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0381B" w14:textId="77777777" w:rsidR="00C2313B" w:rsidRPr="00F90EAE" w:rsidRDefault="00C2313B" w:rsidP="00F90EAE">
      <w:pPr>
        <w:autoSpaceDE w:val="0"/>
        <w:autoSpaceDN w:val="0"/>
        <w:adjustRightInd w:val="0"/>
        <w:jc w:val="both"/>
        <w:rPr>
          <w:b/>
          <w:bCs/>
          <w:color w:val="000000" w:themeColor="text1"/>
          <w:sz w:val="16"/>
          <w:szCs w:val="16"/>
        </w:rPr>
      </w:pPr>
      <w:r w:rsidRPr="00F90EAE">
        <w:rPr>
          <w:b/>
          <w:bCs/>
          <w:color w:val="000000" w:themeColor="text1"/>
          <w:sz w:val="16"/>
          <w:szCs w:val="16"/>
        </w:rPr>
        <w:t>1945</w:t>
      </w:r>
    </w:p>
    <w:p w14:paraId="21855DF2" w14:textId="77777777" w:rsidR="00CD7B36" w:rsidRPr="00F90EAE" w:rsidRDefault="00CD7B36" w:rsidP="00F90EAE">
      <w:pPr>
        <w:autoSpaceDE w:val="0"/>
        <w:autoSpaceDN w:val="0"/>
        <w:adjustRightInd w:val="0"/>
        <w:jc w:val="both"/>
        <w:rPr>
          <w:i/>
          <w:iCs/>
          <w:color w:val="000000" w:themeColor="text1"/>
          <w:sz w:val="16"/>
          <w:szCs w:val="16"/>
        </w:rPr>
      </w:pPr>
    </w:p>
    <w:p w14:paraId="1471C36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B6188D3" w14:textId="77777777" w:rsidR="00C2313B" w:rsidRPr="00F90EAE" w:rsidRDefault="00C2313B" w:rsidP="00F90EAE">
      <w:pPr>
        <w:autoSpaceDE w:val="0"/>
        <w:autoSpaceDN w:val="0"/>
        <w:adjustRightInd w:val="0"/>
        <w:jc w:val="both"/>
        <w:rPr>
          <w:iCs/>
          <w:color w:val="000000" w:themeColor="text1"/>
          <w:sz w:val="16"/>
          <w:szCs w:val="16"/>
        </w:rPr>
      </w:pPr>
    </w:p>
    <w:p w14:paraId="17CAFB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1945 г. все авиационные РС и боеприпасы ГМЧ имели РЗ из одно-канального пороха. Исключение составлял РБС-82, у которого РЗ состо</w:t>
      </w:r>
      <w:r w:rsidRPr="00F90EAE">
        <w:rPr>
          <w:color w:val="000000" w:themeColor="text1"/>
          <w:sz w:val="16"/>
          <w:szCs w:val="16"/>
        </w:rPr>
        <w:softHyphen/>
        <w:t>ял из 2 последовательно расположенных зарядов, составленных из тол</w:t>
      </w:r>
      <w:r w:rsidRPr="00F90EAE">
        <w:rPr>
          <w:color w:val="000000" w:themeColor="text1"/>
          <w:sz w:val="16"/>
          <w:szCs w:val="16"/>
        </w:rPr>
        <w:softHyphen/>
        <w:t>стосводных шашек трехканального пороха (11402).</w:t>
      </w:r>
    </w:p>
    <w:p w14:paraId="610CA5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D3F22F8"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 1945 г. - времени прекращения серийного производства - было построено 6784 ДБ-3/Ил-4, из них около 5300 составляли Ил-4. За время серийного производства затраты труда на постройку одного Ил-4 уменьшились с 20 тыс. чел.-ч в 1941 г. до 12,5 тыс. чел.-ч в 1943 г. и стали даже меньше, чем затраты труда на производство значительно более легкого и меньшего по размерам трехместного пикирующего бомбардировщика Пе-2.</w:t>
      </w:r>
    </w:p>
    <w:p w14:paraId="3A2D5FBB"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ДБ-3/Ил-4 явились этапными самолетами в развитии советских ВВС. На их основе в нашей стране впервые была создана дальнебомбардировочная и минно-торпедная авиация, вооруженная скоростными для своего времени самолетами средних высот, летно-технические данные и оборудование которых позволяли выполнять дальние боевые полеты над сушей и морем в сложных метеорологических условиях днем и ночью. Принимая активное участие в боевых действиях с первого и до последнего дня Великой Отечественной войны, самолеты ДБ-3/Ил-4 внесли достойный вклад в победу над Германией и Японией. После войны некоторое число Ил-4 использовалось в ВВС, а также в народном хозяйстве СССР (9528).</w:t>
      </w:r>
    </w:p>
    <w:p w14:paraId="79BE6864" w14:textId="77777777" w:rsidR="00C2313B" w:rsidRPr="00F90EAE" w:rsidRDefault="00C2313B" w:rsidP="00F90EAE">
      <w:pPr>
        <w:widowControl w:val="0"/>
        <w:autoSpaceDE w:val="0"/>
        <w:autoSpaceDN w:val="0"/>
        <w:adjustRightInd w:val="0"/>
        <w:jc w:val="both"/>
        <w:rPr>
          <w:color w:val="000000" w:themeColor="text1"/>
          <w:sz w:val="16"/>
          <w:szCs w:val="16"/>
        </w:rPr>
      </w:pPr>
    </w:p>
    <w:p w14:paraId="2D46E402" w14:textId="77777777" w:rsidR="00561F31" w:rsidRPr="00F90EAE" w:rsidRDefault="00561F31" w:rsidP="00F90EAE">
      <w:pPr>
        <w:jc w:val="both"/>
        <w:rPr>
          <w:color w:val="0070C0"/>
          <w:sz w:val="16"/>
          <w:szCs w:val="16"/>
        </w:rPr>
      </w:pPr>
      <w:r w:rsidRPr="00F90EAE">
        <w:rPr>
          <w:color w:val="0070C0"/>
          <w:sz w:val="16"/>
          <w:szCs w:val="16"/>
        </w:rPr>
        <w:t>На рубеже 1945 г. с серии 428 Пе-2 основной бомбардировочный прицел штурмана ОПБ-1Р заменили на ОПБ1Д системы Деренковского с гораздо более высокой точностью, на 431-й серии переделали электросистему управления стабилизатором. Это было оно из последних усовершенствований на бомбардировочных вариантах самолета — с серии 492 выпуска июня 1945 г. «Пешка» строилась только в учебной модификации (22828).</w:t>
      </w:r>
    </w:p>
    <w:p w14:paraId="13A5E55D" w14:textId="77777777" w:rsidR="00561F31" w:rsidRPr="00F90EAE" w:rsidRDefault="00561F31" w:rsidP="00F90EAE">
      <w:pPr>
        <w:jc w:val="both"/>
        <w:rPr>
          <w:i/>
          <w:iCs/>
          <w:color w:val="0070C0"/>
          <w:sz w:val="16"/>
          <w:szCs w:val="16"/>
          <w:lang w:bidi="ru-RU"/>
        </w:rPr>
      </w:pPr>
    </w:p>
    <w:p w14:paraId="18B7AD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1945 г. со</w:t>
      </w:r>
      <w:r w:rsidRPr="00F90EAE">
        <w:rPr>
          <w:color w:val="000000" w:themeColor="text1"/>
          <w:sz w:val="16"/>
          <w:szCs w:val="16"/>
        </w:rPr>
        <w:softHyphen/>
        <w:t>ветское авиастроение превратилось в мощное, хорошо осна</w:t>
      </w:r>
      <w:r w:rsidRPr="00F90EAE">
        <w:rPr>
          <w:color w:val="000000" w:themeColor="text1"/>
          <w:sz w:val="16"/>
          <w:szCs w:val="16"/>
        </w:rPr>
        <w:softHyphen/>
        <w:t>щённое техникой и обеспеченное персоналом, подразделение отечественной промышленности. Символом окончательной победы над трудностями военного времени стало принятое в мае 1945 г. решение руководства НКАП о начале производства на подсобных предприятиях наркомата стандартных деталей сборных жилых домов для индивидуального строительства</w:t>
      </w:r>
      <w:r w:rsidRPr="00F90EAE">
        <w:rPr>
          <w:color w:val="000000" w:themeColor="text1"/>
          <w:sz w:val="16"/>
          <w:szCs w:val="16"/>
          <w:vertAlign w:val="superscript"/>
        </w:rPr>
        <w:t>1</w:t>
      </w:r>
      <w:r w:rsidRPr="00F90EAE">
        <w:rPr>
          <w:color w:val="000000" w:themeColor="text1"/>
          <w:sz w:val="16"/>
          <w:szCs w:val="16"/>
        </w:rPr>
        <w:t>. По сравнению с 1940 г. численность персонала НКАП к кон</w:t>
      </w:r>
      <w:r w:rsidRPr="00F90EAE">
        <w:rPr>
          <w:color w:val="000000" w:themeColor="text1"/>
          <w:sz w:val="16"/>
          <w:szCs w:val="16"/>
        </w:rPr>
        <w:softHyphen/>
        <w:t>цу войны возросла на 23,8 %.</w:t>
      </w:r>
    </w:p>
    <w:p w14:paraId="59974E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Концентрация рабочей силы на предприятиях НКАП (РГАЭ. Ф. 8044. </w:t>
      </w:r>
      <w:r w:rsidRPr="00F90EAE">
        <w:rPr>
          <w:color w:val="000000" w:themeColor="text1"/>
          <w:sz w:val="16"/>
          <w:szCs w:val="16"/>
          <w:lang w:val="en-US"/>
        </w:rPr>
        <w:t xml:space="preserve">On. </w:t>
      </w:r>
      <w:r w:rsidRPr="00F90EAE">
        <w:rPr>
          <w:color w:val="000000" w:themeColor="text1"/>
          <w:sz w:val="16"/>
          <w:szCs w:val="16"/>
        </w:rPr>
        <w:t>1. Д. 2885. Л. 93)</w:t>
      </w:r>
    </w:p>
    <w:tbl>
      <w:tblPr>
        <w:tblW w:w="0" w:type="auto"/>
        <w:tblInd w:w="8" w:type="dxa"/>
        <w:tblLayout w:type="fixed"/>
        <w:tblCellMar>
          <w:left w:w="0" w:type="dxa"/>
          <w:right w:w="0" w:type="dxa"/>
        </w:tblCellMar>
        <w:tblLook w:val="0000" w:firstRow="0" w:lastRow="0" w:firstColumn="0" w:lastColumn="0" w:noHBand="0" w:noVBand="0"/>
      </w:tblPr>
      <w:tblGrid>
        <w:gridCol w:w="792"/>
        <w:gridCol w:w="518"/>
        <w:gridCol w:w="518"/>
        <w:gridCol w:w="768"/>
        <w:gridCol w:w="835"/>
        <w:gridCol w:w="648"/>
        <w:gridCol w:w="595"/>
        <w:gridCol w:w="586"/>
        <w:gridCol w:w="667"/>
      </w:tblGrid>
      <w:tr w:rsidR="00561F31" w:rsidRPr="00F90EAE" w14:paraId="76074DC9" w14:textId="77777777">
        <w:trPr>
          <w:trHeight w:val="547"/>
        </w:trPr>
        <w:tc>
          <w:tcPr>
            <w:tcW w:w="792" w:type="dxa"/>
            <w:tcBorders>
              <w:top w:val="single" w:sz="6" w:space="0" w:color="auto"/>
              <w:left w:val="single" w:sz="6" w:space="0" w:color="auto"/>
              <w:bottom w:val="nil"/>
              <w:right w:val="single" w:sz="6" w:space="0" w:color="auto"/>
            </w:tcBorders>
            <w:shd w:val="clear" w:color="auto" w:fill="FFFFFF"/>
          </w:tcPr>
          <w:p w14:paraId="1CA038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Кол-во чсломк</w:t>
            </w:r>
          </w:p>
        </w:tc>
        <w:tc>
          <w:tcPr>
            <w:tcW w:w="1036" w:type="dxa"/>
            <w:gridSpan w:val="2"/>
            <w:tcBorders>
              <w:top w:val="single" w:sz="6" w:space="0" w:color="auto"/>
              <w:left w:val="single" w:sz="6" w:space="0" w:color="auto"/>
              <w:bottom w:val="nil"/>
              <w:right w:val="single" w:sz="6" w:space="0" w:color="auto"/>
            </w:tcBorders>
            <w:shd w:val="clear" w:color="auto" w:fill="FFFFFF"/>
          </w:tcPr>
          <w:p w14:paraId="49A61E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иввдов,пкото</w:t>
            </w:r>
            <w:r w:rsidRPr="00F90EAE">
              <w:rPr>
                <w:color w:val="000000" w:themeColor="text1"/>
                <w:sz w:val="16"/>
                <w:szCs w:val="16"/>
              </w:rPr>
              <w:softHyphen/>
              <w:t>рых работало... чел.</w:t>
            </w:r>
          </w:p>
        </w:tc>
        <w:tc>
          <w:tcPr>
            <w:tcW w:w="1603" w:type="dxa"/>
            <w:gridSpan w:val="2"/>
            <w:tcBorders>
              <w:top w:val="single" w:sz="6" w:space="0" w:color="auto"/>
              <w:left w:val="single" w:sz="6" w:space="0" w:color="auto"/>
              <w:bottom w:val="nil"/>
              <w:right w:val="single" w:sz="6" w:space="0" w:color="auto"/>
            </w:tcBorders>
            <w:shd w:val="clear" w:color="auto" w:fill="FFFFFF"/>
          </w:tcPr>
          <w:p w14:paraId="04FCB8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рабочих, работавших на заводах, относящихся к соответ</w:t>
            </w:r>
            <w:r w:rsidRPr="00F90EAE">
              <w:rPr>
                <w:color w:val="000000" w:themeColor="text1"/>
                <w:sz w:val="16"/>
                <w:szCs w:val="16"/>
              </w:rPr>
              <w:softHyphen/>
              <w:t>ствующей группе</w:t>
            </w:r>
          </w:p>
        </w:tc>
        <w:tc>
          <w:tcPr>
            <w:tcW w:w="2496" w:type="dxa"/>
            <w:gridSpan w:val="4"/>
            <w:tcBorders>
              <w:top w:val="single" w:sz="6" w:space="0" w:color="auto"/>
              <w:left w:val="single" w:sz="6" w:space="0" w:color="auto"/>
              <w:bottom w:val="single" w:sz="6" w:space="0" w:color="auto"/>
              <w:right w:val="single" w:sz="6" w:space="0" w:color="auto"/>
            </w:tcBorders>
            <w:shd w:val="clear" w:color="auto" w:fill="FFFFFF"/>
          </w:tcPr>
          <w:p w14:paraId="6E3EB0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Удельны! вес данной группы (в %) по отношению ко всем</w:t>
            </w:r>
          </w:p>
        </w:tc>
      </w:tr>
      <w:tr w:rsidR="00561F31" w:rsidRPr="00F90EAE" w14:paraId="5C634FF8" w14:textId="77777777">
        <w:trPr>
          <w:trHeight w:val="422"/>
        </w:trPr>
        <w:tc>
          <w:tcPr>
            <w:tcW w:w="792" w:type="dxa"/>
            <w:tcBorders>
              <w:top w:val="nil"/>
              <w:left w:val="single" w:sz="6" w:space="0" w:color="auto"/>
              <w:bottom w:val="nil"/>
              <w:right w:val="single" w:sz="6" w:space="0" w:color="auto"/>
            </w:tcBorders>
            <w:shd w:val="clear" w:color="auto" w:fill="FFFFFF"/>
          </w:tcPr>
          <w:p w14:paraId="114005F1" w14:textId="77777777" w:rsidR="00C2313B" w:rsidRPr="00F90EAE" w:rsidRDefault="00C2313B" w:rsidP="00F90EAE">
            <w:pPr>
              <w:autoSpaceDE w:val="0"/>
              <w:autoSpaceDN w:val="0"/>
              <w:adjustRightInd w:val="0"/>
              <w:jc w:val="both"/>
              <w:rPr>
                <w:color w:val="000000" w:themeColor="text1"/>
                <w:sz w:val="16"/>
                <w:szCs w:val="16"/>
              </w:rPr>
            </w:pPr>
          </w:p>
        </w:tc>
        <w:tc>
          <w:tcPr>
            <w:tcW w:w="1036" w:type="dxa"/>
            <w:gridSpan w:val="2"/>
            <w:tcBorders>
              <w:top w:val="nil"/>
              <w:left w:val="single" w:sz="6" w:space="0" w:color="auto"/>
              <w:bottom w:val="single" w:sz="6" w:space="0" w:color="auto"/>
              <w:right w:val="single" w:sz="6" w:space="0" w:color="auto"/>
            </w:tcBorders>
            <w:shd w:val="clear" w:color="auto" w:fill="FFFFFF"/>
          </w:tcPr>
          <w:p w14:paraId="6030B402" w14:textId="77777777" w:rsidR="00C2313B" w:rsidRPr="00F90EAE" w:rsidRDefault="00C2313B" w:rsidP="00F90EAE">
            <w:pPr>
              <w:autoSpaceDE w:val="0"/>
              <w:autoSpaceDN w:val="0"/>
              <w:adjustRightInd w:val="0"/>
              <w:jc w:val="both"/>
              <w:rPr>
                <w:color w:val="000000" w:themeColor="text1"/>
                <w:sz w:val="16"/>
                <w:szCs w:val="16"/>
              </w:rPr>
            </w:pPr>
          </w:p>
        </w:tc>
        <w:tc>
          <w:tcPr>
            <w:tcW w:w="1603" w:type="dxa"/>
            <w:gridSpan w:val="2"/>
            <w:tcBorders>
              <w:top w:val="nil"/>
              <w:left w:val="single" w:sz="6" w:space="0" w:color="auto"/>
              <w:bottom w:val="single" w:sz="6" w:space="0" w:color="auto"/>
              <w:right w:val="single" w:sz="6" w:space="0" w:color="auto"/>
            </w:tcBorders>
            <w:shd w:val="clear" w:color="auto" w:fill="FFFFFF"/>
          </w:tcPr>
          <w:p w14:paraId="4776992D" w14:textId="77777777" w:rsidR="00C2313B" w:rsidRPr="00F90EAE" w:rsidRDefault="00C2313B" w:rsidP="00F90EAE">
            <w:pPr>
              <w:autoSpaceDE w:val="0"/>
              <w:autoSpaceDN w:val="0"/>
              <w:adjustRightInd w:val="0"/>
              <w:jc w:val="both"/>
              <w:rPr>
                <w:color w:val="000000" w:themeColor="text1"/>
                <w:sz w:val="16"/>
                <w:szCs w:val="16"/>
              </w:rPr>
            </w:pPr>
          </w:p>
        </w:tc>
        <w:tc>
          <w:tcPr>
            <w:tcW w:w="1243" w:type="dxa"/>
            <w:gridSpan w:val="2"/>
            <w:tcBorders>
              <w:top w:val="single" w:sz="6" w:space="0" w:color="auto"/>
              <w:left w:val="single" w:sz="6" w:space="0" w:color="auto"/>
              <w:bottom w:val="single" w:sz="6" w:space="0" w:color="auto"/>
              <w:right w:val="single" w:sz="6" w:space="0" w:color="auto"/>
            </w:tcBorders>
            <w:shd w:val="clear" w:color="auto" w:fill="FFFFFF"/>
          </w:tcPr>
          <w:p w14:paraId="2BDF35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заводам</w:t>
            </w:r>
          </w:p>
        </w:tc>
        <w:tc>
          <w:tcPr>
            <w:tcW w:w="1253" w:type="dxa"/>
            <w:gridSpan w:val="2"/>
            <w:tcBorders>
              <w:top w:val="single" w:sz="6" w:space="0" w:color="auto"/>
              <w:left w:val="single" w:sz="6" w:space="0" w:color="auto"/>
              <w:bottom w:val="single" w:sz="6" w:space="0" w:color="auto"/>
              <w:right w:val="single" w:sz="6" w:space="0" w:color="auto"/>
            </w:tcBorders>
            <w:shd w:val="clear" w:color="auto" w:fill="FFFFFF"/>
          </w:tcPr>
          <w:p w14:paraId="2D060E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рабочим</w:t>
            </w:r>
          </w:p>
        </w:tc>
      </w:tr>
      <w:tr w:rsidR="00561F31" w:rsidRPr="00F90EAE" w14:paraId="7EE7781E" w14:textId="77777777">
        <w:trPr>
          <w:trHeight w:val="336"/>
        </w:trPr>
        <w:tc>
          <w:tcPr>
            <w:tcW w:w="792" w:type="dxa"/>
            <w:tcBorders>
              <w:top w:val="nil"/>
              <w:left w:val="single" w:sz="6" w:space="0" w:color="auto"/>
              <w:bottom w:val="single" w:sz="6" w:space="0" w:color="auto"/>
              <w:right w:val="single" w:sz="6" w:space="0" w:color="auto"/>
            </w:tcBorders>
            <w:shd w:val="clear" w:color="auto" w:fill="FFFFFF"/>
          </w:tcPr>
          <w:p w14:paraId="68FFD307" w14:textId="77777777" w:rsidR="00C2313B" w:rsidRPr="00F90EAE" w:rsidRDefault="00C2313B" w:rsidP="00F90EAE">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394FB0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11FBE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79DD02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EAE4C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6FADD6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7B044F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F6112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A0077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w:t>
            </w:r>
          </w:p>
        </w:tc>
      </w:tr>
      <w:tr w:rsidR="00561F31" w:rsidRPr="00F90EAE" w14:paraId="123EB75A" w14:textId="77777777">
        <w:trPr>
          <w:trHeight w:val="307"/>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10F801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 1000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553B7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47C4FA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51</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6ABAED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26491</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04149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24814</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03A8F6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41,7</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040F7F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37,5</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619E9B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6,7</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CB2CB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w:t>
            </w:r>
          </w:p>
        </w:tc>
      </w:tr>
      <w:tr w:rsidR="00561F31" w:rsidRPr="00F90EAE" w14:paraId="1669EE69"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0B0CB9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1000—3000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22910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C69C7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012989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71714</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31882A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85313</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4FD814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F98E4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36,7</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177D87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18,1</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5B39B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20,8</w:t>
            </w:r>
          </w:p>
        </w:tc>
      </w:tr>
      <w:tr w:rsidR="00561F31" w:rsidRPr="00F90EAE" w14:paraId="45C6A36E" w14:textId="77777777">
        <w:trPr>
          <w:trHeight w:val="365"/>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8EC02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3001—5000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113024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7EEBB7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33E93E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49092</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1600FD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48428</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3F0E15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1A4A63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32CD50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09A2CE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11,8</w:t>
            </w:r>
          </w:p>
        </w:tc>
      </w:tr>
      <w:tr w:rsidR="00561F31" w:rsidRPr="00F90EAE" w14:paraId="0A5CCDFE" w14:textId="77777777">
        <w:trPr>
          <w:trHeight w:val="398"/>
        </w:trPr>
        <w:tc>
          <w:tcPr>
            <w:tcW w:w="792" w:type="dxa"/>
            <w:tcBorders>
              <w:top w:val="single" w:sz="6" w:space="0" w:color="auto"/>
              <w:left w:val="single" w:sz="6" w:space="0" w:color="auto"/>
              <w:bottom w:val="single" w:sz="6" w:space="0" w:color="auto"/>
              <w:right w:val="single" w:sz="6" w:space="0" w:color="auto"/>
            </w:tcBorders>
            <w:shd w:val="clear" w:color="auto" w:fill="FFFFFF"/>
          </w:tcPr>
          <w:p w14:paraId="707898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Св.5000</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5D7912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518" w:type="dxa"/>
            <w:tcBorders>
              <w:top w:val="single" w:sz="6" w:space="0" w:color="auto"/>
              <w:left w:val="single" w:sz="6" w:space="0" w:color="auto"/>
              <w:bottom w:val="single" w:sz="6" w:space="0" w:color="auto"/>
              <w:right w:val="single" w:sz="6" w:space="0" w:color="auto"/>
            </w:tcBorders>
            <w:shd w:val="clear" w:color="auto" w:fill="FFFFFF"/>
          </w:tcPr>
          <w:p w14:paraId="08BD25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768" w:type="dxa"/>
            <w:tcBorders>
              <w:top w:val="single" w:sz="6" w:space="0" w:color="auto"/>
              <w:left w:val="single" w:sz="6" w:space="0" w:color="auto"/>
              <w:bottom w:val="single" w:sz="6" w:space="0" w:color="auto"/>
              <w:right w:val="single" w:sz="6" w:space="0" w:color="auto"/>
            </w:tcBorders>
            <w:shd w:val="clear" w:color="auto" w:fill="FFFFFF"/>
          </w:tcPr>
          <w:p w14:paraId="5B6762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236756</w:t>
            </w:r>
          </w:p>
        </w:tc>
        <w:tc>
          <w:tcPr>
            <w:tcW w:w="835" w:type="dxa"/>
            <w:tcBorders>
              <w:top w:val="single" w:sz="6" w:space="0" w:color="auto"/>
              <w:left w:val="single" w:sz="6" w:space="0" w:color="auto"/>
              <w:bottom w:val="single" w:sz="6" w:space="0" w:color="auto"/>
              <w:right w:val="single" w:sz="6" w:space="0" w:color="auto"/>
            </w:tcBorders>
            <w:shd w:val="clear" w:color="auto" w:fill="FFFFFF"/>
          </w:tcPr>
          <w:p w14:paraId="28474B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251016</w:t>
            </w:r>
          </w:p>
        </w:tc>
        <w:tc>
          <w:tcPr>
            <w:tcW w:w="648" w:type="dxa"/>
            <w:tcBorders>
              <w:top w:val="single" w:sz="6" w:space="0" w:color="auto"/>
              <w:left w:val="single" w:sz="6" w:space="0" w:color="auto"/>
              <w:bottom w:val="single" w:sz="6" w:space="0" w:color="auto"/>
              <w:right w:val="single" w:sz="6" w:space="0" w:color="auto"/>
            </w:tcBorders>
            <w:shd w:val="clear" w:color="auto" w:fill="FFFFFF"/>
          </w:tcPr>
          <w:p w14:paraId="52371A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18,1</w:t>
            </w:r>
          </w:p>
        </w:tc>
        <w:tc>
          <w:tcPr>
            <w:tcW w:w="595" w:type="dxa"/>
            <w:tcBorders>
              <w:top w:val="single" w:sz="6" w:space="0" w:color="auto"/>
              <w:left w:val="single" w:sz="6" w:space="0" w:color="auto"/>
              <w:bottom w:val="single" w:sz="6" w:space="0" w:color="auto"/>
              <w:right w:val="single" w:sz="6" w:space="0" w:color="auto"/>
            </w:tcBorders>
            <w:shd w:val="clear" w:color="auto" w:fill="FFFFFF"/>
          </w:tcPr>
          <w:p w14:paraId="26FBF0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16,2</w:t>
            </w:r>
          </w:p>
        </w:tc>
        <w:tc>
          <w:tcPr>
            <w:tcW w:w="586" w:type="dxa"/>
            <w:tcBorders>
              <w:top w:val="single" w:sz="6" w:space="0" w:color="auto"/>
              <w:left w:val="single" w:sz="6" w:space="0" w:color="auto"/>
              <w:bottom w:val="single" w:sz="6" w:space="0" w:color="auto"/>
              <w:right w:val="single" w:sz="6" w:space="0" w:color="auto"/>
            </w:tcBorders>
            <w:shd w:val="clear" w:color="auto" w:fill="FFFFFF"/>
          </w:tcPr>
          <w:p w14:paraId="2A3503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62,8</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ECF86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61Д</w:t>
            </w:r>
          </w:p>
        </w:tc>
      </w:tr>
    </w:tbl>
    <w:p w14:paraId="25572C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Как видим, тенденции, заложенные в предвоенный период, продолжали определять уровень концентрации рабочей силы и в годы войны. По-прежнему свыше половины рабочих ави</w:t>
      </w:r>
      <w:r w:rsidRPr="00F90EAE">
        <w:rPr>
          <w:color w:val="000000" w:themeColor="text1"/>
          <w:sz w:val="16"/>
          <w:szCs w:val="16"/>
        </w:rPr>
        <w:softHyphen/>
        <w:t>апромышленности были заняты на крупных предприятиях с численностью персонала более 5 тыс. человек (12011).</w:t>
      </w:r>
    </w:p>
    <w:p w14:paraId="1C60FED7" w14:textId="77777777" w:rsidR="00C2313B" w:rsidRPr="00F90EAE" w:rsidRDefault="00C2313B" w:rsidP="00F90EAE">
      <w:pPr>
        <w:autoSpaceDE w:val="0"/>
        <w:autoSpaceDN w:val="0"/>
        <w:adjustRightInd w:val="0"/>
        <w:jc w:val="both"/>
        <w:rPr>
          <w:color w:val="000000" w:themeColor="text1"/>
          <w:sz w:val="16"/>
          <w:szCs w:val="16"/>
        </w:rPr>
      </w:pPr>
    </w:p>
    <w:p w14:paraId="501D4ECD" w14:textId="77777777" w:rsidR="00C2313B" w:rsidRPr="00F90EAE" w:rsidRDefault="001561D1" w:rsidP="00F90EAE">
      <w:pPr>
        <w:widowControl w:val="0"/>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F65005E" w14:textId="77777777" w:rsidR="00C2313B" w:rsidRPr="00F90EAE" w:rsidRDefault="00C2313B" w:rsidP="00F90EAE">
      <w:pPr>
        <w:widowControl w:val="0"/>
        <w:autoSpaceDE w:val="0"/>
        <w:autoSpaceDN w:val="0"/>
        <w:adjustRightInd w:val="0"/>
        <w:jc w:val="both"/>
        <w:rPr>
          <w:iCs/>
          <w:color w:val="000000" w:themeColor="text1"/>
          <w:sz w:val="16"/>
          <w:szCs w:val="16"/>
        </w:rPr>
      </w:pPr>
    </w:p>
    <w:p w14:paraId="30CBCD39"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 1945 году не были расстреляны даже старые 76-мм гранаты и использовались еще несколько послевоенных лет. Для пушек обр. 1900 г. и 1902 г. первоначально был принят метательный заряд весом 0,86-0,9 кг. В 1938 году он получил индекс Ж-354А. Вместе с 76-мм пушкой обр. 1902/30 г. был принят заряд весом 1,08 кг (Ж-354). Камора и прочность ствола у пушки обр. 1902/30 г. по сравнению с пушкой обр. 1902 г. не изменилась, а лишь немного упрочился лафет и усилены противооткатные устройства. До войны стрелять зарядом Ж-354 из пушек обр. 1902 г. формально было не положено. Но в войну не только стреляли, но и в таблицах стрельбы даже предписывалось это делать, тем более, что бронебойных выстрелов с зарядами 0,9 кг не было вообще. Заряды Ж-353 весом 0,455 кг от выстрелов полковых пушек обр. 1927 г. считались уменьшенными для дивизионных пушек. В 1914-1917 годах русская армия получила огромное количество 76-мм осколочных гранат, как русского, так и французского, английского, американского и японского изготовления. Многие из них были снаряжены суррогатными взрывчатыми веществами и имели суррогатные взрыватели военного времени (вплоть до ударных трубок обр. 1884 г). В 1933-1936 годах такие снаряды, а также довоенные, снаряженные мелинитом, были переоснащены тротилом. Постепенно суррогатные взрыватели были заменены более современными, типа КТМ-1, КТМ-3 и другими. Эти многочисленные типы гранат в РККА были сведены в две категории: старые русские гранаты Ф-354, Ф-354М и другие. Туда, кстати, попали и гранаты английского изготовления, и французские гранаты Ф-354Ф. Стрелять ими можно было только зарядом 0,9 кг Ж-354А (3861).</w:t>
      </w:r>
    </w:p>
    <w:p w14:paraId="158CCA98" w14:textId="77777777" w:rsidR="00C2313B" w:rsidRPr="00F90EAE" w:rsidRDefault="00C2313B" w:rsidP="00F90EAE">
      <w:pPr>
        <w:widowControl w:val="0"/>
        <w:autoSpaceDE w:val="0"/>
        <w:autoSpaceDN w:val="0"/>
        <w:adjustRightInd w:val="0"/>
        <w:jc w:val="both"/>
        <w:rPr>
          <w:color w:val="000000" w:themeColor="text1"/>
          <w:sz w:val="16"/>
          <w:szCs w:val="16"/>
        </w:rPr>
      </w:pPr>
    </w:p>
    <w:p w14:paraId="5544D640" w14:textId="77777777" w:rsidR="003E545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CDC3575" w14:textId="77777777" w:rsidR="003E545E" w:rsidRPr="00F90EAE" w:rsidRDefault="003E545E" w:rsidP="00F90EAE">
      <w:pPr>
        <w:autoSpaceDE w:val="0"/>
        <w:autoSpaceDN w:val="0"/>
        <w:adjustRightInd w:val="0"/>
        <w:jc w:val="both"/>
        <w:rPr>
          <w:iCs/>
          <w:color w:val="000000" w:themeColor="text1"/>
          <w:sz w:val="16"/>
          <w:szCs w:val="16"/>
        </w:rPr>
      </w:pPr>
    </w:p>
    <w:p w14:paraId="36FBAC09" w14:textId="77777777" w:rsidR="003E545E" w:rsidRPr="00F90EAE" w:rsidRDefault="003E545E" w:rsidP="00F90EAE">
      <w:pPr>
        <w:jc w:val="both"/>
        <w:rPr>
          <w:color w:val="000000" w:themeColor="text1"/>
          <w:sz w:val="16"/>
          <w:szCs w:val="16"/>
        </w:rPr>
      </w:pPr>
      <w:r w:rsidRPr="00F90EAE">
        <w:rPr>
          <w:color w:val="000000" w:themeColor="text1"/>
          <w:sz w:val="16"/>
          <w:szCs w:val="16"/>
        </w:rPr>
        <w:t>К 1945 г. на Черноморском флоте удалось набрать 10 самолетов «Спитфайр» МК.УВ в разной степени исправности со следующими серийными номерами: №№ ВМ -185, ВМ-450. ВМ-771. ЕР-185, ЕР-256, ЕР-307, ЕР-358, ЕР- 400. ЕР-502, ЕР-758. Девять из них вошли в со</w:t>
      </w:r>
      <w:r w:rsidRPr="00F90EAE">
        <w:rPr>
          <w:color w:val="000000" w:themeColor="text1"/>
          <w:sz w:val="16"/>
          <w:szCs w:val="16"/>
        </w:rPr>
        <w:softHyphen/>
        <w:t>став 24-й оаэ, причем в начале 1945 г. в строю находилось 4 истребителя, 4 ремонтировались в 20 самолетных авиамастерских в Евпатории, и еще один имелся в ремонтном поезде в ме</w:t>
      </w:r>
      <w:r w:rsidRPr="00F90EAE">
        <w:rPr>
          <w:color w:val="000000" w:themeColor="text1"/>
          <w:sz w:val="16"/>
          <w:szCs w:val="16"/>
        </w:rPr>
        <w:softHyphen/>
        <w:t>стечке Сарабуз. В процессе ремонта на истре</w:t>
      </w:r>
      <w:r w:rsidRPr="00F90EAE">
        <w:rPr>
          <w:color w:val="000000" w:themeColor="text1"/>
          <w:sz w:val="16"/>
          <w:szCs w:val="16"/>
        </w:rPr>
        <w:softHyphen/>
        <w:t>бителях частично поменяли обшивку, перебра</w:t>
      </w:r>
      <w:r w:rsidRPr="00F90EAE">
        <w:rPr>
          <w:color w:val="000000" w:themeColor="text1"/>
          <w:sz w:val="16"/>
          <w:szCs w:val="16"/>
        </w:rPr>
        <w:softHyphen/>
        <w:t>ли шасси и перекрасили. Кроме этого, устано</w:t>
      </w:r>
      <w:r w:rsidRPr="00F90EAE">
        <w:rPr>
          <w:color w:val="000000" w:themeColor="text1"/>
          <w:sz w:val="16"/>
          <w:szCs w:val="16"/>
        </w:rPr>
        <w:softHyphen/>
        <w:t>вили некоторое советское оборудование и пи</w:t>
      </w:r>
      <w:r w:rsidRPr="00F90EAE">
        <w:rPr>
          <w:color w:val="000000" w:themeColor="text1"/>
          <w:sz w:val="16"/>
          <w:szCs w:val="16"/>
        </w:rPr>
        <w:softHyphen/>
        <w:t>лотажные приборы. На нескольких машинах оборудовали узлы для крепления на катапуль</w:t>
      </w:r>
      <w:r w:rsidRPr="00F90EAE">
        <w:rPr>
          <w:color w:val="000000" w:themeColor="text1"/>
          <w:sz w:val="16"/>
          <w:szCs w:val="16"/>
        </w:rPr>
        <w:softHyphen/>
        <w:t>те. Самолеты базировались на сухопутном аэ</w:t>
      </w:r>
      <w:r w:rsidRPr="00F90EAE">
        <w:rPr>
          <w:color w:val="000000" w:themeColor="text1"/>
          <w:sz w:val="16"/>
          <w:szCs w:val="16"/>
        </w:rPr>
        <w:softHyphen/>
        <w:t>родроме Альма-Токмак в 30 км от Севастопо</w:t>
      </w:r>
      <w:r w:rsidRPr="00F90EAE">
        <w:rPr>
          <w:color w:val="000000" w:themeColor="text1"/>
          <w:sz w:val="16"/>
          <w:szCs w:val="16"/>
        </w:rPr>
        <w:softHyphen/>
        <w:t>ля. Известно, что эксплуатация английских ис</w:t>
      </w:r>
      <w:r w:rsidRPr="00F90EAE">
        <w:rPr>
          <w:color w:val="000000" w:themeColor="text1"/>
          <w:sz w:val="16"/>
          <w:szCs w:val="16"/>
        </w:rPr>
        <w:softHyphen/>
        <w:t>требителей осуществлялась в течение двух лет. за это время три самолета вышли из строя по причине аварий.</w:t>
      </w:r>
    </w:p>
    <w:p w14:paraId="7003A9A3" w14:textId="77777777" w:rsidR="003E545E" w:rsidRPr="00F90EAE" w:rsidRDefault="003E545E" w:rsidP="00F90EAE">
      <w:pPr>
        <w:jc w:val="both"/>
        <w:rPr>
          <w:color w:val="000000" w:themeColor="text1"/>
          <w:sz w:val="16"/>
          <w:szCs w:val="16"/>
        </w:rPr>
      </w:pPr>
      <w:r w:rsidRPr="00F90EAE">
        <w:rPr>
          <w:color w:val="000000" w:themeColor="text1"/>
          <w:sz w:val="16"/>
          <w:szCs w:val="16"/>
        </w:rPr>
        <w:t>В 1946 г., по крайней мере, один «Спитфайр» использовался совместно с КОР-2 для стартов с катапульты крейсера «Молотов». За проведе</w:t>
      </w:r>
      <w:r w:rsidRPr="00F90EAE">
        <w:rPr>
          <w:color w:val="000000" w:themeColor="text1"/>
          <w:sz w:val="16"/>
          <w:szCs w:val="16"/>
        </w:rPr>
        <w:softHyphen/>
        <w:t>ние удачных испытаний летчики ст. лейтенант В.Ф.Соколов, ст. лейтенант А.А.Пилюк и мл. лейтенант И.И.Шевченко были награждены командованием флота часами «Лонжин» (12301).</w:t>
      </w:r>
    </w:p>
    <w:p w14:paraId="578FC049" w14:textId="77777777" w:rsidR="003E545E" w:rsidRPr="00F90EAE" w:rsidRDefault="003E545E" w:rsidP="00F90EAE">
      <w:pPr>
        <w:jc w:val="both"/>
        <w:rPr>
          <w:color w:val="000000" w:themeColor="text1"/>
          <w:sz w:val="16"/>
          <w:szCs w:val="16"/>
        </w:rPr>
      </w:pPr>
    </w:p>
    <w:p w14:paraId="40D083EA" w14:textId="77777777" w:rsidR="003E545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A618838" w14:textId="77777777" w:rsidR="003E545E" w:rsidRPr="00F90EAE" w:rsidRDefault="003E545E" w:rsidP="00F90EAE">
      <w:pPr>
        <w:autoSpaceDE w:val="0"/>
        <w:autoSpaceDN w:val="0"/>
        <w:adjustRightInd w:val="0"/>
        <w:jc w:val="both"/>
        <w:rPr>
          <w:iCs/>
          <w:color w:val="000000" w:themeColor="text1"/>
          <w:sz w:val="16"/>
          <w:szCs w:val="16"/>
        </w:rPr>
      </w:pPr>
    </w:p>
    <w:p w14:paraId="2AB38883" w14:textId="77777777" w:rsidR="003E545E" w:rsidRPr="00F90EAE" w:rsidRDefault="003E545E"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К 1945 германская авиапромышленность была, как и у нас, размещена на тер</w:t>
      </w:r>
      <w:r w:rsidRPr="00F90EAE">
        <w:rPr>
          <w:rFonts w:ascii="Times New Roman" w:cs="Times New Roman"/>
          <w:color w:val="000000" w:themeColor="text1"/>
          <w:spacing w:val="0"/>
          <w:sz w:val="16"/>
          <w:szCs w:val="16"/>
        </w:rPr>
        <w:softHyphen/>
        <w:t>ритории Германии неравномерно. Постепенно под влиянием бомбардировок союзников немцы были вынуждены децентрализовать военную промышленность и разукрупнить свои заводы. Предприятия переводили в маленькие города и даже деревни, в основном, в восточные районы Германии, удаленные от воздушных баз союзников. Предприятия разукрупняли, размещали в помещениях мелких фабрик, в деревообрабатывающих ма</w:t>
      </w:r>
      <w:r w:rsidRPr="00F90EAE">
        <w:rPr>
          <w:rFonts w:ascii="Times New Roman" w:cs="Times New Roman"/>
          <w:color w:val="000000" w:themeColor="text1"/>
          <w:spacing w:val="0"/>
          <w:sz w:val="16"/>
          <w:szCs w:val="16"/>
        </w:rPr>
        <w:softHyphen/>
        <w:t>стерских, на предприятиях легкой промышленности. Начали создавать филиалы крупных авиационных фирм. Так, например, «Юнкере» переоборудовал на нужный ему профиль 19 предприятий в Саксонии. Заводы общего машиностроения срочно перепрофилиро</w:t>
      </w:r>
      <w:r w:rsidRPr="00F90EAE">
        <w:rPr>
          <w:rFonts w:ascii="Times New Roman" w:cs="Times New Roman"/>
          <w:color w:val="000000" w:themeColor="text1"/>
          <w:spacing w:val="0"/>
          <w:sz w:val="16"/>
          <w:szCs w:val="16"/>
        </w:rPr>
        <w:softHyphen/>
        <w:t>вали на авиационную продукцию.</w:t>
      </w:r>
    </w:p>
    <w:p w14:paraId="4488DDF6" w14:textId="77777777" w:rsidR="003E545E" w:rsidRPr="00F90EAE" w:rsidRDefault="003E545E"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Производство всё возраставшего количества самолётов на децентрализованных пред</w:t>
      </w:r>
      <w:r w:rsidRPr="00F90EAE">
        <w:rPr>
          <w:rFonts w:ascii="Times New Roman" w:cs="Times New Roman"/>
          <w:color w:val="000000" w:themeColor="text1"/>
          <w:spacing w:val="0"/>
          <w:sz w:val="16"/>
          <w:szCs w:val="16"/>
        </w:rPr>
        <w:softHyphen/>
        <w:t>приятиях могло осуществляться только при развитой кооперации производства и при превосходной транспортной системе. Такая транспортная система в Германии имелась, но из-за постоянных бомбёжек четкая работа транспорта в конце войны нарушилась, и она уже не могла справляться с необходимыми перевозками и ритмично питать сборку. Чтобы спасти положение, немцы начали дублировать изготовление деталей и узлов на нескольких предприятиях. Соответственно, на эти предприятия посылали и техническую документацию. Широкое распространение получило снабжение авиационных заводов полуфабрикатами и нормалями, общими для всей германской промышленности: ни одно авиационное предприятие не изготавливало у себя гайки, болты, шайбы и т.п.</w:t>
      </w:r>
    </w:p>
    <w:p w14:paraId="51B7EE13" w14:textId="77777777" w:rsidR="003E545E" w:rsidRPr="00F90EAE" w:rsidRDefault="003E545E"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lastRenderedPageBreak/>
        <w:t>В конечной фазе войны, несмотря на огромные усилия министерства авиации Герма</w:t>
      </w:r>
      <w:r w:rsidRPr="00F90EAE">
        <w:rPr>
          <w:rFonts w:ascii="Times New Roman" w:cs="Times New Roman"/>
          <w:color w:val="000000" w:themeColor="text1"/>
          <w:spacing w:val="0"/>
          <w:sz w:val="16"/>
          <w:szCs w:val="16"/>
        </w:rPr>
        <w:softHyphen/>
        <w:t>нии, пытавшегося наладить выпуск уже разработанного нового секретного оружия — ракет ФАУ-1 и ФАУ-2, новых реактивных двигателей и самолётов, продукция авиапро</w:t>
      </w:r>
      <w:r w:rsidRPr="00F90EAE">
        <w:rPr>
          <w:rFonts w:ascii="Times New Roman" w:cs="Times New Roman"/>
          <w:color w:val="000000" w:themeColor="text1"/>
          <w:spacing w:val="0"/>
          <w:sz w:val="16"/>
          <w:szCs w:val="16"/>
        </w:rPr>
        <w:softHyphen/>
        <w:t>мышленности быстро сокращалась. Часть заводов располагалась на территории, уже занятой нашими войсками или союзниками, часть разрушили бомбардировки (15791).</w:t>
      </w:r>
    </w:p>
    <w:p w14:paraId="1835223A" w14:textId="77777777" w:rsidR="003E545E" w:rsidRPr="00F90EAE" w:rsidRDefault="003E545E" w:rsidP="00F90EAE">
      <w:pPr>
        <w:pStyle w:val="36"/>
        <w:shd w:val="clear" w:color="auto" w:fill="auto"/>
        <w:spacing w:after="0" w:line="240" w:lineRule="auto"/>
        <w:jc w:val="both"/>
        <w:rPr>
          <w:rFonts w:ascii="Times New Roman" w:cs="Times New Roman"/>
          <w:color w:val="000000" w:themeColor="text1"/>
          <w:spacing w:val="0"/>
          <w:sz w:val="16"/>
          <w:szCs w:val="16"/>
        </w:rPr>
      </w:pPr>
    </w:p>
    <w:p w14:paraId="496EBDF2" w14:textId="77777777" w:rsidR="00A96EA6"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879D391" w14:textId="77777777" w:rsidR="00A96EA6" w:rsidRPr="00F90EAE" w:rsidRDefault="00A96EA6" w:rsidP="00F90EAE">
      <w:pPr>
        <w:autoSpaceDE w:val="0"/>
        <w:autoSpaceDN w:val="0"/>
        <w:adjustRightInd w:val="0"/>
        <w:jc w:val="both"/>
        <w:rPr>
          <w:iCs/>
          <w:color w:val="000000" w:themeColor="text1"/>
          <w:sz w:val="16"/>
          <w:szCs w:val="16"/>
        </w:rPr>
      </w:pPr>
    </w:p>
    <w:p w14:paraId="34B635AC"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началу 1945 г. завершилось проектирование Ил-16 с двигателем АМ-43НВ мощ</w:t>
      </w:r>
      <w:r w:rsidRPr="00F90EAE">
        <w:rPr>
          <w:rFonts w:ascii="Times New Roman" w:hAnsi="Times New Roman" w:cs="Times New Roman"/>
          <w:color w:val="000000" w:themeColor="text1"/>
          <w:sz w:val="16"/>
          <w:szCs w:val="16"/>
        </w:rPr>
        <w:softHyphen/>
        <w:t>ностью 2300 л.с. (для достижения высоких летных качеств конструкция новой машины была максимально облегчена за счет не</w:t>
      </w:r>
      <w:r w:rsidRPr="00F90EAE">
        <w:rPr>
          <w:rFonts w:ascii="Times New Roman" w:hAnsi="Times New Roman" w:cs="Times New Roman"/>
          <w:color w:val="000000" w:themeColor="text1"/>
          <w:sz w:val="16"/>
          <w:szCs w:val="16"/>
        </w:rPr>
        <w:softHyphen/>
        <w:t>которого снижения массы бронекорпуса и уменьшения геометрических размеров планера), что позволило уже в феврале этого же года начать постройку опытного экземпляра. В первом же полете 10 июня испытатели столкнулись с непри</w:t>
      </w:r>
      <w:r w:rsidRPr="00F90EAE">
        <w:rPr>
          <w:rFonts w:ascii="Times New Roman" w:hAnsi="Times New Roman" w:cs="Times New Roman"/>
          <w:color w:val="000000" w:themeColor="text1"/>
          <w:sz w:val="16"/>
          <w:szCs w:val="16"/>
        </w:rPr>
        <w:softHyphen/>
        <w:t>ятным и достаточно заметно проявившим себя реактивным моментом воздушного винта, стремившимся уже на взлете са</w:t>
      </w:r>
      <w:r w:rsidRPr="00F90EAE">
        <w:rPr>
          <w:rFonts w:ascii="Times New Roman" w:hAnsi="Times New Roman" w:cs="Times New Roman"/>
          <w:color w:val="000000" w:themeColor="text1"/>
          <w:sz w:val="16"/>
          <w:szCs w:val="16"/>
        </w:rPr>
        <w:softHyphen/>
        <w:t>молета развернуть его вокруг продольной оси. Причиной этого явления были умень</w:t>
      </w:r>
      <w:r w:rsidRPr="00F90EAE">
        <w:rPr>
          <w:rFonts w:ascii="Times New Roman" w:hAnsi="Times New Roman" w:cs="Times New Roman"/>
          <w:color w:val="000000" w:themeColor="text1"/>
          <w:sz w:val="16"/>
          <w:szCs w:val="16"/>
        </w:rPr>
        <w:softHyphen/>
        <w:t>шенные геометрические размеры и уста</w:t>
      </w:r>
      <w:r w:rsidRPr="00F90EAE">
        <w:rPr>
          <w:rFonts w:ascii="Times New Roman" w:hAnsi="Times New Roman" w:cs="Times New Roman"/>
          <w:color w:val="000000" w:themeColor="text1"/>
          <w:sz w:val="16"/>
          <w:szCs w:val="16"/>
        </w:rPr>
        <w:softHyphen/>
        <w:t>новка мощного двигателя, в свою очередь доставившего испытателям немало непри</w:t>
      </w:r>
      <w:r w:rsidRPr="00F90EAE">
        <w:rPr>
          <w:rFonts w:ascii="Times New Roman" w:hAnsi="Times New Roman" w:cs="Times New Roman"/>
          <w:color w:val="000000" w:themeColor="text1"/>
          <w:sz w:val="16"/>
          <w:szCs w:val="16"/>
        </w:rPr>
        <w:softHyphen/>
        <w:t>ятностей. Все это привело к необходимости длительных доработок, в результате кото</w:t>
      </w:r>
      <w:r w:rsidRPr="00F90EAE">
        <w:rPr>
          <w:rFonts w:ascii="Times New Roman" w:hAnsi="Times New Roman" w:cs="Times New Roman"/>
          <w:color w:val="000000" w:themeColor="text1"/>
          <w:sz w:val="16"/>
          <w:szCs w:val="16"/>
        </w:rPr>
        <w:softHyphen/>
        <w:t>рых удалось избавиться от сваливания на крыло увеличением длины хвостовой части фюзеляжа и площади вертикального опере</w:t>
      </w:r>
      <w:r w:rsidRPr="00F90EAE">
        <w:rPr>
          <w:rFonts w:ascii="Times New Roman" w:hAnsi="Times New Roman" w:cs="Times New Roman"/>
          <w:color w:val="000000" w:themeColor="text1"/>
          <w:sz w:val="16"/>
          <w:szCs w:val="16"/>
        </w:rPr>
        <w:softHyphen/>
        <w:t>ния. Более трудоемкой оказалась доводка двигателя АМ-43НВ, в конечном итоге и ре</w:t>
      </w:r>
      <w:r w:rsidRPr="00F90EAE">
        <w:rPr>
          <w:rFonts w:ascii="Times New Roman" w:hAnsi="Times New Roman" w:cs="Times New Roman"/>
          <w:color w:val="000000" w:themeColor="text1"/>
          <w:sz w:val="16"/>
          <w:szCs w:val="16"/>
        </w:rPr>
        <w:softHyphen/>
        <w:t>шившая дальнейшую судьбу самолета.</w:t>
      </w:r>
    </w:p>
    <w:p w14:paraId="4D35D2B6"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Установленное на этом штурмовике во</w:t>
      </w:r>
      <w:r w:rsidRPr="00F90EAE">
        <w:rPr>
          <w:rFonts w:ascii="Times New Roman" w:hAnsi="Times New Roman" w:cs="Times New Roman"/>
          <w:color w:val="000000" w:themeColor="text1"/>
          <w:sz w:val="16"/>
          <w:szCs w:val="16"/>
        </w:rPr>
        <w:softHyphen/>
        <w:t>оружение было представлено двумя пуш</w:t>
      </w:r>
      <w:r w:rsidRPr="00F90EAE">
        <w:rPr>
          <w:rFonts w:ascii="Times New Roman" w:hAnsi="Times New Roman" w:cs="Times New Roman"/>
          <w:color w:val="000000" w:themeColor="text1"/>
          <w:sz w:val="16"/>
          <w:szCs w:val="16"/>
        </w:rPr>
        <w:softHyphen/>
        <w:t>ками НС-23 и двумя пулеметами ШКАС, установленными в консолях крыла. Для обороны предназначались пушка УБ-20 в кабине стрелка, и гранаты АГ-2 в хвосте фюзеляжа. Нормальная бомбовая нагруз</w:t>
      </w:r>
      <w:r w:rsidRPr="00F90EAE">
        <w:rPr>
          <w:rFonts w:ascii="Times New Roman" w:hAnsi="Times New Roman" w:cs="Times New Roman"/>
          <w:color w:val="000000" w:themeColor="text1"/>
          <w:sz w:val="16"/>
          <w:szCs w:val="16"/>
        </w:rPr>
        <w:softHyphen/>
        <w:t>ка массой 200 кг размещалась в отсеках крыла, а при перегрузке массой 400 кг и на наружных подвесках. Проводившиеся во время испытаний доработки позволили в дальнейшем увеличить эти значения до 400 и 500 кг соответственно. На летных ис</w:t>
      </w:r>
      <w:r w:rsidRPr="00F90EAE">
        <w:rPr>
          <w:rFonts w:ascii="Times New Roman" w:hAnsi="Times New Roman" w:cs="Times New Roman"/>
          <w:color w:val="000000" w:themeColor="text1"/>
          <w:sz w:val="16"/>
          <w:szCs w:val="16"/>
        </w:rPr>
        <w:softHyphen/>
        <w:t>пытаниях, из-за плохой работы двигателей закончившихся с большими сложностями, самолет в полете у земли достиг скорости 525 км/ч, а на высоте 3000м - 575 км/ч. Дальность полета составила 700 км. Все дальнейшие работы по этому штурмовику были прекращены в 1946 г. (12734)</w:t>
      </w:r>
    </w:p>
    <w:p w14:paraId="24E1780B"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8C7155C" w14:textId="77777777" w:rsidR="0032140A" w:rsidRPr="00F90EAE" w:rsidRDefault="0032140A" w:rsidP="00F90EAE">
      <w:pPr>
        <w:jc w:val="both"/>
        <w:rPr>
          <w:color w:val="000000" w:themeColor="text1"/>
          <w:sz w:val="16"/>
          <w:szCs w:val="16"/>
        </w:rPr>
      </w:pPr>
      <w:r w:rsidRPr="00F90EAE">
        <w:rPr>
          <w:color w:val="000000" w:themeColor="text1"/>
          <w:sz w:val="16"/>
          <w:szCs w:val="16"/>
        </w:rPr>
        <w:t>К началу 1945 г. ВВС КА пересмотрели требования к авиационной броне с учетом опыта боевых действий и эксплуатации само</w:t>
      </w:r>
      <w:r w:rsidRPr="00F90EAE">
        <w:rPr>
          <w:color w:val="000000" w:themeColor="text1"/>
          <w:sz w:val="16"/>
          <w:szCs w:val="16"/>
        </w:rPr>
        <w:softHyphen/>
        <w:t>летов на фронте, а также ужесточили приемку бронедеталей и конструкций из них. По мне</w:t>
      </w:r>
      <w:r w:rsidRPr="00F90EAE">
        <w:rPr>
          <w:color w:val="000000" w:themeColor="text1"/>
          <w:sz w:val="16"/>
          <w:szCs w:val="16"/>
        </w:rPr>
        <w:softHyphen/>
        <w:t>нию специалистов ГК НИИ ВВС, необходимо было</w:t>
      </w:r>
      <w:r w:rsidRPr="00F90EAE">
        <w:rPr>
          <w:iCs/>
          <w:color w:val="000000" w:themeColor="text1"/>
          <w:sz w:val="16"/>
          <w:szCs w:val="16"/>
          <w:shd w:val="clear" w:color="auto" w:fill="FFFFFF"/>
        </w:rPr>
        <w:t xml:space="preserve"> «дополнить существующие технические условия испытаниями на живучесть обстре</w:t>
      </w:r>
      <w:r w:rsidRPr="00F90EAE">
        <w:rPr>
          <w:iCs/>
          <w:color w:val="000000" w:themeColor="text1"/>
          <w:sz w:val="16"/>
          <w:szCs w:val="16"/>
          <w:shd w:val="clear" w:color="auto" w:fill="FFFFFF"/>
        </w:rPr>
        <w:softHyphen/>
        <w:t>лом снарядами крупного калибра (на бли</w:t>
      </w:r>
      <w:r w:rsidRPr="00F90EAE">
        <w:rPr>
          <w:iCs/>
          <w:color w:val="000000" w:themeColor="text1"/>
          <w:sz w:val="16"/>
          <w:szCs w:val="16"/>
          <w:shd w:val="clear" w:color="auto" w:fill="FFFFFF"/>
        </w:rPr>
        <w:softHyphen/>
        <w:t>жайшее время калибра 20 мм)».</w:t>
      </w:r>
      <w:r w:rsidRPr="00F90EAE">
        <w:rPr>
          <w:color w:val="000000" w:themeColor="text1"/>
          <w:sz w:val="16"/>
          <w:szCs w:val="16"/>
        </w:rPr>
        <w:t xml:space="preserve"> При этом не следовало снижать требования к бронестой- кости.</w:t>
      </w:r>
    </w:p>
    <w:p w14:paraId="088B62AF" w14:textId="77777777" w:rsidR="0032140A" w:rsidRPr="00F90EAE" w:rsidRDefault="0032140A" w:rsidP="00F90EAE">
      <w:pPr>
        <w:jc w:val="both"/>
        <w:rPr>
          <w:color w:val="000000" w:themeColor="text1"/>
          <w:sz w:val="16"/>
          <w:szCs w:val="16"/>
        </w:rPr>
      </w:pPr>
      <w:r w:rsidRPr="00F90EAE">
        <w:rPr>
          <w:color w:val="000000" w:themeColor="text1"/>
          <w:sz w:val="16"/>
          <w:szCs w:val="16"/>
        </w:rPr>
        <w:t>Дело в том, что существующие в серий</w:t>
      </w:r>
      <w:r w:rsidRPr="00F90EAE">
        <w:rPr>
          <w:color w:val="000000" w:themeColor="text1"/>
          <w:sz w:val="16"/>
          <w:szCs w:val="16"/>
        </w:rPr>
        <w:softHyphen/>
        <w:t>ном производстве стали АБ-2 (КП-2) и ХД не удовлетворяли в полной мере этим обоим требованиям. Сталь АБ-2 превосходила ХД по бронестойкости (в основном за счет более высокого содержания углерода и, соответст</w:t>
      </w:r>
      <w:r w:rsidRPr="00F90EAE">
        <w:rPr>
          <w:color w:val="000000" w:themeColor="text1"/>
          <w:sz w:val="16"/>
          <w:szCs w:val="16"/>
        </w:rPr>
        <w:softHyphen/>
        <w:t xml:space="preserve">венно, более высокого предела прочности), но несколько уступала ей по живучести; сталь ХД, </w:t>
      </w:r>
      <w:r w:rsidRPr="00F90EAE">
        <w:rPr>
          <w:iCs/>
          <w:color w:val="000000" w:themeColor="text1"/>
          <w:sz w:val="16"/>
          <w:szCs w:val="16"/>
          <w:shd w:val="clear" w:color="auto" w:fill="FFFFFF"/>
        </w:rPr>
        <w:t>«будучи мягче брони АБ-2»,</w:t>
      </w:r>
      <w:r w:rsidRPr="00F90EAE">
        <w:rPr>
          <w:color w:val="000000" w:themeColor="text1"/>
          <w:sz w:val="16"/>
          <w:szCs w:val="16"/>
        </w:rPr>
        <w:t xml:space="preserve"> разрушалась при прохождении через нее снаряда крупного ка</w:t>
      </w:r>
      <w:r w:rsidRPr="00F90EAE">
        <w:rPr>
          <w:color w:val="000000" w:themeColor="text1"/>
          <w:sz w:val="16"/>
          <w:szCs w:val="16"/>
        </w:rPr>
        <w:softHyphen/>
        <w:t>либра более пластично, чем АБ-2.</w:t>
      </w:r>
    </w:p>
    <w:p w14:paraId="66559B94" w14:textId="77777777" w:rsidR="0032140A" w:rsidRPr="00F90EAE" w:rsidRDefault="0032140A" w:rsidP="00F90EAE">
      <w:pPr>
        <w:jc w:val="both"/>
        <w:rPr>
          <w:color w:val="000000" w:themeColor="text1"/>
          <w:sz w:val="16"/>
          <w:szCs w:val="16"/>
        </w:rPr>
      </w:pPr>
      <w:r w:rsidRPr="00F90EAE">
        <w:rPr>
          <w:color w:val="000000" w:themeColor="text1"/>
          <w:sz w:val="16"/>
          <w:szCs w:val="16"/>
        </w:rPr>
        <w:t>В первую очередь, требовалось исключить возможность разрушения брони при попа</w:t>
      </w:r>
      <w:r w:rsidRPr="00F90EAE">
        <w:rPr>
          <w:color w:val="000000" w:themeColor="text1"/>
          <w:sz w:val="16"/>
          <w:szCs w:val="16"/>
        </w:rPr>
        <w:softHyphen/>
        <w:t>дании в нее крупнокалиберных пуль и снаря</w:t>
      </w:r>
      <w:r w:rsidRPr="00F90EAE">
        <w:rPr>
          <w:color w:val="000000" w:themeColor="text1"/>
          <w:sz w:val="16"/>
          <w:szCs w:val="16"/>
        </w:rPr>
        <w:softHyphen/>
        <w:t>дов калибра 20-23 мм. На языке прочности и пластичности это означает, что более высокая пластичность броневой стали не должна дос</w:t>
      </w:r>
      <w:r w:rsidRPr="00F90EAE">
        <w:rPr>
          <w:color w:val="000000" w:themeColor="text1"/>
          <w:sz w:val="16"/>
          <w:szCs w:val="16"/>
        </w:rPr>
        <w:softHyphen/>
        <w:t>тигаться ценой снижения ее прочности.</w:t>
      </w:r>
    </w:p>
    <w:p w14:paraId="7D3E6BF5" w14:textId="77777777" w:rsidR="0032140A" w:rsidRPr="00F90EAE" w:rsidRDefault="0032140A" w:rsidP="00F90EAE">
      <w:pPr>
        <w:jc w:val="both"/>
        <w:rPr>
          <w:color w:val="000000" w:themeColor="text1"/>
          <w:sz w:val="16"/>
          <w:szCs w:val="16"/>
        </w:rPr>
      </w:pPr>
      <w:r w:rsidRPr="00F90EAE">
        <w:rPr>
          <w:color w:val="000000" w:themeColor="text1"/>
          <w:sz w:val="16"/>
          <w:szCs w:val="16"/>
        </w:rPr>
        <w:t>Исследования ВИАМ убедительно показы</w:t>
      </w:r>
      <w:r w:rsidRPr="00F90EAE">
        <w:rPr>
          <w:color w:val="000000" w:themeColor="text1"/>
          <w:sz w:val="16"/>
          <w:szCs w:val="16"/>
        </w:rPr>
        <w:softHyphen/>
        <w:t>вали, что увеличение содержания никеля в ста</w:t>
      </w:r>
      <w:r w:rsidRPr="00F90EAE">
        <w:rPr>
          <w:color w:val="000000" w:themeColor="text1"/>
          <w:sz w:val="16"/>
          <w:szCs w:val="16"/>
        </w:rPr>
        <w:softHyphen/>
        <w:t>ли (было изучено содержание никеля до 5%) повышало ее прочность и пластичность однов</w:t>
      </w:r>
      <w:r w:rsidRPr="00F90EAE">
        <w:rPr>
          <w:color w:val="000000" w:themeColor="text1"/>
          <w:sz w:val="16"/>
          <w:szCs w:val="16"/>
        </w:rPr>
        <w:softHyphen/>
        <w:t>ременно. Все остальные элементы повышали пластичность только до определенного пре</w:t>
      </w:r>
      <w:r w:rsidRPr="00F90EAE">
        <w:rPr>
          <w:color w:val="000000" w:themeColor="text1"/>
          <w:sz w:val="16"/>
          <w:szCs w:val="16"/>
        </w:rPr>
        <w:softHyphen/>
        <w:t>дела своего содержания. Так, например, сталь с содержанием хрома, равным 3%, оказалась и по прочности, и по пластичности хуже, чем сталь, имеющая 1,5% хрома.</w:t>
      </w:r>
    </w:p>
    <w:p w14:paraId="5EC0851F" w14:textId="77777777" w:rsidR="0032140A" w:rsidRPr="00F90EAE" w:rsidRDefault="0032140A" w:rsidP="00F90EAE">
      <w:pPr>
        <w:jc w:val="both"/>
        <w:rPr>
          <w:color w:val="000000" w:themeColor="text1"/>
          <w:sz w:val="16"/>
          <w:szCs w:val="16"/>
        </w:rPr>
      </w:pPr>
      <w:r w:rsidRPr="00F90EAE">
        <w:rPr>
          <w:color w:val="000000" w:themeColor="text1"/>
          <w:sz w:val="16"/>
          <w:szCs w:val="16"/>
        </w:rPr>
        <w:t>Кроме того, повышенное содержание хро</w:t>
      </w:r>
      <w:r w:rsidRPr="00F90EAE">
        <w:rPr>
          <w:color w:val="000000" w:themeColor="text1"/>
          <w:sz w:val="16"/>
          <w:szCs w:val="16"/>
        </w:rPr>
        <w:softHyphen/>
        <w:t>ма крайне затрудняло изготовление брони ХД на металлургических заводах и ее переработку из возврата. По заключению Наркомата черной металлургии,</w:t>
      </w:r>
      <w:r w:rsidRPr="00F90EAE">
        <w:rPr>
          <w:iCs/>
          <w:color w:val="000000" w:themeColor="text1"/>
          <w:sz w:val="16"/>
          <w:szCs w:val="16"/>
          <w:shd w:val="clear" w:color="auto" w:fill="FFFFFF"/>
        </w:rPr>
        <w:t xml:space="preserve"> «изготовление стали марки ХД, в связи с высоким содержанием хрома, связано с большими трудностями. По этой же причине ограничивается возможность использования отходов».</w:t>
      </w:r>
    </w:p>
    <w:p w14:paraId="1ABFDE7D" w14:textId="77777777" w:rsidR="0032140A" w:rsidRPr="00F90EAE" w:rsidRDefault="0032140A" w:rsidP="00F90EAE">
      <w:pPr>
        <w:jc w:val="both"/>
        <w:rPr>
          <w:color w:val="000000" w:themeColor="text1"/>
          <w:sz w:val="16"/>
          <w:szCs w:val="16"/>
        </w:rPr>
      </w:pPr>
      <w:r w:rsidRPr="00F90EAE">
        <w:rPr>
          <w:iCs/>
          <w:color w:val="000000" w:themeColor="text1"/>
          <w:sz w:val="16"/>
          <w:szCs w:val="16"/>
          <w:shd w:val="clear" w:color="auto" w:fill="FFFFFF"/>
        </w:rPr>
        <w:t>Госплан СССР по поводу стали ХД в де</w:t>
      </w:r>
      <w:r w:rsidRPr="00F90EAE">
        <w:rPr>
          <w:iCs/>
          <w:color w:val="000000" w:themeColor="text1"/>
          <w:sz w:val="16"/>
          <w:szCs w:val="16"/>
          <w:shd w:val="clear" w:color="auto" w:fill="FFFFFF"/>
        </w:rPr>
        <w:softHyphen/>
        <w:t>кабре 1944 г. указывал:</w:t>
      </w:r>
      <w:r w:rsidRPr="00F90EAE">
        <w:rPr>
          <w:color w:val="000000" w:themeColor="text1"/>
          <w:sz w:val="16"/>
          <w:szCs w:val="16"/>
        </w:rPr>
        <w:t xml:space="preserve"> «В связи с внедрени</w:t>
      </w:r>
      <w:r w:rsidRPr="00F90EAE">
        <w:rPr>
          <w:color w:val="000000" w:themeColor="text1"/>
          <w:sz w:val="16"/>
          <w:szCs w:val="16"/>
        </w:rPr>
        <w:softHyphen/>
        <w:t>ем в производство авиационной броневой стали марки АБ-3 взамен стали марки АБ-2, отдел экономии и заменителей Госплана СССР считает нецелесообразным проводить работы по дальнейшей замене стали марки АБ-3 сталью марки ХД, так как эта сталь леги</w:t>
      </w:r>
      <w:r w:rsidRPr="00F90EAE">
        <w:rPr>
          <w:color w:val="000000" w:themeColor="text1"/>
          <w:sz w:val="16"/>
          <w:szCs w:val="16"/>
        </w:rPr>
        <w:softHyphen/>
        <w:t>рована дефицитным молибденом и ввиду вы</w:t>
      </w:r>
      <w:r w:rsidRPr="00F90EAE">
        <w:rPr>
          <w:color w:val="000000" w:themeColor="text1"/>
          <w:sz w:val="16"/>
          <w:szCs w:val="16"/>
        </w:rPr>
        <w:softHyphen/>
        <w:t>сокого содержания хрома (2,4-2,8%) трудна в производстве».</w:t>
      </w:r>
    </w:p>
    <w:p w14:paraId="4DC72E49" w14:textId="77777777" w:rsidR="0032140A" w:rsidRPr="00F90EAE" w:rsidRDefault="0032140A" w:rsidP="00F90EAE">
      <w:pPr>
        <w:jc w:val="both"/>
        <w:rPr>
          <w:color w:val="000000" w:themeColor="text1"/>
          <w:sz w:val="16"/>
          <w:szCs w:val="16"/>
        </w:rPr>
      </w:pPr>
      <w:r w:rsidRPr="00F90EAE">
        <w:rPr>
          <w:iCs/>
          <w:color w:val="000000" w:themeColor="text1"/>
          <w:sz w:val="16"/>
          <w:szCs w:val="16"/>
          <w:shd w:val="clear" w:color="auto" w:fill="FFFFFF"/>
        </w:rPr>
        <w:t>Именно по этим причинам НКАП и ВИАМ относились крайне сдержанно к стали ХД в гомогенном варианте. По мнению броневого отдела ВИАМ,</w:t>
      </w:r>
      <w:r w:rsidRPr="00F90EAE">
        <w:rPr>
          <w:color w:val="000000" w:themeColor="text1"/>
          <w:sz w:val="16"/>
          <w:szCs w:val="16"/>
        </w:rPr>
        <w:t xml:space="preserve"> «новые возросшие требования к авиационной броне необходимо</w:t>
      </w:r>
      <w:r w:rsidRPr="00F90EAE">
        <w:rPr>
          <w:color w:val="000000" w:themeColor="text1"/>
          <w:sz w:val="16"/>
          <w:szCs w:val="16"/>
          <w:shd w:val="clear" w:color="auto" w:fill="FFFFFF"/>
        </w:rPr>
        <w:t xml:space="preserve"> удовлетво</w:t>
      </w:r>
      <w:r w:rsidRPr="00F90EAE">
        <w:rPr>
          <w:color w:val="000000" w:themeColor="text1"/>
          <w:sz w:val="16"/>
          <w:szCs w:val="16"/>
          <w:shd w:val="clear" w:color="auto" w:fill="FFFFFF"/>
        </w:rPr>
        <w:softHyphen/>
      </w:r>
      <w:r w:rsidRPr="00F90EAE">
        <w:rPr>
          <w:color w:val="000000" w:themeColor="text1"/>
          <w:sz w:val="16"/>
          <w:szCs w:val="16"/>
        </w:rPr>
        <w:t>рять, не чураясь никеля, идя по пути</w:t>
      </w:r>
      <w:r w:rsidRPr="00F90EAE">
        <w:rPr>
          <w:color w:val="000000" w:themeColor="text1"/>
          <w:sz w:val="16"/>
          <w:szCs w:val="16"/>
          <w:shd w:val="clear" w:color="auto" w:fill="FFFFFF"/>
        </w:rPr>
        <w:t xml:space="preserve"> комплекс</w:t>
      </w:r>
      <w:r w:rsidRPr="00F90EAE">
        <w:rPr>
          <w:color w:val="000000" w:themeColor="text1"/>
          <w:sz w:val="16"/>
          <w:szCs w:val="16"/>
          <w:shd w:val="clear" w:color="auto" w:fill="FFFFFF"/>
        </w:rPr>
        <w:softHyphen/>
      </w:r>
      <w:r w:rsidRPr="00F90EAE">
        <w:rPr>
          <w:color w:val="000000" w:themeColor="text1"/>
          <w:sz w:val="16"/>
          <w:szCs w:val="16"/>
        </w:rPr>
        <w:t>ного легирования хромом,</w:t>
      </w:r>
      <w:r w:rsidRPr="00F90EAE">
        <w:rPr>
          <w:color w:val="000000" w:themeColor="text1"/>
          <w:sz w:val="16"/>
          <w:szCs w:val="16"/>
          <w:shd w:val="clear" w:color="auto" w:fill="FFFFFF"/>
        </w:rPr>
        <w:t xml:space="preserve"> марганцем и крем</w:t>
      </w:r>
      <w:r w:rsidRPr="00F90EAE">
        <w:rPr>
          <w:color w:val="000000" w:themeColor="text1"/>
          <w:sz w:val="16"/>
          <w:szCs w:val="16"/>
          <w:shd w:val="clear" w:color="auto" w:fill="FFFFFF"/>
        </w:rPr>
        <w:softHyphen/>
      </w:r>
      <w:r w:rsidRPr="00F90EAE">
        <w:rPr>
          <w:color w:val="000000" w:themeColor="text1"/>
          <w:sz w:val="16"/>
          <w:szCs w:val="16"/>
        </w:rPr>
        <w:t>нием, допуская при этом</w:t>
      </w:r>
      <w:r w:rsidRPr="00F90EAE">
        <w:rPr>
          <w:color w:val="000000" w:themeColor="text1"/>
          <w:sz w:val="16"/>
          <w:szCs w:val="16"/>
          <w:shd w:val="clear" w:color="auto" w:fill="FFFFFF"/>
        </w:rPr>
        <w:t xml:space="preserve"> и никель, несмотря </w:t>
      </w:r>
      <w:r w:rsidRPr="00F90EAE">
        <w:rPr>
          <w:color w:val="000000" w:themeColor="text1"/>
          <w:sz w:val="16"/>
          <w:szCs w:val="16"/>
        </w:rPr>
        <w:t>на его дефицитность».</w:t>
      </w:r>
      <w:r w:rsidRPr="00F90EAE">
        <w:rPr>
          <w:iCs/>
          <w:color w:val="000000" w:themeColor="text1"/>
          <w:sz w:val="16"/>
          <w:szCs w:val="16"/>
          <w:shd w:val="clear" w:color="auto" w:fill="FFFFFF"/>
        </w:rPr>
        <w:t xml:space="preserve"> Указывалось, что «опыт </w:t>
      </w:r>
      <w:r w:rsidRPr="00F90EAE">
        <w:rPr>
          <w:color w:val="000000" w:themeColor="text1"/>
          <w:sz w:val="16"/>
          <w:szCs w:val="16"/>
        </w:rPr>
        <w:t>США говорит</w:t>
      </w:r>
      <w:r w:rsidRPr="00F90EAE">
        <w:rPr>
          <w:color w:val="000000" w:themeColor="text1"/>
          <w:sz w:val="16"/>
          <w:szCs w:val="16"/>
          <w:shd w:val="clear" w:color="auto" w:fill="FFFFFF"/>
        </w:rPr>
        <w:t xml:space="preserve"> в</w:t>
      </w:r>
      <w:r w:rsidRPr="00F90EAE">
        <w:rPr>
          <w:color w:val="000000" w:themeColor="text1"/>
          <w:sz w:val="16"/>
          <w:szCs w:val="16"/>
        </w:rPr>
        <w:t xml:space="preserve"> пользу сложного</w:t>
      </w:r>
      <w:r w:rsidRPr="00F90EAE">
        <w:rPr>
          <w:color w:val="000000" w:themeColor="text1"/>
          <w:sz w:val="16"/>
          <w:szCs w:val="16"/>
          <w:shd w:val="clear" w:color="auto" w:fill="FFFFFF"/>
        </w:rPr>
        <w:t xml:space="preserve"> комплексного </w:t>
      </w:r>
      <w:r w:rsidRPr="00F90EAE">
        <w:rPr>
          <w:color w:val="000000" w:themeColor="text1"/>
          <w:sz w:val="16"/>
          <w:szCs w:val="16"/>
        </w:rPr>
        <w:t>легирования и в этом случае</w:t>
      </w:r>
      <w:r w:rsidRPr="00F90EAE">
        <w:rPr>
          <w:color w:val="000000" w:themeColor="text1"/>
          <w:sz w:val="16"/>
          <w:szCs w:val="16"/>
          <w:shd w:val="clear" w:color="auto" w:fill="FFFFFF"/>
        </w:rPr>
        <w:t xml:space="preserve"> расход</w:t>
      </w:r>
      <w:r w:rsidRPr="00F90EAE">
        <w:rPr>
          <w:iCs/>
          <w:color w:val="000000" w:themeColor="text1"/>
          <w:sz w:val="16"/>
          <w:szCs w:val="16"/>
          <w:shd w:val="clear" w:color="auto" w:fill="FFFFFF"/>
        </w:rPr>
        <w:t xml:space="preserve"> никеля </w:t>
      </w:r>
      <w:r w:rsidRPr="00F90EAE">
        <w:rPr>
          <w:color w:val="000000" w:themeColor="text1"/>
          <w:sz w:val="16"/>
          <w:szCs w:val="16"/>
        </w:rPr>
        <w:t>может быть минимальным».</w:t>
      </w:r>
    </w:p>
    <w:p w14:paraId="6D478E4B" w14:textId="77777777" w:rsidR="0032140A" w:rsidRPr="00F90EAE" w:rsidRDefault="0032140A" w:rsidP="00F90EAE">
      <w:pPr>
        <w:jc w:val="both"/>
        <w:rPr>
          <w:color w:val="000000" w:themeColor="text1"/>
          <w:sz w:val="16"/>
          <w:szCs w:val="16"/>
        </w:rPr>
      </w:pPr>
      <w:r w:rsidRPr="00F90EAE">
        <w:rPr>
          <w:iCs/>
          <w:color w:val="000000" w:themeColor="text1"/>
          <w:sz w:val="16"/>
          <w:szCs w:val="16"/>
          <w:shd w:val="clear" w:color="auto" w:fill="FFFFFF"/>
        </w:rPr>
        <w:t>При этом отмечалось, что «</w:t>
      </w:r>
      <w:r w:rsidRPr="00F90EAE">
        <w:rPr>
          <w:color w:val="000000" w:themeColor="text1"/>
          <w:sz w:val="16"/>
          <w:szCs w:val="16"/>
          <w:shd w:val="clear" w:color="auto" w:fill="FFFFFF"/>
        </w:rPr>
        <w:t xml:space="preserve">было бы в </w:t>
      </w:r>
      <w:r w:rsidRPr="00F90EAE">
        <w:rPr>
          <w:color w:val="000000" w:themeColor="text1"/>
          <w:sz w:val="16"/>
          <w:szCs w:val="16"/>
        </w:rPr>
        <w:t>высшей мере опрометчиво поиски</w:t>
      </w:r>
      <w:r w:rsidRPr="00F90EAE">
        <w:rPr>
          <w:color w:val="000000" w:themeColor="text1"/>
          <w:sz w:val="16"/>
          <w:szCs w:val="16"/>
          <w:shd w:val="clear" w:color="auto" w:fill="FFFFFF"/>
        </w:rPr>
        <w:t xml:space="preserve"> броневой </w:t>
      </w:r>
      <w:r w:rsidRPr="00F90EAE">
        <w:rPr>
          <w:color w:val="000000" w:themeColor="text1"/>
          <w:sz w:val="16"/>
          <w:szCs w:val="16"/>
        </w:rPr>
        <w:t>стали, отвечающей новым возросшим</w:t>
      </w:r>
      <w:r w:rsidRPr="00F90EAE">
        <w:rPr>
          <w:color w:val="000000" w:themeColor="text1"/>
          <w:sz w:val="16"/>
          <w:szCs w:val="16"/>
          <w:shd w:val="clear" w:color="auto" w:fill="FFFFFF"/>
        </w:rPr>
        <w:t xml:space="preserve"> требо</w:t>
      </w:r>
      <w:r w:rsidRPr="00F90EAE">
        <w:rPr>
          <w:color w:val="000000" w:themeColor="text1"/>
          <w:sz w:val="16"/>
          <w:szCs w:val="16"/>
          <w:shd w:val="clear" w:color="auto" w:fill="FFFFFF"/>
        </w:rPr>
        <w:softHyphen/>
      </w:r>
      <w:r w:rsidRPr="00F90EAE">
        <w:rPr>
          <w:color w:val="000000" w:themeColor="text1"/>
          <w:sz w:val="16"/>
          <w:szCs w:val="16"/>
        </w:rPr>
        <w:t>ваниям, ограничить сравнительным испытани</w:t>
      </w:r>
      <w:r w:rsidRPr="00F90EAE">
        <w:rPr>
          <w:color w:val="000000" w:themeColor="text1"/>
          <w:sz w:val="16"/>
          <w:szCs w:val="16"/>
        </w:rPr>
        <w:softHyphen/>
        <w:t>ям существующих марок броневой стали (ХД, АБ-2 и АБ-3, являющейся заменителем стали АБ-2)».</w:t>
      </w:r>
      <w:r w:rsidRPr="00F90EAE">
        <w:rPr>
          <w:iCs/>
          <w:color w:val="000000" w:themeColor="text1"/>
          <w:sz w:val="16"/>
          <w:szCs w:val="16"/>
          <w:shd w:val="clear" w:color="auto" w:fill="FFFFFF"/>
        </w:rPr>
        <w:t xml:space="preserve"> Считалось целесообразным</w:t>
      </w:r>
      <w:r w:rsidRPr="00F90EAE">
        <w:rPr>
          <w:color w:val="000000" w:themeColor="text1"/>
          <w:sz w:val="16"/>
          <w:szCs w:val="16"/>
        </w:rPr>
        <w:t xml:space="preserve"> «испытать и сталь АБ-1, содержащую 4% никеля, из ко</w:t>
      </w:r>
      <w:r w:rsidRPr="00F90EAE">
        <w:rPr>
          <w:color w:val="000000" w:themeColor="text1"/>
          <w:sz w:val="16"/>
          <w:szCs w:val="16"/>
        </w:rPr>
        <w:softHyphen/>
        <w:t>торой делались первые серии Ил-2, и другие детали».</w:t>
      </w:r>
      <w:r w:rsidRPr="00F90EAE">
        <w:rPr>
          <w:iCs/>
          <w:color w:val="000000" w:themeColor="text1"/>
          <w:sz w:val="16"/>
          <w:szCs w:val="16"/>
          <w:shd w:val="clear" w:color="auto" w:fill="FFFFFF"/>
        </w:rPr>
        <w:t xml:space="preserve"> Делалось предположение,</w:t>
      </w:r>
      <w:r w:rsidRPr="00F90EAE">
        <w:rPr>
          <w:color w:val="000000" w:themeColor="text1"/>
          <w:sz w:val="16"/>
          <w:szCs w:val="16"/>
        </w:rPr>
        <w:t xml:space="preserve"> «что на пути комплексного легирования удастся найти более дешевую сталь, чем АБ-1, и найти очень быстро».</w:t>
      </w:r>
    </w:p>
    <w:p w14:paraId="6D2AC309" w14:textId="77777777" w:rsidR="0032140A" w:rsidRPr="00F90EAE" w:rsidRDefault="0032140A" w:rsidP="00F90EAE">
      <w:pPr>
        <w:jc w:val="both"/>
        <w:rPr>
          <w:color w:val="000000" w:themeColor="text1"/>
          <w:sz w:val="16"/>
          <w:szCs w:val="16"/>
        </w:rPr>
      </w:pPr>
      <w:r w:rsidRPr="00F90EAE">
        <w:rPr>
          <w:rFonts w:eastAsia="Arial Unicode MS"/>
          <w:color w:val="000000" w:themeColor="text1"/>
          <w:sz w:val="16"/>
          <w:szCs w:val="16"/>
        </w:rPr>
        <w:t>Обращалось внимание еще на одно об</w:t>
      </w:r>
      <w:r w:rsidRPr="00F90EAE">
        <w:rPr>
          <w:rFonts w:eastAsia="Arial Unicode MS"/>
          <w:color w:val="000000" w:themeColor="text1"/>
          <w:sz w:val="16"/>
          <w:szCs w:val="16"/>
        </w:rPr>
        <w:softHyphen/>
        <w:t>стоятельство. За годы войны единственным поставщиком тонкой авиационной брони ока</w:t>
      </w:r>
      <w:r w:rsidRPr="00F90EAE">
        <w:rPr>
          <w:rFonts w:eastAsia="Arial Unicode MS"/>
          <w:color w:val="000000" w:themeColor="text1"/>
          <w:sz w:val="16"/>
          <w:szCs w:val="16"/>
        </w:rPr>
        <w:softHyphen/>
        <w:t xml:space="preserve">зался Кузнецкий металлургический комбинат, </w:t>
      </w:r>
      <w:r w:rsidRPr="00F90EAE">
        <w:rPr>
          <w:rFonts w:eastAsia="Arial Unicode MS"/>
          <w:iCs/>
          <w:color w:val="000000" w:themeColor="text1"/>
          <w:sz w:val="16"/>
          <w:szCs w:val="16"/>
          <w:shd w:val="clear" w:color="auto" w:fill="FFFFFF"/>
        </w:rPr>
        <w:t>«катающий эту броню из 6-ти тонных слит</w:t>
      </w:r>
      <w:r w:rsidRPr="00F90EAE">
        <w:rPr>
          <w:rFonts w:eastAsia="Arial Unicode MS"/>
          <w:iCs/>
          <w:color w:val="000000" w:themeColor="text1"/>
          <w:sz w:val="16"/>
          <w:szCs w:val="16"/>
          <w:shd w:val="clear" w:color="auto" w:fill="FFFFFF"/>
        </w:rPr>
        <w:softHyphen/>
        <w:t>ков».</w:t>
      </w:r>
      <w:r w:rsidRPr="00F90EAE">
        <w:rPr>
          <w:rFonts w:eastAsia="Arial Unicode MS"/>
          <w:color w:val="000000" w:themeColor="text1"/>
          <w:sz w:val="16"/>
          <w:szCs w:val="16"/>
        </w:rPr>
        <w:t xml:space="preserve"> Между тем,</w:t>
      </w:r>
      <w:r w:rsidRPr="00F90EAE">
        <w:rPr>
          <w:rFonts w:eastAsia="Arial Unicode MS"/>
          <w:iCs/>
          <w:color w:val="000000" w:themeColor="text1"/>
          <w:sz w:val="16"/>
          <w:szCs w:val="16"/>
          <w:shd w:val="clear" w:color="auto" w:fill="FFFFFF"/>
        </w:rPr>
        <w:t xml:space="preserve"> «старые поставщики тонкой танковой брони Кулебакский и Выксукский заводы катают из 1,5-2 тонных слитков тан</w:t>
      </w:r>
      <w:r w:rsidRPr="00F90EAE">
        <w:rPr>
          <w:rFonts w:eastAsia="Arial Unicode MS"/>
          <w:iCs/>
          <w:color w:val="000000" w:themeColor="text1"/>
          <w:sz w:val="16"/>
          <w:szCs w:val="16"/>
          <w:shd w:val="clear" w:color="auto" w:fill="FFFFFF"/>
        </w:rPr>
        <w:softHyphen/>
        <w:t>ковую броню с большей толщиной, чем авиа</w:t>
      </w:r>
      <w:r w:rsidRPr="00F90EAE">
        <w:rPr>
          <w:rFonts w:eastAsia="Arial Unicode MS"/>
          <w:iCs/>
          <w:color w:val="000000" w:themeColor="text1"/>
          <w:sz w:val="16"/>
          <w:szCs w:val="16"/>
          <w:shd w:val="clear" w:color="auto" w:fill="FFFFFF"/>
        </w:rPr>
        <w:softHyphen/>
        <w:t>ционная броня».</w:t>
      </w:r>
      <w:r w:rsidRPr="00F90EAE">
        <w:rPr>
          <w:rFonts w:eastAsia="Arial Unicode MS"/>
          <w:color w:val="000000" w:themeColor="text1"/>
          <w:sz w:val="16"/>
          <w:szCs w:val="16"/>
        </w:rPr>
        <w:t xml:space="preserve"> Очевидно, чем больше сли</w:t>
      </w:r>
      <w:r w:rsidRPr="00F90EAE">
        <w:rPr>
          <w:rFonts w:eastAsia="Arial Unicode MS"/>
          <w:color w:val="000000" w:themeColor="text1"/>
          <w:sz w:val="16"/>
          <w:szCs w:val="16"/>
        </w:rPr>
        <w:softHyphen/>
        <w:t>ток, тем труднее получить из него листовую сталь высокого качества. Таким образом, для производства авиационной брони высокой стойкости перед руководством страны и ВВС ставился вопрос «о</w:t>
      </w:r>
      <w:r w:rsidRPr="00F90EAE">
        <w:rPr>
          <w:rFonts w:eastAsia="Arial Unicode MS"/>
          <w:iCs/>
          <w:color w:val="000000" w:themeColor="text1"/>
          <w:sz w:val="16"/>
          <w:szCs w:val="16"/>
          <w:shd w:val="clear" w:color="auto" w:fill="FFFFFF"/>
        </w:rPr>
        <w:t xml:space="preserve"> новых дополнительных по</w:t>
      </w:r>
      <w:r w:rsidRPr="00F90EAE">
        <w:rPr>
          <w:rFonts w:eastAsia="Arial Unicode MS"/>
          <w:iCs/>
          <w:color w:val="000000" w:themeColor="text1"/>
          <w:sz w:val="16"/>
          <w:szCs w:val="16"/>
          <w:shd w:val="clear" w:color="auto" w:fill="FFFFFF"/>
        </w:rPr>
        <w:softHyphen/>
        <w:t>ставщиках авиационной брони, могущих катать сталь из малых слитков» (17479).</w:t>
      </w:r>
    </w:p>
    <w:p w14:paraId="1C8930C6" w14:textId="77777777" w:rsidR="0032140A" w:rsidRPr="00F90EAE" w:rsidRDefault="0032140A" w:rsidP="00F90EAE">
      <w:pPr>
        <w:jc w:val="both"/>
        <w:rPr>
          <w:color w:val="000000" w:themeColor="text1"/>
          <w:sz w:val="16"/>
          <w:szCs w:val="16"/>
        </w:rPr>
      </w:pPr>
    </w:p>
    <w:p w14:paraId="5620E32F" w14:textId="77777777" w:rsidR="00C2313B" w:rsidRPr="00F90EAE" w:rsidRDefault="001561D1" w:rsidP="00F90EAE">
      <w:pPr>
        <w:widowControl w:val="0"/>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6B87850" w14:textId="77777777" w:rsidR="00C2313B" w:rsidRPr="00F90EAE" w:rsidRDefault="00C2313B" w:rsidP="00F90EAE">
      <w:pPr>
        <w:widowControl w:val="0"/>
        <w:autoSpaceDE w:val="0"/>
        <w:autoSpaceDN w:val="0"/>
        <w:adjustRightInd w:val="0"/>
        <w:jc w:val="both"/>
        <w:rPr>
          <w:iCs/>
          <w:color w:val="000000" w:themeColor="text1"/>
          <w:sz w:val="16"/>
          <w:szCs w:val="16"/>
        </w:rPr>
      </w:pPr>
    </w:p>
    <w:p w14:paraId="2DEC60AB"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 завод № 224 (ГС завод № 224 НКОП, НКАП, МАП, ГКАТ, Ленинградский государственный завод метеорологических приборов «Метприбор» ВСНХ, НКТП, НКОП, Опытный завод «Прибор» МАП, Ленинградский государственный завод «Прибор» МАП, АООТ «Опытный завод «Прибор», ОАО «НПО «Прибор» /г. Ленинград 18-я линия Васильевского о-ва (у Финляндского пер.) (1942 г.)/ /199034  г. Санкт-Петербург 17-я линия Васильевского о-ва, 2А; 17-я линия, 4-6 тел. 323-24-57/) базировался на четырех площадках: по Иностранному пер., по Финляндскому пер., по Наличному пер., 7Б и по 18/19 линии Васильевского острова, 10.</w:t>
      </w:r>
    </w:p>
    <w:p w14:paraId="60453E29"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ГКО № 4922 от 11.01.1944 г. и приказом № 139с от 25.02.1944 г. завод определен как завод контрольно-испытательной и штурманской аппаратуры.</w:t>
      </w:r>
    </w:p>
    <w:p w14:paraId="5B6E9404"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 приказу № 72с от 25.02.1946 г. завод с 1.02.1946 г. становится опытной базой гл. конструктора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Неусыпина, а по приказу № 430с от 4.07.1946 г. преобразуется в Опытный завод № 224 МАП. В 08.1957 г.- в ведении 4ГУ ГКАТ.</w:t>
      </w:r>
    </w:p>
    <w:p w14:paraId="3C315796"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В 1966 г. завод № 224 переименован в Опытный завод «Прибор». В 1975 г. Ленинградский государственный завод «Прибор» стал головным предприятием НПО «Сфера», в составе которого находился по 1992 г. В 1993 г. завод преобразован в АООТ «Опытный завод «Прибор», в 2000 г. - в ОАО «НПО «Прибор». В 1990-е-2002 г. являлся филиалом НПО «Сфера».</w:t>
      </w:r>
    </w:p>
    <w:p w14:paraId="4BF9F22E"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конструирование, проведение испытаний и организация серийного выпуска информационно-измерительных систем для исследований техники, летных испытаний ЛА; систем эксплуатационного контроля технических комплексов с сохранением информации в экстремальных условиях, систем контроля и диагностики двигателей, турбин, трансмиссий; (2005 г.): разработка и производство: аппаратуры радиационного, химического и биологического контроля для ВМФ; систем охранной и пожарной сигнализации; аппаратуры газового анализа, частотного регулирования электроприводов.</w:t>
      </w:r>
    </w:p>
    <w:p w14:paraId="4ECC9CA3"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(2002 г.)- 350 чел.</w:t>
      </w:r>
    </w:p>
    <w:p w14:paraId="1AA1EF76"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Директор (-4.07.1937 г.)- М.И. Савченко, (4.07-11.09.1937 г.)- А.И. Архаров, (11.09.1937-17.02.1938 г.)- Н.Я. Балакирев, (17.02.1938-41 г.-)- Е.Д. Васильев, (-09.1943-02.1945 Г.-)- А.А. Адеев. Гендиректор (-2002-05 г.-&gt; Б.А. Елизаров.</w:t>
      </w:r>
    </w:p>
    <w:p w14:paraId="516C37F7"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(2006 г.)- А. Иванов.</w:t>
      </w:r>
    </w:p>
    <w:p w14:paraId="3FABDE1D"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Зам. директора (02.1944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Неусыпин. Зам. гендиректора по экономике и финансам (2002 г.)- Д.А. Воробьев.</w:t>
      </w:r>
    </w:p>
    <w:p w14:paraId="3F74E124"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инженер (02.1944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Неусыпин, (2002 г.)- А.Е. Понкратов.</w:t>
      </w:r>
      <w:r w:rsidRPr="00F90EAE">
        <w:rPr>
          <w:color w:val="000000" w:themeColor="text1"/>
          <w:sz w:val="16"/>
          <w:szCs w:val="16"/>
          <w:vertAlign w:val="superscript"/>
        </w:rPr>
        <w:t>69</w:t>
      </w:r>
    </w:p>
    <w:p w14:paraId="01EDFD6B" w14:textId="77777777" w:rsidR="003E545E" w:rsidRPr="00F90EAE" w:rsidRDefault="003E545E"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сборочного (03.1937 г.-)-  Г.К. Петров.</w:t>
      </w:r>
    </w:p>
    <w:p w14:paraId="221FB575" w14:textId="77777777" w:rsidR="003E545E" w:rsidRPr="00F90EAE" w:rsidRDefault="003E545E"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визир НВ-56, барографы (1936);</w:t>
      </w:r>
      <w:r w:rsidRPr="00F90EAE">
        <w:rPr>
          <w:iCs/>
          <w:color w:val="000000" w:themeColor="text1"/>
          <w:sz w:val="16"/>
          <w:szCs w:val="16"/>
        </w:rPr>
        <w:t xml:space="preserve"> приборы:</w:t>
      </w:r>
      <w:r w:rsidRPr="00F90EAE">
        <w:rPr>
          <w:color w:val="000000" w:themeColor="text1"/>
          <w:sz w:val="16"/>
          <w:szCs w:val="16"/>
        </w:rPr>
        <w:t xml:space="preserve"> РР-1, -19, -32, -36, -37, -48, МВ-8, -11, -3, АД-2, МО- 5, МТ-25, МС-7, Н-723, МД-19, АС-12, -17 (1938); электроакустический детонометр ЭАД-3 (1945); светолучевые регистраторы К-4-21, К-12-21, К-20-21 (1950-е); информационно-измерительные системы К-60-41, «Гамма» (1960-е); системы аварийной регистрации параметров полета: МСРП-12-96 (1950-60-е), МСРП-64 (1970-80-е), МСРП-А-01 для Ту-160, Ту-154М (1970-80-е), МСРП-А-02 для Ту-204, Ил-96, Ил-114, РЗБН-1 для Ту-334 (11982).</w:t>
      </w:r>
    </w:p>
    <w:p w14:paraId="35811D34" w14:textId="77777777" w:rsidR="003E545E" w:rsidRPr="00F90EAE" w:rsidRDefault="003E545E" w:rsidP="00F90EAE">
      <w:pPr>
        <w:autoSpaceDE w:val="0"/>
        <w:autoSpaceDN w:val="0"/>
        <w:adjustRightInd w:val="0"/>
        <w:jc w:val="both"/>
        <w:rPr>
          <w:color w:val="000000" w:themeColor="text1"/>
          <w:sz w:val="16"/>
          <w:szCs w:val="16"/>
        </w:rPr>
      </w:pPr>
    </w:p>
    <w:p w14:paraId="354A1A40" w14:textId="77777777" w:rsidR="00573476" w:rsidRPr="00F90EAE" w:rsidRDefault="00573476" w:rsidP="00F90EAE">
      <w:pPr>
        <w:pStyle w:val="af2"/>
        <w:jc w:val="both"/>
        <w:rPr>
          <w:i w:val="0"/>
          <w:color w:val="000000" w:themeColor="text1"/>
          <w:spacing w:val="0"/>
          <w:kern w:val="0"/>
          <w:position w:val="0"/>
          <w:sz w:val="16"/>
          <w:szCs w:val="16"/>
          <w:lang w:val="ru-RU"/>
        </w:rPr>
      </w:pPr>
      <w:r w:rsidRPr="00F90EAE">
        <w:rPr>
          <w:i w:val="0"/>
          <w:color w:val="000000" w:themeColor="text1"/>
          <w:spacing w:val="0"/>
          <w:kern w:val="0"/>
          <w:position w:val="0"/>
          <w:sz w:val="16"/>
          <w:szCs w:val="16"/>
          <w:lang w:val="ru-RU"/>
        </w:rPr>
        <w:t xml:space="preserve">К началу 1945 года строительные организации НКВД сдали Наркомчермету предприятие годовой мощностью почти в 1 млн. тонн чугуна и около 450 тыс. тонн стали, обладавшее 2 коксовыми батареями и 2 электротурбинами (из них одна была поставлена из США) мощностью по 25 тыс. кВтч каждая. Всего в 1941-1945 годах НТМК произвел 4,3 млн. тонн чугуна, 0,925 млн. тонн стали и 530 тыс. тонн проката. В 1945 году, по официальной информации, комбинат произвел 965 тыс. тонн чугуна, 433 тыс. тонн стали и 170 тыс. тонн проката. Смены в мартеновском цехе НТМК длились во время войны по 12 часов, а сократить их благодаря автоматике не удалось, поскольку из-за сильной захламленности и загазованности помещения (не были продуманы системы принудительного отвода газов и уплотнение в печах) автоматику </w:t>
      </w:r>
      <w:r w:rsidRPr="00F90EAE">
        <w:rPr>
          <w:i w:val="0"/>
          <w:color w:val="000000" w:themeColor="text1"/>
          <w:spacing w:val="0"/>
          <w:kern w:val="0"/>
          <w:position w:val="0"/>
          <w:sz w:val="16"/>
          <w:szCs w:val="16"/>
          <w:lang w:val="ru-RU"/>
        </w:rPr>
        <w:lastRenderedPageBreak/>
        <w:t>поставили только на два мартена из шести. Из-за дефицита рабочей силы на НТМК стали допускать до работ в горячем цехе женщин (так, первой женщиной-горновой в СССР стала Фаина Шарунова) (11514).</w:t>
      </w:r>
    </w:p>
    <w:p w14:paraId="76DDD23A" w14:textId="77777777" w:rsidR="00573476" w:rsidRPr="00F90EAE" w:rsidRDefault="00573476" w:rsidP="00F90EAE">
      <w:pPr>
        <w:pStyle w:val="1b"/>
        <w:widowControl/>
        <w:jc w:val="both"/>
        <w:rPr>
          <w:rFonts w:ascii="Times New Roman" w:hAnsi="Times New Roman"/>
          <w:color w:val="000000" w:themeColor="text1"/>
          <w:sz w:val="16"/>
          <w:szCs w:val="16"/>
          <w:lang w:val="ru-RU"/>
        </w:rPr>
      </w:pPr>
    </w:p>
    <w:p w14:paraId="36D6F820" w14:textId="77777777" w:rsidR="003056AF" w:rsidRPr="00F90EAE" w:rsidRDefault="003056AF" w:rsidP="00F90EAE">
      <w:pPr>
        <w:widowControl w:val="0"/>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FF9C39B" w14:textId="77777777" w:rsidR="003056AF" w:rsidRPr="00F90EAE" w:rsidRDefault="003056AF" w:rsidP="00F90EAE">
      <w:pPr>
        <w:widowControl w:val="0"/>
        <w:autoSpaceDE w:val="0"/>
        <w:autoSpaceDN w:val="0"/>
        <w:adjustRightInd w:val="0"/>
        <w:jc w:val="both"/>
        <w:rPr>
          <w:iCs/>
          <w:color w:val="000000" w:themeColor="text1"/>
          <w:sz w:val="16"/>
          <w:szCs w:val="16"/>
        </w:rPr>
      </w:pPr>
    </w:p>
    <w:p w14:paraId="5BD2054C" w14:textId="77777777" w:rsidR="003056AF" w:rsidRPr="00F90EAE" w:rsidRDefault="003056AF"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года американский флот имел в составе пятнадцати эскадрилий 141 патрульный и учебный воздушный корабль полужесткой конструкции, основу которых составлял известный дирижабль К-типа — это было наивысшей точкой американской программы строительства дирижаблей. Все эскадрильи, предназначенные для действий в Северной Атлантике, Южной Америке и Европе, оснащались и проходили обучение на станции Лейкхерста. Собственная 12-я патрульная эскадрилья воздушных кораблей (ZP-12) Лейкхерста была оснащена восемью дирижаблями К-типа, которые за время войны совершили 5261 рейс (11324).</w:t>
      </w:r>
    </w:p>
    <w:p w14:paraId="23221558" w14:textId="77777777" w:rsidR="003056AF" w:rsidRPr="00F90EAE" w:rsidRDefault="003056AF" w:rsidP="00F90EAE">
      <w:pPr>
        <w:autoSpaceDE w:val="0"/>
        <w:autoSpaceDN w:val="0"/>
        <w:adjustRightInd w:val="0"/>
        <w:jc w:val="both"/>
        <w:rPr>
          <w:color w:val="000000" w:themeColor="text1"/>
          <w:sz w:val="16"/>
          <w:szCs w:val="16"/>
        </w:rPr>
      </w:pPr>
    </w:p>
    <w:p w14:paraId="6D99978C" w14:textId="77777777" w:rsidR="003E545E" w:rsidRPr="00F90EAE" w:rsidRDefault="001561D1" w:rsidP="00F90EAE">
      <w:pPr>
        <w:widowControl w:val="0"/>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857DA1C" w14:textId="77777777" w:rsidR="003E545E" w:rsidRPr="00F90EAE" w:rsidRDefault="003E545E" w:rsidP="00F90EAE">
      <w:pPr>
        <w:widowControl w:val="0"/>
        <w:autoSpaceDE w:val="0"/>
        <w:autoSpaceDN w:val="0"/>
        <w:adjustRightInd w:val="0"/>
        <w:jc w:val="both"/>
        <w:rPr>
          <w:iCs/>
          <w:color w:val="000000" w:themeColor="text1"/>
          <w:sz w:val="16"/>
          <w:szCs w:val="16"/>
        </w:rPr>
      </w:pPr>
    </w:p>
    <w:p w14:paraId="1D572E94"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 январю 1945 года были выполнены Аванпроект, эскизный проект и рабочие чертежи 100-мм береговой установки на механической тяге С-65. Опытный образец АУ (3861).</w:t>
      </w:r>
    </w:p>
    <w:p w14:paraId="34A2A567" w14:textId="77777777" w:rsidR="00C2313B" w:rsidRPr="00F90EAE" w:rsidRDefault="00C2313B" w:rsidP="00F90EAE">
      <w:pPr>
        <w:widowControl w:val="0"/>
        <w:autoSpaceDE w:val="0"/>
        <w:autoSpaceDN w:val="0"/>
        <w:adjustRightInd w:val="0"/>
        <w:jc w:val="both"/>
        <w:rPr>
          <w:color w:val="000000" w:themeColor="text1"/>
          <w:sz w:val="16"/>
          <w:szCs w:val="16"/>
        </w:rPr>
      </w:pPr>
    </w:p>
    <w:p w14:paraId="5EB03EC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A643FE4" w14:textId="77777777" w:rsidR="00C2313B" w:rsidRPr="00F90EAE" w:rsidRDefault="00C2313B" w:rsidP="00F90EAE">
      <w:pPr>
        <w:autoSpaceDE w:val="0"/>
        <w:autoSpaceDN w:val="0"/>
        <w:adjustRightInd w:val="0"/>
        <w:jc w:val="both"/>
        <w:rPr>
          <w:iCs/>
          <w:color w:val="000000" w:themeColor="text1"/>
          <w:sz w:val="16"/>
          <w:szCs w:val="16"/>
        </w:rPr>
      </w:pPr>
    </w:p>
    <w:p w14:paraId="62F3D6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Удельный вес возрастных и тендерных групп работников НКАП на 01.01.1945 г. (РГАЭ, Ф. 8044. </w:t>
      </w:r>
      <w:r w:rsidRPr="00F90EAE">
        <w:rPr>
          <w:color w:val="000000" w:themeColor="text1"/>
          <w:sz w:val="16"/>
          <w:szCs w:val="16"/>
          <w:lang w:val="en-US"/>
        </w:rPr>
        <w:t xml:space="preserve">On. </w:t>
      </w:r>
      <w:r w:rsidRPr="00F90EAE">
        <w:rPr>
          <w:color w:val="000000" w:themeColor="text1"/>
          <w:sz w:val="16"/>
          <w:szCs w:val="16"/>
        </w:rPr>
        <w:t>1 Д. 2873. Л. 6)</w:t>
      </w:r>
    </w:p>
    <w:tbl>
      <w:tblPr>
        <w:tblW w:w="0" w:type="auto"/>
        <w:tblInd w:w="8" w:type="dxa"/>
        <w:tblLayout w:type="fixed"/>
        <w:tblCellMar>
          <w:left w:w="0" w:type="dxa"/>
          <w:right w:w="0" w:type="dxa"/>
        </w:tblCellMar>
        <w:tblLook w:val="0000" w:firstRow="0" w:lastRow="0" w:firstColumn="0" w:lastColumn="0" w:noHBand="0" w:noVBand="0"/>
      </w:tblPr>
      <w:tblGrid>
        <w:gridCol w:w="1157"/>
        <w:gridCol w:w="302"/>
        <w:gridCol w:w="758"/>
        <w:gridCol w:w="754"/>
        <w:gridCol w:w="806"/>
        <w:gridCol w:w="926"/>
        <w:gridCol w:w="1234"/>
      </w:tblGrid>
      <w:tr w:rsidR="00561F31" w:rsidRPr="00F90EAE" w14:paraId="5F3483D5" w14:textId="77777777">
        <w:trPr>
          <w:trHeight w:val="302"/>
        </w:trPr>
        <w:tc>
          <w:tcPr>
            <w:tcW w:w="1459" w:type="dxa"/>
            <w:gridSpan w:val="2"/>
            <w:tcBorders>
              <w:top w:val="single" w:sz="6" w:space="0" w:color="auto"/>
              <w:left w:val="single" w:sz="6" w:space="0" w:color="auto"/>
              <w:bottom w:val="single" w:sz="6" w:space="0" w:color="auto"/>
              <w:right w:val="single" w:sz="6" w:space="0" w:color="auto"/>
            </w:tcBorders>
            <w:shd w:val="clear" w:color="auto" w:fill="FFFFFF"/>
          </w:tcPr>
          <w:p w14:paraId="3F6ABB0E" w14:textId="77777777" w:rsidR="00C2313B" w:rsidRPr="00F90EAE" w:rsidRDefault="00C2313B" w:rsidP="00F90EAE">
            <w:pPr>
              <w:autoSpaceDE w:val="0"/>
              <w:autoSpaceDN w:val="0"/>
              <w:adjustRightInd w:val="0"/>
              <w:jc w:val="both"/>
              <w:rPr>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C96E6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 18</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1E0A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18—25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F8562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26—35</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B1199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36-49</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7D4BC7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 ? старше</w:t>
            </w:r>
          </w:p>
        </w:tc>
      </w:tr>
      <w:tr w:rsidR="00561F31" w:rsidRPr="00F90EAE" w14:paraId="07BEC6E5"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7CB261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персонала</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624099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356C5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12,1</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12F695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27,4</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18CECB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506DCF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24,1</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FB542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w:t>
            </w:r>
          </w:p>
        </w:tc>
      </w:tr>
      <w:tr w:rsidR="00561F31" w:rsidRPr="00F90EAE" w14:paraId="7D5407F8" w14:textId="77777777">
        <w:trPr>
          <w:trHeight w:val="307"/>
        </w:trPr>
        <w:tc>
          <w:tcPr>
            <w:tcW w:w="1157" w:type="dxa"/>
            <w:tcBorders>
              <w:top w:val="nil"/>
              <w:left w:val="single" w:sz="6" w:space="0" w:color="auto"/>
              <w:bottom w:val="single" w:sz="6" w:space="0" w:color="auto"/>
              <w:right w:val="single" w:sz="6" w:space="0" w:color="auto"/>
            </w:tcBorders>
            <w:shd w:val="clear" w:color="auto" w:fill="FFFFFF"/>
          </w:tcPr>
          <w:p w14:paraId="3CE0F703" w14:textId="77777777" w:rsidR="00C2313B" w:rsidRPr="00F90EAE" w:rsidRDefault="00C2313B" w:rsidP="00F90EAE">
            <w:pPr>
              <w:autoSpaceDE w:val="0"/>
              <w:autoSpaceDN w:val="0"/>
              <w:adjustRightInd w:val="0"/>
              <w:jc w:val="both"/>
              <w:rPr>
                <w:color w:val="000000" w:themeColor="text1"/>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D7114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162451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10,9</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0A62BC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08EE04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26,8</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2E3759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1C8033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w:t>
            </w:r>
          </w:p>
        </w:tc>
      </w:tr>
      <w:tr w:rsidR="00561F31" w:rsidRPr="00F90EAE" w14:paraId="5DFAD5B8" w14:textId="77777777">
        <w:trPr>
          <w:trHeight w:val="293"/>
        </w:trPr>
        <w:tc>
          <w:tcPr>
            <w:tcW w:w="1157" w:type="dxa"/>
            <w:tcBorders>
              <w:top w:val="single" w:sz="6" w:space="0" w:color="auto"/>
              <w:left w:val="single" w:sz="6" w:space="0" w:color="auto"/>
              <w:bottom w:val="nil"/>
              <w:right w:val="single" w:sz="6" w:space="0" w:color="auto"/>
            </w:tcBorders>
            <w:shd w:val="clear" w:color="auto" w:fill="FFFFFF"/>
          </w:tcPr>
          <w:p w14:paraId="1BC2BA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Рабочих</w:t>
            </w: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186FAD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F6C2E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44353D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32,6</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97FBC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27,6</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4467B3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21,0</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596049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w:t>
            </w:r>
          </w:p>
        </w:tc>
      </w:tr>
      <w:tr w:rsidR="00561F31" w:rsidRPr="00F90EAE" w14:paraId="5AFA7C5C" w14:textId="77777777">
        <w:trPr>
          <w:trHeight w:val="312"/>
        </w:trPr>
        <w:tc>
          <w:tcPr>
            <w:tcW w:w="1157" w:type="dxa"/>
            <w:tcBorders>
              <w:top w:val="nil"/>
              <w:left w:val="single" w:sz="6" w:space="0" w:color="auto"/>
              <w:bottom w:val="single" w:sz="6" w:space="0" w:color="auto"/>
              <w:right w:val="single" w:sz="6" w:space="0" w:color="auto"/>
            </w:tcBorders>
            <w:shd w:val="clear" w:color="auto" w:fill="FFFFFF"/>
          </w:tcPr>
          <w:p w14:paraId="7AE5D4CC" w14:textId="77777777" w:rsidR="00C2313B" w:rsidRPr="00F90EAE" w:rsidRDefault="00C2313B" w:rsidP="00F90EAE">
            <w:pPr>
              <w:autoSpaceDE w:val="0"/>
              <w:autoSpaceDN w:val="0"/>
              <w:adjustRightInd w:val="0"/>
              <w:jc w:val="both"/>
              <w:rPr>
                <w:color w:val="000000" w:themeColor="text1"/>
                <w:sz w:val="16"/>
                <w:szCs w:val="16"/>
              </w:rPr>
            </w:pPr>
          </w:p>
        </w:tc>
        <w:tc>
          <w:tcPr>
            <w:tcW w:w="302" w:type="dxa"/>
            <w:tcBorders>
              <w:top w:val="single" w:sz="6" w:space="0" w:color="auto"/>
              <w:left w:val="single" w:sz="6" w:space="0" w:color="auto"/>
              <w:bottom w:val="single" w:sz="6" w:space="0" w:color="auto"/>
              <w:right w:val="single" w:sz="6" w:space="0" w:color="auto"/>
            </w:tcBorders>
            <w:shd w:val="clear" w:color="auto" w:fill="FFFFFF"/>
          </w:tcPr>
          <w:p w14:paraId="5E2197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ж</w:t>
            </w: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9CF89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11,2</w:t>
            </w:r>
          </w:p>
        </w:tc>
        <w:tc>
          <w:tcPr>
            <w:tcW w:w="754" w:type="dxa"/>
            <w:tcBorders>
              <w:top w:val="single" w:sz="6" w:space="0" w:color="auto"/>
              <w:left w:val="single" w:sz="6" w:space="0" w:color="auto"/>
              <w:bottom w:val="single" w:sz="6" w:space="0" w:color="auto"/>
              <w:right w:val="single" w:sz="6" w:space="0" w:color="auto"/>
            </w:tcBorders>
            <w:shd w:val="clear" w:color="auto" w:fill="FFFFFF"/>
          </w:tcPr>
          <w:p w14:paraId="39EC9B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43,9</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508F9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25,4</w:t>
            </w:r>
          </w:p>
        </w:tc>
        <w:tc>
          <w:tcPr>
            <w:tcW w:w="926" w:type="dxa"/>
            <w:tcBorders>
              <w:top w:val="single" w:sz="6" w:space="0" w:color="auto"/>
              <w:left w:val="single" w:sz="6" w:space="0" w:color="auto"/>
              <w:bottom w:val="single" w:sz="6" w:space="0" w:color="auto"/>
              <w:right w:val="single" w:sz="6" w:space="0" w:color="auto"/>
            </w:tcBorders>
            <w:shd w:val="clear" w:color="auto" w:fill="FFFFFF"/>
          </w:tcPr>
          <w:p w14:paraId="045908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16,5</w:t>
            </w:r>
          </w:p>
        </w:tc>
        <w:tc>
          <w:tcPr>
            <w:tcW w:w="1234" w:type="dxa"/>
            <w:tcBorders>
              <w:top w:val="single" w:sz="6" w:space="0" w:color="auto"/>
              <w:left w:val="single" w:sz="6" w:space="0" w:color="auto"/>
              <w:bottom w:val="single" w:sz="6" w:space="0" w:color="auto"/>
              <w:right w:val="single" w:sz="6" w:space="0" w:color="auto"/>
            </w:tcBorders>
            <w:shd w:val="clear" w:color="auto" w:fill="FFFFFF"/>
          </w:tcPr>
          <w:p w14:paraId="66A174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w:t>
            </w:r>
          </w:p>
        </w:tc>
      </w:tr>
    </w:tbl>
    <w:p w14:paraId="5681CE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Как видим, возрастной пик в масштабах всего персонала НКАП у мужчин наступает в 26—35 лет, а у женщин (при</w:t>
      </w:r>
      <w:r w:rsidRPr="00F90EAE">
        <w:rPr>
          <w:color w:val="000000" w:themeColor="text1"/>
          <w:sz w:val="16"/>
          <w:szCs w:val="16"/>
        </w:rPr>
        <w:softHyphen/>
        <w:t>чём в намного более выраженной форме) — в 18—25. Ве</w:t>
      </w:r>
      <w:r w:rsidRPr="00F90EAE">
        <w:rPr>
          <w:color w:val="000000" w:themeColor="text1"/>
          <w:sz w:val="16"/>
          <w:szCs w:val="16"/>
        </w:rPr>
        <w:softHyphen/>
        <w:t>роятно, это объясняется притоком на предприятия молодой, малоквалифицированной рабочей силы. Однако юноши этого возраста в своём большинстве призывались в армию, поэто</w:t>
      </w:r>
      <w:r w:rsidRPr="00F90EAE">
        <w:rPr>
          <w:color w:val="000000" w:themeColor="text1"/>
          <w:sz w:val="16"/>
          <w:szCs w:val="16"/>
        </w:rPr>
        <w:softHyphen/>
        <w:t>му среди молодёжи преобладали девушки. Анализ ситуации только среди рабочих подтверждает эту гипотезу — там пик мужской гендерной группы также наступает в 18—25 лет, но, как и для всего персонала в целом, имеет менее ярко выра</w:t>
      </w:r>
      <w:r w:rsidRPr="00F90EAE">
        <w:rPr>
          <w:color w:val="000000" w:themeColor="text1"/>
          <w:sz w:val="16"/>
          <w:szCs w:val="16"/>
        </w:rPr>
        <w:softHyphen/>
        <w:t>женный характер, чем аналогичный пик женской гендерной группы. Очевидно, сдвиг «мужского» пика в масштабах все</w:t>
      </w:r>
      <w:r w:rsidRPr="00F90EAE">
        <w:rPr>
          <w:color w:val="000000" w:themeColor="text1"/>
          <w:sz w:val="16"/>
          <w:szCs w:val="16"/>
        </w:rPr>
        <w:softHyphen/>
        <w:t>го Авиапрома объясняется ситуацией среди ИГР, служащих и непромышленном персонале. Надо учитывать, что категория «до 18 лет» включала в себя достаточно разнородные по воз</w:t>
      </w:r>
      <w:r w:rsidRPr="00F90EAE">
        <w:rPr>
          <w:color w:val="000000" w:themeColor="text1"/>
          <w:sz w:val="16"/>
          <w:szCs w:val="16"/>
        </w:rPr>
        <w:softHyphen/>
        <w:t>расту</w:t>
      </w:r>
      <w:r w:rsidRPr="00F90EAE">
        <w:rPr>
          <w:color w:val="000000" w:themeColor="text1"/>
          <w:sz w:val="16"/>
          <w:szCs w:val="16"/>
          <w:vertAlign w:val="superscript"/>
        </w:rPr>
        <w:t>2</w:t>
      </w:r>
      <w:r w:rsidRPr="00F90EAE">
        <w:rPr>
          <w:color w:val="000000" w:themeColor="text1"/>
          <w:sz w:val="16"/>
          <w:szCs w:val="16"/>
        </w:rPr>
        <w:t xml:space="preserve"> группы, занятые в самых разных отраслях хозяйствен</w:t>
      </w:r>
      <w:r w:rsidRPr="00F90EAE">
        <w:rPr>
          <w:color w:val="000000" w:themeColor="text1"/>
          <w:sz w:val="16"/>
          <w:szCs w:val="16"/>
        </w:rPr>
        <w:softHyphen/>
        <w:t>ной деятельности.</w:t>
      </w:r>
    </w:p>
    <w:p w14:paraId="4CD939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Наличие в НКАП работников моложе 17 лет на 01.01.1945 г. (РГАЭ, Ф. 8044. </w:t>
      </w:r>
      <w:r w:rsidRPr="00F90EAE">
        <w:rPr>
          <w:color w:val="000000" w:themeColor="text1"/>
          <w:sz w:val="16"/>
          <w:szCs w:val="16"/>
          <w:lang w:val="en-US"/>
        </w:rPr>
        <w:t xml:space="preserve">On. </w:t>
      </w:r>
      <w:r w:rsidRPr="00F90EAE">
        <w:rPr>
          <w:color w:val="000000" w:themeColor="text1"/>
          <w:sz w:val="16"/>
          <w:szCs w:val="16"/>
        </w:rPr>
        <w:t>1 Д. 2873. Л. 7)</w:t>
      </w:r>
    </w:p>
    <w:tbl>
      <w:tblPr>
        <w:tblW w:w="0" w:type="auto"/>
        <w:tblInd w:w="8" w:type="dxa"/>
        <w:tblLayout w:type="fixed"/>
        <w:tblCellMar>
          <w:left w:w="0" w:type="dxa"/>
          <w:right w:w="0" w:type="dxa"/>
        </w:tblCellMar>
        <w:tblLook w:val="0000" w:firstRow="0" w:lastRow="0" w:firstColumn="0" w:lastColumn="0" w:noHBand="0" w:noVBand="0"/>
      </w:tblPr>
      <w:tblGrid>
        <w:gridCol w:w="1493"/>
        <w:gridCol w:w="1474"/>
        <w:gridCol w:w="1478"/>
        <w:gridCol w:w="1493"/>
      </w:tblGrid>
      <w:tr w:rsidR="00561F31" w:rsidRPr="00F90EAE" w14:paraId="706AD60A" w14:textId="77777777">
        <w:trPr>
          <w:trHeight w:val="240"/>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474B1FF" w14:textId="77777777" w:rsidR="00C2313B" w:rsidRPr="00F90EAE" w:rsidRDefault="00C2313B" w:rsidP="00F90EAE">
            <w:pPr>
              <w:autoSpaceDE w:val="0"/>
              <w:autoSpaceDN w:val="0"/>
              <w:adjustRightInd w:val="0"/>
              <w:jc w:val="both"/>
              <w:rPr>
                <w:color w:val="000000" w:themeColor="text1"/>
                <w:sz w:val="16"/>
                <w:szCs w:val="16"/>
              </w:rPr>
            </w:pP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4BDD54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 14</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F652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14-15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78D723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16-17</w:t>
            </w:r>
          </w:p>
        </w:tc>
      </w:tr>
      <w:tr w:rsidR="00561F31" w:rsidRPr="00F90EAE" w14:paraId="05D63C98" w14:textId="77777777">
        <w:trPr>
          <w:trHeight w:val="221"/>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4DA23A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63BDD1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606</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04173F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5709</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0AFC22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26044</w:t>
            </w:r>
          </w:p>
        </w:tc>
      </w:tr>
      <w:tr w:rsidR="00561F31" w:rsidRPr="00F90EAE" w14:paraId="5F7C21E6" w14:textId="77777777">
        <w:trPr>
          <w:trHeight w:val="245"/>
        </w:trPr>
        <w:tc>
          <w:tcPr>
            <w:tcW w:w="1493" w:type="dxa"/>
            <w:tcBorders>
              <w:top w:val="single" w:sz="6" w:space="0" w:color="auto"/>
              <w:left w:val="single" w:sz="6" w:space="0" w:color="auto"/>
              <w:bottom w:val="single" w:sz="6" w:space="0" w:color="auto"/>
              <w:right w:val="single" w:sz="6" w:space="0" w:color="auto"/>
            </w:tcBorders>
            <w:shd w:val="clear" w:color="auto" w:fill="FFFFFF"/>
          </w:tcPr>
          <w:p w14:paraId="06DF45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Ж</w:t>
            </w:r>
          </w:p>
        </w:tc>
        <w:tc>
          <w:tcPr>
            <w:tcW w:w="1474" w:type="dxa"/>
            <w:tcBorders>
              <w:top w:val="single" w:sz="6" w:space="0" w:color="auto"/>
              <w:left w:val="single" w:sz="6" w:space="0" w:color="auto"/>
              <w:bottom w:val="single" w:sz="6" w:space="0" w:color="auto"/>
              <w:right w:val="single" w:sz="6" w:space="0" w:color="auto"/>
            </w:tcBorders>
            <w:shd w:val="clear" w:color="auto" w:fill="FFFFFF"/>
          </w:tcPr>
          <w:p w14:paraId="3E68AF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1478" w:type="dxa"/>
            <w:tcBorders>
              <w:top w:val="single" w:sz="6" w:space="0" w:color="auto"/>
              <w:left w:val="single" w:sz="6" w:space="0" w:color="auto"/>
              <w:bottom w:val="single" w:sz="6" w:space="0" w:color="auto"/>
              <w:right w:val="single" w:sz="6" w:space="0" w:color="auto"/>
            </w:tcBorders>
            <w:shd w:val="clear" w:color="auto" w:fill="FFFFFF"/>
          </w:tcPr>
          <w:p w14:paraId="51155F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2455</w:t>
            </w:r>
          </w:p>
        </w:tc>
        <w:tc>
          <w:tcPr>
            <w:tcW w:w="1493" w:type="dxa"/>
            <w:tcBorders>
              <w:top w:val="single" w:sz="6" w:space="0" w:color="auto"/>
              <w:left w:val="single" w:sz="6" w:space="0" w:color="auto"/>
              <w:bottom w:val="single" w:sz="6" w:space="0" w:color="auto"/>
              <w:right w:val="single" w:sz="6" w:space="0" w:color="auto"/>
            </w:tcBorders>
            <w:shd w:val="clear" w:color="auto" w:fill="FFFFFF"/>
          </w:tcPr>
          <w:p w14:paraId="3BEBC8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15643</w:t>
            </w:r>
          </w:p>
        </w:tc>
      </w:tr>
    </w:tbl>
    <w:p w14:paraId="382D5F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Распределение молодых (до 18 лет) работников НКАП по отраслям хозяйственной деятельности</w:t>
      </w:r>
      <w:r w:rsidRPr="00F90EAE">
        <w:rPr>
          <w:color w:val="000000" w:themeColor="text1"/>
          <w:sz w:val="16"/>
          <w:szCs w:val="16"/>
          <w:vertAlign w:val="superscript"/>
        </w:rPr>
        <w:t>1</w:t>
      </w:r>
    </w:p>
    <w:tbl>
      <w:tblPr>
        <w:tblW w:w="0" w:type="auto"/>
        <w:tblInd w:w="8" w:type="dxa"/>
        <w:tblLayout w:type="fixed"/>
        <w:tblCellMar>
          <w:left w:w="0" w:type="dxa"/>
          <w:right w:w="0" w:type="dxa"/>
        </w:tblCellMar>
        <w:tblLook w:val="0000" w:firstRow="0" w:lastRow="0" w:firstColumn="0" w:lastColumn="0" w:noHBand="0" w:noVBand="0"/>
      </w:tblPr>
      <w:tblGrid>
        <w:gridCol w:w="3590"/>
        <w:gridCol w:w="2338"/>
      </w:tblGrid>
      <w:tr w:rsidR="00561F31" w:rsidRPr="00F90EAE" w14:paraId="2E02AAD2"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FC30C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Промьшленные предприятия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38B90B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68348</w:t>
            </w:r>
          </w:p>
        </w:tc>
      </w:tr>
      <w:tr w:rsidR="00561F31" w:rsidRPr="00F90EAE" w14:paraId="344DA419"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375FF7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том числе—рабочие</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79899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50622</w:t>
            </w:r>
          </w:p>
        </w:tc>
      </w:tr>
      <w:tr w:rsidR="00561F31" w:rsidRPr="00F90EAE" w14:paraId="297A828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219D29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Строительство</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5E30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4833</w:t>
            </w:r>
          </w:p>
        </w:tc>
      </w:tr>
      <w:tr w:rsidR="00561F31" w:rsidRPr="00F90EAE" w14:paraId="0D49673C" w14:textId="77777777">
        <w:trPr>
          <w:trHeight w:val="221"/>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BEEF4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Опытные в научно-исследовательские организации</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791748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4517</w:t>
            </w:r>
          </w:p>
        </w:tc>
      </w:tr>
      <w:tr w:rsidR="00561F31" w:rsidRPr="00F90EAE" w14:paraId="6FE010B6" w14:textId="77777777">
        <w:trPr>
          <w:trHeight w:val="226"/>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540A25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Учебные заведения</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4446B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445</w:t>
            </w:r>
          </w:p>
        </w:tc>
      </w:tr>
      <w:tr w:rsidR="00561F31" w:rsidRPr="00F90EAE" w14:paraId="04FEE697" w14:textId="77777777">
        <w:trPr>
          <w:trHeight w:val="235"/>
        </w:trPr>
        <w:tc>
          <w:tcPr>
            <w:tcW w:w="3590" w:type="dxa"/>
            <w:tcBorders>
              <w:top w:val="single" w:sz="6" w:space="0" w:color="auto"/>
              <w:left w:val="single" w:sz="6" w:space="0" w:color="auto"/>
              <w:bottom w:val="single" w:sz="6" w:space="0" w:color="auto"/>
              <w:right w:val="single" w:sz="6" w:space="0" w:color="auto"/>
            </w:tcBorders>
            <w:shd w:val="clear" w:color="auto" w:fill="FFFFFF"/>
          </w:tcPr>
          <w:p w14:paraId="01EE11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ОРС-ы</w:t>
            </w:r>
          </w:p>
        </w:tc>
        <w:tc>
          <w:tcPr>
            <w:tcW w:w="2338" w:type="dxa"/>
            <w:tcBorders>
              <w:top w:val="single" w:sz="6" w:space="0" w:color="auto"/>
              <w:left w:val="single" w:sz="6" w:space="0" w:color="auto"/>
              <w:bottom w:val="single" w:sz="6" w:space="0" w:color="auto"/>
              <w:right w:val="single" w:sz="6" w:space="0" w:color="auto"/>
            </w:tcBorders>
            <w:shd w:val="clear" w:color="auto" w:fill="FFFFFF"/>
          </w:tcPr>
          <w:p w14:paraId="251A82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7590</w:t>
            </w:r>
          </w:p>
        </w:tc>
      </w:tr>
    </w:tbl>
    <w:p w14:paraId="41E0D4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(12011).</w:t>
      </w:r>
    </w:p>
    <w:p w14:paraId="6949A037" w14:textId="77777777" w:rsidR="00C2313B" w:rsidRPr="00F90EAE" w:rsidRDefault="00C2313B" w:rsidP="00F90EAE">
      <w:pPr>
        <w:autoSpaceDE w:val="0"/>
        <w:autoSpaceDN w:val="0"/>
        <w:adjustRightInd w:val="0"/>
        <w:jc w:val="both"/>
        <w:rPr>
          <w:color w:val="000000" w:themeColor="text1"/>
          <w:sz w:val="16"/>
          <w:szCs w:val="16"/>
        </w:rPr>
      </w:pPr>
    </w:p>
    <w:p w14:paraId="3921B012" w14:textId="77777777" w:rsidR="005A1318" w:rsidRPr="00F90EAE" w:rsidRDefault="005A1318" w:rsidP="00F90EAE">
      <w:pPr>
        <w:jc w:val="both"/>
        <w:rPr>
          <w:color w:val="0070C0"/>
          <w:sz w:val="16"/>
          <w:szCs w:val="16"/>
        </w:rPr>
      </w:pPr>
      <w:r w:rsidRPr="00F90EAE">
        <w:rPr>
          <w:color w:val="0070C0"/>
          <w:sz w:val="16"/>
          <w:szCs w:val="16"/>
        </w:rPr>
        <w:t>На 1 января 1945 года выпол</w:t>
      </w:r>
      <w:r w:rsidRPr="00F90EAE">
        <w:rPr>
          <w:color w:val="0070C0"/>
          <w:sz w:val="16"/>
          <w:szCs w:val="16"/>
        </w:rPr>
        <w:softHyphen/>
        <w:t>нено не более 18% проектных работ по Ил-14 (для замены Ил-4), в том числе изготовили модель для продувки в аэроди</w:t>
      </w:r>
      <w:r w:rsidRPr="00F90EAE">
        <w:rPr>
          <w:color w:val="0070C0"/>
          <w:sz w:val="16"/>
          <w:szCs w:val="16"/>
        </w:rPr>
        <w:softHyphen/>
        <w:t>намической трубе.</w:t>
      </w:r>
    </w:p>
    <w:p w14:paraId="5C6C64A0" w14:textId="77777777" w:rsidR="005A1318" w:rsidRPr="00F90EAE" w:rsidRDefault="005A1318" w:rsidP="00F90EAE">
      <w:pPr>
        <w:jc w:val="both"/>
        <w:rPr>
          <w:color w:val="0070C0"/>
          <w:sz w:val="16"/>
          <w:szCs w:val="16"/>
        </w:rPr>
      </w:pPr>
      <w:r w:rsidRPr="00F90EAE">
        <w:rPr>
          <w:color w:val="0070C0"/>
          <w:sz w:val="16"/>
          <w:szCs w:val="16"/>
        </w:rPr>
        <w:t>Самолет проектировался сначала с четырьмя двигате</w:t>
      </w:r>
      <w:r w:rsidRPr="00F90EAE">
        <w:rPr>
          <w:color w:val="0070C0"/>
          <w:sz w:val="16"/>
          <w:szCs w:val="16"/>
        </w:rPr>
        <w:softHyphen/>
        <w:t>лями жидкостного охлаждения М-43 НВ (1944 г.), а затем — с М-45. Особенностью машины было тандемное расположение моторов на уширенном центро</w:t>
      </w:r>
      <w:r w:rsidRPr="00F90EAE">
        <w:rPr>
          <w:color w:val="0070C0"/>
          <w:sz w:val="16"/>
          <w:szCs w:val="16"/>
        </w:rPr>
        <w:softHyphen/>
        <w:t>плане крыла. Отъемные же ча</w:t>
      </w:r>
      <w:r w:rsidRPr="00F90EAE">
        <w:rPr>
          <w:color w:val="0070C0"/>
          <w:sz w:val="16"/>
          <w:szCs w:val="16"/>
        </w:rPr>
        <w:softHyphen/>
        <w:t>сти несущей поверхности дела</w:t>
      </w:r>
      <w:r w:rsidRPr="00F90EAE">
        <w:rPr>
          <w:color w:val="0070C0"/>
          <w:sz w:val="16"/>
          <w:szCs w:val="16"/>
        </w:rPr>
        <w:softHyphen/>
        <w:t>лись по типу Ил-6, но с меньшим сужением.</w:t>
      </w:r>
    </w:p>
    <w:p w14:paraId="455D2FE8" w14:textId="77777777" w:rsidR="005A1318" w:rsidRPr="00F90EAE" w:rsidRDefault="005A1318" w:rsidP="00F90EAE">
      <w:pPr>
        <w:jc w:val="both"/>
        <w:rPr>
          <w:color w:val="0070C0"/>
          <w:sz w:val="16"/>
          <w:szCs w:val="16"/>
        </w:rPr>
      </w:pPr>
      <w:r w:rsidRPr="00F90EAE">
        <w:rPr>
          <w:color w:val="0070C0"/>
          <w:sz w:val="16"/>
          <w:szCs w:val="16"/>
        </w:rPr>
        <w:t>В 1946 году выполнена наполовину разра</w:t>
      </w:r>
      <w:r w:rsidRPr="00F90EAE">
        <w:rPr>
          <w:color w:val="0070C0"/>
          <w:sz w:val="16"/>
          <w:szCs w:val="16"/>
        </w:rPr>
        <w:softHyphen/>
        <w:t>ботка Ил-14 с двумя двигателя</w:t>
      </w:r>
      <w:r w:rsidRPr="00F90EAE">
        <w:rPr>
          <w:color w:val="0070C0"/>
          <w:sz w:val="16"/>
          <w:szCs w:val="16"/>
        </w:rPr>
        <w:softHyphen/>
        <w:t>ми АШ-73.</w:t>
      </w:r>
    </w:p>
    <w:p w14:paraId="2303B2B2" w14:textId="77777777" w:rsidR="005A1318" w:rsidRPr="00F90EAE" w:rsidRDefault="005A1318" w:rsidP="00F90EAE">
      <w:pPr>
        <w:jc w:val="both"/>
        <w:rPr>
          <w:color w:val="0070C0"/>
          <w:sz w:val="16"/>
          <w:szCs w:val="16"/>
        </w:rPr>
      </w:pPr>
      <w:r w:rsidRPr="00F90EAE">
        <w:rPr>
          <w:color w:val="0070C0"/>
          <w:sz w:val="16"/>
          <w:szCs w:val="16"/>
        </w:rPr>
        <w:t>Постройку Ил-14 с двигате</w:t>
      </w:r>
      <w:r w:rsidRPr="00F90EAE">
        <w:rPr>
          <w:color w:val="0070C0"/>
          <w:sz w:val="16"/>
          <w:szCs w:val="16"/>
        </w:rPr>
        <w:softHyphen/>
        <w:t>лями М-45 к концу 1946 года до</w:t>
      </w:r>
      <w:r w:rsidRPr="00F90EAE">
        <w:rPr>
          <w:color w:val="0070C0"/>
          <w:sz w:val="16"/>
          <w:szCs w:val="16"/>
        </w:rPr>
        <w:softHyphen/>
        <w:t xml:space="preserve"> вели до 23% и прекратили по приказу МАП ввиду со</w:t>
      </w:r>
      <w:r w:rsidRPr="00F90EAE">
        <w:rPr>
          <w:color w:val="0070C0"/>
          <w:sz w:val="16"/>
          <w:szCs w:val="16"/>
        </w:rPr>
        <w:softHyphen/>
        <w:t>средоточения усилий КБ на самолетах Ил-18 и Ил-22.</w:t>
      </w:r>
    </w:p>
    <w:p w14:paraId="5FEB2137" w14:textId="77777777" w:rsidR="005A1318" w:rsidRPr="00F90EAE" w:rsidRDefault="005A1318" w:rsidP="00F90EAE">
      <w:pPr>
        <w:jc w:val="both"/>
        <w:rPr>
          <w:color w:val="0070C0"/>
          <w:sz w:val="16"/>
          <w:szCs w:val="16"/>
        </w:rPr>
      </w:pPr>
      <w:r w:rsidRPr="00F90EAE">
        <w:rPr>
          <w:color w:val="0070C0"/>
          <w:sz w:val="16"/>
          <w:szCs w:val="16"/>
        </w:rPr>
        <w:t>Оборонительное вооружение самолета включало три орудия калибра 20 мм.</w:t>
      </w:r>
    </w:p>
    <w:p w14:paraId="5A6630EB" w14:textId="77777777" w:rsidR="005A1318" w:rsidRPr="00F90EAE" w:rsidRDefault="005A1318" w:rsidP="00F90EAE">
      <w:pPr>
        <w:jc w:val="both"/>
        <w:rPr>
          <w:color w:val="0070C0"/>
          <w:sz w:val="16"/>
          <w:szCs w:val="16"/>
        </w:rPr>
      </w:pPr>
      <w:r w:rsidRPr="00F90EAE">
        <w:rPr>
          <w:color w:val="0070C0"/>
          <w:sz w:val="16"/>
          <w:szCs w:val="16"/>
        </w:rPr>
        <w:t>На базе бомбардировщика проектировался даль</w:t>
      </w:r>
      <w:r w:rsidRPr="00F90EAE">
        <w:rPr>
          <w:color w:val="0070C0"/>
          <w:sz w:val="16"/>
          <w:szCs w:val="16"/>
        </w:rPr>
        <w:softHyphen/>
        <w:t>ний истребитель сопровождения. Его вооружение состояло из двух пушек калибра 45 мм для стрельбы вперед и двух 20-мм орудий для защиты самолета от истребителей противника сзади сверху и снизу. По расчетам, перегрузочный взлетный вес мог до</w:t>
      </w:r>
      <w:r w:rsidRPr="00F90EAE">
        <w:rPr>
          <w:color w:val="0070C0"/>
          <w:sz w:val="16"/>
          <w:szCs w:val="16"/>
        </w:rPr>
        <w:softHyphen/>
        <w:t>ходить до 24800 кг. При этом его максимальная ско</w:t>
      </w:r>
      <w:r w:rsidRPr="00F90EAE">
        <w:rPr>
          <w:color w:val="0070C0"/>
          <w:sz w:val="16"/>
          <w:szCs w:val="16"/>
        </w:rPr>
        <w:softHyphen/>
        <w:t>рость на высоте 9000 метров оценивалась в 730 км/ч, а дальность и продолжительность полета — 3000 км и 5,5 часов соответственно (23188).</w:t>
      </w:r>
    </w:p>
    <w:p w14:paraId="1D6F7D77" w14:textId="77777777" w:rsidR="005A1318" w:rsidRPr="00F90EAE" w:rsidRDefault="005A1318" w:rsidP="00F90EAE">
      <w:pPr>
        <w:jc w:val="both"/>
        <w:rPr>
          <w:color w:val="0070C0"/>
          <w:sz w:val="16"/>
          <w:szCs w:val="16"/>
          <w:lang w:bidi="ru-RU"/>
        </w:rPr>
      </w:pPr>
    </w:p>
    <w:p w14:paraId="4894509F" w14:textId="77777777" w:rsidR="00573476" w:rsidRPr="00F90EAE" w:rsidRDefault="00573476" w:rsidP="00F90EAE">
      <w:pPr>
        <w:jc w:val="both"/>
        <w:rPr>
          <w:color w:val="000000" w:themeColor="text1"/>
          <w:sz w:val="16"/>
          <w:szCs w:val="16"/>
        </w:rPr>
      </w:pPr>
      <w:r w:rsidRPr="00F90EAE">
        <w:rPr>
          <w:color w:val="000000" w:themeColor="text1"/>
          <w:sz w:val="16"/>
          <w:szCs w:val="16"/>
        </w:rPr>
        <w:t>За период по 1 января 1945 г. с 1 января 1941 г. мощности з-да № 126 выросли по производственным площадям — в 2,6 раза; по станочному оборудованию — в 1,9 раза. Объем производства за этот период увеличился в 2,6 раза, причем численность производственных рабочих в 1945 г. была на уровне 1941 г.</w:t>
      </w:r>
    </w:p>
    <w:p w14:paraId="7CE5BA27" w14:textId="77777777" w:rsidR="00573476" w:rsidRPr="00F90EAE" w:rsidRDefault="00573476" w:rsidP="00F90EAE">
      <w:pPr>
        <w:jc w:val="both"/>
        <w:rPr>
          <w:color w:val="000000" w:themeColor="text1"/>
          <w:sz w:val="16"/>
          <w:szCs w:val="16"/>
        </w:rPr>
      </w:pPr>
      <w:r w:rsidRPr="00F90EAE">
        <w:rPr>
          <w:color w:val="000000" w:themeColor="text1"/>
          <w:sz w:val="16"/>
          <w:szCs w:val="16"/>
        </w:rPr>
        <w:t>Это дало возможность поставить фронту 2757 самолетов Ил-4. В 1942 г. завод вдвое увеличил выпуск самолетов ИЛ-4 в сравнении с 1941 годом. За 1942 год комсомольскими авиастроителями было выпущено рекордное количество самолетов — 695! Это самая высокая цифра выпуска самолетов за все годы существования завода. И в течение всего военного периода завод не снижал выпуска необходимых фронту самолетов. В 1943 г. — 604, в 1943 г. — 616. И только в последний военный, 1945 год, выпуск самолетов несколько снизился — 459. А всего с 1938 г. по 1945 г. заводом было выпущено 3004 самолета ДБ-3 и ИЛ-4. Коллектив завода внес значительный вклад в победу над фашизмом (12211).</w:t>
      </w:r>
    </w:p>
    <w:p w14:paraId="14235492" w14:textId="77777777" w:rsidR="00573476" w:rsidRPr="00F90EAE" w:rsidRDefault="00573476" w:rsidP="00F90EAE">
      <w:pPr>
        <w:jc w:val="both"/>
        <w:rPr>
          <w:color w:val="000000" w:themeColor="text1"/>
          <w:sz w:val="16"/>
          <w:szCs w:val="16"/>
        </w:rPr>
      </w:pPr>
    </w:p>
    <w:p w14:paraId="2A7015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 января 1945 г. в состав завода № 150 НКАП по приказу № 9с от 16.01.1945 г. влит завод № 49 НКАП из Уфы. Далее по приказу № 161с от 20.04.1945 г.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2901D6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1946 г. заводу поставлено 764 трофейных металлорежущих станка.</w:t>
      </w:r>
    </w:p>
    <w:p w14:paraId="46865C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2B958E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F90EAE">
        <w:rPr>
          <w:color w:val="000000" w:themeColor="text1"/>
          <w:sz w:val="16"/>
          <w:szCs w:val="16"/>
          <w:vertAlign w:val="superscript"/>
        </w:rPr>
        <w:t>69</w:t>
      </w:r>
    </w:p>
    <w:p w14:paraId="239725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787A2E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F90EAE">
        <w:rPr>
          <w:color w:val="000000" w:themeColor="text1"/>
          <w:sz w:val="16"/>
          <w:szCs w:val="16"/>
          <w:vertAlign w:val="superscript"/>
        </w:rPr>
        <w:t>49</w:t>
      </w:r>
      <w:r w:rsidRPr="00F90EAE">
        <w:rPr>
          <w:color w:val="000000" w:themeColor="text1"/>
          <w:sz w:val="16"/>
          <w:szCs w:val="16"/>
        </w:rPr>
        <w:t xml:space="preserve"> Гендиректор (2003 г.)- В. Дмитрии, А. Черников.</w:t>
      </w:r>
    </w:p>
    <w:p w14:paraId="0259A7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(06.1937 г.)- В.В. Алле; по ПВО и охране (17.12.1938 г.-)- А.В. Волков.</w:t>
      </w:r>
    </w:p>
    <w:p w14:paraId="447E9B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исполнительный (2004 г.)- М. Корнеев; технический (2005 г.)- С. Кононов.</w:t>
      </w:r>
    </w:p>
    <w:p w14:paraId="48101E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2D726C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К.И. Жданов.</w:t>
      </w:r>
    </w:p>
    <w:p w14:paraId="19C8E9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Гл. технолог (1936 г.)- Н.П. Фирюбин, А.С. Штейнбер г. Начальник управления продаж (2005 г.)- А.А. Костин.</w:t>
      </w:r>
    </w:p>
    <w:p w14:paraId="4BA94E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прокатного завода (11.1938 г.)- Ю. Г. Музалевский.</w:t>
      </w:r>
    </w:p>
    <w:p w14:paraId="394140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 комбината № 150 НКАП, ОКБ-150 НКАП гл. конструктора К.И. Жданова</w:t>
      </w:r>
    </w:p>
    <w:p w14:paraId="1745FF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 авиакомбината № 150 образовано 22.03.1939 г. по приказу НКАП № 80/к от 21.03.1939 г. на базе его опытного производства.</w:t>
      </w:r>
    </w:p>
    <w:p w14:paraId="735ACB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D3F72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062424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ОКБ-150 МАП гл. конструктора К.И. Жданова</w:t>
      </w:r>
    </w:p>
    <w:p w14:paraId="339815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6C7D4C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161с от 20.04.1945 г. завод № 25 реорганизуется в ОКБ комбината № 150.</w:t>
      </w:r>
    </w:p>
    <w:p w14:paraId="1DFDFF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3448BA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5171828" w14:textId="77777777" w:rsidR="003E545E" w:rsidRPr="00F90EAE" w:rsidRDefault="003E545E" w:rsidP="00F90EAE">
      <w:pPr>
        <w:autoSpaceDE w:val="0"/>
        <w:autoSpaceDN w:val="0"/>
        <w:adjustRightInd w:val="0"/>
        <w:jc w:val="both"/>
        <w:rPr>
          <w:color w:val="000000" w:themeColor="text1"/>
          <w:sz w:val="16"/>
          <w:szCs w:val="16"/>
        </w:rPr>
      </w:pPr>
    </w:p>
    <w:p w14:paraId="4206AB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 имелось 31 Ю-52 (6393).</w:t>
      </w:r>
    </w:p>
    <w:p w14:paraId="14F3AF1D" w14:textId="77777777" w:rsidR="00C2313B" w:rsidRPr="00F90EAE" w:rsidRDefault="00C2313B" w:rsidP="00F90EAE">
      <w:pPr>
        <w:autoSpaceDE w:val="0"/>
        <w:autoSpaceDN w:val="0"/>
        <w:adjustRightInd w:val="0"/>
        <w:jc w:val="both"/>
        <w:rPr>
          <w:color w:val="000000" w:themeColor="text1"/>
          <w:sz w:val="16"/>
          <w:szCs w:val="16"/>
        </w:rPr>
      </w:pPr>
    </w:p>
    <w:p w14:paraId="65352AAC" w14:textId="77777777" w:rsidR="005A1318" w:rsidRPr="00F90EAE" w:rsidRDefault="005A1318" w:rsidP="00F90EAE">
      <w:pPr>
        <w:shd w:val="clear" w:color="auto" w:fill="FFFFFF"/>
        <w:jc w:val="both"/>
        <w:rPr>
          <w:color w:val="0070C0"/>
          <w:sz w:val="16"/>
          <w:szCs w:val="16"/>
        </w:rPr>
      </w:pPr>
      <w:r w:rsidRPr="00F90EAE">
        <w:rPr>
          <w:color w:val="0070C0"/>
          <w:sz w:val="16"/>
          <w:szCs w:val="16"/>
        </w:rPr>
        <w:t>На 1 января 1945 г. в ГВФ имелось 31 Ю-52.</w:t>
      </w:r>
    </w:p>
    <w:p w14:paraId="43B2FECC" w14:textId="77777777" w:rsidR="005A1318" w:rsidRPr="00F90EAE" w:rsidRDefault="005A1318" w:rsidP="00F90EAE">
      <w:pPr>
        <w:shd w:val="clear" w:color="auto" w:fill="FFFFFF"/>
        <w:jc w:val="both"/>
        <w:rPr>
          <w:color w:val="0070C0"/>
          <w:sz w:val="16"/>
          <w:szCs w:val="16"/>
        </w:rPr>
      </w:pPr>
      <w:r w:rsidRPr="00F90EAE">
        <w:rPr>
          <w:color w:val="0070C0"/>
          <w:sz w:val="16"/>
          <w:szCs w:val="16"/>
        </w:rPr>
        <w:t>Согласно постановлению ГКО от 12 декабря 1944 г. все трофейные Ю-52 подлежали сдаче в ГВФ. Но имелись и исключения. Один "юнкере" довольно долго служил в санитарном отряде ВВС Балтийского флота. Три летающих тральщика эксплуатировапись после войны на Черном море. Они уничтожали магнитные мины у побережья Крыма, в районе Одессы и в устье Дуная.</w:t>
      </w:r>
    </w:p>
    <w:p w14:paraId="44E5AAAE" w14:textId="77777777" w:rsidR="005A1318" w:rsidRPr="00F90EAE" w:rsidRDefault="005A1318" w:rsidP="00F90EAE">
      <w:pPr>
        <w:shd w:val="clear" w:color="auto" w:fill="FFFFFF"/>
        <w:jc w:val="both"/>
        <w:rPr>
          <w:color w:val="0070C0"/>
          <w:sz w:val="16"/>
          <w:szCs w:val="16"/>
        </w:rPr>
      </w:pPr>
      <w:r w:rsidRPr="00F90EAE">
        <w:rPr>
          <w:color w:val="0070C0"/>
          <w:sz w:val="16"/>
          <w:szCs w:val="16"/>
        </w:rPr>
        <w:t>Но большая часть трофеев все-таки поступала в гражданскую авиацию. После капитуляции Германии в Советский Союз эшелонами погнали самолеты, моторы, различное оборудование и запасные части. К 1 октября 1945 г. парк ГВФ насчитывал уже 37 "юнкерсов". Из них пять совершенно исправных самолетов прибыли из Румынии - их изъяли по распоряжению союзной контрольной комиссии (21550).</w:t>
      </w:r>
    </w:p>
    <w:p w14:paraId="39D1B57F" w14:textId="77777777" w:rsidR="005A1318" w:rsidRPr="00F90EAE" w:rsidRDefault="005A1318" w:rsidP="00F90EAE">
      <w:pPr>
        <w:jc w:val="both"/>
        <w:rPr>
          <w:color w:val="0070C0"/>
          <w:sz w:val="16"/>
          <w:szCs w:val="16"/>
        </w:rPr>
      </w:pPr>
    </w:p>
    <w:p w14:paraId="63919A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года Народный комиссариат Авиационной Промышленности СССР, в лице Заместителя Начальника Седьмого Главного Управления т. Долинского Алексея Семеновича, действующего на основании доверенности N 305 от 1 января 1945 года, настоящей доверенностью уполномочивает Главного Конструктора ОКБ завода N 477 НКАП т. Бериева назначенного на эту должность приказом НКАП N 267с от 3 мая 1943 года совершать следующие действия: Руководить всей работой ОКБ завода N 477 в соответствии с возложенными на ОКБ задачами. Распоряжаться в пределах установленных законом средствами и имуществом ОКБ и совершать от имени ОКБ все необходимые операции и действия, вытекающие из возложенного на ОКБ завода объема работ. Нанимать, сдавать в аренду, приобретать и отчуждать имущество в порядке и в пределах, установленными законом и приказами НКАП. Обеспечивать своевременное получение контингентов и фондов на общественное питание и снабжение работников ОКБ и членов их семей продуктами питания и промтоварами. Совершать от имени ОКБ все банковские и кредитные операции в Госбанке, Промбанке и прочих кредитных учреждениях, пользоваться банковским кредитом, открывать и надлежащих случаях закрывать расчетные, текущие и прочие счета в банковских учреждениях, распоряжаться ими, подписывать чеки, платежные поручения и акцептировать платежные требования, выставлять аккредитивы, получать ссуды, выдавать обязательства, а также получать деньги и ценности. Получать от всех учреждений, предприятий и лиц документы, заказную и денежную корреспонденцию, посылки и другие почтовые отправления, предназначенные ОКБ. Принимать, увольнять рабочих и служащих, а также назначать и освобождать руководящих работников ОКБ кроме номенклатурных, назначаемых и освобождаемых НКАП или Главным Управлением. Представительствовать во всех административных и общественных организациях и учреждениях, а также в судах и арбитражах со всеми правами, предоставленными законом сторонам в процессе, в частности, с правом отказываться от исков и кончать дело миром. Передоверять отдельные из числа предусмотренных настоящей доверенностью полномочия своему заместителю и порядке выдачи разовых доверенностей другим подчиненным работникам. Доверенность выдана сроком до 31 декабря 1945 года (451).</w:t>
      </w:r>
    </w:p>
    <w:p w14:paraId="63E74F43" w14:textId="77777777" w:rsidR="00C2313B" w:rsidRPr="00F90EAE" w:rsidRDefault="00C2313B" w:rsidP="00F90EAE">
      <w:pPr>
        <w:autoSpaceDE w:val="0"/>
        <w:autoSpaceDN w:val="0"/>
        <w:adjustRightInd w:val="0"/>
        <w:jc w:val="both"/>
        <w:rPr>
          <w:color w:val="000000" w:themeColor="text1"/>
          <w:sz w:val="16"/>
          <w:szCs w:val="16"/>
        </w:rPr>
      </w:pPr>
    </w:p>
    <w:p w14:paraId="3BD89F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 января 1945 была подготовлена:</w:t>
      </w:r>
    </w:p>
    <w:p w14:paraId="006E82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2AA089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Краткая характеристика авиазаводов Австрии, Венгрии и Чехословакии на 1.01.1945 г. (8993).</w:t>
      </w:r>
    </w:p>
    <w:p w14:paraId="6BD13635" w14:textId="77777777" w:rsidR="00C2313B" w:rsidRPr="00F90EAE" w:rsidRDefault="00C2313B" w:rsidP="00F90EAE">
      <w:pPr>
        <w:autoSpaceDE w:val="0"/>
        <w:autoSpaceDN w:val="0"/>
        <w:adjustRightInd w:val="0"/>
        <w:jc w:val="both"/>
        <w:rPr>
          <w:color w:val="000000" w:themeColor="text1"/>
          <w:sz w:val="16"/>
          <w:szCs w:val="16"/>
        </w:rPr>
      </w:pPr>
    </w:p>
    <w:p w14:paraId="5419821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1A0345F" w14:textId="77777777" w:rsidR="00C2313B" w:rsidRPr="00F90EAE" w:rsidRDefault="00C2313B" w:rsidP="00F90EAE">
      <w:pPr>
        <w:autoSpaceDE w:val="0"/>
        <w:autoSpaceDN w:val="0"/>
        <w:adjustRightInd w:val="0"/>
        <w:jc w:val="both"/>
        <w:rPr>
          <w:iCs/>
          <w:color w:val="000000" w:themeColor="text1"/>
          <w:sz w:val="16"/>
          <w:szCs w:val="16"/>
        </w:rPr>
      </w:pPr>
    </w:p>
    <w:p w14:paraId="2A060B10" w14:textId="77777777" w:rsidR="003E545E" w:rsidRPr="00F90EAE" w:rsidRDefault="003E545E" w:rsidP="00F90EAE">
      <w:pPr>
        <w:pStyle w:val="book"/>
        <w:ind w:firstLine="0"/>
        <w:jc w:val="both"/>
        <w:rPr>
          <w:color w:val="000000" w:themeColor="text1"/>
          <w:sz w:val="16"/>
          <w:szCs w:val="16"/>
        </w:rPr>
      </w:pPr>
      <w:r w:rsidRPr="00F90EAE">
        <w:rPr>
          <w:color w:val="000000" w:themeColor="text1"/>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орудий калибров 75, 88, 105, 150 мм и других калибров (12225).</w:t>
      </w:r>
    </w:p>
    <w:p w14:paraId="44E323AD" w14:textId="77777777" w:rsidR="003E545E" w:rsidRPr="00F90EAE" w:rsidRDefault="003E545E" w:rsidP="00F90EAE">
      <w:pPr>
        <w:pStyle w:val="book"/>
        <w:ind w:firstLine="0"/>
        <w:jc w:val="both"/>
        <w:rPr>
          <w:color w:val="000000" w:themeColor="text1"/>
          <w:sz w:val="16"/>
          <w:szCs w:val="16"/>
        </w:rPr>
      </w:pPr>
    </w:p>
    <w:p w14:paraId="58DC8C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января 1945 г. были введены все внесенные изменения в танки Т-34 завода № 112. Летом-осенью 1944 одностворчатый люк командирской башенки, который был вве</w:t>
      </w:r>
      <w:r w:rsidRPr="00F90EAE">
        <w:rPr>
          <w:color w:val="000000" w:themeColor="text1"/>
          <w:sz w:val="16"/>
          <w:szCs w:val="16"/>
        </w:rPr>
        <w:softHyphen/>
        <w:t>ден еще на танке Т-43, ввиду того, что крышка люка ле</w:t>
      </w:r>
      <w:r w:rsidRPr="00F90EAE">
        <w:rPr>
          <w:color w:val="000000" w:themeColor="text1"/>
          <w:sz w:val="16"/>
          <w:szCs w:val="16"/>
        </w:rPr>
        <w:softHyphen/>
        <w:t>жала на вращающемся основании, сделать нормальное уравновешение ее не получилось и в серию был пущен дву</w:t>
      </w:r>
      <w:r w:rsidRPr="00F90EAE">
        <w:rPr>
          <w:color w:val="000000" w:themeColor="text1"/>
          <w:sz w:val="16"/>
          <w:szCs w:val="16"/>
        </w:rPr>
        <w:softHyphen/>
        <w:t>створчатый люк с прибором МК-1У в одной из створок. Открывать люк стало удобнее, но одной рукой делать это было почти невозможно. Кроме того, из-за вращающейся эыши башенки невозможно было предусмотреть стопоре створок в открытом положении, а при движении по пе-еченной местности случалось, что створки захлопыва</w:t>
      </w:r>
      <w:r w:rsidRPr="00F90EAE">
        <w:rPr>
          <w:color w:val="000000" w:themeColor="text1"/>
          <w:sz w:val="16"/>
          <w:szCs w:val="16"/>
        </w:rPr>
        <w:softHyphen/>
        <w:t>юсь самопроизвольно, порой раня командира танка. Кро-того, пользоваться прибором МК-1У командиру было йможно только при полностью закрытом люке. Устраняя эти недостатки, конструкторы завода № 112 вернулись к схеме Т-43, но отказались от вращающейся крыши башенки. Это позволило уравновесить большую крышку люка, для которой был разработан стопор крепления в от-эм положении. Смотровой прибор устанавливался в не-вижном секторе и мог вращаться командиром изнутри. Кроме того, в башне была сделана безрамная укладка р на 16 выстрелов снарядом на левый борт, вместо 12 выстрелов рамочной укладки, достать из которой последние 4 выстрела было крайне затруднительно.</w:t>
      </w:r>
    </w:p>
    <w:p w14:paraId="201620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последним нововведением башни Т-34-85 был пульт управления поворотом башни, которым мог пользоваться командир танка, что ускоряло целеуказание. Для ориентации командира в пространстве перед командирской башенкой была укреплена шкала часового типа с указателем угла пово</w:t>
      </w:r>
      <w:r w:rsidRPr="00F90EAE">
        <w:rPr>
          <w:color w:val="000000" w:themeColor="text1"/>
          <w:sz w:val="16"/>
          <w:szCs w:val="16"/>
        </w:rPr>
        <w:softHyphen/>
        <w:t>рота башни относительно направления движения. Кроме то</w:t>
      </w:r>
      <w:r w:rsidRPr="00F90EAE">
        <w:rPr>
          <w:color w:val="000000" w:themeColor="text1"/>
          <w:sz w:val="16"/>
          <w:szCs w:val="16"/>
        </w:rPr>
        <w:softHyphen/>
        <w:t xml:space="preserve">го, для полного уравновешения башни на заднюю стенку башни был укреплен груз массой 250—300 кг, в результате че-11|О </w:t>
      </w:r>
      <w:r w:rsidRPr="00F90EAE">
        <w:rPr>
          <w:smallCaps/>
          <w:color w:val="000000" w:themeColor="text1"/>
          <w:sz w:val="16"/>
          <w:szCs w:val="16"/>
        </w:rPr>
        <w:t xml:space="preserve">усилия </w:t>
      </w:r>
      <w:r w:rsidRPr="00F90EAE">
        <w:rPr>
          <w:color w:val="000000" w:themeColor="text1"/>
          <w:sz w:val="16"/>
          <w:szCs w:val="16"/>
        </w:rPr>
        <w:t>на маховиках поворотного механизма снизились до 1-4 кг, даже в случае крена танка в 15° (11135).</w:t>
      </w:r>
    </w:p>
    <w:p w14:paraId="0BE423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40C9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января 1945 г. была подготовлена ДОКЛАДНАЯ ЗАПИСКА ЗАМЕСТИТЕЛЯ КОМАНДУЮЩЕГО БТ и МВ КА НАРКОМУ ВНЕШНЕЙ ТОРГОВЛИ СССР А.И. МИКОЯНУ О ПРИОБРЕТЕНИИ ИНОСТРАННЫХ БРОНЕАВТОМОБИЛЕЙ ДЛЯ ГБТУ КА №845120</w:t>
      </w:r>
    </w:p>
    <w:p w14:paraId="327383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изучения конструкции бронеавтомобилей, применяемых Союзными армиями в совре</w:t>
      </w:r>
      <w:r w:rsidRPr="00F90EAE">
        <w:rPr>
          <w:color w:val="000000" w:themeColor="text1"/>
          <w:sz w:val="16"/>
          <w:szCs w:val="16"/>
        </w:rPr>
        <w:softHyphen/>
        <w:t>менной войне, и использования отдельных технических новшеств при изготовлении отечественных бронеавтомобилей и бронетранспортеров прошу Вашего распоряжение о закупке для Главного бронетанкового управления Красной Армии бронеавтомобилей следующих марок:</w:t>
      </w:r>
    </w:p>
    <w:p w14:paraId="14809E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Легкий трехосный бронеавтомобиль М-8 (Форд) — 3 шт.</w:t>
      </w:r>
    </w:p>
    <w:p w14:paraId="255EAD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Средний двухосный бронеавтомобиль Т17Е1 — 3 шт.</w:t>
      </w:r>
    </w:p>
    <w:p w14:paraId="3C3DEC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Англии</w:t>
      </w:r>
    </w:p>
    <w:p w14:paraId="2E9C89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Бронеавтомобиль Даймлер М-1 — 3 шт.</w:t>
      </w:r>
    </w:p>
    <w:p w14:paraId="464358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краткие технические данные бронеавтомобилей на 3 листах, с фотографиями в адрес, не с фотографиями в дело.</w:t>
      </w:r>
    </w:p>
    <w:p w14:paraId="20987C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14E449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11358. Д. 412. Л. 3. Копия.</w:t>
      </w:r>
    </w:p>
    <w:p w14:paraId="14D8CC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не публикуется.</w:t>
      </w:r>
    </w:p>
    <w:p w14:paraId="5C337D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Бирюков (11420).</w:t>
      </w:r>
    </w:p>
    <w:p w14:paraId="3E530D63" w14:textId="77777777" w:rsidR="00C2313B" w:rsidRPr="00F90EAE" w:rsidRDefault="00C2313B" w:rsidP="00F90EAE">
      <w:pPr>
        <w:autoSpaceDE w:val="0"/>
        <w:autoSpaceDN w:val="0"/>
        <w:adjustRightInd w:val="0"/>
        <w:jc w:val="both"/>
        <w:rPr>
          <w:color w:val="000000" w:themeColor="text1"/>
          <w:sz w:val="16"/>
          <w:szCs w:val="16"/>
        </w:rPr>
      </w:pPr>
    </w:p>
    <w:p w14:paraId="133558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Отчет завода № 540 НКВ за 1944 год</w:t>
      </w:r>
    </w:p>
    <w:p w14:paraId="009594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Лобанов</w:t>
      </w:r>
    </w:p>
    <w:p w14:paraId="056C94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Иркутск, п/я 155 (10104).</w:t>
      </w:r>
    </w:p>
    <w:p w14:paraId="317F8BD4" w14:textId="77777777" w:rsidR="00C2313B" w:rsidRPr="00F90EAE" w:rsidRDefault="00C2313B" w:rsidP="00F90EAE">
      <w:pPr>
        <w:autoSpaceDE w:val="0"/>
        <w:autoSpaceDN w:val="0"/>
        <w:adjustRightInd w:val="0"/>
        <w:jc w:val="both"/>
        <w:rPr>
          <w:color w:val="000000" w:themeColor="text1"/>
          <w:sz w:val="16"/>
          <w:szCs w:val="16"/>
        </w:rPr>
      </w:pPr>
    </w:p>
    <w:p w14:paraId="052414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На 1 января 1945 Отчет ЦКБ-3 НКВ за 1944 год</w:t>
      </w:r>
    </w:p>
    <w:p w14:paraId="5439DE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 Кошкин</w:t>
      </w:r>
    </w:p>
    <w:p w14:paraId="4B0910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Кунцево Московской области, п/я 99 (10099).</w:t>
      </w:r>
    </w:p>
    <w:p w14:paraId="35CF8F36" w14:textId="77777777" w:rsidR="00C2313B" w:rsidRPr="00F90EAE" w:rsidRDefault="00C2313B" w:rsidP="00F90EAE">
      <w:pPr>
        <w:autoSpaceDE w:val="0"/>
        <w:autoSpaceDN w:val="0"/>
        <w:adjustRightInd w:val="0"/>
        <w:jc w:val="both"/>
        <w:rPr>
          <w:color w:val="000000" w:themeColor="text1"/>
          <w:sz w:val="16"/>
          <w:szCs w:val="16"/>
        </w:rPr>
      </w:pPr>
    </w:p>
    <w:p w14:paraId="76B5D0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Отчет ОКБ-44 НКВ за 1944 год</w:t>
      </w:r>
    </w:p>
    <w:p w14:paraId="380211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Кунцево Московской области, п/я 95 (10100).</w:t>
      </w:r>
    </w:p>
    <w:p w14:paraId="42569F42" w14:textId="77777777" w:rsidR="00C2313B" w:rsidRPr="00F90EAE" w:rsidRDefault="00C2313B" w:rsidP="00F90EAE">
      <w:pPr>
        <w:autoSpaceDE w:val="0"/>
        <w:autoSpaceDN w:val="0"/>
        <w:adjustRightInd w:val="0"/>
        <w:jc w:val="both"/>
        <w:rPr>
          <w:color w:val="000000" w:themeColor="text1"/>
          <w:sz w:val="16"/>
          <w:szCs w:val="16"/>
        </w:rPr>
      </w:pPr>
    </w:p>
    <w:p w14:paraId="102883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был подготовлен Отчет завода № 503 НКБ за 1944 год</w:t>
      </w:r>
    </w:p>
    <w:p w14:paraId="7D3BBF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завода № 503 инженер-полковник ИАС Крысин.</w:t>
      </w:r>
    </w:p>
    <w:p w14:paraId="7831D0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Ввод в эксплуатацию – 1910 год</w:t>
      </w:r>
    </w:p>
    <w:p w14:paraId="2A1BBD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Чапаевск Куйбышевской области (10215).</w:t>
      </w:r>
    </w:p>
    <w:p w14:paraId="0553A4D8" w14:textId="77777777" w:rsidR="00C2313B" w:rsidRPr="00F90EAE" w:rsidRDefault="00C2313B" w:rsidP="00F90EAE">
      <w:pPr>
        <w:autoSpaceDE w:val="0"/>
        <w:autoSpaceDN w:val="0"/>
        <w:adjustRightInd w:val="0"/>
        <w:jc w:val="both"/>
        <w:rPr>
          <w:color w:val="000000" w:themeColor="text1"/>
          <w:sz w:val="16"/>
          <w:szCs w:val="16"/>
        </w:rPr>
      </w:pPr>
    </w:p>
    <w:p w14:paraId="74E7AC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был подготовлен Отчет завода № 502 НКБ за 1944 год</w:t>
      </w:r>
    </w:p>
    <w:p w14:paraId="76D01B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завода – Щекотихин С.А.</w:t>
      </w:r>
    </w:p>
    <w:p w14:paraId="28B57E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Дзержинск, Свердлвский район, Горьковская область</w:t>
      </w:r>
    </w:p>
    <w:p w14:paraId="55C0AA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Ввод в эксплуатацию – 1918 год (10216).</w:t>
      </w:r>
    </w:p>
    <w:p w14:paraId="5B69A221" w14:textId="77777777" w:rsidR="00C2313B" w:rsidRPr="00F90EAE" w:rsidRDefault="00C2313B" w:rsidP="00F90EAE">
      <w:pPr>
        <w:autoSpaceDE w:val="0"/>
        <w:autoSpaceDN w:val="0"/>
        <w:adjustRightInd w:val="0"/>
        <w:jc w:val="both"/>
        <w:rPr>
          <w:color w:val="000000" w:themeColor="text1"/>
          <w:sz w:val="16"/>
          <w:szCs w:val="16"/>
        </w:rPr>
      </w:pPr>
    </w:p>
    <w:p w14:paraId="7E7DC4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был подготовлен Отчет завода № 461 (снаряжательный) НКБ за 1944 год</w:t>
      </w:r>
    </w:p>
    <w:p w14:paraId="39FB51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Китин</w:t>
      </w:r>
    </w:p>
    <w:p w14:paraId="798156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Организационная деятельность завода в основном началась на основании приказа НКБ № 522с с 15 октября 1944 года на базе бывшего 5-го производства Комбината № 179, выделенный в самостоятельный завод № 461.</w:t>
      </w:r>
    </w:p>
    <w:p w14:paraId="71F32C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Основным производственным процессом завода является снаряжение 76 м ОФ снарядов путем шнекования амматолом 80/20 с доливкой тротиловой пробки.</w:t>
      </w:r>
    </w:p>
    <w:p w14:paraId="190BCA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15 октября 1944 года по 1 января 1945 года завод находился в стадии организации и выпуска продукции не производил.</w:t>
      </w:r>
    </w:p>
    <w:p w14:paraId="745943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Ввод в эксплуатацию – 1944 год</w:t>
      </w:r>
    </w:p>
    <w:p w14:paraId="1F821C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Новосибирск, Кировский район, п/я 153 (10217).</w:t>
      </w:r>
    </w:p>
    <w:p w14:paraId="5D8FC411" w14:textId="77777777" w:rsidR="00C2313B" w:rsidRPr="00F90EAE" w:rsidRDefault="00C2313B" w:rsidP="00F90EAE">
      <w:pPr>
        <w:autoSpaceDE w:val="0"/>
        <w:autoSpaceDN w:val="0"/>
        <w:adjustRightInd w:val="0"/>
        <w:jc w:val="both"/>
        <w:rPr>
          <w:color w:val="000000" w:themeColor="text1"/>
          <w:sz w:val="16"/>
          <w:szCs w:val="16"/>
        </w:rPr>
      </w:pPr>
    </w:p>
    <w:p w14:paraId="6F6199A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E4FFDC6" w14:textId="77777777" w:rsidR="00C2313B" w:rsidRPr="00F90EAE" w:rsidRDefault="00C2313B" w:rsidP="00F90EAE">
      <w:pPr>
        <w:autoSpaceDE w:val="0"/>
        <w:autoSpaceDN w:val="0"/>
        <w:adjustRightInd w:val="0"/>
        <w:jc w:val="both"/>
        <w:rPr>
          <w:iCs/>
          <w:color w:val="000000" w:themeColor="text1"/>
          <w:sz w:val="16"/>
          <w:szCs w:val="16"/>
        </w:rPr>
      </w:pPr>
    </w:p>
    <w:p w14:paraId="2DC75CA3" w14:textId="77777777" w:rsidR="003E545E" w:rsidRPr="00F90EAE" w:rsidRDefault="003E545E" w:rsidP="00F90EAE">
      <w:pPr>
        <w:jc w:val="both"/>
        <w:rPr>
          <w:color w:val="000000" w:themeColor="text1"/>
          <w:sz w:val="16"/>
          <w:szCs w:val="16"/>
        </w:rPr>
      </w:pPr>
      <w:r w:rsidRPr="00F90EAE">
        <w:rPr>
          <w:bCs/>
          <w:color w:val="000000" w:themeColor="text1"/>
          <w:sz w:val="16"/>
          <w:szCs w:val="16"/>
        </w:rPr>
        <w:t>1 января</w:t>
      </w:r>
      <w:r w:rsidRPr="00F90EAE">
        <w:rPr>
          <w:color w:val="000000" w:themeColor="text1"/>
          <w:sz w:val="16"/>
          <w:szCs w:val="16"/>
        </w:rPr>
        <w:t xml:space="preserve"> в 1945 году оперативная сводка Совинформбюро:</w:t>
      </w:r>
    </w:p>
    <w:p w14:paraId="5439AC89" w14:textId="77777777" w:rsidR="003E545E" w:rsidRPr="00F90EAE" w:rsidRDefault="003E545E" w:rsidP="00F90EAE">
      <w:pPr>
        <w:jc w:val="both"/>
        <w:rPr>
          <w:color w:val="000000" w:themeColor="text1"/>
          <w:sz w:val="16"/>
          <w:szCs w:val="16"/>
        </w:rPr>
      </w:pPr>
      <w:r w:rsidRPr="00F90EAE">
        <w:rPr>
          <w:color w:val="000000" w:themeColor="text1"/>
          <w:sz w:val="16"/>
          <w:szCs w:val="16"/>
        </w:rPr>
        <w:t>«В течение 1 января на территории Чехословакии наши войска, наступающие в направлении города Лученец, с боями заняли населённые пункты Великие Дравце, Больковце, Нитра, Галша, Тэрбеловце, Микушовце (3 километра южнее Лученец), Раповце, Панитске-Дравце, Тэринч, Бушинце, Малые Злевце, Малые и Великие Страцини, Плахтинце и железнодорожную станцию Раповце. В боях за 31 декабря в этом районе наши войска взяли в плен 515 немецких солдат и офицеров.</w:t>
      </w:r>
    </w:p>
    <w:p w14:paraId="439CDD02"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продолжая бои по уничтожению окружённой в городе группировки противника, заняли свыше 200 кварталов и железнодорожную станцию Ракош в восточной части города.</w:t>
      </w:r>
    </w:p>
    <w:p w14:paraId="73D77C60"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2CCB693C" w14:textId="77777777" w:rsidR="003E545E" w:rsidRPr="00F90EAE" w:rsidRDefault="003E545E" w:rsidP="00F90EAE">
      <w:pPr>
        <w:jc w:val="both"/>
        <w:rPr>
          <w:color w:val="000000" w:themeColor="text1"/>
          <w:sz w:val="16"/>
          <w:szCs w:val="16"/>
        </w:rPr>
      </w:pPr>
      <w:r w:rsidRPr="00F90EAE">
        <w:rPr>
          <w:color w:val="000000" w:themeColor="text1"/>
          <w:sz w:val="16"/>
          <w:szCs w:val="16"/>
        </w:rPr>
        <w:t>За 31 декабря наши войска подбили и уничтожили 48 немецких танков. В воздушных боях и огнём зенитной артиллерии сбито 4 самолёта противника.</w:t>
      </w:r>
    </w:p>
    <w:p w14:paraId="1290EE1A" w14:textId="77777777" w:rsidR="003E545E" w:rsidRPr="00F90EAE" w:rsidRDefault="003E545E" w:rsidP="00F90EAE">
      <w:pPr>
        <w:jc w:val="both"/>
        <w:rPr>
          <w:color w:val="000000" w:themeColor="text1"/>
          <w:sz w:val="16"/>
          <w:szCs w:val="16"/>
        </w:rPr>
      </w:pPr>
      <w:r w:rsidRPr="00F90EAE">
        <w:rPr>
          <w:color w:val="000000" w:themeColor="text1"/>
          <w:sz w:val="16"/>
          <w:szCs w:val="16"/>
        </w:rPr>
        <w:t>В Чехословакии наши войска с боями заняли несколько населённых пунктов. Части Н-ского соединения в нескольких местах переправились через реку Ипель и овладели населённым пунктом Микушовце, находящимся в трёх километрах от города Лученец. За день боёв уничтожено свыше 400 вражеских солдат и офицеров, подбито и сожжено 6 немецких танков и самоходных орудий. Подразделения Н-ской стрелковой части выбили немцев из сильно укреплённых позиций и захватили 2 орудия, 14 пулеметов, 7 миномётов, 30 тысяч патронов и 35 тысяч ручных гранат. На другом участке командир пулемётного расчёта Ниякин огнём из пулемёта прижал к земле группу противника. Пятнадцать гитлеровцев прекратили сопротивление и сдались в плен. Батальон, которым командует офицер Петухов, ночью ворвался в населённый пункт, в котором закрепились гитлеровцы. Советские бойцы истребили до роты вражеской пехоты и к утру полностью очистили село от немецких захватчиков. После того как прекратился бой, местные жители вышли из укрытий и с радостью встретили наших бойцов.</w:t>
      </w:r>
    </w:p>
    <w:p w14:paraId="5D0B23F9"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вели бои по уничтожению окружённой группировки противника. В восточной части города наши подразделения, действуя небольшими штурмовыми группами, выбивают немцев из домов. Гитлеровцы засели в подвалах и на чердаках и ведут сильный артиллерийский и ружейно-пулемётный огонь. Советские бойцы проникают в тыл противника, врываются в дома и истребляют находящихся в них немецких солдат и офицеров. Подразделения Н-ской части за день заняли семь кварталов города, истребив при этом две роты гитлеровцев. Автоматчики под командованием сержанта Адавкина пробрались в сильно укреплённое здание и уничтожили орудие и пулемётную точку противника. Рядовой Шмелев подполз к дому, из которого немцы вели огонь из пулемёта. Бросив в дом гранату, Шмелев уничтожил пулемётный расчёт противника. Отважный боец проник внутрь здания. На втором этаже на него напали три гитлеровца. Тов. Шмелев застрелил двух немцев, а третьего разоружил и взял в плен.</w:t>
      </w:r>
    </w:p>
    <w:p w14:paraId="0F700112" w14:textId="77777777" w:rsidR="003E545E" w:rsidRPr="00F90EAE" w:rsidRDefault="003E545E" w:rsidP="00F90EAE">
      <w:pPr>
        <w:jc w:val="both"/>
        <w:rPr>
          <w:color w:val="000000" w:themeColor="text1"/>
          <w:sz w:val="16"/>
          <w:szCs w:val="16"/>
        </w:rPr>
      </w:pPr>
      <w:r w:rsidRPr="00F90EAE">
        <w:rPr>
          <w:color w:val="000000" w:themeColor="text1"/>
          <w:sz w:val="16"/>
          <w:szCs w:val="16"/>
        </w:rPr>
        <w:t>В западной части Будапешта наши войска штурмовали вражеские опорные пункты. В течение дня уничтожено свыше 1.000 немецких солдат и офицеров, подбито и сожжено 24 танка и 13 бронетранспортёров противника. Взято в плен 429 немецких солдат и офицеров.</w:t>
      </w:r>
    </w:p>
    <w:p w14:paraId="56E5BB72" w14:textId="77777777" w:rsidR="003E545E" w:rsidRPr="00F90EAE" w:rsidRDefault="003E545E" w:rsidP="00F90EAE">
      <w:pPr>
        <w:jc w:val="both"/>
        <w:rPr>
          <w:color w:val="000000" w:themeColor="text1"/>
          <w:sz w:val="16"/>
          <w:szCs w:val="16"/>
        </w:rPr>
      </w:pPr>
      <w:r w:rsidRPr="00F90EAE">
        <w:rPr>
          <w:color w:val="000000" w:themeColor="text1"/>
          <w:sz w:val="16"/>
          <w:szCs w:val="16"/>
        </w:rPr>
        <w:t>Ночью немецкие самолёты транспортировали грузы войскам противника, окружённым в городе Будапеште. Огнем нашей зенитной артиллерии сбито 2 немецких транспортных самолёта.</w:t>
      </w:r>
    </w:p>
    <w:p w14:paraId="4654EF30" w14:textId="77777777" w:rsidR="003E545E" w:rsidRPr="00F90EAE" w:rsidRDefault="003E545E" w:rsidP="00F90EAE">
      <w:pPr>
        <w:jc w:val="both"/>
        <w:rPr>
          <w:color w:val="000000" w:themeColor="text1"/>
          <w:sz w:val="16"/>
          <w:szCs w:val="16"/>
        </w:rPr>
      </w:pPr>
      <w:r w:rsidRPr="00F90EAE">
        <w:rPr>
          <w:color w:val="000000" w:themeColor="text1"/>
          <w:sz w:val="16"/>
          <w:szCs w:val="16"/>
        </w:rPr>
        <w:t>В Чехословакии, восточнее города Кошице, рота немецких автоматчиков пыталась лесом пробраться в расположение нашей обороны. Находившиеся в боевом охранении советские бойцы вовремя заметили гитлеровцев и встретили их ружейно-пулемётным огнём. Вскоре их поддержали артиллеристы и миномётчики. Отряд противника был рассеян. На подступах к нашим позициям осталось 40 убитых немцев.</w:t>
      </w:r>
    </w:p>
    <w:p w14:paraId="4368D80F" w14:textId="77777777" w:rsidR="003E545E" w:rsidRPr="00F90EAE" w:rsidRDefault="003E545E" w:rsidP="00F90EAE">
      <w:pPr>
        <w:jc w:val="both"/>
        <w:rPr>
          <w:color w:val="000000" w:themeColor="text1"/>
          <w:sz w:val="16"/>
          <w:szCs w:val="16"/>
        </w:rPr>
      </w:pPr>
      <w:r w:rsidRPr="00F90EAE">
        <w:rPr>
          <w:color w:val="000000" w:themeColor="text1"/>
          <w:sz w:val="16"/>
          <w:szCs w:val="16"/>
        </w:rPr>
        <w:t>На 1-м Украинском фронте наши разведчики проникли в расположение противника и уничтожили группу немецких солдат.</w:t>
      </w:r>
    </w:p>
    <w:p w14:paraId="28358633" w14:textId="77777777" w:rsidR="003E545E" w:rsidRPr="00F90EAE" w:rsidRDefault="003E545E" w:rsidP="00F90EAE">
      <w:pPr>
        <w:jc w:val="both"/>
        <w:rPr>
          <w:color w:val="000000" w:themeColor="text1"/>
          <w:sz w:val="16"/>
          <w:szCs w:val="16"/>
        </w:rPr>
      </w:pPr>
      <w:r w:rsidRPr="00F90EAE">
        <w:rPr>
          <w:color w:val="000000" w:themeColor="text1"/>
          <w:sz w:val="16"/>
          <w:szCs w:val="16"/>
        </w:rPr>
        <w:t>Снайперы во главе с Героем Советского Союза старшиной Соханом за месяц уничтожили 93 гитлеровца.</w:t>
      </w:r>
    </w:p>
    <w:p w14:paraId="286A28B2" w14:textId="77777777" w:rsidR="003E545E" w:rsidRPr="00F90EAE" w:rsidRDefault="003E545E" w:rsidP="00F90EAE">
      <w:pPr>
        <w:jc w:val="both"/>
        <w:rPr>
          <w:color w:val="000000" w:themeColor="text1"/>
          <w:sz w:val="16"/>
          <w:szCs w:val="16"/>
        </w:rPr>
      </w:pPr>
      <w:r w:rsidRPr="00F90EAE">
        <w:rPr>
          <w:color w:val="000000" w:themeColor="text1"/>
          <w:sz w:val="16"/>
          <w:szCs w:val="16"/>
        </w:rPr>
        <w:t>Истребители авиачасти трижды Героя Советского Союза Покрышкина за шесть лётных дней сбили 5 немецких самолётов, уничтожили 5 паровозов, а также несколько автомашин противника с грузами.» (14996).</w:t>
      </w:r>
    </w:p>
    <w:p w14:paraId="0BA80A29" w14:textId="77777777" w:rsidR="003E545E" w:rsidRPr="00F90EAE" w:rsidRDefault="003E545E" w:rsidP="00F90EAE">
      <w:pPr>
        <w:jc w:val="both"/>
        <w:rPr>
          <w:color w:val="000000" w:themeColor="text1"/>
          <w:sz w:val="16"/>
          <w:szCs w:val="16"/>
        </w:rPr>
      </w:pPr>
    </w:p>
    <w:p w14:paraId="489A84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 в ВВС насчитывалось 1314 в Пе-2 варианте бомбардировщика и 345 в варианте разведчика, но их доля в самолетном парке относительно других типов не возросла. Более того, появился мощный конкурент - бомбардировщик А.Н.Туполева Ту-2. Впервые несколько Ту-2 появилось на фронте еще в 1942 г. во время войсковых испытаний. На Курской дуге было всего 18 Ту-2 в 285-й бад полковника В.А.Сандалова, которые применялись в основном в качестве разведчиков. А в мае 1944 г. под Ленинградом 334-я бад полковника Н.П. Скока целиком состояла из этих самолетов. Ту-2 превосходил Пе-2 и по летным данным, и по вооружению, и по бомбовой нагрузке. Однако до самого конца войны самолет Петлякова оставался наиболее распространенным советским бомбардировщиком. Пе-2 действовали над всей Восточной Европой, сопровождая наступление советских войск. Большую роль сыграли Пе-2 в боевых операциях в Польше, Чехословакии, Венгрии (3542).</w:t>
      </w:r>
    </w:p>
    <w:p w14:paraId="6AC82F80" w14:textId="77777777" w:rsidR="00C2313B" w:rsidRPr="00F90EAE" w:rsidRDefault="00C2313B" w:rsidP="00F90EAE">
      <w:pPr>
        <w:autoSpaceDE w:val="0"/>
        <w:autoSpaceDN w:val="0"/>
        <w:adjustRightInd w:val="0"/>
        <w:jc w:val="both"/>
        <w:rPr>
          <w:color w:val="000000" w:themeColor="text1"/>
          <w:sz w:val="16"/>
          <w:szCs w:val="16"/>
        </w:rPr>
      </w:pPr>
    </w:p>
    <w:p w14:paraId="1CD320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561F31" w:rsidRPr="00F90EAE" w14:paraId="521533E7" w14:textId="77777777">
        <w:tc>
          <w:tcPr>
            <w:tcW w:w="1019" w:type="dxa"/>
            <w:tcBorders>
              <w:top w:val="single" w:sz="12" w:space="0" w:color="auto"/>
            </w:tcBorders>
          </w:tcPr>
          <w:p w14:paraId="6A8D41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Объединение</w:t>
            </w:r>
          </w:p>
        </w:tc>
        <w:tc>
          <w:tcPr>
            <w:tcW w:w="1019" w:type="dxa"/>
            <w:tcBorders>
              <w:top w:val="single" w:sz="12" w:space="0" w:color="auto"/>
            </w:tcBorders>
          </w:tcPr>
          <w:p w14:paraId="4820B5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1019" w:type="dxa"/>
            <w:tcBorders>
              <w:top w:val="single" w:sz="12" w:space="0" w:color="auto"/>
            </w:tcBorders>
          </w:tcPr>
          <w:p w14:paraId="29E38DAB" w14:textId="77777777" w:rsidR="00C2313B" w:rsidRPr="00F90EAE" w:rsidRDefault="00C2313B" w:rsidP="00F90EAE">
            <w:pPr>
              <w:autoSpaceDE w:val="0"/>
              <w:autoSpaceDN w:val="0"/>
              <w:adjustRightInd w:val="0"/>
              <w:jc w:val="both"/>
              <w:rPr>
                <w:color w:val="000000" w:themeColor="text1"/>
                <w:sz w:val="16"/>
                <w:szCs w:val="16"/>
              </w:rPr>
            </w:pPr>
          </w:p>
        </w:tc>
        <w:tc>
          <w:tcPr>
            <w:tcW w:w="1019" w:type="dxa"/>
            <w:tcBorders>
              <w:top w:val="single" w:sz="12" w:space="0" w:color="auto"/>
            </w:tcBorders>
          </w:tcPr>
          <w:p w14:paraId="19BE9F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Разведчики</w:t>
            </w:r>
          </w:p>
        </w:tc>
        <w:tc>
          <w:tcPr>
            <w:tcW w:w="1019" w:type="dxa"/>
            <w:tcBorders>
              <w:top w:val="single" w:sz="12" w:space="0" w:color="auto"/>
            </w:tcBorders>
          </w:tcPr>
          <w:p w14:paraId="41075A04"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2F5FAB0" w14:textId="77777777">
        <w:tc>
          <w:tcPr>
            <w:tcW w:w="1019" w:type="dxa"/>
          </w:tcPr>
          <w:p w14:paraId="127506B4" w14:textId="77777777" w:rsidR="00C2313B" w:rsidRPr="00F90EAE" w:rsidRDefault="00C2313B" w:rsidP="00F90EAE">
            <w:pPr>
              <w:autoSpaceDE w:val="0"/>
              <w:autoSpaceDN w:val="0"/>
              <w:adjustRightInd w:val="0"/>
              <w:jc w:val="both"/>
              <w:rPr>
                <w:color w:val="000000" w:themeColor="text1"/>
                <w:sz w:val="16"/>
                <w:szCs w:val="16"/>
              </w:rPr>
            </w:pPr>
          </w:p>
        </w:tc>
        <w:tc>
          <w:tcPr>
            <w:tcW w:w="1019" w:type="dxa"/>
          </w:tcPr>
          <w:p w14:paraId="2E8EDC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19" w:type="dxa"/>
          </w:tcPr>
          <w:p w14:paraId="39ABA5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Неисправны</w:t>
            </w:r>
          </w:p>
        </w:tc>
        <w:tc>
          <w:tcPr>
            <w:tcW w:w="1019" w:type="dxa"/>
          </w:tcPr>
          <w:p w14:paraId="08FCFA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Всего </w:t>
            </w:r>
          </w:p>
        </w:tc>
        <w:tc>
          <w:tcPr>
            <w:tcW w:w="1019" w:type="dxa"/>
          </w:tcPr>
          <w:p w14:paraId="6C3186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 исправны</w:t>
            </w:r>
          </w:p>
        </w:tc>
      </w:tr>
      <w:tr w:rsidR="00561F31" w:rsidRPr="00F90EAE" w14:paraId="60E12151" w14:textId="77777777">
        <w:tc>
          <w:tcPr>
            <w:tcW w:w="1019" w:type="dxa"/>
          </w:tcPr>
          <w:p w14:paraId="719F19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1-я ВА</w:t>
            </w:r>
          </w:p>
        </w:tc>
        <w:tc>
          <w:tcPr>
            <w:tcW w:w="1019" w:type="dxa"/>
          </w:tcPr>
          <w:p w14:paraId="7FA48B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202</w:t>
            </w:r>
          </w:p>
        </w:tc>
        <w:tc>
          <w:tcPr>
            <w:tcW w:w="1019" w:type="dxa"/>
          </w:tcPr>
          <w:p w14:paraId="667BD3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019" w:type="dxa"/>
          </w:tcPr>
          <w:p w14:paraId="376053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1019" w:type="dxa"/>
          </w:tcPr>
          <w:p w14:paraId="05747C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624DCD3D" w14:textId="77777777">
        <w:tc>
          <w:tcPr>
            <w:tcW w:w="1019" w:type="dxa"/>
          </w:tcPr>
          <w:p w14:paraId="37C7FA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2-я ВА</w:t>
            </w:r>
          </w:p>
        </w:tc>
        <w:tc>
          <w:tcPr>
            <w:tcW w:w="1019" w:type="dxa"/>
          </w:tcPr>
          <w:p w14:paraId="0DD034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408</w:t>
            </w:r>
          </w:p>
        </w:tc>
        <w:tc>
          <w:tcPr>
            <w:tcW w:w="1019" w:type="dxa"/>
          </w:tcPr>
          <w:p w14:paraId="078502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019" w:type="dxa"/>
          </w:tcPr>
          <w:p w14:paraId="14C14E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1019" w:type="dxa"/>
          </w:tcPr>
          <w:p w14:paraId="56E676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6C00173A" w14:textId="77777777">
        <w:tc>
          <w:tcPr>
            <w:tcW w:w="1019" w:type="dxa"/>
          </w:tcPr>
          <w:p w14:paraId="5DC778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3-я ВА</w:t>
            </w:r>
          </w:p>
        </w:tc>
        <w:tc>
          <w:tcPr>
            <w:tcW w:w="1019" w:type="dxa"/>
          </w:tcPr>
          <w:p w14:paraId="4863AA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204</w:t>
            </w:r>
          </w:p>
        </w:tc>
        <w:tc>
          <w:tcPr>
            <w:tcW w:w="1019" w:type="dxa"/>
          </w:tcPr>
          <w:p w14:paraId="3285D7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019" w:type="dxa"/>
          </w:tcPr>
          <w:p w14:paraId="53B482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019" w:type="dxa"/>
          </w:tcPr>
          <w:p w14:paraId="4EFD71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625CF62" w14:textId="77777777">
        <w:tc>
          <w:tcPr>
            <w:tcW w:w="1019" w:type="dxa"/>
          </w:tcPr>
          <w:p w14:paraId="5A87EA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4-я ВА</w:t>
            </w:r>
          </w:p>
        </w:tc>
        <w:tc>
          <w:tcPr>
            <w:tcW w:w="1019" w:type="dxa"/>
          </w:tcPr>
          <w:p w14:paraId="2B2FC5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2C9A9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D7B9C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019" w:type="dxa"/>
          </w:tcPr>
          <w:p w14:paraId="3A37B4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F747451" w14:textId="77777777">
        <w:tc>
          <w:tcPr>
            <w:tcW w:w="1019" w:type="dxa"/>
          </w:tcPr>
          <w:p w14:paraId="739194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5-я ВА</w:t>
            </w:r>
          </w:p>
        </w:tc>
        <w:tc>
          <w:tcPr>
            <w:tcW w:w="1019" w:type="dxa"/>
          </w:tcPr>
          <w:p w14:paraId="330671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92F1E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FB256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019" w:type="dxa"/>
          </w:tcPr>
          <w:p w14:paraId="37A9FD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B6A2FBF" w14:textId="77777777">
        <w:tc>
          <w:tcPr>
            <w:tcW w:w="1019" w:type="dxa"/>
          </w:tcPr>
          <w:p w14:paraId="019F04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6-я ВА'</w:t>
            </w:r>
          </w:p>
        </w:tc>
        <w:tc>
          <w:tcPr>
            <w:tcW w:w="1019" w:type="dxa"/>
          </w:tcPr>
          <w:p w14:paraId="4C8D70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1019" w:type="dxa"/>
          </w:tcPr>
          <w:p w14:paraId="691884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CA3A0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C5A9D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8ACB3A1" w14:textId="77777777">
        <w:tc>
          <w:tcPr>
            <w:tcW w:w="1019" w:type="dxa"/>
          </w:tcPr>
          <w:p w14:paraId="53B67C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7-я ВАг</w:t>
            </w:r>
          </w:p>
        </w:tc>
        <w:tc>
          <w:tcPr>
            <w:tcW w:w="1019" w:type="dxa"/>
          </w:tcPr>
          <w:p w14:paraId="1ACA1A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019" w:type="dxa"/>
          </w:tcPr>
          <w:p w14:paraId="565F5D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019" w:type="dxa"/>
          </w:tcPr>
          <w:p w14:paraId="239A8D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1019" w:type="dxa"/>
          </w:tcPr>
          <w:p w14:paraId="7B34EE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5F09AB38" w14:textId="77777777">
        <w:tc>
          <w:tcPr>
            <w:tcW w:w="1019" w:type="dxa"/>
          </w:tcPr>
          <w:p w14:paraId="5473F9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8-я ВА</w:t>
            </w:r>
          </w:p>
        </w:tc>
        <w:tc>
          <w:tcPr>
            <w:tcW w:w="1019" w:type="dxa"/>
          </w:tcPr>
          <w:p w14:paraId="002793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094F1B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AEC6B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019" w:type="dxa"/>
          </w:tcPr>
          <w:p w14:paraId="1AF5B4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5FF4ED0B" w14:textId="77777777">
        <w:tc>
          <w:tcPr>
            <w:tcW w:w="1019" w:type="dxa"/>
          </w:tcPr>
          <w:p w14:paraId="10FA62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13-я ВА</w:t>
            </w:r>
          </w:p>
        </w:tc>
        <w:tc>
          <w:tcPr>
            <w:tcW w:w="1019" w:type="dxa"/>
          </w:tcPr>
          <w:p w14:paraId="70991C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019" w:type="dxa"/>
          </w:tcPr>
          <w:p w14:paraId="3CF88A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25E013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019" w:type="dxa"/>
          </w:tcPr>
          <w:p w14:paraId="205460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AA757AB" w14:textId="77777777">
        <w:tc>
          <w:tcPr>
            <w:tcW w:w="1019" w:type="dxa"/>
          </w:tcPr>
          <w:p w14:paraId="5236AC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14-я ВА</w:t>
            </w:r>
          </w:p>
        </w:tc>
        <w:tc>
          <w:tcPr>
            <w:tcW w:w="1019" w:type="dxa"/>
          </w:tcPr>
          <w:p w14:paraId="168619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019" w:type="dxa"/>
          </w:tcPr>
          <w:p w14:paraId="318954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019" w:type="dxa"/>
          </w:tcPr>
          <w:p w14:paraId="7C6DCD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019" w:type="dxa"/>
          </w:tcPr>
          <w:p w14:paraId="1B6271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6F0B874E" w14:textId="77777777">
        <w:tc>
          <w:tcPr>
            <w:tcW w:w="1019" w:type="dxa"/>
          </w:tcPr>
          <w:p w14:paraId="70DAFD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15-я ВА</w:t>
            </w:r>
          </w:p>
        </w:tc>
        <w:tc>
          <w:tcPr>
            <w:tcW w:w="1019" w:type="dxa"/>
          </w:tcPr>
          <w:p w14:paraId="1C3C3B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w:t>
            </w:r>
          </w:p>
        </w:tc>
        <w:tc>
          <w:tcPr>
            <w:tcW w:w="1019" w:type="dxa"/>
          </w:tcPr>
          <w:p w14:paraId="4DC428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019" w:type="dxa"/>
          </w:tcPr>
          <w:p w14:paraId="794BA4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019" w:type="dxa"/>
          </w:tcPr>
          <w:p w14:paraId="65FE7C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8BB4BF9" w14:textId="77777777">
        <w:tc>
          <w:tcPr>
            <w:tcW w:w="1019" w:type="dxa"/>
          </w:tcPr>
          <w:p w14:paraId="2852BB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16-я ВА</w:t>
            </w:r>
          </w:p>
        </w:tc>
        <w:tc>
          <w:tcPr>
            <w:tcW w:w="1019" w:type="dxa"/>
          </w:tcPr>
          <w:p w14:paraId="08E30F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289</w:t>
            </w:r>
          </w:p>
        </w:tc>
        <w:tc>
          <w:tcPr>
            <w:tcW w:w="1019" w:type="dxa"/>
          </w:tcPr>
          <w:p w14:paraId="09DA5C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019" w:type="dxa"/>
          </w:tcPr>
          <w:p w14:paraId="191BF8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019" w:type="dxa"/>
          </w:tcPr>
          <w:p w14:paraId="61085B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2BA967E0" w14:textId="77777777">
        <w:tc>
          <w:tcPr>
            <w:tcW w:w="1019" w:type="dxa"/>
          </w:tcPr>
          <w:p w14:paraId="645E3D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17-я ВА</w:t>
            </w:r>
          </w:p>
        </w:tc>
        <w:tc>
          <w:tcPr>
            <w:tcW w:w="1019" w:type="dxa"/>
          </w:tcPr>
          <w:p w14:paraId="0E7445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D9803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BBAA4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019" w:type="dxa"/>
          </w:tcPr>
          <w:p w14:paraId="723D105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w:t>
            </w:r>
          </w:p>
        </w:tc>
      </w:tr>
      <w:tr w:rsidR="00561F31" w:rsidRPr="00F90EAE" w14:paraId="16E8E538" w14:textId="77777777">
        <w:tc>
          <w:tcPr>
            <w:tcW w:w="1019" w:type="dxa"/>
            <w:tcBorders>
              <w:bottom w:val="single" w:sz="12" w:space="0" w:color="auto"/>
            </w:tcBorders>
          </w:tcPr>
          <w:p w14:paraId="1D02B6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19" w:type="dxa"/>
            <w:tcBorders>
              <w:bottom w:val="single" w:sz="12" w:space="0" w:color="auto"/>
            </w:tcBorders>
          </w:tcPr>
          <w:p w14:paraId="0C2983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1314</w:t>
            </w:r>
          </w:p>
        </w:tc>
        <w:tc>
          <w:tcPr>
            <w:tcW w:w="1019" w:type="dxa"/>
            <w:tcBorders>
              <w:bottom w:val="single" w:sz="12" w:space="0" w:color="auto"/>
            </w:tcBorders>
          </w:tcPr>
          <w:p w14:paraId="2FB89E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67</w:t>
            </w:r>
          </w:p>
        </w:tc>
        <w:tc>
          <w:tcPr>
            <w:tcW w:w="1019" w:type="dxa"/>
            <w:tcBorders>
              <w:bottom w:val="single" w:sz="12" w:space="0" w:color="auto"/>
            </w:tcBorders>
          </w:tcPr>
          <w:p w14:paraId="58B7CD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1019" w:type="dxa"/>
            <w:tcBorders>
              <w:bottom w:val="single" w:sz="12" w:space="0" w:color="auto"/>
            </w:tcBorders>
          </w:tcPr>
          <w:p w14:paraId="1E53FB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r>
    </w:tbl>
    <w:p w14:paraId="7FAE62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(12042).</w:t>
      </w:r>
    </w:p>
    <w:p w14:paraId="600F0536" w14:textId="77777777" w:rsidR="00C2313B" w:rsidRPr="00F90EAE" w:rsidRDefault="00C2313B" w:rsidP="00F90EAE">
      <w:pPr>
        <w:autoSpaceDE w:val="0"/>
        <w:autoSpaceDN w:val="0"/>
        <w:adjustRightInd w:val="0"/>
        <w:jc w:val="both"/>
        <w:rPr>
          <w:color w:val="000000" w:themeColor="text1"/>
          <w:sz w:val="16"/>
          <w:szCs w:val="16"/>
        </w:rPr>
      </w:pPr>
    </w:p>
    <w:p w14:paraId="3B47E1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 в боевом составе ВВС КБФ числились 78 Пе-2. Началось наращивание количества "пешек" и на Дальнем Востоке: с пяти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пять Пе-2.</w:t>
      </w:r>
    </w:p>
    <w:p w14:paraId="4FB31D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Наличие самолетов Пе-2/Пе-З в авиации флотов на некоторые даты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561F31" w:rsidRPr="00F90EAE" w14:paraId="5000378D" w14:textId="77777777">
        <w:tc>
          <w:tcPr>
            <w:tcW w:w="1601" w:type="dxa"/>
            <w:tcBorders>
              <w:top w:val="single" w:sz="12" w:space="0" w:color="auto"/>
            </w:tcBorders>
          </w:tcPr>
          <w:p w14:paraId="258D55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ВВС флота</w:t>
            </w:r>
          </w:p>
        </w:tc>
        <w:tc>
          <w:tcPr>
            <w:tcW w:w="1601" w:type="dxa"/>
            <w:tcBorders>
              <w:top w:val="single" w:sz="12" w:space="0" w:color="auto"/>
            </w:tcBorders>
          </w:tcPr>
          <w:p w14:paraId="3A2205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Borders>
              <w:top w:val="single" w:sz="12" w:space="0" w:color="auto"/>
            </w:tcBorders>
          </w:tcPr>
          <w:p w14:paraId="46287A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Неисправно</w:t>
            </w:r>
          </w:p>
        </w:tc>
        <w:tc>
          <w:tcPr>
            <w:tcW w:w="1601" w:type="dxa"/>
            <w:tcBorders>
              <w:top w:val="single" w:sz="12" w:space="0" w:color="auto"/>
            </w:tcBorders>
          </w:tcPr>
          <w:p w14:paraId="19E4AC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Borders>
              <w:top w:val="single" w:sz="12" w:space="0" w:color="auto"/>
            </w:tcBorders>
          </w:tcPr>
          <w:p w14:paraId="74A856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Неисправно</w:t>
            </w:r>
          </w:p>
        </w:tc>
        <w:tc>
          <w:tcPr>
            <w:tcW w:w="1601" w:type="dxa"/>
            <w:tcBorders>
              <w:top w:val="single" w:sz="12" w:space="0" w:color="auto"/>
            </w:tcBorders>
          </w:tcPr>
          <w:p w14:paraId="790CEF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Borders>
              <w:top w:val="single" w:sz="12" w:space="0" w:color="auto"/>
            </w:tcBorders>
          </w:tcPr>
          <w:p w14:paraId="0054CB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Неисправно</w:t>
            </w:r>
          </w:p>
        </w:tc>
      </w:tr>
      <w:tr w:rsidR="00561F31" w:rsidRPr="00F90EAE" w14:paraId="604984D7" w14:textId="77777777">
        <w:tc>
          <w:tcPr>
            <w:tcW w:w="1601" w:type="dxa"/>
          </w:tcPr>
          <w:p w14:paraId="33600247"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05442E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июля 1941 г.</w:t>
            </w:r>
          </w:p>
        </w:tc>
        <w:tc>
          <w:tcPr>
            <w:tcW w:w="1601" w:type="dxa"/>
          </w:tcPr>
          <w:p w14:paraId="23C3E2C9"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2CE005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октября 1941 г.</w:t>
            </w:r>
          </w:p>
        </w:tc>
        <w:tc>
          <w:tcPr>
            <w:tcW w:w="1601" w:type="dxa"/>
          </w:tcPr>
          <w:p w14:paraId="2951E9D7"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4684A2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декабря 1941 г.</w:t>
            </w:r>
          </w:p>
        </w:tc>
        <w:tc>
          <w:tcPr>
            <w:tcW w:w="1601" w:type="dxa"/>
          </w:tcPr>
          <w:p w14:paraId="69579705"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33DB0952" w14:textId="77777777">
        <w:tc>
          <w:tcPr>
            <w:tcW w:w="1601" w:type="dxa"/>
          </w:tcPr>
          <w:p w14:paraId="7F7A06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Северного</w:t>
            </w:r>
          </w:p>
        </w:tc>
        <w:tc>
          <w:tcPr>
            <w:tcW w:w="1601" w:type="dxa"/>
          </w:tcPr>
          <w:p w14:paraId="076285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601" w:type="dxa"/>
          </w:tcPr>
          <w:p w14:paraId="699B6E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601" w:type="dxa"/>
          </w:tcPr>
          <w:p w14:paraId="0AF4BB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1601" w:type="dxa"/>
          </w:tcPr>
          <w:p w14:paraId="69C732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601" w:type="dxa"/>
          </w:tcPr>
          <w:p w14:paraId="19DE5E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601" w:type="dxa"/>
          </w:tcPr>
          <w:p w14:paraId="02D155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F4417A0" w14:textId="77777777">
        <w:tc>
          <w:tcPr>
            <w:tcW w:w="1601" w:type="dxa"/>
          </w:tcPr>
          <w:p w14:paraId="750151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Балтийского</w:t>
            </w:r>
          </w:p>
        </w:tc>
        <w:tc>
          <w:tcPr>
            <w:tcW w:w="1601" w:type="dxa"/>
          </w:tcPr>
          <w:p w14:paraId="4EA278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601" w:type="dxa"/>
          </w:tcPr>
          <w:p w14:paraId="4A08A2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601" w:type="dxa"/>
          </w:tcPr>
          <w:p w14:paraId="48486C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601" w:type="dxa"/>
          </w:tcPr>
          <w:p w14:paraId="1D7AFB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601" w:type="dxa"/>
          </w:tcPr>
          <w:p w14:paraId="121425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601" w:type="dxa"/>
          </w:tcPr>
          <w:p w14:paraId="29E9F4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62618CF6" w14:textId="77777777">
        <w:tc>
          <w:tcPr>
            <w:tcW w:w="1601" w:type="dxa"/>
          </w:tcPr>
          <w:p w14:paraId="424B0F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Черноморского</w:t>
            </w:r>
          </w:p>
        </w:tc>
        <w:tc>
          <w:tcPr>
            <w:tcW w:w="1601" w:type="dxa"/>
          </w:tcPr>
          <w:p w14:paraId="549E41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601" w:type="dxa"/>
          </w:tcPr>
          <w:p w14:paraId="564C0D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601" w:type="dxa"/>
          </w:tcPr>
          <w:p w14:paraId="3EB789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601" w:type="dxa"/>
          </w:tcPr>
          <w:p w14:paraId="2219B0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1601" w:type="dxa"/>
          </w:tcPr>
          <w:p w14:paraId="4E900E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601" w:type="dxa"/>
          </w:tcPr>
          <w:p w14:paraId="079B0D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033E4F76" w14:textId="77777777">
        <w:tc>
          <w:tcPr>
            <w:tcW w:w="1601" w:type="dxa"/>
          </w:tcPr>
          <w:p w14:paraId="5369B2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Pr>
          <w:p w14:paraId="18F873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1601" w:type="dxa"/>
          </w:tcPr>
          <w:p w14:paraId="0E77FC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601" w:type="dxa"/>
          </w:tcPr>
          <w:p w14:paraId="2C2118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601" w:type="dxa"/>
          </w:tcPr>
          <w:p w14:paraId="0CC126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601" w:type="dxa"/>
          </w:tcPr>
          <w:p w14:paraId="68FFED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601" w:type="dxa"/>
          </w:tcPr>
          <w:p w14:paraId="3D51B9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02C0650E" w14:textId="77777777">
        <w:tc>
          <w:tcPr>
            <w:tcW w:w="1601" w:type="dxa"/>
          </w:tcPr>
          <w:p w14:paraId="087B13D9"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74B525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мая 1942 г.</w:t>
            </w:r>
          </w:p>
        </w:tc>
        <w:tc>
          <w:tcPr>
            <w:tcW w:w="1601" w:type="dxa"/>
          </w:tcPr>
          <w:p w14:paraId="64621825"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22453E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ноября 1942 г.</w:t>
            </w:r>
          </w:p>
        </w:tc>
        <w:tc>
          <w:tcPr>
            <w:tcW w:w="1601" w:type="dxa"/>
          </w:tcPr>
          <w:p w14:paraId="55832B26"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241B2D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июля 1943 г.</w:t>
            </w:r>
          </w:p>
        </w:tc>
        <w:tc>
          <w:tcPr>
            <w:tcW w:w="1601" w:type="dxa"/>
          </w:tcPr>
          <w:p w14:paraId="41B2C871"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2CE28C09" w14:textId="77777777">
        <w:tc>
          <w:tcPr>
            <w:tcW w:w="1601" w:type="dxa"/>
          </w:tcPr>
          <w:p w14:paraId="29F180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Северного</w:t>
            </w:r>
          </w:p>
        </w:tc>
        <w:tc>
          <w:tcPr>
            <w:tcW w:w="1601" w:type="dxa"/>
          </w:tcPr>
          <w:p w14:paraId="30EC29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1601" w:type="dxa"/>
          </w:tcPr>
          <w:p w14:paraId="6EF427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601" w:type="dxa"/>
          </w:tcPr>
          <w:p w14:paraId="2789C0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601" w:type="dxa"/>
          </w:tcPr>
          <w:p w14:paraId="6AB799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601" w:type="dxa"/>
          </w:tcPr>
          <w:p w14:paraId="2080E4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601" w:type="dxa"/>
          </w:tcPr>
          <w:p w14:paraId="0BC558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421894B6" w14:textId="77777777">
        <w:tc>
          <w:tcPr>
            <w:tcW w:w="1601" w:type="dxa"/>
          </w:tcPr>
          <w:p w14:paraId="0A2310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Балтийского</w:t>
            </w:r>
          </w:p>
        </w:tc>
        <w:tc>
          <w:tcPr>
            <w:tcW w:w="1601" w:type="dxa"/>
          </w:tcPr>
          <w:p w14:paraId="7E3574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601" w:type="dxa"/>
          </w:tcPr>
          <w:p w14:paraId="63CDB4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601" w:type="dxa"/>
          </w:tcPr>
          <w:p w14:paraId="65836A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601" w:type="dxa"/>
          </w:tcPr>
          <w:p w14:paraId="7D983E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601" w:type="dxa"/>
          </w:tcPr>
          <w:p w14:paraId="549C1A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601" w:type="dxa"/>
          </w:tcPr>
          <w:p w14:paraId="03AA94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29E6696" w14:textId="77777777">
        <w:tc>
          <w:tcPr>
            <w:tcW w:w="1601" w:type="dxa"/>
          </w:tcPr>
          <w:p w14:paraId="440DEE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Черноморского</w:t>
            </w:r>
          </w:p>
        </w:tc>
        <w:tc>
          <w:tcPr>
            <w:tcW w:w="1601" w:type="dxa"/>
          </w:tcPr>
          <w:p w14:paraId="65872D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601" w:type="dxa"/>
          </w:tcPr>
          <w:p w14:paraId="0DE225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601" w:type="dxa"/>
          </w:tcPr>
          <w:p w14:paraId="37CD94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1601" w:type="dxa"/>
          </w:tcPr>
          <w:p w14:paraId="64BA73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601" w:type="dxa"/>
          </w:tcPr>
          <w:p w14:paraId="5FDF07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601" w:type="dxa"/>
          </w:tcPr>
          <w:p w14:paraId="0A30F1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r>
      <w:tr w:rsidR="00561F31" w:rsidRPr="00F90EAE" w14:paraId="77B674DF" w14:textId="77777777">
        <w:tc>
          <w:tcPr>
            <w:tcW w:w="1601" w:type="dxa"/>
          </w:tcPr>
          <w:p w14:paraId="61D250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Pr>
          <w:p w14:paraId="5C7286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601" w:type="dxa"/>
          </w:tcPr>
          <w:p w14:paraId="30AAB8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1601" w:type="dxa"/>
          </w:tcPr>
          <w:p w14:paraId="20693F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1601" w:type="dxa"/>
          </w:tcPr>
          <w:p w14:paraId="00C1EC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1601" w:type="dxa"/>
          </w:tcPr>
          <w:p w14:paraId="2AA441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601" w:type="dxa"/>
          </w:tcPr>
          <w:p w14:paraId="7A750E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r>
      <w:tr w:rsidR="00561F31" w:rsidRPr="00F90EAE" w14:paraId="0CA83C81" w14:textId="77777777">
        <w:tc>
          <w:tcPr>
            <w:tcW w:w="1601" w:type="dxa"/>
          </w:tcPr>
          <w:p w14:paraId="2DAE8360"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1AF2D7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1944 г.</w:t>
            </w:r>
          </w:p>
        </w:tc>
        <w:tc>
          <w:tcPr>
            <w:tcW w:w="1601" w:type="dxa"/>
          </w:tcPr>
          <w:p w14:paraId="71351F33"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1DFAE9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I945 г.</w:t>
            </w:r>
          </w:p>
        </w:tc>
        <w:tc>
          <w:tcPr>
            <w:tcW w:w="1601" w:type="dxa"/>
          </w:tcPr>
          <w:p w14:paraId="3DDDBF94" w14:textId="77777777" w:rsidR="00C2313B" w:rsidRPr="00F90EAE" w:rsidRDefault="00C2313B" w:rsidP="00F90EAE">
            <w:pPr>
              <w:autoSpaceDE w:val="0"/>
              <w:autoSpaceDN w:val="0"/>
              <w:adjustRightInd w:val="0"/>
              <w:jc w:val="both"/>
              <w:rPr>
                <w:color w:val="000000" w:themeColor="text1"/>
                <w:sz w:val="16"/>
                <w:szCs w:val="16"/>
              </w:rPr>
            </w:pPr>
          </w:p>
        </w:tc>
        <w:tc>
          <w:tcPr>
            <w:tcW w:w="1601" w:type="dxa"/>
          </w:tcPr>
          <w:p w14:paraId="7F0B5A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октября 1945 г.</w:t>
            </w:r>
          </w:p>
        </w:tc>
        <w:tc>
          <w:tcPr>
            <w:tcW w:w="1601" w:type="dxa"/>
          </w:tcPr>
          <w:p w14:paraId="71ACC902"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A0C0DD9" w14:textId="77777777">
        <w:tc>
          <w:tcPr>
            <w:tcW w:w="1601" w:type="dxa"/>
          </w:tcPr>
          <w:p w14:paraId="2D25CE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Северного</w:t>
            </w:r>
          </w:p>
        </w:tc>
        <w:tc>
          <w:tcPr>
            <w:tcW w:w="1601" w:type="dxa"/>
          </w:tcPr>
          <w:p w14:paraId="1E6429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601" w:type="dxa"/>
          </w:tcPr>
          <w:p w14:paraId="03A795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601" w:type="dxa"/>
          </w:tcPr>
          <w:p w14:paraId="4F11A8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601" w:type="dxa"/>
          </w:tcPr>
          <w:p w14:paraId="7380AE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601" w:type="dxa"/>
          </w:tcPr>
          <w:p w14:paraId="2AB1FF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601" w:type="dxa"/>
          </w:tcPr>
          <w:p w14:paraId="0998E8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7AD93AE" w14:textId="77777777">
        <w:tc>
          <w:tcPr>
            <w:tcW w:w="1601" w:type="dxa"/>
          </w:tcPr>
          <w:p w14:paraId="4B7C1B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Балтийского</w:t>
            </w:r>
          </w:p>
        </w:tc>
        <w:tc>
          <w:tcPr>
            <w:tcW w:w="1601" w:type="dxa"/>
          </w:tcPr>
          <w:p w14:paraId="73402C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1601" w:type="dxa"/>
          </w:tcPr>
          <w:p w14:paraId="7FEB75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601" w:type="dxa"/>
          </w:tcPr>
          <w:p w14:paraId="06F4FC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601" w:type="dxa"/>
          </w:tcPr>
          <w:p w14:paraId="7F9A23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1601" w:type="dxa"/>
          </w:tcPr>
          <w:p w14:paraId="576395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1601" w:type="dxa"/>
          </w:tcPr>
          <w:p w14:paraId="227C5A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w:t>
            </w:r>
          </w:p>
        </w:tc>
      </w:tr>
      <w:tr w:rsidR="00561F31" w:rsidRPr="00F90EAE" w14:paraId="217BB1C5" w14:textId="77777777">
        <w:tc>
          <w:tcPr>
            <w:tcW w:w="1601" w:type="dxa"/>
          </w:tcPr>
          <w:p w14:paraId="79072E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Черноморского</w:t>
            </w:r>
          </w:p>
        </w:tc>
        <w:tc>
          <w:tcPr>
            <w:tcW w:w="1601" w:type="dxa"/>
          </w:tcPr>
          <w:p w14:paraId="2398C8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601" w:type="dxa"/>
          </w:tcPr>
          <w:p w14:paraId="375C26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601" w:type="dxa"/>
          </w:tcPr>
          <w:p w14:paraId="653F02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1601" w:type="dxa"/>
          </w:tcPr>
          <w:p w14:paraId="3D5E32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1601" w:type="dxa"/>
          </w:tcPr>
          <w:p w14:paraId="61C629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1601" w:type="dxa"/>
          </w:tcPr>
          <w:p w14:paraId="0A3800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4D2E3C6" w14:textId="77777777">
        <w:tc>
          <w:tcPr>
            <w:tcW w:w="1601" w:type="dxa"/>
            <w:tcBorders>
              <w:bottom w:val="single" w:sz="12" w:space="0" w:color="auto"/>
            </w:tcBorders>
          </w:tcPr>
          <w:p w14:paraId="215F91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01" w:type="dxa"/>
            <w:tcBorders>
              <w:bottom w:val="single" w:sz="12" w:space="0" w:color="auto"/>
            </w:tcBorders>
          </w:tcPr>
          <w:p w14:paraId="6A5552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102</w:t>
            </w:r>
          </w:p>
        </w:tc>
        <w:tc>
          <w:tcPr>
            <w:tcW w:w="1601" w:type="dxa"/>
            <w:tcBorders>
              <w:bottom w:val="single" w:sz="12" w:space="0" w:color="auto"/>
            </w:tcBorders>
          </w:tcPr>
          <w:p w14:paraId="6641F6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601" w:type="dxa"/>
            <w:tcBorders>
              <w:bottom w:val="single" w:sz="12" w:space="0" w:color="auto"/>
            </w:tcBorders>
          </w:tcPr>
          <w:p w14:paraId="0B8B70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601" w:type="dxa"/>
            <w:tcBorders>
              <w:bottom w:val="single" w:sz="12" w:space="0" w:color="auto"/>
            </w:tcBorders>
          </w:tcPr>
          <w:p w14:paraId="7F5D5C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601" w:type="dxa"/>
            <w:tcBorders>
              <w:bottom w:val="single" w:sz="12" w:space="0" w:color="auto"/>
            </w:tcBorders>
          </w:tcPr>
          <w:p w14:paraId="3BA055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139</w:t>
            </w:r>
          </w:p>
        </w:tc>
        <w:tc>
          <w:tcPr>
            <w:tcW w:w="1601" w:type="dxa"/>
            <w:tcBorders>
              <w:bottom w:val="single" w:sz="12" w:space="0" w:color="auto"/>
            </w:tcBorders>
          </w:tcPr>
          <w:p w14:paraId="10EFA6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r>
    </w:tbl>
    <w:p w14:paraId="3978FF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(12042).</w:t>
      </w:r>
    </w:p>
    <w:p w14:paraId="71DC1F5B" w14:textId="77777777" w:rsidR="00C2313B" w:rsidRPr="00F90EAE" w:rsidRDefault="00C2313B" w:rsidP="00F90EAE">
      <w:pPr>
        <w:autoSpaceDE w:val="0"/>
        <w:autoSpaceDN w:val="0"/>
        <w:adjustRightInd w:val="0"/>
        <w:jc w:val="both"/>
        <w:rPr>
          <w:color w:val="000000" w:themeColor="text1"/>
          <w:sz w:val="16"/>
          <w:szCs w:val="16"/>
        </w:rPr>
      </w:pPr>
    </w:p>
    <w:p w14:paraId="24ABDD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 на фронте уже имелось 220 Ту-2, из них 206 числились исправными. Еще 72 самолета имелись в 7-й воздушной армии, являвшейся резервом Верховного Главнокомандования (11988).</w:t>
      </w:r>
    </w:p>
    <w:p w14:paraId="7054799A" w14:textId="77777777" w:rsidR="00C2313B" w:rsidRPr="00F90EAE" w:rsidRDefault="00C2313B" w:rsidP="00F90EAE">
      <w:pPr>
        <w:autoSpaceDE w:val="0"/>
        <w:autoSpaceDN w:val="0"/>
        <w:adjustRightInd w:val="0"/>
        <w:jc w:val="both"/>
        <w:rPr>
          <w:color w:val="000000" w:themeColor="text1"/>
          <w:sz w:val="16"/>
          <w:szCs w:val="16"/>
        </w:rPr>
      </w:pPr>
    </w:p>
    <w:p w14:paraId="64B921D0" w14:textId="77777777" w:rsidR="005A1318" w:rsidRPr="00F90EAE" w:rsidRDefault="005A1318" w:rsidP="00F90EAE">
      <w:pPr>
        <w:jc w:val="both"/>
        <w:rPr>
          <w:color w:val="0070C0"/>
          <w:sz w:val="16"/>
          <w:szCs w:val="16"/>
        </w:rPr>
      </w:pPr>
      <w:r w:rsidRPr="00F90EAE">
        <w:rPr>
          <w:color w:val="0070C0"/>
          <w:sz w:val="16"/>
          <w:szCs w:val="16"/>
          <w:lang w:bidi="ru-RU"/>
        </w:rPr>
        <w:t>На 1 января 1945 г. на фронте уже имелось 220 Ту-2, из них 206 числились исправными. Еще 72 самолета имелись в 7-й воздушной армии, являвшейся Ре</w:t>
      </w:r>
      <w:r w:rsidRPr="00F90EAE">
        <w:rPr>
          <w:color w:val="0070C0"/>
          <w:sz w:val="16"/>
          <w:szCs w:val="16"/>
          <w:lang w:bidi="ru-RU"/>
        </w:rPr>
        <w:softHyphen/>
        <w:t>зервом Верховного Главнокомандования.</w:t>
      </w:r>
    </w:p>
    <w:p w14:paraId="2D531210" w14:textId="77777777" w:rsidR="005A1318" w:rsidRPr="00F90EAE" w:rsidRDefault="005A1318" w:rsidP="00F90EAE">
      <w:pPr>
        <w:jc w:val="both"/>
        <w:rPr>
          <w:color w:val="0070C0"/>
          <w:sz w:val="16"/>
          <w:szCs w:val="16"/>
        </w:rPr>
      </w:pPr>
      <w:r w:rsidRPr="00F90EAE">
        <w:rPr>
          <w:color w:val="0070C0"/>
          <w:sz w:val="16"/>
          <w:szCs w:val="16"/>
          <w:lang w:bidi="ru-RU"/>
        </w:rPr>
        <w:t>554-я дивизия продолжала боевые действия в Восточной Пруссии. 6-й бап с 14 декабря 1944 г. базировался в Шауляе. Оттуда самолеты летали бомбить Либаву (Лиепаю), Кенигсберг, Пиллау, Розенберг. С 20 марта 1945 г. полк на</w:t>
      </w:r>
      <w:r w:rsidRPr="00F90EAE">
        <w:rPr>
          <w:color w:val="0070C0"/>
          <w:sz w:val="16"/>
          <w:szCs w:val="16"/>
          <w:lang w:bidi="ru-RU"/>
        </w:rPr>
        <w:softHyphen/>
        <w:t>ходился уже на аэродроме Грислинген и наносил удары по Кенигсбергу и Дан</w:t>
      </w:r>
      <w:r w:rsidRPr="00F90EAE">
        <w:rPr>
          <w:color w:val="0070C0"/>
          <w:sz w:val="16"/>
          <w:szCs w:val="16"/>
          <w:lang w:bidi="ru-RU"/>
        </w:rPr>
        <w:softHyphen/>
        <w:t>цигу (Гданьску).</w:t>
      </w:r>
    </w:p>
    <w:p w14:paraId="66E8C00F" w14:textId="77777777" w:rsidR="005A1318" w:rsidRPr="00F90EAE" w:rsidRDefault="005A1318" w:rsidP="00F90EAE">
      <w:pPr>
        <w:jc w:val="both"/>
        <w:rPr>
          <w:color w:val="0070C0"/>
          <w:sz w:val="16"/>
          <w:szCs w:val="16"/>
        </w:rPr>
      </w:pPr>
      <w:r w:rsidRPr="00F90EAE">
        <w:rPr>
          <w:color w:val="0070C0"/>
          <w:sz w:val="16"/>
          <w:szCs w:val="16"/>
          <w:lang w:bidi="ru-RU"/>
        </w:rPr>
        <w:t>526-я бад начала осваивать Ту-2 ле</w:t>
      </w:r>
      <w:r w:rsidRPr="00F90EAE">
        <w:rPr>
          <w:color w:val="0070C0"/>
          <w:sz w:val="16"/>
          <w:szCs w:val="16"/>
          <w:lang w:bidi="ru-RU"/>
        </w:rPr>
        <w:softHyphen/>
        <w:t>том 1944 г. До этого она являлась диви</w:t>
      </w:r>
      <w:r w:rsidRPr="00F90EAE">
        <w:rPr>
          <w:color w:val="0070C0"/>
          <w:sz w:val="16"/>
          <w:szCs w:val="16"/>
          <w:lang w:bidi="ru-RU"/>
        </w:rPr>
        <w:softHyphen/>
        <w:t>зией легких ночных бомбардировщиков и летала на У-2 (По-2). 1 июня ее коман</w:t>
      </w:r>
      <w:r w:rsidRPr="00F90EAE">
        <w:rPr>
          <w:color w:val="0070C0"/>
          <w:sz w:val="16"/>
          <w:szCs w:val="16"/>
          <w:lang w:bidi="ru-RU"/>
        </w:rPr>
        <w:softHyphen/>
        <w:t>дир получил приказ об отзыве дивизии в тыл для переучивания. Новую технику осваивали в Подмосковье. Дивизия пе</w:t>
      </w:r>
      <w:r w:rsidRPr="00F90EAE">
        <w:rPr>
          <w:color w:val="0070C0"/>
          <w:sz w:val="16"/>
          <w:szCs w:val="16"/>
          <w:lang w:bidi="ru-RU"/>
        </w:rPr>
        <w:softHyphen/>
        <w:t>реходила в основном на Пе-2, Ту-2 полу</w:t>
      </w:r>
      <w:r w:rsidRPr="00F90EAE">
        <w:rPr>
          <w:color w:val="0070C0"/>
          <w:sz w:val="16"/>
          <w:szCs w:val="16"/>
          <w:lang w:bidi="ru-RU"/>
        </w:rPr>
        <w:softHyphen/>
        <w:t>чил включенный в состав дивизии быв</w:t>
      </w:r>
      <w:r w:rsidRPr="00F90EAE">
        <w:rPr>
          <w:color w:val="0070C0"/>
          <w:sz w:val="16"/>
          <w:szCs w:val="16"/>
          <w:lang w:bidi="ru-RU"/>
        </w:rPr>
        <w:softHyphen/>
        <w:t>ший 6-й дальнебомбардировочный полк, сдавший немногие уцелевшие в боях Ил-4. Ему на аэродроме Малино пере</w:t>
      </w:r>
      <w:r w:rsidRPr="00F90EAE">
        <w:rPr>
          <w:color w:val="0070C0"/>
          <w:sz w:val="16"/>
          <w:szCs w:val="16"/>
          <w:lang w:bidi="ru-RU"/>
        </w:rPr>
        <w:softHyphen/>
        <w:t>дали 52 машины. В одной из эскадрилий они были именные - на борту каждого са</w:t>
      </w:r>
      <w:r w:rsidRPr="00F90EAE">
        <w:rPr>
          <w:color w:val="0070C0"/>
          <w:sz w:val="16"/>
          <w:szCs w:val="16"/>
          <w:lang w:bidi="ru-RU"/>
        </w:rPr>
        <w:softHyphen/>
        <w:t>молета наносилась красная надпись «Мо</w:t>
      </w:r>
      <w:r w:rsidRPr="00F90EAE">
        <w:rPr>
          <w:color w:val="0070C0"/>
          <w:sz w:val="16"/>
          <w:szCs w:val="16"/>
          <w:lang w:bidi="ru-RU"/>
        </w:rPr>
        <w:softHyphen/>
        <w:t>сква», окантованная белой полосой. Ниже мелкими буквами было написано «от тру</w:t>
      </w:r>
      <w:r w:rsidRPr="00F90EAE">
        <w:rPr>
          <w:color w:val="0070C0"/>
          <w:sz w:val="16"/>
          <w:szCs w:val="16"/>
          <w:lang w:bidi="ru-RU"/>
        </w:rPr>
        <w:softHyphen/>
        <w:t>дящихся Киевского района» - на их сред</w:t>
      </w:r>
      <w:r w:rsidRPr="00F90EAE">
        <w:rPr>
          <w:color w:val="0070C0"/>
          <w:sz w:val="16"/>
          <w:szCs w:val="16"/>
          <w:lang w:bidi="ru-RU"/>
        </w:rPr>
        <w:softHyphen/>
        <w:t>ства в подарок Красной армии были при</w:t>
      </w:r>
      <w:r w:rsidRPr="00F90EAE">
        <w:rPr>
          <w:color w:val="0070C0"/>
          <w:sz w:val="16"/>
          <w:szCs w:val="16"/>
          <w:lang w:bidi="ru-RU"/>
        </w:rPr>
        <w:softHyphen/>
        <w:t>обретены бомбардировщики.</w:t>
      </w:r>
    </w:p>
    <w:p w14:paraId="0A1CEDE6" w14:textId="77777777" w:rsidR="005A1318" w:rsidRPr="00F90EAE" w:rsidRDefault="005A1318" w:rsidP="00F90EAE">
      <w:pPr>
        <w:jc w:val="both"/>
        <w:rPr>
          <w:color w:val="0070C0"/>
          <w:sz w:val="16"/>
          <w:szCs w:val="16"/>
        </w:rPr>
      </w:pPr>
      <w:r w:rsidRPr="00F90EAE">
        <w:rPr>
          <w:color w:val="0070C0"/>
          <w:sz w:val="16"/>
          <w:szCs w:val="16"/>
          <w:lang w:bidi="ru-RU"/>
        </w:rPr>
        <w:t>Дивизия завершила свою подготовку 21 октября. Ее отправили в распоряже</w:t>
      </w:r>
      <w:r w:rsidRPr="00F90EAE">
        <w:rPr>
          <w:color w:val="0070C0"/>
          <w:sz w:val="16"/>
          <w:szCs w:val="16"/>
          <w:lang w:bidi="ru-RU"/>
        </w:rPr>
        <w:softHyphen/>
        <w:t>ние 5-й воздушной армии на 1-м Прибал</w:t>
      </w:r>
      <w:r w:rsidRPr="00F90EAE">
        <w:rPr>
          <w:color w:val="0070C0"/>
          <w:sz w:val="16"/>
          <w:szCs w:val="16"/>
          <w:lang w:bidi="ru-RU"/>
        </w:rPr>
        <w:softHyphen/>
        <w:t>тийском фронте. Штаб соединения раз</w:t>
      </w:r>
      <w:r w:rsidRPr="00F90EAE">
        <w:rPr>
          <w:color w:val="0070C0"/>
          <w:sz w:val="16"/>
          <w:szCs w:val="16"/>
          <w:lang w:bidi="ru-RU"/>
        </w:rPr>
        <w:softHyphen/>
        <w:t>местился в Шауляе. Оттуда же 6-й бап со</w:t>
      </w:r>
      <w:r w:rsidRPr="00F90EAE">
        <w:rPr>
          <w:color w:val="0070C0"/>
          <w:sz w:val="16"/>
          <w:szCs w:val="16"/>
          <w:lang w:bidi="ru-RU"/>
        </w:rPr>
        <w:softHyphen/>
        <w:t>вершил первый боевой вылет на новых машинах 21 декабря 1944 г. Группу повел командир полка подполковник Г.П. Доро</w:t>
      </w:r>
      <w:r w:rsidRPr="00F90EAE">
        <w:rPr>
          <w:color w:val="0070C0"/>
          <w:sz w:val="16"/>
          <w:szCs w:val="16"/>
          <w:lang w:bidi="ru-RU"/>
        </w:rPr>
        <w:softHyphen/>
        <w:t>хов. Еще на взлете ее постигли неудачи. Один летчик ошибся и его самолет со</w:t>
      </w:r>
      <w:r w:rsidRPr="00F90EAE">
        <w:rPr>
          <w:color w:val="0070C0"/>
          <w:sz w:val="16"/>
          <w:szCs w:val="16"/>
          <w:lang w:bidi="ru-RU"/>
        </w:rPr>
        <w:softHyphen/>
        <w:t>рвался на крыло и упал. У другого бом</w:t>
      </w:r>
      <w:r w:rsidRPr="00F90EAE">
        <w:rPr>
          <w:color w:val="0070C0"/>
          <w:sz w:val="16"/>
          <w:szCs w:val="16"/>
          <w:lang w:bidi="ru-RU"/>
        </w:rPr>
        <w:softHyphen/>
        <w:t>бардировщика на небольшой высоте от</w:t>
      </w:r>
      <w:r w:rsidRPr="00F90EAE">
        <w:rPr>
          <w:color w:val="0070C0"/>
          <w:sz w:val="16"/>
          <w:szCs w:val="16"/>
          <w:lang w:bidi="ru-RU"/>
        </w:rPr>
        <w:softHyphen/>
        <w:t>казал двигатель. Еще два столкнулись в воздухе во время построения. Резуль</w:t>
      </w:r>
      <w:r w:rsidRPr="00F90EAE">
        <w:rPr>
          <w:color w:val="0070C0"/>
          <w:sz w:val="16"/>
          <w:szCs w:val="16"/>
          <w:lang w:bidi="ru-RU"/>
        </w:rPr>
        <w:softHyphen/>
        <w:t>тат - потеряно четыре самолета, погибли четыре человека. Остальные выполнили задание и без потерь вернулись домой.</w:t>
      </w:r>
    </w:p>
    <w:p w14:paraId="12DF39FE" w14:textId="77777777" w:rsidR="005A1318" w:rsidRPr="00F90EAE" w:rsidRDefault="005A1318" w:rsidP="00F90EAE">
      <w:pPr>
        <w:jc w:val="both"/>
        <w:rPr>
          <w:color w:val="0070C0"/>
          <w:sz w:val="16"/>
          <w:szCs w:val="16"/>
        </w:rPr>
      </w:pPr>
      <w:r w:rsidRPr="00F90EAE">
        <w:rPr>
          <w:color w:val="0070C0"/>
          <w:sz w:val="16"/>
          <w:szCs w:val="16"/>
          <w:lang w:bidi="ru-RU"/>
        </w:rPr>
        <w:t>Параллельно продолжала действовать 554-я бад. Так, 16 января 1945 г. две де</w:t>
      </w:r>
      <w:r w:rsidRPr="00F90EAE">
        <w:rPr>
          <w:color w:val="0070C0"/>
          <w:sz w:val="16"/>
          <w:szCs w:val="16"/>
          <w:lang w:bidi="ru-RU"/>
        </w:rPr>
        <w:softHyphen/>
        <w:t>вятки Ту-2, ведомые командиром 454-го бап майором В.Г. Саловым, атаковали Кус- сен - один из основных опорных пунктов второй линии обороны немцев в Восточ</w:t>
      </w:r>
      <w:r w:rsidRPr="00F90EAE">
        <w:rPr>
          <w:color w:val="0070C0"/>
          <w:sz w:val="16"/>
          <w:szCs w:val="16"/>
          <w:lang w:bidi="ru-RU"/>
        </w:rPr>
        <w:softHyphen/>
        <w:t>ной Пруссии. Несмотря на отсутствие ис</w:t>
      </w:r>
      <w:r w:rsidRPr="00F90EAE">
        <w:rPr>
          <w:color w:val="0070C0"/>
          <w:sz w:val="16"/>
          <w:szCs w:val="16"/>
          <w:lang w:bidi="ru-RU"/>
        </w:rPr>
        <w:softHyphen/>
        <w:t>требительного прикрытия, цель была успешно поражена.</w:t>
      </w:r>
    </w:p>
    <w:p w14:paraId="18C089E9" w14:textId="77777777" w:rsidR="005A1318" w:rsidRPr="00F90EAE" w:rsidRDefault="005A1318" w:rsidP="00F90EAE">
      <w:pPr>
        <w:jc w:val="both"/>
        <w:rPr>
          <w:color w:val="0070C0"/>
          <w:sz w:val="16"/>
          <w:szCs w:val="16"/>
        </w:rPr>
      </w:pPr>
      <w:r w:rsidRPr="00F90EAE">
        <w:rPr>
          <w:color w:val="0070C0"/>
          <w:sz w:val="16"/>
          <w:szCs w:val="16"/>
          <w:lang w:bidi="ru-RU"/>
        </w:rPr>
        <w:t>А вот 25 января ошибка командира группы прикрытия стала причиной по</w:t>
      </w:r>
      <w:r w:rsidRPr="00F90EAE">
        <w:rPr>
          <w:color w:val="0070C0"/>
          <w:sz w:val="16"/>
          <w:szCs w:val="16"/>
          <w:lang w:bidi="ru-RU"/>
        </w:rPr>
        <w:softHyphen/>
        <w:t>тери двух самолетов. 18 Ту-2, которые опять вел Салов, шли бомбить порт в Ли- баве (Лиепае). При входе в зону огня зе</w:t>
      </w:r>
      <w:r w:rsidRPr="00F90EAE">
        <w:rPr>
          <w:color w:val="0070C0"/>
          <w:sz w:val="16"/>
          <w:szCs w:val="16"/>
          <w:lang w:bidi="ru-RU"/>
        </w:rPr>
        <w:softHyphen/>
        <w:t>нитной артиллерии сопровождение ото</w:t>
      </w:r>
      <w:r w:rsidRPr="00F90EAE">
        <w:rPr>
          <w:color w:val="0070C0"/>
          <w:sz w:val="16"/>
          <w:szCs w:val="16"/>
          <w:lang w:bidi="ru-RU"/>
        </w:rPr>
        <w:softHyphen/>
        <w:t xml:space="preserve">шло от бомбардировщиков. И тут на них накинулись немецкие истребители </w:t>
      </w:r>
      <w:r w:rsidRPr="00F90EAE">
        <w:rPr>
          <w:color w:val="0070C0"/>
          <w:sz w:val="16"/>
          <w:szCs w:val="16"/>
          <w:lang w:val="en-US" w:bidi="en-US"/>
        </w:rPr>
        <w:t>FW</w:t>
      </w:r>
      <w:r w:rsidRPr="00F90EAE">
        <w:rPr>
          <w:color w:val="0070C0"/>
          <w:sz w:val="16"/>
          <w:szCs w:val="16"/>
          <w:lang w:bidi="en-US"/>
        </w:rPr>
        <w:t xml:space="preserve"> </w:t>
      </w:r>
      <w:r w:rsidRPr="00F90EAE">
        <w:rPr>
          <w:color w:val="0070C0"/>
          <w:sz w:val="16"/>
          <w:szCs w:val="16"/>
          <w:lang w:bidi="ru-RU"/>
        </w:rPr>
        <w:t>190. Они атаковали группу спереди- снизу. С первого же захода немцы подо</w:t>
      </w:r>
      <w:r w:rsidRPr="00F90EAE">
        <w:rPr>
          <w:color w:val="0070C0"/>
          <w:sz w:val="16"/>
          <w:szCs w:val="16"/>
          <w:lang w:bidi="ru-RU"/>
        </w:rPr>
        <w:softHyphen/>
        <w:t>жгли две машины - капитана Первушина и старшего лейтенанта Трифонова. Пер</w:t>
      </w:r>
      <w:r w:rsidRPr="00F90EAE">
        <w:rPr>
          <w:color w:val="0070C0"/>
          <w:sz w:val="16"/>
          <w:szCs w:val="16"/>
          <w:lang w:bidi="ru-RU"/>
        </w:rPr>
        <w:softHyphen/>
        <w:t>вушин дотянул до линии фронта и над своей территорией дал приказ экипажу прыгать. Но спастись удалось ему од</w:t>
      </w:r>
      <w:r w:rsidRPr="00F90EAE">
        <w:rPr>
          <w:color w:val="0070C0"/>
          <w:sz w:val="16"/>
          <w:szCs w:val="16"/>
          <w:lang w:bidi="ru-RU"/>
        </w:rPr>
        <w:softHyphen/>
        <w:t>ному; у стрелка и радиста захлестнулись стропы парашютов, а штурмана при поки</w:t>
      </w:r>
      <w:r w:rsidRPr="00F90EAE">
        <w:rPr>
          <w:color w:val="0070C0"/>
          <w:sz w:val="16"/>
          <w:szCs w:val="16"/>
          <w:lang w:bidi="ru-RU"/>
        </w:rPr>
        <w:softHyphen/>
        <w:t>дании самолета ударило о килевую шайбу. Трифонов на горящей машине сбросил бомбы, а затем направил Ту-2 на скопле</w:t>
      </w:r>
      <w:r w:rsidRPr="00F90EAE">
        <w:rPr>
          <w:color w:val="0070C0"/>
          <w:sz w:val="16"/>
          <w:szCs w:val="16"/>
          <w:lang w:bidi="ru-RU"/>
        </w:rPr>
        <w:softHyphen/>
        <w:t>ние немцев. При этом ему в последний момент удалось выбраться из самолета, и он остался жив. Группа Салова частично расквиталась с немцами: по советским данным, стрелки сбили два вражеских ис</w:t>
      </w:r>
      <w:r w:rsidRPr="00F90EAE">
        <w:rPr>
          <w:color w:val="0070C0"/>
          <w:sz w:val="16"/>
          <w:szCs w:val="16"/>
          <w:lang w:bidi="ru-RU"/>
        </w:rPr>
        <w:softHyphen/>
        <w:t>требителя.</w:t>
      </w:r>
    </w:p>
    <w:p w14:paraId="2D7771CF" w14:textId="77777777" w:rsidR="005A1318" w:rsidRPr="00F90EAE" w:rsidRDefault="005A1318" w:rsidP="00F90EAE">
      <w:pPr>
        <w:jc w:val="both"/>
        <w:rPr>
          <w:color w:val="0070C0"/>
          <w:sz w:val="16"/>
          <w:szCs w:val="16"/>
        </w:rPr>
      </w:pPr>
      <w:r w:rsidRPr="00F90EAE">
        <w:rPr>
          <w:color w:val="0070C0"/>
          <w:sz w:val="16"/>
          <w:szCs w:val="16"/>
          <w:lang w:bidi="ru-RU"/>
        </w:rPr>
        <w:t>6-й бап поддерживал войска, штурму</w:t>
      </w:r>
      <w:r w:rsidRPr="00F90EAE">
        <w:rPr>
          <w:color w:val="0070C0"/>
          <w:sz w:val="16"/>
          <w:szCs w:val="16"/>
          <w:lang w:bidi="ru-RU"/>
        </w:rPr>
        <w:softHyphen/>
        <w:t>ющие Данциг (ныне Гданьск). Так, 27 марта две девятки бомбардировщиков нане</w:t>
      </w:r>
      <w:r w:rsidRPr="00F90EAE">
        <w:rPr>
          <w:color w:val="0070C0"/>
          <w:sz w:val="16"/>
          <w:szCs w:val="16"/>
          <w:lang w:bidi="ru-RU"/>
        </w:rPr>
        <w:softHyphen/>
        <w:t>сли удар по военно-морской базе. Потерь группа не имела (21060).</w:t>
      </w:r>
    </w:p>
    <w:p w14:paraId="5A55D496" w14:textId="77777777" w:rsidR="005A1318" w:rsidRPr="00F90EAE" w:rsidRDefault="005A1318" w:rsidP="00F90EAE">
      <w:pPr>
        <w:jc w:val="both"/>
        <w:rPr>
          <w:color w:val="0070C0"/>
          <w:sz w:val="16"/>
          <w:szCs w:val="16"/>
          <w:lang w:bidi="ru-RU"/>
        </w:rPr>
      </w:pPr>
    </w:p>
    <w:p w14:paraId="73CA0B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 января 1945 г. в 1-м гв. бак имелось 12 Ер-2 (а также 285 Ил-4 и 17 В-25). Вплоть до конца войны оба полка не успели полностью укомплектоваться и завершить подготовку, поэтому в боевых действиях они участия не принимали. В составе 2-го гвардейского Брянского бомбардировочного авиакорпуса в начале 1945 г. была сформирована единственная полнокровная дивизия, вооруженная бомбардировщиками Ер-2. В соответствии с решением командования ВВС КА она стала первоочередным "потребителем" продукции завода N 39 и ускоренно комплектовалась личным составом (3322,47).</w:t>
      </w:r>
    </w:p>
    <w:p w14:paraId="2926E49E" w14:textId="77777777" w:rsidR="00C2313B" w:rsidRPr="00F90EAE" w:rsidRDefault="00C2313B" w:rsidP="00F90EAE">
      <w:pPr>
        <w:autoSpaceDE w:val="0"/>
        <w:autoSpaceDN w:val="0"/>
        <w:adjustRightInd w:val="0"/>
        <w:jc w:val="both"/>
        <w:rPr>
          <w:color w:val="000000" w:themeColor="text1"/>
          <w:sz w:val="16"/>
          <w:szCs w:val="16"/>
        </w:rPr>
      </w:pPr>
    </w:p>
    <w:p w14:paraId="541D5C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 в составе 115-го морского ближнеразведывательного авиа</w:t>
      </w:r>
      <w:r w:rsidRPr="00F90EAE">
        <w:rPr>
          <w:color w:val="000000" w:themeColor="text1"/>
          <w:sz w:val="16"/>
          <w:szCs w:val="16"/>
        </w:rPr>
        <w:softHyphen/>
        <w:t>ционного полка ВВС ТОФ числилось четы</w:t>
      </w:r>
      <w:r w:rsidRPr="00F90EAE">
        <w:rPr>
          <w:color w:val="000000" w:themeColor="text1"/>
          <w:sz w:val="16"/>
          <w:szCs w:val="16"/>
        </w:rPr>
        <w:softHyphen/>
        <w:t>ре Бе-4 (№№28808, 28809, 4770201 и 4770203). В боевых действиях против Япо</w:t>
      </w:r>
      <w:r w:rsidRPr="00F90EAE">
        <w:rPr>
          <w:color w:val="000000" w:themeColor="text1"/>
          <w:sz w:val="16"/>
          <w:szCs w:val="16"/>
        </w:rPr>
        <w:softHyphen/>
        <w:t>нии они не участвовали, зато после оконча</w:t>
      </w:r>
      <w:r w:rsidRPr="00F90EAE">
        <w:rPr>
          <w:color w:val="000000" w:themeColor="text1"/>
          <w:sz w:val="16"/>
          <w:szCs w:val="16"/>
        </w:rPr>
        <w:softHyphen/>
        <w:t>ния войны подтвердили свое назначение как корабельных разведчиков полетами с катапульт тихоокеанских крейсеров «Кали</w:t>
      </w:r>
      <w:r w:rsidRPr="00F90EAE">
        <w:rPr>
          <w:color w:val="000000" w:themeColor="text1"/>
          <w:sz w:val="16"/>
          <w:szCs w:val="16"/>
        </w:rPr>
        <w:softHyphen/>
        <w:t>нин» и «Каганович» (10685).</w:t>
      </w:r>
    </w:p>
    <w:p w14:paraId="05648349" w14:textId="77777777" w:rsidR="00C2313B" w:rsidRPr="00F90EAE" w:rsidRDefault="00C2313B" w:rsidP="00F90EAE">
      <w:pPr>
        <w:autoSpaceDE w:val="0"/>
        <w:autoSpaceDN w:val="0"/>
        <w:adjustRightInd w:val="0"/>
        <w:jc w:val="both"/>
        <w:rPr>
          <w:color w:val="000000" w:themeColor="text1"/>
          <w:sz w:val="16"/>
          <w:szCs w:val="16"/>
        </w:rPr>
      </w:pPr>
    </w:p>
    <w:p w14:paraId="7C0D2F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два В-29 находились в распоряжении управления ВВС Тихоокеанского флота и еще один - в 35-й отдельной дальнебомбардировочной эскадрилье. Эту часть сформировали специально для испытаний В-29. В конечном итоге в нее вошли два В-29 и один В-25. Полеты проводились с аэродрома Романовка, имевшего хорошие подходы - он не был окружен сопками, как большинство других дальневосточных аэродромов. Один из В-29 поручили испытывать В.П.Марунову и А.Ф.Чернову. На освоение самолета отвели два дня. Поскольку с английским у обоих было не очень хорошо, по бомбардировщику они лазили с толстым томом англо-русского словаря. На третий день Рейдель официально принял у них зачет (3457,120).</w:t>
      </w:r>
    </w:p>
    <w:p w14:paraId="20E26E3A" w14:textId="77777777" w:rsidR="00C2313B" w:rsidRPr="00F90EAE" w:rsidRDefault="00C2313B" w:rsidP="00F90EAE">
      <w:pPr>
        <w:autoSpaceDE w:val="0"/>
        <w:autoSpaceDN w:val="0"/>
        <w:adjustRightInd w:val="0"/>
        <w:jc w:val="both"/>
        <w:rPr>
          <w:color w:val="000000" w:themeColor="text1"/>
          <w:sz w:val="16"/>
          <w:szCs w:val="16"/>
        </w:rPr>
      </w:pPr>
    </w:p>
    <w:p w14:paraId="29AB6E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1 января 1945 года 18-я воздушная армия (преемница АДД) обладала 320 "Митчеллами", которые составляли примерно пятую часть всей ее техники. В составе АДД "Митчеллы" применялись в основном в темное время суток, нанося удары по железнодорожным узлам, аэродромам, узлам сопротивления немцев. Всю вторую половину войны они совершали дальние рейды на Варшаву, Бреслау, Кенигсберг, Тильзит, Берлин, действовали под Брянском, Рославлем, Смоленском, Гомелем, Севастополем. В 1944 году 222-я дивизия разрушила железнодорожный узел Дебрецен в Венгрии. Более скоростные и маневренные, лучше вооруженные, чем Ил-4, В-25 часто использовались для обеспечения удара основной массы бомбардировщиков: поиска и обозначения целей,.для подсветки, подавления наземных средств ПВО и блокировки аэродромов ночных истребителей. Так, например, действовал в 1944 году в Венгрии 251-й гвардейский полк, обеспечивавший функционирование остальных полков 15-й гвардейской дивизии. При организации массированных налетов обычно выделялись нары, звенья, отдельные экипажи для блокирования близлежащих аэродромов. По несколько часов они кружились над летным полем, время от времени сбрасывая одиночные бомбы или их небольшие серии. Кроме того, B-25J с усиленным передним стрелковым вооружением с пологого пикирования обстреливали стоянки самолетов и ангары. Во 2-м гвардейском полку B-25J с дополнительными пулеметами использовали для ночных штурмовых ударов по аэродромам противника (3457,93).</w:t>
      </w:r>
    </w:p>
    <w:p w14:paraId="30CB5B5B" w14:textId="77777777" w:rsidR="00C2313B" w:rsidRPr="00F90EAE" w:rsidRDefault="00C2313B" w:rsidP="00F90EAE">
      <w:pPr>
        <w:autoSpaceDE w:val="0"/>
        <w:autoSpaceDN w:val="0"/>
        <w:adjustRightInd w:val="0"/>
        <w:jc w:val="both"/>
        <w:rPr>
          <w:color w:val="000000" w:themeColor="text1"/>
          <w:sz w:val="16"/>
          <w:szCs w:val="16"/>
        </w:rPr>
      </w:pPr>
    </w:p>
    <w:p w14:paraId="047C83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 в ВВС Черноморского флота входили 7-й и 62-й иап и 2-й учебный полк. Ни один из них не был полностью укомплектован ЛаГГ-3, но в сумме там насчитывалось 46 машин этого типа.</w:t>
      </w:r>
    </w:p>
    <w:p w14:paraId="37BC977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Много ЛаГГ-3 сохранялось в полках ПВО. Например, на них летала вся 229-я иад. В Подмосковье с середины 1943 г. ЛаГГ-3 начали заменять на Ла-5. В частности, в 178-м иап к концу ноября остался всего один старый истребитель. Всего за период войны ЛаГГ-3, входившие в состав истребительной авиации ПВО, уничтожили 315 самолетов противника (11983).</w:t>
      </w:r>
    </w:p>
    <w:p w14:paraId="590C635C" w14:textId="77777777" w:rsidR="00C2313B" w:rsidRPr="00F90EAE" w:rsidRDefault="00C2313B" w:rsidP="00F90EAE">
      <w:pPr>
        <w:autoSpaceDE w:val="0"/>
        <w:autoSpaceDN w:val="0"/>
        <w:adjustRightInd w:val="0"/>
        <w:jc w:val="both"/>
        <w:rPr>
          <w:color w:val="000000" w:themeColor="text1"/>
          <w:sz w:val="16"/>
          <w:szCs w:val="16"/>
        </w:rPr>
      </w:pPr>
    </w:p>
    <w:p w14:paraId="4B4CAF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на флотах:</w:t>
      </w:r>
    </w:p>
    <w:p w14:paraId="57E8C9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Данные о числе И-16: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561F31" w:rsidRPr="00F90EAE" w14:paraId="198093ED" w14:textId="77777777">
        <w:tc>
          <w:tcPr>
            <w:tcW w:w="1401" w:type="dxa"/>
            <w:tcBorders>
              <w:top w:val="single" w:sz="12" w:space="0" w:color="auto"/>
            </w:tcBorders>
          </w:tcPr>
          <w:p w14:paraId="189789FA" w14:textId="77777777" w:rsidR="00C2313B" w:rsidRPr="00F90EAE" w:rsidRDefault="00C2313B" w:rsidP="00F90EAE">
            <w:pPr>
              <w:autoSpaceDE w:val="0"/>
              <w:autoSpaceDN w:val="0"/>
              <w:adjustRightInd w:val="0"/>
              <w:jc w:val="both"/>
              <w:rPr>
                <w:color w:val="000000" w:themeColor="text1"/>
                <w:sz w:val="16"/>
                <w:szCs w:val="16"/>
              </w:rPr>
            </w:pPr>
          </w:p>
        </w:tc>
        <w:tc>
          <w:tcPr>
            <w:tcW w:w="1401" w:type="dxa"/>
            <w:tcBorders>
              <w:top w:val="single" w:sz="12" w:space="0" w:color="auto"/>
            </w:tcBorders>
          </w:tcPr>
          <w:p w14:paraId="0894FF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1.05.42</w:t>
            </w:r>
          </w:p>
        </w:tc>
        <w:tc>
          <w:tcPr>
            <w:tcW w:w="1401" w:type="dxa"/>
            <w:tcBorders>
              <w:top w:val="single" w:sz="12" w:space="0" w:color="auto"/>
            </w:tcBorders>
          </w:tcPr>
          <w:p w14:paraId="5719EC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1.07.42</w:t>
            </w:r>
          </w:p>
        </w:tc>
        <w:tc>
          <w:tcPr>
            <w:tcW w:w="1401" w:type="dxa"/>
            <w:tcBorders>
              <w:top w:val="single" w:sz="12" w:space="0" w:color="auto"/>
            </w:tcBorders>
          </w:tcPr>
          <w:p w14:paraId="188CE3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18.11.42</w:t>
            </w:r>
          </w:p>
        </w:tc>
        <w:tc>
          <w:tcPr>
            <w:tcW w:w="1401" w:type="dxa"/>
            <w:tcBorders>
              <w:top w:val="single" w:sz="12" w:space="0" w:color="auto"/>
            </w:tcBorders>
          </w:tcPr>
          <w:p w14:paraId="7010F3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1.07.43</w:t>
            </w:r>
          </w:p>
        </w:tc>
        <w:tc>
          <w:tcPr>
            <w:tcW w:w="1401" w:type="dxa"/>
            <w:tcBorders>
              <w:top w:val="single" w:sz="12" w:space="0" w:color="auto"/>
            </w:tcBorders>
          </w:tcPr>
          <w:p w14:paraId="5568F7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1.01.44</w:t>
            </w:r>
          </w:p>
        </w:tc>
        <w:tc>
          <w:tcPr>
            <w:tcW w:w="1401" w:type="dxa"/>
            <w:tcBorders>
              <w:top w:val="single" w:sz="12" w:space="0" w:color="auto"/>
            </w:tcBorders>
          </w:tcPr>
          <w:p w14:paraId="36E9C2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1.06.44</w:t>
            </w:r>
          </w:p>
        </w:tc>
        <w:tc>
          <w:tcPr>
            <w:tcW w:w="1401" w:type="dxa"/>
            <w:tcBorders>
              <w:top w:val="single" w:sz="12" w:space="0" w:color="auto"/>
            </w:tcBorders>
          </w:tcPr>
          <w:p w14:paraId="40CD27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1.01.45</w:t>
            </w:r>
          </w:p>
        </w:tc>
      </w:tr>
      <w:tr w:rsidR="00561F31" w:rsidRPr="00F90EAE" w14:paraId="06C7E7A2" w14:textId="77777777">
        <w:tc>
          <w:tcPr>
            <w:tcW w:w="1401" w:type="dxa"/>
          </w:tcPr>
          <w:p w14:paraId="74B797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ВВС СФ</w:t>
            </w:r>
          </w:p>
        </w:tc>
        <w:tc>
          <w:tcPr>
            <w:tcW w:w="1401" w:type="dxa"/>
          </w:tcPr>
          <w:p w14:paraId="4245AA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12/3</w:t>
            </w:r>
          </w:p>
        </w:tc>
        <w:tc>
          <w:tcPr>
            <w:tcW w:w="1401" w:type="dxa"/>
          </w:tcPr>
          <w:p w14:paraId="05B7F1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w:t>
            </w:r>
          </w:p>
        </w:tc>
        <w:tc>
          <w:tcPr>
            <w:tcW w:w="1401" w:type="dxa"/>
          </w:tcPr>
          <w:p w14:paraId="7CB189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10/6</w:t>
            </w:r>
          </w:p>
        </w:tc>
        <w:tc>
          <w:tcPr>
            <w:tcW w:w="1401" w:type="dxa"/>
          </w:tcPr>
          <w:p w14:paraId="4203C5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1" w:type="dxa"/>
          </w:tcPr>
          <w:p w14:paraId="25AA3E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1" w:type="dxa"/>
          </w:tcPr>
          <w:p w14:paraId="0F3B5D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1401" w:type="dxa"/>
          </w:tcPr>
          <w:p w14:paraId="7389C1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58E6A59E" w14:textId="77777777">
        <w:tc>
          <w:tcPr>
            <w:tcW w:w="1401" w:type="dxa"/>
          </w:tcPr>
          <w:p w14:paraId="3E0DDF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ВВС КБФ</w:t>
            </w:r>
          </w:p>
        </w:tc>
        <w:tc>
          <w:tcPr>
            <w:tcW w:w="1401" w:type="dxa"/>
          </w:tcPr>
          <w:p w14:paraId="354923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52/17</w:t>
            </w:r>
          </w:p>
        </w:tc>
        <w:tc>
          <w:tcPr>
            <w:tcW w:w="1401" w:type="dxa"/>
          </w:tcPr>
          <w:p w14:paraId="51D130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23/7</w:t>
            </w:r>
          </w:p>
        </w:tc>
        <w:tc>
          <w:tcPr>
            <w:tcW w:w="1401" w:type="dxa"/>
          </w:tcPr>
          <w:p w14:paraId="613086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28/11</w:t>
            </w:r>
          </w:p>
        </w:tc>
        <w:tc>
          <w:tcPr>
            <w:tcW w:w="1401" w:type="dxa"/>
          </w:tcPr>
          <w:p w14:paraId="1DB164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1401" w:type="dxa"/>
          </w:tcPr>
          <w:p w14:paraId="395F16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w:t>
            </w:r>
          </w:p>
        </w:tc>
        <w:tc>
          <w:tcPr>
            <w:tcW w:w="1401" w:type="dxa"/>
          </w:tcPr>
          <w:p w14:paraId="0FFDA1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103193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4CB85E3" w14:textId="77777777">
        <w:tc>
          <w:tcPr>
            <w:tcW w:w="1401" w:type="dxa"/>
          </w:tcPr>
          <w:p w14:paraId="236C7A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ВВС ЧФ</w:t>
            </w:r>
          </w:p>
        </w:tc>
        <w:tc>
          <w:tcPr>
            <w:tcW w:w="1401" w:type="dxa"/>
          </w:tcPr>
          <w:p w14:paraId="13A6A9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1401" w:type="dxa"/>
          </w:tcPr>
          <w:p w14:paraId="7BCDD0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14/8</w:t>
            </w:r>
          </w:p>
        </w:tc>
        <w:tc>
          <w:tcPr>
            <w:tcW w:w="1401" w:type="dxa"/>
          </w:tcPr>
          <w:p w14:paraId="21BFF3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1401" w:type="dxa"/>
          </w:tcPr>
          <w:p w14:paraId="5BDD18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1401" w:type="dxa"/>
          </w:tcPr>
          <w:p w14:paraId="4BEF0B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1401" w:type="dxa"/>
          </w:tcPr>
          <w:p w14:paraId="2C9704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401" w:type="dxa"/>
          </w:tcPr>
          <w:p w14:paraId="38A31E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10A83EB" w14:textId="77777777">
        <w:tc>
          <w:tcPr>
            <w:tcW w:w="1401" w:type="dxa"/>
            <w:tcBorders>
              <w:bottom w:val="single" w:sz="12" w:space="0" w:color="auto"/>
            </w:tcBorders>
          </w:tcPr>
          <w:p w14:paraId="6EDC48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401" w:type="dxa"/>
            <w:tcBorders>
              <w:bottom w:val="single" w:sz="12" w:space="0" w:color="auto"/>
            </w:tcBorders>
          </w:tcPr>
          <w:p w14:paraId="13C70A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91/27</w:t>
            </w:r>
          </w:p>
        </w:tc>
        <w:tc>
          <w:tcPr>
            <w:tcW w:w="1401" w:type="dxa"/>
            <w:tcBorders>
              <w:bottom w:val="single" w:sz="12" w:space="0" w:color="auto"/>
            </w:tcBorders>
          </w:tcPr>
          <w:p w14:paraId="55DF31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45/18</w:t>
            </w:r>
          </w:p>
        </w:tc>
        <w:tc>
          <w:tcPr>
            <w:tcW w:w="1401" w:type="dxa"/>
            <w:tcBorders>
              <w:bottom w:val="single" w:sz="12" w:space="0" w:color="auto"/>
            </w:tcBorders>
          </w:tcPr>
          <w:p w14:paraId="6E67AB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46/19</w:t>
            </w:r>
          </w:p>
        </w:tc>
        <w:tc>
          <w:tcPr>
            <w:tcW w:w="1401" w:type="dxa"/>
            <w:tcBorders>
              <w:bottom w:val="single" w:sz="12" w:space="0" w:color="auto"/>
            </w:tcBorders>
          </w:tcPr>
          <w:p w14:paraId="1A1C30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29/4 1</w:t>
            </w:r>
          </w:p>
        </w:tc>
        <w:tc>
          <w:tcPr>
            <w:tcW w:w="1401" w:type="dxa"/>
            <w:tcBorders>
              <w:bottom w:val="single" w:sz="12" w:space="0" w:color="auto"/>
            </w:tcBorders>
          </w:tcPr>
          <w:p w14:paraId="4679DA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9/4</w:t>
            </w:r>
          </w:p>
        </w:tc>
        <w:tc>
          <w:tcPr>
            <w:tcW w:w="1401" w:type="dxa"/>
            <w:tcBorders>
              <w:bottom w:val="single" w:sz="12" w:space="0" w:color="auto"/>
            </w:tcBorders>
          </w:tcPr>
          <w:p w14:paraId="4BC131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15/1</w:t>
            </w:r>
          </w:p>
        </w:tc>
        <w:tc>
          <w:tcPr>
            <w:tcW w:w="1401" w:type="dxa"/>
            <w:tcBorders>
              <w:bottom w:val="single" w:sz="12" w:space="0" w:color="auto"/>
            </w:tcBorders>
          </w:tcPr>
          <w:p w14:paraId="4D8A63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bl>
    <w:p w14:paraId="1B73A3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числителе - всего машин; в знаменателе - в том числе неисправных на данный момент (12015).</w:t>
      </w:r>
    </w:p>
    <w:p w14:paraId="3E50F991" w14:textId="77777777" w:rsidR="00C2313B" w:rsidRPr="00F90EAE" w:rsidRDefault="00C2313B" w:rsidP="00F90EAE">
      <w:pPr>
        <w:autoSpaceDE w:val="0"/>
        <w:autoSpaceDN w:val="0"/>
        <w:adjustRightInd w:val="0"/>
        <w:jc w:val="both"/>
        <w:rPr>
          <w:color w:val="000000" w:themeColor="text1"/>
          <w:sz w:val="16"/>
          <w:szCs w:val="16"/>
        </w:rPr>
      </w:pPr>
    </w:p>
    <w:p w14:paraId="438304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года Тихоокеанский флот получил 28 PBN-1 (3457,130).</w:t>
      </w:r>
    </w:p>
    <w:p w14:paraId="1447A7AE" w14:textId="77777777" w:rsidR="00C2313B" w:rsidRPr="00F90EAE" w:rsidRDefault="00C2313B" w:rsidP="00F90EAE">
      <w:pPr>
        <w:autoSpaceDE w:val="0"/>
        <w:autoSpaceDN w:val="0"/>
        <w:adjustRightInd w:val="0"/>
        <w:jc w:val="both"/>
        <w:rPr>
          <w:color w:val="000000" w:themeColor="text1"/>
          <w:sz w:val="16"/>
          <w:szCs w:val="16"/>
        </w:rPr>
      </w:pPr>
    </w:p>
    <w:p w14:paraId="1BF885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года Северный флот обладал семью PBN-1 в 118-м полку. Еще 18 американских лодок находились в 44-м, 53-м, 54-м полках и 20-й эскадрилье ВВС Беломорской флотилии. Североморцы продолжали поиск немецких субмарин и после победы над Германией. Всего экипажи PBN-1 Северного флота п Беломорской флотилии совершили за войну 340 вылетов (3457,130).</w:t>
      </w:r>
    </w:p>
    <w:p w14:paraId="28199CFD" w14:textId="77777777" w:rsidR="00C2313B" w:rsidRPr="00F90EAE" w:rsidRDefault="00C2313B" w:rsidP="00F90EAE">
      <w:pPr>
        <w:autoSpaceDE w:val="0"/>
        <w:autoSpaceDN w:val="0"/>
        <w:adjustRightInd w:val="0"/>
        <w:jc w:val="both"/>
        <w:rPr>
          <w:color w:val="000000" w:themeColor="text1"/>
          <w:sz w:val="16"/>
          <w:szCs w:val="16"/>
        </w:rPr>
      </w:pPr>
    </w:p>
    <w:p w14:paraId="79A84BA1" w14:textId="77777777" w:rsidR="00573476" w:rsidRPr="00F90EAE" w:rsidRDefault="00573476" w:rsidP="00F90EAE">
      <w:pPr>
        <w:jc w:val="both"/>
        <w:rPr>
          <w:color w:val="000000" w:themeColor="text1"/>
          <w:sz w:val="16"/>
          <w:szCs w:val="16"/>
        </w:rPr>
      </w:pPr>
      <w:r w:rsidRPr="00F90EAE">
        <w:rPr>
          <w:color w:val="000000" w:themeColor="text1"/>
          <w:sz w:val="16"/>
          <w:szCs w:val="16"/>
        </w:rPr>
        <w:t>На 1 января 1945 г. в секретном отчете по артиллерии фигурируют только восемь 211-мм (21-см) германских мортир обр. 18. На самом же деле к 1 января 1945 г. в Красной армии состояли сотни германских орудии калибров 75,88,105,150 мм и других. Риторический вопрос: какой комполка или комдив откажется конфисковать несколько первоклассных автомобилей или мотоциклов для своей части? В результате 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486A68C2" w14:textId="77777777" w:rsidR="00573476" w:rsidRPr="00F90EAE" w:rsidRDefault="00573476" w:rsidP="00F90EAE">
      <w:pPr>
        <w:jc w:val="both"/>
        <w:rPr>
          <w:color w:val="000000" w:themeColor="text1"/>
          <w:sz w:val="16"/>
          <w:szCs w:val="16"/>
        </w:rPr>
      </w:pPr>
    </w:p>
    <w:p w14:paraId="3541AB53" w14:textId="77777777" w:rsidR="00CD7B36" w:rsidRPr="00F90EAE" w:rsidRDefault="00CD7B36" w:rsidP="00F90EAE">
      <w:pPr>
        <w:shd w:val="clear" w:color="auto" w:fill="FFFFFF"/>
        <w:jc w:val="both"/>
        <w:rPr>
          <w:color w:val="000000" w:themeColor="text1"/>
          <w:sz w:val="16"/>
          <w:szCs w:val="16"/>
        </w:rPr>
      </w:pPr>
      <w:r w:rsidRPr="00F90EAE">
        <w:rPr>
          <w:color w:val="000000" w:themeColor="text1"/>
          <w:sz w:val="16"/>
          <w:szCs w:val="16"/>
        </w:rPr>
        <w:t>К 1 января 1945 года в войсках еще имелось 63 танка Черчиль, из которых 9 было потеряно в течение оставшихся месяцев войны. К 1 июня в Красной армии оставалось 54 «Черчилля», но в действующих частях их было всего 3 штуки (17691).</w:t>
      </w:r>
    </w:p>
    <w:p w14:paraId="3356689E" w14:textId="77777777" w:rsidR="00CD7B36" w:rsidRPr="00F90EAE" w:rsidRDefault="00CD7B36" w:rsidP="00F90EAE">
      <w:pPr>
        <w:jc w:val="both"/>
        <w:rPr>
          <w:color w:val="000000" w:themeColor="text1"/>
          <w:sz w:val="16"/>
          <w:szCs w:val="16"/>
        </w:rPr>
      </w:pPr>
    </w:p>
    <w:p w14:paraId="14F84A98" w14:textId="77777777" w:rsidR="00CD7B36" w:rsidRPr="00F90EAE" w:rsidRDefault="00CD7B36"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1 января 1945 года в строю оставалось 118 М3Ср; из них до конца войны 16 штук было потеряно безвозвратно. Из имевшихся к 1 июня в Красной армии 102-х танков данного типа 4 закончили боевой путь в составе частей 1-го Белорусского фронта, 1 — в составе 2-го Белорусского фронта и 4 — на 3-м Белорусском фронте. Другими словами, М3Ср продолжали воевать до конца Великой Отечественной войны. Еще один М3Ср в составе Забайкальского фронта умудрился поучаствовать и в войне против Японии. Не таким уж и плохим танком оказался этот «американец». До наших дней сохранилась всего одна такая машина. Это тот самый танк, что испытывался в 1942-43 годах (17705).</w:t>
      </w:r>
    </w:p>
    <w:p w14:paraId="145270DA" w14:textId="77777777" w:rsidR="00CD7B36" w:rsidRPr="00F90EAE" w:rsidRDefault="00CD7B36" w:rsidP="00F90EAE">
      <w:pPr>
        <w:jc w:val="both"/>
        <w:rPr>
          <w:color w:val="000000" w:themeColor="text1"/>
          <w:sz w:val="16"/>
          <w:szCs w:val="16"/>
        </w:rPr>
      </w:pPr>
    </w:p>
    <w:p w14:paraId="39C0278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BBA0339" w14:textId="77777777" w:rsidR="00C2313B" w:rsidRPr="00F90EAE" w:rsidRDefault="00C2313B" w:rsidP="00F90EAE">
      <w:pPr>
        <w:autoSpaceDE w:val="0"/>
        <w:autoSpaceDN w:val="0"/>
        <w:adjustRightInd w:val="0"/>
        <w:jc w:val="both"/>
        <w:rPr>
          <w:iCs/>
          <w:color w:val="000000" w:themeColor="text1"/>
          <w:sz w:val="16"/>
          <w:szCs w:val="16"/>
        </w:rPr>
      </w:pPr>
    </w:p>
    <w:p w14:paraId="4A1A61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1 января 1945 года в ИТЛ содержалось 715 506 заключенных (7560).</w:t>
      </w:r>
    </w:p>
    <w:p w14:paraId="711FE8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Поквартальная численность заключенных ИТК (вместе с лаготделениями УИТЛК) в 1944 году составляла: на 1 января - 505 996 человек, на 1 апреля - 518 761, на 1 июля - 576 335, на 1 октября - 670 023 человека. Поквартальная численность заключенных тюрем: на 1 января - 151 296 человек, на 1 апреля - 179 802, на 1 июля - 204 290, на 1 октября - 270 743 человека (7560).</w:t>
      </w:r>
    </w:p>
    <w:p w14:paraId="701ECB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1945 году судебными органами и специальными судами (военными трибуналами, транспортными и лагерными судами) было приговорено к лишению свободы 899 613 человек; еще 297 человек было осуждено Военной коллегией Верховного суда СССР и 26 381 - Особым совещанием при НКВД СССР. В целом это на 259 228 человек меньше, чем в 1944-м, и если на 1 января 1945 года в ИТЛ и ИТК находилось 1 460 677 заключенных, то на 1 января 1946-го - 1 110 593 человека (7560).</w:t>
      </w:r>
    </w:p>
    <w:p w14:paraId="68769F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1945 года в ИТЛ и ИТК ГУЛАГа поступило около 850 тысяч вновь осужденных, а освобождено было 1 062 411 человек (в том числе по амнистии в связи с победой над гитлеровской Германией); бежало 5905 человек, умерло - 81 917, уровень смертности составил 5,96 процента от среднегодовой численности заключенных (7560).</w:t>
      </w:r>
    </w:p>
    <w:p w14:paraId="29C84A45" w14:textId="77777777" w:rsidR="00C2313B" w:rsidRPr="00F90EAE" w:rsidRDefault="00C2313B" w:rsidP="00F90EAE">
      <w:pPr>
        <w:autoSpaceDE w:val="0"/>
        <w:autoSpaceDN w:val="0"/>
        <w:adjustRightInd w:val="0"/>
        <w:jc w:val="both"/>
        <w:rPr>
          <w:color w:val="000000" w:themeColor="text1"/>
          <w:sz w:val="16"/>
          <w:szCs w:val="16"/>
        </w:rPr>
      </w:pPr>
    </w:p>
    <w:p w14:paraId="03D601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года списочное число (включая числившихся на этот момент в пересылках почти 18 тысяч человек) заключенных ИТЛ и ИТК составляло 1 478 622 человека, из них 937 846 мужчин (69,3 процента) и 415 630 женщин (30,7 процента). По возрастному составу они распределялись так: до 17 лет - 40 530 человек (3 процента), от 17 до 30 лет - 658 066 (48,6), от 31 до 50 лет - 542 172 (40,1), от 51 до 60 лет - 96 329 (7,1), старше 60 лет - 16 950 человек (1,2 процента) (7560).</w:t>
      </w:r>
    </w:p>
    <w:p w14:paraId="440DDD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“контрреволюционные преступления” было осуждено 392 621 человек (29 процентов), в том числе:</w:t>
      </w:r>
    </w:p>
    <w:p w14:paraId="62F9F4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измена родине - 77 067 человек (5,6 процента);</w:t>
      </w:r>
    </w:p>
    <w:p w14:paraId="2A151B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шпионаж - 16 014 (1,2);</w:t>
      </w:r>
    </w:p>
    <w:p w14:paraId="06D46E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террор и “тернамерения” - 10 245 (0,8);</w:t>
      </w:r>
    </w:p>
    <w:p w14:paraId="1EA3FC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диверсии - 3206 (0,2);</w:t>
      </w:r>
    </w:p>
    <w:p w14:paraId="140F7D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вредительство - 8175 (0,6);</w:t>
      </w:r>
    </w:p>
    <w:p w14:paraId="314FA3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к/р (контрреволюционный) саботаж - 24 567 (1,8);</w:t>
      </w:r>
    </w:p>
    <w:p w14:paraId="572ED8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участие в антисоветских заговорах - 31 298 (2,3);</w:t>
      </w:r>
    </w:p>
    <w:p w14:paraId="3B3967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антисоветская агитация - 130 969 (9,7);</w:t>
      </w:r>
    </w:p>
    <w:p w14:paraId="2434A5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политбандитизм и повстанчество - 7563 (0,5);</w:t>
      </w:r>
    </w:p>
    <w:p w14:paraId="12C149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нелегальный переход границы - 5585 (0,4);</w:t>
      </w:r>
    </w:p>
    <w:p w14:paraId="1C2318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контрабанда - 1266 (0,1);</w:t>
      </w:r>
    </w:p>
    <w:p w14:paraId="097C3F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ЧСИР (члены семей изменников родины) - 6449 (0,5);</w:t>
      </w:r>
    </w:p>
    <w:p w14:paraId="7EAD48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СОЭ (социально-опасные элементы) - 13 112 (0,9);</w:t>
      </w:r>
    </w:p>
    <w:p w14:paraId="58CEDB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прочие к/р преступления - 57 093 (4,4) (7560).</w:t>
      </w:r>
    </w:p>
    <w:p w14:paraId="12BF27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уголовные преступления было осуждено 960 687 человек (71 процент), в том числе:</w:t>
      </w:r>
    </w:p>
    <w:p w14:paraId="4A6AC5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 закону от 7 августа 1932-го (расхищение соцсобственности, в обиходе - “семь восьмых” или “закон о колосках”) - 45 717 человек (3,4 процента);</w:t>
      </w:r>
    </w:p>
    <w:p w14:paraId="7D25A2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спекуляция - 29 943 (2,2);</w:t>
      </w:r>
    </w:p>
    <w:p w14:paraId="27CF14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бандитизм, вооруженное ограбление - 53 289 (3,9);</w:t>
      </w:r>
    </w:p>
    <w:p w14:paraId="4E5507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“скотокрадство” - 22 715 (1,7);</w:t>
      </w:r>
    </w:p>
    <w:p w14:paraId="2F04C0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воры-рецидивисты - 61 388 (4,5);</w:t>
      </w:r>
    </w:p>
    <w:p w14:paraId="646A1C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имущественные преступления - 212 595 (15,7);</w:t>
      </w:r>
    </w:p>
    <w:p w14:paraId="55CC14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хулиганство - 25 656 (1,9);</w:t>
      </w:r>
    </w:p>
    <w:p w14:paraId="114324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нарушение закона о паспортизации - 11 945 (0,9);</w:t>
      </w:r>
    </w:p>
    <w:p w14:paraId="57E46C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СВЭ (социально-вредные элементы) - 11 627 (0,9);</w:t>
      </w:r>
    </w:p>
    <w:p w14:paraId="712FCD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дезертирство - 49 771 (3,7);</w:t>
      </w:r>
    </w:p>
    <w:p w14:paraId="51EC2C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членовредительство - 5010 (0,4);</w:t>
      </w:r>
    </w:p>
    <w:p w14:paraId="6C6A71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мародерство - 1743 (0,1);</w:t>
      </w:r>
    </w:p>
    <w:p w14:paraId="4A88D5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остальные воинские преступления - 33 330 (2,4);</w:t>
      </w:r>
    </w:p>
    <w:p w14:paraId="7E7E58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незаконное хранение оружия - 4258 (0,3);</w:t>
      </w:r>
    </w:p>
    <w:p w14:paraId="5027A0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должностные и хозяйственные преступления - 99 695 (7,4);</w:t>
      </w:r>
    </w:p>
    <w:p w14:paraId="1B3790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 указу от 26 декабря 1941-го (“самовольный уход” с предприятий военной промышленности и приравненных к ним) - 183 321 (13,5);</w:t>
      </w:r>
    </w:p>
    <w:p w14:paraId="3D9EDA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 другим указам Президиума Верховного Совета СССР (ПВС) - 25 069 (1,8);</w:t>
      </w:r>
    </w:p>
    <w:p w14:paraId="1225EA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прочие уголовные преступления - 83 799 (6,3) (7560).</w:t>
      </w:r>
    </w:p>
    <w:p w14:paraId="53A833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окраскам” общая масса заключенных распределялась так:</w:t>
      </w:r>
    </w:p>
    <w:p w14:paraId="76C13B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бывшие помещики, фабриканты, торговцы - 34 359 человек (2,5 процента);</w:t>
      </w:r>
    </w:p>
    <w:p w14:paraId="6E18DB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предатели и пособники фашистов - 39 500 (2,9);</w:t>
      </w:r>
    </w:p>
    <w:p w14:paraId="4A9DA2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троцкистско-бухаринская агентура - 5623 (0,4);</w:t>
      </w:r>
    </w:p>
    <w:p w14:paraId="1C7659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бывшие члены а/с (антисоветских) партий - 2765 (0,2);</w:t>
      </w:r>
    </w:p>
    <w:p w14:paraId="03434D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бывшие участники буржуазно-националистических партий - 3491 (0,3);</w:t>
      </w:r>
    </w:p>
    <w:p w14:paraId="47F737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бывшие участники антисоветских фашистских формирований - 715 человек;</w:t>
      </w:r>
    </w:p>
    <w:p w14:paraId="721C5D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бывшие участники антисоветских буржуазно-демократических формирований - 380 человек;</w:t>
      </w:r>
    </w:p>
    <w:p w14:paraId="453020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церковники и сектанты - 2371 человек (0,2 процента) (7560).</w:t>
      </w:r>
    </w:p>
    <w:p w14:paraId="626095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национальному составу среди заключенных было:</w:t>
      </w:r>
    </w:p>
    <w:p w14:paraId="2E60E1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русских - 871 497 человек (64,4 процента);</w:t>
      </w:r>
    </w:p>
    <w:p w14:paraId="55C8EB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украинцев - 149 478 (11);</w:t>
      </w:r>
    </w:p>
    <w:p w14:paraId="17FB13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белорусов - 27 250 (2);</w:t>
      </w:r>
    </w:p>
    <w:p w14:paraId="16179F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грузин - 12 581 (0,9);</w:t>
      </w:r>
    </w:p>
    <w:p w14:paraId="2340D6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армян - 15 005 (1,2);</w:t>
      </w:r>
    </w:p>
    <w:p w14:paraId="096D51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“тюрок” (азербайджанцев) - 12 954 (1);</w:t>
      </w:r>
    </w:p>
    <w:p w14:paraId="41D03A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казахов - 22 404 (1,7);</w:t>
      </w:r>
    </w:p>
    <w:p w14:paraId="6C70D7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туркмен - 7956 (0,6);</w:t>
      </w:r>
    </w:p>
    <w:p w14:paraId="4003A3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узбеков - 24 105 (1,8);</w:t>
      </w:r>
    </w:p>
    <w:p w14:paraId="669777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таджиков - 4702 (0,4);</w:t>
      </w:r>
    </w:p>
    <w:p w14:paraId="5BBFCE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киргизов - 5244 (0,4);</w:t>
      </w:r>
    </w:p>
    <w:p w14:paraId="68563A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татар - 38 366 (2,8);</w:t>
      </w:r>
    </w:p>
    <w:p w14:paraId="4F0159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башкир - 5678 (0,4);</w:t>
      </w:r>
    </w:p>
    <w:p w14:paraId="01C36A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молдаван - 3652 (0,3);</w:t>
      </w:r>
    </w:p>
    <w:p w14:paraId="40EAAA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финнов и карел - 3020 (0,2);</w:t>
      </w:r>
    </w:p>
    <w:p w14:paraId="059A8E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латышей - 4474 (0,3);</w:t>
      </w:r>
    </w:p>
    <w:p w14:paraId="1551B5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литовцев - 2224 (0,2);</w:t>
      </w:r>
    </w:p>
    <w:p w14:paraId="7AB767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эстонцев - 4017 (0,3);</w:t>
      </w:r>
    </w:p>
    <w:p w14:paraId="6910AC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евреев - 24 463 (1,8);</w:t>
      </w:r>
    </w:p>
    <w:p w14:paraId="3FB524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“прочих” (из народов СССР) - 54 235 (4,1);</w:t>
      </w:r>
    </w:p>
    <w:p w14:paraId="234AEE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немцев - 32 954 (2,4);</w:t>
      </w:r>
    </w:p>
    <w:p w14:paraId="0CA615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поляков - 11 917 (0,9);</w:t>
      </w:r>
    </w:p>
    <w:p w14:paraId="5A9031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румын - 987 человек;</w:t>
      </w:r>
    </w:p>
    <w:p w14:paraId="68C85C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“иранцев” - 1042 человек (0,1 процента);</w:t>
      </w:r>
    </w:p>
    <w:p w14:paraId="699792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афганцев - 95 человек;</w:t>
      </w:r>
    </w:p>
    <w:p w14:paraId="76E44F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монголов - 64 человека;</w:t>
      </w:r>
    </w:p>
    <w:p w14:paraId="2FD32C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китайцев - 3212 человека (0,2 процента);</w:t>
      </w:r>
    </w:p>
    <w:p w14:paraId="535ED8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японцев - 28 человек;</w:t>
      </w:r>
    </w:p>
    <w:p w14:paraId="789C1B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“иноподданных” (прочих) - 5151 человек (0,4 процента).</w:t>
      </w:r>
    </w:p>
    <w:p w14:paraId="17D0F8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Сроки до 6 месяцев имели 25 474 заключенных (1,9 процента), от 6 месяцев до 1 года - 72 605 (5,6), от 1 года до 3 лет - 224 343 (17,2), от 3 до 5 лет - 307 138 (23,5), от 5 до 10 лет - 663 641 (50,8), свыше 10 лет - 9943 (0,8); “задержано освобождением по директиве № 185” (от 29 апреля 1942-го) - 21 371 человек (1,6 процента) (7560).</w:t>
      </w:r>
    </w:p>
    <w:p w14:paraId="46D91226" w14:textId="77777777" w:rsidR="00C2313B" w:rsidRPr="00F90EAE" w:rsidRDefault="00C2313B" w:rsidP="00F90EAE">
      <w:pPr>
        <w:autoSpaceDE w:val="0"/>
        <w:autoSpaceDN w:val="0"/>
        <w:adjustRightInd w:val="0"/>
        <w:jc w:val="both"/>
        <w:rPr>
          <w:color w:val="000000" w:themeColor="text1"/>
          <w:sz w:val="16"/>
          <w:szCs w:val="16"/>
        </w:rPr>
      </w:pPr>
    </w:p>
    <w:p w14:paraId="109A0DA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1099A75" w14:textId="77777777" w:rsidR="00C2313B" w:rsidRPr="00F90EAE" w:rsidRDefault="00C2313B" w:rsidP="00F90EAE">
      <w:pPr>
        <w:autoSpaceDE w:val="0"/>
        <w:autoSpaceDN w:val="0"/>
        <w:adjustRightInd w:val="0"/>
        <w:jc w:val="both"/>
        <w:rPr>
          <w:iCs/>
          <w:color w:val="000000" w:themeColor="text1"/>
          <w:sz w:val="16"/>
          <w:szCs w:val="16"/>
        </w:rPr>
      </w:pPr>
    </w:p>
    <w:p w14:paraId="68771A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немцы перешли в наступление в Эльзасе. Тут то У.Ч. обратился к И.В.С. и 12013 КА начала наступление в Польше и Восточной Пруссии на 8 дней раньше намеченного срока (2438,61).</w:t>
      </w:r>
    </w:p>
    <w:p w14:paraId="3C320A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АДД нанесла удары по аэродромам (518,65).</w:t>
      </w:r>
    </w:p>
    <w:p w14:paraId="66BB6462" w14:textId="77777777" w:rsidR="00C2313B" w:rsidRPr="00F90EAE" w:rsidRDefault="00C2313B" w:rsidP="00F90EAE">
      <w:pPr>
        <w:autoSpaceDE w:val="0"/>
        <w:autoSpaceDN w:val="0"/>
        <w:adjustRightInd w:val="0"/>
        <w:jc w:val="both"/>
        <w:rPr>
          <w:color w:val="000000" w:themeColor="text1"/>
          <w:sz w:val="16"/>
          <w:szCs w:val="16"/>
        </w:rPr>
      </w:pPr>
    </w:p>
    <w:p w14:paraId="3E06FF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г. И.В.С. информировал Рузвельта, а 4 - Черчиля, что СССР признал КНО в качестве временного правительства Польши (3871).</w:t>
      </w:r>
    </w:p>
    <w:p w14:paraId="2D972E1B" w14:textId="77777777" w:rsidR="00C2313B" w:rsidRPr="00F90EAE" w:rsidRDefault="00C2313B" w:rsidP="00F90EAE">
      <w:pPr>
        <w:autoSpaceDE w:val="0"/>
        <w:autoSpaceDN w:val="0"/>
        <w:adjustRightInd w:val="0"/>
        <w:jc w:val="both"/>
        <w:rPr>
          <w:color w:val="000000" w:themeColor="text1"/>
          <w:sz w:val="16"/>
          <w:szCs w:val="16"/>
        </w:rPr>
      </w:pPr>
    </w:p>
    <w:p w14:paraId="1BD087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был образован Люблинский комитет, временное правительство Польши (2248,1).</w:t>
      </w:r>
    </w:p>
    <w:p w14:paraId="29DF4449" w14:textId="77777777" w:rsidR="00C2313B" w:rsidRPr="00F90EAE" w:rsidRDefault="00C2313B" w:rsidP="00F90EAE">
      <w:pPr>
        <w:autoSpaceDE w:val="0"/>
        <w:autoSpaceDN w:val="0"/>
        <w:adjustRightInd w:val="0"/>
        <w:jc w:val="both"/>
        <w:rPr>
          <w:color w:val="000000" w:themeColor="text1"/>
          <w:sz w:val="16"/>
          <w:szCs w:val="16"/>
        </w:rPr>
      </w:pPr>
    </w:p>
    <w:p w14:paraId="754B64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561F31" w:rsidRPr="00F90EAE" w14:paraId="2D3F51AD" w14:textId="77777777">
        <w:trPr>
          <w:trHeight w:val="134"/>
        </w:trPr>
        <w:tc>
          <w:tcPr>
            <w:tcW w:w="902" w:type="dxa"/>
            <w:tcBorders>
              <w:top w:val="single" w:sz="6" w:space="0" w:color="auto"/>
              <w:left w:val="single" w:sz="6" w:space="0" w:color="auto"/>
              <w:bottom w:val="nil"/>
              <w:right w:val="single" w:sz="6" w:space="0" w:color="auto"/>
            </w:tcBorders>
          </w:tcPr>
          <w:p w14:paraId="684A6E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A7D7F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0B937C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Студебекер</w:t>
            </w:r>
          </w:p>
          <w:p w14:paraId="340C9B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62AA14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Шевроле</w:t>
            </w:r>
          </w:p>
          <w:p w14:paraId="31D680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D0819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Додж 3/4</w:t>
            </w:r>
          </w:p>
          <w:p w14:paraId="0AD489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16A7F9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45214F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E8B8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ЗИС-5</w:t>
            </w:r>
          </w:p>
          <w:p w14:paraId="6004EB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37BD26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ГАЗ-АА</w:t>
            </w:r>
          </w:p>
          <w:p w14:paraId="6E6BC0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36D1A2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Санавтобусы</w:t>
            </w:r>
          </w:p>
          <w:p w14:paraId="2348F5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0F051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Бензоцистерны</w:t>
            </w:r>
          </w:p>
          <w:p w14:paraId="5E6AA7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CB9CD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 Летучка А</w:t>
            </w:r>
          </w:p>
          <w:p w14:paraId="3F123D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39C98C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Ремлетучка Б</w:t>
            </w:r>
          </w:p>
          <w:p w14:paraId="04184C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33D8A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ПЗС-4</w:t>
            </w:r>
          </w:p>
          <w:p w14:paraId="5AED88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59E3D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Виллисы</w:t>
            </w:r>
          </w:p>
          <w:p w14:paraId="029C1C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39F436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 Амфибия</w:t>
            </w:r>
          </w:p>
          <w:p w14:paraId="68E1DD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3C0785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ГАЗ-67</w:t>
            </w:r>
          </w:p>
          <w:p w14:paraId="079578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C2FC2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М-18</w:t>
            </w:r>
          </w:p>
          <w:p w14:paraId="1F4530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3C6042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53E903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0E13654" w14:textId="77777777">
        <w:trPr>
          <w:trHeight w:val="269"/>
        </w:trPr>
        <w:tc>
          <w:tcPr>
            <w:tcW w:w="902" w:type="dxa"/>
            <w:tcBorders>
              <w:top w:val="single" w:sz="6" w:space="0" w:color="auto"/>
              <w:left w:val="single" w:sz="6" w:space="0" w:color="auto"/>
              <w:bottom w:val="nil"/>
              <w:right w:val="single" w:sz="6" w:space="0" w:color="auto"/>
            </w:tcBorders>
          </w:tcPr>
          <w:p w14:paraId="712D32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6DF3DA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3F1E09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E724A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01A24D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9257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B3879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09564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E4C52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117F3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EECDA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F8029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2C1DF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2A699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C66D8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07DA2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ECD5B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732D2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3B456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86408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09EA2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0BAA1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2CA56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7764B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02F89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B5AA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365D91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EA5F1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7F36E0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749EB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9EDFB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9CBEF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4FB214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DD1B3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FB437DB" w14:textId="77777777">
        <w:trPr>
          <w:trHeight w:val="221"/>
        </w:trPr>
        <w:tc>
          <w:tcPr>
            <w:tcW w:w="902" w:type="dxa"/>
            <w:tcBorders>
              <w:top w:val="nil"/>
              <w:left w:val="single" w:sz="6" w:space="0" w:color="auto"/>
              <w:bottom w:val="single" w:sz="6" w:space="0" w:color="auto"/>
              <w:right w:val="single" w:sz="6" w:space="0" w:color="auto"/>
            </w:tcBorders>
          </w:tcPr>
          <w:p w14:paraId="0AEE31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6EDF4E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07DECE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219</w:t>
            </w:r>
          </w:p>
          <w:p w14:paraId="09A363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5C2D0F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7AB02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069E8A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w:t>
            </w:r>
          </w:p>
          <w:p w14:paraId="0B254B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0BE48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w:t>
            </w:r>
          </w:p>
          <w:p w14:paraId="0EF361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9FC08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4D87F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409929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w:t>
            </w:r>
          </w:p>
          <w:p w14:paraId="4ED932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D71F6D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181685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31A7C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1A2DC9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9912B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014934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078AF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60F8F7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A32A2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w:t>
            </w:r>
          </w:p>
          <w:p w14:paraId="1384743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5B6B09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345CCF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67956C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A5D8E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223DF9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EA9731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05B198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92B51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5DD526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631</w:t>
            </w:r>
          </w:p>
          <w:p w14:paraId="554413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1F1C5F9" w14:textId="77777777">
        <w:trPr>
          <w:trHeight w:val="202"/>
        </w:trPr>
        <w:tc>
          <w:tcPr>
            <w:tcW w:w="902" w:type="dxa"/>
            <w:tcBorders>
              <w:top w:val="single" w:sz="6" w:space="0" w:color="auto"/>
              <w:left w:val="single" w:sz="6" w:space="0" w:color="auto"/>
              <w:bottom w:val="nil"/>
              <w:right w:val="single" w:sz="6" w:space="0" w:color="auto"/>
            </w:tcBorders>
          </w:tcPr>
          <w:p w14:paraId="2FCF9C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4AA59A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4E22D5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763F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387AF0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661B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B3053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7EEC3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DC780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99397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E1D24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169D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1B1B8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A10B0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D5C35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58773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85395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9A79C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E36C2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5DD29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09BDE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6A164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8A2C1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6ED4FA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15CE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4964E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54EA2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4B24C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71E9B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C31E30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0DE89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43BF8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1BC3FA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874BF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24089AE" w14:textId="77777777">
        <w:trPr>
          <w:trHeight w:val="192"/>
        </w:trPr>
        <w:tc>
          <w:tcPr>
            <w:tcW w:w="902" w:type="dxa"/>
            <w:tcBorders>
              <w:top w:val="nil"/>
              <w:left w:val="single" w:sz="6" w:space="0" w:color="auto"/>
              <w:bottom w:val="nil"/>
              <w:right w:val="single" w:sz="6" w:space="0" w:color="auto"/>
            </w:tcBorders>
          </w:tcPr>
          <w:p w14:paraId="7344B3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2DB591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98BC4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2097</w:t>
            </w:r>
          </w:p>
          <w:p w14:paraId="71FC1F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nil"/>
              <w:right w:val="single" w:sz="6" w:space="0" w:color="auto"/>
            </w:tcBorders>
          </w:tcPr>
          <w:p w14:paraId="705FEC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774</w:t>
            </w:r>
          </w:p>
          <w:p w14:paraId="2AF19A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1D07A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705</w:t>
            </w:r>
          </w:p>
          <w:p w14:paraId="05FFAB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3C734B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859</w:t>
            </w:r>
          </w:p>
          <w:p w14:paraId="2E23AA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2945D5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511</w:t>
            </w:r>
          </w:p>
          <w:p w14:paraId="771B66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71369F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w:t>
            </w:r>
          </w:p>
          <w:p w14:paraId="578261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D0B5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118</w:t>
            </w:r>
          </w:p>
          <w:p w14:paraId="44D6F5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05991E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5E42D3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4BEFB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w:t>
            </w:r>
          </w:p>
          <w:p w14:paraId="6DC30F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F3E3A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415E6B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5E3F6C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4244BD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621E8D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w:t>
            </w:r>
          </w:p>
          <w:p w14:paraId="491935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72A56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E4522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1D3BE7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1E3638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3541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131965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nil"/>
              <w:right w:val="single" w:sz="6" w:space="0" w:color="auto"/>
            </w:tcBorders>
          </w:tcPr>
          <w:p w14:paraId="5057BB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5617</w:t>
            </w:r>
          </w:p>
          <w:p w14:paraId="50CA0C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9129EB7" w14:textId="77777777">
        <w:trPr>
          <w:trHeight w:val="240"/>
        </w:trPr>
        <w:tc>
          <w:tcPr>
            <w:tcW w:w="902" w:type="dxa"/>
            <w:tcBorders>
              <w:top w:val="nil"/>
              <w:left w:val="single" w:sz="6" w:space="0" w:color="auto"/>
              <w:bottom w:val="single" w:sz="6" w:space="0" w:color="auto"/>
              <w:right w:val="single" w:sz="6" w:space="0" w:color="auto"/>
            </w:tcBorders>
          </w:tcPr>
          <w:p w14:paraId="30EED8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55FF8B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4798CB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2316</w:t>
            </w:r>
          </w:p>
          <w:p w14:paraId="4BC5D6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7FC9D8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774</w:t>
            </w:r>
          </w:p>
          <w:p w14:paraId="7D7375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1760B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787</w:t>
            </w:r>
          </w:p>
          <w:p w14:paraId="38A1E4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5CE15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892</w:t>
            </w:r>
          </w:p>
          <w:p w14:paraId="3E28A8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8E490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511</w:t>
            </w:r>
          </w:p>
          <w:p w14:paraId="339849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7449CF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310</w:t>
            </w:r>
          </w:p>
          <w:p w14:paraId="4E9D08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96851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128</w:t>
            </w:r>
          </w:p>
          <w:p w14:paraId="32116D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1916F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p w14:paraId="236D85E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BB734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p w14:paraId="7E6612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2CD435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64273B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5010E7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w:t>
            </w:r>
          </w:p>
          <w:p w14:paraId="339085F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A6FF1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380</w:t>
            </w:r>
          </w:p>
          <w:p w14:paraId="4390B2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210DCA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2922DF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39D96C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651749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96876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79B89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34E5A9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6248</w:t>
            </w:r>
          </w:p>
          <w:p w14:paraId="6991CA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7A5FA2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41F867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ГАВТУ КА генерал-лейтенант технических войск Тягунов</w:t>
      </w:r>
    </w:p>
    <w:p w14:paraId="71B145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41. Оп. 11593. Д. 346. Л. 2, 3. Подлинник (11420).</w:t>
      </w:r>
    </w:p>
    <w:p w14:paraId="38B22F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6DAFB4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9E78673" w14:textId="77777777" w:rsidR="00C2313B" w:rsidRPr="00F90EAE" w:rsidRDefault="00C2313B" w:rsidP="00F90EAE">
      <w:pPr>
        <w:autoSpaceDE w:val="0"/>
        <w:autoSpaceDN w:val="0"/>
        <w:adjustRightInd w:val="0"/>
        <w:jc w:val="both"/>
        <w:rPr>
          <w:iCs/>
          <w:color w:val="000000" w:themeColor="text1"/>
          <w:sz w:val="16"/>
          <w:szCs w:val="16"/>
        </w:rPr>
      </w:pPr>
    </w:p>
    <w:p w14:paraId="021DBC9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января 1945 немцы начали операцию “Северный ветер” - атаку против союзников в Эльзас-Лотарингии (4962).</w:t>
      </w:r>
    </w:p>
    <w:p w14:paraId="49D8223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3A5E836" w14:textId="77777777" w:rsidR="003E545E" w:rsidRPr="00F90EAE" w:rsidRDefault="003E545E" w:rsidP="00F90EAE">
      <w:pPr>
        <w:jc w:val="both"/>
        <w:rPr>
          <w:color w:val="000000" w:themeColor="text1"/>
          <w:sz w:val="16"/>
          <w:szCs w:val="16"/>
        </w:rPr>
      </w:pPr>
      <w:r w:rsidRPr="00F90EAE">
        <w:rPr>
          <w:bCs/>
          <w:color w:val="000000" w:themeColor="text1"/>
          <w:sz w:val="16"/>
          <w:szCs w:val="16"/>
        </w:rPr>
        <w:t>1 января</w:t>
      </w:r>
      <w:r w:rsidRPr="00F90EAE">
        <w:rPr>
          <w:color w:val="000000" w:themeColor="text1"/>
          <w:sz w:val="16"/>
          <w:szCs w:val="16"/>
        </w:rPr>
        <w:t xml:space="preserve"> в 1945 году началось наступления немецко-фашистских войск в Эльзасе (операция "Северный ветер") (14996).</w:t>
      </w:r>
    </w:p>
    <w:p w14:paraId="0ECA21A2" w14:textId="77777777" w:rsidR="003E545E" w:rsidRPr="00F90EAE" w:rsidRDefault="003E545E" w:rsidP="00F90EAE">
      <w:pPr>
        <w:jc w:val="both"/>
        <w:rPr>
          <w:color w:val="000000" w:themeColor="text1"/>
          <w:sz w:val="16"/>
          <w:szCs w:val="16"/>
        </w:rPr>
      </w:pPr>
    </w:p>
    <w:p w14:paraId="7B78F84C" w14:textId="77777777" w:rsidR="004A429A" w:rsidRPr="00F90EAE" w:rsidRDefault="004A429A" w:rsidP="00F90EAE">
      <w:pPr>
        <w:pStyle w:val="ae"/>
        <w:spacing w:before="0" w:after="0"/>
        <w:jc w:val="both"/>
        <w:textAlignment w:val="baseline"/>
        <w:rPr>
          <w:color w:val="000000" w:themeColor="text1"/>
          <w:sz w:val="16"/>
          <w:szCs w:val="16"/>
        </w:rPr>
      </w:pPr>
      <w:r w:rsidRPr="00F90EAE">
        <w:rPr>
          <w:color w:val="000000" w:themeColor="text1"/>
          <w:sz w:val="16"/>
          <w:szCs w:val="16"/>
        </w:rPr>
        <w:lastRenderedPageBreak/>
        <w:t>1 января 1945 г. провели операцию «Боденплатте». Тогда около 900 самолетов атаковали шестнадцать основных аэродромов союзников во Франции, Бельгии и Голландии. Этот удар считается малоэффективным и принесшим люфтваффе катастрофические потери. И действительно, в ходе операции было потеряно около 300 истребителей и 227 пилотов. Но при всем этом немецким летчикам удалось за один раз уничтожить 228 американских и английских самолетов и еще 144 повредить (19522).</w:t>
      </w:r>
    </w:p>
    <w:p w14:paraId="6ADA8181" w14:textId="77777777" w:rsidR="004A429A" w:rsidRPr="00F90EAE" w:rsidRDefault="004A429A" w:rsidP="00F90EAE">
      <w:pPr>
        <w:pStyle w:val="ae"/>
        <w:spacing w:before="0" w:after="0"/>
        <w:jc w:val="both"/>
        <w:textAlignment w:val="baseline"/>
        <w:rPr>
          <w:color w:val="000000" w:themeColor="text1"/>
          <w:sz w:val="16"/>
          <w:szCs w:val="16"/>
        </w:rPr>
      </w:pPr>
    </w:p>
    <w:p w14:paraId="5BA722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немцы провели операцию "Боденплатте" - ровная земля попытавшись силами почти 800 истребителей, штурмовиков, бомбардировщиков разбомбить аэродромы союзников. Уничтожили 50 американских и 150 английских, плюс 100 были списаны, а 300 долго ремонтировали. Потеряли 200 машин, причем только 96 были сбиты. Не остановили, но сами летать на Западе прекратили (344,30).</w:t>
      </w:r>
    </w:p>
    <w:p w14:paraId="35E2A2D3" w14:textId="77777777" w:rsidR="00C2313B" w:rsidRPr="00F90EAE" w:rsidRDefault="00C2313B" w:rsidP="00F90EAE">
      <w:pPr>
        <w:autoSpaceDE w:val="0"/>
        <w:autoSpaceDN w:val="0"/>
        <w:adjustRightInd w:val="0"/>
        <w:jc w:val="both"/>
        <w:rPr>
          <w:color w:val="000000" w:themeColor="text1"/>
          <w:sz w:val="16"/>
          <w:szCs w:val="16"/>
        </w:rPr>
      </w:pPr>
    </w:p>
    <w:p w14:paraId="4761C04B" w14:textId="77777777" w:rsidR="005A1318" w:rsidRPr="00F90EAE" w:rsidRDefault="005A1318" w:rsidP="00F90EAE">
      <w:pPr>
        <w:jc w:val="both"/>
        <w:rPr>
          <w:color w:val="0070C0"/>
          <w:sz w:val="16"/>
          <w:szCs w:val="16"/>
        </w:rPr>
      </w:pPr>
      <w:r w:rsidRPr="00F90EAE">
        <w:rPr>
          <w:color w:val="0070C0"/>
          <w:sz w:val="16"/>
          <w:szCs w:val="16"/>
        </w:rPr>
        <w:t>1 января 1945 удары Люфтваффе нацелены на аэродромы союзников в Европе в рамках операции «Боденплатте, происходящей во время вывода немецких войск из битвы при Арденнах (20371).</w:t>
      </w:r>
    </w:p>
    <w:p w14:paraId="0C1ACD33" w14:textId="77777777" w:rsidR="005A1318" w:rsidRPr="00F90EAE" w:rsidRDefault="005A1318" w:rsidP="00F90EAE">
      <w:pPr>
        <w:jc w:val="both"/>
        <w:rPr>
          <w:color w:val="0070C0"/>
          <w:sz w:val="16"/>
          <w:szCs w:val="16"/>
        </w:rPr>
      </w:pPr>
    </w:p>
    <w:p w14:paraId="528D3F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прервав пятимесячное молчание А.Гитлер обратился к немецкому народу и заявил, что война не окончится до победы Рейха. Приказал оставить Париж в виде дымящихся руин (2100).</w:t>
      </w:r>
    </w:p>
    <w:p w14:paraId="0FD6BDA7" w14:textId="77777777" w:rsidR="00C2313B" w:rsidRPr="00F90EAE" w:rsidRDefault="00C2313B" w:rsidP="00F90EAE">
      <w:pPr>
        <w:autoSpaceDE w:val="0"/>
        <w:autoSpaceDN w:val="0"/>
        <w:adjustRightInd w:val="0"/>
        <w:jc w:val="both"/>
        <w:rPr>
          <w:color w:val="000000" w:themeColor="text1"/>
          <w:sz w:val="16"/>
          <w:szCs w:val="16"/>
        </w:rPr>
      </w:pPr>
    </w:p>
    <w:p w14:paraId="3C365907"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 1-17 1945 Germans withdraw from the Ardennes (1050).</w:t>
      </w:r>
    </w:p>
    <w:p w14:paraId="0C024593" w14:textId="77777777" w:rsidR="00C2313B" w:rsidRPr="00F90EAE" w:rsidRDefault="00C2313B" w:rsidP="00F90EAE">
      <w:pPr>
        <w:autoSpaceDE w:val="0"/>
        <w:autoSpaceDN w:val="0"/>
        <w:adjustRightInd w:val="0"/>
        <w:jc w:val="both"/>
        <w:rPr>
          <w:color w:val="000000" w:themeColor="text1"/>
          <w:sz w:val="16"/>
          <w:szCs w:val="16"/>
          <w:lang w:val="en-US"/>
        </w:rPr>
      </w:pPr>
    </w:p>
    <w:p w14:paraId="4E33DE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1-17 января 1945 немецкие войска потерпели поражение в Арденах (1050).</w:t>
      </w:r>
    </w:p>
    <w:p w14:paraId="36F2C7F3" w14:textId="77777777" w:rsidR="00C2313B" w:rsidRPr="00F90EAE" w:rsidRDefault="00C2313B" w:rsidP="00F90EAE">
      <w:pPr>
        <w:autoSpaceDE w:val="0"/>
        <w:autoSpaceDN w:val="0"/>
        <w:adjustRightInd w:val="0"/>
        <w:jc w:val="both"/>
        <w:rPr>
          <w:color w:val="000000" w:themeColor="text1"/>
          <w:sz w:val="16"/>
          <w:szCs w:val="16"/>
        </w:rPr>
      </w:pPr>
    </w:p>
    <w:p w14:paraId="1AED90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на ТО американские войска захватили о Миндоро, часть Филиппинских островов (3907,255).</w:t>
      </w:r>
    </w:p>
    <w:p w14:paraId="26BDA1E4" w14:textId="77777777" w:rsidR="00C2313B" w:rsidRPr="00F90EAE" w:rsidRDefault="00C2313B" w:rsidP="00F90EAE">
      <w:pPr>
        <w:autoSpaceDE w:val="0"/>
        <w:autoSpaceDN w:val="0"/>
        <w:adjustRightInd w:val="0"/>
        <w:jc w:val="both"/>
        <w:rPr>
          <w:color w:val="000000" w:themeColor="text1"/>
          <w:sz w:val="16"/>
          <w:szCs w:val="16"/>
        </w:rPr>
      </w:pPr>
    </w:p>
    <w:p w14:paraId="53F87202" w14:textId="77777777" w:rsidR="003E545E" w:rsidRPr="00F90EAE" w:rsidRDefault="003E545E" w:rsidP="00F90EAE">
      <w:pPr>
        <w:jc w:val="both"/>
        <w:rPr>
          <w:color w:val="000000" w:themeColor="text1"/>
          <w:sz w:val="16"/>
          <w:szCs w:val="16"/>
        </w:rPr>
      </w:pPr>
      <w:r w:rsidRPr="00F90EAE">
        <w:rPr>
          <w:bCs/>
          <w:color w:val="000000" w:themeColor="text1"/>
          <w:sz w:val="16"/>
          <w:szCs w:val="16"/>
        </w:rPr>
        <w:t>1 января</w:t>
      </w:r>
      <w:r w:rsidRPr="00F90EAE">
        <w:rPr>
          <w:color w:val="000000" w:themeColor="text1"/>
          <w:sz w:val="16"/>
          <w:szCs w:val="16"/>
        </w:rPr>
        <w:t xml:space="preserve"> в 1945 году на Тихом океане американские войска захватывают остров Миндоро, входящий в состав Филиппинских островов (бои продолжаются до 3 января) (14996).</w:t>
      </w:r>
    </w:p>
    <w:p w14:paraId="7D3A89D2" w14:textId="77777777" w:rsidR="003E545E" w:rsidRPr="00F90EAE" w:rsidRDefault="003E545E" w:rsidP="00F90EAE">
      <w:pPr>
        <w:jc w:val="both"/>
        <w:rPr>
          <w:color w:val="000000" w:themeColor="text1"/>
          <w:sz w:val="16"/>
          <w:szCs w:val="16"/>
        </w:rPr>
      </w:pPr>
    </w:p>
    <w:p w14:paraId="49C627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января 1945 части британской армии начали новую наступательную операцию в Бирме (3907,255).</w:t>
      </w:r>
    </w:p>
    <w:p w14:paraId="51F8E190" w14:textId="77777777" w:rsidR="00C2313B" w:rsidRPr="00F90EAE" w:rsidRDefault="00C2313B" w:rsidP="00F90EAE">
      <w:pPr>
        <w:autoSpaceDE w:val="0"/>
        <w:autoSpaceDN w:val="0"/>
        <w:adjustRightInd w:val="0"/>
        <w:jc w:val="both"/>
        <w:rPr>
          <w:color w:val="000000" w:themeColor="text1"/>
          <w:sz w:val="16"/>
          <w:szCs w:val="16"/>
        </w:rPr>
      </w:pPr>
    </w:p>
    <w:p w14:paraId="53F2242F" w14:textId="77777777" w:rsidR="003E545E" w:rsidRPr="00F90EAE" w:rsidRDefault="003E545E" w:rsidP="00F90EAE">
      <w:pPr>
        <w:jc w:val="both"/>
        <w:rPr>
          <w:color w:val="000000" w:themeColor="text1"/>
          <w:sz w:val="16"/>
          <w:szCs w:val="16"/>
        </w:rPr>
      </w:pPr>
      <w:r w:rsidRPr="00F90EAE">
        <w:rPr>
          <w:bCs/>
          <w:color w:val="000000" w:themeColor="text1"/>
          <w:sz w:val="16"/>
          <w:szCs w:val="16"/>
        </w:rPr>
        <w:t>1 января</w:t>
      </w:r>
      <w:r w:rsidRPr="00F90EAE">
        <w:rPr>
          <w:color w:val="000000" w:themeColor="text1"/>
          <w:sz w:val="16"/>
          <w:szCs w:val="16"/>
        </w:rPr>
        <w:t xml:space="preserve"> в 1945 году в Польше Люблинский комитет провозглашает себя временным правительством Польши (14996).</w:t>
      </w:r>
    </w:p>
    <w:p w14:paraId="0B62F4DF" w14:textId="77777777" w:rsidR="003E545E" w:rsidRPr="00F90EAE" w:rsidRDefault="003E545E" w:rsidP="00F90EAE">
      <w:pPr>
        <w:jc w:val="both"/>
        <w:rPr>
          <w:color w:val="000000" w:themeColor="text1"/>
          <w:sz w:val="16"/>
          <w:szCs w:val="16"/>
        </w:rPr>
      </w:pPr>
    </w:p>
    <w:p w14:paraId="6E58C1A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E0A6881" w14:textId="77777777" w:rsidR="00C2313B" w:rsidRPr="00F90EAE" w:rsidRDefault="00C2313B" w:rsidP="00F90EAE">
      <w:pPr>
        <w:autoSpaceDE w:val="0"/>
        <w:autoSpaceDN w:val="0"/>
        <w:adjustRightInd w:val="0"/>
        <w:jc w:val="both"/>
        <w:rPr>
          <w:iCs/>
          <w:color w:val="000000" w:themeColor="text1"/>
          <w:sz w:val="16"/>
          <w:szCs w:val="16"/>
        </w:rPr>
      </w:pPr>
    </w:p>
    <w:p w14:paraId="5057FD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января 1945 ГИ завода № 381 Трушиным был утвержден, а в/п з-да № 381 им Шапош..согласован Акт о результатах специальных испытаний Ла-7 N 38101356 с АШ-82ФН, оборудованного системой объединенного управления винтом и газом конструкции ЦИАМ, автоматом переключения скоростей нагнетателя Э-67 и автоматом регулирования температуры головок цилиндров АРГЦ, выпущенного в ноябре 1944 381 заводом.</w:t>
      </w:r>
    </w:p>
    <w:p w14:paraId="5A9D1D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Ли Ермашенко, вед. И Ефимов, ви ЦИАМ Столяров</w:t>
      </w:r>
    </w:p>
    <w:p w14:paraId="58888A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Выполнил 6 полетов и налетали 4 час. 10 мин.</w:t>
      </w:r>
    </w:p>
    <w:p w14:paraId="09393E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74312C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прошел госиспытания удовлетворительно</w:t>
      </w:r>
    </w:p>
    <w:p w14:paraId="1D7689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Считать с-т № 1356 эталоном для выпуска серии машин, предназначенных для войсковых испытаний (742,53).</w:t>
      </w:r>
    </w:p>
    <w:p w14:paraId="67826D90" w14:textId="77777777" w:rsidR="00C2313B" w:rsidRPr="00F90EAE" w:rsidRDefault="00C2313B" w:rsidP="00F90EAE">
      <w:pPr>
        <w:autoSpaceDE w:val="0"/>
        <w:autoSpaceDN w:val="0"/>
        <w:adjustRightInd w:val="0"/>
        <w:jc w:val="both"/>
        <w:rPr>
          <w:color w:val="000000" w:themeColor="text1"/>
          <w:sz w:val="16"/>
          <w:szCs w:val="16"/>
        </w:rPr>
      </w:pPr>
    </w:p>
    <w:p w14:paraId="11B2272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A949D9D" w14:textId="77777777" w:rsidR="00C2313B" w:rsidRPr="00F90EAE" w:rsidRDefault="00C2313B" w:rsidP="00F90EAE">
      <w:pPr>
        <w:autoSpaceDE w:val="0"/>
        <w:autoSpaceDN w:val="0"/>
        <w:adjustRightInd w:val="0"/>
        <w:jc w:val="both"/>
        <w:rPr>
          <w:iCs/>
          <w:color w:val="000000" w:themeColor="text1"/>
          <w:sz w:val="16"/>
          <w:szCs w:val="16"/>
        </w:rPr>
      </w:pPr>
    </w:p>
    <w:p w14:paraId="326F94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января 1945 г. был подготовлен ПЛАН ОСНОВНЫХ РАБОТ ГБТУ КА НА 1 -е ПОЛУГОДИЕ 1945 г.</w:t>
      </w:r>
    </w:p>
    <w:tbl>
      <w:tblPr>
        <w:tblW w:w="0" w:type="auto"/>
        <w:tblInd w:w="40" w:type="dxa"/>
        <w:tblLayout w:type="fixed"/>
        <w:tblCellMar>
          <w:left w:w="40" w:type="dxa"/>
          <w:right w:w="40" w:type="dxa"/>
        </w:tblCellMar>
        <w:tblLook w:val="0000" w:firstRow="0" w:lastRow="0" w:firstColumn="0" w:lastColumn="0" w:noHBand="0" w:noVBand="0"/>
      </w:tblPr>
      <w:tblGrid>
        <w:gridCol w:w="426"/>
        <w:gridCol w:w="6095"/>
        <w:gridCol w:w="1417"/>
        <w:gridCol w:w="1560"/>
      </w:tblGrid>
      <w:tr w:rsidR="00561F31" w:rsidRPr="00F90EAE" w14:paraId="11C5305D" w14:textId="77777777">
        <w:trPr>
          <w:trHeight w:val="442"/>
        </w:trPr>
        <w:tc>
          <w:tcPr>
            <w:tcW w:w="426" w:type="dxa"/>
            <w:tcBorders>
              <w:top w:val="single" w:sz="6" w:space="0" w:color="auto"/>
              <w:left w:val="single" w:sz="6" w:space="0" w:color="auto"/>
              <w:bottom w:val="single" w:sz="6" w:space="0" w:color="auto"/>
              <w:right w:val="single" w:sz="6" w:space="0" w:color="auto"/>
            </w:tcBorders>
          </w:tcPr>
          <w:p w14:paraId="7DAC9D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23411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п/п</w:t>
            </w:r>
          </w:p>
          <w:p w14:paraId="0280D1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single" w:sz="6" w:space="0" w:color="auto"/>
              <w:right w:val="single" w:sz="6" w:space="0" w:color="auto"/>
            </w:tcBorders>
          </w:tcPr>
          <w:p w14:paraId="22EAAC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работ</w:t>
            </w:r>
          </w:p>
          <w:p w14:paraId="1FF20E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single" w:sz="6" w:space="0" w:color="auto"/>
              <w:right w:val="single" w:sz="6" w:space="0" w:color="auto"/>
            </w:tcBorders>
          </w:tcPr>
          <w:p w14:paraId="24252F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Срок</w:t>
            </w:r>
          </w:p>
          <w:p w14:paraId="418A30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single" w:sz="6" w:space="0" w:color="auto"/>
              <w:right w:val="single" w:sz="6" w:space="0" w:color="auto"/>
            </w:tcBorders>
          </w:tcPr>
          <w:p w14:paraId="6D7D36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Исполнитель</w:t>
            </w:r>
          </w:p>
          <w:p w14:paraId="77A862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0031EDB"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54DD0B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 </w:t>
            </w:r>
            <w:r w:rsidRPr="00F90EAE">
              <w:rPr>
                <w:color w:val="000000" w:themeColor="text1"/>
                <w:sz w:val="16"/>
                <w:szCs w:val="16"/>
              </w:rPr>
              <w:t>Улучшение качества материальной части</w:t>
            </w:r>
          </w:p>
          <w:p w14:paraId="3F0DD0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1F5097F" w14:textId="77777777">
        <w:trPr>
          <w:trHeight w:val="365"/>
        </w:trPr>
        <w:tc>
          <w:tcPr>
            <w:tcW w:w="426" w:type="dxa"/>
            <w:tcBorders>
              <w:top w:val="single" w:sz="6" w:space="0" w:color="auto"/>
              <w:left w:val="single" w:sz="6" w:space="0" w:color="auto"/>
              <w:bottom w:val="nil"/>
              <w:right w:val="single" w:sz="6" w:space="0" w:color="auto"/>
            </w:tcBorders>
          </w:tcPr>
          <w:p w14:paraId="62C35E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C197F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792ACF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выполнением постановлений ГОКО о качестве танков и самоходных установок и прика</w:t>
            </w:r>
            <w:r w:rsidRPr="00F90EAE">
              <w:rPr>
                <w:color w:val="000000" w:themeColor="text1"/>
                <w:sz w:val="16"/>
                <w:szCs w:val="16"/>
              </w:rPr>
              <w:softHyphen/>
              <w:t>за №333/085.</w:t>
            </w:r>
          </w:p>
          <w:p w14:paraId="7A7149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672BEE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1B71C2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76385D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ТУиУСА</w:t>
            </w:r>
          </w:p>
          <w:p w14:paraId="6B590A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80E2CD1" w14:textId="77777777">
        <w:trPr>
          <w:trHeight w:val="365"/>
        </w:trPr>
        <w:tc>
          <w:tcPr>
            <w:tcW w:w="426" w:type="dxa"/>
            <w:tcBorders>
              <w:top w:val="nil"/>
              <w:left w:val="single" w:sz="6" w:space="0" w:color="auto"/>
              <w:bottom w:val="nil"/>
              <w:right w:val="single" w:sz="6" w:space="0" w:color="auto"/>
            </w:tcBorders>
          </w:tcPr>
          <w:p w14:paraId="407A39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2BEDB7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999D2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гарантийных испытаний и испытаний на 200-300 км танков и самоходных установок. Проведение гарантийных испытаний бронемашин, мотоциклов и велосипедов.</w:t>
            </w:r>
          </w:p>
          <w:p w14:paraId="7D351F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A084E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2BA8E1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8EE7B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УСА, УБП и БЫ-</w:t>
            </w:r>
          </w:p>
          <w:p w14:paraId="401747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8C21741" w14:textId="77777777">
        <w:trPr>
          <w:trHeight w:val="202"/>
        </w:trPr>
        <w:tc>
          <w:tcPr>
            <w:tcW w:w="426" w:type="dxa"/>
            <w:tcBorders>
              <w:top w:val="nil"/>
              <w:left w:val="single" w:sz="6" w:space="0" w:color="auto"/>
              <w:bottom w:val="nil"/>
              <w:right w:val="single" w:sz="6" w:space="0" w:color="auto"/>
            </w:tcBorders>
          </w:tcPr>
          <w:p w14:paraId="32DA3F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79BDD3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59C5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Рассмотрение и утверждение чертежей и ТУ танков и самоходных установок и дизельмоторов на 1945 год.</w:t>
            </w:r>
          </w:p>
          <w:p w14:paraId="48F3D2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CD7A2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07931F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23F13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УСА</w:t>
            </w:r>
          </w:p>
          <w:p w14:paraId="38D5AF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2926A67" w14:textId="77777777">
        <w:trPr>
          <w:trHeight w:val="192"/>
        </w:trPr>
        <w:tc>
          <w:tcPr>
            <w:tcW w:w="426" w:type="dxa"/>
            <w:tcBorders>
              <w:top w:val="nil"/>
              <w:left w:val="single" w:sz="6" w:space="0" w:color="auto"/>
              <w:bottom w:val="nil"/>
              <w:right w:val="single" w:sz="6" w:space="0" w:color="auto"/>
            </w:tcBorders>
          </w:tcPr>
          <w:p w14:paraId="4902FF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130D67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4461D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совместно с НКТП совещания СА специалистов по сварке с целью отработки новых техниче-</w:t>
            </w:r>
          </w:p>
          <w:p w14:paraId="10D4CA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E7A76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4B16D13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564D0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4797B8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9D65347" w14:textId="77777777">
        <w:trPr>
          <w:trHeight w:val="173"/>
        </w:trPr>
        <w:tc>
          <w:tcPr>
            <w:tcW w:w="426" w:type="dxa"/>
            <w:tcBorders>
              <w:top w:val="nil"/>
              <w:left w:val="single" w:sz="6" w:space="0" w:color="auto"/>
              <w:bottom w:val="nil"/>
              <w:right w:val="single" w:sz="6" w:space="0" w:color="auto"/>
            </w:tcBorders>
          </w:tcPr>
          <w:p w14:paraId="6608C5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98FFE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4226E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ских условий на сварку и улучшения технологии сварки.</w:t>
            </w:r>
          </w:p>
          <w:p w14:paraId="57E2F4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8CCBD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18B26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241C6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05BB9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8126820" w14:textId="77777777">
        <w:trPr>
          <w:trHeight w:val="365"/>
        </w:trPr>
        <w:tc>
          <w:tcPr>
            <w:tcW w:w="426" w:type="dxa"/>
            <w:tcBorders>
              <w:top w:val="nil"/>
              <w:left w:val="single" w:sz="6" w:space="0" w:color="auto"/>
              <w:bottom w:val="nil"/>
              <w:right w:val="single" w:sz="6" w:space="0" w:color="auto"/>
            </w:tcBorders>
          </w:tcPr>
          <w:p w14:paraId="6E45AF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0275F9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E80B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работой танков Т-34 в войсках с бесструнной бортпередачей, механизмом поворота ВЭИ и новой командирской башенкой.</w:t>
            </w:r>
          </w:p>
          <w:p w14:paraId="1B1B90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B90BF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4B1BE2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7CE76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ТУиУЭТ</w:t>
            </w:r>
          </w:p>
          <w:p w14:paraId="169CCA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4CA375F" w14:textId="77777777">
        <w:trPr>
          <w:trHeight w:val="202"/>
        </w:trPr>
        <w:tc>
          <w:tcPr>
            <w:tcW w:w="426" w:type="dxa"/>
            <w:tcBorders>
              <w:top w:val="nil"/>
              <w:left w:val="single" w:sz="6" w:space="0" w:color="auto"/>
              <w:bottom w:val="nil"/>
              <w:right w:val="single" w:sz="6" w:space="0" w:color="auto"/>
            </w:tcBorders>
          </w:tcPr>
          <w:p w14:paraId="153147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1E8741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5F666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работой военных приемок на заводах с целью обеспечения количественного и качест-</w:t>
            </w:r>
          </w:p>
          <w:p w14:paraId="18B68F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EAC7F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2AAA65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6139A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УСА, УБП и БМ</w:t>
            </w:r>
          </w:p>
          <w:p w14:paraId="190B62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0A6B721" w14:textId="77777777">
        <w:trPr>
          <w:trHeight w:val="163"/>
        </w:trPr>
        <w:tc>
          <w:tcPr>
            <w:tcW w:w="426" w:type="dxa"/>
            <w:tcBorders>
              <w:top w:val="nil"/>
              <w:left w:val="single" w:sz="6" w:space="0" w:color="auto"/>
              <w:bottom w:val="nil"/>
              <w:right w:val="single" w:sz="6" w:space="0" w:color="auto"/>
            </w:tcBorders>
          </w:tcPr>
          <w:p w14:paraId="3CBB15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02DD48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93E8A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венного выполнения плана заказов.</w:t>
            </w:r>
          </w:p>
          <w:p w14:paraId="5F5D7D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09B05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62DCB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5D742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E23DB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B379B47" w14:textId="77777777">
        <w:trPr>
          <w:trHeight w:val="374"/>
        </w:trPr>
        <w:tc>
          <w:tcPr>
            <w:tcW w:w="426" w:type="dxa"/>
            <w:tcBorders>
              <w:top w:val="nil"/>
              <w:left w:val="single" w:sz="6" w:space="0" w:color="auto"/>
              <w:bottom w:val="nil"/>
              <w:right w:val="single" w:sz="6" w:space="0" w:color="auto"/>
            </w:tcBorders>
          </w:tcPr>
          <w:p w14:paraId="16CC13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2E069D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EE550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проведением работ по улучшению качества: брони и бронекорпусов, радио- и электро</w:t>
            </w:r>
            <w:r w:rsidRPr="00F90EAE">
              <w:rPr>
                <w:color w:val="000000" w:themeColor="text1"/>
                <w:sz w:val="16"/>
                <w:szCs w:val="16"/>
              </w:rPr>
              <w:softHyphen/>
              <w:t>оборудования и резиновых катков для танков и самоходных установок.</w:t>
            </w:r>
          </w:p>
          <w:p w14:paraId="4E454D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3CD6F5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0B3589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FD636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ТУиУСА</w:t>
            </w:r>
          </w:p>
          <w:p w14:paraId="77F849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9A157B5" w14:textId="77777777">
        <w:trPr>
          <w:trHeight w:val="202"/>
        </w:trPr>
        <w:tc>
          <w:tcPr>
            <w:tcW w:w="426" w:type="dxa"/>
            <w:tcBorders>
              <w:top w:val="nil"/>
              <w:left w:val="single" w:sz="6" w:space="0" w:color="auto"/>
              <w:bottom w:val="nil"/>
              <w:right w:val="single" w:sz="6" w:space="0" w:color="auto"/>
            </w:tcBorders>
          </w:tcPr>
          <w:p w14:paraId="6F4CB8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6D50D7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15BF7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систематических отстрелов корпусов и башен с целью систематического выборочного</w:t>
            </w:r>
          </w:p>
          <w:p w14:paraId="503394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5CAC9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2FA95E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9579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74674A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EEF96AF" w14:textId="77777777">
        <w:trPr>
          <w:trHeight w:val="211"/>
        </w:trPr>
        <w:tc>
          <w:tcPr>
            <w:tcW w:w="426" w:type="dxa"/>
            <w:tcBorders>
              <w:top w:val="nil"/>
              <w:left w:val="single" w:sz="6" w:space="0" w:color="auto"/>
              <w:bottom w:val="single" w:sz="6" w:space="0" w:color="auto"/>
              <w:right w:val="single" w:sz="6" w:space="0" w:color="auto"/>
            </w:tcBorders>
          </w:tcPr>
          <w:p w14:paraId="7DAE7A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9F09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554B7E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контроля за качеством их изготовления.</w:t>
            </w:r>
          </w:p>
          <w:p w14:paraId="4C3D9B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728CD6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000D2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5A9F84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49ABA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1AA23DD"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387487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II. </w:t>
            </w:r>
            <w:r w:rsidRPr="00F90EAE">
              <w:rPr>
                <w:color w:val="000000" w:themeColor="text1"/>
                <w:sz w:val="16"/>
                <w:szCs w:val="16"/>
              </w:rPr>
              <w:t>Снабжение материальной части войск</w:t>
            </w:r>
          </w:p>
          <w:p w14:paraId="697752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C81C52D" w14:textId="77777777">
        <w:trPr>
          <w:trHeight w:val="451"/>
        </w:trPr>
        <w:tc>
          <w:tcPr>
            <w:tcW w:w="426" w:type="dxa"/>
            <w:tcBorders>
              <w:top w:val="single" w:sz="6" w:space="0" w:color="auto"/>
              <w:left w:val="single" w:sz="6" w:space="0" w:color="auto"/>
              <w:bottom w:val="nil"/>
              <w:right w:val="single" w:sz="6" w:space="0" w:color="auto"/>
            </w:tcBorders>
          </w:tcPr>
          <w:p w14:paraId="172E97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16F19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4E2F23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Обеспечение выполнения планов военного совета по отправке танков, самоходных установок, бро</w:t>
            </w:r>
            <w:r w:rsidRPr="00F90EAE">
              <w:rPr>
                <w:color w:val="000000" w:themeColor="text1"/>
                <w:sz w:val="16"/>
                <w:szCs w:val="16"/>
              </w:rPr>
              <w:softHyphen/>
              <w:t>неавтомобилей и мотоциклов войскам с заводов.</w:t>
            </w:r>
          </w:p>
          <w:p w14:paraId="017C06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0E1E80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432EE3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78D1CC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УСА, УБП и БМ</w:t>
            </w:r>
          </w:p>
          <w:p w14:paraId="23B0B0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02AEFB8" w14:textId="77777777">
        <w:trPr>
          <w:trHeight w:val="365"/>
        </w:trPr>
        <w:tc>
          <w:tcPr>
            <w:tcW w:w="426" w:type="dxa"/>
            <w:tcBorders>
              <w:top w:val="nil"/>
              <w:left w:val="single" w:sz="6" w:space="0" w:color="auto"/>
              <w:bottom w:val="nil"/>
              <w:right w:val="single" w:sz="6" w:space="0" w:color="auto"/>
            </w:tcBorders>
          </w:tcPr>
          <w:p w14:paraId="29763A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w:t>
            </w:r>
          </w:p>
          <w:p w14:paraId="37A36A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34338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выполнением постановлений Правительства по выпуску танков, самоходных установок, бронемашин.</w:t>
            </w:r>
          </w:p>
          <w:p w14:paraId="14E4A7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2FD37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674CAA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32A71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УСА, УБПБМ</w:t>
            </w:r>
          </w:p>
          <w:p w14:paraId="0E3DB3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DD035C7" w14:textId="77777777">
        <w:trPr>
          <w:trHeight w:val="374"/>
        </w:trPr>
        <w:tc>
          <w:tcPr>
            <w:tcW w:w="426" w:type="dxa"/>
            <w:tcBorders>
              <w:top w:val="nil"/>
              <w:left w:val="single" w:sz="6" w:space="0" w:color="auto"/>
              <w:bottom w:val="nil"/>
              <w:right w:val="single" w:sz="6" w:space="0" w:color="auto"/>
            </w:tcBorders>
          </w:tcPr>
          <w:p w14:paraId="3A3B58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11AD24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A532E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Обеспечение своевременной разгрузки импортной материальной части танков, самоходных устано</w:t>
            </w:r>
            <w:r w:rsidRPr="00F90EAE">
              <w:rPr>
                <w:color w:val="000000" w:themeColor="text1"/>
                <w:sz w:val="16"/>
                <w:szCs w:val="16"/>
              </w:rPr>
              <w:softHyphen/>
              <w:t>вок, бронетранспортеров и мотоциклов в портах и отправки их в учебные части, склады и заводы.</w:t>
            </w:r>
          </w:p>
          <w:p w14:paraId="243503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0E420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6ABF5E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A9D62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УБП и БМ</w:t>
            </w:r>
          </w:p>
          <w:p w14:paraId="12D9EF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D53D11A" w14:textId="77777777">
        <w:trPr>
          <w:trHeight w:val="422"/>
        </w:trPr>
        <w:tc>
          <w:tcPr>
            <w:tcW w:w="426" w:type="dxa"/>
            <w:tcBorders>
              <w:top w:val="nil"/>
              <w:left w:val="single" w:sz="6" w:space="0" w:color="auto"/>
              <w:bottom w:val="single" w:sz="6" w:space="0" w:color="auto"/>
              <w:right w:val="single" w:sz="6" w:space="0" w:color="auto"/>
            </w:tcBorders>
          </w:tcPr>
          <w:p w14:paraId="47ABEB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297B85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02C190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Помощь частям и соединениям в освоении материальной части и ее эксплуатации при формирова</w:t>
            </w:r>
            <w:r w:rsidRPr="00F90EAE">
              <w:rPr>
                <w:color w:val="000000" w:themeColor="text1"/>
                <w:sz w:val="16"/>
                <w:szCs w:val="16"/>
              </w:rPr>
              <w:softHyphen/>
              <w:t>ниях и переформированиях.</w:t>
            </w:r>
          </w:p>
          <w:p w14:paraId="56DB29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30C8C2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ежемесячно</w:t>
            </w:r>
          </w:p>
          <w:p w14:paraId="20CA52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CC645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полигон ГБТУ</w:t>
            </w:r>
          </w:p>
          <w:p w14:paraId="2D6F99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552945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03899B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III. </w:t>
            </w:r>
            <w:r w:rsidRPr="00F90EAE">
              <w:rPr>
                <w:color w:val="000000" w:themeColor="text1"/>
                <w:sz w:val="16"/>
                <w:szCs w:val="16"/>
              </w:rPr>
              <w:t>Опытные работы и модернизация</w:t>
            </w:r>
          </w:p>
          <w:p w14:paraId="510E1B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2D872E2" w14:textId="77777777">
        <w:trPr>
          <w:trHeight w:val="269"/>
        </w:trPr>
        <w:tc>
          <w:tcPr>
            <w:tcW w:w="426" w:type="dxa"/>
            <w:tcBorders>
              <w:top w:val="single" w:sz="6" w:space="0" w:color="auto"/>
              <w:left w:val="single" w:sz="6" w:space="0" w:color="auto"/>
              <w:bottom w:val="nil"/>
              <w:right w:val="single" w:sz="6" w:space="0" w:color="auto"/>
            </w:tcBorders>
          </w:tcPr>
          <w:p w14:paraId="6C1192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929D6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5513F4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Окончание проводимых испытаний объекта "701" и подготовка к введению в серийное производство.</w:t>
            </w:r>
          </w:p>
          <w:p w14:paraId="798B67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7419C3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1B7AFA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57F93E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полигон ГБТУ</w:t>
            </w:r>
          </w:p>
          <w:p w14:paraId="0FE442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091D34D" w14:textId="77777777">
        <w:trPr>
          <w:trHeight w:val="538"/>
        </w:trPr>
        <w:tc>
          <w:tcPr>
            <w:tcW w:w="426" w:type="dxa"/>
            <w:tcBorders>
              <w:top w:val="nil"/>
              <w:left w:val="single" w:sz="6" w:space="0" w:color="auto"/>
              <w:bottom w:val="nil"/>
              <w:right w:val="single" w:sz="6" w:space="0" w:color="auto"/>
            </w:tcBorders>
          </w:tcPr>
          <w:p w14:paraId="04BC13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3E32E5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1ACCF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установочной партии модернизированного образца танка ИС ("Киро-вец" 1 ) и проведение испытаний обстрелом двух корпусов, один из которых оборудован всеми штатными приборами в боевом отделении управления и боеукладкой с частью снарядов.</w:t>
            </w:r>
          </w:p>
          <w:p w14:paraId="1DAED4F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72C91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63C45A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ED9CA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0428E9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16DBAC1" w14:textId="77777777">
        <w:trPr>
          <w:trHeight w:val="202"/>
        </w:trPr>
        <w:tc>
          <w:tcPr>
            <w:tcW w:w="426" w:type="dxa"/>
            <w:tcBorders>
              <w:top w:val="nil"/>
              <w:left w:val="single" w:sz="6" w:space="0" w:color="auto"/>
              <w:bottom w:val="nil"/>
              <w:right w:val="single" w:sz="6" w:space="0" w:color="auto"/>
            </w:tcBorders>
          </w:tcPr>
          <w:p w14:paraId="6563EC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457933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B3E8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опытного образца танка ИС-6 с электротрансмиссией и проведение</w:t>
            </w:r>
          </w:p>
          <w:p w14:paraId="71E1AF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A27C8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634F64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7C698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18D0E8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4C9F053" w14:textId="77777777">
        <w:trPr>
          <w:trHeight w:val="163"/>
        </w:trPr>
        <w:tc>
          <w:tcPr>
            <w:tcW w:w="426" w:type="dxa"/>
            <w:tcBorders>
              <w:top w:val="nil"/>
              <w:left w:val="single" w:sz="6" w:space="0" w:color="auto"/>
              <w:bottom w:val="nil"/>
              <w:right w:val="single" w:sz="6" w:space="0" w:color="auto"/>
            </w:tcBorders>
          </w:tcPr>
          <w:p w14:paraId="09A248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1C7B7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E3F3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заводских полигонных испытаний.</w:t>
            </w:r>
          </w:p>
          <w:p w14:paraId="250F59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8F4D2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332FE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649FF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FD837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739860E" w14:textId="77777777">
        <w:trPr>
          <w:trHeight w:val="202"/>
        </w:trPr>
        <w:tc>
          <w:tcPr>
            <w:tcW w:w="426" w:type="dxa"/>
            <w:tcBorders>
              <w:top w:val="nil"/>
              <w:left w:val="single" w:sz="6" w:space="0" w:color="auto"/>
              <w:bottom w:val="nil"/>
              <w:right w:val="single" w:sz="6" w:space="0" w:color="auto"/>
            </w:tcBorders>
          </w:tcPr>
          <w:p w14:paraId="221569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2A77B3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D3407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испытаний нового среднего танка Т-54.</w:t>
            </w:r>
          </w:p>
          <w:p w14:paraId="601380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73755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50CA67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01AF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5BC09C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44B040A" w14:textId="77777777">
        <w:trPr>
          <w:trHeight w:val="365"/>
        </w:trPr>
        <w:tc>
          <w:tcPr>
            <w:tcW w:w="426" w:type="dxa"/>
            <w:tcBorders>
              <w:top w:val="nil"/>
              <w:left w:val="single" w:sz="6" w:space="0" w:color="auto"/>
              <w:bottom w:val="nil"/>
              <w:right w:val="single" w:sz="6" w:space="0" w:color="auto"/>
            </w:tcBorders>
          </w:tcPr>
          <w:p w14:paraId="44D872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3E9B06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C5DF0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разработкой, изготовлением и участие в испытаниях опытных отсеков танковых ди</w:t>
            </w:r>
            <w:r w:rsidRPr="00F90EAE">
              <w:rPr>
                <w:color w:val="000000" w:themeColor="text1"/>
                <w:sz w:val="16"/>
                <w:szCs w:val="16"/>
              </w:rPr>
              <w:softHyphen/>
              <w:t>зельмоторов мощностью 1000 л.с. по проектам КБ заводов, института Баумана и Проф. Бриллинга.</w:t>
            </w:r>
          </w:p>
          <w:p w14:paraId="1ADC69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4C066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июнь</w:t>
            </w:r>
          </w:p>
          <w:p w14:paraId="341D60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61E6E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3889A9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48DD97A" w14:textId="77777777">
        <w:trPr>
          <w:trHeight w:val="202"/>
        </w:trPr>
        <w:tc>
          <w:tcPr>
            <w:tcW w:w="426" w:type="dxa"/>
            <w:tcBorders>
              <w:top w:val="nil"/>
              <w:left w:val="single" w:sz="6" w:space="0" w:color="auto"/>
              <w:bottom w:val="nil"/>
              <w:right w:val="single" w:sz="6" w:space="0" w:color="auto"/>
            </w:tcBorders>
          </w:tcPr>
          <w:p w14:paraId="1CE69E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56669D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9A983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испытаний дизельмоторов: В- 14, В- 16.</w:t>
            </w:r>
          </w:p>
          <w:p w14:paraId="373998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7A19E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4E4E37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9ACC8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64A18C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3C73254" w14:textId="77777777">
        <w:trPr>
          <w:trHeight w:val="192"/>
        </w:trPr>
        <w:tc>
          <w:tcPr>
            <w:tcW w:w="426" w:type="dxa"/>
            <w:tcBorders>
              <w:top w:val="nil"/>
              <w:left w:val="single" w:sz="6" w:space="0" w:color="auto"/>
              <w:bottom w:val="nil"/>
              <w:right w:val="single" w:sz="6" w:space="0" w:color="auto"/>
            </w:tcBorders>
          </w:tcPr>
          <w:p w14:paraId="70DCE4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6539D1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62C4C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Изготовление установочной партии новой бортовой передачи для Т-34-85.</w:t>
            </w:r>
          </w:p>
          <w:p w14:paraId="1C7924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E87C6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69DA71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C39D7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52117B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BE8F9BB" w14:textId="77777777">
        <w:trPr>
          <w:trHeight w:val="374"/>
        </w:trPr>
        <w:tc>
          <w:tcPr>
            <w:tcW w:w="426" w:type="dxa"/>
            <w:tcBorders>
              <w:top w:val="nil"/>
              <w:left w:val="single" w:sz="6" w:space="0" w:color="auto"/>
              <w:bottom w:val="nil"/>
              <w:right w:val="single" w:sz="6" w:space="0" w:color="auto"/>
            </w:tcBorders>
          </w:tcPr>
          <w:p w14:paraId="0BE285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0C2C2A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56959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Изготовление установочной партии приборов управления огнем в командирской башенке, со следя</w:t>
            </w:r>
            <w:r w:rsidRPr="00F90EAE">
              <w:rPr>
                <w:color w:val="000000" w:themeColor="text1"/>
                <w:sz w:val="16"/>
                <w:szCs w:val="16"/>
              </w:rPr>
              <w:softHyphen/>
              <w:t>щей системой наводки орудия с места командира на ИС и Т-34.</w:t>
            </w:r>
          </w:p>
          <w:p w14:paraId="059F8F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545E6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75B34A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A3120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49B2D0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49CBEC7" w14:textId="77777777">
        <w:trPr>
          <w:trHeight w:val="192"/>
        </w:trPr>
        <w:tc>
          <w:tcPr>
            <w:tcW w:w="426" w:type="dxa"/>
            <w:tcBorders>
              <w:top w:val="nil"/>
              <w:left w:val="single" w:sz="6" w:space="0" w:color="auto"/>
              <w:bottom w:val="nil"/>
              <w:right w:val="single" w:sz="6" w:space="0" w:color="auto"/>
            </w:tcBorders>
          </w:tcPr>
          <w:p w14:paraId="63C15B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0BD816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BE406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Изготовление опытной партии башен Т-34 с улучшенной системой вентиляции боевого отделения.</w:t>
            </w:r>
          </w:p>
          <w:p w14:paraId="75DCA8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D47FF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3E3223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4964C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35053A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D00C8DC" w14:textId="77777777">
        <w:trPr>
          <w:trHeight w:val="202"/>
        </w:trPr>
        <w:tc>
          <w:tcPr>
            <w:tcW w:w="426" w:type="dxa"/>
            <w:tcBorders>
              <w:top w:val="nil"/>
              <w:left w:val="single" w:sz="6" w:space="0" w:color="auto"/>
              <w:bottom w:val="nil"/>
              <w:right w:val="single" w:sz="6" w:space="0" w:color="auto"/>
            </w:tcBorders>
          </w:tcPr>
          <w:p w14:paraId="2C4FAC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079CDD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7EDE7A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отработкой и устранением конструктивных и производственных недостатков танка Т-44.</w:t>
            </w:r>
          </w:p>
          <w:p w14:paraId="6CDD17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8D229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31817F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004621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533395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4D741D8" w14:textId="77777777">
        <w:trPr>
          <w:trHeight w:val="202"/>
        </w:trPr>
        <w:tc>
          <w:tcPr>
            <w:tcW w:w="426" w:type="dxa"/>
            <w:tcBorders>
              <w:top w:val="nil"/>
              <w:left w:val="single" w:sz="6" w:space="0" w:color="auto"/>
              <w:bottom w:val="nil"/>
              <w:right w:val="single" w:sz="6" w:space="0" w:color="auto"/>
            </w:tcBorders>
          </w:tcPr>
          <w:p w14:paraId="22268B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w:t>
            </w:r>
          </w:p>
          <w:p w14:paraId="3BC900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92EB9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и испытанием электропривода механизма поворота башни среднего</w:t>
            </w:r>
          </w:p>
          <w:p w14:paraId="0092A8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55CDD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26AA07E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3FE52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НИБТ полигона</w:t>
            </w:r>
          </w:p>
          <w:p w14:paraId="2EB084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D5E2802" w14:textId="77777777">
        <w:trPr>
          <w:trHeight w:val="154"/>
        </w:trPr>
        <w:tc>
          <w:tcPr>
            <w:tcW w:w="426" w:type="dxa"/>
            <w:tcBorders>
              <w:top w:val="nil"/>
              <w:left w:val="single" w:sz="6" w:space="0" w:color="auto"/>
              <w:bottom w:val="nil"/>
              <w:right w:val="single" w:sz="6" w:space="0" w:color="auto"/>
            </w:tcBorders>
          </w:tcPr>
          <w:p w14:paraId="1105C9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6035E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A4658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тяжелого танка.</w:t>
            </w:r>
          </w:p>
          <w:p w14:paraId="27C25D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681F3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2641C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59E73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AD2A0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AE12CC7" w14:textId="77777777">
        <w:trPr>
          <w:trHeight w:val="202"/>
        </w:trPr>
        <w:tc>
          <w:tcPr>
            <w:tcW w:w="426" w:type="dxa"/>
            <w:tcBorders>
              <w:top w:val="nil"/>
              <w:left w:val="single" w:sz="6" w:space="0" w:color="auto"/>
              <w:bottom w:val="nil"/>
              <w:right w:val="single" w:sz="6" w:space="0" w:color="auto"/>
            </w:tcBorders>
          </w:tcPr>
          <w:p w14:paraId="0031BE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0F7846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4233F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испытаний: электротермометров воды и масла, счетчика моточасов.</w:t>
            </w:r>
          </w:p>
          <w:p w14:paraId="275297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67F97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07D41A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F0211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НИБТ полигона</w:t>
            </w:r>
          </w:p>
          <w:p w14:paraId="3D5617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D9E62E4" w14:textId="77777777">
        <w:trPr>
          <w:trHeight w:val="365"/>
        </w:trPr>
        <w:tc>
          <w:tcPr>
            <w:tcW w:w="426" w:type="dxa"/>
            <w:tcBorders>
              <w:top w:val="nil"/>
              <w:left w:val="single" w:sz="6" w:space="0" w:color="auto"/>
              <w:bottom w:val="nil"/>
              <w:right w:val="single" w:sz="6" w:space="0" w:color="auto"/>
            </w:tcBorders>
          </w:tcPr>
          <w:p w14:paraId="1B7F98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w:t>
            </w:r>
          </w:p>
          <w:p w14:paraId="091A6C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5B8B1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Разработка технических требований на радиооборудование по результатам работы совместной ко</w:t>
            </w:r>
            <w:r w:rsidRPr="00F90EAE">
              <w:rPr>
                <w:color w:val="000000" w:themeColor="text1"/>
                <w:sz w:val="16"/>
                <w:szCs w:val="16"/>
              </w:rPr>
              <w:softHyphen/>
              <w:t>миссии ГБТУ КА и ГУС КА.</w:t>
            </w:r>
          </w:p>
          <w:p w14:paraId="29887B1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3E778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февраль</w:t>
            </w:r>
          </w:p>
          <w:p w14:paraId="120886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C1BB4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НИБТ полигона</w:t>
            </w:r>
          </w:p>
          <w:p w14:paraId="7DE036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01C8CC8" w14:textId="77777777">
        <w:trPr>
          <w:trHeight w:val="202"/>
        </w:trPr>
        <w:tc>
          <w:tcPr>
            <w:tcW w:w="426" w:type="dxa"/>
            <w:tcBorders>
              <w:top w:val="nil"/>
              <w:left w:val="single" w:sz="6" w:space="0" w:color="auto"/>
              <w:bottom w:val="nil"/>
              <w:right w:val="single" w:sz="6" w:space="0" w:color="auto"/>
            </w:tcBorders>
          </w:tcPr>
          <w:p w14:paraId="604488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40407D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51D98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Внедрение в серийное производство нового типа автоматических огнетушителей.</w:t>
            </w:r>
          </w:p>
          <w:p w14:paraId="5B5F71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79AFD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0FFE1C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29D49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072C78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0679CDF" w14:textId="77777777">
        <w:trPr>
          <w:trHeight w:val="202"/>
        </w:trPr>
        <w:tc>
          <w:tcPr>
            <w:tcW w:w="426" w:type="dxa"/>
            <w:tcBorders>
              <w:top w:val="nil"/>
              <w:left w:val="single" w:sz="6" w:space="0" w:color="auto"/>
              <w:bottom w:val="nil"/>
              <w:right w:val="single" w:sz="6" w:space="0" w:color="auto"/>
            </w:tcBorders>
          </w:tcPr>
          <w:p w14:paraId="7251BB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449CD8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03A88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Разработка новых ТТТ на танки и танковые агрегаты.</w:t>
            </w:r>
          </w:p>
          <w:p w14:paraId="708C2F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142F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1A7257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F8BD5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227FEB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AF90C54" w14:textId="77777777">
        <w:trPr>
          <w:trHeight w:val="365"/>
        </w:trPr>
        <w:tc>
          <w:tcPr>
            <w:tcW w:w="426" w:type="dxa"/>
            <w:tcBorders>
              <w:top w:val="nil"/>
              <w:left w:val="single" w:sz="6" w:space="0" w:color="auto"/>
              <w:bottom w:val="nil"/>
              <w:right w:val="single" w:sz="6" w:space="0" w:color="auto"/>
            </w:tcBorders>
          </w:tcPr>
          <w:p w14:paraId="41F9D5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w:t>
            </w:r>
          </w:p>
          <w:p w14:paraId="28721C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CC48E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разработкой и изготовление опытных образцов самоходных установок со 122 и 152-мм пушками повышенной баллистики.</w:t>
            </w:r>
          </w:p>
          <w:p w14:paraId="5B9B54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11260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июнь</w:t>
            </w:r>
          </w:p>
          <w:p w14:paraId="68FF53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630F4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3F1C47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AEADA5D" w14:textId="77777777">
        <w:trPr>
          <w:trHeight w:val="384"/>
        </w:trPr>
        <w:tc>
          <w:tcPr>
            <w:tcW w:w="426" w:type="dxa"/>
            <w:tcBorders>
              <w:top w:val="nil"/>
              <w:left w:val="single" w:sz="6" w:space="0" w:color="auto"/>
              <w:bottom w:val="single" w:sz="6" w:space="0" w:color="auto"/>
              <w:right w:val="single" w:sz="6" w:space="0" w:color="auto"/>
            </w:tcBorders>
          </w:tcPr>
          <w:p w14:paraId="7F5AD7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w:t>
            </w:r>
          </w:p>
          <w:p w14:paraId="5AFF5D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11C529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опытных образцов самоходных установок с передним и задним рас</w:t>
            </w:r>
            <w:r w:rsidRPr="00F90EAE">
              <w:rPr>
                <w:color w:val="000000" w:themeColor="text1"/>
                <w:sz w:val="16"/>
                <w:szCs w:val="16"/>
              </w:rPr>
              <w:softHyphen/>
              <w:t>положением боевых отделений (шасси Т-34).</w:t>
            </w:r>
          </w:p>
          <w:p w14:paraId="53D79E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11EE28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апрель</w:t>
            </w:r>
          </w:p>
          <w:p w14:paraId="78902E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4E639A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5E3A3A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42710A5" w14:textId="77777777">
        <w:trPr>
          <w:trHeight w:val="202"/>
        </w:trPr>
        <w:tc>
          <w:tcPr>
            <w:tcW w:w="426" w:type="dxa"/>
            <w:tcBorders>
              <w:top w:val="single" w:sz="6" w:space="0" w:color="auto"/>
              <w:left w:val="single" w:sz="6" w:space="0" w:color="auto"/>
              <w:bottom w:val="nil"/>
              <w:right w:val="single" w:sz="6" w:space="0" w:color="auto"/>
            </w:tcBorders>
          </w:tcPr>
          <w:p w14:paraId="1EC80C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p w14:paraId="7BA21D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154440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Организация и проведение испытаний самоходных установок с пушками: ЛБ-9, ЛБ-10, С-26 и С-26-1 .</w:t>
            </w:r>
          </w:p>
          <w:p w14:paraId="76609E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73A3EB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март</w:t>
            </w:r>
          </w:p>
          <w:p w14:paraId="728A5C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40FD41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4EB801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7A91D57" w14:textId="77777777">
        <w:trPr>
          <w:trHeight w:val="202"/>
        </w:trPr>
        <w:tc>
          <w:tcPr>
            <w:tcW w:w="426" w:type="dxa"/>
            <w:tcBorders>
              <w:top w:val="nil"/>
              <w:left w:val="single" w:sz="6" w:space="0" w:color="auto"/>
              <w:bottom w:val="nil"/>
              <w:right w:val="single" w:sz="6" w:space="0" w:color="auto"/>
            </w:tcBorders>
          </w:tcPr>
          <w:p w14:paraId="69B635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w:t>
            </w:r>
          </w:p>
          <w:p w14:paraId="0E39D0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B0994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и испытанием опытного образца установки 122-мм пушки большой</w:t>
            </w:r>
          </w:p>
          <w:p w14:paraId="198112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79CB0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июнь</w:t>
            </w:r>
          </w:p>
          <w:p w14:paraId="2128BC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2D867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331856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8969DBC" w14:textId="77777777">
        <w:trPr>
          <w:trHeight w:val="163"/>
        </w:trPr>
        <w:tc>
          <w:tcPr>
            <w:tcW w:w="426" w:type="dxa"/>
            <w:tcBorders>
              <w:top w:val="nil"/>
              <w:left w:val="single" w:sz="6" w:space="0" w:color="auto"/>
              <w:bottom w:val="nil"/>
              <w:right w:val="single" w:sz="6" w:space="0" w:color="auto"/>
            </w:tcBorders>
          </w:tcPr>
          <w:p w14:paraId="3DD761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AC196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FA80E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мощности в тяжелом танке.</w:t>
            </w:r>
          </w:p>
          <w:p w14:paraId="2D3F5C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2BA0A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632A7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048E8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815D4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8735400" w14:textId="77777777">
        <w:trPr>
          <w:trHeight w:val="202"/>
        </w:trPr>
        <w:tc>
          <w:tcPr>
            <w:tcW w:w="426" w:type="dxa"/>
            <w:tcBorders>
              <w:top w:val="nil"/>
              <w:left w:val="single" w:sz="6" w:space="0" w:color="auto"/>
              <w:bottom w:val="nil"/>
              <w:right w:val="single" w:sz="6" w:space="0" w:color="auto"/>
            </w:tcBorders>
          </w:tcPr>
          <w:p w14:paraId="152DDEA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1BC3B7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E52A7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изготовлением и испытанием 5 образцов стабилизаторов СТП С-35 на танке Т-34.</w:t>
            </w:r>
          </w:p>
          <w:p w14:paraId="03E12C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0656F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май</w:t>
            </w:r>
          </w:p>
          <w:p w14:paraId="7E7493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95C4E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45480E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1C957E5" w14:textId="77777777">
        <w:trPr>
          <w:trHeight w:val="192"/>
        </w:trPr>
        <w:tc>
          <w:tcPr>
            <w:tcW w:w="426" w:type="dxa"/>
            <w:tcBorders>
              <w:top w:val="nil"/>
              <w:left w:val="single" w:sz="6" w:space="0" w:color="auto"/>
              <w:bottom w:val="nil"/>
              <w:right w:val="single" w:sz="6" w:space="0" w:color="auto"/>
            </w:tcBorders>
          </w:tcPr>
          <w:p w14:paraId="7B6A73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w:t>
            </w:r>
          </w:p>
          <w:p w14:paraId="3DD4ED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CB622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отработкой систем для 85-мм и 100-мм пушек большой мощности.</w:t>
            </w:r>
          </w:p>
          <w:p w14:paraId="6250EC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58FC1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март - июнь</w:t>
            </w:r>
          </w:p>
          <w:p w14:paraId="070C9F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A5DA8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461D6C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DADF4C7" w14:textId="77777777">
        <w:trPr>
          <w:trHeight w:val="202"/>
        </w:trPr>
        <w:tc>
          <w:tcPr>
            <w:tcW w:w="426" w:type="dxa"/>
            <w:tcBorders>
              <w:top w:val="nil"/>
              <w:left w:val="single" w:sz="6" w:space="0" w:color="auto"/>
              <w:bottom w:val="nil"/>
              <w:right w:val="single" w:sz="6" w:space="0" w:color="auto"/>
            </w:tcBorders>
          </w:tcPr>
          <w:p w14:paraId="543DD1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w:t>
            </w:r>
          </w:p>
          <w:p w14:paraId="6294FF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90F26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сравнительными испытаниями маслофильтров и воздухоочистителей на НИБТ полигоне.</w:t>
            </w:r>
          </w:p>
          <w:p w14:paraId="25407C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5E7DC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1AFD50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2F3BC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5B8663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FAE1A01" w14:textId="77777777">
        <w:trPr>
          <w:trHeight w:val="202"/>
        </w:trPr>
        <w:tc>
          <w:tcPr>
            <w:tcW w:w="426" w:type="dxa"/>
            <w:tcBorders>
              <w:top w:val="nil"/>
              <w:left w:val="single" w:sz="6" w:space="0" w:color="auto"/>
              <w:bottom w:val="nil"/>
              <w:right w:val="single" w:sz="6" w:space="0" w:color="auto"/>
            </w:tcBorders>
          </w:tcPr>
          <w:p w14:paraId="259444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p w14:paraId="4426AD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AD2EF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Наблюдение за разработкой и изготовлением новых образцов бронеавтомобилей и бронетранспортеров.</w:t>
            </w:r>
          </w:p>
          <w:p w14:paraId="2948AE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44A0E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июнь</w:t>
            </w:r>
          </w:p>
          <w:p w14:paraId="081A2B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F00A4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06B598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90ECF82" w14:textId="77777777">
        <w:trPr>
          <w:trHeight w:val="182"/>
        </w:trPr>
        <w:tc>
          <w:tcPr>
            <w:tcW w:w="426" w:type="dxa"/>
            <w:tcBorders>
              <w:top w:val="nil"/>
              <w:left w:val="single" w:sz="6" w:space="0" w:color="auto"/>
              <w:bottom w:val="nil"/>
              <w:right w:val="single" w:sz="6" w:space="0" w:color="auto"/>
            </w:tcBorders>
          </w:tcPr>
          <w:p w14:paraId="552882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p w14:paraId="0E1C0A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4DB49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Получение и испытание установочной партии мотоциклов М-73 и опытных мотоциклов по плану</w:t>
            </w:r>
          </w:p>
          <w:p w14:paraId="4BB045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479F7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январь - июнь</w:t>
            </w:r>
          </w:p>
          <w:p w14:paraId="1627BE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DCE565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3FD352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1DB7A7B" w14:textId="77777777">
        <w:trPr>
          <w:trHeight w:val="173"/>
        </w:trPr>
        <w:tc>
          <w:tcPr>
            <w:tcW w:w="426" w:type="dxa"/>
            <w:tcBorders>
              <w:top w:val="nil"/>
              <w:left w:val="single" w:sz="6" w:space="0" w:color="auto"/>
              <w:bottom w:val="nil"/>
              <w:right w:val="single" w:sz="6" w:space="0" w:color="auto"/>
            </w:tcBorders>
          </w:tcPr>
          <w:p w14:paraId="383B7D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D58D76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44DAE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НКСМ и ГБТУ КА.</w:t>
            </w:r>
          </w:p>
          <w:p w14:paraId="231C90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9DAD1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A9FDD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2000C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6FBB8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CC4B816" w14:textId="77777777">
        <w:trPr>
          <w:trHeight w:val="211"/>
        </w:trPr>
        <w:tc>
          <w:tcPr>
            <w:tcW w:w="426" w:type="dxa"/>
            <w:tcBorders>
              <w:top w:val="nil"/>
              <w:left w:val="single" w:sz="6" w:space="0" w:color="auto"/>
              <w:bottom w:val="nil"/>
              <w:right w:val="single" w:sz="6" w:space="0" w:color="auto"/>
            </w:tcBorders>
          </w:tcPr>
          <w:p w14:paraId="0BF6A6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105344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56E34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работ по уменьшению габаритов 50 бронепоездов.</w:t>
            </w:r>
          </w:p>
          <w:p w14:paraId="4FF039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E3ED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3C2907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D1E5A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607C54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C21890F" w14:textId="77777777">
        <w:trPr>
          <w:trHeight w:val="192"/>
        </w:trPr>
        <w:tc>
          <w:tcPr>
            <w:tcW w:w="426" w:type="dxa"/>
            <w:tcBorders>
              <w:top w:val="nil"/>
              <w:left w:val="single" w:sz="6" w:space="0" w:color="auto"/>
              <w:bottom w:val="nil"/>
              <w:right w:val="single" w:sz="6" w:space="0" w:color="auto"/>
            </w:tcBorders>
          </w:tcPr>
          <w:p w14:paraId="41D6D8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p w14:paraId="6A2BE7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152A1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Унификация радиостанций на бронепоездах.</w:t>
            </w:r>
          </w:p>
          <w:p w14:paraId="49FFB2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1723A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июнь</w:t>
            </w:r>
          </w:p>
          <w:p w14:paraId="463FA6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2DD94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599109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4C0999E" w14:textId="77777777">
        <w:trPr>
          <w:trHeight w:val="202"/>
        </w:trPr>
        <w:tc>
          <w:tcPr>
            <w:tcW w:w="426" w:type="dxa"/>
            <w:tcBorders>
              <w:top w:val="nil"/>
              <w:left w:val="single" w:sz="6" w:space="0" w:color="auto"/>
              <w:bottom w:val="nil"/>
              <w:right w:val="single" w:sz="6" w:space="0" w:color="auto"/>
            </w:tcBorders>
          </w:tcPr>
          <w:p w14:paraId="1D93CE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w:t>
            </w:r>
          </w:p>
          <w:p w14:paraId="4A6509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13770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испытаний электротрансмиссии.</w:t>
            </w:r>
          </w:p>
          <w:p w14:paraId="66D248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C2B0C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0A81F2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6377C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НИБТ полигона</w:t>
            </w:r>
          </w:p>
          <w:p w14:paraId="09BEB8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644859E" w14:textId="77777777">
        <w:trPr>
          <w:trHeight w:val="182"/>
        </w:trPr>
        <w:tc>
          <w:tcPr>
            <w:tcW w:w="426" w:type="dxa"/>
            <w:tcBorders>
              <w:top w:val="nil"/>
              <w:left w:val="single" w:sz="6" w:space="0" w:color="auto"/>
              <w:bottom w:val="nil"/>
              <w:right w:val="single" w:sz="6" w:space="0" w:color="auto"/>
            </w:tcBorders>
          </w:tcPr>
          <w:p w14:paraId="1BD2468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w:t>
            </w:r>
          </w:p>
          <w:p w14:paraId="6CE758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24CEB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разработкой шарнирных прицелов для 100-мм, 122 и 152-мм пушек с переменным</w:t>
            </w:r>
          </w:p>
          <w:p w14:paraId="5C058D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C0673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май</w:t>
            </w:r>
          </w:p>
          <w:p w14:paraId="7E8C0E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E230C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01B3B5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7B4BF1A" w14:textId="77777777">
        <w:trPr>
          <w:trHeight w:val="182"/>
        </w:trPr>
        <w:tc>
          <w:tcPr>
            <w:tcW w:w="426" w:type="dxa"/>
            <w:tcBorders>
              <w:top w:val="nil"/>
              <w:left w:val="single" w:sz="6" w:space="0" w:color="auto"/>
              <w:bottom w:val="nil"/>
              <w:right w:val="single" w:sz="6" w:space="0" w:color="auto"/>
            </w:tcBorders>
          </w:tcPr>
          <w:p w14:paraId="6DC6E8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2E0A8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F9EA9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увеличением (3 и 6).</w:t>
            </w:r>
          </w:p>
          <w:p w14:paraId="04E786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110D6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E06E5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999D2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D2BE3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403C16C" w14:textId="77777777">
        <w:trPr>
          <w:trHeight w:val="202"/>
        </w:trPr>
        <w:tc>
          <w:tcPr>
            <w:tcW w:w="426" w:type="dxa"/>
            <w:tcBorders>
              <w:top w:val="nil"/>
              <w:left w:val="single" w:sz="6" w:space="0" w:color="auto"/>
              <w:bottom w:val="nil"/>
              <w:right w:val="single" w:sz="6" w:space="0" w:color="auto"/>
            </w:tcBorders>
          </w:tcPr>
          <w:p w14:paraId="1C1434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w:t>
            </w:r>
          </w:p>
          <w:p w14:paraId="4E1D5D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79A65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разработкой и внедрением в производство единого образца боеукладки (стаканчики).</w:t>
            </w:r>
          </w:p>
          <w:p w14:paraId="592C2F1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F170D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02773F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3C895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 и УСА</w:t>
            </w:r>
          </w:p>
          <w:p w14:paraId="312E9B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AB4E7A9" w14:textId="77777777">
        <w:trPr>
          <w:trHeight w:val="230"/>
        </w:trPr>
        <w:tc>
          <w:tcPr>
            <w:tcW w:w="426" w:type="dxa"/>
            <w:tcBorders>
              <w:top w:val="nil"/>
              <w:left w:val="single" w:sz="6" w:space="0" w:color="auto"/>
              <w:bottom w:val="single" w:sz="6" w:space="0" w:color="auto"/>
              <w:right w:val="single" w:sz="6" w:space="0" w:color="auto"/>
            </w:tcBorders>
          </w:tcPr>
          <w:p w14:paraId="7F202F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10C308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253059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Испытание топлив и смазок для отечественных и импортных танков и СУ.</w:t>
            </w:r>
          </w:p>
          <w:p w14:paraId="4AE33A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0A52ED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2A6D9E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4A5E5A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20C182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D192B9A" w14:textId="77777777">
        <w:trPr>
          <w:trHeight w:val="250"/>
        </w:trPr>
        <w:tc>
          <w:tcPr>
            <w:tcW w:w="9498" w:type="dxa"/>
            <w:gridSpan w:val="4"/>
            <w:tcBorders>
              <w:top w:val="single" w:sz="6" w:space="0" w:color="auto"/>
              <w:left w:val="single" w:sz="6" w:space="0" w:color="auto"/>
              <w:bottom w:val="single" w:sz="6" w:space="0" w:color="auto"/>
              <w:right w:val="single" w:sz="6" w:space="0" w:color="auto"/>
            </w:tcBorders>
          </w:tcPr>
          <w:p w14:paraId="49281F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IV. </w:t>
            </w:r>
            <w:r w:rsidRPr="00F90EAE">
              <w:rPr>
                <w:color w:val="000000" w:themeColor="text1"/>
                <w:sz w:val="16"/>
                <w:szCs w:val="16"/>
              </w:rPr>
              <w:t>Техдокументация и издания</w:t>
            </w:r>
          </w:p>
          <w:p w14:paraId="23479B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5CC5305" w14:textId="77777777">
        <w:trPr>
          <w:trHeight w:val="269"/>
        </w:trPr>
        <w:tc>
          <w:tcPr>
            <w:tcW w:w="426" w:type="dxa"/>
            <w:tcBorders>
              <w:top w:val="single" w:sz="6" w:space="0" w:color="auto"/>
              <w:left w:val="single" w:sz="6" w:space="0" w:color="auto"/>
              <w:bottom w:val="nil"/>
              <w:right w:val="single" w:sz="6" w:space="0" w:color="auto"/>
            </w:tcBorders>
          </w:tcPr>
          <w:p w14:paraId="19AA58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370027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1C0148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Издание руководств и наставлений: по танку Т-44; по самоходным установкам: СУ-37, СУ- 100,</w:t>
            </w:r>
          </w:p>
          <w:p w14:paraId="784D74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4E85DA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0009E9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173D8B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2F0AA0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AF5601F" w14:textId="77777777">
        <w:trPr>
          <w:trHeight w:val="182"/>
        </w:trPr>
        <w:tc>
          <w:tcPr>
            <w:tcW w:w="426" w:type="dxa"/>
            <w:tcBorders>
              <w:top w:val="nil"/>
              <w:left w:val="single" w:sz="6" w:space="0" w:color="auto"/>
              <w:bottom w:val="nil"/>
              <w:right w:val="single" w:sz="6" w:space="0" w:color="auto"/>
            </w:tcBorders>
          </w:tcPr>
          <w:p w14:paraId="4A99D3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A637D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5D126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ИСУ-122 и ИСУ-152 большой мощности.</w:t>
            </w:r>
          </w:p>
          <w:p w14:paraId="63C5C2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4D665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007DB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87C40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1BD6C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EB50DF8" w14:textId="77777777">
        <w:trPr>
          <w:trHeight w:val="202"/>
        </w:trPr>
        <w:tc>
          <w:tcPr>
            <w:tcW w:w="426" w:type="dxa"/>
            <w:tcBorders>
              <w:top w:val="nil"/>
              <w:left w:val="single" w:sz="6" w:space="0" w:color="auto"/>
              <w:bottom w:val="nil"/>
              <w:right w:val="single" w:sz="6" w:space="0" w:color="auto"/>
            </w:tcBorders>
          </w:tcPr>
          <w:p w14:paraId="12756C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3DDF39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7A6FE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Издание наставления по эксплуатации танков и самоходных установок.</w:t>
            </w:r>
          </w:p>
          <w:p w14:paraId="1C7D08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3C963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5FEA75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09CCA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5A10B9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5D43AEB" w14:textId="77777777">
        <w:trPr>
          <w:trHeight w:val="202"/>
        </w:trPr>
        <w:tc>
          <w:tcPr>
            <w:tcW w:w="426" w:type="dxa"/>
            <w:tcBorders>
              <w:top w:val="nil"/>
              <w:left w:val="single" w:sz="6" w:space="0" w:color="auto"/>
              <w:bottom w:val="nil"/>
              <w:right w:val="single" w:sz="6" w:space="0" w:color="auto"/>
            </w:tcBorders>
          </w:tcPr>
          <w:p w14:paraId="12E5BF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12FB29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8770F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Издание иллюстрированных объемов работ по обслуживанию всех танков и самоходных установок.</w:t>
            </w:r>
          </w:p>
          <w:p w14:paraId="1A958B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627AE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февраль</w:t>
            </w:r>
          </w:p>
          <w:p w14:paraId="6B6B50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0431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2EEA19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6853410" w14:textId="77777777">
        <w:trPr>
          <w:trHeight w:val="192"/>
        </w:trPr>
        <w:tc>
          <w:tcPr>
            <w:tcW w:w="426" w:type="dxa"/>
            <w:tcBorders>
              <w:top w:val="nil"/>
              <w:left w:val="single" w:sz="6" w:space="0" w:color="auto"/>
              <w:bottom w:val="nil"/>
              <w:right w:val="single" w:sz="6" w:space="0" w:color="auto"/>
            </w:tcBorders>
          </w:tcPr>
          <w:p w14:paraId="19E541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0B082C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39858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Издание листовок по маслоразжижающему устройству средних и тяжелых танков и самоходных ус-</w:t>
            </w:r>
          </w:p>
          <w:p w14:paraId="16810D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FE2FA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71A246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97316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4F3745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BAC3326" w14:textId="77777777">
        <w:trPr>
          <w:trHeight w:val="163"/>
        </w:trPr>
        <w:tc>
          <w:tcPr>
            <w:tcW w:w="426" w:type="dxa"/>
            <w:tcBorders>
              <w:top w:val="nil"/>
              <w:left w:val="single" w:sz="6" w:space="0" w:color="auto"/>
              <w:bottom w:val="nil"/>
              <w:right w:val="single" w:sz="6" w:space="0" w:color="auto"/>
            </w:tcBorders>
          </w:tcPr>
          <w:p w14:paraId="0F2AF6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E4F7C8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A69E5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тановок.</w:t>
            </w:r>
          </w:p>
          <w:p w14:paraId="5B8D5C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592E5B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28293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66017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F6C60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B94ABF1" w14:textId="77777777">
        <w:trPr>
          <w:trHeight w:val="202"/>
        </w:trPr>
        <w:tc>
          <w:tcPr>
            <w:tcW w:w="426" w:type="dxa"/>
            <w:tcBorders>
              <w:top w:val="nil"/>
              <w:left w:val="single" w:sz="6" w:space="0" w:color="auto"/>
              <w:bottom w:val="nil"/>
              <w:right w:val="single" w:sz="6" w:space="0" w:color="auto"/>
            </w:tcBorders>
          </w:tcPr>
          <w:p w14:paraId="08330D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299B9E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218E0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Подготовка и издание инструкций по эксплуатации танков и самоходных установок в весенне-лет-</w:t>
            </w:r>
          </w:p>
          <w:p w14:paraId="1F7733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AEDB5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февраль</w:t>
            </w:r>
          </w:p>
          <w:p w14:paraId="4C519E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722BDF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1837B1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8AB525D" w14:textId="77777777">
        <w:trPr>
          <w:trHeight w:val="173"/>
        </w:trPr>
        <w:tc>
          <w:tcPr>
            <w:tcW w:w="426" w:type="dxa"/>
            <w:tcBorders>
              <w:top w:val="nil"/>
              <w:left w:val="single" w:sz="6" w:space="0" w:color="auto"/>
              <w:bottom w:val="nil"/>
              <w:right w:val="single" w:sz="6" w:space="0" w:color="auto"/>
            </w:tcBorders>
          </w:tcPr>
          <w:p w14:paraId="019516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F9CEB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51F3DA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ний период.</w:t>
            </w:r>
          </w:p>
          <w:p w14:paraId="131708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5AB82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FAC3D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1DB4A8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6A811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64BEDBF" w14:textId="77777777">
        <w:trPr>
          <w:trHeight w:val="192"/>
        </w:trPr>
        <w:tc>
          <w:tcPr>
            <w:tcW w:w="426" w:type="dxa"/>
            <w:tcBorders>
              <w:top w:val="nil"/>
              <w:left w:val="single" w:sz="6" w:space="0" w:color="auto"/>
              <w:bottom w:val="nil"/>
              <w:right w:val="single" w:sz="6" w:space="0" w:color="auto"/>
            </w:tcBorders>
          </w:tcPr>
          <w:p w14:paraId="0F83B2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4A71DC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D3311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Издание наставлений по эксплуатации танка Т-44, самоходных установок СУ-35, СУ- 122.</w:t>
            </w:r>
          </w:p>
          <w:p w14:paraId="7B42C2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B2405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февраль и март</w:t>
            </w:r>
          </w:p>
          <w:p w14:paraId="3FE81C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68B73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6ED256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A0B4E2D" w14:textId="77777777">
        <w:trPr>
          <w:trHeight w:val="202"/>
        </w:trPr>
        <w:tc>
          <w:tcPr>
            <w:tcW w:w="426" w:type="dxa"/>
            <w:tcBorders>
              <w:top w:val="nil"/>
              <w:left w:val="single" w:sz="6" w:space="0" w:color="auto"/>
              <w:bottom w:val="nil"/>
              <w:right w:val="single" w:sz="6" w:space="0" w:color="auto"/>
            </w:tcBorders>
          </w:tcPr>
          <w:p w14:paraId="79EC7C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005FB3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263BE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Составление и издание руководства по применению ГСМ для боевых машин.</w:t>
            </w:r>
          </w:p>
          <w:p w14:paraId="77A06A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6020E2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68B118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6CF43B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70A737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E7BAFAE" w14:textId="77777777">
        <w:trPr>
          <w:trHeight w:val="192"/>
        </w:trPr>
        <w:tc>
          <w:tcPr>
            <w:tcW w:w="426" w:type="dxa"/>
            <w:tcBorders>
              <w:top w:val="nil"/>
              <w:left w:val="single" w:sz="6" w:space="0" w:color="auto"/>
              <w:bottom w:val="nil"/>
              <w:right w:val="single" w:sz="6" w:space="0" w:color="auto"/>
            </w:tcBorders>
          </w:tcPr>
          <w:p w14:paraId="7EC2FD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1982DE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4CA762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Разработка и утверждение совместно с ВОСО новых норм на подвижной состав для бронепоездных</w:t>
            </w:r>
          </w:p>
          <w:p w14:paraId="4C770B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E0686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2B73A8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F1E19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10B8D9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7425A96" w14:textId="77777777">
        <w:trPr>
          <w:trHeight w:val="163"/>
        </w:trPr>
        <w:tc>
          <w:tcPr>
            <w:tcW w:w="426" w:type="dxa"/>
            <w:tcBorders>
              <w:top w:val="nil"/>
              <w:left w:val="single" w:sz="6" w:space="0" w:color="auto"/>
              <w:bottom w:val="nil"/>
              <w:right w:val="single" w:sz="6" w:space="0" w:color="auto"/>
            </w:tcBorders>
          </w:tcPr>
          <w:p w14:paraId="0A0F6C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CD345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01935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частей.</w:t>
            </w:r>
          </w:p>
          <w:p w14:paraId="023800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396A8D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7B867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876C9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00EEA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7B0BFF2" w14:textId="77777777">
        <w:trPr>
          <w:trHeight w:val="278"/>
        </w:trPr>
        <w:tc>
          <w:tcPr>
            <w:tcW w:w="426" w:type="dxa"/>
            <w:tcBorders>
              <w:top w:val="nil"/>
              <w:left w:val="single" w:sz="6" w:space="0" w:color="auto"/>
              <w:bottom w:val="single" w:sz="6" w:space="0" w:color="auto"/>
              <w:right w:val="single" w:sz="6" w:space="0" w:color="auto"/>
            </w:tcBorders>
          </w:tcPr>
          <w:p w14:paraId="779A14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6CFFC4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2B30F8A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Разработка документации по переучету мотоциклов и велосипедов в войсках.</w:t>
            </w:r>
          </w:p>
          <w:p w14:paraId="10C0F8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5602EB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490CCB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AEE3A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УБПиБМ</w:t>
            </w:r>
          </w:p>
          <w:p w14:paraId="7042A4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A864FF7" w14:textId="77777777">
        <w:trPr>
          <w:trHeight w:val="240"/>
        </w:trPr>
        <w:tc>
          <w:tcPr>
            <w:tcW w:w="9498" w:type="dxa"/>
            <w:gridSpan w:val="4"/>
            <w:tcBorders>
              <w:top w:val="single" w:sz="6" w:space="0" w:color="auto"/>
              <w:left w:val="single" w:sz="6" w:space="0" w:color="auto"/>
              <w:bottom w:val="single" w:sz="6" w:space="0" w:color="auto"/>
              <w:right w:val="single" w:sz="6" w:space="0" w:color="auto"/>
            </w:tcBorders>
          </w:tcPr>
          <w:p w14:paraId="62C07C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V. </w:t>
            </w:r>
            <w:r w:rsidRPr="00F90EAE">
              <w:rPr>
                <w:color w:val="000000" w:themeColor="text1"/>
                <w:sz w:val="16"/>
                <w:szCs w:val="16"/>
              </w:rPr>
              <w:t>Эксплуатация и помощь войскам</w:t>
            </w:r>
          </w:p>
          <w:p w14:paraId="0D6BC5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F13A336" w14:textId="77777777">
        <w:trPr>
          <w:trHeight w:val="269"/>
        </w:trPr>
        <w:tc>
          <w:tcPr>
            <w:tcW w:w="426" w:type="dxa"/>
            <w:tcBorders>
              <w:top w:val="single" w:sz="6" w:space="0" w:color="auto"/>
              <w:left w:val="single" w:sz="6" w:space="0" w:color="auto"/>
              <w:bottom w:val="nil"/>
              <w:right w:val="single" w:sz="6" w:space="0" w:color="auto"/>
            </w:tcBorders>
          </w:tcPr>
          <w:p w14:paraId="0DB6BB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363899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345735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Проверка танковых и механизированных частей и соединений фронтов и резерва по вопросам зим-</w:t>
            </w:r>
          </w:p>
          <w:p w14:paraId="10A461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0D49C4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март</w:t>
            </w:r>
          </w:p>
          <w:p w14:paraId="6211B9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5D16DE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515E70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DE58C2F" w14:textId="77777777">
        <w:trPr>
          <w:trHeight w:val="163"/>
        </w:trPr>
        <w:tc>
          <w:tcPr>
            <w:tcW w:w="426" w:type="dxa"/>
            <w:tcBorders>
              <w:top w:val="nil"/>
              <w:left w:val="single" w:sz="6" w:space="0" w:color="auto"/>
              <w:bottom w:val="nil"/>
              <w:right w:val="single" w:sz="6" w:space="0" w:color="auto"/>
            </w:tcBorders>
          </w:tcPr>
          <w:p w14:paraId="1F6916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D9001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88B6B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ней эксплуатации.</w:t>
            </w:r>
          </w:p>
          <w:p w14:paraId="57BA3D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ECB80A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0139B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B4BE6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9DA7C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26F8CEB" w14:textId="77777777">
        <w:trPr>
          <w:trHeight w:val="192"/>
        </w:trPr>
        <w:tc>
          <w:tcPr>
            <w:tcW w:w="426" w:type="dxa"/>
            <w:tcBorders>
              <w:top w:val="nil"/>
              <w:left w:val="single" w:sz="6" w:space="0" w:color="auto"/>
              <w:bottom w:val="nil"/>
              <w:right w:val="single" w:sz="6" w:space="0" w:color="auto"/>
            </w:tcBorders>
          </w:tcPr>
          <w:p w14:paraId="7A3FBC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7A266A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ED821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Проверка танковых и механизированных частей и соединений по вопросам подготовки к весенне-</w:t>
            </w:r>
          </w:p>
          <w:p w14:paraId="348563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C4DAA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апрель - май</w:t>
            </w:r>
          </w:p>
          <w:p w14:paraId="4A9B9B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EA2C5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558B0C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53CA78D" w14:textId="77777777">
        <w:trPr>
          <w:trHeight w:val="173"/>
        </w:trPr>
        <w:tc>
          <w:tcPr>
            <w:tcW w:w="426" w:type="dxa"/>
            <w:tcBorders>
              <w:top w:val="nil"/>
              <w:left w:val="single" w:sz="6" w:space="0" w:color="auto"/>
              <w:bottom w:val="nil"/>
              <w:right w:val="single" w:sz="6" w:space="0" w:color="auto"/>
            </w:tcBorders>
          </w:tcPr>
          <w:p w14:paraId="1C7E01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187E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BC26A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летней эксплуатации.</w:t>
            </w:r>
          </w:p>
          <w:p w14:paraId="5C7135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E1B0C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EB217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1337D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F51EE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9997488" w14:textId="77777777">
        <w:trPr>
          <w:trHeight w:val="202"/>
        </w:trPr>
        <w:tc>
          <w:tcPr>
            <w:tcW w:w="426" w:type="dxa"/>
            <w:tcBorders>
              <w:top w:val="nil"/>
              <w:left w:val="single" w:sz="6" w:space="0" w:color="auto"/>
              <w:bottom w:val="nil"/>
              <w:right w:val="single" w:sz="6" w:space="0" w:color="auto"/>
            </w:tcBorders>
          </w:tcPr>
          <w:p w14:paraId="72F498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2C999C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1C0BF2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сборов зам. командиров танковых и механизированных корпусов.</w:t>
            </w:r>
          </w:p>
          <w:p w14:paraId="116F95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0D914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апрель</w:t>
            </w:r>
          </w:p>
          <w:p w14:paraId="22F812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1F1D3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55466B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F34AED1" w14:textId="77777777">
        <w:trPr>
          <w:trHeight w:val="202"/>
        </w:trPr>
        <w:tc>
          <w:tcPr>
            <w:tcW w:w="426" w:type="dxa"/>
            <w:tcBorders>
              <w:top w:val="nil"/>
              <w:left w:val="single" w:sz="6" w:space="0" w:color="auto"/>
              <w:bottom w:val="nil"/>
              <w:right w:val="single" w:sz="6" w:space="0" w:color="auto"/>
            </w:tcBorders>
          </w:tcPr>
          <w:p w14:paraId="5F182EE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3DCCB8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1E10C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работой по изысканию новых сортов топлива и смазки для боевых машин.</w:t>
            </w:r>
          </w:p>
          <w:p w14:paraId="61B73D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DADC9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май</w:t>
            </w:r>
          </w:p>
          <w:p w14:paraId="1F0CB3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4550CB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47A20F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9FC3353" w14:textId="77777777">
        <w:trPr>
          <w:trHeight w:val="192"/>
        </w:trPr>
        <w:tc>
          <w:tcPr>
            <w:tcW w:w="426" w:type="dxa"/>
            <w:tcBorders>
              <w:top w:val="nil"/>
              <w:left w:val="single" w:sz="6" w:space="0" w:color="auto"/>
              <w:bottom w:val="nil"/>
              <w:right w:val="single" w:sz="6" w:space="0" w:color="auto"/>
            </w:tcBorders>
          </w:tcPr>
          <w:p w14:paraId="132352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4D28A7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2BBCDF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Проверка по вопросам эксплуатации танковых лагерей артцентра, учебных бригад и полков и тан-</w:t>
            </w:r>
          </w:p>
          <w:p w14:paraId="07E04B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42C3E2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июнь</w:t>
            </w:r>
          </w:p>
          <w:p w14:paraId="6FD6DF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213FF5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УЭТ</w:t>
            </w:r>
          </w:p>
          <w:p w14:paraId="2DB3E8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249602B" w14:textId="77777777">
        <w:trPr>
          <w:trHeight w:val="230"/>
        </w:trPr>
        <w:tc>
          <w:tcPr>
            <w:tcW w:w="426" w:type="dxa"/>
            <w:tcBorders>
              <w:top w:val="nil"/>
              <w:left w:val="single" w:sz="6" w:space="0" w:color="auto"/>
              <w:bottom w:val="single" w:sz="6" w:space="0" w:color="auto"/>
              <w:right w:val="single" w:sz="6" w:space="0" w:color="auto"/>
            </w:tcBorders>
          </w:tcPr>
          <w:p w14:paraId="0B49E5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D028D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560E27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ковых училищ.</w:t>
            </w:r>
          </w:p>
          <w:p w14:paraId="781DD8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2C1800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FDDA0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64585B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CC8E6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1DA77A5" w14:textId="77777777">
        <w:trPr>
          <w:trHeight w:val="250"/>
        </w:trPr>
        <w:tc>
          <w:tcPr>
            <w:tcW w:w="426" w:type="dxa"/>
            <w:tcBorders>
              <w:top w:val="single" w:sz="6" w:space="0" w:color="auto"/>
              <w:left w:val="single" w:sz="6" w:space="0" w:color="auto"/>
              <w:bottom w:val="single" w:sz="6" w:space="0" w:color="auto"/>
              <w:right w:val="nil"/>
            </w:tcBorders>
          </w:tcPr>
          <w:p w14:paraId="43FB14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24407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072" w:type="dxa"/>
            <w:gridSpan w:val="3"/>
            <w:tcBorders>
              <w:top w:val="single" w:sz="6" w:space="0" w:color="auto"/>
              <w:left w:val="nil"/>
              <w:bottom w:val="single" w:sz="6" w:space="0" w:color="auto"/>
              <w:right w:val="single" w:sz="6" w:space="0" w:color="auto"/>
            </w:tcBorders>
          </w:tcPr>
          <w:p w14:paraId="56E590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VI. </w:t>
            </w:r>
            <w:r w:rsidRPr="00F90EAE">
              <w:rPr>
                <w:color w:val="000000" w:themeColor="text1"/>
                <w:sz w:val="16"/>
                <w:szCs w:val="16"/>
              </w:rPr>
              <w:t>Разное</w:t>
            </w:r>
          </w:p>
          <w:p w14:paraId="3FE226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498E689" w14:textId="77777777">
        <w:trPr>
          <w:trHeight w:val="259"/>
        </w:trPr>
        <w:tc>
          <w:tcPr>
            <w:tcW w:w="426" w:type="dxa"/>
            <w:tcBorders>
              <w:top w:val="single" w:sz="6" w:space="0" w:color="auto"/>
              <w:left w:val="single" w:sz="6" w:space="0" w:color="auto"/>
              <w:bottom w:val="nil"/>
              <w:right w:val="single" w:sz="6" w:space="0" w:color="auto"/>
            </w:tcBorders>
          </w:tcPr>
          <w:p w14:paraId="152CD4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3D776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single" w:sz="6" w:space="0" w:color="auto"/>
              <w:left w:val="single" w:sz="6" w:space="0" w:color="auto"/>
              <w:bottom w:val="nil"/>
              <w:right w:val="single" w:sz="6" w:space="0" w:color="auto"/>
            </w:tcBorders>
          </w:tcPr>
          <w:p w14:paraId="2BF8C1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и руководство работы НИБТ полигона ГБТУ КА.</w:t>
            </w:r>
          </w:p>
          <w:p w14:paraId="013464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single" w:sz="6" w:space="0" w:color="auto"/>
              <w:left w:val="single" w:sz="6" w:space="0" w:color="auto"/>
              <w:bottom w:val="nil"/>
              <w:right w:val="single" w:sz="6" w:space="0" w:color="auto"/>
            </w:tcBorders>
          </w:tcPr>
          <w:p w14:paraId="51FEC1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 </w:t>
            </w:r>
            <w:r w:rsidRPr="00F90EAE">
              <w:rPr>
                <w:color w:val="000000" w:themeColor="text1"/>
                <w:sz w:val="16"/>
                <w:szCs w:val="16"/>
              </w:rPr>
              <w:t xml:space="preserve">и </w:t>
            </w:r>
            <w:r w:rsidRPr="00F90EAE">
              <w:rPr>
                <w:color w:val="000000" w:themeColor="text1"/>
                <w:sz w:val="16"/>
                <w:szCs w:val="16"/>
                <w:lang w:val="en-US"/>
              </w:rPr>
              <w:t xml:space="preserve">II </w:t>
            </w:r>
            <w:r w:rsidRPr="00F90EAE">
              <w:rPr>
                <w:color w:val="000000" w:themeColor="text1"/>
                <w:sz w:val="16"/>
                <w:szCs w:val="16"/>
              </w:rPr>
              <w:t>кв.</w:t>
            </w:r>
          </w:p>
          <w:p w14:paraId="35582C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single" w:sz="6" w:space="0" w:color="auto"/>
              <w:left w:val="single" w:sz="6" w:space="0" w:color="auto"/>
              <w:bottom w:val="nil"/>
              <w:right w:val="single" w:sz="6" w:space="0" w:color="auto"/>
            </w:tcBorders>
          </w:tcPr>
          <w:p w14:paraId="12A130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ГБТУ</w:t>
            </w:r>
          </w:p>
          <w:p w14:paraId="4CDEA6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F1FCB61" w14:textId="77777777">
        <w:trPr>
          <w:trHeight w:val="182"/>
        </w:trPr>
        <w:tc>
          <w:tcPr>
            <w:tcW w:w="426" w:type="dxa"/>
            <w:tcBorders>
              <w:top w:val="nil"/>
              <w:left w:val="single" w:sz="6" w:space="0" w:color="auto"/>
              <w:bottom w:val="nil"/>
              <w:right w:val="single" w:sz="6" w:space="0" w:color="auto"/>
            </w:tcBorders>
          </w:tcPr>
          <w:p w14:paraId="48D0CA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0CF065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D7746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сборов: военных представителей танковых заводов и заводов самоходной артиллерии,</w:t>
            </w:r>
          </w:p>
          <w:p w14:paraId="63E014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68D92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июнь</w:t>
            </w:r>
          </w:p>
          <w:p w14:paraId="204353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51F28B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60E292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786A23A" w14:textId="77777777">
        <w:trPr>
          <w:trHeight w:val="182"/>
        </w:trPr>
        <w:tc>
          <w:tcPr>
            <w:tcW w:w="426" w:type="dxa"/>
            <w:tcBorders>
              <w:top w:val="nil"/>
              <w:left w:val="single" w:sz="6" w:space="0" w:color="auto"/>
              <w:bottom w:val="nil"/>
              <w:right w:val="single" w:sz="6" w:space="0" w:color="auto"/>
            </w:tcBorders>
          </w:tcPr>
          <w:p w14:paraId="31CA3E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6CB9A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3BE296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командиров бронемашин.</w:t>
            </w:r>
          </w:p>
          <w:p w14:paraId="7EC316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1D47A6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0C2ED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1299C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467A7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5513F14" w14:textId="77777777">
        <w:trPr>
          <w:trHeight w:val="202"/>
        </w:trPr>
        <w:tc>
          <w:tcPr>
            <w:tcW w:w="426" w:type="dxa"/>
            <w:tcBorders>
              <w:top w:val="nil"/>
              <w:left w:val="single" w:sz="6" w:space="0" w:color="auto"/>
              <w:bottom w:val="nil"/>
              <w:right w:val="single" w:sz="6" w:space="0" w:color="auto"/>
            </w:tcBorders>
          </w:tcPr>
          <w:p w14:paraId="430A5C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3</w:t>
            </w:r>
          </w:p>
          <w:p w14:paraId="7F809F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46CD1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Окончание строительства артскладов ГБТУ КА при танковых заводах и заводах самоходной</w:t>
            </w:r>
          </w:p>
          <w:p w14:paraId="5DADE4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32BB8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март</w:t>
            </w:r>
          </w:p>
          <w:p w14:paraId="6F6495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C671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УСА</w:t>
            </w:r>
          </w:p>
          <w:p w14:paraId="57F7B7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D5BA32A" w14:textId="77777777">
        <w:trPr>
          <w:trHeight w:val="173"/>
        </w:trPr>
        <w:tc>
          <w:tcPr>
            <w:tcW w:w="426" w:type="dxa"/>
            <w:tcBorders>
              <w:top w:val="nil"/>
              <w:left w:val="single" w:sz="6" w:space="0" w:color="auto"/>
              <w:bottom w:val="nil"/>
              <w:right w:val="single" w:sz="6" w:space="0" w:color="auto"/>
            </w:tcBorders>
          </w:tcPr>
          <w:p w14:paraId="28EDD1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67825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0A3F94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артиллерии.</w:t>
            </w:r>
          </w:p>
          <w:p w14:paraId="443368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34475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463D8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584C1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1127D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20A85BA" w14:textId="77777777">
        <w:trPr>
          <w:trHeight w:val="192"/>
        </w:trPr>
        <w:tc>
          <w:tcPr>
            <w:tcW w:w="426" w:type="dxa"/>
            <w:tcBorders>
              <w:top w:val="nil"/>
              <w:left w:val="single" w:sz="6" w:space="0" w:color="auto"/>
              <w:bottom w:val="nil"/>
              <w:right w:val="single" w:sz="6" w:space="0" w:color="auto"/>
            </w:tcBorders>
          </w:tcPr>
          <w:p w14:paraId="3F8F74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D8192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ED0B1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выполнением плана строительства объектов НИБТ полигона.</w:t>
            </w:r>
          </w:p>
          <w:p w14:paraId="572E5C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28AE7E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 </w:t>
            </w:r>
            <w:r w:rsidRPr="00F90EAE">
              <w:rPr>
                <w:color w:val="000000" w:themeColor="text1"/>
                <w:sz w:val="16"/>
                <w:szCs w:val="16"/>
              </w:rPr>
              <w:t xml:space="preserve">и </w:t>
            </w:r>
            <w:r w:rsidRPr="00F90EAE">
              <w:rPr>
                <w:color w:val="000000" w:themeColor="text1"/>
                <w:sz w:val="16"/>
                <w:szCs w:val="16"/>
                <w:lang w:val="en-US"/>
              </w:rPr>
              <w:t xml:space="preserve">II </w:t>
            </w:r>
            <w:r w:rsidRPr="00F90EAE">
              <w:rPr>
                <w:color w:val="000000" w:themeColor="text1"/>
                <w:sz w:val="16"/>
                <w:szCs w:val="16"/>
              </w:rPr>
              <w:t>кв.</w:t>
            </w:r>
          </w:p>
          <w:p w14:paraId="492A8A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0010B6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w:t>
            </w:r>
          </w:p>
          <w:p w14:paraId="1C346B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79B3F4F" w14:textId="77777777">
        <w:trPr>
          <w:trHeight w:val="202"/>
        </w:trPr>
        <w:tc>
          <w:tcPr>
            <w:tcW w:w="426" w:type="dxa"/>
            <w:tcBorders>
              <w:top w:val="nil"/>
              <w:left w:val="single" w:sz="6" w:space="0" w:color="auto"/>
              <w:bottom w:val="nil"/>
              <w:right w:val="single" w:sz="6" w:space="0" w:color="auto"/>
            </w:tcBorders>
          </w:tcPr>
          <w:p w14:paraId="08B8F0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39E03D3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6A990E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выполнением войсками указаний по использованию эксплуатации матчасти и</w:t>
            </w:r>
          </w:p>
          <w:p w14:paraId="0CD580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75AEC2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 </w:t>
            </w:r>
            <w:r w:rsidRPr="00F90EAE">
              <w:rPr>
                <w:color w:val="000000" w:themeColor="text1"/>
                <w:sz w:val="16"/>
                <w:szCs w:val="16"/>
              </w:rPr>
              <w:t xml:space="preserve">и </w:t>
            </w:r>
            <w:r w:rsidRPr="00F90EAE">
              <w:rPr>
                <w:color w:val="000000" w:themeColor="text1"/>
                <w:sz w:val="16"/>
                <w:szCs w:val="16"/>
                <w:lang w:val="en-US"/>
              </w:rPr>
              <w:t xml:space="preserve">II </w:t>
            </w:r>
            <w:r w:rsidRPr="00F90EAE">
              <w:rPr>
                <w:color w:val="000000" w:themeColor="text1"/>
                <w:sz w:val="16"/>
                <w:szCs w:val="16"/>
              </w:rPr>
              <w:t>кв.</w:t>
            </w:r>
          </w:p>
          <w:p w14:paraId="4C77F8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173E6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управления</w:t>
            </w:r>
          </w:p>
          <w:p w14:paraId="465936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871E305" w14:textId="77777777">
        <w:trPr>
          <w:trHeight w:val="163"/>
        </w:trPr>
        <w:tc>
          <w:tcPr>
            <w:tcW w:w="426" w:type="dxa"/>
            <w:tcBorders>
              <w:top w:val="nil"/>
              <w:left w:val="single" w:sz="6" w:space="0" w:color="auto"/>
              <w:bottom w:val="nil"/>
              <w:right w:val="single" w:sz="6" w:space="0" w:color="auto"/>
            </w:tcBorders>
          </w:tcPr>
          <w:p w14:paraId="49D8B7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9FC09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nil"/>
              <w:right w:val="single" w:sz="6" w:space="0" w:color="auto"/>
            </w:tcBorders>
          </w:tcPr>
          <w:p w14:paraId="74F694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подготовке личного состава.</w:t>
            </w:r>
          </w:p>
          <w:p w14:paraId="329B5E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nil"/>
              <w:right w:val="single" w:sz="6" w:space="0" w:color="auto"/>
            </w:tcBorders>
          </w:tcPr>
          <w:p w14:paraId="0D7293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8F6E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nil"/>
              <w:right w:val="single" w:sz="6" w:space="0" w:color="auto"/>
            </w:tcBorders>
          </w:tcPr>
          <w:p w14:paraId="3C7C04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CBD62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413E11E" w14:textId="77777777">
        <w:trPr>
          <w:trHeight w:val="288"/>
        </w:trPr>
        <w:tc>
          <w:tcPr>
            <w:tcW w:w="426" w:type="dxa"/>
            <w:tcBorders>
              <w:top w:val="nil"/>
              <w:left w:val="single" w:sz="6" w:space="0" w:color="auto"/>
              <w:bottom w:val="single" w:sz="6" w:space="0" w:color="auto"/>
              <w:right w:val="single" w:sz="6" w:space="0" w:color="auto"/>
            </w:tcBorders>
          </w:tcPr>
          <w:p w14:paraId="141EFA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038774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6095" w:type="dxa"/>
            <w:tcBorders>
              <w:top w:val="nil"/>
              <w:left w:val="single" w:sz="6" w:space="0" w:color="auto"/>
              <w:bottom w:val="single" w:sz="6" w:space="0" w:color="auto"/>
              <w:right w:val="single" w:sz="6" w:space="0" w:color="auto"/>
            </w:tcBorders>
          </w:tcPr>
          <w:p w14:paraId="7E8BE0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Ремонт бронепоездов и бронепаровозов.</w:t>
            </w:r>
          </w:p>
          <w:p w14:paraId="573853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7" w:type="dxa"/>
            <w:tcBorders>
              <w:top w:val="nil"/>
              <w:left w:val="single" w:sz="6" w:space="0" w:color="auto"/>
              <w:bottom w:val="single" w:sz="6" w:space="0" w:color="auto"/>
              <w:right w:val="single" w:sz="6" w:space="0" w:color="auto"/>
            </w:tcBorders>
          </w:tcPr>
          <w:p w14:paraId="26EED8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 - июнь</w:t>
            </w:r>
          </w:p>
          <w:p w14:paraId="33E56F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60" w:type="dxa"/>
            <w:tcBorders>
              <w:top w:val="nil"/>
              <w:left w:val="single" w:sz="6" w:space="0" w:color="auto"/>
              <w:bottom w:val="single" w:sz="6" w:space="0" w:color="auto"/>
              <w:right w:val="single" w:sz="6" w:space="0" w:color="auto"/>
            </w:tcBorders>
          </w:tcPr>
          <w:p w14:paraId="0400FB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УБП и БМ</w:t>
            </w:r>
          </w:p>
          <w:p w14:paraId="34BF25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29AFFB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генерал-лейтенант инженерно-танковой службы Лебедев</w:t>
      </w:r>
    </w:p>
    <w:p w14:paraId="5F5F11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11353. Д. 1518. Л. 13-17. Подлинник (11420).</w:t>
      </w:r>
    </w:p>
    <w:p w14:paraId="5D4072FD" w14:textId="77777777" w:rsidR="00C2313B" w:rsidRPr="00F90EAE" w:rsidRDefault="00C2313B" w:rsidP="00F90EAE">
      <w:pPr>
        <w:autoSpaceDE w:val="0"/>
        <w:autoSpaceDN w:val="0"/>
        <w:adjustRightInd w:val="0"/>
        <w:jc w:val="both"/>
        <w:rPr>
          <w:color w:val="000000" w:themeColor="text1"/>
          <w:sz w:val="16"/>
          <w:szCs w:val="16"/>
        </w:rPr>
      </w:pPr>
    </w:p>
    <w:p w14:paraId="0C883A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января 1945 вышло Постановление ГКО № 7261 О восстановлении предприятий слюдяной промышленности в Карело-Финской ССР, Ленинградской и Мурманской областях. РГАНИР, Фонд ГКО, д. 348, лл. 32-35, 36-38 (11012).</w:t>
      </w:r>
    </w:p>
    <w:p w14:paraId="6132DAB2" w14:textId="77777777" w:rsidR="00C2313B" w:rsidRPr="00F90EAE" w:rsidRDefault="00C2313B" w:rsidP="00F90EAE">
      <w:pPr>
        <w:autoSpaceDE w:val="0"/>
        <w:autoSpaceDN w:val="0"/>
        <w:adjustRightInd w:val="0"/>
        <w:jc w:val="both"/>
        <w:rPr>
          <w:color w:val="000000" w:themeColor="text1"/>
          <w:sz w:val="16"/>
          <w:szCs w:val="16"/>
        </w:rPr>
      </w:pPr>
    </w:p>
    <w:p w14:paraId="76FCB6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января 1945 вышло Распоряжение ГКО № 7262. О мерах по обеспечению бесперебойной доставки сырья стекольным заводам НКПСМ. РГАНИР, Фонд ГКО, д. 348, лл. 39 (11012).</w:t>
      </w:r>
    </w:p>
    <w:p w14:paraId="57E8C26A" w14:textId="77777777" w:rsidR="00C2313B" w:rsidRPr="00F90EAE" w:rsidRDefault="00C2313B" w:rsidP="00F90EAE">
      <w:pPr>
        <w:autoSpaceDE w:val="0"/>
        <w:autoSpaceDN w:val="0"/>
        <w:adjustRightInd w:val="0"/>
        <w:jc w:val="both"/>
        <w:rPr>
          <w:color w:val="000000" w:themeColor="text1"/>
          <w:sz w:val="16"/>
          <w:szCs w:val="16"/>
        </w:rPr>
      </w:pPr>
    </w:p>
    <w:p w14:paraId="17773E71" w14:textId="77777777" w:rsidR="003E545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4A33809" w14:textId="77777777" w:rsidR="003E545E" w:rsidRPr="00F90EAE" w:rsidRDefault="003E545E" w:rsidP="00F90EAE">
      <w:pPr>
        <w:autoSpaceDE w:val="0"/>
        <w:autoSpaceDN w:val="0"/>
        <w:adjustRightInd w:val="0"/>
        <w:jc w:val="both"/>
        <w:rPr>
          <w:iCs/>
          <w:color w:val="000000" w:themeColor="text1"/>
          <w:sz w:val="16"/>
          <w:szCs w:val="16"/>
        </w:rPr>
      </w:pPr>
    </w:p>
    <w:p w14:paraId="14A999F3" w14:textId="77777777" w:rsidR="003E545E" w:rsidRPr="00F90EAE" w:rsidRDefault="003E545E" w:rsidP="00F90EAE">
      <w:pPr>
        <w:jc w:val="both"/>
        <w:rPr>
          <w:color w:val="000000" w:themeColor="text1"/>
          <w:sz w:val="16"/>
          <w:szCs w:val="16"/>
        </w:rPr>
      </w:pPr>
      <w:r w:rsidRPr="00F90EAE">
        <w:rPr>
          <w:bCs/>
          <w:color w:val="000000" w:themeColor="text1"/>
          <w:sz w:val="16"/>
          <w:szCs w:val="16"/>
        </w:rPr>
        <w:t>2 января</w:t>
      </w:r>
      <w:r w:rsidRPr="00F90EAE">
        <w:rPr>
          <w:color w:val="000000" w:themeColor="text1"/>
          <w:sz w:val="16"/>
          <w:szCs w:val="16"/>
        </w:rPr>
        <w:t xml:space="preserve"> в 1945 году оперативная сводка Совинформбюро:</w:t>
      </w:r>
    </w:p>
    <w:p w14:paraId="4983A93D" w14:textId="77777777" w:rsidR="003E545E" w:rsidRPr="00F90EAE" w:rsidRDefault="003E545E" w:rsidP="00F90EAE">
      <w:pPr>
        <w:jc w:val="both"/>
        <w:rPr>
          <w:color w:val="000000" w:themeColor="text1"/>
          <w:sz w:val="16"/>
          <w:szCs w:val="16"/>
        </w:rPr>
      </w:pPr>
      <w:r w:rsidRPr="00F90EAE">
        <w:rPr>
          <w:color w:val="000000" w:themeColor="text1"/>
          <w:sz w:val="16"/>
          <w:szCs w:val="16"/>
        </w:rPr>
        <w:t>«В течение 2 января в районе Будапешта наши войска вели бои по уничтожению окружённой группировки противника и заняли 232 квартала в восточной части и 63 квартала в западной части города.</w:t>
      </w:r>
    </w:p>
    <w:p w14:paraId="5B005835" w14:textId="77777777" w:rsidR="003E545E" w:rsidRPr="00F90EAE" w:rsidRDefault="003E545E" w:rsidP="00F90EAE">
      <w:pPr>
        <w:jc w:val="both"/>
        <w:rPr>
          <w:color w:val="000000" w:themeColor="text1"/>
          <w:sz w:val="16"/>
          <w:szCs w:val="16"/>
        </w:rPr>
      </w:pPr>
      <w:r w:rsidRPr="00F90EAE">
        <w:rPr>
          <w:color w:val="000000" w:themeColor="text1"/>
          <w:sz w:val="16"/>
          <w:szCs w:val="16"/>
        </w:rPr>
        <w:t>Юго-восточнее города Комарно наши войска отбивали атаки крупных сил пехоты и танков противника и нанесли ему большие потери в живой силе и технике.</w:t>
      </w:r>
    </w:p>
    <w:p w14:paraId="3744DB4C"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679DB79E" w14:textId="77777777" w:rsidR="003E545E" w:rsidRPr="00F90EAE" w:rsidRDefault="003E545E" w:rsidP="00F90EAE">
      <w:pPr>
        <w:jc w:val="both"/>
        <w:rPr>
          <w:color w:val="000000" w:themeColor="text1"/>
          <w:sz w:val="16"/>
          <w:szCs w:val="16"/>
        </w:rPr>
      </w:pPr>
      <w:r w:rsidRPr="00F90EAE">
        <w:rPr>
          <w:color w:val="000000" w:themeColor="text1"/>
          <w:sz w:val="16"/>
          <w:szCs w:val="16"/>
        </w:rPr>
        <w:t>За 1 января наши войска подбили и уничтожили 19 немецких танков. В воздушных боях и огнём зенитной артиллерии сбито 4 самолёта противника.</w:t>
      </w:r>
    </w:p>
    <w:p w14:paraId="289A0D67"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ликвидации окружённой группировки противника. В восточной части города советские штурмовые группы подавляют узлы вражеской обороны и очищают от немцев квартал за кварталом. Ожесточённые схватки происходят в укреплённых домах, во дворах и в подвалах. В течение дня наши части с боями заняли 232 квартала. Взято в плен свыше 1.000 немецких и венгерских солдат и офицеров.</w:t>
      </w:r>
    </w:p>
    <w:p w14:paraId="3900FC90" w14:textId="77777777" w:rsidR="003E545E" w:rsidRPr="00F90EAE" w:rsidRDefault="003E545E" w:rsidP="00F90EAE">
      <w:pPr>
        <w:jc w:val="both"/>
        <w:rPr>
          <w:color w:val="000000" w:themeColor="text1"/>
          <w:sz w:val="16"/>
          <w:szCs w:val="16"/>
        </w:rPr>
      </w:pPr>
      <w:r w:rsidRPr="00F90EAE">
        <w:rPr>
          <w:color w:val="000000" w:themeColor="text1"/>
          <w:sz w:val="16"/>
          <w:szCs w:val="16"/>
        </w:rPr>
        <w:t>В западной части Будапешта немецкая пехота, усиленная танками и самоходными орудиями, безуспешно пыталась вернуть потерянные накануне позиции. Советские части отразили все контратаки гитлеровцев и с боями продвигались вперёд. Подразделения Н-ской части за день истребили 300 гитлеровцев, уничтожили самоходное орудие и 23 пулемета. Захвачено у немцев 9 паровозов, 130 вагонов с грузами, много оружия и различных военных материалов.</w:t>
      </w:r>
    </w:p>
    <w:p w14:paraId="75E5F979" w14:textId="77777777" w:rsidR="003E545E" w:rsidRPr="00F90EAE" w:rsidRDefault="003E545E" w:rsidP="00F90EAE">
      <w:pPr>
        <w:jc w:val="both"/>
        <w:rPr>
          <w:color w:val="000000" w:themeColor="text1"/>
          <w:sz w:val="16"/>
          <w:szCs w:val="16"/>
        </w:rPr>
      </w:pPr>
      <w:r w:rsidRPr="00F90EAE">
        <w:rPr>
          <w:color w:val="000000" w:themeColor="text1"/>
          <w:sz w:val="16"/>
          <w:szCs w:val="16"/>
        </w:rPr>
        <w:t>В уличных боях советские воины проявляют героизм и высокое воинское умение. В одном районе немецкие пулеметы, установленные за каменным забором, вели сильный огонь, преграждая путь нашим подразделениям. Рядовой Розанов по-пластунски подполз к забору, быстро перепрыгнул через него и огнем из автомата уничтожил пулеметные расчёты противника. Вместе с подоспевшими к нему бойцами Розанов ворвался в дом и истребил находившихся в нём немцев. Сержант Мельфер, заметив, что командир взвода выбыл из строя, умело организовал штурм большого дома. Под руководством Мельфера бойцы уничтожили 40 гитлеровцев, захватили пять станковых пулемётов, противотанковое ружьё и взяли в плен семь немцев. Командир взвода лейтенант Шаустов и ефрейтор Кутуев незаметно подобрались к дому, в котором засели немцы, и забросали подвал гранатами. Взрывом было уничтожено несколько пулемётов противника вместе с их расчётами.</w:t>
      </w:r>
    </w:p>
    <w:p w14:paraId="12A09D02" w14:textId="77777777" w:rsidR="003E545E" w:rsidRPr="00F90EAE" w:rsidRDefault="003E545E" w:rsidP="00F90EAE">
      <w:pPr>
        <w:jc w:val="both"/>
        <w:rPr>
          <w:color w:val="000000" w:themeColor="text1"/>
          <w:sz w:val="16"/>
          <w:szCs w:val="16"/>
        </w:rPr>
      </w:pPr>
      <w:r w:rsidRPr="00F90EAE">
        <w:rPr>
          <w:color w:val="000000" w:themeColor="text1"/>
          <w:sz w:val="16"/>
          <w:szCs w:val="16"/>
        </w:rPr>
        <w:t>Юго-восточнее города Комарно противник, сосредоточив крупные силы пехоты и танков, сегодня рано утром атаковал наши позиции. На узком участке немцы ввели в бой две танковые дивизии. Советские пехотинцы и артиллеристы отражают атаки противника и наносят ему тяжёлые потери в живой силе и технике. Батальон немецкой пехоты, поддержанный семью танками, атаковал стрелковое подразделение гвардии старшего лейтенанта Ковтуна. При подходе к нашему переднему краю вражеская пехота была встречена губительным огнём и рассеяна. Прорвавшиеся немецкие танки уничтожены артиллеристами и бронебойщиками. Экипаж самоходного орудия гвардии младшего лейтенанта Емельянова подбил немецкий танк «Тигр». Орудийный расчет гвардии старшего сержанта Стогниева, отражая вражескую контратаку, выкатил своё орудие на открытую позицию и метким огнём истребил 60 немецких солдат. Самоходное орудие гвардии младшего лейтенанта Иванова и наводчика гвардии старшего сержанта Николаева уничтожило немецкую легковую машину, в которой находились немецкий полковник, его адъютант и шофёр.</w:t>
      </w:r>
    </w:p>
    <w:p w14:paraId="36B4078E" w14:textId="77777777" w:rsidR="003E545E" w:rsidRPr="00F90EAE" w:rsidRDefault="003E545E" w:rsidP="00F90EAE">
      <w:pPr>
        <w:jc w:val="both"/>
        <w:rPr>
          <w:color w:val="000000" w:themeColor="text1"/>
          <w:sz w:val="16"/>
          <w:szCs w:val="16"/>
        </w:rPr>
      </w:pPr>
      <w:r w:rsidRPr="00F90EAE">
        <w:rPr>
          <w:color w:val="000000" w:themeColor="text1"/>
          <w:sz w:val="16"/>
          <w:szCs w:val="16"/>
        </w:rPr>
        <w:t>В Восточной Пруссии мелкие группы нашей пехоты вели разведку и уничтожили до роты гитлеровцев. Лётчик-истребитель Герой Советского Союза гвардии капитан Головачёв, преследуя немецкий самолёт «Юнкерс-88», израсходовал боеприпасы. Тогда Головачёв вплотную приблизился к вражескому самолёту и ударом винта отрубил у него хвостовое оперение. «Юнкерс-88» рухнул на землю. Советский лётчик благополучно приземлился на своём аэродроме. Это уже двадцатая воздушная победа капитана Головачева.</w:t>
      </w:r>
    </w:p>
    <w:p w14:paraId="3392A469" w14:textId="77777777" w:rsidR="003E545E" w:rsidRPr="00F90EAE" w:rsidRDefault="003E545E" w:rsidP="00F90EAE">
      <w:pPr>
        <w:jc w:val="both"/>
        <w:rPr>
          <w:color w:val="000000" w:themeColor="text1"/>
          <w:sz w:val="16"/>
          <w:szCs w:val="16"/>
        </w:rPr>
      </w:pPr>
      <w:r w:rsidRPr="00F90EAE">
        <w:rPr>
          <w:color w:val="000000" w:themeColor="text1"/>
          <w:sz w:val="16"/>
          <w:szCs w:val="16"/>
        </w:rPr>
        <w:t>Корабли Краснознаменного Балтийского флота потопили в Балтийском море транспорт противника водоизмещением в 6 тысяч тонн.» (14997).</w:t>
      </w:r>
    </w:p>
    <w:p w14:paraId="1BBA111C" w14:textId="77777777" w:rsidR="003E545E" w:rsidRPr="00F90EAE" w:rsidRDefault="003E545E" w:rsidP="00F90EAE">
      <w:pPr>
        <w:jc w:val="both"/>
        <w:rPr>
          <w:color w:val="000000" w:themeColor="text1"/>
          <w:sz w:val="16"/>
          <w:szCs w:val="16"/>
        </w:rPr>
      </w:pPr>
    </w:p>
    <w:p w14:paraId="4C2F2528"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2 января 1945 года на аэродроме Смышляевка 108 полк приступил к укомплектованию самолетами Ил-10. На этом же аэродроме все полученные самолеты были доработаны бригадами заводов № 18 и № 24. На них устранялись выявленные в ходе перегонки машин с заводов дефекты и проводились обязательные доработки по опыту эксплуатации самолетов в других частях и заводских облетов.</w:t>
      </w:r>
    </w:p>
    <w:p w14:paraId="47B13C08"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Надо сказать, как только стало известно, что на базе 108 гшап пройдут войсковые испытания нового штурмовика, то пополнению полка самолетами было уделено самое пристальное внимание. Самолеты отбирались из числа имевших наименьшее количество производственных и конструктивных дефектов и тщательно проверялись как заводскими бригадами, так и техническим составом полка.</w:t>
      </w:r>
    </w:p>
    <w:p w14:paraId="7558EA33" w14:textId="77777777" w:rsidR="00CD7B36" w:rsidRPr="00F90EAE" w:rsidRDefault="00CD7B36"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общей сложности полк получил 42 Ил-10, в том числе 9 самолетов выпуска завода № 1 (зав. № 102012, 102021, 103029, 103031, 103051, 103059, 103071, 104062, 104077) и 33 «десятки» производства завода № 18 (две машины из 1-й серии - зав. № 1890801 и № 1890601, остальные 2-й и 3-й серий).</w:t>
      </w:r>
    </w:p>
    <w:p w14:paraId="6F1DAAEC"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После окончания доводочных работ и устранения дефектов самолеты перегнали на аэродром Толкай в 5-й запасной авиаполк 1 заб, где летный состав проходил «пересадку» на Ил-10.</w:t>
      </w:r>
    </w:p>
    <w:p w14:paraId="60331E70"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Официальное переучивание 108-го гвардейского шап завершилось в январе 1945 года. В Акте от 21 января констатировалось, что «полк в составе 41 летчика подготовлен к перелету на фронт на Ил-10 днем в простых метеоусловиях».</w:t>
      </w:r>
    </w:p>
    <w:p w14:paraId="24238E86"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К этому времени каждый летчик полка успел налетать на самолете Ил-10 по программе переучивания в среднем 2 ч 58 мин (10 посадок), в том числе около 2 ч на боевое применение. В то же время весь летный состав полка имел боевой опыт на самолете Ил-2: от 2 до 10 боевых вылетов - 3 летчика, от 11 до 30 - 14, от 31 до 50 - 10, от 51 до 70 - 5, от 71 до 100 - 6 и более 100 вылетов - 5 летчиков. В среднем боевой налет на одного летчика составлял 53 вылета.</w:t>
      </w:r>
    </w:p>
    <w:p w14:paraId="031F6A5F"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Отлет на фронт был назначен на 2 февраля.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6740811F"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вылета Толкай не было подготовлено положения по организации перелета.</w:t>
      </w:r>
    </w:p>
    <w:p w14:paraId="30A66E76"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7BE87A6F"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Из 7 Ил-10 второй группы долетела до нового аэродрома только четверка командира 3-й эскадрильи капитана Зиновьева.</w:t>
      </w:r>
    </w:p>
    <w:p w14:paraId="20ADDECD"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4949164B"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3E92174"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lastRenderedPageBreak/>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71B50953"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4933991B"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5B8586A3"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2C8AEF49"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Таким образом, из 26 Ил-10, вылетевших с аэродрома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690A95B7"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561E7149" w14:textId="77777777" w:rsidR="00CD7B36" w:rsidRPr="00F90EAE" w:rsidRDefault="00CD7B36" w:rsidP="00F90EAE">
      <w:pPr>
        <w:jc w:val="both"/>
        <w:rPr>
          <w:color w:val="000000" w:themeColor="text1"/>
          <w:sz w:val="16"/>
          <w:szCs w:val="16"/>
        </w:rPr>
      </w:pPr>
      <w:r w:rsidRPr="00F90EAE">
        <w:rPr>
          <w:rStyle w:val="107"/>
          <w:rFonts w:eastAsiaTheme="minorHAnsi"/>
          <w:color w:val="000000" w:themeColor="text1"/>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68ECD542" w14:textId="77777777" w:rsidR="00CD7B36" w:rsidRPr="00F90EAE" w:rsidRDefault="00CD7B36" w:rsidP="00F90EAE">
      <w:pPr>
        <w:jc w:val="both"/>
        <w:rPr>
          <w:rStyle w:val="107"/>
          <w:rFonts w:eastAsiaTheme="minorHAnsi"/>
          <w:color w:val="000000" w:themeColor="text1"/>
          <w:sz w:val="16"/>
          <w:szCs w:val="16"/>
        </w:rPr>
      </w:pPr>
    </w:p>
    <w:p w14:paraId="60BE39B7" w14:textId="77777777" w:rsidR="003E545E" w:rsidRPr="00F90EAE" w:rsidRDefault="003E545E" w:rsidP="00F90EAE">
      <w:pPr>
        <w:jc w:val="both"/>
        <w:rPr>
          <w:color w:val="000000" w:themeColor="text1"/>
          <w:sz w:val="16"/>
          <w:szCs w:val="16"/>
        </w:rPr>
      </w:pPr>
      <w:r w:rsidRPr="00F90EAE">
        <w:rPr>
          <w:bCs/>
          <w:color w:val="000000" w:themeColor="text1"/>
          <w:sz w:val="16"/>
          <w:szCs w:val="16"/>
        </w:rPr>
        <w:t>2 января</w:t>
      </w:r>
      <w:r w:rsidRPr="00F90EAE">
        <w:rPr>
          <w:color w:val="000000" w:themeColor="text1"/>
          <w:sz w:val="16"/>
          <w:szCs w:val="16"/>
        </w:rPr>
        <w:t xml:space="preserve"> в 1945 году в Восточной Пруссии летчик-истребитель Герой Советского Союза гвардии капитан Головачёв, преследуя немецкий самолет "Юнкерс-88", израсходовал боеприпасы. Тогда Головачев вплотную приблизился к вражескому самолету и ударом винта отрубил у него хвостовое оперение. "Юнкерс-88" рухнул на землю. Советский летчик благополучно приземлился на своем аэродроме. Это была уже двадцатая воздушная победа капитана Головачева (14997).</w:t>
      </w:r>
    </w:p>
    <w:p w14:paraId="7CB8FB2B" w14:textId="77777777" w:rsidR="003E545E" w:rsidRPr="00F90EAE" w:rsidRDefault="003E545E" w:rsidP="00F90EAE">
      <w:pPr>
        <w:jc w:val="both"/>
        <w:rPr>
          <w:color w:val="000000" w:themeColor="text1"/>
          <w:sz w:val="16"/>
          <w:szCs w:val="16"/>
        </w:rPr>
      </w:pPr>
    </w:p>
    <w:p w14:paraId="5F888AB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43E967A" w14:textId="77777777" w:rsidR="00C2313B" w:rsidRPr="00F90EAE" w:rsidRDefault="00C2313B" w:rsidP="00F90EAE">
      <w:pPr>
        <w:autoSpaceDE w:val="0"/>
        <w:autoSpaceDN w:val="0"/>
        <w:adjustRightInd w:val="0"/>
        <w:jc w:val="both"/>
        <w:rPr>
          <w:iCs/>
          <w:color w:val="000000" w:themeColor="text1"/>
          <w:sz w:val="16"/>
          <w:szCs w:val="16"/>
        </w:rPr>
      </w:pPr>
    </w:p>
    <w:p w14:paraId="401F93CC"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января 1945 бойцами датского Сопротивления взорвана фабрика, собиравшая запчасти к ракетам ФАУ-2 (4962).</w:t>
      </w:r>
    </w:p>
    <w:p w14:paraId="1675CBE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A9773BB" w14:textId="77777777" w:rsidR="005A1318" w:rsidRPr="00F90EAE" w:rsidRDefault="005A1318" w:rsidP="00F90EAE">
      <w:pPr>
        <w:jc w:val="both"/>
        <w:rPr>
          <w:color w:val="0070C0"/>
          <w:sz w:val="16"/>
          <w:szCs w:val="16"/>
        </w:rPr>
      </w:pPr>
      <w:r w:rsidRPr="00F90EAE">
        <w:rPr>
          <w:color w:val="0070C0"/>
          <w:sz w:val="16"/>
          <w:szCs w:val="16"/>
        </w:rPr>
        <w:t>2 января 1945 Адмирал сэр Бертрам Рамзи погибает в авиакатастрофе сразу после взлета Lockheed Hudson в Тусю-ле-Нобль, Франция (20371).</w:t>
      </w:r>
    </w:p>
    <w:p w14:paraId="3F3F7F70" w14:textId="77777777" w:rsidR="005A1318" w:rsidRPr="00F90EAE" w:rsidRDefault="005A1318" w:rsidP="00F90EAE">
      <w:pPr>
        <w:jc w:val="both"/>
        <w:rPr>
          <w:color w:val="0070C0"/>
          <w:sz w:val="16"/>
          <w:szCs w:val="16"/>
        </w:rPr>
      </w:pPr>
    </w:p>
    <w:p w14:paraId="401C521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января 1945 в Париже при взлете разбился самолет, в котором погиб английский адмирал Бертрам Рамсей, командующий ВМФ экспедиционного корпуса союзников (4962).</w:t>
      </w:r>
    </w:p>
    <w:p w14:paraId="1986B2F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F8BBF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января 1945 британские войска высадились в Бенгальском заливе (2248,1).</w:t>
      </w:r>
    </w:p>
    <w:p w14:paraId="0F363767" w14:textId="77777777" w:rsidR="00C2313B" w:rsidRPr="00F90EAE" w:rsidRDefault="00C2313B" w:rsidP="00F90EAE">
      <w:pPr>
        <w:autoSpaceDE w:val="0"/>
        <w:autoSpaceDN w:val="0"/>
        <w:adjustRightInd w:val="0"/>
        <w:jc w:val="both"/>
        <w:rPr>
          <w:color w:val="000000" w:themeColor="text1"/>
          <w:sz w:val="16"/>
          <w:szCs w:val="16"/>
        </w:rPr>
      </w:pPr>
    </w:p>
    <w:p w14:paraId="2DF822C4"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3-22 1945 Invasion of Luzon 1945 Southwest Pacific Force operations against Luzon were directly supported by Seventh Fleet escort carriers in Task Group 77.4 (Rear Admiral C. T. Durgin) and indirectly by the fast carriers in Task Force 38 (Vice Admiral J. S. McCain) of Third Fleet and Central Pacific Forces. Task Group 77.4, with 17 escort carriers, covered the approach of the Luzon Attack Force against serious enemy air opposition from Kamikaze pilots which sank Ommaney Bay (4 Jan), and damaged several ships including escort carriers Manila Bay and Savo Island (5 Jan). It conducted preliminary strikes in the assault area (7-9 Jan), covered the landings in Lingayen Gulf (9 Jan), and supported the inland advance of troops ashore (9-17 Jan). Among the ships damaged by Kamikaze pilots opposing the landings were the escort carriers Kadashan Bay and Kitkun Bay (8 Jan), and Salamaua (13 Jan). Task Force 38, with seven heavy and four light carriers in three groups and one heavy and one light carrier in a night group, and accompanied by a Replenishment Group with one hunter-killer and seven escort carriers, concentrated on the destruction of enemy air power and air installations in surrounding areas. In spite of almost continuous bad weather which hampered flight operations during the entire month, this force launched offensive strikes on Formosa and the Ryukyus (3-4 Jan), a 2-day attack on Luzon (6-7 Jan) and on fields in the Formosa-Pescadores-Ryukyus area (9 Jan), destroying over 100 enemy aircraft and sinking 40,000 tons of merchant and small combatant ships in 1 week of preliminary action. During the night (9-10 Jan) Task Force 38 made a high-speed run through Luzon Strait followed by the Replenishment Group which passed through Balintang Channel, for Operations in the South China Sea (9-20 Jan). Strikes (12 Jan), over 420 miles of the Indo-China coast, reached south to Saigon and caught ships in the harbor and in coastal convoys with devastating results, sinking 12 tankers, 20 passenger and cargo vessels and numerous small combatant ships, totalling 149,000 tons. Moving northward to evade a typhoon, the force hit targets at Hong Kong, the China Coast, and Formosa (15 Jan) and next day concentrated on the Hong Kong area damaging enemy shore installations and sinking another 62,000 tons of shipping. As inclement weather persisted, the force left the South China Sea with an after dark run through Balintang Channel (20 Jan) and hit Formosa, the Pescadores, and Okinawa against enemy air opposition which damaged the Ticonderoga and Langley (20 Jan) and repeated the attack in the Ryukyus next day to finish off 3 weeks of action with an aerial score of over 600 enemy aircraft destroyed and 325,000 tons of enemy shipping sunk.</w:t>
      </w:r>
    </w:p>
    <w:p w14:paraId="235A8376" w14:textId="77777777" w:rsidR="00C2313B" w:rsidRPr="00F90EAE" w:rsidRDefault="00C2313B" w:rsidP="00F90EAE">
      <w:pPr>
        <w:autoSpaceDE w:val="0"/>
        <w:autoSpaceDN w:val="0"/>
        <w:adjustRightInd w:val="0"/>
        <w:jc w:val="both"/>
        <w:rPr>
          <w:iCs/>
          <w:color w:val="000000" w:themeColor="text1"/>
          <w:sz w:val="16"/>
          <w:szCs w:val="16"/>
          <w:lang w:val="en-US"/>
        </w:rPr>
      </w:pPr>
    </w:p>
    <w:p w14:paraId="541204B9" w14:textId="77777777" w:rsidR="005A1318" w:rsidRPr="00F90EAE" w:rsidRDefault="005A1318" w:rsidP="00F90EAE">
      <w:pPr>
        <w:jc w:val="both"/>
        <w:rPr>
          <w:color w:val="0070C0"/>
          <w:sz w:val="16"/>
          <w:szCs w:val="16"/>
        </w:rPr>
      </w:pPr>
      <w:r w:rsidRPr="00F90EAE">
        <w:rPr>
          <w:color w:val="0070C0"/>
          <w:sz w:val="16"/>
          <w:szCs w:val="16"/>
        </w:rPr>
        <w:t>2 января 1945 японские самолеты в последний раз атаковали базы ВВС США B-29 Superfortress на Сайпане (20371).</w:t>
      </w:r>
    </w:p>
    <w:p w14:paraId="524C1CED" w14:textId="77777777" w:rsidR="005A1318" w:rsidRPr="00F90EAE" w:rsidRDefault="005A1318" w:rsidP="00F90EAE">
      <w:pPr>
        <w:jc w:val="both"/>
        <w:rPr>
          <w:color w:val="0070C0"/>
          <w:sz w:val="16"/>
          <w:szCs w:val="16"/>
        </w:rPr>
      </w:pPr>
    </w:p>
    <w:p w14:paraId="4CFE8345" w14:textId="77777777" w:rsidR="005A1318" w:rsidRPr="00F90EAE" w:rsidRDefault="005A1318" w:rsidP="00F90EAE">
      <w:pPr>
        <w:jc w:val="both"/>
        <w:rPr>
          <w:color w:val="0070C0"/>
          <w:sz w:val="16"/>
          <w:szCs w:val="16"/>
        </w:rPr>
      </w:pPr>
      <w:r w:rsidRPr="00F90EAE">
        <w:rPr>
          <w:color w:val="0070C0"/>
          <w:sz w:val="16"/>
          <w:szCs w:val="16"/>
        </w:rPr>
        <w:t>2 января 1945 B-29 ВВС США, базирующиеся в Калькутте, Индия, бомбят Бангкок, Сиам (20371).</w:t>
      </w:r>
    </w:p>
    <w:p w14:paraId="5AFEB95E" w14:textId="77777777" w:rsidR="005A1318" w:rsidRPr="00F90EAE" w:rsidRDefault="005A1318" w:rsidP="00F90EAE">
      <w:pPr>
        <w:jc w:val="both"/>
        <w:rPr>
          <w:color w:val="0070C0"/>
          <w:sz w:val="16"/>
          <w:szCs w:val="16"/>
        </w:rPr>
      </w:pPr>
    </w:p>
    <w:p w14:paraId="6271F99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9801641" w14:textId="77777777" w:rsidR="00C2313B" w:rsidRPr="00F90EAE" w:rsidRDefault="00C2313B" w:rsidP="00F90EAE">
      <w:pPr>
        <w:autoSpaceDE w:val="0"/>
        <w:autoSpaceDN w:val="0"/>
        <w:adjustRightInd w:val="0"/>
        <w:jc w:val="both"/>
        <w:rPr>
          <w:iCs/>
          <w:color w:val="000000" w:themeColor="text1"/>
          <w:sz w:val="16"/>
          <w:szCs w:val="16"/>
        </w:rPr>
      </w:pPr>
    </w:p>
    <w:p w14:paraId="51E288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года вышел приказ НКАП:</w:t>
      </w:r>
    </w:p>
    <w:p w14:paraId="7AA0CA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Утвердить Юфа Л.Д. директором завода № 287 (8958).</w:t>
      </w:r>
    </w:p>
    <w:p w14:paraId="0595CDA7" w14:textId="77777777" w:rsidR="00C2313B" w:rsidRPr="00F90EAE" w:rsidRDefault="00C2313B" w:rsidP="00F90EAE">
      <w:pPr>
        <w:autoSpaceDE w:val="0"/>
        <w:autoSpaceDN w:val="0"/>
        <w:adjustRightInd w:val="0"/>
        <w:jc w:val="both"/>
        <w:rPr>
          <w:iCs/>
          <w:color w:val="000000" w:themeColor="text1"/>
          <w:sz w:val="16"/>
          <w:szCs w:val="16"/>
        </w:rPr>
      </w:pPr>
    </w:p>
    <w:p w14:paraId="5EFF345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F87E20A" w14:textId="77777777" w:rsidR="00C2313B" w:rsidRPr="00F90EAE" w:rsidRDefault="00C2313B" w:rsidP="00F90EAE">
      <w:pPr>
        <w:autoSpaceDE w:val="0"/>
        <w:autoSpaceDN w:val="0"/>
        <w:adjustRightInd w:val="0"/>
        <w:jc w:val="both"/>
        <w:rPr>
          <w:iCs/>
          <w:color w:val="000000" w:themeColor="text1"/>
          <w:sz w:val="16"/>
          <w:szCs w:val="16"/>
        </w:rPr>
      </w:pPr>
    </w:p>
    <w:p w14:paraId="1AF7A4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вышло Распоряжение ГКО № 7263. О направлении на предприятия НКБ 3 тыс. досрочно освобождаемых осужденных за самовольный уход с предприятий и бытовые преступления. РГАНИР, Фонд ГКО, д. 348, лл. 40 (11012).</w:t>
      </w:r>
    </w:p>
    <w:p w14:paraId="296226A5" w14:textId="77777777" w:rsidR="00C2313B" w:rsidRPr="00F90EAE" w:rsidRDefault="00C2313B" w:rsidP="00F90EAE">
      <w:pPr>
        <w:autoSpaceDE w:val="0"/>
        <w:autoSpaceDN w:val="0"/>
        <w:adjustRightInd w:val="0"/>
        <w:jc w:val="both"/>
        <w:rPr>
          <w:color w:val="000000" w:themeColor="text1"/>
          <w:sz w:val="16"/>
          <w:szCs w:val="16"/>
        </w:rPr>
      </w:pPr>
    </w:p>
    <w:p w14:paraId="357148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вышло Распоряжение ГКО № 7264. Об освобождении НКлеса Грузинской ССР от выполнения задания по заготовке и вывозке крепежного леса в I кв. 1945 г. РГАНИР, Фонд ГКО, д. 348, лл. 41 (11012).</w:t>
      </w:r>
    </w:p>
    <w:p w14:paraId="55FE12A7" w14:textId="77777777" w:rsidR="00C2313B" w:rsidRPr="00F90EAE" w:rsidRDefault="00C2313B" w:rsidP="00F90EAE">
      <w:pPr>
        <w:autoSpaceDE w:val="0"/>
        <w:autoSpaceDN w:val="0"/>
        <w:adjustRightInd w:val="0"/>
        <w:jc w:val="both"/>
        <w:rPr>
          <w:color w:val="000000" w:themeColor="text1"/>
          <w:sz w:val="16"/>
          <w:szCs w:val="16"/>
        </w:rPr>
      </w:pPr>
    </w:p>
    <w:p w14:paraId="0F1E69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вышло Постановление ГКО № 7265 Об энергоснабжении завода № 174 Наркомтанкопрома в г. Омске. РГАНИР, Фонд ГКО, д. 348, лл. 42 (11012).</w:t>
      </w:r>
    </w:p>
    <w:p w14:paraId="1CC37095" w14:textId="77777777" w:rsidR="00C2313B" w:rsidRPr="00F90EAE" w:rsidRDefault="00C2313B" w:rsidP="00F90EAE">
      <w:pPr>
        <w:autoSpaceDE w:val="0"/>
        <w:autoSpaceDN w:val="0"/>
        <w:adjustRightInd w:val="0"/>
        <w:jc w:val="both"/>
        <w:rPr>
          <w:color w:val="000000" w:themeColor="text1"/>
          <w:sz w:val="16"/>
          <w:szCs w:val="16"/>
        </w:rPr>
      </w:pPr>
    </w:p>
    <w:p w14:paraId="10C2C65E"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января 1945 вышло Распоряжение ГКО № 7266 [О мерах по обеспечению поставок колониями НКВД технических изделий из кожи и ее заменителей для НКАП, НКВ, НКПС и ГАУ КА.] (7295, 43-44).</w:t>
      </w:r>
    </w:p>
    <w:p w14:paraId="1B40CD8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018A10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января 1945 вышло Постановление ГКО № 7267 О сокращении производства артиллерийского, минометного и стрелкового вооружения. (7295, 45-46).</w:t>
      </w:r>
    </w:p>
    <w:p w14:paraId="6BE6A19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9D14C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г. вышло:</w:t>
      </w:r>
    </w:p>
    <w:p w14:paraId="3D814012" w14:textId="77777777" w:rsidR="00C2313B" w:rsidRPr="00F90EAE" w:rsidRDefault="00C2313B" w:rsidP="00F90EAE">
      <w:pPr>
        <w:jc w:val="both"/>
        <w:rPr>
          <w:color w:val="000000" w:themeColor="text1"/>
          <w:sz w:val="16"/>
          <w:szCs w:val="16"/>
        </w:rPr>
      </w:pPr>
      <w:r w:rsidRPr="00F90EAE">
        <w:rPr>
          <w:color w:val="000000" w:themeColor="text1"/>
          <w:sz w:val="16"/>
          <w:szCs w:val="16"/>
        </w:rPr>
        <w:t>ПОСТАНОВЛЕНИЕ ГОСУДАРСТВЕННОГО КОМИТЕТА ОБОРОНЫ № 7267сс</w:t>
      </w:r>
    </w:p>
    <w:p w14:paraId="2283C4D0" w14:textId="77777777" w:rsidR="00C2313B" w:rsidRPr="00F90EAE" w:rsidRDefault="00C2313B" w:rsidP="00F90EAE">
      <w:pPr>
        <w:jc w:val="both"/>
        <w:rPr>
          <w:color w:val="000000" w:themeColor="text1"/>
          <w:sz w:val="16"/>
          <w:szCs w:val="16"/>
        </w:rPr>
      </w:pPr>
      <w:r w:rsidRPr="00F90EAE">
        <w:rPr>
          <w:color w:val="000000" w:themeColor="text1"/>
          <w:sz w:val="16"/>
          <w:szCs w:val="16"/>
        </w:rPr>
        <w:t xml:space="preserve">О сокращении производства артиллерийского, минометного и стрелково-пулеметного вооружения </w:t>
      </w:r>
    </w:p>
    <w:p w14:paraId="342223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 полной обеспеченностью потребности Красной Армии и достаточных запасов в ГАУ КА, Государственный Комитет Обороны ПОСТАНОВЛЯЕТ:</w:t>
      </w:r>
    </w:p>
    <w:p w14:paraId="1CCADB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Прекратить с 1-го января 1945 г. производство следующих видов вооружения: 107 мм минометов на \иркутском заводе им. Куйбышева НКТМ; снайперских винтовок на заводе № 74 НКВ и самозарядных винтовок на заводе № 314 НКВ.</w:t>
      </w:r>
    </w:p>
    <w:p w14:paraId="2D435D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Установить с 1-го января 1945 г. уменьшенный ежемесячный план производства по:</w:t>
      </w:r>
    </w:p>
    <w:p w14:paraId="0C5438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Карабинам 100.000 штук</w:t>
      </w:r>
    </w:p>
    <w:p w14:paraId="160D01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 Сигнальным пистолетам 14.000 "</w:t>
      </w:r>
    </w:p>
    <w:p w14:paraId="0BF5FE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Пистолетам-пулеметам Шпагина "ППШ" 100.000 "</w:t>
      </w:r>
    </w:p>
    <w:p w14:paraId="7722A7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Ручным пулеметам Дягтерева "ДП" 5.000 "</w:t>
      </w:r>
    </w:p>
    <w:p w14:paraId="07727B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 Станковым пулеметам "Максима" 1.000 "</w:t>
      </w:r>
    </w:p>
    <w:p w14:paraId="4E060C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 Станковым пулеметам Горюнова 1.000 "</w:t>
      </w:r>
    </w:p>
    <w:p w14:paraId="590DD3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ж) 37 мм зенитным пушкам 200 "</w:t>
      </w:r>
    </w:p>
    <w:p w14:paraId="0280FF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 85 мм зенитным пушкам 100 "</w:t>
      </w:r>
    </w:p>
    <w:p w14:paraId="29C79B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76 мм полковым пушкам 350 "</w:t>
      </w:r>
    </w:p>
    <w:p w14:paraId="69B4D8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Директорам заводов: им. Куйбышева НКТМ, № 74 и 314 НКВ сохранить оснастку производства по снимаемым с производства 107 мм минометам, снайперским и самозарядным винтовкам и заложить ее в мобрезерв.</w:t>
      </w:r>
    </w:p>
    <w:p w14:paraId="59EBCA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w:t>
      </w:r>
    </w:p>
    <w:p w14:paraId="45B593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(И. СТАЛИН) </w:t>
      </w:r>
    </w:p>
    <w:p w14:paraId="61DEDA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Берия (ГОКО), Вознесенскому, Булганину, Яковлеву (…), Устинову, Кирпичникову, Чадаеву - все, Казакову - 1,3 </w:t>
      </w:r>
    </w:p>
    <w:p w14:paraId="3D70B7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284B6E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ПРЕДСЕДАТЕЛЮ ГОСУДАРСТВЕННОГО КОМИТЕТА ОБОРОНЫ - </w:t>
      </w:r>
    </w:p>
    <w:p w14:paraId="70D872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Товарищу СТАЛИНУ И. В.</w:t>
      </w:r>
    </w:p>
    <w:p w14:paraId="3AAEE6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Во исполнение постановления Государственного Комитета Обороны № 7249с от 30 декабря 1944 г., рассмотрен запасы артиллерийского, минометного и стрелково-пулеметного вооружения, имеющегося у ГАУ КА, а также ведомости обеспеченности и потребности в этих видах вооружения для Красной Армии, считаем возможным ввиду достаточных запасов - </w:t>
      </w:r>
    </w:p>
    <w:p w14:paraId="62C543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Прекратить совершенно производство</w:t>
      </w:r>
    </w:p>
    <w:p w14:paraId="44B6B7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штуках)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95"/>
        <w:gridCol w:w="3195"/>
        <w:gridCol w:w="3195"/>
      </w:tblGrid>
      <w:tr w:rsidR="00561F31" w:rsidRPr="00F90EAE" w14:paraId="75A12472" w14:textId="77777777">
        <w:trPr>
          <w:jc w:val="center"/>
        </w:trPr>
        <w:tc>
          <w:tcPr>
            <w:tcW w:w="3195" w:type="dxa"/>
            <w:tcBorders>
              <w:top w:val="single" w:sz="12" w:space="0" w:color="auto"/>
            </w:tcBorders>
          </w:tcPr>
          <w:p w14:paraId="30A307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вооружения</w:t>
            </w:r>
          </w:p>
        </w:tc>
        <w:tc>
          <w:tcPr>
            <w:tcW w:w="3195" w:type="dxa"/>
            <w:tcBorders>
              <w:top w:val="single" w:sz="12" w:space="0" w:color="auto"/>
            </w:tcBorders>
          </w:tcPr>
          <w:p w14:paraId="796C1C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Имеющийся запас в ГАУ КА</w:t>
            </w:r>
          </w:p>
        </w:tc>
        <w:tc>
          <w:tcPr>
            <w:tcW w:w="3195" w:type="dxa"/>
            <w:tcBorders>
              <w:top w:val="single" w:sz="12" w:space="0" w:color="auto"/>
            </w:tcBorders>
          </w:tcPr>
          <w:p w14:paraId="4392E67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Существующий размер месячного производства</w:t>
            </w:r>
          </w:p>
        </w:tc>
      </w:tr>
      <w:tr w:rsidR="00561F31" w:rsidRPr="00F90EAE" w14:paraId="621FDBC7" w14:textId="77777777">
        <w:trPr>
          <w:jc w:val="center"/>
        </w:trPr>
        <w:tc>
          <w:tcPr>
            <w:tcW w:w="3195" w:type="dxa"/>
            <w:tcBorders>
              <w:bottom w:val="single" w:sz="12" w:space="0" w:color="auto"/>
            </w:tcBorders>
          </w:tcPr>
          <w:p w14:paraId="42001D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 мм минометы</w:t>
            </w:r>
          </w:p>
          <w:p w14:paraId="198618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Снайперские винтовки</w:t>
            </w:r>
          </w:p>
          <w:p w14:paraId="4867AE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Самозарядные винтовки</w:t>
            </w:r>
          </w:p>
        </w:tc>
        <w:tc>
          <w:tcPr>
            <w:tcW w:w="3195" w:type="dxa"/>
            <w:tcBorders>
              <w:bottom w:val="single" w:sz="12" w:space="0" w:color="auto"/>
            </w:tcBorders>
          </w:tcPr>
          <w:p w14:paraId="4CAB1F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840</w:t>
            </w:r>
          </w:p>
          <w:p w14:paraId="5BE966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108.000</w:t>
            </w:r>
          </w:p>
          <w:p w14:paraId="24012A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145.000</w:t>
            </w:r>
          </w:p>
        </w:tc>
        <w:tc>
          <w:tcPr>
            <w:tcW w:w="3195" w:type="dxa"/>
            <w:tcBorders>
              <w:bottom w:val="single" w:sz="12" w:space="0" w:color="auto"/>
            </w:tcBorders>
          </w:tcPr>
          <w:p w14:paraId="5BD026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p w14:paraId="5B57CC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5.000</w:t>
            </w:r>
          </w:p>
          <w:p w14:paraId="5256AC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7.000</w:t>
            </w:r>
          </w:p>
        </w:tc>
      </w:tr>
    </w:tbl>
    <w:p w14:paraId="7B3F59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2. Уменьшить производство </w:t>
      </w:r>
    </w:p>
    <w:p w14:paraId="485E44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штуках)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760"/>
        <w:gridCol w:w="1485"/>
        <w:gridCol w:w="1920"/>
        <w:gridCol w:w="1800"/>
        <w:gridCol w:w="1590"/>
      </w:tblGrid>
      <w:tr w:rsidR="00561F31" w:rsidRPr="00F90EAE" w14:paraId="1AB1B3CF" w14:textId="77777777">
        <w:trPr>
          <w:jc w:val="center"/>
        </w:trPr>
        <w:tc>
          <w:tcPr>
            <w:tcW w:w="2760" w:type="dxa"/>
            <w:tcBorders>
              <w:top w:val="single" w:sz="12" w:space="0" w:color="auto"/>
            </w:tcBorders>
          </w:tcPr>
          <w:p w14:paraId="63726E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вооружения</w:t>
            </w:r>
          </w:p>
        </w:tc>
        <w:tc>
          <w:tcPr>
            <w:tcW w:w="1485" w:type="dxa"/>
            <w:tcBorders>
              <w:top w:val="single" w:sz="12" w:space="0" w:color="auto"/>
            </w:tcBorders>
          </w:tcPr>
          <w:p w14:paraId="37F855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Имеющийся запас в ГАУ КА</w:t>
            </w:r>
          </w:p>
        </w:tc>
        <w:tc>
          <w:tcPr>
            <w:tcW w:w="1920" w:type="dxa"/>
            <w:tcBorders>
              <w:top w:val="single" w:sz="12" w:space="0" w:color="auto"/>
            </w:tcBorders>
          </w:tcPr>
          <w:p w14:paraId="4CFB14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Существующий размер месяч. производ.</w:t>
            </w:r>
          </w:p>
        </w:tc>
        <w:tc>
          <w:tcPr>
            <w:tcW w:w="1800" w:type="dxa"/>
            <w:tcBorders>
              <w:top w:val="single" w:sz="12" w:space="0" w:color="auto"/>
            </w:tcBorders>
          </w:tcPr>
          <w:p w14:paraId="574F5A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Насколько предполагается сократить</w:t>
            </w:r>
          </w:p>
        </w:tc>
        <w:tc>
          <w:tcPr>
            <w:tcW w:w="1590" w:type="dxa"/>
            <w:tcBorders>
              <w:top w:val="single" w:sz="12" w:space="0" w:color="auto"/>
            </w:tcBorders>
          </w:tcPr>
          <w:p w14:paraId="1A53C4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Остается в производстве</w:t>
            </w:r>
          </w:p>
        </w:tc>
      </w:tr>
      <w:tr w:rsidR="00561F31" w:rsidRPr="00F90EAE" w14:paraId="3EDAFFFC" w14:textId="77777777">
        <w:trPr>
          <w:jc w:val="center"/>
        </w:trPr>
        <w:tc>
          <w:tcPr>
            <w:tcW w:w="2760" w:type="dxa"/>
          </w:tcPr>
          <w:p w14:paraId="2E4BBC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Карабины</w:t>
            </w:r>
          </w:p>
        </w:tc>
        <w:tc>
          <w:tcPr>
            <w:tcW w:w="1485" w:type="dxa"/>
          </w:tcPr>
          <w:p w14:paraId="2A9226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260.000</w:t>
            </w:r>
          </w:p>
        </w:tc>
        <w:tc>
          <w:tcPr>
            <w:tcW w:w="1920" w:type="dxa"/>
          </w:tcPr>
          <w:p w14:paraId="43E339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176.000</w:t>
            </w:r>
          </w:p>
        </w:tc>
        <w:tc>
          <w:tcPr>
            <w:tcW w:w="1800" w:type="dxa"/>
          </w:tcPr>
          <w:p w14:paraId="7F1199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76.000</w:t>
            </w:r>
          </w:p>
        </w:tc>
        <w:tc>
          <w:tcPr>
            <w:tcW w:w="1590" w:type="dxa"/>
          </w:tcPr>
          <w:p w14:paraId="6148BF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100.000</w:t>
            </w:r>
          </w:p>
        </w:tc>
      </w:tr>
      <w:tr w:rsidR="00561F31" w:rsidRPr="00F90EAE" w14:paraId="43B8EA05" w14:textId="77777777">
        <w:trPr>
          <w:jc w:val="center"/>
        </w:trPr>
        <w:tc>
          <w:tcPr>
            <w:tcW w:w="2760" w:type="dxa"/>
          </w:tcPr>
          <w:p w14:paraId="729B29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Сигнальные пистолеты</w:t>
            </w:r>
          </w:p>
        </w:tc>
        <w:tc>
          <w:tcPr>
            <w:tcW w:w="1485" w:type="dxa"/>
          </w:tcPr>
          <w:p w14:paraId="45A0AE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34.000</w:t>
            </w:r>
          </w:p>
        </w:tc>
        <w:tc>
          <w:tcPr>
            <w:tcW w:w="1920" w:type="dxa"/>
          </w:tcPr>
          <w:p w14:paraId="4055B0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18.000</w:t>
            </w:r>
          </w:p>
        </w:tc>
        <w:tc>
          <w:tcPr>
            <w:tcW w:w="1800" w:type="dxa"/>
          </w:tcPr>
          <w:p w14:paraId="326468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590" w:type="dxa"/>
          </w:tcPr>
          <w:p w14:paraId="5104E4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14.000</w:t>
            </w:r>
          </w:p>
        </w:tc>
      </w:tr>
      <w:tr w:rsidR="00561F31" w:rsidRPr="00F90EAE" w14:paraId="0BDA3AA4" w14:textId="77777777">
        <w:trPr>
          <w:jc w:val="center"/>
        </w:trPr>
        <w:tc>
          <w:tcPr>
            <w:tcW w:w="2760" w:type="dxa"/>
          </w:tcPr>
          <w:p w14:paraId="27F6AA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Пистолеты-пулеметы Шпагина «ППШ»</w:t>
            </w:r>
          </w:p>
        </w:tc>
        <w:tc>
          <w:tcPr>
            <w:tcW w:w="1485" w:type="dxa"/>
          </w:tcPr>
          <w:p w14:paraId="3D02F3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826.000</w:t>
            </w:r>
          </w:p>
        </w:tc>
        <w:tc>
          <w:tcPr>
            <w:tcW w:w="1920" w:type="dxa"/>
          </w:tcPr>
          <w:p w14:paraId="354759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153.500</w:t>
            </w:r>
          </w:p>
        </w:tc>
        <w:tc>
          <w:tcPr>
            <w:tcW w:w="1800" w:type="dxa"/>
          </w:tcPr>
          <w:p w14:paraId="0D48CE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53.500</w:t>
            </w:r>
          </w:p>
        </w:tc>
        <w:tc>
          <w:tcPr>
            <w:tcW w:w="1590" w:type="dxa"/>
          </w:tcPr>
          <w:p w14:paraId="3D33EB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100.000</w:t>
            </w:r>
          </w:p>
        </w:tc>
      </w:tr>
      <w:tr w:rsidR="00561F31" w:rsidRPr="00F90EAE" w14:paraId="1B96F4B9" w14:textId="77777777">
        <w:trPr>
          <w:jc w:val="center"/>
        </w:trPr>
        <w:tc>
          <w:tcPr>
            <w:tcW w:w="2760" w:type="dxa"/>
          </w:tcPr>
          <w:p w14:paraId="4E085A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Ручные пулеметы «ДП»</w:t>
            </w:r>
          </w:p>
        </w:tc>
        <w:tc>
          <w:tcPr>
            <w:tcW w:w="1485" w:type="dxa"/>
          </w:tcPr>
          <w:p w14:paraId="31923C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105.000</w:t>
            </w:r>
          </w:p>
        </w:tc>
        <w:tc>
          <w:tcPr>
            <w:tcW w:w="1920" w:type="dxa"/>
          </w:tcPr>
          <w:p w14:paraId="522DBC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15.000</w:t>
            </w:r>
          </w:p>
        </w:tc>
        <w:tc>
          <w:tcPr>
            <w:tcW w:w="1800" w:type="dxa"/>
          </w:tcPr>
          <w:p w14:paraId="3F9B6D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10.000</w:t>
            </w:r>
          </w:p>
        </w:tc>
        <w:tc>
          <w:tcPr>
            <w:tcW w:w="1590" w:type="dxa"/>
          </w:tcPr>
          <w:p w14:paraId="48CDD5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5.000</w:t>
            </w:r>
          </w:p>
        </w:tc>
      </w:tr>
      <w:tr w:rsidR="00561F31" w:rsidRPr="00F90EAE" w14:paraId="14423BBC" w14:textId="77777777">
        <w:trPr>
          <w:jc w:val="center"/>
        </w:trPr>
        <w:tc>
          <w:tcPr>
            <w:tcW w:w="2760" w:type="dxa"/>
          </w:tcPr>
          <w:p w14:paraId="09371E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Станковые пулеметы «Максима»</w:t>
            </w:r>
          </w:p>
        </w:tc>
        <w:tc>
          <w:tcPr>
            <w:tcW w:w="1485" w:type="dxa"/>
          </w:tcPr>
          <w:p w14:paraId="229303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54.000</w:t>
            </w:r>
          </w:p>
        </w:tc>
        <w:tc>
          <w:tcPr>
            <w:tcW w:w="1920" w:type="dxa"/>
          </w:tcPr>
          <w:p w14:paraId="7D0221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4.900</w:t>
            </w:r>
          </w:p>
        </w:tc>
        <w:tc>
          <w:tcPr>
            <w:tcW w:w="1800" w:type="dxa"/>
          </w:tcPr>
          <w:p w14:paraId="55C74B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3.900</w:t>
            </w:r>
          </w:p>
        </w:tc>
        <w:tc>
          <w:tcPr>
            <w:tcW w:w="1590" w:type="dxa"/>
          </w:tcPr>
          <w:p w14:paraId="59B873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w:t>
            </w:r>
          </w:p>
        </w:tc>
      </w:tr>
      <w:tr w:rsidR="00561F31" w:rsidRPr="00F90EAE" w14:paraId="68F4F33B" w14:textId="77777777">
        <w:trPr>
          <w:jc w:val="center"/>
        </w:trPr>
        <w:tc>
          <w:tcPr>
            <w:tcW w:w="2760" w:type="dxa"/>
          </w:tcPr>
          <w:p w14:paraId="4BFA49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Станковые пулеметы Горюнова</w:t>
            </w:r>
          </w:p>
        </w:tc>
        <w:tc>
          <w:tcPr>
            <w:tcW w:w="1485" w:type="dxa"/>
          </w:tcPr>
          <w:p w14:paraId="5BD81D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20.000</w:t>
            </w:r>
          </w:p>
        </w:tc>
        <w:tc>
          <w:tcPr>
            <w:tcW w:w="1920" w:type="dxa"/>
          </w:tcPr>
          <w:p w14:paraId="0CE3F8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2.700</w:t>
            </w:r>
          </w:p>
        </w:tc>
        <w:tc>
          <w:tcPr>
            <w:tcW w:w="1800" w:type="dxa"/>
          </w:tcPr>
          <w:p w14:paraId="20BE46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1.700</w:t>
            </w:r>
          </w:p>
        </w:tc>
        <w:tc>
          <w:tcPr>
            <w:tcW w:w="1590" w:type="dxa"/>
          </w:tcPr>
          <w:p w14:paraId="3EA207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w:t>
            </w:r>
          </w:p>
        </w:tc>
      </w:tr>
      <w:tr w:rsidR="00561F31" w:rsidRPr="00F90EAE" w14:paraId="3B34867E" w14:textId="77777777">
        <w:trPr>
          <w:jc w:val="center"/>
        </w:trPr>
        <w:tc>
          <w:tcPr>
            <w:tcW w:w="2760" w:type="dxa"/>
          </w:tcPr>
          <w:p w14:paraId="18240E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 мм зенитные пушки</w:t>
            </w:r>
          </w:p>
        </w:tc>
        <w:tc>
          <w:tcPr>
            <w:tcW w:w="1485" w:type="dxa"/>
          </w:tcPr>
          <w:p w14:paraId="3A3FC1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920" w:type="dxa"/>
          </w:tcPr>
          <w:p w14:paraId="3AE8F1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800" w:type="dxa"/>
          </w:tcPr>
          <w:p w14:paraId="159540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590" w:type="dxa"/>
          </w:tcPr>
          <w:p w14:paraId="19CBD1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r>
      <w:tr w:rsidR="00561F31" w:rsidRPr="00F90EAE" w14:paraId="59FC481C" w14:textId="77777777">
        <w:trPr>
          <w:jc w:val="center"/>
        </w:trPr>
        <w:tc>
          <w:tcPr>
            <w:tcW w:w="2760" w:type="dxa"/>
          </w:tcPr>
          <w:p w14:paraId="691854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85 мм зенитные пушки</w:t>
            </w:r>
          </w:p>
        </w:tc>
        <w:tc>
          <w:tcPr>
            <w:tcW w:w="1485" w:type="dxa"/>
          </w:tcPr>
          <w:p w14:paraId="656262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1920" w:type="dxa"/>
          </w:tcPr>
          <w:p w14:paraId="0A7115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800" w:type="dxa"/>
          </w:tcPr>
          <w:p w14:paraId="2F4F59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590" w:type="dxa"/>
          </w:tcPr>
          <w:p w14:paraId="123017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w:t>
            </w:r>
          </w:p>
        </w:tc>
      </w:tr>
      <w:tr w:rsidR="00561F31" w:rsidRPr="00F90EAE" w14:paraId="36E0954E" w14:textId="77777777">
        <w:trPr>
          <w:jc w:val="center"/>
        </w:trPr>
        <w:tc>
          <w:tcPr>
            <w:tcW w:w="2760" w:type="dxa"/>
            <w:tcBorders>
              <w:bottom w:val="single" w:sz="12" w:space="0" w:color="auto"/>
            </w:tcBorders>
          </w:tcPr>
          <w:p w14:paraId="3E673C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76 мм полновые пушки</w:t>
            </w:r>
          </w:p>
        </w:tc>
        <w:tc>
          <w:tcPr>
            <w:tcW w:w="1485" w:type="dxa"/>
            <w:tcBorders>
              <w:bottom w:val="single" w:sz="12" w:space="0" w:color="auto"/>
            </w:tcBorders>
          </w:tcPr>
          <w:p w14:paraId="19851A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920" w:type="dxa"/>
            <w:tcBorders>
              <w:bottom w:val="single" w:sz="12" w:space="0" w:color="auto"/>
            </w:tcBorders>
          </w:tcPr>
          <w:p w14:paraId="224DED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370</w:t>
            </w:r>
          </w:p>
        </w:tc>
        <w:tc>
          <w:tcPr>
            <w:tcW w:w="1800" w:type="dxa"/>
            <w:tcBorders>
              <w:bottom w:val="single" w:sz="12" w:space="0" w:color="auto"/>
            </w:tcBorders>
          </w:tcPr>
          <w:p w14:paraId="22AFAE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590" w:type="dxa"/>
            <w:tcBorders>
              <w:bottom w:val="single" w:sz="12" w:space="0" w:color="auto"/>
            </w:tcBorders>
          </w:tcPr>
          <w:p w14:paraId="48C133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350</w:t>
            </w:r>
          </w:p>
        </w:tc>
      </w:tr>
    </w:tbl>
    <w:p w14:paraId="60CC9D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Указанное Сокращение производства вооружения дает уменьшение потребности в прокате черного металла на 1 квартал 1945 г. на 9500 тонн, в том числе по Наркомату вооружения на 8100 тонн, по Наркомсредмашу, Наркомминвооружения, Наркомавиапрому и Наркомтяжмашу на 1400 тонн.</w:t>
      </w:r>
    </w:p>
    <w:p w14:paraId="24D006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Просим рассмотреть и утвердить прилагаемый проект постановления Государственного Комитета Обороны.</w:t>
      </w:r>
    </w:p>
    <w:p w14:paraId="5B848B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БЕРИЯ</w:t>
      </w:r>
    </w:p>
    <w:p w14:paraId="06EEF7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 БУЛГАНИН</w:t>
      </w:r>
    </w:p>
    <w:p w14:paraId="189569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 ЯКОВЛЕВ (11813).</w:t>
      </w:r>
    </w:p>
    <w:p w14:paraId="3706F452" w14:textId="77777777" w:rsidR="003E545E" w:rsidRPr="00F90EAE" w:rsidRDefault="003E545E" w:rsidP="00F90EAE">
      <w:pPr>
        <w:autoSpaceDE w:val="0"/>
        <w:autoSpaceDN w:val="0"/>
        <w:adjustRightInd w:val="0"/>
        <w:jc w:val="both"/>
        <w:rPr>
          <w:color w:val="000000" w:themeColor="text1"/>
          <w:sz w:val="16"/>
          <w:szCs w:val="16"/>
        </w:rPr>
      </w:pPr>
    </w:p>
    <w:p w14:paraId="20D7B4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вышло Постановление ГКО № 7268 О Четвертом Протоколе по поставкам Советскому Союзу из США, Канады и Соединенного Королевства. РГАНИР, Фонд ГКО, д. 348, лл. 47-49, 50-81 (11012).</w:t>
      </w:r>
    </w:p>
    <w:p w14:paraId="0E26DECA" w14:textId="77777777" w:rsidR="00C2313B" w:rsidRPr="00F90EAE" w:rsidRDefault="00C2313B" w:rsidP="00F90EAE">
      <w:pPr>
        <w:autoSpaceDE w:val="0"/>
        <w:autoSpaceDN w:val="0"/>
        <w:adjustRightInd w:val="0"/>
        <w:jc w:val="both"/>
        <w:rPr>
          <w:color w:val="000000" w:themeColor="text1"/>
          <w:sz w:val="16"/>
          <w:szCs w:val="16"/>
        </w:rPr>
      </w:pPr>
    </w:p>
    <w:p w14:paraId="043D9BB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A8B7506" w14:textId="77777777" w:rsidR="00C2313B" w:rsidRPr="00F90EAE" w:rsidRDefault="00C2313B" w:rsidP="00F90EAE">
      <w:pPr>
        <w:autoSpaceDE w:val="0"/>
        <w:autoSpaceDN w:val="0"/>
        <w:adjustRightInd w:val="0"/>
        <w:jc w:val="both"/>
        <w:rPr>
          <w:iCs/>
          <w:color w:val="000000" w:themeColor="text1"/>
          <w:sz w:val="16"/>
          <w:szCs w:val="16"/>
        </w:rPr>
      </w:pPr>
    </w:p>
    <w:p w14:paraId="63155433" w14:textId="77777777" w:rsidR="003E545E" w:rsidRPr="00F90EAE" w:rsidRDefault="003E545E" w:rsidP="00F90EAE">
      <w:pPr>
        <w:jc w:val="both"/>
        <w:rPr>
          <w:color w:val="000000" w:themeColor="text1"/>
          <w:sz w:val="16"/>
          <w:szCs w:val="16"/>
        </w:rPr>
      </w:pPr>
      <w:r w:rsidRPr="00F90EAE">
        <w:rPr>
          <w:bCs/>
          <w:color w:val="000000" w:themeColor="text1"/>
          <w:sz w:val="16"/>
          <w:szCs w:val="16"/>
        </w:rPr>
        <w:t>3 января</w:t>
      </w:r>
      <w:r w:rsidRPr="00F90EAE">
        <w:rPr>
          <w:color w:val="000000" w:themeColor="text1"/>
          <w:sz w:val="16"/>
          <w:szCs w:val="16"/>
        </w:rPr>
        <w:t xml:space="preserve"> в 1945 году оперативная сводка Совинформбюро:</w:t>
      </w:r>
    </w:p>
    <w:p w14:paraId="444C0D62" w14:textId="77777777" w:rsidR="003E545E" w:rsidRPr="00F90EAE" w:rsidRDefault="003E545E" w:rsidP="00F90EAE">
      <w:pPr>
        <w:jc w:val="both"/>
        <w:rPr>
          <w:color w:val="000000" w:themeColor="text1"/>
          <w:sz w:val="16"/>
          <w:szCs w:val="16"/>
        </w:rPr>
      </w:pPr>
      <w:r w:rsidRPr="00F90EAE">
        <w:rPr>
          <w:color w:val="000000" w:themeColor="text1"/>
          <w:sz w:val="16"/>
          <w:szCs w:val="16"/>
        </w:rPr>
        <w:t>«В течение 3 января на территории Чехословакии наши войска, наступающие на город Лученец с востока и юга, овладели населёнными пунктами Ождяны, Двойкерестюр, Дола, Пинцина, Сахер, Калонда, Великий и Малый Далев, Парлаг, Рарошмулад, Великие Злевце и железнодорожной станцией Ождяны. В боях за 1 и 2 января в этом районе наши войска взяли в плен 2.320 немецких и венгерских солдат и офицеров.</w:t>
      </w:r>
    </w:p>
    <w:p w14:paraId="34AA2ECF"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уничтожению окружённой группировки противника, в ходе которых заняли 136 кварталов в восточной части и 31 квартал в западной части города.</w:t>
      </w:r>
    </w:p>
    <w:p w14:paraId="7FD29C9A" w14:textId="77777777" w:rsidR="003E545E" w:rsidRPr="00F90EAE" w:rsidRDefault="003E545E" w:rsidP="00F90EAE">
      <w:pPr>
        <w:jc w:val="both"/>
        <w:rPr>
          <w:color w:val="000000" w:themeColor="text1"/>
          <w:sz w:val="16"/>
          <w:szCs w:val="16"/>
        </w:rPr>
      </w:pPr>
      <w:r w:rsidRPr="00F90EAE">
        <w:rPr>
          <w:color w:val="000000" w:themeColor="text1"/>
          <w:sz w:val="16"/>
          <w:szCs w:val="16"/>
        </w:rPr>
        <w:t>Юго-восточнее города Комарно наши войска отбивали атаки крупных сил пехоты и танков противника, стремящегося пробиться на помощь к своей окружённой группировке в городе Будапеште. Ценой больших потерь в живой силе и технике противнику удалось занять несколько населённых пунктов на южном берегу Дуная.</w:t>
      </w:r>
    </w:p>
    <w:p w14:paraId="4DCEC53E"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1071BAC3" w14:textId="77777777" w:rsidR="003E545E" w:rsidRPr="00F90EAE" w:rsidRDefault="003E545E" w:rsidP="00F90EAE">
      <w:pPr>
        <w:jc w:val="both"/>
        <w:rPr>
          <w:color w:val="000000" w:themeColor="text1"/>
          <w:sz w:val="16"/>
          <w:szCs w:val="16"/>
        </w:rPr>
      </w:pPr>
      <w:r w:rsidRPr="00F90EAE">
        <w:rPr>
          <w:color w:val="000000" w:themeColor="text1"/>
          <w:sz w:val="16"/>
          <w:szCs w:val="16"/>
        </w:rPr>
        <w:t>За 2 января на всех фронтах наши войска подбили и уничтожили 61 немецкий танк. В воздушных боях и огнём зенитной артиллерии сбит 21 самолёт противника.</w:t>
      </w:r>
    </w:p>
    <w:p w14:paraId="76167924" w14:textId="77777777" w:rsidR="003E545E" w:rsidRPr="00F90EAE" w:rsidRDefault="003E545E" w:rsidP="00F90EAE">
      <w:pPr>
        <w:jc w:val="both"/>
        <w:rPr>
          <w:color w:val="000000" w:themeColor="text1"/>
          <w:sz w:val="16"/>
          <w:szCs w:val="16"/>
        </w:rPr>
      </w:pPr>
      <w:r w:rsidRPr="00F90EAE">
        <w:rPr>
          <w:color w:val="000000" w:themeColor="text1"/>
          <w:sz w:val="16"/>
          <w:szCs w:val="16"/>
        </w:rPr>
        <w:t>На территории Чехословакии наши войска с боями продвигались к городу Лученец. Противник, опираясь на заранее подготовленный оборонительный рубеж, оказывал упорное сопротивление. В результате стремительной атаки советские части овладели железнодорожной станцией Ождяны, находящейся в 16 километрах северо-восточнее пор. Лучемед. Другие наши части выбили немцев из населённого пункта Самер и завязали бои на ближних подступах к городу Лученец. За день боёв уничтожено более 400 немецких солдат и офицеров. Советские бронебойщики подбили 2 танка и 2 бронетранспортёра противника.</w:t>
      </w:r>
    </w:p>
    <w:p w14:paraId="57326405"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вели бои по ликвидации окружённой группировки противника. В восточной части города наши гвардейцы выбили немцев из укреплённых позиций в городском парке и с боями продвигаются к центральным кварталам венгерской столицы. Советские пехотинцы штурмом берут укреплённые здания и истребляют засевших в них гитлеровцев.</w:t>
      </w:r>
    </w:p>
    <w:p w14:paraId="4333FD17" w14:textId="77777777" w:rsidR="003E545E" w:rsidRPr="00F90EAE" w:rsidRDefault="003E545E" w:rsidP="00F90EAE">
      <w:pPr>
        <w:jc w:val="both"/>
        <w:rPr>
          <w:color w:val="000000" w:themeColor="text1"/>
          <w:sz w:val="16"/>
          <w:szCs w:val="16"/>
        </w:rPr>
      </w:pPr>
      <w:r w:rsidRPr="00F90EAE">
        <w:rPr>
          <w:color w:val="000000" w:themeColor="text1"/>
          <w:sz w:val="16"/>
          <w:szCs w:val="16"/>
        </w:rPr>
        <w:t>Во многих районах немцы взрывают здания, чтобы задержать продвижение наших подразделений. Стрелковый батальон капитана Сиротюка за день очистил от противника несколько кварталов и уничтожил до 600 вражеских солдат и офицеров. Особенно ожесточённые бои произошли в районе станции электрической железной дороги. Немцы здесь заранее соорудили шесть линий траншей. Все подходы к траншеям были прикрыты сетью проволочных заграждений, а через проволоку пропущен электрический ток. Одна группа наших бойцов атаковала вражеские позиции с фронта. Другие подразделения тем временем совершили обходный манёвр, ворвались на станцию с тыла и уничтожили вражеский гарнизон.</w:t>
      </w:r>
    </w:p>
    <w:p w14:paraId="3C813D10" w14:textId="77777777" w:rsidR="003E545E" w:rsidRPr="00F90EAE" w:rsidRDefault="003E545E" w:rsidP="00F90EAE">
      <w:pPr>
        <w:jc w:val="both"/>
        <w:rPr>
          <w:color w:val="000000" w:themeColor="text1"/>
          <w:sz w:val="16"/>
          <w:szCs w:val="16"/>
        </w:rPr>
      </w:pPr>
      <w:r w:rsidRPr="00F90EAE">
        <w:rPr>
          <w:color w:val="000000" w:themeColor="text1"/>
          <w:sz w:val="16"/>
          <w:szCs w:val="16"/>
        </w:rPr>
        <w:t>В западной части Будапешта противник неоднократно переходил в контратаки. Одна группа немецких войск пыталась вырваться из города. Артиллерийско-пулеметным огнём наши части отбросили гитлеровцев назад и, преследуя их, заняли несколько кварталов.</w:t>
      </w:r>
    </w:p>
    <w:p w14:paraId="45106342" w14:textId="77777777" w:rsidR="003E545E" w:rsidRPr="00F90EAE" w:rsidRDefault="003E545E" w:rsidP="00F90EAE">
      <w:pPr>
        <w:jc w:val="both"/>
        <w:rPr>
          <w:color w:val="000000" w:themeColor="text1"/>
          <w:sz w:val="16"/>
          <w:szCs w:val="16"/>
        </w:rPr>
      </w:pPr>
      <w:r w:rsidRPr="00F90EAE">
        <w:rPr>
          <w:color w:val="000000" w:themeColor="text1"/>
          <w:sz w:val="16"/>
          <w:szCs w:val="16"/>
        </w:rPr>
        <w:t>Юго-восточнее города Комарно крупные силы противника рано утром возобновили атаки. Немецкие танки и пехота двинулись на советские позиции с двух направлений. Завязались ожесточённые бои. На южном берегу Дуная противнику удалось занять несколько населённых пунктов, в боях за которые немцы понесли тяжелые потери. Уничтожено свыше 40 немецких танков и несколько тысяч гитлеровцев. Наши пехотинцы, артиллеристы и бронебойщики сильным огнём и контрударами отбивают атаки противника. Подразделения Н-ской гвардейской части за день отразили девять вражеских атак. На подступах к позициям гвардейцев осталось до 200 вражеских трупов и 6 сгоревших самоходных орудий. Немецкие танки атаковали артиллерийскую батарею гвардии капитана Жизлова. Советские артиллеристы открыли огонь и подбили два вражеских танка. Противник пытался обойти батарею с фланга. Манёвр гитлеровцев не застиг артиллеристов врасплох. Они подбили ещё два танка и истребили до роты немецкой пехоты. Гвардии старший сержант Уткельбаев, оставшись один у орудия, вывел из строя два танка противника. Гвардии красноармеец Панов противотанковой гранатой взорвал немецкий бронетранспортёр.</w:t>
      </w:r>
    </w:p>
    <w:p w14:paraId="20BCA9A7" w14:textId="77777777" w:rsidR="003E545E" w:rsidRPr="00F90EAE" w:rsidRDefault="003E545E" w:rsidP="00F90EAE">
      <w:pPr>
        <w:jc w:val="both"/>
        <w:rPr>
          <w:color w:val="000000" w:themeColor="text1"/>
          <w:sz w:val="16"/>
          <w:szCs w:val="16"/>
        </w:rPr>
      </w:pPr>
      <w:r w:rsidRPr="00F90EAE">
        <w:rPr>
          <w:color w:val="000000" w:themeColor="text1"/>
          <w:sz w:val="16"/>
          <w:szCs w:val="16"/>
        </w:rPr>
        <w:lastRenderedPageBreak/>
        <w:t>Наши лётчики в воздушных боях за день сбили 12 немецких самолётов.</w:t>
      </w:r>
    </w:p>
    <w:p w14:paraId="00C53ADF" w14:textId="77777777" w:rsidR="003E545E" w:rsidRPr="00F90EAE" w:rsidRDefault="003E545E" w:rsidP="00F90EAE">
      <w:pPr>
        <w:jc w:val="both"/>
        <w:rPr>
          <w:color w:val="000000" w:themeColor="text1"/>
          <w:sz w:val="16"/>
          <w:szCs w:val="16"/>
        </w:rPr>
      </w:pPr>
      <w:r w:rsidRPr="00F90EAE">
        <w:rPr>
          <w:color w:val="000000" w:themeColor="text1"/>
          <w:sz w:val="16"/>
          <w:szCs w:val="16"/>
        </w:rPr>
        <w:t>Юго-западнее города Остроленка пехота противника ночью пыталась вести разведку боем. Наше боевое охранение вовремя обнаружило гитлеровцев. Вражеская пехота была обстреляна сильным миномётным и пулемётным огнём. Затем советские бойцы предприняли контратаку и обратили немцев в бегство. Утром на подступах к нашим позициям было подсчитано 49 вражеских трупов.</w:t>
      </w:r>
    </w:p>
    <w:p w14:paraId="29703044" w14:textId="77777777" w:rsidR="003E545E" w:rsidRPr="00F90EAE" w:rsidRDefault="003E545E" w:rsidP="00F90EAE">
      <w:pPr>
        <w:jc w:val="both"/>
        <w:rPr>
          <w:color w:val="000000" w:themeColor="text1"/>
          <w:sz w:val="16"/>
          <w:szCs w:val="16"/>
        </w:rPr>
      </w:pPr>
      <w:r w:rsidRPr="00F90EAE">
        <w:rPr>
          <w:color w:val="000000" w:themeColor="text1"/>
          <w:sz w:val="16"/>
          <w:szCs w:val="16"/>
        </w:rPr>
        <w:t>На 1-м Украинском фронте действовали наши разведывательные группы. Двенадцать бойцов под командованием гвардии младшего лейтенанта Юрченко ворвались в траншеи противника и уничтожили немецкий пулемет вместе с расчётом. Другая группа бойцов под командованием лейтенанта Потелова проникла в расположение противника и истребила десять немцев. Советские разведчики захватили пленного и благополучно вернулись в расположение своей части.» (14998).</w:t>
      </w:r>
    </w:p>
    <w:p w14:paraId="4FF85D78" w14:textId="77777777" w:rsidR="003E545E" w:rsidRPr="00F90EAE" w:rsidRDefault="003E545E" w:rsidP="00F90EAE">
      <w:pPr>
        <w:jc w:val="both"/>
        <w:rPr>
          <w:color w:val="000000" w:themeColor="text1"/>
          <w:sz w:val="16"/>
          <w:szCs w:val="16"/>
        </w:rPr>
      </w:pPr>
    </w:p>
    <w:p w14:paraId="0626B5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года Циркуляром НГМШ ВМС № 038 был образован Научно-исследовательский институт Аварийно-спасательного управления ВМС, на базе которого в июне 1949 года создан Институт № 11 ВМС. Четвертый отдел водолазного дела Института занимался вопросами водолазного снаряжения (10679).</w:t>
      </w:r>
    </w:p>
    <w:p w14:paraId="161B218C" w14:textId="77777777" w:rsidR="00C2313B" w:rsidRPr="00F90EAE" w:rsidRDefault="00C2313B" w:rsidP="00F90EAE">
      <w:pPr>
        <w:autoSpaceDE w:val="0"/>
        <w:autoSpaceDN w:val="0"/>
        <w:adjustRightInd w:val="0"/>
        <w:jc w:val="both"/>
        <w:rPr>
          <w:color w:val="000000" w:themeColor="text1"/>
          <w:sz w:val="16"/>
          <w:szCs w:val="16"/>
        </w:rPr>
      </w:pPr>
    </w:p>
    <w:p w14:paraId="29E2B7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января 1945 года во исполнение приказа Народного Комиссара ВМФ от 15 ноября 1944 года № 00253 циркуляром начальника Главного морского штаба № 038 объявлен штат Научно-исследовательского института Аварийно-спасательной службы (АСС) ВМФ, Положением о НИИ АСС было определено: "Научно-исследовательский институт Аварийно-спасательной службы ВМФ является научно-исследовательским органом Военно-Морского Флота в области аварийно-спасательного дела, которое охватывает: - методы выполнения аварийно-спасательных, судоподъемных, подводно-технических и водолазных работ; - средства борьбы за живучесть корпуса и систем кораблей и судов ВМФ; - средства индивидуального и коллективного спасения личного состава подводных лодок; - противопожарные специальные и переносные средства кораблей и судов ВМФ; - технические средства, оборудование, снаряжение и имущество, применяемое при аварийно-спасательных, судоподъемных, подводно-технических и водолазных работах; - физиологию водолазного труда (10515).</w:t>
      </w:r>
    </w:p>
    <w:p w14:paraId="79B6BE2F" w14:textId="77777777" w:rsidR="00C2313B" w:rsidRPr="00F90EAE" w:rsidRDefault="00C2313B" w:rsidP="00F90EAE">
      <w:pPr>
        <w:autoSpaceDE w:val="0"/>
        <w:autoSpaceDN w:val="0"/>
        <w:adjustRightInd w:val="0"/>
        <w:jc w:val="both"/>
        <w:rPr>
          <w:color w:val="000000" w:themeColor="text1"/>
          <w:sz w:val="16"/>
          <w:szCs w:val="16"/>
        </w:rPr>
      </w:pPr>
    </w:p>
    <w:p w14:paraId="72AB0F0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76C666C" w14:textId="77777777" w:rsidR="00C2313B" w:rsidRPr="00F90EAE" w:rsidRDefault="00C2313B" w:rsidP="00F90EAE">
      <w:pPr>
        <w:autoSpaceDE w:val="0"/>
        <w:autoSpaceDN w:val="0"/>
        <w:adjustRightInd w:val="0"/>
        <w:jc w:val="both"/>
        <w:rPr>
          <w:iCs/>
          <w:color w:val="000000" w:themeColor="text1"/>
          <w:sz w:val="16"/>
          <w:szCs w:val="16"/>
        </w:rPr>
      </w:pPr>
    </w:p>
    <w:p w14:paraId="04A1FFD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января 1945 казнен А. Зубовский, работавший бургомистром Ворошиловграда во время фашистской оккупации города (4962).</w:t>
      </w:r>
    </w:p>
    <w:p w14:paraId="55E0EDA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10A77B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99E681C" w14:textId="77777777" w:rsidR="00C2313B" w:rsidRPr="00F90EAE" w:rsidRDefault="00C2313B" w:rsidP="00F90EAE">
      <w:pPr>
        <w:autoSpaceDE w:val="0"/>
        <w:autoSpaceDN w:val="0"/>
        <w:adjustRightInd w:val="0"/>
        <w:jc w:val="both"/>
        <w:rPr>
          <w:iCs/>
          <w:color w:val="000000" w:themeColor="text1"/>
          <w:sz w:val="16"/>
          <w:szCs w:val="16"/>
        </w:rPr>
      </w:pPr>
    </w:p>
    <w:p w14:paraId="4D0CFDD2" w14:textId="77777777" w:rsidR="003E545E" w:rsidRPr="00F90EAE" w:rsidRDefault="003E545E" w:rsidP="00F90EAE">
      <w:pPr>
        <w:jc w:val="both"/>
        <w:rPr>
          <w:color w:val="000000" w:themeColor="text1"/>
          <w:sz w:val="16"/>
          <w:szCs w:val="16"/>
        </w:rPr>
      </w:pPr>
      <w:r w:rsidRPr="00F90EAE">
        <w:rPr>
          <w:bCs/>
          <w:color w:val="000000" w:themeColor="text1"/>
          <w:sz w:val="16"/>
          <w:szCs w:val="16"/>
        </w:rPr>
        <w:t>3 января</w:t>
      </w:r>
      <w:r w:rsidRPr="00F90EAE">
        <w:rPr>
          <w:color w:val="000000" w:themeColor="text1"/>
          <w:sz w:val="16"/>
          <w:szCs w:val="16"/>
        </w:rPr>
        <w:t xml:space="preserve"> в 1945 году началоcь наступление войск 1-й американской армии на северном фасе арденнского выступа (14998).</w:t>
      </w:r>
    </w:p>
    <w:p w14:paraId="067240AD" w14:textId="77777777" w:rsidR="003E545E" w:rsidRPr="00F90EAE" w:rsidRDefault="003E545E" w:rsidP="00F90EAE">
      <w:pPr>
        <w:jc w:val="both"/>
        <w:rPr>
          <w:color w:val="000000" w:themeColor="text1"/>
          <w:sz w:val="16"/>
          <w:szCs w:val="16"/>
        </w:rPr>
      </w:pPr>
    </w:p>
    <w:p w14:paraId="0E83FCB3" w14:textId="77777777" w:rsidR="005A1318" w:rsidRPr="00F90EAE" w:rsidRDefault="005A1318" w:rsidP="00F90EAE">
      <w:pPr>
        <w:jc w:val="both"/>
        <w:rPr>
          <w:color w:val="0070C0"/>
          <w:sz w:val="16"/>
          <w:szCs w:val="16"/>
        </w:rPr>
      </w:pPr>
      <w:r w:rsidRPr="00F90EAE">
        <w:rPr>
          <w:color w:val="0070C0"/>
          <w:sz w:val="16"/>
          <w:szCs w:val="16"/>
        </w:rPr>
        <w:t>3 января 1945 ВМС США создают свою первую целевую группу авианосцев для ночных полетов, Task Group 38.5, состоящую из авианосцев USS Enterprise и USS Independence, а также шести эсминцев (20371).</w:t>
      </w:r>
    </w:p>
    <w:p w14:paraId="78822A07" w14:textId="77777777" w:rsidR="005A1318" w:rsidRPr="00F90EAE" w:rsidRDefault="005A1318" w:rsidP="00F90EAE">
      <w:pPr>
        <w:jc w:val="both"/>
        <w:rPr>
          <w:color w:val="0070C0"/>
          <w:sz w:val="16"/>
          <w:szCs w:val="16"/>
        </w:rPr>
      </w:pPr>
    </w:p>
    <w:p w14:paraId="349347EE" w14:textId="77777777" w:rsidR="005A1318" w:rsidRPr="00F90EAE" w:rsidRDefault="005A1318" w:rsidP="00F90EAE">
      <w:pPr>
        <w:jc w:val="both"/>
        <w:rPr>
          <w:color w:val="0070C0"/>
          <w:sz w:val="16"/>
          <w:szCs w:val="16"/>
        </w:rPr>
      </w:pPr>
      <w:r w:rsidRPr="00F90EAE">
        <w:rPr>
          <w:color w:val="0070C0"/>
          <w:sz w:val="16"/>
          <w:szCs w:val="16"/>
        </w:rPr>
        <w:t>3–4 января 1945 Оперативная группа 38 ВМС США начинает поддержку вторжения США в залив Лингайен с авианосных ударов по японским силам и объектам на Формозе, Пескадоре, Сакисима Гунто и Окинаве, в результате чего было потеряно 22 самолета США. Плохая погода сокращает количество ударов и делает невозможной оценку ущерба от бомб, хотя оперативная группа считает, что уничтожила около 100 японских самолетов (20371).</w:t>
      </w:r>
    </w:p>
    <w:p w14:paraId="113B32D5" w14:textId="77777777" w:rsidR="005A1318" w:rsidRPr="00F90EAE" w:rsidRDefault="005A1318" w:rsidP="00F90EAE">
      <w:pPr>
        <w:jc w:val="both"/>
        <w:rPr>
          <w:color w:val="0070C0"/>
          <w:sz w:val="16"/>
          <w:szCs w:val="16"/>
        </w:rPr>
      </w:pPr>
    </w:p>
    <w:p w14:paraId="6827E9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3-22 января 1945 состоялась высадка американцев на Люзоне (2248,1).</w:t>
      </w:r>
    </w:p>
    <w:p w14:paraId="5E25F2B1" w14:textId="77777777" w:rsidR="00C2313B" w:rsidRPr="00F90EAE" w:rsidRDefault="00C2313B" w:rsidP="00F90EAE">
      <w:pPr>
        <w:autoSpaceDE w:val="0"/>
        <w:autoSpaceDN w:val="0"/>
        <w:adjustRightInd w:val="0"/>
        <w:jc w:val="both"/>
        <w:rPr>
          <w:color w:val="000000" w:themeColor="text1"/>
          <w:sz w:val="16"/>
          <w:szCs w:val="16"/>
        </w:rPr>
      </w:pPr>
    </w:p>
    <w:p w14:paraId="70DC5A3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07F1CF2" w14:textId="77777777" w:rsidR="00C2313B" w:rsidRPr="00F90EAE" w:rsidRDefault="00C2313B" w:rsidP="00F90EAE">
      <w:pPr>
        <w:autoSpaceDE w:val="0"/>
        <w:autoSpaceDN w:val="0"/>
        <w:adjustRightInd w:val="0"/>
        <w:jc w:val="both"/>
        <w:rPr>
          <w:iCs/>
          <w:color w:val="000000" w:themeColor="text1"/>
          <w:sz w:val="16"/>
          <w:szCs w:val="16"/>
        </w:rPr>
      </w:pPr>
    </w:p>
    <w:p w14:paraId="378645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года директор завода N 30 Ф. Нестеров писал письмо N 34/Д-1 Шахурину.</w:t>
      </w:r>
    </w:p>
    <w:p w14:paraId="352D09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порядка установившегося на заводе N 1 с августа - сентября 1941 г. все самолеты направляемые в войсковые части снаряжаются заводом N 30 полным боекомплектом патрон и снарядов.</w:t>
      </w:r>
    </w:p>
    <w:p w14:paraId="1BDC9C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Указанный порядок был вызван необходимостью того времени (близость фронта) и совершенно необязателен сейчас, когда машины с завода идут не в войсковые части, а в ЗАП"ы.</w:t>
      </w:r>
    </w:p>
    <w:p w14:paraId="796589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Снаряжение боекомплектами отправляемых самолетов связано для завода с большими затруднениями:</w:t>
      </w:r>
    </w:p>
    <w:p w14:paraId="4755BE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Несвоевременная доставка Управлением боепитания ВВС патрон и снарядов на завод, вызывает зачастую задержки в отправке машин;</w:t>
      </w:r>
    </w:p>
    <w:p w14:paraId="3F73DB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Отсутствие на заводе приспособленных складов для боеприпасов вынуждает хранить патроны на открытых площадках внутри завода, чем создается опасность их возгорания и порчи.</w:t>
      </w:r>
    </w:p>
    <w:p w14:paraId="5AC463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Вас, по согласованию с командованием ВВС, изменить существующий порядок снаряжения боекомплектом отправляемых с завода в ЗАП"ы самолетов и разрешить их отправку с 1 января 1945 года без боекомплектов (1879).</w:t>
      </w:r>
    </w:p>
    <w:p w14:paraId="3B2EB948" w14:textId="77777777" w:rsidR="00C2313B" w:rsidRPr="00F90EAE" w:rsidRDefault="00C2313B" w:rsidP="00F90EAE">
      <w:pPr>
        <w:autoSpaceDE w:val="0"/>
        <w:autoSpaceDN w:val="0"/>
        <w:adjustRightInd w:val="0"/>
        <w:jc w:val="both"/>
        <w:rPr>
          <w:color w:val="000000" w:themeColor="text1"/>
          <w:sz w:val="16"/>
          <w:szCs w:val="16"/>
        </w:rPr>
      </w:pPr>
    </w:p>
    <w:p w14:paraId="0A86D5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года П. Дементьев писал письмо председателю Комитета по делам физкультуры и спорта при СНК Снегову В.В.</w:t>
      </w:r>
    </w:p>
    <w:p w14:paraId="71C9A5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Деревообделочный филиал фабрики “Спортснабжение” (д. Н. Лужи Химкинского района) по решению Мособлисполкома в 1942 году передан заводу № 293. В настоящее время реконструирован и является деревообделочной базой НИИ-1 НКАП (8973).</w:t>
      </w:r>
    </w:p>
    <w:p w14:paraId="5FE33A92" w14:textId="77777777" w:rsidR="00C2313B" w:rsidRPr="00F90EAE" w:rsidRDefault="00C2313B" w:rsidP="00F90EAE">
      <w:pPr>
        <w:autoSpaceDE w:val="0"/>
        <w:autoSpaceDN w:val="0"/>
        <w:adjustRightInd w:val="0"/>
        <w:jc w:val="both"/>
        <w:rPr>
          <w:color w:val="000000" w:themeColor="text1"/>
          <w:sz w:val="16"/>
          <w:szCs w:val="16"/>
        </w:rPr>
      </w:pPr>
    </w:p>
    <w:p w14:paraId="2B4AD84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15791C0" w14:textId="77777777" w:rsidR="00C2313B" w:rsidRPr="00F90EAE" w:rsidRDefault="00C2313B" w:rsidP="00F90EAE">
      <w:pPr>
        <w:autoSpaceDE w:val="0"/>
        <w:autoSpaceDN w:val="0"/>
        <w:adjustRightInd w:val="0"/>
        <w:jc w:val="both"/>
        <w:rPr>
          <w:iCs/>
          <w:color w:val="000000" w:themeColor="text1"/>
          <w:sz w:val="16"/>
          <w:szCs w:val="16"/>
        </w:rPr>
      </w:pPr>
    </w:p>
    <w:p w14:paraId="477F65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вышло Распоряжение ГКО № 7269. О мерах неотложной помощи шахтам Кузбасса крепежным лесом. РГАНИР, Фонд ГКО, д. 348, лл. 82-84 (11012).</w:t>
      </w:r>
    </w:p>
    <w:p w14:paraId="7D75A2E3" w14:textId="77777777" w:rsidR="00C2313B" w:rsidRPr="00F90EAE" w:rsidRDefault="00C2313B" w:rsidP="00F90EAE">
      <w:pPr>
        <w:autoSpaceDE w:val="0"/>
        <w:autoSpaceDN w:val="0"/>
        <w:adjustRightInd w:val="0"/>
        <w:jc w:val="both"/>
        <w:rPr>
          <w:color w:val="000000" w:themeColor="text1"/>
          <w:sz w:val="16"/>
          <w:szCs w:val="16"/>
        </w:rPr>
      </w:pPr>
    </w:p>
    <w:p w14:paraId="24F6D9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вышло Постановление ГКО № 7270 О частичном изменении постановления ГОКО от 23 ноября 1944 г. № 6991сс и от 8 декабря 1944 г. № 7103с. РГАНИР, Фонд ГКО, д. 348, лл. 85 (11012).</w:t>
      </w:r>
    </w:p>
    <w:p w14:paraId="2CFD00FA" w14:textId="77777777" w:rsidR="00C2313B" w:rsidRPr="00F90EAE" w:rsidRDefault="00C2313B" w:rsidP="00F90EAE">
      <w:pPr>
        <w:autoSpaceDE w:val="0"/>
        <w:autoSpaceDN w:val="0"/>
        <w:adjustRightInd w:val="0"/>
        <w:jc w:val="both"/>
        <w:rPr>
          <w:color w:val="000000" w:themeColor="text1"/>
          <w:sz w:val="16"/>
          <w:szCs w:val="16"/>
        </w:rPr>
      </w:pPr>
    </w:p>
    <w:p w14:paraId="011B41E7" w14:textId="77777777" w:rsidR="003E545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DBBEE8C" w14:textId="77777777" w:rsidR="003E545E" w:rsidRPr="00F90EAE" w:rsidRDefault="003E545E" w:rsidP="00F90EAE">
      <w:pPr>
        <w:autoSpaceDE w:val="0"/>
        <w:autoSpaceDN w:val="0"/>
        <w:adjustRightInd w:val="0"/>
        <w:jc w:val="both"/>
        <w:rPr>
          <w:iCs/>
          <w:color w:val="000000" w:themeColor="text1"/>
          <w:sz w:val="16"/>
          <w:szCs w:val="16"/>
        </w:rPr>
      </w:pPr>
    </w:p>
    <w:p w14:paraId="7DBB2A1A" w14:textId="77777777" w:rsidR="003E545E" w:rsidRPr="00F90EAE" w:rsidRDefault="003E545E" w:rsidP="00F90EAE">
      <w:pPr>
        <w:jc w:val="both"/>
        <w:rPr>
          <w:color w:val="000000" w:themeColor="text1"/>
          <w:sz w:val="16"/>
          <w:szCs w:val="16"/>
        </w:rPr>
      </w:pPr>
      <w:r w:rsidRPr="00F90EAE">
        <w:rPr>
          <w:bCs/>
          <w:color w:val="000000" w:themeColor="text1"/>
          <w:sz w:val="16"/>
          <w:szCs w:val="16"/>
        </w:rPr>
        <w:t>4 января</w:t>
      </w:r>
      <w:r w:rsidRPr="00F90EAE">
        <w:rPr>
          <w:color w:val="000000" w:themeColor="text1"/>
          <w:sz w:val="16"/>
          <w:szCs w:val="16"/>
        </w:rPr>
        <w:t xml:space="preserve"> в 1945 году оперативная сводка Совинформбюро:</w:t>
      </w:r>
    </w:p>
    <w:p w14:paraId="104B2A76" w14:textId="77777777" w:rsidR="003E545E" w:rsidRPr="00F90EAE" w:rsidRDefault="003E545E" w:rsidP="00F90EAE">
      <w:pPr>
        <w:jc w:val="both"/>
        <w:rPr>
          <w:color w:val="000000" w:themeColor="text1"/>
          <w:sz w:val="16"/>
          <w:szCs w:val="16"/>
        </w:rPr>
      </w:pPr>
      <w:r w:rsidRPr="00F90EAE">
        <w:rPr>
          <w:color w:val="000000" w:themeColor="text1"/>
          <w:sz w:val="16"/>
          <w:szCs w:val="16"/>
        </w:rPr>
        <w:t>«В течение 4 января в районе Будапешта наши войска, продолжая бои по очищению города от противника, заняли 277 кварталов. Одновременно северо-западнее Будапешта наши войска отбивали атаки крупных сил пехоты и танков противника, стремящегося, несмотря на большие потери, прорваться на помощь к своей окружённой в городе Будапеште группировке. В боях за 3 января в этом районе наши войска подбили и уничтожили 78 немецких танков и взяли в плен 1.162 немецких и венгерских солдата и офицера. В воздушных боях и огнём зенитной артиллерии в районе северо-западнее Будапешта сбито 58 самолётов противника.</w:t>
      </w:r>
    </w:p>
    <w:p w14:paraId="2EA8A83E"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бои местного значения.</w:t>
      </w:r>
    </w:p>
    <w:p w14:paraId="174B0EEB"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ликвидации окруженной группировки немецких войск. Преодолевая упорное сопротивление противника, советские части очищают от немцев квартал за кварталом и настойчиво продвигаются к центральным районам венгерской столицы. Отступая под ударами наших войск, немцы взрывают дома и устраивают завалы на улицах. Ожесточённые бои произошли в районе текстильной фабрики и завода, расположенного рядом с этой фабрикой. Гитлеровцы превратили эти предприятия в узлы своей обороны, сосредоточив в них большое количество огневых средств. Ночью гвардейское подразделение майора Быкова блокировало завод. Артиллеристы выдвинули орудия на открытые позиции и подавили огневые точки противника. Затем советские пехотинцы предприняли стремительную атаку, ворвались в завод и истребили всех находившихся там гитлеровцев. Тем временем бойцы гвардейского подразделения майора Левченко вплотную приблизились к текстильной фабрике и штурмом овладели её корпусами. Противник понёс большие потери. Только на территории текстильной фабрики осталось до 600 трупов немецких солдат и офицеров. Ночью танкисты Н-ского подразделения пробились к подземным ангарам противника. Наши танки подошли к входу в ангары и отрезали пути отхода скрывавшимся в них гитлеровцам. Более 400 вражеских солдат и офицеров, преимущественно немцев, сложили оружие и сдались в плен. Нашими войсками захвачено много трофеев.</w:t>
      </w:r>
    </w:p>
    <w:p w14:paraId="35881048" w14:textId="77777777" w:rsidR="003E545E" w:rsidRPr="00F90EAE" w:rsidRDefault="003E545E" w:rsidP="00F90EAE">
      <w:pPr>
        <w:jc w:val="both"/>
        <w:rPr>
          <w:color w:val="000000" w:themeColor="text1"/>
          <w:sz w:val="16"/>
          <w:szCs w:val="16"/>
        </w:rPr>
      </w:pPr>
      <w:r w:rsidRPr="00F90EAE">
        <w:rPr>
          <w:color w:val="000000" w:themeColor="text1"/>
          <w:sz w:val="16"/>
          <w:szCs w:val="16"/>
        </w:rPr>
        <w:t>Советские воины проявляют самоотверженность и героизм в боях с врагом. Взвод сержанта Николая Михайлова штурмом овладел крупным домом. Пробравшись к дому, бойцы бросили в окна несколько гранат, а затем ворвались внутрь здания. В короткой схватке наши воины истребили 28 немцев. Красноармейцы Цыганов и Михайлов вывели из строя два вражеских пулемёта. Командир орудия сержант Фёдор Лисовой выкатил своё орудие на открытую позицию и прямой наводкой разрушил кирпичный склад, превращенный противником в дот. Под развалинами разрушенного здания похоронен отряд гитлеровцев с пятью пулемётами. Пулемётчик Миловидов, отражая вражескую контратаку, истребил 15 немцев. Рядовой Карташов поджёг вражеский бронетранспортёр и огнём из автомата истребил 7 гитлеровцев, выскочивших из бронетранспортёра.</w:t>
      </w:r>
    </w:p>
    <w:p w14:paraId="3FE57BDD" w14:textId="77777777" w:rsidR="003E545E" w:rsidRPr="00F90EAE" w:rsidRDefault="003E545E" w:rsidP="00F90EAE">
      <w:pPr>
        <w:jc w:val="both"/>
        <w:rPr>
          <w:color w:val="000000" w:themeColor="text1"/>
          <w:sz w:val="16"/>
          <w:szCs w:val="16"/>
        </w:rPr>
      </w:pPr>
      <w:r w:rsidRPr="00F90EAE">
        <w:rPr>
          <w:color w:val="000000" w:themeColor="text1"/>
          <w:sz w:val="16"/>
          <w:szCs w:val="16"/>
        </w:rPr>
        <w:lastRenderedPageBreak/>
        <w:t>Северо-западнее Будапешта наши войска отбивали атаки крупных сил танков и пехоты противника. Немцы бросили в атаки части шести танковых и нескольких пехотных дивизий и стремятся любой ценой прорваться к своей группировке, окружённой в городе Будапеште. Советские пехотинцы, артиллеристы и бронебойщики в ходе боёв отражают атаки вражеских танков, за которыми следуют цепи немецкой пехоты. Особенно ожесточённое сражение произошло на южном берегу Дуная. Наши танковые подразделения, подоспевшие к месту боя, контратаковали численно превосходящие силы противника. В многочасовом бою советские танкисты истребили свыше 1.500 гитлеровцев, сожгли и подбили 53 немецких танка и самоходных орудия, 16 бронетранспортеров и уничтожили 50 автомашин с боеприпасами и горючим. На другом участке противник бросил в атаку 12 самоходных орудий и несколько бронетранспортеров. Советские бойцы, во главе с гвардии капитаном Аликовским, дали врагу жестокий отпор. Они подбили и сожгли 7 самоходных орудий, 2 бронетранспортёра и вынудили немцев отойти на исходные позиции.</w:t>
      </w:r>
    </w:p>
    <w:p w14:paraId="61CDA1BA" w14:textId="77777777" w:rsidR="003E545E" w:rsidRPr="00F90EAE" w:rsidRDefault="003E545E" w:rsidP="00F90EAE">
      <w:pPr>
        <w:jc w:val="both"/>
        <w:rPr>
          <w:color w:val="000000" w:themeColor="text1"/>
          <w:sz w:val="16"/>
          <w:szCs w:val="16"/>
        </w:rPr>
      </w:pPr>
      <w:r w:rsidRPr="00F90EAE">
        <w:rPr>
          <w:color w:val="000000" w:themeColor="text1"/>
          <w:sz w:val="16"/>
          <w:szCs w:val="16"/>
        </w:rPr>
        <w:t>Наша авиация наносила удары по скоплениям войск и техники противника. В течение дня советские лётчики уничтожили и повредили несколько десятков танков и до 200 немецких автомашин.</w:t>
      </w:r>
    </w:p>
    <w:p w14:paraId="28C2519C" w14:textId="77777777" w:rsidR="003E545E" w:rsidRPr="00F90EAE" w:rsidRDefault="003E545E" w:rsidP="00F90EAE">
      <w:pPr>
        <w:jc w:val="both"/>
        <w:rPr>
          <w:color w:val="000000" w:themeColor="text1"/>
          <w:sz w:val="16"/>
          <w:szCs w:val="16"/>
        </w:rPr>
      </w:pPr>
      <w:r w:rsidRPr="00F90EAE">
        <w:rPr>
          <w:color w:val="000000" w:themeColor="text1"/>
          <w:sz w:val="16"/>
          <w:szCs w:val="16"/>
        </w:rPr>
        <w:t>На 1-м Украинском фронте рота немецкой пехоты пыталась вести разведку боем. Наши передовые подразделения вовремя заметили гитлеровцев и контрударом отбросили их. Захвачено в плен 6 немецких солдат.</w:t>
      </w:r>
    </w:p>
    <w:p w14:paraId="41C19CDF" w14:textId="77777777" w:rsidR="003E545E" w:rsidRPr="00F90EAE" w:rsidRDefault="003E545E" w:rsidP="00F90EAE">
      <w:pPr>
        <w:jc w:val="both"/>
        <w:rPr>
          <w:color w:val="000000" w:themeColor="text1"/>
          <w:sz w:val="16"/>
          <w:szCs w:val="16"/>
        </w:rPr>
      </w:pPr>
      <w:r w:rsidRPr="00F90EAE">
        <w:rPr>
          <w:color w:val="000000" w:themeColor="text1"/>
          <w:sz w:val="16"/>
          <w:szCs w:val="16"/>
        </w:rPr>
        <w:t>Юго-западнее города Остроленка разведчики подразделения капитана Зубкова установили, что противник готовится к ночной атаке. Группа бойцов во главе с сержантом Байтимировым была послана в засаду за передний край нашей обороны. Когда стемнело, немецкий разведывательный отряд вплотную приблизился к нашим позициям. Советские пулемётчики встретили врага сильным огнём. Ошеломленные гитлеровцы повернули назад, но в это время были обстреляны бойцами, находившимися в засаде. Противник в беспорядке отступил, оставив перед нашими позициями до 40 трупов своих солдат и офицеров.» (14999).</w:t>
      </w:r>
    </w:p>
    <w:p w14:paraId="3BABF0A0" w14:textId="77777777" w:rsidR="003E545E" w:rsidRPr="00F90EAE" w:rsidRDefault="003E545E" w:rsidP="00F90EAE">
      <w:pPr>
        <w:jc w:val="both"/>
        <w:rPr>
          <w:color w:val="000000" w:themeColor="text1"/>
          <w:sz w:val="16"/>
          <w:szCs w:val="16"/>
        </w:rPr>
      </w:pPr>
    </w:p>
    <w:p w14:paraId="4E3B0D4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A785C5E" w14:textId="77777777" w:rsidR="00C2313B" w:rsidRPr="00F90EAE" w:rsidRDefault="00C2313B" w:rsidP="00F90EAE">
      <w:pPr>
        <w:autoSpaceDE w:val="0"/>
        <w:autoSpaceDN w:val="0"/>
        <w:adjustRightInd w:val="0"/>
        <w:jc w:val="both"/>
        <w:rPr>
          <w:iCs/>
          <w:color w:val="000000" w:themeColor="text1"/>
          <w:sz w:val="16"/>
          <w:szCs w:val="16"/>
        </w:rPr>
      </w:pPr>
    </w:p>
    <w:p w14:paraId="067C4F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СССР признал Временное правительство Польши (1348,247), Люблинский комитет (3908,370).</w:t>
      </w:r>
    </w:p>
    <w:p w14:paraId="69F92091" w14:textId="77777777" w:rsidR="00C2313B" w:rsidRPr="00F90EAE" w:rsidRDefault="00C2313B" w:rsidP="00F90EAE">
      <w:pPr>
        <w:autoSpaceDE w:val="0"/>
        <w:autoSpaceDN w:val="0"/>
        <w:adjustRightInd w:val="0"/>
        <w:jc w:val="both"/>
        <w:rPr>
          <w:color w:val="000000" w:themeColor="text1"/>
          <w:sz w:val="16"/>
          <w:szCs w:val="16"/>
        </w:rPr>
      </w:pPr>
    </w:p>
    <w:p w14:paraId="15633E1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B526D13" w14:textId="77777777" w:rsidR="00C2313B" w:rsidRPr="00F90EAE" w:rsidRDefault="00C2313B" w:rsidP="00F90EAE">
      <w:pPr>
        <w:autoSpaceDE w:val="0"/>
        <w:autoSpaceDN w:val="0"/>
        <w:adjustRightInd w:val="0"/>
        <w:jc w:val="both"/>
        <w:rPr>
          <w:iCs/>
          <w:color w:val="000000" w:themeColor="text1"/>
          <w:sz w:val="16"/>
          <w:szCs w:val="16"/>
        </w:rPr>
      </w:pPr>
    </w:p>
    <w:p w14:paraId="442F2E85" w14:textId="77777777" w:rsidR="003E545E" w:rsidRPr="00F90EAE" w:rsidRDefault="003E545E" w:rsidP="00F90EAE">
      <w:pPr>
        <w:jc w:val="both"/>
        <w:rPr>
          <w:color w:val="000000" w:themeColor="text1"/>
          <w:sz w:val="16"/>
          <w:szCs w:val="16"/>
        </w:rPr>
      </w:pPr>
      <w:r w:rsidRPr="00F90EAE">
        <w:rPr>
          <w:bCs/>
          <w:color w:val="000000" w:themeColor="text1"/>
          <w:sz w:val="16"/>
          <w:szCs w:val="16"/>
        </w:rPr>
        <w:t>4 января</w:t>
      </w:r>
      <w:r w:rsidRPr="00F90EAE">
        <w:rPr>
          <w:color w:val="000000" w:themeColor="text1"/>
          <w:sz w:val="16"/>
          <w:szCs w:val="16"/>
        </w:rPr>
        <w:t xml:space="preserve"> в 1945 году первый полет транспортно-десантного планера «XCG-14» («X-eXperimental», «C-Cargo», «G-Glider»), который можно было бы буксировать за быстроходными самолетами. 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(Григорашвили).Он представлял собой цельнодеревянный высокоплан с крылом, имевшим "профиль Струкова", и несущей обшивкой из обычной фанеры. Поверхности управления были обтянуты тканью. 16 десантников размещались на откидных сиденьях в удобной грузовой кабине с боковыми дверями. Для загрузки и выгрузки техники задняя часть фюзеляжа откидывалась вбок. Двухместная кабина пилотов имела огромный фонарь "оранжерейного" типа. Шасси – не убираемое, трёхопорное с хвостовым колесом. Самолёт испытывался на аэродроме Нью-Арк, недалеко от Филадельфии. Струков лично принимал участие в испытаниях в качестве второго пилота. Истребитель «Р-47В» буксировал планер со скоростью до 360 км/ч. Однако, несмотря на хорошие результаты, заказов на «XCG-14» не поступило - легких планеров в американской армии уже было более чем достаточно. Аппаратов же среднего класса не имелось вообще, и фирма Струкова получила заказ на такой планер. Чтобы ускорить его постройку, использовали крыло от «XCG-14», а фюзеляж сделали новый. Вместо деревянной фермы Струков применил металлическую из стальных труб. Грузовая кабина вмещала 24-28 десантников или армейский грузовик. Для погрузки и выгрузки техники задняя часть фюзеляжа на шарнирах откидывалась вверх, а часть грузового пола опускалась, играя роль рампы. Трехопорное шасси имело убираемое переднее колесо. На носу опытного «XCG-14А» впервые появилась фирменная эмблема: изображение десантно-транспортного планера в круге, по ободу которого шли надписи "Stroukoff" и "Avitruk" (14999).</w:t>
      </w:r>
    </w:p>
    <w:p w14:paraId="61187C21" w14:textId="77777777" w:rsidR="003E545E" w:rsidRPr="00F90EAE" w:rsidRDefault="003E545E" w:rsidP="00F90EAE">
      <w:pPr>
        <w:jc w:val="both"/>
        <w:rPr>
          <w:color w:val="000000" w:themeColor="text1"/>
          <w:sz w:val="16"/>
          <w:szCs w:val="16"/>
        </w:rPr>
      </w:pPr>
    </w:p>
    <w:p w14:paraId="71CF6495" w14:textId="77777777" w:rsidR="005A1318" w:rsidRPr="00F90EAE" w:rsidRDefault="005A1318" w:rsidP="00F90EAE">
      <w:pPr>
        <w:jc w:val="both"/>
        <w:rPr>
          <w:color w:val="0070C0"/>
          <w:sz w:val="16"/>
          <w:szCs w:val="16"/>
        </w:rPr>
      </w:pPr>
      <w:r w:rsidRPr="00F90EAE">
        <w:rPr>
          <w:color w:val="0070C0"/>
          <w:sz w:val="16"/>
          <w:szCs w:val="16"/>
        </w:rPr>
        <w:t>4 января 1945 - Первый полет транспортно-десантного цельнодеревянного планера XCG-14 (X-eXperimental, C-Cargo, G-Glider), который можно было бы буксировать за быстроходными самолетами.</w:t>
      </w:r>
    </w:p>
    <w:p w14:paraId="3C5295E6" w14:textId="77777777" w:rsidR="005A1318" w:rsidRPr="00F90EAE" w:rsidRDefault="005A1318" w:rsidP="00F90EAE">
      <w:pPr>
        <w:jc w:val="both"/>
        <w:rPr>
          <w:color w:val="0070C0"/>
          <w:sz w:val="16"/>
          <w:szCs w:val="16"/>
        </w:rPr>
      </w:pPr>
      <w:r w:rsidRPr="00F90EAE">
        <w:rPr>
          <w:color w:val="0070C0"/>
          <w:sz w:val="16"/>
          <w:szCs w:val="16"/>
        </w:rPr>
        <w:t>Планер сконструирован выходцем из России – Михаилом Струковым. В качестве производственной базы он использовал маленькую мебельную фабрику "Чейз Бразерс" на Манхеттене. 30 октября 1943 года, после того как крыло планера выдержало стендовые испытания, контракт был подписан. Фабрика превратилась в "Чейз Эркрафт Компани", ее президентом и главным конструктором стал Струков, а его заместителем - другой известный авиаконструктор из России М.Л.Грегор (Григорашвили) (22680).</w:t>
      </w:r>
    </w:p>
    <w:p w14:paraId="474D7671" w14:textId="77777777" w:rsidR="005A1318" w:rsidRPr="00F90EAE" w:rsidRDefault="005A1318" w:rsidP="00F90EAE">
      <w:pPr>
        <w:jc w:val="both"/>
        <w:rPr>
          <w:color w:val="0070C0"/>
          <w:sz w:val="16"/>
          <w:szCs w:val="16"/>
        </w:rPr>
      </w:pPr>
    </w:p>
    <w:p w14:paraId="035EF9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4 по 8 января 1945 американский флот пострадал от ударов камикадзе. Японцы смогли потопить один авианосец и два постановщика мин, а два конвойных авианосца и два крейсера были сильно повреждены (2248,1).</w:t>
      </w:r>
    </w:p>
    <w:p w14:paraId="6D9DF73B" w14:textId="77777777" w:rsidR="00C2313B" w:rsidRPr="00F90EAE" w:rsidRDefault="00C2313B" w:rsidP="00F90EAE">
      <w:pPr>
        <w:autoSpaceDE w:val="0"/>
        <w:autoSpaceDN w:val="0"/>
        <w:adjustRightInd w:val="0"/>
        <w:jc w:val="both"/>
        <w:rPr>
          <w:color w:val="000000" w:themeColor="text1"/>
          <w:sz w:val="16"/>
          <w:szCs w:val="16"/>
        </w:rPr>
      </w:pPr>
    </w:p>
    <w:p w14:paraId="25F72FCD" w14:textId="77777777" w:rsidR="005A1318" w:rsidRPr="00F90EAE" w:rsidRDefault="005A1318" w:rsidP="00F90EAE">
      <w:pPr>
        <w:jc w:val="both"/>
        <w:rPr>
          <w:color w:val="0070C0"/>
          <w:sz w:val="16"/>
          <w:szCs w:val="16"/>
        </w:rPr>
      </w:pPr>
      <w:r w:rsidRPr="00F90EAE">
        <w:rPr>
          <w:color w:val="0070C0"/>
          <w:sz w:val="16"/>
          <w:szCs w:val="16"/>
        </w:rPr>
        <w:t>4 января 1945 один японский бомбардировщик уничтожил 11 патрульных самолетов ВМС США PV-1 Ventura, стоявших на аэродроме Таклобан на острове Лейте (20371).</w:t>
      </w:r>
    </w:p>
    <w:p w14:paraId="16F1A2C4" w14:textId="77777777" w:rsidR="005A1318" w:rsidRPr="00F90EAE" w:rsidRDefault="005A1318" w:rsidP="00F90EAE">
      <w:pPr>
        <w:jc w:val="both"/>
        <w:rPr>
          <w:color w:val="0070C0"/>
          <w:sz w:val="16"/>
          <w:szCs w:val="16"/>
        </w:rPr>
      </w:pPr>
    </w:p>
    <w:p w14:paraId="7264AADA" w14:textId="77777777" w:rsidR="005A1318" w:rsidRPr="00F90EAE" w:rsidRDefault="005A1318" w:rsidP="00F90EAE">
      <w:pPr>
        <w:jc w:val="both"/>
        <w:rPr>
          <w:color w:val="000000" w:themeColor="text1"/>
          <w:sz w:val="16"/>
          <w:szCs w:val="16"/>
        </w:rPr>
      </w:pPr>
      <w:r w:rsidRPr="00F90EAE">
        <w:rPr>
          <w:bCs/>
          <w:color w:val="000000" w:themeColor="text1"/>
          <w:sz w:val="16"/>
          <w:szCs w:val="16"/>
        </w:rPr>
        <w:t>4 января</w:t>
      </w:r>
      <w:r w:rsidRPr="00F90EAE">
        <w:rPr>
          <w:color w:val="000000" w:themeColor="text1"/>
          <w:sz w:val="16"/>
          <w:szCs w:val="16"/>
        </w:rPr>
        <w:t xml:space="preserve"> в 1945 году у мыса Миндоро камикадзе потопили авианосец «Оммани Бэй» (Ommaney Bay»), ещё 2 авианосца были повреждены (14999).</w:t>
      </w:r>
    </w:p>
    <w:p w14:paraId="1AFB72B8" w14:textId="77777777" w:rsidR="005A1318" w:rsidRPr="00F90EAE" w:rsidRDefault="005A1318" w:rsidP="00F90EAE">
      <w:pPr>
        <w:jc w:val="both"/>
        <w:rPr>
          <w:color w:val="000000" w:themeColor="text1"/>
          <w:sz w:val="16"/>
          <w:szCs w:val="16"/>
        </w:rPr>
      </w:pPr>
    </w:p>
    <w:p w14:paraId="4EFE0421" w14:textId="77777777" w:rsidR="005A1318" w:rsidRPr="00F90EAE" w:rsidRDefault="005A1318" w:rsidP="00F90EAE">
      <w:pPr>
        <w:jc w:val="both"/>
        <w:rPr>
          <w:color w:val="0070C0"/>
          <w:sz w:val="16"/>
          <w:szCs w:val="16"/>
        </w:rPr>
      </w:pPr>
      <w:r w:rsidRPr="00F90EAE">
        <w:rPr>
          <w:color w:val="0070C0"/>
          <w:sz w:val="16"/>
          <w:szCs w:val="16"/>
        </w:rPr>
        <w:t>4 января 1945 эскортный авианосец USS Ommaney Bay смертельно поврежден японским камикадзе в море Сулу и затопил позже в тот же день (20371).</w:t>
      </w:r>
    </w:p>
    <w:p w14:paraId="01F15868" w14:textId="77777777" w:rsidR="005A1318" w:rsidRPr="00F90EAE" w:rsidRDefault="005A1318" w:rsidP="00F90EAE">
      <w:pPr>
        <w:jc w:val="both"/>
        <w:rPr>
          <w:color w:val="0070C0"/>
          <w:sz w:val="16"/>
          <w:szCs w:val="16"/>
        </w:rPr>
      </w:pPr>
    </w:p>
    <w:p w14:paraId="22D94F45" w14:textId="77777777" w:rsidR="005A1318" w:rsidRPr="00F90EAE" w:rsidRDefault="005A1318" w:rsidP="00F90EAE">
      <w:pPr>
        <w:jc w:val="both"/>
        <w:rPr>
          <w:color w:val="0070C0"/>
          <w:sz w:val="16"/>
          <w:szCs w:val="16"/>
        </w:rPr>
      </w:pPr>
      <w:r w:rsidRPr="00F90EAE">
        <w:rPr>
          <w:color w:val="0070C0"/>
          <w:sz w:val="16"/>
          <w:szCs w:val="16"/>
        </w:rPr>
        <w:t>4 января 1945 - У мыса Миндоро камикадзе потопили авианосец «Оммани Бэй», ещё 2 авианосца были повреждены (22680).</w:t>
      </w:r>
    </w:p>
    <w:p w14:paraId="05C2DA78" w14:textId="77777777" w:rsidR="005A1318" w:rsidRPr="00F90EAE" w:rsidRDefault="005A1318" w:rsidP="00F90EAE">
      <w:pPr>
        <w:jc w:val="both"/>
        <w:rPr>
          <w:color w:val="0070C0"/>
          <w:sz w:val="16"/>
          <w:szCs w:val="16"/>
        </w:rPr>
      </w:pPr>
    </w:p>
    <w:p w14:paraId="1F43F441" w14:textId="77777777" w:rsidR="005A1318" w:rsidRPr="00F90EAE" w:rsidRDefault="005A1318" w:rsidP="00F90EAE">
      <w:pPr>
        <w:jc w:val="both"/>
        <w:rPr>
          <w:color w:val="0070C0"/>
          <w:sz w:val="16"/>
          <w:szCs w:val="16"/>
        </w:rPr>
      </w:pPr>
      <w:r w:rsidRPr="00F90EAE">
        <w:rPr>
          <w:color w:val="0070C0"/>
          <w:sz w:val="16"/>
          <w:szCs w:val="16"/>
        </w:rPr>
        <w:t>4 января 1945 японцы совершают свою последнюю атаку камикадзе на силы вторжения США у Миндоро, в результате чего грузовое судно с боеприпасами взорвалось и погиб 71 торговый моряк на борту (20371).</w:t>
      </w:r>
    </w:p>
    <w:p w14:paraId="0CFE201B" w14:textId="77777777" w:rsidR="005A1318" w:rsidRPr="00F90EAE" w:rsidRDefault="005A1318" w:rsidP="00F90EAE">
      <w:pPr>
        <w:jc w:val="both"/>
        <w:rPr>
          <w:color w:val="0070C0"/>
          <w:sz w:val="16"/>
          <w:szCs w:val="16"/>
        </w:rPr>
      </w:pPr>
    </w:p>
    <w:p w14:paraId="0217F1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января 1945 прекратилось сопротивление немцев в Бельгии (2100).</w:t>
      </w:r>
    </w:p>
    <w:p w14:paraId="6B95FFDF" w14:textId="77777777" w:rsidR="00C2313B" w:rsidRPr="00F90EAE" w:rsidRDefault="00C2313B" w:rsidP="00F90EAE">
      <w:pPr>
        <w:autoSpaceDE w:val="0"/>
        <w:autoSpaceDN w:val="0"/>
        <w:adjustRightInd w:val="0"/>
        <w:jc w:val="both"/>
        <w:rPr>
          <w:color w:val="000000" w:themeColor="text1"/>
          <w:sz w:val="16"/>
          <w:szCs w:val="16"/>
        </w:rPr>
      </w:pPr>
    </w:p>
    <w:p w14:paraId="7485F1F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1A08D7C" w14:textId="77777777" w:rsidR="00C2313B" w:rsidRPr="00F90EAE" w:rsidRDefault="00C2313B" w:rsidP="00F90EAE">
      <w:pPr>
        <w:autoSpaceDE w:val="0"/>
        <w:autoSpaceDN w:val="0"/>
        <w:adjustRightInd w:val="0"/>
        <w:jc w:val="both"/>
        <w:rPr>
          <w:iCs/>
          <w:color w:val="000000" w:themeColor="text1"/>
          <w:sz w:val="16"/>
          <w:szCs w:val="16"/>
        </w:rPr>
      </w:pPr>
    </w:p>
    <w:p w14:paraId="1760B8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5 ян</w:t>
      </w:r>
      <w:r w:rsidRPr="00F90EAE">
        <w:rPr>
          <w:color w:val="000000" w:themeColor="text1"/>
          <w:sz w:val="16"/>
          <w:szCs w:val="16"/>
        </w:rPr>
        <w:softHyphen/>
        <w:t>варя 1945 г. закончили проектирование Ил-16, а 2 февраля вышел приказ НКАП о постройке на заводе № 30 в Москве трех опытных экземпляров. Пер-выи из них использовали для проведе</w:t>
      </w:r>
      <w:r w:rsidRPr="00F90EAE">
        <w:rPr>
          <w:color w:val="000000" w:themeColor="text1"/>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F90EAE">
        <w:rPr>
          <w:color w:val="000000" w:themeColor="text1"/>
          <w:sz w:val="16"/>
          <w:szCs w:val="16"/>
        </w:rPr>
        <w:softHyphen/>
        <w:t>шить скоростные данные и маневрен</w:t>
      </w:r>
      <w:r w:rsidRPr="00F90EAE">
        <w:rPr>
          <w:color w:val="000000" w:themeColor="text1"/>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F90EAE">
        <w:rPr>
          <w:color w:val="000000" w:themeColor="text1"/>
          <w:sz w:val="16"/>
          <w:szCs w:val="16"/>
        </w:rPr>
        <w:softHyphen/>
        <w:t>шественнику, но меньше по размерам. Уменьшились размах и площадь крыла, а также длина фюзеляжа. Длина самоле</w:t>
      </w:r>
      <w:r w:rsidRPr="00F90EAE">
        <w:rPr>
          <w:color w:val="000000" w:themeColor="text1"/>
          <w:sz w:val="16"/>
          <w:szCs w:val="16"/>
        </w:rPr>
        <w:softHyphen/>
        <w:t>та составляла 10,19 м, размах крыла -12,5 м, площадь крыла - 24 м</w:t>
      </w:r>
      <w:r w:rsidRPr="00F90EAE">
        <w:rPr>
          <w:color w:val="000000" w:themeColor="text1"/>
          <w:sz w:val="16"/>
          <w:szCs w:val="16"/>
          <w:vertAlign w:val="superscript"/>
        </w:rPr>
        <w:t>2</w:t>
      </w:r>
      <w:r w:rsidRPr="00F90EAE">
        <w:rPr>
          <w:color w:val="000000" w:themeColor="text1"/>
          <w:sz w:val="16"/>
          <w:szCs w:val="16"/>
        </w:rPr>
        <w:t>. Стрело</w:t>
      </w:r>
      <w:r w:rsidRPr="00F90EAE">
        <w:rPr>
          <w:color w:val="000000" w:themeColor="text1"/>
          <w:sz w:val="16"/>
          <w:szCs w:val="16"/>
        </w:rPr>
        <w:softHyphen/>
        <w:t>видность крыла по передней кромке 65°. Предполагалось использовать четырех-лопастный винт диаметром 3,4 м. Экономия веса достигалась отчасти за счет изменения схемы бронирования. В верхней части капота площадь неза</w:t>
      </w:r>
      <w:r w:rsidRPr="00F90EAE">
        <w:rPr>
          <w:color w:val="000000" w:themeColor="text1"/>
          <w:sz w:val="16"/>
          <w:szCs w:val="16"/>
        </w:rPr>
        <w:softHyphen/>
        <w:t>бронированной части увеличили, а тол</w:t>
      </w:r>
      <w:r w:rsidRPr="00F90EAE">
        <w:rPr>
          <w:color w:val="000000" w:themeColor="text1"/>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F90EAE">
        <w:rPr>
          <w:color w:val="000000" w:themeColor="text1"/>
          <w:sz w:val="16"/>
          <w:szCs w:val="16"/>
        </w:rPr>
        <w:softHyphen/>
        <w:t>дов), двух пулеметов ШКАС (1400 патро</w:t>
      </w:r>
      <w:r w:rsidRPr="00F90EAE">
        <w:rPr>
          <w:color w:val="000000" w:themeColor="text1"/>
          <w:sz w:val="16"/>
          <w:szCs w:val="16"/>
        </w:rPr>
        <w:softHyphen/>
        <w:t>нов), оборонительной пушки УБ-20 (150 снарядов), 10 авиационных гранат АГ-2; нормальная бомбовая нагрузка неболь</w:t>
      </w:r>
      <w:r w:rsidRPr="00F90EAE">
        <w:rPr>
          <w:color w:val="000000" w:themeColor="text1"/>
          <w:sz w:val="16"/>
          <w:szCs w:val="16"/>
        </w:rPr>
        <w:softHyphen/>
        <w:t>шая - 200 кг (в перегрузку 400 кг). Бомбы размещались в двух центропланных бом-боотсеках по типу Ил-10. Позднее вес бомбовой нагрузки увеличили до 400 кг в нормальном и 500 кг в перегрузочном ва</w:t>
      </w:r>
      <w:r w:rsidRPr="00F90EAE">
        <w:rPr>
          <w:color w:val="000000" w:themeColor="text1"/>
          <w:sz w:val="16"/>
          <w:szCs w:val="16"/>
        </w:rPr>
        <w:softHyphen/>
        <w:t>рианте (10681).</w:t>
      </w:r>
    </w:p>
    <w:p w14:paraId="7493A4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17C8D4"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5 января 1945 г. проектирование Ил-16 закончили, а 6 февраля вышел при</w:t>
      </w:r>
      <w:r w:rsidRPr="00F90EAE">
        <w:rPr>
          <w:rFonts w:ascii="Times New Roman" w:hAnsi="Times New Roman" w:cs="Times New Roman"/>
          <w:color w:val="000000" w:themeColor="text1"/>
          <w:sz w:val="16"/>
          <w:szCs w:val="16"/>
        </w:rPr>
        <w:softHyphen/>
        <w:t>каз НКАП о постройке на заводе №30 в Москве трех опытных экземпляров. Вто</w:t>
      </w:r>
      <w:r w:rsidRPr="00F90EAE">
        <w:rPr>
          <w:rFonts w:ascii="Times New Roman" w:hAnsi="Times New Roman" w:cs="Times New Roman"/>
          <w:color w:val="000000" w:themeColor="text1"/>
          <w:sz w:val="16"/>
          <w:szCs w:val="16"/>
        </w:rPr>
        <w:softHyphen/>
        <w:t>рой экземпляр планировалось исполь</w:t>
      </w:r>
      <w:r w:rsidRPr="00F90EAE">
        <w:rPr>
          <w:rFonts w:ascii="Times New Roman" w:hAnsi="Times New Roman" w:cs="Times New Roman"/>
          <w:color w:val="000000" w:themeColor="text1"/>
          <w:sz w:val="16"/>
          <w:szCs w:val="16"/>
        </w:rPr>
        <w:softHyphen/>
        <w:t>зовать для проведения статических ис</w:t>
      </w:r>
      <w:r w:rsidRPr="00F90EAE">
        <w:rPr>
          <w:rFonts w:ascii="Times New Roman" w:hAnsi="Times New Roman" w:cs="Times New Roman"/>
          <w:color w:val="000000" w:themeColor="text1"/>
          <w:sz w:val="16"/>
          <w:szCs w:val="16"/>
        </w:rPr>
        <w:softHyphen/>
        <w:t>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w:t>
      </w:r>
      <w:r w:rsidRPr="00F90EAE">
        <w:rPr>
          <w:rFonts w:ascii="Times New Roman" w:hAnsi="Times New Roman" w:cs="Times New Roman"/>
          <w:color w:val="000000" w:themeColor="text1"/>
          <w:sz w:val="16"/>
          <w:szCs w:val="16"/>
        </w:rPr>
        <w:softHyphen/>
        <w:t>бы - 400 кг (500 кг в перегрузку). Мак</w:t>
      </w:r>
      <w:r w:rsidRPr="00F90EAE">
        <w:rPr>
          <w:rFonts w:ascii="Times New Roman" w:hAnsi="Times New Roman" w:cs="Times New Roman"/>
          <w:color w:val="000000" w:themeColor="text1"/>
          <w:sz w:val="16"/>
          <w:szCs w:val="16"/>
        </w:rPr>
        <w:softHyphen/>
        <w:t>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w:t>
      </w:r>
      <w:r w:rsidRPr="00F90EAE">
        <w:rPr>
          <w:rFonts w:ascii="Times New Roman" w:hAnsi="Times New Roman" w:cs="Times New Roman"/>
          <w:color w:val="000000" w:themeColor="text1"/>
          <w:sz w:val="16"/>
          <w:szCs w:val="16"/>
        </w:rPr>
        <w:softHyphen/>
        <w:t>навливался 15 июня 1945 г.</w:t>
      </w:r>
    </w:p>
    <w:p w14:paraId="2E806820"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схеме и компоновке Ил-16 был подобен Ил-10, но меньше по разме</w:t>
      </w:r>
      <w:r w:rsidRPr="00F90EAE">
        <w:rPr>
          <w:rFonts w:ascii="Times New Roman" w:hAnsi="Times New Roman" w:cs="Times New Roman"/>
          <w:color w:val="000000" w:themeColor="text1"/>
          <w:sz w:val="16"/>
          <w:szCs w:val="16"/>
        </w:rPr>
        <w:softHyphen/>
        <w:t>рам. Уменьшились размах и площадь крыла, а также длина фюзеляжа. Длина самолета составляла 10,19 м, размах крыла - 12,5 м, площадь крыла - 24 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Использовался четырехлопастный винт серии Ф-1 диаметром 3,4 м.</w:t>
      </w:r>
    </w:p>
    <w:p w14:paraId="0F2757D0"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Некоторая экономия веса достига</w:t>
      </w:r>
      <w:r w:rsidRPr="00F90EAE">
        <w:rPr>
          <w:rFonts w:ascii="Times New Roman" w:hAnsi="Times New Roman" w:cs="Times New Roman"/>
          <w:color w:val="000000" w:themeColor="text1"/>
          <w:sz w:val="16"/>
          <w:szCs w:val="16"/>
        </w:rPr>
        <w:softHyphen/>
        <w:t>лась и за счет изменения схемы брони</w:t>
      </w:r>
      <w:r w:rsidRPr="00F90EAE">
        <w:rPr>
          <w:rFonts w:ascii="Times New Roman" w:hAnsi="Times New Roman" w:cs="Times New Roman"/>
          <w:color w:val="000000" w:themeColor="text1"/>
          <w:sz w:val="16"/>
          <w:szCs w:val="16"/>
        </w:rPr>
        <w:softHyphen/>
        <w:t>рования. В верхней части капота пло</w:t>
      </w:r>
      <w:r w:rsidRPr="00F90EAE">
        <w:rPr>
          <w:rFonts w:ascii="Times New Roman" w:hAnsi="Times New Roman" w:cs="Times New Roman"/>
          <w:color w:val="000000" w:themeColor="text1"/>
          <w:sz w:val="16"/>
          <w:szCs w:val="16"/>
        </w:rPr>
        <w:softHyphen/>
        <w:t>щадь незабронированной части увели</w:t>
      </w:r>
      <w:r w:rsidRPr="00F90EAE">
        <w:rPr>
          <w:rFonts w:ascii="Times New Roman" w:hAnsi="Times New Roman" w:cs="Times New Roman"/>
          <w:color w:val="000000" w:themeColor="text1"/>
          <w:sz w:val="16"/>
          <w:szCs w:val="16"/>
        </w:rPr>
        <w:softHyphen/>
        <w:t>чили, а толщину боковых листов умень</w:t>
      </w:r>
      <w:r w:rsidRPr="00F90EAE">
        <w:rPr>
          <w:rFonts w:ascii="Times New Roman" w:hAnsi="Times New Roman" w:cs="Times New Roman"/>
          <w:color w:val="000000" w:themeColor="text1"/>
          <w:sz w:val="16"/>
          <w:szCs w:val="16"/>
        </w:rPr>
        <w:softHyphen/>
        <w:t>шили (17469).</w:t>
      </w:r>
    </w:p>
    <w:p w14:paraId="73608546"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8E5CFE8"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К 5 января 1945 года закончили Проектирование Ил-16, а 6 февраля вышел приказ НКАП о постройке на заводе № 30 в Москве трех опытных экземпляров.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0365CC54"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0018, по внутренней хорде элеронов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230, на конце крыла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4410. Использовался четырехлопастный винт серии Ф-1 диаметром 3,4 м.</w:t>
      </w:r>
    </w:p>
    <w:p w14:paraId="735C6C35"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3BB02836" w14:textId="77777777" w:rsidR="00AB5FFD" w:rsidRPr="00F90EAE" w:rsidRDefault="00AB5FFD" w:rsidP="00F90EAE">
      <w:pPr>
        <w:tabs>
          <w:tab w:val="left" w:pos="4217"/>
        </w:tabs>
        <w:jc w:val="both"/>
        <w:rPr>
          <w:rStyle w:val="107"/>
          <w:rFonts w:eastAsiaTheme="minorHAnsi"/>
          <w:color w:val="000000" w:themeColor="text1"/>
          <w:sz w:val="16"/>
          <w:szCs w:val="16"/>
        </w:rPr>
      </w:pPr>
    </w:p>
    <w:p w14:paraId="70037C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5 января 1945 г. в 1-й заб числились 45 Ил-10, в течение следую</w:t>
      </w:r>
      <w:r w:rsidRPr="00F90EAE">
        <w:rPr>
          <w:color w:val="000000" w:themeColor="text1"/>
          <w:sz w:val="16"/>
          <w:szCs w:val="16"/>
        </w:rPr>
        <w:softHyphen/>
        <w:t>щих двух недель поступило еще 65. В феврале пришли 83 машины, в марте -145, в апреле - 265 и в мае - 257 штур</w:t>
      </w:r>
      <w:r w:rsidRPr="00F90EAE">
        <w:rPr>
          <w:color w:val="000000" w:themeColor="text1"/>
          <w:sz w:val="16"/>
          <w:szCs w:val="16"/>
        </w:rPr>
        <w:softHyphen/>
        <w:t>мовиков. В общей сложности к 1 июля 1945 г. 1-я заб получила 1077 боевых Ил-10 и три учебно-тренировочных «де</w:t>
      </w:r>
      <w:r w:rsidRPr="00F90EAE">
        <w:rPr>
          <w:color w:val="000000" w:themeColor="text1"/>
          <w:sz w:val="16"/>
          <w:szCs w:val="16"/>
        </w:rPr>
        <w:softHyphen/>
        <w:t>сятки» (10681).</w:t>
      </w:r>
    </w:p>
    <w:p w14:paraId="50C48A43" w14:textId="77777777" w:rsidR="00C2313B" w:rsidRPr="00F90EAE" w:rsidRDefault="00C2313B" w:rsidP="00F90EAE">
      <w:pPr>
        <w:autoSpaceDE w:val="0"/>
        <w:autoSpaceDN w:val="0"/>
        <w:adjustRightInd w:val="0"/>
        <w:jc w:val="both"/>
        <w:rPr>
          <w:color w:val="000000" w:themeColor="text1"/>
          <w:sz w:val="16"/>
          <w:szCs w:val="16"/>
        </w:rPr>
      </w:pPr>
    </w:p>
    <w:p w14:paraId="1EF902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5 января 1945 г. за 1-й заб чис</w:t>
      </w:r>
      <w:r w:rsidRPr="00F90EAE">
        <w:rPr>
          <w:color w:val="000000" w:themeColor="text1"/>
          <w:sz w:val="16"/>
          <w:szCs w:val="16"/>
        </w:rPr>
        <w:softHyphen/>
        <w:t>лилось 45 Ил-10 АМ-42. В течение следующих двух недель в бригаду по</w:t>
      </w:r>
      <w:r w:rsidRPr="00F90EAE">
        <w:rPr>
          <w:color w:val="000000" w:themeColor="text1"/>
          <w:sz w:val="16"/>
          <w:szCs w:val="16"/>
        </w:rPr>
        <w:softHyphen/>
        <w:t>ступило еще 65 самолетов Ил-10. В феврале бригада получила 83 «Ила», в следующем месяце - 145 «десяток», в апреле - 265 и в мае - 257 самоле</w:t>
      </w:r>
      <w:r w:rsidRPr="00F90EAE">
        <w:rPr>
          <w:color w:val="000000" w:themeColor="text1"/>
          <w:sz w:val="16"/>
          <w:szCs w:val="16"/>
        </w:rPr>
        <w:softHyphen/>
        <w:t>тов Ил-10. В общей сложности к 1 июля 1945 г. 1-я заб получила 1077 самолетов Ил-10 и 3 учебно-трени</w:t>
      </w:r>
      <w:r w:rsidRPr="00F90EAE">
        <w:rPr>
          <w:color w:val="000000" w:themeColor="text1"/>
          <w:sz w:val="16"/>
          <w:szCs w:val="16"/>
        </w:rPr>
        <w:softHyphen/>
        <w:t>ровочные «десятки». Пока шло расследование и про</w:t>
      </w:r>
      <w:r w:rsidRPr="00F90EAE">
        <w:rPr>
          <w:color w:val="000000" w:themeColor="text1"/>
          <w:sz w:val="16"/>
          <w:szCs w:val="16"/>
        </w:rPr>
        <w:softHyphen/>
        <w:t>водились доработки самолета Ил-10, все полеты на штурмовике были за</w:t>
      </w:r>
      <w:r w:rsidRPr="00F90EAE">
        <w:rPr>
          <w:color w:val="000000" w:themeColor="text1"/>
          <w:sz w:val="16"/>
          <w:szCs w:val="16"/>
        </w:rPr>
        <w:softHyphen/>
        <w:t>прещены. Это нарушило планомер</w:t>
      </w:r>
      <w:r w:rsidRPr="00F90EAE">
        <w:rPr>
          <w:color w:val="000000" w:themeColor="text1"/>
          <w:sz w:val="16"/>
          <w:szCs w:val="16"/>
        </w:rPr>
        <w:softHyphen/>
        <w:t>ный ход подготовки инструкторско</w:t>
      </w:r>
      <w:r w:rsidRPr="00F90EAE">
        <w:rPr>
          <w:color w:val="000000" w:themeColor="text1"/>
          <w:sz w:val="16"/>
          <w:szCs w:val="16"/>
        </w:rPr>
        <w:softHyphen/>
        <w:t>го состава авиабригады к переучи</w:t>
      </w:r>
      <w:r w:rsidRPr="00F90EAE">
        <w:rPr>
          <w:color w:val="000000" w:themeColor="text1"/>
          <w:sz w:val="16"/>
          <w:szCs w:val="16"/>
        </w:rPr>
        <w:softHyphen/>
        <w:t>ванию маршевых полков. В полном соответствии с утвержденными пла</w:t>
      </w:r>
      <w:r w:rsidRPr="00F90EAE">
        <w:rPr>
          <w:color w:val="000000" w:themeColor="text1"/>
          <w:sz w:val="16"/>
          <w:szCs w:val="16"/>
        </w:rPr>
        <w:softHyphen/>
        <w:t>нами шла только «наземная» часть программы переучивания (11131).</w:t>
      </w:r>
    </w:p>
    <w:p w14:paraId="51E4EA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608823D"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На 5 января 1945 года за 1 заб числилось 45 Ил-10. В течение следующих двух недель в бригаду поступило еще 65 самолетов Ил-10. В феврале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1F7940C5"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09B67A8B"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3887EA15" w14:textId="77777777" w:rsidR="00AB5FFD" w:rsidRPr="00F90EAE" w:rsidRDefault="00AB5FFD" w:rsidP="00F90EAE">
      <w:pPr>
        <w:jc w:val="both"/>
        <w:rPr>
          <w:color w:val="000000" w:themeColor="text1"/>
          <w:sz w:val="16"/>
          <w:szCs w:val="16"/>
        </w:rPr>
      </w:pPr>
      <w:r w:rsidRPr="00F90EAE">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512BFB53" w14:textId="77777777" w:rsidR="00AB5FFD" w:rsidRPr="00F90EAE" w:rsidRDefault="00AB5FFD" w:rsidP="00F90EAE">
      <w:pPr>
        <w:jc w:val="both"/>
        <w:rPr>
          <w:color w:val="000000" w:themeColor="text1"/>
          <w:sz w:val="16"/>
          <w:szCs w:val="16"/>
        </w:rPr>
      </w:pPr>
    </w:p>
    <w:p w14:paraId="1F5574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января 1945 в одном экз. был отпечатан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w:t>
      </w:r>
    </w:p>
    <w:p w14:paraId="2C7161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Цель испытаний:</w:t>
      </w:r>
    </w:p>
    <w:p w14:paraId="14A552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Выявление ЛТ и боевых качеств самолета Як-9 У с ВК-107А в воздушных боях с истребителями и бомбардировщиками противника</w:t>
      </w:r>
    </w:p>
    <w:p w14:paraId="2553CD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Проверка эксплуатационных качеств и надежности работы самолета и ВМГ в массовой эксплуатации в боевых условиях на полевых аэродромах.</w:t>
      </w:r>
    </w:p>
    <w:p w14:paraId="1AFC02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Проверка надежности и безопасности работы вооружения и спецоборудования</w:t>
      </w:r>
    </w:p>
    <w:p w14:paraId="510320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На основе боевой эксплуатации самолета внести необходимые изменения и дополнения в инструкции по эксплуатации самолета (986,7).</w:t>
      </w:r>
    </w:p>
    <w:p w14:paraId="7FFAF08D" w14:textId="77777777" w:rsidR="00C2313B" w:rsidRPr="00F90EAE" w:rsidRDefault="00C2313B" w:rsidP="00F90EAE">
      <w:pPr>
        <w:autoSpaceDE w:val="0"/>
        <w:autoSpaceDN w:val="0"/>
        <w:adjustRightInd w:val="0"/>
        <w:jc w:val="both"/>
        <w:rPr>
          <w:color w:val="000000" w:themeColor="text1"/>
          <w:sz w:val="16"/>
          <w:szCs w:val="16"/>
        </w:rPr>
      </w:pPr>
    </w:p>
    <w:p w14:paraId="58EB55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5 по 12 января 1945 года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573ACD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5E52A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43994F92" w14:textId="77777777" w:rsidR="00C2313B" w:rsidRPr="00F90EAE" w:rsidRDefault="00C2313B" w:rsidP="00F90EAE">
      <w:pPr>
        <w:autoSpaceDE w:val="0"/>
        <w:autoSpaceDN w:val="0"/>
        <w:adjustRightInd w:val="0"/>
        <w:jc w:val="both"/>
        <w:rPr>
          <w:color w:val="000000" w:themeColor="text1"/>
          <w:sz w:val="16"/>
          <w:szCs w:val="16"/>
        </w:rPr>
      </w:pPr>
    </w:p>
    <w:p w14:paraId="6B8E61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января 1945 г. вышел приказ командующего 18-й ВА главного маршала авиации А.Е.Голованова:</w:t>
      </w:r>
    </w:p>
    <w:p w14:paraId="504B57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В целях улучшения обучения личного состава и руководства авиаполками Ер-2, приказываю:</w:t>
      </w:r>
    </w:p>
    <w:p w14:paraId="755E57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- 18 гв. бад перевооружить на Ер-2 в составе: 327, 329 и 332 бап на Ер-2 и 328 бап в качестве резервного, для чего:</w:t>
      </w:r>
    </w:p>
    <w:p w14:paraId="3F4498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327 бап исключить из состава 2 гвардейской бомбардировочной авиационной Севастопольской дивизии и ввести в состав 18 гв. бад. Аэродром базирования - Борисполь. Срок готовности к началу боевой работы - 15 апреля 1945 г.</w:t>
      </w:r>
    </w:p>
    <w:p w14:paraId="459081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329 бап 18 гв. бад передислоцировать в Умань. Срок готовности к началу боевой работы - 15 марта 1945 г.</w:t>
      </w:r>
    </w:p>
    <w:p w14:paraId="53D326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332 бап исключить из состава 13 гвардейской бомбардировочной авиационной Днепропетровской дивизии и ввести в состав 18 гв. бад. Срок готовности к началу боевой работы - 15 мая 1945 г.</w:t>
      </w:r>
    </w:p>
    <w:p w14:paraId="667B91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328 бап исключить из состава 7 гвардейской бомбардировочной авиационной Севастопольской дивизии и ввести в состав 18 гв. Бад как резервный. Аэродром базирования - Белая Церковь. Срок готовности к началу боевой работы - 1 июня 1945 г...</w:t>
      </w:r>
    </w:p>
    <w:p w14:paraId="2D9222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Управление 18гв. бад передислоцировать в Белую Церковь... " (3322,47).</w:t>
      </w:r>
    </w:p>
    <w:p w14:paraId="5A34F1A2" w14:textId="77777777" w:rsidR="00C2313B" w:rsidRPr="00F90EAE" w:rsidRDefault="00C2313B" w:rsidP="00F90EAE">
      <w:pPr>
        <w:autoSpaceDE w:val="0"/>
        <w:autoSpaceDN w:val="0"/>
        <w:adjustRightInd w:val="0"/>
        <w:jc w:val="both"/>
        <w:rPr>
          <w:color w:val="000000" w:themeColor="text1"/>
          <w:sz w:val="16"/>
          <w:szCs w:val="16"/>
        </w:rPr>
      </w:pPr>
    </w:p>
    <w:p w14:paraId="3C26A7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января 1945 года был подготовлен проект приказа:</w:t>
      </w:r>
    </w:p>
    <w:p w14:paraId="3204DA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Передать с 1 января 1944 года в систему НКМВ из НКАП бывш. 1-й московский весовой завод, ранее специализированный на выпуске литровых пурок (8957).</w:t>
      </w:r>
    </w:p>
    <w:p w14:paraId="7F4FC043" w14:textId="77777777" w:rsidR="00C2313B" w:rsidRPr="00F90EAE" w:rsidRDefault="00C2313B" w:rsidP="00F90EAE">
      <w:pPr>
        <w:autoSpaceDE w:val="0"/>
        <w:autoSpaceDN w:val="0"/>
        <w:adjustRightInd w:val="0"/>
        <w:jc w:val="both"/>
        <w:rPr>
          <w:color w:val="000000" w:themeColor="text1"/>
          <w:sz w:val="16"/>
          <w:szCs w:val="16"/>
        </w:rPr>
      </w:pPr>
    </w:p>
    <w:p w14:paraId="318FC8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мая 1945 года по приказу НКАП № 193с на заводе № 478 в Запорожье было положено начало организации ОКБ, на которое возлагались функции внедрения в серийное производство авиамоторов М-88б и создание новых и модифицированных моторов. Начальником ОКБ был назначен Ивченко А.Г.</w:t>
      </w:r>
    </w:p>
    <w:p w14:paraId="74098B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Выпиской из приказа МАП № 25сс от 23 января 1947 года завод № 478 обязывался приступить к подготовке и выпуску в серийном производстве авиамоторов М11-ФР, прекратив производство мотоциклетного мотора М-72.</w:t>
      </w:r>
    </w:p>
    <w:p w14:paraId="2D477D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8 мая 1947 года – директор Шубин И.М.</w:t>
      </w:r>
    </w:p>
    <w:p w14:paraId="2AB76C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УССР, Запорожье, пл. им. Шевченко</w:t>
      </w:r>
    </w:p>
    <w:p w14:paraId="59D118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1947 года завод приступил к подготовке производства по запуску в серийные цехи вертолетных моторов воздушного охлаждения конструкции ОКБ завода АИ-26ГРФ, успешно прошедшего госиспытания в 1947 году.</w:t>
      </w:r>
    </w:p>
    <w:p w14:paraId="45B0E5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основании Постановления СМ от 7 сентября 1948 года № 3761-1349сс завод обязывался организовать серийное производство по выпуску реактивных двигателей конструкции Микулина (9612).</w:t>
      </w:r>
    </w:p>
    <w:p w14:paraId="2E5F9ECF" w14:textId="77777777" w:rsidR="00C2313B" w:rsidRPr="00F90EAE" w:rsidRDefault="00C2313B" w:rsidP="00F90EAE">
      <w:pPr>
        <w:autoSpaceDE w:val="0"/>
        <w:autoSpaceDN w:val="0"/>
        <w:adjustRightInd w:val="0"/>
        <w:jc w:val="both"/>
        <w:rPr>
          <w:color w:val="000000" w:themeColor="text1"/>
          <w:sz w:val="16"/>
          <w:szCs w:val="16"/>
        </w:rPr>
      </w:pPr>
    </w:p>
    <w:p w14:paraId="255C34D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D647E3D" w14:textId="77777777" w:rsidR="00C2313B" w:rsidRPr="00F90EAE" w:rsidRDefault="00C2313B" w:rsidP="00F90EAE">
      <w:pPr>
        <w:autoSpaceDE w:val="0"/>
        <w:autoSpaceDN w:val="0"/>
        <w:adjustRightInd w:val="0"/>
        <w:jc w:val="both"/>
        <w:rPr>
          <w:iCs/>
          <w:color w:val="000000" w:themeColor="text1"/>
          <w:sz w:val="16"/>
          <w:szCs w:val="16"/>
        </w:rPr>
      </w:pPr>
    </w:p>
    <w:p w14:paraId="734BCB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января 1945 г. был подготовлен ПЛАН РАБОТ 8-го ОТДЕЛА ТАНКОВОГО УПРАВЛЕНИЯ ГБТУ КА НА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1985"/>
        <w:gridCol w:w="3983"/>
        <w:gridCol w:w="2260"/>
        <w:gridCol w:w="1411"/>
      </w:tblGrid>
      <w:tr w:rsidR="00561F31" w:rsidRPr="00F90EAE" w14:paraId="1CA70F16"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3DC4B9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Содержание предложения</w:t>
            </w:r>
          </w:p>
          <w:p w14:paraId="3EF9FA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6FEC3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Содержание работ</w:t>
            </w:r>
          </w:p>
          <w:p w14:paraId="469DC4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D9605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Срок исполнения</w:t>
            </w:r>
          </w:p>
          <w:p w14:paraId="6F6ABB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CA373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Ответственный исполните»</w:t>
            </w:r>
          </w:p>
          <w:p w14:paraId="55A100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A2BCCF7"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4FFA75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Фарафо-нова - "Ротационный ради</w:t>
            </w:r>
            <w:r w:rsidRPr="00F90EAE">
              <w:rPr>
                <w:color w:val="000000" w:themeColor="text1"/>
                <w:sz w:val="16"/>
                <w:szCs w:val="16"/>
              </w:rPr>
              <w:softHyphen/>
              <w:t>атор"</w:t>
            </w:r>
          </w:p>
          <w:p w14:paraId="566AD2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5B237F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Выезд на Коломенский завод с целью проверки состояния работ и согласования отдельных вопросов по техническому проекту ротационного радиатора.</w:t>
            </w:r>
          </w:p>
          <w:p w14:paraId="7BD62F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62D77C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15-20.01.1945 г. (выполнено)</w:t>
            </w:r>
          </w:p>
          <w:p w14:paraId="7FD333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47DBB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Фролов</w:t>
            </w:r>
          </w:p>
          <w:p w14:paraId="468011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159660F"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3D62F0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Размахом -"Автосцепка для танка Т-34"</w:t>
            </w:r>
          </w:p>
          <w:p w14:paraId="17AE77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B2AD3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Добиться переработки чертежей на НИБТ полигоне, б) Добиться решения в УБТРЗ на изготовление опытной партии.</w:t>
            </w:r>
          </w:p>
          <w:p w14:paraId="550DF2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32529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10.01.1945 г. (выполнено) 15.01.1945 г. (не выполнено)</w:t>
            </w:r>
          </w:p>
          <w:p w14:paraId="13C456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6E3A74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Донской Донской</w:t>
            </w:r>
          </w:p>
          <w:p w14:paraId="539A4B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4F9EEE1"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3DAD2E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Калашни</w:t>
            </w:r>
            <w:r w:rsidRPr="00F90EAE">
              <w:rPr>
                <w:color w:val="000000" w:themeColor="text1"/>
                <w:sz w:val="16"/>
                <w:szCs w:val="16"/>
              </w:rPr>
              <w:softHyphen/>
              <w:t>кова - "Моточасы"</w:t>
            </w:r>
          </w:p>
          <w:p w14:paraId="37E5A6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03AFB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Добиться в НКТП распоряжения на изготовление опытной партии моточасов.</w:t>
            </w:r>
          </w:p>
          <w:p w14:paraId="71C1D4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F371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10.01.1945 г. (дело прекращено)</w:t>
            </w:r>
          </w:p>
          <w:p w14:paraId="1D5B9A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5E4834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Гончаров</w:t>
            </w:r>
          </w:p>
          <w:p w14:paraId="132386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1FC9288" w14:textId="77777777">
        <w:trPr>
          <w:trHeight w:val="365"/>
        </w:trPr>
        <w:tc>
          <w:tcPr>
            <w:tcW w:w="1985" w:type="dxa"/>
            <w:tcBorders>
              <w:top w:val="single" w:sz="6" w:space="0" w:color="auto"/>
              <w:left w:val="single" w:sz="6" w:space="0" w:color="auto"/>
              <w:bottom w:val="single" w:sz="6" w:space="0" w:color="auto"/>
              <w:right w:val="single" w:sz="6" w:space="0" w:color="auto"/>
            </w:tcBorders>
          </w:tcPr>
          <w:p w14:paraId="134E0D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Рудина -Турбофильтр"</w:t>
            </w:r>
          </w:p>
          <w:p w14:paraId="34713F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7AAAF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Добиться распоряжения в НКТП об изготовлении опытного образца на заводе №37.</w:t>
            </w:r>
          </w:p>
          <w:p w14:paraId="6A0CB2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41A06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15.01.1945 г. (решения еще нет)</w:t>
            </w:r>
          </w:p>
          <w:p w14:paraId="7588D7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1DB066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Донской</w:t>
            </w:r>
          </w:p>
          <w:p w14:paraId="134B7C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B08BA25"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618E56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Архипова -"Перевод карбюраторных двигателей на дизельное топливо".</w:t>
            </w:r>
          </w:p>
          <w:p w14:paraId="2C9E35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4C7964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за изготовлением опытного образца приспособлений наБТРЗ№2.</w:t>
            </w:r>
          </w:p>
          <w:p w14:paraId="68237C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47A5D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.02.1945 г. (дано задание НИБТ полигону, срок 30.02.1945 г.)</w:t>
            </w:r>
          </w:p>
          <w:p w14:paraId="556AF6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03841F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Гончаров</w:t>
            </w:r>
          </w:p>
          <w:p w14:paraId="7EAF02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7DBFF9D" w14:textId="77777777">
        <w:trPr>
          <w:trHeight w:val="701"/>
        </w:trPr>
        <w:tc>
          <w:tcPr>
            <w:tcW w:w="1985" w:type="dxa"/>
            <w:tcBorders>
              <w:top w:val="single" w:sz="6" w:space="0" w:color="auto"/>
              <w:left w:val="single" w:sz="6" w:space="0" w:color="auto"/>
              <w:bottom w:val="single" w:sz="6" w:space="0" w:color="auto"/>
              <w:right w:val="single" w:sz="6" w:space="0" w:color="auto"/>
            </w:tcBorders>
          </w:tcPr>
          <w:p w14:paraId="38D9DA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т. Долина -"Механический привод к контроллеру поворота баш</w:t>
            </w:r>
            <w:r w:rsidRPr="00F90EAE">
              <w:rPr>
                <w:color w:val="000000" w:themeColor="text1"/>
                <w:sz w:val="16"/>
                <w:szCs w:val="16"/>
              </w:rPr>
              <w:softHyphen/>
              <w:t>ни Т-34-85".</w:t>
            </w:r>
          </w:p>
          <w:p w14:paraId="18AC07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ABAAD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отчета испытаний опытного образца на НИБТ полигоне принять решение о целесообразности установки этого привода на серийные танки Т-34-85.</w:t>
            </w:r>
          </w:p>
          <w:p w14:paraId="06B042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330578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6.01.1945 г. (выполнено, результаты неудовлетворительные)</w:t>
            </w:r>
          </w:p>
          <w:p w14:paraId="73E3723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77A173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Донской</w:t>
            </w:r>
          </w:p>
        </w:tc>
      </w:tr>
      <w:tr w:rsidR="00561F31" w:rsidRPr="00F90EAE" w14:paraId="12E88314" w14:textId="77777777">
        <w:trPr>
          <w:trHeight w:val="547"/>
        </w:trPr>
        <w:tc>
          <w:tcPr>
            <w:tcW w:w="1985" w:type="dxa"/>
            <w:tcBorders>
              <w:top w:val="single" w:sz="6" w:space="0" w:color="auto"/>
              <w:left w:val="single" w:sz="6" w:space="0" w:color="auto"/>
              <w:bottom w:val="single" w:sz="6" w:space="0" w:color="auto"/>
              <w:right w:val="single" w:sz="6" w:space="0" w:color="auto"/>
            </w:tcBorders>
          </w:tcPr>
          <w:p w14:paraId="1DE9CD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 Танковый сигнальный прибор".</w:t>
            </w:r>
          </w:p>
          <w:p w14:paraId="2D7C97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FDDAB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Добиться получения отчета по испытаниям с полигона и вынести решение о целесообразности применения этих приборов на танках.</w:t>
            </w:r>
          </w:p>
          <w:p w14:paraId="15FADB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3CDD2A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15.01.1945 г. (выполнено, результаты неудовлетворительные)</w:t>
            </w:r>
          </w:p>
          <w:p w14:paraId="1A184D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315A78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Фролов</w:t>
            </w:r>
          </w:p>
          <w:p w14:paraId="76E038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70B02A8" w14:textId="77777777">
        <w:trPr>
          <w:trHeight w:val="538"/>
        </w:trPr>
        <w:tc>
          <w:tcPr>
            <w:tcW w:w="1985" w:type="dxa"/>
            <w:tcBorders>
              <w:top w:val="single" w:sz="6" w:space="0" w:color="auto"/>
              <w:left w:val="single" w:sz="6" w:space="0" w:color="auto"/>
              <w:bottom w:val="single" w:sz="6" w:space="0" w:color="auto"/>
              <w:right w:val="single" w:sz="6" w:space="0" w:color="auto"/>
            </w:tcBorders>
          </w:tcPr>
          <w:p w14:paraId="7CF957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Приказ командующего БГ и МВ КА по изобретатель</w:t>
            </w:r>
            <w:r w:rsidRPr="00F90EAE">
              <w:rPr>
                <w:color w:val="000000" w:themeColor="text1"/>
                <w:sz w:val="16"/>
                <w:szCs w:val="16"/>
              </w:rPr>
              <w:softHyphen/>
              <w:t>ской работе.</w:t>
            </w:r>
          </w:p>
          <w:p w14:paraId="04B0F7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140550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Подготовить проект приказа по изобретательской работе в ВТ иМВКА.</w:t>
            </w:r>
          </w:p>
          <w:p w14:paraId="2AE5A2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46A4CC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10.01.1945 г. (не выполнено)</w:t>
            </w:r>
          </w:p>
          <w:p w14:paraId="3B566A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7D3239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Фролов</w:t>
            </w:r>
          </w:p>
          <w:p w14:paraId="0AC733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3811CC7" w14:textId="77777777">
        <w:trPr>
          <w:trHeight w:val="442"/>
        </w:trPr>
        <w:tc>
          <w:tcPr>
            <w:tcW w:w="1985" w:type="dxa"/>
            <w:tcBorders>
              <w:top w:val="single" w:sz="6" w:space="0" w:color="auto"/>
              <w:left w:val="single" w:sz="6" w:space="0" w:color="auto"/>
              <w:bottom w:val="single" w:sz="6" w:space="0" w:color="auto"/>
              <w:right w:val="single" w:sz="6" w:space="0" w:color="auto"/>
            </w:tcBorders>
          </w:tcPr>
          <w:p w14:paraId="1C71A8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Ожидающие предложения.</w:t>
            </w:r>
          </w:p>
          <w:p w14:paraId="4F5AC6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688630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Просмотреть все ожидающие предложения, принять меры по запросу материалов от авторов.</w:t>
            </w:r>
          </w:p>
          <w:p w14:paraId="7EFF66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26FB12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15.01.1945 г. 25.01. 1945 г. (выполнено)</w:t>
            </w:r>
          </w:p>
          <w:p w14:paraId="090E57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nil"/>
            </w:tcBorders>
          </w:tcPr>
          <w:p w14:paraId="062CDB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Весь личный сост.</w:t>
            </w:r>
          </w:p>
          <w:p w14:paraId="01F01C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1CAB02A" w14:textId="77777777">
        <w:trPr>
          <w:trHeight w:val="528"/>
        </w:trPr>
        <w:tc>
          <w:tcPr>
            <w:tcW w:w="1985" w:type="dxa"/>
            <w:tcBorders>
              <w:top w:val="single" w:sz="6" w:space="0" w:color="auto"/>
              <w:left w:val="single" w:sz="6" w:space="0" w:color="auto"/>
              <w:bottom w:val="single" w:sz="6" w:space="0" w:color="auto"/>
              <w:right w:val="single" w:sz="6" w:space="0" w:color="auto"/>
            </w:tcBorders>
          </w:tcPr>
          <w:p w14:paraId="3B3A01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Предложения, находящие</w:t>
            </w:r>
            <w:r w:rsidRPr="00F90EAE">
              <w:rPr>
                <w:color w:val="000000" w:themeColor="text1"/>
                <w:sz w:val="16"/>
                <w:szCs w:val="16"/>
              </w:rPr>
              <w:softHyphen/>
              <w:t>ся на заключении.</w:t>
            </w:r>
          </w:p>
          <w:p w14:paraId="3B63B1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7A8ECD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Просмотреть все предложения, находящиеся на заключении в других организациях, и послать напоминания об ускорении рассмотрения предложений.</w:t>
            </w:r>
          </w:p>
          <w:p w14:paraId="535E316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5F9B5F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10.01.1945 г. 25.01.1945 г. (выполнено)</w:t>
            </w:r>
          </w:p>
          <w:p w14:paraId="66BC7A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7B8BF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Весь личный состав</w:t>
            </w:r>
          </w:p>
          <w:p w14:paraId="359BB7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227CDA9" w14:textId="77777777">
        <w:trPr>
          <w:trHeight w:val="374"/>
        </w:trPr>
        <w:tc>
          <w:tcPr>
            <w:tcW w:w="1985" w:type="dxa"/>
            <w:tcBorders>
              <w:top w:val="single" w:sz="6" w:space="0" w:color="auto"/>
              <w:left w:val="single" w:sz="6" w:space="0" w:color="auto"/>
              <w:bottom w:val="single" w:sz="6" w:space="0" w:color="auto"/>
              <w:right w:val="single" w:sz="6" w:space="0" w:color="auto"/>
            </w:tcBorders>
          </w:tcPr>
          <w:p w14:paraId="47D4FC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Вновь поступающие пред</w:t>
            </w:r>
            <w:r w:rsidRPr="00F90EAE">
              <w:rPr>
                <w:color w:val="000000" w:themeColor="text1"/>
                <w:sz w:val="16"/>
                <w:szCs w:val="16"/>
              </w:rPr>
              <w:softHyphen/>
              <w:t>ложения.</w:t>
            </w:r>
          </w:p>
          <w:p w14:paraId="50E57C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0EDE7C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Рассматривать предложения в сроки, не превышающие 5 дней.</w:t>
            </w:r>
          </w:p>
          <w:p w14:paraId="085A1A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03B2CE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(выполнено)</w:t>
            </w:r>
          </w:p>
          <w:p w14:paraId="7DB0DC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51874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64863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32012DB" w14:textId="77777777">
        <w:trPr>
          <w:trHeight w:val="403"/>
        </w:trPr>
        <w:tc>
          <w:tcPr>
            <w:tcW w:w="1985" w:type="dxa"/>
            <w:tcBorders>
              <w:top w:val="single" w:sz="6" w:space="0" w:color="auto"/>
              <w:left w:val="single" w:sz="6" w:space="0" w:color="auto"/>
              <w:bottom w:val="single" w:sz="6" w:space="0" w:color="auto"/>
              <w:right w:val="single" w:sz="6" w:space="0" w:color="auto"/>
            </w:tcBorders>
          </w:tcPr>
          <w:p w14:paraId="7C09B1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Годовой отчет по изобре</w:t>
            </w:r>
            <w:r w:rsidRPr="00F90EAE">
              <w:rPr>
                <w:color w:val="000000" w:themeColor="text1"/>
                <w:sz w:val="16"/>
                <w:szCs w:val="16"/>
              </w:rPr>
              <w:softHyphen/>
              <w:t>тательской работе отдела.</w:t>
            </w:r>
          </w:p>
          <w:p w14:paraId="1AEA4A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983" w:type="dxa"/>
            <w:tcBorders>
              <w:top w:val="single" w:sz="6" w:space="0" w:color="auto"/>
              <w:left w:val="single" w:sz="6" w:space="0" w:color="auto"/>
              <w:bottom w:val="single" w:sz="6" w:space="0" w:color="auto"/>
              <w:right w:val="single" w:sz="6" w:space="0" w:color="auto"/>
            </w:tcBorders>
          </w:tcPr>
          <w:p w14:paraId="292B49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Составить годовой отчет о работе отдела и представить на утверждение.</w:t>
            </w:r>
          </w:p>
          <w:p w14:paraId="7CB0A2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260" w:type="dxa"/>
            <w:tcBorders>
              <w:top w:val="single" w:sz="6" w:space="0" w:color="auto"/>
              <w:left w:val="single" w:sz="6" w:space="0" w:color="auto"/>
              <w:bottom w:val="single" w:sz="6" w:space="0" w:color="auto"/>
              <w:right w:val="single" w:sz="6" w:space="0" w:color="auto"/>
            </w:tcBorders>
          </w:tcPr>
          <w:p w14:paraId="1F6815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20.01 .1945 г. (выполнено частично)</w:t>
            </w:r>
          </w:p>
          <w:p w14:paraId="76FF46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A3395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Фролов</w:t>
            </w:r>
          </w:p>
          <w:p w14:paraId="67F813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70802D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8 отдела ТУ ГБТУ КА инженер-подполковник Фролов</w:t>
      </w:r>
    </w:p>
    <w:p w14:paraId="005129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11350. Д. 2170. Л. 10- 11. Подлинник (11420).</w:t>
      </w:r>
    </w:p>
    <w:p w14:paraId="44C347FD" w14:textId="77777777" w:rsidR="00C2313B" w:rsidRPr="00F90EAE" w:rsidRDefault="00C2313B" w:rsidP="00F90EAE">
      <w:pPr>
        <w:autoSpaceDE w:val="0"/>
        <w:autoSpaceDN w:val="0"/>
        <w:adjustRightInd w:val="0"/>
        <w:jc w:val="both"/>
        <w:rPr>
          <w:color w:val="000000" w:themeColor="text1"/>
          <w:sz w:val="16"/>
          <w:szCs w:val="16"/>
        </w:rPr>
      </w:pPr>
    </w:p>
    <w:p w14:paraId="12AD804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51F74C5" w14:textId="77777777" w:rsidR="00C2313B" w:rsidRPr="00F90EAE" w:rsidRDefault="00C2313B" w:rsidP="00F90EAE">
      <w:pPr>
        <w:autoSpaceDE w:val="0"/>
        <w:autoSpaceDN w:val="0"/>
        <w:adjustRightInd w:val="0"/>
        <w:jc w:val="both"/>
        <w:rPr>
          <w:iCs/>
          <w:color w:val="000000" w:themeColor="text1"/>
          <w:sz w:val="16"/>
          <w:szCs w:val="16"/>
        </w:rPr>
      </w:pPr>
    </w:p>
    <w:p w14:paraId="42CF73E5" w14:textId="77777777" w:rsidR="003E545E" w:rsidRPr="00F90EAE" w:rsidRDefault="003E545E" w:rsidP="00F90EAE">
      <w:pPr>
        <w:jc w:val="both"/>
        <w:rPr>
          <w:color w:val="000000" w:themeColor="text1"/>
          <w:sz w:val="16"/>
          <w:szCs w:val="16"/>
        </w:rPr>
      </w:pPr>
      <w:r w:rsidRPr="00F90EAE">
        <w:rPr>
          <w:bCs/>
          <w:color w:val="000000" w:themeColor="text1"/>
          <w:sz w:val="16"/>
          <w:szCs w:val="16"/>
        </w:rPr>
        <w:t>5 января</w:t>
      </w:r>
      <w:r w:rsidRPr="00F90EAE">
        <w:rPr>
          <w:color w:val="000000" w:themeColor="text1"/>
          <w:sz w:val="16"/>
          <w:szCs w:val="16"/>
        </w:rPr>
        <w:t xml:space="preserve"> в 1945 году оперативная сводка Совинформбюро:</w:t>
      </w:r>
    </w:p>
    <w:p w14:paraId="2B9DF93A" w14:textId="77777777" w:rsidR="003E545E" w:rsidRPr="00F90EAE" w:rsidRDefault="003E545E" w:rsidP="00F90EAE">
      <w:pPr>
        <w:jc w:val="both"/>
        <w:rPr>
          <w:color w:val="000000" w:themeColor="text1"/>
          <w:sz w:val="16"/>
          <w:szCs w:val="16"/>
        </w:rPr>
      </w:pPr>
      <w:r w:rsidRPr="00F90EAE">
        <w:rPr>
          <w:color w:val="000000" w:themeColor="text1"/>
          <w:sz w:val="16"/>
          <w:szCs w:val="16"/>
        </w:rPr>
        <w:t>«В течение 5 января в районе Будапешта наши войска вели бои по уничтожению окружённой в городе группировки противника и заняли 233 квартала. В ходе уличных боёв 4 января наши войска взяли в плен 2.400 немецких и венгерских солдат и офицеров.</w:t>
      </w:r>
    </w:p>
    <w:p w14:paraId="666EE229" w14:textId="77777777" w:rsidR="003E545E" w:rsidRPr="00F90EAE" w:rsidRDefault="003E545E" w:rsidP="00F90EAE">
      <w:pPr>
        <w:jc w:val="both"/>
        <w:rPr>
          <w:color w:val="000000" w:themeColor="text1"/>
          <w:sz w:val="16"/>
          <w:szCs w:val="16"/>
        </w:rPr>
      </w:pPr>
      <w:r w:rsidRPr="00F90EAE">
        <w:rPr>
          <w:color w:val="000000" w:themeColor="text1"/>
          <w:sz w:val="16"/>
          <w:szCs w:val="16"/>
        </w:rPr>
        <w:t>Северо-западнее Будапешта наши войска успешно отбили ряд сильных атак пехоты и танков противника, пытавшегося пробиться к Будапешту. В боях за 4 января в этом районе наши войска подбили и уничтожили 51 немецкий танк. В воздушных боях и огнём зенитной артиллерии в районе северо-западнее Будапешта сбито 29 самолётов противника.</w:t>
      </w:r>
    </w:p>
    <w:p w14:paraId="46E732A9"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E8F4939"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ликвидации окруженной группировки немецких войск. Советские части, преодолевая сопротивление противника, очищают от гитлеровцев один квартал за другим. По сообщениям пленных, немецкое командование в специальном приказе объявило, что если солдат самовольно оставит свои позиции или сдастся в плен, то вся его семья будет расстреляна.</w:t>
      </w:r>
    </w:p>
    <w:p w14:paraId="49F8E2A7" w14:textId="77777777" w:rsidR="003E545E" w:rsidRPr="00F90EAE" w:rsidRDefault="003E545E" w:rsidP="00F90EAE">
      <w:pPr>
        <w:jc w:val="both"/>
        <w:rPr>
          <w:color w:val="000000" w:themeColor="text1"/>
          <w:sz w:val="16"/>
          <w:szCs w:val="16"/>
        </w:rPr>
      </w:pPr>
      <w:r w:rsidRPr="00F90EAE">
        <w:rPr>
          <w:color w:val="000000" w:themeColor="text1"/>
          <w:sz w:val="16"/>
          <w:szCs w:val="16"/>
        </w:rPr>
        <w:t>Упорные бои сегодня происходили в районе ипподрома. Наши отряды ночью ворвались на ипподром, который немцы использовали как посадочную площадку для транспортных самолётов. Противник, пытаясь восстановить положение, предпринял несколько сильных контратак, но успеха не добился. На месте боя осталось более 300 вражеских трупов и 4 сгоревших немецких танка. На другом участке наши гвардейские подразделения атаковали гитлеровцев и выбили 'их из ряда кварталов. Гвардейцы захватали 8 орудий, 26 пулемётов, 5 миномётов, 11 противотанковых ружей, много боеприпасов и 260 пленных. Продвигаясь вперёд, взвод лейтенанта Садкова встретил сильное огневое сопротивление противника. Немцы установили в одном доме орудие и пулемёты и преградили путь нашим бойцам. Тов. Садков дворами пробрался к вражескому орудию и неожиданно напал на гитлеровцев с тыла. Огнём из автомата он уничтожил немецких артиллеристов. Бойцы взвода стремительно ворвались в дом и истребили несколько десятков гитлеровцев. В другом квартале офицер Митяев огнем из противотанкового ружья сжёг немецкий танк и тем самым расчистил путь советской пехоте.</w:t>
      </w:r>
    </w:p>
    <w:p w14:paraId="6C1BFD6D" w14:textId="77777777" w:rsidR="003E545E" w:rsidRPr="00F90EAE" w:rsidRDefault="003E545E" w:rsidP="00F90EAE">
      <w:pPr>
        <w:jc w:val="both"/>
        <w:rPr>
          <w:color w:val="000000" w:themeColor="text1"/>
          <w:sz w:val="16"/>
          <w:szCs w:val="16"/>
        </w:rPr>
      </w:pPr>
      <w:r w:rsidRPr="00F90EAE">
        <w:rPr>
          <w:color w:val="000000" w:themeColor="text1"/>
          <w:sz w:val="16"/>
          <w:szCs w:val="16"/>
        </w:rPr>
        <w:t>Северо-западнее Будапешта немцы силами танков и пехоты пытались пробиться на соединение со своими войсками, окруженными в венгерской столице. Противник группами в 25—30 танков неоднократно переходил в атаки. Не добившись успеха на одном участке, немцы атакуют в другом районе, пытаясь найти слабое звено в советской обороне. Всего в атаках участвовало до трёхсот танков противника. Наши пехотинцы, артиллеристы и танкисты успешно отбили вражеские атаки. Отдельные группы танков и пехоты противника, прорвавшиеся в расположение советских частей, окружены и уничтожены. По предварительным данным, за день истреблено более 3 тысяч гитлеровцев. Взято в плен 514 немецких солдат и офицеров. Среди пленных имеются солдаты танковой дивизии СС «Викинг» и танковой дивизии СС «Мёртвая голова», недавно переброшенных немцами на этот участок фронта.</w:t>
      </w:r>
    </w:p>
    <w:p w14:paraId="08D639DC" w14:textId="77777777" w:rsidR="003E545E" w:rsidRPr="00F90EAE" w:rsidRDefault="003E545E" w:rsidP="00F90EAE">
      <w:pPr>
        <w:jc w:val="both"/>
        <w:rPr>
          <w:color w:val="000000" w:themeColor="text1"/>
          <w:sz w:val="16"/>
          <w:szCs w:val="16"/>
        </w:rPr>
      </w:pPr>
      <w:r w:rsidRPr="00F90EAE">
        <w:rPr>
          <w:color w:val="000000" w:themeColor="text1"/>
          <w:sz w:val="16"/>
          <w:szCs w:val="16"/>
        </w:rPr>
        <w:t>Наша авиация, поддерживая действия наземных войск, бомбово-штурмовыми ударами уничтожала живую силу и технику противника. Разбито несколько танков и 120 автомашин с пехотой и грузами, подавлен огонь десяти артиллерийских и миномётных батарей, а также создано много очагов пожаров в расположении войск противника.</w:t>
      </w:r>
    </w:p>
    <w:p w14:paraId="1D7658C2" w14:textId="77777777" w:rsidR="003E545E" w:rsidRPr="00F90EAE" w:rsidRDefault="003E545E" w:rsidP="00F90EAE">
      <w:pPr>
        <w:jc w:val="both"/>
        <w:rPr>
          <w:color w:val="000000" w:themeColor="text1"/>
          <w:sz w:val="16"/>
          <w:szCs w:val="16"/>
        </w:rPr>
      </w:pPr>
      <w:r w:rsidRPr="00F90EAE">
        <w:rPr>
          <w:color w:val="000000" w:themeColor="text1"/>
          <w:sz w:val="16"/>
          <w:szCs w:val="16"/>
        </w:rPr>
        <w:t>Юго-западнее города Иелгава (Митава) действовали наши разведывательные группы. Советские бойцы ночью пробрались в расположение противника, перебили несколько десятков гитлеровцев и захватили 9 пленных. На другом участке рота немецкой пехоты пыталась приблизиться к советским позициям, но была рассеяна ружейно-пулеметным огнём боевого охранения. На подступах к нашему переднему краю осталось 26 вражеских трупов.</w:t>
      </w:r>
    </w:p>
    <w:p w14:paraId="6037C7EB" w14:textId="77777777" w:rsidR="003E545E" w:rsidRPr="00F90EAE" w:rsidRDefault="003E545E" w:rsidP="00F90EAE">
      <w:pPr>
        <w:jc w:val="both"/>
        <w:rPr>
          <w:color w:val="000000" w:themeColor="text1"/>
          <w:sz w:val="16"/>
          <w:szCs w:val="16"/>
        </w:rPr>
      </w:pPr>
      <w:r w:rsidRPr="00F90EAE">
        <w:rPr>
          <w:color w:val="000000" w:themeColor="text1"/>
          <w:sz w:val="16"/>
          <w:szCs w:val="16"/>
        </w:rPr>
        <w:lastRenderedPageBreak/>
        <w:t>Перешедший на сторону Красной Армии солдат немецкой бригады «Дирлевангер» Билли Фегнер рассказал: «Летом я был в концлагере в Саксенгаузене, где отбывал наказание. В то время в лагере находились десятки тысяч заключённых. Среди них было 6 тысяч немцев, остальные — русские, французы, англичане, поляки, чехи, югославы и другие. Ежедневно эсэсовцы истребляли сотни заключенных, но лагерь всегда был переполнен, так как непрерывно прибывали новые партии».</w:t>
      </w:r>
    </w:p>
    <w:p w14:paraId="56FD5A1C" w14:textId="77777777" w:rsidR="003E545E" w:rsidRPr="00F90EAE" w:rsidRDefault="003E545E" w:rsidP="00F90EAE">
      <w:pPr>
        <w:jc w:val="both"/>
        <w:rPr>
          <w:color w:val="000000" w:themeColor="text1"/>
          <w:sz w:val="16"/>
          <w:szCs w:val="16"/>
        </w:rPr>
      </w:pPr>
      <w:r w:rsidRPr="00F90EAE">
        <w:rPr>
          <w:color w:val="000000" w:themeColor="text1"/>
          <w:sz w:val="16"/>
          <w:szCs w:val="16"/>
        </w:rPr>
        <w:t>Перебежчик солдат 4-й дивизии СС «Полицай» француз Шарль Руже, отбывавший наказание в лагере Дахау, сообщил: «Я просидел в Дахау более года. К 15 июня 1944 г. в лагере было более 40 тысяч заключенных. Среди них можно было встретить представителей всех национальностей Европы. В сосновом парке находился крематорий, где сжигались трупы расстрелянных и повешенных заключённых. В конце июля в лагере началось строительство второго крематория». В заключение перебежчик заявил: «Кто побывал в немецких лагерях, тот об этом будет помнить всю жизнь. Германия является теперь тюрьмой для всех свободных народов. Я хочу мстить немецким тюремщикам за все их преступления, которые они причинили народам Европы и моей родине» (15000).</w:t>
      </w:r>
    </w:p>
    <w:p w14:paraId="5076D8E9" w14:textId="77777777" w:rsidR="003E545E" w:rsidRPr="00F90EAE" w:rsidRDefault="003E545E" w:rsidP="00F90EAE">
      <w:pPr>
        <w:jc w:val="both"/>
        <w:rPr>
          <w:color w:val="000000" w:themeColor="text1"/>
          <w:sz w:val="16"/>
          <w:szCs w:val="16"/>
        </w:rPr>
      </w:pPr>
    </w:p>
    <w:p w14:paraId="7A6C3C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5 января 1945 г. в 1-ю запасную авиабригаду п-ка А. И. Подольского для перевооружения маршевых полков поступило 45 новеньких Ил-10 АМ-42 (7489) (7489).</w:t>
      </w:r>
    </w:p>
    <w:p w14:paraId="255372FB" w14:textId="77777777" w:rsidR="00C2313B" w:rsidRPr="00F90EAE" w:rsidRDefault="00C2313B" w:rsidP="00F90EAE">
      <w:pPr>
        <w:autoSpaceDE w:val="0"/>
        <w:autoSpaceDN w:val="0"/>
        <w:adjustRightInd w:val="0"/>
        <w:jc w:val="both"/>
        <w:rPr>
          <w:color w:val="000000" w:themeColor="text1"/>
          <w:sz w:val="16"/>
          <w:szCs w:val="16"/>
        </w:rPr>
      </w:pPr>
    </w:p>
    <w:p w14:paraId="0D6EC275" w14:textId="77777777" w:rsidR="004A429A" w:rsidRPr="00F90EAE" w:rsidRDefault="004A429A" w:rsidP="00F90EAE">
      <w:pPr>
        <w:jc w:val="both"/>
        <w:rPr>
          <w:color w:val="000000" w:themeColor="text1"/>
          <w:sz w:val="16"/>
          <w:szCs w:val="16"/>
        </w:rPr>
      </w:pPr>
      <w:r w:rsidRPr="00F90EAE">
        <w:rPr>
          <w:color w:val="000000" w:themeColor="text1"/>
          <w:sz w:val="16"/>
          <w:szCs w:val="16"/>
        </w:rPr>
        <w:t>К 5 января 1945 в состав 1-го Гвардейского танкового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 </w:t>
      </w:r>
      <w:hyperlink r:id="rId6" w:history="1">
        <w:r w:rsidRPr="00F90EAE">
          <w:rPr>
            <w:rStyle w:val="a5"/>
            <w:color w:val="000000" w:themeColor="text1"/>
            <w:sz w:val="16"/>
            <w:szCs w:val="16"/>
          </w:rPr>
          <w:t>на подступах к Будапешту</w:t>
        </w:r>
      </w:hyperlink>
      <w:r w:rsidRPr="00F90EAE">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6D26A99D" w14:textId="77777777" w:rsidR="004A429A" w:rsidRPr="00F90EAE" w:rsidRDefault="004A429A" w:rsidP="00F90EAE">
      <w:pPr>
        <w:jc w:val="both"/>
        <w:rPr>
          <w:color w:val="000000" w:themeColor="text1"/>
          <w:sz w:val="16"/>
          <w:szCs w:val="16"/>
        </w:rPr>
      </w:pPr>
      <w:r w:rsidRPr="00F90EAE">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7F45E531" w14:textId="77777777" w:rsidR="004A429A" w:rsidRPr="00F90EAE" w:rsidRDefault="004A429A" w:rsidP="00F90EAE">
      <w:pPr>
        <w:jc w:val="both"/>
        <w:rPr>
          <w:color w:val="000000" w:themeColor="text1"/>
          <w:sz w:val="16"/>
          <w:szCs w:val="16"/>
        </w:rPr>
      </w:pPr>
      <w:r w:rsidRPr="00F90EAE">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 </w:t>
      </w:r>
      <w:hyperlink r:id="rId7" w:history="1">
        <w:r w:rsidRPr="00F90EAE">
          <w:rPr>
            <w:rStyle w:val="a5"/>
            <w:color w:val="000000" w:themeColor="text1"/>
            <w:sz w:val="16"/>
            <w:szCs w:val="16"/>
          </w:rPr>
          <w:t>в районе озера Балатон</w:t>
        </w:r>
      </w:hyperlink>
      <w:r w:rsidRPr="00F90EAE">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7767E10" w14:textId="77777777" w:rsidR="004A429A" w:rsidRPr="00F90EAE" w:rsidRDefault="004A429A" w:rsidP="00F90EAE">
      <w:pPr>
        <w:jc w:val="both"/>
        <w:rPr>
          <w:color w:val="000000" w:themeColor="text1"/>
          <w:sz w:val="16"/>
          <w:szCs w:val="16"/>
        </w:rPr>
      </w:pPr>
      <w:r w:rsidRPr="00F90EAE">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57CF0FFE" w14:textId="77777777" w:rsidR="004A429A" w:rsidRPr="00F90EAE" w:rsidRDefault="004A429A" w:rsidP="00F90EAE">
      <w:pPr>
        <w:jc w:val="both"/>
        <w:rPr>
          <w:color w:val="000000" w:themeColor="text1"/>
          <w:sz w:val="16"/>
          <w:szCs w:val="16"/>
        </w:rPr>
      </w:pPr>
      <w:r w:rsidRPr="00F90EAE">
        <w:rPr>
          <w:color w:val="000000" w:themeColor="text1"/>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3DA5577E" w14:textId="77777777" w:rsidR="004A429A" w:rsidRPr="00F90EAE" w:rsidRDefault="004A429A" w:rsidP="00F90EAE">
      <w:pPr>
        <w:jc w:val="both"/>
        <w:rPr>
          <w:color w:val="000000" w:themeColor="text1"/>
          <w:sz w:val="16"/>
          <w:szCs w:val="16"/>
        </w:rPr>
      </w:pPr>
    </w:p>
    <w:p w14:paraId="0B1A5CE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D6B0BD9" w14:textId="77777777" w:rsidR="00C2313B" w:rsidRPr="00F90EAE" w:rsidRDefault="00C2313B" w:rsidP="00F90EAE">
      <w:pPr>
        <w:autoSpaceDE w:val="0"/>
        <w:autoSpaceDN w:val="0"/>
        <w:adjustRightInd w:val="0"/>
        <w:jc w:val="both"/>
        <w:rPr>
          <w:iCs/>
          <w:color w:val="000000" w:themeColor="text1"/>
          <w:sz w:val="16"/>
          <w:szCs w:val="16"/>
        </w:rPr>
      </w:pPr>
    </w:p>
    <w:p w14:paraId="5EB235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января 1945 Признание Советским правительством Временного правительства Польской республики (7451).</w:t>
      </w:r>
    </w:p>
    <w:p w14:paraId="75CCE5B2" w14:textId="77777777" w:rsidR="00C2313B" w:rsidRPr="00F90EAE" w:rsidRDefault="00C2313B" w:rsidP="00F90EAE">
      <w:pPr>
        <w:autoSpaceDE w:val="0"/>
        <w:autoSpaceDN w:val="0"/>
        <w:adjustRightInd w:val="0"/>
        <w:jc w:val="both"/>
        <w:rPr>
          <w:color w:val="000000" w:themeColor="text1"/>
          <w:sz w:val="16"/>
          <w:szCs w:val="16"/>
        </w:rPr>
      </w:pPr>
    </w:p>
    <w:p w14:paraId="5094DADE" w14:textId="77777777" w:rsidR="003E545E" w:rsidRPr="00F90EAE" w:rsidRDefault="003E545E" w:rsidP="00F90EAE">
      <w:pPr>
        <w:jc w:val="both"/>
        <w:rPr>
          <w:color w:val="000000" w:themeColor="text1"/>
          <w:sz w:val="16"/>
          <w:szCs w:val="16"/>
        </w:rPr>
      </w:pPr>
      <w:r w:rsidRPr="00F90EAE">
        <w:rPr>
          <w:bCs/>
          <w:color w:val="000000" w:themeColor="text1"/>
          <w:sz w:val="16"/>
          <w:szCs w:val="16"/>
        </w:rPr>
        <w:t>5 января</w:t>
      </w:r>
      <w:r w:rsidRPr="00F90EAE">
        <w:rPr>
          <w:color w:val="000000" w:themeColor="text1"/>
          <w:sz w:val="16"/>
          <w:szCs w:val="16"/>
        </w:rPr>
        <w:t xml:space="preserve"> в 1945 году установлены дипломатические отношения между СССР и Польской Республикой. В декабре 1991 г. Российская Федерация признана правопреемницей СССР</w:t>
      </w:r>
    </w:p>
    <w:p w14:paraId="799D6491" w14:textId="77777777" w:rsidR="003E545E" w:rsidRPr="00F90EAE" w:rsidRDefault="003E545E" w:rsidP="00F90EAE">
      <w:pPr>
        <w:jc w:val="both"/>
        <w:rPr>
          <w:color w:val="000000" w:themeColor="text1"/>
          <w:sz w:val="16"/>
          <w:szCs w:val="16"/>
        </w:rPr>
      </w:pPr>
    </w:p>
    <w:p w14:paraId="2627FA6D" w14:textId="77777777" w:rsidR="003E545E" w:rsidRPr="00F90EAE" w:rsidRDefault="003E545E" w:rsidP="00F90EAE">
      <w:pPr>
        <w:jc w:val="both"/>
        <w:rPr>
          <w:color w:val="000000" w:themeColor="text1"/>
          <w:sz w:val="16"/>
          <w:szCs w:val="16"/>
        </w:rPr>
      </w:pPr>
      <w:r w:rsidRPr="00F90EAE">
        <w:rPr>
          <w:bCs/>
          <w:color w:val="000000" w:themeColor="text1"/>
          <w:sz w:val="16"/>
          <w:szCs w:val="16"/>
        </w:rPr>
        <w:t>5 января</w:t>
      </w:r>
      <w:r w:rsidRPr="00F90EAE">
        <w:rPr>
          <w:color w:val="000000" w:themeColor="text1"/>
          <w:sz w:val="16"/>
          <w:szCs w:val="16"/>
        </w:rPr>
        <w:t xml:space="preserve"> в 1945 году Люблинский комитет, провозгласивший себя временным правительством Польши, признается СССР, после чего польское правительство в изгнании, в Лондоне, утрачивает свои полномочия (15000).</w:t>
      </w:r>
    </w:p>
    <w:p w14:paraId="66BEE2DD" w14:textId="77777777" w:rsidR="003E545E" w:rsidRPr="00F90EAE" w:rsidRDefault="003E545E" w:rsidP="00F90EAE">
      <w:pPr>
        <w:jc w:val="both"/>
        <w:rPr>
          <w:color w:val="000000" w:themeColor="text1"/>
          <w:sz w:val="16"/>
          <w:szCs w:val="16"/>
        </w:rPr>
      </w:pPr>
    </w:p>
    <w:p w14:paraId="44122C2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8339A6D" w14:textId="77777777" w:rsidR="00C2313B" w:rsidRPr="00F90EAE" w:rsidRDefault="00C2313B" w:rsidP="00F90EAE">
      <w:pPr>
        <w:autoSpaceDE w:val="0"/>
        <w:autoSpaceDN w:val="0"/>
        <w:adjustRightInd w:val="0"/>
        <w:jc w:val="both"/>
        <w:rPr>
          <w:iCs/>
          <w:color w:val="000000" w:themeColor="text1"/>
          <w:sz w:val="16"/>
          <w:szCs w:val="16"/>
        </w:rPr>
      </w:pPr>
    </w:p>
    <w:p w14:paraId="3EB7F00F" w14:textId="77777777" w:rsidR="003E545E" w:rsidRPr="00F90EAE" w:rsidRDefault="003E545E" w:rsidP="00F90EAE">
      <w:pPr>
        <w:pStyle w:val="book"/>
        <w:ind w:firstLine="0"/>
        <w:jc w:val="both"/>
        <w:rPr>
          <w:color w:val="000000" w:themeColor="text1"/>
          <w:sz w:val="16"/>
          <w:szCs w:val="16"/>
        </w:rPr>
      </w:pPr>
      <w:r w:rsidRPr="00F90EAE">
        <w:rPr>
          <w:color w:val="000000" w:themeColor="text1"/>
          <w:sz w:val="16"/>
          <w:szCs w:val="16"/>
        </w:rPr>
        <w:t>До 5 января 1945 г. было произведено 82 пуска ракеты«Рейнтохтер R-1P», из которых только 4 оказались неудачными (15225).</w:t>
      </w:r>
    </w:p>
    <w:p w14:paraId="31814C96" w14:textId="77777777" w:rsidR="003E545E" w:rsidRPr="00F90EAE" w:rsidRDefault="003E545E" w:rsidP="00F90EAE">
      <w:pPr>
        <w:pStyle w:val="book"/>
        <w:ind w:firstLine="0"/>
        <w:jc w:val="both"/>
        <w:rPr>
          <w:color w:val="000000" w:themeColor="text1"/>
          <w:sz w:val="16"/>
          <w:szCs w:val="16"/>
        </w:rPr>
      </w:pPr>
    </w:p>
    <w:p w14:paraId="4863E7D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января 1945 в ходе контрнаступления против союзников немецкие войска форсировали реку Рейн, войдя в Эльзас (4962).</w:t>
      </w:r>
    </w:p>
    <w:p w14:paraId="3BC2ED2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01142F8" w14:textId="77777777" w:rsidR="003E545E" w:rsidRPr="00F90EAE" w:rsidRDefault="003E545E" w:rsidP="00F90EAE">
      <w:pPr>
        <w:jc w:val="both"/>
        <w:rPr>
          <w:color w:val="000000" w:themeColor="text1"/>
          <w:sz w:val="16"/>
          <w:szCs w:val="16"/>
        </w:rPr>
      </w:pPr>
      <w:r w:rsidRPr="00F90EAE">
        <w:rPr>
          <w:bCs/>
          <w:color w:val="000000" w:themeColor="text1"/>
          <w:sz w:val="16"/>
          <w:szCs w:val="16"/>
        </w:rPr>
        <w:t>5 января</w:t>
      </w:r>
      <w:r w:rsidRPr="00F90EAE">
        <w:rPr>
          <w:color w:val="000000" w:themeColor="text1"/>
          <w:sz w:val="16"/>
          <w:szCs w:val="16"/>
        </w:rPr>
        <w:t xml:space="preserve"> в 1945 году в ходе контрнаступления против союзников немецкие войска форсируют реку Рейн, входя в Эльзас (15000).</w:t>
      </w:r>
    </w:p>
    <w:p w14:paraId="7142EE58" w14:textId="77777777" w:rsidR="003E545E" w:rsidRPr="00F90EAE" w:rsidRDefault="003E545E" w:rsidP="00F90EAE">
      <w:pPr>
        <w:jc w:val="both"/>
        <w:rPr>
          <w:color w:val="000000" w:themeColor="text1"/>
          <w:sz w:val="16"/>
          <w:szCs w:val="16"/>
        </w:rPr>
      </w:pPr>
    </w:p>
    <w:p w14:paraId="2FBEA6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января 1945 Тирана. Сформировано правительство Народного фронта во главе с Э.Ходжой (7594).</w:t>
      </w:r>
    </w:p>
    <w:p w14:paraId="4002576B" w14:textId="77777777" w:rsidR="00C2313B" w:rsidRPr="00F90EAE" w:rsidRDefault="00C2313B" w:rsidP="00F90EAE">
      <w:pPr>
        <w:autoSpaceDE w:val="0"/>
        <w:autoSpaceDN w:val="0"/>
        <w:adjustRightInd w:val="0"/>
        <w:jc w:val="both"/>
        <w:rPr>
          <w:color w:val="000000" w:themeColor="text1"/>
          <w:sz w:val="16"/>
          <w:szCs w:val="16"/>
        </w:rPr>
      </w:pPr>
    </w:p>
    <w:p w14:paraId="34E07ED6" w14:textId="77777777" w:rsidR="003E545E" w:rsidRPr="00F90EAE" w:rsidRDefault="003E545E" w:rsidP="00F90EAE">
      <w:pPr>
        <w:jc w:val="both"/>
        <w:rPr>
          <w:color w:val="000000" w:themeColor="text1"/>
          <w:sz w:val="16"/>
          <w:szCs w:val="16"/>
        </w:rPr>
      </w:pPr>
      <w:r w:rsidRPr="00F90EAE">
        <w:rPr>
          <w:bCs/>
          <w:color w:val="000000" w:themeColor="text1"/>
          <w:sz w:val="16"/>
          <w:szCs w:val="16"/>
        </w:rPr>
        <w:t>5 января</w:t>
      </w:r>
      <w:r w:rsidRPr="00F90EAE">
        <w:rPr>
          <w:color w:val="000000" w:themeColor="text1"/>
          <w:sz w:val="16"/>
          <w:szCs w:val="16"/>
        </w:rPr>
        <w:t xml:space="preserve"> в 1945 году отряды ЭЛАС отходят из Афин (15000).</w:t>
      </w:r>
    </w:p>
    <w:p w14:paraId="236E9EDA" w14:textId="77777777" w:rsidR="003E545E" w:rsidRPr="00F90EAE" w:rsidRDefault="003E545E" w:rsidP="00F90EAE">
      <w:pPr>
        <w:jc w:val="both"/>
        <w:rPr>
          <w:color w:val="000000" w:themeColor="text1"/>
          <w:sz w:val="16"/>
          <w:szCs w:val="16"/>
        </w:rPr>
      </w:pPr>
    </w:p>
    <w:p w14:paraId="06762047" w14:textId="77777777" w:rsidR="005A1318" w:rsidRPr="00F90EAE" w:rsidRDefault="005A1318" w:rsidP="00F90EAE">
      <w:pPr>
        <w:jc w:val="both"/>
        <w:rPr>
          <w:color w:val="0070C0"/>
          <w:sz w:val="16"/>
          <w:szCs w:val="16"/>
        </w:rPr>
      </w:pPr>
      <w:r w:rsidRPr="00F90EAE">
        <w:rPr>
          <w:color w:val="0070C0"/>
          <w:sz w:val="16"/>
          <w:szCs w:val="16"/>
        </w:rPr>
        <w:t>5 января 1945 камикадзе повреждают американский эскортный авианосец USS Manila Bay, тяжелый крейсер USS Louisville и австралийский тяжелый крейсер HMAS Australia в Южно-Китайском море к западу от Манильского залива (20371).</w:t>
      </w:r>
    </w:p>
    <w:p w14:paraId="7CC0F757" w14:textId="77777777" w:rsidR="005A1318" w:rsidRPr="00F90EAE" w:rsidRDefault="005A1318" w:rsidP="00F90EAE">
      <w:pPr>
        <w:jc w:val="both"/>
        <w:rPr>
          <w:color w:val="0070C0"/>
          <w:sz w:val="16"/>
          <w:szCs w:val="16"/>
        </w:rPr>
      </w:pPr>
    </w:p>
    <w:p w14:paraId="65D0D32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7409333" w14:textId="77777777" w:rsidR="00C2313B" w:rsidRPr="00F90EAE" w:rsidRDefault="00C2313B" w:rsidP="00F90EAE">
      <w:pPr>
        <w:autoSpaceDE w:val="0"/>
        <w:autoSpaceDN w:val="0"/>
        <w:adjustRightInd w:val="0"/>
        <w:jc w:val="both"/>
        <w:rPr>
          <w:iCs/>
          <w:color w:val="000000" w:themeColor="text1"/>
          <w:sz w:val="16"/>
          <w:szCs w:val="16"/>
        </w:rPr>
      </w:pPr>
    </w:p>
    <w:p w14:paraId="235BC8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была подготовлена справка о предварительных итогах выполнения плана по самолетам и моторам в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1276"/>
        <w:gridCol w:w="850"/>
        <w:gridCol w:w="851"/>
      </w:tblGrid>
      <w:tr w:rsidR="00561F31" w:rsidRPr="00F90EAE" w14:paraId="1992C1AD" w14:textId="77777777">
        <w:tc>
          <w:tcPr>
            <w:tcW w:w="817" w:type="dxa"/>
          </w:tcPr>
          <w:p w14:paraId="1333EA19"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49A87156"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5E10C9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851" w:type="dxa"/>
          </w:tcPr>
          <w:p w14:paraId="4502DA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Факт на 31 декабря</w:t>
            </w:r>
          </w:p>
        </w:tc>
      </w:tr>
      <w:tr w:rsidR="00561F31" w:rsidRPr="00F90EAE" w14:paraId="2271210E" w14:textId="77777777">
        <w:tc>
          <w:tcPr>
            <w:tcW w:w="817" w:type="dxa"/>
          </w:tcPr>
          <w:p w14:paraId="2E1CD3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Самолеты</w:t>
            </w:r>
          </w:p>
        </w:tc>
        <w:tc>
          <w:tcPr>
            <w:tcW w:w="1276" w:type="dxa"/>
          </w:tcPr>
          <w:p w14:paraId="22EDA46B"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11C95392" w14:textId="77777777" w:rsidR="00C2313B" w:rsidRPr="00F90EAE" w:rsidRDefault="00C2313B" w:rsidP="00F90EAE">
            <w:pPr>
              <w:autoSpaceDE w:val="0"/>
              <w:autoSpaceDN w:val="0"/>
              <w:adjustRightInd w:val="0"/>
              <w:jc w:val="both"/>
              <w:rPr>
                <w:color w:val="000000" w:themeColor="text1"/>
                <w:sz w:val="16"/>
                <w:szCs w:val="16"/>
              </w:rPr>
            </w:pPr>
          </w:p>
        </w:tc>
        <w:tc>
          <w:tcPr>
            <w:tcW w:w="851" w:type="dxa"/>
          </w:tcPr>
          <w:p w14:paraId="7397D271"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8614766" w14:textId="77777777">
        <w:tc>
          <w:tcPr>
            <w:tcW w:w="817" w:type="dxa"/>
          </w:tcPr>
          <w:p w14:paraId="690DCE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276" w:type="dxa"/>
          </w:tcPr>
          <w:p w14:paraId="51A6E3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 и Ла-5</w:t>
            </w:r>
          </w:p>
        </w:tc>
        <w:tc>
          <w:tcPr>
            <w:tcW w:w="850" w:type="dxa"/>
          </w:tcPr>
          <w:p w14:paraId="0A67F0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5004</w:t>
            </w:r>
          </w:p>
        </w:tc>
        <w:tc>
          <w:tcPr>
            <w:tcW w:w="851" w:type="dxa"/>
          </w:tcPr>
          <w:p w14:paraId="507D77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4981</w:t>
            </w:r>
          </w:p>
        </w:tc>
      </w:tr>
      <w:tr w:rsidR="00561F31" w:rsidRPr="00F90EAE" w14:paraId="7CD98CA8" w14:textId="77777777">
        <w:tc>
          <w:tcPr>
            <w:tcW w:w="817" w:type="dxa"/>
          </w:tcPr>
          <w:p w14:paraId="46FCFD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1276" w:type="dxa"/>
          </w:tcPr>
          <w:p w14:paraId="729DC0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 и Ла-5</w:t>
            </w:r>
          </w:p>
        </w:tc>
        <w:tc>
          <w:tcPr>
            <w:tcW w:w="850" w:type="dxa"/>
          </w:tcPr>
          <w:p w14:paraId="28F76D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178</w:t>
            </w:r>
          </w:p>
        </w:tc>
        <w:tc>
          <w:tcPr>
            <w:tcW w:w="851" w:type="dxa"/>
          </w:tcPr>
          <w:p w14:paraId="372AB7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133</w:t>
            </w:r>
          </w:p>
        </w:tc>
      </w:tr>
      <w:tr w:rsidR="00561F31" w:rsidRPr="00F90EAE" w14:paraId="5ECE99E9" w14:textId="77777777">
        <w:tc>
          <w:tcPr>
            <w:tcW w:w="817" w:type="dxa"/>
          </w:tcPr>
          <w:p w14:paraId="40F605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381</w:t>
            </w:r>
          </w:p>
        </w:tc>
        <w:tc>
          <w:tcPr>
            <w:tcW w:w="1276" w:type="dxa"/>
          </w:tcPr>
          <w:p w14:paraId="3948DA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 и Ла-5</w:t>
            </w:r>
          </w:p>
        </w:tc>
        <w:tc>
          <w:tcPr>
            <w:tcW w:w="850" w:type="dxa"/>
          </w:tcPr>
          <w:p w14:paraId="3AF2F1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874</w:t>
            </w:r>
          </w:p>
        </w:tc>
        <w:tc>
          <w:tcPr>
            <w:tcW w:w="851" w:type="dxa"/>
          </w:tcPr>
          <w:p w14:paraId="15364A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834</w:t>
            </w:r>
          </w:p>
        </w:tc>
      </w:tr>
      <w:tr w:rsidR="00561F31" w:rsidRPr="00F90EAE" w14:paraId="512E9EE7" w14:textId="77777777">
        <w:tc>
          <w:tcPr>
            <w:tcW w:w="817" w:type="dxa"/>
          </w:tcPr>
          <w:p w14:paraId="36F363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1276" w:type="dxa"/>
          </w:tcPr>
          <w:p w14:paraId="32326A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Як-3 и Лагг-3</w:t>
            </w:r>
          </w:p>
        </w:tc>
        <w:tc>
          <w:tcPr>
            <w:tcW w:w="850" w:type="dxa"/>
          </w:tcPr>
          <w:p w14:paraId="533C21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727</w:t>
            </w:r>
          </w:p>
        </w:tc>
        <w:tc>
          <w:tcPr>
            <w:tcW w:w="851" w:type="dxa"/>
          </w:tcPr>
          <w:p w14:paraId="44CB95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706</w:t>
            </w:r>
          </w:p>
        </w:tc>
      </w:tr>
      <w:tr w:rsidR="00561F31" w:rsidRPr="00F90EAE" w14:paraId="47047C07" w14:textId="77777777">
        <w:tc>
          <w:tcPr>
            <w:tcW w:w="817" w:type="dxa"/>
          </w:tcPr>
          <w:p w14:paraId="0492D6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1276" w:type="dxa"/>
          </w:tcPr>
          <w:p w14:paraId="104119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 и Як-7</w:t>
            </w:r>
          </w:p>
        </w:tc>
        <w:tc>
          <w:tcPr>
            <w:tcW w:w="850" w:type="dxa"/>
          </w:tcPr>
          <w:p w14:paraId="2C7998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821</w:t>
            </w:r>
          </w:p>
        </w:tc>
        <w:tc>
          <w:tcPr>
            <w:tcW w:w="851" w:type="dxa"/>
          </w:tcPr>
          <w:p w14:paraId="4FDF5D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830</w:t>
            </w:r>
          </w:p>
        </w:tc>
      </w:tr>
      <w:tr w:rsidR="00561F31" w:rsidRPr="00F90EAE" w14:paraId="59C4EB3D" w14:textId="77777777">
        <w:tc>
          <w:tcPr>
            <w:tcW w:w="817" w:type="dxa"/>
          </w:tcPr>
          <w:p w14:paraId="1216E5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1276" w:type="dxa"/>
          </w:tcPr>
          <w:p w14:paraId="136F01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w:t>
            </w:r>
          </w:p>
        </w:tc>
        <w:tc>
          <w:tcPr>
            <w:tcW w:w="850" w:type="dxa"/>
          </w:tcPr>
          <w:p w14:paraId="249A10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5700</w:t>
            </w:r>
          </w:p>
        </w:tc>
        <w:tc>
          <w:tcPr>
            <w:tcW w:w="851" w:type="dxa"/>
          </w:tcPr>
          <w:p w14:paraId="457CA4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5758</w:t>
            </w:r>
          </w:p>
        </w:tc>
      </w:tr>
      <w:tr w:rsidR="00561F31" w:rsidRPr="00F90EAE" w14:paraId="7F8BE6A5" w14:textId="77777777">
        <w:tc>
          <w:tcPr>
            <w:tcW w:w="817" w:type="dxa"/>
          </w:tcPr>
          <w:p w14:paraId="72815D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1276" w:type="dxa"/>
          </w:tcPr>
          <w:p w14:paraId="67F939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Як-3 и Як-1</w:t>
            </w:r>
          </w:p>
        </w:tc>
        <w:tc>
          <w:tcPr>
            <w:tcW w:w="850" w:type="dxa"/>
          </w:tcPr>
          <w:p w14:paraId="5F161E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2850</w:t>
            </w:r>
          </w:p>
        </w:tc>
        <w:tc>
          <w:tcPr>
            <w:tcW w:w="851" w:type="dxa"/>
          </w:tcPr>
          <w:p w14:paraId="6EA65E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2718</w:t>
            </w:r>
          </w:p>
        </w:tc>
      </w:tr>
      <w:tr w:rsidR="00561F31" w:rsidRPr="00F90EAE" w14:paraId="04EF5B67" w14:textId="77777777">
        <w:tc>
          <w:tcPr>
            <w:tcW w:w="817" w:type="dxa"/>
          </w:tcPr>
          <w:p w14:paraId="351C3E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178D1643"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1A9BC9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17668</w:t>
            </w:r>
          </w:p>
        </w:tc>
        <w:tc>
          <w:tcPr>
            <w:tcW w:w="851" w:type="dxa"/>
          </w:tcPr>
          <w:p w14:paraId="65839B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17529</w:t>
            </w:r>
          </w:p>
        </w:tc>
      </w:tr>
      <w:tr w:rsidR="00561F31" w:rsidRPr="00F90EAE" w14:paraId="51AED191" w14:textId="77777777">
        <w:tc>
          <w:tcPr>
            <w:tcW w:w="817" w:type="dxa"/>
          </w:tcPr>
          <w:p w14:paraId="6D9242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276" w:type="dxa"/>
          </w:tcPr>
          <w:p w14:paraId="1F2052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Ил-2 и Ил-10</w:t>
            </w:r>
          </w:p>
        </w:tc>
        <w:tc>
          <w:tcPr>
            <w:tcW w:w="850" w:type="dxa"/>
          </w:tcPr>
          <w:p w14:paraId="360519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3697</w:t>
            </w:r>
          </w:p>
        </w:tc>
        <w:tc>
          <w:tcPr>
            <w:tcW w:w="851" w:type="dxa"/>
          </w:tcPr>
          <w:p w14:paraId="7CBF4B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3664</w:t>
            </w:r>
          </w:p>
        </w:tc>
      </w:tr>
      <w:tr w:rsidR="00561F31" w:rsidRPr="00F90EAE" w14:paraId="1639F741" w14:textId="77777777">
        <w:tc>
          <w:tcPr>
            <w:tcW w:w="817" w:type="dxa"/>
          </w:tcPr>
          <w:p w14:paraId="3AAA89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276" w:type="dxa"/>
          </w:tcPr>
          <w:p w14:paraId="3B5CA9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Ил-2 и Ил-10</w:t>
            </w:r>
          </w:p>
        </w:tc>
        <w:tc>
          <w:tcPr>
            <w:tcW w:w="850" w:type="dxa"/>
          </w:tcPr>
          <w:p w14:paraId="6CDCE2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4014</w:t>
            </w:r>
          </w:p>
        </w:tc>
        <w:tc>
          <w:tcPr>
            <w:tcW w:w="851" w:type="dxa"/>
          </w:tcPr>
          <w:p w14:paraId="70E4D7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3950</w:t>
            </w:r>
          </w:p>
        </w:tc>
      </w:tr>
      <w:tr w:rsidR="00561F31" w:rsidRPr="00F90EAE" w14:paraId="08F2C7CE" w14:textId="77777777">
        <w:tc>
          <w:tcPr>
            <w:tcW w:w="817" w:type="dxa"/>
          </w:tcPr>
          <w:p w14:paraId="48CF34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276" w:type="dxa"/>
          </w:tcPr>
          <w:p w14:paraId="501D31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Ил-2 и Ил-10</w:t>
            </w:r>
          </w:p>
        </w:tc>
        <w:tc>
          <w:tcPr>
            <w:tcW w:w="850" w:type="dxa"/>
          </w:tcPr>
          <w:p w14:paraId="0B0279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3291</w:t>
            </w:r>
          </w:p>
        </w:tc>
        <w:tc>
          <w:tcPr>
            <w:tcW w:w="851" w:type="dxa"/>
          </w:tcPr>
          <w:p w14:paraId="790326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3317</w:t>
            </w:r>
          </w:p>
        </w:tc>
      </w:tr>
      <w:tr w:rsidR="00561F31" w:rsidRPr="00F90EAE" w14:paraId="097BD086" w14:textId="77777777">
        <w:tc>
          <w:tcPr>
            <w:tcW w:w="817" w:type="dxa"/>
          </w:tcPr>
          <w:p w14:paraId="64E7EF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30EAF7AA"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412BF5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11002</w:t>
            </w:r>
          </w:p>
        </w:tc>
        <w:tc>
          <w:tcPr>
            <w:tcW w:w="851" w:type="dxa"/>
          </w:tcPr>
          <w:p w14:paraId="4E78C0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10931</w:t>
            </w:r>
          </w:p>
        </w:tc>
      </w:tr>
      <w:tr w:rsidR="00561F31" w:rsidRPr="00F90EAE" w14:paraId="18616489" w14:textId="77777777">
        <w:tc>
          <w:tcPr>
            <w:tcW w:w="817" w:type="dxa"/>
          </w:tcPr>
          <w:p w14:paraId="6DFB68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276" w:type="dxa"/>
          </w:tcPr>
          <w:p w14:paraId="60F2CB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Пе-2 и Пе-3</w:t>
            </w:r>
          </w:p>
        </w:tc>
        <w:tc>
          <w:tcPr>
            <w:tcW w:w="850" w:type="dxa"/>
          </w:tcPr>
          <w:p w14:paraId="5D7089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2968</w:t>
            </w:r>
          </w:p>
        </w:tc>
        <w:tc>
          <w:tcPr>
            <w:tcW w:w="851" w:type="dxa"/>
          </w:tcPr>
          <w:p w14:paraId="4169F1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2897</w:t>
            </w:r>
          </w:p>
        </w:tc>
      </w:tr>
      <w:tr w:rsidR="00561F31" w:rsidRPr="00F90EAE" w14:paraId="63B55509" w14:textId="77777777">
        <w:tc>
          <w:tcPr>
            <w:tcW w:w="817" w:type="dxa"/>
          </w:tcPr>
          <w:p w14:paraId="6B5A8A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276" w:type="dxa"/>
          </w:tcPr>
          <w:p w14:paraId="0B7B5D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850" w:type="dxa"/>
          </w:tcPr>
          <w:p w14:paraId="16D0A5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453</w:t>
            </w:r>
          </w:p>
        </w:tc>
        <w:tc>
          <w:tcPr>
            <w:tcW w:w="851" w:type="dxa"/>
          </w:tcPr>
          <w:p w14:paraId="5D6AC2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368</w:t>
            </w:r>
          </w:p>
        </w:tc>
      </w:tr>
      <w:tr w:rsidR="00561F31" w:rsidRPr="00F90EAE" w14:paraId="2C997076" w14:textId="77777777">
        <w:tc>
          <w:tcPr>
            <w:tcW w:w="817" w:type="dxa"/>
          </w:tcPr>
          <w:p w14:paraId="3E8C29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39</w:t>
            </w:r>
          </w:p>
        </w:tc>
        <w:tc>
          <w:tcPr>
            <w:tcW w:w="1276" w:type="dxa"/>
          </w:tcPr>
          <w:p w14:paraId="222542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 и Ил-4</w:t>
            </w:r>
          </w:p>
        </w:tc>
        <w:tc>
          <w:tcPr>
            <w:tcW w:w="850" w:type="dxa"/>
          </w:tcPr>
          <w:p w14:paraId="0A7DB9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340</w:t>
            </w:r>
          </w:p>
        </w:tc>
        <w:tc>
          <w:tcPr>
            <w:tcW w:w="851" w:type="dxa"/>
          </w:tcPr>
          <w:p w14:paraId="14416A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263</w:t>
            </w:r>
          </w:p>
        </w:tc>
      </w:tr>
      <w:tr w:rsidR="00561F31" w:rsidRPr="00F90EAE" w14:paraId="461302CA" w14:textId="77777777">
        <w:tc>
          <w:tcPr>
            <w:tcW w:w="817" w:type="dxa"/>
          </w:tcPr>
          <w:p w14:paraId="157C25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1276" w:type="dxa"/>
          </w:tcPr>
          <w:p w14:paraId="56A72B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850" w:type="dxa"/>
          </w:tcPr>
          <w:p w14:paraId="663554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851" w:type="dxa"/>
          </w:tcPr>
          <w:p w14:paraId="26FCAA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584</w:t>
            </w:r>
          </w:p>
        </w:tc>
      </w:tr>
      <w:tr w:rsidR="00561F31" w:rsidRPr="00F90EAE" w14:paraId="7F0AF84F" w14:textId="77777777">
        <w:tc>
          <w:tcPr>
            <w:tcW w:w="817" w:type="dxa"/>
          </w:tcPr>
          <w:p w14:paraId="625EE7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6DD3F973"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7815B5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4377</w:t>
            </w:r>
          </w:p>
        </w:tc>
        <w:tc>
          <w:tcPr>
            <w:tcW w:w="851" w:type="dxa"/>
          </w:tcPr>
          <w:p w14:paraId="73DCF7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4112</w:t>
            </w:r>
          </w:p>
        </w:tc>
      </w:tr>
      <w:tr w:rsidR="00561F31" w:rsidRPr="00F90EAE" w14:paraId="2AEEEC3F" w14:textId="77777777">
        <w:tc>
          <w:tcPr>
            <w:tcW w:w="817" w:type="dxa"/>
          </w:tcPr>
          <w:p w14:paraId="62E4F8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051255A2"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2B6BD5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33047</w:t>
            </w:r>
          </w:p>
        </w:tc>
        <w:tc>
          <w:tcPr>
            <w:tcW w:w="851" w:type="dxa"/>
          </w:tcPr>
          <w:p w14:paraId="62ECA1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32572</w:t>
            </w:r>
          </w:p>
        </w:tc>
      </w:tr>
      <w:tr w:rsidR="00561F31" w:rsidRPr="00F90EAE" w14:paraId="3CC3F417" w14:textId="77777777">
        <w:tc>
          <w:tcPr>
            <w:tcW w:w="817" w:type="dxa"/>
          </w:tcPr>
          <w:p w14:paraId="2AEA04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1276" w:type="dxa"/>
          </w:tcPr>
          <w:p w14:paraId="6EC062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850" w:type="dxa"/>
          </w:tcPr>
          <w:p w14:paraId="659D91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851" w:type="dxa"/>
          </w:tcPr>
          <w:p w14:paraId="68F5E7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591</w:t>
            </w:r>
          </w:p>
        </w:tc>
      </w:tr>
      <w:tr w:rsidR="00561F31" w:rsidRPr="00F90EAE" w14:paraId="64EA7056" w14:textId="77777777">
        <w:tc>
          <w:tcPr>
            <w:tcW w:w="817" w:type="dxa"/>
          </w:tcPr>
          <w:p w14:paraId="4477DF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1276" w:type="dxa"/>
          </w:tcPr>
          <w:p w14:paraId="45CE1C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Ще-2</w:t>
            </w:r>
          </w:p>
        </w:tc>
        <w:tc>
          <w:tcPr>
            <w:tcW w:w="850" w:type="dxa"/>
          </w:tcPr>
          <w:p w14:paraId="0F200E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265</w:t>
            </w:r>
          </w:p>
        </w:tc>
        <w:tc>
          <w:tcPr>
            <w:tcW w:w="851" w:type="dxa"/>
          </w:tcPr>
          <w:p w14:paraId="5BCD0F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216</w:t>
            </w:r>
          </w:p>
        </w:tc>
      </w:tr>
      <w:tr w:rsidR="00561F31" w:rsidRPr="00F90EAE" w14:paraId="1C0E9481" w14:textId="77777777">
        <w:tc>
          <w:tcPr>
            <w:tcW w:w="817" w:type="dxa"/>
          </w:tcPr>
          <w:p w14:paraId="10E48B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494</w:t>
            </w:r>
          </w:p>
        </w:tc>
        <w:tc>
          <w:tcPr>
            <w:tcW w:w="1276" w:type="dxa"/>
          </w:tcPr>
          <w:p w14:paraId="2AD6FB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По-2с</w:t>
            </w:r>
          </w:p>
        </w:tc>
        <w:tc>
          <w:tcPr>
            <w:tcW w:w="850" w:type="dxa"/>
          </w:tcPr>
          <w:p w14:paraId="146DB4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851" w:type="dxa"/>
          </w:tcPr>
          <w:p w14:paraId="4FAF88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661</w:t>
            </w:r>
          </w:p>
        </w:tc>
      </w:tr>
      <w:tr w:rsidR="00561F31" w:rsidRPr="00F90EAE" w14:paraId="4CF73732" w14:textId="77777777">
        <w:tc>
          <w:tcPr>
            <w:tcW w:w="817" w:type="dxa"/>
          </w:tcPr>
          <w:p w14:paraId="7663C7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6CFC3EC7"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24013A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1497</w:t>
            </w:r>
          </w:p>
        </w:tc>
        <w:tc>
          <w:tcPr>
            <w:tcW w:w="851" w:type="dxa"/>
          </w:tcPr>
          <w:p w14:paraId="5E2F05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1468</w:t>
            </w:r>
          </w:p>
        </w:tc>
      </w:tr>
      <w:tr w:rsidR="00561F31" w:rsidRPr="00F90EAE" w14:paraId="01750FB0" w14:textId="77777777">
        <w:tc>
          <w:tcPr>
            <w:tcW w:w="817" w:type="dxa"/>
          </w:tcPr>
          <w:p w14:paraId="430D46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116</w:t>
            </w:r>
          </w:p>
        </w:tc>
        <w:tc>
          <w:tcPr>
            <w:tcW w:w="1276" w:type="dxa"/>
          </w:tcPr>
          <w:p w14:paraId="6F6473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Ут-2</w:t>
            </w:r>
          </w:p>
        </w:tc>
        <w:tc>
          <w:tcPr>
            <w:tcW w:w="850" w:type="dxa"/>
          </w:tcPr>
          <w:p w14:paraId="7BC273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734</w:t>
            </w:r>
          </w:p>
        </w:tc>
        <w:tc>
          <w:tcPr>
            <w:tcW w:w="851" w:type="dxa"/>
          </w:tcPr>
          <w:p w14:paraId="6DD0E1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716</w:t>
            </w:r>
          </w:p>
        </w:tc>
      </w:tr>
      <w:tr w:rsidR="00561F31" w:rsidRPr="00F90EAE" w14:paraId="147E4B7A" w14:textId="77777777">
        <w:tc>
          <w:tcPr>
            <w:tcW w:w="817" w:type="dxa"/>
          </w:tcPr>
          <w:p w14:paraId="02E77B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168</w:t>
            </w:r>
          </w:p>
        </w:tc>
        <w:tc>
          <w:tcPr>
            <w:tcW w:w="1276" w:type="dxa"/>
          </w:tcPr>
          <w:p w14:paraId="0589F4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Ут-2</w:t>
            </w:r>
          </w:p>
        </w:tc>
        <w:tc>
          <w:tcPr>
            <w:tcW w:w="850" w:type="dxa"/>
          </w:tcPr>
          <w:p w14:paraId="186D7A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372</w:t>
            </w:r>
          </w:p>
        </w:tc>
        <w:tc>
          <w:tcPr>
            <w:tcW w:w="851" w:type="dxa"/>
          </w:tcPr>
          <w:p w14:paraId="3B10F4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299</w:t>
            </w:r>
          </w:p>
        </w:tc>
      </w:tr>
      <w:tr w:rsidR="00561F31" w:rsidRPr="00F90EAE" w14:paraId="732DA3CF" w14:textId="77777777">
        <w:tc>
          <w:tcPr>
            <w:tcW w:w="817" w:type="dxa"/>
          </w:tcPr>
          <w:p w14:paraId="4C2232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387</w:t>
            </w:r>
          </w:p>
        </w:tc>
        <w:tc>
          <w:tcPr>
            <w:tcW w:w="1276" w:type="dxa"/>
          </w:tcPr>
          <w:p w14:paraId="56EBE4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850" w:type="dxa"/>
          </w:tcPr>
          <w:p w14:paraId="32AFC1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3080</w:t>
            </w:r>
          </w:p>
        </w:tc>
        <w:tc>
          <w:tcPr>
            <w:tcW w:w="851" w:type="dxa"/>
          </w:tcPr>
          <w:p w14:paraId="1BA3BA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2975</w:t>
            </w:r>
          </w:p>
        </w:tc>
      </w:tr>
      <w:tr w:rsidR="00561F31" w:rsidRPr="00F90EAE" w14:paraId="21119FD2" w14:textId="77777777">
        <w:tc>
          <w:tcPr>
            <w:tcW w:w="817" w:type="dxa"/>
          </w:tcPr>
          <w:p w14:paraId="38F225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464</w:t>
            </w:r>
          </w:p>
        </w:tc>
        <w:tc>
          <w:tcPr>
            <w:tcW w:w="1276" w:type="dxa"/>
          </w:tcPr>
          <w:p w14:paraId="3C9A34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850" w:type="dxa"/>
          </w:tcPr>
          <w:p w14:paraId="02DC25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679</w:t>
            </w:r>
          </w:p>
        </w:tc>
        <w:tc>
          <w:tcPr>
            <w:tcW w:w="851" w:type="dxa"/>
          </w:tcPr>
          <w:p w14:paraId="52A50D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721</w:t>
            </w:r>
          </w:p>
        </w:tc>
      </w:tr>
      <w:tr w:rsidR="00561F31" w:rsidRPr="00F90EAE" w14:paraId="1B2C5687" w14:textId="77777777">
        <w:tc>
          <w:tcPr>
            <w:tcW w:w="817" w:type="dxa"/>
          </w:tcPr>
          <w:p w14:paraId="3C2CFF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471</w:t>
            </w:r>
          </w:p>
        </w:tc>
        <w:tc>
          <w:tcPr>
            <w:tcW w:w="1276" w:type="dxa"/>
          </w:tcPr>
          <w:p w14:paraId="25462A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850" w:type="dxa"/>
          </w:tcPr>
          <w:p w14:paraId="0FDB4E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624</w:t>
            </w:r>
          </w:p>
        </w:tc>
        <w:tc>
          <w:tcPr>
            <w:tcW w:w="851" w:type="dxa"/>
          </w:tcPr>
          <w:p w14:paraId="6B6BA1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634</w:t>
            </w:r>
          </w:p>
        </w:tc>
      </w:tr>
      <w:tr w:rsidR="00561F31" w:rsidRPr="00F90EAE" w14:paraId="7188E53B" w14:textId="77777777">
        <w:tc>
          <w:tcPr>
            <w:tcW w:w="817" w:type="dxa"/>
          </w:tcPr>
          <w:p w14:paraId="0F002D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14CFBAF5"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004401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5489</w:t>
            </w:r>
          </w:p>
        </w:tc>
        <w:tc>
          <w:tcPr>
            <w:tcW w:w="851" w:type="dxa"/>
          </w:tcPr>
          <w:p w14:paraId="4BF783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5345</w:t>
            </w:r>
          </w:p>
        </w:tc>
      </w:tr>
      <w:tr w:rsidR="00561F31" w:rsidRPr="00F90EAE" w14:paraId="243294AD" w14:textId="77777777">
        <w:tc>
          <w:tcPr>
            <w:tcW w:w="817" w:type="dxa"/>
          </w:tcPr>
          <w:p w14:paraId="2BCEFD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276" w:type="dxa"/>
          </w:tcPr>
          <w:p w14:paraId="3EEA59CA"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3F8371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40033</w:t>
            </w:r>
          </w:p>
        </w:tc>
        <w:tc>
          <w:tcPr>
            <w:tcW w:w="851" w:type="dxa"/>
          </w:tcPr>
          <w:p w14:paraId="30A425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39385</w:t>
            </w:r>
          </w:p>
        </w:tc>
      </w:tr>
      <w:tr w:rsidR="00561F31" w:rsidRPr="00F90EAE" w14:paraId="04D24EEE" w14:textId="77777777">
        <w:tc>
          <w:tcPr>
            <w:tcW w:w="817" w:type="dxa"/>
          </w:tcPr>
          <w:p w14:paraId="437E71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Моторы</w:t>
            </w:r>
          </w:p>
        </w:tc>
        <w:tc>
          <w:tcPr>
            <w:tcW w:w="1276" w:type="dxa"/>
          </w:tcPr>
          <w:p w14:paraId="64C9FF94"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345EBE3D" w14:textId="77777777" w:rsidR="00C2313B" w:rsidRPr="00F90EAE" w:rsidRDefault="00C2313B" w:rsidP="00F90EAE">
            <w:pPr>
              <w:autoSpaceDE w:val="0"/>
              <w:autoSpaceDN w:val="0"/>
              <w:adjustRightInd w:val="0"/>
              <w:jc w:val="both"/>
              <w:rPr>
                <w:color w:val="000000" w:themeColor="text1"/>
                <w:sz w:val="16"/>
                <w:szCs w:val="16"/>
              </w:rPr>
            </w:pPr>
          </w:p>
        </w:tc>
        <w:tc>
          <w:tcPr>
            <w:tcW w:w="851" w:type="dxa"/>
          </w:tcPr>
          <w:p w14:paraId="31B4EC19"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EE4FAF9" w14:textId="77777777">
        <w:tc>
          <w:tcPr>
            <w:tcW w:w="817" w:type="dxa"/>
          </w:tcPr>
          <w:p w14:paraId="132ABD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276" w:type="dxa"/>
          </w:tcPr>
          <w:p w14:paraId="69BE5E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ВК-105ПФ</w:t>
            </w:r>
          </w:p>
        </w:tc>
        <w:tc>
          <w:tcPr>
            <w:tcW w:w="850" w:type="dxa"/>
          </w:tcPr>
          <w:p w14:paraId="474C33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5255</w:t>
            </w:r>
          </w:p>
        </w:tc>
        <w:tc>
          <w:tcPr>
            <w:tcW w:w="851" w:type="dxa"/>
          </w:tcPr>
          <w:p w14:paraId="517349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4874</w:t>
            </w:r>
          </w:p>
        </w:tc>
      </w:tr>
      <w:tr w:rsidR="00561F31" w:rsidRPr="00F90EAE" w14:paraId="5D9B3316" w14:textId="77777777">
        <w:tc>
          <w:tcPr>
            <w:tcW w:w="817" w:type="dxa"/>
          </w:tcPr>
          <w:p w14:paraId="417D06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276" w:type="dxa"/>
          </w:tcPr>
          <w:p w14:paraId="747FEE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ВК-105ПФ</w:t>
            </w:r>
          </w:p>
        </w:tc>
        <w:tc>
          <w:tcPr>
            <w:tcW w:w="850" w:type="dxa"/>
          </w:tcPr>
          <w:p w14:paraId="6AFD7D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8734</w:t>
            </w:r>
          </w:p>
        </w:tc>
        <w:tc>
          <w:tcPr>
            <w:tcW w:w="851" w:type="dxa"/>
          </w:tcPr>
          <w:p w14:paraId="19B205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8494</w:t>
            </w:r>
          </w:p>
        </w:tc>
      </w:tr>
      <w:tr w:rsidR="00561F31" w:rsidRPr="00F90EAE" w14:paraId="019D145C" w14:textId="77777777">
        <w:tc>
          <w:tcPr>
            <w:tcW w:w="817" w:type="dxa"/>
          </w:tcPr>
          <w:p w14:paraId="2603BDD8"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7896BB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850" w:type="dxa"/>
          </w:tcPr>
          <w:p w14:paraId="49AB66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2753</w:t>
            </w:r>
          </w:p>
        </w:tc>
        <w:tc>
          <w:tcPr>
            <w:tcW w:w="851" w:type="dxa"/>
          </w:tcPr>
          <w:p w14:paraId="4F8021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2098</w:t>
            </w:r>
          </w:p>
        </w:tc>
      </w:tr>
      <w:tr w:rsidR="00561F31" w:rsidRPr="00F90EAE" w14:paraId="4E1BE27E" w14:textId="77777777">
        <w:tc>
          <w:tcPr>
            <w:tcW w:w="817" w:type="dxa"/>
          </w:tcPr>
          <w:p w14:paraId="0222B5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08AB5C1D"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30F976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11487</w:t>
            </w:r>
          </w:p>
        </w:tc>
        <w:tc>
          <w:tcPr>
            <w:tcW w:w="851" w:type="dxa"/>
          </w:tcPr>
          <w:p w14:paraId="6D5417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10592</w:t>
            </w:r>
          </w:p>
        </w:tc>
      </w:tr>
      <w:tr w:rsidR="00561F31" w:rsidRPr="00F90EAE" w14:paraId="69A0DEDF" w14:textId="77777777">
        <w:tc>
          <w:tcPr>
            <w:tcW w:w="817" w:type="dxa"/>
          </w:tcPr>
          <w:p w14:paraId="1ECCD5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466</w:t>
            </w:r>
          </w:p>
        </w:tc>
        <w:tc>
          <w:tcPr>
            <w:tcW w:w="1276" w:type="dxa"/>
          </w:tcPr>
          <w:p w14:paraId="332BB9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ВК-105ПФ</w:t>
            </w:r>
          </w:p>
        </w:tc>
        <w:tc>
          <w:tcPr>
            <w:tcW w:w="850" w:type="dxa"/>
          </w:tcPr>
          <w:p w14:paraId="2F802E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3378</w:t>
            </w:r>
          </w:p>
        </w:tc>
        <w:tc>
          <w:tcPr>
            <w:tcW w:w="851" w:type="dxa"/>
          </w:tcPr>
          <w:p w14:paraId="63770F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3116</w:t>
            </w:r>
          </w:p>
        </w:tc>
      </w:tr>
      <w:tr w:rsidR="00561F31" w:rsidRPr="00F90EAE" w14:paraId="2F76DA56" w14:textId="77777777">
        <w:tc>
          <w:tcPr>
            <w:tcW w:w="817" w:type="dxa"/>
          </w:tcPr>
          <w:p w14:paraId="5B9303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276" w:type="dxa"/>
          </w:tcPr>
          <w:p w14:paraId="31F474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АМ-38Ф</w:t>
            </w:r>
          </w:p>
        </w:tc>
        <w:tc>
          <w:tcPr>
            <w:tcW w:w="850" w:type="dxa"/>
          </w:tcPr>
          <w:p w14:paraId="0A2926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9686</w:t>
            </w:r>
          </w:p>
        </w:tc>
        <w:tc>
          <w:tcPr>
            <w:tcW w:w="851" w:type="dxa"/>
          </w:tcPr>
          <w:p w14:paraId="67AE94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10192</w:t>
            </w:r>
          </w:p>
        </w:tc>
      </w:tr>
      <w:tr w:rsidR="00561F31" w:rsidRPr="00F90EAE" w14:paraId="32EF8087" w14:textId="77777777">
        <w:tc>
          <w:tcPr>
            <w:tcW w:w="817" w:type="dxa"/>
          </w:tcPr>
          <w:p w14:paraId="7DA2EF3A"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6EC08A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АМ-42 и АМ-35А</w:t>
            </w:r>
          </w:p>
        </w:tc>
        <w:tc>
          <w:tcPr>
            <w:tcW w:w="850" w:type="dxa"/>
          </w:tcPr>
          <w:p w14:paraId="6B7C99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952</w:t>
            </w:r>
          </w:p>
        </w:tc>
        <w:tc>
          <w:tcPr>
            <w:tcW w:w="851" w:type="dxa"/>
          </w:tcPr>
          <w:p w14:paraId="260BEF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496</w:t>
            </w:r>
          </w:p>
        </w:tc>
      </w:tr>
      <w:tr w:rsidR="00561F31" w:rsidRPr="00F90EAE" w14:paraId="127B2605" w14:textId="77777777">
        <w:tc>
          <w:tcPr>
            <w:tcW w:w="817" w:type="dxa"/>
          </w:tcPr>
          <w:p w14:paraId="292287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2CA2ABB3"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77A1C6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10638</w:t>
            </w:r>
          </w:p>
        </w:tc>
        <w:tc>
          <w:tcPr>
            <w:tcW w:w="851" w:type="dxa"/>
          </w:tcPr>
          <w:p w14:paraId="144ABE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10688</w:t>
            </w:r>
          </w:p>
        </w:tc>
      </w:tr>
      <w:tr w:rsidR="00561F31" w:rsidRPr="00F90EAE" w14:paraId="0C2CB5FD" w14:textId="77777777">
        <w:tc>
          <w:tcPr>
            <w:tcW w:w="817" w:type="dxa"/>
          </w:tcPr>
          <w:p w14:paraId="196E48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276" w:type="dxa"/>
          </w:tcPr>
          <w:p w14:paraId="36DCBF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АМ-38Ф</w:t>
            </w:r>
          </w:p>
        </w:tc>
        <w:tc>
          <w:tcPr>
            <w:tcW w:w="850" w:type="dxa"/>
          </w:tcPr>
          <w:p w14:paraId="4DB07B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2848</w:t>
            </w:r>
          </w:p>
        </w:tc>
        <w:tc>
          <w:tcPr>
            <w:tcW w:w="851" w:type="dxa"/>
          </w:tcPr>
          <w:p w14:paraId="0679DD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2921</w:t>
            </w:r>
          </w:p>
        </w:tc>
      </w:tr>
      <w:tr w:rsidR="00561F31" w:rsidRPr="00F90EAE" w14:paraId="57C29F9C" w14:textId="77777777">
        <w:tc>
          <w:tcPr>
            <w:tcW w:w="817" w:type="dxa"/>
          </w:tcPr>
          <w:p w14:paraId="2A4E4F8D"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194EA7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АЧ-30Б</w:t>
            </w:r>
          </w:p>
        </w:tc>
        <w:tc>
          <w:tcPr>
            <w:tcW w:w="850" w:type="dxa"/>
          </w:tcPr>
          <w:p w14:paraId="7972D9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230</w:t>
            </w:r>
          </w:p>
        </w:tc>
        <w:tc>
          <w:tcPr>
            <w:tcW w:w="851" w:type="dxa"/>
          </w:tcPr>
          <w:p w14:paraId="460563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154</w:t>
            </w:r>
          </w:p>
        </w:tc>
      </w:tr>
      <w:tr w:rsidR="00561F31" w:rsidRPr="00F90EAE" w14:paraId="16BA92B3" w14:textId="77777777">
        <w:tc>
          <w:tcPr>
            <w:tcW w:w="817" w:type="dxa"/>
          </w:tcPr>
          <w:p w14:paraId="60720A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1219E51E"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06775A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3078</w:t>
            </w:r>
          </w:p>
        </w:tc>
        <w:tc>
          <w:tcPr>
            <w:tcW w:w="851" w:type="dxa"/>
          </w:tcPr>
          <w:p w14:paraId="2BCA9B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3075</w:t>
            </w:r>
          </w:p>
        </w:tc>
      </w:tr>
      <w:tr w:rsidR="00561F31" w:rsidRPr="00F90EAE" w14:paraId="38DDDEBD" w14:textId="77777777">
        <w:tc>
          <w:tcPr>
            <w:tcW w:w="817" w:type="dxa"/>
          </w:tcPr>
          <w:p w14:paraId="0E9AA3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1276" w:type="dxa"/>
          </w:tcPr>
          <w:p w14:paraId="5D8095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АШ-82ФН и Ф</w:t>
            </w:r>
          </w:p>
        </w:tc>
        <w:tc>
          <w:tcPr>
            <w:tcW w:w="850" w:type="dxa"/>
          </w:tcPr>
          <w:p w14:paraId="28FB4F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6734</w:t>
            </w:r>
          </w:p>
        </w:tc>
        <w:tc>
          <w:tcPr>
            <w:tcW w:w="851" w:type="dxa"/>
          </w:tcPr>
          <w:p w14:paraId="4C2169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6106</w:t>
            </w:r>
          </w:p>
        </w:tc>
      </w:tr>
      <w:tr w:rsidR="00561F31" w:rsidRPr="00F90EAE" w14:paraId="78C35C6A" w14:textId="77777777">
        <w:tc>
          <w:tcPr>
            <w:tcW w:w="817" w:type="dxa"/>
          </w:tcPr>
          <w:p w14:paraId="32B6DAAB"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2BEF9C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АШ-62ИР</w:t>
            </w:r>
          </w:p>
        </w:tc>
        <w:tc>
          <w:tcPr>
            <w:tcW w:w="850" w:type="dxa"/>
          </w:tcPr>
          <w:p w14:paraId="224369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1520</w:t>
            </w:r>
          </w:p>
        </w:tc>
        <w:tc>
          <w:tcPr>
            <w:tcW w:w="851" w:type="dxa"/>
          </w:tcPr>
          <w:p w14:paraId="0F317E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1378</w:t>
            </w:r>
          </w:p>
        </w:tc>
      </w:tr>
      <w:tr w:rsidR="00561F31" w:rsidRPr="00F90EAE" w14:paraId="200AC6F6" w14:textId="77777777">
        <w:tc>
          <w:tcPr>
            <w:tcW w:w="817" w:type="dxa"/>
          </w:tcPr>
          <w:p w14:paraId="79BD52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6F0B67A7"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239472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8254</w:t>
            </w:r>
          </w:p>
        </w:tc>
        <w:tc>
          <w:tcPr>
            <w:tcW w:w="851" w:type="dxa"/>
          </w:tcPr>
          <w:p w14:paraId="10F848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7484</w:t>
            </w:r>
          </w:p>
        </w:tc>
      </w:tr>
      <w:tr w:rsidR="00561F31" w:rsidRPr="00F90EAE" w14:paraId="0E537D3E" w14:textId="77777777">
        <w:tc>
          <w:tcPr>
            <w:tcW w:w="817" w:type="dxa"/>
          </w:tcPr>
          <w:p w14:paraId="587F98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276" w:type="dxa"/>
          </w:tcPr>
          <w:p w14:paraId="320909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c>
          <w:tcPr>
            <w:tcW w:w="850" w:type="dxa"/>
          </w:tcPr>
          <w:p w14:paraId="1FCE13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1046</w:t>
            </w:r>
          </w:p>
        </w:tc>
        <w:tc>
          <w:tcPr>
            <w:tcW w:w="851" w:type="dxa"/>
          </w:tcPr>
          <w:p w14:paraId="3FBE9B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1036</w:t>
            </w:r>
          </w:p>
        </w:tc>
      </w:tr>
      <w:tr w:rsidR="00561F31" w:rsidRPr="00F90EAE" w14:paraId="2C9AAEBD" w14:textId="77777777">
        <w:tc>
          <w:tcPr>
            <w:tcW w:w="817" w:type="dxa"/>
          </w:tcPr>
          <w:p w14:paraId="33F864FA" w14:textId="77777777" w:rsidR="00C2313B" w:rsidRPr="00F90EAE" w:rsidRDefault="00C2313B" w:rsidP="00F90EAE">
            <w:pPr>
              <w:autoSpaceDE w:val="0"/>
              <w:autoSpaceDN w:val="0"/>
              <w:adjustRightInd w:val="0"/>
              <w:jc w:val="both"/>
              <w:rPr>
                <w:color w:val="000000" w:themeColor="text1"/>
                <w:sz w:val="16"/>
                <w:szCs w:val="16"/>
              </w:rPr>
            </w:pPr>
          </w:p>
        </w:tc>
        <w:tc>
          <w:tcPr>
            <w:tcW w:w="1276" w:type="dxa"/>
          </w:tcPr>
          <w:p w14:paraId="5B46A0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М-88</w:t>
            </w:r>
          </w:p>
        </w:tc>
        <w:tc>
          <w:tcPr>
            <w:tcW w:w="850" w:type="dxa"/>
          </w:tcPr>
          <w:p w14:paraId="3F7B40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2462</w:t>
            </w:r>
          </w:p>
        </w:tc>
        <w:tc>
          <w:tcPr>
            <w:tcW w:w="851" w:type="dxa"/>
          </w:tcPr>
          <w:p w14:paraId="7672C9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2211</w:t>
            </w:r>
          </w:p>
        </w:tc>
      </w:tr>
      <w:tr w:rsidR="00561F31" w:rsidRPr="00F90EAE" w14:paraId="70620ED6" w14:textId="77777777">
        <w:tc>
          <w:tcPr>
            <w:tcW w:w="817" w:type="dxa"/>
          </w:tcPr>
          <w:p w14:paraId="452E41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76" w:type="dxa"/>
          </w:tcPr>
          <w:p w14:paraId="1A94D314" w14:textId="77777777" w:rsidR="00C2313B" w:rsidRPr="00F90EAE" w:rsidRDefault="00C2313B" w:rsidP="00F90EAE">
            <w:pPr>
              <w:autoSpaceDE w:val="0"/>
              <w:autoSpaceDN w:val="0"/>
              <w:adjustRightInd w:val="0"/>
              <w:jc w:val="both"/>
              <w:rPr>
                <w:color w:val="000000" w:themeColor="text1"/>
                <w:sz w:val="16"/>
                <w:szCs w:val="16"/>
              </w:rPr>
            </w:pPr>
          </w:p>
        </w:tc>
        <w:tc>
          <w:tcPr>
            <w:tcW w:w="850" w:type="dxa"/>
          </w:tcPr>
          <w:p w14:paraId="5A7263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3508</w:t>
            </w:r>
          </w:p>
        </w:tc>
        <w:tc>
          <w:tcPr>
            <w:tcW w:w="851" w:type="dxa"/>
          </w:tcPr>
          <w:p w14:paraId="715F4E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3247</w:t>
            </w:r>
          </w:p>
        </w:tc>
      </w:tr>
      <w:tr w:rsidR="00561F31" w:rsidRPr="00F90EAE" w14:paraId="722C8D75" w14:textId="77777777">
        <w:tc>
          <w:tcPr>
            <w:tcW w:w="817" w:type="dxa"/>
          </w:tcPr>
          <w:p w14:paraId="7CE026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276" w:type="dxa"/>
          </w:tcPr>
          <w:p w14:paraId="3E3B42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М-11</w:t>
            </w:r>
          </w:p>
        </w:tc>
        <w:tc>
          <w:tcPr>
            <w:tcW w:w="850" w:type="dxa"/>
          </w:tcPr>
          <w:p w14:paraId="027BD5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3189</w:t>
            </w:r>
          </w:p>
        </w:tc>
        <w:tc>
          <w:tcPr>
            <w:tcW w:w="851" w:type="dxa"/>
          </w:tcPr>
          <w:p w14:paraId="63BD59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2855</w:t>
            </w:r>
          </w:p>
        </w:tc>
      </w:tr>
      <w:tr w:rsidR="00561F31" w:rsidRPr="00F90EAE" w14:paraId="6A0DE770" w14:textId="77777777">
        <w:tc>
          <w:tcPr>
            <w:tcW w:w="817" w:type="dxa"/>
          </w:tcPr>
          <w:p w14:paraId="323BB8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38131F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М-11</w:t>
            </w:r>
          </w:p>
        </w:tc>
        <w:tc>
          <w:tcPr>
            <w:tcW w:w="850" w:type="dxa"/>
          </w:tcPr>
          <w:p w14:paraId="509B32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4928</w:t>
            </w:r>
          </w:p>
        </w:tc>
        <w:tc>
          <w:tcPr>
            <w:tcW w:w="851" w:type="dxa"/>
          </w:tcPr>
          <w:p w14:paraId="6CFABC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5019</w:t>
            </w:r>
          </w:p>
        </w:tc>
      </w:tr>
      <w:tr w:rsidR="00561F31" w:rsidRPr="00F90EAE" w14:paraId="424D0B00" w14:textId="77777777">
        <w:tc>
          <w:tcPr>
            <w:tcW w:w="817" w:type="dxa"/>
          </w:tcPr>
          <w:p w14:paraId="327498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500</w:t>
            </w:r>
          </w:p>
        </w:tc>
        <w:tc>
          <w:tcPr>
            <w:tcW w:w="1276" w:type="dxa"/>
          </w:tcPr>
          <w:p w14:paraId="3E1B32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АЧ-30Б</w:t>
            </w:r>
          </w:p>
        </w:tc>
        <w:tc>
          <w:tcPr>
            <w:tcW w:w="850" w:type="dxa"/>
          </w:tcPr>
          <w:p w14:paraId="345C36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562</w:t>
            </w:r>
          </w:p>
        </w:tc>
        <w:tc>
          <w:tcPr>
            <w:tcW w:w="851" w:type="dxa"/>
          </w:tcPr>
          <w:p w14:paraId="509A16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411</w:t>
            </w:r>
          </w:p>
        </w:tc>
      </w:tr>
      <w:tr w:rsidR="00561F31" w:rsidRPr="00F90EAE" w14:paraId="189DFFDC" w14:textId="77777777">
        <w:tc>
          <w:tcPr>
            <w:tcW w:w="817" w:type="dxa"/>
          </w:tcPr>
          <w:p w14:paraId="20ABD8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1276" w:type="dxa"/>
          </w:tcPr>
          <w:p w14:paraId="7BA7A1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АШ-62ИР</w:t>
            </w:r>
          </w:p>
        </w:tc>
        <w:tc>
          <w:tcPr>
            <w:tcW w:w="850" w:type="dxa"/>
          </w:tcPr>
          <w:p w14:paraId="68FB1E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851" w:type="dxa"/>
          </w:tcPr>
          <w:p w14:paraId="04D91F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(2563,155)</w:t>
            </w:r>
          </w:p>
        </w:tc>
      </w:tr>
    </w:tbl>
    <w:p w14:paraId="006D5525" w14:textId="77777777" w:rsidR="00C2313B" w:rsidRPr="00F90EAE" w:rsidRDefault="00C2313B" w:rsidP="00F90EAE">
      <w:pPr>
        <w:autoSpaceDE w:val="0"/>
        <w:autoSpaceDN w:val="0"/>
        <w:adjustRightInd w:val="0"/>
        <w:jc w:val="both"/>
        <w:rPr>
          <w:color w:val="000000" w:themeColor="text1"/>
          <w:sz w:val="16"/>
          <w:szCs w:val="16"/>
        </w:rPr>
      </w:pPr>
    </w:p>
    <w:p w14:paraId="7D68251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F63A31F" w14:textId="77777777" w:rsidR="00C2313B" w:rsidRPr="00F90EAE" w:rsidRDefault="00C2313B" w:rsidP="00F90EAE">
      <w:pPr>
        <w:autoSpaceDE w:val="0"/>
        <w:autoSpaceDN w:val="0"/>
        <w:adjustRightInd w:val="0"/>
        <w:jc w:val="both"/>
        <w:rPr>
          <w:iCs/>
          <w:color w:val="000000" w:themeColor="text1"/>
          <w:sz w:val="16"/>
          <w:szCs w:val="16"/>
        </w:rPr>
      </w:pPr>
    </w:p>
    <w:p w14:paraId="4C75B174" w14:textId="77777777" w:rsidR="007347DA" w:rsidRPr="00F90EAE" w:rsidRDefault="007347DA" w:rsidP="00F90EAE">
      <w:pPr>
        <w:jc w:val="both"/>
        <w:rPr>
          <w:color w:val="000000" w:themeColor="text1"/>
          <w:sz w:val="16"/>
          <w:szCs w:val="16"/>
        </w:rPr>
      </w:pPr>
      <w:r w:rsidRPr="00F90EAE">
        <w:rPr>
          <w:color w:val="000000" w:themeColor="text1"/>
          <w:sz w:val="16"/>
          <w:szCs w:val="16"/>
        </w:rPr>
        <w:t>С 6 по 19 января 1945 года переделанная СУ-85А испытавалась на НИБТ Полигоне в Кубинке. Там она прошла 1028 километров (511 по шоссе, 330 по просёлку и 187 по целине). И в зимних условиях машина вела себя на уровне обычной СУ-76М. Увеличение массы на две тонны не сказалось на надёжности машины, в ходе испытаний поломок отмечено не было. Средние скорости 29,2 км/ч по шоссе, 22,1 км/ч по просёлку и 17,1 км/ч по целине, показанные в зимних условиях, также соответствовали ходовым характеристикам более лёгкой СУ-76М. Максимальный угол, преодолеваемый машиной, составил 25 градусов, дальше ей не хватало сцепления гусениц с заснеженным грунтом.</w:t>
      </w:r>
    </w:p>
    <w:p w14:paraId="5A259D22" w14:textId="77777777" w:rsidR="007347DA" w:rsidRPr="00F90EAE" w:rsidRDefault="007347DA" w:rsidP="00F90EAE">
      <w:pPr>
        <w:jc w:val="both"/>
        <w:rPr>
          <w:color w:val="000000" w:themeColor="text1"/>
          <w:sz w:val="16"/>
          <w:szCs w:val="16"/>
        </w:rPr>
      </w:pPr>
      <w:r w:rsidRPr="00F90EAE">
        <w:rPr>
          <w:color w:val="000000" w:themeColor="text1"/>
          <w:sz w:val="16"/>
          <w:szCs w:val="16"/>
        </w:rPr>
        <w:t>Совсем иная картина наблюдалась на огневых испытаниях. Замечания Арткома ГАУ в адрес орудия Д-5С-85А были обоснованными. Эта система хорошо подходила для СУ-85, КВ-85 и ИС-85, но не особо годилась для лёгкой САУ. Высокое сопротивление откату устранить было непросто, поэтому результаты огневых испытаний оказались предсказуемыми. В то время, как СУ-76М и СУ-85 при стрельбе практически не сносило в продольной плоскости, у СУ-85А значение невозвратного отхода назад составило 380–457 мм при расторможенных гусеницах. Существенной оказалась амплитуда вертикальных колебаний. При выстреле машину чуть разворачивало влево. Кучность оказалась удовлетворительной, а прицельная скорострельность составила шесть выстрелов в минуту, то есть на уровне СУ-85.</w:t>
      </w:r>
    </w:p>
    <w:p w14:paraId="700A1410" w14:textId="77777777" w:rsidR="007347DA" w:rsidRPr="00F90EAE" w:rsidRDefault="007347DA" w:rsidP="00F90EAE">
      <w:pPr>
        <w:jc w:val="both"/>
        <w:rPr>
          <w:color w:val="000000" w:themeColor="text1"/>
          <w:sz w:val="16"/>
          <w:szCs w:val="16"/>
        </w:rPr>
      </w:pPr>
      <w:r w:rsidRPr="00F90EAE">
        <w:rPr>
          <w:color w:val="000000" w:themeColor="text1"/>
          <w:sz w:val="16"/>
          <w:szCs w:val="16"/>
        </w:rPr>
        <w:t>Выяснилось, что стрельба по движущимся целям на дистанции 1,5 километра хоть и возможна, но не эффективна из-за затруднений, возникающих у командира машины при корректировке огня. Также имели место проблемы с прочностью системы: пружины Бельвилля после пробега 200–300 километров оказались деформированными. Из-за этого нагрузка на маховики наводки увеличивалась до 12–15 килограмм. Сохранилась и проблема с люфтами механизмов наведения. При обстреле защиты подвижной бронировки из пулемёта MG 42 брызги от пуль попадали в боевое отделение.</w:t>
      </w:r>
    </w:p>
    <w:p w14:paraId="4DB0AD89" w14:textId="77777777" w:rsidR="007347DA" w:rsidRPr="00F90EAE" w:rsidRDefault="007347DA" w:rsidP="00F90EAE">
      <w:pPr>
        <w:jc w:val="both"/>
        <w:rPr>
          <w:color w:val="000000" w:themeColor="text1"/>
          <w:sz w:val="16"/>
          <w:szCs w:val="16"/>
        </w:rPr>
      </w:pPr>
      <w:r w:rsidRPr="00F90EAE">
        <w:rPr>
          <w:color w:val="000000" w:themeColor="text1"/>
          <w:sz w:val="16"/>
          <w:szCs w:val="16"/>
        </w:rPr>
        <w:t>Заключение НИБТ Полигона оказалось близким к предыдущему отчёту. Шасси СУ-85А было вполне надёжным, но орудие явно требовало замены. Существенная переделка машины, а особенно её артиллерийской части, стала неизбежной (18098).</w:t>
      </w:r>
    </w:p>
    <w:p w14:paraId="0DFE4733" w14:textId="77777777" w:rsidR="007347DA" w:rsidRPr="00F90EAE" w:rsidRDefault="007347DA" w:rsidP="00F90EAE">
      <w:pPr>
        <w:jc w:val="both"/>
        <w:rPr>
          <w:color w:val="000000" w:themeColor="text1"/>
          <w:sz w:val="16"/>
          <w:szCs w:val="16"/>
        </w:rPr>
      </w:pPr>
    </w:p>
    <w:p w14:paraId="6EFE2E9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января 1945 вышло Постановление ГКО № 7271 Об изменении режима светомаскировки на железнодорожном транспорте. (7295, 86).</w:t>
      </w:r>
    </w:p>
    <w:p w14:paraId="284F3AFE"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296E2C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января 1945 вышло Постановление ГКО № 7272 О мерах по обеспечению отгрузки импортных грузов по Приморской железной дороге в январе 1945 г. (7295, 87-90).</w:t>
      </w:r>
    </w:p>
    <w:p w14:paraId="718721E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82D19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вышло Постановление ГКО № 7273 Об использовании нефтяных труб, завезенных из Румынии. РГАНИР, Фонд ГКО, д. 348, лл. 91-93 (11012).</w:t>
      </w:r>
    </w:p>
    <w:p w14:paraId="253C02A3" w14:textId="77777777" w:rsidR="00C2313B" w:rsidRPr="00F90EAE" w:rsidRDefault="00C2313B" w:rsidP="00F90EAE">
      <w:pPr>
        <w:autoSpaceDE w:val="0"/>
        <w:autoSpaceDN w:val="0"/>
        <w:adjustRightInd w:val="0"/>
        <w:jc w:val="both"/>
        <w:rPr>
          <w:color w:val="000000" w:themeColor="text1"/>
          <w:sz w:val="16"/>
          <w:szCs w:val="16"/>
        </w:rPr>
      </w:pPr>
    </w:p>
    <w:p w14:paraId="0A3DEA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вышло Распоряжение ГКО № 7274. Об обеспечении снаряжательных заводов Наркомбоеприпасов корпусами снарядов и мин. РГАНИР, Фонд ГКО, д. 348, лл. 94-97, 98-105 (11012).</w:t>
      </w:r>
    </w:p>
    <w:p w14:paraId="046B4DEA" w14:textId="77777777" w:rsidR="00C2313B" w:rsidRPr="00F90EAE" w:rsidRDefault="00C2313B" w:rsidP="00F90EAE">
      <w:pPr>
        <w:autoSpaceDE w:val="0"/>
        <w:autoSpaceDN w:val="0"/>
        <w:adjustRightInd w:val="0"/>
        <w:jc w:val="both"/>
        <w:rPr>
          <w:color w:val="000000" w:themeColor="text1"/>
          <w:sz w:val="16"/>
          <w:szCs w:val="16"/>
        </w:rPr>
      </w:pPr>
    </w:p>
    <w:p w14:paraId="2398B11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января 1945 вышло Постановление ГКО № 7275 [Об отводе в тыл со 2-го и 3-го Украинских Фронтов лишних лошадей.] (7295, 106,107-108).</w:t>
      </w:r>
    </w:p>
    <w:p w14:paraId="33CFC50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4C79F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для разработки оперативно-тактических заданий была создана специальная комиссия, где важнейшие подко</w:t>
      </w:r>
      <w:r w:rsidRPr="00F90EAE">
        <w:rPr>
          <w:color w:val="000000" w:themeColor="text1"/>
          <w:sz w:val="16"/>
          <w:szCs w:val="16"/>
        </w:rPr>
        <w:softHyphen/>
        <w:t>миссии возглавляли вице-адмирал С. П. Ставицкий (по линкорам и крейсерам), контр-адмирал А. В. Добротворский (по эсминцам) и др. В план 1945 г. была включена достройка крейсеров и эсмин</w:t>
      </w:r>
      <w:r w:rsidRPr="00F90EAE">
        <w:rPr>
          <w:color w:val="000000" w:themeColor="text1"/>
          <w:sz w:val="16"/>
          <w:szCs w:val="16"/>
        </w:rPr>
        <w:softHyphen/>
        <w:t>цев предвоенной закладки. Одновременно Н. Г. Кузнецов доклады</w:t>
      </w:r>
      <w:r w:rsidRPr="00F90EAE">
        <w:rPr>
          <w:color w:val="000000" w:themeColor="text1"/>
          <w:sz w:val="16"/>
          <w:szCs w:val="16"/>
        </w:rPr>
        <w:softHyphen/>
        <w:t>вал И. В. Сталину о необходимости развернуть в 1946 г. построй</w:t>
      </w:r>
      <w:r w:rsidRPr="00F90EAE">
        <w:rPr>
          <w:color w:val="000000" w:themeColor="text1"/>
          <w:sz w:val="16"/>
          <w:szCs w:val="16"/>
        </w:rPr>
        <w:softHyphen/>
        <w:t>ку головных эсминцев и сторожевиков новых проектов. Судьба этих предложений, так же как и новых проектнь1х разработок, опре</w:t>
      </w:r>
      <w:r w:rsidRPr="00F90EAE">
        <w:rPr>
          <w:color w:val="000000" w:themeColor="text1"/>
          <w:sz w:val="16"/>
          <w:szCs w:val="16"/>
        </w:rPr>
        <w:softHyphen/>
        <w:t>делилась уже при разработке десятилетней послевоенной судостро</w:t>
      </w:r>
      <w:r w:rsidRPr="00F90EAE">
        <w:rPr>
          <w:color w:val="000000" w:themeColor="text1"/>
          <w:sz w:val="16"/>
          <w:szCs w:val="16"/>
        </w:rPr>
        <w:softHyphen/>
        <w:t>ительной программы (3898).</w:t>
      </w:r>
    </w:p>
    <w:p w14:paraId="39361D91" w14:textId="77777777" w:rsidR="00C2313B" w:rsidRPr="00F90EAE" w:rsidRDefault="00C2313B" w:rsidP="00F90EAE">
      <w:pPr>
        <w:autoSpaceDE w:val="0"/>
        <w:autoSpaceDN w:val="0"/>
        <w:adjustRightInd w:val="0"/>
        <w:jc w:val="both"/>
        <w:rPr>
          <w:color w:val="000000" w:themeColor="text1"/>
          <w:sz w:val="16"/>
          <w:szCs w:val="16"/>
        </w:rPr>
      </w:pPr>
    </w:p>
    <w:p w14:paraId="6C19150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949513E" w14:textId="77777777" w:rsidR="00C2313B" w:rsidRPr="00F90EAE" w:rsidRDefault="00C2313B" w:rsidP="00F90EAE">
      <w:pPr>
        <w:autoSpaceDE w:val="0"/>
        <w:autoSpaceDN w:val="0"/>
        <w:adjustRightInd w:val="0"/>
        <w:jc w:val="both"/>
        <w:rPr>
          <w:iCs/>
          <w:color w:val="000000" w:themeColor="text1"/>
          <w:sz w:val="16"/>
          <w:szCs w:val="16"/>
        </w:rPr>
      </w:pPr>
    </w:p>
    <w:p w14:paraId="2CBE6FF2" w14:textId="77777777" w:rsidR="003E545E" w:rsidRPr="00F90EAE" w:rsidRDefault="003E545E" w:rsidP="00F90EAE">
      <w:pPr>
        <w:jc w:val="both"/>
        <w:rPr>
          <w:color w:val="000000" w:themeColor="text1"/>
          <w:sz w:val="16"/>
          <w:szCs w:val="16"/>
        </w:rPr>
      </w:pPr>
      <w:r w:rsidRPr="00F90EAE">
        <w:rPr>
          <w:bCs/>
          <w:color w:val="000000" w:themeColor="text1"/>
          <w:sz w:val="16"/>
          <w:szCs w:val="16"/>
        </w:rPr>
        <w:t>6 января</w:t>
      </w:r>
      <w:r w:rsidRPr="00F90EAE">
        <w:rPr>
          <w:color w:val="000000" w:themeColor="text1"/>
          <w:sz w:val="16"/>
          <w:szCs w:val="16"/>
        </w:rPr>
        <w:t xml:space="preserve"> в 1945 году оперативная сводка Совинформбюро:</w:t>
      </w:r>
    </w:p>
    <w:p w14:paraId="20D96823" w14:textId="77777777" w:rsidR="003E545E" w:rsidRPr="00F90EAE" w:rsidRDefault="003E545E" w:rsidP="00F90EAE">
      <w:pPr>
        <w:jc w:val="both"/>
        <w:rPr>
          <w:color w:val="000000" w:themeColor="text1"/>
          <w:sz w:val="16"/>
          <w:szCs w:val="16"/>
        </w:rPr>
      </w:pPr>
      <w:r w:rsidRPr="00F90EAE">
        <w:rPr>
          <w:color w:val="000000" w:themeColor="text1"/>
          <w:sz w:val="16"/>
          <w:szCs w:val="16"/>
        </w:rPr>
        <w:lastRenderedPageBreak/>
        <w:t>«В течение 6 января в районе Будапешта наши войска, продолжая бои по уничтожению окружённой группировки противника, заняли 173 квартала. В боях за 5 января в городе Будапеште наши войска взяли в плен 1.630 немецких и венгерских: солдат и офицеров.</w:t>
      </w:r>
    </w:p>
    <w:p w14:paraId="4F7CDCA8" w14:textId="77777777" w:rsidR="003E545E" w:rsidRPr="00F90EAE" w:rsidRDefault="003E545E" w:rsidP="00F90EAE">
      <w:pPr>
        <w:jc w:val="both"/>
        <w:rPr>
          <w:color w:val="000000" w:themeColor="text1"/>
          <w:sz w:val="16"/>
          <w:szCs w:val="16"/>
        </w:rPr>
      </w:pPr>
      <w:r w:rsidRPr="00F90EAE">
        <w:rPr>
          <w:color w:val="000000" w:themeColor="text1"/>
          <w:sz w:val="16"/>
          <w:szCs w:val="16"/>
        </w:rPr>
        <w:t>Северо-западнее Будапешта наши войска отбивали атаки крупных сил пехоты и танков противника и нанесли ему большие потери в живой силе и технике.</w:t>
      </w:r>
    </w:p>
    <w:p w14:paraId="0429FFFD" w14:textId="77777777" w:rsidR="003E545E" w:rsidRPr="00F90EAE" w:rsidRDefault="003E545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5A4E300D" w14:textId="77777777" w:rsidR="003E545E" w:rsidRPr="00F90EAE" w:rsidRDefault="003E545E" w:rsidP="00F90EAE">
      <w:pPr>
        <w:jc w:val="both"/>
        <w:rPr>
          <w:color w:val="000000" w:themeColor="text1"/>
          <w:sz w:val="16"/>
          <w:szCs w:val="16"/>
        </w:rPr>
      </w:pPr>
      <w:r w:rsidRPr="00F90EAE">
        <w:rPr>
          <w:color w:val="000000" w:themeColor="text1"/>
          <w:sz w:val="16"/>
          <w:szCs w:val="16"/>
        </w:rPr>
        <w:t>За 5 января наши войска на всех фронтах подбили и уничтожили 130 немецких танков, из них 65 танков северо-западнее Будапешта. В воздушных боях и огнём зенитной артиллерии сбито 17 самолётов противника.</w:t>
      </w:r>
    </w:p>
    <w:p w14:paraId="049643D5" w14:textId="77777777" w:rsidR="003E545E" w:rsidRPr="00F90EAE" w:rsidRDefault="003E545E" w:rsidP="00F90EAE">
      <w:pPr>
        <w:jc w:val="both"/>
        <w:rPr>
          <w:color w:val="000000" w:themeColor="text1"/>
          <w:sz w:val="16"/>
          <w:szCs w:val="16"/>
        </w:rPr>
      </w:pPr>
      <w:r w:rsidRPr="00F90EAE">
        <w:rPr>
          <w:color w:val="000000" w:themeColor="text1"/>
          <w:sz w:val="16"/>
          <w:szCs w:val="16"/>
        </w:rPr>
        <w:t>В районе Будапешта наши войска вели бои по ликвидации окруженной группировки противника. Советские части, блокируя и уничтожая узлы сопротивления гитлеровцев, в течение дня заняли 173 квартала города. Сожжено и подбито 9 немецких танков и 12 бронетранспортеров. Очищены от гитлеровцев завод авиамоторов «Мессершмитт», радиозавод и ряд других предприятий. Места боев – улицы, площади и дворы завалены трупами немецких солдат и офицеров. Только одна гвардейская часть за день истребила до 400 гитлеровцев и захватила 2 самоходных орудия, 4 бронетранспортера, 33 пулемета, 2 радиостанции и 2 склада боеприпасов. Другая наша часть заняла сорок кварталов, уничтожив при этом свыше батальона немецкой пехоты. Бойцы этой части захватили 7 противотанковых орудий, 29 пулеметов и 6 минометов. В одном районе наши штурмовые группы блокировали два больших здания, в которых засели гитлеровцы. После ожесточенного боя противник сложил оружие. Сдались в плен 130 немецких автоматчиков.</w:t>
      </w:r>
    </w:p>
    <w:p w14:paraId="13B50571" w14:textId="77777777" w:rsidR="003E545E" w:rsidRPr="00F90EAE" w:rsidRDefault="003E545E" w:rsidP="00F90EAE">
      <w:pPr>
        <w:jc w:val="both"/>
        <w:rPr>
          <w:color w:val="000000" w:themeColor="text1"/>
          <w:sz w:val="16"/>
          <w:szCs w:val="16"/>
        </w:rPr>
      </w:pPr>
      <w:r w:rsidRPr="00F90EAE">
        <w:rPr>
          <w:color w:val="000000" w:themeColor="text1"/>
          <w:sz w:val="16"/>
          <w:szCs w:val="16"/>
        </w:rPr>
        <w:t>Северо-западнее города Будапешт противник продолжал атаки, пытаясь прорваться на помощь свей группировке, окруженной в венгерской столице. На южном берегу Дуная рано утром две пехотные дивизии и танковая дивизия СС «Мертвая голова» перешли в атаку. Завязались упорные бои. Советские артиллеристы и бронебойщики встретили танки противника мощным огнем. Тем временем наши пехотинцы вели успешную борьбу с немецкой пехотой и десантами автоматчиков. Бой длился свыше 5 часов. Гитлеровцы понесли огромные потери и были вынуждены отойти. К исходу дня противник возобновил атаки в этом районе, бросив в бой крупные силы танков и самоходных орудий. Ожесточенное сражение произошло также к западу от города Бичке. Бои неоднократно переходили в рукопашные схватки. Советские части выдержали натиск численно превосходящих сил противника и отбили его атаки. По неполным данным, в этом районе уничтожено более 1.000 немецких солдат и офицеров, подбито и сожжено 40 вражеских танков и самоходных орудий, 5 бронемашин и 11 бронетранспортеров.</w:t>
      </w:r>
    </w:p>
    <w:p w14:paraId="229E8955" w14:textId="77777777" w:rsidR="003E545E" w:rsidRPr="00F90EAE" w:rsidRDefault="003E545E" w:rsidP="00F90EAE">
      <w:pPr>
        <w:jc w:val="both"/>
        <w:rPr>
          <w:color w:val="000000" w:themeColor="text1"/>
          <w:sz w:val="16"/>
          <w:szCs w:val="16"/>
        </w:rPr>
      </w:pPr>
      <w:r w:rsidRPr="00F90EAE">
        <w:rPr>
          <w:color w:val="000000" w:themeColor="text1"/>
          <w:sz w:val="16"/>
          <w:szCs w:val="16"/>
        </w:rPr>
        <w:t>Наша авиация, несмотря на неблагоприятные условия погоды, продолжала наносить бомбо-штурмовые удары по войскам противника. Советские летчики уничтожили 11 немецких танков, 6 бронемашин и 40 автомашин. В воздушных боях сбито 9 немецких самолетов.</w:t>
      </w:r>
    </w:p>
    <w:p w14:paraId="37074E15" w14:textId="77777777" w:rsidR="003E545E" w:rsidRPr="00F90EAE" w:rsidRDefault="003E545E" w:rsidP="00F90EAE">
      <w:pPr>
        <w:jc w:val="both"/>
        <w:rPr>
          <w:color w:val="000000" w:themeColor="text1"/>
          <w:sz w:val="16"/>
          <w:szCs w:val="16"/>
        </w:rPr>
      </w:pPr>
      <w:r w:rsidRPr="00F90EAE">
        <w:rPr>
          <w:color w:val="000000" w:themeColor="text1"/>
          <w:sz w:val="16"/>
          <w:szCs w:val="16"/>
        </w:rPr>
        <w:t>Советские воины проявляют непоколебимую стойкость и мужество в боях с врагом. Артиллерийская батарея старшего лейтенанта Литвина, отражая атаку противника подбила самоходное орудие, уничтожила 3 пулемета и до 40 гитлеровцев. Экипаж самоходной установки гвардии младшего лейтенанта Калашникова сжег тяжелый немецкий танк «Королевский тигр». Командир орудия гвардии старший сержант Чернота, наводчик гвардии сержант Зимченко и замковой ефрейтор Санчиков подбили самоходное орудие немцев. Группа бойцов, возглавляемая сержантом Олейником, ночью пробралась в расположение противника и напала на подразделение гитлеровцев. Отважные воины перебили 30 немцев и, захватив пленного, вернулись в расположение своей части.</w:t>
      </w:r>
    </w:p>
    <w:p w14:paraId="2E4B4B0E" w14:textId="77777777" w:rsidR="003E545E" w:rsidRPr="00F90EAE" w:rsidRDefault="003E545E" w:rsidP="00F90EAE">
      <w:pPr>
        <w:jc w:val="both"/>
        <w:rPr>
          <w:color w:val="000000" w:themeColor="text1"/>
          <w:sz w:val="16"/>
          <w:szCs w:val="16"/>
        </w:rPr>
      </w:pPr>
      <w:r w:rsidRPr="00F90EAE">
        <w:rPr>
          <w:color w:val="000000" w:themeColor="text1"/>
          <w:sz w:val="16"/>
          <w:szCs w:val="16"/>
        </w:rPr>
        <w:t>Юго-западнее города Остроленка артиллеристы Н-ского соединения произвели обстрел вражеских позиций. Разбито 2 немецких дзота, 3 блиндажа, уничтожено 8 пулеметных точек и рассеяно скопление вражеской пехоты. На другом участке разведывательные отряды противника атаковали наши позиции. Гитлеровцы попали под сильный огонь советских пулеметчиков и минометчиков и поспешно отступили. На поле боя осталось несколько десятков убитых и раненых немецких солдат.</w:t>
      </w:r>
    </w:p>
    <w:p w14:paraId="198B203F" w14:textId="77777777" w:rsidR="003E545E" w:rsidRPr="00F90EAE" w:rsidRDefault="003E545E" w:rsidP="00F90EAE">
      <w:pPr>
        <w:jc w:val="both"/>
        <w:rPr>
          <w:color w:val="000000" w:themeColor="text1"/>
          <w:sz w:val="16"/>
          <w:szCs w:val="16"/>
        </w:rPr>
      </w:pPr>
      <w:r w:rsidRPr="00F90EAE">
        <w:rPr>
          <w:color w:val="000000" w:themeColor="text1"/>
          <w:sz w:val="16"/>
          <w:szCs w:val="16"/>
        </w:rPr>
        <w:t>На 1-м Украинском фронте на одном участке бойцы подразделения гвардии майора Славгородского предприняли разведку боем. Рано утром советская артиллерия совершила огневой налет на расположение противника. Следуя за огневым валом, наши подразделения ворвались во вражеские траншеи. Гитлеровцы быстро стали отходить, но в это время их накрыл мощный залп наших минометов. В результате боя полностью уничтожена рота немецкой пехоты. Захвачены 11 пленных, а также пулеметы, автоматы, винтовки и боеприпасы.» (15001).</w:t>
      </w:r>
    </w:p>
    <w:p w14:paraId="0960C14B" w14:textId="77777777" w:rsidR="003E545E" w:rsidRPr="00F90EAE" w:rsidRDefault="003E545E" w:rsidP="00F90EAE">
      <w:pPr>
        <w:jc w:val="both"/>
        <w:rPr>
          <w:color w:val="000000" w:themeColor="text1"/>
          <w:sz w:val="16"/>
          <w:szCs w:val="16"/>
        </w:rPr>
      </w:pPr>
    </w:p>
    <w:p w14:paraId="5FE41A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первых числах января 1945 г. по личному распо</w:t>
      </w:r>
      <w:r w:rsidRPr="00F90EAE">
        <w:rPr>
          <w:color w:val="000000" w:themeColor="text1"/>
          <w:sz w:val="16"/>
          <w:szCs w:val="16"/>
        </w:rPr>
        <w:softHyphen/>
        <w:t>ряжению заместителя начальника Управ</w:t>
      </w:r>
      <w:r w:rsidRPr="00F90EAE">
        <w:rPr>
          <w:color w:val="000000" w:themeColor="text1"/>
          <w:sz w:val="16"/>
          <w:szCs w:val="16"/>
        </w:rPr>
        <w:softHyphen/>
        <w:t>ления формирования и комплектования ВВС полковника Бронштейна 78-му гшап надлежало срочно завершить переучи</w:t>
      </w:r>
      <w:r w:rsidRPr="00F90EAE">
        <w:rPr>
          <w:color w:val="000000" w:themeColor="text1"/>
          <w:sz w:val="16"/>
          <w:szCs w:val="16"/>
        </w:rPr>
        <w:softHyphen/>
        <w:t>вание и убыть в действующую армию в состав 2-й гвардейской штурмовой авиадивизии (гшад) 16-й воздушной ар</w:t>
      </w:r>
      <w:r w:rsidRPr="00F90EAE">
        <w:rPr>
          <w:color w:val="000000" w:themeColor="text1"/>
          <w:sz w:val="16"/>
          <w:szCs w:val="16"/>
        </w:rPr>
        <w:softHyphen/>
        <w:t>мии. К этому времени пилоты полка имели налет на Ил-10 всего 57 мин и по шесть посадок. На боевое применение никто не вылетал. Полк срочно пополнили до штата молодыми летчиками и укомплек</w:t>
      </w:r>
      <w:r w:rsidRPr="00F90EAE">
        <w:rPr>
          <w:color w:val="000000" w:themeColor="text1"/>
          <w:sz w:val="16"/>
          <w:szCs w:val="16"/>
        </w:rPr>
        <w:softHyphen/>
        <w:t>товали 20 Ил-2 и 15 Ил-10. 10 января 1945 г. переучивание официально закон</w:t>
      </w:r>
      <w:r w:rsidRPr="00F90EAE">
        <w:rPr>
          <w:color w:val="000000" w:themeColor="text1"/>
          <w:sz w:val="16"/>
          <w:szCs w:val="16"/>
        </w:rPr>
        <w:softHyphen/>
        <w:t>чилось, и уже через два дня полк был признан готовым к отправке на фронт. Отбытие назначили на 12 января. Одна</w:t>
      </w:r>
      <w:r w:rsidRPr="00F90EAE">
        <w:rPr>
          <w:color w:val="000000" w:themeColor="text1"/>
          <w:sz w:val="16"/>
          <w:szCs w:val="16"/>
        </w:rPr>
        <w:softHyphen/>
        <w:t>ко долго не было годных к перелету са</w:t>
      </w:r>
      <w:r w:rsidRPr="00F90EAE">
        <w:rPr>
          <w:color w:val="000000" w:themeColor="text1"/>
          <w:sz w:val="16"/>
          <w:szCs w:val="16"/>
        </w:rPr>
        <w:softHyphen/>
        <w:t>молетов, к тому же прлк решили до</w:t>
      </w:r>
      <w:r w:rsidRPr="00F90EAE">
        <w:rPr>
          <w:color w:val="000000" w:themeColor="text1"/>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F90EAE">
        <w:rPr>
          <w:color w:val="000000" w:themeColor="text1"/>
          <w:sz w:val="16"/>
          <w:szCs w:val="16"/>
        </w:rPr>
        <w:softHyphen/>
        <w:t>ния. Второй эшелон - 10 экипажей на Ил-10 - отправился на фронт на следу</w:t>
      </w:r>
      <w:r w:rsidRPr="00F90EAE">
        <w:rPr>
          <w:color w:val="000000" w:themeColor="text1"/>
          <w:sz w:val="16"/>
          <w:szCs w:val="16"/>
        </w:rPr>
        <w:softHyphen/>
        <w:t>ющий день. Фактически 78-й полк был не готов к боевым действиям на новом штурмови</w:t>
      </w:r>
      <w:r w:rsidRPr="00F90EAE">
        <w:rPr>
          <w:color w:val="000000" w:themeColor="text1"/>
          <w:sz w:val="16"/>
          <w:szCs w:val="16"/>
        </w:rPr>
        <w:softHyphen/>
        <w:t>ке. В то же время тот летный состав, ко</w:t>
      </w:r>
      <w:r w:rsidRPr="00F90EAE">
        <w:rPr>
          <w:color w:val="000000" w:themeColor="text1"/>
          <w:sz w:val="16"/>
          <w:szCs w:val="16"/>
        </w:rPr>
        <w:softHyphen/>
        <w:t>торый прибыл с передовой на переучи</w:t>
      </w:r>
      <w:r w:rsidRPr="00F90EAE">
        <w:rPr>
          <w:color w:val="000000" w:themeColor="text1"/>
          <w:sz w:val="16"/>
          <w:szCs w:val="16"/>
        </w:rPr>
        <w:softHyphen/>
        <w:t>вание, имел солидный боевой опыт. Не</w:t>
      </w:r>
      <w:r w:rsidRPr="00F90EAE">
        <w:rPr>
          <w:color w:val="000000" w:themeColor="text1"/>
          <w:sz w:val="16"/>
          <w:szCs w:val="16"/>
        </w:rPr>
        <w:softHyphen/>
        <w:t>плохо были подготовлены и молодые пилоты, но на Ил-10 они вообще не ле</w:t>
      </w:r>
      <w:r w:rsidRPr="00F90EAE">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F90EAE">
        <w:rPr>
          <w:color w:val="000000" w:themeColor="text1"/>
          <w:sz w:val="16"/>
          <w:szCs w:val="16"/>
        </w:rPr>
        <w:softHyphen/>
        <w:t>мии и 2-й гшад. Выяснив реальную го</w:t>
      </w:r>
      <w:r w:rsidRPr="00F90EAE">
        <w:rPr>
          <w:color w:val="000000" w:themeColor="text1"/>
          <w:sz w:val="16"/>
          <w:szCs w:val="16"/>
        </w:rPr>
        <w:softHyphen/>
        <w:t>товность полка к боевым действиям, они мудро решили полк в бой пока не вво</w:t>
      </w:r>
      <w:r w:rsidRPr="00F90EAE">
        <w:rPr>
          <w:color w:val="000000" w:themeColor="text1"/>
          <w:sz w:val="16"/>
          <w:szCs w:val="16"/>
        </w:rPr>
        <w:softHyphen/>
        <w:t>дить, дабы не подорвать веру в новый штурмовик и не нести напрасные поте</w:t>
      </w:r>
      <w:r w:rsidRPr="00F90EAE">
        <w:rPr>
          <w:color w:val="000000" w:themeColor="text1"/>
          <w:sz w:val="16"/>
          <w:szCs w:val="16"/>
        </w:rPr>
        <w:softHyphen/>
        <w:t>ри, а дать летчикам полноценно подгото</w:t>
      </w:r>
      <w:r w:rsidRPr="00F90EAE">
        <w:rPr>
          <w:color w:val="000000" w:themeColor="text1"/>
          <w:sz w:val="16"/>
          <w:szCs w:val="16"/>
        </w:rPr>
        <w:softHyphen/>
        <w:t>виться, а также завершить перевооруже</w:t>
      </w:r>
      <w:r w:rsidRPr="00F90EAE">
        <w:rPr>
          <w:color w:val="000000" w:themeColor="text1"/>
          <w:sz w:val="16"/>
          <w:szCs w:val="16"/>
        </w:rPr>
        <w:softHyphen/>
        <w:t>ние части на Ил-10. В течение всего ап</w:t>
      </w:r>
      <w:r w:rsidRPr="00F90EAE">
        <w:rPr>
          <w:color w:val="000000" w:themeColor="text1"/>
          <w:sz w:val="16"/>
          <w:szCs w:val="16"/>
        </w:rPr>
        <w:softHyphen/>
        <w:t>реля в 78-м интенсивно занимались вво</w:t>
      </w:r>
      <w:r w:rsidRPr="00F90EAE">
        <w:rPr>
          <w:color w:val="000000" w:themeColor="text1"/>
          <w:sz w:val="16"/>
          <w:szCs w:val="16"/>
        </w:rPr>
        <w:softHyphen/>
        <w:t>дом в строй молодого летного состава, не прошедшего в Куйбышеве переучива</w:t>
      </w:r>
      <w:r w:rsidRPr="00F90EAE">
        <w:rPr>
          <w:color w:val="000000" w:themeColor="text1"/>
          <w:sz w:val="16"/>
          <w:szCs w:val="16"/>
        </w:rPr>
        <w:softHyphen/>
        <w:t>ния на новый штурмовик, и тренировкой «стариков». В это время во Львове при</w:t>
      </w:r>
      <w:r w:rsidRPr="00F90EAE">
        <w:rPr>
          <w:color w:val="000000" w:themeColor="text1"/>
          <w:sz w:val="16"/>
          <w:szCs w:val="16"/>
        </w:rPr>
        <w:softHyphen/>
        <w:t>нимали и собирали Ил-10. Машины за</w:t>
      </w:r>
      <w:r w:rsidRPr="00F90EAE">
        <w:rPr>
          <w:color w:val="000000" w:themeColor="text1"/>
          <w:sz w:val="16"/>
          <w:szCs w:val="16"/>
        </w:rPr>
        <w:softHyphen/>
        <w:t>тем перегонялись на базу наиболее под</w:t>
      </w:r>
      <w:r w:rsidRPr="00F90EAE">
        <w:rPr>
          <w:color w:val="000000" w:themeColor="text1"/>
          <w:sz w:val="16"/>
          <w:szCs w:val="16"/>
        </w:rPr>
        <w:softHyphen/>
        <w:t>готовленными летчиками полка. Имев</w:t>
      </w:r>
      <w:r w:rsidRPr="00F90EAE">
        <w:rPr>
          <w:color w:val="000000" w:themeColor="text1"/>
          <w:sz w:val="16"/>
          <w:szCs w:val="16"/>
        </w:rPr>
        <w:softHyphen/>
        <w:t>шиеся Ил-2 передавались в другие час</w:t>
      </w:r>
      <w:r w:rsidRPr="00F90EAE">
        <w:rPr>
          <w:color w:val="000000" w:themeColor="text1"/>
          <w:sz w:val="16"/>
          <w:szCs w:val="16"/>
        </w:rPr>
        <w:softHyphen/>
        <w:t>ти дивизии (10681).</w:t>
      </w:r>
    </w:p>
    <w:p w14:paraId="4CE36D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BE7E11A" w14:textId="77777777" w:rsidR="0084047D" w:rsidRPr="00F90EAE" w:rsidRDefault="0084047D" w:rsidP="00F90EAE">
      <w:pPr>
        <w:jc w:val="both"/>
        <w:rPr>
          <w:color w:val="000000" w:themeColor="text1"/>
          <w:sz w:val="16"/>
          <w:szCs w:val="16"/>
        </w:rPr>
      </w:pPr>
      <w:r w:rsidRPr="00F90EAE">
        <w:rPr>
          <w:rStyle w:val="107"/>
          <w:rFonts w:eastAsiaTheme="minorHAnsi"/>
          <w:color w:val="000000" w:themeColor="text1"/>
          <w:sz w:val="16"/>
          <w:szCs w:val="16"/>
        </w:rPr>
        <w:t>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19B38B7F" w14:textId="77777777" w:rsidR="0084047D" w:rsidRPr="00F90EAE" w:rsidRDefault="0084047D" w:rsidP="00F90EAE">
      <w:pPr>
        <w:jc w:val="both"/>
        <w:rPr>
          <w:color w:val="000000" w:themeColor="text1"/>
          <w:sz w:val="16"/>
          <w:szCs w:val="16"/>
        </w:rPr>
      </w:pPr>
      <w:r w:rsidRPr="00F90EAE">
        <w:rPr>
          <w:rStyle w:val="107"/>
          <w:rFonts w:eastAsiaTheme="minorHAnsi"/>
          <w:color w:val="000000" w:themeColor="text1"/>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17FB53F1" w14:textId="77777777" w:rsidR="0084047D" w:rsidRPr="00F90EAE" w:rsidRDefault="0084047D" w:rsidP="00F90EAE">
      <w:pPr>
        <w:jc w:val="both"/>
        <w:rPr>
          <w:color w:val="000000" w:themeColor="text1"/>
          <w:sz w:val="16"/>
          <w:szCs w:val="16"/>
        </w:rPr>
      </w:pPr>
      <w:r w:rsidRPr="00F90EAE">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1FCFFEFF" w14:textId="77777777" w:rsidR="0084047D" w:rsidRPr="00F90EAE" w:rsidRDefault="0084047D" w:rsidP="00F90EAE">
      <w:pPr>
        <w:jc w:val="both"/>
        <w:rPr>
          <w:color w:val="000000" w:themeColor="text1"/>
          <w:sz w:val="16"/>
          <w:szCs w:val="16"/>
        </w:rPr>
      </w:pPr>
    </w:p>
    <w:p w14:paraId="09764A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в Восточной Пруссии началось большое советское наступление и через несколько дней на аэродром в Гросс-Шиманене приземлился исправный Як-3 полка Нормандия Неман (3841).</w:t>
      </w:r>
    </w:p>
    <w:p w14:paraId="1A08ED34" w14:textId="77777777" w:rsidR="00C2313B" w:rsidRPr="00F90EAE" w:rsidRDefault="00C2313B" w:rsidP="00F90EAE">
      <w:pPr>
        <w:autoSpaceDE w:val="0"/>
        <w:autoSpaceDN w:val="0"/>
        <w:adjustRightInd w:val="0"/>
        <w:jc w:val="both"/>
        <w:rPr>
          <w:color w:val="000000" w:themeColor="text1"/>
          <w:sz w:val="16"/>
          <w:szCs w:val="16"/>
        </w:rPr>
      </w:pPr>
    </w:p>
    <w:p w14:paraId="6380AE98" w14:textId="77777777" w:rsidR="003E545E" w:rsidRPr="00F90EAE" w:rsidRDefault="003E545E" w:rsidP="00F90EAE">
      <w:pPr>
        <w:pStyle w:val="rtejustify"/>
        <w:shd w:val="clear" w:color="auto" w:fill="FFFFFF"/>
        <w:spacing w:before="0" w:after="0"/>
        <w:rPr>
          <w:color w:val="000000" w:themeColor="text1"/>
          <w:sz w:val="16"/>
          <w:szCs w:val="16"/>
        </w:rPr>
      </w:pPr>
      <w:r w:rsidRPr="00F90EAE">
        <w:rPr>
          <w:color w:val="000000" w:themeColor="text1"/>
          <w:sz w:val="16"/>
          <w:szCs w:val="16"/>
        </w:rPr>
        <w:t>6 января 1945 года в Восточной Пруссии началось большое советское наступление. Через несколько дней первый советский истребитель Як-3 без каких либо повреждений приземлился на аэродроме в Гросс-Шиманене. В отделе Е2 Beute (отдел занимался испытаниями захваченных самолетов противника) Испытательного центра Люфтваффе в Рехлине хотели знать больше об этом новейшем советском истребителе. Согласно уже имевшимся отчетам, он был не только гораздо легче чем Як-9, но также, как полагали, превосходил его в скороподъемности и маневренности, особенно на высотах до 3-3,5 км (15474).</w:t>
      </w:r>
    </w:p>
    <w:p w14:paraId="5AB6DABA" w14:textId="77777777" w:rsidR="003E545E" w:rsidRPr="00F90EAE" w:rsidRDefault="003E545E" w:rsidP="00F90EAE">
      <w:pPr>
        <w:pStyle w:val="rtejustify"/>
        <w:shd w:val="clear" w:color="auto" w:fill="FFFFFF"/>
        <w:spacing w:before="0" w:after="0"/>
        <w:rPr>
          <w:color w:val="000000" w:themeColor="text1"/>
          <w:sz w:val="16"/>
          <w:szCs w:val="16"/>
        </w:rPr>
      </w:pPr>
    </w:p>
    <w:p w14:paraId="33F205C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6D4BF4B" w14:textId="77777777" w:rsidR="00C2313B" w:rsidRPr="00F90EAE" w:rsidRDefault="00C2313B" w:rsidP="00F90EAE">
      <w:pPr>
        <w:autoSpaceDE w:val="0"/>
        <w:autoSpaceDN w:val="0"/>
        <w:adjustRightInd w:val="0"/>
        <w:jc w:val="both"/>
        <w:rPr>
          <w:iCs/>
          <w:color w:val="000000" w:themeColor="text1"/>
          <w:sz w:val="16"/>
          <w:szCs w:val="16"/>
        </w:rPr>
      </w:pPr>
    </w:p>
    <w:p w14:paraId="0ABB80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года нарком Берия подписал приказ НКВД № 007 “О мероприятиях по обеспечению развития, добычи и переработки урановых руд”, которым “во исполнение постановления Государственного Комитета Обороны № 7102сс/ов от 8 декабря 1944 года” на Главное управление лагерей горно-металлургических предприятий НКВД (ГУЛГМП) возлагались: разведка урановых месторождений Табошар, Уйгур-Сай, Майли-Су, Тая-Муюн и Адрасман, а также “доразведка” других урановых месторождений, передаваемых НКВД для эксплуатации в дальнейшем; добыча и переработка урановых руд из этих месторождений; строительство и эксплуатация рудников и обогатительных фабрик на существующих и вновь открываемых урановых месторождениях; строительство и эксплуатация заводов по переработке урановых руд и концентратов; разработка “технологии наиболее рационального передела урановых руд на химические соединения” и технологии получения из них металлического урана (7560).</w:t>
      </w:r>
    </w:p>
    <w:p w14:paraId="564A24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Для руководства “разведками, добычами и переработкой урановых руд” этим приказом в составе ГУЛГМП организовывалось Управление по урану - “Спецметуправление НКВД СССР” со штатом в 40 человек. Заместителем начальника и главным инженером Спецметуправления назначался инженер-полковник С. </w:t>
      </w:r>
      <w:r w:rsidRPr="00F90EAE">
        <w:rPr>
          <w:color w:val="000000" w:themeColor="text1"/>
          <w:sz w:val="16"/>
          <w:szCs w:val="16"/>
        </w:rPr>
        <w:lastRenderedPageBreak/>
        <w:t>П. Александров (до этого - зам. начальника ГУЛГМП). В системе Спецметуправления организовывался Научно-исследовательский институт по урану, которому присваивалось условное наименование “Институт специальных металлов НКВД СССР (Инспецмет)”. Заместителю наркома внутренних дел В. В. Чернышову и начальнику ГУЛАГа В. Г. Наседкину приказывалось в первоочередном порядке обеспечить рабочей силой предприятия Спецметуправления “в полном соответствии с заявками, направляя контингент исключительно годный к тяжелому физическому труду” (7560).</w:t>
      </w:r>
    </w:p>
    <w:p w14:paraId="7554E0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Уже 12 марта приказом № 202 от 1945 года начальником Спецметуправления и заместителем начальника ГУЛГМП будет назначен комиссар ГБ С. В. Егоров, ранее заместитель начальника Дальстроя НКВД СССР, а 14 апреля приказом № 324 директором Инспецмет станет инженер-полковник В. Б. Шевченко, до этого - начальник Управления Красноярского аффинажного завода и ИТЛ НКВД. Наконец, на основании постановления ГКО № 8582сс/ов от 15 мая и приказа НКВД № 00754 от 28 июня Спецметуправлению будет присвоено условное наименование “9 управления НКВД СССР”, Инспецмету - НИИ-9 НКВД, а добывавшему уран Ферганскому горно-химическому комбинату № 6 НКВД - Комбината № 6 (позднее - “Юго-восточная техническая контора”, Ленинабад) (7560).</w:t>
      </w:r>
    </w:p>
    <w:p w14:paraId="542E0047" w14:textId="77777777" w:rsidR="00C2313B" w:rsidRPr="00F90EAE" w:rsidRDefault="00C2313B" w:rsidP="00F90EAE">
      <w:pPr>
        <w:autoSpaceDE w:val="0"/>
        <w:autoSpaceDN w:val="0"/>
        <w:adjustRightInd w:val="0"/>
        <w:jc w:val="both"/>
        <w:rPr>
          <w:color w:val="000000" w:themeColor="text1"/>
          <w:sz w:val="16"/>
          <w:szCs w:val="16"/>
        </w:rPr>
      </w:pPr>
    </w:p>
    <w:p w14:paraId="03CD8C06" w14:textId="77777777" w:rsidR="003E545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F8168B0" w14:textId="77777777" w:rsidR="003E545E" w:rsidRPr="00F90EAE" w:rsidRDefault="003E545E" w:rsidP="00F90EAE">
      <w:pPr>
        <w:autoSpaceDE w:val="0"/>
        <w:autoSpaceDN w:val="0"/>
        <w:adjustRightInd w:val="0"/>
        <w:jc w:val="both"/>
        <w:rPr>
          <w:iCs/>
          <w:color w:val="000000" w:themeColor="text1"/>
          <w:sz w:val="16"/>
          <w:szCs w:val="16"/>
        </w:rPr>
      </w:pPr>
    </w:p>
    <w:p w14:paraId="229A3614" w14:textId="77777777" w:rsidR="003E545E" w:rsidRPr="00F90EAE" w:rsidRDefault="003E545E" w:rsidP="00F90EAE">
      <w:pPr>
        <w:jc w:val="both"/>
        <w:rPr>
          <w:color w:val="000000" w:themeColor="text1"/>
          <w:sz w:val="16"/>
          <w:szCs w:val="16"/>
        </w:rPr>
      </w:pPr>
      <w:r w:rsidRPr="00F90EAE">
        <w:rPr>
          <w:bCs/>
          <w:color w:val="000000" w:themeColor="text1"/>
          <w:sz w:val="16"/>
          <w:szCs w:val="16"/>
        </w:rPr>
        <w:t>6 января</w:t>
      </w:r>
      <w:r w:rsidRPr="00F90EAE">
        <w:rPr>
          <w:color w:val="000000" w:themeColor="text1"/>
          <w:sz w:val="16"/>
          <w:szCs w:val="16"/>
        </w:rPr>
        <w:t xml:space="preserve"> в 1945 году премьер-министр Уинстон Черчилль обратился к И.В.Сталину с просьбой оказать срочную помощь в связи с наступлением немецких войск в Арденнах (15001).</w:t>
      </w:r>
    </w:p>
    <w:p w14:paraId="111966C6" w14:textId="77777777" w:rsidR="003E545E" w:rsidRPr="00F90EAE" w:rsidRDefault="003E545E" w:rsidP="00F90EAE">
      <w:pPr>
        <w:jc w:val="both"/>
        <w:rPr>
          <w:color w:val="000000" w:themeColor="text1"/>
          <w:sz w:val="16"/>
          <w:szCs w:val="16"/>
        </w:rPr>
      </w:pPr>
    </w:p>
    <w:p w14:paraId="168874A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BF0D3E9" w14:textId="77777777" w:rsidR="00C2313B" w:rsidRPr="00F90EAE" w:rsidRDefault="00C2313B" w:rsidP="00F90EAE">
      <w:pPr>
        <w:autoSpaceDE w:val="0"/>
        <w:autoSpaceDN w:val="0"/>
        <w:adjustRightInd w:val="0"/>
        <w:jc w:val="both"/>
        <w:rPr>
          <w:iCs/>
          <w:color w:val="000000" w:themeColor="text1"/>
          <w:sz w:val="16"/>
          <w:szCs w:val="16"/>
        </w:rPr>
      </w:pPr>
    </w:p>
    <w:p w14:paraId="30FE5A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января 1945 Б-29 нанесли удар по Токио и Нанкину (2100).</w:t>
      </w:r>
    </w:p>
    <w:p w14:paraId="28F3024D" w14:textId="77777777" w:rsidR="00C2313B" w:rsidRPr="00F90EAE" w:rsidRDefault="00C2313B" w:rsidP="00F90EAE">
      <w:pPr>
        <w:autoSpaceDE w:val="0"/>
        <w:autoSpaceDN w:val="0"/>
        <w:adjustRightInd w:val="0"/>
        <w:jc w:val="both"/>
        <w:rPr>
          <w:color w:val="000000" w:themeColor="text1"/>
          <w:sz w:val="16"/>
          <w:szCs w:val="16"/>
        </w:rPr>
      </w:pPr>
    </w:p>
    <w:p w14:paraId="0DAC13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6-8 января 1945 на ТО американский флот вошел в Лингейенский залив в северо-западной части о Лусон на Филиппинском архипелаге (3907,255).</w:t>
      </w:r>
    </w:p>
    <w:p w14:paraId="1D70F837" w14:textId="77777777" w:rsidR="00C2313B" w:rsidRPr="00F90EAE" w:rsidRDefault="00C2313B" w:rsidP="00F90EAE">
      <w:pPr>
        <w:autoSpaceDE w:val="0"/>
        <w:autoSpaceDN w:val="0"/>
        <w:adjustRightInd w:val="0"/>
        <w:jc w:val="both"/>
        <w:rPr>
          <w:color w:val="000000" w:themeColor="text1"/>
          <w:sz w:val="16"/>
          <w:szCs w:val="16"/>
        </w:rPr>
      </w:pPr>
    </w:p>
    <w:p w14:paraId="11EF0663" w14:textId="77777777" w:rsidR="003E545E" w:rsidRPr="00F90EAE" w:rsidRDefault="003E545E" w:rsidP="00F90EAE">
      <w:pPr>
        <w:jc w:val="both"/>
        <w:rPr>
          <w:color w:val="000000" w:themeColor="text1"/>
          <w:sz w:val="16"/>
          <w:szCs w:val="16"/>
        </w:rPr>
      </w:pPr>
      <w:r w:rsidRPr="00F90EAE">
        <w:rPr>
          <w:bCs/>
          <w:color w:val="000000" w:themeColor="text1"/>
          <w:sz w:val="16"/>
          <w:szCs w:val="16"/>
        </w:rPr>
        <w:t>6 января</w:t>
      </w:r>
      <w:r w:rsidRPr="00F90EAE">
        <w:rPr>
          <w:color w:val="000000" w:themeColor="text1"/>
          <w:sz w:val="16"/>
          <w:szCs w:val="16"/>
        </w:rPr>
        <w:t xml:space="preserve"> в 1945 году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(15001).</w:t>
      </w:r>
    </w:p>
    <w:p w14:paraId="19D4C47B" w14:textId="77777777" w:rsidR="003E545E" w:rsidRPr="00F90EAE" w:rsidRDefault="003E545E" w:rsidP="00F90EAE">
      <w:pPr>
        <w:jc w:val="both"/>
        <w:rPr>
          <w:color w:val="000000" w:themeColor="text1"/>
          <w:sz w:val="16"/>
          <w:szCs w:val="16"/>
        </w:rPr>
      </w:pPr>
    </w:p>
    <w:p w14:paraId="7910ECA7" w14:textId="77777777" w:rsidR="005A1318" w:rsidRPr="00F90EAE" w:rsidRDefault="005A1318" w:rsidP="00F90EAE">
      <w:pPr>
        <w:jc w:val="both"/>
        <w:rPr>
          <w:color w:val="0070C0"/>
          <w:sz w:val="16"/>
          <w:szCs w:val="16"/>
        </w:rPr>
      </w:pPr>
      <w:r w:rsidRPr="00F90EAE">
        <w:rPr>
          <w:color w:val="0070C0"/>
          <w:sz w:val="16"/>
          <w:szCs w:val="16"/>
        </w:rPr>
        <w:t>6 января 1945 B-29 ВВС совершили налет на авиазавод Омура на острове Кюсю (20371).</w:t>
      </w:r>
    </w:p>
    <w:p w14:paraId="1953C426" w14:textId="77777777" w:rsidR="005A1318" w:rsidRPr="00F90EAE" w:rsidRDefault="005A1318" w:rsidP="00F90EAE">
      <w:pPr>
        <w:jc w:val="both"/>
        <w:rPr>
          <w:color w:val="0070C0"/>
          <w:sz w:val="16"/>
          <w:szCs w:val="16"/>
        </w:rPr>
      </w:pPr>
    </w:p>
    <w:p w14:paraId="3D98947C" w14:textId="77777777" w:rsidR="005A1318" w:rsidRPr="00F90EAE" w:rsidRDefault="005A1318" w:rsidP="00F90EAE">
      <w:pPr>
        <w:jc w:val="both"/>
        <w:rPr>
          <w:color w:val="0070C0"/>
          <w:sz w:val="16"/>
          <w:szCs w:val="16"/>
        </w:rPr>
      </w:pPr>
      <w:r w:rsidRPr="00F90EAE">
        <w:rPr>
          <w:color w:val="0070C0"/>
          <w:sz w:val="16"/>
          <w:szCs w:val="16"/>
        </w:rPr>
        <w:t>6 января 1945 в заливе Лингайен камикадзе повредили линкор USS New Mexico, убив 30 человек, в том числе британского генерал-лейтенанта Герберта Ламсдена, линкор USS Californi , тяжелый крейсер USS Louisville, смертельно ранив контр-адмирала Теодора Э. Чандлера, тяжелого крейсера HMAS Australia, легкого крейсер USS Columbia, три эсминца и тральщик (20371).</w:t>
      </w:r>
    </w:p>
    <w:p w14:paraId="2185391B" w14:textId="77777777" w:rsidR="005A1318" w:rsidRPr="00F90EAE" w:rsidRDefault="005A1318" w:rsidP="00F90EAE">
      <w:pPr>
        <w:jc w:val="both"/>
        <w:rPr>
          <w:color w:val="0070C0"/>
          <w:sz w:val="16"/>
          <w:szCs w:val="16"/>
        </w:rPr>
      </w:pPr>
    </w:p>
    <w:p w14:paraId="0EEC9568" w14:textId="77777777" w:rsidR="005A1318" w:rsidRPr="00F90EAE" w:rsidRDefault="005A1318" w:rsidP="00F90EAE">
      <w:pPr>
        <w:jc w:val="both"/>
        <w:rPr>
          <w:color w:val="0070C0"/>
          <w:sz w:val="16"/>
          <w:szCs w:val="16"/>
        </w:rPr>
      </w:pPr>
      <w:r w:rsidRPr="00F90EAE">
        <w:rPr>
          <w:color w:val="0070C0"/>
          <w:sz w:val="16"/>
          <w:szCs w:val="16"/>
        </w:rPr>
        <w:t>6 января 1945 - В ходе атаки японских камикадзе эскадры адмирала Олдендорфа 11 кораблей было повреждено и 1 (тральщик «Лонг») потоплен. В результате атак авиации противника силы адмирала Олдендорфа после выхода из залива Лейте (Филиппины) потеряли 325 человек убитыми и около 800 ранеными (22678).</w:t>
      </w:r>
    </w:p>
    <w:p w14:paraId="252C6D08" w14:textId="77777777" w:rsidR="005A1318" w:rsidRPr="00F90EAE" w:rsidRDefault="005A1318" w:rsidP="00F90EAE">
      <w:pPr>
        <w:jc w:val="both"/>
        <w:rPr>
          <w:color w:val="0070C0"/>
          <w:sz w:val="16"/>
          <w:szCs w:val="16"/>
        </w:rPr>
      </w:pPr>
    </w:p>
    <w:p w14:paraId="345F92DD" w14:textId="77777777" w:rsidR="005A1318" w:rsidRPr="00F90EAE" w:rsidRDefault="005A1318" w:rsidP="00F90EAE">
      <w:pPr>
        <w:pStyle w:val="ae"/>
        <w:spacing w:before="0" w:after="0"/>
        <w:jc w:val="both"/>
        <w:textAlignment w:val="baseline"/>
        <w:rPr>
          <w:color w:val="0070C0"/>
          <w:sz w:val="16"/>
          <w:szCs w:val="16"/>
        </w:rPr>
      </w:pPr>
      <w:r w:rsidRPr="00F90EAE">
        <w:rPr>
          <w:color w:val="0070C0"/>
          <w:sz w:val="16"/>
          <w:szCs w:val="16"/>
          <w:bdr w:val="none" w:sz="0" w:space="0" w:color="auto" w:frame="1"/>
        </w:rPr>
        <w:t>6 января 1945 г. несколько «Сентаурусов» VII прибыли в Мурманск. В том же месяце в ЦИАМ начали готовить испытательный стенд. 3 марта туда доставили двигатели. С конца марта начались испытания. Их завершили 21 мая. 13 сентября англичане вновь предложили лицензию. Но по мере продвижения с доводкой АШ-73ТК интерес к «Сентаурусу» уменьшался и в конце концов пропал совсем (20442).</w:t>
      </w:r>
    </w:p>
    <w:p w14:paraId="519202A6" w14:textId="77777777" w:rsidR="005A1318" w:rsidRPr="00F90EAE" w:rsidRDefault="005A1318" w:rsidP="00F90EAE">
      <w:pPr>
        <w:jc w:val="both"/>
        <w:rPr>
          <w:color w:val="0070C0"/>
          <w:sz w:val="16"/>
          <w:szCs w:val="16"/>
          <w:shd w:val="clear" w:color="auto" w:fill="FFFFFF"/>
        </w:rPr>
      </w:pPr>
    </w:p>
    <w:p w14:paraId="12826539" w14:textId="77777777" w:rsidR="003E545E" w:rsidRPr="00F90EAE" w:rsidRDefault="003E545E" w:rsidP="00F90EAE">
      <w:pPr>
        <w:jc w:val="both"/>
        <w:rPr>
          <w:color w:val="000000" w:themeColor="text1"/>
          <w:sz w:val="16"/>
          <w:szCs w:val="16"/>
        </w:rPr>
      </w:pPr>
      <w:r w:rsidRPr="00F90EAE">
        <w:rPr>
          <w:bCs/>
          <w:color w:val="000000" w:themeColor="text1"/>
          <w:sz w:val="16"/>
          <w:szCs w:val="16"/>
        </w:rPr>
        <w:t>6 января</w:t>
      </w:r>
      <w:r w:rsidRPr="00F90EAE">
        <w:rPr>
          <w:color w:val="000000" w:themeColor="text1"/>
          <w:sz w:val="16"/>
          <w:szCs w:val="16"/>
        </w:rPr>
        <w:t xml:space="preserve"> в 1945 году заканчивается битва Bulge, или Арденесское наступление. Погибают 130 000 немцев и 77 000 союзников (15001).</w:t>
      </w:r>
    </w:p>
    <w:p w14:paraId="2F71FA93" w14:textId="77777777" w:rsidR="003E545E" w:rsidRPr="00F90EAE" w:rsidRDefault="003E545E" w:rsidP="00F90EAE">
      <w:pPr>
        <w:jc w:val="both"/>
        <w:rPr>
          <w:color w:val="000000" w:themeColor="text1"/>
          <w:sz w:val="16"/>
          <w:szCs w:val="16"/>
        </w:rPr>
      </w:pPr>
    </w:p>
    <w:p w14:paraId="42A69C1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CBEEB29" w14:textId="77777777" w:rsidR="00C2313B" w:rsidRPr="00F90EAE" w:rsidRDefault="00C2313B" w:rsidP="00F90EAE">
      <w:pPr>
        <w:autoSpaceDE w:val="0"/>
        <w:autoSpaceDN w:val="0"/>
        <w:adjustRightInd w:val="0"/>
        <w:jc w:val="both"/>
        <w:rPr>
          <w:iCs/>
          <w:color w:val="000000" w:themeColor="text1"/>
          <w:sz w:val="16"/>
          <w:szCs w:val="16"/>
        </w:rPr>
      </w:pPr>
    </w:p>
    <w:p w14:paraId="7A07F706" w14:textId="77777777" w:rsidR="005A1318" w:rsidRPr="00F90EAE" w:rsidRDefault="005A1318" w:rsidP="00F90EAE">
      <w:pPr>
        <w:jc w:val="both"/>
        <w:rPr>
          <w:color w:val="0070C0"/>
          <w:sz w:val="16"/>
          <w:szCs w:val="16"/>
        </w:rPr>
      </w:pPr>
      <w:r w:rsidRPr="00F90EAE">
        <w:rPr>
          <w:color w:val="0070C0"/>
          <w:sz w:val="16"/>
          <w:szCs w:val="16"/>
        </w:rPr>
        <w:t>В начале 1945 г. завершили переделку Ту-2 № 9.14 в варианте торпедоносца в соответствии с новыми ТТТ штаба морской авиации, кторые появились в сентябре 1944. его Испытания велись на аэродроме Саки в Крыму, на базе 5-го гв. мтап. Полеты проходили с 13 февраля по 15 апреля 1945 г. Всего сбросили 20 торпед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4 мая командование флота заказало первые 20 комплектов для переоснащения уже имевшихся у морской авиации бомбардировщиков Ту-2 (21059).</w:t>
      </w:r>
    </w:p>
    <w:p w14:paraId="1E9C99DB" w14:textId="77777777" w:rsidR="005A1318" w:rsidRPr="00F90EAE" w:rsidRDefault="005A1318" w:rsidP="00F90EAE">
      <w:pPr>
        <w:jc w:val="both"/>
        <w:rPr>
          <w:color w:val="0070C0"/>
          <w:sz w:val="16"/>
          <w:szCs w:val="16"/>
        </w:rPr>
      </w:pPr>
    </w:p>
    <w:p w14:paraId="13503E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начала января 1945 в течение 3 месяцев испытывался Ла-7Р (4,237) и 20 января было выполнено 2 полета с включенными РД-1ХЗ (237,205). Испытания шли по конец апреля 1945 (173,416).</w:t>
      </w:r>
    </w:p>
    <w:p w14:paraId="08745D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РД-1 ХЗ был разработан В.П.Г. только в начале 1945 (173,415).</w:t>
      </w:r>
    </w:p>
    <w:p w14:paraId="7326A14B" w14:textId="77777777" w:rsidR="00C2313B" w:rsidRPr="00F90EAE" w:rsidRDefault="00C2313B" w:rsidP="00F90EAE">
      <w:pPr>
        <w:autoSpaceDE w:val="0"/>
        <w:autoSpaceDN w:val="0"/>
        <w:adjustRightInd w:val="0"/>
        <w:jc w:val="both"/>
        <w:rPr>
          <w:color w:val="000000" w:themeColor="text1"/>
          <w:sz w:val="16"/>
          <w:szCs w:val="16"/>
        </w:rPr>
      </w:pPr>
    </w:p>
    <w:p w14:paraId="2C06AB50" w14:textId="77777777" w:rsidR="00D837F1" w:rsidRPr="00F90EAE" w:rsidRDefault="00D837F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6E6F9A7" w14:textId="77777777" w:rsidR="00D837F1" w:rsidRPr="00F90EAE" w:rsidRDefault="00D837F1" w:rsidP="00F90EAE">
      <w:pPr>
        <w:autoSpaceDE w:val="0"/>
        <w:autoSpaceDN w:val="0"/>
        <w:adjustRightInd w:val="0"/>
        <w:jc w:val="both"/>
        <w:rPr>
          <w:iCs/>
          <w:color w:val="000000" w:themeColor="text1"/>
          <w:sz w:val="16"/>
          <w:szCs w:val="16"/>
        </w:rPr>
      </w:pPr>
    </w:p>
    <w:p w14:paraId="36042A20" w14:textId="77777777" w:rsidR="00D837F1" w:rsidRPr="00F90EAE" w:rsidRDefault="00D837F1"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начале января 1945 года обстрел башен ИС-6, изготовленной из стали 70Л и 72Л, показал, что борт башни №5а из стали 70Л толщиной 150 мм пробивается 88-мм пушкой Pak 43. Из 12 попаданий с разных ракурсов пробитий удалось добиться в 7 случаях. Ещё хуже оказалась ситуация с башней №5, изготовленной из стали 72Л — после пяти попаданий башня раскололась надвое. Это означало, что башня не имеет достаточную защиту от орудия, попадание которого она должна была выдерживать. Что ещё хуже, башня ИС-6 давалась КБ завода №183 как образец при проектировании башни опытного среднего танка </w:t>
      </w:r>
      <w:hyperlink r:id="rId8" w:history="1">
        <w:r w:rsidRPr="00F90EAE">
          <w:rPr>
            <w:rStyle w:val="a5"/>
            <w:bCs/>
            <w:iCs/>
            <w:color w:val="000000" w:themeColor="text1"/>
            <w:sz w:val="16"/>
            <w:szCs w:val="16"/>
            <w:bdr w:val="none" w:sz="0" w:space="0" w:color="auto" w:frame="1"/>
          </w:rPr>
          <w:t>Т-54</w:t>
        </w:r>
      </w:hyperlink>
      <w:r w:rsidRPr="00F90EAE">
        <w:rPr>
          <w:color w:val="000000" w:themeColor="text1"/>
          <w:sz w:val="16"/>
          <w:szCs w:val="16"/>
        </w:rPr>
        <w:t>. В результате позже её решили переделывать по типу ИС-3, даже не проведя обстрела (19150).</w:t>
      </w:r>
    </w:p>
    <w:p w14:paraId="58D0D8C7" w14:textId="77777777" w:rsidR="00D837F1" w:rsidRPr="00F90EAE" w:rsidRDefault="00D837F1" w:rsidP="00F90EAE">
      <w:pPr>
        <w:shd w:val="clear" w:color="auto" w:fill="FFFFFF"/>
        <w:jc w:val="both"/>
        <w:textAlignment w:val="baseline"/>
        <w:rPr>
          <w:color w:val="000000" w:themeColor="text1"/>
          <w:sz w:val="16"/>
          <w:szCs w:val="16"/>
        </w:rPr>
      </w:pPr>
    </w:p>
    <w:p w14:paraId="5F192B4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39D11BC" w14:textId="77777777" w:rsidR="00C2313B" w:rsidRPr="00F90EAE" w:rsidRDefault="00C2313B" w:rsidP="00F90EAE">
      <w:pPr>
        <w:autoSpaceDE w:val="0"/>
        <w:autoSpaceDN w:val="0"/>
        <w:adjustRightInd w:val="0"/>
        <w:jc w:val="both"/>
        <w:rPr>
          <w:iCs/>
          <w:color w:val="000000" w:themeColor="text1"/>
          <w:sz w:val="16"/>
          <w:szCs w:val="16"/>
        </w:rPr>
      </w:pPr>
    </w:p>
    <w:p w14:paraId="1BBE51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Впервых числах янва</w:t>
      </w:r>
      <w:r w:rsidRPr="00F90EAE">
        <w:rPr>
          <w:color w:val="000000" w:themeColor="text1"/>
          <w:sz w:val="16"/>
          <w:szCs w:val="16"/>
        </w:rPr>
        <w:softHyphen/>
        <w:t>ря 1945 г. по личному распоряжению заместителя начальника Управления формирования и комплектования пол</w:t>
      </w:r>
      <w:r w:rsidRPr="00F90EAE">
        <w:rPr>
          <w:color w:val="000000" w:themeColor="text1"/>
          <w:sz w:val="16"/>
          <w:szCs w:val="16"/>
        </w:rPr>
        <w:softHyphen/>
        <w:t>ковника Бронштейна 78-му гшап над</w:t>
      </w:r>
      <w:r w:rsidRPr="00F90EAE">
        <w:rPr>
          <w:color w:val="000000" w:themeColor="text1"/>
          <w:sz w:val="16"/>
          <w:szCs w:val="16"/>
        </w:rPr>
        <w:softHyphen/>
        <w:t>лежало срочно завершить программу переучивания и убыть в действующую армию в состав 2-й гвардейской штур</w:t>
      </w:r>
      <w:r w:rsidRPr="00F90EAE">
        <w:rPr>
          <w:color w:val="000000" w:themeColor="text1"/>
          <w:sz w:val="16"/>
          <w:szCs w:val="16"/>
        </w:rPr>
        <w:softHyphen/>
        <w:t>мовой авиадивизии 16-й ВА.</w:t>
      </w:r>
    </w:p>
    <w:p w14:paraId="6F3D43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этому времени летный состав полка успел отработать на Ил-10 толь</w:t>
      </w:r>
      <w:r w:rsidRPr="00F90EAE">
        <w:rPr>
          <w:color w:val="000000" w:themeColor="text1"/>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F90EAE">
        <w:rPr>
          <w:color w:val="000000" w:themeColor="text1"/>
          <w:sz w:val="16"/>
          <w:szCs w:val="16"/>
        </w:rPr>
        <w:softHyphen/>
        <w:t>чиков не вылетал. Полк срочно попол</w:t>
      </w:r>
      <w:r w:rsidRPr="00F90EAE">
        <w:rPr>
          <w:color w:val="000000" w:themeColor="text1"/>
          <w:sz w:val="16"/>
          <w:szCs w:val="16"/>
        </w:rPr>
        <w:softHyphen/>
        <w:t>нили до штата 20 летчиками, прошед</w:t>
      </w:r>
      <w:r w:rsidRPr="00F90EAE">
        <w:rPr>
          <w:color w:val="000000" w:themeColor="text1"/>
          <w:sz w:val="16"/>
          <w:szCs w:val="16"/>
        </w:rPr>
        <w:softHyphen/>
        <w:t>шими 1-й и 2-й разделы курса боевой подготовки штурмовой авиации 1944 г., 20 самолетами Ил-2 и 15 самолета</w:t>
      </w:r>
      <w:r w:rsidRPr="00F90EAE">
        <w:rPr>
          <w:color w:val="000000" w:themeColor="text1"/>
          <w:sz w:val="16"/>
          <w:szCs w:val="16"/>
        </w:rPr>
        <w:softHyphen/>
        <w:t>ми Ил-10. 10 января 1945 г. переучи</w:t>
      </w:r>
      <w:r w:rsidRPr="00F90EAE">
        <w:rPr>
          <w:color w:val="000000" w:themeColor="text1"/>
          <w:sz w:val="16"/>
          <w:szCs w:val="16"/>
        </w:rPr>
        <w:softHyphen/>
        <w:t>вание полка на новую матчасть офи</w:t>
      </w:r>
      <w:r w:rsidRPr="00F90EAE">
        <w:rPr>
          <w:color w:val="000000" w:themeColor="text1"/>
          <w:sz w:val="16"/>
          <w:szCs w:val="16"/>
        </w:rPr>
        <w:softHyphen/>
        <w:t>циально закончилось, и уже через два дня полк был признан готовым к пере</w:t>
      </w:r>
      <w:r w:rsidRPr="00F90EAE">
        <w:rPr>
          <w:color w:val="000000" w:themeColor="text1"/>
          <w:sz w:val="16"/>
          <w:szCs w:val="16"/>
        </w:rPr>
        <w:softHyphen/>
        <w:t>лету на фронт. Акт подписали коман</w:t>
      </w:r>
      <w:r w:rsidRPr="00F90EAE">
        <w:rPr>
          <w:color w:val="000000" w:themeColor="text1"/>
          <w:sz w:val="16"/>
          <w:szCs w:val="16"/>
        </w:rPr>
        <w:softHyphen/>
        <w:t>дир 12-го зап п-п-к Горошко, началь</w:t>
      </w:r>
      <w:r w:rsidRPr="00F90EAE">
        <w:rPr>
          <w:color w:val="000000" w:themeColor="text1"/>
          <w:sz w:val="16"/>
          <w:szCs w:val="16"/>
        </w:rPr>
        <w:softHyphen/>
        <w:t>ник штаба 12-го зап п-к Теплое, ко</w:t>
      </w:r>
      <w:r w:rsidRPr="00F90EAE">
        <w:rPr>
          <w:color w:val="000000" w:themeColor="text1"/>
          <w:sz w:val="16"/>
          <w:szCs w:val="16"/>
        </w:rPr>
        <w:softHyphen/>
        <w:t>мандир 78-го гшап м-р Варило, началь</w:t>
      </w:r>
      <w:r w:rsidRPr="00F90EAE">
        <w:rPr>
          <w:color w:val="000000" w:themeColor="text1"/>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F90EAE">
        <w:rPr>
          <w:color w:val="000000" w:themeColor="text1"/>
          <w:sz w:val="16"/>
          <w:szCs w:val="16"/>
        </w:rPr>
        <w:softHyphen/>
        <w:t>ками» до штатного состава. Затем жда</w:t>
      </w:r>
      <w:r w:rsidRPr="00F90EAE">
        <w:rPr>
          <w:color w:val="000000" w:themeColor="text1"/>
          <w:sz w:val="16"/>
          <w:szCs w:val="16"/>
        </w:rPr>
        <w:softHyphen/>
        <w:t>ли погоду. Только 21 января первый эшелон полка в составе 20 Ил-2 и 11 Ил-10 смог вылететь к месту назначе</w:t>
      </w:r>
      <w:r w:rsidRPr="00F90EAE">
        <w:rPr>
          <w:color w:val="000000" w:themeColor="text1"/>
          <w:sz w:val="16"/>
          <w:szCs w:val="16"/>
        </w:rPr>
        <w:softHyphen/>
        <w:t>ния. Второй летный эшелон в составе 10 экипажей на Ил-10 вылетел на сле</w:t>
      </w:r>
      <w:r w:rsidRPr="00F90EAE">
        <w:rPr>
          <w:color w:val="000000" w:themeColor="text1"/>
          <w:sz w:val="16"/>
          <w:szCs w:val="16"/>
        </w:rPr>
        <w:softHyphen/>
        <w:t>дующий день. Фактически 78-й гшап был не го</w:t>
      </w:r>
      <w:r w:rsidRPr="00F90EAE">
        <w:rPr>
          <w:color w:val="000000" w:themeColor="text1"/>
          <w:sz w:val="16"/>
          <w:szCs w:val="16"/>
        </w:rPr>
        <w:softHyphen/>
        <w:t>тов к боевым действиям на новом штур</w:t>
      </w:r>
      <w:r w:rsidRPr="00F90EAE">
        <w:rPr>
          <w:color w:val="000000" w:themeColor="text1"/>
          <w:sz w:val="16"/>
          <w:szCs w:val="16"/>
        </w:rPr>
        <w:softHyphen/>
        <w:t>мовике Ил-10. В тоже время летный состав, прибывший в Куйбышев на пе</w:t>
      </w:r>
      <w:r w:rsidRPr="00F90EAE">
        <w:rPr>
          <w:color w:val="000000" w:themeColor="text1"/>
          <w:sz w:val="16"/>
          <w:szCs w:val="16"/>
        </w:rPr>
        <w:softHyphen/>
        <w:t>реучивание, имел солидный боевой опыт. Боевой налет на самолете Ил-2 на одного летчика в среднем состав</w:t>
      </w:r>
      <w:r w:rsidRPr="00F90EAE">
        <w:rPr>
          <w:color w:val="000000" w:themeColor="text1"/>
          <w:sz w:val="16"/>
          <w:szCs w:val="16"/>
        </w:rPr>
        <w:softHyphen/>
        <w:t>лял 78 боевых вылетов. Налет молоде</w:t>
      </w:r>
      <w:r w:rsidRPr="00F90EAE">
        <w:rPr>
          <w:color w:val="000000" w:themeColor="text1"/>
          <w:sz w:val="16"/>
          <w:szCs w:val="16"/>
        </w:rPr>
        <w:softHyphen/>
        <w:t>жи, прибывшей на пополнение, со</w:t>
      </w:r>
      <w:r w:rsidRPr="00F90EAE">
        <w:rPr>
          <w:color w:val="000000" w:themeColor="text1"/>
          <w:sz w:val="16"/>
          <w:szCs w:val="16"/>
        </w:rPr>
        <w:softHyphen/>
        <w:t>ставлял 23 ч 49 мин (61 посадка), в том числе 13 ч (41 посадка) на боевое при</w:t>
      </w:r>
      <w:r w:rsidRPr="00F90EAE">
        <w:rPr>
          <w:color w:val="000000" w:themeColor="text1"/>
          <w:sz w:val="16"/>
          <w:szCs w:val="16"/>
        </w:rPr>
        <w:softHyphen/>
        <w:t>менение. Неплохую подготовку имели молодые летчики в «слепом» полете -в среднем по 10 ч (20 посадок) каж</w:t>
      </w:r>
      <w:r w:rsidRPr="00F90EAE">
        <w:rPr>
          <w:color w:val="000000" w:themeColor="text1"/>
          <w:sz w:val="16"/>
          <w:szCs w:val="16"/>
        </w:rPr>
        <w:softHyphen/>
        <w:t>дый. Из числа «старых» летчиков 9 име</w:t>
      </w:r>
      <w:r w:rsidRPr="00F90EAE">
        <w:rPr>
          <w:color w:val="000000" w:themeColor="text1"/>
          <w:sz w:val="16"/>
          <w:szCs w:val="16"/>
        </w:rPr>
        <w:softHyphen/>
        <w:t xml:space="preserve">ли </w:t>
      </w:r>
      <w:r w:rsidRPr="00F90EAE">
        <w:rPr>
          <w:iCs/>
          <w:color w:val="000000" w:themeColor="text1"/>
          <w:sz w:val="16"/>
          <w:szCs w:val="16"/>
        </w:rPr>
        <w:t xml:space="preserve">в </w:t>
      </w:r>
      <w:r w:rsidRPr="00F90EAE">
        <w:rPr>
          <w:color w:val="000000" w:themeColor="text1"/>
          <w:sz w:val="16"/>
          <w:szCs w:val="16"/>
        </w:rPr>
        <w:t>своем активе свыше 100 боевых самолето-вылетов, 8пилотов - от 50 до 100 вылетов, три пилота - менее 50 вылетов и только один летчик - не имел боевых вылетов, но его налет на Ил-2 составлял 892 ч. (11131).</w:t>
      </w:r>
    </w:p>
    <w:p w14:paraId="1C54688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71C76A7" w14:textId="77777777" w:rsidR="005A1318" w:rsidRPr="00F90EAE" w:rsidRDefault="005A1318" w:rsidP="00F90EAE">
      <w:pPr>
        <w:jc w:val="both"/>
        <w:rPr>
          <w:color w:val="0070C0"/>
          <w:sz w:val="16"/>
          <w:szCs w:val="16"/>
        </w:rPr>
      </w:pPr>
      <w:r w:rsidRPr="00F90EAE">
        <w:rPr>
          <w:color w:val="0070C0"/>
          <w:sz w:val="16"/>
          <w:szCs w:val="16"/>
          <w:lang w:bidi="ru-RU"/>
        </w:rPr>
        <w:t>В начале февраля 1945 г. 152-й полк, который получила 29 бомбардировщиков Ту-2 разных серий для второго этапа войсковых испытаний, пере</w:t>
      </w:r>
      <w:r w:rsidRPr="00F90EAE">
        <w:rPr>
          <w:color w:val="0070C0"/>
          <w:sz w:val="16"/>
          <w:szCs w:val="16"/>
          <w:lang w:bidi="ru-RU"/>
        </w:rPr>
        <w:softHyphen/>
        <w:t>бросили на Юго-Западный фронт. 18 ма</w:t>
      </w:r>
      <w:r w:rsidRPr="00F90EAE">
        <w:rPr>
          <w:color w:val="0070C0"/>
          <w:sz w:val="16"/>
          <w:szCs w:val="16"/>
          <w:lang w:bidi="ru-RU"/>
        </w:rPr>
        <w:softHyphen/>
        <w:t>шин перебазировались на временный аэ</w:t>
      </w:r>
      <w:r w:rsidRPr="00F90EAE">
        <w:rPr>
          <w:color w:val="0070C0"/>
          <w:sz w:val="16"/>
          <w:szCs w:val="16"/>
          <w:lang w:bidi="ru-RU"/>
        </w:rPr>
        <w:softHyphen/>
        <w:t>родром Кошары в 50 км южнее Милле</w:t>
      </w:r>
      <w:r w:rsidRPr="00F90EAE">
        <w:rPr>
          <w:color w:val="0070C0"/>
          <w:sz w:val="16"/>
          <w:szCs w:val="16"/>
          <w:lang w:bidi="ru-RU"/>
        </w:rPr>
        <w:softHyphen/>
        <w:t>рова. С 12 февраля полк совершил от</w:t>
      </w:r>
      <w:r w:rsidRPr="00F90EAE">
        <w:rPr>
          <w:color w:val="0070C0"/>
          <w:sz w:val="16"/>
          <w:szCs w:val="16"/>
          <w:lang w:bidi="ru-RU"/>
        </w:rPr>
        <w:softHyphen/>
        <w:t>туда 39 вылетов на бомбометание. Здесь уже Ту-2 не поручали атаку войск у линии фронта. Используя большие дальность по</w:t>
      </w:r>
      <w:r w:rsidRPr="00F90EAE">
        <w:rPr>
          <w:color w:val="0070C0"/>
          <w:sz w:val="16"/>
          <w:szCs w:val="16"/>
          <w:lang w:bidi="ru-RU"/>
        </w:rPr>
        <w:softHyphen/>
        <w:t>лета и бомбовую нагрузку, чем у Пе-2, но</w:t>
      </w:r>
      <w:r w:rsidRPr="00F90EAE">
        <w:rPr>
          <w:color w:val="0070C0"/>
          <w:sz w:val="16"/>
          <w:szCs w:val="16"/>
          <w:lang w:bidi="ru-RU"/>
        </w:rPr>
        <w:softHyphen/>
        <w:t>вые самолеты специализировались на на</w:t>
      </w:r>
      <w:r w:rsidRPr="00F90EAE">
        <w:rPr>
          <w:color w:val="0070C0"/>
          <w:sz w:val="16"/>
          <w:szCs w:val="16"/>
          <w:lang w:bidi="ru-RU"/>
        </w:rPr>
        <w:softHyphen/>
        <w:t>летах на железнодорожные узлы и аэро</w:t>
      </w:r>
      <w:r w:rsidRPr="00F90EAE">
        <w:rPr>
          <w:color w:val="0070C0"/>
          <w:sz w:val="16"/>
          <w:szCs w:val="16"/>
          <w:lang w:bidi="ru-RU"/>
        </w:rPr>
        <w:softHyphen/>
        <w:t>дромы. Целями стали Запорожье, Днеп</w:t>
      </w:r>
      <w:r w:rsidRPr="00F90EAE">
        <w:rPr>
          <w:color w:val="0070C0"/>
          <w:sz w:val="16"/>
          <w:szCs w:val="16"/>
          <w:lang w:bidi="ru-RU"/>
        </w:rPr>
        <w:softHyphen/>
        <w:t>ропетровск, Дебальцево, Красноармейск, Синельниково, Ясиноватская.</w:t>
      </w:r>
    </w:p>
    <w:p w14:paraId="1A00DE47" w14:textId="77777777" w:rsidR="005A1318" w:rsidRPr="00F90EAE" w:rsidRDefault="005A1318" w:rsidP="00F90EAE">
      <w:pPr>
        <w:jc w:val="both"/>
        <w:rPr>
          <w:color w:val="0070C0"/>
          <w:sz w:val="16"/>
          <w:szCs w:val="16"/>
        </w:rPr>
      </w:pPr>
      <w:r w:rsidRPr="00F90EAE">
        <w:rPr>
          <w:color w:val="0070C0"/>
          <w:sz w:val="16"/>
          <w:szCs w:val="16"/>
          <w:lang w:bidi="ru-RU"/>
        </w:rPr>
        <w:t>К сожалению, распутица препятст</w:t>
      </w:r>
      <w:r w:rsidRPr="00F90EAE">
        <w:rPr>
          <w:color w:val="0070C0"/>
          <w:sz w:val="16"/>
          <w:szCs w:val="16"/>
          <w:lang w:bidi="ru-RU"/>
        </w:rPr>
        <w:softHyphen/>
        <w:t>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w:t>
      </w:r>
      <w:r w:rsidRPr="00F90EAE">
        <w:rPr>
          <w:color w:val="0070C0"/>
          <w:sz w:val="16"/>
          <w:szCs w:val="16"/>
          <w:lang w:bidi="ru-RU"/>
        </w:rPr>
        <w:softHyphen/>
        <w:t>вали на Днепропетровск и Донецк.</w:t>
      </w:r>
    </w:p>
    <w:p w14:paraId="2E5C1C24" w14:textId="77777777" w:rsidR="005A1318" w:rsidRPr="00F90EAE" w:rsidRDefault="005A1318" w:rsidP="00F90EAE">
      <w:pPr>
        <w:jc w:val="both"/>
        <w:rPr>
          <w:color w:val="0070C0"/>
          <w:sz w:val="16"/>
          <w:szCs w:val="16"/>
        </w:rPr>
      </w:pPr>
      <w:r w:rsidRPr="00F90EAE">
        <w:rPr>
          <w:color w:val="0070C0"/>
          <w:sz w:val="16"/>
          <w:szCs w:val="16"/>
          <w:lang w:bidi="ru-RU"/>
        </w:rPr>
        <w:lastRenderedPageBreak/>
        <w:t>При налетах на аэродромы бомбы мелких калибров были даже предпочти</w:t>
      </w:r>
      <w:r w:rsidRPr="00F90EAE">
        <w:rPr>
          <w:color w:val="0070C0"/>
          <w:sz w:val="16"/>
          <w:szCs w:val="16"/>
          <w:lang w:bidi="ru-RU"/>
        </w:rPr>
        <w:softHyphen/>
        <w:t>тельнее. При атаке на аэродром в Запо</w:t>
      </w:r>
      <w:r w:rsidRPr="00F90EAE">
        <w:rPr>
          <w:color w:val="0070C0"/>
          <w:sz w:val="16"/>
          <w:szCs w:val="16"/>
          <w:lang w:bidi="ru-RU"/>
        </w:rPr>
        <w:softHyphen/>
        <w:t>рожье использовали ФАБ-100, сброшен</w:t>
      </w:r>
      <w:r w:rsidRPr="00F90EAE">
        <w:rPr>
          <w:color w:val="0070C0"/>
          <w:sz w:val="16"/>
          <w:szCs w:val="16"/>
          <w:lang w:bidi="ru-RU"/>
        </w:rPr>
        <w:softHyphen/>
        <w:t>ные на стоянки самолетов с высоты 400 м. По советским данным, при этом сожгли и вывели из строя 18 вражеских машин.</w:t>
      </w:r>
    </w:p>
    <w:p w14:paraId="1EB05C75" w14:textId="77777777" w:rsidR="005A1318" w:rsidRPr="00F90EAE" w:rsidRDefault="005A1318" w:rsidP="00F90EAE">
      <w:pPr>
        <w:jc w:val="both"/>
        <w:rPr>
          <w:color w:val="0070C0"/>
          <w:sz w:val="16"/>
          <w:szCs w:val="16"/>
          <w:lang w:bidi="ru-RU"/>
        </w:rPr>
      </w:pPr>
      <w:r w:rsidRPr="00F90EAE">
        <w:rPr>
          <w:color w:val="0070C0"/>
          <w:sz w:val="16"/>
          <w:szCs w:val="16"/>
          <w:lang w:bidi="ru-RU"/>
        </w:rPr>
        <w:t>Кроме этого, Ту-2 стали применять как дальние разведчики. Они совершили семь одиночных полетов по разным мар</w:t>
      </w:r>
      <w:r w:rsidRPr="00F90EAE">
        <w:rPr>
          <w:color w:val="0070C0"/>
          <w:sz w:val="16"/>
          <w:szCs w:val="16"/>
          <w:lang w:bidi="ru-RU"/>
        </w:rPr>
        <w:softHyphen/>
        <w:t>шрутам (21060).</w:t>
      </w:r>
    </w:p>
    <w:p w14:paraId="6ED7C400" w14:textId="77777777" w:rsidR="005A1318" w:rsidRPr="00F90EAE" w:rsidRDefault="005A1318" w:rsidP="00F90EAE">
      <w:pPr>
        <w:jc w:val="both"/>
        <w:rPr>
          <w:color w:val="0070C0"/>
          <w:sz w:val="16"/>
          <w:szCs w:val="16"/>
        </w:rPr>
      </w:pPr>
    </w:p>
    <w:p w14:paraId="6D3A34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января 1945 закончили формирование 1-го смешанного польского авиакорпуса (1217,239).</w:t>
      </w:r>
    </w:p>
    <w:p w14:paraId="6D063DFA" w14:textId="77777777" w:rsidR="00C2313B" w:rsidRPr="00F90EAE" w:rsidRDefault="00C2313B" w:rsidP="00F90EAE">
      <w:pPr>
        <w:autoSpaceDE w:val="0"/>
        <w:autoSpaceDN w:val="0"/>
        <w:adjustRightInd w:val="0"/>
        <w:jc w:val="both"/>
        <w:rPr>
          <w:color w:val="000000" w:themeColor="text1"/>
          <w:sz w:val="16"/>
          <w:szCs w:val="16"/>
        </w:rPr>
      </w:pPr>
    </w:p>
    <w:p w14:paraId="2384A1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января 1945 на аэродроме Гросс-Шиманен приземлился невредимым русский истребитель Як-3. Самолет "Яковлев-3" ждали с особым нетерпением, так как по сравнению с Як-9 он не только стал значительно легче, но и должен был быть особенно хорошим и обладать превосходством по скороподъемности и радиусу виража от земли до высоты 3000 - 3500метров...</w:t>
      </w:r>
    </w:p>
    <w:p w14:paraId="3240D4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большими трудностями мы с механиком прибыли в Гросс-Шиманен.</w:t>
      </w:r>
    </w:p>
    <w:p w14:paraId="7C316C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Як-3 производил превосходное впечатле- авиакорпуса ние. Качество поверхности фанерного крыла было выдающимся. Будучи легче и меньше Як-9, он весил всего лишь 2500 кг, т.е. его вес только в два раза превышал число лошадиных сил двигателя. Можно себе предположить, что все это значило, хотя бы для разгона. Удивительным было то, что удельная нагрузка на крыло &lt;...&gt; была относительно небольшой. </w:t>
      </w:r>
    </w:p>
    <w:p w14:paraId="0F28FA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первом же обходе вокруг Як-3 я с удовольствием отметил, что "птица" имеет прекрасное широкое шасси. Его стоики убирались внутрь к фюзеляжу. &lt;... &gt; Рядный мотор жидкостного охлаждения работал безупречно. Воздушный винт имел даже довольно большой зазор до земли. Тем не менее было ясно, что в полете нужно быть начеку, так как именно такие маленькие быстрые бестии часто обладают неприятными качествами, когда они на взлете "всего лишь" непроизвольно разворачиваются или сваливаются на крыло...</w:t>
      </w:r>
    </w:p>
    <w:p w14:paraId="321DDE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следующее утро, 12 января, над Гросс- Шиманеном была такая активность противника, что ни о каком полете на русском самолете нечего было и думать. Лишь во второй половине дня, когда погода улучшилась, я отважился стартовать в направлении Маркиш-Фридланд. Приходилось следить, чтобы маленький юркий самолет не повел себя, как ему вздумается. Естественно, из-за 12-цилиндрового V-образного мотора жидкостного охлаждения обзор при рулежке был плохой. Однако в полете с обзором все было в порядке. Усилия на ручку были небольшие, так что приходилось остерегаться чрезмерных отклонений ручки. Мотор работал безупречно и позволил мне отважиться на бреющий полет. От машины сопровождения я отказался. Иначе не было возможности ближе познакомиться с самолетом на большой высоте. Спустя 50 минут я приземлился с большим пробегом в Маркиш-Фридланде. При выпущенном шасси и щитках усилия на ручке ощутимо уменьшились, посадка была несколько неустойчивой. Но широкое шасси очень успокаивало. Я остался доволен безукоризненной посадкой на три точки. Только при пробеге, который я хотел подправить с помощью рычага пневматического тормоза, я заметил, что сжатый воздух кончился. Правда, в кабине был манометр, но правильных цифр я не знал... Отсутствие сжатого воздуха - это не какой-то небольшой дефект красоты. Помимо тормозов, он приводит в действие также шасси и посадочные щитки.</w:t>
      </w:r>
    </w:p>
    <w:p w14:paraId="3EF67F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Что-то нужно было сделать, и я обратился за помощью в мастерские... Повреждение оказалось незначительным и после замены прокладки было устранено...</w:t>
      </w:r>
    </w:p>
    <w:p w14:paraId="118839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следующий день, 13 января, погода оказалась особенно плохой, но метеорологи подали надежду на вторую половину дня. На Як-3 не было приборов для слепого полета, а мне же требовалось где-то снова сесть. Предсказание метеорологов неожиданно оправдались. Итак, я приготовился. К моему удивлению, давление в трубопроводах оказалось в порядке. В 15 часов 27минут я дал газ и строго следил за тем, чтобы Як-3 при взлете непроизвольно не развернулся... Постепенно с продвижением на запад погода ухудшалась, и я поднялся выше, чтобы оценить характеристики продольной и путевой устойчивости... Зимний день клонился к концу, вновь становилось пасмурно, и я был рад примерно через 45 минут оставить позади Мюртизее, на южном берегу которого находился аэродром Рехлин. После выпуска шасси и щитков давление сжатого воздуха не изменилось. Это действовало успокаивающе. Вслед за этим я приземлил русскую "птицу" на травяное поле аэродрома. При наличии сжатого воздуха рулежка не представляла труда...</w:t>
      </w:r>
    </w:p>
    <w:p w14:paraId="320C6E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Имея опыт с шумным Jla-5, для этого полета под шлемофоном я заложил уши ватой. Поэтому я не так оглох от тоже не столь уж тихого "яка", как было при перегоне Ла-5, и поэтому был в состоянии ответить на посыпавшиеся на меня вопросы коллег.</w:t>
      </w:r>
    </w:p>
    <w:p w14:paraId="21F487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Как обычно, машину сначала закатили в ангар, и она была осмотрена специалистами. Всем бросилась в глаза безупречно зашпаклеванная поверхность фанеры. Она создавала незначительное сопротивление трения и, сверх того, обладала хорошей ремонтопригодностью на полевых аэродромах с помощью простейших устройств.</w:t>
      </w:r>
    </w:p>
    <w:p w14:paraId="3D045B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Прежде чем я успел подумать о первых испытательных полетах, до меня дошло ошеломляющее известие: рейхсмаршал Геринг желал бы видеть машину в Ораниенбурге под Берлином....</w:t>
      </w:r>
    </w:p>
    <w:p w14:paraId="6B3F84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Было бы очень интересно участвовать в подобном спектакле. Вскоре рейхсмаршал приблизился со свитой. Поскольку я прошел солдатскую выучку, а как ведущий инженер по летным испытаниям представлялся редко, я изобразил "оловянного солдатика" и отдал соответствующий рапорт. Геринг приветливо посмотрел на меня своими голубыми глазами. Все выглядело несколько театрально... На его вопросы о Як-3 я смог ответить, хотя замеры характеристик еще не проводились, но чрезвычайно малый вес самолета в сочетании с приемлемым аэродинамическим качеством и мощностью двигателя позволяет ожидать отличную скороподъемность и лучшие характеристики в бою на виражах на малых высотах по сравнению с нашими истребителями Me-109 и FW-190. Это были простые физические закономерности, понятные каждому более или менее технически грамотному человеку. И то, что "як" в своем аэродинамическом исполнении проявлял себя превосходно, нельзя было не заметить. То, что этот самолет из-за худших высотных характеристик двигателя, начиная со средних высот, уже не выделялся, конечно, вполне соответствовало его замыслу. Такой отчет дал я сначала заласканному, а потом еще более охаянному рейхс- маршалу...</w:t>
      </w:r>
    </w:p>
    <w:p w14:paraId="7EBAAB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Лететь домой было уже поздно. Я уселся с несколькими знакомыми по показу трофеев. Если не касаться вопроса "организации пути" трофейных самолетов, мы хорошо понимали друг друга. При этом я нарисовал им перспективу перегонки Ла-5 после окончания испытательных полетов. Во время возвращения в Рехлин я чувствовав себя на "яке" как дома. Теперь я по-настоящему понял, насколько приятно лететь на такой машине в хорошую погоду" (12047).</w:t>
      </w:r>
    </w:p>
    <w:p w14:paraId="5A5C302E" w14:textId="77777777" w:rsidR="00C2313B" w:rsidRPr="00F90EAE" w:rsidRDefault="00C2313B" w:rsidP="00F90EAE">
      <w:pPr>
        <w:autoSpaceDE w:val="0"/>
        <w:autoSpaceDN w:val="0"/>
        <w:adjustRightInd w:val="0"/>
        <w:jc w:val="both"/>
        <w:rPr>
          <w:color w:val="000000" w:themeColor="text1"/>
          <w:sz w:val="16"/>
          <w:szCs w:val="16"/>
        </w:rPr>
      </w:pPr>
    </w:p>
    <w:p w14:paraId="1DB1348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2399E8D" w14:textId="77777777" w:rsidR="00C2313B" w:rsidRPr="00F90EAE" w:rsidRDefault="00C2313B" w:rsidP="00F90EAE">
      <w:pPr>
        <w:autoSpaceDE w:val="0"/>
        <w:autoSpaceDN w:val="0"/>
        <w:adjustRightInd w:val="0"/>
        <w:jc w:val="both"/>
        <w:rPr>
          <w:iCs/>
          <w:color w:val="000000" w:themeColor="text1"/>
          <w:sz w:val="16"/>
          <w:szCs w:val="16"/>
        </w:rPr>
      </w:pPr>
    </w:p>
    <w:p w14:paraId="678449D5"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января 1945 вышло Распоряжение ГКО № 7276 [Об обеспечении паровозов Кишиневской железной дороги мазутом из Румынии.] (7295, 109).</w:t>
      </w:r>
    </w:p>
    <w:p w14:paraId="59115C9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A19585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января 1945 вышло Постановление ГКО № 7277 Об увеличении выпуска паровых котлов для Наркомугля на заводах Наркомтяжмаша. (7295, 110-115,116).</w:t>
      </w:r>
    </w:p>
    <w:p w14:paraId="095E820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9B0306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января 1945 вышло Постановление ГКО № 7278 Об обеспечении порожними вагонами углепогрузочных дорог в январе 1945 г. (7295, 117-119,120-127).</w:t>
      </w:r>
    </w:p>
    <w:p w14:paraId="473C8BD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8CCD2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января 1945 вышло Распоряжение ГКО № 7279. О мерах по поставкам спецукупорки заводам НКВ. РГАНИР, Фонд ГКО, д. 348, лл. 128-129, 130 (11012).</w:t>
      </w:r>
    </w:p>
    <w:p w14:paraId="64C4AD8E" w14:textId="77777777" w:rsidR="00C2313B" w:rsidRPr="00F90EAE" w:rsidRDefault="00C2313B" w:rsidP="00F90EAE">
      <w:pPr>
        <w:autoSpaceDE w:val="0"/>
        <w:autoSpaceDN w:val="0"/>
        <w:adjustRightInd w:val="0"/>
        <w:jc w:val="both"/>
        <w:rPr>
          <w:color w:val="000000" w:themeColor="text1"/>
          <w:sz w:val="16"/>
          <w:szCs w:val="16"/>
        </w:rPr>
      </w:pPr>
    </w:p>
    <w:p w14:paraId="68430A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января 1945 вышло Распоряжение ГКО № 7280. О поставках корда НКРП в I кв. 1945 г. РГАНИР, Фонд ГКО, д. 348, лл. 131-132 (11012).</w:t>
      </w:r>
    </w:p>
    <w:p w14:paraId="6EEF5DDA" w14:textId="77777777" w:rsidR="00C2313B" w:rsidRPr="00F90EAE" w:rsidRDefault="00C2313B" w:rsidP="00F90EAE">
      <w:pPr>
        <w:autoSpaceDE w:val="0"/>
        <w:autoSpaceDN w:val="0"/>
        <w:adjustRightInd w:val="0"/>
        <w:jc w:val="both"/>
        <w:rPr>
          <w:color w:val="000000" w:themeColor="text1"/>
          <w:sz w:val="16"/>
          <w:szCs w:val="16"/>
        </w:rPr>
      </w:pPr>
    </w:p>
    <w:p w14:paraId="6FF056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января 1945 вышло Распоряжение ГКО № 7281. О принятии под охрану НКВД завода "Платиноприбор" Гознака. РГАНИР, Фонд ГКО, д. 348, лл. 133 (11012).</w:t>
      </w:r>
    </w:p>
    <w:p w14:paraId="722AB2CA" w14:textId="77777777" w:rsidR="00C2313B" w:rsidRPr="00F90EAE" w:rsidRDefault="00C2313B" w:rsidP="00F90EAE">
      <w:pPr>
        <w:autoSpaceDE w:val="0"/>
        <w:autoSpaceDN w:val="0"/>
        <w:adjustRightInd w:val="0"/>
        <w:jc w:val="both"/>
        <w:rPr>
          <w:color w:val="000000" w:themeColor="text1"/>
          <w:sz w:val="16"/>
          <w:szCs w:val="16"/>
        </w:rPr>
      </w:pPr>
    </w:p>
    <w:p w14:paraId="6B19D6D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января 1945 вышло Постановление ГКО № 7282 О приемке легкого крейсера "Л. Каганович" в состав ВМФ. (7295, 134-135).</w:t>
      </w:r>
    </w:p>
    <w:p w14:paraId="595489E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B3BC7AD" w14:textId="77777777" w:rsidR="002D257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F680060" w14:textId="77777777" w:rsidR="002D2573" w:rsidRPr="00F90EAE" w:rsidRDefault="002D2573" w:rsidP="00F90EAE">
      <w:pPr>
        <w:autoSpaceDE w:val="0"/>
        <w:autoSpaceDN w:val="0"/>
        <w:adjustRightInd w:val="0"/>
        <w:jc w:val="both"/>
        <w:rPr>
          <w:iCs/>
          <w:color w:val="000000" w:themeColor="text1"/>
          <w:sz w:val="16"/>
          <w:szCs w:val="16"/>
        </w:rPr>
      </w:pPr>
    </w:p>
    <w:p w14:paraId="33E35C7C" w14:textId="77777777" w:rsidR="002D2573" w:rsidRPr="00F90EAE" w:rsidRDefault="002D2573" w:rsidP="00F90EAE">
      <w:pPr>
        <w:jc w:val="both"/>
        <w:rPr>
          <w:color w:val="000000" w:themeColor="text1"/>
          <w:sz w:val="16"/>
          <w:szCs w:val="16"/>
        </w:rPr>
      </w:pPr>
      <w:r w:rsidRPr="00F90EAE">
        <w:rPr>
          <w:bCs/>
          <w:color w:val="000000" w:themeColor="text1"/>
          <w:sz w:val="16"/>
          <w:szCs w:val="16"/>
        </w:rPr>
        <w:t>7 января</w:t>
      </w:r>
      <w:r w:rsidRPr="00F90EAE">
        <w:rPr>
          <w:color w:val="000000" w:themeColor="text1"/>
          <w:sz w:val="16"/>
          <w:szCs w:val="16"/>
        </w:rPr>
        <w:t xml:space="preserve"> в 1945 году оперативная сводка Совинформбюро:</w:t>
      </w:r>
    </w:p>
    <w:p w14:paraId="345FD352"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7 января в районе Будапешта наши войска вели бои по очищению города от противника и заняли 116 кварталов.</w:t>
      </w:r>
    </w:p>
    <w:p w14:paraId="5B3AB532"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наши войска отбивали атаки крупных сил пехоты и танков противника, стремящегося, несмотря на большие потери, прорваться к Будапешту. После упорных боёв наши войска оставили город Естергом.</w:t>
      </w:r>
    </w:p>
    <w:p w14:paraId="76463925"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севернее города Естергом наши войска, сломив сопротивление противника, продвинулись к западу от реки Грон более чем на 20 километров, заняв при этом крупные населённые пункты Камендин, Либад, Бела, Мужла, Кебелкут, Баторове Кеси, Буч, Карва, Мадар. В этом районе за 6 января наши войска взяли в плен 1.300 солдат и офицеров противника, захватили 54 танка и 28 орудий.</w:t>
      </w:r>
    </w:p>
    <w:p w14:paraId="7F0B358D"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C125ED3" w14:textId="77777777" w:rsidR="002D2573" w:rsidRPr="00F90EAE" w:rsidRDefault="002D2573" w:rsidP="00F90EAE">
      <w:pPr>
        <w:jc w:val="both"/>
        <w:rPr>
          <w:color w:val="000000" w:themeColor="text1"/>
          <w:sz w:val="16"/>
          <w:szCs w:val="16"/>
        </w:rPr>
      </w:pPr>
      <w:r w:rsidRPr="00F90EAE">
        <w:rPr>
          <w:color w:val="000000" w:themeColor="text1"/>
          <w:sz w:val="16"/>
          <w:szCs w:val="16"/>
        </w:rPr>
        <w:t>За 6 января наши войска на всех фронтах подбили и уничтожили 116 немецких танков, из них 88 танков северо-западнее Будапешта. В воздушных боях и огнём зенитной артиллерии сбито 52 самолёта противника.</w:t>
      </w:r>
    </w:p>
    <w:p w14:paraId="17CCC78E" w14:textId="77777777" w:rsidR="002D2573" w:rsidRPr="00F90EAE" w:rsidRDefault="002D2573" w:rsidP="00F90EAE">
      <w:pPr>
        <w:jc w:val="both"/>
        <w:rPr>
          <w:color w:val="000000" w:themeColor="text1"/>
          <w:sz w:val="16"/>
          <w:szCs w:val="16"/>
        </w:rPr>
      </w:pPr>
      <w:r w:rsidRPr="00F90EAE">
        <w:rPr>
          <w:color w:val="000000" w:themeColor="text1"/>
          <w:sz w:val="16"/>
          <w:szCs w:val="16"/>
        </w:rPr>
        <w:t xml:space="preserve">В районе Будапешта наши продолжали бои по ликвидации окруженной группировки противника. Советские части заняли 116 кварталов и очищают от немцев центральные районы города. Пытаясь замедлить продвижение наших войск, немцы устраивают завалы, взрывая многие жилые дома и общественные здания. В результате стремительной атаки бойцы Н-ской части овладели сегодня улицей в центральной части Будапешта. Противник, подтянув резервы, предпринял одну за другой двенадцать контратак, но был отброшен с большими для него потерями. В этом бою артиллеристы под командованием капитана Майбороды уничтожили 3 </w:t>
      </w:r>
      <w:r w:rsidRPr="00F90EAE">
        <w:rPr>
          <w:color w:val="000000" w:themeColor="text1"/>
          <w:sz w:val="16"/>
          <w:szCs w:val="16"/>
        </w:rPr>
        <w:lastRenderedPageBreak/>
        <w:t>вражеских танка и 7 бронетранспортеров. Другое артиллерийское подразделение сожгло 6 танков и 4 самоходных орудия противника. В другом районе наши гвардейские подразделения, продвигаясь вперед, истребили 400 гитлеровцев, захватили 24 пулемета, 100 автоматов, паровоз и 120 вагонов с военными грузами. Взято в плен 80 немецких солдат и офицеров.</w:t>
      </w:r>
    </w:p>
    <w:p w14:paraId="261052A7" w14:textId="77777777" w:rsidR="002D2573" w:rsidRPr="00F90EAE" w:rsidRDefault="002D2573" w:rsidP="00F90EAE">
      <w:pPr>
        <w:jc w:val="both"/>
        <w:rPr>
          <w:color w:val="000000" w:themeColor="text1"/>
          <w:sz w:val="16"/>
          <w:szCs w:val="16"/>
        </w:rPr>
      </w:pPr>
      <w:r w:rsidRPr="00F90EAE">
        <w:rPr>
          <w:color w:val="000000" w:themeColor="text1"/>
          <w:sz w:val="16"/>
          <w:szCs w:val="16"/>
        </w:rPr>
        <w:t>В уличных боях в городе Будапеште советские воины показывают пример самоотверженности и героизма. Командир орудия сержант Земченко в течение дня подбил танк и сжег 2 немецких бронетранспортера. Пулеметчик Булава обстрелял вражеский бронетранспортер. Машина потеряла управление и остановилась. Рядовые Кот и Аладусиков подбежали к бронетранспортеру и ручными гранатами истребили всех находившихся в нем гитлеровцев. Разведчики рядовые Сапожников и Лежнев пробрались в расположение противника. Встретив группу венгерских солдат, советские бойцы предложили им сдаться в плен. 84 венгра с оружием перешли на сторону Красной Армии.</w:t>
      </w:r>
    </w:p>
    <w:p w14:paraId="5B3F8FC2"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продолжались ожесточенные бои. За последние дни в этом районе противник понес очень тяжелые потери. Однако немцы непрерывно вводят в дело свежие силы и стремятся любой ценой пробиться к Будапешту. На южном берегу Дуная крупная группировка немецких танков и пехоты утром атаковала наши позиции. Весь день советские пехотинцы и артиллеристы сдерживали натиск численно превосходящих сил противника. Бои неоднократно переходили в рукопашные схватки. К исходу дня наши части оставили город Естергом и отошли на новые позиции. Немцы, пытаясь продвинуться дальше, предприняли еще несколько яростных атак, но были отброшены. Западнее Будапешта наши войска мощным огнем и контрударами отбили многочисленные атаки противника. За день боев на этом участке уничтожено 1.400 немецких солдат и офицеров, подбито и сожжено 49 танков и 16 бронетранспортеров. Захвачено в плен 320 немецких солдат и офицеров.</w:t>
      </w:r>
    </w:p>
    <w:p w14:paraId="307ADD12" w14:textId="77777777" w:rsidR="002D2573" w:rsidRPr="00F90EAE" w:rsidRDefault="002D2573" w:rsidP="00F90EAE">
      <w:pPr>
        <w:jc w:val="both"/>
        <w:rPr>
          <w:color w:val="000000" w:themeColor="text1"/>
          <w:sz w:val="16"/>
          <w:szCs w:val="16"/>
        </w:rPr>
      </w:pPr>
      <w:r w:rsidRPr="00F90EAE">
        <w:rPr>
          <w:color w:val="000000" w:themeColor="text1"/>
          <w:sz w:val="16"/>
          <w:szCs w:val="16"/>
        </w:rPr>
        <w:t>Советская авиация, несмотря на неблагоприятные условия погоды, наносила удары по танкам противника. В течение дня наши лётчики уничтожили и повредили более 20 немецких танков, 8 бронетранспортёров и 60 автомашин. На одном участке немцы, готовясь к очередной атаке, сосредоточили много танков. Летчики-штурмовики под командованием старшего лейтенанта Шепелева совершили налёт на скопление техники противника и сожгли 10 танков. На обратном пути советские штурмовики были атакованы немецкими истребителями. В завязавшемся воздушном бою стрелки Носков, Костицын и лётчик младший лейтенант Щупаков сбили по одному немецкому самолёту. Четвёртый вражеский истребитель сбит в групповом бою. Все наши самолеты благополучно вернулись на свой аэродром. В другом районе двенадцать штурмовиков под командованием майора Шулякова атаковали на железнодорожной станции только что выгрузившиеся танки противника. Лейтенант Иевский, лейтенант Липницкий и младший лейтенант Черноус бомбами и пушечным огнём подавили вражеские зенитные батареи. Майор Шуляков, капитан Боканов, старший лейтенант Шонин и другие лётчики нанесли удар по танкам и эшелонам противника. Уничтожено 4 немецких танка и 20 автомашин. Среди находившихся на территории станции эшелонов возникли пожары, и произошло несколько сильных взрывов.</w:t>
      </w:r>
    </w:p>
    <w:p w14:paraId="747FBBF9"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севернее города Естергом, наши войска мощным ударом прорвали оборону противника на западном берегу реки Грон. Развивая успех, советские части продвинулись вперёд более чем на 20 километров и овладели рядом крупных населенных пунктов. В числе других занят населённый пункт Мадар, расположенный в 17 километрах от чехословацкого города Комарно – крупного узла железнодорожных и шоссейных дорог. Советские танкисты, пехотинцы и артиллеристы стремительным ударом нанесли большие потери пехотной дивизии противника, только что прибывшей на этот участок фронта. Разгромлена также танковая часть, которую немцы бросили в бой, пытаясь задержать наступление. Отступая под ударами наших войск, противник оставил на поле боя много вооружения, техники и военных материалов.» (15002).</w:t>
      </w:r>
    </w:p>
    <w:p w14:paraId="635B47C0" w14:textId="77777777" w:rsidR="002D2573" w:rsidRPr="00F90EAE" w:rsidRDefault="002D2573" w:rsidP="00F90EAE">
      <w:pPr>
        <w:jc w:val="both"/>
        <w:rPr>
          <w:color w:val="000000" w:themeColor="text1"/>
          <w:sz w:val="16"/>
          <w:szCs w:val="16"/>
        </w:rPr>
      </w:pPr>
    </w:p>
    <w:p w14:paraId="3FDC7A2D" w14:textId="77777777" w:rsidR="00D837F1" w:rsidRPr="00F90EAE" w:rsidRDefault="00D837F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847D9A2" w14:textId="77777777" w:rsidR="00D837F1" w:rsidRPr="00F90EAE" w:rsidRDefault="00D837F1" w:rsidP="00F90EAE">
      <w:pPr>
        <w:autoSpaceDE w:val="0"/>
        <w:autoSpaceDN w:val="0"/>
        <w:adjustRightInd w:val="0"/>
        <w:jc w:val="both"/>
        <w:rPr>
          <w:iCs/>
          <w:color w:val="000000" w:themeColor="text1"/>
          <w:sz w:val="16"/>
          <w:szCs w:val="16"/>
        </w:rPr>
      </w:pPr>
    </w:p>
    <w:p w14:paraId="4774C1B1" w14:textId="77777777" w:rsidR="00D837F1" w:rsidRPr="00F90EAE" w:rsidRDefault="00D837F1" w:rsidP="00F90EAE">
      <w:pPr>
        <w:jc w:val="both"/>
        <w:rPr>
          <w:color w:val="000000" w:themeColor="text1"/>
          <w:sz w:val="16"/>
          <w:szCs w:val="16"/>
        </w:rPr>
      </w:pPr>
      <w:r w:rsidRPr="00F90EAE">
        <w:rPr>
          <w:color w:val="000000" w:themeColor="text1"/>
          <w:sz w:val="16"/>
          <w:szCs w:val="16"/>
        </w:rPr>
        <w:t>7 января 1945. Опубликовано сообщение о начале строительства газопровода Саратов-Москва (18688).</w:t>
      </w:r>
    </w:p>
    <w:p w14:paraId="653772B9" w14:textId="77777777" w:rsidR="00D837F1" w:rsidRPr="00F90EAE" w:rsidRDefault="00D837F1" w:rsidP="00F90EAE">
      <w:pPr>
        <w:jc w:val="both"/>
        <w:rPr>
          <w:color w:val="000000" w:themeColor="text1"/>
          <w:sz w:val="16"/>
          <w:szCs w:val="16"/>
        </w:rPr>
      </w:pPr>
    </w:p>
    <w:p w14:paraId="1B3911B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769E356" w14:textId="77777777" w:rsidR="00C2313B" w:rsidRPr="00F90EAE" w:rsidRDefault="00C2313B" w:rsidP="00F90EAE">
      <w:pPr>
        <w:autoSpaceDE w:val="0"/>
        <w:autoSpaceDN w:val="0"/>
        <w:adjustRightInd w:val="0"/>
        <w:jc w:val="both"/>
        <w:rPr>
          <w:iCs/>
          <w:color w:val="000000" w:themeColor="text1"/>
          <w:sz w:val="16"/>
          <w:szCs w:val="16"/>
        </w:rPr>
      </w:pPr>
    </w:p>
    <w:p w14:paraId="344341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января 1945 года</w:t>
      </w:r>
    </w:p>
    <w:p w14:paraId="132604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ЛИЧНО И СТРОГО СЕКРЕТНО ОТ ПРЕМЬЕРА И. В. СТАЛИНА ПРЕМЬЕР-МИНИСТРУ г-ну У. ЧЕРЧИЛЛЮ</w:t>
      </w:r>
    </w:p>
    <w:p w14:paraId="3495CB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Получил вечером 7 января Ваше послание от 6 января 1945 года</w:t>
      </w:r>
    </w:p>
    <w:p w14:paraId="71A195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сожалению, главный маршал авиации г-н Теддер еще не прибыл в Москву.</w:t>
      </w:r>
    </w:p>
    <w:p w14:paraId="5EE4F9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Очень важно использовать наше превосходство против немцев в артиллерии и авиации. В этих видах требуется ясная погода для авиации и отсутствие низких туманов, мешающих артиллерии вести прицельный огонь. Мы готовимся к наступлению, но погода сейчас не благоприятствует нашему наступлению. Однако, учитывая положение наших союзников на западном фронте, Ставка Верховного Главнокомандования решила усиленным темпом закончить подготовку и, не считаясь с погодой, открыть широкие наступательные действия против немцев по всему центральному фронту не позже второй половины января. Можете не сомневаться, что мы сделаем все, что только возможно сделать для того, чтобы оказать содействие нашим славным союзным войскам (7430).</w:t>
      </w:r>
    </w:p>
    <w:p w14:paraId="113AE9B0" w14:textId="77777777" w:rsidR="00C2313B" w:rsidRPr="00F90EAE" w:rsidRDefault="00C2313B" w:rsidP="00F90EAE">
      <w:pPr>
        <w:autoSpaceDE w:val="0"/>
        <w:autoSpaceDN w:val="0"/>
        <w:adjustRightInd w:val="0"/>
        <w:jc w:val="both"/>
        <w:rPr>
          <w:color w:val="000000" w:themeColor="text1"/>
          <w:sz w:val="16"/>
          <w:szCs w:val="16"/>
        </w:rPr>
      </w:pPr>
    </w:p>
    <w:p w14:paraId="1C23CBD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44F0AB0" w14:textId="77777777" w:rsidR="00C2313B" w:rsidRPr="00F90EAE" w:rsidRDefault="00C2313B" w:rsidP="00F90EAE">
      <w:pPr>
        <w:autoSpaceDE w:val="0"/>
        <w:autoSpaceDN w:val="0"/>
        <w:adjustRightInd w:val="0"/>
        <w:jc w:val="both"/>
        <w:rPr>
          <w:iCs/>
          <w:color w:val="000000" w:themeColor="text1"/>
          <w:sz w:val="16"/>
          <w:szCs w:val="16"/>
        </w:rPr>
      </w:pPr>
    </w:p>
    <w:p w14:paraId="0759BBC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января 1945 Гитлер приказал эвакуировать немецкие войска из Мемеля (ныне Клайпеды) и Курляндии (4962).</w:t>
      </w:r>
    </w:p>
    <w:p w14:paraId="1885CA3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FAA67CE" w14:textId="77777777" w:rsidR="002D2573" w:rsidRPr="00F90EAE" w:rsidRDefault="002D2573" w:rsidP="00F90EAE">
      <w:pPr>
        <w:jc w:val="both"/>
        <w:rPr>
          <w:color w:val="000000" w:themeColor="text1"/>
          <w:sz w:val="16"/>
          <w:szCs w:val="16"/>
        </w:rPr>
      </w:pPr>
      <w:r w:rsidRPr="00F90EAE">
        <w:rPr>
          <w:bCs/>
          <w:color w:val="000000" w:themeColor="text1"/>
          <w:sz w:val="16"/>
          <w:szCs w:val="16"/>
        </w:rPr>
        <w:t>7 января</w:t>
      </w:r>
      <w:r w:rsidRPr="00F90EAE">
        <w:rPr>
          <w:color w:val="000000" w:themeColor="text1"/>
          <w:sz w:val="16"/>
          <w:szCs w:val="16"/>
        </w:rPr>
        <w:t xml:space="preserve"> в 1945 году Адольф Гитлер приказывает эвакуировать немецкие войска из Мемеля (ныне Клайпеды) и Курляндии (15002).</w:t>
      </w:r>
    </w:p>
    <w:p w14:paraId="275D37E8" w14:textId="77777777" w:rsidR="002D2573" w:rsidRPr="00F90EAE" w:rsidRDefault="002D2573" w:rsidP="00F90EAE">
      <w:pPr>
        <w:jc w:val="both"/>
        <w:rPr>
          <w:color w:val="000000" w:themeColor="text1"/>
          <w:sz w:val="16"/>
          <w:szCs w:val="16"/>
        </w:rPr>
      </w:pPr>
    </w:p>
    <w:p w14:paraId="3E3692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января 1945 на тихоокеанском театре погиб американский ас м Thomas B. McGuire (2100).</w:t>
      </w:r>
    </w:p>
    <w:p w14:paraId="4EA2F72F" w14:textId="77777777" w:rsidR="00C2313B" w:rsidRPr="00F90EAE" w:rsidRDefault="00C2313B" w:rsidP="00F90EAE">
      <w:pPr>
        <w:autoSpaceDE w:val="0"/>
        <w:autoSpaceDN w:val="0"/>
        <w:adjustRightInd w:val="0"/>
        <w:jc w:val="both"/>
        <w:rPr>
          <w:color w:val="000000" w:themeColor="text1"/>
          <w:sz w:val="16"/>
          <w:szCs w:val="16"/>
        </w:rPr>
      </w:pPr>
    </w:p>
    <w:p w14:paraId="05D6584A" w14:textId="77777777" w:rsidR="005A1318" w:rsidRPr="00F90EAE" w:rsidRDefault="005A1318" w:rsidP="00F90EAE">
      <w:pPr>
        <w:jc w:val="both"/>
        <w:rPr>
          <w:color w:val="0070C0"/>
          <w:sz w:val="16"/>
          <w:szCs w:val="16"/>
        </w:rPr>
      </w:pPr>
      <w:r w:rsidRPr="00F90EAE">
        <w:rPr>
          <w:color w:val="0070C0"/>
          <w:sz w:val="16"/>
          <w:szCs w:val="16"/>
        </w:rPr>
        <w:t>7 января 1945 второй по результативности американский ас времен Второй мировой войны, майор ВВС США Томас Макгуайр , погиб, когда его P-38 Lightning на малой высоте разбился во время воздушного боя с японским Nakajima Ki-43 (союзническое имя «Оскар») около Манаплы над островом Негрос на Филиппинах. На момент смерти у него было 38 побед (20371).</w:t>
      </w:r>
    </w:p>
    <w:p w14:paraId="0B05CEA6" w14:textId="77777777" w:rsidR="005A1318" w:rsidRPr="00F90EAE" w:rsidRDefault="005A1318" w:rsidP="00F90EAE">
      <w:pPr>
        <w:jc w:val="both"/>
        <w:rPr>
          <w:color w:val="0070C0"/>
          <w:sz w:val="16"/>
          <w:szCs w:val="16"/>
        </w:rPr>
      </w:pPr>
    </w:p>
    <w:p w14:paraId="075E8B63" w14:textId="77777777" w:rsidR="005A1318" w:rsidRPr="00F90EAE" w:rsidRDefault="005A1318" w:rsidP="00F90EAE">
      <w:pPr>
        <w:jc w:val="both"/>
        <w:rPr>
          <w:color w:val="0070C0"/>
          <w:sz w:val="16"/>
          <w:szCs w:val="16"/>
        </w:rPr>
      </w:pPr>
      <w:r w:rsidRPr="00F90EAE">
        <w:rPr>
          <w:color w:val="0070C0"/>
          <w:sz w:val="16"/>
          <w:szCs w:val="16"/>
        </w:rPr>
        <w:t>7 января 1945 в более ясную погоду самолеты оперативной группы 38 использовали тактику «большого синего одеяла» над Лусоном, совершив 757 самолето-вылетов, сбив все четыре японских самолета, которые они встретили в воздухе, и заявив, что еще 75 уничтожены на земле. Оперативная группа 38 потеряла 10 самолетов в бою и 18 по небоевым причинам. Одиннадцать американских авианосцев сопровождения в Лингайенском заливе совершили еще 143 самолето-пролета, и в них также участвуют самолеты ВВС США. В заливе Лингайен камикадзе топят эсминец и тральщик (20371).</w:t>
      </w:r>
    </w:p>
    <w:p w14:paraId="51161986" w14:textId="77777777" w:rsidR="005A1318" w:rsidRPr="00F90EAE" w:rsidRDefault="005A1318" w:rsidP="00F90EAE">
      <w:pPr>
        <w:jc w:val="both"/>
        <w:rPr>
          <w:color w:val="0070C0"/>
          <w:sz w:val="16"/>
          <w:szCs w:val="16"/>
        </w:rPr>
      </w:pPr>
    </w:p>
    <w:p w14:paraId="5CF1ACB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E7C2F91" w14:textId="77777777" w:rsidR="00C2313B" w:rsidRPr="00F90EAE" w:rsidRDefault="00C2313B" w:rsidP="00F90EAE">
      <w:pPr>
        <w:autoSpaceDE w:val="0"/>
        <w:autoSpaceDN w:val="0"/>
        <w:adjustRightInd w:val="0"/>
        <w:jc w:val="both"/>
        <w:rPr>
          <w:iCs/>
          <w:color w:val="000000" w:themeColor="text1"/>
          <w:sz w:val="16"/>
          <w:szCs w:val="16"/>
        </w:rPr>
      </w:pPr>
    </w:p>
    <w:p w14:paraId="3D3998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были закончены доработки Як-3Т и 9 он был передан в ЛИС ОКБ А.С.Я. (65,181).</w:t>
      </w:r>
    </w:p>
    <w:p w14:paraId="65ABBDD7" w14:textId="77777777" w:rsidR="00C2313B" w:rsidRPr="00F90EAE" w:rsidRDefault="00C2313B" w:rsidP="00F90EAE">
      <w:pPr>
        <w:autoSpaceDE w:val="0"/>
        <w:autoSpaceDN w:val="0"/>
        <w:adjustRightInd w:val="0"/>
        <w:jc w:val="both"/>
        <w:rPr>
          <w:color w:val="000000" w:themeColor="text1"/>
          <w:sz w:val="16"/>
          <w:szCs w:val="16"/>
        </w:rPr>
      </w:pPr>
    </w:p>
    <w:p w14:paraId="089EDE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года самолет, получивший в ОКБ наименование Як-3Т, выкатили на аэродром. В ходе заводских испытаний, проходивших с 15 по 24 января, истребитель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D789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4C820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C940374" w14:textId="77777777" w:rsidR="00C2313B" w:rsidRPr="00F90EAE" w:rsidRDefault="00C2313B" w:rsidP="00F90EAE">
      <w:pPr>
        <w:autoSpaceDE w:val="0"/>
        <w:autoSpaceDN w:val="0"/>
        <w:adjustRightInd w:val="0"/>
        <w:jc w:val="both"/>
        <w:rPr>
          <w:color w:val="000000" w:themeColor="text1"/>
          <w:sz w:val="16"/>
          <w:szCs w:val="16"/>
        </w:rPr>
      </w:pPr>
    </w:p>
    <w:p w14:paraId="755546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года Шахурин писал письмо N Н-32/254 командующему ВВС гл. маршалу авиации Новикову А.А.</w:t>
      </w:r>
    </w:p>
    <w:p w14:paraId="636BEF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строительства и подготовки площадки по проведению испытаний объекта гл. конструктора завода N 51 Челомея, а также для обслуживания экспедиции по испытаниям, прошу Вашего приказания командующему ВВС Среднеазиатского округа о выделении БАО в распоряжение начальника экспедиции генерал-майора ИАС Залесского.</w:t>
      </w:r>
    </w:p>
    <w:p w14:paraId="3EC573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базирования экспедиции намечено в 24 км севернее Джизак (1879).</w:t>
      </w:r>
    </w:p>
    <w:p w14:paraId="37FD9F4C" w14:textId="77777777" w:rsidR="00C2313B" w:rsidRPr="00F90EAE" w:rsidRDefault="00C2313B" w:rsidP="00F90EAE">
      <w:pPr>
        <w:autoSpaceDE w:val="0"/>
        <w:autoSpaceDN w:val="0"/>
        <w:adjustRightInd w:val="0"/>
        <w:jc w:val="both"/>
        <w:rPr>
          <w:color w:val="000000" w:themeColor="text1"/>
          <w:sz w:val="16"/>
          <w:szCs w:val="16"/>
        </w:rPr>
      </w:pPr>
    </w:p>
    <w:p w14:paraId="17D4E9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вышло Распоряжение ГКО № 7287. О плане производства и поставки воздухоплавательного имущества для НКО в I кв. 1945 г. РГАНИР, Фонд ГКО, д. 348, лл. 140-143, 144-152 (11012).</w:t>
      </w:r>
    </w:p>
    <w:p w14:paraId="5E1534C3" w14:textId="77777777" w:rsidR="00C2313B" w:rsidRPr="00F90EAE" w:rsidRDefault="00C2313B" w:rsidP="00F90EAE">
      <w:pPr>
        <w:autoSpaceDE w:val="0"/>
        <w:autoSpaceDN w:val="0"/>
        <w:adjustRightInd w:val="0"/>
        <w:jc w:val="both"/>
        <w:rPr>
          <w:color w:val="000000" w:themeColor="text1"/>
          <w:sz w:val="16"/>
          <w:szCs w:val="16"/>
        </w:rPr>
      </w:pPr>
    </w:p>
    <w:p w14:paraId="6E960F6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DD9D835" w14:textId="77777777" w:rsidR="00C2313B" w:rsidRPr="00F90EAE" w:rsidRDefault="00C2313B" w:rsidP="00F90EAE">
      <w:pPr>
        <w:autoSpaceDE w:val="0"/>
        <w:autoSpaceDN w:val="0"/>
        <w:adjustRightInd w:val="0"/>
        <w:jc w:val="both"/>
        <w:rPr>
          <w:iCs/>
          <w:color w:val="000000" w:themeColor="text1"/>
          <w:sz w:val="16"/>
          <w:szCs w:val="16"/>
        </w:rPr>
      </w:pPr>
    </w:p>
    <w:p w14:paraId="794831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января 1945 г. была подготовлена ДОКЛАДНАЯ ЗАПИСКА КОМАНДУЮЩЕГО БТ и МВ КА ЗАМЕСТИТЕЛЮ ПРЕДСЕДАТЕЛЯ ГКО Л.П. БЕРИИ О МОДЕРНИЗАЦИИ ТАНКА Т-34 №836108</w:t>
      </w:r>
    </w:p>
    <w:p w14:paraId="619C5F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Танковый парк немецкой армии в данное время имеет более 50% тяжелых танков типа «тигр» и «пантера».</w:t>
      </w:r>
    </w:p>
    <w:p w14:paraId="471854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Наши тяжелые танки ИС и самоходные артиллерийские установки ИСУ и СУ-100 составляют всего около 28% от общего количества выпускаемых танков и артсамоходов.</w:t>
      </w:r>
    </w:p>
    <w:p w14:paraId="0B751AF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Основным танком в Красной Армии является танк Т-34-85, которому вести борьбу с тяжелыми танками противника чрезвычайно трудно.</w:t>
      </w:r>
    </w:p>
    <w:p w14:paraId="269805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средний танк Т-34, изготовленный на заводе №75 в г. Харькове, имеет такое же воору</w:t>
      </w:r>
      <w:r w:rsidRPr="00F90EAE">
        <w:rPr>
          <w:color w:val="000000" w:themeColor="text1"/>
          <w:sz w:val="16"/>
          <w:szCs w:val="16"/>
        </w:rPr>
        <w:softHyphen/>
        <w:t>жение, как и танк Т-34-85.</w:t>
      </w:r>
    </w:p>
    <w:p w14:paraId="312AA4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усиления вооружения и получения превосходства в огневой мощи наших танков считаю необходимым установить в этот танк 100-мм пушку Д-1 ОТ. Установка этой пушки вполне возможна.</w:t>
      </w:r>
    </w:p>
    <w:p w14:paraId="4BFD9F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Исходя из изложенного, прошу Ваших указаний Народному комиссару танковой промышлен</w:t>
      </w:r>
      <w:r w:rsidRPr="00F90EAE">
        <w:rPr>
          <w:color w:val="000000" w:themeColor="text1"/>
          <w:sz w:val="16"/>
          <w:szCs w:val="16"/>
        </w:rPr>
        <w:softHyphen/>
        <w:t>ности об изготовлении опытных образцов танка Т-34 с 100-мм пушкой Д-1 ОТ с тем, чтобы в кратчай</w:t>
      </w:r>
      <w:r w:rsidRPr="00F90EAE">
        <w:rPr>
          <w:color w:val="000000" w:themeColor="text1"/>
          <w:sz w:val="16"/>
          <w:szCs w:val="16"/>
        </w:rPr>
        <w:softHyphen/>
        <w:t>ший срок внедрить в серийное производство установку этой пушки в танке Т-34.</w:t>
      </w:r>
    </w:p>
    <w:p w14:paraId="5BEB32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68F6DE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11355. Д. 2732. Л. 1. Копия.</w:t>
      </w:r>
    </w:p>
    <w:p w14:paraId="61C431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Н. Бирюков (11420).</w:t>
      </w:r>
    </w:p>
    <w:p w14:paraId="3E9A55D4" w14:textId="77777777" w:rsidR="00C2313B" w:rsidRPr="00F90EAE" w:rsidRDefault="00C2313B" w:rsidP="00F90EAE">
      <w:pPr>
        <w:autoSpaceDE w:val="0"/>
        <w:autoSpaceDN w:val="0"/>
        <w:adjustRightInd w:val="0"/>
        <w:jc w:val="both"/>
        <w:rPr>
          <w:color w:val="000000" w:themeColor="text1"/>
          <w:sz w:val="16"/>
          <w:szCs w:val="16"/>
        </w:rPr>
      </w:pPr>
    </w:p>
    <w:p w14:paraId="41DB6F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вышло Распоряжение ГКО № 7283. О передаче НКНП автомобилей от НКО. РГАНИР, Фонд ГКО, д. 348, лл. 136 (11012).</w:t>
      </w:r>
    </w:p>
    <w:p w14:paraId="1A6081C8" w14:textId="77777777" w:rsidR="00C2313B" w:rsidRPr="00F90EAE" w:rsidRDefault="00C2313B" w:rsidP="00F90EAE">
      <w:pPr>
        <w:autoSpaceDE w:val="0"/>
        <w:autoSpaceDN w:val="0"/>
        <w:adjustRightInd w:val="0"/>
        <w:jc w:val="both"/>
        <w:rPr>
          <w:color w:val="000000" w:themeColor="text1"/>
          <w:sz w:val="16"/>
          <w:szCs w:val="16"/>
        </w:rPr>
      </w:pPr>
    </w:p>
    <w:p w14:paraId="035F84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вышло Распоряжение ГКО № 7284. Об отнесении расходов по обеспечению генералов и офицеров, работающих в НКМВ, за счет этого наркомата. РГАНИР, Фонд ГКО, д. 348, лл. 137 (11012).</w:t>
      </w:r>
    </w:p>
    <w:p w14:paraId="025C17B1" w14:textId="77777777" w:rsidR="00C2313B" w:rsidRPr="00F90EAE" w:rsidRDefault="00C2313B" w:rsidP="00F90EAE">
      <w:pPr>
        <w:autoSpaceDE w:val="0"/>
        <w:autoSpaceDN w:val="0"/>
        <w:adjustRightInd w:val="0"/>
        <w:jc w:val="both"/>
        <w:rPr>
          <w:color w:val="000000" w:themeColor="text1"/>
          <w:sz w:val="16"/>
          <w:szCs w:val="16"/>
        </w:rPr>
      </w:pPr>
    </w:p>
    <w:p w14:paraId="22059B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вышло Распоряжение ГКО № 7286. О распространении постановления ГКО № 6057 от 17 июня 1944 г. на грузчиков предприятий НКЭС. РГАНИР, Фонд ГКО, д. 348, лл. 139 (11012).</w:t>
      </w:r>
    </w:p>
    <w:p w14:paraId="4C3A7BAE" w14:textId="77777777" w:rsidR="00C2313B" w:rsidRPr="00F90EAE" w:rsidRDefault="00C2313B" w:rsidP="00F90EAE">
      <w:pPr>
        <w:autoSpaceDE w:val="0"/>
        <w:autoSpaceDN w:val="0"/>
        <w:adjustRightInd w:val="0"/>
        <w:jc w:val="both"/>
        <w:rPr>
          <w:color w:val="000000" w:themeColor="text1"/>
          <w:sz w:val="16"/>
          <w:szCs w:val="16"/>
        </w:rPr>
      </w:pPr>
    </w:p>
    <w:p w14:paraId="7AA7AA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вышло Постановление ГКО № 7288 Об организации автомобильно-сборочных заводов в г. г. Иркутске и Комсомольске. РГАНИР, Фонд ГКО, д. 348, лл. 153-159, 160-167 (11012).</w:t>
      </w:r>
    </w:p>
    <w:p w14:paraId="0D4DD70D" w14:textId="77777777" w:rsidR="00C2313B" w:rsidRPr="00F90EAE" w:rsidRDefault="00C2313B" w:rsidP="00F90EAE">
      <w:pPr>
        <w:autoSpaceDE w:val="0"/>
        <w:autoSpaceDN w:val="0"/>
        <w:adjustRightInd w:val="0"/>
        <w:jc w:val="both"/>
        <w:rPr>
          <w:color w:val="000000" w:themeColor="text1"/>
          <w:sz w:val="16"/>
          <w:szCs w:val="16"/>
        </w:rPr>
      </w:pPr>
    </w:p>
    <w:p w14:paraId="7E3FBEC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E879756" w14:textId="77777777" w:rsidR="00C2313B" w:rsidRPr="00F90EAE" w:rsidRDefault="00C2313B" w:rsidP="00F90EAE">
      <w:pPr>
        <w:autoSpaceDE w:val="0"/>
        <w:autoSpaceDN w:val="0"/>
        <w:adjustRightInd w:val="0"/>
        <w:jc w:val="both"/>
        <w:rPr>
          <w:iCs/>
          <w:color w:val="000000" w:themeColor="text1"/>
          <w:sz w:val="16"/>
          <w:szCs w:val="16"/>
        </w:rPr>
      </w:pPr>
    </w:p>
    <w:p w14:paraId="62C5A890" w14:textId="77777777" w:rsidR="002D2573" w:rsidRPr="00F90EAE" w:rsidRDefault="002D2573" w:rsidP="00F90EAE">
      <w:pPr>
        <w:jc w:val="both"/>
        <w:rPr>
          <w:color w:val="000000" w:themeColor="text1"/>
          <w:sz w:val="16"/>
          <w:szCs w:val="16"/>
        </w:rPr>
      </w:pPr>
      <w:r w:rsidRPr="00F90EAE">
        <w:rPr>
          <w:bCs/>
          <w:color w:val="000000" w:themeColor="text1"/>
          <w:sz w:val="16"/>
          <w:szCs w:val="16"/>
        </w:rPr>
        <w:t>8 января</w:t>
      </w:r>
      <w:r w:rsidRPr="00F90EAE">
        <w:rPr>
          <w:color w:val="000000" w:themeColor="text1"/>
          <w:sz w:val="16"/>
          <w:szCs w:val="16"/>
        </w:rPr>
        <w:t xml:space="preserve"> в 1945 году оперативная сводка Совинформбюро:</w:t>
      </w:r>
    </w:p>
    <w:p w14:paraId="53E092EC"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8 января в районе Будапешта наши войска, уничтожая группировку противника, окружённую в городе, заняли 130 кварталов.</w:t>
      </w:r>
    </w:p>
    <w:p w14:paraId="6971562D"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атаки крупных сил пехоты и танков противника отбивались нашими войсками. За 7 января в этом районе подбито и уничтожено 90 немецких танков.</w:t>
      </w:r>
    </w:p>
    <w:p w14:paraId="3C03F283"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нашими войсками с боями заняты населённые пункты Дива, Шаркан, Шробарова, Марселова, Моча, Виртхова Пустатина, Радвань. В боях за 7 января в этом районе наши войска взяли в плен 1.520 солдат и офицеров противника.</w:t>
      </w:r>
    </w:p>
    <w:p w14:paraId="7E7B5038"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было.</w:t>
      </w:r>
    </w:p>
    <w:p w14:paraId="5BC1833B" w14:textId="77777777" w:rsidR="002D2573" w:rsidRPr="00F90EAE" w:rsidRDefault="002D2573" w:rsidP="00F90EAE">
      <w:pPr>
        <w:jc w:val="both"/>
        <w:rPr>
          <w:color w:val="000000" w:themeColor="text1"/>
          <w:sz w:val="16"/>
          <w:szCs w:val="16"/>
        </w:rPr>
      </w:pPr>
      <w:r w:rsidRPr="00F90EAE">
        <w:rPr>
          <w:color w:val="000000" w:themeColor="text1"/>
          <w:sz w:val="16"/>
          <w:szCs w:val="16"/>
        </w:rPr>
        <w:t>За 7 января в воздушных боях и огнём зенитной артиллерии сбито 9 самолётов противника.</w:t>
      </w:r>
    </w:p>
    <w:p w14:paraId="29D45743" w14:textId="77777777" w:rsidR="002D2573" w:rsidRPr="00F90EAE" w:rsidRDefault="002D2573"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ликвидации окруженной группировки противника. Стремительным ударом советские подразделения выбили гитлеровцев с территории трех заводов. Уничтожено более 300 немецких солдат и офицеров, 4 самоходных орудия и 3 бронетранспортера. Захвачено 5 противотанковых орудий и 26 пулеметов. Ожесточенные бои произошли сегодня на одной улице в центральной части города. Противник укрепился в больших каменных зданиях и огнем из крупнокалиберных пулеметов и автоматов сдерживал продвижение советских подразделений. Группа бойцов гвардии младшего лейтенанта Астахова атаковала угловой дом, превращенный немцами в дот. Выдвинув орудия на открытые позиции, наши бойцы подавили огневые точки противника и ворвались в дом. Очищая этаж за этажом, гвардейцы истребили засевших в этом доме немецких пулеметчиков и автоматчиков. Овладев этим узлом обороны немцев, наши подразделения отрезали путь отступления другой группе противника.</w:t>
      </w:r>
    </w:p>
    <w:p w14:paraId="52245D3C"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продолжались ожесточенные бои. Утром, после сильной артиллерийской подготовки, противник возобновил атаки в районе магистрали Естергом – Будапешт. Введя в бой на узком участке крупные силы танков, немцы рассчитывали массированным ударом смять советские войска и пробиться к венгерской столице. Наши пехотинцы, артиллеристы и танкисты стойко выдержали натиск врага и нанесли ему огромный урон. Подступы к советским позициям завалены разбитой техникой противника. Упорные бои происходили также западнее Будапешта. В этом районе немцы вели атаки с двух направлений. Ожесточенное сражение длилось весь день. Вражеские танки и пехота на бронетранспортерах были встречены артиллерийским и минометным огнем. Наши части отбили все атаки противника. В ходе боев северо-западнее и западнее Будапешта немцы несут исключительно тяжелые потери в живой силе и технике. В течение дня противник потерял 90 танков и 12 бронетранспортеров. По неполным данным, уничтожено до 2.000 немецких солдат и офицеров.</w:t>
      </w:r>
    </w:p>
    <w:p w14:paraId="5819B3F7" w14:textId="77777777" w:rsidR="002D2573" w:rsidRPr="00F90EAE" w:rsidRDefault="002D2573" w:rsidP="00F90EAE">
      <w:pPr>
        <w:jc w:val="both"/>
        <w:rPr>
          <w:color w:val="000000" w:themeColor="text1"/>
          <w:sz w:val="16"/>
          <w:szCs w:val="16"/>
        </w:rPr>
      </w:pPr>
      <w:r w:rsidRPr="00F90EAE">
        <w:rPr>
          <w:color w:val="000000" w:themeColor="text1"/>
          <w:sz w:val="16"/>
          <w:szCs w:val="16"/>
        </w:rPr>
        <w:t>Отбивая атаки противника бойцы и офицеры Красной Армии проявляют образцы доблести и геройства. На позиции, которые обороняли подразделения старейшего лейтенанта Абрамова в одном бою, подбили и сожгли 3 немецких танка «Пантера» и один танк «Тигр». Бойцы роты противотанковых ружей под командованием гвардии лейтенанта Терещенко успешно отразили атаку немецкой пехоты и уничтожили 2 бронетранспортера. Орудийные расчеты командиров Пуганца, Берестенева, Могильникова и Андрейченко подбили и сожгли 3 немецких танка.</w:t>
      </w:r>
    </w:p>
    <w:p w14:paraId="6D19FD85"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наши войска продолжали наступление. Немцы сильным огнем и контратаками пытались задержать советские части. Наши пехотинцы, преодолевая сопротивление противника, с боями продвигались вперед. Немцы выбиты из населенного пункта Марселова, расположенного в 12 километрах восточнее города Комарно. Наши наступающие войска разгромили части пехотной дивизии «Сент-Ласло», сформированной из венгерских фашистов. Захвачено много оружия и военных материалов.</w:t>
      </w:r>
    </w:p>
    <w:p w14:paraId="191FBBA6" w14:textId="77777777" w:rsidR="002D2573" w:rsidRPr="00F90EAE" w:rsidRDefault="002D2573" w:rsidP="00F90EAE">
      <w:pPr>
        <w:jc w:val="both"/>
        <w:rPr>
          <w:color w:val="000000" w:themeColor="text1"/>
          <w:sz w:val="16"/>
          <w:szCs w:val="16"/>
        </w:rPr>
      </w:pPr>
      <w:r w:rsidRPr="00F90EAE">
        <w:rPr>
          <w:color w:val="000000" w:themeColor="text1"/>
          <w:sz w:val="16"/>
          <w:szCs w:val="16"/>
        </w:rPr>
        <w:t>На 1-м Украинском фронте, на одном участке, наши подразделения предприняли разведку боем. Советские бойцы внезапно ворвались в расположение противника и в результате ожесточенной схватки овладели выгодными позициями. Захвачено у немцев 25 пулеметов, 170 автоматов и винтовок и несколько складов с боеприпасами.» (15003).</w:t>
      </w:r>
    </w:p>
    <w:p w14:paraId="716E8B2B" w14:textId="77777777" w:rsidR="002D2573" w:rsidRPr="00F90EAE" w:rsidRDefault="002D2573" w:rsidP="00F90EAE">
      <w:pPr>
        <w:jc w:val="both"/>
        <w:rPr>
          <w:color w:val="000000" w:themeColor="text1"/>
          <w:sz w:val="16"/>
          <w:szCs w:val="16"/>
        </w:rPr>
      </w:pPr>
    </w:p>
    <w:p w14:paraId="38DDF5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года во время Балатонской операции состоялось первое боевое применение СУ-100 (3862).</w:t>
      </w:r>
    </w:p>
    <w:p w14:paraId="362D37CF" w14:textId="77777777" w:rsidR="00C2313B" w:rsidRPr="00F90EAE" w:rsidRDefault="00C2313B" w:rsidP="00F90EAE">
      <w:pPr>
        <w:autoSpaceDE w:val="0"/>
        <w:autoSpaceDN w:val="0"/>
        <w:adjustRightInd w:val="0"/>
        <w:jc w:val="both"/>
        <w:rPr>
          <w:color w:val="000000" w:themeColor="text1"/>
          <w:sz w:val="16"/>
          <w:szCs w:val="16"/>
        </w:rPr>
      </w:pPr>
    </w:p>
    <w:p w14:paraId="7FC2DF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января 1945 г. была подготовлена СПРАВКА О ВЫДАЧЕ АВТОМАШИН ПОЛЬСКИМ ЧАСТЯМ С НАЧАЛА ИХ ФОРМИРОВАНИЯ ДО 1.01.1945 г.</w:t>
      </w:r>
    </w:p>
    <w:tbl>
      <w:tblPr>
        <w:tblW w:w="0" w:type="auto"/>
        <w:tblInd w:w="40" w:type="dxa"/>
        <w:tblLayout w:type="fixed"/>
        <w:tblCellMar>
          <w:left w:w="40" w:type="dxa"/>
          <w:right w:w="40" w:type="dxa"/>
        </w:tblCellMar>
        <w:tblLook w:val="0000" w:firstRow="0" w:lastRow="0" w:firstColumn="0" w:lastColumn="0" w:noHBand="0" w:noVBand="0"/>
      </w:tblPr>
      <w:tblGrid>
        <w:gridCol w:w="902"/>
        <w:gridCol w:w="490"/>
        <w:gridCol w:w="432"/>
        <w:gridCol w:w="470"/>
        <w:gridCol w:w="461"/>
        <w:gridCol w:w="461"/>
        <w:gridCol w:w="442"/>
        <w:gridCol w:w="480"/>
        <w:gridCol w:w="461"/>
        <w:gridCol w:w="461"/>
        <w:gridCol w:w="480"/>
        <w:gridCol w:w="461"/>
        <w:gridCol w:w="461"/>
        <w:gridCol w:w="470"/>
        <w:gridCol w:w="442"/>
        <w:gridCol w:w="480"/>
        <w:gridCol w:w="509"/>
      </w:tblGrid>
      <w:tr w:rsidR="00561F31" w:rsidRPr="00F90EAE" w14:paraId="5AB88CC7" w14:textId="77777777">
        <w:trPr>
          <w:trHeight w:val="134"/>
        </w:trPr>
        <w:tc>
          <w:tcPr>
            <w:tcW w:w="902" w:type="dxa"/>
            <w:tcBorders>
              <w:top w:val="single" w:sz="6" w:space="0" w:color="auto"/>
              <w:left w:val="single" w:sz="6" w:space="0" w:color="auto"/>
              <w:bottom w:val="nil"/>
              <w:right w:val="single" w:sz="6" w:space="0" w:color="auto"/>
            </w:tcBorders>
          </w:tcPr>
          <w:p w14:paraId="721699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7FBCE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4220ED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Студебекер</w:t>
            </w:r>
          </w:p>
          <w:p w14:paraId="044E16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42CC87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Шевроле</w:t>
            </w:r>
          </w:p>
          <w:p w14:paraId="3B88E6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E129D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Додж 3/4</w:t>
            </w:r>
          </w:p>
          <w:p w14:paraId="7B2E41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89F42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50BB41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3AC1DF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ЗИС-5</w:t>
            </w:r>
          </w:p>
          <w:p w14:paraId="3A9505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1F370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ГАЗ-АА</w:t>
            </w:r>
          </w:p>
          <w:p w14:paraId="732435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F3310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Санавтобусы</w:t>
            </w:r>
          </w:p>
          <w:p w14:paraId="751BCE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6DA3F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Бензоцистерны</w:t>
            </w:r>
          </w:p>
          <w:p w14:paraId="3DD182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98E8B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 Летучка А</w:t>
            </w:r>
          </w:p>
          <w:p w14:paraId="5C7C1C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05F08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Ремлетучка Б</w:t>
            </w:r>
          </w:p>
          <w:p w14:paraId="78DA30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592B4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ПЗС-4</w:t>
            </w:r>
          </w:p>
          <w:p w14:paraId="4820C7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2CA126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Виллисы</w:t>
            </w:r>
          </w:p>
          <w:p w14:paraId="3D5B8B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7BFAEA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 Амфибия</w:t>
            </w:r>
          </w:p>
          <w:p w14:paraId="640BA3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D89A6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ГАЗ-67</w:t>
            </w:r>
          </w:p>
          <w:p w14:paraId="14BCBA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73F15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М-18</w:t>
            </w:r>
          </w:p>
          <w:p w14:paraId="3A2EA8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2B04C6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7140B6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71FB332" w14:textId="77777777">
        <w:trPr>
          <w:trHeight w:val="269"/>
        </w:trPr>
        <w:tc>
          <w:tcPr>
            <w:tcW w:w="902" w:type="dxa"/>
            <w:tcBorders>
              <w:top w:val="single" w:sz="6" w:space="0" w:color="auto"/>
              <w:left w:val="single" w:sz="6" w:space="0" w:color="auto"/>
              <w:bottom w:val="nil"/>
              <w:right w:val="single" w:sz="6" w:space="0" w:color="auto"/>
            </w:tcBorders>
          </w:tcPr>
          <w:p w14:paraId="74FDA7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42025C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6FA2C8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2EB28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22726B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A8DE7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0F687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CB11C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1A960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9F52F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E3BD7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8CC41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2EF81D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7DF1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DA3CD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01608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85833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BDE2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71A005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2F49C8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D2655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2B22E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68BF53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EE6C2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45C880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7E48A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559F31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72A3F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AC87D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871FB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7BE6B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F37B2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6B8B9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7AF9C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7D676B0" w14:textId="77777777">
        <w:trPr>
          <w:trHeight w:val="221"/>
        </w:trPr>
        <w:tc>
          <w:tcPr>
            <w:tcW w:w="902" w:type="dxa"/>
            <w:tcBorders>
              <w:top w:val="nil"/>
              <w:left w:val="single" w:sz="6" w:space="0" w:color="auto"/>
              <w:bottom w:val="single" w:sz="6" w:space="0" w:color="auto"/>
              <w:right w:val="single" w:sz="6" w:space="0" w:color="auto"/>
            </w:tcBorders>
          </w:tcPr>
          <w:p w14:paraId="162A8A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Итого</w:t>
            </w:r>
          </w:p>
          <w:p w14:paraId="7922CF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47766F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219</w:t>
            </w:r>
          </w:p>
          <w:p w14:paraId="259599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77317B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05291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3AA5E0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w:t>
            </w:r>
          </w:p>
          <w:p w14:paraId="089AD8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376790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w:t>
            </w:r>
          </w:p>
          <w:p w14:paraId="1B2FC7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2FF16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EFC87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18DD56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w:t>
            </w:r>
          </w:p>
          <w:p w14:paraId="7E3A11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14C6D5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2AF879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94B5E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7B845F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058D8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0B6C26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F1C38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8A666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72B0B3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w:t>
            </w:r>
          </w:p>
          <w:p w14:paraId="7FE23F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59935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01B4CB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0FDFD6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92FCA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5965BB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ECC1C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677E71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8E0F78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6983D9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631</w:t>
            </w:r>
          </w:p>
          <w:p w14:paraId="023C8C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94A2172" w14:textId="77777777">
        <w:trPr>
          <w:trHeight w:val="202"/>
        </w:trPr>
        <w:tc>
          <w:tcPr>
            <w:tcW w:w="902" w:type="dxa"/>
            <w:tcBorders>
              <w:top w:val="single" w:sz="6" w:space="0" w:color="auto"/>
              <w:left w:val="single" w:sz="6" w:space="0" w:color="auto"/>
              <w:bottom w:val="nil"/>
              <w:right w:val="single" w:sz="6" w:space="0" w:color="auto"/>
            </w:tcBorders>
          </w:tcPr>
          <w:p w14:paraId="29942A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342436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6C3E5C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F7038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single" w:sz="6" w:space="0" w:color="auto"/>
              <w:left w:val="single" w:sz="6" w:space="0" w:color="auto"/>
              <w:bottom w:val="nil"/>
              <w:right w:val="single" w:sz="6" w:space="0" w:color="auto"/>
            </w:tcBorders>
          </w:tcPr>
          <w:p w14:paraId="7F3FEC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2578D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3D756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72B74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591EA9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85D6C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3204D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95B0F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057C47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BD6F0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FD3BF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95452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2EE5A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D121A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A8781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B80A6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188C28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69AA3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588BF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A2AB8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single" w:sz="6" w:space="0" w:color="auto"/>
              <w:left w:val="single" w:sz="6" w:space="0" w:color="auto"/>
              <w:bottom w:val="nil"/>
              <w:right w:val="single" w:sz="6" w:space="0" w:color="auto"/>
            </w:tcBorders>
          </w:tcPr>
          <w:p w14:paraId="03EA88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77036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06DFFA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9A146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single" w:sz="6" w:space="0" w:color="auto"/>
              <w:left w:val="single" w:sz="6" w:space="0" w:color="auto"/>
              <w:bottom w:val="nil"/>
              <w:right w:val="single" w:sz="6" w:space="0" w:color="auto"/>
            </w:tcBorders>
          </w:tcPr>
          <w:p w14:paraId="1B1B3D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1601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A408D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97F8E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single" w:sz="6" w:space="0" w:color="auto"/>
              <w:left w:val="single" w:sz="6" w:space="0" w:color="auto"/>
              <w:bottom w:val="nil"/>
              <w:right w:val="single" w:sz="6" w:space="0" w:color="auto"/>
            </w:tcBorders>
          </w:tcPr>
          <w:p w14:paraId="5D88E6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80E57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F6B42DA" w14:textId="77777777">
        <w:trPr>
          <w:trHeight w:val="192"/>
        </w:trPr>
        <w:tc>
          <w:tcPr>
            <w:tcW w:w="902" w:type="dxa"/>
            <w:tcBorders>
              <w:top w:val="nil"/>
              <w:left w:val="single" w:sz="6" w:space="0" w:color="auto"/>
              <w:bottom w:val="nil"/>
              <w:right w:val="single" w:sz="6" w:space="0" w:color="auto"/>
            </w:tcBorders>
          </w:tcPr>
          <w:p w14:paraId="7BF1D6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7AE71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A4799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2097</w:t>
            </w:r>
          </w:p>
          <w:p w14:paraId="37D5A4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nil"/>
              <w:right w:val="single" w:sz="6" w:space="0" w:color="auto"/>
            </w:tcBorders>
          </w:tcPr>
          <w:p w14:paraId="1A1825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774</w:t>
            </w:r>
          </w:p>
          <w:p w14:paraId="2B5CAD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D706B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705</w:t>
            </w:r>
          </w:p>
          <w:p w14:paraId="7CDD32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CDFFD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859</w:t>
            </w:r>
          </w:p>
          <w:p w14:paraId="480B35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7114A6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511</w:t>
            </w:r>
          </w:p>
          <w:p w14:paraId="4036B8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0E5799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w:t>
            </w:r>
          </w:p>
          <w:p w14:paraId="51AC20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363F4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118</w:t>
            </w:r>
          </w:p>
          <w:p w14:paraId="3CA787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01FC77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4D7958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433D7C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w:t>
            </w:r>
          </w:p>
          <w:p w14:paraId="28EEAA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FF7F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72BDFC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7D94FA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57687F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nil"/>
              <w:right w:val="single" w:sz="6" w:space="0" w:color="auto"/>
            </w:tcBorders>
          </w:tcPr>
          <w:p w14:paraId="5EF000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w:t>
            </w:r>
          </w:p>
          <w:p w14:paraId="3843C4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AE08E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3BA97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nil"/>
              <w:right w:val="single" w:sz="6" w:space="0" w:color="auto"/>
            </w:tcBorders>
          </w:tcPr>
          <w:p w14:paraId="18531D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47936E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E009A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83E80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nil"/>
              <w:right w:val="single" w:sz="6" w:space="0" w:color="auto"/>
            </w:tcBorders>
          </w:tcPr>
          <w:p w14:paraId="10E162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5617</w:t>
            </w:r>
          </w:p>
          <w:p w14:paraId="319014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476248C" w14:textId="77777777">
        <w:trPr>
          <w:trHeight w:val="240"/>
        </w:trPr>
        <w:tc>
          <w:tcPr>
            <w:tcW w:w="902" w:type="dxa"/>
            <w:tcBorders>
              <w:top w:val="nil"/>
              <w:left w:val="single" w:sz="6" w:space="0" w:color="auto"/>
              <w:bottom w:val="single" w:sz="6" w:space="0" w:color="auto"/>
              <w:right w:val="single" w:sz="6" w:space="0" w:color="auto"/>
            </w:tcBorders>
          </w:tcPr>
          <w:p w14:paraId="50F08F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37AD72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single" w:sz="6" w:space="0" w:color="auto"/>
              <w:right w:val="single" w:sz="6" w:space="0" w:color="auto"/>
            </w:tcBorders>
          </w:tcPr>
          <w:p w14:paraId="140854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2316</w:t>
            </w:r>
          </w:p>
          <w:p w14:paraId="1E9B34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32" w:type="dxa"/>
            <w:tcBorders>
              <w:top w:val="nil"/>
              <w:left w:val="single" w:sz="6" w:space="0" w:color="auto"/>
              <w:bottom w:val="single" w:sz="6" w:space="0" w:color="auto"/>
              <w:right w:val="single" w:sz="6" w:space="0" w:color="auto"/>
            </w:tcBorders>
          </w:tcPr>
          <w:p w14:paraId="4328FD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774</w:t>
            </w:r>
          </w:p>
          <w:p w14:paraId="1686F1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1F2A41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787</w:t>
            </w:r>
          </w:p>
          <w:p w14:paraId="648DAD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A5306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892</w:t>
            </w:r>
          </w:p>
          <w:p w14:paraId="4E3687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1CFD24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511</w:t>
            </w:r>
          </w:p>
          <w:p w14:paraId="36671D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2CE59A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310</w:t>
            </w:r>
          </w:p>
          <w:p w14:paraId="7F5825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739D13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128</w:t>
            </w:r>
          </w:p>
          <w:p w14:paraId="6BF5BB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D2FBD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p w14:paraId="3B8CF1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290CA5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p w14:paraId="6527F1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485A48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4A990B0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6C4839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w:t>
            </w:r>
          </w:p>
          <w:p w14:paraId="29C9FB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61" w:type="dxa"/>
            <w:tcBorders>
              <w:top w:val="nil"/>
              <w:left w:val="single" w:sz="6" w:space="0" w:color="auto"/>
              <w:bottom w:val="single" w:sz="6" w:space="0" w:color="auto"/>
              <w:right w:val="single" w:sz="6" w:space="0" w:color="auto"/>
            </w:tcBorders>
          </w:tcPr>
          <w:p w14:paraId="44BBE2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380</w:t>
            </w:r>
          </w:p>
          <w:p w14:paraId="76DB84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single" w:sz="6" w:space="0" w:color="auto"/>
              <w:right w:val="single" w:sz="6" w:space="0" w:color="auto"/>
            </w:tcBorders>
          </w:tcPr>
          <w:p w14:paraId="5E7BFD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5A644E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42" w:type="dxa"/>
            <w:tcBorders>
              <w:top w:val="nil"/>
              <w:left w:val="single" w:sz="6" w:space="0" w:color="auto"/>
              <w:bottom w:val="single" w:sz="6" w:space="0" w:color="auto"/>
              <w:right w:val="single" w:sz="6" w:space="0" w:color="auto"/>
            </w:tcBorders>
          </w:tcPr>
          <w:p w14:paraId="66AEA3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54BA54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single" w:sz="6" w:space="0" w:color="auto"/>
              <w:right w:val="single" w:sz="6" w:space="0" w:color="auto"/>
            </w:tcBorders>
          </w:tcPr>
          <w:p w14:paraId="0B56E1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1F2159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509" w:type="dxa"/>
            <w:tcBorders>
              <w:top w:val="nil"/>
              <w:left w:val="single" w:sz="6" w:space="0" w:color="auto"/>
              <w:bottom w:val="single" w:sz="6" w:space="0" w:color="auto"/>
              <w:right w:val="single" w:sz="6" w:space="0" w:color="auto"/>
            </w:tcBorders>
          </w:tcPr>
          <w:p w14:paraId="5D7EEF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6248</w:t>
            </w:r>
          </w:p>
          <w:p w14:paraId="69BBCB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236506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Примечание: по данным представителя автоуправления Польского Войска (майора т. Волкова), наличие машин в частях войска на 20.12.1944 г. составляло 7940 машин.</w:t>
      </w:r>
    </w:p>
    <w:p w14:paraId="75BDB8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ГАВТУ КА генерал-лейтенант технических войск Тягунов</w:t>
      </w:r>
    </w:p>
    <w:p w14:paraId="0A6DDC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41. Оп. 11593. Д. 346. Л. 2, 3. Подлинник (11420).</w:t>
      </w:r>
    </w:p>
    <w:p w14:paraId="33B7F0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289B14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763CB2F" w14:textId="77777777" w:rsidR="00C2313B" w:rsidRPr="00F90EAE" w:rsidRDefault="00C2313B" w:rsidP="00F90EAE">
      <w:pPr>
        <w:autoSpaceDE w:val="0"/>
        <w:autoSpaceDN w:val="0"/>
        <w:adjustRightInd w:val="0"/>
        <w:jc w:val="both"/>
        <w:rPr>
          <w:iCs/>
          <w:color w:val="000000" w:themeColor="text1"/>
          <w:sz w:val="16"/>
          <w:szCs w:val="16"/>
        </w:rPr>
      </w:pPr>
    </w:p>
    <w:p w14:paraId="7A76BFB5"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января 1945 вышло Распоряжение ГКО № 7285 [О телефонизации районов Можайского и Ленинградского шоссе в Москве.] (7295, 138).</w:t>
      </w:r>
    </w:p>
    <w:p w14:paraId="38A589B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1A077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зампред СНК СССР В. М. Молотов подписал постановление СНК № 35 “О правовом положении спецпереселенцев”, гласившее:</w:t>
      </w:r>
    </w:p>
    <w:p w14:paraId="44065A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“СНК СССР постановляет:</w:t>
      </w:r>
    </w:p>
    <w:p w14:paraId="42C1CE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Спецпереселенцы пользуются всеми правами граждан СССР, за исключением ограничений, предусмотренных настоящим постановлением (7560).</w:t>
      </w:r>
    </w:p>
    <w:p w14:paraId="201CD3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Все трудоспособные спецпереселенцы обязаны заниматься общественно-полезным трудом. В этих целях местные Советы депутатов трудящихся по согласованию с органами НКВД организуют трудовое устройство спецпереселенцев в сельском хозяйстве, на промышленных предприятиях, на стройках, хозяйственно-кооперативных организациях и учреждениях. За нарушение трудовой дисциплины спецпереселенцы привлекаются к ответственности в соответствии с существующими законами (7560).</w:t>
      </w:r>
    </w:p>
    <w:p w14:paraId="0CDC7A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Спецпереселенцы не имеют права без разрешения коменданта спецкомендатуры НКВД отлучаться за пределы района расселения, обслуживаемого данной спецкомендатурой. Самовольная отлучка за пределы района расселения, обслуживаемого спецкомендатурой, рассматривается как побег и влечет за собой ответственность в уголовном порядке (7560).</w:t>
      </w:r>
    </w:p>
    <w:p w14:paraId="015EB2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Спецпереселенцы - главы семей или лица, их заменяющие, обязаны в 3-дневный срок сообщать в спецкомендатуры НКВД о всех изменениях, происшедших в составе семьи (рождение ребенка, смерть члена семьи, побег и т. п.) (7560).</w:t>
      </w:r>
    </w:p>
    <w:p w14:paraId="290511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Спецпереселенцы обязаны строго соблюдать установленный для них режим и общественный порядок в местах поселений и подчиняться всем распоряжениям спецкомендатур НКВД. За нарушение режима и общественного порядка в местах поселения спецпереселенцы подвергаются административному взысканию в виде штрафа до 100 рублей или ареста до 5 суток” (7560).</w:t>
      </w:r>
    </w:p>
    <w:p w14:paraId="42864F3C" w14:textId="77777777" w:rsidR="00C2313B" w:rsidRPr="00F90EAE" w:rsidRDefault="00C2313B" w:rsidP="00F90EAE">
      <w:pPr>
        <w:autoSpaceDE w:val="0"/>
        <w:autoSpaceDN w:val="0"/>
        <w:adjustRightInd w:val="0"/>
        <w:jc w:val="both"/>
        <w:rPr>
          <w:color w:val="000000" w:themeColor="text1"/>
          <w:sz w:val="16"/>
          <w:szCs w:val="16"/>
        </w:rPr>
      </w:pPr>
    </w:p>
    <w:p w14:paraId="359A926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5EEE38B" w14:textId="77777777" w:rsidR="00C2313B" w:rsidRPr="00F90EAE" w:rsidRDefault="00C2313B" w:rsidP="00F90EAE">
      <w:pPr>
        <w:autoSpaceDE w:val="0"/>
        <w:autoSpaceDN w:val="0"/>
        <w:adjustRightInd w:val="0"/>
        <w:jc w:val="both"/>
        <w:rPr>
          <w:iCs/>
          <w:color w:val="000000" w:themeColor="text1"/>
          <w:sz w:val="16"/>
          <w:szCs w:val="16"/>
        </w:rPr>
      </w:pPr>
    </w:p>
    <w:p w14:paraId="389BFD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г. пуск ракеты для удара по Нью-Йорку якобы все-таки состоялся, но закончился неудачей (Первушин А. Астронавты Гитлера. Звездные войны Третьего рейха. М.: Яуза; ЭКСМО, 2004.). Второй запуск, как сообщает автор книги «Астронавты Гитлера» А. Первушин, был произведен 24 января 1945 г.</w:t>
      </w:r>
    </w:p>
    <w:p w14:paraId="5357EA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ED44D90" w14:textId="77777777" w:rsidR="00C2313B" w:rsidRPr="00F90EAE" w:rsidRDefault="00C2313B" w:rsidP="00F90EAE">
      <w:pPr>
        <w:autoSpaceDE w:val="0"/>
        <w:autoSpaceDN w:val="0"/>
        <w:adjustRightInd w:val="0"/>
        <w:jc w:val="both"/>
        <w:rPr>
          <w:color w:val="000000" w:themeColor="text1"/>
          <w:sz w:val="16"/>
          <w:szCs w:val="16"/>
        </w:rPr>
      </w:pPr>
    </w:p>
    <w:p w14:paraId="61B07A68" w14:textId="77777777" w:rsidR="00D837F1" w:rsidRPr="00F90EAE" w:rsidRDefault="00D837F1" w:rsidP="00F90EAE">
      <w:pPr>
        <w:jc w:val="both"/>
        <w:rPr>
          <w:color w:val="000000" w:themeColor="text1"/>
          <w:sz w:val="16"/>
          <w:szCs w:val="16"/>
        </w:rPr>
      </w:pPr>
      <w:r w:rsidRPr="00F90EAE">
        <w:rPr>
          <w:color w:val="000000" w:themeColor="text1"/>
          <w:sz w:val="16"/>
          <w:szCs w:val="16"/>
        </w:rPr>
        <w:t>8 января 1945 г. первый опытный образец крылатой Фау-2 под наименованием А-4Ь, минимально доработанный по сравнению с серийной «Фау-2», был запущен, но потерпел аварию вскоре после старта. Более удачно прошел второй (и последний) пуск 24 января. Но и он закончился тем, что ракета потеряла крылья при отработке маневра перехода в планирование. Тем не менее немцы рассматривали это летное испытание в основном как успешное (19629).</w:t>
      </w:r>
    </w:p>
    <w:p w14:paraId="4A54D39A" w14:textId="77777777" w:rsidR="00D837F1" w:rsidRPr="00F90EAE" w:rsidRDefault="00D837F1" w:rsidP="00F90EAE">
      <w:pPr>
        <w:jc w:val="both"/>
        <w:rPr>
          <w:color w:val="000000" w:themeColor="text1"/>
          <w:sz w:val="16"/>
          <w:szCs w:val="16"/>
        </w:rPr>
      </w:pPr>
    </w:p>
    <w:p w14:paraId="2C9B75E7" w14:textId="77777777" w:rsidR="005A1318" w:rsidRPr="00F90EAE" w:rsidRDefault="005A1318" w:rsidP="00F90EAE">
      <w:pPr>
        <w:jc w:val="both"/>
        <w:rPr>
          <w:color w:val="0070C0"/>
          <w:sz w:val="16"/>
          <w:szCs w:val="16"/>
        </w:rPr>
      </w:pPr>
      <w:r w:rsidRPr="00F90EAE">
        <w:rPr>
          <w:color w:val="0070C0"/>
          <w:sz w:val="16"/>
          <w:szCs w:val="16"/>
        </w:rPr>
        <w:t>8 января 1945 - На немецком испытательном ракетном центре "Пенемюнде" был осуществлен первый испытательный пуск БР "A-4b" - крылатой версии ракеты дальнего действия "A-4"/SS-1/Scunner. Из-за аварии системы управления ракета было подорвана на высоте 30 метров.</w:t>
      </w:r>
    </w:p>
    <w:p w14:paraId="6306EAAB" w14:textId="77777777" w:rsidR="005A1318" w:rsidRPr="00F90EAE" w:rsidRDefault="005A1318" w:rsidP="00F90EAE">
      <w:pPr>
        <w:jc w:val="both"/>
        <w:rPr>
          <w:color w:val="0070C0"/>
          <w:sz w:val="16"/>
          <w:szCs w:val="16"/>
        </w:rPr>
      </w:pPr>
      <w:r w:rsidRPr="00F90EAE">
        <w:rPr>
          <w:color w:val="0070C0"/>
          <w:sz w:val="16"/>
          <w:szCs w:val="16"/>
        </w:rPr>
        <w:t>А-4b - ракета А-4 с двумя крыльями площадью 13.5 кв.м, расчетная дальность полета до 600км. Этот пуск ракеты любители сенсаций отнесли к первому неудачному пуску МБР "А-10/А-9" (22676).</w:t>
      </w:r>
    </w:p>
    <w:p w14:paraId="1B659477" w14:textId="77777777" w:rsidR="005A1318" w:rsidRPr="00F90EAE" w:rsidRDefault="005A1318" w:rsidP="00F90EAE">
      <w:pPr>
        <w:jc w:val="both"/>
        <w:rPr>
          <w:color w:val="0070C0"/>
          <w:sz w:val="16"/>
          <w:szCs w:val="16"/>
        </w:rPr>
      </w:pPr>
    </w:p>
    <w:p w14:paraId="123D49B6" w14:textId="77777777" w:rsidR="005A1318" w:rsidRPr="00F90EAE" w:rsidRDefault="005A1318" w:rsidP="00F90EAE">
      <w:pPr>
        <w:jc w:val="both"/>
        <w:rPr>
          <w:color w:val="0070C0"/>
          <w:sz w:val="16"/>
          <w:szCs w:val="16"/>
        </w:rPr>
      </w:pPr>
      <w:r w:rsidRPr="00F90EAE">
        <w:rPr>
          <w:color w:val="0070C0"/>
          <w:sz w:val="16"/>
          <w:szCs w:val="16"/>
        </w:rPr>
        <w:t>8 января 1945 - Первый безмоторный полет ракетного перехватчика Mitsubishi J8M1 (на основе немецкого Ме-163В) на буксире за бомбардировщиком B6N1 (22676).</w:t>
      </w:r>
    </w:p>
    <w:p w14:paraId="54419645" w14:textId="77777777" w:rsidR="005A1318" w:rsidRPr="00F90EAE" w:rsidRDefault="005A1318" w:rsidP="00F90EAE">
      <w:pPr>
        <w:jc w:val="both"/>
        <w:rPr>
          <w:color w:val="0070C0"/>
          <w:sz w:val="16"/>
          <w:szCs w:val="16"/>
        </w:rPr>
      </w:pPr>
    </w:p>
    <w:p w14:paraId="6C120880" w14:textId="77777777" w:rsidR="005A1318" w:rsidRPr="00F90EAE" w:rsidRDefault="005A1318" w:rsidP="00F90EAE">
      <w:pPr>
        <w:jc w:val="both"/>
        <w:rPr>
          <w:color w:val="0070C0"/>
          <w:sz w:val="16"/>
          <w:szCs w:val="16"/>
        </w:rPr>
      </w:pPr>
      <w:r w:rsidRPr="00F90EAE">
        <w:rPr>
          <w:color w:val="0070C0"/>
          <w:sz w:val="16"/>
          <w:szCs w:val="16"/>
        </w:rPr>
        <w:t>8 января 1945 камикадзе снова повреждает тяжелый крейсер HMAS Австралия в Lingayen заливе. На выходе в Южно - Китайском море камикадзе повреждают эскортные авианосцы USS Кадашей Bay и USS Kitkun Bay и транспорт (29371).</w:t>
      </w:r>
    </w:p>
    <w:p w14:paraId="0ADCFC7B" w14:textId="77777777" w:rsidR="005A1318" w:rsidRPr="00F90EAE" w:rsidRDefault="005A1318" w:rsidP="00F90EAE">
      <w:pPr>
        <w:jc w:val="both"/>
        <w:rPr>
          <w:color w:val="0070C0"/>
          <w:sz w:val="16"/>
          <w:szCs w:val="16"/>
        </w:rPr>
      </w:pPr>
    </w:p>
    <w:p w14:paraId="5ACEB666" w14:textId="77777777" w:rsidR="005A1318" w:rsidRPr="00F90EAE" w:rsidRDefault="005A1318" w:rsidP="00F90EAE">
      <w:pPr>
        <w:jc w:val="both"/>
        <w:rPr>
          <w:color w:val="0070C0"/>
          <w:sz w:val="16"/>
          <w:szCs w:val="16"/>
        </w:rPr>
      </w:pPr>
      <w:r w:rsidRPr="00F90EAE">
        <w:rPr>
          <w:color w:val="0070C0"/>
          <w:sz w:val="16"/>
          <w:szCs w:val="16"/>
        </w:rPr>
        <w:t>8 января 1945 Martin M-130 летающая лодка Китай Clipper Pan American World Airways в ходе Flight 161 ударяет затемненную лодку и падает в море при заходе на посадку в Порт-оф-Спейн, Тринидад. Погибли от 23 до 25 из 30 человек на борту.</w:t>
      </w:r>
    </w:p>
    <w:p w14:paraId="47385E57" w14:textId="77777777" w:rsidR="005A1318" w:rsidRPr="00F90EAE" w:rsidRDefault="005A1318" w:rsidP="00F90EAE">
      <w:pPr>
        <w:jc w:val="both"/>
        <w:rPr>
          <w:color w:val="0070C0"/>
          <w:sz w:val="16"/>
          <w:szCs w:val="16"/>
        </w:rPr>
      </w:pPr>
    </w:p>
    <w:p w14:paraId="3346A365" w14:textId="77777777" w:rsidR="002D2573" w:rsidRPr="00F90EAE" w:rsidRDefault="002D2573" w:rsidP="00F90EAE">
      <w:pPr>
        <w:jc w:val="both"/>
        <w:rPr>
          <w:color w:val="000000" w:themeColor="text1"/>
          <w:sz w:val="16"/>
          <w:szCs w:val="16"/>
        </w:rPr>
      </w:pPr>
      <w:r w:rsidRPr="00F90EAE">
        <w:rPr>
          <w:bCs/>
          <w:color w:val="000000" w:themeColor="text1"/>
          <w:sz w:val="16"/>
          <w:szCs w:val="16"/>
        </w:rPr>
        <w:t>8 января</w:t>
      </w:r>
      <w:r w:rsidRPr="00F90EAE">
        <w:rPr>
          <w:color w:val="000000" w:themeColor="text1"/>
          <w:sz w:val="16"/>
          <w:szCs w:val="16"/>
        </w:rPr>
        <w:t xml:space="preserve"> в 1945 году вступил в строй </w:t>
      </w:r>
      <w:hyperlink r:id="rId9" w:tgtFrame="_blank" w:history="1">
        <w:r w:rsidRPr="00F90EAE">
          <w:rPr>
            <w:color w:val="000000" w:themeColor="text1"/>
            <w:sz w:val="16"/>
            <w:szCs w:val="16"/>
          </w:rPr>
          <w:t>японский подводный авианосец «I-401» (15003).</w:t>
        </w:r>
      </w:hyperlink>
    </w:p>
    <w:p w14:paraId="37F73B79" w14:textId="77777777" w:rsidR="002D2573" w:rsidRPr="00F90EAE" w:rsidRDefault="002D2573" w:rsidP="00F90EAE">
      <w:pPr>
        <w:jc w:val="both"/>
        <w:rPr>
          <w:color w:val="000000" w:themeColor="text1"/>
          <w:sz w:val="16"/>
          <w:szCs w:val="16"/>
        </w:rPr>
      </w:pPr>
    </w:p>
    <w:p w14:paraId="22B16C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января 1945 на парламентских выборах в Египте, бойкотируемые партией Вафд, принесли победу б премьер-министру (3907,255).</w:t>
      </w:r>
    </w:p>
    <w:p w14:paraId="0B974312" w14:textId="77777777" w:rsidR="00C2313B" w:rsidRPr="00F90EAE" w:rsidRDefault="00C2313B" w:rsidP="00F90EAE">
      <w:pPr>
        <w:autoSpaceDE w:val="0"/>
        <w:autoSpaceDN w:val="0"/>
        <w:adjustRightInd w:val="0"/>
        <w:jc w:val="both"/>
        <w:rPr>
          <w:color w:val="000000" w:themeColor="text1"/>
          <w:sz w:val="16"/>
          <w:szCs w:val="16"/>
        </w:rPr>
      </w:pPr>
    </w:p>
    <w:p w14:paraId="44F4B2C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A7A45D7" w14:textId="77777777" w:rsidR="00C2313B" w:rsidRPr="00F90EAE" w:rsidRDefault="00C2313B" w:rsidP="00F90EAE">
      <w:pPr>
        <w:autoSpaceDE w:val="0"/>
        <w:autoSpaceDN w:val="0"/>
        <w:adjustRightInd w:val="0"/>
        <w:jc w:val="both"/>
        <w:rPr>
          <w:iCs/>
          <w:color w:val="000000" w:themeColor="text1"/>
          <w:sz w:val="16"/>
          <w:szCs w:val="16"/>
        </w:rPr>
      </w:pPr>
    </w:p>
    <w:p w14:paraId="3FD63D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года вышел Приказ МАП за № 30, которым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191520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1946 и 1947 гг. заводом освоены следующие агрегаты:</w:t>
      </w:r>
    </w:p>
    <w:p w14:paraId="5A9BF9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хвостовая часть фюзеляжа;</w:t>
      </w:r>
    </w:p>
    <w:p w14:paraId="2CBC13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оперение;</w:t>
      </w:r>
    </w:p>
    <w:p w14:paraId="4645E8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шасси.</w:t>
      </w:r>
    </w:p>
    <w:p w14:paraId="02F460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41E09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F6492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105512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2AB8E4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w:t>
      </w:r>
      <w:r w:rsidRPr="00F90EAE">
        <w:rPr>
          <w:color w:val="000000" w:themeColor="text1"/>
          <w:sz w:val="16"/>
          <w:szCs w:val="16"/>
        </w:rPr>
        <w:lastRenderedPageBreak/>
        <w:t>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22CD5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Белявский</w:t>
      </w:r>
    </w:p>
    <w:p w14:paraId="5D10D0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самолет Ан-10 конструкции Антонова</w:t>
      </w:r>
    </w:p>
    <w:p w14:paraId="690CA6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Характеристика аэродрома завода</w:t>
      </w:r>
    </w:p>
    <w:p w14:paraId="2550DF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A8E835C" w14:textId="77777777" w:rsidR="00C2313B" w:rsidRPr="00F90EAE" w:rsidRDefault="00C2313B" w:rsidP="00F90EAE">
      <w:pPr>
        <w:autoSpaceDE w:val="0"/>
        <w:autoSpaceDN w:val="0"/>
        <w:adjustRightInd w:val="0"/>
        <w:jc w:val="both"/>
        <w:rPr>
          <w:color w:val="000000" w:themeColor="text1"/>
          <w:sz w:val="16"/>
          <w:szCs w:val="16"/>
        </w:rPr>
      </w:pPr>
    </w:p>
    <w:p w14:paraId="38523B3C" w14:textId="77777777" w:rsidR="00D837F1" w:rsidRPr="00F90EAE" w:rsidRDefault="00D837F1" w:rsidP="00F90EAE">
      <w:pPr>
        <w:pStyle w:val="ae"/>
        <w:shd w:val="clear" w:color="auto" w:fill="FFFFFF"/>
        <w:spacing w:before="0" w:after="0"/>
        <w:jc w:val="both"/>
        <w:rPr>
          <w:color w:val="000000" w:themeColor="text1"/>
          <w:sz w:val="16"/>
          <w:szCs w:val="16"/>
        </w:rPr>
      </w:pPr>
      <w:r w:rsidRPr="00F90EAE">
        <w:rPr>
          <w:color w:val="000000" w:themeColor="text1"/>
          <w:sz w:val="16"/>
          <w:szCs w:val="16"/>
        </w:rPr>
        <w:t>9 января 1945 года приказом НКАП №30 заводу № 64 была утверждена программа по выпуску крыльев самолетов Ил-2 (19822).</w:t>
      </w:r>
    </w:p>
    <w:p w14:paraId="45B74C55" w14:textId="77777777" w:rsidR="00D837F1" w:rsidRPr="00F90EAE" w:rsidRDefault="00D837F1" w:rsidP="00F90EAE">
      <w:pPr>
        <w:pStyle w:val="ae"/>
        <w:shd w:val="clear" w:color="auto" w:fill="FFFFFF"/>
        <w:spacing w:before="0" w:after="0"/>
        <w:jc w:val="both"/>
        <w:rPr>
          <w:color w:val="000000" w:themeColor="text1"/>
          <w:sz w:val="16"/>
          <w:szCs w:val="16"/>
        </w:rPr>
      </w:pPr>
    </w:p>
    <w:p w14:paraId="23F8230F" w14:textId="77777777" w:rsidR="00D837F1" w:rsidRPr="00F90EAE" w:rsidRDefault="00D837F1" w:rsidP="00F90EAE">
      <w:pPr>
        <w:jc w:val="both"/>
        <w:rPr>
          <w:color w:val="000000" w:themeColor="text1"/>
          <w:sz w:val="16"/>
          <w:szCs w:val="16"/>
        </w:rPr>
      </w:pPr>
      <w:r w:rsidRPr="00F90EAE">
        <w:rPr>
          <w:color w:val="000000" w:themeColor="text1"/>
          <w:sz w:val="16"/>
          <w:szCs w:val="16"/>
        </w:rPr>
        <w:t>Приказом НКАП от 9 января 1945 года заводу была утверждена программа по выпуску крыльев самолета Ил-2, изготовление которых производилось в 1944 и 1945 гг. Кроме того, в соответствии с договором от 13 марта 1945 года с ВВС завод во втором квартале 1945 года приступил к сборке самолета Ил-4 из готовых агрегатов, получаемых с завода № 126 (19829).</w:t>
      </w:r>
    </w:p>
    <w:p w14:paraId="0165C98D" w14:textId="77777777" w:rsidR="00D837F1" w:rsidRPr="00F90EAE" w:rsidRDefault="00D837F1" w:rsidP="00F90EAE">
      <w:pPr>
        <w:jc w:val="both"/>
        <w:rPr>
          <w:color w:val="000000" w:themeColor="text1"/>
          <w:sz w:val="16"/>
          <w:szCs w:val="16"/>
        </w:rPr>
      </w:pPr>
    </w:p>
    <w:p w14:paraId="38F1C4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года гл. инженер ВВС генерал-полковник ИАС Репин писал письмо N 730503с Шахурину.</w:t>
      </w:r>
    </w:p>
    <w:p w14:paraId="2E007E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частях ВВС находятся в эксплуатации до 5000 истребителей и штурмовиков оборудованных только одним радиоприемником.</w:t>
      </w:r>
    </w:p>
    <w:p w14:paraId="640DF6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ВВС принимаются меры по их оборудованию двух сторонней радиосвязью (прием, передача), за счет имеющихся приемников и передатчиков от американских станций СЦР-274Н, но выполнение этих работ задерживается из-за отсутствия американских умформеров.</w:t>
      </w:r>
    </w:p>
    <w:p w14:paraId="06AD36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ГК НИИ ВВС, успешно прошла испытание приемо-передающая радиостанция, собранная из американских приемников и передатчиков и укомплектованная отечественным умформером РУ-45 и названная СЦР-274Н-3.</w:t>
      </w:r>
    </w:p>
    <w:p w14:paraId="3E01E5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об изготовлении для ВВС в 1-м квартале 1945 года - 600 шт. умформеров РУ-45 для укомплектования ими изготавливаемых 600 станций СЦР-274 N 3 (1879).</w:t>
      </w:r>
    </w:p>
    <w:p w14:paraId="69C2E098" w14:textId="77777777" w:rsidR="00C2313B" w:rsidRPr="00F90EAE" w:rsidRDefault="00C2313B" w:rsidP="00F90EAE">
      <w:pPr>
        <w:autoSpaceDE w:val="0"/>
        <w:autoSpaceDN w:val="0"/>
        <w:adjustRightInd w:val="0"/>
        <w:jc w:val="both"/>
        <w:rPr>
          <w:color w:val="000000" w:themeColor="text1"/>
          <w:sz w:val="16"/>
          <w:szCs w:val="16"/>
        </w:rPr>
      </w:pPr>
    </w:p>
    <w:p w14:paraId="742F05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В.С.Вахмистров предложил мотопланер СигмаТП из двух истребителей и ТДП двухбалочной схемы (94,115).</w:t>
      </w:r>
    </w:p>
    <w:p w14:paraId="4B0065D8" w14:textId="77777777" w:rsidR="00C2313B" w:rsidRPr="00F90EAE" w:rsidRDefault="00C2313B" w:rsidP="00F90EAE">
      <w:pPr>
        <w:autoSpaceDE w:val="0"/>
        <w:autoSpaceDN w:val="0"/>
        <w:adjustRightInd w:val="0"/>
        <w:jc w:val="both"/>
        <w:rPr>
          <w:color w:val="000000" w:themeColor="text1"/>
          <w:sz w:val="16"/>
          <w:szCs w:val="16"/>
        </w:rPr>
      </w:pPr>
    </w:p>
    <w:p w14:paraId="694FED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С.Б.Рейдель вывез на В-29 л В.П.Марунова и А.Ф.Чернова и с 11 января В.П.Марунов стал летать самостоятельно (2645,25).</w:t>
      </w:r>
    </w:p>
    <w:p w14:paraId="3A62C5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января по 21 июня 1945 на ДВ велись летные испытания В-29.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Руководил Зам. Нач. летной инспекции ВВС ВМФ п/п С.Б.Рейдель (2645,25).</w:t>
      </w:r>
    </w:p>
    <w:p w14:paraId="7A43E056" w14:textId="77777777" w:rsidR="00C2313B" w:rsidRPr="00F90EAE" w:rsidRDefault="00C2313B" w:rsidP="00F90EAE">
      <w:pPr>
        <w:autoSpaceDE w:val="0"/>
        <w:autoSpaceDN w:val="0"/>
        <w:adjustRightInd w:val="0"/>
        <w:jc w:val="both"/>
        <w:rPr>
          <w:color w:val="000000" w:themeColor="text1"/>
          <w:sz w:val="16"/>
          <w:szCs w:val="16"/>
        </w:rPr>
      </w:pPr>
    </w:p>
    <w:p w14:paraId="19024E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на В-29 выполнили четыре вывозных полета: Рейдель - на левом сидении, Марунов - на правом (3457,120).</w:t>
      </w:r>
    </w:p>
    <w:p w14:paraId="08830B56" w14:textId="77777777" w:rsidR="00C2313B" w:rsidRPr="00F90EAE" w:rsidRDefault="00C2313B" w:rsidP="00F90EAE">
      <w:pPr>
        <w:autoSpaceDE w:val="0"/>
        <w:autoSpaceDN w:val="0"/>
        <w:adjustRightInd w:val="0"/>
        <w:jc w:val="both"/>
        <w:rPr>
          <w:color w:val="000000" w:themeColor="text1"/>
          <w:sz w:val="16"/>
          <w:szCs w:val="16"/>
        </w:rPr>
      </w:pPr>
    </w:p>
    <w:p w14:paraId="2656A58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5190A3A" w14:textId="77777777" w:rsidR="00C2313B" w:rsidRPr="00F90EAE" w:rsidRDefault="00C2313B" w:rsidP="00F90EAE">
      <w:pPr>
        <w:autoSpaceDE w:val="0"/>
        <w:autoSpaceDN w:val="0"/>
        <w:adjustRightInd w:val="0"/>
        <w:jc w:val="both"/>
        <w:rPr>
          <w:iCs/>
          <w:color w:val="000000" w:themeColor="text1"/>
          <w:sz w:val="16"/>
          <w:szCs w:val="16"/>
        </w:rPr>
      </w:pPr>
    </w:p>
    <w:p w14:paraId="0CAA39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января 1945 г. был подготовлен ОТЧЕТ О РАБОТЕ 4-го ОТДЕЛА УПРАВЛЕНИЯ БРОНЕПОЕЗДОВ И БРОНЕМАШИН ГБТУ КА ЗА 1944 г.</w:t>
      </w:r>
    </w:p>
    <w:p w14:paraId="796402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r w:rsidRPr="00F90EAE">
        <w:rPr>
          <w:color w:val="000000" w:themeColor="text1"/>
          <w:sz w:val="16"/>
          <w:szCs w:val="16"/>
        </w:rPr>
        <w:t>. Производство бронеавтомобилей БА-64</w:t>
      </w:r>
    </w:p>
    <w:p w14:paraId="0CD314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производством бронеавтомобилей занимался автозавод им. Молотова. По кварталь</w:t>
      </w:r>
      <w:r w:rsidRPr="00F90EAE">
        <w:rPr>
          <w:color w:val="000000" w:themeColor="text1"/>
          <w:sz w:val="16"/>
          <w:szCs w:val="16"/>
        </w:rPr>
        <w:softHyphen/>
        <w:t>ным постановлениям СНК Союза ССР автозавод им. Молотова должен был в 1944 г. изготовить 3000 бронеавтомобилей БА-64. Фактически за отчетный год изготовлено 2950 шт. или 98,3% плана.</w:t>
      </w:r>
    </w:p>
    <w:p w14:paraId="18D0D5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автозавод им. Молотова имеет гораздо большие производственные мощ</w:t>
      </w:r>
      <w:r w:rsidRPr="00F90EAE">
        <w:rPr>
          <w:color w:val="000000" w:themeColor="text1"/>
          <w:sz w:val="16"/>
          <w:szCs w:val="16"/>
        </w:rPr>
        <w:softHyphen/>
        <w:t>ности по бронеавтомобилям, однако использует их на производство автомобилей ГАЗ-67.</w:t>
      </w:r>
    </w:p>
    <w:p w14:paraId="1EA547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Недовыполнение плана производства бронеавтомобилей относится на декабрь месяц и объяс</w:t>
      </w:r>
      <w:r w:rsidRPr="00F90EAE">
        <w:rPr>
          <w:color w:val="000000" w:themeColor="text1"/>
          <w:sz w:val="16"/>
          <w:szCs w:val="16"/>
        </w:rPr>
        <w:softHyphen/>
        <w:t>няется недостатком металла на корпуса и полуоси передних мостов.</w:t>
      </w:r>
    </w:p>
    <w:p w14:paraId="45B698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 бронеавтомобилей изготовлено на ИЗО шт. больше, чем в 1943 г., что по отношению к прошлому году составляет 162%.</w:t>
      </w:r>
    </w:p>
    <w:p w14:paraId="08F434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процессе эксплуатации бронеавтомобилей выявились отдельные дефекты машины, которые в течение года устранены. Так, например:</w:t>
      </w:r>
    </w:p>
    <w:p w14:paraId="1B9DE6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Изменена конструкция подшипников шкворен поворотных кулаков переднего моста, устра</w:t>
      </w:r>
      <w:r w:rsidRPr="00F90EAE">
        <w:rPr>
          <w:color w:val="000000" w:themeColor="text1"/>
          <w:sz w:val="16"/>
          <w:szCs w:val="16"/>
        </w:rPr>
        <w:softHyphen/>
        <w:t>няющая виляние руля (вместо шариковых подшипников поставлены стальные втулки). Испытания на НИБТ полигоне показали положительные результаты измененной конструкции.</w:t>
      </w:r>
    </w:p>
    <w:p w14:paraId="13A33D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Усилены диски колес в месте отверстий под болты, что устраняет разбалтывание отверстий дисков колес.</w:t>
      </w:r>
    </w:p>
    <w:p w14:paraId="7877E5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Усилено крепление подшипника на оси переднего колеса.</w:t>
      </w:r>
    </w:p>
    <w:p w14:paraId="2AA099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Изменена длина наклонного листа воздухопритока надмоторного люка с целью устранения случаев перебивания бензопроводов.</w:t>
      </w:r>
    </w:p>
    <w:p w14:paraId="6E2480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 Производство мотоциклов</w:t>
      </w:r>
    </w:p>
    <w:p w14:paraId="09749D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производством мотоциклов М-72 с коляской занимались Горьковский и Ирбитский мотоциклетные заводы.</w:t>
      </w:r>
    </w:p>
    <w:p w14:paraId="59DBAC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квартальным постановлениям Правительства указанные мотозаводы в истекшем году должны были изготовить и поставить ГБТУ КА 6000 мотоциклов М-72. Фактически поставлено 5395 мотоциклов М-72 или 89,9% годового плана.</w:t>
      </w:r>
    </w:p>
    <w:p w14:paraId="5B7FDE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протяжении всего года Горьковский мотозавод выполнял установленные ему правительст</w:t>
      </w:r>
      <w:r w:rsidRPr="00F90EAE">
        <w:rPr>
          <w:color w:val="000000" w:themeColor="text1"/>
          <w:sz w:val="16"/>
          <w:szCs w:val="16"/>
        </w:rPr>
        <w:softHyphen/>
        <w:t>венные планы производства мотоциклов.</w:t>
      </w:r>
    </w:p>
    <w:p w14:paraId="538111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Недовыполнение государственного плана относится к Ирбитскому мотозаводу, который в те</w:t>
      </w:r>
      <w:r w:rsidRPr="00F90EAE">
        <w:rPr>
          <w:color w:val="000000" w:themeColor="text1"/>
          <w:sz w:val="16"/>
          <w:szCs w:val="16"/>
        </w:rPr>
        <w:softHyphen/>
        <w:t>чение всего года работал с перебоями и всегда вызывал опасения в выполнении плана.</w:t>
      </w:r>
    </w:p>
    <w:p w14:paraId="1985BB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Основные причины невыполнения плана по Ирбитскому мотозаводу:</w:t>
      </w:r>
    </w:p>
    <w:p w14:paraId="3A6DFC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Нарушение технической и технологической дисциплины, вследствие чего в процессе произ</w:t>
      </w:r>
      <w:r w:rsidRPr="00F90EAE">
        <w:rPr>
          <w:color w:val="000000" w:themeColor="text1"/>
          <w:sz w:val="16"/>
          <w:szCs w:val="16"/>
        </w:rPr>
        <w:softHyphen/>
        <w:t>водства обнаруживался большой брак деталей и агрегатов, который пагубно влиял на выпуск про</w:t>
      </w:r>
      <w:r w:rsidRPr="00F90EAE">
        <w:rPr>
          <w:color w:val="000000" w:themeColor="text1"/>
          <w:sz w:val="16"/>
          <w:szCs w:val="16"/>
        </w:rPr>
        <w:softHyphen/>
        <w:t>дукции и выполнение плана (массовые стуки двигателей, брак коробок перемены передач и других деталей и агрегатов).</w:t>
      </w:r>
    </w:p>
    <w:p w14:paraId="287E15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Неудовлетворительная работа ОТК завода.</w:t>
      </w:r>
    </w:p>
    <w:p w14:paraId="081EA5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Перевод цехов в новые помещения.</w:t>
      </w:r>
    </w:p>
    <w:p w14:paraId="1AC53B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Неудовлетворительное снабжение завода покупными деталями.</w:t>
      </w:r>
    </w:p>
    <w:p w14:paraId="1B859C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недовыполнение плана мотозаводы в 1944 году поставили мотоциклов для НКО на 1648 шт. больше, чем в 1943 году, или 144%.</w:t>
      </w:r>
    </w:p>
    <w:p w14:paraId="6FE282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настоящее время мотозаводы имеют возможность и мощности для увеличения выпуска мо</w:t>
      </w:r>
      <w:r w:rsidRPr="00F90EAE">
        <w:rPr>
          <w:color w:val="000000" w:themeColor="text1"/>
          <w:sz w:val="16"/>
          <w:szCs w:val="16"/>
        </w:rPr>
        <w:softHyphen/>
        <w:t>тоциклов М-72, однако по причине недостатка металла план производства мотоциклов в 1944 году оставался неизменным.</w:t>
      </w:r>
    </w:p>
    <w:p w14:paraId="5FC65C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III</w:t>
      </w:r>
      <w:r w:rsidRPr="00F90EAE">
        <w:rPr>
          <w:color w:val="000000" w:themeColor="text1"/>
          <w:sz w:val="16"/>
          <w:szCs w:val="16"/>
        </w:rPr>
        <w:t>. Импорт мотоциклов</w:t>
      </w:r>
    </w:p>
    <w:p w14:paraId="57EA8F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поступило 15326 шт. импортных мотоциклов, что по сравнению с 1943 годом состав</w:t>
      </w:r>
      <w:r w:rsidRPr="00F90EAE">
        <w:rPr>
          <w:color w:val="000000" w:themeColor="text1"/>
          <w:sz w:val="16"/>
          <w:szCs w:val="16"/>
        </w:rPr>
        <w:softHyphen/>
        <w:t>ляет 179,0%.</w:t>
      </w:r>
    </w:p>
    <w:p w14:paraId="5C9BC4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Поступление мотоциклов производилось в основном через порты Ирана и в небольших коли</w:t>
      </w:r>
      <w:r w:rsidRPr="00F90EAE">
        <w:rPr>
          <w:color w:val="000000" w:themeColor="text1"/>
          <w:sz w:val="16"/>
          <w:szCs w:val="16"/>
        </w:rPr>
        <w:softHyphen/>
        <w:t>чествах через Северные и Владивосточные порты.</w:t>
      </w:r>
    </w:p>
    <w:p w14:paraId="5ED312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Прибывающие мотоциклы Харлей-Давидсон без колясок оборудовались на Московском заво</w:t>
      </w:r>
      <w:r w:rsidRPr="00F90EAE">
        <w:rPr>
          <w:color w:val="000000" w:themeColor="text1"/>
          <w:sz w:val="16"/>
          <w:szCs w:val="16"/>
        </w:rPr>
        <w:softHyphen/>
        <w:t>де колясками.</w:t>
      </w:r>
    </w:p>
    <w:p w14:paraId="6277CE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IV</w:t>
      </w:r>
      <w:r w:rsidRPr="00F90EAE">
        <w:rPr>
          <w:color w:val="000000" w:themeColor="text1"/>
          <w:sz w:val="16"/>
          <w:szCs w:val="16"/>
        </w:rPr>
        <w:t>. Оборудование импортных мотоциклов колясками</w:t>
      </w:r>
    </w:p>
    <w:p w14:paraId="293211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оборудовано импортных мотоциклов колясками мотоцикла М-72 6260 шт. или 83% правительственного плана.</w:t>
      </w:r>
    </w:p>
    <w:p w14:paraId="00D637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Основной причиной невыполнения плана оборудования колясками импортных мотоциклов яв</w:t>
      </w:r>
      <w:r w:rsidRPr="00F90EAE">
        <w:rPr>
          <w:color w:val="000000" w:themeColor="text1"/>
          <w:sz w:val="16"/>
          <w:szCs w:val="16"/>
        </w:rPr>
        <w:softHyphen/>
        <w:t>ляется недостаток колясок, изготовляемых заводом ГАЗ.</w:t>
      </w:r>
    </w:p>
    <w:p w14:paraId="3527F8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сравнению с прошлым годом в 1944 году оборудовано колясками импортных мотоциклов на 2787 шт. больше или 180%.</w:t>
      </w:r>
    </w:p>
    <w:p w14:paraId="59624F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w:t>
      </w:r>
      <w:r w:rsidRPr="00F90EAE">
        <w:rPr>
          <w:color w:val="000000" w:themeColor="text1"/>
          <w:sz w:val="16"/>
          <w:szCs w:val="16"/>
        </w:rPr>
        <w:t>. Производство колясок</w:t>
      </w:r>
    </w:p>
    <w:p w14:paraId="2B93A0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изготовлено и поставлено мотозаводам 10803 мотоциклетных коляски против 7842 шт., изготовленных в 1943 году.</w:t>
      </w:r>
    </w:p>
    <w:p w14:paraId="5980DB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рост выпуска мотоколясок, последние по-прежнему задерживают выдачу импорт</w:t>
      </w:r>
      <w:r w:rsidRPr="00F90EAE">
        <w:rPr>
          <w:color w:val="000000" w:themeColor="text1"/>
          <w:sz w:val="16"/>
          <w:szCs w:val="16"/>
        </w:rPr>
        <w:softHyphen/>
        <w:t>ных мотоциклов в войска.</w:t>
      </w:r>
    </w:p>
    <w:p w14:paraId="3F61C8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На протяжении всего 1944 года отдел неоднократно поднимал вопрос об увеличении выпус</w:t>
      </w:r>
      <w:r w:rsidRPr="00F90EAE">
        <w:rPr>
          <w:color w:val="000000" w:themeColor="text1"/>
          <w:sz w:val="16"/>
          <w:szCs w:val="16"/>
        </w:rPr>
        <w:softHyphen/>
        <w:t>ка мотоколясок, однако большого перелома в этом вопросе еще не достигнуто (см. прилагаемую справку).</w:t>
      </w:r>
    </w:p>
    <w:p w14:paraId="2559FE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VI</w:t>
      </w:r>
      <w:r w:rsidRPr="00F90EAE">
        <w:rPr>
          <w:color w:val="000000" w:themeColor="text1"/>
          <w:sz w:val="16"/>
          <w:szCs w:val="16"/>
        </w:rPr>
        <w:t>. Производство велосипедов</w:t>
      </w:r>
    </w:p>
    <w:p w14:paraId="0894FC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Харьковский велосипедный завод должен был восстановить производство велоси</w:t>
      </w:r>
      <w:r w:rsidRPr="00F90EAE">
        <w:rPr>
          <w:color w:val="000000" w:themeColor="text1"/>
          <w:sz w:val="16"/>
          <w:szCs w:val="16"/>
        </w:rPr>
        <w:softHyphen/>
        <w:t xml:space="preserve">педов и изготовить их в </w:t>
      </w:r>
      <w:r w:rsidRPr="00F90EAE">
        <w:rPr>
          <w:color w:val="000000" w:themeColor="text1"/>
          <w:sz w:val="16"/>
          <w:szCs w:val="16"/>
          <w:lang w:val="en-US"/>
        </w:rPr>
        <w:t>IV</w:t>
      </w:r>
      <w:r w:rsidRPr="00F90EAE">
        <w:rPr>
          <w:color w:val="000000" w:themeColor="text1"/>
          <w:sz w:val="16"/>
          <w:szCs w:val="16"/>
        </w:rPr>
        <w:t xml:space="preserve"> кв. 1000 шт. Фактически не изготовлено ни одного велосипеда.</w:t>
      </w:r>
    </w:p>
    <w:p w14:paraId="569DE1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Основной причиной невыполнения постановления ГОКО о производстве велосипедов являет</w:t>
      </w:r>
      <w:r w:rsidRPr="00F90EAE">
        <w:rPr>
          <w:color w:val="000000" w:themeColor="text1"/>
          <w:sz w:val="16"/>
          <w:szCs w:val="16"/>
        </w:rPr>
        <w:softHyphen/>
        <w:t>ся недостаток электроэнергии и задержки изготовления штампов приспособлений и инструмента.</w:t>
      </w:r>
    </w:p>
    <w:p w14:paraId="01D8BD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VII</w:t>
      </w:r>
      <w:r w:rsidRPr="00F90EAE">
        <w:rPr>
          <w:color w:val="000000" w:themeColor="text1"/>
          <w:sz w:val="16"/>
          <w:szCs w:val="16"/>
        </w:rPr>
        <w:t>. Сравнительные данные поставок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38"/>
      </w:tblGrid>
      <w:tr w:rsidR="00561F31" w:rsidRPr="00F90EAE" w14:paraId="45AE2B73"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72D7C9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B59E9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п/п</w:t>
            </w:r>
          </w:p>
          <w:p w14:paraId="236C28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075DA9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поставляемой продукции</w:t>
            </w:r>
          </w:p>
          <w:p w14:paraId="2F34F2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D4C9D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поставлен, в 1943 г.</w:t>
            </w:r>
          </w:p>
          <w:p w14:paraId="1F3297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72DE78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поставлен, в 1944 г.</w:t>
            </w:r>
          </w:p>
          <w:p w14:paraId="5BCD60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0F8736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w:t>
            </w:r>
          </w:p>
          <w:p w14:paraId="06715A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1C298B5" w14:textId="77777777">
        <w:trPr>
          <w:trHeight w:val="797"/>
        </w:trPr>
        <w:tc>
          <w:tcPr>
            <w:tcW w:w="538" w:type="dxa"/>
            <w:tcBorders>
              <w:top w:val="single" w:sz="6" w:space="0" w:color="auto"/>
              <w:left w:val="single" w:sz="6" w:space="0" w:color="auto"/>
              <w:bottom w:val="single" w:sz="6" w:space="0" w:color="auto"/>
              <w:right w:val="single" w:sz="6" w:space="0" w:color="auto"/>
            </w:tcBorders>
          </w:tcPr>
          <w:p w14:paraId="45C5C2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EC86A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79B95C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71DC8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CA5A7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6A21F2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3366D2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Бронеавтомобили БА-64</w:t>
            </w:r>
          </w:p>
          <w:p w14:paraId="0AA461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Отечественные мотоциклы М-72 с колясками</w:t>
            </w:r>
          </w:p>
          <w:p w14:paraId="5F315F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Мотоциклы "Харлей- Дэвидсон", оборудованные колясками</w:t>
            </w:r>
          </w:p>
          <w:p w14:paraId="0423F5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Получено импортных мотоциклов</w:t>
            </w:r>
          </w:p>
          <w:p w14:paraId="72931D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0F09B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1820</w:t>
            </w:r>
          </w:p>
          <w:p w14:paraId="7987FF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3747</w:t>
            </w:r>
          </w:p>
          <w:p w14:paraId="715A81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3473</w:t>
            </w:r>
          </w:p>
          <w:p w14:paraId="3836F6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FAAD0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8557</w:t>
            </w:r>
          </w:p>
          <w:p w14:paraId="47084E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4B6D4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2950</w:t>
            </w:r>
          </w:p>
          <w:p w14:paraId="14F269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5395</w:t>
            </w:r>
          </w:p>
          <w:p w14:paraId="32D14D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6260</w:t>
            </w:r>
          </w:p>
          <w:p w14:paraId="229780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237D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15326</w:t>
            </w:r>
          </w:p>
          <w:p w14:paraId="5181F1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12841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162</w:t>
            </w:r>
          </w:p>
          <w:p w14:paraId="007862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w:t>
            </w:r>
          </w:p>
          <w:p w14:paraId="255B14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w:t>
            </w:r>
          </w:p>
          <w:p w14:paraId="32402B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2C0385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179</w:t>
            </w:r>
          </w:p>
          <w:p w14:paraId="033E8D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716922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VIII. </w:t>
      </w:r>
      <w:r w:rsidRPr="00F90EAE">
        <w:rPr>
          <w:color w:val="000000" w:themeColor="text1"/>
          <w:sz w:val="16"/>
          <w:szCs w:val="16"/>
        </w:rPr>
        <w:t>Распределение мотоциклов</w:t>
      </w:r>
    </w:p>
    <w:p w14:paraId="696756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Распределение мотоциклов производится в первую очередь на укомплектование формируе</w:t>
      </w:r>
      <w:r w:rsidRPr="00F90EAE">
        <w:rPr>
          <w:color w:val="000000" w:themeColor="text1"/>
          <w:sz w:val="16"/>
          <w:szCs w:val="16"/>
        </w:rPr>
        <w:softHyphen/>
        <w:t>мых танковых и механизированных частей и частей Красной Армии.</w:t>
      </w:r>
    </w:p>
    <w:p w14:paraId="3C6E47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выдано в войска новых бронеавтомобилей и мотоциклов:</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15"/>
        <w:gridCol w:w="1939"/>
        <w:gridCol w:w="2122"/>
        <w:gridCol w:w="1229"/>
      </w:tblGrid>
      <w:tr w:rsidR="00561F31" w:rsidRPr="00F90EAE" w14:paraId="2468C62D"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6DAFC7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B8DF8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п/п</w:t>
            </w:r>
          </w:p>
          <w:p w14:paraId="609155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295B5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машин</w:t>
            </w:r>
          </w:p>
          <w:p w14:paraId="044E84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336E8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Выдано в 1943 г.</w:t>
            </w:r>
          </w:p>
          <w:p w14:paraId="7C8DBD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64BE71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Выдано в 1 944 г.</w:t>
            </w:r>
          </w:p>
          <w:p w14:paraId="7919AB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8C292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 по сравнение 1943 г.</w:t>
            </w:r>
          </w:p>
          <w:p w14:paraId="0B7BB8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4E9DA26" w14:textId="77777777">
        <w:trPr>
          <w:trHeight w:val="778"/>
        </w:trPr>
        <w:tc>
          <w:tcPr>
            <w:tcW w:w="538" w:type="dxa"/>
            <w:tcBorders>
              <w:top w:val="single" w:sz="6" w:space="0" w:color="auto"/>
              <w:left w:val="single" w:sz="6" w:space="0" w:color="auto"/>
              <w:bottom w:val="single" w:sz="6" w:space="0" w:color="auto"/>
              <w:right w:val="single" w:sz="6" w:space="0" w:color="auto"/>
            </w:tcBorders>
          </w:tcPr>
          <w:p w14:paraId="628773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16511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1D5AEF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44B207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CE3E5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4DDA55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Бронеавтомобили</w:t>
            </w:r>
          </w:p>
          <w:p w14:paraId="4BFC6A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Мотоциклов отечественных с коляской М-72</w:t>
            </w:r>
          </w:p>
          <w:p w14:paraId="2D8D6C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Мотоциклов импортных с коляской М-72 Импортных мотоциклов без коляски</w:t>
            </w:r>
          </w:p>
          <w:p w14:paraId="258D8A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20335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1829</w:t>
            </w:r>
          </w:p>
          <w:p w14:paraId="101852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3485</w:t>
            </w:r>
          </w:p>
          <w:p w14:paraId="10146E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3219</w:t>
            </w:r>
          </w:p>
          <w:p w14:paraId="7AE961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5321</w:t>
            </w:r>
          </w:p>
          <w:p w14:paraId="66462D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2D57C3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2865</w:t>
            </w:r>
          </w:p>
          <w:p w14:paraId="1AFD72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4732</w:t>
            </w:r>
          </w:p>
          <w:p w14:paraId="080BF8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6036</w:t>
            </w:r>
          </w:p>
          <w:p w14:paraId="4E45E9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4632</w:t>
            </w:r>
          </w:p>
          <w:p w14:paraId="6B0C68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058F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156</w:t>
            </w:r>
          </w:p>
          <w:p w14:paraId="2E5DB1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w:t>
            </w:r>
          </w:p>
          <w:p w14:paraId="5B7543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187</w:t>
            </w:r>
          </w:p>
          <w:p w14:paraId="3CA420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w:t>
            </w:r>
          </w:p>
          <w:p w14:paraId="7F76A0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E65AA6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1A6294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2DF7C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15" w:type="dxa"/>
            <w:tcBorders>
              <w:top w:val="single" w:sz="6" w:space="0" w:color="auto"/>
              <w:left w:val="single" w:sz="6" w:space="0" w:color="auto"/>
              <w:bottom w:val="single" w:sz="6" w:space="0" w:color="auto"/>
              <w:right w:val="single" w:sz="6" w:space="0" w:color="auto"/>
            </w:tcBorders>
          </w:tcPr>
          <w:p w14:paraId="62A4F0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мотоциклов</w:t>
            </w:r>
          </w:p>
          <w:p w14:paraId="6CB5E7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198E21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12025</w:t>
            </w:r>
          </w:p>
          <w:p w14:paraId="7CB06E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78B27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15402</w:t>
            </w:r>
          </w:p>
          <w:p w14:paraId="508933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3A86D0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102AA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5D4842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IX. </w:t>
      </w:r>
      <w:r w:rsidRPr="00F90EAE">
        <w:rPr>
          <w:color w:val="000000" w:themeColor="text1"/>
          <w:sz w:val="16"/>
          <w:szCs w:val="16"/>
        </w:rPr>
        <w:t>Перевозки</w:t>
      </w:r>
    </w:p>
    <w:p w14:paraId="383D9A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запланировано и использовано под погрузку эшелонов и транспортов — 439.</w:t>
      </w:r>
    </w:p>
    <w:p w14:paraId="2E62D6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Поступило эшелонов и транспортов, не запланированных отделом — 51.</w:t>
      </w:r>
    </w:p>
    <w:p w14:paraId="20D94F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- 490.</w:t>
      </w:r>
    </w:p>
    <w:p w14:paraId="4BC7CC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истекшего года погружено и разгружено вагонов и платформ:</w:t>
      </w:r>
    </w:p>
    <w:tbl>
      <w:tblPr>
        <w:tblW w:w="0" w:type="auto"/>
        <w:tblInd w:w="40" w:type="dxa"/>
        <w:tblLayout w:type="fixed"/>
        <w:tblCellMar>
          <w:left w:w="40" w:type="dxa"/>
          <w:right w:w="40" w:type="dxa"/>
        </w:tblCellMar>
        <w:tblLook w:val="0000" w:firstRow="0" w:lastRow="0" w:firstColumn="0" w:lastColumn="0" w:noHBand="0" w:noVBand="0"/>
      </w:tblPr>
      <w:tblGrid>
        <w:gridCol w:w="538"/>
        <w:gridCol w:w="3725"/>
        <w:gridCol w:w="1939"/>
        <w:gridCol w:w="2122"/>
        <w:gridCol w:w="1200"/>
      </w:tblGrid>
      <w:tr w:rsidR="00561F31" w:rsidRPr="00F90EAE" w14:paraId="48EDF047" w14:textId="77777777">
        <w:trPr>
          <w:trHeight w:val="432"/>
        </w:trPr>
        <w:tc>
          <w:tcPr>
            <w:tcW w:w="538" w:type="dxa"/>
            <w:tcBorders>
              <w:top w:val="single" w:sz="6" w:space="0" w:color="auto"/>
              <w:left w:val="single" w:sz="6" w:space="0" w:color="auto"/>
              <w:bottom w:val="single" w:sz="6" w:space="0" w:color="auto"/>
              <w:right w:val="single" w:sz="6" w:space="0" w:color="auto"/>
            </w:tcBorders>
          </w:tcPr>
          <w:p w14:paraId="4B0113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п/п</w:t>
            </w:r>
          </w:p>
          <w:p w14:paraId="036544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5EF777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машин</w:t>
            </w:r>
          </w:p>
          <w:p w14:paraId="56C0BF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3B8EBD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Погружено и отправлено</w:t>
            </w:r>
          </w:p>
          <w:p w14:paraId="6E0CE8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003EA1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Поступило и разгружено</w:t>
            </w:r>
          </w:p>
          <w:p w14:paraId="7DCF32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10D1B2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57BB56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AB3525D" w14:textId="77777777">
        <w:trPr>
          <w:trHeight w:val="989"/>
        </w:trPr>
        <w:tc>
          <w:tcPr>
            <w:tcW w:w="538" w:type="dxa"/>
            <w:tcBorders>
              <w:top w:val="single" w:sz="6" w:space="0" w:color="auto"/>
              <w:left w:val="single" w:sz="6" w:space="0" w:color="auto"/>
              <w:bottom w:val="single" w:sz="6" w:space="0" w:color="auto"/>
              <w:right w:val="single" w:sz="6" w:space="0" w:color="auto"/>
            </w:tcBorders>
          </w:tcPr>
          <w:p w14:paraId="6B27A5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6AFB00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3A3C27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0C2D8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3E06B8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22D870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646A8A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Бронеавтомобилей БА-64</w:t>
            </w:r>
          </w:p>
          <w:p w14:paraId="66581F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Мотоциклов отечественных</w:t>
            </w:r>
          </w:p>
          <w:p w14:paraId="5DBCE1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Мотоциклов импортных б/к</w:t>
            </w:r>
          </w:p>
          <w:p w14:paraId="3216F1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Мотоциклов импортных б/к</w:t>
            </w:r>
          </w:p>
          <w:p w14:paraId="353CD0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Мотоколясок</w:t>
            </w:r>
          </w:p>
          <w:p w14:paraId="7908BC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5F46B7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1580</w:t>
            </w:r>
          </w:p>
          <w:p w14:paraId="370842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1300</w:t>
            </w:r>
          </w:p>
          <w:p w14:paraId="52E338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1480</w:t>
            </w:r>
          </w:p>
          <w:p w14:paraId="71FFE0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w:t>
            </w:r>
          </w:p>
          <w:p w14:paraId="004C37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2122" w:type="dxa"/>
            <w:tcBorders>
              <w:top w:val="single" w:sz="6" w:space="0" w:color="auto"/>
              <w:left w:val="single" w:sz="6" w:space="0" w:color="auto"/>
              <w:bottom w:val="single" w:sz="6" w:space="0" w:color="auto"/>
              <w:right w:val="single" w:sz="6" w:space="0" w:color="auto"/>
            </w:tcBorders>
          </w:tcPr>
          <w:p w14:paraId="06E7A7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007A2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360</w:t>
            </w:r>
          </w:p>
          <w:p w14:paraId="3FF6F0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560</w:t>
            </w:r>
          </w:p>
          <w:p w14:paraId="7F63A0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C0B92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440</w:t>
            </w:r>
          </w:p>
          <w:p w14:paraId="530AE6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6440B4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1580</w:t>
            </w:r>
          </w:p>
          <w:p w14:paraId="214EB0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1660</w:t>
            </w:r>
          </w:p>
          <w:p w14:paraId="62DE5D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2040</w:t>
            </w:r>
          </w:p>
          <w:p w14:paraId="07BBD5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w:t>
            </w:r>
          </w:p>
          <w:p w14:paraId="4BFCE5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440</w:t>
            </w:r>
          </w:p>
          <w:p w14:paraId="400AD5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02455FF" w14:textId="77777777">
        <w:trPr>
          <w:trHeight w:val="230"/>
        </w:trPr>
        <w:tc>
          <w:tcPr>
            <w:tcW w:w="538" w:type="dxa"/>
            <w:tcBorders>
              <w:top w:val="single" w:sz="6" w:space="0" w:color="auto"/>
              <w:left w:val="single" w:sz="6" w:space="0" w:color="auto"/>
              <w:bottom w:val="single" w:sz="6" w:space="0" w:color="auto"/>
              <w:right w:val="single" w:sz="6" w:space="0" w:color="auto"/>
            </w:tcBorders>
          </w:tcPr>
          <w:p w14:paraId="4C6BAC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9D107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725" w:type="dxa"/>
            <w:tcBorders>
              <w:top w:val="single" w:sz="6" w:space="0" w:color="auto"/>
              <w:left w:val="single" w:sz="6" w:space="0" w:color="auto"/>
              <w:bottom w:val="single" w:sz="6" w:space="0" w:color="auto"/>
              <w:right w:val="single" w:sz="6" w:space="0" w:color="auto"/>
            </w:tcBorders>
          </w:tcPr>
          <w:p w14:paraId="431670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EEBCB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939" w:type="dxa"/>
            <w:tcBorders>
              <w:top w:val="single" w:sz="6" w:space="0" w:color="auto"/>
              <w:left w:val="single" w:sz="6" w:space="0" w:color="auto"/>
              <w:bottom w:val="single" w:sz="6" w:space="0" w:color="auto"/>
              <w:right w:val="single" w:sz="6" w:space="0" w:color="auto"/>
            </w:tcBorders>
          </w:tcPr>
          <w:p w14:paraId="46F430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4760</w:t>
            </w:r>
          </w:p>
          <w:p w14:paraId="20F5C8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122" w:type="dxa"/>
            <w:tcBorders>
              <w:top w:val="single" w:sz="6" w:space="0" w:color="auto"/>
              <w:left w:val="single" w:sz="6" w:space="0" w:color="auto"/>
              <w:bottom w:val="single" w:sz="6" w:space="0" w:color="auto"/>
              <w:right w:val="single" w:sz="6" w:space="0" w:color="auto"/>
            </w:tcBorders>
          </w:tcPr>
          <w:p w14:paraId="1008E9A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1360</w:t>
            </w:r>
          </w:p>
          <w:p w14:paraId="40F95F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200" w:type="dxa"/>
            <w:tcBorders>
              <w:top w:val="single" w:sz="6" w:space="0" w:color="auto"/>
              <w:left w:val="single" w:sz="6" w:space="0" w:color="auto"/>
              <w:bottom w:val="single" w:sz="6" w:space="0" w:color="auto"/>
              <w:right w:val="nil"/>
            </w:tcBorders>
          </w:tcPr>
          <w:p w14:paraId="39DEE5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6120</w:t>
            </w:r>
          </w:p>
          <w:p w14:paraId="3705AF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3D041D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 xml:space="preserve">X. </w:t>
      </w:r>
      <w:r w:rsidRPr="00F90EAE">
        <w:rPr>
          <w:color w:val="000000" w:themeColor="text1"/>
          <w:sz w:val="16"/>
          <w:szCs w:val="16"/>
        </w:rPr>
        <w:t>Качество мотоциклов</w:t>
      </w:r>
    </w:p>
    <w:p w14:paraId="61DC9B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отзывам войсковых частей и отдельных мотоциклистов, качество выпускаемых мотоциклов удовлетворительное.</w:t>
      </w:r>
    </w:p>
    <w:p w14:paraId="6751D3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Основными дефектами являются: выход из строя генераторов, реле-регуляторов, поломка кры</w:t>
      </w:r>
      <w:r w:rsidRPr="00F90EAE">
        <w:rPr>
          <w:color w:val="000000" w:themeColor="text1"/>
          <w:sz w:val="16"/>
          <w:szCs w:val="16"/>
        </w:rPr>
        <w:softHyphen/>
        <w:t>шек редуктора задней передачи и др.</w:t>
      </w:r>
    </w:p>
    <w:p w14:paraId="493B02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1944 год проведено испытание 3 мотоциклов М-72 на гарантийный километраж. Все 3 мотоцикла не выдержали гарантийных испытаний на 15000 км пробега.</w:t>
      </w:r>
    </w:p>
    <w:p w14:paraId="77EA7A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XII</w:t>
      </w:r>
      <w:r w:rsidRPr="00F90EAE">
        <w:rPr>
          <w:color w:val="000000" w:themeColor="text1"/>
          <w:sz w:val="16"/>
          <w:szCs w:val="16"/>
        </w:rPr>
        <w:t>. Изготовление опытных образцов и испытания Бронеавтомобили</w:t>
      </w:r>
    </w:p>
    <w:p w14:paraId="79610D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Изготовлен опытный образец штабного бронеавтомобиля на базе БА-64-Б.</w:t>
      </w:r>
    </w:p>
    <w:p w14:paraId="1B5DDA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Изготовлен опытный образец бронеавтомобиля БА-64 с установкой пулемета Горюнова.</w:t>
      </w:r>
    </w:p>
    <w:p w14:paraId="7A8263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Изготовлен опытный образец колесно-самоходной пушки КСП-76 и проведены полигонные и артиллерийские испытания.</w:t>
      </w:r>
    </w:p>
    <w:p w14:paraId="7739F7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Проведены испытания на гарантийный километраж 2 бронеавтомобилей БА-64 серийных.</w:t>
      </w:r>
    </w:p>
    <w:p w14:paraId="05CC29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Изготовлены 3 опытных образца штабных бронеавтомобилей БА-64-Б в соответствии с заме</w:t>
      </w:r>
      <w:r w:rsidRPr="00F90EAE">
        <w:rPr>
          <w:color w:val="000000" w:themeColor="text1"/>
          <w:sz w:val="16"/>
          <w:szCs w:val="16"/>
        </w:rPr>
        <w:softHyphen/>
        <w:t>чаниями маршала бронетанковых войск т. Федоренко.</w:t>
      </w:r>
    </w:p>
    <w:p w14:paraId="046D71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Мотоциклы и велосипеды</w:t>
      </w:r>
    </w:p>
    <w:p w14:paraId="75AAD9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Изготовлен опытный образец дорожного велосипеда и проведены его испытания.</w:t>
      </w:r>
    </w:p>
    <w:p w14:paraId="3671D5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Трижды проведены испытания 2 опытных образцов мотоциклов ТМЗ-53. Результаты испы</w:t>
      </w:r>
      <w:r w:rsidRPr="00F90EAE">
        <w:rPr>
          <w:color w:val="000000" w:themeColor="text1"/>
          <w:sz w:val="16"/>
          <w:szCs w:val="16"/>
        </w:rPr>
        <w:softHyphen/>
        <w:t>таний вполне удовлетворительные, мотоцикл рекомендован на производство. Наркомсредмаш не желает организовывать производство данных мотоциклов.</w:t>
      </w:r>
    </w:p>
    <w:p w14:paraId="481875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Проведены испытания мотоцикла вездехода с гусеничным двигателем.</w:t>
      </w:r>
    </w:p>
    <w:p w14:paraId="6D5FAB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Изготовлено 4 опытных образца мотоцикла М-72 с приводом на колесо коляски и проведены испытания их в академии и на полигоне.</w:t>
      </w:r>
    </w:p>
    <w:p w14:paraId="0A3C7F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Проведены испытания мотоцикла «Эксцельсиор».</w:t>
      </w:r>
    </w:p>
    <w:p w14:paraId="4DF303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Проведены испытания мотоцикла «Харлей-Давидсон» с коляской М-72 и установкой 37-мм пушки.</w:t>
      </w:r>
    </w:p>
    <w:p w14:paraId="7ECF79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Проведены испытания мотоцикла «Харлей-Давидсон» с коляской М-72 и 3 мотоциклов М-72 на гарантийный километраж:.</w:t>
      </w:r>
    </w:p>
    <w:p w14:paraId="78701F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XIII</w:t>
      </w:r>
      <w:r w:rsidRPr="00F90EAE">
        <w:rPr>
          <w:color w:val="000000" w:themeColor="text1"/>
          <w:sz w:val="16"/>
          <w:szCs w:val="16"/>
        </w:rPr>
        <w:t>. Оргмероприятия</w:t>
      </w:r>
    </w:p>
    <w:p w14:paraId="006CEB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Организована выставка на полигоне отечественных, импортных и трофейных мотоциклов.</w:t>
      </w:r>
    </w:p>
    <w:p w14:paraId="6D81CF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Подготовка и участие в техническом совещании Наркомсредмаша по выбору типов мотоцик</w:t>
      </w:r>
      <w:r w:rsidRPr="00F90EAE">
        <w:rPr>
          <w:color w:val="000000" w:themeColor="text1"/>
          <w:sz w:val="16"/>
          <w:szCs w:val="16"/>
        </w:rPr>
        <w:softHyphen/>
        <w:t>лов, рекомендуемых на серийное производство по перспективному плану.</w:t>
      </w:r>
    </w:p>
    <w:p w14:paraId="27FE64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XIV</w:t>
      </w:r>
      <w:r w:rsidRPr="00F90EAE">
        <w:rPr>
          <w:color w:val="000000" w:themeColor="text1"/>
          <w:sz w:val="16"/>
          <w:szCs w:val="16"/>
        </w:rPr>
        <w:t>. Руководства и наставления В 1944 году изданы или подготовлены к печати следующие рукописи: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5196"/>
        <w:gridCol w:w="5196"/>
      </w:tblGrid>
      <w:tr w:rsidR="00561F31" w:rsidRPr="00F90EAE" w14:paraId="234ED1B3" w14:textId="77777777">
        <w:tc>
          <w:tcPr>
            <w:tcW w:w="817" w:type="dxa"/>
            <w:tcBorders>
              <w:top w:val="single" w:sz="12" w:space="0" w:color="auto"/>
            </w:tcBorders>
            <w:shd w:val="clear" w:color="auto" w:fill="FFFFFF"/>
          </w:tcPr>
          <w:p w14:paraId="655156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п/п</w:t>
            </w:r>
          </w:p>
        </w:tc>
        <w:tc>
          <w:tcPr>
            <w:tcW w:w="5196" w:type="dxa"/>
            <w:tcBorders>
              <w:top w:val="single" w:sz="12" w:space="0" w:color="auto"/>
            </w:tcBorders>
            <w:shd w:val="clear" w:color="auto" w:fill="FFFFFF"/>
          </w:tcPr>
          <w:p w14:paraId="7C81E8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рукописи</w:t>
            </w:r>
          </w:p>
        </w:tc>
        <w:tc>
          <w:tcPr>
            <w:tcW w:w="5196" w:type="dxa"/>
            <w:tcBorders>
              <w:top w:val="single" w:sz="12" w:space="0" w:color="auto"/>
            </w:tcBorders>
            <w:shd w:val="clear" w:color="auto" w:fill="FFFFFF"/>
          </w:tcPr>
          <w:p w14:paraId="1EB1BA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Что выполнено отделом</w:t>
            </w:r>
          </w:p>
        </w:tc>
      </w:tr>
      <w:tr w:rsidR="00561F31" w:rsidRPr="00F90EAE" w14:paraId="6FB986C2" w14:textId="77777777">
        <w:tc>
          <w:tcPr>
            <w:tcW w:w="817" w:type="dxa"/>
            <w:shd w:val="clear" w:color="auto" w:fill="FFFFFF"/>
          </w:tcPr>
          <w:p w14:paraId="21CF7A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196" w:type="dxa"/>
            <w:shd w:val="clear" w:color="auto" w:fill="FFFFFF"/>
          </w:tcPr>
          <w:p w14:paraId="2F8902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Памятка водителю мотоцикла "Харлей-Давидсон"</w:t>
            </w:r>
          </w:p>
        </w:tc>
        <w:tc>
          <w:tcPr>
            <w:tcW w:w="5196" w:type="dxa"/>
            <w:shd w:val="clear" w:color="auto" w:fill="FFFFFF"/>
          </w:tcPr>
          <w:p w14:paraId="362976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Подготовлена к печати и издана.</w:t>
            </w:r>
          </w:p>
        </w:tc>
      </w:tr>
      <w:tr w:rsidR="00561F31" w:rsidRPr="00F90EAE" w14:paraId="6CFA0E14" w14:textId="77777777">
        <w:tc>
          <w:tcPr>
            <w:tcW w:w="817" w:type="dxa"/>
            <w:shd w:val="clear" w:color="auto" w:fill="FFFFFF"/>
          </w:tcPr>
          <w:p w14:paraId="3B73B3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196" w:type="dxa"/>
            <w:shd w:val="clear" w:color="auto" w:fill="FFFFFF"/>
          </w:tcPr>
          <w:p w14:paraId="60AB5C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Памятка водителю мотоцикла БСА</w:t>
            </w:r>
          </w:p>
        </w:tc>
        <w:tc>
          <w:tcPr>
            <w:tcW w:w="5196" w:type="dxa"/>
            <w:shd w:val="clear" w:color="auto" w:fill="FFFFFF"/>
          </w:tcPr>
          <w:p w14:paraId="29062D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Подготовлена и находится в печати.</w:t>
            </w:r>
          </w:p>
        </w:tc>
      </w:tr>
      <w:tr w:rsidR="00561F31" w:rsidRPr="00F90EAE" w14:paraId="0BF8EAE9" w14:textId="77777777">
        <w:tc>
          <w:tcPr>
            <w:tcW w:w="817" w:type="dxa"/>
            <w:shd w:val="clear" w:color="auto" w:fill="FFFFFF"/>
          </w:tcPr>
          <w:p w14:paraId="4FFAF9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196" w:type="dxa"/>
            <w:shd w:val="clear" w:color="auto" w:fill="FFFFFF"/>
          </w:tcPr>
          <w:p w14:paraId="6A3D7E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Руководство по мотоциклу "Харлей-Давидсон"</w:t>
            </w:r>
          </w:p>
        </w:tc>
        <w:tc>
          <w:tcPr>
            <w:tcW w:w="5196" w:type="dxa"/>
            <w:shd w:val="clear" w:color="auto" w:fill="FFFFFF"/>
          </w:tcPr>
          <w:p w14:paraId="5434E3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Проверена рукопись и сдана на редактирование в РИО ГУФ.</w:t>
            </w:r>
          </w:p>
        </w:tc>
      </w:tr>
      <w:tr w:rsidR="00561F31" w:rsidRPr="00F90EAE" w14:paraId="6532AA15" w14:textId="77777777">
        <w:tc>
          <w:tcPr>
            <w:tcW w:w="817" w:type="dxa"/>
            <w:shd w:val="clear" w:color="auto" w:fill="FFFFFF"/>
          </w:tcPr>
          <w:p w14:paraId="6758A2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196" w:type="dxa"/>
            <w:shd w:val="clear" w:color="auto" w:fill="FFFFFF"/>
          </w:tcPr>
          <w:p w14:paraId="4E56F3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Руководство по эксплуатации и обслуживанию мотоциклов.</w:t>
            </w:r>
          </w:p>
        </w:tc>
        <w:tc>
          <w:tcPr>
            <w:tcW w:w="5196" w:type="dxa"/>
            <w:shd w:val="clear" w:color="auto" w:fill="FFFFFF"/>
          </w:tcPr>
          <w:p w14:paraId="78BC27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Проверена рукопись, сделаны замечания и передана в УЭТ ГБТУ КА.</w:t>
            </w:r>
          </w:p>
        </w:tc>
      </w:tr>
      <w:tr w:rsidR="00561F31" w:rsidRPr="00F90EAE" w14:paraId="3831C7EC" w14:textId="77777777">
        <w:tc>
          <w:tcPr>
            <w:tcW w:w="817" w:type="dxa"/>
            <w:shd w:val="clear" w:color="auto" w:fill="FFFFFF"/>
          </w:tcPr>
          <w:p w14:paraId="63B3E6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5196" w:type="dxa"/>
            <w:shd w:val="clear" w:color="auto" w:fill="FFFFFF"/>
          </w:tcPr>
          <w:p w14:paraId="07A969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Руководство по мотоциклу "Индиан".</w:t>
            </w:r>
          </w:p>
        </w:tc>
        <w:tc>
          <w:tcPr>
            <w:tcW w:w="5196" w:type="dxa"/>
            <w:shd w:val="clear" w:color="auto" w:fill="FFFFFF"/>
          </w:tcPr>
          <w:p w14:paraId="094F09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Проверена рукопись и сдана на редактирование в РИО ГУФ.</w:t>
            </w:r>
          </w:p>
        </w:tc>
      </w:tr>
      <w:tr w:rsidR="00561F31" w:rsidRPr="00F90EAE" w14:paraId="78E17807" w14:textId="77777777">
        <w:tc>
          <w:tcPr>
            <w:tcW w:w="817" w:type="dxa"/>
            <w:shd w:val="clear" w:color="auto" w:fill="FFFFFF"/>
          </w:tcPr>
          <w:p w14:paraId="68CF7F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5196" w:type="dxa"/>
            <w:shd w:val="clear" w:color="auto" w:fill="FFFFFF"/>
          </w:tcPr>
          <w:p w14:paraId="7B5858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Учебник по мотоциклам автора Сытина</w:t>
            </w:r>
          </w:p>
        </w:tc>
        <w:tc>
          <w:tcPr>
            <w:tcW w:w="5196" w:type="dxa"/>
            <w:shd w:val="clear" w:color="auto" w:fill="FFFFFF"/>
          </w:tcPr>
          <w:p w14:paraId="074839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Составлена рецензия.</w:t>
            </w:r>
          </w:p>
        </w:tc>
      </w:tr>
      <w:tr w:rsidR="00561F31" w:rsidRPr="00F90EAE" w14:paraId="635F6CB7" w14:textId="77777777">
        <w:tc>
          <w:tcPr>
            <w:tcW w:w="817" w:type="dxa"/>
            <w:tcBorders>
              <w:bottom w:val="single" w:sz="12" w:space="0" w:color="auto"/>
            </w:tcBorders>
            <w:shd w:val="clear" w:color="auto" w:fill="FFFFFF"/>
          </w:tcPr>
          <w:p w14:paraId="7CC698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5196" w:type="dxa"/>
            <w:tcBorders>
              <w:bottom w:val="single" w:sz="12" w:space="0" w:color="auto"/>
            </w:tcBorders>
            <w:shd w:val="clear" w:color="auto" w:fill="FFFFFF"/>
          </w:tcPr>
          <w:p w14:paraId="69C53B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Каталог по БА-64.</w:t>
            </w:r>
          </w:p>
        </w:tc>
        <w:tc>
          <w:tcPr>
            <w:tcW w:w="5196" w:type="dxa"/>
            <w:tcBorders>
              <w:bottom w:val="single" w:sz="12" w:space="0" w:color="auto"/>
            </w:tcBorders>
            <w:shd w:val="clear" w:color="auto" w:fill="FFFFFF"/>
          </w:tcPr>
          <w:p w14:paraId="4E77C2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Составлен каталог совместно с заводом и сдан в печать.</w:t>
            </w:r>
          </w:p>
        </w:tc>
      </w:tr>
    </w:tbl>
    <w:p w14:paraId="5EDA84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к отчету:</w:t>
      </w:r>
    </w:p>
    <w:p w14:paraId="001C91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Сводка о поставке бронеавтомобилей, мотоциклов, колясок в 1944 г. на 1 листе.</w:t>
      </w:r>
    </w:p>
    <w:p w14:paraId="6309D1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Сводка о поступлении импортных мотоциклов с начала операции на 1 листе.</w:t>
      </w:r>
    </w:p>
    <w:p w14:paraId="0AC93D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Ведомость распределения мотоциклов за 1944 г. по войскам на 1 листе.</w:t>
      </w:r>
    </w:p>
    <w:p w14:paraId="6540FD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Ведомость распределения бронеавтомобилей за 1944 г. по войскам на 1 листе.</w:t>
      </w:r>
    </w:p>
    <w:p w14:paraId="093A91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5. Справка о мероприятиях отдела по увеличению поставки мотоколясок на __ листах.</w:t>
      </w:r>
    </w:p>
    <w:p w14:paraId="26E451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Краткие тактико-технические характеристики и фото бронемашин, мотоциклов и велосипе</w:t>
      </w:r>
      <w:r w:rsidRPr="00F90EAE">
        <w:rPr>
          <w:color w:val="000000" w:themeColor="text1"/>
          <w:sz w:val="16"/>
          <w:szCs w:val="16"/>
        </w:rPr>
        <w:softHyphen/>
        <w:t>дов на листах.</w:t>
      </w:r>
    </w:p>
    <w:p w14:paraId="202696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 на 3 листах секретно и на 4 листах не секретно.</w:t>
      </w:r>
    </w:p>
    <w:p w14:paraId="03725E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11358. Д. 936. Л. 88-95. Подлинник.</w:t>
      </w:r>
    </w:p>
    <w:p w14:paraId="55AACB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Приложения к документу не публикуются.</w:t>
      </w:r>
    </w:p>
    <w:p w14:paraId="143B20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4 отдела БП и БМ ГБТУ КА инженер-подполковник Апарин (11420).</w:t>
      </w:r>
    </w:p>
    <w:p w14:paraId="3B5357F5" w14:textId="77777777" w:rsidR="00C2313B" w:rsidRPr="00F90EAE" w:rsidRDefault="00C2313B" w:rsidP="00F90EAE">
      <w:pPr>
        <w:autoSpaceDE w:val="0"/>
        <w:autoSpaceDN w:val="0"/>
        <w:adjustRightInd w:val="0"/>
        <w:jc w:val="both"/>
        <w:rPr>
          <w:color w:val="000000" w:themeColor="text1"/>
          <w:sz w:val="16"/>
          <w:szCs w:val="16"/>
        </w:rPr>
      </w:pPr>
    </w:p>
    <w:p w14:paraId="076223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Распоряжение ГКО № 7289. О закреплении за ТЭЦ Ефремовского завода НКРП импортного комплектного оборудования электростанции. РГАНИР, Фонд ГКО, д. 348, лл. 168 (11012).</w:t>
      </w:r>
    </w:p>
    <w:p w14:paraId="5AE59E66" w14:textId="77777777" w:rsidR="00C2313B" w:rsidRPr="00F90EAE" w:rsidRDefault="00C2313B" w:rsidP="00F90EAE">
      <w:pPr>
        <w:autoSpaceDE w:val="0"/>
        <w:autoSpaceDN w:val="0"/>
        <w:adjustRightInd w:val="0"/>
        <w:jc w:val="both"/>
        <w:rPr>
          <w:color w:val="000000" w:themeColor="text1"/>
          <w:sz w:val="16"/>
          <w:szCs w:val="16"/>
        </w:rPr>
      </w:pPr>
    </w:p>
    <w:p w14:paraId="35FAA2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Распоряжение ГКО № 7290. О продлении до 1 марта 1945 г. срока работы 660 автомашин НКО, выделенных НКлесу СССР. РГАНИР, Фонд ГКО, д. 348, лл. 169 (11012).</w:t>
      </w:r>
    </w:p>
    <w:p w14:paraId="6B33DEE4" w14:textId="77777777" w:rsidR="00C2313B" w:rsidRPr="00F90EAE" w:rsidRDefault="00C2313B" w:rsidP="00F90EAE">
      <w:pPr>
        <w:autoSpaceDE w:val="0"/>
        <w:autoSpaceDN w:val="0"/>
        <w:adjustRightInd w:val="0"/>
        <w:jc w:val="both"/>
        <w:rPr>
          <w:color w:val="000000" w:themeColor="text1"/>
          <w:sz w:val="16"/>
          <w:szCs w:val="16"/>
        </w:rPr>
      </w:pPr>
    </w:p>
    <w:p w14:paraId="3FFABC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Распоряжение ГКО № 7291. О поставке для ВВС КА импортных передвижных электростанций. РГАНИР, Фонд ГКО, д. 348, лл. 170 (11012).</w:t>
      </w:r>
    </w:p>
    <w:p w14:paraId="111E5517" w14:textId="77777777" w:rsidR="00C2313B" w:rsidRPr="00F90EAE" w:rsidRDefault="00C2313B" w:rsidP="00F90EAE">
      <w:pPr>
        <w:autoSpaceDE w:val="0"/>
        <w:autoSpaceDN w:val="0"/>
        <w:adjustRightInd w:val="0"/>
        <w:jc w:val="both"/>
        <w:rPr>
          <w:color w:val="000000" w:themeColor="text1"/>
          <w:sz w:val="16"/>
          <w:szCs w:val="16"/>
        </w:rPr>
      </w:pPr>
    </w:p>
    <w:p w14:paraId="53B31DFC"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января 1945 вышло Распоряжение ГКО № 7292 [О выделении топлива Ленинградскому торговому порту.] (7295, 171).</w:t>
      </w:r>
    </w:p>
    <w:p w14:paraId="19922317"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658FB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Распоряжение ГКО № 7292. О выделении топлива Ленинградскому торговому порту. РГАНИР, Фонд ГКО, д. 348, лл. 171 (11012).</w:t>
      </w:r>
    </w:p>
    <w:p w14:paraId="6EAE946A" w14:textId="77777777" w:rsidR="00C2313B" w:rsidRPr="00F90EAE" w:rsidRDefault="00C2313B" w:rsidP="00F90EAE">
      <w:pPr>
        <w:autoSpaceDE w:val="0"/>
        <w:autoSpaceDN w:val="0"/>
        <w:adjustRightInd w:val="0"/>
        <w:jc w:val="both"/>
        <w:rPr>
          <w:color w:val="000000" w:themeColor="text1"/>
          <w:sz w:val="16"/>
          <w:szCs w:val="16"/>
        </w:rPr>
      </w:pPr>
    </w:p>
    <w:p w14:paraId="3A808A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Постановление ГКО № 7293 О предотвращении срыва комплектации артиллерийских выстрелов в январе и I квартале 1945 года. РГАНИР, Фонд ГКО, д. 348, лл. 172-173 (11012).</w:t>
      </w:r>
    </w:p>
    <w:p w14:paraId="70527649" w14:textId="77777777" w:rsidR="00C2313B" w:rsidRPr="00F90EAE" w:rsidRDefault="00C2313B" w:rsidP="00F90EAE">
      <w:pPr>
        <w:autoSpaceDE w:val="0"/>
        <w:autoSpaceDN w:val="0"/>
        <w:adjustRightInd w:val="0"/>
        <w:jc w:val="both"/>
        <w:rPr>
          <w:color w:val="000000" w:themeColor="text1"/>
          <w:sz w:val="16"/>
          <w:szCs w:val="16"/>
        </w:rPr>
      </w:pPr>
    </w:p>
    <w:p w14:paraId="2690B2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вышло Постановление ГКО № 7294 О плане снабжения горюче-смазочными материалами Красной Армии на январь 1945 года. РГАНИР, Фонд ГКО, д. 348, лл. 174-176, 177-198 (11012).</w:t>
      </w:r>
    </w:p>
    <w:p w14:paraId="18273145" w14:textId="77777777" w:rsidR="00C2313B" w:rsidRPr="00F90EAE" w:rsidRDefault="00C2313B" w:rsidP="00F90EAE">
      <w:pPr>
        <w:autoSpaceDE w:val="0"/>
        <w:autoSpaceDN w:val="0"/>
        <w:adjustRightInd w:val="0"/>
        <w:jc w:val="both"/>
        <w:rPr>
          <w:color w:val="000000" w:themeColor="text1"/>
          <w:sz w:val="16"/>
          <w:szCs w:val="16"/>
        </w:rPr>
      </w:pPr>
    </w:p>
    <w:p w14:paraId="3299E7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на Балтийском заводе на поточной линии заложены 11-й и 12-й ТЩ типа МТ-2 (10671).</w:t>
      </w:r>
    </w:p>
    <w:p w14:paraId="5558C55D" w14:textId="77777777" w:rsidR="00C2313B" w:rsidRPr="00F90EAE" w:rsidRDefault="00C2313B" w:rsidP="00F90EAE">
      <w:pPr>
        <w:autoSpaceDE w:val="0"/>
        <w:autoSpaceDN w:val="0"/>
        <w:adjustRightInd w:val="0"/>
        <w:jc w:val="both"/>
        <w:rPr>
          <w:color w:val="000000" w:themeColor="text1"/>
          <w:sz w:val="16"/>
          <w:szCs w:val="16"/>
        </w:rPr>
      </w:pPr>
    </w:p>
    <w:p w14:paraId="4998568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43B64E8" w14:textId="77777777" w:rsidR="00C2313B" w:rsidRPr="00F90EAE" w:rsidRDefault="00C2313B" w:rsidP="00F90EAE">
      <w:pPr>
        <w:autoSpaceDE w:val="0"/>
        <w:autoSpaceDN w:val="0"/>
        <w:adjustRightInd w:val="0"/>
        <w:jc w:val="both"/>
        <w:rPr>
          <w:iCs/>
          <w:color w:val="000000" w:themeColor="text1"/>
          <w:sz w:val="16"/>
          <w:szCs w:val="16"/>
        </w:rPr>
      </w:pPr>
    </w:p>
    <w:p w14:paraId="259B1484" w14:textId="77777777" w:rsidR="002D2573" w:rsidRPr="00F90EAE" w:rsidRDefault="002D2573" w:rsidP="00F90EAE">
      <w:pPr>
        <w:jc w:val="both"/>
        <w:rPr>
          <w:color w:val="000000" w:themeColor="text1"/>
          <w:sz w:val="16"/>
          <w:szCs w:val="16"/>
        </w:rPr>
      </w:pPr>
      <w:r w:rsidRPr="00F90EAE">
        <w:rPr>
          <w:bCs/>
          <w:color w:val="000000" w:themeColor="text1"/>
          <w:sz w:val="16"/>
          <w:szCs w:val="16"/>
        </w:rPr>
        <w:t>9 января</w:t>
      </w:r>
      <w:r w:rsidRPr="00F90EAE">
        <w:rPr>
          <w:color w:val="000000" w:themeColor="text1"/>
          <w:sz w:val="16"/>
          <w:szCs w:val="16"/>
        </w:rPr>
        <w:t xml:space="preserve"> в 1945 году оперативная сводка Совинформбюро:</w:t>
      </w:r>
    </w:p>
    <w:p w14:paraId="496EC5B9"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9 января в районе Будапешта наши войска продолжали бои по уничтожению окружённой в городе группировки противника и, сжимая кольцо окружения, заняли главный ипподром (превращенный немцами в аэродром), городской парк Кбплигет, нефтеперегонный завод, машиностроительный (танкостроительный) завод "Гофхер Шранц", городской район Пештсентэржэбет и очищали от противника городской район Кишпешт. За день боя наши войска заняли в городе более 350 кварталов.</w:t>
      </w:r>
    </w:p>
    <w:p w14:paraId="39A425C5"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наши войска успешно отбивали атаки пехоты и танков противника. В боях за 8 января в этом районе подбито и уничтожено 60 немецких танков.</w:t>
      </w:r>
    </w:p>
    <w:p w14:paraId="6949CF0E"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северо-восточнее и восточнее города Комарно наши войска, продолжая наступление, овладели крупными населёнными пунктами Солдины, Новая Дяла, Святой Петер, Хетин, Кратке Кеси, Ижа. За 8 января в этом районе наши войска взяли в плен более 1.000 солдат и офицеров противника.</w:t>
      </w:r>
    </w:p>
    <w:p w14:paraId="4F9939C8"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444A8480" w14:textId="77777777" w:rsidR="002D2573" w:rsidRPr="00F90EAE" w:rsidRDefault="002D2573" w:rsidP="00F90EAE">
      <w:pPr>
        <w:jc w:val="both"/>
        <w:rPr>
          <w:color w:val="000000" w:themeColor="text1"/>
          <w:sz w:val="16"/>
          <w:szCs w:val="16"/>
        </w:rPr>
      </w:pPr>
      <w:r w:rsidRPr="00F90EAE">
        <w:rPr>
          <w:color w:val="000000" w:themeColor="text1"/>
          <w:sz w:val="16"/>
          <w:szCs w:val="16"/>
        </w:rPr>
        <w:t>За 8 января в воздушных боях и огнём зенитной артиллерии сбито 13 самолётов противника.</w:t>
      </w:r>
    </w:p>
    <w:p w14:paraId="79C9E9FA" w14:textId="77777777" w:rsidR="002D2573" w:rsidRPr="00F90EAE" w:rsidRDefault="002D2573" w:rsidP="00F90EAE">
      <w:pPr>
        <w:jc w:val="both"/>
        <w:rPr>
          <w:color w:val="000000" w:themeColor="text1"/>
          <w:sz w:val="16"/>
          <w:szCs w:val="16"/>
        </w:rPr>
      </w:pPr>
      <w:r w:rsidRPr="00F90EAE">
        <w:rPr>
          <w:color w:val="000000" w:themeColor="text1"/>
          <w:sz w:val="16"/>
          <w:szCs w:val="16"/>
        </w:rPr>
        <w:t>В районе Будапешта наши войска продолжали вести бои по ликвидации окруженной группировки противника. Советские гвардейские части овладели главным ипподромом, который немцы использовали в качестве аэродрома. Продвигаясь вдоль линии железной дороги, наши войска достигли парка Неплитет. Противник бросил в контратаку танки и самоходные орудия. Однако советские артиллеристы и бронебойщики вынудили немцев отступить. Усиливая нажим, наши штурмовые отряды выбили врага из парка и ведут бои в двух километрах восточнее Дуная. Наши войска, действующие в юго-восточной части города, с боями продвигались вперед и разгромили ряд сильно укреплённых опорных пунктов обороны противника. В городском районе Кишцешт наши штурмовые отряды в течение дня очистили от немцев более ста кварталов. Противник, отступая под ударами наших войск, понёс больше потери в живой силе и технике. Только одна наша стрелковая часть истребила до батальона гитлеровцев, взяла 200 пленных и захватила самоходное орудие, 26 станковых пулемётов, 300 винтовок и автоматов, пороховой склад и другие трофеи.</w:t>
      </w:r>
    </w:p>
    <w:p w14:paraId="522226F6"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продолжались ожесточённые бои. Противник пополнил свои потрёпанные дивизии и с утра возобновил атаки. В районе магистрали Естергом — Будапешт атаки противника успешно отбивались нашими войсками. На одном участке небольшой группе вражеских танков и пехоте удалось прорваться в расположение наших войск. Советские пехотинцы и артиллеристы быстро обошли и отрезали гитлеровцев. Прорвавшаяся группа противника полностью уничтожена.</w:t>
      </w:r>
    </w:p>
    <w:p w14:paraId="033D910D" w14:textId="77777777" w:rsidR="002D2573" w:rsidRPr="00F90EAE" w:rsidRDefault="002D2573" w:rsidP="00F90EAE">
      <w:pPr>
        <w:jc w:val="both"/>
        <w:rPr>
          <w:color w:val="000000" w:themeColor="text1"/>
          <w:sz w:val="16"/>
          <w:szCs w:val="16"/>
        </w:rPr>
      </w:pPr>
      <w:r w:rsidRPr="00F90EAE">
        <w:rPr>
          <w:color w:val="000000" w:themeColor="text1"/>
          <w:sz w:val="16"/>
          <w:szCs w:val="16"/>
        </w:rPr>
        <w:t>Западнее Будапешта противник бросил в бой крупные силы танков, пытаясь выйти на коммуникации наших войск. Встретив решительное сопротивление советских частей и понеся большие потери, немцы во второй половине дня изменили тактику. Они пытались мелкими группами прорваться через наши боевые порядки. Артиллерийским огнем вражеские отряды были рассеяны. Контрударом наши войска потеснили противника и улучшили свои позиции. По неполным данным, в этих боях уничтожено более 1.500 немецких солдат и офицеров, 18 орудий и 8 бронетранспортёров. На поле боя остались десятки сгоревших и подбитых вражеских танков и самоходных орудий.</w:t>
      </w:r>
    </w:p>
    <w:p w14:paraId="6BF23F7D" w14:textId="77777777" w:rsidR="002D2573" w:rsidRPr="00F90EAE" w:rsidRDefault="002D2573" w:rsidP="00F90EAE">
      <w:pPr>
        <w:jc w:val="both"/>
        <w:rPr>
          <w:color w:val="000000" w:themeColor="text1"/>
          <w:sz w:val="16"/>
          <w:szCs w:val="16"/>
        </w:rPr>
      </w:pPr>
      <w:r w:rsidRPr="00F90EAE">
        <w:rPr>
          <w:color w:val="000000" w:themeColor="text1"/>
          <w:sz w:val="16"/>
          <w:szCs w:val="16"/>
        </w:rPr>
        <w:t>Наша авиация бомбо-штурмовыми ударами уничтожила 5 танков, 20 автомашин и подавила огонь нескольких артиллерийских батарей противника. В воздушных боях за день наши лётчики сбили 10 немецких самолетов.</w:t>
      </w:r>
    </w:p>
    <w:p w14:paraId="477A9F37" w14:textId="77777777" w:rsidR="002D2573" w:rsidRPr="00F90EAE" w:rsidRDefault="002D2573" w:rsidP="00F90EAE">
      <w:pPr>
        <w:jc w:val="both"/>
        <w:rPr>
          <w:color w:val="000000" w:themeColor="text1"/>
          <w:sz w:val="16"/>
          <w:szCs w:val="16"/>
        </w:rPr>
      </w:pPr>
      <w:r w:rsidRPr="00F90EAE">
        <w:rPr>
          <w:color w:val="000000" w:themeColor="text1"/>
          <w:sz w:val="16"/>
          <w:szCs w:val="16"/>
        </w:rPr>
        <w:t>На северном берегу Дуная, северо-восточнее и восточнее города Комарно, наши войска вели наступательные бои. Противник подтянул на этот участок свежие силы и пытался контратаками восстановить положение. Советские части сильным огнём из всех видов оружия отбрасывают врага и настойчиво продвигаются вперёд. После ожесточенного боя наши войска выбили немцев из сильно укреплённого опорного пункта Солдины. Советские части овладели также крупным населенным пунктом Ижа, расположенным на берегу Дуная в 6 километрах восточнее города Комарно. Противник оставил на поле боя несколько сот трупов своих солдат и офицеров. Наши войска захватили много оружия и военных материалов.</w:t>
      </w:r>
    </w:p>
    <w:p w14:paraId="463AD4AD" w14:textId="77777777" w:rsidR="002D2573" w:rsidRPr="00F90EAE" w:rsidRDefault="002D2573" w:rsidP="00F90EAE">
      <w:pPr>
        <w:jc w:val="both"/>
        <w:rPr>
          <w:color w:val="000000" w:themeColor="text1"/>
          <w:sz w:val="16"/>
          <w:szCs w:val="16"/>
        </w:rPr>
      </w:pPr>
      <w:r w:rsidRPr="00F90EAE">
        <w:rPr>
          <w:color w:val="000000" w:themeColor="text1"/>
          <w:sz w:val="16"/>
          <w:szCs w:val="16"/>
        </w:rPr>
        <w:t>В Восточной Пруссии наши разведывательные подразделения захватили секретный приказ командира 1-го немецкого парашютно-танкового фузилерного батальона «Герман Геринг», разосланный командирам рот — лейтенантам Ланге, Книсту, Грабнеру и Вагачу. В приказе говорится: «B случае захвата в плен русских солдат и офицеров — одного или двух из них немедленно доставлять в штаб батальона, а всех остальных расстреливать»... На приказе имеется следующая надпись: «Только для командиров рот. После ознакомления сжечь».</w:t>
      </w:r>
    </w:p>
    <w:p w14:paraId="59FDC690" w14:textId="77777777" w:rsidR="002D2573" w:rsidRPr="00F90EAE" w:rsidRDefault="002D2573" w:rsidP="00F90EAE">
      <w:pPr>
        <w:jc w:val="both"/>
        <w:rPr>
          <w:color w:val="000000" w:themeColor="text1"/>
          <w:sz w:val="16"/>
          <w:szCs w:val="16"/>
        </w:rPr>
      </w:pPr>
      <w:r w:rsidRPr="00F90EAE">
        <w:rPr>
          <w:color w:val="000000" w:themeColor="text1"/>
          <w:sz w:val="16"/>
          <w:szCs w:val="16"/>
        </w:rPr>
        <w:t>В этом приказе нет ничего нового. Он лишь подтверждает то, что уже давно известно, а именно: что гитлеровские мерзавцы истребляют советских военнопленных. Повторяя свои преступные приказы об убийстве военнопленных, фашистские изверги в то же время стремятся сохранить это в тайне. Приказы, конечно, можно сжечь, можно уничтожить и некоторые другие уличающие документы. Однако это не спасёт гитлеровских палачей и убийц. Им не удастся спрятать концы в воду и уйти от ответственности за все свои преступления.» (15004).</w:t>
      </w:r>
    </w:p>
    <w:p w14:paraId="77B77AB8" w14:textId="77777777" w:rsidR="002D2573" w:rsidRPr="00F90EAE" w:rsidRDefault="002D2573" w:rsidP="00F90EAE">
      <w:pPr>
        <w:jc w:val="both"/>
        <w:rPr>
          <w:color w:val="000000" w:themeColor="text1"/>
          <w:sz w:val="16"/>
          <w:szCs w:val="16"/>
        </w:rPr>
      </w:pPr>
    </w:p>
    <w:p w14:paraId="54EBE1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и 27 января 1945 на будапештском направлении потребовалась срочная организация взаимодействия контратакующих советских войск с авиацией (518,231).</w:t>
      </w:r>
    </w:p>
    <w:p w14:paraId="78267608" w14:textId="77777777" w:rsidR="00C2313B" w:rsidRPr="00F90EAE" w:rsidRDefault="00C2313B" w:rsidP="00F90EAE">
      <w:pPr>
        <w:autoSpaceDE w:val="0"/>
        <w:autoSpaceDN w:val="0"/>
        <w:adjustRightInd w:val="0"/>
        <w:jc w:val="both"/>
        <w:rPr>
          <w:color w:val="000000" w:themeColor="text1"/>
          <w:sz w:val="16"/>
          <w:szCs w:val="16"/>
        </w:rPr>
      </w:pPr>
    </w:p>
    <w:p w14:paraId="768B12D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января 1945 фельдмаршал Гудериан предупредил Гитлера о том, что СССР готовит новое наступление на Востоке (4962).</w:t>
      </w:r>
    </w:p>
    <w:p w14:paraId="505E4E05"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CE3EB2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EC15976" w14:textId="77777777" w:rsidR="00C2313B" w:rsidRPr="00F90EAE" w:rsidRDefault="00C2313B" w:rsidP="00F90EAE">
      <w:pPr>
        <w:autoSpaceDE w:val="0"/>
        <w:autoSpaceDN w:val="0"/>
        <w:adjustRightInd w:val="0"/>
        <w:jc w:val="both"/>
        <w:rPr>
          <w:iCs/>
          <w:color w:val="000000" w:themeColor="text1"/>
          <w:sz w:val="16"/>
          <w:szCs w:val="16"/>
        </w:rPr>
      </w:pPr>
    </w:p>
    <w:p w14:paraId="3A91EE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года вышел Приказ НКВД СССР №0021 “О мероприятиях по улучшению работы 1 (учетно-архивного) спецотдела НКВД СССР”, которым предписывалось закончить в течение 1946 года работу по созданию "единого персонального учета преступников, путем объединения оперативно-справочной картотеки 1 спецотдела с картотеками, принятыми в 1941 году от ГУМ и ГУЛАГ НКВД СССР" (8983).</w:t>
      </w:r>
    </w:p>
    <w:p w14:paraId="0B715DB8" w14:textId="77777777" w:rsidR="00C2313B" w:rsidRPr="00F90EAE" w:rsidRDefault="00C2313B" w:rsidP="00F90EAE">
      <w:pPr>
        <w:autoSpaceDE w:val="0"/>
        <w:autoSpaceDN w:val="0"/>
        <w:adjustRightInd w:val="0"/>
        <w:jc w:val="both"/>
        <w:rPr>
          <w:color w:val="000000" w:themeColor="text1"/>
          <w:sz w:val="16"/>
          <w:szCs w:val="16"/>
        </w:rPr>
      </w:pPr>
    </w:p>
    <w:p w14:paraId="172514B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4988527" w14:textId="77777777" w:rsidR="00C2313B" w:rsidRPr="00F90EAE" w:rsidRDefault="00C2313B" w:rsidP="00F90EAE">
      <w:pPr>
        <w:autoSpaceDE w:val="0"/>
        <w:autoSpaceDN w:val="0"/>
        <w:adjustRightInd w:val="0"/>
        <w:jc w:val="both"/>
        <w:rPr>
          <w:iCs/>
          <w:color w:val="000000" w:themeColor="text1"/>
          <w:sz w:val="16"/>
          <w:szCs w:val="16"/>
        </w:rPr>
      </w:pPr>
    </w:p>
    <w:p w14:paraId="0A0C6A32" w14:textId="77777777" w:rsidR="005A1318" w:rsidRPr="00F90EAE" w:rsidRDefault="005A1318" w:rsidP="00F90EAE">
      <w:pPr>
        <w:jc w:val="both"/>
        <w:rPr>
          <w:color w:val="0070C0"/>
          <w:sz w:val="16"/>
          <w:szCs w:val="16"/>
        </w:rPr>
      </w:pPr>
      <w:r w:rsidRPr="00F90EAE">
        <w:rPr>
          <w:color w:val="0070C0"/>
          <w:sz w:val="16"/>
          <w:szCs w:val="16"/>
        </w:rPr>
        <w:lastRenderedPageBreak/>
        <w:t>9 января 1945 - C-97 Stratofreighter (Боинг модель 367) устанавливает трансконтинентальный рекорд, пролетев 2323 мили из Сиэтла в Вашингтон, D.C., за 6 часов и 4 мин, со средней скоростью 383 миль в час (22675).</w:t>
      </w:r>
    </w:p>
    <w:p w14:paraId="1952C447" w14:textId="77777777" w:rsidR="005A1318" w:rsidRPr="00F90EAE" w:rsidRDefault="005A1318" w:rsidP="00F90EAE">
      <w:pPr>
        <w:jc w:val="both"/>
        <w:rPr>
          <w:color w:val="0070C0"/>
          <w:sz w:val="16"/>
          <w:szCs w:val="16"/>
        </w:rPr>
      </w:pPr>
    </w:p>
    <w:p w14:paraId="6A38E6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января 1945 американские войска высадились на Лузоне, за 107 миль от Манилы (2100).</w:t>
      </w:r>
    </w:p>
    <w:p w14:paraId="23EB26CE" w14:textId="77777777" w:rsidR="00C2313B" w:rsidRPr="00F90EAE" w:rsidRDefault="00C2313B" w:rsidP="00F90EAE">
      <w:pPr>
        <w:autoSpaceDE w:val="0"/>
        <w:autoSpaceDN w:val="0"/>
        <w:adjustRightInd w:val="0"/>
        <w:jc w:val="both"/>
        <w:rPr>
          <w:color w:val="000000" w:themeColor="text1"/>
          <w:sz w:val="16"/>
          <w:szCs w:val="16"/>
        </w:rPr>
      </w:pPr>
    </w:p>
    <w:p w14:paraId="0F3C6137" w14:textId="77777777" w:rsidR="002D2573" w:rsidRPr="00F90EAE" w:rsidRDefault="002D2573" w:rsidP="00F90EAE">
      <w:pPr>
        <w:jc w:val="both"/>
        <w:rPr>
          <w:color w:val="000000" w:themeColor="text1"/>
          <w:sz w:val="16"/>
          <w:szCs w:val="16"/>
        </w:rPr>
      </w:pPr>
      <w:r w:rsidRPr="00F90EAE">
        <w:rPr>
          <w:bCs/>
          <w:color w:val="000000" w:themeColor="text1"/>
          <w:sz w:val="16"/>
          <w:szCs w:val="16"/>
        </w:rPr>
        <w:t>9 января</w:t>
      </w:r>
      <w:r w:rsidRPr="00F90EAE">
        <w:rPr>
          <w:color w:val="000000" w:themeColor="text1"/>
          <w:sz w:val="16"/>
          <w:szCs w:val="16"/>
        </w:rPr>
        <w:t xml:space="preserve"> в 1945 году части 6-й американской армии высадились на острове Лузон, Филлипинского архипелага (15004).</w:t>
      </w:r>
    </w:p>
    <w:p w14:paraId="1A6A2D2F" w14:textId="77777777" w:rsidR="002D2573" w:rsidRPr="00F90EAE" w:rsidRDefault="002D2573" w:rsidP="00F90EAE">
      <w:pPr>
        <w:jc w:val="both"/>
        <w:rPr>
          <w:color w:val="000000" w:themeColor="text1"/>
          <w:sz w:val="16"/>
          <w:szCs w:val="16"/>
        </w:rPr>
      </w:pPr>
    </w:p>
    <w:p w14:paraId="7654325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января 1945 американские войска высадили десант на Филиппинах к северу от Манилы (4962).</w:t>
      </w:r>
    </w:p>
    <w:p w14:paraId="171D5F9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0A011F8" w14:textId="77777777" w:rsidR="005A1318" w:rsidRPr="00F90EAE" w:rsidRDefault="005A1318" w:rsidP="00F90EAE">
      <w:pPr>
        <w:jc w:val="both"/>
        <w:rPr>
          <w:color w:val="0070C0"/>
          <w:sz w:val="16"/>
          <w:szCs w:val="16"/>
        </w:rPr>
      </w:pPr>
      <w:r w:rsidRPr="00F90EAE">
        <w:rPr>
          <w:color w:val="0070C0"/>
          <w:sz w:val="16"/>
          <w:szCs w:val="16"/>
        </w:rPr>
        <w:t>9 января 1945 авианосцы оперативной группы 38 нанесли удар по японским целям в Формозе и Миякодзима в непогоду, совершив 717 самолето-пролетов и сбросив 212 тонн (192 325 кг) бомб. Они сбили все четыре японских самолета, с которыми столкнулись в воздухе, и разбили еще 42 на земле в обмен на потерю 10 самолетов США. Они также потопили ряд торговых судов и малых военно-морских судов. Это последний из семи дней поддержки оперативной группы 38 при высадке на Лингайен, в течение которой она совершила 3030 боевых вылетов, сбросила 9110 бомб - всего около 700 тонн (635 036 кг) бомб - и потеряла 46 самолетов в боях и 40 самолетов. небоевые причины (20371).</w:t>
      </w:r>
    </w:p>
    <w:p w14:paraId="67DE1429" w14:textId="77777777" w:rsidR="005A1318" w:rsidRPr="00F90EAE" w:rsidRDefault="005A1318" w:rsidP="00F90EAE">
      <w:pPr>
        <w:jc w:val="both"/>
        <w:rPr>
          <w:color w:val="0070C0"/>
          <w:sz w:val="16"/>
          <w:szCs w:val="16"/>
        </w:rPr>
      </w:pPr>
    </w:p>
    <w:p w14:paraId="4DB84428" w14:textId="77777777" w:rsidR="005A1318" w:rsidRPr="00F90EAE" w:rsidRDefault="005A1318" w:rsidP="00F90EAE">
      <w:pPr>
        <w:jc w:val="both"/>
        <w:rPr>
          <w:color w:val="0070C0"/>
          <w:sz w:val="16"/>
          <w:szCs w:val="16"/>
        </w:rPr>
      </w:pPr>
      <w:r w:rsidRPr="00F90EAE">
        <w:rPr>
          <w:color w:val="0070C0"/>
          <w:sz w:val="16"/>
          <w:szCs w:val="16"/>
        </w:rPr>
        <w:t>9 января 1945 B-29, базирующиеся в Куньмине , Китай, атакуют японские суда вдоль побережья Формозы, а базирующиеся на Марианских островах B-29 сбрасывают 122 тонны (110 678 кг) бомб на Японию.</w:t>
      </w:r>
    </w:p>
    <w:p w14:paraId="311B9583" w14:textId="77777777" w:rsidR="005A1318" w:rsidRPr="00F90EAE" w:rsidRDefault="005A1318" w:rsidP="00F90EAE">
      <w:pPr>
        <w:jc w:val="both"/>
        <w:rPr>
          <w:color w:val="0070C0"/>
          <w:sz w:val="16"/>
          <w:szCs w:val="16"/>
        </w:rPr>
      </w:pPr>
    </w:p>
    <w:p w14:paraId="5CE938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Вечером 9 января 1945 произошла драка пилотов камикадзе Ока категории «А» и 215 пилотов категории «D». В первую категорию входили летчики, отобранные в учебных авиачастях и прошедшие специальную летную подготовку на самолетах Ока, а во вторую категорию – все остальные, включая и новичков.</w:t>
      </w:r>
    </w:p>
    <w:p w14:paraId="7A2701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Пока Главный морской штаб занимался проблемой доставки самолетов-снарядов, пилоты корпуса «Боги грома» пребывали в унынии. Дисциплина среди летчиков падала. Внешне пилоты жили достаточно веселой жизнью. Однако ждать смерти оказалось труднее, чем идти на саму смерть. Чтобы поднять дух летчиков корпуса, командование организовало им поездку в Токио.</w:t>
      </w:r>
    </w:p>
    <w:p w14:paraId="458271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Там они побывали у стен императорского дворца, посетили храмы Мэйдзи, Того и Ясукуни.</w:t>
      </w:r>
    </w:p>
    <w:p w14:paraId="3858DF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корпус прибыла большая группа новичков, окончивших 90-дневные учебные курсы офицеров-резервистов. Они получили лишь общую летную подготовку и умели только кое-как совершать горизонтальный полет.</w:t>
      </w:r>
    </w:p>
    <w:p w14:paraId="44747C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Случай для японской армии беспрецедентный. Побоище сумел прекратить только лейтенант О. Соити. Изобретатель самолета-снаряда пользовался среди пилотов-камикадзе непререкаемым авторитетом.</w:t>
      </w:r>
    </w:p>
    <w:p w14:paraId="43CCDB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Разбирательство было долгим и тщательным. Под суд отдали дежурного офицера и двух пилотов. Впоследствии один из них был помилован, а второй встретил окончание войны в тюрьме. Судьба дежурного офицера осталась неизвестной. Командование сделало выводы о регламенте свободного времени летчиков-камикадзе. В середине января для них организовали массовое посещение родственников. 17 января в корпус нанес визит посланник императора, он поблагодарил летчиков за доблестный дух и заверил, что нация будет молиться за их души.</w:t>
      </w:r>
    </w:p>
    <w:p w14:paraId="250737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Между тем ситуация на фронте ухудшалась. Командование приняло решение по возможности максимально рассредоточить корпус. Было намечено к концу января на Формозу, к 50 уже имеющимся, перебазировать еще 30 самолетов-снарядов. Кроме того, 40 реактивных снарядов решили доставить в Сингапур, 50 – на Окинаву и по 27 на авиабазы Каноя и Миядзаки (остров Кюсю). В феврале и марте было запланировано пополнение корпуса самолетами и летчиками из авиабаз Японии и Китая (11686).</w:t>
      </w:r>
    </w:p>
    <w:p w14:paraId="20F95617" w14:textId="77777777" w:rsidR="00C2313B" w:rsidRPr="00F90EAE" w:rsidRDefault="00C2313B" w:rsidP="00F90EAE">
      <w:pPr>
        <w:autoSpaceDE w:val="0"/>
        <w:autoSpaceDN w:val="0"/>
        <w:adjustRightInd w:val="0"/>
        <w:jc w:val="both"/>
        <w:rPr>
          <w:color w:val="000000" w:themeColor="text1"/>
          <w:sz w:val="16"/>
          <w:szCs w:val="16"/>
        </w:rPr>
      </w:pPr>
    </w:p>
    <w:p w14:paraId="2369EAFD" w14:textId="77777777" w:rsidR="002A04DB" w:rsidRPr="00F90EAE" w:rsidRDefault="002A04DB" w:rsidP="00F90EAE">
      <w:pPr>
        <w:jc w:val="both"/>
        <w:rPr>
          <w:color w:val="0070C0"/>
          <w:sz w:val="16"/>
          <w:szCs w:val="16"/>
        </w:rPr>
      </w:pPr>
      <w:r w:rsidRPr="00F90EAE">
        <w:rPr>
          <w:color w:val="0070C0"/>
          <w:sz w:val="16"/>
          <w:szCs w:val="16"/>
        </w:rPr>
        <w:t>9 января 1945 войска США вторгаются на Лусон, высадившись в заливе Лингаен. Днем камикадзе, атакующие корабли в заливе, повреждают линкор USS Mississippi и легкий крейсер USS Columbia (20371).</w:t>
      </w:r>
    </w:p>
    <w:p w14:paraId="3168B065" w14:textId="77777777" w:rsidR="002A04DB" w:rsidRPr="00F90EAE" w:rsidRDefault="002A04DB" w:rsidP="00F90EAE">
      <w:pPr>
        <w:jc w:val="both"/>
        <w:rPr>
          <w:color w:val="0070C0"/>
          <w:sz w:val="16"/>
          <w:szCs w:val="16"/>
        </w:rPr>
      </w:pPr>
    </w:p>
    <w:p w14:paraId="186885C7" w14:textId="77777777" w:rsidR="002D2573" w:rsidRPr="00F90EAE" w:rsidRDefault="002D2573" w:rsidP="00F90EAE">
      <w:pPr>
        <w:jc w:val="both"/>
        <w:rPr>
          <w:color w:val="000000" w:themeColor="text1"/>
          <w:sz w:val="16"/>
          <w:szCs w:val="16"/>
        </w:rPr>
      </w:pPr>
      <w:r w:rsidRPr="00F90EAE">
        <w:rPr>
          <w:bCs/>
          <w:color w:val="000000" w:themeColor="text1"/>
          <w:sz w:val="16"/>
          <w:szCs w:val="16"/>
        </w:rPr>
        <w:t>9 января</w:t>
      </w:r>
      <w:r w:rsidRPr="00F90EAE">
        <w:rPr>
          <w:color w:val="000000" w:themeColor="text1"/>
          <w:sz w:val="16"/>
          <w:szCs w:val="16"/>
        </w:rPr>
        <w:t xml:space="preserve"> в 1945 году подписание представителями английского командования и ЭЛАС соглашения о перемирии (15004).</w:t>
      </w:r>
    </w:p>
    <w:p w14:paraId="7CE0D976" w14:textId="77777777" w:rsidR="002D2573" w:rsidRPr="00F90EAE" w:rsidRDefault="002D2573" w:rsidP="00F90EAE">
      <w:pPr>
        <w:jc w:val="both"/>
        <w:rPr>
          <w:color w:val="000000" w:themeColor="text1"/>
          <w:sz w:val="16"/>
          <w:szCs w:val="16"/>
        </w:rPr>
      </w:pPr>
    </w:p>
    <w:p w14:paraId="5903909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8CE82C3" w14:textId="77777777" w:rsidR="00C2313B" w:rsidRPr="00F90EAE" w:rsidRDefault="00C2313B" w:rsidP="00F90EAE">
      <w:pPr>
        <w:autoSpaceDE w:val="0"/>
        <w:autoSpaceDN w:val="0"/>
        <w:adjustRightInd w:val="0"/>
        <w:jc w:val="both"/>
        <w:rPr>
          <w:iCs/>
          <w:color w:val="000000" w:themeColor="text1"/>
          <w:sz w:val="16"/>
          <w:szCs w:val="16"/>
        </w:rPr>
      </w:pPr>
    </w:p>
    <w:p w14:paraId="257B5C7E" w14:textId="77777777" w:rsidR="002D2573" w:rsidRPr="00F90EAE" w:rsidRDefault="002D2573" w:rsidP="00F90EAE">
      <w:pPr>
        <w:jc w:val="both"/>
        <w:rPr>
          <w:color w:val="000000" w:themeColor="text1"/>
          <w:sz w:val="16"/>
          <w:szCs w:val="16"/>
        </w:rPr>
      </w:pPr>
      <w:r w:rsidRPr="00F90EAE">
        <w:rPr>
          <w:bCs/>
          <w:color w:val="000000" w:themeColor="text1"/>
          <w:sz w:val="16"/>
          <w:szCs w:val="16"/>
        </w:rPr>
        <w:t>10 января</w:t>
      </w:r>
      <w:r w:rsidRPr="00F90EAE">
        <w:rPr>
          <w:color w:val="000000" w:themeColor="text1"/>
          <w:sz w:val="16"/>
          <w:szCs w:val="16"/>
        </w:rPr>
        <w:t xml:space="preserve"> в 1945 году состоялся первый полет истребителя-перехватчика Су-7 с ракетным ускорителем РД-1ХЗ (15005).</w:t>
      </w:r>
    </w:p>
    <w:p w14:paraId="089805C0" w14:textId="77777777" w:rsidR="002D2573" w:rsidRPr="00F90EAE" w:rsidRDefault="002D2573" w:rsidP="00F90EAE">
      <w:pPr>
        <w:jc w:val="both"/>
        <w:rPr>
          <w:color w:val="000000" w:themeColor="text1"/>
          <w:sz w:val="16"/>
          <w:szCs w:val="16"/>
        </w:rPr>
      </w:pPr>
    </w:p>
    <w:p w14:paraId="4B213E29"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10 января 1945 состояние опытного строительства на 21 заводе было следующим:</w:t>
      </w:r>
    </w:p>
    <w:p w14:paraId="555A9990"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Изделие 120 - (Ла-7 облегченный с АШ-83) - строительство закончено. ВГ-82 - снят, т.к. Швецов не разрешил его ставить на этот мотор. Полетный вес - 3132 (по взвешиванию). По данным аэродинамического расчета - макс. Скорость у земли - 6-5 км/час, на форсаже - 649 км/час., на 1 гр. - 698 (на 3800), с форсажем - 708 (на 2200), на 23 гр. - 728 на 7500 м.</w:t>
      </w:r>
    </w:p>
    <w:p w14:paraId="0FC20E05"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Летные испытания задерживаются ввиду неудовлетворительных результатов статиспытаний ламинаризированного крыла (разрушение носков на 70%.</w:t>
      </w:r>
    </w:p>
    <w:p w14:paraId="22A08E17"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Приступлен к сборке 120 дублерр. Предполагаемый срок окончания - конец декабря</w:t>
      </w:r>
    </w:p>
    <w:p w14:paraId="0477CBA5"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Проектирование в КБ</w:t>
      </w:r>
    </w:p>
    <w:p w14:paraId="02CC30C4"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По заданию ГК, ОКБ з-да № 21 занимается разработкой чертежей облегченного с-та по типу 124 изделия с АШ-72. С-т цельнометаллический, крыло ламинаризированное, профиль ЦАГИ-2. Воорружение 2х23мм, возможно 4х23мм (738,34).</w:t>
      </w:r>
    </w:p>
    <w:p w14:paraId="6E778F0A" w14:textId="77777777" w:rsidR="00C2313B" w:rsidRPr="00F90EAE" w:rsidRDefault="00C2313B" w:rsidP="00F90EAE">
      <w:pPr>
        <w:widowControl w:val="0"/>
        <w:autoSpaceDE w:val="0"/>
        <w:autoSpaceDN w:val="0"/>
        <w:adjustRightInd w:val="0"/>
        <w:jc w:val="both"/>
        <w:rPr>
          <w:color w:val="000000" w:themeColor="text1"/>
          <w:sz w:val="16"/>
          <w:szCs w:val="16"/>
        </w:rPr>
      </w:pPr>
    </w:p>
    <w:p w14:paraId="7BB769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января 1945 года А. Шахурин писал письмо зам. председателя СНК Маленкову Г.М.</w:t>
      </w:r>
    </w:p>
    <w:p w14:paraId="4658F4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целях увековечения памяти В.П. Чкалова постановлением СНК № 1357 от 27 декабря 1939 года установлены премии им. Чкалова, присуждаемые 15 декабря каждого года авиаконструкторам за создание лучшего самолета и мотора.</w:t>
      </w:r>
    </w:p>
    <w:p w14:paraId="5DA6E2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годы войны представление авиаконструкторов на соискание премий им. В.П. Чкалова и присуждение премий не производилось.</w:t>
      </w:r>
    </w:p>
    <w:p w14:paraId="6658AC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НКАП ходатайствует о присуждении премий им. Чкалова за 1944 год следующим конструкторам:</w:t>
      </w:r>
    </w:p>
    <w:p w14:paraId="72EF6F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Первой премии – гл. конструктору Яковлеву А.С. за самолет Як-3 с мотором ВК-107А</w:t>
      </w:r>
    </w:p>
    <w:p w14:paraId="66A09B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Второй премии – гл. конструктору Климову В.Я. за мотор ВК-107 А (8959).</w:t>
      </w:r>
    </w:p>
    <w:p w14:paraId="3A6F1FCA" w14:textId="77777777" w:rsidR="00C2313B" w:rsidRPr="00F90EAE" w:rsidRDefault="00C2313B" w:rsidP="00F90EAE">
      <w:pPr>
        <w:autoSpaceDE w:val="0"/>
        <w:autoSpaceDN w:val="0"/>
        <w:adjustRightInd w:val="0"/>
        <w:jc w:val="both"/>
        <w:rPr>
          <w:color w:val="000000" w:themeColor="text1"/>
          <w:sz w:val="16"/>
          <w:szCs w:val="16"/>
        </w:rPr>
      </w:pPr>
    </w:p>
    <w:p w14:paraId="5423529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A233168" w14:textId="77777777" w:rsidR="00C2313B" w:rsidRPr="00F90EAE" w:rsidRDefault="00C2313B" w:rsidP="00F90EAE">
      <w:pPr>
        <w:autoSpaceDE w:val="0"/>
        <w:autoSpaceDN w:val="0"/>
        <w:adjustRightInd w:val="0"/>
        <w:jc w:val="both"/>
        <w:rPr>
          <w:iCs/>
          <w:color w:val="000000" w:themeColor="text1"/>
          <w:sz w:val="16"/>
          <w:szCs w:val="16"/>
        </w:rPr>
      </w:pPr>
    </w:p>
    <w:p w14:paraId="632B4D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10 января 1945 г. в Харькове здесь было выпущено 25 танков Т-44А (по отчету нар</w:t>
      </w:r>
      <w:r w:rsidRPr="00F90EAE">
        <w:rPr>
          <w:color w:val="000000" w:themeColor="text1"/>
          <w:sz w:val="16"/>
          <w:szCs w:val="16"/>
        </w:rPr>
        <w:softHyphen/>
        <w:t>комата — 23 машины приняты заказчиком), поступивших в танковые учебные заведения. С 1 декабря 1944 г. производст</w:t>
      </w:r>
      <w:r w:rsidRPr="00F90EAE">
        <w:rPr>
          <w:color w:val="000000" w:themeColor="text1"/>
          <w:sz w:val="16"/>
          <w:szCs w:val="16"/>
        </w:rPr>
        <w:softHyphen/>
        <w:t>во танков Т-44А, ведущееся в Харькове под названием «Т-44 первой серии», пошло ритмично.</w:t>
      </w:r>
    </w:p>
    <w:p w14:paraId="0F4834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А. Морозов не хотел останавливаться на достигнутом. Так как все испытания обстрелом выявляли на корпусе одну и ту же ахиллесову пяту - башенку водителя (которая на Т-44А хоть и уменьшилась донельзя, но все равно ухудшала прочность лобового листа), то еще в сентябре 1944 г. было конце ноября начались его заводские испытания, продлив</w:t>
      </w:r>
      <w:r w:rsidRPr="00F90EAE">
        <w:rPr>
          <w:color w:val="000000" w:themeColor="text1"/>
          <w:sz w:val="16"/>
          <w:szCs w:val="16"/>
        </w:rPr>
        <w:softHyphen/>
        <w:t>шиеся в течение месяца. Перед новым 1945 г. танк был от</w:t>
      </w:r>
      <w:r w:rsidRPr="00F90EAE">
        <w:rPr>
          <w:color w:val="000000" w:themeColor="text1"/>
          <w:sz w:val="16"/>
          <w:szCs w:val="16"/>
        </w:rPr>
        <w:softHyphen/>
        <w:t>правлен на НИБТполигон для проведения государственных испытаний, которые завершились в целом успешно и 1 мар</w:t>
      </w:r>
      <w:r w:rsidRPr="00F90EAE">
        <w:rPr>
          <w:color w:val="000000" w:themeColor="text1"/>
          <w:sz w:val="16"/>
          <w:szCs w:val="16"/>
        </w:rPr>
        <w:softHyphen/>
        <w:t>та распоряжением по НКТП на заводе № 75 (г. Харьков) на</w:t>
      </w:r>
      <w:r w:rsidRPr="00F90EAE">
        <w:rPr>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F90EAE">
        <w:rPr>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F90EAE">
        <w:rPr>
          <w:color w:val="000000" w:themeColor="text1"/>
          <w:sz w:val="16"/>
          <w:szCs w:val="16"/>
        </w:rPr>
        <w:softHyphen/>
        <w:t>деления, тогда как завод продолжал «вылизывать» их в про</w:t>
      </w:r>
      <w:r w:rsidRPr="00F90EAE">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F90EAE">
        <w:rPr>
          <w:color w:val="000000" w:themeColor="text1"/>
          <w:sz w:val="16"/>
          <w:szCs w:val="16"/>
        </w:rPr>
        <w:softHyphen/>
        <w:t>жена в войска, а в августе танковая часть, оснащенная новы</w:t>
      </w:r>
      <w:r w:rsidRPr="00F90EAE">
        <w:rPr>
          <w:color w:val="000000" w:themeColor="text1"/>
          <w:sz w:val="16"/>
          <w:szCs w:val="16"/>
        </w:rPr>
        <w:softHyphen/>
        <w:t>ми машинами, отправилась на Дальний Восток в действую</w:t>
      </w:r>
      <w:r w:rsidRPr="00F90EAE">
        <w:rPr>
          <w:color w:val="000000" w:themeColor="text1"/>
          <w:sz w:val="16"/>
          <w:szCs w:val="16"/>
        </w:rPr>
        <w:softHyphen/>
        <w:t>щую армию. Но в боях они участия не принимали (11135).</w:t>
      </w:r>
    </w:p>
    <w:p w14:paraId="600C9A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E8120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января 1945 вышло Распоряжение ГКО № 7295. Об изменениях в плане распределения электроэнергии на январь 1945 г. РГАНИР, Фонд ГКО, д. 348, лл. 199 (11012).</w:t>
      </w:r>
    </w:p>
    <w:p w14:paraId="1AC20F88" w14:textId="77777777" w:rsidR="00C2313B" w:rsidRPr="00F90EAE" w:rsidRDefault="00C2313B" w:rsidP="00F90EAE">
      <w:pPr>
        <w:autoSpaceDE w:val="0"/>
        <w:autoSpaceDN w:val="0"/>
        <w:adjustRightInd w:val="0"/>
        <w:jc w:val="both"/>
        <w:rPr>
          <w:color w:val="000000" w:themeColor="text1"/>
          <w:sz w:val="16"/>
          <w:szCs w:val="16"/>
        </w:rPr>
      </w:pPr>
    </w:p>
    <w:p w14:paraId="21DAA628"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января 1945 НКВМФ Аф Кузнецов писал письмо № 46с НКАП А.И.Ш.</w:t>
      </w:r>
    </w:p>
    <w:p w14:paraId="5C250686"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ВМФ проводится большая работа по изучению шумности кораблей и снижению ее с целью повышения тактических качеств кораблей. Для развития этой работы НК ВМФ необходима измерительная акустическая аппаратура. Подобная аппаратура в нескольких комплектах имеется в ЦИАМ им. Баранова, в котором на 1945 г. акустическая тематика значительно сокращена.</w:t>
      </w:r>
    </w:p>
    <w:p w14:paraId="13783326"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Исходя из неотложности проведения необходимых испытаний кораблей ВМФ по шумности, прошу Вашего распоряжения выделить из ЦИАМа во временное пользование на 1945 г. комплект следующей аппаратуры:</w:t>
      </w:r>
    </w:p>
    <w:p w14:paraId="054F04F0"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Спектрометр Сименса</w:t>
      </w:r>
    </w:p>
    <w:p w14:paraId="437D0D48"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Шальдрукмессер</w:t>
      </w:r>
    </w:p>
    <w:p w14:paraId="2F734F6F"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Прибор Неймана</w:t>
      </w:r>
    </w:p>
    <w:p w14:paraId="75BB2BB7"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Анализаторы низкой и звуковой частоты Родмана</w:t>
      </w:r>
    </w:p>
    <w:p w14:paraId="2888F5E1" w14:textId="77777777" w:rsidR="002D2573" w:rsidRPr="00F90EAE" w:rsidRDefault="002D257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Сервисные приборы (2952,4).</w:t>
      </w:r>
    </w:p>
    <w:p w14:paraId="294D8FE2" w14:textId="77777777" w:rsidR="002D2573" w:rsidRPr="00F90EAE" w:rsidRDefault="002D2573" w:rsidP="00F90EAE">
      <w:pPr>
        <w:autoSpaceDE w:val="0"/>
        <w:autoSpaceDN w:val="0"/>
        <w:adjustRightInd w:val="0"/>
        <w:jc w:val="both"/>
        <w:rPr>
          <w:iCs/>
          <w:color w:val="000000" w:themeColor="text1"/>
          <w:sz w:val="16"/>
          <w:szCs w:val="16"/>
        </w:rPr>
      </w:pPr>
    </w:p>
    <w:p w14:paraId="1F958E1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7790303" w14:textId="77777777" w:rsidR="00C2313B" w:rsidRPr="00F90EAE" w:rsidRDefault="00C2313B" w:rsidP="00F90EAE">
      <w:pPr>
        <w:autoSpaceDE w:val="0"/>
        <w:autoSpaceDN w:val="0"/>
        <w:adjustRightInd w:val="0"/>
        <w:jc w:val="both"/>
        <w:rPr>
          <w:iCs/>
          <w:color w:val="000000" w:themeColor="text1"/>
          <w:sz w:val="16"/>
          <w:szCs w:val="16"/>
        </w:rPr>
      </w:pPr>
    </w:p>
    <w:p w14:paraId="08757132" w14:textId="77777777" w:rsidR="002D2573" w:rsidRPr="00F90EAE" w:rsidRDefault="002D2573" w:rsidP="00F90EAE">
      <w:pPr>
        <w:jc w:val="both"/>
        <w:rPr>
          <w:color w:val="000000" w:themeColor="text1"/>
          <w:sz w:val="16"/>
          <w:szCs w:val="16"/>
        </w:rPr>
      </w:pPr>
      <w:r w:rsidRPr="00F90EAE">
        <w:rPr>
          <w:bCs/>
          <w:color w:val="000000" w:themeColor="text1"/>
          <w:sz w:val="16"/>
          <w:szCs w:val="16"/>
        </w:rPr>
        <w:t>10 января</w:t>
      </w:r>
      <w:r w:rsidRPr="00F90EAE">
        <w:rPr>
          <w:color w:val="000000" w:themeColor="text1"/>
          <w:sz w:val="16"/>
          <w:szCs w:val="16"/>
        </w:rPr>
        <w:t xml:space="preserve"> в 1945 году оперативная сводка Совинформбюро:</w:t>
      </w:r>
    </w:p>
    <w:p w14:paraId="1C843C3F"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10 января северо-восточнее города Komapho наши войска с боями заняли населённые пункты Биня, Барт, Нова Вьеска, Пербете, Старая Дяла, Мартош и железнодорожные станции Нова Вьеска, Старая Дяла, Хетин, Комарно-Тэгельня (2 километра северо-восточнее города Комарно). За 9 января в этом районе наши войска взяли в плен более 800 немецких солдат и офицеров.</w:t>
      </w:r>
    </w:p>
    <w:p w14:paraId="1807EF64" w14:textId="77777777" w:rsidR="002D2573" w:rsidRPr="00F90EAE" w:rsidRDefault="002D2573" w:rsidP="00F90EAE">
      <w:pPr>
        <w:jc w:val="both"/>
        <w:rPr>
          <w:color w:val="000000" w:themeColor="text1"/>
          <w:sz w:val="16"/>
          <w:szCs w:val="16"/>
        </w:rPr>
      </w:pPr>
      <w:r w:rsidRPr="00F90EAE">
        <w:rPr>
          <w:color w:val="000000" w:themeColor="text1"/>
          <w:sz w:val="16"/>
          <w:szCs w:val="16"/>
        </w:rPr>
        <w:t>В Будапеште наши войска, сжимая кольцо окружения немецко-венгерской группировки, с боями заняли городские районы Капосташмедьер, Уйпешт, Ракошпа-Лота, Палотауйфалу, Пештуйхель, Кишпешт, Кошутфалва, крупный заводской район Чепель и остров Обудай с судостроительными верфями. За день боя нашими войсками занято в городе свыше тысячи кварталов. В боях в районе города Будапешта за 9 января взято в плен более 3.000 немецких и венгерских солдат и офицеров.</w:t>
      </w:r>
    </w:p>
    <w:p w14:paraId="03779324"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атаки пехоты и танков противника успешно отбивались нашими войсками. За 9 января в этом районе подбито и уничтожено 40 немецких танков.</w:t>
      </w:r>
    </w:p>
    <w:p w14:paraId="1D548E51"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4FE482C8"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Северо-восточнее города Комарно наши войска продолжали наступление. Преодолев сопротивление немцев, советские части овладели крупным населенным пунктом Пербете — важным опорным пунктом вражеской обороны. С боями продвигаясь вперёд, наши танкисты и пехотинцы перерезали железную дорогу Комарно — Новы Замки и ведут бои на подступах к городу Комарно. Противник часто переходит в контратаки, но под ударами советских частей теряет одну позицию за другой. Бойцы Н-ского соединения за день уничтожили до батальона гитлеровцев, 4 самоходных и 11 полевых орудий противника. Подразделение гвардии капитана Паршакова прорвалась через укрепления немцев и атаковало их огневые позиции. Гвардейцы уничтожили вражеских артиллеристов и захватили 3 орудия, 3 тягача и боеприпасы. Развивая успех, гвардейцы совершили обходный маневр и нанесли удар c тыла другой группе противника. В результате боя они захватили ещё 6 орудий, радиостанцию и взяли в плен 60 немецких солдат.</w:t>
      </w:r>
    </w:p>
    <w:p w14:paraId="0C7A05D5" w14:textId="77777777" w:rsidR="002D2573" w:rsidRPr="00F90EAE" w:rsidRDefault="002D2573" w:rsidP="00F90EAE">
      <w:pPr>
        <w:jc w:val="both"/>
        <w:rPr>
          <w:color w:val="000000" w:themeColor="text1"/>
          <w:sz w:val="16"/>
          <w:szCs w:val="16"/>
        </w:rPr>
      </w:pPr>
      <w:r w:rsidRPr="00F90EAE">
        <w:rPr>
          <w:color w:val="000000" w:themeColor="text1"/>
          <w:sz w:val="16"/>
          <w:szCs w:val="16"/>
        </w:rPr>
        <w:t>В Будапеште наши войска вели успешные бои по ликвидации окружённой группировки противника. Советские штурмовые отряды выбивают немцев из укреплений и все теснее и теснее сжимают кольцо окружения. Наши войска в течение дня заняли в городе свыше тысячи кварталов и тем самым очистили от немцев восемь районов Будапешта. В результате упорных боев советские части овладели крупным промышленным районом венгерской столицы Чепель. В этом районе занято 25 различных заводов: оружейных, патронных, моторостроительных и других. Захвачено большое количество вооружения, 10 паровозов, более 100 вагонов, 40 тракторов и другие трофеи. В ходе боёв противник несёт большие потери в людях и технике.</w:t>
      </w:r>
    </w:p>
    <w:p w14:paraId="403E6152" w14:textId="77777777" w:rsidR="002D2573" w:rsidRPr="00F90EAE" w:rsidRDefault="002D2573" w:rsidP="00F90EAE">
      <w:pPr>
        <w:jc w:val="both"/>
        <w:rPr>
          <w:color w:val="000000" w:themeColor="text1"/>
          <w:sz w:val="16"/>
          <w:szCs w:val="16"/>
        </w:rPr>
      </w:pPr>
      <w:r w:rsidRPr="00F90EAE">
        <w:rPr>
          <w:color w:val="000000" w:themeColor="text1"/>
          <w:sz w:val="16"/>
          <w:szCs w:val="16"/>
        </w:rPr>
        <w:t>На острове Обудай сегодня нашими войсками освобождены находившиеся здесь в лагере 500 югославских и польских рабочих.</w:t>
      </w:r>
    </w:p>
    <w:p w14:paraId="34284F52"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противник на различных участках продолжал попытки прорваться на помощь к своей группировке, окружённой в венгерской столице. Наши войска успешно отбивали все атаки немцев. Части Н-ского соединения, действующего западнее Будапешта, за день боёв истребили 1.200 немецких солдат и офицеров, сожгли и подбили 27 немецких танков и 7 бронетранспортёров. На одном танкоопасном участке бойцы Н-ской части сложили скирды соломы. Когда немецкие танки двинулись в атаку, наши бойцы ракетами подожгли скирды. Артиллеристы открыли огонь по хорошо освещенным целям и подбили 6 немецких танков. В другом районе противник предпринял несколько ночных атак. Наши пехотинцы, артиллеристы и бронебойщики встретили гитлеровцев сильным огнём, а затем контрударом отбросили их.</w:t>
      </w:r>
    </w:p>
    <w:p w14:paraId="0977D00A" w14:textId="77777777" w:rsidR="002D2573" w:rsidRPr="00F90EAE" w:rsidRDefault="002D2573" w:rsidP="00F90EAE">
      <w:pPr>
        <w:jc w:val="both"/>
        <w:rPr>
          <w:color w:val="000000" w:themeColor="text1"/>
          <w:sz w:val="16"/>
          <w:szCs w:val="16"/>
        </w:rPr>
      </w:pPr>
      <w:r w:rsidRPr="00F90EAE">
        <w:rPr>
          <w:color w:val="000000" w:themeColor="text1"/>
          <w:sz w:val="16"/>
          <w:szCs w:val="16"/>
        </w:rPr>
        <w:t>Советские бойцы и офицеры проявляют высокое воинское мастерство и доблесть в борьбе с врагом. Стрелковая рота гвардии старшего лейтенанта Заварзина, отражая вражескую атаку, истребила свыше 70 гитлеровцев. Бойцы отделения сержанта Бойченко в рукопашной схватке уничтожили 18 немцев. Орудийный расчёт сержанта Почапина поджёг два немецких танка. Родовые Соколов и Иванов, выбрав удачный момент, бросили гранаты в люк тяжёлого немецкого танка и взорвали его. Экипаж самоходного орудия гвардии лейтенанта Куркова сжёг бронемашину и бронетранспортёр противника. Гвардии сержант Волков пулеметным огнём истребил 10 немцев.</w:t>
      </w:r>
    </w:p>
    <w:p w14:paraId="5474BB8A" w14:textId="77777777" w:rsidR="002D2573" w:rsidRPr="00F90EAE" w:rsidRDefault="002D2573" w:rsidP="00F90EAE">
      <w:pPr>
        <w:jc w:val="both"/>
        <w:rPr>
          <w:color w:val="000000" w:themeColor="text1"/>
          <w:sz w:val="16"/>
          <w:szCs w:val="16"/>
        </w:rPr>
      </w:pPr>
      <w:r w:rsidRPr="00F90EAE">
        <w:rPr>
          <w:color w:val="000000" w:themeColor="text1"/>
          <w:sz w:val="16"/>
          <w:szCs w:val="16"/>
        </w:rPr>
        <w:t>Южнее города Пултуск восемь наших разведчиков во главе со старшим сержантом Аненковым ночью пробрались на территорию, занятую противником, и устроили засаду в роще. Утром в рощу пришли 5 немецких солдат и начали пилить деревья. Разведчики внезапно напали на гитлеровцев. Три немца были убиты, а два взяты в плен. Когда стемнело, разведчики вместе с пленными вернулись в расположение своей части.</w:t>
      </w:r>
    </w:p>
    <w:p w14:paraId="1D4B87E8" w14:textId="77777777" w:rsidR="002D2573" w:rsidRPr="00F90EAE" w:rsidRDefault="002D2573" w:rsidP="00F90EAE">
      <w:pPr>
        <w:jc w:val="both"/>
        <w:rPr>
          <w:color w:val="000000" w:themeColor="text1"/>
          <w:sz w:val="16"/>
          <w:szCs w:val="16"/>
        </w:rPr>
      </w:pPr>
      <w:r w:rsidRPr="00F90EAE">
        <w:rPr>
          <w:color w:val="000000" w:themeColor="text1"/>
          <w:sz w:val="16"/>
          <w:szCs w:val="16"/>
        </w:rPr>
        <w:t>Корабли Краснознаменного Балтийского флота потопили в Балтийском море немецкий транспорт водоизмещением в 10.000 тонн.» (15005).</w:t>
      </w:r>
    </w:p>
    <w:p w14:paraId="75A9A2E6" w14:textId="77777777" w:rsidR="002D2573" w:rsidRPr="00F90EAE" w:rsidRDefault="002D2573" w:rsidP="00F90EAE">
      <w:pPr>
        <w:jc w:val="both"/>
        <w:rPr>
          <w:color w:val="000000" w:themeColor="text1"/>
          <w:sz w:val="16"/>
          <w:szCs w:val="16"/>
        </w:rPr>
      </w:pPr>
    </w:p>
    <w:p w14:paraId="07DB46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января 1945 г. переучивание 78-му гшап на Ил-10 официально закон</w:t>
      </w:r>
      <w:r w:rsidRPr="00F90EAE">
        <w:rPr>
          <w:color w:val="000000" w:themeColor="text1"/>
          <w:sz w:val="16"/>
          <w:szCs w:val="16"/>
        </w:rPr>
        <w:softHyphen/>
        <w:t>чилось, и уже через два дня полк был признан готовым к отправке на фронт. Отбытие назначили на 12 января. Одна</w:t>
      </w:r>
      <w:r w:rsidRPr="00F90EAE">
        <w:rPr>
          <w:color w:val="000000" w:themeColor="text1"/>
          <w:sz w:val="16"/>
          <w:szCs w:val="16"/>
        </w:rPr>
        <w:softHyphen/>
        <w:t>ко долго не было годных к перелету са</w:t>
      </w:r>
      <w:r w:rsidRPr="00F90EAE">
        <w:rPr>
          <w:color w:val="000000" w:themeColor="text1"/>
          <w:sz w:val="16"/>
          <w:szCs w:val="16"/>
        </w:rPr>
        <w:softHyphen/>
        <w:t>молетов, к тому же прлк решили до</w:t>
      </w:r>
      <w:r w:rsidRPr="00F90EAE">
        <w:rPr>
          <w:color w:val="000000" w:themeColor="text1"/>
          <w:sz w:val="16"/>
          <w:szCs w:val="16"/>
        </w:rPr>
        <w:softHyphen/>
        <w:t>укомплектовать «десятками» до полного штата (но этого так и не было сделано). Затем ждали погоду. Только 21 января первый эшелон в составе 20 Ил-2 и 11 Ил-10 смог вылететь к месту назначе</w:t>
      </w:r>
      <w:r w:rsidRPr="00F90EAE">
        <w:rPr>
          <w:color w:val="000000" w:themeColor="text1"/>
          <w:sz w:val="16"/>
          <w:szCs w:val="16"/>
        </w:rPr>
        <w:softHyphen/>
        <w:t>ния. Второй эшелон - 10 экипажей на Ил-10 - отправился на фронт на следу</w:t>
      </w:r>
      <w:r w:rsidRPr="00F90EAE">
        <w:rPr>
          <w:color w:val="000000" w:themeColor="text1"/>
          <w:sz w:val="16"/>
          <w:szCs w:val="16"/>
        </w:rPr>
        <w:softHyphen/>
        <w:t>ющий день. Фактически 78-й полк был не готов к боевым действиям на новом штурмови</w:t>
      </w:r>
      <w:r w:rsidRPr="00F90EAE">
        <w:rPr>
          <w:color w:val="000000" w:themeColor="text1"/>
          <w:sz w:val="16"/>
          <w:szCs w:val="16"/>
        </w:rPr>
        <w:softHyphen/>
        <w:t>ке. В то же время тот летный состав, ко</w:t>
      </w:r>
      <w:r w:rsidRPr="00F90EAE">
        <w:rPr>
          <w:color w:val="000000" w:themeColor="text1"/>
          <w:sz w:val="16"/>
          <w:szCs w:val="16"/>
        </w:rPr>
        <w:softHyphen/>
        <w:t>торый прибыл с передовой на переучи</w:t>
      </w:r>
      <w:r w:rsidRPr="00F90EAE">
        <w:rPr>
          <w:color w:val="000000" w:themeColor="text1"/>
          <w:sz w:val="16"/>
          <w:szCs w:val="16"/>
        </w:rPr>
        <w:softHyphen/>
        <w:t>вание, имел солидный боевой опыт. Не</w:t>
      </w:r>
      <w:r w:rsidRPr="00F90EAE">
        <w:rPr>
          <w:color w:val="000000" w:themeColor="text1"/>
          <w:sz w:val="16"/>
          <w:szCs w:val="16"/>
        </w:rPr>
        <w:softHyphen/>
        <w:t>плохо были подготовлены и молодые пилоты, но на Ил-10 они вообще не ле</w:t>
      </w:r>
      <w:r w:rsidRPr="00F90EAE">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F90EAE">
        <w:rPr>
          <w:color w:val="000000" w:themeColor="text1"/>
          <w:sz w:val="16"/>
          <w:szCs w:val="16"/>
        </w:rPr>
        <w:softHyphen/>
        <w:t>мии и 2-й гшад. Выяснив реальную го</w:t>
      </w:r>
      <w:r w:rsidRPr="00F90EAE">
        <w:rPr>
          <w:color w:val="000000" w:themeColor="text1"/>
          <w:sz w:val="16"/>
          <w:szCs w:val="16"/>
        </w:rPr>
        <w:softHyphen/>
        <w:t>товность полка к боевым действиям, они мудро решили полк в бой пока не вво</w:t>
      </w:r>
      <w:r w:rsidRPr="00F90EAE">
        <w:rPr>
          <w:color w:val="000000" w:themeColor="text1"/>
          <w:sz w:val="16"/>
          <w:szCs w:val="16"/>
        </w:rPr>
        <w:softHyphen/>
        <w:t>дить, дабы не подорвать веру в новый штурмовик и не нести напрасные поте</w:t>
      </w:r>
      <w:r w:rsidRPr="00F90EAE">
        <w:rPr>
          <w:color w:val="000000" w:themeColor="text1"/>
          <w:sz w:val="16"/>
          <w:szCs w:val="16"/>
        </w:rPr>
        <w:softHyphen/>
        <w:t>ри, а дать летчикам полноценно подгото</w:t>
      </w:r>
      <w:r w:rsidRPr="00F90EAE">
        <w:rPr>
          <w:color w:val="000000" w:themeColor="text1"/>
          <w:sz w:val="16"/>
          <w:szCs w:val="16"/>
        </w:rPr>
        <w:softHyphen/>
        <w:t>виться, а также завершить перевооруже</w:t>
      </w:r>
      <w:r w:rsidRPr="00F90EAE">
        <w:rPr>
          <w:color w:val="000000" w:themeColor="text1"/>
          <w:sz w:val="16"/>
          <w:szCs w:val="16"/>
        </w:rPr>
        <w:softHyphen/>
        <w:t>ние части на Ил-10. В течение всего ап</w:t>
      </w:r>
      <w:r w:rsidRPr="00F90EAE">
        <w:rPr>
          <w:color w:val="000000" w:themeColor="text1"/>
          <w:sz w:val="16"/>
          <w:szCs w:val="16"/>
        </w:rPr>
        <w:softHyphen/>
        <w:t>реля в 78-м интенсивно занимались вво</w:t>
      </w:r>
      <w:r w:rsidRPr="00F90EAE">
        <w:rPr>
          <w:color w:val="000000" w:themeColor="text1"/>
          <w:sz w:val="16"/>
          <w:szCs w:val="16"/>
        </w:rPr>
        <w:softHyphen/>
        <w:t>дом в строй молодого летного состава, не прошедшего в Куйбышеве переучива</w:t>
      </w:r>
      <w:r w:rsidRPr="00F90EAE">
        <w:rPr>
          <w:color w:val="000000" w:themeColor="text1"/>
          <w:sz w:val="16"/>
          <w:szCs w:val="16"/>
        </w:rPr>
        <w:softHyphen/>
        <w:t>ния на новый штурмовик, и тренировкой «стариков». В это время во Львове при</w:t>
      </w:r>
      <w:r w:rsidRPr="00F90EAE">
        <w:rPr>
          <w:color w:val="000000" w:themeColor="text1"/>
          <w:sz w:val="16"/>
          <w:szCs w:val="16"/>
        </w:rPr>
        <w:softHyphen/>
        <w:t>нимали и собирали Ил-10. Машины за</w:t>
      </w:r>
      <w:r w:rsidRPr="00F90EAE">
        <w:rPr>
          <w:color w:val="000000" w:themeColor="text1"/>
          <w:sz w:val="16"/>
          <w:szCs w:val="16"/>
        </w:rPr>
        <w:softHyphen/>
        <w:t>тем перегонялись на базу наиболее под</w:t>
      </w:r>
      <w:r w:rsidRPr="00F90EAE">
        <w:rPr>
          <w:color w:val="000000" w:themeColor="text1"/>
          <w:sz w:val="16"/>
          <w:szCs w:val="16"/>
        </w:rPr>
        <w:softHyphen/>
        <w:t>готовленными летчиками полка. Имев</w:t>
      </w:r>
      <w:r w:rsidRPr="00F90EAE">
        <w:rPr>
          <w:color w:val="000000" w:themeColor="text1"/>
          <w:sz w:val="16"/>
          <w:szCs w:val="16"/>
        </w:rPr>
        <w:softHyphen/>
        <w:t>шиеся Ил-2 передавались в другие час</w:t>
      </w:r>
      <w:r w:rsidRPr="00F90EAE">
        <w:rPr>
          <w:color w:val="000000" w:themeColor="text1"/>
          <w:sz w:val="16"/>
          <w:szCs w:val="16"/>
        </w:rPr>
        <w:softHyphen/>
        <w:t>ти дивизии (10681).</w:t>
      </w:r>
    </w:p>
    <w:p w14:paraId="0232E4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56FA0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января 1945 г. до двух пехотных полков, усиленных шестьюдесятью танками и штурмовыми орудиями перешли в наступление на узком участке фронта (железная дорога Мемель - Кретченга). 207-й бронепоезд совместно с нашими частями вначале огнем сдерживал натиск противника, а затем поддерживал контратакующие войска, участвовал в ликвидации Мемельского плацдарма (11148).</w:t>
      </w:r>
    </w:p>
    <w:p w14:paraId="56637046" w14:textId="77777777" w:rsidR="00C2313B" w:rsidRPr="00F90EAE" w:rsidRDefault="00C2313B" w:rsidP="00F90EAE">
      <w:pPr>
        <w:autoSpaceDE w:val="0"/>
        <w:autoSpaceDN w:val="0"/>
        <w:adjustRightInd w:val="0"/>
        <w:jc w:val="both"/>
        <w:rPr>
          <w:color w:val="000000" w:themeColor="text1"/>
          <w:sz w:val="16"/>
          <w:szCs w:val="16"/>
        </w:rPr>
      </w:pPr>
    </w:p>
    <w:p w14:paraId="3FD700AD" w14:textId="77777777" w:rsidR="00D837F1" w:rsidRPr="00F90EAE" w:rsidRDefault="00D837F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641BF1F" w14:textId="77777777" w:rsidR="00D837F1" w:rsidRPr="00F90EAE" w:rsidRDefault="00D837F1" w:rsidP="00F90EAE">
      <w:pPr>
        <w:autoSpaceDE w:val="0"/>
        <w:autoSpaceDN w:val="0"/>
        <w:adjustRightInd w:val="0"/>
        <w:jc w:val="both"/>
        <w:rPr>
          <w:iCs/>
          <w:color w:val="000000" w:themeColor="text1"/>
          <w:sz w:val="16"/>
          <w:szCs w:val="16"/>
        </w:rPr>
      </w:pPr>
    </w:p>
    <w:p w14:paraId="134DCCAD" w14:textId="77777777" w:rsidR="00D837F1" w:rsidRPr="00F90EAE" w:rsidRDefault="00D837F1" w:rsidP="00F90EAE">
      <w:pPr>
        <w:jc w:val="both"/>
        <w:rPr>
          <w:color w:val="000000" w:themeColor="text1"/>
          <w:sz w:val="16"/>
          <w:szCs w:val="16"/>
        </w:rPr>
      </w:pPr>
      <w:r w:rsidRPr="00F90EAE">
        <w:rPr>
          <w:color w:val="000000" w:themeColor="text1"/>
          <w:sz w:val="16"/>
          <w:szCs w:val="16"/>
        </w:rPr>
        <w:t>10 января 1945. В кинотеатрах начался показ первой серии фильма Сергея Эйзенштейна "Иван Грозный" (18688).</w:t>
      </w:r>
    </w:p>
    <w:p w14:paraId="2AB1B61B" w14:textId="77777777" w:rsidR="00D837F1" w:rsidRPr="00F90EAE" w:rsidRDefault="00D837F1" w:rsidP="00F90EAE">
      <w:pPr>
        <w:jc w:val="both"/>
        <w:rPr>
          <w:color w:val="000000" w:themeColor="text1"/>
          <w:sz w:val="16"/>
          <w:szCs w:val="16"/>
        </w:rPr>
      </w:pPr>
    </w:p>
    <w:p w14:paraId="7EA3F88E" w14:textId="77777777" w:rsidR="002D257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3835C1D" w14:textId="77777777" w:rsidR="002D2573" w:rsidRPr="00F90EAE" w:rsidRDefault="002D2573" w:rsidP="00F90EAE">
      <w:pPr>
        <w:autoSpaceDE w:val="0"/>
        <w:autoSpaceDN w:val="0"/>
        <w:adjustRightInd w:val="0"/>
        <w:jc w:val="both"/>
        <w:rPr>
          <w:iCs/>
          <w:color w:val="000000" w:themeColor="text1"/>
          <w:sz w:val="16"/>
          <w:szCs w:val="16"/>
        </w:rPr>
      </w:pPr>
    </w:p>
    <w:p w14:paraId="1171C08B" w14:textId="77777777" w:rsidR="002D2573" w:rsidRPr="00F90EAE" w:rsidRDefault="002D2573" w:rsidP="00F90EAE">
      <w:pPr>
        <w:jc w:val="both"/>
        <w:rPr>
          <w:color w:val="000000" w:themeColor="text1"/>
          <w:sz w:val="16"/>
          <w:szCs w:val="16"/>
        </w:rPr>
      </w:pPr>
      <w:r w:rsidRPr="00F90EAE">
        <w:rPr>
          <w:bCs/>
          <w:color w:val="000000" w:themeColor="text1"/>
          <w:sz w:val="16"/>
          <w:szCs w:val="16"/>
        </w:rPr>
        <w:t>10 января</w:t>
      </w:r>
      <w:r w:rsidRPr="00F90EAE">
        <w:rPr>
          <w:color w:val="000000" w:themeColor="text1"/>
          <w:sz w:val="16"/>
          <w:szCs w:val="16"/>
        </w:rPr>
        <w:t xml:space="preserve"> в 1945 году вертолет «Sikorsky» «R5» установил неофициальный мировой рекорд высоты - 21000 футов (около 7 километров) (15005).</w:t>
      </w:r>
    </w:p>
    <w:p w14:paraId="53F45FA6" w14:textId="77777777" w:rsidR="002D2573" w:rsidRPr="00F90EAE" w:rsidRDefault="002D2573" w:rsidP="00F90EAE">
      <w:pPr>
        <w:jc w:val="both"/>
        <w:rPr>
          <w:color w:val="000000" w:themeColor="text1"/>
          <w:sz w:val="16"/>
          <w:szCs w:val="16"/>
        </w:rPr>
      </w:pPr>
    </w:p>
    <w:p w14:paraId="6106444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87599D4" w14:textId="77777777" w:rsidR="00C2313B" w:rsidRPr="00F90EAE" w:rsidRDefault="00C2313B" w:rsidP="00F90EAE">
      <w:pPr>
        <w:autoSpaceDE w:val="0"/>
        <w:autoSpaceDN w:val="0"/>
        <w:adjustRightInd w:val="0"/>
        <w:jc w:val="both"/>
        <w:rPr>
          <w:iCs/>
          <w:color w:val="000000" w:themeColor="text1"/>
          <w:sz w:val="16"/>
          <w:szCs w:val="16"/>
        </w:rPr>
      </w:pPr>
    </w:p>
    <w:p w14:paraId="629B2B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января 1945 г. состоялся первый полет самолета Су-7 без включения ТК-3. В последующие дни были выполнены еще три полета с включением и выключением ТК-3 на высоте 4500 м, в процессе которых имело место сильное факеление, при</w:t>
      </w:r>
      <w:r w:rsidRPr="00F90EAE">
        <w:rPr>
          <w:color w:val="000000" w:themeColor="text1"/>
          <w:sz w:val="16"/>
          <w:szCs w:val="16"/>
        </w:rPr>
        <w:softHyphen/>
        <w:t>ведшее к обгоранию краски левого борта фюзеляжа, в связи с чем при</w:t>
      </w:r>
      <w:r w:rsidRPr="00F90EAE">
        <w:rPr>
          <w:color w:val="000000" w:themeColor="text1"/>
          <w:sz w:val="16"/>
          <w:szCs w:val="16"/>
        </w:rPr>
        <w:softHyphen/>
        <w:t>шлось значительно удлинить защитный металлический экран фюзеляжа (10668).</w:t>
      </w:r>
    </w:p>
    <w:p w14:paraId="75E218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DD608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января 1945 г. Комаров выполнил первый полет на Су-7. Летные испытания тормо</w:t>
      </w:r>
      <w:r w:rsidRPr="00F90EAE">
        <w:rPr>
          <w:color w:val="000000" w:themeColor="text1"/>
          <w:sz w:val="16"/>
          <w:szCs w:val="16"/>
        </w:rPr>
        <w:softHyphen/>
        <w:t>зились сильным факелением выхлопных патрубков, приводящим к обгоранию краски на бортах фюзеляжа. Все попытки устранить это явление оказались безус</w:t>
      </w:r>
      <w:r w:rsidRPr="00F90EAE">
        <w:rPr>
          <w:color w:val="000000" w:themeColor="text1"/>
          <w:sz w:val="16"/>
          <w:szCs w:val="16"/>
        </w:rPr>
        <w:softHyphen/>
        <w:t>пешными, и в конце-концов турбоком</w:t>
      </w:r>
      <w:r w:rsidRPr="00F90EAE">
        <w:rPr>
          <w:color w:val="000000" w:themeColor="text1"/>
          <w:sz w:val="16"/>
          <w:szCs w:val="16"/>
        </w:rPr>
        <w:softHyphen/>
        <w:t>прессоры отключили от выхлопной системы (10719).</w:t>
      </w:r>
    </w:p>
    <w:p w14:paraId="172290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40F1F5A" w14:textId="77777777" w:rsidR="00D837F1" w:rsidRPr="00F90EAE" w:rsidRDefault="00D837F1" w:rsidP="00F90EAE">
      <w:pPr>
        <w:shd w:val="clear" w:color="auto" w:fill="FFFFFF"/>
        <w:jc w:val="both"/>
        <w:rPr>
          <w:color w:val="000000" w:themeColor="text1"/>
          <w:sz w:val="16"/>
          <w:szCs w:val="16"/>
        </w:rPr>
      </w:pPr>
      <w:r w:rsidRPr="00F90EAE">
        <w:rPr>
          <w:color w:val="000000" w:themeColor="text1"/>
          <w:sz w:val="16"/>
          <w:szCs w:val="16"/>
        </w:rPr>
        <w:t xml:space="preserve">11 января 1945 года состоялся первый полет самолета Су-7 без включения ТК-3. В последующие дни выполнялись еще трн полета с включением и выключением ТК-3 на высоте т 4500 м. Было замечено сильное факеление, приведшее к обго ранию краски левого борта фюзеляжа. В связи с этим при шлось значительно удлинить </w:t>
      </w:r>
      <w:r w:rsidRPr="00F90EAE">
        <w:rPr>
          <w:color w:val="000000" w:themeColor="text1"/>
          <w:sz w:val="16"/>
          <w:szCs w:val="16"/>
        </w:rPr>
        <w:lastRenderedPageBreak/>
        <w:t>защитный металлический экран фюзеляжа. 26 января, по указанию заместителя Наркома П.В. Дементьева, полеты с ТК-3 были прекращены. За это вре мя были выполнены 4 полета, и двигатель АШ-82ФН нарабо тал 6 ч. 40 мин., из них в воздухе 1 ч. 47 мин.</w:t>
      </w:r>
    </w:p>
    <w:p w14:paraId="73327BC9" w14:textId="77777777" w:rsidR="00D837F1" w:rsidRPr="00F90EAE" w:rsidRDefault="00D837F1" w:rsidP="00F90EAE">
      <w:pPr>
        <w:shd w:val="clear" w:color="auto" w:fill="FFFFFF"/>
        <w:jc w:val="both"/>
        <w:rPr>
          <w:color w:val="000000" w:themeColor="text1"/>
          <w:sz w:val="16"/>
          <w:szCs w:val="16"/>
        </w:rPr>
      </w:pPr>
      <w:r w:rsidRPr="00F90EAE">
        <w:rPr>
          <w:color w:val="000000" w:themeColor="text1"/>
          <w:sz w:val="16"/>
          <w:szCs w:val="16"/>
        </w:rPr>
        <w:t>До конца января была доработана выхлопная система без ТК, а затем началась отработка РД-1 на земле. Было произве дено 18 включений РД-1 (19586).</w:t>
      </w:r>
    </w:p>
    <w:p w14:paraId="72C3C1C8" w14:textId="77777777" w:rsidR="00D837F1" w:rsidRPr="00F90EAE" w:rsidRDefault="00D837F1" w:rsidP="00F90EAE">
      <w:pPr>
        <w:shd w:val="clear" w:color="auto" w:fill="FFFFFF"/>
        <w:jc w:val="both"/>
        <w:rPr>
          <w:color w:val="000000" w:themeColor="text1"/>
          <w:sz w:val="16"/>
          <w:szCs w:val="16"/>
        </w:rPr>
      </w:pPr>
    </w:p>
    <w:p w14:paraId="5AEE07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11 января 1945 л Жарунов начал летать на В-29 самостоятельно (3457,120).</w:t>
      </w:r>
    </w:p>
    <w:p w14:paraId="78B2C2B8" w14:textId="77777777" w:rsidR="00C2313B" w:rsidRPr="00F90EAE" w:rsidRDefault="00C2313B" w:rsidP="00F90EAE">
      <w:pPr>
        <w:autoSpaceDE w:val="0"/>
        <w:autoSpaceDN w:val="0"/>
        <w:adjustRightInd w:val="0"/>
        <w:jc w:val="both"/>
        <w:rPr>
          <w:color w:val="000000" w:themeColor="text1"/>
          <w:sz w:val="16"/>
          <w:szCs w:val="16"/>
        </w:rPr>
      </w:pPr>
    </w:p>
    <w:p w14:paraId="7CE512D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B0FAD12" w14:textId="77777777" w:rsidR="00C2313B" w:rsidRPr="00F90EAE" w:rsidRDefault="00C2313B" w:rsidP="00F90EAE">
      <w:pPr>
        <w:autoSpaceDE w:val="0"/>
        <w:autoSpaceDN w:val="0"/>
        <w:adjustRightInd w:val="0"/>
        <w:jc w:val="both"/>
        <w:rPr>
          <w:iCs/>
          <w:color w:val="000000" w:themeColor="text1"/>
          <w:sz w:val="16"/>
          <w:szCs w:val="16"/>
        </w:rPr>
      </w:pPr>
    </w:p>
    <w:p w14:paraId="236F80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января 1945 г. была подготовлена ДОКЛАДНАЯ ЗАПИСКА КОМАНДУЮЩЕГО БТ и МВ КА ЗАМЕСТИТЕЛЮ ПРЕДСЕДАТЕЛЯ ГОСУДАРСТВЕННОГО КОМИТЕТА ОБОРОНЫ Л.П. БЕРИИ ПО РЕЗУЛЬТАТАМ ИСПЫТАНИЙ БРОНЕБОЙНЫХ СНАРЯДОВ № 842077</w:t>
      </w:r>
    </w:p>
    <w:p w14:paraId="07B2DC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Научно-испытательным полигоном ГБТУ КА при стрельбе 76-мм и 85-мм отечественными и 76-мм американскими бронебойными снарядами по броне трофейных танков были получены ре</w:t>
      </w:r>
      <w:r w:rsidRPr="00F90EAE">
        <w:rPr>
          <w:color w:val="000000" w:themeColor="text1"/>
          <w:sz w:val="16"/>
          <w:szCs w:val="16"/>
        </w:rPr>
        <w:softHyphen/>
        <w:t>зультаты, показывающие преимущество американских бронебойных снарядов.</w:t>
      </w:r>
    </w:p>
    <w:p w14:paraId="73BDDA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целью поверки данных, полученных полигоном, специальная комиссия 28 — 30.12.1944 г. про</w:t>
      </w:r>
      <w:r w:rsidRPr="00F90EAE">
        <w:rPr>
          <w:color w:val="000000" w:themeColor="text1"/>
          <w:sz w:val="16"/>
          <w:szCs w:val="16"/>
        </w:rPr>
        <w:softHyphen/>
        <w:t>вела обстрел двух корпусов немецких танков Тигр Н.</w:t>
      </w:r>
    </w:p>
    <w:p w14:paraId="557AB3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Стрельбой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944"/>
      </w:tblGrid>
      <w:tr w:rsidR="00561F31" w:rsidRPr="00F90EAE" w14:paraId="09973853" w14:textId="77777777">
        <w:trPr>
          <w:trHeight w:val="422"/>
        </w:trPr>
        <w:tc>
          <w:tcPr>
            <w:tcW w:w="4598" w:type="dxa"/>
            <w:tcBorders>
              <w:top w:val="single" w:sz="6" w:space="0" w:color="auto"/>
              <w:left w:val="single" w:sz="6" w:space="0" w:color="auto"/>
              <w:bottom w:val="single" w:sz="6" w:space="0" w:color="auto"/>
              <w:right w:val="single" w:sz="6" w:space="0" w:color="auto"/>
            </w:tcBorders>
          </w:tcPr>
          <w:p w14:paraId="5F3201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76-мм американский бронебойный снаряд М-62 при нач. скорости -800 м/с и весе снаряда 6,6 кг.</w:t>
            </w:r>
          </w:p>
          <w:p w14:paraId="1C81F0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3FF8A4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дает сквозное пробитие с дальностей: 2000 м - 82-мм бортовой брони, 1500 м -100-мм лобовой брони.</w:t>
            </w:r>
          </w:p>
          <w:p w14:paraId="40C611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9F4CFCA" w14:textId="77777777">
        <w:trPr>
          <w:trHeight w:val="374"/>
        </w:trPr>
        <w:tc>
          <w:tcPr>
            <w:tcW w:w="4598" w:type="dxa"/>
            <w:tcBorders>
              <w:top w:val="single" w:sz="6" w:space="0" w:color="auto"/>
              <w:left w:val="single" w:sz="6" w:space="0" w:color="auto"/>
              <w:bottom w:val="single" w:sz="6" w:space="0" w:color="auto"/>
              <w:right w:val="single" w:sz="6" w:space="0" w:color="auto"/>
            </w:tcBorders>
          </w:tcPr>
          <w:p w14:paraId="095884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85-мм отечественный бронебойный снаряд "Бр 365к" при нач. скорости -792 м/с и весе снаряда - 9,2 кг.</w:t>
            </w:r>
          </w:p>
          <w:p w14:paraId="23E771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00FA88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дает сквозное пробитие с дальностей: 1000 м - 82-мм бортовой брони, 500 м -100-мм лобовой брони.</w:t>
            </w:r>
          </w:p>
          <w:p w14:paraId="264256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7603B0E" w14:textId="77777777">
        <w:trPr>
          <w:trHeight w:val="442"/>
        </w:trPr>
        <w:tc>
          <w:tcPr>
            <w:tcW w:w="4598" w:type="dxa"/>
            <w:tcBorders>
              <w:top w:val="single" w:sz="6" w:space="0" w:color="auto"/>
              <w:left w:val="single" w:sz="6" w:space="0" w:color="auto"/>
              <w:bottom w:val="single" w:sz="6" w:space="0" w:color="auto"/>
              <w:right w:val="single" w:sz="6" w:space="0" w:color="auto"/>
            </w:tcBorders>
          </w:tcPr>
          <w:p w14:paraId="1FD450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76-мм отечественный бронебойный снаряд "Бр-350б" при нач. скорости 662 м/с и весе снаряда -6,5 кг.</w:t>
            </w:r>
          </w:p>
          <w:p w14:paraId="2F16F9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4944" w:type="dxa"/>
            <w:tcBorders>
              <w:top w:val="single" w:sz="6" w:space="0" w:color="auto"/>
              <w:left w:val="single" w:sz="6" w:space="0" w:color="auto"/>
              <w:bottom w:val="single" w:sz="6" w:space="0" w:color="auto"/>
              <w:right w:val="single" w:sz="6" w:space="0" w:color="auto"/>
            </w:tcBorders>
          </w:tcPr>
          <w:p w14:paraId="1F7BAA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стрельбе по 82-мм бортовой броне: с дальности 100 м - не пробивает, с дальности 200 м - пробивает, с дальности 500 м - дает 50% пробоину.</w:t>
            </w:r>
          </w:p>
          <w:p w14:paraId="664746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21C66E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Комиссия пришла к заключению, что американские 76-мм бронебойные снаряды пробивают броню немецких танков Тигр Н с дальностей в 2-2,5 раза больших по сравнению с бронепробивае-мостью 85-мм отечественных бронебойных снарядов.</w:t>
      </w:r>
    </w:p>
    <w:p w14:paraId="54879D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полигонных испытаниях 22-30.04.1943 г. 85-мм отечественные бронебойные снаряды пока</w:t>
      </w:r>
      <w:r w:rsidRPr="00F90EAE">
        <w:rPr>
          <w:color w:val="000000" w:themeColor="text1"/>
          <w:sz w:val="16"/>
          <w:szCs w:val="16"/>
        </w:rPr>
        <w:softHyphen/>
        <w:t>зывали лучшие результаты, давая сквозные пробоины 82-мм брони с дистанции 1350-1500 м.</w:t>
      </w:r>
    </w:p>
    <w:p w14:paraId="71A57C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Бронепробиваемость 76-мм снаряда отечественного производства не установлена, т.к. получе</w:t>
      </w:r>
      <w:r w:rsidRPr="00F90EAE">
        <w:rPr>
          <w:color w:val="000000" w:themeColor="text1"/>
          <w:sz w:val="16"/>
          <w:szCs w:val="16"/>
        </w:rPr>
        <w:softHyphen/>
        <w:t>ны противоречивые результаты, а именно — броня с меньших дистанций не пробивается, а с боль</w:t>
      </w:r>
      <w:r w:rsidRPr="00F90EAE">
        <w:rPr>
          <w:color w:val="000000" w:themeColor="text1"/>
          <w:sz w:val="16"/>
          <w:szCs w:val="16"/>
        </w:rPr>
        <w:softHyphen/>
        <w:t>ших дистанций пробивается.</w:t>
      </w:r>
    </w:p>
    <w:p w14:paraId="74AD9F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Предположительно, это может быть объяснено неправильной работой взрывателя.</w:t>
      </w:r>
    </w:p>
    <w:p w14:paraId="43BD1A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указаний народному комиссару боеприпасов т. Ванникову и начальнику Главно</w:t>
      </w:r>
      <w:r w:rsidRPr="00F90EAE">
        <w:rPr>
          <w:color w:val="000000" w:themeColor="text1"/>
          <w:sz w:val="16"/>
          <w:szCs w:val="16"/>
        </w:rPr>
        <w:softHyphen/>
        <w:t>го артиллерийского управления маршалу артиллерии т. Яковлеву провести на Главном артиллерий</w:t>
      </w:r>
      <w:r w:rsidRPr="00F90EAE">
        <w:rPr>
          <w:color w:val="000000" w:themeColor="text1"/>
          <w:sz w:val="16"/>
          <w:szCs w:val="16"/>
        </w:rPr>
        <w:softHyphen/>
        <w:t>ском полигоне по совместно разработанной программе и с участием представителей ГБТУ КА сле</w:t>
      </w:r>
      <w:r w:rsidRPr="00F90EAE">
        <w:rPr>
          <w:color w:val="000000" w:themeColor="text1"/>
          <w:sz w:val="16"/>
          <w:szCs w:val="16"/>
        </w:rPr>
        <w:softHyphen/>
        <w:t>дующие стрельбы:</w:t>
      </w:r>
    </w:p>
    <w:p w14:paraId="48BD2E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Сравнительный отстрел 76-мм американских и 85-мм отечественных бронебойных снарядов по эталонным бронеплитам.</w:t>
      </w:r>
    </w:p>
    <w:p w14:paraId="1CB6CB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Специальный отстрел 76-мм отечественных бронебойных снарядов для выявления причин их ненормального действия по броне.</w:t>
      </w:r>
    </w:p>
    <w:p w14:paraId="2BBAE1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обязать НКБ и ГАУ КА улучшить бронепробиваемость 76-мм и 85-мм бронебойных сна</w:t>
      </w:r>
      <w:r w:rsidRPr="00F90EAE">
        <w:rPr>
          <w:color w:val="000000" w:themeColor="text1"/>
          <w:sz w:val="16"/>
          <w:szCs w:val="16"/>
        </w:rPr>
        <w:softHyphen/>
        <w:t>рядов танковых и самоходных орудий.</w:t>
      </w:r>
    </w:p>
    <w:p w14:paraId="3B5A62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15795B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Н. Бирюков</w:t>
      </w:r>
    </w:p>
    <w:p w14:paraId="6BA77F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11369. Д. 709. Л. 3-4. Копия (11420).</w:t>
      </w:r>
    </w:p>
    <w:p w14:paraId="13C4FAAB" w14:textId="77777777" w:rsidR="00C2313B" w:rsidRPr="00F90EAE" w:rsidRDefault="00C2313B" w:rsidP="00F90EAE">
      <w:pPr>
        <w:autoSpaceDE w:val="0"/>
        <w:autoSpaceDN w:val="0"/>
        <w:adjustRightInd w:val="0"/>
        <w:jc w:val="both"/>
        <w:rPr>
          <w:color w:val="000000" w:themeColor="text1"/>
          <w:sz w:val="16"/>
          <w:szCs w:val="16"/>
        </w:rPr>
      </w:pPr>
    </w:p>
    <w:p w14:paraId="06D138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января 1945 г. была подготовлена ДОКЛАДНАЯ ЗАПИСКА ЗАМЕСТИТЕЛЯ НАЧАЛЬНИКА АВТОМОБИЛЬНОГО УПРАВЛЕНИЯ ЗАКАВКАЗСКОГО ФРОНТА НАЧАЛЬНИКУ УПРАВЛЕНИЯ ЭКСПЛУАТАЦИИ И АВТОПЕРЕВОЗОК ГАВТУ КА ПО ОПЫТУ ЭКСПЛУАТАЦИИ ИМПОРТНЫХ АВТОМАШИН ФОРД-6 № 2/089</w:t>
      </w:r>
    </w:p>
    <w:p w14:paraId="236ACF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Опыт и практика эксплуатации импортных автомашин марки Форд-6 (298Т) в войсковых час</w:t>
      </w:r>
      <w:r w:rsidRPr="00F90EAE">
        <w:rPr>
          <w:color w:val="000000" w:themeColor="text1"/>
          <w:sz w:val="16"/>
          <w:szCs w:val="16"/>
        </w:rPr>
        <w:softHyphen/>
        <w:t>тях и соединениях показали, что расход бензина на указанной марке машин не укладывается в нор</w:t>
      </w:r>
      <w:r w:rsidRPr="00F90EAE">
        <w:rPr>
          <w:color w:val="000000" w:themeColor="text1"/>
          <w:sz w:val="16"/>
          <w:szCs w:val="16"/>
        </w:rPr>
        <w:softHyphen/>
        <w:t>му 183 грамма на один километр пробега, установленную приказом начальника тыла КА №6 1944 г.</w:t>
      </w:r>
    </w:p>
    <w:p w14:paraId="53B76F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установления фактического расхода бензина в 4-й армии были проведены испытания на про</w:t>
      </w:r>
      <w:r w:rsidRPr="00F90EAE">
        <w:rPr>
          <w:color w:val="000000" w:themeColor="text1"/>
          <w:sz w:val="16"/>
          <w:szCs w:val="16"/>
        </w:rPr>
        <w:softHyphen/>
        <w:t>тяжении длительного периода как с грузом, так и без груза. Машины, подвергавшиеся испытательно</w:t>
      </w:r>
      <w:r w:rsidRPr="00F90EAE">
        <w:rPr>
          <w:color w:val="000000" w:themeColor="text1"/>
          <w:sz w:val="16"/>
          <w:szCs w:val="16"/>
        </w:rPr>
        <w:softHyphen/>
        <w:t>му пробегу, были вполне технически исправными и имели пробег в среднем от 6 до 12 тысяч миль.</w:t>
      </w:r>
    </w:p>
    <w:p w14:paraId="3F43D2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машин проводились в 524 ОАТБ, 366 ОАТР, автороте подвоза 90-й отдельной стрел</w:t>
      </w:r>
      <w:r w:rsidRPr="00F90EAE">
        <w:rPr>
          <w:color w:val="000000" w:themeColor="text1"/>
          <w:sz w:val="16"/>
          <w:szCs w:val="16"/>
        </w:rPr>
        <w:softHyphen/>
        <w:t>ковой бригады и др. войсковых частях в условиях равнинных и горных дорог.</w:t>
      </w:r>
    </w:p>
    <w:p w14:paraId="27E6E1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Одновременно с этим «Ирансовтрансом» были проведены специальные испытания по опреде</w:t>
      </w:r>
      <w:r w:rsidRPr="00F90EAE">
        <w:rPr>
          <w:color w:val="000000" w:themeColor="text1"/>
          <w:sz w:val="16"/>
          <w:szCs w:val="16"/>
        </w:rPr>
        <w:softHyphen/>
        <w:t>лению расхода горючего новыми машинами Форд-6 при перегонке их по трассе Хорем-Шехер-Джульфа протяженностью 1890 км.</w:t>
      </w:r>
    </w:p>
    <w:p w14:paraId="5F7376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Испытывались 10 машин Форд-6.</w:t>
      </w:r>
    </w:p>
    <w:p w14:paraId="6B8CAA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Результаты испытания сведены в помещаемую таблицу.</w:t>
      </w:r>
    </w:p>
    <w:tbl>
      <w:tblPr>
        <w:tblW w:w="0" w:type="auto"/>
        <w:tblInd w:w="40" w:type="dxa"/>
        <w:tblLayout w:type="fixed"/>
        <w:tblCellMar>
          <w:left w:w="40" w:type="dxa"/>
          <w:right w:w="40" w:type="dxa"/>
        </w:tblCellMar>
        <w:tblLook w:val="0000" w:firstRow="0" w:lastRow="0" w:firstColumn="0" w:lastColumn="0" w:noHBand="0" w:noVBand="0"/>
      </w:tblPr>
      <w:tblGrid>
        <w:gridCol w:w="1498"/>
        <w:gridCol w:w="1421"/>
        <w:gridCol w:w="960"/>
        <w:gridCol w:w="1594"/>
        <w:gridCol w:w="941"/>
        <w:gridCol w:w="1306"/>
        <w:gridCol w:w="979"/>
        <w:gridCol w:w="797"/>
      </w:tblGrid>
      <w:tr w:rsidR="00561F31" w:rsidRPr="00F90EAE" w14:paraId="2554D29E" w14:textId="77777777">
        <w:trPr>
          <w:trHeight w:val="778"/>
        </w:trPr>
        <w:tc>
          <w:tcPr>
            <w:tcW w:w="1498" w:type="dxa"/>
            <w:tcBorders>
              <w:top w:val="single" w:sz="6" w:space="0" w:color="auto"/>
              <w:left w:val="single" w:sz="6" w:space="0" w:color="auto"/>
              <w:bottom w:val="single" w:sz="6" w:space="0" w:color="auto"/>
              <w:right w:val="single" w:sz="6" w:space="0" w:color="auto"/>
            </w:tcBorders>
          </w:tcPr>
          <w:p w14:paraId="0E8158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в/части</w:t>
            </w:r>
          </w:p>
          <w:p w14:paraId="1335EB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68EF6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Марка машины</w:t>
            </w:r>
          </w:p>
          <w:p w14:paraId="05A5B0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08097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Кол-во машин</w:t>
            </w:r>
          </w:p>
          <w:p w14:paraId="2034DD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271A12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Пройд, килом. при исп.</w:t>
            </w:r>
          </w:p>
          <w:p w14:paraId="2E5722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DC9A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Нагрузка в тоннах</w:t>
            </w:r>
          </w:p>
          <w:p w14:paraId="2D25EB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2C3EB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Условия испытания</w:t>
            </w:r>
          </w:p>
          <w:p w14:paraId="514022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47DEB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Расход ГСМ на 1 км пробега от ....до... 'гр</w:t>
            </w:r>
          </w:p>
          <w:p w14:paraId="0DBEC7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AF214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расход ГСМ на1 км пробега</w:t>
            </w:r>
          </w:p>
          <w:p w14:paraId="64016A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6BC7D9E"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4220BC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524 ОАТВ</w:t>
            </w:r>
          </w:p>
          <w:p w14:paraId="7CFCE5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D0BC6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17C712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B306F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1C2876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75B3D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350</w:t>
            </w:r>
          </w:p>
          <w:p w14:paraId="625CCA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CE416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753BC2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10B225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гор. дор.</w:t>
            </w:r>
          </w:p>
          <w:p w14:paraId="1D43BE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AFAE9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235-300</w:t>
            </w:r>
          </w:p>
          <w:p w14:paraId="16E853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9E8D8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267 ^</w:t>
            </w:r>
          </w:p>
          <w:p w14:paraId="24C00C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52E6649" w14:textId="77777777">
        <w:trPr>
          <w:trHeight w:val="202"/>
        </w:trPr>
        <w:tc>
          <w:tcPr>
            <w:tcW w:w="1498" w:type="dxa"/>
            <w:tcBorders>
              <w:top w:val="single" w:sz="6" w:space="0" w:color="auto"/>
              <w:left w:val="single" w:sz="6" w:space="0" w:color="auto"/>
              <w:bottom w:val="single" w:sz="6" w:space="0" w:color="auto"/>
              <w:right w:val="single" w:sz="6" w:space="0" w:color="auto"/>
            </w:tcBorders>
          </w:tcPr>
          <w:p w14:paraId="382C05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366 ОАТР</w:t>
            </w:r>
          </w:p>
          <w:p w14:paraId="0BEDC0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FB09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4BB8D9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0D7C44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7364CB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CE7FD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2660</w:t>
            </w:r>
          </w:p>
          <w:p w14:paraId="6B0459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0E151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7EF342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53AA4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равнин, дороги</w:t>
            </w:r>
          </w:p>
          <w:p w14:paraId="45D3F4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4C5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238-254</w:t>
            </w:r>
          </w:p>
          <w:p w14:paraId="2220F9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61C12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246 П</w:t>
            </w:r>
          </w:p>
          <w:p w14:paraId="5E0086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6CE0D46" w14:textId="77777777">
        <w:trPr>
          <w:trHeight w:val="192"/>
        </w:trPr>
        <w:tc>
          <w:tcPr>
            <w:tcW w:w="1498" w:type="dxa"/>
            <w:tcBorders>
              <w:top w:val="single" w:sz="6" w:space="0" w:color="auto"/>
              <w:left w:val="single" w:sz="6" w:space="0" w:color="auto"/>
              <w:bottom w:val="single" w:sz="6" w:space="0" w:color="auto"/>
              <w:right w:val="single" w:sz="6" w:space="0" w:color="auto"/>
            </w:tcBorders>
          </w:tcPr>
          <w:p w14:paraId="7016DE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 ОСТЕР</w:t>
            </w:r>
          </w:p>
          <w:p w14:paraId="3865A8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EF8AE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153C36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1F433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5061D3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54000D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555</w:t>
            </w:r>
          </w:p>
          <w:p w14:paraId="210FA4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025B7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1,8-2,2</w:t>
            </w:r>
          </w:p>
          <w:p w14:paraId="720391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E041E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равнин, дороги</w:t>
            </w:r>
          </w:p>
          <w:p w14:paraId="4F00D6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E290C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228-269</w:t>
            </w:r>
          </w:p>
          <w:p w14:paraId="37C5F9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40FD24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247 1</w:t>
            </w:r>
          </w:p>
          <w:p w14:paraId="4A6885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FC81B64" w14:textId="77777777">
        <w:trPr>
          <w:trHeight w:val="394"/>
        </w:trPr>
        <w:tc>
          <w:tcPr>
            <w:tcW w:w="1498" w:type="dxa"/>
            <w:tcBorders>
              <w:top w:val="single" w:sz="6" w:space="0" w:color="auto"/>
              <w:left w:val="single" w:sz="6" w:space="0" w:color="auto"/>
              <w:bottom w:val="single" w:sz="6" w:space="0" w:color="auto"/>
              <w:right w:val="single" w:sz="6" w:space="0" w:color="auto"/>
            </w:tcBorders>
          </w:tcPr>
          <w:p w14:paraId="49E002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Ирансовтранс</w:t>
            </w:r>
          </w:p>
          <w:p w14:paraId="31C930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E5CBE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16FC7F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6FB1B6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0FBD57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6DC6D2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1890</w:t>
            </w:r>
          </w:p>
          <w:p w14:paraId="7F85B7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7D091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275BCA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77BDB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горно-равнин. дороги</w:t>
            </w:r>
          </w:p>
          <w:p w14:paraId="3596A5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F5520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218-269</w:t>
            </w:r>
          </w:p>
          <w:p w14:paraId="2FCD1A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nil"/>
            </w:tcBorders>
          </w:tcPr>
          <w:p w14:paraId="6A741E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243 1</w:t>
            </w:r>
          </w:p>
          <w:p w14:paraId="03CD8D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3ACFCF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Таким образом, испытания показали, что во всех случаях машины Форд перерасходуют горю-| чее в пределах 30 — 45%.</w:t>
      </w:r>
    </w:p>
    <w:p w14:paraId="5163CA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согласно месячным отчетам, предоставляемым войсковыми частями и соединени*| ями, перерасход горючего по машинам Форд-6 имеется без исключения во всех частях, дислоцирующихся во всех районах фронта, и составляет 30 — 40% против установленной нормы.</w:t>
      </w:r>
    </w:p>
    <w:p w14:paraId="7C6456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Причиной перерасхода горючего автомашинами Форд-6 является явное несоответствие новленной эксплуатационной нормы расхода бензина на автомашины указанной марки.</w:t>
      </w:r>
    </w:p>
    <w:p w14:paraId="305450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Копии актов препровождают на заключение.</w:t>
      </w:r>
    </w:p>
    <w:p w14:paraId="2DAD24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акты испытаний на 17 листах, только адресату.</w:t>
      </w:r>
    </w:p>
    <w:p w14:paraId="666B07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АВТУ Закавказского фрон полковник Конопле</w:t>
      </w:r>
    </w:p>
    <w:p w14:paraId="33099B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2 отдела АВТУ Закавказского фрон подполковник Шуби</w:t>
      </w:r>
    </w:p>
    <w:p w14:paraId="1294A8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11592. Д. 401. Л. 1,2. Подлинник (11420).</w:t>
      </w:r>
    </w:p>
    <w:p w14:paraId="6C0C86CC" w14:textId="77777777" w:rsidR="00C2313B" w:rsidRPr="00F90EAE" w:rsidRDefault="00C2313B" w:rsidP="00F90EAE">
      <w:pPr>
        <w:autoSpaceDE w:val="0"/>
        <w:autoSpaceDN w:val="0"/>
        <w:adjustRightInd w:val="0"/>
        <w:jc w:val="both"/>
        <w:rPr>
          <w:color w:val="000000" w:themeColor="text1"/>
          <w:sz w:val="16"/>
          <w:szCs w:val="16"/>
        </w:rPr>
      </w:pPr>
    </w:p>
    <w:p w14:paraId="379C401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7296 [О плане заготовки древесины в Киргизской ССР и мобилизации 950 рабочих и 650 возчиков с лошадьми до 1 марта 1945 г.] (7295, 200).</w:t>
      </w:r>
    </w:p>
    <w:p w14:paraId="00536F2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BDADE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7297. О мерах по увеличению в январе 1945 г. вывоза хлебных грузов из Румынии через Черноморские порты. РГАНИР, Фонд ГКО, д. 348, лл. 201 (11012).</w:t>
      </w:r>
    </w:p>
    <w:p w14:paraId="36840C8F" w14:textId="77777777" w:rsidR="00C2313B" w:rsidRPr="00F90EAE" w:rsidRDefault="00C2313B" w:rsidP="00F90EAE">
      <w:pPr>
        <w:autoSpaceDE w:val="0"/>
        <w:autoSpaceDN w:val="0"/>
        <w:adjustRightInd w:val="0"/>
        <w:jc w:val="both"/>
        <w:rPr>
          <w:color w:val="000000" w:themeColor="text1"/>
          <w:sz w:val="16"/>
          <w:szCs w:val="16"/>
        </w:rPr>
      </w:pPr>
    </w:p>
    <w:p w14:paraId="02E288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7298. О мерах по обеспечению сырьем стекольных заводов НКСМ СССР. РГАНИР, Фонд ГКО, д. 348, лл. 202, 203 (11012).</w:t>
      </w:r>
    </w:p>
    <w:p w14:paraId="47935D84" w14:textId="77777777" w:rsidR="00C2313B" w:rsidRPr="00F90EAE" w:rsidRDefault="00C2313B" w:rsidP="00F90EAE">
      <w:pPr>
        <w:autoSpaceDE w:val="0"/>
        <w:autoSpaceDN w:val="0"/>
        <w:adjustRightInd w:val="0"/>
        <w:jc w:val="both"/>
        <w:rPr>
          <w:color w:val="000000" w:themeColor="text1"/>
          <w:sz w:val="16"/>
          <w:szCs w:val="16"/>
        </w:rPr>
      </w:pPr>
    </w:p>
    <w:p w14:paraId="7B777A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7299. Об отгрузке НКСМ автомашин для НКВ, НКМВ, НКЧМ, НКЭС, НКЭП, НКСП, НКТП и НКВРГАНИР, Фонд ГКО, д. РГАНИР, Фонд ГКО, д. 348, лл. 204, 205 (11012).</w:t>
      </w:r>
    </w:p>
    <w:p w14:paraId="31A75B22" w14:textId="77777777" w:rsidR="00C2313B" w:rsidRPr="00F90EAE" w:rsidRDefault="00C2313B" w:rsidP="00F90EAE">
      <w:pPr>
        <w:autoSpaceDE w:val="0"/>
        <w:autoSpaceDN w:val="0"/>
        <w:adjustRightInd w:val="0"/>
        <w:jc w:val="both"/>
        <w:rPr>
          <w:color w:val="000000" w:themeColor="text1"/>
          <w:sz w:val="16"/>
          <w:szCs w:val="16"/>
        </w:rPr>
      </w:pPr>
    </w:p>
    <w:p w14:paraId="7C6004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7300. О мерах по ликвидации последствий взрыва на заводе № 388 НКБ. РГАНИР, Фонд ГКО, д. 348, лл. 206-207 (11012).</w:t>
      </w:r>
    </w:p>
    <w:p w14:paraId="0A9900C9" w14:textId="77777777" w:rsidR="00C2313B" w:rsidRPr="00F90EAE" w:rsidRDefault="00C2313B" w:rsidP="00F90EAE">
      <w:pPr>
        <w:autoSpaceDE w:val="0"/>
        <w:autoSpaceDN w:val="0"/>
        <w:adjustRightInd w:val="0"/>
        <w:jc w:val="both"/>
        <w:rPr>
          <w:color w:val="000000" w:themeColor="text1"/>
          <w:sz w:val="16"/>
          <w:szCs w:val="16"/>
        </w:rPr>
      </w:pPr>
    </w:p>
    <w:p w14:paraId="2ABFDCB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7301 [Об отсрочке до 1 июля 1945 г. переселения рабочих завода № 112 НКТП из помещений Дома культуры и клубов.] (7295, 208).</w:t>
      </w:r>
    </w:p>
    <w:p w14:paraId="1D82123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201D6B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7302 [О возвращении в Ригу эвакуированных членов семей работников наркоматов Латвийской ССР.] (7295, 209).</w:t>
      </w:r>
    </w:p>
    <w:p w14:paraId="3B972BA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172AB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7303. Об отмене п.2 постановления ГКО от 29 декабря 1944 г. № 7234. РГАНИР, Фонд ГКО, д. 348, лл. 210 (11012).</w:t>
      </w:r>
    </w:p>
    <w:p w14:paraId="172CA3DC" w14:textId="77777777" w:rsidR="00C2313B" w:rsidRPr="00F90EAE" w:rsidRDefault="00C2313B" w:rsidP="00F90EAE">
      <w:pPr>
        <w:autoSpaceDE w:val="0"/>
        <w:autoSpaceDN w:val="0"/>
        <w:adjustRightInd w:val="0"/>
        <w:jc w:val="both"/>
        <w:rPr>
          <w:color w:val="000000" w:themeColor="text1"/>
          <w:sz w:val="16"/>
          <w:szCs w:val="16"/>
        </w:rPr>
      </w:pPr>
    </w:p>
    <w:p w14:paraId="2696DBA8"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7304 [О передаче НКВД лабораторно-бумажной машины, полученной из Швеции.] (7295, 211).</w:t>
      </w:r>
    </w:p>
    <w:p w14:paraId="0475805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ACA62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7305. О плане производства металлических звеньев для взлетно-посадочных полос. РГАНИР, Фонд ГКО, д. 348, лл. 212 (11012).</w:t>
      </w:r>
    </w:p>
    <w:p w14:paraId="313D2558" w14:textId="77777777" w:rsidR="00C2313B" w:rsidRPr="00F90EAE" w:rsidRDefault="00C2313B" w:rsidP="00F90EAE">
      <w:pPr>
        <w:autoSpaceDE w:val="0"/>
        <w:autoSpaceDN w:val="0"/>
        <w:adjustRightInd w:val="0"/>
        <w:jc w:val="both"/>
        <w:rPr>
          <w:color w:val="000000" w:themeColor="text1"/>
          <w:sz w:val="16"/>
          <w:szCs w:val="16"/>
        </w:rPr>
      </w:pPr>
    </w:p>
    <w:p w14:paraId="11CE76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вышло Распоряжение ГКО № 7306. Об уменьшении поставок НКО картофеля и овощей из Рязанской, Воронежской обл. и Казахской ССР и передаче излишков для рабочих оборонных предприятий. РГАНИР, Фонд ГКО, д. 348, лл. 213 (11012).</w:t>
      </w:r>
    </w:p>
    <w:p w14:paraId="38AEEFDB" w14:textId="77777777" w:rsidR="00C2313B" w:rsidRPr="00F90EAE" w:rsidRDefault="00C2313B" w:rsidP="00F90EAE">
      <w:pPr>
        <w:autoSpaceDE w:val="0"/>
        <w:autoSpaceDN w:val="0"/>
        <w:adjustRightInd w:val="0"/>
        <w:jc w:val="both"/>
        <w:rPr>
          <w:color w:val="000000" w:themeColor="text1"/>
          <w:sz w:val="16"/>
          <w:szCs w:val="16"/>
        </w:rPr>
      </w:pPr>
    </w:p>
    <w:p w14:paraId="2A34764F" w14:textId="77777777" w:rsidR="002D257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9AB6EB2" w14:textId="77777777" w:rsidR="002D2573" w:rsidRPr="00F90EAE" w:rsidRDefault="002D2573" w:rsidP="00F90EAE">
      <w:pPr>
        <w:autoSpaceDE w:val="0"/>
        <w:autoSpaceDN w:val="0"/>
        <w:adjustRightInd w:val="0"/>
        <w:jc w:val="both"/>
        <w:rPr>
          <w:iCs/>
          <w:color w:val="000000" w:themeColor="text1"/>
          <w:sz w:val="16"/>
          <w:szCs w:val="16"/>
        </w:rPr>
      </w:pPr>
    </w:p>
    <w:p w14:paraId="00C26CC6" w14:textId="77777777" w:rsidR="002D2573" w:rsidRPr="00F90EAE" w:rsidRDefault="002D2573" w:rsidP="00F90EAE">
      <w:pPr>
        <w:jc w:val="both"/>
        <w:rPr>
          <w:color w:val="000000" w:themeColor="text1"/>
          <w:sz w:val="16"/>
          <w:szCs w:val="16"/>
        </w:rPr>
      </w:pPr>
      <w:r w:rsidRPr="00F90EAE">
        <w:rPr>
          <w:bCs/>
          <w:color w:val="000000" w:themeColor="text1"/>
          <w:sz w:val="16"/>
          <w:szCs w:val="16"/>
        </w:rPr>
        <w:t>11 января</w:t>
      </w:r>
      <w:r w:rsidRPr="00F90EAE">
        <w:rPr>
          <w:color w:val="000000" w:themeColor="text1"/>
          <w:sz w:val="16"/>
          <w:szCs w:val="16"/>
        </w:rPr>
        <w:t xml:space="preserve"> в 1945 году оперативная сводка Совинформбюро:</w:t>
      </w:r>
    </w:p>
    <w:p w14:paraId="3DD38DB2"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11 января в районе Будапешта наши войска, продолжая бои по уничтожению окружённой в городе группировки противника, овладели городским районом Андьалфелд, железнодорожной станцией Ракоши, казармами «Пальффи» и «Андраши», железнодорожной товарной станцией, машиностроительным заводом «Ганц Данубе», заняв при этом 150 кварталов. За 10 января в городе Будапеште взято в плен более 1.000 немецких и венгерских солдат и офицеров.</w:t>
      </w:r>
    </w:p>
    <w:p w14:paraId="77EFAE1E"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наши войска отбивали атаки крупных сил пехоты и танков противника и нанесли ему большие потери.</w:t>
      </w:r>
    </w:p>
    <w:p w14:paraId="40F7B301"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799AFBCF" w14:textId="77777777" w:rsidR="002D2573" w:rsidRPr="00F90EAE" w:rsidRDefault="002D2573" w:rsidP="00F90EAE">
      <w:pPr>
        <w:jc w:val="both"/>
        <w:rPr>
          <w:color w:val="000000" w:themeColor="text1"/>
          <w:sz w:val="16"/>
          <w:szCs w:val="16"/>
        </w:rPr>
      </w:pPr>
      <w:r w:rsidRPr="00F90EAE">
        <w:rPr>
          <w:color w:val="000000" w:themeColor="text1"/>
          <w:sz w:val="16"/>
          <w:szCs w:val="16"/>
        </w:rPr>
        <w:t>За 10 января наши войска на всех фронтах подбили и уничтожили 42 немецких танка.</w:t>
      </w:r>
    </w:p>
    <w:p w14:paraId="49BB3B38" w14:textId="77777777" w:rsidR="002D2573" w:rsidRPr="00F90EAE" w:rsidRDefault="002D2573" w:rsidP="00F90EAE">
      <w:pPr>
        <w:jc w:val="both"/>
        <w:rPr>
          <w:color w:val="000000" w:themeColor="text1"/>
          <w:sz w:val="16"/>
          <w:szCs w:val="16"/>
        </w:rPr>
      </w:pPr>
      <w:r w:rsidRPr="00F90EAE">
        <w:rPr>
          <w:color w:val="000000" w:themeColor="text1"/>
          <w:sz w:val="16"/>
          <w:szCs w:val="16"/>
        </w:rPr>
        <w:t>В Будапеште наши войска вели уличные бои. Советские штурмовые отряды, нанося противнику непрерывные удары, очищают от гитлеровцев один квартал за другим. С боями продвигаясь вперёд, наши войска овладели всей северо-восточной частью города, заняв при этом много промышленных предприятий. Особенно ожесточенный бой произошёл за цементный завод. Ночью бойцы подразделения старшего лейтенанта Шкреда очистили ряд кварталов и атаковали завод с запада. Гитлеровцы оказывали упорное сопротивление, но были разгромлены. На другом участке наши гвардейские подразделения блокировали и полностью уничтожили гарнизон противника, оборонявший сортировочную станцию Ракоши. Развивая успех, гвардейцы ворвались в парк Варошлигет и ведут бои с засевшими в нём немцами. В центральной части города наши войска очищают от врага улицу за улицей и, приближаясь к Дунаю, всё теснее сжимают кольцо окружения. Противник, отступая, оставляет на месте боя много трупов своих солдат и офицеров, большое количество оружия и военных материалов. Только одна наша часть за день боёв уничтожила до 400 немецких солдат и офицеров, 5 танков и самоходных орудий. Бойцами этой части захвачено у немцев 12 орудий и миномётов, 26 пулемётов и 3 склада боеприпасов.</w:t>
      </w:r>
    </w:p>
    <w:p w14:paraId="2EDBB979" w14:textId="77777777" w:rsidR="002D2573" w:rsidRPr="00F90EAE" w:rsidRDefault="002D2573" w:rsidP="00F90EAE">
      <w:pPr>
        <w:jc w:val="both"/>
        <w:rPr>
          <w:color w:val="000000" w:themeColor="text1"/>
          <w:sz w:val="16"/>
          <w:szCs w:val="16"/>
        </w:rPr>
      </w:pPr>
      <w:r w:rsidRPr="00F90EAE">
        <w:rPr>
          <w:color w:val="000000" w:themeColor="text1"/>
          <w:sz w:val="16"/>
          <w:szCs w:val="16"/>
        </w:rPr>
        <w:t>Взятые в плен немецкие и венгерские солдаты рассказывают о всё более ухудшающемся положении окружённых в Будапеште немецко-венгерских войск. Немецкое командование не доверяет своим солдатам. Пленные сообщили, что позади их подразделений находились группы эсэсовцев. Этим группам эсэсовцев дан приказ расстреливать каждого, кто попытается сдаться в плен.</w:t>
      </w:r>
    </w:p>
    <w:p w14:paraId="3E672089"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Будапешта танки и пехота противника paно утром атаковали наши позиции. Завязался ожесточённый бой, в ходе которого отдельные высоты неоднократно переходили из рук в руки. К вечеру советские части отбросили гитлеровцев на исходный рубеж. На поле боя осталось много вражеских трупов и разбитой техники противника. Западнее Будапешта немцы возобновили атаки с двух направлений. Советские артиллеристы, бронебойщики и пехотинцы встретили врага мощным огнём. После многочасового боя гитлеровцы отступили. Отдельные группы вражеских пехотинцев, которым удалось приблизиться к нашим позициям, были ликвидированы. По неполным данным, наши войска уничтожили более 900 гитлеровцев. Сожжено и подбито 19 танков и 7 бронетранспортёров противника. Взято в плен 96 немецких солдат и офицеров.</w:t>
      </w:r>
    </w:p>
    <w:p w14:paraId="15580FD9" w14:textId="77777777" w:rsidR="002D2573" w:rsidRPr="00F90EAE" w:rsidRDefault="002D2573" w:rsidP="00F90EAE">
      <w:pPr>
        <w:jc w:val="both"/>
        <w:rPr>
          <w:color w:val="000000" w:themeColor="text1"/>
          <w:sz w:val="16"/>
          <w:szCs w:val="16"/>
        </w:rPr>
      </w:pPr>
      <w:r w:rsidRPr="00F90EAE">
        <w:rPr>
          <w:color w:val="000000" w:themeColor="text1"/>
          <w:sz w:val="16"/>
          <w:szCs w:val="16"/>
        </w:rPr>
        <w:t>В Чехословакии, восточнее города Кошице, противник предпринял разведку боем. Отряд немецкой пехоты и 8 танков ночью двинулись к нашим позициям. Бойцы Н-ской части, подпустив гитлеровцев на близкое расстояние, открыли по ним огонь и подбили 6 танков. Затем наши подразделения перешли в контратаку и завершили разгром вражеского отряда. Захвачены 2 немецких танка и пленные. Уничтожено до роты гитлеровцев.</w:t>
      </w:r>
    </w:p>
    <w:p w14:paraId="6E64B6C5" w14:textId="77777777" w:rsidR="002D2573" w:rsidRPr="00F90EAE" w:rsidRDefault="002D2573" w:rsidP="00F90EAE">
      <w:pPr>
        <w:jc w:val="both"/>
        <w:rPr>
          <w:color w:val="000000" w:themeColor="text1"/>
          <w:sz w:val="16"/>
          <w:szCs w:val="16"/>
        </w:rPr>
      </w:pPr>
      <w:r w:rsidRPr="00F90EAE">
        <w:rPr>
          <w:color w:val="000000" w:themeColor="text1"/>
          <w:sz w:val="16"/>
          <w:szCs w:val="16"/>
        </w:rPr>
        <w:t>Жители районов Чехословакии, освобожденных от немецко-фашистских захватчиков, с радостью встречают Красную Армию. Крестьянка села Ладомирова Мария Бойчикова заявила: «Немцы нас ограбили и выгнали из домов. Население с нетерпением ждало русскую армию. Теперь для нас наступили светлые дни». Житель селения Вагринец Пётр Цындарь сказал: «Вы, русские солдаты и офицеры, делаете святое дело. Вы бьёте немцев и гоните их с нашей земли».</w:t>
      </w:r>
    </w:p>
    <w:p w14:paraId="28C49396" w14:textId="77777777" w:rsidR="002D2573" w:rsidRPr="00F90EAE" w:rsidRDefault="002D2573" w:rsidP="00F90EAE">
      <w:pPr>
        <w:jc w:val="both"/>
        <w:rPr>
          <w:color w:val="000000" w:themeColor="text1"/>
          <w:sz w:val="16"/>
          <w:szCs w:val="16"/>
        </w:rPr>
      </w:pPr>
      <w:r w:rsidRPr="00F90EAE">
        <w:rPr>
          <w:color w:val="000000" w:themeColor="text1"/>
          <w:sz w:val="16"/>
          <w:szCs w:val="16"/>
        </w:rPr>
        <w:t>Из ряда прифронтовых районов немцы насильно угоняли значительную часть населения. В селе Ладомирова было 170 семейств, осталось 30, в селе Вагринец было 40 семейств, а теперь осталась только 20. Из села Крайна-Поляна и Вишни Свидник гитлеровцы угнали поголовно всё население. В городе Прешове немцы устроили сборный лагерь, откуда мирных жителей группами отправляли на каторгу в Германию. Многие жители бежали от немцев и до прихода советских войск скрывались в лесах. Крестьянин села Крайна Чарно 67-летний старик Иван Кривко подошёл к группе советских бойцов, поклонился им, поцеловал каждого и сказал: «Спасибо, братцы». Затем Иван Кривко рассказал: «Немецкие бандиты сожгли мой дом, забрали весь скот и хлеб, а меня и моих детей погнали на запад. По дороге я сбежал от немцев и после скитаний по лесам вернулся в село. Чует моё сердце, что мои дети тоже вернутся из фашистского плена».</w:t>
      </w:r>
    </w:p>
    <w:p w14:paraId="185EAA40" w14:textId="77777777" w:rsidR="002D2573" w:rsidRPr="00F90EAE" w:rsidRDefault="002D2573" w:rsidP="00F90EAE">
      <w:pPr>
        <w:jc w:val="both"/>
        <w:rPr>
          <w:color w:val="000000" w:themeColor="text1"/>
          <w:sz w:val="16"/>
          <w:szCs w:val="16"/>
        </w:rPr>
      </w:pPr>
      <w:r w:rsidRPr="00F90EAE">
        <w:rPr>
          <w:color w:val="000000" w:themeColor="text1"/>
          <w:sz w:val="16"/>
          <w:szCs w:val="16"/>
        </w:rPr>
        <w:t>Население освобожденных районов Чехословакии оказывает частям Красной Армии всемерную помощь.» (15006).</w:t>
      </w:r>
    </w:p>
    <w:p w14:paraId="02B61B0B" w14:textId="77777777" w:rsidR="002D2573" w:rsidRPr="00F90EAE" w:rsidRDefault="002D2573" w:rsidP="00F90EAE">
      <w:pPr>
        <w:jc w:val="both"/>
        <w:rPr>
          <w:color w:val="000000" w:themeColor="text1"/>
          <w:sz w:val="16"/>
          <w:szCs w:val="16"/>
        </w:rPr>
      </w:pPr>
    </w:p>
    <w:p w14:paraId="1F38148B" w14:textId="77777777" w:rsidR="002B4C11" w:rsidRPr="00F90EAE" w:rsidRDefault="002B4C11" w:rsidP="00F90EAE">
      <w:pPr>
        <w:jc w:val="both"/>
        <w:rPr>
          <w:color w:val="000000" w:themeColor="text1"/>
          <w:sz w:val="16"/>
          <w:szCs w:val="16"/>
        </w:rPr>
      </w:pPr>
      <w:r w:rsidRPr="00F90EAE">
        <w:rPr>
          <w:color w:val="000000" w:themeColor="text1"/>
          <w:sz w:val="16"/>
          <w:szCs w:val="16"/>
        </w:rPr>
        <w:t>11 января 1945, когда, по данным командования 1-го Гвардейского танкового корпуса вошли 1453-й САП, 1821-й САП и 382-й ГвСАП, имевшие на вооружении новые САУ,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 </w:t>
      </w:r>
      <w:hyperlink r:id="rId10" w:history="1">
        <w:r w:rsidRPr="00F90EAE">
          <w:rPr>
            <w:rStyle w:val="a5"/>
            <w:color w:val="000000" w:themeColor="text1"/>
            <w:sz w:val="16"/>
            <w:szCs w:val="16"/>
          </w:rPr>
          <w:t>на подступах к Будапешту</w:t>
        </w:r>
      </w:hyperlink>
      <w:r w:rsidRPr="00F90EAE">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4578DE08" w14:textId="77777777" w:rsidR="002B4C11" w:rsidRPr="00F90EAE" w:rsidRDefault="002B4C11" w:rsidP="00F90EAE">
      <w:pPr>
        <w:jc w:val="both"/>
        <w:rPr>
          <w:color w:val="000000" w:themeColor="text1"/>
          <w:sz w:val="16"/>
          <w:szCs w:val="16"/>
        </w:rPr>
      </w:pPr>
      <w:r w:rsidRPr="00F90EAE">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8EAB8F7" w14:textId="77777777" w:rsidR="002B4C11" w:rsidRPr="00F90EAE" w:rsidRDefault="002B4C11" w:rsidP="00F90EAE">
      <w:pPr>
        <w:jc w:val="both"/>
        <w:rPr>
          <w:color w:val="000000" w:themeColor="text1"/>
          <w:sz w:val="16"/>
          <w:szCs w:val="16"/>
        </w:rPr>
      </w:pPr>
      <w:r w:rsidRPr="00F90EAE">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 </w:t>
      </w:r>
      <w:hyperlink r:id="rId11" w:history="1">
        <w:r w:rsidRPr="00F90EAE">
          <w:rPr>
            <w:rStyle w:val="a5"/>
            <w:color w:val="000000" w:themeColor="text1"/>
            <w:sz w:val="16"/>
            <w:szCs w:val="16"/>
          </w:rPr>
          <w:t>в районе озера Балатон</w:t>
        </w:r>
      </w:hyperlink>
      <w:r w:rsidRPr="00F90EAE">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6FC6B052" w14:textId="77777777" w:rsidR="002B4C11" w:rsidRPr="00F90EAE" w:rsidRDefault="002B4C11" w:rsidP="00F90EAE">
      <w:pPr>
        <w:jc w:val="both"/>
        <w:rPr>
          <w:color w:val="000000" w:themeColor="text1"/>
          <w:sz w:val="16"/>
          <w:szCs w:val="16"/>
        </w:rPr>
      </w:pPr>
      <w:r w:rsidRPr="00F90EAE">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34673CC4" w14:textId="77777777" w:rsidR="002B4C11" w:rsidRPr="00F90EAE" w:rsidRDefault="002B4C11" w:rsidP="00F90EAE">
      <w:pPr>
        <w:jc w:val="both"/>
        <w:rPr>
          <w:color w:val="000000" w:themeColor="text1"/>
          <w:sz w:val="16"/>
          <w:szCs w:val="16"/>
        </w:rPr>
      </w:pPr>
      <w:r w:rsidRPr="00F90EAE">
        <w:rPr>
          <w:color w:val="000000" w:themeColor="text1"/>
          <w:sz w:val="16"/>
          <w:szCs w:val="16"/>
        </w:rPr>
        <w:lastRenderedPageBreak/>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7792F228" w14:textId="77777777" w:rsidR="002B4C11" w:rsidRPr="00F90EAE" w:rsidRDefault="002B4C11" w:rsidP="00F90EAE">
      <w:pPr>
        <w:jc w:val="both"/>
        <w:rPr>
          <w:color w:val="000000" w:themeColor="text1"/>
          <w:sz w:val="16"/>
          <w:szCs w:val="16"/>
        </w:rPr>
      </w:pPr>
    </w:p>
    <w:p w14:paraId="5B60E94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FE16537" w14:textId="77777777" w:rsidR="00C2313B" w:rsidRPr="00F90EAE" w:rsidRDefault="00C2313B" w:rsidP="00F90EAE">
      <w:pPr>
        <w:autoSpaceDE w:val="0"/>
        <w:autoSpaceDN w:val="0"/>
        <w:adjustRightInd w:val="0"/>
        <w:jc w:val="both"/>
        <w:rPr>
          <w:iCs/>
          <w:color w:val="000000" w:themeColor="text1"/>
          <w:sz w:val="16"/>
          <w:szCs w:val="16"/>
        </w:rPr>
      </w:pPr>
    </w:p>
    <w:p w14:paraId="74F4B9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года вышел Приказ НКВД СССР №0014 о реорганизации УПВИ НКВД СССР в Главное управлением по военнопленным и интернированным (ГУПВИ) НКВД СССР, в его составе - отдел охраны и режима (8983).</w:t>
      </w:r>
    </w:p>
    <w:p w14:paraId="6B7BAC78" w14:textId="77777777" w:rsidR="00C2313B" w:rsidRPr="00F90EAE" w:rsidRDefault="00C2313B" w:rsidP="00F90EAE">
      <w:pPr>
        <w:autoSpaceDE w:val="0"/>
        <w:autoSpaceDN w:val="0"/>
        <w:adjustRightInd w:val="0"/>
        <w:jc w:val="both"/>
        <w:rPr>
          <w:color w:val="000000" w:themeColor="text1"/>
          <w:sz w:val="16"/>
          <w:szCs w:val="16"/>
        </w:rPr>
      </w:pPr>
    </w:p>
    <w:p w14:paraId="0294784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4D5DE15" w14:textId="77777777" w:rsidR="00C2313B" w:rsidRPr="00F90EAE" w:rsidRDefault="00C2313B" w:rsidP="00F90EAE">
      <w:pPr>
        <w:autoSpaceDE w:val="0"/>
        <w:autoSpaceDN w:val="0"/>
        <w:adjustRightInd w:val="0"/>
        <w:jc w:val="both"/>
        <w:rPr>
          <w:iCs/>
          <w:color w:val="000000" w:themeColor="text1"/>
          <w:sz w:val="16"/>
          <w:szCs w:val="16"/>
        </w:rPr>
      </w:pPr>
    </w:p>
    <w:p w14:paraId="6BB593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как результат ялтинской конференции Ф.Д.Р., У.Черчиль и И.В.С. заявили о намерении создания ООН (1286).</w:t>
      </w:r>
    </w:p>
    <w:p w14:paraId="2FDF54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Приняли решение "...изъять или уничтожить все германское военное оборудование, ликвидировать или взять под контроль всю германскую промышленность, которая могла бы использоваться для военного производства" (1795,87).</w:t>
      </w:r>
    </w:p>
    <w:p w14:paraId="25C1051C" w14:textId="77777777" w:rsidR="00C2313B" w:rsidRPr="00F90EAE" w:rsidRDefault="00C2313B" w:rsidP="00F90EAE">
      <w:pPr>
        <w:autoSpaceDE w:val="0"/>
        <w:autoSpaceDN w:val="0"/>
        <w:adjustRightInd w:val="0"/>
        <w:jc w:val="both"/>
        <w:rPr>
          <w:color w:val="000000" w:themeColor="text1"/>
          <w:sz w:val="16"/>
          <w:szCs w:val="16"/>
        </w:rPr>
      </w:pPr>
    </w:p>
    <w:p w14:paraId="78EDD1D8" w14:textId="77777777" w:rsidR="00C2313B"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56984108" w14:textId="77777777" w:rsidR="00C2313B" w:rsidRPr="00F90EAE" w:rsidRDefault="00C2313B" w:rsidP="00F90EAE">
      <w:pPr>
        <w:autoSpaceDE w:val="0"/>
        <w:autoSpaceDN w:val="0"/>
        <w:adjustRightInd w:val="0"/>
        <w:jc w:val="both"/>
        <w:rPr>
          <w:iCs/>
          <w:color w:val="000000" w:themeColor="text1"/>
          <w:sz w:val="16"/>
          <w:szCs w:val="16"/>
          <w:lang w:val="en-US"/>
        </w:rPr>
      </w:pPr>
    </w:p>
    <w:p w14:paraId="2A03A999" w14:textId="77777777" w:rsidR="002D2573" w:rsidRPr="00F90EAE" w:rsidRDefault="002D257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11 1945 The Bureau of Ordnance assigned the first task on Project Bumblebee to the Applied Physics Laboratory, thus formally establishing the program for development of a ram-jet powered, guided, anti-aircraft weapon from which the Talos, Terrier, and Tartar missiles eventually emerged (1090).</w:t>
      </w:r>
    </w:p>
    <w:p w14:paraId="698E1651" w14:textId="77777777" w:rsidR="002D2573" w:rsidRPr="00F90EAE" w:rsidRDefault="002D2573" w:rsidP="00F90EAE">
      <w:pPr>
        <w:autoSpaceDE w:val="0"/>
        <w:autoSpaceDN w:val="0"/>
        <w:adjustRightInd w:val="0"/>
        <w:jc w:val="both"/>
        <w:rPr>
          <w:color w:val="000000" w:themeColor="text1"/>
          <w:sz w:val="16"/>
          <w:szCs w:val="16"/>
          <w:lang w:val="en-US"/>
        </w:rPr>
      </w:pPr>
    </w:p>
    <w:p w14:paraId="0AFB0310" w14:textId="77777777" w:rsidR="002D2573" w:rsidRPr="00F90EAE" w:rsidRDefault="002D2573"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было выдано задание на зенитные ракеты по проекту Bumblebee, в результате которого появились ракеты Talos, Terrier, and Tartar (1090).</w:t>
      </w:r>
    </w:p>
    <w:p w14:paraId="5AB123EC" w14:textId="77777777" w:rsidR="002D2573" w:rsidRPr="00F90EAE" w:rsidRDefault="002D2573" w:rsidP="00F90EAE">
      <w:pPr>
        <w:autoSpaceDE w:val="0"/>
        <w:autoSpaceDN w:val="0"/>
        <w:adjustRightInd w:val="0"/>
        <w:jc w:val="both"/>
        <w:rPr>
          <w:color w:val="000000" w:themeColor="text1"/>
          <w:sz w:val="16"/>
          <w:szCs w:val="16"/>
        </w:rPr>
      </w:pPr>
    </w:p>
    <w:p w14:paraId="7901CE8F" w14:textId="77777777" w:rsidR="002A04DB" w:rsidRPr="00F90EAE" w:rsidRDefault="002A04DB" w:rsidP="00F90EAE">
      <w:pPr>
        <w:jc w:val="both"/>
        <w:rPr>
          <w:color w:val="0070C0"/>
          <w:sz w:val="16"/>
          <w:szCs w:val="16"/>
        </w:rPr>
      </w:pPr>
      <w:r w:rsidRPr="00F90EAE">
        <w:rPr>
          <w:color w:val="0070C0"/>
          <w:sz w:val="16"/>
          <w:szCs w:val="16"/>
        </w:rPr>
        <w:t>11 января 1945 Б-29 ВВС США, базирующиеся в Калькутте, бомбят Сингапур (20371).</w:t>
      </w:r>
    </w:p>
    <w:p w14:paraId="555E3C49" w14:textId="77777777" w:rsidR="002A04DB" w:rsidRPr="00F90EAE" w:rsidRDefault="002A04DB" w:rsidP="00F90EAE">
      <w:pPr>
        <w:jc w:val="both"/>
        <w:rPr>
          <w:color w:val="0070C0"/>
          <w:sz w:val="16"/>
          <w:szCs w:val="16"/>
        </w:rPr>
      </w:pPr>
    </w:p>
    <w:p w14:paraId="58BC0D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января 1945 коммунисты согласились на перемирие в гражданской войне в Греции (3907,255).</w:t>
      </w:r>
    </w:p>
    <w:p w14:paraId="416DD904" w14:textId="77777777" w:rsidR="00C2313B" w:rsidRPr="00F90EAE" w:rsidRDefault="00C2313B" w:rsidP="00F90EAE">
      <w:pPr>
        <w:autoSpaceDE w:val="0"/>
        <w:autoSpaceDN w:val="0"/>
        <w:adjustRightInd w:val="0"/>
        <w:jc w:val="both"/>
        <w:rPr>
          <w:color w:val="000000" w:themeColor="text1"/>
          <w:sz w:val="16"/>
          <w:szCs w:val="16"/>
        </w:rPr>
      </w:pPr>
    </w:p>
    <w:p w14:paraId="2E2B4B9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DFFB13A" w14:textId="77777777" w:rsidR="00C2313B" w:rsidRPr="00F90EAE" w:rsidRDefault="00C2313B" w:rsidP="00F90EAE">
      <w:pPr>
        <w:autoSpaceDE w:val="0"/>
        <w:autoSpaceDN w:val="0"/>
        <w:adjustRightInd w:val="0"/>
        <w:jc w:val="both"/>
        <w:rPr>
          <w:iCs/>
          <w:color w:val="000000" w:themeColor="text1"/>
          <w:sz w:val="16"/>
          <w:szCs w:val="16"/>
        </w:rPr>
      </w:pPr>
    </w:p>
    <w:p w14:paraId="653EE1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г. Шахурин сообщал Сталину: "Первые 50 самолетов Ер-2, выпущенные с моторами АЧ-30Б первых серий, могут быть использованы для учебно-тренировочных полетов... на первое время в радиусе действия до 500 км.</w:t>
      </w:r>
    </w:p>
    <w:p w14:paraId="386F05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 остальные самолеты могут быть использованы без ограничений в соответствии с тактико-техническими данными... Для перевооружения на Ер-2 выделяется 8-я гвардейская авиадивизия (командир В.Г. Тихонов) в составе 327, 329, 332-го авиационных полков. Первый полк этой дивизии будет подготовлен к 15 марта, второй - к 15 апреля и дивизия в целом к 15 мая 1945 г." (11994).</w:t>
      </w:r>
    </w:p>
    <w:p w14:paraId="1645852B" w14:textId="77777777" w:rsidR="00C2313B" w:rsidRPr="00F90EAE" w:rsidRDefault="00C2313B" w:rsidP="00F90EAE">
      <w:pPr>
        <w:autoSpaceDE w:val="0"/>
        <w:autoSpaceDN w:val="0"/>
        <w:adjustRightInd w:val="0"/>
        <w:jc w:val="both"/>
        <w:rPr>
          <w:color w:val="000000" w:themeColor="text1"/>
          <w:sz w:val="16"/>
          <w:szCs w:val="16"/>
        </w:rPr>
      </w:pPr>
    </w:p>
    <w:p w14:paraId="041276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в первом контрольном полете Ла-7 с АШ-82ФН и 2ТК-3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 (2592,223).</w:t>
      </w:r>
    </w:p>
    <w:p w14:paraId="53520E5D" w14:textId="77777777" w:rsidR="00C2313B" w:rsidRPr="00F90EAE" w:rsidRDefault="00C2313B" w:rsidP="00F90EAE">
      <w:pPr>
        <w:autoSpaceDE w:val="0"/>
        <w:autoSpaceDN w:val="0"/>
        <w:adjustRightInd w:val="0"/>
        <w:jc w:val="both"/>
        <w:rPr>
          <w:color w:val="000000" w:themeColor="text1"/>
          <w:sz w:val="16"/>
          <w:szCs w:val="16"/>
        </w:rPr>
      </w:pPr>
    </w:p>
    <w:p w14:paraId="0DFDF9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Ла-7 с АШ-82ФН и 2ТК-3 был закончен производством и передан на заводские летные испытания (2592,223).</w:t>
      </w:r>
    </w:p>
    <w:p w14:paraId="634D02B2" w14:textId="77777777" w:rsidR="00C2313B" w:rsidRPr="00F90EAE" w:rsidRDefault="00C2313B" w:rsidP="00F90EAE">
      <w:pPr>
        <w:autoSpaceDE w:val="0"/>
        <w:autoSpaceDN w:val="0"/>
        <w:adjustRightInd w:val="0"/>
        <w:jc w:val="both"/>
        <w:rPr>
          <w:color w:val="000000" w:themeColor="text1"/>
          <w:sz w:val="16"/>
          <w:szCs w:val="16"/>
        </w:rPr>
      </w:pPr>
    </w:p>
    <w:p w14:paraId="1C6D4E38" w14:textId="77777777" w:rsidR="002D2573" w:rsidRPr="00F90EAE" w:rsidRDefault="002D2573" w:rsidP="00F90EAE">
      <w:pPr>
        <w:jc w:val="both"/>
        <w:rPr>
          <w:color w:val="000000" w:themeColor="text1"/>
          <w:sz w:val="16"/>
          <w:szCs w:val="16"/>
        </w:rPr>
      </w:pPr>
      <w:r w:rsidRPr="00F90EAE">
        <w:rPr>
          <w:color w:val="000000" w:themeColor="text1"/>
          <w:sz w:val="16"/>
          <w:szCs w:val="16"/>
        </w:rPr>
        <w:t>12 ян</w:t>
      </w:r>
      <w:r w:rsidRPr="00F90EAE">
        <w:rPr>
          <w:color w:val="000000" w:themeColor="text1"/>
          <w:sz w:val="16"/>
          <w:szCs w:val="16"/>
        </w:rPr>
        <w:softHyphen/>
        <w:t>варя 1945 г. состоялся контрольный полёт доработанного высотного Ла-7, однако его пришлось прекратить из-за сильного факеления из турбокомпрессора. После изменения кинематики управления мо</w:t>
      </w:r>
      <w:r w:rsidRPr="00F90EAE">
        <w:rPr>
          <w:color w:val="000000" w:themeColor="text1"/>
          <w:sz w:val="16"/>
          <w:szCs w:val="16"/>
        </w:rPr>
        <w:softHyphen/>
        <w:t>тором, 25 января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F90EAE">
        <w:rPr>
          <w:color w:val="000000" w:themeColor="text1"/>
          <w:sz w:val="16"/>
          <w:szCs w:val="16"/>
        </w:rPr>
        <w:softHyphen/>
        <w:t xml:space="preserve">грамме, но из-за того, что Г.М. Шиянов занимался испытаниями Ла-7 с </w:t>
      </w:r>
      <w:r w:rsidRPr="00F90EAE">
        <w:rPr>
          <w:color w:val="000000" w:themeColor="text1"/>
          <w:sz w:val="16"/>
          <w:szCs w:val="16"/>
          <w:lang w:val="en-US"/>
        </w:rPr>
        <w:t>ALU</w:t>
      </w:r>
      <w:r w:rsidRPr="00F90EAE">
        <w:rPr>
          <w:color w:val="000000" w:themeColor="text1"/>
          <w:sz w:val="16"/>
          <w:szCs w:val="16"/>
        </w:rPr>
        <w:t>-83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F90EAE">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F90EAE">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F90EAE">
        <w:rPr>
          <w:color w:val="000000" w:themeColor="text1"/>
          <w:sz w:val="16"/>
          <w:szCs w:val="16"/>
        </w:rPr>
        <w:softHyphen/>
        <w:t>готовить новое управление.</w:t>
      </w:r>
    </w:p>
    <w:p w14:paraId="285E6EDF" w14:textId="77777777" w:rsidR="002D2573" w:rsidRPr="00F90EAE" w:rsidRDefault="002D2573" w:rsidP="00F90EAE">
      <w:pPr>
        <w:jc w:val="both"/>
        <w:rPr>
          <w:color w:val="000000" w:themeColor="text1"/>
          <w:sz w:val="16"/>
          <w:szCs w:val="16"/>
        </w:rPr>
      </w:pPr>
      <w:r w:rsidRPr="00F90EAE">
        <w:rPr>
          <w:color w:val="000000" w:themeColor="text1"/>
          <w:sz w:val="16"/>
          <w:szCs w:val="16"/>
        </w:rPr>
        <w:t>Назад из ЦИАМ агрегаты получили лишь в мае. На</w:t>
      </w:r>
      <w:r w:rsidRPr="00F90EAE">
        <w:rPr>
          <w:color w:val="000000" w:themeColor="text1"/>
          <w:sz w:val="16"/>
          <w:szCs w:val="16"/>
        </w:rPr>
        <w:softHyphen/>
        <w:t>конец, 14 июня состоялся контрольный полёт до вы</w:t>
      </w:r>
      <w:r w:rsidRPr="00F90EAE">
        <w:rPr>
          <w:color w:val="000000" w:themeColor="text1"/>
          <w:sz w:val="16"/>
          <w:szCs w:val="16"/>
        </w:rPr>
        <w:softHyphen/>
        <w:t>соты 1000 м без включения турбокомпрессора, факел образовался только при посадке, для его устране</w:t>
      </w:r>
      <w:r w:rsidRPr="00F90EAE">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F90EAE">
        <w:rPr>
          <w:color w:val="000000" w:themeColor="text1"/>
          <w:sz w:val="16"/>
          <w:szCs w:val="16"/>
        </w:rPr>
        <w:softHyphen/>
        <w:t>явился факел, его длина достигала 2 м, тогда как в предыдущий раз — 80 см. Снова про</w:t>
      </w:r>
      <w:r w:rsidRPr="00F90EAE">
        <w:rPr>
          <w:color w:val="000000" w:themeColor="text1"/>
          <w:sz w:val="16"/>
          <w:szCs w:val="16"/>
        </w:rPr>
        <w:softHyphen/>
        <w:t xml:space="preserve">извели регулировку мотора. После нескольких дней нелётной погоды для высотных </w:t>
      </w:r>
      <w:r w:rsidRPr="00F90EAE">
        <w:rPr>
          <w:rStyle w:val="aff6"/>
          <w:rFonts w:ascii="Times New Roman" w:eastAsia="Arial Unicode MS" w:hAnsi="Times New Roman" w:cs="Times New Roman"/>
          <w:i w:val="0"/>
          <w:color w:val="000000" w:themeColor="text1"/>
        </w:rPr>
        <w:t>полётов,</w:t>
      </w:r>
      <w:r w:rsidRPr="00F90EAE">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F90EAE">
        <w:rPr>
          <w:color w:val="000000" w:themeColor="text1"/>
          <w:sz w:val="16"/>
          <w:szCs w:val="16"/>
        </w:rPr>
        <w:softHyphen/>
        <w:t>вом полёте задание выполнить не удалось. В повторном полёте, после устранения это</w:t>
      </w:r>
      <w:r w:rsidRPr="00F90EAE">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F90EAE">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90EAE">
        <w:rPr>
          <w:color w:val="000000" w:themeColor="text1"/>
          <w:sz w:val="16"/>
          <w:szCs w:val="16"/>
        </w:rPr>
        <w:softHyphen/>
        <w:t>рофы послужила потеря лётчиком сознания на высоте.</w:t>
      </w:r>
    </w:p>
    <w:p w14:paraId="49D02126" w14:textId="77777777" w:rsidR="002D2573" w:rsidRPr="00F90EAE" w:rsidRDefault="002D2573" w:rsidP="00F90EAE">
      <w:pPr>
        <w:jc w:val="both"/>
        <w:rPr>
          <w:color w:val="000000" w:themeColor="text1"/>
          <w:sz w:val="16"/>
          <w:szCs w:val="16"/>
        </w:rPr>
      </w:pPr>
      <w:r w:rsidRPr="00F90EAE">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90EAE">
        <w:rPr>
          <w:color w:val="000000" w:themeColor="text1"/>
          <w:sz w:val="16"/>
          <w:szCs w:val="16"/>
        </w:rPr>
        <w:softHyphen/>
        <w:t>требителям. На этом закончилось развитие опытных самолётов С.А. Лавочкина с ТК (15830).</w:t>
      </w:r>
    </w:p>
    <w:p w14:paraId="50949B3A" w14:textId="77777777" w:rsidR="002D2573" w:rsidRPr="00F90EAE" w:rsidRDefault="002D2573" w:rsidP="00F90EAE">
      <w:pPr>
        <w:jc w:val="both"/>
        <w:rPr>
          <w:color w:val="000000" w:themeColor="text1"/>
          <w:sz w:val="16"/>
          <w:szCs w:val="16"/>
        </w:rPr>
      </w:pPr>
    </w:p>
    <w:p w14:paraId="7013D3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12 января 1945 года с 5 января на Як-ЗРД, в который переделали самолет №1820 саратовского авиазавода сделали десять огневых пусков РД-1 на земле продолжительностью до 3 минут 15 секунд.</w:t>
      </w:r>
    </w:p>
    <w:p w14:paraId="43A73C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Первый полет Як-ЗРД без включения ЖРД В.Л. Расторгуев выполнил 22 января 1945 года.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01C181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7785C3C9" w14:textId="77777777" w:rsidR="00C2313B" w:rsidRPr="00F90EAE" w:rsidRDefault="00C2313B" w:rsidP="00F90EAE">
      <w:pPr>
        <w:autoSpaceDE w:val="0"/>
        <w:autoSpaceDN w:val="0"/>
        <w:adjustRightInd w:val="0"/>
        <w:jc w:val="both"/>
        <w:rPr>
          <w:color w:val="000000" w:themeColor="text1"/>
          <w:sz w:val="16"/>
          <w:szCs w:val="16"/>
        </w:rPr>
      </w:pPr>
    </w:p>
    <w:p w14:paraId="61B4DC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после обеда немецкий л-и Ханс-Вернер Лерхе облетал Як-3 полка Нормандия Неман на аэродроме под Гросс-Шиманен, куда тот сел несколько дней назад в исправном состоянии. Долетел за 50 мин. до Маркиш-Фридлянд. Машина понравилась. Травил воздух, был плохой обзор, неустойчивость при выпущенных шасси и закрылках. Потом летал 13 января и 14 января продемонстрировал машину Герингу в Ораниенбауме под Берлином (3841).</w:t>
      </w:r>
    </w:p>
    <w:p w14:paraId="7279FDDE" w14:textId="77777777" w:rsidR="00C2313B" w:rsidRPr="00F90EAE" w:rsidRDefault="00C2313B" w:rsidP="00F90EAE">
      <w:pPr>
        <w:autoSpaceDE w:val="0"/>
        <w:autoSpaceDN w:val="0"/>
        <w:adjustRightInd w:val="0"/>
        <w:jc w:val="both"/>
        <w:rPr>
          <w:color w:val="000000" w:themeColor="text1"/>
          <w:sz w:val="16"/>
          <w:szCs w:val="16"/>
        </w:rPr>
      </w:pPr>
    </w:p>
    <w:p w14:paraId="4D0D2289" w14:textId="77777777" w:rsidR="002D2573" w:rsidRPr="00F90EAE" w:rsidRDefault="002D2573" w:rsidP="00F90EAE">
      <w:pPr>
        <w:pStyle w:val="rtejustify"/>
        <w:shd w:val="clear" w:color="auto" w:fill="FFFFFF"/>
        <w:spacing w:before="0" w:after="0"/>
        <w:rPr>
          <w:color w:val="000000" w:themeColor="text1"/>
          <w:sz w:val="16"/>
          <w:szCs w:val="16"/>
        </w:rPr>
      </w:pPr>
      <w:r w:rsidRPr="00F90EAE">
        <w:rPr>
          <w:color w:val="000000" w:themeColor="text1"/>
          <w:sz w:val="16"/>
          <w:szCs w:val="16"/>
        </w:rPr>
        <w:t xml:space="preserve">12 января 1945 </w:t>
      </w:r>
      <w:r w:rsidRPr="00F90EAE">
        <w:rPr>
          <w:rStyle w:val="a7"/>
          <w:b w:val="0"/>
          <w:color w:val="000000" w:themeColor="text1"/>
          <w:sz w:val="16"/>
          <w:szCs w:val="16"/>
        </w:rPr>
        <w:t>Hans-Werner Lerche</w:t>
      </w:r>
      <w:r w:rsidRPr="00F90EAE">
        <w:rPr>
          <w:color w:val="000000" w:themeColor="text1"/>
          <w:sz w:val="16"/>
          <w:szCs w:val="16"/>
        </w:rPr>
        <w:t xml:space="preserve"> после полудня взлетел на Як-3 и полетел в направлении Маркиша-Фридланда. Следовало контролировать маленький проворный самолет очень тщательно, для того чтобы предотвратить возможные "фокусы" во время взлета. Вид вперед из пилотской кабины во время рулежки оставлял желать лучшего из-за закрывающего обзор 12-цилиндрового двигателя с V-образым расположением цилиндров, но в полете видимость была хорошей. Рули слушались малейшего прикосновения, так что приходилось быть осторожным. Тем не менее, двигатель работал без неполадок и это придало решимости лететь на малой высоте. Продолжая "вживаться" в советский истребитель пилот приземлился на аэродроме Маркиш-Фридланд через пятьдесят минут, сев на довольно высокой скорости.</w:t>
      </w:r>
    </w:p>
    <w:p w14:paraId="0BF2C966" w14:textId="77777777" w:rsidR="002D2573" w:rsidRPr="00F90EAE" w:rsidRDefault="002D2573" w:rsidP="00F90EAE">
      <w:pPr>
        <w:pStyle w:val="rtejustify"/>
        <w:shd w:val="clear" w:color="auto" w:fill="FFFFFF"/>
        <w:spacing w:before="0" w:after="0"/>
        <w:rPr>
          <w:color w:val="000000" w:themeColor="text1"/>
          <w:sz w:val="16"/>
          <w:szCs w:val="16"/>
        </w:rPr>
      </w:pPr>
      <w:r w:rsidRPr="00F90EAE">
        <w:rPr>
          <w:color w:val="000000" w:themeColor="text1"/>
          <w:sz w:val="16"/>
          <w:szCs w:val="16"/>
        </w:rPr>
        <w:t>Усилия на рулях при выпуске шасси и закрылках заметно уменьшилась, приземление было немного неустойчивым, но помогло большое расстояние между колесами основного шасси и пилот был вполне доволен гладкой посадкой на три точки. Тем не менее, выруливая со взлетной полосы и пытаясь использовать при этом пневматические тормоза он заметил, что давление сжатого воздуха в системе снизилось до минимума. В кабине был манометр, но, конечно, не было известно, какие показания были бы нормальными, так что пришлось рулить с большой осторожностью (15474).</w:t>
      </w:r>
    </w:p>
    <w:p w14:paraId="7C25098B" w14:textId="77777777" w:rsidR="002D2573" w:rsidRPr="00F90EAE" w:rsidRDefault="002D2573" w:rsidP="00F90EAE">
      <w:pPr>
        <w:pStyle w:val="rtejustify"/>
        <w:shd w:val="clear" w:color="auto" w:fill="FFFFFF"/>
        <w:spacing w:before="0" w:after="0"/>
        <w:rPr>
          <w:color w:val="000000" w:themeColor="text1"/>
          <w:sz w:val="16"/>
          <w:szCs w:val="16"/>
        </w:rPr>
      </w:pPr>
    </w:p>
    <w:p w14:paraId="33EC223E" w14:textId="77777777" w:rsidR="002B4C11" w:rsidRPr="00F90EAE" w:rsidRDefault="002B4C1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4EA6B09" w14:textId="77777777" w:rsidR="002B4C11" w:rsidRPr="00F90EAE" w:rsidRDefault="002B4C11" w:rsidP="00F90EAE">
      <w:pPr>
        <w:autoSpaceDE w:val="0"/>
        <w:autoSpaceDN w:val="0"/>
        <w:adjustRightInd w:val="0"/>
        <w:jc w:val="both"/>
        <w:rPr>
          <w:iCs/>
          <w:color w:val="000000" w:themeColor="text1"/>
          <w:sz w:val="16"/>
          <w:szCs w:val="16"/>
        </w:rPr>
      </w:pPr>
    </w:p>
    <w:p w14:paraId="3018E8D3" w14:textId="77777777" w:rsidR="002B4C11" w:rsidRPr="00F90EAE" w:rsidRDefault="002B4C11" w:rsidP="00F90EAE">
      <w:pPr>
        <w:jc w:val="both"/>
        <w:rPr>
          <w:color w:val="000000" w:themeColor="text1"/>
          <w:sz w:val="16"/>
          <w:szCs w:val="16"/>
        </w:rPr>
      </w:pPr>
      <w:r w:rsidRPr="00F90EAE">
        <w:rPr>
          <w:color w:val="000000" w:themeColor="text1"/>
          <w:sz w:val="16"/>
          <w:szCs w:val="16"/>
        </w:rPr>
        <w:t>12 января 1945 года Техническое совещание рассмотрело проекты модернизации СУ-76, предложенные КБ ГАЗ им. Молотова под руководством Н.А. Астрова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46A8B51A" w14:textId="77777777" w:rsidR="002B4C11" w:rsidRPr="00F90EAE" w:rsidRDefault="002B4C11" w:rsidP="00F90EAE">
      <w:pPr>
        <w:jc w:val="both"/>
        <w:rPr>
          <w:color w:val="000000" w:themeColor="text1"/>
          <w:sz w:val="16"/>
          <w:szCs w:val="16"/>
        </w:rPr>
      </w:pPr>
      <w:r w:rsidRPr="00F90EAE">
        <w:rPr>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138871A" w14:textId="77777777" w:rsidR="002B4C11" w:rsidRPr="00F90EAE" w:rsidRDefault="002B4C11" w:rsidP="00F90EAE">
      <w:pPr>
        <w:jc w:val="both"/>
        <w:rPr>
          <w:color w:val="000000" w:themeColor="text1"/>
          <w:sz w:val="16"/>
          <w:szCs w:val="16"/>
        </w:rPr>
      </w:pPr>
      <w:r w:rsidRPr="00F90EAE">
        <w:rPr>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00A3D66D" w14:textId="77777777" w:rsidR="002B4C11" w:rsidRPr="00F90EAE" w:rsidRDefault="002B4C11" w:rsidP="00F90EAE">
      <w:pPr>
        <w:jc w:val="both"/>
        <w:rPr>
          <w:color w:val="000000" w:themeColor="text1"/>
          <w:sz w:val="16"/>
          <w:szCs w:val="16"/>
        </w:rPr>
      </w:pPr>
      <w:r w:rsidRPr="00F90EAE">
        <w:rPr>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2865CF3E" w14:textId="77777777" w:rsidR="002B4C11" w:rsidRPr="00F90EAE" w:rsidRDefault="002B4C11" w:rsidP="00F90EAE">
      <w:pPr>
        <w:jc w:val="both"/>
        <w:rPr>
          <w:color w:val="000000" w:themeColor="text1"/>
          <w:sz w:val="16"/>
          <w:szCs w:val="16"/>
        </w:rPr>
      </w:pPr>
      <w:r w:rsidRPr="00F90EAE">
        <w:rPr>
          <w:color w:val="000000" w:themeColor="text1"/>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64CC477A" w14:textId="77777777" w:rsidR="002B4C11" w:rsidRPr="00F90EAE" w:rsidRDefault="002B4C11" w:rsidP="00F90EAE">
      <w:pPr>
        <w:jc w:val="both"/>
        <w:rPr>
          <w:color w:val="000000" w:themeColor="text1"/>
          <w:sz w:val="16"/>
          <w:szCs w:val="16"/>
        </w:rPr>
      </w:pPr>
    </w:p>
    <w:p w14:paraId="0BDF036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5915930" w14:textId="77777777" w:rsidR="00C2313B" w:rsidRPr="00F90EAE" w:rsidRDefault="00C2313B" w:rsidP="00F90EAE">
      <w:pPr>
        <w:autoSpaceDE w:val="0"/>
        <w:autoSpaceDN w:val="0"/>
        <w:adjustRightInd w:val="0"/>
        <w:jc w:val="both"/>
        <w:rPr>
          <w:iCs/>
          <w:color w:val="000000" w:themeColor="text1"/>
          <w:sz w:val="16"/>
          <w:szCs w:val="16"/>
        </w:rPr>
      </w:pPr>
    </w:p>
    <w:p w14:paraId="34173BB6" w14:textId="77777777" w:rsidR="002D2573" w:rsidRPr="00F90EAE" w:rsidRDefault="002D2573" w:rsidP="00F90EAE">
      <w:pPr>
        <w:jc w:val="both"/>
        <w:rPr>
          <w:color w:val="000000" w:themeColor="text1"/>
          <w:sz w:val="16"/>
          <w:szCs w:val="16"/>
        </w:rPr>
      </w:pPr>
      <w:r w:rsidRPr="00F90EAE">
        <w:rPr>
          <w:bCs/>
          <w:color w:val="000000" w:themeColor="text1"/>
          <w:sz w:val="16"/>
          <w:szCs w:val="16"/>
        </w:rPr>
        <w:t>12 января</w:t>
      </w:r>
      <w:r w:rsidRPr="00F90EAE">
        <w:rPr>
          <w:color w:val="000000" w:themeColor="text1"/>
          <w:sz w:val="16"/>
          <w:szCs w:val="16"/>
        </w:rPr>
        <w:t xml:space="preserve"> в 1945 году оперативная сводка Совинформбюро:</w:t>
      </w:r>
    </w:p>
    <w:p w14:paraId="7A5A9493" w14:textId="77777777" w:rsidR="002D2573" w:rsidRPr="00F90EAE" w:rsidRDefault="002D2573" w:rsidP="00F90EAE">
      <w:pPr>
        <w:jc w:val="both"/>
        <w:rPr>
          <w:color w:val="000000" w:themeColor="text1"/>
          <w:sz w:val="16"/>
          <w:szCs w:val="16"/>
        </w:rPr>
      </w:pPr>
      <w:r w:rsidRPr="00F90EAE">
        <w:rPr>
          <w:color w:val="000000" w:themeColor="text1"/>
          <w:sz w:val="16"/>
          <w:szCs w:val="16"/>
        </w:rPr>
        <w:t>«В течение 12 января в Будапеште наши войска, сжимая кольцо окружения немецко-венгерской группировки, овладели городским парком Варошлигет, городским кладбищем Керепеши, нефтеочистительным заводом, оружейным заводом, заводом удобрений, заняв при этом 135 кварталов. За 11 января в Будапеште наши войска взяли в плен 1.270 немецких и венгерских солдат и офицеров. На железнодорожной товарной станции захвачено 5.100 вагонов и 31 паровоз.</w:t>
      </w:r>
    </w:p>
    <w:p w14:paraId="0002B4FB" w14:textId="77777777" w:rsidR="002D2573" w:rsidRPr="00F90EAE" w:rsidRDefault="002D2573" w:rsidP="00F90EAE">
      <w:pPr>
        <w:jc w:val="both"/>
        <w:rPr>
          <w:color w:val="000000" w:themeColor="text1"/>
          <w:sz w:val="16"/>
          <w:szCs w:val="16"/>
        </w:rPr>
      </w:pPr>
      <w:r w:rsidRPr="00F90EAE">
        <w:rPr>
          <w:color w:val="000000" w:themeColor="text1"/>
          <w:sz w:val="16"/>
          <w:szCs w:val="16"/>
        </w:rPr>
        <w:t>Северо-западнее и западнее Будапешта атаки пехоты и танков противника отбивались нашими войсками. За 11 января в этом районе подбито и уничтожено 67 немецких танков и сбито 6 самолётов противника.</w:t>
      </w:r>
    </w:p>
    <w:p w14:paraId="02E5B21E" w14:textId="77777777" w:rsidR="002D2573" w:rsidRPr="00F90EAE" w:rsidRDefault="002D257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40EECD77" w14:textId="77777777" w:rsidR="002D2573" w:rsidRPr="00F90EAE" w:rsidRDefault="002D2573" w:rsidP="00F90EAE">
      <w:pPr>
        <w:jc w:val="both"/>
        <w:rPr>
          <w:color w:val="000000" w:themeColor="text1"/>
          <w:sz w:val="16"/>
          <w:szCs w:val="16"/>
        </w:rPr>
      </w:pPr>
      <w:r w:rsidRPr="00F90EAE">
        <w:rPr>
          <w:color w:val="000000" w:themeColor="text1"/>
          <w:sz w:val="16"/>
          <w:szCs w:val="16"/>
        </w:rPr>
        <w:t>В Будапеште наши войска вели бои по ликвидации окружённой группировки противника. Преодолевая многочисленные препятствия, советские подразделения истребляют гитлеровцев, засевших в каменных зданиях. Гвардейские подразделения, ворвавшиеся вчера в центральный парк Варошлигет, успешно продвигались вперёд. Сегодня утром гвардейцы обошли озеро Надь, полностью очистили от врага парк и ведут бои в полутора километрах от Дуная. Другая гвардейская часть заняла стадион и кладбище Керепеши. В юго-восточной части города наши войска заняли несколько десятков кварталов и восемь фабрик и заводов. Артиллеристы офицеров Панченко и Шемякина, выбивая гитлеровцев из укрытий, уничтожили десять вражеских пулеметных точек. Красноармейцы Беляков и Афанасьев первыми ворвались в дом, в котором засели немцы. Огнём из автоматов отважные бойцы уничтожили 10 гитлеровцев, а 14 взяли в плен. Выйдя из дома, Беляков и Афанасьев на перекрёстке улиц захватили исправную немецкую пушку и открыли из неё огонь по огневым точкам противника. Бойцы отделения сержанта Баранова проникли в тыл противника, гранатами и огнём из автоматов истребили 20 гитлеровцев, а 16 немецких солдат взяли в плен.</w:t>
      </w:r>
    </w:p>
    <w:p w14:paraId="244D281F" w14:textId="77777777" w:rsidR="002D2573" w:rsidRPr="00F90EAE" w:rsidRDefault="002D2573" w:rsidP="00F90EAE">
      <w:pPr>
        <w:jc w:val="both"/>
        <w:rPr>
          <w:color w:val="000000" w:themeColor="text1"/>
          <w:sz w:val="16"/>
          <w:szCs w:val="16"/>
        </w:rPr>
      </w:pPr>
      <w:r w:rsidRPr="00F90EAE">
        <w:rPr>
          <w:color w:val="000000" w:themeColor="text1"/>
          <w:sz w:val="16"/>
          <w:szCs w:val="16"/>
        </w:rPr>
        <w:t>Западнее Будапешта утром противник, после сильной артиллерийской подготовки, атаковал наши позиции. На участке в 3— 4 километра немцы бросили в бой до сотни танков и крупные силы моторизированной пехоты. Противник рассчитывал таранным ударом прорвать советскую оборону. Наши артиллеристы, бронебойщики и пехотинцы встретили гитлеровцев сосредоточенным огнем. Завязался ожесточённый бой, длившийся свыше пяти часов. Части Н-ского соединения, отражая вражеские атаки, по неполным данным, уничтожили до 1.000 немцев, сожгли и подбили 35 танков и самоходных орудий.</w:t>
      </w:r>
    </w:p>
    <w:p w14:paraId="3F08EF20" w14:textId="77777777" w:rsidR="002D2573" w:rsidRPr="00F90EAE" w:rsidRDefault="002D2573" w:rsidP="00F90EAE">
      <w:pPr>
        <w:jc w:val="both"/>
        <w:rPr>
          <w:color w:val="000000" w:themeColor="text1"/>
          <w:sz w:val="16"/>
          <w:szCs w:val="16"/>
        </w:rPr>
      </w:pPr>
      <w:r w:rsidRPr="00F90EAE">
        <w:rPr>
          <w:color w:val="000000" w:themeColor="text1"/>
          <w:sz w:val="16"/>
          <w:szCs w:val="16"/>
        </w:rPr>
        <w:t>Наша авиация бомбардировала и штурмовала боевые порядки противника. Уничтожено или повреждено несколько танков, 4 бронетранспортёра, 90 автомашин и 28 полевых орудий.</w:t>
      </w:r>
    </w:p>
    <w:p w14:paraId="54CA6B80" w14:textId="77777777" w:rsidR="002D2573" w:rsidRPr="00F90EAE" w:rsidRDefault="002D2573" w:rsidP="00F90EAE">
      <w:pPr>
        <w:jc w:val="both"/>
        <w:rPr>
          <w:color w:val="000000" w:themeColor="text1"/>
          <w:sz w:val="16"/>
          <w:szCs w:val="16"/>
        </w:rPr>
      </w:pPr>
      <w:r w:rsidRPr="00F90EAE">
        <w:rPr>
          <w:color w:val="000000" w:themeColor="text1"/>
          <w:sz w:val="16"/>
          <w:szCs w:val="16"/>
        </w:rPr>
        <w:t>Советские воины показывают в боях образцы мужества и героизма. Шофёр артиллерийской батареи Василий Фисенко, отражая вражескую контратаку, выдвинулся с пулемётом на фланг и мелким огнём нанёс немцам большой урон. Рядовые Верхов и Зайцев обстреляли отряд противника и заставили его сложить оружие. 37 немцев сдались в плен. Снайперы Скачков и Юрков в последних боях уничтожили по 12 немцев каждый. Гвардии рядовой Севрюков, укрывшись в окопе, подпустил немецкий танк на близкое расстояние и огнём из автомата уничтожил четырёх немецких автоматчиков, находившихся на броне танка. Лётчики-истребители лейтенант Трусов и младший лейтенант Мордовский атаковали группу немецких самолётов «Фокке-Вульф-190». Лейтенант Трусов сбил два вражеских самолёта. Младший лейтенант Мордовский уничтожил один самолёт противника.</w:t>
      </w:r>
    </w:p>
    <w:p w14:paraId="748AF546" w14:textId="77777777" w:rsidR="002D2573" w:rsidRPr="00F90EAE" w:rsidRDefault="002D2573" w:rsidP="00F90EAE">
      <w:pPr>
        <w:jc w:val="both"/>
        <w:rPr>
          <w:color w:val="000000" w:themeColor="text1"/>
          <w:sz w:val="16"/>
          <w:szCs w:val="16"/>
        </w:rPr>
      </w:pPr>
      <w:r w:rsidRPr="00F90EAE">
        <w:rPr>
          <w:color w:val="000000" w:themeColor="text1"/>
          <w:sz w:val="16"/>
          <w:szCs w:val="16"/>
        </w:rPr>
        <w:t>В Восточной Пруссии наши подразделения вели разведку и уничтожили до роты гитлеровцев. Наводчик орудия младший сержант Зайцев несколькими выстрелами поджег немецкий склад боеприпасов. Склад противника взлетел на воздух. Группа девушек-снайперов в составе 8 человек истребила 94 немецких солдата и офицера; 18 из них уничтожено гвардии сержантом Зюзиной.</w:t>
      </w:r>
    </w:p>
    <w:p w14:paraId="11F06E3A" w14:textId="77777777" w:rsidR="002D2573" w:rsidRPr="00F90EAE" w:rsidRDefault="002D2573" w:rsidP="00F90EAE">
      <w:pPr>
        <w:jc w:val="both"/>
        <w:rPr>
          <w:color w:val="000000" w:themeColor="text1"/>
          <w:sz w:val="16"/>
          <w:szCs w:val="16"/>
        </w:rPr>
      </w:pPr>
      <w:r w:rsidRPr="00F90EAE">
        <w:rPr>
          <w:color w:val="000000" w:themeColor="text1"/>
          <w:sz w:val="16"/>
          <w:szCs w:val="16"/>
        </w:rPr>
        <w:t>Венгерские солдаты и гражданские лица, перешедшие на сторону Красной Армии из районов Будапешта, ещё занятых противником, рассказывают о том, что немцы методически разрушают город, взрывают жилые дома и общественные здания. Население прячется в подвалах и погребах.</w:t>
      </w:r>
    </w:p>
    <w:p w14:paraId="4FC15AD8" w14:textId="77777777" w:rsidR="002D2573" w:rsidRPr="00F90EAE" w:rsidRDefault="002D2573" w:rsidP="00F90EAE">
      <w:pPr>
        <w:jc w:val="both"/>
        <w:rPr>
          <w:color w:val="000000" w:themeColor="text1"/>
          <w:sz w:val="16"/>
          <w:szCs w:val="16"/>
        </w:rPr>
      </w:pPr>
      <w:r w:rsidRPr="00F90EAE">
        <w:rPr>
          <w:color w:val="000000" w:themeColor="text1"/>
          <w:sz w:val="16"/>
          <w:szCs w:val="16"/>
        </w:rPr>
        <w:t>Ряд домов гитлеровцы взорвали, даже не предупредив об этом находившихся в них жителей. Под развалинами зданий погибли тысячи людей. Немецкие солдаты опустошают квартиры, грабят ценности и продовольствие. Они творят дикий произвол, расстреливая ни в чём не повинных жителей. Население голодает. Отмечено много случаев смерти на почве голода. Венгры не скрывают своей враждебности к немцам и их пособникам из шайки Салаши. После того, как немецкое командование не приняло советского ультиматума о капитуляции, в городе имели место выступления против немцев. Группа венгров бросила бомбу в ресторан гостиницы «Метрополь», занятой немцами. Взрывом бомбы убито 20 немецких офицеров. Венгерские патриоты укрываются в подвалах и на чердаках и оттуда обстреливают гитлеровцев, проходящих по улицам. В декабре немцы неоднократно пытались эвакуировать население заводского района Будапешта — Чепель. Население категорически отказалось покинуть родные места. Немцы и салашисты стали силой выгонять жителей из домов, но встретили вооружённый отпор. У многих рабочих были припрятаны автоматы, пистолеты и винтовки. Пустив в ход оружие, рабочие причинили немцам и салашитам значительные потери.» (15007).</w:t>
      </w:r>
    </w:p>
    <w:p w14:paraId="47C6FE04" w14:textId="77777777" w:rsidR="002D2573" w:rsidRPr="00F90EAE" w:rsidRDefault="002D2573" w:rsidP="00F90EAE">
      <w:pPr>
        <w:jc w:val="both"/>
        <w:rPr>
          <w:color w:val="000000" w:themeColor="text1"/>
          <w:sz w:val="16"/>
          <w:szCs w:val="16"/>
        </w:rPr>
      </w:pPr>
    </w:p>
    <w:p w14:paraId="380BA85C" w14:textId="77777777" w:rsidR="0084047D" w:rsidRPr="00F90EAE" w:rsidRDefault="0084047D" w:rsidP="00F90EAE">
      <w:pPr>
        <w:jc w:val="both"/>
        <w:rPr>
          <w:color w:val="000000" w:themeColor="text1"/>
          <w:sz w:val="16"/>
          <w:szCs w:val="16"/>
        </w:rPr>
      </w:pPr>
      <w:r w:rsidRPr="00F90EAE">
        <w:rPr>
          <w:rStyle w:val="107"/>
          <w:rFonts w:eastAsiaTheme="minorHAnsi"/>
          <w:color w:val="000000" w:themeColor="text1"/>
          <w:sz w:val="16"/>
          <w:szCs w:val="16"/>
        </w:rPr>
        <w:t>12 января 1945, уже через два дня после завершения учебы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3246A126" w14:textId="77777777" w:rsidR="0084047D" w:rsidRPr="00F90EAE" w:rsidRDefault="0084047D" w:rsidP="00F90EAE">
      <w:pPr>
        <w:jc w:val="both"/>
        <w:rPr>
          <w:color w:val="000000" w:themeColor="text1"/>
          <w:sz w:val="16"/>
          <w:szCs w:val="16"/>
        </w:rPr>
      </w:pPr>
      <w:r w:rsidRPr="00F90EAE">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5AA0EC78" w14:textId="77777777" w:rsidR="0084047D" w:rsidRPr="00F90EAE" w:rsidRDefault="0084047D" w:rsidP="00F90EAE">
      <w:pPr>
        <w:jc w:val="both"/>
        <w:rPr>
          <w:color w:val="000000" w:themeColor="text1"/>
          <w:sz w:val="16"/>
          <w:szCs w:val="16"/>
        </w:rPr>
      </w:pPr>
    </w:p>
    <w:p w14:paraId="6A9CA43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января 1945 советские войска раньше срока начали Висло-Одерскую операцию, сорвав немецкое наступление в Арденнах (4962).</w:t>
      </w:r>
    </w:p>
    <w:p w14:paraId="1655A08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DFC8295"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12, 1945: The Soviet 1st Ukrainian Front (Konev) launches an offensive from its bridgehead across the Vistula at Baranov (3819).</w:t>
      </w:r>
    </w:p>
    <w:p w14:paraId="0B2A6DAB" w14:textId="77777777" w:rsidR="00C2313B" w:rsidRPr="00F90EAE" w:rsidRDefault="00C2313B" w:rsidP="00F90EAE">
      <w:pPr>
        <w:autoSpaceDE w:val="0"/>
        <w:autoSpaceDN w:val="0"/>
        <w:adjustRightInd w:val="0"/>
        <w:jc w:val="both"/>
        <w:rPr>
          <w:color w:val="000000" w:themeColor="text1"/>
          <w:sz w:val="16"/>
          <w:szCs w:val="16"/>
          <w:lang w:val="en-US"/>
        </w:rPr>
      </w:pPr>
    </w:p>
    <w:p w14:paraId="75BDDD02"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12 1945 Russians launch large-scale winter offensive in Poland (extend it to East Prussia January 14).</w:t>
      </w:r>
    </w:p>
    <w:p w14:paraId="0FD49628" w14:textId="77777777" w:rsidR="00C2313B" w:rsidRPr="00F90EAE" w:rsidRDefault="00C2313B" w:rsidP="00F90EAE">
      <w:pPr>
        <w:autoSpaceDE w:val="0"/>
        <w:autoSpaceDN w:val="0"/>
        <w:adjustRightInd w:val="0"/>
        <w:jc w:val="both"/>
        <w:rPr>
          <w:color w:val="000000" w:themeColor="text1"/>
          <w:sz w:val="16"/>
          <w:szCs w:val="16"/>
          <w:lang w:val="en-US"/>
        </w:rPr>
      </w:pPr>
    </w:p>
    <w:p w14:paraId="69913CE4" w14:textId="77777777" w:rsidR="002D2573" w:rsidRPr="00F90EAE" w:rsidRDefault="002D2573" w:rsidP="00F90EAE">
      <w:pPr>
        <w:jc w:val="both"/>
        <w:rPr>
          <w:color w:val="000000" w:themeColor="text1"/>
          <w:sz w:val="16"/>
          <w:szCs w:val="16"/>
        </w:rPr>
      </w:pPr>
      <w:r w:rsidRPr="00F90EAE">
        <w:rPr>
          <w:bCs/>
          <w:color w:val="000000" w:themeColor="text1"/>
          <w:sz w:val="16"/>
          <w:szCs w:val="16"/>
        </w:rPr>
        <w:lastRenderedPageBreak/>
        <w:t>12 января</w:t>
      </w:r>
      <w:r w:rsidRPr="00F90EAE">
        <w:rPr>
          <w:color w:val="000000" w:themeColor="text1"/>
          <w:sz w:val="16"/>
          <w:szCs w:val="16"/>
        </w:rPr>
        <w:t xml:space="preserve"> в 1945 году началась Висло-Одерская стратегическая наступательная операция. Для ее проведения привлекались 1-й Белорусский (Маршал Советского Союза Г.К.Жуков) и 1-й Украинский (Маршал Советского Союза И.С.Конев) фронты. Им содействовали войска левого крыла 2-го Белорусского фронта с севера и правого крыла 4-го Украинского с юга. Операция завершилась выходом советских войск к Одеру и захватом плацдармов на левом берегу реки. В ходе ее были уничтожены 35 дивизий врага, взято в плен 147 тыс. немецких солдат и офицеров, освобождена почти вся Польша. Одновременно войска 4-го (генерал армии И.Е.Петров) и 2-го Украинских фронтов (Маршал Советского Союза Р.Я.Малиновский), 1-го Чехословацкого армейского корпуса начали Западно-Карпатскую стратегическую наступательную операцию. В ходе операции, завершившейся 18 февраля, нанесен тяжелый урон пяти немецко-фашистским армиям, освобождены южные районы Польши и значительная часть территории Чехословакии (15007).</w:t>
      </w:r>
    </w:p>
    <w:p w14:paraId="03D9F829" w14:textId="77777777" w:rsidR="002D2573" w:rsidRPr="00F90EAE" w:rsidRDefault="002D2573" w:rsidP="00F90EAE">
      <w:pPr>
        <w:jc w:val="both"/>
        <w:rPr>
          <w:color w:val="000000" w:themeColor="text1"/>
          <w:sz w:val="16"/>
          <w:szCs w:val="16"/>
        </w:rPr>
      </w:pPr>
    </w:p>
    <w:p w14:paraId="5C11DD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1944 началось советское зимнее наступление в Польше и 14 января - в Восточной Пруссии.</w:t>
      </w:r>
    </w:p>
    <w:p w14:paraId="34709E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12-14 января 1945 началась Висло-Одерская операция. Летало до 400 штурмовиков и бомбардировщиков (340,195) и шла до 3 февраля. На 1 этапе 12-17 января прорвали 500 км фронт и продвинулись на 100-150 км. а на втором - с 18 января по 3 февраля разбили резервы и захватили плацдармы на Одере. Уничтожили 35 дивизий и разбили на 50-70% еще 25. Взяли в плен 147.5 тыс. и захватили 1.4 тыс. танков (2438,144).</w:t>
      </w:r>
    </w:p>
    <w:p w14:paraId="5F7E01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Висло-Одерской наступательной операции задействовали 43% всей фронтовой авиации (518,112).</w:t>
      </w:r>
    </w:p>
    <w:p w14:paraId="0017D2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из-за плохих метеоусловий авиаподготовка ограничивалась действиями нба (518,135).</w:t>
      </w:r>
    </w:p>
    <w:p w14:paraId="2CFD73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Висло-Одерской операции Ставка ВГК организовала действия по срыву оперативных перевозок с привлечением АДД и ВА (518,130).</w:t>
      </w:r>
    </w:p>
    <w:p w14:paraId="1231EA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подготовке Висло-Одерской операции на воздушную разведку ВА затрачивалось до 40-47% всех самолетовылетов (518,121).</w:t>
      </w:r>
    </w:p>
    <w:p w14:paraId="1FF818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Воздушная съемка позволила выявить 7 оборонительных полос на глубину 500 км, 6 противотанковых рвов, районы сосредоточения резервов, огневые позиции артиллерии. Сфотографировали все переправы через Вислу от Модлина до Влоцлавека и через Пилицу от Варки до Томашува, аэродромы. На фотографирование затратили 610 самолетовылетов и за 20 дней засняли 87 тыс. кв. км (518,127).</w:t>
      </w:r>
    </w:p>
    <w:p w14:paraId="0BD27F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2580F6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доля разведывательных вылетов была выше средней в 5-8% и достигала 14-15% (518,154).</w:t>
      </w:r>
    </w:p>
    <w:p w14:paraId="5F8971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Применялось воздушное фотографирование важных стационарных объектов, что имело важное значение в ходе боевых действий (518,154).</w:t>
      </w:r>
    </w:p>
    <w:p w14:paraId="36C540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Висло-Одерской операции для выполнения задач непосредственно в интересах 1ГТА выделялись 2 и 11 гад и 286 иад (518,158).</w:t>
      </w:r>
    </w:p>
    <w:p w14:paraId="484555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преследовании отступающих войск авиация была перенацелена на дезорганизацию отхода и уничтожение войск и боевой техники в сотрудничестве фронтовой авиации и АДД (518,163).</w:t>
      </w:r>
    </w:p>
    <w:p w14:paraId="26F6F9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операции отмечалось отставание истребителей и ш от быстро наступающих танковых армий, которые они д.б. поддерживать (518,168).</w:t>
      </w:r>
    </w:p>
    <w:p w14:paraId="6BD6DB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2CA8733E" w14:textId="77777777" w:rsidR="00C2313B" w:rsidRPr="00F90EAE" w:rsidRDefault="00C2313B" w:rsidP="00F90EAE">
      <w:pPr>
        <w:autoSpaceDE w:val="0"/>
        <w:autoSpaceDN w:val="0"/>
        <w:adjustRightInd w:val="0"/>
        <w:jc w:val="both"/>
        <w:rPr>
          <w:color w:val="000000" w:themeColor="text1"/>
          <w:sz w:val="16"/>
          <w:szCs w:val="16"/>
        </w:rPr>
      </w:pPr>
    </w:p>
    <w:p w14:paraId="5559C9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12 января по 3 февраля 1945 состоялась Сандомиро-Силезская операция как часть Висло-Одерской для выхода на Одер. Продвинулись на 400-500 км (2443,102).</w:t>
      </w:r>
    </w:p>
    <w:p w14:paraId="70999A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Верхне-Силезской операции на уничтожение окруженной группировки противника было затрачено 18-19% самолето-вылетов (518,181).</w:t>
      </w:r>
    </w:p>
    <w:p w14:paraId="4FCEDF18" w14:textId="77777777" w:rsidR="00C2313B" w:rsidRPr="00F90EAE" w:rsidRDefault="00C2313B" w:rsidP="00F90EAE">
      <w:pPr>
        <w:autoSpaceDE w:val="0"/>
        <w:autoSpaceDN w:val="0"/>
        <w:adjustRightInd w:val="0"/>
        <w:jc w:val="both"/>
        <w:rPr>
          <w:color w:val="000000" w:themeColor="text1"/>
          <w:sz w:val="16"/>
          <w:szCs w:val="16"/>
        </w:rPr>
      </w:pPr>
    </w:p>
    <w:p w14:paraId="4E5181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года во время Сандомирско-Силезской операции 368-й Гв. ТСАП 1-го Украинского фронта вооруженный ИСУ-152 в течение 107 минут вел огонь по опорному пункту и четырем артиллерийским батареям противника.</w:t>
      </w:r>
    </w:p>
    <w:p w14:paraId="27D82C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Выпустив 980 снарядов, полк подавил две минометные батареи, уничтожил восемь орудий и до батальона солдат и офицеров противника. Интересно отметить, что дополнительные боеприпасы заранее выкладывались на огневых позициях, однако прежде всего расходовались снаряды находившиеся в боевых машинах, иначе был бы значительно снижен темп стрельбы. Для последующего пополнения тяжелых самоходок снарядами требовалось до 40 минут, поэтому они прекращали огонь заблаговременно до начала атаки. (3862).</w:t>
      </w:r>
    </w:p>
    <w:p w14:paraId="2B2DF419" w14:textId="77777777" w:rsidR="00C2313B" w:rsidRPr="00F90EAE" w:rsidRDefault="00C2313B" w:rsidP="00F90EAE">
      <w:pPr>
        <w:autoSpaceDE w:val="0"/>
        <w:autoSpaceDN w:val="0"/>
        <w:adjustRightInd w:val="0"/>
        <w:jc w:val="both"/>
        <w:rPr>
          <w:color w:val="000000" w:themeColor="text1"/>
          <w:sz w:val="16"/>
          <w:szCs w:val="16"/>
        </w:rPr>
      </w:pPr>
    </w:p>
    <w:p w14:paraId="1CFA1F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года в ходе Висло-Одерской операции Красной Армии. Колонна "Тигров II" из 524-го тяжелого танкового батальона столкнулась с нашими танками ИС-2 у деревни Лисов. Обе стороны понесли тяжелые потери. (3862).</w:t>
      </w:r>
    </w:p>
    <w:p w14:paraId="42850F02" w14:textId="77777777" w:rsidR="00C2313B" w:rsidRPr="00F90EAE" w:rsidRDefault="00C2313B" w:rsidP="00F90EAE">
      <w:pPr>
        <w:autoSpaceDE w:val="0"/>
        <w:autoSpaceDN w:val="0"/>
        <w:adjustRightInd w:val="0"/>
        <w:jc w:val="both"/>
        <w:rPr>
          <w:color w:val="000000" w:themeColor="text1"/>
          <w:sz w:val="16"/>
          <w:szCs w:val="16"/>
        </w:rPr>
      </w:pPr>
    </w:p>
    <w:p w14:paraId="059D93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началась Западно-Карпатская стратегическая наступательная операция 4УФ (И.Е.Петров), 2УФ (Р.Я.Малиновский), 1 ЧАК. Завершилась 18 февраля (3398,23).</w:t>
      </w:r>
    </w:p>
    <w:p w14:paraId="093BCB4F" w14:textId="77777777" w:rsidR="00C2313B" w:rsidRPr="00F90EAE" w:rsidRDefault="00C2313B" w:rsidP="00F90EAE">
      <w:pPr>
        <w:autoSpaceDE w:val="0"/>
        <w:autoSpaceDN w:val="0"/>
        <w:adjustRightInd w:val="0"/>
        <w:jc w:val="both"/>
        <w:rPr>
          <w:color w:val="000000" w:themeColor="text1"/>
          <w:sz w:val="16"/>
          <w:szCs w:val="16"/>
        </w:rPr>
      </w:pPr>
    </w:p>
    <w:p w14:paraId="55F3532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2C963D1" w14:textId="77777777" w:rsidR="00C2313B" w:rsidRPr="00F90EAE" w:rsidRDefault="00C2313B" w:rsidP="00F90EAE">
      <w:pPr>
        <w:autoSpaceDE w:val="0"/>
        <w:autoSpaceDN w:val="0"/>
        <w:adjustRightInd w:val="0"/>
        <w:jc w:val="both"/>
        <w:rPr>
          <w:iCs/>
          <w:color w:val="000000" w:themeColor="text1"/>
          <w:sz w:val="16"/>
          <w:szCs w:val="16"/>
        </w:rPr>
      </w:pPr>
    </w:p>
    <w:p w14:paraId="33073D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января 1945 самолеты авианосцев потопили 25 японских кораблей и судов на побережье Индокитая (2100).</w:t>
      </w:r>
    </w:p>
    <w:p w14:paraId="37D57C99" w14:textId="77777777" w:rsidR="00C2313B" w:rsidRPr="00F90EAE" w:rsidRDefault="00C2313B" w:rsidP="00F90EAE">
      <w:pPr>
        <w:autoSpaceDE w:val="0"/>
        <w:autoSpaceDN w:val="0"/>
        <w:adjustRightInd w:val="0"/>
        <w:jc w:val="both"/>
        <w:rPr>
          <w:color w:val="000000" w:themeColor="text1"/>
          <w:sz w:val="16"/>
          <w:szCs w:val="16"/>
        </w:rPr>
      </w:pPr>
    </w:p>
    <w:p w14:paraId="23FFCEC3" w14:textId="77777777" w:rsidR="002A04DB" w:rsidRPr="00F90EAE" w:rsidRDefault="002A04DB" w:rsidP="00F90EAE">
      <w:pPr>
        <w:jc w:val="both"/>
        <w:rPr>
          <w:color w:val="0070C0"/>
          <w:sz w:val="16"/>
          <w:szCs w:val="16"/>
        </w:rPr>
      </w:pPr>
      <w:r w:rsidRPr="00F90EAE">
        <w:rPr>
          <w:color w:val="0070C0"/>
          <w:sz w:val="16"/>
          <w:szCs w:val="16"/>
        </w:rPr>
        <w:t>12 января 1945 с 850 самолетами на борту авианосцев, Целевая группа 38 наносит удары по целям на 420-мильном (778-километровом) участке побережья Французского Индокитая, совершив 1465 самолето-пролетов, потопить 12 танкеров, 17 других торговых судов, разоруженный французский крейсер La Motte-Picquet и 15 японских военно-морских судов, включая легкий крейсер Kashii и уничтожив 15 японских самолетов в воздухе, 77 на земле и 20 гидросамолетов в заливе Камран в обмен на потерю 23 самолетов США (20371).</w:t>
      </w:r>
    </w:p>
    <w:p w14:paraId="27ABCF6E" w14:textId="77777777" w:rsidR="002A04DB" w:rsidRPr="00F90EAE" w:rsidRDefault="002A04DB" w:rsidP="00F90EAE">
      <w:pPr>
        <w:jc w:val="both"/>
        <w:rPr>
          <w:color w:val="0070C0"/>
          <w:sz w:val="16"/>
          <w:szCs w:val="16"/>
        </w:rPr>
      </w:pPr>
    </w:p>
    <w:p w14:paraId="05417878" w14:textId="77777777" w:rsidR="002A04DB" w:rsidRPr="00F90EAE" w:rsidRDefault="002A04DB" w:rsidP="00F90EAE">
      <w:pPr>
        <w:jc w:val="both"/>
        <w:rPr>
          <w:color w:val="0070C0"/>
          <w:sz w:val="16"/>
          <w:szCs w:val="16"/>
        </w:rPr>
      </w:pPr>
      <w:r w:rsidRPr="00F90EAE">
        <w:rPr>
          <w:color w:val="0070C0"/>
          <w:sz w:val="16"/>
          <w:szCs w:val="16"/>
        </w:rPr>
        <w:t>12–13 января 1945 камикадзе возобновляют атаки в заливе Лингайен, повреждая эсминец и транспорт, а также несколько торговых судов (20371).</w:t>
      </w:r>
    </w:p>
    <w:p w14:paraId="3BB74E57" w14:textId="77777777" w:rsidR="002A04DB" w:rsidRPr="00F90EAE" w:rsidRDefault="002A04DB" w:rsidP="00F90EAE">
      <w:pPr>
        <w:jc w:val="both"/>
        <w:rPr>
          <w:color w:val="0070C0"/>
          <w:sz w:val="16"/>
          <w:szCs w:val="16"/>
        </w:rPr>
      </w:pPr>
    </w:p>
    <w:p w14:paraId="1419CB4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C975601" w14:textId="77777777" w:rsidR="00C2313B" w:rsidRPr="00F90EAE" w:rsidRDefault="00C2313B" w:rsidP="00F90EAE">
      <w:pPr>
        <w:autoSpaceDE w:val="0"/>
        <w:autoSpaceDN w:val="0"/>
        <w:adjustRightInd w:val="0"/>
        <w:jc w:val="both"/>
        <w:rPr>
          <w:iCs/>
          <w:color w:val="000000" w:themeColor="text1"/>
          <w:sz w:val="16"/>
          <w:szCs w:val="16"/>
        </w:rPr>
      </w:pPr>
    </w:p>
    <w:p w14:paraId="14CB32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 РГАНИР, Фонд ГКО, д. 349, лл. 1-2 (11012).</w:t>
      </w:r>
    </w:p>
    <w:p w14:paraId="5260969B" w14:textId="77777777" w:rsidR="00C2313B" w:rsidRPr="00F90EAE" w:rsidRDefault="00C2313B" w:rsidP="00F90EAE">
      <w:pPr>
        <w:autoSpaceDE w:val="0"/>
        <w:autoSpaceDN w:val="0"/>
        <w:adjustRightInd w:val="0"/>
        <w:jc w:val="both"/>
        <w:rPr>
          <w:color w:val="000000" w:themeColor="text1"/>
          <w:sz w:val="16"/>
          <w:szCs w:val="16"/>
        </w:rPr>
      </w:pPr>
    </w:p>
    <w:p w14:paraId="5E7EAAA6" w14:textId="77777777" w:rsidR="00D60908" w:rsidRPr="00F90EAE" w:rsidRDefault="00D60908" w:rsidP="00F90EAE">
      <w:pPr>
        <w:jc w:val="both"/>
        <w:rPr>
          <w:color w:val="000000" w:themeColor="text1"/>
          <w:sz w:val="16"/>
          <w:szCs w:val="16"/>
        </w:rPr>
      </w:pPr>
      <w:r w:rsidRPr="00F90EAE">
        <w:rPr>
          <w:color w:val="000000" w:themeColor="text1"/>
          <w:sz w:val="16"/>
          <w:szCs w:val="16"/>
        </w:rPr>
        <w:t>13 января 1945 вышло Постановление ГКО № 7307 О разработке и изготовлении опытного образца автоматического авиационного прицела с радиодальномером</w:t>
      </w:r>
    </w:p>
    <w:p w14:paraId="3C658330" w14:textId="77777777" w:rsidR="00D60908" w:rsidRPr="00F90EAE" w:rsidRDefault="00D60908" w:rsidP="00F90EAE">
      <w:pPr>
        <w:jc w:val="both"/>
        <w:rPr>
          <w:color w:val="000000" w:themeColor="text1"/>
          <w:sz w:val="16"/>
          <w:szCs w:val="16"/>
        </w:rPr>
      </w:pPr>
      <w:r w:rsidRPr="00F90EAE">
        <w:rPr>
          <w:color w:val="000000" w:themeColor="text1"/>
          <w:sz w:val="16"/>
          <w:szCs w:val="16"/>
        </w:rPr>
        <w:t>В целях увеличения дальности эффективней стрельбы с самолета и повышения точности прицельного огня, Государственный Комитет Обороны постановляет:</w:t>
      </w:r>
    </w:p>
    <w:p w14:paraId="1D669CF6" w14:textId="77777777" w:rsidR="00D60908" w:rsidRPr="00F90EAE" w:rsidRDefault="00D60908" w:rsidP="00F90EAE">
      <w:pPr>
        <w:tabs>
          <w:tab w:val="left" w:pos="1367"/>
        </w:tabs>
        <w:jc w:val="both"/>
        <w:rPr>
          <w:color w:val="000000" w:themeColor="text1"/>
          <w:sz w:val="16"/>
          <w:szCs w:val="16"/>
        </w:rPr>
      </w:pPr>
      <w:r w:rsidRPr="00F90EAE">
        <w:rPr>
          <w:color w:val="000000" w:themeColor="text1"/>
          <w:sz w:val="16"/>
          <w:szCs w:val="16"/>
        </w:rPr>
        <w:t>1. Обязать Наркомвооружения - тов.Устинова и дирек</w:t>
      </w:r>
      <w:r w:rsidRPr="00F90EAE">
        <w:rPr>
          <w:color w:val="000000" w:themeColor="text1"/>
          <w:sz w:val="16"/>
          <w:szCs w:val="16"/>
        </w:rPr>
        <w:softHyphen/>
        <w:t>тора завода № 355 НКВ - тов. Пескова разработать и изго</w:t>
      </w:r>
      <w:r w:rsidRPr="00F90EAE">
        <w:rPr>
          <w:color w:val="000000" w:themeColor="text1"/>
          <w:sz w:val="16"/>
          <w:szCs w:val="16"/>
        </w:rPr>
        <w:softHyphen/>
        <w:t>товить автоматический авиационный прицел с радиодально</w:t>
      </w:r>
      <w:r w:rsidRPr="00F90EAE">
        <w:rPr>
          <w:color w:val="000000" w:themeColor="text1"/>
          <w:sz w:val="16"/>
          <w:szCs w:val="16"/>
        </w:rPr>
        <w:softHyphen/>
        <w:t>мером для неподвижного авиационного оружия по тактико- техническим требованиям ГК</w:t>
      </w:r>
      <w:r w:rsidRPr="00F90EAE">
        <w:rPr>
          <w:rStyle w:val="PalatinoLinotype11pt70"/>
          <w:rFonts w:ascii="Times New Roman" w:hAnsi="Times New Roman" w:cs="Times New Roman"/>
          <w:color w:val="000000" w:themeColor="text1"/>
          <w:w w:val="100"/>
          <w:sz w:val="16"/>
          <w:szCs w:val="16"/>
        </w:rPr>
        <w:t xml:space="preserve"> НИИ</w:t>
      </w:r>
      <w:r w:rsidRPr="00F90EAE">
        <w:rPr>
          <w:color w:val="000000" w:themeColor="text1"/>
          <w:sz w:val="16"/>
          <w:szCs w:val="16"/>
        </w:rPr>
        <w:t xml:space="preserve"> ВВС КА и представить два опытных прицела на государственные испытания в ГК НИИ ВВС КА в декабре 1945 года.</w:t>
      </w:r>
    </w:p>
    <w:p w14:paraId="04A038A7" w14:textId="77777777" w:rsidR="00D60908" w:rsidRPr="00F90EAE" w:rsidRDefault="00D60908" w:rsidP="00F90EAE">
      <w:pPr>
        <w:tabs>
          <w:tab w:val="left" w:pos="1390"/>
        </w:tabs>
        <w:jc w:val="both"/>
        <w:rPr>
          <w:color w:val="000000" w:themeColor="text1"/>
          <w:sz w:val="16"/>
          <w:szCs w:val="16"/>
        </w:rPr>
      </w:pPr>
      <w:r w:rsidRPr="00F90EAE">
        <w:rPr>
          <w:color w:val="000000" w:themeColor="text1"/>
          <w:sz w:val="16"/>
          <w:szCs w:val="16"/>
        </w:rPr>
        <w:t>2. Обязать Наркомэлектропром — тов.Кабанова и дирек</w:t>
      </w:r>
      <w:r w:rsidRPr="00F90EAE">
        <w:rPr>
          <w:color w:val="000000" w:themeColor="text1"/>
          <w:sz w:val="16"/>
          <w:szCs w:val="16"/>
        </w:rPr>
        <w:softHyphen/>
        <w:t>тора НИИ-108 НКЭП - тов.Стась разработать и изготовить два образца радиодальномера для авиаприцела по техничес</w:t>
      </w:r>
      <w:r w:rsidRPr="00F90EAE">
        <w:rPr>
          <w:color w:val="000000" w:themeColor="text1"/>
          <w:sz w:val="16"/>
          <w:szCs w:val="16"/>
        </w:rPr>
        <w:softHyphen/>
        <w:t>ким условиям завода № 355 НКВ и поставить их заводу № 355 для совместных: испытаний в ноябре 1945 года.</w:t>
      </w:r>
    </w:p>
    <w:p w14:paraId="11AA0363" w14:textId="77777777" w:rsidR="00D60908" w:rsidRPr="00F90EAE" w:rsidRDefault="00D60908" w:rsidP="00F90EAE">
      <w:pPr>
        <w:tabs>
          <w:tab w:val="left" w:pos="5998"/>
        </w:tabs>
        <w:jc w:val="both"/>
        <w:rPr>
          <w:color w:val="000000" w:themeColor="text1"/>
          <w:sz w:val="16"/>
          <w:szCs w:val="16"/>
        </w:rPr>
      </w:pPr>
      <w:r w:rsidRPr="00F90EAE">
        <w:rPr>
          <w:color w:val="000000" w:themeColor="text1"/>
          <w:sz w:val="16"/>
          <w:szCs w:val="16"/>
        </w:rPr>
        <w:t xml:space="preserve">3. Обязать Наркомавиапром - тов.Шахурина и главного конструктора ОКБ 1 5 Главного управления НКАП - тов.Антипова спроектировать и изготовить специальное гиромоторы ддя авиаприцела в количестве -6 шт. по техническим условиям завода № 355 НКВ и поставить заводу № 355 2 шт. к 1 июня </w:t>
      </w:r>
      <w:r w:rsidRPr="00F90EAE">
        <w:rPr>
          <w:rStyle w:val="-1pt"/>
          <w:rFonts w:ascii="Times New Roman" w:hAnsi="Times New Roman" w:cs="Times New Roman"/>
          <w:color w:val="000000" w:themeColor="text1"/>
          <w:spacing w:val="0"/>
          <w:sz w:val="16"/>
          <w:szCs w:val="16"/>
        </w:rPr>
        <w:t>19</w:t>
      </w:r>
      <w:r w:rsidRPr="00F90EAE">
        <w:rPr>
          <w:rStyle w:val="-1pt"/>
          <w:rFonts w:ascii="Times New Roman" w:eastAsia="Calibri" w:hAnsi="Times New Roman" w:cs="Times New Roman"/>
          <w:color w:val="000000" w:themeColor="text1"/>
          <w:spacing w:val="0"/>
          <w:sz w:val="16"/>
          <w:szCs w:val="16"/>
        </w:rPr>
        <w:t>4</w:t>
      </w:r>
      <w:r w:rsidRPr="00F90EAE">
        <w:rPr>
          <w:rStyle w:val="-1pt"/>
          <w:rFonts w:ascii="Times New Roman" w:hAnsi="Times New Roman" w:cs="Times New Roman"/>
          <w:color w:val="000000" w:themeColor="text1"/>
          <w:spacing w:val="0"/>
          <w:sz w:val="16"/>
          <w:szCs w:val="16"/>
        </w:rPr>
        <w:t>5</w:t>
      </w:r>
      <w:r w:rsidRPr="00F90EAE">
        <w:rPr>
          <w:color w:val="000000" w:themeColor="text1"/>
          <w:sz w:val="16"/>
          <w:szCs w:val="16"/>
        </w:rPr>
        <w:t xml:space="preserve"> года и 4 шт. - к 15 августа 1945 года.</w:t>
      </w:r>
    </w:p>
    <w:p w14:paraId="4250A097" w14:textId="77777777" w:rsidR="00D60908" w:rsidRPr="00F90EAE" w:rsidRDefault="00D60908" w:rsidP="00F90EAE">
      <w:pPr>
        <w:jc w:val="both"/>
        <w:rPr>
          <w:color w:val="000000" w:themeColor="text1"/>
          <w:sz w:val="16"/>
          <w:szCs w:val="16"/>
        </w:rPr>
      </w:pPr>
      <w:r w:rsidRPr="00F90EAE">
        <w:rPr>
          <w:color w:val="000000" w:themeColor="text1"/>
          <w:sz w:val="16"/>
          <w:szCs w:val="16"/>
        </w:rPr>
        <w:t>4. Обявать ГК НИИ ВВС</w:t>
      </w:r>
      <w:r w:rsidRPr="00F90EAE">
        <w:rPr>
          <w:rStyle w:val="ArialNarrow0"/>
          <w:rFonts w:ascii="Times New Roman" w:hAnsi="Times New Roman" w:cs="Times New Roman"/>
          <w:color w:val="000000" w:themeColor="text1"/>
          <w:sz w:val="16"/>
          <w:szCs w:val="16"/>
        </w:rPr>
        <w:t xml:space="preserve"> -</w:t>
      </w:r>
      <w:r w:rsidRPr="00F90EAE">
        <w:rPr>
          <w:color w:val="000000" w:themeColor="text1"/>
          <w:sz w:val="16"/>
          <w:szCs w:val="16"/>
        </w:rPr>
        <w:t xml:space="preserve"> тов.Репина в З0-дневннй срок после пред"явления авиаприцелов провести их испыта</w:t>
      </w:r>
      <w:r w:rsidRPr="00F90EAE">
        <w:rPr>
          <w:color w:val="000000" w:themeColor="text1"/>
          <w:sz w:val="16"/>
          <w:szCs w:val="16"/>
        </w:rPr>
        <w:softHyphen/>
        <w:t>ния и с результатах доложить ГОКО.</w:t>
      </w:r>
    </w:p>
    <w:p w14:paraId="2A2DA077" w14:textId="77777777" w:rsidR="00D60908" w:rsidRPr="00F90EAE" w:rsidRDefault="00D60908" w:rsidP="00F90EAE">
      <w:pPr>
        <w:tabs>
          <w:tab w:val="left" w:pos="983"/>
        </w:tabs>
        <w:jc w:val="both"/>
        <w:rPr>
          <w:color w:val="000000" w:themeColor="text1"/>
          <w:sz w:val="16"/>
          <w:szCs w:val="16"/>
        </w:rPr>
      </w:pPr>
      <w:r w:rsidRPr="00F90EAE">
        <w:rPr>
          <w:color w:val="000000" w:themeColor="text1"/>
          <w:sz w:val="16"/>
          <w:szCs w:val="16"/>
        </w:rPr>
        <w:t>5. Обязать Наркомфин - т.Зверова отпустить Наркому вооружения из резервного фонда СНК СССР 300 тыс. рублей для опытно-конструкторских и научно-исследовательских ра</w:t>
      </w:r>
      <w:r w:rsidRPr="00F90EAE">
        <w:rPr>
          <w:color w:val="000000" w:themeColor="text1"/>
          <w:sz w:val="16"/>
          <w:szCs w:val="16"/>
        </w:rPr>
        <w:softHyphen/>
        <w:t>бот по авиационным автоматическим прицелам с радиодально</w:t>
      </w:r>
      <w:r w:rsidRPr="00F90EAE">
        <w:rPr>
          <w:color w:val="000000" w:themeColor="text1"/>
          <w:sz w:val="16"/>
          <w:szCs w:val="16"/>
        </w:rPr>
        <w:softHyphen/>
        <w:t>мерами и 200 тысяч рублей для премирования работников за успешное изготовление прицелов и их агрегатов в сроки, уст ановленные настоящим постановлением, в т.ч. НКВ 100 тыс.рублей и НКЭП - 100 тыс .рублей.</w:t>
      </w:r>
    </w:p>
    <w:p w14:paraId="3371C661" w14:textId="77777777" w:rsidR="00D60908" w:rsidRPr="00F90EAE" w:rsidRDefault="00D60908" w:rsidP="00F90EAE">
      <w:pPr>
        <w:jc w:val="both"/>
        <w:rPr>
          <w:color w:val="000000" w:themeColor="text1"/>
          <w:sz w:val="16"/>
          <w:szCs w:val="16"/>
        </w:rPr>
      </w:pPr>
      <w:r w:rsidRPr="00F90EAE">
        <w:rPr>
          <w:color w:val="000000" w:themeColor="text1"/>
          <w:sz w:val="16"/>
          <w:szCs w:val="16"/>
        </w:rPr>
        <w:t>6. Обязать Наркомторг т.Любимова выелить допол</w:t>
      </w:r>
      <w:r w:rsidRPr="00F90EAE">
        <w:rPr>
          <w:color w:val="000000" w:themeColor="text1"/>
          <w:sz w:val="16"/>
          <w:szCs w:val="16"/>
        </w:rPr>
        <w:softHyphen/>
        <w:t>нительно Наркомату вооружения для завода № 355 шесть сухих пайков и 10 карточек Р-4 (19516).</w:t>
      </w:r>
    </w:p>
    <w:p w14:paraId="2ED44637" w14:textId="77777777" w:rsidR="00013858" w:rsidRPr="00F90EAE" w:rsidRDefault="00013858" w:rsidP="00F90EAE">
      <w:pPr>
        <w:autoSpaceDE w:val="0"/>
        <w:autoSpaceDN w:val="0"/>
        <w:adjustRightInd w:val="0"/>
        <w:jc w:val="both"/>
        <w:rPr>
          <w:color w:val="000000" w:themeColor="text1"/>
          <w:sz w:val="16"/>
          <w:szCs w:val="16"/>
        </w:rPr>
      </w:pPr>
    </w:p>
    <w:p w14:paraId="209670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ГКО постановлением N 7309 утвердил ГК самолета Ер-2 П.О.С. (1890,217).</w:t>
      </w:r>
    </w:p>
    <w:p w14:paraId="466DFF6E" w14:textId="77777777" w:rsidR="00C2313B" w:rsidRPr="00F90EAE" w:rsidRDefault="00C2313B" w:rsidP="00F90EAE">
      <w:pPr>
        <w:autoSpaceDE w:val="0"/>
        <w:autoSpaceDN w:val="0"/>
        <w:adjustRightInd w:val="0"/>
        <w:jc w:val="both"/>
        <w:rPr>
          <w:color w:val="000000" w:themeColor="text1"/>
          <w:sz w:val="16"/>
          <w:szCs w:val="16"/>
        </w:rPr>
      </w:pPr>
    </w:p>
    <w:p w14:paraId="04ED03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7309 О главном конструкторе самолета Ер-2. РГАНИР, Фонд ГКО, д. 349, лл. 5 (11012).</w:t>
      </w:r>
    </w:p>
    <w:p w14:paraId="13AF8F86" w14:textId="77777777" w:rsidR="00C2313B" w:rsidRPr="00F90EAE" w:rsidRDefault="00C2313B" w:rsidP="00F90EAE">
      <w:pPr>
        <w:autoSpaceDE w:val="0"/>
        <w:autoSpaceDN w:val="0"/>
        <w:adjustRightInd w:val="0"/>
        <w:jc w:val="both"/>
        <w:rPr>
          <w:color w:val="000000" w:themeColor="text1"/>
          <w:sz w:val="16"/>
          <w:szCs w:val="16"/>
        </w:rPr>
      </w:pPr>
    </w:p>
    <w:p w14:paraId="5121CF16" w14:textId="77777777" w:rsidR="00D60908" w:rsidRPr="00F90EAE" w:rsidRDefault="00D60908" w:rsidP="00F90EAE">
      <w:pPr>
        <w:jc w:val="both"/>
        <w:rPr>
          <w:color w:val="000000" w:themeColor="text1"/>
          <w:sz w:val="16"/>
          <w:szCs w:val="16"/>
        </w:rPr>
      </w:pPr>
      <w:r w:rsidRPr="00F90EAE">
        <w:rPr>
          <w:color w:val="000000" w:themeColor="text1"/>
          <w:sz w:val="16"/>
          <w:szCs w:val="16"/>
        </w:rPr>
        <w:t>13 января 1945 вышло Постановление ГКО № 7309 О главном конструкторе самолета Ер-2</w:t>
      </w:r>
    </w:p>
    <w:p w14:paraId="19125CCE" w14:textId="77777777" w:rsidR="00D60908" w:rsidRPr="00F90EAE" w:rsidRDefault="00D60908" w:rsidP="00F90EAE">
      <w:pPr>
        <w:jc w:val="both"/>
        <w:rPr>
          <w:color w:val="000000" w:themeColor="text1"/>
          <w:sz w:val="16"/>
          <w:szCs w:val="16"/>
        </w:rPr>
      </w:pPr>
      <w:r w:rsidRPr="00F90EAE">
        <w:rPr>
          <w:color w:val="000000" w:themeColor="text1"/>
          <w:sz w:val="16"/>
          <w:szCs w:val="16"/>
        </w:rPr>
        <w:t>Утвердить главным конструктором самолета Ер-2 тов.Сухого И.О. (19517).</w:t>
      </w:r>
    </w:p>
    <w:p w14:paraId="707F0E32" w14:textId="77777777" w:rsidR="00D60908" w:rsidRPr="00F90EAE" w:rsidRDefault="00D60908" w:rsidP="00F90EAE">
      <w:pPr>
        <w:jc w:val="both"/>
        <w:rPr>
          <w:color w:val="000000" w:themeColor="text1"/>
          <w:sz w:val="16"/>
          <w:szCs w:val="16"/>
        </w:rPr>
      </w:pPr>
    </w:p>
    <w:p w14:paraId="555079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13 января 1945 г. в связи с тем, что в декабре 1944 г. скоропостижно скончался В.Г. Ермолаев, Постановлением ГКО объединили заводы № 134 и 289, присвоив новому предприятию № 134. Директором и главным конструктором назначили П.О. Сухого. Летно-испытательная станция предприятия находилась на аэродроме </w:t>
      </w:r>
      <w:r w:rsidRPr="00F90EAE">
        <w:rPr>
          <w:color w:val="000000" w:themeColor="text1"/>
          <w:sz w:val="16"/>
          <w:szCs w:val="16"/>
        </w:rPr>
        <w:lastRenderedPageBreak/>
        <w:t>Тушино, и туда из Иркутска поступили четыре Ер-2 с дизельными моторами, один - с двигателями МБ-100 и два Ер-20Н. Сухому поручили не только дальнейшее сопровождение Ер-2 в серийном производстве и эксплуатации, но и доводку его пассажирского варианта (11994).</w:t>
      </w:r>
    </w:p>
    <w:p w14:paraId="0B4AFAA9" w14:textId="77777777" w:rsidR="00C2313B" w:rsidRPr="00F90EAE" w:rsidRDefault="00C2313B" w:rsidP="00F90EAE">
      <w:pPr>
        <w:autoSpaceDE w:val="0"/>
        <w:autoSpaceDN w:val="0"/>
        <w:adjustRightInd w:val="0"/>
        <w:jc w:val="both"/>
        <w:rPr>
          <w:color w:val="000000" w:themeColor="text1"/>
          <w:sz w:val="16"/>
          <w:szCs w:val="16"/>
        </w:rPr>
      </w:pPr>
    </w:p>
    <w:p w14:paraId="567EDDE4" w14:textId="77777777" w:rsidR="002D2573" w:rsidRPr="00F90EAE" w:rsidRDefault="002D2573" w:rsidP="00F90EAE">
      <w:pPr>
        <w:shd w:val="clear" w:color="auto" w:fill="FFFFFF"/>
        <w:jc w:val="both"/>
        <w:rPr>
          <w:color w:val="000000" w:themeColor="text1"/>
          <w:sz w:val="16"/>
          <w:szCs w:val="16"/>
        </w:rPr>
      </w:pPr>
      <w:r w:rsidRPr="00F90EAE">
        <w:rPr>
          <w:color w:val="000000" w:themeColor="text1"/>
          <w:sz w:val="16"/>
          <w:szCs w:val="16"/>
        </w:rPr>
        <w:t>13-го января 1945 года Постановлением ГКО и приказом НКАП № 39 от 3-го февраля ОКБ Ермолаева и Сухого были объединены. Главным конструктором объединенного ОКБ утвердили Павла Осиповича Сухого, поручив ему дальнейшее сопровождение серийного производства и эксплуатации Ер-2, а так же доводку его пассажирского варианта. Опытный завод № 134 главного конструктора В.Г. Ермолаева был объединен с Тушинским заводом № 289 НКАП главного конструктора П.О. Сухого с образованием единого завода № 134 НКАП (15223).</w:t>
      </w:r>
    </w:p>
    <w:p w14:paraId="5C134C04" w14:textId="77777777" w:rsidR="002D2573" w:rsidRPr="00F90EAE" w:rsidRDefault="002D2573" w:rsidP="00F90EAE">
      <w:pPr>
        <w:shd w:val="clear" w:color="auto" w:fill="FFFFFF"/>
        <w:jc w:val="both"/>
        <w:rPr>
          <w:color w:val="000000" w:themeColor="text1"/>
          <w:sz w:val="16"/>
          <w:szCs w:val="16"/>
        </w:rPr>
      </w:pPr>
    </w:p>
    <w:p w14:paraId="6B582DA3" w14:textId="77777777" w:rsidR="002D2573" w:rsidRPr="00F90EAE" w:rsidRDefault="002D2573" w:rsidP="00F90EAE">
      <w:pPr>
        <w:pStyle w:val="a3"/>
        <w:rPr>
          <w:color w:val="000000" w:themeColor="text1"/>
          <w:lang w:val="ru-RU"/>
        </w:rPr>
      </w:pPr>
      <w:r w:rsidRPr="00F90EAE">
        <w:rPr>
          <w:color w:val="000000" w:themeColor="text1"/>
          <w:lang w:val="ru-RU"/>
        </w:rPr>
        <w:t>13 января 1945 г. Постановлением ГКО и приказом НКАП № 39 от 3 февраля 1945 г. «...в целях дальнейшего развития и успешного проведения работ по усовершенствова</w:t>
      </w:r>
      <w:r w:rsidRPr="00F90EAE">
        <w:rPr>
          <w:color w:val="000000" w:themeColor="text1"/>
          <w:lang w:val="ru-RU"/>
        </w:rPr>
        <w:softHyphen/>
        <w:t>нию самолёта Ер-2...» приняли решение:</w:t>
      </w:r>
    </w:p>
    <w:p w14:paraId="30DBAD8B" w14:textId="77777777" w:rsidR="002D2573" w:rsidRPr="00F90EAE" w:rsidRDefault="002D2573" w:rsidP="00F90EAE">
      <w:pPr>
        <w:pStyle w:val="a3"/>
        <w:rPr>
          <w:color w:val="000000" w:themeColor="text1"/>
          <w:lang w:val="ru-RU"/>
        </w:rPr>
      </w:pPr>
      <w:r w:rsidRPr="00F90EAE">
        <w:rPr>
          <w:color w:val="000000" w:themeColor="text1"/>
          <w:lang w:val="ru-RU"/>
        </w:rPr>
        <w:t>«...1. Объединить заводы №№ 134 и 289, считая основной базой объединённого заво</w:t>
      </w:r>
      <w:r w:rsidRPr="00F90EAE">
        <w:rPr>
          <w:color w:val="000000" w:themeColor="text1"/>
          <w:lang w:val="ru-RU"/>
        </w:rPr>
        <w:softHyphen/>
        <w:t xml:space="preserve">да территорию завода № 134. Присвоить объединённому заводу № 134 и сохранить за </w:t>
      </w:r>
      <w:r w:rsidRPr="00F90EAE">
        <w:rPr>
          <w:rStyle w:val="721"/>
          <w:rFonts w:ascii="Times New Roman" w:hAnsi="Times New Roman" w:cs="Times New Roman"/>
          <w:b w:val="0"/>
          <w:color w:val="000000" w:themeColor="text1"/>
          <w:sz w:val="16"/>
          <w:szCs w:val="16"/>
          <w:lang w:val="ru-RU"/>
        </w:rPr>
        <w:t>ним</w:t>
      </w:r>
      <w:r w:rsidRPr="00F90EAE">
        <w:rPr>
          <w:color w:val="000000" w:themeColor="text1"/>
          <w:lang w:val="ru-RU"/>
        </w:rPr>
        <w:t xml:space="preserve"> территорию, сооружения и жилые дома числящиеся на балансе заводов №№ 289 и 134 в г. Москве, г. Тушино и г. Калининграде.</w:t>
      </w:r>
    </w:p>
    <w:p w14:paraId="769D738D" w14:textId="77777777" w:rsidR="002D2573" w:rsidRPr="00F90EAE" w:rsidRDefault="002D2573" w:rsidP="00F90EAE">
      <w:pPr>
        <w:pStyle w:val="a3"/>
        <w:rPr>
          <w:color w:val="000000" w:themeColor="text1"/>
          <w:lang w:val="ru-RU"/>
        </w:rPr>
      </w:pPr>
      <w:r w:rsidRPr="00F90EAE">
        <w:rPr>
          <w:color w:val="000000" w:themeColor="text1"/>
          <w:lang w:val="ru-RU"/>
        </w:rPr>
        <w:t>2. Утвердить директором и главным конструктором объединенного завода № 134 тов. Сухого Павла Осиповича...»</w:t>
      </w:r>
    </w:p>
    <w:p w14:paraId="1166E20F" w14:textId="77777777" w:rsidR="002D2573" w:rsidRPr="00F90EAE" w:rsidRDefault="002D2573" w:rsidP="00F90EAE">
      <w:pPr>
        <w:pStyle w:val="a3"/>
        <w:rPr>
          <w:color w:val="000000" w:themeColor="text1"/>
          <w:lang w:val="ru-RU"/>
        </w:rPr>
      </w:pPr>
      <w:r w:rsidRPr="00F90EAE">
        <w:rPr>
          <w:color w:val="000000" w:themeColor="text1"/>
          <w:lang w:val="ru-RU"/>
        </w:rPr>
        <w:t>В результате объединения одним из заместителей Сухого стал М.В. Орлов — в неда</w:t>
      </w:r>
      <w:r w:rsidRPr="00F90EAE">
        <w:rPr>
          <w:color w:val="000000" w:themeColor="text1"/>
          <w:lang w:val="ru-RU"/>
        </w:rPr>
        <w:softHyphen/>
        <w:t>леком прошлом заместитель В-Г. Ермолаева.</w:t>
      </w:r>
    </w:p>
    <w:p w14:paraId="32FB1A6A" w14:textId="77777777" w:rsidR="002D2573" w:rsidRPr="00F90EAE" w:rsidRDefault="002D2573" w:rsidP="00F90EAE">
      <w:pPr>
        <w:pStyle w:val="a3"/>
        <w:rPr>
          <w:color w:val="000000" w:themeColor="text1"/>
          <w:lang w:val="ru-RU"/>
        </w:rPr>
      </w:pPr>
      <w:r w:rsidRPr="00F90EAE">
        <w:rPr>
          <w:color w:val="000000" w:themeColor="text1"/>
          <w:lang w:val="ru-RU"/>
        </w:rPr>
        <w:t>Структурные подразделения завода № 134 разместились следующим образом: КБ и ряд служб — в г. Москве (ныне территория ФГУП «ГосНИИАС»); опытное производст</w:t>
      </w:r>
      <w:r w:rsidRPr="00F90EAE">
        <w:rPr>
          <w:color w:val="000000" w:themeColor="text1"/>
          <w:lang w:val="ru-RU"/>
        </w:rPr>
        <w:softHyphen/>
        <w:t>во в г. Тушино (ныне территория ОАО «ГосМКБ «Вымпел» им И.И. Торопова»); лётно- испытательная станция (ЛИС) на Тушинском аэродроме, а с июня 1945 г. — на Центральном аэродроме. На ЛИС завода № 134 поступили самолеты Ер-2 №№ 7013901, 7013902, 7023902, 7063901, Ер-2 2МБ-100 и несколько позднее два само</w:t>
      </w:r>
      <w:r w:rsidRPr="00F90EAE">
        <w:rPr>
          <w:color w:val="000000" w:themeColor="text1"/>
          <w:lang w:val="ru-RU"/>
        </w:rPr>
        <w:softHyphen/>
        <w:t>лёта Ер-20Н (15810).</w:t>
      </w:r>
    </w:p>
    <w:p w14:paraId="66311A7D" w14:textId="77777777" w:rsidR="002D2573" w:rsidRPr="00F90EAE" w:rsidRDefault="002D2573" w:rsidP="00F90EAE">
      <w:pPr>
        <w:pStyle w:val="a3"/>
        <w:rPr>
          <w:color w:val="000000" w:themeColor="text1"/>
          <w:lang w:val="ru-RU"/>
        </w:rPr>
      </w:pPr>
    </w:p>
    <w:p w14:paraId="04D22047" w14:textId="77777777" w:rsidR="00F60E3F" w:rsidRPr="00F90EAE" w:rsidRDefault="00F60E3F" w:rsidP="00F90EAE">
      <w:pPr>
        <w:pStyle w:val="rtejustify"/>
        <w:shd w:val="clear" w:color="auto" w:fill="FFFFFF"/>
        <w:spacing w:before="0" w:after="0"/>
        <w:rPr>
          <w:color w:val="000000" w:themeColor="text1"/>
          <w:sz w:val="16"/>
          <w:szCs w:val="16"/>
        </w:rPr>
      </w:pPr>
      <w:r w:rsidRPr="00F90EAE">
        <w:rPr>
          <w:color w:val="000000" w:themeColor="text1"/>
          <w:sz w:val="16"/>
          <w:szCs w:val="16"/>
        </w:rPr>
        <w:t>13 января 1945 к удивлению</w:t>
      </w:r>
      <w:r w:rsidRPr="00F90EAE">
        <w:rPr>
          <w:rStyle w:val="a7"/>
          <w:b w:val="0"/>
          <w:color w:val="000000" w:themeColor="text1"/>
          <w:sz w:val="16"/>
          <w:szCs w:val="16"/>
        </w:rPr>
        <w:t xml:space="preserve"> Hans-Werner Lerche</w:t>
      </w:r>
      <w:r w:rsidRPr="00F90EAE">
        <w:rPr>
          <w:color w:val="000000" w:themeColor="text1"/>
          <w:sz w:val="16"/>
          <w:szCs w:val="16"/>
        </w:rPr>
        <w:t>, давление в отремонтированной в полевыъ усовиях тормозной системе поддерживалось на одном уровне и в 15:27 он взлетел, изо всех сил стараясь чтобы не разбить Як-3 при взлете. Хотя о вылете уже было сообщено, для того, чтобы облегчить опознание, пилот прихватил с собой ракетницу с соответствующими патронами. После 45-минутного полета пилот заметил озеро Мюриц, на южном берегу которого располагался Рехлинский аэродром. Давление воздуха оставалось постоянным даже когда пилот выпустил шасси и закрылки. Как обычно, самолет откатили в ангар-мастерскую для обследования. Общий интерес вызвало отлично обработанное фанерное крыло. Оно создавало минимальное сопротивление и могло быть легко отремонтировано даже на фронтовых аэродромах с импровизированным оборудованием. Тормозная система работала несколько неравномерно в зависимости от того на какую сторону были переложены рули. После опыта полученного при испытаниях Ла-5 в ходе которых двигатель этого самолета работал слишком шумно пилот заранее заткнул уши ватными тампонами, что позволило ему не оглохнуть поскольку двигатель Яка так же работал не очень тихо (15474).</w:t>
      </w:r>
    </w:p>
    <w:p w14:paraId="0C2D08BB" w14:textId="77777777" w:rsidR="00F60E3F" w:rsidRPr="00F90EAE" w:rsidRDefault="00F60E3F" w:rsidP="00F90EAE">
      <w:pPr>
        <w:pStyle w:val="rtejustify"/>
        <w:shd w:val="clear" w:color="auto" w:fill="FFFFFF"/>
        <w:spacing w:before="0" w:after="0"/>
        <w:rPr>
          <w:color w:val="000000" w:themeColor="text1"/>
          <w:sz w:val="16"/>
          <w:szCs w:val="16"/>
          <w:lang w:val="en-US"/>
        </w:rPr>
      </w:pPr>
      <w:r w:rsidRPr="00F90EAE">
        <w:rPr>
          <w:color w:val="000000" w:themeColor="text1"/>
          <w:sz w:val="16"/>
          <w:szCs w:val="16"/>
        </w:rPr>
        <w:t>Источник</w:t>
      </w:r>
      <w:r w:rsidRPr="00F90EAE">
        <w:rPr>
          <w:color w:val="000000" w:themeColor="text1"/>
          <w:sz w:val="16"/>
          <w:szCs w:val="16"/>
          <w:lang w:val="en-US"/>
        </w:rPr>
        <w:t xml:space="preserve">: </w:t>
      </w:r>
      <w:r w:rsidRPr="00F90EAE">
        <w:rPr>
          <w:rStyle w:val="a7"/>
          <w:b w:val="0"/>
          <w:color w:val="000000" w:themeColor="text1"/>
          <w:sz w:val="16"/>
          <w:szCs w:val="16"/>
          <w:lang w:val="en-US"/>
        </w:rPr>
        <w:t>Hans-Werner Lerche «Testpilot auf Beuteflugzeugen» (15474).</w:t>
      </w:r>
    </w:p>
    <w:p w14:paraId="36B4A59B" w14:textId="77777777" w:rsidR="00F60E3F" w:rsidRPr="00F90EAE" w:rsidRDefault="00F60E3F" w:rsidP="00F90EAE">
      <w:pPr>
        <w:jc w:val="both"/>
        <w:rPr>
          <w:color w:val="000000" w:themeColor="text1"/>
          <w:sz w:val="16"/>
          <w:szCs w:val="16"/>
          <w:lang w:val="en-US"/>
        </w:rPr>
      </w:pPr>
    </w:p>
    <w:p w14:paraId="4B4203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года вышел приказ НКАП:</w:t>
      </w:r>
    </w:p>
    <w:p w14:paraId="3E8FF7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Утвердить Данилича А.М. директором завода № 145, освободив Крупнова В.И. (8958).</w:t>
      </w:r>
    </w:p>
    <w:p w14:paraId="340AF602" w14:textId="77777777" w:rsidR="00C2313B" w:rsidRPr="00F90EAE" w:rsidRDefault="00C2313B" w:rsidP="00F90EAE">
      <w:pPr>
        <w:autoSpaceDE w:val="0"/>
        <w:autoSpaceDN w:val="0"/>
        <w:adjustRightInd w:val="0"/>
        <w:jc w:val="both"/>
        <w:rPr>
          <w:iCs/>
          <w:color w:val="000000" w:themeColor="text1"/>
          <w:sz w:val="16"/>
          <w:szCs w:val="16"/>
        </w:rPr>
      </w:pPr>
    </w:p>
    <w:p w14:paraId="238C7116" w14:textId="77777777" w:rsidR="00573476" w:rsidRPr="00F90EAE" w:rsidRDefault="00573476" w:rsidP="00F90EAE">
      <w:pPr>
        <w:jc w:val="both"/>
        <w:rPr>
          <w:color w:val="000000" w:themeColor="text1"/>
          <w:sz w:val="16"/>
          <w:szCs w:val="16"/>
        </w:rPr>
      </w:pPr>
      <w:r w:rsidRPr="00F90EAE">
        <w:rPr>
          <w:color w:val="000000" w:themeColor="text1"/>
          <w:sz w:val="16"/>
          <w:szCs w:val="16"/>
        </w:rPr>
        <w:t>13 января 1945 года Нарком Шахурин подписал приказ № 7сс «О мероприятиях по обеспечению испытаний объекта 10Х конструкции т. Челомея» (12415).</w:t>
      </w:r>
    </w:p>
    <w:p w14:paraId="5DDB21F9" w14:textId="77777777" w:rsidR="00573476" w:rsidRPr="00F90EAE" w:rsidRDefault="00573476" w:rsidP="00F90EAE">
      <w:pPr>
        <w:jc w:val="both"/>
        <w:rPr>
          <w:color w:val="000000" w:themeColor="text1"/>
          <w:sz w:val="16"/>
          <w:szCs w:val="16"/>
        </w:rPr>
      </w:pPr>
    </w:p>
    <w:p w14:paraId="3AB3242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57EA5B8" w14:textId="77777777" w:rsidR="00C2313B" w:rsidRPr="00F90EAE" w:rsidRDefault="00C2313B" w:rsidP="00F90EAE">
      <w:pPr>
        <w:autoSpaceDE w:val="0"/>
        <w:autoSpaceDN w:val="0"/>
        <w:adjustRightInd w:val="0"/>
        <w:jc w:val="both"/>
        <w:rPr>
          <w:iCs/>
          <w:color w:val="000000" w:themeColor="text1"/>
          <w:sz w:val="16"/>
          <w:szCs w:val="16"/>
        </w:rPr>
      </w:pPr>
    </w:p>
    <w:p w14:paraId="66A824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7310 О плане распределения чугуна, кокса, ферросплавов, труб и метизов на январь 1945 года. РГАНИР, Фонд ГКО, д. 349, лл. 6, 7-27 (11012).</w:t>
      </w:r>
    </w:p>
    <w:p w14:paraId="5B7F3791" w14:textId="77777777" w:rsidR="00C2313B" w:rsidRPr="00F90EAE" w:rsidRDefault="00C2313B" w:rsidP="00F90EAE">
      <w:pPr>
        <w:autoSpaceDE w:val="0"/>
        <w:autoSpaceDN w:val="0"/>
        <w:adjustRightInd w:val="0"/>
        <w:jc w:val="both"/>
        <w:rPr>
          <w:color w:val="000000" w:themeColor="text1"/>
          <w:sz w:val="16"/>
          <w:szCs w:val="16"/>
        </w:rPr>
      </w:pPr>
    </w:p>
    <w:p w14:paraId="3A83A2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7311 О плане производства и ремонта боевых установок М-31, М-13 и М-8 в I квартале 1945 г. РГАНИР, Фонд ГКО, д. 349, лл. 28-29, 30-46 (11012).</w:t>
      </w:r>
    </w:p>
    <w:p w14:paraId="66F42C4B" w14:textId="77777777" w:rsidR="00C2313B" w:rsidRPr="00F90EAE" w:rsidRDefault="00C2313B" w:rsidP="00F90EAE">
      <w:pPr>
        <w:autoSpaceDE w:val="0"/>
        <w:autoSpaceDN w:val="0"/>
        <w:adjustRightInd w:val="0"/>
        <w:jc w:val="both"/>
        <w:rPr>
          <w:color w:val="000000" w:themeColor="text1"/>
          <w:sz w:val="16"/>
          <w:szCs w:val="16"/>
        </w:rPr>
      </w:pPr>
    </w:p>
    <w:p w14:paraId="405418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7312 Об обеспечении Военно-Морского Флота противоторпедными и боно-сетевыми заграждениями. РГАНИР, Фонд ГКО, д. 349, лл. 47-48 (11012).</w:t>
      </w:r>
    </w:p>
    <w:p w14:paraId="75307BDE" w14:textId="77777777" w:rsidR="00C2313B" w:rsidRPr="00F90EAE" w:rsidRDefault="00C2313B" w:rsidP="00F90EAE">
      <w:pPr>
        <w:autoSpaceDE w:val="0"/>
        <w:autoSpaceDN w:val="0"/>
        <w:adjustRightInd w:val="0"/>
        <w:jc w:val="both"/>
        <w:rPr>
          <w:color w:val="000000" w:themeColor="text1"/>
          <w:sz w:val="16"/>
          <w:szCs w:val="16"/>
        </w:rPr>
      </w:pPr>
    </w:p>
    <w:p w14:paraId="600CE7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7313 О завершении строительства заготовительных цехов завода № 174 Наркомтанкопрома. РГАНИР, Фонд ГКО, д. 349, лл. 49-51 (11012).</w:t>
      </w:r>
    </w:p>
    <w:p w14:paraId="6A2218E4" w14:textId="77777777" w:rsidR="00C2313B" w:rsidRPr="00F90EAE" w:rsidRDefault="00C2313B" w:rsidP="00F90EAE">
      <w:pPr>
        <w:autoSpaceDE w:val="0"/>
        <w:autoSpaceDN w:val="0"/>
        <w:adjustRightInd w:val="0"/>
        <w:jc w:val="both"/>
        <w:rPr>
          <w:color w:val="000000" w:themeColor="text1"/>
          <w:sz w:val="16"/>
          <w:szCs w:val="16"/>
        </w:rPr>
      </w:pPr>
    </w:p>
    <w:p w14:paraId="3921D2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7314 О плане распределения природного газа на I квартал 1945 г. РГАНИР, Фонд ГКО, д. 349, лл. 52, 53-56 (11012).</w:t>
      </w:r>
    </w:p>
    <w:p w14:paraId="6199F7E6" w14:textId="77777777" w:rsidR="00C2313B" w:rsidRPr="00F90EAE" w:rsidRDefault="00C2313B" w:rsidP="00F90EAE">
      <w:pPr>
        <w:autoSpaceDE w:val="0"/>
        <w:autoSpaceDN w:val="0"/>
        <w:adjustRightInd w:val="0"/>
        <w:jc w:val="both"/>
        <w:rPr>
          <w:color w:val="000000" w:themeColor="text1"/>
          <w:sz w:val="16"/>
          <w:szCs w:val="16"/>
        </w:rPr>
      </w:pPr>
    </w:p>
    <w:p w14:paraId="6AC820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7315 О балансах и планах распределения сырья и проката цветных металлов, припоев, баббитов, угольных и графитовых электродов, нефтяного кокса и кабельных изделий на I квартал 1945 г. РГАНИР, Фонд ГКО, д. 349, лл. 57-59, 60-130 (11012).</w:t>
      </w:r>
    </w:p>
    <w:p w14:paraId="1A844E5A" w14:textId="77777777" w:rsidR="00C2313B" w:rsidRPr="00F90EAE" w:rsidRDefault="00C2313B" w:rsidP="00F90EAE">
      <w:pPr>
        <w:autoSpaceDE w:val="0"/>
        <w:autoSpaceDN w:val="0"/>
        <w:adjustRightInd w:val="0"/>
        <w:jc w:val="both"/>
        <w:rPr>
          <w:color w:val="000000" w:themeColor="text1"/>
          <w:sz w:val="16"/>
          <w:szCs w:val="16"/>
        </w:rPr>
      </w:pPr>
    </w:p>
    <w:p w14:paraId="60BEA2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7316 О плане распределения острого пара, отпускаемого электростанциями Наркомата электростанций для технологических нужд промышленных предприятий на I квартал 1945 года. РГАНИР, Фонд ГКО, д. 349, лл. 131, 132-133 (11012).</w:t>
      </w:r>
    </w:p>
    <w:p w14:paraId="0C6CA6C6" w14:textId="77777777" w:rsidR="00C2313B" w:rsidRPr="00F90EAE" w:rsidRDefault="00C2313B" w:rsidP="00F90EAE">
      <w:pPr>
        <w:autoSpaceDE w:val="0"/>
        <w:autoSpaceDN w:val="0"/>
        <w:adjustRightInd w:val="0"/>
        <w:jc w:val="both"/>
        <w:rPr>
          <w:color w:val="000000" w:themeColor="text1"/>
          <w:sz w:val="16"/>
          <w:szCs w:val="16"/>
        </w:rPr>
      </w:pPr>
    </w:p>
    <w:p w14:paraId="3F46BC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7317 О поставке водорода аэростатным частям Красной Армии в I квартале 1945 года. РГАНИР, Фонд ГКО, д. 349, лл. 134-135, 136-139 (11012).</w:t>
      </w:r>
    </w:p>
    <w:p w14:paraId="17AAA71C" w14:textId="77777777" w:rsidR="00C2313B" w:rsidRPr="00F90EAE" w:rsidRDefault="00C2313B" w:rsidP="00F90EAE">
      <w:pPr>
        <w:autoSpaceDE w:val="0"/>
        <w:autoSpaceDN w:val="0"/>
        <w:adjustRightInd w:val="0"/>
        <w:jc w:val="both"/>
        <w:rPr>
          <w:color w:val="000000" w:themeColor="text1"/>
          <w:sz w:val="16"/>
          <w:szCs w:val="16"/>
        </w:rPr>
      </w:pPr>
    </w:p>
    <w:p w14:paraId="08D98E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7320 О мероприятиях по оказанию помощи судостроительным заводам № 444 и 445 Наркомсудпрома в г. Николаеве. РГАНИР, Фонд ГКО, д. 349, лл. 147-158, 159-167 (11012).</w:t>
      </w:r>
    </w:p>
    <w:p w14:paraId="1D2D4660" w14:textId="77777777" w:rsidR="00C2313B" w:rsidRPr="00F90EAE" w:rsidRDefault="00C2313B" w:rsidP="00F90EAE">
      <w:pPr>
        <w:autoSpaceDE w:val="0"/>
        <w:autoSpaceDN w:val="0"/>
        <w:adjustRightInd w:val="0"/>
        <w:jc w:val="both"/>
        <w:rPr>
          <w:color w:val="000000" w:themeColor="text1"/>
          <w:sz w:val="16"/>
          <w:szCs w:val="16"/>
        </w:rPr>
      </w:pPr>
    </w:p>
    <w:p w14:paraId="6CF19CE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7321 О плане ремонта вооружения для Красной Армии на I квартал 1945 г. (7296, 168-175,176-286).</w:t>
      </w:r>
    </w:p>
    <w:p w14:paraId="0C1E17F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98995D2" w14:textId="77777777" w:rsidR="002D2573" w:rsidRPr="00F90EAE" w:rsidRDefault="002D2573" w:rsidP="00F90EAE">
      <w:pPr>
        <w:jc w:val="both"/>
        <w:rPr>
          <w:color w:val="000000" w:themeColor="text1"/>
          <w:sz w:val="16"/>
          <w:szCs w:val="16"/>
        </w:rPr>
      </w:pPr>
      <w:r w:rsidRPr="00F90EAE">
        <w:rPr>
          <w:color w:val="000000" w:themeColor="text1"/>
          <w:sz w:val="16"/>
          <w:szCs w:val="16"/>
        </w:rPr>
        <w:t>13 января 1945 г. Из докладной записки Татарского обкома ВКП (б) в Центральный комитет ВКП (б) о работе завода № 340 в годы Великой Отечественной войны</w:t>
      </w:r>
    </w:p>
    <w:p w14:paraId="2E45A39C" w14:textId="77777777" w:rsidR="002D2573" w:rsidRPr="00F90EAE" w:rsidRDefault="002D2573" w:rsidP="00F90EAE">
      <w:pPr>
        <w:jc w:val="both"/>
        <w:rPr>
          <w:color w:val="000000" w:themeColor="text1"/>
          <w:sz w:val="16"/>
          <w:szCs w:val="16"/>
        </w:rPr>
      </w:pPr>
      <w:r w:rsidRPr="00F90EAE">
        <w:rPr>
          <w:color w:val="000000" w:themeColor="text1"/>
          <w:sz w:val="16"/>
          <w:szCs w:val="16"/>
        </w:rPr>
        <w:t>Завод № 340 из небольшого предприятия с весьма ограниченной номенклатурой продукции за годы Великой Отечественной войны значительно увеличил мощности и вырос в крупное предприятие Наркомсудпрома с весьма расширенной номенклатурой. За это время введено в эксплуатацию свыше 20000 кв. метров производственных площадей, почти вдвое увеличено количество оборудования, освоено ряд новых производств, в том числе: выплавка электростали, изготовление брони, карбид-кальция и т. п.</w:t>
      </w:r>
    </w:p>
    <w:p w14:paraId="40A25723" w14:textId="77777777" w:rsidR="002D2573" w:rsidRPr="00F90EAE" w:rsidRDefault="002D2573" w:rsidP="00F90EAE">
      <w:pPr>
        <w:jc w:val="both"/>
        <w:rPr>
          <w:color w:val="000000" w:themeColor="text1"/>
          <w:sz w:val="16"/>
          <w:szCs w:val="16"/>
        </w:rPr>
      </w:pPr>
      <w:r w:rsidRPr="00F90EAE">
        <w:rPr>
          <w:color w:val="000000" w:themeColor="text1"/>
          <w:sz w:val="16"/>
          <w:szCs w:val="16"/>
        </w:rPr>
        <w:t>Выпуск валовой продукции увеличен против 1940 г. почти в 5 раз при росте рабсилы в 1,8 раза, а ежемесячный выпуск снарядов возрос в 23 раза.</w:t>
      </w:r>
    </w:p>
    <w:p w14:paraId="2EF5ADC9" w14:textId="77777777" w:rsidR="002D2573" w:rsidRPr="00F90EAE" w:rsidRDefault="002D2573" w:rsidP="00F90EAE">
      <w:pPr>
        <w:jc w:val="both"/>
        <w:rPr>
          <w:color w:val="000000" w:themeColor="text1"/>
          <w:sz w:val="16"/>
          <w:szCs w:val="16"/>
        </w:rPr>
      </w:pPr>
      <w:r w:rsidRPr="00F90EAE">
        <w:rPr>
          <w:color w:val="000000" w:themeColor="text1"/>
          <w:sz w:val="16"/>
          <w:szCs w:val="16"/>
        </w:rPr>
        <w:t>За годы войны изготовлено и сдано на вооружение Красной Армии: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20"/>
        <w:gridCol w:w="1320"/>
      </w:tblGrid>
      <w:tr w:rsidR="00561F31" w:rsidRPr="00F90EAE" w14:paraId="5D568DC2" w14:textId="77777777" w:rsidTr="003D013D">
        <w:trPr>
          <w:tblCellSpacing w:w="0" w:type="dxa"/>
        </w:trPr>
        <w:tc>
          <w:tcPr>
            <w:tcW w:w="6120" w:type="dxa"/>
            <w:hideMark/>
          </w:tcPr>
          <w:p w14:paraId="2218CA38" w14:textId="77777777" w:rsidR="002D2573" w:rsidRPr="00F90EAE" w:rsidRDefault="002D2573" w:rsidP="00F90EAE">
            <w:pPr>
              <w:jc w:val="both"/>
              <w:rPr>
                <w:color w:val="000000" w:themeColor="text1"/>
                <w:sz w:val="16"/>
                <w:szCs w:val="16"/>
              </w:rPr>
            </w:pPr>
            <w:r w:rsidRPr="00F90EAE">
              <w:rPr>
                <w:color w:val="000000" w:themeColor="text1"/>
                <w:sz w:val="16"/>
                <w:szCs w:val="16"/>
              </w:rPr>
              <w:t>Больших охотников за подводными лодками</w:t>
            </w:r>
          </w:p>
        </w:tc>
        <w:tc>
          <w:tcPr>
            <w:tcW w:w="1320" w:type="dxa"/>
            <w:hideMark/>
          </w:tcPr>
          <w:p w14:paraId="2C1283C9" w14:textId="77777777" w:rsidR="002D2573" w:rsidRPr="00F90EAE" w:rsidRDefault="002D2573" w:rsidP="00F90EAE">
            <w:pPr>
              <w:jc w:val="both"/>
              <w:rPr>
                <w:color w:val="000000" w:themeColor="text1"/>
                <w:sz w:val="16"/>
                <w:szCs w:val="16"/>
              </w:rPr>
            </w:pPr>
            <w:r w:rsidRPr="00F90EAE">
              <w:rPr>
                <w:color w:val="000000" w:themeColor="text1"/>
                <w:sz w:val="16"/>
                <w:szCs w:val="16"/>
              </w:rPr>
              <w:t>7 ед.</w:t>
            </w:r>
          </w:p>
        </w:tc>
      </w:tr>
      <w:tr w:rsidR="00561F31" w:rsidRPr="00F90EAE" w14:paraId="4F3D2538" w14:textId="77777777" w:rsidTr="003D013D">
        <w:trPr>
          <w:tblCellSpacing w:w="0" w:type="dxa"/>
        </w:trPr>
        <w:tc>
          <w:tcPr>
            <w:tcW w:w="6120" w:type="dxa"/>
            <w:hideMark/>
          </w:tcPr>
          <w:p w14:paraId="5C894037" w14:textId="77777777" w:rsidR="002D2573" w:rsidRPr="00F90EAE" w:rsidRDefault="002D2573" w:rsidP="00F90EAE">
            <w:pPr>
              <w:jc w:val="both"/>
              <w:rPr>
                <w:color w:val="000000" w:themeColor="text1"/>
                <w:sz w:val="16"/>
                <w:szCs w:val="16"/>
              </w:rPr>
            </w:pPr>
            <w:r w:rsidRPr="00F90EAE">
              <w:rPr>
                <w:color w:val="000000" w:themeColor="text1"/>
                <w:sz w:val="16"/>
                <w:szCs w:val="16"/>
              </w:rPr>
              <w:t>Бронекатеров типа «1124», «1125» и «40»</w:t>
            </w:r>
          </w:p>
        </w:tc>
        <w:tc>
          <w:tcPr>
            <w:tcW w:w="1320" w:type="dxa"/>
            <w:hideMark/>
          </w:tcPr>
          <w:p w14:paraId="187157AC" w14:textId="77777777" w:rsidR="002D2573" w:rsidRPr="00F90EAE" w:rsidRDefault="002D2573" w:rsidP="00F90EAE">
            <w:pPr>
              <w:jc w:val="both"/>
              <w:rPr>
                <w:color w:val="000000" w:themeColor="text1"/>
                <w:sz w:val="16"/>
                <w:szCs w:val="16"/>
              </w:rPr>
            </w:pPr>
            <w:r w:rsidRPr="00F90EAE">
              <w:rPr>
                <w:color w:val="000000" w:themeColor="text1"/>
                <w:sz w:val="16"/>
                <w:szCs w:val="16"/>
              </w:rPr>
              <w:t>77 ед.</w:t>
            </w:r>
          </w:p>
        </w:tc>
      </w:tr>
      <w:tr w:rsidR="00561F31" w:rsidRPr="00F90EAE" w14:paraId="3530D08E" w14:textId="77777777" w:rsidTr="003D013D">
        <w:trPr>
          <w:tblCellSpacing w:w="0" w:type="dxa"/>
        </w:trPr>
        <w:tc>
          <w:tcPr>
            <w:tcW w:w="6120" w:type="dxa"/>
            <w:hideMark/>
          </w:tcPr>
          <w:p w14:paraId="77C9B6F9" w14:textId="77777777" w:rsidR="002D2573" w:rsidRPr="00F90EAE" w:rsidRDefault="002D2573" w:rsidP="00F90EAE">
            <w:pPr>
              <w:jc w:val="both"/>
              <w:rPr>
                <w:color w:val="000000" w:themeColor="text1"/>
                <w:sz w:val="16"/>
                <w:szCs w:val="16"/>
              </w:rPr>
            </w:pPr>
            <w:r w:rsidRPr="00F90EAE">
              <w:rPr>
                <w:color w:val="000000" w:themeColor="text1"/>
                <w:sz w:val="16"/>
                <w:szCs w:val="16"/>
              </w:rPr>
              <w:t>Морских буксиров 200 л. с.</w:t>
            </w:r>
          </w:p>
        </w:tc>
        <w:tc>
          <w:tcPr>
            <w:tcW w:w="1320" w:type="dxa"/>
            <w:hideMark/>
          </w:tcPr>
          <w:p w14:paraId="107D624D" w14:textId="77777777" w:rsidR="002D2573" w:rsidRPr="00F90EAE" w:rsidRDefault="002D2573" w:rsidP="00F90EAE">
            <w:pPr>
              <w:jc w:val="both"/>
              <w:rPr>
                <w:color w:val="000000" w:themeColor="text1"/>
                <w:sz w:val="16"/>
                <w:szCs w:val="16"/>
              </w:rPr>
            </w:pPr>
            <w:r w:rsidRPr="00F90EAE">
              <w:rPr>
                <w:color w:val="000000" w:themeColor="text1"/>
                <w:sz w:val="16"/>
                <w:szCs w:val="16"/>
              </w:rPr>
              <w:t>7 ед.</w:t>
            </w:r>
          </w:p>
        </w:tc>
      </w:tr>
      <w:tr w:rsidR="00561F31" w:rsidRPr="00F90EAE" w14:paraId="50CF7631" w14:textId="77777777" w:rsidTr="003D013D">
        <w:trPr>
          <w:tblCellSpacing w:w="0" w:type="dxa"/>
        </w:trPr>
        <w:tc>
          <w:tcPr>
            <w:tcW w:w="6120" w:type="dxa"/>
            <w:hideMark/>
          </w:tcPr>
          <w:p w14:paraId="2CBDB459" w14:textId="77777777" w:rsidR="002D2573" w:rsidRPr="00F90EAE" w:rsidRDefault="002D2573" w:rsidP="00F90EAE">
            <w:pPr>
              <w:jc w:val="both"/>
              <w:rPr>
                <w:color w:val="000000" w:themeColor="text1"/>
                <w:sz w:val="16"/>
                <w:szCs w:val="16"/>
              </w:rPr>
            </w:pPr>
            <w:r w:rsidRPr="00F90EAE">
              <w:rPr>
                <w:color w:val="000000" w:themeColor="text1"/>
                <w:sz w:val="16"/>
                <w:szCs w:val="16"/>
              </w:rPr>
              <w:t>Опытный стальной торпедный катер дальнего действия</w:t>
            </w:r>
          </w:p>
        </w:tc>
        <w:tc>
          <w:tcPr>
            <w:tcW w:w="1320" w:type="dxa"/>
            <w:hideMark/>
          </w:tcPr>
          <w:p w14:paraId="04BC8F3B" w14:textId="77777777" w:rsidR="002D2573" w:rsidRPr="00F90EAE" w:rsidRDefault="002D2573" w:rsidP="00F90EAE">
            <w:pPr>
              <w:jc w:val="both"/>
              <w:rPr>
                <w:color w:val="000000" w:themeColor="text1"/>
                <w:sz w:val="16"/>
                <w:szCs w:val="16"/>
              </w:rPr>
            </w:pPr>
            <w:r w:rsidRPr="00F90EAE">
              <w:rPr>
                <w:color w:val="000000" w:themeColor="text1"/>
                <w:sz w:val="16"/>
                <w:szCs w:val="16"/>
              </w:rPr>
              <w:t>1 ед.</w:t>
            </w:r>
          </w:p>
        </w:tc>
      </w:tr>
      <w:tr w:rsidR="00561F31" w:rsidRPr="00F90EAE" w14:paraId="63EF7444" w14:textId="77777777" w:rsidTr="003D013D">
        <w:trPr>
          <w:tblCellSpacing w:w="0" w:type="dxa"/>
        </w:trPr>
        <w:tc>
          <w:tcPr>
            <w:tcW w:w="6120" w:type="dxa"/>
            <w:hideMark/>
          </w:tcPr>
          <w:p w14:paraId="41F612A3" w14:textId="77777777" w:rsidR="002D2573" w:rsidRPr="00F90EAE" w:rsidRDefault="002D2573" w:rsidP="00F90EAE">
            <w:pPr>
              <w:jc w:val="both"/>
              <w:rPr>
                <w:color w:val="000000" w:themeColor="text1"/>
                <w:sz w:val="16"/>
                <w:szCs w:val="16"/>
              </w:rPr>
            </w:pPr>
            <w:r w:rsidRPr="00F90EAE">
              <w:rPr>
                <w:color w:val="000000" w:themeColor="text1"/>
                <w:sz w:val="16"/>
                <w:szCs w:val="16"/>
              </w:rPr>
              <w:t>Тралбарж</w:t>
            </w:r>
          </w:p>
        </w:tc>
        <w:tc>
          <w:tcPr>
            <w:tcW w:w="1320" w:type="dxa"/>
            <w:hideMark/>
          </w:tcPr>
          <w:p w14:paraId="1835D314" w14:textId="77777777" w:rsidR="002D2573" w:rsidRPr="00F90EAE" w:rsidRDefault="002D2573" w:rsidP="00F90EAE">
            <w:pPr>
              <w:jc w:val="both"/>
              <w:rPr>
                <w:color w:val="000000" w:themeColor="text1"/>
                <w:sz w:val="16"/>
                <w:szCs w:val="16"/>
              </w:rPr>
            </w:pPr>
            <w:r w:rsidRPr="00F90EAE">
              <w:rPr>
                <w:color w:val="000000" w:themeColor="text1"/>
                <w:sz w:val="16"/>
                <w:szCs w:val="16"/>
              </w:rPr>
              <w:t>5 ед.</w:t>
            </w:r>
          </w:p>
        </w:tc>
      </w:tr>
      <w:tr w:rsidR="00561F31" w:rsidRPr="00F90EAE" w14:paraId="3717542B" w14:textId="77777777" w:rsidTr="003D013D">
        <w:trPr>
          <w:tblCellSpacing w:w="0" w:type="dxa"/>
        </w:trPr>
        <w:tc>
          <w:tcPr>
            <w:tcW w:w="6120" w:type="dxa"/>
            <w:hideMark/>
          </w:tcPr>
          <w:p w14:paraId="744C31E9" w14:textId="77777777" w:rsidR="002D2573" w:rsidRPr="00F90EAE" w:rsidRDefault="002D2573" w:rsidP="00F90EAE">
            <w:pPr>
              <w:jc w:val="both"/>
              <w:rPr>
                <w:color w:val="000000" w:themeColor="text1"/>
                <w:sz w:val="16"/>
                <w:szCs w:val="16"/>
              </w:rPr>
            </w:pPr>
            <w:r w:rsidRPr="00F90EAE">
              <w:rPr>
                <w:color w:val="000000" w:themeColor="text1"/>
                <w:sz w:val="16"/>
                <w:szCs w:val="16"/>
              </w:rPr>
              <w:t>Снарядов d 76 мм свыше</w:t>
            </w:r>
          </w:p>
        </w:tc>
        <w:tc>
          <w:tcPr>
            <w:tcW w:w="1320" w:type="dxa"/>
            <w:hideMark/>
          </w:tcPr>
          <w:p w14:paraId="2A23B65A" w14:textId="77777777" w:rsidR="002D2573" w:rsidRPr="00F90EAE" w:rsidRDefault="002D2573" w:rsidP="00F90EAE">
            <w:pPr>
              <w:jc w:val="both"/>
              <w:rPr>
                <w:color w:val="000000" w:themeColor="text1"/>
                <w:sz w:val="16"/>
                <w:szCs w:val="16"/>
              </w:rPr>
            </w:pPr>
            <w:r w:rsidRPr="00F90EAE">
              <w:rPr>
                <w:color w:val="000000" w:themeColor="text1"/>
                <w:sz w:val="16"/>
                <w:szCs w:val="16"/>
              </w:rPr>
              <w:t>3,5 млн.</w:t>
            </w:r>
          </w:p>
        </w:tc>
      </w:tr>
      <w:tr w:rsidR="00561F31" w:rsidRPr="00F90EAE" w14:paraId="24D132AF" w14:textId="77777777" w:rsidTr="003D013D">
        <w:trPr>
          <w:tblCellSpacing w:w="0" w:type="dxa"/>
        </w:trPr>
        <w:tc>
          <w:tcPr>
            <w:tcW w:w="6120" w:type="dxa"/>
            <w:hideMark/>
          </w:tcPr>
          <w:p w14:paraId="1504B550" w14:textId="77777777" w:rsidR="002D2573" w:rsidRPr="00F90EAE" w:rsidRDefault="002D2573" w:rsidP="00F90EAE">
            <w:pPr>
              <w:jc w:val="both"/>
              <w:rPr>
                <w:color w:val="000000" w:themeColor="text1"/>
                <w:sz w:val="16"/>
                <w:szCs w:val="16"/>
              </w:rPr>
            </w:pPr>
            <w:r w:rsidRPr="00F90EAE">
              <w:rPr>
                <w:color w:val="000000" w:themeColor="text1"/>
                <w:sz w:val="16"/>
                <w:szCs w:val="16"/>
              </w:rPr>
              <w:t>Оборудование для аэросаней</w:t>
            </w:r>
          </w:p>
        </w:tc>
        <w:tc>
          <w:tcPr>
            <w:tcW w:w="1320" w:type="dxa"/>
            <w:hideMark/>
          </w:tcPr>
          <w:p w14:paraId="70AC80AC" w14:textId="77777777" w:rsidR="002D2573" w:rsidRPr="00F90EAE" w:rsidRDefault="002D2573" w:rsidP="00F90EAE">
            <w:pPr>
              <w:jc w:val="both"/>
              <w:rPr>
                <w:color w:val="000000" w:themeColor="text1"/>
                <w:sz w:val="16"/>
                <w:szCs w:val="16"/>
              </w:rPr>
            </w:pPr>
            <w:r w:rsidRPr="00F90EAE">
              <w:rPr>
                <w:color w:val="000000" w:themeColor="text1"/>
                <w:sz w:val="16"/>
                <w:szCs w:val="16"/>
              </w:rPr>
              <w:t>300 ком.</w:t>
            </w:r>
          </w:p>
        </w:tc>
      </w:tr>
      <w:tr w:rsidR="00561F31" w:rsidRPr="00F90EAE" w14:paraId="1FF576E7" w14:textId="77777777" w:rsidTr="003D013D">
        <w:trPr>
          <w:tblCellSpacing w:w="0" w:type="dxa"/>
        </w:trPr>
        <w:tc>
          <w:tcPr>
            <w:tcW w:w="6120" w:type="dxa"/>
            <w:hideMark/>
          </w:tcPr>
          <w:p w14:paraId="08922225" w14:textId="77777777" w:rsidR="002D2573" w:rsidRPr="00F90EAE" w:rsidRDefault="002D2573" w:rsidP="00F90EAE">
            <w:pPr>
              <w:jc w:val="both"/>
              <w:rPr>
                <w:color w:val="000000" w:themeColor="text1"/>
                <w:sz w:val="16"/>
                <w:szCs w:val="16"/>
              </w:rPr>
            </w:pPr>
            <w:r w:rsidRPr="00F90EAE">
              <w:rPr>
                <w:color w:val="000000" w:themeColor="text1"/>
                <w:sz w:val="16"/>
                <w:szCs w:val="16"/>
              </w:rPr>
              <w:t>Сдвоенных и строенных зенитных установок</w:t>
            </w:r>
          </w:p>
        </w:tc>
        <w:tc>
          <w:tcPr>
            <w:tcW w:w="1320" w:type="dxa"/>
            <w:hideMark/>
          </w:tcPr>
          <w:p w14:paraId="69348C41" w14:textId="77777777" w:rsidR="002D2573" w:rsidRPr="00F90EAE" w:rsidRDefault="002D2573" w:rsidP="00F90EAE">
            <w:pPr>
              <w:jc w:val="both"/>
              <w:rPr>
                <w:color w:val="000000" w:themeColor="text1"/>
                <w:sz w:val="16"/>
                <w:szCs w:val="16"/>
              </w:rPr>
            </w:pPr>
            <w:r w:rsidRPr="00F90EAE">
              <w:rPr>
                <w:color w:val="000000" w:themeColor="text1"/>
                <w:sz w:val="16"/>
                <w:szCs w:val="16"/>
              </w:rPr>
              <w:t>605 ед.</w:t>
            </w:r>
          </w:p>
        </w:tc>
      </w:tr>
      <w:tr w:rsidR="00561F31" w:rsidRPr="00F90EAE" w14:paraId="687D8631" w14:textId="77777777" w:rsidTr="003D013D">
        <w:trPr>
          <w:tblCellSpacing w:w="0" w:type="dxa"/>
        </w:trPr>
        <w:tc>
          <w:tcPr>
            <w:tcW w:w="6120" w:type="dxa"/>
            <w:hideMark/>
          </w:tcPr>
          <w:p w14:paraId="26DF34DE" w14:textId="77777777" w:rsidR="002D2573" w:rsidRPr="00F90EAE" w:rsidRDefault="002D2573" w:rsidP="00F90EAE">
            <w:pPr>
              <w:jc w:val="both"/>
              <w:rPr>
                <w:color w:val="000000" w:themeColor="text1"/>
                <w:sz w:val="16"/>
                <w:szCs w:val="16"/>
              </w:rPr>
            </w:pPr>
            <w:r w:rsidRPr="00F90EAE">
              <w:rPr>
                <w:color w:val="000000" w:themeColor="text1"/>
                <w:sz w:val="16"/>
                <w:szCs w:val="16"/>
              </w:rPr>
              <w:t>Крупнокалиберных зенитных установок ДШК</w:t>
            </w:r>
          </w:p>
        </w:tc>
        <w:tc>
          <w:tcPr>
            <w:tcW w:w="1320" w:type="dxa"/>
            <w:hideMark/>
          </w:tcPr>
          <w:p w14:paraId="5BFBDDEC" w14:textId="77777777" w:rsidR="002D2573" w:rsidRPr="00F90EAE" w:rsidRDefault="002D2573" w:rsidP="00F90EAE">
            <w:pPr>
              <w:jc w:val="both"/>
              <w:rPr>
                <w:color w:val="000000" w:themeColor="text1"/>
                <w:sz w:val="16"/>
                <w:szCs w:val="16"/>
              </w:rPr>
            </w:pPr>
            <w:r w:rsidRPr="00F90EAE">
              <w:rPr>
                <w:color w:val="000000" w:themeColor="text1"/>
                <w:sz w:val="16"/>
                <w:szCs w:val="16"/>
              </w:rPr>
              <w:t>2175 ед.</w:t>
            </w:r>
          </w:p>
        </w:tc>
      </w:tr>
    </w:tbl>
    <w:p w14:paraId="3291EF60" w14:textId="77777777" w:rsidR="002D2573" w:rsidRPr="00F90EAE" w:rsidRDefault="002D2573" w:rsidP="00F90EAE">
      <w:pPr>
        <w:jc w:val="both"/>
        <w:rPr>
          <w:color w:val="000000" w:themeColor="text1"/>
          <w:sz w:val="16"/>
          <w:szCs w:val="16"/>
        </w:rPr>
      </w:pPr>
      <w:r w:rsidRPr="00F90EAE">
        <w:rPr>
          <w:color w:val="000000" w:themeColor="text1"/>
          <w:sz w:val="16"/>
          <w:szCs w:val="16"/>
        </w:rPr>
        <w:t>и т.п.</w:t>
      </w:r>
    </w:p>
    <w:p w14:paraId="23990D18" w14:textId="77777777" w:rsidR="002D2573" w:rsidRPr="00F90EAE" w:rsidRDefault="002D2573" w:rsidP="00F90EAE">
      <w:pPr>
        <w:jc w:val="both"/>
        <w:rPr>
          <w:color w:val="000000" w:themeColor="text1"/>
          <w:sz w:val="16"/>
          <w:szCs w:val="16"/>
        </w:rPr>
      </w:pPr>
      <w:r w:rsidRPr="00F90EAE">
        <w:rPr>
          <w:color w:val="000000" w:themeColor="text1"/>
          <w:sz w:val="16"/>
          <w:szCs w:val="16"/>
        </w:rPr>
        <w:t>Однако, нарастив значительные мощности, завод в 1944 году производственную программу выполнил по валовой продукции лишь на 65,7, а по товарной - на 59,5 %.</w:t>
      </w:r>
    </w:p>
    <w:p w14:paraId="419815AE" w14:textId="77777777" w:rsidR="002D2573" w:rsidRPr="00F90EAE" w:rsidRDefault="002D2573" w:rsidP="00F90EAE">
      <w:pPr>
        <w:jc w:val="both"/>
        <w:rPr>
          <w:color w:val="000000" w:themeColor="text1"/>
          <w:sz w:val="16"/>
          <w:szCs w:val="16"/>
        </w:rPr>
      </w:pPr>
      <w:r w:rsidRPr="00F90EAE">
        <w:rPr>
          <w:color w:val="000000" w:themeColor="text1"/>
          <w:sz w:val="16"/>
          <w:szCs w:val="16"/>
        </w:rPr>
        <w:t>Основной причиной такой неудовлетворительной работы является исключительно плохое материально-техническое снабжение завода и острый недостаток в транспорте. […]</w:t>
      </w:r>
      <w:hyperlink r:id="rId12" w:anchor="_ftn1" w:history="1">
        <w:r w:rsidRPr="00F90EAE">
          <w:rPr>
            <w:color w:val="000000" w:themeColor="text1"/>
            <w:sz w:val="16"/>
            <w:szCs w:val="16"/>
          </w:rPr>
          <w:t>[1]</w:t>
        </w:r>
      </w:hyperlink>
    </w:p>
    <w:p w14:paraId="02848463" w14:textId="77777777" w:rsidR="002D2573" w:rsidRPr="00F90EAE" w:rsidRDefault="002D2573" w:rsidP="00F90EAE">
      <w:pPr>
        <w:jc w:val="both"/>
        <w:rPr>
          <w:color w:val="000000" w:themeColor="text1"/>
          <w:sz w:val="16"/>
          <w:szCs w:val="16"/>
        </w:rPr>
      </w:pPr>
      <w:r w:rsidRPr="00F90EAE">
        <w:rPr>
          <w:color w:val="000000" w:themeColor="text1"/>
          <w:sz w:val="16"/>
          <w:szCs w:val="16"/>
        </w:rPr>
        <w:lastRenderedPageBreak/>
        <w:t>В связи с вышеизложенным, прошу Ваших указаний наркому судостроительной промышленности о создании нормальных условий для работы завода № 340 в 1945 году, тем самым, дав возможность большому коллективу работающих справиться с возложенными на него задачами.</w:t>
      </w:r>
    </w:p>
    <w:p w14:paraId="30D78B14" w14:textId="77777777" w:rsidR="002D2573" w:rsidRPr="00F90EAE" w:rsidRDefault="002D2573" w:rsidP="00F90EAE">
      <w:pPr>
        <w:jc w:val="both"/>
        <w:rPr>
          <w:color w:val="000000" w:themeColor="text1"/>
          <w:sz w:val="16"/>
          <w:szCs w:val="16"/>
        </w:rPr>
      </w:pPr>
      <w:r w:rsidRPr="00F90EAE">
        <w:rPr>
          <w:color w:val="000000" w:themeColor="text1"/>
          <w:sz w:val="16"/>
          <w:szCs w:val="16"/>
        </w:rPr>
        <w:t>Секретарь Татарского обкома ВКП (б) Малов</w:t>
      </w:r>
    </w:p>
    <w:p w14:paraId="57FF5230" w14:textId="77777777" w:rsidR="002D2573" w:rsidRPr="00F90EAE" w:rsidRDefault="002D2573" w:rsidP="00F90EAE">
      <w:pPr>
        <w:jc w:val="both"/>
        <w:rPr>
          <w:color w:val="000000" w:themeColor="text1"/>
          <w:sz w:val="16"/>
          <w:szCs w:val="16"/>
        </w:rPr>
      </w:pPr>
      <w:r w:rsidRPr="00F90EAE">
        <w:rPr>
          <w:color w:val="000000" w:themeColor="text1"/>
          <w:sz w:val="16"/>
          <w:szCs w:val="16"/>
        </w:rPr>
        <w:t>ЦГА ИПД РТ. Ф. 15. Оп. 5. Д. 1688. Л. 38, 39, 41. Подлинник (15494).</w:t>
      </w:r>
    </w:p>
    <w:p w14:paraId="7900D6B2" w14:textId="77777777" w:rsidR="002D2573" w:rsidRPr="00F90EAE" w:rsidRDefault="002D2573" w:rsidP="00F90EAE">
      <w:pPr>
        <w:jc w:val="both"/>
        <w:rPr>
          <w:color w:val="000000" w:themeColor="text1"/>
          <w:sz w:val="16"/>
          <w:szCs w:val="16"/>
        </w:rPr>
      </w:pPr>
    </w:p>
    <w:p w14:paraId="3039740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724489F" w14:textId="77777777" w:rsidR="00C2313B" w:rsidRPr="00F90EAE" w:rsidRDefault="00C2313B" w:rsidP="00F90EAE">
      <w:pPr>
        <w:autoSpaceDE w:val="0"/>
        <w:autoSpaceDN w:val="0"/>
        <w:adjustRightInd w:val="0"/>
        <w:jc w:val="both"/>
        <w:rPr>
          <w:iCs/>
          <w:color w:val="000000" w:themeColor="text1"/>
          <w:sz w:val="16"/>
          <w:szCs w:val="16"/>
        </w:rPr>
      </w:pPr>
    </w:p>
    <w:p w14:paraId="3602B1B6" w14:textId="77777777" w:rsidR="00F60E3F" w:rsidRPr="00F90EAE" w:rsidRDefault="00F60E3F" w:rsidP="00F90EAE">
      <w:pPr>
        <w:jc w:val="both"/>
        <w:rPr>
          <w:color w:val="000000" w:themeColor="text1"/>
          <w:sz w:val="16"/>
          <w:szCs w:val="16"/>
        </w:rPr>
      </w:pPr>
      <w:r w:rsidRPr="00F90EAE">
        <w:rPr>
          <w:bCs/>
          <w:color w:val="000000" w:themeColor="text1"/>
          <w:sz w:val="16"/>
          <w:szCs w:val="16"/>
        </w:rPr>
        <w:t>13 января</w:t>
      </w:r>
      <w:r w:rsidRPr="00F90EAE">
        <w:rPr>
          <w:color w:val="000000" w:themeColor="text1"/>
          <w:sz w:val="16"/>
          <w:szCs w:val="16"/>
        </w:rPr>
        <w:t xml:space="preserve"> в 1945 году оперативная сводка Совинформбюро:</w:t>
      </w:r>
    </w:p>
    <w:p w14:paraId="20686491" w14:textId="77777777" w:rsidR="00F60E3F" w:rsidRPr="00F90EAE" w:rsidRDefault="00F60E3F" w:rsidP="00F90EAE">
      <w:pPr>
        <w:jc w:val="both"/>
        <w:rPr>
          <w:color w:val="000000" w:themeColor="text1"/>
          <w:sz w:val="16"/>
          <w:szCs w:val="16"/>
        </w:rPr>
      </w:pPr>
      <w:r w:rsidRPr="00F90EAE">
        <w:rPr>
          <w:color w:val="000000" w:themeColor="text1"/>
          <w:sz w:val="16"/>
          <w:szCs w:val="16"/>
        </w:rPr>
        <w:t>«Войска 1-го Украинского фронта, перейдя в наступление 12 января из района западнее САНДОМИРА, несмотря на плохие условия погоды, исключающие боевую поддержку авиации, прорвали сильно укреплённую оборону противника на фронте протяжением 40 километров.</w:t>
      </w:r>
    </w:p>
    <w:p w14:paraId="5FE6D329" w14:textId="77777777" w:rsidR="00F60E3F" w:rsidRPr="00F90EAE" w:rsidRDefault="00F60E3F" w:rsidP="00F90EAE">
      <w:pPr>
        <w:jc w:val="both"/>
        <w:rPr>
          <w:color w:val="000000" w:themeColor="text1"/>
          <w:sz w:val="16"/>
          <w:szCs w:val="16"/>
        </w:rPr>
      </w:pPr>
      <w:r w:rsidRPr="00F90EAE">
        <w:rPr>
          <w:color w:val="000000" w:themeColor="text1"/>
          <w:sz w:val="16"/>
          <w:szCs w:val="16"/>
        </w:rPr>
        <w:t>Решающее значение в прорыве обороны противника имело мощное и хорошо организованное артиллерийское наступление.</w:t>
      </w:r>
    </w:p>
    <w:p w14:paraId="353FA67C" w14:textId="77777777" w:rsidR="00F60E3F" w:rsidRPr="00F90EAE" w:rsidRDefault="00F60E3F" w:rsidP="00F90EAE">
      <w:pPr>
        <w:jc w:val="both"/>
        <w:rPr>
          <w:color w:val="000000" w:themeColor="text1"/>
          <w:sz w:val="16"/>
          <w:szCs w:val="16"/>
        </w:rPr>
      </w:pPr>
      <w:r w:rsidRPr="00F90EAE">
        <w:rPr>
          <w:color w:val="000000" w:themeColor="text1"/>
          <w:sz w:val="16"/>
          <w:szCs w:val="16"/>
        </w:rPr>
        <w:t>В течение двух дней наступательных боёв войска фронта продвинулись вперёд до 40 километров, расширив при этом прорыв до 60 километров по фронту.</w:t>
      </w:r>
    </w:p>
    <w:p w14:paraId="65E2ADAC" w14:textId="77777777" w:rsidR="00F60E3F" w:rsidRPr="00F90EAE" w:rsidRDefault="00F60E3F" w:rsidP="00F90EAE">
      <w:pPr>
        <w:jc w:val="both"/>
        <w:rPr>
          <w:color w:val="000000" w:themeColor="text1"/>
          <w:sz w:val="16"/>
          <w:szCs w:val="16"/>
        </w:rPr>
      </w:pPr>
      <w:r w:rsidRPr="00F90EAE">
        <w:rPr>
          <w:color w:val="000000" w:themeColor="text1"/>
          <w:sz w:val="16"/>
          <w:szCs w:val="16"/>
        </w:rPr>
        <w:t>В ходе наступления наши войска штурмом овладели сильными опорными пунктами обороны противника Шидлув, Стопница, Хмельник, Буско-Здруй (Буск), Висьлица, а также с боями заняли более 350 других населённых пунктов, в числе которых крупные населённые пункты Чижув, Шецно, Скшельчице, Лубаня, Сладкув, Млыны, Галув, Пастурка, Богуцице, Загосць, Скотники, Строжиска, Бжосткув.</w:t>
      </w:r>
    </w:p>
    <w:p w14:paraId="442D9C64" w14:textId="77777777" w:rsidR="00F60E3F" w:rsidRPr="00F90EAE" w:rsidRDefault="00F60E3F" w:rsidP="00F90EAE">
      <w:pPr>
        <w:jc w:val="both"/>
        <w:rPr>
          <w:color w:val="000000" w:themeColor="text1"/>
          <w:sz w:val="16"/>
          <w:szCs w:val="16"/>
        </w:rPr>
      </w:pPr>
      <w:r w:rsidRPr="00F90EAE">
        <w:rPr>
          <w:color w:val="000000" w:themeColor="text1"/>
          <w:sz w:val="16"/>
          <w:szCs w:val="16"/>
        </w:rPr>
        <w:t>В городе Будапеште наши войска, продолжая бои по уничтожению окружённой немецко-венгерской группировки, заняли 94 квартала.</w:t>
      </w:r>
    </w:p>
    <w:p w14:paraId="24D57A4D" w14:textId="77777777" w:rsidR="00F60E3F" w:rsidRPr="00F90EAE" w:rsidRDefault="00F60E3F"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CC1AAE0" w14:textId="77777777" w:rsidR="00F60E3F" w:rsidRPr="00F90EAE" w:rsidRDefault="00F60E3F" w:rsidP="00F90EAE">
      <w:pPr>
        <w:jc w:val="both"/>
        <w:rPr>
          <w:color w:val="000000" w:themeColor="text1"/>
          <w:sz w:val="16"/>
          <w:szCs w:val="16"/>
        </w:rPr>
      </w:pPr>
      <w:r w:rsidRPr="00F90EAE">
        <w:rPr>
          <w:color w:val="000000" w:themeColor="text1"/>
          <w:sz w:val="16"/>
          <w:szCs w:val="16"/>
        </w:rPr>
        <w:t>За 12 января наши войска на всех фронтах подбили и уничтожили 36 немецких танков. В воздушных боях и огнём зенитной артиллерии сбито 8 самолётов противника.</w:t>
      </w:r>
    </w:p>
    <w:p w14:paraId="1CC5111E" w14:textId="77777777" w:rsidR="00F60E3F" w:rsidRPr="00F90EAE" w:rsidRDefault="00F60E3F" w:rsidP="00F90EAE">
      <w:pPr>
        <w:jc w:val="both"/>
        <w:rPr>
          <w:color w:val="000000" w:themeColor="text1"/>
          <w:sz w:val="16"/>
          <w:szCs w:val="16"/>
        </w:rPr>
      </w:pPr>
      <w:r w:rsidRPr="00F90EAE">
        <w:rPr>
          <w:color w:val="000000" w:themeColor="text1"/>
          <w:sz w:val="16"/>
          <w:szCs w:val="16"/>
        </w:rPr>
        <w:t>Войска 1-го Украинского фронта 12 января перешли в наступление из района западнее города Сандомир. Рано утром наши передовые отряды ворвались в траншеи противника и в результате непродолжительного боя овладели ими. Затем началось мощное артиллерийское наступление. Орудия различных систем и калибров обрушили на немецкие позиции шквал огня. Почти два часа советская артиллерия взламывала и сокрушала вражескую оборону, построенную на большую глубину. Доты, дзоты и блиндажи, пулемётные гнезда и артиллерийские позиции противника были разрушены и подавлены. Около полудня вслед за огневым валом двинулись вперёд основные силы пехоты. Наши войска прорвали главную оборонительную полосу противника. От первой до второй укреплённых линий тянулись сплошные минные поля. Советские сапёры быстро проделали в них проходы и расчистили путь пехотинцам. Стремительным ударом наши войска прорвали вторую, а затем третью линии немецких укреплений. Сопротивление врага подавляется решительными действиями наших войск. Советские бойцы блокируют вражеские опорные пункты обороны. Подразделения, следующие за передовыми частями, уничтожают оставшиеся в тылу немецкие узлы и очаги сопротивления. Советские бойцы преодолевают упорное сопротивление противника. На полях — скользкая липкая почва. Немцами всюду расставлены мины, различные ловушки и западни. Несмотря на всё это, наши войска за два дня с боями продвинулись вперёд до 40 километров. Заняты важные узлы шоссейных дорог и опорные пункты обороны немцев. В ходе боёв противник несёт огромные потери. Занятые нашими частями позиции завалены тысячами вражеских трупов, разбитой техникой, вооружением и военными материалами.</w:t>
      </w:r>
    </w:p>
    <w:p w14:paraId="4F2E7926" w14:textId="77777777" w:rsidR="00F60E3F" w:rsidRPr="00F90EAE" w:rsidRDefault="00F60E3F" w:rsidP="00F90EAE">
      <w:pPr>
        <w:jc w:val="both"/>
        <w:rPr>
          <w:color w:val="000000" w:themeColor="text1"/>
          <w:sz w:val="16"/>
          <w:szCs w:val="16"/>
        </w:rPr>
      </w:pPr>
      <w:r w:rsidRPr="00F90EAE">
        <w:rPr>
          <w:color w:val="000000" w:themeColor="text1"/>
          <w:sz w:val="16"/>
          <w:szCs w:val="16"/>
        </w:rPr>
        <w:t>Пленные рассказывают, что советская артиллерия произвела огромные опустошения в немецких частях. Пленный солдат 442-го полка 168-й немецкой пехотной дивизии Рудольф Янцен заявил: «От артиллерийского огня наш полк потерял не меньше половины личного состава. За всю войну я никогда не переживал такого адского огня. Творилось что-то неописуемое. Оставшиеся в живых солдаты были совершенно деморализованы и ходили, как очумелые.</w:t>
      </w:r>
    </w:p>
    <w:p w14:paraId="44EA8B0F" w14:textId="77777777" w:rsidR="00F60E3F" w:rsidRPr="00F90EAE" w:rsidRDefault="00F60E3F" w:rsidP="00F90EAE">
      <w:pPr>
        <w:jc w:val="both"/>
        <w:rPr>
          <w:color w:val="000000" w:themeColor="text1"/>
          <w:sz w:val="16"/>
          <w:szCs w:val="16"/>
        </w:rPr>
      </w:pPr>
      <w:r w:rsidRPr="00F90EAE">
        <w:rPr>
          <w:color w:val="000000" w:themeColor="text1"/>
          <w:sz w:val="16"/>
          <w:szCs w:val="16"/>
        </w:rPr>
        <w:t>В Будапеште наши войска, продолжая бои по ликвидации окружённой группировки противника, теснят её к Дунаю. Ещё первого января немецкое командование объявило своим войскам, попавшим в «котёл», что в ближайшие дни танковые дивизии придут к ним на помощь и прорвут кольцо окружения. Надеясь на помощь извне, гитлеровцы упорно сопротивляются. Они перекопали улицы рвами, организовали огневые точки в подвалах и каменных зданиях. С боями продвигаясь вперёд, советские штурмовые отряды выбивают врага из укрытий. В подвалах, дворах, на улицах и внутри домов происходят многочисленные рукопашные схватки. Гвардейская часть, занявшая вчера кладбище Керепешти, сегодня выбила немцев из машиностроительного завода и резиновой фабрики. В юго-восточной части города наши части овладели станцией пригородных поездов Рацкеве, вокзалом Ференцвароши и вышли к железнодорожному мосту через Дунай. За день боёв взято в плен 1.350 солдат и офицеров противника.</w:t>
      </w:r>
    </w:p>
    <w:p w14:paraId="74E599A2" w14:textId="77777777" w:rsidR="00F60E3F" w:rsidRPr="00F90EAE" w:rsidRDefault="00F60E3F"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Балтийском море транспорт противника водоизмещением в 6 тысяч тонн. Наша береговая артиллерия пустила ко дну в районе порта Мемель немецкий транспорт водоизмещением в 4 тысячи тонн.</w:t>
      </w:r>
    </w:p>
    <w:p w14:paraId="2743DE3B" w14:textId="77777777" w:rsidR="00F60E3F" w:rsidRPr="00F90EAE" w:rsidRDefault="00F60E3F" w:rsidP="00F90EAE">
      <w:pPr>
        <w:jc w:val="both"/>
        <w:rPr>
          <w:color w:val="000000" w:themeColor="text1"/>
          <w:sz w:val="16"/>
          <w:szCs w:val="16"/>
        </w:rPr>
      </w:pPr>
      <w:r w:rsidRPr="00F90EAE">
        <w:rPr>
          <w:color w:val="000000" w:themeColor="text1"/>
          <w:sz w:val="16"/>
          <w:szCs w:val="16"/>
        </w:rPr>
        <w:t>Северо-восточнее города Комарно захвачена в плен группа солдат 711-й немецкой пехотной дивизии. Пленный ефрейтор 731-го полка Рудольф Айзенкеллер рассказал: «B 711-ю дивизию я попал в первых числах ноября прошлого года. Она в то время находилась в Голландии, в районе города Утрехт. Дивизией командует генерал-майор Рейдерт. В Голландии нас день и ночь обучали военному делу. 28 декабря днём занятия неожиданно были прерваны. Начались спешные приготовления к отъезду. Уже на другой день наш полк погрузился в железнодорожные эшелоны. В пути мы находились более пяти дней. Проезжая по Германии, я видел много разрушенных англо-американской авиацией железнодорожных станций, исковерканных паровозов и разбитых вагонов. Когда мы прибыли в Венгрию, настроение сразу упало. Многие-солдаты написали родным прощальные письма и завещания» (15008).</w:t>
      </w:r>
    </w:p>
    <w:p w14:paraId="71B13301" w14:textId="77777777" w:rsidR="00F60E3F" w:rsidRPr="00F90EAE" w:rsidRDefault="00F60E3F" w:rsidP="00F90EAE">
      <w:pPr>
        <w:jc w:val="both"/>
        <w:rPr>
          <w:color w:val="000000" w:themeColor="text1"/>
          <w:sz w:val="16"/>
          <w:szCs w:val="16"/>
        </w:rPr>
      </w:pPr>
    </w:p>
    <w:p w14:paraId="35FEA8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13 января 1945 г. в полку Нормандия-Неман име</w:t>
      </w:r>
      <w:r w:rsidRPr="00F90EAE">
        <w:rPr>
          <w:color w:val="000000" w:themeColor="text1"/>
          <w:sz w:val="16"/>
          <w:szCs w:val="16"/>
        </w:rPr>
        <w:softHyphen/>
        <w:t>лось 42 Як-3 (6 неисправных) и 3 Як-9 (1 неисправный).</w:t>
      </w:r>
    </w:p>
    <w:p w14:paraId="059A8DE8" w14:textId="77777777" w:rsidR="00C2313B" w:rsidRPr="00F90EAE" w:rsidRDefault="00C2313B" w:rsidP="00F90EAE">
      <w:pPr>
        <w:autoSpaceDE w:val="0"/>
        <w:autoSpaceDN w:val="0"/>
        <w:adjustRightInd w:val="0"/>
        <w:jc w:val="both"/>
        <w:rPr>
          <w:color w:val="000000" w:themeColor="text1"/>
          <w:sz w:val="16"/>
          <w:szCs w:val="16"/>
        </w:rPr>
      </w:pPr>
    </w:p>
    <w:p w14:paraId="1542BD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г. началось новое на</w:t>
      </w:r>
      <w:r w:rsidRPr="00F90EAE">
        <w:rPr>
          <w:color w:val="000000" w:themeColor="text1"/>
          <w:sz w:val="16"/>
          <w:szCs w:val="16"/>
        </w:rPr>
        <w:softHyphen/>
        <w:t>ступление 3-го Белорусского фронта, с которым взаимодействовала 1-я воз</w:t>
      </w:r>
      <w:r w:rsidRPr="00F90EAE">
        <w:rPr>
          <w:color w:val="000000" w:themeColor="text1"/>
          <w:sz w:val="16"/>
          <w:szCs w:val="16"/>
        </w:rPr>
        <w:softHyphen/>
        <w:t>душная армия. Из-за нелетной погоды в этот день пилоты “Нормандии” не поднимались в воздух, зато следую</w:t>
      </w:r>
      <w:r w:rsidRPr="00F90EAE">
        <w:rPr>
          <w:color w:val="000000" w:themeColor="text1"/>
          <w:sz w:val="16"/>
          <w:szCs w:val="16"/>
        </w:rPr>
        <w:softHyphen/>
        <w:t>щий оказался одним из удачных: фран</w:t>
      </w:r>
      <w:r w:rsidRPr="00F90EAE">
        <w:rPr>
          <w:color w:val="000000" w:themeColor="text1"/>
          <w:sz w:val="16"/>
          <w:szCs w:val="16"/>
        </w:rPr>
        <w:softHyphen/>
        <w:t>цузам удалось сбить 8 и подбить 3 вра</w:t>
      </w:r>
      <w:r w:rsidRPr="00F90EAE">
        <w:rPr>
          <w:color w:val="000000" w:themeColor="text1"/>
          <w:sz w:val="16"/>
          <w:szCs w:val="16"/>
        </w:rPr>
        <w:softHyphen/>
        <w:t>жеских самолета. Младший лейтенант Мартин сумел в двух вылетах в районе Тракенен - Гумбиннен - Инстербург уничтожить 3 Bf109 и один FW190 (3956).</w:t>
      </w:r>
    </w:p>
    <w:p w14:paraId="3C6F5E09" w14:textId="77777777" w:rsidR="00C2313B" w:rsidRPr="00F90EAE" w:rsidRDefault="00C2313B" w:rsidP="00F90EAE">
      <w:pPr>
        <w:autoSpaceDE w:val="0"/>
        <w:autoSpaceDN w:val="0"/>
        <w:adjustRightInd w:val="0"/>
        <w:jc w:val="both"/>
        <w:rPr>
          <w:color w:val="000000" w:themeColor="text1"/>
          <w:sz w:val="16"/>
          <w:szCs w:val="16"/>
        </w:rPr>
      </w:pPr>
    </w:p>
    <w:p w14:paraId="17774A80" w14:textId="77777777" w:rsidR="00650270" w:rsidRPr="00F90EAE" w:rsidRDefault="00650270" w:rsidP="00F90EAE">
      <w:pPr>
        <w:jc w:val="both"/>
        <w:rPr>
          <w:color w:val="000000" w:themeColor="text1"/>
          <w:sz w:val="16"/>
          <w:szCs w:val="16"/>
        </w:rPr>
      </w:pPr>
      <w:r w:rsidRPr="00F90EAE">
        <w:rPr>
          <w:bCs/>
          <w:color w:val="000000" w:themeColor="text1"/>
          <w:sz w:val="16"/>
          <w:szCs w:val="16"/>
        </w:rPr>
        <w:t>13 января</w:t>
      </w:r>
      <w:r w:rsidRPr="00F90EAE">
        <w:rPr>
          <w:color w:val="000000" w:themeColor="text1"/>
          <w:sz w:val="16"/>
          <w:szCs w:val="16"/>
        </w:rPr>
        <w:t xml:space="preserve"> в 1945 году начало Восточно-Прусской стратегической наступательной операции. Проводили войска 2-го (Маршал Советского Союза К.К.Рокоссовский) и 3-го (генерал армии И.Д.Черняховский) Белорусского, 1-го Прибалтийского (генерал армии И.X.Баграмян) фронтов, Балтийского флота (адмирал В.Ф.Трибуц). В результате ее проведения к 25 апреля советские войска овладели Восточной Пруссией, освободили часть северных районов Польши. уничтожили 25 дивизий противника. Войска 3-го Белорусского (генерал армии И.Д.Черняховский) и часть сил (43-я армия, генерал-лейтенант А.П.Белобородов) 1-го Прибалтийского фронтов начали Инстергбургско-Кенигсбергскую операцию, являвшуюся частью Восточно-Прусской стратегической наступательной операции. В ходе боевых действий была разгромлена немецкая 3-я танковая армия. К концу операции (завершилась 26 января) войска продвинулись на глубину до 130 км (15008).</w:t>
      </w:r>
    </w:p>
    <w:p w14:paraId="5671D210" w14:textId="77777777" w:rsidR="00650270" w:rsidRPr="00F90EAE" w:rsidRDefault="00650270" w:rsidP="00F90EAE">
      <w:pPr>
        <w:jc w:val="both"/>
        <w:rPr>
          <w:color w:val="000000" w:themeColor="text1"/>
          <w:sz w:val="16"/>
          <w:szCs w:val="16"/>
        </w:rPr>
      </w:pPr>
    </w:p>
    <w:p w14:paraId="679487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13 января по 25 апреля 1945 состоялась Восточно-Прусская операция. 32 дивизии немцев рассекли на 3 группы (хайльсбергскую, кенигсбергсскую и земландскую), преодолели 7 оборонительных рубежей, разбив все (2438,154).</w:t>
      </w:r>
    </w:p>
    <w:p w14:paraId="4812C1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Восточно-Прусской операции Ставка ВГК организовала действия по срыву оперативных перевозок с привлечением АДД и ВА (518,130).</w:t>
      </w:r>
    </w:p>
    <w:p w14:paraId="129A45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командующим ТА предоставлялась возможность в пределах отпущенного летного ресурса устанавливать объекты удара (518,170).</w:t>
      </w:r>
    </w:p>
    <w:p w14:paraId="436D0D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Восточно-Прусской операции до выхода войск 2 и 3БФ к морскому побережью 1 и 4ВА решали задачи только по поддержке и прикрытию сухопутных войск. В период ликвидации группировки, прижатой к морю, 20% вылетов были по объектам на море (518,186).</w:t>
      </w:r>
    </w:p>
    <w:p w14:paraId="499F1DDC" w14:textId="77777777" w:rsidR="00C2313B" w:rsidRPr="00F90EAE" w:rsidRDefault="00C2313B" w:rsidP="00F90EAE">
      <w:pPr>
        <w:autoSpaceDE w:val="0"/>
        <w:autoSpaceDN w:val="0"/>
        <w:adjustRightInd w:val="0"/>
        <w:jc w:val="both"/>
        <w:rPr>
          <w:color w:val="000000" w:themeColor="text1"/>
          <w:sz w:val="16"/>
          <w:szCs w:val="16"/>
        </w:rPr>
      </w:pPr>
    </w:p>
    <w:p w14:paraId="784968B2"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13, 1945: In the East, the Soviet 1st Belorussian Front (Zhukov) begins an offen</w:t>
      </w:r>
      <w:r w:rsidR="00573476" w:rsidRPr="00F90EAE">
        <w:rPr>
          <w:color w:val="000000" w:themeColor="text1"/>
          <w:sz w:val="16"/>
          <w:szCs w:val="16"/>
          <w:lang w:val="en-US"/>
        </w:rPr>
        <w:t>c</w:t>
      </w:r>
      <w:r w:rsidRPr="00F90EAE">
        <w:rPr>
          <w:color w:val="000000" w:themeColor="text1"/>
          <w:sz w:val="16"/>
          <w:szCs w:val="16"/>
          <w:lang w:val="en-US"/>
        </w:rPr>
        <w:t>ive toward Pillkallen in East Prussia. German forces of Heeresgruppe E complete their withdrawal from Greece and Albania (3819).</w:t>
      </w:r>
    </w:p>
    <w:p w14:paraId="33426475" w14:textId="77777777" w:rsidR="00C2313B" w:rsidRPr="00F90EAE" w:rsidRDefault="00C2313B" w:rsidP="00F90EAE">
      <w:pPr>
        <w:autoSpaceDE w:val="0"/>
        <w:autoSpaceDN w:val="0"/>
        <w:adjustRightInd w:val="0"/>
        <w:jc w:val="both"/>
        <w:rPr>
          <w:color w:val="000000" w:themeColor="text1"/>
          <w:sz w:val="16"/>
          <w:szCs w:val="16"/>
          <w:lang w:val="en-US"/>
        </w:rPr>
      </w:pPr>
    </w:p>
    <w:p w14:paraId="1514B6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 ходе Висло-Одерской операции воздушная разведка обнаружила выдвижение немецких войск для нанесения контрударов из Кельце и Хмельник и уничтожила их (518,154).</w:t>
      </w:r>
    </w:p>
    <w:p w14:paraId="56AF9F1F" w14:textId="77777777" w:rsidR="00C2313B" w:rsidRPr="00F90EAE" w:rsidRDefault="00C2313B" w:rsidP="00F90EAE">
      <w:pPr>
        <w:autoSpaceDE w:val="0"/>
        <w:autoSpaceDN w:val="0"/>
        <w:adjustRightInd w:val="0"/>
        <w:jc w:val="both"/>
        <w:rPr>
          <w:color w:val="000000" w:themeColor="text1"/>
          <w:sz w:val="16"/>
          <w:szCs w:val="16"/>
        </w:rPr>
      </w:pPr>
    </w:p>
    <w:p w14:paraId="2A785788" w14:textId="77777777" w:rsidR="00573476" w:rsidRPr="00F90EAE" w:rsidRDefault="00573476" w:rsidP="00F90EAE">
      <w:pPr>
        <w:jc w:val="both"/>
        <w:rPr>
          <w:color w:val="000000" w:themeColor="text1"/>
          <w:sz w:val="16"/>
          <w:szCs w:val="16"/>
        </w:rPr>
      </w:pPr>
      <w:r w:rsidRPr="00F90EAE">
        <w:rPr>
          <w:color w:val="000000" w:themeColor="text1"/>
          <w:sz w:val="16"/>
          <w:szCs w:val="16"/>
        </w:rPr>
        <w:t>13 января 1945 года командир 61-й гвардейской танковой бригады 10-го гвардейского Уральского добро - вольческого корпуса подполковник Н.Г. Жуков в оборонительном бою за польский населенный пункт Лесув лично уничтожил 7 танков противника, но и сам погиб от прямого попадания в боекомплект его Т-34 немецкого бронебойного снаряда.</w:t>
      </w:r>
    </w:p>
    <w:p w14:paraId="65C2CC21" w14:textId="77777777" w:rsidR="00573476" w:rsidRPr="00F90EAE" w:rsidRDefault="00573476" w:rsidP="00F90EAE">
      <w:pPr>
        <w:jc w:val="both"/>
        <w:rPr>
          <w:color w:val="000000" w:themeColor="text1"/>
          <w:sz w:val="16"/>
          <w:szCs w:val="16"/>
        </w:rPr>
      </w:pPr>
      <w:r w:rsidRPr="00F90EAE">
        <w:rPr>
          <w:color w:val="000000" w:themeColor="text1"/>
          <w:sz w:val="16"/>
          <w:szCs w:val="16"/>
        </w:rPr>
        <w:t>В 10-м гвардейском Уральском добровольческом танковом корпусе в ходе войны выросла целая плеяда настоящих танковых асов:</w:t>
      </w:r>
    </w:p>
    <w:p w14:paraId="7D1DF204"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лейтенант М. Кученков - 32 победы; гвардии капитан Н. Дьяченко - 31 победа;</w:t>
      </w:r>
    </w:p>
    <w:p w14:paraId="00DA701A"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старшина Н. Новицкий - 29 побед;</w:t>
      </w:r>
    </w:p>
    <w:p w14:paraId="570B579B"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младший лейтенант М. Разумовский - 25 побед;</w:t>
      </w:r>
    </w:p>
    <w:p w14:paraId="692CBE0F"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лейтенант Д. Макешин - 24 победы;</w:t>
      </w:r>
    </w:p>
    <w:p w14:paraId="74842834"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капитан В. Марков - 23 победы;</w:t>
      </w:r>
    </w:p>
    <w:p w14:paraId="0D073C2B"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старший сержант В. Куприянов - 23 победы;</w:t>
      </w:r>
    </w:p>
    <w:p w14:paraId="699BF909" w14:textId="77777777" w:rsidR="00573476" w:rsidRPr="00F90EAE" w:rsidRDefault="00573476" w:rsidP="00F90EAE">
      <w:pPr>
        <w:jc w:val="both"/>
        <w:rPr>
          <w:color w:val="000000" w:themeColor="text1"/>
          <w:sz w:val="16"/>
          <w:szCs w:val="16"/>
        </w:rPr>
      </w:pPr>
      <w:r w:rsidRPr="00F90EAE">
        <w:rPr>
          <w:color w:val="000000" w:themeColor="text1"/>
          <w:sz w:val="16"/>
          <w:szCs w:val="16"/>
        </w:rPr>
        <w:lastRenderedPageBreak/>
        <w:t>гвардии старшина С. Шопов - 21 победа;</w:t>
      </w:r>
    </w:p>
    <w:p w14:paraId="1FADD00C"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лейтенант Н. Булипкий - 21 победа;</w:t>
      </w:r>
    </w:p>
    <w:p w14:paraId="6A1326E9"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старшина М. Пименов - 20 побед;</w:t>
      </w:r>
    </w:p>
    <w:p w14:paraId="7BC8AE94"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лейтенант В. Моченый - 20 побед;</w:t>
      </w:r>
    </w:p>
    <w:p w14:paraId="5CDE6038" w14:textId="77777777" w:rsidR="00573476" w:rsidRPr="00F90EAE" w:rsidRDefault="00573476" w:rsidP="00F90EAE">
      <w:pPr>
        <w:jc w:val="both"/>
        <w:rPr>
          <w:color w:val="000000" w:themeColor="text1"/>
          <w:sz w:val="16"/>
          <w:szCs w:val="16"/>
        </w:rPr>
      </w:pPr>
      <w:r w:rsidRPr="00F90EAE">
        <w:rPr>
          <w:color w:val="000000" w:themeColor="text1"/>
          <w:sz w:val="16"/>
          <w:szCs w:val="16"/>
        </w:rPr>
        <w:t>гвардии сержант В. Ткаченко - 20 побед (12217).</w:t>
      </w:r>
    </w:p>
    <w:p w14:paraId="5A1E394E" w14:textId="77777777" w:rsidR="00573476" w:rsidRPr="00F90EAE" w:rsidRDefault="00573476" w:rsidP="00F90EAE">
      <w:pPr>
        <w:jc w:val="both"/>
        <w:rPr>
          <w:color w:val="000000" w:themeColor="text1"/>
          <w:sz w:val="16"/>
          <w:szCs w:val="16"/>
        </w:rPr>
      </w:pPr>
    </w:p>
    <w:p w14:paraId="548953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части 3БФ (И.Д.Черняховский) и часть сил 1ПбФ (43А А.П.Белобородова) начали Инстергбургско-Кенигсбергскую операцию, часть Восточно-Прусской операции. разгромили 3ТА к 26 января 1945, продвинувшись на 130 км (3398,25).</w:t>
      </w:r>
    </w:p>
    <w:p w14:paraId="3365AF33" w14:textId="77777777" w:rsidR="00C2313B" w:rsidRPr="00F90EAE" w:rsidRDefault="00C2313B" w:rsidP="00F90EAE">
      <w:pPr>
        <w:autoSpaceDE w:val="0"/>
        <w:autoSpaceDN w:val="0"/>
        <w:adjustRightInd w:val="0"/>
        <w:jc w:val="both"/>
        <w:rPr>
          <w:color w:val="000000" w:themeColor="text1"/>
          <w:sz w:val="16"/>
          <w:szCs w:val="16"/>
        </w:rPr>
      </w:pPr>
    </w:p>
    <w:p w14:paraId="5EFEF3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на Востоке 1БФ (Жуков) начал наступление в Восточной Пруссии. Группа Е закончила выход из Греции и Албании (3819).</w:t>
      </w:r>
    </w:p>
    <w:p w14:paraId="75E067A4" w14:textId="77777777" w:rsidR="00C2313B" w:rsidRPr="00F90EAE" w:rsidRDefault="00C2313B" w:rsidP="00F90EAE">
      <w:pPr>
        <w:autoSpaceDE w:val="0"/>
        <w:autoSpaceDN w:val="0"/>
        <w:adjustRightInd w:val="0"/>
        <w:jc w:val="both"/>
        <w:rPr>
          <w:color w:val="000000" w:themeColor="text1"/>
          <w:sz w:val="16"/>
          <w:szCs w:val="16"/>
        </w:rPr>
      </w:pPr>
    </w:p>
    <w:p w14:paraId="3CF506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7308 О сформировании в резерве Ставки Верховного Главнокомандования десяти истребительно-противотанковых артиллерийских бригад РГК. РГАНИР, Фонд ГКО, д. 349, лл. 3-4 (11012).</w:t>
      </w:r>
    </w:p>
    <w:p w14:paraId="1F0CE2C0" w14:textId="77777777" w:rsidR="00C2313B" w:rsidRPr="00F90EAE" w:rsidRDefault="00C2313B" w:rsidP="00F90EAE">
      <w:pPr>
        <w:autoSpaceDE w:val="0"/>
        <w:autoSpaceDN w:val="0"/>
        <w:adjustRightInd w:val="0"/>
        <w:jc w:val="both"/>
        <w:rPr>
          <w:color w:val="000000" w:themeColor="text1"/>
          <w:sz w:val="16"/>
          <w:szCs w:val="16"/>
        </w:rPr>
      </w:pPr>
    </w:p>
    <w:p w14:paraId="4C63AE6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7318 [О повышении оклада комендантам пограничных участков и отдельных комендатур войск НКВД.] (7296, 140).</w:t>
      </w:r>
    </w:p>
    <w:p w14:paraId="27275AC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BD31DB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января 1945 вышло Постановление ГКО № 7319 О материальном обеспечении лагерей военнопленных в I квартале 1945 г. (7296, 141-144,145-146).</w:t>
      </w:r>
    </w:p>
    <w:p w14:paraId="5D28255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82D39F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A16B8BD" w14:textId="77777777" w:rsidR="00C2313B" w:rsidRPr="00F90EAE" w:rsidRDefault="00C2313B" w:rsidP="00F90EAE">
      <w:pPr>
        <w:autoSpaceDE w:val="0"/>
        <w:autoSpaceDN w:val="0"/>
        <w:adjustRightInd w:val="0"/>
        <w:jc w:val="both"/>
        <w:rPr>
          <w:iCs/>
          <w:color w:val="000000" w:themeColor="text1"/>
          <w:sz w:val="16"/>
          <w:szCs w:val="16"/>
        </w:rPr>
      </w:pPr>
    </w:p>
    <w:p w14:paraId="5C08129F" w14:textId="77777777" w:rsidR="002A04DB" w:rsidRPr="00F90EAE" w:rsidRDefault="002A04DB" w:rsidP="00F90EAE">
      <w:pPr>
        <w:jc w:val="both"/>
        <w:rPr>
          <w:color w:val="0070C0"/>
          <w:sz w:val="16"/>
          <w:szCs w:val="16"/>
        </w:rPr>
      </w:pPr>
      <w:r w:rsidRPr="00F90EAE">
        <w:rPr>
          <w:color w:val="0070C0"/>
          <w:sz w:val="16"/>
          <w:szCs w:val="16"/>
        </w:rPr>
        <w:t>13 января 1945 камикадзе повреждает эскортный авианосец USS Salamaua в Южно-Китайском море у устья залива Лингайен. Это последняя успешная атака камикадзе в водах Филиппинских островов (20371).</w:t>
      </w:r>
    </w:p>
    <w:p w14:paraId="3CBF4430" w14:textId="77777777" w:rsidR="002A04DB" w:rsidRPr="00F90EAE" w:rsidRDefault="002A04DB" w:rsidP="00F90EAE">
      <w:pPr>
        <w:jc w:val="both"/>
        <w:rPr>
          <w:color w:val="0070C0"/>
          <w:sz w:val="16"/>
          <w:szCs w:val="16"/>
        </w:rPr>
      </w:pPr>
    </w:p>
    <w:p w14:paraId="44BA00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января 1945 Тирана. Решение Президиума АНОС о создании при Совете Министров Экономического совета и Плановой комиссии (7594).</w:t>
      </w:r>
    </w:p>
    <w:p w14:paraId="2EC45A40" w14:textId="77777777" w:rsidR="00C2313B" w:rsidRPr="00F90EAE" w:rsidRDefault="00C2313B" w:rsidP="00F90EAE">
      <w:pPr>
        <w:autoSpaceDE w:val="0"/>
        <w:autoSpaceDN w:val="0"/>
        <w:adjustRightInd w:val="0"/>
        <w:jc w:val="both"/>
        <w:rPr>
          <w:color w:val="000000" w:themeColor="text1"/>
          <w:sz w:val="16"/>
          <w:szCs w:val="16"/>
        </w:rPr>
      </w:pPr>
    </w:p>
    <w:p w14:paraId="3DC7248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BD09893" w14:textId="77777777" w:rsidR="00C2313B" w:rsidRPr="00F90EAE" w:rsidRDefault="00C2313B" w:rsidP="00F90EAE">
      <w:pPr>
        <w:autoSpaceDE w:val="0"/>
        <w:autoSpaceDN w:val="0"/>
        <w:adjustRightInd w:val="0"/>
        <w:jc w:val="both"/>
        <w:rPr>
          <w:iCs/>
          <w:color w:val="000000" w:themeColor="text1"/>
          <w:sz w:val="16"/>
          <w:szCs w:val="16"/>
        </w:rPr>
      </w:pPr>
    </w:p>
    <w:p w14:paraId="2C79F0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С.В.И. в качестве ГК и директора завода 240 подготовил отчет за 1944:</w:t>
      </w:r>
    </w:p>
    <w:p w14:paraId="5D19D6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 полугодии 1944 завод занимался доводками и проведением летных испытаний самолетов, построенных в 1943 на серийных заводах 1, 18, 23, 30 и 39, т.к. сам строить их тогда не мог из-за недостатка мощности, как в части оборудования, так и в части численности производственного персонала.</w:t>
      </w:r>
    </w:p>
    <w:p w14:paraId="435631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этом году на нашем производстве построен спроектированный КБ самолет Ил-8 N 2 согласно приказа НКАП N 421 от 1 июля 1944 и начата постройка транспортного самолета Ил-12.</w:t>
      </w:r>
    </w:p>
    <w:p w14:paraId="5CB54C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Самолет Ил-8 (АМ-42) 1-й экз.</w:t>
      </w:r>
    </w:p>
    <w:p w14:paraId="324568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1943 во время заводских испытаний, при последнем полете, после которого самолет д.б. пойти на гос. испытания - отказал мотор. В начале 1944 был установлен новый мотор АМ-42 и самолет после заводских испытаний был досрочно 26 февраля 1944 вместо 1 марта 1944 сдан га гос. испытания, закончившиеся в течение месяца 30 марта 1944.</w:t>
      </w:r>
    </w:p>
    <w:p w14:paraId="2BC3FC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акта НИИ ВВС N 038 от 12 апреля 1944 самолет Ил-8-1 АМ-42 успешно прошел гос. испытания и был рекомендован для запуска в серию.</w:t>
      </w:r>
    </w:p>
    <w:p w14:paraId="18C74C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 2-м квартале на этом самолете были проделаны все изменения, указанные в акте НИИ ВВС, установлен новый мотор АМ-42 и после повторных испытаний самолет был передан заводу 24.</w:t>
      </w:r>
    </w:p>
    <w:p w14:paraId="30BD4B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Самолет Ил-8-2 АМ-42</w:t>
      </w:r>
    </w:p>
    <w:p w14:paraId="69171F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Ил-8-2 АМ-42 по состоянию на 1 января 1944 находился в летном состоянии. В 1-м кв. прошел заводские испытания и был сдан на гос. испытания на 3 дня раньше срока 29 марта 1944 вместо 1 апреля 1944.</w:t>
      </w:r>
    </w:p>
    <w:p w14:paraId="371BF3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 тем, что при постройке самолета Ил-8 металлический фюзеляж на стат. испытания не был изготовлен и т.о. не испытан, нами в 1944 был построен металлический фюзеляж для стат. испытаний. Фактические затраты по Ил-8 не превышают сметную стоимость.</w:t>
      </w:r>
    </w:p>
    <w:p w14:paraId="466118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3-м кв. по приказам НКАП N 421с от 1 июля 1944 и 559с от 14 сентября 1944 на самолете Ил-8-2 АМ-42 производилась переработка маслоохлаждающей системы и шасси, которая повлекла за собой такое количество крупных переделок, что по существу, почти целиком был построен новый самолет. Проектирование самолета было произведено в течение одного июля и постройка длилась всего 2 месяца - август и сентябрь. 1-й вылет самолета был произведен 13 октября 1944 вместо установленного срока 15 октября. Дальнейшие заводские испытания были проведены только на 65% и 18 декабря 1944 после произведенных 13 полетов испытания были прекращены из-за некондиционности мотора. Новый мотор АМ-42 должен быть получен в январе 1945 и поэтому тема считается переходящей на 1945. Кроме того по тематическому плану на 1945 на самолет Ил-8 намечается установка нового вооружения.</w:t>
      </w:r>
    </w:p>
    <w:p w14:paraId="16073D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Самолет Ил-10 АМ-42</w:t>
      </w:r>
    </w:p>
    <w:p w14:paraId="2EC7AC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После получения с серийного завода самолета Ил-10 АМ-42 нами был доработан, прошел заводские испытания и был сдан на гос. испытания также досрочно 13 мая вместо 1 июня 1944 (срок 1 июня утвержден по тематическому плану на 1 и 2 кв. 1944).</w:t>
      </w:r>
    </w:p>
    <w:p w14:paraId="3D2083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рекордно короткий срок самолет успешно прошел гос. испытания (с 14 по 27 мая) всего за 13 дней и актом НИИ ВВС N 066 от 11 июня 1944 рекомендован в серию.</w:t>
      </w:r>
    </w:p>
    <w:p w14:paraId="235A28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Ил-10 АМ-42 принят на вооружение РККА и внедряется в серию на заводах 1 и 18 НКАП.</w:t>
      </w:r>
    </w:p>
    <w:p w14:paraId="54D420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успешную работу в деле создания новых боевых самолетов КБ было награждено 2-й правительственной наградой ОКЗнамени.</w:t>
      </w:r>
    </w:p>
    <w:p w14:paraId="68E4C5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 работы по Ил-10, предусмотренные планом согласно вышесказанного акта НИИ ВВС закончены на 100%.</w:t>
      </w:r>
    </w:p>
    <w:p w14:paraId="2B750D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Сверх плана на самолете Ил-10 проделаны следующие работы:</w:t>
      </w:r>
    </w:p>
    <w:p w14:paraId="4495C8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Установлен новый винт АВ-5-Л-22Б диаметром 3.6 м.</w:t>
      </w:r>
    </w:p>
    <w:p w14:paraId="414B97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Установлена новая пушечная установка ВУ-9 с пушкой УБ-20</w:t>
      </w:r>
    </w:p>
    <w:p w14:paraId="0BFC24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Установлен механический привод ОМП-12 к прицелу К-8Т на установке ВУ-9.</w:t>
      </w:r>
    </w:p>
    <w:p w14:paraId="6321A8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Проработан временной прицел для бомбометания ВМШ-10 с визирными линиями и штырями в связи с увеличением скорости самолета.</w:t>
      </w:r>
    </w:p>
    <w:p w14:paraId="1D4977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Дистанционный компас ПДК-44п</w:t>
      </w:r>
    </w:p>
    <w:p w14:paraId="268252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РПК РПКО-10М</w:t>
      </w:r>
    </w:p>
    <w:p w14:paraId="70AC08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Радиоприемник РСИ-6МУ с дистанционным управлением</w:t>
      </w:r>
    </w:p>
    <w:p w14:paraId="12DE58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Установка ПАУ-22 в крыле.</w:t>
      </w:r>
    </w:p>
    <w:p w14:paraId="76ECF4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Проведены были заводские испытания и 23 ноября 1944 самолет Ил-10 был передан в НИИ ВВС на дополнительные гос. испытания для заключения о вновь установленных агрегатах, приборах вооружения и оборудования, для внедрения в серийное производство.</w:t>
      </w:r>
    </w:p>
    <w:p w14:paraId="7B5F78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Вследствие неисправности АМ-42 работы по Ил-10 на 1 января 1945 не закончены.</w:t>
      </w:r>
    </w:p>
    <w:p w14:paraId="18B1C0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В мае 1944 на завод 240 прибыл одноместный бронированный штурмовик, стоившийся на заводе 1, который был на нашем производстве доработан и прошел заводские испытания. Все работы по этому самолету, включенные в план, выполнены. Тема считается законченной на 100%.</w:t>
      </w:r>
    </w:p>
    <w:p w14:paraId="762579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Самолет Ил-6</w:t>
      </w:r>
    </w:p>
    <w:p w14:paraId="16A77B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Вследствие плохой работы опытных моторов, на самолет Ил-6 были установлены новые серийные моторы АЧ-30Б, которые вскоре тоже пришли в негодность и их пришлось снять и отправить на завод N 500 для доработок и переделок. Т.о. заводские испытания были прекращены. По получении с завода 500 доведенных моторов и после их установки были возобновлены и закончены заводские испытания в ЛИИ.</w:t>
      </w:r>
    </w:p>
    <w:p w14:paraId="324C40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отчета ЛИИ N 44-347 от 14 ноября 1944 о заводских испытаниях тема считается законченной.</w:t>
      </w:r>
    </w:p>
    <w:p w14:paraId="3243D8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Транспортный самолет</w:t>
      </w:r>
    </w:p>
    <w:p w14:paraId="6FE2C7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Кроме вышеперечисленных работ, перешедших с 1943, в тематическом плане стояла работа по проектированию и постройке на 25% нового транспортного самолета Ил-12 с 2хАЧ-30Б. С 1 января КБ приступило к проектированию данного самолета. В середине октября проектирование было в основном закончено и опытное производство приступило к оснастке и постройке самолета. Техническая готовность самолета на 1 января 1945 по постройке равна 30%.</w:t>
      </w:r>
    </w:p>
    <w:p w14:paraId="6A0DB0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Изготовлены следующие агрегаты:</w:t>
      </w:r>
    </w:p>
    <w:p w14:paraId="2A3088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Стапеля на фюзеляж и центроплан</w:t>
      </w:r>
    </w:p>
    <w:p w14:paraId="22DE84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Вся оснастка на фюзеляж и центроплан</w:t>
      </w:r>
    </w:p>
    <w:p w14:paraId="4D7AD4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Фюзеляж без внутреннего оборудования</w:t>
      </w:r>
    </w:p>
    <w:p w14:paraId="7C3A37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Лонжероны и нервюры центроплана</w:t>
      </w:r>
    </w:p>
    <w:p w14:paraId="60621F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 Переднее шасси и и все детали главного шасси.</w:t>
      </w:r>
    </w:p>
    <w:p w14:paraId="2F6C6B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экз. Ил-12 с гермокабиной, предусмотренный планом, строится на заводе не будет из-за недостатка мощности и площади, а потому КБ не занималось его проектированием.</w:t>
      </w:r>
    </w:p>
    <w:p w14:paraId="6D5673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Кроме работ, предусмотренных планом, КБ приступило к проектированию ряда опытных самолетов:</w:t>
      </w:r>
    </w:p>
    <w:p w14:paraId="289258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Бомбардировщика Ил-14 4АМ-43НВ</w:t>
      </w:r>
    </w:p>
    <w:p w14:paraId="115AB0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Штурмовика Ил-16 АМ-43</w:t>
      </w:r>
    </w:p>
    <w:p w14:paraId="5F2EEB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Обе эти работы включены в тем. план опытных работ на 1945.</w:t>
      </w:r>
    </w:p>
    <w:p w14:paraId="260817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Техническая готовность проектирования на 1 января 1945 по самолету Ил-14 - 18% и по самолету Ил-16 - 22%. В производстве изготовлена на 100% продувочная модель самолета Ил-14.</w:t>
      </w:r>
    </w:p>
    <w:p w14:paraId="1F7071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Прекращенных работ в 1944 не было. На балансе в незавершенном производстве значатся работы, прекращенные еще в 1943:</w:t>
      </w:r>
    </w:p>
    <w:p w14:paraId="37CA9B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Модификация Ил-4 2М-88 с ТК-3 и гермокабиной (приказ НКАП N 835 от 12 ноября 1943).</w:t>
      </w:r>
    </w:p>
    <w:p w14:paraId="72CA57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Модификация Ил-4 2М-82 с усиленным вооружением (приказы НКАП N 23 от 16 января 1943 и 117сс от 25 февраля 1943).</w:t>
      </w:r>
    </w:p>
    <w:p w14:paraId="5792AB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Самолет Ил-4 М-82 (приказ НКАП N 188сс от 9 марта 1942).</w:t>
      </w:r>
    </w:p>
    <w:p w14:paraId="30D26E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Проектирование установки М-250 на Ил-2</w:t>
      </w:r>
    </w:p>
    <w:p w14:paraId="13F5BB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Модификация Ил-4 под М-90 (приказ НКАП N 21с от 16 января 1943).</w:t>
      </w:r>
    </w:p>
    <w:p w14:paraId="553696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Самолет Ил-6-2 (приказ НКАП N 131сс от 7 марта 1943).</w:t>
      </w:r>
    </w:p>
    <w:p w14:paraId="2A2F60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Самолет Ил-6 с М-71 (приказ НКАП N 369 от 22 июня 1943) (2217).</w:t>
      </w:r>
    </w:p>
    <w:p w14:paraId="7688B3DF" w14:textId="77777777" w:rsidR="00C2313B" w:rsidRPr="00F90EAE" w:rsidRDefault="00C2313B" w:rsidP="00F90EAE">
      <w:pPr>
        <w:autoSpaceDE w:val="0"/>
        <w:autoSpaceDN w:val="0"/>
        <w:adjustRightInd w:val="0"/>
        <w:jc w:val="both"/>
        <w:rPr>
          <w:color w:val="000000" w:themeColor="text1"/>
          <w:sz w:val="16"/>
          <w:szCs w:val="16"/>
        </w:rPr>
      </w:pPr>
    </w:p>
    <w:p w14:paraId="75696D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немецкий л-и Ханс-Вернер Лерхе в Ориниенбауме под Берлином продемонстрировал Г.Герингу Як-3 полка Нормандия Неман, который несколько дней до того на приземлился на аэродроме под Гросс-Шиманен. До этого выполнил два облета 12 и 13 января (3841).</w:t>
      </w:r>
    </w:p>
    <w:p w14:paraId="68ABA12C" w14:textId="77777777" w:rsidR="00C2313B" w:rsidRPr="00F90EAE" w:rsidRDefault="00C2313B" w:rsidP="00F90EAE">
      <w:pPr>
        <w:autoSpaceDE w:val="0"/>
        <w:autoSpaceDN w:val="0"/>
        <w:adjustRightInd w:val="0"/>
        <w:jc w:val="both"/>
        <w:rPr>
          <w:color w:val="000000" w:themeColor="text1"/>
          <w:sz w:val="16"/>
          <w:szCs w:val="16"/>
        </w:rPr>
      </w:pPr>
    </w:p>
    <w:p w14:paraId="1B5301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вышел приказ об испытаниях стабилизатора для торпеды СН-45 при скоростях сбрасывания 360-380 км/ч. Испытания осуществлялись на базе 5-го гмтап ВВС ЧФ в период 10.2-1.5.1945.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A5E46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DCDC4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0A062F33" w14:textId="77777777" w:rsidR="00C2313B" w:rsidRPr="00F90EAE" w:rsidRDefault="00C2313B" w:rsidP="00F90EAE">
      <w:pPr>
        <w:autoSpaceDE w:val="0"/>
        <w:autoSpaceDN w:val="0"/>
        <w:adjustRightInd w:val="0"/>
        <w:jc w:val="both"/>
        <w:rPr>
          <w:color w:val="000000" w:themeColor="text1"/>
          <w:sz w:val="16"/>
          <w:szCs w:val="16"/>
        </w:rPr>
      </w:pPr>
    </w:p>
    <w:p w14:paraId="2A4D73F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867C783" w14:textId="77777777" w:rsidR="00C2313B" w:rsidRPr="00F90EAE" w:rsidRDefault="00C2313B" w:rsidP="00F90EAE">
      <w:pPr>
        <w:autoSpaceDE w:val="0"/>
        <w:autoSpaceDN w:val="0"/>
        <w:adjustRightInd w:val="0"/>
        <w:jc w:val="both"/>
        <w:rPr>
          <w:iCs/>
          <w:color w:val="000000" w:themeColor="text1"/>
          <w:sz w:val="16"/>
          <w:szCs w:val="16"/>
        </w:rPr>
      </w:pPr>
    </w:p>
    <w:p w14:paraId="1F5C43AD" w14:textId="77777777" w:rsidR="002A04DB" w:rsidRPr="00F90EAE" w:rsidRDefault="002A04DB" w:rsidP="00F90EAE">
      <w:pPr>
        <w:jc w:val="both"/>
        <w:rPr>
          <w:color w:val="0070C0"/>
          <w:sz w:val="16"/>
          <w:szCs w:val="16"/>
        </w:rPr>
      </w:pPr>
      <w:r w:rsidRPr="00F90EAE">
        <w:rPr>
          <w:color w:val="0070C0"/>
          <w:sz w:val="16"/>
          <w:szCs w:val="16"/>
          <w:shd w:val="clear" w:color="auto" w:fill="FFFFFF"/>
        </w:rPr>
        <w:t>14-15 января 1945 на НИБТ Полигоне была проведена предварительная проверка возможности использования унитаров в ИС-2 и ИСУ-12, которая показала, что принципиально унитары разместить можно, и даже ими стрелять. Но с рядом нюансов, особенно в случае с ИС-2. Заряжать в танке унитары можно было на определенных углах вертикальной наводки орудия. Скорострельность при этом даже не проверяли, но с самого начала становилось понятно - лучше она точно не будет. В случае с самоходной артиллерийской установкой ИСУ-122с ситуация была получше, а боекомплект даже чуть увеличивался - до 34 патронов (выстрелов). Дополнительная проверка позже пришла к менее утешительным выводам. Когда выяснилось, какая именно длина будет у унитаров, стало понятно - заряжать в ИС-2 их будет попросту невозможно. При этом боекомплект снизится до 17 выстрелов. Весьма категорично была высказана и перспектива использования унитаров на ИСУ-122с, хотя тут в НКТП явно нагнетали краски. В реальности проблем с ИСУ-122с было куда меньше, хотя унитар всё равно не являлся разумной идеей (20277).</w:t>
      </w:r>
    </w:p>
    <w:p w14:paraId="319CFF6B" w14:textId="77777777" w:rsidR="002A04DB" w:rsidRPr="00F90EAE" w:rsidRDefault="002A04DB" w:rsidP="00F90EAE">
      <w:pPr>
        <w:jc w:val="both"/>
        <w:rPr>
          <w:color w:val="0070C0"/>
          <w:sz w:val="16"/>
          <w:szCs w:val="16"/>
        </w:rPr>
      </w:pPr>
    </w:p>
    <w:p w14:paraId="405DF0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вышло Распоряжение ГКО № 7322. О поставках оборудования НКРП в I полугодии 1945 г. РГАНИР, Фонд ГКО, д. 350, лл. 1 (11012).</w:t>
      </w:r>
    </w:p>
    <w:p w14:paraId="6EE1B306" w14:textId="77777777" w:rsidR="00C2313B" w:rsidRPr="00F90EAE" w:rsidRDefault="00C2313B" w:rsidP="00F90EAE">
      <w:pPr>
        <w:autoSpaceDE w:val="0"/>
        <w:autoSpaceDN w:val="0"/>
        <w:adjustRightInd w:val="0"/>
        <w:jc w:val="both"/>
        <w:rPr>
          <w:color w:val="000000" w:themeColor="text1"/>
          <w:sz w:val="16"/>
          <w:szCs w:val="16"/>
        </w:rPr>
      </w:pPr>
    </w:p>
    <w:p w14:paraId="639DE5A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января 1945 вышло Распоряжение ГКО № 7323 [О поставках оборудования НКЧМ и НКстрою в I кв. 1945 г.] (7297, 2).</w:t>
      </w:r>
    </w:p>
    <w:p w14:paraId="3B80879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CDEAE15"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января 1945 вышло Распоряжение ГКО № 7324 [О выделении мазута из госрезерва для завода № 112 НКТП.] (7297, 3).</w:t>
      </w:r>
    </w:p>
    <w:p w14:paraId="15C929A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14EE2B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января 1945 вышло Распоряжение ГКО № 7325 [О выделении мазута из госрезерва для завода № 92 НКВ.] (7297, 4).</w:t>
      </w:r>
    </w:p>
    <w:p w14:paraId="2A5BC55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DAF86E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1D7515D" w14:textId="77777777" w:rsidR="00C2313B" w:rsidRPr="00F90EAE" w:rsidRDefault="00C2313B" w:rsidP="00F90EAE">
      <w:pPr>
        <w:autoSpaceDE w:val="0"/>
        <w:autoSpaceDN w:val="0"/>
        <w:adjustRightInd w:val="0"/>
        <w:jc w:val="both"/>
        <w:rPr>
          <w:iCs/>
          <w:color w:val="000000" w:themeColor="text1"/>
          <w:sz w:val="16"/>
          <w:szCs w:val="16"/>
        </w:rPr>
      </w:pPr>
    </w:p>
    <w:p w14:paraId="6C5949E1" w14:textId="77777777" w:rsidR="00650270" w:rsidRPr="00F90EAE" w:rsidRDefault="00650270" w:rsidP="00F90EAE">
      <w:pPr>
        <w:jc w:val="both"/>
        <w:rPr>
          <w:color w:val="000000" w:themeColor="text1"/>
          <w:sz w:val="16"/>
          <w:szCs w:val="16"/>
        </w:rPr>
      </w:pPr>
      <w:r w:rsidRPr="00F90EAE">
        <w:rPr>
          <w:bCs/>
          <w:color w:val="000000" w:themeColor="text1"/>
          <w:sz w:val="16"/>
          <w:szCs w:val="16"/>
        </w:rPr>
        <w:t>14 января</w:t>
      </w:r>
      <w:r w:rsidRPr="00F90EAE">
        <w:rPr>
          <w:color w:val="000000" w:themeColor="text1"/>
          <w:sz w:val="16"/>
          <w:szCs w:val="16"/>
        </w:rPr>
        <w:t xml:space="preserve"> в 1945 году оперативная сводка Совинформбюро:</w:t>
      </w:r>
    </w:p>
    <w:p w14:paraId="38742890" w14:textId="77777777" w:rsidR="00650270" w:rsidRPr="00F90EAE" w:rsidRDefault="00650270" w:rsidP="00F90EAE">
      <w:pPr>
        <w:jc w:val="both"/>
        <w:rPr>
          <w:color w:val="000000" w:themeColor="text1"/>
          <w:sz w:val="16"/>
          <w:szCs w:val="16"/>
        </w:rPr>
      </w:pPr>
      <w:r w:rsidRPr="00F90EAE">
        <w:rPr>
          <w:color w:val="000000" w:themeColor="text1"/>
          <w:sz w:val="16"/>
          <w:szCs w:val="16"/>
        </w:rPr>
        <w:t>«В течение 14 января южнее и юго-западнее города КЕЛЬЦЕ наши войска, продолжая развивать наступление, овладели важным узлом коммуникаций городом Пинчув, а также с боями заняли более 200 других населённых пунктов, в числе которых крупные населённые пункты Радомице, Лисув, Корытница, Бжеги, Мясова, Мотковице, Якубув, Миржвин, Вроцерыж, Михалув, Гуры, Млодзувы, Козубув, Шипов, Пелчиска, Соколина, Стары Корчин, Новы Корчин и железнодорожные станции Собкув и Мясова. Таким образом, наши войска форсировали реку Нида, на фронте в 60 километров, не дав противнику возможности организовать здесь оборону, и перерезали железную дорогу Кельце—Краков.</w:t>
      </w:r>
    </w:p>
    <w:p w14:paraId="5B44DE79" w14:textId="77777777" w:rsidR="00650270" w:rsidRPr="00F90EAE" w:rsidRDefault="00650270" w:rsidP="00F90EAE">
      <w:pPr>
        <w:jc w:val="both"/>
        <w:rPr>
          <w:color w:val="000000" w:themeColor="text1"/>
          <w:sz w:val="16"/>
          <w:szCs w:val="16"/>
        </w:rPr>
      </w:pPr>
      <w:r w:rsidRPr="00F90EAE">
        <w:rPr>
          <w:color w:val="000000" w:themeColor="text1"/>
          <w:sz w:val="16"/>
          <w:szCs w:val="16"/>
        </w:rPr>
        <w:t>На территории Чехословакии наши войска, сломив сопротивление противника, овладели городом и железнодорожным узлом Лученец, городом и узловой железнодорожной станцией Плешивец, а также с боями заняли более 40 других населённых пунктов; среди них — Горка, Шанковце, Лекешка, Залужаны, Врезово, Угор-Ска, Ровняны, Калиново, Иелшовец, Лубореч и железнодорожные станции Горка, Сушаны, Зелена.</w:t>
      </w:r>
    </w:p>
    <w:p w14:paraId="7C17B0B4" w14:textId="77777777" w:rsidR="00650270" w:rsidRPr="00F90EAE" w:rsidRDefault="00650270" w:rsidP="00F90EAE">
      <w:pPr>
        <w:jc w:val="both"/>
        <w:rPr>
          <w:color w:val="000000" w:themeColor="text1"/>
          <w:sz w:val="16"/>
          <w:szCs w:val="16"/>
        </w:rPr>
      </w:pPr>
      <w:r w:rsidRPr="00F90EAE">
        <w:rPr>
          <w:color w:val="000000" w:themeColor="text1"/>
          <w:sz w:val="16"/>
          <w:szCs w:val="16"/>
        </w:rPr>
        <w:t>В Будапеште наши войска, сжимая кольцо окружения немецко-венгерской группировки, овладели восточным вокзалом, станцией пригородных поездов Чемер, городским газовым заводом и заняли более 200 кварталов. За 13 января в Будапеште наши войска взяли в плен 2.500 немецких и венгерских солдат и офицеров и захватили следующие трофеи: танков — 5, орудий разных калибров — 21, паровозов— 57, железнодорожных вагонов — 2.160, цистерн — 30.</w:t>
      </w:r>
    </w:p>
    <w:p w14:paraId="33E2E70C" w14:textId="77777777" w:rsidR="00650270" w:rsidRPr="00F90EAE" w:rsidRDefault="00650270"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2C6825D" w14:textId="77777777" w:rsidR="00650270" w:rsidRPr="00F90EAE" w:rsidRDefault="00650270" w:rsidP="00F90EAE">
      <w:pPr>
        <w:jc w:val="both"/>
        <w:rPr>
          <w:color w:val="000000" w:themeColor="text1"/>
          <w:sz w:val="16"/>
          <w:szCs w:val="16"/>
        </w:rPr>
      </w:pPr>
      <w:r w:rsidRPr="00F90EAE">
        <w:rPr>
          <w:color w:val="000000" w:themeColor="text1"/>
          <w:sz w:val="16"/>
          <w:szCs w:val="16"/>
        </w:rPr>
        <w:t>За 13 января наши войска на всех фронтах подбили и уничтожили 80 немецких танков.</w:t>
      </w:r>
    </w:p>
    <w:p w14:paraId="3483FCCF" w14:textId="77777777" w:rsidR="00650270" w:rsidRPr="00F90EAE" w:rsidRDefault="00650270" w:rsidP="00F90EAE">
      <w:pPr>
        <w:jc w:val="both"/>
        <w:rPr>
          <w:color w:val="000000" w:themeColor="text1"/>
          <w:sz w:val="16"/>
          <w:szCs w:val="16"/>
        </w:rPr>
      </w:pPr>
      <w:r w:rsidRPr="00F90EAE">
        <w:rPr>
          <w:color w:val="000000" w:themeColor="text1"/>
          <w:sz w:val="16"/>
          <w:szCs w:val="16"/>
        </w:rPr>
        <w:t>Южнее и юго-западнее города Кельце наши войска продолжали успешное наступление. Противник, стремясь задержать продвижение советских частей, ввёл в дело находившиеся в резерве танковую и моторизованную дивизии. В район прорыва немцы спешно, на автотранспорте, перебрасывают пехоту и с хода бросают её в бой. Контратаки следуют одна за другой. Ожесточенное сражение произошло севернее города Хмельник. В этом районе пехота и 50 танков противника атаковали наши наступающие войска. Советские пехотинцы, артиллеристы и танкисты в упорном бою разгромили противника, уничтожив при этом 41 танк и свыше двух батальонов немецкой пехоты. Быстро продвигаясь на запад, наши войска перерезали железную дорогу и шоссе Кельце—Краков. Упорные бои происходили также за важный узел шоссейных дорог Пинчув. Немцы, опираясь на заранее построенные оборонительные сооружения, оказывали здесь сильное огневое сопротивление. В результате стремительной атаки советские части опрокинули противника и овладели городом Пинчув. В бою на этом участке уничтожено до 2.000 немецких солдат и офицеров.</w:t>
      </w:r>
    </w:p>
    <w:p w14:paraId="46864E91" w14:textId="77777777" w:rsidR="00650270" w:rsidRPr="00F90EAE" w:rsidRDefault="00650270" w:rsidP="00F90EAE">
      <w:pPr>
        <w:jc w:val="both"/>
        <w:rPr>
          <w:color w:val="000000" w:themeColor="text1"/>
          <w:sz w:val="16"/>
          <w:szCs w:val="16"/>
        </w:rPr>
      </w:pPr>
      <w:r w:rsidRPr="00F90EAE">
        <w:rPr>
          <w:color w:val="000000" w:themeColor="text1"/>
          <w:sz w:val="16"/>
          <w:szCs w:val="16"/>
        </w:rPr>
        <w:t>Развивая наступление, наши войска на широком фронте форсировали реку Нида. На западном берегу этой реки немцы построили оборонительный рубеж, состоявший из траншей полного профиля и большого количества дзотов. Советские части овладели этими укреплениями противника и продолжают продвигаться вперёд. За три дня наступления нашими войсками захвачено много трофеев — орудий разных калибров, миномётов, автомашин, склады с боеприпасами и военным имуществом. В одном районе захвачены крупные артиллерийские склады немцев. По неполным данным, взято в плен 900 немецких солдат и офицеров.</w:t>
      </w:r>
    </w:p>
    <w:p w14:paraId="2980E173" w14:textId="77777777" w:rsidR="00650270" w:rsidRPr="00F90EAE" w:rsidRDefault="00650270" w:rsidP="00F90EAE">
      <w:pPr>
        <w:jc w:val="both"/>
        <w:rPr>
          <w:color w:val="000000" w:themeColor="text1"/>
          <w:sz w:val="16"/>
          <w:szCs w:val="16"/>
        </w:rPr>
      </w:pPr>
      <w:r w:rsidRPr="00F90EAE">
        <w:rPr>
          <w:color w:val="000000" w:themeColor="text1"/>
          <w:sz w:val="16"/>
          <w:szCs w:val="16"/>
        </w:rPr>
        <w:t xml:space="preserve">На территории Чехословакии наши войска, с боями продвигаясь вперед, вчера ворвались в город Плешивец. Всю ночь шли бои с упорно сопротивляющимися гитлеровцами. Сегодня к утру советские бойцы овладели городом Плешивец — важным узлом коммуникаций и одним из опорных пунктов так называемой «зимней линии обороны» противника. Ожесточённые бои произошли и за другой мощный узел сопротивления немцев — город Лученец. Противник создал на подступах к этому городу оборонительный район, состоявший из 50 железобетонных дотов. Немцы стремились любой ценой удержать в своих руках Лученец. За последнее время сюда ими были брошены подкрепления. Наши войска прорвали оборону противника на юго-западных подступах в Лученцу, форсировали реку Тугарски и ворвались на окраины города. Другие наши части, наносившие удар с северо-востока, переправились через реку Бзови и овладели железнодорожной станцией. Особенно упорное сопротивление гитлеровцы оказывали на западной окраине Лученца, в районе промышленных предприятий. Сегодня наши войска разгромили вражеский гарнизон и полностью очистили город от немцев. Уничтожен охранный батальон и другие части противника. Подбито и сожжено 16 немецких танков. В районе населенного </w:t>
      </w:r>
      <w:r w:rsidRPr="00F90EAE">
        <w:rPr>
          <w:color w:val="000000" w:themeColor="text1"/>
          <w:sz w:val="16"/>
          <w:szCs w:val="16"/>
        </w:rPr>
        <w:lastRenderedPageBreak/>
        <w:t>пункта Ровняны наши подразделения окружили вражеский артиллерийский дивизион. 215 немецких солдат и офицеров прекратили сопротивление и сдались в плен, передав советским офицерам 9 исправных орудий.</w:t>
      </w:r>
    </w:p>
    <w:p w14:paraId="5055CB46" w14:textId="77777777" w:rsidR="00650270" w:rsidRPr="00F90EAE" w:rsidRDefault="00650270" w:rsidP="00F90EAE">
      <w:pPr>
        <w:jc w:val="both"/>
        <w:rPr>
          <w:color w:val="000000" w:themeColor="text1"/>
          <w:sz w:val="16"/>
          <w:szCs w:val="16"/>
        </w:rPr>
      </w:pPr>
      <w:r w:rsidRPr="00F90EAE">
        <w:rPr>
          <w:color w:val="000000" w:themeColor="text1"/>
          <w:sz w:val="16"/>
          <w:szCs w:val="16"/>
        </w:rPr>
        <w:t>На 1-м Украинском фронте взят в плен командир 575-го полка, 304-й немецкой пехотной дивизии полковник Штреснер. Пленный рассказал: «Все ранее полученные мною приказы требовали: «В случае наступления русских не отступать ни на шаг, обороняться до последнего солдата, до последнего патрона». Однако исключительно мощная артиллерийская подготовка русских деморализовала солдат, подавила их волю к сопротивлению. Когда русская пехота перешла в атаку, солдаты моих подразделений начали отход. Меня поразила осведомленность русских. Они отлично знали наши позиции и расположение огневых точек. Русская артиллерия била точно. За какие-нибудь 15 минут вся связь была нарушена. На командном пункте я не мог поднять головы. Управлять полком было невозможно. Все подразделения понесли большие потери от артиллерийского огня. Оставшиеся в живых солдаты разбежались» (15009).</w:t>
      </w:r>
    </w:p>
    <w:p w14:paraId="066415C0" w14:textId="77777777" w:rsidR="00650270" w:rsidRPr="00F90EAE" w:rsidRDefault="00650270" w:rsidP="00F90EAE">
      <w:pPr>
        <w:jc w:val="both"/>
        <w:rPr>
          <w:color w:val="000000" w:themeColor="text1"/>
          <w:sz w:val="16"/>
          <w:szCs w:val="16"/>
        </w:rPr>
      </w:pPr>
    </w:p>
    <w:p w14:paraId="48A307A5" w14:textId="77777777" w:rsidR="00650270" w:rsidRPr="00F90EAE" w:rsidRDefault="00650270" w:rsidP="00F90EAE">
      <w:pPr>
        <w:jc w:val="both"/>
        <w:rPr>
          <w:color w:val="000000" w:themeColor="text1"/>
          <w:sz w:val="16"/>
          <w:szCs w:val="16"/>
        </w:rPr>
      </w:pPr>
      <w:r w:rsidRPr="00F90EAE">
        <w:rPr>
          <w:bCs/>
          <w:color w:val="000000" w:themeColor="text1"/>
          <w:sz w:val="16"/>
          <w:szCs w:val="16"/>
        </w:rPr>
        <w:t>14 января</w:t>
      </w:r>
      <w:r w:rsidRPr="00F90EAE">
        <w:rPr>
          <w:color w:val="000000" w:themeColor="text1"/>
          <w:sz w:val="16"/>
          <w:szCs w:val="16"/>
        </w:rPr>
        <w:t xml:space="preserve"> в 1945 году началась Млавско-Эльбингская наступательная операция (часть Восточно-Прусской стратегической наступательной операции) войск 2-го Белорусского фронта, продолжавшаяся до 26 января. Началась Варшавско-Познанская наступательная операция войск 1-го Белорусского фронта, продолжавшаяся до 3 февраля (15009).</w:t>
      </w:r>
    </w:p>
    <w:p w14:paraId="316914D1" w14:textId="77777777" w:rsidR="00650270" w:rsidRPr="00F90EAE" w:rsidRDefault="00650270" w:rsidP="00F90EAE">
      <w:pPr>
        <w:jc w:val="both"/>
        <w:rPr>
          <w:color w:val="000000" w:themeColor="text1"/>
          <w:sz w:val="16"/>
          <w:szCs w:val="16"/>
        </w:rPr>
      </w:pPr>
    </w:p>
    <w:p w14:paraId="27506188" w14:textId="77777777" w:rsidR="00650270" w:rsidRPr="00F90EAE" w:rsidRDefault="00650270" w:rsidP="00F90EAE">
      <w:pPr>
        <w:jc w:val="both"/>
        <w:rPr>
          <w:color w:val="000000" w:themeColor="text1"/>
          <w:sz w:val="16"/>
          <w:szCs w:val="16"/>
        </w:rPr>
      </w:pPr>
      <w:r w:rsidRPr="00F90EAE">
        <w:rPr>
          <w:bCs/>
          <w:color w:val="000000" w:themeColor="text1"/>
          <w:sz w:val="16"/>
          <w:szCs w:val="16"/>
        </w:rPr>
        <w:t>14 января</w:t>
      </w:r>
      <w:r w:rsidRPr="00F90EAE">
        <w:rPr>
          <w:color w:val="000000" w:themeColor="text1"/>
          <w:sz w:val="16"/>
          <w:szCs w:val="16"/>
        </w:rPr>
        <w:t xml:space="preserve"> в 1945 году весь личный состав 1-го батальона 215-го гвардейского стрелкового полка 77-й гвардейской стрелковой дивизии проявил исключительное мужество и героизм в боях на реке Висла. За этот бой был награжден поголовно весь состав батальона: 350 солдат, сержантов и старшин были удостоены орденов Славы, командиры взводов - орденов Александра Невского, командиры рот - орденов Красного Знамени, а командиру батальона гвардии майору Б.Н.Емельянову присвоено звание Героя Советского Союза. Батальон стали именовать Батальоном Славы (15009).</w:t>
      </w:r>
    </w:p>
    <w:p w14:paraId="51BA5C72" w14:textId="77777777" w:rsidR="00650270" w:rsidRPr="00F90EAE" w:rsidRDefault="00650270" w:rsidP="00F90EAE">
      <w:pPr>
        <w:jc w:val="both"/>
        <w:rPr>
          <w:color w:val="000000" w:themeColor="text1"/>
          <w:sz w:val="16"/>
          <w:szCs w:val="16"/>
        </w:rPr>
      </w:pPr>
    </w:p>
    <w:p w14:paraId="75796A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14 января по 3 февраля 1943 состоялась Варшавско-Позненская операция. Продвинулись на 500 км и вышли к Одеру, захватили плацдармы севернее и южнее Кюстрина и блокировали крепость Познань (2438,128).</w:t>
      </w:r>
    </w:p>
    <w:p w14:paraId="4DF903E7" w14:textId="77777777" w:rsidR="00C2313B" w:rsidRPr="00F90EAE" w:rsidRDefault="00C2313B" w:rsidP="00F90EAE">
      <w:pPr>
        <w:autoSpaceDE w:val="0"/>
        <w:autoSpaceDN w:val="0"/>
        <w:adjustRightInd w:val="0"/>
        <w:jc w:val="both"/>
        <w:rPr>
          <w:color w:val="000000" w:themeColor="text1"/>
          <w:sz w:val="16"/>
          <w:szCs w:val="16"/>
        </w:rPr>
      </w:pPr>
    </w:p>
    <w:p w14:paraId="651791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войска 1БФ (Г.К.Жуков) начали Варшавско-Познанскую операцию - часть Висло-Одерской. Завершилась 3 февраля 1945 разгромом 9А и освобождением Варшавы. Захватили плацдарм на левом берегу Одера (3398,27).</w:t>
      </w:r>
    </w:p>
    <w:p w14:paraId="543F74F9" w14:textId="77777777" w:rsidR="00C2313B" w:rsidRPr="00F90EAE" w:rsidRDefault="00C2313B" w:rsidP="00F90EAE">
      <w:pPr>
        <w:autoSpaceDE w:val="0"/>
        <w:autoSpaceDN w:val="0"/>
        <w:adjustRightInd w:val="0"/>
        <w:jc w:val="both"/>
        <w:rPr>
          <w:color w:val="000000" w:themeColor="text1"/>
          <w:sz w:val="16"/>
          <w:szCs w:val="16"/>
        </w:rPr>
      </w:pPr>
    </w:p>
    <w:p w14:paraId="217768D3"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14, 1945: The Soviet 2nd Belorussian Front (Rokossovsky) begins an offensive from its Narev bridgehead against Elbing in East Prussia (3819).</w:t>
      </w:r>
    </w:p>
    <w:p w14:paraId="7CFD1D7F" w14:textId="77777777" w:rsidR="00C2313B" w:rsidRPr="00F90EAE" w:rsidRDefault="00C2313B" w:rsidP="00F90EAE">
      <w:pPr>
        <w:autoSpaceDE w:val="0"/>
        <w:autoSpaceDN w:val="0"/>
        <w:adjustRightInd w:val="0"/>
        <w:jc w:val="both"/>
        <w:rPr>
          <w:color w:val="000000" w:themeColor="text1"/>
          <w:sz w:val="16"/>
          <w:szCs w:val="16"/>
          <w:lang w:val="en-US"/>
        </w:rPr>
      </w:pPr>
    </w:p>
    <w:p w14:paraId="15618F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2БФ (Рокосовский) начал наступление из Нарева на Элбиг в Восточной Пруссии (3819).</w:t>
      </w:r>
    </w:p>
    <w:p w14:paraId="5AD80AF0" w14:textId="77777777" w:rsidR="00C2313B" w:rsidRPr="00F90EAE" w:rsidRDefault="00C2313B" w:rsidP="00F90EAE">
      <w:pPr>
        <w:autoSpaceDE w:val="0"/>
        <w:autoSpaceDN w:val="0"/>
        <w:adjustRightInd w:val="0"/>
        <w:jc w:val="both"/>
        <w:rPr>
          <w:color w:val="000000" w:themeColor="text1"/>
          <w:sz w:val="16"/>
          <w:szCs w:val="16"/>
        </w:rPr>
      </w:pPr>
    </w:p>
    <w:p w14:paraId="2D287F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C 14 по 26 января 1945 состоялась Млавско-Эльбингская операция СА - Часть Восточно-Прусской операции (2438,410).</w:t>
      </w:r>
    </w:p>
    <w:p w14:paraId="05A630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из-за плохих метеоусловий авиаподготовка ограничивалась действиями нба (518,135).</w:t>
      </w:r>
    </w:p>
    <w:p w14:paraId="5391748C" w14:textId="77777777" w:rsidR="00C2313B" w:rsidRPr="00F90EAE" w:rsidRDefault="00C2313B" w:rsidP="00F90EAE">
      <w:pPr>
        <w:autoSpaceDE w:val="0"/>
        <w:autoSpaceDN w:val="0"/>
        <w:adjustRightInd w:val="0"/>
        <w:jc w:val="both"/>
        <w:rPr>
          <w:color w:val="000000" w:themeColor="text1"/>
          <w:sz w:val="16"/>
          <w:szCs w:val="16"/>
        </w:rPr>
      </w:pPr>
    </w:p>
    <w:p w14:paraId="0E3103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вышел приказ наркома ВМФ Н.К.Кузнецова N 018 об аварийности в частях ВВС Северного флота (2120).</w:t>
      </w:r>
    </w:p>
    <w:p w14:paraId="096B2990" w14:textId="77777777" w:rsidR="00C2313B" w:rsidRPr="00F90EAE" w:rsidRDefault="00C2313B" w:rsidP="00F90EAE">
      <w:pPr>
        <w:autoSpaceDE w:val="0"/>
        <w:autoSpaceDN w:val="0"/>
        <w:adjustRightInd w:val="0"/>
        <w:jc w:val="both"/>
        <w:rPr>
          <w:color w:val="000000" w:themeColor="text1"/>
          <w:sz w:val="16"/>
          <w:szCs w:val="16"/>
        </w:rPr>
      </w:pPr>
    </w:p>
    <w:p w14:paraId="6F2630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года самолеты потопили пароход "Минни-Хорн" (4007 тонн) и теплоход "Фриц Шооп" (1598 тонн).</w:t>
      </w:r>
    </w:p>
    <w:p w14:paraId="27154D1C" w14:textId="77777777" w:rsidR="00C2313B" w:rsidRPr="00F90EAE" w:rsidRDefault="00C2313B" w:rsidP="00F90EAE">
      <w:pPr>
        <w:autoSpaceDE w:val="0"/>
        <w:autoSpaceDN w:val="0"/>
        <w:adjustRightInd w:val="0"/>
        <w:jc w:val="both"/>
        <w:rPr>
          <w:color w:val="000000" w:themeColor="text1"/>
          <w:sz w:val="16"/>
          <w:szCs w:val="16"/>
        </w:rPr>
      </w:pPr>
    </w:p>
    <w:p w14:paraId="773BE0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г. Генерал-лейтенант Ашенбреннер докладывал начальству, что русские истребители имеют “хороший уровень”. Командиром эскадрильи. получившей наименование 1-й иаэ имени полковника Казакова (Jaqdstaffel der ROA "Oberst Kasakow”), по имени знаменитого аса русской армии, прославившегося в Первую Мировую войну, стал майор С.Т.Бычков. “Казаковцы” получили 16 Bf109G-10 и, после ус-Герой Советского Союза С.Т.Бычков возглавил в авиации Р.ОА первую истребительную эскадрилью (4538).</w:t>
      </w:r>
    </w:p>
    <w:p w14:paraId="4F1E54DF" w14:textId="77777777" w:rsidR="00C2313B" w:rsidRPr="00F90EAE" w:rsidRDefault="00C2313B" w:rsidP="00F90EAE">
      <w:pPr>
        <w:autoSpaceDE w:val="0"/>
        <w:autoSpaceDN w:val="0"/>
        <w:adjustRightInd w:val="0"/>
        <w:jc w:val="both"/>
        <w:rPr>
          <w:color w:val="000000" w:themeColor="text1"/>
          <w:sz w:val="16"/>
          <w:szCs w:val="16"/>
        </w:rPr>
      </w:pPr>
    </w:p>
    <w:p w14:paraId="59AAD8BC" w14:textId="77777777" w:rsidR="000E7D6A" w:rsidRPr="00F90EAE" w:rsidRDefault="000E7D6A" w:rsidP="00F90EAE">
      <w:pPr>
        <w:shd w:val="clear" w:color="auto" w:fill="FFFFFF"/>
        <w:jc w:val="both"/>
        <w:rPr>
          <w:color w:val="000000" w:themeColor="text1"/>
          <w:sz w:val="16"/>
          <w:szCs w:val="16"/>
        </w:rPr>
      </w:pPr>
      <w:r w:rsidRPr="00F90EAE">
        <w:rPr>
          <w:color w:val="000000" w:themeColor="text1"/>
          <w:sz w:val="16"/>
          <w:szCs w:val="16"/>
        </w:rPr>
        <w:t>По состоянию на 14 января 1945 года в в составе 8-го гвардейского танкового корпуса, входившего в состав 2-го Белорусского фронта имелось 185 М4А2. Имелись такие танки и в составе 9-го гвардейского механизированного корпуса, который действовал в составе 2-го Украинского фронта. Следует отметить, что во всех этих соединениях в строю все еще оставались и «обычные» М4А2 с 75-мм пушками.</w:t>
      </w:r>
    </w:p>
    <w:p w14:paraId="0A498974" w14:textId="77777777" w:rsidR="000E7D6A" w:rsidRPr="00F90EAE" w:rsidRDefault="000E7D6A" w:rsidP="00F90EAE">
      <w:pPr>
        <w:shd w:val="clear" w:color="auto" w:fill="FFFFFF"/>
        <w:jc w:val="both"/>
        <w:rPr>
          <w:color w:val="000000" w:themeColor="text1"/>
          <w:sz w:val="16"/>
          <w:szCs w:val="16"/>
        </w:rPr>
      </w:pPr>
      <w:r w:rsidRPr="00F90EAE">
        <w:rPr>
          <w:color w:val="000000" w:themeColor="text1"/>
          <w:sz w:val="16"/>
          <w:szCs w:val="16"/>
        </w:rPr>
        <w:t>Новые американские танки приняли самое активное участие в сражениях зимы-весны 1945 года. Заметным плюсом стало то, что бои этого периода происходили в гораздо более комфортных, с точки зрения проходимости местности, условиях. В условиях, когда не требовалось штурмовать сугробы и непролазную грязь, и без того высокая надежность американских танков стала играть все более решающую роль.</w:t>
      </w:r>
    </w:p>
    <w:p w14:paraId="422AE2DC" w14:textId="77777777" w:rsidR="000E7D6A" w:rsidRPr="00F90EAE" w:rsidRDefault="000E7D6A" w:rsidP="00F90EAE">
      <w:pPr>
        <w:shd w:val="clear" w:color="auto" w:fill="FFFFFF"/>
        <w:jc w:val="both"/>
        <w:rPr>
          <w:color w:val="000000" w:themeColor="text1"/>
          <w:sz w:val="16"/>
          <w:szCs w:val="16"/>
        </w:rPr>
      </w:pPr>
      <w:r w:rsidRPr="00F90EAE">
        <w:rPr>
          <w:color w:val="000000" w:themeColor="text1"/>
          <w:sz w:val="16"/>
          <w:szCs w:val="16"/>
        </w:rPr>
        <w:t>Танки 1-го гвардейского механизированного корпуса первыми ворвались в Вену. Важную роль сыграли и М4А2 1-го механизированного корпуса, которые с северо-запада закрывали кольцо окружения вокруг Берлина. Участвовали американские машины и в освобождении Праги, здесь отличился имевший их на вооружении 9-й гвардейский механизированный корпус. Для этого соединения и его танков война на этом не закончилась: в августе 1945 года М4А2–76 мм из состава 9-го гв. мк участвовали в войне против Японии (17678).</w:t>
      </w:r>
    </w:p>
    <w:p w14:paraId="024DE2D9" w14:textId="77777777" w:rsidR="000E7D6A" w:rsidRPr="00F90EAE" w:rsidRDefault="000E7D6A" w:rsidP="00F90EAE">
      <w:pPr>
        <w:jc w:val="both"/>
        <w:rPr>
          <w:color w:val="000000" w:themeColor="text1"/>
          <w:sz w:val="16"/>
          <w:szCs w:val="16"/>
        </w:rPr>
      </w:pPr>
    </w:p>
    <w:p w14:paraId="010458E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ED366FF" w14:textId="77777777" w:rsidR="00C2313B" w:rsidRPr="00F90EAE" w:rsidRDefault="00C2313B" w:rsidP="00F90EAE">
      <w:pPr>
        <w:autoSpaceDE w:val="0"/>
        <w:autoSpaceDN w:val="0"/>
        <w:adjustRightInd w:val="0"/>
        <w:jc w:val="both"/>
        <w:rPr>
          <w:iCs/>
          <w:color w:val="000000" w:themeColor="text1"/>
          <w:sz w:val="16"/>
          <w:szCs w:val="16"/>
        </w:rPr>
      </w:pPr>
    </w:p>
    <w:p w14:paraId="2F22FD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января 1945 в ходе наступления в Арденах американцы вышли к Бастони и спасли окруженные американские части (3907,255).</w:t>
      </w:r>
    </w:p>
    <w:p w14:paraId="6C5B5FC6" w14:textId="77777777" w:rsidR="00C2313B" w:rsidRPr="00F90EAE" w:rsidRDefault="00C2313B" w:rsidP="00F90EAE">
      <w:pPr>
        <w:autoSpaceDE w:val="0"/>
        <w:autoSpaceDN w:val="0"/>
        <w:adjustRightInd w:val="0"/>
        <w:jc w:val="both"/>
        <w:rPr>
          <w:color w:val="000000" w:themeColor="text1"/>
          <w:sz w:val="16"/>
          <w:szCs w:val="16"/>
        </w:rPr>
      </w:pPr>
    </w:p>
    <w:p w14:paraId="0876225C" w14:textId="77777777" w:rsidR="00650270" w:rsidRPr="00F90EAE" w:rsidRDefault="00650270" w:rsidP="00F90EAE">
      <w:pPr>
        <w:jc w:val="both"/>
        <w:rPr>
          <w:color w:val="000000" w:themeColor="text1"/>
          <w:sz w:val="16"/>
          <w:szCs w:val="16"/>
        </w:rPr>
      </w:pPr>
      <w:r w:rsidRPr="00F90EAE">
        <w:rPr>
          <w:bCs/>
          <w:color w:val="000000" w:themeColor="text1"/>
          <w:sz w:val="16"/>
          <w:szCs w:val="16"/>
        </w:rPr>
        <w:t>14 января</w:t>
      </w:r>
      <w:r w:rsidRPr="00F90EAE">
        <w:rPr>
          <w:color w:val="000000" w:themeColor="text1"/>
          <w:sz w:val="16"/>
          <w:szCs w:val="16"/>
        </w:rPr>
        <w:t xml:space="preserve"> в 1945 году в ходе наступательной операции в Арденнах (Бельгия) части американской армии выходят к городу Бастонь и спасают американских солдат, оказавшихся в окружении после наступления германских войск (15009).</w:t>
      </w:r>
    </w:p>
    <w:p w14:paraId="3710E330" w14:textId="77777777" w:rsidR="00650270" w:rsidRPr="00F90EAE" w:rsidRDefault="00650270" w:rsidP="00F90EAE">
      <w:pPr>
        <w:jc w:val="both"/>
        <w:rPr>
          <w:color w:val="000000" w:themeColor="text1"/>
          <w:sz w:val="16"/>
          <w:szCs w:val="16"/>
        </w:rPr>
      </w:pPr>
    </w:p>
    <w:p w14:paraId="1111BE33" w14:textId="77777777" w:rsidR="002A04DB" w:rsidRPr="00F90EAE" w:rsidRDefault="002A04DB" w:rsidP="00F90EAE">
      <w:pPr>
        <w:jc w:val="both"/>
        <w:rPr>
          <w:color w:val="0070C0"/>
          <w:sz w:val="16"/>
          <w:szCs w:val="16"/>
        </w:rPr>
      </w:pPr>
      <w:r w:rsidRPr="00F90EAE">
        <w:rPr>
          <w:color w:val="0070C0"/>
          <w:sz w:val="16"/>
          <w:szCs w:val="16"/>
        </w:rPr>
        <w:t>14 января 1945 B-29 ВВС США бомбят Формозу (20371).</w:t>
      </w:r>
    </w:p>
    <w:p w14:paraId="70BA5A2E" w14:textId="77777777" w:rsidR="002A04DB" w:rsidRPr="00F90EAE" w:rsidRDefault="002A04DB" w:rsidP="00F90EAE">
      <w:pPr>
        <w:jc w:val="both"/>
        <w:rPr>
          <w:color w:val="0070C0"/>
          <w:sz w:val="16"/>
          <w:szCs w:val="16"/>
        </w:rPr>
      </w:pPr>
    </w:p>
    <w:p w14:paraId="1DE8720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96AEB86" w14:textId="77777777" w:rsidR="00C2313B" w:rsidRPr="00F90EAE" w:rsidRDefault="00C2313B" w:rsidP="00F90EAE">
      <w:pPr>
        <w:autoSpaceDE w:val="0"/>
        <w:autoSpaceDN w:val="0"/>
        <w:adjustRightInd w:val="0"/>
        <w:jc w:val="both"/>
        <w:rPr>
          <w:iCs/>
          <w:color w:val="000000" w:themeColor="text1"/>
          <w:sz w:val="16"/>
          <w:szCs w:val="16"/>
        </w:rPr>
      </w:pPr>
    </w:p>
    <w:p w14:paraId="15DA7F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января 1945 г. у заместителя наркома авиапро</w:t>
      </w:r>
      <w:r w:rsidRPr="00F90EAE">
        <w:rPr>
          <w:color w:val="000000" w:themeColor="text1"/>
          <w:sz w:val="16"/>
          <w:szCs w:val="16"/>
        </w:rPr>
        <w:softHyphen/>
        <w:t>мышленности А.И. Кузнецова прошло совещание, согласно которому нормальный по</w:t>
      </w:r>
      <w:r w:rsidRPr="00F90EAE">
        <w:rPr>
          <w:color w:val="000000" w:themeColor="text1"/>
          <w:sz w:val="16"/>
          <w:szCs w:val="16"/>
        </w:rPr>
        <w:softHyphen/>
        <w:t>летный вес Ил-10 ограничивался 6300 кг, а пу</w:t>
      </w:r>
      <w:r w:rsidRPr="00F90EAE">
        <w:rPr>
          <w:color w:val="000000" w:themeColor="text1"/>
          <w:sz w:val="16"/>
          <w:szCs w:val="16"/>
        </w:rPr>
        <w:softHyphen/>
        <w:t>стого самолета - 4640 кг. Вес нагрузки устанавливался в 1660 кг. Скорость у земли требовалась не менее 505 км/ч, на границе высотности - 550 км/ч. Вре</w:t>
      </w:r>
      <w:r w:rsidRPr="00F90EAE">
        <w:rPr>
          <w:color w:val="000000" w:themeColor="text1"/>
          <w:sz w:val="16"/>
          <w:szCs w:val="16"/>
        </w:rPr>
        <w:softHyphen/>
        <w:t>мя подъема на высоту 1000 м - не более 1,6 мин, на 3000 м - 5,0 мин. Длина раз</w:t>
      </w:r>
      <w:r w:rsidRPr="00F90EAE">
        <w:rPr>
          <w:color w:val="000000" w:themeColor="text1"/>
          <w:sz w:val="16"/>
          <w:szCs w:val="16"/>
        </w:rPr>
        <w:softHyphen/>
        <w:t>бега со щитками - не более 475 м, а взлетная дистанция - 1250 м. Интерес</w:t>
      </w:r>
      <w:r w:rsidRPr="00F90EAE">
        <w:rPr>
          <w:color w:val="000000" w:themeColor="text1"/>
          <w:sz w:val="16"/>
          <w:szCs w:val="16"/>
        </w:rPr>
        <w:softHyphen/>
        <w:t>но, что по этому документу все серий</w:t>
      </w:r>
      <w:r w:rsidRPr="00F90EAE">
        <w:rPr>
          <w:color w:val="000000" w:themeColor="text1"/>
          <w:sz w:val="16"/>
          <w:szCs w:val="16"/>
        </w:rPr>
        <w:softHyphen/>
        <w:t>ные самолеты должны были иметь обо</w:t>
      </w:r>
      <w:r w:rsidRPr="00F90EAE">
        <w:rPr>
          <w:color w:val="000000" w:themeColor="text1"/>
          <w:sz w:val="16"/>
          <w:szCs w:val="16"/>
        </w:rPr>
        <w:softHyphen/>
        <w:t>ронительную установку с пушкой УБ-20 (что на самом деле осуществили намно</w:t>
      </w:r>
      <w:r w:rsidRPr="00F90EAE">
        <w:rPr>
          <w:color w:val="000000" w:themeColor="text1"/>
          <w:sz w:val="16"/>
          <w:szCs w:val="16"/>
        </w:rPr>
        <w:softHyphen/>
        <w:t>го позже). Утвержденные требования к Ил-10 оказались для заводов слишком высоки</w:t>
      </w:r>
      <w:r w:rsidRPr="00F90EAE">
        <w:rPr>
          <w:color w:val="000000" w:themeColor="text1"/>
          <w:sz w:val="16"/>
          <w:szCs w:val="16"/>
        </w:rPr>
        <w:softHyphen/>
        <w:t>ми. Естественно, возникли трения с во</w:t>
      </w:r>
      <w:r w:rsidRPr="00F90EAE">
        <w:rPr>
          <w:color w:val="000000" w:themeColor="text1"/>
          <w:sz w:val="16"/>
          <w:szCs w:val="16"/>
        </w:rPr>
        <w:softHyphen/>
        <w:t>енной приемкой, поскольку почти все се</w:t>
      </w:r>
      <w:r w:rsidRPr="00F90EAE">
        <w:rPr>
          <w:color w:val="000000" w:themeColor="text1"/>
          <w:sz w:val="16"/>
          <w:szCs w:val="16"/>
        </w:rPr>
        <w:softHyphen/>
        <w:t>рийные штурмовики по максимальной скорости и скороподъемности не вполне отвечали техническим условиям. Так, се</w:t>
      </w:r>
      <w:r w:rsidRPr="00F90EAE">
        <w:rPr>
          <w:color w:val="000000" w:themeColor="text1"/>
          <w:sz w:val="16"/>
          <w:szCs w:val="16"/>
        </w:rPr>
        <w:softHyphen/>
        <w:t>рийный Ил-10 № 106037 на контрольных испытаниях в НИИ ВВС в мае 1945 г. по</w:t>
      </w:r>
      <w:r w:rsidRPr="00F90EAE">
        <w:rPr>
          <w:color w:val="000000" w:themeColor="text1"/>
          <w:sz w:val="16"/>
          <w:szCs w:val="16"/>
        </w:rPr>
        <w:softHyphen/>
        <w:t>казал скорость у земли 503 км/ч и на высо</w:t>
      </w:r>
      <w:r w:rsidRPr="00F90EAE">
        <w:rPr>
          <w:color w:val="000000" w:themeColor="text1"/>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F90EAE">
        <w:rPr>
          <w:color w:val="000000" w:themeColor="text1"/>
          <w:sz w:val="16"/>
          <w:szCs w:val="16"/>
        </w:rPr>
        <w:softHyphen/>
        <w:t>ра высоты 1000 м составило 2,1 мин, а 3000 м - 6,4 мин. Согласно докладу военной приемки, вес пустого самолета в течение года ко</w:t>
      </w:r>
      <w:r w:rsidRPr="00F90EAE">
        <w:rPr>
          <w:color w:val="000000" w:themeColor="text1"/>
          <w:sz w:val="16"/>
          <w:szCs w:val="16"/>
        </w:rPr>
        <w:softHyphen/>
        <w:t>лебался в пределах 4632 - 4700 кг, по</w:t>
      </w:r>
      <w:r w:rsidRPr="00F90EAE">
        <w:rPr>
          <w:color w:val="000000" w:themeColor="text1"/>
          <w:sz w:val="16"/>
          <w:szCs w:val="16"/>
        </w:rPr>
        <w:softHyphen/>
        <w:t>летный - 6253 - 6326 кг. Скорость у зем</w:t>
      </w:r>
      <w:r w:rsidRPr="00F90EAE">
        <w:rPr>
          <w:color w:val="000000" w:themeColor="text1"/>
          <w:sz w:val="16"/>
          <w:szCs w:val="16"/>
        </w:rPr>
        <w:softHyphen/>
        <w:t>ли составляла 482 - 507 км/ч, на грани</w:t>
      </w:r>
      <w:r w:rsidRPr="00F90EAE">
        <w:rPr>
          <w:color w:val="000000" w:themeColor="text1"/>
          <w:sz w:val="16"/>
          <w:szCs w:val="16"/>
        </w:rPr>
        <w:softHyphen/>
        <w:t>це высотности - 526 - 549 км/ч. Время подъема на высоту 3000 м - 5 - 6,4 мин. Дальность полета на высоте 500 м - 818 -855 км. Длина разбега - 475 - 560 м (за 17,8 - 21,6 с). Посадочная скорость ос</w:t>
      </w:r>
      <w:r w:rsidRPr="00F90EAE">
        <w:rPr>
          <w:color w:val="000000" w:themeColor="text1"/>
          <w:sz w:val="16"/>
          <w:szCs w:val="16"/>
        </w:rPr>
        <w:softHyphen/>
        <w:t>тавалась в пределах 147 км/ч. Но гораздо больше, чем снижение летных данных, заботили многочислен</w:t>
      </w:r>
      <w:r w:rsidRPr="00F90EAE">
        <w:rPr>
          <w:color w:val="000000" w:themeColor="text1"/>
          <w:sz w:val="16"/>
          <w:szCs w:val="16"/>
        </w:rPr>
        <w:softHyphen/>
        <w:t>ные дефекты как самолета, так и его мо</w:t>
      </w:r>
      <w:r w:rsidRPr="00F90EAE">
        <w:rPr>
          <w:color w:val="000000" w:themeColor="text1"/>
          <w:sz w:val="16"/>
          <w:szCs w:val="16"/>
        </w:rPr>
        <w:softHyphen/>
        <w:t>тора. Во многом они были порождены «скоростными» методами проектирова</w:t>
      </w:r>
      <w:r w:rsidRPr="00F90EAE">
        <w:rPr>
          <w:color w:val="000000" w:themeColor="text1"/>
          <w:sz w:val="16"/>
          <w:szCs w:val="16"/>
        </w:rPr>
        <w:softHyphen/>
        <w:t>ния машины и внедрения ее в массовое производство в условиях военного вре</w:t>
      </w:r>
      <w:r w:rsidRPr="00F90EAE">
        <w:rPr>
          <w:color w:val="000000" w:themeColor="text1"/>
          <w:sz w:val="16"/>
          <w:szCs w:val="16"/>
        </w:rPr>
        <w:softHyphen/>
        <w:t>мени. Почти на всех самолетах датчики бензи-номеров верхних баков показывали все, что угодно, но не количество оставшего</w:t>
      </w:r>
      <w:r w:rsidRPr="00F90EAE">
        <w:rPr>
          <w:color w:val="000000" w:themeColor="text1"/>
          <w:sz w:val="16"/>
          <w:szCs w:val="16"/>
        </w:rPr>
        <w:softHyphen/>
        <w:t>ся в баках топлива. Тарировка зонда масломера, как оказалось, была прове</w:t>
      </w:r>
      <w:r w:rsidRPr="00F90EAE">
        <w:rPr>
          <w:color w:val="000000" w:themeColor="text1"/>
          <w:sz w:val="16"/>
          <w:szCs w:val="16"/>
        </w:rPr>
        <w:softHyphen/>
        <w:t>дена на заводах неточно. Вследствие этого и заливка масла в систему прово</w:t>
      </w:r>
      <w:r w:rsidRPr="00F90EAE">
        <w:rPr>
          <w:color w:val="000000" w:themeColor="text1"/>
          <w:sz w:val="16"/>
          <w:szCs w:val="16"/>
        </w:rPr>
        <w:softHyphen/>
        <w:t>дилась неверно; моторы выходили из строя из-за масляного голодания. На не</w:t>
      </w:r>
      <w:r w:rsidRPr="00F90EAE">
        <w:rPr>
          <w:color w:val="000000" w:themeColor="text1"/>
          <w:sz w:val="16"/>
          <w:szCs w:val="16"/>
        </w:rPr>
        <w:softHyphen/>
        <w:t>скольких самолетах имели место отказы моторчиков управления заслонкой тун</w:t>
      </w:r>
      <w:r w:rsidRPr="00F90EAE">
        <w:rPr>
          <w:color w:val="000000" w:themeColor="text1"/>
          <w:sz w:val="16"/>
          <w:szCs w:val="16"/>
        </w:rPr>
        <w:softHyphen/>
        <w:t>неля водяного радиатора. После налета 10-15 ч появлялись люфты в соедине</w:t>
      </w:r>
      <w:r w:rsidRPr="00F90EAE">
        <w:rPr>
          <w:color w:val="000000" w:themeColor="text1"/>
          <w:sz w:val="16"/>
          <w:szCs w:val="16"/>
        </w:rPr>
        <w:softHyphen/>
        <w:t>нии рычагов проводки управления штор</w:t>
      </w:r>
      <w:r w:rsidRPr="00F90EAE">
        <w:rPr>
          <w:color w:val="000000" w:themeColor="text1"/>
          <w:sz w:val="16"/>
          <w:szCs w:val="16"/>
        </w:rPr>
        <w:softHyphen/>
        <w:t>ками тоннелей радиаторов. В результа</w:t>
      </w:r>
      <w:r w:rsidRPr="00F90EAE">
        <w:rPr>
          <w:color w:val="000000" w:themeColor="text1"/>
          <w:sz w:val="16"/>
          <w:szCs w:val="16"/>
        </w:rPr>
        <w:softHyphen/>
        <w:t>те отклонений от чертежей при изготов</w:t>
      </w:r>
      <w:r w:rsidRPr="00F90EAE">
        <w:rPr>
          <w:color w:val="000000" w:themeColor="text1"/>
          <w:sz w:val="16"/>
          <w:szCs w:val="16"/>
        </w:rPr>
        <w:softHyphen/>
        <w:t>лении бронекорпусов, наблюдались случаи смещения маслобаков в сторону мотора и повреждения их обечаек. Гидросмесь в стойках шасси при тем</w:t>
      </w:r>
      <w:r w:rsidRPr="00F90EAE">
        <w:rPr>
          <w:color w:val="000000" w:themeColor="text1"/>
          <w:sz w:val="16"/>
          <w:szCs w:val="16"/>
        </w:rPr>
        <w:softHyphen/>
        <w:t>пературе ниже - 8°С кристаллизова</w:t>
      </w:r>
      <w:r w:rsidRPr="00F90EAE">
        <w:rPr>
          <w:color w:val="000000" w:themeColor="text1"/>
          <w:sz w:val="16"/>
          <w:szCs w:val="16"/>
        </w:rPr>
        <w:softHyphen/>
        <w:t>лась. Как следствие, шток поршня амор</w:t>
      </w:r>
      <w:r w:rsidRPr="00F90EAE">
        <w:rPr>
          <w:color w:val="000000" w:themeColor="text1"/>
          <w:sz w:val="16"/>
          <w:szCs w:val="16"/>
        </w:rPr>
        <w:softHyphen/>
        <w:t>тизатора свободно висящей стойки не полностью выходил из цилиндра. Из-за этого при уборке шасси колесо, будучи приподнято, заходило в вырез крыла с напряжением, упираясь в переднюю часть окантовки и разрушая ее. При этом довольно часто обтекатель колеса (так называемый «лопух») заскакивал за окан</w:t>
      </w:r>
      <w:r w:rsidRPr="00F90EAE">
        <w:rPr>
          <w:color w:val="000000" w:themeColor="text1"/>
          <w:sz w:val="16"/>
          <w:szCs w:val="16"/>
        </w:rPr>
        <w:softHyphen/>
        <w:t>товку выреза и там его заклинивало. Бы</w:t>
      </w:r>
      <w:r w:rsidRPr="00F90EAE">
        <w:rPr>
          <w:color w:val="000000" w:themeColor="text1"/>
          <w:sz w:val="16"/>
          <w:szCs w:val="16"/>
        </w:rPr>
        <w:softHyphen/>
        <w:t>ли и другие причины поломок и срыва «лопухов», например, неправильный мон</w:t>
      </w:r>
      <w:r w:rsidRPr="00F90EAE">
        <w:rPr>
          <w:color w:val="000000" w:themeColor="text1"/>
          <w:sz w:val="16"/>
          <w:szCs w:val="16"/>
        </w:rPr>
        <w:softHyphen/>
        <w:t>таж на стойке. Дело в том, что при подъе</w:t>
      </w:r>
      <w:r w:rsidRPr="00F90EAE">
        <w:rPr>
          <w:color w:val="000000" w:themeColor="text1"/>
          <w:sz w:val="16"/>
          <w:szCs w:val="16"/>
        </w:rPr>
        <w:softHyphen/>
        <w:t>ме шасси вследствие поворота стойки во</w:t>
      </w:r>
      <w:r w:rsidRPr="00F90EAE">
        <w:rPr>
          <w:color w:val="000000" w:themeColor="text1"/>
          <w:sz w:val="16"/>
          <w:szCs w:val="16"/>
        </w:rPr>
        <w:softHyphen/>
        <w:t>круг своей оси на 86° обтекатель подходит к вырезу в крыле сначала одной стороной, а затем прижимается к крылу другой. При этом если «лопух» был установлен невер</w:t>
      </w:r>
      <w:r w:rsidRPr="00F90EAE">
        <w:rPr>
          <w:color w:val="000000" w:themeColor="text1"/>
          <w:sz w:val="16"/>
          <w:szCs w:val="16"/>
        </w:rPr>
        <w:softHyphen/>
        <w:t>но, то он опять-таки заходил в вырез кры</w:t>
      </w:r>
      <w:r w:rsidRPr="00F90EAE">
        <w:rPr>
          <w:color w:val="000000" w:themeColor="text1"/>
          <w:sz w:val="16"/>
          <w:szCs w:val="16"/>
        </w:rPr>
        <w:softHyphen/>
        <w:t>ла и там заклинивался. При уборке шасси складывающийся подкос шасси цеплял или за трубку под</w:t>
      </w:r>
      <w:r w:rsidRPr="00F90EAE">
        <w:rPr>
          <w:color w:val="000000" w:themeColor="text1"/>
          <w:sz w:val="16"/>
          <w:szCs w:val="16"/>
        </w:rPr>
        <w:softHyphen/>
        <w:t>вода воздуха тормозной системы, про</w:t>
      </w:r>
      <w:r w:rsidRPr="00F90EAE">
        <w:rPr>
          <w:color w:val="000000" w:themeColor="text1"/>
          <w:sz w:val="16"/>
          <w:szCs w:val="16"/>
        </w:rPr>
        <w:softHyphen/>
        <w:t>ложенной по переднему лонжерону кры</w:t>
      </w:r>
      <w:r w:rsidRPr="00F90EAE">
        <w:rPr>
          <w:color w:val="000000" w:themeColor="text1"/>
          <w:sz w:val="16"/>
          <w:szCs w:val="16"/>
        </w:rPr>
        <w:softHyphen/>
        <w:t>ла, или за колодку ее крепления к лон</w:t>
      </w:r>
      <w:r w:rsidRPr="00F90EAE">
        <w:rPr>
          <w:color w:val="000000" w:themeColor="text1"/>
          <w:sz w:val="16"/>
          <w:szCs w:val="16"/>
        </w:rPr>
        <w:softHyphen/>
        <w:t xml:space="preserve">жерону, что в обоих случаях </w:t>
      </w:r>
      <w:r w:rsidRPr="00F90EAE">
        <w:rPr>
          <w:color w:val="000000" w:themeColor="text1"/>
          <w:sz w:val="16"/>
          <w:szCs w:val="16"/>
        </w:rPr>
        <w:lastRenderedPageBreak/>
        <w:t>приводило к обрыву трубки или к попаданию ее в замок шасси; замок при этом заклинива</w:t>
      </w:r>
      <w:r w:rsidRPr="00F90EAE">
        <w:rPr>
          <w:color w:val="000000" w:themeColor="text1"/>
          <w:sz w:val="16"/>
          <w:szCs w:val="16"/>
        </w:rPr>
        <w:softHyphen/>
        <w:t>ло. От этого дефекта удалось избавить</w:t>
      </w:r>
      <w:r w:rsidRPr="00F90EAE">
        <w:rPr>
          <w:color w:val="000000" w:themeColor="text1"/>
          <w:sz w:val="16"/>
          <w:szCs w:val="16"/>
        </w:rPr>
        <w:softHyphen/>
        <w:t>ся только на 5-й серии, в марте 1945 г. В связи с недостаточной жесткостью куполов ниш шасси (грязевых щитков), а также производственными дефектами их изготовления купола повсеместно де</w:t>
      </w:r>
      <w:r w:rsidRPr="00F90EAE">
        <w:rPr>
          <w:color w:val="000000" w:themeColor="text1"/>
          <w:sz w:val="16"/>
          <w:szCs w:val="16"/>
        </w:rPr>
        <w:softHyphen/>
        <w:t>формировались и трескались. С той же 5-й серии их стали делать из более тол</w:t>
      </w:r>
      <w:r w:rsidRPr="00F90EAE">
        <w:rPr>
          <w:color w:val="000000" w:themeColor="text1"/>
          <w:sz w:val="16"/>
          <w:szCs w:val="16"/>
        </w:rPr>
        <w:softHyphen/>
        <w:t>стого листа. Трещины обнаруживались и в ушках рычагов складывающихся под</w:t>
      </w:r>
      <w:r w:rsidRPr="00F90EAE">
        <w:rPr>
          <w:color w:val="000000" w:themeColor="text1"/>
          <w:sz w:val="16"/>
          <w:szCs w:val="16"/>
        </w:rPr>
        <w:softHyphen/>
        <w:t>косов, к которым подсоединялись штоки цилиндров подъема. Это в основном вы</w:t>
      </w:r>
      <w:r w:rsidRPr="00F90EAE">
        <w:rPr>
          <w:color w:val="000000" w:themeColor="text1"/>
          <w:sz w:val="16"/>
          <w:szCs w:val="16"/>
        </w:rPr>
        <w:softHyphen/>
        <w:t>зывалось нарушением технологии при сварке. После 70 - 80 посадок проявлялся значительный износ болтов крепления костыля. На отдельных самолетах выра</w:t>
      </w:r>
      <w:r w:rsidRPr="00F90EAE">
        <w:rPr>
          <w:color w:val="000000" w:themeColor="text1"/>
          <w:sz w:val="16"/>
          <w:szCs w:val="16"/>
        </w:rPr>
        <w:softHyphen/>
        <w:t>ботка болтов за 90 посадок превышала 0,5 мм. Лабораторная проверка показа</w:t>
      </w:r>
      <w:r w:rsidRPr="00F90EAE">
        <w:rPr>
          <w:color w:val="000000" w:themeColor="text1"/>
          <w:sz w:val="16"/>
          <w:szCs w:val="16"/>
        </w:rPr>
        <w:softHyphen/>
        <w:t>ла, что они изготовлены в полном соот</w:t>
      </w:r>
      <w:r w:rsidRPr="00F90EAE">
        <w:rPr>
          <w:color w:val="000000" w:themeColor="text1"/>
          <w:sz w:val="16"/>
          <w:szCs w:val="16"/>
        </w:rPr>
        <w:softHyphen/>
        <w:t>ветствии с чертежами. С 9-й серии (ап</w:t>
      </w:r>
      <w:r w:rsidRPr="00F90EAE">
        <w:rPr>
          <w:color w:val="000000" w:themeColor="text1"/>
          <w:sz w:val="16"/>
          <w:szCs w:val="16"/>
        </w:rPr>
        <w:softHyphen/>
        <w:t>рель 1945 г.) оба завода стали приме</w:t>
      </w:r>
      <w:r w:rsidRPr="00F90EAE">
        <w:rPr>
          <w:color w:val="000000" w:themeColor="text1"/>
          <w:sz w:val="16"/>
          <w:szCs w:val="16"/>
        </w:rPr>
        <w:softHyphen/>
        <w:t>нять болты большего диаметра. При сбрасывании бомб из бомбовых отсеков встречались случаи обрыва тросов управления створками, а также деформации створок в местах крепле</w:t>
      </w:r>
      <w:r w:rsidRPr="00F90EAE">
        <w:rPr>
          <w:color w:val="000000" w:themeColor="text1"/>
          <w:sz w:val="16"/>
          <w:szCs w:val="16"/>
        </w:rPr>
        <w:softHyphen/>
        <w:t>ния петель. На отдельных машинах бы</w:t>
      </w:r>
      <w:r w:rsidRPr="00F90EAE">
        <w:rPr>
          <w:color w:val="000000" w:themeColor="text1"/>
          <w:sz w:val="16"/>
          <w:szCs w:val="16"/>
        </w:rPr>
        <w:softHyphen/>
        <w:t>ли зарегистрированы случаи обрыва траверсы углового ролика, через кото</w:t>
      </w:r>
      <w:r w:rsidRPr="00F90EAE">
        <w:rPr>
          <w:color w:val="000000" w:themeColor="text1"/>
          <w:sz w:val="16"/>
          <w:szCs w:val="16"/>
        </w:rPr>
        <w:softHyphen/>
        <w:t>рый проходил трос от створки бомболю-ка к компенсатору. Результат был один и тот же - створки не закрывались, созда</w:t>
      </w:r>
      <w:r w:rsidRPr="00F90EAE">
        <w:rPr>
          <w:color w:val="000000" w:themeColor="text1"/>
          <w:sz w:val="16"/>
          <w:szCs w:val="16"/>
        </w:rPr>
        <w:softHyphen/>
        <w:t>вая в полете дополнительное аэродина</w:t>
      </w:r>
      <w:r w:rsidRPr="00F90EAE">
        <w:rPr>
          <w:color w:val="000000" w:themeColor="text1"/>
          <w:sz w:val="16"/>
          <w:szCs w:val="16"/>
        </w:rPr>
        <w:softHyphen/>
        <w:t>мическое сопротивление. С 8-й серии стали ставить накладки под петли ство</w:t>
      </w:r>
      <w:r w:rsidRPr="00F90EAE">
        <w:rPr>
          <w:color w:val="000000" w:themeColor="text1"/>
          <w:sz w:val="16"/>
          <w:szCs w:val="16"/>
        </w:rPr>
        <w:softHyphen/>
        <w:t>рок, а с 12-й - провели усиление и ство</w:t>
      </w:r>
      <w:r w:rsidRPr="00F90EAE">
        <w:rPr>
          <w:color w:val="000000" w:themeColor="text1"/>
          <w:sz w:val="16"/>
          <w:szCs w:val="16"/>
        </w:rPr>
        <w:softHyphen/>
        <w:t>рок, и петель. Столкнулись и с нарушением попереч</w:t>
      </w:r>
      <w:r w:rsidRPr="00F90EAE">
        <w:rPr>
          <w:color w:val="000000" w:themeColor="text1"/>
          <w:sz w:val="16"/>
          <w:szCs w:val="16"/>
        </w:rPr>
        <w:softHyphen/>
        <w:t>ной балансировки самолета - машина приобретала произвольный крен в одну сторону. Причина крылась в отгибании компенсатора, приклепанного к элерону. Потом выяснили, что производственники здесь ни при чем - пластинки отгибались струбцинами для фиксации рулей на земле при неверной их постановке тех</w:t>
      </w:r>
      <w:r w:rsidRPr="00F90EAE">
        <w:rPr>
          <w:color w:val="000000" w:themeColor="text1"/>
          <w:sz w:val="16"/>
          <w:szCs w:val="16"/>
        </w:rPr>
        <w:softHyphen/>
        <w:t>ническим составом. Моторы АМ-42 запускались с трудом, а иногда и вовсе не хотели заводиться. Осмотр наиболее «упорных» двигате</w:t>
      </w:r>
      <w:r w:rsidRPr="00F90EAE">
        <w:rPr>
          <w:color w:val="000000" w:themeColor="text1"/>
          <w:sz w:val="16"/>
          <w:szCs w:val="16"/>
        </w:rPr>
        <w:softHyphen/>
        <w:t>лей показал, что это происходит вслед</w:t>
      </w:r>
      <w:r w:rsidRPr="00F90EAE">
        <w:rPr>
          <w:color w:val="000000" w:themeColor="text1"/>
          <w:sz w:val="16"/>
          <w:szCs w:val="16"/>
        </w:rPr>
        <w:softHyphen/>
        <w:t>ствие засорения штуцеров бензонасо</w:t>
      </w:r>
      <w:r w:rsidRPr="00F90EAE">
        <w:rPr>
          <w:color w:val="000000" w:themeColor="text1"/>
          <w:sz w:val="16"/>
          <w:szCs w:val="16"/>
        </w:rPr>
        <w:softHyphen/>
        <w:t>сов скатавшимися в шарик фибровыми прокладками. Помимо этого, моторы имели плохую приемистость на малом газу, часто разрушались вкладыши и об</w:t>
      </w:r>
      <w:r w:rsidRPr="00F90EAE">
        <w:rPr>
          <w:color w:val="000000" w:themeColor="text1"/>
          <w:sz w:val="16"/>
          <w:szCs w:val="16"/>
        </w:rPr>
        <w:softHyphen/>
        <w:t>рывались шатуны, постоянно текли мас</w:t>
      </w:r>
      <w:r w:rsidRPr="00F90EAE">
        <w:rPr>
          <w:color w:val="000000" w:themeColor="text1"/>
          <w:sz w:val="16"/>
          <w:szCs w:val="16"/>
        </w:rPr>
        <w:softHyphen/>
        <w:t>ляные и водяные радиаторы из-за пло</w:t>
      </w:r>
      <w:r w:rsidRPr="00F90EAE">
        <w:rPr>
          <w:color w:val="000000" w:themeColor="text1"/>
          <w:sz w:val="16"/>
          <w:szCs w:val="16"/>
        </w:rPr>
        <w:softHyphen/>
        <w:t>хой пайки.(10680).</w:t>
      </w:r>
    </w:p>
    <w:p w14:paraId="7A5442FC" w14:textId="77777777" w:rsidR="00C2313B" w:rsidRPr="00F90EAE" w:rsidRDefault="00C2313B" w:rsidP="00F90EAE">
      <w:pPr>
        <w:autoSpaceDE w:val="0"/>
        <w:autoSpaceDN w:val="0"/>
        <w:adjustRightInd w:val="0"/>
        <w:jc w:val="both"/>
        <w:rPr>
          <w:color w:val="000000" w:themeColor="text1"/>
          <w:sz w:val="16"/>
          <w:szCs w:val="16"/>
        </w:rPr>
      </w:pPr>
    </w:p>
    <w:p w14:paraId="0D9AAC98"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15 января 1945 года у заместителя наркома авиапромышленности А. И. Кузнецова состоялось совместное с ВВС совещание по рассмотрению технических условий на серийный самолет Ил-10 (эталон 1945 г.). На нем же обсуждались итоги первого этапа внедрения в массовую серию штурмовой «десятки» и были намечены мероприятия по устранению еще не изжитых дефектов и недостатков машины.</w:t>
      </w:r>
    </w:p>
    <w:p w14:paraId="01DBFE31"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В ряду присутствующих на совещании значились: от НКАП - главный конструктор Ильюшин, заместитель главного инженера 10-го ГУ НКАП Беренсон, инженеры Васильев и Звягинцев, от ВВС - заместитель главного инженера ВВС КА генерал-лейтенант Лапин, временно исполняющий должность начальника УЗСиМ ГУЗ ВВС инженер-полковник Кувенев, начальник 1-го отдела УЗСиМ ГУЗ ВВС инженер -полковник Ковалев, инженер-полковник Знаменский.</w:t>
      </w:r>
    </w:p>
    <w:p w14:paraId="6FB34F67" w14:textId="77777777" w:rsidR="000E7D6A" w:rsidRPr="00F90EAE" w:rsidRDefault="000E7D6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Отмечалось, что заводы № 1 и № 18 выпускают самолеты Ил-10 «по чертежам Гл. конструктора тов. Ильюшина в соответствии с решением ГКО от 23 июля 1944 г. за № 6246сс с устранением в серии дефектов по протоколу от 23.6.44, выявленных при госиспытании опытного самолета Ил-10». На серийных машинах «в большей части выполняются рекомендации ГК НИИ ВВС, данные в результате госиспытаний опытного самолета».</w:t>
      </w:r>
    </w:p>
    <w:p w14:paraId="4CFA05B3"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При этом «в серию внедрено большое количество изменений и доработок по устранению дефектов, но самолет Ил-10 с выполненными доработками контрольных испытаний в ГК НИИ ВВС не проходил». Абсолютно все «внедренные в серию мероприятия по улучшению самолета Ил-10 не испытаны и оценки ГК НИИ ВВС не имеют».</w:t>
      </w:r>
    </w:p>
    <w:p w14:paraId="2EB9885C"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В этой связи было решено обязать заводы № 1 и № 18 передать к 25 февраля 1945 года в ГК НИИ ВВС для проведения контрольных испытаний по одному серийному самолету Ил-10 выпуска января месяца.</w:t>
      </w:r>
    </w:p>
    <w:p w14:paraId="1EB0ED38"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Одновременно «Гл. конструктору Ильюшину» поручалось «разработать к 15.2.45 г. рабочие чертежи и обеспечить предъявление на госиспытания одного самолета Ил-10 к 1.4.45 г. с отработкой на нем изменений/. ../с учетом требований ВВС КА».</w:t>
      </w:r>
    </w:p>
    <w:p w14:paraId="04892EE0"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На этом самолете необходимо было установить противопыльный фильтр и наружную заслонку в системе всасывания воздуха в мотор, систему нейтрального газа от выхлопа мотора («по рекомендации ЛИИ НКАП»), фибровые бензобаки с протектором, механизм объединенного управления винтом и газом конструкции ЦИАМ, кран разжижения масла бензином, в кабине летчика привязные ремни «с подтягом летчика к сиденью при вынужденной посадке», четыре ракетных орудия РО-82 (или УРО-132), в кабине стрелка пушку УБ-20 (150 патронов), дистанционный компас ПДК-44, ответчик системы государственного опознавания «свой-чужой» СЧ-3, а также новый воздушный винт, «обеспечивающий лучшие взлетные качества самолета».</w:t>
      </w:r>
    </w:p>
    <w:p w14:paraId="1DD7FD53"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Кроме этого, следовало заменить серийные колеса модернизированными тормозными колесами (800^260 мм), приемник РСИ-4 на РСИ-6 МУ с дистанционным управлением, радиополукомпас РПК-10 на РПК0-10 (с ответчиком), генератор ГС-350 на генератор ГС-500 с РК-17-500 и аккумулятор 12А-10 на 12А-30.</w:t>
      </w:r>
    </w:p>
    <w:p w14:paraId="021E2A9A"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Соответственно, ГК НИИ ВВС обязывался не позже 25 апреля «провести испытания предъявленного самолета Ил -10 и дать свое заключение по всем вышеуказанным изменениям». Вопрос о запуске в серию предполагалось решить «после получения от ГК НИИ ВВС КА положительных заключений».</w:t>
      </w:r>
    </w:p>
    <w:p w14:paraId="5A551A6E"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С учетом намеченных мероприятий и сроков их выполнения заводы № 1 и № 18 должны были к 1 февраля отработать установку заслонки и пылефильтра и практически определить оптимальную дозировку разжижения масла бензином. Дополнительно завод № 1 обязывался к 25 февраля «по чертежам Гл. конструктора» смонтировать на одном Ил-10 установку системы нейтрального газа и передать самолет на испытание в ГК НИИ ВВС.</w:t>
      </w:r>
    </w:p>
    <w:p w14:paraId="0DE3C88E"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Нормальный полетный вес серийных Ил-10 на 1945 год ограничивался 6300 кг (в перегрузку 6500 кг), а вес пустого самолета - 4640 кг. Вес нагрузки устанавливался 1660 кг. Центровка самолета - в пределах 24,6 % САХ. Максимальная скорость полета - не менее 505 км/ч у земли и 550 км/ч - на границе высотности. Время подъема на высоту 1000 м - не более 1,6 мин, на 3000 м - 5,0 мин. Длина разбега с установленными на 17° щитками при нормальном полетном весе - 475 м, взлетная дистанция - 1250 м. Разбег с перегрузкой - 550 м, а дистанция взлета - 1350-1400 м.</w:t>
      </w:r>
    </w:p>
    <w:p w14:paraId="7691AADA"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Все серийные самолеты следовало вооружать ракетными орудиями (4 РО-82 или УРО-132) и оборонительной установкой ВУ -9 с 20-мм пушкой УБ-20 (150 патронов).</w:t>
      </w:r>
    </w:p>
    <w:p w14:paraId="4D546109"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Отметим, что утвержденные требования к Ил-10 оказались для заводов высокими. Сразу же возникли трения между заводами и военной приемкой, поскольку почти все серийные штурмовики по весу пустого самолета, полетному весу, максимальным скоростям и скороподъемности не отвечали ТУ.</w:t>
      </w:r>
    </w:p>
    <w:p w14:paraId="391B6937" w14:textId="77777777" w:rsidR="000E7D6A" w:rsidRPr="00F90EAE" w:rsidRDefault="000E7D6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свете принятых на совещании решений НКАП и ВВС был подготовлен и выпущен ряд распоряжений и приказов.</w:t>
      </w:r>
    </w:p>
    <w:p w14:paraId="6BA03FBD"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Тем временем начальник 1-го отдела ГУ ИАС ВВС инженер-полковник Подлесецкий в очередном докладе заместителю главного инженера ВВС КА генерал-лейтенанту Лапину по состоянию дел с освоением самолета Ил-10 в серийном производстве «забил тревогу».</w:t>
      </w:r>
    </w:p>
    <w:p w14:paraId="7DBA30EA"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Согласно протоколу совещания у заместителя наркома авиапромышленности Кузнецова от 15 января 1945 г. заводы № 1 и № 18 должны были не позже 25 февраля передать в ГК НИИ ВВС для испытаний по одному серийному Ил-10 выпуска января. Одновременно Ильюшин обязывался к 1 апреля предъявить на государственные испытания опытный Ил-10 (прошедший государственные испытания) с внесенными в него изменениями по перечню основных дефектов и недостатков, утвержденному ВВС и НКАП 11 июля 1944 года.</w:t>
      </w:r>
    </w:p>
    <w:p w14:paraId="6AF37991"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Однако по состоянию на 10 апреля ни один серийный Ил-10 на контрольные испытания не поступил, а опытный Ил-10 все еще находился на заводе № 240, и работа по его доводке была далека от завершения.</w:t>
      </w:r>
    </w:p>
    <w:p w14:paraId="198B938F"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AA88D5F"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4F4446BC"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F90EAE">
        <w:rPr>
          <w:rStyle w:val="107"/>
          <w:rFonts w:eastAsiaTheme="minorHAnsi"/>
          <w:color w:val="000000" w:themeColor="text1"/>
          <w:sz w:val="16"/>
          <w:szCs w:val="16"/>
          <w:vertAlign w:val="subscript"/>
        </w:rPr>
        <w:t>2</w:t>
      </w:r>
      <w:r w:rsidRPr="00F90EAE">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095A703E"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D90BB1C" w14:textId="77777777" w:rsidR="000E7D6A" w:rsidRPr="00F90EAE" w:rsidRDefault="000E7D6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467110A" w14:textId="77777777" w:rsidR="000E7D6A" w:rsidRPr="00F90EAE" w:rsidRDefault="000E7D6A" w:rsidP="00F90EAE">
      <w:pPr>
        <w:jc w:val="both"/>
        <w:rPr>
          <w:color w:val="000000" w:themeColor="text1"/>
          <w:sz w:val="16"/>
          <w:szCs w:val="16"/>
        </w:rPr>
      </w:pPr>
    </w:p>
    <w:p w14:paraId="61058D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15 января по 15 февраля 1945 состоялся второй этап войсковых испытаний Як-9К с ВК-105ПФ и ВИШ-62П диаметром 3.0 м и с НС-45 в 274 иап 278 иад и 812 иап 65 иад на 1-м Белорусском. Летало 44 машины и налетали 402:03 выполнив 51 воздушный бой (65,131).</w:t>
      </w:r>
    </w:p>
    <w:p w14:paraId="2D1E54F5" w14:textId="77777777" w:rsidR="00C2313B" w:rsidRPr="00F90EAE" w:rsidRDefault="00C2313B" w:rsidP="00F90EAE">
      <w:pPr>
        <w:autoSpaceDE w:val="0"/>
        <w:autoSpaceDN w:val="0"/>
        <w:adjustRightInd w:val="0"/>
        <w:jc w:val="both"/>
        <w:rPr>
          <w:color w:val="000000" w:themeColor="text1"/>
          <w:sz w:val="16"/>
          <w:szCs w:val="16"/>
        </w:rPr>
      </w:pPr>
    </w:p>
    <w:p w14:paraId="7FAE00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15 по 24 января 1945 истребитель Як-3Т, которный выкатили на аэродром 8 января 1945 года, показал максимальную скорость 640 км/ч на высоте 4000 метров. На этом этапе выполнили лишь два полета: на снятие летных характеристик 19 января, а второй совместили с перелетом в НИИ ВВС - 25 января.</w:t>
      </w:r>
    </w:p>
    <w:p w14:paraId="514917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w:t>
      </w:r>
      <w:r w:rsidRPr="00F90EAE">
        <w:rPr>
          <w:color w:val="000000" w:themeColor="text1"/>
          <w:sz w:val="16"/>
          <w:szCs w:val="16"/>
        </w:rPr>
        <w:lastRenderedPageBreak/>
        <w:t>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C2438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14A3AB9A" w14:textId="77777777" w:rsidR="00C2313B" w:rsidRPr="00F90EAE" w:rsidRDefault="00C2313B" w:rsidP="00F90EAE">
      <w:pPr>
        <w:autoSpaceDE w:val="0"/>
        <w:autoSpaceDN w:val="0"/>
        <w:adjustRightInd w:val="0"/>
        <w:jc w:val="both"/>
        <w:rPr>
          <w:color w:val="000000" w:themeColor="text1"/>
          <w:sz w:val="16"/>
          <w:szCs w:val="16"/>
        </w:rPr>
      </w:pPr>
    </w:p>
    <w:p w14:paraId="65FADD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января 1945 г. был подготовлен ДОКЛАД РУКОВОДИТЕЛЯ ГРУППЫ ПО ЭКВ ПЕРВОМУ ЗАМЕСТИТЕЛЮ КОМАНДУЮЩЕГО БТ и МВ КА ПО РЕЗУЛЬТАТАМ РАБОТЫ ПО СОЗДАНИЮ ТАНКА С ЭЛЕКТРОТРАНСМИССИЕЙ</w:t>
      </w:r>
    </w:p>
    <w:p w14:paraId="64021E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p>
    <w:p w14:paraId="4069E9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ЦК ВКП(б) и СНК СССР за №_от __ 1941 г. академии, Электропрому и Танкопрому было поручено спроектировать и изготовить опытные танки с электротранс</w:t>
      </w:r>
      <w:r w:rsidRPr="00F90EAE">
        <w:rPr>
          <w:color w:val="000000" w:themeColor="text1"/>
          <w:sz w:val="16"/>
          <w:szCs w:val="16"/>
        </w:rPr>
        <w:softHyphen/>
        <w:t>миссией на базе танков КВ.</w:t>
      </w:r>
    </w:p>
    <w:p w14:paraId="3A2542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Вся работа по проектированию и изготовлению возглавлялась академией и, в частности, кафе</w:t>
      </w:r>
      <w:r w:rsidRPr="00F90EAE">
        <w:rPr>
          <w:color w:val="000000" w:themeColor="text1"/>
          <w:sz w:val="16"/>
          <w:szCs w:val="16"/>
        </w:rPr>
        <w:softHyphen/>
        <w:t>дрой танков.</w:t>
      </w:r>
    </w:p>
    <w:p w14:paraId="42778F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Основными этапами в изготовлении электротрансмиссии являются следующие:</w:t>
      </w:r>
    </w:p>
    <w:p w14:paraId="7FBA2E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1941 г. Проектирование электротрансмиссии применительно к танку КВ-3 (участвуют «Динамо», академия и, частично, Электросила).</w:t>
      </w:r>
    </w:p>
    <w:p w14:paraId="249A35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1942 г. Переделка проекта применительно к КВ-1 и частичное изготовление (участвует только академия).</w:t>
      </w:r>
    </w:p>
    <w:p w14:paraId="4B08A5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1943 г. Ввиду слабых темпов изготовления ЭКВ в Ташкенте по причине ограниченных про</w:t>
      </w:r>
      <w:r w:rsidRPr="00F90EAE">
        <w:rPr>
          <w:color w:val="000000" w:themeColor="text1"/>
          <w:sz w:val="16"/>
          <w:szCs w:val="16"/>
        </w:rPr>
        <w:softHyphen/>
        <w:t>изводственных возможностей происходит перебазирование в Москву, на завод №627, который согласно постановлению ГОКО от августа 1943 г. заканчивает изго</w:t>
      </w:r>
      <w:r w:rsidRPr="00F90EAE">
        <w:rPr>
          <w:color w:val="000000" w:themeColor="text1"/>
          <w:sz w:val="16"/>
          <w:szCs w:val="16"/>
        </w:rPr>
        <w:softHyphen/>
        <w:t>товление ЭКВ к концу 1943 г. После сборки выявляется целый ряд неполадок.</w:t>
      </w:r>
    </w:p>
    <w:p w14:paraId="25D05F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1944 г. Ввиду ограниченных производственных возможностей завода №627 согласно реше</w:t>
      </w:r>
      <w:r w:rsidRPr="00F90EAE">
        <w:rPr>
          <w:color w:val="000000" w:themeColor="text1"/>
          <w:sz w:val="16"/>
          <w:szCs w:val="16"/>
        </w:rPr>
        <w:softHyphen/>
        <w:t>нию наркома электропрома танк ЭКВ для полной доводки и устранения неисправностей, передается заводу «Динамо». Завод доводит ЭКВ до эксплуатационного состояния. Во второй половине 1944 г. танк проходит заводские испытания пробегом в 400 км, по</w:t>
      </w:r>
      <w:r w:rsidRPr="00F90EAE">
        <w:rPr>
          <w:color w:val="000000" w:themeColor="text1"/>
          <w:sz w:val="16"/>
          <w:szCs w:val="16"/>
        </w:rPr>
        <w:softHyphen/>
        <w:t>сле чего передается на полигон для государственных испытаний. После 270 км поли</w:t>
      </w:r>
      <w:r w:rsidRPr="00F90EAE">
        <w:rPr>
          <w:color w:val="000000" w:themeColor="text1"/>
          <w:sz w:val="16"/>
          <w:szCs w:val="16"/>
        </w:rPr>
        <w:softHyphen/>
        <w:t>гонные испытания прекращены ввиду поломки бортового редуктора.</w:t>
      </w:r>
    </w:p>
    <w:p w14:paraId="45E456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w:t>
      </w:r>
    </w:p>
    <w:p w14:paraId="63D184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проведения полигонных испытаний государственная комиссия во введении, выводах и заключении отмечает следующее:</w:t>
      </w:r>
    </w:p>
    <w:p w14:paraId="77D7D8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Электротрансмиссия танка КВ является полностью оригинальной работой, выполненной в Советском Союзе вне какого-либо влияния зарубежной техники.</w:t>
      </w:r>
    </w:p>
    <w:p w14:paraId="2EAC36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Учитывая начало разработки ЭКВ (апрель 1941 г.), следует полагать, что в области внедрения электротрансмиссии в современные танки Советский Союз является пионером.</w:t>
      </w:r>
    </w:p>
    <w:p w14:paraId="1FBC6F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По причине габаритов и веса электротрансмиссия, примененная на некоторых французских и английских танках еще в период 1918-20 гг., не получила дальнейшего распространения.</w:t>
      </w:r>
    </w:p>
    <w:p w14:paraId="1AFE7F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Средний вес трансмиссии для 9 современных танков (включая Фердинанд) составляет 6,88 кг нал/с, самая легкая механическая трансмиссия дает 3,2 кг на л/с и самая тяжелая — 9,3 кг на л/с. Вес электротрансмиссии ЭКВ с бортовыми редукторами составляет 6,5 кг на л/с. Вес электроагре</w:t>
      </w:r>
      <w:r w:rsidRPr="00F90EAE">
        <w:rPr>
          <w:color w:val="000000" w:themeColor="text1"/>
          <w:sz w:val="16"/>
          <w:szCs w:val="16"/>
        </w:rPr>
        <w:softHyphen/>
        <w:t>гатов ЭКВ легче тех же агрегатов Фердинанда в 1,43 раза и Т-23 в 2,1 раза.</w:t>
      </w:r>
    </w:p>
    <w:p w14:paraId="307F68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Значительное снижение удельного веса и габаритов основных агрегатов электротрансмис</w:t>
      </w:r>
      <w:r w:rsidRPr="00F90EAE">
        <w:rPr>
          <w:color w:val="000000" w:themeColor="text1"/>
          <w:sz w:val="16"/>
          <w:szCs w:val="16"/>
        </w:rPr>
        <w:softHyphen/>
        <w:t>сии ЭКВ — генератора и двух тяговых электродвигателей — является большим достижением в практике Советского электромашиностроения.</w:t>
      </w:r>
    </w:p>
    <w:p w14:paraId="22E2F8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Все агрегаты электротрансмиссии уложились в габариты серийного танка КВ-1.</w:t>
      </w:r>
    </w:p>
    <w:p w14:paraId="786CC3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Электротрансмиссия ЭКВ обеспечивает танку лучшую поворотливость, подвижность, про</w:t>
      </w:r>
      <w:r w:rsidRPr="00F90EAE">
        <w:rPr>
          <w:color w:val="000000" w:themeColor="text1"/>
          <w:sz w:val="16"/>
          <w:szCs w:val="16"/>
        </w:rPr>
        <w:softHyphen/>
        <w:t>стоту и легкость управления.</w:t>
      </w:r>
    </w:p>
    <w:p w14:paraId="7F8293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Расход горючего ниже норм, предусмотренных для тяжелых серийных танков.</w:t>
      </w:r>
    </w:p>
    <w:p w14:paraId="4F6712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Работа дизеля при изменении условий движения является более спокойной и устойчивой, чем при механической трансмиссии.</w:t>
      </w:r>
    </w:p>
    <w:p w14:paraId="403BF3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Танк показал автоматическую приспособляемость к сопротивлениям движения в широких пределах без всяких переключений.</w:t>
      </w:r>
    </w:p>
    <w:p w14:paraId="56FAB1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заключение госкомиссия рекомендует в кратчайший срок изготовить опытную партию тяже</w:t>
      </w:r>
      <w:r w:rsidRPr="00F90EAE">
        <w:rPr>
          <w:color w:val="000000" w:themeColor="text1"/>
          <w:sz w:val="16"/>
          <w:szCs w:val="16"/>
        </w:rPr>
        <w:softHyphen/>
        <w:t>лых танков с электротрансмиссией для опробования их в бою.</w:t>
      </w:r>
    </w:p>
    <w:p w14:paraId="6A6DCB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Вместе с тем комиссия отмечает ряд дефектов в части схемы управления, пожарной опаснос</w:t>
      </w:r>
      <w:r w:rsidRPr="00F90EAE">
        <w:rPr>
          <w:color w:val="000000" w:themeColor="text1"/>
          <w:sz w:val="16"/>
          <w:szCs w:val="16"/>
        </w:rPr>
        <w:softHyphen/>
        <w:t>ти, недостаточной надежности, а также напряженности теплового режима.</w:t>
      </w:r>
    </w:p>
    <w:p w14:paraId="1123AC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III</w:t>
      </w:r>
      <w:r w:rsidRPr="00F90EAE">
        <w:rPr>
          <w:color w:val="000000" w:themeColor="text1"/>
          <w:sz w:val="16"/>
          <w:szCs w:val="16"/>
        </w:rPr>
        <w:t xml:space="preserve"> Таким образом, на основании материалов госкомиссии можно установить, что:</w:t>
      </w:r>
    </w:p>
    <w:p w14:paraId="20A86D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По эксплуатационным показателям танк ЭКВ продемонстрировал неоспоримые преимуще</w:t>
      </w:r>
      <w:r w:rsidRPr="00F90EAE">
        <w:rPr>
          <w:color w:val="000000" w:themeColor="text1"/>
          <w:sz w:val="16"/>
          <w:szCs w:val="16"/>
        </w:rPr>
        <w:softHyphen/>
        <w:t>ства в сравнении с механическими трансмиссиями.</w:t>
      </w:r>
    </w:p>
    <w:p w14:paraId="788F79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 габаритам и весу электроагрегаты ЭКВ оказались конкурентоспособны с механической трансмиссией.</w:t>
      </w:r>
    </w:p>
    <w:p w14:paraId="3334AB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По надежности (если учесть отсутствие каких-либо запасных частей, полукустарное изготовление и наличие 700 км пробега без принципиальных дефектов), танк ЭКВ дал удовлетворительные результаты.</w:t>
      </w:r>
    </w:p>
    <w:p w14:paraId="06AA91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изложенного следует, что проведена огромная работа, создающая базу по внедрению в на</w:t>
      </w:r>
      <w:r w:rsidRPr="00F90EAE">
        <w:rPr>
          <w:color w:val="000000" w:themeColor="text1"/>
          <w:sz w:val="16"/>
          <w:szCs w:val="16"/>
        </w:rPr>
        <w:softHyphen/>
        <w:t>ши танки передовой, с большими перспективами, техники, в связи с чем ходатайствую о представ</w:t>
      </w:r>
      <w:r w:rsidRPr="00F90EAE">
        <w:rPr>
          <w:color w:val="000000" w:themeColor="text1"/>
          <w:sz w:val="16"/>
          <w:szCs w:val="16"/>
        </w:rPr>
        <w:softHyphen/>
        <w:t>лении к правительственным наградам наиболее отличившихся работников заводов «Динамо» и №627 в соответствии с прилагаемым списком.</w:t>
      </w:r>
    </w:p>
    <w:p w14:paraId="5895B4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IV</w:t>
      </w:r>
    </w:p>
    <w:p w14:paraId="023013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ускорения внедрения электротрансмиссии в тяжелые танки необходимо быстрым тем</w:t>
      </w:r>
      <w:r w:rsidRPr="00F90EAE">
        <w:rPr>
          <w:color w:val="000000" w:themeColor="text1"/>
          <w:sz w:val="16"/>
          <w:szCs w:val="16"/>
        </w:rPr>
        <w:softHyphen/>
        <w:t>пом развернуть дальнейшую работу по модернизации агрегатов электротрансмиссии с учетом по</w:t>
      </w:r>
      <w:r w:rsidRPr="00F90EAE">
        <w:rPr>
          <w:color w:val="000000" w:themeColor="text1"/>
          <w:sz w:val="16"/>
          <w:szCs w:val="16"/>
        </w:rPr>
        <w:softHyphen/>
        <w:t>следних достижений в этой области.</w:t>
      </w:r>
    </w:p>
    <w:p w14:paraId="095C73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качестве конкретного предложения по данному вопросу, прилагая при сем проект постанов</w:t>
      </w:r>
      <w:r w:rsidRPr="00F90EAE">
        <w:rPr>
          <w:color w:val="000000" w:themeColor="text1"/>
          <w:sz w:val="16"/>
          <w:szCs w:val="16"/>
        </w:rPr>
        <w:softHyphen/>
        <w:t>ления ГОКО, прошу Вас рассмотреть его и в случае положительной оценки через военный совет БТ и МВ КА возбудить ходатайство о его утверждении.</w:t>
      </w:r>
    </w:p>
    <w:p w14:paraId="3AD059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w:t>
      </w:r>
    </w:p>
    <w:p w14:paraId="6615A7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проект постановления на 11 листах;</w:t>
      </w:r>
    </w:p>
    <w:p w14:paraId="67BF64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остальная переписка на 24 листах;</w:t>
      </w:r>
    </w:p>
    <w:p w14:paraId="348AD8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характеристика на 7 листах.</w:t>
      </w:r>
    </w:p>
    <w:p w14:paraId="4DA734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Руководитель работы по ЭКВ генерал-майор инженерно-танковой службы Груздев</w:t>
      </w:r>
    </w:p>
    <w:p w14:paraId="228D29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11355. Д. 2732. Л. 1 -3. Подлинник.</w:t>
      </w:r>
    </w:p>
    <w:p w14:paraId="1C8136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Приложения к документу отсутствуют (11420).</w:t>
      </w:r>
    </w:p>
    <w:p w14:paraId="240B68DB" w14:textId="77777777" w:rsidR="00C2313B" w:rsidRPr="00F90EAE" w:rsidRDefault="00C2313B" w:rsidP="00F90EAE">
      <w:pPr>
        <w:autoSpaceDE w:val="0"/>
        <w:autoSpaceDN w:val="0"/>
        <w:adjustRightInd w:val="0"/>
        <w:jc w:val="both"/>
        <w:rPr>
          <w:color w:val="000000" w:themeColor="text1"/>
          <w:sz w:val="16"/>
          <w:szCs w:val="16"/>
        </w:rPr>
      </w:pPr>
    </w:p>
    <w:p w14:paraId="64C25C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января 1945 г. была подготовлена ДОКЛАДНАЯ ЗАПИСКА ЗАМЕСТИТЕЛЯ НАЧАЛЬНИКА ГБТУ КА ЗАМ ПРЕД У ВСЕСОЮЗНОГО ОБЪЕДИНЕНИЯ «ТЕХНОЭКСПОРТ» ЛЕДЕНЕВУ О ЗАКУПКЕ МОТОЦИКЛОВ БСА</w:t>
      </w:r>
    </w:p>
    <w:p w14:paraId="0F53E9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Главное бронетанковое управление Красной Армии ходатайствует о закупке мотоциклов БСА, состоящих на вооружении в Английской армии.</w:t>
      </w:r>
    </w:p>
    <w:p w14:paraId="2142D1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Потребность в мотоциклах данного типа исчисляется ориентировочно в 3000 шт. в год.</w:t>
      </w:r>
    </w:p>
    <w:p w14:paraId="1B7DBD8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числа выпускаемых мотоциклов фирмой БСА желательно закупить мотоциклы модели М-30, имеющие преимущества в эксплуатации по сравнению с другими моделями данной фирмы. При отказе в получении мотоциклов модели М-30 можно согласиться на модель М-20.</w:t>
      </w:r>
    </w:p>
    <w:p w14:paraId="41DCEB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Крайне желательно закупить в Англии в счет военных поставок возможное количество мото</w:t>
      </w:r>
      <w:r w:rsidRPr="00F90EAE">
        <w:rPr>
          <w:color w:val="000000" w:themeColor="text1"/>
          <w:sz w:val="16"/>
          <w:szCs w:val="16"/>
        </w:rPr>
        <w:softHyphen/>
        <w:t>циклов фирмы «Матчлес» с рабочим объемом двигателя 350 куб. см.</w:t>
      </w:r>
    </w:p>
    <w:p w14:paraId="53386A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количестве закупленных мотоциклов в Англии прошу уведомить.</w:t>
      </w:r>
    </w:p>
    <w:p w14:paraId="365BBD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генерал-лейтенант инженерно-танковой службы Лебедев</w:t>
      </w:r>
    </w:p>
    <w:p w14:paraId="78750B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УБП и БМ ГБТУ КА генерал-майор танковых войск Чернов</w:t>
      </w:r>
    </w:p>
    <w:p w14:paraId="3D4E3C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11358. Д. 412. Л. 9. Подлинник (11420).</w:t>
      </w:r>
    </w:p>
    <w:p w14:paraId="7D71D5A0" w14:textId="77777777" w:rsidR="00C2313B" w:rsidRPr="00F90EAE" w:rsidRDefault="00C2313B" w:rsidP="00F90EAE">
      <w:pPr>
        <w:autoSpaceDE w:val="0"/>
        <w:autoSpaceDN w:val="0"/>
        <w:adjustRightInd w:val="0"/>
        <w:jc w:val="both"/>
        <w:rPr>
          <w:color w:val="000000" w:themeColor="text1"/>
          <w:sz w:val="16"/>
          <w:szCs w:val="16"/>
        </w:rPr>
      </w:pPr>
    </w:p>
    <w:p w14:paraId="131D50C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B02992" w14:textId="77777777" w:rsidR="00C2313B" w:rsidRPr="00F90EAE" w:rsidRDefault="00C2313B" w:rsidP="00F90EAE">
      <w:pPr>
        <w:autoSpaceDE w:val="0"/>
        <w:autoSpaceDN w:val="0"/>
        <w:adjustRightInd w:val="0"/>
        <w:jc w:val="both"/>
        <w:rPr>
          <w:iCs/>
          <w:color w:val="000000" w:themeColor="text1"/>
          <w:sz w:val="16"/>
          <w:szCs w:val="16"/>
        </w:rPr>
      </w:pPr>
    </w:p>
    <w:p w14:paraId="0F37B2FD" w14:textId="77777777" w:rsidR="00650270" w:rsidRPr="00F90EAE" w:rsidRDefault="00650270" w:rsidP="00F90EAE">
      <w:pPr>
        <w:jc w:val="both"/>
        <w:rPr>
          <w:color w:val="000000" w:themeColor="text1"/>
          <w:sz w:val="16"/>
          <w:szCs w:val="16"/>
        </w:rPr>
      </w:pPr>
      <w:r w:rsidRPr="00F90EAE">
        <w:rPr>
          <w:bCs/>
          <w:color w:val="000000" w:themeColor="text1"/>
          <w:sz w:val="16"/>
          <w:szCs w:val="16"/>
        </w:rPr>
        <w:t>15 января</w:t>
      </w:r>
      <w:r w:rsidRPr="00F90EAE">
        <w:rPr>
          <w:color w:val="000000" w:themeColor="text1"/>
          <w:sz w:val="16"/>
          <w:szCs w:val="16"/>
        </w:rPr>
        <w:t xml:space="preserve"> в 1945 году оперативная сводка Совинформбюро:</w:t>
      </w:r>
    </w:p>
    <w:p w14:paraId="66DA4B6E" w14:textId="77777777" w:rsidR="00650270" w:rsidRPr="00F90EAE" w:rsidRDefault="00650270" w:rsidP="00F90EAE">
      <w:pPr>
        <w:jc w:val="both"/>
        <w:rPr>
          <w:color w:val="000000" w:themeColor="text1"/>
          <w:sz w:val="16"/>
          <w:szCs w:val="16"/>
        </w:rPr>
      </w:pPr>
      <w:r w:rsidRPr="00F90EAE">
        <w:rPr>
          <w:color w:val="000000" w:themeColor="text1"/>
          <w:sz w:val="16"/>
          <w:szCs w:val="16"/>
        </w:rPr>
        <w:t xml:space="preserve">«Войска 1-го Украинского фронта, развивая стремительное наступление, 15 января овладели крупным административно-хозяйственным центром Польши городом Кельце — важным узлом коммуникаций и опорным пунктом обороны немцев, а также с боями заняли более 400 других населённых пунктов, в том числе города Енджеюв, Водзислав, Дзялошице, крупные населённые пункты Далешице, Нестахув, Радлин, Загуже, Дымины, Бильча Подгуже, Токарня, Злотники, Козлув, </w:t>
      </w:r>
      <w:r w:rsidRPr="00F90EAE">
        <w:rPr>
          <w:color w:val="000000" w:themeColor="text1"/>
          <w:sz w:val="16"/>
          <w:szCs w:val="16"/>
        </w:rPr>
        <w:lastRenderedPageBreak/>
        <w:t>Венглешин, Поповице, Тшценец, Дешно, Кренжолы, Глоговяны, Слабо-Шув, Косьцеюв, Скальмеж, Палечница, Казимежа-Велька и железнодорожные станции Поток, Скальмеж, Казимежа-Велька.</w:t>
      </w:r>
    </w:p>
    <w:p w14:paraId="5F8CABA7" w14:textId="77777777" w:rsidR="00650270" w:rsidRPr="00F90EAE" w:rsidRDefault="00650270" w:rsidP="00F90EAE">
      <w:pPr>
        <w:jc w:val="both"/>
        <w:rPr>
          <w:color w:val="000000" w:themeColor="text1"/>
          <w:sz w:val="16"/>
          <w:szCs w:val="16"/>
        </w:rPr>
      </w:pPr>
      <w:r w:rsidRPr="00F90EAE">
        <w:rPr>
          <w:color w:val="000000" w:themeColor="text1"/>
          <w:sz w:val="16"/>
          <w:szCs w:val="16"/>
        </w:rPr>
        <w:t>На территории Чехословакии северо-восточнее города Лученец наши войска с боями заняли населённые пункты Лицинце, Цемерске Левере, Полина, Скере-Шово, Вышние и Нижние Валице, Узовска Ланита, Балог, Мелехедь, Драшице, Словацкие Загораны, Тэрьяковце.</w:t>
      </w:r>
    </w:p>
    <w:p w14:paraId="32A206B4" w14:textId="77777777" w:rsidR="00650270" w:rsidRPr="00F90EAE" w:rsidRDefault="00650270" w:rsidP="00F90EAE">
      <w:pPr>
        <w:jc w:val="both"/>
        <w:rPr>
          <w:color w:val="000000" w:themeColor="text1"/>
          <w:sz w:val="16"/>
          <w:szCs w:val="16"/>
        </w:rPr>
      </w:pPr>
      <w:r w:rsidRPr="00F90EAE">
        <w:rPr>
          <w:color w:val="000000" w:themeColor="text1"/>
          <w:sz w:val="16"/>
          <w:szCs w:val="16"/>
        </w:rPr>
        <w:t>В городе Будапеште наши войска, продолжая бои по уничтожению окружённой немецко-венгерской группировки, овладели военным госпиталем № 2, сапёрными и железнодорожными казармами, военно-продовольственными складами, товарной станцией, западным вокзалом, городским театром Вароши, центральной клиникой, табачной фабрикой и заняли более 160 кварталов. За 14 января в Будапеште наши войска взяли в плен 4.790 немецких и венгерских солдат и офицеров.</w:t>
      </w:r>
    </w:p>
    <w:p w14:paraId="0CE7E37D" w14:textId="77777777" w:rsidR="00650270" w:rsidRPr="00F90EAE" w:rsidRDefault="00650270"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370ED973" w14:textId="77777777" w:rsidR="00650270" w:rsidRPr="00F90EAE" w:rsidRDefault="00650270" w:rsidP="00F90EAE">
      <w:pPr>
        <w:jc w:val="both"/>
        <w:rPr>
          <w:color w:val="000000" w:themeColor="text1"/>
          <w:sz w:val="16"/>
          <w:szCs w:val="16"/>
        </w:rPr>
      </w:pPr>
      <w:r w:rsidRPr="00F90EAE">
        <w:rPr>
          <w:color w:val="000000" w:themeColor="text1"/>
          <w:sz w:val="16"/>
          <w:szCs w:val="16"/>
        </w:rPr>
        <w:t>За 14 января наши войска на всех фронтах подбили и уничтожили 137 немецких танков. В воздушных боях и огнём зенитной артиллерии сбито 60 самолётов противника.</w:t>
      </w:r>
    </w:p>
    <w:p w14:paraId="4FB8DC9B" w14:textId="77777777" w:rsidR="00650270" w:rsidRPr="00F90EAE" w:rsidRDefault="00650270" w:rsidP="00F90EAE">
      <w:pPr>
        <w:jc w:val="both"/>
        <w:rPr>
          <w:color w:val="000000" w:themeColor="text1"/>
          <w:sz w:val="16"/>
          <w:szCs w:val="16"/>
        </w:rPr>
      </w:pPr>
      <w:r w:rsidRPr="00F90EAE">
        <w:rPr>
          <w:color w:val="000000" w:themeColor="text1"/>
          <w:sz w:val="16"/>
          <w:szCs w:val="16"/>
        </w:rPr>
        <w:t>Войска 1-го Украинского фронта развивали стремительное наступление. Советские части, действующие в лесах южнее города Кельце, встретили ожесточённое сопротивление немцев. Противник, усилив свои войска ещё одной танковой дивизией, предпринимал многочисленные контратаки. Гитлеровцы стремились во что бы то ни стало удержать в своих руках город Кельце. Тесня и преследуя противника, наши войска отбросили его за реку Чарна Нида. Затем советские части переправились через реку и завязали бои на подступах к городу Кельце. Немцы превратили этот город в мощную крепость. С севера и юга его прикрывают высоты, с востока и запада протекают речки. Использовав в полной мере эти естественные препятствия, противник соорудил долговременные укрепления. Вокруг города немцы отрыли несколько рядов траншей полного профиля, построили большое количество долговременных бетонированных укреплений, до предела насыщенных огневыми средствами. Советские танкисты и пехотинцы, а также артиллерия, шедшая в рядах наступающих подразделений, стремительным и сокрушающим ударом сломили сопротивление противника и сегодня овладели городом Кельце. Этот город является крупным административно-хозяйственным центром Польши и важным узлом коммуникаций. В нём сосредоточены заводы взрывчатых веществ, вооружения и военного снаряжения. В сражении за Кельце немецкие войска понесли огромные потери. Только на подступах к городу, по неполным данным, уничтожено свыше 1.600 немецких солдат и офицеров, сожжено и подбило 40 танков и самоходных орудий противника.</w:t>
      </w:r>
    </w:p>
    <w:p w14:paraId="01F3F942" w14:textId="77777777" w:rsidR="00650270" w:rsidRPr="00F90EAE" w:rsidRDefault="00650270" w:rsidP="00F90EAE">
      <w:pPr>
        <w:jc w:val="both"/>
        <w:rPr>
          <w:color w:val="000000" w:themeColor="text1"/>
          <w:sz w:val="16"/>
          <w:szCs w:val="16"/>
        </w:rPr>
      </w:pPr>
      <w:r w:rsidRPr="00F90EAE">
        <w:rPr>
          <w:color w:val="000000" w:themeColor="text1"/>
          <w:sz w:val="16"/>
          <w:szCs w:val="16"/>
        </w:rPr>
        <w:t>Западнее города Хмельник немцы также подтянули крупные резервы пехоты и танков и с хода бросили их в бой. Наши части не только отбили все контратаки гитлеровцев, но и, совершив обходный маневр, вышли с севера и юга к крупному узлу коммуникаций городу Енджеюв. Вражеский гарнизон оказал сопротивление, но был быстро разгромлен. Наши войска истребили в этом районе два полка немецкой пехоты, уничтожили 74 полевых орудия и несколько десятков танков и бронетранспортёров.</w:t>
      </w:r>
    </w:p>
    <w:p w14:paraId="07AE0F61" w14:textId="77777777" w:rsidR="00650270" w:rsidRPr="00F90EAE" w:rsidRDefault="00650270" w:rsidP="00F90EAE">
      <w:pPr>
        <w:jc w:val="both"/>
        <w:rPr>
          <w:color w:val="000000" w:themeColor="text1"/>
          <w:sz w:val="16"/>
          <w:szCs w:val="16"/>
        </w:rPr>
      </w:pPr>
      <w:r w:rsidRPr="00F90EAE">
        <w:rPr>
          <w:color w:val="000000" w:themeColor="text1"/>
          <w:sz w:val="16"/>
          <w:szCs w:val="16"/>
        </w:rPr>
        <w:t>Противник, отступающий под ударами советских войск, несёт огромные потери в живой силе и технике. Только за первые два дня наступления наши войска, по неполным данным, захватили 116 немецких танков, 379 орудий разных калибров, около 1.000 автомашин с различными грузами, много складов с боеприпасами и военным имуществом.</w:t>
      </w:r>
    </w:p>
    <w:p w14:paraId="3B90AAC6" w14:textId="77777777" w:rsidR="00650270" w:rsidRPr="00F90EAE" w:rsidRDefault="00650270" w:rsidP="00F90EAE">
      <w:pPr>
        <w:jc w:val="both"/>
        <w:rPr>
          <w:color w:val="000000" w:themeColor="text1"/>
          <w:sz w:val="16"/>
          <w:szCs w:val="16"/>
        </w:rPr>
      </w:pPr>
      <w:r w:rsidRPr="00F90EAE">
        <w:rPr>
          <w:color w:val="000000" w:themeColor="text1"/>
          <w:sz w:val="16"/>
          <w:szCs w:val="16"/>
        </w:rPr>
        <w:t>В Чехословакии северо-восточнее города Лученец наши войска вели наступательные бои. Части Н-ского соединения, действующие в трудных условиях горно-лесистой местности, продвинулись вперёд на 10 километров и овладели узлом дорог Мелехедь. На другом участке наши войска отразили несколько вражеских контратак и, совершив успешный манёвр, нанесли немцам тяжёлый удар. Противник отступил, оставив на поле боя сотни трупов своих солдат и офицеров. Разбит наголову 228-й немецкий горнострелковый полк. Взято в плен свыше 400 солдат и офицеров противника.</w:t>
      </w:r>
    </w:p>
    <w:p w14:paraId="37F430AF" w14:textId="77777777" w:rsidR="00650270" w:rsidRPr="00F90EAE" w:rsidRDefault="00650270" w:rsidP="00F90EAE">
      <w:pPr>
        <w:jc w:val="both"/>
        <w:rPr>
          <w:color w:val="000000" w:themeColor="text1"/>
          <w:sz w:val="16"/>
          <w:szCs w:val="16"/>
        </w:rPr>
      </w:pPr>
      <w:r w:rsidRPr="00F90EAE">
        <w:rPr>
          <w:color w:val="000000" w:themeColor="text1"/>
          <w:sz w:val="16"/>
          <w:szCs w:val="16"/>
        </w:rPr>
        <w:t>В Будапеште наши войска вели бои по ликвидации окруженной группировки противника. Очищая от гитлеровцев центральные улицы города, наши гвардейские части овладели западным вокзалом и ведут бои на расстоянии менее километра от Дуная. Войска, наступающие по левому берегу Дуная на юг, заняли набережную Фельше и десять промышленных предприятий. Другие советские части, наступающие по левому берегу на север, выбили немцев из ряда кварталов. Отдельные группы вражеских солдат и офицеров складывают оружие и сдаются в плен. За день наши войска захватили 7 танков и самоходных орудий, 4 бронетранспортёра, 50 полевых орудий, из них 7 тяжелых, 12 повреждённых самолётов, 5 паровозов, 70 железнодорожных вагонов, 766 автомашин, много пулемётов, автоматов и винтовок.</w:t>
      </w:r>
    </w:p>
    <w:p w14:paraId="2DFC6E0F" w14:textId="77777777" w:rsidR="00650270" w:rsidRPr="00F90EAE" w:rsidRDefault="00650270" w:rsidP="00F90EAE">
      <w:pPr>
        <w:jc w:val="both"/>
        <w:rPr>
          <w:color w:val="000000" w:themeColor="text1"/>
          <w:sz w:val="16"/>
          <w:szCs w:val="16"/>
        </w:rPr>
      </w:pPr>
      <w:r w:rsidRPr="00F90EAE">
        <w:rPr>
          <w:color w:val="000000" w:themeColor="text1"/>
          <w:sz w:val="16"/>
          <w:szCs w:val="16"/>
        </w:rPr>
        <w:t>Взятый в плен на 1-ом Украинском фронте обер-ефрейтор 188-го полка 68-й немецкой пехотной дивизии Вилли Гейнц рассказал: «Солдаты со страхом ждали русского наступления. Офицеры неустанно твердили, что наши позиции очень сильно укреплены и мы должны их удерживать любой ценой. 18-го декабря каждого солдата обязали прочесть и подписать особый листок, в ком-ром было напечатано следующее: «Я поставлен командовавшем в известность, что в случае моего перехода на сторону русских весь мой род — отец, мать, жена, дети и внуки будут расстреляны». Солдаты были возмущены, но все молча подписали эту бумажку. Однако гром русских орудий оказался страшнее угроз немецкого командования. Это был настоящий ад. Такого ужаса мы ещё никогда не испытывали. От артиллерийского огня мы понесли огромные потери. В траншеях вперемежку валялись раненые и убитые солдаты. Раненые взывали о помощи, но никто им её не оказывал. Некоторые солдаты сошли с ума. Русские нанесли нам страшный удар. О сопротивлении нечего было и думать. Я с группой солдат сдался в плен» (15010).</w:t>
      </w:r>
    </w:p>
    <w:p w14:paraId="4817100A" w14:textId="77777777" w:rsidR="00650270" w:rsidRPr="00F90EAE" w:rsidRDefault="00650270" w:rsidP="00F90EAE">
      <w:pPr>
        <w:jc w:val="both"/>
        <w:rPr>
          <w:color w:val="000000" w:themeColor="text1"/>
          <w:sz w:val="16"/>
          <w:szCs w:val="16"/>
        </w:rPr>
      </w:pPr>
    </w:p>
    <w:p w14:paraId="37CF1A43" w14:textId="77777777" w:rsidR="00650270" w:rsidRPr="00F90EAE" w:rsidRDefault="00650270" w:rsidP="00F90EAE">
      <w:pPr>
        <w:jc w:val="both"/>
        <w:rPr>
          <w:color w:val="000000" w:themeColor="text1"/>
          <w:sz w:val="16"/>
          <w:szCs w:val="16"/>
        </w:rPr>
      </w:pPr>
      <w:r w:rsidRPr="00F90EAE">
        <w:rPr>
          <w:bCs/>
          <w:color w:val="000000" w:themeColor="text1"/>
          <w:sz w:val="16"/>
          <w:szCs w:val="16"/>
        </w:rPr>
        <w:t>15 января</w:t>
      </w:r>
      <w:r w:rsidRPr="00F90EAE">
        <w:rPr>
          <w:color w:val="000000" w:themeColor="text1"/>
          <w:sz w:val="16"/>
          <w:szCs w:val="16"/>
        </w:rPr>
        <w:t xml:space="preserve"> в 1945 году войска 2-го Белорусского фронта прорвали главную полосу обороны противника на млавском направлении (15010).</w:t>
      </w:r>
    </w:p>
    <w:p w14:paraId="1F2F52E2" w14:textId="77777777" w:rsidR="00650270" w:rsidRPr="00F90EAE" w:rsidRDefault="00650270" w:rsidP="00F90EAE">
      <w:pPr>
        <w:jc w:val="both"/>
        <w:rPr>
          <w:color w:val="000000" w:themeColor="text1"/>
          <w:sz w:val="16"/>
          <w:szCs w:val="16"/>
        </w:rPr>
      </w:pPr>
    </w:p>
    <w:p w14:paraId="758B7A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января 1945 года в Восточной Пруссии, в районе Борове, немцы силою до полка мотопехоты (при поддержке танков и самоходных орудий) контратаковали боевые порядки нашей наступавшей пехоты, вместе с которой действовал 390-й Гв. ТСАП.. Пехота под давлением превосходящих сил противника отошла за боевые порядки полка, встретившего удар немцев сосредоточенным огнем и прикрывшего поддерживаемые подразделения. Контратака была отбита, и пехота вновь получила возможность продолжать свое наступление. (3862).</w:t>
      </w:r>
    </w:p>
    <w:p w14:paraId="02D6F9CE" w14:textId="77777777" w:rsidR="00C2313B" w:rsidRPr="00F90EAE" w:rsidRDefault="00C2313B" w:rsidP="00F90EAE">
      <w:pPr>
        <w:autoSpaceDE w:val="0"/>
        <w:autoSpaceDN w:val="0"/>
        <w:adjustRightInd w:val="0"/>
        <w:jc w:val="both"/>
        <w:rPr>
          <w:color w:val="000000" w:themeColor="text1"/>
          <w:sz w:val="16"/>
          <w:szCs w:val="16"/>
        </w:rPr>
      </w:pPr>
    </w:p>
    <w:p w14:paraId="0C3A11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января 1945 на советских авиаминах подорвался сторожевик V1704 у Либавы, 17 января - транспорт Steinburg (1319 брт.) там же, 29 января - транспорт Henry Lutgens (1141 брт.) у Виндавы. В 1945 минные постановки на БМ продолжились. За четыре месяца самолеты выставили 288 мин у Мемеля, Пиллау и косы Хела. Однако советское командование все отчетливей осознавало, что конец войны не за горами, и тралить мины придется самим. Масштабы постановок снизились, однако противник продолжал нести значительные потери. Всего за годы войны авиация Балтфлота выставила 1588 мин, на которых достоверно погибло не менее 20-25 кораблей (2867,32).</w:t>
      </w:r>
    </w:p>
    <w:p w14:paraId="2AC407E4" w14:textId="77777777" w:rsidR="00C2313B" w:rsidRPr="00F90EAE" w:rsidRDefault="00C2313B" w:rsidP="00F90EAE">
      <w:pPr>
        <w:autoSpaceDE w:val="0"/>
        <w:autoSpaceDN w:val="0"/>
        <w:adjustRightInd w:val="0"/>
        <w:jc w:val="both"/>
        <w:rPr>
          <w:color w:val="000000" w:themeColor="text1"/>
          <w:sz w:val="16"/>
          <w:szCs w:val="16"/>
        </w:rPr>
      </w:pPr>
    </w:p>
    <w:p w14:paraId="3D6F8698"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15, 1945: In its drive toward the Oder river, the Red Army captures Kielce in western Poland (3819).</w:t>
      </w:r>
    </w:p>
    <w:p w14:paraId="7A8B3877" w14:textId="77777777" w:rsidR="00C2313B" w:rsidRPr="00F90EAE" w:rsidRDefault="00C2313B" w:rsidP="00F90EAE">
      <w:pPr>
        <w:autoSpaceDE w:val="0"/>
        <w:autoSpaceDN w:val="0"/>
        <w:adjustRightInd w:val="0"/>
        <w:jc w:val="both"/>
        <w:rPr>
          <w:color w:val="000000" w:themeColor="text1"/>
          <w:sz w:val="16"/>
          <w:szCs w:val="16"/>
          <w:lang w:val="en-US"/>
        </w:rPr>
      </w:pPr>
    </w:p>
    <w:p w14:paraId="4A021B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января 1945 в ходе наступления на Одер КА заняла г Кильце в Польше (3819).</w:t>
      </w:r>
    </w:p>
    <w:p w14:paraId="4DD58CD5" w14:textId="77777777" w:rsidR="00C2313B" w:rsidRPr="00F90EAE" w:rsidRDefault="00C2313B" w:rsidP="00F90EAE">
      <w:pPr>
        <w:autoSpaceDE w:val="0"/>
        <w:autoSpaceDN w:val="0"/>
        <w:adjustRightInd w:val="0"/>
        <w:jc w:val="both"/>
        <w:rPr>
          <w:color w:val="000000" w:themeColor="text1"/>
          <w:sz w:val="16"/>
          <w:szCs w:val="16"/>
        </w:rPr>
      </w:pPr>
    </w:p>
    <w:p w14:paraId="1488948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6B7E8DF" w14:textId="77777777" w:rsidR="00C2313B" w:rsidRPr="00F90EAE" w:rsidRDefault="00C2313B" w:rsidP="00F90EAE">
      <w:pPr>
        <w:autoSpaceDE w:val="0"/>
        <w:autoSpaceDN w:val="0"/>
        <w:adjustRightInd w:val="0"/>
        <w:jc w:val="both"/>
        <w:rPr>
          <w:iCs/>
          <w:color w:val="000000" w:themeColor="text1"/>
          <w:sz w:val="16"/>
          <w:szCs w:val="16"/>
        </w:rPr>
      </w:pPr>
    </w:p>
    <w:p w14:paraId="686D92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января 1945 вышло Постановление ГКО № 7326 О переселении колхозников в районы Карельского перешейка Ленинградской области. РГАНИР, Фонд ГКО, д. 350, лл. 5-11, 12 (11012).</w:t>
      </w:r>
    </w:p>
    <w:p w14:paraId="4E932F6D" w14:textId="77777777" w:rsidR="00C2313B" w:rsidRPr="00F90EAE" w:rsidRDefault="00C2313B" w:rsidP="00F90EAE">
      <w:pPr>
        <w:autoSpaceDE w:val="0"/>
        <w:autoSpaceDN w:val="0"/>
        <w:adjustRightInd w:val="0"/>
        <w:jc w:val="both"/>
        <w:rPr>
          <w:color w:val="000000" w:themeColor="text1"/>
          <w:sz w:val="16"/>
          <w:szCs w:val="16"/>
        </w:rPr>
      </w:pPr>
    </w:p>
    <w:p w14:paraId="7F8F480E" w14:textId="77777777" w:rsidR="00650270"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6CC2AA9" w14:textId="77777777" w:rsidR="00650270" w:rsidRPr="00F90EAE" w:rsidRDefault="00650270" w:rsidP="00F90EAE">
      <w:pPr>
        <w:autoSpaceDE w:val="0"/>
        <w:autoSpaceDN w:val="0"/>
        <w:adjustRightInd w:val="0"/>
        <w:jc w:val="both"/>
        <w:rPr>
          <w:iCs/>
          <w:color w:val="000000" w:themeColor="text1"/>
          <w:sz w:val="16"/>
          <w:szCs w:val="16"/>
        </w:rPr>
      </w:pPr>
    </w:p>
    <w:p w14:paraId="518D6CAF" w14:textId="77777777" w:rsidR="00650270" w:rsidRPr="00F90EAE" w:rsidRDefault="00650270" w:rsidP="00F90EAE">
      <w:pPr>
        <w:jc w:val="both"/>
        <w:rPr>
          <w:bCs/>
          <w:color w:val="000000" w:themeColor="text1"/>
          <w:sz w:val="16"/>
          <w:szCs w:val="16"/>
        </w:rPr>
      </w:pPr>
      <w:r w:rsidRPr="00F90EAE">
        <w:rPr>
          <w:bCs/>
          <w:color w:val="000000" w:themeColor="text1"/>
          <w:sz w:val="16"/>
          <w:szCs w:val="16"/>
        </w:rPr>
        <w:t>15 января</w:t>
      </w:r>
      <w:r w:rsidRPr="00F90EAE">
        <w:rPr>
          <w:color w:val="000000" w:themeColor="text1"/>
          <w:sz w:val="16"/>
          <w:szCs w:val="16"/>
        </w:rPr>
        <w:t xml:space="preserve"> в 1945 году первый полёт первого серийного ночного истребителя «P-38M» «Lightning» (компания «Lockheed», США). Для переоборудования в ночной истребитель был взят серийный «Lightning» «P-38J». Контейнер с радиолокатором установили на специальный пилон под носовой частью центральной гондолы. В качестве средства обнаружения избрали хорошо зарекомендовавший себя локатор AN/APS-4.</w:t>
      </w:r>
    </w:p>
    <w:p w14:paraId="398F66DE" w14:textId="77777777" w:rsidR="00650270" w:rsidRPr="00F90EAE" w:rsidRDefault="00650270" w:rsidP="00F90EAE">
      <w:pPr>
        <w:jc w:val="both"/>
        <w:rPr>
          <w:color w:val="000000" w:themeColor="text1"/>
          <w:sz w:val="16"/>
          <w:szCs w:val="16"/>
        </w:rPr>
      </w:pPr>
      <w:r w:rsidRPr="00F90EAE">
        <w:rPr>
          <w:color w:val="000000" w:themeColor="text1"/>
          <w:sz w:val="16"/>
          <w:szCs w:val="16"/>
        </w:rPr>
        <w:t>На стволах пушки и пулеметов смонтировали пламегасители. За счет выступающей части контейнера длина «Р-38М» возросла до 11,81 м. Антенну УКВ-радиостанции на серийных машинах перенесли под левую балку за нишу основной стойки шасси. Переоборудование уже законченных постройкой «P-38L2 в ночные истребители выполнял далласский центр модификаций фирмы «Локхид» (15010).</w:t>
      </w:r>
    </w:p>
    <w:p w14:paraId="4D6A1EB3" w14:textId="77777777" w:rsidR="00650270" w:rsidRPr="00F90EAE" w:rsidRDefault="00650270" w:rsidP="00F90EAE">
      <w:pPr>
        <w:jc w:val="both"/>
        <w:rPr>
          <w:color w:val="000000" w:themeColor="text1"/>
          <w:sz w:val="16"/>
          <w:szCs w:val="16"/>
        </w:rPr>
      </w:pPr>
    </w:p>
    <w:p w14:paraId="4127435D" w14:textId="77777777" w:rsidR="00E31928" w:rsidRPr="00F90EAE" w:rsidRDefault="00E31928" w:rsidP="00F90EAE">
      <w:pPr>
        <w:jc w:val="both"/>
        <w:rPr>
          <w:color w:val="0070C0"/>
          <w:sz w:val="16"/>
          <w:szCs w:val="16"/>
        </w:rPr>
      </w:pPr>
      <w:r w:rsidRPr="00F90EAE">
        <w:rPr>
          <w:color w:val="0070C0"/>
          <w:sz w:val="16"/>
          <w:szCs w:val="16"/>
        </w:rPr>
        <w:t>15 января 1945 авианосцы оперативной группы 38 в плохую погоду нанесли удар по японским войскам в Китае, Формозе и Пескадоре, потопив два эсминца, транспорт и танкер и уничтожив 16 японских самолетов в воздухе и 18 на земле в обмен на потерю 12 Самолет США (20371).</w:t>
      </w:r>
    </w:p>
    <w:p w14:paraId="1A50256C" w14:textId="77777777" w:rsidR="00E31928" w:rsidRPr="00F90EAE" w:rsidRDefault="00E31928" w:rsidP="00F90EAE">
      <w:pPr>
        <w:jc w:val="both"/>
        <w:rPr>
          <w:color w:val="0070C0"/>
          <w:sz w:val="16"/>
          <w:szCs w:val="16"/>
        </w:rPr>
      </w:pPr>
    </w:p>
    <w:p w14:paraId="0FB86386" w14:textId="77777777" w:rsidR="00E31928" w:rsidRPr="00F90EAE" w:rsidRDefault="00E31928" w:rsidP="00F90EAE">
      <w:pPr>
        <w:jc w:val="both"/>
        <w:rPr>
          <w:color w:val="0070C0"/>
          <w:sz w:val="16"/>
          <w:szCs w:val="16"/>
        </w:rPr>
      </w:pPr>
      <w:r w:rsidRPr="00F90EAE">
        <w:rPr>
          <w:color w:val="0070C0"/>
          <w:sz w:val="16"/>
          <w:szCs w:val="16"/>
        </w:rPr>
        <w:t>15 января 1945 немецкая подводная лодка U-1172 торпедирует британский авианосец сопровождения HMS Thane в Ирландском море недалеко отя Clyde Тан никогда больше не будет мореходным (20371).</w:t>
      </w:r>
    </w:p>
    <w:p w14:paraId="2FCEC381" w14:textId="77777777" w:rsidR="00E31928" w:rsidRPr="00F90EAE" w:rsidRDefault="00E31928" w:rsidP="00F90EAE">
      <w:pPr>
        <w:jc w:val="both"/>
        <w:rPr>
          <w:color w:val="0070C0"/>
          <w:sz w:val="16"/>
          <w:szCs w:val="16"/>
        </w:rPr>
      </w:pPr>
    </w:p>
    <w:p w14:paraId="7B28A0E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0B0A822" w14:textId="77777777" w:rsidR="00C2313B" w:rsidRPr="00F90EAE" w:rsidRDefault="00C2313B" w:rsidP="00F90EAE">
      <w:pPr>
        <w:autoSpaceDE w:val="0"/>
        <w:autoSpaceDN w:val="0"/>
        <w:adjustRightInd w:val="0"/>
        <w:jc w:val="both"/>
        <w:rPr>
          <w:iCs/>
          <w:color w:val="000000" w:themeColor="text1"/>
          <w:sz w:val="16"/>
          <w:szCs w:val="16"/>
        </w:rPr>
      </w:pPr>
    </w:p>
    <w:p w14:paraId="742F1C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середине января 1945 перегонщики доставили на аэродром 5 зап 45 Ил-10 для 108 гшап (111,172).</w:t>
      </w:r>
    </w:p>
    <w:p w14:paraId="4E70FFB9" w14:textId="77777777" w:rsidR="00C2313B" w:rsidRPr="00F90EAE" w:rsidRDefault="00C2313B" w:rsidP="00F90EAE">
      <w:pPr>
        <w:autoSpaceDE w:val="0"/>
        <w:autoSpaceDN w:val="0"/>
        <w:adjustRightInd w:val="0"/>
        <w:jc w:val="both"/>
        <w:rPr>
          <w:color w:val="000000" w:themeColor="text1"/>
          <w:sz w:val="16"/>
          <w:szCs w:val="16"/>
        </w:rPr>
      </w:pPr>
    </w:p>
    <w:p w14:paraId="600F43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середины января 1945 американские самолеты Р-47 "Тандерболт" довольно интенсивно использовались для разведки в западной части Балтийского моря. Летали они как поодиночке, так и парами (3457,86).</w:t>
      </w:r>
    </w:p>
    <w:p w14:paraId="44AA243C" w14:textId="77777777" w:rsidR="00C2313B" w:rsidRPr="00F90EAE" w:rsidRDefault="00C2313B" w:rsidP="00F90EAE">
      <w:pPr>
        <w:autoSpaceDE w:val="0"/>
        <w:autoSpaceDN w:val="0"/>
        <w:adjustRightInd w:val="0"/>
        <w:jc w:val="both"/>
        <w:rPr>
          <w:color w:val="000000" w:themeColor="text1"/>
          <w:sz w:val="16"/>
          <w:szCs w:val="16"/>
        </w:rPr>
      </w:pPr>
    </w:p>
    <w:p w14:paraId="4E3CF42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3704F26" w14:textId="77777777" w:rsidR="00C2313B" w:rsidRPr="00F90EAE" w:rsidRDefault="00C2313B" w:rsidP="00F90EAE">
      <w:pPr>
        <w:autoSpaceDE w:val="0"/>
        <w:autoSpaceDN w:val="0"/>
        <w:adjustRightInd w:val="0"/>
        <w:jc w:val="both"/>
        <w:rPr>
          <w:iCs/>
          <w:color w:val="000000" w:themeColor="text1"/>
          <w:sz w:val="16"/>
          <w:szCs w:val="16"/>
        </w:rPr>
      </w:pPr>
    </w:p>
    <w:p w14:paraId="56990E64" w14:textId="77777777" w:rsidR="000E7D6A" w:rsidRPr="00F90EAE" w:rsidRDefault="000E7D6A" w:rsidP="00F90EAE">
      <w:pPr>
        <w:jc w:val="both"/>
        <w:rPr>
          <w:color w:val="000000" w:themeColor="text1"/>
          <w:sz w:val="16"/>
          <w:szCs w:val="16"/>
        </w:rPr>
      </w:pPr>
      <w:r w:rsidRPr="00F90EAE">
        <w:rPr>
          <w:rStyle w:val="107"/>
          <w:rFonts w:eastAsiaTheme="minorHAnsi"/>
          <w:color w:val="000000" w:themeColor="text1"/>
          <w:sz w:val="16"/>
          <w:szCs w:val="16"/>
        </w:rPr>
        <w:t>16 января 1945 с учетом того, что ВУ-9 к этому времени удовлетворительно прошла наземные заводские испытания, а «испытания в воздухе задерживаются вследствие плохой погоды и отсутствия АМ-42, переделанного по последующим рекомендациям», заместитель главного инженера ВВС КА генерал Лапин дал согласие принять 150 Ил-10 с пушкой УБ-20 на ВУ-9 до окончания официальных испытаний установки в ГК НИИ ВВС (17490).</w:t>
      </w:r>
    </w:p>
    <w:p w14:paraId="48C9E4E6" w14:textId="77777777" w:rsidR="000E7D6A" w:rsidRPr="00F90EAE" w:rsidRDefault="000E7D6A" w:rsidP="00F90EAE">
      <w:pPr>
        <w:jc w:val="both"/>
        <w:rPr>
          <w:color w:val="000000" w:themeColor="text1"/>
          <w:sz w:val="16"/>
          <w:szCs w:val="16"/>
        </w:rPr>
      </w:pPr>
    </w:p>
    <w:p w14:paraId="045F2B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вышел приказ НКАП N10сс "Об увеличении выпуска самолетов Ту-2 на заводе 23":</w:t>
      </w:r>
    </w:p>
    <w:p w14:paraId="52219A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установить заводу 23 программу по выпуску самолетов Ту-2 в след. количестве: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0B35D30B" w14:textId="77777777">
        <w:tc>
          <w:tcPr>
            <w:tcW w:w="5636" w:type="dxa"/>
          </w:tcPr>
          <w:p w14:paraId="6E270C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w:t>
            </w:r>
          </w:p>
        </w:tc>
        <w:tc>
          <w:tcPr>
            <w:tcW w:w="5636" w:type="dxa"/>
          </w:tcPr>
          <w:p w14:paraId="6B21D0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55</w:t>
            </w:r>
          </w:p>
        </w:tc>
      </w:tr>
      <w:tr w:rsidR="00561F31" w:rsidRPr="00F90EAE" w14:paraId="1DEB8B60" w14:textId="77777777">
        <w:tc>
          <w:tcPr>
            <w:tcW w:w="5636" w:type="dxa"/>
          </w:tcPr>
          <w:p w14:paraId="2AEDF9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феврале</w:t>
            </w:r>
          </w:p>
        </w:tc>
        <w:tc>
          <w:tcPr>
            <w:tcW w:w="5636" w:type="dxa"/>
          </w:tcPr>
          <w:p w14:paraId="068100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w:t>
            </w:r>
          </w:p>
        </w:tc>
      </w:tr>
      <w:tr w:rsidR="00561F31" w:rsidRPr="00F90EAE" w14:paraId="48F02A15" w14:textId="77777777">
        <w:tc>
          <w:tcPr>
            <w:tcW w:w="5636" w:type="dxa"/>
          </w:tcPr>
          <w:p w14:paraId="704EB2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марте</w:t>
            </w:r>
          </w:p>
        </w:tc>
        <w:tc>
          <w:tcPr>
            <w:tcW w:w="5636" w:type="dxa"/>
          </w:tcPr>
          <w:p w14:paraId="16229D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w:t>
            </w:r>
          </w:p>
        </w:tc>
      </w:tr>
      <w:tr w:rsidR="00561F31" w:rsidRPr="00F90EAE" w14:paraId="6FA64C21" w14:textId="77777777">
        <w:tc>
          <w:tcPr>
            <w:tcW w:w="5636" w:type="dxa"/>
          </w:tcPr>
          <w:p w14:paraId="408B35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апреле</w:t>
            </w:r>
          </w:p>
        </w:tc>
        <w:tc>
          <w:tcPr>
            <w:tcW w:w="5636" w:type="dxa"/>
          </w:tcPr>
          <w:p w14:paraId="37811F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90 (1885,112)</w:t>
            </w:r>
          </w:p>
        </w:tc>
      </w:tr>
    </w:tbl>
    <w:p w14:paraId="59C391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С.В.И. писал Кузнецову и А.И.Ш. письмо:</w:t>
      </w:r>
    </w:p>
    <w:p w14:paraId="3EB139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Ил-10 прошел гос. испытания, имея для обстрела задней полусферы установку с пушкой 20 мм конструкции Шпитального.</w:t>
      </w:r>
    </w:p>
    <w:p w14:paraId="300571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последствии запущена в серию пушка Березина 20 мм</w:t>
      </w:r>
    </w:p>
    <w:p w14:paraId="5BDC7D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Пушка Березина запоздала с выходом из серии, поэтому самолет Ил-10 был начат постройкой с установкой пулемета Березина 12.7 мм с магазинным питанием.</w:t>
      </w:r>
    </w:p>
    <w:p w14:paraId="34C270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Установка пушки Березина, произведенная ГК С.В.И., прошла удовлетворительно заводские испытания и все наземные испытания в НИИ ВВС.</w:t>
      </w:r>
    </w:p>
    <w:p w14:paraId="2254EB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Испытания установки в воздухе задерживаются вследствие плохой погоды и отсутствия АМ-42, переделанного по последующим рекомендациям.</w:t>
      </w:r>
    </w:p>
    <w:p w14:paraId="2EE004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ГК С.В.И. на основании проведенных им заводских испытаний, а также не основании наземных испытаний в НИИ ВВС гарантирует надежную работу установки с пушкой Березина 20 мм.</w:t>
      </w:r>
    </w:p>
    <w:p w14:paraId="63226F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Принимая во внимание, что установка с пулеметом Березина с магазинным питанием значительно уступает пушечной установке, просим утвердить след. порядок внедрения установки с пушкой Березина:</w:t>
      </w:r>
    </w:p>
    <w:p w14:paraId="3B10B5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выпустить 20 самолетов Ил-10</w:t>
      </w:r>
    </w:p>
    <w:p w14:paraId="0B06E5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феврале - 75,</w:t>
      </w:r>
    </w:p>
    <w:p w14:paraId="229838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марте - 150,</w:t>
      </w:r>
    </w:p>
    <w:p w14:paraId="44C346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апреле выпустить все самолеты Ил-10 с пушечными установками.</w:t>
      </w:r>
    </w:p>
    <w:p w14:paraId="127093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ГИ ВВС Лапин дал согласие принять сто пятьдесят самолетов Ил-10 с установкой пушки Березина до окончания испытаний установки в НИИ ВВС." (1918,41).</w:t>
      </w:r>
    </w:p>
    <w:p w14:paraId="03C6CF1E" w14:textId="77777777" w:rsidR="00C2313B" w:rsidRPr="00F90EAE" w:rsidRDefault="00C2313B" w:rsidP="00F90EAE">
      <w:pPr>
        <w:autoSpaceDE w:val="0"/>
        <w:autoSpaceDN w:val="0"/>
        <w:adjustRightInd w:val="0"/>
        <w:jc w:val="both"/>
        <w:rPr>
          <w:color w:val="000000" w:themeColor="text1"/>
          <w:sz w:val="16"/>
          <w:szCs w:val="16"/>
        </w:rPr>
      </w:pPr>
    </w:p>
    <w:p w14:paraId="7D0460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года по приказу НКАП от за № 9с на завод № 150 было перебазировано с завода № 49 производство жаропрочных спецсплавов и резцов с пластинами из твердых сплавов (9504).</w:t>
      </w:r>
    </w:p>
    <w:p w14:paraId="2BF70DF4" w14:textId="77777777" w:rsidR="00C2313B" w:rsidRPr="00F90EAE" w:rsidRDefault="00C2313B" w:rsidP="00F90EAE">
      <w:pPr>
        <w:autoSpaceDE w:val="0"/>
        <w:autoSpaceDN w:val="0"/>
        <w:adjustRightInd w:val="0"/>
        <w:jc w:val="both"/>
        <w:rPr>
          <w:color w:val="000000" w:themeColor="text1"/>
          <w:sz w:val="16"/>
          <w:szCs w:val="16"/>
        </w:rPr>
      </w:pPr>
    </w:p>
    <w:p w14:paraId="3FDF22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г. приказом НКАП № 9с с 1.01.1945 г. завод № 49 (ГС Завод № 49 НКАП / г. Балашиха Московской обл. ш. Энтузиастов, 19-й км;  г.Уфа Сталинский район/) влит в состав завода № 150 НКАП ().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6E38B9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(1941 г.)- Волошенко, (-08.1942-09.1943 г.-)- Антипов (11982).</w:t>
      </w:r>
    </w:p>
    <w:p w14:paraId="11246CFB" w14:textId="77777777" w:rsidR="00C2313B" w:rsidRPr="00F90EAE" w:rsidRDefault="00C2313B" w:rsidP="00F90EAE">
      <w:pPr>
        <w:autoSpaceDE w:val="0"/>
        <w:autoSpaceDN w:val="0"/>
        <w:adjustRightInd w:val="0"/>
        <w:jc w:val="both"/>
        <w:rPr>
          <w:color w:val="000000" w:themeColor="text1"/>
          <w:sz w:val="16"/>
          <w:szCs w:val="16"/>
        </w:rPr>
      </w:pPr>
    </w:p>
    <w:p w14:paraId="3D75A23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4DDDBD2" w14:textId="77777777" w:rsidR="00C2313B" w:rsidRPr="00F90EAE" w:rsidRDefault="00C2313B" w:rsidP="00F90EAE">
      <w:pPr>
        <w:autoSpaceDE w:val="0"/>
        <w:autoSpaceDN w:val="0"/>
        <w:adjustRightInd w:val="0"/>
        <w:jc w:val="both"/>
        <w:rPr>
          <w:iCs/>
          <w:color w:val="000000" w:themeColor="text1"/>
          <w:sz w:val="16"/>
          <w:szCs w:val="16"/>
        </w:rPr>
      </w:pPr>
    </w:p>
    <w:p w14:paraId="2E46E3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16 января 1945 года на ГАП проходили полигонные испытания опытного образца 85-мм пушки БЛ-25. В ходе полигонных испытаний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 (3861).</w:t>
      </w:r>
    </w:p>
    <w:p w14:paraId="70823D4C" w14:textId="77777777" w:rsidR="00C2313B" w:rsidRPr="00F90EAE" w:rsidRDefault="00C2313B" w:rsidP="00F90EAE">
      <w:pPr>
        <w:autoSpaceDE w:val="0"/>
        <w:autoSpaceDN w:val="0"/>
        <w:adjustRightInd w:val="0"/>
        <w:jc w:val="both"/>
        <w:rPr>
          <w:color w:val="000000" w:themeColor="text1"/>
          <w:sz w:val="16"/>
          <w:szCs w:val="16"/>
        </w:rPr>
      </w:pPr>
    </w:p>
    <w:p w14:paraId="4F766DF1" w14:textId="77777777" w:rsidR="00573476" w:rsidRPr="00F90EAE" w:rsidRDefault="00573476" w:rsidP="00F90EAE">
      <w:pPr>
        <w:jc w:val="both"/>
        <w:rPr>
          <w:color w:val="000000" w:themeColor="text1"/>
          <w:sz w:val="16"/>
          <w:szCs w:val="16"/>
        </w:rPr>
      </w:pPr>
      <w:r w:rsidRPr="00F90EAE">
        <w:rPr>
          <w:color w:val="000000" w:themeColor="text1"/>
          <w:sz w:val="16"/>
          <w:szCs w:val="16"/>
        </w:rPr>
        <w:t>16 января 1945 г. БЛ-25 поступила на Главный артиллерийский полигон для проведения полигонных испытаний, в ходе которых было сделано 293 выстрела, после чего из-за сдачи подъемного механизма и ряда других неисправностей испытания пушки были прекращены. Обкатка системы не производилась.</w:t>
      </w:r>
    </w:p>
    <w:p w14:paraId="0D648E98" w14:textId="77777777" w:rsidR="00573476" w:rsidRPr="00F90EAE" w:rsidRDefault="00573476" w:rsidP="00F90EAE">
      <w:pPr>
        <w:jc w:val="both"/>
        <w:rPr>
          <w:color w:val="000000" w:themeColor="text1"/>
          <w:sz w:val="16"/>
          <w:szCs w:val="16"/>
        </w:rPr>
      </w:pPr>
      <w:r w:rsidRPr="00F90EAE">
        <w:rPr>
          <w:color w:val="000000" w:themeColor="text1"/>
          <w:sz w:val="16"/>
          <w:szCs w:val="16"/>
        </w:rPr>
        <w:t>Согласно отчету комиссии от 2 апреля 1945 г. пушка БЛ-25 полигонные испытания не выдержала и требует доработки. Вскоре работы по пушке были прекращены.</w:t>
      </w:r>
    </w:p>
    <w:p w14:paraId="65BF211A" w14:textId="77777777" w:rsidR="00573476" w:rsidRPr="00F90EAE" w:rsidRDefault="00573476" w:rsidP="00F90EAE">
      <w:pPr>
        <w:jc w:val="both"/>
        <w:rPr>
          <w:color w:val="000000" w:themeColor="text1"/>
          <w:sz w:val="16"/>
          <w:szCs w:val="16"/>
        </w:rPr>
      </w:pPr>
      <w:r w:rsidRPr="00F90EAE">
        <w:rPr>
          <w:color w:val="000000" w:themeColor="text1"/>
          <w:sz w:val="16"/>
          <w:szCs w:val="16"/>
        </w:rPr>
        <w:t xml:space="preserve">Данные 85-мм пушки БЛ-25 </w:t>
      </w:r>
    </w:p>
    <w:p w14:paraId="7065D203" w14:textId="77777777" w:rsidR="00573476" w:rsidRPr="00F90EAE" w:rsidRDefault="00573476" w:rsidP="00F90EAE">
      <w:pPr>
        <w:jc w:val="both"/>
        <w:rPr>
          <w:color w:val="000000" w:themeColor="text1"/>
          <w:sz w:val="16"/>
          <w:szCs w:val="16"/>
        </w:rPr>
      </w:pPr>
      <w:r w:rsidRPr="00F90EAE">
        <w:rPr>
          <w:color w:val="000000" w:themeColor="text1"/>
          <w:sz w:val="16"/>
          <w:szCs w:val="16"/>
        </w:rPr>
        <w:t>Конструктивные данные ствола</w:t>
      </w:r>
    </w:p>
    <w:p w14:paraId="0D36A8B1" w14:textId="77777777" w:rsidR="00573476" w:rsidRPr="00F90EAE" w:rsidRDefault="00573476" w:rsidP="00F90EAE">
      <w:pPr>
        <w:jc w:val="both"/>
        <w:rPr>
          <w:color w:val="000000" w:themeColor="text1"/>
          <w:sz w:val="16"/>
          <w:szCs w:val="16"/>
        </w:rPr>
      </w:pPr>
      <w:r w:rsidRPr="00F90EAE">
        <w:rPr>
          <w:color w:val="000000" w:themeColor="text1"/>
          <w:sz w:val="16"/>
          <w:szCs w:val="16"/>
        </w:rPr>
        <w:t>Калибр, мм — 85</w:t>
      </w:r>
    </w:p>
    <w:p w14:paraId="04F23B7D" w14:textId="77777777" w:rsidR="00573476" w:rsidRPr="00F90EAE" w:rsidRDefault="00573476" w:rsidP="00F90EAE">
      <w:pPr>
        <w:jc w:val="both"/>
        <w:rPr>
          <w:color w:val="000000" w:themeColor="text1"/>
          <w:sz w:val="16"/>
          <w:szCs w:val="16"/>
        </w:rPr>
      </w:pPr>
      <w:r w:rsidRPr="00F90EAE">
        <w:rPr>
          <w:color w:val="000000" w:themeColor="text1"/>
          <w:sz w:val="16"/>
          <w:szCs w:val="16"/>
        </w:rPr>
        <w:t>Длина ствола полная, мм/клб — 4573/53,8</w:t>
      </w:r>
    </w:p>
    <w:p w14:paraId="5BE0CBD4" w14:textId="77777777" w:rsidR="00573476" w:rsidRPr="00F90EAE" w:rsidRDefault="00573476" w:rsidP="00F90EAE">
      <w:pPr>
        <w:jc w:val="both"/>
        <w:rPr>
          <w:color w:val="000000" w:themeColor="text1"/>
          <w:sz w:val="16"/>
          <w:szCs w:val="16"/>
        </w:rPr>
      </w:pPr>
      <w:r w:rsidRPr="00F90EAE">
        <w:rPr>
          <w:color w:val="000000" w:themeColor="text1"/>
          <w:sz w:val="16"/>
          <w:szCs w:val="16"/>
        </w:rPr>
        <w:t>Длина канала, мм/клб — 4150/48,8</w:t>
      </w:r>
    </w:p>
    <w:p w14:paraId="59F85E4E" w14:textId="77777777" w:rsidR="00573476" w:rsidRPr="00F90EAE" w:rsidRDefault="00573476" w:rsidP="00F90EAE">
      <w:pPr>
        <w:jc w:val="both"/>
        <w:rPr>
          <w:color w:val="000000" w:themeColor="text1"/>
          <w:sz w:val="16"/>
          <w:szCs w:val="16"/>
        </w:rPr>
      </w:pPr>
      <w:r w:rsidRPr="00F90EAE">
        <w:rPr>
          <w:color w:val="000000" w:themeColor="text1"/>
          <w:sz w:val="16"/>
          <w:szCs w:val="16"/>
        </w:rPr>
        <w:t>Длина нарезной части, мм — 3495</w:t>
      </w:r>
    </w:p>
    <w:p w14:paraId="2846AB75" w14:textId="77777777" w:rsidR="00573476" w:rsidRPr="00F90EAE" w:rsidRDefault="00573476" w:rsidP="00F90EAE">
      <w:pPr>
        <w:jc w:val="both"/>
        <w:rPr>
          <w:color w:val="000000" w:themeColor="text1"/>
          <w:sz w:val="16"/>
          <w:szCs w:val="16"/>
        </w:rPr>
      </w:pPr>
      <w:r w:rsidRPr="00F90EAE">
        <w:rPr>
          <w:color w:val="000000" w:themeColor="text1"/>
          <w:sz w:val="16"/>
          <w:szCs w:val="16"/>
        </w:rPr>
        <w:t>Крутизна нарезов, клб — 25</w:t>
      </w:r>
    </w:p>
    <w:p w14:paraId="3A2C682B" w14:textId="77777777" w:rsidR="00573476" w:rsidRPr="00F90EAE" w:rsidRDefault="00573476" w:rsidP="00F90EAE">
      <w:pPr>
        <w:jc w:val="both"/>
        <w:rPr>
          <w:color w:val="000000" w:themeColor="text1"/>
          <w:sz w:val="16"/>
          <w:szCs w:val="16"/>
        </w:rPr>
      </w:pPr>
      <w:r w:rsidRPr="00F90EAE">
        <w:rPr>
          <w:color w:val="000000" w:themeColor="text1"/>
          <w:sz w:val="16"/>
          <w:szCs w:val="16"/>
        </w:rPr>
        <w:t>Число нарезов — 24</w:t>
      </w:r>
    </w:p>
    <w:p w14:paraId="54A50A18" w14:textId="77777777" w:rsidR="00573476" w:rsidRPr="00F90EAE" w:rsidRDefault="00573476" w:rsidP="00F90EAE">
      <w:pPr>
        <w:jc w:val="both"/>
        <w:rPr>
          <w:color w:val="000000" w:themeColor="text1"/>
          <w:sz w:val="16"/>
          <w:szCs w:val="16"/>
        </w:rPr>
      </w:pPr>
      <w:r w:rsidRPr="00F90EAE">
        <w:rPr>
          <w:color w:val="000000" w:themeColor="text1"/>
          <w:sz w:val="16"/>
          <w:szCs w:val="16"/>
        </w:rPr>
        <w:t>Глубина нарезов, мм — 0,85</w:t>
      </w:r>
    </w:p>
    <w:p w14:paraId="5A8117B4" w14:textId="77777777" w:rsidR="00573476" w:rsidRPr="00F90EAE" w:rsidRDefault="00573476" w:rsidP="00F90EAE">
      <w:pPr>
        <w:jc w:val="both"/>
        <w:rPr>
          <w:color w:val="000000" w:themeColor="text1"/>
          <w:sz w:val="16"/>
          <w:szCs w:val="16"/>
        </w:rPr>
      </w:pPr>
      <w:r w:rsidRPr="00F90EAE">
        <w:rPr>
          <w:color w:val="000000" w:themeColor="text1"/>
          <w:sz w:val="16"/>
          <w:szCs w:val="16"/>
        </w:rPr>
        <w:t>Ширина нарезов, мм — 7,5</w:t>
      </w:r>
    </w:p>
    <w:p w14:paraId="25773E31" w14:textId="77777777" w:rsidR="00573476" w:rsidRPr="00F90EAE" w:rsidRDefault="00573476" w:rsidP="00F90EAE">
      <w:pPr>
        <w:jc w:val="both"/>
        <w:rPr>
          <w:color w:val="000000" w:themeColor="text1"/>
          <w:sz w:val="16"/>
          <w:szCs w:val="16"/>
        </w:rPr>
      </w:pPr>
      <w:r w:rsidRPr="00F90EAE">
        <w:rPr>
          <w:color w:val="000000" w:themeColor="text1"/>
          <w:sz w:val="16"/>
          <w:szCs w:val="16"/>
        </w:rPr>
        <w:t>Ширина полей, мм — 3,7</w:t>
      </w:r>
    </w:p>
    <w:p w14:paraId="6A99A38F" w14:textId="77777777" w:rsidR="00573476" w:rsidRPr="00F90EAE" w:rsidRDefault="00573476" w:rsidP="00F90EAE">
      <w:pPr>
        <w:jc w:val="both"/>
        <w:rPr>
          <w:color w:val="000000" w:themeColor="text1"/>
          <w:sz w:val="16"/>
          <w:szCs w:val="16"/>
        </w:rPr>
      </w:pPr>
      <w:r w:rsidRPr="00F90EAE">
        <w:rPr>
          <w:color w:val="000000" w:themeColor="text1"/>
          <w:sz w:val="16"/>
          <w:szCs w:val="16"/>
        </w:rPr>
        <w:t>Вес ствола с затвором, кг — 602,5</w:t>
      </w:r>
    </w:p>
    <w:p w14:paraId="232482E9" w14:textId="77777777" w:rsidR="00573476" w:rsidRPr="00F90EAE" w:rsidRDefault="00573476" w:rsidP="00F90EAE">
      <w:pPr>
        <w:jc w:val="both"/>
        <w:rPr>
          <w:color w:val="000000" w:themeColor="text1"/>
          <w:sz w:val="16"/>
          <w:szCs w:val="16"/>
        </w:rPr>
      </w:pPr>
      <w:r w:rsidRPr="00F90EAE">
        <w:rPr>
          <w:color w:val="000000" w:themeColor="text1"/>
          <w:sz w:val="16"/>
          <w:szCs w:val="16"/>
        </w:rPr>
        <w:t>Конструктивные данные лафета</w:t>
      </w:r>
    </w:p>
    <w:p w14:paraId="4ABEF5F1" w14:textId="77777777" w:rsidR="00573476" w:rsidRPr="00F90EAE" w:rsidRDefault="00573476" w:rsidP="00F90EAE">
      <w:pPr>
        <w:jc w:val="both"/>
        <w:rPr>
          <w:color w:val="000000" w:themeColor="text1"/>
          <w:sz w:val="16"/>
          <w:szCs w:val="16"/>
        </w:rPr>
      </w:pPr>
      <w:r w:rsidRPr="00F90EAE">
        <w:rPr>
          <w:color w:val="000000" w:themeColor="text1"/>
          <w:sz w:val="16"/>
          <w:szCs w:val="16"/>
        </w:rPr>
        <w:t>Угол ВН, град — −8,5+35,5</w:t>
      </w:r>
    </w:p>
    <w:p w14:paraId="1AEDFB77" w14:textId="77777777" w:rsidR="00573476" w:rsidRPr="00F90EAE" w:rsidRDefault="00573476" w:rsidP="00F90EAE">
      <w:pPr>
        <w:jc w:val="both"/>
        <w:rPr>
          <w:color w:val="000000" w:themeColor="text1"/>
          <w:sz w:val="16"/>
          <w:szCs w:val="16"/>
        </w:rPr>
      </w:pPr>
      <w:r w:rsidRPr="00F90EAE">
        <w:rPr>
          <w:color w:val="000000" w:themeColor="text1"/>
          <w:sz w:val="16"/>
          <w:szCs w:val="16"/>
        </w:rPr>
        <w:t>Угол ГН, град — 54</w:t>
      </w:r>
    </w:p>
    <w:p w14:paraId="36D4C0B3" w14:textId="77777777" w:rsidR="00573476" w:rsidRPr="00F90EAE" w:rsidRDefault="00573476" w:rsidP="00F90EAE">
      <w:pPr>
        <w:jc w:val="both"/>
        <w:rPr>
          <w:color w:val="000000" w:themeColor="text1"/>
          <w:sz w:val="16"/>
          <w:szCs w:val="16"/>
        </w:rPr>
      </w:pPr>
      <w:r w:rsidRPr="00F90EAE">
        <w:rPr>
          <w:color w:val="000000" w:themeColor="text1"/>
          <w:sz w:val="16"/>
          <w:szCs w:val="16"/>
        </w:rPr>
        <w:t>Длина отката, мм: нормальная — 880–960</w:t>
      </w:r>
    </w:p>
    <w:p w14:paraId="1AF15CE9" w14:textId="77777777" w:rsidR="00573476" w:rsidRPr="00F90EAE" w:rsidRDefault="00573476" w:rsidP="00F90EAE">
      <w:pPr>
        <w:jc w:val="both"/>
        <w:rPr>
          <w:color w:val="000000" w:themeColor="text1"/>
          <w:sz w:val="16"/>
          <w:szCs w:val="16"/>
        </w:rPr>
      </w:pPr>
      <w:r w:rsidRPr="00F90EAE">
        <w:rPr>
          <w:color w:val="000000" w:themeColor="text1"/>
          <w:sz w:val="16"/>
          <w:szCs w:val="16"/>
        </w:rPr>
        <w:t>предельная — 1150</w:t>
      </w:r>
    </w:p>
    <w:p w14:paraId="38860DDE" w14:textId="77777777" w:rsidR="00573476" w:rsidRPr="00F90EAE" w:rsidRDefault="00573476" w:rsidP="00F90EAE">
      <w:pPr>
        <w:jc w:val="both"/>
        <w:rPr>
          <w:color w:val="000000" w:themeColor="text1"/>
          <w:sz w:val="16"/>
          <w:szCs w:val="16"/>
        </w:rPr>
      </w:pPr>
      <w:r w:rsidRPr="00F90EAE">
        <w:rPr>
          <w:color w:val="000000" w:themeColor="text1"/>
          <w:sz w:val="16"/>
          <w:szCs w:val="16"/>
        </w:rPr>
        <w:t>Высота линии огня, мм — 880</w:t>
      </w:r>
    </w:p>
    <w:p w14:paraId="09CED279" w14:textId="77777777" w:rsidR="00573476" w:rsidRPr="00F90EAE" w:rsidRDefault="00573476" w:rsidP="00F90EAE">
      <w:pPr>
        <w:jc w:val="both"/>
        <w:rPr>
          <w:color w:val="000000" w:themeColor="text1"/>
          <w:sz w:val="16"/>
          <w:szCs w:val="16"/>
        </w:rPr>
      </w:pPr>
      <w:r w:rsidRPr="00F90EAE">
        <w:rPr>
          <w:color w:val="000000" w:themeColor="text1"/>
          <w:sz w:val="16"/>
          <w:szCs w:val="16"/>
        </w:rPr>
        <w:t>Габариты в походном положении, мм: длина без передка — 7420</w:t>
      </w:r>
    </w:p>
    <w:p w14:paraId="5E6D10BF" w14:textId="77777777" w:rsidR="00573476" w:rsidRPr="00F90EAE" w:rsidRDefault="00573476" w:rsidP="00F90EAE">
      <w:pPr>
        <w:jc w:val="both"/>
        <w:rPr>
          <w:color w:val="000000" w:themeColor="text1"/>
          <w:sz w:val="16"/>
          <w:szCs w:val="16"/>
        </w:rPr>
      </w:pPr>
      <w:r w:rsidRPr="00F90EAE">
        <w:rPr>
          <w:color w:val="000000" w:themeColor="text1"/>
          <w:sz w:val="16"/>
          <w:szCs w:val="16"/>
        </w:rPr>
        <w:t>ширина — 1735</w:t>
      </w:r>
    </w:p>
    <w:p w14:paraId="19285059" w14:textId="77777777" w:rsidR="00573476" w:rsidRPr="00F90EAE" w:rsidRDefault="00573476" w:rsidP="00F90EAE">
      <w:pPr>
        <w:jc w:val="both"/>
        <w:rPr>
          <w:color w:val="000000" w:themeColor="text1"/>
          <w:sz w:val="16"/>
          <w:szCs w:val="16"/>
        </w:rPr>
      </w:pPr>
      <w:r w:rsidRPr="00F90EAE">
        <w:rPr>
          <w:color w:val="000000" w:themeColor="text1"/>
          <w:sz w:val="16"/>
          <w:szCs w:val="16"/>
        </w:rPr>
        <w:t>Ширина хода, мм — 1490</w:t>
      </w:r>
    </w:p>
    <w:p w14:paraId="3A9F1B75" w14:textId="77777777" w:rsidR="00573476" w:rsidRPr="00F90EAE" w:rsidRDefault="00573476" w:rsidP="00F90EAE">
      <w:pPr>
        <w:jc w:val="both"/>
        <w:rPr>
          <w:color w:val="000000" w:themeColor="text1"/>
          <w:sz w:val="16"/>
          <w:szCs w:val="16"/>
        </w:rPr>
      </w:pPr>
      <w:r w:rsidRPr="00F90EAE">
        <w:rPr>
          <w:color w:val="000000" w:themeColor="text1"/>
          <w:sz w:val="16"/>
          <w:szCs w:val="16"/>
        </w:rPr>
        <w:t>Клиренс, мм — 310</w:t>
      </w:r>
    </w:p>
    <w:p w14:paraId="04ED2908" w14:textId="77777777" w:rsidR="00573476" w:rsidRPr="00F90EAE" w:rsidRDefault="00573476" w:rsidP="00F90EAE">
      <w:pPr>
        <w:jc w:val="both"/>
        <w:rPr>
          <w:color w:val="000000" w:themeColor="text1"/>
          <w:sz w:val="16"/>
          <w:szCs w:val="16"/>
        </w:rPr>
      </w:pPr>
      <w:r w:rsidRPr="00F90EAE">
        <w:rPr>
          <w:color w:val="000000" w:themeColor="text1"/>
          <w:sz w:val="16"/>
          <w:szCs w:val="16"/>
        </w:rPr>
        <w:t>Диаметр колеса, мм — 800</w:t>
      </w:r>
    </w:p>
    <w:p w14:paraId="194BBD00" w14:textId="77777777" w:rsidR="00573476" w:rsidRPr="00F90EAE" w:rsidRDefault="00573476" w:rsidP="00F90EAE">
      <w:pPr>
        <w:jc w:val="both"/>
        <w:rPr>
          <w:color w:val="000000" w:themeColor="text1"/>
          <w:sz w:val="16"/>
          <w:szCs w:val="16"/>
        </w:rPr>
      </w:pPr>
      <w:r w:rsidRPr="00F90EAE">
        <w:rPr>
          <w:color w:val="000000" w:themeColor="text1"/>
          <w:sz w:val="16"/>
          <w:szCs w:val="16"/>
        </w:rPr>
        <w:t>Весовая сводка</w:t>
      </w:r>
    </w:p>
    <w:p w14:paraId="099E591C" w14:textId="77777777" w:rsidR="00573476" w:rsidRPr="00F90EAE" w:rsidRDefault="00573476" w:rsidP="00F90EAE">
      <w:pPr>
        <w:jc w:val="both"/>
        <w:rPr>
          <w:color w:val="000000" w:themeColor="text1"/>
          <w:sz w:val="16"/>
          <w:szCs w:val="16"/>
        </w:rPr>
      </w:pPr>
      <w:r w:rsidRPr="00F90EAE">
        <w:rPr>
          <w:color w:val="000000" w:themeColor="text1"/>
          <w:sz w:val="16"/>
          <w:szCs w:val="16"/>
        </w:rPr>
        <w:t>Откатные части со стволом, кг — 670</w:t>
      </w:r>
    </w:p>
    <w:p w14:paraId="1ACD2BD0" w14:textId="77777777" w:rsidR="00573476" w:rsidRPr="00F90EAE" w:rsidRDefault="00573476" w:rsidP="00F90EAE">
      <w:pPr>
        <w:jc w:val="both"/>
        <w:rPr>
          <w:color w:val="000000" w:themeColor="text1"/>
          <w:sz w:val="16"/>
          <w:szCs w:val="16"/>
        </w:rPr>
      </w:pPr>
      <w:r w:rsidRPr="00F90EAE">
        <w:rPr>
          <w:color w:val="000000" w:themeColor="text1"/>
          <w:sz w:val="16"/>
          <w:szCs w:val="16"/>
        </w:rPr>
        <w:t>Качающаяся часть, кг — 865</w:t>
      </w:r>
    </w:p>
    <w:p w14:paraId="4C169D95" w14:textId="77777777" w:rsidR="00573476" w:rsidRPr="00F90EAE" w:rsidRDefault="00573476" w:rsidP="00F90EAE">
      <w:pPr>
        <w:jc w:val="both"/>
        <w:rPr>
          <w:color w:val="000000" w:themeColor="text1"/>
          <w:sz w:val="16"/>
          <w:szCs w:val="16"/>
        </w:rPr>
      </w:pPr>
      <w:r w:rsidRPr="00F90EAE">
        <w:rPr>
          <w:color w:val="000000" w:themeColor="text1"/>
          <w:sz w:val="16"/>
          <w:szCs w:val="16"/>
        </w:rPr>
        <w:t>Лафет без орудия, кг — 1018</w:t>
      </w:r>
    </w:p>
    <w:p w14:paraId="1AA840DC" w14:textId="77777777" w:rsidR="00573476" w:rsidRPr="00F90EAE" w:rsidRDefault="00573476" w:rsidP="00F90EAE">
      <w:pPr>
        <w:jc w:val="both"/>
        <w:rPr>
          <w:color w:val="000000" w:themeColor="text1"/>
          <w:sz w:val="16"/>
          <w:szCs w:val="16"/>
        </w:rPr>
      </w:pPr>
      <w:r w:rsidRPr="00F90EAE">
        <w:rPr>
          <w:color w:val="000000" w:themeColor="text1"/>
          <w:sz w:val="16"/>
          <w:szCs w:val="16"/>
        </w:rPr>
        <w:t>Система в боевом положении, кг — 1620</w:t>
      </w:r>
    </w:p>
    <w:p w14:paraId="43CD08B2" w14:textId="77777777" w:rsidR="00573476" w:rsidRPr="00F90EAE" w:rsidRDefault="00573476" w:rsidP="00F90EAE">
      <w:pPr>
        <w:jc w:val="both"/>
        <w:rPr>
          <w:color w:val="000000" w:themeColor="text1"/>
          <w:sz w:val="16"/>
          <w:szCs w:val="16"/>
        </w:rPr>
      </w:pPr>
      <w:r w:rsidRPr="00F90EAE">
        <w:rPr>
          <w:color w:val="000000" w:themeColor="text1"/>
          <w:sz w:val="16"/>
          <w:szCs w:val="16"/>
        </w:rPr>
        <w:t>Эксплуатационные данные</w:t>
      </w:r>
    </w:p>
    <w:p w14:paraId="2BD36729" w14:textId="77777777" w:rsidR="00573476" w:rsidRPr="00F90EAE" w:rsidRDefault="00573476" w:rsidP="00F90EAE">
      <w:pPr>
        <w:jc w:val="both"/>
        <w:rPr>
          <w:color w:val="000000" w:themeColor="text1"/>
          <w:sz w:val="16"/>
          <w:szCs w:val="16"/>
        </w:rPr>
      </w:pPr>
      <w:r w:rsidRPr="00F90EAE">
        <w:rPr>
          <w:color w:val="000000" w:themeColor="text1"/>
          <w:sz w:val="16"/>
          <w:szCs w:val="16"/>
        </w:rPr>
        <w:t>Время перехода из походного положения в боевое, мин — около 1</w:t>
      </w:r>
    </w:p>
    <w:p w14:paraId="68296935" w14:textId="77777777" w:rsidR="00573476" w:rsidRPr="00F90EAE" w:rsidRDefault="00573476" w:rsidP="00F90EAE">
      <w:pPr>
        <w:jc w:val="both"/>
        <w:rPr>
          <w:color w:val="000000" w:themeColor="text1"/>
          <w:sz w:val="16"/>
          <w:szCs w:val="16"/>
        </w:rPr>
      </w:pPr>
      <w:r w:rsidRPr="00F90EAE">
        <w:rPr>
          <w:color w:val="000000" w:themeColor="text1"/>
          <w:sz w:val="16"/>
          <w:szCs w:val="16"/>
        </w:rPr>
        <w:t>Скорость возки по шоссе, км/час — 50</w:t>
      </w:r>
    </w:p>
    <w:p w14:paraId="17B603E0" w14:textId="77777777" w:rsidR="00573476" w:rsidRPr="00F90EAE" w:rsidRDefault="00573476" w:rsidP="00F90EAE">
      <w:pPr>
        <w:jc w:val="both"/>
        <w:rPr>
          <w:color w:val="000000" w:themeColor="text1"/>
          <w:sz w:val="16"/>
          <w:szCs w:val="16"/>
        </w:rPr>
      </w:pPr>
      <w:r w:rsidRPr="00F90EAE">
        <w:rPr>
          <w:color w:val="000000" w:themeColor="text1"/>
          <w:sz w:val="16"/>
          <w:szCs w:val="16"/>
        </w:rPr>
        <w:t>На испытаниях БЛ-25 при стрельбах бронебойным снарядом была получена начальная скорость 792 м/с, а осколочно-фугасным снарядом весом 9,54 кг — 652 м/с и дальность 12 170 м (при угле возвышения 30) (12705).</w:t>
      </w:r>
    </w:p>
    <w:p w14:paraId="3CBF7840" w14:textId="77777777" w:rsidR="00573476" w:rsidRPr="00F90EAE" w:rsidRDefault="00573476" w:rsidP="00F90EAE">
      <w:pPr>
        <w:jc w:val="both"/>
        <w:rPr>
          <w:color w:val="000000" w:themeColor="text1"/>
          <w:sz w:val="16"/>
          <w:szCs w:val="16"/>
        </w:rPr>
      </w:pPr>
    </w:p>
    <w:p w14:paraId="1874FADB" w14:textId="77777777" w:rsidR="002B4C11" w:rsidRPr="00F90EAE" w:rsidRDefault="002B4C11" w:rsidP="00F90EAE">
      <w:pPr>
        <w:jc w:val="both"/>
        <w:rPr>
          <w:color w:val="000000" w:themeColor="text1"/>
          <w:sz w:val="16"/>
          <w:szCs w:val="16"/>
        </w:rPr>
      </w:pPr>
      <w:r w:rsidRPr="00F90EAE">
        <w:rPr>
          <w:color w:val="000000" w:themeColor="text1"/>
          <w:sz w:val="16"/>
          <w:szCs w:val="16"/>
        </w:rPr>
        <w:t>16 Января 1945 г.</w:t>
      </w:r>
    </w:p>
    <w:p w14:paraId="5AC86199" w14:textId="77777777" w:rsidR="002B4C11" w:rsidRPr="00F90EAE" w:rsidRDefault="002B4C11" w:rsidP="00F90EAE">
      <w:pPr>
        <w:jc w:val="both"/>
        <w:rPr>
          <w:color w:val="000000" w:themeColor="text1"/>
          <w:sz w:val="16"/>
          <w:szCs w:val="16"/>
        </w:rPr>
      </w:pPr>
      <w:r w:rsidRPr="00F90EAE">
        <w:rPr>
          <w:color w:val="000000" w:themeColor="text1"/>
          <w:sz w:val="16"/>
          <w:szCs w:val="16"/>
        </w:rPr>
        <w:t>ЦАМО Фонд 4845 Опись 1 Дело 61 Лист 1 – 52</w:t>
      </w:r>
    </w:p>
    <w:p w14:paraId="545513B5" w14:textId="77777777" w:rsidR="002B4C11" w:rsidRPr="00F90EAE" w:rsidRDefault="002B4C11" w:rsidP="00F90EAE">
      <w:pPr>
        <w:jc w:val="both"/>
        <w:rPr>
          <w:color w:val="000000" w:themeColor="text1"/>
          <w:sz w:val="16"/>
          <w:szCs w:val="16"/>
        </w:rPr>
      </w:pPr>
      <w:r w:rsidRPr="00F90EAE">
        <w:rPr>
          <w:color w:val="000000" w:themeColor="text1"/>
          <w:sz w:val="16"/>
          <w:szCs w:val="16"/>
        </w:rPr>
        <w:lastRenderedPageBreak/>
        <w:t>СЕКРЕТНО</w:t>
      </w:r>
    </w:p>
    <w:p w14:paraId="5EE1DA86" w14:textId="77777777" w:rsidR="002B4C11" w:rsidRPr="00F90EAE" w:rsidRDefault="002B4C11" w:rsidP="00F90EAE">
      <w:pPr>
        <w:jc w:val="both"/>
        <w:rPr>
          <w:color w:val="000000" w:themeColor="text1"/>
          <w:sz w:val="16"/>
          <w:szCs w:val="16"/>
        </w:rPr>
      </w:pPr>
      <w:r w:rsidRPr="00F90EAE">
        <w:rPr>
          <w:color w:val="000000" w:themeColor="text1"/>
          <w:sz w:val="16"/>
          <w:szCs w:val="16"/>
        </w:rPr>
        <w:t>Экз. № 3</w:t>
      </w:r>
    </w:p>
    <w:p w14:paraId="1989235E" w14:textId="77777777" w:rsidR="002B4C11" w:rsidRPr="00F90EAE" w:rsidRDefault="002B4C11" w:rsidP="00F90EAE">
      <w:pPr>
        <w:jc w:val="both"/>
        <w:rPr>
          <w:color w:val="000000" w:themeColor="text1"/>
          <w:sz w:val="16"/>
          <w:szCs w:val="16"/>
        </w:rPr>
      </w:pPr>
      <w:r w:rsidRPr="00F90EAE">
        <w:rPr>
          <w:color w:val="000000" w:themeColor="text1"/>
          <w:sz w:val="16"/>
          <w:szCs w:val="16"/>
        </w:rPr>
        <w:t>НАУЧНО-ИСПЫТАТЕЛЬНЫЙ БРОНЕТАНКОВЫЙ ПОЛИГОН ГБТУ КА</w:t>
      </w:r>
    </w:p>
    <w:p w14:paraId="3D1E9B13" w14:textId="77777777" w:rsidR="002B4C11" w:rsidRPr="00F90EAE" w:rsidRDefault="002B4C11" w:rsidP="00F90EAE">
      <w:pPr>
        <w:jc w:val="both"/>
        <w:rPr>
          <w:color w:val="000000" w:themeColor="text1"/>
          <w:sz w:val="16"/>
          <w:szCs w:val="16"/>
        </w:rPr>
      </w:pPr>
      <w:r w:rsidRPr="00F90EAE">
        <w:rPr>
          <w:color w:val="000000" w:themeColor="text1"/>
          <w:sz w:val="16"/>
          <w:szCs w:val="16"/>
        </w:rPr>
        <w:t>«УТВЕРЖДАЮ»</w:t>
      </w:r>
    </w:p>
    <w:p w14:paraId="5A2FFE25" w14:textId="77777777" w:rsidR="002B4C11" w:rsidRPr="00F90EAE" w:rsidRDefault="002B4C11" w:rsidP="00F90EAE">
      <w:pPr>
        <w:jc w:val="both"/>
        <w:rPr>
          <w:color w:val="000000" w:themeColor="text1"/>
          <w:sz w:val="16"/>
          <w:szCs w:val="16"/>
        </w:rPr>
      </w:pPr>
      <w:r w:rsidRPr="00F90EAE">
        <w:rPr>
          <w:color w:val="000000" w:themeColor="text1"/>
          <w:sz w:val="16"/>
          <w:szCs w:val="16"/>
        </w:rPr>
        <w:t>Начальник НИБТ Полигона Генерал-Майор Танковых войск подпись (Романов)</w:t>
      </w:r>
    </w:p>
    <w:p w14:paraId="7E35ADE6" w14:textId="77777777" w:rsidR="002B4C11" w:rsidRPr="00F90EAE" w:rsidRDefault="002B4C11" w:rsidP="00F90EAE">
      <w:pPr>
        <w:jc w:val="both"/>
        <w:rPr>
          <w:color w:val="000000" w:themeColor="text1"/>
          <w:sz w:val="16"/>
          <w:szCs w:val="16"/>
        </w:rPr>
      </w:pPr>
      <w:r w:rsidRPr="00F90EAE">
        <w:rPr>
          <w:color w:val="000000" w:themeColor="text1"/>
          <w:sz w:val="16"/>
          <w:szCs w:val="16"/>
        </w:rPr>
        <w:t>16 Января 1945 г.</w:t>
      </w:r>
    </w:p>
    <w:p w14:paraId="6C5D564D" w14:textId="77777777" w:rsidR="002B4C11" w:rsidRPr="00F90EAE" w:rsidRDefault="002B4C11" w:rsidP="00F90EAE">
      <w:pPr>
        <w:jc w:val="both"/>
        <w:rPr>
          <w:color w:val="000000" w:themeColor="text1"/>
          <w:sz w:val="16"/>
          <w:szCs w:val="16"/>
        </w:rPr>
      </w:pPr>
      <w:r w:rsidRPr="00F90EAE">
        <w:rPr>
          <w:color w:val="000000" w:themeColor="text1"/>
          <w:sz w:val="16"/>
          <w:szCs w:val="16"/>
        </w:rPr>
        <w:t>ИТОГИ</w:t>
      </w:r>
    </w:p>
    <w:p w14:paraId="53C4AAA7" w14:textId="77777777" w:rsidR="002B4C11" w:rsidRPr="00F90EAE" w:rsidRDefault="002B4C11" w:rsidP="00F90EAE">
      <w:pPr>
        <w:jc w:val="both"/>
        <w:rPr>
          <w:color w:val="000000" w:themeColor="text1"/>
          <w:sz w:val="16"/>
          <w:szCs w:val="16"/>
        </w:rPr>
      </w:pPr>
      <w:r w:rsidRPr="00F90EAE">
        <w:rPr>
          <w:color w:val="000000" w:themeColor="text1"/>
          <w:sz w:val="16"/>
          <w:szCs w:val="16"/>
        </w:rPr>
        <w:t>по гарантийным испытаниям танков и самоходных установок за 1944 г.</w:t>
      </w:r>
    </w:p>
    <w:p w14:paraId="3AD3AB0D" w14:textId="77777777" w:rsidR="002B4C11" w:rsidRPr="00F90EAE" w:rsidRDefault="002B4C11" w:rsidP="00F90EAE">
      <w:pPr>
        <w:jc w:val="both"/>
        <w:rPr>
          <w:color w:val="000000" w:themeColor="text1"/>
          <w:sz w:val="16"/>
          <w:szCs w:val="16"/>
        </w:rPr>
      </w:pPr>
      <w:r w:rsidRPr="00F90EAE">
        <w:rPr>
          <w:color w:val="000000" w:themeColor="text1"/>
          <w:sz w:val="16"/>
          <w:szCs w:val="16"/>
        </w:rPr>
        <w:t>Отдел испытаний танков и самоходных установок</w:t>
      </w:r>
    </w:p>
    <w:p w14:paraId="6555D827" w14:textId="77777777" w:rsidR="002B4C11" w:rsidRPr="00F90EAE" w:rsidRDefault="002B4C11" w:rsidP="00F90EAE">
      <w:pPr>
        <w:jc w:val="both"/>
        <w:rPr>
          <w:color w:val="000000" w:themeColor="text1"/>
          <w:sz w:val="16"/>
          <w:szCs w:val="16"/>
        </w:rPr>
      </w:pPr>
      <w:r w:rsidRPr="00F90EAE">
        <w:rPr>
          <w:color w:val="000000" w:themeColor="text1"/>
          <w:sz w:val="16"/>
          <w:szCs w:val="16"/>
        </w:rPr>
        <w:t>1945 г.</w:t>
      </w:r>
    </w:p>
    <w:p w14:paraId="2952467B" w14:textId="77777777" w:rsidR="002B4C11" w:rsidRPr="00F90EAE" w:rsidRDefault="002B4C11" w:rsidP="00F90EAE">
      <w:pPr>
        <w:jc w:val="both"/>
        <w:rPr>
          <w:color w:val="000000" w:themeColor="text1"/>
          <w:sz w:val="16"/>
          <w:szCs w:val="16"/>
        </w:rPr>
      </w:pPr>
      <w:r w:rsidRPr="00F90EAE">
        <w:rPr>
          <w:color w:val="000000" w:themeColor="text1"/>
          <w:sz w:val="16"/>
          <w:szCs w:val="16"/>
        </w:rPr>
        <w:t>_____________________</w:t>
      </w:r>
    </w:p>
    <w:p w14:paraId="5466AF41" w14:textId="77777777" w:rsidR="002B4C11" w:rsidRPr="00F90EAE" w:rsidRDefault="002B4C11" w:rsidP="00F90EAE">
      <w:pPr>
        <w:jc w:val="both"/>
        <w:rPr>
          <w:color w:val="000000" w:themeColor="text1"/>
          <w:sz w:val="16"/>
          <w:szCs w:val="16"/>
        </w:rPr>
      </w:pPr>
      <w:r w:rsidRPr="00F90EAE">
        <w:rPr>
          <w:color w:val="000000" w:themeColor="text1"/>
          <w:sz w:val="16"/>
          <w:szCs w:val="16"/>
        </w:rPr>
        <w:t>ЗАКЛЮЧЕНИЕ.</w:t>
      </w:r>
    </w:p>
    <w:p w14:paraId="025E30E6" w14:textId="77777777" w:rsidR="002B4C11" w:rsidRPr="00F90EAE" w:rsidRDefault="002B4C11" w:rsidP="00F90EAE">
      <w:pPr>
        <w:jc w:val="both"/>
        <w:rPr>
          <w:color w:val="000000" w:themeColor="text1"/>
          <w:sz w:val="16"/>
          <w:szCs w:val="16"/>
        </w:rPr>
      </w:pPr>
      <w:r w:rsidRPr="00F90EAE">
        <w:rPr>
          <w:color w:val="000000" w:themeColor="text1"/>
          <w:sz w:val="16"/>
          <w:szCs w:val="16"/>
        </w:rPr>
        <w:t>А. СРЕДНИЕ ТАНКИ И САМОХОДНЫЕ УСТАНОВКИ.</w:t>
      </w:r>
    </w:p>
    <w:p w14:paraId="7286AAB0" w14:textId="77777777" w:rsidR="002B4C11" w:rsidRPr="00F90EAE" w:rsidRDefault="002B4C11" w:rsidP="00F90EAE">
      <w:pPr>
        <w:jc w:val="both"/>
        <w:rPr>
          <w:color w:val="000000" w:themeColor="text1"/>
          <w:sz w:val="16"/>
          <w:szCs w:val="16"/>
        </w:rPr>
      </w:pPr>
      <w:r w:rsidRPr="00F90EAE">
        <w:rPr>
          <w:color w:val="000000" w:themeColor="text1"/>
          <w:sz w:val="16"/>
          <w:szCs w:val="16"/>
        </w:rPr>
        <w:t>1. На гарантийные испытания в 1943 году заводами НКТП было предъявлено 25 танков, из которых выдержало испытания 7, что составляет 28%. В 1944 году из предъявленных на испытания 34 танков выдержали испытания 15, что составляет 44,1% общего числа испытанных танков.</w:t>
      </w:r>
    </w:p>
    <w:p w14:paraId="334F188D" w14:textId="77777777" w:rsidR="002B4C11" w:rsidRPr="00F90EAE" w:rsidRDefault="002B4C11" w:rsidP="00F90EAE">
      <w:pPr>
        <w:jc w:val="both"/>
        <w:rPr>
          <w:color w:val="000000" w:themeColor="text1"/>
          <w:sz w:val="16"/>
          <w:szCs w:val="16"/>
        </w:rPr>
      </w:pPr>
      <w:r w:rsidRPr="00F90EAE">
        <w:rPr>
          <w:color w:val="000000" w:themeColor="text1"/>
          <w:sz w:val="16"/>
          <w:szCs w:val="16"/>
        </w:rPr>
        <w:t>2. За период 1944 года все заводы, изготавливающие танки Т-34-85, СУ-85 и СУ-100 повысили качество продукции. Если в 1944 году массовым дефектом являлась поломка зубьев шестерен коробки перемены передач, то в 1944 году из 34 танков имели только один случай поломки зубьев конической пары.</w:t>
      </w:r>
    </w:p>
    <w:p w14:paraId="7C6DB84E" w14:textId="77777777" w:rsidR="002B4C11" w:rsidRPr="00F90EAE" w:rsidRDefault="002B4C11" w:rsidP="00F90EAE">
      <w:pPr>
        <w:jc w:val="both"/>
        <w:rPr>
          <w:color w:val="000000" w:themeColor="text1"/>
          <w:sz w:val="16"/>
          <w:szCs w:val="16"/>
        </w:rPr>
      </w:pPr>
      <w:r w:rsidRPr="00F90EAE">
        <w:rPr>
          <w:color w:val="000000" w:themeColor="text1"/>
          <w:sz w:val="16"/>
          <w:szCs w:val="16"/>
        </w:rPr>
        <w:t>3. Из общего числа испытанных танков в 1944 году выдержали испытания танки:</w:t>
      </w:r>
    </w:p>
    <w:p w14:paraId="1844756F"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завода 183 – 61,5%</w:t>
      </w:r>
    </w:p>
    <w:p w14:paraId="1559E8C9"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завода 112 – 37,4%</w:t>
      </w:r>
    </w:p>
    <w:p w14:paraId="3544291B"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завода 174 – 28,6%</w:t>
      </w:r>
    </w:p>
    <w:p w14:paraId="12E9D298" w14:textId="77777777" w:rsidR="002B4C11" w:rsidRPr="00F90EAE" w:rsidRDefault="002B4C11" w:rsidP="00F90EAE">
      <w:pPr>
        <w:jc w:val="both"/>
        <w:rPr>
          <w:color w:val="000000" w:themeColor="text1"/>
          <w:sz w:val="16"/>
          <w:szCs w:val="16"/>
        </w:rPr>
      </w:pPr>
      <w:r w:rsidRPr="00F90EAE">
        <w:rPr>
          <w:color w:val="000000" w:themeColor="text1"/>
          <w:sz w:val="16"/>
          <w:szCs w:val="16"/>
        </w:rPr>
        <w:t>УМЗ – 33,3%</w:t>
      </w:r>
    </w:p>
    <w:p w14:paraId="2F40C645" w14:textId="77777777" w:rsidR="002B4C11" w:rsidRPr="00F90EAE" w:rsidRDefault="002B4C11" w:rsidP="00F90EAE">
      <w:pPr>
        <w:jc w:val="both"/>
        <w:rPr>
          <w:color w:val="000000" w:themeColor="text1"/>
          <w:sz w:val="16"/>
          <w:szCs w:val="16"/>
        </w:rPr>
      </w:pPr>
      <w:r w:rsidRPr="00F90EAE">
        <w:rPr>
          <w:color w:val="000000" w:themeColor="text1"/>
          <w:sz w:val="16"/>
          <w:szCs w:val="16"/>
        </w:rPr>
        <w:t>Таким образом места между заводами НКТП по качеству выпускаемой продукции (танков Т-34-85, СУ-85 и СУ-100) распределились в следующем порядке:</w:t>
      </w:r>
    </w:p>
    <w:p w14:paraId="63030F9E" w14:textId="77777777" w:rsidR="002B4C11" w:rsidRPr="00F90EAE" w:rsidRDefault="002B4C11" w:rsidP="00F90EAE">
      <w:pPr>
        <w:jc w:val="both"/>
        <w:rPr>
          <w:color w:val="000000" w:themeColor="text1"/>
          <w:sz w:val="16"/>
          <w:szCs w:val="16"/>
        </w:rPr>
      </w:pPr>
      <w:r w:rsidRPr="00F90EAE">
        <w:rPr>
          <w:color w:val="000000" w:themeColor="text1"/>
          <w:sz w:val="16"/>
          <w:szCs w:val="16"/>
        </w:rPr>
        <w:t>на первом месте завод № 183</w:t>
      </w:r>
    </w:p>
    <w:p w14:paraId="077B1657" w14:textId="77777777" w:rsidR="002B4C11" w:rsidRPr="00F90EAE" w:rsidRDefault="002B4C11" w:rsidP="00F90EAE">
      <w:pPr>
        <w:jc w:val="both"/>
        <w:rPr>
          <w:color w:val="000000" w:themeColor="text1"/>
          <w:sz w:val="16"/>
          <w:szCs w:val="16"/>
        </w:rPr>
      </w:pPr>
      <w:r w:rsidRPr="00F90EAE">
        <w:rPr>
          <w:color w:val="000000" w:themeColor="text1"/>
          <w:sz w:val="16"/>
          <w:szCs w:val="16"/>
        </w:rPr>
        <w:t>на втором месте завод № 112</w:t>
      </w:r>
    </w:p>
    <w:p w14:paraId="1814B756" w14:textId="77777777" w:rsidR="002B4C11" w:rsidRPr="00F90EAE" w:rsidRDefault="002B4C11" w:rsidP="00F90EAE">
      <w:pPr>
        <w:jc w:val="both"/>
        <w:rPr>
          <w:color w:val="000000" w:themeColor="text1"/>
          <w:sz w:val="16"/>
          <w:szCs w:val="16"/>
        </w:rPr>
      </w:pPr>
      <w:r w:rsidRPr="00F90EAE">
        <w:rPr>
          <w:color w:val="000000" w:themeColor="text1"/>
          <w:sz w:val="16"/>
          <w:szCs w:val="16"/>
        </w:rPr>
        <w:t>на третьем месте УМЗ</w:t>
      </w:r>
    </w:p>
    <w:p w14:paraId="6DCA2CC4" w14:textId="77777777" w:rsidR="002B4C11" w:rsidRPr="00F90EAE" w:rsidRDefault="002B4C11" w:rsidP="00F90EAE">
      <w:pPr>
        <w:jc w:val="both"/>
        <w:rPr>
          <w:color w:val="000000" w:themeColor="text1"/>
          <w:sz w:val="16"/>
          <w:szCs w:val="16"/>
        </w:rPr>
      </w:pPr>
      <w:r w:rsidRPr="00F90EAE">
        <w:rPr>
          <w:color w:val="000000" w:themeColor="text1"/>
          <w:sz w:val="16"/>
          <w:szCs w:val="16"/>
        </w:rPr>
        <w:t>на четвертом месте завод № 174.</w:t>
      </w:r>
    </w:p>
    <w:p w14:paraId="002442D5" w14:textId="77777777" w:rsidR="002B4C11" w:rsidRPr="00F90EAE" w:rsidRDefault="002B4C11" w:rsidP="00F90EAE">
      <w:pPr>
        <w:jc w:val="both"/>
        <w:rPr>
          <w:color w:val="000000" w:themeColor="text1"/>
          <w:sz w:val="16"/>
          <w:szCs w:val="16"/>
        </w:rPr>
      </w:pPr>
      <w:r w:rsidRPr="00F90EAE">
        <w:rPr>
          <w:color w:val="000000" w:themeColor="text1"/>
          <w:sz w:val="16"/>
          <w:szCs w:val="16"/>
        </w:rPr>
        <w:t>4. Одни из ненадежных агрегатов танков является двигатель. Из 19 танков (не выдержавших испытания) 14 танков не выдержали гарантийных испытаний по двигателю, что составляет 74%. Наиболее ненадежны узлом двигателя является привод водяного насоса. Из 14 танков, не выдержавших испытания по двигателю, 10 танков имели поломку привода водяного насоса, что составляет 72%.</w:t>
      </w:r>
    </w:p>
    <w:p w14:paraId="0A24A0F3" w14:textId="77777777" w:rsidR="002B4C11" w:rsidRPr="00F90EAE" w:rsidRDefault="002B4C11" w:rsidP="00F90EAE">
      <w:pPr>
        <w:jc w:val="both"/>
        <w:rPr>
          <w:color w:val="000000" w:themeColor="text1"/>
          <w:sz w:val="16"/>
          <w:szCs w:val="16"/>
        </w:rPr>
      </w:pPr>
      <w:r w:rsidRPr="00F90EAE">
        <w:rPr>
          <w:color w:val="000000" w:themeColor="text1"/>
          <w:sz w:val="16"/>
          <w:szCs w:val="16"/>
        </w:rPr>
        <w:t>Дизелестроительным заводам необходимо повысить качество изготовления и сборки двигателей и быстрее внедрить в производство новую конструкцию привода водяного насоса кулачкового типа.</w:t>
      </w:r>
    </w:p>
    <w:p w14:paraId="3A3F4D44" w14:textId="77777777" w:rsidR="002B4C11" w:rsidRPr="00F90EAE" w:rsidRDefault="002B4C11" w:rsidP="00F90EAE">
      <w:pPr>
        <w:jc w:val="both"/>
        <w:rPr>
          <w:color w:val="000000" w:themeColor="text1"/>
          <w:sz w:val="16"/>
          <w:szCs w:val="16"/>
        </w:rPr>
      </w:pPr>
      <w:r w:rsidRPr="00F90EAE">
        <w:rPr>
          <w:color w:val="000000" w:themeColor="text1"/>
          <w:sz w:val="16"/>
          <w:szCs w:val="16"/>
        </w:rPr>
        <w:t>5. Продолжают иметь место дефекты, снижающие эксплоатационную возможность танков, а именно:</w:t>
      </w:r>
    </w:p>
    <w:p w14:paraId="2983FA65" w14:textId="77777777" w:rsidR="002B4C11" w:rsidRPr="00F90EAE" w:rsidRDefault="002B4C11" w:rsidP="00F90EAE">
      <w:pPr>
        <w:jc w:val="both"/>
        <w:rPr>
          <w:color w:val="000000" w:themeColor="text1"/>
          <w:sz w:val="16"/>
          <w:szCs w:val="16"/>
        </w:rPr>
      </w:pPr>
      <w:r w:rsidRPr="00F90EAE">
        <w:rPr>
          <w:color w:val="000000" w:themeColor="text1"/>
          <w:sz w:val="16"/>
          <w:szCs w:val="16"/>
        </w:rPr>
        <w:t>а) поломка осей роликов ведущих колес вследствие конструктивного дефекта движителя танка (гребневое зацепление гусениц с ведущим колесом),</w:t>
      </w:r>
    </w:p>
    <w:p w14:paraId="4729B0EF" w14:textId="77777777" w:rsidR="002B4C11" w:rsidRPr="00F90EAE" w:rsidRDefault="002B4C11" w:rsidP="00F90EAE">
      <w:pPr>
        <w:jc w:val="both"/>
        <w:rPr>
          <w:color w:val="000000" w:themeColor="text1"/>
          <w:sz w:val="16"/>
          <w:szCs w:val="16"/>
        </w:rPr>
      </w:pPr>
      <w:r w:rsidRPr="00F90EAE">
        <w:rPr>
          <w:color w:val="000000" w:themeColor="text1"/>
          <w:sz w:val="16"/>
          <w:szCs w:val="16"/>
        </w:rPr>
        <w:t>б) разрушение подшипников 7526 бортовых передач вследствие неудачной конструкции ведомого узла бортовой передачи, требующей постоянную и точную регулировку зазоров в подшипниках посредством "струны".</w:t>
      </w:r>
    </w:p>
    <w:p w14:paraId="25759C2A" w14:textId="77777777" w:rsidR="002B4C11" w:rsidRPr="00F90EAE" w:rsidRDefault="002B4C11" w:rsidP="00F90EAE">
      <w:pPr>
        <w:jc w:val="both"/>
        <w:rPr>
          <w:color w:val="000000" w:themeColor="text1"/>
          <w:sz w:val="16"/>
          <w:szCs w:val="16"/>
        </w:rPr>
      </w:pPr>
      <w:r w:rsidRPr="00F90EAE">
        <w:rPr>
          <w:color w:val="000000" w:themeColor="text1"/>
          <w:sz w:val="16"/>
          <w:szCs w:val="16"/>
        </w:rPr>
        <w:t>Существенным дефектом танков Т-34-85 и СУ-100 является – расположение воздухофильтров в трансмиссионном отделении (в месте наибольшего скопления пыли), что приводит при движении танков в пыльных условиях к быстрому износу и выходу из строя двигателей.</w:t>
      </w:r>
    </w:p>
    <w:p w14:paraId="2BF4BAD8" w14:textId="77777777" w:rsidR="002B4C11" w:rsidRPr="00F90EAE" w:rsidRDefault="002B4C11" w:rsidP="00F90EAE">
      <w:pPr>
        <w:jc w:val="both"/>
        <w:rPr>
          <w:color w:val="000000" w:themeColor="text1"/>
          <w:sz w:val="16"/>
          <w:szCs w:val="16"/>
        </w:rPr>
      </w:pPr>
      <w:r w:rsidRPr="00F90EAE">
        <w:rPr>
          <w:color w:val="000000" w:themeColor="text1"/>
          <w:sz w:val="16"/>
          <w:szCs w:val="16"/>
        </w:rPr>
        <w:t>Б. ТЯЖЕЛЫЕ ТАНКИ И САМОХОДНЫЕ УСТАНОВКИ.</w:t>
      </w:r>
    </w:p>
    <w:p w14:paraId="66B0C429" w14:textId="77777777" w:rsidR="002B4C11" w:rsidRPr="00F90EAE" w:rsidRDefault="002B4C11" w:rsidP="00F90EAE">
      <w:pPr>
        <w:jc w:val="both"/>
        <w:rPr>
          <w:color w:val="000000" w:themeColor="text1"/>
          <w:sz w:val="16"/>
          <w:szCs w:val="16"/>
        </w:rPr>
      </w:pPr>
      <w:r w:rsidRPr="00F90EAE">
        <w:rPr>
          <w:color w:val="000000" w:themeColor="text1"/>
          <w:sz w:val="16"/>
          <w:szCs w:val="16"/>
        </w:rPr>
        <w:t>В течение года качество выпускаемых танков ИС и самоходных установок ИСУ повысилось. Заметно повысилась надежность работы планетарного механизма поворота, электроинерционного стартера и бортовых передач.</w:t>
      </w:r>
    </w:p>
    <w:p w14:paraId="266254FA" w14:textId="77777777" w:rsidR="002B4C11" w:rsidRPr="00F90EAE" w:rsidRDefault="002B4C11" w:rsidP="00F90EAE">
      <w:pPr>
        <w:jc w:val="both"/>
        <w:rPr>
          <w:color w:val="000000" w:themeColor="text1"/>
          <w:sz w:val="16"/>
          <w:szCs w:val="16"/>
        </w:rPr>
      </w:pPr>
      <w:r w:rsidRPr="00F90EAE">
        <w:rPr>
          <w:color w:val="000000" w:themeColor="text1"/>
          <w:sz w:val="16"/>
          <w:szCs w:val="16"/>
        </w:rPr>
        <w:t>Недостаточная надежность танков ИС и самоходных установок ИСУ в целом является следствием некачественного изготовления и конструктивного несовершенства отдельных агрегатов, а именно: двигателя, коробки перемены передач и ходовой части (особенно опорных катков). Указанные агрегаты требуют совершенствования и конструктивной доработки.</w:t>
      </w:r>
    </w:p>
    <w:p w14:paraId="2562CCDE" w14:textId="77777777" w:rsidR="002B4C11" w:rsidRPr="00F90EAE" w:rsidRDefault="002B4C11" w:rsidP="00F90EAE">
      <w:pPr>
        <w:jc w:val="both"/>
        <w:rPr>
          <w:color w:val="000000" w:themeColor="text1"/>
          <w:sz w:val="16"/>
          <w:szCs w:val="16"/>
        </w:rPr>
      </w:pPr>
      <w:r w:rsidRPr="00F90EAE">
        <w:rPr>
          <w:color w:val="000000" w:themeColor="text1"/>
          <w:sz w:val="16"/>
          <w:szCs w:val="16"/>
        </w:rPr>
        <w:t>На гарантийные испытания НИБТ Полигону в 1944 году было представлено Кировским заводом 10 танков ИС и 9 самоходных установок ИСУ, из них выдержали испытания самоходные установки ноябрьского и декабрьского выпусков. Танки и самоходные установки не выдержали гарантийных испытаний по следующим агрегатам:</w:t>
      </w:r>
    </w:p>
    <w:p w14:paraId="5A5A3684" w14:textId="77777777" w:rsidR="002B4C11" w:rsidRPr="00F90EAE" w:rsidRDefault="002B4C11" w:rsidP="00F90EAE">
      <w:pPr>
        <w:jc w:val="both"/>
        <w:rPr>
          <w:color w:val="000000" w:themeColor="text1"/>
          <w:sz w:val="16"/>
          <w:szCs w:val="16"/>
        </w:rPr>
      </w:pPr>
      <w:r w:rsidRPr="00F90EAE">
        <w:rPr>
          <w:color w:val="000000" w:themeColor="text1"/>
          <w:sz w:val="16"/>
          <w:szCs w:val="16"/>
        </w:rPr>
        <w:t>силовая установка – 6</w:t>
      </w:r>
    </w:p>
    <w:p w14:paraId="51EA45EF" w14:textId="77777777" w:rsidR="002B4C11" w:rsidRPr="00F90EAE" w:rsidRDefault="002B4C11" w:rsidP="00F90EAE">
      <w:pPr>
        <w:jc w:val="both"/>
        <w:rPr>
          <w:color w:val="000000" w:themeColor="text1"/>
          <w:sz w:val="16"/>
          <w:szCs w:val="16"/>
        </w:rPr>
      </w:pPr>
      <w:r w:rsidRPr="00F90EAE">
        <w:rPr>
          <w:color w:val="000000" w:themeColor="text1"/>
          <w:sz w:val="16"/>
          <w:szCs w:val="16"/>
        </w:rPr>
        <w:t>трансмиссия – 6</w:t>
      </w:r>
    </w:p>
    <w:p w14:paraId="2389D5D1" w14:textId="77777777" w:rsidR="002B4C11" w:rsidRPr="00F90EAE" w:rsidRDefault="002B4C11" w:rsidP="00F90EAE">
      <w:pPr>
        <w:jc w:val="both"/>
        <w:rPr>
          <w:color w:val="000000" w:themeColor="text1"/>
          <w:sz w:val="16"/>
          <w:szCs w:val="16"/>
        </w:rPr>
      </w:pPr>
      <w:r w:rsidRPr="00F90EAE">
        <w:rPr>
          <w:color w:val="000000" w:themeColor="text1"/>
          <w:sz w:val="16"/>
          <w:szCs w:val="16"/>
        </w:rPr>
        <w:t>ходовая часть – 5.</w:t>
      </w:r>
    </w:p>
    <w:p w14:paraId="79DC6D4B" w14:textId="77777777" w:rsidR="002B4C11" w:rsidRPr="00F90EAE" w:rsidRDefault="002B4C11" w:rsidP="00F90EAE">
      <w:pPr>
        <w:jc w:val="both"/>
        <w:rPr>
          <w:color w:val="000000" w:themeColor="text1"/>
          <w:sz w:val="16"/>
          <w:szCs w:val="16"/>
        </w:rPr>
      </w:pPr>
      <w:r w:rsidRPr="00F90EAE">
        <w:rPr>
          <w:color w:val="000000" w:themeColor="text1"/>
          <w:sz w:val="16"/>
          <w:szCs w:val="16"/>
        </w:rPr>
        <w:t>ЗАМ. НАЧАЛЬНИКА НИБТ ПОЛИГОНА ПО НАУЧНО-ИСПЫТАТЕЛЬНОЙ ЧАСТИ</w:t>
      </w:r>
    </w:p>
    <w:p w14:paraId="1859C332" w14:textId="77777777" w:rsidR="002B4C11" w:rsidRPr="00F90EAE" w:rsidRDefault="002B4C11" w:rsidP="00F90EAE">
      <w:pPr>
        <w:jc w:val="both"/>
        <w:rPr>
          <w:color w:val="000000" w:themeColor="text1"/>
          <w:sz w:val="16"/>
          <w:szCs w:val="16"/>
        </w:rPr>
      </w:pPr>
      <w:r w:rsidRPr="00F90EAE">
        <w:rPr>
          <w:color w:val="000000" w:themeColor="text1"/>
          <w:sz w:val="16"/>
          <w:szCs w:val="16"/>
        </w:rPr>
        <w:t>ИНЖЕНЕР-ПОЛКОВНИК подпись (СЫЧ)</w:t>
      </w:r>
    </w:p>
    <w:p w14:paraId="46A20CD6" w14:textId="77777777" w:rsidR="002B4C11" w:rsidRPr="00F90EAE" w:rsidRDefault="002B4C11" w:rsidP="00F90EAE">
      <w:pPr>
        <w:jc w:val="both"/>
        <w:rPr>
          <w:color w:val="000000" w:themeColor="text1"/>
          <w:sz w:val="16"/>
          <w:szCs w:val="16"/>
        </w:rPr>
      </w:pPr>
      <w:r w:rsidRPr="00F90EAE">
        <w:rPr>
          <w:color w:val="000000" w:themeColor="text1"/>
          <w:sz w:val="16"/>
          <w:szCs w:val="16"/>
        </w:rPr>
        <w:t>НАЧАЛЬНИК ОТДЕЛА ИСПЫТАНИЙ ТАНКОВ И САМОХОДНЫХ УСТАНОВОК</w:t>
      </w:r>
    </w:p>
    <w:p w14:paraId="51D34602" w14:textId="77777777" w:rsidR="002B4C11" w:rsidRPr="00F90EAE" w:rsidRDefault="002B4C11" w:rsidP="00F90EAE">
      <w:pPr>
        <w:jc w:val="both"/>
        <w:rPr>
          <w:color w:val="000000" w:themeColor="text1"/>
          <w:sz w:val="16"/>
          <w:szCs w:val="16"/>
        </w:rPr>
      </w:pPr>
      <w:r w:rsidRPr="00F90EAE">
        <w:rPr>
          <w:color w:val="000000" w:themeColor="text1"/>
          <w:sz w:val="16"/>
          <w:szCs w:val="16"/>
        </w:rPr>
        <w:t>ИНЖЕНЕР-ПОДПОЛКОВНИК подпись (ИВАНОВ)</w:t>
      </w:r>
    </w:p>
    <w:p w14:paraId="31319385" w14:textId="77777777" w:rsidR="002B4C11" w:rsidRPr="00F90EAE" w:rsidRDefault="002B4C11" w:rsidP="00F90EAE">
      <w:pPr>
        <w:jc w:val="both"/>
        <w:rPr>
          <w:color w:val="000000" w:themeColor="text1"/>
          <w:sz w:val="16"/>
          <w:szCs w:val="16"/>
        </w:rPr>
      </w:pPr>
      <w:r w:rsidRPr="00F90EAE">
        <w:rPr>
          <w:color w:val="000000" w:themeColor="text1"/>
          <w:sz w:val="16"/>
          <w:szCs w:val="16"/>
        </w:rPr>
        <w:t>СТАРШИЙ ПОМОЩНИК НАЧАЛЬНИКА ОТДЕЛА ИСПЫТАНИЙ ТАНКОВ</w:t>
      </w:r>
    </w:p>
    <w:p w14:paraId="55F51228" w14:textId="77777777" w:rsidR="002B4C11" w:rsidRPr="00F90EAE" w:rsidRDefault="002B4C11" w:rsidP="00F90EAE">
      <w:pPr>
        <w:jc w:val="both"/>
        <w:rPr>
          <w:color w:val="000000" w:themeColor="text1"/>
          <w:sz w:val="16"/>
          <w:szCs w:val="16"/>
        </w:rPr>
      </w:pPr>
      <w:r w:rsidRPr="00F90EAE">
        <w:rPr>
          <w:color w:val="000000" w:themeColor="text1"/>
          <w:sz w:val="16"/>
          <w:szCs w:val="16"/>
        </w:rPr>
        <w:t>И САМОХОДНЫХ УСТАНОВОК ГВАРДИИ ИНЖЕНЕР-МАЙОР подпись (ШАМИН)</w:t>
      </w:r>
    </w:p>
    <w:p w14:paraId="35C67541" w14:textId="77777777" w:rsidR="002B4C11" w:rsidRPr="00F90EAE" w:rsidRDefault="002B4C11" w:rsidP="00F90EAE">
      <w:pPr>
        <w:jc w:val="both"/>
        <w:rPr>
          <w:color w:val="000000" w:themeColor="text1"/>
          <w:sz w:val="16"/>
          <w:szCs w:val="16"/>
        </w:rPr>
      </w:pPr>
      <w:r w:rsidRPr="00F90EAE">
        <w:rPr>
          <w:color w:val="000000" w:themeColor="text1"/>
          <w:sz w:val="16"/>
          <w:szCs w:val="16"/>
        </w:rPr>
        <w:t>СТАРШИЙ ПОМ. НАЧ. ОТДЕЛА ИСПЫТАНИЙ ТАНКОВ И САМОХОДНЫХ УСТАНОВОК</w:t>
      </w:r>
    </w:p>
    <w:p w14:paraId="198D0799" w14:textId="77777777" w:rsidR="002B4C11" w:rsidRPr="00F90EAE" w:rsidRDefault="002B4C11" w:rsidP="00F90EAE">
      <w:pPr>
        <w:jc w:val="both"/>
        <w:rPr>
          <w:color w:val="000000" w:themeColor="text1"/>
          <w:sz w:val="16"/>
          <w:szCs w:val="16"/>
        </w:rPr>
      </w:pPr>
      <w:r w:rsidRPr="00F90EAE">
        <w:rPr>
          <w:color w:val="000000" w:themeColor="text1"/>
          <w:sz w:val="16"/>
          <w:szCs w:val="16"/>
        </w:rPr>
        <w:t>ИНЖЕНЕР-КАПИТАН подпись (КОНДРАШЕВ)</w:t>
      </w:r>
    </w:p>
    <w:p w14:paraId="526928E9" w14:textId="77777777" w:rsidR="002B4C11" w:rsidRPr="00F90EAE" w:rsidRDefault="002B4C11" w:rsidP="00F90EAE">
      <w:pPr>
        <w:jc w:val="both"/>
        <w:rPr>
          <w:color w:val="000000" w:themeColor="text1"/>
          <w:sz w:val="16"/>
          <w:szCs w:val="16"/>
        </w:rPr>
      </w:pPr>
      <w:r w:rsidRPr="00F90EAE">
        <w:rPr>
          <w:color w:val="000000" w:themeColor="text1"/>
          <w:sz w:val="16"/>
          <w:szCs w:val="16"/>
        </w:rPr>
        <w:t>№ 69</w:t>
      </w:r>
    </w:p>
    <w:p w14:paraId="2753528E" w14:textId="77777777" w:rsidR="002B4C11" w:rsidRPr="00F90EAE" w:rsidRDefault="002B4C11" w:rsidP="00F90EAE">
      <w:pPr>
        <w:jc w:val="both"/>
        <w:rPr>
          <w:color w:val="000000" w:themeColor="text1"/>
          <w:sz w:val="16"/>
          <w:szCs w:val="16"/>
        </w:rPr>
      </w:pPr>
      <w:r w:rsidRPr="00F90EAE">
        <w:rPr>
          <w:color w:val="000000" w:themeColor="text1"/>
          <w:sz w:val="16"/>
          <w:szCs w:val="16"/>
        </w:rPr>
        <w:t>Отп. в 3-х экз.</w:t>
      </w:r>
    </w:p>
    <w:p w14:paraId="4292D83E" w14:textId="77777777" w:rsidR="002B4C11" w:rsidRPr="00F90EAE" w:rsidRDefault="002B4C11" w:rsidP="00F90EAE">
      <w:pPr>
        <w:jc w:val="both"/>
        <w:rPr>
          <w:color w:val="000000" w:themeColor="text1"/>
          <w:sz w:val="16"/>
          <w:szCs w:val="16"/>
        </w:rPr>
      </w:pPr>
      <w:r w:rsidRPr="00F90EAE">
        <w:rPr>
          <w:color w:val="000000" w:themeColor="text1"/>
          <w:sz w:val="16"/>
          <w:szCs w:val="16"/>
        </w:rPr>
        <w:t>Экз. № 1 – Нач. ГБТУ КА</w:t>
      </w:r>
    </w:p>
    <w:p w14:paraId="167EA761" w14:textId="77777777" w:rsidR="002B4C11" w:rsidRPr="00F90EAE" w:rsidRDefault="002B4C11" w:rsidP="00F90EAE">
      <w:pPr>
        <w:jc w:val="both"/>
        <w:rPr>
          <w:color w:val="000000" w:themeColor="text1"/>
          <w:sz w:val="16"/>
          <w:szCs w:val="16"/>
        </w:rPr>
      </w:pPr>
      <w:r w:rsidRPr="00F90EAE">
        <w:rPr>
          <w:color w:val="000000" w:themeColor="text1"/>
          <w:sz w:val="16"/>
          <w:szCs w:val="16"/>
        </w:rPr>
        <w:t>Экз. № 2 – НКТП</w:t>
      </w:r>
    </w:p>
    <w:p w14:paraId="13E7FA73" w14:textId="77777777" w:rsidR="002B4C11" w:rsidRPr="00F90EAE" w:rsidRDefault="002B4C11" w:rsidP="00F90EAE">
      <w:pPr>
        <w:jc w:val="both"/>
        <w:rPr>
          <w:color w:val="000000" w:themeColor="text1"/>
          <w:sz w:val="16"/>
          <w:szCs w:val="16"/>
        </w:rPr>
      </w:pPr>
      <w:r w:rsidRPr="00F90EAE">
        <w:rPr>
          <w:color w:val="000000" w:themeColor="text1"/>
          <w:sz w:val="16"/>
          <w:szCs w:val="16"/>
        </w:rPr>
        <w:t>Экз. № 3 – НИБТП</w:t>
      </w:r>
    </w:p>
    <w:p w14:paraId="457FC8D2" w14:textId="77777777" w:rsidR="002B4C11" w:rsidRPr="00F90EAE" w:rsidRDefault="002B4C11" w:rsidP="00F90EAE">
      <w:pPr>
        <w:jc w:val="both"/>
        <w:rPr>
          <w:color w:val="000000" w:themeColor="text1"/>
          <w:sz w:val="16"/>
          <w:szCs w:val="16"/>
        </w:rPr>
      </w:pPr>
      <w:r w:rsidRPr="00F90EAE">
        <w:rPr>
          <w:color w:val="000000" w:themeColor="text1"/>
          <w:sz w:val="16"/>
          <w:szCs w:val="16"/>
        </w:rPr>
        <w:t>16.1.45 АО.ШТ.</w:t>
      </w:r>
    </w:p>
    <w:p w14:paraId="5247FF39" w14:textId="77777777" w:rsidR="002B4C11" w:rsidRPr="00F90EAE" w:rsidRDefault="002B4C11" w:rsidP="00F90EAE">
      <w:pPr>
        <w:jc w:val="both"/>
        <w:rPr>
          <w:color w:val="000000" w:themeColor="text1"/>
          <w:sz w:val="16"/>
          <w:szCs w:val="16"/>
        </w:rPr>
      </w:pPr>
      <w:r w:rsidRPr="00F90EAE">
        <w:rPr>
          <w:color w:val="000000" w:themeColor="text1"/>
          <w:sz w:val="16"/>
          <w:szCs w:val="16"/>
        </w:rPr>
        <w:t>ОЦЕНКА КАЧЕСТВА ИЗГОТОВЛЕНИЯ ТАНКОВ Т-34-85 и САМОХОДНЫХ УСТАНОВОК СУ-85 и СУ-100.</w:t>
      </w:r>
    </w:p>
    <w:p w14:paraId="2F170CDE" w14:textId="77777777" w:rsidR="002B4C11" w:rsidRPr="00F90EAE" w:rsidRDefault="002B4C11" w:rsidP="00F90EAE">
      <w:pPr>
        <w:jc w:val="both"/>
        <w:rPr>
          <w:color w:val="000000" w:themeColor="text1"/>
          <w:sz w:val="16"/>
          <w:szCs w:val="16"/>
        </w:rPr>
      </w:pPr>
      <w:r w:rsidRPr="00F90EAE">
        <w:rPr>
          <w:color w:val="000000" w:themeColor="text1"/>
          <w:sz w:val="16"/>
          <w:szCs w:val="16"/>
        </w:rPr>
        <w:t>ТАНКИ Т-34-85 ЗАВОДА № 183.</w:t>
      </w:r>
    </w:p>
    <w:p w14:paraId="22556E5A"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Заводом предъявлено для гарантийных испытаний в 1944 году 13 танков, из которых выдержали гарантийные испытания 8 танков, что составляет 61,5%. Не выдержали испытания 5 танков по следующим причинам.</w:t>
      </w:r>
    </w:p>
    <w:p w14:paraId="42773408" w14:textId="77777777" w:rsidR="002B4C11" w:rsidRPr="00F90EAE" w:rsidRDefault="002B4C11" w:rsidP="00F90EAE">
      <w:pPr>
        <w:jc w:val="both"/>
        <w:rPr>
          <w:color w:val="000000" w:themeColor="text1"/>
          <w:sz w:val="16"/>
          <w:szCs w:val="16"/>
        </w:rPr>
      </w:pPr>
      <w:r w:rsidRPr="00F90EAE">
        <w:rPr>
          <w:color w:val="000000" w:themeColor="text1"/>
          <w:sz w:val="16"/>
          <w:szCs w:val="16"/>
        </w:rPr>
        <w:t>Из 5 танков 4 танка не выдержали гарантийных испытаний по двигателям и один танк по коробке перемены передач.</w:t>
      </w:r>
    </w:p>
    <w:p w14:paraId="7213FFBA" w14:textId="77777777" w:rsidR="002B4C11" w:rsidRPr="00F90EAE" w:rsidRDefault="002B4C11" w:rsidP="00F90EAE">
      <w:pPr>
        <w:jc w:val="both"/>
        <w:rPr>
          <w:color w:val="000000" w:themeColor="text1"/>
          <w:sz w:val="16"/>
          <w:szCs w:val="16"/>
        </w:rPr>
      </w:pPr>
      <w:r w:rsidRPr="00F90EAE">
        <w:rPr>
          <w:color w:val="000000" w:themeColor="text1"/>
          <w:sz w:val="16"/>
          <w:szCs w:val="16"/>
        </w:rPr>
        <w:t>Характерным дефектом двигателя В-2-34 являлась поломка привода водяного насоса (хвостовика нижнего вертикального валика, сухаря и хвостовика валика водяного насоса). Указанный дефект обусловлен конструктивной недоработкой узла привода.</w:t>
      </w:r>
    </w:p>
    <w:p w14:paraId="04468733" w14:textId="77777777" w:rsidR="002B4C11" w:rsidRPr="00F90EAE" w:rsidRDefault="002B4C11" w:rsidP="00F90EAE">
      <w:pPr>
        <w:jc w:val="both"/>
        <w:rPr>
          <w:color w:val="000000" w:themeColor="text1"/>
          <w:sz w:val="16"/>
          <w:szCs w:val="16"/>
        </w:rPr>
      </w:pPr>
      <w:r w:rsidRPr="00F90EAE">
        <w:rPr>
          <w:color w:val="000000" w:themeColor="text1"/>
          <w:sz w:val="16"/>
          <w:szCs w:val="16"/>
        </w:rPr>
        <w:t>Поломка зубьев конической пары шестерен произошла в основном вследствие неправильной сборки коробки перемены передач. Был обнаружен большой зазор в конической паре, доходящий до 3 мм.</w:t>
      </w:r>
    </w:p>
    <w:p w14:paraId="20BD5020" w14:textId="77777777" w:rsidR="002B4C11" w:rsidRPr="00F90EAE" w:rsidRDefault="002B4C11" w:rsidP="00F90EAE">
      <w:pPr>
        <w:jc w:val="both"/>
        <w:rPr>
          <w:color w:val="000000" w:themeColor="text1"/>
          <w:sz w:val="16"/>
          <w:szCs w:val="16"/>
        </w:rPr>
      </w:pPr>
      <w:r w:rsidRPr="00F90EAE">
        <w:rPr>
          <w:color w:val="000000" w:themeColor="text1"/>
          <w:sz w:val="16"/>
          <w:szCs w:val="16"/>
        </w:rPr>
        <w:t>Для сравнения надежности работы танков ниже приводятся диаграммы пройденного километража танками завода 183 до поломок деталей основных агрегатов за 1943 и 1944 год.</w:t>
      </w:r>
    </w:p>
    <w:p w14:paraId="19B78FA1"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1. Диаграмма пройденного километража танками завода 183 до поломок деталей основных агрегатов за 1943 г.</w:t>
      </w:r>
    </w:p>
    <w:p w14:paraId="320DC937"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2. Диаграмма пройденного километража танками завода 183 до поломок деталей основных агрегатов за 1944 г.</w:t>
      </w:r>
    </w:p>
    <w:p w14:paraId="55ECFF86" w14:textId="77777777" w:rsidR="002B4C11" w:rsidRPr="00F90EAE" w:rsidRDefault="002B4C11" w:rsidP="00F90EAE">
      <w:pPr>
        <w:jc w:val="both"/>
        <w:rPr>
          <w:color w:val="000000" w:themeColor="text1"/>
          <w:sz w:val="16"/>
          <w:szCs w:val="16"/>
        </w:rPr>
      </w:pPr>
      <w:r w:rsidRPr="00F90EAE">
        <w:rPr>
          <w:color w:val="000000" w:themeColor="text1"/>
          <w:sz w:val="16"/>
          <w:szCs w:val="16"/>
        </w:rPr>
        <w:t>Наибольшее количество поломок деталей основных агрегатов имели танки выпуска февраль – август 1943 года. Во второй половине 1943 года и в 1944 году большинство танков завода 183 выдерживали испытания на гарантийный километраж, что свидетельствует о значительном повышении качества изготовления деталей и сборки танков в целом заводом № 183.</w:t>
      </w:r>
    </w:p>
    <w:p w14:paraId="00138888" w14:textId="77777777" w:rsidR="002B4C11" w:rsidRPr="00F90EAE" w:rsidRDefault="002B4C11" w:rsidP="00F90EAE">
      <w:pPr>
        <w:jc w:val="both"/>
        <w:rPr>
          <w:color w:val="000000" w:themeColor="text1"/>
          <w:sz w:val="16"/>
          <w:szCs w:val="16"/>
        </w:rPr>
      </w:pPr>
      <w:r w:rsidRPr="00F90EAE">
        <w:rPr>
          <w:color w:val="000000" w:themeColor="text1"/>
          <w:sz w:val="16"/>
          <w:szCs w:val="16"/>
        </w:rPr>
        <w:t>НАДЕЖНОСТЬ РАБОТЫ АГРЕГАТОВ ТАНКА.</w:t>
      </w:r>
    </w:p>
    <w:p w14:paraId="08697C83" w14:textId="77777777" w:rsidR="002B4C11" w:rsidRPr="00F90EAE" w:rsidRDefault="002B4C11" w:rsidP="00F90EAE">
      <w:pPr>
        <w:jc w:val="both"/>
        <w:rPr>
          <w:color w:val="000000" w:themeColor="text1"/>
          <w:sz w:val="16"/>
          <w:szCs w:val="16"/>
        </w:rPr>
      </w:pPr>
      <w:r w:rsidRPr="00F90EAE">
        <w:rPr>
          <w:color w:val="000000" w:themeColor="text1"/>
          <w:sz w:val="16"/>
          <w:szCs w:val="16"/>
        </w:rPr>
        <w:t>За период гарантийных испытаний 13 танков завода 183 в 1944 г. обнаружены следующие дефекты агрегатов. Ниже приводится сводная таблица поломок и неисправностей по агрегатам, обнаруженных во время гарантийных испытаний танков в 1944 году.</w:t>
      </w:r>
    </w:p>
    <w:p w14:paraId="51DA5C6C" w14:textId="77777777" w:rsidR="002B4C11" w:rsidRPr="00F90EAE" w:rsidRDefault="002B4C11" w:rsidP="00F90EAE">
      <w:pPr>
        <w:jc w:val="both"/>
        <w:rPr>
          <w:color w:val="000000" w:themeColor="text1"/>
          <w:sz w:val="16"/>
          <w:szCs w:val="16"/>
        </w:rPr>
      </w:pPr>
      <w:r w:rsidRPr="00F90EAE">
        <w:rPr>
          <w:color w:val="000000" w:themeColor="text1"/>
          <w:sz w:val="16"/>
          <w:szCs w:val="16"/>
        </w:rPr>
        <w:t>Наибольшее количество поломок и неисправностей имеют двигатель, трансмиссия и ходовая часть.</w:t>
      </w:r>
    </w:p>
    <w:p w14:paraId="41187086" w14:textId="77777777" w:rsidR="002B4C11" w:rsidRPr="00F90EAE" w:rsidRDefault="002B4C11" w:rsidP="00F90EAE">
      <w:pPr>
        <w:jc w:val="both"/>
        <w:rPr>
          <w:color w:val="000000" w:themeColor="text1"/>
          <w:sz w:val="16"/>
          <w:szCs w:val="16"/>
        </w:rPr>
      </w:pPr>
      <w:r w:rsidRPr="00F90EAE">
        <w:rPr>
          <w:color w:val="000000" w:themeColor="text1"/>
          <w:sz w:val="16"/>
          <w:szCs w:val="16"/>
        </w:rPr>
        <w:lastRenderedPageBreak/>
        <w:t>Кроме указанных выше поломок деталей двигателя (деталей привода водяного насоса) обнаруживалась течь масла через неплотности в соединениях коммуникаций системы смазки двигателя.</w:t>
      </w:r>
    </w:p>
    <w:p w14:paraId="61A18B69" w14:textId="77777777" w:rsidR="002B4C11" w:rsidRPr="00F90EAE" w:rsidRDefault="002B4C11" w:rsidP="00F90EAE">
      <w:pPr>
        <w:jc w:val="both"/>
        <w:rPr>
          <w:color w:val="000000" w:themeColor="text1"/>
          <w:sz w:val="16"/>
          <w:szCs w:val="16"/>
        </w:rPr>
      </w:pPr>
      <w:r w:rsidRPr="00F90EAE">
        <w:rPr>
          <w:color w:val="000000" w:themeColor="text1"/>
          <w:sz w:val="16"/>
          <w:szCs w:val="16"/>
        </w:rPr>
        <w:t>Неисправности в трансмиссии сводились в основном к появлениям течи смазки через сальники ведущих валиков бортовых передач, из под поводковых коробок коробки перемены передач и в разъеме картеров бортовых передач.</w:t>
      </w:r>
    </w:p>
    <w:p w14:paraId="0D6E26F8" w14:textId="77777777" w:rsidR="002B4C11" w:rsidRPr="00F90EAE" w:rsidRDefault="002B4C11" w:rsidP="00F90EAE">
      <w:pPr>
        <w:jc w:val="both"/>
        <w:rPr>
          <w:color w:val="000000" w:themeColor="text1"/>
          <w:sz w:val="16"/>
          <w:szCs w:val="16"/>
        </w:rPr>
      </w:pPr>
      <w:r w:rsidRPr="00F90EAE">
        <w:rPr>
          <w:color w:val="000000" w:themeColor="text1"/>
          <w:sz w:val="16"/>
          <w:szCs w:val="16"/>
        </w:rPr>
        <w:t>Поломки и неисправности ходовой части в основном относятся к ведущим колесам. По мере износа шарниров гусениц увеличивается шаг зацепления, в связи с чем нарушается правильная работа ведущих колес. Происходит срез шплинтов гаек осей роликов, произвольное отвертывание гаек и поломка осей роликов.</w:t>
      </w:r>
    </w:p>
    <w:p w14:paraId="55D9BA2E" w14:textId="77777777" w:rsidR="002B4C11" w:rsidRPr="00F90EAE" w:rsidRDefault="002B4C11" w:rsidP="00F90EAE">
      <w:pPr>
        <w:jc w:val="both"/>
        <w:rPr>
          <w:color w:val="000000" w:themeColor="text1"/>
          <w:sz w:val="16"/>
          <w:szCs w:val="16"/>
        </w:rPr>
      </w:pPr>
      <w:r w:rsidRPr="00F90EAE">
        <w:rPr>
          <w:color w:val="000000" w:themeColor="text1"/>
          <w:sz w:val="16"/>
          <w:szCs w:val="16"/>
        </w:rPr>
        <w:t>Характер дефектов и их количество приведены в таблице.</w:t>
      </w:r>
    </w:p>
    <w:p w14:paraId="1CC8587F" w14:textId="77777777" w:rsidR="002B4C11" w:rsidRPr="00F90EAE" w:rsidRDefault="002B4C11" w:rsidP="00F90EAE">
      <w:pPr>
        <w:jc w:val="both"/>
        <w:rPr>
          <w:color w:val="000000" w:themeColor="text1"/>
          <w:sz w:val="16"/>
          <w:szCs w:val="16"/>
        </w:rPr>
      </w:pPr>
      <w:r w:rsidRPr="00F90EAE">
        <w:rPr>
          <w:color w:val="000000" w:themeColor="text1"/>
          <w:sz w:val="16"/>
          <w:szCs w:val="16"/>
        </w:rPr>
        <w:t>ТАНКИ ЗАВОДА № 112.</w:t>
      </w:r>
    </w:p>
    <w:p w14:paraId="4CF7B52F"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Заводом было предъявлено в 1944 г. на гарантийные испытания 8 танков, из которых выдержали испытания 3 танка, что составляет 37,4%. Не выдержали гарантийных испытаний 5 танков по следующим причинам.</w:t>
      </w:r>
    </w:p>
    <w:p w14:paraId="55EEBCFD" w14:textId="77777777" w:rsidR="002B4C11" w:rsidRPr="00F90EAE" w:rsidRDefault="002B4C11" w:rsidP="00F90EAE">
      <w:pPr>
        <w:jc w:val="both"/>
        <w:rPr>
          <w:color w:val="000000" w:themeColor="text1"/>
          <w:sz w:val="16"/>
          <w:szCs w:val="16"/>
        </w:rPr>
      </w:pPr>
      <w:r w:rsidRPr="00F90EAE">
        <w:rPr>
          <w:color w:val="000000" w:themeColor="text1"/>
          <w:sz w:val="16"/>
          <w:szCs w:val="16"/>
        </w:rPr>
        <w:t>Из вышеприведенной таблицы видно, что из 5 танков 4 танка не выдержали испытаний по двигателю и один танк из-за поломки 2-х пружин подвесок. Слабым узлом двигателя является привод водяного насоса. Поломка деталей привода водяного насоса (сухаря муфты, хвостовика валика насоса, нижнего вертикального валика) обусловлено конструктивным недостатком данного узла. Поломка 2-х пружин подвески произошла вследствие наличия трещин в материале пружин.</w:t>
      </w:r>
    </w:p>
    <w:p w14:paraId="42D52BD9" w14:textId="77777777" w:rsidR="002B4C11" w:rsidRPr="00F90EAE" w:rsidRDefault="002B4C11" w:rsidP="00F90EAE">
      <w:pPr>
        <w:jc w:val="both"/>
        <w:rPr>
          <w:color w:val="000000" w:themeColor="text1"/>
          <w:sz w:val="16"/>
          <w:szCs w:val="16"/>
        </w:rPr>
      </w:pPr>
      <w:r w:rsidRPr="00F90EAE">
        <w:rPr>
          <w:color w:val="000000" w:themeColor="text1"/>
          <w:sz w:val="16"/>
          <w:szCs w:val="16"/>
        </w:rPr>
        <w:t>Для сравнения надежности работы агрегатов ниже приводятся диаграммы километража пробега танков завода № 112 до поломки агрегатов и деталей за 1943 и 1944 г.</w:t>
      </w:r>
    </w:p>
    <w:p w14:paraId="06FFF9EE"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3. Диаграмма пройденного километража танками до поломки агрегатов и деталей при гарантийных испытаниях в 1943 г.</w:t>
      </w:r>
    </w:p>
    <w:p w14:paraId="2523C7A0"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4. Диаграмма пройденного километража танками до поломки агрегатов и деталей при гарантийных испытаниях в 1944 г.</w:t>
      </w:r>
    </w:p>
    <w:p w14:paraId="68AE0663" w14:textId="77777777" w:rsidR="002B4C11" w:rsidRPr="00F90EAE" w:rsidRDefault="002B4C11" w:rsidP="00F90EAE">
      <w:pPr>
        <w:jc w:val="both"/>
        <w:rPr>
          <w:color w:val="000000" w:themeColor="text1"/>
          <w:sz w:val="16"/>
          <w:szCs w:val="16"/>
        </w:rPr>
      </w:pPr>
      <w:r w:rsidRPr="00F90EAE">
        <w:rPr>
          <w:color w:val="000000" w:themeColor="text1"/>
          <w:sz w:val="16"/>
          <w:szCs w:val="16"/>
        </w:rPr>
        <w:t>В период с февраля по октябрь 1943 г. не выдержало испытаний по вине коробки перемены передач 2 танка. С октября 1943 г. по декабрь 1944 г. поломок коробки перемены передач не происходило, что свидетельствует о повышении качества изготовления шестерен и сборки коробок перемены передач. Характерным дефектом за 1944 г. является поломка привода водяного насоса двигателя.</w:t>
      </w:r>
    </w:p>
    <w:p w14:paraId="7737E5D1" w14:textId="77777777" w:rsidR="002B4C11" w:rsidRPr="00F90EAE" w:rsidRDefault="002B4C11" w:rsidP="00F90EAE">
      <w:pPr>
        <w:jc w:val="both"/>
        <w:rPr>
          <w:color w:val="000000" w:themeColor="text1"/>
          <w:sz w:val="16"/>
          <w:szCs w:val="16"/>
        </w:rPr>
      </w:pPr>
      <w:r w:rsidRPr="00F90EAE">
        <w:rPr>
          <w:color w:val="000000" w:themeColor="text1"/>
          <w:sz w:val="16"/>
          <w:szCs w:val="16"/>
        </w:rPr>
        <w:t>НАДЕЖНОСТЬ РАБОТЫ АГРЕГАТОВ ТАНКА.</w:t>
      </w:r>
    </w:p>
    <w:p w14:paraId="36788BAC" w14:textId="77777777" w:rsidR="002B4C11" w:rsidRPr="00F90EAE" w:rsidRDefault="002B4C11" w:rsidP="00F90EAE">
      <w:pPr>
        <w:jc w:val="both"/>
        <w:rPr>
          <w:color w:val="000000" w:themeColor="text1"/>
          <w:sz w:val="16"/>
          <w:szCs w:val="16"/>
        </w:rPr>
      </w:pPr>
      <w:r w:rsidRPr="00F90EAE">
        <w:rPr>
          <w:color w:val="000000" w:themeColor="text1"/>
          <w:sz w:val="16"/>
          <w:szCs w:val="16"/>
        </w:rPr>
        <w:t>При испытаниях танков завода № 112 в 1944 г. выявлено следующее количество дефектов по основным агрегатам танка.</w:t>
      </w:r>
    </w:p>
    <w:p w14:paraId="49930BFE" w14:textId="77777777" w:rsidR="002B4C11" w:rsidRPr="00F90EAE" w:rsidRDefault="002B4C11" w:rsidP="00F90EAE">
      <w:pPr>
        <w:jc w:val="both"/>
        <w:rPr>
          <w:color w:val="000000" w:themeColor="text1"/>
          <w:sz w:val="16"/>
          <w:szCs w:val="16"/>
        </w:rPr>
      </w:pPr>
      <w:r w:rsidRPr="00F90EAE">
        <w:rPr>
          <w:color w:val="000000" w:themeColor="text1"/>
          <w:sz w:val="16"/>
          <w:szCs w:val="16"/>
        </w:rPr>
        <w:t>Количество и характер дефектов по агрегатам танков завода № 112.</w:t>
      </w:r>
    </w:p>
    <w:p w14:paraId="293FE631" w14:textId="77777777" w:rsidR="002B4C11" w:rsidRPr="00F90EAE" w:rsidRDefault="002B4C11" w:rsidP="00F90EAE">
      <w:pPr>
        <w:jc w:val="both"/>
        <w:rPr>
          <w:color w:val="000000" w:themeColor="text1"/>
          <w:sz w:val="16"/>
          <w:szCs w:val="16"/>
        </w:rPr>
      </w:pPr>
      <w:r w:rsidRPr="00F90EAE">
        <w:rPr>
          <w:color w:val="000000" w:themeColor="text1"/>
          <w:sz w:val="16"/>
          <w:szCs w:val="16"/>
        </w:rPr>
        <w:t>Суммарное количество поломок и неисправностей по агрегатам помещено в приводимой ниже таблице.</w:t>
      </w:r>
    </w:p>
    <w:p w14:paraId="136EB441" w14:textId="77777777" w:rsidR="002B4C11" w:rsidRPr="00F90EAE" w:rsidRDefault="002B4C11" w:rsidP="00F90EAE">
      <w:pPr>
        <w:jc w:val="both"/>
        <w:rPr>
          <w:color w:val="000000" w:themeColor="text1"/>
          <w:sz w:val="16"/>
          <w:szCs w:val="16"/>
        </w:rPr>
      </w:pPr>
      <w:r w:rsidRPr="00F90EAE">
        <w:rPr>
          <w:color w:val="000000" w:themeColor="text1"/>
          <w:sz w:val="16"/>
          <w:szCs w:val="16"/>
        </w:rPr>
        <w:t>Из таблицы видно, что наибольшее количество поломок и неисправностей имели ходовая часть и трансмиссия. Большое количество неисправностей ходовой части (33,9%) обусловлено в основном ненадежной работой ведущих колес (срез шплинтов, коронок гаек, ослабление затяжки болтов крепления колес, гаек осей роликов, разрушение осей роликов), вызванной конструктивным недостатком данного узла. Имело место 3 случая разрушения пружин подвесок вследствие наличия трещин в материале пружин.</w:t>
      </w:r>
    </w:p>
    <w:p w14:paraId="1905DBE9" w14:textId="77777777" w:rsidR="002B4C11" w:rsidRPr="00F90EAE" w:rsidRDefault="002B4C11" w:rsidP="00F90EAE">
      <w:pPr>
        <w:jc w:val="both"/>
        <w:rPr>
          <w:color w:val="000000" w:themeColor="text1"/>
          <w:sz w:val="16"/>
          <w:szCs w:val="16"/>
        </w:rPr>
      </w:pPr>
      <w:r w:rsidRPr="00F90EAE">
        <w:rPr>
          <w:color w:val="000000" w:themeColor="text1"/>
          <w:sz w:val="16"/>
          <w:szCs w:val="16"/>
        </w:rPr>
        <w:t>Из агрегатов трансмиссии ненадежно работали бортовые передачи (течи смазки через сальники валов бортовых передач, ослабление затяжки болтов крепления крышек бортовых передач).</w:t>
      </w:r>
    </w:p>
    <w:p w14:paraId="10D23943" w14:textId="77777777" w:rsidR="002B4C11" w:rsidRPr="00F90EAE" w:rsidRDefault="002B4C11" w:rsidP="00F90EAE">
      <w:pPr>
        <w:jc w:val="both"/>
        <w:rPr>
          <w:color w:val="000000" w:themeColor="text1"/>
          <w:sz w:val="16"/>
          <w:szCs w:val="16"/>
        </w:rPr>
      </w:pPr>
      <w:r w:rsidRPr="00F90EAE">
        <w:rPr>
          <w:color w:val="000000" w:themeColor="text1"/>
          <w:sz w:val="16"/>
          <w:szCs w:val="16"/>
        </w:rPr>
        <w:t>Остальные конструктивности вызваны плохим качеством монтажных работ. Дефекты двигателя сводились в основном к поломке привода водяного насоса и к течи топлива и масла из систем двигателя.</w:t>
      </w:r>
    </w:p>
    <w:p w14:paraId="6BEB7AFB" w14:textId="77777777" w:rsidR="002B4C11" w:rsidRPr="00F90EAE" w:rsidRDefault="002B4C11" w:rsidP="00F90EAE">
      <w:pPr>
        <w:jc w:val="both"/>
        <w:rPr>
          <w:color w:val="000000" w:themeColor="text1"/>
          <w:sz w:val="16"/>
          <w:szCs w:val="16"/>
        </w:rPr>
      </w:pPr>
      <w:r w:rsidRPr="00F90EAE">
        <w:rPr>
          <w:color w:val="000000" w:themeColor="text1"/>
          <w:sz w:val="16"/>
          <w:szCs w:val="16"/>
        </w:rPr>
        <w:t>ТАНКИ Т-34-85 ЗАВОДА № 174.</w:t>
      </w:r>
    </w:p>
    <w:p w14:paraId="43D9DF80"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Заводом предъявлено для гарантийных испытаний в 1944 году 7 танков, из которых выдержали гарантийные испытания 2 танка, что составляет 28,6 процента. Не выдержали испытания 5 танков по следующим причинам:</w:t>
      </w:r>
    </w:p>
    <w:p w14:paraId="18601622" w14:textId="77777777" w:rsidR="002B4C11" w:rsidRPr="00F90EAE" w:rsidRDefault="002B4C11" w:rsidP="00F90EAE">
      <w:pPr>
        <w:jc w:val="both"/>
        <w:rPr>
          <w:color w:val="000000" w:themeColor="text1"/>
          <w:sz w:val="16"/>
          <w:szCs w:val="16"/>
        </w:rPr>
      </w:pPr>
      <w:r w:rsidRPr="00F90EAE">
        <w:rPr>
          <w:color w:val="000000" w:themeColor="text1"/>
          <w:sz w:val="16"/>
          <w:szCs w:val="16"/>
        </w:rPr>
        <w:t>Из 5 танков 3 танка не выдержали гарантийных испытаний по двигателям. Большинство поломок деталей двигателя не связаны с конструктивным дефектом узлов, а обусловлены низким качеством изготовления деталей и дефектом материала.</w:t>
      </w:r>
    </w:p>
    <w:p w14:paraId="393DC7A8" w14:textId="77777777" w:rsidR="002B4C11" w:rsidRPr="00F90EAE" w:rsidRDefault="002B4C11" w:rsidP="00F90EAE">
      <w:pPr>
        <w:jc w:val="both"/>
        <w:rPr>
          <w:color w:val="000000" w:themeColor="text1"/>
          <w:sz w:val="16"/>
          <w:szCs w:val="16"/>
        </w:rPr>
      </w:pPr>
      <w:r w:rsidRPr="00F90EAE">
        <w:rPr>
          <w:color w:val="000000" w:themeColor="text1"/>
          <w:sz w:val="16"/>
          <w:szCs w:val="16"/>
        </w:rPr>
        <w:t>Разрушение шарикоподшипника ГПЗ-226 главного фрикциона произошло вследствие попадания грязи в подшипник. При движении танка по грязным проселочным дорогам, особенно в период распутицы, через открытый люк водителя попадает большое количество воды и грязи. Грязь скапливается на днище танка и вентилятором разбрызгивается в трансмиссионном отделении. Вследствие плохого уплотнения вода и грязь легко попадает к подшипнику.</w:t>
      </w:r>
    </w:p>
    <w:p w14:paraId="12213F71" w14:textId="77777777" w:rsidR="002B4C11" w:rsidRPr="00F90EAE" w:rsidRDefault="002B4C11" w:rsidP="00F90EAE">
      <w:pPr>
        <w:jc w:val="both"/>
        <w:rPr>
          <w:color w:val="000000" w:themeColor="text1"/>
          <w:sz w:val="16"/>
          <w:szCs w:val="16"/>
        </w:rPr>
      </w:pPr>
      <w:r w:rsidRPr="00F90EAE">
        <w:rPr>
          <w:color w:val="000000" w:themeColor="text1"/>
          <w:sz w:val="16"/>
          <w:szCs w:val="16"/>
        </w:rPr>
        <w:t>Поломка балансира не является характерной и произошла в следствие плохого качества литья. Заводу № 174 неоднократно указывалось в отчетах НИБТ Полигона на необходимость повышения качества литья и повышения контроля за литейным производством.</w:t>
      </w:r>
    </w:p>
    <w:p w14:paraId="208B8980" w14:textId="77777777" w:rsidR="002B4C11" w:rsidRPr="00F90EAE" w:rsidRDefault="002B4C11" w:rsidP="00F90EAE">
      <w:pPr>
        <w:jc w:val="both"/>
        <w:rPr>
          <w:color w:val="000000" w:themeColor="text1"/>
          <w:sz w:val="16"/>
          <w:szCs w:val="16"/>
        </w:rPr>
      </w:pPr>
      <w:r w:rsidRPr="00F90EAE">
        <w:rPr>
          <w:color w:val="000000" w:themeColor="text1"/>
          <w:sz w:val="16"/>
          <w:szCs w:val="16"/>
        </w:rPr>
        <w:t xml:space="preserve">Для сравнения надежности работы танков ниже приводятся диаграммы пройденного километража танками завода № 174 до поломок деталей основных агрегатов за 1943 и 1944 год. </w:t>
      </w:r>
    </w:p>
    <w:p w14:paraId="2426B6DD"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5. Диаграмма пройденного километража танками завода № 174 до поломок деталей основных агрегатов за 1943 г.</w:t>
      </w:r>
    </w:p>
    <w:p w14:paraId="7C41FB12"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6. Диаграмма пройденного километража танками завода № 174 до поломок деталей основных агрегатов за 1944 г.</w:t>
      </w:r>
    </w:p>
    <w:p w14:paraId="0A49E9FD" w14:textId="77777777" w:rsidR="002B4C11" w:rsidRPr="00F90EAE" w:rsidRDefault="002B4C11" w:rsidP="00F90EAE">
      <w:pPr>
        <w:jc w:val="both"/>
        <w:rPr>
          <w:color w:val="000000" w:themeColor="text1"/>
          <w:sz w:val="16"/>
          <w:szCs w:val="16"/>
        </w:rPr>
      </w:pPr>
      <w:r w:rsidRPr="00F90EAE">
        <w:rPr>
          <w:color w:val="000000" w:themeColor="text1"/>
          <w:sz w:val="16"/>
          <w:szCs w:val="16"/>
        </w:rPr>
        <w:t>Наибольшее количество танков, не выдержавших гарантийные испытания имеет завод № 174, который находится на последнем месте относительно других танкостроительных заводов, изготавливающих танки Т34-85. Повышение качества изготовления танков заводом № 174 имело место только в конце 1944 года. Заводу № 174 необходимо повысить контроль за изготовлением деталей и сборкой танков.</w:t>
      </w:r>
    </w:p>
    <w:p w14:paraId="50A2398B" w14:textId="77777777" w:rsidR="002B4C11" w:rsidRPr="00F90EAE" w:rsidRDefault="002B4C11" w:rsidP="00F90EAE">
      <w:pPr>
        <w:jc w:val="both"/>
        <w:rPr>
          <w:color w:val="000000" w:themeColor="text1"/>
          <w:sz w:val="16"/>
          <w:szCs w:val="16"/>
        </w:rPr>
      </w:pPr>
      <w:r w:rsidRPr="00F90EAE">
        <w:rPr>
          <w:color w:val="000000" w:themeColor="text1"/>
          <w:sz w:val="16"/>
          <w:szCs w:val="16"/>
        </w:rPr>
        <w:t>НАДЕЖНОСТЬ РАБОТЫ АГРЕГАТОВ ТАНКОВ ЗАВОДА № 174.</w:t>
      </w:r>
    </w:p>
    <w:p w14:paraId="7A8670E5" w14:textId="77777777" w:rsidR="002B4C11" w:rsidRPr="00F90EAE" w:rsidRDefault="002B4C11" w:rsidP="00F90EAE">
      <w:pPr>
        <w:jc w:val="both"/>
        <w:rPr>
          <w:color w:val="000000" w:themeColor="text1"/>
          <w:sz w:val="16"/>
          <w:szCs w:val="16"/>
        </w:rPr>
      </w:pPr>
      <w:r w:rsidRPr="00F90EAE">
        <w:rPr>
          <w:color w:val="000000" w:themeColor="text1"/>
          <w:sz w:val="16"/>
          <w:szCs w:val="16"/>
        </w:rPr>
        <w:t>При гарантийных испытаниях танков завода № 174 в 1944 г. выявлено следующее количество дефектов по основным агрегатам танков.</w:t>
      </w:r>
    </w:p>
    <w:p w14:paraId="12A5F482" w14:textId="77777777" w:rsidR="002B4C11" w:rsidRPr="00F90EAE" w:rsidRDefault="002B4C11" w:rsidP="00F90EAE">
      <w:pPr>
        <w:jc w:val="both"/>
        <w:rPr>
          <w:color w:val="000000" w:themeColor="text1"/>
          <w:sz w:val="16"/>
          <w:szCs w:val="16"/>
        </w:rPr>
      </w:pPr>
      <w:r w:rsidRPr="00F90EAE">
        <w:rPr>
          <w:color w:val="000000" w:themeColor="text1"/>
          <w:sz w:val="16"/>
          <w:szCs w:val="16"/>
        </w:rPr>
        <w:t>Из таблицы следует, что наибольшее количество поломок и неисправностей имели двигатель, трансмиссия и ходовая часть. Характер дефектов агрегатов танков и их количество приведено в таблице.</w:t>
      </w:r>
    </w:p>
    <w:p w14:paraId="03A1E7B0" w14:textId="77777777" w:rsidR="002B4C11" w:rsidRPr="00F90EAE" w:rsidRDefault="002B4C11" w:rsidP="00F90EAE">
      <w:pPr>
        <w:jc w:val="both"/>
        <w:rPr>
          <w:color w:val="000000" w:themeColor="text1"/>
          <w:sz w:val="16"/>
          <w:szCs w:val="16"/>
        </w:rPr>
      </w:pPr>
      <w:r w:rsidRPr="00F90EAE">
        <w:rPr>
          <w:color w:val="000000" w:themeColor="text1"/>
          <w:sz w:val="16"/>
          <w:szCs w:val="16"/>
        </w:rPr>
        <w:t>КОЛИЧЕСТВО И ХАРАКТЕР ДЕФЕКТОВ ПО АГРЕГАТАМ ТАНКОВ ЗАВОДА № 174.</w:t>
      </w:r>
    </w:p>
    <w:p w14:paraId="7541F0D9" w14:textId="77777777" w:rsidR="002B4C11" w:rsidRPr="00F90EAE" w:rsidRDefault="002B4C11" w:rsidP="00F90EAE">
      <w:pPr>
        <w:jc w:val="both"/>
        <w:rPr>
          <w:color w:val="000000" w:themeColor="text1"/>
          <w:sz w:val="16"/>
          <w:szCs w:val="16"/>
        </w:rPr>
      </w:pPr>
      <w:r w:rsidRPr="00F90EAE">
        <w:rPr>
          <w:color w:val="000000" w:themeColor="text1"/>
          <w:sz w:val="16"/>
          <w:szCs w:val="16"/>
        </w:rPr>
        <w:t>' САМОХОДНЫЕ УСТАНОВКИ УРАЛМАШЗАВОДА.</w:t>
      </w:r>
    </w:p>
    <w:p w14:paraId="7DC1B196" w14:textId="77777777" w:rsidR="002B4C11" w:rsidRPr="00F90EAE" w:rsidRDefault="002B4C11" w:rsidP="00F90EAE">
      <w:pPr>
        <w:jc w:val="both"/>
        <w:rPr>
          <w:color w:val="000000" w:themeColor="text1"/>
          <w:sz w:val="16"/>
          <w:szCs w:val="16"/>
        </w:rPr>
      </w:pPr>
      <w:r w:rsidRPr="00F90EAE">
        <w:rPr>
          <w:color w:val="000000" w:themeColor="text1"/>
          <w:sz w:val="16"/>
          <w:szCs w:val="16"/>
        </w:rPr>
        <w:t>Заводом УМЗ было предъявлено на гарантийные испытания 6 самоходных установок (четыре СУ-85 и две СУ-100), из которых выдержали испытания 2 самоходные установки. Не выдержали гарантийных испытаний 4 самоходных установки по следующим причинам.</w:t>
      </w:r>
    </w:p>
    <w:p w14:paraId="0AC6B1F8" w14:textId="77777777" w:rsidR="002B4C11" w:rsidRPr="00F90EAE" w:rsidRDefault="002B4C11" w:rsidP="00F90EAE">
      <w:pPr>
        <w:jc w:val="both"/>
        <w:rPr>
          <w:color w:val="000000" w:themeColor="text1"/>
          <w:sz w:val="16"/>
          <w:szCs w:val="16"/>
        </w:rPr>
      </w:pPr>
      <w:r w:rsidRPr="00F90EAE">
        <w:rPr>
          <w:color w:val="000000" w:themeColor="text1"/>
          <w:sz w:val="16"/>
          <w:szCs w:val="16"/>
        </w:rPr>
        <w:t>Из вышеприведенной таблицы видно, что из четырех самоходных установок три установки не выдержали гарантийных испытаний по двигателю и одна самоходная установка по трансмиссии. Наиболее характерным дефектом двигателя является ненадежная работа привода водяного насоса, обусловленная конструктивным недостатком данного узла.</w:t>
      </w:r>
    </w:p>
    <w:p w14:paraId="03A62EEB" w14:textId="77777777" w:rsidR="002B4C11" w:rsidRPr="00F90EAE" w:rsidRDefault="002B4C11" w:rsidP="00F90EAE">
      <w:pPr>
        <w:jc w:val="both"/>
        <w:rPr>
          <w:color w:val="000000" w:themeColor="text1"/>
          <w:sz w:val="16"/>
          <w:szCs w:val="16"/>
        </w:rPr>
      </w:pPr>
      <w:r w:rsidRPr="00F90EAE">
        <w:rPr>
          <w:color w:val="000000" w:themeColor="text1"/>
          <w:sz w:val="16"/>
          <w:szCs w:val="16"/>
        </w:rPr>
        <w:t>Для наглядности ниже приводится диаграмма пройденного километража самоходными установками до поломки агрегатов и деталей при гарантийных испытаниях в 1944 году.</w:t>
      </w:r>
    </w:p>
    <w:p w14:paraId="1962AD36"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7. Диаграмма пройденного километража самоходными установками СУ-85 и СУ-100 до поломок агрегатов и деталей.</w:t>
      </w:r>
    </w:p>
    <w:p w14:paraId="799BC129" w14:textId="77777777" w:rsidR="002B4C11" w:rsidRPr="00F90EAE" w:rsidRDefault="002B4C11" w:rsidP="00F90EAE">
      <w:pPr>
        <w:jc w:val="both"/>
        <w:rPr>
          <w:color w:val="000000" w:themeColor="text1"/>
          <w:sz w:val="16"/>
          <w:szCs w:val="16"/>
        </w:rPr>
      </w:pPr>
      <w:r w:rsidRPr="00F90EAE">
        <w:rPr>
          <w:color w:val="000000" w:themeColor="text1"/>
          <w:sz w:val="16"/>
          <w:szCs w:val="16"/>
        </w:rPr>
        <w:t>Уралмашзаводу и особенно заводу № 76, изготавливающему дизели В-2-34, необходимо повысить качество изготовления деталей, сборку двигателей и танков в целом, а также повысить контроль за изготовлением деталей и за сборкой агрегатов.</w:t>
      </w:r>
    </w:p>
    <w:p w14:paraId="674E4C36" w14:textId="77777777" w:rsidR="002B4C11" w:rsidRPr="00F90EAE" w:rsidRDefault="002B4C11" w:rsidP="00F90EAE">
      <w:pPr>
        <w:jc w:val="both"/>
        <w:rPr>
          <w:color w:val="000000" w:themeColor="text1"/>
          <w:sz w:val="16"/>
          <w:szCs w:val="16"/>
        </w:rPr>
      </w:pPr>
      <w:r w:rsidRPr="00F90EAE">
        <w:rPr>
          <w:color w:val="000000" w:themeColor="text1"/>
          <w:sz w:val="16"/>
          <w:szCs w:val="16"/>
        </w:rPr>
        <w:t>Характерно то, что из 6 самоходных установок выдержало испытания только 2, которые испытывались в благоприятных дорожных условиях (в зимних условиях).</w:t>
      </w:r>
    </w:p>
    <w:p w14:paraId="41CE9972" w14:textId="77777777" w:rsidR="002B4C11" w:rsidRPr="00F90EAE" w:rsidRDefault="002B4C11" w:rsidP="00F90EAE">
      <w:pPr>
        <w:jc w:val="both"/>
        <w:rPr>
          <w:color w:val="000000" w:themeColor="text1"/>
          <w:sz w:val="16"/>
          <w:szCs w:val="16"/>
        </w:rPr>
      </w:pPr>
      <w:r w:rsidRPr="00F90EAE">
        <w:rPr>
          <w:color w:val="000000" w:themeColor="text1"/>
          <w:sz w:val="16"/>
          <w:szCs w:val="16"/>
        </w:rPr>
        <w:t>НАДЕЖНОСТЬ РАБОТЫ АГРЕГАТОВ САМОХОДНЫХ УСТАНОВОК СУ-85 и СУ-100.</w:t>
      </w:r>
    </w:p>
    <w:p w14:paraId="2DE17E7C" w14:textId="77777777" w:rsidR="002B4C11" w:rsidRPr="00F90EAE" w:rsidRDefault="002B4C11" w:rsidP="00F90EAE">
      <w:pPr>
        <w:jc w:val="both"/>
        <w:rPr>
          <w:color w:val="000000" w:themeColor="text1"/>
          <w:sz w:val="16"/>
          <w:szCs w:val="16"/>
        </w:rPr>
      </w:pPr>
      <w:r w:rsidRPr="00F90EAE">
        <w:rPr>
          <w:color w:val="000000" w:themeColor="text1"/>
          <w:sz w:val="16"/>
          <w:szCs w:val="16"/>
        </w:rPr>
        <w:t>На гарантийных испытаниях шести самоходных установок Уралмашзавода в 1944 году выявлено следующее количество дефектов.</w:t>
      </w:r>
    </w:p>
    <w:p w14:paraId="3EBE2D3E" w14:textId="77777777" w:rsidR="002B4C11" w:rsidRPr="00F90EAE" w:rsidRDefault="002B4C11" w:rsidP="00F90EAE">
      <w:pPr>
        <w:jc w:val="both"/>
        <w:rPr>
          <w:color w:val="000000" w:themeColor="text1"/>
          <w:sz w:val="16"/>
          <w:szCs w:val="16"/>
        </w:rPr>
      </w:pPr>
      <w:r w:rsidRPr="00F90EAE">
        <w:rPr>
          <w:color w:val="000000" w:themeColor="text1"/>
          <w:sz w:val="16"/>
          <w:szCs w:val="16"/>
        </w:rPr>
        <w:t>Наибольшее количество дефектов имеют двигатель и ходовая часть. Ниже приводится таблица характера и количества дефектов, выявленных при гарантийных испытаниях по агрегатам.</w:t>
      </w:r>
    </w:p>
    <w:p w14:paraId="20DA8755" w14:textId="77777777" w:rsidR="002B4C11" w:rsidRPr="00F90EAE" w:rsidRDefault="002B4C11" w:rsidP="00F90EAE">
      <w:pPr>
        <w:jc w:val="both"/>
        <w:rPr>
          <w:color w:val="000000" w:themeColor="text1"/>
          <w:sz w:val="16"/>
          <w:szCs w:val="16"/>
        </w:rPr>
      </w:pPr>
      <w:r w:rsidRPr="00F90EAE">
        <w:rPr>
          <w:color w:val="000000" w:themeColor="text1"/>
          <w:sz w:val="16"/>
          <w:szCs w:val="16"/>
        </w:rPr>
        <w:t>КОЛИЧЕСТВО И ХАРАКТЕР ДЕФЕКТОВ ПО АГРЕГАТАМ</w:t>
      </w:r>
    </w:p>
    <w:p w14:paraId="7A867941" w14:textId="77777777" w:rsidR="002B4C11" w:rsidRPr="00F90EAE" w:rsidRDefault="002B4C11" w:rsidP="00F90EAE">
      <w:pPr>
        <w:jc w:val="both"/>
        <w:rPr>
          <w:color w:val="000000" w:themeColor="text1"/>
          <w:sz w:val="16"/>
          <w:szCs w:val="16"/>
        </w:rPr>
      </w:pPr>
      <w:r w:rsidRPr="00F90EAE">
        <w:rPr>
          <w:color w:val="000000" w:themeColor="text1"/>
          <w:sz w:val="16"/>
          <w:szCs w:val="16"/>
        </w:rPr>
        <w:t>ОЦЕНКА НАДЕЖНОСТИ И КАЧЕСТВА ИЗГОТОВЛЕНИЯ ТАНКОВ ИС</w:t>
      </w:r>
    </w:p>
    <w:p w14:paraId="13E6A75B" w14:textId="77777777" w:rsidR="002B4C11" w:rsidRPr="00F90EAE" w:rsidRDefault="002B4C11" w:rsidP="00F90EAE">
      <w:pPr>
        <w:jc w:val="both"/>
        <w:rPr>
          <w:color w:val="000000" w:themeColor="text1"/>
          <w:sz w:val="16"/>
          <w:szCs w:val="16"/>
        </w:rPr>
      </w:pPr>
      <w:r w:rsidRPr="00F90EAE">
        <w:rPr>
          <w:color w:val="000000" w:themeColor="text1"/>
          <w:sz w:val="16"/>
          <w:szCs w:val="16"/>
        </w:rPr>
        <w:t>И САМОХОДНЫХ УСТАНОВОК ИСУ</w:t>
      </w:r>
    </w:p>
    <w:p w14:paraId="12AF018A" w14:textId="77777777" w:rsidR="002B4C11" w:rsidRPr="00F90EAE" w:rsidRDefault="002B4C11" w:rsidP="00F90EAE">
      <w:pPr>
        <w:jc w:val="both"/>
        <w:rPr>
          <w:color w:val="000000" w:themeColor="text1"/>
          <w:sz w:val="16"/>
          <w:szCs w:val="16"/>
        </w:rPr>
      </w:pPr>
      <w:r w:rsidRPr="00F90EAE">
        <w:rPr>
          <w:color w:val="000000" w:themeColor="text1"/>
          <w:sz w:val="16"/>
          <w:szCs w:val="16"/>
        </w:rPr>
        <w:t>1. Из десяти танков ИС, представленных на полигон, все машины гарантийных испытаний на 1000 км не выдержали. Основные причины, по которым машины не выдержали гарантийных испытаний и километраж пробега, на котором вышли из строя основные агрегаты, приведены в таблице № 1 и на фото № 8.</w:t>
      </w:r>
    </w:p>
    <w:p w14:paraId="5EDAB671"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1.</w:t>
      </w:r>
    </w:p>
    <w:p w14:paraId="0795E672" w14:textId="77777777" w:rsidR="002B4C11" w:rsidRPr="00F90EAE" w:rsidRDefault="002B4C11" w:rsidP="00F90EAE">
      <w:pPr>
        <w:jc w:val="both"/>
        <w:rPr>
          <w:color w:val="000000" w:themeColor="text1"/>
          <w:sz w:val="16"/>
          <w:szCs w:val="16"/>
        </w:rPr>
      </w:pPr>
      <w:r w:rsidRPr="00F90EAE">
        <w:rPr>
          <w:color w:val="000000" w:themeColor="text1"/>
          <w:sz w:val="16"/>
          <w:szCs w:val="16"/>
        </w:rPr>
        <w:t>2. Из девяти самоходных установок ИСУ представленных на полигон выдержали гарантийные испытания на 1000 км машины ноябрьского и декабрьского выпусков. Основные причины, по которым самоходные установки не выдержали гарантийных испытаний, и километраж пробега, на котором вышли из строя основные агрегаты приведены в таблице № 2 и на фото № 9.</w:t>
      </w:r>
    </w:p>
    <w:p w14:paraId="1CB64B47"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2.</w:t>
      </w:r>
    </w:p>
    <w:p w14:paraId="1872AE8C"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8. Километраж пробега танков ИС во время гарантийных испытаний до выхода из строя основных агрегатов.</w:t>
      </w:r>
    </w:p>
    <w:p w14:paraId="029EFCD7" w14:textId="77777777" w:rsidR="002B4C11" w:rsidRPr="00F90EAE" w:rsidRDefault="002B4C11" w:rsidP="00F90EAE">
      <w:pPr>
        <w:jc w:val="both"/>
        <w:rPr>
          <w:color w:val="000000" w:themeColor="text1"/>
          <w:sz w:val="16"/>
          <w:szCs w:val="16"/>
        </w:rPr>
      </w:pPr>
      <w:r w:rsidRPr="00F90EAE">
        <w:rPr>
          <w:color w:val="000000" w:themeColor="text1"/>
          <w:sz w:val="16"/>
          <w:szCs w:val="16"/>
        </w:rPr>
        <w:t>Фото № 9. Километраж пробега самоходных установок ИСУ во время гарантийных испытаний до выхода из строя основных агрегатов.</w:t>
      </w:r>
    </w:p>
    <w:p w14:paraId="28567EA0" w14:textId="77777777" w:rsidR="002B4C11" w:rsidRPr="00F90EAE" w:rsidRDefault="002B4C11" w:rsidP="00F90EAE">
      <w:pPr>
        <w:jc w:val="both"/>
        <w:rPr>
          <w:color w:val="000000" w:themeColor="text1"/>
          <w:sz w:val="16"/>
          <w:szCs w:val="16"/>
        </w:rPr>
      </w:pPr>
      <w:r w:rsidRPr="00F90EAE">
        <w:rPr>
          <w:color w:val="000000" w:themeColor="text1"/>
          <w:sz w:val="16"/>
          <w:szCs w:val="16"/>
        </w:rPr>
        <w:t>3. Танки и самоходные установки, не выдержавшие гарантийных испытаний, по основным агрегатам и узлам, вышедшим из строя во время пробегов, распределяются в следующем порядке: (Таблица № 3)</w:t>
      </w:r>
    </w:p>
    <w:p w14:paraId="194494A6"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3.</w:t>
      </w:r>
    </w:p>
    <w:p w14:paraId="77076A96" w14:textId="77777777" w:rsidR="002B4C11" w:rsidRPr="00F90EAE" w:rsidRDefault="002B4C11" w:rsidP="00F90EAE">
      <w:pPr>
        <w:jc w:val="both"/>
        <w:rPr>
          <w:color w:val="000000" w:themeColor="text1"/>
          <w:sz w:val="16"/>
          <w:szCs w:val="16"/>
        </w:rPr>
      </w:pPr>
      <w:r w:rsidRPr="00F90EAE">
        <w:rPr>
          <w:color w:val="000000" w:themeColor="text1"/>
          <w:sz w:val="16"/>
          <w:szCs w:val="16"/>
        </w:rPr>
        <w:lastRenderedPageBreak/>
        <w:t>4. Распределение поломок и неисправностей по агрегатам, имевших место при гарантийных испытаниях танков и самоходных установок, приведено в таблицах № 4 и № 5. Из таблиц видно, что наибольшее количество поломок и неисправностей приходится на ходовую часть, коробку перемены передач и двигатель.</w:t>
      </w:r>
    </w:p>
    <w:p w14:paraId="7290E4DD" w14:textId="77777777" w:rsidR="002B4C11" w:rsidRPr="00F90EAE" w:rsidRDefault="002B4C11" w:rsidP="00F90EAE">
      <w:pPr>
        <w:jc w:val="both"/>
        <w:rPr>
          <w:color w:val="000000" w:themeColor="text1"/>
          <w:sz w:val="16"/>
          <w:szCs w:val="16"/>
        </w:rPr>
      </w:pPr>
      <w:r w:rsidRPr="00F90EAE">
        <w:rPr>
          <w:color w:val="000000" w:themeColor="text1"/>
          <w:sz w:val="16"/>
          <w:szCs w:val="16"/>
        </w:rPr>
        <w:t>В течение годового выпуска танков ИС и самоходных установок ИСУ заметно повысилась надежность работы планетарного механизма поворота, электроинерционного стартера и бортовых передач. Надежность работы силовой установки, коробки перемены передач и ходовой части (особенно опорных катков) не улучшилась, несмотря на то, что НИБТ полигон неоднократно указывал в своих отчетах о конструктивной недоработке в упомянутых агрегатах.</w:t>
      </w:r>
    </w:p>
    <w:p w14:paraId="3BA8F389"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4.</w:t>
      </w:r>
    </w:p>
    <w:p w14:paraId="5B93B558" w14:textId="77777777" w:rsidR="002B4C11" w:rsidRPr="00F90EAE" w:rsidRDefault="002B4C11" w:rsidP="00F90EAE">
      <w:pPr>
        <w:jc w:val="both"/>
        <w:rPr>
          <w:color w:val="000000" w:themeColor="text1"/>
          <w:sz w:val="16"/>
          <w:szCs w:val="16"/>
        </w:rPr>
      </w:pPr>
      <w:r w:rsidRPr="00F90EAE">
        <w:rPr>
          <w:color w:val="000000" w:themeColor="text1"/>
          <w:sz w:val="16"/>
          <w:szCs w:val="16"/>
        </w:rPr>
        <w:t>ПРИМЕЧАНИЕ: В феврале месяце было представлено на испытание два танка ИС.</w:t>
      </w:r>
    </w:p>
    <w:p w14:paraId="4CA0E45C"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5.</w:t>
      </w:r>
    </w:p>
    <w:p w14:paraId="53656CC5" w14:textId="77777777" w:rsidR="002B4C11" w:rsidRPr="00F90EAE" w:rsidRDefault="002B4C11" w:rsidP="00F90EAE">
      <w:pPr>
        <w:jc w:val="both"/>
        <w:rPr>
          <w:color w:val="000000" w:themeColor="text1"/>
          <w:sz w:val="16"/>
          <w:szCs w:val="16"/>
        </w:rPr>
      </w:pPr>
      <w:r w:rsidRPr="00F90EAE">
        <w:rPr>
          <w:color w:val="000000" w:themeColor="text1"/>
          <w:sz w:val="16"/>
          <w:szCs w:val="16"/>
        </w:rPr>
        <w:t>ПРИМЕЧАНИЕ: В феврале месяце было представлено на испытание две самоходные установки ИСУ.</w:t>
      </w:r>
    </w:p>
    <w:p w14:paraId="750AA91D" w14:textId="77777777" w:rsidR="002B4C11" w:rsidRPr="00F90EAE" w:rsidRDefault="002B4C11" w:rsidP="00F90EAE">
      <w:pPr>
        <w:jc w:val="both"/>
        <w:rPr>
          <w:color w:val="000000" w:themeColor="text1"/>
          <w:sz w:val="16"/>
          <w:szCs w:val="16"/>
        </w:rPr>
      </w:pPr>
      <w:r w:rsidRPr="00F90EAE">
        <w:rPr>
          <w:color w:val="000000" w:themeColor="text1"/>
          <w:sz w:val="16"/>
          <w:szCs w:val="16"/>
        </w:rPr>
        <w:t>Недостаточная надежность танков ИС и самоходных установок ИСУ является следствием низкого качества изготовления и наряду с этим конструктивного несовершенства отдельных узлов и агрегатов.</w:t>
      </w:r>
    </w:p>
    <w:p w14:paraId="3506BECA" w14:textId="77777777" w:rsidR="002B4C11" w:rsidRPr="00F90EAE" w:rsidRDefault="002B4C11" w:rsidP="00F90EAE">
      <w:pPr>
        <w:jc w:val="both"/>
        <w:rPr>
          <w:color w:val="000000" w:themeColor="text1"/>
          <w:sz w:val="16"/>
          <w:szCs w:val="16"/>
        </w:rPr>
      </w:pPr>
      <w:r w:rsidRPr="00F90EAE">
        <w:rPr>
          <w:color w:val="000000" w:themeColor="text1"/>
          <w:sz w:val="16"/>
          <w:szCs w:val="16"/>
        </w:rPr>
        <w:t>ОЦЕНКА НАДЕЖНОСТИ АГРЕГАТОВ И УЗЛОВ ТАНКОВ ИС и САМОХОДНЫХ АРТИЛЛЕРИЙСКИХ УСТАНОВОК ИСУ.</w:t>
      </w:r>
    </w:p>
    <w:p w14:paraId="5ED20B98" w14:textId="77777777" w:rsidR="002B4C11" w:rsidRPr="00F90EAE" w:rsidRDefault="002B4C11" w:rsidP="00F90EAE">
      <w:pPr>
        <w:jc w:val="both"/>
        <w:rPr>
          <w:color w:val="000000" w:themeColor="text1"/>
          <w:sz w:val="16"/>
          <w:szCs w:val="16"/>
        </w:rPr>
      </w:pPr>
      <w:r w:rsidRPr="00F90EAE">
        <w:rPr>
          <w:color w:val="000000" w:themeColor="text1"/>
          <w:sz w:val="16"/>
          <w:szCs w:val="16"/>
        </w:rPr>
        <w:t>I. ДВИГАТЕЛЬ.</w:t>
      </w:r>
    </w:p>
    <w:p w14:paraId="3B13B99C" w14:textId="77777777" w:rsidR="002B4C11" w:rsidRPr="00F90EAE" w:rsidRDefault="002B4C11" w:rsidP="00F90EAE">
      <w:pPr>
        <w:jc w:val="both"/>
        <w:rPr>
          <w:color w:val="000000" w:themeColor="text1"/>
          <w:sz w:val="16"/>
          <w:szCs w:val="16"/>
        </w:rPr>
      </w:pPr>
      <w:r w:rsidRPr="00F90EAE">
        <w:rPr>
          <w:color w:val="000000" w:themeColor="text1"/>
          <w:sz w:val="16"/>
          <w:szCs w:val="16"/>
        </w:rPr>
        <w:t>Во время гарантийных испытаний, вследствие ненадежной работы двигателя и вентилятора системы охлаждения, вышли из строя четыре танка ИС (40%) и две самоходные установки (22%). При продолжении испытаний танков и самоходных установок, не выдержавших гарантийный километраж, двигатели имели еще целый ряд поломок и неисправностей. Поломки и неисправности, происшедшие на двигателях при испытании танков и самоходных установок, приведены в таблицах № 6 и № 7.</w:t>
      </w:r>
    </w:p>
    <w:p w14:paraId="7EC46504" w14:textId="77777777" w:rsidR="002B4C11" w:rsidRPr="00F90EAE" w:rsidRDefault="002B4C11" w:rsidP="00F90EAE">
      <w:pPr>
        <w:jc w:val="both"/>
        <w:rPr>
          <w:color w:val="000000" w:themeColor="text1"/>
          <w:sz w:val="16"/>
          <w:szCs w:val="16"/>
        </w:rPr>
      </w:pPr>
      <w:r w:rsidRPr="00F90EAE">
        <w:rPr>
          <w:color w:val="000000" w:themeColor="text1"/>
          <w:sz w:val="16"/>
          <w:szCs w:val="16"/>
        </w:rPr>
        <w:t>Причинами низкой надежности работы двигателя являются:</w:t>
      </w:r>
    </w:p>
    <w:p w14:paraId="4F64585E" w14:textId="77777777" w:rsidR="002B4C11" w:rsidRPr="00F90EAE" w:rsidRDefault="002B4C11" w:rsidP="00F90EAE">
      <w:pPr>
        <w:jc w:val="both"/>
        <w:rPr>
          <w:color w:val="000000" w:themeColor="text1"/>
          <w:sz w:val="16"/>
          <w:szCs w:val="16"/>
        </w:rPr>
      </w:pPr>
      <w:r w:rsidRPr="00F90EAE">
        <w:rPr>
          <w:color w:val="000000" w:themeColor="text1"/>
          <w:sz w:val="16"/>
          <w:szCs w:val="16"/>
        </w:rPr>
        <w:t>1. Слабый контроль при изготовлении и сборке резьбовых соединений, что вызывает большое количество течей топлива и масла.</w:t>
      </w:r>
    </w:p>
    <w:p w14:paraId="579EE92F" w14:textId="77777777" w:rsidR="002B4C11" w:rsidRPr="00F90EAE" w:rsidRDefault="002B4C11" w:rsidP="00F90EAE">
      <w:pPr>
        <w:jc w:val="both"/>
        <w:rPr>
          <w:color w:val="000000" w:themeColor="text1"/>
          <w:sz w:val="16"/>
          <w:szCs w:val="16"/>
        </w:rPr>
      </w:pPr>
      <w:r w:rsidRPr="00F90EAE">
        <w:rPr>
          <w:color w:val="000000" w:themeColor="text1"/>
          <w:sz w:val="16"/>
          <w:szCs w:val="16"/>
        </w:rPr>
        <w:t>2. Недостаточный контроль за термической обработкой и сборкой деталей групп – распределения, топливного насоса, приводов к генератору и топливному насосу.</w:t>
      </w:r>
    </w:p>
    <w:p w14:paraId="0664A484" w14:textId="77777777" w:rsidR="002B4C11" w:rsidRPr="00F90EAE" w:rsidRDefault="002B4C11" w:rsidP="00F90EAE">
      <w:pPr>
        <w:jc w:val="both"/>
        <w:rPr>
          <w:color w:val="000000" w:themeColor="text1"/>
          <w:sz w:val="16"/>
          <w:szCs w:val="16"/>
        </w:rPr>
      </w:pPr>
      <w:r w:rsidRPr="00F90EAE">
        <w:rPr>
          <w:color w:val="000000" w:themeColor="text1"/>
          <w:sz w:val="16"/>
          <w:szCs w:val="16"/>
        </w:rPr>
        <w:t>3. Несовершенная конструкция крепления несущего диска главного фрикциона, вызывающая смятие шлицов носка коленчатого вала. Дефект типичен для двигателей январско-февральского выпусков, в дальнейшем был устранен, затем имел место на двигателе ноябрьского выпуска.</w:t>
      </w:r>
    </w:p>
    <w:p w14:paraId="5E0819C4" w14:textId="77777777" w:rsidR="002B4C11" w:rsidRPr="00F90EAE" w:rsidRDefault="002B4C11" w:rsidP="00F90EAE">
      <w:pPr>
        <w:jc w:val="both"/>
        <w:rPr>
          <w:color w:val="000000" w:themeColor="text1"/>
          <w:sz w:val="16"/>
          <w:szCs w:val="16"/>
        </w:rPr>
      </w:pPr>
      <w:r w:rsidRPr="00F90EAE">
        <w:rPr>
          <w:color w:val="000000" w:themeColor="text1"/>
          <w:sz w:val="16"/>
          <w:szCs w:val="16"/>
        </w:rPr>
        <w:t>4. Низкая надежность работы привода водяного насоса, вследствие несовершенства его конструкции.</w:t>
      </w:r>
    </w:p>
    <w:p w14:paraId="77D16EC8" w14:textId="77777777" w:rsidR="002B4C11" w:rsidRPr="00F90EAE" w:rsidRDefault="002B4C11" w:rsidP="00F90EAE">
      <w:pPr>
        <w:jc w:val="both"/>
        <w:rPr>
          <w:color w:val="000000" w:themeColor="text1"/>
          <w:sz w:val="16"/>
          <w:szCs w:val="16"/>
        </w:rPr>
      </w:pPr>
      <w:r w:rsidRPr="00F90EAE">
        <w:rPr>
          <w:color w:val="000000" w:themeColor="text1"/>
          <w:sz w:val="16"/>
          <w:szCs w:val="16"/>
        </w:rPr>
        <w:t>5. Низкая надежность работы электроинерционного стартера вследствие его конструктивной недоработки и низкого качества изготовления. Ненадежно работали электроинерционные стартеры на танках и самоходных установках январско-февральских выпусков. Электроинерционные стартеры последующих выпусков значительно надежнее, однако имеют место случаи отпая проводов реле включения храповиков и сгорания обмотки якоря электромоторов.</w:t>
      </w:r>
    </w:p>
    <w:p w14:paraId="3893F527" w14:textId="77777777" w:rsidR="002B4C11" w:rsidRPr="00F90EAE" w:rsidRDefault="002B4C11" w:rsidP="00F90EAE">
      <w:pPr>
        <w:jc w:val="both"/>
        <w:rPr>
          <w:color w:val="000000" w:themeColor="text1"/>
          <w:sz w:val="16"/>
          <w:szCs w:val="16"/>
        </w:rPr>
      </w:pPr>
      <w:r w:rsidRPr="00F90EAE">
        <w:rPr>
          <w:color w:val="000000" w:themeColor="text1"/>
          <w:sz w:val="16"/>
          <w:szCs w:val="16"/>
        </w:rPr>
        <w:t>6. Недостаточный контроль за сборкой двигателя.</w:t>
      </w:r>
    </w:p>
    <w:p w14:paraId="1F30B4CF" w14:textId="77777777" w:rsidR="002B4C11" w:rsidRPr="00F90EAE" w:rsidRDefault="002B4C11" w:rsidP="00F90EAE">
      <w:pPr>
        <w:jc w:val="both"/>
        <w:rPr>
          <w:color w:val="000000" w:themeColor="text1"/>
          <w:sz w:val="16"/>
          <w:szCs w:val="16"/>
        </w:rPr>
      </w:pPr>
      <w:r w:rsidRPr="00F90EAE">
        <w:rPr>
          <w:color w:val="000000" w:themeColor="text1"/>
          <w:sz w:val="16"/>
          <w:szCs w:val="16"/>
        </w:rPr>
        <w:t>а) на двигателе № 41173 (танк ИС-122 № 411210 декабрьского выпуска) в процессе испытаний после 73,02 часа его работы произошло прогорание поршней и разрушение поршневых колец из-за недостаточной затяжки форсунок.</w:t>
      </w:r>
    </w:p>
    <w:p w14:paraId="2A95224C" w14:textId="77777777" w:rsidR="002B4C11" w:rsidRPr="00F90EAE" w:rsidRDefault="002B4C11" w:rsidP="00F90EAE">
      <w:pPr>
        <w:jc w:val="both"/>
        <w:rPr>
          <w:color w:val="000000" w:themeColor="text1"/>
          <w:sz w:val="16"/>
          <w:szCs w:val="16"/>
        </w:rPr>
      </w:pPr>
      <w:r w:rsidRPr="00F90EAE">
        <w:rPr>
          <w:color w:val="000000" w:themeColor="text1"/>
          <w:sz w:val="16"/>
          <w:szCs w:val="16"/>
        </w:rPr>
        <w:t>б) на двигателе № 410326 (танк ИС-122 № 410164 ноябрьского выпуска) в процессе испытаний после 52,46 часа работы разрушилась обечайка и пять лопастей заднего диска вентилятора системы охлаждения и после 62, 49 часа работы двигателя разрушились болты и разгрузочные штифты несущего диска главного фрикциона и переднего диска вентилятора. Обрыв лопастей вентилятора произошел также на двигателе танка ИС-122 № 408102 августовского выпуска. Поломки произошли вследствие плохой затяжки болтов и больших зазоров между разгрузочными штифтами и отверстиями, а также вследствие наличия в материале лопастей внутренних напряжений после штамповки.</w:t>
      </w:r>
    </w:p>
    <w:p w14:paraId="365180D2"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6.</w:t>
      </w:r>
    </w:p>
    <w:p w14:paraId="6FC7CF81"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7.</w:t>
      </w:r>
    </w:p>
    <w:p w14:paraId="5F70722F" w14:textId="77777777" w:rsidR="002B4C11" w:rsidRPr="00F90EAE" w:rsidRDefault="002B4C11" w:rsidP="00F90EAE">
      <w:pPr>
        <w:jc w:val="both"/>
        <w:rPr>
          <w:color w:val="000000" w:themeColor="text1"/>
          <w:sz w:val="16"/>
          <w:szCs w:val="16"/>
        </w:rPr>
      </w:pPr>
      <w:r w:rsidRPr="00F90EAE">
        <w:rPr>
          <w:color w:val="000000" w:themeColor="text1"/>
          <w:sz w:val="16"/>
          <w:szCs w:val="16"/>
        </w:rPr>
        <w:t>II. ТРАНСМИССИЯ.</w:t>
      </w:r>
    </w:p>
    <w:p w14:paraId="77D96BAF" w14:textId="77777777" w:rsidR="002B4C11" w:rsidRPr="00F90EAE" w:rsidRDefault="002B4C11" w:rsidP="00F90EAE">
      <w:pPr>
        <w:jc w:val="both"/>
        <w:rPr>
          <w:color w:val="000000" w:themeColor="text1"/>
          <w:sz w:val="16"/>
          <w:szCs w:val="16"/>
        </w:rPr>
      </w:pPr>
      <w:r w:rsidRPr="00F90EAE">
        <w:rPr>
          <w:color w:val="000000" w:themeColor="text1"/>
          <w:sz w:val="16"/>
          <w:szCs w:val="16"/>
        </w:rPr>
        <w:t>Во время гарантийных испытаний вследствие ненадежной работы агрегатов трансмиссии преждевременно вышли из строя 4 танка ИС (40%) и две самоходных установки ИСУ (22%). При продолжении испытаний танков и самоходных установок, не выдержавших гарантийный километраж, агрегаты трансмиссии имели еще ряд поломок и неисправностей.</w:t>
      </w:r>
    </w:p>
    <w:p w14:paraId="6B050704" w14:textId="77777777" w:rsidR="002B4C11" w:rsidRPr="00F90EAE" w:rsidRDefault="002B4C11" w:rsidP="00F90EAE">
      <w:pPr>
        <w:jc w:val="both"/>
        <w:rPr>
          <w:color w:val="000000" w:themeColor="text1"/>
          <w:sz w:val="16"/>
          <w:szCs w:val="16"/>
        </w:rPr>
      </w:pPr>
      <w:r w:rsidRPr="00F90EAE">
        <w:rPr>
          <w:color w:val="000000" w:themeColor="text1"/>
          <w:sz w:val="16"/>
          <w:szCs w:val="16"/>
        </w:rPr>
        <w:t>Поломки и неисправности агрегатов трансмиссии приведены в таблицах № 8 и № 9. Причинами низкой надежности работы агрегатов трансмиссии являются:</w:t>
      </w:r>
    </w:p>
    <w:p w14:paraId="3AEB1AC4" w14:textId="77777777" w:rsidR="002B4C11" w:rsidRPr="00F90EAE" w:rsidRDefault="002B4C11" w:rsidP="00F90EAE">
      <w:pPr>
        <w:jc w:val="both"/>
        <w:rPr>
          <w:color w:val="000000" w:themeColor="text1"/>
          <w:sz w:val="16"/>
          <w:szCs w:val="16"/>
        </w:rPr>
      </w:pPr>
      <w:r w:rsidRPr="00F90EAE">
        <w:rPr>
          <w:color w:val="000000" w:themeColor="text1"/>
          <w:sz w:val="16"/>
          <w:szCs w:val="16"/>
        </w:rPr>
        <w:t>Главный фрикцион.</w:t>
      </w:r>
    </w:p>
    <w:p w14:paraId="686EA3D9" w14:textId="77777777" w:rsidR="002B4C11" w:rsidRPr="00F90EAE" w:rsidRDefault="002B4C11" w:rsidP="00F90EAE">
      <w:pPr>
        <w:jc w:val="both"/>
        <w:rPr>
          <w:color w:val="000000" w:themeColor="text1"/>
          <w:sz w:val="16"/>
          <w:szCs w:val="16"/>
        </w:rPr>
      </w:pPr>
      <w:r w:rsidRPr="00F90EAE">
        <w:rPr>
          <w:color w:val="000000" w:themeColor="text1"/>
          <w:sz w:val="16"/>
          <w:szCs w:val="16"/>
        </w:rPr>
        <w:t>1. Несовершенная конструкция пылеотражателя. При движении танка по пыльным дорогам большое количество пыли проникает в главный фрикцион и приводит в начале к заеданию дисков трения в зубьях барабана и не выключению фрикциона, а затем к короблению дисков трения.</w:t>
      </w:r>
    </w:p>
    <w:p w14:paraId="7790A315" w14:textId="77777777" w:rsidR="002B4C11" w:rsidRPr="00F90EAE" w:rsidRDefault="002B4C11" w:rsidP="00F90EAE">
      <w:pPr>
        <w:jc w:val="both"/>
        <w:rPr>
          <w:color w:val="000000" w:themeColor="text1"/>
          <w:sz w:val="16"/>
          <w:szCs w:val="16"/>
        </w:rPr>
      </w:pPr>
      <w:r w:rsidRPr="00F90EAE">
        <w:rPr>
          <w:color w:val="000000" w:themeColor="text1"/>
          <w:sz w:val="16"/>
          <w:szCs w:val="16"/>
        </w:rPr>
        <w:t>2. Недостаточный контроль за термической обработкой материала выжимных рычагов, кольца и коробки выключения.</w:t>
      </w:r>
    </w:p>
    <w:p w14:paraId="02CD4203" w14:textId="77777777" w:rsidR="002B4C11" w:rsidRPr="00F90EAE" w:rsidRDefault="002B4C11" w:rsidP="00F90EAE">
      <w:pPr>
        <w:jc w:val="both"/>
        <w:rPr>
          <w:color w:val="000000" w:themeColor="text1"/>
          <w:sz w:val="16"/>
          <w:szCs w:val="16"/>
        </w:rPr>
      </w:pPr>
      <w:r w:rsidRPr="00F90EAE">
        <w:rPr>
          <w:color w:val="000000" w:themeColor="text1"/>
          <w:sz w:val="16"/>
          <w:szCs w:val="16"/>
        </w:rPr>
        <w:t>Коробка перемены передач.</w:t>
      </w:r>
    </w:p>
    <w:p w14:paraId="176A176D" w14:textId="77777777" w:rsidR="002B4C11" w:rsidRPr="00F90EAE" w:rsidRDefault="002B4C11" w:rsidP="00F90EAE">
      <w:pPr>
        <w:jc w:val="both"/>
        <w:rPr>
          <w:color w:val="000000" w:themeColor="text1"/>
          <w:sz w:val="16"/>
          <w:szCs w:val="16"/>
        </w:rPr>
      </w:pPr>
      <w:r w:rsidRPr="00F90EAE">
        <w:rPr>
          <w:color w:val="000000" w:themeColor="text1"/>
          <w:sz w:val="16"/>
          <w:szCs w:val="16"/>
        </w:rPr>
        <w:t>1. Несовершенная конструкция.</w:t>
      </w:r>
    </w:p>
    <w:p w14:paraId="5C117C20" w14:textId="77777777" w:rsidR="002B4C11" w:rsidRPr="00F90EAE" w:rsidRDefault="002B4C11" w:rsidP="00F90EAE">
      <w:pPr>
        <w:jc w:val="both"/>
        <w:rPr>
          <w:color w:val="000000" w:themeColor="text1"/>
          <w:sz w:val="16"/>
          <w:szCs w:val="16"/>
        </w:rPr>
      </w:pPr>
      <w:r w:rsidRPr="00F90EAE">
        <w:rPr>
          <w:color w:val="000000" w:themeColor="text1"/>
          <w:sz w:val="16"/>
          <w:szCs w:val="16"/>
        </w:rPr>
        <w:t>2. Скол цементированного слоя зубьев шестерни демультипликатора, передачи заднего хода и первой, вследствие больших весов шестерен и отсутствия синхронизаторов.</w:t>
      </w:r>
    </w:p>
    <w:p w14:paraId="25D3CC11" w14:textId="77777777" w:rsidR="002B4C11" w:rsidRPr="00F90EAE" w:rsidRDefault="002B4C11" w:rsidP="00F90EAE">
      <w:pPr>
        <w:jc w:val="both"/>
        <w:rPr>
          <w:color w:val="000000" w:themeColor="text1"/>
          <w:sz w:val="16"/>
          <w:szCs w:val="16"/>
        </w:rPr>
      </w:pPr>
      <w:r w:rsidRPr="00F90EAE">
        <w:rPr>
          <w:color w:val="000000" w:themeColor="text1"/>
          <w:sz w:val="16"/>
          <w:szCs w:val="16"/>
        </w:rPr>
        <w:t>3. Заедание муфт включения шестерен на валах, вследствие попадания частиц цементированного слоя между поверхностями скольжения шлицов.</w:t>
      </w:r>
    </w:p>
    <w:p w14:paraId="494865FE" w14:textId="77777777" w:rsidR="002B4C11" w:rsidRPr="00F90EAE" w:rsidRDefault="002B4C11" w:rsidP="00F90EAE">
      <w:pPr>
        <w:jc w:val="both"/>
        <w:rPr>
          <w:color w:val="000000" w:themeColor="text1"/>
          <w:sz w:val="16"/>
          <w:szCs w:val="16"/>
        </w:rPr>
      </w:pPr>
      <w:r w:rsidRPr="00F90EAE">
        <w:rPr>
          <w:color w:val="000000" w:themeColor="text1"/>
          <w:sz w:val="16"/>
          <w:szCs w:val="16"/>
        </w:rPr>
        <w:t>4. Недостаточный контроль за термической обработкой деталей. На главном валу коробки перемены передач танка ИС № 409229 октябрьского выпуска обнаружены сколы верхнего слоя шлиц. Образование сколов произошло вследствие имевшихся на шлицах трещин, появившихся во время термообработки.</w:t>
      </w:r>
    </w:p>
    <w:p w14:paraId="797D957D" w14:textId="77777777" w:rsidR="002B4C11" w:rsidRPr="00F90EAE" w:rsidRDefault="002B4C11" w:rsidP="00F90EAE">
      <w:pPr>
        <w:jc w:val="both"/>
        <w:rPr>
          <w:color w:val="000000" w:themeColor="text1"/>
          <w:sz w:val="16"/>
          <w:szCs w:val="16"/>
        </w:rPr>
      </w:pPr>
      <w:r w:rsidRPr="00F90EAE">
        <w:rPr>
          <w:color w:val="000000" w:themeColor="text1"/>
          <w:sz w:val="16"/>
          <w:szCs w:val="16"/>
        </w:rPr>
        <w:t>5. Некачественное изготовление подшипников первичного и промежуточного валов.</w:t>
      </w:r>
    </w:p>
    <w:p w14:paraId="61DCE2E8" w14:textId="77777777" w:rsidR="002B4C11" w:rsidRPr="00F90EAE" w:rsidRDefault="002B4C11" w:rsidP="00F90EAE">
      <w:pPr>
        <w:jc w:val="both"/>
        <w:rPr>
          <w:color w:val="000000" w:themeColor="text1"/>
          <w:sz w:val="16"/>
          <w:szCs w:val="16"/>
        </w:rPr>
      </w:pPr>
      <w:r w:rsidRPr="00F90EAE">
        <w:rPr>
          <w:color w:val="000000" w:themeColor="text1"/>
          <w:sz w:val="16"/>
          <w:szCs w:val="16"/>
        </w:rPr>
        <w:t>6. Низкая надежность работы муфты полужесткого соединения коробки перемены передач с главным фрикционом вследствие ослабления затяжки и обрыва болтов. Обрыв болтов крепления муфты полужесткого соединения происходит вследствие ее конструктивного несовершенства. Вследствие малой площади плоскостей соединения (воспринимающих нагрузку) пазов с шипами муфты, происходит сработка этих плоскостей, затем следует ослабление затяжки болтов и в дальнейшем их обрыв. Этот дефект заводом до сего времени не устранен.</w:t>
      </w:r>
    </w:p>
    <w:p w14:paraId="71F9B9EA" w14:textId="77777777" w:rsidR="002B4C11" w:rsidRPr="00F90EAE" w:rsidRDefault="002B4C11" w:rsidP="00F90EAE">
      <w:pPr>
        <w:jc w:val="both"/>
        <w:rPr>
          <w:color w:val="000000" w:themeColor="text1"/>
          <w:sz w:val="16"/>
          <w:szCs w:val="16"/>
        </w:rPr>
      </w:pPr>
      <w:r w:rsidRPr="00F90EAE">
        <w:rPr>
          <w:color w:val="000000" w:themeColor="text1"/>
          <w:sz w:val="16"/>
          <w:szCs w:val="16"/>
        </w:rPr>
        <w:t>Механизм поворота.</w:t>
      </w:r>
    </w:p>
    <w:p w14:paraId="145E4BD5" w14:textId="77777777" w:rsidR="002B4C11" w:rsidRPr="00F90EAE" w:rsidRDefault="002B4C11" w:rsidP="00F90EAE">
      <w:pPr>
        <w:jc w:val="both"/>
        <w:rPr>
          <w:color w:val="000000" w:themeColor="text1"/>
          <w:sz w:val="16"/>
          <w:szCs w:val="16"/>
        </w:rPr>
      </w:pPr>
      <w:r w:rsidRPr="00F90EAE">
        <w:rPr>
          <w:color w:val="000000" w:themeColor="text1"/>
          <w:sz w:val="16"/>
          <w:szCs w:val="16"/>
        </w:rPr>
        <w:t>1. На танках и самоходных установках январского – февральского выпусков планетарный механизм поворота был одним из наименее надежных агрегатов вследствие разрушения шарикоподшипников сателлитов, на машинах последующих выпусков этот дефект устранен введением простановочных колец.</w:t>
      </w:r>
    </w:p>
    <w:p w14:paraId="008FEDBE" w14:textId="77777777" w:rsidR="002B4C11" w:rsidRPr="00F90EAE" w:rsidRDefault="002B4C11" w:rsidP="00F90EAE">
      <w:pPr>
        <w:jc w:val="both"/>
        <w:rPr>
          <w:color w:val="000000" w:themeColor="text1"/>
          <w:sz w:val="16"/>
          <w:szCs w:val="16"/>
        </w:rPr>
      </w:pPr>
      <w:r w:rsidRPr="00F90EAE">
        <w:rPr>
          <w:color w:val="000000" w:themeColor="text1"/>
          <w:sz w:val="16"/>
          <w:szCs w:val="16"/>
        </w:rPr>
        <w:t>2. Износоустойчивость и механическая прочность малых тормозных лент осталась недостаточной.</w:t>
      </w:r>
    </w:p>
    <w:p w14:paraId="2CA050D1" w14:textId="77777777" w:rsidR="002B4C11" w:rsidRPr="00F90EAE" w:rsidRDefault="002B4C11" w:rsidP="00F90EAE">
      <w:pPr>
        <w:jc w:val="both"/>
        <w:rPr>
          <w:color w:val="000000" w:themeColor="text1"/>
          <w:sz w:val="16"/>
          <w:szCs w:val="16"/>
        </w:rPr>
      </w:pPr>
      <w:r w:rsidRPr="00F90EAE">
        <w:rPr>
          <w:color w:val="000000" w:themeColor="text1"/>
          <w:sz w:val="16"/>
          <w:szCs w:val="16"/>
        </w:rPr>
        <w:t>3. Недостаточно надежно работает механизм выключения фрикциона планетарного механизма поворота, часты случаи заклинивания чашки выключения и, как следствие этого, заедание рычагов управления танком.</w:t>
      </w:r>
    </w:p>
    <w:p w14:paraId="1D491DA6" w14:textId="77777777" w:rsidR="002B4C11" w:rsidRPr="00F90EAE" w:rsidRDefault="002B4C11" w:rsidP="00F90EAE">
      <w:pPr>
        <w:jc w:val="both"/>
        <w:rPr>
          <w:color w:val="000000" w:themeColor="text1"/>
          <w:sz w:val="16"/>
          <w:szCs w:val="16"/>
        </w:rPr>
      </w:pPr>
      <w:r w:rsidRPr="00F90EAE">
        <w:rPr>
          <w:color w:val="000000" w:themeColor="text1"/>
          <w:sz w:val="16"/>
          <w:szCs w:val="16"/>
        </w:rPr>
        <w:t>Приводы управления.</w:t>
      </w:r>
    </w:p>
    <w:p w14:paraId="19031F5E" w14:textId="77777777" w:rsidR="002B4C11" w:rsidRPr="00F90EAE" w:rsidRDefault="002B4C11" w:rsidP="00F90EAE">
      <w:pPr>
        <w:jc w:val="both"/>
        <w:rPr>
          <w:color w:val="000000" w:themeColor="text1"/>
          <w:sz w:val="16"/>
          <w:szCs w:val="16"/>
        </w:rPr>
      </w:pPr>
      <w:r w:rsidRPr="00F90EAE">
        <w:rPr>
          <w:color w:val="000000" w:themeColor="text1"/>
          <w:sz w:val="16"/>
          <w:szCs w:val="16"/>
        </w:rPr>
        <w:t>1. Приводы управления главным фрикционом, механизмом поворота и механизм переключения передач танков и самоходных установок работали недостаточно надежно. Ненадежная работа приводов управления главным фрикционом и планетарными механизмами поворота (главным образом удлинение хода и разъединение тяг) обусловлена низким качеством изготовления и монтажа резьбовых соединений.</w:t>
      </w:r>
    </w:p>
    <w:p w14:paraId="27D721DE" w14:textId="77777777" w:rsidR="002B4C11" w:rsidRPr="00F90EAE" w:rsidRDefault="002B4C11" w:rsidP="00F90EAE">
      <w:pPr>
        <w:jc w:val="both"/>
        <w:rPr>
          <w:color w:val="000000" w:themeColor="text1"/>
          <w:sz w:val="16"/>
          <w:szCs w:val="16"/>
        </w:rPr>
      </w:pPr>
      <w:r w:rsidRPr="00F90EAE">
        <w:rPr>
          <w:color w:val="000000" w:themeColor="text1"/>
          <w:sz w:val="16"/>
          <w:szCs w:val="16"/>
        </w:rPr>
        <w:t>2. Ненадежная работа механизма переключения передач (излом стойки кронштейна рычагов переключения передач), сопровождающаяся одновременным включением двух передач была типичной для танков и самоходных установок январско – февральского выпусков. На машинах последующих выпусков указанные дефекты сократились, однако имеет место случай ослабления болтов крепления кронштейна рычагов переключения передач.</w:t>
      </w:r>
    </w:p>
    <w:p w14:paraId="033B1323" w14:textId="77777777" w:rsidR="002B4C11" w:rsidRPr="00F90EAE" w:rsidRDefault="002B4C11" w:rsidP="00F90EAE">
      <w:pPr>
        <w:jc w:val="both"/>
        <w:rPr>
          <w:color w:val="000000" w:themeColor="text1"/>
          <w:sz w:val="16"/>
          <w:szCs w:val="16"/>
        </w:rPr>
      </w:pPr>
      <w:r w:rsidRPr="00F90EAE">
        <w:rPr>
          <w:color w:val="000000" w:themeColor="text1"/>
          <w:sz w:val="16"/>
          <w:szCs w:val="16"/>
        </w:rPr>
        <w:t>Бортовые передачи.</w:t>
      </w:r>
    </w:p>
    <w:p w14:paraId="0C59DA81" w14:textId="77777777" w:rsidR="002B4C11" w:rsidRPr="00F90EAE" w:rsidRDefault="002B4C11" w:rsidP="00F90EAE">
      <w:pPr>
        <w:jc w:val="both"/>
        <w:rPr>
          <w:color w:val="000000" w:themeColor="text1"/>
          <w:sz w:val="16"/>
          <w:szCs w:val="16"/>
        </w:rPr>
      </w:pPr>
      <w:r w:rsidRPr="00F90EAE">
        <w:rPr>
          <w:color w:val="000000" w:themeColor="text1"/>
          <w:sz w:val="16"/>
          <w:szCs w:val="16"/>
        </w:rPr>
        <w:t>1. Бортовые передачи танков и самоходных установок январского выпуска работали недостаточно надежно. Причиной ненадежной работы является разрушение сферических бочкообразных подшипников вследствие их перегрузки.</w:t>
      </w:r>
    </w:p>
    <w:p w14:paraId="6E204C36" w14:textId="77777777" w:rsidR="002B4C11" w:rsidRPr="00F90EAE" w:rsidRDefault="002B4C11" w:rsidP="00F90EAE">
      <w:pPr>
        <w:jc w:val="both"/>
        <w:rPr>
          <w:color w:val="000000" w:themeColor="text1"/>
          <w:sz w:val="16"/>
          <w:szCs w:val="16"/>
        </w:rPr>
      </w:pPr>
      <w:r w:rsidRPr="00F90EAE">
        <w:rPr>
          <w:color w:val="000000" w:themeColor="text1"/>
          <w:sz w:val="16"/>
          <w:szCs w:val="16"/>
        </w:rPr>
        <w:t>2. Повышение надежности работы подшипников на машинах последующих выпусков было достигнуто главным образом увеличением количества смазки в картере бортовой передачи до 7 литров. Однако до сего времени часты случаи подтекания смазки из-под внутренних сальников бортовой передачи и в плоскости разъема картера бортовой передачи с корпусом.</w:t>
      </w:r>
    </w:p>
    <w:p w14:paraId="6818956D"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8.</w:t>
      </w:r>
    </w:p>
    <w:p w14:paraId="1229596E"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9.</w:t>
      </w:r>
    </w:p>
    <w:p w14:paraId="57589AD7" w14:textId="77777777" w:rsidR="002B4C11" w:rsidRPr="00F90EAE" w:rsidRDefault="002B4C11" w:rsidP="00F90EAE">
      <w:pPr>
        <w:jc w:val="both"/>
        <w:rPr>
          <w:color w:val="000000" w:themeColor="text1"/>
          <w:sz w:val="16"/>
          <w:szCs w:val="16"/>
        </w:rPr>
      </w:pPr>
      <w:r w:rsidRPr="00F90EAE">
        <w:rPr>
          <w:color w:val="000000" w:themeColor="text1"/>
          <w:sz w:val="16"/>
          <w:szCs w:val="16"/>
        </w:rPr>
        <w:t>III. ХОДОВАЯ ЧАСТЬ.</w:t>
      </w:r>
    </w:p>
    <w:p w14:paraId="7D3907B0" w14:textId="77777777" w:rsidR="002B4C11" w:rsidRPr="00F90EAE" w:rsidRDefault="002B4C11" w:rsidP="00F90EAE">
      <w:pPr>
        <w:jc w:val="both"/>
        <w:rPr>
          <w:color w:val="000000" w:themeColor="text1"/>
          <w:sz w:val="16"/>
          <w:szCs w:val="16"/>
        </w:rPr>
      </w:pPr>
      <w:r w:rsidRPr="00F90EAE">
        <w:rPr>
          <w:color w:val="000000" w:themeColor="text1"/>
          <w:sz w:val="16"/>
          <w:szCs w:val="16"/>
        </w:rPr>
        <w:t>1. Во время гарантийных испытаний вследствие нанадежной работы ходовой части вышли из строя 2 танка ИС (20%) и три самоходные установки ИСУ (33%). Поломки и неисправности ходовой части танков и самоходных установок приведены в таблицах № 10 и 11.</w:t>
      </w:r>
    </w:p>
    <w:p w14:paraId="0FE8E61F" w14:textId="77777777" w:rsidR="002B4C11" w:rsidRPr="00F90EAE" w:rsidRDefault="002B4C11" w:rsidP="00F90EAE">
      <w:pPr>
        <w:jc w:val="both"/>
        <w:rPr>
          <w:color w:val="000000" w:themeColor="text1"/>
          <w:sz w:val="16"/>
          <w:szCs w:val="16"/>
        </w:rPr>
      </w:pPr>
      <w:r w:rsidRPr="00F90EAE">
        <w:rPr>
          <w:color w:val="000000" w:themeColor="text1"/>
          <w:sz w:val="16"/>
          <w:szCs w:val="16"/>
        </w:rPr>
        <w:t>2. Ведущие колеса танков и самоходных установок всех выпусков работали надежно, исключая излом зубьев (один случай) и срез болтов крепления зубчатого венца (один случай).</w:t>
      </w:r>
    </w:p>
    <w:p w14:paraId="74D0FE69" w14:textId="77777777" w:rsidR="002B4C11" w:rsidRPr="00F90EAE" w:rsidRDefault="002B4C11" w:rsidP="00F90EAE">
      <w:pPr>
        <w:jc w:val="both"/>
        <w:rPr>
          <w:color w:val="000000" w:themeColor="text1"/>
          <w:sz w:val="16"/>
          <w:szCs w:val="16"/>
        </w:rPr>
      </w:pPr>
      <w:r w:rsidRPr="00F90EAE">
        <w:rPr>
          <w:color w:val="000000" w:themeColor="text1"/>
          <w:sz w:val="16"/>
          <w:szCs w:val="16"/>
        </w:rPr>
        <w:t>3. Направляющие колеса и натяжные механизмы являлись одним из наименее надежных узлов танков и самоходных установок, особенно январского – апрельского выпусков. Причинами низкой надежности направляющих колес и натяжных механизмов являлись:</w:t>
      </w:r>
    </w:p>
    <w:p w14:paraId="10BD0978" w14:textId="77777777" w:rsidR="002B4C11" w:rsidRPr="00F90EAE" w:rsidRDefault="002B4C11" w:rsidP="00F90EAE">
      <w:pPr>
        <w:jc w:val="both"/>
        <w:rPr>
          <w:color w:val="000000" w:themeColor="text1"/>
          <w:sz w:val="16"/>
          <w:szCs w:val="16"/>
        </w:rPr>
      </w:pPr>
      <w:r w:rsidRPr="00F90EAE">
        <w:rPr>
          <w:color w:val="000000" w:themeColor="text1"/>
          <w:sz w:val="16"/>
          <w:szCs w:val="16"/>
        </w:rPr>
        <w:lastRenderedPageBreak/>
        <w:t>а) недостаточная механическая прочность щек кривошипов натяжных механизмов.</w:t>
      </w:r>
    </w:p>
    <w:p w14:paraId="3F20F5DE" w14:textId="77777777" w:rsidR="002B4C11" w:rsidRPr="00F90EAE" w:rsidRDefault="002B4C11" w:rsidP="00F90EAE">
      <w:pPr>
        <w:jc w:val="both"/>
        <w:rPr>
          <w:color w:val="000000" w:themeColor="text1"/>
          <w:sz w:val="16"/>
          <w:szCs w:val="16"/>
        </w:rPr>
      </w:pPr>
      <w:r w:rsidRPr="00F90EAE">
        <w:rPr>
          <w:color w:val="000000" w:themeColor="text1"/>
          <w:sz w:val="16"/>
          <w:szCs w:val="16"/>
        </w:rPr>
        <w:t>б) низкое качество сальников подшипников направляющих колес, недостаточно предохраняются подшипники от загрязнения.</w:t>
      </w:r>
    </w:p>
    <w:p w14:paraId="6E85251B" w14:textId="77777777" w:rsidR="002B4C11" w:rsidRPr="00F90EAE" w:rsidRDefault="002B4C11" w:rsidP="00F90EAE">
      <w:pPr>
        <w:jc w:val="both"/>
        <w:rPr>
          <w:color w:val="000000" w:themeColor="text1"/>
          <w:sz w:val="16"/>
          <w:szCs w:val="16"/>
        </w:rPr>
      </w:pPr>
      <w:r w:rsidRPr="00F90EAE">
        <w:rPr>
          <w:color w:val="000000" w:themeColor="text1"/>
          <w:sz w:val="16"/>
          <w:szCs w:val="16"/>
        </w:rPr>
        <w:t>в) низкое качество сварки крепления болтов стопорных планок натяжных механизмов.</w:t>
      </w:r>
    </w:p>
    <w:p w14:paraId="04ED6663" w14:textId="77777777" w:rsidR="002B4C11" w:rsidRPr="00F90EAE" w:rsidRDefault="002B4C11" w:rsidP="00F90EAE">
      <w:pPr>
        <w:jc w:val="both"/>
        <w:rPr>
          <w:color w:val="000000" w:themeColor="text1"/>
          <w:sz w:val="16"/>
          <w:szCs w:val="16"/>
        </w:rPr>
      </w:pPr>
      <w:r w:rsidRPr="00F90EAE">
        <w:rPr>
          <w:color w:val="000000" w:themeColor="text1"/>
          <w:sz w:val="16"/>
          <w:szCs w:val="16"/>
        </w:rPr>
        <w:t>4. Поддерживающие катки являлись одним из наиболее слабых узлов танков и самоходных установок, особенно январского – апрельского выпусков. Причинами низкой надежности поддерживающих катков являлись:</w:t>
      </w:r>
    </w:p>
    <w:p w14:paraId="227D94E5" w14:textId="77777777" w:rsidR="002B4C11" w:rsidRPr="00F90EAE" w:rsidRDefault="002B4C11" w:rsidP="00F90EAE">
      <w:pPr>
        <w:jc w:val="both"/>
        <w:rPr>
          <w:color w:val="000000" w:themeColor="text1"/>
          <w:sz w:val="16"/>
          <w:szCs w:val="16"/>
        </w:rPr>
      </w:pPr>
      <w:r w:rsidRPr="00F90EAE">
        <w:rPr>
          <w:color w:val="000000" w:themeColor="text1"/>
          <w:sz w:val="16"/>
          <w:szCs w:val="16"/>
        </w:rPr>
        <w:t>а) низкое качество материала кронштейнов (пористость, усадочные раковины, неметаллические включения).</w:t>
      </w:r>
    </w:p>
    <w:p w14:paraId="46C5E01F" w14:textId="77777777" w:rsidR="002B4C11" w:rsidRPr="00F90EAE" w:rsidRDefault="002B4C11" w:rsidP="00F90EAE">
      <w:pPr>
        <w:jc w:val="both"/>
        <w:rPr>
          <w:color w:val="000000" w:themeColor="text1"/>
          <w:sz w:val="16"/>
          <w:szCs w:val="16"/>
        </w:rPr>
      </w:pPr>
      <w:r w:rsidRPr="00F90EAE">
        <w:rPr>
          <w:color w:val="000000" w:themeColor="text1"/>
          <w:sz w:val="16"/>
          <w:szCs w:val="16"/>
        </w:rPr>
        <w:t>б) конструктивная недоработка крепления кронштейнов, что вызывало частые случаи ослабления и обрыва болтов. На танках и самоходных установках майского и последующих выпусков, с введением восьми болтов крепления вместо шести, число указанных дефектов уменьшилось.</w:t>
      </w:r>
    </w:p>
    <w:p w14:paraId="3033D151" w14:textId="77777777" w:rsidR="002B4C11" w:rsidRPr="00F90EAE" w:rsidRDefault="002B4C11" w:rsidP="00F90EAE">
      <w:pPr>
        <w:jc w:val="both"/>
        <w:rPr>
          <w:color w:val="000000" w:themeColor="text1"/>
          <w:sz w:val="16"/>
          <w:szCs w:val="16"/>
        </w:rPr>
      </w:pPr>
      <w:r w:rsidRPr="00F90EAE">
        <w:rPr>
          <w:color w:val="000000" w:themeColor="text1"/>
          <w:sz w:val="16"/>
          <w:szCs w:val="16"/>
        </w:rPr>
        <w:t>5. Опорные катки танков и самоходных установок всех выпусков были самыми ненадежными узлами ходовой части, что особенно проявилось в весенне-летних и осенних условиях эксплоатации. Причина ненадежной работы опорных катков – разрушение подшипников. Разрушение подшипников происходит вследствие конструктивной недоработки узла крепления опорного катка, низкого качества сальников, недостаточно предохраняющих от загрязнения и небрежности монтажа.</w:t>
      </w:r>
    </w:p>
    <w:p w14:paraId="4EF1D1EA" w14:textId="77777777" w:rsidR="002B4C11" w:rsidRPr="00F90EAE" w:rsidRDefault="002B4C11" w:rsidP="00F90EAE">
      <w:pPr>
        <w:jc w:val="both"/>
        <w:rPr>
          <w:color w:val="000000" w:themeColor="text1"/>
          <w:sz w:val="16"/>
          <w:szCs w:val="16"/>
        </w:rPr>
      </w:pPr>
      <w:r w:rsidRPr="00F90EAE">
        <w:rPr>
          <w:color w:val="000000" w:themeColor="text1"/>
          <w:sz w:val="16"/>
          <w:szCs w:val="16"/>
        </w:rPr>
        <w:t>6. Гусеницы танков не обладают достаточной надежностью в работе вследствие малой износоустойчивости серийных штампованных траков из стали 35ХГ2.</w:t>
      </w:r>
    </w:p>
    <w:p w14:paraId="2E0ECE68"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10.</w:t>
      </w:r>
    </w:p>
    <w:p w14:paraId="091141CD" w14:textId="77777777" w:rsidR="002B4C11" w:rsidRPr="00F90EAE" w:rsidRDefault="002B4C11" w:rsidP="00F90EAE">
      <w:pPr>
        <w:jc w:val="both"/>
        <w:rPr>
          <w:color w:val="000000" w:themeColor="text1"/>
          <w:sz w:val="16"/>
          <w:szCs w:val="16"/>
        </w:rPr>
      </w:pPr>
      <w:r w:rsidRPr="00F90EAE">
        <w:rPr>
          <w:color w:val="000000" w:themeColor="text1"/>
          <w:sz w:val="16"/>
          <w:szCs w:val="16"/>
        </w:rPr>
        <w:t>Таблица № 11.</w:t>
      </w:r>
    </w:p>
    <w:p w14:paraId="76161D07" w14:textId="77777777" w:rsidR="002B4C11" w:rsidRPr="00F90EAE" w:rsidRDefault="002B4C11" w:rsidP="00F90EAE">
      <w:pPr>
        <w:jc w:val="both"/>
        <w:rPr>
          <w:color w:val="000000" w:themeColor="text1"/>
          <w:sz w:val="16"/>
          <w:szCs w:val="16"/>
        </w:rPr>
      </w:pPr>
      <w:r w:rsidRPr="00F90EAE">
        <w:rPr>
          <w:color w:val="000000" w:themeColor="text1"/>
          <w:sz w:val="16"/>
          <w:szCs w:val="16"/>
        </w:rPr>
        <w:t>IV. ЭЛЕКТРООБОРУДОВАНИЕ И КОНТРОЛЬНЫЕ ПРИБОРЫ.</w:t>
      </w:r>
    </w:p>
    <w:p w14:paraId="4964814A" w14:textId="77777777" w:rsidR="002B4C11" w:rsidRPr="00F90EAE" w:rsidRDefault="002B4C11" w:rsidP="00F90EAE">
      <w:pPr>
        <w:jc w:val="both"/>
        <w:rPr>
          <w:color w:val="000000" w:themeColor="text1"/>
          <w:sz w:val="16"/>
          <w:szCs w:val="16"/>
        </w:rPr>
      </w:pPr>
      <w:r w:rsidRPr="00F90EAE">
        <w:rPr>
          <w:color w:val="000000" w:themeColor="text1"/>
          <w:sz w:val="16"/>
          <w:szCs w:val="16"/>
        </w:rPr>
        <w:t>1. Электрооборудование в основном работало надежно, имевшиеся неисправности (перегорание лампочек, отпаивание проводов, сгорание обмотки генератора) были вызваны производственными дефектами.</w:t>
      </w:r>
    </w:p>
    <w:p w14:paraId="2FC0D584" w14:textId="77777777" w:rsidR="002B4C11" w:rsidRPr="00F90EAE" w:rsidRDefault="002B4C11" w:rsidP="00F90EAE">
      <w:pPr>
        <w:jc w:val="both"/>
        <w:rPr>
          <w:color w:val="000000" w:themeColor="text1"/>
          <w:sz w:val="16"/>
          <w:szCs w:val="16"/>
        </w:rPr>
      </w:pPr>
      <w:r w:rsidRPr="00F90EAE">
        <w:rPr>
          <w:color w:val="000000" w:themeColor="text1"/>
          <w:sz w:val="16"/>
          <w:szCs w:val="16"/>
        </w:rPr>
        <w:t>2. Контрольные приборы на машинах выпуска первой половины года работали ненадежно, во второй половине года надежность их повысилась. Наиболее частые дефекты: излом капиллярных трубок аэротермометров и манометров, скручивание гибких тросов тахометров и отказ в работе амперметров и вольтметров (19773)</w:t>
      </w:r>
    </w:p>
    <w:p w14:paraId="13CBF66F" w14:textId="77777777" w:rsidR="002B4C11" w:rsidRPr="00F90EAE" w:rsidRDefault="002B4C11" w:rsidP="00F90EAE">
      <w:pPr>
        <w:jc w:val="both"/>
        <w:rPr>
          <w:color w:val="000000" w:themeColor="text1"/>
          <w:sz w:val="16"/>
          <w:szCs w:val="16"/>
        </w:rPr>
      </w:pPr>
    </w:p>
    <w:p w14:paraId="12B9AC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года по приказу НКБ за № 16с после окончания оккупации вновь было начато строительство завода № 318 по новому профилю – производства снарядов М-13.</w:t>
      </w:r>
    </w:p>
    <w:p w14:paraId="78255D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переходом страны на выпуск продукции мирного времени профиль завода был изменен под производство продукции с/х машиностроения.</w:t>
      </w:r>
    </w:p>
    <w:p w14:paraId="4C7930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Азов Ростовской области, п/я 1</w:t>
      </w:r>
    </w:p>
    <w:p w14:paraId="603773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Мельников (10033).</w:t>
      </w:r>
    </w:p>
    <w:p w14:paraId="4A5B5F3F" w14:textId="77777777" w:rsidR="00C2313B" w:rsidRPr="00F90EAE" w:rsidRDefault="00C2313B" w:rsidP="00F90EAE">
      <w:pPr>
        <w:autoSpaceDE w:val="0"/>
        <w:autoSpaceDN w:val="0"/>
        <w:adjustRightInd w:val="0"/>
        <w:jc w:val="both"/>
        <w:rPr>
          <w:color w:val="000000" w:themeColor="text1"/>
          <w:sz w:val="16"/>
          <w:szCs w:val="16"/>
        </w:rPr>
      </w:pPr>
    </w:p>
    <w:p w14:paraId="2E61CE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вышло Постановление ГКО № 7327 О мероприятиях по обеспечению мазутом заводов Наркомтанкопрома в январе 1945 г. РГАНИР, Фонд ГКО, д. 350, лл. 13-16 (11012).</w:t>
      </w:r>
    </w:p>
    <w:p w14:paraId="793AE8F2" w14:textId="77777777" w:rsidR="00C2313B" w:rsidRPr="00F90EAE" w:rsidRDefault="00C2313B" w:rsidP="00F90EAE">
      <w:pPr>
        <w:autoSpaceDE w:val="0"/>
        <w:autoSpaceDN w:val="0"/>
        <w:adjustRightInd w:val="0"/>
        <w:jc w:val="both"/>
        <w:rPr>
          <w:color w:val="000000" w:themeColor="text1"/>
          <w:sz w:val="16"/>
          <w:szCs w:val="16"/>
        </w:rPr>
      </w:pPr>
    </w:p>
    <w:p w14:paraId="640788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вышло Постановление ГКО № 7328 О мероприятиях по обеспечению мазутом заводов Наркомцветмета. РГАНИР, Фонд ГКО, д. 350, лл. 17-18 (11012).</w:t>
      </w:r>
    </w:p>
    <w:p w14:paraId="1018B257" w14:textId="77777777" w:rsidR="00C2313B" w:rsidRPr="00F90EAE" w:rsidRDefault="00C2313B" w:rsidP="00F90EAE">
      <w:pPr>
        <w:autoSpaceDE w:val="0"/>
        <w:autoSpaceDN w:val="0"/>
        <w:adjustRightInd w:val="0"/>
        <w:jc w:val="both"/>
        <w:rPr>
          <w:color w:val="000000" w:themeColor="text1"/>
          <w:sz w:val="16"/>
          <w:szCs w:val="16"/>
        </w:rPr>
      </w:pPr>
    </w:p>
    <w:p w14:paraId="1E7E63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вышло Распоряжение ГКО № 7329. О порядке планирования производства масел, смазок и специальных нефтепродуктов. РГАНИР, Фонд ГКО, д. 350, лл. 19 (11012).</w:t>
      </w:r>
    </w:p>
    <w:p w14:paraId="71AD0927" w14:textId="77777777" w:rsidR="00C2313B" w:rsidRPr="00F90EAE" w:rsidRDefault="00C2313B" w:rsidP="00F90EAE">
      <w:pPr>
        <w:autoSpaceDE w:val="0"/>
        <w:autoSpaceDN w:val="0"/>
        <w:adjustRightInd w:val="0"/>
        <w:jc w:val="both"/>
        <w:rPr>
          <w:color w:val="000000" w:themeColor="text1"/>
          <w:sz w:val="16"/>
          <w:szCs w:val="16"/>
        </w:rPr>
      </w:pPr>
    </w:p>
    <w:p w14:paraId="164511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вышло Постановление ГКО № 7330 О мероприятиях по обеспечению мазутом заводов Наркомвооружения. РГАНИР, Фонд ГКО, д. 350, лл. 20-23 (11012).</w:t>
      </w:r>
    </w:p>
    <w:p w14:paraId="72B00C43" w14:textId="77777777" w:rsidR="00C2313B" w:rsidRPr="00F90EAE" w:rsidRDefault="00C2313B" w:rsidP="00F90EAE">
      <w:pPr>
        <w:autoSpaceDE w:val="0"/>
        <w:autoSpaceDN w:val="0"/>
        <w:adjustRightInd w:val="0"/>
        <w:jc w:val="both"/>
        <w:rPr>
          <w:color w:val="000000" w:themeColor="text1"/>
          <w:sz w:val="16"/>
          <w:szCs w:val="16"/>
        </w:rPr>
      </w:pPr>
    </w:p>
    <w:p w14:paraId="66D353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вышло Постановление ГКО № 7331 О мероприятиях по обеспечению углем заводов Наркомвооружения. РГАНИР, Фонд ГКО, д. 350, лл. 24-26 (11012).</w:t>
      </w:r>
    </w:p>
    <w:p w14:paraId="542EF58E" w14:textId="77777777" w:rsidR="00C2313B" w:rsidRPr="00F90EAE" w:rsidRDefault="00C2313B" w:rsidP="00F90EAE">
      <w:pPr>
        <w:autoSpaceDE w:val="0"/>
        <w:autoSpaceDN w:val="0"/>
        <w:adjustRightInd w:val="0"/>
        <w:jc w:val="both"/>
        <w:rPr>
          <w:color w:val="000000" w:themeColor="text1"/>
          <w:sz w:val="16"/>
          <w:szCs w:val="16"/>
        </w:rPr>
      </w:pPr>
    </w:p>
    <w:p w14:paraId="288F20DA"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5EC23FD" w14:textId="77777777" w:rsidR="00C2313B" w:rsidRPr="00F90EAE" w:rsidRDefault="00C2313B" w:rsidP="00F90EAE">
      <w:pPr>
        <w:autoSpaceDE w:val="0"/>
        <w:autoSpaceDN w:val="0"/>
        <w:adjustRightInd w:val="0"/>
        <w:jc w:val="both"/>
        <w:rPr>
          <w:iCs/>
          <w:color w:val="000000" w:themeColor="text1"/>
          <w:sz w:val="16"/>
          <w:szCs w:val="16"/>
        </w:rPr>
      </w:pPr>
    </w:p>
    <w:p w14:paraId="1F2D5DC1" w14:textId="77777777" w:rsidR="006F0F05" w:rsidRPr="00F90EAE" w:rsidRDefault="006F0F05" w:rsidP="00F90EAE">
      <w:pPr>
        <w:jc w:val="both"/>
        <w:rPr>
          <w:color w:val="000000" w:themeColor="text1"/>
          <w:sz w:val="16"/>
          <w:szCs w:val="16"/>
        </w:rPr>
      </w:pPr>
      <w:r w:rsidRPr="00F90EAE">
        <w:rPr>
          <w:bCs/>
          <w:color w:val="000000" w:themeColor="text1"/>
          <w:sz w:val="16"/>
          <w:szCs w:val="16"/>
        </w:rPr>
        <w:t>16 января</w:t>
      </w:r>
      <w:r w:rsidRPr="00F90EAE">
        <w:rPr>
          <w:color w:val="000000" w:themeColor="text1"/>
          <w:sz w:val="16"/>
          <w:szCs w:val="16"/>
        </w:rPr>
        <w:t xml:space="preserve"> в 1945 году оперативная сводка Совинформбюро:</w:t>
      </w:r>
    </w:p>
    <w:p w14:paraId="2A727B79"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перейдя в наступление 14 января на двух плацдармах на западном берегу реки Вислы южнее Варшавы, при поддержке массированных ударов артиллерии, несмотря на плохие условия погоды, исключившие возможность использования авиации, прорвали сильную, глубоко эшелонированную оборону противника.</w:t>
      </w:r>
    </w:p>
    <w:p w14:paraId="04F799F1" w14:textId="77777777" w:rsidR="006F0F05" w:rsidRPr="00F90EAE" w:rsidRDefault="006F0F05" w:rsidP="00F90EAE">
      <w:pPr>
        <w:jc w:val="both"/>
        <w:rPr>
          <w:color w:val="000000" w:themeColor="text1"/>
          <w:sz w:val="16"/>
          <w:szCs w:val="16"/>
        </w:rPr>
      </w:pPr>
      <w:r w:rsidRPr="00F90EAE">
        <w:rPr>
          <w:color w:val="000000" w:themeColor="text1"/>
          <w:sz w:val="16"/>
          <w:szCs w:val="16"/>
        </w:rPr>
        <w:t>За три дня наступательных боёв войска фронта, наступавшие на двух плацдармах, соединились и продвинулись вперёд до 60 километров, расширив прорыв до 120 километров по фронту.</w:t>
      </w:r>
    </w:p>
    <w:p w14:paraId="29D962E2" w14:textId="77777777" w:rsidR="006F0F05" w:rsidRPr="00F90EAE" w:rsidRDefault="006F0F05" w:rsidP="00F90EAE">
      <w:pPr>
        <w:jc w:val="both"/>
        <w:rPr>
          <w:color w:val="000000" w:themeColor="text1"/>
          <w:sz w:val="16"/>
          <w:szCs w:val="16"/>
        </w:rPr>
      </w:pPr>
      <w:r w:rsidRPr="00F90EAE">
        <w:rPr>
          <w:color w:val="000000" w:themeColor="text1"/>
          <w:sz w:val="16"/>
          <w:szCs w:val="16"/>
        </w:rPr>
        <w:t>В ходе наступления наши войска заняли сильные опорные пункты обороны немцев Варка, Груиец, Козенице, Солец, Зволень, Бялобжеги, Евдлинск, Илжа. С боями занято также более 1.300 других населённых пунктов, в числе которых крупные населённые пункты Новый Желехув, Ватрашев, Стефаннув, Госьневице, Гощин, Блендув, Сухашляхецка, Сек Люки, Янковице, Ясштембя, Бжустувка, Едльня Летнинско, Скарышев, Закшувек, Коваликув, Цепелюв и железнодорожные станции Михальчев, Варка, Грабув, Добешин, Бартодзеие, Лесюв, Заезеже, Бонковец, Длуга, Пионки, Едльня Летнинско, Козенице.</w:t>
      </w:r>
    </w:p>
    <w:p w14:paraId="13B331A6" w14:textId="77777777" w:rsidR="006F0F05" w:rsidRPr="00F90EAE" w:rsidRDefault="006F0F05" w:rsidP="00F90EAE">
      <w:pPr>
        <w:jc w:val="both"/>
        <w:rPr>
          <w:color w:val="000000" w:themeColor="text1"/>
          <w:sz w:val="16"/>
          <w:szCs w:val="16"/>
        </w:rPr>
      </w:pPr>
      <w:r w:rsidRPr="00F90EAE">
        <w:rPr>
          <w:color w:val="000000" w:themeColor="text1"/>
          <w:sz w:val="16"/>
          <w:szCs w:val="16"/>
        </w:rPr>
        <w:t>Сегодня, 16 января, войска 1-го Белорусского фронта в результате стремительного наступления, поддержанного авиацией, в 20 часов штурмом овладели крупным промышленным центром Польши городом Радом — важным узлом коммуникаций и сильным опорным пунктом обороны немцев.</w:t>
      </w:r>
    </w:p>
    <w:p w14:paraId="5C8473F6" w14:textId="77777777" w:rsidR="006F0F05" w:rsidRPr="00F90EAE" w:rsidRDefault="006F0F05" w:rsidP="00F90EAE">
      <w:pPr>
        <w:jc w:val="both"/>
        <w:rPr>
          <w:color w:val="000000" w:themeColor="text1"/>
          <w:sz w:val="16"/>
          <w:szCs w:val="16"/>
        </w:rPr>
      </w:pPr>
      <w:r w:rsidRPr="00F90EAE">
        <w:rPr>
          <w:color w:val="000000" w:themeColor="text1"/>
          <w:sz w:val="16"/>
          <w:szCs w:val="16"/>
        </w:rPr>
        <w:t>Севернее и северо-западнее города Сандомир войска 1-го Украинского фронта с боями продвигались вперёд и овладели городом и крупной железнодорожной станцией Островец, городами Тарлув, Ожарув, Цмелюв, Опатув, а также заняли более 200 других населённых пунктов, в числе которых крупные населённые пункты Павловска Воля, Германув, Юльянув, Лясоцин, Стодолы, Бодзехув, Михалув и железнодорожные станции Якубовице, Ясице, Цмелюв, Бодзехув.</w:t>
      </w:r>
    </w:p>
    <w:p w14:paraId="60618938" w14:textId="77777777" w:rsidR="006F0F05" w:rsidRPr="00F90EAE" w:rsidRDefault="006F0F05" w:rsidP="00F90EAE">
      <w:pPr>
        <w:jc w:val="both"/>
        <w:rPr>
          <w:color w:val="000000" w:themeColor="text1"/>
          <w:sz w:val="16"/>
          <w:szCs w:val="16"/>
        </w:rPr>
      </w:pPr>
      <w:r w:rsidRPr="00F90EAE">
        <w:rPr>
          <w:color w:val="000000" w:themeColor="text1"/>
          <w:sz w:val="16"/>
          <w:szCs w:val="16"/>
        </w:rPr>
        <w:t>На Ченстоховском и Краковском направлениях войска 1-го Украинского фронта, развивая успешное наступление, овладели городами Малогощ, Влощова, Конецполь, Мехув, Домброва Тарновска, а также с боями заняли более 500 других населённых пунктов, в том числе крупные населённые пункты Куржелев, Малюшин, Желиславице, Сецемин, Дружикова, Пшиленк, Накло, Щекоцины, Рашкув, Рокитно, Малошице, Жарковец, Сендзишув, Кенпе, Сломники, Климонтув, Хрущина, Пшемыкув, Щуцин, Радгощ, Смыкув и железнодорожные станции Рыкошин, Малогощ, Людыня, Влощова, Желиславице, Конецполь, Сендзишув, Козлув, Тунель, Мехув, Сломники, Щуцин. Таким образом, войска фронта форсировали реку Пилица на участке 50 километров, не дав возможности противнику организовать на ней оборону.</w:t>
      </w:r>
    </w:p>
    <w:p w14:paraId="18DA15EB" w14:textId="77777777" w:rsidR="006F0F05" w:rsidRPr="00F90EAE" w:rsidRDefault="006F0F05" w:rsidP="00F90EAE">
      <w:pPr>
        <w:jc w:val="both"/>
        <w:rPr>
          <w:color w:val="000000" w:themeColor="text1"/>
          <w:sz w:val="16"/>
          <w:szCs w:val="16"/>
        </w:rPr>
      </w:pPr>
      <w:r w:rsidRPr="00F90EAE">
        <w:rPr>
          <w:color w:val="000000" w:themeColor="text1"/>
          <w:sz w:val="16"/>
          <w:szCs w:val="16"/>
        </w:rPr>
        <w:t>В Будапеште наши войска с боями заняли 120 кварталов. За 15 января в Будапеште наши войска взяли в плен 3.160 немецких и венгерских солдат и офицеров и захватили следующие трофеи: орудий разных калибров—48, пулемётов— 63, автоматов—875, автомашин—242, мотоциклов—97, вагонов—135.</w:t>
      </w:r>
    </w:p>
    <w:p w14:paraId="0187936B" w14:textId="77777777" w:rsidR="006F0F05" w:rsidRPr="00F90EAE" w:rsidRDefault="006F0F0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492F2871" w14:textId="77777777" w:rsidR="006F0F05" w:rsidRPr="00F90EAE" w:rsidRDefault="006F0F05" w:rsidP="00F90EAE">
      <w:pPr>
        <w:jc w:val="both"/>
        <w:rPr>
          <w:color w:val="000000" w:themeColor="text1"/>
          <w:sz w:val="16"/>
          <w:szCs w:val="16"/>
        </w:rPr>
      </w:pPr>
      <w:r w:rsidRPr="00F90EAE">
        <w:rPr>
          <w:color w:val="000000" w:themeColor="text1"/>
          <w:sz w:val="16"/>
          <w:szCs w:val="16"/>
        </w:rPr>
        <w:t>За 15 января наши войска на всех фронтах подбили и уничтожили 277 немецких танков.</w:t>
      </w:r>
    </w:p>
    <w:p w14:paraId="312F5636"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находившиеся на двух плацдармах на западном берегу Вислы южнее Варшавы, 14 января перешли в наступление. Осенью прошлого года, после многократных, но безуспешных попыток ликвидировать советские плацдармы, противник решил запереть наши войска поясом мощных укреплений. Немцы построили оборону, эшелонированную в глубину до 20 километров. Она состояла из целого ряда линий траншей с разветвленными ходами сообщения, дотами и дзотами. Широкие минные поля, различные инженерные препятствия, противотанковые рвы и завалы на дорогах преграждали путь к сильно укрепленным немецким позициям.</w:t>
      </w:r>
    </w:p>
    <w:p w14:paraId="000B2EC9" w14:textId="77777777" w:rsidR="006F0F05" w:rsidRPr="00F90EAE" w:rsidRDefault="006F0F05" w:rsidP="00F90EAE">
      <w:pPr>
        <w:jc w:val="both"/>
        <w:rPr>
          <w:color w:val="000000" w:themeColor="text1"/>
          <w:sz w:val="16"/>
          <w:szCs w:val="16"/>
        </w:rPr>
      </w:pPr>
      <w:r w:rsidRPr="00F90EAE">
        <w:rPr>
          <w:color w:val="000000" w:themeColor="text1"/>
          <w:sz w:val="16"/>
          <w:szCs w:val="16"/>
        </w:rPr>
        <w:t>Наступление советских войск началось утром в пасмурный день. Низкая облачность и густой туман исключали участие авиации в военных действиях. Огромное значение в прорыве обороны противника поэтому имело мощное артиллерийское наступление. Более часа наши орудия вели уничтожающий огонь по заранее разведанным и пристрелянным целям. Они накрыли немецкие позиции на большую глубину и произвели опустошение в рядах противника. Пленные сообщают, что от артиллерийского огня части четырёх немецких пехотных дивизий, расположенных в передовых линиях, потеряли до 70 процентов своего личного состава. Вслед за огневым валом пошли в наступление основные силы советской пехоты. Артиллерийские дивизионы, а также танки и самоходные орудия неотступно сопровождали пехоту, расстреливая в упор уцелевшие узлы сопротивления и огневые точки противника. Войска фронта, наступавшие на двух плацдармах, в ходе боев соединились и за три дня боёв продвинулись вперёд до 60 километров, расширив прорыв до 120 километров по фронту.</w:t>
      </w:r>
    </w:p>
    <w:p w14:paraId="480E8E57" w14:textId="77777777" w:rsidR="006F0F05" w:rsidRPr="00F90EAE" w:rsidRDefault="006F0F05" w:rsidP="00F90EAE">
      <w:pPr>
        <w:jc w:val="both"/>
        <w:rPr>
          <w:color w:val="000000" w:themeColor="text1"/>
          <w:sz w:val="16"/>
          <w:szCs w:val="16"/>
        </w:rPr>
      </w:pPr>
      <w:r w:rsidRPr="00F90EAE">
        <w:rPr>
          <w:color w:val="000000" w:themeColor="text1"/>
          <w:sz w:val="16"/>
          <w:szCs w:val="16"/>
        </w:rPr>
        <w:t>Занято несколько городов и более 1.300 населенных пунктов. Советские части, наступающие в северо-западном направлении, переправились через реку Пилица и, стремительно продвигаясь вперед, заняли узел шоссейных дорог город Груиец, расположенный в 40 километрах юго-западнее Варшавы.</w:t>
      </w:r>
    </w:p>
    <w:p w14:paraId="717777B8" w14:textId="77777777" w:rsidR="006F0F05" w:rsidRPr="00F90EAE" w:rsidRDefault="006F0F05" w:rsidP="00F90EAE">
      <w:pPr>
        <w:jc w:val="both"/>
        <w:rPr>
          <w:color w:val="000000" w:themeColor="text1"/>
          <w:sz w:val="16"/>
          <w:szCs w:val="16"/>
        </w:rPr>
      </w:pPr>
      <w:r w:rsidRPr="00F90EAE">
        <w:rPr>
          <w:color w:val="000000" w:themeColor="text1"/>
          <w:sz w:val="16"/>
          <w:szCs w:val="16"/>
        </w:rPr>
        <w:t>Наши войска, наступающие в западном направлении, сломив упорное сопротивление немцев, совершили стремительный манёвр и вышли на подступы к городу Радом. В этом городе находились крупные силы немецких войск. Сегодня советские танкисты и пехотинцы нанесли немцам сокрушительный удар с трёх сторон и овладели важным узлом коммуникаций городом Радом. В бою за Радом разгромлены части двух пехотных и двух танковых дивизий противника.</w:t>
      </w:r>
    </w:p>
    <w:p w14:paraId="0F38CCB3" w14:textId="77777777" w:rsidR="006F0F05" w:rsidRPr="00F90EAE" w:rsidRDefault="006F0F05" w:rsidP="00F90EAE">
      <w:pPr>
        <w:jc w:val="both"/>
        <w:rPr>
          <w:color w:val="000000" w:themeColor="text1"/>
          <w:sz w:val="16"/>
          <w:szCs w:val="16"/>
        </w:rPr>
      </w:pPr>
      <w:r w:rsidRPr="00F90EAE">
        <w:rPr>
          <w:color w:val="000000" w:themeColor="text1"/>
          <w:sz w:val="16"/>
          <w:szCs w:val="16"/>
        </w:rPr>
        <w:lastRenderedPageBreak/>
        <w:t>За три дня боев войска 1-го Белорусского фронта нанесли противнику огромные потери. Уничтожены тысячи немецких солдат и офицеров. Только за первые два дня наступления, по неполным данным, нашими войсками уничтожено 75 танков и несколько сот орудий разных калибров. За это же время захватано у немцев 465 полевых орудий, 540 пулеметов и много других трофеев.</w:t>
      </w:r>
    </w:p>
    <w:p w14:paraId="1111B670" w14:textId="77777777" w:rsidR="006F0F05" w:rsidRPr="00F90EAE" w:rsidRDefault="006F0F05" w:rsidP="00F90EAE">
      <w:pPr>
        <w:jc w:val="both"/>
        <w:rPr>
          <w:color w:val="000000" w:themeColor="text1"/>
          <w:sz w:val="16"/>
          <w:szCs w:val="16"/>
        </w:rPr>
      </w:pPr>
      <w:r w:rsidRPr="00F90EAE">
        <w:rPr>
          <w:color w:val="000000" w:themeColor="text1"/>
          <w:sz w:val="16"/>
          <w:szCs w:val="16"/>
        </w:rPr>
        <w:t>На Ченстоховском и Краковском направлениях войска 1-го Украинского фронта развивали стремительное наступление. Советские пехотинцы, танкисты и артиллеристы преследуют разгромленные части противника. Овладев городом Влощова — важным узлом шоссейных дорог, наши войска преодолели лесистый район и вышли к реке Пилица. Отдельные части немцев были прижаты к реке и ликвидированы. Войска фронта с хода переправились через Пилицу и заняли город Конецголь, расположенный в 40 километрах восточнее Ченстохова. В бою в этом районе истреблено свыше 2 тысяч гитлеровцев. В лесах южнее и юго-западнее Кельце наши войска окружили и ликвидировали группировку противника, состоявшую из частей и подразделений 16-й и 17-й немецких танковых дивизий. В течение дня захвачено и уничтожено 145 немецких танков и самоходных орудий, 79 бронетранспортёров и свыше 100 орудий разных калибров. Взято в плен свыше 600 немецких солдат и офицеров.</w:t>
      </w:r>
    </w:p>
    <w:p w14:paraId="6F909E22" w14:textId="77777777" w:rsidR="006F0F05" w:rsidRPr="00F90EAE" w:rsidRDefault="006F0F05" w:rsidP="00F90EAE">
      <w:pPr>
        <w:jc w:val="both"/>
        <w:rPr>
          <w:color w:val="000000" w:themeColor="text1"/>
          <w:sz w:val="16"/>
          <w:szCs w:val="16"/>
        </w:rPr>
      </w:pPr>
      <w:r w:rsidRPr="00F90EAE">
        <w:rPr>
          <w:color w:val="000000" w:themeColor="text1"/>
          <w:sz w:val="16"/>
          <w:szCs w:val="16"/>
        </w:rPr>
        <w:t>На Краковском направлении противник ввёл в бой свежие силы и предпринимает контратаки. Преодолевая сопротивление немцев, советские части продвинулись вперёд до 15 километров. После ожесточенного боя наши войска овладели опорным пунктом обороны немцев Сломники, находящимся в 20 километрах северо-восточнее Кракова.</w:t>
      </w:r>
    </w:p>
    <w:p w14:paraId="1A0F6814" w14:textId="77777777" w:rsidR="006F0F05" w:rsidRPr="00F90EAE" w:rsidRDefault="006F0F05" w:rsidP="00F90EAE">
      <w:pPr>
        <w:jc w:val="both"/>
        <w:rPr>
          <w:color w:val="000000" w:themeColor="text1"/>
          <w:sz w:val="16"/>
          <w:szCs w:val="16"/>
        </w:rPr>
      </w:pPr>
      <w:r w:rsidRPr="00F90EAE">
        <w:rPr>
          <w:color w:val="000000" w:themeColor="text1"/>
          <w:sz w:val="16"/>
          <w:szCs w:val="16"/>
        </w:rPr>
        <w:t>В Будапеште наши войска продолжали бои по ликвидации окруженной группировки противника. Гвардейские части, наступающие по левому берегу Дуная на юг, выбили гитлеровцев с территории нескольких заводов, а также заняли артиллерийские казармы. Другие наши части очистили от врага Высшую Художественную школу, универмаг «Цорвин» и ряд других зданий.</w:t>
      </w:r>
    </w:p>
    <w:p w14:paraId="5C188621" w14:textId="77777777" w:rsidR="006F0F05" w:rsidRPr="00F90EAE" w:rsidRDefault="006F0F05"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Балтийском море два немецких транспорта общим водоизмещением в 14 тысяч тонн и сторожевой катер противника.» (15011).</w:t>
      </w:r>
    </w:p>
    <w:p w14:paraId="33DE890A" w14:textId="77777777" w:rsidR="006F0F05" w:rsidRPr="00F90EAE" w:rsidRDefault="006F0F05" w:rsidP="00F90EAE">
      <w:pPr>
        <w:jc w:val="both"/>
        <w:rPr>
          <w:color w:val="000000" w:themeColor="text1"/>
          <w:sz w:val="16"/>
          <w:szCs w:val="16"/>
        </w:rPr>
      </w:pPr>
    </w:p>
    <w:p w14:paraId="7B3C11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16 по 20 января 1946 определялась эффективность действия штурмовиков и 30 января 1945 был подготовлен "Акт установления эффективности фактичес</w:t>
      </w:r>
      <w:r w:rsidRPr="00F90EAE">
        <w:rPr>
          <w:color w:val="000000" w:themeColor="text1"/>
          <w:sz w:val="16"/>
          <w:szCs w:val="16"/>
        </w:rPr>
        <w:softHyphen/>
        <w:t xml:space="preserve">ки уничтоженной техники противника при действиях штурмовиков частей 230 </w:t>
      </w:r>
      <w:r w:rsidRPr="00F90EAE">
        <w:rPr>
          <w:iCs/>
          <w:color w:val="000000" w:themeColor="text1"/>
          <w:sz w:val="16"/>
          <w:szCs w:val="16"/>
        </w:rPr>
        <w:t>шад</w:t>
      </w:r>
      <w:r w:rsidRPr="00F90EAE">
        <w:rPr>
          <w:color w:val="000000" w:themeColor="text1"/>
          <w:sz w:val="16"/>
          <w:szCs w:val="16"/>
        </w:rPr>
        <w:t xml:space="preserve"> в " (исх. 02068), в котором комиссия штаба дивизии </w:t>
      </w:r>
      <w:r w:rsidRPr="00F90EAE">
        <w:rPr>
          <w:iCs/>
          <w:color w:val="000000" w:themeColor="text1"/>
          <w:sz w:val="16"/>
          <w:szCs w:val="16"/>
        </w:rPr>
        <w:t>"выездом в район</w:t>
      </w:r>
      <w:r w:rsidRPr="00F90EAE">
        <w:rPr>
          <w:color w:val="000000" w:themeColor="text1"/>
          <w:sz w:val="16"/>
          <w:szCs w:val="16"/>
        </w:rPr>
        <w:t xml:space="preserve"> бое</w:t>
      </w:r>
      <w:r w:rsidRPr="00F90EAE">
        <w:rPr>
          <w:color w:val="000000" w:themeColor="text1"/>
          <w:sz w:val="16"/>
          <w:szCs w:val="16"/>
        </w:rPr>
        <w:softHyphen/>
        <w:t xml:space="preserve">вых действий" определила, что </w:t>
      </w:r>
      <w:r w:rsidRPr="00F90EAE">
        <w:rPr>
          <w:iCs/>
          <w:color w:val="000000" w:themeColor="text1"/>
          <w:sz w:val="16"/>
          <w:szCs w:val="16"/>
        </w:rPr>
        <w:t>"...нане</w:t>
      </w:r>
      <w:r w:rsidRPr="00F90EAE">
        <w:rPr>
          <w:iCs/>
          <w:color w:val="000000" w:themeColor="text1"/>
          <w:sz w:val="16"/>
          <w:szCs w:val="16"/>
        </w:rPr>
        <w:softHyphen/>
        <w:t>сенные потери противнику в соответ</w:t>
      </w:r>
      <w:r w:rsidRPr="00F90EAE">
        <w:rPr>
          <w:iCs/>
          <w:color w:val="000000" w:themeColor="text1"/>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F90EAE">
        <w:rPr>
          <w:iCs/>
          <w:color w:val="000000" w:themeColor="text1"/>
          <w:sz w:val="16"/>
          <w:szCs w:val="16"/>
        </w:rPr>
        <w:softHyphen/>
        <w:t>ставляет 30% отданных наших донесе</w:t>
      </w:r>
      <w:r w:rsidRPr="00F90EAE">
        <w:rPr>
          <w:iCs/>
          <w:color w:val="000000" w:themeColor="text1"/>
          <w:sz w:val="16"/>
          <w:szCs w:val="16"/>
        </w:rPr>
        <w:softHyphen/>
        <w:t xml:space="preserve">ний..." </w:t>
      </w:r>
      <w:r w:rsidRPr="00F90EAE">
        <w:rPr>
          <w:color w:val="000000" w:themeColor="text1"/>
          <w:sz w:val="16"/>
          <w:szCs w:val="16"/>
        </w:rPr>
        <w:t>(6467).</w:t>
      </w:r>
    </w:p>
    <w:p w14:paraId="4A75B022" w14:textId="77777777" w:rsidR="00C2313B" w:rsidRPr="00F90EAE" w:rsidRDefault="00C2313B" w:rsidP="00F90EAE">
      <w:pPr>
        <w:autoSpaceDE w:val="0"/>
        <w:autoSpaceDN w:val="0"/>
        <w:adjustRightInd w:val="0"/>
        <w:jc w:val="both"/>
        <w:rPr>
          <w:color w:val="000000" w:themeColor="text1"/>
          <w:sz w:val="16"/>
          <w:szCs w:val="16"/>
        </w:rPr>
      </w:pPr>
    </w:p>
    <w:p w14:paraId="1FF2D5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в ходе Висло-Одерской операции ш 16ВА только за один день уничтожили 12 танков, 200 автомашин, 12 повозок. Бомбардировщики нарушили ж/д движение и танкисты захватили в Лодзи 400 вагонов с военным имуществом и боевой техникой, а также 28 паровозов (518,164).</w:t>
      </w:r>
    </w:p>
    <w:p w14:paraId="4204D8AF" w14:textId="77777777" w:rsidR="00C2313B" w:rsidRPr="00F90EAE" w:rsidRDefault="00C2313B" w:rsidP="00F90EAE">
      <w:pPr>
        <w:autoSpaceDE w:val="0"/>
        <w:autoSpaceDN w:val="0"/>
        <w:adjustRightInd w:val="0"/>
        <w:jc w:val="both"/>
        <w:rPr>
          <w:color w:val="000000" w:themeColor="text1"/>
          <w:sz w:val="16"/>
          <w:szCs w:val="16"/>
        </w:rPr>
      </w:pPr>
    </w:p>
    <w:p w14:paraId="4EF97C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со 2ГТА взаимодействовал 6 шак 16ВА, который за день выполнил 272 вылета, а 1ГТА - 2 и 11 гад 16ВА, которые выполнили 345 вылетов. В районе Опочно разгромили 10 мехдивизию немцев - более 3000 машин и бронетранспортеров и несколько десятков танков (340,195).</w:t>
      </w:r>
    </w:p>
    <w:p w14:paraId="54218D4D" w14:textId="77777777" w:rsidR="00C2313B" w:rsidRPr="00F90EAE" w:rsidRDefault="00C2313B" w:rsidP="00F90EAE">
      <w:pPr>
        <w:autoSpaceDE w:val="0"/>
        <w:autoSpaceDN w:val="0"/>
        <w:adjustRightInd w:val="0"/>
        <w:jc w:val="both"/>
        <w:rPr>
          <w:color w:val="000000" w:themeColor="text1"/>
          <w:sz w:val="16"/>
          <w:szCs w:val="16"/>
        </w:rPr>
      </w:pPr>
    </w:p>
    <w:p w14:paraId="2636B7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г в результате внезапной атаки четверки Як-3 полка Нормандия-Неман немцы потеряли 4 FW190 сбитыми и еще две машины поврежденными из группы общей численностью 30 само</w:t>
      </w:r>
      <w:r w:rsidRPr="00F90EAE">
        <w:rPr>
          <w:color w:val="000000" w:themeColor="text1"/>
          <w:sz w:val="16"/>
          <w:szCs w:val="16"/>
        </w:rPr>
        <w:softHyphen/>
        <w:t>летов. Одну из побед одержал Андре. Вскоре после полудня шестерка Як-3 майора Дельфино, прикрывая поле боя, отразила удар 12 FW190. В ожес</w:t>
      </w:r>
      <w:r w:rsidRPr="00F90EAE">
        <w:rPr>
          <w:color w:val="000000" w:themeColor="text1"/>
          <w:sz w:val="16"/>
          <w:szCs w:val="16"/>
        </w:rPr>
        <w:softHyphen/>
        <w:t>точенной свалке Андре сбил еще одно</w:t>
      </w:r>
      <w:r w:rsidRPr="00F90EAE">
        <w:rPr>
          <w:color w:val="000000" w:themeColor="text1"/>
          <w:sz w:val="16"/>
          <w:szCs w:val="16"/>
        </w:rPr>
        <w:softHyphen/>
        <w:t>го “фоккера” (3956).</w:t>
      </w:r>
    </w:p>
    <w:p w14:paraId="1C1E7BB7" w14:textId="77777777" w:rsidR="00C2313B" w:rsidRPr="00F90EAE" w:rsidRDefault="00C2313B" w:rsidP="00F90EAE">
      <w:pPr>
        <w:autoSpaceDE w:val="0"/>
        <w:autoSpaceDN w:val="0"/>
        <w:adjustRightInd w:val="0"/>
        <w:jc w:val="both"/>
        <w:rPr>
          <w:color w:val="000000" w:themeColor="text1"/>
          <w:sz w:val="16"/>
          <w:szCs w:val="16"/>
        </w:rPr>
      </w:pPr>
    </w:p>
    <w:p w14:paraId="587CD5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немцы потеряли от полка Нормандия-Неман 18 FW190 и еще один Bf109. Вероятно, столкно</w:t>
      </w:r>
      <w:r w:rsidRPr="00F90EAE">
        <w:rPr>
          <w:color w:val="000000" w:themeColor="text1"/>
          <w:sz w:val="16"/>
          <w:szCs w:val="16"/>
        </w:rPr>
        <w:softHyphen/>
        <w:t>вения происходили главным образом со штурмовиками из эскадры SG3, ко</w:t>
      </w:r>
      <w:r w:rsidRPr="00F90EAE">
        <w:rPr>
          <w:color w:val="000000" w:themeColor="text1"/>
          <w:sz w:val="16"/>
          <w:szCs w:val="16"/>
        </w:rPr>
        <w:softHyphen/>
        <w:t>торые несли бомбы на внешней подве</w:t>
      </w:r>
      <w:r w:rsidRPr="00F90EAE">
        <w:rPr>
          <w:color w:val="000000" w:themeColor="text1"/>
          <w:sz w:val="16"/>
          <w:szCs w:val="16"/>
        </w:rPr>
        <w:softHyphen/>
        <w:t>ске и были скованы в маневре (из тро</w:t>
      </w:r>
      <w:r w:rsidRPr="00F90EAE">
        <w:rPr>
          <w:color w:val="000000" w:themeColor="text1"/>
          <w:sz w:val="16"/>
          <w:szCs w:val="16"/>
        </w:rPr>
        <w:softHyphen/>
        <w:t>фейных документов известно, что 16 января эскадра лишилась пяти ма</w:t>
      </w:r>
      <w:r w:rsidRPr="00F90EAE">
        <w:rPr>
          <w:color w:val="000000" w:themeColor="text1"/>
          <w:sz w:val="16"/>
          <w:szCs w:val="16"/>
        </w:rPr>
        <w:softHyphen/>
        <w:t>шин) (3956).</w:t>
      </w:r>
    </w:p>
    <w:p w14:paraId="481F1309" w14:textId="77777777" w:rsidR="00C2313B" w:rsidRPr="00F90EAE" w:rsidRDefault="00C2313B" w:rsidP="00F90EAE">
      <w:pPr>
        <w:autoSpaceDE w:val="0"/>
        <w:autoSpaceDN w:val="0"/>
        <w:adjustRightInd w:val="0"/>
        <w:jc w:val="both"/>
        <w:rPr>
          <w:color w:val="000000" w:themeColor="text1"/>
          <w:sz w:val="16"/>
          <w:szCs w:val="16"/>
        </w:rPr>
      </w:pPr>
    </w:p>
    <w:p w14:paraId="6B2A26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Первый Белорусский взял Радом (271,224).</w:t>
      </w:r>
    </w:p>
    <w:p w14:paraId="4B0FE0A2" w14:textId="77777777" w:rsidR="00C2313B" w:rsidRPr="00F90EAE" w:rsidRDefault="00C2313B" w:rsidP="00F90EAE">
      <w:pPr>
        <w:autoSpaceDE w:val="0"/>
        <w:autoSpaceDN w:val="0"/>
        <w:adjustRightInd w:val="0"/>
        <w:jc w:val="both"/>
        <w:rPr>
          <w:color w:val="000000" w:themeColor="text1"/>
          <w:sz w:val="16"/>
          <w:szCs w:val="16"/>
        </w:rPr>
      </w:pPr>
    </w:p>
    <w:p w14:paraId="3B298F14" w14:textId="77777777" w:rsidR="006F0F05" w:rsidRPr="00F90EAE" w:rsidRDefault="006F0F05" w:rsidP="00F90EAE">
      <w:pPr>
        <w:jc w:val="both"/>
        <w:rPr>
          <w:color w:val="000000" w:themeColor="text1"/>
          <w:sz w:val="16"/>
          <w:szCs w:val="16"/>
        </w:rPr>
      </w:pPr>
      <w:r w:rsidRPr="00F90EAE">
        <w:rPr>
          <w:bCs/>
          <w:color w:val="000000" w:themeColor="text1"/>
          <w:sz w:val="16"/>
          <w:szCs w:val="16"/>
        </w:rPr>
        <w:t>16 января</w:t>
      </w:r>
      <w:r w:rsidRPr="00F90EAE">
        <w:rPr>
          <w:color w:val="000000" w:themeColor="text1"/>
          <w:sz w:val="16"/>
          <w:szCs w:val="16"/>
        </w:rPr>
        <w:t xml:space="preserve"> в 1945 году войска 1-го Белорусского фронта освободили город Радом (15011).</w:t>
      </w:r>
    </w:p>
    <w:p w14:paraId="4462BF24" w14:textId="77777777" w:rsidR="006F0F05" w:rsidRPr="00F90EAE" w:rsidRDefault="006F0F05" w:rsidP="00F90EAE">
      <w:pPr>
        <w:jc w:val="both"/>
        <w:rPr>
          <w:color w:val="000000" w:themeColor="text1"/>
          <w:sz w:val="16"/>
          <w:szCs w:val="16"/>
        </w:rPr>
      </w:pPr>
    </w:p>
    <w:p w14:paraId="1B4BAFD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1A62DFD" w14:textId="77777777" w:rsidR="00C2313B" w:rsidRPr="00F90EAE" w:rsidRDefault="00C2313B" w:rsidP="00F90EAE">
      <w:pPr>
        <w:autoSpaceDE w:val="0"/>
        <w:autoSpaceDN w:val="0"/>
        <w:adjustRightInd w:val="0"/>
        <w:jc w:val="both"/>
        <w:rPr>
          <w:iCs/>
          <w:color w:val="000000" w:themeColor="text1"/>
          <w:sz w:val="16"/>
          <w:szCs w:val="16"/>
        </w:rPr>
      </w:pPr>
    </w:p>
    <w:p w14:paraId="1F3F1D0D" w14:textId="77777777" w:rsidR="00670896" w:rsidRPr="00F90EAE" w:rsidRDefault="00670896" w:rsidP="00F90EAE">
      <w:pPr>
        <w:jc w:val="both"/>
        <w:rPr>
          <w:color w:val="000000" w:themeColor="text1"/>
          <w:sz w:val="16"/>
          <w:szCs w:val="16"/>
          <w:lang w:val="en-US"/>
        </w:rPr>
      </w:pPr>
      <w:r w:rsidRPr="00F90EAE">
        <w:rPr>
          <w:color w:val="000000" w:themeColor="text1"/>
          <w:sz w:val="16"/>
          <w:szCs w:val="16"/>
        </w:rPr>
        <w:t>16 января 1945 г. 133 бомбардировщика В-24 совершили на</w:t>
      </w:r>
      <w:r w:rsidRPr="00F90EAE">
        <w:rPr>
          <w:color w:val="000000" w:themeColor="text1"/>
          <w:sz w:val="16"/>
          <w:szCs w:val="16"/>
        </w:rPr>
        <w:softHyphen/>
        <w:t>лет на дрезденскую железнодорожную сортировочную станцию. С высоты 6700 метров каждый из «Либерейторов» сбросил по восемь 500-фунтовых фугасных бомб, которые упали на часть территории сортировочной станции, повредив некоторые желез</w:t>
      </w:r>
      <w:r w:rsidRPr="00F90EAE">
        <w:rPr>
          <w:color w:val="000000" w:themeColor="text1"/>
          <w:sz w:val="16"/>
          <w:szCs w:val="16"/>
        </w:rPr>
        <w:softHyphen/>
        <w:t>нодорожные сооружения. Кроме того, несколько бомб упало на территории районной больницы. К своему великому удивлению американцы не заметили ни истребителей, ни зенитного огня. В</w:t>
      </w:r>
      <w:r w:rsidRPr="00F90EAE">
        <w:rPr>
          <w:color w:val="000000" w:themeColor="text1"/>
          <w:sz w:val="16"/>
          <w:szCs w:val="16"/>
          <w:lang w:val="en-US"/>
        </w:rPr>
        <w:t xml:space="preserve"> </w:t>
      </w:r>
      <w:r w:rsidRPr="00F90EAE">
        <w:rPr>
          <w:color w:val="000000" w:themeColor="text1"/>
          <w:sz w:val="16"/>
          <w:szCs w:val="16"/>
        </w:rPr>
        <w:t>ходе</w:t>
      </w:r>
      <w:r w:rsidRPr="00F90EAE">
        <w:rPr>
          <w:color w:val="000000" w:themeColor="text1"/>
          <w:sz w:val="16"/>
          <w:szCs w:val="16"/>
          <w:lang w:val="en-US"/>
        </w:rPr>
        <w:t xml:space="preserve"> </w:t>
      </w:r>
      <w:r w:rsidRPr="00F90EAE">
        <w:rPr>
          <w:color w:val="000000" w:themeColor="text1"/>
          <w:sz w:val="16"/>
          <w:szCs w:val="16"/>
        </w:rPr>
        <w:t>налета</w:t>
      </w:r>
      <w:r w:rsidRPr="00F90EAE">
        <w:rPr>
          <w:color w:val="000000" w:themeColor="text1"/>
          <w:sz w:val="16"/>
          <w:szCs w:val="16"/>
          <w:lang w:val="en-US"/>
        </w:rPr>
        <w:t xml:space="preserve"> </w:t>
      </w:r>
      <w:r w:rsidRPr="00F90EAE">
        <w:rPr>
          <w:color w:val="000000" w:themeColor="text1"/>
          <w:sz w:val="16"/>
          <w:szCs w:val="16"/>
        </w:rPr>
        <w:t>погибло</w:t>
      </w:r>
      <w:r w:rsidRPr="00F90EAE">
        <w:rPr>
          <w:color w:val="000000" w:themeColor="text1"/>
          <w:sz w:val="16"/>
          <w:szCs w:val="16"/>
          <w:lang w:val="en-US"/>
        </w:rPr>
        <w:t xml:space="preserve"> 376 </w:t>
      </w:r>
      <w:r w:rsidRPr="00F90EAE">
        <w:rPr>
          <w:color w:val="000000" w:themeColor="text1"/>
          <w:sz w:val="16"/>
          <w:szCs w:val="16"/>
        </w:rPr>
        <w:t>человек</w:t>
      </w:r>
      <w:r w:rsidRPr="00F90EAE">
        <w:rPr>
          <w:color w:val="000000" w:themeColor="text1"/>
          <w:sz w:val="16"/>
          <w:szCs w:val="16"/>
          <w:lang w:val="en-US"/>
        </w:rPr>
        <w:t xml:space="preserve">, </w:t>
      </w:r>
      <w:r w:rsidRPr="00F90EAE">
        <w:rPr>
          <w:color w:val="000000" w:themeColor="text1"/>
          <w:sz w:val="16"/>
          <w:szCs w:val="16"/>
        </w:rPr>
        <w:t>включая</w:t>
      </w:r>
      <w:r w:rsidRPr="00F90EAE">
        <w:rPr>
          <w:color w:val="000000" w:themeColor="text1"/>
          <w:sz w:val="16"/>
          <w:szCs w:val="16"/>
          <w:lang w:val="en-US"/>
        </w:rPr>
        <w:t xml:space="preserve"> </w:t>
      </w:r>
      <w:r w:rsidRPr="00F90EAE">
        <w:rPr>
          <w:color w:val="000000" w:themeColor="text1"/>
          <w:sz w:val="16"/>
          <w:szCs w:val="16"/>
        </w:rPr>
        <w:t>военнопленных</w:t>
      </w:r>
      <w:r w:rsidRPr="00F90EAE">
        <w:rPr>
          <w:color w:val="000000" w:themeColor="text1"/>
          <w:sz w:val="16"/>
          <w:szCs w:val="16"/>
          <w:lang w:val="en-US"/>
        </w:rPr>
        <w:t xml:space="preserve"> (19735).</w:t>
      </w:r>
    </w:p>
    <w:p w14:paraId="534A42E7" w14:textId="77777777" w:rsidR="00670896" w:rsidRPr="00F90EAE" w:rsidRDefault="00670896" w:rsidP="00F90EAE">
      <w:pPr>
        <w:jc w:val="both"/>
        <w:rPr>
          <w:color w:val="000000" w:themeColor="text1"/>
          <w:sz w:val="16"/>
          <w:szCs w:val="16"/>
          <w:lang w:val="en-US"/>
        </w:rPr>
      </w:pPr>
    </w:p>
    <w:p w14:paraId="62F5872F"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16, 1945: In the Battle of the Bulge, US and British forces brought up to block the German advance meet at Houffalize (3819).</w:t>
      </w:r>
    </w:p>
    <w:p w14:paraId="00500C2A" w14:textId="77777777" w:rsidR="00C2313B" w:rsidRPr="00F90EAE" w:rsidRDefault="00C2313B" w:rsidP="00F90EAE">
      <w:pPr>
        <w:autoSpaceDE w:val="0"/>
        <w:autoSpaceDN w:val="0"/>
        <w:adjustRightInd w:val="0"/>
        <w:jc w:val="both"/>
        <w:rPr>
          <w:color w:val="000000" w:themeColor="text1"/>
          <w:sz w:val="16"/>
          <w:szCs w:val="16"/>
          <w:lang w:val="en-US"/>
        </w:rPr>
      </w:pPr>
    </w:p>
    <w:p w14:paraId="19EF64ED"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 16 1945 U.S. 1st and 3rd Armies link up after month long separation during Battle of the Bulge (1050).</w:t>
      </w:r>
    </w:p>
    <w:p w14:paraId="0FFF9E63" w14:textId="77777777" w:rsidR="00C2313B" w:rsidRPr="00F90EAE" w:rsidRDefault="00C2313B" w:rsidP="00F90EAE">
      <w:pPr>
        <w:autoSpaceDE w:val="0"/>
        <w:autoSpaceDN w:val="0"/>
        <w:adjustRightInd w:val="0"/>
        <w:jc w:val="both"/>
        <w:rPr>
          <w:color w:val="000000" w:themeColor="text1"/>
          <w:sz w:val="16"/>
          <w:szCs w:val="16"/>
          <w:lang w:val="en-US"/>
        </w:rPr>
      </w:pPr>
    </w:p>
    <w:p w14:paraId="5C6BE5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января 1945 британская и американская армии воссоединились после победы в Арденах (1051).</w:t>
      </w:r>
    </w:p>
    <w:p w14:paraId="3262AC0D" w14:textId="77777777" w:rsidR="00C2313B" w:rsidRPr="00F90EAE" w:rsidRDefault="00C2313B" w:rsidP="00F90EAE">
      <w:pPr>
        <w:autoSpaceDE w:val="0"/>
        <w:autoSpaceDN w:val="0"/>
        <w:adjustRightInd w:val="0"/>
        <w:jc w:val="both"/>
        <w:rPr>
          <w:color w:val="000000" w:themeColor="text1"/>
          <w:sz w:val="16"/>
          <w:szCs w:val="16"/>
        </w:rPr>
      </w:pPr>
    </w:p>
    <w:p w14:paraId="7EB6CB1D" w14:textId="77777777" w:rsidR="00E31928" w:rsidRPr="00F90EAE" w:rsidRDefault="00E31928" w:rsidP="00F90EAE">
      <w:pPr>
        <w:jc w:val="both"/>
        <w:rPr>
          <w:color w:val="0070C0"/>
          <w:sz w:val="16"/>
          <w:szCs w:val="16"/>
        </w:rPr>
      </w:pPr>
      <w:r w:rsidRPr="00F90EAE">
        <w:rPr>
          <w:color w:val="0070C0"/>
          <w:sz w:val="16"/>
          <w:szCs w:val="16"/>
        </w:rPr>
        <w:t>16 января 1945 самолеты оперативной группы 38 наносят удар по Гонконгу, Хайнаню и Кантону и охватывают побережье Китая от полуострова Лючжоу до Сватоу. Из-за плохой погоды они потопили два торговых корабля и повредили четыре других и уничтожили 13 японских самолетов в обмен на потерю 22 американских самолетов в бою и пяти из-за небоевых причин. Завершается поддержка со стороны эскортных авианосцев ВМС США высадки в Лингайенском заливе. За 12 дней поддержки самолеты совершили 6 152 самолето-вылета и заявили, что 92 японских самолета уничтожены в обмен на потерю двух самолетов, оба истребителя FM Wildcat (20371).</w:t>
      </w:r>
    </w:p>
    <w:p w14:paraId="459B1D0F" w14:textId="77777777" w:rsidR="00E31928" w:rsidRPr="00F90EAE" w:rsidRDefault="00E31928" w:rsidP="00F90EAE">
      <w:pPr>
        <w:jc w:val="both"/>
        <w:rPr>
          <w:color w:val="0070C0"/>
          <w:sz w:val="16"/>
          <w:szCs w:val="16"/>
        </w:rPr>
      </w:pPr>
    </w:p>
    <w:p w14:paraId="6AB6964C" w14:textId="77777777" w:rsidR="00E31928" w:rsidRPr="00F90EAE" w:rsidRDefault="00E31928" w:rsidP="00F90EAE">
      <w:pPr>
        <w:jc w:val="both"/>
        <w:rPr>
          <w:color w:val="0070C0"/>
          <w:sz w:val="16"/>
          <w:szCs w:val="16"/>
        </w:rPr>
      </w:pPr>
      <w:r w:rsidRPr="00F90EAE">
        <w:rPr>
          <w:color w:val="0070C0"/>
          <w:sz w:val="16"/>
          <w:szCs w:val="16"/>
        </w:rPr>
        <w:t>16 января 1945 британский Тихоокеанский флот отправляется с Цейлона в Австралию.</w:t>
      </w:r>
    </w:p>
    <w:p w14:paraId="79B0D73E" w14:textId="77777777" w:rsidR="00E31928" w:rsidRPr="00F90EAE" w:rsidRDefault="00E31928" w:rsidP="00F90EAE">
      <w:pPr>
        <w:jc w:val="both"/>
        <w:rPr>
          <w:color w:val="0070C0"/>
          <w:sz w:val="16"/>
          <w:szCs w:val="16"/>
        </w:rPr>
      </w:pPr>
    </w:p>
    <w:p w14:paraId="103E6C79" w14:textId="77777777" w:rsidR="00E31928" w:rsidRPr="00F90EAE" w:rsidRDefault="00E31928" w:rsidP="00F90EAE">
      <w:pPr>
        <w:jc w:val="both"/>
        <w:rPr>
          <w:color w:val="0070C0"/>
          <w:sz w:val="16"/>
          <w:szCs w:val="16"/>
        </w:rPr>
      </w:pPr>
      <w:r w:rsidRPr="00F90EAE">
        <w:rPr>
          <w:color w:val="0070C0"/>
          <w:sz w:val="16"/>
          <w:szCs w:val="16"/>
        </w:rPr>
        <w:t xml:space="preserve">16–20 января 1945 авиация ВВС США (14 группа) уничтожила более 100 японских самолетов на земле в Шанхае и его окрестностях (20371) </w:t>
      </w:r>
    </w:p>
    <w:p w14:paraId="45D416AD" w14:textId="77777777" w:rsidR="00E31928" w:rsidRPr="00F90EAE" w:rsidRDefault="00E31928" w:rsidP="00F90EAE">
      <w:pPr>
        <w:jc w:val="both"/>
        <w:rPr>
          <w:color w:val="0070C0"/>
          <w:sz w:val="16"/>
          <w:szCs w:val="16"/>
        </w:rPr>
      </w:pPr>
    </w:p>
    <w:p w14:paraId="0E6F40E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D1A5B2D" w14:textId="77777777" w:rsidR="00C2313B" w:rsidRPr="00F90EAE" w:rsidRDefault="00C2313B" w:rsidP="00F90EAE">
      <w:pPr>
        <w:autoSpaceDE w:val="0"/>
        <w:autoSpaceDN w:val="0"/>
        <w:adjustRightInd w:val="0"/>
        <w:jc w:val="both"/>
        <w:rPr>
          <w:iCs/>
          <w:color w:val="000000" w:themeColor="text1"/>
          <w:sz w:val="16"/>
          <w:szCs w:val="16"/>
        </w:rPr>
      </w:pPr>
    </w:p>
    <w:p w14:paraId="5728A516" w14:textId="77777777" w:rsidR="006F0F05" w:rsidRPr="00F90EAE" w:rsidRDefault="006F0F05" w:rsidP="00F90EAE">
      <w:pPr>
        <w:jc w:val="both"/>
        <w:rPr>
          <w:color w:val="000000" w:themeColor="text1"/>
          <w:sz w:val="16"/>
          <w:szCs w:val="16"/>
        </w:rPr>
      </w:pPr>
      <w:r w:rsidRPr="00F90EAE">
        <w:rPr>
          <w:bCs/>
          <w:color w:val="000000" w:themeColor="text1"/>
          <w:sz w:val="16"/>
          <w:szCs w:val="16"/>
        </w:rPr>
        <w:t>17 января</w:t>
      </w:r>
      <w:r w:rsidRPr="00F90EAE">
        <w:rPr>
          <w:color w:val="000000" w:themeColor="text1"/>
          <w:sz w:val="16"/>
          <w:szCs w:val="16"/>
        </w:rPr>
        <w:t xml:space="preserve"> в 1945 году оперативная сводка Совинформбюро:</w:t>
      </w:r>
    </w:p>
    <w:p w14:paraId="4D5231BB"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перейдя в наступление 14 января на двух плацдармах на западном берегу реки Нарев севернее Варшавы, при поддержке массированных ударов артиллерии прорвали сильную глубоко эшелонированную оборону противника.</w:t>
      </w:r>
    </w:p>
    <w:p w14:paraId="654AAC9F" w14:textId="77777777" w:rsidR="006F0F05" w:rsidRPr="00F90EAE" w:rsidRDefault="006F0F05" w:rsidP="00F90EAE">
      <w:pPr>
        <w:jc w:val="both"/>
        <w:rPr>
          <w:color w:val="000000" w:themeColor="text1"/>
          <w:sz w:val="16"/>
          <w:szCs w:val="16"/>
        </w:rPr>
      </w:pPr>
      <w:r w:rsidRPr="00F90EAE">
        <w:rPr>
          <w:color w:val="000000" w:themeColor="text1"/>
          <w:sz w:val="16"/>
          <w:szCs w:val="16"/>
        </w:rPr>
        <w:t>За четыре дня боёв, преодолевая упорное сопротивление немцев, войска фронта, наступавшие на двух плацдармах, соединились и продвинулись вперёд до 40 километров, расширив прорыв до 100 километров по фронту.</w:t>
      </w:r>
    </w:p>
    <w:p w14:paraId="7CCD39DB" w14:textId="77777777" w:rsidR="006F0F05" w:rsidRPr="00F90EAE" w:rsidRDefault="006F0F05" w:rsidP="00F90EAE">
      <w:pPr>
        <w:jc w:val="both"/>
        <w:rPr>
          <w:color w:val="000000" w:themeColor="text1"/>
          <w:sz w:val="16"/>
          <w:szCs w:val="16"/>
        </w:rPr>
      </w:pPr>
      <w:r w:rsidRPr="00F90EAE">
        <w:rPr>
          <w:color w:val="000000" w:themeColor="text1"/>
          <w:sz w:val="16"/>
          <w:szCs w:val="16"/>
        </w:rPr>
        <w:t>В ходе наступления наши войска овладели сильными опорными пунктами обороны немцев городами Макув, Пултуск, Цеханув, Нове Място, Насельск, а также с боями заняли более 500 других населённых пунктов; среди них — Глажево, Дылево, Равы, Завады-Дворске, Облудзин, Козин, Зелена, Чернице, Бенки, Гонсоцин, Щавин, Андзин, Голавице, Помехувек и железнодорожные станции Насельск, Сьверче, Гонсоцин.</w:t>
      </w:r>
    </w:p>
    <w:p w14:paraId="68318E8D"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совершив стремительный обходный манёвр к западу от Варшавы, заняли город Жирардув, перерезали дороги на Сохачев, форсировали Вислу севернее Варшавы и, отрезав таким образом Варшаву с запада, 17 января путём комбинированного удара с севера, запада и юга овладели столицей союзной нам Польши городом Варшава — важнейшим стратегическим узлом обороны немцев на реке Висла.</w:t>
      </w:r>
    </w:p>
    <w:p w14:paraId="5036AB23" w14:textId="77777777" w:rsidR="006F0F05" w:rsidRPr="00F90EAE" w:rsidRDefault="006F0F05" w:rsidP="00F90EAE">
      <w:pPr>
        <w:jc w:val="both"/>
        <w:rPr>
          <w:color w:val="000000" w:themeColor="text1"/>
          <w:sz w:val="16"/>
          <w:szCs w:val="16"/>
        </w:rPr>
      </w:pPr>
      <w:r w:rsidRPr="00F90EAE">
        <w:rPr>
          <w:color w:val="000000" w:themeColor="text1"/>
          <w:sz w:val="16"/>
          <w:szCs w:val="16"/>
        </w:rPr>
        <w:t>Продолжая наступление, войска 1-го Белорусского фронта овладели городами Гура Кальвария, Тарчин, Бяла Равска, Нове Място, Шидловец, а также с боями заняли более 800 других населённых пунктов, в числе которых крупные населённые пункты Мала Весь, Домброва Нова, Трускув, Лешно, Хойната, Бабск, Доманевице, Ленгонице, Потворув, Яникув, Скшинно, Политув, Смагув, Павлув и железнодорожные станции Хынув, Чахувек, Злотоклос, Тарчин, Ясенец, Могельница, Нове Място, Рожки, Ястшомб, Шидловец.</w:t>
      </w:r>
    </w:p>
    <w:p w14:paraId="5C50377A" w14:textId="77777777" w:rsidR="006F0F05" w:rsidRPr="00F90EAE" w:rsidRDefault="006F0F05" w:rsidP="00F90EAE">
      <w:pPr>
        <w:jc w:val="both"/>
        <w:rPr>
          <w:color w:val="000000" w:themeColor="text1"/>
          <w:sz w:val="16"/>
          <w:szCs w:val="16"/>
        </w:rPr>
      </w:pPr>
      <w:r w:rsidRPr="00F90EAE">
        <w:rPr>
          <w:color w:val="000000" w:themeColor="text1"/>
          <w:sz w:val="16"/>
          <w:szCs w:val="16"/>
        </w:rPr>
        <w:t xml:space="preserve">Войска 1-го Украинского фронта, развивая успешное наступление, 17 января заняли города Пшедбуж и Радомско — важные узлы коммуникаций и опорные пункты обороны немцев и, форсировав реку Варта, стремительным ударом танковых соединений и пехоты овладели городом Ченстохова — важным узлом обороны немцев на реке Варта. В ходе наступательных боёв за 17 января войска фронта овладели также городами Вежбник, Радошице, Коньске и заняли более 700 других населённых </w:t>
      </w:r>
      <w:r w:rsidRPr="00F90EAE">
        <w:rPr>
          <w:color w:val="000000" w:themeColor="text1"/>
          <w:sz w:val="16"/>
          <w:szCs w:val="16"/>
        </w:rPr>
        <w:lastRenderedPageBreak/>
        <w:t>пунктов, среди которых крупные населённые пункты Любеня, Бодзентын, Загнаньск, Мнюв, Слупя, Олешно, Стобецко-Мейске, Плавно, Конары, Михалув, Пширув, Мокшеш, Янув, Негова, Прадла, Шице, Славнюв, Лобзув, Ивановице, Садове, Прошовице, Ксенжнице, Грембошув, Воля Женджиньска, Ленки-Гурне и железнодорожные станции Кунув-Място, Кунув, Михалув, Голеневы, Загнаньск, Кломнице, Злоты Поток, Прошовице, Чарна.</w:t>
      </w:r>
    </w:p>
    <w:p w14:paraId="0C6D3464" w14:textId="77777777" w:rsidR="006F0F05" w:rsidRPr="00F90EAE" w:rsidRDefault="006F0F05" w:rsidP="00F90EAE">
      <w:pPr>
        <w:jc w:val="both"/>
        <w:rPr>
          <w:color w:val="000000" w:themeColor="text1"/>
          <w:sz w:val="16"/>
          <w:szCs w:val="16"/>
        </w:rPr>
      </w:pPr>
      <w:r w:rsidRPr="00F90EAE">
        <w:rPr>
          <w:color w:val="000000" w:themeColor="text1"/>
          <w:sz w:val="16"/>
          <w:szCs w:val="16"/>
        </w:rPr>
        <w:t>В Будапеште наши войска, продолжая бои по уничтожению окружённой группировки противника, заняли 50 кварталов. За 16 января в Будапеште взято в плен 7.000 немецких и венгерских солдат и офицеров.</w:t>
      </w:r>
    </w:p>
    <w:p w14:paraId="547F9779" w14:textId="77777777" w:rsidR="006F0F05" w:rsidRPr="00F90EAE" w:rsidRDefault="006F0F0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3DE2F12C" w14:textId="77777777" w:rsidR="006F0F05" w:rsidRPr="00F90EAE" w:rsidRDefault="006F0F05" w:rsidP="00F90EAE">
      <w:pPr>
        <w:jc w:val="both"/>
        <w:rPr>
          <w:color w:val="000000" w:themeColor="text1"/>
          <w:sz w:val="16"/>
          <w:szCs w:val="16"/>
        </w:rPr>
      </w:pPr>
      <w:r w:rsidRPr="00F90EAE">
        <w:rPr>
          <w:color w:val="000000" w:themeColor="text1"/>
          <w:sz w:val="16"/>
          <w:szCs w:val="16"/>
        </w:rPr>
        <w:t>За 16 января наши войска на всех фронтах подбили и уничтожили 145 немецких танков. В воздушных боях и огнём зенитной артиллерии сбито 163 самолёта противника.</w:t>
      </w:r>
    </w:p>
    <w:p w14:paraId="464AF442"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14 января, после мощной артиллерийской подготовки, перешли в наступление с двух плацдармов на западном берегу реки Нарев, севернее Варшавы. Вражеская оборона в этом районе состояла из долговременных укреплений, широко развитой системы инженерных сооружений и траншей с многочисленными дзотами и дотами. Вслед за огневым валом артиллерии наши штурмовые батальоны атаковали передовые части противника и ворвались в его траншеи. Затем в атаку перешли наши основные силы и прорвали первый оборонительный рубеж немцев. Противник бросил в контратаки резервы, но все его попытки удержаться в укреплениях закончились неудачей. Преодолевая упорное сопротивление немцев и отражая их контратаки, наши войска прорвали второй, а затем и третий оборонительный рубеж противника. Таким образом, оборона немцев на всю глубину была взломана. Развивая наступление, советские пехотинцы, танкисты и артиллеристы овладели городами Макув, Пултуск, Цеханув, Нове Място. После двухдневных ожесточённых боёв гитлеровцы были выбиты также из города Насельск. Тем самым наши войска на большом участке перерезали железную дорогу, идущую из города и крепости Модлин в Восточную Пруссию. Противник спешно подтянул и ввёл в бой танковую дивизию СС «Великая Германия», 7 танковую дивизию, а также ряд других пехотных частей и дивизионов штурмовых орудий. Отбивая ожесточённые вражеские контратаки, наши войска за четыре дня наступления продвинулись вперёд до 40 километров и заняли более 500 населенных пунктов. Отступая под ударами советских войск, немцы несут огромные потери в живой силе. По неполным данным, только за первые два дня наступления нашими частями захвачено и уничтожено 114 немецких танков, 376 орудий разных калибров, более 200 миномётов и несколько сот пулемётов. Взято большое число пленных.</w:t>
      </w:r>
    </w:p>
    <w:p w14:paraId="4489688F"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развивая стремительное наступление, овладели столицей Польши — городом Варшава. Немцы в течение длительного времени укрепляли и совершенствовали свою оборону на левом берегу Вислы. Варшава являлась важнейшим стратегическим узлом этой обороны противника. Наши войска, стремительно обходя Варшаву с запада, ворвались в город Жирардув, расположенный на железнодорожной магистрали Варшава—Ченстохова, и после короткого боя овладели им. Одновременно наши войска очистили междуречье Западного Буга и Вислы, переправились через Вислу и заняли плацдарм на её левом берегу. Сегодня советские войска совместно с частями 1-й Польской армии с разных сторон ворвались на улицы Варшавы. В результате комбинированного удара с севера, запада и юга польская столица освобождена от немецких захватчиков.</w:t>
      </w:r>
    </w:p>
    <w:p w14:paraId="667D14F5" w14:textId="77777777" w:rsidR="006F0F05" w:rsidRPr="00F90EAE" w:rsidRDefault="006F0F05" w:rsidP="00F90EAE">
      <w:pPr>
        <w:jc w:val="both"/>
        <w:rPr>
          <w:color w:val="000000" w:themeColor="text1"/>
          <w:sz w:val="16"/>
          <w:szCs w:val="16"/>
        </w:rPr>
      </w:pPr>
      <w:r w:rsidRPr="00F90EAE">
        <w:rPr>
          <w:color w:val="000000" w:themeColor="text1"/>
          <w:sz w:val="16"/>
          <w:szCs w:val="16"/>
        </w:rPr>
        <w:t>Продолжая наступление, войска фронта с боями продвигались вперёд. Советские подвижные части прорываются в тылы противника, подавляют узлы сопротивления, громят его коммуникации и подходящие резервы. В течение дня наши части заняли ряд городов и более 800 населённых пунктов. В ходе боёв противник несёт исключительно тяжёлые потери. В одном районе бойцы Н-ского соединения наголову разбили 73-ю немецкую пехотную дивизию. На поле боя в районе действий этой дивизии подсчитано более двух тысяч трупов немецких солдат и офицеров. Остатки 73-й немецкой дивизии, численностью в 600 человек, взяты в плен. По предварительным данным, наши войска за день захватили у немцев 25 танков, 122 орудия, 211 миномётов, 378 пулеметов и другие трофеи.</w:t>
      </w:r>
    </w:p>
    <w:p w14:paraId="6799E121"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Украинского фронта развивали успешное наступление. Наши части, форсировавшие вчера реку Пилица, стремительно продвигались вперёд. Немцы отчаянно сопротивлялись, пытаясь приостановить наступление советских войск и закрепиться на заранее подготовленном рубеже. Наши войска опрокинули противника и, преследуя его, с хода заняли город Радомско. Форсировав с боями реку Варта, южнее Радомско, советские танкисты и пехотинцы устремились к городу Ченстохова. С востока путь к городу преграждал сильный оборонительный рубеж. В 12 километрах восточнее Ченстохова немцы построили противотанковые препятствия, отрыли большой противотанковый ров. Совершив смелый манёвр, наши части обошли город с севера и ворвались на его окраины. Противник был застигнут врасплох, так как он меньше всего ожидал удара с северной стороны. В результате ожесточённых боёв наши войска овладели городом Ченстохова. Этот город является крупным промышленным центром в Юго-Западной Польше и важным узлом железных дорог. Нашими войсками в Ченстохове захвачены большие трофеи, в том числе военные склады.</w:t>
      </w:r>
    </w:p>
    <w:p w14:paraId="155E9EEF" w14:textId="77777777" w:rsidR="006F0F05" w:rsidRPr="00F90EAE" w:rsidRDefault="006F0F05" w:rsidP="00F90EAE">
      <w:pPr>
        <w:jc w:val="both"/>
        <w:rPr>
          <w:color w:val="000000" w:themeColor="text1"/>
          <w:sz w:val="16"/>
          <w:szCs w:val="16"/>
        </w:rPr>
      </w:pPr>
      <w:r w:rsidRPr="00F90EAE">
        <w:rPr>
          <w:color w:val="000000" w:themeColor="text1"/>
          <w:sz w:val="16"/>
          <w:szCs w:val="16"/>
        </w:rPr>
        <w:t>Авиацией Краснознаменного Балтийского флота в южной части Балтийского моря потоплены два немецких транспорта общим водоизмещением в 7 тысяч тонн.» (15012).</w:t>
      </w:r>
    </w:p>
    <w:p w14:paraId="6A03F889" w14:textId="77777777" w:rsidR="006F0F05" w:rsidRPr="00F90EAE" w:rsidRDefault="006F0F05" w:rsidP="00F90EAE">
      <w:pPr>
        <w:jc w:val="both"/>
        <w:rPr>
          <w:color w:val="000000" w:themeColor="text1"/>
          <w:sz w:val="16"/>
          <w:szCs w:val="16"/>
        </w:rPr>
      </w:pPr>
    </w:p>
    <w:p w14:paraId="35628513" w14:textId="77777777" w:rsidR="00670896" w:rsidRPr="00F90EAE" w:rsidRDefault="00670896" w:rsidP="00F90EAE">
      <w:pPr>
        <w:jc w:val="both"/>
        <w:rPr>
          <w:color w:val="000000" w:themeColor="text1"/>
          <w:sz w:val="16"/>
          <w:szCs w:val="16"/>
        </w:rPr>
      </w:pPr>
      <w:r w:rsidRPr="00F90EAE">
        <w:rPr>
          <w:color w:val="000000" w:themeColor="text1"/>
          <w:sz w:val="16"/>
          <w:szCs w:val="16"/>
        </w:rPr>
        <w:t>17 января 1945 года в районе Гжмионца, отражая немецкую контратаку, батарея 399-го ГвТСАП под командованием гвардии старшего лейтенанта Е.П. Дудника уничтожила 3 танка и 2 бронетранспортёра. Эффективно показал в себя в боях и 364-й ГвТСАП, переформированный из 74-го ГвТТП — особенно полк отличился в боях марта-апреля 1945 года. Наиболее отличившимся оказался гвардии лейтенант В.В. Богатырёв — за период с 18 марта по 3 апреля 1945 года его САУ уничтожила 2 танка и 3 самоходки. Богатырёв погиб в бою 3 апреля 1945 года и был посмертно удостоен звания Героя Советского Союза.</w:t>
      </w:r>
    </w:p>
    <w:p w14:paraId="1F97F38F" w14:textId="77777777" w:rsidR="00670896" w:rsidRPr="00F90EAE" w:rsidRDefault="00670896" w:rsidP="00F90EAE">
      <w:pPr>
        <w:jc w:val="both"/>
        <w:rPr>
          <w:color w:val="000000" w:themeColor="text1"/>
          <w:sz w:val="16"/>
          <w:szCs w:val="16"/>
        </w:rPr>
      </w:pPr>
      <w:r w:rsidRPr="00F90EAE">
        <w:rPr>
          <w:color w:val="000000" w:themeColor="text1"/>
          <w:sz w:val="16"/>
          <w:szCs w:val="16"/>
        </w:rPr>
        <w:t>Отсутствие большого количества самоходчиков-асов в случае с ИСУ-122 ничего не означает. Задачей этих машин являлось взаимодействие со стрелковыми и танковыми частями. С точки зрения боевой эффективности наиболее близким аналогом ИСУ-122 являлся немецкий истребитель танков </w:t>
      </w:r>
      <w:hyperlink r:id="rId13" w:history="1">
        <w:r w:rsidRPr="00F90EAE">
          <w:rPr>
            <w:rStyle w:val="a5"/>
            <w:color w:val="000000" w:themeColor="text1"/>
            <w:sz w:val="16"/>
            <w:szCs w:val="16"/>
          </w:rPr>
          <w:t>«Ягдпантера»</w:t>
        </w:r>
      </w:hyperlink>
      <w:r w:rsidRPr="00F90EAE">
        <w:rPr>
          <w:color w:val="000000" w:themeColor="text1"/>
          <w:sz w:val="16"/>
          <w:szCs w:val="16"/>
        </w:rPr>
        <w:t>. Немецкая машина оказалась лучше защищена, обладала вдвое бо́льшим боекомплектом и оборонительным вооружением в виде курсового пулемёта, но при этом уступала по вооружению, а главное, по массовости выпуска. За 1944-1945 годы «Ягдпантер» сдали всего 413 штук, из них 226 — за 1944 год. В результате увидеть «Ягдпантеру» в бою можно было не столь и часто, а ИСУ-122 и ИСУ-122с ближе к концу 1944 года сражались практически на всех фронтах.</w:t>
      </w:r>
    </w:p>
    <w:p w14:paraId="23677DA2" w14:textId="77777777" w:rsidR="00670896" w:rsidRPr="00F90EAE" w:rsidRDefault="00670896" w:rsidP="00F90EAE">
      <w:pPr>
        <w:jc w:val="both"/>
        <w:rPr>
          <w:color w:val="000000" w:themeColor="text1"/>
          <w:sz w:val="16"/>
          <w:szCs w:val="16"/>
        </w:rPr>
      </w:pPr>
      <w:r w:rsidRPr="00F90EAE">
        <w:rPr>
          <w:color w:val="000000" w:themeColor="text1"/>
          <w:sz w:val="16"/>
          <w:szCs w:val="16"/>
        </w:rPr>
        <w:t>Ещё одной причиной, почему ИСУ-122 оказалась в тени ИСУ-152, является продолжительность карьеры. Дело в том, что эти машины прослужили в исходном облике не так уж и долго. Как ни странно, препятствием долгой карьере стало орудие. К середине 50-х годов А-19 и Д-25с выглядели устаревшими, поэтому ИСУ-122 стали либо списывать, либо переделывать в различные спецмашины. В таком виде немало их сохранилось до наших дней, более того, они даже умудрились таким образом повоевать. Кроме того, ИСУ-122 успели попасть на вооружение нескольких стран. Эти машины можно было увидеть в польской армии (к слову, единственная дожившая до наших дней ИСУ-122с находится как раз в Польше), поставлялись они и в Китай (18335).</w:t>
      </w:r>
    </w:p>
    <w:p w14:paraId="544B6AAB" w14:textId="77777777" w:rsidR="00670896" w:rsidRPr="00F90EAE" w:rsidRDefault="00670896" w:rsidP="00F90EAE">
      <w:pPr>
        <w:jc w:val="both"/>
        <w:rPr>
          <w:color w:val="000000" w:themeColor="text1"/>
          <w:sz w:val="16"/>
          <w:szCs w:val="16"/>
        </w:rPr>
      </w:pPr>
    </w:p>
    <w:p w14:paraId="6C48128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января 1945 советские</w:t>
      </w:r>
      <w:r w:rsidR="00670896" w:rsidRPr="00F90EAE">
        <w:rPr>
          <w:color w:val="000000" w:themeColor="text1"/>
          <w:sz w:val="16"/>
          <w:szCs w:val="16"/>
        </w:rPr>
        <w:t xml:space="preserve"> </w:t>
      </w:r>
      <w:r w:rsidRPr="00F90EAE">
        <w:rPr>
          <w:color w:val="000000" w:themeColor="text1"/>
          <w:sz w:val="16"/>
          <w:szCs w:val="16"/>
        </w:rPr>
        <w:t>войска</w:t>
      </w:r>
      <w:r w:rsidR="00670896" w:rsidRPr="00F90EAE">
        <w:rPr>
          <w:color w:val="000000" w:themeColor="text1"/>
          <w:sz w:val="16"/>
          <w:szCs w:val="16"/>
        </w:rPr>
        <w:t xml:space="preserve"> </w:t>
      </w:r>
      <w:r w:rsidRPr="00F90EAE">
        <w:rPr>
          <w:color w:val="000000" w:themeColor="text1"/>
          <w:sz w:val="16"/>
          <w:szCs w:val="16"/>
        </w:rPr>
        <w:t>взяли</w:t>
      </w:r>
      <w:r w:rsidR="00670896" w:rsidRPr="00F90EAE">
        <w:rPr>
          <w:color w:val="000000" w:themeColor="text1"/>
          <w:sz w:val="16"/>
          <w:szCs w:val="16"/>
        </w:rPr>
        <w:t xml:space="preserve"> </w:t>
      </w:r>
      <w:r w:rsidRPr="00F90EAE">
        <w:rPr>
          <w:color w:val="000000" w:themeColor="text1"/>
          <w:sz w:val="16"/>
          <w:szCs w:val="16"/>
        </w:rPr>
        <w:t>Варшаву (4962).</w:t>
      </w:r>
    </w:p>
    <w:p w14:paraId="23FB171D"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2B2802F" w14:textId="77777777" w:rsidR="003C7C9A" w:rsidRPr="00F90EAE" w:rsidRDefault="003C7C9A"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17 January 1945 Warsaw falls to the Red Army (270).</w:t>
      </w:r>
    </w:p>
    <w:p w14:paraId="44EC844F" w14:textId="77777777" w:rsidR="003C7C9A" w:rsidRPr="00F90EAE" w:rsidRDefault="003C7C9A" w:rsidP="00F90EAE">
      <w:pPr>
        <w:autoSpaceDE w:val="0"/>
        <w:autoSpaceDN w:val="0"/>
        <w:adjustRightInd w:val="0"/>
        <w:jc w:val="both"/>
        <w:rPr>
          <w:color w:val="000000" w:themeColor="text1"/>
          <w:sz w:val="16"/>
          <w:szCs w:val="16"/>
          <w:lang w:val="en-US"/>
        </w:rPr>
      </w:pPr>
    </w:p>
    <w:p w14:paraId="409CA0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СА освободила Варшаву (270).</w:t>
      </w:r>
    </w:p>
    <w:p w14:paraId="53CB9A87" w14:textId="77777777" w:rsidR="00C2313B" w:rsidRPr="00F90EAE" w:rsidRDefault="00C2313B" w:rsidP="00F90EAE">
      <w:pPr>
        <w:autoSpaceDE w:val="0"/>
        <w:autoSpaceDN w:val="0"/>
        <w:adjustRightInd w:val="0"/>
        <w:jc w:val="both"/>
        <w:rPr>
          <w:color w:val="000000" w:themeColor="text1"/>
          <w:sz w:val="16"/>
          <w:szCs w:val="16"/>
        </w:rPr>
      </w:pPr>
    </w:p>
    <w:p w14:paraId="44F41CE9" w14:textId="77777777" w:rsidR="006F0F05" w:rsidRPr="00F90EAE" w:rsidRDefault="006F0F05" w:rsidP="00F90EAE">
      <w:pPr>
        <w:jc w:val="both"/>
        <w:rPr>
          <w:color w:val="000000" w:themeColor="text1"/>
          <w:sz w:val="16"/>
          <w:szCs w:val="16"/>
        </w:rPr>
      </w:pPr>
      <w:r w:rsidRPr="00F90EAE">
        <w:rPr>
          <w:bCs/>
          <w:color w:val="000000" w:themeColor="text1"/>
          <w:sz w:val="16"/>
          <w:szCs w:val="16"/>
        </w:rPr>
        <w:t>17 января</w:t>
      </w:r>
      <w:r w:rsidRPr="00F90EAE">
        <w:rPr>
          <w:color w:val="000000" w:themeColor="text1"/>
          <w:sz w:val="16"/>
          <w:szCs w:val="16"/>
        </w:rPr>
        <w:t xml:space="preserve"> в 1945 году в ходе проведения Висло-Одерской стратегической наступательной операции войска 1-го Белорусского фронта (Маршал Советского Союза Г.К.Жуков) (47-я, 61-я, 2-я гвардейская танковая армии) и 1-й армии Войска Польского освободили город Варшаву (15012).</w:t>
      </w:r>
    </w:p>
    <w:p w14:paraId="6405F7C0" w14:textId="77777777" w:rsidR="006F0F05" w:rsidRPr="00F90EAE" w:rsidRDefault="006F0F05" w:rsidP="00F90EAE">
      <w:pPr>
        <w:jc w:val="both"/>
        <w:rPr>
          <w:color w:val="000000" w:themeColor="text1"/>
          <w:sz w:val="16"/>
          <w:szCs w:val="16"/>
        </w:rPr>
      </w:pPr>
    </w:p>
    <w:p w14:paraId="53FE6A2C" w14:textId="77777777" w:rsidR="00EC624D" w:rsidRPr="00F90EAE" w:rsidRDefault="00EC624D" w:rsidP="00F90EAE">
      <w:pPr>
        <w:jc w:val="both"/>
        <w:rPr>
          <w:color w:val="000000" w:themeColor="text1"/>
          <w:sz w:val="16"/>
          <w:szCs w:val="16"/>
        </w:rPr>
      </w:pPr>
      <w:r w:rsidRPr="00F90EAE">
        <w:rPr>
          <w:color w:val="000000" w:themeColor="text1"/>
          <w:sz w:val="16"/>
          <w:szCs w:val="16"/>
        </w:rPr>
        <w:t>17 января 1945 г. войсками 1-й армии Войска Польского освобождена Варшава, следом вошли войска маршала Жукова. Город стоял в руинах, населения практически не было (17459).</w:t>
      </w:r>
    </w:p>
    <w:p w14:paraId="623C09A0" w14:textId="77777777" w:rsidR="00EC624D" w:rsidRPr="00F90EAE" w:rsidRDefault="00EC624D" w:rsidP="00F90EAE">
      <w:pPr>
        <w:jc w:val="both"/>
        <w:rPr>
          <w:color w:val="000000" w:themeColor="text1"/>
          <w:sz w:val="16"/>
          <w:szCs w:val="16"/>
        </w:rPr>
      </w:pPr>
    </w:p>
    <w:p w14:paraId="344A31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СА освободила Краков (3186).</w:t>
      </w:r>
    </w:p>
    <w:p w14:paraId="1D6122BA" w14:textId="77777777" w:rsidR="00C2313B" w:rsidRPr="00F90EAE" w:rsidRDefault="00C2313B" w:rsidP="00F90EAE">
      <w:pPr>
        <w:autoSpaceDE w:val="0"/>
        <w:autoSpaceDN w:val="0"/>
        <w:adjustRightInd w:val="0"/>
        <w:jc w:val="both"/>
        <w:rPr>
          <w:color w:val="000000" w:themeColor="text1"/>
          <w:sz w:val="16"/>
          <w:szCs w:val="16"/>
        </w:rPr>
      </w:pPr>
    </w:p>
    <w:p w14:paraId="327E01BA" w14:textId="77777777" w:rsidR="00BD0937" w:rsidRPr="00F90EAE" w:rsidRDefault="00BD0937"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г. рано утром в Краковском Ягелонском замке, древней резиденции польских королей, где немцы устроили огромный склад боеприпасов, советские разведчики устроили диверсию. П</w:t>
      </w:r>
      <w:r w:rsidRPr="00F90EAE">
        <w:rPr>
          <w:bCs/>
          <w:color w:val="000000" w:themeColor="text1"/>
          <w:sz w:val="16"/>
          <w:szCs w:val="16"/>
        </w:rPr>
        <w:t>ольский коммунист под видом грузчика внес в замок мину и вложил ее в штабеля со снарядами.</w:t>
      </w:r>
      <w:r w:rsidRPr="00F90EAE">
        <w:rPr>
          <w:color w:val="000000" w:themeColor="text1"/>
          <w:sz w:val="16"/>
          <w:szCs w:val="16"/>
        </w:rPr>
        <w:t xml:space="preserve"> Прогремел взрыв, но Краков был спасен. 19 января в Краков вошли советские войска (17459).</w:t>
      </w:r>
    </w:p>
    <w:p w14:paraId="27151357" w14:textId="77777777" w:rsidR="00BD0937" w:rsidRPr="00F90EAE" w:rsidRDefault="00BD0937" w:rsidP="00F90EAE">
      <w:pPr>
        <w:autoSpaceDE w:val="0"/>
        <w:autoSpaceDN w:val="0"/>
        <w:adjustRightInd w:val="0"/>
        <w:jc w:val="both"/>
        <w:rPr>
          <w:color w:val="000000" w:themeColor="text1"/>
          <w:sz w:val="16"/>
          <w:szCs w:val="16"/>
        </w:rPr>
      </w:pPr>
    </w:p>
    <w:p w14:paraId="6E93B11E"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17, 1945: The Red Army captures Czenstochova, while German forces evacuate Warsaw. The German defenders of encircled Budapest withdraw to Buda on the western bank of the Danube (3819).</w:t>
      </w:r>
    </w:p>
    <w:p w14:paraId="32FEB4CD" w14:textId="77777777" w:rsidR="00C2313B" w:rsidRPr="00F90EAE" w:rsidRDefault="00C2313B" w:rsidP="00F90EAE">
      <w:pPr>
        <w:autoSpaceDE w:val="0"/>
        <w:autoSpaceDN w:val="0"/>
        <w:adjustRightInd w:val="0"/>
        <w:jc w:val="both"/>
        <w:rPr>
          <w:color w:val="000000" w:themeColor="text1"/>
          <w:sz w:val="16"/>
          <w:szCs w:val="16"/>
          <w:lang w:val="en-US"/>
        </w:rPr>
      </w:pPr>
    </w:p>
    <w:p w14:paraId="706ADB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КА освободила Ченстохову, а немецкая армия оставила Варшаву. Немецкие части, оборонявшие Будапешт, отошли в Буду на западном берегу Дуная (3819).</w:t>
      </w:r>
    </w:p>
    <w:p w14:paraId="4E6D5B4B" w14:textId="77777777" w:rsidR="00C2313B" w:rsidRPr="00F90EAE" w:rsidRDefault="00C2313B" w:rsidP="00F90EAE">
      <w:pPr>
        <w:autoSpaceDE w:val="0"/>
        <w:autoSpaceDN w:val="0"/>
        <w:adjustRightInd w:val="0"/>
        <w:jc w:val="both"/>
        <w:rPr>
          <w:color w:val="000000" w:themeColor="text1"/>
          <w:sz w:val="16"/>
          <w:szCs w:val="16"/>
        </w:rPr>
      </w:pPr>
    </w:p>
    <w:p w14:paraId="54541932" w14:textId="77777777" w:rsidR="00EC624D" w:rsidRPr="00F90EAE" w:rsidRDefault="00EC624D" w:rsidP="00F90EAE">
      <w:pPr>
        <w:autoSpaceDE w:val="0"/>
        <w:autoSpaceDN w:val="0"/>
        <w:adjustRightInd w:val="0"/>
        <w:jc w:val="both"/>
        <w:rPr>
          <w:color w:val="000000" w:themeColor="text1"/>
          <w:sz w:val="16"/>
          <w:szCs w:val="16"/>
        </w:rPr>
      </w:pPr>
      <w:r w:rsidRPr="00F90EAE">
        <w:rPr>
          <w:color w:val="000000" w:themeColor="text1"/>
          <w:sz w:val="16"/>
          <w:szCs w:val="16"/>
        </w:rPr>
        <w:t>17 января</w:t>
      </w:r>
      <w:r w:rsidRPr="00F90EAE">
        <w:rPr>
          <w:bCs/>
          <w:color w:val="000000" w:themeColor="text1"/>
          <w:sz w:val="16"/>
          <w:szCs w:val="16"/>
        </w:rPr>
        <w:t xml:space="preserve"> 1945 на Пештской стороне началось решающее сражение. В 19 часов 35 минут Пфеффер-Вильденбрух все-таки получил разрешение покинуть восточную часть венгерской столицы (собственно Пешт). Речь велась уже о том, чтобы слить немецкие части, которые располагались в Буде и Пеште. При этом было чудом, что немцы в течение одного дня смогли перекинуть бронированную технику по почти разрушенным мостам в Буду. В тот же день немцами был взорван Эржебетский мост. Они опасались, что он попадет в руки советских солдат (17459).</w:t>
      </w:r>
    </w:p>
    <w:p w14:paraId="395781E9" w14:textId="77777777" w:rsidR="00EC624D" w:rsidRPr="00F90EAE" w:rsidRDefault="00EC624D" w:rsidP="00F90EAE">
      <w:pPr>
        <w:autoSpaceDE w:val="0"/>
        <w:autoSpaceDN w:val="0"/>
        <w:adjustRightInd w:val="0"/>
        <w:jc w:val="both"/>
        <w:rPr>
          <w:color w:val="000000" w:themeColor="text1"/>
          <w:sz w:val="16"/>
          <w:szCs w:val="16"/>
        </w:rPr>
      </w:pPr>
    </w:p>
    <w:p w14:paraId="6D1F8C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мл-л А.Колядка, у которого в воздухе загорелся мотор, направил Ил-2 в скопление живой силы и техники (455,162).</w:t>
      </w:r>
    </w:p>
    <w:p w14:paraId="6E6F4727" w14:textId="77777777" w:rsidR="00C2313B" w:rsidRPr="00F90EAE" w:rsidRDefault="00C2313B" w:rsidP="00F90EAE">
      <w:pPr>
        <w:autoSpaceDE w:val="0"/>
        <w:autoSpaceDN w:val="0"/>
        <w:adjustRightInd w:val="0"/>
        <w:jc w:val="both"/>
        <w:rPr>
          <w:color w:val="000000" w:themeColor="text1"/>
          <w:sz w:val="16"/>
          <w:szCs w:val="16"/>
        </w:rPr>
      </w:pPr>
    </w:p>
    <w:p w14:paraId="3E098D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на аэродроме Допинен совершил посадку чудовищно искалеченный Як-3 коман</w:t>
      </w:r>
      <w:r w:rsidRPr="00F90EAE">
        <w:rPr>
          <w:color w:val="000000" w:themeColor="text1"/>
          <w:sz w:val="16"/>
          <w:szCs w:val="16"/>
        </w:rPr>
        <w:softHyphen/>
        <w:t>дира эскадрильи капитана Рене Шарля. Шестой лично сбитый “фоккера” до</w:t>
      </w:r>
      <w:r w:rsidRPr="00F90EAE">
        <w:rPr>
          <w:color w:val="000000" w:themeColor="text1"/>
          <w:sz w:val="16"/>
          <w:szCs w:val="16"/>
        </w:rPr>
        <w:softHyphen/>
        <w:t>рого обошелся Шаллю: в его машину попало не менее четырех пушечных снарядов. Вся прозрачная часть фона</w:t>
      </w:r>
      <w:r w:rsidRPr="00F90EAE">
        <w:rPr>
          <w:color w:val="000000" w:themeColor="text1"/>
          <w:sz w:val="16"/>
          <w:szCs w:val="16"/>
        </w:rPr>
        <w:softHyphen/>
        <w:t>ря, включая козырек, была снесена. В районе кабины в борту фюзеляжа зи</w:t>
      </w:r>
      <w:r w:rsidRPr="00F90EAE">
        <w:rPr>
          <w:color w:val="000000" w:themeColor="text1"/>
          <w:sz w:val="16"/>
          <w:szCs w:val="16"/>
        </w:rPr>
        <w:softHyphen/>
        <w:t>яла огромная пробоина, в которую мог протиснуться человек, еще две при</w:t>
      </w:r>
      <w:r w:rsidRPr="00F90EAE">
        <w:rPr>
          <w:color w:val="000000" w:themeColor="text1"/>
          <w:sz w:val="16"/>
          <w:szCs w:val="16"/>
        </w:rPr>
        <w:softHyphen/>
        <w:t>мерно такие же дыры “просвечивали” в крыле. Тяжело раненый пилот чудом привел и посадил машину, которая, ка</w:t>
      </w:r>
      <w:r w:rsidRPr="00F90EAE">
        <w:rPr>
          <w:color w:val="000000" w:themeColor="text1"/>
          <w:sz w:val="16"/>
          <w:szCs w:val="16"/>
        </w:rPr>
        <w:softHyphen/>
        <w:t>залось, не подлежала восстановлению. Но три советских механика из ПАРМ-1 (старшина Юзефович, старшие сер</w:t>
      </w:r>
      <w:r w:rsidRPr="00F90EAE">
        <w:rPr>
          <w:color w:val="000000" w:themeColor="text1"/>
          <w:sz w:val="16"/>
          <w:szCs w:val="16"/>
        </w:rPr>
        <w:softHyphen/>
        <w:t>жанты Смирнов и Муравьев) в течение суток полностью починили избитый “Як”. В полевых условиях заварили фермы и рамы фюзеляжа, восстанови</w:t>
      </w:r>
      <w:r w:rsidRPr="00F90EAE">
        <w:rPr>
          <w:color w:val="000000" w:themeColor="text1"/>
          <w:sz w:val="16"/>
          <w:szCs w:val="16"/>
        </w:rPr>
        <w:softHyphen/>
        <w:t>ли фонарь кабины и залатали крыло (при этом пришлось полностью заме</w:t>
      </w:r>
      <w:r w:rsidRPr="00F90EAE">
        <w:rPr>
          <w:color w:val="000000" w:themeColor="text1"/>
          <w:sz w:val="16"/>
          <w:szCs w:val="16"/>
        </w:rPr>
        <w:softHyphen/>
        <w:t>нить несколько нервюр). Инженер пол</w:t>
      </w:r>
      <w:r w:rsidRPr="00F90EAE">
        <w:rPr>
          <w:color w:val="000000" w:themeColor="text1"/>
          <w:sz w:val="16"/>
          <w:szCs w:val="16"/>
        </w:rPr>
        <w:softHyphen/>
        <w:t>ка капитан Агавельян только руками развел от удивления (3956).</w:t>
      </w:r>
    </w:p>
    <w:p w14:paraId="0F7A6B8B" w14:textId="77777777" w:rsidR="00C2313B" w:rsidRPr="00F90EAE" w:rsidRDefault="00C2313B" w:rsidP="00F90EAE">
      <w:pPr>
        <w:autoSpaceDE w:val="0"/>
        <w:autoSpaceDN w:val="0"/>
        <w:adjustRightInd w:val="0"/>
        <w:jc w:val="both"/>
        <w:rPr>
          <w:color w:val="000000" w:themeColor="text1"/>
          <w:sz w:val="16"/>
          <w:szCs w:val="16"/>
        </w:rPr>
      </w:pPr>
    </w:p>
    <w:p w14:paraId="667C65B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D565254" w14:textId="77777777" w:rsidR="00C2313B" w:rsidRPr="00F90EAE" w:rsidRDefault="00C2313B" w:rsidP="00F90EAE">
      <w:pPr>
        <w:autoSpaceDE w:val="0"/>
        <w:autoSpaceDN w:val="0"/>
        <w:adjustRightInd w:val="0"/>
        <w:jc w:val="both"/>
        <w:rPr>
          <w:iCs/>
          <w:color w:val="000000" w:themeColor="text1"/>
          <w:sz w:val="16"/>
          <w:szCs w:val="16"/>
        </w:rPr>
      </w:pPr>
    </w:p>
    <w:p w14:paraId="03A1333E" w14:textId="77777777" w:rsidR="006F0F05" w:rsidRPr="00F90EAE" w:rsidRDefault="006F0F05" w:rsidP="00F90EAE">
      <w:pPr>
        <w:jc w:val="both"/>
        <w:rPr>
          <w:bCs/>
          <w:color w:val="000000" w:themeColor="text1"/>
          <w:sz w:val="16"/>
          <w:szCs w:val="16"/>
        </w:rPr>
      </w:pPr>
      <w:r w:rsidRPr="00F90EAE">
        <w:rPr>
          <w:bCs/>
          <w:color w:val="000000" w:themeColor="text1"/>
          <w:sz w:val="16"/>
          <w:szCs w:val="16"/>
        </w:rPr>
        <w:t>17 января</w:t>
      </w:r>
      <w:r w:rsidRPr="00F90EAE">
        <w:rPr>
          <w:color w:val="000000" w:themeColor="text1"/>
          <w:sz w:val="16"/>
          <w:szCs w:val="16"/>
        </w:rPr>
        <w:t xml:space="preserve"> в 1945 году отдан приказ об остановке дальнейших исследований по разработке и созданию управляемой зенитной ракеты «Enzian» (растение горечавка). Работой руководил доктор Вурстер (Wurster). Работы по ее созданию развернулись в 1943 году в Аугсбурге. После нескольких бомбежек исследовательских лабораторий КБ было переведено в Зонтхофен, а затем включено в штат фирмы «Messerschmitt» в Обераммергау.</w:t>
      </w:r>
    </w:p>
    <w:p w14:paraId="5A377304" w14:textId="77777777" w:rsidR="006F0F05" w:rsidRPr="00F90EAE" w:rsidRDefault="006F0F05" w:rsidP="00F90EAE">
      <w:pPr>
        <w:jc w:val="both"/>
        <w:rPr>
          <w:color w:val="000000" w:themeColor="text1"/>
          <w:sz w:val="16"/>
          <w:szCs w:val="16"/>
        </w:rPr>
      </w:pPr>
      <w:r w:rsidRPr="00F90EAE">
        <w:rPr>
          <w:color w:val="000000" w:themeColor="text1"/>
          <w:sz w:val="16"/>
          <w:szCs w:val="16"/>
        </w:rPr>
        <w:t>В ходе работ над проектом Вурстер основывался на конструкции ракетного истребителя-перехватчика «Me-163», лишенного хвостового оперения. Поэтому объект «Энциан», вначале обозначавшийся индексом FR — Flakrakete (зенитная ракета) по внешнему виду более напоминал самолет, чем управляемый снаряд (эта схема вообще относилась к наиболее широко распространенным в Германии). В действительности последние продолжались вплоть до марта, когда была предпринята последняя неудачная попытка пересмотреть январское распоряжение. По этой причине ракета «Энциан» пополнила длинный перечень незавершенных германских проектов «чудо-оружия» (15012).</w:t>
      </w:r>
    </w:p>
    <w:p w14:paraId="1C4441B6" w14:textId="77777777" w:rsidR="006F0F05" w:rsidRPr="00F90EAE" w:rsidRDefault="006F0F05" w:rsidP="00F90EAE">
      <w:pPr>
        <w:jc w:val="both"/>
        <w:rPr>
          <w:color w:val="000000" w:themeColor="text1"/>
          <w:sz w:val="16"/>
          <w:szCs w:val="16"/>
        </w:rPr>
      </w:pPr>
    </w:p>
    <w:p w14:paraId="56D564C4" w14:textId="77777777" w:rsidR="00FF3904" w:rsidRPr="00F90EAE" w:rsidRDefault="00FF3904" w:rsidP="00F90EAE">
      <w:pPr>
        <w:jc w:val="both"/>
        <w:rPr>
          <w:color w:val="0070C0"/>
          <w:sz w:val="16"/>
          <w:szCs w:val="16"/>
        </w:rPr>
      </w:pPr>
      <w:r w:rsidRPr="00F90EAE">
        <w:rPr>
          <w:color w:val="0070C0"/>
          <w:sz w:val="16"/>
          <w:szCs w:val="16"/>
        </w:rPr>
        <w:t>17 января 1945 г. был заключен контракт с фирмой Конвер на три ХВ-46 по схеме «оплата издержек плюс твердая прибыль». В феврале ма</w:t>
      </w:r>
      <w:r w:rsidRPr="00F90EAE">
        <w:rPr>
          <w:color w:val="0070C0"/>
          <w:sz w:val="16"/>
          <w:szCs w:val="16"/>
        </w:rPr>
        <w:softHyphen/>
        <w:t>кет самолета утвердили, но 27 февраля из договора был изъят пункт о прибыли, а в августе заказ и вовсе был аннулирован в связи с принятием решения о запуске в серию бомбардировщи</w:t>
      </w:r>
      <w:r w:rsidRPr="00F90EAE">
        <w:rPr>
          <w:color w:val="0070C0"/>
          <w:sz w:val="16"/>
          <w:szCs w:val="16"/>
        </w:rPr>
        <w:softHyphen/>
        <w:t>ка В-45А. После года переговоров деньги на один ХВ-46 все же дали, остальные перечислили на реактивный штурмовик ХА-44, а ХВ-46 должен был стать летающей лабораторией для отработ</w:t>
      </w:r>
      <w:r w:rsidRPr="00F90EAE">
        <w:rPr>
          <w:color w:val="0070C0"/>
          <w:sz w:val="16"/>
          <w:szCs w:val="16"/>
        </w:rPr>
        <w:softHyphen/>
        <w:t>ки его вооружения и систем. Но в декабре 1946 г. контракт снова аннулировали.</w:t>
      </w:r>
    </w:p>
    <w:p w14:paraId="53878D7E" w14:textId="77777777" w:rsidR="00FF3904" w:rsidRPr="00F90EAE" w:rsidRDefault="00FF3904" w:rsidP="00F90EAE">
      <w:pPr>
        <w:jc w:val="both"/>
        <w:rPr>
          <w:color w:val="0070C0"/>
          <w:sz w:val="16"/>
          <w:szCs w:val="16"/>
        </w:rPr>
      </w:pPr>
      <w:r w:rsidRPr="00F90EAE">
        <w:rPr>
          <w:color w:val="0070C0"/>
          <w:sz w:val="16"/>
          <w:szCs w:val="16"/>
        </w:rPr>
        <w:t>Изюминкой проекта «Конвер-109», или ХВ-46, было крыло большого удлинения, 9/10 задней кромки которого занимали за</w:t>
      </w:r>
      <w:r w:rsidRPr="00F90EAE">
        <w:rPr>
          <w:color w:val="0070C0"/>
          <w:sz w:val="16"/>
          <w:szCs w:val="16"/>
        </w:rPr>
        <w:softHyphen/>
        <w:t>крылки и лишь 5% - элероны, демпфировавшие колебания по крену. Управление в этом канале обеспечивали интерцепторы: пять пар литых магниевых перфорированных секций занимали 18% размаха. Все рулевые поверхности управлялись пневмати</w:t>
      </w:r>
      <w:r w:rsidRPr="00F90EAE">
        <w:rPr>
          <w:color w:val="0070C0"/>
          <w:sz w:val="16"/>
          <w:szCs w:val="16"/>
        </w:rPr>
        <w:softHyphen/>
        <w:t>ческими силовыми приводами вместо обычных гидравлических (23023).</w:t>
      </w:r>
    </w:p>
    <w:p w14:paraId="124BEFE5" w14:textId="77777777" w:rsidR="00FF3904" w:rsidRPr="00F90EAE" w:rsidRDefault="00FF3904" w:rsidP="00F90EAE">
      <w:pPr>
        <w:jc w:val="both"/>
        <w:rPr>
          <w:color w:val="0070C0"/>
          <w:sz w:val="16"/>
          <w:szCs w:val="16"/>
        </w:rPr>
      </w:pPr>
    </w:p>
    <w:p w14:paraId="0199B41E"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января 1945 в Венгрии бесследно исчез шведский дипломат Р. Валленберг, спасший от нацистов десятки тысяч евреев (предположительно, он был арестован советскими войсками) (4962).</w:t>
      </w:r>
    </w:p>
    <w:p w14:paraId="009FA3F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760FB25" w14:textId="77777777" w:rsidR="003C7C9A" w:rsidRPr="00F90EAE" w:rsidRDefault="003C7C9A" w:rsidP="00F90EAE">
      <w:pPr>
        <w:autoSpaceDE w:val="0"/>
        <w:autoSpaceDN w:val="0"/>
        <w:adjustRightInd w:val="0"/>
        <w:jc w:val="both"/>
        <w:rPr>
          <w:color w:val="000000" w:themeColor="text1"/>
          <w:sz w:val="16"/>
          <w:szCs w:val="16"/>
        </w:rPr>
      </w:pPr>
      <w:r w:rsidRPr="00F90EAE">
        <w:rPr>
          <w:color w:val="000000" w:themeColor="text1"/>
          <w:sz w:val="16"/>
          <w:szCs w:val="16"/>
        </w:rPr>
        <w:t xml:space="preserve">17 января 1945 года </w:t>
      </w:r>
      <w:r w:rsidRPr="00F90EAE">
        <w:rPr>
          <w:bCs/>
          <w:color w:val="000000" w:themeColor="text1"/>
          <w:sz w:val="16"/>
          <w:szCs w:val="16"/>
        </w:rPr>
        <w:t>заместитель народного комиссара обороны генерал армии Николай Булганин отдал шифровкой следующее распоряжение командующему Вторым Украинским фронтом: «Обнаруженного в восточной части Будапешта по улице Бенцур Валленберга арестовать и доставить в Москву. Соответствующие указания контрразведке Смерш даны» (17459).</w:t>
      </w:r>
    </w:p>
    <w:p w14:paraId="2E8F67F6" w14:textId="77777777" w:rsidR="003C7C9A" w:rsidRPr="00F90EAE" w:rsidRDefault="003C7C9A" w:rsidP="00F90EAE">
      <w:pPr>
        <w:autoSpaceDE w:val="0"/>
        <w:autoSpaceDN w:val="0"/>
        <w:adjustRightInd w:val="0"/>
        <w:jc w:val="both"/>
        <w:rPr>
          <w:color w:val="000000" w:themeColor="text1"/>
          <w:sz w:val="16"/>
          <w:szCs w:val="16"/>
        </w:rPr>
      </w:pPr>
    </w:p>
    <w:p w14:paraId="4E940555" w14:textId="77777777" w:rsidR="006F0F05" w:rsidRPr="00F90EAE" w:rsidRDefault="006F0F05" w:rsidP="00F90EAE">
      <w:pPr>
        <w:jc w:val="both"/>
        <w:rPr>
          <w:color w:val="000000" w:themeColor="text1"/>
          <w:sz w:val="16"/>
          <w:szCs w:val="16"/>
        </w:rPr>
      </w:pPr>
      <w:r w:rsidRPr="00F90EAE">
        <w:rPr>
          <w:bCs/>
          <w:color w:val="000000" w:themeColor="text1"/>
          <w:sz w:val="16"/>
          <w:szCs w:val="16"/>
        </w:rPr>
        <w:t>17 января</w:t>
      </w:r>
      <w:r w:rsidRPr="00F90EAE">
        <w:rPr>
          <w:color w:val="000000" w:themeColor="text1"/>
          <w:sz w:val="16"/>
          <w:szCs w:val="16"/>
        </w:rPr>
        <w:t xml:space="preserve"> в 1945 году в Будапеште арестован шведский дипломат Рауль Валленберг (15012).</w:t>
      </w:r>
    </w:p>
    <w:p w14:paraId="1F9D5AC2" w14:textId="77777777" w:rsidR="006F0F05" w:rsidRPr="00F90EAE" w:rsidRDefault="006F0F05" w:rsidP="00F90EAE">
      <w:pPr>
        <w:jc w:val="both"/>
        <w:rPr>
          <w:color w:val="000000" w:themeColor="text1"/>
          <w:sz w:val="16"/>
          <w:szCs w:val="16"/>
        </w:rPr>
      </w:pPr>
    </w:p>
    <w:p w14:paraId="72AF85E3" w14:textId="77777777" w:rsidR="003C7C9A" w:rsidRPr="00F90EAE" w:rsidRDefault="003C7C9A" w:rsidP="00F90EAE">
      <w:pPr>
        <w:autoSpaceDE w:val="0"/>
        <w:autoSpaceDN w:val="0"/>
        <w:adjustRightInd w:val="0"/>
        <w:jc w:val="both"/>
        <w:rPr>
          <w:bCs/>
          <w:color w:val="000000" w:themeColor="text1"/>
          <w:sz w:val="16"/>
          <w:szCs w:val="16"/>
        </w:rPr>
      </w:pPr>
      <w:r w:rsidRPr="00F90EAE">
        <w:rPr>
          <w:color w:val="000000" w:themeColor="text1"/>
          <w:sz w:val="16"/>
          <w:szCs w:val="16"/>
        </w:rPr>
        <w:t>17 января (1945)</w:t>
      </w:r>
      <w:r w:rsidRPr="00F90EAE">
        <w:rPr>
          <w:bCs/>
          <w:color w:val="000000" w:themeColor="text1"/>
          <w:sz w:val="16"/>
          <w:szCs w:val="16"/>
        </w:rPr>
        <w:t xml:space="preserve"> Гитлер продиктовал Риббентропу основные положения «мирных предложений» Западу. Через день после некоторых уточнений они были представлены как «меморандум Риббентропа» и одобрены фюрером. Здесь повторялся миф «о советской угрозе» для европейской цивилизации. «Меморандум Риббентропа» был отправлен в германские посольства в Берне, Стокгольме, Дублине, Лиссабоне и Мадриде для передачи британским дипломатам. Через неделю в столицы этих государств были направлены наиболее опытные дипломаты для установления контактов с официальными представителями Великобритании. Но «мирный» зондаж гитлеровской дипломатии провалился (17459).</w:t>
      </w:r>
    </w:p>
    <w:p w14:paraId="52B04542" w14:textId="77777777" w:rsidR="003C7C9A" w:rsidRPr="00F90EAE" w:rsidRDefault="003C7C9A" w:rsidP="00F90EAE">
      <w:pPr>
        <w:autoSpaceDE w:val="0"/>
        <w:autoSpaceDN w:val="0"/>
        <w:adjustRightInd w:val="0"/>
        <w:jc w:val="both"/>
        <w:rPr>
          <w:bCs/>
          <w:color w:val="000000" w:themeColor="text1"/>
          <w:sz w:val="16"/>
          <w:szCs w:val="16"/>
        </w:rPr>
      </w:pPr>
    </w:p>
    <w:p w14:paraId="4F5DCF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lang w:val="en-US"/>
        </w:rPr>
        <w:t>Jan</w:t>
      </w:r>
      <w:r w:rsidRPr="00F90EAE">
        <w:rPr>
          <w:color w:val="000000" w:themeColor="text1"/>
          <w:sz w:val="16"/>
          <w:szCs w:val="16"/>
        </w:rPr>
        <w:t xml:space="preserve"> 17 1945 </w:t>
      </w:r>
      <w:r w:rsidRPr="00F90EAE">
        <w:rPr>
          <w:color w:val="000000" w:themeColor="text1"/>
          <w:sz w:val="16"/>
          <w:szCs w:val="16"/>
          <w:lang w:val="en-US"/>
        </w:rPr>
        <w:t>GermanswithdrawfromtheArdennes</w:t>
      </w:r>
      <w:r w:rsidRPr="00F90EAE">
        <w:rPr>
          <w:color w:val="000000" w:themeColor="text1"/>
          <w:sz w:val="16"/>
          <w:szCs w:val="16"/>
        </w:rPr>
        <w:t xml:space="preserve"> (1050).</w:t>
      </w:r>
    </w:p>
    <w:p w14:paraId="5CDF7914" w14:textId="77777777" w:rsidR="00C2313B" w:rsidRPr="00F90EAE" w:rsidRDefault="00C2313B" w:rsidP="00F90EAE">
      <w:pPr>
        <w:autoSpaceDE w:val="0"/>
        <w:autoSpaceDN w:val="0"/>
        <w:adjustRightInd w:val="0"/>
        <w:jc w:val="both"/>
        <w:rPr>
          <w:color w:val="000000" w:themeColor="text1"/>
          <w:sz w:val="16"/>
          <w:szCs w:val="16"/>
        </w:rPr>
      </w:pPr>
    </w:p>
    <w:p w14:paraId="0434E3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января 1945 немецкие части были выдворены из Арден (1050).</w:t>
      </w:r>
    </w:p>
    <w:p w14:paraId="7C09CE7D" w14:textId="77777777" w:rsidR="00C2313B" w:rsidRPr="00F90EAE" w:rsidRDefault="00C2313B" w:rsidP="00F90EAE">
      <w:pPr>
        <w:autoSpaceDE w:val="0"/>
        <w:autoSpaceDN w:val="0"/>
        <w:adjustRightInd w:val="0"/>
        <w:jc w:val="both"/>
        <w:rPr>
          <w:color w:val="000000" w:themeColor="text1"/>
          <w:sz w:val="16"/>
          <w:szCs w:val="16"/>
        </w:rPr>
      </w:pPr>
    </w:p>
    <w:p w14:paraId="63DC3F3F" w14:textId="77777777" w:rsidR="00FF3904" w:rsidRPr="00F90EAE" w:rsidRDefault="00FF3904" w:rsidP="00F90EAE">
      <w:pPr>
        <w:jc w:val="both"/>
        <w:rPr>
          <w:color w:val="0070C0"/>
          <w:sz w:val="16"/>
          <w:szCs w:val="16"/>
        </w:rPr>
      </w:pPr>
      <w:r w:rsidRPr="00F90EAE">
        <w:rPr>
          <w:color w:val="0070C0"/>
          <w:sz w:val="16"/>
          <w:szCs w:val="16"/>
        </w:rPr>
        <w:t>17 января 1945 ВВС бомбят Формозу с B-29 (20371).</w:t>
      </w:r>
    </w:p>
    <w:p w14:paraId="137331DA" w14:textId="77777777" w:rsidR="00FF3904" w:rsidRPr="00F90EAE" w:rsidRDefault="00FF3904" w:rsidP="00F90EAE">
      <w:pPr>
        <w:jc w:val="both"/>
        <w:rPr>
          <w:color w:val="0070C0"/>
          <w:sz w:val="16"/>
          <w:szCs w:val="16"/>
        </w:rPr>
      </w:pPr>
    </w:p>
    <w:p w14:paraId="1F439BC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FBCF431" w14:textId="77777777" w:rsidR="00C2313B" w:rsidRPr="00F90EAE" w:rsidRDefault="00C2313B" w:rsidP="00F90EAE">
      <w:pPr>
        <w:autoSpaceDE w:val="0"/>
        <w:autoSpaceDN w:val="0"/>
        <w:adjustRightInd w:val="0"/>
        <w:jc w:val="both"/>
        <w:rPr>
          <w:iCs/>
          <w:color w:val="000000" w:themeColor="text1"/>
          <w:sz w:val="16"/>
          <w:szCs w:val="16"/>
        </w:rPr>
      </w:pPr>
    </w:p>
    <w:p w14:paraId="0EF0EB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вышел доклад директора завода 30 N 287/0-14 за 1944:</w:t>
      </w:r>
    </w:p>
    <w:p w14:paraId="4B79C1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 общего количества выпущенных боевых самолетов в 1944 выпущено:</w:t>
      </w:r>
    </w:p>
    <w:p w14:paraId="18F8D5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самолетов с металлическим крылом - 1802</w:t>
      </w:r>
    </w:p>
    <w:p w14:paraId="1D1045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самолетов с деревянным крылом - 1554,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0A311768" w14:textId="77777777">
        <w:tc>
          <w:tcPr>
            <w:tcW w:w="5636" w:type="dxa"/>
          </w:tcPr>
          <w:p w14:paraId="1451C8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т.ч. с пушкой</w:t>
            </w:r>
          </w:p>
        </w:tc>
        <w:tc>
          <w:tcPr>
            <w:tcW w:w="5636" w:type="dxa"/>
          </w:tcPr>
          <w:p w14:paraId="2094DE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11П - 111</w:t>
            </w:r>
          </w:p>
        </w:tc>
      </w:tr>
      <w:tr w:rsidR="00561F31" w:rsidRPr="00F90EAE" w14:paraId="49C00DCB" w14:textId="77777777">
        <w:tc>
          <w:tcPr>
            <w:tcW w:w="5636" w:type="dxa"/>
          </w:tcPr>
          <w:p w14:paraId="185BAD1A" w14:textId="77777777" w:rsidR="00C2313B" w:rsidRPr="00F90EAE" w:rsidRDefault="00C2313B" w:rsidP="00F90EAE">
            <w:pPr>
              <w:autoSpaceDE w:val="0"/>
              <w:autoSpaceDN w:val="0"/>
              <w:adjustRightInd w:val="0"/>
              <w:jc w:val="both"/>
              <w:rPr>
                <w:color w:val="000000" w:themeColor="text1"/>
                <w:sz w:val="16"/>
                <w:szCs w:val="16"/>
              </w:rPr>
            </w:pPr>
          </w:p>
        </w:tc>
        <w:tc>
          <w:tcPr>
            <w:tcW w:w="5636" w:type="dxa"/>
          </w:tcPr>
          <w:p w14:paraId="100C7A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ВЯ - 3244</w:t>
            </w:r>
          </w:p>
        </w:tc>
      </w:tr>
      <w:tr w:rsidR="00561F31" w:rsidRPr="00F90EAE" w14:paraId="7CD25510" w14:textId="77777777">
        <w:tc>
          <w:tcPr>
            <w:tcW w:w="5636" w:type="dxa"/>
          </w:tcPr>
          <w:p w14:paraId="67DDF8D0" w14:textId="77777777" w:rsidR="00C2313B" w:rsidRPr="00F90EAE" w:rsidRDefault="00C2313B" w:rsidP="00F90EAE">
            <w:pPr>
              <w:autoSpaceDE w:val="0"/>
              <w:autoSpaceDN w:val="0"/>
              <w:adjustRightInd w:val="0"/>
              <w:jc w:val="both"/>
              <w:rPr>
                <w:color w:val="000000" w:themeColor="text1"/>
                <w:sz w:val="16"/>
                <w:szCs w:val="16"/>
              </w:rPr>
            </w:pPr>
          </w:p>
        </w:tc>
        <w:tc>
          <w:tcPr>
            <w:tcW w:w="5636" w:type="dxa"/>
          </w:tcPr>
          <w:p w14:paraId="499F3C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ШВАК - 1</w:t>
            </w:r>
          </w:p>
        </w:tc>
      </w:tr>
    </w:tbl>
    <w:p w14:paraId="2C1644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Динамика выпуска за 1944 по отношению к предыдущему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561F31" w:rsidRPr="00F90EAE" w14:paraId="21516694" w14:textId="77777777">
        <w:tc>
          <w:tcPr>
            <w:tcW w:w="2818" w:type="dxa"/>
          </w:tcPr>
          <w:p w14:paraId="6D5EB9D2" w14:textId="77777777" w:rsidR="00C2313B" w:rsidRPr="00F90EAE" w:rsidRDefault="00C2313B" w:rsidP="00F90EAE">
            <w:pPr>
              <w:autoSpaceDE w:val="0"/>
              <w:autoSpaceDN w:val="0"/>
              <w:adjustRightInd w:val="0"/>
              <w:jc w:val="both"/>
              <w:rPr>
                <w:color w:val="000000" w:themeColor="text1"/>
                <w:sz w:val="16"/>
                <w:szCs w:val="16"/>
              </w:rPr>
            </w:pPr>
          </w:p>
        </w:tc>
        <w:tc>
          <w:tcPr>
            <w:tcW w:w="2818" w:type="dxa"/>
          </w:tcPr>
          <w:p w14:paraId="660B8D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сборке</w:t>
            </w:r>
          </w:p>
        </w:tc>
        <w:tc>
          <w:tcPr>
            <w:tcW w:w="2818" w:type="dxa"/>
          </w:tcPr>
          <w:p w14:paraId="645163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бою</w:t>
            </w:r>
          </w:p>
        </w:tc>
      </w:tr>
      <w:tr w:rsidR="00561F31" w:rsidRPr="00F90EAE" w14:paraId="520FDE56" w14:textId="77777777">
        <w:tc>
          <w:tcPr>
            <w:tcW w:w="2818" w:type="dxa"/>
          </w:tcPr>
          <w:p w14:paraId="4AD8FD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2818" w:type="dxa"/>
          </w:tcPr>
          <w:p w14:paraId="018116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1054 100%</w:t>
            </w:r>
          </w:p>
        </w:tc>
        <w:tc>
          <w:tcPr>
            <w:tcW w:w="2818" w:type="dxa"/>
          </w:tcPr>
          <w:p w14:paraId="504DC1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811 - 100%</w:t>
            </w:r>
          </w:p>
        </w:tc>
      </w:tr>
      <w:tr w:rsidR="00561F31" w:rsidRPr="00F90EAE" w14:paraId="2ACE35E8" w14:textId="77777777">
        <w:tc>
          <w:tcPr>
            <w:tcW w:w="2818" w:type="dxa"/>
          </w:tcPr>
          <w:p w14:paraId="45D175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2818" w:type="dxa"/>
          </w:tcPr>
          <w:p w14:paraId="0FA46D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2234 211.9</w:t>
            </w:r>
          </w:p>
        </w:tc>
        <w:tc>
          <w:tcPr>
            <w:tcW w:w="2818" w:type="dxa"/>
          </w:tcPr>
          <w:p w14:paraId="3216AB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2426 299.1</w:t>
            </w:r>
          </w:p>
        </w:tc>
      </w:tr>
      <w:tr w:rsidR="00561F31" w:rsidRPr="00F90EAE" w14:paraId="318F54D4" w14:textId="77777777">
        <w:tc>
          <w:tcPr>
            <w:tcW w:w="2818" w:type="dxa"/>
          </w:tcPr>
          <w:p w14:paraId="43F6CF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2818" w:type="dxa"/>
          </w:tcPr>
          <w:p w14:paraId="6E81B4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3377 320.3</w:t>
            </w:r>
          </w:p>
        </w:tc>
        <w:tc>
          <w:tcPr>
            <w:tcW w:w="2818" w:type="dxa"/>
          </w:tcPr>
          <w:p w14:paraId="01082C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3356 413.8</w:t>
            </w:r>
          </w:p>
        </w:tc>
      </w:tr>
    </w:tbl>
    <w:p w14:paraId="62B61B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Резкое увеличение отремонтированных самолетов во 2 кв. против других периодов объясняется переходом с зимнего камуфляжа самолетов на летний, когда при смыве зимнего камуфляжа образовывались трещины лакокрасочных покрытий на поверхности самолета.</w:t>
      </w:r>
    </w:p>
    <w:p w14:paraId="7F58B4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Обнаруженные дефекты, а также конструктивные и технологические доработки, состояли из следующих основных работ:</w:t>
      </w:r>
    </w:p>
    <w:p w14:paraId="091B5E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установка контрбалансира разгрузки рулей</w:t>
      </w:r>
    </w:p>
    <w:p w14:paraId="79F8CD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установка вкладыша и роликов на рукава питания пушек</w:t>
      </w:r>
    </w:p>
    <w:p w14:paraId="58E3EF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восстановление лакокрасочных покрытий</w:t>
      </w:r>
    </w:p>
    <w:p w14:paraId="3B5E0A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проверка поршней стоек шасси и замена поршней</w:t>
      </w:r>
    </w:p>
    <w:p w14:paraId="21D2DA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замена фар крыла</w:t>
      </w:r>
    </w:p>
    <w:p w14:paraId="3121F9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замена болтов на стыковых лентах</w:t>
      </w:r>
    </w:p>
    <w:p w14:paraId="7F6C2D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замена болтов крыла и центроплана</w:t>
      </w:r>
    </w:p>
    <w:p w14:paraId="740C68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доработка балок РО с установкой новых балок РС 132 под М-13</w:t>
      </w:r>
    </w:p>
    <w:p w14:paraId="1B1435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установка доп. брони кабины стрелка.</w:t>
      </w:r>
    </w:p>
    <w:p w14:paraId="7162C8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Начало отчетного периода совпадает с внедрением и запуском в серийное производство металлического крыла стрельчатой конструкции.</w:t>
      </w:r>
    </w:p>
    <w:p w14:paraId="75B014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отчетный период проделаны нижеследующие работы по основным крупным модификациям и улучшениям боевых свойств Ил-2</w:t>
      </w:r>
    </w:p>
    <w:p w14:paraId="7F1AEB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работы, связанные с внедрением металлического крыла</w:t>
      </w:r>
    </w:p>
    <w:p w14:paraId="46CCE8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работы, связанные с внедрением групповой клепки</w:t>
      </w:r>
    </w:p>
    <w:p w14:paraId="3DF03A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отработан самолет с доп. навесной бронировкой кабины стрелка, на основании чего производятся доработки самолетов в воинских частях.</w:t>
      </w:r>
    </w:p>
    <w:p w14:paraId="44042E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разработаны и уточнены чертежи по самолетам с удлиненным бронекорпусом, а также по самолетам с удлиненным бронекорпусом типа корректировщик.</w:t>
      </w:r>
    </w:p>
    <w:p w14:paraId="6F791C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отработана в чертежах и внедрена в производство установка ПАУ-22 и ПБП-1Б</w:t>
      </w:r>
    </w:p>
    <w:p w14:paraId="14567E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6) отработаны чертежи и внедрены в производство самолеты типа корректировщик с радиостанцией РСБ-3бис и УС-1.</w:t>
      </w:r>
    </w:p>
    <w:p w14:paraId="552F3C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проведена большая работа по коренной переделке радиоустановок со следующей аппаратурой - РСИ-3М1, РСИ-6МУ, РПКО-10М, СПУ-2ММ с кнопкой на секторе газа.</w:t>
      </w:r>
    </w:p>
    <w:p w14:paraId="10254B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с целью увеличения скорости открытия щитков изменено управление щитками с переносом рукоятки с установкой щитков на взлетный угол в кабину пилота</w:t>
      </w:r>
    </w:p>
    <w:p w14:paraId="01C268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части улучшения качества самолета:</w:t>
      </w:r>
    </w:p>
    <w:p w14:paraId="1A2BE3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1...выпуск 2-х эталонных самолетов N 58100 и 62100 улучшенного качества с внесением в них всех конструктивных изменений, подлежащих утверждению в НИИ ВВС.</w:t>
      </w:r>
    </w:p>
    <w:p w14:paraId="20C291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62100 имеет на 10 км/час большую скорость по отношению к луч9им серийным.</w:t>
      </w:r>
    </w:p>
    <w:p w14:paraId="635B2F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Регулярно велись наблюдения за скоростями серийных самолетов и в течение года скорости самолетов превышали скорость, установленную приказом НКАП от 2-х до 10 км/час.</w:t>
      </w:r>
    </w:p>
    <w:p w14:paraId="3C3A2E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Велось тщательное ежемесячное наблюдение за весом самолета, в результате чего вес пустого самолета в 1944 по отношению к весу эталонной программы в 1943 N 302804 увеличения не имеет.</w:t>
      </w:r>
    </w:p>
    <w:p w14:paraId="1F0EE9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С введением металлического крыла с тщательными испытаниями, прочность самолета 1944 значительно возросла.</w:t>
      </w:r>
    </w:p>
    <w:p w14:paraId="1A22E5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дальность радиосвязи превышает дальность, установленную ТТТ Ил-2</w:t>
      </w:r>
    </w:p>
    <w:p w14:paraId="47CBFF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7....установлено, что 101-12% самолетов с винтовой и моторной тряской являются результатом неполной взаимозаменяемости винтов с моторами, а также плохой регулировкой моторов..." (2486).</w:t>
      </w:r>
    </w:p>
    <w:p w14:paraId="78197A14" w14:textId="77777777" w:rsidR="00C2313B" w:rsidRPr="00F90EAE" w:rsidRDefault="00C2313B" w:rsidP="00F90EAE">
      <w:pPr>
        <w:autoSpaceDE w:val="0"/>
        <w:autoSpaceDN w:val="0"/>
        <w:adjustRightInd w:val="0"/>
        <w:jc w:val="both"/>
        <w:rPr>
          <w:color w:val="000000" w:themeColor="text1"/>
          <w:sz w:val="16"/>
          <w:szCs w:val="16"/>
        </w:rPr>
      </w:pPr>
    </w:p>
    <w:p w14:paraId="046D47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1946 г. И.П. Братухин подписал компоновку модификации мотора М-26, получившей обозначение М-26ГР (геликоптерный редукторный), предложенной А.Г.Ивченко, и начались работы по его созданию. М-26ГР стал первым в мире специальным мотором для вертолетов, т.к. имел встроенный угловой редуктор, обеспечиващий приводы несущего винта, вентилятора принудительного обдува цилиндров и вала синхронизации, который связывал двигатели на вертолетах продольной или поперечной схемы, обеспечивая одинаковую частоту вращения обоих несущих винтов, и, в случае выхода из строя одного из двигателей, позволял продолжать полет на втором - исправном. Двигатель был оборудован также комбинированной муфтой включения и свободного хода. Он развивал взлетную мощность 500 л.с. и выпускался в двух вариантах: М/26ГРЛ для привода левого и М-26ГРПр для привода правого несущего винта вертолета (11762).</w:t>
      </w:r>
    </w:p>
    <w:p w14:paraId="6F6B4AE4" w14:textId="77777777" w:rsidR="00C2313B" w:rsidRPr="00F90EAE" w:rsidRDefault="00C2313B" w:rsidP="00F90EAE">
      <w:pPr>
        <w:autoSpaceDE w:val="0"/>
        <w:autoSpaceDN w:val="0"/>
        <w:adjustRightInd w:val="0"/>
        <w:jc w:val="both"/>
        <w:rPr>
          <w:color w:val="000000" w:themeColor="text1"/>
          <w:sz w:val="16"/>
          <w:szCs w:val="16"/>
        </w:rPr>
      </w:pPr>
    </w:p>
    <w:p w14:paraId="32171803" w14:textId="77777777" w:rsidR="00FF3904" w:rsidRPr="00F90EAE" w:rsidRDefault="00FF3904" w:rsidP="00F90EAE">
      <w:pPr>
        <w:jc w:val="both"/>
        <w:rPr>
          <w:color w:val="0070C0"/>
          <w:sz w:val="16"/>
          <w:szCs w:val="16"/>
        </w:rPr>
      </w:pPr>
      <w:r w:rsidRPr="00F90EAE">
        <w:rPr>
          <w:color w:val="0070C0"/>
          <w:sz w:val="16"/>
          <w:szCs w:val="16"/>
        </w:rPr>
        <w:t>18 января 1945 г.</w:t>
      </w:r>
    </w:p>
    <w:p w14:paraId="3B01012F" w14:textId="77777777" w:rsidR="00FF3904" w:rsidRPr="00F90EAE" w:rsidRDefault="00FF3904" w:rsidP="00F90EAE">
      <w:pPr>
        <w:jc w:val="both"/>
        <w:rPr>
          <w:color w:val="0070C0"/>
          <w:sz w:val="16"/>
          <w:szCs w:val="16"/>
        </w:rPr>
      </w:pPr>
      <w:r w:rsidRPr="00F90EAE">
        <w:rPr>
          <w:color w:val="0070C0"/>
          <w:sz w:val="16"/>
          <w:szCs w:val="16"/>
        </w:rPr>
        <w:t>Из постановления собрания парторганизации завода № 19 им. И. В. Сталина</w:t>
      </w:r>
    </w:p>
    <w:p w14:paraId="3097369A" w14:textId="77777777" w:rsidR="00FF3904" w:rsidRPr="00F90EAE" w:rsidRDefault="00FF3904" w:rsidP="00F90EAE">
      <w:pPr>
        <w:jc w:val="both"/>
        <w:rPr>
          <w:color w:val="0070C0"/>
          <w:sz w:val="16"/>
          <w:szCs w:val="16"/>
        </w:rPr>
      </w:pPr>
      <w:r w:rsidRPr="00F90EAE">
        <w:rPr>
          <w:color w:val="0070C0"/>
          <w:sz w:val="16"/>
          <w:szCs w:val="16"/>
        </w:rPr>
        <w:t>18 января 1945 г.</w:t>
      </w:r>
    </w:p>
    <w:p w14:paraId="34167335" w14:textId="77777777" w:rsidR="00FF3904" w:rsidRPr="00F90EAE" w:rsidRDefault="00FF3904" w:rsidP="00F90EAE">
      <w:pPr>
        <w:jc w:val="both"/>
        <w:rPr>
          <w:color w:val="0070C0"/>
          <w:sz w:val="16"/>
          <w:szCs w:val="16"/>
        </w:rPr>
      </w:pPr>
      <w:r w:rsidRPr="00F90EAE">
        <w:rPr>
          <w:color w:val="0070C0"/>
          <w:sz w:val="16"/>
          <w:szCs w:val="16"/>
        </w:rPr>
        <w:t>Заслушав и обсудив доклад директора завода т. Солдатова об итогах производственно-хозяйственной деятельности завода за 1944 г., партийно-хозяйственный актив отмечает:</w:t>
      </w:r>
    </w:p>
    <w:p w14:paraId="5C4E9A1C" w14:textId="77777777" w:rsidR="00FF3904" w:rsidRPr="00F90EAE" w:rsidRDefault="00FF3904" w:rsidP="00F90EAE">
      <w:pPr>
        <w:jc w:val="both"/>
        <w:rPr>
          <w:color w:val="0070C0"/>
          <w:sz w:val="16"/>
          <w:szCs w:val="16"/>
        </w:rPr>
      </w:pPr>
      <w:r w:rsidRPr="00F90EAE">
        <w:rPr>
          <w:color w:val="0070C0"/>
          <w:sz w:val="16"/>
          <w:szCs w:val="16"/>
        </w:rPr>
        <w:t>1. Программа заводом за 1944 г. выполнена по товарной продукции на 95,7 % и по валовой продукции на 103,7 %. Прирост продукции против 1943 г. составил по товарной продукции 26 % и по валовой - 26,2 %.</w:t>
      </w:r>
    </w:p>
    <w:p w14:paraId="4E7B068D" w14:textId="77777777" w:rsidR="00FF3904" w:rsidRPr="00F90EAE" w:rsidRDefault="00FF3904" w:rsidP="00F90EAE">
      <w:pPr>
        <w:jc w:val="both"/>
        <w:rPr>
          <w:color w:val="0070C0"/>
          <w:sz w:val="16"/>
          <w:szCs w:val="16"/>
        </w:rPr>
      </w:pPr>
      <w:r w:rsidRPr="00F90EAE">
        <w:rPr>
          <w:color w:val="0070C0"/>
          <w:sz w:val="16"/>
          <w:szCs w:val="16"/>
        </w:rPr>
        <w:t>2. Производительность труда рабочих возросла на 28,1 % против 1943 г. и выше плана на 6,2 %.</w:t>
      </w:r>
    </w:p>
    <w:p w14:paraId="60B73C04" w14:textId="77777777" w:rsidR="00FF3904" w:rsidRPr="00F90EAE" w:rsidRDefault="00FF3904" w:rsidP="00F90EAE">
      <w:pPr>
        <w:jc w:val="both"/>
        <w:rPr>
          <w:color w:val="0070C0"/>
          <w:sz w:val="16"/>
          <w:szCs w:val="16"/>
        </w:rPr>
      </w:pPr>
      <w:r w:rsidRPr="00F90EAE">
        <w:rPr>
          <w:color w:val="0070C0"/>
          <w:sz w:val="16"/>
          <w:szCs w:val="16"/>
        </w:rPr>
        <w:t>3. Себестоимость продукции снижена на 6,2 % [...]</w:t>
      </w:r>
    </w:p>
    <w:p w14:paraId="70865BC3" w14:textId="77777777" w:rsidR="00FF3904" w:rsidRPr="00F90EAE" w:rsidRDefault="00FF3904" w:rsidP="00F90EAE">
      <w:pPr>
        <w:jc w:val="both"/>
        <w:rPr>
          <w:color w:val="0070C0"/>
          <w:sz w:val="16"/>
          <w:szCs w:val="16"/>
        </w:rPr>
      </w:pPr>
      <w:r w:rsidRPr="00F90EAE">
        <w:rPr>
          <w:color w:val="0070C0"/>
          <w:sz w:val="16"/>
          <w:szCs w:val="16"/>
        </w:rPr>
        <w:t>6. В 1944 г. завод полностью перешел на производство более мощных и качественных моторов АШ-82ФН, значительно повысивших боевую мощь нашей истребительной и бомбардировочной авиации.</w:t>
      </w:r>
    </w:p>
    <w:p w14:paraId="6D7B40C6" w14:textId="77777777" w:rsidR="00FF3904" w:rsidRPr="00F90EAE" w:rsidRDefault="00FF3904" w:rsidP="00F90EAE">
      <w:pPr>
        <w:jc w:val="both"/>
        <w:rPr>
          <w:color w:val="0070C0"/>
          <w:sz w:val="16"/>
          <w:szCs w:val="16"/>
        </w:rPr>
      </w:pPr>
      <w:r w:rsidRPr="00F90EAE">
        <w:rPr>
          <w:color w:val="0070C0"/>
          <w:sz w:val="16"/>
          <w:szCs w:val="16"/>
        </w:rPr>
        <w:t>7. Коллектив опытно-конструкторского бюро, руководимый главным конструктором завода Героем Социалистического Труда т. Швецовым А. Д„ отработал конструкцию мощного мотора АШ-83, который успешно закончил государственные испытания в ноябре 1944 г. [...]</w:t>
      </w:r>
    </w:p>
    <w:p w14:paraId="2C70CC5D" w14:textId="77777777" w:rsidR="00FF3904" w:rsidRPr="00F90EAE" w:rsidRDefault="00FF3904" w:rsidP="00F90EAE">
      <w:pPr>
        <w:jc w:val="both"/>
        <w:rPr>
          <w:color w:val="0070C0"/>
          <w:sz w:val="16"/>
          <w:szCs w:val="16"/>
        </w:rPr>
      </w:pPr>
      <w:r w:rsidRPr="00F90EAE">
        <w:rPr>
          <w:color w:val="0070C0"/>
          <w:sz w:val="16"/>
          <w:szCs w:val="16"/>
        </w:rPr>
        <w:t>Партийно-хозяйственный актив завода постановляет:</w:t>
      </w:r>
    </w:p>
    <w:p w14:paraId="7E5CDCEE" w14:textId="77777777" w:rsidR="00FF3904" w:rsidRPr="00F90EAE" w:rsidRDefault="00FF3904" w:rsidP="00F90EAE">
      <w:pPr>
        <w:jc w:val="both"/>
        <w:rPr>
          <w:color w:val="0070C0"/>
          <w:sz w:val="16"/>
          <w:szCs w:val="16"/>
        </w:rPr>
      </w:pPr>
      <w:r w:rsidRPr="00F90EAE">
        <w:rPr>
          <w:color w:val="0070C0"/>
          <w:sz w:val="16"/>
          <w:szCs w:val="16"/>
        </w:rPr>
        <w:t>Считать главнейшей задачей коллектива завода на 1945 г. безусловное выполнение установленной программы с удержанием переходящего Красного знамени Государственного Комитета Обороны.</w:t>
      </w:r>
    </w:p>
    <w:p w14:paraId="4B948BCC" w14:textId="77777777" w:rsidR="00FF3904" w:rsidRPr="00F90EAE" w:rsidRDefault="00FF3904" w:rsidP="00F90EAE">
      <w:pPr>
        <w:jc w:val="both"/>
        <w:rPr>
          <w:color w:val="0070C0"/>
          <w:sz w:val="16"/>
          <w:szCs w:val="16"/>
        </w:rPr>
      </w:pPr>
      <w:r w:rsidRPr="00F90EAE">
        <w:rPr>
          <w:color w:val="0070C0"/>
          <w:sz w:val="16"/>
          <w:szCs w:val="16"/>
        </w:rPr>
        <w:t>Подготовить завод на первый квартал 1945 г. к прекращению производства мотора АШ-62НР и замене его мотором АШ-82ФН, без уменьшения количества дневного выпуска, достигнутого заводом.</w:t>
      </w:r>
    </w:p>
    <w:p w14:paraId="1CC3FC56" w14:textId="77777777" w:rsidR="00FF3904" w:rsidRPr="00F90EAE" w:rsidRDefault="00FF3904" w:rsidP="00F90EAE">
      <w:pPr>
        <w:jc w:val="both"/>
        <w:rPr>
          <w:color w:val="0070C0"/>
          <w:sz w:val="16"/>
          <w:szCs w:val="16"/>
        </w:rPr>
      </w:pPr>
      <w:r w:rsidRPr="00F90EAE">
        <w:rPr>
          <w:color w:val="0070C0"/>
          <w:sz w:val="16"/>
          <w:szCs w:val="16"/>
        </w:rPr>
        <w:t>Выпустить в первом квартале 1945 г. малую серию моторов АШ-83 и подготовить завод к внедрению этого мотора в серийное производство во втором полугодии 1945 г.</w:t>
      </w:r>
    </w:p>
    <w:p w14:paraId="25B41FF3" w14:textId="77777777" w:rsidR="00FF3904" w:rsidRPr="00F90EAE" w:rsidRDefault="00FF3904" w:rsidP="00F90EAE">
      <w:pPr>
        <w:jc w:val="both"/>
        <w:rPr>
          <w:color w:val="0070C0"/>
          <w:sz w:val="16"/>
          <w:szCs w:val="16"/>
        </w:rPr>
      </w:pPr>
      <w:r w:rsidRPr="00F90EAE">
        <w:rPr>
          <w:color w:val="0070C0"/>
          <w:sz w:val="16"/>
          <w:szCs w:val="16"/>
        </w:rPr>
        <w:t>Неустанно работать над повышением качества выпускаемых заводом моторов и увеличением их ресурсов. Повысить производительность труда в 1945 г., по сравнению с 1944 г., не ниже чем на 8-10 %.</w:t>
      </w:r>
    </w:p>
    <w:p w14:paraId="0A3A634E" w14:textId="77777777" w:rsidR="00FF3904" w:rsidRPr="00F90EAE" w:rsidRDefault="00FF3904" w:rsidP="00F90EAE">
      <w:pPr>
        <w:jc w:val="both"/>
        <w:rPr>
          <w:color w:val="0070C0"/>
          <w:sz w:val="16"/>
          <w:szCs w:val="16"/>
        </w:rPr>
      </w:pPr>
      <w:r w:rsidRPr="00F90EAE">
        <w:rPr>
          <w:color w:val="0070C0"/>
          <w:sz w:val="16"/>
          <w:szCs w:val="16"/>
        </w:rPr>
        <w:t>Снизить себестоимость продукции не ниже чем на 5-7 %. [...]</w:t>
      </w:r>
    </w:p>
    <w:p w14:paraId="7D005962" w14:textId="77777777" w:rsidR="00FF3904" w:rsidRPr="00F90EAE" w:rsidRDefault="00FF3904" w:rsidP="00F90EAE">
      <w:pPr>
        <w:jc w:val="both"/>
        <w:rPr>
          <w:color w:val="0070C0"/>
          <w:sz w:val="16"/>
          <w:szCs w:val="16"/>
        </w:rPr>
      </w:pPr>
      <w:r w:rsidRPr="00F90EAE">
        <w:rPr>
          <w:color w:val="0070C0"/>
          <w:sz w:val="16"/>
          <w:szCs w:val="16"/>
        </w:rPr>
        <w:t>Партийно-хозяйственный актив завода считает, что в момент, когда доблестная Красная Армия громит ненавистного врага на его территории, лучшей помощью фронту для скорейшего окончания войны будет дальнейшее увеличение выпуска наших боевых моторов.</w:t>
      </w:r>
    </w:p>
    <w:p w14:paraId="117211B2" w14:textId="77777777" w:rsidR="00FF3904" w:rsidRPr="00F90EAE" w:rsidRDefault="00FF3904" w:rsidP="00F90EAE">
      <w:pPr>
        <w:jc w:val="both"/>
        <w:rPr>
          <w:color w:val="0070C0"/>
          <w:sz w:val="16"/>
          <w:szCs w:val="16"/>
        </w:rPr>
      </w:pPr>
      <w:r w:rsidRPr="00F90EAE">
        <w:rPr>
          <w:color w:val="0070C0"/>
          <w:sz w:val="16"/>
          <w:szCs w:val="16"/>
        </w:rPr>
        <w:t>Актив призывает весь коллектив завода еще шире развернуть соцсоревнование, высвобождая дополнительную рабочую силу и командный состав по методу бригадира Егора Агаркова, и напрячь все силы на выполнение и перевыполнение установленной заводу программы. Самоотверженным трудом удержим первое место в соцсоревновании заводов авиапромышленности!</w:t>
      </w:r>
    </w:p>
    <w:p w14:paraId="601D8E56" w14:textId="77777777" w:rsidR="00FF3904" w:rsidRPr="00F90EAE" w:rsidRDefault="00FF3904" w:rsidP="00F90EAE">
      <w:pPr>
        <w:jc w:val="both"/>
        <w:rPr>
          <w:color w:val="0070C0"/>
          <w:sz w:val="16"/>
          <w:szCs w:val="16"/>
        </w:rPr>
      </w:pPr>
      <w:r w:rsidRPr="00F90EAE">
        <w:rPr>
          <w:color w:val="0070C0"/>
          <w:sz w:val="16"/>
          <w:szCs w:val="16"/>
        </w:rPr>
        <w:t>ПермГАСПИ. Ф. 817. On. 2. Д. 61. Л. 23-26. Подлинник. Машинопись.</w:t>
      </w:r>
    </w:p>
    <w:p w14:paraId="68EA6DAE" w14:textId="77777777" w:rsidR="00FF3904" w:rsidRPr="00F90EAE" w:rsidRDefault="00FF3904" w:rsidP="00F90EAE">
      <w:pPr>
        <w:jc w:val="both"/>
        <w:rPr>
          <w:color w:val="0070C0"/>
          <w:sz w:val="16"/>
          <w:szCs w:val="16"/>
        </w:rPr>
      </w:pPr>
      <w:r w:rsidRPr="00F90EAE">
        <w:rPr>
          <w:color w:val="0070C0"/>
          <w:sz w:val="16"/>
          <w:szCs w:val="16"/>
        </w:rPr>
        <w:t>Опубл. частично: Западный Урал - фронту: Сборник документов и материалов. - Пермь, 1984. - С. 143-144 (21022).</w:t>
      </w:r>
    </w:p>
    <w:p w14:paraId="047E9065" w14:textId="77777777" w:rsidR="00FF3904" w:rsidRPr="00F90EAE" w:rsidRDefault="00FF3904" w:rsidP="00F90EAE">
      <w:pPr>
        <w:jc w:val="both"/>
        <w:rPr>
          <w:color w:val="0070C0"/>
          <w:sz w:val="16"/>
          <w:szCs w:val="16"/>
        </w:rPr>
      </w:pPr>
    </w:p>
    <w:p w14:paraId="022509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N 7350, которым НКАП (завод 51, ГК В.Н.Челомей) было поручено спроектировать и построить по типу V-1 самолет-снаряд и совместно с ЛИИ в феврале-апреле провести его испытания. Хотели сделать 100 и подготовить производство к выпуску в марте 1945 300, а потом по 15 в день. К серии привлекали заводы 456, 125, 122, 451, а стартовые устройства для самолетного и наземного варианта должен был изготовить И.В.Четвериков на заводе 458 (1087,30).</w:t>
      </w:r>
    </w:p>
    <w:p w14:paraId="61FBE307" w14:textId="77777777" w:rsidR="00C2313B" w:rsidRPr="00F90EAE" w:rsidRDefault="00C2313B" w:rsidP="00F90EAE">
      <w:pPr>
        <w:autoSpaceDE w:val="0"/>
        <w:autoSpaceDN w:val="0"/>
        <w:adjustRightInd w:val="0"/>
        <w:jc w:val="both"/>
        <w:rPr>
          <w:color w:val="000000" w:themeColor="text1"/>
          <w:sz w:val="16"/>
          <w:szCs w:val="16"/>
        </w:rPr>
      </w:pPr>
    </w:p>
    <w:p w14:paraId="253A3DD6" w14:textId="77777777" w:rsidR="00FF3904" w:rsidRPr="00F90EAE" w:rsidRDefault="00FF3904" w:rsidP="00F90EAE">
      <w:pPr>
        <w:jc w:val="both"/>
        <w:rPr>
          <w:color w:val="0070C0"/>
          <w:sz w:val="16"/>
          <w:szCs w:val="16"/>
        </w:rPr>
      </w:pPr>
      <w:r w:rsidRPr="00F90EAE">
        <w:rPr>
          <w:color w:val="0070C0"/>
          <w:sz w:val="16"/>
          <w:szCs w:val="16"/>
        </w:rPr>
        <w:t>18 января 1945 г. Постановлением Государственного комитета обороны были заданы сроки создания самолета-снаряда 10Х. Этим было положено начало созданию в Советском Союзе принципиально нового вида штатного оружия для армии и флота — самолетов-снарядов, которые в дальнейшем стали называть крылатыми ракетами (19823).</w:t>
      </w:r>
    </w:p>
    <w:p w14:paraId="46631362" w14:textId="77777777" w:rsidR="00FF3904" w:rsidRPr="00F90EAE" w:rsidRDefault="00FF3904" w:rsidP="00F90EAE">
      <w:pPr>
        <w:jc w:val="both"/>
        <w:rPr>
          <w:color w:val="0070C0"/>
          <w:sz w:val="16"/>
          <w:szCs w:val="16"/>
        </w:rPr>
      </w:pPr>
    </w:p>
    <w:p w14:paraId="17417A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7350 О самолетах-снарядах. РГАНИР, Фонд ГКО, д. 356, лл. 126-129, 130-139 (11012).</w:t>
      </w:r>
    </w:p>
    <w:p w14:paraId="4600CF3A" w14:textId="77777777" w:rsidR="00C2313B" w:rsidRPr="00F90EAE" w:rsidRDefault="00C2313B" w:rsidP="00F90EAE">
      <w:pPr>
        <w:autoSpaceDE w:val="0"/>
        <w:autoSpaceDN w:val="0"/>
        <w:adjustRightInd w:val="0"/>
        <w:jc w:val="both"/>
        <w:rPr>
          <w:color w:val="000000" w:themeColor="text1"/>
          <w:sz w:val="16"/>
          <w:szCs w:val="16"/>
        </w:rPr>
      </w:pPr>
    </w:p>
    <w:p w14:paraId="281AC4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г. в соответствии с Постановлением Государственного Комитета обороны (ГКО) № 7350 заводу № 51 официально поручалось внедрение в серию крылатых ракет, создаваемых по образцу и подобию V-1. До выхода этого постановления уже была организована широкая кооперация предприятий-смежников.</w:t>
      </w:r>
    </w:p>
    <w:p w14:paraId="25FCD9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общей схемой 10Х было все ясно. Самолет-снаряд представлял собой небольшой среднеплан нормальной схемы с ПуВРД, установленным сверху фюзеляжа и закрепленным на законцовке киля. Конструктивно схема ПуВРД тоже была достаточно простой.</w:t>
      </w:r>
    </w:p>
    <w:p w14:paraId="702DBB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 воздухозаборником располагалась клапанная решетка с трубопроводами и форсунками подачи бензина. Под действием набегающего потока стальные пластины клапанов прогибались назад и пропускали воздух в камеру сгорания. А при воспламенении воздушно-бензиновой смеси изгибались вперёд до упора в ребра решетки подачи воздуха, тем самым запирая клапан. Несложная автоматика регулировала подачу топлива в камеру сгорания. После этого продукты сгорания могли истекать только назад, толкая летательный аппарат вперед (9536,10).</w:t>
      </w:r>
    </w:p>
    <w:p w14:paraId="2588CBCF" w14:textId="77777777" w:rsidR="00C2313B" w:rsidRPr="00F90EAE" w:rsidRDefault="00C2313B" w:rsidP="00F90EAE">
      <w:pPr>
        <w:autoSpaceDE w:val="0"/>
        <w:autoSpaceDN w:val="0"/>
        <w:adjustRightInd w:val="0"/>
        <w:jc w:val="both"/>
        <w:rPr>
          <w:color w:val="000000" w:themeColor="text1"/>
          <w:sz w:val="16"/>
          <w:szCs w:val="16"/>
        </w:rPr>
      </w:pPr>
    </w:p>
    <w:p w14:paraId="0BFF7E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января 1945 г. Постановлением ГКО наркомату авиапромышленности поручалось спроектировать, по</w:t>
      </w:r>
      <w:r w:rsidRPr="00F90EAE">
        <w:rPr>
          <w:color w:val="000000" w:themeColor="text1"/>
          <w:sz w:val="16"/>
          <w:szCs w:val="16"/>
        </w:rPr>
        <w:softHyphen/>
        <w:t>строить и совместно с ЛИИ в феврале-марте испытать самолет-снаряд по типу V-1. Для летных испытаний из</w:t>
      </w:r>
      <w:r w:rsidRPr="00F90EAE">
        <w:rPr>
          <w:color w:val="000000" w:themeColor="text1"/>
          <w:sz w:val="16"/>
          <w:szCs w:val="16"/>
        </w:rPr>
        <w:softHyphen/>
        <w:t>делия предусматривалась постройка опытной серии из 100 штук 10Х. В дальнейшем предполагалось довести суточное производство до 15 ракет. Летные испытания начались 20 марта 1945 г. По их результатам рекомендо</w:t>
      </w:r>
      <w:r w:rsidRPr="00F90EAE">
        <w:rPr>
          <w:color w:val="000000" w:themeColor="text1"/>
          <w:sz w:val="16"/>
          <w:szCs w:val="16"/>
        </w:rPr>
        <w:softHyphen/>
        <w:t>вали принять 10Х на вооружение. Затем последовали крылатые ракеты 14Х, 16Х и другие (10667).</w:t>
      </w:r>
    </w:p>
    <w:p w14:paraId="63B2ED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23EF2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г. Постановлением ГКО № 7350 заводу № 51 было уже официально поручено спроектировать и построить самолеты-снаряды «земля–земля» и «воздух–земля» по типу V1, а в феврале-апреле 1945 г. – совместно с ЛИИ провести их испытания. Кроме того, заводу № 51 поручалось внедрить в серию крылатые ракеты (11686).</w:t>
      </w:r>
    </w:p>
    <w:p w14:paraId="23DECD72" w14:textId="77777777" w:rsidR="00C2313B" w:rsidRPr="00F90EAE" w:rsidRDefault="00C2313B" w:rsidP="00F90EAE">
      <w:pPr>
        <w:autoSpaceDE w:val="0"/>
        <w:autoSpaceDN w:val="0"/>
        <w:adjustRightInd w:val="0"/>
        <w:jc w:val="both"/>
        <w:rPr>
          <w:color w:val="000000" w:themeColor="text1"/>
          <w:sz w:val="16"/>
          <w:szCs w:val="16"/>
        </w:rPr>
      </w:pPr>
    </w:p>
    <w:p w14:paraId="357C61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18 января 1945 г. в соответствии с Постановлением ГКО заводу № 51 было поручено спроектировать и построить по типу «ФАУ-1» самолет-снаряд и провести его испытания совместно с ЛИИ в феврале-апреле 1945 г. Челомеевскому изделию был присвоен индекс «10Х». Для летных испытаний были переоборудованы три самолета Пе-8. С апреля по сентябрь на полигоне в Голодной степи (между Ташкентом и Сыр-Дарьей) было запущено 63 ракеты. Только 30 процентов запусков были успешными.</w:t>
      </w:r>
    </w:p>
    <w:p w14:paraId="7FAFE3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1946 г. в носители 10Х переоборудовали еще два самолета Пе-8. По результатам летных испытаний 10Х была рекомендована к принятию на вооружение, но руководство ВВС отказалось от этого. Понять позицию военных очень легко. Ракета имела малую дальность и скорость меньше, чем у винтомоторных истребителей. Попадание в квадрат 5х5 км считалось удачным, и это при дальности пуска 200 км. Наконец, ВВС, кроме трех десятков потрепанных Пе-8, просто не имели носителей для 10Х.</w:t>
      </w:r>
    </w:p>
    <w:p w14:paraId="19AB56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Очень интересно сравнить эту информацию с мемуарами Шахурина, опубликованными в 1983 г. Бывший нарком пишет:</w:t>
      </w:r>
    </w:p>
    <w:p w14:paraId="5D343A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«...Узнав о применении фашистами нового оружия, а это произошло 13 июня 1944 г., меня, А.А. Новикова и В.Н. Челомея вызвали в ГКО и поставили задачу: создать новое оружие - беспилотную боевую технику. Появилось соответствующее решение ГКО. Владимир Николаевич Челомей был назначен главным конструктором и директором соответствующего завода. Уже в декабре 1944 г. десятки отечественных самолетов-снарядов были испытаны с помощью самолетов Пе-8. Эффект их применения оказался чрезвычайно сильным. Если учесть, что при ударе по противнику сохранялись дорогостоящие самолеты и первоклассные летчики, а также то, что стоимость изготовления подобных снарядов была весьма невелика, и можно было наладить их массовое производство, то понятно, какое дополнительное оружие получали Вооруженные Силы для скорейшего разгрома врага. В начале 1945 г. мы были уже готовы применить его.</w:t>
      </w:r>
    </w:p>
    <w:p w14:paraId="37AD0C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 ЦК ВКП(б), Советское правительство приняли решение отказаться от применения этого оружия. Не менее сильное и, пожалуй, более эффективное, чем у врага, оружие у нас было, и гитлеровцы знали о нем. Но мы не уподобляться фашистским варварам, «воевавшим» с помощью своих ФАУ с мирными жителями Британских островов. Ведь наибольший эффект приносило применение самолетов-снарядов по городам, где было много мирного населения. А советский народ сражался с гитлеровской армией,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аэродромов для нанесения боевых ударов» (12049).</w:t>
      </w:r>
    </w:p>
    <w:p w14:paraId="04CC93AF" w14:textId="77777777" w:rsidR="00C2313B" w:rsidRPr="00F90EAE" w:rsidRDefault="00C2313B" w:rsidP="00F90EAE">
      <w:pPr>
        <w:autoSpaceDE w:val="0"/>
        <w:autoSpaceDN w:val="0"/>
        <w:adjustRightInd w:val="0"/>
        <w:jc w:val="both"/>
        <w:rPr>
          <w:color w:val="000000" w:themeColor="text1"/>
          <w:sz w:val="16"/>
          <w:szCs w:val="16"/>
        </w:rPr>
      </w:pPr>
    </w:p>
    <w:p w14:paraId="374A4896" w14:textId="77777777" w:rsidR="00573476" w:rsidRPr="00F90EAE" w:rsidRDefault="00573476" w:rsidP="00F90EAE">
      <w:pPr>
        <w:jc w:val="both"/>
        <w:rPr>
          <w:color w:val="000000" w:themeColor="text1"/>
          <w:sz w:val="16"/>
          <w:szCs w:val="16"/>
        </w:rPr>
      </w:pPr>
      <w:r w:rsidRPr="00F90EAE">
        <w:rPr>
          <w:color w:val="000000" w:themeColor="text1"/>
          <w:sz w:val="16"/>
          <w:szCs w:val="16"/>
        </w:rPr>
        <w:t>18 января 1945 г. в соответствии с Постановлением ГКО от заводу № 51 было поручено спроектировать и построить по типу ФАУ-1 самолет-снаряд и совместно с ЛИИ провести его испытания в феврале - апреле 1945 г. Челомеевскому изделию ФАУ-1 был присвоен индекс 10Х. Как и ФАУ, 10Х изготавливалась в вариантах &lt;земля - земля&gt; и &lt;воздух - земля&gt;. Причем работы над авиационным вариантом опережали работы над вариантом с наземным пуском (12414).</w:t>
      </w:r>
    </w:p>
    <w:p w14:paraId="37CF7C2F" w14:textId="77777777" w:rsidR="00573476" w:rsidRPr="00F90EAE" w:rsidRDefault="00573476" w:rsidP="00F90EAE">
      <w:pPr>
        <w:jc w:val="both"/>
        <w:rPr>
          <w:color w:val="000000" w:themeColor="text1"/>
          <w:sz w:val="16"/>
          <w:szCs w:val="16"/>
        </w:rPr>
      </w:pPr>
    </w:p>
    <w:p w14:paraId="2DDBDAD0" w14:textId="77777777" w:rsidR="006F0F05" w:rsidRPr="00F90EAE" w:rsidRDefault="006F0F05"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18 ян</w:t>
      </w:r>
      <w:r w:rsidRPr="00F90EAE">
        <w:rPr>
          <w:rFonts w:ascii="Times New Roman" w:cs="Times New Roman"/>
          <w:color w:val="000000" w:themeColor="text1"/>
          <w:spacing w:val="0"/>
          <w:sz w:val="16"/>
          <w:szCs w:val="16"/>
        </w:rPr>
        <w:softHyphen/>
        <w:t xml:space="preserve">варя 1945 г. в соответствии с Постановлением Государственного Комитета Обороны (ГКО) № 7350 заводу №51 поручили спроектировать и построить по типу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-1 самолёт- снаряд и в феврале—апреле совместно с ЛИИ провести его испытания. Предусматрива</w:t>
      </w:r>
      <w:r w:rsidRPr="00F90EAE">
        <w:rPr>
          <w:rFonts w:ascii="Times New Roman" w:cs="Times New Roman"/>
          <w:color w:val="000000" w:themeColor="text1"/>
          <w:spacing w:val="0"/>
          <w:sz w:val="16"/>
          <w:szCs w:val="16"/>
        </w:rPr>
        <w:softHyphen/>
        <w:t>лась постройка 100 экземпляров и подготовка производства к выпуску в марте 300 еди</w:t>
      </w:r>
      <w:r w:rsidRPr="00F90EAE">
        <w:rPr>
          <w:rFonts w:ascii="Times New Roman" w:cs="Times New Roman"/>
          <w:color w:val="000000" w:themeColor="text1"/>
          <w:spacing w:val="0"/>
          <w:sz w:val="16"/>
          <w:szCs w:val="16"/>
        </w:rPr>
        <w:softHyphen/>
        <w:t>ниц с дальнейшем доведением мощности до 15 аппаратов в сутки.</w:t>
      </w:r>
    </w:p>
    <w:p w14:paraId="666618D4" w14:textId="77777777" w:rsidR="006F0F05" w:rsidRPr="00F90EAE" w:rsidRDefault="006F0F05"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К серийному производству самолёта-снаряда предстояло привлечь заводы №№ 456, 125, 122 и 451. Стартовые устройства как для наземного, так й для самолётного вари</w:t>
      </w:r>
      <w:r w:rsidRPr="00F90EAE">
        <w:rPr>
          <w:rFonts w:ascii="Times New Roman" w:cs="Times New Roman"/>
          <w:color w:val="000000" w:themeColor="text1"/>
          <w:spacing w:val="0"/>
          <w:sz w:val="16"/>
          <w:szCs w:val="16"/>
        </w:rPr>
        <w:softHyphen/>
        <w:t>антов должен был спроектировать И.В. Четвериков и изготовить их на заводе № 456 (15790).</w:t>
      </w:r>
    </w:p>
    <w:p w14:paraId="75D370DA" w14:textId="77777777" w:rsidR="006F0F05" w:rsidRPr="00F90EAE" w:rsidRDefault="006F0F05" w:rsidP="00F90EAE">
      <w:pPr>
        <w:pStyle w:val="36"/>
        <w:shd w:val="clear" w:color="auto" w:fill="auto"/>
        <w:spacing w:after="0" w:line="240" w:lineRule="auto"/>
        <w:jc w:val="both"/>
        <w:rPr>
          <w:rFonts w:ascii="Times New Roman" w:cs="Times New Roman"/>
          <w:color w:val="000000" w:themeColor="text1"/>
          <w:spacing w:val="0"/>
          <w:sz w:val="16"/>
          <w:szCs w:val="16"/>
        </w:rPr>
      </w:pPr>
    </w:p>
    <w:p w14:paraId="4B9D545B" w14:textId="77777777" w:rsidR="006F0F05" w:rsidRPr="00F90EAE" w:rsidRDefault="006F0F05" w:rsidP="00F90EAE">
      <w:pPr>
        <w:pStyle w:val="book"/>
        <w:ind w:firstLine="0"/>
        <w:jc w:val="both"/>
        <w:rPr>
          <w:color w:val="000000" w:themeColor="text1"/>
          <w:sz w:val="16"/>
          <w:szCs w:val="16"/>
        </w:rPr>
      </w:pPr>
      <w:r w:rsidRPr="00F90EAE">
        <w:rPr>
          <w:color w:val="000000" w:themeColor="text1"/>
          <w:sz w:val="16"/>
          <w:szCs w:val="16"/>
        </w:rPr>
        <w:t>18 января 1945 г. в соответствии с постановлением ГКО заводу № 51 было поручено спроектировать и построить по типу ФАУ-1 самолет-снаряд и совместно с ЛИИ провести его испытания в феврале—апреле 1945 г. Челомеевскому изделию ФАУ-1 был присвоен индекс 10Х. Как и ФАУ, 10Х изготавливалась в вариантах «земля — земля» и «воздух — земля». Причем работы над авиационным вариантом опережали работы над вариантом с наземным пуском. Для испытаний 10Х были переоборудованы три бомбардировщика Пе-8. С апреля по сентябрь 1945 г. на полигоне в Голодной степи (между Ташкентом и Сырдарьей) было запущено 63 ракеты 10Х, и только 30% пусков оказались удачными. В 1946 г. в носители 10Х переоборудовали еще два бомбардировщика Пе-8. С 15 по 20 декабря 1948 г. провели еще 73 пуска ракет 10Х воздушного базирования. Аэродинамическая схема ракеты 10Х нормальная самолетная. Длина ракеты 8 м. Максимальный диаметр корпуса 1,05 м. Размах крыльев 6 м. Первые образцы 10Х имели металлические крылья, а последующие — деревянные. Двигатель пульсирующий Д-3 с тягой 310 кг. Стартовый вес ракеты 2126—2130 кг. Вес боевой части 800 кг. Максимальная скорость полета 550—600 м/с. В 1948 г. по результатам летных испытаний 10Х была рекомендована к принятию на вооружение, но руководство ВВС фактически отказалось ее принимать. Понять их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x 5 км считалось удачным, и это с расстояния 200—300 км! Наконец, ВВС практически не имели носителей для 10Х. Пе-8 состояло всего несколько десятков, а Ту-4 еще не было. Не лучше у Челомея шли дела с самолетом-снарядом наземного базирования 10ХН, разработка которого была начата в 1949 г. Эта ракета была создана на базе 10Х, главное отличие ее заключалось в установке твердотопливного стартового двигателя. В марте 1950 г. эскизный проект был предъявлен заказчику, а в июле 1951 г. на полигоне Капустин Яр начались летные испытания. Испытывались ракеты, стартовые пороховые двигатели СД-10ХН, стартовые салазки и направляющие. По итогам испытаний Государственная комиссия предложила сформировать войсковую часть для освоения и подготовки кадров Советской армии к эксплуатации этого нового вида оружия. С 17 декабря 1952 г. по 11 марта 1953 г. в в/ч 15644 прошли Государственные испытания наземного самолета-снаряда 10ХН, в ходе которых было запущено 15 изделий. Стрельба велась с громоздкой катапульты ПК-10ХН с воздушно-пусковым агрегатом. Катапульту длиной свыше 30 м с трудом перемещал тяжелый тягач АТ-Т. Управление стрельбой велось со спецмашины на базе БТР-40А1. Время развертывания катапульты составляло в среднем около 70 минут. Время перезарядки новой ракеты — 40 минут. Вес изделия 10ХН 3500 кг, из которых 800 кг приходилось на боевую часть. Стрельба велась на дистанцию 240 км по цели, представлявшей квадрат 20 x 20 км. Заданная высота полета — 240 м. Первый пуск состоялся 12 января 1953 г. Ракета поначалу шла на высоте около 200 м, а затем поднялась до 560 м. Средняя скорость полета составляла 656 км/час. Ракета пролетела 235,6 км и не долетела 4,32 км, боковое отклонение составило 3,51 км. Для Челомея это был большой успех. У второй ракеты на 350-й секунде полета отказал двигатель, и она упала на дистанции 113,4 км. Третья ракета пролетела 247,6 км со средней скоростью 658 км/час. Перелет составил 7,66 км, а боковое отклонение — 2,05 км. В итоге в квадрат 20 x 20 км из 15 попали 11 ракет. Высоту полета ракеты выбирали сами — от 200 до 1000 м. Тем не менее работы над 10ХН были продолжены в 1954—1955 гг. Решением Совмина от 19 мая 1954 г. заводу № 475 (г. Смоленск) дали задание изготовить 100 ракет 10ХН, однако уже 3 ноября того же года задание было сокращено вдвое. Ракета 10ХН вновь испытывалась на полигоне Капустин Яр. В ходе этих испытаний длина катапульты была доведена до 11 м, а в самом конце испытаний провели два успешных пуска при длине направляющих 8 м. Тем не менее ракету 10ХН на вооружение так и не приняли. С 1951 г. Челомей проектировал корабельный вариант 10ХН, который в ряде документов именовался «Ласточкой». Крылатая ракета «Ласточка» имела два пороховых ускорителя, из которых один был «ускорителем первой очереди» и размещался на стартовой тележке, то есть выполнял функции катапульты, а другой — «ускоритель второй очереди» — размещался непосредственно на ракете. Ракета должна была стартовать с дорожки длиной около 20 метров с наклоном к горизонту 8—12° и требовала во время старта стабилизации от бортовой качки. Ракета хранилась на подводной лодке полностью заправленной, без съемных консолей крыла и оперения, которые размещались отдельно и должны были присоединяться к ракете непосредственно перед запуском. В 1949 г. ЦКБ-18 под руководством Ф.А. Каверина разработало в нескольких вариантах проект ракетной подводной лодки П-2, вооруженной баллистической ракетой Р-1 и крылатой ракетой «Ласточка». Водоизмещение подводной лодки П-2 составляло 5360 т.</w:t>
      </w:r>
    </w:p>
    <w:p w14:paraId="6DB9F5F5" w14:textId="77777777" w:rsidR="006F0F05" w:rsidRPr="00F90EAE" w:rsidRDefault="006F0F05" w:rsidP="00F90EAE">
      <w:pPr>
        <w:pStyle w:val="book"/>
        <w:ind w:firstLine="0"/>
        <w:jc w:val="both"/>
        <w:rPr>
          <w:color w:val="000000" w:themeColor="text1"/>
          <w:sz w:val="16"/>
          <w:szCs w:val="16"/>
        </w:rPr>
      </w:pPr>
      <w:r w:rsidRPr="00F90EAE">
        <w:rPr>
          <w:color w:val="000000" w:themeColor="text1"/>
          <w:sz w:val="16"/>
          <w:szCs w:val="16"/>
        </w:rPr>
        <w:t>В варианте П-2, вооруженном крылатыми ракетами, боекомплект состоял из 51 ракеты «Ласточка», помещенных в три водонепроницаемых блока, установленных в специальных отсеках-нишах. В других вариантах в водонепроницаемых блоках должны были находиться ракеты Р-1 или сверхмалые подводные лодки. Но проект П-2 был признан слишком сложным, и разработку его прекратили. В 1952—1953 гг. в ЦКБ-18 под руководством И.Б. Михайлова был разработан технический проект 628 — переоборудование подводной лодки XTV серии для проведения экспериментальных стрельб ракетами 10ХН. Крылатая ракета размещалась в контейнере диаметром 2,5 м и длиной 10 м. Работа по размещению на подводной лодке ракеты 10ХН и связанных с этим устройств и приборов имела шифр «Волна». Для старта ракеты устанавливалось устройство, состоящее из фермы с механизмами ее подъема и опускания и механизмов подачи ракет на стартовое устройство. Длина стартовой фермы составляла около 30 м, угол ее подъема — около 14°. Стартовое устройство размещалось по диаметральной плоскости в кормовой части лодки. Старт производился против хода подводной лодки. Связующим звеном между стартовым устройством и контейнером служила откидывающаяся кормовая крышка контейнера. Кроме этой крышки, в носовой части контейнера был люк для входа личного состава в контейнер. Контейнер рассчитывался на предельную глубину погружения, внутри его имелась пробковая изоляция. Ракета должна была храниться в контейнере со снятыми консолями крыла.</w:t>
      </w:r>
    </w:p>
    <w:p w14:paraId="121D9C1C" w14:textId="77777777" w:rsidR="006F0F05" w:rsidRPr="00F90EAE" w:rsidRDefault="006F0F05" w:rsidP="00F90EAE">
      <w:pPr>
        <w:pStyle w:val="book"/>
        <w:ind w:firstLine="0"/>
        <w:jc w:val="both"/>
        <w:rPr>
          <w:color w:val="000000" w:themeColor="text1"/>
          <w:sz w:val="16"/>
          <w:szCs w:val="16"/>
        </w:rPr>
      </w:pPr>
      <w:r w:rsidRPr="00F90EAE">
        <w:rPr>
          <w:color w:val="000000" w:themeColor="text1"/>
          <w:sz w:val="16"/>
          <w:szCs w:val="16"/>
        </w:rPr>
        <w:t xml:space="preserve">Для переоборудования в проект 628 была выделена подводная лодка Б-5 (до мая 1949 г. — К-51). Согласно постановлению Совмина от 19 февраля 1953 г. о прекращении работ по ракетам комплекса «Волна», все разработки проекта 628 также прекратились. В 1948—1950 гг. прорабатывался вариант установки ракет 10Х, 10ХН и 16Х на недостроенный крейсер «Таллин» (проекта 82), трофейный германский крейсер «Зейдлиц» и строившиеся отечественные крейсера проекта 68бис. 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Боевая часть та же, что и у 10Х. Система управления инерциальная. Рассматривался вариант 14Х с системой наведения по проекту «Кометы», но вскоре он был отвергнут. А ракета 14Х тихо скончалась, вопрос о ее принятии на вооружение даже не ставился. 7 мая 1947 г. вышло постановление Совмина № 1401—370 о разработке ракеты 16Х. Внешне и конструктивно 16Х мало отличалась от 14Х. Аэродинамическая схема нормальная самолетная. В качестве носителя мог использоваться Ту-4 (2 ракеты) и Ту-2 (1 ракета). Модификациям ракет 10Х и 16Х Челомей присвоил индексы 10ХМ и 16ХМ. По-английски «X» звучит «экс», в результате к ракетам Челомея приклеилась кличка «экземы» — «экзема-10», «экзема-11». 8 ходе испытаний ракеты 16Х на ней устанавливались различные пульсирующие двигатели: Д-5, Д-312, Д-14—4 и другие. Во время испытаний на полигоне в Ахтубинске с 22 июля по 25 декабря 1948 г. максимальная скорость возросла с 714 до 780 км/ч. В 1949 г. с двигателем Д-14—4 скорость достигла 912 км/час. С 6 сентября по 4 ноября 1950 г. были проведены совместные испытания </w:t>
      </w:r>
      <w:r w:rsidRPr="00F90EAE">
        <w:rPr>
          <w:color w:val="000000" w:themeColor="text1"/>
          <w:sz w:val="16"/>
          <w:szCs w:val="16"/>
        </w:rPr>
        <w:lastRenderedPageBreak/>
        <w:t>ракет 16Х. С самолетов Пе-8 и Ту-2 было запущено 20 ракет с двигателями Д-14—4. Дальность стрельбы составила 170 км, а средняя скорость — около 900 км/час. Все снаряды попали в прямоугольник 10,8 x 16 км, что для инерциальной системы управления 16Х сравнительно неплохо. Но и такая меткость ВВС была не нужна. Поэтому принимается решение оснастить 16Х радиокомандной системой наведения, но она так и не была создана. Со 2 по 20 августа 1952 г. прошли совместные испытания ракеты 16Х и носителя Ту-4, в ходе которых было проведено 22 пуска ракет с инерциальной системой управления. Комиссия сочла результаты испытаний успешными, благо, допускаемое круговое отклонение считалось 8 км. Однако 4 октября 1952 г. Главнокомандующий ВВС маршал К.А. Вершинин заявил о невозможности принятия на вооружение 16Х из-за невыполнения требований по точности стрельбы, надежности и прочее. Вершинин предложил до конца 1952 г. провести испытания опытно-серийной партии из 15 самолетов-снарядов 16Х, а в 1953 г., сформировав в ВВС отдельную эскадрилью самолетов-носителей Ту-4, провести испытания войсковой партии из шестидесяти 16Х, из которых двадцать должны быть в боевом снаряжении. Между Минавиапромом, поддерживающим Челомея, и ВВС возник серьезный конфликт. За решением обратились к Сталину. Как писал первый заместитель Челомея Виктор Никифорович Бугайский: «На совещание были приглашены представители командования ВВС и испытательная бригада с полигона. Владимир Николаевич блестяще доложил в оптимистических тонах о результатах испытаний и похвалился, показав фотографии успешных попаданий ракет в цель и схему распределения точек их падения в заданный круг на земле в районе цели. Все это убедительно свидетельствовало о высокой эффективности ракет. Сталин попросил выступить представителей испытательной бригады с полигона. Вышел майор и заявил, что все успехи, о которых говорил В.Н. Челомей, имеют место, но на своей схеме он показал только успешные пуски. А таких пусков немного, основная масса испытанных ракет или не долетела до цели, или точки их падения лежат далеко за пределами заданной окружности. Затем он представил свою схему с совершенно неоптимистической картиной результатов работы. Сталин поинтересовался у присутствующих генералов, так ли все обстоит на самом деле, как доложил майор. Те подтвердили правоту майора. Тогда Сталин подвел итоги совещания: "Мы Вам, товарищ Челомей, оказали большое доверие, поручив руководить работами в столь важной для нас области техники. Вы доверие не оправдали. По-моему, Вы — авантюрист в технике, и мы не можем Вам больше доверять! Вам нельзя быть руководителем!"». 19 декабря 1952 г. вышло постановление Совмина СССР за № 533—271, где говорилось: «Объекты 10ХН и 16Х закончены разработкой, а дальнейшие работы по созданию крылатых неуправляемых ракет с ПуВРД, проводимые в ОКБ-51 (конструктор Челомей), являются неперспективными, ввиду малых точностей и ограниченных скоростей, обеспечиваемых указанными ракетами.... Обязать МАП до 1 марта 1953 г. ОКБ-51 с его опытным заводом передать в систему ОКБ-155 [т.е. Микояну. —А.Ш.] по состоянию на 1 марта 1953 г. для усиления работ по заказам 3 Главного управления при СМ СССР». Таким образом, контора Челомея за девять лет работы не сумела довести до принятия на вооружение ни одной ракеты (15225).</w:t>
      </w:r>
    </w:p>
    <w:p w14:paraId="14FAAB6D" w14:textId="77777777" w:rsidR="006F0F05" w:rsidRPr="00F90EAE" w:rsidRDefault="006F0F05" w:rsidP="00F90EAE">
      <w:pPr>
        <w:pStyle w:val="book"/>
        <w:ind w:firstLine="0"/>
        <w:jc w:val="both"/>
        <w:rPr>
          <w:color w:val="000000" w:themeColor="text1"/>
          <w:sz w:val="16"/>
          <w:szCs w:val="16"/>
        </w:rPr>
      </w:pPr>
    </w:p>
    <w:p w14:paraId="6F8F327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390C099" w14:textId="77777777" w:rsidR="00C2313B" w:rsidRPr="00F90EAE" w:rsidRDefault="00C2313B" w:rsidP="00F90EAE">
      <w:pPr>
        <w:autoSpaceDE w:val="0"/>
        <w:autoSpaceDN w:val="0"/>
        <w:adjustRightInd w:val="0"/>
        <w:jc w:val="both"/>
        <w:rPr>
          <w:iCs/>
          <w:color w:val="000000" w:themeColor="text1"/>
          <w:sz w:val="16"/>
          <w:szCs w:val="16"/>
        </w:rPr>
      </w:pPr>
    </w:p>
    <w:p w14:paraId="433989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января 1945 г. была подготовлена ДОКЛАДНАЯ ЗАПИСКА ЗАМЕСТИТЕЛЯ КОМАНДУЮЩЕГО БТ и МВ КА УПРАВЛЯЮЩЕМУ МОСЭНЕРГО ПО ВОПРОСУ ОБЕСПЕЧЕНИЯ ИЗГОТОВЛЕНИЯ ПРОТИВОМИННЫХ ТРАЛОВ № 836248</w:t>
      </w:r>
    </w:p>
    <w:p w14:paraId="116348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Постановлением №7092с от 8.12.1944 г. обязал Народный комиссариат путей сообщения изготовить до 1.04.1945 г. противоминные тралы для бронетанковых и механизированных войск Красной Армии.</w:t>
      </w:r>
    </w:p>
    <w:p w14:paraId="28CF05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Стальное литье для противоминных тралов поручено изготовить литейно-механическому заво</w:t>
      </w:r>
      <w:r w:rsidRPr="00F90EAE">
        <w:rPr>
          <w:color w:val="000000" w:themeColor="text1"/>
          <w:sz w:val="16"/>
          <w:szCs w:val="16"/>
        </w:rPr>
        <w:softHyphen/>
        <w:t>ду НКПС им. Кагановича (г. Люблино Московской области).</w:t>
      </w:r>
    </w:p>
    <w:p w14:paraId="290EA6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литейно-механического завода НКПС т. Коновалов сообщил письмом №73с от 13.01.1945 г. о том, что изготовление стального литья для противоминных тралов задерживается из-за систематического отключения фидера электропечей.</w:t>
      </w:r>
    </w:p>
    <w:p w14:paraId="32218E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выполнения Постановления ГОКО №7092с по изготовлению противоминных тралов прошу Ваших указаний не отключать фидер №2, питающий электросталеплавильные печи на литейно-механическом заводе НКПС им. Кагановича.</w:t>
      </w:r>
    </w:p>
    <w:p w14:paraId="4C757B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Вашем решении прошу поставить меня в известность.</w:t>
      </w:r>
    </w:p>
    <w:p w14:paraId="520386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6C48E0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1 генерал-полковник танковых войск Бирюков</w:t>
      </w:r>
    </w:p>
    <w:p w14:paraId="42EAFD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2705. Л. 5. Копия (11420).</w:t>
      </w:r>
    </w:p>
    <w:p w14:paraId="4C038ABF" w14:textId="77777777" w:rsidR="00C2313B" w:rsidRPr="00F90EAE" w:rsidRDefault="00C2313B" w:rsidP="00F90EAE">
      <w:pPr>
        <w:autoSpaceDE w:val="0"/>
        <w:autoSpaceDN w:val="0"/>
        <w:adjustRightInd w:val="0"/>
        <w:jc w:val="both"/>
        <w:rPr>
          <w:color w:val="000000" w:themeColor="text1"/>
          <w:sz w:val="16"/>
          <w:szCs w:val="16"/>
        </w:rPr>
      </w:pPr>
    </w:p>
    <w:p w14:paraId="3EEEA830" w14:textId="77777777" w:rsidR="00670896" w:rsidRPr="00F90EAE" w:rsidRDefault="00670896" w:rsidP="00F90EAE">
      <w:pPr>
        <w:pStyle w:val="ae"/>
        <w:spacing w:before="0" w:after="0"/>
        <w:jc w:val="both"/>
        <w:textAlignment w:val="baseline"/>
        <w:rPr>
          <w:color w:val="000000" w:themeColor="text1"/>
          <w:sz w:val="16"/>
          <w:szCs w:val="16"/>
        </w:rPr>
      </w:pPr>
      <w:r w:rsidRPr="00F90EAE">
        <w:rPr>
          <w:color w:val="000000" w:themeColor="text1"/>
          <w:sz w:val="16"/>
          <w:szCs w:val="16"/>
        </w:rPr>
        <w:t>18 января 1945 года Постановлением ГКО №7332 был пересмотрен план по выпуску Т-44. Выпуск данных танков в январе составил 20 штук, за февраль – 35, и за март – 60. Впрочем, даже такой щадящий режим давался заводу №75 с большим трудом. По состоянию на 28 января ни одного танка ещё не было принято, их сдавали в ночь на 1 февраля. Качество изготовляемых танков оставалось всё ещё низким: отмечались поломки гитар, привода вентилятора, прогиб осей балансиров, врезание крайнего правого опорного катка в ведущее колесо и левого переднего опорного катка в ленивец. На заводе не сидели, сложа руки, с дефектами боролись, но поначалу дела обстояли очень плохо. Ещё худшая ситуация сложилась в феврале: вместо 35 танков к началу марта удалось сдать всего 20 штук, да и те имели целый букет дефектов. Это сильно тормозило сдачу машин в войска (точнее, в учебные части – столь сырую технику в боевые части никто бы направлять не стал). Военная приёмка на заводе отмечала плохую организацию работы, отсутствие отопления цехов (при сильных февральских морозах), плохую оснащённость инструментами. Вместе с тем, имелись и тенденции по выполнению мартовского плана. Также улучшилась ситуация с надёжностью гитар (их конструкцию модернизировали силами КБ завода №75), хотя качество Т-44 всё равно оставалось низким (19047).</w:t>
      </w:r>
    </w:p>
    <w:p w14:paraId="64B71B5E" w14:textId="77777777" w:rsidR="00670896" w:rsidRPr="00F90EAE" w:rsidRDefault="00670896" w:rsidP="00F90EAE">
      <w:pPr>
        <w:pStyle w:val="ae"/>
        <w:spacing w:before="0" w:after="0"/>
        <w:jc w:val="both"/>
        <w:textAlignment w:val="baseline"/>
        <w:rPr>
          <w:color w:val="000000" w:themeColor="text1"/>
          <w:sz w:val="16"/>
          <w:szCs w:val="16"/>
        </w:rPr>
      </w:pPr>
    </w:p>
    <w:p w14:paraId="5FA1CE7F"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18 января 1945 г. было принято предложенное ГОКО «О мероприятиях по развитию добычи угля и новом шахтном строительстве в Печорском бассейне в 1945 г.»</w:t>
      </w:r>
      <w:r w:rsidR="001C14BF" w:rsidRPr="00F90EAE">
        <w:rPr>
          <w:color w:val="000000" w:themeColor="text1"/>
          <w:sz w:val="16"/>
          <w:szCs w:val="16"/>
        </w:rPr>
        <w:t>, предусматривающее освобождения от производства боеприпасов Кунгурской и Кировской ИТК (исправительно-трудовых колоний)</w:t>
      </w:r>
      <w:r w:rsidRPr="00F90EAE">
        <w:rPr>
          <w:color w:val="000000" w:themeColor="text1"/>
          <w:sz w:val="16"/>
          <w:szCs w:val="16"/>
        </w:rPr>
        <w:t xml:space="preserve">, </w:t>
      </w:r>
      <w:r w:rsidR="001C14BF" w:rsidRPr="00F90EAE">
        <w:rPr>
          <w:color w:val="000000" w:themeColor="text1"/>
          <w:sz w:val="16"/>
          <w:szCs w:val="16"/>
        </w:rPr>
        <w:t xml:space="preserve">и </w:t>
      </w:r>
      <w:r w:rsidRPr="00F90EAE">
        <w:rPr>
          <w:color w:val="000000" w:themeColor="text1"/>
          <w:sz w:val="16"/>
          <w:szCs w:val="16"/>
        </w:rPr>
        <w:t>НКВД в лице заместителя наркома А.П. Завенягина попыталось найти предприятия, которые взяли бы на себя снимаемое с их ИТК производство элементов боеприпасов. Но потерпело неудачу. В результате через месяц заинтересованные стороны вынуждены были найти между своими интересами компромисс, изложением которого стало письмо Л.П. Берия от Завенягина, Борисова и Панова:</w:t>
      </w:r>
    </w:p>
    <w:p w14:paraId="5D7BC6CF"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 xml:space="preserve"> «Постановлением ГОКО № 7346 от 18 января 1945 года “О мероприятиях по развитию добычи угля и новом шахтном строительстве в Печорском бассейне в 1945 г.”, поручено т.т. Завенягину, Борисову и Панову в декадный срок разработать и представить предложение о постепенном освобождении Кунгурской колонии № 3 и Кировской колонии № 4 НКВД от производства боеприпасов с целью перевода их на производство горно-шахтного оборудования после того, как снимаемые с производства количества боеприпасов будут размещены на других предприятиях.</w:t>
      </w:r>
    </w:p>
    <w:p w14:paraId="7086E9E2"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Рассмотрев этот вопрос с заинтересованными наркоматами докладываем:</w:t>
      </w:r>
    </w:p>
    <w:p w14:paraId="02C77885"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Увеличить производство корпусов 82мм и 120мм мин на других предприятиях промышленности, в связи с тем, что в плане на 1 квартал 1945 г. утвержденном ГОКО от 18.1. с.г. производство мин предусмотрено в максимальных количествах, не представляется возможным.</w:t>
      </w:r>
    </w:p>
    <w:p w14:paraId="39672BB5"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Исходя из утвержденного ГОКО плана производства корпусов 82мм и 120мм мин, задание Кунгурской и Ковровской колониям НКВД по выпуску корпусов этих мин можно сократить с 1 апреля 1945 года до 50% по сравнению с планом 1 квартала с.г. (Кунгурская колония выпускает — 45 тыс. штук корпусов 120мм мин и Кировская колония — 70 тыс. штук корпусов 82мм мин в месяц.</w:t>
      </w:r>
    </w:p>
    <w:p w14:paraId="46048ABC"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Просим Вашего согласия на внесение указанных изменений в проект плана производства боеприпасов на II квартал 1945 года».</w:t>
      </w:r>
    </w:p>
    <w:p w14:paraId="374B1FD2"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Адресат поставил на письме резолюцию: «Согласен».</w:t>
      </w:r>
    </w:p>
    <w:p w14:paraId="581086BE" w14:textId="77777777" w:rsidR="004E29EA" w:rsidRPr="00F90EAE" w:rsidRDefault="004E29EA" w:rsidP="00F90EAE">
      <w:pPr>
        <w:shd w:val="clear" w:color="auto" w:fill="FFFFFF"/>
        <w:jc w:val="both"/>
        <w:rPr>
          <w:color w:val="000000" w:themeColor="text1"/>
          <w:sz w:val="16"/>
          <w:szCs w:val="16"/>
        </w:rPr>
      </w:pPr>
      <w:r w:rsidRPr="00F90EAE">
        <w:rPr>
          <w:color w:val="000000" w:themeColor="text1"/>
          <w:sz w:val="16"/>
          <w:szCs w:val="16"/>
        </w:rPr>
        <w:t>Таким образом, окончательное решение о форме и степени выполнения постановления, принятого ГОКО, определилось в ходе согласования интересов затронутых им ведомств (17451).</w:t>
      </w:r>
    </w:p>
    <w:p w14:paraId="0D0DFD7E" w14:textId="77777777" w:rsidR="004E29EA" w:rsidRPr="00F90EAE" w:rsidRDefault="004E29EA" w:rsidP="00F90EAE">
      <w:pPr>
        <w:autoSpaceDE w:val="0"/>
        <w:autoSpaceDN w:val="0"/>
        <w:adjustRightInd w:val="0"/>
        <w:jc w:val="both"/>
        <w:rPr>
          <w:color w:val="000000" w:themeColor="text1"/>
          <w:sz w:val="16"/>
          <w:szCs w:val="16"/>
        </w:rPr>
      </w:pPr>
    </w:p>
    <w:p w14:paraId="6CC295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7332 О плане производства и ремонта танков, самоходных артиллерийских установок, дизелей и поставки танковых запасных частей Красной Армии на I квартал 1945 года. РГАНИР, Фонд ГКО, д. 350, лл. 27-33, 34-211 (11012).</w:t>
      </w:r>
    </w:p>
    <w:p w14:paraId="7FF8C64F" w14:textId="77777777" w:rsidR="00C2313B" w:rsidRPr="00F90EAE" w:rsidRDefault="00C2313B" w:rsidP="00F90EAE">
      <w:pPr>
        <w:autoSpaceDE w:val="0"/>
        <w:autoSpaceDN w:val="0"/>
        <w:adjustRightInd w:val="0"/>
        <w:jc w:val="both"/>
        <w:rPr>
          <w:color w:val="000000" w:themeColor="text1"/>
          <w:sz w:val="16"/>
          <w:szCs w:val="16"/>
        </w:rPr>
      </w:pPr>
    </w:p>
    <w:p w14:paraId="05DCCE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7333 О плане производства и поставок НКО и НКВМФ артиллерийского, минометного и стрелкового вооружения и военных приборов на I квартал 1945 года. РГАНИР, Фонд ГКО, д. 351, лл. 1-62, 63-171 (11012).</w:t>
      </w:r>
    </w:p>
    <w:p w14:paraId="02F61299" w14:textId="77777777" w:rsidR="00C2313B" w:rsidRPr="00F90EAE" w:rsidRDefault="00C2313B" w:rsidP="00F90EAE">
      <w:pPr>
        <w:autoSpaceDE w:val="0"/>
        <w:autoSpaceDN w:val="0"/>
        <w:adjustRightInd w:val="0"/>
        <w:jc w:val="both"/>
        <w:rPr>
          <w:color w:val="000000" w:themeColor="text1"/>
          <w:sz w:val="16"/>
          <w:szCs w:val="16"/>
        </w:rPr>
      </w:pPr>
    </w:p>
    <w:p w14:paraId="35342A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7334 О плане производства боеприпасов в I квартале 1945 года. РГАНИР, Фонд ГКО, д. 352, лл. 1-17, 18-436 (11012).</w:t>
      </w:r>
    </w:p>
    <w:p w14:paraId="2D5650C6" w14:textId="77777777" w:rsidR="00C2313B" w:rsidRPr="00F90EAE" w:rsidRDefault="00C2313B" w:rsidP="00F90EAE">
      <w:pPr>
        <w:autoSpaceDE w:val="0"/>
        <w:autoSpaceDN w:val="0"/>
        <w:adjustRightInd w:val="0"/>
        <w:jc w:val="both"/>
        <w:rPr>
          <w:color w:val="000000" w:themeColor="text1"/>
          <w:sz w:val="16"/>
          <w:szCs w:val="16"/>
        </w:rPr>
      </w:pPr>
    </w:p>
    <w:p w14:paraId="636574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7335 О плане добычи угля и сланца на I квартал и январь 1945 г. по Наркомуглю и мерах по материально-техническому обеспечению угольной промышленности. РГАНИР, Фонд ГКО, д. 354, лл. 1-27, 28-47 (11012).</w:t>
      </w:r>
    </w:p>
    <w:p w14:paraId="4627B22D" w14:textId="77777777" w:rsidR="00C2313B" w:rsidRPr="00F90EAE" w:rsidRDefault="00C2313B" w:rsidP="00F90EAE">
      <w:pPr>
        <w:autoSpaceDE w:val="0"/>
        <w:autoSpaceDN w:val="0"/>
        <w:adjustRightInd w:val="0"/>
        <w:jc w:val="both"/>
        <w:rPr>
          <w:color w:val="000000" w:themeColor="text1"/>
          <w:sz w:val="16"/>
          <w:szCs w:val="16"/>
        </w:rPr>
      </w:pPr>
    </w:p>
    <w:p w14:paraId="7BEB46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7336 О плане добычи нефти, выработки нефтепродуктов и материально-техническом снабжении нефтяной промышленности в I квартале 1945 года. РГАНИР, Фонд ГКО, д. 354, лл. 48-65, 66-89 (11012).</w:t>
      </w:r>
    </w:p>
    <w:p w14:paraId="0BFDB59D" w14:textId="77777777" w:rsidR="00C2313B" w:rsidRPr="00F90EAE" w:rsidRDefault="00C2313B" w:rsidP="00F90EAE">
      <w:pPr>
        <w:autoSpaceDE w:val="0"/>
        <w:autoSpaceDN w:val="0"/>
        <w:adjustRightInd w:val="0"/>
        <w:jc w:val="both"/>
        <w:rPr>
          <w:color w:val="000000" w:themeColor="text1"/>
          <w:sz w:val="16"/>
          <w:szCs w:val="16"/>
        </w:rPr>
      </w:pPr>
    </w:p>
    <w:p w14:paraId="1F2CF2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7337 О плане производства важнейших химикатов для боеприпасов и народного хозяйства на I квартал 1945 г. РГАНИР, Фонд ГКО, д. 354, лл. 90-108, 109-126 (11012).</w:t>
      </w:r>
    </w:p>
    <w:p w14:paraId="1A55324D" w14:textId="77777777" w:rsidR="00C2313B" w:rsidRPr="00F90EAE" w:rsidRDefault="00C2313B" w:rsidP="00F90EAE">
      <w:pPr>
        <w:autoSpaceDE w:val="0"/>
        <w:autoSpaceDN w:val="0"/>
        <w:adjustRightInd w:val="0"/>
        <w:jc w:val="both"/>
        <w:rPr>
          <w:color w:val="000000" w:themeColor="text1"/>
          <w:sz w:val="16"/>
          <w:szCs w:val="16"/>
        </w:rPr>
      </w:pPr>
    </w:p>
    <w:p w14:paraId="517773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г. вышло Постановление ГКО № 7338 «О производстве и поставках средств химического вооружения на I квартал 1945 г.» (Д. 436. Л. 124–201).</w:t>
      </w:r>
    </w:p>
    <w:p w14:paraId="6E8EA403" w14:textId="77777777" w:rsidR="00C2313B" w:rsidRPr="00F90EAE" w:rsidRDefault="00C2313B" w:rsidP="00F90EAE">
      <w:pPr>
        <w:autoSpaceDE w:val="0"/>
        <w:autoSpaceDN w:val="0"/>
        <w:adjustRightInd w:val="0"/>
        <w:jc w:val="both"/>
        <w:rPr>
          <w:color w:val="000000" w:themeColor="text1"/>
          <w:sz w:val="16"/>
          <w:szCs w:val="16"/>
        </w:rPr>
      </w:pPr>
    </w:p>
    <w:p w14:paraId="713707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7339 О плане производства синтетического каучука, автомобильных, авиационных и артиллерийских шин, средств химической защиты, инженерного имущества, резинотехнических изделий на I квартал 1945 г. и мерах по материально-техническому обеспечению производства этих изделий.РГАНИР, Фонд ГКО, д. 354, лл. (11012).</w:t>
      </w:r>
    </w:p>
    <w:p w14:paraId="673698F5" w14:textId="77777777" w:rsidR="00C2313B" w:rsidRPr="00F90EAE" w:rsidRDefault="00C2313B" w:rsidP="00F90EAE">
      <w:pPr>
        <w:autoSpaceDE w:val="0"/>
        <w:autoSpaceDN w:val="0"/>
        <w:adjustRightInd w:val="0"/>
        <w:jc w:val="both"/>
        <w:rPr>
          <w:color w:val="000000" w:themeColor="text1"/>
          <w:sz w:val="16"/>
          <w:szCs w:val="16"/>
        </w:rPr>
      </w:pPr>
    </w:p>
    <w:p w14:paraId="3496D4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7340 О плане производства целлюлозы, бумаги и картона по Наркомбумпрому на I квартал 1945 г. РГАНИР, Фонд ГКО, д. 355, лл. 1-3, 4-35 (11012).</w:t>
      </w:r>
    </w:p>
    <w:p w14:paraId="196FC373" w14:textId="77777777" w:rsidR="00C2313B" w:rsidRPr="00F90EAE" w:rsidRDefault="00C2313B" w:rsidP="00F90EAE">
      <w:pPr>
        <w:autoSpaceDE w:val="0"/>
        <w:autoSpaceDN w:val="0"/>
        <w:adjustRightInd w:val="0"/>
        <w:jc w:val="both"/>
        <w:rPr>
          <w:color w:val="000000" w:themeColor="text1"/>
          <w:sz w:val="16"/>
          <w:szCs w:val="16"/>
        </w:rPr>
      </w:pPr>
    </w:p>
    <w:p w14:paraId="6FA9E4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7341 О мероприятиях по развитию добычи природного газа и производства искусственного жидкого топлива в I квартале 1945 года. РГАНИР, Фонд ГКО, д. 355, лл. 36-46, 47-61 (11012).</w:t>
      </w:r>
    </w:p>
    <w:p w14:paraId="63C20842" w14:textId="77777777" w:rsidR="00C2313B" w:rsidRPr="00F90EAE" w:rsidRDefault="00C2313B" w:rsidP="00F90EAE">
      <w:pPr>
        <w:autoSpaceDE w:val="0"/>
        <w:autoSpaceDN w:val="0"/>
        <w:adjustRightInd w:val="0"/>
        <w:jc w:val="both"/>
        <w:rPr>
          <w:color w:val="000000" w:themeColor="text1"/>
          <w:sz w:val="16"/>
          <w:szCs w:val="16"/>
        </w:rPr>
      </w:pPr>
    </w:p>
    <w:p w14:paraId="25C3CA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7342 О балансе и плане распределения угля и сланцев на I квартал 1945 г. РГАНИР, Фонд ГКО, д. 355, лл. 62-63, 64-105 (11012).</w:t>
      </w:r>
    </w:p>
    <w:p w14:paraId="632C5601" w14:textId="77777777" w:rsidR="00C2313B" w:rsidRPr="00F90EAE" w:rsidRDefault="00C2313B" w:rsidP="00F90EAE">
      <w:pPr>
        <w:autoSpaceDE w:val="0"/>
        <w:autoSpaceDN w:val="0"/>
        <w:adjustRightInd w:val="0"/>
        <w:jc w:val="both"/>
        <w:rPr>
          <w:color w:val="000000" w:themeColor="text1"/>
          <w:sz w:val="16"/>
          <w:szCs w:val="16"/>
        </w:rPr>
      </w:pPr>
    </w:p>
    <w:p w14:paraId="36EC3E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7343 О плане нагрузки и выработки электроэнергии на I квартал 1945 г. и плане распределения электроэнергии на январь 1945 г. РГАНИР, Фонд ГКО, д. 355, лл. 106-107, 108-149 (11012).</w:t>
      </w:r>
    </w:p>
    <w:p w14:paraId="201562D3" w14:textId="77777777" w:rsidR="00C2313B" w:rsidRPr="00F90EAE" w:rsidRDefault="00C2313B" w:rsidP="00F90EAE">
      <w:pPr>
        <w:autoSpaceDE w:val="0"/>
        <w:autoSpaceDN w:val="0"/>
        <w:adjustRightInd w:val="0"/>
        <w:jc w:val="both"/>
        <w:rPr>
          <w:color w:val="000000" w:themeColor="text1"/>
          <w:sz w:val="16"/>
          <w:szCs w:val="16"/>
        </w:rPr>
      </w:pPr>
    </w:p>
    <w:p w14:paraId="6F7CF3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7344 О балансе и плане распределения нефтепродуктов на I квартал 1945 года. РГАНИР, Фонд ГКО, д. 356, лл. 1-3, 4-43 (11012).</w:t>
      </w:r>
    </w:p>
    <w:p w14:paraId="27A67236" w14:textId="77777777" w:rsidR="00C2313B" w:rsidRPr="00F90EAE" w:rsidRDefault="00C2313B" w:rsidP="00F90EAE">
      <w:pPr>
        <w:autoSpaceDE w:val="0"/>
        <w:autoSpaceDN w:val="0"/>
        <w:adjustRightInd w:val="0"/>
        <w:jc w:val="both"/>
        <w:rPr>
          <w:color w:val="000000" w:themeColor="text1"/>
          <w:sz w:val="16"/>
          <w:szCs w:val="16"/>
        </w:rPr>
      </w:pPr>
    </w:p>
    <w:p w14:paraId="377854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7345 О плане распределения авиагорючего на I квартал 1945 годы. РГАНИР, Фонд ГКО, д. 356, лл. 44-45, 46-50 (11012).</w:t>
      </w:r>
    </w:p>
    <w:p w14:paraId="1E50F513" w14:textId="77777777" w:rsidR="00C2313B" w:rsidRPr="00F90EAE" w:rsidRDefault="00C2313B" w:rsidP="00F90EAE">
      <w:pPr>
        <w:autoSpaceDE w:val="0"/>
        <w:autoSpaceDN w:val="0"/>
        <w:adjustRightInd w:val="0"/>
        <w:jc w:val="both"/>
        <w:rPr>
          <w:color w:val="000000" w:themeColor="text1"/>
          <w:sz w:val="16"/>
          <w:szCs w:val="16"/>
        </w:rPr>
      </w:pPr>
    </w:p>
    <w:p w14:paraId="22D6AE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7346 О мероприятиях по развитию добычи угля и новом шахтном строительстве в Печорском угольном бассейне в 1945 году. РГАНИР, Фонд ГКО, д. 356, лл. 51-63, 64-85 (11012).</w:t>
      </w:r>
    </w:p>
    <w:p w14:paraId="20FC9A3C" w14:textId="77777777" w:rsidR="00C2313B" w:rsidRPr="00F90EAE" w:rsidRDefault="00C2313B" w:rsidP="00F90EAE">
      <w:pPr>
        <w:autoSpaceDE w:val="0"/>
        <w:autoSpaceDN w:val="0"/>
        <w:adjustRightInd w:val="0"/>
        <w:jc w:val="both"/>
        <w:rPr>
          <w:color w:val="000000" w:themeColor="text1"/>
          <w:sz w:val="16"/>
          <w:szCs w:val="16"/>
        </w:rPr>
      </w:pPr>
    </w:p>
    <w:p w14:paraId="15B5A6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7347 О плане производства и поставок патронов Наркоматом вооружения в I квартале 1945 года. РГАНИР, Фонд ГКО, д. 356, лл. 86-95, 96-105 (11012).</w:t>
      </w:r>
    </w:p>
    <w:p w14:paraId="74B880ED" w14:textId="77777777" w:rsidR="00C2313B" w:rsidRPr="00F90EAE" w:rsidRDefault="00C2313B" w:rsidP="00F90EAE">
      <w:pPr>
        <w:autoSpaceDE w:val="0"/>
        <w:autoSpaceDN w:val="0"/>
        <w:adjustRightInd w:val="0"/>
        <w:jc w:val="both"/>
        <w:rPr>
          <w:color w:val="000000" w:themeColor="text1"/>
          <w:sz w:val="16"/>
          <w:szCs w:val="16"/>
        </w:rPr>
      </w:pPr>
    </w:p>
    <w:p w14:paraId="6536F8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7348 О плане производства и поставок пистолетов-пулеметов Шпагина и ПП-43 в I квартале 1945 г. РГАНИР, Фонд ГКО, д. 356, лл. 106-114, 115-124 (11012).</w:t>
      </w:r>
    </w:p>
    <w:p w14:paraId="08E6A428" w14:textId="77777777" w:rsidR="00C2313B" w:rsidRPr="00F90EAE" w:rsidRDefault="00C2313B" w:rsidP="00F90EAE">
      <w:pPr>
        <w:autoSpaceDE w:val="0"/>
        <w:autoSpaceDN w:val="0"/>
        <w:adjustRightInd w:val="0"/>
        <w:jc w:val="both"/>
        <w:rPr>
          <w:color w:val="000000" w:themeColor="text1"/>
          <w:sz w:val="16"/>
          <w:szCs w:val="16"/>
        </w:rPr>
      </w:pPr>
    </w:p>
    <w:p w14:paraId="13344B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вышло Постановление ГКО № 7349 О порядке финансирования кораблей и частей Военно-Морского Флота на территории Германии. РГАНИР, Фонд ГКО, д. 356, лл. 125 (11012).</w:t>
      </w:r>
    </w:p>
    <w:p w14:paraId="584062F5" w14:textId="77777777" w:rsidR="00C2313B" w:rsidRPr="00F90EAE" w:rsidRDefault="00C2313B" w:rsidP="00F90EAE">
      <w:pPr>
        <w:autoSpaceDE w:val="0"/>
        <w:autoSpaceDN w:val="0"/>
        <w:adjustRightInd w:val="0"/>
        <w:jc w:val="both"/>
        <w:rPr>
          <w:color w:val="000000" w:themeColor="text1"/>
          <w:sz w:val="16"/>
          <w:szCs w:val="16"/>
        </w:rPr>
      </w:pPr>
    </w:p>
    <w:p w14:paraId="3921307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января 1945 вышло Распоряжение ГКО № 7351 [О днях повышенной погрузки угля в Кузбассе.] (7298, 140).</w:t>
      </w:r>
    </w:p>
    <w:p w14:paraId="494D087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B49AE4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4AF5107" w14:textId="77777777" w:rsidR="00C2313B" w:rsidRPr="00F90EAE" w:rsidRDefault="00C2313B" w:rsidP="00F90EAE">
      <w:pPr>
        <w:autoSpaceDE w:val="0"/>
        <w:autoSpaceDN w:val="0"/>
        <w:adjustRightInd w:val="0"/>
        <w:jc w:val="both"/>
        <w:rPr>
          <w:iCs/>
          <w:color w:val="000000" w:themeColor="text1"/>
          <w:sz w:val="16"/>
          <w:szCs w:val="16"/>
        </w:rPr>
      </w:pPr>
    </w:p>
    <w:p w14:paraId="14C449B8" w14:textId="77777777" w:rsidR="006F0F05" w:rsidRPr="00F90EAE" w:rsidRDefault="006F0F05" w:rsidP="00F90EAE">
      <w:pPr>
        <w:jc w:val="both"/>
        <w:rPr>
          <w:color w:val="000000" w:themeColor="text1"/>
          <w:sz w:val="16"/>
          <w:szCs w:val="16"/>
        </w:rPr>
      </w:pPr>
      <w:r w:rsidRPr="00F90EAE">
        <w:rPr>
          <w:bCs/>
          <w:color w:val="000000" w:themeColor="text1"/>
          <w:sz w:val="16"/>
          <w:szCs w:val="16"/>
        </w:rPr>
        <w:t>18 января</w:t>
      </w:r>
      <w:r w:rsidRPr="00F90EAE">
        <w:rPr>
          <w:color w:val="000000" w:themeColor="text1"/>
          <w:sz w:val="16"/>
          <w:szCs w:val="16"/>
        </w:rPr>
        <w:t xml:space="preserve"> в 1945 году оперативная сводка Совинформбюро:</w:t>
      </w:r>
    </w:p>
    <w:p w14:paraId="494CD8F5"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18 января штурмом овладели городом Пшасныш (Прасныш), городом и крепостью Модлин (Ново-Георгиевск)— важными узлами коммуникаций и опорными пунктами обороны немцев, а также с боями заняли более 1.000 других населённых пунктов, в числе которых Круки, Грабник, Рузеск, Красносельц, Бобино-Вельке, Дзелино, Хуменцино, Кросьнице, Дрогишка, Стжегово, Глиноецк, Малюжин, Гутажево, Милево, Страхово, Енец, Струбины, Закрочим и железнодорожные станции Забеле Вельке, Конопки, Вкра.</w:t>
      </w:r>
    </w:p>
    <w:p w14:paraId="242C02ED"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развивая наступление, 18 января овладели городами и крупными узлами коммуникаций Сохачев, Скерневице и Лович — важными опорными пунктами обороны немцев, а также с боями заняли более 500 других населённых пунктов, в числе которых города Блоне, Гродзиск, Мщонув, Рава Мазовецка, крупные населённые пункты Брохув, Коморув, Гузув, Глухув, Оджувол, Домашно, Радзице, Джевица, Гозьдзикув, Пшисуха и железнодорожные станции Блоне, Шимакув, Прушкув, Гродзиск, Хылице, Рава Мазовецка.</w:t>
      </w:r>
    </w:p>
    <w:p w14:paraId="4779025B"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Украинского фронта в результате стремительной атаки танковых соединений и пехоты 18 января овладели городом и железнодорожной станцией Пиотркув (Петроков) — важным узлом коммуникаций и опорным пунктом обороны немцев на Лодзинском направлении, а также с боями заняли город и железнодорожный узел Скаржиско Каменна и более 450 других населённых пунктов, в числе которых крупные населённые пункты Бяла, Любень, Липовчице, Вевец, Бжезница Новая и Старая, Крушина, Камык, Цикажев, Шарлейка, Порай, Жарки, Крочице, Михалувка, Сулошова, Скала, Чубровице, Бембло, Гебултув, Бибице (5 километров севернее города Краков) и железнодорожные станции Вонхоцк, Сухеднюв, Лончна, Рудники, Порай, Вольером. Нашими войсками взят в плен командир 17-й танковой дивизии немцев полковник БРУК вместе со своим штабом.</w:t>
      </w:r>
    </w:p>
    <w:p w14:paraId="085C491C" w14:textId="77777777" w:rsidR="006F0F05" w:rsidRPr="00F90EAE" w:rsidRDefault="006F0F05" w:rsidP="00F90EAE">
      <w:pPr>
        <w:jc w:val="both"/>
        <w:rPr>
          <w:color w:val="000000" w:themeColor="text1"/>
          <w:sz w:val="16"/>
          <w:szCs w:val="16"/>
        </w:rPr>
      </w:pPr>
      <w:r w:rsidRPr="00F90EAE">
        <w:rPr>
          <w:color w:val="000000" w:themeColor="text1"/>
          <w:sz w:val="16"/>
          <w:szCs w:val="16"/>
        </w:rPr>
        <w:t>В Будапеште войска 2-го Украинского фронта закончили очищение от противника восточной половины города (Пешт) и вышли здесь к реке Дунай, заняв при этом около 5.000 городских кварталов. Таким образом, в руках противника остаётся только небольшая часть западной половины города (БУДА). По предварительным данным, за время боёв по ликвидации окружённой в городе Будапеште группировки противника с 28 декабря 1944 года по 18 января 1945 года войска 2-го Украинского фронта взяли в плен 59.390 немецких и венгерских солдат и офицеров, из них более 20.000 взято 18 января. В числе пленных командир 10-й пехотной дивизии венгров полковник генерального штаба Андрош Шандор, вместе со своим штабом.</w:t>
      </w:r>
    </w:p>
    <w:p w14:paraId="576D67CD" w14:textId="77777777" w:rsidR="006F0F05" w:rsidRPr="00F90EAE" w:rsidRDefault="006F0F05" w:rsidP="00F90EAE">
      <w:pPr>
        <w:jc w:val="both"/>
        <w:rPr>
          <w:color w:val="000000" w:themeColor="text1"/>
          <w:sz w:val="16"/>
          <w:szCs w:val="16"/>
        </w:rPr>
      </w:pPr>
      <w:r w:rsidRPr="00F90EAE">
        <w:rPr>
          <w:color w:val="000000" w:themeColor="text1"/>
          <w:sz w:val="16"/>
          <w:szCs w:val="16"/>
        </w:rPr>
        <w:t>Юго-западнее города Секешфехервар наши войска отбивали атаки крупных сил пехоты и танков противника.</w:t>
      </w:r>
    </w:p>
    <w:p w14:paraId="1B33F8E5" w14:textId="77777777" w:rsidR="006F0F05" w:rsidRPr="00F90EAE" w:rsidRDefault="006F0F0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33E01F5E" w14:textId="77777777" w:rsidR="006F0F05" w:rsidRPr="00F90EAE" w:rsidRDefault="006F0F05" w:rsidP="00F90EAE">
      <w:pPr>
        <w:jc w:val="both"/>
        <w:rPr>
          <w:color w:val="000000" w:themeColor="text1"/>
          <w:sz w:val="16"/>
          <w:szCs w:val="16"/>
        </w:rPr>
      </w:pPr>
      <w:r w:rsidRPr="00F90EAE">
        <w:rPr>
          <w:color w:val="000000" w:themeColor="text1"/>
          <w:sz w:val="16"/>
          <w:szCs w:val="16"/>
        </w:rPr>
        <w:t>За 17 января наши войска на всех фронтах подбили и уничтожили 174 немецких танка. В воздушных боях и огнём зенитной артиллерии сбито 26 самолётов противника.</w:t>
      </w:r>
    </w:p>
    <w:p w14:paraId="38201923"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Части Н-ского соединения, отразив до двадцати вражеских контратак, продвинулись вперёд на 15 километров и вплотную подошли к городу Пшасныш (Прасныш). Крупный немецкий гарнизон, располагавший большим количеством артиллерии, оказывал сильное огневое сопротивление, но был разгромлен. Советские части сегодня овладели, городом Пшасныш — узлом шоссейных и грунтовых дорог. Город Пшасныш, расположенный в 30 километрах от немецкой границы, являлся важным опорным пунктом обороны противника на подступах к Восточной Пруссии с юга.</w:t>
      </w:r>
    </w:p>
    <w:p w14:paraId="42713233" w14:textId="77777777" w:rsidR="006F0F05" w:rsidRPr="00F90EAE" w:rsidRDefault="006F0F05" w:rsidP="00F90EAE">
      <w:pPr>
        <w:jc w:val="both"/>
        <w:rPr>
          <w:color w:val="000000" w:themeColor="text1"/>
          <w:sz w:val="16"/>
          <w:szCs w:val="16"/>
        </w:rPr>
      </w:pPr>
      <w:r w:rsidRPr="00F90EAE">
        <w:rPr>
          <w:color w:val="000000" w:themeColor="text1"/>
          <w:sz w:val="16"/>
          <w:szCs w:val="16"/>
        </w:rPr>
        <w:t>Наши войска на широком фронте форсировали реку Дзядлувка и заняли населённый пункт Страхово, в четырёх километрах восточнее города Плоньск. Другие советские части обошли город и крепость Модлин (Новогеоргиевск) и ворвались на его окраины. В крепости Модлин и на её подступах немцы помимо долговременных оборонительных сооружений использовали противотанковые бронированные кольца. Советские подразделения обошли все эти препятствия с тыла и штурмом овладели городом и крепостью Модлин. В течение дня в ходе боёв уничтожено несколько тысяч немецких солдат и офицеров. Сожжено и подбито 39 немецких танков, уничтожено 124 полевых орудия. Нашими войсками захвачены большие трофеи, в числе которых 78 орудий разных калибров.</w:t>
      </w:r>
    </w:p>
    <w:p w14:paraId="0B9FAA3E"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успешно развивали наступление. Наши танкисты, пехотинцы и артиллеристы, участвовавшие в глубоком обходе Варшавы и занявшие вчера город Жирардув, повернули на запад. Отбрасывая и громя противника, советские части продвинулись на 30 километров и ворвались в город Лович. Этот город расположен в 50 километрах северо-восточнее Лодзи и является крупным узлом коммуникаций. После ожесточённого боя наши войска сегодня овладели городом и железнодорожным узлом Лович. Немцы также выбиты из городов Сохачев, Скерневице, Мщонув, Рава Мазовецка и более 500 других населенных пунктов. В ходе боёв противник несёт огромные потери. В районе Нове Място наши войска разгромили части 25-й немецкой танковой дивизии, не успевшие переправиться на северный берег реки Пилица. При ликвидации этой группы вражеских войск подбито 60 танков и самоходных орудий и уничтожено до 3 тысяч немецких солдат и офицеров. Нашими войсками захвачены у немцев крупные трофеи, в том числе 40 танков, 174 орудия, более 200 пулемётов и несколько тысяч винтовок. Взято в плен более 3.000 немецких солдат и офицеров. В числе пленных — командир 130-го полка 45-й немецкий пехотной дивизии и командир 91-го артполка 25-й немецкой танковой дивизии.</w:t>
      </w:r>
    </w:p>
    <w:p w14:paraId="0752CC97" w14:textId="77777777" w:rsidR="006F0F05" w:rsidRPr="00F90EAE" w:rsidRDefault="006F0F05" w:rsidP="00F90EAE">
      <w:pPr>
        <w:jc w:val="both"/>
        <w:rPr>
          <w:color w:val="000000" w:themeColor="text1"/>
          <w:sz w:val="16"/>
          <w:szCs w:val="16"/>
        </w:rPr>
      </w:pPr>
      <w:r w:rsidRPr="00F90EAE">
        <w:rPr>
          <w:color w:val="000000" w:themeColor="text1"/>
          <w:sz w:val="16"/>
          <w:szCs w:val="16"/>
        </w:rPr>
        <w:t>Советские лётчики наносили массированные удары по узлам сопротивления противника и отступающим колоннам немецких войск. В результате налета на железнодорожную станцию Лодзь взорвано бензохранилище и уничтожено 10 немецких воинских эшелонов.</w:t>
      </w:r>
    </w:p>
    <w:p w14:paraId="0E7F7BF3" w14:textId="77777777" w:rsidR="006F0F05" w:rsidRPr="00F90EAE" w:rsidRDefault="006F0F05" w:rsidP="00F90EAE">
      <w:pPr>
        <w:jc w:val="both"/>
        <w:rPr>
          <w:color w:val="000000" w:themeColor="text1"/>
          <w:sz w:val="16"/>
          <w:szCs w:val="16"/>
        </w:rPr>
      </w:pPr>
      <w:r w:rsidRPr="00F90EAE">
        <w:rPr>
          <w:color w:val="000000" w:themeColor="text1"/>
          <w:sz w:val="16"/>
          <w:szCs w:val="16"/>
        </w:rPr>
        <w:lastRenderedPageBreak/>
        <w:t>Войска 1-го Украинского фронта продолжали успешное наступление и продвинулись вперёд на 30 километров. На Лодзинском направлении советские части переправились через реку Пилица и завязали бои с танками и пехотой противника на подступах к городу Пиотркув (Петроков). Немцы придавали большое значение этому важному узлу коммуникаций и опорному пункту, прикрывающему город Лодзь. Пиотркув находится в 35 километрах юго-восточнее Лодзи — крупнейшего промышленного центра Польши. Опираясь на заранее подготовленный рубеж и укрепления полевого типа, немцы пытались любой ценой приостановить наступление наших войск. В помощь гарнизону, оборонявшему город, немецкое командование придало остатки отступающих дивизий. Решительными действиями наши танковые соединения и пехота сломили сопротивление противника и после упорных уличных боёв овладели городом.</w:t>
      </w:r>
    </w:p>
    <w:p w14:paraId="4BC2CA81" w14:textId="77777777" w:rsidR="006F0F05" w:rsidRPr="00F90EAE" w:rsidRDefault="006F0F05" w:rsidP="00F90EAE">
      <w:pPr>
        <w:jc w:val="both"/>
        <w:rPr>
          <w:color w:val="000000" w:themeColor="text1"/>
          <w:sz w:val="16"/>
          <w:szCs w:val="16"/>
        </w:rPr>
      </w:pPr>
      <w:r w:rsidRPr="00F90EAE">
        <w:rPr>
          <w:color w:val="000000" w:themeColor="text1"/>
          <w:sz w:val="16"/>
          <w:szCs w:val="16"/>
        </w:rPr>
        <w:t>Наши войска, с боями продвигаясь вперёд, вышли на подступы к городу Краков. Противник спешно подтянул подкрепления и бросил в бой 75-ю пехотную дивизию, а также 602-ю дивизию особого назначения. Однако все контратаки гитлеровцев не имели успеха. Преодолевая сопротивление, противника, советские части продвинулись на 15 километров и завязали бои на оборонительном рубеже севернее Кракова.</w:t>
      </w:r>
    </w:p>
    <w:p w14:paraId="0ADF9DAB" w14:textId="77777777" w:rsidR="006F0F05" w:rsidRPr="00F90EAE" w:rsidRDefault="006F0F05" w:rsidP="00F90EAE">
      <w:pPr>
        <w:jc w:val="both"/>
        <w:rPr>
          <w:color w:val="000000" w:themeColor="text1"/>
          <w:sz w:val="16"/>
          <w:szCs w:val="16"/>
        </w:rPr>
      </w:pPr>
      <w:r w:rsidRPr="00F90EAE">
        <w:rPr>
          <w:color w:val="000000" w:themeColor="text1"/>
          <w:sz w:val="16"/>
          <w:szCs w:val="16"/>
        </w:rPr>
        <w:t>В районе города Скаржиско Каменна наши войска окружили части и подразделения немецких дивизий, разгромленных в районе Кельце. Окруженные части противника ликвидированы. Разгромлен штаб 72-й немецкой пехотной дивизии. Командир этой дивизии генерал-майор Хон убит. Наши подразделения вылавливают и захватывают в плен разрозненные группы немецких солдат. В течение дня взято в плен более 3.200 немцев. В одной группе пленных оказались командир 17-й немецкой танковой дивизии полковник Брук, начальник штаба майор Крейс и другие штатные офицеры. По их показаниям, дивизия имела более ста танков, из них 40 танков типа «Тигр» и два полностью укомплектованных мотополка. В первые же дни боёв, говорят пленные, все части дивизии были разгромлены.» (15013).</w:t>
      </w:r>
    </w:p>
    <w:p w14:paraId="3FB064B0" w14:textId="77777777" w:rsidR="006F0F05" w:rsidRPr="00F90EAE" w:rsidRDefault="006F0F05" w:rsidP="00F90EAE">
      <w:pPr>
        <w:jc w:val="both"/>
        <w:rPr>
          <w:color w:val="000000" w:themeColor="text1"/>
          <w:sz w:val="16"/>
          <w:szCs w:val="16"/>
        </w:rPr>
      </w:pPr>
    </w:p>
    <w:p w14:paraId="6D139D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 ходе Висло-Одерской операции почти все соединения б и ш 16ВА были направлены на дезорганизацию отступления противника (518,164).</w:t>
      </w:r>
    </w:p>
    <w:p w14:paraId="2485E232" w14:textId="77777777" w:rsidR="00C2313B" w:rsidRPr="00F90EAE" w:rsidRDefault="00C2313B" w:rsidP="00F90EAE">
      <w:pPr>
        <w:autoSpaceDE w:val="0"/>
        <w:autoSpaceDN w:val="0"/>
        <w:adjustRightInd w:val="0"/>
        <w:jc w:val="both"/>
        <w:rPr>
          <w:color w:val="000000" w:themeColor="text1"/>
          <w:sz w:val="16"/>
          <w:szCs w:val="16"/>
        </w:rPr>
      </w:pPr>
    </w:p>
    <w:p w14:paraId="3F436890" w14:textId="77777777" w:rsidR="00BD0937" w:rsidRPr="00F90EAE" w:rsidRDefault="00BD0937" w:rsidP="00F90EAE">
      <w:pPr>
        <w:pStyle w:val="ae"/>
        <w:shd w:val="clear" w:color="auto" w:fill="FFFFFF"/>
        <w:spacing w:before="0" w:after="0"/>
        <w:jc w:val="both"/>
        <w:rPr>
          <w:color w:val="000000" w:themeColor="text1"/>
          <w:sz w:val="16"/>
          <w:szCs w:val="16"/>
        </w:rPr>
      </w:pPr>
      <w:r w:rsidRPr="00F90EAE">
        <w:rPr>
          <w:color w:val="000000" w:themeColor="text1"/>
          <w:sz w:val="16"/>
          <w:szCs w:val="16"/>
        </w:rPr>
        <w:t>18 января 1945 г. прорвана оборона в Восточной Пруссии. Через 12 дней мы у стен Кёнигсберга (17459).</w:t>
      </w:r>
    </w:p>
    <w:p w14:paraId="180F3255" w14:textId="77777777" w:rsidR="00BD0937" w:rsidRPr="00F90EAE" w:rsidRDefault="00BD0937" w:rsidP="00F90EAE">
      <w:pPr>
        <w:pStyle w:val="ae"/>
        <w:shd w:val="clear" w:color="auto" w:fill="FFFFFF"/>
        <w:spacing w:before="0" w:after="0"/>
        <w:jc w:val="both"/>
        <w:rPr>
          <w:color w:val="000000" w:themeColor="text1"/>
          <w:sz w:val="16"/>
          <w:szCs w:val="16"/>
        </w:rPr>
      </w:pPr>
    </w:p>
    <w:p w14:paraId="1A0AAE70" w14:textId="77777777" w:rsidR="00BD0937" w:rsidRPr="00F90EAE" w:rsidRDefault="00BD0937" w:rsidP="00F90EAE">
      <w:pPr>
        <w:pStyle w:val="ae"/>
        <w:shd w:val="clear" w:color="auto" w:fill="FFFFFF"/>
        <w:spacing w:before="0" w:after="0"/>
        <w:jc w:val="both"/>
        <w:rPr>
          <w:color w:val="000000" w:themeColor="text1"/>
          <w:sz w:val="16"/>
          <w:szCs w:val="16"/>
        </w:rPr>
      </w:pPr>
      <w:r w:rsidRPr="00F90EAE">
        <w:rPr>
          <w:color w:val="000000" w:themeColor="text1"/>
          <w:sz w:val="16"/>
          <w:szCs w:val="16"/>
        </w:rPr>
        <w:t>18 января 1945 г. немецкие войска нанесли танковый удар между Балатоном и Баконским лесом и вышли к Дунаю, пытаясь деблокировать Будапешт (17459).</w:t>
      </w:r>
    </w:p>
    <w:p w14:paraId="26D2C413" w14:textId="77777777" w:rsidR="00BD0937" w:rsidRPr="00F90EAE" w:rsidRDefault="00BD0937" w:rsidP="00F90EAE">
      <w:pPr>
        <w:autoSpaceDE w:val="0"/>
        <w:autoSpaceDN w:val="0"/>
        <w:adjustRightInd w:val="0"/>
        <w:jc w:val="both"/>
        <w:rPr>
          <w:color w:val="000000" w:themeColor="text1"/>
          <w:sz w:val="16"/>
          <w:szCs w:val="16"/>
        </w:rPr>
      </w:pPr>
    </w:p>
    <w:p w14:paraId="7EB8C804" w14:textId="77777777" w:rsidR="005720F5" w:rsidRPr="00F90EAE" w:rsidRDefault="005720F5" w:rsidP="00F90EAE">
      <w:pPr>
        <w:autoSpaceDE w:val="0"/>
        <w:autoSpaceDN w:val="0"/>
        <w:adjustRightInd w:val="0"/>
        <w:jc w:val="both"/>
        <w:rPr>
          <w:color w:val="000000" w:themeColor="text1"/>
          <w:sz w:val="16"/>
          <w:szCs w:val="16"/>
        </w:rPr>
      </w:pPr>
      <w:r w:rsidRPr="00F90EAE">
        <w:rPr>
          <w:color w:val="000000" w:themeColor="text1"/>
          <w:sz w:val="16"/>
          <w:szCs w:val="16"/>
        </w:rPr>
        <w:t>18 января (1945)</w:t>
      </w:r>
      <w:r w:rsidRPr="00F90EAE">
        <w:rPr>
          <w:bCs/>
          <w:color w:val="000000" w:themeColor="text1"/>
          <w:sz w:val="16"/>
          <w:szCs w:val="16"/>
        </w:rPr>
        <w:t xml:space="preserve"> утром началось наступление противника </w:t>
      </w:r>
      <w:r w:rsidRPr="00F90EAE">
        <w:rPr>
          <w:bCs/>
          <w:iCs/>
          <w:color w:val="000000" w:themeColor="text1"/>
          <w:sz w:val="16"/>
          <w:szCs w:val="16"/>
        </w:rPr>
        <w:t>там, где его не ожидали</w:t>
      </w:r>
      <w:r w:rsidRPr="00F90EAE">
        <w:rPr>
          <w:bCs/>
          <w:color w:val="000000" w:themeColor="text1"/>
          <w:sz w:val="16"/>
          <w:szCs w:val="16"/>
        </w:rPr>
        <w:t>. Удар приняли на себя соединения 135-го стрелкового корпуса генерал-майора П.В.Гнедина. После недельной передышки снова развернулись ожесточенные, кровопролитные бои. Благодаря внезапности нападения противник прорвал оборону и утром 20 января достиг Дуная в районах Дунапентеле и Адонь. Отдельные танковые подразделения фашистов появились на подступах к Дунафельдвару, где находился штаб фронта, охраняемый лишь одной батареей 45-мм противотанковых пушек. 3-й Украинский фронт был расчленен на две группировки. Положение осложнялось еще и тем, что накануне сильный ледоход неожиданно снес все понтонные переправы через Дунай (17459).</w:t>
      </w:r>
    </w:p>
    <w:p w14:paraId="11DE4DB9" w14:textId="77777777" w:rsidR="005720F5" w:rsidRPr="00F90EAE" w:rsidRDefault="005720F5" w:rsidP="00F90EAE">
      <w:pPr>
        <w:autoSpaceDE w:val="0"/>
        <w:autoSpaceDN w:val="0"/>
        <w:adjustRightInd w:val="0"/>
        <w:jc w:val="both"/>
        <w:rPr>
          <w:color w:val="000000" w:themeColor="text1"/>
          <w:sz w:val="16"/>
          <w:szCs w:val="16"/>
        </w:rPr>
      </w:pPr>
    </w:p>
    <w:p w14:paraId="185866E2"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18, 1945: German troops in Poland evacuate Kracow. Beginning of a German offensive from Lake Balaton to lift the Soviet siege of Budapest (3819).</w:t>
      </w:r>
    </w:p>
    <w:p w14:paraId="126FBA2E" w14:textId="77777777" w:rsidR="00C2313B" w:rsidRPr="00F90EAE" w:rsidRDefault="00C2313B" w:rsidP="00F90EAE">
      <w:pPr>
        <w:autoSpaceDE w:val="0"/>
        <w:autoSpaceDN w:val="0"/>
        <w:adjustRightInd w:val="0"/>
        <w:jc w:val="both"/>
        <w:rPr>
          <w:color w:val="000000" w:themeColor="text1"/>
          <w:sz w:val="16"/>
          <w:szCs w:val="16"/>
          <w:lang w:val="en-US"/>
        </w:rPr>
      </w:pPr>
    </w:p>
    <w:p w14:paraId="634634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1944 КА освободила Краков. Началось немецкое наступление на Балатоне по снятию блокады с Будапешта (3819).</w:t>
      </w:r>
    </w:p>
    <w:p w14:paraId="1759F344" w14:textId="77777777" w:rsidR="00C2313B" w:rsidRPr="00F90EAE" w:rsidRDefault="00C2313B" w:rsidP="00F90EAE">
      <w:pPr>
        <w:autoSpaceDE w:val="0"/>
        <w:autoSpaceDN w:val="0"/>
        <w:adjustRightInd w:val="0"/>
        <w:jc w:val="both"/>
        <w:rPr>
          <w:color w:val="000000" w:themeColor="text1"/>
          <w:sz w:val="16"/>
          <w:szCs w:val="16"/>
        </w:rPr>
      </w:pPr>
    </w:p>
    <w:p w14:paraId="70D631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немецкая группировка в Будапеште сдалась (3907,255).</w:t>
      </w:r>
    </w:p>
    <w:p w14:paraId="6434CA84" w14:textId="77777777" w:rsidR="00C2313B" w:rsidRPr="00F90EAE" w:rsidRDefault="00C2313B" w:rsidP="00F90EAE">
      <w:pPr>
        <w:autoSpaceDE w:val="0"/>
        <w:autoSpaceDN w:val="0"/>
        <w:adjustRightInd w:val="0"/>
        <w:jc w:val="both"/>
        <w:rPr>
          <w:color w:val="000000" w:themeColor="text1"/>
          <w:sz w:val="16"/>
          <w:szCs w:val="16"/>
        </w:rPr>
      </w:pPr>
    </w:p>
    <w:p w14:paraId="584A28F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0121446" w14:textId="77777777" w:rsidR="00C2313B" w:rsidRPr="00F90EAE" w:rsidRDefault="00C2313B" w:rsidP="00F90EAE">
      <w:pPr>
        <w:autoSpaceDE w:val="0"/>
        <w:autoSpaceDN w:val="0"/>
        <w:adjustRightInd w:val="0"/>
        <w:jc w:val="both"/>
        <w:rPr>
          <w:iCs/>
          <w:color w:val="000000" w:themeColor="text1"/>
          <w:sz w:val="16"/>
          <w:szCs w:val="16"/>
        </w:rPr>
      </w:pPr>
    </w:p>
    <w:p w14:paraId="40A090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М. И. Калинин подписал секретный указ ПВС “Об освобождении от наказания осужденных беременных женщин и женщин, имеющих детей дошкольного возраста”. Указ распространялся на всех беременных и имевших “при себе детей дошкольного возраста в местах заключения” и на всех “осужденных женщин, у которых в семье имеются дети дошкольного возраста”, при условии отбытия ими к моменту издания указа половины срока. Все это не касалось осужденных за контрреволюционные преступления, бандитизм, убийства, по закону от 7 августа 1932-го и рецидивисток. В случае совершения новых преступлений все освобожденные по этому указу подлежали “наиболее суровой мере наказания, предусмотренной законом”. 21 января на места была разослана секретная директива НКВД и Прокуратуры СССР № 8/23с, разъяснявшая порядок выполнения этого указа ПВС: в частности не подлежали освобождению “иноподданные Германии, Финляндии, Румынии, Венгрии и Италии”; указ предписывалось выполнить в двухмесячный срок (7560).</w:t>
      </w:r>
    </w:p>
    <w:p w14:paraId="6AC24B23" w14:textId="77777777" w:rsidR="00C2313B" w:rsidRPr="00F90EAE" w:rsidRDefault="00C2313B" w:rsidP="00F90EAE">
      <w:pPr>
        <w:autoSpaceDE w:val="0"/>
        <w:autoSpaceDN w:val="0"/>
        <w:adjustRightInd w:val="0"/>
        <w:jc w:val="both"/>
        <w:rPr>
          <w:color w:val="000000" w:themeColor="text1"/>
          <w:sz w:val="16"/>
          <w:szCs w:val="16"/>
        </w:rPr>
      </w:pPr>
    </w:p>
    <w:p w14:paraId="3AC95B7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9C62D88" w14:textId="77777777" w:rsidR="00C2313B" w:rsidRPr="00F90EAE" w:rsidRDefault="00C2313B" w:rsidP="00F90EAE">
      <w:pPr>
        <w:autoSpaceDE w:val="0"/>
        <w:autoSpaceDN w:val="0"/>
        <w:adjustRightInd w:val="0"/>
        <w:jc w:val="both"/>
        <w:rPr>
          <w:iCs/>
          <w:color w:val="000000" w:themeColor="text1"/>
          <w:sz w:val="16"/>
          <w:szCs w:val="16"/>
        </w:rPr>
      </w:pPr>
    </w:p>
    <w:p w14:paraId="22CDA3A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января 1945 просоветское временное правительство Польши прибыло из Люблина в Варшаву (4962).</w:t>
      </w:r>
    </w:p>
    <w:p w14:paraId="460D2BE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25AAA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января 1945 временное польское правительство, образованное 1 января 1945, переехало из Люблина в Варшаву (3186).</w:t>
      </w:r>
    </w:p>
    <w:p w14:paraId="6B57E299" w14:textId="77777777" w:rsidR="00C2313B" w:rsidRPr="00F90EAE" w:rsidRDefault="00C2313B" w:rsidP="00F90EAE">
      <w:pPr>
        <w:autoSpaceDE w:val="0"/>
        <w:autoSpaceDN w:val="0"/>
        <w:adjustRightInd w:val="0"/>
        <w:jc w:val="both"/>
        <w:rPr>
          <w:color w:val="000000" w:themeColor="text1"/>
          <w:sz w:val="16"/>
          <w:szCs w:val="16"/>
        </w:rPr>
      </w:pPr>
    </w:p>
    <w:p w14:paraId="259CFD2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2A86510" w14:textId="77777777" w:rsidR="00C2313B" w:rsidRPr="00F90EAE" w:rsidRDefault="00C2313B" w:rsidP="00F90EAE">
      <w:pPr>
        <w:autoSpaceDE w:val="0"/>
        <w:autoSpaceDN w:val="0"/>
        <w:adjustRightInd w:val="0"/>
        <w:jc w:val="both"/>
        <w:rPr>
          <w:iCs/>
          <w:color w:val="000000" w:themeColor="text1"/>
          <w:sz w:val="16"/>
          <w:szCs w:val="16"/>
        </w:rPr>
      </w:pPr>
    </w:p>
    <w:p w14:paraId="6139CA8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января 1945 премьер Британии У. Черчилль призвал Германию к капитуляции (4962).</w:t>
      </w:r>
    </w:p>
    <w:p w14:paraId="011AEA2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09640A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F3AEFA8" w14:textId="77777777" w:rsidR="00C2313B" w:rsidRPr="00F90EAE" w:rsidRDefault="00C2313B" w:rsidP="00F90EAE">
      <w:pPr>
        <w:autoSpaceDE w:val="0"/>
        <w:autoSpaceDN w:val="0"/>
        <w:adjustRightInd w:val="0"/>
        <w:jc w:val="both"/>
        <w:rPr>
          <w:iCs/>
          <w:color w:val="000000" w:themeColor="text1"/>
          <w:sz w:val="16"/>
          <w:szCs w:val="16"/>
        </w:rPr>
      </w:pPr>
    </w:p>
    <w:p w14:paraId="3308CC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вышел годовой отчет N 73/239с по основной деятельности завода 39 за 1944: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tblGrid>
      <w:tr w:rsidR="00561F31" w:rsidRPr="00F90EAE" w14:paraId="615AD702" w14:textId="77777777">
        <w:tc>
          <w:tcPr>
            <w:tcW w:w="1252" w:type="dxa"/>
          </w:tcPr>
          <w:p w14:paraId="73A28160" w14:textId="77777777" w:rsidR="00C2313B" w:rsidRPr="00F90EAE" w:rsidRDefault="00C2313B" w:rsidP="00F90EAE">
            <w:pPr>
              <w:autoSpaceDE w:val="0"/>
              <w:autoSpaceDN w:val="0"/>
              <w:adjustRightInd w:val="0"/>
              <w:jc w:val="both"/>
              <w:rPr>
                <w:color w:val="000000" w:themeColor="text1"/>
                <w:sz w:val="16"/>
                <w:szCs w:val="16"/>
              </w:rPr>
            </w:pPr>
          </w:p>
        </w:tc>
        <w:tc>
          <w:tcPr>
            <w:tcW w:w="1252" w:type="dxa"/>
          </w:tcPr>
          <w:p w14:paraId="3C4A2F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252" w:type="dxa"/>
          </w:tcPr>
          <w:p w14:paraId="051ABD0E" w14:textId="77777777" w:rsidR="00C2313B" w:rsidRPr="00F90EAE" w:rsidRDefault="00C2313B" w:rsidP="00F90EAE">
            <w:pPr>
              <w:autoSpaceDE w:val="0"/>
              <w:autoSpaceDN w:val="0"/>
              <w:adjustRightInd w:val="0"/>
              <w:jc w:val="both"/>
              <w:rPr>
                <w:color w:val="000000" w:themeColor="text1"/>
                <w:sz w:val="16"/>
                <w:szCs w:val="16"/>
              </w:rPr>
            </w:pPr>
          </w:p>
        </w:tc>
        <w:tc>
          <w:tcPr>
            <w:tcW w:w="1252" w:type="dxa"/>
          </w:tcPr>
          <w:p w14:paraId="6DD3630D" w14:textId="77777777" w:rsidR="00C2313B" w:rsidRPr="00F90EAE" w:rsidRDefault="00C2313B" w:rsidP="00F90EAE">
            <w:pPr>
              <w:autoSpaceDE w:val="0"/>
              <w:autoSpaceDN w:val="0"/>
              <w:adjustRightInd w:val="0"/>
              <w:jc w:val="both"/>
              <w:rPr>
                <w:color w:val="000000" w:themeColor="text1"/>
                <w:sz w:val="16"/>
                <w:szCs w:val="16"/>
              </w:rPr>
            </w:pPr>
          </w:p>
        </w:tc>
        <w:tc>
          <w:tcPr>
            <w:tcW w:w="1252" w:type="dxa"/>
          </w:tcPr>
          <w:p w14:paraId="618BE6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252" w:type="dxa"/>
          </w:tcPr>
          <w:p w14:paraId="4F270004" w14:textId="77777777" w:rsidR="00C2313B" w:rsidRPr="00F90EAE" w:rsidRDefault="00C2313B" w:rsidP="00F90EAE">
            <w:pPr>
              <w:autoSpaceDE w:val="0"/>
              <w:autoSpaceDN w:val="0"/>
              <w:adjustRightInd w:val="0"/>
              <w:jc w:val="both"/>
              <w:rPr>
                <w:color w:val="000000" w:themeColor="text1"/>
                <w:sz w:val="16"/>
                <w:szCs w:val="16"/>
              </w:rPr>
            </w:pPr>
          </w:p>
        </w:tc>
        <w:tc>
          <w:tcPr>
            <w:tcW w:w="1252" w:type="dxa"/>
          </w:tcPr>
          <w:p w14:paraId="26388534"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3E3650D4" w14:textId="77777777">
        <w:tc>
          <w:tcPr>
            <w:tcW w:w="1252" w:type="dxa"/>
          </w:tcPr>
          <w:p w14:paraId="74F74DA0" w14:textId="77777777" w:rsidR="00C2313B" w:rsidRPr="00F90EAE" w:rsidRDefault="00C2313B" w:rsidP="00F90EAE">
            <w:pPr>
              <w:autoSpaceDE w:val="0"/>
              <w:autoSpaceDN w:val="0"/>
              <w:adjustRightInd w:val="0"/>
              <w:jc w:val="both"/>
              <w:rPr>
                <w:color w:val="000000" w:themeColor="text1"/>
                <w:sz w:val="16"/>
                <w:szCs w:val="16"/>
              </w:rPr>
            </w:pPr>
          </w:p>
        </w:tc>
        <w:tc>
          <w:tcPr>
            <w:tcW w:w="1252" w:type="dxa"/>
          </w:tcPr>
          <w:p w14:paraId="4E69F4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1252" w:type="dxa"/>
          </w:tcPr>
          <w:p w14:paraId="51D6AD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w:t>
            </w:r>
          </w:p>
        </w:tc>
        <w:tc>
          <w:tcPr>
            <w:tcW w:w="1252" w:type="dxa"/>
          </w:tcPr>
          <w:p w14:paraId="33BF1B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52" w:type="dxa"/>
          </w:tcPr>
          <w:p w14:paraId="45A009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1252" w:type="dxa"/>
          </w:tcPr>
          <w:p w14:paraId="279488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w:t>
            </w:r>
          </w:p>
        </w:tc>
        <w:tc>
          <w:tcPr>
            <w:tcW w:w="1252" w:type="dxa"/>
          </w:tcPr>
          <w:p w14:paraId="0840EF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62F2572" w14:textId="77777777">
        <w:tc>
          <w:tcPr>
            <w:tcW w:w="1252" w:type="dxa"/>
          </w:tcPr>
          <w:p w14:paraId="44C79E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252" w:type="dxa"/>
          </w:tcPr>
          <w:p w14:paraId="390DB5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667</w:t>
            </w:r>
          </w:p>
        </w:tc>
        <w:tc>
          <w:tcPr>
            <w:tcW w:w="1252" w:type="dxa"/>
          </w:tcPr>
          <w:p w14:paraId="5E09B2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697</w:t>
            </w:r>
          </w:p>
        </w:tc>
        <w:tc>
          <w:tcPr>
            <w:tcW w:w="1252" w:type="dxa"/>
          </w:tcPr>
          <w:p w14:paraId="350230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104.5</w:t>
            </w:r>
          </w:p>
        </w:tc>
        <w:tc>
          <w:tcPr>
            <w:tcW w:w="1252" w:type="dxa"/>
          </w:tcPr>
          <w:p w14:paraId="301968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1252" w:type="dxa"/>
          </w:tcPr>
          <w:p w14:paraId="59CDA4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252" w:type="dxa"/>
          </w:tcPr>
          <w:p w14:paraId="412D69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108.7</w:t>
            </w:r>
          </w:p>
        </w:tc>
      </w:tr>
      <w:tr w:rsidR="00561F31" w:rsidRPr="00F90EAE" w14:paraId="1969484A" w14:textId="77777777">
        <w:tc>
          <w:tcPr>
            <w:tcW w:w="1252" w:type="dxa"/>
          </w:tcPr>
          <w:p w14:paraId="59BC3D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1252" w:type="dxa"/>
          </w:tcPr>
          <w:p w14:paraId="257E6C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252" w:type="dxa"/>
          </w:tcPr>
          <w:p w14:paraId="7E04B4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52" w:type="dxa"/>
          </w:tcPr>
          <w:p w14:paraId="1585A5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52" w:type="dxa"/>
          </w:tcPr>
          <w:p w14:paraId="432DA3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1252" w:type="dxa"/>
          </w:tcPr>
          <w:p w14:paraId="48E5B6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252" w:type="dxa"/>
          </w:tcPr>
          <w:p w14:paraId="2FA649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48.8</w:t>
            </w:r>
          </w:p>
        </w:tc>
      </w:tr>
    </w:tbl>
    <w:p w14:paraId="7706EF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Ил-4 был предназначен к снятию с изготовления заводом и наоборот Ер-2 вводился в серийное производство...(2487).</w:t>
      </w:r>
    </w:p>
    <w:p w14:paraId="600E0AC8" w14:textId="77777777" w:rsidR="00C2313B" w:rsidRPr="00F90EAE" w:rsidRDefault="00C2313B" w:rsidP="00F90EAE">
      <w:pPr>
        <w:autoSpaceDE w:val="0"/>
        <w:autoSpaceDN w:val="0"/>
        <w:adjustRightInd w:val="0"/>
        <w:jc w:val="both"/>
        <w:rPr>
          <w:color w:val="000000" w:themeColor="text1"/>
          <w:sz w:val="16"/>
          <w:szCs w:val="16"/>
        </w:rPr>
      </w:pPr>
    </w:p>
    <w:p w14:paraId="15C090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 Мясищев писал заместителю Наркома авиационной промышленности П.В. Дементьеву: "... для обеспечения дальнейшего развития этого бомбардировщика (Пе-2И) нами построен и в настоящее время проходит летные испытания самолет Пе-2И с моторами ВК-108 (он же "ДБ", ДБ-1-108) со следующими данными: максимальная скорость 700 км/ч, длина разбега 450 м, дальность максимальная 2500 км, дальность перегоночная 3500 км.</w:t>
      </w:r>
    </w:p>
    <w:p w14:paraId="1763CE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внутри фюзеляжа этого самолета увеличивается до 2000 кг.</w:t>
      </w:r>
    </w:p>
    <w:p w14:paraId="6AEAFF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находится в постройке такой же самолет с гермокабиной (имеется ввиду "ВБ") и увеличенной боевой высотой до 10000 м." (3337).</w:t>
      </w:r>
    </w:p>
    <w:p w14:paraId="545304B3" w14:textId="77777777" w:rsidR="00C2313B" w:rsidRPr="00F90EAE" w:rsidRDefault="00C2313B" w:rsidP="00F90EAE">
      <w:pPr>
        <w:autoSpaceDE w:val="0"/>
        <w:autoSpaceDN w:val="0"/>
        <w:adjustRightInd w:val="0"/>
        <w:jc w:val="both"/>
        <w:rPr>
          <w:color w:val="000000" w:themeColor="text1"/>
          <w:sz w:val="16"/>
          <w:szCs w:val="16"/>
        </w:rPr>
      </w:pPr>
    </w:p>
    <w:p w14:paraId="0FE81B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января 1945 года Мясищев писал заместителю наркома авиационной промышленности П.В. Демен</w:t>
      </w:r>
      <w:r w:rsidRPr="00F90EAE">
        <w:rPr>
          <w:color w:val="000000" w:themeColor="text1"/>
          <w:sz w:val="16"/>
          <w:szCs w:val="16"/>
        </w:rPr>
        <w:softHyphen/>
        <w:t>тьеву:</w:t>
      </w:r>
    </w:p>
    <w:p w14:paraId="566740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для обеспечения дальнейшего развития этого бомбардировщика (Пе-2И, —Прим, авт.) нами построен и в настоящее время проходит летные испытания самолет Пе-2И с моторами ВК-108 (он же «ДБ», ДБ-1-108. —Прим, авт.) со следующими данными: максимальная скорость 700 км/ч, длина разбега 450 м, дальность максимальная 2500 км, дальность перегоночная 3500 км.</w:t>
      </w:r>
    </w:p>
    <w:p w14:paraId="5214D1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Бомбовая нагрузка внутри фюзеляжа этого самолета увеличивается до 2000 кг.</w:t>
      </w:r>
    </w:p>
    <w:p w14:paraId="03B580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Одновременно находится в постройке такой же само</w:t>
      </w:r>
      <w:r w:rsidRPr="00F90EAE">
        <w:rPr>
          <w:color w:val="000000" w:themeColor="text1"/>
          <w:sz w:val="16"/>
          <w:szCs w:val="16"/>
        </w:rPr>
        <w:softHyphen/>
        <w:t>лет с гермокабиной (имеется в виду «ВБ») и увеличенной боевой высотой до 10 000 м»,</w:t>
      </w:r>
    </w:p>
    <w:p w14:paraId="651085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«ДБ» шли довольно трудно, главным образом, как и на предыдущих машинах, из-за двига</w:t>
      </w:r>
      <w:r w:rsidRPr="00F90EAE">
        <w:rPr>
          <w:color w:val="000000" w:themeColor="text1"/>
          <w:sz w:val="16"/>
          <w:szCs w:val="16"/>
        </w:rPr>
        <w:softHyphen/>
        <w:t>телей. Приведу лишь два примера. В полете 24 марта вышел из строя правый мотор из-за обрыва шатуна, а 5 апреля произошла катастрофа. В этот день у заво</w:t>
      </w:r>
      <w:r w:rsidRPr="00F90EAE">
        <w:rPr>
          <w:color w:val="000000" w:themeColor="text1"/>
          <w:sz w:val="16"/>
          <w:szCs w:val="16"/>
        </w:rPr>
        <w:softHyphen/>
        <w:t>дского летчика-испытателя А.Г. Васильченко на высо</w:t>
      </w:r>
      <w:r w:rsidRPr="00F90EAE">
        <w:rPr>
          <w:color w:val="000000" w:themeColor="text1"/>
          <w:sz w:val="16"/>
          <w:szCs w:val="16"/>
        </w:rPr>
        <w:softHyphen/>
        <w:t>те 1500 м сорвало крышку капота левого двигателя и оттуда вырвалось пламя. Васильченко решил увели</w:t>
      </w:r>
      <w:r w:rsidRPr="00F90EAE">
        <w:rPr>
          <w:color w:val="000000" w:themeColor="text1"/>
          <w:sz w:val="16"/>
          <w:szCs w:val="16"/>
        </w:rPr>
        <w:softHyphen/>
        <w:t>чить скорость захода на посадку и тем самым спасти машину. Но случилось непредвиденное, перед само</w:t>
      </w:r>
      <w:r w:rsidRPr="00F90EAE">
        <w:rPr>
          <w:color w:val="000000" w:themeColor="text1"/>
          <w:sz w:val="16"/>
          <w:szCs w:val="16"/>
        </w:rPr>
        <w:softHyphen/>
        <w:t>летом «ДБ» неожиданно появился заходивший на посадку Пе-2. Пилот пытался уклониться от столкнове</w:t>
      </w:r>
      <w:r w:rsidRPr="00F90EAE">
        <w:rPr>
          <w:color w:val="000000" w:themeColor="text1"/>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45ED8D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соответствии с приказом НКАП к 25 апреля по</w:t>
      </w:r>
      <w:r w:rsidRPr="00F90EAE">
        <w:rPr>
          <w:color w:val="000000" w:themeColor="text1"/>
          <w:sz w:val="16"/>
          <w:szCs w:val="16"/>
        </w:rPr>
        <w:softHyphen/>
        <w:t>строили вторую машину. На ней-то, получившей обо</w:t>
      </w:r>
      <w:r w:rsidRPr="00F90EAE">
        <w:rPr>
          <w:color w:val="000000" w:themeColor="text1"/>
          <w:sz w:val="16"/>
          <w:szCs w:val="16"/>
        </w:rPr>
        <w:softHyphen/>
        <w:t>значение ДБ-П-108, и продолжили летные испытания. Однако в связи с требованием ВВС об установке пол</w:t>
      </w:r>
      <w:r w:rsidRPr="00F90EAE">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455F92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Самолет ДБ-И 08 послужил основой для многочис</w:t>
      </w:r>
      <w:r w:rsidRPr="00F90EAE">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7E780B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E5C87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19 по 31 января 1945 проводились заводские испытания на ЦА Як-3Т и Як-9 (65,181).</w:t>
      </w:r>
    </w:p>
    <w:p w14:paraId="1EC37D05" w14:textId="77777777" w:rsidR="00C2313B" w:rsidRPr="00F90EAE" w:rsidRDefault="00C2313B" w:rsidP="00F90EAE">
      <w:pPr>
        <w:autoSpaceDE w:val="0"/>
        <w:autoSpaceDN w:val="0"/>
        <w:adjustRightInd w:val="0"/>
        <w:jc w:val="both"/>
        <w:rPr>
          <w:color w:val="000000" w:themeColor="text1"/>
          <w:sz w:val="16"/>
          <w:szCs w:val="16"/>
        </w:rPr>
      </w:pPr>
    </w:p>
    <w:p w14:paraId="4C9FF3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19 по 31 января 1945 проводились заводские испытания на ЦА Як-9Т и 31 передали на гос. испытания. Летали В.Л.Расторгуев и М.И.Иванов, а ви был К.В.Синельщиков и м - Н.П.Копцов. выполнили 3 полета продолжительностью 1:12 (65,181).</w:t>
      </w:r>
    </w:p>
    <w:p w14:paraId="2F457337" w14:textId="77777777" w:rsidR="00C2313B" w:rsidRPr="00F90EAE" w:rsidRDefault="00C2313B" w:rsidP="00F90EAE">
      <w:pPr>
        <w:autoSpaceDE w:val="0"/>
        <w:autoSpaceDN w:val="0"/>
        <w:adjustRightInd w:val="0"/>
        <w:jc w:val="both"/>
        <w:rPr>
          <w:color w:val="000000" w:themeColor="text1"/>
          <w:sz w:val="16"/>
          <w:szCs w:val="16"/>
        </w:rPr>
      </w:pPr>
    </w:p>
    <w:p w14:paraId="1661DF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на истребителе Як-3Т в ходе заводских испытаний, проходивших с 15 по 24 января 1945, выполнили первый полет: на снятие летных характеристик, а второй совместили с перелетом в НИИ ВВС - 25 января.</w:t>
      </w:r>
    </w:p>
    <w:p w14:paraId="43BC4F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2A3B9B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BBE36B7" w14:textId="77777777" w:rsidR="00C2313B" w:rsidRPr="00F90EAE" w:rsidRDefault="00C2313B" w:rsidP="00F90EAE">
      <w:pPr>
        <w:autoSpaceDE w:val="0"/>
        <w:autoSpaceDN w:val="0"/>
        <w:adjustRightInd w:val="0"/>
        <w:jc w:val="both"/>
        <w:rPr>
          <w:color w:val="000000" w:themeColor="text1"/>
          <w:sz w:val="16"/>
          <w:szCs w:val="16"/>
        </w:rPr>
      </w:pPr>
    </w:p>
    <w:p w14:paraId="5B45EA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вышел приказ НКАП N 15ас:</w:t>
      </w:r>
    </w:p>
    <w:p w14:paraId="2454C3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исполнение решения ГОКО от 29 декабря 1944 N 7225сс "О переоборудовании на заводе 135 самолетов Як-9 с ВК-105ПФ в самолеты истребители-бомбардировщики Як-9Б":</w:t>
      </w:r>
    </w:p>
    <w:p w14:paraId="62EE2B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153 Лисицину поставлять заводу 135 начиная с января по 50 самолетов Як-9 ежемесячно.</w:t>
      </w:r>
    </w:p>
    <w:p w14:paraId="6608A3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p w14:paraId="746B93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к 10 февраля с.г. отработать на заводе 135 эталон самолета Як-9Б." (1886,91).</w:t>
      </w:r>
    </w:p>
    <w:p w14:paraId="5E05CF97" w14:textId="77777777" w:rsidR="00C2313B" w:rsidRPr="00F90EAE" w:rsidRDefault="00C2313B" w:rsidP="00F90EAE">
      <w:pPr>
        <w:autoSpaceDE w:val="0"/>
        <w:autoSpaceDN w:val="0"/>
        <w:adjustRightInd w:val="0"/>
        <w:jc w:val="both"/>
        <w:rPr>
          <w:color w:val="000000" w:themeColor="text1"/>
          <w:sz w:val="16"/>
          <w:szCs w:val="16"/>
        </w:rPr>
      </w:pPr>
    </w:p>
    <w:p w14:paraId="1FF9C2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7370 О мобилизации рабочей силы для завода № 31 Наркомавиапрома. РГАНИР, Фонд ГКО, д. 358, лл. 51 (11012).</w:t>
      </w:r>
    </w:p>
    <w:p w14:paraId="4B973429" w14:textId="77777777" w:rsidR="00C2313B" w:rsidRPr="00F90EAE" w:rsidRDefault="00C2313B" w:rsidP="00F90EAE">
      <w:pPr>
        <w:autoSpaceDE w:val="0"/>
        <w:autoSpaceDN w:val="0"/>
        <w:adjustRightInd w:val="0"/>
        <w:jc w:val="both"/>
        <w:rPr>
          <w:color w:val="000000" w:themeColor="text1"/>
          <w:sz w:val="16"/>
          <w:szCs w:val="16"/>
        </w:rPr>
      </w:pPr>
    </w:p>
    <w:p w14:paraId="02B8D9E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88BE73C" w14:textId="77777777" w:rsidR="00C2313B" w:rsidRPr="00F90EAE" w:rsidRDefault="00C2313B" w:rsidP="00F90EAE">
      <w:pPr>
        <w:autoSpaceDE w:val="0"/>
        <w:autoSpaceDN w:val="0"/>
        <w:adjustRightInd w:val="0"/>
        <w:jc w:val="both"/>
        <w:rPr>
          <w:iCs/>
          <w:color w:val="000000" w:themeColor="text1"/>
          <w:sz w:val="16"/>
          <w:szCs w:val="16"/>
        </w:rPr>
      </w:pPr>
    </w:p>
    <w:p w14:paraId="7A328F62" w14:textId="77777777" w:rsidR="00670896" w:rsidRPr="00F90EAE" w:rsidRDefault="00670896"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состоянию на 19 января 1945 года число требуемых переделок ИС-3 выросло до 20 (позже оно снизилось до 16). Это вносило сумбур в работу СКБ: по состоянию на 13 января там отработали 52 группы чертежей, из которых 34 уже выдали в производство. Всё это задерживало работы по корпусному заводу №200. В результате к 23 января завод №200 смог закончить всего один корпус и заложить второй.</w:t>
      </w:r>
    </w:p>
    <w:p w14:paraId="00B3A858" w14:textId="77777777" w:rsidR="00670896" w:rsidRPr="00F90EAE" w:rsidRDefault="00670896"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Следует отметить, что по плану завод №200 сдавал пять корпусов и пять башен. По плану, корпуса сдавались к 15 января, а башни — к 18 января. Это оказалось физически невозможно, поскольку последние чертежи попали на завод только 10-12 января. В результате из пяти корпусов сдали один, ещё два находились в монтаже; отлили, но не сдали четыре башни. Более того, с ЧКЗ ожидалась документация на улучшенную башню, чертежи на улучшенный корпус прибыли 27 января. Кроме того, на УЗТМ изготовили два корпуса и две башни, из которых один корпус к концу января прибыл на ЧКЗ. При этом в сводках на 6 февраля значатся три корпуса — один ЧКЗ, один завода №200 и один УЗТМ (19731).</w:t>
      </w:r>
    </w:p>
    <w:p w14:paraId="074DE501" w14:textId="77777777" w:rsidR="00670896" w:rsidRPr="00F90EAE" w:rsidRDefault="00670896" w:rsidP="00F90EAE">
      <w:pPr>
        <w:pStyle w:val="ae"/>
        <w:shd w:val="clear" w:color="auto" w:fill="FFFFFF"/>
        <w:spacing w:before="0" w:after="0"/>
        <w:jc w:val="both"/>
        <w:textAlignment w:val="baseline"/>
        <w:rPr>
          <w:color w:val="000000" w:themeColor="text1"/>
          <w:sz w:val="16"/>
          <w:szCs w:val="16"/>
        </w:rPr>
      </w:pPr>
    </w:p>
    <w:p w14:paraId="525711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января 1945 г. вышел ПРИКАЗ НАЧАЛЬНИКА ГБТУ КА ОБ ИСПЫТАНИИ ОПЫТНЫХ ОБРАЗЦОВ МОТОЦИКЛЕТНЫХ КОЛЯСОК С ДЕРЕВЯННЫМ КОРПУСОМ КОНСТРУКЦИИ ЦКБ ГЛАВСПЕЦДРЕВПРОМА №83</w:t>
      </w:r>
    </w:p>
    <w:p w14:paraId="713C0C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целью определения возможности использования и целесообразности применения мотоцик</w:t>
      </w:r>
      <w:r w:rsidRPr="00F90EAE">
        <w:rPr>
          <w:color w:val="000000" w:themeColor="text1"/>
          <w:sz w:val="16"/>
          <w:szCs w:val="16"/>
        </w:rPr>
        <w:softHyphen/>
        <w:t>летных колясок с деревянными корпусами в Красной Армии ПРИКАЗЫВАЮ:</w:t>
      </w:r>
    </w:p>
    <w:p w14:paraId="27B02F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2D1DF9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период с 23.01 по 20.02.1945 г. провести испытания 2-х опытных образцов мотоциклетных ко</w:t>
      </w:r>
      <w:r w:rsidRPr="00F90EAE">
        <w:rPr>
          <w:color w:val="000000" w:themeColor="text1"/>
          <w:sz w:val="16"/>
          <w:szCs w:val="16"/>
        </w:rPr>
        <w:softHyphen/>
        <w:t>лясок с деревянными корпусами на мотоциклах «Харлей-Давидсон».</w:t>
      </w:r>
    </w:p>
    <w:p w14:paraId="71F337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1AA138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проведения испытаний назначить комиссию:</w:t>
      </w:r>
    </w:p>
    <w:p w14:paraId="35F2BE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комиссии — от научно-испытательного бронетанкового полигона ГБТУ КА по назначению начальника полигона генерал-майора танковых войск т. Романова. Члены: от управления БП и БМ ГБТУ КА — капитан Жохов,</w:t>
      </w:r>
    </w:p>
    <w:p w14:paraId="3C89BC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 НИБТ полигона ГБТУ КА — ст. техн. лейтенант Стекольщиков, от ЦКБ Главспецдревпрома назначен т. Римша П. Б.</w:t>
      </w:r>
    </w:p>
    <w:p w14:paraId="0B08C9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Испытание колясок с деревянным корпусом провести по программе, утвержденной ГБТУ КА.</w:t>
      </w:r>
    </w:p>
    <w:p w14:paraId="6B379D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4F8F1E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Материально-техническое обеспечение испытаний возлагаю на начальника НИБТ полигона генерал-майора танковых войск т. Романова,</w:t>
      </w:r>
    </w:p>
    <w:p w14:paraId="4096FC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7B6757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Выводы и заключения по испытаниям представить не позднее 2 дней по окончании испытаний. Отчеты по испытаниям представить не позднее 5 дней по окончании испытаний.</w:t>
      </w:r>
    </w:p>
    <w:p w14:paraId="468D0D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генерал-лейтенант инженерно-танковой службы Лебедев</w:t>
      </w:r>
    </w:p>
    <w:p w14:paraId="2C4BA9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11377. Д. 256. Л. 1. Подлинник (11420).</w:t>
      </w:r>
    </w:p>
    <w:p w14:paraId="6DC420A0" w14:textId="77777777" w:rsidR="00C2313B" w:rsidRPr="00F90EAE" w:rsidRDefault="00C2313B" w:rsidP="00F90EAE">
      <w:pPr>
        <w:autoSpaceDE w:val="0"/>
        <w:autoSpaceDN w:val="0"/>
        <w:adjustRightInd w:val="0"/>
        <w:jc w:val="both"/>
        <w:rPr>
          <w:color w:val="000000" w:themeColor="text1"/>
          <w:sz w:val="16"/>
          <w:szCs w:val="16"/>
        </w:rPr>
      </w:pPr>
    </w:p>
    <w:p w14:paraId="1824874C" w14:textId="77777777" w:rsidR="00670896" w:rsidRPr="00F90EAE" w:rsidRDefault="00670896" w:rsidP="00F90EAE">
      <w:pPr>
        <w:jc w:val="both"/>
        <w:rPr>
          <w:color w:val="000000" w:themeColor="text1"/>
          <w:sz w:val="16"/>
          <w:szCs w:val="16"/>
        </w:rPr>
      </w:pPr>
      <w:r w:rsidRPr="00F90EAE">
        <w:rPr>
          <w:color w:val="000000" w:themeColor="text1"/>
          <w:sz w:val="16"/>
          <w:szCs w:val="16"/>
        </w:rPr>
        <w:t>19 января и 15 мая 1945 г. согласно двум постановлениям ГКО СССР на завод № 678 возлагалась задача изготовления двух высокочастотных ламповых генераторов большой мощности для циклотронных лабораторий. Именно эти последние заказы и определяли всю деятельность завода в течение года, т.к. они выполнялись в первую очередь, даже в ущерб всем прочим заданиям (18297).</w:t>
      </w:r>
    </w:p>
    <w:p w14:paraId="4C673B1C" w14:textId="77777777" w:rsidR="00670896" w:rsidRPr="00F90EAE" w:rsidRDefault="00670896" w:rsidP="00F90EAE">
      <w:pPr>
        <w:jc w:val="both"/>
        <w:rPr>
          <w:color w:val="000000" w:themeColor="text1"/>
          <w:sz w:val="16"/>
          <w:szCs w:val="16"/>
        </w:rPr>
      </w:pPr>
    </w:p>
    <w:p w14:paraId="2F538C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Распоряжение ГКО № 7352. О переработке генерального проекта строительства завода № 402 НКСП. РГАНИР, Фонд ГКО, д. 357, лл. 1 (11012).</w:t>
      </w:r>
    </w:p>
    <w:p w14:paraId="3340B5A1" w14:textId="77777777" w:rsidR="00C2313B" w:rsidRPr="00F90EAE" w:rsidRDefault="00C2313B" w:rsidP="00F90EAE">
      <w:pPr>
        <w:autoSpaceDE w:val="0"/>
        <w:autoSpaceDN w:val="0"/>
        <w:adjustRightInd w:val="0"/>
        <w:jc w:val="both"/>
        <w:rPr>
          <w:color w:val="000000" w:themeColor="text1"/>
          <w:sz w:val="16"/>
          <w:szCs w:val="16"/>
        </w:rPr>
      </w:pPr>
    </w:p>
    <w:p w14:paraId="5484B9C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Распоряжение ГКО № 7353 [Об увеличении военизированной охраны НКМФ на 1,5 тыс. чел.] (7299, 2).</w:t>
      </w:r>
    </w:p>
    <w:p w14:paraId="02D6F9E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C3DF62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Распоряжение ГКО № 7354 [О дополнительном отпуске бензина НКВД в январе 1945 г.] (7299, 3).</w:t>
      </w:r>
    </w:p>
    <w:p w14:paraId="4017EFF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15E76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Распоряжение ГКО № 7355. Об изменении плана поставок оборудования и материалов для восстановления Таллинской и Рижской военно-морских баз. РГАНИР, Фонд ГКО, д. 357, лл. 4, 5-6 (11012).</w:t>
      </w:r>
    </w:p>
    <w:p w14:paraId="4FF5B105" w14:textId="77777777" w:rsidR="00C2313B" w:rsidRPr="00F90EAE" w:rsidRDefault="00C2313B" w:rsidP="00F90EAE">
      <w:pPr>
        <w:autoSpaceDE w:val="0"/>
        <w:autoSpaceDN w:val="0"/>
        <w:adjustRightInd w:val="0"/>
        <w:jc w:val="both"/>
        <w:rPr>
          <w:color w:val="000000" w:themeColor="text1"/>
          <w:sz w:val="16"/>
          <w:szCs w:val="16"/>
        </w:rPr>
      </w:pPr>
    </w:p>
    <w:p w14:paraId="1F94EB7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Распоряжение ГКО № 7356 [О материально-техническом обеспечении мер по увеличению выпуска коллоксилина на Краснокамском целлюлозно-бумажном комбинате.] (7299, 7-8,9-12).</w:t>
      </w:r>
    </w:p>
    <w:p w14:paraId="2F19846D"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0FA27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7357 Об окончании строительства циклотронной лаборатории при Ленинградском физико-техническом институте Академии наук СССР. РГАНИР, Фонд ГКО, д. 357, лл. 13-16, 17-26 (11012).</w:t>
      </w:r>
    </w:p>
    <w:p w14:paraId="17D509DC" w14:textId="77777777" w:rsidR="00C2313B" w:rsidRPr="00F90EAE" w:rsidRDefault="00C2313B" w:rsidP="00F90EAE">
      <w:pPr>
        <w:autoSpaceDE w:val="0"/>
        <w:autoSpaceDN w:val="0"/>
        <w:adjustRightInd w:val="0"/>
        <w:jc w:val="both"/>
        <w:rPr>
          <w:color w:val="000000" w:themeColor="text1"/>
          <w:sz w:val="16"/>
          <w:szCs w:val="16"/>
        </w:rPr>
      </w:pPr>
    </w:p>
    <w:p w14:paraId="62E80D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19 января 1945 вышло Постановление ГКО № 7358 О плане снабжения продовольствием и фуражом Красной Армии, Военно-Морского Флота и войск НКВД СССР на I квартал 1945 г. РГАНИР, Фонд ГКО, д. 357, лл. 27-28, 29-40 (11012).</w:t>
      </w:r>
    </w:p>
    <w:p w14:paraId="7B59A40C" w14:textId="77777777" w:rsidR="00C2313B" w:rsidRPr="00F90EAE" w:rsidRDefault="00C2313B" w:rsidP="00F90EAE">
      <w:pPr>
        <w:autoSpaceDE w:val="0"/>
        <w:autoSpaceDN w:val="0"/>
        <w:adjustRightInd w:val="0"/>
        <w:jc w:val="both"/>
        <w:rPr>
          <w:color w:val="000000" w:themeColor="text1"/>
          <w:sz w:val="16"/>
          <w:szCs w:val="16"/>
        </w:rPr>
      </w:pPr>
    </w:p>
    <w:p w14:paraId="38F754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7359 О материально-техническом обеспечении неотложных нужд Тихоокеанского флота. РГАНИР, Фонд ГКО, д. 357, лл. 41, 42-45 (11012).</w:t>
      </w:r>
    </w:p>
    <w:p w14:paraId="03773A8D" w14:textId="77777777" w:rsidR="00C2313B" w:rsidRPr="00F90EAE" w:rsidRDefault="00C2313B" w:rsidP="00F90EAE">
      <w:pPr>
        <w:autoSpaceDE w:val="0"/>
        <w:autoSpaceDN w:val="0"/>
        <w:adjustRightInd w:val="0"/>
        <w:jc w:val="both"/>
        <w:rPr>
          <w:color w:val="000000" w:themeColor="text1"/>
          <w:sz w:val="16"/>
          <w:szCs w:val="16"/>
        </w:rPr>
      </w:pPr>
    </w:p>
    <w:p w14:paraId="100DE9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7360 О плане ремонта тракторов (арттягачей) для Красной Армии и Военно-Морского Флота на I квартал 1945 г. РГАНИР, Фонд ГКО, д. 357, лл. 46-50, 51-76 (11012).</w:t>
      </w:r>
    </w:p>
    <w:p w14:paraId="00BCCE2D" w14:textId="77777777" w:rsidR="00C2313B" w:rsidRPr="00F90EAE" w:rsidRDefault="00C2313B" w:rsidP="00F90EAE">
      <w:pPr>
        <w:autoSpaceDE w:val="0"/>
        <w:autoSpaceDN w:val="0"/>
        <w:adjustRightInd w:val="0"/>
        <w:jc w:val="both"/>
        <w:rPr>
          <w:color w:val="000000" w:themeColor="text1"/>
          <w:sz w:val="16"/>
          <w:szCs w:val="16"/>
        </w:rPr>
      </w:pPr>
    </w:p>
    <w:p w14:paraId="663E509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7361 Об энергоснабжении железнодорожного тоннеля под рекой Амур и Особой дистанции Дальневосточной железной дороги. (7299, 77,78-79).</w:t>
      </w:r>
    </w:p>
    <w:p w14:paraId="7FA68C3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35D293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7362 О работе Карагандинской железной дороги. (7299, 80).</w:t>
      </w:r>
    </w:p>
    <w:p w14:paraId="1802EEB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38D6E4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7363 О прикреплении к НКПС угольных шахт для снабжения углем паровозов. (7299, 81-82,83-85).</w:t>
      </w:r>
    </w:p>
    <w:p w14:paraId="23CC545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0CB559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7364 О мерах по обеспечению ремонта и восстановления грузовых вагонов и паровозов в I квартале 1945 г. (7299, 86-93,94-103).</w:t>
      </w:r>
    </w:p>
    <w:p w14:paraId="439F0AC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76D19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7365 О мероприятиях по обеспечению поставки балансов и дров предприятиям Наркомбумпрома в I квартале 1945 года. РГАНИР, Фонд ГКО, д. 357, лл. 104-108, 109-118 (11012).</w:t>
      </w:r>
    </w:p>
    <w:p w14:paraId="3F681B96" w14:textId="77777777" w:rsidR="00C2313B" w:rsidRPr="00F90EAE" w:rsidRDefault="00C2313B" w:rsidP="00F90EAE">
      <w:pPr>
        <w:autoSpaceDE w:val="0"/>
        <w:autoSpaceDN w:val="0"/>
        <w:adjustRightInd w:val="0"/>
        <w:jc w:val="both"/>
        <w:rPr>
          <w:color w:val="000000" w:themeColor="text1"/>
          <w:sz w:val="16"/>
          <w:szCs w:val="16"/>
        </w:rPr>
      </w:pPr>
    </w:p>
    <w:p w14:paraId="17F724F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7366 Об увеличении производства никеля на Норильском комбинате НКВД СССР в 1945 г. (7299, 119-130,131-203).</w:t>
      </w:r>
    </w:p>
    <w:p w14:paraId="7F5282B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B6D253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7367 Об изменении норм зольности коркинских углей. (Д.258, 1-4).</w:t>
      </w:r>
    </w:p>
    <w:p w14:paraId="453938C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F44BC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7368 О мероприятиях по экономии расходования крепежного леса на шахтах Наркомугля. РГАНИР, Фонд ГКО, д. 358, лл. 5-12, 13-17 (11012).</w:t>
      </w:r>
    </w:p>
    <w:p w14:paraId="4AF04087" w14:textId="77777777" w:rsidR="00C2313B" w:rsidRPr="00F90EAE" w:rsidRDefault="00C2313B" w:rsidP="00F90EAE">
      <w:pPr>
        <w:autoSpaceDE w:val="0"/>
        <w:autoSpaceDN w:val="0"/>
        <w:adjustRightInd w:val="0"/>
        <w:jc w:val="both"/>
        <w:rPr>
          <w:color w:val="000000" w:themeColor="text1"/>
          <w:sz w:val="16"/>
          <w:szCs w:val="16"/>
        </w:rPr>
      </w:pPr>
    </w:p>
    <w:p w14:paraId="7DE85F25"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7369 О строительстве угольного разреза на Ангренском месторождении Узбекской ССР. (7300, 18-30,31-50).</w:t>
      </w:r>
    </w:p>
    <w:p w14:paraId="5697020E"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A36B7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7371 Об обеспечении угольных шахт Донбасса вагонетками и электровозами. РГАНИР, Фонд ГКО, д. 358, лл. 52-55, 56-57 (11012).</w:t>
      </w:r>
    </w:p>
    <w:p w14:paraId="20273FAB" w14:textId="77777777" w:rsidR="00C2313B" w:rsidRPr="00F90EAE" w:rsidRDefault="00C2313B" w:rsidP="00F90EAE">
      <w:pPr>
        <w:autoSpaceDE w:val="0"/>
        <w:autoSpaceDN w:val="0"/>
        <w:adjustRightInd w:val="0"/>
        <w:jc w:val="both"/>
        <w:rPr>
          <w:color w:val="000000" w:themeColor="text1"/>
          <w:sz w:val="16"/>
          <w:szCs w:val="16"/>
        </w:rPr>
      </w:pPr>
    </w:p>
    <w:p w14:paraId="1CC234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вышло Постановление ГКО № 7372 Об обеспечении Челябинского и Московского электродных заводов Наркомцветмета нефтяным коксом и электроэнергией в I квартале 1945 года. РГАНИР, Фонд ГКО, д. 358, лл. 58-60 (11012).</w:t>
      </w:r>
    </w:p>
    <w:p w14:paraId="6170605B" w14:textId="77777777" w:rsidR="00C2313B" w:rsidRPr="00F90EAE" w:rsidRDefault="00C2313B" w:rsidP="00F90EAE">
      <w:pPr>
        <w:autoSpaceDE w:val="0"/>
        <w:autoSpaceDN w:val="0"/>
        <w:adjustRightInd w:val="0"/>
        <w:jc w:val="both"/>
        <w:rPr>
          <w:color w:val="000000" w:themeColor="text1"/>
          <w:sz w:val="16"/>
          <w:szCs w:val="16"/>
        </w:rPr>
      </w:pPr>
    </w:p>
    <w:p w14:paraId="2F2D72A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934FB8" w14:textId="77777777" w:rsidR="00C2313B" w:rsidRPr="00F90EAE" w:rsidRDefault="00C2313B" w:rsidP="00F90EAE">
      <w:pPr>
        <w:autoSpaceDE w:val="0"/>
        <w:autoSpaceDN w:val="0"/>
        <w:adjustRightInd w:val="0"/>
        <w:jc w:val="both"/>
        <w:rPr>
          <w:iCs/>
          <w:color w:val="000000" w:themeColor="text1"/>
          <w:sz w:val="16"/>
          <w:szCs w:val="16"/>
        </w:rPr>
      </w:pPr>
    </w:p>
    <w:p w14:paraId="17663FC1" w14:textId="77777777" w:rsidR="006F0F05" w:rsidRPr="00F90EAE" w:rsidRDefault="006F0F05" w:rsidP="00F90EAE">
      <w:pPr>
        <w:jc w:val="both"/>
        <w:rPr>
          <w:color w:val="000000" w:themeColor="text1"/>
          <w:sz w:val="16"/>
          <w:szCs w:val="16"/>
        </w:rPr>
      </w:pPr>
      <w:r w:rsidRPr="00F90EAE">
        <w:rPr>
          <w:bCs/>
          <w:color w:val="000000" w:themeColor="text1"/>
          <w:sz w:val="16"/>
          <w:szCs w:val="16"/>
        </w:rPr>
        <w:t>19 января</w:t>
      </w:r>
      <w:r w:rsidRPr="00F90EAE">
        <w:rPr>
          <w:color w:val="000000" w:themeColor="text1"/>
          <w:sz w:val="16"/>
          <w:szCs w:val="16"/>
        </w:rPr>
        <w:t xml:space="preserve"> в 1945 году оперативная сводка Совинформбюро:</w:t>
      </w:r>
    </w:p>
    <w:p w14:paraId="48A896F8"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3-го Белорусского фронта, перейдя в наступление, при поддержке массированных ударов артиллерии и авиации прорвали долговременную глубоко эшелонированную оборону немцев в Восточной Пруссии и, преодолевая упорное сопротивление противника, за пять дней наступательных боёв продвинулись вперёд до 45 километров, расширив прорыв до 60 километров по фронту.</w:t>
      </w:r>
    </w:p>
    <w:p w14:paraId="06B4895B" w14:textId="77777777" w:rsidR="006F0F05" w:rsidRPr="00F90EAE" w:rsidRDefault="006F0F05" w:rsidP="00F90EAE">
      <w:pPr>
        <w:jc w:val="both"/>
        <w:rPr>
          <w:color w:val="000000" w:themeColor="text1"/>
          <w:sz w:val="16"/>
          <w:szCs w:val="16"/>
        </w:rPr>
      </w:pPr>
      <w:r w:rsidRPr="00F90EAE">
        <w:rPr>
          <w:color w:val="000000" w:themeColor="text1"/>
          <w:sz w:val="16"/>
          <w:szCs w:val="16"/>
        </w:rPr>
        <w:t>В ходе наступления войска фронта штурмом овладели укреплёнными городами Пилькаллен, Рагнит и сильными опорными пунктами обороны немцев Шилленен, Лазденен, Куссен, Науйенингкен, Ленгветен, Краупишкен, Бракупенен, а также с боями заняли более 600 других населённых пунктов, среди них Унтер-Айсельн, Каллвеллен, Гирренен, Шуппиннен, Драугупенен, Эдеркемен, Кармонен, Шоршинен, Гросс-Клайн, Зодинелен, Аугштупенен и железнодорожные станции Гросс Шореллен, Раутенберг, Науйенингкен, Тракенен, Гросс-Клайн.</w:t>
      </w:r>
    </w:p>
    <w:p w14:paraId="570612B1"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19 января штурмом овладели городами Млава и Дзялдово (Зольдау) — важными узлами коммуникаций и опорными пунктами обороны немцев на подступах к южной границе Восточной Пруссии и городом Плоньск — крупным узлом коммуникаций и опорным пунктом обороны немцев на правом берегу Вислы, а также с боями заняли более 350 других населённых пунктов, в том числе крупные населённые пункты Дронжджево, Жен-Гново, Шумск, Липовец, Косцельны, Шреньск, Радзанов, Щелково, Рационж, Бабошево, Шеромин, Наборувец, Крочево и железнодорожные станции Гурки Вонске, Грудуск, Носажево, Рационж, Бабошево.</w:t>
      </w:r>
    </w:p>
    <w:p w14:paraId="1F07F7B4"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продолжая стремительное наступление, 19 января с боем овладели крупнейшим промышленным центром Польши городом Лодзь и городами Кутно, Томашув (Томашов), Гостынин, Ленчица — важными узлами коммуникаций и опорными пунктами обороны немцев, а также с боями заняли город и железнодорожную станцию Опочно и более 800 других населённых пунктов, в числе которых крупные населённые пункты Илув, Кернозя, Собота, Монколице, Згеж, Бендкув.</w:t>
      </w:r>
    </w:p>
    <w:p w14:paraId="0FB68158"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Украинского фронта в результате умелого обходного манёвра в сочетании с атакой с фронта 19 января штурмом овладели древней столицей и одним из важнейших культурно-политических центров союзной нам Польши городом Краков — мощным узлом обороны немцев, прикрывающим подступы к Домбровскому угольному району, а также с боями заняли город и железнодорожный узел Велюнь, город и крупный железнодорожный узел Тарнув и более 600 других населённых пунктов, среди которых крупные населённые пункты Белхатув, Ленкава, Каменьск, Ленкиньско, Паечно, Ожегув, Дзялошин, Крашковице, Понтнув, Прашка (на польско-германской границе в 19 километрах юго-западнее города Велюнь), Рудники, Кшепице, Трусколясы, Островы, Ренкшовице, Влодовице, Кромолув, Огродзенец, Кшешовице, Рудава, Радлув, Жухова, Тухув и железнодорожные станции Розпша, Гожковицы, Земковице, Медзно, Клобуцк, Вренчица, Понтнув, Янинув, Кшешовице, Рудава, Забежув.</w:t>
      </w:r>
    </w:p>
    <w:p w14:paraId="678CD559"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4-го Украинского фронта, перейдя в наступление 15 января из района западнее города Санок, прорвали сильно укреплённую оборону противника и за четыре дня наступательных боёв продвинулись вперёд до 80 километров, расширив прорыв до 60 километров по фронту.</w:t>
      </w:r>
    </w:p>
    <w:p w14:paraId="20E1A302" w14:textId="77777777" w:rsidR="006F0F05" w:rsidRPr="00F90EAE" w:rsidRDefault="006F0F05" w:rsidP="00F90EAE">
      <w:pPr>
        <w:jc w:val="both"/>
        <w:rPr>
          <w:color w:val="000000" w:themeColor="text1"/>
          <w:sz w:val="16"/>
          <w:szCs w:val="16"/>
        </w:rPr>
      </w:pPr>
      <w:r w:rsidRPr="00F90EAE">
        <w:rPr>
          <w:color w:val="000000" w:themeColor="text1"/>
          <w:sz w:val="16"/>
          <w:szCs w:val="16"/>
        </w:rPr>
        <w:t>В ходе наступления войска фронта форсировали реки Вислока и Дунаец и овладели городами Ясло и Горлице — важными опорными пунктами обороны немцев на Краковском направлении, а также с боями заняли свыше 400 других населённых пунктов, в том числе крупные населённые пункты Закличин, Юркув, Чхув, Ивкова, Райброт, Лиманова, Либрантова, Грыбув, Рыхвальд, Бартне, Кремпна и железнодорожные станции Сколышин, Беч, Загожаны, Грыбув, Пташкова, Марцинковице.».</w:t>
      </w:r>
    </w:p>
    <w:p w14:paraId="0B3737E1" w14:textId="77777777" w:rsidR="006F0F05" w:rsidRPr="00F90EAE" w:rsidRDefault="006F0F05" w:rsidP="00F90EAE">
      <w:pPr>
        <w:jc w:val="both"/>
        <w:rPr>
          <w:color w:val="000000" w:themeColor="text1"/>
          <w:sz w:val="16"/>
          <w:szCs w:val="16"/>
        </w:rPr>
      </w:pPr>
      <w:r w:rsidRPr="00F90EAE">
        <w:rPr>
          <w:color w:val="000000" w:themeColor="text1"/>
          <w:sz w:val="16"/>
          <w:szCs w:val="16"/>
        </w:rPr>
        <w:t>В районе Будапешта продолжались бои по уничтожению группировки противника, окружённой в западной части города (Буда).</w:t>
      </w:r>
    </w:p>
    <w:p w14:paraId="60677666" w14:textId="77777777" w:rsidR="006F0F05" w:rsidRPr="00F90EAE" w:rsidRDefault="006F0F05" w:rsidP="00F90EAE">
      <w:pPr>
        <w:jc w:val="both"/>
        <w:rPr>
          <w:color w:val="000000" w:themeColor="text1"/>
          <w:sz w:val="16"/>
          <w:szCs w:val="16"/>
        </w:rPr>
      </w:pPr>
      <w:r w:rsidRPr="00F90EAE">
        <w:rPr>
          <w:color w:val="000000" w:themeColor="text1"/>
          <w:sz w:val="16"/>
          <w:szCs w:val="16"/>
        </w:rPr>
        <w:t>«Южнее города Секешфехервар наши войска отбивали атаки крупных сил пехоты и танков противника и после упорных боёв оставили несколько населённых пунктов.</w:t>
      </w:r>
    </w:p>
    <w:p w14:paraId="7C3601B7" w14:textId="77777777" w:rsidR="006F0F05" w:rsidRPr="00F90EAE" w:rsidRDefault="006F0F05" w:rsidP="00F90EAE">
      <w:pPr>
        <w:jc w:val="both"/>
        <w:rPr>
          <w:color w:val="000000" w:themeColor="text1"/>
          <w:sz w:val="16"/>
          <w:szCs w:val="16"/>
        </w:rPr>
      </w:pPr>
      <w:r w:rsidRPr="00F90EAE">
        <w:rPr>
          <w:color w:val="000000" w:themeColor="text1"/>
          <w:sz w:val="16"/>
          <w:szCs w:val="16"/>
        </w:rPr>
        <w:t>За 18 января наши войска на всех фронтах подбили и уничтожили 184 немецких танка. В воздушных боях и огнём зенитной артиллерии сбито 59 самолётов противника.</w:t>
      </w:r>
    </w:p>
    <w:p w14:paraId="3EECC171"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3-го Белорусского фронта перешли в наступление. Противник в течение длительного времени создавал свою оборону в Восточной Пруссии. После вторжения советских войск на территорию Восточной Пруссии осенью прошлого года немцы начали совершенствовать свои укрепления. Они построили глубоко эшелонированную оборону с железобетонными артиллерийскими и пулемётными дотами, а также бронированными колпаками. Подступы к переднему краю немецкой обороны преграждали сплошные минные поля, противотанковые рвы и многочисленные надолбы. Защищая свое логово, гитлеровцы превратили в опорные пункты все посёлки, фольварки и хутора, приспособив все каменные здания под огневые точки. Немецкое командование сосредоточило в Восточной Пруссии свои отборные дивизии.</w:t>
      </w:r>
    </w:p>
    <w:p w14:paraId="1BC5DE8D" w14:textId="77777777" w:rsidR="006F0F05" w:rsidRPr="00F90EAE" w:rsidRDefault="006F0F05" w:rsidP="00F90EAE">
      <w:pPr>
        <w:jc w:val="both"/>
        <w:rPr>
          <w:color w:val="000000" w:themeColor="text1"/>
          <w:sz w:val="16"/>
          <w:szCs w:val="16"/>
        </w:rPr>
      </w:pPr>
      <w:r w:rsidRPr="00F90EAE">
        <w:rPr>
          <w:color w:val="000000" w:themeColor="text1"/>
          <w:sz w:val="16"/>
          <w:szCs w:val="16"/>
        </w:rPr>
        <w:t xml:space="preserve">Наступлению наших войск предшествовали мощные удары артиллерии и авиации. Бои носили крайне ожесточённый характер. Особенно упорные бои произошли за город Пилькаллен — важный узел шоссейных дорог. Гитлеровцы засели в домах и сопротивлялись с отчаянием людей, обречённых на гибель. Нашим подразделениям приходилось вышибать немцев из каждого дома. Не менее ожесточённые бои разгорелись за города Шилленен и Лазденен. Решительными ударами наши войска овладели этими городами. Сокрушая и взламывая оборону противника, советские войска настойчиво продвигались вперёд и заняли более 600 населённых пунктов. Противник стянул в район прорыва сотни танков и самоходных орудий и с хода бросил их в бой. Вражеские контратаки следовали одна за другой. Однако немцы оказались не в силах приостановить наступление наших войск. Оборона противника в Восточной Пруссии прорвана. В ходе боёв немцы понесли огромные потери в </w:t>
      </w:r>
      <w:r w:rsidRPr="00F90EAE">
        <w:rPr>
          <w:color w:val="000000" w:themeColor="text1"/>
          <w:sz w:val="16"/>
          <w:szCs w:val="16"/>
        </w:rPr>
        <w:lastRenderedPageBreak/>
        <w:t>живой силе и технике. По неполным данным, нашими войсками за время наступления уничтожено до 300 танков и 600 орудий противника. Только убитыми немцы потеряли тысячи своих солдат и офицеров.</w:t>
      </w:r>
    </w:p>
    <w:p w14:paraId="10F77A2D" w14:textId="77777777" w:rsidR="006F0F05" w:rsidRPr="00F90EAE" w:rsidRDefault="006F0F05" w:rsidP="00F90EAE">
      <w:pPr>
        <w:jc w:val="both"/>
        <w:rPr>
          <w:color w:val="000000" w:themeColor="text1"/>
          <w:sz w:val="16"/>
          <w:szCs w:val="16"/>
        </w:rPr>
      </w:pPr>
      <w:r w:rsidRPr="00F90EAE">
        <w:rPr>
          <w:color w:val="000000" w:themeColor="text1"/>
          <w:sz w:val="16"/>
          <w:szCs w:val="16"/>
        </w:rPr>
        <w:t>Наша авиация непрерывно наносит бомбо-штурмовые удары по скоплениям вражеских войск, по укреплениям противника и железнодорожным станциям. Советские лётчики за пять дней наступления в воздушных боях сбили 123 немецких самолёта.</w:t>
      </w:r>
    </w:p>
    <w:p w14:paraId="0116D79C"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овладели городом Млава. Этот город расположен в 12 километрах от южной границы Восточной Пруссии. Немцы обороняли Млавский укреплённый район с невиданным доселе ожесточением. Противник срочно подтянул из Восточной Пруссии мотодивизию, а также бросил в контратаки батальоны «фольксштурма». Когда эти части были наголову разбиты, немцы ввели в бой курсантов Млавской танковой школы и отдельные пулемётные батальоны из резерва главного командования. Уличные бои продолжались всю ночь. К утру советские войска штурмом овладели городом. Остатки разбитых частей противника в беспорядке отступают. Захвачено много складов, автомашин, более 100 орудий и взято в плен 800 немецких солдат и офицеров.</w:t>
      </w:r>
    </w:p>
    <w:p w14:paraId="645A252E"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Белорусского фронта развивали стремительное наступление. Вслед за подвижными частями к городу Лодзь с трёх сторон подошли основные силы советской пехоты и артиллерии. Опасаясь окружения, враг особенно яростно оборонял район дорог, ведущих из Лодзи на запад. После упорных уличных боёв наши войска сегодня полностью очистили город от немецких захватчиков. Лодзь — второй по величине польский город после Варшавы. В нём насчитывалось более 600 тысяч жителей. Лодзь является крупнейшим индустриальным центром Польши, в котором сосредоточено 60 процентов всей текстильной промышленности страны.</w:t>
      </w:r>
    </w:p>
    <w:p w14:paraId="715147AD" w14:textId="77777777" w:rsidR="006F0F05" w:rsidRPr="00F90EAE" w:rsidRDefault="006F0F05" w:rsidP="00F90EAE">
      <w:pPr>
        <w:jc w:val="both"/>
        <w:rPr>
          <w:color w:val="000000" w:themeColor="text1"/>
          <w:sz w:val="16"/>
          <w:szCs w:val="16"/>
        </w:rPr>
      </w:pPr>
      <w:r w:rsidRPr="00F90EAE">
        <w:rPr>
          <w:color w:val="000000" w:themeColor="text1"/>
          <w:sz w:val="16"/>
          <w:szCs w:val="16"/>
        </w:rPr>
        <w:t>Советские танкисты, пехотинцы, артиллеристы и конники преследуют отступающего врага, не дают ему оторваться и навязывают гитлеровцам бои в невыгодных для них условиях. Наши войска, овладевшие городом Лович, совершили стремительный бросок и с хода овладели городом Кутно. Этот город расположен на магистрали Варшава—Познань и является важным узлом железных дорог. Стремительно продвигаясь вперёд, наши войска уничтожают разгромленные и разрозненные части противника, потерявшие управление и скрывающиеся в лесах. Только бойцами Н-ского соединения в течение дня при ликвидации одной вражеской группировки взято в плен 2.370 немецких солдат и офицеров</w:t>
      </w:r>
    </w:p>
    <w:p w14:paraId="5637A7B7" w14:textId="77777777" w:rsidR="006F0F05" w:rsidRPr="00F90EAE" w:rsidRDefault="006F0F05" w:rsidP="00F90EAE">
      <w:pPr>
        <w:jc w:val="both"/>
        <w:rPr>
          <w:color w:val="000000" w:themeColor="text1"/>
          <w:sz w:val="16"/>
          <w:szCs w:val="16"/>
        </w:rPr>
      </w:pPr>
      <w:r w:rsidRPr="00F90EAE">
        <w:rPr>
          <w:color w:val="000000" w:themeColor="text1"/>
          <w:sz w:val="16"/>
          <w:szCs w:val="16"/>
        </w:rPr>
        <w:t>Войска 1-го Украинского фронта, завязавшие вчера бои севернее Кракова, прорвали внешний и внутренний оборонительные обводы и начали штурм города. Пытаясь отстоять город, немцы спешно подтянули с других участков фронта четыре пехотные дивизии. Однако все контратаки гитлеровцев закончились неудачей. Советские пехотинцы во взаимодействии с танкистами, при поддержке авиации и артиллерии, сегодня полностью очистили Краков от немецко-фашистских захватчиков.</w:t>
      </w:r>
    </w:p>
    <w:p w14:paraId="3029F8AA" w14:textId="77777777" w:rsidR="006F0F05" w:rsidRPr="00F90EAE" w:rsidRDefault="006F0F05" w:rsidP="00F90EAE">
      <w:pPr>
        <w:jc w:val="both"/>
        <w:rPr>
          <w:color w:val="000000" w:themeColor="text1"/>
          <w:sz w:val="16"/>
          <w:szCs w:val="16"/>
        </w:rPr>
      </w:pPr>
      <w:r w:rsidRPr="00F90EAE">
        <w:rPr>
          <w:color w:val="000000" w:themeColor="text1"/>
          <w:sz w:val="16"/>
          <w:szCs w:val="16"/>
        </w:rPr>
        <w:t>Краков — один из самых древних и крупных городов Польши. В городе сосредоточено большое количество заводов и фабрик. В Кракове находилась резиденция матёрого гитлеровца и палача польского народа немецкого генерал-губернатора Франка. В городе подвизались тысячи немецких чиновников-мародёров, грабивших и опустошавших союзную нам Польшу.</w:t>
      </w:r>
    </w:p>
    <w:p w14:paraId="55355BC9" w14:textId="77777777" w:rsidR="006F0F05" w:rsidRPr="00F90EAE" w:rsidRDefault="006F0F05" w:rsidP="00F90EAE">
      <w:pPr>
        <w:jc w:val="both"/>
        <w:rPr>
          <w:color w:val="000000" w:themeColor="text1"/>
          <w:sz w:val="16"/>
          <w:szCs w:val="16"/>
        </w:rPr>
      </w:pPr>
      <w:r w:rsidRPr="00F90EAE">
        <w:rPr>
          <w:color w:val="000000" w:themeColor="text1"/>
          <w:sz w:val="16"/>
          <w:szCs w:val="16"/>
        </w:rPr>
        <w:t>В лесах северо-западнее Кельце наши части истребили до 4 тысяч солдат и офицеров разгромлённых дивизий противника. По неполным данным, в этих боях захвачено у немцев 39 танков, 180 полевых орудий, 100 бронетранспортёров, 5 самолётов и около 1.500 автомашин. В районе Скаржиско-Каменна захвачены крупные артиллерийские склады немцев.» (15014).</w:t>
      </w:r>
    </w:p>
    <w:p w14:paraId="7B0F198A" w14:textId="77777777" w:rsidR="006F0F05" w:rsidRPr="00F90EAE" w:rsidRDefault="006F0F05" w:rsidP="00F90EAE">
      <w:pPr>
        <w:jc w:val="both"/>
        <w:rPr>
          <w:color w:val="000000" w:themeColor="text1"/>
          <w:sz w:val="16"/>
          <w:szCs w:val="16"/>
        </w:rPr>
      </w:pPr>
    </w:p>
    <w:p w14:paraId="0D53B6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года, согласно бывшему заместителю командира эскадрильи 909-го иап А. Батизату (газета "Красная Звезда"), командир авиаполка Б. Литвинов поставил задачу: нанести бомбо-штурмовой удар по противнику в районе железнодорожной станции Грюнхайле под Инстербургом (ныне г. Черняховск). Кстати, эскадрилья имела на вооружении Як-9Л, построенные на деньги артистов Малого театра. Самолеты были вручены нам делегацией актеров в составе: А. Яблочкиной, Е. Турчаниновой, П. Садовского, Е. Гоголевой, В. Пашенной и других.</w:t>
      </w:r>
    </w:p>
    <w:p w14:paraId="5F7CC2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Вести шестерку "Яковлевых" было приказано мне. Грозные машины с авиабомбами в отсеках взлетели точно в срок. Подходя к заданному району, мы еще издали заметили, что по шоссе движется большая колонна: тягачи с орудиями, бронетранспортеры. Выполняю доворот и подаю команду ведомым атаковать врага... Над целью взметнулись взрывы, в разных местах густо зачадили подожженные автомашины. Еще заход. Но едва развернулись, по радио прозвучало: "Маленькие, я - "Гранит". На подходе к району большая группа вражеских бомбардировщиков. Свяжите их боем".</w:t>
      </w:r>
    </w:p>
    <w:p w14:paraId="504FF2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Позывной "Гранит" - КП воздушной армии. Без промедления выполняю боевой маневр. С высоты около 2000 м вижу внизу слева армаду самолетов с паучьей свастикой на килях. Бомбардировщики шли пятерками. Я насчитал девять таких групп. Над ними барражировали истребители прикрытия. А у нас и боезапас порядком израсходован.</w:t>
      </w:r>
    </w:p>
    <w:p w14:paraId="26169C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 приказ есть приказ. Его надо выполнять, во что бы то ни стало. И расчет теперь на дерзость, стремительность атаки. По радио я скомандовал:</w:t>
      </w:r>
    </w:p>
    <w:p w14:paraId="4C721A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Атакуем бомбардировщики! И с ходу, в паре со своим ведомым старшим лейтенантом Н. Люлиным, устремился</w:t>
      </w:r>
    </w:p>
    <w:p w14:paraId="505C5F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атаку. После первой же моей очереди головной самолет врага вспыхнул, завалился вниз... И. Шинкаренко поджег вторую машину. Тут-то противник дрогнул, строй бомбардировщиков смешался. Из открытых бомболюков посыпались бомбы. Попытки истребителей прикрытия, проворонивших нашу атаку, ввязаться в бой с "Яками" оказались безрезультатными...".</w:t>
      </w:r>
    </w:p>
    <w:p w14:paraId="02D8A6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году в составе 1-й ВА была сформирована 130-я иад (командир - Герой Советского Союза полковник Ф.И. Шинкаренко), укомплектованная истребителями- бомбардировщиками Як-9Б. Эти машины широко использовались, в частности, для срыва оперативных перевозок противника и ударов по аэродромам, артиллерийским и минометным батареям. Действуя по железнодорожным составам, Як-9Б пикировали Як-9Б, сброс на них с высоты 600-1000 м под углом до 15 противотанковых градусов. Первым попадал под удар паровоз, авиабомб (ПТАБ) затем вагоны и платформы. Освободившись от бомбового груза, летчики обстреливали состав из пушки и пулеметов с высот от 200 до 400 м (12046).</w:t>
      </w:r>
    </w:p>
    <w:p w14:paraId="4C69AE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Истребитель-бомбардировщик Як-9 Б, несмотря на ряд недостатков (а они присутствуют у любого образца техники), получил одобрение летного состава и командования ВВС, поскольку мог решать задачи свойственные штурмовикам и классическим истребителям при их совокупном применении. Поэтому не стоит удивляться, что в третьем квартале 1945 года (после окончания Второй мировой войны) на Харьковском авиационном заводе (№ 135) переделали 78 машин Як-9М в вариант Як-9Б (12046).</w:t>
      </w:r>
    </w:p>
    <w:p w14:paraId="0D53A526" w14:textId="77777777" w:rsidR="00C2313B" w:rsidRPr="00F90EAE" w:rsidRDefault="00C2313B" w:rsidP="00F90EAE">
      <w:pPr>
        <w:autoSpaceDE w:val="0"/>
        <w:autoSpaceDN w:val="0"/>
        <w:adjustRightInd w:val="0"/>
        <w:jc w:val="both"/>
        <w:rPr>
          <w:color w:val="000000" w:themeColor="text1"/>
          <w:sz w:val="16"/>
          <w:szCs w:val="16"/>
        </w:rPr>
      </w:pPr>
    </w:p>
    <w:p w14:paraId="5CF3481E"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rPr>
        <w:t>19 января 1945 Третий Белорусский прорвал немецкую оборону (271,224), а 2Б (К.К.Рокосовский) вступил на территорию ВосточнойПруссии</w:t>
      </w:r>
      <w:r w:rsidRPr="00F90EAE">
        <w:rPr>
          <w:color w:val="000000" w:themeColor="text1"/>
          <w:sz w:val="16"/>
          <w:szCs w:val="16"/>
          <w:lang w:val="en-US"/>
        </w:rPr>
        <w:t xml:space="preserve"> (3398,38).</w:t>
      </w:r>
    </w:p>
    <w:p w14:paraId="7C229244" w14:textId="77777777" w:rsidR="00C2313B" w:rsidRPr="00F90EAE" w:rsidRDefault="00C2313B" w:rsidP="00F90EAE">
      <w:pPr>
        <w:autoSpaceDE w:val="0"/>
        <w:autoSpaceDN w:val="0"/>
        <w:adjustRightInd w:val="0"/>
        <w:jc w:val="both"/>
        <w:rPr>
          <w:color w:val="000000" w:themeColor="text1"/>
          <w:sz w:val="16"/>
          <w:szCs w:val="16"/>
          <w:lang w:val="en-US"/>
        </w:rPr>
      </w:pPr>
    </w:p>
    <w:p w14:paraId="55524612"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19 </w:t>
      </w:r>
      <w:r w:rsidRPr="00F90EAE">
        <w:rPr>
          <w:color w:val="000000" w:themeColor="text1"/>
          <w:sz w:val="16"/>
          <w:szCs w:val="16"/>
        </w:rPr>
        <w:t>января</w:t>
      </w:r>
      <w:r w:rsidRPr="00F90EAE">
        <w:rPr>
          <w:color w:val="000000" w:themeColor="text1"/>
          <w:sz w:val="16"/>
          <w:szCs w:val="16"/>
          <w:lang w:val="en-US"/>
        </w:rPr>
        <w:t xml:space="preserve"> 1945 </w:t>
      </w:r>
      <w:r w:rsidRPr="00F90EAE">
        <w:rPr>
          <w:color w:val="000000" w:themeColor="text1"/>
          <w:sz w:val="16"/>
          <w:szCs w:val="16"/>
        </w:rPr>
        <w:t>КАзахватилаЛодзь</w:t>
      </w:r>
      <w:r w:rsidRPr="00F90EAE">
        <w:rPr>
          <w:color w:val="000000" w:themeColor="text1"/>
          <w:sz w:val="16"/>
          <w:szCs w:val="16"/>
          <w:lang w:val="en-US"/>
        </w:rPr>
        <w:t xml:space="preserve">, </w:t>
      </w:r>
      <w:r w:rsidRPr="00F90EAE">
        <w:rPr>
          <w:color w:val="000000" w:themeColor="text1"/>
          <w:sz w:val="16"/>
          <w:szCs w:val="16"/>
        </w:rPr>
        <w:t>КраковиТарнов</w:t>
      </w:r>
      <w:r w:rsidRPr="00F90EAE">
        <w:rPr>
          <w:color w:val="000000" w:themeColor="text1"/>
          <w:sz w:val="16"/>
          <w:szCs w:val="16"/>
          <w:lang w:val="en-US"/>
        </w:rPr>
        <w:t xml:space="preserve"> (2100).</w:t>
      </w:r>
    </w:p>
    <w:p w14:paraId="5056F4AF" w14:textId="77777777" w:rsidR="00C2313B" w:rsidRPr="00F90EAE" w:rsidRDefault="00C2313B" w:rsidP="00F90EAE">
      <w:pPr>
        <w:autoSpaceDE w:val="0"/>
        <w:autoSpaceDN w:val="0"/>
        <w:adjustRightInd w:val="0"/>
        <w:jc w:val="both"/>
        <w:rPr>
          <w:color w:val="000000" w:themeColor="text1"/>
          <w:sz w:val="16"/>
          <w:szCs w:val="16"/>
          <w:lang w:val="en-US"/>
        </w:rPr>
      </w:pPr>
    </w:p>
    <w:p w14:paraId="32F5B6BD"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19, 1945: Sweeping the German defenders before it, the Red Army captures Lodz (3819).</w:t>
      </w:r>
    </w:p>
    <w:p w14:paraId="17705059" w14:textId="77777777" w:rsidR="00C2313B" w:rsidRPr="00F90EAE" w:rsidRDefault="00C2313B" w:rsidP="00F90EAE">
      <w:pPr>
        <w:autoSpaceDE w:val="0"/>
        <w:autoSpaceDN w:val="0"/>
        <w:adjustRightInd w:val="0"/>
        <w:jc w:val="both"/>
        <w:rPr>
          <w:color w:val="000000" w:themeColor="text1"/>
          <w:sz w:val="16"/>
          <w:szCs w:val="16"/>
          <w:lang w:val="en-US"/>
        </w:rPr>
      </w:pPr>
    </w:p>
    <w:p w14:paraId="4AC718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1БФ и 1УФ освободили Лодзь и Краков (3398,38).</w:t>
      </w:r>
    </w:p>
    <w:p w14:paraId="52F3CE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Ил-2 3 польского шап поддерживали участников Варшавского восстания (241,37). 19 января 1945 3 шап пролетел над освобожденной Варшавой (241,37).</w:t>
      </w:r>
    </w:p>
    <w:p w14:paraId="6E531FEA" w14:textId="77777777" w:rsidR="00C2313B" w:rsidRPr="00F90EAE" w:rsidRDefault="00C2313B" w:rsidP="00F90EAE">
      <w:pPr>
        <w:autoSpaceDE w:val="0"/>
        <w:autoSpaceDN w:val="0"/>
        <w:adjustRightInd w:val="0"/>
        <w:jc w:val="both"/>
        <w:rPr>
          <w:color w:val="000000" w:themeColor="text1"/>
          <w:sz w:val="16"/>
          <w:szCs w:val="16"/>
        </w:rPr>
      </w:pPr>
    </w:p>
    <w:p w14:paraId="05FC3FFC" w14:textId="77777777" w:rsidR="005720F5" w:rsidRPr="00F90EAE" w:rsidRDefault="005720F5"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 на железнодорожной станции в городе Ченстохова, для того, чтобы лишить НКВД предлога для репрессий и по поручению правительства в эмиграции (Лондон) от 16 ноября 1944 г., генерал Армия Крайовы (А.К.) «Термит» (Леопольд Окулицкий) — издал приказ, по которому распустил А.К. и освободил солдат А.К. от присяги. Большая часть подразделений А.К. приказу «Термита» от 19 января 1945 г. не подчинились и продолжили борьбу с советскими войсками и украинскими националистами (17459).</w:t>
      </w:r>
    </w:p>
    <w:p w14:paraId="392F5048" w14:textId="77777777" w:rsidR="005720F5" w:rsidRPr="00F90EAE" w:rsidRDefault="005720F5" w:rsidP="00F90EAE">
      <w:pPr>
        <w:autoSpaceDE w:val="0"/>
        <w:autoSpaceDN w:val="0"/>
        <w:adjustRightInd w:val="0"/>
        <w:jc w:val="both"/>
        <w:rPr>
          <w:color w:val="000000" w:themeColor="text1"/>
          <w:sz w:val="16"/>
          <w:szCs w:val="16"/>
        </w:rPr>
      </w:pPr>
    </w:p>
    <w:p w14:paraId="6727BAA9" w14:textId="77777777" w:rsidR="005720F5" w:rsidRPr="00F90EAE" w:rsidRDefault="005720F5"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года</w:t>
      </w:r>
      <w:r w:rsidRPr="00F90EAE">
        <w:rPr>
          <w:bCs/>
          <w:color w:val="000000" w:themeColor="text1"/>
          <w:sz w:val="16"/>
          <w:szCs w:val="16"/>
        </w:rPr>
        <w:t xml:space="preserve"> народный комиссар обороны отдал приказ, в котором требовал не допускать случаев грубого отношения к немецкому населению. Красная Армия, говорилось в приказе, ведет войну не против немецкого народа, она взялась за оружие, чтобы разгромить агрессора и уничтожить в Германии фашизм и милитаризм, принесшие так много несчастья соседям Германии да и самому немецкому народу. В отличие от гитлеровских захватчиков, сеявших смерть и разрушения на оккупированной земле, воины Красной Армии должны вести себя с достоинством и честью (17459).</w:t>
      </w:r>
    </w:p>
    <w:p w14:paraId="7A30E3CC" w14:textId="77777777" w:rsidR="005720F5" w:rsidRPr="00F90EAE" w:rsidRDefault="005720F5" w:rsidP="00F90EAE">
      <w:pPr>
        <w:autoSpaceDE w:val="0"/>
        <w:autoSpaceDN w:val="0"/>
        <w:adjustRightInd w:val="0"/>
        <w:jc w:val="both"/>
        <w:rPr>
          <w:color w:val="000000" w:themeColor="text1"/>
          <w:sz w:val="16"/>
          <w:szCs w:val="16"/>
        </w:rPr>
      </w:pPr>
    </w:p>
    <w:p w14:paraId="409FF3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 вышел ПРИКАЗ № 04 О ПОРЯДКЕ ИСПОЛЬЗОВАНИЯ ТРОФЕЙНОГО НАРОДНОХОЗЯЙСТВЕННОГО ИМУЩЕСТВА</w:t>
      </w:r>
    </w:p>
    <w:p w14:paraId="5347D9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Одобрен Народным комиссаром обороны СССР</w:t>
      </w:r>
    </w:p>
    <w:p w14:paraId="067A7A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Совета Народных Комиссаров Союза ССР от 10 января 1945 г. № 67—31с установлен следующий порядок использования трофейного народнохозяйственного имущества:</w:t>
      </w:r>
    </w:p>
    <w:p w14:paraId="23B8F2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На военные советы 1-го Прибалтийского, 3-го Белорусского, 2-го Белорусского, 1-го Белорусского, 1-го Украинского, 4-го Украинского, 2-го Украинского и 3-го Украинского фронтов возложено (п. 1):</w:t>
      </w:r>
    </w:p>
    <w:p w14:paraId="093D3A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руководство выявлением и учетом всего трофейного народнохозяйственного имущества — предприятий, имений, усадеб, складов, элеваторов, магазинов,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0CF26F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организация надежной охраны всего вышеуказанного имущества и обеспечение смены охраны по мере продвижения частей вперед;</w:t>
      </w:r>
    </w:p>
    <w:p w14:paraId="4BA189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представление через начальника тыла Красной Армии в Совнарком Союза ССР докладов и предложений об эвакуации или использовании на месте трофейного народнохозяйственного имущества.</w:t>
      </w:r>
    </w:p>
    <w:p w14:paraId="0F2936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Демонтаж предприятий и эвакуация в тыл страны оборудования и народнохозяйственных ценностей производится только по решению Совнаркома Союза ССР.</w:t>
      </w:r>
    </w:p>
    <w:p w14:paraId="3B2876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По вынесенным решениям Правительства на соответствующие наркоматы и ведомства возложен прием на месте демонтированного оборудования и организация его вывоза. Военные советы фронтов предоставляют наркоматам и ведомствам рабочую силу, автотранспорт и железнодорожный подвижной состав (п. 9).</w:t>
      </w:r>
    </w:p>
    <w:p w14:paraId="1A6325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Продовольствие, фураж, горючее, скот (кроме племенного), обращаемые в соответствии с Постановлением ГОКО от 1 декабря 1944 г. № 7054с на снабжение Красной Армии, зачисляются в счет планового снабжения фронтов (армий). Главному интенданту Красной Армии разрешено излишки, образовавшиеся на одних фронтах, направлять на снабжение других фронтов.</w:t>
      </w:r>
    </w:p>
    <w:p w14:paraId="6890C6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количество трофейного продовольствия, фуража, горючего, зачисляемых на плановое снабжение фронтой (армий), уменьшаются централизованные фонды НКО и высвобождающиеся в связи с этим продовольствие, фураж и горючее зачисляются в госрезерв и используются по решениям Совнаркома Союза ССР (п. 10).</w:t>
      </w:r>
    </w:p>
    <w:p w14:paraId="15277B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Все трофейные денежные знаки в виде иностранной и советской валюты, золото, платина и серебро в слитках и монетах и другие драгоценности, ценные бумаги (акции, облигации и т. п.) подлежат немедленной передаче в полевые органы Госбанка.</w:t>
      </w:r>
    </w:p>
    <w:p w14:paraId="26CB96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Сбор, учет, передача и вывоз трофейного и отечественного вооружения, боеприпасов, боевой техники, военного имущества и фронтового металлолома производится ныне действующим порядком, установленным постановлениями ГОКО № 3123с от 5 апреля 1943 г. и № 3210 от 19 апреля 1943 г.</w:t>
      </w:r>
    </w:p>
    <w:p w14:paraId="6B4F5E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случае занятия трофейными частями предприятий, складов и других объектов трофейного народнохозяйственного имущества трофейные части организуют их охрану и при вступлении в населенные пункты комендатур охраняемое имущество передают в их распоряжение (п. 12).</w:t>
      </w:r>
    </w:p>
    <w:p w14:paraId="5ED711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Для руководства работой тыловых органов фронтов и армий по охране, выявлению, учету, сохранению и эвакуации трофейного народнохозяйственного имущества и для практического выполнения этих задач учреждаются: при начальнике тыла Красной Армии — должность заместителя начальника тыла и при штабе тыла Красной Армии — отдел; при начальнике тыла фронтов и армий — должность заместителя начальника тыла и в составе штабов тыла — отделы; в городах и крупных населенных пунктах — должности помощников комендантов по хозяйственным вопросам.</w:t>
      </w:r>
    </w:p>
    <w:p w14:paraId="7BC374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Комендатуры формируются военными советами фронтов и армий в пределах границ армий и при продвижении частей оставляются как территориальные органы на местах с развертыванием новых комендатур на вновь занятой территории (пп. 2, 3 и 6).</w:t>
      </w:r>
    </w:p>
    <w:p w14:paraId="146316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Приказываю:</w:t>
      </w:r>
    </w:p>
    <w:p w14:paraId="3858DB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Ввести в действие объявляемые:</w:t>
      </w:r>
    </w:p>
    <w:p w14:paraId="43D796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Положение об отделах трофейного народнохозяйственного имущества при органах тыла Красной Армии (приложение № 1) и штаты отделов (приложения №№ 2, 3 и 4)*.</w:t>
      </w:r>
    </w:p>
    <w:p w14:paraId="40B868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Положение о помощнике комендантов городов и населенных пунктов по хозяйственным вопросам на занятой территории противника (приложение № 5) и штат (приложение № 6)*.</w:t>
      </w:r>
    </w:p>
    <w:p w14:paraId="7DA04E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Военным советам фронтов:</w:t>
      </w:r>
    </w:p>
    <w:p w14:paraId="09EBE0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в 5-дневный срок с получением настоящего приказа назначить и утвердить заместителей начальников тыла армий;</w:t>
      </w:r>
    </w:p>
    <w:p w14:paraId="390A42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сформировать в пределах границ армий военные комендатуры, обеспечив подбор честных и проверенных работников из соответствующих резервов;</w:t>
      </w:r>
    </w:p>
    <w:p w14:paraId="599C40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укомплектовать отделы по учету и использованию трофейного народнохозяйственного имущества квалифицированными и проверенными кадрами;</w:t>
      </w:r>
    </w:p>
    <w:p w14:paraId="5A560D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провести тщательное инструктирование заместителей начальников тыла армий и помощников комендантов по хозяйственным вопросам, разъяснить обязанности и предупредить их об особой ответственности за выполнение поставленных задач.</w:t>
      </w:r>
    </w:p>
    <w:p w14:paraId="324299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Военным советам фронтов и армий обязать начальников тыла фронтов и армий и военных комендантов в городах и населенных пунктах:</w:t>
      </w:r>
    </w:p>
    <w:p w14:paraId="400AC6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ввести строгий учет трофейного народнохозяйственного имущества, обращая особое внимание на сохранность и сбережение этого имущества в пунктах хранения и при перевозках;</w:t>
      </w:r>
    </w:p>
    <w:p w14:paraId="787BEF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выдачу и отгрузку трофейного народнохозяйственного имущества производить только по нарядам, в строгом соответствии с Постановлением Правительства СССР;</w:t>
      </w:r>
    </w:p>
    <w:p w14:paraId="458E3B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своевременно представлять высшим инстанциям отчетные данные о наличии и движении трофейного народнохозяйственного имущества по состоянию на 1, 10 и 20 числа каждого месяца.</w:t>
      </w:r>
    </w:p>
    <w:p w14:paraId="7C9D150F"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Заместитель Народного комиссара обороны СССР генерал армии БУЛГАНИН</w:t>
      </w:r>
      <w:r w:rsidRPr="00F90EAE">
        <w:rPr>
          <w:color w:val="000000" w:themeColor="text1"/>
          <w:sz w:val="16"/>
          <w:szCs w:val="16"/>
        </w:rPr>
        <w:t xml:space="preserve"> (9844).</w:t>
      </w:r>
    </w:p>
    <w:p w14:paraId="313DE2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Приказ заверен заместителем начальника 7-го отдела ГУПВИ НКВД СССР майором госбезопасности С. Романовым. В имеющейся на документе помете сказано, что подлинный экземпляр хранится в делах секретариата НКВД СССР, что заверено печатью дежурного по НКВД СССР и подписью помощника начальника 3-го отделения секретариата НКВД Рощина.</w:t>
      </w:r>
    </w:p>
    <w:p w14:paraId="2E1C95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 1</w:t>
      </w:r>
    </w:p>
    <w:p w14:paraId="19A4EA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19 января 1945 г. Заместитель Народного комиссара обороны СССР генерал армии </w:t>
      </w:r>
      <w:r w:rsidRPr="00F90EAE">
        <w:rPr>
          <w:iCs/>
          <w:color w:val="000000" w:themeColor="text1"/>
          <w:sz w:val="16"/>
          <w:szCs w:val="16"/>
        </w:rPr>
        <w:t xml:space="preserve">БУЛГАНИН </w:t>
      </w:r>
      <w:r w:rsidRPr="00F90EAE">
        <w:rPr>
          <w:color w:val="000000" w:themeColor="text1"/>
          <w:sz w:val="16"/>
          <w:szCs w:val="16"/>
        </w:rPr>
        <w:t>утвердил:</w:t>
      </w:r>
    </w:p>
    <w:p w14:paraId="66CCAB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ПОЛОЖЕНИЕ ОБ ОТДЕЛАХ ТРОФЕЙНОГО НАРОДНОХОЗЯЙСТВЕННОГО ИМУЩЕСТВА ПРИ ОРГАНАХ ТЫЛА КРАСНОЙ АРМИИ</w:t>
      </w:r>
    </w:p>
    <w:p w14:paraId="54CD92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Органы трофейного народнохозяйственного имущества тыла Красной Армии обеспечивают выявление, учет, сбор, охрану и передачу по решению Правительства СССР всякого рода оборудования, в том числе сельскохозяйственных машин, продовольствия, горючего, фуража, скота, брошенного хозяйственно-бытового имущества и других предметов, захваченных нашими войсками в городах, населенных пунктах и промышленных центрах на территории противника.</w:t>
      </w:r>
    </w:p>
    <w:p w14:paraId="6D8510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Органами трофейного народнохозяйственного имущества являются:</w:t>
      </w:r>
    </w:p>
    <w:p w14:paraId="24DC6B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в центре — отдел по учету и использованию трофейного народнохозяйственного имущества при штабе начальника тыла Красной Армии;</w:t>
      </w:r>
    </w:p>
    <w:p w14:paraId="372053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во фронте — отдел по учету и использованию трофейного народнохозяйственного мущества при штабе управления тыла фронта, в армии — отдел по учету и использованию трофейного народнохозяйственного имущества при штабе управления тыла армии.</w:t>
      </w:r>
    </w:p>
    <w:p w14:paraId="6E358E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На отделы по учету и использованию трофейного народнохозяйственного имущества фронта (армии) возлагается:</w:t>
      </w:r>
    </w:p>
    <w:p w14:paraId="17B9C7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выявление и строгий учет трофейного народнохозяйственного имущества, захваченного нашими войсками в городах, населенных пунктах и промышленных центрах на территории противника;</w:t>
      </w:r>
    </w:p>
    <w:p w14:paraId="4D39E1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контроль за обеспечением охраны всего трофейного народнохозяйственного имущества на территории противника;</w:t>
      </w:r>
    </w:p>
    <w:p w14:paraId="409DBA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подготовка докладов и предложений военным советам фронтов и армий об эвакуации или использовании на месте трофейного народнохозяйственного имущества;</w:t>
      </w:r>
    </w:p>
    <w:p w14:paraId="7E1287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выдача на месте продовольствия, фуража и горючего и отгрузка трофейного народнохозяйственного имущества в тыл страны по нарядам в соответствии с решением Правительства;</w:t>
      </w:r>
    </w:p>
    <w:p w14:paraId="27D22C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 передача на месте по вынесенным решениям Правительства СССР оборудования соответствующим наркоматам, ведомствам и организациям;</w:t>
      </w:r>
    </w:p>
    <w:p w14:paraId="44F282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 принятие мер к обеспечению сбора и вывоза трофейного имущества при помощи местной рабочей силы, гуж-автотранспорта и железнодорожного подвижного состава;</w:t>
      </w:r>
    </w:p>
    <w:p w14:paraId="269612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ж) прием под ответственную охрану и немедленная сдача полевым органам Госбанка всех трофейных денежных знаков в виде иностранной и советской валюты, золота, платины, серебра в слитках и монетах, а также различных драгоценностей и ценных бумаг (акций, облигаций и т. п.);</w:t>
      </w:r>
    </w:p>
    <w:p w14:paraId="664E70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 количественный и качественный учет всего собранного, переданного войскам и другим организациям трофейного народнохозяйственного имущества;</w:t>
      </w:r>
    </w:p>
    <w:p w14:paraId="6A3B53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представление высшим инстанциям отчетных данных о наличии трофейного имущества по состоянию на 1, 10 и 20 числа каждого месяца.</w:t>
      </w:r>
    </w:p>
    <w:p w14:paraId="0100EE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Начальники отделов трофейного народнохозяйственного имущества обязаны оказывать содействие представителям и специалистам наркоматов и ведомств СССР, командируемым на фронты для ознакомления с состоянием предприятий.</w:t>
      </w:r>
    </w:p>
    <w:p w14:paraId="1BD669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Начальники отделов трофейного народнохозяйственного имущества фронтов и армий:</w:t>
      </w:r>
    </w:p>
    <w:p w14:paraId="0BAB2E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разрабатывают указания помощникам комендантов городов по хозяйственным вопросам о выявлении, учете и использовании учтенного трофейного народнохозяйственного имущества;</w:t>
      </w:r>
    </w:p>
    <w:p w14:paraId="411926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подписывают второй подписью после заместителя начальника тыла фронта (армии) наряды на выдачу и отгрузку трофейного народнохозяйственного имущества по состоявшимся решениям;</w:t>
      </w:r>
    </w:p>
    <w:p w14:paraId="7CEF59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проверяют заявки помощников комендантов по хозяйственным вопросам на транспорт для перевозки и вывоза имущества, а также все отчеты по кругу их деятельности.</w:t>
      </w:r>
    </w:p>
    <w:p w14:paraId="0549F812"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 xml:space="preserve">Начальник тыла Красной Армии генерал армии А. ХРУЛЕВ </w:t>
      </w:r>
      <w:r w:rsidRPr="00F90EAE">
        <w:rPr>
          <w:color w:val="000000" w:themeColor="text1"/>
          <w:sz w:val="16"/>
          <w:szCs w:val="16"/>
        </w:rPr>
        <w:t>(9844).</w:t>
      </w:r>
    </w:p>
    <w:p w14:paraId="01BE7939" w14:textId="77777777" w:rsidR="00C2313B" w:rsidRPr="00F90EAE" w:rsidRDefault="00C2313B" w:rsidP="00F90EAE">
      <w:pPr>
        <w:autoSpaceDE w:val="0"/>
        <w:autoSpaceDN w:val="0"/>
        <w:adjustRightInd w:val="0"/>
        <w:jc w:val="both"/>
        <w:rPr>
          <w:color w:val="000000" w:themeColor="text1"/>
          <w:sz w:val="16"/>
          <w:szCs w:val="16"/>
        </w:rPr>
      </w:pPr>
    </w:p>
    <w:p w14:paraId="033D396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ECFF903" w14:textId="77777777" w:rsidR="00C2313B" w:rsidRPr="00F90EAE" w:rsidRDefault="00C2313B" w:rsidP="00F90EAE">
      <w:pPr>
        <w:autoSpaceDE w:val="0"/>
        <w:autoSpaceDN w:val="0"/>
        <w:adjustRightInd w:val="0"/>
        <w:jc w:val="both"/>
        <w:rPr>
          <w:iCs/>
          <w:color w:val="000000" w:themeColor="text1"/>
          <w:sz w:val="16"/>
          <w:szCs w:val="16"/>
        </w:rPr>
      </w:pPr>
    </w:p>
    <w:p w14:paraId="6B90DB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было подписано перемирие с Венгрией (3481).</w:t>
      </w:r>
    </w:p>
    <w:p w14:paraId="2F493EA4" w14:textId="77777777" w:rsidR="00C2313B" w:rsidRPr="00F90EAE" w:rsidRDefault="00C2313B" w:rsidP="00F90EAE">
      <w:pPr>
        <w:autoSpaceDE w:val="0"/>
        <w:autoSpaceDN w:val="0"/>
        <w:adjustRightInd w:val="0"/>
        <w:jc w:val="both"/>
        <w:rPr>
          <w:color w:val="000000" w:themeColor="text1"/>
          <w:sz w:val="16"/>
          <w:szCs w:val="16"/>
        </w:rPr>
      </w:pPr>
    </w:p>
    <w:p w14:paraId="27F4E089" w14:textId="77777777" w:rsidR="005720F5" w:rsidRPr="00F90EAE" w:rsidRDefault="005720F5" w:rsidP="00F90EAE">
      <w:pPr>
        <w:autoSpaceDE w:val="0"/>
        <w:autoSpaceDN w:val="0"/>
        <w:adjustRightInd w:val="0"/>
        <w:jc w:val="both"/>
        <w:rPr>
          <w:color w:val="000000" w:themeColor="text1"/>
          <w:sz w:val="16"/>
          <w:szCs w:val="16"/>
        </w:rPr>
      </w:pPr>
      <w:r w:rsidRPr="00F90EAE">
        <w:rPr>
          <w:color w:val="000000" w:themeColor="text1"/>
          <w:sz w:val="16"/>
          <w:szCs w:val="16"/>
        </w:rPr>
        <w:t>19 января 1945 г. СССР представил США соглашение о пленных (17459).</w:t>
      </w:r>
    </w:p>
    <w:p w14:paraId="7856C221" w14:textId="77777777" w:rsidR="005720F5" w:rsidRPr="00F90EAE" w:rsidRDefault="005720F5" w:rsidP="00F90EAE">
      <w:pPr>
        <w:autoSpaceDE w:val="0"/>
        <w:autoSpaceDN w:val="0"/>
        <w:adjustRightInd w:val="0"/>
        <w:jc w:val="both"/>
        <w:rPr>
          <w:color w:val="000000" w:themeColor="text1"/>
          <w:sz w:val="16"/>
          <w:szCs w:val="16"/>
        </w:rPr>
      </w:pPr>
    </w:p>
    <w:p w14:paraId="33626E7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233A1AA" w14:textId="77777777" w:rsidR="00C2313B" w:rsidRPr="00F90EAE" w:rsidRDefault="00C2313B" w:rsidP="00F90EAE">
      <w:pPr>
        <w:autoSpaceDE w:val="0"/>
        <w:autoSpaceDN w:val="0"/>
        <w:adjustRightInd w:val="0"/>
        <w:jc w:val="both"/>
        <w:rPr>
          <w:iCs/>
          <w:color w:val="000000" w:themeColor="text1"/>
          <w:sz w:val="16"/>
          <w:szCs w:val="16"/>
        </w:rPr>
      </w:pPr>
    </w:p>
    <w:p w14:paraId="71CDF4EF" w14:textId="77777777" w:rsidR="006F0F05" w:rsidRPr="00F90EAE" w:rsidRDefault="006F0F05" w:rsidP="00F90EAE">
      <w:pPr>
        <w:jc w:val="both"/>
        <w:rPr>
          <w:color w:val="000000" w:themeColor="text1"/>
          <w:sz w:val="16"/>
          <w:szCs w:val="16"/>
        </w:rPr>
      </w:pPr>
      <w:r w:rsidRPr="00F90EAE">
        <w:rPr>
          <w:bCs/>
          <w:color w:val="000000" w:themeColor="text1"/>
          <w:sz w:val="16"/>
          <w:szCs w:val="16"/>
        </w:rPr>
        <w:lastRenderedPageBreak/>
        <w:t>19 января</w:t>
      </w:r>
      <w:r w:rsidRPr="00F90EAE">
        <w:rPr>
          <w:color w:val="000000" w:themeColor="text1"/>
          <w:sz w:val="16"/>
          <w:szCs w:val="16"/>
        </w:rPr>
        <w:t xml:space="preserve"> в 1945 году налет американских «Б-29» полностью стер с лица земли моторостроительный завод Кавасаки (Kawasaki) в Акаши, и выпуск мотора «Ха-140» прекратился. Мотором «Ха-140» комплектовался истребитель «Ki-79», о котором рассказано чуть ранее. Завод Кавасаки перешел на производство «Кi.100» (15014).</w:t>
      </w:r>
    </w:p>
    <w:p w14:paraId="053A7089" w14:textId="77777777" w:rsidR="006F0F05" w:rsidRPr="00F90EAE" w:rsidRDefault="006F0F05" w:rsidP="00F90EAE">
      <w:pPr>
        <w:jc w:val="both"/>
        <w:rPr>
          <w:color w:val="000000" w:themeColor="text1"/>
          <w:sz w:val="16"/>
          <w:szCs w:val="16"/>
        </w:rPr>
      </w:pPr>
    </w:p>
    <w:p w14:paraId="2DFBE70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американский генерал Эйзенхауэр на совещании в Версале отверг план наступления в Рейнском бассейне, предложенный фельдмаршалом Монтгомери (4962).</w:t>
      </w:r>
    </w:p>
    <w:p w14:paraId="33DBA8CD"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CE79A7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января 1945 прокоммунистическое правительство Польши обратилось к народу с призывом не подчиняться постановлениям польского правительства в Лондоне (4962).</w:t>
      </w:r>
    </w:p>
    <w:p w14:paraId="2C1D807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2D69979" w14:textId="77777777" w:rsidR="006F0F05" w:rsidRPr="00F90EAE" w:rsidRDefault="006F0F05" w:rsidP="00F90EAE">
      <w:pPr>
        <w:jc w:val="both"/>
        <w:rPr>
          <w:color w:val="000000" w:themeColor="text1"/>
          <w:sz w:val="16"/>
          <w:szCs w:val="16"/>
        </w:rPr>
      </w:pPr>
      <w:r w:rsidRPr="00F90EAE">
        <w:rPr>
          <w:bCs/>
          <w:color w:val="000000" w:themeColor="text1"/>
          <w:sz w:val="16"/>
          <w:szCs w:val="16"/>
        </w:rPr>
        <w:t>19 января</w:t>
      </w:r>
      <w:r w:rsidRPr="00F90EAE">
        <w:rPr>
          <w:color w:val="000000" w:themeColor="text1"/>
          <w:sz w:val="16"/>
          <w:szCs w:val="16"/>
        </w:rPr>
        <w:t xml:space="preserve"> в 1945 году командующий польской подпольной Армией Крайовой Леопольд Окулицкий своим приказом распускает ее (15014).</w:t>
      </w:r>
    </w:p>
    <w:p w14:paraId="7DCA5F91" w14:textId="77777777" w:rsidR="006F0F05" w:rsidRPr="00F90EAE" w:rsidRDefault="006F0F05" w:rsidP="00F90EAE">
      <w:pPr>
        <w:jc w:val="both"/>
        <w:rPr>
          <w:color w:val="000000" w:themeColor="text1"/>
          <w:sz w:val="16"/>
          <w:szCs w:val="16"/>
        </w:rPr>
      </w:pPr>
    </w:p>
    <w:p w14:paraId="57C128C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8452DE3" w14:textId="77777777" w:rsidR="00C2313B" w:rsidRPr="00F90EAE" w:rsidRDefault="00C2313B" w:rsidP="00F90EAE">
      <w:pPr>
        <w:autoSpaceDE w:val="0"/>
        <w:autoSpaceDN w:val="0"/>
        <w:adjustRightInd w:val="0"/>
        <w:jc w:val="both"/>
        <w:rPr>
          <w:iCs/>
          <w:color w:val="000000" w:themeColor="text1"/>
          <w:sz w:val="16"/>
          <w:szCs w:val="16"/>
        </w:rPr>
      </w:pPr>
    </w:p>
    <w:p w14:paraId="00FE12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А.Кузнецов писал письмо Зам. ком. ВВС КА гп А.В.Никитину:</w:t>
      </w:r>
    </w:p>
    <w:p w14:paraId="2E1EDC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Отечественной войны 1941 года был установлен порядок по отправке с заводов самолетов, снаряженных боекомплектом.</w:t>
      </w:r>
    </w:p>
    <w:p w14:paraId="70F44A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Это требовалось по причине близости фронта, куда непосредственно отправлялись с заводов самолеты.</w:t>
      </w:r>
    </w:p>
    <w:p w14:paraId="66DE18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данное время все самолеты Ил-2 с завода 30 идут не в войсковые части, а в ЗАПы и надобность в снаряжении их боекомплектами отпала.</w:t>
      </w:r>
    </w:p>
    <w:p w14:paraId="715DB0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Снаряжение боекомплектами отправляемых самолетов чрезвычайно затрудняет работу завода 30 из-за несвоевременной доставки ВВС КА боекомплектов и отсутствия приспособленных складов по их хранению.</w:t>
      </w:r>
    </w:p>
    <w:p w14:paraId="323D70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Исходя из этого прошу изменить существующий порядок и разрешить заводу 30 отправлять самолеты Ил-2 в ЗАПы без боекомплектов.</w:t>
      </w:r>
    </w:p>
    <w:p w14:paraId="7A2479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заводам 1, 18 и 22 этот вопрос разрешен положительно." (1879,53).</w:t>
      </w:r>
    </w:p>
    <w:p w14:paraId="6453D497" w14:textId="77777777" w:rsidR="00C2313B" w:rsidRPr="00F90EAE" w:rsidRDefault="00C2313B" w:rsidP="00F90EAE">
      <w:pPr>
        <w:autoSpaceDE w:val="0"/>
        <w:autoSpaceDN w:val="0"/>
        <w:adjustRightInd w:val="0"/>
        <w:jc w:val="both"/>
        <w:rPr>
          <w:color w:val="000000" w:themeColor="text1"/>
          <w:sz w:val="16"/>
          <w:szCs w:val="16"/>
        </w:rPr>
      </w:pPr>
    </w:p>
    <w:p w14:paraId="7F0F9E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года начальник главного управления заказов ВВС генерал-лейтенант ИАС Селезнев писал письмо N 711226с Шахурину.</w:t>
      </w:r>
    </w:p>
    <w:p w14:paraId="153F0D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Электрифицированная турель "СЭБ" конструкции ОКБ-140 НКАП под два пулемета УБ калибра 12,7 мм выдержала государственные испытания в ГК НИИ ВВС и рекомендована для установки на самолеты ЕР-2.</w:t>
      </w:r>
    </w:p>
    <w:p w14:paraId="2EF5D2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Данная турель является первой отечественной, полностью электрифицированной турелью, по сравнению с иностранными образцами она проще по конструкции и в эксплуатации.</w:t>
      </w:r>
    </w:p>
    <w:p w14:paraId="27965A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Вас дать указание о внедрении в серийное производство "СЭБ" для установки их на самолетах ЕР-2 и о подаче первых десяти этих турелей на войсковые испытания в 1-м квартале 1945 года.</w:t>
      </w:r>
    </w:p>
    <w:p w14:paraId="4E25E4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 Вашем решении прошу поставить меня в известность (1879).</w:t>
      </w:r>
    </w:p>
    <w:p w14:paraId="1EB26888" w14:textId="77777777" w:rsidR="00C2313B" w:rsidRPr="00F90EAE" w:rsidRDefault="00C2313B" w:rsidP="00F90EAE">
      <w:pPr>
        <w:autoSpaceDE w:val="0"/>
        <w:autoSpaceDN w:val="0"/>
        <w:adjustRightInd w:val="0"/>
        <w:jc w:val="both"/>
        <w:rPr>
          <w:color w:val="000000" w:themeColor="text1"/>
          <w:sz w:val="16"/>
          <w:szCs w:val="16"/>
        </w:rPr>
      </w:pPr>
    </w:p>
    <w:p w14:paraId="3D60F7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года зам. командующего 18 ВА ВВС по ИАС генерал-полковник ИАС Марков писал письмо N 11159с зам. Наркомавиапрома генерал-лейтенанту ИАС Кузнецову А.И.</w:t>
      </w:r>
    </w:p>
    <w:p w14:paraId="4C116D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маршал авиации Новиков разрешил передать Вам два самолета Пе-8 4АЧ-30Б за NN 42038 и 42039, находящихся на аэродроме Кратово.</w:t>
      </w:r>
    </w:p>
    <w:p w14:paraId="5397BC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Можете выслать с доверенностью представителей для приемки указанных самолетов (1879,28).</w:t>
      </w:r>
    </w:p>
    <w:p w14:paraId="7F38E502" w14:textId="77777777" w:rsidR="00C2313B" w:rsidRPr="00F90EAE" w:rsidRDefault="00C2313B" w:rsidP="00F90EAE">
      <w:pPr>
        <w:autoSpaceDE w:val="0"/>
        <w:autoSpaceDN w:val="0"/>
        <w:adjustRightInd w:val="0"/>
        <w:jc w:val="both"/>
        <w:rPr>
          <w:color w:val="000000" w:themeColor="text1"/>
          <w:sz w:val="16"/>
          <w:szCs w:val="16"/>
        </w:rPr>
      </w:pPr>
    </w:p>
    <w:p w14:paraId="44B66E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20 января по 23 апреля 1945 в ОКБ А.С.Я. по постановлению ГКО был построен Як-3У. Строительство началось в Новосибирске и было закончено в Москве (65,198).</w:t>
      </w:r>
    </w:p>
    <w:p w14:paraId="25A880A0" w14:textId="77777777" w:rsidR="00C2313B" w:rsidRPr="00F90EAE" w:rsidRDefault="00C2313B" w:rsidP="00F90EAE">
      <w:pPr>
        <w:autoSpaceDE w:val="0"/>
        <w:autoSpaceDN w:val="0"/>
        <w:adjustRightInd w:val="0"/>
        <w:jc w:val="both"/>
        <w:rPr>
          <w:color w:val="000000" w:themeColor="text1"/>
          <w:sz w:val="16"/>
          <w:szCs w:val="16"/>
        </w:rPr>
      </w:pPr>
    </w:p>
    <w:p w14:paraId="4C5B51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было выполнено 2 полета Ла-7Р (4,237) с включенными РД-1ХЗ (237,205).</w:t>
      </w:r>
    </w:p>
    <w:p w14:paraId="665DA027" w14:textId="77777777" w:rsidR="00C2313B" w:rsidRPr="00F90EAE" w:rsidRDefault="00C2313B" w:rsidP="00F90EAE">
      <w:pPr>
        <w:autoSpaceDE w:val="0"/>
        <w:autoSpaceDN w:val="0"/>
        <w:adjustRightInd w:val="0"/>
        <w:jc w:val="both"/>
        <w:rPr>
          <w:color w:val="000000" w:themeColor="text1"/>
          <w:sz w:val="16"/>
          <w:szCs w:val="16"/>
        </w:rPr>
      </w:pPr>
    </w:p>
    <w:p w14:paraId="30D5D5FB"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20 января 1945 состояние опытного строительства на 21 заводе было следующим:</w:t>
      </w:r>
    </w:p>
    <w:p w14:paraId="167EC18C"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Ла-5 РД-1 произведено 3 полета, из которых 2 с включением ВРД. Увеличение скорости - 70-72 км/час. Строительство РД-1 дублер закончено, 23 января с-т будет выведен на аэродром.</w:t>
      </w:r>
    </w:p>
    <w:p w14:paraId="17D3D6A7"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Проектироване с-та Ла-7 (изд. 120 с РД-1) заканчивается.. Полетный вес - 3400, бензин - 200, керосин - 67, кислота - 263.</w:t>
      </w:r>
    </w:p>
    <w:p w14:paraId="34DE8063"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Изделие “к” (изделие 124). Заканчиваются чертежи общих видов. После окончательного утверждения их будут даны общие данные (738,34).</w:t>
      </w:r>
    </w:p>
    <w:p w14:paraId="56F026E3" w14:textId="77777777" w:rsidR="00C2313B" w:rsidRPr="00F90EAE" w:rsidRDefault="00C2313B" w:rsidP="00F90EAE">
      <w:pPr>
        <w:widowControl w:val="0"/>
        <w:autoSpaceDE w:val="0"/>
        <w:autoSpaceDN w:val="0"/>
        <w:adjustRightInd w:val="0"/>
        <w:jc w:val="both"/>
        <w:rPr>
          <w:color w:val="000000" w:themeColor="text1"/>
          <w:sz w:val="16"/>
          <w:szCs w:val="16"/>
        </w:rPr>
      </w:pPr>
    </w:p>
    <w:p w14:paraId="5610B2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января 1945 НКВМФ Н.Кузнецов писал письмо № 91с НКАП А.А.Ш.</w:t>
      </w:r>
    </w:p>
    <w:p w14:paraId="59ABF2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1937-ЗЗг.г. Московский Авиационный Институт по проекту своего технического бюро (начальник т. Евангулов) изготовил в своих производственных мастерских несколько специальных тормозов для испытаний торпедных двигателей.</w:t>
      </w:r>
    </w:p>
    <w:p w14:paraId="3487D2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процессе эксплоатации тормозов, в 1941 году была окончательно отработана конструкция тормоза, тип "Т-2-Д-А":</w:t>
      </w:r>
    </w:p>
    <w:p w14:paraId="59A31A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началом войны изготовление тормозов прекратилось, вследствие чего флоты не смогли получить необходимого ко</w:t>
      </w:r>
      <w:r w:rsidRPr="00F90EAE">
        <w:rPr>
          <w:color w:val="000000" w:themeColor="text1"/>
          <w:sz w:val="16"/>
          <w:szCs w:val="16"/>
        </w:rPr>
        <w:softHyphen/>
        <w:t>личества тормозов.</w:t>
      </w:r>
    </w:p>
    <w:p w14:paraId="614E64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годы Отечественной войны на вооружение Военно-Морского Флота поступил ряд новых образцов скоростных тор</w:t>
      </w:r>
      <w:r w:rsidRPr="00F90EAE">
        <w:rPr>
          <w:color w:val="000000" w:themeColor="text1"/>
          <w:sz w:val="16"/>
          <w:szCs w:val="16"/>
        </w:rPr>
        <w:softHyphen/>
        <w:t>пед с мощностью двигателя'до 500л.с.,вследствие чего имею</w:t>
      </w:r>
      <w:r w:rsidRPr="00F90EAE">
        <w:rPr>
          <w:color w:val="000000" w:themeColor="text1"/>
          <w:sz w:val="16"/>
          <w:szCs w:val="16"/>
        </w:rPr>
        <w:softHyphen/>
        <w:t>щиеся на флотах тормоза в результате их маломощности ока</w:t>
      </w:r>
      <w:r w:rsidRPr="00F90EAE">
        <w:rPr>
          <w:color w:val="000000" w:themeColor="text1"/>
          <w:sz w:val="16"/>
          <w:szCs w:val="16"/>
        </w:rPr>
        <w:softHyphen/>
        <w:t>зались совершенно непригодными для эксплоатации.</w:t>
      </w:r>
    </w:p>
    <w:p w14:paraId="177FC0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Невозможность получения с импорта тормозов требуе</w:t>
      </w:r>
      <w:r w:rsidRPr="00F90EAE">
        <w:rPr>
          <w:color w:val="000000" w:themeColor="text1"/>
          <w:sz w:val="16"/>
          <w:szCs w:val="16"/>
        </w:rPr>
        <w:softHyphen/>
        <w:t>мой мощности вынуждает НКВМФ поставить перед Вами вопрос о восстановлении производства отечественных гкдро-тормозов и изготовления для первоочередных нужд ВМФ в 1945 году, хотя бы 10-12 машин типа "Т-2-Д-А".</w:t>
      </w:r>
    </w:p>
    <w:p w14:paraId="1B1B49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Предварительным выяснением установлено, что МАИ принципиально не возражает против изготовления тормозов, при условии оказания. следующей помощи:</w:t>
      </w:r>
    </w:p>
    <w:p w14:paraId="00DDD3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Выделить 15-20 единиц металлорежущего, универ</w:t>
      </w:r>
      <w:r w:rsidRPr="00F90EAE">
        <w:rPr>
          <w:color w:val="000000" w:themeColor="text1"/>
          <w:sz w:val="16"/>
          <w:szCs w:val="16"/>
        </w:rPr>
        <w:softHyphen/>
        <w:t>сального станочного оборудования.</w:t>
      </w:r>
    </w:p>
    <w:p w14:paraId="58F5EF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Возвратить в МАИ с заводов НКАП, из числа ранее работавших в конструкторском бюро по гидротормозам, 12-15 специалистов ИТР и рабочих.</w:t>
      </w:r>
    </w:p>
    <w:p w14:paraId="6DF910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Выделить небольшой фонд на режущий и мерительный инструмент.</w:t>
      </w:r>
    </w:p>
    <w:p w14:paraId="06FEA4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Вашем решении прошу сообщить (2952,11).</w:t>
      </w:r>
    </w:p>
    <w:p w14:paraId="720664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A59F6D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85F78EF" w14:textId="77777777" w:rsidR="00C2313B" w:rsidRPr="00F90EAE" w:rsidRDefault="00C2313B" w:rsidP="00F90EAE">
      <w:pPr>
        <w:autoSpaceDE w:val="0"/>
        <w:autoSpaceDN w:val="0"/>
        <w:adjustRightInd w:val="0"/>
        <w:jc w:val="both"/>
        <w:rPr>
          <w:iCs/>
          <w:color w:val="000000" w:themeColor="text1"/>
          <w:sz w:val="16"/>
          <w:szCs w:val="16"/>
        </w:rPr>
      </w:pPr>
    </w:p>
    <w:p w14:paraId="31AF59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января 1945 г. был подготовлен ЗАПРОС ЗАМЕСТИТЕЛЯ НАЧАЛЬНИКА ГБТУ КА ЗАМЕСТИТЕЛЮ НАРОДНОГО КОМИССАРА ВНЕШНЕЙ ТОРГОВЛИ СССР ОБ ОТПРАВКЕ МОТОЦИКЛОВ №845016</w:t>
      </w:r>
    </w:p>
    <w:p w14:paraId="2EFB9E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удовлетворения потребностей в мотоциклах Дальневосточного фронта прошу Ваших ука</w:t>
      </w:r>
      <w:r w:rsidRPr="00F90EAE">
        <w:rPr>
          <w:color w:val="000000" w:themeColor="text1"/>
          <w:sz w:val="16"/>
          <w:szCs w:val="16"/>
        </w:rPr>
        <w:softHyphen/>
        <w:t>заний об отправке из Америки с ближайшим караваном 250 мотоциклов «Харлей-Давидсон» во Вла</w:t>
      </w:r>
      <w:r w:rsidRPr="00F90EAE">
        <w:rPr>
          <w:color w:val="000000" w:themeColor="text1"/>
          <w:sz w:val="16"/>
          <w:szCs w:val="16"/>
        </w:rPr>
        <w:softHyphen/>
        <w:t>дивостокский порт.</w:t>
      </w:r>
    </w:p>
    <w:p w14:paraId="06017D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генерал-майор инженерно-танковой службы Павловский</w:t>
      </w:r>
    </w:p>
    <w:p w14:paraId="023A55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УБП и БМ ГБТУ КА генерал-майор танковых войск Чернов</w:t>
      </w:r>
    </w:p>
    <w:p w14:paraId="12F884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11358. Д. 412. Л. 2. Копия (11420).</w:t>
      </w:r>
    </w:p>
    <w:p w14:paraId="62F3EC52" w14:textId="77777777" w:rsidR="00C2313B" w:rsidRPr="00F90EAE" w:rsidRDefault="00C2313B" w:rsidP="00F90EAE">
      <w:pPr>
        <w:autoSpaceDE w:val="0"/>
        <w:autoSpaceDN w:val="0"/>
        <w:adjustRightInd w:val="0"/>
        <w:jc w:val="both"/>
        <w:rPr>
          <w:color w:val="000000" w:themeColor="text1"/>
          <w:sz w:val="16"/>
          <w:szCs w:val="16"/>
        </w:rPr>
      </w:pPr>
    </w:p>
    <w:p w14:paraId="42BDF030" w14:textId="77777777" w:rsidR="006F0F05" w:rsidRPr="00F90EAE" w:rsidRDefault="006F0F05" w:rsidP="00F90EAE">
      <w:pPr>
        <w:pStyle w:val="45"/>
        <w:shd w:val="clear" w:color="auto" w:fill="auto"/>
        <w:spacing w:before="0" w:line="240" w:lineRule="auto"/>
        <w:jc w:val="both"/>
        <w:rPr>
          <w:rStyle w:val="4e"/>
          <w:rFonts w:ascii="Times New Roman" w:hAnsi="Times New Roman" w:cs="Times New Roman"/>
          <w:i w:val="0"/>
          <w:color w:val="000000" w:themeColor="text1"/>
          <w:sz w:val="16"/>
          <w:szCs w:val="16"/>
        </w:rPr>
      </w:pPr>
      <w:r w:rsidRPr="00F90EAE">
        <w:rPr>
          <w:rStyle w:val="4e"/>
          <w:rFonts w:ascii="Times New Roman" w:hAnsi="Times New Roman" w:cs="Times New Roman"/>
          <w:i w:val="0"/>
          <w:color w:val="000000" w:themeColor="text1"/>
          <w:sz w:val="16"/>
          <w:szCs w:val="16"/>
        </w:rPr>
        <w:t>20 ян</w:t>
      </w:r>
      <w:r w:rsidRPr="00F90EAE">
        <w:rPr>
          <w:rStyle w:val="4e"/>
          <w:rFonts w:ascii="Times New Roman" w:hAnsi="Times New Roman" w:cs="Times New Roman"/>
          <w:i w:val="0"/>
          <w:color w:val="000000" w:themeColor="text1"/>
          <w:sz w:val="16"/>
          <w:szCs w:val="16"/>
        </w:rPr>
        <w:softHyphen/>
        <w:t>варя 1945 г. заместитель наркома Госконтроля СССР А. Цыпко писал директору ИМЗ А. Макарову:</w:t>
      </w:r>
      <w:r w:rsidRPr="00F90EAE">
        <w:rPr>
          <w:rFonts w:ascii="Times New Roman" w:cs="Times New Roman"/>
          <w:color w:val="000000" w:themeColor="text1"/>
          <w:sz w:val="16"/>
          <w:szCs w:val="16"/>
        </w:rPr>
        <w:t xml:space="preserve"> «Наркомат Государственного Контроля Союза ССР предупреждает Вас, что если Вами не будет наве</w:t>
      </w:r>
      <w:r w:rsidRPr="00F90EAE">
        <w:rPr>
          <w:rFonts w:ascii="Times New Roman" w:cs="Times New Roman"/>
          <w:color w:val="000000" w:themeColor="text1"/>
          <w:sz w:val="16"/>
          <w:szCs w:val="16"/>
        </w:rPr>
        <w:softHyphen/>
        <w:t>ден порядок в организации производства мотоциклов, а также в хране</w:t>
      </w:r>
      <w:r w:rsidRPr="00F90EAE">
        <w:rPr>
          <w:rFonts w:ascii="Times New Roman" w:cs="Times New Roman"/>
          <w:color w:val="000000" w:themeColor="text1"/>
          <w:sz w:val="16"/>
          <w:szCs w:val="16"/>
        </w:rPr>
        <w:softHyphen/>
        <w:t>нии, учете и расходовании материальных ценностей, то Вы будете при</w:t>
      </w:r>
      <w:r w:rsidRPr="00F90EAE">
        <w:rPr>
          <w:rFonts w:ascii="Times New Roman" w:cs="Times New Roman"/>
          <w:color w:val="000000" w:themeColor="text1"/>
          <w:sz w:val="16"/>
          <w:szCs w:val="16"/>
        </w:rPr>
        <w:softHyphen/>
        <w:t>влечены к ответственности».</w:t>
      </w:r>
      <w:r w:rsidRPr="00F90EAE">
        <w:rPr>
          <w:rStyle w:val="4e"/>
          <w:rFonts w:ascii="Times New Roman" w:hAnsi="Times New Roman" w:cs="Times New Roman"/>
          <w:i w:val="0"/>
          <w:color w:val="000000" w:themeColor="text1"/>
          <w:sz w:val="16"/>
          <w:szCs w:val="16"/>
        </w:rPr>
        <w:t xml:space="preserve"> Действительно, неоднократно поднимался вопрос о привлечении руководства заводов и возбуждались дела, но каждый раз установив, что «</w:t>
      </w:r>
      <w:r w:rsidRPr="00F90EAE">
        <w:rPr>
          <w:rFonts w:ascii="Times New Roman" w:cs="Times New Roman"/>
          <w:color w:val="000000" w:themeColor="text1"/>
          <w:sz w:val="16"/>
          <w:szCs w:val="16"/>
        </w:rPr>
        <w:t>плоскости картера кордбки передач вместо шлифовки на станке зачищаются вручную»</w:t>
      </w:r>
      <w:r w:rsidRPr="00F90EAE">
        <w:rPr>
          <w:rStyle w:val="4e"/>
          <w:rFonts w:ascii="Times New Roman" w:hAnsi="Times New Roman" w:cs="Times New Roman"/>
          <w:i w:val="0"/>
          <w:color w:val="000000" w:themeColor="text1"/>
          <w:sz w:val="16"/>
          <w:szCs w:val="16"/>
        </w:rPr>
        <w:t xml:space="preserve"> или что «из</w:t>
      </w:r>
      <w:r w:rsidRPr="00F90EAE">
        <w:rPr>
          <w:rFonts w:ascii="Times New Roman" w:cs="Times New Roman"/>
          <w:color w:val="000000" w:themeColor="text1"/>
          <w:sz w:val="16"/>
          <w:szCs w:val="16"/>
        </w:rPr>
        <w:t xml:space="preserve"> имеющихся 493 штампов 127 требуют замены и 223 капитального ремонта</w:t>
      </w:r>
      <w:r w:rsidRPr="00F90EAE">
        <w:rPr>
          <w:rStyle w:val="4e"/>
          <w:rFonts w:ascii="Times New Roman" w:hAnsi="Times New Roman" w:cs="Times New Roman"/>
          <w:i w:val="0"/>
          <w:color w:val="000000" w:themeColor="text1"/>
          <w:sz w:val="16"/>
          <w:szCs w:val="16"/>
        </w:rPr>
        <w:t>», следовате</w:t>
      </w:r>
      <w:r w:rsidRPr="00F90EAE">
        <w:rPr>
          <w:rStyle w:val="4e"/>
          <w:rFonts w:ascii="Times New Roman" w:hAnsi="Times New Roman" w:cs="Times New Roman"/>
          <w:i w:val="0"/>
          <w:color w:val="000000" w:themeColor="text1"/>
          <w:sz w:val="16"/>
          <w:szCs w:val="16"/>
        </w:rPr>
        <w:softHyphen/>
        <w:t>ли дела прекращали. Заводы действительно делали невозможное в то трудное бремя (15757).</w:t>
      </w:r>
    </w:p>
    <w:p w14:paraId="0BB43895" w14:textId="77777777" w:rsidR="006F0F05" w:rsidRPr="00F90EAE" w:rsidRDefault="006F0F05" w:rsidP="00F90EAE">
      <w:pPr>
        <w:pStyle w:val="aff1"/>
        <w:shd w:val="clear" w:color="auto" w:fill="auto"/>
        <w:spacing w:line="240" w:lineRule="auto"/>
        <w:rPr>
          <w:rFonts w:ascii="Times New Roman" w:hAnsi="Times New Roman" w:cs="Times New Roman"/>
          <w:i w:val="0"/>
          <w:color w:val="000000" w:themeColor="text1"/>
          <w:sz w:val="16"/>
          <w:szCs w:val="16"/>
          <w:lang w:val="ru-RU"/>
        </w:rPr>
      </w:pPr>
      <w:r w:rsidRPr="00F90EAE">
        <w:rPr>
          <w:rFonts w:ascii="Times New Roman" w:hAnsi="Times New Roman" w:cs="Times New Roman"/>
          <w:i w:val="0"/>
          <w:color w:val="000000" w:themeColor="text1"/>
          <w:sz w:val="16"/>
          <w:szCs w:val="16"/>
          <w:lang w:val="ru-RU"/>
        </w:rPr>
        <w:t>Статистика поставки тяжелых мотоциклов М-72 в действующую армию в период войны</w:t>
      </w:r>
    </w:p>
    <w:tbl>
      <w:tblPr>
        <w:tblW w:w="0" w:type="auto"/>
        <w:tblLayout w:type="fixed"/>
        <w:tblCellMar>
          <w:left w:w="10" w:type="dxa"/>
          <w:right w:w="10" w:type="dxa"/>
        </w:tblCellMar>
        <w:tblLook w:val="04A0" w:firstRow="1" w:lastRow="0" w:firstColumn="1" w:lastColumn="0" w:noHBand="0" w:noVBand="1"/>
      </w:tblPr>
      <w:tblGrid>
        <w:gridCol w:w="1920"/>
        <w:gridCol w:w="797"/>
        <w:gridCol w:w="802"/>
        <w:gridCol w:w="797"/>
        <w:gridCol w:w="802"/>
        <w:gridCol w:w="792"/>
        <w:gridCol w:w="806"/>
        <w:gridCol w:w="797"/>
        <w:gridCol w:w="797"/>
        <w:gridCol w:w="1051"/>
        <w:gridCol w:w="1056"/>
      </w:tblGrid>
      <w:tr w:rsidR="00561F31" w:rsidRPr="00F90EAE" w14:paraId="10324978" w14:textId="77777777" w:rsidTr="003D013D">
        <w:trPr>
          <w:trHeight w:val="437"/>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EB6920"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2C9E8F"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1941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7CB94B1"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1941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813FB60"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1942 план</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19F911B"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1942 факт</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18E7CC5"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1943 план</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25561BD"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1943 факт</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0937724"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1944 план</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44E4DA3"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1944 факт</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B052A7A"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За 4 месяца 1945 план</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03B5B81"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1945 факт</w:t>
            </w:r>
          </w:p>
        </w:tc>
      </w:tr>
      <w:tr w:rsidR="00561F31" w:rsidRPr="00F90EAE" w14:paraId="3D3456C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74393FC1"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Таганрогский завод №65</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34FD409"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886401A"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155EF54"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8CB20BD" w14:textId="77777777" w:rsidR="006F0F05" w:rsidRPr="00F90EAE" w:rsidRDefault="006F0F05" w:rsidP="00F90EAE">
            <w:pPr>
              <w:pStyle w:val="182"/>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3B3C77B"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2F884D5" w14:textId="77777777" w:rsidR="006F0F05" w:rsidRPr="00F90EAE" w:rsidRDefault="006F0F05" w:rsidP="00F90EAE">
            <w:pPr>
              <w:pStyle w:val="222"/>
              <w:shd w:val="clear" w:color="auto" w:fill="auto"/>
              <w:spacing w:line="240" w:lineRule="auto"/>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30CE6B3"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0FB3CAA"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21532538"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0DC7988F" w14:textId="77777777" w:rsidR="006F0F05" w:rsidRPr="00F90EAE" w:rsidRDefault="006F0F05" w:rsidP="00F90EAE">
            <w:pPr>
              <w:pStyle w:val="242"/>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r>
      <w:tr w:rsidR="00561F31" w:rsidRPr="00F90EAE" w14:paraId="68128074"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BF2E0CC"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Style w:val="146"/>
                <w:rFonts w:ascii="Times New Roman" w:hAnsi="Times New Roman" w:cs="Times New Roman"/>
                <w:color w:val="000000" w:themeColor="text1"/>
              </w:rPr>
              <w:t>Московский</w:t>
            </w:r>
            <w:r w:rsidRPr="00F90EAE">
              <w:rPr>
                <w:rFonts w:ascii="Times New Roman" w:hAnsi="Times New Roman" w:cs="Times New Roman"/>
                <w:b w:val="0"/>
                <w:color w:val="000000" w:themeColor="text1"/>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FA6C248"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12500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4B782BA2"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1753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C2EB9C5" w14:textId="77777777" w:rsidR="006F0F05" w:rsidRPr="00F90EAE" w:rsidRDefault="006F0F05" w:rsidP="00F90EAE">
            <w:pPr>
              <w:pStyle w:val="203"/>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99A531" w14:textId="77777777" w:rsidR="006F0F05" w:rsidRPr="00F90EAE" w:rsidRDefault="006F0F05" w:rsidP="00F90EAE">
            <w:pPr>
              <w:pStyle w:val="213"/>
              <w:shd w:val="clear" w:color="auto" w:fill="auto"/>
              <w:spacing w:after="0" w:line="240" w:lineRule="auto"/>
              <w:jc w:val="both"/>
              <w:rPr>
                <w:color w:val="000000" w:themeColor="text1"/>
                <w:szCs w:val="16"/>
              </w:rPr>
            </w:pPr>
            <w:r w:rsidRPr="00F90EAE">
              <w:rPr>
                <w:color w:val="000000" w:themeColor="text1"/>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C630E7C" w14:textId="77777777" w:rsidR="006F0F05" w:rsidRPr="00F90EAE" w:rsidRDefault="006F0F05" w:rsidP="00F90EAE">
            <w:pPr>
              <w:pStyle w:val="182"/>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6F2F8209"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9C8F0E"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28C242" w14:textId="77777777" w:rsidR="006F0F05" w:rsidRPr="00F90EAE" w:rsidRDefault="006F0F05" w:rsidP="00F90EAE">
            <w:pPr>
              <w:pStyle w:val="2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4FB14454"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E972926"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r>
      <w:tr w:rsidR="00561F31" w:rsidRPr="00F90EAE" w14:paraId="2B70DC08" w14:textId="77777777" w:rsidTr="003D013D">
        <w:trPr>
          <w:trHeight w:val="24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8D6C054"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Харьковский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19D165B"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13000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126F719C"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233</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8662B43"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62968F04" w14:textId="77777777" w:rsidR="006F0F05" w:rsidRPr="00F90EAE" w:rsidRDefault="006F0F05" w:rsidP="00F90EAE">
            <w:pPr>
              <w:jc w:val="both"/>
              <w:rPr>
                <w:color w:val="000000" w:themeColor="text1"/>
                <w:sz w:val="16"/>
                <w:szCs w:val="16"/>
              </w:rPr>
            </w:pP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4F978F3"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1A1DCB8"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99D3B8A" w14:textId="77777777" w:rsidR="006F0F05" w:rsidRPr="00F90EAE" w:rsidRDefault="006F0F05" w:rsidP="00F90EAE">
            <w:pPr>
              <w:pStyle w:val="203"/>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001D58F"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316A79CF"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CCFD024"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r>
      <w:tr w:rsidR="00561F31" w:rsidRPr="00F90EAE" w14:paraId="27FFEFF2"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3B5E86A" w14:textId="77777777" w:rsidR="006F0F05" w:rsidRPr="00F90EAE" w:rsidRDefault="006F0F05" w:rsidP="00F90EAE">
            <w:pPr>
              <w:pStyle w:val="13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lastRenderedPageBreak/>
              <w:t>Горьковский</w:t>
            </w:r>
            <w:r w:rsidRPr="00F90EAE">
              <w:rPr>
                <w:rStyle w:val="134"/>
                <w:rFonts w:ascii="Times New Roman" w:hAnsi="Times New Roman" w:cs="Times New Roman"/>
                <w:b w:val="0"/>
                <w:color w:val="000000" w:themeColor="text1"/>
              </w:rPr>
              <w:t xml:space="preserve">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14A1E541"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21E4B1AD"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442</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D810320"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3961D531"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1268</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793C8839"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2290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2242E13A"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1126</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AC744E9"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2400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49AB8C7D"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2312</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55397C56"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800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963E2C9"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670</w:t>
            </w:r>
          </w:p>
        </w:tc>
      </w:tr>
      <w:tr w:rsidR="00561F31" w:rsidRPr="00F90EAE" w14:paraId="631E5B6E" w14:textId="77777777" w:rsidTr="003D013D">
        <w:trPr>
          <w:trHeight w:val="235"/>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20A4CFDD"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Ленинградский 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6DC7068F"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7537B69"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28B22E82" w14:textId="77777777" w:rsidR="006F0F05" w:rsidRPr="00F90EAE" w:rsidRDefault="006F0F05" w:rsidP="00F90EAE">
            <w:pPr>
              <w:pStyle w:val="203"/>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AEF004"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03AAB8A"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35D377B1"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0CA3A1BD"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C807A5E"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67E35684"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177AF539"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r>
      <w:tr w:rsidR="00561F31" w:rsidRPr="00F90EAE" w14:paraId="169E3522" w14:textId="77777777" w:rsidTr="003D013D">
        <w:trPr>
          <w:trHeight w:val="250"/>
        </w:trPr>
        <w:tc>
          <w:tcPr>
            <w:tcW w:w="1920" w:type="dxa"/>
            <w:tcBorders>
              <w:top w:val="single" w:sz="4" w:space="0" w:color="auto"/>
              <w:left w:val="single" w:sz="4" w:space="0" w:color="auto"/>
              <w:bottom w:val="single" w:sz="4" w:space="0" w:color="auto"/>
              <w:right w:val="single" w:sz="4" w:space="0" w:color="auto"/>
            </w:tcBorders>
            <w:shd w:val="clear" w:color="auto" w:fill="FFFFFF"/>
          </w:tcPr>
          <w:p w14:paraId="1EA66EFE"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Style w:val="146"/>
                <w:rFonts w:ascii="Times New Roman" w:hAnsi="Times New Roman" w:cs="Times New Roman"/>
                <w:color w:val="000000" w:themeColor="text1"/>
              </w:rPr>
              <w:t>Ирбитский</w:t>
            </w:r>
            <w:r w:rsidRPr="00F90EAE">
              <w:rPr>
                <w:rFonts w:ascii="Times New Roman" w:hAnsi="Times New Roman" w:cs="Times New Roman"/>
                <w:b w:val="0"/>
                <w:color w:val="000000" w:themeColor="text1"/>
              </w:rPr>
              <w:t>мотозавод</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71FCCC8E" w14:textId="77777777" w:rsidR="006F0F05" w:rsidRPr="00F90EAE" w:rsidRDefault="006F0F05" w:rsidP="00F90EAE">
            <w:pPr>
              <w:pStyle w:val="182"/>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0A404BF7" w14:textId="77777777" w:rsidR="006F0F05" w:rsidRPr="00F90EAE" w:rsidRDefault="006F0F05" w:rsidP="00F90EAE">
            <w:pPr>
              <w:jc w:val="both"/>
              <w:rPr>
                <w:color w:val="000000" w:themeColor="text1"/>
                <w:sz w:val="16"/>
                <w:szCs w:val="16"/>
              </w:rPr>
            </w:pPr>
            <w:r w:rsidRPr="00F90EAE">
              <w:rPr>
                <w:color w:val="000000" w:themeColor="text1"/>
                <w:sz w:val="16"/>
                <w:szCs w:val="16"/>
              </w:rPr>
              <w:t>-</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FAEF741"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5000</w:t>
            </w:r>
          </w:p>
        </w:tc>
        <w:tc>
          <w:tcPr>
            <w:tcW w:w="802" w:type="dxa"/>
            <w:tcBorders>
              <w:top w:val="single" w:sz="4" w:space="0" w:color="auto"/>
              <w:left w:val="single" w:sz="4" w:space="0" w:color="auto"/>
              <w:bottom w:val="single" w:sz="4" w:space="0" w:color="auto"/>
              <w:right w:val="single" w:sz="4" w:space="0" w:color="auto"/>
            </w:tcBorders>
            <w:shd w:val="clear" w:color="auto" w:fill="FFFFFF"/>
          </w:tcPr>
          <w:p w14:paraId="56505F1D"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1573</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45DC7F4"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4300</w:t>
            </w:r>
          </w:p>
        </w:tc>
        <w:tc>
          <w:tcPr>
            <w:tcW w:w="806" w:type="dxa"/>
            <w:tcBorders>
              <w:top w:val="single" w:sz="4" w:space="0" w:color="auto"/>
              <w:left w:val="single" w:sz="4" w:space="0" w:color="auto"/>
              <w:bottom w:val="single" w:sz="4" w:space="0" w:color="auto"/>
              <w:right w:val="single" w:sz="4" w:space="0" w:color="auto"/>
            </w:tcBorders>
            <w:shd w:val="clear" w:color="auto" w:fill="FFFFFF"/>
          </w:tcPr>
          <w:p w14:paraId="7CCCD578"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2207</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59266A22"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3600</w:t>
            </w:r>
          </w:p>
        </w:tc>
        <w:tc>
          <w:tcPr>
            <w:tcW w:w="797" w:type="dxa"/>
            <w:tcBorders>
              <w:top w:val="single" w:sz="4" w:space="0" w:color="auto"/>
              <w:left w:val="single" w:sz="4" w:space="0" w:color="auto"/>
              <w:bottom w:val="single" w:sz="4" w:space="0" w:color="auto"/>
              <w:right w:val="single" w:sz="4" w:space="0" w:color="auto"/>
            </w:tcBorders>
            <w:shd w:val="clear" w:color="auto" w:fill="FFFFFF"/>
          </w:tcPr>
          <w:p w14:paraId="31C278D6"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3068</w:t>
            </w:r>
          </w:p>
        </w:tc>
        <w:tc>
          <w:tcPr>
            <w:tcW w:w="1051" w:type="dxa"/>
            <w:tcBorders>
              <w:top w:val="single" w:sz="4" w:space="0" w:color="auto"/>
              <w:left w:val="single" w:sz="4" w:space="0" w:color="auto"/>
              <w:bottom w:val="single" w:sz="4" w:space="0" w:color="auto"/>
              <w:right w:val="single" w:sz="4" w:space="0" w:color="auto"/>
            </w:tcBorders>
            <w:shd w:val="clear" w:color="auto" w:fill="FFFFFF"/>
          </w:tcPr>
          <w:p w14:paraId="0CA28575"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1200</w:t>
            </w:r>
          </w:p>
        </w:tc>
        <w:tc>
          <w:tcPr>
            <w:tcW w:w="1056" w:type="dxa"/>
            <w:tcBorders>
              <w:top w:val="single" w:sz="4" w:space="0" w:color="auto"/>
              <w:left w:val="single" w:sz="4" w:space="0" w:color="auto"/>
              <w:bottom w:val="single" w:sz="4" w:space="0" w:color="auto"/>
              <w:right w:val="single" w:sz="4" w:space="0" w:color="auto"/>
            </w:tcBorders>
            <w:shd w:val="clear" w:color="auto" w:fill="FFFFFF"/>
          </w:tcPr>
          <w:p w14:paraId="51E69991" w14:textId="77777777" w:rsidR="006F0F05" w:rsidRPr="00F90EAE" w:rsidRDefault="006F0F05" w:rsidP="00F90EAE">
            <w:pPr>
              <w:pStyle w:val="145"/>
              <w:shd w:val="clear" w:color="auto" w:fill="auto"/>
              <w:spacing w:line="240" w:lineRule="auto"/>
              <w:jc w:val="both"/>
              <w:rPr>
                <w:rFonts w:ascii="Times New Roman" w:hAnsi="Times New Roman" w:cs="Times New Roman"/>
                <w:b w:val="0"/>
                <w:color w:val="000000" w:themeColor="text1"/>
              </w:rPr>
            </w:pPr>
            <w:r w:rsidRPr="00F90EAE">
              <w:rPr>
                <w:rFonts w:ascii="Times New Roman" w:hAnsi="Times New Roman" w:cs="Times New Roman"/>
                <w:b w:val="0"/>
                <w:color w:val="000000" w:themeColor="text1"/>
              </w:rPr>
              <w:t>925</w:t>
            </w:r>
          </w:p>
        </w:tc>
      </w:tr>
    </w:tbl>
    <w:p w14:paraId="4E690A94" w14:textId="77777777" w:rsidR="006F0F05" w:rsidRPr="00F90EAE" w:rsidRDefault="006F0F05" w:rsidP="00F90EAE">
      <w:pPr>
        <w:jc w:val="both"/>
        <w:rPr>
          <w:color w:val="000000" w:themeColor="text1"/>
          <w:sz w:val="16"/>
          <w:szCs w:val="16"/>
        </w:rPr>
      </w:pPr>
      <w:r w:rsidRPr="00F90EAE">
        <w:rPr>
          <w:color w:val="000000" w:themeColor="text1"/>
          <w:sz w:val="16"/>
          <w:szCs w:val="16"/>
        </w:rPr>
        <w:t>(15757).</w:t>
      </w:r>
    </w:p>
    <w:p w14:paraId="2EC7B692" w14:textId="77777777" w:rsidR="006F0F05" w:rsidRPr="00F90EAE" w:rsidRDefault="006F0F05" w:rsidP="00F90EAE">
      <w:pPr>
        <w:jc w:val="both"/>
        <w:rPr>
          <w:color w:val="000000" w:themeColor="text1"/>
          <w:sz w:val="16"/>
          <w:szCs w:val="16"/>
        </w:rPr>
      </w:pPr>
    </w:p>
    <w:p w14:paraId="3EB3BA9C" w14:textId="77777777" w:rsidR="00670896" w:rsidRPr="00F90EAE" w:rsidRDefault="00670896" w:rsidP="00F90EAE">
      <w:pPr>
        <w:jc w:val="both"/>
        <w:rPr>
          <w:color w:val="000000" w:themeColor="text1"/>
          <w:sz w:val="16"/>
          <w:szCs w:val="16"/>
        </w:rPr>
      </w:pPr>
      <w:r w:rsidRPr="00F90EAE">
        <w:rPr>
          <w:color w:val="000000" w:themeColor="text1"/>
          <w:sz w:val="16"/>
          <w:szCs w:val="16"/>
        </w:rPr>
        <w:t>20 января 1945 г. заместитель наркома Госконтроля СССР А. Цыпко писал директору ИМЗ А. Макарову: «Наркомат Государственного Контроля Союза ССР предупреждает Вас, что если Вами не будет наведен порядок в организации производства мотоциклов, а также в хранении, учете и расходовании материальных ценностей, то Вы будете привлечены к ответственности». Действительно, неоднократно поднимался вопрос о привлечении руководства заводов и возбуждались дела, но каждый раз установив, что «плоскости картера коробки передач вместо шлифовки на станке зачищаются вручную» или что «из имеющихся 493 штампов 127 требуют замены и 223 капитального ремонта», следователи дела прекращали. Заводы действительно делали невозможное в то трудное время. Темпы фактического выпуска М-72 не соответствовали заданным. Дефицит кадров и перебои со снабжением приводили к хроническому недовыполнению плана выпуска продукции и ни за один военный год заданные количественные показатели не были достигнуты. Невыполнение государственного военного задания было основанием для проведения неоднократных расследований уполномоченными инстанциями (19776).</w:t>
      </w:r>
    </w:p>
    <w:p w14:paraId="100AB5A9" w14:textId="77777777" w:rsidR="00670896" w:rsidRPr="00F90EAE" w:rsidRDefault="00670896" w:rsidP="00F90EAE">
      <w:pPr>
        <w:jc w:val="both"/>
        <w:rPr>
          <w:color w:val="000000" w:themeColor="text1"/>
          <w:sz w:val="16"/>
          <w:szCs w:val="16"/>
        </w:rPr>
      </w:pPr>
    </w:p>
    <w:p w14:paraId="05E7D6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Постановление ГКО № 7373 О преимущественном энергоснабжении завода №75 Наркомтанкопрома. РГАНИР, Фонд ГКО, д. 358, лл. 61-62 (11012).</w:t>
      </w:r>
    </w:p>
    <w:p w14:paraId="2A24AE14" w14:textId="77777777" w:rsidR="00C2313B" w:rsidRPr="00F90EAE" w:rsidRDefault="00C2313B" w:rsidP="00F90EAE">
      <w:pPr>
        <w:autoSpaceDE w:val="0"/>
        <w:autoSpaceDN w:val="0"/>
        <w:adjustRightInd w:val="0"/>
        <w:jc w:val="both"/>
        <w:rPr>
          <w:color w:val="000000" w:themeColor="text1"/>
          <w:sz w:val="16"/>
          <w:szCs w:val="16"/>
        </w:rPr>
      </w:pPr>
    </w:p>
    <w:p w14:paraId="5C3704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Постановление ГКО № 7374 О мероприятиях по обеспечению кузнецким углем Казанских, Омских, Игумновской электростанций и Барнаульской ТЭЦ. РГАНИР, Фонд ГКО, д. 358, лл. 63-65 (11012).</w:t>
      </w:r>
    </w:p>
    <w:p w14:paraId="45AD631A" w14:textId="77777777" w:rsidR="00C2313B" w:rsidRPr="00F90EAE" w:rsidRDefault="00C2313B" w:rsidP="00F90EAE">
      <w:pPr>
        <w:autoSpaceDE w:val="0"/>
        <w:autoSpaceDN w:val="0"/>
        <w:adjustRightInd w:val="0"/>
        <w:jc w:val="both"/>
        <w:rPr>
          <w:color w:val="000000" w:themeColor="text1"/>
          <w:sz w:val="16"/>
          <w:szCs w:val="16"/>
        </w:rPr>
      </w:pPr>
    </w:p>
    <w:p w14:paraId="27BFC7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Постановление ГКО № 7375 О мероприятиях по обеспечению углем куйбышевских электростанций. РГАНИР, Фонд ГКО, д. 358, лл. 66-68 (11012).</w:t>
      </w:r>
    </w:p>
    <w:p w14:paraId="036181EF" w14:textId="77777777" w:rsidR="00C2313B" w:rsidRPr="00F90EAE" w:rsidRDefault="00C2313B" w:rsidP="00F90EAE">
      <w:pPr>
        <w:autoSpaceDE w:val="0"/>
        <w:autoSpaceDN w:val="0"/>
        <w:adjustRightInd w:val="0"/>
        <w:jc w:val="both"/>
        <w:rPr>
          <w:color w:val="000000" w:themeColor="text1"/>
          <w:sz w:val="16"/>
          <w:szCs w:val="16"/>
        </w:rPr>
      </w:pPr>
    </w:p>
    <w:p w14:paraId="4EC25B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Постановление ГКО № 7376 О мерах по обеспечению углем электростанций Мосэнерго Наркомата электростанций в январе 1945 г. РГАНИР, Фонд ГКО, д. 358, лл. 69-70 (11012).</w:t>
      </w:r>
    </w:p>
    <w:p w14:paraId="1141227A" w14:textId="77777777" w:rsidR="00C2313B" w:rsidRPr="00F90EAE" w:rsidRDefault="00C2313B" w:rsidP="00F90EAE">
      <w:pPr>
        <w:autoSpaceDE w:val="0"/>
        <w:autoSpaceDN w:val="0"/>
        <w:adjustRightInd w:val="0"/>
        <w:jc w:val="both"/>
        <w:rPr>
          <w:color w:val="000000" w:themeColor="text1"/>
          <w:sz w:val="16"/>
          <w:szCs w:val="16"/>
        </w:rPr>
      </w:pPr>
    </w:p>
    <w:p w14:paraId="0AD45B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Распоряжение ГКО № 7377. О консервации мощностей по производству спецхимикатов и снаряжения химбоеприпасов. РГАНИР, Фонд ГКО, д. 358, лл. 71-72 (11012).</w:t>
      </w:r>
    </w:p>
    <w:p w14:paraId="0FCC7AB2" w14:textId="77777777" w:rsidR="00C2313B" w:rsidRPr="00F90EAE" w:rsidRDefault="00C2313B" w:rsidP="00F90EAE">
      <w:pPr>
        <w:autoSpaceDE w:val="0"/>
        <w:autoSpaceDN w:val="0"/>
        <w:adjustRightInd w:val="0"/>
        <w:jc w:val="both"/>
        <w:rPr>
          <w:color w:val="000000" w:themeColor="text1"/>
          <w:sz w:val="16"/>
          <w:szCs w:val="16"/>
        </w:rPr>
      </w:pPr>
    </w:p>
    <w:p w14:paraId="328BC9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вышло Постановление ГКО № 7378 Об обеспечении цветной металлургии сероуглеродом. РГАНИР, Фонд ГКО, д. 358, лл. 73-74, 75 (11012).</w:t>
      </w:r>
    </w:p>
    <w:p w14:paraId="37BEB867" w14:textId="77777777" w:rsidR="00C2313B" w:rsidRPr="00F90EAE" w:rsidRDefault="00C2313B" w:rsidP="00F90EAE">
      <w:pPr>
        <w:autoSpaceDE w:val="0"/>
        <w:autoSpaceDN w:val="0"/>
        <w:adjustRightInd w:val="0"/>
        <w:jc w:val="both"/>
        <w:rPr>
          <w:color w:val="000000" w:themeColor="text1"/>
          <w:sz w:val="16"/>
          <w:szCs w:val="16"/>
        </w:rPr>
      </w:pPr>
    </w:p>
    <w:p w14:paraId="2AB50D0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января 1945 вышло Распоряжение ГКО № 7379 [О поставках оборудования и строительных материалов для НКГБ в I кв. 1945 г.] (7300, 76-77,78-87).</w:t>
      </w:r>
    </w:p>
    <w:p w14:paraId="7EC1959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393B537" w14:textId="77777777" w:rsidR="00886CF9"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49BDB38" w14:textId="77777777" w:rsidR="00886CF9" w:rsidRPr="00F90EAE" w:rsidRDefault="00886CF9" w:rsidP="00F90EAE">
      <w:pPr>
        <w:autoSpaceDE w:val="0"/>
        <w:autoSpaceDN w:val="0"/>
        <w:adjustRightInd w:val="0"/>
        <w:jc w:val="both"/>
        <w:rPr>
          <w:iCs/>
          <w:color w:val="000000" w:themeColor="text1"/>
          <w:sz w:val="16"/>
          <w:szCs w:val="16"/>
        </w:rPr>
      </w:pPr>
    </w:p>
    <w:p w14:paraId="5A35BDD2" w14:textId="77777777" w:rsidR="00886CF9" w:rsidRPr="00F90EAE" w:rsidRDefault="00886CF9" w:rsidP="00F90EAE">
      <w:pPr>
        <w:jc w:val="both"/>
        <w:rPr>
          <w:color w:val="000000" w:themeColor="text1"/>
          <w:sz w:val="16"/>
          <w:szCs w:val="16"/>
        </w:rPr>
      </w:pPr>
      <w:r w:rsidRPr="00F90EAE">
        <w:rPr>
          <w:bCs/>
          <w:color w:val="000000" w:themeColor="text1"/>
          <w:sz w:val="16"/>
          <w:szCs w:val="16"/>
        </w:rPr>
        <w:t>20 января</w:t>
      </w:r>
      <w:r w:rsidRPr="00F90EAE">
        <w:rPr>
          <w:color w:val="000000" w:themeColor="text1"/>
          <w:sz w:val="16"/>
          <w:szCs w:val="16"/>
        </w:rPr>
        <w:t xml:space="preserve"> в 1945 году оперативная сводка Совинформбюро:</w:t>
      </w:r>
    </w:p>
    <w:p w14:paraId="5AC01042"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3-го Белорусского фронта 20 января штурмом овладели городами Восточной Пруссии Тильзит, Гросс Скайсгиррен, Ауловенен, Жиллен и Каукемен — важными узлами коммуникаций и сильными опорными пунктами обороны немцев на Кенигсбергском направлении, а также с боями заняли более 250 других населённых пунктов, среди которых Каркельн, Рагинг, Скепен, Бриттанин, Рукен, Йургайтшен, Грюнхайде, Штаблякен, Биркенфельде, Куттен, Бибелен, Блумберг, Пройсендорф и железнодорожные станции Помлеттен, Аргекингкен, Верфен, Грюнхайде, Байтчен.</w:t>
      </w:r>
    </w:p>
    <w:p w14:paraId="153C8E31"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овладели на территории Польши городами Хожеле, Яново, Зелюнь, Бежунь, Дробин, Вышогруд, а также с боями заняли более 500 других населённых пунктов, в числе которых Дурляссы, Малехово, Гачиска, Еднорожец, Рембелин, Белявы, Бялуты, Скурпе, Вылязлово, Любовидз, Бруднице, Журомин, Липники, Козебро-Ды, Гура, Воровице, 0ршимово.</w:t>
      </w:r>
    </w:p>
    <w:p w14:paraId="4F27BBF3"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1-го Белорусского фронта в результате стремительного наступления танковых соединений и пехоты 20 января овладели городами Влоцлавек и Бжесьць-Куявски — крупными узлами коммуникаций и опорными пунктами обороны немцев на левом берегу ВислЫ. Одновременно войска фронта, форсировав реку Варта, с боем заняли город Коло. В ходе наступательных боёв за 20 января войска фронта также овладели городами Гомбин, Коваль, Ходеч, Домбровице, Озоркув, Пабянице, Тушин, Ласк и заняли более 1.000 других населённых пунктов.</w:t>
      </w:r>
    </w:p>
    <w:p w14:paraId="4262446D"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овладели городами Видава, Люблинец, Олькуш, Бжеско, а также с боями заняли более 300 других населённых пунктов, среди которых крупные населённые пункты Шерцув, Русец, Осякув, Скомлин, Млыниско, Мелешын, Хотынин, Лубнице, Пшедмосце, Данковице, Лугирадлы, Каминьско, Козегловы, Лазы, Поможаны, Острежница, Боженцин, Щепанув и железнодорожные станции Видава, Русец, Панки, Кулейе, Гербы, Богумиловце, Бядолины.</w:t>
      </w:r>
    </w:p>
    <w:p w14:paraId="4EE7D9B2"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20 января с боем овладели на территории Польши городом Новы Сонч и на территории Чехословакии — городами Прешов, Кошице, Бардева — важными узлами коммуникаций и опорными пунктами обороны немцев, а также с боями заняли более 450 других населённых пунктов, в числе которых крупные населённые пункты Крулювка, Слопнице, Богуша, Берест, Зборов, Клюшов, Великий Шариш, Соливар, Обишовце, Шаца, Великая Ида, Мокранце и Железнодорожные Станции Писажова, Каменка, Бардева, Клюшов, Гертник, Осипов. Словацкая Раславице, Дэмьята, Капушаны, Великий Шариш, Мольдава, Великая Ида, Ханиска, Барца.</w:t>
      </w:r>
    </w:p>
    <w:p w14:paraId="2F97622C" w14:textId="77777777" w:rsidR="00886CF9" w:rsidRPr="00F90EAE" w:rsidRDefault="00886CF9" w:rsidP="00F90EAE">
      <w:pPr>
        <w:jc w:val="both"/>
        <w:rPr>
          <w:color w:val="000000" w:themeColor="text1"/>
          <w:sz w:val="16"/>
          <w:szCs w:val="16"/>
        </w:rPr>
      </w:pPr>
      <w:r w:rsidRPr="00F90EAE">
        <w:rPr>
          <w:color w:val="000000" w:themeColor="text1"/>
          <w:sz w:val="16"/>
          <w:szCs w:val="16"/>
        </w:rPr>
        <w:t>В районе Будапешта наши войска продолжали бои по уничтожению гарнизона противника, окружённого в западной части города (БУДА).</w:t>
      </w:r>
    </w:p>
    <w:p w14:paraId="5D9E0A06" w14:textId="77777777" w:rsidR="00886CF9" w:rsidRPr="00F90EAE" w:rsidRDefault="00886CF9" w:rsidP="00F90EAE">
      <w:pPr>
        <w:jc w:val="both"/>
        <w:rPr>
          <w:color w:val="000000" w:themeColor="text1"/>
          <w:sz w:val="16"/>
          <w:szCs w:val="16"/>
        </w:rPr>
      </w:pPr>
      <w:r w:rsidRPr="00F90EAE">
        <w:rPr>
          <w:color w:val="000000" w:themeColor="text1"/>
          <w:sz w:val="16"/>
          <w:szCs w:val="16"/>
        </w:rPr>
        <w:t>Южнее и юго-восточнее города Секешфехервар наши войска отбивали атаки крупных сил пехоты и танков противника, стремящегося прорваться на восток к реке Дунай.</w:t>
      </w:r>
    </w:p>
    <w:p w14:paraId="12F3726E" w14:textId="77777777" w:rsidR="00886CF9" w:rsidRPr="00F90EAE" w:rsidRDefault="00886CF9" w:rsidP="00F90EAE">
      <w:pPr>
        <w:jc w:val="both"/>
        <w:rPr>
          <w:color w:val="000000" w:themeColor="text1"/>
          <w:sz w:val="16"/>
          <w:szCs w:val="16"/>
        </w:rPr>
      </w:pPr>
      <w:r w:rsidRPr="00F90EAE">
        <w:rPr>
          <w:color w:val="000000" w:themeColor="text1"/>
          <w:sz w:val="16"/>
          <w:szCs w:val="16"/>
        </w:rPr>
        <w:t>По предварительным данным, за время наступательных боёв с 12 по 19 января сего года войска 1-го и 2-го Белорусских и 1-го Украинского фронтов взяли в плен более 25.000 немецких солдат и офицеров и захватили 480 танков и 1.079 орудий. Противник потерял только убитыми более 65.000 солдат и офицеров. За последнее время наши войска в наступательных боях взяли в плен солдат и офицеров, принадлежащих 344, 595, 712-й пехотным и 11-й танковой дивизиям немцев, переброшенных на советско-германский фронт с западного театра военных действий.</w:t>
      </w:r>
    </w:p>
    <w:p w14:paraId="2079AF2B" w14:textId="77777777" w:rsidR="00886CF9" w:rsidRPr="00F90EAE" w:rsidRDefault="00886CF9" w:rsidP="00F90EAE">
      <w:pPr>
        <w:jc w:val="both"/>
        <w:rPr>
          <w:color w:val="000000" w:themeColor="text1"/>
          <w:sz w:val="16"/>
          <w:szCs w:val="16"/>
        </w:rPr>
      </w:pPr>
      <w:r w:rsidRPr="00F90EAE">
        <w:rPr>
          <w:color w:val="000000" w:themeColor="text1"/>
          <w:sz w:val="16"/>
          <w:szCs w:val="16"/>
        </w:rPr>
        <w:t>За 19 января наши войска на всех фронтах подбили и уничтожили 190 немецких танков. В воздушных боях и огнём зенитной артиллерии сбито 46 самолётов противника.</w:t>
      </w:r>
    </w:p>
    <w:p w14:paraId="7741C9DA"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3-го Белорусского фронта продолжали наступление. Опираясь на сильно укреплённые опорные пункты, немцы неоднократно предпринимали яростные контратаки. Они по-прежнему действуют при поддержке большого количества танков и артиллерии. Пленные солдаты и офицеры в один голос говорят, что немецкое командование приказало им погибнуть воем до единого, но не отступать ни на один шаг. Отражая контратаки противника и ломая его сопротивление, советские части после упорных боёв выбили гитлеровцев из города Ауловенен, расположенного в 18 километрах севернее Инстербурга. Наращивая удары по врагу, наши войска разгромили гарнизоны ряда других опорных пунктов и вышли на ближние подступы к городу Тильзит. Части Н-ского соединения ворвались на окраины города и завязали уличные бои. После жестоких схваток советские войска штурмом овладели городом Тильзит — мощным узлом вражеской обороны в Восточной Пруссии. Этот город расположен на левом берегу реки Неман. Тильзит занимает третье место среди городов Восточной Пруссии, уступая по численности населения только Кенигсбергу и Эльбингу.</w:t>
      </w:r>
    </w:p>
    <w:p w14:paraId="31E9AA1B" w14:textId="77777777" w:rsidR="00886CF9" w:rsidRPr="00F90EAE" w:rsidRDefault="00886CF9" w:rsidP="00F90EAE">
      <w:pPr>
        <w:jc w:val="both"/>
        <w:rPr>
          <w:color w:val="000000" w:themeColor="text1"/>
          <w:sz w:val="16"/>
          <w:szCs w:val="16"/>
        </w:rPr>
      </w:pPr>
      <w:r w:rsidRPr="00F90EAE">
        <w:rPr>
          <w:color w:val="000000" w:themeColor="text1"/>
          <w:sz w:val="16"/>
          <w:szCs w:val="16"/>
        </w:rPr>
        <w:t>В ходе боёв войска фронта за день истребили до 4.000 немецких солдат и офицеров. В числе убитых командир 69-й немецкой пехотной дивизии генерал-лейтенант Райн. В течение дня подбито и сожжено 87 немецких танков и самоходных орудий, десятки полевых орудий и миномётов.</w:t>
      </w:r>
    </w:p>
    <w:p w14:paraId="6C2F95AA" w14:textId="77777777" w:rsidR="00886CF9" w:rsidRPr="00F90EAE" w:rsidRDefault="00886CF9" w:rsidP="00F90EAE">
      <w:pPr>
        <w:jc w:val="both"/>
        <w:rPr>
          <w:color w:val="000000" w:themeColor="text1"/>
          <w:sz w:val="16"/>
          <w:szCs w:val="16"/>
        </w:rPr>
      </w:pPr>
      <w:r w:rsidRPr="00F90EAE">
        <w:rPr>
          <w:color w:val="000000" w:themeColor="text1"/>
          <w:sz w:val="16"/>
          <w:szCs w:val="16"/>
        </w:rPr>
        <w:t>Наша авиация активно поддерживала действия наземных войск и наносила удары по живой силе и технике противника, его тылам и коммуникациям. В воздушных боях и огнём зенитной артиллерии сбит 31 немецкий самолёт.</w:t>
      </w:r>
    </w:p>
    <w:p w14:paraId="788D7C03"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2-го Белорусского фронта с боями продвигались вперёд. Западнее города Остроленка части Н-ского соединения очистили от немцев большой лесной массив и к исходу дня овладели городом Яново, расположенным на южной границе Восточной Пруссии. Очищены от немцев также города Хожеле, Зелюнь, Бежунь, Дробин, Вышогруд и более 500 населённых пунктов. В бою за город Дзялдово (Зольдау), занятый вчера нашими войсками, истреблено до полка немецкой пехоты. На станции захвачены трофеи, в числе которых эшелон с танками, 16 паровозов, много вагонов и несколько складов с военным имуществом.</w:t>
      </w:r>
    </w:p>
    <w:p w14:paraId="66DB7699" w14:textId="77777777" w:rsidR="00886CF9" w:rsidRPr="00F90EAE" w:rsidRDefault="00886CF9" w:rsidP="00F90EAE">
      <w:pPr>
        <w:jc w:val="both"/>
        <w:rPr>
          <w:color w:val="000000" w:themeColor="text1"/>
          <w:sz w:val="16"/>
          <w:szCs w:val="16"/>
        </w:rPr>
      </w:pPr>
      <w:r w:rsidRPr="00F90EAE">
        <w:rPr>
          <w:color w:val="000000" w:themeColor="text1"/>
          <w:sz w:val="16"/>
          <w:szCs w:val="16"/>
        </w:rPr>
        <w:t>В городе Дзялдово части Красной Армии освободили из фашистской неволи 15 тысяч советских граждан.</w:t>
      </w:r>
    </w:p>
    <w:p w14:paraId="0C61C100" w14:textId="77777777" w:rsidR="00886CF9" w:rsidRPr="00F90EAE" w:rsidRDefault="00886CF9" w:rsidP="00F90EAE">
      <w:pPr>
        <w:jc w:val="both"/>
        <w:rPr>
          <w:color w:val="000000" w:themeColor="text1"/>
          <w:sz w:val="16"/>
          <w:szCs w:val="16"/>
        </w:rPr>
      </w:pPr>
      <w:r w:rsidRPr="00F90EAE">
        <w:rPr>
          <w:color w:val="000000" w:themeColor="text1"/>
          <w:sz w:val="16"/>
          <w:szCs w:val="16"/>
        </w:rPr>
        <w:t xml:space="preserve">Войска 1-го Белорусского фронта продолжали стремительное наступление. Советские танковые и пехотные соединения продвинулись вперёд на 30 километров и завязали бои за город Влоцлавек. Мощными ударами наши пехотинцы и танкисты сломили сопротивление вражеского гарнизона и овладели городом. Наши войска, </w:t>
      </w:r>
      <w:r w:rsidRPr="00F90EAE">
        <w:rPr>
          <w:color w:val="000000" w:themeColor="text1"/>
          <w:sz w:val="16"/>
          <w:szCs w:val="16"/>
        </w:rPr>
        <w:lastRenderedPageBreak/>
        <w:t>наступающие от города Кутно вдоль шоссейной дороги на Познань, быстро продвигались вперёд, уничтожая немецкие танковые заслоны и остатки отступающих разгромлённых дивизий противника. С хода форсировав реку Варта, советские бойцы завязали бои за узел железных и шоссейных дорог город Коло. Этот город находится в 160 километрах западнее Варшавы. К исходу дня город Коло очищен от немцев. Отступая под ударами советских войск, противник несёт большие потери в живой силе и технике. Захвачены трофеи и много пленных.</w:t>
      </w:r>
    </w:p>
    <w:p w14:paraId="1D35C251"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4-го Украинского фронта развивали наступление. Стремясь надёжнее прикрыть подступы к районам южной Польши и северной Чехословакии, противник на протяжении многих месяцев укреплял свою оборонительную систему в Карпатах. Немцы использовали для обороны выгодные естественные рубежи, ущелья и склоны гор, заболоченные долины и горные реки. Кроме того, гитлеровцы построили много искусственных оборонительных сооружений. Прорвав оборону противника в районе западнее Санок, советские войска окружили город Новы Сонч, расположенный на северных склонах Карпат. В двухдневных боях наши части разгромили немецкий гарнизон и освободили польский город Новы Сонч. На другом участке особенно упорные бои произошли в районе дорог, ведущих к чехословацким городам Кошице и Прешов. Переправившись через реку Тополья, наши войска нанесли противнику ряд фланговых ударов. С боями продвигаясь вперёд по горно-лесистой местности, войска фронта сегодня овладели городами Прешов и Кошице. В городе Прешов захвачено в плен 1.300 немецких солдат и офицеров.</w:t>
      </w:r>
    </w:p>
    <w:p w14:paraId="326C6270"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Войсками 2-го Украинского фронта, как уже сообщалось, закончена ликвидация окружённой группировки противника в восточной части города Будапешта. В боях по очищению от противника восточной половины города (Пешт) захвачены большие трофеи. Только за один день 18 января нашими войсками захвачено у немцев — 64 танка и самоходных орудия, 318 орудий разных калибров, 675 пулемётов, свыше 18 тысяч винтовок и автоматов, а также много различных складов с военным имуществом.» (15015).</w:t>
      </w:r>
    </w:p>
    <w:p w14:paraId="03092155" w14:textId="77777777" w:rsidR="00886CF9" w:rsidRPr="00F90EAE" w:rsidRDefault="00886CF9" w:rsidP="00F90EAE">
      <w:pPr>
        <w:jc w:val="both"/>
        <w:rPr>
          <w:color w:val="000000" w:themeColor="text1"/>
          <w:sz w:val="16"/>
          <w:szCs w:val="16"/>
        </w:rPr>
      </w:pPr>
    </w:p>
    <w:p w14:paraId="105067AA" w14:textId="77777777" w:rsidR="00886CF9" w:rsidRPr="00F90EAE" w:rsidRDefault="00886CF9" w:rsidP="00F90EAE">
      <w:pPr>
        <w:jc w:val="both"/>
        <w:rPr>
          <w:color w:val="000000" w:themeColor="text1"/>
          <w:sz w:val="16"/>
          <w:szCs w:val="16"/>
        </w:rPr>
      </w:pPr>
      <w:r w:rsidRPr="00F90EAE">
        <w:rPr>
          <w:bCs/>
          <w:color w:val="000000" w:themeColor="text1"/>
          <w:sz w:val="16"/>
          <w:szCs w:val="16"/>
        </w:rPr>
        <w:t>20 января</w:t>
      </w:r>
      <w:r w:rsidRPr="00F90EAE">
        <w:rPr>
          <w:color w:val="000000" w:themeColor="text1"/>
          <w:sz w:val="16"/>
          <w:szCs w:val="16"/>
        </w:rPr>
        <w:t xml:space="preserve"> в 1945 году в результате контрудара немецкие войска вышли к Дунаю в районе Дунапентеле и рассекли войска 3-го Украинского фронта на две части (15015).</w:t>
      </w:r>
    </w:p>
    <w:p w14:paraId="77A5978F" w14:textId="77777777" w:rsidR="00886CF9" w:rsidRPr="00F90EAE" w:rsidRDefault="00886CF9" w:rsidP="00F90EAE">
      <w:pPr>
        <w:jc w:val="both"/>
        <w:rPr>
          <w:color w:val="000000" w:themeColor="text1"/>
          <w:sz w:val="16"/>
          <w:szCs w:val="16"/>
        </w:rPr>
      </w:pPr>
    </w:p>
    <w:p w14:paraId="26B43FA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BFA1F43" w14:textId="77777777" w:rsidR="00C2313B" w:rsidRPr="00F90EAE" w:rsidRDefault="00C2313B" w:rsidP="00F90EAE">
      <w:pPr>
        <w:autoSpaceDE w:val="0"/>
        <w:autoSpaceDN w:val="0"/>
        <w:adjustRightInd w:val="0"/>
        <w:jc w:val="both"/>
        <w:rPr>
          <w:iCs/>
          <w:color w:val="000000" w:themeColor="text1"/>
          <w:sz w:val="16"/>
          <w:szCs w:val="16"/>
        </w:rPr>
      </w:pPr>
    </w:p>
    <w:p w14:paraId="758E3F61" w14:textId="77777777" w:rsidR="00886CF9" w:rsidRPr="00F90EAE" w:rsidRDefault="00886CF9" w:rsidP="00F90EAE">
      <w:pPr>
        <w:jc w:val="both"/>
        <w:rPr>
          <w:bCs/>
          <w:color w:val="000000" w:themeColor="text1"/>
          <w:sz w:val="16"/>
          <w:szCs w:val="16"/>
        </w:rPr>
      </w:pPr>
      <w:r w:rsidRPr="00F90EAE">
        <w:rPr>
          <w:bCs/>
          <w:color w:val="000000" w:themeColor="text1"/>
          <w:sz w:val="16"/>
          <w:szCs w:val="16"/>
        </w:rPr>
        <w:t>20 января</w:t>
      </w:r>
      <w:r w:rsidRPr="00F90EAE">
        <w:rPr>
          <w:color w:val="000000" w:themeColor="text1"/>
          <w:sz w:val="16"/>
          <w:szCs w:val="16"/>
        </w:rPr>
        <w:t xml:space="preserve"> в 1945 году компания Nakajima получила от армии Японии заказ на разработку одноразового самолёта для пилотов-камикадзе. Им стал «Ki-115» «Tsurugi» «Меч» - японский специализированный самолёт для камикадзе. </w:t>
      </w:r>
      <w:hyperlink r:id="rId14" w:tgtFrame="_blank" w:history="1">
        <w:r w:rsidRPr="00F90EAE">
          <w:rPr>
            <w:color w:val="000000" w:themeColor="text1"/>
            <w:sz w:val="16"/>
            <w:szCs w:val="16"/>
          </w:rPr>
          <w:t xml:space="preserve">«Ки-115» </w:t>
        </w:r>
      </w:hyperlink>
      <w:r w:rsidRPr="00F90EAE">
        <w:rPr>
          <w:color w:val="000000" w:themeColor="text1"/>
          <w:sz w:val="16"/>
          <w:szCs w:val="16"/>
        </w:rPr>
        <w:t>представлял собой одноместный низкоплан смешанной конструкции. Поскольку требования к самолёту были минимальными — совершить лишь один полёт до цели, конструкция была до предела упрощена и приспособлена к производству низкоквалифицированными рабочими. Фюзеляж самолёта имел стальную конструкцию, в то время как капот двигателя изготавливался из жести. Крыло было целиком изготовлено из стали и дюралюминия, а хвостовое оперение представляло собой обтянутый тканью деревянный каркас. Для упрощения производства даже кабина пилота была выполнена открытой. Шасси самолёта — трёхстоечное, с хвостовым колесом. Поскольку самолёт был рассчитан на полёт только в один конец, шасси после взлёта сбрасывалось. Самолёт был приспособлен для установки различных типов двигателей, в основном устаревших или выработавших свой ресурс, однако на всех выпущенных фирмой Накадзима машинах стояли радиальные 14-цилиндровые двухрядные двигатели воздушного охлаждения «Ха-35» «Ру 23» мощностью 1 150 л.с. Всё вооружение самолёта составляла одна авиабомба весом до 800 кг, которая размещалась под фюзеляжем, частично утапливаясь в нём. Все приборы управления были упрощены до предела, какие-либо средства внешней связи отсутствовали.</w:t>
      </w:r>
    </w:p>
    <w:p w14:paraId="6D2257C2" w14:textId="77777777" w:rsidR="00886CF9" w:rsidRPr="00F90EAE" w:rsidRDefault="00886CF9" w:rsidP="00F90EAE">
      <w:pPr>
        <w:jc w:val="both"/>
        <w:rPr>
          <w:color w:val="000000" w:themeColor="text1"/>
          <w:sz w:val="16"/>
          <w:szCs w:val="16"/>
        </w:rPr>
      </w:pPr>
      <w:r w:rsidRPr="00F90EAE">
        <w:rPr>
          <w:color w:val="000000" w:themeColor="text1"/>
          <w:sz w:val="16"/>
          <w:szCs w:val="16"/>
        </w:rPr>
        <w:t>в 1946 году подал в отставку глава Временного правительства Французской республики, прославленный вождь Сопротивления генерал Шарль де Голль (1890–1970). Это произошло сразу после того, как правительству в острейших дискуссиях удалось добиться компромисса с парламентом относительно госбюджета. Национальный герой заявил: «Моя миссия окончена... Вновь возродился режим политических партий. Я его отвергаю. Но у меня нет средств помешать этому эксперименту, кроме разве установления диктатуры, чего я не желаю и что, несомненно, кончилось бы плохо. Таким образом, мне нужно уйти». Де Голль полагал, что за его возвращение развернется широкая кампания, в результате чего он незамедлительно окажется вновь у власти и умерит амбиции депутатов. Однако его надежды оправдались лишь через 12 лет (15015).</w:t>
      </w:r>
    </w:p>
    <w:p w14:paraId="598DA07E" w14:textId="77777777" w:rsidR="00886CF9" w:rsidRPr="00F90EAE" w:rsidRDefault="00886CF9" w:rsidP="00F90EAE">
      <w:pPr>
        <w:jc w:val="both"/>
        <w:rPr>
          <w:color w:val="000000" w:themeColor="text1"/>
          <w:sz w:val="16"/>
          <w:szCs w:val="16"/>
        </w:rPr>
      </w:pPr>
    </w:p>
    <w:p w14:paraId="2952D4B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января 1945 заключен договор о перемирии между СССР и Венгрией (4962).</w:t>
      </w:r>
    </w:p>
    <w:p w14:paraId="69B7739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DDAD634" w14:textId="77777777" w:rsidR="00886CF9" w:rsidRPr="00F90EAE" w:rsidRDefault="00886CF9" w:rsidP="00F90EAE">
      <w:pPr>
        <w:jc w:val="both"/>
        <w:rPr>
          <w:color w:val="000000" w:themeColor="text1"/>
          <w:sz w:val="16"/>
          <w:szCs w:val="16"/>
        </w:rPr>
      </w:pPr>
      <w:r w:rsidRPr="00F90EAE">
        <w:rPr>
          <w:bCs/>
          <w:color w:val="000000" w:themeColor="text1"/>
          <w:sz w:val="16"/>
          <w:szCs w:val="16"/>
        </w:rPr>
        <w:t>20 января</w:t>
      </w:r>
      <w:r w:rsidRPr="00F90EAE">
        <w:rPr>
          <w:color w:val="000000" w:themeColor="text1"/>
          <w:sz w:val="16"/>
          <w:szCs w:val="16"/>
        </w:rPr>
        <w:t xml:space="preserve"> в 1945 году подписание в Москве соглашения о перемирии между СССР, США и Великобританией с одной стороны и Венгрией - с другой (15015).</w:t>
      </w:r>
    </w:p>
    <w:p w14:paraId="0F585B04" w14:textId="77777777" w:rsidR="00886CF9" w:rsidRPr="00F90EAE" w:rsidRDefault="00886CF9" w:rsidP="00F90EAE">
      <w:pPr>
        <w:jc w:val="both"/>
        <w:rPr>
          <w:color w:val="000000" w:themeColor="text1"/>
          <w:sz w:val="16"/>
          <w:szCs w:val="16"/>
        </w:rPr>
      </w:pPr>
    </w:p>
    <w:p w14:paraId="4BA85E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January 1945 Hungarian armistice (270).</w:t>
      </w:r>
    </w:p>
    <w:p w14:paraId="154E85F6" w14:textId="77777777" w:rsidR="00C2313B" w:rsidRPr="00F90EAE" w:rsidRDefault="00C2313B" w:rsidP="00F90EAE">
      <w:pPr>
        <w:autoSpaceDE w:val="0"/>
        <w:autoSpaceDN w:val="0"/>
        <w:adjustRightInd w:val="0"/>
        <w:jc w:val="both"/>
        <w:rPr>
          <w:color w:val="000000" w:themeColor="text1"/>
          <w:sz w:val="16"/>
          <w:szCs w:val="16"/>
        </w:rPr>
      </w:pPr>
    </w:p>
    <w:p w14:paraId="0075FC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Венгрия подписала перемирие (270) - в лице временного Дебреценского правительства (2248,1).</w:t>
      </w:r>
    </w:p>
    <w:p w14:paraId="495F7F5C" w14:textId="77777777" w:rsidR="00C2313B" w:rsidRPr="00F90EAE" w:rsidRDefault="00C2313B" w:rsidP="00F90EAE">
      <w:pPr>
        <w:autoSpaceDE w:val="0"/>
        <w:autoSpaceDN w:val="0"/>
        <w:adjustRightInd w:val="0"/>
        <w:jc w:val="both"/>
        <w:rPr>
          <w:color w:val="000000" w:themeColor="text1"/>
          <w:sz w:val="16"/>
          <w:szCs w:val="16"/>
        </w:rPr>
      </w:pPr>
    </w:p>
    <w:p w14:paraId="6FA5C4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союзники подписали перемирие с Венгрией (2100).</w:t>
      </w:r>
    </w:p>
    <w:p w14:paraId="457A5810" w14:textId="77777777" w:rsidR="00C2313B" w:rsidRPr="00F90EAE" w:rsidRDefault="00C2313B" w:rsidP="00F90EAE">
      <w:pPr>
        <w:autoSpaceDE w:val="0"/>
        <w:autoSpaceDN w:val="0"/>
        <w:adjustRightInd w:val="0"/>
        <w:jc w:val="both"/>
        <w:rPr>
          <w:color w:val="000000" w:themeColor="text1"/>
          <w:sz w:val="16"/>
          <w:szCs w:val="16"/>
        </w:rPr>
      </w:pPr>
    </w:p>
    <w:p w14:paraId="019134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г. Временное правительство Венгрии, организованное на востоке страны при советской помощи, подписало перемирие с СССР (3871).</w:t>
      </w:r>
    </w:p>
    <w:p w14:paraId="3AA957FF" w14:textId="77777777" w:rsidR="00C2313B" w:rsidRPr="00F90EAE" w:rsidRDefault="00C2313B" w:rsidP="00F90EAE">
      <w:pPr>
        <w:autoSpaceDE w:val="0"/>
        <w:autoSpaceDN w:val="0"/>
        <w:adjustRightInd w:val="0"/>
        <w:jc w:val="both"/>
        <w:rPr>
          <w:color w:val="000000" w:themeColor="text1"/>
          <w:sz w:val="16"/>
          <w:szCs w:val="16"/>
        </w:rPr>
      </w:pPr>
    </w:p>
    <w:p w14:paraId="0DA1A5F0" w14:textId="77777777" w:rsidR="00C2313B"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0D678E08" w14:textId="77777777" w:rsidR="00C2313B" w:rsidRPr="00F90EAE" w:rsidRDefault="00C2313B" w:rsidP="00F90EAE">
      <w:pPr>
        <w:autoSpaceDE w:val="0"/>
        <w:autoSpaceDN w:val="0"/>
        <w:adjustRightInd w:val="0"/>
        <w:jc w:val="both"/>
        <w:rPr>
          <w:iCs/>
          <w:color w:val="000000" w:themeColor="text1"/>
          <w:sz w:val="16"/>
          <w:szCs w:val="16"/>
          <w:lang w:val="en-US"/>
        </w:rPr>
      </w:pPr>
    </w:p>
    <w:p w14:paraId="58C071F7"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On January 20, 1945, LeMay took command of XXI Bomber Command. On the night of March 9-10, without telling Arnold in advance what he was going to do in case it failed, LeMay launched a massive mission -- 334 B-29s - to drop incendiary bombs on Tokyo. It was the most destructive raid in history. The official casualty report listed 83,793 dead and 40,918 wounded. Sixteen square miles of Tokyo were destroyed that night. In Operation Starvation, conducted concurrently with the strategic bombing campaign, the B-29s mined the waters along key stretches of the Japanese coast, cutting off an important mode of domestic transportation as well as the import of food and raw materials.</w:t>
      </w:r>
    </w:p>
    <w:p w14:paraId="69E0FF3F" w14:textId="77777777" w:rsidR="00C2313B" w:rsidRPr="00F90EAE" w:rsidRDefault="00C2313B" w:rsidP="00F90EAE">
      <w:pPr>
        <w:autoSpaceDE w:val="0"/>
        <w:autoSpaceDN w:val="0"/>
        <w:adjustRightInd w:val="0"/>
        <w:jc w:val="both"/>
        <w:rPr>
          <w:color w:val="000000" w:themeColor="text1"/>
          <w:sz w:val="16"/>
          <w:szCs w:val="16"/>
          <w:lang w:val="en-US"/>
        </w:rPr>
      </w:pPr>
    </w:p>
    <w:p w14:paraId="77AD11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334 В-29 бомбили Токио зажигательными бомбами и погибло почти 84 тыс. человек на 16 кв. милях (1090).</w:t>
      </w:r>
    </w:p>
    <w:p w14:paraId="4572AD54" w14:textId="77777777" w:rsidR="00C2313B" w:rsidRPr="00F90EAE" w:rsidRDefault="00C2313B" w:rsidP="00F90EAE">
      <w:pPr>
        <w:autoSpaceDE w:val="0"/>
        <w:autoSpaceDN w:val="0"/>
        <w:adjustRightInd w:val="0"/>
        <w:jc w:val="both"/>
        <w:rPr>
          <w:color w:val="000000" w:themeColor="text1"/>
          <w:sz w:val="16"/>
          <w:szCs w:val="16"/>
        </w:rPr>
      </w:pPr>
    </w:p>
    <w:p w14:paraId="5B70587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Ф.Д.Р. был иннагурирован на 4-й срок (2100).</w:t>
      </w:r>
    </w:p>
    <w:p w14:paraId="7FFF9F9A" w14:textId="77777777" w:rsidR="00C2313B" w:rsidRPr="00F90EAE" w:rsidRDefault="00C2313B" w:rsidP="00F90EAE">
      <w:pPr>
        <w:autoSpaceDE w:val="0"/>
        <w:autoSpaceDN w:val="0"/>
        <w:adjustRightInd w:val="0"/>
        <w:jc w:val="both"/>
        <w:rPr>
          <w:color w:val="000000" w:themeColor="text1"/>
          <w:sz w:val="16"/>
          <w:szCs w:val="16"/>
        </w:rPr>
      </w:pPr>
    </w:p>
    <w:p w14:paraId="0C9AE2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января 1945 года. фирма Накадзима получила официальную заявку командования армейской авиации на специальный штурмовой самолет Ки-115 "Цурюги" (Сабля). В соответствии с этой заявкой требовалось создать простой дешевый самолет для одноразовой самоубийственной атаки вражеского корабля. При этом он должен был быть прост в производстве и пилотировании и нести одну бомбу среднего калибра. Шасси должно быть неубираемым, но скорость при этом в крейсерском режиме должна быть не менее 340 км/час., а в момент атаки при пикировании - не менее 515 км/ час. Для силовой установки предлагалось использовать любой доступный звездообразный двигатель мощностью от 800 до 1300 л.с.</w:t>
      </w:r>
    </w:p>
    <w:p w14:paraId="2CE60B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Эскизная проработка проекта проводилась в Исследовательском институте города Митака совместно с фирмой Ота Сейсакусё (дочерняя фирма корпорации Накадзима), под руководством инженера Аори Кунихара.</w:t>
      </w:r>
    </w:p>
    <w:p w14:paraId="10509F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то, что самолет предполагалось выпускать в маленьких мастерских неквалифицированным персоналом из доступных материалов, крыло сделали вполне современ-ным - из дюралевых сплавов. Вот только площадь его, как выяснилось впоследствии, оказалась маловатой. Первый вариант крыла не имел механизации и предусматривал только элероны.</w:t>
      </w:r>
    </w:p>
    <w:p w14:paraId="7FFFE7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Фюзеляж имел смешанную конструкцию, основу которой составлял каркас, сваренный из стальных труб. Капот двигателя изготавливался из жести, часть фюзеляжа между капотом и кабиной имела дюралевую обшивку, а хвостовой отсек - полотняную. В районе центроплана, снизу, в фюзеляже было углубление, в котором в полуутопленном положении размещалась одна 800 кг бомба. Такое решение снижало сопротивление самолета, но затрудняло процесс подвески оружия, хотя для единственного вылета с этим решили смириться.</w:t>
      </w:r>
    </w:p>
    <w:p w14:paraId="175711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Хвостовое оперение было классической конструкции, состоящее из киля и подкосного стабилизатора, выполненных из дерева с фанерной обшивкой. Рули обшивались полотном.</w:t>
      </w:r>
    </w:p>
    <w:p w14:paraId="024890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середине фюзеляжа размещалась открытая кабина с сидением для пилота-смертника и минимальным набором приборов. Голова пилота закрывалась козырьком и гаргротом, имеющим два прозрачных иллюминатора. В лобовое стек-то был вставлен простейший телескопический прицел, который облегчал наведение самолета на цель в момент атаки.</w:t>
      </w:r>
    </w:p>
    <w:p w14:paraId="34E444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Главная особенность силовой установки состояла в том, что на самолет можно было установить любой, доступный в данный момент двигатель, мощностью не менее 800 л.с. Для этого была спроектирована специальная моторама, имеющая четыре универсальные точки крепления двигателя, однако все построенные самолеты имели один тип двигателя - Накадзима 23 (Ха-35 - армейский тип 99. модель 2). Он представлял собой двухрядную 14-и цилиндровую звезду воздушного охлаждения. взлетной мощностью 1130 л.с. и 960 л.с. на высоте 6000 м. На вал устанавливался трехлопастный металлический винт постоянного шага, диаметром 2.9 м. Топливный бак размещался в фюзеляже над центропланом. Его объем - 450 литров, что должно было обеспечить дальность полета в 1000 - 1200 км.</w:t>
      </w:r>
    </w:p>
    <w:p w14:paraId="342D46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Масляный радиатор трубчатой конструкции в специальном обтекателе крепился снизу справа, между капотом и крылом.</w:t>
      </w:r>
    </w:p>
    <w:p w14:paraId="47EEC1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Шасси было классической схемы и состояло из основных стоек, сбрасываемых сразу после взлета, и хвостового костыля. Первый вариант шасси изготавливался из стальных труб и не имел амортизации и тормозов (4800).</w:t>
      </w:r>
    </w:p>
    <w:p w14:paraId="2D7B86B0" w14:textId="77777777" w:rsidR="00C2313B" w:rsidRPr="00F90EAE" w:rsidRDefault="00C2313B" w:rsidP="00F90EAE">
      <w:pPr>
        <w:autoSpaceDE w:val="0"/>
        <w:autoSpaceDN w:val="0"/>
        <w:adjustRightInd w:val="0"/>
        <w:jc w:val="both"/>
        <w:rPr>
          <w:color w:val="000000" w:themeColor="text1"/>
          <w:sz w:val="16"/>
          <w:szCs w:val="16"/>
        </w:rPr>
      </w:pPr>
    </w:p>
    <w:p w14:paraId="76EAD93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A9CE80E" w14:textId="77777777" w:rsidR="00C2313B" w:rsidRPr="00F90EAE" w:rsidRDefault="00C2313B" w:rsidP="00F90EAE">
      <w:pPr>
        <w:autoSpaceDE w:val="0"/>
        <w:autoSpaceDN w:val="0"/>
        <w:adjustRightInd w:val="0"/>
        <w:jc w:val="both"/>
        <w:rPr>
          <w:iCs/>
          <w:color w:val="000000" w:themeColor="text1"/>
          <w:sz w:val="16"/>
          <w:szCs w:val="16"/>
        </w:rPr>
      </w:pPr>
    </w:p>
    <w:p w14:paraId="607F34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г. в соответствии с приказом НКАП Сухому поручили оснастить Ер-2 дизелями АЧ-31. Заданием предусматривалось, чтобы бомбардировщик с экипажем из пяти человек летал со скоростью до 415 км/ч у земли и 495 км/ч - на высоте 6000 м, его дальность с 2000 кг бомб при нормальном полетном весе была не ниже 2500 км, а при перегрузочном весе с той же нагрузкой - 5000 км (с 1000 кг бомб - 6000 км), бомбовую нагрузку 4000 кг самолет должен был доставлять на расстояние 2500 км. Тем же документом оговаривалось, чтобы Ер-2 мог лететь на одном двигателе при весе 16 000 кг. Разбег при нормальном полетном весе 15 850 кг ограничивался 600 м.</w:t>
      </w:r>
    </w:p>
    <w:p w14:paraId="0B0773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оборонительного вооружения, то в носовой установке сохранялся 12,7-мм пулемет с боезапасом 195 патронов. В верхней установке СЭБ - две 20-мм пушки с общим боекомплектом 400 патронов, а в нижней люковой НЭУ - одно такое же орудие с 200 патронами.</w:t>
      </w:r>
    </w:p>
    <w:p w14:paraId="37D963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предписывалось выпустить на заводские летные испытания к 15 декабря 1945 г. Готовность летного экземпляра Ер-2БМ к январю 1946 г. составила 65%, но его не завершили. Завод № 39 построил 391 самолет Ер-2, последний из них покинул сборочный цех в 1945 г. Выпуск двигателей АЧ-ЗОБ прекратился в том же году. К тому времени в СССР велось копирование американской "летающей крепости" В-29, получившей у нас обозначение Ту-4. Этот самолет по всем параметрам превзошел Ер-2, а освоение его серийного производства позволило поднять отечественную промышленность на качественно новый технологический уровень.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61F31" w:rsidRPr="00F90EAE" w14:paraId="70E1F273" w14:textId="77777777">
        <w:tc>
          <w:tcPr>
            <w:tcW w:w="1868" w:type="dxa"/>
            <w:tcBorders>
              <w:top w:val="single" w:sz="12" w:space="0" w:color="auto"/>
            </w:tcBorders>
          </w:tcPr>
          <w:p w14:paraId="29CDF863"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Borders>
              <w:top w:val="single" w:sz="12" w:space="0" w:color="auto"/>
            </w:tcBorders>
          </w:tcPr>
          <w:p w14:paraId="5DBEBC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868" w:type="dxa"/>
            <w:tcBorders>
              <w:top w:val="single" w:sz="12" w:space="0" w:color="auto"/>
            </w:tcBorders>
          </w:tcPr>
          <w:p w14:paraId="795A8E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868" w:type="dxa"/>
            <w:tcBorders>
              <w:top w:val="single" w:sz="12" w:space="0" w:color="auto"/>
            </w:tcBorders>
          </w:tcPr>
          <w:p w14:paraId="221F4B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868" w:type="dxa"/>
            <w:tcBorders>
              <w:top w:val="single" w:sz="12" w:space="0" w:color="auto"/>
            </w:tcBorders>
          </w:tcPr>
          <w:p w14:paraId="25ABB4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868" w:type="dxa"/>
            <w:tcBorders>
              <w:top w:val="single" w:sz="12" w:space="0" w:color="auto"/>
            </w:tcBorders>
          </w:tcPr>
          <w:p w14:paraId="473FAD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w:t>
            </w:r>
          </w:p>
        </w:tc>
      </w:tr>
      <w:tr w:rsidR="00561F31" w:rsidRPr="00F90EAE" w14:paraId="656B7B63" w14:textId="77777777">
        <w:tc>
          <w:tcPr>
            <w:tcW w:w="1868" w:type="dxa"/>
          </w:tcPr>
          <w:p w14:paraId="271F24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 18 (Воронеж)</w:t>
            </w:r>
          </w:p>
        </w:tc>
        <w:tc>
          <w:tcPr>
            <w:tcW w:w="1868" w:type="dxa"/>
          </w:tcPr>
          <w:p w14:paraId="70D002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1868" w:type="dxa"/>
          </w:tcPr>
          <w:p w14:paraId="76F165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25D191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73DA60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1BB763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FA43595" w14:textId="77777777">
        <w:tc>
          <w:tcPr>
            <w:tcW w:w="1868" w:type="dxa"/>
            <w:tcBorders>
              <w:bottom w:val="single" w:sz="12" w:space="0" w:color="auto"/>
            </w:tcBorders>
          </w:tcPr>
          <w:p w14:paraId="676983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 39 (Иркутск)</w:t>
            </w:r>
          </w:p>
        </w:tc>
        <w:tc>
          <w:tcPr>
            <w:tcW w:w="1868" w:type="dxa"/>
            <w:tcBorders>
              <w:bottom w:val="single" w:sz="12" w:space="0" w:color="auto"/>
            </w:tcBorders>
          </w:tcPr>
          <w:p w14:paraId="55DEB7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Borders>
              <w:bottom w:val="single" w:sz="12" w:space="0" w:color="auto"/>
            </w:tcBorders>
          </w:tcPr>
          <w:p w14:paraId="5C3383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Borders>
              <w:bottom w:val="single" w:sz="12" w:space="0" w:color="auto"/>
            </w:tcBorders>
          </w:tcPr>
          <w:p w14:paraId="3F4398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868" w:type="dxa"/>
            <w:tcBorders>
              <w:bottom w:val="single" w:sz="12" w:space="0" w:color="auto"/>
            </w:tcBorders>
          </w:tcPr>
          <w:p w14:paraId="1F394B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148</w:t>
            </w:r>
          </w:p>
        </w:tc>
        <w:tc>
          <w:tcPr>
            <w:tcW w:w="1868" w:type="dxa"/>
            <w:tcBorders>
              <w:bottom w:val="single" w:sz="12" w:space="0" w:color="auto"/>
            </w:tcBorders>
          </w:tcPr>
          <w:p w14:paraId="741549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241</w:t>
            </w:r>
          </w:p>
        </w:tc>
      </w:tr>
    </w:tbl>
    <w:p w14:paraId="09A87B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семейства самолетов Ер-2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61F31" w:rsidRPr="00F90EAE" w14:paraId="3FE90EE2" w14:textId="77777777">
        <w:tc>
          <w:tcPr>
            <w:tcW w:w="1868" w:type="dxa"/>
            <w:tcBorders>
              <w:top w:val="single" w:sz="12" w:space="0" w:color="auto"/>
            </w:tcBorders>
          </w:tcPr>
          <w:p w14:paraId="1FA45B99"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Borders>
              <w:top w:val="single" w:sz="12" w:space="0" w:color="auto"/>
            </w:tcBorders>
          </w:tcPr>
          <w:p w14:paraId="7F5ACA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ДБ-240</w:t>
            </w:r>
          </w:p>
        </w:tc>
        <w:tc>
          <w:tcPr>
            <w:tcW w:w="1868" w:type="dxa"/>
            <w:tcBorders>
              <w:top w:val="single" w:sz="12" w:space="0" w:color="auto"/>
            </w:tcBorders>
          </w:tcPr>
          <w:p w14:paraId="591D73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1868" w:type="dxa"/>
            <w:tcBorders>
              <w:top w:val="single" w:sz="12" w:space="0" w:color="auto"/>
            </w:tcBorders>
          </w:tcPr>
          <w:p w14:paraId="59D9B2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1868" w:type="dxa"/>
            <w:tcBorders>
              <w:top w:val="single" w:sz="12" w:space="0" w:color="auto"/>
            </w:tcBorders>
          </w:tcPr>
          <w:p w14:paraId="0FB17B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1868" w:type="dxa"/>
            <w:tcBorders>
              <w:top w:val="single" w:sz="12" w:space="0" w:color="auto"/>
            </w:tcBorders>
          </w:tcPr>
          <w:p w14:paraId="26E525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Ер-20Н</w:t>
            </w:r>
          </w:p>
        </w:tc>
      </w:tr>
      <w:tr w:rsidR="00561F31" w:rsidRPr="00F90EAE" w14:paraId="34A7475F" w14:textId="77777777">
        <w:tc>
          <w:tcPr>
            <w:tcW w:w="1868" w:type="dxa"/>
          </w:tcPr>
          <w:p w14:paraId="6AECB7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Двигатели</w:t>
            </w:r>
          </w:p>
        </w:tc>
        <w:tc>
          <w:tcPr>
            <w:tcW w:w="1868" w:type="dxa"/>
          </w:tcPr>
          <w:p w14:paraId="16584E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М-105</w:t>
            </w:r>
          </w:p>
        </w:tc>
        <w:tc>
          <w:tcPr>
            <w:tcW w:w="1868" w:type="dxa"/>
          </w:tcPr>
          <w:p w14:paraId="54BE90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АМ-37</w:t>
            </w:r>
          </w:p>
        </w:tc>
        <w:tc>
          <w:tcPr>
            <w:tcW w:w="1868" w:type="dxa"/>
          </w:tcPr>
          <w:p w14:paraId="2DB06D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868" w:type="dxa"/>
          </w:tcPr>
          <w:p w14:paraId="646D10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c>
          <w:tcPr>
            <w:tcW w:w="1868" w:type="dxa"/>
          </w:tcPr>
          <w:p w14:paraId="4730C2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09D55A70" w14:textId="77777777">
        <w:tc>
          <w:tcPr>
            <w:tcW w:w="1868" w:type="dxa"/>
          </w:tcPr>
          <w:p w14:paraId="1069D9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 л.с.</w:t>
            </w:r>
          </w:p>
        </w:tc>
        <w:tc>
          <w:tcPr>
            <w:tcW w:w="1868" w:type="dxa"/>
          </w:tcPr>
          <w:p w14:paraId="47D4B8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2x1050</w:t>
            </w:r>
          </w:p>
        </w:tc>
        <w:tc>
          <w:tcPr>
            <w:tcW w:w="1868" w:type="dxa"/>
          </w:tcPr>
          <w:p w14:paraId="46B427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2x1400</w:t>
            </w:r>
          </w:p>
        </w:tc>
        <w:tc>
          <w:tcPr>
            <w:tcW w:w="1868" w:type="dxa"/>
          </w:tcPr>
          <w:p w14:paraId="085F4D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2x1500</w:t>
            </w:r>
          </w:p>
        </w:tc>
        <w:tc>
          <w:tcPr>
            <w:tcW w:w="1868" w:type="dxa"/>
          </w:tcPr>
          <w:p w14:paraId="4B3B86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2x1500</w:t>
            </w:r>
          </w:p>
        </w:tc>
        <w:tc>
          <w:tcPr>
            <w:tcW w:w="1868" w:type="dxa"/>
          </w:tcPr>
          <w:p w14:paraId="45B347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2x1500</w:t>
            </w:r>
          </w:p>
        </w:tc>
      </w:tr>
      <w:tr w:rsidR="00561F31" w:rsidRPr="00F90EAE" w14:paraId="3EC2BBA6" w14:textId="77777777">
        <w:tc>
          <w:tcPr>
            <w:tcW w:w="1868" w:type="dxa"/>
          </w:tcPr>
          <w:p w14:paraId="58FB36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1868" w:type="dxa"/>
          </w:tcPr>
          <w:p w14:paraId="3868C4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21,65</w:t>
            </w:r>
          </w:p>
        </w:tc>
        <w:tc>
          <w:tcPr>
            <w:tcW w:w="1868" w:type="dxa"/>
          </w:tcPr>
          <w:p w14:paraId="264521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21,65</w:t>
            </w:r>
          </w:p>
        </w:tc>
        <w:tc>
          <w:tcPr>
            <w:tcW w:w="1868" w:type="dxa"/>
          </w:tcPr>
          <w:p w14:paraId="452709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21,65</w:t>
            </w:r>
          </w:p>
        </w:tc>
        <w:tc>
          <w:tcPr>
            <w:tcW w:w="1868" w:type="dxa"/>
          </w:tcPr>
          <w:p w14:paraId="05961E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23.08</w:t>
            </w:r>
          </w:p>
        </w:tc>
        <w:tc>
          <w:tcPr>
            <w:tcW w:w="1868" w:type="dxa"/>
          </w:tcPr>
          <w:p w14:paraId="6B15CF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23,08</w:t>
            </w:r>
          </w:p>
        </w:tc>
      </w:tr>
      <w:tr w:rsidR="00561F31" w:rsidRPr="00F90EAE" w14:paraId="401EF1EC" w14:textId="77777777">
        <w:tc>
          <w:tcPr>
            <w:tcW w:w="1868" w:type="dxa"/>
          </w:tcPr>
          <w:p w14:paraId="4FA594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868" w:type="dxa"/>
          </w:tcPr>
          <w:p w14:paraId="1E37A6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16,322</w:t>
            </w:r>
          </w:p>
        </w:tc>
        <w:tc>
          <w:tcPr>
            <w:tcW w:w="1868" w:type="dxa"/>
          </w:tcPr>
          <w:p w14:paraId="57EAAE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16,322</w:t>
            </w:r>
          </w:p>
        </w:tc>
        <w:tc>
          <w:tcPr>
            <w:tcW w:w="1868" w:type="dxa"/>
          </w:tcPr>
          <w:p w14:paraId="612E58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16,322</w:t>
            </w:r>
          </w:p>
        </w:tc>
        <w:tc>
          <w:tcPr>
            <w:tcW w:w="1868" w:type="dxa"/>
          </w:tcPr>
          <w:p w14:paraId="4A1768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16,58</w:t>
            </w:r>
          </w:p>
        </w:tc>
        <w:tc>
          <w:tcPr>
            <w:tcW w:w="1868" w:type="dxa"/>
          </w:tcPr>
          <w:p w14:paraId="7F0A10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2DDA2EB6" w14:textId="77777777">
        <w:tc>
          <w:tcPr>
            <w:tcW w:w="1868" w:type="dxa"/>
          </w:tcPr>
          <w:p w14:paraId="7E33AF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w:t>
            </w:r>
          </w:p>
        </w:tc>
        <w:tc>
          <w:tcPr>
            <w:tcW w:w="1868" w:type="dxa"/>
          </w:tcPr>
          <w:p w14:paraId="1FEFB0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72,1</w:t>
            </w:r>
          </w:p>
        </w:tc>
        <w:tc>
          <w:tcPr>
            <w:tcW w:w="1868" w:type="dxa"/>
          </w:tcPr>
          <w:p w14:paraId="495D41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72,1</w:t>
            </w:r>
          </w:p>
        </w:tc>
        <w:tc>
          <w:tcPr>
            <w:tcW w:w="1868" w:type="dxa"/>
          </w:tcPr>
          <w:p w14:paraId="19AB32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72,1</w:t>
            </w:r>
          </w:p>
        </w:tc>
        <w:tc>
          <w:tcPr>
            <w:tcW w:w="1868" w:type="dxa"/>
          </w:tcPr>
          <w:p w14:paraId="57B391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79,06</w:t>
            </w:r>
          </w:p>
        </w:tc>
        <w:tc>
          <w:tcPr>
            <w:tcW w:w="1868" w:type="dxa"/>
          </w:tcPr>
          <w:p w14:paraId="1EE763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79,06</w:t>
            </w:r>
          </w:p>
        </w:tc>
      </w:tr>
      <w:tr w:rsidR="00561F31" w:rsidRPr="00F90EAE" w14:paraId="18FAD2C0" w14:textId="77777777">
        <w:tc>
          <w:tcPr>
            <w:tcW w:w="1868" w:type="dxa"/>
          </w:tcPr>
          <w:p w14:paraId="263EC1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868" w:type="dxa"/>
          </w:tcPr>
          <w:p w14:paraId="50922CFB"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12D47F17"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7D1C4A07"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4150E2FB"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57209B83"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2BC6B4E5" w14:textId="77777777">
        <w:tc>
          <w:tcPr>
            <w:tcW w:w="1868" w:type="dxa"/>
          </w:tcPr>
          <w:p w14:paraId="6973C1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нормальный</w:t>
            </w:r>
          </w:p>
        </w:tc>
        <w:tc>
          <w:tcPr>
            <w:tcW w:w="1868" w:type="dxa"/>
          </w:tcPr>
          <w:p w14:paraId="18CA9D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11 302</w:t>
            </w:r>
          </w:p>
        </w:tc>
        <w:tc>
          <w:tcPr>
            <w:tcW w:w="1868" w:type="dxa"/>
          </w:tcPr>
          <w:p w14:paraId="2FF9E6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12 340</w:t>
            </w:r>
          </w:p>
        </w:tc>
        <w:tc>
          <w:tcPr>
            <w:tcW w:w="1868" w:type="dxa"/>
          </w:tcPr>
          <w:p w14:paraId="210336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13 500</w:t>
            </w:r>
          </w:p>
        </w:tc>
        <w:tc>
          <w:tcPr>
            <w:tcW w:w="1868" w:type="dxa"/>
          </w:tcPr>
          <w:p w14:paraId="134D27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14 850</w:t>
            </w:r>
          </w:p>
        </w:tc>
        <w:tc>
          <w:tcPr>
            <w:tcW w:w="1868" w:type="dxa"/>
          </w:tcPr>
          <w:p w14:paraId="11EF7E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17 600</w:t>
            </w:r>
          </w:p>
        </w:tc>
      </w:tr>
      <w:tr w:rsidR="00561F31" w:rsidRPr="00F90EAE" w14:paraId="477E9ED5" w14:textId="77777777">
        <w:tc>
          <w:tcPr>
            <w:tcW w:w="1868" w:type="dxa"/>
          </w:tcPr>
          <w:p w14:paraId="011687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w:t>
            </w:r>
          </w:p>
        </w:tc>
        <w:tc>
          <w:tcPr>
            <w:tcW w:w="1868" w:type="dxa"/>
          </w:tcPr>
          <w:p w14:paraId="584C25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13 700</w:t>
            </w:r>
          </w:p>
        </w:tc>
        <w:tc>
          <w:tcPr>
            <w:tcW w:w="1868" w:type="dxa"/>
          </w:tcPr>
          <w:p w14:paraId="7C3A53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13 500</w:t>
            </w:r>
          </w:p>
        </w:tc>
        <w:tc>
          <w:tcPr>
            <w:tcW w:w="1868" w:type="dxa"/>
          </w:tcPr>
          <w:p w14:paraId="64A76C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14 780</w:t>
            </w:r>
          </w:p>
        </w:tc>
        <w:tc>
          <w:tcPr>
            <w:tcW w:w="1868" w:type="dxa"/>
          </w:tcPr>
          <w:p w14:paraId="060AC2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18 100</w:t>
            </w:r>
          </w:p>
        </w:tc>
        <w:tc>
          <w:tcPr>
            <w:tcW w:w="1868" w:type="dxa"/>
          </w:tcPr>
          <w:p w14:paraId="65DC17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2114817D" w14:textId="77777777">
        <w:tc>
          <w:tcPr>
            <w:tcW w:w="1868" w:type="dxa"/>
          </w:tcPr>
          <w:p w14:paraId="5FA02B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868" w:type="dxa"/>
          </w:tcPr>
          <w:p w14:paraId="1EB534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7076</w:t>
            </w:r>
          </w:p>
        </w:tc>
        <w:tc>
          <w:tcPr>
            <w:tcW w:w="1868" w:type="dxa"/>
          </w:tcPr>
          <w:p w14:paraId="28A6E5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25B764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079F54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020</w:t>
            </w:r>
          </w:p>
        </w:tc>
        <w:tc>
          <w:tcPr>
            <w:tcW w:w="1868" w:type="dxa"/>
          </w:tcPr>
          <w:p w14:paraId="067066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5737DE68" w14:textId="77777777">
        <w:tc>
          <w:tcPr>
            <w:tcW w:w="1868" w:type="dxa"/>
          </w:tcPr>
          <w:p w14:paraId="2AB861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1868" w:type="dxa"/>
          </w:tcPr>
          <w:p w14:paraId="7E85AFA1"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69AFAD65"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139BE9EA"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5F6970E6"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6B1D1EEA"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A8C8949" w14:textId="77777777">
        <w:tc>
          <w:tcPr>
            <w:tcW w:w="1868" w:type="dxa"/>
          </w:tcPr>
          <w:p w14:paraId="155C2F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нормальный</w:t>
            </w:r>
          </w:p>
        </w:tc>
        <w:tc>
          <w:tcPr>
            <w:tcW w:w="1868" w:type="dxa"/>
          </w:tcPr>
          <w:p w14:paraId="0C879A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2300</w:t>
            </w:r>
          </w:p>
        </w:tc>
        <w:tc>
          <w:tcPr>
            <w:tcW w:w="1868" w:type="dxa"/>
          </w:tcPr>
          <w:p w14:paraId="493D8C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1800</w:t>
            </w:r>
          </w:p>
        </w:tc>
        <w:tc>
          <w:tcPr>
            <w:tcW w:w="1868" w:type="dxa"/>
          </w:tcPr>
          <w:p w14:paraId="594564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5632F7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2100</w:t>
            </w:r>
          </w:p>
        </w:tc>
        <w:tc>
          <w:tcPr>
            <w:tcW w:w="1868" w:type="dxa"/>
          </w:tcPr>
          <w:p w14:paraId="7C5F99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5DC0A273" w14:textId="77777777">
        <w:tc>
          <w:tcPr>
            <w:tcW w:w="1868" w:type="dxa"/>
          </w:tcPr>
          <w:p w14:paraId="7C7BAE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w:t>
            </w:r>
          </w:p>
        </w:tc>
        <w:tc>
          <w:tcPr>
            <w:tcW w:w="1868" w:type="dxa"/>
          </w:tcPr>
          <w:p w14:paraId="2FDD98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4650*</w:t>
            </w:r>
          </w:p>
        </w:tc>
        <w:tc>
          <w:tcPr>
            <w:tcW w:w="1868" w:type="dxa"/>
          </w:tcPr>
          <w:p w14:paraId="633526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2865</w:t>
            </w:r>
          </w:p>
        </w:tc>
        <w:tc>
          <w:tcPr>
            <w:tcW w:w="1868" w:type="dxa"/>
          </w:tcPr>
          <w:p w14:paraId="091DE6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5B1161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4200</w:t>
            </w:r>
          </w:p>
        </w:tc>
        <w:tc>
          <w:tcPr>
            <w:tcW w:w="1868" w:type="dxa"/>
          </w:tcPr>
          <w:p w14:paraId="44DC98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0EE0AAA3" w14:textId="77777777">
        <w:tc>
          <w:tcPr>
            <w:tcW w:w="1868" w:type="dxa"/>
          </w:tcPr>
          <w:p w14:paraId="4224FD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максимальная, км/ч:</w:t>
            </w:r>
          </w:p>
        </w:tc>
        <w:tc>
          <w:tcPr>
            <w:tcW w:w="1868" w:type="dxa"/>
          </w:tcPr>
          <w:p w14:paraId="20119AAA"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5E673423"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38480E63"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3F5CC67B"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65372058"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0B811E32" w14:textId="77777777">
        <w:tc>
          <w:tcPr>
            <w:tcW w:w="1868" w:type="dxa"/>
          </w:tcPr>
          <w:p w14:paraId="5BFEDA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 земли</w:t>
            </w:r>
          </w:p>
        </w:tc>
        <w:tc>
          <w:tcPr>
            <w:tcW w:w="1868" w:type="dxa"/>
          </w:tcPr>
          <w:p w14:paraId="5B0F40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395</w:t>
            </w:r>
          </w:p>
        </w:tc>
        <w:tc>
          <w:tcPr>
            <w:tcW w:w="1868" w:type="dxa"/>
          </w:tcPr>
          <w:p w14:paraId="731EB6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410</w:t>
            </w:r>
          </w:p>
        </w:tc>
        <w:tc>
          <w:tcPr>
            <w:tcW w:w="1868" w:type="dxa"/>
          </w:tcPr>
          <w:p w14:paraId="7C5A7A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36240D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360</w:t>
            </w:r>
          </w:p>
        </w:tc>
        <w:tc>
          <w:tcPr>
            <w:tcW w:w="1868" w:type="dxa"/>
          </w:tcPr>
          <w:p w14:paraId="2030CE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380</w:t>
            </w:r>
          </w:p>
        </w:tc>
      </w:tr>
      <w:tr w:rsidR="00561F31" w:rsidRPr="00F90EAE" w14:paraId="6A0B2BF5" w14:textId="77777777">
        <w:tc>
          <w:tcPr>
            <w:tcW w:w="1868" w:type="dxa"/>
          </w:tcPr>
          <w:p w14:paraId="737021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высоте, м</w:t>
            </w:r>
          </w:p>
        </w:tc>
        <w:tc>
          <w:tcPr>
            <w:tcW w:w="1868" w:type="dxa"/>
          </w:tcPr>
          <w:p w14:paraId="2FC8EE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445/4250</w:t>
            </w:r>
          </w:p>
        </w:tc>
        <w:tc>
          <w:tcPr>
            <w:tcW w:w="1868" w:type="dxa"/>
          </w:tcPr>
          <w:p w14:paraId="4A829D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519/6950</w:t>
            </w:r>
          </w:p>
        </w:tc>
        <w:tc>
          <w:tcPr>
            <w:tcW w:w="1868" w:type="dxa"/>
          </w:tcPr>
          <w:p w14:paraId="0FF3CC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430/6000</w:t>
            </w:r>
          </w:p>
        </w:tc>
        <w:tc>
          <w:tcPr>
            <w:tcW w:w="1868" w:type="dxa"/>
          </w:tcPr>
          <w:p w14:paraId="170B53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420/6000</w:t>
            </w:r>
          </w:p>
        </w:tc>
        <w:tc>
          <w:tcPr>
            <w:tcW w:w="1868" w:type="dxa"/>
          </w:tcPr>
          <w:p w14:paraId="287D4D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485/6000</w:t>
            </w:r>
          </w:p>
        </w:tc>
      </w:tr>
      <w:tr w:rsidR="00561F31" w:rsidRPr="00F90EAE" w14:paraId="1A96909C" w14:textId="77777777">
        <w:tc>
          <w:tcPr>
            <w:tcW w:w="1868" w:type="dxa"/>
          </w:tcPr>
          <w:p w14:paraId="49A23D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868" w:type="dxa"/>
          </w:tcPr>
          <w:p w14:paraId="70204B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7700</w:t>
            </w:r>
          </w:p>
        </w:tc>
        <w:tc>
          <w:tcPr>
            <w:tcW w:w="1868" w:type="dxa"/>
          </w:tcPr>
          <w:p w14:paraId="21FC47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10 700</w:t>
            </w:r>
          </w:p>
        </w:tc>
        <w:tc>
          <w:tcPr>
            <w:tcW w:w="1868" w:type="dxa"/>
          </w:tcPr>
          <w:p w14:paraId="664E3F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6250</w:t>
            </w:r>
          </w:p>
        </w:tc>
        <w:tc>
          <w:tcPr>
            <w:tcW w:w="1868" w:type="dxa"/>
          </w:tcPr>
          <w:p w14:paraId="62F73A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1868" w:type="dxa"/>
          </w:tcPr>
          <w:p w14:paraId="418EB3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55BCA574" w14:textId="77777777">
        <w:tc>
          <w:tcPr>
            <w:tcW w:w="1868" w:type="dxa"/>
          </w:tcPr>
          <w:p w14:paraId="1D365F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868" w:type="dxa"/>
          </w:tcPr>
          <w:p w14:paraId="49E960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17,4</w:t>
            </w:r>
          </w:p>
        </w:tc>
        <w:tc>
          <w:tcPr>
            <w:tcW w:w="1868" w:type="dxa"/>
          </w:tcPr>
          <w:p w14:paraId="191F1C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868" w:type="dxa"/>
          </w:tcPr>
          <w:p w14:paraId="598792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410E26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30,4</w:t>
            </w:r>
          </w:p>
        </w:tc>
        <w:tc>
          <w:tcPr>
            <w:tcW w:w="1868" w:type="dxa"/>
          </w:tcPr>
          <w:p w14:paraId="56ECCE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r w:rsidR="00561F31" w:rsidRPr="00F90EAE" w14:paraId="194E228D" w14:textId="77777777">
        <w:tc>
          <w:tcPr>
            <w:tcW w:w="1868" w:type="dxa"/>
          </w:tcPr>
          <w:p w14:paraId="41242F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Дальность, км:</w:t>
            </w:r>
          </w:p>
        </w:tc>
        <w:tc>
          <w:tcPr>
            <w:tcW w:w="1868" w:type="dxa"/>
          </w:tcPr>
          <w:p w14:paraId="2448C613"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16E37AE8"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2FEECC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1868" w:type="dxa"/>
          </w:tcPr>
          <w:p w14:paraId="77152544" w14:textId="77777777" w:rsidR="00C2313B" w:rsidRPr="00F90EAE" w:rsidRDefault="00C2313B" w:rsidP="00F90EAE">
            <w:pPr>
              <w:autoSpaceDE w:val="0"/>
              <w:autoSpaceDN w:val="0"/>
              <w:adjustRightInd w:val="0"/>
              <w:jc w:val="both"/>
              <w:rPr>
                <w:color w:val="000000" w:themeColor="text1"/>
                <w:sz w:val="16"/>
                <w:szCs w:val="16"/>
              </w:rPr>
            </w:pPr>
          </w:p>
        </w:tc>
        <w:tc>
          <w:tcPr>
            <w:tcW w:w="1868" w:type="dxa"/>
          </w:tcPr>
          <w:p w14:paraId="014398EB"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7FCD656" w14:textId="77777777">
        <w:tc>
          <w:tcPr>
            <w:tcW w:w="1868" w:type="dxa"/>
          </w:tcPr>
          <w:p w14:paraId="659031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бомбовой нагрузкой 1000 кг</w:t>
            </w:r>
          </w:p>
        </w:tc>
        <w:tc>
          <w:tcPr>
            <w:tcW w:w="1868" w:type="dxa"/>
          </w:tcPr>
          <w:p w14:paraId="67B582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39506D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2540</w:t>
            </w:r>
          </w:p>
        </w:tc>
        <w:tc>
          <w:tcPr>
            <w:tcW w:w="1868" w:type="dxa"/>
          </w:tcPr>
          <w:p w14:paraId="5D7AA1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868" w:type="dxa"/>
          </w:tcPr>
          <w:p w14:paraId="4493D4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5250</w:t>
            </w:r>
          </w:p>
        </w:tc>
        <w:tc>
          <w:tcPr>
            <w:tcW w:w="1868" w:type="dxa"/>
          </w:tcPr>
          <w:p w14:paraId="76460A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4540**</w:t>
            </w:r>
          </w:p>
        </w:tc>
      </w:tr>
      <w:tr w:rsidR="00561F31" w:rsidRPr="00F90EAE" w14:paraId="4FF87C9F" w14:textId="77777777">
        <w:tc>
          <w:tcPr>
            <w:tcW w:w="1868" w:type="dxa"/>
          </w:tcPr>
          <w:p w14:paraId="39B788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перегоночная</w:t>
            </w:r>
          </w:p>
        </w:tc>
        <w:tc>
          <w:tcPr>
            <w:tcW w:w="1868" w:type="dxa"/>
          </w:tcPr>
          <w:p w14:paraId="510A8E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4100</w:t>
            </w:r>
          </w:p>
        </w:tc>
        <w:tc>
          <w:tcPr>
            <w:tcW w:w="1868" w:type="dxa"/>
          </w:tcPr>
          <w:p w14:paraId="1D0CAD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0A5A1A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3DAC59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Pr>
          <w:p w14:paraId="180341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5200</w:t>
            </w:r>
          </w:p>
        </w:tc>
      </w:tr>
      <w:tr w:rsidR="00561F31" w:rsidRPr="00F90EAE" w14:paraId="23A1C036" w14:textId="77777777">
        <w:tc>
          <w:tcPr>
            <w:tcW w:w="1868" w:type="dxa"/>
          </w:tcPr>
          <w:p w14:paraId="0AD1CB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Разбег, м</w:t>
            </w:r>
          </w:p>
        </w:tc>
        <w:tc>
          <w:tcPr>
            <w:tcW w:w="1868" w:type="dxa"/>
          </w:tcPr>
          <w:p w14:paraId="2D6ABC5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580</w:t>
            </w:r>
          </w:p>
        </w:tc>
        <w:tc>
          <w:tcPr>
            <w:tcW w:w="1868" w:type="dxa"/>
          </w:tcPr>
          <w:p w14:paraId="72C8C3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625-820</w:t>
            </w:r>
          </w:p>
        </w:tc>
        <w:tc>
          <w:tcPr>
            <w:tcW w:w="1868" w:type="dxa"/>
          </w:tcPr>
          <w:p w14:paraId="1AF57B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780</w:t>
            </w:r>
          </w:p>
        </w:tc>
        <w:tc>
          <w:tcPr>
            <w:tcW w:w="1868" w:type="dxa"/>
          </w:tcPr>
          <w:p w14:paraId="567EA7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665-810</w:t>
            </w:r>
          </w:p>
        </w:tc>
        <w:tc>
          <w:tcPr>
            <w:tcW w:w="1868" w:type="dxa"/>
          </w:tcPr>
          <w:p w14:paraId="53FCC8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1200***</w:t>
            </w:r>
          </w:p>
        </w:tc>
      </w:tr>
      <w:tr w:rsidR="00561F31" w:rsidRPr="00F90EAE" w14:paraId="7AB7036E" w14:textId="77777777">
        <w:tc>
          <w:tcPr>
            <w:tcW w:w="1868" w:type="dxa"/>
            <w:tcBorders>
              <w:bottom w:val="single" w:sz="12" w:space="0" w:color="auto"/>
            </w:tcBorders>
          </w:tcPr>
          <w:p w14:paraId="0F579D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Пробег, м</w:t>
            </w:r>
          </w:p>
        </w:tc>
        <w:tc>
          <w:tcPr>
            <w:tcW w:w="1868" w:type="dxa"/>
            <w:tcBorders>
              <w:bottom w:val="single" w:sz="12" w:space="0" w:color="auto"/>
            </w:tcBorders>
          </w:tcPr>
          <w:p w14:paraId="2F4029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750</w:t>
            </w:r>
          </w:p>
        </w:tc>
        <w:tc>
          <w:tcPr>
            <w:tcW w:w="1868" w:type="dxa"/>
            <w:tcBorders>
              <w:bottom w:val="single" w:sz="12" w:space="0" w:color="auto"/>
            </w:tcBorders>
          </w:tcPr>
          <w:p w14:paraId="4B8CD1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480-670</w:t>
            </w:r>
          </w:p>
        </w:tc>
        <w:tc>
          <w:tcPr>
            <w:tcW w:w="1868" w:type="dxa"/>
            <w:tcBorders>
              <w:bottom w:val="single" w:sz="12" w:space="0" w:color="auto"/>
            </w:tcBorders>
          </w:tcPr>
          <w:p w14:paraId="745E74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c>
          <w:tcPr>
            <w:tcW w:w="1868" w:type="dxa"/>
            <w:tcBorders>
              <w:bottom w:val="single" w:sz="12" w:space="0" w:color="auto"/>
            </w:tcBorders>
          </w:tcPr>
          <w:p w14:paraId="66B1A2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520</w:t>
            </w:r>
          </w:p>
        </w:tc>
        <w:tc>
          <w:tcPr>
            <w:tcW w:w="1868" w:type="dxa"/>
            <w:tcBorders>
              <w:bottom w:val="single" w:sz="12" w:space="0" w:color="auto"/>
            </w:tcBorders>
          </w:tcPr>
          <w:p w14:paraId="47BB62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o</w:t>
            </w:r>
          </w:p>
        </w:tc>
      </w:tr>
    </w:tbl>
    <w:p w14:paraId="5A0B7C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Примечания:</w:t>
      </w:r>
    </w:p>
    <w:p w14:paraId="05B56B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С дополнительным бензобаком.</w:t>
      </w:r>
    </w:p>
    <w:p w14:paraId="1BD90F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 С коммерческой нагрузкой 500 кг.</w:t>
      </w:r>
    </w:p>
    <w:p w14:paraId="713DB8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 * С двигателями А Ч-ЗОБФ - /050 м (11994).</w:t>
      </w:r>
    </w:p>
    <w:p w14:paraId="67CB98C0" w14:textId="77777777" w:rsidR="00C2313B" w:rsidRPr="00F90EAE" w:rsidRDefault="00C2313B" w:rsidP="00F90EAE">
      <w:pPr>
        <w:autoSpaceDE w:val="0"/>
        <w:autoSpaceDN w:val="0"/>
        <w:adjustRightInd w:val="0"/>
        <w:jc w:val="both"/>
        <w:rPr>
          <w:color w:val="000000" w:themeColor="text1"/>
          <w:sz w:val="16"/>
          <w:szCs w:val="16"/>
        </w:rPr>
      </w:pPr>
    </w:p>
    <w:p w14:paraId="08AFF4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года N Н-32/306 зам. командующего ВВС маршалу авиации Худякову С.А.</w:t>
      </w:r>
    </w:p>
    <w:p w14:paraId="6149DB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N 701248</w:t>
      </w:r>
    </w:p>
    <w:p w14:paraId="6970CB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 Вашим письмом о ремонте самолетов Ла-7 выпуска завода N 21 сообщаю:</w:t>
      </w:r>
    </w:p>
    <w:p w14:paraId="2728F8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действующих армиях самолетов Ла-7, требующих усиления лонжеронов центроплана, находится 35 единиц. Не позднее 25 января с.г. в эти армии будут направлены детали и бюллетень для усиления их с таким расчетом, чтобы всю эту работу закончить не позднее 5 февраля 1945 года.</w:t>
      </w:r>
    </w:p>
    <w:p w14:paraId="69C77D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с.г. будут доставлены самолетами усиливающие накладки и бюллетень по ремонту, а также инструктора вместе с рабочими бригадами.</w:t>
      </w:r>
    </w:p>
    <w:p w14:paraId="2518D7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Значительное количество самолетов, требующих ремонта, в количестве 568 единиц, находится на заводе N 21 и во 2-й запасной бригаде. Эти самолеты будут отремонтированы не позднее 15 февраля с.г. Заводом N 21 на ремонт их составлен график из учета окончания работ 15 февраля с.г.</w:t>
      </w:r>
    </w:p>
    <w:p w14:paraId="451001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ставлю Вас в известность, что завод N 21 с 15-й серии, т.е. со 2 декабря 1944 года выпускает самолеты Ла-7 не требующие усиления лонжеронов центроплана и чтоб на 20 января с.г.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(1879,18).</w:t>
      </w:r>
    </w:p>
    <w:p w14:paraId="12268BF6" w14:textId="77777777" w:rsidR="00C2313B" w:rsidRPr="00F90EAE" w:rsidRDefault="00C2313B" w:rsidP="00F90EAE">
      <w:pPr>
        <w:autoSpaceDE w:val="0"/>
        <w:autoSpaceDN w:val="0"/>
        <w:adjustRightInd w:val="0"/>
        <w:jc w:val="both"/>
        <w:rPr>
          <w:color w:val="000000" w:themeColor="text1"/>
          <w:sz w:val="16"/>
          <w:szCs w:val="16"/>
        </w:rPr>
      </w:pPr>
    </w:p>
    <w:p w14:paraId="068DC026" w14:textId="77777777" w:rsidR="003A5F91" w:rsidRPr="00F90EAE" w:rsidRDefault="003A5F91" w:rsidP="00F90EAE">
      <w:pPr>
        <w:jc w:val="both"/>
        <w:rPr>
          <w:color w:val="0070C0"/>
          <w:sz w:val="16"/>
          <w:szCs w:val="16"/>
        </w:rPr>
      </w:pPr>
      <w:r w:rsidRPr="00F90EAE">
        <w:rPr>
          <w:color w:val="0070C0"/>
          <w:sz w:val="16"/>
          <w:szCs w:val="16"/>
        </w:rPr>
        <w:t>21 января 1945 г. Руководство НКАП письмом № Н</w:t>
      </w:r>
      <w:r w:rsidRPr="00F90EAE">
        <w:rPr>
          <w:color w:val="0070C0"/>
          <w:sz w:val="16"/>
          <w:szCs w:val="16"/>
        </w:rPr>
        <w:noBreakHyphen/>
        <w:t>32/306 отчитывалось перед заместителем командующего ВВС С. А. Худяковым: «В связи с Вашим письмом о ремонте самолетов Ла-7 выпуска завода № 21 сообщаю: В действующих армиях самолетов Ла-7, требующих усиления лонжеронов центроплана, находится 35 единиц. Не позднее 25 января с. г. в эти армии будут направлены детали и бюллетень для усиления их с таким расчетом, чтобы всю эту работу закончить не позднее 5 февраля 1945 года. Находящиеся в запасных полках военных округов (ВВС Одесского, Белорусского, Харьковского и Львовского) самолеты Ла-7 в количестве 263 единиц Наркомавиапромом будут отремонтированы не позднее 10 февраля 1945 года, для чего в эти округа не позднее 25 января с. г. будут доставлены самолетами усиливающие накладки и бюллетень по ремонту, а также инструктора вместе с рабочими бригадами. Значительное количество самолетов, требующих ремонта, в количестве 568 единиц, находится на заводе № 21 и во 2-й запасной бригаде. Эти самолеты будут отремонтированы не позднее 15 февраля с. г. Заводом № 21 на ремонт их составлен график из учета окончания работ 15 февраля с. г. Одновременно ставлю Вас в известность, что завод № 21 с 15-й серии, т. е. со 2 декабря 1944 года, выпускает самолеты Ла-7, не требующие усиления лонжеронов центроплана, и что на 20 января с. г. на аэродроме завода имеется 390 единиц. Заводом принимаются меры к тому, чтобы в первую очередь усилить облет этих самолетов, для отправки их в действующую армию». Принятые меры дали результат и к февралю ситуация начала исправляться (22772).</w:t>
      </w:r>
    </w:p>
    <w:p w14:paraId="0711207D" w14:textId="77777777" w:rsidR="003A5F91" w:rsidRPr="00F90EAE" w:rsidRDefault="003A5F91" w:rsidP="00F90EAE">
      <w:pPr>
        <w:jc w:val="both"/>
        <w:rPr>
          <w:color w:val="0070C0"/>
          <w:sz w:val="16"/>
          <w:szCs w:val="16"/>
        </w:rPr>
      </w:pPr>
    </w:p>
    <w:p w14:paraId="6BD40B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закончились гос. испытания Ли-2ВП № 18416602 с доработанными внутренними бомбодержателями, которые проходили с 26 декабря 1944.</w:t>
      </w:r>
    </w:p>
    <w:p w14:paraId="40DB29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Машина была выпущена в сентябре 1944. Турель - с УТК-1.</w:t>
      </w:r>
    </w:p>
    <w:p w14:paraId="32E1F3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Ви и-п В.Я.Магон, вл п/п В.И.Жданов.</w:t>
      </w:r>
    </w:p>
    <w:p w14:paraId="213FC0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заключении отметили, что самолет не м.б. эталоном нб вследствие перетяжеления конструкции и дефектов, но бомбардировочное вооружение рекомендовали к устиановке на серийные машины (3404, 11).</w:t>
      </w:r>
    </w:p>
    <w:p w14:paraId="25B63AA3" w14:textId="77777777" w:rsidR="00C2313B" w:rsidRPr="00F90EAE" w:rsidRDefault="00C2313B" w:rsidP="00F90EAE">
      <w:pPr>
        <w:autoSpaceDE w:val="0"/>
        <w:autoSpaceDN w:val="0"/>
        <w:adjustRightInd w:val="0"/>
        <w:jc w:val="both"/>
        <w:rPr>
          <w:color w:val="000000" w:themeColor="text1"/>
          <w:sz w:val="16"/>
          <w:szCs w:val="16"/>
        </w:rPr>
      </w:pPr>
    </w:p>
    <w:p w14:paraId="5AF4493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8AABB0B" w14:textId="77777777" w:rsidR="00C2313B" w:rsidRPr="00F90EAE" w:rsidRDefault="00C2313B" w:rsidP="00F90EAE">
      <w:pPr>
        <w:autoSpaceDE w:val="0"/>
        <w:autoSpaceDN w:val="0"/>
        <w:adjustRightInd w:val="0"/>
        <w:jc w:val="both"/>
        <w:rPr>
          <w:iCs/>
          <w:color w:val="000000" w:themeColor="text1"/>
          <w:sz w:val="16"/>
          <w:szCs w:val="16"/>
        </w:rPr>
      </w:pPr>
    </w:p>
    <w:p w14:paraId="78D687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вышло Распоряжение ГКО № 7381. О поставках мазута заводу № 172 НКВ. РГАНИР, Фонд ГКО, д. 358, лл. 89 (11012).</w:t>
      </w:r>
    </w:p>
    <w:p w14:paraId="5929CE17" w14:textId="77777777" w:rsidR="00C2313B" w:rsidRPr="00F90EAE" w:rsidRDefault="00C2313B" w:rsidP="00F90EAE">
      <w:pPr>
        <w:autoSpaceDE w:val="0"/>
        <w:autoSpaceDN w:val="0"/>
        <w:adjustRightInd w:val="0"/>
        <w:jc w:val="both"/>
        <w:rPr>
          <w:color w:val="000000" w:themeColor="text1"/>
          <w:sz w:val="16"/>
          <w:szCs w:val="16"/>
        </w:rPr>
      </w:pPr>
    </w:p>
    <w:p w14:paraId="33D422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вышло Распоряжение ГКО № 7382. О мерах по обеспечению комбината №179 НКБ пиломатериалами для изготовления спецукупорки в январе-мае 1945 г. РГАНИР, Фонд ГКО, д. 358, лл. 90-91 (11012).</w:t>
      </w:r>
    </w:p>
    <w:p w14:paraId="6C366993" w14:textId="77777777" w:rsidR="00C2313B" w:rsidRPr="00F90EAE" w:rsidRDefault="00C2313B" w:rsidP="00F90EAE">
      <w:pPr>
        <w:autoSpaceDE w:val="0"/>
        <w:autoSpaceDN w:val="0"/>
        <w:adjustRightInd w:val="0"/>
        <w:jc w:val="both"/>
        <w:rPr>
          <w:color w:val="000000" w:themeColor="text1"/>
          <w:sz w:val="16"/>
          <w:szCs w:val="16"/>
        </w:rPr>
      </w:pPr>
    </w:p>
    <w:p w14:paraId="7E7D23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вышло Постановление ГКО № 7383 О мероприятиях по обеспечению мазутом важнейших заводов НКБ в январе 1945 года. РГАНИР, Фонд ГКО, д. 358, лл. 92-94 (11012).</w:t>
      </w:r>
    </w:p>
    <w:p w14:paraId="21D7970F" w14:textId="77777777" w:rsidR="00C2313B" w:rsidRPr="00F90EAE" w:rsidRDefault="00C2313B" w:rsidP="00F90EAE">
      <w:pPr>
        <w:autoSpaceDE w:val="0"/>
        <w:autoSpaceDN w:val="0"/>
        <w:adjustRightInd w:val="0"/>
        <w:jc w:val="both"/>
        <w:rPr>
          <w:color w:val="000000" w:themeColor="text1"/>
          <w:sz w:val="16"/>
          <w:szCs w:val="16"/>
        </w:rPr>
      </w:pPr>
    </w:p>
    <w:p w14:paraId="66CAE6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вышло Постановление ГКО № 7384 О завозе в I квартале 1945 года горючего и масел для весеннего сева. РГАНИР, Фонд ГКО, д. 358, лл. 95-104 (11012).</w:t>
      </w:r>
    </w:p>
    <w:p w14:paraId="10EE24DF" w14:textId="77777777" w:rsidR="00C2313B" w:rsidRPr="00F90EAE" w:rsidRDefault="00C2313B" w:rsidP="00F90EAE">
      <w:pPr>
        <w:autoSpaceDE w:val="0"/>
        <w:autoSpaceDN w:val="0"/>
        <w:adjustRightInd w:val="0"/>
        <w:jc w:val="both"/>
        <w:rPr>
          <w:color w:val="000000" w:themeColor="text1"/>
          <w:sz w:val="16"/>
          <w:szCs w:val="16"/>
        </w:rPr>
      </w:pPr>
    </w:p>
    <w:p w14:paraId="1B09398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BF0EAED" w14:textId="77777777" w:rsidR="00C2313B" w:rsidRPr="00F90EAE" w:rsidRDefault="00C2313B" w:rsidP="00F90EAE">
      <w:pPr>
        <w:autoSpaceDE w:val="0"/>
        <w:autoSpaceDN w:val="0"/>
        <w:adjustRightInd w:val="0"/>
        <w:jc w:val="both"/>
        <w:rPr>
          <w:iCs/>
          <w:color w:val="000000" w:themeColor="text1"/>
          <w:sz w:val="16"/>
          <w:szCs w:val="16"/>
        </w:rPr>
      </w:pPr>
    </w:p>
    <w:p w14:paraId="74715BBD" w14:textId="77777777" w:rsidR="00886CF9" w:rsidRPr="00F90EAE" w:rsidRDefault="00886CF9" w:rsidP="00F90EAE">
      <w:pPr>
        <w:jc w:val="both"/>
        <w:rPr>
          <w:color w:val="000000" w:themeColor="text1"/>
          <w:sz w:val="16"/>
          <w:szCs w:val="16"/>
        </w:rPr>
      </w:pPr>
      <w:r w:rsidRPr="00F90EAE">
        <w:rPr>
          <w:bCs/>
          <w:color w:val="000000" w:themeColor="text1"/>
          <w:sz w:val="16"/>
          <w:szCs w:val="16"/>
        </w:rPr>
        <w:t>21 января</w:t>
      </w:r>
      <w:r w:rsidRPr="00F90EAE">
        <w:rPr>
          <w:color w:val="000000" w:themeColor="text1"/>
          <w:sz w:val="16"/>
          <w:szCs w:val="16"/>
        </w:rPr>
        <w:t xml:space="preserve"> в 1945 году оперативная сводка Совинформбюро:</w:t>
      </w:r>
    </w:p>
    <w:p w14:paraId="3BD9531A"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3-го Белорусского фронта 21 января штурмом овладели в Восточной Пруссии городом Гумбиннен — важным узлом коммуникаций и сильным опорным пунктом обороны немцев на Кенигсбергском направлении, а также с боями заняли более 200 других населённых пунктов, среди которых Альт Лаппинен, Зекенбург, Таве, Гильге, Шенкендорф, Гросс Фридрихсдорф, Гросс Гирратишкен, Меляукен, Попелькен, Патимберн, Падройен, Куббельн, Кутткунен, Вилькен, Йукнишкен, Кенигсфельде, Гавайтен, Плавишкен и железнодорожные станции Мюленау, Меляукен, Буххов.</w:t>
      </w:r>
    </w:p>
    <w:p w14:paraId="1B55E696"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2-го Белорусского фронта прорвали сильно укреплённую оборону немцев на южной границе Восточной Пруссии, вторглись в её пределы на 25 километров в глубину и 80 километров по фронту и 21 января овладели городами Найденбург, Танненберг, Едвабно и Аллендорф — важными опорными пунктами обороны немцев, а также с боями заняли более 150 других населённых пунктов, в числе которых Фламберг, Гросс Данкхайм, Рокласс, Демьовитц, Шуттшен, Кальтенборн, Гутфельд, Ронцкен, Скоттау, Хеезелихт и железнодорожные станции Гросс Данкхайм, Пухалловен, Мушакен, Грюнфлисс, Гросс Козла. Одновременно войска фронта овладели на территории Польши городами Лидзбарк (Лаутенбург), Любава, Нове-Място, Серпц и Плоцк, а также с боями заняли более 450 других населённых пунктов, среди которых крупные населённые пункты Уздау (Уздово), Гралево, Вомперск, Слуп, Лютоцин, Бяласы, Бялышево, Гоздово, Бельсн, Цяхцин и железнодорожные станции Плосница, Гоздово.</w:t>
      </w:r>
    </w:p>
    <w:p w14:paraId="497BCFAC"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1-го Белорусского фронта, продолжая развивать наступление, овладели городами Радзеюз, Сомпольно, Дембе, Унейув, Поддембице, Шаден, Здунь-Ска Воля, а также с боями заняли более 600 других населённых пунктов; среди них — Служево, Пшисек, Брдув, Клодава, Джевце, Чепувдольны, Люболя, Бжег, Камионач, Возники и железнодорожные станции Хоценске, Ходеч, Ка-Менна, Островы, Тужинув, Барлоги, Дембе, Ядвисин, Балджихув, Оток, Шадек.</w:t>
      </w:r>
    </w:p>
    <w:p w14:paraId="2DDAE8C1"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1-го Украинского фронта, наступая к западу от Ченстохова, прорвали сильно укреплённую оборону немцев на юго-восточной границе Германии, вторглись в пределы немецкой Силезии на 30 километров в глубину и 90 километров по фронту и 21 января овладели городами Крайцбург, Розенберг, Питшен, Ландсберг, Гуттентаг — важными узлами коммуникаций и сильными опорными пунктами обороны немцев, прикрывающими пути на Бреслау, а также с боями заняли на территории Германии более 250 других населённых пунктов, в том числе крупные населённые пункты Райнерсдорф, Якобсдорф, Шенвальд, Людвигс-Дорф, Банкау, Тейхфельде, Кирхвальде, Радау, Ферендорф, Баххейден и железнодорожные станции Костау, Бишдорф, Шенвальд, Банкау, Широка, Чашнау. Одновременно войска фронта овладели на территории Польши городами Злочев, Верушув, Заверце, Севеш, Бохня, а также с боями заняли более 200 других населённых пунктов, среди которых крупные населенные пункты Вышанов, Сьвиба, Ляски, Косенцин, Возьники, Брудзовице, Зомбковице, Слабнув, Старчинув, Мысьляховице, Бродла. Тынец, Дзевин и железнодорожные станции Сьвиба, Ленка, Косенцин, Штальхаммер, Зомбковице, Дульова.</w:t>
      </w:r>
    </w:p>
    <w:p w14:paraId="422003D6" w14:textId="77777777" w:rsidR="00886CF9" w:rsidRPr="00F90EAE" w:rsidRDefault="00886CF9" w:rsidP="00F90EAE">
      <w:pPr>
        <w:jc w:val="both"/>
        <w:rPr>
          <w:color w:val="000000" w:themeColor="text1"/>
          <w:sz w:val="16"/>
          <w:szCs w:val="16"/>
        </w:rPr>
      </w:pPr>
      <w:r w:rsidRPr="00F90EAE">
        <w:rPr>
          <w:color w:val="000000" w:themeColor="text1"/>
          <w:sz w:val="16"/>
          <w:szCs w:val="16"/>
        </w:rPr>
        <w:t>Юго-восточнее Кракова наши войска с боями заняли на территории Польши более 60 населённых пунктов, в числе которых крупные населённые пункты Зренчице, Рацеховице, Висьнева, Касина Белька, Юркув-Дольны, Лабова, Тылич, Крыница и железнодорожные станции Тымбарок, Касина Велька.</w:t>
      </w:r>
    </w:p>
    <w:p w14:paraId="61400CC5" w14:textId="77777777" w:rsidR="00886CF9" w:rsidRPr="00F90EAE" w:rsidRDefault="00886CF9" w:rsidP="00F90EAE">
      <w:pPr>
        <w:jc w:val="both"/>
        <w:rPr>
          <w:color w:val="000000" w:themeColor="text1"/>
          <w:sz w:val="16"/>
          <w:szCs w:val="16"/>
        </w:rPr>
      </w:pPr>
      <w:r w:rsidRPr="00F90EAE">
        <w:rPr>
          <w:color w:val="000000" w:themeColor="text1"/>
          <w:sz w:val="16"/>
          <w:szCs w:val="16"/>
        </w:rPr>
        <w:t>На территории Чехословакии северо-западнее Кошице наши войска овладели населенными пунктами Лютина, Сабинов, Широке, Грабков, Клембарок, Нижний Тейкеш.</w:t>
      </w:r>
    </w:p>
    <w:p w14:paraId="7136CE36" w14:textId="77777777" w:rsidR="00886CF9" w:rsidRPr="00F90EAE" w:rsidRDefault="00886CF9"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гарнизона противника, окружённого в западной части города (Буда).</w:t>
      </w:r>
    </w:p>
    <w:p w14:paraId="5E91D5FE" w14:textId="77777777" w:rsidR="00886CF9" w:rsidRPr="00F90EAE" w:rsidRDefault="00886CF9" w:rsidP="00F90EAE">
      <w:pPr>
        <w:jc w:val="both"/>
        <w:rPr>
          <w:color w:val="000000" w:themeColor="text1"/>
          <w:sz w:val="16"/>
          <w:szCs w:val="16"/>
        </w:rPr>
      </w:pPr>
      <w:r w:rsidRPr="00F90EAE">
        <w:rPr>
          <w:color w:val="000000" w:themeColor="text1"/>
          <w:sz w:val="16"/>
          <w:szCs w:val="16"/>
        </w:rPr>
        <w:t>Южнее и юго-восточнее города Секешфехервар атаки крупных сил пехоты и танков противника были отбиты нашими войсками с большими для противника потерями.</w:t>
      </w:r>
    </w:p>
    <w:p w14:paraId="1BCB4C2A" w14:textId="77777777" w:rsidR="00886CF9" w:rsidRPr="00F90EAE" w:rsidRDefault="00886CF9" w:rsidP="00F90EAE">
      <w:pPr>
        <w:jc w:val="both"/>
        <w:rPr>
          <w:color w:val="000000" w:themeColor="text1"/>
          <w:sz w:val="16"/>
          <w:szCs w:val="16"/>
        </w:rPr>
      </w:pPr>
      <w:r w:rsidRPr="00F90EAE">
        <w:rPr>
          <w:color w:val="000000" w:themeColor="text1"/>
          <w:sz w:val="16"/>
          <w:szCs w:val="16"/>
        </w:rPr>
        <w:t>За 20 января наши войска на всех фронтах подбили и уничтожили 177 немецких танков. В воздушных боях и огнём зенитной артиллерии сбит 71 самолёт противника.</w:t>
      </w:r>
    </w:p>
    <w:p w14:paraId="6135A765"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3-го Белорусского фронта продолжали наступление на Кенигсбергском направлении. Советские танковые и пехотные соединения при поддержке массированных ударов артиллерии и авиации взломали вражескую оборону и завязали бои за город Гумбиннен. Немцы десятки раз бросались в контратаки. Они пытались во что бы то ни стало задержать наступающие советские части. Отбрасывая противника, перемалывая его живую силу и технику, наши войска ворвались на окраины города. Гитлеровцы сопротивлялись с небывалым ожесточением. Они превратили каждый дом в огневую точку. Из окон подвалов и пробитых в углах домов амбразур немцы вели интенсивный орудийный и пулемётный огонь. Каждый дом приходилось брать с боя. Сегодня к утру наши войска полностью овладели городом Гумбиннен — сильным опорным пунктом обороны немцев в Восточной Пруссии. Подступы к городу и его улицы завалены вражескими трупами. В течение дня войска фронта уничтожили до 3.000 солдат и офицеров противника. Взято в плен более 500 немцев.</w:t>
      </w:r>
    </w:p>
    <w:p w14:paraId="6263BA1C"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Севернее города Млава наши танкисты и пехотинцы прорвали оборону немцев, пересекли польско-немецкую границу и вторглись в пределы Восточной Пруссии. Преодолевая яростное сопротивление врага, советские части ворвались в город Найденбург. Немецкий гарнизон, оказавший отчаянное сопротивление, в большей своей части уничтожен. По заявлению пленных, командиры немецких частей имели строжайший приказ удержать город, не считаясь ни с какими потерями. Офицеры были предупреждены, что, в случае сдачи города, они вместе со своими подразделениями будут преданы военно-полевому суду. Однако никакие угрозы немецкого командования не помогли. Наши войска разгромили противника и овладели городом Найденбург. В городе захвачены большие трофеи, в том числе склады с военным имуществом. Войсками фронта взят также город Танненберг. Около этого города в 1410 году произошло историческое сражение, в котором объединённые силы русских, поляков и литовцев наголову разбили немецких тевтонских рыцарей.</w:t>
      </w:r>
    </w:p>
    <w:p w14:paraId="26E7BE02" w14:textId="77777777" w:rsidR="00886CF9" w:rsidRPr="00F90EAE" w:rsidRDefault="00886CF9" w:rsidP="00F90EAE">
      <w:pPr>
        <w:jc w:val="both"/>
        <w:rPr>
          <w:color w:val="000000" w:themeColor="text1"/>
          <w:sz w:val="16"/>
          <w:szCs w:val="16"/>
        </w:rPr>
      </w:pPr>
      <w:r w:rsidRPr="00F90EAE">
        <w:rPr>
          <w:color w:val="000000" w:themeColor="text1"/>
          <w:sz w:val="16"/>
          <w:szCs w:val="16"/>
        </w:rPr>
        <w:t>Советские части, наступающие по северному берегу реки Висла, продвинулись вперёд на 30 километров и с боями овладели городом Плоцк — важным опорным пунктом вражеской обороны. Умело маневрируя, наши подвижные части выходят на пути отхода немцев, громят их отступающие колонны, захватывают склады и тыловые базы. По предварительным данным, войска фронта в течение дня захватили у немцев 18 танков, 70 полевых орудий, 200 автомашин, 12 паровозов, 500 вагонов и 40 складов с военным имуществом.</w:t>
      </w:r>
    </w:p>
    <w:p w14:paraId="2371138B" w14:textId="77777777" w:rsidR="00886CF9" w:rsidRPr="00F90EAE" w:rsidRDefault="00886CF9" w:rsidP="00F90EAE">
      <w:pPr>
        <w:jc w:val="both"/>
        <w:rPr>
          <w:color w:val="000000" w:themeColor="text1"/>
          <w:sz w:val="16"/>
          <w:szCs w:val="16"/>
        </w:rPr>
      </w:pPr>
      <w:r w:rsidRPr="00F90EAE">
        <w:rPr>
          <w:color w:val="000000" w:themeColor="text1"/>
          <w:sz w:val="16"/>
          <w:szCs w:val="16"/>
        </w:rPr>
        <w:t>Войска 1-го Украинского фронта развивали стремительное наступление. Западнее города Ченстохова наши танковые, моторизованные и пехотные соединения на широком фронте перешли польско-немецкую границу и вторглись на территорию немецкой Силезии. В пограничной полосе немцы заблаговременно построили укрепления. Вдоль автомобильных дорог, идущих от границы к крупнейшему центру Силезии—городу Бреслау, сооружены железобетонные доты с бронированными колпаками, имеющие по шесть амбразур и приспособленные для кругового обстрела. Немцы бросают в бой все имеющиеся у них силы. Они пытаются ценой огромных жертв задержать советские войска и не допустить их в глубь Силезии — этого важнейшего промышленного района Германии. Сокрушая оборону противника и отбрасывая его на запад, наши войска с боями заняли на территории Германии города Крайцбург, Питшен, Ландсберг, Розенберг, Гуттентаг и свыше 250 других населённых пунктов. Город Крайцбург расположен в 65 километрах северо-западнее Ченстохова.</w:t>
      </w:r>
    </w:p>
    <w:p w14:paraId="4407738B" w14:textId="77777777" w:rsidR="00886CF9" w:rsidRPr="00F90EAE" w:rsidRDefault="00886CF9" w:rsidP="00F90EAE">
      <w:pPr>
        <w:jc w:val="both"/>
        <w:rPr>
          <w:color w:val="000000" w:themeColor="text1"/>
          <w:sz w:val="16"/>
          <w:szCs w:val="16"/>
        </w:rPr>
      </w:pPr>
      <w:r w:rsidRPr="00F90EAE">
        <w:rPr>
          <w:color w:val="000000" w:themeColor="text1"/>
          <w:sz w:val="16"/>
          <w:szCs w:val="16"/>
        </w:rPr>
        <w:t>В ходе боёв противник несёт исключительно большие потери. В одном районе при ликвидации окружённой группы немецких войск уничтожено 3.200 гитлеровцев. Захвачено у немцев несколько сот орудий и миномётов и более двух тысяч автомашин. Взято в плен 4.000 солдат и офицеров противника.» (15016).</w:t>
      </w:r>
    </w:p>
    <w:p w14:paraId="6CE8703D" w14:textId="77777777" w:rsidR="00886CF9" w:rsidRPr="00F90EAE" w:rsidRDefault="00886CF9" w:rsidP="00F90EAE">
      <w:pPr>
        <w:jc w:val="both"/>
        <w:rPr>
          <w:color w:val="000000" w:themeColor="text1"/>
          <w:sz w:val="16"/>
          <w:szCs w:val="16"/>
        </w:rPr>
      </w:pPr>
    </w:p>
    <w:p w14:paraId="2C26BE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января 1945 первый эшелон 78 гшап в составе 20 Ил-2 и 11 Ил-10 смог вылететь к месту назначе</w:t>
      </w:r>
      <w:r w:rsidRPr="00F90EAE">
        <w:rPr>
          <w:color w:val="000000" w:themeColor="text1"/>
          <w:sz w:val="16"/>
          <w:szCs w:val="16"/>
        </w:rPr>
        <w:softHyphen/>
        <w:t>ния. Второй эшелон - 10 экипажей на Ил-10 - отправился на фронт на следу</w:t>
      </w:r>
      <w:r w:rsidRPr="00F90EAE">
        <w:rPr>
          <w:color w:val="000000" w:themeColor="text1"/>
          <w:sz w:val="16"/>
          <w:szCs w:val="16"/>
        </w:rPr>
        <w:softHyphen/>
        <w:t>ющий день. Фактически 78-й полк был не готов к боевым действиям на новом штурмови</w:t>
      </w:r>
      <w:r w:rsidRPr="00F90EAE">
        <w:rPr>
          <w:color w:val="000000" w:themeColor="text1"/>
          <w:sz w:val="16"/>
          <w:szCs w:val="16"/>
        </w:rPr>
        <w:softHyphen/>
        <w:t>ке. В то же время тот летный состав, ко</w:t>
      </w:r>
      <w:r w:rsidRPr="00F90EAE">
        <w:rPr>
          <w:color w:val="000000" w:themeColor="text1"/>
          <w:sz w:val="16"/>
          <w:szCs w:val="16"/>
        </w:rPr>
        <w:softHyphen/>
        <w:t>торый прибыл с передовой на переучи</w:t>
      </w:r>
      <w:r w:rsidRPr="00F90EAE">
        <w:rPr>
          <w:color w:val="000000" w:themeColor="text1"/>
          <w:sz w:val="16"/>
          <w:szCs w:val="16"/>
        </w:rPr>
        <w:softHyphen/>
        <w:t>вание, имел солидный боевой опыт. Не</w:t>
      </w:r>
      <w:r w:rsidRPr="00F90EAE">
        <w:rPr>
          <w:color w:val="000000" w:themeColor="text1"/>
          <w:sz w:val="16"/>
          <w:szCs w:val="16"/>
        </w:rPr>
        <w:softHyphen/>
        <w:t>плохо были подготовлены и молодые пилоты, но на Ил-10 они вообще не ле</w:t>
      </w:r>
      <w:r w:rsidRPr="00F90EAE">
        <w:rPr>
          <w:color w:val="000000" w:themeColor="text1"/>
          <w:sz w:val="16"/>
          <w:szCs w:val="16"/>
        </w:rPr>
        <w:softHyphen/>
        <w:t>тали. До места назначения, аэродрома Шрода, 16 экипажей во главе с командиром полка добрались 26 марта. Остальные подтянулись к 11 апреля. Надо отдать должное командованию воздушной ар</w:t>
      </w:r>
      <w:r w:rsidRPr="00F90EAE">
        <w:rPr>
          <w:color w:val="000000" w:themeColor="text1"/>
          <w:sz w:val="16"/>
          <w:szCs w:val="16"/>
        </w:rPr>
        <w:softHyphen/>
        <w:t>мии и 2-й гшад. Выяснив реальную го</w:t>
      </w:r>
      <w:r w:rsidRPr="00F90EAE">
        <w:rPr>
          <w:color w:val="000000" w:themeColor="text1"/>
          <w:sz w:val="16"/>
          <w:szCs w:val="16"/>
        </w:rPr>
        <w:softHyphen/>
        <w:t>товность полка к боевым действиям, они мудро решили полк в бой пока не вво</w:t>
      </w:r>
      <w:r w:rsidRPr="00F90EAE">
        <w:rPr>
          <w:color w:val="000000" w:themeColor="text1"/>
          <w:sz w:val="16"/>
          <w:szCs w:val="16"/>
        </w:rPr>
        <w:softHyphen/>
        <w:t>дить, дабы не подорвать веру в новый штурмовик и не нести напрасные поте</w:t>
      </w:r>
      <w:r w:rsidRPr="00F90EAE">
        <w:rPr>
          <w:color w:val="000000" w:themeColor="text1"/>
          <w:sz w:val="16"/>
          <w:szCs w:val="16"/>
        </w:rPr>
        <w:softHyphen/>
        <w:t>ри, а дать летчикам полноценно подгото</w:t>
      </w:r>
      <w:r w:rsidRPr="00F90EAE">
        <w:rPr>
          <w:color w:val="000000" w:themeColor="text1"/>
          <w:sz w:val="16"/>
          <w:szCs w:val="16"/>
        </w:rPr>
        <w:softHyphen/>
        <w:t>виться, а также завершить перевооруже</w:t>
      </w:r>
      <w:r w:rsidRPr="00F90EAE">
        <w:rPr>
          <w:color w:val="000000" w:themeColor="text1"/>
          <w:sz w:val="16"/>
          <w:szCs w:val="16"/>
        </w:rPr>
        <w:softHyphen/>
        <w:t>ние части на Ил-10. В течение всего ап</w:t>
      </w:r>
      <w:r w:rsidRPr="00F90EAE">
        <w:rPr>
          <w:color w:val="000000" w:themeColor="text1"/>
          <w:sz w:val="16"/>
          <w:szCs w:val="16"/>
        </w:rPr>
        <w:softHyphen/>
        <w:t>реля в 78-м интенсивно занимались вво</w:t>
      </w:r>
      <w:r w:rsidRPr="00F90EAE">
        <w:rPr>
          <w:color w:val="000000" w:themeColor="text1"/>
          <w:sz w:val="16"/>
          <w:szCs w:val="16"/>
        </w:rPr>
        <w:softHyphen/>
        <w:t>дом в строй молодого летного состава, не прошедшего в Куйбышеве переучива</w:t>
      </w:r>
      <w:r w:rsidRPr="00F90EAE">
        <w:rPr>
          <w:color w:val="000000" w:themeColor="text1"/>
          <w:sz w:val="16"/>
          <w:szCs w:val="16"/>
        </w:rPr>
        <w:softHyphen/>
        <w:t>ния на новый штурмовик, и тренировкой «стариков». В это время во Львове при</w:t>
      </w:r>
      <w:r w:rsidRPr="00F90EAE">
        <w:rPr>
          <w:color w:val="000000" w:themeColor="text1"/>
          <w:sz w:val="16"/>
          <w:szCs w:val="16"/>
        </w:rPr>
        <w:softHyphen/>
        <w:t>нимали и собирали Ил-10. Машины за</w:t>
      </w:r>
      <w:r w:rsidRPr="00F90EAE">
        <w:rPr>
          <w:color w:val="000000" w:themeColor="text1"/>
          <w:sz w:val="16"/>
          <w:szCs w:val="16"/>
        </w:rPr>
        <w:softHyphen/>
        <w:t>тем перегонялись на базу наиболее под</w:t>
      </w:r>
      <w:r w:rsidRPr="00F90EAE">
        <w:rPr>
          <w:color w:val="000000" w:themeColor="text1"/>
          <w:sz w:val="16"/>
          <w:szCs w:val="16"/>
        </w:rPr>
        <w:softHyphen/>
        <w:t>готовленными летчиками полка. Имев</w:t>
      </w:r>
      <w:r w:rsidRPr="00F90EAE">
        <w:rPr>
          <w:color w:val="000000" w:themeColor="text1"/>
          <w:sz w:val="16"/>
          <w:szCs w:val="16"/>
        </w:rPr>
        <w:softHyphen/>
        <w:t>шиеся Ил-2 передавались в другие час</w:t>
      </w:r>
      <w:r w:rsidRPr="00F90EAE">
        <w:rPr>
          <w:color w:val="000000" w:themeColor="text1"/>
          <w:sz w:val="16"/>
          <w:szCs w:val="16"/>
        </w:rPr>
        <w:softHyphen/>
        <w:t>ти дивизии (10681).</w:t>
      </w:r>
    </w:p>
    <w:p w14:paraId="656F0A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005283B"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21 января 1945 первый эшелон 78 полка в составе 20 Ил-2 и 11 Ил-10 смог вылететь к месту назначения. Второй летный эшелон в составе 10 экипажей на Ил-10 вылетел на следующий день.</w:t>
      </w:r>
    </w:p>
    <w:p w14:paraId="10E5529A"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489E9877" w14:textId="77777777" w:rsidR="00B65582" w:rsidRPr="00F90EAE" w:rsidRDefault="00B65582" w:rsidP="00F90EAE">
      <w:pPr>
        <w:jc w:val="both"/>
        <w:rPr>
          <w:color w:val="000000" w:themeColor="text1"/>
          <w:sz w:val="16"/>
          <w:szCs w:val="16"/>
        </w:rPr>
      </w:pPr>
    </w:p>
    <w:p w14:paraId="074BE1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января 1945 акт констатировал, что 108-й полк «в со-ставе 41 летчика подготовлен к перелету на фронт на Ил-10 днем в простых метео</w:t>
      </w:r>
      <w:r w:rsidRPr="00F90EAE">
        <w:rPr>
          <w:color w:val="000000" w:themeColor="text1"/>
          <w:sz w:val="16"/>
          <w:szCs w:val="16"/>
        </w:rPr>
        <w:softHyphen/>
        <w:t>условиях». Летный состав был подготов</w:t>
      </w:r>
      <w:r w:rsidRPr="00F90EAE">
        <w:rPr>
          <w:color w:val="000000" w:themeColor="text1"/>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F90EAE">
        <w:rPr>
          <w:color w:val="000000" w:themeColor="text1"/>
          <w:sz w:val="16"/>
          <w:szCs w:val="16"/>
        </w:rPr>
        <w:softHyphen/>
        <w:t>ние. Весь летный состав полка уже полу</w:t>
      </w:r>
      <w:r w:rsidRPr="00F90EAE">
        <w:rPr>
          <w:color w:val="000000" w:themeColor="text1"/>
          <w:sz w:val="16"/>
          <w:szCs w:val="16"/>
        </w:rPr>
        <w:softHyphen/>
        <w:t>чил боевой опыт, воюя на штурмовиках Ил-2. Поскольку предполагалось, что в этом полку пройдут войсковые испытания но</w:t>
      </w:r>
      <w:r w:rsidRPr="00F90EAE">
        <w:rPr>
          <w:color w:val="000000" w:themeColor="text1"/>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F90EAE">
        <w:rPr>
          <w:color w:val="000000" w:themeColor="text1"/>
          <w:sz w:val="16"/>
          <w:szCs w:val="16"/>
        </w:rPr>
        <w:softHyphen/>
        <w:t>фектов и тщательно проверялись как заводскими бригадами, так и техничес</w:t>
      </w:r>
      <w:r w:rsidRPr="00F90EAE">
        <w:rPr>
          <w:color w:val="000000" w:themeColor="text1"/>
          <w:sz w:val="16"/>
          <w:szCs w:val="16"/>
        </w:rPr>
        <w:softHyphen/>
        <w:t>ким составом части. В общей сложности полк получил 42 Ил-10, в том числе 37 производства завода № 18 и 5 выпуска завода № 1. Отлет на фронт назначили на 2 фев</w:t>
      </w:r>
      <w:r w:rsidRPr="00F90EAE">
        <w:rPr>
          <w:color w:val="000000" w:themeColor="text1"/>
          <w:sz w:val="16"/>
          <w:szCs w:val="16"/>
        </w:rPr>
        <w:softHyphen/>
        <w:t>раля. Чтобы ускорить перебазирование полка, инженеры и техники летели вме</w:t>
      </w:r>
      <w:r w:rsidRPr="00F90EAE">
        <w:rPr>
          <w:color w:val="000000" w:themeColor="text1"/>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F90EAE">
        <w:rPr>
          <w:color w:val="000000" w:themeColor="text1"/>
          <w:sz w:val="16"/>
          <w:szCs w:val="16"/>
        </w:rPr>
        <w:softHyphen/>
        <w:t>ки перелета, он закончился неудачей. В последний момент сменили первый промежуточный пункт. Вместо аэродро</w:t>
      </w:r>
      <w:r w:rsidRPr="00F90EAE">
        <w:rPr>
          <w:color w:val="000000" w:themeColor="text1"/>
          <w:sz w:val="16"/>
          <w:szCs w:val="16"/>
        </w:rPr>
        <w:softHyphen/>
        <w:t>ма Разбойщина следовало лететь в Багай-Барановку. Летный состав к новому маршруту подготовиться должным об</w:t>
      </w:r>
      <w:r w:rsidRPr="00F90EAE">
        <w:rPr>
          <w:color w:val="000000" w:themeColor="text1"/>
          <w:sz w:val="16"/>
          <w:szCs w:val="16"/>
        </w:rPr>
        <w:softHyphen/>
        <w:t>разом не успел. Первая группа из пяти машин, лиди-руемая капитаном Сироткиным, добра</w:t>
      </w:r>
      <w:r w:rsidRPr="00F90EAE">
        <w:rPr>
          <w:color w:val="000000" w:themeColor="text1"/>
          <w:sz w:val="16"/>
          <w:szCs w:val="16"/>
        </w:rPr>
        <w:softHyphen/>
        <w:t>лась до нового аэродрома благополуч</w:t>
      </w:r>
      <w:r w:rsidRPr="00F90EAE">
        <w:rPr>
          <w:color w:val="000000" w:themeColor="text1"/>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F90EAE">
        <w:rPr>
          <w:color w:val="000000" w:themeColor="text1"/>
          <w:sz w:val="16"/>
          <w:szCs w:val="16"/>
        </w:rPr>
        <w:softHyphen/>
        <w:t>лось от группы сразу же. Летчики заблу</w:t>
      </w:r>
      <w:r w:rsidRPr="00F90EAE">
        <w:rPr>
          <w:color w:val="000000" w:themeColor="text1"/>
          <w:sz w:val="16"/>
          <w:szCs w:val="16"/>
        </w:rPr>
        <w:softHyphen/>
        <w:t>дились и, выработав горючее, сели в по</w:t>
      </w:r>
      <w:r w:rsidRPr="00F90EAE">
        <w:rPr>
          <w:color w:val="000000" w:themeColor="text1"/>
          <w:sz w:val="16"/>
          <w:szCs w:val="16"/>
        </w:rPr>
        <w:softHyphen/>
        <w:t>ле. В итоге - одна авария и одна полом</w:t>
      </w:r>
      <w:r w:rsidRPr="00F90EAE">
        <w:rPr>
          <w:color w:val="000000" w:themeColor="text1"/>
          <w:sz w:val="16"/>
          <w:szCs w:val="16"/>
        </w:rPr>
        <w:softHyphen/>
        <w:t>ка. Третья группа из 10 Ил-10 (ведущий капитан Железняков) долетела до Бала-ково и возвратилась из-за плохой пого</w:t>
      </w:r>
      <w:r w:rsidRPr="00F90EAE">
        <w:rPr>
          <w:color w:val="000000" w:themeColor="text1"/>
          <w:sz w:val="16"/>
          <w:szCs w:val="16"/>
        </w:rPr>
        <w:softHyphen/>
        <w:t>ды. На обратном пути младший лейте</w:t>
      </w:r>
      <w:r w:rsidRPr="00F90EAE">
        <w:rPr>
          <w:color w:val="000000" w:themeColor="text1"/>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F90EAE">
        <w:rPr>
          <w:color w:val="000000" w:themeColor="text1"/>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F90EAE">
        <w:rPr>
          <w:color w:val="000000" w:themeColor="text1"/>
          <w:sz w:val="16"/>
          <w:szCs w:val="16"/>
        </w:rPr>
        <w:softHyphen/>
        <w:t>лась и приземлилась в Чапаевске. Та</w:t>
      </w:r>
      <w:r w:rsidRPr="00F90EAE">
        <w:rPr>
          <w:color w:val="000000" w:themeColor="text1"/>
          <w:sz w:val="16"/>
          <w:szCs w:val="16"/>
        </w:rPr>
        <w:softHyphen/>
        <w:t>ким образом, из 26 самолетов, вылетев</w:t>
      </w:r>
      <w:r w:rsidRPr="00F90EAE">
        <w:rPr>
          <w:color w:val="000000" w:themeColor="text1"/>
          <w:sz w:val="16"/>
          <w:szCs w:val="16"/>
        </w:rPr>
        <w:softHyphen/>
        <w:t>ших с аэродрома Толкай, на место назначения прибыли девять. После разби</w:t>
      </w:r>
      <w:r w:rsidRPr="00F90EAE">
        <w:rPr>
          <w:color w:val="000000" w:themeColor="text1"/>
          <w:sz w:val="16"/>
          <w:szCs w:val="16"/>
        </w:rPr>
        <w:softHyphen/>
        <w:t>рательства и принятия мер 108-й гшап в два приема - 9 и 20 февраля убыл-таки полным составом в действующую ар</w:t>
      </w:r>
      <w:r w:rsidRPr="00F90EAE">
        <w:rPr>
          <w:color w:val="000000" w:themeColor="text1"/>
          <w:sz w:val="16"/>
          <w:szCs w:val="16"/>
        </w:rPr>
        <w:softHyphen/>
        <w:t>мию. Кроме этого, 25 января на стажи</w:t>
      </w:r>
      <w:r w:rsidRPr="00F90EAE">
        <w:rPr>
          <w:color w:val="000000" w:themeColor="text1"/>
          <w:sz w:val="16"/>
          <w:szCs w:val="16"/>
        </w:rPr>
        <w:softHyphen/>
        <w:t>ровку во 2-ю воздушную армию отпра</w:t>
      </w:r>
      <w:r w:rsidRPr="00F90EAE">
        <w:rPr>
          <w:color w:val="000000" w:themeColor="text1"/>
          <w:sz w:val="16"/>
          <w:szCs w:val="16"/>
        </w:rPr>
        <w:softHyphen/>
        <w:t>вилось на Ил-10 звено от управления бригады (10681).</w:t>
      </w:r>
    </w:p>
    <w:p w14:paraId="052058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4EBE5C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8DA908F" w14:textId="77777777" w:rsidR="00C2313B" w:rsidRPr="00F90EAE" w:rsidRDefault="00C2313B" w:rsidP="00F90EAE">
      <w:pPr>
        <w:autoSpaceDE w:val="0"/>
        <w:autoSpaceDN w:val="0"/>
        <w:adjustRightInd w:val="0"/>
        <w:jc w:val="both"/>
        <w:rPr>
          <w:iCs/>
          <w:color w:val="000000" w:themeColor="text1"/>
          <w:sz w:val="16"/>
          <w:szCs w:val="16"/>
        </w:rPr>
      </w:pPr>
    </w:p>
    <w:p w14:paraId="63E8773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января 1945 вышло Постановление ГКО № 7380 О дополнительном отпуске НКВД СССР 50 тыс. тонн картофеля. (7300, 88).</w:t>
      </w:r>
    </w:p>
    <w:p w14:paraId="68318A4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F93EE09" w14:textId="77777777" w:rsidR="00886CF9" w:rsidRPr="00F90EAE" w:rsidRDefault="00886CF9" w:rsidP="00F90EAE">
      <w:pPr>
        <w:jc w:val="both"/>
        <w:rPr>
          <w:color w:val="000000" w:themeColor="text1"/>
          <w:sz w:val="16"/>
          <w:szCs w:val="16"/>
        </w:rPr>
      </w:pPr>
      <w:r w:rsidRPr="00F90EAE">
        <w:rPr>
          <w:bCs/>
          <w:color w:val="000000" w:themeColor="text1"/>
          <w:sz w:val="16"/>
          <w:szCs w:val="16"/>
        </w:rPr>
        <w:t>21 января</w:t>
      </w:r>
      <w:r w:rsidRPr="00F90EAE">
        <w:rPr>
          <w:color w:val="000000" w:themeColor="text1"/>
          <w:sz w:val="16"/>
          <w:szCs w:val="16"/>
        </w:rPr>
        <w:t xml:space="preserve"> в 1945 году в связи с 220-летием Академии наук СССР Совет народных комиссаров СССР утвердил постановление о создании в Москве Главного ботанического сада Академии наук СССР. Решением Мосгорисполкома 16 мая 1945 года под строительство Главного ботанического сада была передана территория Останкинского лесопаркового массива площадью 361,35 га, примыкающая к территории Всесоюзной селькохозяйственной выставки и Парка культуры и отдыха имени Ф.Э.Дзержинского. 2 декабря 1991 года Ботаническому саду было присвоено имя Николая Васильевича Цицина (1898–1980), ученого-ботаника, академика, основателя и директора этого научного учреждения на протяжении более 35 первых лет его существования. Один из крупнейших в мире, ботанический сад разбит в Останкинской лесопарковой зоне и содержит около 25 тысяч разновидностей дикорастущих и культурных растений (15016).</w:t>
      </w:r>
    </w:p>
    <w:p w14:paraId="791FBA57" w14:textId="77777777" w:rsidR="00886CF9" w:rsidRPr="00F90EAE" w:rsidRDefault="00886CF9" w:rsidP="00F90EAE">
      <w:pPr>
        <w:jc w:val="both"/>
        <w:rPr>
          <w:color w:val="000000" w:themeColor="text1"/>
          <w:sz w:val="16"/>
          <w:szCs w:val="16"/>
        </w:rPr>
      </w:pPr>
    </w:p>
    <w:p w14:paraId="513C8B1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AB122B7" w14:textId="77777777" w:rsidR="00C2313B" w:rsidRPr="00F90EAE" w:rsidRDefault="00C2313B" w:rsidP="00F90EAE">
      <w:pPr>
        <w:autoSpaceDE w:val="0"/>
        <w:autoSpaceDN w:val="0"/>
        <w:adjustRightInd w:val="0"/>
        <w:jc w:val="both"/>
        <w:rPr>
          <w:iCs/>
          <w:color w:val="000000" w:themeColor="text1"/>
          <w:sz w:val="16"/>
          <w:szCs w:val="16"/>
        </w:rPr>
      </w:pPr>
    </w:p>
    <w:p w14:paraId="188D77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января 1945 г. американские самолеты нанесли удар по острову Формоза (Тайвань). Было произведено 1100 боевых вылетов. Бомбардировщики уничтожили на аэродромах 60 японских самолетов, потопили 10 стоявших на якоре кораблей и бомбили другие военные объекты на острове. За несколько минут до налета американских самолетов 17 японских камикадзе вылетели на свое боевое задание. Их встретил авиационный заслон, вследствие чего к кораблям прорвалось всего четыре японских самолета. В это время американские бомбардировщики стали возвращаться на авианосцы. Японские летчики моментально смешались с ними, чтобы зенитчикам было трудно опознать вражеские самолеты. В итоге камикадзе, с разной степенью тяжести, поразили авианосцы «Лэнгли» и «Тикондерога» (11686).</w:t>
      </w:r>
    </w:p>
    <w:p w14:paraId="0639216E" w14:textId="77777777" w:rsidR="00C2313B" w:rsidRPr="00F90EAE" w:rsidRDefault="00C2313B" w:rsidP="00F90EAE">
      <w:pPr>
        <w:autoSpaceDE w:val="0"/>
        <w:autoSpaceDN w:val="0"/>
        <w:adjustRightInd w:val="0"/>
        <w:jc w:val="both"/>
        <w:rPr>
          <w:color w:val="000000" w:themeColor="text1"/>
          <w:sz w:val="16"/>
          <w:szCs w:val="16"/>
        </w:rPr>
      </w:pPr>
    </w:p>
    <w:p w14:paraId="58C43068" w14:textId="77777777" w:rsidR="004F53AD" w:rsidRPr="00F90EAE" w:rsidRDefault="004F53AD" w:rsidP="00F90EAE">
      <w:pPr>
        <w:jc w:val="both"/>
        <w:rPr>
          <w:color w:val="000000" w:themeColor="text1"/>
          <w:sz w:val="16"/>
          <w:szCs w:val="16"/>
        </w:rPr>
      </w:pPr>
      <w:r w:rsidRPr="00F90EAE">
        <w:rPr>
          <w:bCs/>
          <w:color w:val="000000" w:themeColor="text1"/>
          <w:sz w:val="16"/>
          <w:szCs w:val="16"/>
        </w:rPr>
        <w:t>21 января</w:t>
      </w:r>
      <w:r w:rsidRPr="00F90EAE">
        <w:rPr>
          <w:color w:val="000000" w:themeColor="text1"/>
          <w:sz w:val="16"/>
          <w:szCs w:val="16"/>
        </w:rPr>
        <w:t xml:space="preserve"> в 1945 году у острова Тайвань (Формоза) контратака камикадзе привела к повреждению авианосца «Тикондерога» и линкора «Лэнгли», причём «Тикондерогу» пришлось отправить на доковый ремонт. В 19:45 21 января 1945 г. самолёт камикадзе спикировал на авианосец «Лунга Пойнт», а через 5 минут ещё два камикадзе врезались в лётную палубу авианосца «Бисмарк Си», пожар вскоре добрался до погребов, и после взрыва корабль затонул. Это был последний американский авианосец, потерянный во Второй Мировой войне (15016).</w:t>
      </w:r>
    </w:p>
    <w:p w14:paraId="7981EF80" w14:textId="77777777" w:rsidR="004F53AD" w:rsidRPr="00F90EAE" w:rsidRDefault="004F53AD" w:rsidP="00F90EAE">
      <w:pPr>
        <w:jc w:val="both"/>
        <w:rPr>
          <w:color w:val="000000" w:themeColor="text1"/>
          <w:sz w:val="16"/>
          <w:szCs w:val="16"/>
        </w:rPr>
      </w:pPr>
    </w:p>
    <w:p w14:paraId="20EE393C" w14:textId="77777777" w:rsidR="003A5F91" w:rsidRPr="00F90EAE" w:rsidRDefault="003A5F91" w:rsidP="00F90EAE">
      <w:pPr>
        <w:jc w:val="both"/>
        <w:rPr>
          <w:color w:val="0070C0"/>
          <w:sz w:val="16"/>
          <w:szCs w:val="16"/>
        </w:rPr>
      </w:pPr>
      <w:r w:rsidRPr="00F90EAE">
        <w:rPr>
          <w:color w:val="0070C0"/>
          <w:sz w:val="16"/>
          <w:szCs w:val="16"/>
        </w:rPr>
        <w:t>21 января 1945 самолеты оперативной группы 38 совершили 1164 самолето-вылета, нанеся удары по Формозе, Пескадорес и Сакисима Гунто, потопив пять танкеров и пять других торговых судов и уничтожив два японских самолета в воздухе и 104 самолета на земле. В ходе японских воздушных атак на оперативную группу бомбардировщик повреждает авианосец USS Langley, а камикадзе повреждает авианосец USS Ticonderoga и эсминец; случайный взрыв бомбы во время аварии повредил авианосец USS Hancock (20371).</w:t>
      </w:r>
    </w:p>
    <w:p w14:paraId="6E1683A4" w14:textId="77777777" w:rsidR="003A5F91" w:rsidRPr="00F90EAE" w:rsidRDefault="003A5F91" w:rsidP="00F90EAE">
      <w:pPr>
        <w:jc w:val="both"/>
        <w:rPr>
          <w:color w:val="0070C0"/>
          <w:sz w:val="16"/>
          <w:szCs w:val="16"/>
        </w:rPr>
      </w:pPr>
    </w:p>
    <w:p w14:paraId="1D167A45" w14:textId="77777777" w:rsidR="003A5F91" w:rsidRPr="00F90EAE" w:rsidRDefault="003A5F91" w:rsidP="00F90EAE">
      <w:pPr>
        <w:jc w:val="both"/>
        <w:rPr>
          <w:color w:val="0070C0"/>
          <w:sz w:val="16"/>
          <w:szCs w:val="16"/>
        </w:rPr>
      </w:pPr>
      <w:r w:rsidRPr="00F90EAE">
        <w:rPr>
          <w:color w:val="0070C0"/>
          <w:sz w:val="16"/>
          <w:szCs w:val="16"/>
        </w:rPr>
        <w:t>21 января 1945 авианосцы британского Ост-Индского флота HMS Ameer и HMS Shah поддерживают высадку 26-й индийской пехотной дивизии на острове Рамри у побережья Бирмы (20371).</w:t>
      </w:r>
    </w:p>
    <w:p w14:paraId="025D7426" w14:textId="77777777" w:rsidR="003A5F91" w:rsidRPr="00F90EAE" w:rsidRDefault="003A5F91" w:rsidP="00F90EAE">
      <w:pPr>
        <w:jc w:val="both"/>
        <w:rPr>
          <w:color w:val="0070C0"/>
          <w:sz w:val="16"/>
          <w:szCs w:val="16"/>
        </w:rPr>
      </w:pPr>
    </w:p>
    <w:p w14:paraId="08CE0D0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3D634AF" w14:textId="77777777" w:rsidR="00C2313B" w:rsidRPr="00F90EAE" w:rsidRDefault="00C2313B" w:rsidP="00F90EAE">
      <w:pPr>
        <w:autoSpaceDE w:val="0"/>
        <w:autoSpaceDN w:val="0"/>
        <w:adjustRightInd w:val="0"/>
        <w:jc w:val="both"/>
        <w:rPr>
          <w:iCs/>
          <w:color w:val="000000" w:themeColor="text1"/>
          <w:sz w:val="16"/>
          <w:szCs w:val="16"/>
        </w:rPr>
      </w:pPr>
    </w:p>
    <w:p w14:paraId="2BAFFC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 января 1945 состоялся первый полет Як-3РД с ЖРД (2668).</w:t>
      </w:r>
    </w:p>
    <w:p w14:paraId="19740684" w14:textId="77777777" w:rsidR="00C2313B" w:rsidRPr="00F90EAE" w:rsidRDefault="00C2313B" w:rsidP="00F90EAE">
      <w:pPr>
        <w:autoSpaceDE w:val="0"/>
        <w:autoSpaceDN w:val="0"/>
        <w:adjustRightInd w:val="0"/>
        <w:jc w:val="both"/>
        <w:rPr>
          <w:color w:val="000000" w:themeColor="text1"/>
          <w:sz w:val="16"/>
          <w:szCs w:val="16"/>
        </w:rPr>
      </w:pPr>
    </w:p>
    <w:p w14:paraId="132AC7C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января 1945 г. состоялся первый полет истребителя Як-3РД с дополнительным жидкостным реактивным двигателем (ЖРД) (6395).</w:t>
      </w:r>
    </w:p>
    <w:p w14:paraId="6B3EDE4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5E14F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 января 1945г Осуществлен первый полет самолета Як-3РД с ЖРД РД-1ХЗ (11330).</w:t>
      </w:r>
    </w:p>
    <w:p w14:paraId="0FC55D06" w14:textId="77777777" w:rsidR="00C2313B" w:rsidRPr="00F90EAE" w:rsidRDefault="00C2313B" w:rsidP="00F90EAE">
      <w:pPr>
        <w:autoSpaceDE w:val="0"/>
        <w:autoSpaceDN w:val="0"/>
        <w:adjustRightInd w:val="0"/>
        <w:jc w:val="both"/>
        <w:rPr>
          <w:color w:val="000000" w:themeColor="text1"/>
          <w:sz w:val="16"/>
          <w:szCs w:val="16"/>
        </w:rPr>
      </w:pPr>
    </w:p>
    <w:p w14:paraId="218E5B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 января 1945 года В.Л. Расторгуев выполнил первый полет на Як-ЗРД без включения ЖРД. Лишь после этого перешли к запуску ускорителя в воздухе. Из 40 пусков РД-1 №009, установленный на самолете, лишь три раза включался в полете. В одном из них 11 мая была зафиксирована скорость 782 км/ч на высоте 7800 метров. При этом отмечался неустойчивый запуск ЖРД.</w:t>
      </w:r>
    </w:p>
    <w:p w14:paraId="6D6044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213992F3" w14:textId="77777777" w:rsidR="00C2313B" w:rsidRPr="00F90EAE" w:rsidRDefault="00C2313B" w:rsidP="00F90EAE">
      <w:pPr>
        <w:autoSpaceDE w:val="0"/>
        <w:autoSpaceDN w:val="0"/>
        <w:adjustRightInd w:val="0"/>
        <w:jc w:val="both"/>
        <w:rPr>
          <w:color w:val="000000" w:themeColor="text1"/>
          <w:sz w:val="16"/>
          <w:szCs w:val="16"/>
        </w:rPr>
      </w:pPr>
    </w:p>
    <w:p w14:paraId="38C74606" w14:textId="77777777" w:rsidR="004F53AD" w:rsidRPr="00F90EAE" w:rsidRDefault="004F53AD" w:rsidP="00F90EAE">
      <w:pPr>
        <w:jc w:val="both"/>
        <w:rPr>
          <w:color w:val="000000" w:themeColor="text1"/>
          <w:sz w:val="16"/>
          <w:szCs w:val="16"/>
        </w:rPr>
      </w:pPr>
      <w:r w:rsidRPr="00F90EAE">
        <w:rPr>
          <w:bCs/>
          <w:color w:val="000000" w:themeColor="text1"/>
          <w:sz w:val="16"/>
          <w:szCs w:val="16"/>
        </w:rPr>
        <w:t>22 января</w:t>
      </w:r>
      <w:r w:rsidRPr="00F90EAE">
        <w:rPr>
          <w:color w:val="000000" w:themeColor="text1"/>
          <w:sz w:val="16"/>
          <w:szCs w:val="16"/>
        </w:rPr>
        <w:t xml:space="preserve"> в 1945 году первый полет истребителя «Як-3РД» с дополнительным жидкостным ракетным двигателем, В.Л.Расторгуев (15017).</w:t>
      </w:r>
    </w:p>
    <w:p w14:paraId="4FD63489" w14:textId="77777777" w:rsidR="004F53AD" w:rsidRPr="00F90EAE" w:rsidRDefault="004F53AD" w:rsidP="00F90EAE">
      <w:pPr>
        <w:jc w:val="both"/>
        <w:rPr>
          <w:color w:val="000000" w:themeColor="text1"/>
          <w:sz w:val="16"/>
          <w:szCs w:val="16"/>
        </w:rPr>
      </w:pPr>
    </w:p>
    <w:p w14:paraId="67AA5C3C" w14:textId="77777777" w:rsidR="004F53AD" w:rsidRPr="00F90EAE" w:rsidRDefault="004F53AD" w:rsidP="00F90EAE">
      <w:pPr>
        <w:jc w:val="both"/>
        <w:rPr>
          <w:color w:val="000000" w:themeColor="text1"/>
          <w:sz w:val="16"/>
          <w:szCs w:val="16"/>
        </w:rPr>
      </w:pPr>
      <w:r w:rsidRPr="00F90EAE">
        <w:rPr>
          <w:bCs/>
          <w:color w:val="000000" w:themeColor="text1"/>
          <w:sz w:val="16"/>
          <w:szCs w:val="16"/>
        </w:rPr>
        <w:t>22 января</w:t>
      </w:r>
      <w:r w:rsidRPr="00F90EAE">
        <w:rPr>
          <w:color w:val="000000" w:themeColor="text1"/>
          <w:sz w:val="16"/>
          <w:szCs w:val="16"/>
        </w:rPr>
        <w:t xml:space="preserve"> в 1945 году катастрофа самолёта «Ме-110», лётчик-испытатель командир АП Журавлев В.С. Лётчик погиб при выполнении испытательного полёта (испытывал радиолокатор) (15017).</w:t>
      </w:r>
    </w:p>
    <w:p w14:paraId="0DA15C4A" w14:textId="77777777" w:rsidR="004F53AD" w:rsidRPr="00F90EAE" w:rsidRDefault="004F53AD" w:rsidP="00F90EAE">
      <w:pPr>
        <w:jc w:val="both"/>
        <w:rPr>
          <w:color w:val="000000" w:themeColor="text1"/>
          <w:sz w:val="16"/>
          <w:szCs w:val="16"/>
        </w:rPr>
      </w:pPr>
    </w:p>
    <w:p w14:paraId="025E4B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22-25 января 1944 л 19 ап ГВФ В.И.Чулков, Г.С.Бенкунский и Д.А.Папунашвили на трех С-47 совершили перелет из СССР в Англию по маршруту Москва - Тегеран - Каир - Триполи - Марсель - Лондон - 8800 км для доставки профсоюзной делегации на Всемирную конференцию профсоюзов (438,932).</w:t>
      </w:r>
    </w:p>
    <w:p w14:paraId="767D14E1" w14:textId="77777777" w:rsidR="00C2313B" w:rsidRPr="00F90EAE" w:rsidRDefault="00C2313B" w:rsidP="00F90EAE">
      <w:pPr>
        <w:autoSpaceDE w:val="0"/>
        <w:autoSpaceDN w:val="0"/>
        <w:adjustRightInd w:val="0"/>
        <w:jc w:val="both"/>
        <w:rPr>
          <w:color w:val="000000" w:themeColor="text1"/>
          <w:sz w:val="16"/>
          <w:szCs w:val="16"/>
        </w:rPr>
      </w:pPr>
    </w:p>
    <w:p w14:paraId="3796F87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5C7FB2D" w14:textId="77777777" w:rsidR="00C2313B" w:rsidRPr="00F90EAE" w:rsidRDefault="00C2313B" w:rsidP="00F90EAE">
      <w:pPr>
        <w:autoSpaceDE w:val="0"/>
        <w:autoSpaceDN w:val="0"/>
        <w:adjustRightInd w:val="0"/>
        <w:jc w:val="both"/>
        <w:rPr>
          <w:iCs/>
          <w:color w:val="000000" w:themeColor="text1"/>
          <w:sz w:val="16"/>
          <w:szCs w:val="16"/>
        </w:rPr>
      </w:pPr>
    </w:p>
    <w:p w14:paraId="53FBBB6C" w14:textId="77777777" w:rsidR="004F53AD" w:rsidRPr="00F90EAE" w:rsidRDefault="004F53AD" w:rsidP="00F90EAE">
      <w:pPr>
        <w:jc w:val="both"/>
        <w:rPr>
          <w:color w:val="000000" w:themeColor="text1"/>
          <w:sz w:val="16"/>
          <w:szCs w:val="16"/>
        </w:rPr>
      </w:pPr>
      <w:r w:rsidRPr="00F90EAE">
        <w:rPr>
          <w:bCs/>
          <w:color w:val="000000" w:themeColor="text1"/>
          <w:sz w:val="16"/>
          <w:szCs w:val="16"/>
        </w:rPr>
        <w:lastRenderedPageBreak/>
        <w:t>22 января</w:t>
      </w:r>
      <w:r w:rsidRPr="00F90EAE">
        <w:rPr>
          <w:color w:val="000000" w:themeColor="text1"/>
          <w:sz w:val="16"/>
          <w:szCs w:val="16"/>
        </w:rPr>
        <w:t xml:space="preserve"> в 1945 году оперативная сводка Совинформбюро:</w:t>
      </w:r>
    </w:p>
    <w:p w14:paraId="7B520269"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3-го Белорусского фронта 22 января штурмом овладели в Восточной Пруссии городом Инстербург — важным узлом коммуникаций и мощным укреплённым районом обороны немцев на путях к Кенигсбергу, а также с боями заняли более 200 других населённых пунктов, в числе которых Немонин, Карльсроде, Агилла, Минхенвальде, Жаргиллен, Аугстагиррен, Альт Гертлаукен, Ажлакен, Келлмиш Демерау, Вилькендорф, Петерсдорф, Таплаккен, Заалау, Вирткаллен, Георгенталь, Картенингкен, Жамайтшен, Йеблонскен, Ковален, Мирунскен.</w:t>
      </w:r>
    </w:p>
    <w:p w14:paraId="143370BB"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развивая стремительное наступление в глубь Восточной Пруссии, 22 января овладели городами Алленштайн, Остероде и Дойтш-Айлау — важными узлами железных и шоссейных дорог и сильно укреплёнными опорными пунктами обороны немцев, прикрывающими с юга центральные районы Восточной Пруссии, а также с боями заняли более 100 других населённых пунктов. Одновременно войска фронта овладели на территории Польши важным узлом шоссейных дорог городом Рыпин и с боями заняли более 250 других населённых пунктов, среди которых Радомно, Новы Двур, Сугаенко, Сверчины, Скрвильно, Блинно, Скемпе, Павлово, Маляново-Старе, Мохово, Тлухузко, Велька-Тужа, Добжин Над Вислом.</w:t>
      </w:r>
    </w:p>
    <w:p w14:paraId="14786FB5"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продолжая наступление, 22 января с боем овладели городами Хоэнзалыда (Иновроцлав), Александров, Аргенау и Лабишин — важными узлами коммуникаций и опорными пунктами обороны немцев на подступах к городу Бромберг (Быдгощ). К исходу дня войска фронта в результате стремительного наступления танковых соединений и пехоты овладели городом Гнезен (Гнезно) — важным узлом железных и шоссейных дорог и мощным опорным пунктом обороны немцев на путях к городу Познань. В ходе наступательных боёв за 22 января войска фронта овладели также городами Крушвитц, Петркув-Куявски, Повидз, Клечев, Владыславув, Варто, Став и заняли более 1.000 других населённых пунктов.</w:t>
      </w:r>
    </w:p>
    <w:p w14:paraId="6B6227F3"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Украинского фронта западнее Ченстохова овладели на территории Германии важными узлами шоссейных дорог городами Конштадт и Гросс Стрелитц, а также с боями заняли более 150 других немецких населённых пунктов, среди которых крупные населённые пункты Глауше, Каульвитц, Бухельсдорф, Хейнерсдорф, Нольдау, Карлсруе, Германсталь, Зальцбрун, Брюнне, Лугендорф, Ильнау, Фихтек, Фридрихсгретц, Графенвейлер, Зандовитц, Хорнекк и железнодорожные станции Нольдау, Обервайден, Шмардт, Кифернвальде, Германсталь.</w:t>
      </w:r>
    </w:p>
    <w:p w14:paraId="2FA39422" w14:textId="77777777" w:rsidR="004F53AD" w:rsidRPr="00F90EAE" w:rsidRDefault="004F53AD" w:rsidP="00F90EAE">
      <w:pPr>
        <w:jc w:val="both"/>
        <w:rPr>
          <w:color w:val="000000" w:themeColor="text1"/>
          <w:sz w:val="16"/>
          <w:szCs w:val="16"/>
        </w:rPr>
      </w:pPr>
      <w:r w:rsidRPr="00F90EAE">
        <w:rPr>
          <w:color w:val="000000" w:themeColor="text1"/>
          <w:sz w:val="16"/>
          <w:szCs w:val="16"/>
        </w:rPr>
        <w:t>За десять дней наступательных боёв — с 12 по 21 января — войска 1-го Украинского фронта нанесли противнику следующие потери в живой силе и технике: уничтожена — танков и самоходных орудий — 480, орудий — более 900, бронетранспортёров— 420, автомашин — свыше 15.000. Противник потерял только убитыми свыше 60.000 солдат и офицеров.</w:t>
      </w:r>
    </w:p>
    <w:p w14:paraId="3176A3C2" w14:textId="77777777" w:rsidR="004F53AD" w:rsidRPr="00F90EAE" w:rsidRDefault="004F53AD" w:rsidP="00F90EAE">
      <w:pPr>
        <w:jc w:val="both"/>
        <w:rPr>
          <w:color w:val="000000" w:themeColor="text1"/>
          <w:sz w:val="16"/>
          <w:szCs w:val="16"/>
        </w:rPr>
      </w:pPr>
      <w:r w:rsidRPr="00F90EAE">
        <w:rPr>
          <w:color w:val="000000" w:themeColor="text1"/>
          <w:sz w:val="16"/>
          <w:szCs w:val="16"/>
        </w:rPr>
        <w:t>За это же время войска фронта захватили следующие трофеи: танков и самоходных орудий — 254, орудий — 1.580, миномётов — свыше 2.500, бронетранспортёров— 244, автомашин — 6.500, паровозов — 22, железнодорожных вагонов— 1.200 и большое количество разных складов с продовольствием и военным имуществом и крупные артиллерийские склады. Взято в плен более 21.000 немецких солдат и офицеров.</w:t>
      </w:r>
    </w:p>
    <w:p w14:paraId="2F75274A" w14:textId="77777777" w:rsidR="004F53AD" w:rsidRPr="00F90EAE" w:rsidRDefault="004F53AD" w:rsidP="00F90EAE">
      <w:pPr>
        <w:jc w:val="both"/>
        <w:rPr>
          <w:color w:val="000000" w:themeColor="text1"/>
          <w:sz w:val="16"/>
          <w:szCs w:val="16"/>
        </w:rPr>
      </w:pPr>
      <w:r w:rsidRPr="00F90EAE">
        <w:rPr>
          <w:color w:val="000000" w:themeColor="text1"/>
          <w:sz w:val="16"/>
          <w:szCs w:val="16"/>
        </w:rPr>
        <w:t>Южнее и юго-восточнее Кракова наши войска, продолжая наступление, овладели на территории Польши городом Величка, а также с боями заняли более 50 других населённых пунктов; среди них — Козьмице, Гдув, Виняры, Бжончовице, Добчице, Мысьленице, Касинка, Мшана Дольна, Бегонице, Гомжиска, Угрынь, Мушина.</w:t>
      </w:r>
    </w:p>
    <w:p w14:paraId="3C71053E" w14:textId="77777777" w:rsidR="004F53AD" w:rsidRPr="00F90EAE" w:rsidRDefault="004F53AD" w:rsidP="00F90EAE">
      <w:pPr>
        <w:jc w:val="both"/>
        <w:rPr>
          <w:color w:val="000000" w:themeColor="text1"/>
          <w:sz w:val="16"/>
          <w:szCs w:val="16"/>
        </w:rPr>
      </w:pPr>
      <w:r w:rsidRPr="00F90EAE">
        <w:rPr>
          <w:color w:val="000000" w:themeColor="text1"/>
          <w:sz w:val="16"/>
          <w:szCs w:val="16"/>
        </w:rPr>
        <w:t>Северо-западнее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Каменица, Кривьяны, Рошковяны, Ренцишов, Клукнава, Гельница, Злата Идка.</w:t>
      </w:r>
    </w:p>
    <w:p w14:paraId="56E300AD" w14:textId="77777777" w:rsidR="004F53AD" w:rsidRPr="00F90EAE" w:rsidRDefault="004F53AD" w:rsidP="00F90EAE">
      <w:pPr>
        <w:jc w:val="both"/>
        <w:rPr>
          <w:color w:val="000000" w:themeColor="text1"/>
          <w:sz w:val="16"/>
          <w:szCs w:val="16"/>
        </w:rPr>
      </w:pPr>
      <w:r w:rsidRPr="00F90EAE">
        <w:rPr>
          <w:color w:val="000000" w:themeColor="text1"/>
          <w:sz w:val="16"/>
          <w:szCs w:val="16"/>
        </w:rPr>
        <w:t>В Будапеште наши войска, продолжая бои по уничтожению окружённого гарнизона противника, заняли в западной части города (Буда) 20 кварталов.</w:t>
      </w:r>
    </w:p>
    <w:p w14:paraId="5D9DCEED" w14:textId="77777777" w:rsidR="004F53AD" w:rsidRPr="00F90EAE" w:rsidRDefault="004F53AD" w:rsidP="00F90EAE">
      <w:pPr>
        <w:jc w:val="both"/>
        <w:rPr>
          <w:color w:val="000000" w:themeColor="text1"/>
          <w:sz w:val="16"/>
          <w:szCs w:val="16"/>
        </w:rPr>
      </w:pPr>
      <w:r w:rsidRPr="00F90EAE">
        <w:rPr>
          <w:color w:val="000000" w:themeColor="text1"/>
          <w:sz w:val="16"/>
          <w:szCs w:val="16"/>
        </w:rPr>
        <w:t>В районе города Секешфехервар наши войска продолжали отбивать атаки крупных сил пехоты и танков противника. Ценою больших потерь в живой силе и технике противнику удалось занять несколько населённых пунктов.</w:t>
      </w:r>
    </w:p>
    <w:p w14:paraId="0A185163" w14:textId="77777777" w:rsidR="004F53AD" w:rsidRPr="00F90EAE" w:rsidRDefault="004F53AD" w:rsidP="00F90EAE">
      <w:pPr>
        <w:jc w:val="both"/>
        <w:rPr>
          <w:color w:val="000000" w:themeColor="text1"/>
          <w:sz w:val="16"/>
          <w:szCs w:val="16"/>
        </w:rPr>
      </w:pPr>
      <w:r w:rsidRPr="00F90EAE">
        <w:rPr>
          <w:color w:val="000000" w:themeColor="text1"/>
          <w:sz w:val="16"/>
          <w:szCs w:val="16"/>
        </w:rPr>
        <w:t>За 21 января наши войска на всех фронтах подбили и уничтожили 125 немецких танков. В воздушных боях и огнём зенитной артиллерии сбито 33 самолёта противника.</w:t>
      </w:r>
    </w:p>
    <w:p w14:paraId="61F6FD08"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3-го Белорусского фронта продолжали успешное наступление. Противник, опираясь на мощные оборонительные сооружения, оказывал упорное сопротивление и часто переходил в контратаки. Советские пехотинцы и танкисты, совершив обходный манёвр, с севера прорвали оборонительные рубежи Инстербургского укреплённого района и вышли к реке Прегель. Не давая врагу опомниться и привести себя в порядок, наши части с хода переправились через реку и сегодня рано утром штурмом овладели городом Инстербург—узлом шоссейных и семи железных дорог. Таким образом, наши войска разгромили ещё один важнейший узел сопротивления немцев в Восточной Пруссии, состоявший из многоэтажных железобетонных дотов, усовершенствованных траншей, противотанковых рвов и других укреплений. В боях за Инстербург немцы потеряли убитыми до двух тысяч своих солдат и офицеров. По неполным данным, наши части захватили 9 танков, 46 полевых орудий и более 500 пленных.</w:t>
      </w:r>
    </w:p>
    <w:p w14:paraId="5B561357"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продвигались в глубь Восточной Пруссии. Советские части, действующие в трудных условиях лесисто-болотистой местности, с боями вышли на подступы к городу Алленштайн. Гитлеровцы упорно обороняли этот важнейший узел коммуникаций, расположенный на железнодорожной магистрали Инстербург—Познань. Многочисленные доты и дзоты прикрывали город со всех сторон. В ожесточённом бою наши войска разгромили крупные силы врага и овладели городом Алленштайн. Другие советские соединения заняли города Остероде и Дойтш-Айлау — сильно укреплённые пункты обороны немцев в Восточной Пруссии. Взято в плен свыше 600 солдат и офицеров противника.</w:t>
      </w:r>
    </w:p>
    <w:p w14:paraId="1030DEFA"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продолжали стремительное наступление. На Бромбергском направлении противник, обескровленный в последних боях, усилил свои потрёпанные дивизии охранными и сапёрными батальонами, полком связи и другими тыловыми и специальными подразделениями. Немцы, опираясь на заранее подготовленные рубежи, пытались организовать оборону. Однако все эти попытки гитлеровцев закончились неудачей. Советские части разгромили вражеские гарнизоны в ряде опорных пунктов. Преследуя немцев, наши войска ворвались в город Хоэнзальца (Иновроцлав) и к исходу дня овладели им. Занят также город Лабишин, находящийся в 18 километрах южнее города Бромберг. Другие наши части, преодолев обширный район, изобилующий озёрами, сегодня к исходу дня овладели городом Гнезен (Гнезно). Этот город является крупным узлом железных и шоссейных дорог и находится в 50 километрах восточнее порода Познань.</w:t>
      </w:r>
    </w:p>
    <w:p w14:paraId="3DE6E5A7" w14:textId="77777777" w:rsidR="004F53AD" w:rsidRPr="00F90EAE" w:rsidRDefault="004F53AD" w:rsidP="00F90EAE">
      <w:pPr>
        <w:jc w:val="both"/>
        <w:rPr>
          <w:color w:val="000000" w:themeColor="text1"/>
          <w:sz w:val="16"/>
          <w:szCs w:val="16"/>
        </w:rPr>
      </w:pPr>
      <w:r w:rsidRPr="00F90EAE">
        <w:rPr>
          <w:color w:val="000000" w:themeColor="text1"/>
          <w:sz w:val="16"/>
          <w:szCs w:val="16"/>
        </w:rPr>
        <w:t>Очищая леса восточнее и западнее города Лодзь, наши части взяли в плен 1.720 немцев. Захвачено у противника 50 танков и самоходных орудий, 250 автомашин и много других трофеев.</w:t>
      </w:r>
    </w:p>
    <w:p w14:paraId="5E05006C"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Украинского фронта развивали наступление на территории немецкой Силезии. Противник непрерывно подводит свежие части и с хода бросает их в бой. Особенно ожесточённые бои произошли на подступах к городу Гросс Стрелитц. На восточных подступах к городу немцы построили доты с бронированными куполами. Наши танкисты и пехотинцы умелым манёвром обошли основные опорные пункты вражеской обороны и стремительным ударом овладели городом. Занят также населённый пункт Брюнне, расположенный в 14 километрах севернее города Оппельн.</w:t>
      </w:r>
    </w:p>
    <w:p w14:paraId="00EE1764" w14:textId="77777777" w:rsidR="004F53AD" w:rsidRPr="00F90EAE" w:rsidRDefault="004F53AD" w:rsidP="00F90EAE">
      <w:pPr>
        <w:jc w:val="both"/>
        <w:rPr>
          <w:color w:val="000000" w:themeColor="text1"/>
          <w:sz w:val="16"/>
          <w:szCs w:val="16"/>
        </w:rPr>
      </w:pPr>
      <w:r w:rsidRPr="00F90EAE">
        <w:rPr>
          <w:color w:val="000000" w:themeColor="text1"/>
          <w:sz w:val="16"/>
          <w:szCs w:val="16"/>
        </w:rPr>
        <w:t>В одном районе в лесах ликвидирована окружённая группировка противника. В течение дня уничтожено до четырёх тысяч гитлеровцев. На поле боя обнаружен труп командира 56-го немецкого танкового корпуса генерал-лейтенанта фон Блока. Среди пленных — командир и начальник штаба 10-й немецкой моторизованной дивизии.» (15017).</w:t>
      </w:r>
    </w:p>
    <w:p w14:paraId="4903F6DF" w14:textId="77777777" w:rsidR="004F53AD" w:rsidRPr="00F90EAE" w:rsidRDefault="004F53AD" w:rsidP="00F90EAE">
      <w:pPr>
        <w:jc w:val="both"/>
        <w:rPr>
          <w:color w:val="000000" w:themeColor="text1"/>
          <w:sz w:val="16"/>
          <w:szCs w:val="16"/>
        </w:rPr>
      </w:pPr>
    </w:p>
    <w:p w14:paraId="3822B4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 января 1945 КА форсировала Одер у Оппельна (Ополе) (3907,255).</w:t>
      </w:r>
    </w:p>
    <w:p w14:paraId="2683232A" w14:textId="77777777" w:rsidR="00C2313B" w:rsidRPr="00F90EAE" w:rsidRDefault="00C2313B" w:rsidP="00F90EAE">
      <w:pPr>
        <w:autoSpaceDE w:val="0"/>
        <w:autoSpaceDN w:val="0"/>
        <w:adjustRightInd w:val="0"/>
        <w:jc w:val="both"/>
        <w:rPr>
          <w:color w:val="000000" w:themeColor="text1"/>
          <w:sz w:val="16"/>
          <w:szCs w:val="16"/>
        </w:rPr>
      </w:pPr>
    </w:p>
    <w:p w14:paraId="0FE8D7E7" w14:textId="77777777" w:rsidR="004F53AD" w:rsidRPr="00F90EAE" w:rsidRDefault="004F53AD" w:rsidP="00F90EAE">
      <w:pPr>
        <w:jc w:val="both"/>
        <w:rPr>
          <w:color w:val="000000" w:themeColor="text1"/>
          <w:sz w:val="16"/>
          <w:szCs w:val="16"/>
          <w:lang w:val="en-US"/>
        </w:rPr>
      </w:pPr>
      <w:r w:rsidRPr="00F90EAE">
        <w:rPr>
          <w:bCs/>
          <w:color w:val="000000" w:themeColor="text1"/>
          <w:sz w:val="16"/>
          <w:szCs w:val="16"/>
        </w:rPr>
        <w:t>22 января</w:t>
      </w:r>
      <w:r w:rsidRPr="00F90EAE">
        <w:rPr>
          <w:color w:val="000000" w:themeColor="text1"/>
          <w:sz w:val="16"/>
          <w:szCs w:val="16"/>
        </w:rPr>
        <w:t xml:space="preserve"> в 1945 году войска 3-го Белорусского фронта овладели в Восточной Пруссии город Инстербург. Немецкие войска под угрозой окружения начали отход из района Мазурских озёр в северо-западном направлении. Передовые части 1-го Украинского фронта вышли к реке Одер, 1-го Белорусского фронта - к познанскому оборонительному рубежу. Войска</w:t>
      </w:r>
      <w:r w:rsidRPr="00F90EAE">
        <w:rPr>
          <w:color w:val="000000" w:themeColor="text1"/>
          <w:sz w:val="16"/>
          <w:szCs w:val="16"/>
          <w:lang w:val="en-US"/>
        </w:rPr>
        <w:t xml:space="preserve"> 3-</w:t>
      </w:r>
      <w:r w:rsidRPr="00F90EAE">
        <w:rPr>
          <w:color w:val="000000" w:themeColor="text1"/>
          <w:sz w:val="16"/>
          <w:szCs w:val="16"/>
        </w:rPr>
        <w:t>гоУкраинскогофронтаоставилигородСекешфехерварвВенгрии</w:t>
      </w:r>
      <w:r w:rsidRPr="00F90EAE">
        <w:rPr>
          <w:color w:val="000000" w:themeColor="text1"/>
          <w:sz w:val="16"/>
          <w:szCs w:val="16"/>
          <w:lang w:val="en-US"/>
        </w:rPr>
        <w:t xml:space="preserve"> (15017).</w:t>
      </w:r>
    </w:p>
    <w:p w14:paraId="72AF83FE" w14:textId="77777777" w:rsidR="004F53AD" w:rsidRPr="00F90EAE" w:rsidRDefault="004F53AD" w:rsidP="00F90EAE">
      <w:pPr>
        <w:jc w:val="both"/>
        <w:rPr>
          <w:color w:val="000000" w:themeColor="text1"/>
          <w:sz w:val="16"/>
          <w:szCs w:val="16"/>
          <w:lang w:val="en-US"/>
        </w:rPr>
      </w:pPr>
    </w:p>
    <w:p w14:paraId="5267A7A0"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22, 1945: Advancing in East Prussia, the Red Army captures Insterburg and Allenstein (3819).</w:t>
      </w:r>
    </w:p>
    <w:p w14:paraId="6D9684CE" w14:textId="77777777" w:rsidR="00C2313B" w:rsidRPr="00F90EAE" w:rsidRDefault="00C2313B" w:rsidP="00F90EAE">
      <w:pPr>
        <w:autoSpaceDE w:val="0"/>
        <w:autoSpaceDN w:val="0"/>
        <w:adjustRightInd w:val="0"/>
        <w:jc w:val="both"/>
        <w:rPr>
          <w:color w:val="000000" w:themeColor="text1"/>
          <w:sz w:val="16"/>
          <w:szCs w:val="16"/>
          <w:lang w:val="en-US"/>
        </w:rPr>
      </w:pPr>
    </w:p>
    <w:p w14:paraId="4271D1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 января 1945 КА захватила Истенбург и Алленштайн (3819).</w:t>
      </w:r>
    </w:p>
    <w:p w14:paraId="2377DB48" w14:textId="77777777" w:rsidR="00C2313B" w:rsidRPr="00F90EAE" w:rsidRDefault="00C2313B" w:rsidP="00F90EAE">
      <w:pPr>
        <w:autoSpaceDE w:val="0"/>
        <w:autoSpaceDN w:val="0"/>
        <w:adjustRightInd w:val="0"/>
        <w:jc w:val="both"/>
        <w:rPr>
          <w:color w:val="000000" w:themeColor="text1"/>
          <w:sz w:val="16"/>
          <w:szCs w:val="16"/>
        </w:rPr>
      </w:pPr>
    </w:p>
    <w:p w14:paraId="1FD95746" w14:textId="033823F4" w:rsidR="00C42903" w:rsidRPr="00F90EAE" w:rsidRDefault="00C42903"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46FD8E07" w14:textId="77777777" w:rsidR="00C42903" w:rsidRPr="00F90EAE" w:rsidRDefault="00C42903" w:rsidP="00F90EAE">
      <w:pPr>
        <w:autoSpaceDE w:val="0"/>
        <w:autoSpaceDN w:val="0"/>
        <w:adjustRightInd w:val="0"/>
        <w:jc w:val="both"/>
        <w:rPr>
          <w:i/>
          <w:iCs/>
          <w:color w:val="000000" w:themeColor="text1"/>
          <w:sz w:val="16"/>
          <w:szCs w:val="16"/>
        </w:rPr>
      </w:pPr>
    </w:p>
    <w:p w14:paraId="1BC80BAE" w14:textId="77777777" w:rsidR="00C42903" w:rsidRPr="00F90EAE" w:rsidRDefault="00C42903" w:rsidP="00F90EAE">
      <w:pPr>
        <w:jc w:val="both"/>
        <w:rPr>
          <w:color w:val="0070C0"/>
          <w:sz w:val="16"/>
          <w:szCs w:val="16"/>
        </w:rPr>
      </w:pPr>
      <w:r w:rsidRPr="00F90EAE">
        <w:rPr>
          <w:color w:val="0070C0"/>
          <w:sz w:val="16"/>
          <w:szCs w:val="16"/>
        </w:rPr>
        <w:t>22 января 1945 самолеты оперативной группы 38 наносят ранним утром ночной удар по Формозе, потопив большой танкер в обмен на потерю трех американских самолетов, затем совершают 682 самолето-вылета в светлое время суток, чтобы нанести удар и провести фоторазведку против Окинавы, Сакисима Гунто, Иэ Сима , и Амами О Шима, уничтожив 28 японских самолетов на земле. Затем оперативная группа 38 возвращается на свою базу на атолле Улити. В течение января 1945 года ее самолеты уничтожили 300 000 тоннажа японских судов и заявили, что 615 японских самолетов были уничтожены в обмен на потерю 201 американских (20371).</w:t>
      </w:r>
    </w:p>
    <w:p w14:paraId="6474C2FD" w14:textId="77777777" w:rsidR="00C42903" w:rsidRPr="00F90EAE" w:rsidRDefault="00C42903" w:rsidP="00F90EAE">
      <w:pPr>
        <w:jc w:val="both"/>
        <w:rPr>
          <w:color w:val="0070C0"/>
          <w:sz w:val="16"/>
          <w:szCs w:val="16"/>
        </w:rPr>
      </w:pPr>
    </w:p>
    <w:p w14:paraId="6E695E44" w14:textId="77777777" w:rsidR="00C42903" w:rsidRPr="00F90EAE" w:rsidRDefault="00C42903" w:rsidP="00F90EAE">
      <w:pPr>
        <w:jc w:val="both"/>
        <w:rPr>
          <w:color w:val="0070C0"/>
          <w:sz w:val="16"/>
          <w:szCs w:val="16"/>
        </w:rPr>
      </w:pPr>
      <w:r w:rsidRPr="00F90EAE">
        <w:rPr>
          <w:color w:val="0070C0"/>
          <w:sz w:val="16"/>
          <w:szCs w:val="16"/>
        </w:rPr>
        <w:t>22 января 1945 самолеты ВВС США начинают интенсивную бомбардировку японских войск на Коррегидоре. К моменту высадки сухопутных войск США на Коррегидор 15–16 февраля они сбросят на остров более 3200 тонн (2 903 021 кг) бомб (20371).</w:t>
      </w:r>
    </w:p>
    <w:p w14:paraId="5B52484B" w14:textId="77777777" w:rsidR="00C42903" w:rsidRPr="00F90EAE" w:rsidRDefault="00C42903" w:rsidP="00F90EAE">
      <w:pPr>
        <w:jc w:val="both"/>
        <w:rPr>
          <w:color w:val="0070C0"/>
          <w:sz w:val="16"/>
          <w:szCs w:val="16"/>
        </w:rPr>
      </w:pPr>
    </w:p>
    <w:p w14:paraId="7EAC4D2B" w14:textId="77777777" w:rsidR="00C42903" w:rsidRPr="00F90EAE" w:rsidRDefault="00C42903" w:rsidP="00F90EAE">
      <w:pPr>
        <w:jc w:val="both"/>
        <w:rPr>
          <w:color w:val="0070C0"/>
          <w:sz w:val="16"/>
          <w:szCs w:val="16"/>
        </w:rPr>
      </w:pPr>
      <w:r w:rsidRPr="00F90EAE">
        <w:rPr>
          <w:color w:val="0070C0"/>
          <w:sz w:val="16"/>
          <w:szCs w:val="16"/>
        </w:rPr>
        <w:t xml:space="preserve">22 января 1945г. началась погрузка на борт «Вильгельма Густлоффа» военнослужащих и беженцев. Первыми разместили несколько десятков офицеров-подводников, затем несколько сотен женщин, проходивших службу во флотском вспомогательном дивизионе, несколько сотен раненых солдат, а потом стали пускать беженцев, отдавая преимущество женщинам и детям. К 30 января на борт судна приняли свыше 9 тысяч человек. Около 12.30 корабль отправился в свой последний путь. </w:t>
      </w:r>
      <w:r w:rsidRPr="00F90EAE">
        <w:rPr>
          <w:color w:val="0070C0"/>
          <w:sz w:val="16"/>
          <w:szCs w:val="16"/>
        </w:rPr>
        <w:lastRenderedPageBreak/>
        <w:t>Двигаясь в ночное время, якобы в ожидании встречи с конвоем тральщиков, капитан отдал явно губительное распоряжение включить все огни. В результате ярко освещенный лайнер был замечен советской подводной лодкой С – 13, под командованием капитана третьего ранга Александра Маринеско. В течение двух часов лодка шла за кораблем, выбирая удобную для атаки позицию. Когда капитан «Вильгельма Густлоффа» Петерсон, потеряв надежду дождаться конвой тральщиков, в 19.30 дал команду потушить огни, было уже поздно.</w:t>
      </w:r>
    </w:p>
    <w:p w14:paraId="3319685A" w14:textId="77777777" w:rsidR="00C42903" w:rsidRPr="00F90EAE" w:rsidRDefault="00C42903" w:rsidP="00F90EAE">
      <w:pPr>
        <w:jc w:val="both"/>
        <w:rPr>
          <w:color w:val="0070C0"/>
          <w:sz w:val="16"/>
          <w:szCs w:val="16"/>
        </w:rPr>
      </w:pPr>
      <w:r w:rsidRPr="00F90EAE">
        <w:rPr>
          <w:color w:val="0070C0"/>
          <w:sz w:val="16"/>
          <w:szCs w:val="16"/>
        </w:rPr>
        <w:t>В 21.04, с дистанции менее одного километра, С – 13 пустила первую торпеду, а затем еще две. Четвертая торпеда застряла в торпедном аппарате, едва не потопив саму лодку, но, на счастье, не взорвалась. Вскоре, в 21.16, первая торпеда распорола носовую часть лайнера, вторая угодила в бассейн, а третья - в машинное отделение.</w:t>
      </w:r>
    </w:p>
    <w:p w14:paraId="70C516BD" w14:textId="77777777" w:rsidR="00C42903" w:rsidRPr="00F90EAE" w:rsidRDefault="00C42903" w:rsidP="00F90EAE">
      <w:pPr>
        <w:jc w:val="both"/>
        <w:rPr>
          <w:color w:val="0070C0"/>
          <w:sz w:val="16"/>
          <w:szCs w:val="16"/>
        </w:rPr>
      </w:pPr>
      <w:r w:rsidRPr="00F90EAE">
        <w:rPr>
          <w:color w:val="0070C0"/>
          <w:sz w:val="16"/>
          <w:szCs w:val="16"/>
        </w:rPr>
        <w:t>Часть пассажиров погибла от взрывов, часть утонула в каютах нижних палуб, а оставшиеся в живых бросились к спасательным шлюпкам. Из-за создавшейся паники и давки погибла еще одна часть пассажиров. В большинстве женщины и дети. Приказав заблокировать водонепроницаемые отсеки, капитан Петерсон заблокировал и часть команды, которая должна была спускать шлюпки, а пассажиры не умели этого делать.</w:t>
      </w:r>
    </w:p>
    <w:p w14:paraId="54064CE4" w14:textId="77777777" w:rsidR="00C42903" w:rsidRPr="00F90EAE" w:rsidRDefault="00C42903" w:rsidP="00F90EAE">
      <w:pPr>
        <w:jc w:val="both"/>
        <w:rPr>
          <w:color w:val="0070C0"/>
          <w:sz w:val="16"/>
          <w:szCs w:val="16"/>
        </w:rPr>
      </w:pPr>
      <w:r w:rsidRPr="00F90EAE">
        <w:rPr>
          <w:color w:val="0070C0"/>
          <w:sz w:val="16"/>
          <w:szCs w:val="16"/>
        </w:rPr>
        <w:t>Корабль из состава сопровождения миноносец «Лев» начал спасение. Всего кораблю удалось спасти 472 пассажиров. Рядом с местом трагедии прошел имевший на своем борту полторы тысячи пассажиров крейсер «Адмирал Хиппер». Прошел не останавливаясь, так как опасался торпедной атаки. Единственному кораблю его конвоя - эсминцу Т – 38 - удалось достать из воды 179 человек. Суда, прибывшие через час с небольшим, живых не застали. В ледяной воде плавали только трупы и обломки. По максимальным оценкам, потери были оценены в 8-9 тысяч человек. Выжило приблизительно около 2 000 человек.</w:t>
      </w:r>
    </w:p>
    <w:p w14:paraId="10C0A6F7" w14:textId="77777777" w:rsidR="00C42903" w:rsidRPr="00F90EAE" w:rsidRDefault="00C42903" w:rsidP="00F90EAE">
      <w:pPr>
        <w:jc w:val="both"/>
        <w:rPr>
          <w:color w:val="0070C0"/>
          <w:sz w:val="16"/>
          <w:szCs w:val="16"/>
        </w:rPr>
      </w:pPr>
      <w:r w:rsidRPr="00F90EAE">
        <w:rPr>
          <w:color w:val="0070C0"/>
          <w:sz w:val="16"/>
          <w:szCs w:val="16"/>
        </w:rPr>
        <w:t>В различных источниках состав пассажиров "Густлова" сильно варьируется. По количеству погибших - от 4 до 8 тысяч. По составу пассажиров тоже непонятно: то "беженцы и военные", то "беженцы, военные, раненые и заключенные".</w:t>
      </w:r>
    </w:p>
    <w:p w14:paraId="49D206EE" w14:textId="77777777" w:rsidR="00C42903" w:rsidRPr="00F90EAE" w:rsidRDefault="00C42903" w:rsidP="00F90EAE">
      <w:pPr>
        <w:jc w:val="both"/>
        <w:rPr>
          <w:color w:val="0070C0"/>
          <w:sz w:val="16"/>
          <w:szCs w:val="16"/>
        </w:rPr>
      </w:pPr>
      <w:r w:rsidRPr="00F90EAE">
        <w:rPr>
          <w:color w:val="0070C0"/>
          <w:sz w:val="16"/>
          <w:szCs w:val="16"/>
        </w:rPr>
        <w:t>Один из источников дает следующий состав пассажиров "Густлова": на момент гибели его борту находилось 918 военных моряков, 373 из женской вспомогательной части флота, 162 раненых военнослужащих, 173 члена экипажа (гражданских моряков) и 4424 беженца. Всего 6050. Кроме них, внесенных в списки, на борт "Густлова" удалось попасть еще до 2 тысяч беженцев. Всего было спасено 876 человек. Погибло 16 офицеров учебной дивизии подводных сил, 390 курсантов, 250 женщин-военнослужащих, 90 членов экипажа, а также раненые военнослужащие.</w:t>
      </w:r>
    </w:p>
    <w:p w14:paraId="1960B0F4" w14:textId="77777777" w:rsidR="00C42903" w:rsidRPr="00F90EAE" w:rsidRDefault="00C42903" w:rsidP="00F90EAE">
      <w:pPr>
        <w:jc w:val="both"/>
        <w:rPr>
          <w:color w:val="0070C0"/>
          <w:sz w:val="16"/>
          <w:szCs w:val="16"/>
        </w:rPr>
      </w:pPr>
      <w:r w:rsidRPr="00F90EAE">
        <w:rPr>
          <w:color w:val="0070C0"/>
          <w:sz w:val="16"/>
          <w:szCs w:val="16"/>
        </w:rPr>
        <w:t>«Вильгельм Густлофф» - немецкий пассажирский лайнер, названный в честь убитого нацистского партийного деятеля. Корабль был спущен на воду в 1937 году и принадлежал организации «Сила через радость», которая фактически была самым крупным туроператором Третьего рейха.</w:t>
      </w:r>
    </w:p>
    <w:p w14:paraId="2D7147F9" w14:textId="77777777" w:rsidR="00C42903" w:rsidRPr="00F90EAE" w:rsidRDefault="00C42903" w:rsidP="00F90EAE">
      <w:pPr>
        <w:jc w:val="both"/>
        <w:rPr>
          <w:color w:val="0070C0"/>
          <w:sz w:val="16"/>
          <w:szCs w:val="16"/>
        </w:rPr>
      </w:pPr>
      <w:r w:rsidRPr="00F90EAE">
        <w:rPr>
          <w:color w:val="0070C0"/>
          <w:sz w:val="16"/>
          <w:szCs w:val="16"/>
        </w:rPr>
        <w:t>Это был корабль - символ третьего рейха, в круизных рейсах на «Вильгельме Густлоффе» побывали около 65 тысяч человек. Кроме этого, он перевозил добровольцев легиона «Кондор» для участия в гражданской войне в Испании.</w:t>
      </w:r>
    </w:p>
    <w:p w14:paraId="6DE2F24C" w14:textId="77777777" w:rsidR="00C42903" w:rsidRPr="00F90EAE" w:rsidRDefault="00C42903" w:rsidP="00F90EAE">
      <w:pPr>
        <w:jc w:val="both"/>
        <w:rPr>
          <w:color w:val="0070C0"/>
          <w:sz w:val="16"/>
          <w:szCs w:val="16"/>
        </w:rPr>
      </w:pPr>
      <w:r w:rsidRPr="00F90EAE">
        <w:rPr>
          <w:color w:val="0070C0"/>
          <w:sz w:val="16"/>
          <w:szCs w:val="16"/>
        </w:rPr>
        <w:t>Летом 1940г. руководство ВМС Германии приписало судно к школе подводников в Готенхафене. Теплоход перекрасили в камуфляжный цвет и удалили с его бортов красные кресты. Как плавучая казарма для школы подводников он использовался около четырех лет. Таким образом, это было самое настоящее вспомогательное судно германских ВМС (20190).</w:t>
      </w:r>
    </w:p>
    <w:p w14:paraId="36763B75" w14:textId="77777777" w:rsidR="00C42903" w:rsidRPr="00F90EAE" w:rsidRDefault="00C42903" w:rsidP="00F90EAE">
      <w:pPr>
        <w:jc w:val="both"/>
        <w:rPr>
          <w:color w:val="0070C0"/>
          <w:sz w:val="16"/>
          <w:szCs w:val="16"/>
        </w:rPr>
      </w:pPr>
    </w:p>
    <w:p w14:paraId="48241E3D" w14:textId="6FF5E275"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CA8F622" w14:textId="77777777" w:rsidR="00C2313B" w:rsidRPr="00F90EAE" w:rsidRDefault="00C2313B" w:rsidP="00F90EAE">
      <w:pPr>
        <w:autoSpaceDE w:val="0"/>
        <w:autoSpaceDN w:val="0"/>
        <w:adjustRightInd w:val="0"/>
        <w:jc w:val="both"/>
        <w:rPr>
          <w:iCs/>
          <w:color w:val="000000" w:themeColor="text1"/>
          <w:sz w:val="16"/>
          <w:szCs w:val="16"/>
        </w:rPr>
      </w:pPr>
    </w:p>
    <w:p w14:paraId="68F746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 января 1945 в НИИ ВВС поступил на гос. испытания Ил-2 N 18840122 с АМ-38Ф и винтом АВ-5Л-158 производства 18 завода, изготовленного в ноябре 1944</w:t>
      </w:r>
    </w:p>
    <w:p w14:paraId="7153AA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проводились с 25 января по 19 февраля 1945 в НИИ ВВС.</w:t>
      </w:r>
    </w:p>
    <w:p w14:paraId="31BD80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DFE0A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и ип/п П.Т.Аброщенко</w:t>
      </w:r>
    </w:p>
    <w:p w14:paraId="25D808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л, л-к 5 отд. 1У ГК НИИ ВВС к-н Г.А.Тиняков, подписал 22 февраля</w:t>
      </w:r>
    </w:p>
    <w:p w14:paraId="6BBBC5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облета: гм-р Стефановский - подписал 23 февраля</w:t>
      </w:r>
    </w:p>
    <w:p w14:paraId="1D90F9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нач. 5 отд. по л/ч п/п Долгов</w:t>
      </w:r>
    </w:p>
    <w:p w14:paraId="5DB512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Установлены кнопки управления передатчиком на ручкуе сектора нормального газа</w:t>
      </w:r>
    </w:p>
    <w:p w14:paraId="068979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система газового запуска холодного мотора</w:t>
      </w:r>
    </w:p>
    <w:p w14:paraId="630872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на испытания 23 января</w:t>
      </w:r>
    </w:p>
    <w:p w14:paraId="56227F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полетов, налет 10:50</w:t>
      </w:r>
    </w:p>
    <w:p w14:paraId="04946C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4644 кг, загруженного с-та с нормальной нагрузкой - 6325, ц/т 27,5%</w:t>
      </w:r>
    </w:p>
    <w:p w14:paraId="4D11F8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 капотирования при торможении 30:20</w:t>
      </w:r>
    </w:p>
    <w:p w14:paraId="45766C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состоит из:</w:t>
      </w:r>
    </w:p>
    <w:p w14:paraId="6B1C72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экипаж - 190 кг</w:t>
      </w:r>
    </w:p>
    <w:p w14:paraId="3D5EF7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горючее - 545 кг (0,747)</w:t>
      </w:r>
    </w:p>
    <w:p w14:paraId="7F400D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масло - 65 кг</w:t>
      </w:r>
    </w:p>
    <w:p w14:paraId="575374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бомбы - 400 кг</w:t>
      </w:r>
    </w:p>
    <w:p w14:paraId="37B462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2хВЯ - 132 кг, патроны к пушке (300) - 168 кг</w:t>
      </w:r>
    </w:p>
    <w:p w14:paraId="1E3AFD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УБТ - 21 кг, патроны (150) - 27</w:t>
      </w:r>
    </w:p>
    <w:p w14:paraId="580B23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2хШКАС - 21 кг, патронов ШКАС (1500) - 51 кг</w:t>
      </w:r>
    </w:p>
    <w:p w14:paraId="3E65A8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снарядов РС (4хРС-82) - 27 кг</w:t>
      </w:r>
    </w:p>
    <w:p w14:paraId="5D0C76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w:t>
      </w:r>
    </w:p>
    <w:p w14:paraId="421FD1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- 15</w:t>
      </w:r>
    </w:p>
    <w:p w14:paraId="59B429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вооружения - 29</w:t>
      </w:r>
    </w:p>
    <w:p w14:paraId="6FAFFB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- 1681 кг</w:t>
      </w:r>
    </w:p>
    <w:p w14:paraId="4D5B26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Основные ЛТД</w:t>
      </w:r>
    </w:p>
    <w:p w14:paraId="3CDB77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405 км/час на 1200 м</w:t>
      </w:r>
    </w:p>
    <w:p w14:paraId="4A7ADE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1000 м - 2,6 мин., на 3000 м - 8,8 мин.</w:t>
      </w:r>
    </w:p>
    <w:p w14:paraId="66BD08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5800 м, набор за 38 мин.</w:t>
      </w:r>
    </w:p>
    <w:p w14:paraId="7D04DA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мерилась при закрытых фонарях кабины л и стрелка, окрытых полностью заслонках водо и маслорадиатора</w:t>
      </w:r>
    </w:p>
    <w:p w14:paraId="3E3108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при весе 6325 и 2050 оборотах и Ра 1220</w:t>
      </w:r>
    </w:p>
    <w:p w14:paraId="7A2FEC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0 - 6,3</w:t>
      </w:r>
    </w:p>
    <w:p w14:paraId="1B9574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850 - 6,8</w:t>
      </w:r>
    </w:p>
    <w:p w14:paraId="4F9098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3000 - 4</w:t>
      </w:r>
    </w:p>
    <w:p w14:paraId="794267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5800 - ,5</w:t>
      </w:r>
    </w:p>
    <w:p w14:paraId="0382FB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Мотор эксплуатируется на бензине 4Б-78 и масле АО-8 М6</w:t>
      </w:r>
    </w:p>
    <w:p w14:paraId="52FA0C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Тиняков: управляемость с-та - хорошая, усилия на ручке - не большие</w:t>
      </w:r>
    </w:p>
    <w:p w14:paraId="5DB2B3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2B90BD76" w14:textId="77777777" w:rsidR="00C2313B" w:rsidRPr="00F90EAE" w:rsidRDefault="00C2313B" w:rsidP="00F90EAE">
      <w:pPr>
        <w:autoSpaceDE w:val="0"/>
        <w:autoSpaceDN w:val="0"/>
        <w:adjustRightInd w:val="0"/>
        <w:jc w:val="both"/>
        <w:rPr>
          <w:color w:val="000000" w:themeColor="text1"/>
          <w:sz w:val="16"/>
          <w:szCs w:val="16"/>
        </w:rPr>
      </w:pPr>
    </w:p>
    <w:p w14:paraId="6AC111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 января 1945 года В. Кузнецов писал письмо N Н-32/316 зам. командующего ВВС генерал-полковнику Репину.</w:t>
      </w:r>
    </w:p>
    <w:p w14:paraId="0BD715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Заводом N 466 совместно со старшим военпредом ГУЗ ВВС проведены 50-ти часовые официальные испытания мотора ВК-105ПФ с двухступенчатым нагнетателем конструкции ЦИАМ.</w:t>
      </w:r>
    </w:p>
    <w:p w14:paraId="555C69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утвердить прилагаемый отчет и засчитать указанное испытание как совместное официальное испытание мотора ВК-105ПФ с двухступенчатым нагнетателем. выше указанных моторов будет выпущено в соответствии решением ГОКО - 30 штук (1879,23).</w:t>
      </w:r>
    </w:p>
    <w:p w14:paraId="554675F5" w14:textId="77777777" w:rsidR="00C2313B" w:rsidRPr="00F90EAE" w:rsidRDefault="00C2313B" w:rsidP="00F90EAE">
      <w:pPr>
        <w:autoSpaceDE w:val="0"/>
        <w:autoSpaceDN w:val="0"/>
        <w:adjustRightInd w:val="0"/>
        <w:jc w:val="both"/>
        <w:rPr>
          <w:color w:val="000000" w:themeColor="text1"/>
          <w:sz w:val="16"/>
          <w:szCs w:val="16"/>
        </w:rPr>
      </w:pPr>
    </w:p>
    <w:p w14:paraId="0B282A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 января 1945 были продолжены испытания второго экземпляра скоростного бомбардировщика АМ-39, у которого 15 декабря 1944 в полете мотор вышел из строя из-за поломки лопаток нагнетателя. Указанием от 5/I-45 г. гл. конструктором Микулиным полеты были запрещены от устранения дефектов в нагнетателе (2592,88).</w:t>
      </w:r>
    </w:p>
    <w:p w14:paraId="1EF8D256" w14:textId="77777777" w:rsidR="00C2313B" w:rsidRPr="00F90EAE" w:rsidRDefault="00C2313B" w:rsidP="00F90EAE">
      <w:pPr>
        <w:autoSpaceDE w:val="0"/>
        <w:autoSpaceDN w:val="0"/>
        <w:adjustRightInd w:val="0"/>
        <w:jc w:val="both"/>
        <w:rPr>
          <w:color w:val="000000" w:themeColor="text1"/>
          <w:sz w:val="16"/>
          <w:szCs w:val="16"/>
        </w:rPr>
      </w:pPr>
    </w:p>
    <w:p w14:paraId="4AA9F1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 января 1945 года адмирал флота Кузнецов писал письмо N97сс Шахурину.</w:t>
      </w:r>
    </w:p>
    <w:p w14:paraId="749A07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году на вооружение ВВС ВМФ был принят химический авиационный разовый ампульный прибор "ХАРП-500-300А", разработанный ОКБ при заводе N 455 НКАП по заданию НИХИ ВМФ.</w:t>
      </w:r>
    </w:p>
    <w:p w14:paraId="542F3F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Прибор предназначается для поражения живой силы и боевых средств противника отравляющими и зажигательными веществами, а также для ослепления кораблей и береговых батарей противника с помощью дымообразующих веществ.</w:t>
      </w:r>
    </w:p>
    <w:p w14:paraId="33979C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организовано серийное производство "ХАРП-500-300А" и первые партии приборов уже подаются в части ВВС ВМФ для боевого использования.</w:t>
      </w:r>
    </w:p>
    <w:p w14:paraId="5A4E79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Для более полного использования самолетного парка по приборам типа "ХАРП-500-300А" в 1944 г. ОКБ завода N 455 НКАП был разработан аналогичный прибор в габаритах ФАБ-250 - "ХАРП-250-200А". опытная партия "ХАРП-250-200А" прошла летно-заводские испытания, на которых была установлена необходимость произвести небольшие доводки прибора для предъявления его на полигонные испытания.</w:t>
      </w:r>
    </w:p>
    <w:p w14:paraId="0F8CB5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Переработка чертежей и изготовление опытной партии "ХАРП-250-200А" включены ХИМУ ВМФ в проект постановления ГОКО на 1945 г. по опытным образцам химвооружения для ВМФ. Однако Ваш заместитель Дементьев в своем письме в аппарат Госплана сообщил, что эта работа не может быть принята к исполнению в ОКБ завода N 455 НКАП и высказал пожелание передать ее для исполнения в системе НКБ.</w:t>
      </w:r>
    </w:p>
    <w:p w14:paraId="2419FC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Последнее является нежелательным, т.к. ОКБ завода N 455 НКАП имеет большой опыт в разработке аналогичных приборов (ЗАБ-500-300тш, ЗАБ-100-65тш, ХАРП-500-300А) и доработка "ХАРП-250-200А" в ОКБ может быть произведена без затруднений, тем более, что объем работ весьма невелик.</w:t>
      </w:r>
    </w:p>
    <w:p w14:paraId="14025B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 вышеизложенным, прошу Вашего согласия на включение работы по "ХАРП-250-200А" в Постановление ГОКО по ОКБ завода N 455 НКАП на 1945 год с исполнением ее в сроки, согласованные с Вашим заместителем Дементьевым (2595).</w:t>
      </w:r>
    </w:p>
    <w:p w14:paraId="39733F47" w14:textId="77777777" w:rsidR="00C2313B" w:rsidRPr="00F90EAE" w:rsidRDefault="00C2313B" w:rsidP="00F90EAE">
      <w:pPr>
        <w:autoSpaceDE w:val="0"/>
        <w:autoSpaceDN w:val="0"/>
        <w:adjustRightInd w:val="0"/>
        <w:jc w:val="both"/>
        <w:rPr>
          <w:color w:val="000000" w:themeColor="text1"/>
          <w:sz w:val="16"/>
          <w:szCs w:val="16"/>
        </w:rPr>
      </w:pPr>
    </w:p>
    <w:p w14:paraId="154F53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января 1945 НКАП А.И.Ш. писал письмо НК ВМФ аф Н.Г.Кузнецову:</w:t>
      </w:r>
    </w:p>
    <w:p w14:paraId="1F524E8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Указанные в Вашем письме акустические приборы имеются в ЦИАМ не в нескольких комплектах, а в единственном экземпляре. В то же время, эти приборы имеются в НИИ, выполняющих тематику НК ВМФ: спектрометр Сименса - в НИИ-10 НКСП, шальдрукмессер и прибор Неймана - в акустической лаборатории АН СССР, занятой исключительно работами для ВМФ. Второй экземпляр шальдрукмессера, имеющийся в ЦИАМ, был передан в 1941 г временно (на 2 месяца) в НИИ-45 НКСП и до сих пор не возвращен.</w:t>
      </w:r>
    </w:p>
    <w:p w14:paraId="339AB4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Вместе с тем, Вас неправильно информировали о том, что акустическая тематика ЦИАМ на 1945 г. сокращена. Объем работ в этом направлении, выполняемый ЦИАМ, значительно меньше потребностей и определяется, главным образом, имеющейся аппаратурой.</w:t>
      </w:r>
    </w:p>
    <w:p w14:paraId="51116C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этим, НКАП не сможет передать указанную Вами акустическую аппаратуру из ЦИАМ во временное пользование НК ВМФ. Для решения вопроса о возможности временной передачи некоторыъ сервисных приборов Вам надлежит направить в ЦИАМ их спецификацию.</w:t>
      </w:r>
    </w:p>
    <w:p w14:paraId="24745C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Одновременно прошу ускорить возвращение в ЦИАМ американского шумомера, переданного НК ВМФ, в соответствии с Вашей просьбой, во временное пользование до декабря 1944 г. (2952,3).</w:t>
      </w:r>
    </w:p>
    <w:p w14:paraId="1F02F4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F797D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РД-2М был предъявлен на гос. испытания, которые прошли с 23 января по 18 февраля 1945 (2928,88).</w:t>
      </w:r>
    </w:p>
    <w:p w14:paraId="02DC43C5" w14:textId="77777777" w:rsidR="00C2313B" w:rsidRPr="00F90EAE" w:rsidRDefault="00C2313B" w:rsidP="00F90EAE">
      <w:pPr>
        <w:autoSpaceDE w:val="0"/>
        <w:autoSpaceDN w:val="0"/>
        <w:adjustRightInd w:val="0"/>
        <w:jc w:val="both"/>
        <w:rPr>
          <w:color w:val="000000" w:themeColor="text1"/>
          <w:sz w:val="16"/>
          <w:szCs w:val="16"/>
        </w:rPr>
      </w:pPr>
    </w:p>
    <w:p w14:paraId="5720A0A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9C0EAF6" w14:textId="77777777" w:rsidR="00C2313B" w:rsidRPr="00F90EAE" w:rsidRDefault="00C2313B" w:rsidP="00F90EAE">
      <w:pPr>
        <w:autoSpaceDE w:val="0"/>
        <w:autoSpaceDN w:val="0"/>
        <w:adjustRightInd w:val="0"/>
        <w:jc w:val="both"/>
        <w:rPr>
          <w:iCs/>
          <w:color w:val="000000" w:themeColor="text1"/>
          <w:sz w:val="16"/>
          <w:szCs w:val="16"/>
        </w:rPr>
      </w:pPr>
    </w:p>
    <w:p w14:paraId="1902AF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января 1945 г. вышел ПРИКАЗ НАРОДНОГО КОМИССАРА ТАНКОВОЙ ПРОМЫШЛЕННОСТИ СССР И КОМАНДУЮЩЕГО БТ и МВ КА ПО СОЗДАНИЮ КОМИССИИ ДЛЯ ПРОВЕДЕНИЯ ИСПЫТАНИИ МОТОРА №32/014</w:t>
      </w:r>
    </w:p>
    <w:p w14:paraId="1709A9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удовлетворительными результатами проведенных на заводе №77 заводских испыта</w:t>
      </w:r>
      <w:r w:rsidRPr="00F90EAE">
        <w:rPr>
          <w:color w:val="000000" w:themeColor="text1"/>
          <w:sz w:val="16"/>
          <w:szCs w:val="16"/>
        </w:rPr>
        <w:softHyphen/>
        <w:t>ний дизельмотора В-16Ф с насос-форсунками, в которых применен распылитель закрытого типа, на форсированном режиме, ПРИКАЗЫВАЕМ:</w:t>
      </w:r>
    </w:p>
    <w:p w14:paraId="68AA15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Провести на заводе №77 государственные стендовые испытания мотора В-16Ф продолжи</w:t>
      </w:r>
      <w:r w:rsidRPr="00F90EAE">
        <w:rPr>
          <w:color w:val="000000" w:themeColor="text1"/>
          <w:sz w:val="16"/>
          <w:szCs w:val="16"/>
        </w:rPr>
        <w:softHyphen/>
        <w:t>тельностью 100 часов, согласно прилагаемой программе.</w:t>
      </w:r>
    </w:p>
    <w:p w14:paraId="5FF596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Для проведения испытаний назначить комиссию в следующем составе: председатель комиссии — инженер-полковник т. Солонин (ГБТУ КА). Члены комиссии:</w:t>
      </w:r>
    </w:p>
    <w:p w14:paraId="6BA1F1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инженер-майор т. Лаврушенков (ГБТУ КА),</w:t>
      </w:r>
    </w:p>
    <w:p w14:paraId="3EC994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 Лившиц (НКТП),</w:t>
      </w:r>
    </w:p>
    <w:p w14:paraId="565359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 Лев (завод №77),</w:t>
      </w:r>
    </w:p>
    <w:p w14:paraId="56AEC2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 Артемьев (завод №77).</w:t>
      </w:r>
    </w:p>
    <w:p w14:paraId="0975FD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Комиссии начать испытания дизельмотора В-16Ф 25 января и закончить к 5 февраля 1945 года. Окончательный отчет о результатах испытания представить в НКТП и ГБТУ КА к 10 февраля 1945 года.</w:t>
      </w:r>
    </w:p>
    <w:p w14:paraId="0E8C50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Директору завода №77 т. Толмачеву:</w:t>
      </w:r>
    </w:p>
    <w:p w14:paraId="37FA2A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подготовить к испытаниям два мотора В-16Ф, один из них в качестве резервного;</w:t>
      </w:r>
    </w:p>
    <w:p w14:paraId="132EFA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обеспечить проведение испытаний мотора В-16Ф на заводе №77 без задержек, выделив для это</w:t>
      </w:r>
      <w:r w:rsidRPr="00F90EAE">
        <w:rPr>
          <w:color w:val="000000" w:themeColor="text1"/>
          <w:sz w:val="16"/>
          <w:szCs w:val="16"/>
        </w:rPr>
        <w:softHyphen/>
        <w:t>го необходимый квалифицированный обслуживающий персонал, испытательный стенд, горючее и пр.;</w:t>
      </w:r>
    </w:p>
    <w:p w14:paraId="0C5550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обеспечить госкомиссию питанием, помещением для жилья и спецодеждой.</w:t>
      </w:r>
    </w:p>
    <w:p w14:paraId="400472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Народный комиссар танковой промышленности СССР В. Малышев</w:t>
      </w:r>
    </w:p>
    <w:p w14:paraId="059E3D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22985D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11353. Д. 1519. Л. 39. Копия (11420).</w:t>
      </w:r>
    </w:p>
    <w:p w14:paraId="4A4ECD21" w14:textId="77777777" w:rsidR="00C2313B" w:rsidRPr="00F90EAE" w:rsidRDefault="00C2313B" w:rsidP="00F90EAE">
      <w:pPr>
        <w:autoSpaceDE w:val="0"/>
        <w:autoSpaceDN w:val="0"/>
        <w:adjustRightInd w:val="0"/>
        <w:jc w:val="both"/>
        <w:rPr>
          <w:color w:val="000000" w:themeColor="text1"/>
          <w:sz w:val="16"/>
          <w:szCs w:val="16"/>
        </w:rPr>
      </w:pPr>
    </w:p>
    <w:p w14:paraId="4C203A9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B737C69" w14:textId="77777777" w:rsidR="00C2313B" w:rsidRPr="00F90EAE" w:rsidRDefault="00C2313B" w:rsidP="00F90EAE">
      <w:pPr>
        <w:autoSpaceDE w:val="0"/>
        <w:autoSpaceDN w:val="0"/>
        <w:adjustRightInd w:val="0"/>
        <w:jc w:val="both"/>
        <w:rPr>
          <w:iCs/>
          <w:color w:val="000000" w:themeColor="text1"/>
          <w:sz w:val="16"/>
          <w:szCs w:val="16"/>
        </w:rPr>
      </w:pPr>
    </w:p>
    <w:p w14:paraId="6878704E" w14:textId="77777777" w:rsidR="004F53AD" w:rsidRPr="00F90EAE" w:rsidRDefault="004F53AD" w:rsidP="00F90EAE">
      <w:pPr>
        <w:jc w:val="both"/>
        <w:rPr>
          <w:color w:val="000000" w:themeColor="text1"/>
          <w:sz w:val="16"/>
          <w:szCs w:val="16"/>
        </w:rPr>
      </w:pPr>
      <w:r w:rsidRPr="00F90EAE">
        <w:rPr>
          <w:bCs/>
          <w:color w:val="000000" w:themeColor="text1"/>
          <w:sz w:val="16"/>
          <w:szCs w:val="16"/>
        </w:rPr>
        <w:t>23 января</w:t>
      </w:r>
      <w:r w:rsidRPr="00F90EAE">
        <w:rPr>
          <w:color w:val="000000" w:themeColor="text1"/>
          <w:sz w:val="16"/>
          <w:szCs w:val="16"/>
        </w:rPr>
        <w:t xml:space="preserve"> в 1945 году оперативная сводка Совинформбюро:</w:t>
      </w:r>
    </w:p>
    <w:p w14:paraId="6F7947F6"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3-го Белорусского фронта, сломив сопротивление противника, форсировали реки Дайме и Прегель и овладели городами Лабиау и Велау — важными опорными пунктами обороны немцев, прикрывающими подступы к Кенигсбергу. Одновременно южнее города Инстербург войска фронта с боем овладели городами Даркемен, Бенкхайм и Тройбург, превращенными немцами в сильные опорные пункты обороны, а также с боями заняли более 700 других немецких населённых пунктов, в том числе крупные населённые пункты Лабагинен, Гросс Пеппельн, Адлих Бервальде, Грюнхайн, Ромау, Бюргерсдорф, Клайн Нур, Гросс Эшенбрух, Норкитен, Швирбельн, Шеппетшен, Йургайтшен, Тремпен, Кунигелен, Клайн Байнунен, Медунишкен, Лиссен, Рогоннен, Голлюбин, Крупиннен, Войнассен и железнодорожные станции Шелекен, Пушдорф, Карльсвальде, Зоденен, Клайн Байнунен, Колау.</w:t>
      </w:r>
    </w:p>
    <w:p w14:paraId="1ACA8A3A" w14:textId="77777777" w:rsidR="004F53AD" w:rsidRPr="00F90EAE" w:rsidRDefault="004F53AD" w:rsidP="00F90EAE">
      <w:pPr>
        <w:jc w:val="both"/>
        <w:rPr>
          <w:color w:val="000000" w:themeColor="text1"/>
          <w:sz w:val="16"/>
          <w:szCs w:val="16"/>
        </w:rPr>
      </w:pPr>
      <w:r w:rsidRPr="00F90EAE">
        <w:rPr>
          <w:color w:val="000000" w:themeColor="text1"/>
          <w:sz w:val="16"/>
          <w:szCs w:val="16"/>
        </w:rPr>
        <w:t>Южнее и юго-западнее города Августов наши войска, форсировав Августовский канал и реку Бобр (Бебжа), овладели городами Райгруд, Граево, Визна, Едвобне. а также с (боями заняли более 350 других населённых пунктов, в числе которых крупные населённые пункты Рудки-Старе, Камионка-Стара, Барглув-Косцельны, Солистувка, Шиманы, Млимашевница, Родзилуз, Пжитулы, Кобылин, Рогенице-Вельке и железнодорожные станции Руда, Граево.</w:t>
      </w:r>
    </w:p>
    <w:p w14:paraId="67258F3C"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23 января с боем овладели городами в Восточной Пруссии — Вилленберг, Ортельсбург, Морунген, Заальфельд и Фрайштадт — важными узлами коммуникаций и сильными опорными пунктами обороны немцев, а также с боями заняли более 600 других немецких населённых пунктов, среди которых крупные населённые пункты Зендровен, Гросс Шиманен, Пассенхайм, Гросс Пурден, Дойтен, Дитрихсвальде, Либемюль и железнодорожные станции Гросс Шиманен, Граммен, Пассенхайм, Мертинсдорф, Клаукендорф, Наттерн, Шенфельде, Тьисселлен, Вергфриде, Либе-Мюль, Гросс Алтенгаген, Зонненборон. Одновременно войска фронта овладели на территории Польши городом и железнодорожным узлом Бродница, городом Липно, а также с боями заняли более 450 других населённых пунктов, в том числе крупные населённые пункты Миколайки, Шафарня, Гурале, Збично, Карбово, Вроцки, Пулвеск, Венгерок, Рудав, Кикол, Бжезьно, Шпеталь, Гурны.</w:t>
      </w:r>
    </w:p>
    <w:p w14:paraId="26F4EB88"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развивая успешное наступление, 23 января в результате обходного манёвра подвижных частей в сочетании с атакой с фронта овладели городом Быдгощ (Бромберг) — важным узлом железных и шоссейных дорог и мощным опорным пунктом обороны немцев у нижнего течения Вислы, а также с боями заняли города Пакош, Стшельно, Слупца, Голина, Конин, Турек, Серадз, Блашки и более чем 600 других населённых пунктов.</w:t>
      </w:r>
    </w:p>
    <w:p w14:paraId="1CFC881D"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Украинского фронта, преодолевая сопротивление немцев в Силезии. 23 января овладели городами Милич, Бернштадт, Намслау, Карльсмаркт, Тост и Бишофсталь важными узлами коммуникаций и опорными пунктами обороны немцев, и вышли на реку Одер в районе города Бреслау на участке протяжением 60 километров, а также с боями заняли более 200 немецких населённых пунктов, среди которых город Пейскречам и крупные населённые пункты Штрадам, Альт Эльгут, Вабнитц, Бухвальд, Минкен, Пайштервитц, Шайдельвитц, Штоберау, Альт Поппелау, Рутенау, Крейцвальд, Клостербрюкк, Зйххаммер, Бургхоф, Зрленбуш, Штральхейм. Одновременно войска фронта овладели на территории Польши городами Грабув, Шильдберг (Остшешув), Кемпно, Тарновиц и с боями заняли более 450 других населённых пунктов.</w:t>
      </w:r>
    </w:p>
    <w:p w14:paraId="1EFE93DC" w14:textId="77777777" w:rsidR="004F53AD" w:rsidRPr="00F90EAE" w:rsidRDefault="004F53AD" w:rsidP="00F90EAE">
      <w:pPr>
        <w:jc w:val="both"/>
        <w:rPr>
          <w:color w:val="000000" w:themeColor="text1"/>
          <w:sz w:val="16"/>
          <w:szCs w:val="16"/>
        </w:rPr>
      </w:pPr>
      <w:r w:rsidRPr="00F90EAE">
        <w:rPr>
          <w:color w:val="000000" w:themeColor="text1"/>
          <w:sz w:val="16"/>
          <w:szCs w:val="16"/>
        </w:rPr>
        <w:t>Южнее и юго-восточнее Кракова наши войска с боями продвигались вперёд и овладели на территории Польши городом Стары Сонч, а также заняли более 80 других населённых пунктов, среди которых крупные населённые пункты Скавина, Радзи-Шув, Рудник, Сулковице, Ястжембя, Будзюв, Зембжице, Суха, Макув, Бенькувка, Кокушка, Жегестув.</w:t>
      </w:r>
    </w:p>
    <w:p w14:paraId="277B11CD" w14:textId="77777777" w:rsidR="004F53AD" w:rsidRPr="00F90EAE" w:rsidRDefault="004F53AD" w:rsidP="00F90EAE">
      <w:pPr>
        <w:jc w:val="both"/>
        <w:rPr>
          <w:color w:val="000000" w:themeColor="text1"/>
          <w:sz w:val="16"/>
          <w:szCs w:val="16"/>
        </w:rPr>
      </w:pPr>
      <w:r w:rsidRPr="00F90EAE">
        <w:rPr>
          <w:color w:val="000000" w:themeColor="text1"/>
          <w:sz w:val="16"/>
          <w:szCs w:val="16"/>
        </w:rPr>
        <w:t>В Будапеште наши войска вели бои по уничтожению окружённых частей противника в западной части города (Буда) и заняли 25 кварталов.</w:t>
      </w:r>
    </w:p>
    <w:p w14:paraId="3766A5C3" w14:textId="77777777" w:rsidR="004F53AD" w:rsidRPr="00F90EAE" w:rsidRDefault="004F53AD" w:rsidP="00F90EAE">
      <w:pPr>
        <w:jc w:val="both"/>
        <w:rPr>
          <w:color w:val="000000" w:themeColor="text1"/>
          <w:sz w:val="16"/>
          <w:szCs w:val="16"/>
        </w:rPr>
      </w:pPr>
      <w:r w:rsidRPr="00F90EAE">
        <w:rPr>
          <w:color w:val="000000" w:themeColor="text1"/>
          <w:sz w:val="16"/>
          <w:szCs w:val="16"/>
        </w:rPr>
        <w:t>Юго-западнее Будапешта наши войска отбивали атаки крупных сил пехоты и танков противника и после упорных боёв оставили город Секешфехервар.</w:t>
      </w:r>
    </w:p>
    <w:p w14:paraId="77F1FDD5" w14:textId="77777777" w:rsidR="004F53AD" w:rsidRPr="00F90EAE" w:rsidRDefault="004F53AD" w:rsidP="00F90EAE">
      <w:pPr>
        <w:jc w:val="both"/>
        <w:rPr>
          <w:color w:val="000000" w:themeColor="text1"/>
          <w:sz w:val="16"/>
          <w:szCs w:val="16"/>
        </w:rPr>
      </w:pPr>
      <w:r w:rsidRPr="00F90EAE">
        <w:rPr>
          <w:color w:val="000000" w:themeColor="text1"/>
          <w:sz w:val="16"/>
          <w:szCs w:val="16"/>
        </w:rPr>
        <w:t>За 22 января наши войска на всех фронтах подбили и уничтожили 56 немецких танков, из них более 30 танков — в районе города Секешфехервар. В воздушных боях и огнём зенитной артиллерии сбито 52 самолёта противника.</w:t>
      </w:r>
    </w:p>
    <w:p w14:paraId="19A3C5F9" w14:textId="77777777" w:rsidR="004F53AD" w:rsidRPr="00F90EAE" w:rsidRDefault="004F53AD" w:rsidP="00F90EAE">
      <w:pPr>
        <w:jc w:val="both"/>
        <w:rPr>
          <w:color w:val="000000" w:themeColor="text1"/>
          <w:sz w:val="16"/>
          <w:szCs w:val="16"/>
        </w:rPr>
      </w:pPr>
      <w:r w:rsidRPr="00F90EAE">
        <w:rPr>
          <w:color w:val="000000" w:themeColor="text1"/>
          <w:sz w:val="16"/>
          <w:szCs w:val="16"/>
        </w:rPr>
        <w:t xml:space="preserve">Войска 3-го Белорусского фронта продолжали успешное наступление. Противник укрепился на рубежах рек Дайме и Прегель и оказывал яростное сопротивление. Немцы располагали на этом участке заранее подготовленными оборонительными рубежами. Наши пехотинцы при поддержке артиллерийского огня переправились </w:t>
      </w:r>
      <w:r w:rsidRPr="00F90EAE">
        <w:rPr>
          <w:color w:val="000000" w:themeColor="text1"/>
          <w:sz w:val="16"/>
          <w:szCs w:val="16"/>
        </w:rPr>
        <w:lastRenderedPageBreak/>
        <w:t>через реку Дайме и штурмом овладели городом Лабиау— важным опорным пунктом обороны немцев. Лабиау находится в 40 километрах от Кенигсберга — главного города Восточной Пруссии. Другие наши части, сломив ожесточенное сопротивление противника, форсировали реку Прегель и заняли город Велау. В этих боях немцы потеряли только убитыми до 3 тысяч своих солдат и офицеров. Отступая под ударами советских войск, гитлеровцы оставили на поле боя много оружия и военных материалов. Среди других трофеев нашими частями захвачено 8 самолётов и 88 полевых орудий.</w:t>
      </w:r>
    </w:p>
    <w:p w14:paraId="3AEEA305"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продолжали с боями продвигаться в глубь Восточной Пруссии. Многочисленные озёра и леса затрудняют действия наших войск. Проходы между озёрами немцы укрепили железобетонными дотами и дзотами. Советские части, наступающие в северном направлении, продвинулись вперёд до 25 километров и в результате упорного боя овладели узлом железных и шоссейных дорог городом Морунген. Другие наши части прорвали сильно укреплённые позиции противника и выбили его из города Заальфельд. Этот город расположен в 45 километрах от побережья Балтийского моря. Контратаки танков и учебных морских батальонов противника успеха не имели. Уничтожен вражеский бронепоезд, обстреливавший наши боевые порядки. Захвачено у немцев 12 железнодорожных эшелонов с танками и артиллерией. Взяты в плен сотни солдат и офицеров противника, в числе которых немецкий генерал-лейтенант Ганс Вессеман.</w:t>
      </w:r>
    </w:p>
    <w:p w14:paraId="6FF0CE2E"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развивали стремительное наступление. Немцы пытались задержать советские части на подступах к городу Быдгощ (Бромберг) и ввели в бой свежие резеры пехоты и танков. Однако попытки противника закрепиться на промежуточных рубежах были сорваны решительными действиями наших войск. Советские подвижные части совершили стремительный обходный манёвр и вышли к западным окраинам города Быдгощ. Таким образом, железные и шоссейные дороги, идущие из города на юго-запад и запад, оказались перерезанными. Сопротивление гитлеровцев было дезорганизовано. Не давая врагу перегруппировать свои силы, наши войска предприняли атаку с фронта и сегодня к исходу дня овладели городом Быдгощ — мощным опорным пунктом обороны немцев в нижнем течении реки Вислы. В бою за город разбиты части двух немецких пехотных дивизий. Захвачены 8 железнодорожных эшелонов и 20 крупных складов противника с боеприпасами и с военным имуществом. Взято в плен более 1.000 немецких солдат и офицеров.</w:t>
      </w:r>
    </w:p>
    <w:p w14:paraId="0422B2FA"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Украинского фронта вели успешные наступательные бои на территории немецкой Силезии. Противник, защищая свой крупнейший промышленный район, оказывает упорное сопротивление. В последние дни установлено участие в боях нескольких пехотных дивизий, ряда специальных частей и подразделений, спешно переброшенных с других фронтов. Захвачены в плен солдаты 269-й, немецкой пехотной дивизии, на днях прибывшей с южного участка Западного фронта. Нанося врагу непрерывные удары, наши войска настойчиво продвигаются вперёд. Особенно ожесточённые бет происходят на подступах к крупным населённым пунктам и на перекрёстках дорог, где немцы построили железобетонные доты. Расчищая путь нашей пехоте, подразделение самоходных орудий офицера Шишова за одну ночь разгромило 25 дотов и дзотов. Сегодня советские части штурмом овладели городом Бернштадт, находящимся в 30 километрах восточнее Бреслау. Развивая успех, наши войска на широком фронте вышли на реку Одер. Отдельные части противника были прижаты к реке и сложили оружие. По неполным данным, только в одном районе взято в плен 2.000 немецких солдат и офицеров.» (15018).</w:t>
      </w:r>
    </w:p>
    <w:p w14:paraId="4238C277" w14:textId="77777777" w:rsidR="004F53AD" w:rsidRPr="00F90EAE" w:rsidRDefault="004F53AD" w:rsidP="00F90EAE">
      <w:pPr>
        <w:jc w:val="both"/>
        <w:rPr>
          <w:color w:val="000000" w:themeColor="text1"/>
          <w:sz w:val="16"/>
          <w:szCs w:val="16"/>
        </w:rPr>
      </w:pPr>
    </w:p>
    <w:p w14:paraId="16891810" w14:textId="77777777" w:rsidR="004F53AD" w:rsidRPr="00F90EAE" w:rsidRDefault="004F53AD" w:rsidP="00F90EAE">
      <w:pPr>
        <w:jc w:val="both"/>
        <w:rPr>
          <w:color w:val="000000" w:themeColor="text1"/>
          <w:sz w:val="16"/>
          <w:szCs w:val="16"/>
        </w:rPr>
      </w:pPr>
      <w:r w:rsidRPr="00F90EAE">
        <w:rPr>
          <w:bCs/>
          <w:color w:val="000000" w:themeColor="text1"/>
          <w:sz w:val="16"/>
          <w:szCs w:val="16"/>
        </w:rPr>
        <w:t>23 января</w:t>
      </w:r>
      <w:r w:rsidRPr="00F90EAE">
        <w:rPr>
          <w:color w:val="000000" w:themeColor="text1"/>
          <w:sz w:val="16"/>
          <w:szCs w:val="16"/>
        </w:rPr>
        <w:t xml:space="preserve"> в 1945 году войска 1-го Белорусского фронта окружили группировку немецко-фашистских войск в Познани (15018).</w:t>
      </w:r>
    </w:p>
    <w:p w14:paraId="246CE692" w14:textId="77777777" w:rsidR="004F53AD" w:rsidRPr="00F90EAE" w:rsidRDefault="004F53AD" w:rsidP="00F90EAE">
      <w:pPr>
        <w:jc w:val="both"/>
        <w:rPr>
          <w:color w:val="000000" w:themeColor="text1"/>
          <w:sz w:val="16"/>
          <w:szCs w:val="16"/>
        </w:rPr>
      </w:pPr>
    </w:p>
    <w:p w14:paraId="00D630D5" w14:textId="77777777" w:rsidR="004F53AD" w:rsidRPr="00F90EAE" w:rsidRDefault="004F53AD"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января 1945 Гитлер назначил Гиммлера командующим группой армий “Висла” (4962).</w:t>
      </w:r>
    </w:p>
    <w:p w14:paraId="341BFAED" w14:textId="77777777" w:rsidR="004F53AD" w:rsidRPr="00F90EAE" w:rsidRDefault="004F53AD" w:rsidP="00F90EAE">
      <w:pPr>
        <w:tabs>
          <w:tab w:val="left" w:pos="11199"/>
        </w:tabs>
        <w:autoSpaceDE w:val="0"/>
        <w:autoSpaceDN w:val="0"/>
        <w:adjustRightInd w:val="0"/>
        <w:jc w:val="both"/>
        <w:rPr>
          <w:color w:val="000000" w:themeColor="text1"/>
          <w:sz w:val="16"/>
          <w:szCs w:val="16"/>
        </w:rPr>
      </w:pPr>
    </w:p>
    <w:p w14:paraId="30761B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23 января по 8 мая 1945 из Восточной и Западной Пруссии был эвакуировано почти 2 млн. немцев (2248,1).</w:t>
      </w:r>
    </w:p>
    <w:p w14:paraId="3E0EEA69" w14:textId="77777777" w:rsidR="00C2313B" w:rsidRPr="00F90EAE" w:rsidRDefault="00C2313B" w:rsidP="00F90EAE">
      <w:pPr>
        <w:autoSpaceDE w:val="0"/>
        <w:autoSpaceDN w:val="0"/>
        <w:adjustRightInd w:val="0"/>
        <w:jc w:val="both"/>
        <w:rPr>
          <w:color w:val="000000" w:themeColor="text1"/>
          <w:sz w:val="16"/>
          <w:szCs w:val="16"/>
        </w:rPr>
      </w:pPr>
    </w:p>
    <w:p w14:paraId="5D43841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22F4285" w14:textId="77777777" w:rsidR="00C2313B" w:rsidRPr="00F90EAE" w:rsidRDefault="00C2313B" w:rsidP="00F90EAE">
      <w:pPr>
        <w:autoSpaceDE w:val="0"/>
        <w:autoSpaceDN w:val="0"/>
        <w:adjustRightInd w:val="0"/>
        <w:jc w:val="both"/>
        <w:rPr>
          <w:iCs/>
          <w:color w:val="000000" w:themeColor="text1"/>
          <w:sz w:val="16"/>
          <w:szCs w:val="16"/>
        </w:rPr>
      </w:pPr>
    </w:p>
    <w:p w14:paraId="6A17ABD3" w14:textId="77777777" w:rsidR="004F53AD" w:rsidRPr="00F90EAE" w:rsidRDefault="004F53AD" w:rsidP="00F90EAE">
      <w:pPr>
        <w:jc w:val="both"/>
        <w:rPr>
          <w:color w:val="000000" w:themeColor="text1"/>
          <w:sz w:val="16"/>
          <w:szCs w:val="16"/>
        </w:rPr>
      </w:pPr>
      <w:r w:rsidRPr="00F90EAE">
        <w:rPr>
          <w:bCs/>
          <w:color w:val="000000" w:themeColor="text1"/>
          <w:sz w:val="16"/>
          <w:szCs w:val="16"/>
        </w:rPr>
        <w:t>23 января</w:t>
      </w:r>
      <w:r w:rsidRPr="00F90EAE">
        <w:rPr>
          <w:color w:val="000000" w:themeColor="text1"/>
          <w:sz w:val="16"/>
          <w:szCs w:val="16"/>
        </w:rPr>
        <w:t xml:space="preserve"> в 1945 году в воздух поднялся «Не 162» «М6» (W.Nr.200006), оснащенный двумя 30-мм пушками «МК 108», являвшийся прототипом модификации «Не 162A-1». («М5» предназначался для статических испытаний), ставший последним прототипом с пушками «МК.108» (15018).</w:t>
      </w:r>
    </w:p>
    <w:p w14:paraId="2927B0BF" w14:textId="77777777" w:rsidR="004F53AD" w:rsidRPr="00F90EAE" w:rsidRDefault="004F53AD" w:rsidP="00F90EAE">
      <w:pPr>
        <w:jc w:val="both"/>
        <w:rPr>
          <w:color w:val="000000" w:themeColor="text1"/>
          <w:sz w:val="16"/>
          <w:szCs w:val="16"/>
        </w:rPr>
      </w:pPr>
    </w:p>
    <w:p w14:paraId="72B459D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января 1945 Гитлер одобрил план ускоренного кораблестроения и приказал использовать труд рабов на доках (4962).</w:t>
      </w:r>
    </w:p>
    <w:p w14:paraId="0BE8624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D0E31E6"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23, 1945: The Kriegsmarine begins the evacuation by sea of hundreds of thousands of civilian refugees from East Prussia and the Danzig area, the Red Army having cut all land communications with the rest of the Reich (3819).</w:t>
      </w:r>
    </w:p>
    <w:p w14:paraId="549D4009" w14:textId="77777777" w:rsidR="00C2313B" w:rsidRPr="00F90EAE" w:rsidRDefault="00C2313B" w:rsidP="00F90EAE">
      <w:pPr>
        <w:autoSpaceDE w:val="0"/>
        <w:autoSpaceDN w:val="0"/>
        <w:adjustRightInd w:val="0"/>
        <w:jc w:val="both"/>
        <w:rPr>
          <w:color w:val="000000" w:themeColor="text1"/>
          <w:sz w:val="16"/>
          <w:szCs w:val="16"/>
          <w:lang w:val="en-US"/>
        </w:rPr>
      </w:pPr>
    </w:p>
    <w:p w14:paraId="2FAE804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47CB415" w14:textId="77777777" w:rsidR="00C2313B" w:rsidRPr="00F90EAE" w:rsidRDefault="00C2313B" w:rsidP="00F90EAE">
      <w:pPr>
        <w:autoSpaceDE w:val="0"/>
        <w:autoSpaceDN w:val="0"/>
        <w:adjustRightInd w:val="0"/>
        <w:jc w:val="both"/>
        <w:rPr>
          <w:iCs/>
          <w:color w:val="000000" w:themeColor="text1"/>
          <w:sz w:val="16"/>
          <w:szCs w:val="16"/>
        </w:rPr>
      </w:pPr>
    </w:p>
    <w:p w14:paraId="4F1566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года генерал-лейтенант ИАС П. Дементьев писал письмо N Н-32/335 гл. инженеру ВВС генерал-полковнику ИАС Репину А.К.</w:t>
      </w:r>
    </w:p>
    <w:p w14:paraId="030E7E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Направляю Вам для совместного утверждения 2 экземпляра отчета по испытаниям броневых сталей заменителей марок АБ-3 и КО-1, проведенных заводом N 207, ВИАМ"ом и НИИ ВВС в соответствии с решением ГОКО за N 6921с от 31 июля 1944 года и прошу после утверждения один из них возвратить Наркомавиапрому.</w:t>
      </w:r>
    </w:p>
    <w:p w14:paraId="5E249D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2 книги, н/вх. N 15471 (1879,24).</w:t>
      </w:r>
    </w:p>
    <w:p w14:paraId="3DBB1576" w14:textId="77777777" w:rsidR="00C2313B" w:rsidRPr="00F90EAE" w:rsidRDefault="00C2313B" w:rsidP="00F90EAE">
      <w:pPr>
        <w:autoSpaceDE w:val="0"/>
        <w:autoSpaceDN w:val="0"/>
        <w:adjustRightInd w:val="0"/>
        <w:jc w:val="both"/>
        <w:rPr>
          <w:color w:val="000000" w:themeColor="text1"/>
          <w:sz w:val="16"/>
          <w:szCs w:val="16"/>
        </w:rPr>
      </w:pPr>
    </w:p>
    <w:p w14:paraId="4D3338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В.Л.Расторгуев выполнил первый полет на ЦА Як-9Т с Н-37 (65,181).</w:t>
      </w:r>
    </w:p>
    <w:p w14:paraId="40FE9D77" w14:textId="77777777" w:rsidR="00C2313B" w:rsidRPr="00F90EAE" w:rsidRDefault="00C2313B" w:rsidP="00F90EAE">
      <w:pPr>
        <w:autoSpaceDE w:val="0"/>
        <w:autoSpaceDN w:val="0"/>
        <w:adjustRightInd w:val="0"/>
        <w:jc w:val="both"/>
        <w:rPr>
          <w:color w:val="000000" w:themeColor="text1"/>
          <w:sz w:val="16"/>
          <w:szCs w:val="16"/>
        </w:rPr>
      </w:pPr>
    </w:p>
    <w:p w14:paraId="02EBC1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Миг с АМ-39Б и 2ТК-2Б был передан в ЛИИ. Летные испытания не были начаты до марта 1945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даже не указывал (2592,223).</w:t>
      </w:r>
    </w:p>
    <w:p w14:paraId="2979EB45" w14:textId="77777777" w:rsidR="00C2313B" w:rsidRPr="00F90EAE" w:rsidRDefault="00C2313B" w:rsidP="00F90EAE">
      <w:pPr>
        <w:autoSpaceDE w:val="0"/>
        <w:autoSpaceDN w:val="0"/>
        <w:adjustRightInd w:val="0"/>
        <w:jc w:val="both"/>
        <w:rPr>
          <w:color w:val="000000" w:themeColor="text1"/>
          <w:sz w:val="16"/>
          <w:szCs w:val="16"/>
        </w:rPr>
      </w:pPr>
    </w:p>
    <w:p w14:paraId="45438C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л Б.Н.Кудрин на БИ-7 с РД-1 Исаева вместо Д-1-А-1100 выполнил 1-й полет. Задание: взлет на тяге 1100 кг с уборкой шасси и ограничением скорости до 550 км/час. Разбегались и набирали скорость на 1100 кг и набрали 530 км/час. Потом почувствовался удар, машину бросило вправо. На 1250 двигатель кончил работать. Пикирующий момент вырос. При посадке лыжи ушли под снег. летали 3 мин. 37 сек. и двигатель работал 72.3 сек. (2928,21).</w:t>
      </w:r>
    </w:p>
    <w:p w14:paraId="4B790584" w14:textId="77777777" w:rsidR="00C2313B" w:rsidRPr="00F90EAE" w:rsidRDefault="00C2313B" w:rsidP="00F90EAE">
      <w:pPr>
        <w:autoSpaceDE w:val="0"/>
        <w:autoSpaceDN w:val="0"/>
        <w:adjustRightInd w:val="0"/>
        <w:jc w:val="both"/>
        <w:rPr>
          <w:iCs/>
          <w:color w:val="000000" w:themeColor="text1"/>
          <w:sz w:val="16"/>
          <w:szCs w:val="16"/>
        </w:rPr>
      </w:pPr>
    </w:p>
    <w:p w14:paraId="7CD581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24 января 1945 г. с 17 декабря 1944 по «Объект 701» № 5 прошел 1051 км. Проводившая испытания комиссия под председательством инженер-полковника А. Благонравова в своих выводах отмечала: «Опытный танк 701 обладает силь</w:t>
      </w:r>
      <w:r w:rsidRPr="00F90EAE">
        <w:rPr>
          <w:color w:val="000000" w:themeColor="text1"/>
          <w:sz w:val="16"/>
          <w:szCs w:val="16"/>
        </w:rPr>
        <w:softHyphen/>
        <w:t>ной броневой защитой, мощным вооружением, хорошей манев</w:t>
      </w:r>
      <w:r w:rsidRPr="00F90EAE">
        <w:rPr>
          <w:color w:val="000000" w:themeColor="text1"/>
          <w:sz w:val="16"/>
          <w:szCs w:val="16"/>
        </w:rPr>
        <w:softHyphen/>
        <w:t>ренностью, достаточной надежностью агрегатов и механиз</w:t>
      </w:r>
      <w:r w:rsidRPr="00F90EAE">
        <w:rPr>
          <w:color w:val="000000" w:themeColor="text1"/>
          <w:sz w:val="16"/>
          <w:szCs w:val="16"/>
        </w:rPr>
        <w:softHyphen/>
        <w:t>мов. Управление простое и легкое, эксплуатационные показа</w:t>
      </w:r>
      <w:r w:rsidRPr="00F90EAE">
        <w:rPr>
          <w:color w:val="000000" w:themeColor="text1"/>
          <w:sz w:val="16"/>
          <w:szCs w:val="16"/>
        </w:rPr>
        <w:softHyphen/>
        <w:t>тели высокие, в обслуживании танк прост, удобен и не требу</w:t>
      </w:r>
      <w:r w:rsidRPr="00F90EAE">
        <w:rPr>
          <w:color w:val="000000" w:themeColor="text1"/>
          <w:sz w:val="16"/>
          <w:szCs w:val="16"/>
        </w:rPr>
        <w:softHyphen/>
        <w:t>ет частых регулировок. На основании результатов комиссия считает необходимым рекомендовать объект 701 для приня</w:t>
      </w:r>
      <w:r w:rsidRPr="00F90EAE">
        <w:rPr>
          <w:color w:val="000000" w:themeColor="text1"/>
          <w:sz w:val="16"/>
          <w:szCs w:val="16"/>
        </w:rPr>
        <w:softHyphen/>
        <w:t>тия на вооружение Красной Армии» (11135).</w:t>
      </w:r>
    </w:p>
    <w:p w14:paraId="25C3CE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3E324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г. по приказу НКАП № 21с в соответствии с распоряжением СНК № 21822-рс от 24.11.1944 г. и постановлением ГКО № 2381 о мероприятиях по заводу № 214 от 7.10.1942 г. в состав завода № 214 5ГУ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  г. Свердловск/ /620151  г. Екатеринбург ул. Горького, 17 тел. 51-90-94/) с 1.01.1945 г. влит завод № 474 НКАП.</w:t>
      </w:r>
    </w:p>
    <w:p w14:paraId="1BFB98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713-342 от 26.06.1957 г. передан в ведение СНХ РСФСР.</w:t>
      </w:r>
    </w:p>
    <w:p w14:paraId="1E068B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7C23F7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0ACDCB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140194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Помощник директора по найму и увольнению (-15.12.1938 г.)- Е.Б. Коган, (15.12.1938 г.-)- Т.Н. Артемов.</w:t>
      </w:r>
    </w:p>
    <w:p w14:paraId="1BABAB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Коммерческий директор (2002 г.)- С.С. Арефьев. Технический директор (2002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JI</w:t>
      </w:r>
      <w:r w:rsidRPr="00F90EAE">
        <w:rPr>
          <w:color w:val="000000" w:themeColor="text1"/>
          <w:sz w:val="16"/>
          <w:szCs w:val="16"/>
        </w:rPr>
        <w:t>. Степанов.</w:t>
      </w:r>
      <w:r w:rsidRPr="00F90EAE">
        <w:rPr>
          <w:color w:val="000000" w:themeColor="text1"/>
          <w:sz w:val="16"/>
          <w:szCs w:val="16"/>
          <w:vertAlign w:val="superscript"/>
        </w:rPr>
        <w:t>69</w:t>
      </w:r>
    </w:p>
    <w:p w14:paraId="23E116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(8.03.1938 г.-)- В.И. Восторин.</w:t>
      </w:r>
      <w:r w:rsidRPr="00F90EAE">
        <w:rPr>
          <w:color w:val="000000" w:themeColor="text1"/>
          <w:sz w:val="16"/>
          <w:szCs w:val="16"/>
          <w:vertAlign w:val="superscript"/>
        </w:rPr>
        <w:t>139</w:t>
      </w:r>
    </w:p>
    <w:p w14:paraId="0D167079"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30E57D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ОКБ-214 НКАП, КБ-214 при заводе № 214, ОКБ-1 НКАП при заводе № 122</w:t>
      </w:r>
    </w:p>
    <w:p w14:paraId="6F0652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г. Москва;  г. Свердловск;  г. Москва/</w:t>
      </w:r>
    </w:p>
    <w:p w14:paraId="60A997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6532B8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65EDEB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Работы по автопилотам: А-3 (шифр «80»), АПГ-1 для ДБ-3 и ТБ-7 (пнв в 1939-40 г.),</w:t>
      </w:r>
    </w:p>
    <w:p w14:paraId="736A30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4BDD7F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B7544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2CCB67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1256B4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Руководитель/ гл. конструктор (1932-43 г.-)- В.М. Соркин (11982).</w:t>
      </w:r>
    </w:p>
    <w:p w14:paraId="23562308" w14:textId="77777777" w:rsidR="004F53AD" w:rsidRPr="00F90EAE" w:rsidRDefault="004F53AD" w:rsidP="00F90EAE">
      <w:pPr>
        <w:autoSpaceDE w:val="0"/>
        <w:autoSpaceDN w:val="0"/>
        <w:adjustRightInd w:val="0"/>
        <w:jc w:val="both"/>
        <w:rPr>
          <w:color w:val="000000" w:themeColor="text1"/>
          <w:sz w:val="16"/>
          <w:szCs w:val="16"/>
        </w:rPr>
      </w:pPr>
    </w:p>
    <w:p w14:paraId="3A8AAF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г. по приказу НКАП № 21с в соответствии с распоряжением СНК № 21822-рс от 24.11.1944 г. завод № 474  (ГС Завод № 474 НКАП / г. Москва, ул. Бахметовская, 13 (ул. Образцова);  г. Свердловск/) с 1.01.1945 г. влит в состав завода № 214 5ГУ и исключен из числа действующих.</w:t>
      </w:r>
    </w:p>
    <w:p w14:paraId="7581EA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(1941-01.1943 г.-)- И.С. Алешин, (09.1943 г.)- Жердев, (-01.1945 г.)- И.Б. Литенецкий.</w:t>
      </w:r>
    </w:p>
    <w:p w14:paraId="141666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Филиал Завода № 474 НКАП /г. Москва, ул. Бахметовская (ул. Образцова)/</w:t>
      </w:r>
    </w:p>
    <w:p w14:paraId="3A5950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0F615F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259DCF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(01.1942 г.-)- Н.Б. Валаев.</w:t>
      </w:r>
    </w:p>
    <w:p w14:paraId="32397C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(01.1942 г.-)- Гаврилин (11982).</w:t>
      </w:r>
    </w:p>
    <w:p w14:paraId="6271FD0D" w14:textId="77777777" w:rsidR="004F53AD" w:rsidRPr="00F90EAE" w:rsidRDefault="004F53AD" w:rsidP="00F90EAE">
      <w:pPr>
        <w:autoSpaceDE w:val="0"/>
        <w:autoSpaceDN w:val="0"/>
        <w:adjustRightInd w:val="0"/>
        <w:jc w:val="both"/>
        <w:rPr>
          <w:iCs/>
          <w:color w:val="000000" w:themeColor="text1"/>
          <w:sz w:val="16"/>
          <w:szCs w:val="16"/>
        </w:rPr>
      </w:pPr>
    </w:p>
    <w:p w14:paraId="4A05B8A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8901AE" w14:textId="77777777" w:rsidR="00C2313B" w:rsidRPr="00F90EAE" w:rsidRDefault="00C2313B" w:rsidP="00F90EAE">
      <w:pPr>
        <w:autoSpaceDE w:val="0"/>
        <w:autoSpaceDN w:val="0"/>
        <w:adjustRightInd w:val="0"/>
        <w:jc w:val="both"/>
        <w:rPr>
          <w:iCs/>
          <w:color w:val="000000" w:themeColor="text1"/>
          <w:sz w:val="16"/>
          <w:szCs w:val="16"/>
        </w:rPr>
      </w:pPr>
    </w:p>
    <w:p w14:paraId="1B1260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вышло Распоряжение ГКО № 7385. О мерах по обеспечению нефтяной промышленности Азербайджанской ССР рабочей силой. РГАНИР, Фонд ГКО, д. 358, лл. 105 (11012).</w:t>
      </w:r>
    </w:p>
    <w:p w14:paraId="2B0B1FBA" w14:textId="77777777" w:rsidR="00C2313B" w:rsidRPr="00F90EAE" w:rsidRDefault="00C2313B" w:rsidP="00F90EAE">
      <w:pPr>
        <w:autoSpaceDE w:val="0"/>
        <w:autoSpaceDN w:val="0"/>
        <w:adjustRightInd w:val="0"/>
        <w:jc w:val="both"/>
        <w:rPr>
          <w:color w:val="000000" w:themeColor="text1"/>
          <w:sz w:val="16"/>
          <w:szCs w:val="16"/>
        </w:rPr>
      </w:pPr>
    </w:p>
    <w:p w14:paraId="64CCF7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вышло Постановление ГКО № 7386 О мероприятиях по дополнительному обеспечению автобензином действующих фронтов. РГАНИР, Фонд ГКО, д. 358, лл. 106-107 (11012).</w:t>
      </w:r>
    </w:p>
    <w:p w14:paraId="263B827C" w14:textId="77777777" w:rsidR="00C2313B" w:rsidRPr="00F90EAE" w:rsidRDefault="00C2313B" w:rsidP="00F90EAE">
      <w:pPr>
        <w:autoSpaceDE w:val="0"/>
        <w:autoSpaceDN w:val="0"/>
        <w:adjustRightInd w:val="0"/>
        <w:jc w:val="both"/>
        <w:rPr>
          <w:color w:val="000000" w:themeColor="text1"/>
          <w:sz w:val="16"/>
          <w:szCs w:val="16"/>
        </w:rPr>
      </w:pPr>
    </w:p>
    <w:p w14:paraId="540989A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CF23412" w14:textId="77777777" w:rsidR="00C2313B" w:rsidRPr="00F90EAE" w:rsidRDefault="00C2313B" w:rsidP="00F90EAE">
      <w:pPr>
        <w:autoSpaceDE w:val="0"/>
        <w:autoSpaceDN w:val="0"/>
        <w:adjustRightInd w:val="0"/>
        <w:jc w:val="both"/>
        <w:rPr>
          <w:iCs/>
          <w:color w:val="000000" w:themeColor="text1"/>
          <w:sz w:val="16"/>
          <w:szCs w:val="16"/>
        </w:rPr>
      </w:pPr>
    </w:p>
    <w:p w14:paraId="42C441B3" w14:textId="77777777" w:rsidR="004F53AD" w:rsidRPr="00F90EAE" w:rsidRDefault="004F53AD" w:rsidP="00F90EAE">
      <w:pPr>
        <w:jc w:val="both"/>
        <w:rPr>
          <w:color w:val="000000" w:themeColor="text1"/>
          <w:sz w:val="16"/>
          <w:szCs w:val="16"/>
        </w:rPr>
      </w:pPr>
      <w:r w:rsidRPr="00F90EAE">
        <w:rPr>
          <w:bCs/>
          <w:color w:val="000000" w:themeColor="text1"/>
          <w:sz w:val="16"/>
          <w:szCs w:val="16"/>
        </w:rPr>
        <w:t>24 января</w:t>
      </w:r>
      <w:r w:rsidRPr="00F90EAE">
        <w:rPr>
          <w:color w:val="000000" w:themeColor="text1"/>
          <w:sz w:val="16"/>
          <w:szCs w:val="16"/>
        </w:rPr>
        <w:t xml:space="preserve"> в 1945 году оперативная сводка Совинформбюро:</w:t>
      </w:r>
    </w:p>
    <w:p w14:paraId="7E193B7A" w14:textId="77777777" w:rsidR="004F53AD" w:rsidRPr="00F90EAE" w:rsidRDefault="004F53AD" w:rsidP="00F90EAE">
      <w:pPr>
        <w:jc w:val="both"/>
        <w:rPr>
          <w:color w:val="000000" w:themeColor="text1"/>
          <w:sz w:val="16"/>
          <w:szCs w:val="16"/>
        </w:rPr>
      </w:pPr>
      <w:r w:rsidRPr="00F90EAE">
        <w:rPr>
          <w:color w:val="000000" w:themeColor="text1"/>
          <w:sz w:val="16"/>
          <w:szCs w:val="16"/>
        </w:rPr>
        <w:t>«В течение 24 января в Восточной Пруссии южнее и юго-западнее города Инстербург наши войска с боем овладели городами Ангербург, Видминнен, а также заняли более 250 населённых пунктов, среди которых крупные населённые пункты Ильмсдорф, Мульджен, Иодлаукен, Карповен, Шлосберг, Линдехайм.</w:t>
      </w:r>
    </w:p>
    <w:p w14:paraId="290BB427"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24 января с боем овладели городами Восточной Пруссии Ликк, Нойендорф и Биалла — сильными опорными пунктами обороны немцев, прикрывающими пути к озёрному району Восточной Пруссии, а также с боями заняли в западной части Восточной Пруссии города Розенберг, Ризенбург и более 200 других населённых пунктов, в том числе Шпительберг, Альт Гаршен, Райхау, Гросс Герменау, Мисвальде, Альт Христбург. Одновременно войска фронта овладели на территории Польши городами Бризен (Вонбжезно), Шензее (Ковалево), Добжинь.</w:t>
      </w:r>
    </w:p>
    <w:p w14:paraId="410B0752"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продолжая успешное наступление, к исходу 23 января штурмом овладели городом Калиш — важным узлом коммуникаций и сильным опорным пунктом обороны немцев на Бреславльском направлении. В ходе наступательных боёв 24 января войска фронта овладели городами Подгуж, Шубин, Цнин, Яново, Клецко, Врешен, Хоч и заняли более 800 других населённых пунктов.</w:t>
      </w:r>
    </w:p>
    <w:p w14:paraId="5F24B5BF"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Украинского фронта в результате стремительной атаки танковых соединений и пехоты 24 января овладели важным центром военной промышленности немецкой Силезии городом и крепостью Оппельн — крупным узлом железных и шоссейных дорог и мощным опорным пунктом обороны немцев на реке Одер. Одновременно войска фронта севернее города Бреслау овладели в Польше городом Равич и на территории Германии городом Трахенберг, а также с боями заняли города Фестенберг, Ной Миттельвальде, Гросс Вартенберг и более 200 других немецких населённых пунктов, в том числе Шоллендорф, Понтвитц, Недлинген, Маргарет (7 километров юго-восточнее Бреслау), Раттвиц, Эльтш, Мальсдорф, Отмут, Бергштадт, Вальдбрюккен. Юго-западнее Лодзи наши войска уничтожили окружённую группировку противника, захватили при этом 53 танка и взяли в плен более 3.000 немецких солдат и офицеров. Противник оставил на поле боя не менее 6.000 трупов своих солдат и офицеров.</w:t>
      </w:r>
    </w:p>
    <w:p w14:paraId="1E5D3BE0" w14:textId="77777777" w:rsidR="004F53AD" w:rsidRPr="00F90EAE" w:rsidRDefault="004F53AD" w:rsidP="00F90EAE">
      <w:pPr>
        <w:jc w:val="both"/>
        <w:rPr>
          <w:color w:val="000000" w:themeColor="text1"/>
          <w:sz w:val="16"/>
          <w:szCs w:val="16"/>
        </w:rPr>
      </w:pPr>
      <w:r w:rsidRPr="00F90EAE">
        <w:rPr>
          <w:color w:val="000000" w:themeColor="text1"/>
          <w:sz w:val="16"/>
          <w:szCs w:val="16"/>
        </w:rPr>
        <w:t>Южнее и юго-западнее Кракова наши войска с боями заняли более 40 населённых пунктов и среди них Кшенцин, Пшитковице, Кальвария, Ленкавица, Слезовице и железнодорожные станции Кальвария, Скавце, Суха.</w:t>
      </w:r>
    </w:p>
    <w:p w14:paraId="79CED1E5"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Украинского фронта, перейдя в наступление к северу от города Мишколц, в трудных условиях горно-лесистой местности прорвали сильно укреплённую оборону немцев, продвинулись вперёд до 20 километров, расширили прорыв до 40 километров по фронту и к исходу 23 января овладели на территории Чехословакии городами Рожнява и Йелшава — важными опорными пунктами обороны противника, а также с боями заняли более 80 других населённых пунктов, в числе которых Угорна, Нижняя Слана, Охтина, Ревуца, Пила, Кленовец, Златно и железнодорожные станции Бетляр, Нижняя Слана, Штитник, Ревуца, Гнушта.</w:t>
      </w:r>
    </w:p>
    <w:p w14:paraId="0E573003" w14:textId="77777777" w:rsidR="004F53AD" w:rsidRPr="00F90EAE" w:rsidRDefault="004F53AD"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гарнизона противника, окружённого в западной части города (Буда).</w:t>
      </w:r>
    </w:p>
    <w:p w14:paraId="41D99345" w14:textId="77777777" w:rsidR="004F53AD" w:rsidRPr="00F90EAE" w:rsidRDefault="004F53AD" w:rsidP="00F90EAE">
      <w:pPr>
        <w:jc w:val="both"/>
        <w:rPr>
          <w:color w:val="000000" w:themeColor="text1"/>
          <w:sz w:val="16"/>
          <w:szCs w:val="16"/>
        </w:rPr>
      </w:pPr>
      <w:r w:rsidRPr="00F90EAE">
        <w:rPr>
          <w:color w:val="000000" w:themeColor="text1"/>
          <w:sz w:val="16"/>
          <w:szCs w:val="16"/>
        </w:rPr>
        <w:t>Юго-западнее Будапешта наши войска отбивали атаки крупных сил пехоты и танков противника, стремящегося пробиться к Будапешту.</w:t>
      </w:r>
    </w:p>
    <w:p w14:paraId="52F3900A" w14:textId="77777777" w:rsidR="004F53AD" w:rsidRPr="00F90EAE" w:rsidRDefault="004F53AD" w:rsidP="00F90EAE">
      <w:pPr>
        <w:jc w:val="both"/>
        <w:rPr>
          <w:color w:val="000000" w:themeColor="text1"/>
          <w:sz w:val="16"/>
          <w:szCs w:val="16"/>
        </w:rPr>
      </w:pPr>
      <w:r w:rsidRPr="00F90EAE">
        <w:rPr>
          <w:color w:val="000000" w:themeColor="text1"/>
          <w:sz w:val="16"/>
          <w:szCs w:val="16"/>
        </w:rPr>
        <w:t>За 23 января наши войска на всех фронтах подбили и уничтожили 83 немецких танка, из них 34 — юго-западнее Будапешта. В воздушных боях и огнём зенитной артиллерии сбито 23 самолёта противника.</w:t>
      </w:r>
    </w:p>
    <w:p w14:paraId="64E99E88"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3-го Белорусского фронта продолжали наступление. Особенно ожесточённые бои происходили южнее реки Прегель. Противник, располагавший выгодными позициями, усиленными железобетонными сооружениями, упорно сопротивлялся. Советские части, при поддержке мощного артиллерийского огня, продвинулись вперёд на расстояние до 15 километров и заняли ряд опорных пунктов немцев. Другие наши части, взломав сильно укрепленный район, овладели городом Ангербург. Отступая под ударами советских войск, немцы несут тяжёлые потери. По неполным данным, за день уничтожено до 2 тысяч гитлеровцев. Нашими войсками захвачены трофеи, в числе которых 5 самолётов и 30 орудий. Взято в плен до 700 немецких солдат и офицеров.</w:t>
      </w:r>
    </w:p>
    <w:p w14:paraId="7173AB82"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2-го Белорусского фронта с боями продвигались в глубь Восточной Пруссии. Немцы, стремясь любой ценой удержать за собой сухопутные коммуникации, связывающие Восточную Пруссию с Померанией, ведут непрерывные контратаки. Они бросают в бой полицейские части, курсантов морских училищ и различных военных школ. Советские войска перемалывают живую силу и технику врага и настойчиво продвигаются вперёд. За день истреблено свыше 3.000 солдат и офицеров противника. Уничтожено 12 танков, 92 орудия, около 300 автомашин и железнодорожный эшелон противника с горючим. Захвачено у немцев мной вооружения и десятки складов с боеприпасами и военным имуществом.</w:t>
      </w:r>
    </w:p>
    <w:p w14:paraId="7D878DD6" w14:textId="77777777" w:rsidR="004F53AD" w:rsidRPr="00F90EAE" w:rsidRDefault="004F53AD" w:rsidP="00F90EAE">
      <w:pPr>
        <w:jc w:val="both"/>
        <w:rPr>
          <w:color w:val="000000" w:themeColor="text1"/>
          <w:sz w:val="16"/>
          <w:szCs w:val="16"/>
        </w:rPr>
      </w:pPr>
      <w:r w:rsidRPr="00F90EAE">
        <w:rPr>
          <w:color w:val="000000" w:themeColor="text1"/>
          <w:sz w:val="16"/>
          <w:szCs w:val="16"/>
        </w:rPr>
        <w:t>Войска 1-го Белорусского фронта развивали стремительное наступление. Наши подвижные соединения и пехота продвинулись вперёд на 30 километров и завязали бои на подступах к городу Калиш. Крупный вражеский гарнизон, укрепившийся в дзотах и траншеях, оказывал яростное сопротивление. Советские танкисты и пехотинцы, сломив сопротивление немцев, штурмом овладели древним польским городом Калиш. Противник понёс большие потери. Только на подступах к городу истреблено свыше 1.200 гитлеровцев. Взято много пленных. Другие наши части с боями овладели городами Подгуж, Шубин, Цнин, Яново, Клецко, Врешен и Хоч. На одном из аэродромов противника советские войска захватили 82 немецких самолёта. Захвачены также крупные склады с боеприпасами и военным имуществом.</w:t>
      </w:r>
    </w:p>
    <w:p w14:paraId="5459556F" w14:textId="77777777" w:rsidR="004F53AD" w:rsidRPr="00F90EAE" w:rsidRDefault="004F53AD" w:rsidP="00F90EAE">
      <w:pPr>
        <w:jc w:val="both"/>
        <w:rPr>
          <w:color w:val="000000" w:themeColor="text1"/>
          <w:sz w:val="16"/>
          <w:szCs w:val="16"/>
        </w:rPr>
      </w:pPr>
      <w:r w:rsidRPr="00F90EAE">
        <w:rPr>
          <w:color w:val="000000" w:themeColor="text1"/>
          <w:sz w:val="16"/>
          <w:szCs w:val="16"/>
        </w:rPr>
        <w:t>В районе порода Подгуж наши части освободили из лагеря 8 тысяч советских граждан.</w:t>
      </w:r>
    </w:p>
    <w:p w14:paraId="022F658F" w14:textId="77777777" w:rsidR="004F53AD" w:rsidRPr="00F90EAE" w:rsidRDefault="004F53AD" w:rsidP="00F90EAE">
      <w:pPr>
        <w:jc w:val="both"/>
        <w:rPr>
          <w:color w:val="000000" w:themeColor="text1"/>
          <w:sz w:val="16"/>
          <w:szCs w:val="16"/>
          <w:lang w:val="en-US"/>
        </w:rPr>
      </w:pPr>
      <w:r w:rsidRPr="00F90EAE">
        <w:rPr>
          <w:color w:val="000000" w:themeColor="text1"/>
          <w:sz w:val="16"/>
          <w:szCs w:val="16"/>
        </w:rPr>
        <w:t>Войска 1-го Украинского фронта продолжали успешное наступление. Советские части, преодолевая упорное сопротивление противника, вышли на подступы к старинной немецкой крепости на реке Одер — городу Оппельн. За последние годы немцы приспособили крепость к условиям современной войны. Кроме того, они опоясали город кольцом железобетонных дотов. Сегодня наши подвижные соединения и пехота предприняли стремительную атаку и овладели городом Оппельн, являющимся крупным узлом железных и шоссейных дорог. В городе. много крупных военных предприятий, чугунолитейные заводы и железнодорожные ремонтные мастерские. В боях за Оппельн разбиты части противника, только что прибывшие с других фронтов и из центральных районов Германии. Взято</w:t>
      </w:r>
      <w:r w:rsidRPr="00F90EAE">
        <w:rPr>
          <w:color w:val="000000" w:themeColor="text1"/>
          <w:sz w:val="16"/>
          <w:szCs w:val="16"/>
          <w:lang w:val="en-US"/>
        </w:rPr>
        <w:t xml:space="preserve"> </w:t>
      </w:r>
      <w:r w:rsidRPr="00F90EAE">
        <w:rPr>
          <w:color w:val="000000" w:themeColor="text1"/>
          <w:sz w:val="16"/>
          <w:szCs w:val="16"/>
        </w:rPr>
        <w:t>в</w:t>
      </w:r>
      <w:r w:rsidRPr="00F90EAE">
        <w:rPr>
          <w:color w:val="000000" w:themeColor="text1"/>
          <w:sz w:val="16"/>
          <w:szCs w:val="16"/>
          <w:lang w:val="en-US"/>
        </w:rPr>
        <w:t xml:space="preserve"> </w:t>
      </w:r>
      <w:r w:rsidRPr="00F90EAE">
        <w:rPr>
          <w:color w:val="000000" w:themeColor="text1"/>
          <w:sz w:val="16"/>
          <w:szCs w:val="16"/>
        </w:rPr>
        <w:t>плен</w:t>
      </w:r>
      <w:r w:rsidRPr="00F90EAE">
        <w:rPr>
          <w:color w:val="000000" w:themeColor="text1"/>
          <w:sz w:val="16"/>
          <w:szCs w:val="16"/>
          <w:lang w:val="en-US"/>
        </w:rPr>
        <w:t xml:space="preserve"> 2.000 </w:t>
      </w:r>
      <w:r w:rsidRPr="00F90EAE">
        <w:rPr>
          <w:color w:val="000000" w:themeColor="text1"/>
          <w:sz w:val="16"/>
          <w:szCs w:val="16"/>
        </w:rPr>
        <w:t>немецких</w:t>
      </w:r>
      <w:r w:rsidRPr="00F90EAE">
        <w:rPr>
          <w:color w:val="000000" w:themeColor="text1"/>
          <w:sz w:val="16"/>
          <w:szCs w:val="16"/>
          <w:lang w:val="en-US"/>
        </w:rPr>
        <w:t xml:space="preserve"> </w:t>
      </w:r>
      <w:r w:rsidRPr="00F90EAE">
        <w:rPr>
          <w:color w:val="000000" w:themeColor="text1"/>
          <w:sz w:val="16"/>
          <w:szCs w:val="16"/>
        </w:rPr>
        <w:t>солдат</w:t>
      </w:r>
      <w:r w:rsidRPr="00F90EAE">
        <w:rPr>
          <w:color w:val="000000" w:themeColor="text1"/>
          <w:sz w:val="16"/>
          <w:szCs w:val="16"/>
          <w:lang w:val="en-US"/>
        </w:rPr>
        <w:t xml:space="preserve"> </w:t>
      </w:r>
      <w:r w:rsidRPr="00F90EAE">
        <w:rPr>
          <w:color w:val="000000" w:themeColor="text1"/>
          <w:sz w:val="16"/>
          <w:szCs w:val="16"/>
        </w:rPr>
        <w:t>и</w:t>
      </w:r>
      <w:r w:rsidRPr="00F90EAE">
        <w:rPr>
          <w:color w:val="000000" w:themeColor="text1"/>
          <w:sz w:val="16"/>
          <w:szCs w:val="16"/>
          <w:lang w:val="en-US"/>
        </w:rPr>
        <w:t xml:space="preserve"> </w:t>
      </w:r>
      <w:r w:rsidRPr="00F90EAE">
        <w:rPr>
          <w:color w:val="000000" w:themeColor="text1"/>
          <w:sz w:val="16"/>
          <w:szCs w:val="16"/>
        </w:rPr>
        <w:t>офицеров</w:t>
      </w:r>
      <w:r w:rsidRPr="00F90EAE">
        <w:rPr>
          <w:color w:val="000000" w:themeColor="text1"/>
          <w:sz w:val="16"/>
          <w:szCs w:val="16"/>
          <w:lang w:val="en-US"/>
        </w:rPr>
        <w:t>.» (15019).</w:t>
      </w:r>
    </w:p>
    <w:p w14:paraId="6F57D771" w14:textId="77777777" w:rsidR="004F53AD" w:rsidRPr="00F90EAE" w:rsidRDefault="004F53AD" w:rsidP="00F90EAE">
      <w:pPr>
        <w:jc w:val="both"/>
        <w:rPr>
          <w:color w:val="000000" w:themeColor="text1"/>
          <w:sz w:val="16"/>
          <w:szCs w:val="16"/>
          <w:lang w:val="en-US"/>
        </w:rPr>
      </w:pPr>
    </w:p>
    <w:p w14:paraId="17F1089C"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24, 1945: GermanforcesevacuateSlovakia. The Soviet 1st Ukrainian Front (Konev) captures Oppeln and Gleiwitz in Upper Silesia. Heinrich Himmler is appointed C-in-C of the newly formed Heeresgruppe Weichsel (Vistula) (3819).</w:t>
      </w:r>
    </w:p>
    <w:p w14:paraId="14E40B23" w14:textId="77777777" w:rsidR="00C2313B" w:rsidRPr="00F90EAE" w:rsidRDefault="00C2313B" w:rsidP="00F90EAE">
      <w:pPr>
        <w:autoSpaceDE w:val="0"/>
        <w:autoSpaceDN w:val="0"/>
        <w:adjustRightInd w:val="0"/>
        <w:jc w:val="both"/>
        <w:rPr>
          <w:color w:val="000000" w:themeColor="text1"/>
          <w:sz w:val="16"/>
          <w:szCs w:val="16"/>
          <w:lang w:val="en-US"/>
        </w:rPr>
      </w:pPr>
    </w:p>
    <w:p w14:paraId="0B8BF5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24 января 1945 немцы были вынуждены оставить Словакию. 1УФ (Конев) захватил Оппелн и Глейвитц в верхней Силезии. Г.Гимлер был назначен ГК новой группы Висла (3819).</w:t>
      </w:r>
    </w:p>
    <w:p w14:paraId="135A4ED8" w14:textId="77777777" w:rsidR="00C2313B" w:rsidRPr="00F90EAE" w:rsidRDefault="00C2313B" w:rsidP="00F90EAE">
      <w:pPr>
        <w:autoSpaceDE w:val="0"/>
        <w:autoSpaceDN w:val="0"/>
        <w:adjustRightInd w:val="0"/>
        <w:jc w:val="both"/>
        <w:rPr>
          <w:color w:val="000000" w:themeColor="text1"/>
          <w:sz w:val="16"/>
          <w:szCs w:val="16"/>
        </w:rPr>
      </w:pPr>
    </w:p>
    <w:p w14:paraId="0A8F80E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E50B585" w14:textId="77777777" w:rsidR="00C2313B" w:rsidRPr="00F90EAE" w:rsidRDefault="00C2313B" w:rsidP="00F90EAE">
      <w:pPr>
        <w:autoSpaceDE w:val="0"/>
        <w:autoSpaceDN w:val="0"/>
        <w:adjustRightInd w:val="0"/>
        <w:jc w:val="both"/>
        <w:rPr>
          <w:iCs/>
          <w:color w:val="000000" w:themeColor="text1"/>
          <w:sz w:val="16"/>
          <w:szCs w:val="16"/>
        </w:rPr>
      </w:pPr>
    </w:p>
    <w:p w14:paraId="395091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г. состоялся второй запуск по Нью Йорку. На борту находился пилот Р. Шредер. На десятой секунде после взлета ему показалось, что ракета загорелась. Чтобы избавить себя от мучительной смерти, он раскусил капсулу с цианистым калием. Однако ракета выскочила в космос и полетела по баллистической траектории. Но без управления ракета сбилась с курса и упала где-то в Атлантике (11686).</w:t>
      </w:r>
    </w:p>
    <w:p w14:paraId="62E9A6D9" w14:textId="77777777" w:rsidR="00C2313B" w:rsidRPr="00F90EAE" w:rsidRDefault="00C2313B" w:rsidP="00F90EAE">
      <w:pPr>
        <w:autoSpaceDE w:val="0"/>
        <w:autoSpaceDN w:val="0"/>
        <w:adjustRightInd w:val="0"/>
        <w:jc w:val="both"/>
        <w:rPr>
          <w:color w:val="000000" w:themeColor="text1"/>
          <w:sz w:val="16"/>
          <w:szCs w:val="16"/>
        </w:rPr>
      </w:pPr>
    </w:p>
    <w:p w14:paraId="38B2AF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January 24 1945 Germans successfully launched A-9, a winged prototype of the first ICBM (the A-10) designed to reach North America. A-9 reached a peak altitude of nearly 50 miles and a maximum speed of 2,700 mph. </w:t>
      </w:r>
      <w:r w:rsidRPr="00F90EAE">
        <w:rPr>
          <w:color w:val="000000" w:themeColor="text1"/>
          <w:sz w:val="16"/>
          <w:szCs w:val="16"/>
        </w:rPr>
        <w:t>(1038).</w:t>
      </w:r>
    </w:p>
    <w:p w14:paraId="39F5EFE4" w14:textId="77777777" w:rsidR="00C2313B" w:rsidRPr="00F90EAE" w:rsidRDefault="00C2313B" w:rsidP="00F90EAE">
      <w:pPr>
        <w:autoSpaceDE w:val="0"/>
        <w:autoSpaceDN w:val="0"/>
        <w:adjustRightInd w:val="0"/>
        <w:jc w:val="both"/>
        <w:rPr>
          <w:color w:val="000000" w:themeColor="text1"/>
          <w:sz w:val="16"/>
          <w:szCs w:val="16"/>
        </w:rPr>
      </w:pPr>
    </w:p>
    <w:p w14:paraId="2B00C2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 января 1945 была успешно запушена ракета А-9 - крылатая версия А-10, которая должна была долетать до Америки (1038). Достигла высоты 80 км и скорости 4320 км/час (2990).</w:t>
      </w:r>
    </w:p>
    <w:p w14:paraId="572B51A6" w14:textId="77777777" w:rsidR="00C2313B" w:rsidRPr="00F90EAE" w:rsidRDefault="00C2313B" w:rsidP="00F90EAE">
      <w:pPr>
        <w:autoSpaceDE w:val="0"/>
        <w:autoSpaceDN w:val="0"/>
        <w:adjustRightInd w:val="0"/>
        <w:jc w:val="both"/>
        <w:rPr>
          <w:color w:val="000000" w:themeColor="text1"/>
          <w:sz w:val="16"/>
          <w:szCs w:val="16"/>
        </w:rPr>
      </w:pPr>
    </w:p>
    <w:p w14:paraId="33E83E4C" w14:textId="77777777" w:rsidR="004F53AD" w:rsidRPr="00F90EAE" w:rsidRDefault="004F53AD" w:rsidP="00F90EAE">
      <w:pPr>
        <w:jc w:val="both"/>
        <w:rPr>
          <w:color w:val="000000" w:themeColor="text1"/>
          <w:sz w:val="16"/>
          <w:szCs w:val="16"/>
        </w:rPr>
      </w:pPr>
      <w:r w:rsidRPr="00F90EAE">
        <w:rPr>
          <w:bCs/>
          <w:color w:val="000000" w:themeColor="text1"/>
          <w:sz w:val="16"/>
          <w:szCs w:val="16"/>
        </w:rPr>
        <w:t>24 января</w:t>
      </w:r>
      <w:r w:rsidRPr="00F90EAE">
        <w:rPr>
          <w:color w:val="000000" w:themeColor="text1"/>
          <w:sz w:val="16"/>
          <w:szCs w:val="16"/>
        </w:rPr>
        <w:t xml:space="preserve"> в 1945 году с германского ракетного полигона в Пенемюнде осуществлен первый испытательный пуск баллистической ракеты "А-4b" - прототипа межконтинентальной баллистической ракеты «А-9/А-10». Максимальная высота подъема ракеты составила 80 км (15019).</w:t>
      </w:r>
    </w:p>
    <w:p w14:paraId="6FAAC026" w14:textId="77777777" w:rsidR="004F53AD" w:rsidRPr="00F90EAE" w:rsidRDefault="004F53AD" w:rsidP="00F90EAE">
      <w:pPr>
        <w:jc w:val="both"/>
        <w:rPr>
          <w:color w:val="000000" w:themeColor="text1"/>
          <w:sz w:val="16"/>
          <w:szCs w:val="16"/>
        </w:rPr>
      </w:pPr>
    </w:p>
    <w:p w14:paraId="049A6A25" w14:textId="77777777" w:rsidR="004F53AD" w:rsidRPr="00F90EAE" w:rsidRDefault="004F53AD" w:rsidP="00F90EAE">
      <w:pPr>
        <w:jc w:val="both"/>
        <w:rPr>
          <w:color w:val="000000" w:themeColor="text1"/>
          <w:sz w:val="16"/>
          <w:szCs w:val="16"/>
        </w:rPr>
      </w:pPr>
      <w:r w:rsidRPr="00F90EAE">
        <w:rPr>
          <w:bCs/>
          <w:color w:val="000000" w:themeColor="text1"/>
          <w:sz w:val="16"/>
          <w:szCs w:val="16"/>
        </w:rPr>
        <w:t>24 января</w:t>
      </w:r>
      <w:r w:rsidRPr="00F90EAE">
        <w:rPr>
          <w:color w:val="000000" w:themeColor="text1"/>
          <w:sz w:val="16"/>
          <w:szCs w:val="16"/>
        </w:rPr>
        <w:t xml:space="preserve"> в 1945 году первый запуск немецкой ракеты </w:t>
      </w:r>
      <w:hyperlink r:id="rId15" w:tgtFrame="_blank" w:history="1">
        <w:r w:rsidRPr="00F90EAE">
          <w:rPr>
            <w:color w:val="000000" w:themeColor="text1"/>
            <w:sz w:val="16"/>
            <w:szCs w:val="16"/>
          </w:rPr>
          <w:t xml:space="preserve">"Америка - А/9-10" </w:t>
        </w:r>
      </w:hyperlink>
      <w:r w:rsidRPr="00F90EAE">
        <w:rPr>
          <w:color w:val="000000" w:themeColor="text1"/>
          <w:sz w:val="16"/>
          <w:szCs w:val="16"/>
        </w:rPr>
        <w:t>(конструктор Вернер фон Браун), управляемой пилотом-самоубийцей штурмбанфюрером СС Р.М.Шредером. Двухступенчатая ракета "Америка - А/9 - 10" имела длину 29 метров при максимальном диаметре 3,5 м и оперением общей площадью 12 м. Радиус ее действия составлял 5 тысяч км, именно столько требовалось, чтобы достичь Нью-Йорка. БЧ БР имела заряд - 350 кг нитроглицериновой взрывчатки и предназначалась для бомбардировки Нью-Йорка. Уклонилась от курса и упала в океан, не взорвавшись (15019).</w:t>
      </w:r>
    </w:p>
    <w:p w14:paraId="32E6B621" w14:textId="77777777" w:rsidR="004F53AD" w:rsidRPr="00F90EAE" w:rsidRDefault="004F53AD" w:rsidP="00F90EAE">
      <w:pPr>
        <w:jc w:val="both"/>
        <w:rPr>
          <w:color w:val="000000" w:themeColor="text1"/>
          <w:sz w:val="16"/>
          <w:szCs w:val="16"/>
        </w:rPr>
      </w:pPr>
    </w:p>
    <w:p w14:paraId="2C29C3C1" w14:textId="77777777" w:rsidR="000D6FF7" w:rsidRPr="00F90EAE" w:rsidRDefault="000D6FF7" w:rsidP="00F90EAE">
      <w:pPr>
        <w:jc w:val="both"/>
        <w:rPr>
          <w:color w:val="0070C0"/>
          <w:sz w:val="16"/>
          <w:szCs w:val="16"/>
        </w:rPr>
      </w:pPr>
      <w:r w:rsidRPr="00F90EAE">
        <w:rPr>
          <w:color w:val="0070C0"/>
          <w:sz w:val="16"/>
          <w:szCs w:val="16"/>
        </w:rPr>
        <w:t>24 января 1945 - C германского ракетного полигона в Пенемюнде был осуществлен первый успешный испытательный пуск ракеты "A-4b" - крылатой версии ракеты дальнего действия "A-4"/SS-1/Scunner (попытка первого испытательного пуска баллистической ракеты 27 декабря 1944 г. была неудачной - отказ двигателя на старте). Максимальная высота подъема ракеты составила 80 км, максимальная скорость полета составила 4320 километров в час, при входе в атмосферу оторвалось одно крыло ракеты. Расчетная дальность ракеты составляла 600 км (22645).</w:t>
      </w:r>
    </w:p>
    <w:p w14:paraId="59478B1E" w14:textId="77777777" w:rsidR="000D6FF7" w:rsidRPr="00F90EAE" w:rsidRDefault="000D6FF7" w:rsidP="00F90EAE">
      <w:pPr>
        <w:jc w:val="both"/>
        <w:rPr>
          <w:color w:val="0070C0"/>
          <w:sz w:val="16"/>
          <w:szCs w:val="16"/>
        </w:rPr>
      </w:pPr>
    </w:p>
    <w:p w14:paraId="28B0ED18" w14:textId="77777777" w:rsidR="000D6FF7" w:rsidRPr="00F90EAE" w:rsidRDefault="000D6FF7" w:rsidP="00F90EAE">
      <w:pPr>
        <w:jc w:val="both"/>
        <w:rPr>
          <w:color w:val="0070C0"/>
          <w:sz w:val="16"/>
          <w:szCs w:val="16"/>
        </w:rPr>
      </w:pPr>
      <w:r w:rsidRPr="00F90EAE">
        <w:rPr>
          <w:color w:val="0070C0"/>
          <w:sz w:val="16"/>
          <w:szCs w:val="16"/>
        </w:rPr>
        <w:t>24 января 1945 года была испытана крылатая вторая ступень А-9 «Amerika-Rakete». Вторая ступень системы А-10, по одним данным, не была доведена до серийного образца, но по другим, косвенно подтверждающимся проведением в конце 1944 года операции «Elster» («Сорока») в Нью-Йорке по обезвреживанию немецких агентов, в задачу которых входила установка радиомаяков на небоскребах города — проект «Amerika-Rakete» был закончен и ракета была готова к старту (22870).</w:t>
      </w:r>
    </w:p>
    <w:p w14:paraId="26847A7A" w14:textId="77777777" w:rsidR="000D6FF7" w:rsidRPr="00F90EAE" w:rsidRDefault="000D6FF7" w:rsidP="00F90EAE">
      <w:pPr>
        <w:jc w:val="both"/>
        <w:rPr>
          <w:color w:val="0070C0"/>
          <w:sz w:val="16"/>
          <w:szCs w:val="16"/>
        </w:rPr>
      </w:pPr>
    </w:p>
    <w:p w14:paraId="57E5DBAA" w14:textId="77777777" w:rsidR="004F53AD" w:rsidRPr="00F90EAE" w:rsidRDefault="004F53AD"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января 1945 Гудериан заявил Риббентропу, что война Германией уже проиграна (4962).</w:t>
      </w:r>
    </w:p>
    <w:p w14:paraId="2828F422" w14:textId="77777777" w:rsidR="004F53AD" w:rsidRPr="00F90EAE" w:rsidRDefault="004F53AD" w:rsidP="00F90EAE">
      <w:pPr>
        <w:tabs>
          <w:tab w:val="left" w:pos="11199"/>
        </w:tabs>
        <w:autoSpaceDE w:val="0"/>
        <w:autoSpaceDN w:val="0"/>
        <w:adjustRightInd w:val="0"/>
        <w:jc w:val="both"/>
        <w:rPr>
          <w:color w:val="000000" w:themeColor="text1"/>
          <w:sz w:val="16"/>
          <w:szCs w:val="16"/>
        </w:rPr>
      </w:pPr>
    </w:p>
    <w:p w14:paraId="47F9FC59" w14:textId="77777777" w:rsidR="000D6FF7" w:rsidRPr="00F90EAE" w:rsidRDefault="000D6FF7" w:rsidP="00F90EAE">
      <w:pPr>
        <w:jc w:val="both"/>
        <w:rPr>
          <w:color w:val="0070C0"/>
          <w:sz w:val="16"/>
          <w:szCs w:val="16"/>
        </w:rPr>
      </w:pPr>
      <w:r w:rsidRPr="00F90EAE">
        <w:rPr>
          <w:color w:val="0070C0"/>
          <w:sz w:val="16"/>
          <w:szCs w:val="16"/>
        </w:rPr>
        <w:t>24 января 1945 B-29 ВВС бомбят Иводзиму (20371).</w:t>
      </w:r>
    </w:p>
    <w:p w14:paraId="5C52ACE2" w14:textId="77777777" w:rsidR="000D6FF7" w:rsidRPr="00F90EAE" w:rsidRDefault="000D6FF7" w:rsidP="00F90EAE">
      <w:pPr>
        <w:jc w:val="both"/>
        <w:rPr>
          <w:color w:val="0070C0"/>
          <w:sz w:val="16"/>
          <w:szCs w:val="16"/>
        </w:rPr>
      </w:pPr>
    </w:p>
    <w:p w14:paraId="6ABF5009" w14:textId="77777777" w:rsidR="000D6FF7" w:rsidRPr="00F90EAE" w:rsidRDefault="000D6FF7" w:rsidP="00F90EAE">
      <w:pPr>
        <w:jc w:val="both"/>
        <w:rPr>
          <w:color w:val="0070C0"/>
          <w:sz w:val="16"/>
          <w:szCs w:val="16"/>
        </w:rPr>
      </w:pPr>
      <w:r w:rsidRPr="00F90EAE">
        <w:rPr>
          <w:color w:val="0070C0"/>
          <w:sz w:val="16"/>
          <w:szCs w:val="16"/>
        </w:rPr>
        <w:t>24 января 1945 авианосцы Британского Тихоокеанского флота наносят удары по контролируемому японцами нефтеперерабатывающему заводу в Пладжо, Суматра. Во время Второй мировой войны завод так и не смог выйти на полную мощность (20371).</w:t>
      </w:r>
    </w:p>
    <w:p w14:paraId="486E65BA" w14:textId="77777777" w:rsidR="000D6FF7" w:rsidRPr="00F90EAE" w:rsidRDefault="000D6FF7" w:rsidP="00F90EAE">
      <w:pPr>
        <w:jc w:val="both"/>
        <w:rPr>
          <w:color w:val="0070C0"/>
          <w:sz w:val="16"/>
          <w:szCs w:val="16"/>
        </w:rPr>
      </w:pPr>
    </w:p>
    <w:p w14:paraId="462A7AF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6BD366A" w14:textId="77777777" w:rsidR="00C2313B" w:rsidRPr="00F90EAE" w:rsidRDefault="00C2313B" w:rsidP="00F90EAE">
      <w:pPr>
        <w:autoSpaceDE w:val="0"/>
        <w:autoSpaceDN w:val="0"/>
        <w:adjustRightInd w:val="0"/>
        <w:jc w:val="both"/>
        <w:rPr>
          <w:iCs/>
          <w:color w:val="000000" w:themeColor="text1"/>
          <w:sz w:val="16"/>
          <w:szCs w:val="16"/>
        </w:rPr>
      </w:pPr>
    </w:p>
    <w:p w14:paraId="03DD80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 На испытания поступил 23 января. Вед. инж. п П.Т.Аброщенко, вед. л Г.А.Тиняков. Сделали 16 полетов и налетали 10 час. 50 мин. С некоторыми незначительными улучшениями (804,4).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76621D54" w14:textId="77777777">
        <w:tc>
          <w:tcPr>
            <w:tcW w:w="5636" w:type="dxa"/>
          </w:tcPr>
          <w:p w14:paraId="6385B8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5636" w:type="dxa"/>
          </w:tcPr>
          <w:p w14:paraId="1C1540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4644 кг.</w:t>
            </w:r>
          </w:p>
        </w:tc>
      </w:tr>
      <w:tr w:rsidR="00561F31" w:rsidRPr="00F90EAE" w14:paraId="17E1785F" w14:textId="77777777">
        <w:tc>
          <w:tcPr>
            <w:tcW w:w="5636" w:type="dxa"/>
          </w:tcPr>
          <w:p w14:paraId="2D0C0A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с норм. нагрузкой</w:t>
            </w:r>
          </w:p>
        </w:tc>
        <w:tc>
          <w:tcPr>
            <w:tcW w:w="5636" w:type="dxa"/>
          </w:tcPr>
          <w:p w14:paraId="420D6B7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6325 кг (горючего 545 кг)</w:t>
            </w:r>
          </w:p>
        </w:tc>
      </w:tr>
      <w:tr w:rsidR="00561F31" w:rsidRPr="00F90EAE" w14:paraId="768BBC00" w14:textId="77777777">
        <w:tc>
          <w:tcPr>
            <w:tcW w:w="5636" w:type="dxa"/>
          </w:tcPr>
          <w:p w14:paraId="3FD3A5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 скорость у земли</w:t>
            </w:r>
          </w:p>
        </w:tc>
        <w:tc>
          <w:tcPr>
            <w:tcW w:w="5636" w:type="dxa"/>
          </w:tcPr>
          <w:p w14:paraId="358CD3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391 км/час</w:t>
            </w:r>
          </w:p>
        </w:tc>
      </w:tr>
      <w:tr w:rsidR="00561F31" w:rsidRPr="00F90EAE" w14:paraId="06066ABC" w14:textId="77777777">
        <w:tc>
          <w:tcPr>
            <w:tcW w:w="5636" w:type="dxa"/>
          </w:tcPr>
          <w:p w14:paraId="69B83C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1200</w:t>
            </w:r>
          </w:p>
        </w:tc>
        <w:tc>
          <w:tcPr>
            <w:tcW w:w="5636" w:type="dxa"/>
          </w:tcPr>
          <w:p w14:paraId="5BEBF4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405 км/час (804,10)</w:t>
            </w:r>
          </w:p>
        </w:tc>
      </w:tr>
    </w:tbl>
    <w:p w14:paraId="3F397135" w14:textId="77777777" w:rsidR="00C2313B" w:rsidRPr="00F90EAE" w:rsidRDefault="00C2313B" w:rsidP="00F90EAE">
      <w:pPr>
        <w:autoSpaceDE w:val="0"/>
        <w:autoSpaceDN w:val="0"/>
        <w:adjustRightInd w:val="0"/>
        <w:jc w:val="both"/>
        <w:rPr>
          <w:color w:val="000000" w:themeColor="text1"/>
          <w:sz w:val="16"/>
          <w:szCs w:val="16"/>
        </w:rPr>
      </w:pPr>
    </w:p>
    <w:p w14:paraId="19B8DF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25 января по 19 февраля 1945 в НИИ ВВС проводились гос. испытания Ил-2 N 18840122 с АМ-38Ф и винтом АВ-5Л-158 производства 18 завода, изготовленного в ноябре 1944</w:t>
      </w:r>
    </w:p>
    <w:p w14:paraId="6474B4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6C495E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и ип/п П.Т.Аброщенко</w:t>
      </w:r>
    </w:p>
    <w:p w14:paraId="55B119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л, л-к 5 отд. 1У ГК НИИ ВВС к-н Г.А.Тиняков, подписал 22 февраля</w:t>
      </w:r>
    </w:p>
    <w:p w14:paraId="0626B8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облета: гм-р Стефановский - подписал 23 февраля</w:t>
      </w:r>
    </w:p>
    <w:p w14:paraId="1671F4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нач. 5 отд. по л/ч п/п Долгов</w:t>
      </w:r>
    </w:p>
    <w:p w14:paraId="2CB4DC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Установлены кнопки управления передатчиком на ручкуе сектора нормального газа</w:t>
      </w:r>
    </w:p>
    <w:p w14:paraId="31838C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система газового запуска холодного мотора</w:t>
      </w:r>
    </w:p>
    <w:p w14:paraId="1EB203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на испытания 23 января</w:t>
      </w:r>
    </w:p>
    <w:p w14:paraId="2E4339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полетов, налет 10:50</w:t>
      </w:r>
    </w:p>
    <w:p w14:paraId="63F6F6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4644 кг, загруженного с-та с нормальной нагрузкой - 6325, ц/т 27,5%</w:t>
      </w:r>
    </w:p>
    <w:p w14:paraId="145A9E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 капотирования при торможении 30Ж20</w:t>
      </w:r>
    </w:p>
    <w:p w14:paraId="736E62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состоит из:</w:t>
      </w:r>
    </w:p>
    <w:p w14:paraId="6CD77C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экипаж - 190 кг</w:t>
      </w:r>
    </w:p>
    <w:p w14:paraId="21CDC5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горючее - 545 кг (0,747)</w:t>
      </w:r>
    </w:p>
    <w:p w14:paraId="6E171B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масло - 65 кг</w:t>
      </w:r>
    </w:p>
    <w:p w14:paraId="0785DE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бомбы - 400 кг</w:t>
      </w:r>
    </w:p>
    <w:p w14:paraId="35B5C3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2хВЯ - 132 кг, патроны к пушке (300) - 168 кг</w:t>
      </w:r>
    </w:p>
    <w:p w14:paraId="1929EC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УБТ - 21 кг, патроны (150) - 27</w:t>
      </w:r>
    </w:p>
    <w:p w14:paraId="7850CA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2хШКАС - 21 кг, патронов ШКАС (1500) - 51 кг</w:t>
      </w:r>
    </w:p>
    <w:p w14:paraId="4E7CD5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снарядов РС (4хРС-82) - 27 кг</w:t>
      </w:r>
    </w:p>
    <w:p w14:paraId="261EEE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w:t>
      </w:r>
    </w:p>
    <w:p w14:paraId="0BC384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- 15</w:t>
      </w:r>
    </w:p>
    <w:p w14:paraId="66C2EB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вооружения - 29</w:t>
      </w:r>
    </w:p>
    <w:p w14:paraId="5EC6DD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- 1681 кг</w:t>
      </w:r>
    </w:p>
    <w:p w14:paraId="0E2856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Основные ЛТД</w:t>
      </w:r>
    </w:p>
    <w:p w14:paraId="3C9B26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405 км/час на 1200 м</w:t>
      </w:r>
    </w:p>
    <w:p w14:paraId="271083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1000 м - 2,6 мин., на 3000 м - 8,8 мин.</w:t>
      </w:r>
    </w:p>
    <w:p w14:paraId="3F8986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5800 м, набор за 38 мин.</w:t>
      </w:r>
    </w:p>
    <w:p w14:paraId="19F1F8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мерилась при закрытых фонарях кабины л и стрелка,Ю окрытых полностью заслонках водо и маслорадиатора</w:t>
      </w:r>
    </w:p>
    <w:p w14:paraId="72D0D6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при весе 6325 и 2050 оборотах и Ра 1220</w:t>
      </w:r>
    </w:p>
    <w:p w14:paraId="50B676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0 - 6,3</w:t>
      </w:r>
    </w:p>
    <w:p w14:paraId="02E78F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850 - 6,8</w:t>
      </w:r>
    </w:p>
    <w:p w14:paraId="08845F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3000 - 4</w:t>
      </w:r>
    </w:p>
    <w:p w14:paraId="5960C0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5800 - ,5</w:t>
      </w:r>
    </w:p>
    <w:p w14:paraId="6FBCF8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Мотор эксплуатируется на бензине 4Б-78 и масле АО-8 М6</w:t>
      </w:r>
    </w:p>
    <w:p w14:paraId="3F8C1D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Тиняков: управляемость с-та - хорошая, усилия на ручке - не большие</w:t>
      </w:r>
    </w:p>
    <w:p w14:paraId="7D4BA3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59BDF244" w14:textId="77777777" w:rsidR="00C2313B" w:rsidRPr="00F90EAE" w:rsidRDefault="00C2313B" w:rsidP="00F90EAE">
      <w:pPr>
        <w:autoSpaceDE w:val="0"/>
        <w:autoSpaceDN w:val="0"/>
        <w:adjustRightInd w:val="0"/>
        <w:jc w:val="both"/>
        <w:rPr>
          <w:color w:val="000000" w:themeColor="text1"/>
          <w:sz w:val="16"/>
          <w:szCs w:val="16"/>
        </w:rPr>
      </w:pPr>
    </w:p>
    <w:p w14:paraId="67040D6B"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января 1945 на стажи</w:t>
      </w:r>
      <w:r w:rsidRPr="00F90EAE">
        <w:rPr>
          <w:color w:val="000000" w:themeColor="text1"/>
          <w:sz w:val="16"/>
          <w:szCs w:val="16"/>
        </w:rPr>
        <w:softHyphen/>
        <w:t>ровку во 2-ю воздушную армию убы</w:t>
      </w:r>
      <w:r w:rsidRPr="00F90EAE">
        <w:rPr>
          <w:color w:val="000000" w:themeColor="text1"/>
          <w:sz w:val="16"/>
          <w:szCs w:val="16"/>
        </w:rPr>
        <w:softHyphen/>
        <w:t>ло на Ил-10 звено от управления бри</w:t>
      </w:r>
      <w:r w:rsidRPr="00F90EAE">
        <w:rPr>
          <w:color w:val="000000" w:themeColor="text1"/>
          <w:sz w:val="16"/>
          <w:szCs w:val="16"/>
        </w:rPr>
        <w:softHyphen/>
        <w:t>гады (11131).</w:t>
      </w:r>
    </w:p>
    <w:p w14:paraId="21839F3C"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Далеко не самым последним фактором, несколько тормозившим процесс переучивания на новую матчасть, являлось осознание каж</w:t>
      </w:r>
      <w:r w:rsidRPr="00F90EAE">
        <w:rPr>
          <w:color w:val="000000" w:themeColor="text1"/>
          <w:sz w:val="16"/>
          <w:szCs w:val="16"/>
        </w:rPr>
        <w:softHyphen/>
        <w:t>дым летчиком, и особенно «стари</w:t>
      </w:r>
      <w:r w:rsidRPr="00F90EAE">
        <w:rPr>
          <w:color w:val="000000" w:themeColor="text1"/>
          <w:sz w:val="16"/>
          <w:szCs w:val="16"/>
        </w:rPr>
        <w:softHyphen/>
        <w:t>ками», прошедшими горнило насто</w:t>
      </w:r>
      <w:r w:rsidRPr="00F90EAE">
        <w:rPr>
          <w:color w:val="000000" w:themeColor="text1"/>
          <w:sz w:val="16"/>
          <w:szCs w:val="16"/>
        </w:rPr>
        <w:softHyphen/>
        <w:t>ящей войны, того факта, что война подходит к концу и, что они все же выжили. Вслух об этом говорить не решались, но «про себя», несом</w:t>
      </w:r>
      <w:r w:rsidRPr="00F90EAE">
        <w:rPr>
          <w:color w:val="000000" w:themeColor="text1"/>
          <w:sz w:val="16"/>
          <w:szCs w:val="16"/>
        </w:rPr>
        <w:softHyphen/>
        <w:t>ненно, думали. В силу этого, попав в глубокий тыл, боевые летчики по</w:t>
      </w:r>
      <w:r w:rsidRPr="00F90EAE">
        <w:rPr>
          <w:color w:val="000000" w:themeColor="text1"/>
          <w:sz w:val="16"/>
          <w:szCs w:val="16"/>
        </w:rPr>
        <w:softHyphen/>
        <w:t>зволили себе несколько рассла</w:t>
      </w:r>
      <w:r w:rsidRPr="00F90EAE">
        <w:rPr>
          <w:color w:val="000000" w:themeColor="text1"/>
          <w:sz w:val="16"/>
          <w:szCs w:val="16"/>
        </w:rPr>
        <w:softHyphen/>
        <w:t>биться. Конечно же, молодежь из нового пополнения рвалась и то</w:t>
      </w:r>
      <w:r w:rsidRPr="00F90EAE">
        <w:rPr>
          <w:color w:val="000000" w:themeColor="text1"/>
          <w:sz w:val="16"/>
          <w:szCs w:val="16"/>
        </w:rPr>
        <w:softHyphen/>
        <w:t>ропилась в бой,но опыта и летных навыкав у нее было маловато. Про</w:t>
      </w:r>
      <w:r w:rsidRPr="00F90EAE">
        <w:rPr>
          <w:color w:val="000000" w:themeColor="text1"/>
          <w:sz w:val="16"/>
          <w:szCs w:val="16"/>
        </w:rPr>
        <w:softHyphen/>
        <w:t>явления таких «мыслей» в той или иной форме прослеживаются при анализе материалов отчетных и других документов 1-й заб и мар</w:t>
      </w:r>
      <w:r w:rsidRPr="00F90EAE">
        <w:rPr>
          <w:color w:val="000000" w:themeColor="text1"/>
          <w:sz w:val="16"/>
          <w:szCs w:val="16"/>
        </w:rPr>
        <w:softHyphen/>
        <w:t>шевых полков.</w:t>
      </w:r>
    </w:p>
    <w:p w14:paraId="518080B6"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Необходимо также отметить, что процесс переучивания летного со</w:t>
      </w:r>
      <w:r w:rsidRPr="00F90EAE">
        <w:rPr>
          <w:color w:val="000000" w:themeColor="text1"/>
          <w:sz w:val="16"/>
          <w:szCs w:val="16"/>
        </w:rPr>
        <w:softHyphen/>
        <w:t>става сильно осложнялся и рядом серьезных конструктивных и про</w:t>
      </w:r>
      <w:r w:rsidRPr="00F90EAE">
        <w:rPr>
          <w:color w:val="000000" w:themeColor="text1"/>
          <w:sz w:val="16"/>
          <w:szCs w:val="16"/>
        </w:rPr>
        <w:softHyphen/>
        <w:t>изводственных дефектов, как само</w:t>
      </w:r>
      <w:r w:rsidRPr="00F90EAE">
        <w:rPr>
          <w:color w:val="000000" w:themeColor="text1"/>
          <w:sz w:val="16"/>
          <w:szCs w:val="16"/>
        </w:rPr>
        <w:softHyphen/>
        <w:t>лета, так и мотора АМ-42, порож</w:t>
      </w:r>
      <w:r w:rsidRPr="00F90EAE">
        <w:rPr>
          <w:color w:val="000000" w:themeColor="text1"/>
          <w:sz w:val="16"/>
          <w:szCs w:val="16"/>
        </w:rPr>
        <w:softHyphen/>
        <w:t>денных «скоростными» методами проектирования и внедрения в массовое производство в условиях военного времени. Это вызывало опре</w:t>
      </w:r>
      <w:r w:rsidRPr="00F90EAE">
        <w:rPr>
          <w:color w:val="000000" w:themeColor="text1"/>
          <w:sz w:val="16"/>
          <w:szCs w:val="16"/>
        </w:rPr>
        <w:softHyphen/>
        <w:t>деленную нервоз</w:t>
      </w:r>
      <w:r w:rsidRPr="00F90EAE">
        <w:rPr>
          <w:color w:val="000000" w:themeColor="text1"/>
          <w:sz w:val="16"/>
          <w:szCs w:val="16"/>
        </w:rPr>
        <w:softHyphen/>
        <w:t>ность и неуверен</w:t>
      </w:r>
      <w:r w:rsidRPr="00F90EAE">
        <w:rPr>
          <w:color w:val="000000" w:themeColor="text1"/>
          <w:sz w:val="16"/>
          <w:szCs w:val="16"/>
        </w:rPr>
        <w:softHyphen/>
        <w:t>ность, как среди лет</w:t>
      </w:r>
      <w:r w:rsidRPr="00F90EAE">
        <w:rPr>
          <w:color w:val="000000" w:themeColor="text1"/>
          <w:sz w:val="16"/>
          <w:szCs w:val="16"/>
        </w:rPr>
        <w:softHyphen/>
        <w:t>чиков, так и их инст</w:t>
      </w:r>
      <w:r w:rsidRPr="00F90EAE">
        <w:rPr>
          <w:color w:val="000000" w:themeColor="text1"/>
          <w:sz w:val="16"/>
          <w:szCs w:val="16"/>
        </w:rPr>
        <w:softHyphen/>
        <w:t>рукторов.</w:t>
      </w:r>
    </w:p>
    <w:p w14:paraId="49D69DA2"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сбрасывании бомб из бомбовых от</w:t>
      </w:r>
      <w:r w:rsidRPr="00F90EAE">
        <w:rPr>
          <w:color w:val="000000" w:themeColor="text1"/>
          <w:sz w:val="16"/>
          <w:szCs w:val="16"/>
        </w:rPr>
        <w:softHyphen/>
        <w:t>секов встречались слу</w:t>
      </w:r>
      <w:r w:rsidRPr="00F90EAE">
        <w:rPr>
          <w:color w:val="000000" w:themeColor="text1"/>
          <w:sz w:val="16"/>
          <w:szCs w:val="16"/>
        </w:rPr>
        <w:softHyphen/>
        <w:t>чаи обрыва тросов уп</w:t>
      </w:r>
      <w:r w:rsidRPr="00F90EAE">
        <w:rPr>
          <w:color w:val="000000" w:themeColor="text1"/>
          <w:sz w:val="16"/>
          <w:szCs w:val="16"/>
        </w:rPr>
        <w:softHyphen/>
        <w:t>равления створками отсеков, а так</w:t>
      </w:r>
      <w:r w:rsidRPr="00F90EAE">
        <w:rPr>
          <w:color w:val="000000" w:themeColor="text1"/>
          <w:sz w:val="16"/>
          <w:szCs w:val="16"/>
        </w:rPr>
        <w:softHyphen/>
        <w:t>же деформации створок в местах крепления к ним петель. На некото</w:t>
      </w:r>
      <w:r w:rsidRPr="00F90EAE">
        <w:rPr>
          <w:color w:val="000000" w:themeColor="text1"/>
          <w:sz w:val="16"/>
          <w:szCs w:val="16"/>
        </w:rPr>
        <w:softHyphen/>
        <w:t>рых самолетах были зарегистриро</w:t>
      </w:r>
      <w:r w:rsidRPr="00F90EAE">
        <w:rPr>
          <w:color w:val="000000" w:themeColor="text1"/>
          <w:sz w:val="16"/>
          <w:szCs w:val="16"/>
        </w:rPr>
        <w:softHyphen/>
        <w:t>ваны случаи обрыва траверсы угло</w:t>
      </w:r>
      <w:r w:rsidRPr="00F90EAE">
        <w:rPr>
          <w:color w:val="000000" w:themeColor="text1"/>
          <w:sz w:val="16"/>
          <w:szCs w:val="16"/>
        </w:rPr>
        <w:softHyphen/>
        <w:t>вого ролика, через который прохо</w:t>
      </w:r>
      <w:r w:rsidRPr="00F90EAE">
        <w:rPr>
          <w:color w:val="000000" w:themeColor="text1"/>
          <w:sz w:val="16"/>
          <w:szCs w:val="16"/>
        </w:rPr>
        <w:softHyphen/>
        <w:t>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 С 8-й серии стали ставить накладки под петли, а с 12-й - провели усиле</w:t>
      </w:r>
      <w:r w:rsidRPr="00F90EAE">
        <w:rPr>
          <w:color w:val="000000" w:themeColor="text1"/>
          <w:sz w:val="16"/>
          <w:szCs w:val="16"/>
        </w:rPr>
        <w:softHyphen/>
        <w:t>ние и створок, и петель.</w:t>
      </w:r>
    </w:p>
    <w:p w14:paraId="496A2FAF"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Столкнулись и нарушением по</w:t>
      </w:r>
      <w:r w:rsidRPr="00F90EAE">
        <w:rPr>
          <w:color w:val="000000" w:themeColor="text1"/>
          <w:sz w:val="16"/>
          <w:szCs w:val="16"/>
        </w:rPr>
        <w:softHyphen/>
        <w:t>перечной балансировки самолета, заключающейся в том, что самолет приобретал произвольный крен в одну сторону. Причиной дефекта, как выяснилось, являлось измене</w:t>
      </w:r>
      <w:r w:rsidRPr="00F90EAE">
        <w:rPr>
          <w:color w:val="000000" w:themeColor="text1"/>
          <w:sz w:val="16"/>
          <w:szCs w:val="16"/>
        </w:rPr>
        <w:softHyphen/>
        <w:t>ние угла установки (отгибание) «ножа»-компенсатора, приклепан</w:t>
      </w:r>
      <w:r w:rsidRPr="00F90EAE">
        <w:rPr>
          <w:color w:val="000000" w:themeColor="text1"/>
          <w:sz w:val="16"/>
          <w:szCs w:val="16"/>
        </w:rPr>
        <w:softHyphen/>
        <w:t>ного к элерону. Оказалось, что «ножи» элеронов отгибаются струбцинами при неверной их по</w:t>
      </w:r>
      <w:r w:rsidRPr="00F90EAE">
        <w:rPr>
          <w:color w:val="000000" w:themeColor="text1"/>
          <w:sz w:val="16"/>
          <w:szCs w:val="16"/>
        </w:rPr>
        <w:softHyphen/>
        <w:t>становке техническим составом полков в процессе обслуживания самолетов.</w:t>
      </w:r>
    </w:p>
    <w:p w14:paraId="09B432A1"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Моторы АМ-42 в своем боль</w:t>
      </w:r>
      <w:r w:rsidRPr="00F90EAE">
        <w:rPr>
          <w:color w:val="000000" w:themeColor="text1"/>
          <w:sz w:val="16"/>
          <w:szCs w:val="16"/>
        </w:rPr>
        <w:softHyphen/>
        <w:t>шинстве запускались с трудом, а иногда, и вовсе не хотели заво</w:t>
      </w:r>
      <w:r w:rsidRPr="00F90EAE">
        <w:rPr>
          <w:color w:val="000000" w:themeColor="text1"/>
          <w:sz w:val="16"/>
          <w:szCs w:val="16"/>
        </w:rPr>
        <w:softHyphen/>
        <w:t>диться. Осмотр наиболее «упор</w:t>
      </w:r>
      <w:r w:rsidRPr="00F90EAE">
        <w:rPr>
          <w:color w:val="000000" w:themeColor="text1"/>
          <w:sz w:val="16"/>
          <w:szCs w:val="16"/>
        </w:rPr>
        <w:softHyphen/>
        <w:t>ных» моторов показал, что причи</w:t>
      </w:r>
      <w:r w:rsidRPr="00F90EAE">
        <w:rPr>
          <w:color w:val="000000" w:themeColor="text1"/>
          <w:sz w:val="16"/>
          <w:szCs w:val="16"/>
        </w:rPr>
        <w:softHyphen/>
        <w:t>ной отказов являлось засорение бензиновых штуцеров насосов ПН-1, скатавшимися в шарик фиб</w:t>
      </w:r>
      <w:r w:rsidRPr="00F90EAE">
        <w:rPr>
          <w:color w:val="000000" w:themeColor="text1"/>
          <w:sz w:val="16"/>
          <w:szCs w:val="16"/>
        </w:rPr>
        <w:softHyphen/>
        <w:t>ровыми прокладками, устанавли</w:t>
      </w:r>
      <w:r w:rsidRPr="00F90EAE">
        <w:rPr>
          <w:color w:val="000000" w:themeColor="text1"/>
          <w:sz w:val="16"/>
          <w:szCs w:val="16"/>
        </w:rPr>
        <w:softHyphen/>
        <w:t>ваемыми под переходники бензи</w:t>
      </w:r>
      <w:r w:rsidRPr="00F90EAE">
        <w:rPr>
          <w:color w:val="000000" w:themeColor="text1"/>
          <w:sz w:val="16"/>
          <w:szCs w:val="16"/>
        </w:rPr>
        <w:softHyphen/>
        <w:t>новых штуцеров ПН-1.</w:t>
      </w:r>
    </w:p>
    <w:p w14:paraId="61070D19"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этого, моторы показы</w:t>
      </w:r>
      <w:r w:rsidRPr="00F90EAE">
        <w:rPr>
          <w:color w:val="000000" w:themeColor="text1"/>
          <w:sz w:val="16"/>
          <w:szCs w:val="16"/>
        </w:rPr>
        <w:softHyphen/>
        <w:t>вали плохую приемистость на ма</w:t>
      </w:r>
      <w:r w:rsidRPr="00F90EAE">
        <w:rPr>
          <w:color w:val="000000" w:themeColor="text1"/>
          <w:sz w:val="16"/>
          <w:szCs w:val="16"/>
        </w:rPr>
        <w:softHyphen/>
        <w:t>лом газу и особенно при запуске го</w:t>
      </w:r>
      <w:r w:rsidRPr="00F90EAE">
        <w:rPr>
          <w:color w:val="000000" w:themeColor="text1"/>
          <w:sz w:val="16"/>
          <w:szCs w:val="16"/>
        </w:rPr>
        <w:softHyphen/>
        <w:t>рячих моторов, часто происходило разрушение вкладышей и обрыв шатунов, постоянно текли масло- и водорадиаторы по причине плохой пайки и т.д.</w:t>
      </w:r>
    </w:p>
    <w:p w14:paraId="668E6447" w14:textId="77777777" w:rsidR="00030351" w:rsidRPr="00F90EAE" w:rsidRDefault="00030351"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судя по документам, недостатки и дефекты мотора АМ-42 обуславливались не только объективными трудностями, но также и «особым» отношением мотористов к вопросу выяснения истинных причин «летных проис</w:t>
      </w:r>
      <w:r w:rsidRPr="00F90EAE">
        <w:rPr>
          <w:color w:val="000000" w:themeColor="text1"/>
          <w:sz w:val="16"/>
          <w:szCs w:val="16"/>
        </w:rPr>
        <w:softHyphen/>
        <w:t>шествий, происходящих по причи</w:t>
      </w:r>
      <w:r w:rsidRPr="00F90EAE">
        <w:rPr>
          <w:color w:val="000000" w:themeColor="text1"/>
          <w:sz w:val="16"/>
          <w:szCs w:val="16"/>
        </w:rPr>
        <w:softHyphen/>
        <w:t>не отказа моторов» (11132).</w:t>
      </w:r>
    </w:p>
    <w:p w14:paraId="7FA9DCB8" w14:textId="77777777" w:rsidR="00030351" w:rsidRPr="00F90EAE" w:rsidRDefault="00030351" w:rsidP="00F90EAE">
      <w:pPr>
        <w:shd w:val="clear" w:color="auto" w:fill="FFFFFF"/>
        <w:autoSpaceDE w:val="0"/>
        <w:autoSpaceDN w:val="0"/>
        <w:adjustRightInd w:val="0"/>
        <w:jc w:val="both"/>
        <w:rPr>
          <w:color w:val="000000" w:themeColor="text1"/>
          <w:sz w:val="16"/>
          <w:szCs w:val="16"/>
        </w:rPr>
      </w:pPr>
    </w:p>
    <w:p w14:paraId="328572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25 января 1945 по 7 февраля 1945 (прекращеныиз-за ненадежной работы вооружения) гос. испытания модифицированного Ла-7 № 38100358 с 3 пушками Б-20.</w:t>
      </w:r>
    </w:p>
    <w:p w14:paraId="4481F7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С-ты № 38100358, 38105758 производства завода № 381</w:t>
      </w:r>
    </w:p>
    <w:p w14:paraId="48EF01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Отв. Исп. И-м Г.В.Чертявский</w:t>
      </w:r>
    </w:p>
    <w:p w14:paraId="1419F8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Л м Кубышкин</w:t>
      </w:r>
    </w:p>
    <w:p w14:paraId="43594E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С-ты производства з-да № 381 выпуска января-февраля 1945 г</w:t>
      </w:r>
    </w:p>
    <w:p w14:paraId="5426E6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5758 испытания начаты 22 февраля и закончены 25 марта 1945 г.</w:t>
      </w:r>
    </w:p>
    <w:p w14:paraId="736BDC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время полетов на с-те № 0358 налет составил 2:50</w:t>
      </w:r>
    </w:p>
    <w:p w14:paraId="0BE8A5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2675, полетный - 3312</w:t>
      </w:r>
    </w:p>
    <w:p w14:paraId="772971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571, на 1 гр. (2900) - 632, на 5000 - 636, на 2 гр. (6100) - 662 км/час</w:t>
      </w:r>
    </w:p>
    <w:p w14:paraId="0BE32C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5000 - 5,1</w:t>
      </w:r>
    </w:p>
    <w:p w14:paraId="25350B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10325, время набора 26 мин.</w:t>
      </w:r>
    </w:p>
    <w:p w14:paraId="7F0967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6DB6C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4AD5D9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работы 20мм пушек Б-20с и их синхронной установки не обеспечена.</w:t>
      </w:r>
    </w:p>
    <w:p w14:paraId="0907D6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Материалы испытаний оставить для внутреннего пользованияч.</w:t>
      </w:r>
    </w:p>
    <w:p w14:paraId="0CBA1C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5AE3E2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Подписали Кочетков, Л.. 2 апреля 1945 (743,1).</w:t>
      </w:r>
    </w:p>
    <w:p w14:paraId="73676D25" w14:textId="77777777" w:rsidR="00C2313B" w:rsidRPr="00F90EAE" w:rsidRDefault="00C2313B" w:rsidP="00F90EAE">
      <w:pPr>
        <w:autoSpaceDE w:val="0"/>
        <w:autoSpaceDN w:val="0"/>
        <w:adjustRightInd w:val="0"/>
        <w:jc w:val="both"/>
        <w:rPr>
          <w:color w:val="000000" w:themeColor="text1"/>
          <w:sz w:val="16"/>
          <w:szCs w:val="16"/>
        </w:rPr>
      </w:pPr>
    </w:p>
    <w:p w14:paraId="4BFE1AE4" w14:textId="77777777" w:rsidR="004C221F" w:rsidRPr="00F90EAE" w:rsidRDefault="004C221F" w:rsidP="00F90EAE">
      <w:pPr>
        <w:jc w:val="both"/>
        <w:rPr>
          <w:color w:val="0070C0"/>
          <w:sz w:val="16"/>
          <w:szCs w:val="16"/>
        </w:rPr>
      </w:pPr>
      <w:r w:rsidRPr="00F90EAE">
        <w:rPr>
          <w:color w:val="0070C0"/>
          <w:sz w:val="16"/>
          <w:szCs w:val="16"/>
        </w:rPr>
        <w:t>25 января 1945 г. на Государственные испытания поступил новый трехточечный Ла-7 № 38100358, но до 7 февраля В. Г. Чернавский смог выполнить на нем только два полета. Испытания на машине № 38105758 возобновились 22 февраля, но также не дали ожидаемого результата. Помимо дефектов оружия, Акт констатировал падение скорости по сравнению с «эталоном 1944 г.» на 26 км/ч у земли и на 18-38 км/ч по высотам. Последняя цифра Заказчика удовлетворить не могла, и визы на массовый выпуск Ла-7 с усиленным вооружением он не дал, хотя причиной падения летных данных было не изменение вооружения, что подтвердили испытания последующих серийных самолетов (22772).</w:t>
      </w:r>
    </w:p>
    <w:p w14:paraId="6E5A7D09" w14:textId="77777777" w:rsidR="004C221F" w:rsidRPr="00F90EAE" w:rsidRDefault="004C221F" w:rsidP="00F90EAE">
      <w:pPr>
        <w:jc w:val="both"/>
        <w:rPr>
          <w:color w:val="0070C0"/>
          <w:sz w:val="16"/>
          <w:szCs w:val="16"/>
        </w:rPr>
      </w:pPr>
    </w:p>
    <w:p w14:paraId="61D31E20" w14:textId="77777777" w:rsidR="007C7139" w:rsidRPr="00F90EAE" w:rsidRDefault="007C7139" w:rsidP="00F90EAE">
      <w:pPr>
        <w:jc w:val="both"/>
        <w:rPr>
          <w:color w:val="000000" w:themeColor="text1"/>
          <w:sz w:val="16"/>
          <w:szCs w:val="16"/>
        </w:rPr>
      </w:pPr>
      <w:r w:rsidRPr="00F90EAE">
        <w:rPr>
          <w:color w:val="000000" w:themeColor="text1"/>
          <w:sz w:val="16"/>
          <w:szCs w:val="16"/>
        </w:rPr>
        <w:t>25 января 1945 после изменения кинематики управления мо</w:t>
      </w:r>
      <w:r w:rsidRPr="00F90EAE">
        <w:rPr>
          <w:color w:val="000000" w:themeColor="text1"/>
          <w:sz w:val="16"/>
          <w:szCs w:val="16"/>
        </w:rPr>
        <w:softHyphen/>
        <w:t>тором на высотном Ла-7 произвели ещё один полёт, на этот раз факел наблюдался только при изменении режима работы мотора. Самолёт подготовили к выполнению полётов по про</w:t>
      </w:r>
      <w:r w:rsidRPr="00F90EAE">
        <w:rPr>
          <w:color w:val="000000" w:themeColor="text1"/>
          <w:sz w:val="16"/>
          <w:szCs w:val="16"/>
        </w:rPr>
        <w:softHyphen/>
        <w:t>грамме, но из-за того, что Г.М. Шиянов занимался испытаниями Ла-7 с АШ-83 и Ла-7 с реактивным ускорителем, следующие два полёта провели только 1 марта 1945 г. Оба пришлось преждевременно прекратить: первый — на 10-й минуте из-за выбивания ма</w:t>
      </w:r>
      <w:r w:rsidRPr="00F90EAE">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F90EAE">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F90EAE">
        <w:rPr>
          <w:color w:val="000000" w:themeColor="text1"/>
          <w:sz w:val="16"/>
          <w:szCs w:val="16"/>
        </w:rPr>
        <w:softHyphen/>
        <w:t>готовить новое управление.</w:t>
      </w:r>
    </w:p>
    <w:p w14:paraId="7B378ADC" w14:textId="77777777" w:rsidR="007C7139" w:rsidRPr="00F90EAE" w:rsidRDefault="007C7139" w:rsidP="00F90EAE">
      <w:pPr>
        <w:jc w:val="both"/>
        <w:rPr>
          <w:color w:val="000000" w:themeColor="text1"/>
          <w:sz w:val="16"/>
          <w:szCs w:val="16"/>
        </w:rPr>
      </w:pPr>
      <w:r w:rsidRPr="00F90EAE">
        <w:rPr>
          <w:color w:val="000000" w:themeColor="text1"/>
          <w:sz w:val="16"/>
          <w:szCs w:val="16"/>
        </w:rPr>
        <w:t>Назад из ЦИАМ агрегаты получили лишь в мае. На</w:t>
      </w:r>
      <w:r w:rsidRPr="00F90EAE">
        <w:rPr>
          <w:color w:val="000000" w:themeColor="text1"/>
          <w:sz w:val="16"/>
          <w:szCs w:val="16"/>
        </w:rPr>
        <w:softHyphen/>
        <w:t>конец, 14 июня состоялся контрольный полёт до вы</w:t>
      </w:r>
      <w:r w:rsidRPr="00F90EAE">
        <w:rPr>
          <w:color w:val="000000" w:themeColor="text1"/>
          <w:sz w:val="16"/>
          <w:szCs w:val="16"/>
        </w:rPr>
        <w:softHyphen/>
        <w:t>соты 1000 м без включения турбокомпрессора, факел образовался только при посадке, для его устране</w:t>
      </w:r>
      <w:r w:rsidRPr="00F90EAE">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F90EAE">
        <w:rPr>
          <w:color w:val="000000" w:themeColor="text1"/>
          <w:sz w:val="16"/>
          <w:szCs w:val="16"/>
        </w:rPr>
        <w:softHyphen/>
        <w:t>явился факел, его длина достигала 2 м, тогда как в предыдущий раз — 80 см. Снова про</w:t>
      </w:r>
      <w:r w:rsidRPr="00F90EAE">
        <w:rPr>
          <w:color w:val="000000" w:themeColor="text1"/>
          <w:sz w:val="16"/>
          <w:szCs w:val="16"/>
        </w:rPr>
        <w:softHyphen/>
        <w:t xml:space="preserve">извели регулировку мотора. После нескольких дней нелётной погоды для высотных </w:t>
      </w:r>
      <w:r w:rsidRPr="00F90EAE">
        <w:rPr>
          <w:rStyle w:val="aff6"/>
          <w:rFonts w:ascii="Times New Roman" w:eastAsia="Arial Unicode MS" w:hAnsi="Times New Roman" w:cs="Times New Roman"/>
          <w:i w:val="0"/>
          <w:color w:val="000000" w:themeColor="text1"/>
        </w:rPr>
        <w:t>полётов,</w:t>
      </w:r>
      <w:r w:rsidRPr="00F90EAE">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F90EAE">
        <w:rPr>
          <w:color w:val="000000" w:themeColor="text1"/>
          <w:sz w:val="16"/>
          <w:szCs w:val="16"/>
        </w:rPr>
        <w:softHyphen/>
        <w:t>вом полёте задание выполнить не удалось. В повторном полёте, после устранения это</w:t>
      </w:r>
      <w:r w:rsidRPr="00F90EAE">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F90EAE">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90EAE">
        <w:rPr>
          <w:color w:val="000000" w:themeColor="text1"/>
          <w:sz w:val="16"/>
          <w:szCs w:val="16"/>
        </w:rPr>
        <w:softHyphen/>
        <w:t>рофы послужила потеря лётчиком сознания на высоте.</w:t>
      </w:r>
    </w:p>
    <w:p w14:paraId="1CD726F0" w14:textId="77777777" w:rsidR="007C7139" w:rsidRPr="00F90EAE" w:rsidRDefault="007C7139" w:rsidP="00F90EAE">
      <w:pPr>
        <w:jc w:val="both"/>
        <w:rPr>
          <w:color w:val="000000" w:themeColor="text1"/>
          <w:sz w:val="16"/>
          <w:szCs w:val="16"/>
        </w:rPr>
      </w:pPr>
      <w:r w:rsidRPr="00F90EAE">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90EAE">
        <w:rPr>
          <w:color w:val="000000" w:themeColor="text1"/>
          <w:sz w:val="16"/>
          <w:szCs w:val="16"/>
        </w:rPr>
        <w:softHyphen/>
        <w:t>требителям. На этом закончилось развитие опытных самолётов С.А. Лавочкина с ТК (15830).</w:t>
      </w:r>
    </w:p>
    <w:p w14:paraId="04FD9956" w14:textId="77777777" w:rsidR="007C7139" w:rsidRPr="00F90EAE" w:rsidRDefault="007C7139" w:rsidP="00F90EAE">
      <w:pPr>
        <w:jc w:val="both"/>
        <w:rPr>
          <w:color w:val="000000" w:themeColor="text1"/>
          <w:sz w:val="16"/>
          <w:szCs w:val="16"/>
        </w:rPr>
      </w:pPr>
    </w:p>
    <w:p w14:paraId="0FF02B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 января 1941 на истребителе Як-3Т в ходе заводских испытаний, проходивших с 15 по 24 января 1945, выполнили второй полет, который совместили с перелетом в НИИ ВВС (первый - 19 января 1945: на снятие летных характеристик).</w:t>
      </w:r>
    </w:p>
    <w:p w14:paraId="0BB024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Государственные испытания Як-ЗТ проходили с 17 февраля по 25 апреля 1945 года.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w:t>
      </w:r>
      <w:r w:rsidRPr="00F90EAE">
        <w:rPr>
          <w:color w:val="000000" w:themeColor="text1"/>
          <w:sz w:val="16"/>
          <w:szCs w:val="16"/>
        </w:rPr>
        <w:lastRenderedPageBreak/>
        <w:t>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7F7BFF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2FF045E" w14:textId="77777777" w:rsidR="00C2313B" w:rsidRPr="00F90EAE" w:rsidRDefault="00C2313B" w:rsidP="00F90EAE">
      <w:pPr>
        <w:autoSpaceDE w:val="0"/>
        <w:autoSpaceDN w:val="0"/>
        <w:adjustRightInd w:val="0"/>
        <w:jc w:val="both"/>
        <w:rPr>
          <w:color w:val="000000" w:themeColor="text1"/>
          <w:sz w:val="16"/>
          <w:szCs w:val="16"/>
        </w:rPr>
      </w:pPr>
    </w:p>
    <w:p w14:paraId="1C5775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 января 1945 года нарком ВМФ Кузнецов писал письмо N 109сс Шахурину.</w:t>
      </w:r>
    </w:p>
    <w:p w14:paraId="624A14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Судостроительная промышленность приступила к проектированию совершенно нового для флота класса кораблей-авианосцев.</w:t>
      </w:r>
    </w:p>
    <w:p w14:paraId="4EF075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Размеры авианосцев, размещение на них ангаров и авиаслужб определяются, в основном, типом палубных самолетов.</w:t>
      </w:r>
    </w:p>
    <w:p w14:paraId="79E0C7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получения исходных данных, которые должны быть положены в основу проектов авианосцев, необходима предварительная разработка следующих типов палубных самолетов:</w:t>
      </w:r>
    </w:p>
    <w:p w14:paraId="3F4E46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Колесные самолеты:</w:t>
      </w:r>
    </w:p>
    <w:p w14:paraId="38ED00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Истребитель ПВО,</w:t>
      </w:r>
    </w:p>
    <w:p w14:paraId="772E60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Истребитель сопровождения (он же штурмовик и пикирующий бомбардировщик),</w:t>
      </w:r>
    </w:p>
    <w:p w14:paraId="493047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Многоцелевой самолет (торпедоносец-бомбардировщик-разведчик).</w:t>
      </w:r>
    </w:p>
    <w:p w14:paraId="5C4347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Летающая лодка:</w:t>
      </w:r>
    </w:p>
    <w:p w14:paraId="1C0B96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Разведчик и самолет аварийно-спасательной службы.</w:t>
      </w:r>
    </w:p>
    <w:p w14:paraId="039F2E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Геликоптер:</w:t>
      </w:r>
    </w:p>
    <w:p w14:paraId="0CD545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Для связи и противолодочного охранения.</w:t>
      </w:r>
    </w:p>
    <w:p w14:paraId="6CCAA8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Вас дать задания соответствующим конструкторским бюро НКАП разработать по технико-техническим требованиям ВВС ВМФ проекты указанных типов палубных самолетов, с тем чтобы по лучшим из них начать постройку опытных образцов во второй половине 1945 года.</w:t>
      </w:r>
    </w:p>
    <w:p w14:paraId="35AE63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Ваше решение прошу мне сообщить (2595).</w:t>
      </w:r>
    </w:p>
    <w:p w14:paraId="7E1FB625" w14:textId="77777777" w:rsidR="00C2313B" w:rsidRPr="00F90EAE" w:rsidRDefault="00C2313B" w:rsidP="00F90EAE">
      <w:pPr>
        <w:autoSpaceDE w:val="0"/>
        <w:autoSpaceDN w:val="0"/>
        <w:adjustRightInd w:val="0"/>
        <w:jc w:val="both"/>
        <w:rPr>
          <w:color w:val="000000" w:themeColor="text1"/>
          <w:sz w:val="16"/>
          <w:szCs w:val="16"/>
        </w:rPr>
      </w:pPr>
    </w:p>
    <w:p w14:paraId="219BB2D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D2980DB" w14:textId="77777777" w:rsidR="00C2313B" w:rsidRPr="00F90EAE" w:rsidRDefault="00C2313B" w:rsidP="00F90EAE">
      <w:pPr>
        <w:autoSpaceDE w:val="0"/>
        <w:autoSpaceDN w:val="0"/>
        <w:adjustRightInd w:val="0"/>
        <w:jc w:val="both"/>
        <w:rPr>
          <w:iCs/>
          <w:color w:val="000000" w:themeColor="text1"/>
          <w:sz w:val="16"/>
          <w:szCs w:val="16"/>
        </w:rPr>
      </w:pPr>
    </w:p>
    <w:p w14:paraId="6C4130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января 1945 г. вышел ПРИКАЗ НАЧАЛЬНИКА ГБТУ КА О НАЗНАЧЕНИИ КОМИССИИ ДЛЯ ПРОВЕДЕНИЯ ИСПЫТАНИЯ ТАНКОВОГО ПОДОГРЕВАТЕЛЯ №84</w:t>
      </w:r>
    </w:p>
    <w:p w14:paraId="1BF6D0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проведения испытаний танкового подогревателя ПДП-1 конструкции военной академии БТ и МВ КА им. Сталина назначить комиссию в составе:</w:t>
      </w:r>
    </w:p>
    <w:p w14:paraId="66B10C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начальник УЭТ ГБТУ КА генерал-майор инженерно-танковой службы</w:t>
      </w:r>
    </w:p>
    <w:p w14:paraId="3126B6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 Печеникин;</w:t>
      </w:r>
    </w:p>
    <w:p w14:paraId="35398C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члены: начальник УСА ГБТУ КА генерал-майор инженерно-танковой службы т. Алымов; начальник ТУ ГБТУ КА инженер-полковник т. Благонравов; начальник кафедры эксплуатации военной академии БТ и МВ КА; инженер-полковник т. Берзин; начальник главной инспекции НКТП СССР; генерал-майор инженерно-танковой службы т. Барыков; инженер-полковник т. Карпенко.</w:t>
      </w:r>
    </w:p>
    <w:p w14:paraId="7BCE97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провести согласно прилагаемой программе.</w:t>
      </w:r>
    </w:p>
    <w:p w14:paraId="3F9FCD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Протокол испытания с заключением комиссии представить мне за подписями членов комиссии к 27.01.1945 г.</w:t>
      </w:r>
    </w:p>
    <w:p w14:paraId="7095EF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ГБТУ КА генерал-лейтенант танковых войск Вершинин</w:t>
      </w:r>
    </w:p>
    <w:p w14:paraId="4315D5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Программа испытаний танкового подогревателя ПДП-1 конструкции академии БТ и МВ КА</w:t>
      </w:r>
    </w:p>
    <w:p w14:paraId="379CAD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«Утверждаю» Начальник ГБТУ КА генерал-лейтенант танковых войск Вершинин</w:t>
      </w:r>
    </w:p>
    <w:p w14:paraId="10C427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Цель испытаний: определение эффективности подогревателя для решения вопроса о введении его на серийное производство для тяжелых и средних танков.</w:t>
      </w:r>
    </w:p>
    <w:p w14:paraId="5037C2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Вопросы, подлежащие освещению в процессе испытаний:</w:t>
      </w:r>
    </w:p>
    <w:p w14:paraId="06242F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Время разогрева подогревателем холодного двигателя танка до момента запуска двигателя нормальным пусковым устройством.</w:t>
      </w:r>
    </w:p>
    <w:p w14:paraId="35338D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Расход горючего для разогрева.</w:t>
      </w:r>
    </w:p>
    <w:p w14:paraId="15C71B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Надежность работы подогревателя.</w:t>
      </w:r>
    </w:p>
    <w:p w14:paraId="127893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Пожарная безопасность подогревателя.</w:t>
      </w:r>
    </w:p>
    <w:p w14:paraId="36BA37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Удобство обслуживания подогревателя экипажем танка.</w:t>
      </w:r>
    </w:p>
    <w:p w14:paraId="20FF0F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Материальное обеспечение испытаний:</w:t>
      </w:r>
    </w:p>
    <w:p w14:paraId="73F8F9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испытаний представляются 1 тяжелый танк и 1 танк Т-34-85, оборудованные подогревателя</w:t>
      </w:r>
      <w:r w:rsidRPr="00F90EAE">
        <w:rPr>
          <w:color w:val="000000" w:themeColor="text1"/>
          <w:sz w:val="16"/>
          <w:szCs w:val="16"/>
        </w:rPr>
        <w:softHyphen/>
        <w:t>ми ПДП-1. Танки должны быть снабжены брезентами. Система охлаждения танков должна быть за</w:t>
      </w:r>
      <w:r w:rsidRPr="00F90EAE">
        <w:rPr>
          <w:color w:val="000000" w:themeColor="text1"/>
          <w:sz w:val="16"/>
          <w:szCs w:val="16"/>
        </w:rPr>
        <w:softHyphen/>
        <w:t>правлена антифризом. В систему каждого танка должны быть включены аэротермометры для заме</w:t>
      </w:r>
      <w:r w:rsidRPr="00F90EAE">
        <w:rPr>
          <w:color w:val="000000" w:themeColor="text1"/>
          <w:sz w:val="16"/>
          <w:szCs w:val="16"/>
        </w:rPr>
        <w:softHyphen/>
        <w:t>ра температуры на входе антифриза в головки блоков двигателя и на выходе антифриза из рубашек блоков. Около стоянки танков должен иметься термометр для определения температуры воздуха.</w:t>
      </w:r>
    </w:p>
    <w:p w14:paraId="319792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11377. Д. 256. Л. 2-3. Подлинник.</w:t>
      </w:r>
    </w:p>
    <w:p w14:paraId="1ED7FC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УЭТ ГБТУ КА генерал-майор инженерно-танковой службы Печеникин (11420).</w:t>
      </w:r>
    </w:p>
    <w:p w14:paraId="5EF2B2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FC700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января 1945 г. вышел ОТЧЕТ О КОЛИЧЕСТВЕ ОТГРУЖЕННЫХ ТАНКОВ С ЗАВОДОВ ПРОМЫШЛЕННОСТИ ИНОСТРАННЫМ АРМИЯМ</w:t>
      </w:r>
    </w:p>
    <w:tbl>
      <w:tblPr>
        <w:tblW w:w="0" w:type="auto"/>
        <w:tblInd w:w="40" w:type="dxa"/>
        <w:tblLayout w:type="fixed"/>
        <w:tblCellMar>
          <w:left w:w="40" w:type="dxa"/>
          <w:right w:w="40" w:type="dxa"/>
        </w:tblCellMar>
        <w:tblLook w:val="0000" w:firstRow="0" w:lastRow="0" w:firstColumn="0" w:lastColumn="0" w:noHBand="0" w:noVBand="0"/>
      </w:tblPr>
      <w:tblGrid>
        <w:gridCol w:w="480"/>
        <w:gridCol w:w="816"/>
        <w:gridCol w:w="720"/>
        <w:gridCol w:w="720"/>
        <w:gridCol w:w="816"/>
        <w:gridCol w:w="845"/>
        <w:gridCol w:w="797"/>
        <w:gridCol w:w="787"/>
        <w:gridCol w:w="864"/>
        <w:gridCol w:w="845"/>
        <w:gridCol w:w="845"/>
        <w:gridCol w:w="1094"/>
      </w:tblGrid>
      <w:tr w:rsidR="00561F31" w:rsidRPr="00F90EAE" w14:paraId="7A4B6ED2" w14:textId="77777777">
        <w:trPr>
          <w:trHeight w:val="259"/>
        </w:trPr>
        <w:tc>
          <w:tcPr>
            <w:tcW w:w="480" w:type="dxa"/>
            <w:tcBorders>
              <w:top w:val="single" w:sz="6" w:space="0" w:color="auto"/>
              <w:left w:val="single" w:sz="6" w:space="0" w:color="auto"/>
              <w:bottom w:val="nil"/>
              <w:right w:val="single" w:sz="6" w:space="0" w:color="auto"/>
            </w:tcBorders>
          </w:tcPr>
          <w:p w14:paraId="307460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B9E42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0175CF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FB296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13977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49DCB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381" w:type="dxa"/>
            <w:gridSpan w:val="3"/>
            <w:tcBorders>
              <w:top w:val="single" w:sz="6" w:space="0" w:color="auto"/>
              <w:left w:val="single" w:sz="6" w:space="0" w:color="auto"/>
              <w:bottom w:val="single" w:sz="6" w:space="0" w:color="auto"/>
              <w:right w:val="single" w:sz="6" w:space="0" w:color="auto"/>
            </w:tcBorders>
          </w:tcPr>
          <w:p w14:paraId="248F47A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27BB93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448" w:type="dxa"/>
            <w:gridSpan w:val="3"/>
            <w:tcBorders>
              <w:top w:val="single" w:sz="6" w:space="0" w:color="auto"/>
              <w:left w:val="single" w:sz="6" w:space="0" w:color="auto"/>
              <w:bottom w:val="single" w:sz="6" w:space="0" w:color="auto"/>
              <w:right w:val="single" w:sz="6" w:space="0" w:color="auto"/>
            </w:tcBorders>
          </w:tcPr>
          <w:p w14:paraId="62291E5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5E7E1ED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277168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отправлено на 1 .01 . 1 945 года</w:t>
            </w:r>
          </w:p>
          <w:p w14:paraId="44CCA7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7038D0E" w14:textId="77777777">
        <w:trPr>
          <w:trHeight w:val="202"/>
        </w:trPr>
        <w:tc>
          <w:tcPr>
            <w:tcW w:w="480" w:type="dxa"/>
            <w:tcBorders>
              <w:top w:val="nil"/>
              <w:left w:val="single" w:sz="6" w:space="0" w:color="auto"/>
              <w:bottom w:val="nil"/>
              <w:right w:val="single" w:sz="6" w:space="0" w:color="auto"/>
            </w:tcBorders>
          </w:tcPr>
          <w:p w14:paraId="3AE76F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BBA67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915A5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 танков</w:t>
            </w:r>
          </w:p>
          <w:p w14:paraId="6E82E1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2E15AA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w:t>
            </w:r>
          </w:p>
          <w:p w14:paraId="103753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58AB7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w:t>
            </w:r>
          </w:p>
          <w:p w14:paraId="25C0DC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72D007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31B70D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5685CA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Общая</w:t>
            </w:r>
          </w:p>
          <w:p w14:paraId="65C9367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733B0B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w:t>
            </w:r>
          </w:p>
          <w:p w14:paraId="3B382E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7552D5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05D7FB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49E130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Общая</w:t>
            </w:r>
          </w:p>
          <w:p w14:paraId="5EFCDA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254AFBC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w:t>
            </w:r>
          </w:p>
          <w:p w14:paraId="48AA4F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48B890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6B8014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2BA99E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Общая</w:t>
            </w:r>
          </w:p>
          <w:p w14:paraId="252567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9244998" w14:textId="77777777">
        <w:trPr>
          <w:trHeight w:val="202"/>
        </w:trPr>
        <w:tc>
          <w:tcPr>
            <w:tcW w:w="480" w:type="dxa"/>
            <w:tcBorders>
              <w:top w:val="nil"/>
              <w:left w:val="single" w:sz="6" w:space="0" w:color="auto"/>
              <w:bottom w:val="nil"/>
              <w:right w:val="single" w:sz="6" w:space="0" w:color="auto"/>
            </w:tcBorders>
          </w:tcPr>
          <w:p w14:paraId="4E4728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AE2FA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0C328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EA35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91324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учета</w:t>
            </w:r>
          </w:p>
          <w:p w14:paraId="0E6B1F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3EB3DA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чество</w:t>
            </w:r>
          </w:p>
          <w:p w14:paraId="14E47E8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1CD746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w:t>
            </w:r>
          </w:p>
          <w:p w14:paraId="09AC28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C9D95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3486B4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2EC2A7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чество</w:t>
            </w:r>
          </w:p>
          <w:p w14:paraId="7CA4D2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A22E5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w:t>
            </w:r>
          </w:p>
          <w:p w14:paraId="07CB29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18136A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3BF997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13DC8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чество</w:t>
            </w:r>
          </w:p>
          <w:p w14:paraId="6A42D1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07417E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w:t>
            </w:r>
          </w:p>
          <w:p w14:paraId="20C591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5676FE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стоимость</w:t>
            </w:r>
          </w:p>
          <w:p w14:paraId="2E05A1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E4DE128" w14:textId="77777777">
        <w:trPr>
          <w:trHeight w:val="192"/>
        </w:trPr>
        <w:tc>
          <w:tcPr>
            <w:tcW w:w="480" w:type="dxa"/>
            <w:tcBorders>
              <w:top w:val="nil"/>
              <w:left w:val="single" w:sz="6" w:space="0" w:color="auto"/>
              <w:bottom w:val="single" w:sz="6" w:space="0" w:color="auto"/>
              <w:right w:val="single" w:sz="6" w:space="0" w:color="auto"/>
            </w:tcBorders>
          </w:tcPr>
          <w:p w14:paraId="702808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CDF2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59E577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32090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236227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7963D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29BF49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A71AC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65E8F2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34B2CD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4A7850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04AECF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41578C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6ADE5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685C5B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3A2744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0F7357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56F2641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2BF66B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7904A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6581B2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3BB01E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6E944F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w:t>
            </w:r>
          </w:p>
          <w:p w14:paraId="4AB008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DFE2632" w14:textId="77777777">
        <w:trPr>
          <w:trHeight w:val="259"/>
        </w:trPr>
        <w:tc>
          <w:tcPr>
            <w:tcW w:w="6845" w:type="dxa"/>
            <w:gridSpan w:val="9"/>
            <w:tcBorders>
              <w:top w:val="single" w:sz="6" w:space="0" w:color="auto"/>
              <w:left w:val="single" w:sz="6" w:space="0" w:color="auto"/>
              <w:bottom w:val="single" w:sz="6" w:space="0" w:color="auto"/>
              <w:right w:val="single" w:sz="6" w:space="0" w:color="auto"/>
            </w:tcBorders>
          </w:tcPr>
          <w:p w14:paraId="6CC3A9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войскам Польши</w:t>
            </w:r>
          </w:p>
          <w:p w14:paraId="293A2D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2784" w:type="dxa"/>
            <w:gridSpan w:val="3"/>
            <w:tcBorders>
              <w:top w:val="single" w:sz="6" w:space="0" w:color="auto"/>
              <w:left w:val="single" w:sz="6" w:space="0" w:color="auto"/>
              <w:bottom w:val="single" w:sz="6" w:space="0" w:color="auto"/>
              <w:right w:val="single" w:sz="6" w:space="0" w:color="auto"/>
            </w:tcBorders>
          </w:tcPr>
          <w:p w14:paraId="37E3C0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767A3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0A3D4D6" w14:textId="77777777">
        <w:trPr>
          <w:trHeight w:val="192"/>
        </w:trPr>
        <w:tc>
          <w:tcPr>
            <w:tcW w:w="480" w:type="dxa"/>
            <w:tcBorders>
              <w:top w:val="single" w:sz="6" w:space="0" w:color="auto"/>
              <w:left w:val="single" w:sz="6" w:space="0" w:color="auto"/>
              <w:bottom w:val="nil"/>
              <w:right w:val="single" w:sz="6" w:space="0" w:color="auto"/>
            </w:tcBorders>
          </w:tcPr>
          <w:p w14:paraId="3A0C0E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B970E8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6D14A8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Т-34рад.</w:t>
            </w:r>
          </w:p>
          <w:p w14:paraId="4C9FB2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25826A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172CF2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25007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w:t>
            </w:r>
          </w:p>
          <w:p w14:paraId="434B7D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422463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171,23</w:t>
            </w:r>
          </w:p>
          <w:p w14:paraId="0911BD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0896C1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8390,27</w:t>
            </w:r>
          </w:p>
          <w:p w14:paraId="1A8955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219313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22669B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55564A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171,23</w:t>
            </w:r>
          </w:p>
          <w:p w14:paraId="6A80DD4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6CB61D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1369,84</w:t>
            </w:r>
          </w:p>
          <w:p w14:paraId="2198708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020ED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w:t>
            </w:r>
          </w:p>
          <w:p w14:paraId="3A3FD7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3E435E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171,23</w:t>
            </w:r>
          </w:p>
          <w:p w14:paraId="399D5C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64F643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9760,11</w:t>
            </w:r>
          </w:p>
          <w:p w14:paraId="56922B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71E3235" w14:textId="77777777">
        <w:trPr>
          <w:trHeight w:val="192"/>
        </w:trPr>
        <w:tc>
          <w:tcPr>
            <w:tcW w:w="480" w:type="dxa"/>
            <w:tcBorders>
              <w:top w:val="nil"/>
              <w:left w:val="single" w:sz="6" w:space="0" w:color="auto"/>
              <w:bottom w:val="nil"/>
              <w:right w:val="single" w:sz="6" w:space="0" w:color="auto"/>
            </w:tcBorders>
          </w:tcPr>
          <w:p w14:paraId="6828E8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047C24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989D9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 лин.</w:t>
            </w:r>
          </w:p>
          <w:p w14:paraId="286D6F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959FA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5BEBEB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4ADB0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1647B1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577045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162,0</w:t>
            </w:r>
          </w:p>
          <w:p w14:paraId="0918B2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13760C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2430,0</w:t>
            </w:r>
          </w:p>
          <w:p w14:paraId="32C6AD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0B0098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0DA5B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3F31C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09D00E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0238B0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3DCDC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B16C1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12FF03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C2E23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162,0</w:t>
            </w:r>
          </w:p>
          <w:p w14:paraId="7112A6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73783D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2430,0</w:t>
            </w:r>
          </w:p>
          <w:p w14:paraId="66E2D5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A9C60EB" w14:textId="77777777">
        <w:trPr>
          <w:trHeight w:val="211"/>
        </w:trPr>
        <w:tc>
          <w:tcPr>
            <w:tcW w:w="480" w:type="dxa"/>
            <w:tcBorders>
              <w:top w:val="nil"/>
              <w:left w:val="single" w:sz="6" w:space="0" w:color="auto"/>
              <w:bottom w:val="nil"/>
              <w:right w:val="single" w:sz="6" w:space="0" w:color="auto"/>
            </w:tcBorders>
          </w:tcPr>
          <w:p w14:paraId="4C78F4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7458C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22DFB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Т-70 рад.</w:t>
            </w:r>
          </w:p>
          <w:p w14:paraId="591DF3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6D097C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200C22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C83B6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33F47B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5437E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63,27</w:t>
            </w:r>
          </w:p>
          <w:p w14:paraId="494E61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EF84F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506,16</w:t>
            </w:r>
          </w:p>
          <w:p w14:paraId="7721AE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623E74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10A59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52415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44A0A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0789F5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2AAAC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8975D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61E989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75C3D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63,27</w:t>
            </w:r>
          </w:p>
          <w:p w14:paraId="08B06E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73999E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506,16</w:t>
            </w:r>
          </w:p>
          <w:p w14:paraId="67531D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61D7C9F" w14:textId="77777777">
        <w:trPr>
          <w:trHeight w:val="192"/>
        </w:trPr>
        <w:tc>
          <w:tcPr>
            <w:tcW w:w="480" w:type="dxa"/>
            <w:tcBorders>
              <w:top w:val="nil"/>
              <w:left w:val="single" w:sz="6" w:space="0" w:color="auto"/>
              <w:bottom w:val="nil"/>
              <w:right w:val="single" w:sz="6" w:space="0" w:color="auto"/>
            </w:tcBorders>
          </w:tcPr>
          <w:p w14:paraId="5C3F09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958EC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637C28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Т-70 лин.</w:t>
            </w:r>
          </w:p>
          <w:p w14:paraId="2D32271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781212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684DD9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D960E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50BEDDE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55441A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60,77</w:t>
            </w:r>
          </w:p>
          <w:p w14:paraId="4C66C5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1DBB93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364,62</w:t>
            </w:r>
          </w:p>
          <w:p w14:paraId="40086C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1E29BD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26167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DD384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69CAF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63F4A2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B1275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4E2382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43644F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7A3B0D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60,77</w:t>
            </w:r>
          </w:p>
          <w:p w14:paraId="469059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2AC5E7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364,62</w:t>
            </w:r>
          </w:p>
          <w:p w14:paraId="055C6F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19501BF" w14:textId="77777777">
        <w:trPr>
          <w:trHeight w:val="192"/>
        </w:trPr>
        <w:tc>
          <w:tcPr>
            <w:tcW w:w="480" w:type="dxa"/>
            <w:tcBorders>
              <w:top w:val="nil"/>
              <w:left w:val="single" w:sz="6" w:space="0" w:color="auto"/>
              <w:bottom w:val="nil"/>
              <w:right w:val="single" w:sz="6" w:space="0" w:color="auto"/>
            </w:tcBorders>
          </w:tcPr>
          <w:p w14:paraId="7442C8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410D61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395475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ИС-122</w:t>
            </w:r>
          </w:p>
          <w:p w14:paraId="7825C3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BC6F1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7A18AD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FC1DD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B6CAB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430354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1D942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36EAFF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05EA8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7A79A3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w:t>
            </w:r>
          </w:p>
          <w:p w14:paraId="278BF1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ECA81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250,0</w:t>
            </w:r>
          </w:p>
          <w:p w14:paraId="79D7F48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6CCBD8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15750,0</w:t>
            </w:r>
          </w:p>
          <w:p w14:paraId="6333CB9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5155C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w:t>
            </w:r>
          </w:p>
          <w:p w14:paraId="2F7971E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6112BB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250,0</w:t>
            </w:r>
          </w:p>
          <w:p w14:paraId="269EB4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317781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15750,0</w:t>
            </w:r>
          </w:p>
          <w:p w14:paraId="50B1018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699D21B" w14:textId="77777777">
        <w:trPr>
          <w:trHeight w:val="211"/>
        </w:trPr>
        <w:tc>
          <w:tcPr>
            <w:tcW w:w="480" w:type="dxa"/>
            <w:tcBorders>
              <w:top w:val="nil"/>
              <w:left w:val="single" w:sz="6" w:space="0" w:color="auto"/>
              <w:bottom w:val="single" w:sz="6" w:space="0" w:color="auto"/>
              <w:right w:val="single" w:sz="6" w:space="0" w:color="auto"/>
            </w:tcBorders>
          </w:tcPr>
          <w:p w14:paraId="3C70C4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4D2DFF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78AB8A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Т-34-85</w:t>
            </w:r>
          </w:p>
          <w:p w14:paraId="67E67A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FFD27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7DE7CF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11999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E16DF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1E8F68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E97BF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E8BE0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73173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3F3B55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p w14:paraId="624535C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142D11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181,0</w:t>
            </w:r>
          </w:p>
          <w:p w14:paraId="1FFE64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7D649F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4164,0</w:t>
            </w:r>
          </w:p>
          <w:p w14:paraId="1851BF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320EC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p w14:paraId="712791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15F8C5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181,0</w:t>
            </w:r>
          </w:p>
          <w:p w14:paraId="03ACB1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31BDE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4164,0</w:t>
            </w:r>
          </w:p>
          <w:p w14:paraId="2F2FC4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F6A91D6" w14:textId="77777777">
        <w:trPr>
          <w:trHeight w:val="182"/>
        </w:trPr>
        <w:tc>
          <w:tcPr>
            <w:tcW w:w="480" w:type="dxa"/>
            <w:tcBorders>
              <w:top w:val="single" w:sz="6" w:space="0" w:color="auto"/>
              <w:left w:val="single" w:sz="6" w:space="0" w:color="auto"/>
              <w:bottom w:val="single" w:sz="6" w:space="0" w:color="auto"/>
              <w:right w:val="single" w:sz="6" w:space="0" w:color="auto"/>
            </w:tcBorders>
          </w:tcPr>
          <w:p w14:paraId="661E2F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F1C84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41C57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7E687A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926AE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BF23F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773C3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F1CB4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B3896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4ED1E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7C5DD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11691,05</w:t>
            </w:r>
          </w:p>
          <w:p w14:paraId="2CC1E4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57A33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C137F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31297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B38B2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931F7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21283,84</w:t>
            </w:r>
          </w:p>
          <w:p w14:paraId="4CEE5D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F9535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21B8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AA918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419EF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4205D1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32974,89</w:t>
            </w:r>
          </w:p>
          <w:p w14:paraId="743B3B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EBD4CF9" w14:textId="77777777">
        <w:trPr>
          <w:trHeight w:val="221"/>
        </w:trPr>
        <w:tc>
          <w:tcPr>
            <w:tcW w:w="9629" w:type="dxa"/>
            <w:gridSpan w:val="12"/>
            <w:tcBorders>
              <w:top w:val="single" w:sz="6" w:space="0" w:color="auto"/>
              <w:left w:val="single" w:sz="6" w:space="0" w:color="auto"/>
              <w:bottom w:val="single" w:sz="6" w:space="0" w:color="auto"/>
              <w:right w:val="single" w:sz="6" w:space="0" w:color="auto"/>
            </w:tcBorders>
          </w:tcPr>
          <w:p w14:paraId="566981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войскам Чехословакии</w:t>
            </w:r>
          </w:p>
          <w:p w14:paraId="288E86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8FF0CB2" w14:textId="77777777">
        <w:trPr>
          <w:trHeight w:val="192"/>
        </w:trPr>
        <w:tc>
          <w:tcPr>
            <w:tcW w:w="480" w:type="dxa"/>
            <w:tcBorders>
              <w:top w:val="single" w:sz="6" w:space="0" w:color="auto"/>
              <w:left w:val="single" w:sz="6" w:space="0" w:color="auto"/>
              <w:bottom w:val="nil"/>
              <w:right w:val="single" w:sz="6" w:space="0" w:color="auto"/>
            </w:tcBorders>
          </w:tcPr>
          <w:p w14:paraId="3F3EDF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w:t>
            </w:r>
          </w:p>
          <w:p w14:paraId="6A0758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36D018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 рад.</w:t>
            </w:r>
          </w:p>
          <w:p w14:paraId="683ACE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3314EC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44C661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098C191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5EABD5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nil"/>
              <w:right w:val="single" w:sz="6" w:space="0" w:color="auto"/>
            </w:tcBorders>
          </w:tcPr>
          <w:p w14:paraId="011884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171,23</w:t>
            </w:r>
          </w:p>
          <w:p w14:paraId="24AF42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72878B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1198,61</w:t>
            </w:r>
          </w:p>
          <w:p w14:paraId="54EE727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nil"/>
              <w:right w:val="single" w:sz="6" w:space="0" w:color="auto"/>
            </w:tcBorders>
          </w:tcPr>
          <w:p w14:paraId="5AAAF1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B0F62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85395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9E73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5ECE92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5C927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0108AA3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447678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nil"/>
              <w:right w:val="single" w:sz="6" w:space="0" w:color="auto"/>
            </w:tcBorders>
          </w:tcPr>
          <w:p w14:paraId="1001C6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171,23</w:t>
            </w:r>
          </w:p>
          <w:p w14:paraId="2F2B95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nil"/>
              <w:right w:val="single" w:sz="6" w:space="0" w:color="auto"/>
            </w:tcBorders>
          </w:tcPr>
          <w:p w14:paraId="362352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1198,61</w:t>
            </w:r>
          </w:p>
          <w:p w14:paraId="04129C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083803C3" w14:textId="77777777">
        <w:trPr>
          <w:trHeight w:val="192"/>
        </w:trPr>
        <w:tc>
          <w:tcPr>
            <w:tcW w:w="480" w:type="dxa"/>
            <w:tcBorders>
              <w:top w:val="nil"/>
              <w:left w:val="single" w:sz="6" w:space="0" w:color="auto"/>
              <w:bottom w:val="nil"/>
              <w:right w:val="single" w:sz="6" w:space="0" w:color="auto"/>
            </w:tcBorders>
          </w:tcPr>
          <w:p w14:paraId="4B96DD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75AA69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25B06F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Т-70 рад.</w:t>
            </w:r>
          </w:p>
          <w:p w14:paraId="7CA491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067B7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35E74E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05B7EB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7BCB15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nil"/>
              <w:right w:val="single" w:sz="6" w:space="0" w:color="auto"/>
            </w:tcBorders>
          </w:tcPr>
          <w:p w14:paraId="390028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63,27</w:t>
            </w:r>
          </w:p>
          <w:p w14:paraId="5626E5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2D46C9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189,71</w:t>
            </w:r>
          </w:p>
          <w:p w14:paraId="0F9E23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nil"/>
              <w:right w:val="single" w:sz="6" w:space="0" w:color="auto"/>
            </w:tcBorders>
          </w:tcPr>
          <w:p w14:paraId="40B712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4C38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92AB9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723FE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nil"/>
              <w:right w:val="single" w:sz="6" w:space="0" w:color="auto"/>
            </w:tcBorders>
          </w:tcPr>
          <w:p w14:paraId="2AE528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441C6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5A78F7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6DAA3A6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nil"/>
              <w:right w:val="single" w:sz="6" w:space="0" w:color="auto"/>
            </w:tcBorders>
          </w:tcPr>
          <w:p w14:paraId="368EB6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63,27</w:t>
            </w:r>
          </w:p>
          <w:p w14:paraId="1BF041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nil"/>
              <w:right w:val="single" w:sz="6" w:space="0" w:color="auto"/>
            </w:tcBorders>
          </w:tcPr>
          <w:p w14:paraId="6B0FB0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189,71</w:t>
            </w:r>
          </w:p>
          <w:p w14:paraId="53F565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B092029" w14:textId="77777777">
        <w:trPr>
          <w:trHeight w:val="192"/>
        </w:trPr>
        <w:tc>
          <w:tcPr>
            <w:tcW w:w="480" w:type="dxa"/>
            <w:tcBorders>
              <w:top w:val="nil"/>
              <w:left w:val="single" w:sz="6" w:space="0" w:color="auto"/>
              <w:bottom w:val="single" w:sz="6" w:space="0" w:color="auto"/>
              <w:right w:val="single" w:sz="6" w:space="0" w:color="auto"/>
            </w:tcBorders>
          </w:tcPr>
          <w:p w14:paraId="67F506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DF767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574342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Т-70 лин.</w:t>
            </w:r>
          </w:p>
          <w:p w14:paraId="4A582B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3390BB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52752E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7486F0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77D370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nil"/>
              <w:left w:val="single" w:sz="6" w:space="0" w:color="auto"/>
              <w:bottom w:val="single" w:sz="6" w:space="0" w:color="auto"/>
              <w:right w:val="single" w:sz="6" w:space="0" w:color="auto"/>
            </w:tcBorders>
          </w:tcPr>
          <w:p w14:paraId="058468F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60,77</w:t>
            </w:r>
          </w:p>
          <w:p w14:paraId="43BB78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0A14B1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182,31</w:t>
            </w:r>
          </w:p>
          <w:p w14:paraId="56D8FB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nil"/>
              <w:left w:val="single" w:sz="6" w:space="0" w:color="auto"/>
              <w:bottom w:val="single" w:sz="6" w:space="0" w:color="auto"/>
              <w:right w:val="single" w:sz="6" w:space="0" w:color="auto"/>
            </w:tcBorders>
          </w:tcPr>
          <w:p w14:paraId="5D442E3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BAD22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5C072B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A0DF7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4CEE0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F824A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346338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D81E0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nil"/>
              <w:left w:val="single" w:sz="6" w:space="0" w:color="auto"/>
              <w:bottom w:val="single" w:sz="6" w:space="0" w:color="auto"/>
              <w:right w:val="single" w:sz="6" w:space="0" w:color="auto"/>
            </w:tcBorders>
          </w:tcPr>
          <w:p w14:paraId="5A7D03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60,77</w:t>
            </w:r>
          </w:p>
          <w:p w14:paraId="0904C8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nil"/>
              <w:left w:val="single" w:sz="6" w:space="0" w:color="auto"/>
              <w:bottom w:val="single" w:sz="6" w:space="0" w:color="auto"/>
              <w:right w:val="single" w:sz="6" w:space="0" w:color="auto"/>
            </w:tcBorders>
          </w:tcPr>
          <w:p w14:paraId="178B6B8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182,31</w:t>
            </w:r>
          </w:p>
          <w:p w14:paraId="5AA8DB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F174BC9" w14:textId="77777777">
        <w:trPr>
          <w:trHeight w:val="202"/>
        </w:trPr>
        <w:tc>
          <w:tcPr>
            <w:tcW w:w="480" w:type="dxa"/>
            <w:tcBorders>
              <w:top w:val="single" w:sz="6" w:space="0" w:color="auto"/>
              <w:left w:val="single" w:sz="6" w:space="0" w:color="auto"/>
              <w:bottom w:val="single" w:sz="6" w:space="0" w:color="auto"/>
              <w:right w:val="single" w:sz="6" w:space="0" w:color="auto"/>
            </w:tcBorders>
          </w:tcPr>
          <w:p w14:paraId="482386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5E44E2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29622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4A8132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3EF448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C7C85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0126A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D7AA2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4B145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FBC99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715202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1570,63</w:t>
            </w:r>
          </w:p>
          <w:p w14:paraId="722D44F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DBA96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A29114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648900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6F365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29038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C9BA2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52F71C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D1696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168BAD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794F57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7899AC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1570,63</w:t>
            </w:r>
          </w:p>
          <w:p w14:paraId="3A88D9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20739C1"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2BC3231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82688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94C40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7D626AB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3A564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B00B6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25679B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2CD44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7D707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F4215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6546BC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13261,68</w:t>
            </w:r>
          </w:p>
          <w:p w14:paraId="65B7AA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20EB8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9C517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391E43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918CA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270F17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21283,84</w:t>
            </w:r>
          </w:p>
          <w:p w14:paraId="08F6F6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0569B7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3AFD3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845" w:type="dxa"/>
            <w:tcBorders>
              <w:top w:val="single" w:sz="6" w:space="0" w:color="auto"/>
              <w:left w:val="single" w:sz="6" w:space="0" w:color="auto"/>
              <w:bottom w:val="single" w:sz="6" w:space="0" w:color="auto"/>
              <w:right w:val="single" w:sz="6" w:space="0" w:color="auto"/>
            </w:tcBorders>
          </w:tcPr>
          <w:p w14:paraId="4B4A1B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51FE1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31F53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34545,52</w:t>
            </w:r>
          </w:p>
          <w:p w14:paraId="43C5B0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3A3F64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Примечание: 1. Цены на танки указаны без стоимости вооружения, оптики и боеприпасов. 2. С каждым танком отправлено по три комплекта боеприпасов, соответствующих калибру установленного вооружения на танке.</w:t>
      </w:r>
    </w:p>
    <w:p w14:paraId="2D0F9A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ТУ ГБТУ КА инженер-полковник Муравич</w:t>
      </w:r>
    </w:p>
    <w:p w14:paraId="4AA09E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11355. Д. 663. Л. 16. Копия.</w:t>
      </w:r>
    </w:p>
    <w:p w14:paraId="0EF126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1 отдела ТУ ГБТУ КА инженер-полковник Егоров (11420).</w:t>
      </w:r>
    </w:p>
    <w:p w14:paraId="5468856A" w14:textId="77777777" w:rsidR="00C2313B" w:rsidRPr="00F90EAE" w:rsidRDefault="00C2313B" w:rsidP="00F90EAE">
      <w:pPr>
        <w:autoSpaceDE w:val="0"/>
        <w:autoSpaceDN w:val="0"/>
        <w:adjustRightInd w:val="0"/>
        <w:jc w:val="both"/>
        <w:rPr>
          <w:color w:val="000000" w:themeColor="text1"/>
          <w:sz w:val="16"/>
          <w:szCs w:val="16"/>
        </w:rPr>
      </w:pPr>
    </w:p>
    <w:p w14:paraId="48D32267" w14:textId="77777777" w:rsidR="00030351" w:rsidRPr="00F90EAE" w:rsidRDefault="00030351" w:rsidP="00F90EAE">
      <w:pPr>
        <w:widowControl w:val="0"/>
        <w:jc w:val="both"/>
        <w:rPr>
          <w:color w:val="000000" w:themeColor="text1"/>
          <w:sz w:val="16"/>
          <w:szCs w:val="16"/>
        </w:rPr>
      </w:pPr>
      <w:r w:rsidRPr="00F90EAE">
        <w:rPr>
          <w:color w:val="000000" w:themeColor="text1"/>
          <w:sz w:val="16"/>
          <w:szCs w:val="16"/>
        </w:rPr>
        <w:t xml:space="preserve">25 января 1945 года вышло распоряжение СНК СССР об изготовлении на автозаводе в </w:t>
      </w:r>
      <w:r w:rsidRPr="00F90EAE">
        <w:rPr>
          <w:color w:val="000000" w:themeColor="text1"/>
          <w:sz w:val="16"/>
          <w:szCs w:val="16"/>
          <w:lang w:val="en-US"/>
        </w:rPr>
        <w:t>I</w:t>
      </w:r>
      <w:r w:rsidRPr="00F90EAE">
        <w:rPr>
          <w:color w:val="000000" w:themeColor="text1"/>
          <w:sz w:val="16"/>
          <w:szCs w:val="16"/>
        </w:rPr>
        <w:t xml:space="preserve"> квартале </w:t>
      </w:r>
      <w:smartTag w:uri="urn:schemas-microsoft-com:office:smarttags" w:element="metricconverter">
        <w:smartTagPr>
          <w:attr w:name="ProductID" w:val="1945 г"/>
        </w:smartTagPr>
        <w:r w:rsidRPr="00F90EAE">
          <w:rPr>
            <w:color w:val="000000" w:themeColor="text1"/>
            <w:sz w:val="16"/>
            <w:szCs w:val="16"/>
          </w:rPr>
          <w:t>1945 г</w:t>
        </w:r>
      </w:smartTag>
      <w:r w:rsidRPr="00F90EAE">
        <w:rPr>
          <w:color w:val="000000" w:themeColor="text1"/>
          <w:sz w:val="16"/>
          <w:szCs w:val="16"/>
        </w:rPr>
        <w:t>. 4000 мотоциклетных колясок для укомплектования отечественных мотоциклов М-72 и импортных мотоциклов «Харли-Дэвидсон» (15218).</w:t>
      </w:r>
    </w:p>
    <w:p w14:paraId="66DB9CA9" w14:textId="77777777" w:rsidR="00030351" w:rsidRPr="00F90EAE" w:rsidRDefault="00030351" w:rsidP="00F90EAE">
      <w:pPr>
        <w:widowControl w:val="0"/>
        <w:jc w:val="both"/>
        <w:rPr>
          <w:color w:val="000000" w:themeColor="text1"/>
          <w:sz w:val="16"/>
          <w:szCs w:val="16"/>
        </w:rPr>
      </w:pPr>
    </w:p>
    <w:p w14:paraId="1215F808"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января 1945 вышло Распоряжение ГКО № 7387 [О пересмотре плана погрузки растительного масла по железным дорогам.] (7300, 108).</w:t>
      </w:r>
    </w:p>
    <w:p w14:paraId="6FD90F5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52D6A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 января 1945 вышло Распоряжение ГКО № 7388. О поставках стройматериалов на завод № 388 НКБ. РГАНИР, Фонд ГКО, д. 358, лл. 109 (11012).</w:t>
      </w:r>
    </w:p>
    <w:p w14:paraId="6A4A1D1B" w14:textId="77777777" w:rsidR="00C2313B" w:rsidRPr="00F90EAE" w:rsidRDefault="00C2313B" w:rsidP="00F90EAE">
      <w:pPr>
        <w:autoSpaceDE w:val="0"/>
        <w:autoSpaceDN w:val="0"/>
        <w:adjustRightInd w:val="0"/>
        <w:jc w:val="both"/>
        <w:rPr>
          <w:color w:val="000000" w:themeColor="text1"/>
          <w:sz w:val="16"/>
          <w:szCs w:val="16"/>
        </w:rPr>
      </w:pPr>
    </w:p>
    <w:p w14:paraId="384B916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января 1945 вышло Постановление ГКО № 7389 О поставке химического сырья, материалов и изделий для медицинской промышленности, эвакогоспиталей и лечебной сети Наркомздрава СССР в I квартале 1945 г. (7300, 110-114,115-137).</w:t>
      </w:r>
    </w:p>
    <w:p w14:paraId="46166BF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538E8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25 января 1945 г., по оценке американских экспертов, строительные работы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го­товности заводов составлял: завод №1 69%, №2 - 16%, №3 - 72%, №4 41%.Поставки из США продолжались летом 1945 г. (11475).</w:t>
      </w:r>
    </w:p>
    <w:p w14:paraId="533B72ED" w14:textId="77777777" w:rsidR="00C2313B" w:rsidRPr="00F90EAE" w:rsidRDefault="00C2313B" w:rsidP="00F90EAE">
      <w:pPr>
        <w:autoSpaceDE w:val="0"/>
        <w:autoSpaceDN w:val="0"/>
        <w:adjustRightInd w:val="0"/>
        <w:jc w:val="both"/>
        <w:rPr>
          <w:color w:val="000000" w:themeColor="text1"/>
          <w:sz w:val="16"/>
          <w:szCs w:val="16"/>
        </w:rPr>
      </w:pPr>
    </w:p>
    <w:p w14:paraId="2AB4C970" w14:textId="77777777" w:rsidR="007C7139" w:rsidRPr="00F90EAE" w:rsidRDefault="007C7139" w:rsidP="00F90EAE">
      <w:pPr>
        <w:jc w:val="both"/>
        <w:rPr>
          <w:color w:val="000000" w:themeColor="text1"/>
          <w:sz w:val="16"/>
          <w:szCs w:val="16"/>
        </w:rPr>
      </w:pPr>
      <w:r w:rsidRPr="00F90EAE">
        <w:rPr>
          <w:color w:val="000000" w:themeColor="text1"/>
          <w:sz w:val="16"/>
          <w:szCs w:val="16"/>
        </w:rPr>
        <w:t>На 25 января 1945 г., по оценке американских экспертов,  строительные ра</w:t>
      </w:r>
      <w:r w:rsidRPr="00F90EAE">
        <w:rPr>
          <w:color w:val="000000" w:themeColor="text1"/>
          <w:sz w:val="16"/>
          <w:szCs w:val="16"/>
        </w:rPr>
        <w:softHyphen/>
        <w:t>боты были завершены по отдельным заводам в такой мере: по заводу №1 (Гурьев) — на 56%, заводу №2 (Орск) - на 13%, заводу №3 (Куйбышев) - 56%, заводу №4 (Красноводск) — на 25%, а на 31 марта 1945 г. процент го</w:t>
      </w:r>
      <w:r w:rsidRPr="00F90EAE">
        <w:rPr>
          <w:color w:val="000000" w:themeColor="text1"/>
          <w:sz w:val="16"/>
          <w:szCs w:val="16"/>
        </w:rPr>
        <w:softHyphen/>
        <w:t>товности заводов составлял: завод №1 69%, №2 - 16%, №3 - 72%, №4 41%.Поставки из США продолжались ле</w:t>
      </w:r>
      <w:r w:rsidRPr="00F90EAE">
        <w:rPr>
          <w:color w:val="000000" w:themeColor="text1"/>
          <w:sz w:val="16"/>
          <w:szCs w:val="16"/>
        </w:rPr>
        <w:softHyphen/>
        <w:t>том 1945 г. 18 июня 1945 г. фирма «Баджер» сообщает зам. наркома нефтя</w:t>
      </w:r>
      <w:r w:rsidRPr="00F90EAE">
        <w:rPr>
          <w:color w:val="000000" w:themeColor="text1"/>
          <w:sz w:val="16"/>
          <w:szCs w:val="16"/>
        </w:rPr>
        <w:softHyphen/>
        <w:t>ной промышленности Чекрыжеву, что воздушные фильтры для турбокомпрес</w:t>
      </w:r>
      <w:r w:rsidRPr="00F90EAE">
        <w:rPr>
          <w:color w:val="000000" w:themeColor="text1"/>
          <w:sz w:val="16"/>
          <w:szCs w:val="16"/>
        </w:rPr>
        <w:softHyphen/>
        <w:t>соров «Гудри», а также масло для фильтров были отправлены двумя па</w:t>
      </w:r>
      <w:r w:rsidRPr="00F90EAE">
        <w:rPr>
          <w:color w:val="000000" w:themeColor="text1"/>
          <w:sz w:val="16"/>
          <w:szCs w:val="16"/>
        </w:rPr>
        <w:softHyphen/>
        <w:t>роходами и «Отдел Снабжения Амери</w:t>
      </w:r>
      <w:r w:rsidRPr="00F90EAE">
        <w:rPr>
          <w:color w:val="000000" w:themeColor="text1"/>
          <w:sz w:val="16"/>
          <w:szCs w:val="16"/>
        </w:rPr>
        <w:softHyphen/>
        <w:t>канской Военной Миссии сообщил им, что грузы с парохода «Жорж Вимс» уже приняты, а пароход «Ф.Т. Фре-лингхьюсен» прибыл в Мурманск».Первый бензин из установки катали</w:t>
      </w:r>
      <w:r w:rsidRPr="00F90EAE">
        <w:rPr>
          <w:color w:val="000000" w:themeColor="text1"/>
          <w:sz w:val="16"/>
          <w:szCs w:val="16"/>
        </w:rPr>
        <w:softHyphen/>
        <w:t>тического крекинга «Гудри» был получен в Куйбышеве на заводе №443 8 сентября 1945 г. Позже было завер</w:t>
      </w:r>
      <w:r w:rsidRPr="00F90EAE">
        <w:rPr>
          <w:color w:val="000000" w:themeColor="text1"/>
          <w:sz w:val="16"/>
          <w:szCs w:val="16"/>
        </w:rPr>
        <w:softHyphen/>
        <w:t>шено строительство заводов в Орске, Гурьеве и Красноводске.В октябре 1945 г. завод №228 все еще получал американское оборудова</w:t>
      </w:r>
      <w:r w:rsidRPr="00F90EAE">
        <w:rPr>
          <w:color w:val="000000" w:themeColor="text1"/>
          <w:sz w:val="16"/>
          <w:szCs w:val="16"/>
        </w:rPr>
        <w:softHyphen/>
        <w:t>ние, в том числе от фирм «Джонсон» и «Хенди». Отношения между СССР с США ста</w:t>
      </w:r>
      <w:r w:rsidRPr="00F90EAE">
        <w:rPr>
          <w:color w:val="000000" w:themeColor="text1"/>
          <w:sz w:val="16"/>
          <w:szCs w:val="16"/>
        </w:rPr>
        <w:softHyphen/>
        <w:t>ли быстро ухудшаться, и это чувствова</w:t>
      </w:r>
      <w:r w:rsidRPr="00F90EAE">
        <w:rPr>
          <w:color w:val="000000" w:themeColor="text1"/>
          <w:sz w:val="16"/>
          <w:szCs w:val="16"/>
        </w:rPr>
        <w:softHyphen/>
        <w:t>лось по переговорам о поставках обо</w:t>
      </w:r>
      <w:r w:rsidRPr="00F90EAE">
        <w:rPr>
          <w:color w:val="000000" w:themeColor="text1"/>
          <w:sz w:val="16"/>
          <w:szCs w:val="16"/>
        </w:rPr>
        <w:softHyphen/>
        <w:t>рудования для НПЗ уже поздней осенью 1945 г.Тогда советскими представителями в США было сделано предложение фир</w:t>
      </w:r>
      <w:r w:rsidRPr="00F90EAE">
        <w:rPr>
          <w:color w:val="000000" w:themeColor="text1"/>
          <w:sz w:val="16"/>
          <w:szCs w:val="16"/>
        </w:rPr>
        <w:softHyphen/>
        <w:t>ме «Баджер» участвовать в строитель</w:t>
      </w:r>
      <w:r w:rsidRPr="00F90EAE">
        <w:rPr>
          <w:color w:val="000000" w:themeColor="text1"/>
          <w:sz w:val="16"/>
          <w:szCs w:val="16"/>
        </w:rPr>
        <w:softHyphen/>
        <w:t>стве второй очереди заводов №3 и 4. Ответ американской стороны, сделан</w:t>
      </w:r>
      <w:r w:rsidRPr="00F90EAE">
        <w:rPr>
          <w:color w:val="000000" w:themeColor="text1"/>
          <w:sz w:val="16"/>
          <w:szCs w:val="16"/>
        </w:rPr>
        <w:softHyphen/>
        <w:t>ный 29 октября 1945 г., носил неопре</w:t>
      </w:r>
      <w:r w:rsidRPr="00F90EAE">
        <w:rPr>
          <w:color w:val="000000" w:themeColor="text1"/>
          <w:sz w:val="16"/>
          <w:szCs w:val="16"/>
        </w:rPr>
        <w:softHyphen/>
        <w:t>деленный характер.10 октября 1945 г. представитель «Е.В. Badger and Sons Co» в Москве Р.Е. Мак-Карди информирует зам. нар</w:t>
      </w:r>
      <w:r w:rsidRPr="00F90EAE">
        <w:rPr>
          <w:color w:val="000000" w:themeColor="text1"/>
          <w:sz w:val="16"/>
          <w:szCs w:val="16"/>
        </w:rPr>
        <w:softHyphen/>
        <w:t>кома нефтяной промышленности Н.М. Чекрыжева: «Недавно Вы запра</w:t>
      </w:r>
      <w:r w:rsidRPr="00F90EAE">
        <w:rPr>
          <w:color w:val="000000" w:themeColor="text1"/>
          <w:sz w:val="16"/>
          <w:szCs w:val="16"/>
        </w:rPr>
        <w:softHyphen/>
        <w:t>шивали у меня сведения об отправке солевых трубок для завода №2. Сегод</w:t>
      </w:r>
      <w:r w:rsidRPr="00F90EAE">
        <w:rPr>
          <w:color w:val="000000" w:themeColor="text1"/>
          <w:sz w:val="16"/>
          <w:szCs w:val="16"/>
        </w:rPr>
        <w:softHyphen/>
        <w:t>ня я получил сообщение, что эти труб</w:t>
      </w:r>
      <w:r w:rsidRPr="00F90EAE">
        <w:rPr>
          <w:color w:val="000000" w:themeColor="text1"/>
          <w:sz w:val="16"/>
          <w:szCs w:val="16"/>
        </w:rPr>
        <w:softHyphen/>
        <w:t>ки еще не отправлены и находятся на складе в ожидании разрешения на отправку от Управления по вопросам внешней экономики». В декабре 1945 г. деловые контакты между Особой группой при наркоме нефтяной промышленности и фирмой «Е.В. Badger and Sons Co» продолжа</w:t>
      </w:r>
      <w:r w:rsidRPr="00F90EAE">
        <w:rPr>
          <w:color w:val="000000" w:themeColor="text1"/>
          <w:sz w:val="16"/>
          <w:szCs w:val="16"/>
        </w:rPr>
        <w:softHyphen/>
        <w:t>лись. Но для поставок требовались санкции правительства США, а полу</w:t>
      </w:r>
      <w:r w:rsidRPr="00F90EAE">
        <w:rPr>
          <w:color w:val="000000" w:themeColor="text1"/>
          <w:sz w:val="16"/>
          <w:szCs w:val="16"/>
        </w:rPr>
        <w:softHyphen/>
        <w:t>чить их становилось все труднее. В апреле 1947 г. в США выезжала Комиссия Миннефтепрома восточных районов СССР для ведения перегово</w:t>
      </w:r>
      <w:r w:rsidRPr="00F90EAE">
        <w:rPr>
          <w:color w:val="000000" w:themeColor="text1"/>
          <w:sz w:val="16"/>
          <w:szCs w:val="16"/>
        </w:rPr>
        <w:softHyphen/>
        <w:t>ров о поставке в СССР оборудования для вторых очередей Куйбышевского НПЗ. Однако решением Конгресса США эти поставки (общей стоимостью 9,3 млн долл.) были запрещены. Подводя итоги, можно сказать, что поставки высокооктанового бензина и компонентов для его производства име</w:t>
      </w:r>
      <w:r w:rsidRPr="00F90EAE">
        <w:rPr>
          <w:color w:val="000000" w:themeColor="text1"/>
          <w:sz w:val="16"/>
          <w:szCs w:val="16"/>
        </w:rPr>
        <w:softHyphen/>
        <w:t>ли для СССР большое значение; всеми другими нефтепродуктами (за исключе</w:t>
      </w:r>
      <w:r w:rsidRPr="00F90EAE">
        <w:rPr>
          <w:color w:val="000000" w:themeColor="text1"/>
          <w:sz w:val="16"/>
          <w:szCs w:val="16"/>
        </w:rPr>
        <w:softHyphen/>
        <w:t>нием некоторых видов смазок) Совет</w:t>
      </w:r>
      <w:r w:rsidRPr="00F90EAE">
        <w:rPr>
          <w:color w:val="000000" w:themeColor="text1"/>
          <w:sz w:val="16"/>
          <w:szCs w:val="16"/>
        </w:rPr>
        <w:softHyphen/>
        <w:t>ский Союз обеспечивал себя почти пол</w:t>
      </w:r>
      <w:r w:rsidRPr="00F90EAE">
        <w:rPr>
          <w:color w:val="000000" w:themeColor="text1"/>
          <w:sz w:val="16"/>
          <w:szCs w:val="16"/>
        </w:rPr>
        <w:softHyphen/>
        <w:t>ностью. Советские заводы по производству аналогичного оборудова</w:t>
      </w:r>
      <w:r w:rsidRPr="00F90EAE">
        <w:rPr>
          <w:color w:val="000000" w:themeColor="text1"/>
          <w:sz w:val="16"/>
          <w:szCs w:val="16"/>
        </w:rPr>
        <w:softHyphen/>
        <w:t>ния были в значительной мере пере</w:t>
      </w:r>
      <w:r w:rsidRPr="00F90EAE">
        <w:rPr>
          <w:color w:val="000000" w:themeColor="text1"/>
          <w:sz w:val="16"/>
          <w:szCs w:val="16"/>
        </w:rPr>
        <w:softHyphen/>
        <w:t>ориентированы на выпуск оборонной продукции, поэтому американские по</w:t>
      </w:r>
      <w:r w:rsidRPr="00F90EAE">
        <w:rPr>
          <w:color w:val="000000" w:themeColor="text1"/>
          <w:sz w:val="16"/>
          <w:szCs w:val="16"/>
        </w:rPr>
        <w:softHyphen/>
        <w:t>ставки были весьма полезны (15488).</w:t>
      </w:r>
    </w:p>
    <w:p w14:paraId="74A09145" w14:textId="77777777" w:rsidR="007C7139" w:rsidRPr="00F90EAE" w:rsidRDefault="007C7139" w:rsidP="00F90EAE">
      <w:pPr>
        <w:jc w:val="both"/>
        <w:rPr>
          <w:color w:val="000000" w:themeColor="text1"/>
          <w:sz w:val="16"/>
          <w:szCs w:val="16"/>
        </w:rPr>
      </w:pPr>
    </w:p>
    <w:p w14:paraId="4EF1FE2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4AEE76B" w14:textId="77777777" w:rsidR="00C2313B" w:rsidRPr="00F90EAE" w:rsidRDefault="00C2313B" w:rsidP="00F90EAE">
      <w:pPr>
        <w:autoSpaceDE w:val="0"/>
        <w:autoSpaceDN w:val="0"/>
        <w:adjustRightInd w:val="0"/>
        <w:jc w:val="both"/>
        <w:rPr>
          <w:iCs/>
          <w:color w:val="000000" w:themeColor="text1"/>
          <w:sz w:val="16"/>
          <w:szCs w:val="16"/>
        </w:rPr>
      </w:pPr>
    </w:p>
    <w:p w14:paraId="34F0CCE3" w14:textId="77777777" w:rsidR="00030351" w:rsidRPr="00F90EAE" w:rsidRDefault="00030351" w:rsidP="00F90EAE">
      <w:pPr>
        <w:jc w:val="both"/>
        <w:rPr>
          <w:color w:val="000000" w:themeColor="text1"/>
          <w:sz w:val="16"/>
          <w:szCs w:val="16"/>
        </w:rPr>
      </w:pPr>
      <w:r w:rsidRPr="00F90EAE">
        <w:rPr>
          <w:bCs/>
          <w:color w:val="000000" w:themeColor="text1"/>
          <w:sz w:val="16"/>
          <w:szCs w:val="16"/>
        </w:rPr>
        <w:t>25 января</w:t>
      </w:r>
      <w:r w:rsidRPr="00F90EAE">
        <w:rPr>
          <w:color w:val="000000" w:themeColor="text1"/>
          <w:sz w:val="16"/>
          <w:szCs w:val="16"/>
        </w:rPr>
        <w:t xml:space="preserve"> в 1945 году оперативная сводка Совинформбюро:</w:t>
      </w:r>
    </w:p>
    <w:p w14:paraId="14F0F237" w14:textId="77777777" w:rsidR="00030351" w:rsidRPr="00F90EAE" w:rsidRDefault="00030351" w:rsidP="00F90EAE">
      <w:pPr>
        <w:jc w:val="both"/>
        <w:rPr>
          <w:color w:val="000000" w:themeColor="text1"/>
          <w:sz w:val="16"/>
          <w:szCs w:val="16"/>
        </w:rPr>
      </w:pPr>
      <w:r w:rsidRPr="00F90EAE">
        <w:rPr>
          <w:color w:val="000000" w:themeColor="text1"/>
          <w:sz w:val="16"/>
          <w:szCs w:val="16"/>
        </w:rPr>
        <w:t>«В течение 25 января в Восточной Пруссии западнее и юго-западнее города Инстербург наши войска с боями заняли более 300 населённых пунктов, в том числе крупные населённые пункты Гросс Шарлак, Гольдбах, Штаркенберг, Фридрихсдорф, Гросс Плауен, Мауенфельде, Клайнгние, Ройшенфельд, Фюрстенау и железнодорожные станции Айзерваген, Бокеллен, Ольшевен, Приновен.</w:t>
      </w:r>
    </w:p>
    <w:p w14:paraId="7A88E1F9" w14:textId="77777777" w:rsidR="00030351" w:rsidRPr="00F90EAE" w:rsidRDefault="00030351" w:rsidP="00F90EAE">
      <w:pPr>
        <w:jc w:val="both"/>
        <w:rPr>
          <w:color w:val="000000" w:themeColor="text1"/>
          <w:sz w:val="16"/>
          <w:szCs w:val="16"/>
        </w:rPr>
      </w:pPr>
      <w:r w:rsidRPr="00F90EAE">
        <w:rPr>
          <w:color w:val="000000" w:themeColor="text1"/>
          <w:sz w:val="16"/>
          <w:szCs w:val="16"/>
        </w:rPr>
        <w:t>Западнее и юго-западнее города Ликк наши войска, с боями продвигаясь вперёд, овладели на территории Восточной Пруссии городами Дригаллен, Арис, Иоганнисбург и заняли более 150 других населённых пунктов, среди которых крупные населённые пункты Гросс Конопкен, Росткен, Фридрихсхоф, Фаринен, Швентайнен.</w:t>
      </w:r>
    </w:p>
    <w:p w14:paraId="7051FDEC" w14:textId="77777777" w:rsidR="00030351" w:rsidRPr="00F90EAE" w:rsidRDefault="00030351" w:rsidP="00F90EAE">
      <w:pPr>
        <w:jc w:val="both"/>
        <w:rPr>
          <w:color w:val="000000" w:themeColor="text1"/>
          <w:sz w:val="16"/>
          <w:szCs w:val="16"/>
        </w:rPr>
      </w:pPr>
      <w:r w:rsidRPr="00F90EAE">
        <w:rPr>
          <w:color w:val="000000" w:themeColor="text1"/>
          <w:sz w:val="16"/>
          <w:szCs w:val="16"/>
        </w:rPr>
        <w:t>Северо-западнее и западнее города Алленштайн наши войска, продолжая наступление, овладели в западной части Восточной Пруссии городами Либштадт, Пройсишес-Холлянд, Христбург, а также с боями заняли более 250 других населённых пунктов, в том числе крупные населённые пункты Райхвальде, Хермсдорф, Бринсдорф, Баумгарт, Николайкен.</w:t>
      </w:r>
    </w:p>
    <w:p w14:paraId="1487394D" w14:textId="77777777" w:rsidR="00030351" w:rsidRPr="00F90EAE" w:rsidRDefault="00030351" w:rsidP="00F90EAE">
      <w:pPr>
        <w:jc w:val="both"/>
        <w:rPr>
          <w:color w:val="000000" w:themeColor="text1"/>
          <w:sz w:val="16"/>
          <w:szCs w:val="16"/>
        </w:rPr>
      </w:pPr>
      <w:r w:rsidRPr="00F90EAE">
        <w:rPr>
          <w:color w:val="000000" w:themeColor="text1"/>
          <w:sz w:val="16"/>
          <w:szCs w:val="16"/>
        </w:rPr>
        <w:t>На Познанском направлении наши войска с боем овладели городами Эксин, Эльзенау, Маркштедт, Мурована-Госьлина, Пудевиц, Косчин, Шверзенц, Милослав, Шрода, Нойштадт, Жеркув, Яроцин, а также заняли более 650 других населённых пунктов.</w:t>
      </w:r>
    </w:p>
    <w:p w14:paraId="22AE0E79" w14:textId="77777777" w:rsidR="00030351" w:rsidRPr="00F90EAE" w:rsidRDefault="00030351" w:rsidP="00F90EAE">
      <w:pPr>
        <w:jc w:val="both"/>
        <w:rPr>
          <w:color w:val="000000" w:themeColor="text1"/>
          <w:sz w:val="16"/>
          <w:szCs w:val="16"/>
        </w:rPr>
      </w:pPr>
      <w:r w:rsidRPr="00F90EAE">
        <w:rPr>
          <w:color w:val="000000" w:themeColor="text1"/>
          <w:sz w:val="16"/>
          <w:szCs w:val="16"/>
        </w:rPr>
        <w:t>Войска 1-го Украинского фронта, продолжая успешное наступление, к исходу дня 24 января штурмом овладели крупным центром Силезского промышленного района Германии городом Глейвиц, превращенным немцами в мощный узел обороны. Одновременно в Польше войска фронта с боями заняли город Хжанув—один из крупных районов Домбровского угольного бассейна. К исходу 25 января войска фронта овладели на территории Польши городом Острув и в немецкой Силезии городом Ельс — важными узлами железных дорог и опорными пунктами обороны немцев, а также с боем заняли город Явожно и более 150 других населённых пунктов. Нашими войсками взят в плен командир 10-й моторизованной дивизии немцев полковник Виаль.</w:t>
      </w:r>
    </w:p>
    <w:p w14:paraId="0A6E0716" w14:textId="77777777" w:rsidR="00030351" w:rsidRPr="00F90EAE" w:rsidRDefault="00030351" w:rsidP="00F90EAE">
      <w:pPr>
        <w:jc w:val="both"/>
        <w:rPr>
          <w:color w:val="000000" w:themeColor="text1"/>
          <w:sz w:val="16"/>
          <w:szCs w:val="16"/>
        </w:rPr>
      </w:pPr>
      <w:r w:rsidRPr="00F90EAE">
        <w:rPr>
          <w:color w:val="000000" w:themeColor="text1"/>
          <w:sz w:val="16"/>
          <w:szCs w:val="16"/>
        </w:rPr>
        <w:t>Юго-западнее Кракова наши войска с боями заняли населённые пункты Рычув, Клеча-Дольна, Ярошовице, Кшешуб, Ляс, Курув и железнодорожную станцию Клеча.</w:t>
      </w:r>
    </w:p>
    <w:p w14:paraId="3A128347" w14:textId="77777777" w:rsidR="00030351" w:rsidRPr="00F90EAE" w:rsidRDefault="00030351" w:rsidP="00F90EAE">
      <w:pPr>
        <w:jc w:val="both"/>
        <w:rPr>
          <w:color w:val="000000" w:themeColor="text1"/>
          <w:sz w:val="16"/>
          <w:szCs w:val="16"/>
        </w:rPr>
      </w:pPr>
      <w:r w:rsidRPr="00F90EAE">
        <w:rPr>
          <w:color w:val="000000" w:themeColor="text1"/>
          <w:sz w:val="16"/>
          <w:szCs w:val="16"/>
        </w:rPr>
        <w:t>Северо-западнее и западнее города Кошице наши войска, действуя в трудных условиях горно-лесистой местности в полосе Карпат, с боями заняли на территории: Чехословакии населённые пункты Фольварк, Подолинэц, Брутовце, Кромпахи, Порач, Завадка, Смольник.</w:t>
      </w:r>
    </w:p>
    <w:p w14:paraId="7342FBAE" w14:textId="77777777" w:rsidR="00030351" w:rsidRPr="00F90EAE" w:rsidRDefault="00030351" w:rsidP="00F90EAE">
      <w:pPr>
        <w:jc w:val="both"/>
        <w:rPr>
          <w:color w:val="000000" w:themeColor="text1"/>
          <w:sz w:val="16"/>
          <w:szCs w:val="16"/>
        </w:rPr>
      </w:pPr>
      <w:r w:rsidRPr="00F90EAE">
        <w:rPr>
          <w:color w:val="000000" w:themeColor="text1"/>
          <w:sz w:val="16"/>
          <w:szCs w:val="16"/>
        </w:rPr>
        <w:t>В Будапеште наши войска вели бои по уничтожению гарнизона противника, окружённого в западной части города (БУДА), и заняли 10 кварталов.</w:t>
      </w:r>
    </w:p>
    <w:p w14:paraId="6BBE2796" w14:textId="77777777" w:rsidR="00030351" w:rsidRPr="00F90EAE" w:rsidRDefault="00030351" w:rsidP="00F90EAE">
      <w:pPr>
        <w:jc w:val="both"/>
        <w:rPr>
          <w:color w:val="000000" w:themeColor="text1"/>
          <w:sz w:val="16"/>
          <w:szCs w:val="16"/>
        </w:rPr>
      </w:pPr>
      <w:r w:rsidRPr="00F90EAE">
        <w:rPr>
          <w:color w:val="000000" w:themeColor="text1"/>
          <w:sz w:val="16"/>
          <w:szCs w:val="16"/>
        </w:rPr>
        <w:t>Юго-западнее Будапешта наши войска успешно отбили атаки пехоты и танков противника.</w:t>
      </w:r>
    </w:p>
    <w:p w14:paraId="79019C8D" w14:textId="77777777" w:rsidR="00030351" w:rsidRPr="00F90EAE" w:rsidRDefault="00030351" w:rsidP="00F90EAE">
      <w:pPr>
        <w:jc w:val="both"/>
        <w:rPr>
          <w:color w:val="000000" w:themeColor="text1"/>
          <w:sz w:val="16"/>
          <w:szCs w:val="16"/>
        </w:rPr>
      </w:pPr>
      <w:r w:rsidRPr="00F90EAE">
        <w:rPr>
          <w:color w:val="000000" w:themeColor="text1"/>
          <w:sz w:val="16"/>
          <w:szCs w:val="16"/>
        </w:rPr>
        <w:t>За 24 января наши войска на всех фронтах подбили и уничтожили 68 немецких танков, из них 49 юго-западнее Будапешта. В воздушных боях и огнём зенитной артиллерии сбит 21 самолёт противника.</w:t>
      </w:r>
    </w:p>
    <w:p w14:paraId="4DDFBF30" w14:textId="77777777" w:rsidR="00030351" w:rsidRPr="00F90EAE" w:rsidRDefault="00030351" w:rsidP="00F90EAE">
      <w:pPr>
        <w:jc w:val="both"/>
        <w:rPr>
          <w:color w:val="000000" w:themeColor="text1"/>
          <w:sz w:val="16"/>
          <w:szCs w:val="16"/>
        </w:rPr>
      </w:pPr>
      <w:r w:rsidRPr="00F90EAE">
        <w:rPr>
          <w:color w:val="000000" w:themeColor="text1"/>
          <w:sz w:val="16"/>
          <w:szCs w:val="16"/>
        </w:rPr>
        <w:t>В Восточной Пруссии западнее города Инстербург наши войска с боями продвигались вперёд. Советская пехота и танки, при мощной поддержке артиллерии, сломили сопротивление немцев и заняли несколько сильно укреплённых узлов сопротивления противника. Гитлеровцы выбиты из населённого пункта Штаркенберг, расположенного в 27 километрах восточнее Кенигсберга. Юго-западнее города Инстербург противник предпринимал ожесточённые контратаки, но был отброшен с большими для него потерями. В течение дня советские войска заняли более трёхсот населённых пунктов. В районе одного крупного населённого пункта бойцы Н-ской части окружили и уничтожили до батальона немецкой пехоты. Захвачено 12 немецких самолётов, 15 орудий и другие трофеи.</w:t>
      </w:r>
    </w:p>
    <w:p w14:paraId="1BB678EB" w14:textId="77777777" w:rsidR="00030351" w:rsidRPr="00F90EAE" w:rsidRDefault="00030351" w:rsidP="00F90EAE">
      <w:pPr>
        <w:jc w:val="both"/>
        <w:rPr>
          <w:color w:val="000000" w:themeColor="text1"/>
          <w:sz w:val="16"/>
          <w:szCs w:val="16"/>
        </w:rPr>
      </w:pPr>
      <w:r w:rsidRPr="00F90EAE">
        <w:rPr>
          <w:color w:val="000000" w:themeColor="text1"/>
          <w:sz w:val="16"/>
          <w:szCs w:val="16"/>
        </w:rPr>
        <w:t xml:space="preserve">Западнее и юго-западнее города Ликк на территории Восточной Пруссии наши войска продолжали наступление. Части Н-ского соединения, действующие в трудных условиях озёрно-болотистой местности, с боями продвинулись вперёд до 20 километров. Стремительными ударами наши бойцы ликвидировали все попытки противника задержаться на промежуточных рубежах. Преодолевая упорное сопротивление немцев, наши войска овладели городами Дригаллен, Арис и Иоганнисбург. </w:t>
      </w:r>
      <w:r w:rsidRPr="00F90EAE">
        <w:rPr>
          <w:color w:val="000000" w:themeColor="text1"/>
          <w:sz w:val="16"/>
          <w:szCs w:val="16"/>
        </w:rPr>
        <w:lastRenderedPageBreak/>
        <w:t>В боях за эти города уничтожено свыше 1.000 вражеских солдат и офицеров. Разгромлен 109-й немецкий пехотный полк. Командир полка с группой солдат и офицеров взят в плен.</w:t>
      </w:r>
    </w:p>
    <w:p w14:paraId="4249991A" w14:textId="77777777" w:rsidR="00030351" w:rsidRPr="00F90EAE" w:rsidRDefault="00030351" w:rsidP="00F90EAE">
      <w:pPr>
        <w:jc w:val="both"/>
        <w:rPr>
          <w:color w:val="000000" w:themeColor="text1"/>
          <w:sz w:val="16"/>
          <w:szCs w:val="16"/>
        </w:rPr>
      </w:pPr>
      <w:r w:rsidRPr="00F90EAE">
        <w:rPr>
          <w:color w:val="000000" w:themeColor="text1"/>
          <w:sz w:val="16"/>
          <w:szCs w:val="16"/>
        </w:rPr>
        <w:t>Наши бойцы освободили 400 мирных советских граждан — жителей Ленинградской области, насильно угнанных немцами на каторгу в Германию.</w:t>
      </w:r>
    </w:p>
    <w:p w14:paraId="1C834A19" w14:textId="77777777" w:rsidR="00030351" w:rsidRPr="00F90EAE" w:rsidRDefault="00030351" w:rsidP="00F90EAE">
      <w:pPr>
        <w:jc w:val="both"/>
        <w:rPr>
          <w:color w:val="000000" w:themeColor="text1"/>
          <w:sz w:val="16"/>
          <w:szCs w:val="16"/>
        </w:rPr>
      </w:pPr>
      <w:r w:rsidRPr="00F90EAE">
        <w:rPr>
          <w:color w:val="000000" w:themeColor="text1"/>
          <w:sz w:val="16"/>
          <w:szCs w:val="16"/>
        </w:rPr>
        <w:t>На Познанском направлении наши войска развивали наступление. Советские танки и мотопехота, с боями продвигаясь вперед, окружили группу противника в районе города Маркштедт. Гитлеровцы оказали сопротивление и были полностью ликвидированы. На месте боя осталось свыше 400 вражеских трупов. Наши войска выбили немцев из города Мурована-Госьлина, находящегося в 18 километрах севернее Познани. Занят также город Шверзенц, расположенный в 8 километрах восточнее Познани. За день боёв уничтожено более 1.200 гитлеровцев. Захвачено у немцев 5 паровозов, свыше 100 вагонов с военными грузами, склады боеприпасов, 200 автомашин, 50 тягачей и много вооружения. В лесах недалеко от города Калиш советские части разгромили колонну немецких войск. На месте боя остались сотни вражеских трупов, 500 немцев прекратили сопротивление и взяты в плен.</w:t>
      </w:r>
    </w:p>
    <w:p w14:paraId="73BE57C7" w14:textId="77777777" w:rsidR="00030351" w:rsidRPr="00F90EAE" w:rsidRDefault="00030351"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Особенно упорные бои произошли в немецкой Силезии, на подступах к городу Глейвиц. Противник сосредоточил в этом районе крупные силы. Только за последние дни сюда прибыли одна танковая и несколько пехотных дивизий немцев. Наши танкисты и пехотинцы сломили упорное сопротивление противника и заняли узел шоссейных дорог Пейскречам. Развивая успех в южном направлении, советские войска переправились через реку Клодница и обошли город Глейвиц с запада. Вчера к исходу дня войска фронта штурмом овладели городом Глейвиц, превращенным немцами в мощный узел обороны. Глейвиц — большой город, в котором находится много крупных предприятий, в том числе металлургические заводы с доменными и мартеновскими печами и коксовыми батареями; трубопрокатный, машиностроительный, военные и химические заводы. Кроме того, Глейвиц является узлом железных и шоссейных дорог, связывающих Силезский промышленный район с центральными и южными районами Германии, а также с Чехословакией.</w:t>
      </w:r>
    </w:p>
    <w:p w14:paraId="683A5E0F" w14:textId="77777777" w:rsidR="00030351" w:rsidRPr="00F90EAE" w:rsidRDefault="00030351" w:rsidP="00F90EAE">
      <w:pPr>
        <w:jc w:val="both"/>
        <w:rPr>
          <w:color w:val="000000" w:themeColor="text1"/>
          <w:sz w:val="16"/>
          <w:szCs w:val="16"/>
        </w:rPr>
      </w:pPr>
      <w:r w:rsidRPr="00F90EAE">
        <w:rPr>
          <w:color w:val="000000" w:themeColor="text1"/>
          <w:sz w:val="16"/>
          <w:szCs w:val="16"/>
        </w:rPr>
        <w:t>В ходе боёв противник понёс тяжёлые потери в живой силе и технике. Нашими войсками захвачены большие трофеи и взято в плен свыше 1.000 немецких солдат и офицеров.</w:t>
      </w:r>
    </w:p>
    <w:p w14:paraId="22374D87" w14:textId="77777777" w:rsidR="00030351" w:rsidRPr="00F90EAE" w:rsidRDefault="00030351" w:rsidP="00F90EAE">
      <w:pPr>
        <w:jc w:val="both"/>
        <w:rPr>
          <w:color w:val="000000" w:themeColor="text1"/>
          <w:sz w:val="16"/>
          <w:szCs w:val="16"/>
        </w:rPr>
      </w:pPr>
      <w:r w:rsidRPr="00F90EAE">
        <w:rPr>
          <w:color w:val="000000" w:themeColor="text1"/>
          <w:sz w:val="16"/>
          <w:szCs w:val="16"/>
        </w:rPr>
        <w:t>Юго-западнее Будапешта крупные силы танков и пехоты противника пытались прорвать советскую оборону и пробиться на помощь к своим войскам, окружённым в западной части города. Завязались ожесточённые бои. Наши части огнём из всех видов оружия и контрударами успешно отбили все атаки гитлеровцев и нанесли им большие потери. За два дня в этом районе подбито и уничтожено свыше 80 немецких танков и 13 бронетранспортёров.</w:t>
      </w:r>
    </w:p>
    <w:p w14:paraId="3EA5F2FC" w14:textId="77777777" w:rsidR="00030351" w:rsidRPr="00F90EAE" w:rsidRDefault="00030351" w:rsidP="00F90EAE">
      <w:pPr>
        <w:jc w:val="both"/>
        <w:rPr>
          <w:color w:val="000000" w:themeColor="text1"/>
          <w:sz w:val="16"/>
          <w:szCs w:val="16"/>
        </w:rPr>
      </w:pPr>
      <w:r w:rsidRPr="00F90EAE">
        <w:rPr>
          <w:color w:val="000000" w:themeColor="text1"/>
          <w:sz w:val="16"/>
          <w:szCs w:val="16"/>
        </w:rPr>
        <w:t>Советские воины проявляют беззаветную храбрость в борьбе с врагом. Отражая атаку противника, артиллеристы батареи старшего лейтенанта Ивашина сожгли два тяжёлых немецких танка. Артиллерийская батарея лейтенанта Романенко уничтожила три танка «Тигр» и один танк «Пантера». Гвардии старший лейтенант Коробейников огнём из пулемёта истребил до 50 гитлеровцев. На минах, умело расставленных группой сапёров старшего сержанта Танадбаева, подорвались 4 танка противника.».</w:t>
      </w:r>
    </w:p>
    <w:p w14:paraId="7F677733" w14:textId="77777777" w:rsidR="00030351" w:rsidRPr="00F90EAE" w:rsidRDefault="00030351" w:rsidP="00F90EAE">
      <w:pPr>
        <w:jc w:val="both"/>
        <w:rPr>
          <w:color w:val="000000" w:themeColor="text1"/>
          <w:sz w:val="16"/>
          <w:szCs w:val="16"/>
        </w:rPr>
      </w:pPr>
    </w:p>
    <w:p w14:paraId="3F54CE92" w14:textId="77777777" w:rsidR="00030351" w:rsidRPr="00F90EAE" w:rsidRDefault="00030351" w:rsidP="00F90EAE">
      <w:pPr>
        <w:jc w:val="both"/>
        <w:rPr>
          <w:color w:val="000000" w:themeColor="text1"/>
          <w:sz w:val="16"/>
          <w:szCs w:val="16"/>
        </w:rPr>
      </w:pPr>
      <w:r w:rsidRPr="00F90EAE">
        <w:rPr>
          <w:bCs/>
          <w:color w:val="000000" w:themeColor="text1"/>
          <w:sz w:val="16"/>
          <w:szCs w:val="16"/>
        </w:rPr>
        <w:t>25 января</w:t>
      </w:r>
      <w:r w:rsidRPr="00F90EAE">
        <w:rPr>
          <w:color w:val="000000" w:themeColor="text1"/>
          <w:sz w:val="16"/>
          <w:szCs w:val="16"/>
        </w:rPr>
        <w:t xml:space="preserve"> в 1945 году войска 2-го Белорусского фронта вышли к заливу Фришес-Хафф и перерезали основные сухопутные коммуникации группы армий «Центр». 50-я армия преодолела район Мазурских озер. 70-я — с ходу форсировала реку Вислу в районе города Бромберг и частью сил блокировала крепость Торн. Войска 1-го Белорусского фронта форсировали реку Варта. Ударная группировка 1-го Украинского фронта вышла к реке Одер на участке Кебен — Оппельн и с ходу захватила несколько плацдармов на её западном берегу (15020).</w:t>
      </w:r>
    </w:p>
    <w:p w14:paraId="3385985F" w14:textId="77777777" w:rsidR="00030351" w:rsidRPr="00F90EAE" w:rsidRDefault="00030351" w:rsidP="00F90EAE">
      <w:pPr>
        <w:jc w:val="both"/>
        <w:rPr>
          <w:color w:val="000000" w:themeColor="text1"/>
          <w:sz w:val="16"/>
          <w:szCs w:val="16"/>
        </w:rPr>
      </w:pPr>
    </w:p>
    <w:p w14:paraId="27334C7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января 1945 начата эвакуация немецких войск из Восточной Пруссии (4962).</w:t>
      </w:r>
    </w:p>
    <w:p w14:paraId="7609C79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03B2C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 января 1945 была официально сформирована 1 Чехословацкая независимая объединенная ад. Она была подчинена 8 ВА под командованием ш Н.В.Жданова. 70% состава составляли словацкие пилоты. В составе дивизии был 3 чехословацкий шап, оснащенный 32 Ил-2. Некоторые из машин были цельнометаллическими (241,39).</w:t>
      </w:r>
    </w:p>
    <w:p w14:paraId="291E3E4A" w14:textId="77777777" w:rsidR="00C2313B" w:rsidRPr="00F90EAE" w:rsidRDefault="00C2313B" w:rsidP="00F90EAE">
      <w:pPr>
        <w:autoSpaceDE w:val="0"/>
        <w:autoSpaceDN w:val="0"/>
        <w:adjustRightInd w:val="0"/>
        <w:jc w:val="both"/>
        <w:rPr>
          <w:color w:val="000000" w:themeColor="text1"/>
          <w:sz w:val="16"/>
          <w:szCs w:val="16"/>
        </w:rPr>
      </w:pPr>
    </w:p>
    <w:p w14:paraId="0848740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E97ED88" w14:textId="77777777" w:rsidR="00C2313B" w:rsidRPr="00F90EAE" w:rsidRDefault="00C2313B" w:rsidP="00F90EAE">
      <w:pPr>
        <w:autoSpaceDE w:val="0"/>
        <w:autoSpaceDN w:val="0"/>
        <w:adjustRightInd w:val="0"/>
        <w:jc w:val="both"/>
        <w:rPr>
          <w:iCs/>
          <w:color w:val="000000" w:themeColor="text1"/>
          <w:sz w:val="16"/>
          <w:szCs w:val="16"/>
        </w:rPr>
      </w:pPr>
    </w:p>
    <w:p w14:paraId="05807511" w14:textId="77777777" w:rsidR="00670896" w:rsidRPr="00F90EAE" w:rsidRDefault="00670896" w:rsidP="00F90EAE">
      <w:pPr>
        <w:jc w:val="both"/>
        <w:rPr>
          <w:color w:val="000000" w:themeColor="text1"/>
          <w:sz w:val="16"/>
          <w:szCs w:val="16"/>
        </w:rPr>
      </w:pPr>
      <w:r w:rsidRPr="00F90EAE">
        <w:rPr>
          <w:color w:val="000000" w:themeColor="text1"/>
          <w:sz w:val="16"/>
          <w:szCs w:val="16"/>
        </w:rPr>
        <w:t>С 26 января по 3 февраля 1944 г. в НИИ ВВС проходили официальные государственные испытания на самолете Ил-2 кассеты ДАГ-10 для авиационных гранат АГ-2. По программе испытаний выполнили восемь полетов на штурмовике Ил-2 зав. №1872567 и четыре полета на истребителе Як-7 «для киносъемки бросания гранат АГ-2». Конструктивно авиационная граната АГ-2 состояла из шарообразного корпуса (диаметр 82 мм) из сталистого чугуна, снаряженного взрывчатым веществом типа К-2 весом 80b г, взрывным устройством и цилиндрической коробки с парашютом, которая жестко закреплялась на соединительной втулке взрывателя (трубке ударного механизма). Жестяная крышка парашютной коробки жестко скреплялась с кольцом полюсного отверстия купола парашюта и принудительно открывалась при сбрасывании гранаты. Это гарантировало раскрытие парашюта. Вес гранаты с взрывателем составлял 1,8 кг, длина (без взрывателя) – 129–132 мм. Боекомплект кассеты ДАГ-10 состоял из десяти гранат. В нижней части кассеты имелась открывающаяся створка, через которую в воздушный поток под действием собственного веса выбрасывалось заданное количество гранат. В момент отделения сдергивалась крышка парашютной коробки, взводился взрыватель и раскрывался парашют. Спустя 3–4 с граната взрывалась «с облаком черного дыма, как от разрыва зенитного снаряда калибра 75 мм», создавая область сплошного поражения радиусом 8–10 м. Отдельные осколки корпуса разлетались на дальности до 40–50 м. В результате подрыва гранаты образовывалось порядка 100–130 осколков весом от 3 до 80 г. Кассета ДАГ-10 размещалась позади бронестенки кабины воздушного стрелка между 5-м и 6-м шпангоутами фюзеляжа Ил-2. Щитки управления кассетой устанавливались в кабинах летчика и стрелка. Сбрасывание гранат АГ-2 производилось нажатием электрокнопки на одном из них. Имелись два режима сброса гранат – одиночный и серийный. В первом случае при каждом нажатии кнопки сбрасывалась одна граната. При серийном сбрасывании при нажатии кнопки вырабатывалось столько электроимпульсов, сколько гранат предполагалось сбросить в каждой серии. Сбрасывание АГ-2 производилось, как правило, стрелком сериями по 2–3 гранаты. Сброс гранат летчиком предполагался только в случае, когда этого не мог сделать стрелок (например, из-за ранения). Вес кассеты с комплектом гранат достигал 25 кг. При ее установке центровка самолета смещалась назад на 0,3% САХ. Центровка Ил-2 зав. №1872567 с ДАГ-10 при полетном весе 6118 кг равнялась 32,7% САХ (шасси выпущено), но каких-либо заметных изменений в его летно-пилотажных качествах не отмечалось. Сброс гранат в ходе испытаний выполнялся как с горизонтального полета (на скорости 270–345 км/ч, одиночно и сериями по 2–3 гранаты), так и при пикировании под углами 20–30°, а также с целью проверить надежность работы механизма сброса на вираже с креном в 35–40°. При горизонтальном полете на скорости 270–345 км/ч граната взрывалась на удалении 220–280 м позади самолета и 40–55 м ниже самолета, а при пикировании– на удалении 300–320 м и выше на 40–55 м. Во всех случаях гранаты выходили из кассеты нормально, зависаний и задержек не было. Из 39 сброшенных гранат сработали 34. При этом десять гранат разорвались заметно ниже серии: у них «обрывается шнур, соединяющий гранату с парашютом, в момент его раскрытия, и граната совершает свободное падение». На всех оторвавшихся парашютах обрыв происходил в одном и том же месте – вbузле соединения шнура с серьгой, служащем для крепления гранаты к парашюту. С учетом полученных результатов рекомендовались следующие способы использования гранат АГ-2 для отражения атак истребителей. В случае атаки на Ил-2 снизу сзади стрелок применял гранаты по своему усмотрению. Сброс сериями из 2–3 гранат выполнялся в момент подхода самолета противника на дистанцию 400–500 м. Для предупреждения случаев поражения своих штурмовиков осколками сбрасывание АГ-2 требовалось производить с точным учетом расположения всех самолетов в строю, удаления разрывов сброшенных гранат и радиуса разлета их осколков. При атаке истребителями одиночного Ил-2 с задней нижней полусферы или строго в хвост следовало применять гранаты АГ-2 как с горизонтального полета, так и при пикировании с выходом на бреющий полет. При полете парой Ил-2 рекомендовалось применять гранаты АГ-2 в сомкнутом строю пеленга. Если истребители противника атаковывали группу штурмовиков, то гранаты должны были сбрасывать только замыкающие экипажи. Отмечалось, что «... применение гранат АГ-2 для защиты хвоста снизу должно дать хороший эффект. Кроме возможности поражения самолета противника осколками, они дают и моральный эффект. /…/ Считать вполне целесообразным установку на Ил-2 ДАГ-10 особенно на Ил-2-охотник». Обращалось внимание на излишне «большой процент случаев отрыва (26%) парашютов от гранат». Неудачным сочли расположение кнопки и тумблера включения сбрасывателя АГ-2: «…При пользовании им приходится отвлекать свое внимание от управления самолетом». Тем не менее, несмотря на недостатки конструкции гранаты АГ-2, в заключении акта по испытаниям констатировалось, что ДАГ-10 улучшает защиту в нижней полусфере и может быть рекомендована для установки на Ил-2 (19775).</w:t>
      </w:r>
    </w:p>
    <w:p w14:paraId="2C17CDEA" w14:textId="77777777" w:rsidR="00670896" w:rsidRPr="00F90EAE" w:rsidRDefault="00670896" w:rsidP="00F90EAE">
      <w:pPr>
        <w:jc w:val="both"/>
        <w:rPr>
          <w:color w:val="000000" w:themeColor="text1"/>
          <w:sz w:val="16"/>
          <w:szCs w:val="16"/>
        </w:rPr>
      </w:pPr>
    </w:p>
    <w:p w14:paraId="28436173" w14:textId="77777777" w:rsidR="00670896" w:rsidRPr="00F90EAE" w:rsidRDefault="00670896" w:rsidP="00F90EAE">
      <w:pPr>
        <w:shd w:val="clear" w:color="auto" w:fill="FFFFFF"/>
        <w:jc w:val="both"/>
        <w:rPr>
          <w:color w:val="000000" w:themeColor="text1"/>
          <w:sz w:val="16"/>
          <w:szCs w:val="16"/>
        </w:rPr>
      </w:pPr>
      <w:r w:rsidRPr="00F90EAE">
        <w:rPr>
          <w:color w:val="000000" w:themeColor="text1"/>
          <w:sz w:val="16"/>
          <w:szCs w:val="16"/>
        </w:rPr>
        <w:t>26 января 1945, по указанию заместителя Наркома П.В. Дементьева, полеты на Су-7 с ТК-3 были прекращены. За это вре мя были выполнены 4 полета, и двигатель АШ-82ФН нарабо тал 6 ч. 40 мин., из них в воздухе 1 ч. 47 мин.</w:t>
      </w:r>
    </w:p>
    <w:p w14:paraId="3BFE51A5" w14:textId="77777777" w:rsidR="00670896" w:rsidRPr="00F90EAE" w:rsidRDefault="00670896" w:rsidP="00F90EAE">
      <w:pPr>
        <w:shd w:val="clear" w:color="auto" w:fill="FFFFFF"/>
        <w:jc w:val="both"/>
        <w:rPr>
          <w:color w:val="000000" w:themeColor="text1"/>
          <w:sz w:val="16"/>
          <w:szCs w:val="16"/>
        </w:rPr>
      </w:pPr>
      <w:r w:rsidRPr="00F90EAE">
        <w:rPr>
          <w:color w:val="000000" w:themeColor="text1"/>
          <w:sz w:val="16"/>
          <w:szCs w:val="16"/>
        </w:rPr>
        <w:t>До конца января была доработана выхлопная система без ТК, а затем началась отработка РД-1 на земле. Было произве дено 18 включений РД-1 (19586).</w:t>
      </w:r>
    </w:p>
    <w:p w14:paraId="268EEAC1" w14:textId="77777777" w:rsidR="00670896" w:rsidRPr="00F90EAE" w:rsidRDefault="00670896" w:rsidP="00F90EAE">
      <w:pPr>
        <w:shd w:val="clear" w:color="auto" w:fill="FFFFFF"/>
        <w:jc w:val="both"/>
        <w:rPr>
          <w:color w:val="000000" w:themeColor="text1"/>
          <w:sz w:val="16"/>
          <w:szCs w:val="16"/>
        </w:rPr>
      </w:pPr>
    </w:p>
    <w:p w14:paraId="53D0B0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26 января по 27 марта 1945 проводились заводские испытания в Ла-7Р-2 (2234,6).</w:t>
      </w:r>
    </w:p>
    <w:p w14:paraId="080A360E" w14:textId="77777777" w:rsidR="00C2313B" w:rsidRPr="00F90EAE" w:rsidRDefault="00C2313B" w:rsidP="00F90EAE">
      <w:pPr>
        <w:autoSpaceDE w:val="0"/>
        <w:autoSpaceDN w:val="0"/>
        <w:adjustRightInd w:val="0"/>
        <w:jc w:val="both"/>
        <w:rPr>
          <w:color w:val="000000" w:themeColor="text1"/>
          <w:sz w:val="16"/>
          <w:szCs w:val="16"/>
        </w:rPr>
      </w:pPr>
    </w:p>
    <w:p w14:paraId="0AC863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Испытания Ла-7Р-2 завершились 27 марта взрывом ЖРД.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(11986).</w:t>
      </w:r>
    </w:p>
    <w:p w14:paraId="44AD137F" w14:textId="77777777" w:rsidR="00C2313B" w:rsidRPr="00F90EAE" w:rsidRDefault="00C2313B" w:rsidP="00F90EAE">
      <w:pPr>
        <w:autoSpaceDE w:val="0"/>
        <w:autoSpaceDN w:val="0"/>
        <w:adjustRightInd w:val="0"/>
        <w:jc w:val="both"/>
        <w:rPr>
          <w:color w:val="000000" w:themeColor="text1"/>
          <w:sz w:val="16"/>
          <w:szCs w:val="16"/>
        </w:rPr>
      </w:pPr>
    </w:p>
    <w:p w14:paraId="3ED1B7A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января 1945, по указанию заместителя Нар</w:t>
      </w:r>
      <w:r w:rsidRPr="00F90EAE">
        <w:rPr>
          <w:color w:val="000000" w:themeColor="text1"/>
          <w:sz w:val="16"/>
          <w:szCs w:val="16"/>
        </w:rPr>
        <w:softHyphen/>
        <w:t>кома П.В.Дементьева, полеты с ТК-3 прекратили. За время испытаний ВМГ с ТК-3 были выполнены 4 полета, а дви</w:t>
      </w:r>
      <w:r w:rsidRPr="00F90EAE">
        <w:rPr>
          <w:color w:val="000000" w:themeColor="text1"/>
          <w:sz w:val="16"/>
          <w:szCs w:val="16"/>
        </w:rPr>
        <w:softHyphen/>
        <w:t>гатель АШ-82ФН наработал 6 ч. 40 мин., из них в воздухе 1 ч. 47 мин. До конца января доработали вых</w:t>
      </w:r>
      <w:r w:rsidRPr="00F90EAE">
        <w:rPr>
          <w:color w:val="000000" w:themeColor="text1"/>
          <w:sz w:val="16"/>
          <w:szCs w:val="16"/>
        </w:rPr>
        <w:softHyphen/>
        <w:t>лопную систему с выключением из нее ТК, а затем началась отработка РД-1 на земле, в процессе которой произ</w:t>
      </w:r>
      <w:r w:rsidRPr="00F90EAE">
        <w:rPr>
          <w:color w:val="000000" w:themeColor="text1"/>
          <w:sz w:val="16"/>
          <w:szCs w:val="16"/>
        </w:rPr>
        <w:softHyphen/>
        <w:t>вели 18 огневых пусков (10668).</w:t>
      </w:r>
    </w:p>
    <w:p w14:paraId="0E7FEE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CE85E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января 1945 г. с И-222 сняли мотор и отправили на завод № 300 для переборки. Однако после ремон</w:t>
      </w:r>
      <w:r w:rsidRPr="00F90EAE">
        <w:rPr>
          <w:color w:val="000000" w:themeColor="text1"/>
          <w:sz w:val="16"/>
          <w:szCs w:val="16"/>
        </w:rPr>
        <w:softHyphen/>
        <w:t>та опытный мотор АМ-39Б стал работать еще хуже: отмечалось падение давления масла, поэтому после пяти полетов двигатель вновь пришлось снять и от</w:t>
      </w:r>
      <w:r w:rsidRPr="00F90EAE">
        <w:rPr>
          <w:color w:val="000000" w:themeColor="text1"/>
          <w:sz w:val="16"/>
          <w:szCs w:val="16"/>
        </w:rPr>
        <w:softHyphen/>
        <w:t xml:space="preserve">править на моторный завод. Больше </w:t>
      </w:r>
      <w:r w:rsidRPr="00F90EAE">
        <w:rPr>
          <w:iCs/>
          <w:color w:val="000000" w:themeColor="text1"/>
          <w:sz w:val="16"/>
          <w:szCs w:val="16"/>
        </w:rPr>
        <w:t xml:space="preserve">И—222 </w:t>
      </w:r>
      <w:r w:rsidRPr="00F90EAE">
        <w:rPr>
          <w:color w:val="000000" w:themeColor="text1"/>
          <w:sz w:val="16"/>
          <w:szCs w:val="16"/>
        </w:rPr>
        <w:t>не летал. В отчете завода № 300 о работе в 1944 г. со ссылкой на акты аварийных комиссий отмечалось, что одной из основных причин выхода из строя моторов АМ-39 на самолетах ОКБ Микояна было разрушение тру</w:t>
      </w:r>
      <w:r w:rsidRPr="00F90EAE">
        <w:rPr>
          <w:color w:val="000000" w:themeColor="text1"/>
          <w:sz w:val="16"/>
          <w:szCs w:val="16"/>
        </w:rPr>
        <w:softHyphen/>
        <w:t>щихся поверхностей в узлах мотора из-за дефектов маслосистем самолетов (9984).</w:t>
      </w:r>
    </w:p>
    <w:p w14:paraId="597B19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293A28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4D03D10" w14:textId="77777777" w:rsidR="00C2313B" w:rsidRPr="00F90EAE" w:rsidRDefault="00C2313B" w:rsidP="00F90EAE">
      <w:pPr>
        <w:autoSpaceDE w:val="0"/>
        <w:autoSpaceDN w:val="0"/>
        <w:adjustRightInd w:val="0"/>
        <w:jc w:val="both"/>
        <w:rPr>
          <w:iCs/>
          <w:color w:val="000000" w:themeColor="text1"/>
          <w:sz w:val="16"/>
          <w:szCs w:val="16"/>
        </w:rPr>
      </w:pPr>
    </w:p>
    <w:p w14:paraId="53C364FB" w14:textId="77777777" w:rsidR="00670896" w:rsidRPr="00F90EAE" w:rsidRDefault="00670896" w:rsidP="00F90EAE">
      <w:pPr>
        <w:jc w:val="both"/>
        <w:rPr>
          <w:color w:val="000000" w:themeColor="text1"/>
          <w:sz w:val="16"/>
          <w:szCs w:val="16"/>
        </w:rPr>
      </w:pPr>
      <w:r w:rsidRPr="00F90EAE">
        <w:rPr>
          <w:color w:val="000000" w:themeColor="text1"/>
          <w:sz w:val="16"/>
          <w:szCs w:val="16"/>
        </w:rPr>
        <w:t>26 января 1945 года 14-й дивизион бронепоездов со станции Ленинград - Навалочная убыл в Выборг, куда прибыл 6 февраля. Здесь он дислоцировался до 10 июня 1945 года, после чего был переброшен в Ленинград, на станцию Витебская-Сортировочная. Здесь в период с 26 июня по 25 июля 1945 года 14-й отдельный дивизион бронепоездов расформировали, при этом МБВ № 02 вместе с мат-частью бепо «Стойкий» передали в состав 62-го отдельного дивизиона бронепоездов, а после расформирования последнего в 1947 году МБВ № 2 поступил на военный склад № 2707 в Брянске.</w:t>
      </w:r>
    </w:p>
    <w:p w14:paraId="0A05C6AE" w14:textId="77777777" w:rsidR="00670896" w:rsidRPr="00F90EAE" w:rsidRDefault="00670896" w:rsidP="00F90EAE">
      <w:pPr>
        <w:jc w:val="both"/>
        <w:rPr>
          <w:color w:val="000000" w:themeColor="text1"/>
          <w:sz w:val="16"/>
          <w:szCs w:val="16"/>
        </w:rPr>
      </w:pPr>
      <w:r w:rsidRPr="00F90EAE">
        <w:rPr>
          <w:color w:val="000000" w:themeColor="text1"/>
          <w:sz w:val="16"/>
          <w:szCs w:val="16"/>
        </w:rPr>
        <w:t>С 1948 по 1951 год на МБВ № 02 провели работы по модернизации - двигатель М-17 заменили на В-2-34, упростили схему электрооборудования, демонтировали счетверенную зенитную установку. Эти работы были выполнены на вагоноремонтном заводе №65. В 1965 году мотоброневагон МБВ № 02 передали на хранение в Кубинку, где сейчас его можно увидеть на площадке военно-исторического музея бронетанкового вооружения и техники (18626).</w:t>
      </w:r>
    </w:p>
    <w:p w14:paraId="1AA3BE5B" w14:textId="77777777" w:rsidR="00670896" w:rsidRPr="00F90EAE" w:rsidRDefault="00670896" w:rsidP="00F90EAE">
      <w:pPr>
        <w:jc w:val="both"/>
        <w:rPr>
          <w:color w:val="000000" w:themeColor="text1"/>
          <w:sz w:val="16"/>
          <w:szCs w:val="16"/>
        </w:rPr>
      </w:pPr>
    </w:p>
    <w:p w14:paraId="16CA64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вышло Распоряжение ГКО № 7390. О поставках нефти заводу № 172 НКВ. РГАНИР, Фонд ГКО, д. 358, лл. 138 (11012).</w:t>
      </w:r>
    </w:p>
    <w:p w14:paraId="6D8EB6F4" w14:textId="77777777" w:rsidR="00C2313B" w:rsidRPr="00F90EAE" w:rsidRDefault="00C2313B" w:rsidP="00F90EAE">
      <w:pPr>
        <w:autoSpaceDE w:val="0"/>
        <w:autoSpaceDN w:val="0"/>
        <w:adjustRightInd w:val="0"/>
        <w:jc w:val="both"/>
        <w:rPr>
          <w:color w:val="000000" w:themeColor="text1"/>
          <w:sz w:val="16"/>
          <w:szCs w:val="16"/>
        </w:rPr>
      </w:pPr>
    </w:p>
    <w:p w14:paraId="170DAD3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Распоряжение ГКО № 7391 [Об изменении плана погрузки зерна и муки по железным дорогам в январе 1945 г.] (7300, 139).</w:t>
      </w:r>
    </w:p>
    <w:p w14:paraId="02BA291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AC612B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7392 О производстве и поставке инженерного вооружения и спецоборудования в I квартале 1945 г. Наркомобороны СССР, Наркомвоенморфлоту и войскам НКВД СССР. (7300, 140-145,146-192).</w:t>
      </w:r>
    </w:p>
    <w:p w14:paraId="5BC9EB4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C52DA2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 квартал 1945 г. (7300, 193-194,195-223).</w:t>
      </w:r>
    </w:p>
    <w:p w14:paraId="418702B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37F57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7394 О плане поставок вещевого имущества и снаряжения для НКО СССР, Наркомвоенморфлота и войск НКВД СССР на I квартал 1945 г. РГАНИР, Фонд ГКО, д. 359, лл. 1-4, 5-47 (11012).</w:t>
      </w:r>
    </w:p>
    <w:p w14:paraId="77443F38" w14:textId="77777777" w:rsidR="00C2313B" w:rsidRPr="00F90EAE" w:rsidRDefault="00C2313B" w:rsidP="00F90EAE">
      <w:pPr>
        <w:autoSpaceDE w:val="0"/>
        <w:autoSpaceDN w:val="0"/>
        <w:adjustRightInd w:val="0"/>
        <w:jc w:val="both"/>
        <w:rPr>
          <w:color w:val="000000" w:themeColor="text1"/>
          <w:sz w:val="16"/>
          <w:szCs w:val="16"/>
        </w:rPr>
      </w:pPr>
    </w:p>
    <w:p w14:paraId="103A2E1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7395 О ремонте бронепоездов для Красной Армии в первом полугодии 1945 г. (7301, 48-50,51-54).</w:t>
      </w:r>
    </w:p>
    <w:p w14:paraId="2306439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25B52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7396 О материально-техническом обеспечении предприятий серной промышленности Наркомхимпрома. РГАНИР, Фонд ГКО, д. 359, лл. 55-57, 58-60 (11012).</w:t>
      </w:r>
    </w:p>
    <w:p w14:paraId="4485E649" w14:textId="77777777" w:rsidR="00C2313B" w:rsidRPr="00F90EAE" w:rsidRDefault="00C2313B" w:rsidP="00F90EAE">
      <w:pPr>
        <w:autoSpaceDE w:val="0"/>
        <w:autoSpaceDN w:val="0"/>
        <w:adjustRightInd w:val="0"/>
        <w:jc w:val="both"/>
        <w:rPr>
          <w:color w:val="000000" w:themeColor="text1"/>
          <w:sz w:val="16"/>
          <w:szCs w:val="16"/>
        </w:rPr>
      </w:pPr>
    </w:p>
    <w:p w14:paraId="5FE052B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7397 О направлении автоколонны централизованного резерва на работы по вывозке сахарной свеклы. (7301, 61-63,64).</w:t>
      </w:r>
    </w:p>
    <w:p w14:paraId="3BD2FCC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838D34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7398 О направлении автоколонн централизованного резерва на работы по обеспечению массовых перевозок на стройках Наркомнефти. (7301, 65-67,68).</w:t>
      </w:r>
    </w:p>
    <w:p w14:paraId="270F563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26A5D2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7399 Об увеличении поставки пароперегревательных труб для НКПС. (7301, 69-71,72-75).</w:t>
      </w:r>
    </w:p>
    <w:p w14:paraId="1583B83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93E1DA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7400 О поставке НКПС металла, материалов и оборудования для обеспечения работ железнодорожного транспорта в I квартале 1945 г. (7301, 76-89,90-95).</w:t>
      </w:r>
    </w:p>
    <w:p w14:paraId="5F0427B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D74A38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7401 О подготовке временно восстановленных железнодорожных мостов к пропуску весеннего паводка и ледохода 1945 г. (7301, 96-100,101).</w:t>
      </w:r>
    </w:p>
    <w:p w14:paraId="3EB211D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06233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вышло Постановление ГКО № 7402 О строительстве рабочего поселка на Саранском месторождении в Карагандинском угольном бассейне. РГАНИР, Фонд ГКО, д. 359, лл. 102-108, 109-118 (11012).</w:t>
      </w:r>
    </w:p>
    <w:p w14:paraId="624B6A0E" w14:textId="77777777" w:rsidR="00C2313B" w:rsidRPr="00F90EAE" w:rsidRDefault="00C2313B" w:rsidP="00F90EAE">
      <w:pPr>
        <w:autoSpaceDE w:val="0"/>
        <w:autoSpaceDN w:val="0"/>
        <w:adjustRightInd w:val="0"/>
        <w:jc w:val="both"/>
        <w:rPr>
          <w:color w:val="000000" w:themeColor="text1"/>
          <w:sz w:val="16"/>
          <w:szCs w:val="16"/>
        </w:rPr>
      </w:pPr>
    </w:p>
    <w:p w14:paraId="023079E0" w14:textId="77777777" w:rsidR="00590D1F" w:rsidRPr="00F90EAE" w:rsidRDefault="00590D1F" w:rsidP="00F90EAE">
      <w:pPr>
        <w:jc w:val="both"/>
        <w:rPr>
          <w:color w:val="000000" w:themeColor="text1"/>
          <w:sz w:val="16"/>
          <w:szCs w:val="16"/>
        </w:rPr>
      </w:pPr>
      <w:r w:rsidRPr="00F90EAE">
        <w:rPr>
          <w:bCs/>
          <w:color w:val="000000" w:themeColor="text1"/>
          <w:sz w:val="16"/>
          <w:szCs w:val="16"/>
        </w:rPr>
        <w:t>26 января</w:t>
      </w:r>
      <w:r w:rsidRPr="00F90EAE">
        <w:rPr>
          <w:color w:val="000000" w:themeColor="text1"/>
          <w:sz w:val="16"/>
          <w:szCs w:val="16"/>
        </w:rPr>
        <w:t xml:space="preserve"> в 1945 году оперативная сводка Совинформбюро:</w:t>
      </w:r>
    </w:p>
    <w:p w14:paraId="18C0313D"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3-го Белорусского фронта 26 января с боем овладели городами Восточной Пруссии Тапиау, Алленбург, Норденбург и Летцен — мощными опорными пунктами долговременной оборонительной полосы немцев, прикрывающей центральные районы Восточной Пруссии, а также с боями заняли более 250 других населённых пунктов, в том числе крупные населённые пункты Лаблаккен, Гросс Дроозден, Ботенен, Брасдорф, Левенхаген, Удерванген, Фришинг, Гросс-Зобросг и железнодорожные станции Прониттен, Виллкюнен, Георгенфельде.</w:t>
      </w:r>
    </w:p>
    <w:p w14:paraId="202DA0BF"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2-го Белорусского фронта, продолжая стремительное наступление, 26 января овладели городами Восточной Пруссии Мюльхаузен, Мариенбург и Штум — важными опорными пунктами обороны немцев и, прорвавшись к побережью Данцигской бухты, заняли город Толькемит, отрезав тем самым Восточно-Прусскую группировку немцев от центральных районов Германии. Одновременно войска фронта с боями заняли на территории Польши города Ласин, Унислав, Хелмжа (Кульмзее) и более 400 других населённых [пунктов, в числе которых крупные населённые пункты Грутта, Реден, Айзелау, Бросово, Шарнзее, Рентшкау, Розенберг, Вальдау (4 километра северо-восточнее города Торунь).</w:t>
      </w:r>
    </w:p>
    <w:p w14:paraId="117C709E" w14:textId="77777777" w:rsidR="00590D1F" w:rsidRPr="00F90EAE" w:rsidRDefault="00590D1F" w:rsidP="00F90EAE">
      <w:pPr>
        <w:jc w:val="both"/>
        <w:rPr>
          <w:color w:val="000000" w:themeColor="text1"/>
          <w:sz w:val="16"/>
          <w:szCs w:val="16"/>
        </w:rPr>
      </w:pPr>
      <w:r w:rsidRPr="00F90EAE">
        <w:rPr>
          <w:color w:val="000000" w:themeColor="text1"/>
          <w:sz w:val="16"/>
          <w:szCs w:val="16"/>
        </w:rPr>
        <w:t>На Познанском направлении войска 1-го Белорусского фронта, продолжая наступление, овладели городами Вонгровец, Рогазен, Шоккен, Вайссенбург, Курник, Мосина, Сантомишель и заняли более 400 других населённых пунктов.</w:t>
      </w:r>
    </w:p>
    <w:p w14:paraId="6DF91DD6" w14:textId="77777777" w:rsidR="00590D1F" w:rsidRPr="00F90EAE" w:rsidRDefault="00590D1F" w:rsidP="00F90EAE">
      <w:pPr>
        <w:jc w:val="both"/>
        <w:rPr>
          <w:color w:val="000000" w:themeColor="text1"/>
          <w:sz w:val="16"/>
          <w:szCs w:val="16"/>
        </w:rPr>
      </w:pPr>
      <w:r w:rsidRPr="00F90EAE">
        <w:rPr>
          <w:color w:val="000000" w:themeColor="text1"/>
          <w:sz w:val="16"/>
          <w:szCs w:val="16"/>
        </w:rPr>
        <w:t>На трёх аэродромах и на авиационном заводе в районе города Познань войска фронта захватили 292 немецких самолёта.</w:t>
      </w:r>
    </w:p>
    <w:p w14:paraId="08FA7CAD"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и западнее города Калиш наши войска с боем овладели крупным узлом шоссейных дорог городом Кротошин, городами Комшин и Здуны и заняли на территории Польши более 100 других населённых пунктов.</w:t>
      </w:r>
    </w:p>
    <w:p w14:paraId="0C8DBBE9"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26 января штурмом овладели крупным центром промышленного района немецкой Силезии городом Гинденбург — важным узлом коммуникаций и мощным опорным пунктом обороны немцев, а также с боями заняли на территории Германии города Геррнштадт, Винциг, Штроппен, Прауснитц, Требнитц, Юлиусбург и более 300 других населённых пунктов.</w:t>
      </w:r>
    </w:p>
    <w:p w14:paraId="346EA2ED" w14:textId="77777777" w:rsidR="00590D1F" w:rsidRPr="00F90EAE" w:rsidRDefault="00590D1F" w:rsidP="00F90EAE">
      <w:pPr>
        <w:jc w:val="both"/>
        <w:rPr>
          <w:color w:val="000000" w:themeColor="text1"/>
          <w:sz w:val="16"/>
          <w:szCs w:val="16"/>
        </w:rPr>
      </w:pPr>
      <w:r w:rsidRPr="00F90EAE">
        <w:rPr>
          <w:color w:val="000000" w:themeColor="text1"/>
          <w:sz w:val="16"/>
          <w:szCs w:val="16"/>
        </w:rPr>
        <w:t>На аэродромах в районе города ЕЛЬС войска фронта захватили 150 немецких самолётов.</w:t>
      </w:r>
    </w:p>
    <w:p w14:paraId="136D2A4E"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и западнее города Кошице наши войска в результате наступательных боёв овладели на территории Чехословакии городами Спишске Подградье и Спишске Влахи, а также заняли населённые пункты Лехница, Рихвальд, Топорец, Блажов, Гориски, Маркушовце, Вондришель, Влахово.</w:t>
      </w:r>
    </w:p>
    <w:p w14:paraId="5DFC9B65" w14:textId="77777777" w:rsidR="00590D1F" w:rsidRPr="00F90EAE" w:rsidRDefault="00590D1F" w:rsidP="00F90EAE">
      <w:pPr>
        <w:jc w:val="both"/>
        <w:rPr>
          <w:color w:val="000000" w:themeColor="text1"/>
          <w:sz w:val="16"/>
          <w:szCs w:val="16"/>
        </w:rPr>
      </w:pPr>
      <w:r w:rsidRPr="00F90EAE">
        <w:rPr>
          <w:color w:val="000000" w:themeColor="text1"/>
          <w:sz w:val="16"/>
          <w:szCs w:val="16"/>
        </w:rPr>
        <w:t>В будапеште наши войска продолжали бои по уничтожению окружённых частей противника в западной части города (Буда) и заняли 25 кварталов.</w:t>
      </w:r>
    </w:p>
    <w:p w14:paraId="3EE26036"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Будапешта наши войска отбивали атаки крупных сил пехоты и танков противника и нанесли ему большие потери в живой силе и технике.</w:t>
      </w:r>
    </w:p>
    <w:p w14:paraId="0D91CE63" w14:textId="77777777" w:rsidR="00590D1F" w:rsidRPr="00F90EAE" w:rsidRDefault="00590D1F" w:rsidP="00F90EAE">
      <w:pPr>
        <w:jc w:val="both"/>
        <w:rPr>
          <w:color w:val="000000" w:themeColor="text1"/>
          <w:sz w:val="16"/>
          <w:szCs w:val="16"/>
        </w:rPr>
      </w:pPr>
      <w:r w:rsidRPr="00F90EAE">
        <w:rPr>
          <w:color w:val="000000" w:themeColor="text1"/>
          <w:sz w:val="16"/>
          <w:szCs w:val="16"/>
        </w:rPr>
        <w:t>За 25 января наши войска на всех фронтах подбили и уничтожили 97 немецких танков, из них 47 танков — юго-западнее Будапешта. В воздушных боях и огнём зенитной артиллерии сбито 15 самолётов противника.</w:t>
      </w:r>
    </w:p>
    <w:p w14:paraId="2DA76C7B" w14:textId="77777777" w:rsidR="00590D1F" w:rsidRPr="00F90EAE" w:rsidRDefault="00590D1F" w:rsidP="00F90EAE">
      <w:pPr>
        <w:jc w:val="both"/>
        <w:rPr>
          <w:color w:val="000000" w:themeColor="text1"/>
          <w:sz w:val="16"/>
          <w:szCs w:val="16"/>
        </w:rPr>
      </w:pPr>
      <w:r w:rsidRPr="00F90EAE">
        <w:rPr>
          <w:color w:val="000000" w:themeColor="text1"/>
          <w:sz w:val="16"/>
          <w:szCs w:val="16"/>
        </w:rPr>
        <w:t xml:space="preserve">Войска 3-го Белорусского фронта продолжали наступление. В результате ожесточённых боёв советские части взломали сильно укреплённую оборону противника на западном берегу реки Дайме и овладели городом Тапиау — важнейшим узлом вражеского сопротивления на подступах к Кенигсбергу. В районе Тапиау наши войска разгромили десятки железобетонных орудийных и пулемётных дотов и прорвали несколько линий траншей усовершенствованного типа. Развивая успех, советские танки и пехота продвинулись вперёд на 10 километров и овладели крупным населённым пунктом Левенхаген, находящимся в 15 километрах восточнее города Кенигсберга — центра Восточной Пруссии. Ожесточенные бои велись также за город Летцен, расположенный между большими озёрами. Немцы, используя удобную для обороны местность, сильно укрепили Летцен и превратили его в мощный узел сопротивления, преграждавший путь к центральным районам Восточной Пруссии. </w:t>
      </w:r>
      <w:r w:rsidRPr="00F90EAE">
        <w:rPr>
          <w:color w:val="000000" w:themeColor="text1"/>
          <w:sz w:val="16"/>
          <w:szCs w:val="16"/>
        </w:rPr>
        <w:lastRenderedPageBreak/>
        <w:t>Противник неоднократно переходил в контратаки, но не смог сдержать натиска советских частей. Уличные бои продолжались всю ночь. Сегодня наши войска разгромили вражеский гарнизон и овладели городом Летцен. Противник потерял убитыми свыше 2.000 своих солдат и офицеров. Захвачено у немцев 53 орудия и много других трофеев.</w:t>
      </w:r>
    </w:p>
    <w:p w14:paraId="0AF96D39" w14:textId="77777777" w:rsidR="00590D1F" w:rsidRPr="00F90EAE" w:rsidRDefault="00590D1F" w:rsidP="00F90EAE">
      <w:pPr>
        <w:jc w:val="both"/>
        <w:rPr>
          <w:color w:val="000000" w:themeColor="text1"/>
          <w:sz w:val="16"/>
          <w:szCs w:val="16"/>
        </w:rPr>
      </w:pPr>
      <w:r w:rsidRPr="00F90EAE">
        <w:rPr>
          <w:color w:val="000000" w:themeColor="text1"/>
          <w:sz w:val="16"/>
          <w:szCs w:val="16"/>
        </w:rPr>
        <w:t>Советские воины показывают доблесть и геройство в боях с немецкими захватчиками. Артиллерийская батарея гвардии старшего лейтенанта Акужина в одном бою подбила два танка и самоходное орудие противника. Гвардии рядовой Шамшиев ворвался во вражеские окопы и убил трёх немцев, а затем обезоружил и взял в плен двух гитлеровцев. На одном участке огонь вражеского пулемёта преграждал путь нашему подразделению. Гвардии рядовой Микелов подобрался к пулемёту противника и, бросив гранату, уничтожил немецких пулемётчиков.</w:t>
      </w:r>
    </w:p>
    <w:p w14:paraId="1DDFE293"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2-го Белорусского фронта развивали стремительное наступление. Немцы пытались во что бы то ни стало удержать в своих руках коридор, связывающий Восточную Пруссию с центральными районами Германии, и бросили в бой все свои наличные резервы. Крупные силы немецких войск непрерывно переходили в контратаки. Советские танковые соединения и пехота, преодолев упорное сопротивление противника, овладели городом Мюльхаузен и, устремившись вперёд, прорвались к побережью Данцигской бухты. Тем самым крупной группировке немецких войск, действующей в Восточной Пруссии, отрезаны все пути отхода по суше. Другие советские части с боями продвинулись вперёд на 20 километров и штурмом овладели городом Мариенбург — важным узлом шоссейных и железных дорог. Мариенбург — промышленный город Восточной Пруссии — расположен на берегу судоходной реки Ногат. В нём имеются военные и химические заводы, пищевые и деревообделочные предприятия. В боях за день нашими войсками уничтожено 1.500 гитлеровцев. Сожжено и подбито 12 немецких танков. Захвачены крупные трофеи — большое количество вооружения, много паровозов, вагонов, десятки складов с боеприпасами, продовольствием и военными материалами.</w:t>
      </w:r>
    </w:p>
    <w:p w14:paraId="3103E417"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Советские танковые и стрелковые части, овладев 24 января городом Глейвиц, нанесли удар в восточном направлении и завязали бои на подступах к городу Гинденбург. Немцы заранее подготовили укрепления и рассчитывали здесь долго обороняться. Наши части атаковали противника с северо-запада и запада, прорвали внешние оборонительные линии и ворвались на улицы Гинденбурга. Стремительно продвигаясь вперёд, советские бойцы подавили очаги сопротивления гитлеровцев и сегодня штурмом овладели городом Гинденбург — мощным опорным пунктом обороны противника. Город Гинденбург, крупный промышленный центр немецкой Силезии, насчитывал около 150 тысяч жителей. В городе находятся сталелитейный, чугунолитейный, металлопрокатный, котлостроительный и другие заводы чёрной металлургии, а также заводы тяжёлого и легкого машиностроения. Нашими войсками захвачены трофеи и взято в плен свыше 1.000 немецких солдат и офицеров.</w:t>
      </w:r>
    </w:p>
    <w:p w14:paraId="7D521327" w14:textId="77777777" w:rsidR="00590D1F" w:rsidRPr="00F90EAE" w:rsidRDefault="00590D1F" w:rsidP="00F90EAE">
      <w:pPr>
        <w:jc w:val="both"/>
        <w:rPr>
          <w:color w:val="000000" w:themeColor="text1"/>
          <w:sz w:val="16"/>
          <w:szCs w:val="16"/>
        </w:rPr>
      </w:pPr>
      <w:r w:rsidRPr="00F90EAE">
        <w:rPr>
          <w:color w:val="000000" w:themeColor="text1"/>
          <w:sz w:val="16"/>
          <w:szCs w:val="16"/>
        </w:rPr>
        <w:t>В Чехословакии северо-западнее и западнее города Кошице наши войска боями продвигались вперед. Советские пехотинцы и артиллеристы, пробиваясь через лесные массивы по склонам гор, покрытым снегом и льдом, наносят врагу непрерывные удары. Преодолев цепь гор, наши части вышли к городу Спишске Подградье — сильно укрепленному опорному пункту противника в Карпатах. Немцы стремились любой ценой удержать город в своих руках. Наши бойцы сломили вражеское сопротивление и овладели городом Спишске Подградье. Захвачено 10 орудий, 27 пулеметов, 100 вагонов с грузами и 6 складов с боеприпасами. Взято в плен 400 немцев.».</w:t>
      </w:r>
    </w:p>
    <w:p w14:paraId="50B5C657" w14:textId="77777777" w:rsidR="00590D1F" w:rsidRPr="00F90EAE" w:rsidRDefault="00590D1F" w:rsidP="00F90EAE">
      <w:pPr>
        <w:jc w:val="both"/>
        <w:rPr>
          <w:color w:val="000000" w:themeColor="text1"/>
          <w:sz w:val="16"/>
          <w:szCs w:val="16"/>
        </w:rPr>
      </w:pPr>
      <w:r w:rsidRPr="00F90EAE">
        <w:rPr>
          <w:color w:val="000000" w:themeColor="text1"/>
          <w:sz w:val="16"/>
          <w:szCs w:val="16"/>
        </w:rPr>
        <w:t>Потери противника и трофеи войск 3-го и 2-го, 1-го Белорусских, 1-го и 4-го Украинских фронтов за время наступательных боев с 12 по 24 января 1945 года.</w:t>
      </w:r>
    </w:p>
    <w:p w14:paraId="6886C527"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3-го Белорусского фронта под командованием генерала армии Черняховского за время наступательных боёв с 14 по 24 января нанесли противнику следующие потери в живой силе и технике:</w:t>
      </w:r>
    </w:p>
    <w:p w14:paraId="1546694C"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самолётов — 183, танков и самоходных орудий — более 700, орудий — 710, миномётов — 480, пулемётов—1.940, автомашин — 2.500, тракторов и тягачей — 270. Противник потерял только убитыми более 60.000 солдат и офицеров.</w:t>
      </w:r>
    </w:p>
    <w:p w14:paraId="49425350" w14:textId="77777777" w:rsidR="00590D1F" w:rsidRPr="00F90EAE" w:rsidRDefault="00590D1F" w:rsidP="00F90EAE">
      <w:pPr>
        <w:jc w:val="both"/>
        <w:rPr>
          <w:color w:val="000000" w:themeColor="text1"/>
          <w:sz w:val="16"/>
          <w:szCs w:val="16"/>
        </w:rPr>
      </w:pPr>
      <w:r w:rsidRPr="00F90EAE">
        <w:rPr>
          <w:color w:val="000000" w:themeColor="text1"/>
          <w:sz w:val="16"/>
          <w:szCs w:val="16"/>
        </w:rPr>
        <w:t>Захвачено: самолётов — 30, танков и самоходных орудий — 88, орудий — 379, миномётов — 222, пулемётов — 2.532, винтовок и автоматов— 8.500, метательных аппаратов — 99, радиостанций—11, автомашин — 522, велосипедов — 2.478, складов с боеприпасами, снаряжением и продовольствием — 73.</w:t>
      </w:r>
    </w:p>
    <w:p w14:paraId="10830194" w14:textId="77777777" w:rsidR="00590D1F" w:rsidRPr="00F90EAE" w:rsidRDefault="00590D1F" w:rsidP="00F90EAE">
      <w:pPr>
        <w:jc w:val="both"/>
        <w:rPr>
          <w:color w:val="000000" w:themeColor="text1"/>
          <w:sz w:val="16"/>
          <w:szCs w:val="16"/>
        </w:rPr>
      </w:pPr>
      <w:r w:rsidRPr="00F90EAE">
        <w:rPr>
          <w:color w:val="000000" w:themeColor="text1"/>
          <w:sz w:val="16"/>
          <w:szCs w:val="16"/>
        </w:rPr>
        <w:t>Взято в плен свыше 4.000 немецких солдат и офицеров.</w:t>
      </w:r>
    </w:p>
    <w:p w14:paraId="0CE03242" w14:textId="77777777" w:rsidR="00590D1F" w:rsidRPr="00F90EAE" w:rsidRDefault="00590D1F" w:rsidP="00F90EAE">
      <w:pPr>
        <w:jc w:val="both"/>
        <w:rPr>
          <w:color w:val="000000" w:themeColor="text1"/>
          <w:sz w:val="16"/>
          <w:szCs w:val="16"/>
        </w:rPr>
      </w:pPr>
      <w:r w:rsidRPr="00F90EAE">
        <w:rPr>
          <w:color w:val="000000" w:themeColor="text1"/>
          <w:sz w:val="16"/>
          <w:szCs w:val="16"/>
        </w:rPr>
        <w:t>Таким образам, в результате одиннадцатидневных наступательных боёв войск 3-го Белорусского фронта потери противника по основным видам боевой техники и людям составляют: пленными и убитыми более 64.000 солдат и офицеров; самолётов — 213, танков и самоходных орудий— 788, орудий—1.089, миномётов — 702, пулемётов — 4.472, автомашин — 3.022.</w:t>
      </w:r>
    </w:p>
    <w:p w14:paraId="0FF4B6E4"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2-го Белорусского фронта под командованием Маршала Советского Союза Рокоссовского за время наступательных боёв с 14 по 24 января нанесли противнику следующие потери в живой силе и технике:</w:t>
      </w:r>
    </w:p>
    <w:p w14:paraId="3A19030C"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самолётов — 38, танков и самоходных орудий — 490, орудий — 830, миномётов — 470, пулемётов — 1.830, автомашин — 1.800, бронетранспортёров — 44. Противник потерял только убитыми более 65.000 солдат и офицеров.</w:t>
      </w:r>
    </w:p>
    <w:p w14:paraId="6C96C25E" w14:textId="77777777" w:rsidR="00590D1F" w:rsidRPr="00F90EAE" w:rsidRDefault="00590D1F" w:rsidP="00F90EAE">
      <w:pPr>
        <w:jc w:val="both"/>
        <w:rPr>
          <w:color w:val="000000" w:themeColor="text1"/>
          <w:sz w:val="16"/>
          <w:szCs w:val="16"/>
        </w:rPr>
      </w:pPr>
      <w:r w:rsidRPr="00F90EAE">
        <w:rPr>
          <w:color w:val="000000" w:themeColor="text1"/>
          <w:sz w:val="16"/>
          <w:szCs w:val="16"/>
        </w:rPr>
        <w:t>Захвачено: танков и самоходных орудий — 72, орудий — 633, миномётов — 214, пулемётов — 1.042, винтовок и автоматов более 10.000, бронетранспортёров — 37, автомашин — 729, повозок с военными груза-</w:t>
      </w:r>
    </w:p>
    <w:p w14:paraId="6EAB7646" w14:textId="77777777" w:rsidR="00590D1F" w:rsidRPr="00F90EAE" w:rsidRDefault="00590D1F" w:rsidP="00F90EAE">
      <w:pPr>
        <w:jc w:val="both"/>
        <w:rPr>
          <w:color w:val="000000" w:themeColor="text1"/>
          <w:sz w:val="16"/>
          <w:szCs w:val="16"/>
        </w:rPr>
      </w:pPr>
      <w:r w:rsidRPr="00F90EAE">
        <w:rPr>
          <w:color w:val="000000" w:themeColor="text1"/>
          <w:sz w:val="16"/>
          <w:szCs w:val="16"/>
        </w:rPr>
        <w:t>ми — 347, лошадей — 246, тягачей — 66, паровозов — 38, вагонов — 1.800, складов с боеприпасами, снаряжением и продовольствием—161.</w:t>
      </w:r>
    </w:p>
    <w:p w14:paraId="42E54B73" w14:textId="77777777" w:rsidR="00590D1F" w:rsidRPr="00F90EAE" w:rsidRDefault="00590D1F" w:rsidP="00F90EAE">
      <w:pPr>
        <w:jc w:val="both"/>
        <w:rPr>
          <w:color w:val="000000" w:themeColor="text1"/>
          <w:sz w:val="16"/>
          <w:szCs w:val="16"/>
        </w:rPr>
      </w:pPr>
      <w:r w:rsidRPr="00F90EAE">
        <w:rPr>
          <w:color w:val="000000" w:themeColor="text1"/>
          <w:sz w:val="16"/>
          <w:szCs w:val="16"/>
        </w:rPr>
        <w:t>Взято в плен 5.530 немецких солдат и офицеров.</w:t>
      </w:r>
    </w:p>
    <w:p w14:paraId="718C4388" w14:textId="77777777" w:rsidR="00590D1F" w:rsidRPr="00F90EAE" w:rsidRDefault="00590D1F" w:rsidP="00F90EAE">
      <w:pPr>
        <w:jc w:val="both"/>
        <w:rPr>
          <w:color w:val="000000" w:themeColor="text1"/>
          <w:sz w:val="16"/>
          <w:szCs w:val="16"/>
        </w:rPr>
      </w:pPr>
      <w:r w:rsidRPr="00F90EAE">
        <w:rPr>
          <w:color w:val="000000" w:themeColor="text1"/>
          <w:sz w:val="16"/>
          <w:szCs w:val="16"/>
        </w:rPr>
        <w:t>Таким образам, в результате одиннадцатидневных наступательных боёв войск 2-го Белорусского фронта потери противника по основным видам боевой техники и людям составляют: пленными и убитыми более 70.000 солдат и офицеров; самолётов — 38, танков и самоходных орудий — 562, орудий—1.463, миномётов — 684, пулемётов — 2.872, автомашин — 2.529.</w:t>
      </w:r>
    </w:p>
    <w:p w14:paraId="2D07A08F"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Белорусского фронта под командованием Маршала Советского Союза Жукова за время наступательных боёв с 14 по 04 января нанесли противнику следующие потери в живой силе и технике:</w:t>
      </w:r>
    </w:p>
    <w:p w14:paraId="18A75403"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самолётов — 123, танков и самоходных орудий — свыше 400, орудий — более 700, миномётов — 950, пулемётов — 2.900, бронетранспортёров — 320, автомашин — 5.500. Противник потерял только убитыми более 80.000 солдат и офицеров.</w:t>
      </w:r>
    </w:p>
    <w:p w14:paraId="664EA432" w14:textId="77777777" w:rsidR="00590D1F" w:rsidRPr="00F90EAE" w:rsidRDefault="00590D1F" w:rsidP="00F90EAE">
      <w:pPr>
        <w:jc w:val="both"/>
        <w:rPr>
          <w:color w:val="000000" w:themeColor="text1"/>
          <w:sz w:val="16"/>
          <w:szCs w:val="16"/>
        </w:rPr>
      </w:pPr>
      <w:r w:rsidRPr="00F90EAE">
        <w:rPr>
          <w:color w:val="000000" w:themeColor="text1"/>
          <w:sz w:val="16"/>
          <w:szCs w:val="16"/>
        </w:rPr>
        <w:t>Захвачено: самолётов—120, танков и самоходных орудий — 350, орудий— 1.452, миномётов— 1.300, пулемётов — 8.000, винтовок и автоматов— более 35.000, бронетранспортёров — 51, автомашин — 679, тракторов и тягачей — 388, паровозов — 134, вагонов — 2.773, железнодорожных эшелонов с вооружением, боеприпасами и другим военным имуществом— 29, повозок с военными грузами—10.400, лошадей — более-8.000, складов с боеприпасами, снаряжением и продовольствием — 229.</w:t>
      </w:r>
    </w:p>
    <w:p w14:paraId="71FDF956" w14:textId="77777777" w:rsidR="00590D1F" w:rsidRPr="00F90EAE" w:rsidRDefault="00590D1F" w:rsidP="00F90EAE">
      <w:pPr>
        <w:jc w:val="both"/>
        <w:rPr>
          <w:color w:val="000000" w:themeColor="text1"/>
          <w:sz w:val="16"/>
          <w:szCs w:val="16"/>
        </w:rPr>
      </w:pPr>
      <w:r w:rsidRPr="00F90EAE">
        <w:rPr>
          <w:color w:val="000000" w:themeColor="text1"/>
          <w:sz w:val="16"/>
          <w:szCs w:val="16"/>
        </w:rPr>
        <w:t>Взято в плен 37.700 немецких солдат и офицеров.</w:t>
      </w:r>
    </w:p>
    <w:p w14:paraId="37535D04" w14:textId="77777777" w:rsidR="00590D1F" w:rsidRPr="00F90EAE" w:rsidRDefault="00590D1F" w:rsidP="00F90EAE">
      <w:pPr>
        <w:jc w:val="both"/>
        <w:rPr>
          <w:color w:val="000000" w:themeColor="text1"/>
          <w:sz w:val="16"/>
          <w:szCs w:val="16"/>
        </w:rPr>
      </w:pPr>
      <w:r w:rsidRPr="00F90EAE">
        <w:rPr>
          <w:color w:val="000000" w:themeColor="text1"/>
          <w:sz w:val="16"/>
          <w:szCs w:val="16"/>
        </w:rPr>
        <w:t>Таким образом, в результате одиннадцатидневных наступательных боёв войск 1-го Белорусского фронта потери противника по основным видам боевой техники и людям составляют: пленными и убитыми —-117.700 солдат и офицеров; самолётов — 243, танков и самоходных орудий — 750, орудий — 2.152, миномётов — 2.250, пулемётов — 10.900, бронетранспортёров — 371, автомашин — 6.179.</w:t>
      </w:r>
    </w:p>
    <w:p w14:paraId="14243733"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под командованием Маршала Советского Союза Конева за время наступательных боёв с 12 по 24 января нанесли противнику следующие потери в живой силе и технике:</w:t>
      </w:r>
    </w:p>
    <w:p w14:paraId="4C6663B6"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самолётов — 98, танков и самоходных орудий — 480, орудий — 950, миномётов — 860, пулемётов — 2.100, автомашин — свыше 15.000. Противник потерял только убитыми более 70.000 солдат и офицеров.</w:t>
      </w:r>
    </w:p>
    <w:p w14:paraId="0F0C2233" w14:textId="77777777" w:rsidR="00590D1F" w:rsidRPr="00F90EAE" w:rsidRDefault="00590D1F" w:rsidP="00F90EAE">
      <w:pPr>
        <w:jc w:val="both"/>
        <w:rPr>
          <w:color w:val="000000" w:themeColor="text1"/>
          <w:sz w:val="16"/>
          <w:szCs w:val="16"/>
        </w:rPr>
      </w:pPr>
      <w:r w:rsidRPr="00F90EAE">
        <w:rPr>
          <w:color w:val="000000" w:themeColor="text1"/>
          <w:sz w:val="16"/>
          <w:szCs w:val="16"/>
        </w:rPr>
        <w:t>Захвачено: танков и самоходных орудий — 307, орудий — 1.596, миномётов — 2.560, пулемётов — 4.000, автомашин — 6.750, паровозов — 22, железнодорожных вагонов—1.200.</w:t>
      </w:r>
    </w:p>
    <w:p w14:paraId="5F88B346" w14:textId="77777777" w:rsidR="00590D1F" w:rsidRPr="00F90EAE" w:rsidRDefault="00590D1F" w:rsidP="00F90EAE">
      <w:pPr>
        <w:jc w:val="both"/>
        <w:rPr>
          <w:color w:val="000000" w:themeColor="text1"/>
          <w:sz w:val="16"/>
          <w:szCs w:val="16"/>
        </w:rPr>
      </w:pPr>
      <w:r w:rsidRPr="00F90EAE">
        <w:rPr>
          <w:color w:val="000000" w:themeColor="text1"/>
          <w:sz w:val="16"/>
          <w:szCs w:val="16"/>
        </w:rPr>
        <w:t>Взято в плен 31.900 немецких солдат и офицеров.</w:t>
      </w:r>
    </w:p>
    <w:p w14:paraId="1A527FD7" w14:textId="77777777" w:rsidR="00590D1F" w:rsidRPr="00F90EAE" w:rsidRDefault="00590D1F" w:rsidP="00F90EAE">
      <w:pPr>
        <w:jc w:val="both"/>
        <w:rPr>
          <w:color w:val="000000" w:themeColor="text1"/>
          <w:sz w:val="16"/>
          <w:szCs w:val="16"/>
        </w:rPr>
      </w:pPr>
      <w:r w:rsidRPr="00F90EAE">
        <w:rPr>
          <w:color w:val="000000" w:themeColor="text1"/>
          <w:sz w:val="16"/>
          <w:szCs w:val="16"/>
        </w:rPr>
        <w:t>Таким образам, в результате тринадцатидневных наступательных боёв войск 1-го Украинского фронта потери противника по основным видам боевой техники и людям составляют: пленными и убитыми — 101.900 солдат и офицеров; самолётов — 98, танков и самоходных орудий — 787, орудий—2.546, миномётов—3.420, пулемётов—6.100, автомашин—21.750.</w:t>
      </w:r>
    </w:p>
    <w:p w14:paraId="69FF14CC"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4-го Украинского фронта под командованием генерала-армии Петрова за время наступательных боёв с 15 по 24 января нанесли противнику следующие потери в живой силе и технике:</w:t>
      </w:r>
    </w:p>
    <w:p w14:paraId="79CDD110"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танков и самоходных орудий — 68, орудий — 300, миномётов — 200, пулемётов — 800, бронетранспортёров — 80, автомашин — 160. Противник потерял только убитыми более 20.000 солдат и офицеров. Захвачено: танков и самоходных орудий — 40, орудий — 382, миномётов— 130, пулемётов — 875, бронетранспортёров — 44, автомашин — 379, повозок с военными грузами — 747, лошадей — 2.333, паровозов — 13, вагонов — 519, складов с боеприпасами, снаряжением и продовольствием — 115.</w:t>
      </w:r>
    </w:p>
    <w:p w14:paraId="67DA55C9" w14:textId="77777777" w:rsidR="00590D1F" w:rsidRPr="00F90EAE" w:rsidRDefault="00590D1F" w:rsidP="00F90EAE">
      <w:pPr>
        <w:jc w:val="both"/>
        <w:rPr>
          <w:color w:val="000000" w:themeColor="text1"/>
          <w:sz w:val="16"/>
          <w:szCs w:val="16"/>
        </w:rPr>
      </w:pPr>
      <w:r w:rsidRPr="00F90EAE">
        <w:rPr>
          <w:color w:val="000000" w:themeColor="text1"/>
          <w:sz w:val="16"/>
          <w:szCs w:val="16"/>
        </w:rPr>
        <w:t>Взято в плен 7.200 немецких солдат и офицеров. Таким образом, в результате десятидневных наступательных боёв войск 4-го Украинского фронта потери противника по основным видам боевой техники и живой силе составляют: пленными и убитыми — свыше 27.000 солдат и офицеров; танков и самоходных орудий — 108, орудий— 682, миномётов — 330, пулемётов — 1.675, автомашин — 539.</w:t>
      </w:r>
    </w:p>
    <w:p w14:paraId="3E19ED57" w14:textId="77777777" w:rsidR="00590D1F" w:rsidRPr="00F90EAE" w:rsidRDefault="00590D1F" w:rsidP="00F90EAE">
      <w:pPr>
        <w:jc w:val="both"/>
        <w:rPr>
          <w:color w:val="000000" w:themeColor="text1"/>
          <w:sz w:val="16"/>
          <w:szCs w:val="16"/>
        </w:rPr>
      </w:pPr>
      <w:r w:rsidRPr="00F90EAE">
        <w:rPr>
          <w:color w:val="000000" w:themeColor="text1"/>
          <w:sz w:val="16"/>
          <w:szCs w:val="16"/>
        </w:rPr>
        <w:t>В итоге наступательных боёв, проведённых с 12 по 24 января, войска 1-го, 2-го и 3-го Белорусских, 1-го и 4-го Украинских фронтов нанесли противнику следующие потери по основным видам боевой техники и живой силе:</w:t>
      </w:r>
    </w:p>
    <w:p w14:paraId="03B2FCF9" w14:textId="77777777" w:rsidR="00590D1F" w:rsidRPr="00F90EAE" w:rsidRDefault="00590D1F" w:rsidP="00F90EAE">
      <w:pPr>
        <w:jc w:val="both"/>
        <w:rPr>
          <w:color w:val="000000" w:themeColor="text1"/>
          <w:sz w:val="16"/>
          <w:szCs w:val="16"/>
        </w:rPr>
      </w:pPr>
      <w:r w:rsidRPr="00F90EAE">
        <w:rPr>
          <w:color w:val="000000" w:themeColor="text1"/>
          <w:sz w:val="16"/>
          <w:szCs w:val="16"/>
        </w:rPr>
        <w:t>Уничтожено: самолётов — 442, танков и самоходных орудий — 2.138, орудий — 3.490, миномётов — 2.960, пулемётов— 9.570, автомашин — 24.960. Противник потерял только убитыми — свыше 295.000 солдат и офицеров.</w:t>
      </w:r>
    </w:p>
    <w:p w14:paraId="049F922F" w14:textId="77777777" w:rsidR="00590D1F" w:rsidRPr="00F90EAE" w:rsidRDefault="00590D1F" w:rsidP="00F90EAE">
      <w:pPr>
        <w:jc w:val="both"/>
        <w:rPr>
          <w:color w:val="000000" w:themeColor="text1"/>
          <w:sz w:val="16"/>
          <w:szCs w:val="16"/>
        </w:rPr>
      </w:pPr>
      <w:r w:rsidRPr="00F90EAE">
        <w:rPr>
          <w:color w:val="000000" w:themeColor="text1"/>
          <w:sz w:val="16"/>
          <w:szCs w:val="16"/>
        </w:rPr>
        <w:t>Захвачено: самолётов—150, танков и самоходных орудий — 857, орудий — 4.442, миномётов — 4.426, пулемётов—16.449, автомашин — 9.059.</w:t>
      </w:r>
    </w:p>
    <w:p w14:paraId="78B7D19D" w14:textId="77777777" w:rsidR="00590D1F" w:rsidRPr="00F90EAE" w:rsidRDefault="00590D1F" w:rsidP="00F90EAE">
      <w:pPr>
        <w:jc w:val="both"/>
        <w:rPr>
          <w:color w:val="000000" w:themeColor="text1"/>
          <w:sz w:val="16"/>
          <w:szCs w:val="16"/>
        </w:rPr>
      </w:pPr>
      <w:r w:rsidRPr="00F90EAE">
        <w:rPr>
          <w:color w:val="000000" w:themeColor="text1"/>
          <w:sz w:val="16"/>
          <w:szCs w:val="16"/>
        </w:rPr>
        <w:lastRenderedPageBreak/>
        <w:t>Взято в плен 86.330 немецких солдат и офицеров.</w:t>
      </w:r>
    </w:p>
    <w:p w14:paraId="3EF16B3F" w14:textId="77777777" w:rsidR="00590D1F" w:rsidRPr="00F90EAE" w:rsidRDefault="00590D1F" w:rsidP="00F90EAE">
      <w:pPr>
        <w:jc w:val="both"/>
        <w:rPr>
          <w:color w:val="000000" w:themeColor="text1"/>
          <w:sz w:val="16"/>
          <w:szCs w:val="16"/>
        </w:rPr>
      </w:pPr>
      <w:r w:rsidRPr="00F90EAE">
        <w:rPr>
          <w:color w:val="000000" w:themeColor="text1"/>
          <w:sz w:val="16"/>
          <w:szCs w:val="16"/>
        </w:rPr>
        <w:t>Таким образом, в итоге наступательных боёв пяти фронтов потери противника по основным видам боевой техники и людям составляют пленными и убитыми более 380.000 солдат и офицеров; самолётов — 592, танков и самоходных орудий — 2.995, орудий — 7.932, миномётов — 7.386, пулемётов — 26.019, автомашин — 34.019.» (15021).</w:t>
      </w:r>
    </w:p>
    <w:p w14:paraId="4EAC296D" w14:textId="77777777" w:rsidR="00590D1F" w:rsidRPr="00F90EAE" w:rsidRDefault="00590D1F" w:rsidP="00F90EAE">
      <w:pPr>
        <w:jc w:val="both"/>
        <w:rPr>
          <w:color w:val="000000" w:themeColor="text1"/>
          <w:sz w:val="16"/>
          <w:szCs w:val="16"/>
        </w:rPr>
      </w:pPr>
    </w:p>
    <w:p w14:paraId="3DBE16C3" w14:textId="77777777" w:rsidR="00590D1F" w:rsidRPr="00F90EAE" w:rsidRDefault="00590D1F" w:rsidP="00F90EAE">
      <w:pPr>
        <w:jc w:val="both"/>
        <w:rPr>
          <w:color w:val="000000" w:themeColor="text1"/>
          <w:sz w:val="16"/>
          <w:szCs w:val="16"/>
        </w:rPr>
      </w:pPr>
      <w:r w:rsidRPr="00F90EAE">
        <w:rPr>
          <w:bCs/>
          <w:color w:val="000000" w:themeColor="text1"/>
          <w:sz w:val="16"/>
          <w:szCs w:val="16"/>
        </w:rPr>
        <w:t>26 января</w:t>
      </w:r>
      <w:r w:rsidRPr="00F90EAE">
        <w:rPr>
          <w:color w:val="000000" w:themeColor="text1"/>
          <w:sz w:val="16"/>
          <w:szCs w:val="16"/>
        </w:rPr>
        <w:t xml:space="preserve"> в 1945 году войска 2-го Белорусского фронта вышли на побережье Балтийского моря и отсекли главные силы восточно-прусской группировки немецко-фашистских войск от центральных районов Германии (15021).</w:t>
      </w:r>
    </w:p>
    <w:p w14:paraId="407BFA5A" w14:textId="77777777" w:rsidR="00590D1F" w:rsidRPr="00F90EAE" w:rsidRDefault="00590D1F" w:rsidP="00F90EAE">
      <w:pPr>
        <w:jc w:val="both"/>
        <w:rPr>
          <w:color w:val="000000" w:themeColor="text1"/>
          <w:sz w:val="16"/>
          <w:szCs w:val="16"/>
        </w:rPr>
      </w:pPr>
    </w:p>
    <w:p w14:paraId="6F401B6B" w14:textId="77777777" w:rsidR="00C2313B"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Армия</w:t>
      </w:r>
      <w:r w:rsidRPr="00F90EAE">
        <w:rPr>
          <w:i/>
          <w:iCs/>
          <w:color w:val="000000" w:themeColor="text1"/>
          <w:sz w:val="16"/>
          <w:szCs w:val="16"/>
          <w:lang w:val="en-US"/>
        </w:rPr>
        <w:t>:</w:t>
      </w:r>
    </w:p>
    <w:p w14:paraId="0968D814" w14:textId="77777777" w:rsidR="00C2313B" w:rsidRPr="00F90EAE" w:rsidRDefault="00C2313B" w:rsidP="00F90EAE">
      <w:pPr>
        <w:autoSpaceDE w:val="0"/>
        <w:autoSpaceDN w:val="0"/>
        <w:adjustRightInd w:val="0"/>
        <w:jc w:val="both"/>
        <w:rPr>
          <w:iCs/>
          <w:color w:val="000000" w:themeColor="text1"/>
          <w:sz w:val="16"/>
          <w:szCs w:val="16"/>
          <w:lang w:val="en-US"/>
        </w:rPr>
      </w:pPr>
    </w:p>
    <w:p w14:paraId="163622A7"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26, 1945: The Red Army captures Kattowitz in Upper Silesia (3819).</w:t>
      </w:r>
    </w:p>
    <w:p w14:paraId="35DC1AAA" w14:textId="77777777" w:rsidR="00C2313B" w:rsidRPr="00F90EAE" w:rsidRDefault="00C2313B" w:rsidP="00F90EAE">
      <w:pPr>
        <w:autoSpaceDE w:val="0"/>
        <w:autoSpaceDN w:val="0"/>
        <w:adjustRightInd w:val="0"/>
        <w:jc w:val="both"/>
        <w:rPr>
          <w:color w:val="000000" w:themeColor="text1"/>
          <w:sz w:val="16"/>
          <w:szCs w:val="16"/>
          <w:lang w:val="en-US"/>
        </w:rPr>
      </w:pPr>
    </w:p>
    <w:p w14:paraId="57F7B5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КА освободила Катовице в Верхней Силезии (3819).</w:t>
      </w:r>
    </w:p>
    <w:p w14:paraId="5508AB69" w14:textId="77777777" w:rsidR="00C2313B" w:rsidRPr="00F90EAE" w:rsidRDefault="00C2313B" w:rsidP="00F90EAE">
      <w:pPr>
        <w:autoSpaceDE w:val="0"/>
        <w:autoSpaceDN w:val="0"/>
        <w:adjustRightInd w:val="0"/>
        <w:jc w:val="both"/>
        <w:rPr>
          <w:color w:val="000000" w:themeColor="text1"/>
          <w:sz w:val="16"/>
          <w:szCs w:val="16"/>
        </w:rPr>
      </w:pPr>
    </w:p>
    <w:p w14:paraId="48A4C9F7"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 26 1945 Soviet troops liberate Auschwitz (1050).</w:t>
      </w:r>
    </w:p>
    <w:p w14:paraId="74E4D501" w14:textId="77777777" w:rsidR="00C2313B" w:rsidRPr="00F90EAE" w:rsidRDefault="00C2313B" w:rsidP="00F90EAE">
      <w:pPr>
        <w:autoSpaceDE w:val="0"/>
        <w:autoSpaceDN w:val="0"/>
        <w:adjustRightInd w:val="0"/>
        <w:jc w:val="both"/>
        <w:rPr>
          <w:color w:val="000000" w:themeColor="text1"/>
          <w:sz w:val="16"/>
          <w:szCs w:val="16"/>
          <w:lang w:val="en-US"/>
        </w:rPr>
      </w:pPr>
    </w:p>
    <w:p w14:paraId="09CC84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СА освободила Освенцим (2248,2).</w:t>
      </w:r>
    </w:p>
    <w:p w14:paraId="05F55D60" w14:textId="77777777" w:rsidR="00C2313B" w:rsidRPr="00F90EAE" w:rsidRDefault="00C2313B" w:rsidP="00F90EAE">
      <w:pPr>
        <w:autoSpaceDE w:val="0"/>
        <w:autoSpaceDN w:val="0"/>
        <w:adjustRightInd w:val="0"/>
        <w:jc w:val="both"/>
        <w:rPr>
          <w:color w:val="000000" w:themeColor="text1"/>
          <w:sz w:val="16"/>
          <w:szCs w:val="16"/>
        </w:rPr>
      </w:pPr>
    </w:p>
    <w:p w14:paraId="310BE39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02829FF" w14:textId="77777777" w:rsidR="00C2313B" w:rsidRPr="00F90EAE" w:rsidRDefault="00C2313B" w:rsidP="00F90EAE">
      <w:pPr>
        <w:autoSpaceDE w:val="0"/>
        <w:autoSpaceDN w:val="0"/>
        <w:adjustRightInd w:val="0"/>
        <w:jc w:val="both"/>
        <w:rPr>
          <w:iCs/>
          <w:color w:val="000000" w:themeColor="text1"/>
          <w:sz w:val="16"/>
          <w:szCs w:val="16"/>
        </w:rPr>
      </w:pPr>
    </w:p>
    <w:p w14:paraId="0FDFF0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 января 1945 первый полет выполнил McDonnel XFD-1, но 1 ноября - разбился (3040).</w:t>
      </w:r>
    </w:p>
    <w:p w14:paraId="1D12C3EB" w14:textId="77777777" w:rsidR="00C2313B" w:rsidRPr="00F90EAE" w:rsidRDefault="00C2313B" w:rsidP="00F90EAE">
      <w:pPr>
        <w:autoSpaceDE w:val="0"/>
        <w:autoSpaceDN w:val="0"/>
        <w:adjustRightInd w:val="0"/>
        <w:jc w:val="both"/>
        <w:rPr>
          <w:color w:val="000000" w:themeColor="text1"/>
          <w:sz w:val="16"/>
          <w:szCs w:val="16"/>
        </w:rPr>
      </w:pPr>
    </w:p>
    <w:p w14:paraId="3F155BCE" w14:textId="77777777" w:rsidR="004C221F" w:rsidRPr="00F90EAE" w:rsidRDefault="004C221F" w:rsidP="00F90EAE">
      <w:pPr>
        <w:jc w:val="both"/>
        <w:rPr>
          <w:color w:val="0070C0"/>
          <w:sz w:val="16"/>
          <w:szCs w:val="16"/>
        </w:rPr>
      </w:pPr>
      <w:r w:rsidRPr="00F90EAE">
        <w:rPr>
          <w:color w:val="0070C0"/>
          <w:sz w:val="16"/>
          <w:szCs w:val="16"/>
        </w:rPr>
        <w:t>26 января 1945 британские авианосцы HMS Ameer и HMS Shah поддерживают высадку морских пехотинцев на острове Чедуба у побережья Бирмы (20371).</w:t>
      </w:r>
    </w:p>
    <w:p w14:paraId="316FBAF0" w14:textId="77777777" w:rsidR="004C221F" w:rsidRPr="00F90EAE" w:rsidRDefault="004C221F" w:rsidP="00F90EAE">
      <w:pPr>
        <w:jc w:val="both"/>
        <w:rPr>
          <w:color w:val="0070C0"/>
          <w:sz w:val="16"/>
          <w:szCs w:val="16"/>
        </w:rPr>
      </w:pPr>
    </w:p>
    <w:p w14:paraId="26635F82" w14:textId="77777777" w:rsidR="004C221F" w:rsidRPr="00F90EAE" w:rsidRDefault="004C221F" w:rsidP="00F90EAE">
      <w:pPr>
        <w:jc w:val="both"/>
        <w:rPr>
          <w:color w:val="0070C0"/>
          <w:sz w:val="16"/>
          <w:szCs w:val="16"/>
        </w:rPr>
      </w:pPr>
      <w:r w:rsidRPr="00F90EAE">
        <w:rPr>
          <w:color w:val="0070C0"/>
          <w:sz w:val="16"/>
          <w:szCs w:val="16"/>
        </w:rPr>
        <w:t>26 января 1945 - Первый полет палубного истребителя-бомбардировщика McDonnell FH Phantom. "Фантом" был первым чисто реактивным самолетом, приземлившимся на американский авианосец, и первым реактивным самолетом, развернутым корпусом морской пехоты США. До конца войны было построено всего 62 FH-1. Использовался в Корейской войне (22643).</w:t>
      </w:r>
    </w:p>
    <w:p w14:paraId="4D53BB4B" w14:textId="77777777" w:rsidR="004C221F" w:rsidRPr="00F90EAE" w:rsidRDefault="004C221F" w:rsidP="00F90EAE">
      <w:pPr>
        <w:jc w:val="both"/>
        <w:rPr>
          <w:color w:val="0070C0"/>
          <w:sz w:val="16"/>
          <w:szCs w:val="16"/>
        </w:rPr>
      </w:pPr>
    </w:p>
    <w:p w14:paraId="73F2D13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550B8FE" w14:textId="77777777" w:rsidR="00C2313B" w:rsidRPr="00F90EAE" w:rsidRDefault="00C2313B" w:rsidP="00F90EAE">
      <w:pPr>
        <w:autoSpaceDE w:val="0"/>
        <w:autoSpaceDN w:val="0"/>
        <w:adjustRightInd w:val="0"/>
        <w:jc w:val="both"/>
        <w:rPr>
          <w:iCs/>
          <w:color w:val="000000" w:themeColor="text1"/>
          <w:sz w:val="16"/>
          <w:szCs w:val="16"/>
        </w:rPr>
      </w:pPr>
    </w:p>
    <w:p w14:paraId="44D5C0E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января 1945 вышло Распоряжение ГКО № 7403 [О мерах по возмещению мазута, недоданного Главнефтеснабу заводами НКНП.] (7302, 1-2).</w:t>
      </w:r>
    </w:p>
    <w:p w14:paraId="5756A64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235C0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вышло Постановление ГКО № 7404 О мерах обеспечения Горловского азотного завода Наркомхимпрома коксовым газом. РГАНИР, Фонд ГКО, д. 360, лл. 3-4 (11012).</w:t>
      </w:r>
    </w:p>
    <w:p w14:paraId="5322AAEC" w14:textId="77777777" w:rsidR="00C2313B" w:rsidRPr="00F90EAE" w:rsidRDefault="00C2313B" w:rsidP="00F90EAE">
      <w:pPr>
        <w:autoSpaceDE w:val="0"/>
        <w:autoSpaceDN w:val="0"/>
        <w:adjustRightInd w:val="0"/>
        <w:jc w:val="both"/>
        <w:rPr>
          <w:color w:val="000000" w:themeColor="text1"/>
          <w:sz w:val="16"/>
          <w:szCs w:val="16"/>
        </w:rPr>
      </w:pPr>
    </w:p>
    <w:p w14:paraId="7403FD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вышло Распоряжение ГКО № 7405. Об отмене решения о выделении Днепрострою 2970 кв. м жилой площади. РГАНИР, Фонд ГКО, д. 360, лл. 5 (11012).</w:t>
      </w:r>
    </w:p>
    <w:p w14:paraId="581FC759" w14:textId="77777777" w:rsidR="00C2313B" w:rsidRPr="00F90EAE" w:rsidRDefault="00C2313B" w:rsidP="00F90EAE">
      <w:pPr>
        <w:autoSpaceDE w:val="0"/>
        <w:autoSpaceDN w:val="0"/>
        <w:adjustRightInd w:val="0"/>
        <w:jc w:val="both"/>
        <w:rPr>
          <w:color w:val="000000" w:themeColor="text1"/>
          <w:sz w:val="16"/>
          <w:szCs w:val="16"/>
        </w:rPr>
      </w:pPr>
    </w:p>
    <w:p w14:paraId="562F8AC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января 1945 вышло Распоряжение ГКО № 7406 [Об обмене самодвижущимися электростанциями между НКО и НКНП.] (7302, 6).</w:t>
      </w:r>
    </w:p>
    <w:p w14:paraId="78EAFDC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A15C7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вышло Распоряжение ГКО № 7407. О мерах по обеспечению поставки ручных гранат НКО в январе-феврале 1945 г. РГАНИР, Фонд ГКО, д. 360, лл. 7-8, 9-10 (11012).</w:t>
      </w:r>
    </w:p>
    <w:p w14:paraId="609A2DB5" w14:textId="77777777" w:rsidR="00C2313B" w:rsidRPr="00F90EAE" w:rsidRDefault="00C2313B" w:rsidP="00F90EAE">
      <w:pPr>
        <w:autoSpaceDE w:val="0"/>
        <w:autoSpaceDN w:val="0"/>
        <w:adjustRightInd w:val="0"/>
        <w:jc w:val="both"/>
        <w:rPr>
          <w:color w:val="000000" w:themeColor="text1"/>
          <w:sz w:val="16"/>
          <w:szCs w:val="16"/>
        </w:rPr>
      </w:pPr>
    </w:p>
    <w:p w14:paraId="15D86E3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января 1945 вышло Постановление ГКО № 7408 [О мерах по расширению сырьевой базы производства металлического урана.] (Д. 260, 11).</w:t>
      </w:r>
    </w:p>
    <w:p w14:paraId="2B0A132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C8E3F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было принято Постановление ГКО N 7408 в соответствии с которым в Болгарии организовали разработку и разведку урановый руды из месторождения Готен. Поступало до 1.5 тон в неделю. С 1946, когда нашли месторождения в СССР, добычу прекратили (3398,47).</w:t>
      </w:r>
    </w:p>
    <w:p w14:paraId="38353364" w14:textId="77777777" w:rsidR="00C2313B" w:rsidRPr="00F90EAE" w:rsidRDefault="00C2313B" w:rsidP="00F90EAE">
      <w:pPr>
        <w:autoSpaceDE w:val="0"/>
        <w:autoSpaceDN w:val="0"/>
        <w:adjustRightInd w:val="0"/>
        <w:jc w:val="both"/>
        <w:rPr>
          <w:color w:val="000000" w:themeColor="text1"/>
          <w:sz w:val="16"/>
          <w:szCs w:val="16"/>
        </w:rPr>
      </w:pPr>
    </w:p>
    <w:p w14:paraId="6C0153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вышло Распоряжение ГКО № 7409. О мерах по восстановлению Куриловской плотины по р. Суре. РГАНИР, Фонд ГКО, д. 360, лл. 12-13 (11012).</w:t>
      </w:r>
    </w:p>
    <w:p w14:paraId="09FE7C34" w14:textId="77777777" w:rsidR="00C2313B" w:rsidRPr="00F90EAE" w:rsidRDefault="00C2313B" w:rsidP="00F90EAE">
      <w:pPr>
        <w:autoSpaceDE w:val="0"/>
        <w:autoSpaceDN w:val="0"/>
        <w:adjustRightInd w:val="0"/>
        <w:jc w:val="both"/>
        <w:rPr>
          <w:color w:val="000000" w:themeColor="text1"/>
          <w:sz w:val="16"/>
          <w:szCs w:val="16"/>
        </w:rPr>
      </w:pPr>
    </w:p>
    <w:p w14:paraId="02EF92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года - Постановление ГКО о проведении переговоров с правительством Болгарии о создании советско-болгарского акционерного общества для разведки и добычи урановых руд (10549).</w:t>
      </w:r>
    </w:p>
    <w:p w14:paraId="3BC6FC5F" w14:textId="77777777" w:rsidR="00C2313B" w:rsidRPr="00F90EAE" w:rsidRDefault="00C2313B" w:rsidP="00F90EAE">
      <w:pPr>
        <w:autoSpaceDE w:val="0"/>
        <w:autoSpaceDN w:val="0"/>
        <w:adjustRightInd w:val="0"/>
        <w:jc w:val="both"/>
        <w:rPr>
          <w:color w:val="000000" w:themeColor="text1"/>
          <w:sz w:val="16"/>
          <w:szCs w:val="16"/>
        </w:rPr>
      </w:pPr>
    </w:p>
    <w:p w14:paraId="5BCC9B4F" w14:textId="77777777" w:rsidR="00590D1F" w:rsidRPr="00F90EAE" w:rsidRDefault="00590D1F" w:rsidP="00F90EAE">
      <w:pPr>
        <w:jc w:val="both"/>
        <w:rPr>
          <w:color w:val="000000" w:themeColor="text1"/>
          <w:sz w:val="16"/>
          <w:szCs w:val="16"/>
        </w:rPr>
      </w:pPr>
      <w:r w:rsidRPr="00F90EAE">
        <w:rPr>
          <w:bCs/>
          <w:color w:val="000000" w:themeColor="text1"/>
          <w:sz w:val="16"/>
          <w:szCs w:val="16"/>
        </w:rPr>
        <w:t>27 января</w:t>
      </w:r>
      <w:r w:rsidRPr="00F90EAE">
        <w:rPr>
          <w:color w:val="000000" w:themeColor="text1"/>
          <w:sz w:val="16"/>
          <w:szCs w:val="16"/>
        </w:rPr>
        <w:t xml:space="preserve"> в 1945 году принято Постановление ГКО № 7408, в соответствии с которым в Болгарии организованы разведка и добыча урановой руды на месторождении Готен. Поступление руды из этого месторождения на советские обогатительные предприятия составляло до 1,5 тонн в неделю. С 1946 г., после открытия подобных месторождений в СССР, работы в Болгарии продолжались лишь для дезинформации американцев (15022).</w:t>
      </w:r>
    </w:p>
    <w:p w14:paraId="536F0B87" w14:textId="77777777" w:rsidR="00590D1F" w:rsidRPr="00F90EAE" w:rsidRDefault="00590D1F" w:rsidP="00F90EAE">
      <w:pPr>
        <w:jc w:val="both"/>
        <w:rPr>
          <w:color w:val="000000" w:themeColor="text1"/>
          <w:sz w:val="16"/>
          <w:szCs w:val="16"/>
        </w:rPr>
      </w:pPr>
    </w:p>
    <w:p w14:paraId="661A0E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1945 г. по заключению командующего Балтийским флотом адмирала В. Ф. Трибуц Народный комиссар ВМФ Н. Г. Кузнецов приказом от принял РЛС «Гюйс-1М» на вооружение (11026).</w:t>
      </w:r>
    </w:p>
    <w:p w14:paraId="109C40BC" w14:textId="77777777" w:rsidR="00C2313B" w:rsidRPr="00F90EAE" w:rsidRDefault="00C2313B" w:rsidP="00F90EAE">
      <w:pPr>
        <w:autoSpaceDE w:val="0"/>
        <w:autoSpaceDN w:val="0"/>
        <w:adjustRightInd w:val="0"/>
        <w:jc w:val="both"/>
        <w:rPr>
          <w:color w:val="000000" w:themeColor="text1"/>
          <w:sz w:val="16"/>
          <w:szCs w:val="16"/>
        </w:rPr>
      </w:pPr>
    </w:p>
    <w:p w14:paraId="556C29BD" w14:textId="77777777" w:rsidR="00670896" w:rsidRPr="00F90EAE" w:rsidRDefault="00670896" w:rsidP="00F90EAE">
      <w:pPr>
        <w:pStyle w:val="ae"/>
        <w:shd w:val="clear" w:color="auto" w:fill="FFFFFF"/>
        <w:spacing w:before="0" w:after="0"/>
        <w:jc w:val="both"/>
        <w:rPr>
          <w:color w:val="000000" w:themeColor="text1"/>
          <w:sz w:val="16"/>
          <w:szCs w:val="16"/>
        </w:rPr>
      </w:pPr>
      <w:r w:rsidRPr="00F90EAE">
        <w:rPr>
          <w:color w:val="000000" w:themeColor="text1"/>
          <w:sz w:val="16"/>
          <w:szCs w:val="16"/>
        </w:rPr>
        <w:t>27 января 1945 года нарком ВМФ принял решение № 014 и приказал «специалистам управления кораблестроения… разработать полный комплект основных чертежей подлодки» по типу «U-250», «в 1945 году спроектировать эскизный проект ПЛ среднего водоизмещения и представить» ему на рассмотрение (19841).</w:t>
      </w:r>
    </w:p>
    <w:p w14:paraId="318A0F67" w14:textId="77777777" w:rsidR="00670896" w:rsidRPr="00F90EAE" w:rsidRDefault="00670896" w:rsidP="00F90EAE">
      <w:pPr>
        <w:pStyle w:val="ae"/>
        <w:shd w:val="clear" w:color="auto" w:fill="FFFFFF"/>
        <w:spacing w:before="0" w:after="0"/>
        <w:jc w:val="both"/>
        <w:rPr>
          <w:color w:val="000000" w:themeColor="text1"/>
          <w:sz w:val="16"/>
          <w:szCs w:val="16"/>
        </w:rPr>
      </w:pPr>
    </w:p>
    <w:p w14:paraId="187DB0C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8F43570" w14:textId="77777777" w:rsidR="00C2313B" w:rsidRPr="00F90EAE" w:rsidRDefault="00C2313B" w:rsidP="00F90EAE">
      <w:pPr>
        <w:autoSpaceDE w:val="0"/>
        <w:autoSpaceDN w:val="0"/>
        <w:adjustRightInd w:val="0"/>
        <w:jc w:val="both"/>
        <w:rPr>
          <w:iCs/>
          <w:color w:val="000000" w:themeColor="text1"/>
          <w:sz w:val="16"/>
          <w:szCs w:val="16"/>
        </w:rPr>
      </w:pPr>
    </w:p>
    <w:p w14:paraId="3BB2CD6C" w14:textId="77777777" w:rsidR="00590D1F" w:rsidRPr="00F90EAE" w:rsidRDefault="00590D1F" w:rsidP="00F90EAE">
      <w:pPr>
        <w:jc w:val="both"/>
        <w:rPr>
          <w:color w:val="000000" w:themeColor="text1"/>
          <w:sz w:val="16"/>
          <w:szCs w:val="16"/>
        </w:rPr>
      </w:pPr>
      <w:r w:rsidRPr="00F90EAE">
        <w:rPr>
          <w:bCs/>
          <w:color w:val="000000" w:themeColor="text1"/>
          <w:sz w:val="16"/>
          <w:szCs w:val="16"/>
        </w:rPr>
        <w:t>27 января</w:t>
      </w:r>
      <w:r w:rsidRPr="00F90EAE">
        <w:rPr>
          <w:color w:val="000000" w:themeColor="text1"/>
          <w:sz w:val="16"/>
          <w:szCs w:val="16"/>
        </w:rPr>
        <w:t xml:space="preserve"> в 1945 году оперативная сводка Совинформбюро:</w:t>
      </w:r>
    </w:p>
    <w:p w14:paraId="557F89DD" w14:textId="77777777" w:rsidR="00590D1F" w:rsidRPr="00F90EAE" w:rsidRDefault="00590D1F" w:rsidP="00F90EAE">
      <w:pPr>
        <w:jc w:val="both"/>
        <w:rPr>
          <w:color w:val="000000" w:themeColor="text1"/>
          <w:sz w:val="16"/>
          <w:szCs w:val="16"/>
        </w:rPr>
      </w:pPr>
      <w:r w:rsidRPr="00F90EAE">
        <w:rPr>
          <w:color w:val="000000" w:themeColor="text1"/>
          <w:sz w:val="16"/>
          <w:szCs w:val="16"/>
        </w:rPr>
        <w:t>«В течение 27 января на Кенигсбергском направлении наши войска, продолжая наступление, овладели городом и железнодорожным узлом Гердауен, а также с боями заняли более 300 других населённых пунктов, среди которых крупные населённые пункты Постниккен, Шааксвитте, Галлгарбен, Повунден, Кнеппельсдорф, Нойхаузен (7 километров северо-восточнее Кенигсберга), Штайнбек, Борхерсдорф, Томсдорф, Бланкенау, Алленау, Бартхерсдорф, Фриденберг, Дитрихсдорф.</w:t>
      </w:r>
    </w:p>
    <w:p w14:paraId="18D8D721"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2-го и 3-го Белорусских фронтов завершили прорыв мощной, долговременной, глубоко эшелонированной обороны противника в районе Мазурских озёр, считавшейся у немцев со времён первой мировой войны неприступной системой обороны, и овладели городами Бартен, Дренгфурт, Растенбург, Райн, Николайкен, Рудшанни, Пуппен, Бабинтен, Теервиш, а также с боями заняли более 250 других населённых пунктов.</w:t>
      </w:r>
    </w:p>
    <w:p w14:paraId="51C1B96C" w14:textId="77777777" w:rsidR="00590D1F" w:rsidRPr="00F90EAE" w:rsidRDefault="00590D1F" w:rsidP="00F90EAE">
      <w:pPr>
        <w:jc w:val="both"/>
        <w:rPr>
          <w:color w:val="000000" w:themeColor="text1"/>
          <w:sz w:val="16"/>
          <w:szCs w:val="16"/>
        </w:rPr>
      </w:pPr>
      <w:r w:rsidRPr="00F90EAE">
        <w:rPr>
          <w:color w:val="000000" w:themeColor="text1"/>
          <w:sz w:val="16"/>
          <w:szCs w:val="16"/>
        </w:rPr>
        <w:t>На аэродроме в районе Мариенбурга войска 2-го Белорусского фронта захватили 34 немецких самолёта.</w:t>
      </w:r>
    </w:p>
    <w:p w14:paraId="0FF33310"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города Алленштайн наши войска отбивали контратаки крупных сил пехоты и танков противника, пытавшегося пробиться на запад, и нанесли ему большой урон в живой силе и технике.</w:t>
      </w:r>
    </w:p>
    <w:p w14:paraId="7FFAA395" w14:textId="77777777" w:rsidR="00590D1F" w:rsidRPr="00F90EAE" w:rsidRDefault="00590D1F" w:rsidP="00F90EAE">
      <w:pPr>
        <w:jc w:val="both"/>
        <w:rPr>
          <w:color w:val="000000" w:themeColor="text1"/>
          <w:sz w:val="16"/>
          <w:szCs w:val="16"/>
        </w:rPr>
      </w:pPr>
      <w:r w:rsidRPr="00F90EAE">
        <w:rPr>
          <w:color w:val="000000" w:themeColor="text1"/>
          <w:sz w:val="16"/>
          <w:szCs w:val="16"/>
        </w:rPr>
        <w:t>Южнее города Кульм наши войска с боем форсировали реку Висла и, захватив плацдарм на западном берегу реки, соединились с нашими войсками, действующими севернее города Быдгощ (Бромберг). Наши войска окружили гарнизон противника в городе Торунь и вели бои по его уничтожению.</w:t>
      </w:r>
    </w:p>
    <w:p w14:paraId="4D6282DD" w14:textId="77777777" w:rsidR="00590D1F" w:rsidRPr="00F90EAE" w:rsidRDefault="00590D1F" w:rsidP="00F90EAE">
      <w:pPr>
        <w:jc w:val="both"/>
        <w:rPr>
          <w:color w:val="000000" w:themeColor="text1"/>
          <w:sz w:val="16"/>
          <w:szCs w:val="16"/>
        </w:rPr>
      </w:pPr>
      <w:r w:rsidRPr="00F90EAE">
        <w:rPr>
          <w:color w:val="000000" w:themeColor="text1"/>
          <w:sz w:val="16"/>
          <w:szCs w:val="16"/>
        </w:rPr>
        <w:t>К северу, западу и югу от города Познань войска 1-го Белорусского фронта, продолжая наступление, овладели городами Кольмар, Будзин, Риченвальде, Оборники, Замтер, Бук, Стэншев, Шримм, Чемпин, Дольциг, а также с боями заняли более 500 других населённых пунктов. Войска фронта завершили окружение группировки противника в городе Познань и вели бои по её уничтожению.</w:t>
      </w:r>
    </w:p>
    <w:p w14:paraId="57433C50"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27 января овладели городами Сосновец, Бендзин, Домброва Гурне, Челядзь и Мысловице - крупными центрами Домбровского угольного района, а также с боями заняли на территории Польши города Кобылин, Бояново, Освенцим и на территории Германии города Волау, Дихернфурт, Обернигк.</w:t>
      </w:r>
    </w:p>
    <w:p w14:paraId="496DB5B5" w14:textId="77777777" w:rsidR="00590D1F" w:rsidRPr="00F90EAE" w:rsidRDefault="00590D1F" w:rsidP="00F90EAE">
      <w:pPr>
        <w:jc w:val="both"/>
        <w:rPr>
          <w:color w:val="000000" w:themeColor="text1"/>
          <w:sz w:val="16"/>
          <w:szCs w:val="16"/>
        </w:rPr>
      </w:pPr>
      <w:r w:rsidRPr="00F90EAE">
        <w:rPr>
          <w:color w:val="000000" w:themeColor="text1"/>
          <w:sz w:val="16"/>
          <w:szCs w:val="16"/>
        </w:rPr>
        <w:lastRenderedPageBreak/>
        <w:t>Войска 4-го Украинского фронта, продолжая наступление в трудных условиях горно-лесистой местности в полосе Карпат, 27 января с боем овладели городами Вадовице, Спишска Нова Вес, Спишска Стара Вес и Левоча — важными узлами коммуникаций и опорными пунктами обороны немцев, а также с боями заняли более 50 других населённых пунктов.</w:t>
      </w:r>
    </w:p>
    <w:p w14:paraId="10E0C922" w14:textId="77777777" w:rsidR="00590D1F" w:rsidRPr="00F90EAE" w:rsidRDefault="00590D1F" w:rsidP="00F90EAE">
      <w:pPr>
        <w:jc w:val="both"/>
        <w:rPr>
          <w:color w:val="000000" w:themeColor="text1"/>
          <w:sz w:val="16"/>
          <w:szCs w:val="16"/>
        </w:rPr>
      </w:pPr>
      <w:r w:rsidRPr="00F90EAE">
        <w:rPr>
          <w:color w:val="000000" w:themeColor="text1"/>
          <w:sz w:val="16"/>
          <w:szCs w:val="16"/>
        </w:rPr>
        <w:t>В Будапеште наши войска вели бои по уничтожению окружённого гарнизона противника и заняли 10 кварталов.</w:t>
      </w:r>
    </w:p>
    <w:p w14:paraId="1A90D1CE"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Будапешта наши войска успешно отбили атаки пехоты и танков противника и в результате предпринятых контратак заняли несколько населённых пунктов, значительно улучшив свои позиции.</w:t>
      </w:r>
    </w:p>
    <w:p w14:paraId="40CD8502" w14:textId="77777777" w:rsidR="00590D1F" w:rsidRPr="00F90EAE" w:rsidRDefault="00590D1F" w:rsidP="00F90EAE">
      <w:pPr>
        <w:jc w:val="both"/>
        <w:rPr>
          <w:color w:val="000000" w:themeColor="text1"/>
          <w:sz w:val="16"/>
          <w:szCs w:val="16"/>
        </w:rPr>
      </w:pPr>
      <w:r w:rsidRPr="00F90EAE">
        <w:rPr>
          <w:color w:val="000000" w:themeColor="text1"/>
          <w:sz w:val="16"/>
          <w:szCs w:val="16"/>
        </w:rPr>
        <w:t>За 26 января наши войска на всех фронтах подбили и уничтожили 42 немецких танка, из них 29 танков юго-западнее Будапешта. В воздушных боях и огнём зенитной артиллерии сбито 36 самолётов противника.</w:t>
      </w:r>
    </w:p>
    <w:p w14:paraId="277467E8" w14:textId="77777777" w:rsidR="00590D1F" w:rsidRPr="00F90EAE" w:rsidRDefault="00590D1F" w:rsidP="00F90EAE">
      <w:pPr>
        <w:jc w:val="both"/>
        <w:rPr>
          <w:color w:val="000000" w:themeColor="text1"/>
          <w:sz w:val="16"/>
          <w:szCs w:val="16"/>
        </w:rPr>
      </w:pPr>
      <w:r w:rsidRPr="00F90EAE">
        <w:rPr>
          <w:color w:val="000000" w:themeColor="text1"/>
          <w:sz w:val="16"/>
          <w:szCs w:val="16"/>
        </w:rPr>
        <w:t>На Кенигсбергском направлении части Н-ского соединения с боями преодолели лесной массив западнее реки Дайме. Стремительным ударом наши бойцы заняли населённый пункт Нойхаузен, находящийся в 7 километрах северо-восточнее Кенигсберга. Другие наши части, наступающие вдоль южного берега реки Прегель, выбили гитлеровцев из ряда железобетонных сооружений и овладели населённым пунктом Штайнбек, расположенным в 10 километрах восточнее Кенигсберга.</w:t>
      </w:r>
    </w:p>
    <w:p w14:paraId="37C30261"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города Инстербург наши войска переправились через реку Омет-Флисс и с боями овладели городом Гердауен — сильно укрепленным пунктом обороны немцев. Все попытки противника контратаками задержать продвижение советских частей успеха не имели. Наши войска перемалывают живую силу и технику врага и настойчиво продвигаются вперед. По неполным данным, за день уничтожено до 3 тысяч немецких солдат и офицеров. Захвачены трофеи, в числе которых 156 орудий и 10 железнодорожных эшелонов (400 вагонов) с различными грузами. Взято в плен 660 немцев.</w:t>
      </w:r>
    </w:p>
    <w:p w14:paraId="4F3F0793"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2-го и 3-го Белорусских фронтов продолжали успешное наступление.</w:t>
      </w:r>
    </w:p>
    <w:p w14:paraId="40125F0E" w14:textId="77777777" w:rsidR="00590D1F" w:rsidRPr="00F90EAE" w:rsidRDefault="00590D1F" w:rsidP="00F90EAE">
      <w:pPr>
        <w:jc w:val="both"/>
        <w:rPr>
          <w:color w:val="000000" w:themeColor="text1"/>
          <w:sz w:val="16"/>
          <w:szCs w:val="16"/>
        </w:rPr>
      </w:pPr>
      <w:r w:rsidRPr="00F90EAE">
        <w:rPr>
          <w:color w:val="000000" w:themeColor="text1"/>
          <w:sz w:val="16"/>
          <w:szCs w:val="16"/>
        </w:rPr>
        <w:t>Противник, опираясь на мощные укрепления, запирающие проходы между озерами, оказывал яростное сопротивление. Немцы усовершенствовали глубоко эшелонированную оборину в районе Мазурских озёр, считавшуюся неприступной ещё со времени первой мировой войны. Эта система обороны противника состояла из артиллерийских и пулемётных железобетонных дотов, противотанковых рвов шириной до 5 и глубиной до 3 метров, огромного количества противотанковых и противопехотных мин. Наши войска сегодня штурмом заняли город Райн и, стремительно продвинувшись вперёд на 20 километров, овладели важным узлом коммуникаций городом Растенбург. Одновременно наши части выбили немцев из ряда других сильно укреплённых городов и населенных пунктов. Таким образом, советские войска разгромили и прорвали на всю глубину чрезвычайно мощную оборону немцев в районе Мазурских озёр. Места боёв усеяны трупами гитлеровцев, разбитым и брошенным вооружением противника.</w:t>
      </w:r>
    </w:p>
    <w:p w14:paraId="1BD56EF6"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Белорусского фронта с боями продвигались вперёд. Советские танкисты и пехотинцы, овладев плацдармами на западном берегу реки Варта, совершили стремительный обходный манёвр и заняли города Замтер, Бук, Стэншев. Тем самым перерезаны все шоссейные и железные дороги, идущие из города Познань в Германию. Другие наши части плотным кольцом окружили в Познани крупные силы противника и ведут бои по ликвидации попавшей в «котёл» группировки немцев. Противник несёт большие потери. Только на юго-западных подступах к городу бойцы Н-ской части истребили свыше 800 гитлеровцев и взяли 700 пленных.</w:t>
      </w:r>
    </w:p>
    <w:p w14:paraId="660E82CB" w14:textId="77777777" w:rsidR="00590D1F" w:rsidRPr="00F90EAE" w:rsidRDefault="00590D1F" w:rsidP="00F90EAE">
      <w:pPr>
        <w:jc w:val="both"/>
        <w:rPr>
          <w:color w:val="000000" w:themeColor="text1"/>
          <w:sz w:val="16"/>
          <w:szCs w:val="16"/>
        </w:rPr>
      </w:pPr>
      <w:r w:rsidRPr="00F90EAE">
        <w:rPr>
          <w:color w:val="000000" w:themeColor="text1"/>
          <w:sz w:val="16"/>
          <w:szCs w:val="16"/>
        </w:rPr>
        <w:t>Наши войска в одном районе освободили 1.200 советских граждан, насильно угнанных немцами на каторжные работы.</w:t>
      </w:r>
    </w:p>
    <w:p w14:paraId="55BCA520"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продолжали развивать успешное наступление. Противник пытался любой ценой удержать в своих руках Домбровский угольный бассейн, в котором сосредоточено много предприятий, снабжавших немецкую армию техникой, вооружением, боеприпасами и искусственным бензином. За последние дни немцы перебросили в этот район крупные силы танков и пехоты. Особенно упорные бои произошли на подступах к городу Сосновец. В течение дня гитлеровцы предприняли одиннадцать яростных контратак. Отдельные населенные пункты по несколько раз переходили из рук в руки. Измотав врага, наши войска нанесли ему сокрушительный удар. Советские стрелковые и танковые части сегодня ворвались в город Сосновец и в результате ожесточённого боя овладели им. Заняты также Домброва Гурне, Бендзин и другие города Домбровского угольного бассейна.</w:t>
      </w:r>
    </w:p>
    <w:p w14:paraId="41178E5F" w14:textId="77777777" w:rsidR="00590D1F" w:rsidRPr="00F90EAE" w:rsidRDefault="00590D1F" w:rsidP="00F90EAE">
      <w:pPr>
        <w:jc w:val="both"/>
        <w:rPr>
          <w:color w:val="000000" w:themeColor="text1"/>
          <w:sz w:val="16"/>
          <w:szCs w:val="16"/>
        </w:rPr>
      </w:pPr>
      <w:r w:rsidRPr="00F90EAE">
        <w:rPr>
          <w:color w:val="000000" w:themeColor="text1"/>
          <w:sz w:val="16"/>
          <w:szCs w:val="16"/>
        </w:rPr>
        <w:t>За день боёв войска фронта взяли в плен более 1.000 солдат и офицеров противника. Взят в плен начальник штаба 42-го немецкого армейского корпуса полковник Драбих-Вехтер. На одном из аэродромов захвачено 15 немецких самолётов.</w:t>
      </w:r>
    </w:p>
    <w:p w14:paraId="3FBDB2DF" w14:textId="77777777" w:rsidR="00590D1F" w:rsidRPr="00F90EAE" w:rsidRDefault="00590D1F" w:rsidP="00F90EAE">
      <w:pPr>
        <w:jc w:val="both"/>
        <w:rPr>
          <w:color w:val="000000" w:themeColor="text1"/>
          <w:sz w:val="16"/>
          <w:szCs w:val="16"/>
        </w:rPr>
      </w:pPr>
      <w:r w:rsidRPr="00F90EAE">
        <w:rPr>
          <w:color w:val="000000" w:themeColor="text1"/>
          <w:sz w:val="16"/>
          <w:szCs w:val="16"/>
        </w:rPr>
        <w:t>Пленный командир 10-й немецкой моторизованной дивизии полковник Виаль заявил: «На второй день наступления русских наша связь с соседними дивизиями и высшими штабами была потеряна. Немецкие войска были деморализованы и беспорядочно отступали. Однако русские танки настигали наши колонны, окружали и уничтожали их. Уже на третий день наступления 10-я мотодивизия была разбита. Такая же участь постигла и действующие по соседству с нами немецкие дивизии. Нельзя не признать, что планы русского командования были хорошо продуманы и блестяще осуществлены» (15022).</w:t>
      </w:r>
    </w:p>
    <w:p w14:paraId="6B83DF1D" w14:textId="77777777" w:rsidR="00590D1F" w:rsidRPr="00F90EAE" w:rsidRDefault="00590D1F" w:rsidP="00F90EAE">
      <w:pPr>
        <w:jc w:val="both"/>
        <w:rPr>
          <w:color w:val="000000" w:themeColor="text1"/>
          <w:sz w:val="16"/>
          <w:szCs w:val="16"/>
        </w:rPr>
      </w:pPr>
    </w:p>
    <w:p w14:paraId="3D134E07" w14:textId="77777777" w:rsidR="00590D1F" w:rsidRPr="00F90EAE" w:rsidRDefault="00590D1F" w:rsidP="00F90EAE">
      <w:pPr>
        <w:jc w:val="both"/>
        <w:rPr>
          <w:color w:val="000000" w:themeColor="text1"/>
          <w:sz w:val="16"/>
          <w:szCs w:val="16"/>
        </w:rPr>
      </w:pPr>
      <w:r w:rsidRPr="00F90EAE">
        <w:rPr>
          <w:bCs/>
          <w:color w:val="000000" w:themeColor="text1"/>
          <w:sz w:val="16"/>
          <w:szCs w:val="16"/>
        </w:rPr>
        <w:t>27 января</w:t>
      </w:r>
      <w:r w:rsidRPr="00F90EAE">
        <w:rPr>
          <w:color w:val="000000" w:themeColor="text1"/>
          <w:sz w:val="16"/>
          <w:szCs w:val="16"/>
        </w:rPr>
        <w:t xml:space="preserve"> в 1945 году войска 3-го Белорусского фронта захватили подземные бетонированные убежища ставки Гитлера в Растенбурге (15022).</w:t>
      </w:r>
    </w:p>
    <w:p w14:paraId="28A52B00" w14:textId="77777777" w:rsidR="00590D1F" w:rsidRPr="00F90EAE" w:rsidRDefault="00590D1F" w:rsidP="00F90EAE">
      <w:pPr>
        <w:jc w:val="both"/>
        <w:rPr>
          <w:color w:val="000000" w:themeColor="text1"/>
          <w:sz w:val="16"/>
          <w:szCs w:val="16"/>
        </w:rPr>
      </w:pPr>
    </w:p>
    <w:p w14:paraId="636F6B46" w14:textId="77777777" w:rsidR="00590D1F" w:rsidRPr="00F90EAE" w:rsidRDefault="00590D1F" w:rsidP="00F90EAE">
      <w:pPr>
        <w:jc w:val="both"/>
        <w:rPr>
          <w:color w:val="000000" w:themeColor="text1"/>
          <w:sz w:val="16"/>
          <w:szCs w:val="16"/>
        </w:rPr>
      </w:pPr>
      <w:r w:rsidRPr="00F90EAE">
        <w:rPr>
          <w:bCs/>
          <w:color w:val="000000" w:themeColor="text1"/>
          <w:sz w:val="16"/>
          <w:szCs w:val="16"/>
        </w:rPr>
        <w:t>27 января</w:t>
      </w:r>
      <w:r w:rsidRPr="00F90EAE">
        <w:rPr>
          <w:color w:val="000000" w:themeColor="text1"/>
          <w:sz w:val="16"/>
          <w:szCs w:val="16"/>
        </w:rPr>
        <w:t xml:space="preserve"> в 1945 году завершилась Инстербургско-Кенигсбергская операция: войска 3-го Белорусского фронта продвинулись на глубину до 130 км. Войска правого крыла 1-го Белорусского фронта соединились на левом берегу реки Вислы с войсками 2-го Белорусского фронта, действовавшими севернее города Бромберг (15022).</w:t>
      </w:r>
    </w:p>
    <w:p w14:paraId="4473592F" w14:textId="77777777" w:rsidR="00590D1F" w:rsidRPr="00F90EAE" w:rsidRDefault="00590D1F" w:rsidP="00F90EAE">
      <w:pPr>
        <w:jc w:val="both"/>
        <w:rPr>
          <w:color w:val="000000" w:themeColor="text1"/>
          <w:sz w:val="16"/>
          <w:szCs w:val="16"/>
        </w:rPr>
      </w:pPr>
    </w:p>
    <w:p w14:paraId="18314A7A"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27, 1945: German forces evacuate the vital coal mining and industrial district of Upper Silesia, a heavy loss for the remaining German war effort (3819).</w:t>
      </w:r>
    </w:p>
    <w:p w14:paraId="3602DB19" w14:textId="77777777" w:rsidR="00C2313B" w:rsidRPr="00F90EAE" w:rsidRDefault="00C2313B" w:rsidP="00F90EAE">
      <w:pPr>
        <w:autoSpaceDE w:val="0"/>
        <w:autoSpaceDN w:val="0"/>
        <w:adjustRightInd w:val="0"/>
        <w:jc w:val="both"/>
        <w:rPr>
          <w:color w:val="000000" w:themeColor="text1"/>
          <w:sz w:val="16"/>
          <w:szCs w:val="16"/>
          <w:lang w:val="en-US"/>
        </w:rPr>
      </w:pPr>
    </w:p>
    <w:p w14:paraId="269C31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 января 1944 немецкие войска отошли из Верхней Силезии (3819).</w:t>
      </w:r>
    </w:p>
    <w:p w14:paraId="512169FB" w14:textId="77777777" w:rsidR="00C2313B" w:rsidRPr="00F90EAE" w:rsidRDefault="00C2313B" w:rsidP="00F90EAE">
      <w:pPr>
        <w:autoSpaceDE w:val="0"/>
        <w:autoSpaceDN w:val="0"/>
        <w:adjustRightInd w:val="0"/>
        <w:jc w:val="both"/>
        <w:rPr>
          <w:color w:val="000000" w:themeColor="text1"/>
          <w:sz w:val="16"/>
          <w:szCs w:val="16"/>
        </w:rPr>
      </w:pPr>
    </w:p>
    <w:p w14:paraId="09EBA94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января 1945 советскими войсками освобождены узники концлагеря Освенцим (4962).</w:t>
      </w:r>
    </w:p>
    <w:p w14:paraId="30CA2CF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72BB23B" w14:textId="77777777" w:rsidR="00590D1F" w:rsidRPr="00F90EAE" w:rsidRDefault="00590D1F" w:rsidP="00F90EAE">
      <w:pPr>
        <w:jc w:val="both"/>
        <w:rPr>
          <w:color w:val="000000" w:themeColor="text1"/>
          <w:sz w:val="16"/>
          <w:szCs w:val="16"/>
        </w:rPr>
      </w:pPr>
      <w:r w:rsidRPr="00F90EAE">
        <w:rPr>
          <w:bCs/>
          <w:color w:val="000000" w:themeColor="text1"/>
          <w:sz w:val="16"/>
          <w:szCs w:val="16"/>
        </w:rPr>
        <w:t>27 января</w:t>
      </w:r>
      <w:r w:rsidRPr="00F90EAE">
        <w:rPr>
          <w:color w:val="000000" w:themeColor="text1"/>
          <w:sz w:val="16"/>
          <w:szCs w:val="16"/>
        </w:rPr>
        <w:t xml:space="preserve"> в 1945 году войска 1-го Украинского фронта освободили узников фашистского концлагеря в Освенциме на территории Польши. Отмечается, в частности, в Германии (с 1996 г.), Италии, Швеции, Великобритании (с 2003 г.), Финляндии (с 2002 г.) (15022).</w:t>
      </w:r>
    </w:p>
    <w:p w14:paraId="42616B9B" w14:textId="77777777" w:rsidR="00590D1F" w:rsidRPr="00F90EAE" w:rsidRDefault="00590D1F" w:rsidP="00F90EAE">
      <w:pPr>
        <w:jc w:val="both"/>
        <w:rPr>
          <w:color w:val="000000" w:themeColor="text1"/>
          <w:sz w:val="16"/>
          <w:szCs w:val="16"/>
        </w:rPr>
      </w:pPr>
    </w:p>
    <w:p w14:paraId="2E6A01E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3D81100" w14:textId="77777777" w:rsidR="00C2313B" w:rsidRPr="00F90EAE" w:rsidRDefault="00C2313B" w:rsidP="00F90EAE">
      <w:pPr>
        <w:autoSpaceDE w:val="0"/>
        <w:autoSpaceDN w:val="0"/>
        <w:adjustRightInd w:val="0"/>
        <w:jc w:val="both"/>
        <w:rPr>
          <w:iCs/>
          <w:color w:val="000000" w:themeColor="text1"/>
          <w:sz w:val="16"/>
          <w:szCs w:val="16"/>
        </w:rPr>
      </w:pPr>
    </w:p>
    <w:p w14:paraId="49286E12" w14:textId="77777777" w:rsidR="004C221F" w:rsidRPr="00F90EAE" w:rsidRDefault="004C221F" w:rsidP="00F90EAE">
      <w:pPr>
        <w:jc w:val="both"/>
        <w:rPr>
          <w:color w:val="0070C0"/>
          <w:sz w:val="16"/>
          <w:szCs w:val="16"/>
        </w:rPr>
      </w:pPr>
      <w:r w:rsidRPr="00F90EAE">
        <w:rPr>
          <w:color w:val="0070C0"/>
          <w:sz w:val="16"/>
          <w:szCs w:val="16"/>
        </w:rPr>
        <w:t>27 января 1945 Б-29, базирующиеся в Калькутте, бомбят Сайгон, Французский Индокитай (20371).</w:t>
      </w:r>
    </w:p>
    <w:p w14:paraId="2F137DE2" w14:textId="77777777" w:rsidR="004C221F" w:rsidRPr="00F90EAE" w:rsidRDefault="004C221F" w:rsidP="00F90EAE">
      <w:pPr>
        <w:jc w:val="both"/>
        <w:rPr>
          <w:color w:val="0070C0"/>
          <w:sz w:val="16"/>
          <w:szCs w:val="16"/>
        </w:rPr>
      </w:pPr>
    </w:p>
    <w:p w14:paraId="0311002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января 1945 в Париже за сотрудничество с фашистами приговорен к пожизненному заключению лидер нацистской организации “Действующая Франция” (4962).</w:t>
      </w:r>
    </w:p>
    <w:p w14:paraId="3E40634A"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72DD66A"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4878AC2" w14:textId="77777777" w:rsidR="00C2313B" w:rsidRPr="00F90EAE" w:rsidRDefault="00C2313B" w:rsidP="00F90EAE">
      <w:pPr>
        <w:autoSpaceDE w:val="0"/>
        <w:autoSpaceDN w:val="0"/>
        <w:adjustRightInd w:val="0"/>
        <w:jc w:val="both"/>
        <w:rPr>
          <w:iCs/>
          <w:color w:val="000000" w:themeColor="text1"/>
          <w:sz w:val="16"/>
          <w:szCs w:val="16"/>
        </w:rPr>
      </w:pPr>
    </w:p>
    <w:p w14:paraId="1EE2FD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28 января по 29 марта 1945 объект 701 № 5 прошел дополнительные испытания пробегом (1073 км), а с 30 марта по 9 апреля — испытания в тяжелых дорожных условиях. По ре</w:t>
      </w:r>
      <w:r w:rsidRPr="00F90EAE">
        <w:rPr>
          <w:color w:val="000000" w:themeColor="text1"/>
          <w:sz w:val="16"/>
          <w:szCs w:val="16"/>
        </w:rPr>
        <w:softHyphen/>
        <w:t>шению комиссии танк дополнительные испытания выдер</w:t>
      </w:r>
      <w:r w:rsidRPr="00F90EAE">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052AE7D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A0BC3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 января 1945 вышло Постановление ГКО № 7410 О мероприятиях по материально-техническому обеспечению плана производства Наркомстройматериалов СССР в I квартале 1945 г. РГАНИР, Фонд ГКО, д. 360, лл. 14-16, 17-48 (11012).</w:t>
      </w:r>
    </w:p>
    <w:p w14:paraId="10613E2C" w14:textId="77777777" w:rsidR="00C2313B" w:rsidRPr="00F90EAE" w:rsidRDefault="00C2313B" w:rsidP="00F90EAE">
      <w:pPr>
        <w:autoSpaceDE w:val="0"/>
        <w:autoSpaceDN w:val="0"/>
        <w:adjustRightInd w:val="0"/>
        <w:jc w:val="both"/>
        <w:rPr>
          <w:color w:val="000000" w:themeColor="text1"/>
          <w:sz w:val="16"/>
          <w:szCs w:val="16"/>
        </w:rPr>
      </w:pPr>
    </w:p>
    <w:p w14:paraId="7D9AD1E8"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вышло Постановление ГКО № 7412 О частичной перешивке на широкую колею восстанавливаемых железных дорог Польши и Германии в пределах 3, 2, 1-го Белорусских и 1-го Украинского фронтов. (7302, 120-121).</w:t>
      </w:r>
    </w:p>
    <w:p w14:paraId="3773ACC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BB79B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 января 1945 вышло Постановление ГКО № 7413 Заменено решением № 7424. РГАНИР, Фонд ГКО, д. 360, лл. 122 (11012).</w:t>
      </w:r>
    </w:p>
    <w:p w14:paraId="7DE3641E" w14:textId="77777777" w:rsidR="00C2313B" w:rsidRPr="00F90EAE" w:rsidRDefault="00C2313B" w:rsidP="00F90EAE">
      <w:pPr>
        <w:autoSpaceDE w:val="0"/>
        <w:autoSpaceDN w:val="0"/>
        <w:adjustRightInd w:val="0"/>
        <w:jc w:val="both"/>
        <w:rPr>
          <w:color w:val="000000" w:themeColor="text1"/>
          <w:sz w:val="16"/>
          <w:szCs w:val="16"/>
        </w:rPr>
      </w:pPr>
    </w:p>
    <w:p w14:paraId="1784D66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E21D880" w14:textId="77777777" w:rsidR="00C2313B" w:rsidRPr="00F90EAE" w:rsidRDefault="00C2313B" w:rsidP="00F90EAE">
      <w:pPr>
        <w:autoSpaceDE w:val="0"/>
        <w:autoSpaceDN w:val="0"/>
        <w:adjustRightInd w:val="0"/>
        <w:jc w:val="both"/>
        <w:rPr>
          <w:iCs/>
          <w:color w:val="000000" w:themeColor="text1"/>
          <w:sz w:val="16"/>
          <w:szCs w:val="16"/>
        </w:rPr>
      </w:pPr>
    </w:p>
    <w:p w14:paraId="537B9159" w14:textId="77777777" w:rsidR="00590D1F" w:rsidRPr="00F90EAE" w:rsidRDefault="00590D1F" w:rsidP="00F90EAE">
      <w:pPr>
        <w:jc w:val="both"/>
        <w:rPr>
          <w:color w:val="000000" w:themeColor="text1"/>
          <w:sz w:val="16"/>
          <w:szCs w:val="16"/>
        </w:rPr>
      </w:pPr>
      <w:r w:rsidRPr="00F90EAE">
        <w:rPr>
          <w:bCs/>
          <w:color w:val="000000" w:themeColor="text1"/>
          <w:sz w:val="16"/>
          <w:szCs w:val="16"/>
        </w:rPr>
        <w:t xml:space="preserve">28 января </w:t>
      </w:r>
      <w:r w:rsidRPr="00F90EAE">
        <w:rPr>
          <w:color w:val="000000" w:themeColor="text1"/>
          <w:sz w:val="16"/>
          <w:szCs w:val="16"/>
        </w:rPr>
        <w:t>в 1945 году оперативная сводка Совинформбюро:</w:t>
      </w:r>
    </w:p>
    <w:p w14:paraId="4683DDEC"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Прибалтийского фронта, перейдя в наступление, 28 января овладели литовским городом Клайпеда (Мемель) — важным портом и сильным опорным пунктом обороны немцев на побережье Балтийского моря, завершив тем самым полное очищение Советской Литвы от немецких захватчиков.</w:t>
      </w:r>
    </w:p>
    <w:p w14:paraId="4BE5715D" w14:textId="77777777" w:rsidR="00590D1F" w:rsidRPr="00F90EAE" w:rsidRDefault="00590D1F" w:rsidP="00F90EAE">
      <w:pPr>
        <w:jc w:val="both"/>
        <w:rPr>
          <w:color w:val="000000" w:themeColor="text1"/>
          <w:sz w:val="16"/>
          <w:szCs w:val="16"/>
        </w:rPr>
      </w:pPr>
      <w:r w:rsidRPr="00F90EAE">
        <w:rPr>
          <w:color w:val="000000" w:themeColor="text1"/>
          <w:sz w:val="16"/>
          <w:szCs w:val="16"/>
        </w:rPr>
        <w:t xml:space="preserve">В Восточной Пруссии наши войска, продолжая наступление, овладели городами Зенсбург и Бишофсбург, а также с боями заняли более 150 других населённых пунктов, в том числе крупные населённые пункты Даринен, Корбен, Трутенау, Гутенфельд, Виккбольд, Вернсдорф, Виттенберг, Мюльхаузен, Абшванген, Гросс </w:t>
      </w:r>
      <w:r w:rsidRPr="00F90EAE">
        <w:rPr>
          <w:color w:val="000000" w:themeColor="text1"/>
          <w:sz w:val="16"/>
          <w:szCs w:val="16"/>
        </w:rPr>
        <w:lastRenderedPageBreak/>
        <w:t>Шенау, Денхофштедт, Коршен, Шенфлис, Вайссенбург, Зеегештен, Лангендорф, Боровен, Риббен, Румми. Одновременно северо-западнее города Алленштайн наши войска отбивали атаки крупных сил пехоты и танков противника, стремящегося, несмотря на большие потери, пробиться на запад.</w:t>
      </w:r>
    </w:p>
    <w:p w14:paraId="3C3AD354" w14:textId="77777777" w:rsidR="00590D1F" w:rsidRPr="00F90EAE" w:rsidRDefault="00590D1F" w:rsidP="00F90EAE">
      <w:pPr>
        <w:jc w:val="both"/>
        <w:rPr>
          <w:color w:val="000000" w:themeColor="text1"/>
          <w:sz w:val="16"/>
          <w:szCs w:val="16"/>
        </w:rPr>
      </w:pPr>
      <w:r w:rsidRPr="00F90EAE">
        <w:rPr>
          <w:color w:val="000000" w:themeColor="text1"/>
          <w:sz w:val="16"/>
          <w:szCs w:val="16"/>
        </w:rPr>
        <w:t>К югу от города Грауденц наши войска полностью очистили от противника восточный берег реки Вислы, заняв при этом город Кульм и крупные населённые пункты Рудник, Шенайх, Нойсас, Эренталь. В районе города Торунь наши войска вели бои по уничтожению окружённых в городе частей противника.</w:t>
      </w:r>
    </w:p>
    <w:p w14:paraId="37CA0F7D"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Севернее и северо-западнее города Быдгощ (Бромберг) наши войска с боями продвигались вперёд и овладели городами Кроне, Семпольно (Цемпельбург), Мротшен, Лобсенз и заняли более 200 других населённых пунктов.</w:t>
      </w:r>
    </w:p>
    <w:p w14:paraId="5DC0FD4F"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и юго-западнее города Познань войска 1-го Белорусского фронта овладели городами Чарникау, Оберзицко, Вронки, Пинне, Опаленица, Грец, Велихово, Костен, Смигель, а также с боями заняли более 400 других населённых пунктов. Одновременно войска фронта вели бои по уничтожению окружённого гарнизона противника в городе Познань.</w:t>
      </w:r>
    </w:p>
    <w:p w14:paraId="4FC2A3CE"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Севернее и северо-западнее города Равич наши войска овладели на территории Польши городами Гостынь, Лисса (Лешно) и Понец, а также с боем заняли на территории Германии город Гюрау.</w:t>
      </w:r>
    </w:p>
    <w:p w14:paraId="7912E315"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в результате умело проведённого обходного манёвра, в сочетании с атакой с фронта 28 января овладели центром Домбровского угольного района городом Катовице, городами Семяновиц, Крулевска Гута (Кенигсхютте), Миколув (Николаи) и в немецкой Силезии заняли крупный промышленный центр город Беутен, завершив тем самым полное очищение от противника Домбровского угольного района и южной части промышленного района немецкой Верхней Силезии.</w:t>
      </w:r>
    </w:p>
    <w:p w14:paraId="649EA73F"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28 января овладели крупным административным центром Чехословакии городом Попрад — важным узлом коммуникаций и опорным пунктом обороны противника, а также с боями заняли города Спишска Бела, Кежмарок и крупные населённые пункты Словенска Вес, Бушовце, Великая Ломница, Кубахи.</w:t>
      </w:r>
    </w:p>
    <w:p w14:paraId="3582F73A" w14:textId="77777777" w:rsidR="00590D1F" w:rsidRPr="00F90EAE" w:rsidRDefault="00590D1F"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12 кварталов.</w:t>
      </w:r>
    </w:p>
    <w:p w14:paraId="7C532FA7"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Будапешта наши войска предприняли ряд сильных контратак, в результате которых улучшили свои позиции.</w:t>
      </w:r>
    </w:p>
    <w:p w14:paraId="1E5813BB" w14:textId="77777777" w:rsidR="00590D1F" w:rsidRPr="00F90EAE" w:rsidRDefault="00590D1F" w:rsidP="00F90EAE">
      <w:pPr>
        <w:jc w:val="both"/>
        <w:rPr>
          <w:color w:val="000000" w:themeColor="text1"/>
          <w:sz w:val="16"/>
          <w:szCs w:val="16"/>
        </w:rPr>
      </w:pPr>
      <w:r w:rsidRPr="00F90EAE">
        <w:rPr>
          <w:color w:val="000000" w:themeColor="text1"/>
          <w:sz w:val="16"/>
          <w:szCs w:val="16"/>
        </w:rPr>
        <w:t>За 27 января наши войска на всех фронтах подбили и уничтожили 140 немецких танков, из них 33 танка — юго-западнее Будапешта. 3 воздушных боях и огнём зенитной артиллерии сбито 18 самолётов противника.</w:t>
      </w:r>
    </w:p>
    <w:p w14:paraId="33F99C5D"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Прибалтийского фронта перешли в наступление на плацдарм противника в районе города Клайпеда (Мемель). Немцы превратили свой плацдарм в сильно укреплённый район. После артиллерийской и авиационной подготовки советские части атаковали противника, преодолели широкий противотанковый ров, минные поля и несколько линий траншей. Особенно напряжённые бои разгорелись на ближних подступах к Клайпеде. На расстоянии двух— четырёх километров от города проходила вторая оборонительная линия немцев с девятью фортами, толщина стен которых достигает трёх — четырёх метров. В фортах противник установил орудия крупного калибра и большое количество пулемётов. Советская пехота, поддержанная артиллерией и танками, сломила вражеское сопротивление и ворвалась на улицы города Клайпеда. Гитлеровцы, прижатые к морю, оказывали яростное сопротивление, но не смогли сдержать натиска наших частей. Сегодня войска фронта завершили разгром клайпедской группировки немцев и овладели литовским городом Клайпеда — важным портом на Балтийском море. Противник понёс большие потери. Только на подступах к городу, в районе местечка Кауфманнс, уничтожено 1.600 гитлеровцев, подбито и сожжено 37 немецких танков и самоходных орудий.</w:t>
      </w:r>
    </w:p>
    <w:p w14:paraId="09F074CE" w14:textId="77777777" w:rsidR="00590D1F" w:rsidRPr="00F90EAE" w:rsidRDefault="00590D1F" w:rsidP="00F90EAE">
      <w:pPr>
        <w:jc w:val="both"/>
        <w:rPr>
          <w:color w:val="000000" w:themeColor="text1"/>
          <w:sz w:val="16"/>
          <w:szCs w:val="16"/>
        </w:rPr>
      </w:pPr>
      <w:r w:rsidRPr="00F90EAE">
        <w:rPr>
          <w:color w:val="000000" w:themeColor="text1"/>
          <w:sz w:val="16"/>
          <w:szCs w:val="16"/>
        </w:rPr>
        <w:t>В Восточной Пруссии наши войска с боями продвигались вперёд. Взламывая долговременную полосу обороны немцев на подступах к Кенигсбергу, части Н-ского соединения овладели населённым пунктом Трутенау, расположенным на шоссе, связывающем Кенигсберг с приморским городом Гранц. Другие наши части выбили немцев из населённого пункта Виккбольд (8 километров южнее Кенигсберга). Противник непрерывно переходит в контратаки, но под ударами советских войск теряет одну позицию за другой. Наши части, наступающие с юга, заняли города Зенсбург и Бишофсбург — сильные опорные пункты обороны немцев. В течение дня захвачено 26 немецких танков, 19 самолётов, 58 полевых орудий, 178 пулемётов и 130 автомашин. Взято в плен 700 немецких солдат и офицеров.</w:t>
      </w:r>
    </w:p>
    <w:p w14:paraId="68BDAE38"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города Познань противник, подтянув свежие силы, пытался задержать наступление наших войск. Особенно ожесточённые бои происходили на узлах шоссейных дорог. Советские танки и пехота, опрокидывая немецкие части, продвинулись вперёд на 20 километров и штурмом овладели городом Чарникау, расположенным у реки Нетце, на границе Польши с Германией. В бою за этот город уничтожено свыше 700 и взято в плен 300 гитлеровцев. Советские части, наступающие западнее и юго-западнее Познани, заняли города Опаленица, Грец и Костен — важные узлы железных и шоссейных дорог.</w:t>
      </w:r>
    </w:p>
    <w:p w14:paraId="4FD17AB3" w14:textId="77777777" w:rsidR="00590D1F" w:rsidRPr="00F90EAE" w:rsidRDefault="00590D1F" w:rsidP="00F90EAE">
      <w:pPr>
        <w:jc w:val="both"/>
        <w:rPr>
          <w:color w:val="000000" w:themeColor="text1"/>
          <w:sz w:val="16"/>
          <w:szCs w:val="16"/>
        </w:rPr>
      </w:pPr>
      <w:r w:rsidRPr="00F90EAE">
        <w:rPr>
          <w:color w:val="000000" w:themeColor="text1"/>
          <w:sz w:val="16"/>
          <w:szCs w:val="16"/>
        </w:rPr>
        <w:t>За день боёв захвачено у немцев 72 полевых орудия, 35 паровозов и 260 вагонов с грузами. Кроме того, захвачено 18 немецких эшелонов с военным имуществом.</w:t>
      </w:r>
    </w:p>
    <w:p w14:paraId="325D157F" w14:textId="77777777" w:rsidR="00590D1F" w:rsidRPr="00F90EAE" w:rsidRDefault="00590D1F" w:rsidP="00F90EAE">
      <w:pPr>
        <w:jc w:val="both"/>
        <w:rPr>
          <w:color w:val="000000" w:themeColor="text1"/>
          <w:sz w:val="16"/>
          <w:szCs w:val="16"/>
        </w:rPr>
      </w:pPr>
      <w:r w:rsidRPr="00F90EAE">
        <w:rPr>
          <w:color w:val="000000" w:themeColor="text1"/>
          <w:sz w:val="16"/>
          <w:szCs w:val="16"/>
        </w:rPr>
        <w:t>В городе Познань наши войска вели бои по ликвидации окружённой группировки противника. Гитлеровцы приспособили для обороны каменные здания и оказывают упорное сопротивление. Советские штурмовые группы очищают от врага улицу за улицей.</w:t>
      </w:r>
    </w:p>
    <w:p w14:paraId="380E7544"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Советские танкисты, совершив умелый обходный манёвр, ворвались в город Катовице. Одновременно наша пехота при поддержке артиллерии прорвала полосу вражеской обороны и вышла к городу с севера и востока. Сегодня в результате ожесточённого боя наши войска овладели центром Домбровского угольного района городом Катовице. С занятием Катовице и других промышленных городов Домбровский угольный район очищен от немецких захватчиков. Наши войска заняли в немецкой Силезии город и крупный железнодорожный узел Беутен. В городе Беутен и в прилегающих к нему районах имеются военные и металлообрабатывающие заводы, каменноугольные копи, цинковые и свинцовые рудники. За день боёв уничтожено несколько тысяч гитлеровцев. В одном районе найден труп убитого командира 42-го немецкого армейского корпуса генерала пехоты Рекнагель.</w:t>
      </w:r>
    </w:p>
    <w:p w14:paraId="1DB57A29"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Войсками 1-го Украинского фронта на аэродромах захвачено 43 самолёта противника.» (15023).</w:t>
      </w:r>
    </w:p>
    <w:p w14:paraId="561C432C" w14:textId="77777777" w:rsidR="00590D1F" w:rsidRPr="00F90EAE" w:rsidRDefault="00590D1F" w:rsidP="00F90EAE">
      <w:pPr>
        <w:jc w:val="both"/>
        <w:rPr>
          <w:color w:val="000000" w:themeColor="text1"/>
          <w:sz w:val="16"/>
          <w:szCs w:val="16"/>
        </w:rPr>
      </w:pPr>
    </w:p>
    <w:p w14:paraId="1549C56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Литва освобождена от фашистов (4962).</w:t>
      </w:r>
    </w:p>
    <w:p w14:paraId="4A25DE4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9CCFA9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советские войска заняли Катовице и угольный бассейн на юге Польши (4962).</w:t>
      </w:r>
    </w:p>
    <w:p w14:paraId="37B59665"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C5774F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22FCEA6" w14:textId="77777777" w:rsidR="00C2313B" w:rsidRPr="00F90EAE" w:rsidRDefault="00C2313B" w:rsidP="00F90EAE">
      <w:pPr>
        <w:autoSpaceDE w:val="0"/>
        <w:autoSpaceDN w:val="0"/>
        <w:adjustRightInd w:val="0"/>
        <w:jc w:val="both"/>
        <w:rPr>
          <w:iCs/>
          <w:color w:val="000000" w:themeColor="text1"/>
          <w:sz w:val="16"/>
          <w:szCs w:val="16"/>
        </w:rPr>
      </w:pPr>
    </w:p>
    <w:p w14:paraId="0F178DC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вышло Постановление ГКО № 7411 О подготовке к весенней путине и увеличении добычи рыбы в 1945 г. по Наркомрыбпрому СССР. (7302, 49-74,75-119).</w:t>
      </w:r>
    </w:p>
    <w:p w14:paraId="15A5B141"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08DCE6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B34EDD6" w14:textId="77777777" w:rsidR="00C2313B" w:rsidRPr="00F90EAE" w:rsidRDefault="00C2313B" w:rsidP="00F90EAE">
      <w:pPr>
        <w:autoSpaceDE w:val="0"/>
        <w:autoSpaceDN w:val="0"/>
        <w:adjustRightInd w:val="0"/>
        <w:jc w:val="both"/>
        <w:rPr>
          <w:iCs/>
          <w:color w:val="000000" w:themeColor="text1"/>
          <w:sz w:val="16"/>
          <w:szCs w:val="16"/>
        </w:rPr>
      </w:pPr>
    </w:p>
    <w:p w14:paraId="2894F419" w14:textId="77777777" w:rsidR="00590D1F" w:rsidRPr="00F90EAE" w:rsidRDefault="00590D1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гражданскому населению Берлина приказано начать рыть противотанковые окопы вокруг города (4962).</w:t>
      </w:r>
    </w:p>
    <w:p w14:paraId="75653640" w14:textId="77777777" w:rsidR="00590D1F" w:rsidRPr="00F90EAE" w:rsidRDefault="00590D1F" w:rsidP="00F90EAE">
      <w:pPr>
        <w:tabs>
          <w:tab w:val="left" w:pos="11199"/>
        </w:tabs>
        <w:autoSpaceDE w:val="0"/>
        <w:autoSpaceDN w:val="0"/>
        <w:adjustRightInd w:val="0"/>
        <w:jc w:val="both"/>
        <w:rPr>
          <w:color w:val="000000" w:themeColor="text1"/>
          <w:sz w:val="16"/>
          <w:szCs w:val="16"/>
        </w:rPr>
      </w:pPr>
    </w:p>
    <w:p w14:paraId="46DF26E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января 1945 в Софии болгарский принц-регент Кирилл приговорен к казни за военные преступления (4962).</w:t>
      </w:r>
    </w:p>
    <w:p w14:paraId="79E4CDF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9BECA0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759896C" w14:textId="77777777" w:rsidR="00C2313B" w:rsidRPr="00F90EAE" w:rsidRDefault="00C2313B" w:rsidP="00F90EAE">
      <w:pPr>
        <w:autoSpaceDE w:val="0"/>
        <w:autoSpaceDN w:val="0"/>
        <w:adjustRightInd w:val="0"/>
        <w:jc w:val="both"/>
        <w:rPr>
          <w:iCs/>
          <w:color w:val="000000" w:themeColor="text1"/>
          <w:sz w:val="16"/>
          <w:szCs w:val="16"/>
        </w:rPr>
      </w:pPr>
    </w:p>
    <w:p w14:paraId="10F9B9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г. вышло Постановление ГКО, которым заводы № 1 и № 18 обязывались выпустить в I квартале года 260 и 215 самолетов соответственно. В то же вре</w:t>
      </w:r>
      <w:r w:rsidRPr="00F90EAE">
        <w:rPr>
          <w:color w:val="000000" w:themeColor="text1"/>
          <w:sz w:val="16"/>
          <w:szCs w:val="16"/>
        </w:rPr>
        <w:softHyphen/>
        <w:t>мя продолжалось производство Ил-2 (10680).</w:t>
      </w:r>
    </w:p>
    <w:p w14:paraId="573BC4EA" w14:textId="77777777" w:rsidR="00C2313B" w:rsidRPr="00F90EAE" w:rsidRDefault="00C2313B" w:rsidP="00F90EAE">
      <w:pPr>
        <w:autoSpaceDE w:val="0"/>
        <w:autoSpaceDN w:val="0"/>
        <w:adjustRightInd w:val="0"/>
        <w:jc w:val="both"/>
        <w:rPr>
          <w:color w:val="000000" w:themeColor="text1"/>
          <w:sz w:val="16"/>
          <w:szCs w:val="16"/>
        </w:rPr>
      </w:pPr>
    </w:p>
    <w:p w14:paraId="2AFE25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 января 1945 г. вышло Постановление ГОКО, которым заводы № 1 и № 18 обязывались произвести в 1-м кварта</w:t>
      </w:r>
      <w:r w:rsidRPr="00F90EAE">
        <w:rPr>
          <w:color w:val="000000" w:themeColor="text1"/>
          <w:sz w:val="16"/>
          <w:szCs w:val="16"/>
        </w:rPr>
        <w:softHyphen/>
        <w:t>ле года 260 и 215 самолетов Ил-10, со</w:t>
      </w:r>
      <w:r w:rsidRPr="00F90EAE">
        <w:rPr>
          <w:color w:val="000000" w:themeColor="text1"/>
          <w:sz w:val="16"/>
          <w:szCs w:val="16"/>
        </w:rPr>
        <w:softHyphen/>
        <w:t>ответственно. Кроме этого, каждый завод должен был выпустить 361 Ил-2. План московского авиазавода № 30 включал выпуск 912 самолетов Ил-2 (11131).</w:t>
      </w:r>
    </w:p>
    <w:p w14:paraId="72F210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B82CA85"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29 января 1945 г. вышло постановление ГКО, которым заводы № 1 и № 18 обязывались произвести в 1-м квартале года 260 и 215 самолетов Ил-10 соответственно. Кроме этого, каждый завод должен был выпустить по 361 Ил -2. План московского авиазавода № 30 включал выпуск 912 самолетов Ил-2.</w:t>
      </w:r>
    </w:p>
    <w:p w14:paraId="73A04008"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Выпуск самолетов на 2-й квартал устанавливался постановлением ГКО от 12 апреля. В течение трех месяцев, до июля 1945 года, планировалось собрать и передать ВВС в общей сложности 960 самолетов Ил-10 и 1634 самолета Ил-2.</w:t>
      </w:r>
    </w:p>
    <w:p w14:paraId="65C56C70"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61DDF680"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1B468955" w14:textId="77777777" w:rsidR="00B65582" w:rsidRPr="00F90EAE" w:rsidRDefault="00B65582" w:rsidP="00F90EAE">
      <w:pPr>
        <w:jc w:val="both"/>
        <w:rPr>
          <w:rStyle w:val="107"/>
          <w:rFonts w:eastAsiaTheme="minorHAnsi"/>
          <w:color w:val="000000" w:themeColor="text1"/>
          <w:sz w:val="16"/>
          <w:szCs w:val="16"/>
        </w:rPr>
      </w:pPr>
    </w:p>
    <w:p w14:paraId="7C0F4C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последний вылет сделал финский ЛаГГ-3 35 серии с обозначением LG-3. Всего налетал 79 час. и сейчас он хранится на авиаскладе в Тампере (1285,28).</w:t>
      </w:r>
    </w:p>
    <w:p w14:paraId="72054D1F" w14:textId="77777777" w:rsidR="00C2313B" w:rsidRPr="00F90EAE" w:rsidRDefault="00C2313B" w:rsidP="00F90EAE">
      <w:pPr>
        <w:autoSpaceDE w:val="0"/>
        <w:autoSpaceDN w:val="0"/>
        <w:adjustRightInd w:val="0"/>
        <w:jc w:val="both"/>
        <w:rPr>
          <w:color w:val="000000" w:themeColor="text1"/>
          <w:sz w:val="16"/>
          <w:szCs w:val="16"/>
        </w:rPr>
      </w:pPr>
    </w:p>
    <w:p w14:paraId="506C81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года гл. конструктор ОКБ-455 Картуков писал письмо Шахурину.</w:t>
      </w:r>
    </w:p>
    <w:p w14:paraId="6DC3BE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 вопросу требования НК ВМФ на отработку и изготовление опытных образцов химического авиационного разового прибора ХАРП-200А докладываю:</w:t>
      </w:r>
    </w:p>
    <w:p w14:paraId="096184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приказу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государственных испытаний без ущерба для других опытных работ мы не сможем.</w:t>
      </w:r>
    </w:p>
    <w:p w14:paraId="7D2DA8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Считаю возможным принять к выполнению в ОКБ-455 в I-II кв. 45 года разработку чертежей, отработку технической документации и изготовление нескольких приборов для проверки на заводских испытаниях правильности выбранных конструктивных параметров.</w:t>
      </w:r>
    </w:p>
    <w:p w14:paraId="5BB5EE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опытной партии в количестве 50-100 шт. для проведения государственных испытаний считаю целесообразным поручить по нашим чертежам и технической документации заводу N 67 НКБ (2595).</w:t>
      </w:r>
    </w:p>
    <w:p w14:paraId="6D8E6806" w14:textId="77777777" w:rsidR="00C2313B" w:rsidRPr="00F90EAE" w:rsidRDefault="00C2313B" w:rsidP="00F90EAE">
      <w:pPr>
        <w:autoSpaceDE w:val="0"/>
        <w:autoSpaceDN w:val="0"/>
        <w:adjustRightInd w:val="0"/>
        <w:jc w:val="both"/>
        <w:rPr>
          <w:color w:val="000000" w:themeColor="text1"/>
          <w:sz w:val="16"/>
          <w:szCs w:val="16"/>
        </w:rPr>
      </w:pPr>
    </w:p>
    <w:p w14:paraId="0B399A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года вышло Постановление ГОКО № 7426 и 3 февраля 1945 года приказ НКАП № 37:</w:t>
      </w:r>
    </w:p>
    <w:p w14:paraId="3BDE7A36" w14:textId="77777777" w:rsidR="00C2313B" w:rsidRPr="00F90EAE" w:rsidRDefault="00C2313B"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Реорганизовать “Авиаспецтрест” НКАП в Трест вторичного алюминия НКАП “Вторалюминий” на который возложить.... (8950, 8961).</w:t>
      </w:r>
    </w:p>
    <w:p w14:paraId="61034CF8" w14:textId="77777777" w:rsidR="00C2313B" w:rsidRPr="00F90EAE" w:rsidRDefault="00C2313B" w:rsidP="00F90EAE">
      <w:pPr>
        <w:tabs>
          <w:tab w:val="left" w:pos="360"/>
        </w:tabs>
        <w:autoSpaceDE w:val="0"/>
        <w:autoSpaceDN w:val="0"/>
        <w:adjustRightInd w:val="0"/>
        <w:jc w:val="both"/>
        <w:rPr>
          <w:color w:val="000000" w:themeColor="text1"/>
          <w:sz w:val="16"/>
          <w:szCs w:val="16"/>
        </w:rPr>
      </w:pPr>
    </w:p>
    <w:p w14:paraId="56ACC0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года вышло Постановление ГКО за № 7426 и 30 января 1945 года вышел приказ НКАП за № 34с, которыми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3C6B6C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И. Погорелов</w:t>
      </w:r>
    </w:p>
    <w:p w14:paraId="003BBE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Киев, ул. Владимиро-Лыбедская, д. 3</w:t>
      </w:r>
    </w:p>
    <w:p w14:paraId="0F0D4C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приборный радиолокационный завод (9855).</w:t>
      </w:r>
    </w:p>
    <w:p w14:paraId="0C2C8572" w14:textId="77777777" w:rsidR="00C2313B" w:rsidRPr="00F90EAE" w:rsidRDefault="00C2313B" w:rsidP="00F90EAE">
      <w:pPr>
        <w:autoSpaceDE w:val="0"/>
        <w:autoSpaceDN w:val="0"/>
        <w:adjustRightInd w:val="0"/>
        <w:jc w:val="both"/>
        <w:rPr>
          <w:color w:val="000000" w:themeColor="text1"/>
          <w:sz w:val="16"/>
          <w:szCs w:val="16"/>
        </w:rPr>
      </w:pPr>
    </w:p>
    <w:p w14:paraId="230810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7416 О ремонте самолетов, авиационных моторов и материально-техническом обеспечении Военно-воздушных сил Красной Армии и Военно-Морского Флота в I квартале 1945 года. РГАНИР, Фонд ГКО, д. 362, лл. 97-103, 104-271 (11012).</w:t>
      </w:r>
    </w:p>
    <w:p w14:paraId="0773C971" w14:textId="77777777" w:rsidR="00C2313B" w:rsidRPr="00F90EAE" w:rsidRDefault="00C2313B" w:rsidP="00F90EAE">
      <w:pPr>
        <w:autoSpaceDE w:val="0"/>
        <w:autoSpaceDN w:val="0"/>
        <w:adjustRightInd w:val="0"/>
        <w:jc w:val="both"/>
        <w:rPr>
          <w:color w:val="000000" w:themeColor="text1"/>
          <w:sz w:val="16"/>
          <w:szCs w:val="16"/>
        </w:rPr>
      </w:pPr>
    </w:p>
    <w:p w14:paraId="0003B9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7419 О плане производства самолетов и авиационных моторов на первый квартал 1945 года. РГАНИР, Фонд ГКО, д. 363, лл. 7-10 (11012).</w:t>
      </w:r>
    </w:p>
    <w:p w14:paraId="29FEF808" w14:textId="77777777" w:rsidR="00C2313B" w:rsidRPr="00F90EAE" w:rsidRDefault="00C2313B" w:rsidP="00F90EAE">
      <w:pPr>
        <w:autoSpaceDE w:val="0"/>
        <w:autoSpaceDN w:val="0"/>
        <w:adjustRightInd w:val="0"/>
        <w:jc w:val="both"/>
        <w:rPr>
          <w:color w:val="000000" w:themeColor="text1"/>
          <w:sz w:val="16"/>
          <w:szCs w:val="16"/>
        </w:rPr>
      </w:pPr>
    </w:p>
    <w:p w14:paraId="357E18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7426 О материально-техническом обеспечении авиационной промышленности в первом квартале 1945 года. РГАНИР, Фонд ГКО, д. 364, лл. 85-90, 91-258 (11012).</w:t>
      </w:r>
    </w:p>
    <w:p w14:paraId="416EC8BD" w14:textId="77777777" w:rsidR="00C2313B" w:rsidRPr="00F90EAE" w:rsidRDefault="00C2313B" w:rsidP="00F90EAE">
      <w:pPr>
        <w:autoSpaceDE w:val="0"/>
        <w:autoSpaceDN w:val="0"/>
        <w:adjustRightInd w:val="0"/>
        <w:jc w:val="both"/>
        <w:rPr>
          <w:color w:val="000000" w:themeColor="text1"/>
          <w:sz w:val="16"/>
          <w:szCs w:val="16"/>
        </w:rPr>
      </w:pPr>
    </w:p>
    <w:p w14:paraId="5217DA6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82319F4" w14:textId="77777777" w:rsidR="00C2313B" w:rsidRPr="00F90EAE" w:rsidRDefault="00C2313B" w:rsidP="00F90EAE">
      <w:pPr>
        <w:autoSpaceDE w:val="0"/>
        <w:autoSpaceDN w:val="0"/>
        <w:adjustRightInd w:val="0"/>
        <w:jc w:val="both"/>
        <w:rPr>
          <w:iCs/>
          <w:color w:val="000000" w:themeColor="text1"/>
          <w:sz w:val="16"/>
          <w:szCs w:val="16"/>
        </w:rPr>
      </w:pPr>
    </w:p>
    <w:p w14:paraId="75A792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7414 О балансах и планах распределения черных металлов, металлокерамических твердых сплавов, труб, метизов, чугуна, ферросплавов и металлургического кокса на февраль и март 1945 г. РГАНИР, Фонд ГКО, д. 361, лл. 1, 2-106 (11012).</w:t>
      </w:r>
    </w:p>
    <w:p w14:paraId="38B5221F" w14:textId="77777777" w:rsidR="00C2313B" w:rsidRPr="00F90EAE" w:rsidRDefault="00C2313B" w:rsidP="00F90EAE">
      <w:pPr>
        <w:autoSpaceDE w:val="0"/>
        <w:autoSpaceDN w:val="0"/>
        <w:adjustRightInd w:val="0"/>
        <w:jc w:val="both"/>
        <w:rPr>
          <w:color w:val="000000" w:themeColor="text1"/>
          <w:sz w:val="16"/>
          <w:szCs w:val="16"/>
        </w:rPr>
      </w:pPr>
    </w:p>
    <w:p w14:paraId="17EAC1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7415 Об утверждении плана заказов Наркомвоенморфлота на I квартал 1945 года по судоремонту, трально-сетевому и штурманскому вооружению, судовому оборудованию и о мероприятиях по его обеспечению. РГАНИР, Фонд ГКО, д. 362, лл. 1-12, 13-96 (11012).</w:t>
      </w:r>
    </w:p>
    <w:p w14:paraId="240B34FC" w14:textId="77777777" w:rsidR="00C2313B" w:rsidRPr="00F90EAE" w:rsidRDefault="00C2313B" w:rsidP="00F90EAE">
      <w:pPr>
        <w:autoSpaceDE w:val="0"/>
        <w:autoSpaceDN w:val="0"/>
        <w:adjustRightInd w:val="0"/>
        <w:jc w:val="both"/>
        <w:rPr>
          <w:color w:val="000000" w:themeColor="text1"/>
          <w:sz w:val="16"/>
          <w:szCs w:val="16"/>
        </w:rPr>
      </w:pPr>
    </w:p>
    <w:p w14:paraId="5CFC7E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7417 Об изготовлении в 1945 году для Красной Армии 2000 артиллерийских тягачей Я-12 с дизель-мотором "Дженерал Моторс" на Ярославском заводе Наркомсредмаша. РГАНИР, Фонд ГКО, д. 363, лл. 1-4, 5 (11012).</w:t>
      </w:r>
    </w:p>
    <w:p w14:paraId="5D9AC908" w14:textId="77777777" w:rsidR="00C2313B" w:rsidRPr="00F90EAE" w:rsidRDefault="00C2313B" w:rsidP="00F90EAE">
      <w:pPr>
        <w:autoSpaceDE w:val="0"/>
        <w:autoSpaceDN w:val="0"/>
        <w:adjustRightInd w:val="0"/>
        <w:jc w:val="both"/>
        <w:rPr>
          <w:color w:val="000000" w:themeColor="text1"/>
          <w:sz w:val="16"/>
          <w:szCs w:val="16"/>
        </w:rPr>
      </w:pPr>
    </w:p>
    <w:p w14:paraId="161F2A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7418 Об увеличении гарантийного срока службы танковых дизелей. РГАНИР, Фонд ГКО, д. 363, лл. 6 (11012).</w:t>
      </w:r>
    </w:p>
    <w:p w14:paraId="44A773A4" w14:textId="77777777" w:rsidR="00C2313B" w:rsidRPr="00F90EAE" w:rsidRDefault="00C2313B" w:rsidP="00F90EAE">
      <w:pPr>
        <w:autoSpaceDE w:val="0"/>
        <w:autoSpaceDN w:val="0"/>
        <w:adjustRightInd w:val="0"/>
        <w:jc w:val="both"/>
        <w:rPr>
          <w:color w:val="000000" w:themeColor="text1"/>
          <w:sz w:val="16"/>
          <w:szCs w:val="16"/>
        </w:rPr>
      </w:pPr>
    </w:p>
    <w:p w14:paraId="670C2A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7420 О мероприятиях по материально-техническому обеспечению предприятий черной металлургии в I квартале 1945 г. РГАНИР, Фонд ГКО, д. 363, лл. 11-13, 14-199 (11012).</w:t>
      </w:r>
    </w:p>
    <w:p w14:paraId="58D98ED6" w14:textId="77777777" w:rsidR="00C2313B" w:rsidRPr="00F90EAE" w:rsidRDefault="00C2313B" w:rsidP="00F90EAE">
      <w:pPr>
        <w:autoSpaceDE w:val="0"/>
        <w:autoSpaceDN w:val="0"/>
        <w:adjustRightInd w:val="0"/>
        <w:jc w:val="both"/>
        <w:rPr>
          <w:color w:val="000000" w:themeColor="text1"/>
          <w:sz w:val="16"/>
          <w:szCs w:val="16"/>
        </w:rPr>
      </w:pPr>
    </w:p>
    <w:p w14:paraId="2D4995A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7421 О строительстве и восстановлении автомобильных дорог и дорожного хозяйства Гушосдором НКВД СССР в 1945 г. (7303, 200-204,205-207).</w:t>
      </w:r>
    </w:p>
    <w:p w14:paraId="7AFF602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21826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7422 О мерах помощи предприятиям цветной металлургии в I квартале 1945 года. РГАНИР, Фонд ГКО, д. 363, лл. 208-219, 220-239 (11012).</w:t>
      </w:r>
    </w:p>
    <w:p w14:paraId="638C21ED" w14:textId="77777777" w:rsidR="00C2313B" w:rsidRPr="00F90EAE" w:rsidRDefault="00C2313B" w:rsidP="00F90EAE">
      <w:pPr>
        <w:autoSpaceDE w:val="0"/>
        <w:autoSpaceDN w:val="0"/>
        <w:adjustRightInd w:val="0"/>
        <w:jc w:val="both"/>
        <w:rPr>
          <w:color w:val="000000" w:themeColor="text1"/>
          <w:sz w:val="16"/>
          <w:szCs w:val="16"/>
        </w:rPr>
      </w:pPr>
    </w:p>
    <w:p w14:paraId="11FE63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7423 О мероприятиях по обеспечению безопасности и предотвращению взрывов и пожаров при отгрузке, транспортировке, хранении авиабомб и других авиабоеприпасов. РГАНИР, Фонд ГКО, д. 364, лл. 1-13 (11012).</w:t>
      </w:r>
    </w:p>
    <w:p w14:paraId="672CCCC3" w14:textId="77777777" w:rsidR="00C2313B" w:rsidRPr="00F90EAE" w:rsidRDefault="00C2313B" w:rsidP="00F90EAE">
      <w:pPr>
        <w:autoSpaceDE w:val="0"/>
        <w:autoSpaceDN w:val="0"/>
        <w:adjustRightInd w:val="0"/>
        <w:jc w:val="both"/>
        <w:rPr>
          <w:color w:val="000000" w:themeColor="text1"/>
          <w:sz w:val="16"/>
          <w:szCs w:val="16"/>
        </w:rPr>
      </w:pPr>
    </w:p>
    <w:p w14:paraId="3CB839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7425 О плане производства электротехнического оборудования, изделий военной электротехники, средств связи и о мероприятиях по материально-техническому обеспечению предприятий Наркомэлектропрома в I квартале 1945 года. РГАНИР, Фонд ГКО, д. 364, лл. 19-29, 3 (11012).</w:t>
      </w:r>
    </w:p>
    <w:p w14:paraId="027EA865" w14:textId="77777777" w:rsidR="00C2313B" w:rsidRPr="00F90EAE" w:rsidRDefault="00C2313B" w:rsidP="00F90EAE">
      <w:pPr>
        <w:autoSpaceDE w:val="0"/>
        <w:autoSpaceDN w:val="0"/>
        <w:adjustRightInd w:val="0"/>
        <w:jc w:val="both"/>
        <w:rPr>
          <w:color w:val="000000" w:themeColor="text1"/>
          <w:sz w:val="16"/>
          <w:szCs w:val="16"/>
        </w:rPr>
      </w:pPr>
    </w:p>
    <w:p w14:paraId="500ECFD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348E1FF" w14:textId="77777777" w:rsidR="00C2313B" w:rsidRPr="00F90EAE" w:rsidRDefault="00C2313B" w:rsidP="00F90EAE">
      <w:pPr>
        <w:autoSpaceDE w:val="0"/>
        <w:autoSpaceDN w:val="0"/>
        <w:adjustRightInd w:val="0"/>
        <w:jc w:val="both"/>
        <w:rPr>
          <w:iCs/>
          <w:color w:val="000000" w:themeColor="text1"/>
          <w:sz w:val="16"/>
          <w:szCs w:val="16"/>
        </w:rPr>
      </w:pPr>
    </w:p>
    <w:p w14:paraId="7E12D185" w14:textId="77777777" w:rsidR="00590D1F" w:rsidRPr="00F90EAE" w:rsidRDefault="00590D1F" w:rsidP="00F90EAE">
      <w:pPr>
        <w:jc w:val="both"/>
        <w:rPr>
          <w:color w:val="000000" w:themeColor="text1"/>
          <w:sz w:val="16"/>
          <w:szCs w:val="16"/>
        </w:rPr>
      </w:pPr>
      <w:r w:rsidRPr="00F90EAE">
        <w:rPr>
          <w:rStyle w:val="ucoz-forum-post"/>
          <w:color w:val="000000" w:themeColor="text1"/>
          <w:sz w:val="16"/>
          <w:szCs w:val="16"/>
        </w:rPr>
        <w:t xml:space="preserve">29 января </w:t>
      </w:r>
      <w:r w:rsidRPr="00F90EAE">
        <w:rPr>
          <w:color w:val="000000" w:themeColor="text1"/>
          <w:sz w:val="16"/>
          <w:szCs w:val="16"/>
        </w:rPr>
        <w:t>в 1945 году оперативная сводка Совинформбюро:</w:t>
      </w:r>
    </w:p>
    <w:p w14:paraId="32FCCC02" w14:textId="77777777" w:rsidR="00590D1F" w:rsidRPr="00F90EAE" w:rsidRDefault="00590D1F" w:rsidP="00F90EAE">
      <w:pPr>
        <w:jc w:val="both"/>
        <w:rPr>
          <w:color w:val="000000" w:themeColor="text1"/>
          <w:sz w:val="16"/>
          <w:szCs w:val="16"/>
        </w:rPr>
      </w:pPr>
      <w:r w:rsidRPr="00F90EAE">
        <w:rPr>
          <w:color w:val="000000" w:themeColor="text1"/>
          <w:sz w:val="16"/>
          <w:szCs w:val="16"/>
        </w:rPr>
        <w:t>«В течение 29 января в Восточной Пруссии наши войска с боями заняли более 100 населённых пунктов, в том числе крупные населённые пункты Ляптау, Молленен, Зидлунг (3 километра северо-западнее Кенигсберга), Людвигсвальде, Альтенберг (4 километра южнее Кенигсберга), Мансфельд, Тарау, Шромбенен, Штольценфельд, Гросс Лянгвальде, Лангхайм, Штурмхюбель, Рессель, Гизевен и железнодорожные станции Ляптау, Гросс Раум, Нессельбек, Шромбенен, Рессель. Одновременно наши войска северо-западнее города Алленштайн отбивали атаки крупных сил пехоты и танков противника, пытавшегося пробиться на запад.</w:t>
      </w:r>
    </w:p>
    <w:p w14:paraId="272B49C3" w14:textId="77777777" w:rsidR="00590D1F" w:rsidRPr="00F90EAE" w:rsidRDefault="00590D1F" w:rsidP="00F90EAE">
      <w:pPr>
        <w:jc w:val="both"/>
        <w:rPr>
          <w:color w:val="000000" w:themeColor="text1"/>
          <w:sz w:val="16"/>
          <w:szCs w:val="16"/>
        </w:rPr>
      </w:pPr>
      <w:r w:rsidRPr="00F90EAE">
        <w:rPr>
          <w:color w:val="000000" w:themeColor="text1"/>
          <w:sz w:val="16"/>
          <w:szCs w:val="16"/>
        </w:rPr>
        <w:t>За 28 января в Восточной Пруссии войска 3-го Белорусского фронта захватили 130 немецких самолётов, 136 орудий, 270 автомашин и взяли в плен свыше 1.300 немецких солдат и офицеров.</w:t>
      </w:r>
    </w:p>
    <w:p w14:paraId="42B979EF" w14:textId="77777777" w:rsidR="00590D1F" w:rsidRPr="00F90EAE" w:rsidRDefault="00590D1F" w:rsidP="00F90EAE">
      <w:pPr>
        <w:jc w:val="both"/>
        <w:rPr>
          <w:color w:val="000000" w:themeColor="text1"/>
          <w:sz w:val="16"/>
          <w:szCs w:val="16"/>
        </w:rPr>
      </w:pPr>
      <w:r w:rsidRPr="00F90EAE">
        <w:rPr>
          <w:color w:val="000000" w:themeColor="text1"/>
          <w:sz w:val="16"/>
          <w:szCs w:val="16"/>
        </w:rPr>
        <w:t>В районе города Торунь продолжались бои по уничтожению окружённых в городе частей противника.</w:t>
      </w:r>
    </w:p>
    <w:p w14:paraId="60879339"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Севернее и северо-западнее города Быдгощ (Бромберг) наши войска, продолжая наступление, овладели городом Фандсбург, а также с боями заняли более 60 других населённых пунктов, среди которых крупные населённые пункты Бризен, Пруст, Комирово.</w:t>
      </w:r>
    </w:p>
    <w:p w14:paraId="4C27E3E6"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Белорусского фронта, развивая успешное наступление, пересекли границу Германии западнее и северо-западнее Познани, вторглись в пределы немецкой Померании и 29 января с боем овладели городами Шенланке, Лукатц Крейц, Вольденберг и Дризен — важными узлами коммуникаций и мощными опорными пунктами обороны немцев, а также заняли на территории немецкой Померании более 150 других населённых пунктов. Одновременно войска фронта заняли на территории Польши города Цирке, Бирнбаум, Нойштадт, Нойтомишель, Бенчен, Вольштын и более 400 других населённых пунктов.</w:t>
      </w:r>
    </w:p>
    <w:p w14:paraId="315EC180" w14:textId="77777777" w:rsidR="00590D1F" w:rsidRPr="00F90EAE" w:rsidRDefault="00590D1F" w:rsidP="00F90EAE">
      <w:pPr>
        <w:jc w:val="both"/>
        <w:rPr>
          <w:color w:val="000000" w:themeColor="text1"/>
          <w:sz w:val="16"/>
          <w:szCs w:val="16"/>
        </w:rPr>
      </w:pPr>
      <w:r w:rsidRPr="00F90EAE">
        <w:rPr>
          <w:color w:val="000000" w:themeColor="text1"/>
          <w:sz w:val="16"/>
          <w:szCs w:val="16"/>
        </w:rPr>
        <w:t>В районе Познани продолжались бои по уничтожению гарнизона противника, окружённого в городе.</w:t>
      </w:r>
    </w:p>
    <w:p w14:paraId="1B322844"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и южнее города Катовице наши войска в результате наступательных боёв заняли более 70 населённых пунктов, в том числе крупные населённые пункты Шенвальд, Кнурув, Буянов, Выры, Кобьир, Волау, Канев, Бествина, Козы, Липник, Поромбка.</w:t>
      </w:r>
    </w:p>
    <w:p w14:paraId="6E3F673B"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трудных условиях горно-лесистой местности в полосе Карпат, 29 января овладели городом Новы Тарг — важным узлом коммуникаций и сильным опорным пунктом обороны противника, а также с боями заняли более 100 других населённых пунктов, среди которых крупные населённые пункты Оселец, Ерданув, Сидзина, Спытковице, Чарны Дунаец, Ждяр, Шунява.</w:t>
      </w:r>
    </w:p>
    <w:p w14:paraId="11683AEC" w14:textId="77777777" w:rsidR="00590D1F" w:rsidRPr="00F90EAE" w:rsidRDefault="00590D1F" w:rsidP="00F90EAE">
      <w:pPr>
        <w:jc w:val="both"/>
        <w:rPr>
          <w:color w:val="000000" w:themeColor="text1"/>
          <w:sz w:val="16"/>
          <w:szCs w:val="16"/>
        </w:rPr>
      </w:pPr>
      <w:r w:rsidRPr="00F90EAE">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32 квартала.</w:t>
      </w:r>
    </w:p>
    <w:p w14:paraId="66A92635" w14:textId="77777777" w:rsidR="00590D1F" w:rsidRPr="00F90EAE" w:rsidRDefault="00590D1F" w:rsidP="00F90EAE">
      <w:pPr>
        <w:jc w:val="both"/>
        <w:rPr>
          <w:color w:val="000000" w:themeColor="text1"/>
          <w:sz w:val="16"/>
          <w:szCs w:val="16"/>
        </w:rPr>
      </w:pPr>
      <w:r w:rsidRPr="00F90EAE">
        <w:rPr>
          <w:color w:val="000000" w:themeColor="text1"/>
          <w:sz w:val="16"/>
          <w:szCs w:val="16"/>
        </w:rPr>
        <w:t>За 28 января наши войска на всех фронтах подбили и уничтожили 203 немецких танка. В воздушных боях и огнём зенитной артиллерии сбито 116 самолётов противника.</w:t>
      </w:r>
    </w:p>
    <w:p w14:paraId="022B9B1F" w14:textId="77777777" w:rsidR="00590D1F" w:rsidRPr="00F90EAE" w:rsidRDefault="00590D1F" w:rsidP="00F90EAE">
      <w:pPr>
        <w:jc w:val="both"/>
        <w:rPr>
          <w:color w:val="000000" w:themeColor="text1"/>
          <w:sz w:val="16"/>
          <w:szCs w:val="16"/>
        </w:rPr>
      </w:pPr>
      <w:r w:rsidRPr="00F90EAE">
        <w:rPr>
          <w:color w:val="000000" w:themeColor="text1"/>
          <w:sz w:val="16"/>
          <w:szCs w:val="16"/>
        </w:rPr>
        <w:t xml:space="preserve">В Восточной Пруссии наши войска с боями продвигались вперёд. Части Н-ского соединения, преодолевая ожесточённое сопротивление противника, заняли населённый пункт Зидлунг, расположенный в 3 километрах северо-западнее порода Кенигсберг. Другие наши части, разгромив ряд сильно укреплённых опорных пунктов, обходят Кенигсберг с юга. В этом районе захвачены 56 мощных орудийных дотов с подземными ходами и складами. На другом участке советские танки и </w:t>
      </w:r>
      <w:r w:rsidRPr="00F90EAE">
        <w:rPr>
          <w:color w:val="000000" w:themeColor="text1"/>
          <w:sz w:val="16"/>
          <w:szCs w:val="16"/>
        </w:rPr>
        <w:lastRenderedPageBreak/>
        <w:t>пехота с боями переправились через реку Алле и заняли ряд населённых пунктов на её западном берегу. Откатываясь под ударами Красной Армии, немцы бросают на дорогах много техники, вооружения и военных материалов. В воздушных боях и на аэродромах за день уничтожено 108 немецких самолётов.</w:t>
      </w:r>
    </w:p>
    <w:p w14:paraId="5DEA9BE6"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города Алленштайн продолжались ожесточённые бои. Немцы ввели в бой танковый корпус СС «Герман Геринг», несколько пехотных и танковых дивизий и части морской пехоты и пытаются любой ценой прорвать кольцо окружения и пробиться на запад. Советские пехотинцы, артиллеристы и танкисты мощным огнём и контрударами сдерживают натиск противника и перемалывают его живую силу и технику. На подступах к нашим позициям осталась свыше 3 тысяч вражеских трупов и 35 подбитых танков и самоходных орудий противника.</w:t>
      </w:r>
    </w:p>
    <w:p w14:paraId="0C6BA3C5"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Белорусского фронта развивали успешное наступление. Северо-западнее города Познань противник пытался остановить наши войска у польско-германской границы на рубеже реки Нетце. Опираясь на долговременную полосу обороны, немцы оказывали упорное сопротивление и часто переходили в контратаки. Советские танки и пехота при поддержке артиллерии одновременно во многих местах форсировали реку Нетце и прорвали вражескую оборону. Развивая успех, наши войска вторглись в немецкую Померанию и овладели городами Шенланке, Лукатц Крейц и Дризен. В то же время наши войска, действующие западнее Познани, опрокидывая и громя противника, заняли польский город Бирнбаум, расположенный у польско-германской границы. Широко применяя обходные манёвры, советские части громят подходящие резервы противника. За день боёв истреблено более-4.000 немецких солдат и офицеров. Нашими войсками захвачены трофеи, в числе которых 12 танков, 70 орудий, 300 автомашин, 60 паровозов и 50 железнодорожных эшелонов. Взято в плен 1.100 немцев.</w:t>
      </w:r>
    </w:p>
    <w:p w14:paraId="1876858D" w14:textId="77777777" w:rsidR="00590D1F" w:rsidRPr="00F90EAE" w:rsidRDefault="00590D1F" w:rsidP="00F90EAE">
      <w:pPr>
        <w:jc w:val="both"/>
        <w:rPr>
          <w:color w:val="000000" w:themeColor="text1"/>
          <w:sz w:val="16"/>
          <w:szCs w:val="16"/>
        </w:rPr>
      </w:pPr>
      <w:r w:rsidRPr="00F90EAE">
        <w:rPr>
          <w:color w:val="000000" w:themeColor="text1"/>
          <w:sz w:val="16"/>
          <w:szCs w:val="16"/>
        </w:rPr>
        <w:t>Юго-западнее и южнее города Катовице наши войска продолжали наступление. Ожесточённые бои происходили в лесном массиве южнее города Микалув. Части Н-ского соединения с трёх сторон атаковали группу немецких войск и разгромили её. На месте боя осталось много вражеских трупов. Подбит и уничтожен 41 танк противника. Захвачено у немцев до 200 орудий и много других трофеев. Взято в плен свыше 1.000 немецких солдат и офицеров.</w:t>
      </w:r>
    </w:p>
    <w:p w14:paraId="15EE228E" w14:textId="77777777" w:rsidR="00590D1F" w:rsidRPr="00F90EAE" w:rsidRDefault="00590D1F" w:rsidP="00F90EAE">
      <w:pPr>
        <w:jc w:val="both"/>
        <w:rPr>
          <w:color w:val="000000" w:themeColor="text1"/>
          <w:sz w:val="16"/>
          <w:szCs w:val="16"/>
        </w:rPr>
      </w:pPr>
      <w:r w:rsidRPr="00F90EAE">
        <w:rPr>
          <w:color w:val="000000" w:themeColor="text1"/>
          <w:sz w:val="16"/>
          <w:szCs w:val="16"/>
        </w:rPr>
        <w:t>В одном районе на поле боя обнаружен труп командора 291-й немецкой пехотной дивизии генерал-майора Фингера.</w:t>
      </w:r>
    </w:p>
    <w:p w14:paraId="6BB05B21"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Советские гвардейские части обошли в Карпатах горы Кудлонь, Турбач, Буковина и Горц и с двух сторон вышли на подступы к городу Новы Тарг. Опираясь на оборонительный рубеж, проходивший по реке Чарны Дунаец, немцы оказывали упорное сопротивление. Наши подразделения переправились через реку и в результате стремительной атаки овладели городом Новы Тарг — важным узлом коммуникаций. За день войсками фронта захвачено у немцев 120 орудий, 158 пулемётов, 500 автомобилей, 30 паровозов и свыше-1.000 вагонов с различными грузами. Взято в плен 920 немецких солдат и офицеров.</w:t>
      </w:r>
    </w:p>
    <w:p w14:paraId="67A4EE02" w14:textId="77777777" w:rsidR="00590D1F" w:rsidRPr="00F90EAE" w:rsidRDefault="00590D1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южной части Балтийского моря три немецких транспорта общим водоизмещением в 16 тысяч тонн и один самоходный понтон. Кроме того, корабли, флота пустили ко дну крупный транспорт противника.</w:t>
      </w:r>
    </w:p>
    <w:p w14:paraId="3D4BA7A8" w14:textId="77777777" w:rsidR="00590D1F" w:rsidRPr="00F90EAE" w:rsidRDefault="00590D1F" w:rsidP="00F90EAE">
      <w:pPr>
        <w:jc w:val="both"/>
        <w:rPr>
          <w:color w:val="000000" w:themeColor="text1"/>
          <w:sz w:val="16"/>
          <w:szCs w:val="16"/>
        </w:rPr>
      </w:pPr>
      <w:r w:rsidRPr="00F90EAE">
        <w:rPr>
          <w:color w:val="000000" w:themeColor="text1"/>
          <w:sz w:val="16"/>
          <w:szCs w:val="16"/>
        </w:rPr>
        <w:t>Войска 1-го Украинского фронта захватили приказ командующего немецкой армейской группой «Юг» генерал-полковника Гарпе, изданный им в начале января. В приказе говорится: «Солдаты моих армий! Нам предстоят серьёзные испытания. Противник готовится к наступлению на нашем фронте, но он не застигнет нас врасплох. Все солдаты должны всюду, где бы им ни пришлось сражаться, не уступать ни пяди земли. В нашем распоряжении имеются крупные резервные соединения, множество танков и штурмовых орудий и более чем достаточно боеприпасов, чтобы пресечь все попытки противника сломить нашу оборону. Предстоящие сражения должны принести нам решающую победу».</w:t>
      </w:r>
    </w:p>
    <w:p w14:paraId="1A6BA536" w14:textId="77777777" w:rsidR="00590D1F" w:rsidRPr="00F90EAE" w:rsidRDefault="00590D1F" w:rsidP="00F90EAE">
      <w:pPr>
        <w:jc w:val="both"/>
        <w:rPr>
          <w:color w:val="000000" w:themeColor="text1"/>
          <w:sz w:val="16"/>
          <w:szCs w:val="16"/>
        </w:rPr>
      </w:pPr>
      <w:r w:rsidRPr="00F90EAE">
        <w:rPr>
          <w:color w:val="000000" w:themeColor="text1"/>
          <w:sz w:val="16"/>
          <w:szCs w:val="16"/>
        </w:rPr>
        <w:t>Немного времени прошло с тех пор, как немецкий генерал-полковник Гарпе издал свой приказ. Между тем, за это время на фронте произошли крупные события. Красная Армия разгромила и отбросила немецкие войска на сотни километров и наносит им один удар за другим.» (15024).</w:t>
      </w:r>
    </w:p>
    <w:p w14:paraId="2EADBF8A" w14:textId="77777777" w:rsidR="00590D1F" w:rsidRPr="00F90EAE" w:rsidRDefault="00590D1F" w:rsidP="00F90EAE">
      <w:pPr>
        <w:jc w:val="both"/>
        <w:rPr>
          <w:color w:val="000000" w:themeColor="text1"/>
          <w:sz w:val="16"/>
          <w:szCs w:val="16"/>
        </w:rPr>
      </w:pPr>
    </w:p>
    <w:p w14:paraId="5A99F0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12 торпедоносцев и 18 бомбардировщиков 51го МТАП в сопровождении двух эскадрилий истребителей атаковали конвой, шедший из Лиепаи на юго-запад. Летчикам удалось отправить на дно три транспорта и плавучую базу подводных лодок "Мемель" (2691).</w:t>
      </w:r>
    </w:p>
    <w:p w14:paraId="5EA9FAB0" w14:textId="77777777" w:rsidR="00C2313B" w:rsidRPr="00F90EAE" w:rsidRDefault="00C2313B" w:rsidP="00F90EAE">
      <w:pPr>
        <w:autoSpaceDE w:val="0"/>
        <w:autoSpaceDN w:val="0"/>
        <w:adjustRightInd w:val="0"/>
        <w:jc w:val="both"/>
        <w:rPr>
          <w:color w:val="000000" w:themeColor="text1"/>
          <w:sz w:val="16"/>
          <w:szCs w:val="16"/>
        </w:rPr>
      </w:pPr>
    </w:p>
    <w:p w14:paraId="3A0311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войска 1БФ (Г.К.Жуков) перешли границу Германии западнее и восточнее Познани (3398,49).</w:t>
      </w:r>
    </w:p>
    <w:p w14:paraId="22BF3944" w14:textId="77777777" w:rsidR="00C2313B" w:rsidRPr="00F90EAE" w:rsidRDefault="00C2313B" w:rsidP="00F90EAE">
      <w:pPr>
        <w:autoSpaceDE w:val="0"/>
        <w:autoSpaceDN w:val="0"/>
        <w:adjustRightInd w:val="0"/>
        <w:jc w:val="both"/>
        <w:rPr>
          <w:color w:val="000000" w:themeColor="text1"/>
          <w:sz w:val="16"/>
          <w:szCs w:val="16"/>
        </w:rPr>
      </w:pPr>
    </w:p>
    <w:p w14:paraId="1D04BCE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9D06DB1" w14:textId="77777777" w:rsidR="00C2313B" w:rsidRPr="00F90EAE" w:rsidRDefault="00C2313B" w:rsidP="00F90EAE">
      <w:pPr>
        <w:autoSpaceDE w:val="0"/>
        <w:autoSpaceDN w:val="0"/>
        <w:adjustRightInd w:val="0"/>
        <w:jc w:val="both"/>
        <w:rPr>
          <w:iCs/>
          <w:color w:val="000000" w:themeColor="text1"/>
          <w:sz w:val="16"/>
          <w:szCs w:val="16"/>
        </w:rPr>
      </w:pPr>
    </w:p>
    <w:p w14:paraId="2C0D15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 января 1945 вышло Постановление ГКО № 7424 О помощи Временному Польскому правительству по восстановлению столицы Польши - г. Варшава. РГАНИР, Фонд ГКО, д. 364, лл. 14-17, 18 (11012).</w:t>
      </w:r>
    </w:p>
    <w:p w14:paraId="0D0B9A39" w14:textId="77777777" w:rsidR="00C2313B" w:rsidRPr="00F90EAE" w:rsidRDefault="00C2313B" w:rsidP="00F90EAE">
      <w:pPr>
        <w:autoSpaceDE w:val="0"/>
        <w:autoSpaceDN w:val="0"/>
        <w:adjustRightInd w:val="0"/>
        <w:jc w:val="both"/>
        <w:rPr>
          <w:color w:val="000000" w:themeColor="text1"/>
          <w:sz w:val="16"/>
          <w:szCs w:val="16"/>
        </w:rPr>
      </w:pPr>
    </w:p>
    <w:p w14:paraId="5D9F06B7" w14:textId="77777777" w:rsidR="004C221F" w:rsidRPr="00F90EAE" w:rsidRDefault="004C221F" w:rsidP="00F90EAE">
      <w:pPr>
        <w:jc w:val="both"/>
        <w:rPr>
          <w:color w:val="0070C0"/>
          <w:sz w:val="16"/>
          <w:szCs w:val="16"/>
        </w:rPr>
      </w:pPr>
      <w:r w:rsidRPr="00F90EAE">
        <w:rPr>
          <w:color w:val="0070C0"/>
          <w:sz w:val="16"/>
          <w:szCs w:val="16"/>
        </w:rPr>
        <w:t>29 января 1945 Б-29 бомбят Иводзиму (20371).</w:t>
      </w:r>
    </w:p>
    <w:p w14:paraId="38D19357" w14:textId="77777777" w:rsidR="004C221F" w:rsidRPr="00F90EAE" w:rsidRDefault="004C221F" w:rsidP="00F90EAE">
      <w:pPr>
        <w:jc w:val="both"/>
        <w:rPr>
          <w:color w:val="0070C0"/>
          <w:sz w:val="16"/>
          <w:szCs w:val="16"/>
        </w:rPr>
      </w:pPr>
    </w:p>
    <w:p w14:paraId="5B0E49EB" w14:textId="77777777" w:rsidR="004C221F" w:rsidRPr="00F90EAE" w:rsidRDefault="004C221F" w:rsidP="00F90EAE">
      <w:pPr>
        <w:jc w:val="both"/>
        <w:rPr>
          <w:color w:val="0070C0"/>
          <w:sz w:val="16"/>
          <w:szCs w:val="16"/>
        </w:rPr>
      </w:pPr>
      <w:r w:rsidRPr="00F90EAE">
        <w:rPr>
          <w:color w:val="0070C0"/>
          <w:sz w:val="16"/>
          <w:szCs w:val="16"/>
        </w:rPr>
        <w:t>29 января 1945 авианосцы Британского Тихоокеанского флота наносят удары по контролируемому японцами нефтеперерабатывающему заводу в Соенги Геронг на Суматре. Во время Второй мировой войны завод так и не смог выйти на полную мощность. Японские самолеты контратакуют британские авианосцы, но британский боевой воздушный патруль их всех сбивает. В результате ударов 24 и 29 января Британский Тихоокеанский флот потерял 16 самолетов в результате действий противника, а остальные в результате несчастных случаев, а также 30 летных экипажей, причем некоторые из них пропали без вести (20371).</w:t>
      </w:r>
    </w:p>
    <w:p w14:paraId="4E36A9FE" w14:textId="77777777" w:rsidR="004C221F" w:rsidRPr="00F90EAE" w:rsidRDefault="004C221F" w:rsidP="00F90EAE">
      <w:pPr>
        <w:jc w:val="both"/>
        <w:rPr>
          <w:color w:val="0070C0"/>
          <w:sz w:val="16"/>
          <w:szCs w:val="16"/>
        </w:rPr>
      </w:pPr>
    </w:p>
    <w:p w14:paraId="22244526" w14:textId="77777777" w:rsidR="004C221F" w:rsidRPr="00F90EAE" w:rsidRDefault="004C221F" w:rsidP="00F90EAE">
      <w:pPr>
        <w:jc w:val="both"/>
        <w:rPr>
          <w:color w:val="0070C0"/>
          <w:sz w:val="16"/>
          <w:szCs w:val="16"/>
        </w:rPr>
      </w:pPr>
      <w:r w:rsidRPr="00F90EAE">
        <w:rPr>
          <w:color w:val="0070C0"/>
          <w:sz w:val="16"/>
          <w:szCs w:val="16"/>
        </w:rPr>
        <w:t>29 января 1945 немцы затопили недостроенный авианосец « Зейдлиц» - предложенное название «Везер» для него официально никогда не давалось - в Кенигсберге, чтобы предотвратить его захват Советским Союзом (20371).</w:t>
      </w:r>
    </w:p>
    <w:p w14:paraId="647D8E68" w14:textId="77777777" w:rsidR="004C221F" w:rsidRPr="00F90EAE" w:rsidRDefault="004C221F" w:rsidP="00F90EAE">
      <w:pPr>
        <w:jc w:val="both"/>
        <w:rPr>
          <w:color w:val="0070C0"/>
          <w:sz w:val="16"/>
          <w:szCs w:val="16"/>
        </w:rPr>
      </w:pPr>
    </w:p>
    <w:p w14:paraId="11282A4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CEA36F6" w14:textId="77777777" w:rsidR="00C2313B" w:rsidRPr="00F90EAE" w:rsidRDefault="00C2313B" w:rsidP="00F90EAE">
      <w:pPr>
        <w:autoSpaceDE w:val="0"/>
        <w:autoSpaceDN w:val="0"/>
        <w:adjustRightInd w:val="0"/>
        <w:jc w:val="both"/>
        <w:rPr>
          <w:iCs/>
          <w:color w:val="000000" w:themeColor="text1"/>
          <w:sz w:val="16"/>
          <w:szCs w:val="16"/>
        </w:rPr>
      </w:pPr>
    </w:p>
    <w:p w14:paraId="504B67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вышел приказ НКАП и Командующего ВВС N 32сс/004 "О выпуске самолетов Ил-10 с установкой пушки Березина 20 мм":</w:t>
      </w:r>
    </w:p>
    <w:p w14:paraId="77CB24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целях обеспечения выпуска самолетов Ил-10 с задней стрелковой установкой ВУ-9 на пушку Б20 20 мм:</w:t>
      </w:r>
    </w:p>
    <w:p w14:paraId="474417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Нач. 10 ГУ - зам. наркома А.И.Кузнецову и директорам заводов 1 Литвинову и 18 Белянскому обеспечить выпуск самолетов Ил-10 с задней стрелковой установкой ВУ-9 с пушкой Березина 20 мм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1DC44557" w14:textId="77777777">
        <w:tc>
          <w:tcPr>
            <w:tcW w:w="5636" w:type="dxa"/>
          </w:tcPr>
          <w:p w14:paraId="1A566E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феврале заводу</w:t>
            </w:r>
          </w:p>
        </w:tc>
        <w:tc>
          <w:tcPr>
            <w:tcW w:w="5636" w:type="dxa"/>
          </w:tcPr>
          <w:p w14:paraId="00E9A0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1 - 30</w:t>
            </w:r>
          </w:p>
        </w:tc>
      </w:tr>
      <w:tr w:rsidR="00561F31" w:rsidRPr="00F90EAE" w14:paraId="29A46FC7" w14:textId="77777777">
        <w:tc>
          <w:tcPr>
            <w:tcW w:w="5636" w:type="dxa"/>
          </w:tcPr>
          <w:p w14:paraId="0DA4CFF6" w14:textId="77777777" w:rsidR="00C2313B" w:rsidRPr="00F90EAE" w:rsidRDefault="00C2313B" w:rsidP="00F90EAE">
            <w:pPr>
              <w:autoSpaceDE w:val="0"/>
              <w:autoSpaceDN w:val="0"/>
              <w:adjustRightInd w:val="0"/>
              <w:jc w:val="both"/>
              <w:rPr>
                <w:color w:val="000000" w:themeColor="text1"/>
                <w:sz w:val="16"/>
                <w:szCs w:val="16"/>
              </w:rPr>
            </w:pPr>
          </w:p>
        </w:tc>
        <w:tc>
          <w:tcPr>
            <w:tcW w:w="5636" w:type="dxa"/>
          </w:tcPr>
          <w:p w14:paraId="06CAB5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18 - 30</w:t>
            </w:r>
          </w:p>
        </w:tc>
      </w:tr>
      <w:tr w:rsidR="00561F31" w:rsidRPr="00F90EAE" w14:paraId="78F9D63F" w14:textId="77777777">
        <w:tc>
          <w:tcPr>
            <w:tcW w:w="5636" w:type="dxa"/>
          </w:tcPr>
          <w:p w14:paraId="2460FD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марте заводу</w:t>
            </w:r>
          </w:p>
        </w:tc>
        <w:tc>
          <w:tcPr>
            <w:tcW w:w="5636" w:type="dxa"/>
          </w:tcPr>
          <w:p w14:paraId="37E220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1 - 75</w:t>
            </w:r>
          </w:p>
        </w:tc>
      </w:tr>
      <w:tr w:rsidR="00561F31" w:rsidRPr="00F90EAE" w14:paraId="1B00ACF6" w14:textId="77777777">
        <w:tc>
          <w:tcPr>
            <w:tcW w:w="5636" w:type="dxa"/>
          </w:tcPr>
          <w:p w14:paraId="239D1A56" w14:textId="77777777" w:rsidR="00C2313B" w:rsidRPr="00F90EAE" w:rsidRDefault="00C2313B" w:rsidP="00F90EAE">
            <w:pPr>
              <w:autoSpaceDE w:val="0"/>
              <w:autoSpaceDN w:val="0"/>
              <w:adjustRightInd w:val="0"/>
              <w:jc w:val="both"/>
              <w:rPr>
                <w:color w:val="000000" w:themeColor="text1"/>
                <w:sz w:val="16"/>
                <w:szCs w:val="16"/>
              </w:rPr>
            </w:pPr>
          </w:p>
        </w:tc>
        <w:tc>
          <w:tcPr>
            <w:tcW w:w="5636" w:type="dxa"/>
          </w:tcPr>
          <w:p w14:paraId="5D081B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18 - 75</w:t>
            </w:r>
          </w:p>
        </w:tc>
      </w:tr>
    </w:tbl>
    <w:p w14:paraId="03F82A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апреле заводу 1 и заводу 18 перейти полностью на выпуск самолетов Ил-10 с пушечной установкой ВУ-9, с пушкой Березина 20 мм." (1890,24).</w:t>
      </w:r>
    </w:p>
    <w:p w14:paraId="628998AB" w14:textId="77777777" w:rsidR="00C2313B" w:rsidRPr="00F90EAE" w:rsidRDefault="00C2313B" w:rsidP="00F90EAE">
      <w:pPr>
        <w:autoSpaceDE w:val="0"/>
        <w:autoSpaceDN w:val="0"/>
        <w:adjustRightInd w:val="0"/>
        <w:jc w:val="both"/>
        <w:rPr>
          <w:color w:val="000000" w:themeColor="text1"/>
          <w:sz w:val="16"/>
          <w:szCs w:val="16"/>
        </w:rPr>
      </w:pPr>
    </w:p>
    <w:p w14:paraId="53B2BA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января 1945 г. вышел приказ НКАП, а затем и указания начальника УЗВиБ ВВС генерал-майора Солдатова и замести</w:t>
      </w:r>
      <w:r w:rsidRPr="00F90EAE">
        <w:rPr>
          <w:color w:val="000000" w:themeColor="text1"/>
          <w:sz w:val="16"/>
          <w:szCs w:val="16"/>
        </w:rPr>
        <w:softHyphen/>
        <w:t>теля начальника УЗСиМ ГУЗ ВВС инженер-полковника Кувенева, согласно которым на заводе № 18 к 5 мая были проведены испытания пяти серийных самолетов Ил-10 с оборонительной установкой ВУ-9 (завод № 454) под пушку калибра 20 мм УБ-20 (завод № 74).</w:t>
      </w:r>
    </w:p>
    <w:p w14:paraId="0ABAEC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F90EAE">
        <w:rPr>
          <w:color w:val="000000" w:themeColor="text1"/>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401087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то что испытания ВУ-9 все же признали успеш</w:t>
      </w:r>
      <w:r w:rsidRPr="00F90EAE">
        <w:rPr>
          <w:color w:val="000000" w:themeColor="text1"/>
          <w:sz w:val="16"/>
          <w:szCs w:val="16"/>
        </w:rPr>
        <w:softHyphen/>
        <w:t>ными, доработка автоматики пушки УБ-20 и боепитания затяну</w:t>
      </w:r>
      <w:r w:rsidRPr="00F90EAE">
        <w:rPr>
          <w:color w:val="000000" w:themeColor="text1"/>
          <w:sz w:val="16"/>
          <w:szCs w:val="16"/>
        </w:rPr>
        <w:softHyphen/>
        <w:t>лась.</w:t>
      </w:r>
    </w:p>
    <w:p w14:paraId="553A7DB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F90EAE">
        <w:rPr>
          <w:color w:val="000000" w:themeColor="text1"/>
          <w:sz w:val="16"/>
          <w:szCs w:val="16"/>
        </w:rPr>
        <w:softHyphen/>
        <w:t>ный с нормальной нагрузкой — 6360 кг (11474,526).</w:t>
      </w:r>
    </w:p>
    <w:p w14:paraId="3FF686D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00EC887" w14:textId="77777777" w:rsidR="004C221F" w:rsidRPr="00F90EAE" w:rsidRDefault="004C221F" w:rsidP="00F90EAE">
      <w:pPr>
        <w:jc w:val="both"/>
        <w:rPr>
          <w:color w:val="0070C0"/>
          <w:sz w:val="16"/>
          <w:szCs w:val="16"/>
        </w:rPr>
      </w:pPr>
      <w:r w:rsidRPr="00F90EAE">
        <w:rPr>
          <w:color w:val="0070C0"/>
          <w:sz w:val="16"/>
          <w:szCs w:val="16"/>
        </w:rPr>
        <w:t>30 января 1945 г.</w:t>
      </w:r>
    </w:p>
    <w:p w14:paraId="722FB0AA" w14:textId="77777777" w:rsidR="004C221F" w:rsidRPr="00F90EAE" w:rsidRDefault="004C221F" w:rsidP="00F90EAE">
      <w:pPr>
        <w:jc w:val="both"/>
        <w:rPr>
          <w:color w:val="0070C0"/>
          <w:sz w:val="16"/>
          <w:szCs w:val="16"/>
        </w:rPr>
      </w:pPr>
      <w:r w:rsidRPr="00F90EAE">
        <w:rPr>
          <w:color w:val="0070C0"/>
          <w:sz w:val="16"/>
          <w:szCs w:val="16"/>
        </w:rPr>
        <w:t>Из приказа Наркома авиационной промышленности СССР и командующего ВВС КА о выпуске на заводе № 18 самолетов Ил-10 с установкой пушки Березина</w:t>
      </w:r>
    </w:p>
    <w:p w14:paraId="2A9970DB" w14:textId="77777777" w:rsidR="004C221F" w:rsidRPr="00F90EAE" w:rsidRDefault="004C221F" w:rsidP="00F90EAE">
      <w:pPr>
        <w:jc w:val="both"/>
        <w:rPr>
          <w:color w:val="0070C0"/>
          <w:sz w:val="16"/>
          <w:szCs w:val="16"/>
        </w:rPr>
      </w:pPr>
      <w:r w:rsidRPr="00F90EAE">
        <w:rPr>
          <w:color w:val="0070C0"/>
          <w:sz w:val="16"/>
          <w:szCs w:val="16"/>
        </w:rPr>
        <w:t>30 января 1945 г.</w:t>
      </w:r>
    </w:p>
    <w:p w14:paraId="5B8B4837" w14:textId="77777777" w:rsidR="004C221F" w:rsidRPr="00F90EAE" w:rsidRDefault="004C221F" w:rsidP="00F90EAE">
      <w:pPr>
        <w:jc w:val="both"/>
        <w:rPr>
          <w:color w:val="0070C0"/>
          <w:sz w:val="16"/>
          <w:szCs w:val="16"/>
        </w:rPr>
      </w:pPr>
      <w:r w:rsidRPr="00F90EAE">
        <w:rPr>
          <w:color w:val="0070C0"/>
          <w:sz w:val="16"/>
          <w:szCs w:val="16"/>
        </w:rPr>
        <w:t>В целях обеспечения выпуска самолетов Ил-10 с задней стрелковой установкой ВУ-9 под пушку Березина калибра 20 мм</w:t>
      </w:r>
    </w:p>
    <w:p w14:paraId="095E4AD6" w14:textId="77777777" w:rsidR="004C221F" w:rsidRPr="00F90EAE" w:rsidRDefault="004C221F" w:rsidP="00F90EAE">
      <w:pPr>
        <w:jc w:val="both"/>
        <w:rPr>
          <w:color w:val="0070C0"/>
          <w:sz w:val="16"/>
          <w:szCs w:val="16"/>
        </w:rPr>
      </w:pPr>
      <w:r w:rsidRPr="00F90EAE">
        <w:rPr>
          <w:color w:val="0070C0"/>
          <w:sz w:val="16"/>
          <w:szCs w:val="16"/>
        </w:rPr>
        <w:t>ПРИКАЗЫВАЮ:</w:t>
      </w:r>
    </w:p>
    <w:p w14:paraId="0169B9F4" w14:textId="77777777" w:rsidR="004C221F" w:rsidRPr="00F90EAE" w:rsidRDefault="004C221F" w:rsidP="00F90EAE">
      <w:pPr>
        <w:jc w:val="both"/>
        <w:rPr>
          <w:color w:val="0070C0"/>
          <w:sz w:val="16"/>
          <w:szCs w:val="16"/>
        </w:rPr>
      </w:pPr>
      <w:r w:rsidRPr="00F90EAE">
        <w:rPr>
          <w:color w:val="0070C0"/>
          <w:sz w:val="16"/>
          <w:szCs w:val="16"/>
        </w:rPr>
        <w:t>1. Начальнику 10 Главного Управления - зам. наркома тов. Кузнецову А.И. и директору завода № 18 тов. Белянскому обеспечить выпуск самолетов Ил-10 с задней стрелковой установкой ВУ-9, с пушкой Березина 20 мм в следующие сроки:</w:t>
      </w:r>
    </w:p>
    <w:p w14:paraId="500F80AF" w14:textId="77777777" w:rsidR="004C221F" w:rsidRPr="00F90EAE" w:rsidRDefault="004C221F" w:rsidP="00F90EAE">
      <w:pPr>
        <w:jc w:val="both"/>
        <w:rPr>
          <w:color w:val="0070C0"/>
          <w:sz w:val="16"/>
          <w:szCs w:val="16"/>
        </w:rPr>
      </w:pPr>
      <w:r w:rsidRPr="00F90EAE">
        <w:rPr>
          <w:color w:val="0070C0"/>
          <w:sz w:val="16"/>
          <w:szCs w:val="16"/>
        </w:rPr>
        <w:t>в феврале выпустить заводу № 18</w:t>
      </w:r>
      <w:r w:rsidRPr="00F90EAE">
        <w:rPr>
          <w:color w:val="0070C0"/>
          <w:sz w:val="16"/>
          <w:szCs w:val="16"/>
        </w:rPr>
        <w:tab/>
        <w:t>- 30 самолетов,</w:t>
      </w:r>
    </w:p>
    <w:p w14:paraId="7DC89882" w14:textId="77777777" w:rsidR="004C221F" w:rsidRPr="00F90EAE" w:rsidRDefault="004C221F" w:rsidP="00F90EAE">
      <w:pPr>
        <w:jc w:val="both"/>
        <w:rPr>
          <w:color w:val="0070C0"/>
          <w:sz w:val="16"/>
          <w:szCs w:val="16"/>
        </w:rPr>
      </w:pPr>
      <w:r w:rsidRPr="00F90EAE">
        <w:rPr>
          <w:color w:val="0070C0"/>
          <w:sz w:val="16"/>
          <w:szCs w:val="16"/>
        </w:rPr>
        <w:t>в марте -»- заводу №18</w:t>
      </w:r>
      <w:r w:rsidRPr="00F90EAE">
        <w:rPr>
          <w:color w:val="0070C0"/>
          <w:sz w:val="16"/>
          <w:szCs w:val="16"/>
        </w:rPr>
        <w:tab/>
        <w:t>- 75 самолетов,</w:t>
      </w:r>
    </w:p>
    <w:p w14:paraId="138F9DDA" w14:textId="77777777" w:rsidR="004C221F" w:rsidRPr="00F90EAE" w:rsidRDefault="004C221F" w:rsidP="00F90EAE">
      <w:pPr>
        <w:jc w:val="both"/>
        <w:rPr>
          <w:color w:val="0070C0"/>
          <w:sz w:val="16"/>
          <w:szCs w:val="16"/>
        </w:rPr>
      </w:pPr>
      <w:r w:rsidRPr="00F90EAE">
        <w:rPr>
          <w:color w:val="0070C0"/>
          <w:sz w:val="16"/>
          <w:szCs w:val="16"/>
        </w:rPr>
        <w:t>в апреле заводу № 18 перейти полностью на выпуск самолетов Ил-10 с пушечной установкой ВУ-9, с пушкой Березина 20 мм.</w:t>
      </w:r>
    </w:p>
    <w:p w14:paraId="07A779F5" w14:textId="77777777" w:rsidR="004C221F" w:rsidRPr="00F90EAE" w:rsidRDefault="004C221F" w:rsidP="00F90EAE">
      <w:pPr>
        <w:jc w:val="both"/>
        <w:rPr>
          <w:color w:val="0070C0"/>
          <w:sz w:val="16"/>
          <w:szCs w:val="16"/>
        </w:rPr>
      </w:pPr>
      <w:r w:rsidRPr="00F90EAE">
        <w:rPr>
          <w:color w:val="0070C0"/>
          <w:sz w:val="16"/>
          <w:szCs w:val="16"/>
        </w:rPr>
        <w:lastRenderedPageBreak/>
        <w:t>2. Начальнику 2 Главного Управления тов. Гришину обеспечить выпуск пушечных установок ВУ-9 в соответствии с программой, заданной заводам №№ 1 и 18.</w:t>
      </w:r>
    </w:p>
    <w:p w14:paraId="3EFE639A" w14:textId="77777777" w:rsidR="004C221F" w:rsidRPr="00F90EAE" w:rsidRDefault="004C221F" w:rsidP="00F90EAE">
      <w:pPr>
        <w:jc w:val="both"/>
        <w:rPr>
          <w:color w:val="0070C0"/>
          <w:sz w:val="16"/>
          <w:szCs w:val="16"/>
        </w:rPr>
      </w:pPr>
      <w:r w:rsidRPr="00F90EAE">
        <w:rPr>
          <w:color w:val="0070C0"/>
          <w:sz w:val="16"/>
          <w:szCs w:val="16"/>
        </w:rPr>
        <w:t>3. Начальнику Главного Управления заказов ВВС КА генерал-лейтенанту тов. Селезневу обеспечить приемку установок ВУ-9 на заводах 2-го Главного Управления и самолетов Ил-10 на заводах №№ 1 и 18 с задней стрелковой установкой ВУ-9 с пушкой Березина калибра 20 мм.</w:t>
      </w:r>
    </w:p>
    <w:p w14:paraId="403FDC3E" w14:textId="77777777" w:rsidR="004C221F" w:rsidRPr="00F90EAE" w:rsidRDefault="004C221F" w:rsidP="00F90EAE">
      <w:pPr>
        <w:jc w:val="both"/>
        <w:rPr>
          <w:color w:val="0070C0"/>
          <w:sz w:val="16"/>
          <w:szCs w:val="16"/>
        </w:rPr>
      </w:pPr>
      <w:r w:rsidRPr="00F90EAE">
        <w:rPr>
          <w:color w:val="0070C0"/>
          <w:sz w:val="16"/>
          <w:szCs w:val="16"/>
        </w:rPr>
        <w:t>Народный Комиссар</w:t>
      </w:r>
      <w:r w:rsidRPr="00F90EAE">
        <w:rPr>
          <w:color w:val="0070C0"/>
          <w:sz w:val="16"/>
          <w:szCs w:val="16"/>
        </w:rPr>
        <w:tab/>
        <w:t>Командующий</w:t>
      </w:r>
      <w:r w:rsidRPr="00F90EAE">
        <w:rPr>
          <w:color w:val="0070C0"/>
          <w:sz w:val="16"/>
          <w:szCs w:val="16"/>
        </w:rPr>
        <w:tab/>
        <w:t>ВВС Красной Армии авиационной промышленности Главный маршал авиации</w:t>
      </w:r>
    </w:p>
    <w:p w14:paraId="6CF1136F" w14:textId="77777777" w:rsidR="004C221F" w:rsidRPr="00F90EAE" w:rsidRDefault="004C221F" w:rsidP="00F90EAE">
      <w:pPr>
        <w:jc w:val="both"/>
        <w:rPr>
          <w:color w:val="0070C0"/>
          <w:sz w:val="16"/>
          <w:szCs w:val="16"/>
        </w:rPr>
      </w:pPr>
      <w:r w:rsidRPr="00F90EAE">
        <w:rPr>
          <w:color w:val="0070C0"/>
          <w:sz w:val="16"/>
          <w:szCs w:val="16"/>
        </w:rPr>
        <w:t>А. Шахурин</w:t>
      </w:r>
      <w:r w:rsidRPr="00F90EAE">
        <w:rPr>
          <w:color w:val="0070C0"/>
          <w:sz w:val="16"/>
          <w:szCs w:val="16"/>
        </w:rPr>
        <w:tab/>
        <w:t>А.</w:t>
      </w:r>
      <w:r w:rsidRPr="00F90EAE">
        <w:rPr>
          <w:color w:val="0070C0"/>
          <w:sz w:val="16"/>
          <w:szCs w:val="16"/>
        </w:rPr>
        <w:tab/>
        <w:t>Новиков</w:t>
      </w:r>
    </w:p>
    <w:p w14:paraId="77836C27" w14:textId="77777777" w:rsidR="004C221F" w:rsidRPr="00F90EAE" w:rsidRDefault="004C221F" w:rsidP="00F90EAE">
      <w:pPr>
        <w:jc w:val="both"/>
        <w:rPr>
          <w:color w:val="0070C0"/>
          <w:sz w:val="16"/>
          <w:szCs w:val="16"/>
        </w:rPr>
      </w:pPr>
      <w:r w:rsidRPr="00F90EAE">
        <w:rPr>
          <w:color w:val="0070C0"/>
          <w:sz w:val="16"/>
          <w:szCs w:val="16"/>
        </w:rPr>
        <w:t xml:space="preserve">ГАСО. Ф. </w:t>
      </w:r>
      <w:r w:rsidRPr="00F90EAE">
        <w:rPr>
          <w:color w:val="0070C0"/>
          <w:sz w:val="16"/>
          <w:szCs w:val="16"/>
          <w:lang w:val="en-US"/>
        </w:rPr>
        <w:t>P</w:t>
      </w:r>
      <w:r w:rsidRPr="00F90EAE">
        <w:rPr>
          <w:color w:val="0070C0"/>
          <w:sz w:val="16"/>
          <w:szCs w:val="16"/>
        </w:rPr>
        <w:t xml:space="preserve">-3454. </w:t>
      </w:r>
      <w:r w:rsidRPr="00F90EAE">
        <w:rPr>
          <w:color w:val="0070C0"/>
          <w:sz w:val="16"/>
          <w:szCs w:val="16"/>
          <w:lang w:val="en-US"/>
        </w:rPr>
        <w:t>On</w:t>
      </w:r>
      <w:r w:rsidRPr="00F90EAE">
        <w:rPr>
          <w:color w:val="0070C0"/>
          <w:sz w:val="16"/>
          <w:szCs w:val="16"/>
        </w:rPr>
        <w:t>. 1. Д. 50. Л. 3. Завер. Копия (20522).</w:t>
      </w:r>
    </w:p>
    <w:p w14:paraId="07D9047D" w14:textId="77777777" w:rsidR="004C221F" w:rsidRPr="00F90EAE" w:rsidRDefault="004C221F" w:rsidP="00F90EAE">
      <w:pPr>
        <w:jc w:val="both"/>
        <w:rPr>
          <w:color w:val="0070C0"/>
          <w:sz w:val="16"/>
          <w:szCs w:val="16"/>
        </w:rPr>
      </w:pPr>
    </w:p>
    <w:p w14:paraId="6F9EBA84"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30 января 1945 г. приказом ВВС и НКАП № 32сс/004 на заводе № 18 длительное время проводились заводские испытания 20-мм пушек БТ-20 производства завода № 74 НКВ на задней подвижной оборонительной установке ВУ-9 конструкции завода № 454.</w:t>
      </w:r>
    </w:p>
    <w:p w14:paraId="37665BCE"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К началу марта удалось завершить первый наземный этап заводских испытаний ВУ-9 с БТ-20 на самолете Ил-10.</w:t>
      </w:r>
    </w:p>
    <w:p w14:paraId="6CDCBF6E"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6BA8D7BE"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47698CBC" w14:textId="77777777" w:rsidR="00B65582" w:rsidRPr="00F90EAE" w:rsidRDefault="00B65582" w:rsidP="00F90EAE">
      <w:pPr>
        <w:jc w:val="both"/>
        <w:rPr>
          <w:color w:val="000000" w:themeColor="text1"/>
          <w:sz w:val="16"/>
          <w:szCs w:val="16"/>
        </w:rPr>
      </w:pPr>
      <w:r w:rsidRPr="00F90EAE">
        <w:rPr>
          <w:rStyle w:val="107"/>
          <w:rFonts w:eastAsiaTheme="minorHAnsi"/>
          <w:color w:val="000000" w:themeColor="text1"/>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 (17481).</w:t>
      </w:r>
    </w:p>
    <w:p w14:paraId="3748D3C0" w14:textId="77777777" w:rsidR="00B65582" w:rsidRPr="00F90EAE" w:rsidRDefault="00B65582" w:rsidP="00F90EAE">
      <w:pPr>
        <w:jc w:val="both"/>
        <w:rPr>
          <w:color w:val="000000" w:themeColor="text1"/>
          <w:sz w:val="16"/>
          <w:szCs w:val="16"/>
        </w:rPr>
      </w:pPr>
    </w:p>
    <w:p w14:paraId="7FF043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вышел приказ НКАП № 34с:</w:t>
      </w:r>
    </w:p>
    <w:p w14:paraId="3F4F86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З-д 483 2 ГУ передать в систему 17 ГУ под производство радиолокационных опозновательных приборов. Дементьев (1890, 40).</w:t>
      </w:r>
    </w:p>
    <w:p w14:paraId="68E1D76D" w14:textId="77777777" w:rsidR="00C2313B" w:rsidRPr="00F90EAE" w:rsidRDefault="00C2313B" w:rsidP="00F90EAE">
      <w:pPr>
        <w:autoSpaceDE w:val="0"/>
        <w:autoSpaceDN w:val="0"/>
        <w:adjustRightInd w:val="0"/>
        <w:jc w:val="both"/>
        <w:rPr>
          <w:color w:val="000000" w:themeColor="text1"/>
          <w:sz w:val="16"/>
          <w:szCs w:val="16"/>
        </w:rPr>
      </w:pPr>
    </w:p>
    <w:p w14:paraId="3B125B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года вышел приказ НКАП за № 34с во исполнение Постановления ГКО за № 7426 от 29 января 1945 года, которым заводу № 483 был установлен другой профиль производственной деятельности – выпуск радиоопознавательных приборов типа “СЧ-3М” и с февраля 1945 года завод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 Директор – И. Погорелов</w:t>
      </w:r>
    </w:p>
    <w:p w14:paraId="4A453F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Киев, ул. Владимиро-Лыбедская, д. 3</w:t>
      </w:r>
    </w:p>
    <w:p w14:paraId="5D98C0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приборный радиолокационный завод (9855).</w:t>
      </w:r>
    </w:p>
    <w:p w14:paraId="4812AD69" w14:textId="77777777" w:rsidR="00C2313B" w:rsidRPr="00F90EAE" w:rsidRDefault="00C2313B" w:rsidP="00F90EAE">
      <w:pPr>
        <w:autoSpaceDE w:val="0"/>
        <w:autoSpaceDN w:val="0"/>
        <w:adjustRightInd w:val="0"/>
        <w:jc w:val="both"/>
        <w:rPr>
          <w:color w:val="000000" w:themeColor="text1"/>
          <w:sz w:val="16"/>
          <w:szCs w:val="16"/>
        </w:rPr>
      </w:pPr>
    </w:p>
    <w:p w14:paraId="0F936E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г. по приказу № 34с завод № 483 (Завод № 483 НКАП, МАЦ, МОП /Украина  г. Киев/) с 1.01.1945 г. передан из 2ГУ в 17ГУ для организации выпуска РЛ опознавательных приборов. В соответствии с пост. СМ СССР № 713-342 от 26.06.1957 г. передан в ведение СНХ УССР.</w:t>
      </w:r>
    </w:p>
    <w:p w14:paraId="25F5EC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1946 г. заводу поставлено 34 трофейных металлорежущих станка.</w:t>
      </w:r>
    </w:p>
    <w:p w14:paraId="66842F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Возможно, затем завод передан в МОП и далее это- завод № 784 (завод «Арсенал»).</w:t>
      </w:r>
    </w:p>
    <w:p w14:paraId="782FD4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(03.1946 г.)- И.И. Копошилко, (1951 г.)- Данилич.</w:t>
      </w:r>
    </w:p>
    <w:p w14:paraId="5DF00D5F"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ответчик СОД-57М; РВ-2; «Натрий», ПСБН-М; РЛГС: ПАРГ-13ВВ для К-13Р, ТГС-59 для К- 55; прицельно-вычислительное устройство «Ландыш» для Ми-14; станция РЛ разведки и постановки помех </w:t>
      </w:r>
      <w:r w:rsidRPr="00F90EAE">
        <w:rPr>
          <w:color w:val="000000" w:themeColor="text1"/>
          <w:sz w:val="16"/>
          <w:szCs w:val="16"/>
          <w:lang w:val="en-US"/>
        </w:rPr>
        <w:t>IIP</w:t>
      </w:r>
      <w:r w:rsidRPr="00F90EAE">
        <w:rPr>
          <w:color w:val="000000" w:themeColor="text1"/>
          <w:sz w:val="16"/>
          <w:szCs w:val="16"/>
        </w:rPr>
        <w:t>-1 (1954).</w:t>
      </w:r>
    </w:p>
    <w:p w14:paraId="5D3DE4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Киевский завод «Коммунист», ПО «Коммунист», Государственное ПО (ГПО) «Радар»,</w:t>
      </w:r>
    </w:p>
    <w:p w14:paraId="2A6D5D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ОАО «Киевский завод «Радар» /Украина  г. Киев а/я 601/ /Украина 01650 (03680)  г. Киев ул. Предславинская, 35 тел. 269-93-03/</w:t>
      </w:r>
    </w:p>
    <w:p w14:paraId="409B9D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«Коммунист» основан в 1930 г. Далее - завод № 454, после восстановления -- завод № 483 НКАП.</w:t>
      </w:r>
    </w:p>
    <w:p w14:paraId="2D0651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(2003 г.): метео РЛ-комплексы ЛА; УКВ-системы управления посадкой; аппаратура опознавания; высокочастотные антенны; ГСН.</w:t>
      </w:r>
    </w:p>
    <w:p w14:paraId="66635C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(2002 г.)- Т.П. Майоров.</w:t>
      </w:r>
    </w:p>
    <w:p w14:paraId="0CE031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Зам. директора по экономике и ВЭС (2002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Майстренко.</w:t>
      </w:r>
      <w:r w:rsidRPr="00F90EAE">
        <w:rPr>
          <w:color w:val="000000" w:themeColor="text1"/>
          <w:sz w:val="16"/>
          <w:szCs w:val="16"/>
          <w:vertAlign w:val="superscript"/>
        </w:rPr>
        <w:t>69</w:t>
      </w:r>
    </w:p>
    <w:p w14:paraId="0FC99349"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прицельно-навигационные системы ПНС-24 «Пума» для Су-24, ПНС-24М для Су-24М, ПНС- 24ПМ для Су-24МП (1970-е), </w:t>
      </w:r>
      <w:r w:rsidRPr="00F90EAE">
        <w:rPr>
          <w:color w:val="000000" w:themeColor="text1"/>
          <w:sz w:val="16"/>
          <w:szCs w:val="16"/>
          <w:lang w:val="en-US"/>
        </w:rPr>
        <w:t>IIHC</w:t>
      </w:r>
      <w:r w:rsidRPr="00F90EAE">
        <w:rPr>
          <w:color w:val="000000" w:themeColor="text1"/>
          <w:sz w:val="16"/>
          <w:szCs w:val="16"/>
        </w:rPr>
        <w:t>-24</w:t>
      </w:r>
      <w:r w:rsidRPr="00F90EAE">
        <w:rPr>
          <w:color w:val="000000" w:themeColor="text1"/>
          <w:sz w:val="16"/>
          <w:szCs w:val="16"/>
          <w:lang w:val="en-US"/>
        </w:rPr>
        <w:t>MP</w:t>
      </w:r>
      <w:r w:rsidRPr="00F90EAE">
        <w:rPr>
          <w:color w:val="000000" w:themeColor="text1"/>
          <w:sz w:val="16"/>
          <w:szCs w:val="16"/>
        </w:rPr>
        <w:t xml:space="preserve"> для Су-24МР (1970-е); бытовой дозиметр СИМ-05 «Юпитер»; </w:t>
      </w:r>
      <w:r w:rsidRPr="00F90EAE">
        <w:rPr>
          <w:iCs/>
          <w:color w:val="000000" w:themeColor="text1"/>
          <w:sz w:val="16"/>
          <w:szCs w:val="16"/>
        </w:rPr>
        <w:t>магнитофоны:</w:t>
      </w:r>
      <w:r w:rsidRPr="00F90EAE">
        <w:rPr>
          <w:color w:val="000000" w:themeColor="text1"/>
          <w:sz w:val="16"/>
          <w:szCs w:val="16"/>
        </w:rPr>
        <w:t xml:space="preserve"> «Мр1я», «Юпитер-201С, -202С, -203С, МК-203С, -204С, -101С, МК-106С, -001С, -002С, 003С, - 004-квадро».</w:t>
      </w:r>
    </w:p>
    <w:p w14:paraId="432418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ОКБ-483 МАП /Украина  г. Киев/</w:t>
      </w:r>
    </w:p>
    <w:p w14:paraId="5AC373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прицелов и систем управления УРВП. Велась отработка РЛ-прицелов ПСБН-М (1950 г.), ПСБН- МА (1954 г.-), созданных в ЦНИИ-108. В 08.1957 г.- в ведении 4ГУ ГКАТ.</w:t>
      </w:r>
    </w:p>
    <w:p w14:paraId="172FA8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Возможно, затем ОКБ передано в МОП и далее это- ЦКБ «Арсенал».</w:t>
      </w:r>
    </w:p>
    <w:p w14:paraId="1A691E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(-1950-57 г.-) - В.П. Островский.</w:t>
      </w:r>
    </w:p>
    <w:p w14:paraId="4DC2CA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(-1950-57 г.-) - В.П. Островский.</w:t>
      </w:r>
    </w:p>
    <w:p w14:paraId="44D3A985" w14:textId="77777777" w:rsidR="00C2313B" w:rsidRPr="00F90EAE" w:rsidRDefault="00C2313B"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РЛ прицелы: РБП-3, «Инициатива», «Инициатива-2» для Ту-98 и Ил-54 (1955-), «Инициатива-4» для Як-28И (середина 1950-х)</w:t>
      </w:r>
      <w:r w:rsidRPr="00F90EAE">
        <w:rPr>
          <w:color w:val="000000" w:themeColor="text1"/>
          <w:sz w:val="16"/>
          <w:szCs w:val="16"/>
          <w:vertAlign w:val="superscript"/>
        </w:rPr>
        <w:t>74</w:t>
      </w:r>
      <w:r w:rsidRPr="00F90EAE">
        <w:rPr>
          <w:color w:val="000000" w:themeColor="text1"/>
          <w:sz w:val="16"/>
          <w:szCs w:val="16"/>
        </w:rPr>
        <w:t>, «Самшит» для Ил-28 и Ил-54 (1955-); РЛ-ответчик «Штырь» (1955) (11982).</w:t>
      </w:r>
    </w:p>
    <w:p w14:paraId="071B267E" w14:textId="77777777" w:rsidR="00590D1F" w:rsidRPr="00F90EAE" w:rsidRDefault="00590D1F" w:rsidP="00F90EAE">
      <w:pPr>
        <w:autoSpaceDE w:val="0"/>
        <w:autoSpaceDN w:val="0"/>
        <w:adjustRightInd w:val="0"/>
        <w:jc w:val="both"/>
        <w:rPr>
          <w:iCs/>
          <w:color w:val="000000" w:themeColor="text1"/>
          <w:sz w:val="16"/>
          <w:szCs w:val="16"/>
        </w:rPr>
      </w:pPr>
    </w:p>
    <w:p w14:paraId="37A054B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CDEB903" w14:textId="77777777" w:rsidR="00C2313B" w:rsidRPr="00F90EAE" w:rsidRDefault="00C2313B" w:rsidP="00F90EAE">
      <w:pPr>
        <w:autoSpaceDE w:val="0"/>
        <w:autoSpaceDN w:val="0"/>
        <w:adjustRightInd w:val="0"/>
        <w:jc w:val="both"/>
        <w:rPr>
          <w:iCs/>
          <w:color w:val="000000" w:themeColor="text1"/>
          <w:sz w:val="16"/>
          <w:szCs w:val="16"/>
        </w:rPr>
      </w:pPr>
    </w:p>
    <w:p w14:paraId="276C7B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изготовлен первый танк Т-54 (11075).</w:t>
      </w:r>
    </w:p>
    <w:p w14:paraId="07C46484" w14:textId="77777777" w:rsidR="00C2313B" w:rsidRPr="00F90EAE" w:rsidRDefault="00C2313B" w:rsidP="00F90EAE">
      <w:pPr>
        <w:autoSpaceDE w:val="0"/>
        <w:autoSpaceDN w:val="0"/>
        <w:adjustRightInd w:val="0"/>
        <w:jc w:val="both"/>
        <w:rPr>
          <w:color w:val="000000" w:themeColor="text1"/>
          <w:sz w:val="16"/>
          <w:szCs w:val="16"/>
        </w:rPr>
      </w:pPr>
    </w:p>
    <w:p w14:paraId="1450E0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30 января 1945 г. на за</w:t>
      </w:r>
      <w:r w:rsidRPr="00F90EAE">
        <w:rPr>
          <w:color w:val="000000" w:themeColor="text1"/>
          <w:sz w:val="16"/>
          <w:szCs w:val="16"/>
        </w:rPr>
        <w:softHyphen/>
        <w:t>воде №183 изготовили первый опытный образец танка Т-54,который был направ</w:t>
      </w:r>
      <w:r w:rsidRPr="00F90EAE">
        <w:rPr>
          <w:color w:val="000000" w:themeColor="text1"/>
          <w:sz w:val="16"/>
          <w:szCs w:val="16"/>
        </w:rPr>
        <w:softHyphen/>
        <w:t>лен в заводской пробег. После завершения заводского пробега и окончательной сборки эту машину отправили в Москву на завод №37 для показа командованию БГ и МВ КА и членам правительства, куда она прибыла 22 февраля 1945 г.</w:t>
      </w:r>
    </w:p>
    <w:p w14:paraId="7DBC23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Опытный танк Т-54 обр. 1945 г. представ</w:t>
      </w:r>
      <w:r w:rsidRPr="00F90EAE">
        <w:rPr>
          <w:color w:val="000000" w:themeColor="text1"/>
          <w:sz w:val="16"/>
          <w:szCs w:val="16"/>
        </w:rPr>
        <w:softHyphen/>
        <w:t>лял собой модернизацию танка Т-44 обр. 1944 г. в направлении значительного повы</w:t>
      </w:r>
      <w:r w:rsidRPr="00F90EAE">
        <w:rPr>
          <w:color w:val="000000" w:themeColor="text1"/>
          <w:sz w:val="16"/>
          <w:szCs w:val="16"/>
        </w:rPr>
        <w:softHyphen/>
        <w:t>шения его боевых свойств - огневой мощи и защищенности, что в пределах заданной боевой массы было достигнуто главным об</w:t>
      </w:r>
      <w:r w:rsidRPr="00F90EAE">
        <w:rPr>
          <w:color w:val="000000" w:themeColor="text1"/>
          <w:sz w:val="16"/>
          <w:szCs w:val="16"/>
        </w:rPr>
        <w:softHyphen/>
        <w:t>разом за счет совершенствования классичес</w:t>
      </w:r>
      <w:r w:rsidRPr="00F90EAE">
        <w:rPr>
          <w:color w:val="000000" w:themeColor="text1"/>
          <w:sz w:val="16"/>
          <w:szCs w:val="16"/>
        </w:rPr>
        <w:softHyphen/>
        <w:t>кой схемы общей компоновки машины. Со</w:t>
      </w:r>
      <w:r w:rsidRPr="00F90EAE">
        <w:rPr>
          <w:color w:val="000000" w:themeColor="text1"/>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F90EAE">
        <w:rPr>
          <w:color w:val="000000" w:themeColor="text1"/>
          <w:sz w:val="16"/>
          <w:szCs w:val="16"/>
        </w:rPr>
        <w:softHyphen/>
        <w:t>нию забронированного объема до 11,8 м</w:t>
      </w:r>
      <w:r w:rsidRPr="00F90EAE">
        <w:rPr>
          <w:color w:val="000000" w:themeColor="text1"/>
          <w:sz w:val="16"/>
          <w:szCs w:val="16"/>
          <w:vertAlign w:val="superscript"/>
        </w:rPr>
        <w:t xml:space="preserve">3 </w:t>
      </w:r>
      <w:r w:rsidRPr="00F90EAE">
        <w:rPr>
          <w:color w:val="000000" w:themeColor="text1"/>
          <w:sz w:val="16"/>
          <w:szCs w:val="16"/>
        </w:rPr>
        <w:t>(для сравнения: у танка Т-34-85 эта величина была равна 12,6 м</w:t>
      </w:r>
      <w:r w:rsidRPr="00F90EAE">
        <w:rPr>
          <w:color w:val="000000" w:themeColor="text1"/>
          <w:sz w:val="16"/>
          <w:szCs w:val="16"/>
          <w:vertAlign w:val="superscript"/>
        </w:rPr>
        <w:t>3</w:t>
      </w:r>
      <w:r w:rsidRPr="00F90EAE">
        <w:rPr>
          <w:color w:val="000000" w:themeColor="text1"/>
          <w:sz w:val="16"/>
          <w:szCs w:val="16"/>
        </w:rPr>
        <w:t>). Высота машины была уменьшена на 300 мм по сравнению с высо</w:t>
      </w:r>
      <w:r w:rsidRPr="00F90EAE">
        <w:rPr>
          <w:color w:val="000000" w:themeColor="text1"/>
          <w:sz w:val="16"/>
          <w:szCs w:val="16"/>
        </w:rPr>
        <w:softHyphen/>
        <w:t>той танка Т-34-85, что также позволило сэко</w:t>
      </w:r>
      <w:r w:rsidRPr="00F90EAE">
        <w:rPr>
          <w:color w:val="000000" w:themeColor="text1"/>
          <w:sz w:val="16"/>
          <w:szCs w:val="16"/>
        </w:rPr>
        <w:softHyphen/>
        <w:t>номленную при этом массу использовать для усиления броневой зашиты нового танка.</w:t>
      </w:r>
    </w:p>
    <w:p w14:paraId="35A71B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F90EAE">
        <w:rPr>
          <w:color w:val="000000" w:themeColor="text1"/>
          <w:sz w:val="16"/>
          <w:szCs w:val="16"/>
        </w:rPr>
        <w:softHyphen/>
        <w:t>ны по сравнению с танком Т-44.</w:t>
      </w:r>
    </w:p>
    <w:p w14:paraId="66D806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Благодаря принятой схеме общей компо</w:t>
      </w:r>
      <w:r w:rsidRPr="00F90EAE">
        <w:rPr>
          <w:color w:val="000000" w:themeColor="text1"/>
          <w:sz w:val="16"/>
          <w:szCs w:val="16"/>
        </w:rPr>
        <w:softHyphen/>
        <w:t>новки башню удалось сместить в сторону кор</w:t>
      </w:r>
      <w:r w:rsidRPr="00F90EAE">
        <w:rPr>
          <w:color w:val="000000" w:themeColor="text1"/>
          <w:sz w:val="16"/>
          <w:szCs w:val="16"/>
        </w:rPr>
        <w:softHyphen/>
        <w:t>мы танка и расположить на подбашенном ли</w:t>
      </w:r>
      <w:r w:rsidRPr="00F90EAE">
        <w:rPr>
          <w:color w:val="000000" w:themeColor="text1"/>
          <w:sz w:val="16"/>
          <w:szCs w:val="16"/>
        </w:rPr>
        <w:softHyphen/>
        <w:t>сте корпуса люк механика-водителя. Эта дало возможность значительно усилить противо-снарядную стойкость носовой части.</w:t>
      </w:r>
    </w:p>
    <w:p w14:paraId="0883EA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Вооружение танка состояло из 100-мм опытной танковой пушки Д-10Т-К конструк</w:t>
      </w:r>
      <w:r w:rsidRPr="00F90EAE">
        <w:rPr>
          <w:color w:val="000000" w:themeColor="text1"/>
          <w:sz w:val="16"/>
          <w:szCs w:val="16"/>
        </w:rPr>
        <w:softHyphen/>
        <w:t>ции завода №9 НКВ и двух 7,62-мм пулеме</w:t>
      </w:r>
      <w:r w:rsidRPr="00F90EAE">
        <w:rPr>
          <w:color w:val="000000" w:themeColor="text1"/>
          <w:sz w:val="16"/>
          <w:szCs w:val="16"/>
        </w:rPr>
        <w:softHyphen/>
        <w:t>тов ГВТ с ленточным питанием, один из которых был спарен с пушкой, второй — кур</w:t>
      </w:r>
      <w:r w:rsidRPr="00F90EAE">
        <w:rPr>
          <w:color w:val="000000" w:themeColor="text1"/>
          <w:sz w:val="16"/>
          <w:szCs w:val="16"/>
        </w:rPr>
        <w:softHyphen/>
        <w:t>совой, устанавливался в отделении управ</w:t>
      </w:r>
      <w:r w:rsidRPr="00F90EAE">
        <w:rPr>
          <w:color w:val="000000" w:themeColor="text1"/>
          <w:sz w:val="16"/>
          <w:szCs w:val="16"/>
        </w:rPr>
        <w:softHyphen/>
        <w:t>ления справа от механика-водителя.</w:t>
      </w:r>
    </w:p>
    <w:p w14:paraId="47D240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отличие от пушки Д-10Т обр. 1944 г., у пушки Д-10Т-К был упразднен пружинный уравновешивающий механизм. Уравновеши</w:t>
      </w:r>
      <w:r w:rsidRPr="00F90EAE">
        <w:rPr>
          <w:color w:val="000000" w:themeColor="text1"/>
          <w:sz w:val="16"/>
          <w:szCs w:val="16"/>
        </w:rPr>
        <w:softHyphen/>
        <w:t>вание качающейся части пушки осуществля</w:t>
      </w:r>
      <w:r w:rsidRPr="00F90EAE">
        <w:rPr>
          <w:color w:val="000000" w:themeColor="text1"/>
          <w:sz w:val="16"/>
          <w:szCs w:val="16"/>
        </w:rPr>
        <w:softHyphen/>
        <w:t>лось за счет некоторого облегчения высту</w:t>
      </w:r>
      <w:r w:rsidRPr="00F90EAE">
        <w:rPr>
          <w:color w:val="000000" w:themeColor="text1"/>
          <w:sz w:val="16"/>
          <w:szCs w:val="16"/>
        </w:rPr>
        <w:softHyphen/>
        <w:t>павшей за башню части трубы, утяжеления ограждения и подвески под казенную часть пушки специальных грузов.</w:t>
      </w:r>
    </w:p>
    <w:p w14:paraId="68049D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стрельбе из спаренной установки, корректировании огня, определении рассто</w:t>
      </w:r>
      <w:r w:rsidRPr="00F90EAE">
        <w:rPr>
          <w:color w:val="000000" w:themeColor="text1"/>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140BA36C"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приводе вертикальной наводки исполь</w:t>
      </w:r>
      <w:r w:rsidRPr="00F90EAE">
        <w:rPr>
          <w:color w:val="000000" w:themeColor="text1"/>
          <w:sz w:val="16"/>
          <w:szCs w:val="16"/>
        </w:rPr>
        <w:softHyphen/>
        <w:t>зовался подъемный механизм секторного типа с ручным и электромоторным приво</w:t>
      </w:r>
      <w:r w:rsidRPr="00F90EAE">
        <w:rPr>
          <w:color w:val="000000" w:themeColor="text1"/>
          <w:sz w:val="16"/>
          <w:szCs w:val="16"/>
        </w:rPr>
        <w:softHyphen/>
        <w:t>дом со сдающим звеном. Наводка спарен</w:t>
      </w:r>
      <w:r w:rsidRPr="00F90EAE">
        <w:rPr>
          <w:color w:val="000000" w:themeColor="text1"/>
          <w:sz w:val="16"/>
          <w:szCs w:val="16"/>
        </w:rPr>
        <w:softHyphen/>
        <w:t>ной установки в горизонтальной плоскости осуществлялось с помощью механизма по</w:t>
      </w:r>
      <w:r w:rsidRPr="00F90EAE">
        <w:rPr>
          <w:color w:val="000000" w:themeColor="text1"/>
          <w:sz w:val="16"/>
          <w:szCs w:val="16"/>
        </w:rPr>
        <w:softHyphen/>
        <w:t>ворота (МПБ), располагавшегося в башне с левой стороны.</w:t>
      </w:r>
    </w:p>
    <w:p w14:paraId="1D8929D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Для стрельбы из пушки применялись 100-мм унитарные выстрелы с бронебойно-трассирующим снарядом БР-412 с взрыва</w:t>
      </w:r>
      <w:r w:rsidRPr="00F90EAE">
        <w:rPr>
          <w:color w:val="000000" w:themeColor="text1"/>
          <w:sz w:val="16"/>
          <w:szCs w:val="16"/>
        </w:rPr>
        <w:softHyphen/>
        <w:t>телями МД-8 и с осколочно-фугасной гра</w:t>
      </w:r>
      <w:r w:rsidRPr="00F90EAE">
        <w:rPr>
          <w:color w:val="000000" w:themeColor="text1"/>
          <w:sz w:val="16"/>
          <w:szCs w:val="16"/>
        </w:rPr>
        <w:softHyphen/>
        <w:t>натой ОФ-412 с взрывателем РГМ. Броне</w:t>
      </w:r>
      <w:r w:rsidRPr="00F90EAE">
        <w:rPr>
          <w:color w:val="000000" w:themeColor="text1"/>
          <w:sz w:val="16"/>
          <w:szCs w:val="16"/>
        </w:rPr>
        <w:softHyphen/>
        <w:t>бойный снаряд массой 15,8 кг, имевший начальную скорость 897 м/с, на дистанции 1000 м пробивал вертикально расположен</w:t>
      </w:r>
      <w:r w:rsidRPr="00F90EAE">
        <w:rPr>
          <w:color w:val="000000" w:themeColor="text1"/>
          <w:sz w:val="16"/>
          <w:szCs w:val="16"/>
        </w:rPr>
        <w:softHyphen/>
        <w:t>ную броневую плиту толщиной 121 мм.</w:t>
      </w:r>
    </w:p>
    <w:p w14:paraId="321630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Броневая защита танка — дифференци</w:t>
      </w:r>
      <w:r w:rsidRPr="00F90EAE">
        <w:rPr>
          <w:color w:val="000000" w:themeColor="text1"/>
          <w:sz w:val="16"/>
          <w:szCs w:val="16"/>
        </w:rPr>
        <w:softHyphen/>
        <w:t>рованная противоснарядная. Конструкция корпуса была аналогична конструкции кор</w:t>
      </w:r>
      <w:r w:rsidRPr="00F90EAE">
        <w:rPr>
          <w:color w:val="000000" w:themeColor="text1"/>
          <w:sz w:val="16"/>
          <w:szCs w:val="16"/>
        </w:rPr>
        <w:softHyphen/>
        <w:t>пуса танка Т-44. Применение днища коры</w:t>
      </w:r>
      <w:r w:rsidRPr="00F90EAE">
        <w:rPr>
          <w:color w:val="000000" w:themeColor="text1"/>
          <w:sz w:val="16"/>
          <w:szCs w:val="16"/>
        </w:rPr>
        <w:softHyphen/>
        <w:t>тообразной формы с отогнутыми вверх кра</w:t>
      </w:r>
      <w:r w:rsidRPr="00F90EAE">
        <w:rPr>
          <w:color w:val="000000" w:themeColor="text1"/>
          <w:sz w:val="16"/>
          <w:szCs w:val="16"/>
        </w:rPr>
        <w:softHyphen/>
        <w:t>ями (реданом) позволило уменьшить высо</w:t>
      </w:r>
      <w:r w:rsidRPr="00F90EAE">
        <w:rPr>
          <w:color w:val="000000" w:themeColor="text1"/>
          <w:sz w:val="16"/>
          <w:szCs w:val="16"/>
        </w:rPr>
        <w:softHyphen/>
        <w:t>ту длинных и толстых бортовых броневых ли</w:t>
      </w:r>
      <w:r w:rsidRPr="00F90EAE">
        <w:rPr>
          <w:color w:val="000000" w:themeColor="text1"/>
          <w:sz w:val="16"/>
          <w:szCs w:val="16"/>
        </w:rPr>
        <w:softHyphen/>
        <w:t>стов корпуса и за счет этого сэкономить бо</w:t>
      </w:r>
      <w:r w:rsidRPr="00F90EAE">
        <w:rPr>
          <w:color w:val="000000" w:themeColor="text1"/>
          <w:sz w:val="16"/>
          <w:szCs w:val="16"/>
        </w:rPr>
        <w:softHyphen/>
        <w:t>лее тонны броневой стали.</w:t>
      </w:r>
    </w:p>
    <w:p w14:paraId="186209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Вращающаяся литая башня с диаметром опоры в свету 1800 мм, выполненная по типу башни танка Т-44, была изготовлена из бро</w:t>
      </w:r>
      <w:r w:rsidRPr="00F90EAE">
        <w:rPr>
          <w:color w:val="000000" w:themeColor="text1"/>
          <w:sz w:val="16"/>
          <w:szCs w:val="16"/>
        </w:rPr>
        <w:softHyphen/>
        <w:t>ни 66 АМС с закалкой на среднюю твердость.</w:t>
      </w:r>
    </w:p>
    <w:p w14:paraId="040A47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Вварная крыша башни изготавливалась из двух катаных броневых листов толщиной 30 мм, сваренных между собой.</w:t>
      </w:r>
    </w:p>
    <w:p w14:paraId="196F66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МТО танка перпендикулярно продоль</w:t>
      </w:r>
      <w:r w:rsidRPr="00F90EAE">
        <w:rPr>
          <w:color w:val="000000" w:themeColor="text1"/>
          <w:sz w:val="16"/>
          <w:szCs w:val="16"/>
        </w:rPr>
        <w:softHyphen/>
        <w:t>ной оси корпуса устанавливался У-образный двенадцатицилиндровый четырехтактный бескомпрессорный дизель В-2-44 мощнос</w:t>
      </w:r>
      <w:r w:rsidRPr="00F90EAE">
        <w:rPr>
          <w:color w:val="000000" w:themeColor="text1"/>
          <w:sz w:val="16"/>
          <w:szCs w:val="16"/>
        </w:rPr>
        <w:softHyphen/>
        <w:t>тью 520 л.с. (383 кВт).</w:t>
      </w:r>
    </w:p>
    <w:p w14:paraId="61C09B6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топливную систему входили четыре топливных бака общей емкостью 520 л. Кро</w:t>
      </w:r>
      <w:r w:rsidRPr="00F90EAE">
        <w:rPr>
          <w:color w:val="000000" w:themeColor="text1"/>
          <w:sz w:val="16"/>
          <w:szCs w:val="16"/>
        </w:rPr>
        <w:softHyphen/>
        <w:t>ме внутренних (основных) топливных баков, снаружи танка на надгусеничных полках ус</w:t>
      </w:r>
      <w:r w:rsidRPr="00F90EAE">
        <w:rPr>
          <w:color w:val="000000" w:themeColor="text1"/>
          <w:sz w:val="16"/>
          <w:szCs w:val="16"/>
        </w:rPr>
        <w:softHyphen/>
        <w:t>танавливались три дополнительных топлив</w:t>
      </w:r>
      <w:r w:rsidRPr="00F90EAE">
        <w:rPr>
          <w:color w:val="000000" w:themeColor="text1"/>
          <w:sz w:val="16"/>
          <w:szCs w:val="16"/>
        </w:rPr>
        <w:softHyphen/>
        <w:t>ных бака емкостью по 50 л каждый. Допол</w:t>
      </w:r>
      <w:r w:rsidRPr="00F90EAE">
        <w:rPr>
          <w:color w:val="000000" w:themeColor="text1"/>
          <w:sz w:val="16"/>
          <w:szCs w:val="16"/>
        </w:rPr>
        <w:softHyphen/>
        <w:t>нительные баки были включены в топливную систему. Запас хода по шоссе с использо</w:t>
      </w:r>
      <w:r w:rsidRPr="00F90EAE">
        <w:rPr>
          <w:color w:val="000000" w:themeColor="text1"/>
          <w:sz w:val="16"/>
          <w:szCs w:val="16"/>
        </w:rPr>
        <w:softHyphen/>
        <w:t>ванием дополнительных топливных баков достигал 300-360 км.</w:t>
      </w:r>
    </w:p>
    <w:p w14:paraId="3515CC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состав трансмиссии входили: вход</w:t>
      </w:r>
      <w:r w:rsidRPr="00F90EAE">
        <w:rPr>
          <w:color w:val="000000" w:themeColor="text1"/>
          <w:sz w:val="16"/>
          <w:szCs w:val="16"/>
        </w:rPr>
        <w:softHyphen/>
        <w:t>ной редуктор (гитара), многодисковый су</w:t>
      </w:r>
      <w:r w:rsidRPr="00F90EAE">
        <w:rPr>
          <w:color w:val="000000" w:themeColor="text1"/>
          <w:sz w:val="16"/>
          <w:szCs w:val="16"/>
        </w:rPr>
        <w:softHyphen/>
        <w:t>хого трения (сталь по стали), главный фрик</w:t>
      </w:r>
      <w:r w:rsidRPr="00F90EAE">
        <w:rPr>
          <w:color w:val="000000" w:themeColor="text1"/>
          <w:sz w:val="16"/>
          <w:szCs w:val="16"/>
        </w:rPr>
        <w:softHyphen/>
        <w:t>цион; треходовая пятиступенчатая короб</w:t>
      </w:r>
      <w:r w:rsidRPr="00F90EAE">
        <w:rPr>
          <w:color w:val="000000" w:themeColor="text1"/>
          <w:sz w:val="16"/>
          <w:szCs w:val="16"/>
        </w:rPr>
        <w:softHyphen/>
        <w:t>ка передач, два многодисковых сухого тре</w:t>
      </w:r>
      <w:r w:rsidRPr="00F90EAE">
        <w:rPr>
          <w:color w:val="000000" w:themeColor="text1"/>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2048AD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Система подрессорива-ния танка состояла из десяти балансиров, десяти торсион</w:t>
      </w:r>
      <w:r w:rsidRPr="00F90EAE">
        <w:rPr>
          <w:color w:val="000000" w:themeColor="text1"/>
          <w:sz w:val="16"/>
          <w:szCs w:val="16"/>
        </w:rPr>
        <w:softHyphen/>
        <w:t>ных валов с углом закрутки 44°, десяти кронштейнов, де</w:t>
      </w:r>
      <w:r w:rsidRPr="00F90EAE">
        <w:rPr>
          <w:color w:val="000000" w:themeColor="text1"/>
          <w:sz w:val="16"/>
          <w:szCs w:val="16"/>
        </w:rPr>
        <w:softHyphen/>
        <w:t>сяти опор балансиров, деся</w:t>
      </w:r>
      <w:r w:rsidRPr="00F90EAE">
        <w:rPr>
          <w:color w:val="000000" w:themeColor="text1"/>
          <w:sz w:val="16"/>
          <w:szCs w:val="16"/>
        </w:rPr>
        <w:softHyphen/>
        <w:t>ти упоров. Балансиры опор</w:t>
      </w:r>
      <w:r w:rsidRPr="00F90EAE">
        <w:rPr>
          <w:color w:val="000000" w:themeColor="text1"/>
          <w:sz w:val="16"/>
          <w:szCs w:val="16"/>
        </w:rPr>
        <w:softHyphen/>
        <w:t>ных катков, в отличие от штам</w:t>
      </w:r>
      <w:r w:rsidRPr="00F90EAE">
        <w:rPr>
          <w:color w:val="000000" w:themeColor="text1"/>
          <w:sz w:val="16"/>
          <w:szCs w:val="16"/>
        </w:rPr>
        <w:softHyphen/>
        <w:t>пованных балансиров танка Т-44, были изготовлены литы</w:t>
      </w:r>
      <w:r w:rsidRPr="00F90EAE">
        <w:rPr>
          <w:color w:val="000000" w:themeColor="text1"/>
          <w:sz w:val="16"/>
          <w:szCs w:val="16"/>
        </w:rPr>
        <w:softHyphen/>
        <w:t>ми, заодно целое с осями ба</w:t>
      </w:r>
      <w:r w:rsidRPr="00F90EAE">
        <w:rPr>
          <w:color w:val="000000" w:themeColor="text1"/>
          <w:sz w:val="16"/>
          <w:szCs w:val="16"/>
        </w:rPr>
        <w:softHyphen/>
        <w:t>лансиров.</w:t>
      </w:r>
    </w:p>
    <w:p w14:paraId="1F407E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083EAC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лением гусениц, двух ведущих колес, деся</w:t>
      </w:r>
      <w:r w:rsidRPr="00F90EAE">
        <w:rPr>
          <w:color w:val="000000" w:themeColor="text1"/>
          <w:sz w:val="16"/>
          <w:szCs w:val="16"/>
        </w:rPr>
        <w:softHyphen/>
        <w:t>ти литых сдвоенных опорных катков с наруж</w:t>
      </w:r>
      <w:r w:rsidRPr="00F90EAE">
        <w:rPr>
          <w:color w:val="000000" w:themeColor="text1"/>
          <w:sz w:val="16"/>
          <w:szCs w:val="16"/>
        </w:rPr>
        <w:softHyphen/>
        <w:t>ной амортизацией (диаметр 830 мм) и двух литых сдвоенных направляю</w:t>
      </w:r>
      <w:r w:rsidRPr="00F90EAE">
        <w:rPr>
          <w:color w:val="000000" w:themeColor="text1"/>
          <w:sz w:val="16"/>
          <w:szCs w:val="16"/>
        </w:rPr>
        <w:softHyphen/>
        <w:t>щих колес (диаметр 500 мм) с механизмами натяжения гусениц (11468).</w:t>
      </w:r>
    </w:p>
    <w:p w14:paraId="677658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239B7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января 1945 г. был изготовлен опытный образец танка Т-54. После заводс</w:t>
      </w:r>
      <w:r w:rsidRPr="00F90EAE">
        <w:rPr>
          <w:color w:val="000000" w:themeColor="text1"/>
          <w:sz w:val="16"/>
          <w:szCs w:val="16"/>
        </w:rPr>
        <w:softHyphen/>
        <w:t>кого пробега и показа командованию БТ и МВ КА и членам прави</w:t>
      </w:r>
      <w:r w:rsidRPr="00F90EAE">
        <w:rPr>
          <w:color w:val="000000" w:themeColor="text1"/>
          <w:sz w:val="16"/>
          <w:szCs w:val="16"/>
        </w:rPr>
        <w:softHyphen/>
        <w:t>тельства в период с 11 марта по 14 апреля 1945 г. он прошел испы</w:t>
      </w:r>
      <w:r w:rsidRPr="00F90EAE">
        <w:rPr>
          <w:color w:val="000000" w:themeColor="text1"/>
          <w:sz w:val="16"/>
          <w:szCs w:val="16"/>
        </w:rPr>
        <w:softHyphen/>
        <w:t>тания на НИБТ полигоне в Кубинке под руководством комиссии, воз</w:t>
      </w:r>
      <w:r w:rsidRPr="00F90EAE">
        <w:rPr>
          <w:color w:val="000000" w:themeColor="text1"/>
          <w:sz w:val="16"/>
          <w:szCs w:val="16"/>
        </w:rPr>
        <w:softHyphen/>
        <w:t>главляемой заместителем начальника Технического управления ГЕГГУ КАгв. полковником Е.А. Кульчицким.</w:t>
      </w:r>
    </w:p>
    <w:p w14:paraId="3B4FA21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испытаний нарком танковой промыш</w:t>
      </w:r>
      <w:r w:rsidRPr="00F90EAE">
        <w:rPr>
          <w:color w:val="000000" w:themeColor="text1"/>
          <w:sz w:val="16"/>
          <w:szCs w:val="16"/>
        </w:rPr>
        <w:softHyphen/>
        <w:t>ленности В.А. Малышев дал указания директору завода №183 гене</w:t>
      </w:r>
      <w:r w:rsidRPr="00F90EAE">
        <w:rPr>
          <w:color w:val="000000" w:themeColor="text1"/>
          <w:sz w:val="16"/>
          <w:szCs w:val="16"/>
        </w:rPr>
        <w:softHyphen/>
        <w:t>рал-майору ИТС Ю.Е. Максареву об изготовлении двух опытных об</w:t>
      </w:r>
      <w:r w:rsidRPr="00F90EAE">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790AB3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требовалось внести 68 изме</w:t>
      </w:r>
      <w:r w:rsidRPr="00F90EAE">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F90EAE">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F90EAE">
        <w:rPr>
          <w:color w:val="000000" w:themeColor="text1"/>
          <w:sz w:val="16"/>
          <w:szCs w:val="16"/>
        </w:rPr>
        <w:softHyphen/>
        <w:t>чием стальных бортовых экранов, а на одном из них на крыше баш</w:t>
      </w:r>
      <w:r w:rsidRPr="00F90EAE">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F90EAE">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A89EA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F90EAE">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07F3EA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испытаний выявилось большое количество дефек</w:t>
      </w:r>
      <w:r w:rsidRPr="00F90EAE">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F90EAE">
        <w:rPr>
          <w:color w:val="000000" w:themeColor="text1"/>
          <w:sz w:val="16"/>
          <w:szCs w:val="16"/>
        </w:rPr>
        <w:softHyphen/>
        <w:t>ботали без дефектов. Синхронизаторы коробки передач ожидае</w:t>
      </w:r>
      <w:r w:rsidRPr="00F90EAE">
        <w:rPr>
          <w:color w:val="000000" w:themeColor="text1"/>
          <w:sz w:val="16"/>
          <w:szCs w:val="16"/>
        </w:rPr>
        <w:softHyphen/>
        <w:t>мого эффекта не дали, так как время переключения передач со</w:t>
      </w:r>
      <w:r w:rsidRPr="00F90EAE">
        <w:rPr>
          <w:color w:val="000000" w:themeColor="text1"/>
          <w:sz w:val="16"/>
          <w:szCs w:val="16"/>
        </w:rPr>
        <w:softHyphen/>
        <w:t>ставляло 5 с. По результатам ходовых испытаний в конструкцию танка внесли еще 98 изменений (11770).</w:t>
      </w:r>
    </w:p>
    <w:p w14:paraId="3372A8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0AAE7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января 1945 г. была подготовлена ДОКЛАДНАЯ ЗАПИСКА ЗАМЕСТИТЕЛЯ НАЧАЛЬНИКА ГБТУ КА ЗАМЕСТИТЕЛЮ КОМАНДУЮЩЕГО БТ и МВ КА ОБ ОСНОВНЫХ ИТОГАХ РАБОТЫ НИБТ ПОЛИГОНА ЗА 1944 г.</w:t>
      </w:r>
    </w:p>
    <w:p w14:paraId="4791E7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Представляю годовой отчет научно-испытательного бронетанкового полигона ГБТУ КА о про</w:t>
      </w:r>
      <w:r w:rsidRPr="00F90EAE">
        <w:rPr>
          <w:color w:val="000000" w:themeColor="text1"/>
          <w:sz w:val="16"/>
          <w:szCs w:val="16"/>
        </w:rPr>
        <w:softHyphen/>
        <w:t>деланной им работе за 1944 год.</w:t>
      </w:r>
    </w:p>
    <w:p w14:paraId="436005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 этим докладываю основные итоги по работе НИБТ полигона за 1944 год.</w:t>
      </w:r>
    </w:p>
    <w:p w14:paraId="55CBFE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Вся работа НИБТ полигона проводилась в следующем направлении.</w:t>
      </w:r>
    </w:p>
    <w:p w14:paraId="0DFA59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r w:rsidRPr="00F90EAE">
        <w:rPr>
          <w:color w:val="000000" w:themeColor="text1"/>
          <w:sz w:val="16"/>
          <w:szCs w:val="16"/>
        </w:rPr>
        <w:t>. Выполнение всех испытательных и исследовательских работ, согласно утвержденного годо</w:t>
      </w:r>
      <w:r w:rsidRPr="00F90EAE">
        <w:rPr>
          <w:color w:val="000000" w:themeColor="text1"/>
          <w:sz w:val="16"/>
          <w:szCs w:val="16"/>
        </w:rPr>
        <w:softHyphen/>
        <w:t>вого плана и внеплановых заданий, выдаваемых Главными управлениями БТ и МВ КА.</w:t>
      </w:r>
    </w:p>
    <w:p w14:paraId="5843E1D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 тематических работ выполнен за 1944 год на 146%. За 1944 год НИБТ полигоном выпуще</w:t>
      </w:r>
      <w:r w:rsidRPr="00F90EAE">
        <w:rPr>
          <w:color w:val="000000" w:themeColor="text1"/>
          <w:sz w:val="16"/>
          <w:szCs w:val="16"/>
        </w:rPr>
        <w:softHyphen/>
        <w:t>но 485 отчетов, что составляет 156% к 1943 году.</w:t>
      </w:r>
    </w:p>
    <w:p w14:paraId="3F3AC0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w:t>
      </w:r>
      <w:r w:rsidRPr="00F90EAE">
        <w:rPr>
          <w:color w:val="000000" w:themeColor="text1"/>
          <w:sz w:val="16"/>
          <w:szCs w:val="16"/>
        </w:rPr>
        <w:t>. НИБТ полигоном испытано на гарантийный километраж и полигонными испытаниями 112 танков и самоходных установок отечественного и импортного производства.</w:t>
      </w:r>
    </w:p>
    <w:p w14:paraId="4C073D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этой работы полигоном выявлено, а заводами устранено значительное количест</w:t>
      </w:r>
      <w:r w:rsidRPr="00F90EAE">
        <w:rPr>
          <w:color w:val="000000" w:themeColor="text1"/>
          <w:sz w:val="16"/>
          <w:szCs w:val="16"/>
        </w:rPr>
        <w:softHyphen/>
        <w:t>во дефектов танков и самоходных установок, что резко повысило их качество, доказательством это</w:t>
      </w:r>
      <w:r w:rsidRPr="00F90EAE">
        <w:rPr>
          <w:color w:val="000000" w:themeColor="text1"/>
          <w:sz w:val="16"/>
          <w:szCs w:val="16"/>
        </w:rPr>
        <w:softHyphen/>
        <w:t>го является снижение дефектов по танкам: Т-34, ИС и ИСУ.</w:t>
      </w:r>
    </w:p>
    <w:p w14:paraId="4CD5F4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например:</w:t>
      </w:r>
    </w:p>
    <w:p w14:paraId="47223B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 полугодии 1943 года на 1000 км пробега танка Т-34 приходилось 35 дефектов,</w:t>
      </w:r>
    </w:p>
    <w:p w14:paraId="0753A2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2 полугодии 1943 года — 20 дефектов,</w:t>
      </w:r>
    </w:p>
    <w:p w14:paraId="2E8A58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 полугодии 1944 года — 17 дефектов,</w:t>
      </w:r>
    </w:p>
    <w:p w14:paraId="0C67B1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2 полугодии 1944 года — 10 дефектов.</w:t>
      </w:r>
    </w:p>
    <w:p w14:paraId="010666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III</w:t>
      </w:r>
      <w:r w:rsidRPr="00F90EAE">
        <w:rPr>
          <w:color w:val="000000" w:themeColor="text1"/>
          <w:sz w:val="16"/>
          <w:szCs w:val="16"/>
        </w:rPr>
        <w:t>. Гарантийные испытания танков ИС и самоходных установок ИСУ дополнялись материала</w:t>
      </w:r>
      <w:r w:rsidRPr="00F90EAE">
        <w:rPr>
          <w:color w:val="000000" w:themeColor="text1"/>
          <w:sz w:val="16"/>
          <w:szCs w:val="16"/>
        </w:rPr>
        <w:softHyphen/>
        <w:t>ми, собранными в действующей армии, в условиях боевого применения отдельных танковых тяже</w:t>
      </w:r>
      <w:r w:rsidRPr="00F90EAE">
        <w:rPr>
          <w:color w:val="000000" w:themeColor="text1"/>
          <w:sz w:val="16"/>
          <w:szCs w:val="16"/>
        </w:rPr>
        <w:softHyphen/>
        <w:t>лых полков. Таким образом, НИБТ полигон обобщил поломки и неисправности 206 танков ИС и са</w:t>
      </w:r>
      <w:r w:rsidRPr="00F90EAE">
        <w:rPr>
          <w:color w:val="000000" w:themeColor="text1"/>
          <w:sz w:val="16"/>
          <w:szCs w:val="16"/>
        </w:rPr>
        <w:softHyphen/>
        <w:t>моходных установок ИСУ, это дало возможность значительно улучшить качество выпускаемых тан</w:t>
      </w:r>
      <w:r w:rsidRPr="00F90EAE">
        <w:rPr>
          <w:color w:val="000000" w:themeColor="text1"/>
          <w:sz w:val="16"/>
          <w:szCs w:val="16"/>
        </w:rPr>
        <w:softHyphen/>
        <w:t>ков ИС и довести их до гарантийного срока службы.</w:t>
      </w:r>
    </w:p>
    <w:p w14:paraId="6D92FB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IV</w:t>
      </w:r>
      <w:r w:rsidRPr="00F90EAE">
        <w:rPr>
          <w:color w:val="000000" w:themeColor="text1"/>
          <w:sz w:val="16"/>
          <w:szCs w:val="16"/>
        </w:rPr>
        <w:t>. Кроме испытаний танков и самоходных установок в 1944 году НИБТ полигоном выполнены следующие задания:</w:t>
      </w:r>
    </w:p>
    <w:p w14:paraId="3ABD6F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Проведено 33 работы по обстрелу бронекорпусов танков ИС. Объект 701, Т-34-М, Т-44, Тигр-Б, Тигр-Н и другие.</w:t>
      </w:r>
    </w:p>
    <w:p w14:paraId="1069E3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основе результатов этих испытаний внесены улучшения в конструкции изготовляемых на</w:t>
      </w:r>
      <w:r w:rsidRPr="00F90EAE">
        <w:rPr>
          <w:color w:val="000000" w:themeColor="text1"/>
          <w:sz w:val="16"/>
          <w:szCs w:val="16"/>
        </w:rPr>
        <w:softHyphen/>
        <w:t>ми корпусов.</w:t>
      </w:r>
    </w:p>
    <w:p w14:paraId="494972F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Испытано 5 спецмашин, 2 транспортера, 4 бронеавтомобиля БА-64, 7 мотоциклов, аэросани и 2 вездехода, по всем этим машинам даны замечания по улучшению их качества.</w:t>
      </w:r>
    </w:p>
    <w:p w14:paraId="21CCB3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При испытании силовых установок в 1944 г. полигоном было направлено все внимание на по</w:t>
      </w:r>
      <w:r w:rsidRPr="00F90EAE">
        <w:rPr>
          <w:color w:val="000000" w:themeColor="text1"/>
          <w:sz w:val="16"/>
          <w:szCs w:val="16"/>
        </w:rPr>
        <w:softHyphen/>
        <w:t>вышение качества отечественного танкового двигателя В-2. В 1944 г. моторостроительные заводы значительно улучшили качество изготовления двигателя. Это подтверждается следующими данны</w:t>
      </w:r>
      <w:r w:rsidRPr="00F90EAE">
        <w:rPr>
          <w:color w:val="000000" w:themeColor="text1"/>
          <w:sz w:val="16"/>
          <w:szCs w:val="16"/>
        </w:rPr>
        <w:softHyphen/>
        <w:t>ми: если в 1943 г. на 1 двигатель В-2-34 приходилось дефектов производственного характера 1,1, то в 1944 году подобных дефектов на 1 двигатель 0,46, т.е. меньше чем в два раза.</w:t>
      </w:r>
    </w:p>
    <w:p w14:paraId="451383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Проведены выборочные испытания серийных радиостанций 12-РТ, 9-РМ, 9-Р, 9-РС, 10-РК и РСБ-Ф, кроме испытательной тематики проводились и исследовательские работы по повышению дальности радиосвязи и эффективности работы серийных танковых радиостанций, в результате че</w:t>
      </w:r>
      <w:r w:rsidRPr="00F90EAE">
        <w:rPr>
          <w:color w:val="000000" w:themeColor="text1"/>
          <w:sz w:val="16"/>
          <w:szCs w:val="16"/>
        </w:rPr>
        <w:softHyphen/>
        <w:t>го полигоном разработано и передано в промышленность:</w:t>
      </w:r>
    </w:p>
    <w:p w14:paraId="189DFE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специальный подшлемник с радиогарнитурой, повышающий удобство работы на радиостан</w:t>
      </w:r>
      <w:r w:rsidRPr="00F90EAE">
        <w:rPr>
          <w:color w:val="000000" w:themeColor="text1"/>
          <w:sz w:val="16"/>
          <w:szCs w:val="16"/>
        </w:rPr>
        <w:softHyphen/>
        <w:t>ции и сохраняющий гарнитуру от преждевременной порчи;</w:t>
      </w:r>
    </w:p>
    <w:p w14:paraId="004675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новый тип антенны: более прочный в механическом и электрическом отношении и повыша</w:t>
      </w:r>
      <w:r w:rsidRPr="00F90EAE">
        <w:rPr>
          <w:color w:val="000000" w:themeColor="text1"/>
          <w:sz w:val="16"/>
          <w:szCs w:val="16"/>
        </w:rPr>
        <w:softHyphen/>
        <w:t>ющий дальность связи радиостанций на 10-15%;</w:t>
      </w:r>
    </w:p>
    <w:p w14:paraId="2A239C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специальный блок к серийным радиостанциям 9Р, 9-РМ и 9РС, увеличивающий дальность связи этих радиостанций с 18-25 до 60 км.</w:t>
      </w:r>
    </w:p>
    <w:p w14:paraId="334A4E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Выполнено 10 работ по испытанию горюче-смазочных материалов и произведено 16500 химанализов.</w:t>
      </w:r>
    </w:p>
    <w:p w14:paraId="44A912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Сделано 43 работы по испытаниям агрегатов, узлов и приспособлений, повышающих боевые качества или улучшающих эксплуатацию танков и самоходных установок.</w:t>
      </w:r>
    </w:p>
    <w:p w14:paraId="253C0C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Составлен капитальный справочник по коробкам перемены передач в 3-х томах, содержа</w:t>
      </w:r>
      <w:r w:rsidRPr="00F90EAE">
        <w:rPr>
          <w:color w:val="000000" w:themeColor="text1"/>
          <w:sz w:val="16"/>
          <w:szCs w:val="16"/>
        </w:rPr>
        <w:softHyphen/>
        <w:t>щий описание и результаты исследований КПП основных танков и самоходных установок: отечест</w:t>
      </w:r>
      <w:r w:rsidRPr="00F90EAE">
        <w:rPr>
          <w:color w:val="000000" w:themeColor="text1"/>
          <w:sz w:val="16"/>
          <w:szCs w:val="16"/>
        </w:rPr>
        <w:softHyphen/>
        <w:t>венных, английских, американских, французских, чехословацких и немецких.</w:t>
      </w:r>
    </w:p>
    <w:p w14:paraId="0BBECA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Выполнено 19 исследовательских работ по разным отраслям бронетанковой техники.</w:t>
      </w:r>
    </w:p>
    <w:p w14:paraId="3173E3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Полигоном написано за 1944 год 12 руководств службы и эксплуатации танков, 15 памяток, 27 инструкций, 6 каталогов, 11 описаний, 6 альбомов, 38 тактико-технических характеристик и вы</w:t>
      </w:r>
      <w:r w:rsidRPr="00F90EAE">
        <w:rPr>
          <w:color w:val="000000" w:themeColor="text1"/>
          <w:sz w:val="16"/>
          <w:szCs w:val="16"/>
        </w:rPr>
        <w:softHyphen/>
        <w:t>пущено более 200 карманных справочников.</w:t>
      </w:r>
    </w:p>
    <w:p w14:paraId="45E91D6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В течение 1944 года ознакомлено с новейшими типами бронетанковой техники:</w:t>
      </w:r>
    </w:p>
    <w:p w14:paraId="1B1A9AF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офицеров . — 4967 человек,</w:t>
      </w:r>
    </w:p>
    <w:p w14:paraId="66B8C5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сержантского и рядового состава — 8472 человека.</w:t>
      </w:r>
    </w:p>
    <w:p w14:paraId="59717D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целью ознакомления с новейшими образцами бронетанковой техники, полигон посетили:</w:t>
      </w:r>
    </w:p>
    <w:p w14:paraId="71F336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Члены Правительства и ЦК ВКП(б) — 48 человек,</w:t>
      </w:r>
    </w:p>
    <w:p w14:paraId="1A6F52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генералы — 351 человек,</w:t>
      </w:r>
    </w:p>
    <w:p w14:paraId="3BAE3E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представители танковой промышленности — 374 человека.</w:t>
      </w:r>
    </w:p>
    <w:p w14:paraId="26A4CE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Опытно-ремонтными мастерскими произведено за год 602 ремонта машин: в том числе ка</w:t>
      </w:r>
      <w:r w:rsidRPr="00F90EAE">
        <w:rPr>
          <w:color w:val="000000" w:themeColor="text1"/>
          <w:sz w:val="16"/>
          <w:szCs w:val="16"/>
        </w:rPr>
        <w:softHyphen/>
        <w:t>питальных 8, средних 245 и текущих 349. План работ мастерскими выполнен на 120%.</w:t>
      </w:r>
    </w:p>
    <w:p w14:paraId="1B883B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По капитальному строительству, восстановлению разрушенных зданий и постройке новых производственных помещений план выполнен на 2,7 млн. рублей вместо отпущенных КЭО МВО 2,5 млн. рублей. Заново оборудованы лаборатории электрорадиотехники, лаборатория силовых установок, химическая лаборатория, лаборатория испытания материалов, баллистическая лаборатория и снаряжательная.</w:t>
      </w:r>
    </w:p>
    <w:p w14:paraId="54631CB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заслушать на военном совете БТ и МВ КА доклад начальника НИБТ полигона гене</w:t>
      </w:r>
      <w:r w:rsidRPr="00F90EAE">
        <w:rPr>
          <w:color w:val="000000" w:themeColor="text1"/>
          <w:sz w:val="16"/>
          <w:szCs w:val="16"/>
        </w:rPr>
        <w:softHyphen/>
        <w:t>рал-майора танковых войск т. Романова о работе полигона за 1944 год в феврале месяце 1945 года.</w:t>
      </w:r>
    </w:p>
    <w:p w14:paraId="7951AB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годовой отчет НИБТ полигона.</w:t>
      </w:r>
      <w:r w:rsidRPr="00F90EAE">
        <w:rPr>
          <w:color w:val="000000" w:themeColor="text1"/>
          <w:sz w:val="16"/>
          <w:szCs w:val="16"/>
          <w:vertAlign w:val="superscript"/>
        </w:rPr>
        <w:t>1</w:t>
      </w:r>
    </w:p>
    <w:p w14:paraId="4D2423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генерал-лейтенант инженерно-танковой службы Лебедев</w:t>
      </w:r>
    </w:p>
    <w:p w14:paraId="7E6636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41. Оп. 11355. Д. 3041. Л. 53-55. Подлинник (11420).</w:t>
      </w:r>
    </w:p>
    <w:p w14:paraId="323E610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E1DD6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января 1945 г. была подготовлена ДОКЛАДНАЯ ЗАПИСКА ЗАМЕСТИТЕЛЯ КОМАНДУЮЩЕГО БТ и МВ КА ЗАМЕСТИТЕЛЮ ПРЕДСЕДАТЕЛЯ ГКО Л.П. БЕРИИ ПО ВОПРОСУ ИЗГОТОВЛЕНИЯ ОПЫТНЫХ ТАНКОВ С ЭЛЕКТРОТРАНСМИССИЕЙ</w:t>
      </w:r>
    </w:p>
    <w:p w14:paraId="79A803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что постановлением ГОКО №3774с от 20.07.1943 г. Наркомэлектропром обязы</w:t>
      </w:r>
      <w:r w:rsidRPr="00F90EAE">
        <w:rPr>
          <w:color w:val="000000" w:themeColor="text1"/>
          <w:sz w:val="16"/>
          <w:szCs w:val="16"/>
        </w:rPr>
        <w:softHyphen/>
        <w:t>вался к 1 октября 1943 г. закончить изготовление, монтаж и заводские испытания электротрансмис</w:t>
      </w:r>
      <w:r w:rsidRPr="00F90EAE">
        <w:rPr>
          <w:color w:val="000000" w:themeColor="text1"/>
          <w:sz w:val="16"/>
          <w:szCs w:val="16"/>
        </w:rPr>
        <w:softHyphen/>
        <w:t>сии на танке КВ по проекту академии и НКЭП, а ГБТУ должно было провести полигонные испыта</w:t>
      </w:r>
      <w:r w:rsidRPr="00F90EAE">
        <w:rPr>
          <w:color w:val="000000" w:themeColor="text1"/>
          <w:sz w:val="16"/>
          <w:szCs w:val="16"/>
        </w:rPr>
        <w:softHyphen/>
        <w:t>ния до 25 Октября 1943 г.</w:t>
      </w:r>
    </w:p>
    <w:p w14:paraId="3DACCA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Изготовление электротрансмиссии задержалось, вследствие чего Наркомэлектропром предъя</w:t>
      </w:r>
      <w:r w:rsidRPr="00F90EAE">
        <w:rPr>
          <w:color w:val="000000" w:themeColor="text1"/>
          <w:sz w:val="16"/>
          <w:szCs w:val="16"/>
        </w:rPr>
        <w:softHyphen/>
        <w:t>вил ГБТУ КА танк с электротрансмиссией на полигонные испытания только в ноябре месяце 1944 г.</w:t>
      </w:r>
    </w:p>
    <w:p w14:paraId="28D45F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время испытаний танк прошел 267 км.</w:t>
      </w:r>
    </w:p>
    <w:p w14:paraId="76731F4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процессе испытаний установлено, что:</w:t>
      </w:r>
    </w:p>
    <w:p w14:paraId="398329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Управление танком с электротрансмиссией простое и физически легкое.</w:t>
      </w:r>
    </w:p>
    <w:p w14:paraId="77DEDD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Танк легко поворачивается на различных радиусах и показал автоматическую приспособля</w:t>
      </w:r>
      <w:r w:rsidRPr="00F90EAE">
        <w:rPr>
          <w:color w:val="000000" w:themeColor="text1"/>
          <w:sz w:val="16"/>
          <w:szCs w:val="16"/>
        </w:rPr>
        <w:softHyphen/>
        <w:t>емость к сопротивлению движения.</w:t>
      </w:r>
    </w:p>
    <w:p w14:paraId="3BDD62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Работа танкового дизеля при изменении условий движения становится более спокойной и устойчивой, чем при механической трансмиссии.</w:t>
      </w:r>
    </w:p>
    <w:p w14:paraId="371360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Расход горючего во время испытаний был ниже норм, предусмотренных для тяжелых серий</w:t>
      </w:r>
      <w:r w:rsidRPr="00F90EAE">
        <w:rPr>
          <w:color w:val="000000" w:themeColor="text1"/>
          <w:sz w:val="16"/>
          <w:szCs w:val="16"/>
        </w:rPr>
        <w:softHyphen/>
        <w:t>ных танков с механической трансмиссией.</w:t>
      </w:r>
    </w:p>
    <w:p w14:paraId="7D57C90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В сравнении с электротрансмиссией немецкого артсамохода «Фердинанд» и электротранс</w:t>
      </w:r>
      <w:r w:rsidRPr="00F90EAE">
        <w:rPr>
          <w:color w:val="000000" w:themeColor="text1"/>
          <w:sz w:val="16"/>
          <w:szCs w:val="16"/>
        </w:rPr>
        <w:softHyphen/>
        <w:t>миссией танка КВ тяговые электромоторы имеют меньшие габариты за счет, главным образом, по</w:t>
      </w:r>
      <w:r w:rsidRPr="00F90EAE">
        <w:rPr>
          <w:color w:val="000000" w:themeColor="text1"/>
          <w:sz w:val="16"/>
          <w:szCs w:val="16"/>
        </w:rPr>
        <w:softHyphen/>
        <w:t>вышения максимального числа оборотов работы до 5000 мин"</w:t>
      </w:r>
      <w:r w:rsidRPr="00F90EAE">
        <w:rPr>
          <w:color w:val="000000" w:themeColor="text1"/>
          <w:sz w:val="16"/>
          <w:szCs w:val="16"/>
          <w:vertAlign w:val="superscript"/>
        </w:rPr>
        <w:t>1</w:t>
      </w:r>
      <w:r w:rsidRPr="00F90EAE">
        <w:rPr>
          <w:color w:val="000000" w:themeColor="text1"/>
          <w:sz w:val="16"/>
          <w:szCs w:val="16"/>
        </w:rPr>
        <w:t>.</w:t>
      </w:r>
    </w:p>
    <w:p w14:paraId="2BC70A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Однако проведенными испытаниями прочность электродвигателей, формированных по оборо</w:t>
      </w:r>
      <w:r w:rsidRPr="00F90EAE">
        <w:rPr>
          <w:color w:val="000000" w:themeColor="text1"/>
          <w:sz w:val="16"/>
          <w:szCs w:val="16"/>
        </w:rPr>
        <w:softHyphen/>
        <w:t>там, проверить не удалось.</w:t>
      </w:r>
    </w:p>
    <w:p w14:paraId="0DF424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Наряду с этим электротрансмиссия танка КВ имеет следующие существенные недостатки:</w:t>
      </w:r>
    </w:p>
    <w:p w14:paraId="6A1882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аппаратура электротрансмиссии громоздка и имеет большое количество контакторов, обте</w:t>
      </w:r>
      <w:r w:rsidRPr="00F90EAE">
        <w:rPr>
          <w:color w:val="000000" w:themeColor="text1"/>
          <w:sz w:val="16"/>
          <w:szCs w:val="16"/>
        </w:rPr>
        <w:softHyphen/>
        <w:t>каемых большим током, и при выходе из строя хотя бы одного контактора танк теряет управляе</w:t>
      </w:r>
      <w:r w:rsidRPr="00F90EAE">
        <w:rPr>
          <w:color w:val="000000" w:themeColor="text1"/>
          <w:sz w:val="16"/>
          <w:szCs w:val="16"/>
        </w:rPr>
        <w:softHyphen/>
        <w:t>мость или совсем останавливается;</w:t>
      </w:r>
    </w:p>
    <w:p w14:paraId="49528E8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агрегаты электротрансмиссии недостаточно защищены от влияния воды, влаги и пыли, про</w:t>
      </w:r>
      <w:r w:rsidRPr="00F90EAE">
        <w:rPr>
          <w:color w:val="000000" w:themeColor="text1"/>
          <w:sz w:val="16"/>
          <w:szCs w:val="16"/>
        </w:rPr>
        <w:softHyphen/>
        <w:t>никающих внутрь танка;</w:t>
      </w:r>
    </w:p>
    <w:p w14:paraId="7F320B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результате установки на танке КВ электротрансмиссии взамен механической нарушена нормальная система вентиляции и охлаждения агрегатов электротрансмиссии.</w:t>
      </w:r>
    </w:p>
    <w:p w14:paraId="3DF624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Наличие этих дефектов объясняется тем, что данная электротрансмиссия для танка КВ являет</w:t>
      </w:r>
      <w:r w:rsidRPr="00F90EAE">
        <w:rPr>
          <w:color w:val="000000" w:themeColor="text1"/>
          <w:sz w:val="16"/>
          <w:szCs w:val="16"/>
        </w:rPr>
        <w:softHyphen/>
        <w:t>ся первой опытной работой в СССР, которая, естественно, не могла быть в первом варианте полно</w:t>
      </w:r>
      <w:r w:rsidRPr="00F90EAE">
        <w:rPr>
          <w:color w:val="000000" w:themeColor="text1"/>
          <w:sz w:val="16"/>
          <w:szCs w:val="16"/>
        </w:rPr>
        <w:softHyphen/>
        <w:t>стью доработанной конструкцией.</w:t>
      </w:r>
    </w:p>
    <w:p w14:paraId="26E698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проектирование агрегатов электротрансмиссии пришлось вести, имея дело уже с готовым корпусом танка КВ, рассчитанным на механическую трансмиссию.</w:t>
      </w:r>
    </w:p>
    <w:p w14:paraId="777E43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Комиссия, проводившая испытания танка КВ с электротрансмиссией, пришла к выводам:</w:t>
      </w:r>
    </w:p>
    <w:p w14:paraId="41DD6D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Ввиду большого количества выявленных дефектов в электротрансмиссии на танке КВ, устра</w:t>
      </w:r>
      <w:r w:rsidRPr="00F90EAE">
        <w:rPr>
          <w:color w:val="000000" w:themeColor="text1"/>
          <w:sz w:val="16"/>
          <w:szCs w:val="16"/>
        </w:rPr>
        <w:softHyphen/>
        <w:t>нение которых не улучшает в принципе конструкции отдельных агрегатов, а лишь затягивает сро</w:t>
      </w:r>
      <w:r w:rsidRPr="00F90EAE">
        <w:rPr>
          <w:color w:val="000000" w:themeColor="text1"/>
          <w:sz w:val="16"/>
          <w:szCs w:val="16"/>
        </w:rPr>
        <w:softHyphen/>
        <w:t>ки проведения испытаний, дальнейшие испытания прекратить.</w:t>
      </w:r>
    </w:p>
    <w:p w14:paraId="66D1105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Танк с электротрансмиссией передать Военной академии БТ и МВ КА им. Сталина и заводу «Ди</w:t>
      </w:r>
      <w:r w:rsidRPr="00F90EAE">
        <w:rPr>
          <w:color w:val="000000" w:themeColor="text1"/>
          <w:sz w:val="16"/>
          <w:szCs w:val="16"/>
        </w:rPr>
        <w:softHyphen/>
        <w:t>намо» для проведения совместных работ по дальнейшему исследованию агрегатов электротрансмиссии.</w:t>
      </w:r>
    </w:p>
    <w:p w14:paraId="7D6C07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Изготовить опытную партию тяжелых танков с электротрансмиссией, устранив в ней выяв</w:t>
      </w:r>
      <w:r w:rsidRPr="00F90EAE">
        <w:rPr>
          <w:color w:val="000000" w:themeColor="text1"/>
          <w:sz w:val="16"/>
          <w:szCs w:val="16"/>
        </w:rPr>
        <w:softHyphen/>
        <w:t>ленные дефекты.</w:t>
      </w:r>
    </w:p>
    <w:p w14:paraId="3462372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выводами комиссии в отношении прекращения испытаний и передачи танка Военной акаде</w:t>
      </w:r>
      <w:r w:rsidRPr="00F90EAE">
        <w:rPr>
          <w:color w:val="000000" w:themeColor="text1"/>
          <w:sz w:val="16"/>
          <w:szCs w:val="16"/>
        </w:rPr>
        <w:softHyphen/>
        <w:t>мии БТ и МВ КА и заводу «Динамо» согласен.</w:t>
      </w:r>
    </w:p>
    <w:p w14:paraId="36EA7C9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Исходя их того, что группа работников Военной академии БТ и МВ КА и конструкторов завода «Динамо» НКЭП, проектировавшая опытный образец электротрансмиссии, получила ценный и большой опыт в этот области, а применение электротрансмиссии в тяжелых танках имеет пер</w:t>
      </w:r>
      <w:r w:rsidRPr="00F90EAE">
        <w:rPr>
          <w:color w:val="000000" w:themeColor="text1"/>
          <w:sz w:val="16"/>
          <w:szCs w:val="16"/>
        </w:rPr>
        <w:softHyphen/>
        <w:t>спективы, считаю необходимым просить Вас:</w:t>
      </w:r>
    </w:p>
    <w:p w14:paraId="5CBB0A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Поручить заводу «Динамо» совместно с Военной академией БТ и МВ КА им. Сталина разра</w:t>
      </w:r>
      <w:r w:rsidRPr="00F90EAE">
        <w:rPr>
          <w:color w:val="000000" w:themeColor="text1"/>
          <w:sz w:val="16"/>
          <w:szCs w:val="16"/>
        </w:rPr>
        <w:softHyphen/>
        <w:t>ботать проект новой электротрансмиссии для тяжелого танка.</w:t>
      </w:r>
    </w:p>
    <w:p w14:paraId="0E9FA8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Поручить НКТП (Кировскому заводу) изготовить два опытных образца тяжелых танков с электротрансмиссией, на которых должны быть устранены все недостатки, выявленные при ис</w:t>
      </w:r>
      <w:r w:rsidRPr="00F90EAE">
        <w:rPr>
          <w:color w:val="000000" w:themeColor="text1"/>
          <w:sz w:val="16"/>
          <w:szCs w:val="16"/>
        </w:rPr>
        <w:softHyphen/>
        <w:t>пытаниях опытного образца электротрансмиссии танка КВ.</w:t>
      </w:r>
    </w:p>
    <w:p w14:paraId="1DFFC9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Прилагая проект постановления ГОКО, прошу представить его на утверждение.'</w:t>
      </w:r>
    </w:p>
    <w:p w14:paraId="78E7E2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72FAC2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Бирюков</w:t>
      </w:r>
    </w:p>
    <w:p w14:paraId="18FCA9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11355. Д. 2732. Л. 8, 9, 9об. Копия.</w:t>
      </w:r>
    </w:p>
    <w:p w14:paraId="3005A0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к документу не публикуется (11420).</w:t>
      </w:r>
    </w:p>
    <w:p w14:paraId="62E44127" w14:textId="77777777" w:rsidR="00C2313B" w:rsidRPr="00F90EAE" w:rsidRDefault="00C2313B" w:rsidP="00F90EAE">
      <w:pPr>
        <w:autoSpaceDE w:val="0"/>
        <w:autoSpaceDN w:val="0"/>
        <w:adjustRightInd w:val="0"/>
        <w:jc w:val="both"/>
        <w:rPr>
          <w:color w:val="000000" w:themeColor="text1"/>
          <w:sz w:val="16"/>
          <w:szCs w:val="16"/>
        </w:rPr>
      </w:pPr>
    </w:p>
    <w:p w14:paraId="69A46D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вышло Распоряжение ГКО № 7427. О мерах по предотвращению остановки металлургических цехов заводов НКВ и НКТП и снабжении их сырьем. РГАНИР, Фонд ГКО, д. 365, лл. 1-4 (11012).</w:t>
      </w:r>
    </w:p>
    <w:p w14:paraId="6406DCE4" w14:textId="77777777" w:rsidR="00C2313B" w:rsidRPr="00F90EAE" w:rsidRDefault="00C2313B" w:rsidP="00F90EAE">
      <w:pPr>
        <w:autoSpaceDE w:val="0"/>
        <w:autoSpaceDN w:val="0"/>
        <w:adjustRightInd w:val="0"/>
        <w:jc w:val="both"/>
        <w:rPr>
          <w:color w:val="000000" w:themeColor="text1"/>
          <w:sz w:val="16"/>
          <w:szCs w:val="16"/>
        </w:rPr>
      </w:pPr>
    </w:p>
    <w:p w14:paraId="7654FF0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января 1945 вышло Распоряжение ГКО № 7428 [О мерах по расширению станции Эгершельд Приморской железной дороги для обеспечения погрузки импортных грузов.] (7304, 5-6).</w:t>
      </w:r>
    </w:p>
    <w:p w14:paraId="35C988F7"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F982D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вышло Распоряжение ГКО № 7429. О материально-техническом обеспечении строительства военно-морских баз в Прибалтике. РГАНИР, Фонд ГКО, д. 365, лл. 7 (11012).</w:t>
      </w:r>
    </w:p>
    <w:p w14:paraId="5C0E6D9C" w14:textId="77777777" w:rsidR="00C2313B" w:rsidRPr="00F90EAE" w:rsidRDefault="00C2313B" w:rsidP="00F90EAE">
      <w:pPr>
        <w:autoSpaceDE w:val="0"/>
        <w:autoSpaceDN w:val="0"/>
        <w:adjustRightInd w:val="0"/>
        <w:jc w:val="both"/>
        <w:rPr>
          <w:color w:val="000000" w:themeColor="text1"/>
          <w:sz w:val="16"/>
          <w:szCs w:val="16"/>
        </w:rPr>
      </w:pPr>
    </w:p>
    <w:p w14:paraId="308FF1E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января 1945 вышло Распоряжение ГКО № 7430 [О порядке снабжения продовольствием военнопленных, работающих на горнорудных предприятиях НКЦМ.] (7304, 8).</w:t>
      </w:r>
    </w:p>
    <w:p w14:paraId="1D4125C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75245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заложен 13-й ТЩ типа МТ-2 (10671).</w:t>
      </w:r>
    </w:p>
    <w:p w14:paraId="5A3AE77B" w14:textId="77777777" w:rsidR="00C2313B" w:rsidRPr="00F90EAE" w:rsidRDefault="00C2313B" w:rsidP="00F90EAE">
      <w:pPr>
        <w:autoSpaceDE w:val="0"/>
        <w:autoSpaceDN w:val="0"/>
        <w:adjustRightInd w:val="0"/>
        <w:jc w:val="both"/>
        <w:rPr>
          <w:color w:val="000000" w:themeColor="text1"/>
          <w:sz w:val="16"/>
          <w:szCs w:val="16"/>
        </w:rPr>
      </w:pPr>
    </w:p>
    <w:p w14:paraId="20CF417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A0F154C" w14:textId="77777777" w:rsidR="00C2313B" w:rsidRPr="00F90EAE" w:rsidRDefault="00C2313B" w:rsidP="00F90EAE">
      <w:pPr>
        <w:autoSpaceDE w:val="0"/>
        <w:autoSpaceDN w:val="0"/>
        <w:adjustRightInd w:val="0"/>
        <w:jc w:val="both"/>
        <w:rPr>
          <w:iCs/>
          <w:color w:val="000000" w:themeColor="text1"/>
          <w:sz w:val="16"/>
          <w:szCs w:val="16"/>
        </w:rPr>
      </w:pPr>
    </w:p>
    <w:p w14:paraId="3FB0DEC0" w14:textId="77777777" w:rsidR="00590D1F" w:rsidRPr="00F90EAE" w:rsidRDefault="00590D1F" w:rsidP="00F90EAE">
      <w:pPr>
        <w:jc w:val="both"/>
        <w:rPr>
          <w:color w:val="000000" w:themeColor="text1"/>
          <w:sz w:val="16"/>
          <w:szCs w:val="16"/>
        </w:rPr>
      </w:pPr>
      <w:r w:rsidRPr="00F90EAE">
        <w:rPr>
          <w:bCs/>
          <w:color w:val="000000" w:themeColor="text1"/>
          <w:sz w:val="16"/>
          <w:szCs w:val="16"/>
        </w:rPr>
        <w:t>30 января</w:t>
      </w:r>
      <w:r w:rsidRPr="00F90EAE">
        <w:rPr>
          <w:color w:val="000000" w:themeColor="text1"/>
          <w:sz w:val="16"/>
          <w:szCs w:val="16"/>
        </w:rPr>
        <w:t xml:space="preserve"> в 1945 году оперативная сводка Совинформбюро:</w:t>
      </w:r>
    </w:p>
    <w:p w14:paraId="7F5E32EE" w14:textId="77777777" w:rsidR="00590D1F" w:rsidRPr="00F90EAE" w:rsidRDefault="00590D1F" w:rsidP="00F90EAE">
      <w:pPr>
        <w:jc w:val="both"/>
        <w:rPr>
          <w:color w:val="000000" w:themeColor="text1"/>
          <w:sz w:val="16"/>
          <w:szCs w:val="16"/>
        </w:rPr>
      </w:pPr>
      <w:r w:rsidRPr="00F90EAE">
        <w:rPr>
          <w:color w:val="000000" w:themeColor="text1"/>
          <w:sz w:val="16"/>
          <w:szCs w:val="16"/>
        </w:rPr>
        <w:t>«В течение 30 января в Восточной Пруссии наши войска, продолжая наступление, овладели городами Бишофштайн, Вартенбург, а также с боями заняли более 150 других населённых пунктов, в том числе Мюльзен, Гойтенен, Зеераппен, Метгетен (5 километров западнее Кенигсберга), Хайде, Вальдбург (8 километров юго-западнее Кенигсберга), Коббельбуде, Пакерау, Дорф Лойненбург, Фалькенау, Гросс Швансфельд, Троутенау, Легинен, Кабинен, Брединкен, Гросс Рамзау, Ройшгаген, Толлак. Одновременно северо-западнее Алленштайна наши войска успешно отбили атаки пехоты и танков противника, пытавшегося пробиться на запад (в направлении Элььинга.</w:t>
      </w:r>
    </w:p>
    <w:p w14:paraId="5BD4C3BA" w14:textId="77777777" w:rsidR="00590D1F" w:rsidRPr="00F90EAE" w:rsidRDefault="00590D1F" w:rsidP="00F90EAE">
      <w:pPr>
        <w:jc w:val="both"/>
        <w:rPr>
          <w:color w:val="000000" w:themeColor="text1"/>
          <w:sz w:val="16"/>
          <w:szCs w:val="16"/>
        </w:rPr>
      </w:pPr>
      <w:r w:rsidRPr="00F90EAE">
        <w:rPr>
          <w:color w:val="000000" w:themeColor="text1"/>
          <w:sz w:val="16"/>
          <w:szCs w:val="16"/>
        </w:rPr>
        <w:t>В нижнем течении Вислы наши войска, сломив сопротивление противника, овладели городом Мариенвердер.</w:t>
      </w:r>
    </w:p>
    <w:p w14:paraId="0C65ACBC" w14:textId="77777777" w:rsidR="00590D1F" w:rsidRPr="00F90EAE" w:rsidRDefault="00590D1F" w:rsidP="00F90EAE">
      <w:pPr>
        <w:jc w:val="both"/>
        <w:rPr>
          <w:color w:val="000000" w:themeColor="text1"/>
          <w:sz w:val="16"/>
          <w:szCs w:val="16"/>
        </w:rPr>
      </w:pPr>
      <w:r w:rsidRPr="00F90EAE">
        <w:rPr>
          <w:color w:val="000000" w:themeColor="text1"/>
          <w:sz w:val="16"/>
          <w:szCs w:val="16"/>
        </w:rPr>
        <w:t>В районе города Торунь (Торн) продолжались бои по уничтожению окружённого гарнизона противника.</w:t>
      </w:r>
    </w:p>
    <w:p w14:paraId="33A06CEF" w14:textId="77777777" w:rsidR="00590D1F" w:rsidRPr="00F90EAE" w:rsidRDefault="00590D1F" w:rsidP="00F90EAE">
      <w:pPr>
        <w:jc w:val="both"/>
        <w:rPr>
          <w:color w:val="000000" w:themeColor="text1"/>
          <w:sz w:val="16"/>
          <w:szCs w:val="16"/>
        </w:rPr>
      </w:pPr>
      <w:r w:rsidRPr="00F90EAE">
        <w:rPr>
          <w:color w:val="000000" w:themeColor="text1"/>
          <w:sz w:val="16"/>
          <w:szCs w:val="16"/>
        </w:rPr>
        <w:lastRenderedPageBreak/>
        <w:t>Северо-западнее города Быдгощ (Бромберг) наши войска овладели на территории немецкой Померании городами Линде, Кроянке и заняли более 50 других населённых пунктов, среди которых крупные населённые пункты Руден, Кляйшин, Заколльнов, Шенфельд, Боркендорф и железнодорожные станции Куян, Виттенбург, Шенфельд.</w:t>
      </w:r>
    </w:p>
    <w:p w14:paraId="2C7FCEFD" w14:textId="77777777" w:rsidR="00590D1F" w:rsidRPr="00F90EAE" w:rsidRDefault="00590D1F" w:rsidP="00F90EAE">
      <w:pPr>
        <w:jc w:val="both"/>
        <w:rPr>
          <w:color w:val="000000" w:themeColor="text1"/>
          <w:sz w:val="16"/>
          <w:szCs w:val="16"/>
        </w:rPr>
      </w:pPr>
      <w:r w:rsidRPr="00F90EAE">
        <w:rPr>
          <w:color w:val="000000" w:themeColor="text1"/>
          <w:sz w:val="16"/>
          <w:szCs w:val="16"/>
        </w:rPr>
        <w:t>Западнее города Познань наши войска, продолжая наступление, овладели на территории Германии городами Бетше, Тирштигель, Бомст, Унруштадт, а также с боями заняли более 200 других населённых пунктов, в том числе крупные населённые пункты Штольценберг, Приттиш, Гросс Даммер, Гросс Шмеллен, Клайнитц.</w:t>
      </w:r>
    </w:p>
    <w:p w14:paraId="3E34824C" w14:textId="77777777" w:rsidR="00590D1F" w:rsidRPr="00F90EAE" w:rsidRDefault="00590D1F" w:rsidP="00F90EAE">
      <w:pPr>
        <w:jc w:val="both"/>
        <w:rPr>
          <w:color w:val="000000" w:themeColor="text1"/>
          <w:sz w:val="16"/>
          <w:szCs w:val="16"/>
        </w:rPr>
      </w:pPr>
      <w:r w:rsidRPr="00F90EAE">
        <w:rPr>
          <w:color w:val="000000" w:themeColor="text1"/>
          <w:sz w:val="16"/>
          <w:szCs w:val="16"/>
        </w:rPr>
        <w:t>В районе Познани продолжались бои по уничтожению окружённых в городе частей противника.</w:t>
      </w:r>
    </w:p>
    <w:p w14:paraId="7F7774E6" w14:textId="77777777" w:rsidR="00590D1F" w:rsidRPr="00F90EAE" w:rsidRDefault="00590D1F" w:rsidP="00F90EAE">
      <w:pPr>
        <w:jc w:val="both"/>
        <w:rPr>
          <w:color w:val="000000" w:themeColor="text1"/>
          <w:sz w:val="16"/>
          <w:szCs w:val="16"/>
        </w:rPr>
      </w:pPr>
      <w:r w:rsidRPr="00F90EAE">
        <w:rPr>
          <w:color w:val="000000" w:themeColor="text1"/>
          <w:sz w:val="16"/>
          <w:szCs w:val="16"/>
        </w:rPr>
        <w:t>За 28 января западнее Познани войска 1-го Белорусского фронта захватили на аэродромах и авиационных складах 228 немецких самолётов.</w:t>
      </w:r>
    </w:p>
    <w:p w14:paraId="24CC8CD9" w14:textId="77777777" w:rsidR="00590D1F" w:rsidRPr="00F90EAE" w:rsidRDefault="00590D1F" w:rsidP="00F90EAE">
      <w:pPr>
        <w:jc w:val="both"/>
        <w:rPr>
          <w:color w:val="000000" w:themeColor="text1"/>
          <w:sz w:val="16"/>
          <w:szCs w:val="16"/>
        </w:rPr>
      </w:pPr>
      <w:r w:rsidRPr="00F90EAE">
        <w:rPr>
          <w:color w:val="000000" w:themeColor="text1"/>
          <w:sz w:val="16"/>
          <w:szCs w:val="16"/>
        </w:rPr>
        <w:t>Западнее и юго-западнее города Катовице наши войска с боями продвигались вперёд и заняли более 60 населённых пунктов, среди которых крупные населённые пункты Рейгерсфельд, Киферштедтель, Штандорф, Вильча, Егерсфельд, Крир.</w:t>
      </w:r>
    </w:p>
    <w:p w14:paraId="56442CE2" w14:textId="77777777" w:rsidR="00590D1F" w:rsidRPr="00F90EAE" w:rsidRDefault="00590D1F" w:rsidP="00F90EAE">
      <w:pPr>
        <w:jc w:val="both"/>
        <w:rPr>
          <w:color w:val="000000" w:themeColor="text1"/>
          <w:sz w:val="16"/>
          <w:szCs w:val="16"/>
        </w:rPr>
      </w:pPr>
      <w:r w:rsidRPr="00F90EAE">
        <w:rPr>
          <w:color w:val="000000" w:themeColor="text1"/>
          <w:sz w:val="16"/>
          <w:szCs w:val="16"/>
        </w:rPr>
        <w:t>За 29 января войска 1-го Украинского фронта захватили на аэродромах 55 немецких самолётов.</w:t>
      </w:r>
    </w:p>
    <w:p w14:paraId="107AC1F5" w14:textId="77777777" w:rsidR="00590D1F" w:rsidRPr="00F90EAE" w:rsidRDefault="00590D1F" w:rsidP="00F90EAE">
      <w:pPr>
        <w:jc w:val="both"/>
        <w:rPr>
          <w:color w:val="000000" w:themeColor="text1"/>
          <w:sz w:val="16"/>
          <w:szCs w:val="16"/>
        </w:rPr>
      </w:pPr>
      <w:r w:rsidRPr="00F90EAE">
        <w:rPr>
          <w:color w:val="000000" w:themeColor="text1"/>
          <w:sz w:val="16"/>
          <w:szCs w:val="16"/>
        </w:rPr>
        <w:t>В полосе Карпат наши войска, продолжая наступление, овладели городом Закопане, а также с боями заняли более 80 других населённых пунктов, в числе которых крупные населённые пункты Ляховице, Завоя, Липница Велька, Яблонка, Витанова, Выходна.</w:t>
      </w:r>
    </w:p>
    <w:p w14:paraId="506F7E0A"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Севернее и северо-восточнее города Лученец наши войска, действуя в трудных условиях горно-лесистой местности, с боями заняли более 100 населённых пунктов, среди которых крупные населённые пункты Гелпа, Мурань, Тиссовец, Полгора, Доброч, Детвянска Гута, Дивин.</w:t>
      </w:r>
    </w:p>
    <w:p w14:paraId="60431BA6" w14:textId="77777777" w:rsidR="00590D1F" w:rsidRPr="00F90EAE" w:rsidRDefault="00590D1F" w:rsidP="00F90EAE">
      <w:pPr>
        <w:jc w:val="both"/>
        <w:rPr>
          <w:color w:val="000000" w:themeColor="text1"/>
          <w:sz w:val="16"/>
          <w:szCs w:val="16"/>
        </w:rPr>
      </w:pPr>
      <w:r w:rsidRPr="00F90EAE">
        <w:rPr>
          <w:color w:val="000000" w:themeColor="text1"/>
          <w:sz w:val="16"/>
          <w:szCs w:val="16"/>
        </w:rPr>
        <w:t>В Будапеште наши войска, продолжая бои по уничтожению окружённого гарнизона противника в западной части города (Буда), полностью очистили от противника остров Маргитсигет и заняли 130 кварталов.</w:t>
      </w:r>
    </w:p>
    <w:p w14:paraId="09889D3A" w14:textId="77777777" w:rsidR="00590D1F" w:rsidRPr="00F90EAE" w:rsidRDefault="00590D1F" w:rsidP="00F90EAE">
      <w:pPr>
        <w:jc w:val="both"/>
        <w:rPr>
          <w:color w:val="000000" w:themeColor="text1"/>
          <w:sz w:val="16"/>
          <w:szCs w:val="16"/>
        </w:rPr>
      </w:pPr>
      <w:r w:rsidRPr="00F90EAE">
        <w:rPr>
          <w:color w:val="000000" w:themeColor="text1"/>
          <w:sz w:val="16"/>
          <w:szCs w:val="16"/>
        </w:rPr>
        <w:t>За 29 января наши войска на всех фронтах подбили и уничтожили 74 немецких танка. В воздушных боях и огнём зенитной артиллерии сбито 24 самолёта противника.</w:t>
      </w:r>
    </w:p>
    <w:p w14:paraId="59047F74" w14:textId="77777777" w:rsidR="00590D1F" w:rsidRPr="00F90EAE" w:rsidRDefault="00590D1F" w:rsidP="00F90EAE">
      <w:pPr>
        <w:jc w:val="both"/>
        <w:rPr>
          <w:color w:val="000000" w:themeColor="text1"/>
          <w:sz w:val="16"/>
          <w:szCs w:val="16"/>
        </w:rPr>
      </w:pPr>
      <w:r w:rsidRPr="00F90EAE">
        <w:rPr>
          <w:color w:val="000000" w:themeColor="text1"/>
          <w:sz w:val="16"/>
          <w:szCs w:val="16"/>
        </w:rPr>
        <w:t>В Восточной Пруссии наши войска продолжали наступление. Противник, опираясь на укрепления, состоящие из железобетонных сооружений, оказывает упорное сопротивление. Советские войска, преодолевая сопротивление гитлеровцев, обтекают город Кенигсберг с севера и юга. Наши артиллеристы, следующие в боевых порядках пехоты, громят доты и подавляют огневые точки противника. Мощным ударом части Н-ского соединения прорвали вражескую оборону южнее Кенигсберга и вышли к заливу Фриш-гаф. Советские части овладели также населенным пунктом Метгетен, расположенным в 5 километрах, западнее Кенигсберга. Единственная оставшаяся в руках немцев шоссейная дорога, идущая из Кенигсберга на запад по северному побережью залива Фриш-гаф, находится под огнём нашей артиллерии. В ходе боёв противник несёт огромные потери в живой силе и технике. За один день наши войска в районе Кенигсберга уничтожили свыше 3 тысяч гитлеровцев. Захвачено у немцев 7 танков, 68 орудий, 7 самолётов и много других трофеев. Взято в плен 1.050 немецких солдат и офицеров.</w:t>
      </w:r>
    </w:p>
    <w:p w14:paraId="1C9A66A0" w14:textId="77777777" w:rsidR="00590D1F" w:rsidRPr="00F90EAE" w:rsidRDefault="00590D1F" w:rsidP="00F90EAE">
      <w:pPr>
        <w:jc w:val="both"/>
        <w:rPr>
          <w:color w:val="000000" w:themeColor="text1"/>
          <w:sz w:val="16"/>
          <w:szCs w:val="16"/>
        </w:rPr>
      </w:pPr>
      <w:r w:rsidRPr="00F90EAE">
        <w:rPr>
          <w:color w:val="000000" w:themeColor="text1"/>
          <w:sz w:val="16"/>
          <w:szCs w:val="16"/>
        </w:rPr>
        <w:t>Наши войска, с боями продвигаясь вперёд, овладели сегодня городом Бишофштайн. В этом районе захвачены большие немецкие склады с боеприпасами и продовольствием, 30 паровозов и 400 вагонов с различными грузами.</w:t>
      </w:r>
    </w:p>
    <w:p w14:paraId="6A5FC7A9"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города Алленштайн крупные силы танков и пехоты противника вновь предприняли попытку пробиться на запад. Мощным огнём и контрударами советские части отбросили немцев и нанесли им большие потери.</w:t>
      </w:r>
    </w:p>
    <w:p w14:paraId="777B9FCB" w14:textId="77777777" w:rsidR="00590D1F" w:rsidRPr="00F90EAE" w:rsidRDefault="00590D1F" w:rsidP="00F90EAE">
      <w:pPr>
        <w:jc w:val="both"/>
        <w:rPr>
          <w:color w:val="000000" w:themeColor="text1"/>
          <w:sz w:val="16"/>
          <w:szCs w:val="16"/>
        </w:rPr>
      </w:pPr>
      <w:r w:rsidRPr="00F90EAE">
        <w:rPr>
          <w:color w:val="000000" w:themeColor="text1"/>
          <w:sz w:val="16"/>
          <w:szCs w:val="16"/>
        </w:rPr>
        <w:t>В нижнем течении реки Вислы наши войска после упорных боёв овладели городом Мариенвердер. Немцы стремились удержать в своих руках этот важный узел шоссейных и железных дорог и опорный пункт обороны. Сегодня советские войска предприняли решительную атаку, заняли город и отбросили остатки разгромленных частей противника за Вислу. На подступах к городу и на его улицах осталась много вражеских трупов. Захвачены 24 орудия, 161 миномёт, 500 автоматов, 3 артиллерийских склада, более 100 автомашин, 8 паровозов, 160 вагонов с грузами и много других трофеев.</w:t>
      </w:r>
    </w:p>
    <w:p w14:paraId="5CAE232F" w14:textId="77777777" w:rsidR="00590D1F" w:rsidRPr="00F90EAE" w:rsidRDefault="00590D1F" w:rsidP="00F90EAE">
      <w:pPr>
        <w:jc w:val="both"/>
        <w:rPr>
          <w:color w:val="000000" w:themeColor="text1"/>
          <w:sz w:val="16"/>
          <w:szCs w:val="16"/>
        </w:rPr>
      </w:pPr>
      <w:r w:rsidRPr="00F90EAE">
        <w:rPr>
          <w:color w:val="000000" w:themeColor="text1"/>
          <w:sz w:val="16"/>
          <w:szCs w:val="16"/>
        </w:rPr>
        <w:t>Северо-западнее города Быдгощ наши войска прорвали долговременную полосу обороны противника на польско-германской границе. Развивая успех, советские части углубились на территорию Германии на 10 километров и овладели городами Линде и Кроянке. С занятием этих городов перерезана железная дорога Данциг—Шнайдемюль. На поле боя остались сотни вражеских трупов. Захвачены 2 бронепоезда, 11 паровозов, 27 вагонов и другие трофеи. Взято в плен много немецких солдат и офицеров.</w:t>
      </w:r>
    </w:p>
    <w:p w14:paraId="1F88A668" w14:textId="77777777" w:rsidR="00590D1F" w:rsidRPr="00F90EAE" w:rsidRDefault="00590D1F" w:rsidP="00F90EAE">
      <w:pPr>
        <w:jc w:val="both"/>
        <w:rPr>
          <w:color w:val="000000" w:themeColor="text1"/>
          <w:sz w:val="16"/>
          <w:szCs w:val="16"/>
        </w:rPr>
      </w:pPr>
      <w:r w:rsidRPr="00F90EAE">
        <w:rPr>
          <w:color w:val="000000" w:themeColor="text1"/>
          <w:sz w:val="16"/>
          <w:szCs w:val="16"/>
        </w:rPr>
        <w:t>Западнее города Познань наши пехотинцы и танкисты форсировали реку Обра и прорвали долговременную полосу обороны противника на её западном берегу. Советские артиллеристы, расчищая путь пехоте и танкам, разрушили десятки железобетонных дотов. Многие немецкие доты были блокированы и захвачены нашими штурмовыми группами. На западном, берегу реки Обра советские части с боями заняли немецкие города Тирштигель, Бомст, Унруштадт и свыше 200 других населённых пунктов. Противник потерял только убитыми более 4 тысяч своих солдат и офицеров. Нашими бойцами захвачены у немцев 93 орудия, более 600 автомашин и 31 железнодорожный эшелон. В одном районе гитлеровцы, отступая, оставили госпиталь, в котором находилось 250 раненых немецких офицеров.</w:t>
      </w:r>
    </w:p>
    <w:p w14:paraId="58649F93" w14:textId="77777777" w:rsidR="00590D1F" w:rsidRPr="00F90EAE" w:rsidRDefault="00590D1F" w:rsidP="00F90EAE">
      <w:pPr>
        <w:jc w:val="both"/>
        <w:rPr>
          <w:color w:val="000000" w:themeColor="text1"/>
          <w:sz w:val="16"/>
          <w:szCs w:val="16"/>
        </w:rPr>
      </w:pPr>
      <w:r w:rsidRPr="00F90EAE">
        <w:rPr>
          <w:color w:val="000000" w:themeColor="text1"/>
          <w:sz w:val="16"/>
          <w:szCs w:val="16"/>
        </w:rPr>
        <w:t>Наши войска освободили из фашистской неволи около 10 тысяч иностранных рабочих.</w:t>
      </w:r>
    </w:p>
    <w:p w14:paraId="274AA24C" w14:textId="77777777" w:rsidR="00590D1F" w:rsidRPr="00F90EAE" w:rsidRDefault="00590D1F" w:rsidP="00F90EAE">
      <w:pPr>
        <w:jc w:val="both"/>
        <w:rPr>
          <w:color w:val="000000" w:themeColor="text1"/>
          <w:sz w:val="16"/>
          <w:szCs w:val="16"/>
        </w:rPr>
      </w:pPr>
      <w:r w:rsidRPr="00F90EAE">
        <w:rPr>
          <w:color w:val="000000" w:themeColor="text1"/>
          <w:sz w:val="16"/>
          <w:szCs w:val="16"/>
        </w:rPr>
        <w:t>Западнее и юго-западнее города Катовице наши войска с боями продвигались вперёд, уничтожая остатки разгромленной группировки противника. В течение дня взято в плен 1.230 немецких солдат и офицеров. Подбито и сожжено 32 вражеских танка и 8 бронетранспортёров. В одном районе в лесах советские бойцы разгромили группу гитлеровцев и захватили 107 орудий.</w:t>
      </w:r>
    </w:p>
    <w:p w14:paraId="7540F38E" w14:textId="77777777" w:rsidR="00590D1F" w:rsidRPr="00F90EAE" w:rsidRDefault="00590D1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атаковала суда противника в районе порта Лепая (Либава) и потопила четыре немецких транспорта общим водоизмещением в 26 тысяч тонн.» (15025).</w:t>
      </w:r>
    </w:p>
    <w:p w14:paraId="57CC8665" w14:textId="77777777" w:rsidR="00590D1F" w:rsidRPr="00F90EAE" w:rsidRDefault="00590D1F" w:rsidP="00F90EAE">
      <w:pPr>
        <w:jc w:val="both"/>
        <w:rPr>
          <w:color w:val="000000" w:themeColor="text1"/>
          <w:sz w:val="16"/>
          <w:szCs w:val="16"/>
        </w:rPr>
      </w:pPr>
    </w:p>
    <w:p w14:paraId="5C4CBB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был подготовлен "Акт установления эффективности фактичес</w:t>
      </w:r>
      <w:r w:rsidRPr="00F90EAE">
        <w:rPr>
          <w:color w:val="000000" w:themeColor="text1"/>
          <w:sz w:val="16"/>
          <w:szCs w:val="16"/>
        </w:rPr>
        <w:softHyphen/>
        <w:t xml:space="preserve">ки уничтоженной техники противника при действиях штурмовиков частей 230 </w:t>
      </w:r>
      <w:r w:rsidRPr="00F90EAE">
        <w:rPr>
          <w:iCs/>
          <w:color w:val="000000" w:themeColor="text1"/>
          <w:sz w:val="16"/>
          <w:szCs w:val="16"/>
        </w:rPr>
        <w:t>шад</w:t>
      </w:r>
      <w:r w:rsidRPr="00F90EAE">
        <w:rPr>
          <w:color w:val="000000" w:themeColor="text1"/>
          <w:sz w:val="16"/>
          <w:szCs w:val="16"/>
        </w:rPr>
        <w:t xml:space="preserve"> в период с 16.01 по 20.01.45 г." (исх. 02068), в котором комиссия штаба дивизии </w:t>
      </w:r>
      <w:r w:rsidRPr="00F90EAE">
        <w:rPr>
          <w:iCs/>
          <w:color w:val="000000" w:themeColor="text1"/>
          <w:sz w:val="16"/>
          <w:szCs w:val="16"/>
        </w:rPr>
        <w:t>"выездом в район</w:t>
      </w:r>
      <w:r w:rsidRPr="00F90EAE">
        <w:rPr>
          <w:color w:val="000000" w:themeColor="text1"/>
          <w:sz w:val="16"/>
          <w:szCs w:val="16"/>
        </w:rPr>
        <w:t xml:space="preserve"> бое</w:t>
      </w:r>
      <w:r w:rsidRPr="00F90EAE">
        <w:rPr>
          <w:color w:val="000000" w:themeColor="text1"/>
          <w:sz w:val="16"/>
          <w:szCs w:val="16"/>
        </w:rPr>
        <w:softHyphen/>
        <w:t xml:space="preserve">вых действий" определила, что </w:t>
      </w:r>
      <w:r w:rsidRPr="00F90EAE">
        <w:rPr>
          <w:iCs/>
          <w:color w:val="000000" w:themeColor="text1"/>
          <w:sz w:val="16"/>
          <w:szCs w:val="16"/>
        </w:rPr>
        <w:t>"...нане</w:t>
      </w:r>
      <w:r w:rsidRPr="00F90EAE">
        <w:rPr>
          <w:iCs/>
          <w:color w:val="000000" w:themeColor="text1"/>
          <w:sz w:val="16"/>
          <w:szCs w:val="16"/>
        </w:rPr>
        <w:softHyphen/>
        <w:t>сенные потери противнику в соответ</w:t>
      </w:r>
      <w:r w:rsidRPr="00F90EAE">
        <w:rPr>
          <w:iCs/>
          <w:color w:val="000000" w:themeColor="text1"/>
          <w:sz w:val="16"/>
          <w:szCs w:val="16"/>
        </w:rPr>
        <w:softHyphen/>
        <w:t>ствии с боевыми донесениями штаба дивизии полностью не соответствуют, так как количество уничтоженной техники, обнаруженной в процессе осмотра, со</w:t>
      </w:r>
      <w:r w:rsidRPr="00F90EAE">
        <w:rPr>
          <w:iCs/>
          <w:color w:val="000000" w:themeColor="text1"/>
          <w:sz w:val="16"/>
          <w:szCs w:val="16"/>
        </w:rPr>
        <w:softHyphen/>
        <w:t>ставляет 30% отданных наших донесе</w:t>
      </w:r>
      <w:r w:rsidRPr="00F90EAE">
        <w:rPr>
          <w:iCs/>
          <w:color w:val="000000" w:themeColor="text1"/>
          <w:sz w:val="16"/>
          <w:szCs w:val="16"/>
        </w:rPr>
        <w:softHyphen/>
        <w:t xml:space="preserve">ний..." </w:t>
      </w:r>
      <w:r w:rsidRPr="00F90EAE">
        <w:rPr>
          <w:color w:val="000000" w:themeColor="text1"/>
          <w:sz w:val="16"/>
          <w:szCs w:val="16"/>
        </w:rPr>
        <w:t>(6467).</w:t>
      </w:r>
    </w:p>
    <w:p w14:paraId="06C65798" w14:textId="77777777" w:rsidR="00C2313B" w:rsidRPr="00F90EAE" w:rsidRDefault="00C2313B" w:rsidP="00F90EAE">
      <w:pPr>
        <w:autoSpaceDE w:val="0"/>
        <w:autoSpaceDN w:val="0"/>
        <w:adjustRightInd w:val="0"/>
        <w:jc w:val="both"/>
        <w:rPr>
          <w:color w:val="000000" w:themeColor="text1"/>
          <w:sz w:val="16"/>
          <w:szCs w:val="16"/>
        </w:rPr>
      </w:pPr>
    </w:p>
    <w:p w14:paraId="021B28BB" w14:textId="77777777" w:rsidR="00573476" w:rsidRPr="00F90EAE" w:rsidRDefault="00573476" w:rsidP="00F90EAE">
      <w:pPr>
        <w:jc w:val="both"/>
        <w:rPr>
          <w:color w:val="000000" w:themeColor="text1"/>
          <w:sz w:val="16"/>
          <w:szCs w:val="16"/>
        </w:rPr>
      </w:pPr>
      <w:r w:rsidRPr="00F90EAE">
        <w:rPr>
          <w:color w:val="000000" w:themeColor="text1"/>
          <w:sz w:val="16"/>
          <w:szCs w:val="16"/>
        </w:rPr>
        <w:t>30 января 1945 года командир батальона 61-й гвардейской танковой бригады младший лейтенант Павел Лабуз уничтожил на своем Т-34-85 15 немецких танков (12217).</w:t>
      </w:r>
    </w:p>
    <w:p w14:paraId="66F63E7C" w14:textId="77777777" w:rsidR="00573476" w:rsidRPr="00F90EAE" w:rsidRDefault="00573476" w:rsidP="00F90EAE">
      <w:pPr>
        <w:jc w:val="both"/>
        <w:rPr>
          <w:color w:val="000000" w:themeColor="text1"/>
          <w:sz w:val="16"/>
          <w:szCs w:val="16"/>
        </w:rPr>
      </w:pPr>
    </w:p>
    <w:p w14:paraId="0FC80FDE"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30, 1945: In its relentless drive for Berlin, the Red Army reaches the Oder river at Kustrin and establishes several bridgeheads. On the twelfth anniversary of his coming to power Hitler, in his last speech to the country, calls for fanatical resistance by soldiers and civilians and predicts that "...in this struggle for survival it will not be inner Asia that will conquer, but the people that has defended Europe for centuries against the onslaughts from the East, the German nation..." Also on this date, the Wilhelm Gustloff, an ex-Kraft Durch Freude ship (Strength Through Joy) in the service of the German Kriegsmarine, is sunk in the Baltic Sea by a Soviet sub with the loss of over 6,000 lives - the largest single naval disaster in history (The Goya, another German ship similar to the Gustloff, would be sunk on April 16th, 1945, taking with it another 6,000 lives, making these two ships the worst naval disasters of all time.).</w:t>
      </w:r>
    </w:p>
    <w:p w14:paraId="09156296" w14:textId="77777777" w:rsidR="00C2313B" w:rsidRPr="00F90EAE" w:rsidRDefault="00C2313B" w:rsidP="00F90EAE">
      <w:pPr>
        <w:autoSpaceDE w:val="0"/>
        <w:autoSpaceDN w:val="0"/>
        <w:adjustRightInd w:val="0"/>
        <w:jc w:val="both"/>
        <w:rPr>
          <w:color w:val="000000" w:themeColor="text1"/>
          <w:sz w:val="16"/>
          <w:szCs w:val="16"/>
          <w:lang w:val="en-US"/>
        </w:rPr>
      </w:pPr>
    </w:p>
    <w:p w14:paraId="1473CB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КА вышла к Одеру у Кюстрина и захватила несколько плацдармов (3841).</w:t>
      </w:r>
    </w:p>
    <w:p w14:paraId="39412177" w14:textId="77777777" w:rsidR="00C2313B" w:rsidRPr="00F90EAE" w:rsidRDefault="00C2313B" w:rsidP="00F90EAE">
      <w:pPr>
        <w:autoSpaceDE w:val="0"/>
        <w:autoSpaceDN w:val="0"/>
        <w:adjustRightInd w:val="0"/>
        <w:jc w:val="both"/>
        <w:rPr>
          <w:color w:val="000000" w:themeColor="text1"/>
          <w:sz w:val="16"/>
          <w:szCs w:val="16"/>
        </w:rPr>
      </w:pPr>
    </w:p>
    <w:p w14:paraId="12AD9C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началось окружение немецкой группировки под Кенигсбергом (3481).</w:t>
      </w:r>
    </w:p>
    <w:p w14:paraId="294ABBC2" w14:textId="77777777" w:rsidR="00C2313B" w:rsidRPr="00F90EAE" w:rsidRDefault="00C2313B" w:rsidP="00F90EAE">
      <w:pPr>
        <w:autoSpaceDE w:val="0"/>
        <w:autoSpaceDN w:val="0"/>
        <w:adjustRightInd w:val="0"/>
        <w:jc w:val="both"/>
        <w:rPr>
          <w:color w:val="000000" w:themeColor="text1"/>
          <w:sz w:val="16"/>
          <w:szCs w:val="16"/>
        </w:rPr>
      </w:pPr>
    </w:p>
    <w:p w14:paraId="3311D64C"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января 1945 советской подлодкой (командир - А. Маринеско) у Данцига затоплен немецкий лайнер “Вильгельм Густлофф”, из-за чего погибли 7700 человек (самая большая морская катастрофа в истории) (4962).</w:t>
      </w:r>
    </w:p>
    <w:p w14:paraId="4E56ECC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7C5D5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А.И.Маринеско - капитан 3р С-13 - потопил немецкий лайнер Вильгельм Густлов (25.5 тыс. т) и погибли 3700 унтерофицеров - выпускников школы подводного плавания и 100 командиров подлодок, окончивших спецкурс по новым немецким подлодкам 21 серии и много другого начальства (2117).</w:t>
      </w:r>
    </w:p>
    <w:p w14:paraId="7BA7CE98" w14:textId="77777777" w:rsidR="00C2313B" w:rsidRPr="00F90EAE" w:rsidRDefault="00C2313B" w:rsidP="00F90EAE">
      <w:pPr>
        <w:autoSpaceDE w:val="0"/>
        <w:autoSpaceDN w:val="0"/>
        <w:adjustRightInd w:val="0"/>
        <w:jc w:val="both"/>
        <w:rPr>
          <w:color w:val="000000" w:themeColor="text1"/>
          <w:sz w:val="16"/>
          <w:szCs w:val="16"/>
        </w:rPr>
      </w:pPr>
    </w:p>
    <w:p w14:paraId="6FAD952D" w14:textId="77777777" w:rsidR="00590D1F" w:rsidRPr="00F90EAE" w:rsidRDefault="00590D1F" w:rsidP="00F90EAE">
      <w:pPr>
        <w:jc w:val="both"/>
        <w:rPr>
          <w:bCs/>
          <w:color w:val="000000" w:themeColor="text1"/>
          <w:sz w:val="16"/>
          <w:szCs w:val="16"/>
        </w:rPr>
      </w:pPr>
      <w:r w:rsidRPr="00F90EAE">
        <w:rPr>
          <w:bCs/>
          <w:color w:val="000000" w:themeColor="text1"/>
          <w:sz w:val="16"/>
          <w:szCs w:val="16"/>
        </w:rPr>
        <w:t>30 января</w:t>
      </w:r>
      <w:r w:rsidRPr="00F90EAE">
        <w:rPr>
          <w:color w:val="000000" w:themeColor="text1"/>
          <w:sz w:val="16"/>
          <w:szCs w:val="16"/>
        </w:rPr>
        <w:t xml:space="preserve"> в 1945 году в жестокий шторм около 23.00 подводная лодка «С-13» под командованием А.И.Маринеско потопила в Данцигской бухте на глазах кораблей охранения огромный фашистский лайнер «Вильгельм Густлов», на борту которого находился весь цвет германского подводного флота. Подвиг моряков-подводников был назван «атакой века». В Германии, как и после Сталинграда, был объявлен трехдневный траур. Командир конвоя был расстрелян пол личному приказу Адольфа Гитлера. Через несколько дней (9 февраля) тот же экипаж потопил еще одно вражеское судно - военный транспорт «Генерал фон Штойбен» с находившемся на нем личным составом танковой дивизии. За один боевой поход экипаж «С-13» отправил на дно около 10 тысяч фашистов, а капитан Маринеско был объявлен личным врагом Гитлера. Командир дивизиона подводных лодок А.Е.Орел представил Маринеско к присвоению звания Героя Советского Союза, а экипаж лодки - к присвоению почетного звания «Гвардейский». Ни первого, ни второго сделано не было из-за дисциплинарного проступка командира накануне выхода в море. Лишь в 1990 году Маринеско посмертно был удостоен заслуженной им награды.</w:t>
      </w:r>
    </w:p>
    <w:p w14:paraId="7140D834" w14:textId="77777777" w:rsidR="00590D1F" w:rsidRPr="00F90EAE" w:rsidRDefault="00590D1F" w:rsidP="00F90EAE">
      <w:pPr>
        <w:jc w:val="both"/>
        <w:rPr>
          <w:bCs/>
          <w:color w:val="000000" w:themeColor="text1"/>
          <w:sz w:val="16"/>
          <w:szCs w:val="16"/>
        </w:rPr>
      </w:pPr>
      <w:r w:rsidRPr="00F90EAE">
        <w:rPr>
          <w:color w:val="000000" w:themeColor="text1"/>
          <w:sz w:val="16"/>
          <w:szCs w:val="16"/>
        </w:rPr>
        <w:t xml:space="preserve">"Wilhelm Gustloff" (25484 брт, 208.5 м, 15.5 уз) - немецкий пассажирский лайнер, построенный в Гамбурге на верфи «Blohm&amp;Voss», принадлежавший немецкой организации «Kraft durch Freude – KdF» («Сила через радость»). Спущен на воду 5 мая 1937 года. После первого "презентационного" круиза, лайнер полтора года совершал круизные рейсы в рамках программы "Сила через радость" (предоставление дешёвых и доступных путешествий и круизов для немецких рабочих), успев совершить за это время 50 круизов. Лайнер также привлекался для возвращения немецких добровольцев Легиона «Кондор» из Испании. Во время Второй мировой </w:t>
      </w:r>
      <w:r w:rsidRPr="00F90EAE">
        <w:rPr>
          <w:color w:val="000000" w:themeColor="text1"/>
          <w:sz w:val="16"/>
          <w:szCs w:val="16"/>
        </w:rPr>
        <w:lastRenderedPageBreak/>
        <w:t>войны использовался в качестве плавгоспиталя, плавказармы 2-ой учебной бригады подводников. В последний рейс "Wilhelm Gustloff" вышел 30 января 1945 года в 12:30 в сопровождении миноносца "Lowe" из Готенхафена. Потоплен в результате атаки ПЛ «С-13» в 23:10 (3 торпедных попадания). По официальным данным на нем находилось 6050 человек (918 курсантов младших групп 2-го учебного дивизиона подводных лодок, 373 из женской вспомогательной части флота, 162 раненых военнослужащих, 173 члена экипажа (гражданских моряков) и 4424 гражданских беженцев). Кроме 6050 человек, внесенных в списки, на борт "Густлова", возможно, удалось попасть еще до 2 тысяч гражданских беженцев. Всего было спасено 1239 человек. По современным данным на его борту должно было находиться 10 582 человека, из которых 8956 беженцев. Лодка продолжила поход и 6 февраля 1945 атаковала "Штойбен" (охранение - миноносец «Т-196» и торпедолов «TF-10»). На борту находилось 2680 раненых военнослужащих Вермахта, 100 солдат, около 900 беженцев, 270 человек медперсонала кригсмарине и 285 членов экипажа. Спасено 659 человек (в том числе около 350 раненых)</w:t>
      </w:r>
    </w:p>
    <w:p w14:paraId="5FB342A4" w14:textId="77777777" w:rsidR="00590D1F" w:rsidRPr="00F90EAE" w:rsidRDefault="00590D1F" w:rsidP="00F90EAE">
      <w:pPr>
        <w:jc w:val="both"/>
        <w:rPr>
          <w:color w:val="000000" w:themeColor="text1"/>
          <w:sz w:val="16"/>
          <w:szCs w:val="16"/>
        </w:rPr>
      </w:pPr>
      <w:r w:rsidRPr="00F90EAE">
        <w:rPr>
          <w:color w:val="000000" w:themeColor="text1"/>
          <w:sz w:val="16"/>
          <w:szCs w:val="16"/>
        </w:rPr>
        <w:t>"Steuben" ("General von Steuben", 14660 брт, 168 м, 16.5 уз) - немецкий пассажирский лайнер. Спущен на воду в 1922 году под названием «Мюнхен» (Munchen). В 1930 году лайнер сгорел в порту Нью-Йорка. После ремонта в 1931 году переименован в «Генерал Штойбен», а в 1938 году - в «Штойбен». Во время Второй Мировой войны до 1944 года лайнер использовался как гостиница для высшего командного состава Кригсмарине в Киле и Данциге, после 1944 судно было переоборудовано в госпитальное и участвовало в эвакуации людей из Восточной Пруссии (15025).</w:t>
      </w:r>
    </w:p>
    <w:p w14:paraId="7B10823D" w14:textId="77777777" w:rsidR="00590D1F" w:rsidRPr="00F90EAE" w:rsidRDefault="00590D1F" w:rsidP="00F90EAE">
      <w:pPr>
        <w:jc w:val="both"/>
        <w:rPr>
          <w:color w:val="000000" w:themeColor="text1"/>
          <w:sz w:val="16"/>
          <w:szCs w:val="16"/>
        </w:rPr>
      </w:pPr>
    </w:p>
    <w:p w14:paraId="4361573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85CD3BF" w14:textId="77777777" w:rsidR="00C2313B" w:rsidRPr="00F90EAE" w:rsidRDefault="00C2313B" w:rsidP="00F90EAE">
      <w:pPr>
        <w:autoSpaceDE w:val="0"/>
        <w:autoSpaceDN w:val="0"/>
        <w:adjustRightInd w:val="0"/>
        <w:jc w:val="both"/>
        <w:rPr>
          <w:iCs/>
          <w:color w:val="000000" w:themeColor="text1"/>
          <w:sz w:val="16"/>
          <w:szCs w:val="16"/>
        </w:rPr>
      </w:pPr>
    </w:p>
    <w:p w14:paraId="6C34014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января 1945 на Мальте встретились Рузвельт и Черчилль для подготовки единой программы перед встречей со Сталиным в Ялте (4962).</w:t>
      </w:r>
    </w:p>
    <w:p w14:paraId="2221F828"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C39D7A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января 1945 Гитлер назначил Геббельса “Защитником Берлина” (4962).</w:t>
      </w:r>
    </w:p>
    <w:p w14:paraId="2212A8DD"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0E4EA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 января 1945 союзники прошли Линию Зигфрида (2100).</w:t>
      </w:r>
    </w:p>
    <w:p w14:paraId="2906C28B" w14:textId="77777777" w:rsidR="00C2313B" w:rsidRPr="00F90EAE" w:rsidRDefault="00C2313B" w:rsidP="00F90EAE">
      <w:pPr>
        <w:autoSpaceDE w:val="0"/>
        <w:autoSpaceDN w:val="0"/>
        <w:adjustRightInd w:val="0"/>
        <w:jc w:val="both"/>
        <w:rPr>
          <w:color w:val="000000" w:themeColor="text1"/>
          <w:sz w:val="16"/>
          <w:szCs w:val="16"/>
        </w:rPr>
      </w:pPr>
    </w:p>
    <w:p w14:paraId="0362257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74501D4" w14:textId="77777777" w:rsidR="00C2313B" w:rsidRPr="00F90EAE" w:rsidRDefault="00C2313B" w:rsidP="00F90EAE">
      <w:pPr>
        <w:autoSpaceDE w:val="0"/>
        <w:autoSpaceDN w:val="0"/>
        <w:adjustRightInd w:val="0"/>
        <w:jc w:val="both"/>
        <w:rPr>
          <w:iCs/>
          <w:color w:val="000000" w:themeColor="text1"/>
          <w:sz w:val="16"/>
          <w:szCs w:val="16"/>
        </w:rPr>
      </w:pPr>
    </w:p>
    <w:p w14:paraId="5D63FE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был подготовлен отчет N 62 о деятельности Мелецкого авиазавода (Польша):</w:t>
      </w:r>
    </w:p>
    <w:p w14:paraId="60294D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1 января 1945 выпущено 30 обтекателей Ил-2..." (2484).</w:t>
      </w:r>
    </w:p>
    <w:p w14:paraId="2B91DEE3" w14:textId="77777777" w:rsidR="00C2313B" w:rsidRPr="00F90EAE" w:rsidRDefault="00C2313B" w:rsidP="00F90EAE">
      <w:pPr>
        <w:autoSpaceDE w:val="0"/>
        <w:autoSpaceDN w:val="0"/>
        <w:adjustRightInd w:val="0"/>
        <w:jc w:val="both"/>
        <w:rPr>
          <w:color w:val="000000" w:themeColor="text1"/>
          <w:sz w:val="16"/>
          <w:szCs w:val="16"/>
        </w:rPr>
      </w:pPr>
    </w:p>
    <w:p w14:paraId="1620862E" w14:textId="77777777" w:rsidR="00561026" w:rsidRPr="00F90EAE" w:rsidRDefault="00561026" w:rsidP="00F90EAE">
      <w:pPr>
        <w:jc w:val="both"/>
        <w:rPr>
          <w:color w:val="000000" w:themeColor="text1"/>
          <w:sz w:val="16"/>
          <w:szCs w:val="16"/>
        </w:rPr>
      </w:pPr>
      <w:r w:rsidRPr="00F90EAE">
        <w:rPr>
          <w:rStyle w:val="107"/>
          <w:rFonts w:eastAsiaTheme="minorHAnsi"/>
          <w:color w:val="000000" w:themeColor="text1"/>
          <w:sz w:val="16"/>
          <w:szCs w:val="16"/>
        </w:rPr>
        <w:t>31 января 1945 вышел совместный ВВС и НКАП приказ № 32сс/004 «О выпуске самолетов Ил-10 с установкой пушки Березина 20 мм на заводах № 1 и № 18». По этому приказу замнаркома А. И. Кузнецов и директора заводов № 1 и № 18 В. Я. Литвинов и А. А. Белянский обязывались в феврале изготовить по 30, в марте - по 75, а с апреля - «перейти полностью на выпуск самолетов Ил-10 с установкой ВУ-9 и пушкой Березина 20 мм» (17490).</w:t>
      </w:r>
    </w:p>
    <w:p w14:paraId="78C852C6" w14:textId="77777777" w:rsidR="00561026" w:rsidRPr="00F90EAE" w:rsidRDefault="00561026" w:rsidP="00F90EAE">
      <w:pPr>
        <w:jc w:val="both"/>
        <w:rPr>
          <w:color w:val="000000" w:themeColor="text1"/>
          <w:sz w:val="16"/>
          <w:szCs w:val="16"/>
        </w:rPr>
      </w:pPr>
    </w:p>
    <w:p w14:paraId="381C5B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закончились заводские испытания на ЦА Як-3Т и 9, которые проводились с 19 января 1945 и в тот же день его передали на гос. испытания в НИИ ВВС (65,181).</w:t>
      </w:r>
    </w:p>
    <w:p w14:paraId="32EA9658" w14:textId="77777777" w:rsidR="00C2313B" w:rsidRPr="00F90EAE" w:rsidRDefault="00C2313B" w:rsidP="00F90EAE">
      <w:pPr>
        <w:autoSpaceDE w:val="0"/>
        <w:autoSpaceDN w:val="0"/>
        <w:adjustRightInd w:val="0"/>
        <w:jc w:val="both"/>
        <w:rPr>
          <w:color w:val="000000" w:themeColor="text1"/>
          <w:sz w:val="16"/>
          <w:szCs w:val="16"/>
        </w:rPr>
      </w:pPr>
    </w:p>
    <w:p w14:paraId="6C967C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31 января по 20 декабря 1945 проходили заводские испытания Су-7 с АШ-82ФН и РД-1 (200,42).</w:t>
      </w:r>
    </w:p>
    <w:p w14:paraId="642D15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Летал Г.Н.Комаров и во время заводских испытаний было выполнено 84 пуска РД-1 и РД-1ХЗ с общей наработкой 29 мин, включая 10 мин. в воздухе. Мак. скорость - 597 км/час на 6000 м, а прирост - 91 км/час (173,417).</w:t>
      </w:r>
    </w:p>
    <w:p w14:paraId="30A4B8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испытания шли до 10 февраля 1945, а потом ставили РД-ХЗ и вновь испытывали с 28 августа по 19 декабря 1945 (1454,65).</w:t>
      </w:r>
    </w:p>
    <w:p w14:paraId="3A3B8B7E" w14:textId="77777777" w:rsidR="00C2313B" w:rsidRPr="00F90EAE" w:rsidRDefault="00C2313B" w:rsidP="00F90EAE">
      <w:pPr>
        <w:autoSpaceDE w:val="0"/>
        <w:autoSpaceDN w:val="0"/>
        <w:adjustRightInd w:val="0"/>
        <w:jc w:val="both"/>
        <w:rPr>
          <w:color w:val="000000" w:themeColor="text1"/>
          <w:sz w:val="16"/>
          <w:szCs w:val="16"/>
        </w:rPr>
      </w:pPr>
    </w:p>
    <w:p w14:paraId="19632A2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C54072A" w14:textId="77777777" w:rsidR="00C2313B" w:rsidRPr="00F90EAE" w:rsidRDefault="00C2313B" w:rsidP="00F90EAE">
      <w:pPr>
        <w:autoSpaceDE w:val="0"/>
        <w:autoSpaceDN w:val="0"/>
        <w:adjustRightInd w:val="0"/>
        <w:jc w:val="both"/>
        <w:rPr>
          <w:iCs/>
          <w:color w:val="000000" w:themeColor="text1"/>
          <w:sz w:val="16"/>
          <w:szCs w:val="16"/>
        </w:rPr>
      </w:pPr>
    </w:p>
    <w:p w14:paraId="0EA37B3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января 1945 г. вышло заключении ЦАГИ о том, что в строевые части ушло свыше трех сотен самолетов Ил-10, имевших недостаточную прочность конструкции. Между тем анализ документов штурмовых авиаполков, ус</w:t>
      </w:r>
      <w:r w:rsidRPr="00F90EAE">
        <w:rPr>
          <w:color w:val="000000" w:themeColor="text1"/>
          <w:sz w:val="16"/>
          <w:szCs w:val="16"/>
        </w:rPr>
        <w:softHyphen/>
        <w:t>певших применить Ил-10 на фронте, показывает, что условия боевого применения нового штурмовика во всех случаях было типовым: атаки с пикирования под углами не более 30—35°. При этом в документах не было обнаружено ни одного упоми</w:t>
      </w:r>
      <w:r w:rsidRPr="00F90EAE">
        <w:rPr>
          <w:color w:val="000000" w:themeColor="text1"/>
          <w:sz w:val="16"/>
          <w:szCs w:val="16"/>
        </w:rPr>
        <w:softHyphen/>
        <w:t>нания о выполнении летчиками фигур высшего пилотажа (11474,512).</w:t>
      </w:r>
    </w:p>
    <w:p w14:paraId="30BA1C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ED33EB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января 1945 года приказ № 40сс НКБ Москва</w:t>
      </w:r>
    </w:p>
    <w:p w14:paraId="391904F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целях надлежащей организации работ по разработке конструкций неконтактных (автоматических) взрывателей для снарядов зенитной артиллерии и авиабомб:</w:t>
      </w:r>
    </w:p>
    <w:p w14:paraId="0FDF2FC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Восстановить на базе ОКБ завода № 521 Госинститут № 44.</w:t>
      </w:r>
    </w:p>
    <w:p w14:paraId="003793F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Приказы за №№ 353сс от 3 августа 1941 года и 433 от 20 августа 1941 года о реорганизации в связи с эвакуацией из Ленинграда, ГСИ-44 в Конструкторский отдел завода № 521 и о передаче кадров, оборудования и имущества Института заводу – отменить, как изданное без решения Правительства (5756, 43).</w:t>
      </w:r>
    </w:p>
    <w:p w14:paraId="6F33716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39313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года была подготовлена справка:</w:t>
      </w:r>
    </w:p>
    <w:p w14:paraId="5C529C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Чебаркульский завод № 701 НК чермета (8973).</w:t>
      </w:r>
    </w:p>
    <w:p w14:paraId="6837AE39" w14:textId="77777777" w:rsidR="00C2313B" w:rsidRPr="00F90EAE" w:rsidRDefault="00C2313B" w:rsidP="00F90EAE">
      <w:pPr>
        <w:autoSpaceDE w:val="0"/>
        <w:autoSpaceDN w:val="0"/>
        <w:adjustRightInd w:val="0"/>
        <w:jc w:val="both"/>
        <w:rPr>
          <w:iCs/>
          <w:color w:val="000000" w:themeColor="text1"/>
          <w:sz w:val="16"/>
          <w:szCs w:val="16"/>
        </w:rPr>
      </w:pPr>
    </w:p>
    <w:p w14:paraId="3B23B5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была подготовлена справка:</w:t>
      </w:r>
    </w:p>
    <w:p w14:paraId="63E650BF" w14:textId="77777777" w:rsidR="00C2313B" w:rsidRPr="00F90EAE" w:rsidRDefault="00C2313B" w:rsidP="00F90EAE">
      <w:pPr>
        <w:jc w:val="both"/>
        <w:rPr>
          <w:color w:val="000000" w:themeColor="text1"/>
          <w:sz w:val="16"/>
          <w:szCs w:val="16"/>
        </w:rPr>
      </w:pPr>
      <w:r w:rsidRPr="00F90EAE">
        <w:rPr>
          <w:color w:val="000000" w:themeColor="text1"/>
          <w:sz w:val="16"/>
          <w:szCs w:val="16"/>
        </w:rPr>
        <w:t>О работе Норильского комбината НКВД СССР в годы войны</w:t>
      </w:r>
    </w:p>
    <w:p w14:paraId="15B4AE18" w14:textId="77777777" w:rsidR="00C2313B" w:rsidRPr="00F90EAE" w:rsidRDefault="00C2313B" w:rsidP="00F90EAE">
      <w:pPr>
        <w:jc w:val="both"/>
        <w:rPr>
          <w:color w:val="000000" w:themeColor="text1"/>
          <w:sz w:val="16"/>
          <w:szCs w:val="16"/>
        </w:rPr>
      </w:pPr>
      <w:r w:rsidRPr="00F90EAE">
        <w:rPr>
          <w:color w:val="000000" w:themeColor="text1"/>
          <w:sz w:val="16"/>
          <w:szCs w:val="16"/>
        </w:rPr>
        <w:t>Справка начальника Норильского комбината НКВД СССР в Красноярский крайком ВКП (б)</w:t>
      </w:r>
    </w:p>
    <w:p w14:paraId="4F8788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Норильск 31 января 1945 г.</w:t>
      </w:r>
    </w:p>
    <w:p w14:paraId="1D7D9F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77615D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Секретарю Красноярского крайкома ВКП (б)</w:t>
      </w:r>
    </w:p>
    <w:tbl>
      <w:tblPr>
        <w:tblW w:w="0" w:type="auto"/>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253"/>
        <w:gridCol w:w="1213"/>
        <w:gridCol w:w="1199"/>
        <w:gridCol w:w="1134"/>
        <w:gridCol w:w="1082"/>
        <w:gridCol w:w="921"/>
        <w:gridCol w:w="19"/>
      </w:tblGrid>
      <w:tr w:rsidR="00561F31" w:rsidRPr="00F90EAE" w14:paraId="792BCFEB" w14:textId="77777777">
        <w:trPr>
          <w:cantSplit/>
        </w:trPr>
        <w:tc>
          <w:tcPr>
            <w:tcW w:w="4253" w:type="dxa"/>
          </w:tcPr>
          <w:p w14:paraId="6D4C96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Показатели</w:t>
            </w:r>
          </w:p>
        </w:tc>
        <w:tc>
          <w:tcPr>
            <w:tcW w:w="1213" w:type="dxa"/>
          </w:tcPr>
          <w:p w14:paraId="2E3A2D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Ед[ени-ца] изм[ерения]</w:t>
            </w:r>
          </w:p>
          <w:p w14:paraId="08F9BAD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F81F5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Годы</w:t>
            </w:r>
          </w:p>
        </w:tc>
        <w:tc>
          <w:tcPr>
            <w:tcW w:w="1134" w:type="dxa"/>
          </w:tcPr>
          <w:p w14:paraId="67A460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1080" w:type="dxa"/>
          </w:tcPr>
          <w:p w14:paraId="2817E7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Фактич[ески]</w:t>
            </w:r>
          </w:p>
          <w:p w14:paraId="381AAACB"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72170BC7"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373601D" w14:textId="77777777">
        <w:trPr>
          <w:gridAfter w:val="1"/>
          <w:wAfter w:w="18" w:type="dxa"/>
          <w:cantSplit/>
          <w:trHeight w:val="381"/>
        </w:trPr>
        <w:tc>
          <w:tcPr>
            <w:tcW w:w="4253" w:type="dxa"/>
          </w:tcPr>
          <w:p w14:paraId="20D469AD" w14:textId="77777777" w:rsidR="00C2313B" w:rsidRPr="00F90EAE" w:rsidRDefault="00C2313B" w:rsidP="00F90EAE">
            <w:pPr>
              <w:autoSpaceDE w:val="0"/>
              <w:autoSpaceDN w:val="0"/>
              <w:adjustRightInd w:val="0"/>
              <w:jc w:val="both"/>
              <w:rPr>
                <w:color w:val="000000" w:themeColor="text1"/>
                <w:sz w:val="16"/>
                <w:szCs w:val="16"/>
              </w:rPr>
            </w:pPr>
          </w:p>
          <w:p w14:paraId="0FE6DC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Валовая продукция в неизменных ценах 26/27 года</w:t>
            </w:r>
          </w:p>
          <w:p w14:paraId="26ADAA7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6F71CFED" w14:textId="77777777" w:rsidR="00C2313B" w:rsidRPr="00F90EAE" w:rsidRDefault="00C2313B" w:rsidP="00F90EAE">
            <w:pPr>
              <w:autoSpaceDE w:val="0"/>
              <w:autoSpaceDN w:val="0"/>
              <w:adjustRightInd w:val="0"/>
              <w:jc w:val="both"/>
              <w:rPr>
                <w:color w:val="000000" w:themeColor="text1"/>
                <w:sz w:val="16"/>
                <w:szCs w:val="16"/>
              </w:rPr>
            </w:pPr>
          </w:p>
          <w:p w14:paraId="7C42AD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Т[ысяч] р[уб].</w:t>
            </w:r>
          </w:p>
          <w:p w14:paraId="25064797"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7CF521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631BCD69"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5631</w:t>
            </w:r>
          </w:p>
        </w:tc>
        <w:tc>
          <w:tcPr>
            <w:tcW w:w="1082" w:type="dxa"/>
          </w:tcPr>
          <w:p w14:paraId="3CA424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9191</w:t>
            </w:r>
          </w:p>
          <w:p w14:paraId="0010067F"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20" w:type="dxa"/>
          </w:tcPr>
          <w:p w14:paraId="01D5D5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w:t>
            </w:r>
          </w:p>
        </w:tc>
      </w:tr>
      <w:tr w:rsidR="00561F31" w:rsidRPr="00F90EAE" w14:paraId="05313D53" w14:textId="77777777">
        <w:trPr>
          <w:gridAfter w:val="1"/>
          <w:wAfter w:w="18" w:type="dxa"/>
          <w:cantSplit/>
          <w:trHeight w:val="385"/>
        </w:trPr>
        <w:tc>
          <w:tcPr>
            <w:tcW w:w="4253" w:type="dxa"/>
          </w:tcPr>
          <w:p w14:paraId="7C3AE8E1"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7B04FE28"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09974D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0C82230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6662</w:t>
            </w:r>
          </w:p>
        </w:tc>
        <w:tc>
          <w:tcPr>
            <w:tcW w:w="1082" w:type="dxa"/>
          </w:tcPr>
          <w:p w14:paraId="77872B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10731</w:t>
            </w:r>
          </w:p>
          <w:p w14:paraId="17A334B0"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20" w:type="dxa"/>
          </w:tcPr>
          <w:p w14:paraId="6B28F7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161</w:t>
            </w:r>
          </w:p>
          <w:p w14:paraId="1DA2AF71"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07DE5172" w14:textId="77777777">
        <w:trPr>
          <w:gridAfter w:val="1"/>
          <w:wAfter w:w="18" w:type="dxa"/>
          <w:cantSplit/>
          <w:trHeight w:val="385"/>
        </w:trPr>
        <w:tc>
          <w:tcPr>
            <w:tcW w:w="4253" w:type="dxa"/>
          </w:tcPr>
          <w:p w14:paraId="4D0A4044"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1D504380"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2B3A54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77C1D149"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22283</w:t>
            </w:r>
          </w:p>
        </w:tc>
        <w:tc>
          <w:tcPr>
            <w:tcW w:w="1082" w:type="dxa"/>
          </w:tcPr>
          <w:p w14:paraId="6186D5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23296</w:t>
            </w:r>
          </w:p>
          <w:p w14:paraId="0CB002A5"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20" w:type="dxa"/>
          </w:tcPr>
          <w:p w14:paraId="57623A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w:t>
            </w:r>
          </w:p>
          <w:p w14:paraId="6E608514"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4034D2B9" w14:textId="77777777">
        <w:trPr>
          <w:gridAfter w:val="1"/>
          <w:wAfter w:w="18" w:type="dxa"/>
          <w:cantSplit/>
          <w:trHeight w:val="385"/>
        </w:trPr>
        <w:tc>
          <w:tcPr>
            <w:tcW w:w="4253" w:type="dxa"/>
          </w:tcPr>
          <w:p w14:paraId="76E73B95"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1FE5B3AC"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4A2AA0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6064F8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44334</w:t>
            </w:r>
          </w:p>
          <w:p w14:paraId="1C92CDAA"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1082" w:type="dxa"/>
          </w:tcPr>
          <w:p w14:paraId="46E8C6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25319</w:t>
            </w:r>
          </w:p>
          <w:p w14:paraId="6B0F45F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20" w:type="dxa"/>
          </w:tcPr>
          <w:p w14:paraId="43FCD1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57</w:t>
            </w:r>
          </w:p>
          <w:p w14:paraId="54EDC1E8"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3F78FC7D" w14:textId="77777777">
        <w:trPr>
          <w:gridAfter w:val="1"/>
          <w:wAfter w:w="18" w:type="dxa"/>
          <w:cantSplit/>
          <w:trHeight w:val="385"/>
        </w:trPr>
        <w:tc>
          <w:tcPr>
            <w:tcW w:w="4253" w:type="dxa"/>
          </w:tcPr>
          <w:p w14:paraId="4584DD32"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1526A6C7"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06D8CB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45F38D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34260</w:t>
            </w:r>
          </w:p>
          <w:p w14:paraId="2B7E483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1082" w:type="dxa"/>
          </w:tcPr>
          <w:p w14:paraId="26A5EE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38382</w:t>
            </w:r>
          </w:p>
          <w:p w14:paraId="46CBDEBA"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20" w:type="dxa"/>
          </w:tcPr>
          <w:p w14:paraId="162C5D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112</w:t>
            </w:r>
          </w:p>
          <w:p w14:paraId="3F01B491"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2F6E5C32" w14:textId="77777777">
        <w:trPr>
          <w:cantSplit/>
        </w:trPr>
        <w:tc>
          <w:tcPr>
            <w:tcW w:w="4253" w:type="dxa"/>
          </w:tcPr>
          <w:p w14:paraId="1F7B0A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Товарная продукция в действующих отпускных ценах</w:t>
            </w:r>
          </w:p>
          <w:p w14:paraId="4E590CB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949D0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Т[ысяч] р[уб].</w:t>
            </w:r>
          </w:p>
          <w:p w14:paraId="2FE0E506"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1BED1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706E5552"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20791</w:t>
            </w:r>
          </w:p>
        </w:tc>
        <w:tc>
          <w:tcPr>
            <w:tcW w:w="1080" w:type="dxa"/>
          </w:tcPr>
          <w:p w14:paraId="53CC19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33781</w:t>
            </w:r>
          </w:p>
          <w:p w14:paraId="57EE02C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60EE42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243C97D2" w14:textId="77777777">
        <w:trPr>
          <w:cantSplit/>
        </w:trPr>
        <w:tc>
          <w:tcPr>
            <w:tcW w:w="4253" w:type="dxa"/>
          </w:tcPr>
          <w:p w14:paraId="37D3B073"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F24EDC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6C339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1A7612B3"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20894</w:t>
            </w:r>
          </w:p>
        </w:tc>
        <w:tc>
          <w:tcPr>
            <w:tcW w:w="1080" w:type="dxa"/>
          </w:tcPr>
          <w:p w14:paraId="3EB827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44415</w:t>
            </w:r>
          </w:p>
          <w:p w14:paraId="39C4EF5A"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531F14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149</w:t>
            </w:r>
          </w:p>
          <w:p w14:paraId="6A50438E"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3B548519" w14:textId="77777777">
        <w:trPr>
          <w:cantSplit/>
        </w:trPr>
        <w:tc>
          <w:tcPr>
            <w:tcW w:w="4253" w:type="dxa"/>
          </w:tcPr>
          <w:p w14:paraId="43992915"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5C9E3A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D2F02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5F86FA4B"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r w:rsidRPr="00F90EAE">
              <w:rPr>
                <w:color w:val="000000" w:themeColor="text1"/>
                <w:sz w:val="16"/>
                <w:szCs w:val="16"/>
              </w:rPr>
              <w:t>107242</w:t>
            </w:r>
          </w:p>
        </w:tc>
        <w:tc>
          <w:tcPr>
            <w:tcW w:w="1080" w:type="dxa"/>
          </w:tcPr>
          <w:p w14:paraId="583CFF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107408</w:t>
            </w:r>
          </w:p>
          <w:p w14:paraId="372ADB9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0237B8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w:t>
            </w:r>
          </w:p>
          <w:p w14:paraId="2E9F9644"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54CF7485" w14:textId="77777777">
        <w:trPr>
          <w:cantSplit/>
        </w:trPr>
        <w:tc>
          <w:tcPr>
            <w:tcW w:w="4253" w:type="dxa"/>
          </w:tcPr>
          <w:p w14:paraId="3482EB1F"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D82D25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ECC11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35C530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175204</w:t>
            </w:r>
          </w:p>
          <w:p w14:paraId="68E0B245"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1080" w:type="dxa"/>
          </w:tcPr>
          <w:p w14:paraId="0F2402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92498</w:t>
            </w:r>
          </w:p>
          <w:p w14:paraId="7393A2C3"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01D800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w:t>
            </w:r>
          </w:p>
          <w:p w14:paraId="56995E9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578C541A" w14:textId="77777777">
        <w:trPr>
          <w:cantSplit/>
        </w:trPr>
        <w:tc>
          <w:tcPr>
            <w:tcW w:w="4253" w:type="dxa"/>
          </w:tcPr>
          <w:p w14:paraId="35B5E7B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E87F3D6"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0A218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459B9C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127300</w:t>
            </w:r>
          </w:p>
          <w:p w14:paraId="7DCC9094"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1080" w:type="dxa"/>
          </w:tcPr>
          <w:p w14:paraId="2BD38A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138135</w:t>
            </w:r>
          </w:p>
          <w:p w14:paraId="6D774F1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c>
          <w:tcPr>
            <w:tcW w:w="940" w:type="dxa"/>
            <w:gridSpan w:val="2"/>
          </w:tcPr>
          <w:p w14:paraId="1522EA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108</w:t>
            </w:r>
          </w:p>
          <w:p w14:paraId="777B7D8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55039DCD" w14:textId="77777777">
        <w:trPr>
          <w:cantSplit/>
        </w:trPr>
        <w:tc>
          <w:tcPr>
            <w:tcW w:w="4253" w:type="dxa"/>
          </w:tcPr>
          <w:p w14:paraId="3D8347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 Численность персонала по производству Норильского комбината</w:t>
            </w:r>
          </w:p>
          <w:p w14:paraId="704E927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155C8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Чел[овек]</w:t>
            </w:r>
          </w:p>
        </w:tc>
        <w:tc>
          <w:tcPr>
            <w:tcW w:w="1197" w:type="dxa"/>
          </w:tcPr>
          <w:p w14:paraId="22F9DE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66DF3B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13614</w:t>
            </w:r>
          </w:p>
        </w:tc>
        <w:tc>
          <w:tcPr>
            <w:tcW w:w="1080" w:type="dxa"/>
          </w:tcPr>
          <w:p w14:paraId="1CF4DC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14212</w:t>
            </w:r>
          </w:p>
        </w:tc>
        <w:tc>
          <w:tcPr>
            <w:tcW w:w="940" w:type="dxa"/>
            <w:gridSpan w:val="2"/>
          </w:tcPr>
          <w:p w14:paraId="78C042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w:t>
            </w:r>
          </w:p>
          <w:p w14:paraId="02C830C5"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5DC73434" w14:textId="77777777">
        <w:trPr>
          <w:cantSplit/>
        </w:trPr>
        <w:tc>
          <w:tcPr>
            <w:tcW w:w="4253" w:type="dxa"/>
          </w:tcPr>
          <w:p w14:paraId="06C9B013"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27470E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81C9A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0C6788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15103</w:t>
            </w:r>
          </w:p>
        </w:tc>
        <w:tc>
          <w:tcPr>
            <w:tcW w:w="1080" w:type="dxa"/>
          </w:tcPr>
          <w:p w14:paraId="7AF699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14982</w:t>
            </w:r>
          </w:p>
        </w:tc>
        <w:tc>
          <w:tcPr>
            <w:tcW w:w="940" w:type="dxa"/>
            <w:gridSpan w:val="2"/>
          </w:tcPr>
          <w:p w14:paraId="616AA1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p w14:paraId="52CB56A1"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73611C69" w14:textId="77777777">
        <w:trPr>
          <w:cantSplit/>
        </w:trPr>
        <w:tc>
          <w:tcPr>
            <w:tcW w:w="4253" w:type="dxa"/>
          </w:tcPr>
          <w:p w14:paraId="3E2AA74D"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5610AD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6E9BA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7F94D1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22858</w:t>
            </w:r>
          </w:p>
        </w:tc>
        <w:tc>
          <w:tcPr>
            <w:tcW w:w="1080" w:type="dxa"/>
          </w:tcPr>
          <w:p w14:paraId="0B486A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21422</w:t>
            </w:r>
          </w:p>
        </w:tc>
        <w:tc>
          <w:tcPr>
            <w:tcW w:w="940" w:type="dxa"/>
            <w:gridSpan w:val="2"/>
          </w:tcPr>
          <w:p w14:paraId="743A80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94</w:t>
            </w:r>
          </w:p>
          <w:p w14:paraId="034E7167"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7F342A7C" w14:textId="77777777">
        <w:trPr>
          <w:cantSplit/>
        </w:trPr>
        <w:tc>
          <w:tcPr>
            <w:tcW w:w="4253" w:type="dxa"/>
          </w:tcPr>
          <w:p w14:paraId="6F8BD77D"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2D6C42E"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430F6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457115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40794</w:t>
            </w:r>
          </w:p>
        </w:tc>
        <w:tc>
          <w:tcPr>
            <w:tcW w:w="1080" w:type="dxa"/>
          </w:tcPr>
          <w:p w14:paraId="1E626C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30815</w:t>
            </w:r>
          </w:p>
        </w:tc>
        <w:tc>
          <w:tcPr>
            <w:tcW w:w="940" w:type="dxa"/>
            <w:gridSpan w:val="2"/>
          </w:tcPr>
          <w:p w14:paraId="40F00B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w:t>
            </w:r>
          </w:p>
          <w:p w14:paraId="53EE7CBC"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514747F6" w14:textId="77777777">
        <w:trPr>
          <w:cantSplit/>
        </w:trPr>
        <w:tc>
          <w:tcPr>
            <w:tcW w:w="4253" w:type="dxa"/>
          </w:tcPr>
          <w:p w14:paraId="0F4ED05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D9C0FE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71AA0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637B07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44075</w:t>
            </w:r>
          </w:p>
        </w:tc>
        <w:tc>
          <w:tcPr>
            <w:tcW w:w="1080" w:type="dxa"/>
          </w:tcPr>
          <w:p w14:paraId="01CBB4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36248</w:t>
            </w:r>
          </w:p>
        </w:tc>
        <w:tc>
          <w:tcPr>
            <w:tcW w:w="940" w:type="dxa"/>
            <w:gridSpan w:val="2"/>
          </w:tcPr>
          <w:p w14:paraId="7ECD07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w:t>
            </w:r>
          </w:p>
          <w:p w14:paraId="1A9B4232" w14:textId="77777777" w:rsidR="00C2313B" w:rsidRPr="00F90EAE" w:rsidRDefault="00C2313B" w:rsidP="00F90EAE">
            <w:pPr>
              <w:tabs>
                <w:tab w:val="left" w:pos="1782"/>
                <w:tab w:val="left" w:pos="2844"/>
              </w:tabs>
              <w:autoSpaceDE w:val="0"/>
              <w:autoSpaceDN w:val="0"/>
              <w:adjustRightInd w:val="0"/>
              <w:jc w:val="both"/>
              <w:rPr>
                <w:color w:val="000000" w:themeColor="text1"/>
                <w:sz w:val="16"/>
                <w:szCs w:val="16"/>
              </w:rPr>
            </w:pPr>
          </w:p>
        </w:tc>
      </w:tr>
      <w:tr w:rsidR="00561F31" w:rsidRPr="00F90EAE" w14:paraId="6663B2CA" w14:textId="77777777">
        <w:trPr>
          <w:cantSplit/>
        </w:trPr>
        <w:tc>
          <w:tcPr>
            <w:tcW w:w="4253" w:type="dxa"/>
          </w:tcPr>
          <w:p w14:paraId="36A093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Выполнение производственных норм в процентах</w:t>
            </w:r>
          </w:p>
        </w:tc>
        <w:tc>
          <w:tcPr>
            <w:tcW w:w="1213" w:type="dxa"/>
          </w:tcPr>
          <w:p w14:paraId="49423F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97" w:type="dxa"/>
          </w:tcPr>
          <w:p w14:paraId="0D83A2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0DFBED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14C296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119</w:t>
            </w:r>
          </w:p>
        </w:tc>
        <w:tc>
          <w:tcPr>
            <w:tcW w:w="940" w:type="dxa"/>
            <w:gridSpan w:val="2"/>
          </w:tcPr>
          <w:p w14:paraId="081345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069BA6F" w14:textId="77777777">
        <w:trPr>
          <w:cantSplit/>
        </w:trPr>
        <w:tc>
          <w:tcPr>
            <w:tcW w:w="4253" w:type="dxa"/>
          </w:tcPr>
          <w:p w14:paraId="19CEE626"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15FEF76"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87249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63779F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F4141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127</w:t>
            </w:r>
          </w:p>
        </w:tc>
        <w:tc>
          <w:tcPr>
            <w:tcW w:w="940" w:type="dxa"/>
            <w:gridSpan w:val="2"/>
          </w:tcPr>
          <w:p w14:paraId="0580FC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DC0B219" w14:textId="77777777">
        <w:trPr>
          <w:cantSplit/>
        </w:trPr>
        <w:tc>
          <w:tcPr>
            <w:tcW w:w="4253" w:type="dxa"/>
          </w:tcPr>
          <w:p w14:paraId="3322026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AC2E73C"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22DBD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0FB922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4C70B0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940" w:type="dxa"/>
            <w:gridSpan w:val="2"/>
          </w:tcPr>
          <w:p w14:paraId="1A1EE1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BCC4B43" w14:textId="77777777">
        <w:trPr>
          <w:cantSplit/>
        </w:trPr>
        <w:tc>
          <w:tcPr>
            <w:tcW w:w="4253" w:type="dxa"/>
          </w:tcPr>
          <w:p w14:paraId="547D3FE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40A2E9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5A9C8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0D7F62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AE33E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940" w:type="dxa"/>
            <w:gridSpan w:val="2"/>
          </w:tcPr>
          <w:p w14:paraId="2AE5C5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91F1D4B" w14:textId="77777777">
        <w:trPr>
          <w:cantSplit/>
        </w:trPr>
        <w:tc>
          <w:tcPr>
            <w:tcW w:w="4253" w:type="dxa"/>
          </w:tcPr>
          <w:p w14:paraId="77703994"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75DE6B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868CF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47E867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9EA7E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940" w:type="dxa"/>
            <w:gridSpan w:val="2"/>
          </w:tcPr>
          <w:p w14:paraId="7402C3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81AA25D" w14:textId="77777777">
        <w:trPr>
          <w:cantSplit/>
        </w:trPr>
        <w:tc>
          <w:tcPr>
            <w:tcW w:w="4253" w:type="dxa"/>
          </w:tcPr>
          <w:p w14:paraId="29B37D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Выработка на производстве рабочего по валовой продукции в рублях по ценам 26/27 г.</w:t>
            </w:r>
          </w:p>
        </w:tc>
        <w:tc>
          <w:tcPr>
            <w:tcW w:w="1213" w:type="dxa"/>
          </w:tcPr>
          <w:p w14:paraId="65D5B9EE"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34ABB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74F88D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2620</w:t>
            </w:r>
          </w:p>
        </w:tc>
        <w:tc>
          <w:tcPr>
            <w:tcW w:w="1080" w:type="dxa"/>
          </w:tcPr>
          <w:p w14:paraId="7E5AD0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40" w:type="dxa"/>
            <w:gridSpan w:val="2"/>
          </w:tcPr>
          <w:p w14:paraId="7D0587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115</w:t>
            </w:r>
          </w:p>
        </w:tc>
      </w:tr>
      <w:tr w:rsidR="00561F31" w:rsidRPr="00F90EAE" w14:paraId="024474F9" w14:textId="77777777">
        <w:trPr>
          <w:cantSplit/>
        </w:trPr>
        <w:tc>
          <w:tcPr>
            <w:tcW w:w="4253" w:type="dxa"/>
          </w:tcPr>
          <w:p w14:paraId="10D39CE2"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1364E70"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B6BEB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36303B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2145</w:t>
            </w:r>
          </w:p>
        </w:tc>
        <w:tc>
          <w:tcPr>
            <w:tcW w:w="1080" w:type="dxa"/>
          </w:tcPr>
          <w:p w14:paraId="73668D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3050</w:t>
            </w:r>
          </w:p>
        </w:tc>
        <w:tc>
          <w:tcPr>
            <w:tcW w:w="940" w:type="dxa"/>
            <w:gridSpan w:val="2"/>
          </w:tcPr>
          <w:p w14:paraId="40406A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172</w:t>
            </w:r>
          </w:p>
        </w:tc>
      </w:tr>
      <w:tr w:rsidR="00561F31" w:rsidRPr="00F90EAE" w14:paraId="0C6BB24F" w14:textId="77777777">
        <w:trPr>
          <w:cantSplit/>
        </w:trPr>
        <w:tc>
          <w:tcPr>
            <w:tcW w:w="4253" w:type="dxa"/>
          </w:tcPr>
          <w:p w14:paraId="17482E74"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72AE23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3366E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6A2775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3080</w:t>
            </w:r>
          </w:p>
        </w:tc>
        <w:tc>
          <w:tcPr>
            <w:tcW w:w="1080" w:type="dxa"/>
          </w:tcPr>
          <w:p w14:paraId="06C83F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3682</w:t>
            </w:r>
          </w:p>
        </w:tc>
        <w:tc>
          <w:tcPr>
            <w:tcW w:w="940" w:type="dxa"/>
            <w:gridSpan w:val="2"/>
          </w:tcPr>
          <w:p w14:paraId="4B335C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119</w:t>
            </w:r>
          </w:p>
        </w:tc>
      </w:tr>
      <w:tr w:rsidR="00561F31" w:rsidRPr="00F90EAE" w14:paraId="38753D56" w14:textId="77777777">
        <w:trPr>
          <w:cantSplit/>
        </w:trPr>
        <w:tc>
          <w:tcPr>
            <w:tcW w:w="4253" w:type="dxa"/>
          </w:tcPr>
          <w:p w14:paraId="1AA4359A"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8A91190"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91399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7FE65C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4198</w:t>
            </w:r>
          </w:p>
        </w:tc>
        <w:tc>
          <w:tcPr>
            <w:tcW w:w="1080" w:type="dxa"/>
          </w:tcPr>
          <w:p w14:paraId="4370FE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3050</w:t>
            </w:r>
          </w:p>
        </w:tc>
        <w:tc>
          <w:tcPr>
            <w:tcW w:w="940" w:type="dxa"/>
            <w:gridSpan w:val="2"/>
          </w:tcPr>
          <w:p w14:paraId="60E125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73</w:t>
            </w:r>
          </w:p>
        </w:tc>
      </w:tr>
      <w:tr w:rsidR="00561F31" w:rsidRPr="00F90EAE" w14:paraId="161CF391" w14:textId="77777777">
        <w:trPr>
          <w:cantSplit/>
        </w:trPr>
        <w:tc>
          <w:tcPr>
            <w:tcW w:w="4253" w:type="dxa"/>
          </w:tcPr>
          <w:p w14:paraId="04BEE7B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ACCC27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C4CCD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798606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3300</w:t>
            </w:r>
          </w:p>
        </w:tc>
        <w:tc>
          <w:tcPr>
            <w:tcW w:w="1080" w:type="dxa"/>
          </w:tcPr>
          <w:p w14:paraId="25B31A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4100</w:t>
            </w:r>
          </w:p>
        </w:tc>
        <w:tc>
          <w:tcPr>
            <w:tcW w:w="940" w:type="dxa"/>
            <w:gridSpan w:val="2"/>
          </w:tcPr>
          <w:p w14:paraId="631E22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124</w:t>
            </w:r>
          </w:p>
        </w:tc>
      </w:tr>
      <w:tr w:rsidR="00561F31" w:rsidRPr="00F90EAE" w14:paraId="6BDD8E94" w14:textId="77777777">
        <w:trPr>
          <w:cantSplit/>
        </w:trPr>
        <w:tc>
          <w:tcPr>
            <w:tcW w:w="4253" w:type="dxa"/>
          </w:tcPr>
          <w:p w14:paraId="6FB8CE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а) Себестоимость</w:t>
            </w:r>
          </w:p>
          <w:p w14:paraId="1FD03F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угля</w:t>
            </w:r>
          </w:p>
        </w:tc>
        <w:tc>
          <w:tcPr>
            <w:tcW w:w="1213" w:type="dxa"/>
          </w:tcPr>
          <w:p w14:paraId="131C8E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руб.</w:t>
            </w:r>
          </w:p>
        </w:tc>
        <w:tc>
          <w:tcPr>
            <w:tcW w:w="1197" w:type="dxa"/>
          </w:tcPr>
          <w:p w14:paraId="49A341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170A64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93</w:t>
            </w:r>
          </w:p>
        </w:tc>
        <w:tc>
          <w:tcPr>
            <w:tcW w:w="1080" w:type="dxa"/>
          </w:tcPr>
          <w:p w14:paraId="04B6BF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940" w:type="dxa"/>
            <w:gridSpan w:val="2"/>
          </w:tcPr>
          <w:p w14:paraId="71CD4B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129</w:t>
            </w:r>
          </w:p>
        </w:tc>
      </w:tr>
      <w:tr w:rsidR="00561F31" w:rsidRPr="00F90EAE" w14:paraId="4D8B1C54" w14:textId="77777777">
        <w:trPr>
          <w:cantSplit/>
        </w:trPr>
        <w:tc>
          <w:tcPr>
            <w:tcW w:w="4253" w:type="dxa"/>
          </w:tcPr>
          <w:p w14:paraId="2DB3B67B"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26C6A1E"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42FEE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6DCFD4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w:t>
            </w:r>
          </w:p>
        </w:tc>
        <w:tc>
          <w:tcPr>
            <w:tcW w:w="1080" w:type="dxa"/>
          </w:tcPr>
          <w:p w14:paraId="5924F6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940" w:type="dxa"/>
            <w:gridSpan w:val="2"/>
          </w:tcPr>
          <w:p w14:paraId="79FF2D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96</w:t>
            </w:r>
          </w:p>
        </w:tc>
      </w:tr>
      <w:tr w:rsidR="00561F31" w:rsidRPr="00F90EAE" w14:paraId="7D040DD9" w14:textId="77777777">
        <w:trPr>
          <w:cantSplit/>
        </w:trPr>
        <w:tc>
          <w:tcPr>
            <w:tcW w:w="4253" w:type="dxa"/>
          </w:tcPr>
          <w:p w14:paraId="6CCAACD6"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655844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9C07F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38E50D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102</w:t>
            </w:r>
          </w:p>
        </w:tc>
        <w:tc>
          <w:tcPr>
            <w:tcW w:w="1080" w:type="dxa"/>
          </w:tcPr>
          <w:p w14:paraId="464C7A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940" w:type="dxa"/>
            <w:gridSpan w:val="2"/>
          </w:tcPr>
          <w:p w14:paraId="7F15A9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w:t>
            </w:r>
          </w:p>
        </w:tc>
      </w:tr>
      <w:tr w:rsidR="00561F31" w:rsidRPr="00F90EAE" w14:paraId="3AFF9B34" w14:textId="77777777">
        <w:trPr>
          <w:cantSplit/>
          <w:trHeight w:val="236"/>
        </w:trPr>
        <w:tc>
          <w:tcPr>
            <w:tcW w:w="4253" w:type="dxa"/>
          </w:tcPr>
          <w:p w14:paraId="1F9436D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408BD6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2E5811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039CD0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080" w:type="dxa"/>
          </w:tcPr>
          <w:p w14:paraId="31EC1F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940" w:type="dxa"/>
            <w:gridSpan w:val="2"/>
          </w:tcPr>
          <w:p w14:paraId="4A8DBF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w:t>
            </w:r>
          </w:p>
        </w:tc>
      </w:tr>
      <w:tr w:rsidR="00561F31" w:rsidRPr="00F90EAE" w14:paraId="090D1721" w14:textId="77777777">
        <w:trPr>
          <w:cantSplit/>
          <w:trHeight w:val="236"/>
        </w:trPr>
        <w:tc>
          <w:tcPr>
            <w:tcW w:w="4253" w:type="dxa"/>
          </w:tcPr>
          <w:p w14:paraId="7AF1F2AD"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EF7E06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6692F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3C45B3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080" w:type="dxa"/>
          </w:tcPr>
          <w:p w14:paraId="5900C0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w:t>
            </w:r>
          </w:p>
        </w:tc>
        <w:tc>
          <w:tcPr>
            <w:tcW w:w="940" w:type="dxa"/>
            <w:gridSpan w:val="2"/>
          </w:tcPr>
          <w:p w14:paraId="0CE004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125</w:t>
            </w:r>
          </w:p>
        </w:tc>
      </w:tr>
      <w:tr w:rsidR="00561F31" w:rsidRPr="00F90EAE" w14:paraId="2074ABD6" w14:textId="77777777">
        <w:trPr>
          <w:cantSplit/>
          <w:trHeight w:val="236"/>
        </w:trPr>
        <w:tc>
          <w:tcPr>
            <w:tcW w:w="4253" w:type="dxa"/>
          </w:tcPr>
          <w:p w14:paraId="563D0C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б) Себестоимость </w:t>
            </w:r>
          </w:p>
          <w:p w14:paraId="7F0AF2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никеля</w:t>
            </w:r>
          </w:p>
        </w:tc>
        <w:tc>
          <w:tcPr>
            <w:tcW w:w="1213" w:type="dxa"/>
          </w:tcPr>
          <w:p w14:paraId="6209B62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299D65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165B65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4B52A3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3C4E3C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0922064" w14:textId="77777777">
        <w:trPr>
          <w:cantSplit/>
          <w:trHeight w:val="236"/>
        </w:trPr>
        <w:tc>
          <w:tcPr>
            <w:tcW w:w="4253" w:type="dxa"/>
          </w:tcPr>
          <w:p w14:paraId="36F0EB56"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3811DB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1B5E60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0EA733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F8114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55FB30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8F447C1" w14:textId="77777777">
        <w:trPr>
          <w:cantSplit/>
          <w:trHeight w:val="236"/>
        </w:trPr>
        <w:tc>
          <w:tcPr>
            <w:tcW w:w="4253" w:type="dxa"/>
          </w:tcPr>
          <w:p w14:paraId="20F159B2"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60AD26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837E5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236015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82164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741C9E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3E7B35D" w14:textId="77777777">
        <w:trPr>
          <w:cantSplit/>
          <w:trHeight w:val="236"/>
        </w:trPr>
        <w:tc>
          <w:tcPr>
            <w:tcW w:w="4253" w:type="dxa"/>
          </w:tcPr>
          <w:p w14:paraId="1E71753B"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1AB222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1D4A74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4C73C5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16100</w:t>
            </w:r>
          </w:p>
        </w:tc>
        <w:tc>
          <w:tcPr>
            <w:tcW w:w="1080" w:type="dxa"/>
          </w:tcPr>
          <w:p w14:paraId="1066A2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21765</w:t>
            </w:r>
          </w:p>
        </w:tc>
        <w:tc>
          <w:tcPr>
            <w:tcW w:w="940" w:type="dxa"/>
            <w:gridSpan w:val="2"/>
          </w:tcPr>
          <w:p w14:paraId="4C701B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135</w:t>
            </w:r>
          </w:p>
        </w:tc>
      </w:tr>
      <w:tr w:rsidR="00561F31" w:rsidRPr="00F90EAE" w14:paraId="1AFF7FC5" w14:textId="77777777">
        <w:trPr>
          <w:cantSplit/>
          <w:trHeight w:val="236"/>
        </w:trPr>
        <w:tc>
          <w:tcPr>
            <w:tcW w:w="4253" w:type="dxa"/>
          </w:tcPr>
          <w:p w14:paraId="6AD89E1F"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336F2F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E13B0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145B26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22000</w:t>
            </w:r>
          </w:p>
        </w:tc>
        <w:tc>
          <w:tcPr>
            <w:tcW w:w="1080" w:type="dxa"/>
          </w:tcPr>
          <w:p w14:paraId="07CFFA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19560</w:t>
            </w:r>
          </w:p>
        </w:tc>
        <w:tc>
          <w:tcPr>
            <w:tcW w:w="940" w:type="dxa"/>
            <w:gridSpan w:val="2"/>
          </w:tcPr>
          <w:p w14:paraId="50CE72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88</w:t>
            </w:r>
          </w:p>
        </w:tc>
      </w:tr>
      <w:tr w:rsidR="00561F31" w:rsidRPr="00F90EAE" w14:paraId="252419C6" w14:textId="77777777">
        <w:trPr>
          <w:cantSplit/>
          <w:trHeight w:val="236"/>
        </w:trPr>
        <w:tc>
          <w:tcPr>
            <w:tcW w:w="4253" w:type="dxa"/>
          </w:tcPr>
          <w:p w14:paraId="56D564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Себестоимость</w:t>
            </w:r>
          </w:p>
          <w:p w14:paraId="5377F5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меди</w:t>
            </w:r>
          </w:p>
        </w:tc>
        <w:tc>
          <w:tcPr>
            <w:tcW w:w="1213" w:type="dxa"/>
          </w:tcPr>
          <w:p w14:paraId="3C0ADA60"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76866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4B2A42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F4B41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752846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410A7F0" w14:textId="77777777">
        <w:trPr>
          <w:cantSplit/>
          <w:trHeight w:val="236"/>
        </w:trPr>
        <w:tc>
          <w:tcPr>
            <w:tcW w:w="4253" w:type="dxa"/>
          </w:tcPr>
          <w:p w14:paraId="74FD92F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EFC56B0"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1967E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356F54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0AFA42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3DC61B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06ABFB8" w14:textId="77777777">
        <w:trPr>
          <w:cantSplit/>
          <w:trHeight w:val="236"/>
        </w:trPr>
        <w:tc>
          <w:tcPr>
            <w:tcW w:w="4253" w:type="dxa"/>
          </w:tcPr>
          <w:p w14:paraId="3E0790C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34A266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EAFAD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048FE7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1FC06A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33C750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A240E45" w14:textId="77777777">
        <w:trPr>
          <w:cantSplit/>
          <w:trHeight w:val="236"/>
        </w:trPr>
        <w:tc>
          <w:tcPr>
            <w:tcW w:w="4253" w:type="dxa"/>
          </w:tcPr>
          <w:p w14:paraId="1A499EAF"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55952D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1ECB57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79E059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2500</w:t>
            </w:r>
          </w:p>
        </w:tc>
        <w:tc>
          <w:tcPr>
            <w:tcW w:w="1080" w:type="dxa"/>
          </w:tcPr>
          <w:p w14:paraId="2ED890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5366</w:t>
            </w:r>
          </w:p>
        </w:tc>
        <w:tc>
          <w:tcPr>
            <w:tcW w:w="940" w:type="dxa"/>
            <w:gridSpan w:val="2"/>
          </w:tcPr>
          <w:p w14:paraId="452AE8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214</w:t>
            </w:r>
          </w:p>
        </w:tc>
      </w:tr>
      <w:tr w:rsidR="00561F31" w:rsidRPr="00F90EAE" w14:paraId="63855234" w14:textId="77777777">
        <w:trPr>
          <w:cantSplit/>
          <w:trHeight w:val="236"/>
        </w:trPr>
        <w:tc>
          <w:tcPr>
            <w:tcW w:w="4253" w:type="dxa"/>
          </w:tcPr>
          <w:p w14:paraId="74443106"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7719A9B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2E90B9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011A22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80" w:type="dxa"/>
          </w:tcPr>
          <w:p w14:paraId="62B396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2533</w:t>
            </w:r>
          </w:p>
        </w:tc>
        <w:tc>
          <w:tcPr>
            <w:tcW w:w="940" w:type="dxa"/>
            <w:gridSpan w:val="2"/>
          </w:tcPr>
          <w:p w14:paraId="1E8EB3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84</w:t>
            </w:r>
          </w:p>
        </w:tc>
      </w:tr>
      <w:tr w:rsidR="00561F31" w:rsidRPr="00F90EAE" w14:paraId="0FA3CFE6" w14:textId="77777777">
        <w:trPr>
          <w:cantSplit/>
          <w:trHeight w:val="236"/>
        </w:trPr>
        <w:tc>
          <w:tcPr>
            <w:tcW w:w="4253" w:type="dxa"/>
          </w:tcPr>
          <w:p w14:paraId="0CAF824A" w14:textId="77777777" w:rsidR="00C2313B" w:rsidRPr="00F90EAE" w:rsidRDefault="00C2313B" w:rsidP="00F90EAE">
            <w:pPr>
              <w:tabs>
                <w:tab w:val="left" w:pos="342"/>
              </w:tabs>
              <w:autoSpaceDE w:val="0"/>
              <w:autoSpaceDN w:val="0"/>
              <w:adjustRightInd w:val="0"/>
              <w:jc w:val="both"/>
              <w:rPr>
                <w:color w:val="000000" w:themeColor="text1"/>
                <w:sz w:val="16"/>
                <w:szCs w:val="16"/>
              </w:rPr>
            </w:pPr>
            <w:r w:rsidRPr="00F90EAE">
              <w:rPr>
                <w:color w:val="000000" w:themeColor="text1"/>
                <w:sz w:val="16"/>
                <w:szCs w:val="16"/>
              </w:rPr>
              <w:t>7.</w:t>
            </w:r>
            <w:r w:rsidRPr="00F90EAE">
              <w:rPr>
                <w:color w:val="000000" w:themeColor="text1"/>
                <w:sz w:val="16"/>
                <w:szCs w:val="16"/>
              </w:rPr>
              <w:tab/>
              <w:t>Количество</w:t>
            </w:r>
          </w:p>
          <w:p w14:paraId="44260B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инженерно-технических работников</w:t>
            </w:r>
          </w:p>
        </w:tc>
        <w:tc>
          <w:tcPr>
            <w:tcW w:w="1213" w:type="dxa"/>
          </w:tcPr>
          <w:p w14:paraId="02A182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чел[овек]</w:t>
            </w:r>
          </w:p>
        </w:tc>
        <w:tc>
          <w:tcPr>
            <w:tcW w:w="1197" w:type="dxa"/>
          </w:tcPr>
          <w:p w14:paraId="090B42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0FF685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748</w:t>
            </w:r>
          </w:p>
        </w:tc>
        <w:tc>
          <w:tcPr>
            <w:tcW w:w="1080" w:type="dxa"/>
          </w:tcPr>
          <w:p w14:paraId="7F7319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604</w:t>
            </w:r>
          </w:p>
        </w:tc>
        <w:tc>
          <w:tcPr>
            <w:tcW w:w="940" w:type="dxa"/>
            <w:gridSpan w:val="2"/>
          </w:tcPr>
          <w:p w14:paraId="7DADCD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w:t>
            </w:r>
          </w:p>
        </w:tc>
      </w:tr>
      <w:tr w:rsidR="00561F31" w:rsidRPr="00F90EAE" w14:paraId="0F4CB03C" w14:textId="77777777">
        <w:trPr>
          <w:cantSplit/>
          <w:trHeight w:val="236"/>
        </w:trPr>
        <w:tc>
          <w:tcPr>
            <w:tcW w:w="4253" w:type="dxa"/>
          </w:tcPr>
          <w:p w14:paraId="1A6B5AB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384B04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46B15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0B3688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827</w:t>
            </w:r>
          </w:p>
        </w:tc>
        <w:tc>
          <w:tcPr>
            <w:tcW w:w="1080" w:type="dxa"/>
          </w:tcPr>
          <w:p w14:paraId="462C46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952</w:t>
            </w:r>
          </w:p>
        </w:tc>
        <w:tc>
          <w:tcPr>
            <w:tcW w:w="940" w:type="dxa"/>
            <w:gridSpan w:val="2"/>
          </w:tcPr>
          <w:p w14:paraId="2BAC62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115</w:t>
            </w:r>
          </w:p>
        </w:tc>
      </w:tr>
      <w:tr w:rsidR="00561F31" w:rsidRPr="00F90EAE" w14:paraId="32C1C4BB" w14:textId="77777777">
        <w:trPr>
          <w:cantSplit/>
          <w:trHeight w:val="236"/>
        </w:trPr>
        <w:tc>
          <w:tcPr>
            <w:tcW w:w="4253" w:type="dxa"/>
          </w:tcPr>
          <w:p w14:paraId="0C11A373"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BB8285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2F0D9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6CDB27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1127</w:t>
            </w:r>
          </w:p>
        </w:tc>
        <w:tc>
          <w:tcPr>
            <w:tcW w:w="1080" w:type="dxa"/>
          </w:tcPr>
          <w:p w14:paraId="2E9488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972</w:t>
            </w:r>
          </w:p>
        </w:tc>
        <w:tc>
          <w:tcPr>
            <w:tcW w:w="940" w:type="dxa"/>
            <w:gridSpan w:val="2"/>
          </w:tcPr>
          <w:p w14:paraId="134756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87</w:t>
            </w:r>
          </w:p>
        </w:tc>
      </w:tr>
      <w:tr w:rsidR="00561F31" w:rsidRPr="00F90EAE" w14:paraId="4BAB2C43" w14:textId="77777777">
        <w:trPr>
          <w:cantSplit/>
          <w:trHeight w:val="236"/>
        </w:trPr>
        <w:tc>
          <w:tcPr>
            <w:tcW w:w="4253" w:type="dxa"/>
          </w:tcPr>
          <w:p w14:paraId="4EA4FF3E"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AE0C80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C66EB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635D76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1863</w:t>
            </w:r>
          </w:p>
        </w:tc>
        <w:tc>
          <w:tcPr>
            <w:tcW w:w="1080" w:type="dxa"/>
          </w:tcPr>
          <w:p w14:paraId="13A79A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1854</w:t>
            </w:r>
          </w:p>
        </w:tc>
        <w:tc>
          <w:tcPr>
            <w:tcW w:w="940" w:type="dxa"/>
            <w:gridSpan w:val="2"/>
          </w:tcPr>
          <w:p w14:paraId="1FD50E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tc>
      </w:tr>
      <w:tr w:rsidR="00561F31" w:rsidRPr="00F90EAE" w14:paraId="4583180B" w14:textId="77777777">
        <w:trPr>
          <w:cantSplit/>
          <w:trHeight w:val="236"/>
        </w:trPr>
        <w:tc>
          <w:tcPr>
            <w:tcW w:w="4253" w:type="dxa"/>
          </w:tcPr>
          <w:p w14:paraId="00CDD1B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72F34F5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B37B2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22B820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2252</w:t>
            </w:r>
          </w:p>
        </w:tc>
        <w:tc>
          <w:tcPr>
            <w:tcW w:w="1080" w:type="dxa"/>
          </w:tcPr>
          <w:p w14:paraId="0CD324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2236</w:t>
            </w:r>
          </w:p>
        </w:tc>
        <w:tc>
          <w:tcPr>
            <w:tcW w:w="940" w:type="dxa"/>
            <w:gridSpan w:val="2"/>
          </w:tcPr>
          <w:p w14:paraId="1B2069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tc>
      </w:tr>
      <w:tr w:rsidR="00561F31" w:rsidRPr="00F90EAE" w14:paraId="3340E66D" w14:textId="77777777">
        <w:trPr>
          <w:cantSplit/>
          <w:trHeight w:val="236"/>
        </w:trPr>
        <w:tc>
          <w:tcPr>
            <w:tcW w:w="4253" w:type="dxa"/>
          </w:tcPr>
          <w:p w14:paraId="513E44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Расход фонда</w:t>
            </w:r>
          </w:p>
          <w:p w14:paraId="5CC569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зарплаты</w:t>
            </w:r>
          </w:p>
        </w:tc>
        <w:tc>
          <w:tcPr>
            <w:tcW w:w="1213" w:type="dxa"/>
          </w:tcPr>
          <w:p w14:paraId="1C66CE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т[ысяч] р[уб].</w:t>
            </w:r>
          </w:p>
        </w:tc>
        <w:tc>
          <w:tcPr>
            <w:tcW w:w="1197" w:type="dxa"/>
          </w:tcPr>
          <w:p w14:paraId="2EFC93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2AC01F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21936</w:t>
            </w:r>
          </w:p>
        </w:tc>
        <w:tc>
          <w:tcPr>
            <w:tcW w:w="1080" w:type="dxa"/>
          </w:tcPr>
          <w:p w14:paraId="278767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19956</w:t>
            </w:r>
          </w:p>
        </w:tc>
        <w:tc>
          <w:tcPr>
            <w:tcW w:w="940" w:type="dxa"/>
            <w:gridSpan w:val="2"/>
          </w:tcPr>
          <w:p w14:paraId="10A8B5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91</w:t>
            </w:r>
          </w:p>
        </w:tc>
      </w:tr>
      <w:tr w:rsidR="00561F31" w:rsidRPr="00F90EAE" w14:paraId="37C8D3C5" w14:textId="77777777">
        <w:trPr>
          <w:cantSplit/>
          <w:trHeight w:val="236"/>
        </w:trPr>
        <w:tc>
          <w:tcPr>
            <w:tcW w:w="4253" w:type="dxa"/>
          </w:tcPr>
          <w:p w14:paraId="5BD4C30E"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C4BD9A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4E9FF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2FFFED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24569</w:t>
            </w:r>
          </w:p>
        </w:tc>
        <w:tc>
          <w:tcPr>
            <w:tcW w:w="1080" w:type="dxa"/>
          </w:tcPr>
          <w:p w14:paraId="085A1F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32493</w:t>
            </w:r>
          </w:p>
        </w:tc>
        <w:tc>
          <w:tcPr>
            <w:tcW w:w="940" w:type="dxa"/>
            <w:gridSpan w:val="2"/>
          </w:tcPr>
          <w:p w14:paraId="04832F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132</w:t>
            </w:r>
          </w:p>
        </w:tc>
      </w:tr>
      <w:tr w:rsidR="00561F31" w:rsidRPr="00F90EAE" w14:paraId="46C3DBCA" w14:textId="77777777">
        <w:trPr>
          <w:cantSplit/>
          <w:trHeight w:val="236"/>
        </w:trPr>
        <w:tc>
          <w:tcPr>
            <w:tcW w:w="4253" w:type="dxa"/>
          </w:tcPr>
          <w:p w14:paraId="2E70F0D4"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DD3BAB3"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EAE3C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7D4161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62224</w:t>
            </w:r>
          </w:p>
        </w:tc>
        <w:tc>
          <w:tcPr>
            <w:tcW w:w="1080" w:type="dxa"/>
          </w:tcPr>
          <w:p w14:paraId="503C17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48730</w:t>
            </w:r>
          </w:p>
        </w:tc>
        <w:tc>
          <w:tcPr>
            <w:tcW w:w="940" w:type="dxa"/>
            <w:gridSpan w:val="2"/>
          </w:tcPr>
          <w:p w14:paraId="2C57FE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78</w:t>
            </w:r>
          </w:p>
        </w:tc>
      </w:tr>
      <w:tr w:rsidR="00561F31" w:rsidRPr="00F90EAE" w14:paraId="56882774" w14:textId="77777777">
        <w:trPr>
          <w:cantSplit/>
          <w:trHeight w:val="236"/>
        </w:trPr>
        <w:tc>
          <w:tcPr>
            <w:tcW w:w="4253" w:type="dxa"/>
          </w:tcPr>
          <w:p w14:paraId="62D3ABF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D795642"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2EF03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0675C4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112596</w:t>
            </w:r>
          </w:p>
        </w:tc>
        <w:tc>
          <w:tcPr>
            <w:tcW w:w="1080" w:type="dxa"/>
          </w:tcPr>
          <w:p w14:paraId="6F081D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92429</w:t>
            </w:r>
          </w:p>
        </w:tc>
        <w:tc>
          <w:tcPr>
            <w:tcW w:w="940" w:type="dxa"/>
            <w:gridSpan w:val="2"/>
          </w:tcPr>
          <w:p w14:paraId="254EAE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w:t>
            </w:r>
          </w:p>
        </w:tc>
      </w:tr>
      <w:tr w:rsidR="00561F31" w:rsidRPr="00F90EAE" w14:paraId="258E559F" w14:textId="77777777">
        <w:trPr>
          <w:cantSplit/>
          <w:trHeight w:val="236"/>
        </w:trPr>
        <w:tc>
          <w:tcPr>
            <w:tcW w:w="4253" w:type="dxa"/>
          </w:tcPr>
          <w:p w14:paraId="405E82A1"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4C62D23"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1BE58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3E59F1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166068</w:t>
            </w:r>
          </w:p>
        </w:tc>
        <w:tc>
          <w:tcPr>
            <w:tcW w:w="1080" w:type="dxa"/>
          </w:tcPr>
          <w:p w14:paraId="1B8BCD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120850</w:t>
            </w:r>
          </w:p>
        </w:tc>
        <w:tc>
          <w:tcPr>
            <w:tcW w:w="940" w:type="dxa"/>
            <w:gridSpan w:val="2"/>
          </w:tcPr>
          <w:p w14:paraId="5D620F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w:t>
            </w:r>
          </w:p>
          <w:p w14:paraId="1606FFC1"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6378EC20" w14:textId="77777777">
        <w:trPr>
          <w:cantSplit/>
          <w:trHeight w:val="236"/>
        </w:trPr>
        <w:tc>
          <w:tcPr>
            <w:tcW w:w="4253" w:type="dxa"/>
          </w:tcPr>
          <w:p w14:paraId="60778B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Количество ра-ционализаторских</w:t>
            </w:r>
          </w:p>
          <w:p w14:paraId="653660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изобретательских</w:t>
            </w:r>
          </w:p>
          <w:p w14:paraId="722714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предложений</w:t>
            </w:r>
          </w:p>
        </w:tc>
        <w:tc>
          <w:tcPr>
            <w:tcW w:w="1213" w:type="dxa"/>
          </w:tcPr>
          <w:p w14:paraId="60391C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число</w:t>
            </w:r>
          </w:p>
          <w:p w14:paraId="0A0EE1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предло-ж[ений]</w:t>
            </w:r>
          </w:p>
        </w:tc>
        <w:tc>
          <w:tcPr>
            <w:tcW w:w="1197" w:type="dxa"/>
          </w:tcPr>
          <w:p w14:paraId="77DEC0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377C39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3A95E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 было</w:t>
            </w:r>
          </w:p>
        </w:tc>
        <w:tc>
          <w:tcPr>
            <w:tcW w:w="940" w:type="dxa"/>
            <w:gridSpan w:val="2"/>
          </w:tcPr>
          <w:p w14:paraId="039418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учета</w:t>
            </w:r>
          </w:p>
        </w:tc>
      </w:tr>
      <w:tr w:rsidR="00561F31" w:rsidRPr="00F90EAE" w14:paraId="5DFC2981" w14:textId="77777777">
        <w:trPr>
          <w:cantSplit/>
          <w:trHeight w:val="236"/>
        </w:trPr>
        <w:tc>
          <w:tcPr>
            <w:tcW w:w="4253" w:type="dxa"/>
          </w:tcPr>
          <w:p w14:paraId="3107771F"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6719E8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FDB78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31B2A5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D84E3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103</w:t>
            </w:r>
          </w:p>
        </w:tc>
        <w:tc>
          <w:tcPr>
            <w:tcW w:w="940" w:type="dxa"/>
            <w:gridSpan w:val="2"/>
          </w:tcPr>
          <w:p w14:paraId="5E181C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4AEC5D1" w14:textId="77777777">
        <w:trPr>
          <w:cantSplit/>
          <w:trHeight w:val="236"/>
        </w:trPr>
        <w:tc>
          <w:tcPr>
            <w:tcW w:w="4253" w:type="dxa"/>
          </w:tcPr>
          <w:p w14:paraId="2DD11BF2"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A29E3D6"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41669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2ACDB4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08F5B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361</w:t>
            </w:r>
          </w:p>
        </w:tc>
        <w:tc>
          <w:tcPr>
            <w:tcW w:w="940" w:type="dxa"/>
            <w:gridSpan w:val="2"/>
          </w:tcPr>
          <w:p w14:paraId="06AC22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FA2C5CE" w14:textId="77777777">
        <w:trPr>
          <w:cantSplit/>
          <w:trHeight w:val="236"/>
        </w:trPr>
        <w:tc>
          <w:tcPr>
            <w:tcW w:w="4253" w:type="dxa"/>
          </w:tcPr>
          <w:p w14:paraId="0FE7A4B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4A6C663"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D15AF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54087A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44A39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541</w:t>
            </w:r>
          </w:p>
        </w:tc>
        <w:tc>
          <w:tcPr>
            <w:tcW w:w="940" w:type="dxa"/>
            <w:gridSpan w:val="2"/>
          </w:tcPr>
          <w:p w14:paraId="0E83C1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6AC1C91" w14:textId="77777777">
        <w:trPr>
          <w:cantSplit/>
          <w:trHeight w:val="236"/>
        </w:trPr>
        <w:tc>
          <w:tcPr>
            <w:tcW w:w="4253" w:type="dxa"/>
          </w:tcPr>
          <w:p w14:paraId="528B512B"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5B5B6A9"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72D5B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522192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CF081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450</w:t>
            </w:r>
          </w:p>
        </w:tc>
        <w:tc>
          <w:tcPr>
            <w:tcW w:w="940" w:type="dxa"/>
            <w:gridSpan w:val="2"/>
          </w:tcPr>
          <w:p w14:paraId="619330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3167531" w14:textId="77777777">
        <w:trPr>
          <w:cantSplit/>
          <w:trHeight w:val="236"/>
        </w:trPr>
        <w:tc>
          <w:tcPr>
            <w:tcW w:w="4253" w:type="dxa"/>
          </w:tcPr>
          <w:p w14:paraId="73D0C7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 а) Условный эконо-</w:t>
            </w:r>
          </w:p>
          <w:p w14:paraId="2B92EC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мический эффект</w:t>
            </w:r>
          </w:p>
          <w:p w14:paraId="3E941B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рационализаторских</w:t>
            </w:r>
          </w:p>
          <w:p w14:paraId="52FA02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предложений</w:t>
            </w:r>
          </w:p>
        </w:tc>
        <w:tc>
          <w:tcPr>
            <w:tcW w:w="1213" w:type="dxa"/>
          </w:tcPr>
          <w:p w14:paraId="5C3049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т[ысяч] р[уб].</w:t>
            </w:r>
          </w:p>
        </w:tc>
        <w:tc>
          <w:tcPr>
            <w:tcW w:w="1197" w:type="dxa"/>
          </w:tcPr>
          <w:p w14:paraId="438F4F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6BDC3B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AEED6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 было</w:t>
            </w:r>
          </w:p>
        </w:tc>
        <w:tc>
          <w:tcPr>
            <w:tcW w:w="940" w:type="dxa"/>
            <w:gridSpan w:val="2"/>
          </w:tcPr>
          <w:p w14:paraId="37A8D5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учета</w:t>
            </w:r>
          </w:p>
        </w:tc>
      </w:tr>
      <w:tr w:rsidR="00561F31" w:rsidRPr="00F90EAE" w14:paraId="4E78E9B8" w14:textId="77777777">
        <w:trPr>
          <w:cantSplit/>
          <w:trHeight w:val="236"/>
        </w:trPr>
        <w:tc>
          <w:tcPr>
            <w:tcW w:w="4253" w:type="dxa"/>
          </w:tcPr>
          <w:p w14:paraId="6F9ABE40"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E819B3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D2C00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4C2648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3A8F2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1421</w:t>
            </w:r>
          </w:p>
        </w:tc>
        <w:tc>
          <w:tcPr>
            <w:tcW w:w="940" w:type="dxa"/>
            <w:gridSpan w:val="2"/>
          </w:tcPr>
          <w:p w14:paraId="337299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96E5D80" w14:textId="77777777">
        <w:trPr>
          <w:cantSplit/>
          <w:trHeight w:val="236"/>
        </w:trPr>
        <w:tc>
          <w:tcPr>
            <w:tcW w:w="4253" w:type="dxa"/>
          </w:tcPr>
          <w:p w14:paraId="0FAB269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3F4342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A8209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29BDB4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DC5DF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7547</w:t>
            </w:r>
          </w:p>
        </w:tc>
        <w:tc>
          <w:tcPr>
            <w:tcW w:w="940" w:type="dxa"/>
            <w:gridSpan w:val="2"/>
          </w:tcPr>
          <w:p w14:paraId="5B1CC2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77C420A" w14:textId="77777777">
        <w:trPr>
          <w:cantSplit/>
          <w:trHeight w:val="236"/>
        </w:trPr>
        <w:tc>
          <w:tcPr>
            <w:tcW w:w="4253" w:type="dxa"/>
          </w:tcPr>
          <w:p w14:paraId="1A05F72E"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71E866F7"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BC307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041580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47FCD0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9420</w:t>
            </w:r>
          </w:p>
        </w:tc>
        <w:tc>
          <w:tcPr>
            <w:tcW w:w="940" w:type="dxa"/>
            <w:gridSpan w:val="2"/>
          </w:tcPr>
          <w:p w14:paraId="48E655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1363730" w14:textId="77777777">
        <w:trPr>
          <w:cantSplit/>
          <w:trHeight w:val="236"/>
        </w:trPr>
        <w:tc>
          <w:tcPr>
            <w:tcW w:w="4253" w:type="dxa"/>
          </w:tcPr>
          <w:p w14:paraId="04FE4FA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B42813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16453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70E26A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9213B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9586</w:t>
            </w:r>
          </w:p>
        </w:tc>
        <w:tc>
          <w:tcPr>
            <w:tcW w:w="940" w:type="dxa"/>
            <w:gridSpan w:val="2"/>
          </w:tcPr>
          <w:p w14:paraId="4AFAC3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13BEBB0" w14:textId="77777777">
        <w:trPr>
          <w:cantSplit/>
          <w:trHeight w:val="236"/>
        </w:trPr>
        <w:tc>
          <w:tcPr>
            <w:tcW w:w="4253" w:type="dxa"/>
          </w:tcPr>
          <w:p w14:paraId="67EFEA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 а)Трудовые затраты в человеко-днях на тонну меди</w:t>
            </w:r>
          </w:p>
        </w:tc>
        <w:tc>
          <w:tcPr>
            <w:tcW w:w="1213" w:type="dxa"/>
          </w:tcPr>
          <w:p w14:paraId="79FA93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Чел[овеко]/дн[ей]</w:t>
            </w:r>
          </w:p>
        </w:tc>
        <w:tc>
          <w:tcPr>
            <w:tcW w:w="1197" w:type="dxa"/>
          </w:tcPr>
          <w:p w14:paraId="1D0632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11CCA7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3383B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4F5093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DCA9406" w14:textId="77777777">
        <w:trPr>
          <w:cantSplit/>
          <w:trHeight w:val="236"/>
        </w:trPr>
        <w:tc>
          <w:tcPr>
            <w:tcW w:w="4253" w:type="dxa"/>
          </w:tcPr>
          <w:p w14:paraId="52CDB03A"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7EE937D"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69CE3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5BDFBE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1AD6C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652E56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BE946BB" w14:textId="77777777">
        <w:trPr>
          <w:cantSplit/>
          <w:trHeight w:val="236"/>
        </w:trPr>
        <w:tc>
          <w:tcPr>
            <w:tcW w:w="4253" w:type="dxa"/>
          </w:tcPr>
          <w:p w14:paraId="1F9D8BAA"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7A03B84B"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BC216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5FEBAC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F43C9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w:t>
            </w:r>
          </w:p>
        </w:tc>
        <w:tc>
          <w:tcPr>
            <w:tcW w:w="940" w:type="dxa"/>
            <w:gridSpan w:val="2"/>
          </w:tcPr>
          <w:p w14:paraId="1690CB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3C5DA61" w14:textId="77777777">
        <w:trPr>
          <w:cantSplit/>
          <w:trHeight w:val="236"/>
        </w:trPr>
        <w:tc>
          <w:tcPr>
            <w:tcW w:w="4253" w:type="dxa"/>
          </w:tcPr>
          <w:p w14:paraId="4F4B5A4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8D38102"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508DF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4062C2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7C5F5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940" w:type="dxa"/>
            <w:gridSpan w:val="2"/>
          </w:tcPr>
          <w:p w14:paraId="707A02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C2598CC" w14:textId="77777777">
        <w:trPr>
          <w:cantSplit/>
          <w:trHeight w:val="236"/>
        </w:trPr>
        <w:tc>
          <w:tcPr>
            <w:tcW w:w="4253" w:type="dxa"/>
          </w:tcPr>
          <w:p w14:paraId="285776CF"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E75A62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427541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276833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37C2E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940" w:type="dxa"/>
            <w:gridSpan w:val="2"/>
          </w:tcPr>
          <w:p w14:paraId="2E2212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B89743D" w14:textId="77777777">
        <w:trPr>
          <w:cantSplit/>
          <w:trHeight w:val="236"/>
        </w:trPr>
        <w:tc>
          <w:tcPr>
            <w:tcW w:w="4253" w:type="dxa"/>
          </w:tcPr>
          <w:p w14:paraId="7963AF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Трудовые затраты в человеко-днях на тонну никеля</w:t>
            </w:r>
          </w:p>
        </w:tc>
        <w:tc>
          <w:tcPr>
            <w:tcW w:w="1213" w:type="dxa"/>
          </w:tcPr>
          <w:p w14:paraId="0041BF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Чел[овеко]/дн[ей]</w:t>
            </w:r>
          </w:p>
        </w:tc>
        <w:tc>
          <w:tcPr>
            <w:tcW w:w="1197" w:type="dxa"/>
          </w:tcPr>
          <w:p w14:paraId="75634F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7DEBD5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5B67BF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362459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E1942EC" w14:textId="77777777">
        <w:trPr>
          <w:cantSplit/>
          <w:trHeight w:val="236"/>
        </w:trPr>
        <w:tc>
          <w:tcPr>
            <w:tcW w:w="4253" w:type="dxa"/>
          </w:tcPr>
          <w:p w14:paraId="533D169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9993F5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71F5F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499F46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E6B30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40" w:type="dxa"/>
            <w:gridSpan w:val="2"/>
          </w:tcPr>
          <w:p w14:paraId="7134B5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EEDC5A4" w14:textId="77777777">
        <w:trPr>
          <w:cantSplit/>
          <w:trHeight w:val="236"/>
        </w:trPr>
        <w:tc>
          <w:tcPr>
            <w:tcW w:w="4253" w:type="dxa"/>
          </w:tcPr>
          <w:p w14:paraId="7A290AE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39468C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F8590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021322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322A6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403</w:t>
            </w:r>
          </w:p>
        </w:tc>
        <w:tc>
          <w:tcPr>
            <w:tcW w:w="940" w:type="dxa"/>
            <w:gridSpan w:val="2"/>
          </w:tcPr>
          <w:p w14:paraId="534A92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BB7B22F" w14:textId="77777777">
        <w:trPr>
          <w:cantSplit/>
          <w:trHeight w:val="236"/>
        </w:trPr>
        <w:tc>
          <w:tcPr>
            <w:tcW w:w="4253" w:type="dxa"/>
          </w:tcPr>
          <w:p w14:paraId="32C40D41"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63D4703"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17DA14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24423D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1C46F4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241</w:t>
            </w:r>
          </w:p>
        </w:tc>
        <w:tc>
          <w:tcPr>
            <w:tcW w:w="940" w:type="dxa"/>
            <w:gridSpan w:val="2"/>
          </w:tcPr>
          <w:p w14:paraId="6917A8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7A01F91" w14:textId="77777777">
        <w:trPr>
          <w:cantSplit/>
          <w:trHeight w:val="236"/>
        </w:trPr>
        <w:tc>
          <w:tcPr>
            <w:tcW w:w="4253" w:type="dxa"/>
          </w:tcPr>
          <w:p w14:paraId="613B901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514769C"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D1722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3BA0D9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4C197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158</w:t>
            </w:r>
          </w:p>
        </w:tc>
        <w:tc>
          <w:tcPr>
            <w:tcW w:w="940" w:type="dxa"/>
            <w:gridSpan w:val="2"/>
          </w:tcPr>
          <w:p w14:paraId="31E34A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5A13D11" w14:textId="77777777">
        <w:trPr>
          <w:cantSplit/>
          <w:trHeight w:val="236"/>
        </w:trPr>
        <w:tc>
          <w:tcPr>
            <w:tcW w:w="4253" w:type="dxa"/>
          </w:tcPr>
          <w:p w14:paraId="54E7EB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Трудовые затраты в человеко-днях на тонну угля</w:t>
            </w:r>
          </w:p>
        </w:tc>
        <w:tc>
          <w:tcPr>
            <w:tcW w:w="1213" w:type="dxa"/>
          </w:tcPr>
          <w:p w14:paraId="603D725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058D4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5ADE96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8504E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1,19</w:t>
            </w:r>
          </w:p>
        </w:tc>
        <w:tc>
          <w:tcPr>
            <w:tcW w:w="940" w:type="dxa"/>
            <w:gridSpan w:val="2"/>
          </w:tcPr>
          <w:p w14:paraId="2BD6AC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6E8D1DC" w14:textId="77777777">
        <w:trPr>
          <w:cantSplit/>
          <w:trHeight w:val="236"/>
        </w:trPr>
        <w:tc>
          <w:tcPr>
            <w:tcW w:w="4253" w:type="dxa"/>
          </w:tcPr>
          <w:p w14:paraId="75B097DA"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2BE8EDE"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37B9A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27D41E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0FA6F2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0,90</w:t>
            </w:r>
          </w:p>
        </w:tc>
        <w:tc>
          <w:tcPr>
            <w:tcW w:w="940" w:type="dxa"/>
            <w:gridSpan w:val="2"/>
          </w:tcPr>
          <w:p w14:paraId="12B222A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FBB90BC" w14:textId="77777777">
        <w:trPr>
          <w:cantSplit/>
          <w:trHeight w:val="236"/>
        </w:trPr>
        <w:tc>
          <w:tcPr>
            <w:tcW w:w="4253" w:type="dxa"/>
          </w:tcPr>
          <w:p w14:paraId="3CC7D9A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9F602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97" w:type="dxa"/>
          </w:tcPr>
          <w:p w14:paraId="4DBAC9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11D9C6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A9586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0,87</w:t>
            </w:r>
          </w:p>
        </w:tc>
        <w:tc>
          <w:tcPr>
            <w:tcW w:w="940" w:type="dxa"/>
            <w:gridSpan w:val="2"/>
          </w:tcPr>
          <w:p w14:paraId="055096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F93C436" w14:textId="77777777">
        <w:trPr>
          <w:cantSplit/>
          <w:trHeight w:val="236"/>
        </w:trPr>
        <w:tc>
          <w:tcPr>
            <w:tcW w:w="4253" w:type="dxa"/>
          </w:tcPr>
          <w:p w14:paraId="59AC7FCB"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9AF868E"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DC9E0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74B3DC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32EC7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0,64</w:t>
            </w:r>
          </w:p>
        </w:tc>
        <w:tc>
          <w:tcPr>
            <w:tcW w:w="940" w:type="dxa"/>
            <w:gridSpan w:val="2"/>
          </w:tcPr>
          <w:p w14:paraId="24B06E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56AF016" w14:textId="77777777">
        <w:trPr>
          <w:cantSplit/>
          <w:trHeight w:val="236"/>
        </w:trPr>
        <w:tc>
          <w:tcPr>
            <w:tcW w:w="4253" w:type="dxa"/>
          </w:tcPr>
          <w:p w14:paraId="02DB16C6"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A056486"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2BEE44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6EBA0E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2BD8A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0,64</w:t>
            </w:r>
          </w:p>
          <w:p w14:paraId="6C6B513D"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6C189076"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7080870" w14:textId="77777777">
        <w:trPr>
          <w:gridAfter w:val="1"/>
          <w:wAfter w:w="17" w:type="dxa"/>
          <w:cantSplit/>
          <w:trHeight w:val="236"/>
        </w:trPr>
        <w:tc>
          <w:tcPr>
            <w:tcW w:w="4253" w:type="dxa"/>
          </w:tcPr>
          <w:p w14:paraId="728941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 Простои производст-венного оборудования (в станко-часах)</w:t>
            </w:r>
          </w:p>
        </w:tc>
        <w:tc>
          <w:tcPr>
            <w:tcW w:w="5547" w:type="dxa"/>
            <w:gridSpan w:val="5"/>
          </w:tcPr>
          <w:p w14:paraId="169541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Связи многим разнообразием оборудования дать свободные показатели затруднительно</w:t>
            </w:r>
          </w:p>
        </w:tc>
      </w:tr>
      <w:tr w:rsidR="00561F31" w:rsidRPr="00F90EAE" w14:paraId="7C11D1EF" w14:textId="77777777">
        <w:trPr>
          <w:gridAfter w:val="1"/>
          <w:wAfter w:w="17" w:type="dxa"/>
          <w:cantSplit/>
          <w:trHeight w:val="236"/>
        </w:trPr>
        <w:tc>
          <w:tcPr>
            <w:tcW w:w="4253" w:type="dxa"/>
          </w:tcPr>
          <w:p w14:paraId="0A3898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 Выпускаемая про-дукция по годам</w:t>
            </w:r>
          </w:p>
        </w:tc>
        <w:tc>
          <w:tcPr>
            <w:tcW w:w="5547" w:type="dxa"/>
            <w:gridSpan w:val="5"/>
          </w:tcPr>
          <w:p w14:paraId="3840B6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 г.</w:t>
            </w:r>
          </w:p>
          <w:p w14:paraId="25AD15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Уголь, руда, штейн, файнштейн, концентрат, агломерат</w:t>
            </w:r>
          </w:p>
        </w:tc>
      </w:tr>
      <w:tr w:rsidR="00561F31" w:rsidRPr="00F90EAE" w14:paraId="50700469" w14:textId="77777777">
        <w:trPr>
          <w:gridAfter w:val="1"/>
          <w:wAfter w:w="17" w:type="dxa"/>
          <w:cantSplit/>
          <w:trHeight w:val="236"/>
        </w:trPr>
        <w:tc>
          <w:tcPr>
            <w:tcW w:w="4253" w:type="dxa"/>
          </w:tcPr>
          <w:p w14:paraId="52AFAA52" w14:textId="77777777" w:rsidR="00C2313B" w:rsidRPr="00F90EAE" w:rsidRDefault="00C2313B" w:rsidP="00F90EAE">
            <w:pPr>
              <w:autoSpaceDE w:val="0"/>
              <w:autoSpaceDN w:val="0"/>
              <w:adjustRightInd w:val="0"/>
              <w:jc w:val="both"/>
              <w:rPr>
                <w:color w:val="000000" w:themeColor="text1"/>
                <w:sz w:val="16"/>
                <w:szCs w:val="16"/>
              </w:rPr>
            </w:pPr>
          </w:p>
        </w:tc>
        <w:tc>
          <w:tcPr>
            <w:tcW w:w="5547" w:type="dxa"/>
            <w:gridSpan w:val="5"/>
          </w:tcPr>
          <w:p w14:paraId="3825E6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 г.</w:t>
            </w:r>
          </w:p>
          <w:p w14:paraId="20FE22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Уголь, руда, штейн, файнштейн, концентрат, агломерат, черновая медь</w:t>
            </w:r>
          </w:p>
        </w:tc>
      </w:tr>
      <w:tr w:rsidR="00561F31" w:rsidRPr="00F90EAE" w14:paraId="63672613" w14:textId="77777777">
        <w:trPr>
          <w:gridAfter w:val="1"/>
          <w:wAfter w:w="17" w:type="dxa"/>
          <w:cantSplit/>
          <w:trHeight w:val="236"/>
        </w:trPr>
        <w:tc>
          <w:tcPr>
            <w:tcW w:w="4253" w:type="dxa"/>
          </w:tcPr>
          <w:p w14:paraId="7466015D" w14:textId="77777777" w:rsidR="00C2313B" w:rsidRPr="00F90EAE" w:rsidRDefault="00C2313B" w:rsidP="00F90EAE">
            <w:pPr>
              <w:autoSpaceDE w:val="0"/>
              <w:autoSpaceDN w:val="0"/>
              <w:adjustRightInd w:val="0"/>
              <w:jc w:val="both"/>
              <w:rPr>
                <w:color w:val="000000" w:themeColor="text1"/>
                <w:sz w:val="16"/>
                <w:szCs w:val="16"/>
              </w:rPr>
            </w:pPr>
          </w:p>
        </w:tc>
        <w:tc>
          <w:tcPr>
            <w:tcW w:w="5547" w:type="dxa"/>
            <w:gridSpan w:val="5"/>
          </w:tcPr>
          <w:p w14:paraId="084F49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 г.</w:t>
            </w:r>
          </w:p>
          <w:p w14:paraId="64B3DE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Уголь, руда, штейн. файнштейн, концентрат, агломерат, черновая медь, электорлитный никель, плаиноиды, цемент, карбид кальция</w:t>
            </w:r>
          </w:p>
        </w:tc>
      </w:tr>
      <w:tr w:rsidR="00561F31" w:rsidRPr="00F90EAE" w14:paraId="4DBF57D4" w14:textId="77777777">
        <w:trPr>
          <w:gridAfter w:val="1"/>
          <w:wAfter w:w="17" w:type="dxa"/>
          <w:cantSplit/>
          <w:trHeight w:val="236"/>
        </w:trPr>
        <w:tc>
          <w:tcPr>
            <w:tcW w:w="4253" w:type="dxa"/>
          </w:tcPr>
          <w:p w14:paraId="072C83E4" w14:textId="77777777" w:rsidR="00C2313B" w:rsidRPr="00F90EAE" w:rsidRDefault="00C2313B" w:rsidP="00F90EAE">
            <w:pPr>
              <w:autoSpaceDE w:val="0"/>
              <w:autoSpaceDN w:val="0"/>
              <w:adjustRightInd w:val="0"/>
              <w:jc w:val="both"/>
              <w:rPr>
                <w:color w:val="000000" w:themeColor="text1"/>
                <w:sz w:val="16"/>
                <w:szCs w:val="16"/>
              </w:rPr>
            </w:pPr>
          </w:p>
        </w:tc>
        <w:tc>
          <w:tcPr>
            <w:tcW w:w="5547" w:type="dxa"/>
            <w:gridSpan w:val="5"/>
          </w:tcPr>
          <w:p w14:paraId="51CC85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[19]43-[19]44 г.</w:t>
            </w:r>
          </w:p>
          <w:p w14:paraId="2E2147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Уголь, руда, концентрат, агломерат, никель, медь черновая, медь электоролитная, платиноиды, цемент, карбид кальция, бисульфат, серная кислота, жидкое стекло, огнеупоры</w:t>
            </w:r>
          </w:p>
        </w:tc>
      </w:tr>
      <w:tr w:rsidR="00561F31" w:rsidRPr="00F90EAE" w14:paraId="3D550D06" w14:textId="77777777">
        <w:trPr>
          <w:cantSplit/>
          <w:trHeight w:val="236"/>
        </w:trPr>
        <w:tc>
          <w:tcPr>
            <w:tcW w:w="4253" w:type="dxa"/>
          </w:tcPr>
          <w:p w14:paraId="409931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 Потери от производственного брака (в % к сумме стоимости валового выпуска)</w:t>
            </w:r>
          </w:p>
        </w:tc>
        <w:tc>
          <w:tcPr>
            <w:tcW w:w="1213" w:type="dxa"/>
          </w:tcPr>
          <w:p w14:paraId="5005A6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w:t>
            </w:r>
          </w:p>
        </w:tc>
        <w:tc>
          <w:tcPr>
            <w:tcW w:w="1197" w:type="dxa"/>
          </w:tcPr>
          <w:p w14:paraId="03E381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134" w:type="dxa"/>
          </w:tcPr>
          <w:p w14:paraId="49E3BD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40F3BF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940" w:type="dxa"/>
            <w:gridSpan w:val="2"/>
          </w:tcPr>
          <w:p w14:paraId="62038D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2FC66A9" w14:textId="77777777">
        <w:trPr>
          <w:cantSplit/>
          <w:trHeight w:val="236"/>
        </w:trPr>
        <w:tc>
          <w:tcPr>
            <w:tcW w:w="4253" w:type="dxa"/>
          </w:tcPr>
          <w:p w14:paraId="02E18024"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FFD9A34"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F118E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3F915A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465B83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940" w:type="dxa"/>
            <w:gridSpan w:val="2"/>
          </w:tcPr>
          <w:p w14:paraId="3FC27B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E97F1EF" w14:textId="77777777">
        <w:trPr>
          <w:cantSplit/>
          <w:trHeight w:val="236"/>
        </w:trPr>
        <w:tc>
          <w:tcPr>
            <w:tcW w:w="4253" w:type="dxa"/>
          </w:tcPr>
          <w:p w14:paraId="47FB17CB"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6CC9BA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27BB4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134" w:type="dxa"/>
          </w:tcPr>
          <w:p w14:paraId="0ED013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5F96E1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940" w:type="dxa"/>
            <w:gridSpan w:val="2"/>
          </w:tcPr>
          <w:p w14:paraId="3A4B1C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9AEA49C" w14:textId="77777777">
        <w:trPr>
          <w:cantSplit/>
          <w:trHeight w:val="236"/>
        </w:trPr>
        <w:tc>
          <w:tcPr>
            <w:tcW w:w="4253" w:type="dxa"/>
          </w:tcPr>
          <w:p w14:paraId="56295CE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0BDDE629"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AD357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134" w:type="dxa"/>
          </w:tcPr>
          <w:p w14:paraId="78BDD6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5E244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940" w:type="dxa"/>
            <w:gridSpan w:val="2"/>
          </w:tcPr>
          <w:p w14:paraId="747939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8478D16" w14:textId="77777777">
        <w:trPr>
          <w:cantSplit/>
          <w:trHeight w:val="236"/>
        </w:trPr>
        <w:tc>
          <w:tcPr>
            <w:tcW w:w="4253" w:type="dxa"/>
          </w:tcPr>
          <w:p w14:paraId="6BEDEB4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2168179A"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15E3E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134" w:type="dxa"/>
          </w:tcPr>
          <w:p w14:paraId="079FA9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13407E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940" w:type="dxa"/>
            <w:gridSpan w:val="2"/>
          </w:tcPr>
          <w:p w14:paraId="2C3354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08D031E" w14:textId="77777777">
        <w:trPr>
          <w:gridAfter w:val="1"/>
          <w:wAfter w:w="17" w:type="dxa"/>
          <w:cantSplit/>
          <w:trHeight w:val="236"/>
        </w:trPr>
        <w:tc>
          <w:tcPr>
            <w:tcW w:w="4253" w:type="dxa"/>
          </w:tcPr>
          <w:p w14:paraId="7BFC73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 Текучесть рабочей силы</w:t>
            </w:r>
          </w:p>
        </w:tc>
        <w:tc>
          <w:tcPr>
            <w:tcW w:w="5547" w:type="dxa"/>
            <w:gridSpan w:val="5"/>
          </w:tcPr>
          <w:p w14:paraId="1EE55F7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[со] специальными условиями (лагерь) показателей привести нельзя.</w:t>
            </w:r>
          </w:p>
        </w:tc>
      </w:tr>
      <w:tr w:rsidR="00561F31" w:rsidRPr="00F90EAE" w14:paraId="00BA6E58" w14:textId="77777777">
        <w:trPr>
          <w:gridAfter w:val="1"/>
          <w:wAfter w:w="17" w:type="dxa"/>
          <w:cantSplit/>
          <w:trHeight w:val="236"/>
        </w:trPr>
        <w:tc>
          <w:tcPr>
            <w:tcW w:w="4253" w:type="dxa"/>
          </w:tcPr>
          <w:p w14:paraId="1CBD85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 Объем капитало-вложений</w:t>
            </w:r>
          </w:p>
        </w:tc>
        <w:tc>
          <w:tcPr>
            <w:tcW w:w="1211" w:type="dxa"/>
          </w:tcPr>
          <w:p w14:paraId="2DB331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мл[н]. р[уб].</w:t>
            </w:r>
          </w:p>
        </w:tc>
        <w:tc>
          <w:tcPr>
            <w:tcW w:w="1199" w:type="dxa"/>
          </w:tcPr>
          <w:p w14:paraId="4E905B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13199C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1082" w:type="dxa"/>
          </w:tcPr>
          <w:p w14:paraId="58A4B4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133</w:t>
            </w:r>
          </w:p>
        </w:tc>
        <w:tc>
          <w:tcPr>
            <w:tcW w:w="921" w:type="dxa"/>
          </w:tcPr>
          <w:p w14:paraId="41B2BA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113</w:t>
            </w:r>
          </w:p>
        </w:tc>
      </w:tr>
      <w:tr w:rsidR="00561F31" w:rsidRPr="00F90EAE" w14:paraId="18D66391" w14:textId="77777777">
        <w:trPr>
          <w:gridAfter w:val="1"/>
          <w:wAfter w:w="17" w:type="dxa"/>
          <w:cantSplit/>
          <w:trHeight w:val="236"/>
        </w:trPr>
        <w:tc>
          <w:tcPr>
            <w:tcW w:w="4253" w:type="dxa"/>
          </w:tcPr>
          <w:p w14:paraId="0B27E1B1"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1409EDDD"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5BF6FC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2D4F3D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167</w:t>
            </w:r>
          </w:p>
        </w:tc>
        <w:tc>
          <w:tcPr>
            <w:tcW w:w="1082" w:type="dxa"/>
          </w:tcPr>
          <w:p w14:paraId="53EEBB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171</w:t>
            </w:r>
          </w:p>
        </w:tc>
        <w:tc>
          <w:tcPr>
            <w:tcW w:w="921" w:type="dxa"/>
          </w:tcPr>
          <w:p w14:paraId="089D62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103</w:t>
            </w:r>
          </w:p>
        </w:tc>
      </w:tr>
      <w:tr w:rsidR="00561F31" w:rsidRPr="00F90EAE" w14:paraId="32D96928" w14:textId="77777777">
        <w:trPr>
          <w:gridAfter w:val="1"/>
          <w:wAfter w:w="17" w:type="dxa"/>
          <w:cantSplit/>
          <w:trHeight w:val="236"/>
        </w:trPr>
        <w:tc>
          <w:tcPr>
            <w:tcW w:w="4253" w:type="dxa"/>
          </w:tcPr>
          <w:p w14:paraId="73B67555"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39C03EE8"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1F3A1C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135218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180</w:t>
            </w:r>
          </w:p>
        </w:tc>
        <w:tc>
          <w:tcPr>
            <w:tcW w:w="1082" w:type="dxa"/>
          </w:tcPr>
          <w:p w14:paraId="4F9220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921" w:type="dxa"/>
          </w:tcPr>
          <w:p w14:paraId="33E352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102</w:t>
            </w:r>
          </w:p>
        </w:tc>
      </w:tr>
      <w:tr w:rsidR="00561F31" w:rsidRPr="00F90EAE" w14:paraId="637863D6" w14:textId="77777777">
        <w:trPr>
          <w:gridAfter w:val="1"/>
          <w:wAfter w:w="17" w:type="dxa"/>
          <w:cantSplit/>
          <w:trHeight w:val="236"/>
        </w:trPr>
        <w:tc>
          <w:tcPr>
            <w:tcW w:w="4253" w:type="dxa"/>
          </w:tcPr>
          <w:p w14:paraId="59A3EFCF"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0133AE98"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36BDC1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28ABB1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082" w:type="dxa"/>
          </w:tcPr>
          <w:p w14:paraId="5DCF27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921" w:type="dxa"/>
          </w:tcPr>
          <w:p w14:paraId="6F3BC8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w:t>
            </w:r>
          </w:p>
        </w:tc>
      </w:tr>
      <w:tr w:rsidR="00561F31" w:rsidRPr="00F90EAE" w14:paraId="01C5EB09" w14:textId="77777777">
        <w:trPr>
          <w:gridAfter w:val="1"/>
          <w:wAfter w:w="17" w:type="dxa"/>
          <w:cantSplit/>
          <w:trHeight w:val="236"/>
        </w:trPr>
        <w:tc>
          <w:tcPr>
            <w:tcW w:w="4253" w:type="dxa"/>
          </w:tcPr>
          <w:p w14:paraId="1C9AF338"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7F716316"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3BF348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7F349D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158</w:t>
            </w:r>
          </w:p>
        </w:tc>
        <w:tc>
          <w:tcPr>
            <w:tcW w:w="1082" w:type="dxa"/>
          </w:tcPr>
          <w:p w14:paraId="208EE1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165</w:t>
            </w:r>
          </w:p>
        </w:tc>
        <w:tc>
          <w:tcPr>
            <w:tcW w:w="921" w:type="dxa"/>
          </w:tcPr>
          <w:p w14:paraId="245F94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w:t>
            </w:r>
          </w:p>
        </w:tc>
      </w:tr>
      <w:tr w:rsidR="00561F31" w:rsidRPr="00F90EAE" w14:paraId="1151694F" w14:textId="77777777">
        <w:trPr>
          <w:gridAfter w:val="1"/>
          <w:wAfter w:w="17" w:type="dxa"/>
          <w:cantSplit/>
          <w:trHeight w:val="236"/>
        </w:trPr>
        <w:tc>
          <w:tcPr>
            <w:tcW w:w="4253" w:type="dxa"/>
          </w:tcPr>
          <w:p w14:paraId="20D65E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Рост мощностей электростанций</w:t>
            </w:r>
          </w:p>
        </w:tc>
        <w:tc>
          <w:tcPr>
            <w:tcW w:w="1211" w:type="dxa"/>
          </w:tcPr>
          <w:p w14:paraId="5AFC26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кВт</w:t>
            </w:r>
          </w:p>
        </w:tc>
        <w:tc>
          <w:tcPr>
            <w:tcW w:w="1199" w:type="dxa"/>
          </w:tcPr>
          <w:p w14:paraId="166046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068B83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313AB8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21" w:type="dxa"/>
          </w:tcPr>
          <w:p w14:paraId="34D2AD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8FD063B" w14:textId="77777777">
        <w:trPr>
          <w:gridAfter w:val="1"/>
          <w:wAfter w:w="17" w:type="dxa"/>
          <w:cantSplit/>
          <w:trHeight w:val="236"/>
        </w:trPr>
        <w:tc>
          <w:tcPr>
            <w:tcW w:w="4253" w:type="dxa"/>
          </w:tcPr>
          <w:p w14:paraId="7B41A8B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20F2EE25"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22A6BD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71C4DE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288713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21" w:type="dxa"/>
          </w:tcPr>
          <w:p w14:paraId="610BB3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FDA78EB" w14:textId="77777777">
        <w:trPr>
          <w:gridAfter w:val="1"/>
          <w:wAfter w:w="17" w:type="dxa"/>
          <w:cantSplit/>
          <w:trHeight w:val="236"/>
        </w:trPr>
        <w:tc>
          <w:tcPr>
            <w:tcW w:w="4253" w:type="dxa"/>
          </w:tcPr>
          <w:p w14:paraId="3DE4C19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0BE40551"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45ACBC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0EBA37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18F69A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10000</w:t>
            </w:r>
          </w:p>
        </w:tc>
        <w:tc>
          <w:tcPr>
            <w:tcW w:w="921" w:type="dxa"/>
          </w:tcPr>
          <w:p w14:paraId="479A91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FFD5A29" w14:textId="77777777">
        <w:trPr>
          <w:gridAfter w:val="1"/>
          <w:wAfter w:w="17" w:type="dxa"/>
          <w:cantSplit/>
          <w:trHeight w:val="236"/>
        </w:trPr>
        <w:tc>
          <w:tcPr>
            <w:tcW w:w="4253" w:type="dxa"/>
          </w:tcPr>
          <w:p w14:paraId="4B5D9A99"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6100C782"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75F29D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7794A2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1C1C20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35000</w:t>
            </w:r>
          </w:p>
        </w:tc>
        <w:tc>
          <w:tcPr>
            <w:tcW w:w="921" w:type="dxa"/>
          </w:tcPr>
          <w:p w14:paraId="7E272D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628CE59" w14:textId="77777777">
        <w:trPr>
          <w:gridAfter w:val="1"/>
          <w:wAfter w:w="17" w:type="dxa"/>
          <w:cantSplit/>
          <w:trHeight w:val="236"/>
        </w:trPr>
        <w:tc>
          <w:tcPr>
            <w:tcW w:w="4253" w:type="dxa"/>
          </w:tcPr>
          <w:p w14:paraId="7578BAEC"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33A7DC62"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49BE5D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271FEA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0E777A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60000</w:t>
            </w:r>
          </w:p>
        </w:tc>
        <w:tc>
          <w:tcPr>
            <w:tcW w:w="921" w:type="dxa"/>
          </w:tcPr>
          <w:p w14:paraId="1895CE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07A7F2A" w14:textId="77777777">
        <w:trPr>
          <w:gridAfter w:val="1"/>
          <w:wAfter w:w="17" w:type="dxa"/>
          <w:cantSplit/>
          <w:trHeight w:val="236"/>
        </w:trPr>
        <w:tc>
          <w:tcPr>
            <w:tcW w:w="4253" w:type="dxa"/>
          </w:tcPr>
          <w:p w14:paraId="268114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а) Выработка электроэнергии</w:t>
            </w:r>
          </w:p>
        </w:tc>
        <w:tc>
          <w:tcPr>
            <w:tcW w:w="1211" w:type="dxa"/>
          </w:tcPr>
          <w:p w14:paraId="40F01F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тыс[яч] кВт/ч</w:t>
            </w:r>
          </w:p>
        </w:tc>
        <w:tc>
          <w:tcPr>
            <w:tcW w:w="1199" w:type="dxa"/>
          </w:tcPr>
          <w:p w14:paraId="56F43A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728750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20000</w:t>
            </w:r>
          </w:p>
        </w:tc>
        <w:tc>
          <w:tcPr>
            <w:tcW w:w="1082" w:type="dxa"/>
          </w:tcPr>
          <w:p w14:paraId="4C235E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15369</w:t>
            </w:r>
          </w:p>
        </w:tc>
        <w:tc>
          <w:tcPr>
            <w:tcW w:w="921" w:type="dxa"/>
          </w:tcPr>
          <w:p w14:paraId="03F1DB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76</w:t>
            </w:r>
          </w:p>
        </w:tc>
      </w:tr>
      <w:tr w:rsidR="00561F31" w:rsidRPr="00F90EAE" w14:paraId="58586628" w14:textId="77777777">
        <w:trPr>
          <w:gridAfter w:val="1"/>
          <w:wAfter w:w="17" w:type="dxa"/>
          <w:cantSplit/>
          <w:trHeight w:val="236"/>
        </w:trPr>
        <w:tc>
          <w:tcPr>
            <w:tcW w:w="4253" w:type="dxa"/>
          </w:tcPr>
          <w:p w14:paraId="266D676B"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4E2542C5"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067F63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601F8A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1082" w:type="dxa"/>
          </w:tcPr>
          <w:p w14:paraId="351A32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27956</w:t>
            </w:r>
          </w:p>
        </w:tc>
        <w:tc>
          <w:tcPr>
            <w:tcW w:w="921" w:type="dxa"/>
          </w:tcPr>
          <w:p w14:paraId="491226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94</w:t>
            </w:r>
          </w:p>
        </w:tc>
      </w:tr>
      <w:tr w:rsidR="00561F31" w:rsidRPr="00F90EAE" w14:paraId="3E1E0C0D" w14:textId="77777777">
        <w:trPr>
          <w:gridAfter w:val="1"/>
          <w:wAfter w:w="17" w:type="dxa"/>
          <w:cantSplit/>
          <w:trHeight w:val="236"/>
        </w:trPr>
        <w:tc>
          <w:tcPr>
            <w:tcW w:w="4253" w:type="dxa"/>
          </w:tcPr>
          <w:p w14:paraId="5253E878"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780A188F"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365D25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2E70B9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43240</w:t>
            </w:r>
          </w:p>
        </w:tc>
        <w:tc>
          <w:tcPr>
            <w:tcW w:w="1082" w:type="dxa"/>
          </w:tcPr>
          <w:p w14:paraId="357E09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57139</w:t>
            </w:r>
          </w:p>
        </w:tc>
        <w:tc>
          <w:tcPr>
            <w:tcW w:w="921" w:type="dxa"/>
          </w:tcPr>
          <w:p w14:paraId="3F3DBA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132</w:t>
            </w:r>
          </w:p>
        </w:tc>
      </w:tr>
      <w:tr w:rsidR="00561F31" w:rsidRPr="00F90EAE" w14:paraId="669A4B9A" w14:textId="77777777">
        <w:trPr>
          <w:gridAfter w:val="1"/>
          <w:wAfter w:w="17" w:type="dxa"/>
          <w:cantSplit/>
          <w:trHeight w:val="236"/>
        </w:trPr>
        <w:tc>
          <w:tcPr>
            <w:tcW w:w="4253" w:type="dxa"/>
          </w:tcPr>
          <w:p w14:paraId="21C1256B"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09C5336B"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6D5256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0ACE5D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180000</w:t>
            </w:r>
          </w:p>
        </w:tc>
        <w:tc>
          <w:tcPr>
            <w:tcW w:w="1082" w:type="dxa"/>
          </w:tcPr>
          <w:p w14:paraId="29F506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139187</w:t>
            </w:r>
          </w:p>
        </w:tc>
        <w:tc>
          <w:tcPr>
            <w:tcW w:w="921" w:type="dxa"/>
          </w:tcPr>
          <w:p w14:paraId="381707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77</w:t>
            </w:r>
          </w:p>
        </w:tc>
      </w:tr>
      <w:tr w:rsidR="00561F31" w:rsidRPr="00F90EAE" w14:paraId="32538463" w14:textId="77777777">
        <w:trPr>
          <w:gridAfter w:val="1"/>
          <w:wAfter w:w="17" w:type="dxa"/>
          <w:cantSplit/>
          <w:trHeight w:val="236"/>
        </w:trPr>
        <w:tc>
          <w:tcPr>
            <w:tcW w:w="4253" w:type="dxa"/>
          </w:tcPr>
          <w:p w14:paraId="485332D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3AD2C237"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42719C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1B9A83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175000</w:t>
            </w:r>
          </w:p>
        </w:tc>
        <w:tc>
          <w:tcPr>
            <w:tcW w:w="1082" w:type="dxa"/>
          </w:tcPr>
          <w:p w14:paraId="11C4E2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193375</w:t>
            </w:r>
          </w:p>
        </w:tc>
        <w:tc>
          <w:tcPr>
            <w:tcW w:w="921" w:type="dxa"/>
          </w:tcPr>
          <w:p w14:paraId="493932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w:t>
            </w:r>
          </w:p>
        </w:tc>
      </w:tr>
      <w:tr w:rsidR="00561F31" w:rsidRPr="00F90EAE" w14:paraId="2E65A220" w14:textId="77777777">
        <w:trPr>
          <w:gridAfter w:val="1"/>
          <w:wAfter w:w="17" w:type="dxa"/>
          <w:cantSplit/>
          <w:trHeight w:val="236"/>
        </w:trPr>
        <w:tc>
          <w:tcPr>
            <w:tcW w:w="4253" w:type="dxa"/>
          </w:tcPr>
          <w:p w14:paraId="490A97A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36693C76"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7E413D53" w14:textId="77777777" w:rsidR="00C2313B" w:rsidRPr="00F90EAE" w:rsidRDefault="00C2313B" w:rsidP="00F90EAE">
            <w:pPr>
              <w:autoSpaceDE w:val="0"/>
              <w:autoSpaceDN w:val="0"/>
              <w:adjustRightInd w:val="0"/>
              <w:jc w:val="both"/>
              <w:rPr>
                <w:color w:val="000000" w:themeColor="text1"/>
                <w:sz w:val="16"/>
                <w:szCs w:val="16"/>
              </w:rPr>
            </w:pPr>
          </w:p>
        </w:tc>
        <w:tc>
          <w:tcPr>
            <w:tcW w:w="1134" w:type="dxa"/>
          </w:tcPr>
          <w:p w14:paraId="27DA9DC7" w14:textId="77777777" w:rsidR="00C2313B" w:rsidRPr="00F90EAE" w:rsidRDefault="00C2313B" w:rsidP="00F90EAE">
            <w:pPr>
              <w:autoSpaceDE w:val="0"/>
              <w:autoSpaceDN w:val="0"/>
              <w:adjustRightInd w:val="0"/>
              <w:jc w:val="both"/>
              <w:rPr>
                <w:color w:val="000000" w:themeColor="text1"/>
                <w:sz w:val="16"/>
                <w:szCs w:val="16"/>
              </w:rPr>
            </w:pPr>
          </w:p>
        </w:tc>
        <w:tc>
          <w:tcPr>
            <w:tcW w:w="1082" w:type="dxa"/>
          </w:tcPr>
          <w:p w14:paraId="08E3A241" w14:textId="77777777" w:rsidR="00C2313B" w:rsidRPr="00F90EAE" w:rsidRDefault="00C2313B" w:rsidP="00F90EAE">
            <w:pPr>
              <w:autoSpaceDE w:val="0"/>
              <w:autoSpaceDN w:val="0"/>
              <w:adjustRightInd w:val="0"/>
              <w:jc w:val="both"/>
              <w:rPr>
                <w:color w:val="000000" w:themeColor="text1"/>
                <w:sz w:val="16"/>
                <w:szCs w:val="16"/>
              </w:rPr>
            </w:pPr>
          </w:p>
        </w:tc>
        <w:tc>
          <w:tcPr>
            <w:tcW w:w="921" w:type="dxa"/>
          </w:tcPr>
          <w:p w14:paraId="1FD44B9E"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2072AE8D" w14:textId="77777777">
        <w:trPr>
          <w:gridAfter w:val="1"/>
          <w:wAfter w:w="17" w:type="dxa"/>
          <w:cantSplit/>
          <w:trHeight w:val="236"/>
        </w:trPr>
        <w:tc>
          <w:tcPr>
            <w:tcW w:w="4253" w:type="dxa"/>
          </w:tcPr>
          <w:p w14:paraId="0C0962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 б) Потребление электроэнергии</w:t>
            </w:r>
          </w:p>
        </w:tc>
        <w:tc>
          <w:tcPr>
            <w:tcW w:w="1211" w:type="dxa"/>
          </w:tcPr>
          <w:p w14:paraId="5F07DC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1 кВт/ч</w:t>
            </w:r>
          </w:p>
        </w:tc>
        <w:tc>
          <w:tcPr>
            <w:tcW w:w="1199" w:type="dxa"/>
          </w:tcPr>
          <w:p w14:paraId="4BA1C1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177831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79154E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12297</w:t>
            </w:r>
          </w:p>
        </w:tc>
        <w:tc>
          <w:tcPr>
            <w:tcW w:w="921" w:type="dxa"/>
          </w:tcPr>
          <w:p w14:paraId="417429C1"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0709EBBC" w14:textId="77777777">
        <w:trPr>
          <w:gridAfter w:val="1"/>
          <w:wAfter w:w="17" w:type="dxa"/>
          <w:cantSplit/>
          <w:trHeight w:val="236"/>
        </w:trPr>
        <w:tc>
          <w:tcPr>
            <w:tcW w:w="4253" w:type="dxa"/>
          </w:tcPr>
          <w:p w14:paraId="6A9F1E1A"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7552C533"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03643C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37626D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5613F4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22222</w:t>
            </w:r>
          </w:p>
        </w:tc>
        <w:tc>
          <w:tcPr>
            <w:tcW w:w="921" w:type="dxa"/>
          </w:tcPr>
          <w:p w14:paraId="5694017D"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5D2F087F" w14:textId="77777777">
        <w:trPr>
          <w:gridAfter w:val="1"/>
          <w:wAfter w:w="17" w:type="dxa"/>
          <w:cantSplit/>
          <w:trHeight w:val="236"/>
        </w:trPr>
        <w:tc>
          <w:tcPr>
            <w:tcW w:w="4253" w:type="dxa"/>
          </w:tcPr>
          <w:p w14:paraId="22A53E2D"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384F04A3"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4A71B5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0741A3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7C377D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49054</w:t>
            </w:r>
          </w:p>
        </w:tc>
        <w:tc>
          <w:tcPr>
            <w:tcW w:w="921" w:type="dxa"/>
          </w:tcPr>
          <w:p w14:paraId="77D2630E"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0DCB885F" w14:textId="77777777">
        <w:trPr>
          <w:gridAfter w:val="1"/>
          <w:wAfter w:w="17" w:type="dxa"/>
          <w:cantSplit/>
          <w:trHeight w:val="236"/>
        </w:trPr>
        <w:tc>
          <w:tcPr>
            <w:tcW w:w="4253" w:type="dxa"/>
          </w:tcPr>
          <w:p w14:paraId="7065C614"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0B6CD438"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691631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1388F2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07D2DE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105152</w:t>
            </w:r>
          </w:p>
        </w:tc>
        <w:tc>
          <w:tcPr>
            <w:tcW w:w="921" w:type="dxa"/>
          </w:tcPr>
          <w:p w14:paraId="3FAA92B9"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14A830EC" w14:textId="77777777">
        <w:trPr>
          <w:gridAfter w:val="1"/>
          <w:wAfter w:w="17" w:type="dxa"/>
          <w:cantSplit/>
          <w:trHeight w:val="236"/>
        </w:trPr>
        <w:tc>
          <w:tcPr>
            <w:tcW w:w="4253" w:type="dxa"/>
          </w:tcPr>
          <w:p w14:paraId="543B4AB9" w14:textId="77777777" w:rsidR="00C2313B" w:rsidRPr="00F90EAE" w:rsidRDefault="00C2313B" w:rsidP="00F90EAE">
            <w:pPr>
              <w:autoSpaceDE w:val="0"/>
              <w:autoSpaceDN w:val="0"/>
              <w:adjustRightInd w:val="0"/>
              <w:jc w:val="both"/>
              <w:rPr>
                <w:color w:val="000000" w:themeColor="text1"/>
                <w:sz w:val="16"/>
                <w:szCs w:val="16"/>
              </w:rPr>
            </w:pPr>
          </w:p>
        </w:tc>
        <w:tc>
          <w:tcPr>
            <w:tcW w:w="1211" w:type="dxa"/>
          </w:tcPr>
          <w:p w14:paraId="01AE8D7A" w14:textId="77777777" w:rsidR="00C2313B" w:rsidRPr="00F90EAE" w:rsidRDefault="00C2313B" w:rsidP="00F90EAE">
            <w:pPr>
              <w:autoSpaceDE w:val="0"/>
              <w:autoSpaceDN w:val="0"/>
              <w:adjustRightInd w:val="0"/>
              <w:jc w:val="both"/>
              <w:rPr>
                <w:color w:val="000000" w:themeColor="text1"/>
                <w:sz w:val="16"/>
                <w:szCs w:val="16"/>
              </w:rPr>
            </w:pPr>
          </w:p>
        </w:tc>
        <w:tc>
          <w:tcPr>
            <w:tcW w:w="1199" w:type="dxa"/>
          </w:tcPr>
          <w:p w14:paraId="207634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71D727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2" w:type="dxa"/>
          </w:tcPr>
          <w:p w14:paraId="66191D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163508</w:t>
            </w:r>
          </w:p>
        </w:tc>
        <w:tc>
          <w:tcPr>
            <w:tcW w:w="921" w:type="dxa"/>
          </w:tcPr>
          <w:p w14:paraId="6C9E6C28"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1E7FB0D9" w14:textId="77777777">
        <w:trPr>
          <w:gridAfter w:val="1"/>
          <w:wAfter w:w="17" w:type="dxa"/>
          <w:cantSplit/>
          <w:trHeight w:val="236"/>
        </w:trPr>
        <w:tc>
          <w:tcPr>
            <w:tcW w:w="4253" w:type="dxa"/>
          </w:tcPr>
          <w:p w14:paraId="136980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 Участие комбината во всесоюзном соревновании</w:t>
            </w:r>
          </w:p>
        </w:tc>
        <w:tc>
          <w:tcPr>
            <w:tcW w:w="5547" w:type="dxa"/>
            <w:gridSpan w:val="5"/>
          </w:tcPr>
          <w:p w14:paraId="518346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году участвуя во Всесоюзном соревновании комбинат за свою работу шесть раз получал переходящее Красное Знамя Государственного Комитета Обороны. Это знамя для предприятий НКВД установлено ГКО только в мае месяце 1944 года, в предыдущие годы его не было.</w:t>
            </w:r>
          </w:p>
          <w:p w14:paraId="344036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в 1944 г. Норильская Теплоэлектроцентраль во Всесоюзном соревновании промышленных электростанций 4 раза получала переходящее красное Знамя Государственного Комитета Обороны.</w:t>
            </w:r>
          </w:p>
        </w:tc>
      </w:tr>
      <w:tr w:rsidR="00561F31" w:rsidRPr="00F90EAE" w14:paraId="653D7CC1" w14:textId="77777777">
        <w:trPr>
          <w:cantSplit/>
          <w:trHeight w:val="236"/>
        </w:trPr>
        <w:tc>
          <w:tcPr>
            <w:tcW w:w="4253" w:type="dxa"/>
          </w:tcPr>
          <w:p w14:paraId="23B028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 Задачи 1945 года в процентах к плану 1944 года:</w:t>
            </w:r>
          </w:p>
          <w:p w14:paraId="380730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уголь</w:t>
            </w:r>
          </w:p>
          <w:p w14:paraId="06D785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руда</w:t>
            </w:r>
          </w:p>
          <w:p w14:paraId="1538BD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никель</w:t>
            </w:r>
          </w:p>
          <w:p w14:paraId="3CBD00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медь</w:t>
            </w:r>
          </w:p>
          <w:p w14:paraId="39BD4A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платиноиды</w:t>
            </w:r>
          </w:p>
          <w:p w14:paraId="2DD227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строительство</w:t>
            </w:r>
          </w:p>
        </w:tc>
        <w:tc>
          <w:tcPr>
            <w:tcW w:w="1213" w:type="dxa"/>
          </w:tcPr>
          <w:p w14:paraId="7253DC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 %</w:t>
            </w:r>
          </w:p>
        </w:tc>
        <w:tc>
          <w:tcPr>
            <w:tcW w:w="1197" w:type="dxa"/>
          </w:tcPr>
          <w:p w14:paraId="164DC61C" w14:textId="77777777" w:rsidR="00C2313B" w:rsidRPr="00F90EAE" w:rsidRDefault="00C2313B" w:rsidP="00F90EAE">
            <w:pPr>
              <w:autoSpaceDE w:val="0"/>
              <w:autoSpaceDN w:val="0"/>
              <w:adjustRightInd w:val="0"/>
              <w:jc w:val="both"/>
              <w:rPr>
                <w:color w:val="000000" w:themeColor="text1"/>
                <w:sz w:val="16"/>
                <w:szCs w:val="16"/>
              </w:rPr>
            </w:pPr>
          </w:p>
        </w:tc>
        <w:tc>
          <w:tcPr>
            <w:tcW w:w="1134" w:type="dxa"/>
          </w:tcPr>
          <w:p w14:paraId="40B5EB53"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1E11B01D"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279DFDA9" w14:textId="77777777" w:rsidR="00C2313B" w:rsidRPr="00F90EAE" w:rsidRDefault="00C2313B" w:rsidP="00F90EAE">
            <w:pPr>
              <w:autoSpaceDE w:val="0"/>
              <w:autoSpaceDN w:val="0"/>
              <w:adjustRightInd w:val="0"/>
              <w:jc w:val="both"/>
              <w:rPr>
                <w:color w:val="000000" w:themeColor="text1"/>
                <w:sz w:val="16"/>
                <w:szCs w:val="16"/>
              </w:rPr>
            </w:pPr>
          </w:p>
          <w:p w14:paraId="73190DEA" w14:textId="77777777" w:rsidR="00C2313B" w:rsidRPr="00F90EAE" w:rsidRDefault="00C2313B" w:rsidP="00F90EAE">
            <w:pPr>
              <w:autoSpaceDE w:val="0"/>
              <w:autoSpaceDN w:val="0"/>
              <w:adjustRightInd w:val="0"/>
              <w:jc w:val="both"/>
              <w:rPr>
                <w:color w:val="000000" w:themeColor="text1"/>
                <w:sz w:val="16"/>
                <w:szCs w:val="16"/>
              </w:rPr>
            </w:pPr>
          </w:p>
          <w:p w14:paraId="2337BBD3" w14:textId="77777777" w:rsidR="00C2313B" w:rsidRPr="00F90EAE" w:rsidRDefault="00C2313B" w:rsidP="00F90EAE">
            <w:pPr>
              <w:autoSpaceDE w:val="0"/>
              <w:autoSpaceDN w:val="0"/>
              <w:adjustRightInd w:val="0"/>
              <w:jc w:val="both"/>
              <w:rPr>
                <w:color w:val="000000" w:themeColor="text1"/>
                <w:sz w:val="16"/>
                <w:szCs w:val="16"/>
              </w:rPr>
            </w:pPr>
          </w:p>
          <w:p w14:paraId="2C2D64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w:t>
            </w:r>
          </w:p>
          <w:p w14:paraId="6469A4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147</w:t>
            </w:r>
          </w:p>
          <w:p w14:paraId="43CAA1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157</w:t>
            </w:r>
          </w:p>
          <w:p w14:paraId="4FA6E8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143</w:t>
            </w:r>
          </w:p>
          <w:p w14:paraId="51247A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165</w:t>
            </w:r>
          </w:p>
          <w:p w14:paraId="7F75CC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133</w:t>
            </w:r>
          </w:p>
        </w:tc>
      </w:tr>
      <w:tr w:rsidR="00561F31" w:rsidRPr="00F90EAE" w14:paraId="33C37BF5" w14:textId="77777777">
        <w:trPr>
          <w:cantSplit/>
          <w:trHeight w:val="236"/>
        </w:trPr>
        <w:tc>
          <w:tcPr>
            <w:tcW w:w="4253" w:type="dxa"/>
          </w:tcPr>
          <w:p w14:paraId="02E7D4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19. Выпуск никеля</w:t>
            </w:r>
          </w:p>
        </w:tc>
        <w:tc>
          <w:tcPr>
            <w:tcW w:w="1213" w:type="dxa"/>
          </w:tcPr>
          <w:p w14:paraId="12C48B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1197" w:type="dxa"/>
          </w:tcPr>
          <w:p w14:paraId="1925F2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5FC87273"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27DB9845"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2E6D57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514</w:t>
            </w:r>
          </w:p>
        </w:tc>
      </w:tr>
      <w:tr w:rsidR="00561F31" w:rsidRPr="00F90EAE" w14:paraId="6DD53D3B" w14:textId="77777777">
        <w:trPr>
          <w:cantSplit/>
          <w:trHeight w:val="236"/>
        </w:trPr>
        <w:tc>
          <w:tcPr>
            <w:tcW w:w="4253" w:type="dxa"/>
          </w:tcPr>
          <w:p w14:paraId="6D773C65"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254D91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C191E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4AB3D17E"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6F78A311"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0214AA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2151</w:t>
            </w:r>
          </w:p>
        </w:tc>
      </w:tr>
      <w:tr w:rsidR="00561F31" w:rsidRPr="00F90EAE" w14:paraId="2724456B" w14:textId="77777777">
        <w:trPr>
          <w:cantSplit/>
          <w:trHeight w:val="236"/>
        </w:trPr>
        <w:tc>
          <w:tcPr>
            <w:tcW w:w="4253" w:type="dxa"/>
          </w:tcPr>
          <w:p w14:paraId="289AFFAA"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D4EF7A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397F5B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65E3EA78"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73A6F76D"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676EF7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3846</w:t>
            </w:r>
          </w:p>
        </w:tc>
      </w:tr>
      <w:tr w:rsidR="00561F31" w:rsidRPr="00F90EAE" w14:paraId="5D3229CC" w14:textId="77777777">
        <w:trPr>
          <w:cantSplit/>
          <w:trHeight w:val="236"/>
        </w:trPr>
        <w:tc>
          <w:tcPr>
            <w:tcW w:w="4253" w:type="dxa"/>
          </w:tcPr>
          <w:p w14:paraId="3587CF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 Выпуск меди</w:t>
            </w:r>
          </w:p>
        </w:tc>
        <w:tc>
          <w:tcPr>
            <w:tcW w:w="1213" w:type="dxa"/>
          </w:tcPr>
          <w:p w14:paraId="36257D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1197" w:type="dxa"/>
          </w:tcPr>
          <w:p w14:paraId="5756D4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39109B69"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4D26CB95"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645CF5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w:t>
            </w:r>
          </w:p>
        </w:tc>
      </w:tr>
      <w:tr w:rsidR="00561F31" w:rsidRPr="00F90EAE" w14:paraId="25D5FE8F" w14:textId="77777777">
        <w:trPr>
          <w:cantSplit/>
          <w:trHeight w:val="236"/>
        </w:trPr>
        <w:tc>
          <w:tcPr>
            <w:tcW w:w="4253" w:type="dxa"/>
          </w:tcPr>
          <w:p w14:paraId="687A5FC8"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39B9725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1A6469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191DB07F"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2308BD26"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214D19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446</w:t>
            </w:r>
          </w:p>
        </w:tc>
      </w:tr>
      <w:tr w:rsidR="00561F31" w:rsidRPr="00F90EAE" w14:paraId="40A73FA8" w14:textId="77777777">
        <w:trPr>
          <w:cantSplit/>
          <w:trHeight w:val="236"/>
        </w:trPr>
        <w:tc>
          <w:tcPr>
            <w:tcW w:w="4253" w:type="dxa"/>
          </w:tcPr>
          <w:p w14:paraId="1D938D1E"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4099713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599949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68A3FEB8"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766FC44A"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38CA36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2051</w:t>
            </w:r>
          </w:p>
        </w:tc>
      </w:tr>
      <w:tr w:rsidR="00561F31" w:rsidRPr="00F90EAE" w14:paraId="38FAB424" w14:textId="77777777">
        <w:trPr>
          <w:cantSplit/>
          <w:trHeight w:val="236"/>
        </w:trPr>
        <w:tc>
          <w:tcPr>
            <w:tcW w:w="4253" w:type="dxa"/>
          </w:tcPr>
          <w:p w14:paraId="6B41F089"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BB5B62C"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51AA0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4984C6DF"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05CE407E"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548CCF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3609</w:t>
            </w:r>
          </w:p>
        </w:tc>
      </w:tr>
      <w:tr w:rsidR="00561F31" w:rsidRPr="00F90EAE" w14:paraId="4D1FF7A5" w14:textId="77777777">
        <w:trPr>
          <w:cantSplit/>
          <w:trHeight w:val="236"/>
        </w:trPr>
        <w:tc>
          <w:tcPr>
            <w:tcW w:w="4253" w:type="dxa"/>
          </w:tcPr>
          <w:p w14:paraId="04DD8E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 Выпуск угля</w:t>
            </w:r>
          </w:p>
        </w:tc>
        <w:tc>
          <w:tcPr>
            <w:tcW w:w="1213" w:type="dxa"/>
          </w:tcPr>
          <w:p w14:paraId="42BAA5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т[ыс]. тонн</w:t>
            </w:r>
          </w:p>
        </w:tc>
        <w:tc>
          <w:tcPr>
            <w:tcW w:w="1197" w:type="dxa"/>
          </w:tcPr>
          <w:p w14:paraId="0D78B1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34" w:type="dxa"/>
          </w:tcPr>
          <w:p w14:paraId="6A49BBA5"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29B08F4C"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75760E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229</w:t>
            </w:r>
          </w:p>
        </w:tc>
      </w:tr>
      <w:tr w:rsidR="00561F31" w:rsidRPr="00F90EAE" w14:paraId="69820DD1" w14:textId="77777777">
        <w:trPr>
          <w:cantSplit/>
          <w:trHeight w:val="236"/>
        </w:trPr>
        <w:tc>
          <w:tcPr>
            <w:tcW w:w="4253" w:type="dxa"/>
          </w:tcPr>
          <w:p w14:paraId="5E6C5B5E"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7DFA0A99"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7C758D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34" w:type="dxa"/>
          </w:tcPr>
          <w:p w14:paraId="44C3A7A5"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21034DEB"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16D0F6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324</w:t>
            </w:r>
          </w:p>
        </w:tc>
      </w:tr>
      <w:tr w:rsidR="00561F31" w:rsidRPr="00F90EAE" w14:paraId="5602145D" w14:textId="77777777">
        <w:trPr>
          <w:cantSplit/>
          <w:trHeight w:val="236"/>
        </w:trPr>
        <w:tc>
          <w:tcPr>
            <w:tcW w:w="4253" w:type="dxa"/>
          </w:tcPr>
          <w:p w14:paraId="3D58FE77"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1A26F885"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6418BF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34" w:type="dxa"/>
          </w:tcPr>
          <w:p w14:paraId="246E48FB"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35F27E48"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32E353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476</w:t>
            </w:r>
          </w:p>
        </w:tc>
      </w:tr>
      <w:tr w:rsidR="00561F31" w:rsidRPr="00F90EAE" w14:paraId="52939B44" w14:textId="77777777">
        <w:trPr>
          <w:cantSplit/>
          <w:trHeight w:val="236"/>
        </w:trPr>
        <w:tc>
          <w:tcPr>
            <w:tcW w:w="4253" w:type="dxa"/>
          </w:tcPr>
          <w:p w14:paraId="28D41E1C"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6C93E858"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01455F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34" w:type="dxa"/>
          </w:tcPr>
          <w:p w14:paraId="5D6B6C68"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7D2AC35F"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6C9606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619</w:t>
            </w:r>
          </w:p>
        </w:tc>
      </w:tr>
      <w:tr w:rsidR="00561F31" w:rsidRPr="00F90EAE" w14:paraId="11B5D33E" w14:textId="77777777">
        <w:trPr>
          <w:cantSplit/>
          <w:trHeight w:val="236"/>
        </w:trPr>
        <w:tc>
          <w:tcPr>
            <w:tcW w:w="4253" w:type="dxa"/>
          </w:tcPr>
          <w:p w14:paraId="03B86755" w14:textId="77777777" w:rsidR="00C2313B" w:rsidRPr="00F90EAE" w:rsidRDefault="00C2313B" w:rsidP="00F90EAE">
            <w:pPr>
              <w:autoSpaceDE w:val="0"/>
              <w:autoSpaceDN w:val="0"/>
              <w:adjustRightInd w:val="0"/>
              <w:jc w:val="both"/>
              <w:rPr>
                <w:color w:val="000000" w:themeColor="text1"/>
                <w:sz w:val="16"/>
                <w:szCs w:val="16"/>
              </w:rPr>
            </w:pPr>
          </w:p>
        </w:tc>
        <w:tc>
          <w:tcPr>
            <w:tcW w:w="1213" w:type="dxa"/>
          </w:tcPr>
          <w:p w14:paraId="5460E35F" w14:textId="77777777" w:rsidR="00C2313B" w:rsidRPr="00F90EAE" w:rsidRDefault="00C2313B" w:rsidP="00F90EAE">
            <w:pPr>
              <w:autoSpaceDE w:val="0"/>
              <w:autoSpaceDN w:val="0"/>
              <w:adjustRightInd w:val="0"/>
              <w:jc w:val="both"/>
              <w:rPr>
                <w:color w:val="000000" w:themeColor="text1"/>
                <w:sz w:val="16"/>
                <w:szCs w:val="16"/>
              </w:rPr>
            </w:pPr>
          </w:p>
        </w:tc>
        <w:tc>
          <w:tcPr>
            <w:tcW w:w="1197" w:type="dxa"/>
          </w:tcPr>
          <w:p w14:paraId="23FF95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34" w:type="dxa"/>
          </w:tcPr>
          <w:p w14:paraId="1F2638A0" w14:textId="77777777" w:rsidR="00C2313B" w:rsidRPr="00F90EAE" w:rsidRDefault="00C2313B" w:rsidP="00F90EAE">
            <w:pPr>
              <w:autoSpaceDE w:val="0"/>
              <w:autoSpaceDN w:val="0"/>
              <w:adjustRightInd w:val="0"/>
              <w:jc w:val="both"/>
              <w:rPr>
                <w:color w:val="000000" w:themeColor="text1"/>
                <w:sz w:val="16"/>
                <w:szCs w:val="16"/>
              </w:rPr>
            </w:pPr>
          </w:p>
        </w:tc>
        <w:tc>
          <w:tcPr>
            <w:tcW w:w="1080" w:type="dxa"/>
          </w:tcPr>
          <w:p w14:paraId="18572214" w14:textId="77777777" w:rsidR="00C2313B" w:rsidRPr="00F90EAE" w:rsidRDefault="00C2313B" w:rsidP="00F90EAE">
            <w:pPr>
              <w:autoSpaceDE w:val="0"/>
              <w:autoSpaceDN w:val="0"/>
              <w:adjustRightInd w:val="0"/>
              <w:jc w:val="both"/>
              <w:rPr>
                <w:color w:val="000000" w:themeColor="text1"/>
                <w:sz w:val="16"/>
                <w:szCs w:val="16"/>
              </w:rPr>
            </w:pPr>
          </w:p>
        </w:tc>
        <w:tc>
          <w:tcPr>
            <w:tcW w:w="940" w:type="dxa"/>
            <w:gridSpan w:val="2"/>
          </w:tcPr>
          <w:p w14:paraId="61C305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690</w:t>
            </w:r>
          </w:p>
        </w:tc>
      </w:tr>
    </w:tbl>
    <w:p w14:paraId="0775B4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Норильского комбината НКВД СССР подпись Панков</w:t>
      </w:r>
    </w:p>
    <w:p w14:paraId="49A087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Резолюция: Сдал. Подпись.</w:t>
      </w:r>
    </w:p>
    <w:p w14:paraId="2E808D06" w14:textId="77777777" w:rsidR="00C2313B" w:rsidRPr="00F90EAE" w:rsidRDefault="00C2313B" w:rsidP="00F90EAE">
      <w:pPr>
        <w:autoSpaceDE w:val="0"/>
        <w:autoSpaceDN w:val="0"/>
        <w:adjustRightInd w:val="0"/>
        <w:jc w:val="both"/>
        <w:rPr>
          <w:iCs/>
          <w:color w:val="000000" w:themeColor="text1"/>
          <w:sz w:val="16"/>
          <w:szCs w:val="16"/>
        </w:rPr>
      </w:pPr>
      <w:r w:rsidRPr="00F90EAE">
        <w:rPr>
          <w:iCs/>
          <w:color w:val="000000" w:themeColor="text1"/>
          <w:sz w:val="16"/>
          <w:szCs w:val="16"/>
        </w:rPr>
        <w:t>ГАКК. Ф.П-26. Оп.15. Д.12. Л.20-24. Подлинник. Машинопись (11836).</w:t>
      </w:r>
    </w:p>
    <w:p w14:paraId="14AEEEFB" w14:textId="77777777" w:rsidR="00C2313B" w:rsidRPr="00F90EAE" w:rsidRDefault="00C2313B" w:rsidP="00F90EAE">
      <w:pPr>
        <w:autoSpaceDE w:val="0"/>
        <w:autoSpaceDN w:val="0"/>
        <w:adjustRightInd w:val="0"/>
        <w:jc w:val="both"/>
        <w:rPr>
          <w:color w:val="000000" w:themeColor="text1"/>
          <w:sz w:val="16"/>
          <w:szCs w:val="16"/>
        </w:rPr>
      </w:pPr>
    </w:p>
    <w:p w14:paraId="1612D7D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BEE5573" w14:textId="77777777" w:rsidR="00C2313B" w:rsidRPr="00F90EAE" w:rsidRDefault="00C2313B" w:rsidP="00F90EAE">
      <w:pPr>
        <w:autoSpaceDE w:val="0"/>
        <w:autoSpaceDN w:val="0"/>
        <w:adjustRightInd w:val="0"/>
        <w:jc w:val="both"/>
        <w:rPr>
          <w:iCs/>
          <w:color w:val="000000" w:themeColor="text1"/>
          <w:sz w:val="16"/>
          <w:szCs w:val="16"/>
        </w:rPr>
      </w:pPr>
    </w:p>
    <w:p w14:paraId="31510587" w14:textId="77777777" w:rsidR="002F4338" w:rsidRPr="00F90EAE" w:rsidRDefault="002F4338" w:rsidP="00F90EAE">
      <w:pPr>
        <w:jc w:val="both"/>
        <w:rPr>
          <w:color w:val="000000" w:themeColor="text1"/>
          <w:sz w:val="16"/>
          <w:szCs w:val="16"/>
        </w:rPr>
      </w:pPr>
      <w:r w:rsidRPr="00F90EAE">
        <w:rPr>
          <w:bCs/>
          <w:color w:val="000000" w:themeColor="text1"/>
          <w:sz w:val="16"/>
          <w:szCs w:val="16"/>
        </w:rPr>
        <w:t>31 января</w:t>
      </w:r>
      <w:r w:rsidRPr="00F90EAE">
        <w:rPr>
          <w:color w:val="000000" w:themeColor="text1"/>
          <w:sz w:val="16"/>
          <w:szCs w:val="16"/>
        </w:rPr>
        <w:t xml:space="preserve"> в 1945 году оперативная сводка Совинформбюро:</w:t>
      </w:r>
    </w:p>
    <w:p w14:paraId="0C4DE37D" w14:textId="77777777" w:rsidR="002F4338" w:rsidRPr="00F90EAE" w:rsidRDefault="002F4338" w:rsidP="00F90EAE">
      <w:pPr>
        <w:jc w:val="both"/>
        <w:rPr>
          <w:color w:val="000000" w:themeColor="text1"/>
          <w:sz w:val="16"/>
          <w:szCs w:val="16"/>
        </w:rPr>
      </w:pPr>
      <w:r w:rsidRPr="00F90EAE">
        <w:rPr>
          <w:color w:val="000000" w:themeColor="text1"/>
          <w:sz w:val="16"/>
          <w:szCs w:val="16"/>
        </w:rPr>
        <w:t>«Войска 3-го Белорусского фронта 31 января штурмом овладели городами Хайльсберг и Фридланд — важными узлами коммуникаций и сильными опорными пунктами обороны немцев в центральных районах Восточной Пруссии, а также с боями заняли более 50 других населённых пунктов, среди которых Квандиттен, Меденау, Гросс Хайдекруг (14 километров западнее Кенигсберга), Штокхайм, Минтен, Креколлен, Книпштайн.</w:t>
      </w:r>
    </w:p>
    <w:p w14:paraId="231CE4EA" w14:textId="77777777" w:rsidR="002F4338" w:rsidRPr="00F90EAE" w:rsidRDefault="002F4338" w:rsidP="00F90EAE">
      <w:pPr>
        <w:jc w:val="both"/>
        <w:rPr>
          <w:color w:val="000000" w:themeColor="text1"/>
          <w:sz w:val="16"/>
          <w:szCs w:val="16"/>
        </w:rPr>
      </w:pPr>
      <w:r w:rsidRPr="00F90EAE">
        <w:rPr>
          <w:color w:val="000000" w:themeColor="text1"/>
          <w:sz w:val="16"/>
          <w:szCs w:val="16"/>
        </w:rPr>
        <w:t>За 30 января войска 3-го Белорусского фронта захватили в Восточной Пруссии 53 немецких самолёта и взяли в плен более 3.300 немецких солдат и офицеров.</w:t>
      </w:r>
    </w:p>
    <w:p w14:paraId="2686A8D2" w14:textId="77777777" w:rsidR="002F4338" w:rsidRPr="00F90EAE" w:rsidRDefault="002F4338" w:rsidP="00F90EAE">
      <w:pPr>
        <w:jc w:val="both"/>
        <w:rPr>
          <w:color w:val="000000" w:themeColor="text1"/>
          <w:sz w:val="16"/>
          <w:szCs w:val="16"/>
        </w:rPr>
      </w:pPr>
      <w:r w:rsidRPr="00F90EAE">
        <w:rPr>
          <w:color w:val="000000" w:themeColor="text1"/>
          <w:sz w:val="16"/>
          <w:szCs w:val="16"/>
        </w:rPr>
        <w:t>Северо-восточнее и севернее города Алленштайн наши войска заняли более 40 населённых пунктов, в том числе крупные населённые пункты Просситтен, Гросс Лемкендорф, Обер-Капкайм, Мюнстерберг. Одновременно северо-западнее Алленштайна атаки пехоты и танков противника были отбиты нашими войсками.</w:t>
      </w:r>
    </w:p>
    <w:p w14:paraId="17074287" w14:textId="77777777" w:rsidR="002F4338" w:rsidRPr="00F90EAE" w:rsidRDefault="002F4338" w:rsidP="00F90EAE">
      <w:pPr>
        <w:jc w:val="both"/>
        <w:rPr>
          <w:color w:val="000000" w:themeColor="text1"/>
          <w:sz w:val="16"/>
          <w:szCs w:val="16"/>
        </w:rPr>
      </w:pPr>
      <w:r w:rsidRPr="00F90EAE">
        <w:rPr>
          <w:color w:val="000000" w:themeColor="text1"/>
          <w:sz w:val="16"/>
          <w:szCs w:val="16"/>
        </w:rPr>
        <w:t>В районе города Торунь (Торн) продолжались бои по уничтожению окружённых частей противника.</w:t>
      </w:r>
    </w:p>
    <w:p w14:paraId="0C8FFE67" w14:textId="77777777" w:rsidR="002F4338" w:rsidRPr="00F90EAE" w:rsidRDefault="002F4338" w:rsidP="00F90EAE">
      <w:pPr>
        <w:jc w:val="both"/>
        <w:rPr>
          <w:color w:val="000000" w:themeColor="text1"/>
          <w:sz w:val="16"/>
          <w:szCs w:val="16"/>
        </w:rPr>
      </w:pPr>
      <w:r w:rsidRPr="00F90EAE">
        <w:rPr>
          <w:color w:val="000000" w:themeColor="text1"/>
          <w:sz w:val="16"/>
          <w:szCs w:val="16"/>
        </w:rPr>
        <w:t>Северо-восточнее и севернее города Шнайдемюль наши войска с боем овладели на территории немецкой Померании городами Флатов, Ястров, а также с боями заняли более 50 других населённых пунктов, в том числе Радавнитц, Тарновке, Хаммер.</w:t>
      </w:r>
    </w:p>
    <w:p w14:paraId="0B1F623B" w14:textId="77777777" w:rsidR="002F4338" w:rsidRPr="00F90EAE" w:rsidRDefault="002F4338" w:rsidP="00F90EAE">
      <w:pPr>
        <w:jc w:val="both"/>
        <w:rPr>
          <w:color w:val="000000" w:themeColor="text1"/>
          <w:sz w:val="16"/>
          <w:szCs w:val="16"/>
        </w:rPr>
      </w:pPr>
      <w:r w:rsidRPr="00F90EAE">
        <w:rPr>
          <w:color w:val="000000" w:themeColor="text1"/>
          <w:sz w:val="16"/>
          <w:szCs w:val="16"/>
        </w:rPr>
        <w:t>Войска 1-го Белорусского фронта, продолжая успешное наступление к западу и юго-западу от Познани, пересекли германскую границу, вторглись в пределы Бранденбургской провинции и 31 января с боем овладели городами Ландсберг, Мезеритц, Швибус и Цюллихау — крупными узлами коммуникаций и мощными опорными пунктами обороны немцев, прикрывающими подступы к Франкфурту-на-Одере, а также с боями заняли город Фридеберг и более 100 других населённых пунктов, среди которых крупные населённые пункты Кладов, Байерсдорф, Моррн, Поппе, Парадис, Кутшлау, Скампе, Гросс Блюмберг.</w:t>
      </w:r>
    </w:p>
    <w:p w14:paraId="4E08165F" w14:textId="77777777" w:rsidR="002F4338" w:rsidRPr="00F90EAE" w:rsidRDefault="002F4338" w:rsidP="00F90EAE">
      <w:pPr>
        <w:jc w:val="both"/>
        <w:rPr>
          <w:color w:val="000000" w:themeColor="text1"/>
          <w:sz w:val="16"/>
          <w:szCs w:val="16"/>
        </w:rPr>
      </w:pPr>
      <w:r w:rsidRPr="00F90EAE">
        <w:rPr>
          <w:color w:val="000000" w:themeColor="text1"/>
          <w:sz w:val="16"/>
          <w:szCs w:val="16"/>
        </w:rPr>
        <w:t>В районе Познань продолжались бои по уничтожению окружённого в городе гарнизона противника.</w:t>
      </w:r>
    </w:p>
    <w:p w14:paraId="274F2968" w14:textId="77777777" w:rsidR="002F4338" w:rsidRPr="00F90EAE" w:rsidRDefault="002F4338" w:rsidP="00F90EAE">
      <w:pPr>
        <w:jc w:val="both"/>
        <w:rPr>
          <w:color w:val="000000" w:themeColor="text1"/>
          <w:sz w:val="16"/>
          <w:szCs w:val="16"/>
        </w:rPr>
      </w:pPr>
      <w:r w:rsidRPr="00F90EAE">
        <w:rPr>
          <w:color w:val="000000" w:themeColor="text1"/>
          <w:sz w:val="16"/>
          <w:szCs w:val="16"/>
        </w:rPr>
        <w:t>Западнее и юго-западнее города Катовице наши войска с боями заняли более 40 населённых пунктов, среди которых крупные населённые пункты Хейдебрекк, Одервальде, Ратиборхаммер, Голлеов, Велеполе.</w:t>
      </w:r>
    </w:p>
    <w:p w14:paraId="22F44E07" w14:textId="77777777" w:rsidR="002F4338" w:rsidRPr="00F90EAE" w:rsidRDefault="002F4338" w:rsidP="00F90EAE">
      <w:pPr>
        <w:jc w:val="both"/>
        <w:rPr>
          <w:color w:val="000000" w:themeColor="text1"/>
          <w:sz w:val="16"/>
          <w:szCs w:val="16"/>
        </w:rPr>
      </w:pPr>
      <w:r w:rsidRPr="00F90EAE">
        <w:rPr>
          <w:color w:val="000000" w:themeColor="text1"/>
          <w:sz w:val="16"/>
          <w:szCs w:val="16"/>
        </w:rPr>
        <w:t>Севернее и северо-западнее города Лученец наши войска, продолжая наступление в трудных условиях горно-лесистой местности, с боями заняли более 60 населённых пунктов, в числе которых крупные населённые (пункты Поломка, Брезно, Гронец, Коритарки, Митна, Абелова, Турье Поле, Лешть.</w:t>
      </w:r>
    </w:p>
    <w:p w14:paraId="116234D1" w14:textId="77777777" w:rsidR="002F4338" w:rsidRPr="00F90EAE" w:rsidRDefault="002F4338"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западной части города (Буда). За 30 января в западной части города Будапешта наши войска взяли в плен 8.200 солдат и офицеров противника.</w:t>
      </w:r>
    </w:p>
    <w:p w14:paraId="7F90FA55" w14:textId="77777777" w:rsidR="002F4338" w:rsidRPr="00F90EAE" w:rsidRDefault="002F4338" w:rsidP="00F90EAE">
      <w:pPr>
        <w:jc w:val="both"/>
        <w:rPr>
          <w:color w:val="000000" w:themeColor="text1"/>
          <w:sz w:val="16"/>
          <w:szCs w:val="16"/>
        </w:rPr>
      </w:pPr>
      <w:r w:rsidRPr="00F90EAE">
        <w:rPr>
          <w:color w:val="000000" w:themeColor="text1"/>
          <w:sz w:val="16"/>
          <w:szCs w:val="16"/>
        </w:rPr>
        <w:t>За 30 января наши войска на всех фронтах подбили и уничтожили 132 немецких танка. В воздушных боях и огнём зенитной артиллерии сбито 40 самолётов противника.</w:t>
      </w:r>
    </w:p>
    <w:p w14:paraId="77E088DC" w14:textId="77777777" w:rsidR="002F4338" w:rsidRPr="00F90EAE" w:rsidRDefault="002F4338" w:rsidP="00F90EAE">
      <w:pPr>
        <w:jc w:val="both"/>
        <w:rPr>
          <w:color w:val="000000" w:themeColor="text1"/>
          <w:sz w:val="16"/>
          <w:szCs w:val="16"/>
        </w:rPr>
      </w:pPr>
      <w:r w:rsidRPr="00F90EAE">
        <w:rPr>
          <w:color w:val="000000" w:themeColor="text1"/>
          <w:sz w:val="16"/>
          <w:szCs w:val="16"/>
        </w:rPr>
        <w:t>Войска 3-го Белорусского фронта с боями продвигались вперёд. Части Н-ского соединения стремительным ударом прорвали сильно укреплённую оборону противника северо-западнее Кенигсберга и перерезали все дороги, идущие из Кенигсберга на запад, к порту Пиллау. Немцы спешно подтянули свежие части и предприняли несколько яростных контратак, но успеха не добились. На поле боя осталось много вражеских трупов. Юго-западнее Инстербурга наши войска штурмом овладели городом Фридланд— сильным опорным пунктом обороны немцев. На другом участке советские танки и пехота продвинулись вперёд на 15 километров, форсировали реку Алле и выбили противника из города Хайльсберг — узла железных и шоссейных дорог. В течение дня подбито и сожжено 39 немецких танков. Захвачены трофеи, в числе которых 3 танка, 70 орудий и 2 железнодорожных эшелона с грузами.</w:t>
      </w:r>
    </w:p>
    <w:p w14:paraId="7BEF5508" w14:textId="77777777" w:rsidR="002F4338" w:rsidRPr="00F90EAE" w:rsidRDefault="002F4338" w:rsidP="00F90EAE">
      <w:pPr>
        <w:jc w:val="both"/>
        <w:rPr>
          <w:color w:val="000000" w:themeColor="text1"/>
          <w:sz w:val="16"/>
          <w:szCs w:val="16"/>
        </w:rPr>
      </w:pPr>
      <w:r w:rsidRPr="00F90EAE">
        <w:rPr>
          <w:color w:val="000000" w:themeColor="text1"/>
          <w:sz w:val="16"/>
          <w:szCs w:val="16"/>
        </w:rPr>
        <w:t>На территории немецкой Померании северо-восточнее и севернее города Шнайдемюль наши войска с боями заняли город Флатов — важный узел железных дорог. Немецкий гарнизон разгромлен. Развивая успех, советские части переправились через реку Кюддов и штурмом овладели городом Ястров. В ходе боёв противник несёт большие потери. Только одна наша стрелковая часть истребила до 600 гитлеровцев и захватила 3 танка, 4 самоходных орудия, несколько артиллерийских батарей и большой склад снарядов.</w:t>
      </w:r>
    </w:p>
    <w:p w14:paraId="279E1084" w14:textId="77777777" w:rsidR="002F4338" w:rsidRPr="00F90EAE" w:rsidRDefault="002F4338" w:rsidP="00F90EAE">
      <w:pPr>
        <w:jc w:val="both"/>
        <w:rPr>
          <w:color w:val="000000" w:themeColor="text1"/>
          <w:sz w:val="16"/>
          <w:szCs w:val="16"/>
        </w:rPr>
      </w:pPr>
      <w:r w:rsidRPr="00F90EAE">
        <w:rPr>
          <w:color w:val="000000" w:themeColor="text1"/>
          <w:sz w:val="16"/>
          <w:szCs w:val="16"/>
        </w:rPr>
        <w:t>Войска 1-го Белорусского фронта продолжали успешное наступление. Немцы непрерывно подводят свежие резервы танков и пехоты и с хода бросают их в бой. Настойчиво продвигаясь вперёд, советские войска громят противника и уничтожают его по частям. Наши танкисты, сломив сопротивление врага, прорвались к немецкому городу Ландсберг и завязали бои на его окраинах. Вскоре танкистов поддержали пехотинцы. Наши войска предприняли стремительную атаку и овладели городом Ландсберг — важным узлом шоссейных и железных дорог. В Ландсберге имеются военные, машиностроительные и текстильные предприятия. Другие наши части выбили гитлеровцев из города Швибус, находящегося в 70 километрах от города Франкфурт-на-Одере. Заняты также важные опорные пункты обороны немцев — города Мезеритц и Цюллихау. За день боёв уничтожено до 5 тысяч солдат и офицеров противника. По неполным данным, советские части захватили у немцев 24 танка, 120 полевых орудий, 1.070 автомашин, 70 паровозов, 8 железнодорожных эшелонов с боеприпасами и военными материалами. Взято в плен 1.700 немецких солдат и офицеров.</w:t>
      </w:r>
    </w:p>
    <w:p w14:paraId="75EC4E20" w14:textId="77777777" w:rsidR="002F4338" w:rsidRPr="00F90EAE" w:rsidRDefault="002F4338" w:rsidP="00F90EAE">
      <w:pPr>
        <w:jc w:val="both"/>
        <w:rPr>
          <w:color w:val="000000" w:themeColor="text1"/>
          <w:sz w:val="16"/>
          <w:szCs w:val="16"/>
        </w:rPr>
      </w:pPr>
      <w:r w:rsidRPr="00F90EAE">
        <w:rPr>
          <w:color w:val="000000" w:themeColor="text1"/>
          <w:sz w:val="16"/>
          <w:szCs w:val="16"/>
        </w:rPr>
        <w:t>Наши лётчики-истребители в течение дня в воздушных боях сбили 14 немецких самолётов.</w:t>
      </w:r>
    </w:p>
    <w:p w14:paraId="057E07FB" w14:textId="77777777" w:rsidR="002F4338" w:rsidRPr="00F90EAE" w:rsidRDefault="002F4338" w:rsidP="00F90EAE">
      <w:pPr>
        <w:jc w:val="both"/>
        <w:rPr>
          <w:color w:val="000000" w:themeColor="text1"/>
          <w:sz w:val="16"/>
          <w:szCs w:val="16"/>
        </w:rPr>
      </w:pPr>
      <w:r w:rsidRPr="00F90EAE">
        <w:rPr>
          <w:color w:val="000000" w:themeColor="text1"/>
          <w:sz w:val="16"/>
          <w:szCs w:val="16"/>
        </w:rPr>
        <w:t>Западнее и юго-западнее города Катовице наши войска продолжали наступление. Бойцы Н-ского соединения, продвигаясь по восточному берегу реки Одер на юг, заняли железнодорожную станцию, находящуюся в 12 километрах от города Ратибор. Другие наши части, отражая вражеские контратаки, сожгли и подбили 35 танков и 37 бронетранспортеров. Захвачены трофеи и взято в плен 820 немцев.</w:t>
      </w:r>
    </w:p>
    <w:p w14:paraId="4F04E074" w14:textId="77777777" w:rsidR="002F4338" w:rsidRPr="00F90EAE" w:rsidRDefault="002F4338" w:rsidP="00F90EAE">
      <w:pPr>
        <w:jc w:val="both"/>
        <w:rPr>
          <w:color w:val="000000" w:themeColor="text1"/>
          <w:sz w:val="16"/>
          <w:szCs w:val="16"/>
        </w:rPr>
      </w:pPr>
      <w:r w:rsidRPr="00F90EAE">
        <w:rPr>
          <w:color w:val="000000" w:themeColor="text1"/>
          <w:sz w:val="16"/>
          <w:szCs w:val="16"/>
        </w:rPr>
        <w:t>В Будапеште наши войска продолжали вести бои по ликвидации окруженной группировки противника в западной части города. Гитлеровцы, укрепившись в каменных домах, оказывают отчаянное сопротивление. Советские гвардейские подразделения блокируют и уничтожают вражеские узлы сопротивления. Очищен от немцев ряд кварталов и станция пригородных поездов. Занят также крупный завод «Ганц». Захвачено 10 немецких танков, 27 орудий, 45 миномётов и другие трофеи. Отдельные группы солдат и офицеров противника, видя безнадёжность своего положения, складывают оружие и сдаются в плен.</w:t>
      </w:r>
    </w:p>
    <w:p w14:paraId="0923ABCB" w14:textId="77777777" w:rsidR="002F4338" w:rsidRPr="00F90EAE" w:rsidRDefault="002F4338" w:rsidP="00F90EAE">
      <w:pPr>
        <w:jc w:val="both"/>
        <w:rPr>
          <w:color w:val="000000" w:themeColor="text1"/>
          <w:sz w:val="16"/>
          <w:szCs w:val="16"/>
        </w:rPr>
      </w:pPr>
      <w:r w:rsidRPr="00F90EAE">
        <w:rPr>
          <w:color w:val="000000" w:themeColor="text1"/>
          <w:sz w:val="16"/>
          <w:szCs w:val="16"/>
        </w:rPr>
        <w:t>На днях наши войска овладели городом Освенцим. Немецко-фашистские мерзавцы после оккупации Польши построили в этом районе крупнейший концентрационный лагерь. Этот лагерь смерти состоял из пяти отделений. Каждое из отделений занимает огромную площадь, обнесенную колючей проволокой. Стремительно наступающие части Красной Армии освободили из лагеря много заключённых. Бывший узник Освенцима Лукашев из Воронежской области рассказал: «Число заключённых в лагере Освенцим всегда колебалось от 15 до 30 тысяч человек. Детей, больных и нетрудоспособных мужчин и женщин гитлеровцы умерщвляли газами, а трупы сжигали в специальных печах. Таких печей в лагере было 12. Трудоспособных заключенных заставляли работать на шахтах. Тех, кто обессилел от голода, побоев и тяжёлой работы, немцы истребляли. За четыре года немецко-фашистские изверги замучили и убили в лагере много, много тысяч людей» (15026).</w:t>
      </w:r>
    </w:p>
    <w:p w14:paraId="38824292" w14:textId="77777777" w:rsidR="002F4338" w:rsidRPr="00F90EAE" w:rsidRDefault="002F4338" w:rsidP="00F90EAE">
      <w:pPr>
        <w:jc w:val="both"/>
        <w:rPr>
          <w:color w:val="000000" w:themeColor="text1"/>
          <w:sz w:val="16"/>
          <w:szCs w:val="16"/>
        </w:rPr>
      </w:pPr>
    </w:p>
    <w:p w14:paraId="78409AE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января 1945 советские войска завершили окружение Кенигсберга (4962).</w:t>
      </w:r>
    </w:p>
    <w:p w14:paraId="61827A4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59A26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31 января 1945 г. немцы на всех фронтах в воздухе и на морях потеряли в боях, как минимум (по ВМС потери даны на 31 декабря 1944 г.) - 7789051 человека. Из них в боях с Красной Армией, советскими ВВС и флотами - 5851804 человека, или 75% всех потерь Германии. Один союзник из трех вытащил на себе 3/4 всей войны. Да, были люди!</w:t>
      </w:r>
    </w:p>
    <w:p w14:paraId="65C5B5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ночь на 31 января 1945 г. торпедный залп С-13 отправил на дно лайнер "Вильгельм Густлов", на котором эвакуировалась из Данцига школа немецких подводников (всего на лайнере погибло до 7 тыс. человек) (9873).</w:t>
      </w:r>
    </w:p>
    <w:p w14:paraId="6CD0FE3C" w14:textId="77777777" w:rsidR="00C2313B" w:rsidRPr="00F90EAE" w:rsidRDefault="00C2313B" w:rsidP="00F90EAE">
      <w:pPr>
        <w:autoSpaceDE w:val="0"/>
        <w:autoSpaceDN w:val="0"/>
        <w:adjustRightInd w:val="0"/>
        <w:jc w:val="both"/>
        <w:rPr>
          <w:color w:val="000000" w:themeColor="text1"/>
          <w:sz w:val="16"/>
          <w:szCs w:val="16"/>
        </w:rPr>
      </w:pPr>
    </w:p>
    <w:p w14:paraId="28B644FA" w14:textId="77777777" w:rsidR="002F4338" w:rsidRPr="00F90EAE" w:rsidRDefault="002F4338" w:rsidP="00F90EAE">
      <w:pPr>
        <w:pStyle w:val="book"/>
        <w:ind w:firstLine="0"/>
        <w:jc w:val="both"/>
        <w:rPr>
          <w:color w:val="000000" w:themeColor="text1"/>
          <w:sz w:val="16"/>
          <w:szCs w:val="16"/>
        </w:rPr>
      </w:pPr>
      <w:r w:rsidRPr="00F90EAE">
        <w:rPr>
          <w:color w:val="000000" w:themeColor="text1"/>
          <w:sz w:val="16"/>
          <w:szCs w:val="16"/>
        </w:rPr>
        <w:t>31 января 1945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7380E3FD" w14:textId="77777777" w:rsidR="002F4338" w:rsidRPr="00F90EAE" w:rsidRDefault="002F4338" w:rsidP="00F90EAE">
      <w:pPr>
        <w:pStyle w:val="book"/>
        <w:ind w:firstLine="0"/>
        <w:jc w:val="both"/>
        <w:rPr>
          <w:color w:val="000000" w:themeColor="text1"/>
          <w:sz w:val="16"/>
          <w:szCs w:val="16"/>
        </w:rPr>
      </w:pPr>
    </w:p>
    <w:p w14:paraId="32B75174"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DBCA263" w14:textId="77777777" w:rsidR="00C2313B" w:rsidRPr="00F90EAE" w:rsidRDefault="00C2313B" w:rsidP="00F90EAE">
      <w:pPr>
        <w:autoSpaceDE w:val="0"/>
        <w:autoSpaceDN w:val="0"/>
        <w:adjustRightInd w:val="0"/>
        <w:jc w:val="both"/>
        <w:rPr>
          <w:iCs/>
          <w:color w:val="000000" w:themeColor="text1"/>
          <w:sz w:val="16"/>
          <w:szCs w:val="16"/>
        </w:rPr>
      </w:pPr>
    </w:p>
    <w:p w14:paraId="08AE823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января 1945 первый после гражданской войны собор русской православной церкви провел молитву за Сталина и за победу (4962).</w:t>
      </w:r>
    </w:p>
    <w:p w14:paraId="29C7229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7860EA8" w14:textId="77777777" w:rsidR="00670896" w:rsidRPr="00F90EAE" w:rsidRDefault="00670896" w:rsidP="00F90EAE">
      <w:pPr>
        <w:jc w:val="both"/>
        <w:rPr>
          <w:color w:val="000000" w:themeColor="text1"/>
          <w:sz w:val="16"/>
          <w:szCs w:val="16"/>
        </w:rPr>
      </w:pPr>
      <w:r w:rsidRPr="00F90EAE">
        <w:rPr>
          <w:color w:val="000000" w:themeColor="text1"/>
          <w:sz w:val="16"/>
          <w:szCs w:val="16"/>
        </w:rPr>
        <w:t>31 января - 2 февраля 1945. В храме Воскресения Христова в Сокольниках состоялся Поместный Собор Русской Православной Церкви (18688).</w:t>
      </w:r>
    </w:p>
    <w:p w14:paraId="4CED3825" w14:textId="77777777" w:rsidR="00670896" w:rsidRPr="00F90EAE" w:rsidRDefault="00670896" w:rsidP="00F90EAE">
      <w:pPr>
        <w:jc w:val="both"/>
        <w:rPr>
          <w:color w:val="000000" w:themeColor="text1"/>
          <w:sz w:val="16"/>
          <w:szCs w:val="16"/>
        </w:rPr>
      </w:pPr>
    </w:p>
    <w:p w14:paraId="438FB99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BD06B29" w14:textId="77777777" w:rsidR="00C2313B" w:rsidRPr="00F90EAE" w:rsidRDefault="00C2313B" w:rsidP="00F90EAE">
      <w:pPr>
        <w:autoSpaceDE w:val="0"/>
        <w:autoSpaceDN w:val="0"/>
        <w:adjustRightInd w:val="0"/>
        <w:jc w:val="both"/>
        <w:rPr>
          <w:iCs/>
          <w:color w:val="000000" w:themeColor="text1"/>
          <w:sz w:val="16"/>
          <w:szCs w:val="16"/>
        </w:rPr>
      </w:pPr>
    </w:p>
    <w:p w14:paraId="05AC0D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вышло Постановление ГКО № 7431 Об обследовании промышленности Силезского промышленного района Германии. РГАНИР, Фонд ГКО, д. 365, лл. 9-10 (11012).</w:t>
      </w:r>
    </w:p>
    <w:p w14:paraId="3498D412" w14:textId="77777777" w:rsidR="00C2313B" w:rsidRPr="00F90EAE" w:rsidRDefault="00C2313B" w:rsidP="00F90EAE">
      <w:pPr>
        <w:autoSpaceDE w:val="0"/>
        <w:autoSpaceDN w:val="0"/>
        <w:adjustRightInd w:val="0"/>
        <w:jc w:val="both"/>
        <w:rPr>
          <w:color w:val="000000" w:themeColor="text1"/>
          <w:sz w:val="16"/>
          <w:szCs w:val="16"/>
        </w:rPr>
      </w:pPr>
    </w:p>
    <w:p w14:paraId="660C956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BCC4240" w14:textId="77777777" w:rsidR="00C2313B" w:rsidRPr="00F90EAE" w:rsidRDefault="00C2313B" w:rsidP="00F90EAE">
      <w:pPr>
        <w:autoSpaceDE w:val="0"/>
        <w:autoSpaceDN w:val="0"/>
        <w:adjustRightInd w:val="0"/>
        <w:jc w:val="both"/>
        <w:rPr>
          <w:iCs/>
          <w:color w:val="000000" w:themeColor="text1"/>
          <w:sz w:val="16"/>
          <w:szCs w:val="16"/>
        </w:rPr>
      </w:pPr>
    </w:p>
    <w:p w14:paraId="36163C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У.Черчиль и Ф.Д.Р. встретились на Мальте (2248,2).</w:t>
      </w:r>
    </w:p>
    <w:p w14:paraId="0E23D315" w14:textId="77777777" w:rsidR="00C2313B" w:rsidRPr="00F90EAE" w:rsidRDefault="00C2313B" w:rsidP="00F90EAE">
      <w:pPr>
        <w:autoSpaceDE w:val="0"/>
        <w:autoSpaceDN w:val="0"/>
        <w:adjustRightInd w:val="0"/>
        <w:jc w:val="both"/>
        <w:rPr>
          <w:color w:val="000000" w:themeColor="text1"/>
          <w:sz w:val="16"/>
          <w:szCs w:val="16"/>
        </w:rPr>
      </w:pPr>
    </w:p>
    <w:p w14:paraId="0F65929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января 1945 впервые после войны Севера и Юга казнен американский дезертир - во Франции расстрелян солдат Эдди Словик, дважды бежавший из своей части в Нормандии (4962).</w:t>
      </w:r>
    </w:p>
    <w:p w14:paraId="46B65D8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D2F3C11" w14:textId="77777777" w:rsidR="00BC1830" w:rsidRPr="00F90EAE" w:rsidRDefault="00BC1830" w:rsidP="00F90EAE">
      <w:pPr>
        <w:jc w:val="both"/>
        <w:rPr>
          <w:color w:val="000000" w:themeColor="text1"/>
          <w:sz w:val="16"/>
          <w:szCs w:val="16"/>
        </w:rPr>
      </w:pPr>
      <w:r w:rsidRPr="00F90EAE">
        <w:rPr>
          <w:bCs/>
          <w:color w:val="000000" w:themeColor="text1"/>
          <w:sz w:val="16"/>
          <w:szCs w:val="16"/>
        </w:rPr>
        <w:t>31 января</w:t>
      </w:r>
      <w:r w:rsidRPr="00F90EAE">
        <w:rPr>
          <w:color w:val="000000" w:themeColor="text1"/>
          <w:sz w:val="16"/>
          <w:szCs w:val="16"/>
        </w:rPr>
        <w:t xml:space="preserve"> в 1945 году в Сен-Мэй, в восточной Франции, был расстрелян своими однополчанами 24-летний рядовой 28-й пехотной дивизии Эдди Словик, первый и единственный со времен Гражданской войны американский солдат, приговоренный к смертной казни за дезертирство. В этой истории много странного и непонятного. По официальным данным, со дня вторжения союзников в Нормандию обвинение в дезертирстве было предъявлено 40 тысячам американских солдат, более 2400 предстало перед судом, 49 было приговорено к расстрелу, но казнь была заменена им заключением. Апелляция Словика, поданная генералу Эйзенхауэру, была отклонена. Четыре президента (Кеннеди, Джонсон, Никсон и Форд) отвергли просьбы об его посмертном помиловании, и только президент Картер реабилитировал Эдди Словика в 1987 году. Жена Словика не дождалась этого – она умерла восемью годами раньше. На заседаниях трибунала защитники основывались на том, что Словик абсолютно неприспособлен для службы. Он был кривоног и страдал плоскостопием, к тому же панически боялся любого вида оружия. На следующий же день после прибытия во Францию в августе 1944 года он заблудился на поле сражения и был доставлен в часть канадскими солдатами. Вскоре после этого он убежал из взвода, а на следующий день сдался военной полиции, полагая, что сможет до конца войны отсидеться в тюрьме, но Эйзенхауэр решил сделать именно из него «надлежащий пример» для огромного числа дезертиров-американцев вообще, и для многочисленных дезертиров из 28-й дивизии, где служил Словик, в частности (15026).</w:t>
      </w:r>
    </w:p>
    <w:p w14:paraId="78203635" w14:textId="77777777" w:rsidR="00BC1830" w:rsidRPr="00F90EAE" w:rsidRDefault="00BC1830" w:rsidP="00F90EAE">
      <w:pPr>
        <w:jc w:val="both"/>
        <w:rPr>
          <w:color w:val="000000" w:themeColor="text1"/>
          <w:sz w:val="16"/>
          <w:szCs w:val="16"/>
        </w:rPr>
      </w:pPr>
    </w:p>
    <w:p w14:paraId="06CC8D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 января 1945 г. в секретной директиве от Гитлер потребовал полностью выполнить программу производства новых видов оружия, запретив мобилизацию в армию занятых на этом производстве квалифицированных рабочих (11686).</w:t>
      </w:r>
    </w:p>
    <w:p w14:paraId="706BF00A" w14:textId="77777777" w:rsidR="00C2313B" w:rsidRPr="00F90EAE" w:rsidRDefault="00C2313B" w:rsidP="00F90EAE">
      <w:pPr>
        <w:autoSpaceDE w:val="0"/>
        <w:autoSpaceDN w:val="0"/>
        <w:adjustRightInd w:val="0"/>
        <w:jc w:val="both"/>
        <w:rPr>
          <w:color w:val="000000" w:themeColor="text1"/>
          <w:sz w:val="16"/>
          <w:szCs w:val="16"/>
        </w:rPr>
      </w:pPr>
    </w:p>
    <w:p w14:paraId="77E4A0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(табл. 20) А.Г. были представлены цифры потерь Вооруженных сил Германии с разбивкой по родам войск и по фронтам по сухопутным войскам и Люфтваффе по 31 января 1945 г., а по ВМС - по 31 декабря 1944 г.*). Эти цифры были представлены Гитлеру</w:t>
      </w:r>
    </w:p>
    <w:p w14:paraId="18F8B0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Потери вермахта по фронтам Второй Мировой войны, чел. (в скобках - в том числе офицеры)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417"/>
        <w:gridCol w:w="1418"/>
        <w:gridCol w:w="1843"/>
        <w:gridCol w:w="3827"/>
      </w:tblGrid>
      <w:tr w:rsidR="00561F31" w:rsidRPr="00F90EAE" w14:paraId="4236A1A2" w14:textId="77777777">
        <w:tc>
          <w:tcPr>
            <w:tcW w:w="2093" w:type="dxa"/>
          </w:tcPr>
          <w:p w14:paraId="179A35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Фронты</w:t>
            </w:r>
          </w:p>
        </w:tc>
        <w:tc>
          <w:tcPr>
            <w:tcW w:w="1417" w:type="dxa"/>
          </w:tcPr>
          <w:p w14:paraId="120A95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Убитые</w:t>
            </w:r>
          </w:p>
        </w:tc>
        <w:tc>
          <w:tcPr>
            <w:tcW w:w="1418" w:type="dxa"/>
          </w:tcPr>
          <w:p w14:paraId="3B1CE7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Раненные</w:t>
            </w:r>
          </w:p>
        </w:tc>
        <w:tc>
          <w:tcPr>
            <w:tcW w:w="1843" w:type="dxa"/>
          </w:tcPr>
          <w:p w14:paraId="5EEB5C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Пропавшие без вести</w:t>
            </w:r>
          </w:p>
        </w:tc>
        <w:tc>
          <w:tcPr>
            <w:tcW w:w="3827" w:type="dxa"/>
          </w:tcPr>
          <w:p w14:paraId="065692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55A45CA9" w14:textId="77777777">
        <w:tc>
          <w:tcPr>
            <w:tcW w:w="2093" w:type="dxa"/>
          </w:tcPr>
          <w:p w14:paraId="44E396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Сухопутные</w:t>
            </w:r>
          </w:p>
        </w:tc>
        <w:tc>
          <w:tcPr>
            <w:tcW w:w="1417" w:type="dxa"/>
          </w:tcPr>
          <w:p w14:paraId="6A172D21"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62B2821"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10AF2500"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2A2B2E85"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30F0551C" w14:textId="77777777">
        <w:tc>
          <w:tcPr>
            <w:tcW w:w="2093" w:type="dxa"/>
          </w:tcPr>
          <w:p w14:paraId="1D83B0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войска</w:t>
            </w:r>
          </w:p>
        </w:tc>
        <w:tc>
          <w:tcPr>
            <w:tcW w:w="1417" w:type="dxa"/>
          </w:tcPr>
          <w:p w14:paraId="60043D27"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DAAE7BF"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4089576A"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6FEB4CDB"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19ECC34A" w14:textId="77777777">
        <w:tc>
          <w:tcPr>
            <w:tcW w:w="2093" w:type="dxa"/>
          </w:tcPr>
          <w:p w14:paraId="0EFDEE3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Восточный фронт</w:t>
            </w:r>
          </w:p>
        </w:tc>
        <w:tc>
          <w:tcPr>
            <w:tcW w:w="1417" w:type="dxa"/>
          </w:tcPr>
          <w:p w14:paraId="3EA85B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1105987(41594)</w:t>
            </w:r>
          </w:p>
        </w:tc>
        <w:tc>
          <w:tcPr>
            <w:tcW w:w="1418" w:type="dxa"/>
          </w:tcPr>
          <w:p w14:paraId="5BD279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3498059(89655)</w:t>
            </w:r>
          </w:p>
        </w:tc>
        <w:tc>
          <w:tcPr>
            <w:tcW w:w="1843" w:type="dxa"/>
          </w:tcPr>
          <w:p w14:paraId="348B37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1018365(16572)</w:t>
            </w:r>
          </w:p>
        </w:tc>
        <w:tc>
          <w:tcPr>
            <w:tcW w:w="3827" w:type="dxa"/>
          </w:tcPr>
          <w:p w14:paraId="5BEC79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5622411(147821)</w:t>
            </w:r>
          </w:p>
        </w:tc>
      </w:tr>
      <w:tr w:rsidR="00561F31" w:rsidRPr="00F90EAE" w14:paraId="6FE432DC" w14:textId="77777777">
        <w:tc>
          <w:tcPr>
            <w:tcW w:w="2093" w:type="dxa"/>
          </w:tcPr>
          <w:p w14:paraId="2B0CA0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Балканы</w:t>
            </w:r>
          </w:p>
        </w:tc>
        <w:tc>
          <w:tcPr>
            <w:tcW w:w="1417" w:type="dxa"/>
          </w:tcPr>
          <w:p w14:paraId="1E635A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19235(741)</w:t>
            </w:r>
          </w:p>
        </w:tc>
        <w:tc>
          <w:tcPr>
            <w:tcW w:w="1418" w:type="dxa"/>
          </w:tcPr>
          <w:p w14:paraId="6490B8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55069(1500)</w:t>
            </w:r>
          </w:p>
        </w:tc>
        <w:tc>
          <w:tcPr>
            <w:tcW w:w="1843" w:type="dxa"/>
          </w:tcPr>
          <w:p w14:paraId="1EF29E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14805(224)</w:t>
            </w:r>
          </w:p>
        </w:tc>
        <w:tc>
          <w:tcPr>
            <w:tcW w:w="3827" w:type="dxa"/>
          </w:tcPr>
          <w:p w14:paraId="5CC0EA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89109(2465)</w:t>
            </w:r>
          </w:p>
        </w:tc>
      </w:tr>
      <w:tr w:rsidR="00561F31" w:rsidRPr="00F90EAE" w14:paraId="3736D94E" w14:textId="77777777">
        <w:tc>
          <w:tcPr>
            <w:tcW w:w="2093" w:type="dxa"/>
          </w:tcPr>
          <w:p w14:paraId="208007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Африка и Италия</w:t>
            </w:r>
          </w:p>
        </w:tc>
        <w:tc>
          <w:tcPr>
            <w:tcW w:w="1417" w:type="dxa"/>
          </w:tcPr>
          <w:p w14:paraId="6AAAA5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50481(2053)</w:t>
            </w:r>
          </w:p>
        </w:tc>
        <w:tc>
          <w:tcPr>
            <w:tcW w:w="1418" w:type="dxa"/>
          </w:tcPr>
          <w:p w14:paraId="2F9896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163602(4464)</w:t>
            </w:r>
          </w:p>
        </w:tc>
        <w:tc>
          <w:tcPr>
            <w:tcW w:w="1843" w:type="dxa"/>
          </w:tcPr>
          <w:p w14:paraId="0BDDC7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194250(4758)</w:t>
            </w:r>
          </w:p>
        </w:tc>
        <w:tc>
          <w:tcPr>
            <w:tcW w:w="3827" w:type="dxa"/>
          </w:tcPr>
          <w:p w14:paraId="564BDB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40833(11275)</w:t>
            </w:r>
          </w:p>
        </w:tc>
      </w:tr>
      <w:tr w:rsidR="00561F31" w:rsidRPr="00F90EAE" w14:paraId="2FBB6609" w14:textId="77777777">
        <w:tc>
          <w:tcPr>
            <w:tcW w:w="2093" w:type="dxa"/>
          </w:tcPr>
          <w:p w14:paraId="4E3B69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Западный фронт</w:t>
            </w:r>
          </w:p>
        </w:tc>
        <w:tc>
          <w:tcPr>
            <w:tcW w:w="1417" w:type="dxa"/>
          </w:tcPr>
          <w:p w14:paraId="5843218F"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226B5773"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B068ADB"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1509B041"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0DB9177" w14:textId="77777777">
        <w:tc>
          <w:tcPr>
            <w:tcW w:w="2093" w:type="dxa"/>
          </w:tcPr>
          <w:p w14:paraId="434638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до высадки</w:t>
            </w:r>
          </w:p>
        </w:tc>
        <w:tc>
          <w:tcPr>
            <w:tcW w:w="1417" w:type="dxa"/>
          </w:tcPr>
          <w:p w14:paraId="77F20FB7"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C51C66F"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83659FC"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2826BADE"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E9BE870" w14:textId="77777777">
        <w:tc>
          <w:tcPr>
            <w:tcW w:w="2093" w:type="dxa"/>
          </w:tcPr>
          <w:p w14:paraId="326872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союзников</w:t>
            </w:r>
          </w:p>
        </w:tc>
        <w:tc>
          <w:tcPr>
            <w:tcW w:w="1417" w:type="dxa"/>
          </w:tcPr>
          <w:p w14:paraId="6C0229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66321(2439)</w:t>
            </w:r>
          </w:p>
        </w:tc>
        <w:tc>
          <w:tcPr>
            <w:tcW w:w="1418" w:type="dxa"/>
          </w:tcPr>
          <w:p w14:paraId="29F6A2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118272(3566)</w:t>
            </w:r>
          </w:p>
        </w:tc>
        <w:tc>
          <w:tcPr>
            <w:tcW w:w="1843" w:type="dxa"/>
          </w:tcPr>
          <w:p w14:paraId="75B565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2263(134)</w:t>
            </w:r>
          </w:p>
        </w:tc>
        <w:tc>
          <w:tcPr>
            <w:tcW w:w="3827" w:type="dxa"/>
          </w:tcPr>
          <w:p w14:paraId="4AF5B1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161256(5803)</w:t>
            </w:r>
          </w:p>
        </w:tc>
      </w:tr>
      <w:tr w:rsidR="00561F31" w:rsidRPr="00F90EAE" w14:paraId="098F8082" w14:textId="77777777">
        <w:tc>
          <w:tcPr>
            <w:tcW w:w="2093" w:type="dxa"/>
          </w:tcPr>
          <w:p w14:paraId="4E30F4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после высадки</w:t>
            </w:r>
          </w:p>
        </w:tc>
        <w:tc>
          <w:tcPr>
            <w:tcW w:w="1417" w:type="dxa"/>
          </w:tcPr>
          <w:p w14:paraId="47261D41"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C3D331D"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72DE939C"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5FD1AABA"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2A2B7001" w14:textId="77777777">
        <w:tc>
          <w:tcPr>
            <w:tcW w:w="2093" w:type="dxa"/>
          </w:tcPr>
          <w:p w14:paraId="6141B4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союзников</w:t>
            </w:r>
          </w:p>
        </w:tc>
        <w:tc>
          <w:tcPr>
            <w:tcW w:w="1417" w:type="dxa"/>
          </w:tcPr>
          <w:p w14:paraId="30A417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40721(2103)</w:t>
            </w:r>
          </w:p>
        </w:tc>
        <w:tc>
          <w:tcPr>
            <w:tcW w:w="1418" w:type="dxa"/>
          </w:tcPr>
          <w:p w14:paraId="2234FA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221584(6052)</w:t>
            </w:r>
          </w:p>
        </w:tc>
        <w:tc>
          <w:tcPr>
            <w:tcW w:w="1843" w:type="dxa"/>
          </w:tcPr>
          <w:p w14:paraId="657883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411978(5041)</w:t>
            </w:r>
          </w:p>
        </w:tc>
        <w:tc>
          <w:tcPr>
            <w:tcW w:w="3827" w:type="dxa"/>
          </w:tcPr>
          <w:p w14:paraId="5B5A16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699883(13892)</w:t>
            </w:r>
          </w:p>
        </w:tc>
      </w:tr>
      <w:tr w:rsidR="00561F31" w:rsidRPr="00F90EAE" w14:paraId="45A07CE4" w14:textId="77777777">
        <w:tc>
          <w:tcPr>
            <w:tcW w:w="2093" w:type="dxa"/>
          </w:tcPr>
          <w:p w14:paraId="5F74A2CA" w14:textId="77777777" w:rsidR="00C2313B" w:rsidRPr="00F90EAE" w:rsidRDefault="00C2313B" w:rsidP="00F90EAE">
            <w:pPr>
              <w:autoSpaceDE w:val="0"/>
              <w:autoSpaceDN w:val="0"/>
              <w:adjustRightInd w:val="0"/>
              <w:jc w:val="both"/>
              <w:rPr>
                <w:color w:val="000000" w:themeColor="text1"/>
                <w:sz w:val="16"/>
                <w:szCs w:val="16"/>
              </w:rPr>
            </w:pPr>
          </w:p>
        </w:tc>
        <w:tc>
          <w:tcPr>
            <w:tcW w:w="1417" w:type="dxa"/>
          </w:tcPr>
          <w:p w14:paraId="189603B7"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4E193F46"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399D3852"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5F867E19"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6A72AF1" w14:textId="77777777">
        <w:tc>
          <w:tcPr>
            <w:tcW w:w="2093" w:type="dxa"/>
          </w:tcPr>
          <w:p w14:paraId="38E421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в Норвегии</w:t>
            </w:r>
          </w:p>
        </w:tc>
        <w:tc>
          <w:tcPr>
            <w:tcW w:w="1417" w:type="dxa"/>
          </w:tcPr>
          <w:p w14:paraId="22ECC4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16639(530)</w:t>
            </w:r>
          </w:p>
        </w:tc>
        <w:tc>
          <w:tcPr>
            <w:tcW w:w="1418" w:type="dxa"/>
          </w:tcPr>
          <w:p w14:paraId="7038C7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60451(1435)</w:t>
            </w:r>
          </w:p>
        </w:tc>
        <w:tc>
          <w:tcPr>
            <w:tcW w:w="1843" w:type="dxa"/>
          </w:tcPr>
          <w:p w14:paraId="4D4344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7157(144)</w:t>
            </w:r>
          </w:p>
        </w:tc>
        <w:tc>
          <w:tcPr>
            <w:tcW w:w="3827" w:type="dxa"/>
          </w:tcPr>
          <w:p w14:paraId="28B9B0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84247(2109)</w:t>
            </w:r>
          </w:p>
        </w:tc>
      </w:tr>
      <w:tr w:rsidR="00561F31" w:rsidRPr="00F90EAE" w14:paraId="47B19C61" w14:textId="77777777">
        <w:tc>
          <w:tcPr>
            <w:tcW w:w="2093" w:type="dxa"/>
          </w:tcPr>
          <w:p w14:paraId="062765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Умершие от ран</w:t>
            </w:r>
          </w:p>
        </w:tc>
        <w:tc>
          <w:tcPr>
            <w:tcW w:w="1417" w:type="dxa"/>
          </w:tcPr>
          <w:p w14:paraId="307CF6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295659(10141)</w:t>
            </w:r>
          </w:p>
        </w:tc>
        <w:tc>
          <w:tcPr>
            <w:tcW w:w="1418" w:type="dxa"/>
          </w:tcPr>
          <w:p w14:paraId="45000350"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2C8BFCE4"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11716E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295659(10141)</w:t>
            </w:r>
          </w:p>
        </w:tc>
      </w:tr>
      <w:tr w:rsidR="00561F31" w:rsidRPr="00F90EAE" w14:paraId="39A8D245" w14:textId="77777777">
        <w:tc>
          <w:tcPr>
            <w:tcW w:w="2093" w:type="dxa"/>
          </w:tcPr>
          <w:p w14:paraId="03C901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Травмы, болезни,</w:t>
            </w:r>
          </w:p>
        </w:tc>
        <w:tc>
          <w:tcPr>
            <w:tcW w:w="1417" w:type="dxa"/>
          </w:tcPr>
          <w:p w14:paraId="5151BB16"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47831D26"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C0212B3"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469412FA"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6BB2A173" w14:textId="77777777">
        <w:tc>
          <w:tcPr>
            <w:tcW w:w="2093" w:type="dxa"/>
          </w:tcPr>
          <w:p w14:paraId="1C9765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самоубийства</w:t>
            </w:r>
          </w:p>
        </w:tc>
        <w:tc>
          <w:tcPr>
            <w:tcW w:w="1417" w:type="dxa"/>
          </w:tcPr>
          <w:p w14:paraId="771FAC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160237(8580)</w:t>
            </w:r>
          </w:p>
        </w:tc>
        <w:tc>
          <w:tcPr>
            <w:tcW w:w="1418" w:type="dxa"/>
          </w:tcPr>
          <w:p w14:paraId="15357232"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3E6A9858"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1A6339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160237(8580)</w:t>
            </w:r>
          </w:p>
        </w:tc>
      </w:tr>
      <w:tr w:rsidR="00561F31" w:rsidRPr="00F90EAE" w14:paraId="47053B1D" w14:textId="77777777">
        <w:tc>
          <w:tcPr>
            <w:tcW w:w="2093" w:type="dxa"/>
          </w:tcPr>
          <w:p w14:paraId="3EE89C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Невыясненные</w:t>
            </w:r>
          </w:p>
        </w:tc>
        <w:tc>
          <w:tcPr>
            <w:tcW w:w="1417" w:type="dxa"/>
          </w:tcPr>
          <w:p w14:paraId="7CD75759"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6C3EFBF2"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4754749D"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0E0A9510"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650DDAE9" w14:textId="77777777">
        <w:tc>
          <w:tcPr>
            <w:tcW w:w="2093" w:type="dxa"/>
          </w:tcPr>
          <w:p w14:paraId="2EB999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обстоятельства</w:t>
            </w:r>
          </w:p>
        </w:tc>
        <w:tc>
          <w:tcPr>
            <w:tcW w:w="1417" w:type="dxa"/>
          </w:tcPr>
          <w:p w14:paraId="21347F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17051(811)</w:t>
            </w:r>
          </w:p>
        </w:tc>
        <w:tc>
          <w:tcPr>
            <w:tcW w:w="1418" w:type="dxa"/>
          </w:tcPr>
          <w:p w14:paraId="7616A146"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5D35EC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687(17)</w:t>
            </w:r>
          </w:p>
        </w:tc>
        <w:tc>
          <w:tcPr>
            <w:tcW w:w="3827" w:type="dxa"/>
          </w:tcPr>
          <w:p w14:paraId="78B223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17738(828)</w:t>
            </w:r>
          </w:p>
        </w:tc>
      </w:tr>
      <w:tr w:rsidR="00561F31" w:rsidRPr="00F90EAE" w14:paraId="21AAB4FD" w14:textId="77777777">
        <w:tc>
          <w:tcPr>
            <w:tcW w:w="2093" w:type="dxa"/>
          </w:tcPr>
          <w:p w14:paraId="5F940D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Запасные части</w:t>
            </w:r>
          </w:p>
        </w:tc>
        <w:tc>
          <w:tcPr>
            <w:tcW w:w="1417" w:type="dxa"/>
          </w:tcPr>
          <w:p w14:paraId="4DD91C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10467(369)</w:t>
            </w:r>
          </w:p>
        </w:tc>
        <w:tc>
          <w:tcPr>
            <w:tcW w:w="1418" w:type="dxa"/>
          </w:tcPr>
          <w:p w14:paraId="1D3606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42174(941)</w:t>
            </w:r>
          </w:p>
        </w:tc>
        <w:tc>
          <w:tcPr>
            <w:tcW w:w="1843" w:type="dxa"/>
          </w:tcPr>
          <w:p w14:paraId="3CA66A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1337(18)</w:t>
            </w:r>
          </w:p>
        </w:tc>
        <w:tc>
          <w:tcPr>
            <w:tcW w:w="3827" w:type="dxa"/>
          </w:tcPr>
          <w:p w14:paraId="574F8B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53978(1328)</w:t>
            </w:r>
          </w:p>
        </w:tc>
      </w:tr>
      <w:tr w:rsidR="00561F31" w:rsidRPr="00F90EAE" w14:paraId="108BBCFF" w14:textId="77777777">
        <w:tc>
          <w:tcPr>
            <w:tcW w:w="2093" w:type="dxa"/>
          </w:tcPr>
          <w:p w14:paraId="2CEE09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417" w:type="dxa"/>
          </w:tcPr>
          <w:p w14:paraId="42FFB5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1782708(69361)</w:t>
            </w:r>
          </w:p>
        </w:tc>
        <w:tc>
          <w:tcPr>
            <w:tcW w:w="1418" w:type="dxa"/>
          </w:tcPr>
          <w:p w14:paraId="66F1E2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4159211(107613)</w:t>
            </w:r>
          </w:p>
        </w:tc>
        <w:tc>
          <w:tcPr>
            <w:tcW w:w="1843" w:type="dxa"/>
          </w:tcPr>
          <w:p w14:paraId="687D51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1650842(27268)</w:t>
            </w:r>
          </w:p>
        </w:tc>
        <w:tc>
          <w:tcPr>
            <w:tcW w:w="3827" w:type="dxa"/>
          </w:tcPr>
          <w:p w14:paraId="2AB22D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7592851(204242)</w:t>
            </w:r>
          </w:p>
        </w:tc>
      </w:tr>
      <w:tr w:rsidR="00561F31" w:rsidRPr="00F90EAE" w14:paraId="79AC4FB7" w14:textId="77777777">
        <w:tc>
          <w:tcPr>
            <w:tcW w:w="2093" w:type="dxa"/>
          </w:tcPr>
          <w:p w14:paraId="5BDE2C8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Люфтваффе (ВВС)</w:t>
            </w:r>
          </w:p>
        </w:tc>
        <w:tc>
          <w:tcPr>
            <w:tcW w:w="1417" w:type="dxa"/>
          </w:tcPr>
          <w:p w14:paraId="755ED8C2"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52AE80A3"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B89D84A"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423B5803"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63AE878" w14:textId="77777777">
        <w:tc>
          <w:tcPr>
            <w:tcW w:w="2093" w:type="dxa"/>
          </w:tcPr>
          <w:p w14:paraId="627B1D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Западный фронт</w:t>
            </w:r>
          </w:p>
        </w:tc>
        <w:tc>
          <w:tcPr>
            <w:tcW w:w="1417" w:type="dxa"/>
          </w:tcPr>
          <w:p w14:paraId="2827F226"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F816131"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417A4FEB"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0C58D047"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37A0B075" w14:textId="77777777">
        <w:tc>
          <w:tcPr>
            <w:tcW w:w="2093" w:type="dxa"/>
          </w:tcPr>
          <w:p w14:paraId="5CF511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Германия</w:t>
            </w:r>
          </w:p>
        </w:tc>
        <w:tc>
          <w:tcPr>
            <w:tcW w:w="1417" w:type="dxa"/>
          </w:tcPr>
          <w:p w14:paraId="40B3B1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34147(3010)</w:t>
            </w:r>
          </w:p>
        </w:tc>
        <w:tc>
          <w:tcPr>
            <w:tcW w:w="1418" w:type="dxa"/>
          </w:tcPr>
          <w:p w14:paraId="48A5AB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46157(2371)</w:t>
            </w:r>
          </w:p>
        </w:tc>
        <w:tc>
          <w:tcPr>
            <w:tcW w:w="1843" w:type="dxa"/>
          </w:tcPr>
          <w:p w14:paraId="16A556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52610(2961)</w:t>
            </w:r>
          </w:p>
        </w:tc>
        <w:tc>
          <w:tcPr>
            <w:tcW w:w="3827" w:type="dxa"/>
          </w:tcPr>
          <w:p w14:paraId="6004EA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132914(8342)</w:t>
            </w:r>
          </w:p>
        </w:tc>
      </w:tr>
      <w:tr w:rsidR="00561F31" w:rsidRPr="00F90EAE" w14:paraId="0B8F2275" w14:textId="77777777">
        <w:tc>
          <w:tcPr>
            <w:tcW w:w="2093" w:type="dxa"/>
          </w:tcPr>
          <w:p w14:paraId="2A9E3F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Запад с момента</w:t>
            </w:r>
          </w:p>
        </w:tc>
        <w:tc>
          <w:tcPr>
            <w:tcW w:w="1417" w:type="dxa"/>
          </w:tcPr>
          <w:p w14:paraId="1403CB96"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70A600F9"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2B80353D"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70872479"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05CC39A2" w14:textId="77777777">
        <w:tc>
          <w:tcPr>
            <w:tcW w:w="2093" w:type="dxa"/>
          </w:tcPr>
          <w:p w14:paraId="0D2996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высадки союзн.</w:t>
            </w:r>
          </w:p>
        </w:tc>
        <w:tc>
          <w:tcPr>
            <w:tcW w:w="1417" w:type="dxa"/>
          </w:tcPr>
          <w:p w14:paraId="0F828E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11066(556)</w:t>
            </w:r>
          </w:p>
        </w:tc>
        <w:tc>
          <w:tcPr>
            <w:tcW w:w="1418" w:type="dxa"/>
          </w:tcPr>
          <w:p w14:paraId="1EADED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25673(744)</w:t>
            </w:r>
          </w:p>
        </w:tc>
        <w:tc>
          <w:tcPr>
            <w:tcW w:w="1843" w:type="dxa"/>
          </w:tcPr>
          <w:p w14:paraId="116CC3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41217(1339)</w:t>
            </w:r>
          </w:p>
        </w:tc>
        <w:tc>
          <w:tcPr>
            <w:tcW w:w="3827" w:type="dxa"/>
          </w:tcPr>
          <w:p w14:paraId="148678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77956(2639)</w:t>
            </w:r>
          </w:p>
        </w:tc>
      </w:tr>
      <w:tr w:rsidR="00561F31" w:rsidRPr="00F90EAE" w14:paraId="14B1FC2B" w14:textId="77777777">
        <w:tc>
          <w:tcPr>
            <w:tcW w:w="2093" w:type="dxa"/>
          </w:tcPr>
          <w:p w14:paraId="06CB9E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южных фронт.</w:t>
            </w:r>
          </w:p>
        </w:tc>
        <w:tc>
          <w:tcPr>
            <w:tcW w:w="1417" w:type="dxa"/>
          </w:tcPr>
          <w:p w14:paraId="4C9F57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22625(1270)</w:t>
            </w:r>
          </w:p>
        </w:tc>
        <w:tc>
          <w:tcPr>
            <w:tcW w:w="1418" w:type="dxa"/>
          </w:tcPr>
          <w:p w14:paraId="17E80D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42613(1521)</w:t>
            </w:r>
          </w:p>
        </w:tc>
        <w:tc>
          <w:tcPr>
            <w:tcW w:w="1843" w:type="dxa"/>
          </w:tcPr>
          <w:p w14:paraId="3C60FC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54325(2292)</w:t>
            </w:r>
          </w:p>
        </w:tc>
        <w:tc>
          <w:tcPr>
            <w:tcW w:w="3827" w:type="dxa"/>
          </w:tcPr>
          <w:p w14:paraId="6FB1D7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119563(5083)</w:t>
            </w:r>
          </w:p>
        </w:tc>
      </w:tr>
      <w:tr w:rsidR="00561F31" w:rsidRPr="00F90EAE" w14:paraId="17FCB117" w14:textId="77777777">
        <w:tc>
          <w:tcPr>
            <w:tcW w:w="2093" w:type="dxa"/>
          </w:tcPr>
          <w:p w14:paraId="0B23C5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Восточный фронт</w:t>
            </w:r>
          </w:p>
        </w:tc>
        <w:tc>
          <w:tcPr>
            <w:tcW w:w="1417" w:type="dxa"/>
          </w:tcPr>
          <w:p w14:paraId="76673A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52932(2499)</w:t>
            </w:r>
          </w:p>
        </w:tc>
        <w:tc>
          <w:tcPr>
            <w:tcW w:w="1418" w:type="dxa"/>
          </w:tcPr>
          <w:p w14:paraId="712B38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116818(4318)</w:t>
            </w:r>
          </w:p>
        </w:tc>
        <w:tc>
          <w:tcPr>
            <w:tcW w:w="1843" w:type="dxa"/>
          </w:tcPr>
          <w:p w14:paraId="221CB1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49210(2569)</w:t>
            </w:r>
          </w:p>
        </w:tc>
        <w:tc>
          <w:tcPr>
            <w:tcW w:w="3827" w:type="dxa"/>
          </w:tcPr>
          <w:p w14:paraId="41C404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218960(9386)</w:t>
            </w:r>
          </w:p>
        </w:tc>
      </w:tr>
      <w:tr w:rsidR="00561F31" w:rsidRPr="00F90EAE" w14:paraId="2265F541" w14:textId="77777777">
        <w:tc>
          <w:tcPr>
            <w:tcW w:w="2093" w:type="dxa"/>
          </w:tcPr>
          <w:p w14:paraId="542288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Потери на авиазаводах</w:t>
            </w:r>
          </w:p>
        </w:tc>
        <w:tc>
          <w:tcPr>
            <w:tcW w:w="1417" w:type="dxa"/>
          </w:tcPr>
          <w:p w14:paraId="4BD801CE"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38CA17A0"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3BF91C28"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5EBA0BDD"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3F2B6682" w14:textId="77777777">
        <w:tc>
          <w:tcPr>
            <w:tcW w:w="2093" w:type="dxa"/>
          </w:tcPr>
          <w:p w14:paraId="3C7E7B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в летных школах</w:t>
            </w:r>
          </w:p>
        </w:tc>
        <w:tc>
          <w:tcPr>
            <w:tcW w:w="1417" w:type="dxa"/>
          </w:tcPr>
          <w:p w14:paraId="5B55DD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28892(2630)</w:t>
            </w:r>
          </w:p>
        </w:tc>
        <w:tc>
          <w:tcPr>
            <w:tcW w:w="1418" w:type="dxa"/>
          </w:tcPr>
          <w:p w14:paraId="08283A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10991(1157)</w:t>
            </w:r>
          </w:p>
        </w:tc>
        <w:tc>
          <w:tcPr>
            <w:tcW w:w="1843" w:type="dxa"/>
          </w:tcPr>
          <w:p w14:paraId="0A4BE7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827" w:type="dxa"/>
          </w:tcPr>
          <w:p w14:paraId="1D00B4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39883(3787)</w:t>
            </w:r>
          </w:p>
        </w:tc>
      </w:tr>
      <w:tr w:rsidR="00561F31" w:rsidRPr="00F90EAE" w14:paraId="762E345A" w14:textId="77777777">
        <w:tc>
          <w:tcPr>
            <w:tcW w:w="2093" w:type="dxa"/>
          </w:tcPr>
          <w:p w14:paraId="7F086F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Травмы, болезни,</w:t>
            </w:r>
          </w:p>
        </w:tc>
        <w:tc>
          <w:tcPr>
            <w:tcW w:w="1417" w:type="dxa"/>
          </w:tcPr>
          <w:p w14:paraId="01BBBE9C"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A8C0791"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90B158E"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0946A4D5"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5A4FA175" w14:textId="77777777">
        <w:tc>
          <w:tcPr>
            <w:tcW w:w="2093" w:type="dxa"/>
          </w:tcPr>
          <w:p w14:paraId="659B4A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самоубийства</w:t>
            </w:r>
          </w:p>
        </w:tc>
        <w:tc>
          <w:tcPr>
            <w:tcW w:w="1417" w:type="dxa"/>
          </w:tcPr>
          <w:p w14:paraId="118B6F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19976(1201)</w:t>
            </w:r>
          </w:p>
        </w:tc>
        <w:tc>
          <w:tcPr>
            <w:tcW w:w="1418" w:type="dxa"/>
          </w:tcPr>
          <w:p w14:paraId="2D4C55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43" w:type="dxa"/>
          </w:tcPr>
          <w:p w14:paraId="647F97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827" w:type="dxa"/>
          </w:tcPr>
          <w:p w14:paraId="0DE9B8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19976(1201)</w:t>
            </w:r>
          </w:p>
        </w:tc>
      </w:tr>
      <w:tr w:rsidR="00561F31" w:rsidRPr="00F90EAE" w14:paraId="1657A161" w14:textId="77777777">
        <w:tc>
          <w:tcPr>
            <w:tcW w:w="2093" w:type="dxa"/>
          </w:tcPr>
          <w:p w14:paraId="3BF1F6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по ВВС:</w:t>
            </w:r>
          </w:p>
        </w:tc>
        <w:tc>
          <w:tcPr>
            <w:tcW w:w="1417" w:type="dxa"/>
          </w:tcPr>
          <w:p w14:paraId="4C8FFC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158572(10610)</w:t>
            </w:r>
          </w:p>
        </w:tc>
        <w:tc>
          <w:tcPr>
            <w:tcW w:w="1418" w:type="dxa"/>
          </w:tcPr>
          <w:p w14:paraId="4AD384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216579(9367)</w:t>
            </w:r>
          </w:p>
        </w:tc>
        <w:tc>
          <w:tcPr>
            <w:tcW w:w="1843" w:type="dxa"/>
          </w:tcPr>
          <w:p w14:paraId="2FA0C7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156145(822)</w:t>
            </w:r>
          </w:p>
        </w:tc>
        <w:tc>
          <w:tcPr>
            <w:tcW w:w="3827" w:type="dxa"/>
          </w:tcPr>
          <w:p w14:paraId="460DB1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531296(27799)</w:t>
            </w:r>
          </w:p>
        </w:tc>
      </w:tr>
      <w:tr w:rsidR="00561F31" w:rsidRPr="00F90EAE" w14:paraId="2B69ACBE" w14:textId="77777777">
        <w:tc>
          <w:tcPr>
            <w:tcW w:w="2093" w:type="dxa"/>
          </w:tcPr>
          <w:p w14:paraId="3AD6C7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 них:</w:t>
            </w:r>
          </w:p>
        </w:tc>
        <w:tc>
          <w:tcPr>
            <w:tcW w:w="1417" w:type="dxa"/>
          </w:tcPr>
          <w:p w14:paraId="5CBEBAB5"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1C0DA5E5"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52A20A7F"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2D798ED8"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1F8318C4" w14:textId="77777777">
        <w:tc>
          <w:tcPr>
            <w:tcW w:w="2093" w:type="dxa"/>
          </w:tcPr>
          <w:p w14:paraId="1014B8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летного состава</w:t>
            </w:r>
          </w:p>
        </w:tc>
        <w:tc>
          <w:tcPr>
            <w:tcW w:w="1417" w:type="dxa"/>
          </w:tcPr>
          <w:p w14:paraId="05EF8C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43517(6527)</w:t>
            </w:r>
          </w:p>
        </w:tc>
        <w:tc>
          <w:tcPr>
            <w:tcW w:w="1418" w:type="dxa"/>
          </w:tcPr>
          <w:p w14:paraId="51FCA0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27811(4194)</w:t>
            </w:r>
          </w:p>
        </w:tc>
        <w:tc>
          <w:tcPr>
            <w:tcW w:w="1843" w:type="dxa"/>
          </w:tcPr>
          <w:p w14:paraId="639EA0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27240(4361)</w:t>
            </w:r>
          </w:p>
        </w:tc>
        <w:tc>
          <w:tcPr>
            <w:tcW w:w="3827" w:type="dxa"/>
          </w:tcPr>
          <w:p w14:paraId="578EE2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98568(15082)</w:t>
            </w:r>
          </w:p>
        </w:tc>
      </w:tr>
      <w:tr w:rsidR="00561F31" w:rsidRPr="00F90EAE" w14:paraId="440F73CB" w14:textId="77777777">
        <w:tc>
          <w:tcPr>
            <w:tcW w:w="2093" w:type="dxa"/>
          </w:tcPr>
          <w:p w14:paraId="0359DD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десантники</w:t>
            </w:r>
          </w:p>
        </w:tc>
        <w:tc>
          <w:tcPr>
            <w:tcW w:w="1417" w:type="dxa"/>
          </w:tcPr>
          <w:p w14:paraId="298D06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21309(732)</w:t>
            </w:r>
          </w:p>
        </w:tc>
        <w:tc>
          <w:tcPr>
            <w:tcW w:w="1418" w:type="dxa"/>
          </w:tcPr>
          <w:p w14:paraId="224624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56388(1206)</w:t>
            </w:r>
          </w:p>
        </w:tc>
        <w:tc>
          <w:tcPr>
            <w:tcW w:w="1843" w:type="dxa"/>
          </w:tcPr>
          <w:p w14:paraId="77EA23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43896(889)</w:t>
            </w:r>
          </w:p>
        </w:tc>
        <w:tc>
          <w:tcPr>
            <w:tcW w:w="3827" w:type="dxa"/>
          </w:tcPr>
          <w:p w14:paraId="6C6043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121593(2827)</w:t>
            </w:r>
          </w:p>
        </w:tc>
      </w:tr>
      <w:tr w:rsidR="00561F31" w:rsidRPr="00F90EAE" w14:paraId="65B9C37A" w14:textId="77777777">
        <w:tc>
          <w:tcPr>
            <w:tcW w:w="2093" w:type="dxa"/>
          </w:tcPr>
          <w:p w14:paraId="1FDA19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Военно-морские силы</w:t>
            </w:r>
          </w:p>
        </w:tc>
        <w:tc>
          <w:tcPr>
            <w:tcW w:w="1417" w:type="dxa"/>
          </w:tcPr>
          <w:p w14:paraId="0D1B9168"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75A5F967"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7B5DCE37"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58BD001A"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7FD90F05" w14:textId="77777777">
        <w:tc>
          <w:tcPr>
            <w:tcW w:w="2093" w:type="dxa"/>
          </w:tcPr>
          <w:p w14:paraId="228D1D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Атлантика</w:t>
            </w:r>
          </w:p>
        </w:tc>
        <w:tc>
          <w:tcPr>
            <w:tcW w:w="1417" w:type="dxa"/>
          </w:tcPr>
          <w:p w14:paraId="1AC2CC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39256(2215)</w:t>
            </w:r>
          </w:p>
        </w:tc>
        <w:tc>
          <w:tcPr>
            <w:tcW w:w="1418" w:type="dxa"/>
          </w:tcPr>
          <w:p w14:paraId="3E1B8B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15854(382)</w:t>
            </w:r>
          </w:p>
        </w:tc>
        <w:tc>
          <w:tcPr>
            <w:tcW w:w="1843" w:type="dxa"/>
          </w:tcPr>
          <w:p w14:paraId="41BEF4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92509(1896)</w:t>
            </w:r>
          </w:p>
        </w:tc>
        <w:tc>
          <w:tcPr>
            <w:tcW w:w="3827" w:type="dxa"/>
          </w:tcPr>
          <w:p w14:paraId="55C84A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147619(4393)</w:t>
            </w:r>
          </w:p>
        </w:tc>
      </w:tr>
      <w:tr w:rsidR="00561F31" w:rsidRPr="00F90EAE" w14:paraId="5640E7ED" w14:textId="77777777">
        <w:tc>
          <w:tcPr>
            <w:tcW w:w="2093" w:type="dxa"/>
          </w:tcPr>
          <w:p w14:paraId="452239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Средиземное море</w:t>
            </w:r>
          </w:p>
        </w:tc>
        <w:tc>
          <w:tcPr>
            <w:tcW w:w="1417" w:type="dxa"/>
          </w:tcPr>
          <w:p w14:paraId="4CF4EE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5836(186)</w:t>
            </w:r>
          </w:p>
        </w:tc>
        <w:tc>
          <w:tcPr>
            <w:tcW w:w="1418" w:type="dxa"/>
          </w:tcPr>
          <w:p w14:paraId="6B5BCD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6691(125)</w:t>
            </w:r>
          </w:p>
        </w:tc>
        <w:tc>
          <w:tcPr>
            <w:tcW w:w="1843" w:type="dxa"/>
          </w:tcPr>
          <w:p w14:paraId="3BF883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3840(107)</w:t>
            </w:r>
          </w:p>
        </w:tc>
        <w:tc>
          <w:tcPr>
            <w:tcW w:w="3827" w:type="dxa"/>
          </w:tcPr>
          <w:p w14:paraId="47CB1D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16367(418)</w:t>
            </w:r>
          </w:p>
        </w:tc>
      </w:tr>
      <w:tr w:rsidR="00561F31" w:rsidRPr="00F90EAE" w14:paraId="08A9E9C6" w14:textId="77777777">
        <w:tc>
          <w:tcPr>
            <w:tcW w:w="2093" w:type="dxa"/>
          </w:tcPr>
          <w:p w14:paraId="130E4A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Востоке</w:t>
            </w:r>
          </w:p>
        </w:tc>
        <w:tc>
          <w:tcPr>
            <w:tcW w:w="1417" w:type="dxa"/>
          </w:tcPr>
          <w:p w14:paraId="263EEE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3812(173)</w:t>
            </w:r>
          </w:p>
        </w:tc>
        <w:tc>
          <w:tcPr>
            <w:tcW w:w="1418" w:type="dxa"/>
          </w:tcPr>
          <w:p w14:paraId="575B9F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2714(47)</w:t>
            </w:r>
          </w:p>
        </w:tc>
        <w:tc>
          <w:tcPr>
            <w:tcW w:w="1843" w:type="dxa"/>
          </w:tcPr>
          <w:p w14:paraId="71052B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3907(171)</w:t>
            </w:r>
          </w:p>
        </w:tc>
        <w:tc>
          <w:tcPr>
            <w:tcW w:w="3827" w:type="dxa"/>
          </w:tcPr>
          <w:p w14:paraId="6E63E0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10433(391)</w:t>
            </w:r>
          </w:p>
        </w:tc>
      </w:tr>
      <w:tr w:rsidR="00561F31" w:rsidRPr="00F90EAE" w14:paraId="5A32E694" w14:textId="77777777">
        <w:tc>
          <w:tcPr>
            <w:tcW w:w="2093" w:type="dxa"/>
          </w:tcPr>
          <w:p w14:paraId="797A0A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Травмы, болезни,</w:t>
            </w:r>
          </w:p>
        </w:tc>
        <w:tc>
          <w:tcPr>
            <w:tcW w:w="1417" w:type="dxa"/>
          </w:tcPr>
          <w:p w14:paraId="59E251A0" w14:textId="77777777" w:rsidR="00C2313B" w:rsidRPr="00F90EAE" w:rsidRDefault="00C2313B" w:rsidP="00F90EAE">
            <w:pPr>
              <w:autoSpaceDE w:val="0"/>
              <w:autoSpaceDN w:val="0"/>
              <w:adjustRightInd w:val="0"/>
              <w:jc w:val="both"/>
              <w:rPr>
                <w:color w:val="000000" w:themeColor="text1"/>
                <w:sz w:val="16"/>
                <w:szCs w:val="16"/>
              </w:rPr>
            </w:pPr>
          </w:p>
        </w:tc>
        <w:tc>
          <w:tcPr>
            <w:tcW w:w="1418" w:type="dxa"/>
          </w:tcPr>
          <w:p w14:paraId="5A623A5E" w14:textId="77777777" w:rsidR="00C2313B" w:rsidRPr="00F90EAE" w:rsidRDefault="00C2313B" w:rsidP="00F90EAE">
            <w:pPr>
              <w:autoSpaceDE w:val="0"/>
              <w:autoSpaceDN w:val="0"/>
              <w:adjustRightInd w:val="0"/>
              <w:jc w:val="both"/>
              <w:rPr>
                <w:color w:val="000000" w:themeColor="text1"/>
                <w:sz w:val="16"/>
                <w:szCs w:val="16"/>
              </w:rPr>
            </w:pPr>
          </w:p>
        </w:tc>
        <w:tc>
          <w:tcPr>
            <w:tcW w:w="1843" w:type="dxa"/>
          </w:tcPr>
          <w:p w14:paraId="056620C9" w14:textId="77777777" w:rsidR="00C2313B" w:rsidRPr="00F90EAE" w:rsidRDefault="00C2313B" w:rsidP="00F90EAE">
            <w:pPr>
              <w:autoSpaceDE w:val="0"/>
              <w:autoSpaceDN w:val="0"/>
              <w:adjustRightInd w:val="0"/>
              <w:jc w:val="both"/>
              <w:rPr>
                <w:color w:val="000000" w:themeColor="text1"/>
                <w:sz w:val="16"/>
                <w:szCs w:val="16"/>
              </w:rPr>
            </w:pPr>
          </w:p>
        </w:tc>
        <w:tc>
          <w:tcPr>
            <w:tcW w:w="3827" w:type="dxa"/>
          </w:tcPr>
          <w:p w14:paraId="3A04836E"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5C920BD9" w14:textId="77777777">
        <w:tc>
          <w:tcPr>
            <w:tcW w:w="2093" w:type="dxa"/>
          </w:tcPr>
          <w:p w14:paraId="6DC4B0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самоубийства</w:t>
            </w:r>
          </w:p>
        </w:tc>
        <w:tc>
          <w:tcPr>
            <w:tcW w:w="1417" w:type="dxa"/>
          </w:tcPr>
          <w:p w14:paraId="2DC27D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11125(862)</w:t>
            </w:r>
          </w:p>
        </w:tc>
        <w:tc>
          <w:tcPr>
            <w:tcW w:w="1418" w:type="dxa"/>
          </w:tcPr>
          <w:p w14:paraId="196502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43" w:type="dxa"/>
          </w:tcPr>
          <w:p w14:paraId="532E09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827" w:type="dxa"/>
          </w:tcPr>
          <w:p w14:paraId="2822DD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11125(862)</w:t>
            </w:r>
          </w:p>
        </w:tc>
      </w:tr>
      <w:tr w:rsidR="00561F31" w:rsidRPr="00F90EAE" w14:paraId="3373E615" w14:textId="77777777">
        <w:tc>
          <w:tcPr>
            <w:tcW w:w="2093" w:type="dxa"/>
          </w:tcPr>
          <w:p w14:paraId="69DD7B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по ВМФ:</w:t>
            </w:r>
          </w:p>
        </w:tc>
        <w:tc>
          <w:tcPr>
            <w:tcW w:w="1417" w:type="dxa"/>
          </w:tcPr>
          <w:p w14:paraId="70D1AD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60029(3336)</w:t>
            </w:r>
          </w:p>
        </w:tc>
        <w:tc>
          <w:tcPr>
            <w:tcW w:w="1418" w:type="dxa"/>
          </w:tcPr>
          <w:p w14:paraId="370AE1A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25259(554)</w:t>
            </w:r>
          </w:p>
        </w:tc>
        <w:tc>
          <w:tcPr>
            <w:tcW w:w="1843" w:type="dxa"/>
          </w:tcPr>
          <w:p w14:paraId="377E80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100256(2174)</w:t>
            </w:r>
          </w:p>
        </w:tc>
        <w:tc>
          <w:tcPr>
            <w:tcW w:w="3827" w:type="dxa"/>
          </w:tcPr>
          <w:p w14:paraId="0B0E02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185544(6064)</w:t>
            </w:r>
          </w:p>
        </w:tc>
      </w:tr>
      <w:tr w:rsidR="00561F31" w:rsidRPr="00F90EAE" w14:paraId="02137BA8" w14:textId="77777777">
        <w:tc>
          <w:tcPr>
            <w:tcW w:w="2093" w:type="dxa"/>
          </w:tcPr>
          <w:p w14:paraId="004E7B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по вермахт:</w:t>
            </w:r>
          </w:p>
        </w:tc>
        <w:tc>
          <w:tcPr>
            <w:tcW w:w="1417" w:type="dxa"/>
          </w:tcPr>
          <w:p w14:paraId="5DE145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2001399(83307)</w:t>
            </w:r>
          </w:p>
        </w:tc>
        <w:tc>
          <w:tcPr>
            <w:tcW w:w="1418" w:type="dxa"/>
          </w:tcPr>
          <w:p w14:paraId="263188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4401049(117534)</w:t>
            </w:r>
          </w:p>
        </w:tc>
        <w:tc>
          <w:tcPr>
            <w:tcW w:w="1843" w:type="dxa"/>
          </w:tcPr>
          <w:p w14:paraId="554C4C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1907243(37264)</w:t>
            </w:r>
          </w:p>
        </w:tc>
        <w:tc>
          <w:tcPr>
            <w:tcW w:w="3827" w:type="dxa"/>
          </w:tcPr>
          <w:p w14:paraId="6B1E3C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8309691(238105)</w:t>
            </w:r>
          </w:p>
        </w:tc>
      </w:tr>
    </w:tbl>
    <w:p w14:paraId="407B9A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В таблице встречаются ошибки при суммировании (Прим. ред.) (3573).</w:t>
      </w:r>
    </w:p>
    <w:p w14:paraId="60EC6C80" w14:textId="77777777" w:rsidR="00C2313B" w:rsidRPr="00F90EAE" w:rsidRDefault="00C2313B" w:rsidP="00F90EAE">
      <w:pPr>
        <w:autoSpaceDE w:val="0"/>
        <w:autoSpaceDN w:val="0"/>
        <w:adjustRightInd w:val="0"/>
        <w:jc w:val="both"/>
        <w:rPr>
          <w:color w:val="000000" w:themeColor="text1"/>
          <w:sz w:val="16"/>
          <w:szCs w:val="16"/>
        </w:rPr>
      </w:pPr>
    </w:p>
    <w:p w14:paraId="1D405E2E" w14:textId="77777777" w:rsidR="0055066D" w:rsidRPr="00F90EAE" w:rsidRDefault="0055066D" w:rsidP="00F90EAE">
      <w:pPr>
        <w:jc w:val="both"/>
        <w:rPr>
          <w:color w:val="0070C0"/>
          <w:sz w:val="16"/>
          <w:szCs w:val="16"/>
        </w:rPr>
      </w:pPr>
      <w:r w:rsidRPr="00F90EAE">
        <w:rPr>
          <w:color w:val="0070C0"/>
          <w:sz w:val="16"/>
          <w:szCs w:val="16"/>
        </w:rPr>
        <w:t>31 января 1945 ВВС США начинают двухнедельную днеквные и ночные бомбардировки Иводзимы. Базирующиеся в Калькутте самолеты ВВС США бомбят Сингапур. В течение января B-29, совершающие налеты на Японию, потеряли 5,7% (20371).</w:t>
      </w:r>
    </w:p>
    <w:p w14:paraId="4969D544" w14:textId="77777777" w:rsidR="0055066D" w:rsidRPr="00F90EAE" w:rsidRDefault="0055066D" w:rsidP="00F90EAE">
      <w:pPr>
        <w:jc w:val="both"/>
        <w:rPr>
          <w:color w:val="0070C0"/>
          <w:sz w:val="16"/>
          <w:szCs w:val="16"/>
        </w:rPr>
      </w:pPr>
    </w:p>
    <w:p w14:paraId="5B33F110" w14:textId="77777777" w:rsidR="0055066D" w:rsidRPr="00F90EAE" w:rsidRDefault="0055066D" w:rsidP="00F90EAE">
      <w:pPr>
        <w:jc w:val="both"/>
        <w:rPr>
          <w:color w:val="0070C0"/>
          <w:sz w:val="16"/>
          <w:szCs w:val="16"/>
        </w:rPr>
      </w:pPr>
      <w:r w:rsidRPr="00F90EAE">
        <w:rPr>
          <w:color w:val="0070C0"/>
          <w:sz w:val="16"/>
          <w:szCs w:val="16"/>
        </w:rPr>
        <w:t>31 января 1945 часть левого крыла Австралийского национального Airways Стинсон Model A Tokana (регистрация VH-иуу) отделяется от самолета на высоте около 1000 футов (305 метров), когда он летит рядом Redesdale, Виктория, Австралия. Авиалайнер терпит крушение, все 10 человек на борту погибают.</w:t>
      </w:r>
    </w:p>
    <w:p w14:paraId="72B3E167" w14:textId="77777777" w:rsidR="0055066D" w:rsidRPr="00F90EAE" w:rsidRDefault="0055066D" w:rsidP="00F90EAE">
      <w:pPr>
        <w:jc w:val="both"/>
        <w:rPr>
          <w:color w:val="0070C0"/>
          <w:sz w:val="16"/>
          <w:szCs w:val="16"/>
        </w:rPr>
      </w:pPr>
    </w:p>
    <w:p w14:paraId="690B568B" w14:textId="77777777" w:rsidR="00BC1830"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3040FD9" w14:textId="77777777" w:rsidR="00BC1830" w:rsidRPr="00F90EAE" w:rsidRDefault="00BC1830" w:rsidP="00F90EAE">
      <w:pPr>
        <w:autoSpaceDE w:val="0"/>
        <w:autoSpaceDN w:val="0"/>
        <w:adjustRightInd w:val="0"/>
        <w:jc w:val="both"/>
        <w:rPr>
          <w:iCs/>
          <w:color w:val="000000" w:themeColor="text1"/>
          <w:sz w:val="16"/>
          <w:szCs w:val="16"/>
        </w:rPr>
      </w:pPr>
    </w:p>
    <w:p w14:paraId="7DE0F39C" w14:textId="77777777" w:rsidR="00D645CD" w:rsidRPr="00F90EAE" w:rsidRDefault="00D645CD" w:rsidP="00F90EAE">
      <w:pPr>
        <w:jc w:val="both"/>
        <w:rPr>
          <w:color w:val="000000" w:themeColor="text1"/>
          <w:sz w:val="16"/>
          <w:szCs w:val="16"/>
        </w:rPr>
      </w:pPr>
      <w:r w:rsidRPr="00F90EAE">
        <w:rPr>
          <w:rStyle w:val="107"/>
          <w:rFonts w:eastAsiaTheme="minorHAnsi"/>
          <w:color w:val="000000" w:themeColor="text1"/>
          <w:sz w:val="16"/>
          <w:szCs w:val="16"/>
        </w:rPr>
        <w:t>К концу января 1945 было подготовлено заключение ЦАГИ по статиспытаниям первых агрегатов самолета Ил-10, из которого следовало, что их прочность удовлетворяет нормам 1943 года по классу Б (неманевренных самолетов).</w:t>
      </w:r>
    </w:p>
    <w:p w14:paraId="39EEAA93" w14:textId="77777777" w:rsidR="00D645CD" w:rsidRPr="00F90EAE" w:rsidRDefault="00D645CD" w:rsidP="00F90EAE">
      <w:pPr>
        <w:jc w:val="both"/>
        <w:rPr>
          <w:color w:val="000000" w:themeColor="text1"/>
          <w:sz w:val="16"/>
          <w:szCs w:val="16"/>
        </w:rPr>
      </w:pPr>
      <w:r w:rsidRPr="00F90EAE">
        <w:rPr>
          <w:rStyle w:val="107"/>
          <w:rFonts w:eastAsiaTheme="minorHAnsi"/>
          <w:color w:val="000000" w:themeColor="text1"/>
          <w:sz w:val="16"/>
          <w:szCs w:val="16"/>
        </w:rPr>
        <w:t>Поскольку при статиспытаниях шасси с центропланом на случай Е+</w:t>
      </w:r>
      <w:r w:rsidRPr="00F90EAE">
        <w:rPr>
          <w:rStyle w:val="107"/>
          <w:rFonts w:eastAsiaTheme="minorHAnsi"/>
          <w:color w:val="000000" w:themeColor="text1"/>
          <w:sz w:val="16"/>
          <w:szCs w:val="16"/>
          <w:lang w:val="en-US"/>
        </w:rPr>
        <w:t>G</w:t>
      </w:r>
      <w:r w:rsidRPr="00F90EAE">
        <w:rPr>
          <w:rStyle w:val="107"/>
          <w:rFonts w:eastAsiaTheme="minorHAnsi"/>
          <w:color w:val="000000" w:themeColor="text1"/>
          <w:sz w:val="16"/>
          <w:szCs w:val="16"/>
        </w:rPr>
        <w:t xml:space="preserve"> произошло разрушение центроплана при 97 % расчетной нагрузки, определенной с коэффициентом безопасности 1,65, то специалисты ЦАГИ считали необходимым усилить центроплан в соответствии с нормами прочности и коэффициентом безопасности 1,8.</w:t>
      </w:r>
    </w:p>
    <w:p w14:paraId="14128978" w14:textId="77777777" w:rsidR="00D645CD" w:rsidRPr="00F90EAE" w:rsidRDefault="00D645CD" w:rsidP="00F90EAE">
      <w:pPr>
        <w:jc w:val="both"/>
        <w:rPr>
          <w:color w:val="000000" w:themeColor="text1"/>
          <w:sz w:val="16"/>
          <w:szCs w:val="16"/>
        </w:rPr>
      </w:pPr>
      <w:r w:rsidRPr="00F90EAE">
        <w:rPr>
          <w:rStyle w:val="107"/>
          <w:rFonts w:eastAsiaTheme="minorHAnsi"/>
          <w:color w:val="000000" w:themeColor="text1"/>
          <w:sz w:val="16"/>
          <w:szCs w:val="16"/>
        </w:rPr>
        <w:t>«В последующих сериях прочность агрегатов необходимо довести до требований норм по классу А (маневренные самолеты)», - указывалось в заключении.</w:t>
      </w:r>
    </w:p>
    <w:p w14:paraId="26307FAF" w14:textId="77777777" w:rsidR="00D645CD" w:rsidRPr="00F90EAE" w:rsidRDefault="00D645CD" w:rsidP="00F90EAE">
      <w:pPr>
        <w:jc w:val="both"/>
        <w:rPr>
          <w:color w:val="000000" w:themeColor="text1"/>
          <w:sz w:val="16"/>
          <w:szCs w:val="16"/>
        </w:rPr>
      </w:pPr>
      <w:r w:rsidRPr="00F90EAE">
        <w:rPr>
          <w:rStyle w:val="107"/>
          <w:rFonts w:eastAsiaTheme="minorHAnsi"/>
          <w:color w:val="000000" w:themeColor="text1"/>
          <w:sz w:val="16"/>
          <w:szCs w:val="16"/>
        </w:rPr>
        <w:t>В ОКБ Ильюшина срочно разработали целый ряд мероприятий по усилению крыла и центроплана, которые предполагалось в полном объеме внедрить с 1-й машины 7-й серии 18-го завода, а затем и на машинах 1-го завода (17490).</w:t>
      </w:r>
    </w:p>
    <w:p w14:paraId="2D9F342B" w14:textId="77777777" w:rsidR="00D645CD" w:rsidRPr="00F90EAE" w:rsidRDefault="00D645CD" w:rsidP="00F90EAE">
      <w:pPr>
        <w:jc w:val="both"/>
        <w:rPr>
          <w:color w:val="000000" w:themeColor="text1"/>
          <w:sz w:val="16"/>
          <w:szCs w:val="16"/>
        </w:rPr>
      </w:pPr>
    </w:p>
    <w:p w14:paraId="4FA1160F" w14:textId="77777777" w:rsidR="00670896" w:rsidRPr="00F90EAE" w:rsidRDefault="00670896" w:rsidP="00F90EAE">
      <w:pPr>
        <w:shd w:val="clear" w:color="auto" w:fill="FFFFFF"/>
        <w:jc w:val="both"/>
        <w:rPr>
          <w:color w:val="000000" w:themeColor="text1"/>
          <w:sz w:val="16"/>
          <w:szCs w:val="16"/>
        </w:rPr>
      </w:pPr>
      <w:r w:rsidRPr="00F90EAE">
        <w:rPr>
          <w:color w:val="000000" w:themeColor="text1"/>
          <w:sz w:val="16"/>
          <w:szCs w:val="16"/>
        </w:rPr>
        <w:t>До конца января 1945 была доработана выхлопная система Су-7 без ТК, а затем началась отработка РД-1 на земле. Было произве дено 18 включений РД-1 (19586).</w:t>
      </w:r>
    </w:p>
    <w:p w14:paraId="71D81F61" w14:textId="77777777" w:rsidR="00670896" w:rsidRPr="00F90EAE" w:rsidRDefault="00670896" w:rsidP="00F90EAE">
      <w:pPr>
        <w:shd w:val="clear" w:color="auto" w:fill="FFFFFF"/>
        <w:jc w:val="both"/>
        <w:rPr>
          <w:color w:val="000000" w:themeColor="text1"/>
          <w:sz w:val="16"/>
          <w:szCs w:val="16"/>
        </w:rPr>
      </w:pPr>
    </w:p>
    <w:p w14:paraId="0B38B597" w14:textId="77777777" w:rsidR="00BC1830" w:rsidRPr="00F90EAE" w:rsidRDefault="00BC1830" w:rsidP="00F90EAE">
      <w:pPr>
        <w:pStyle w:val="a3"/>
        <w:rPr>
          <w:color w:val="000000" w:themeColor="text1"/>
          <w:lang w:val="ru-RU"/>
        </w:rPr>
      </w:pPr>
      <w:r w:rsidRPr="00F90EAE">
        <w:rPr>
          <w:color w:val="000000" w:themeColor="text1"/>
          <w:lang w:val="ru-RU"/>
        </w:rPr>
        <w:t>В конце января 1945 г. Павел Осипович Сухой доложил Наркому А.И. Шахурину свою двух-этапную концепцию модификации самолёта. На первом этапе предусматривалось незна</w:t>
      </w:r>
      <w:r w:rsidRPr="00F90EAE">
        <w:rPr>
          <w:color w:val="000000" w:themeColor="text1"/>
          <w:lang w:val="ru-RU"/>
        </w:rPr>
        <w:softHyphen/>
        <w:t>чительные изменения в конструкции базовой машины, улучшающие его лётные качества, или так называемая малая модификация — Ер-2ММ. Второй этап — большая модифи</w:t>
      </w:r>
      <w:r w:rsidRPr="00F90EAE">
        <w:rPr>
          <w:color w:val="000000" w:themeColor="text1"/>
          <w:lang w:val="ru-RU"/>
        </w:rPr>
        <w:softHyphen/>
        <w:t>кация (Ер-2БМ), требовал переработки практически всей конструкции самолёта (15810).</w:t>
      </w:r>
    </w:p>
    <w:p w14:paraId="199B2452" w14:textId="77777777" w:rsidR="00BC1830" w:rsidRPr="00F90EAE" w:rsidRDefault="00BC1830" w:rsidP="00F90EAE">
      <w:pPr>
        <w:pStyle w:val="a3"/>
        <w:rPr>
          <w:color w:val="000000" w:themeColor="text1"/>
          <w:lang w:val="ru-RU"/>
        </w:rPr>
      </w:pPr>
    </w:p>
    <w:p w14:paraId="6FCD15AF" w14:textId="77777777" w:rsidR="00D645CD" w:rsidRPr="00F90EAE" w:rsidRDefault="00D645CD"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9C5C7BF" w14:textId="77777777" w:rsidR="00D645CD" w:rsidRPr="00F90EAE" w:rsidRDefault="00D645CD" w:rsidP="00F90EAE">
      <w:pPr>
        <w:autoSpaceDE w:val="0"/>
        <w:autoSpaceDN w:val="0"/>
        <w:adjustRightInd w:val="0"/>
        <w:jc w:val="both"/>
        <w:rPr>
          <w:iCs/>
          <w:color w:val="000000" w:themeColor="text1"/>
          <w:sz w:val="16"/>
          <w:szCs w:val="16"/>
        </w:rPr>
      </w:pPr>
    </w:p>
    <w:p w14:paraId="238CB6E4" w14:textId="77777777" w:rsidR="00D645CD" w:rsidRPr="00F90EAE" w:rsidRDefault="00D645CD" w:rsidP="00F90EAE">
      <w:pPr>
        <w:shd w:val="clear" w:color="auto" w:fill="FFFFFF"/>
        <w:jc w:val="both"/>
        <w:rPr>
          <w:color w:val="000000" w:themeColor="text1"/>
          <w:sz w:val="16"/>
          <w:szCs w:val="16"/>
        </w:rPr>
      </w:pPr>
      <w:r w:rsidRPr="00F90EAE">
        <w:rPr>
          <w:color w:val="000000" w:themeColor="text1"/>
          <w:sz w:val="16"/>
          <w:szCs w:val="16"/>
        </w:rPr>
        <w:t xml:space="preserve">В конце января 1945 года в ГБТУ КА поступила информация о 40-мм </w:t>
      </w:r>
      <w:hyperlink r:id="rId16" w:history="1">
        <w:r w:rsidRPr="00F90EAE">
          <w:rPr>
            <w:color w:val="000000" w:themeColor="text1"/>
            <w:sz w:val="16"/>
            <w:szCs w:val="16"/>
          </w:rPr>
          <w:t>зенитной самоходной установке</w:t>
        </w:r>
      </w:hyperlink>
      <w:r w:rsidRPr="00F90EAE">
        <w:rPr>
          <w:color w:val="000000" w:themeColor="text1"/>
          <w:sz w:val="16"/>
          <w:szCs w:val="16"/>
        </w:rPr>
        <w:t xml:space="preserve"> GMC M19. Эта машина была разработана 1943–44 годах на переделанной базе легкого танка M24. Изюминкой этой ЗСУ было наличие спаренной установки 40-мм зенитных автоматов Bofors. Благодаря «спарке» повышалась плотность зенитного огня.</w:t>
      </w:r>
    </w:p>
    <w:p w14:paraId="68510DC3" w14:textId="77777777" w:rsidR="00D645CD" w:rsidRPr="00F90EAE" w:rsidRDefault="00D645CD" w:rsidP="00F90EAE">
      <w:pPr>
        <w:shd w:val="clear" w:color="auto" w:fill="FFFFFF"/>
        <w:jc w:val="both"/>
        <w:rPr>
          <w:color w:val="000000" w:themeColor="text1"/>
          <w:sz w:val="16"/>
          <w:szCs w:val="16"/>
        </w:rPr>
      </w:pPr>
      <w:r w:rsidRPr="00F90EAE">
        <w:rPr>
          <w:color w:val="000000" w:themeColor="text1"/>
          <w:sz w:val="16"/>
          <w:szCs w:val="16"/>
        </w:rPr>
        <w:t>Как раз в начале 1944 года шли подготовительные работы к запуску в серию советской зенитной самоходной установки ЗСУ-37. В какой-то момент возникла здравая идея переделать ее по типу M19. Правда, ЗСУ-37 имела долгую и довольно несчастливую судьбу, за 1945 – 46 годы завод №40 с трудом смог выпустить 75 таких установок. Идею модернизированной по американскому подобию установки в итоге похоронили. Тем не менее, концепция GMC M19 все же серьезно повлияла на развитие отечественных ЗСУ (17684).</w:t>
      </w:r>
    </w:p>
    <w:p w14:paraId="0889CFE1" w14:textId="77777777" w:rsidR="00D645CD" w:rsidRPr="00F90EAE" w:rsidRDefault="00D645CD" w:rsidP="00F90EAE">
      <w:pPr>
        <w:jc w:val="both"/>
        <w:rPr>
          <w:color w:val="000000" w:themeColor="text1"/>
          <w:sz w:val="16"/>
          <w:szCs w:val="16"/>
        </w:rPr>
      </w:pPr>
    </w:p>
    <w:p w14:paraId="29F89CA4" w14:textId="77777777" w:rsidR="00670896" w:rsidRPr="00F90EAE" w:rsidRDefault="00670896" w:rsidP="00F90EAE">
      <w:pPr>
        <w:jc w:val="both"/>
        <w:rPr>
          <w:color w:val="000000" w:themeColor="text1"/>
          <w:sz w:val="16"/>
          <w:szCs w:val="16"/>
        </w:rPr>
      </w:pPr>
      <w:r w:rsidRPr="00F90EAE">
        <w:rPr>
          <w:color w:val="000000" w:themeColor="text1"/>
          <w:sz w:val="16"/>
          <w:szCs w:val="16"/>
        </w:rPr>
        <w:t>В конце января 1945 г. завод им. Козицкого приступил к разработке приемо-передающей радиостанции в КВ диапазоне для торпедных и бронекатеров, а также постов СНиС. Она была предназначена для замены выпускавшейся до 1941 г. на заводе станции «Ерш» и станции «Скумбрия» производства горьковского завода № 197 (18297).</w:t>
      </w:r>
    </w:p>
    <w:p w14:paraId="419E185E" w14:textId="77777777" w:rsidR="00670896" w:rsidRPr="00F90EAE" w:rsidRDefault="00670896" w:rsidP="00F90EAE">
      <w:pPr>
        <w:jc w:val="both"/>
        <w:rPr>
          <w:color w:val="000000" w:themeColor="text1"/>
          <w:sz w:val="16"/>
          <w:szCs w:val="16"/>
        </w:rPr>
      </w:pPr>
    </w:p>
    <w:p w14:paraId="6919B15A"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9B5B66B" w14:textId="77777777" w:rsidR="00C2313B" w:rsidRPr="00F90EAE" w:rsidRDefault="00C2313B" w:rsidP="00F90EAE">
      <w:pPr>
        <w:autoSpaceDE w:val="0"/>
        <w:autoSpaceDN w:val="0"/>
        <w:adjustRightInd w:val="0"/>
        <w:jc w:val="both"/>
        <w:rPr>
          <w:iCs/>
          <w:color w:val="000000" w:themeColor="text1"/>
          <w:sz w:val="16"/>
          <w:szCs w:val="16"/>
        </w:rPr>
      </w:pPr>
    </w:p>
    <w:p w14:paraId="6B23EF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января 1945 года в связи со стремительным наступлением советских войск в ходе Висло-Одерской операции руководство ракетного центра и завода в Пенемюнде получило приказ эвакуировать его в Нордхаузен. В первых числах февраля автопоезд, насчитывавший до 3000 автомашин и прицепов, под охраной эсэсовцев двинулся через Померанию к горам Гарца. Десятки ракетных специалистов, огромное количество технической документации, образцы ракетного оружия и ценное оборудование – все, что представлялось возможным, было вывезено с «секретного» острова (11688).</w:t>
      </w:r>
    </w:p>
    <w:p w14:paraId="5CB554E3" w14:textId="77777777" w:rsidR="00C2313B" w:rsidRPr="00F90EAE" w:rsidRDefault="00C2313B" w:rsidP="00F90EAE">
      <w:pPr>
        <w:autoSpaceDE w:val="0"/>
        <w:autoSpaceDN w:val="0"/>
        <w:adjustRightInd w:val="0"/>
        <w:jc w:val="both"/>
        <w:rPr>
          <w:color w:val="000000" w:themeColor="text1"/>
          <w:sz w:val="16"/>
          <w:szCs w:val="16"/>
        </w:rPr>
      </w:pPr>
    </w:p>
    <w:p w14:paraId="33866873" w14:textId="77777777" w:rsidR="00BC1830" w:rsidRPr="00F90EAE" w:rsidRDefault="00BC1830" w:rsidP="00F90EAE">
      <w:pPr>
        <w:pStyle w:val="book"/>
        <w:ind w:firstLine="0"/>
        <w:jc w:val="both"/>
        <w:rPr>
          <w:color w:val="000000" w:themeColor="text1"/>
          <w:sz w:val="16"/>
          <w:szCs w:val="16"/>
        </w:rPr>
      </w:pPr>
      <w:r w:rsidRPr="00F90EAE">
        <w:rPr>
          <w:color w:val="000000" w:themeColor="text1"/>
          <w:sz w:val="16"/>
          <w:szCs w:val="16"/>
        </w:rPr>
        <w:lastRenderedPageBreak/>
        <w:t>В конце января 1945 г. пароход «Берлин» подошел к Либаве для эвакуации части войск из окруженной немецкой курляндскои группировки. Приняв на рейде войска, судно двинулось под усиленным конвоем в путь. В германских источниках и в дальнейших перепевах их нашими историками утверждается, что «Берлин» был торпедирован советским торпедным катером. Увы, это не соответствует действительности. В это время наши торпедные катера вообще не действовали в этом районе. «Берлин» же мог получить торпеду с нашей подводной лодки или самолета-торпедоносца. С дифферентом на нос судно кое-как продолжило движение, постоянно передавая в эфир сигнал бедствия. 31 января на траверзе порта Свинемюнде в Померанской бухте «Берлин», подорвавшись на собственном минном поле, получил пробоину 6 x 8 м и затонул на глубине 18 м, по палубу В. Теплоход был построен в Германии в 1925 г. под названием «Берлин». До 1939 г. он совершал регулярные рейсы через Атлантику между портами Бремерхафен и Нью-Йорк. По комфорту «Берлин» конкурировал с превосходными английскими атлантическими лайнерами, хотя мощность его машин в 12 тыс. л.с. и скорость хода 16,5 узла никак не могли претендовать на «Голубую ленту Атлантики». Лайнер ежегодно совершал по 12 рейсов. Компания «Norddeutscher Lloyd» придерживалась принципа: путешествие на судне, даже в 3-м классе, должно быть удобным и приятным. Однако трансатлантические переходы становились невыгодными, и летом 1938 г. «Берлин» совершил свой последний линейный рейс. После этого лайнер стал использоваться как круизное судно в рейсах на Шпицберген или в Средиземное море. 15 июля 1939 г. на судно пришел секретный приказ командования Кригсмарине следовать в Восточную гавань Свинемюнде для доставки в Мемель подразделения «трудовой армии». После этого, 12 сентября 1939 г., «Берлин» пошел в Данциг, чтобы там использоваться по новому назначению. Всю Вторую мировую войну, до 31 января 1945 г. пароход прошел в качестве госпитального судна № 4. В 1946 г. наша аварийно-спасательная служба начала работы по подъему «Берлина». Генеральная откачка воды проводилась в декабре 1946 г. После подъема судно предполагалось увести в Англию, в Ливерпуль, где в доке произвести корпусные работы, то есть основательно заделать пробоины, после чего увести судно снова в Германию, за счет репарации отремонтировать его окончательно, что и было потом сделано. При попытке подъема «Берлина» в начале 1947 г. произошел взрыв, и судно опять затонуло, придавив водолаза Тимофея Старченко, который по счастливой случайности оказался в донном углублении. Водолаза удалось спасти. Вторично судоподъем был осуществлен 17 сентября 1947 г., после чего пароход получил новое название — «Адмирал Нахимов» и позже был отведен в док Кронштадтского завода для частичного ремонта, проведения освидетельствования и составления «Технического проекта восстановительных работ». С 1949 по 1957 г. «Адмирал Нахимов» проходил капитально-восстановительный ремонт в ГДР. В 1954 г. «Адмирал Нахимов» был передан Черноморскому морскому пароходству и прибыл в порт Одесса. Первый капитан «Нахимова» Николай Соболев писал: «Снаружи и внутри судно сияло огнями. Вступившие на борт пассажиры были радушно встречены обслуживающим составом. Их поражало дорогое убранство: стены вестибюлей, кают, салонов, ресторанов отделаны различными ценными породами дерева, отражавшими всё, словно в зеркале; трапы сверкали витиеватыми украшениями и бронзированными поручнями, на стенах красовались роскошные канделябры. Палубы были устланы добротным ковровым покрытием, причем каждая палуба имела свой отличительный цвет. В салонах висели дорогие картины на морскую тематику, стены музыкального салона украшали бронзовые барельефы русских флотоводцев. Пассажир, входивший в салон, чувствовал, точно он попадал во дворец или музей. Работали рестораны, бары, кинотеатр, парикмахерские, библиотека. Негромко раздавалась мелодичная музыка, временами прерывавшаяся для информации. На пароходе царила торжественная праздничная обстановка. Разместившиеся по каютам пассажиры выходили и с любопытством рассматривали судно». С лета 1960 г. постоянным фрахтователем парохода на время навигации и круизных рейсов по Крымско-Кавказской линии стал Украинский республиканский совет по туризму и экскурсиям. За одну только навигацию 1960 года экипаж судна получил сотни благодарностей. Руководство Черноморского пароходства, отмечая трудовую деятельность молодежного коллектива парохода «Адмирал Нахимов», присвоило ему почетное в те времена звание «Экипаж коммунистического труда». В 1962 г. во время Карибского кризиса «Адмирал Нахимов» использовался для перевозки солдат на Кубу. В конце 1960-х — 1970-х годах «Адмирал Нахимов» совершил несколько рейсов с мусульманскими паломниками в Саудовскую Аравию. 29 августа 1986 г. «Адмирал Нахимов» с 897 туристами и 346 членами экипажа в 20.00 вышел из Одессы. 5 сентября в 9 часов утра лайнер должен был прийти в конечный пункт — в порт Батуми. Однако судьба распорядилась иначе. В 22.00 31 августа «Нахимов» отошел от причальной стенки Новороссийского порта и отправился в Сочи со скоростью 9 узлов. В это время к Новороссийску со скоростью 15 узлов шел сухогруз «Петр Васёв», на борту которого находилось 28 638 т канадского зерна. Описывать, как в открытом море не сумели разойтись два судна, шедшие черепашьим ходом, я не буду. Назвать их действия своими именами цензура не позволит, а эвфемизм я не уважаю. «Петр Васёв», погасив скорость до 5 узлов, в 23 ч. 12 мин. ударил своей бульбой</w:t>
      </w:r>
      <w:bookmarkStart w:id="0" w:name="r5"/>
      <w:bookmarkEnd w:id="0"/>
      <w:r w:rsidRPr="00F90EAE">
        <w:rPr>
          <w:color w:val="000000" w:themeColor="text1"/>
          <w:sz w:val="16"/>
          <w:szCs w:val="16"/>
        </w:rPr>
        <w:t xml:space="preserve"> в борт «Адмирала Нахимова» в районе переборки между машинным и котельным отделениями. «Адмирал Нахимов» продолжал по инерции двигаться вперед, разворачивая сухогруз и тем самым увеличивая размер пробоины в правом борту, которая, по оценке экспертов, после расцепления судов составила около 80 кв. м. Лайнер стал заваливаться на правый борт. Через 7 минут после столкновения, имея крен на правый борт около 60°, «Адмирал Нахимов» полностью ушел под воду. На месте крушения на поверхности воды одновременно барахталось около тысячи человек, перепачканные краской и мазутом, плавало множество предметов и обломков. В ходе катастрофы погибло 423 человека — 359 туристов и 64 члена экипажа (15225).</w:t>
      </w:r>
    </w:p>
    <w:p w14:paraId="4661D167" w14:textId="77777777" w:rsidR="00BC1830" w:rsidRPr="00F90EAE" w:rsidRDefault="00BC1830" w:rsidP="00F90EAE">
      <w:pPr>
        <w:pStyle w:val="book"/>
        <w:ind w:firstLine="0"/>
        <w:jc w:val="both"/>
        <w:rPr>
          <w:color w:val="000000" w:themeColor="text1"/>
          <w:sz w:val="16"/>
          <w:szCs w:val="16"/>
        </w:rPr>
      </w:pPr>
    </w:p>
    <w:p w14:paraId="31AB3D2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155C7C1" w14:textId="77777777" w:rsidR="00C2313B" w:rsidRPr="00F90EAE" w:rsidRDefault="00C2313B" w:rsidP="00F90EAE">
      <w:pPr>
        <w:autoSpaceDE w:val="0"/>
        <w:autoSpaceDN w:val="0"/>
        <w:adjustRightInd w:val="0"/>
        <w:jc w:val="both"/>
        <w:rPr>
          <w:iCs/>
          <w:color w:val="000000" w:themeColor="text1"/>
          <w:sz w:val="16"/>
          <w:szCs w:val="16"/>
        </w:rPr>
      </w:pPr>
    </w:p>
    <w:p w14:paraId="22DCEEA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на совместном совеща</w:t>
      </w:r>
      <w:r w:rsidRPr="00F90EAE">
        <w:rPr>
          <w:color w:val="000000" w:themeColor="text1"/>
          <w:sz w:val="16"/>
          <w:szCs w:val="16"/>
        </w:rPr>
        <w:softHyphen/>
        <w:t>нии ВВС и НКАП были ут</w:t>
      </w:r>
      <w:r w:rsidRPr="00F90EAE">
        <w:rPr>
          <w:color w:val="000000" w:themeColor="text1"/>
          <w:sz w:val="16"/>
          <w:szCs w:val="16"/>
        </w:rPr>
        <w:softHyphen/>
        <w:t>вержденные технические условия на самолет Ил-10, но они оказались для заводов высокими. 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10BBAD8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AFD8E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18-й авиазавод сдал ВВС 50 машин Ил-10 (7489).</w:t>
      </w:r>
    </w:p>
    <w:p w14:paraId="3C51B380" w14:textId="77777777" w:rsidR="00C2313B" w:rsidRPr="00F90EAE" w:rsidRDefault="00C2313B" w:rsidP="00F90EAE">
      <w:pPr>
        <w:autoSpaceDE w:val="0"/>
        <w:autoSpaceDN w:val="0"/>
        <w:adjustRightInd w:val="0"/>
        <w:jc w:val="both"/>
        <w:rPr>
          <w:color w:val="000000" w:themeColor="text1"/>
          <w:sz w:val="16"/>
          <w:szCs w:val="16"/>
        </w:rPr>
      </w:pPr>
    </w:p>
    <w:p w14:paraId="256002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согласно приказу командующего ВВС ПриВО генерал-майора Игнатова 1-я заб должна была переучить на самолет Ил-10: 78-й и 108-й гшап, 20 экипажей 43-го и 50-го зап, 16 экипажей перегоночных штурмовых авиаполков (1000-й, 245-й, 217-й и 620-й пшап), 10 инспекто</w:t>
      </w:r>
      <w:r w:rsidRPr="00F90EAE">
        <w:rPr>
          <w:color w:val="000000" w:themeColor="text1"/>
          <w:sz w:val="16"/>
          <w:szCs w:val="16"/>
        </w:rPr>
        <w:softHyphen/>
        <w:t>ров по технике пилотирования для воздушных армий и военных округов, а также весь постоянный состав бри</w:t>
      </w:r>
      <w:r w:rsidRPr="00F90EAE">
        <w:rPr>
          <w:color w:val="000000" w:themeColor="text1"/>
          <w:sz w:val="16"/>
          <w:szCs w:val="16"/>
        </w:rPr>
        <w:softHyphen/>
        <w:t>гады (5-й, 10-й, 12-й зап и 850-й пшап) - всего 137 человек.</w:t>
      </w:r>
    </w:p>
    <w:p w14:paraId="6F5C23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Комбриг А. И. Подольский прика</w:t>
      </w:r>
      <w:r w:rsidRPr="00F90EAE">
        <w:rPr>
          <w:color w:val="000000" w:themeColor="text1"/>
          <w:sz w:val="16"/>
          <w:szCs w:val="16"/>
        </w:rPr>
        <w:softHyphen/>
        <w:t>зал командирам запасных авиаполков при поступлении переменного летно</w:t>
      </w:r>
      <w:r w:rsidRPr="00F90EAE">
        <w:rPr>
          <w:color w:val="000000" w:themeColor="text1"/>
          <w:sz w:val="16"/>
          <w:szCs w:val="16"/>
        </w:rPr>
        <w:softHyphen/>
        <w:t>го и технического со</w:t>
      </w:r>
      <w:r w:rsidRPr="00F90EAE">
        <w:rPr>
          <w:color w:val="000000" w:themeColor="text1"/>
          <w:sz w:val="16"/>
          <w:szCs w:val="16"/>
        </w:rPr>
        <w:softHyphen/>
        <w:t>става для переучива</w:t>
      </w:r>
      <w:r w:rsidRPr="00F90EAE">
        <w:rPr>
          <w:color w:val="000000" w:themeColor="text1"/>
          <w:sz w:val="16"/>
          <w:szCs w:val="16"/>
        </w:rPr>
        <w:softHyphen/>
        <w:t>ния на самолет Ил-10 немедленно при</w:t>
      </w:r>
      <w:r w:rsidRPr="00F90EAE">
        <w:rPr>
          <w:color w:val="000000" w:themeColor="text1"/>
          <w:sz w:val="16"/>
          <w:szCs w:val="16"/>
        </w:rPr>
        <w:softHyphen/>
        <w:t>ступить к организа</w:t>
      </w:r>
      <w:r w:rsidRPr="00F90EAE">
        <w:rPr>
          <w:color w:val="000000" w:themeColor="text1"/>
          <w:sz w:val="16"/>
          <w:szCs w:val="16"/>
        </w:rPr>
        <w:softHyphen/>
        <w:t>ции занятий по на</w:t>
      </w:r>
      <w:r w:rsidRPr="00F90EAE">
        <w:rPr>
          <w:color w:val="000000" w:themeColor="text1"/>
          <w:sz w:val="16"/>
          <w:szCs w:val="16"/>
        </w:rPr>
        <w:softHyphen/>
        <w:t>земной подготовке. При этом вся ответ</w:t>
      </w:r>
      <w:r w:rsidRPr="00F90EAE">
        <w:rPr>
          <w:color w:val="000000" w:themeColor="text1"/>
          <w:sz w:val="16"/>
          <w:szCs w:val="16"/>
        </w:rPr>
        <w:softHyphen/>
        <w:t>ственность за прием</w:t>
      </w:r>
      <w:r w:rsidRPr="00F90EAE">
        <w:rPr>
          <w:color w:val="000000" w:themeColor="text1"/>
          <w:sz w:val="16"/>
          <w:szCs w:val="16"/>
        </w:rPr>
        <w:softHyphen/>
        <w:t>ку летного состава, контроль и органи</w:t>
      </w:r>
      <w:r w:rsidRPr="00F90EAE">
        <w:rPr>
          <w:color w:val="000000" w:themeColor="text1"/>
          <w:sz w:val="16"/>
          <w:szCs w:val="16"/>
        </w:rPr>
        <w:softHyphen/>
        <w:t>зацию обучения, как обычно, возлагалась лично на командиров запасных полков.</w:t>
      </w:r>
    </w:p>
    <w:p w14:paraId="3CD429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этого, с целью ускорения темпов переучивания и обеспечения плановых показателей учебно-боевой подготовки приказами по 1-й заб ин</w:t>
      </w:r>
      <w:r w:rsidRPr="00F90EAE">
        <w:rPr>
          <w:color w:val="000000" w:themeColor="text1"/>
          <w:sz w:val="16"/>
          <w:szCs w:val="16"/>
        </w:rPr>
        <w:softHyphen/>
        <w:t>структорский состав запасных авиа</w:t>
      </w:r>
      <w:r w:rsidRPr="00F90EAE">
        <w:rPr>
          <w:color w:val="000000" w:themeColor="text1"/>
          <w:sz w:val="16"/>
          <w:szCs w:val="16"/>
        </w:rPr>
        <w:softHyphen/>
        <w:t>полков обязан был производить по</w:t>
      </w:r>
      <w:r w:rsidRPr="00F90EAE">
        <w:rPr>
          <w:color w:val="000000" w:themeColor="text1"/>
          <w:sz w:val="16"/>
          <w:szCs w:val="16"/>
        </w:rPr>
        <w:softHyphen/>
        <w:t>леты на личную тренировку только на самолете Ил-10. Отделы по боевой под</w:t>
      </w:r>
      <w:r w:rsidRPr="00F90EAE">
        <w:rPr>
          <w:color w:val="000000" w:themeColor="text1"/>
          <w:sz w:val="16"/>
          <w:szCs w:val="16"/>
        </w:rPr>
        <w:softHyphen/>
        <w:t>готовке полков с получением програм</w:t>
      </w:r>
      <w:r w:rsidRPr="00F90EAE">
        <w:rPr>
          <w:color w:val="000000" w:themeColor="text1"/>
          <w:sz w:val="16"/>
          <w:szCs w:val="16"/>
        </w:rPr>
        <w:softHyphen/>
        <w:t>мы наземной подготовки летно-техни-ческого состава на Ил-10 должны были немедленно приступить к составлению преподавательским составом конспек</w:t>
      </w:r>
      <w:r w:rsidRPr="00F90EAE">
        <w:rPr>
          <w:color w:val="000000" w:themeColor="text1"/>
          <w:sz w:val="16"/>
          <w:szCs w:val="16"/>
        </w:rPr>
        <w:softHyphen/>
        <w:t>тов и к 5 января 1945 г. оборудовать классы необходимыми наглядными по</w:t>
      </w:r>
      <w:r w:rsidRPr="00F90EAE">
        <w:rPr>
          <w:color w:val="000000" w:themeColor="text1"/>
          <w:sz w:val="16"/>
          <w:szCs w:val="16"/>
        </w:rPr>
        <w:softHyphen/>
        <w:t>собиями.</w:t>
      </w:r>
    </w:p>
    <w:p w14:paraId="32427E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Согласно программе переучивания на Ил-10 на изучение матчасти и сдачу зачетов отводилось 7 дней для летно</w:t>
      </w:r>
      <w:r w:rsidRPr="00F90EAE">
        <w:rPr>
          <w:color w:val="000000" w:themeColor="text1"/>
          <w:sz w:val="16"/>
          <w:szCs w:val="16"/>
        </w:rPr>
        <w:softHyphen/>
        <w:t>го состава, 12 дней - для технического состава и 4 дня - для воздушных стрел</w:t>
      </w:r>
      <w:r w:rsidRPr="00F90EAE">
        <w:rPr>
          <w:color w:val="000000" w:themeColor="text1"/>
          <w:sz w:val="16"/>
          <w:szCs w:val="16"/>
        </w:rPr>
        <w:softHyphen/>
        <w:t>ков. Затем следовало продолжение изучения матчасти Ил-10 и АМ-42 на серийных авиазаводах и ознакомле</w:t>
      </w:r>
      <w:r w:rsidRPr="00F90EAE">
        <w:rPr>
          <w:color w:val="000000" w:themeColor="text1"/>
          <w:sz w:val="16"/>
          <w:szCs w:val="16"/>
        </w:rPr>
        <w:softHyphen/>
        <w:t>ние с конструктивно-производствен</w:t>
      </w:r>
      <w:r w:rsidRPr="00F90EAE">
        <w:rPr>
          <w:color w:val="000000" w:themeColor="text1"/>
          <w:sz w:val="16"/>
          <w:szCs w:val="16"/>
        </w:rPr>
        <w:softHyphen/>
        <w:t>ными дефектами и эксплуатационны</w:t>
      </w:r>
      <w:r w:rsidRPr="00F90EAE">
        <w:rPr>
          <w:color w:val="000000" w:themeColor="text1"/>
          <w:sz w:val="16"/>
          <w:szCs w:val="16"/>
        </w:rPr>
        <w:softHyphen/>
        <w:t>ми особенностями самолета и мотора. Техническому составу отводилось два дня на изучение мотора АМ-42 на за</w:t>
      </w:r>
      <w:r w:rsidRPr="00F90EAE">
        <w:rPr>
          <w:color w:val="000000" w:themeColor="text1"/>
          <w:sz w:val="16"/>
          <w:szCs w:val="16"/>
        </w:rPr>
        <w:softHyphen/>
        <w:t>воде № 24 и три дня - для изучения конструкции самолета Ил-10 на авиа</w:t>
      </w:r>
      <w:r w:rsidRPr="00F90EAE">
        <w:rPr>
          <w:color w:val="000000" w:themeColor="text1"/>
          <w:sz w:val="16"/>
          <w:szCs w:val="16"/>
        </w:rPr>
        <w:softHyphen/>
        <w:t>заводах №№ 1 и 18. Летному составу предоставлялось три дня для изучения матчасти и только на одном из само</w:t>
      </w:r>
      <w:r w:rsidRPr="00F90EAE">
        <w:rPr>
          <w:color w:val="000000" w:themeColor="text1"/>
          <w:sz w:val="16"/>
          <w:szCs w:val="16"/>
        </w:rPr>
        <w:softHyphen/>
        <w:t>летных заводов.</w:t>
      </w:r>
    </w:p>
    <w:p w14:paraId="3C040E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обучения на 24-м заводе фор</w:t>
      </w:r>
      <w:r w:rsidRPr="00F90EAE">
        <w:rPr>
          <w:color w:val="000000" w:themeColor="text1"/>
          <w:sz w:val="16"/>
          <w:szCs w:val="16"/>
        </w:rPr>
        <w:softHyphen/>
        <w:t>мировалась группа технического со</w:t>
      </w:r>
      <w:r w:rsidRPr="00F90EAE">
        <w:rPr>
          <w:color w:val="000000" w:themeColor="text1"/>
          <w:sz w:val="16"/>
          <w:szCs w:val="16"/>
        </w:rPr>
        <w:softHyphen/>
        <w:t>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02A713F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«Летная» часть программы пере</w:t>
      </w:r>
      <w:r w:rsidRPr="00F90EAE">
        <w:rPr>
          <w:color w:val="000000" w:themeColor="text1"/>
          <w:sz w:val="16"/>
          <w:szCs w:val="16"/>
        </w:rPr>
        <w:softHyphen/>
        <w:t>учивания включала: один полет УИл-2 для проверки техники пилотирования - 30 мин, 8 контрольно-провозных полетов на УИл-2 - 48 мин, 6 самосто</w:t>
      </w:r>
      <w:r w:rsidRPr="00F90EAE">
        <w:rPr>
          <w:color w:val="000000" w:themeColor="text1"/>
          <w:sz w:val="16"/>
          <w:szCs w:val="16"/>
        </w:rPr>
        <w:softHyphen/>
        <w:t>ятельных полетов на Ил-2 (взлет, по</w:t>
      </w:r>
      <w:r w:rsidRPr="00F90EAE">
        <w:rPr>
          <w:color w:val="000000" w:themeColor="text1"/>
          <w:sz w:val="16"/>
          <w:szCs w:val="16"/>
        </w:rPr>
        <w:softHyphen/>
        <w:t>лет по кругу и посадка) - 36 мин, 10 самостоятельных полетов по кругу на Ил-10 - 1 ч, два полета на самостоя</w:t>
      </w:r>
      <w:r w:rsidRPr="00F90EAE">
        <w:rPr>
          <w:color w:val="000000" w:themeColor="text1"/>
          <w:sz w:val="16"/>
          <w:szCs w:val="16"/>
        </w:rPr>
        <w:softHyphen/>
        <w:t>тельное упражнение (максимальный угол набора высоты, виражи с креном 30-60°, боевые развороты, спираль с креном 30°) - 1 ч, один полет на по</w:t>
      </w:r>
      <w:r w:rsidRPr="00F90EAE">
        <w:rPr>
          <w:color w:val="000000" w:themeColor="text1"/>
          <w:sz w:val="16"/>
          <w:szCs w:val="16"/>
        </w:rPr>
        <w:softHyphen/>
        <w:t>лигон для стрельбы и бомбометания по наземной цели - 30 мин, один по</w:t>
      </w:r>
      <w:r w:rsidRPr="00F90EAE">
        <w:rPr>
          <w:color w:val="000000" w:themeColor="text1"/>
          <w:sz w:val="16"/>
          <w:szCs w:val="16"/>
        </w:rPr>
        <w:softHyphen/>
        <w:t>лет по маршруту в составе пары с бом</w:t>
      </w:r>
      <w:r w:rsidRPr="00F90EAE">
        <w:rPr>
          <w:color w:val="000000" w:themeColor="text1"/>
          <w:sz w:val="16"/>
          <w:szCs w:val="16"/>
        </w:rPr>
        <w:softHyphen/>
        <w:t>бометанием и стрельбой на полигоне - 50 мин, один полет на бомбомета</w:t>
      </w:r>
      <w:r w:rsidRPr="00F90EAE">
        <w:rPr>
          <w:color w:val="000000" w:themeColor="text1"/>
          <w:sz w:val="16"/>
          <w:szCs w:val="16"/>
        </w:rPr>
        <w:softHyphen/>
        <w:t>ние и стрельбу в составе звена - 30 мин, два полета по маршруту в соста</w:t>
      </w:r>
      <w:r w:rsidRPr="00F90EAE">
        <w:rPr>
          <w:color w:val="000000" w:themeColor="text1"/>
          <w:sz w:val="16"/>
          <w:szCs w:val="16"/>
        </w:rPr>
        <w:softHyphen/>
        <w:t>ве шестерки с заходом на полигон в боевом порядке «пеленг», после бом</w:t>
      </w:r>
      <w:r w:rsidRPr="00F90EAE">
        <w:rPr>
          <w:color w:val="000000" w:themeColor="text1"/>
          <w:sz w:val="16"/>
          <w:szCs w:val="16"/>
        </w:rPr>
        <w:softHyphen/>
        <w:t>бометания оборонительный круг - 1 ч 40 мин. То есть, программа переучи</w:t>
      </w:r>
      <w:r w:rsidRPr="00F90EAE">
        <w:rPr>
          <w:color w:val="000000" w:themeColor="text1"/>
          <w:sz w:val="16"/>
          <w:szCs w:val="16"/>
        </w:rPr>
        <w:softHyphen/>
        <w:t>вания предусматривала 17 полетов на Ил-10 с налетом 5 ч 30 мин на каждо</w:t>
      </w:r>
      <w:r w:rsidRPr="00F90EAE">
        <w:rPr>
          <w:color w:val="000000" w:themeColor="text1"/>
          <w:sz w:val="16"/>
          <w:szCs w:val="16"/>
        </w:rPr>
        <w:softHyphen/>
        <w:t>го летчика.</w:t>
      </w:r>
    </w:p>
    <w:p w14:paraId="5EB5EE4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это обычно бывает, начальству захотелось быстрее испытать новый самолет в деле. В связи с этим плано</w:t>
      </w:r>
      <w:r w:rsidRPr="00F90EAE">
        <w:rPr>
          <w:color w:val="000000" w:themeColor="text1"/>
          <w:sz w:val="16"/>
          <w:szCs w:val="16"/>
        </w:rPr>
        <w:softHyphen/>
        <w:t>мерная подготовка летного и техничес</w:t>
      </w:r>
      <w:r w:rsidRPr="00F90EAE">
        <w:rPr>
          <w:color w:val="000000" w:themeColor="text1"/>
          <w:sz w:val="16"/>
          <w:szCs w:val="16"/>
        </w:rPr>
        <w:softHyphen/>
        <w:t>кого состава лидерных полков была нарушена. Уже впервых числах янва</w:t>
      </w:r>
      <w:r w:rsidRPr="00F90EAE">
        <w:rPr>
          <w:color w:val="000000" w:themeColor="text1"/>
          <w:sz w:val="16"/>
          <w:szCs w:val="16"/>
        </w:rPr>
        <w:softHyphen/>
        <w:t>ря 1945 г. по личному распоряжению заместителя начальника Управления формирования и комплектования пол</w:t>
      </w:r>
      <w:r w:rsidRPr="00F90EAE">
        <w:rPr>
          <w:color w:val="000000" w:themeColor="text1"/>
          <w:sz w:val="16"/>
          <w:szCs w:val="16"/>
        </w:rPr>
        <w:softHyphen/>
        <w:t>ковника Бронштейна 78-му гшап над</w:t>
      </w:r>
      <w:r w:rsidRPr="00F90EAE">
        <w:rPr>
          <w:color w:val="000000" w:themeColor="text1"/>
          <w:sz w:val="16"/>
          <w:szCs w:val="16"/>
        </w:rPr>
        <w:softHyphen/>
        <w:t>лежало срочно завершить программу переучивания и убыть в действующую армию в состав 2-й гвардейской штур</w:t>
      </w:r>
      <w:r w:rsidRPr="00F90EAE">
        <w:rPr>
          <w:color w:val="000000" w:themeColor="text1"/>
          <w:sz w:val="16"/>
          <w:szCs w:val="16"/>
        </w:rPr>
        <w:softHyphen/>
        <w:t>мовой авиадивизии 16-й ВА.</w:t>
      </w:r>
    </w:p>
    <w:p w14:paraId="0483FE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этому времени летный состав полка успел отработать на Ил-10 толь</w:t>
      </w:r>
      <w:r w:rsidRPr="00F90EAE">
        <w:rPr>
          <w:color w:val="000000" w:themeColor="text1"/>
          <w:sz w:val="16"/>
          <w:szCs w:val="16"/>
        </w:rPr>
        <w:softHyphen/>
        <w:t>ко 10-е, 12-е и 13-е упражнения по программе переучивания с налетом на одного летчика 57 минут (б посадок). На боевое применение никто из лет</w:t>
      </w:r>
      <w:r w:rsidRPr="00F90EAE">
        <w:rPr>
          <w:color w:val="000000" w:themeColor="text1"/>
          <w:sz w:val="16"/>
          <w:szCs w:val="16"/>
        </w:rPr>
        <w:softHyphen/>
        <w:t>чиков не вылетал. Полк срочно попол</w:t>
      </w:r>
      <w:r w:rsidRPr="00F90EAE">
        <w:rPr>
          <w:color w:val="000000" w:themeColor="text1"/>
          <w:sz w:val="16"/>
          <w:szCs w:val="16"/>
        </w:rPr>
        <w:softHyphen/>
        <w:t>нили до штата 20 летчиками, прошед</w:t>
      </w:r>
      <w:r w:rsidRPr="00F90EAE">
        <w:rPr>
          <w:color w:val="000000" w:themeColor="text1"/>
          <w:sz w:val="16"/>
          <w:szCs w:val="16"/>
        </w:rPr>
        <w:softHyphen/>
        <w:t>шими 1-й и 2-й разделы курса боевой подготовки штурмовой авиации 1944 г., 20 самолетами Ил-2 и 15 самолета</w:t>
      </w:r>
      <w:r w:rsidRPr="00F90EAE">
        <w:rPr>
          <w:color w:val="000000" w:themeColor="text1"/>
          <w:sz w:val="16"/>
          <w:szCs w:val="16"/>
        </w:rPr>
        <w:softHyphen/>
        <w:t>ми Ил-10. 10 января 1945 г. переучи</w:t>
      </w:r>
      <w:r w:rsidRPr="00F90EAE">
        <w:rPr>
          <w:color w:val="000000" w:themeColor="text1"/>
          <w:sz w:val="16"/>
          <w:szCs w:val="16"/>
        </w:rPr>
        <w:softHyphen/>
        <w:t>вание полка на новую матчасть офи</w:t>
      </w:r>
      <w:r w:rsidRPr="00F90EAE">
        <w:rPr>
          <w:color w:val="000000" w:themeColor="text1"/>
          <w:sz w:val="16"/>
          <w:szCs w:val="16"/>
        </w:rPr>
        <w:softHyphen/>
        <w:t>циально закончилось, и уже через два дня полк был признан готовым к пере</w:t>
      </w:r>
      <w:r w:rsidRPr="00F90EAE">
        <w:rPr>
          <w:color w:val="000000" w:themeColor="text1"/>
          <w:sz w:val="16"/>
          <w:szCs w:val="16"/>
        </w:rPr>
        <w:softHyphen/>
        <w:t>лету на фронт. Акт подписали коман</w:t>
      </w:r>
      <w:r w:rsidRPr="00F90EAE">
        <w:rPr>
          <w:color w:val="000000" w:themeColor="text1"/>
          <w:sz w:val="16"/>
          <w:szCs w:val="16"/>
        </w:rPr>
        <w:softHyphen/>
        <w:t>дир 12-го зап п-п-к Горошко, началь</w:t>
      </w:r>
      <w:r w:rsidRPr="00F90EAE">
        <w:rPr>
          <w:color w:val="000000" w:themeColor="text1"/>
          <w:sz w:val="16"/>
          <w:szCs w:val="16"/>
        </w:rPr>
        <w:softHyphen/>
        <w:t xml:space="preserve">ник штаба 12-го зап п-к Теплое, </w:t>
      </w:r>
      <w:r w:rsidRPr="00F90EAE">
        <w:rPr>
          <w:color w:val="000000" w:themeColor="text1"/>
          <w:sz w:val="16"/>
          <w:szCs w:val="16"/>
        </w:rPr>
        <w:lastRenderedPageBreak/>
        <w:t>ко</w:t>
      </w:r>
      <w:r w:rsidRPr="00F90EAE">
        <w:rPr>
          <w:color w:val="000000" w:themeColor="text1"/>
          <w:sz w:val="16"/>
          <w:szCs w:val="16"/>
        </w:rPr>
        <w:softHyphen/>
        <w:t>мандир 78-го гшап м-р Варило, началь</w:t>
      </w:r>
      <w:r w:rsidRPr="00F90EAE">
        <w:rPr>
          <w:color w:val="000000" w:themeColor="text1"/>
          <w:sz w:val="16"/>
          <w:szCs w:val="16"/>
        </w:rPr>
        <w:softHyphen/>
        <w:t>ник штаба 78-го гшап к-н Семенов и командир 3-й эскадрильи 12-го зап ст. л-т Вавилов. Отбытие назначили на 12 января. Однако долго не было годных к перелету самолетов Ил-10. К тому же полк решили доукомплектовать «десят</w:t>
      </w:r>
      <w:r w:rsidRPr="00F90EAE">
        <w:rPr>
          <w:color w:val="000000" w:themeColor="text1"/>
          <w:sz w:val="16"/>
          <w:szCs w:val="16"/>
        </w:rPr>
        <w:softHyphen/>
        <w:t>ками» до штатного состава. Затем жда</w:t>
      </w:r>
      <w:r w:rsidRPr="00F90EAE">
        <w:rPr>
          <w:color w:val="000000" w:themeColor="text1"/>
          <w:sz w:val="16"/>
          <w:szCs w:val="16"/>
        </w:rPr>
        <w:softHyphen/>
        <w:t>ли погоду. Только 21 января первый эшелон полка в составе 20 Ил-2 и 11 Ил-10 смог вылететь к месту назначе</w:t>
      </w:r>
      <w:r w:rsidRPr="00F90EAE">
        <w:rPr>
          <w:color w:val="000000" w:themeColor="text1"/>
          <w:sz w:val="16"/>
          <w:szCs w:val="16"/>
        </w:rPr>
        <w:softHyphen/>
        <w:t>ния. Второй летный эшелон в составе 10 экипажей на Ил-10 вылетел на сле</w:t>
      </w:r>
      <w:r w:rsidRPr="00F90EAE">
        <w:rPr>
          <w:color w:val="000000" w:themeColor="text1"/>
          <w:sz w:val="16"/>
          <w:szCs w:val="16"/>
        </w:rPr>
        <w:softHyphen/>
        <w:t>дующий день.</w:t>
      </w:r>
    </w:p>
    <w:p w14:paraId="56CE29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Фактически 78-й гшап был не го</w:t>
      </w:r>
      <w:r w:rsidRPr="00F90EAE">
        <w:rPr>
          <w:color w:val="000000" w:themeColor="text1"/>
          <w:sz w:val="16"/>
          <w:szCs w:val="16"/>
        </w:rPr>
        <w:softHyphen/>
        <w:t>тов к боевым действиям на новом штур</w:t>
      </w:r>
      <w:r w:rsidRPr="00F90EAE">
        <w:rPr>
          <w:color w:val="000000" w:themeColor="text1"/>
          <w:sz w:val="16"/>
          <w:szCs w:val="16"/>
        </w:rPr>
        <w:softHyphen/>
        <w:t>мовике Ил-10. В тоже время летный состав, прибывший в Куйбышев на пе</w:t>
      </w:r>
      <w:r w:rsidRPr="00F90EAE">
        <w:rPr>
          <w:color w:val="000000" w:themeColor="text1"/>
          <w:sz w:val="16"/>
          <w:szCs w:val="16"/>
        </w:rPr>
        <w:softHyphen/>
        <w:t>реучивание, имел солидный боевой опыт. Боевой налет на самолете Ил-2 на одного летчика в среднем состав</w:t>
      </w:r>
      <w:r w:rsidRPr="00F90EAE">
        <w:rPr>
          <w:color w:val="000000" w:themeColor="text1"/>
          <w:sz w:val="16"/>
          <w:szCs w:val="16"/>
        </w:rPr>
        <w:softHyphen/>
        <w:t>лял 78 боевых вылетов. Налет молоде</w:t>
      </w:r>
      <w:r w:rsidRPr="00F90EAE">
        <w:rPr>
          <w:color w:val="000000" w:themeColor="text1"/>
          <w:sz w:val="16"/>
          <w:szCs w:val="16"/>
        </w:rPr>
        <w:softHyphen/>
        <w:t>жи, прибывшей на пополнение, со</w:t>
      </w:r>
      <w:r w:rsidRPr="00F90EAE">
        <w:rPr>
          <w:color w:val="000000" w:themeColor="text1"/>
          <w:sz w:val="16"/>
          <w:szCs w:val="16"/>
        </w:rPr>
        <w:softHyphen/>
        <w:t>ставлял 23 ч 49 мин (61 посадка), в том числе 13 ч (41 посадка) на боевое при</w:t>
      </w:r>
      <w:r w:rsidRPr="00F90EAE">
        <w:rPr>
          <w:color w:val="000000" w:themeColor="text1"/>
          <w:sz w:val="16"/>
          <w:szCs w:val="16"/>
        </w:rPr>
        <w:softHyphen/>
        <w:t>менение. Неплохую подготовку имели молодые летчики в «слепом» полете -в среднем по 10 ч (20 посадок) каж</w:t>
      </w:r>
      <w:r w:rsidRPr="00F90EAE">
        <w:rPr>
          <w:color w:val="000000" w:themeColor="text1"/>
          <w:sz w:val="16"/>
          <w:szCs w:val="16"/>
        </w:rPr>
        <w:softHyphen/>
        <w:t>дый. Из числа «старых» летчиков 9 име</w:t>
      </w:r>
      <w:r w:rsidRPr="00F90EAE">
        <w:rPr>
          <w:color w:val="000000" w:themeColor="text1"/>
          <w:sz w:val="16"/>
          <w:szCs w:val="16"/>
        </w:rPr>
        <w:softHyphen/>
        <w:t xml:space="preserve">ли </w:t>
      </w:r>
      <w:r w:rsidRPr="00F90EAE">
        <w:rPr>
          <w:iCs/>
          <w:color w:val="000000" w:themeColor="text1"/>
          <w:sz w:val="16"/>
          <w:szCs w:val="16"/>
        </w:rPr>
        <w:t xml:space="preserve">в </w:t>
      </w:r>
      <w:r w:rsidRPr="00F90EAE">
        <w:rPr>
          <w:color w:val="000000" w:themeColor="text1"/>
          <w:sz w:val="16"/>
          <w:szCs w:val="16"/>
        </w:rPr>
        <w:t xml:space="preserve">своем активе свыше 100 боевых самолето-вылетов, </w:t>
      </w:r>
      <w:r w:rsidRPr="00F90EAE">
        <w:rPr>
          <w:iCs/>
          <w:color w:val="000000" w:themeColor="text1"/>
          <w:sz w:val="16"/>
          <w:szCs w:val="16"/>
        </w:rPr>
        <w:t xml:space="preserve">В </w:t>
      </w:r>
      <w:r w:rsidRPr="00F90EAE">
        <w:rPr>
          <w:color w:val="000000" w:themeColor="text1"/>
          <w:sz w:val="16"/>
          <w:szCs w:val="16"/>
        </w:rPr>
        <w:t>пилотов - от 50 до 100 вылетов, три пилота - менее 50 вылетов и только один летчик - не имел боевых вылетов, но его налет на Ил-2 составлял 892 ч. (11131).</w:t>
      </w:r>
    </w:p>
    <w:p w14:paraId="3E1F1B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A761CDB" w14:textId="77777777" w:rsidR="008C5307" w:rsidRPr="00F90EAE" w:rsidRDefault="008C5307" w:rsidP="00F90EAE">
      <w:pPr>
        <w:jc w:val="both"/>
        <w:rPr>
          <w:color w:val="000000" w:themeColor="text1"/>
          <w:sz w:val="16"/>
          <w:szCs w:val="16"/>
        </w:rPr>
      </w:pPr>
      <w:r w:rsidRPr="00F90EAE">
        <w:rPr>
          <w:color w:val="000000" w:themeColor="text1"/>
          <w:sz w:val="16"/>
          <w:szCs w:val="16"/>
        </w:rPr>
        <w:t>В январе 1945 г. выявилась недостаточная прочность отдельных агрегатов штурмовика Ил-10. При статиспытаниях в ЦАГИ произошло разрушение центроплана самолета при 97% от расчетной нагрузки, а при нагрузке 99% от расчетной обнаружилась потеря устойчивости рам хвостовой части фюзеляжа. Очевидно, этот дефект был связан с «истребительным» прошлым Ил-10. При переделке истребителя Ил-1 в штурмовик вес самолета увеличился и, кроме этого, в центроплане сделали вырезы под бомболюки. В результате прочность крыла снизилась. 31 января 1945 г. вышло заключение ЦАГИ о том, что в строевые части ушло свыше трех сотен самолетов Ил-10, имевших недостаточную прочность конструкции. ОКБ в авральном порядке занялось разработкой комплекса мероприятий по усилению конструкции самолета. В начале марта 1945 г. С. В. Ильюшин гарантировал выпуск Ил-10 с усиленной конструкцией, начиная с первого самолета 7-й серии (19727).</w:t>
      </w:r>
    </w:p>
    <w:p w14:paraId="303DE94F" w14:textId="77777777" w:rsidR="008C5307" w:rsidRPr="00F90EAE" w:rsidRDefault="008C5307" w:rsidP="00F90EAE">
      <w:pPr>
        <w:jc w:val="both"/>
        <w:rPr>
          <w:color w:val="000000" w:themeColor="text1"/>
          <w:sz w:val="16"/>
          <w:szCs w:val="16"/>
        </w:rPr>
      </w:pPr>
    </w:p>
    <w:p w14:paraId="522C36D1" w14:textId="77777777" w:rsidR="008C5307" w:rsidRPr="00F90EAE" w:rsidRDefault="008C5307" w:rsidP="00F90EAE">
      <w:pPr>
        <w:jc w:val="both"/>
        <w:textAlignment w:val="top"/>
        <w:rPr>
          <w:color w:val="000000" w:themeColor="text1"/>
          <w:sz w:val="16"/>
          <w:szCs w:val="16"/>
        </w:rPr>
      </w:pPr>
      <w:r w:rsidRPr="00F90EAE">
        <w:rPr>
          <w:color w:val="000000" w:themeColor="text1"/>
          <w:sz w:val="16"/>
          <w:szCs w:val="16"/>
        </w:rPr>
        <w:t>В январе 1945 вышел приказ НКАП</w:t>
      </w:r>
    </w:p>
    <w:p w14:paraId="053FD5D5" w14:textId="77777777" w:rsidR="008C5307" w:rsidRPr="00F90EAE" w:rsidRDefault="008C5307" w:rsidP="00F90EAE">
      <w:pPr>
        <w:jc w:val="both"/>
        <w:textAlignment w:val="top"/>
        <w:rPr>
          <w:color w:val="000000" w:themeColor="text1"/>
          <w:sz w:val="16"/>
          <w:szCs w:val="16"/>
        </w:rPr>
      </w:pPr>
      <w:r w:rsidRPr="00F90EAE">
        <w:rPr>
          <w:color w:val="000000" w:themeColor="text1"/>
          <w:sz w:val="16"/>
          <w:szCs w:val="16"/>
        </w:rPr>
        <w:t>О выпуске Ил-10 с пушкой Березина 20 мм в кабине стрелка. В 02.45 - 30 самолетов, в 03.45 - 75 самолетов, в 04.45 - полностью перейти. </w:t>
      </w:r>
    </w:p>
    <w:p w14:paraId="7CFB010D" w14:textId="77777777" w:rsidR="008C5307" w:rsidRPr="00F90EAE" w:rsidRDefault="008C5307" w:rsidP="00F90EAE">
      <w:pPr>
        <w:jc w:val="both"/>
        <w:textAlignment w:val="top"/>
        <w:rPr>
          <w:color w:val="000000" w:themeColor="text1"/>
          <w:sz w:val="16"/>
          <w:szCs w:val="16"/>
        </w:rPr>
      </w:pPr>
    </w:p>
    <w:p w14:paraId="6772F4B4" w14:textId="77777777" w:rsidR="00F1364C" w:rsidRPr="00F90EAE" w:rsidRDefault="00F1364C" w:rsidP="00F90EAE">
      <w:pPr>
        <w:jc w:val="both"/>
        <w:rPr>
          <w:color w:val="0070C0"/>
          <w:sz w:val="16"/>
          <w:szCs w:val="16"/>
        </w:rPr>
      </w:pPr>
      <w:r w:rsidRPr="00F90EAE">
        <w:rPr>
          <w:color w:val="0070C0"/>
          <w:sz w:val="16"/>
          <w:szCs w:val="16"/>
        </w:rPr>
        <w:t>январь 1945 г.</w:t>
      </w:r>
    </w:p>
    <w:p w14:paraId="402288B1" w14:textId="77777777" w:rsidR="00F1364C" w:rsidRPr="00F90EAE" w:rsidRDefault="00F1364C" w:rsidP="00F90EAE">
      <w:pPr>
        <w:jc w:val="both"/>
        <w:rPr>
          <w:color w:val="0070C0"/>
          <w:sz w:val="16"/>
          <w:szCs w:val="16"/>
        </w:rPr>
      </w:pPr>
      <w:r w:rsidRPr="00F90EAE">
        <w:rPr>
          <w:color w:val="0070C0"/>
          <w:sz w:val="16"/>
          <w:szCs w:val="16"/>
        </w:rPr>
        <w:t>Из отчетного доклада директора завода № 18 о роли рационализаторов на производстве</w:t>
      </w:r>
    </w:p>
    <w:p w14:paraId="07E2B45D" w14:textId="77777777" w:rsidR="00F1364C" w:rsidRPr="00F90EAE" w:rsidRDefault="00F1364C" w:rsidP="00F90EAE">
      <w:pPr>
        <w:jc w:val="both"/>
        <w:rPr>
          <w:color w:val="0070C0"/>
          <w:sz w:val="16"/>
          <w:szCs w:val="16"/>
        </w:rPr>
      </w:pPr>
      <w:r w:rsidRPr="00F90EAE">
        <w:rPr>
          <w:color w:val="0070C0"/>
          <w:sz w:val="16"/>
          <w:szCs w:val="16"/>
        </w:rPr>
        <w:t>январь 1945 г.</w:t>
      </w:r>
    </w:p>
    <w:p w14:paraId="1F2E00E5" w14:textId="77777777" w:rsidR="00F1364C" w:rsidRPr="00F90EAE" w:rsidRDefault="00F1364C" w:rsidP="00F90EAE">
      <w:pPr>
        <w:jc w:val="both"/>
        <w:rPr>
          <w:color w:val="0070C0"/>
          <w:sz w:val="16"/>
          <w:szCs w:val="16"/>
        </w:rPr>
      </w:pPr>
      <w:r w:rsidRPr="00F90EAE">
        <w:rPr>
          <w:color w:val="0070C0"/>
          <w:sz w:val="16"/>
          <w:szCs w:val="16"/>
        </w:rPr>
        <w:t>Сов. секретно</w:t>
      </w:r>
    </w:p>
    <w:p w14:paraId="42E51201" w14:textId="77777777" w:rsidR="00F1364C" w:rsidRPr="00F90EAE" w:rsidRDefault="00F1364C" w:rsidP="00F90EAE">
      <w:pPr>
        <w:jc w:val="both"/>
        <w:rPr>
          <w:color w:val="0070C0"/>
          <w:sz w:val="16"/>
          <w:szCs w:val="16"/>
        </w:rPr>
      </w:pPr>
      <w:r w:rsidRPr="00F90EAE">
        <w:rPr>
          <w:color w:val="0070C0"/>
          <w:sz w:val="16"/>
          <w:szCs w:val="16"/>
        </w:rPr>
        <w:t>Результаты рационализаторской работы в отчетном году были более эффективны. Принятые и внедренные рационализаторские предложения и усовершенствования дали снижение норм рабочего времени на машину в количестве 503,3 часа против 404 часов в 1943 году, или больше на 24%. Но не только снижение норм рабочего времени дали заводу рационализаторы. Снижение расхода материала, замена остродефицитных недефицитными, упрощение и улучшение технологии производства, усовершенствование линий потока и т.п. - частые темы рационализаторских предложений и усовершенствований.</w:t>
      </w:r>
    </w:p>
    <w:p w14:paraId="68F08EC5" w14:textId="77777777" w:rsidR="00F1364C" w:rsidRPr="00F90EAE" w:rsidRDefault="00F1364C" w:rsidP="00F90EAE">
      <w:pPr>
        <w:jc w:val="both"/>
        <w:rPr>
          <w:color w:val="0070C0"/>
          <w:sz w:val="16"/>
          <w:szCs w:val="16"/>
        </w:rPr>
      </w:pPr>
      <w:r w:rsidRPr="00F90EAE">
        <w:rPr>
          <w:color w:val="0070C0"/>
          <w:sz w:val="16"/>
          <w:szCs w:val="16"/>
        </w:rPr>
        <w:t>Намеченный на 1944 год общий план получения условий экономии в 3500 тысяч рублей фактически оказался перевыполненным.Фактически полученная за год условная экономия составила 3850,1 тыс. руб., или 110% к плану...</w:t>
      </w:r>
    </w:p>
    <w:p w14:paraId="6FA216AC" w14:textId="77777777" w:rsidR="00F1364C" w:rsidRPr="00F90EAE" w:rsidRDefault="00F1364C"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xml:space="preserve">. P-3454. On. 1. </w:t>
      </w:r>
      <w:r w:rsidRPr="00F90EAE">
        <w:rPr>
          <w:color w:val="0070C0"/>
          <w:sz w:val="16"/>
          <w:szCs w:val="16"/>
        </w:rPr>
        <w:t>Д</w:t>
      </w:r>
      <w:r w:rsidRPr="00F90EAE">
        <w:rPr>
          <w:color w:val="0070C0"/>
          <w:sz w:val="16"/>
          <w:szCs w:val="16"/>
          <w:lang w:val="en-US"/>
        </w:rPr>
        <w:t xml:space="preserve">. 43. </w:t>
      </w:r>
      <w:r w:rsidRPr="00F90EAE">
        <w:rPr>
          <w:color w:val="0070C0"/>
          <w:sz w:val="16"/>
          <w:szCs w:val="16"/>
        </w:rPr>
        <w:t>Л</w:t>
      </w:r>
      <w:r w:rsidRPr="00F90EAE">
        <w:rPr>
          <w:color w:val="0070C0"/>
          <w:sz w:val="16"/>
          <w:szCs w:val="16"/>
          <w:lang w:val="en-US"/>
        </w:rPr>
        <w:t xml:space="preserve">. 38-39. </w:t>
      </w:r>
      <w:r w:rsidRPr="00F90EAE">
        <w:rPr>
          <w:color w:val="0070C0"/>
          <w:sz w:val="16"/>
          <w:szCs w:val="16"/>
        </w:rPr>
        <w:t>Подлинник (20517).</w:t>
      </w:r>
    </w:p>
    <w:p w14:paraId="384CAF09" w14:textId="77777777" w:rsidR="00F1364C" w:rsidRPr="00F90EAE" w:rsidRDefault="00F1364C" w:rsidP="00F90EAE">
      <w:pPr>
        <w:jc w:val="both"/>
        <w:rPr>
          <w:color w:val="0070C0"/>
          <w:sz w:val="16"/>
          <w:szCs w:val="16"/>
        </w:rPr>
      </w:pPr>
    </w:p>
    <w:p w14:paraId="70E3AB22" w14:textId="77777777" w:rsidR="00F1364C" w:rsidRPr="00F90EAE" w:rsidRDefault="00F1364C" w:rsidP="00F90EAE">
      <w:pPr>
        <w:jc w:val="both"/>
        <w:rPr>
          <w:color w:val="0070C0"/>
          <w:sz w:val="16"/>
          <w:szCs w:val="16"/>
        </w:rPr>
      </w:pPr>
      <w:r w:rsidRPr="00F90EAE">
        <w:rPr>
          <w:color w:val="0070C0"/>
          <w:sz w:val="16"/>
          <w:szCs w:val="16"/>
        </w:rPr>
        <w:t>январь 1945 г.</w:t>
      </w:r>
    </w:p>
    <w:p w14:paraId="69292066" w14:textId="77777777" w:rsidR="00F1364C" w:rsidRPr="00F90EAE" w:rsidRDefault="00F1364C" w:rsidP="00F90EAE">
      <w:pPr>
        <w:jc w:val="both"/>
        <w:rPr>
          <w:color w:val="0070C0"/>
          <w:sz w:val="16"/>
          <w:szCs w:val="16"/>
        </w:rPr>
      </w:pPr>
      <w:r w:rsidRPr="00F90EAE">
        <w:rPr>
          <w:color w:val="0070C0"/>
          <w:sz w:val="16"/>
          <w:szCs w:val="16"/>
        </w:rPr>
        <w:t>Из отчетного доклада директора завода № 18</w:t>
      </w:r>
    </w:p>
    <w:p w14:paraId="69CCDC5E" w14:textId="77777777" w:rsidR="00F1364C" w:rsidRPr="00F90EAE" w:rsidRDefault="00F1364C" w:rsidP="00F90EAE">
      <w:pPr>
        <w:jc w:val="both"/>
        <w:rPr>
          <w:color w:val="0070C0"/>
          <w:sz w:val="16"/>
          <w:szCs w:val="16"/>
        </w:rPr>
      </w:pPr>
      <w:r w:rsidRPr="00F90EAE">
        <w:rPr>
          <w:color w:val="0070C0"/>
          <w:sz w:val="16"/>
          <w:szCs w:val="16"/>
        </w:rPr>
        <w:t>об улучшении конструкции машин, модернизации</w:t>
      </w:r>
    </w:p>
    <w:p w14:paraId="732EF0E4" w14:textId="77777777" w:rsidR="00F1364C" w:rsidRPr="00F90EAE" w:rsidRDefault="00F1364C" w:rsidP="00F90EAE">
      <w:pPr>
        <w:jc w:val="both"/>
        <w:rPr>
          <w:color w:val="0070C0"/>
          <w:sz w:val="16"/>
          <w:szCs w:val="16"/>
        </w:rPr>
      </w:pPr>
      <w:r w:rsidRPr="00F90EAE">
        <w:rPr>
          <w:color w:val="0070C0"/>
          <w:sz w:val="16"/>
          <w:szCs w:val="16"/>
        </w:rPr>
        <w:t>и опытных работах в 1944 году</w:t>
      </w:r>
    </w:p>
    <w:p w14:paraId="6ADC467F" w14:textId="77777777" w:rsidR="00F1364C" w:rsidRPr="00F90EAE" w:rsidRDefault="00F1364C" w:rsidP="00F90EAE">
      <w:pPr>
        <w:jc w:val="both"/>
        <w:rPr>
          <w:color w:val="0070C0"/>
          <w:sz w:val="16"/>
          <w:szCs w:val="16"/>
        </w:rPr>
      </w:pPr>
      <w:r w:rsidRPr="00F90EAE">
        <w:rPr>
          <w:color w:val="0070C0"/>
          <w:sz w:val="16"/>
          <w:szCs w:val="16"/>
        </w:rPr>
        <w:t>январь 1945 г.</w:t>
      </w:r>
    </w:p>
    <w:p w14:paraId="1F897717" w14:textId="77777777" w:rsidR="00F1364C" w:rsidRPr="00F90EAE" w:rsidRDefault="00F1364C" w:rsidP="00F90EAE">
      <w:pPr>
        <w:jc w:val="both"/>
        <w:rPr>
          <w:color w:val="0070C0"/>
          <w:sz w:val="16"/>
          <w:szCs w:val="16"/>
        </w:rPr>
      </w:pPr>
      <w:r w:rsidRPr="00F90EAE">
        <w:rPr>
          <w:color w:val="0070C0"/>
          <w:sz w:val="16"/>
          <w:szCs w:val="16"/>
        </w:rPr>
        <w:t>Сов. секретно</w:t>
      </w:r>
    </w:p>
    <w:p w14:paraId="77AA780E" w14:textId="77777777" w:rsidR="00F1364C" w:rsidRPr="00F90EAE" w:rsidRDefault="00F1364C" w:rsidP="00F90EAE">
      <w:pPr>
        <w:jc w:val="both"/>
        <w:rPr>
          <w:color w:val="0070C0"/>
          <w:sz w:val="16"/>
          <w:szCs w:val="16"/>
        </w:rPr>
      </w:pPr>
      <w:r w:rsidRPr="00F90EAE">
        <w:rPr>
          <w:color w:val="0070C0"/>
          <w:sz w:val="16"/>
          <w:szCs w:val="16"/>
        </w:rPr>
        <w:t>Помимо оперативного разрешения возникавших в процессе производства вопросов по конструкции серийного самолета, коллектив конструкторов завода за год провел много конструктивных изменений по самолету ИЛ-2, в том числе ряд достаточно серьезных по содержанию.</w:t>
      </w:r>
    </w:p>
    <w:p w14:paraId="61CCB4F5" w14:textId="77777777" w:rsidR="00F1364C" w:rsidRPr="00F90EAE" w:rsidRDefault="00F1364C" w:rsidP="00F90EAE">
      <w:pPr>
        <w:jc w:val="both"/>
        <w:rPr>
          <w:color w:val="0070C0"/>
          <w:sz w:val="16"/>
          <w:szCs w:val="16"/>
        </w:rPr>
      </w:pPr>
      <w:r w:rsidRPr="00F90EAE">
        <w:rPr>
          <w:color w:val="0070C0"/>
          <w:sz w:val="16"/>
          <w:szCs w:val="16"/>
        </w:rPr>
        <w:t>Особенно напряженной была работа конструкторов в период запуска, увязки и отработки на производстве чертежей нового самолета ИЛ-10.</w:t>
      </w:r>
    </w:p>
    <w:p w14:paraId="05470F39" w14:textId="77777777" w:rsidR="00F1364C" w:rsidRPr="00F90EAE" w:rsidRDefault="00F1364C" w:rsidP="00F90EAE">
      <w:pPr>
        <w:jc w:val="both"/>
        <w:rPr>
          <w:color w:val="0070C0"/>
          <w:sz w:val="16"/>
          <w:szCs w:val="16"/>
        </w:rPr>
      </w:pPr>
      <w:r w:rsidRPr="00F90EAE">
        <w:rPr>
          <w:color w:val="0070C0"/>
          <w:sz w:val="16"/>
          <w:szCs w:val="16"/>
        </w:rPr>
        <w:t>Правильному решению отдельных сложных вопросов по конструкции машин во многом помогала своей работой заводская лаборатория стат-испытаний.</w:t>
      </w:r>
    </w:p>
    <w:p w14:paraId="121FA69F" w14:textId="77777777" w:rsidR="00F1364C" w:rsidRPr="00F90EAE" w:rsidRDefault="00F1364C" w:rsidP="00F90EAE">
      <w:pPr>
        <w:jc w:val="both"/>
        <w:rPr>
          <w:color w:val="0070C0"/>
          <w:sz w:val="16"/>
          <w:szCs w:val="16"/>
        </w:rPr>
      </w:pPr>
      <w:r w:rsidRPr="00F90EAE">
        <w:rPr>
          <w:color w:val="0070C0"/>
          <w:sz w:val="16"/>
          <w:szCs w:val="16"/>
        </w:rPr>
        <w:t>Конструктивные изменения самолета ИЛ-2</w:t>
      </w:r>
    </w:p>
    <w:p w14:paraId="6347DBFB" w14:textId="77777777" w:rsidR="00F1364C" w:rsidRPr="00F90EAE" w:rsidRDefault="00F1364C" w:rsidP="00F90EAE">
      <w:pPr>
        <w:jc w:val="both"/>
        <w:rPr>
          <w:color w:val="0070C0"/>
          <w:sz w:val="16"/>
          <w:szCs w:val="16"/>
        </w:rPr>
      </w:pPr>
      <w:r w:rsidRPr="00F90EAE">
        <w:rPr>
          <w:color w:val="0070C0"/>
          <w:sz w:val="16"/>
          <w:szCs w:val="16"/>
        </w:rPr>
        <w:t>Необходимость дальнейшего улучшения эксплуатационных данных самолета ИЛ-2 вызвала очень серьезное изменение его конструкции.</w:t>
      </w:r>
    </w:p>
    <w:p w14:paraId="56CF0B31" w14:textId="77777777" w:rsidR="00F1364C" w:rsidRPr="00F90EAE" w:rsidRDefault="00F1364C" w:rsidP="00F90EAE">
      <w:pPr>
        <w:jc w:val="both"/>
        <w:rPr>
          <w:color w:val="0070C0"/>
          <w:sz w:val="16"/>
          <w:szCs w:val="16"/>
        </w:rPr>
      </w:pPr>
      <w:r w:rsidRPr="00F90EAE">
        <w:rPr>
          <w:color w:val="0070C0"/>
          <w:sz w:val="16"/>
          <w:szCs w:val="16"/>
        </w:rPr>
        <w:t>Перед заводом была поставлена задача в короткий срок модернизировать крыло, освоить его в производстве и, не снижая темпов выпуска машин, давать на вооружение Красной Армии самолеты ИЛ-2 измененной конструкции, улучшенного качества.</w:t>
      </w:r>
    </w:p>
    <w:p w14:paraId="5FED3CED" w14:textId="77777777" w:rsidR="00F1364C" w:rsidRPr="00F90EAE" w:rsidRDefault="00F1364C" w:rsidP="00F90EAE">
      <w:pPr>
        <w:jc w:val="both"/>
        <w:rPr>
          <w:color w:val="0070C0"/>
          <w:sz w:val="16"/>
          <w:szCs w:val="16"/>
        </w:rPr>
      </w:pPr>
      <w:r w:rsidRPr="00F90EAE">
        <w:rPr>
          <w:color w:val="0070C0"/>
          <w:sz w:val="16"/>
          <w:szCs w:val="16"/>
        </w:rPr>
        <w:t xml:space="preserve">Изменение конструкции самолета ИЛ-2 заключалось в ведении крыла со стрелкой в плане. Стрельчатое крыло по технологии изготовления его мало отличается от старого, но все же оно увеличило трудоемкость машины, потребовало несколько увеличенного расхода материала. </w:t>
      </w:r>
    </w:p>
    <w:p w14:paraId="2B47400B" w14:textId="77777777" w:rsidR="00F1364C" w:rsidRPr="00F90EAE" w:rsidRDefault="00F1364C" w:rsidP="00F90EAE">
      <w:pPr>
        <w:jc w:val="both"/>
        <w:rPr>
          <w:color w:val="0070C0"/>
          <w:sz w:val="16"/>
          <w:szCs w:val="16"/>
        </w:rPr>
      </w:pPr>
      <w:r w:rsidRPr="00F90EAE">
        <w:rPr>
          <w:color w:val="0070C0"/>
          <w:sz w:val="16"/>
          <w:szCs w:val="16"/>
        </w:rPr>
        <w:t>Независимо от этого, введение нового крыла относится к крупным конструктивным изменениям. Внедрение в серийное производство нового крыла заняло достаточно длительное время. В связи с тем, что угол наклона нового крыла в плане увеличен, потребовалось заменить всю старую специальную оснастку по крылу на новую в агрегато-крыльевых, механических и заготовительных цехах.</w:t>
      </w:r>
    </w:p>
    <w:p w14:paraId="6770A7B5" w14:textId="77777777" w:rsidR="00F1364C" w:rsidRPr="00F90EAE" w:rsidRDefault="00F1364C" w:rsidP="00F90EAE">
      <w:pPr>
        <w:jc w:val="both"/>
        <w:rPr>
          <w:color w:val="0070C0"/>
          <w:sz w:val="16"/>
          <w:szCs w:val="16"/>
        </w:rPr>
      </w:pPr>
      <w:r w:rsidRPr="00F90EAE">
        <w:rPr>
          <w:color w:val="0070C0"/>
          <w:sz w:val="16"/>
          <w:szCs w:val="16"/>
        </w:rPr>
        <w:t>Текущие конструктивные изменения самолета ИЛ-2 проводились, главным образом, по извещениям Главного конструктора т. Ильюшина С.В., частично по приказам НКАП, по требованию заказчика, по инициативе завода. Так, за год по извещениям гл. конструктора по самолету ИЛ-2 было проведено 45 изменений, по приказам НКАП 6 изменений, по требованию заказчика 7 изменений и по инициативе завода 6 изменений. Всего, таким образом, было проведено за год 64 конструктивных изменения.</w:t>
      </w:r>
    </w:p>
    <w:p w14:paraId="67DEB00E" w14:textId="77777777" w:rsidR="00F1364C" w:rsidRPr="00F90EAE" w:rsidRDefault="00F1364C" w:rsidP="00F90EAE">
      <w:pPr>
        <w:jc w:val="both"/>
        <w:rPr>
          <w:color w:val="0070C0"/>
          <w:sz w:val="16"/>
          <w:szCs w:val="16"/>
        </w:rPr>
      </w:pPr>
      <w:r w:rsidRPr="00F90EAE">
        <w:rPr>
          <w:color w:val="0070C0"/>
          <w:sz w:val="16"/>
          <w:szCs w:val="16"/>
        </w:rPr>
        <w:t>По группам самолета проведенные конструктивные изменения разделяются так: по группе оборудования - 18, по винтомоторной группе - 8, по группе шасси и управления - 8, по фюзеляжу и оперению - 12, по группе вооружения - 8, по группе крыла и центроплана -10 изменений.</w:t>
      </w:r>
    </w:p>
    <w:p w14:paraId="6514F91A" w14:textId="77777777" w:rsidR="00F1364C" w:rsidRPr="00F90EAE" w:rsidRDefault="00F1364C" w:rsidP="00F90EAE">
      <w:pPr>
        <w:jc w:val="both"/>
        <w:rPr>
          <w:color w:val="0070C0"/>
          <w:sz w:val="16"/>
          <w:szCs w:val="16"/>
        </w:rPr>
      </w:pPr>
      <w:r w:rsidRPr="00F90EAE">
        <w:rPr>
          <w:color w:val="0070C0"/>
          <w:sz w:val="16"/>
          <w:szCs w:val="16"/>
        </w:rPr>
        <w:t>Все проведенные конструктивные изменения по самолету ИЛ-2 по своему характеру касаются или улучшения эксплуатационных данных и аэродинамики машины, или преследовали цель снижения трудоемкости изготовления ее.</w:t>
      </w:r>
    </w:p>
    <w:p w14:paraId="70A5497D" w14:textId="77777777" w:rsidR="00F1364C" w:rsidRPr="00F90EAE" w:rsidRDefault="00F1364C" w:rsidP="00F90EAE">
      <w:pPr>
        <w:jc w:val="both"/>
        <w:rPr>
          <w:color w:val="0070C0"/>
          <w:sz w:val="16"/>
          <w:szCs w:val="16"/>
        </w:rPr>
      </w:pPr>
      <w:r w:rsidRPr="00F90EAE">
        <w:rPr>
          <w:color w:val="0070C0"/>
          <w:sz w:val="16"/>
          <w:szCs w:val="16"/>
        </w:rPr>
        <w:t>Конструктивные изменения по улучшению аэродинамики самолета  одновременно позволили несколько увеличить скорость, улучшить внешний вид и отделку самолета. К таким изменениям относятся улучшенный фонарь пилота (по типу завода № 30), съемный концевой обтекатель крыла, запотаивание всех выступающих болтов и заклепок по фюзеляжу, клепка впотай крыла и стабилизатора.</w:t>
      </w:r>
    </w:p>
    <w:p w14:paraId="10012198" w14:textId="77777777" w:rsidR="00F1364C" w:rsidRPr="00F90EAE" w:rsidRDefault="00F1364C" w:rsidP="00F90EAE">
      <w:pPr>
        <w:jc w:val="both"/>
        <w:rPr>
          <w:color w:val="0070C0"/>
          <w:sz w:val="16"/>
          <w:szCs w:val="16"/>
        </w:rPr>
      </w:pPr>
      <w:r w:rsidRPr="00F90EAE">
        <w:rPr>
          <w:color w:val="0070C0"/>
          <w:sz w:val="16"/>
          <w:szCs w:val="16"/>
        </w:rPr>
        <w:t>Улучшение эксплуатационных данных самолета ИЛ-2 достигалось за счет внедрения ряда конструктивных изменений...</w:t>
      </w:r>
    </w:p>
    <w:p w14:paraId="16728E53" w14:textId="77777777" w:rsidR="00F1364C" w:rsidRPr="00F90EAE" w:rsidRDefault="00F1364C" w:rsidP="00F90EAE">
      <w:pPr>
        <w:jc w:val="both"/>
        <w:rPr>
          <w:color w:val="0070C0"/>
          <w:sz w:val="16"/>
          <w:szCs w:val="16"/>
        </w:rPr>
      </w:pPr>
      <w:r w:rsidRPr="00F90EAE">
        <w:rPr>
          <w:color w:val="0070C0"/>
          <w:sz w:val="16"/>
          <w:szCs w:val="16"/>
        </w:rPr>
        <w:t>Постановка производства самолета ИЛ-10.</w:t>
      </w:r>
    </w:p>
    <w:p w14:paraId="43CAD248" w14:textId="77777777" w:rsidR="00F1364C" w:rsidRPr="00F90EAE" w:rsidRDefault="00F1364C" w:rsidP="00F90EAE">
      <w:pPr>
        <w:jc w:val="both"/>
        <w:rPr>
          <w:color w:val="0070C0"/>
          <w:sz w:val="16"/>
          <w:szCs w:val="16"/>
        </w:rPr>
      </w:pPr>
      <w:r w:rsidRPr="00F90EAE">
        <w:rPr>
          <w:color w:val="0070C0"/>
          <w:sz w:val="16"/>
          <w:szCs w:val="16"/>
        </w:rPr>
        <w:t>В первом квартале отчетного года на заводе продолжалось изготовление опытного экземпляра самолета ИЛ-10 (ИЛ-1) по заказу гл. конструктора тов. Ильюшина С.В. Коллектив конструкторов обеспечивал чертежами, планами и др. документацией изготовление этой опытной машины и принимал непосредственное участие в руководстве монтажами ее.</w:t>
      </w:r>
    </w:p>
    <w:p w14:paraId="56F1DC9C" w14:textId="77777777" w:rsidR="00F1364C" w:rsidRPr="00F90EAE" w:rsidRDefault="00F1364C" w:rsidP="00F90EAE">
      <w:pPr>
        <w:jc w:val="both"/>
        <w:rPr>
          <w:color w:val="0070C0"/>
          <w:sz w:val="16"/>
          <w:szCs w:val="16"/>
        </w:rPr>
      </w:pPr>
      <w:r w:rsidRPr="00F90EAE">
        <w:rPr>
          <w:color w:val="0070C0"/>
          <w:sz w:val="16"/>
          <w:szCs w:val="16"/>
        </w:rPr>
        <w:t>Предполагалось, что эта машина после постройки опытного образца и испытания будет внедряться на заводе в серийное производство, поэтому она особенно приковывала к себе внимание конструкторов, технологов и руководящего состава цехов. Особенно серьезное внимание было обращено на качество изготовления отдельных деталей, узлов, агрегатов и окончательную отделку машины в целом.</w:t>
      </w:r>
    </w:p>
    <w:p w14:paraId="17A93F51" w14:textId="77777777" w:rsidR="00F1364C" w:rsidRPr="00F90EAE" w:rsidRDefault="00F1364C" w:rsidP="00F90EAE">
      <w:pPr>
        <w:jc w:val="both"/>
        <w:rPr>
          <w:color w:val="0070C0"/>
          <w:sz w:val="16"/>
          <w:szCs w:val="16"/>
        </w:rPr>
      </w:pPr>
      <w:r w:rsidRPr="00F90EAE">
        <w:rPr>
          <w:color w:val="0070C0"/>
          <w:sz w:val="16"/>
          <w:szCs w:val="16"/>
        </w:rPr>
        <w:t>В результате опытная машина, без особых доделок на заводе 240, успешно прошла заводские и государственные испытания, показав при этом хорошие летно-тактические данные.</w:t>
      </w:r>
    </w:p>
    <w:p w14:paraId="52EEB674" w14:textId="77777777" w:rsidR="00F1364C" w:rsidRPr="00F90EAE" w:rsidRDefault="00F1364C" w:rsidP="00F90EAE">
      <w:pPr>
        <w:jc w:val="both"/>
        <w:rPr>
          <w:color w:val="0070C0"/>
          <w:sz w:val="16"/>
          <w:szCs w:val="16"/>
        </w:rPr>
      </w:pPr>
      <w:r w:rsidRPr="00F90EAE">
        <w:rPr>
          <w:color w:val="0070C0"/>
          <w:sz w:val="16"/>
          <w:szCs w:val="16"/>
        </w:rPr>
        <w:t>По особому постановлению ГКО завод получил на освоение и внедрение в серийное производство новый самолет Ил-10, опытный образец которого им был изготовлен ранее.</w:t>
      </w:r>
    </w:p>
    <w:p w14:paraId="2ADA6A8A" w14:textId="77777777" w:rsidR="00F1364C" w:rsidRPr="00F90EAE" w:rsidRDefault="00F1364C" w:rsidP="00F90EAE">
      <w:pPr>
        <w:jc w:val="both"/>
        <w:rPr>
          <w:color w:val="0070C0"/>
          <w:sz w:val="16"/>
          <w:szCs w:val="16"/>
        </w:rPr>
      </w:pPr>
      <w:r w:rsidRPr="00F90EAE">
        <w:rPr>
          <w:color w:val="0070C0"/>
          <w:sz w:val="16"/>
          <w:szCs w:val="16"/>
        </w:rPr>
        <w:t>Успех разработки конструкции новой машины и запуска чертежей в производство был обеспечен качественной работой конструкторов по опытной машине...</w:t>
      </w:r>
    </w:p>
    <w:p w14:paraId="18360747" w14:textId="77777777" w:rsidR="00F1364C" w:rsidRPr="00F90EAE" w:rsidRDefault="00F1364C"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P-3454. On. 1.</w:t>
      </w:r>
      <w:r w:rsidRPr="00F90EAE">
        <w:rPr>
          <w:color w:val="0070C0"/>
          <w:sz w:val="16"/>
          <w:szCs w:val="16"/>
        </w:rPr>
        <w:t>Д</w:t>
      </w:r>
      <w:r w:rsidRPr="00F90EAE">
        <w:rPr>
          <w:color w:val="0070C0"/>
          <w:sz w:val="16"/>
          <w:szCs w:val="16"/>
          <w:lang w:val="en-US"/>
        </w:rPr>
        <w:t xml:space="preserve">. 43. </w:t>
      </w:r>
      <w:r w:rsidRPr="00F90EAE">
        <w:rPr>
          <w:color w:val="0070C0"/>
          <w:sz w:val="16"/>
          <w:szCs w:val="16"/>
        </w:rPr>
        <w:t>Л</w:t>
      </w:r>
      <w:r w:rsidRPr="00F90EAE">
        <w:rPr>
          <w:color w:val="0070C0"/>
          <w:sz w:val="16"/>
          <w:szCs w:val="16"/>
          <w:lang w:val="en-US"/>
        </w:rPr>
        <w:t xml:space="preserve">. 25-30. </w:t>
      </w:r>
      <w:r w:rsidRPr="00F90EAE">
        <w:rPr>
          <w:color w:val="0070C0"/>
          <w:sz w:val="16"/>
          <w:szCs w:val="16"/>
        </w:rPr>
        <w:t>Подлинник (20515).</w:t>
      </w:r>
    </w:p>
    <w:p w14:paraId="6BC1EBC8" w14:textId="77777777" w:rsidR="00F1364C" w:rsidRPr="00F90EAE" w:rsidRDefault="00F1364C" w:rsidP="00F90EAE">
      <w:pPr>
        <w:jc w:val="both"/>
        <w:rPr>
          <w:color w:val="0070C0"/>
          <w:sz w:val="16"/>
          <w:szCs w:val="16"/>
        </w:rPr>
      </w:pPr>
    </w:p>
    <w:p w14:paraId="097F5251" w14:textId="77777777" w:rsidR="00F1364C" w:rsidRPr="00F90EAE" w:rsidRDefault="00F1364C" w:rsidP="00F90EAE">
      <w:pPr>
        <w:jc w:val="both"/>
        <w:rPr>
          <w:color w:val="0070C0"/>
          <w:sz w:val="16"/>
          <w:szCs w:val="16"/>
        </w:rPr>
      </w:pPr>
      <w:r w:rsidRPr="00F90EAE">
        <w:rPr>
          <w:color w:val="0070C0"/>
          <w:sz w:val="16"/>
          <w:szCs w:val="16"/>
        </w:rPr>
        <w:t>Январь 1945 г.</w:t>
      </w:r>
    </w:p>
    <w:p w14:paraId="7485AE3C" w14:textId="77777777" w:rsidR="00F1364C" w:rsidRPr="00F90EAE" w:rsidRDefault="00F1364C" w:rsidP="00F90EAE">
      <w:pPr>
        <w:jc w:val="both"/>
        <w:rPr>
          <w:color w:val="0070C0"/>
          <w:sz w:val="16"/>
          <w:szCs w:val="16"/>
        </w:rPr>
      </w:pPr>
      <w:r w:rsidRPr="00F90EAE">
        <w:rPr>
          <w:color w:val="0070C0"/>
          <w:sz w:val="16"/>
          <w:szCs w:val="16"/>
        </w:rPr>
        <w:t>Из отчетного доклада директора завода № 18</w:t>
      </w:r>
    </w:p>
    <w:p w14:paraId="477A3892" w14:textId="77777777" w:rsidR="00F1364C" w:rsidRPr="00F90EAE" w:rsidRDefault="00F1364C" w:rsidP="00F90EAE">
      <w:pPr>
        <w:jc w:val="both"/>
        <w:rPr>
          <w:color w:val="0070C0"/>
          <w:sz w:val="16"/>
          <w:szCs w:val="16"/>
        </w:rPr>
      </w:pPr>
      <w:r w:rsidRPr="00F90EAE">
        <w:rPr>
          <w:color w:val="0070C0"/>
          <w:sz w:val="16"/>
          <w:szCs w:val="16"/>
        </w:rPr>
        <w:t>об общих итогах работы завода в 1944 году январь 1945 г.</w:t>
      </w:r>
    </w:p>
    <w:p w14:paraId="36D90DC9" w14:textId="77777777" w:rsidR="00F1364C" w:rsidRPr="00F90EAE" w:rsidRDefault="00F1364C" w:rsidP="00F90EAE">
      <w:pPr>
        <w:jc w:val="both"/>
        <w:rPr>
          <w:color w:val="0070C0"/>
          <w:sz w:val="16"/>
          <w:szCs w:val="16"/>
        </w:rPr>
      </w:pPr>
      <w:r w:rsidRPr="00F90EAE">
        <w:rPr>
          <w:color w:val="0070C0"/>
          <w:sz w:val="16"/>
          <w:szCs w:val="16"/>
        </w:rPr>
        <w:t>Сов. секретно</w:t>
      </w:r>
    </w:p>
    <w:p w14:paraId="3FF29C34" w14:textId="77777777" w:rsidR="00F1364C" w:rsidRPr="00F90EAE" w:rsidRDefault="00F1364C" w:rsidP="00F90EAE">
      <w:pPr>
        <w:jc w:val="both"/>
        <w:rPr>
          <w:color w:val="0070C0"/>
          <w:sz w:val="16"/>
          <w:szCs w:val="16"/>
        </w:rPr>
      </w:pPr>
      <w:r w:rsidRPr="00F90EAE">
        <w:rPr>
          <w:color w:val="0070C0"/>
          <w:sz w:val="16"/>
          <w:szCs w:val="16"/>
        </w:rPr>
        <w:t>...За истекший военный год много раз Партия и Правительство высоко оценивали работу коллектива нашего завода. Большую часть года заводу присуждалось переходящее Красное Знамя Государственного Комитета Обороны. Больше полугода непрерывно завод держал это Знамя как символ победы в социалистическом соревновании заводов авиационной промышленности. Оценка работы коллектива нашего завода была высокой и справедливой.</w:t>
      </w:r>
    </w:p>
    <w:p w14:paraId="595F5BF8" w14:textId="77777777" w:rsidR="00F1364C" w:rsidRPr="00F90EAE" w:rsidRDefault="00F1364C" w:rsidP="00F90EAE">
      <w:pPr>
        <w:jc w:val="both"/>
        <w:rPr>
          <w:color w:val="0070C0"/>
          <w:sz w:val="16"/>
          <w:szCs w:val="16"/>
        </w:rPr>
      </w:pPr>
      <w:r w:rsidRPr="00F90EAE">
        <w:rPr>
          <w:color w:val="0070C0"/>
          <w:sz w:val="16"/>
          <w:szCs w:val="16"/>
        </w:rPr>
        <w:lastRenderedPageBreak/>
        <w:t>Правительством было поручено заводу изготовить опытный экземпляр  нового самолета ИЛ-1, штурмовика более высокого класса. Завод успешно выполнил это задание. Государственные испытания показали высокие качества этого самолета.</w:t>
      </w:r>
    </w:p>
    <w:p w14:paraId="3A581435" w14:textId="77777777" w:rsidR="00F1364C" w:rsidRPr="00F90EAE" w:rsidRDefault="00F1364C" w:rsidP="00F90EAE">
      <w:pPr>
        <w:jc w:val="both"/>
        <w:rPr>
          <w:color w:val="0070C0"/>
          <w:sz w:val="16"/>
          <w:szCs w:val="16"/>
        </w:rPr>
      </w:pPr>
      <w:r w:rsidRPr="00F90EAE">
        <w:rPr>
          <w:color w:val="0070C0"/>
          <w:sz w:val="16"/>
          <w:szCs w:val="16"/>
        </w:rPr>
        <w:t>По заданию Правительства модернизировать самолет ИЛ-2 за счет введения крыла новой конструкции - со стрелкой в плане, освоить производство его и давать серийный выпуск модернизированных машин. Коллектив завода успешно и вполне удовлетворительно справлялся с этой задачей. Начиная со второго квартала, завод дает Красной Армии модернизированные машины ИЛ-2 в большем количестве, чем было предусмотрено планом.</w:t>
      </w:r>
    </w:p>
    <w:p w14:paraId="600C0A4C" w14:textId="77777777" w:rsidR="00F1364C" w:rsidRPr="00F90EAE" w:rsidRDefault="00F1364C" w:rsidP="00F90EAE">
      <w:pPr>
        <w:jc w:val="both"/>
        <w:rPr>
          <w:color w:val="0070C0"/>
          <w:sz w:val="16"/>
          <w:szCs w:val="16"/>
        </w:rPr>
      </w:pPr>
      <w:r w:rsidRPr="00F90EAE">
        <w:rPr>
          <w:color w:val="0070C0"/>
          <w:sz w:val="16"/>
          <w:szCs w:val="16"/>
        </w:rPr>
        <w:t>Во втором полугодии новую ответственную задачу Правительства о внедрении новой боевой машины ИЛ-10 завод принципиально решил. При большом недостатке рабочей силы на заводе до конца года было собрано 73 новых машины, из них 43 сдано Кр. Армии.</w:t>
      </w:r>
    </w:p>
    <w:p w14:paraId="48F3E5AB" w14:textId="77777777" w:rsidR="00F1364C" w:rsidRPr="00F90EAE" w:rsidRDefault="00F1364C" w:rsidP="00F90EAE">
      <w:pPr>
        <w:jc w:val="both"/>
        <w:rPr>
          <w:color w:val="0070C0"/>
          <w:sz w:val="16"/>
          <w:szCs w:val="16"/>
        </w:rPr>
      </w:pPr>
      <w:r w:rsidRPr="00F90EAE">
        <w:rPr>
          <w:color w:val="0070C0"/>
          <w:sz w:val="16"/>
          <w:szCs w:val="16"/>
        </w:rPr>
        <w:t>Перманентно совершенствовался на заводе техпроцесс, внедрялись многоместные, высокопроизводительные приспособления и поточные методы работы. За счет потоков снижена норма на машину на 671 н/час., высвобождено на другие работы 764 квалифицированных производственных рабочих.</w:t>
      </w:r>
    </w:p>
    <w:p w14:paraId="4FBEA5B7" w14:textId="77777777" w:rsidR="00F1364C" w:rsidRPr="00F90EAE" w:rsidRDefault="00F1364C" w:rsidP="00F90EAE">
      <w:pPr>
        <w:jc w:val="both"/>
        <w:rPr>
          <w:color w:val="0070C0"/>
          <w:sz w:val="16"/>
          <w:szCs w:val="16"/>
        </w:rPr>
      </w:pPr>
      <w:r w:rsidRPr="00F90EAE">
        <w:rPr>
          <w:color w:val="0070C0"/>
          <w:sz w:val="16"/>
          <w:szCs w:val="16"/>
        </w:rPr>
        <w:t>Рационализаторы производства дали заводу 3850 т. р. экономии.</w:t>
      </w:r>
    </w:p>
    <w:p w14:paraId="5FE83A17" w14:textId="77777777" w:rsidR="00F1364C" w:rsidRPr="00F90EAE" w:rsidRDefault="00F1364C" w:rsidP="00F90EAE">
      <w:pPr>
        <w:jc w:val="both"/>
        <w:rPr>
          <w:color w:val="0070C0"/>
          <w:sz w:val="16"/>
          <w:szCs w:val="16"/>
        </w:rPr>
      </w:pPr>
      <w:r w:rsidRPr="00F90EAE">
        <w:rPr>
          <w:color w:val="0070C0"/>
          <w:sz w:val="16"/>
          <w:szCs w:val="16"/>
        </w:rPr>
        <w:t>Завод расширил охват соцсоревнованием до 84,2%. Число рабочих -стахановцев возросло до 87,6%. Выросло число фронтовых бригад до 777, с охватом 3102 рабочих, в том числе 526 бригад молодежных, с охватом 2148 рабочих. Молодежная бригада т. Извекова во Всесоюзном соревновании завоевала первое место, а бригада тов. Трухачева - второе.</w:t>
      </w:r>
    </w:p>
    <w:p w14:paraId="6B0971AC" w14:textId="77777777" w:rsidR="00F1364C" w:rsidRPr="00F90EAE" w:rsidRDefault="00F1364C" w:rsidP="00F90EAE">
      <w:pPr>
        <w:jc w:val="both"/>
        <w:rPr>
          <w:color w:val="0070C0"/>
          <w:sz w:val="16"/>
          <w:szCs w:val="16"/>
        </w:rPr>
      </w:pPr>
      <w:r w:rsidRPr="00F90EAE">
        <w:rPr>
          <w:color w:val="0070C0"/>
          <w:sz w:val="16"/>
          <w:szCs w:val="16"/>
        </w:rPr>
        <w:t>Внедряется на заводе почин тов. Агаркова.</w:t>
      </w:r>
    </w:p>
    <w:p w14:paraId="645AD436" w14:textId="77777777" w:rsidR="00F1364C" w:rsidRPr="00F90EAE" w:rsidRDefault="00F1364C" w:rsidP="00F90EAE">
      <w:pPr>
        <w:jc w:val="both"/>
        <w:rPr>
          <w:color w:val="0070C0"/>
          <w:sz w:val="16"/>
          <w:szCs w:val="16"/>
        </w:rPr>
      </w:pPr>
      <w:r w:rsidRPr="00F90EAE">
        <w:rPr>
          <w:color w:val="0070C0"/>
          <w:sz w:val="16"/>
          <w:szCs w:val="16"/>
        </w:rPr>
        <w:t>Ряд цехов завода занимал первые и вторые места в соцсоревновании по городу.</w:t>
      </w:r>
    </w:p>
    <w:p w14:paraId="0B8BF7DC" w14:textId="77777777" w:rsidR="00F1364C" w:rsidRPr="00F90EAE" w:rsidRDefault="00F1364C" w:rsidP="00F90EAE">
      <w:pPr>
        <w:jc w:val="both"/>
        <w:rPr>
          <w:color w:val="0070C0"/>
          <w:sz w:val="16"/>
          <w:szCs w:val="16"/>
        </w:rPr>
      </w:pPr>
      <w:r w:rsidRPr="00F90EAE">
        <w:rPr>
          <w:color w:val="0070C0"/>
          <w:sz w:val="16"/>
          <w:szCs w:val="16"/>
        </w:rPr>
        <w:t>Задание по производительности труда рабочих заводу было повышено до 102,5% по сравнению с 1943 годом. Это повышенное задание завод выполнил на 104,5%, доведя производительность труда в четвертом квартале до 108,7% к плану.</w:t>
      </w:r>
    </w:p>
    <w:p w14:paraId="13B0570A" w14:textId="77777777" w:rsidR="00F1364C" w:rsidRPr="00F90EAE" w:rsidRDefault="00F1364C" w:rsidP="00F90EAE">
      <w:pPr>
        <w:jc w:val="both"/>
        <w:rPr>
          <w:color w:val="0070C0"/>
          <w:sz w:val="16"/>
          <w:szCs w:val="16"/>
        </w:rPr>
      </w:pPr>
      <w:r w:rsidRPr="00F90EAE">
        <w:rPr>
          <w:color w:val="0070C0"/>
          <w:sz w:val="16"/>
          <w:szCs w:val="16"/>
        </w:rPr>
        <w:t>При пониженном против плана числе рабочих (93,4%) завод выполнил план по товарной продукции на 100,6% и по валовой продукции на 97,6%.</w:t>
      </w:r>
    </w:p>
    <w:p w14:paraId="6F07E33C" w14:textId="77777777" w:rsidR="00F1364C" w:rsidRPr="00F90EAE" w:rsidRDefault="00F1364C" w:rsidP="00F90EAE">
      <w:pPr>
        <w:jc w:val="both"/>
        <w:rPr>
          <w:color w:val="0070C0"/>
          <w:sz w:val="16"/>
          <w:szCs w:val="16"/>
        </w:rPr>
      </w:pPr>
      <w:r w:rsidRPr="00F90EAE">
        <w:rPr>
          <w:color w:val="0070C0"/>
          <w:sz w:val="16"/>
          <w:szCs w:val="16"/>
        </w:rPr>
        <w:t>Задание по снижению коммерческой себестоимости сравнимой продукции заводом перевыполнено на 2,71%. Завод дал за год сверхплановой прибыли от производства 16066 тыс. руб., а всей прибыли 29114 тыс. руб.</w:t>
      </w:r>
    </w:p>
    <w:p w14:paraId="1CA57560" w14:textId="77777777" w:rsidR="00F1364C" w:rsidRPr="00F90EAE" w:rsidRDefault="00F1364C" w:rsidP="00F90EAE">
      <w:pPr>
        <w:jc w:val="both"/>
        <w:rPr>
          <w:color w:val="0070C0"/>
          <w:sz w:val="16"/>
          <w:szCs w:val="16"/>
        </w:rPr>
      </w:pPr>
      <w:r w:rsidRPr="00F90EAE">
        <w:rPr>
          <w:color w:val="0070C0"/>
          <w:sz w:val="16"/>
          <w:szCs w:val="16"/>
        </w:rPr>
        <w:t>За год завод сэкономил 4882 тыс. квт.часов электроэнергии, 11129 тонн пара; возврат конденсата доведен до 72%.</w:t>
      </w:r>
    </w:p>
    <w:p w14:paraId="1294B207" w14:textId="77777777" w:rsidR="00F1364C" w:rsidRPr="00F90EAE" w:rsidRDefault="00F1364C" w:rsidP="00F90EAE">
      <w:pPr>
        <w:jc w:val="both"/>
        <w:rPr>
          <w:color w:val="0070C0"/>
          <w:sz w:val="16"/>
          <w:szCs w:val="16"/>
        </w:rPr>
      </w:pPr>
      <w:r w:rsidRPr="00F90EAE">
        <w:rPr>
          <w:color w:val="0070C0"/>
          <w:sz w:val="16"/>
          <w:szCs w:val="16"/>
        </w:rPr>
        <w:t>К новому хозяйственному году завод пришел снова победителем в соцсоревновании. За работу в декабре завод вновь получил переходящее Красное Знамя ГКО...</w:t>
      </w:r>
    </w:p>
    <w:p w14:paraId="6D7E7B53" w14:textId="77777777" w:rsidR="00F1364C" w:rsidRPr="00F90EAE" w:rsidRDefault="00F1364C"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xml:space="preserve">. P-3454. On. 1. </w:t>
      </w:r>
      <w:r w:rsidRPr="00F90EAE">
        <w:rPr>
          <w:color w:val="0070C0"/>
          <w:sz w:val="16"/>
          <w:szCs w:val="16"/>
        </w:rPr>
        <w:t>Д</w:t>
      </w:r>
      <w:r w:rsidRPr="00F90EAE">
        <w:rPr>
          <w:color w:val="0070C0"/>
          <w:sz w:val="16"/>
          <w:szCs w:val="16"/>
          <w:lang w:val="en-US"/>
        </w:rPr>
        <w:t xml:space="preserve">. 43. </w:t>
      </w:r>
      <w:r w:rsidRPr="00F90EAE">
        <w:rPr>
          <w:color w:val="0070C0"/>
          <w:sz w:val="16"/>
          <w:szCs w:val="16"/>
        </w:rPr>
        <w:t>Л</w:t>
      </w:r>
      <w:r w:rsidRPr="00F90EAE">
        <w:rPr>
          <w:color w:val="0070C0"/>
          <w:sz w:val="16"/>
          <w:szCs w:val="16"/>
          <w:lang w:val="en-US"/>
        </w:rPr>
        <w:t xml:space="preserve">. 4-5. </w:t>
      </w:r>
      <w:r w:rsidRPr="00F90EAE">
        <w:rPr>
          <w:color w:val="0070C0"/>
          <w:sz w:val="16"/>
          <w:szCs w:val="16"/>
        </w:rPr>
        <w:t>Подлинник (20516).</w:t>
      </w:r>
    </w:p>
    <w:p w14:paraId="284E159E" w14:textId="77777777" w:rsidR="00F1364C" w:rsidRPr="00F90EAE" w:rsidRDefault="00F1364C" w:rsidP="00F90EAE">
      <w:pPr>
        <w:jc w:val="both"/>
        <w:rPr>
          <w:color w:val="0070C0"/>
          <w:sz w:val="16"/>
          <w:szCs w:val="16"/>
        </w:rPr>
      </w:pPr>
    </w:p>
    <w:p w14:paraId="3B6D3DC5"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До января 1945 г. доводился опытный Су-6 АМ-42,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F90EAE">
        <w:rPr>
          <w:rFonts w:ascii="Times New Roman" w:hAnsi="Times New Roman"/>
          <w:color w:val="0070C0"/>
          <w:sz w:val="16"/>
          <w:szCs w:val="16"/>
        </w:rPr>
        <w:softHyphen/>
        <w:t>веденную часть испытательной работы».</w:t>
      </w:r>
    </w:p>
    <w:p w14:paraId="68E781E2"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В заключении отчета констатирова</w:t>
      </w:r>
      <w:r w:rsidRPr="00F90EAE">
        <w:rPr>
          <w:rFonts w:ascii="Times New Roman" w:hAnsi="Times New Roman"/>
          <w:color w:val="0070C0"/>
          <w:sz w:val="16"/>
          <w:szCs w:val="16"/>
        </w:rPr>
        <w:softHyphen/>
        <w:t>лось:</w:t>
      </w:r>
    </w:p>
    <w:p w14:paraId="146EBAB5" w14:textId="77777777" w:rsidR="00F1364C" w:rsidRPr="00F90EAE" w:rsidRDefault="00F1364C"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«1) Опытный 2-х местный брониро</w:t>
      </w:r>
      <w:r w:rsidRPr="00F90EAE">
        <w:rPr>
          <w:rFonts w:ascii="Times New Roman" w:hAnsi="Times New Roman" w:cs="Times New Roman"/>
          <w:b w:val="0"/>
          <w:bCs w:val="0"/>
          <w:color w:val="0070C0"/>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76FD720A" w14:textId="77777777" w:rsidR="00F1364C" w:rsidRPr="00F90EAE" w:rsidRDefault="00F1364C"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2) Запуск Су-6 с АМ-42 в серийное про</w:t>
      </w:r>
      <w:r w:rsidRPr="00F90EAE">
        <w:rPr>
          <w:rFonts w:ascii="Times New Roman" w:hAnsi="Times New Roman" w:cs="Times New Roman"/>
          <w:b w:val="0"/>
          <w:bCs w:val="0"/>
          <w:color w:val="0070C0"/>
          <w:sz w:val="16"/>
          <w:szCs w:val="16"/>
        </w:rPr>
        <w:softHyphen/>
        <w:t>изводство считать нецелесообразным».</w:t>
      </w:r>
    </w:p>
    <w:p w14:paraId="740CE3FD"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Материалы отчета и заключение под</w:t>
      </w:r>
      <w:r w:rsidRPr="00F90EAE">
        <w:rPr>
          <w:rFonts w:ascii="Times New Roman" w:hAnsi="Times New Roman"/>
          <w:color w:val="0070C0"/>
          <w:sz w:val="16"/>
          <w:szCs w:val="16"/>
        </w:rPr>
        <w:softHyphen/>
        <w:t>писали: начальник 1-го Управления ГК НИИ ВВС генерал-майор Сафронов и на</w:t>
      </w:r>
      <w:r w:rsidRPr="00F90EAE">
        <w:rPr>
          <w:rFonts w:ascii="Times New Roman" w:hAnsi="Times New Roman"/>
          <w:color w:val="0070C0"/>
          <w:sz w:val="16"/>
          <w:szCs w:val="16"/>
        </w:rPr>
        <w:softHyphen/>
        <w:t>чальник 5-го отдела 1-го Управления ин</w:t>
      </w:r>
      <w:r w:rsidRPr="00F90EAE">
        <w:rPr>
          <w:rFonts w:ascii="Times New Roman" w:hAnsi="Times New Roman"/>
          <w:color w:val="0070C0"/>
          <w:sz w:val="16"/>
          <w:szCs w:val="16"/>
        </w:rPr>
        <w:softHyphen/>
        <w:t>женер-подполковник Холопов.</w:t>
      </w:r>
    </w:p>
    <w:p w14:paraId="2D935294"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Начальник института генерал-лейтенант Лосюков утвердил отчет 2 февраля, вычеркнув при этом п.2 Заключения.</w:t>
      </w:r>
    </w:p>
    <w:p w14:paraId="07D3C060"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Отметим, что за создание двух</w:t>
      </w:r>
      <w:r w:rsidRPr="00F90EAE">
        <w:rPr>
          <w:rFonts w:ascii="Times New Roman" w:hAnsi="Times New Roman"/>
          <w:color w:val="0070C0"/>
          <w:sz w:val="16"/>
          <w:szCs w:val="16"/>
        </w:rPr>
        <w:softHyphen/>
        <w:t>местного штурмовика Су-6 М-71ф глав</w:t>
      </w:r>
      <w:r w:rsidRPr="00F90EAE">
        <w:rPr>
          <w:rFonts w:ascii="Times New Roman" w:hAnsi="Times New Roman"/>
          <w:color w:val="0070C0"/>
          <w:sz w:val="16"/>
          <w:szCs w:val="16"/>
        </w:rPr>
        <w:softHyphen/>
        <w:t>ный конструктор самолета П.О. Сухой в 1943 г. был удостоен Сталинской премии 1-й степени, которую он передал в Фонд обороны (19853).</w:t>
      </w:r>
    </w:p>
    <w:p w14:paraId="6187D6B9" w14:textId="77777777" w:rsidR="00F1364C" w:rsidRPr="00F90EAE" w:rsidRDefault="00F1364C" w:rsidP="00F90EAE">
      <w:pPr>
        <w:pStyle w:val="76"/>
        <w:shd w:val="clear" w:color="auto" w:fill="auto"/>
        <w:spacing w:line="240" w:lineRule="auto"/>
        <w:ind w:firstLine="0"/>
        <w:jc w:val="both"/>
        <w:rPr>
          <w:rFonts w:ascii="Times New Roman" w:hAnsi="Times New Roman"/>
          <w:color w:val="0070C0"/>
          <w:sz w:val="16"/>
          <w:szCs w:val="16"/>
        </w:rPr>
      </w:pPr>
    </w:p>
    <w:p w14:paraId="446444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вышел отчет о заводских испытаниях Пе-2 с ВК-105ПФ N 11/427. Макс. скорость 474 км/час у земли и 528 км/час на 3700 м (1880,167).</w:t>
      </w:r>
    </w:p>
    <w:p w14:paraId="5597BD39" w14:textId="77777777" w:rsidR="00C2313B" w:rsidRPr="00F90EAE" w:rsidRDefault="00C2313B" w:rsidP="00F90EAE">
      <w:pPr>
        <w:autoSpaceDE w:val="0"/>
        <w:autoSpaceDN w:val="0"/>
        <w:adjustRightInd w:val="0"/>
        <w:jc w:val="both"/>
        <w:rPr>
          <w:color w:val="000000" w:themeColor="text1"/>
          <w:sz w:val="16"/>
          <w:szCs w:val="16"/>
        </w:rPr>
      </w:pPr>
    </w:p>
    <w:p w14:paraId="394315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Мясищев жаловался в письменной форме Окулову на то, что «к 15 октября 1944 г. завод должен был построить и передать на войсковые испытания пять Пе-2И, но не выпущено ни одного. Состояние производства очень плохое. В цехе окончательной сборки всего один самолет, без капотов, коков винтов и т.д. По заделам на остальных четырех машинах работы практически не ведутся» (12049).</w:t>
      </w:r>
    </w:p>
    <w:p w14:paraId="5DAA972D" w14:textId="77777777" w:rsidR="00C2313B" w:rsidRPr="00F90EAE" w:rsidRDefault="00C2313B" w:rsidP="00F90EAE">
      <w:pPr>
        <w:autoSpaceDE w:val="0"/>
        <w:autoSpaceDN w:val="0"/>
        <w:adjustRightInd w:val="0"/>
        <w:jc w:val="both"/>
        <w:rPr>
          <w:color w:val="000000" w:themeColor="text1"/>
          <w:sz w:val="16"/>
          <w:szCs w:val="16"/>
        </w:rPr>
      </w:pPr>
    </w:p>
    <w:p w14:paraId="747675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вышел приказ НКАП: «передать из Казани в ЛИИ для испытаний Пе-8 № 42047 с 10Х и Пе-2 с реактивным двигателем Челомея (видимо речь идет о летающем стенде Пе-2 с двигателем от ФАУ-1 на задней части фюзеляжа - авт.)». Относительно крылатых ракет: в апреле в приказе НКАП отмечалось, что «первые 6 изделий (10Х) с завода № 456 отправлены заказчику с производственными дефектами» (12049).</w:t>
      </w:r>
    </w:p>
    <w:p w14:paraId="7F8CA5D7" w14:textId="77777777" w:rsidR="00C2313B" w:rsidRPr="00F90EAE" w:rsidRDefault="00C2313B" w:rsidP="00F90EAE">
      <w:pPr>
        <w:autoSpaceDE w:val="0"/>
        <w:autoSpaceDN w:val="0"/>
        <w:adjustRightInd w:val="0"/>
        <w:jc w:val="both"/>
        <w:rPr>
          <w:color w:val="000000" w:themeColor="text1"/>
          <w:sz w:val="16"/>
          <w:szCs w:val="16"/>
        </w:rPr>
      </w:pPr>
    </w:p>
    <w:p w14:paraId="51C314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А.И.Ш. писал И.В.С.:</w:t>
      </w:r>
    </w:p>
    <w:p w14:paraId="43E432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"Первые 50 Ер-2, выпущенных с АЧ-30Б первых серий, м.б. использованы для учебно-тренировочных полетов... не первое время в радиусе действия до 500 км.</w:t>
      </w:r>
    </w:p>
    <w:p w14:paraId="2465B5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 остальные самолеты могут быть использованы без ограничений в соответствии с ТТД... Для перевооружения на Ер-2 выделяется 8ГАД (командир В.Г.Тихонов) в составе 327, 329, 332 (а т. 328) ап. Первый полк этой дивизии будет подготовлен к 15 марта, второй - к 15 апреля, а дивизия в целом - к 15 мая 1945." (2865,11).</w:t>
      </w:r>
    </w:p>
    <w:p w14:paraId="6CFD3272" w14:textId="77777777" w:rsidR="00C2313B" w:rsidRPr="00F90EAE" w:rsidRDefault="00C2313B" w:rsidP="00F90EAE">
      <w:pPr>
        <w:autoSpaceDE w:val="0"/>
        <w:autoSpaceDN w:val="0"/>
        <w:adjustRightInd w:val="0"/>
        <w:jc w:val="both"/>
        <w:rPr>
          <w:color w:val="000000" w:themeColor="text1"/>
          <w:sz w:val="16"/>
          <w:szCs w:val="16"/>
        </w:rPr>
      </w:pPr>
    </w:p>
    <w:p w14:paraId="4885349A" w14:textId="77777777" w:rsidR="00BC1830" w:rsidRPr="00F90EAE" w:rsidRDefault="00BC1830" w:rsidP="00F90EAE">
      <w:pPr>
        <w:shd w:val="clear" w:color="auto" w:fill="FFFFFF"/>
        <w:jc w:val="both"/>
        <w:rPr>
          <w:color w:val="000000" w:themeColor="text1"/>
          <w:sz w:val="16"/>
          <w:szCs w:val="16"/>
        </w:rPr>
      </w:pPr>
      <w:r w:rsidRPr="00F90EAE">
        <w:rPr>
          <w:color w:val="000000" w:themeColor="text1"/>
          <w:sz w:val="16"/>
          <w:szCs w:val="16"/>
        </w:rPr>
        <w:t>В январе 1945 года первый Ер-2ОН был передан аэродромному цеху. Ответственным за проведение заводских летных испытаний по утвержденной программе ОКБ был назначен начальник аэродромного цеха Н.И. Лениц. Завершить испытания планировались выполнить за 15 рабочих дней. Ведущим инженером по испытаниям назначается Л.М. Малышев, предполетное и послеполетное обслуживание возлагается на бригаду бортмеханика Д.Е. Токарева. Испытания головной машины Ер-2ОН прошли успешно. Был отработан весь предусмотренный комплекс наземных и летных испытаний, выполнено несколько полетов на дальность. В начале апреля самолет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393FD515" w14:textId="77777777" w:rsidR="00BC1830" w:rsidRPr="00F90EAE" w:rsidRDefault="00BC1830" w:rsidP="00F90EAE">
      <w:pPr>
        <w:shd w:val="clear" w:color="auto" w:fill="FFFFFF"/>
        <w:jc w:val="both"/>
        <w:rPr>
          <w:color w:val="000000" w:themeColor="text1"/>
          <w:sz w:val="16"/>
          <w:szCs w:val="16"/>
        </w:rPr>
      </w:pPr>
    </w:p>
    <w:p w14:paraId="60DE58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Павел Осипович сообщал Шахурину:</w:t>
      </w:r>
    </w:p>
    <w:p w14:paraId="4CE2DB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"Основными дефектами Ер-2 являются большой разбег и малый вес, допускающий полет на одном моторе. Рассмотрение причин, обуславливающих эти недостатки, приводит к заключению, что крыло самолета имеет недостаточную подъемную силу, благодаря малонесущей дужке (профилю крыла. - Прим. авт.) и наличия срыва потока при входе и выходе из туннелей водо- и маслора- диаторов, а также в месте образования диффузора (потока обтекания. - Прим. авт.) на верхней поверхности крыла благодаря "обратной чайке".</w:t>
      </w:r>
    </w:p>
    <w:p w14:paraId="361A25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Устранение последнего дефекта возможно в дальнейшем при более глубокой модификации. В данный момент увеличение подъемной силы предложено произвести за счет улучшения входа и выхода в туннелях водорадиаторов, переноса водо- и маслорадиаторов в мотогондолу, модификации носика дужки отъемной и концевой частей крыла.</w:t>
      </w:r>
    </w:p>
    <w:p w14:paraId="241B77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будет проведено улучшение обтекания выступающих в поток частей самолета и его герметизация. В результате указанных мероприятий и установки форсированных моторов и флюгерных винтов надо ожидать улучшения летных качеств самолета Ер-2...</w:t>
      </w:r>
    </w:p>
    <w:p w14:paraId="4CB247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предлагаю увеличить скорость самолета с 420 до 470 км/ч, полетный вес на одном моторе с 12 500 до 14 500 кг и уменьшить разбег с 720 до 550 м.</w:t>
      </w:r>
    </w:p>
    <w:p w14:paraId="6E7FDBA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целесообразности предложенных изменений будет произведена натурная продувка в трубе № 100 (Т-101) и на самолете № 11 будут проведены все изменения, с таким расчетом, чтобы в первой половине марта начать летные испытания модифицированного самолета. Соображения по более глубокой модификации, обеспечивающей дальнейшее улучшение летных качеств, будут мною доложены Вам немедленно по окончании проработки проекта".</w:t>
      </w:r>
    </w:p>
    <w:p w14:paraId="3A1B22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резолюции Шахурина отмечалось: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(11994).</w:t>
      </w:r>
    </w:p>
    <w:p w14:paraId="3E07CAF0" w14:textId="77777777" w:rsidR="00C2313B" w:rsidRPr="00F90EAE" w:rsidRDefault="00C2313B" w:rsidP="00F90EAE">
      <w:pPr>
        <w:autoSpaceDE w:val="0"/>
        <w:autoSpaceDN w:val="0"/>
        <w:adjustRightInd w:val="0"/>
        <w:jc w:val="both"/>
        <w:rPr>
          <w:color w:val="000000" w:themeColor="text1"/>
          <w:sz w:val="16"/>
          <w:szCs w:val="16"/>
        </w:rPr>
      </w:pPr>
    </w:p>
    <w:p w14:paraId="4C0140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по решению наркомата, согласованному с командованием АДД, завод N 39 был обязан изготовить и сдать на гос. испытания в НИИ ВВС два эталонных Ер-2 с изменениями, внесенными главным конструктором, и устраненными дефектами. В качестве таковых были выделены самолеты зав. NN 7103901 и 7103902. Однако внезапная смерть Ермолаева и неразбериха, возникшая в связи с ней, позволили директору Абрамову по-тихому "замотать" указание НКАП (3322,42).</w:t>
      </w:r>
    </w:p>
    <w:p w14:paraId="671D6D8C" w14:textId="77777777" w:rsidR="00C2313B" w:rsidRPr="00F90EAE" w:rsidRDefault="00C2313B" w:rsidP="00F90EAE">
      <w:pPr>
        <w:autoSpaceDE w:val="0"/>
        <w:autoSpaceDN w:val="0"/>
        <w:adjustRightInd w:val="0"/>
        <w:jc w:val="both"/>
        <w:rPr>
          <w:color w:val="000000" w:themeColor="text1"/>
          <w:sz w:val="16"/>
          <w:szCs w:val="16"/>
        </w:rPr>
      </w:pPr>
    </w:p>
    <w:p w14:paraId="6F007A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самолет "63" с АМ-39Ф начал проходить и показал при этом высокие летные данные, но ставка была сделана на самолет "68" (9032).</w:t>
      </w:r>
    </w:p>
    <w:p w14:paraId="006307D9" w14:textId="77777777" w:rsidR="00C2313B" w:rsidRPr="00F90EAE" w:rsidRDefault="00C2313B" w:rsidP="00F90EAE">
      <w:pPr>
        <w:autoSpaceDE w:val="0"/>
        <w:autoSpaceDN w:val="0"/>
        <w:adjustRightInd w:val="0"/>
        <w:jc w:val="both"/>
        <w:rPr>
          <w:color w:val="000000" w:themeColor="text1"/>
          <w:sz w:val="16"/>
          <w:szCs w:val="16"/>
        </w:rPr>
      </w:pPr>
    </w:p>
    <w:p w14:paraId="7230BD0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проходили официальные заводские испытания АМ-39ФН (ФНВ). Летом того же года моторы испытывались на бомбардиров</w:t>
      </w:r>
      <w:r w:rsidRPr="00F90EAE">
        <w:rPr>
          <w:color w:val="000000" w:themeColor="text1"/>
          <w:sz w:val="16"/>
          <w:szCs w:val="16"/>
        </w:rPr>
        <w:softHyphen/>
        <w:t xml:space="preserve">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w:t>
      </w:r>
      <w:r w:rsidRPr="00F90EAE">
        <w:rPr>
          <w:color w:val="000000" w:themeColor="text1"/>
          <w:sz w:val="16"/>
          <w:szCs w:val="16"/>
        </w:rPr>
        <w:lastRenderedPageBreak/>
        <w:t>самолетах «68» (Ту-4), И-231 (2Д, МиГ-ЗДД), ИТП (М-2), ВП(К), ТИС-МА, И-224 (МиГ-7), на малой серии бомбардировщиков Ту-10. Их применение преду</w:t>
      </w:r>
      <w:r w:rsidRPr="00F90EAE">
        <w:rPr>
          <w:color w:val="000000" w:themeColor="text1"/>
          <w:sz w:val="16"/>
          <w:szCs w:val="16"/>
        </w:rPr>
        <w:softHyphen/>
        <w:t>сматривалось проектом самолета СПС (11852).</w:t>
      </w:r>
    </w:p>
    <w:p w14:paraId="52D00A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225887A" w14:textId="77777777" w:rsidR="00A96EA6" w:rsidRPr="00F90EAE" w:rsidRDefault="00A96EA6" w:rsidP="00F90EAE">
      <w:pPr>
        <w:tabs>
          <w:tab w:val="left" w:pos="2372"/>
        </w:tabs>
        <w:jc w:val="both"/>
        <w:rPr>
          <w:color w:val="000000" w:themeColor="text1"/>
          <w:sz w:val="16"/>
          <w:szCs w:val="16"/>
        </w:rPr>
      </w:pPr>
      <w:r w:rsidRPr="00F90EAE">
        <w:rPr>
          <w:color w:val="000000" w:themeColor="text1"/>
          <w:sz w:val="16"/>
          <w:szCs w:val="16"/>
        </w:rPr>
        <w:t>В период с января по конец февраля 1945 года проводились испытания на заводе №22 Пе-8ОН. Испытания проводил экипаж в составе ведущего летчика-испытателя Б.Г.Говорова, второго летчика Н.Н.Аржанова, ведущего инженера АА.Янукьяна, ведущего бортмеханика А. П. 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44F15A48" w14:textId="77777777" w:rsidR="00A96EA6" w:rsidRPr="00F90EAE" w:rsidRDefault="00A96EA6" w:rsidP="00F90EAE">
      <w:pPr>
        <w:jc w:val="both"/>
        <w:rPr>
          <w:color w:val="000000" w:themeColor="text1"/>
          <w:sz w:val="16"/>
          <w:szCs w:val="16"/>
        </w:rPr>
      </w:pPr>
      <w:r w:rsidRPr="00F90EAE">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7A214B34" w14:textId="77777777" w:rsidR="00A96EA6" w:rsidRPr="00F90EAE" w:rsidRDefault="00A96EA6" w:rsidP="00F90EAE">
      <w:pPr>
        <w:jc w:val="both"/>
        <w:rPr>
          <w:color w:val="000000" w:themeColor="text1"/>
          <w:sz w:val="16"/>
          <w:szCs w:val="16"/>
        </w:rPr>
      </w:pPr>
      <w:r w:rsidRPr="00F90EAE">
        <w:rPr>
          <w:color w:val="000000" w:themeColor="text1"/>
          <w:sz w:val="16"/>
          <w:szCs w:val="16"/>
        </w:rPr>
        <w:t>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Пе-80Н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6A4EFBEE" w14:textId="77777777" w:rsidR="00A96EA6" w:rsidRPr="00F90EAE" w:rsidRDefault="00A96EA6" w:rsidP="00F90EAE">
      <w:pPr>
        <w:jc w:val="both"/>
        <w:rPr>
          <w:color w:val="000000" w:themeColor="text1"/>
          <w:sz w:val="16"/>
          <w:szCs w:val="16"/>
        </w:rPr>
      </w:pPr>
      <w:r w:rsidRPr="00F90EAE">
        <w:rPr>
          <w:color w:val="000000" w:themeColor="text1"/>
          <w:sz w:val="16"/>
          <w:szCs w:val="16"/>
        </w:rPr>
        <w:t>С двигателями АЧ-ЗОБ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w:t>
      </w:r>
    </w:p>
    <w:p w14:paraId="7323C4FB" w14:textId="77777777" w:rsidR="00A96EA6" w:rsidRPr="00F90EAE" w:rsidRDefault="00A96EA6" w:rsidP="00F90EAE">
      <w:pPr>
        <w:tabs>
          <w:tab w:val="left" w:pos="2513"/>
        </w:tabs>
        <w:jc w:val="both"/>
        <w:rPr>
          <w:color w:val="000000" w:themeColor="text1"/>
          <w:sz w:val="16"/>
          <w:szCs w:val="16"/>
        </w:rPr>
      </w:pPr>
      <w:r w:rsidRPr="00F90EAE">
        <w:rPr>
          <w:color w:val="000000" w:themeColor="text1"/>
          <w:sz w:val="16"/>
          <w:szCs w:val="16"/>
        </w:rPr>
        <w:t>Пока проходили испытания Пе- 80Н №42612, второй Пе-80Н №42712 заканчивали в производстве. В феврале 1945 года второй самолет начал проходить заводские контрольные испытания. С 25 февраля по 4 марта 1945 года по программе этих испытаний было выполнено три полета, общей продолжительностью 2 ч 50 мин. Испытания проводил тот же самый экипаж, что испытывал первую машину. После их окончания второй Пе-80Н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w:t>
      </w:r>
    </w:p>
    <w:p w14:paraId="3E48C420" w14:textId="77777777" w:rsidR="00A96EA6" w:rsidRPr="00F90EAE" w:rsidRDefault="00A96EA6" w:rsidP="00F90EAE">
      <w:pPr>
        <w:jc w:val="both"/>
        <w:rPr>
          <w:color w:val="000000" w:themeColor="text1"/>
          <w:sz w:val="16"/>
          <w:szCs w:val="16"/>
        </w:rPr>
      </w:pPr>
      <w:r w:rsidRPr="00F90EAE">
        <w:rPr>
          <w:color w:val="000000" w:themeColor="text1"/>
          <w:sz w:val="16"/>
          <w:szCs w:val="16"/>
        </w:rPr>
        <w:t>В этот же день Б. Г Говоров перегнал машину на аэродром ГК НИИ ВВС. Государственные испытания в ГК НИИ ВВС машина проходила до конца мая 1945 года. Самолет испытывал экипаж военных летчиков-испытателей во главе с ведущим летчиком- испытателем В.И.Ждановым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44"/>
        <w:gridCol w:w="2966"/>
      </w:tblGrid>
      <w:tr w:rsidR="00561F31" w:rsidRPr="00F90EAE" w14:paraId="3E910A6D" w14:textId="77777777" w:rsidTr="009E68E9">
        <w:trPr>
          <w:trHeight w:val="392"/>
        </w:trPr>
        <w:tc>
          <w:tcPr>
            <w:tcW w:w="6444" w:type="dxa"/>
            <w:shd w:val="clear" w:color="auto" w:fill="auto"/>
          </w:tcPr>
          <w:p w14:paraId="0898CBAE" w14:textId="77777777" w:rsidR="00A96EA6" w:rsidRPr="00F90EAE" w:rsidRDefault="00A96EA6" w:rsidP="00F90EAE">
            <w:pPr>
              <w:jc w:val="both"/>
              <w:rPr>
                <w:color w:val="000000" w:themeColor="text1"/>
                <w:sz w:val="16"/>
                <w:szCs w:val="16"/>
              </w:rPr>
            </w:pPr>
            <w:r w:rsidRPr="00F90EAE">
              <w:rPr>
                <w:color w:val="000000" w:themeColor="text1"/>
                <w:sz w:val="16"/>
                <w:szCs w:val="16"/>
              </w:rPr>
              <w:t>Масса пустого самолета, кг</w:t>
            </w:r>
          </w:p>
        </w:tc>
        <w:tc>
          <w:tcPr>
            <w:tcW w:w="2966" w:type="dxa"/>
            <w:shd w:val="clear" w:color="auto" w:fill="auto"/>
          </w:tcPr>
          <w:p w14:paraId="68CA93B2" w14:textId="77777777" w:rsidR="00A96EA6" w:rsidRPr="00F90EAE" w:rsidRDefault="00A96EA6" w:rsidP="00F90EAE">
            <w:pPr>
              <w:jc w:val="both"/>
              <w:rPr>
                <w:color w:val="000000" w:themeColor="text1"/>
                <w:sz w:val="16"/>
                <w:szCs w:val="16"/>
              </w:rPr>
            </w:pPr>
            <w:r w:rsidRPr="00F90EAE">
              <w:rPr>
                <w:color w:val="000000" w:themeColor="text1"/>
                <w:sz w:val="16"/>
                <w:szCs w:val="16"/>
              </w:rPr>
              <w:t>22864</w:t>
            </w:r>
          </w:p>
        </w:tc>
      </w:tr>
      <w:tr w:rsidR="00561F31" w:rsidRPr="00F90EAE" w14:paraId="0EF29564" w14:textId="77777777" w:rsidTr="009E68E9">
        <w:trPr>
          <w:trHeight w:val="274"/>
        </w:trPr>
        <w:tc>
          <w:tcPr>
            <w:tcW w:w="6444" w:type="dxa"/>
            <w:shd w:val="clear" w:color="auto" w:fill="auto"/>
          </w:tcPr>
          <w:p w14:paraId="5D49CD9D" w14:textId="77777777" w:rsidR="00A96EA6" w:rsidRPr="00F90EAE" w:rsidRDefault="00A96EA6" w:rsidP="00F90EAE">
            <w:pPr>
              <w:jc w:val="both"/>
              <w:rPr>
                <w:color w:val="000000" w:themeColor="text1"/>
                <w:sz w:val="16"/>
                <w:szCs w:val="16"/>
              </w:rPr>
            </w:pPr>
            <w:r w:rsidRPr="00F90EAE">
              <w:rPr>
                <w:color w:val="000000" w:themeColor="text1"/>
                <w:sz w:val="16"/>
                <w:szCs w:val="16"/>
              </w:rPr>
              <w:t>Нормальная полетная масса, кг</w:t>
            </w:r>
          </w:p>
        </w:tc>
        <w:tc>
          <w:tcPr>
            <w:tcW w:w="2966" w:type="dxa"/>
            <w:shd w:val="clear" w:color="auto" w:fill="auto"/>
          </w:tcPr>
          <w:p w14:paraId="7361EDF4" w14:textId="77777777" w:rsidR="00A96EA6" w:rsidRPr="00F90EAE" w:rsidRDefault="00A96EA6" w:rsidP="00F90EAE">
            <w:pPr>
              <w:jc w:val="both"/>
              <w:rPr>
                <w:color w:val="000000" w:themeColor="text1"/>
                <w:sz w:val="16"/>
                <w:szCs w:val="16"/>
              </w:rPr>
            </w:pPr>
            <w:r w:rsidRPr="00F90EAE">
              <w:rPr>
                <w:color w:val="000000" w:themeColor="text1"/>
                <w:sz w:val="16"/>
                <w:szCs w:val="16"/>
              </w:rPr>
              <w:t>30000</w:t>
            </w:r>
          </w:p>
        </w:tc>
      </w:tr>
      <w:tr w:rsidR="00561F31" w:rsidRPr="00F90EAE" w14:paraId="2ACE993F" w14:textId="77777777" w:rsidTr="009E68E9">
        <w:trPr>
          <w:trHeight w:val="274"/>
        </w:trPr>
        <w:tc>
          <w:tcPr>
            <w:tcW w:w="6444" w:type="dxa"/>
            <w:shd w:val="clear" w:color="auto" w:fill="auto"/>
          </w:tcPr>
          <w:p w14:paraId="0B59D89A" w14:textId="77777777" w:rsidR="00A96EA6" w:rsidRPr="00F90EAE" w:rsidRDefault="00A96EA6" w:rsidP="00F90EAE">
            <w:pPr>
              <w:jc w:val="both"/>
              <w:rPr>
                <w:color w:val="000000" w:themeColor="text1"/>
                <w:sz w:val="16"/>
                <w:szCs w:val="16"/>
              </w:rPr>
            </w:pPr>
            <w:r w:rsidRPr="00F90EAE">
              <w:rPr>
                <w:color w:val="000000" w:themeColor="text1"/>
                <w:sz w:val="16"/>
                <w:szCs w:val="16"/>
              </w:rPr>
              <w:t>Перегрузочная масса, кг</w:t>
            </w:r>
          </w:p>
        </w:tc>
        <w:tc>
          <w:tcPr>
            <w:tcW w:w="2966" w:type="dxa"/>
            <w:shd w:val="clear" w:color="auto" w:fill="auto"/>
          </w:tcPr>
          <w:p w14:paraId="10D73310" w14:textId="77777777" w:rsidR="00A96EA6" w:rsidRPr="00F90EAE" w:rsidRDefault="00A96EA6" w:rsidP="00F90EAE">
            <w:pPr>
              <w:jc w:val="both"/>
              <w:rPr>
                <w:color w:val="000000" w:themeColor="text1"/>
                <w:sz w:val="16"/>
                <w:szCs w:val="16"/>
              </w:rPr>
            </w:pPr>
            <w:r w:rsidRPr="00F90EAE">
              <w:rPr>
                <w:color w:val="000000" w:themeColor="text1"/>
                <w:sz w:val="16"/>
                <w:szCs w:val="16"/>
              </w:rPr>
              <w:t>35500</w:t>
            </w:r>
          </w:p>
        </w:tc>
      </w:tr>
      <w:tr w:rsidR="00561F31" w:rsidRPr="00F90EAE" w14:paraId="7868B9FB" w14:textId="77777777" w:rsidTr="009E68E9">
        <w:trPr>
          <w:trHeight w:val="259"/>
        </w:trPr>
        <w:tc>
          <w:tcPr>
            <w:tcW w:w="6444" w:type="dxa"/>
            <w:shd w:val="clear" w:color="auto" w:fill="auto"/>
          </w:tcPr>
          <w:p w14:paraId="52D9D4B6" w14:textId="77777777" w:rsidR="00A96EA6" w:rsidRPr="00F90EAE" w:rsidRDefault="00A96EA6" w:rsidP="00F90EAE">
            <w:pPr>
              <w:jc w:val="both"/>
              <w:rPr>
                <w:color w:val="000000" w:themeColor="text1"/>
                <w:sz w:val="16"/>
                <w:szCs w:val="16"/>
              </w:rPr>
            </w:pPr>
            <w:r w:rsidRPr="00F90EAE">
              <w:rPr>
                <w:color w:val="000000" w:themeColor="text1"/>
                <w:sz w:val="16"/>
                <w:szCs w:val="16"/>
              </w:rPr>
              <w:t>Емкость топливных баков, л</w:t>
            </w:r>
          </w:p>
        </w:tc>
        <w:tc>
          <w:tcPr>
            <w:tcW w:w="2966" w:type="dxa"/>
            <w:shd w:val="clear" w:color="auto" w:fill="auto"/>
          </w:tcPr>
          <w:p w14:paraId="09C22742" w14:textId="77777777" w:rsidR="00A96EA6" w:rsidRPr="00F90EAE" w:rsidRDefault="00A96EA6" w:rsidP="00F90EAE">
            <w:pPr>
              <w:jc w:val="both"/>
              <w:rPr>
                <w:color w:val="000000" w:themeColor="text1"/>
                <w:sz w:val="16"/>
                <w:szCs w:val="16"/>
              </w:rPr>
            </w:pPr>
            <w:r w:rsidRPr="00F90EAE">
              <w:rPr>
                <w:color w:val="000000" w:themeColor="text1"/>
                <w:sz w:val="16"/>
                <w:szCs w:val="16"/>
              </w:rPr>
              <w:t>13600</w:t>
            </w:r>
          </w:p>
        </w:tc>
      </w:tr>
      <w:tr w:rsidR="00561F31" w:rsidRPr="00F90EAE" w14:paraId="491320D3" w14:textId="77777777" w:rsidTr="009E68E9">
        <w:trPr>
          <w:trHeight w:val="277"/>
        </w:trPr>
        <w:tc>
          <w:tcPr>
            <w:tcW w:w="6444" w:type="dxa"/>
            <w:shd w:val="clear" w:color="auto" w:fill="auto"/>
          </w:tcPr>
          <w:p w14:paraId="64B3DC6D" w14:textId="77777777" w:rsidR="00A96EA6" w:rsidRPr="00F90EAE" w:rsidRDefault="00A96EA6" w:rsidP="00F90EAE">
            <w:pPr>
              <w:jc w:val="both"/>
              <w:rPr>
                <w:color w:val="000000" w:themeColor="text1"/>
                <w:sz w:val="16"/>
                <w:szCs w:val="16"/>
              </w:rPr>
            </w:pPr>
            <w:r w:rsidRPr="00F90EAE">
              <w:rPr>
                <w:color w:val="000000" w:themeColor="text1"/>
                <w:sz w:val="16"/>
                <w:szCs w:val="16"/>
              </w:rPr>
              <w:t>Экипаж, ч</w:t>
            </w:r>
          </w:p>
        </w:tc>
        <w:tc>
          <w:tcPr>
            <w:tcW w:w="2966" w:type="dxa"/>
            <w:shd w:val="clear" w:color="auto" w:fill="auto"/>
          </w:tcPr>
          <w:p w14:paraId="631C2061" w14:textId="77777777" w:rsidR="00A96EA6" w:rsidRPr="00F90EAE" w:rsidRDefault="00A96EA6" w:rsidP="00F90EAE">
            <w:pPr>
              <w:jc w:val="both"/>
              <w:rPr>
                <w:color w:val="000000" w:themeColor="text1"/>
                <w:sz w:val="16"/>
                <w:szCs w:val="16"/>
              </w:rPr>
            </w:pPr>
            <w:r w:rsidRPr="00F90EAE">
              <w:rPr>
                <w:color w:val="000000" w:themeColor="text1"/>
                <w:sz w:val="16"/>
                <w:szCs w:val="16"/>
              </w:rPr>
              <w:t>9</w:t>
            </w:r>
          </w:p>
        </w:tc>
      </w:tr>
      <w:tr w:rsidR="00561F31" w:rsidRPr="00F90EAE" w14:paraId="34C84BA4" w14:textId="77777777" w:rsidTr="009E68E9">
        <w:trPr>
          <w:trHeight w:val="295"/>
        </w:trPr>
        <w:tc>
          <w:tcPr>
            <w:tcW w:w="6444" w:type="dxa"/>
            <w:shd w:val="clear" w:color="auto" w:fill="auto"/>
          </w:tcPr>
          <w:p w14:paraId="7DDF1497" w14:textId="77777777" w:rsidR="00A96EA6" w:rsidRPr="00F90EAE" w:rsidRDefault="00A96EA6" w:rsidP="00F90EAE">
            <w:pPr>
              <w:jc w:val="both"/>
              <w:rPr>
                <w:color w:val="000000" w:themeColor="text1"/>
                <w:sz w:val="16"/>
                <w:szCs w:val="16"/>
              </w:rPr>
            </w:pPr>
            <w:r w:rsidRPr="00F90EAE">
              <w:rPr>
                <w:color w:val="000000" w:themeColor="text1"/>
                <w:sz w:val="16"/>
                <w:szCs w:val="16"/>
              </w:rPr>
              <w:t>Максимальная скорость, км/ч</w:t>
            </w:r>
          </w:p>
        </w:tc>
        <w:tc>
          <w:tcPr>
            <w:tcW w:w="2966" w:type="dxa"/>
            <w:shd w:val="clear" w:color="auto" w:fill="auto"/>
          </w:tcPr>
          <w:p w14:paraId="7225F22B" w14:textId="77777777" w:rsidR="00A96EA6" w:rsidRPr="00F90EAE" w:rsidRDefault="00A96EA6" w:rsidP="00F90EAE">
            <w:pPr>
              <w:jc w:val="both"/>
              <w:rPr>
                <w:color w:val="000000" w:themeColor="text1"/>
                <w:sz w:val="16"/>
                <w:szCs w:val="16"/>
              </w:rPr>
            </w:pPr>
          </w:p>
        </w:tc>
      </w:tr>
      <w:tr w:rsidR="00561F31" w:rsidRPr="00F90EAE" w14:paraId="1E9F9CD2" w14:textId="77777777" w:rsidTr="009E68E9">
        <w:trPr>
          <w:trHeight w:val="259"/>
        </w:trPr>
        <w:tc>
          <w:tcPr>
            <w:tcW w:w="6444" w:type="dxa"/>
            <w:shd w:val="clear" w:color="auto" w:fill="auto"/>
          </w:tcPr>
          <w:p w14:paraId="030A9B56" w14:textId="77777777" w:rsidR="00A96EA6" w:rsidRPr="00F90EAE" w:rsidRDefault="00A96EA6" w:rsidP="00F90EAE">
            <w:pPr>
              <w:jc w:val="both"/>
              <w:rPr>
                <w:color w:val="000000" w:themeColor="text1"/>
                <w:sz w:val="16"/>
                <w:szCs w:val="16"/>
              </w:rPr>
            </w:pPr>
            <w:r w:rsidRPr="00F90EAE">
              <w:rPr>
                <w:color w:val="000000" w:themeColor="text1"/>
                <w:sz w:val="16"/>
                <w:szCs w:val="16"/>
              </w:rPr>
              <w:t>у земли</w:t>
            </w:r>
          </w:p>
        </w:tc>
        <w:tc>
          <w:tcPr>
            <w:tcW w:w="2966" w:type="dxa"/>
            <w:shd w:val="clear" w:color="auto" w:fill="auto"/>
          </w:tcPr>
          <w:p w14:paraId="48F5F407" w14:textId="77777777" w:rsidR="00A96EA6" w:rsidRPr="00F90EAE" w:rsidRDefault="00A96EA6" w:rsidP="00F90EAE">
            <w:pPr>
              <w:jc w:val="both"/>
              <w:rPr>
                <w:color w:val="000000" w:themeColor="text1"/>
                <w:sz w:val="16"/>
                <w:szCs w:val="16"/>
              </w:rPr>
            </w:pPr>
            <w:r w:rsidRPr="00F90EAE">
              <w:rPr>
                <w:color w:val="000000" w:themeColor="text1"/>
                <w:sz w:val="16"/>
                <w:szCs w:val="16"/>
              </w:rPr>
              <w:t>342</w:t>
            </w:r>
          </w:p>
        </w:tc>
      </w:tr>
      <w:tr w:rsidR="00561F31" w:rsidRPr="00F90EAE" w14:paraId="23F38DFB" w14:textId="77777777" w:rsidTr="009E68E9">
        <w:trPr>
          <w:trHeight w:val="277"/>
        </w:trPr>
        <w:tc>
          <w:tcPr>
            <w:tcW w:w="6444" w:type="dxa"/>
            <w:shd w:val="clear" w:color="auto" w:fill="auto"/>
          </w:tcPr>
          <w:p w14:paraId="6C4FDA76" w14:textId="77777777" w:rsidR="00A96EA6" w:rsidRPr="00F90EAE" w:rsidRDefault="00A96EA6" w:rsidP="00F90EAE">
            <w:pPr>
              <w:jc w:val="both"/>
              <w:rPr>
                <w:color w:val="000000" w:themeColor="text1"/>
                <w:sz w:val="16"/>
                <w:szCs w:val="16"/>
              </w:rPr>
            </w:pPr>
            <w:r w:rsidRPr="00F90EAE">
              <w:rPr>
                <w:color w:val="000000" w:themeColor="text1"/>
                <w:sz w:val="16"/>
                <w:szCs w:val="16"/>
              </w:rPr>
              <w:t>на высоте 6000 м</w:t>
            </w:r>
          </w:p>
        </w:tc>
        <w:tc>
          <w:tcPr>
            <w:tcW w:w="2966" w:type="dxa"/>
            <w:shd w:val="clear" w:color="auto" w:fill="auto"/>
          </w:tcPr>
          <w:p w14:paraId="4E7CC738" w14:textId="77777777" w:rsidR="00A96EA6" w:rsidRPr="00F90EAE" w:rsidRDefault="00A96EA6" w:rsidP="00F90EAE">
            <w:pPr>
              <w:jc w:val="both"/>
              <w:rPr>
                <w:color w:val="000000" w:themeColor="text1"/>
                <w:sz w:val="16"/>
                <w:szCs w:val="16"/>
              </w:rPr>
            </w:pPr>
            <w:r w:rsidRPr="00F90EAE">
              <w:rPr>
                <w:color w:val="000000" w:themeColor="text1"/>
                <w:sz w:val="16"/>
                <w:szCs w:val="16"/>
              </w:rPr>
              <w:t>390</w:t>
            </w:r>
          </w:p>
        </w:tc>
      </w:tr>
      <w:tr w:rsidR="00561F31" w:rsidRPr="00F90EAE" w14:paraId="65ECAE7E" w14:textId="77777777" w:rsidTr="009E68E9">
        <w:trPr>
          <w:trHeight w:val="295"/>
        </w:trPr>
        <w:tc>
          <w:tcPr>
            <w:tcW w:w="6444" w:type="dxa"/>
            <w:shd w:val="clear" w:color="auto" w:fill="auto"/>
          </w:tcPr>
          <w:p w14:paraId="519A9978" w14:textId="77777777" w:rsidR="00A96EA6" w:rsidRPr="00F90EAE" w:rsidRDefault="00A96EA6" w:rsidP="00F90EAE">
            <w:pPr>
              <w:jc w:val="both"/>
              <w:rPr>
                <w:color w:val="000000" w:themeColor="text1"/>
                <w:sz w:val="16"/>
                <w:szCs w:val="16"/>
              </w:rPr>
            </w:pPr>
            <w:r w:rsidRPr="00F90EAE">
              <w:rPr>
                <w:color w:val="000000" w:themeColor="text1"/>
                <w:sz w:val="16"/>
                <w:szCs w:val="16"/>
              </w:rPr>
              <w:t>Практический потолок, м</w:t>
            </w:r>
          </w:p>
        </w:tc>
        <w:tc>
          <w:tcPr>
            <w:tcW w:w="2966" w:type="dxa"/>
            <w:shd w:val="clear" w:color="auto" w:fill="auto"/>
          </w:tcPr>
          <w:p w14:paraId="32FE6EC8" w14:textId="77777777" w:rsidR="00A96EA6" w:rsidRPr="00F90EAE" w:rsidRDefault="00A96EA6" w:rsidP="00F90EAE">
            <w:pPr>
              <w:jc w:val="both"/>
              <w:rPr>
                <w:color w:val="000000" w:themeColor="text1"/>
                <w:sz w:val="16"/>
                <w:szCs w:val="16"/>
              </w:rPr>
            </w:pPr>
            <w:r w:rsidRPr="00F90EAE">
              <w:rPr>
                <w:color w:val="000000" w:themeColor="text1"/>
                <w:sz w:val="16"/>
                <w:szCs w:val="16"/>
              </w:rPr>
              <w:t>8200</w:t>
            </w:r>
          </w:p>
        </w:tc>
      </w:tr>
      <w:tr w:rsidR="00561F31" w:rsidRPr="00F90EAE" w14:paraId="0CACA7B9" w14:textId="77777777" w:rsidTr="009E68E9">
        <w:trPr>
          <w:trHeight w:val="270"/>
        </w:trPr>
        <w:tc>
          <w:tcPr>
            <w:tcW w:w="6444" w:type="dxa"/>
            <w:shd w:val="clear" w:color="auto" w:fill="auto"/>
          </w:tcPr>
          <w:p w14:paraId="43EF0EAF" w14:textId="77777777" w:rsidR="00A96EA6" w:rsidRPr="00F90EAE" w:rsidRDefault="00A96EA6" w:rsidP="00F90EAE">
            <w:pPr>
              <w:jc w:val="both"/>
              <w:rPr>
                <w:color w:val="000000" w:themeColor="text1"/>
                <w:sz w:val="16"/>
                <w:szCs w:val="16"/>
              </w:rPr>
            </w:pPr>
            <w:r w:rsidRPr="00F90EAE">
              <w:rPr>
                <w:color w:val="000000" w:themeColor="text1"/>
                <w:sz w:val="16"/>
                <w:szCs w:val="16"/>
              </w:rPr>
              <w:t>Время подъема на высоту 5000 м, мин</w:t>
            </w:r>
          </w:p>
        </w:tc>
        <w:tc>
          <w:tcPr>
            <w:tcW w:w="2966" w:type="dxa"/>
            <w:shd w:val="clear" w:color="auto" w:fill="auto"/>
          </w:tcPr>
          <w:p w14:paraId="45133387" w14:textId="77777777" w:rsidR="00A96EA6" w:rsidRPr="00F90EAE" w:rsidRDefault="00A96EA6" w:rsidP="00F90EAE">
            <w:pPr>
              <w:jc w:val="both"/>
              <w:rPr>
                <w:color w:val="000000" w:themeColor="text1"/>
                <w:sz w:val="16"/>
                <w:szCs w:val="16"/>
              </w:rPr>
            </w:pPr>
            <w:r w:rsidRPr="00F90EAE">
              <w:rPr>
                <w:color w:val="000000" w:themeColor="text1"/>
                <w:sz w:val="16"/>
                <w:szCs w:val="16"/>
              </w:rPr>
              <w:t>19,2</w:t>
            </w:r>
          </w:p>
        </w:tc>
      </w:tr>
      <w:tr w:rsidR="00561F31" w:rsidRPr="00F90EAE" w14:paraId="0BB4570E" w14:textId="77777777" w:rsidTr="009E68E9">
        <w:trPr>
          <w:trHeight w:val="270"/>
        </w:trPr>
        <w:tc>
          <w:tcPr>
            <w:tcW w:w="6444" w:type="dxa"/>
            <w:shd w:val="clear" w:color="auto" w:fill="auto"/>
          </w:tcPr>
          <w:p w14:paraId="56AB2A57" w14:textId="77777777" w:rsidR="00A96EA6" w:rsidRPr="00F90EAE" w:rsidRDefault="00A96EA6" w:rsidP="00F90EAE">
            <w:pPr>
              <w:jc w:val="both"/>
              <w:rPr>
                <w:color w:val="000000" w:themeColor="text1"/>
                <w:sz w:val="16"/>
                <w:szCs w:val="16"/>
              </w:rPr>
            </w:pPr>
            <w:r w:rsidRPr="00F90EAE">
              <w:rPr>
                <w:color w:val="000000" w:themeColor="text1"/>
                <w:sz w:val="16"/>
                <w:szCs w:val="16"/>
              </w:rPr>
              <w:t>Дальность полета, км</w:t>
            </w:r>
          </w:p>
        </w:tc>
        <w:tc>
          <w:tcPr>
            <w:tcW w:w="2966" w:type="dxa"/>
            <w:shd w:val="clear" w:color="auto" w:fill="auto"/>
          </w:tcPr>
          <w:p w14:paraId="7F84260A" w14:textId="77777777" w:rsidR="00A96EA6" w:rsidRPr="00F90EAE" w:rsidRDefault="00A96EA6" w:rsidP="00F90EAE">
            <w:pPr>
              <w:jc w:val="both"/>
              <w:rPr>
                <w:color w:val="000000" w:themeColor="text1"/>
                <w:sz w:val="16"/>
                <w:szCs w:val="16"/>
              </w:rPr>
            </w:pPr>
            <w:r w:rsidRPr="00F90EAE">
              <w:rPr>
                <w:color w:val="000000" w:themeColor="text1"/>
                <w:sz w:val="16"/>
                <w:szCs w:val="16"/>
              </w:rPr>
              <w:t>5600</w:t>
            </w:r>
          </w:p>
        </w:tc>
      </w:tr>
      <w:tr w:rsidR="00561F31" w:rsidRPr="00F90EAE" w14:paraId="0F1B4D81" w14:textId="77777777" w:rsidTr="009E68E9">
        <w:trPr>
          <w:trHeight w:val="281"/>
        </w:trPr>
        <w:tc>
          <w:tcPr>
            <w:tcW w:w="6444" w:type="dxa"/>
            <w:shd w:val="clear" w:color="auto" w:fill="auto"/>
          </w:tcPr>
          <w:p w14:paraId="207C6CA9" w14:textId="77777777" w:rsidR="00A96EA6" w:rsidRPr="00F90EAE" w:rsidRDefault="00A96EA6" w:rsidP="00F90EAE">
            <w:pPr>
              <w:jc w:val="both"/>
              <w:rPr>
                <w:color w:val="000000" w:themeColor="text1"/>
                <w:sz w:val="16"/>
                <w:szCs w:val="16"/>
              </w:rPr>
            </w:pPr>
            <w:r w:rsidRPr="00F90EAE">
              <w:rPr>
                <w:color w:val="000000" w:themeColor="text1"/>
                <w:sz w:val="16"/>
                <w:szCs w:val="16"/>
              </w:rPr>
              <w:t>Длина разбега, м</w:t>
            </w:r>
          </w:p>
        </w:tc>
        <w:tc>
          <w:tcPr>
            <w:tcW w:w="2966" w:type="dxa"/>
            <w:shd w:val="clear" w:color="auto" w:fill="auto"/>
          </w:tcPr>
          <w:p w14:paraId="60614830" w14:textId="77777777" w:rsidR="00A96EA6" w:rsidRPr="00F90EAE" w:rsidRDefault="00A96EA6" w:rsidP="00F90EAE">
            <w:pPr>
              <w:jc w:val="both"/>
              <w:rPr>
                <w:color w:val="000000" w:themeColor="text1"/>
                <w:sz w:val="16"/>
                <w:szCs w:val="16"/>
              </w:rPr>
            </w:pPr>
            <w:r w:rsidRPr="00F90EAE">
              <w:rPr>
                <w:color w:val="000000" w:themeColor="text1"/>
                <w:sz w:val="16"/>
                <w:szCs w:val="16"/>
              </w:rPr>
              <w:t>600</w:t>
            </w:r>
          </w:p>
        </w:tc>
      </w:tr>
      <w:tr w:rsidR="00561F31" w:rsidRPr="00F90EAE" w14:paraId="7B9F5AF4" w14:textId="77777777" w:rsidTr="009E68E9">
        <w:trPr>
          <w:trHeight w:val="281"/>
        </w:trPr>
        <w:tc>
          <w:tcPr>
            <w:tcW w:w="6444" w:type="dxa"/>
            <w:shd w:val="clear" w:color="auto" w:fill="auto"/>
          </w:tcPr>
          <w:p w14:paraId="25790F34" w14:textId="77777777" w:rsidR="00A96EA6" w:rsidRPr="00F90EAE" w:rsidRDefault="00A96EA6" w:rsidP="00F90EAE">
            <w:pPr>
              <w:jc w:val="both"/>
              <w:rPr>
                <w:color w:val="000000" w:themeColor="text1"/>
                <w:sz w:val="16"/>
                <w:szCs w:val="16"/>
              </w:rPr>
            </w:pPr>
            <w:r w:rsidRPr="00F90EAE">
              <w:rPr>
                <w:color w:val="000000" w:themeColor="text1"/>
                <w:sz w:val="16"/>
                <w:szCs w:val="16"/>
              </w:rPr>
              <w:t>Длина пробега, м</w:t>
            </w:r>
          </w:p>
        </w:tc>
        <w:tc>
          <w:tcPr>
            <w:tcW w:w="2966" w:type="dxa"/>
            <w:shd w:val="clear" w:color="auto" w:fill="auto"/>
          </w:tcPr>
          <w:p w14:paraId="3049005A" w14:textId="77777777" w:rsidR="00A96EA6" w:rsidRPr="00F90EAE" w:rsidRDefault="00A96EA6" w:rsidP="00F90EAE">
            <w:pPr>
              <w:jc w:val="both"/>
              <w:rPr>
                <w:color w:val="000000" w:themeColor="text1"/>
                <w:sz w:val="16"/>
                <w:szCs w:val="16"/>
              </w:rPr>
            </w:pPr>
            <w:r w:rsidRPr="00F90EAE">
              <w:rPr>
                <w:color w:val="000000" w:themeColor="text1"/>
                <w:sz w:val="16"/>
                <w:szCs w:val="16"/>
              </w:rPr>
              <w:t>770</w:t>
            </w:r>
          </w:p>
        </w:tc>
      </w:tr>
      <w:tr w:rsidR="00561F31" w:rsidRPr="00F90EAE" w14:paraId="3D69501C" w14:textId="77777777" w:rsidTr="009E68E9">
        <w:trPr>
          <w:trHeight w:val="392"/>
        </w:trPr>
        <w:tc>
          <w:tcPr>
            <w:tcW w:w="6444" w:type="dxa"/>
            <w:shd w:val="clear" w:color="auto" w:fill="auto"/>
          </w:tcPr>
          <w:p w14:paraId="2B712FD0" w14:textId="77777777" w:rsidR="00A96EA6" w:rsidRPr="00F90EAE" w:rsidRDefault="00A96EA6" w:rsidP="00F90EAE">
            <w:pPr>
              <w:jc w:val="both"/>
              <w:rPr>
                <w:color w:val="000000" w:themeColor="text1"/>
                <w:sz w:val="16"/>
                <w:szCs w:val="16"/>
              </w:rPr>
            </w:pPr>
            <w:r w:rsidRPr="00F90EAE">
              <w:rPr>
                <w:color w:val="000000" w:themeColor="text1"/>
                <w:sz w:val="16"/>
                <w:szCs w:val="16"/>
              </w:rPr>
              <w:t>Посадочная скорость, км/ч</w:t>
            </w:r>
          </w:p>
        </w:tc>
        <w:tc>
          <w:tcPr>
            <w:tcW w:w="2966" w:type="dxa"/>
            <w:shd w:val="clear" w:color="auto" w:fill="auto"/>
          </w:tcPr>
          <w:p w14:paraId="30440B11" w14:textId="77777777" w:rsidR="00A96EA6" w:rsidRPr="00F90EAE" w:rsidRDefault="00A96EA6" w:rsidP="00F90EAE">
            <w:pPr>
              <w:jc w:val="both"/>
              <w:rPr>
                <w:color w:val="000000" w:themeColor="text1"/>
                <w:sz w:val="16"/>
                <w:szCs w:val="16"/>
              </w:rPr>
            </w:pPr>
            <w:r w:rsidRPr="00F90EAE">
              <w:rPr>
                <w:color w:val="000000" w:themeColor="text1"/>
                <w:sz w:val="16"/>
                <w:szCs w:val="16"/>
              </w:rPr>
              <w:t>130</w:t>
            </w:r>
          </w:p>
        </w:tc>
      </w:tr>
    </w:tbl>
    <w:p w14:paraId="0C332036" w14:textId="77777777" w:rsidR="00A96EA6" w:rsidRPr="00F90EAE" w:rsidRDefault="00A96EA6" w:rsidP="00F90EAE">
      <w:pPr>
        <w:jc w:val="both"/>
        <w:rPr>
          <w:color w:val="000000" w:themeColor="text1"/>
          <w:sz w:val="16"/>
          <w:szCs w:val="16"/>
        </w:rPr>
      </w:pPr>
      <w:r w:rsidRPr="00F90EAE">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20676986" w14:textId="77777777" w:rsidR="00A96EA6" w:rsidRPr="00F90EAE" w:rsidRDefault="00A96EA6" w:rsidP="00F90EAE">
      <w:pPr>
        <w:jc w:val="both"/>
        <w:rPr>
          <w:color w:val="000000" w:themeColor="text1"/>
          <w:sz w:val="16"/>
          <w:szCs w:val="16"/>
        </w:rPr>
      </w:pPr>
      <w:r w:rsidRPr="00F90EAE">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3A47EC1B" w14:textId="77777777" w:rsidR="00A96EA6" w:rsidRPr="00F90EAE" w:rsidRDefault="00A96EA6" w:rsidP="00F90EAE">
      <w:pPr>
        <w:jc w:val="both"/>
        <w:rPr>
          <w:color w:val="000000" w:themeColor="text1"/>
          <w:sz w:val="16"/>
          <w:szCs w:val="16"/>
        </w:rPr>
      </w:pPr>
      <w:r w:rsidRPr="00F90EAE">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7439AB03" w14:textId="77777777" w:rsidR="00A96EA6" w:rsidRPr="00F90EAE" w:rsidRDefault="00A96EA6" w:rsidP="00F90EAE">
      <w:pPr>
        <w:jc w:val="both"/>
        <w:rPr>
          <w:color w:val="000000" w:themeColor="text1"/>
          <w:sz w:val="16"/>
          <w:szCs w:val="16"/>
        </w:rPr>
      </w:pPr>
      <w:r w:rsidRPr="00F90EAE">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w:t>
      </w:r>
    </w:p>
    <w:p w14:paraId="63627ECF" w14:textId="77777777" w:rsidR="00A96EA6" w:rsidRPr="00F90EAE" w:rsidRDefault="00A96EA6" w:rsidP="00F90EAE">
      <w:pPr>
        <w:jc w:val="both"/>
        <w:rPr>
          <w:color w:val="000000" w:themeColor="text1"/>
          <w:sz w:val="16"/>
          <w:szCs w:val="16"/>
        </w:rPr>
      </w:pPr>
    </w:p>
    <w:p w14:paraId="54A7BA9E" w14:textId="77777777" w:rsidR="008C5307" w:rsidRPr="00F90EAE" w:rsidRDefault="008C530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январе 1945 г. в НИИ ВВС прошёл контрольные испытания серийный Як-9У № 39-083 завода № 166, укомплектованный двумя пулемётами УБС и пушкой МП-20. По сравнению с машиной № 25-021, испытывавшейся в прошлом году, установили механизм аварийного сбрасывания подвиж</w:t>
      </w:r>
      <w:r w:rsidRPr="00F90EAE">
        <w:rPr>
          <w:rFonts w:ascii="Times New Roman" w:cs="Times New Roman"/>
          <w:color w:val="000000" w:themeColor="text1"/>
          <w:spacing w:val="0"/>
        </w:rPr>
        <w:softHyphen/>
        <w:t>ной части фонаря и козырёк с плоскими гранями. Обрезали заднюю кромку элеро</w:t>
      </w:r>
      <w:r w:rsidRPr="00F90EAE">
        <w:rPr>
          <w:rFonts w:ascii="Times New Roman" w:cs="Times New Roman"/>
          <w:color w:val="000000" w:themeColor="text1"/>
          <w:spacing w:val="0"/>
        </w:rPr>
        <w:softHyphen/>
        <w:t>нов и сняли из-под зализов оперения груз весом 20 кг. Тогда же разместили в системе охлаждения двигателя сепаратор в расши</w:t>
      </w:r>
      <w:r w:rsidRPr="00F90EAE">
        <w:rPr>
          <w:rFonts w:ascii="Times New Roman" w:cs="Times New Roman"/>
          <w:color w:val="000000" w:themeColor="text1"/>
          <w:spacing w:val="0"/>
        </w:rPr>
        <w:softHyphen/>
        <w:t>рительном бачке и диффузор в трубопрово</w:t>
      </w:r>
      <w:r w:rsidRPr="00F90EAE">
        <w:rPr>
          <w:rFonts w:ascii="Times New Roman" w:cs="Times New Roman"/>
          <w:color w:val="000000" w:themeColor="text1"/>
          <w:spacing w:val="0"/>
        </w:rPr>
        <w:softHyphen/>
        <w:t>де перед помпой, увеличили входную и вы</w:t>
      </w:r>
      <w:r w:rsidRPr="00F90EAE">
        <w:rPr>
          <w:rFonts w:ascii="Times New Roman" w:cs="Times New Roman"/>
          <w:color w:val="000000" w:themeColor="text1"/>
          <w:spacing w:val="0"/>
        </w:rPr>
        <w:softHyphen/>
        <w:t>ходную части тоннеля водяного радиатора. Передатчик РСИ-3 заменили на РСИ-ЗМ-1, коробки регуляторов и фильтров генератора перенесли под обшивку нулевых нервюр. Одновременно изменили пневмосистему. Но существенных преимуществ всё это не дало.</w:t>
      </w:r>
    </w:p>
    <w:p w14:paraId="41AF1D0F" w14:textId="77777777" w:rsidR="008C5307" w:rsidRPr="00F90EAE" w:rsidRDefault="008C530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Специалисты НИИ ВВС констатировали, что не устранены дефекты, выявленные на головном экземпляре: большие нагрузки на ручку от элеронов и руля высоты, тряс</w:t>
      </w:r>
      <w:r w:rsidRPr="00F90EAE">
        <w:rPr>
          <w:rFonts w:ascii="Times New Roman" w:cs="Times New Roman"/>
          <w:color w:val="000000" w:themeColor="text1"/>
          <w:spacing w:val="0"/>
        </w:rPr>
        <w:softHyphen/>
        <w:t>ка мотора на некоторых режимах, частый отказ свечей АС-142, перегрев масла при максимальной скороподъёмности, отсутст</w:t>
      </w:r>
      <w:r w:rsidRPr="00F90EAE">
        <w:rPr>
          <w:rFonts w:ascii="Times New Roman" w:cs="Times New Roman"/>
          <w:color w:val="000000" w:themeColor="text1"/>
          <w:spacing w:val="0"/>
        </w:rPr>
        <w:softHyphen/>
        <w:t>вие фильтра во всасывающем патрубке и недостаточная жёсткость приборной дос</w:t>
      </w:r>
      <w:r w:rsidRPr="00F90EAE">
        <w:rPr>
          <w:rFonts w:ascii="Times New Roman" w:cs="Times New Roman"/>
          <w:color w:val="000000" w:themeColor="text1"/>
          <w:spacing w:val="0"/>
        </w:rPr>
        <w:softHyphen/>
        <w:t>ки, что приводило к колебаниям стрелок индикаторов и их отказам. Тем не менее, машину рекомендовали к дальнейшему серийному производству, хотя в очередной раз - с устранением недостатков (19103).</w:t>
      </w:r>
    </w:p>
    <w:p w14:paraId="75FAA43C" w14:textId="77777777" w:rsidR="008C5307" w:rsidRPr="00F90EAE" w:rsidRDefault="008C5307" w:rsidP="00F90EAE">
      <w:pPr>
        <w:pStyle w:val="27"/>
        <w:shd w:val="clear" w:color="auto" w:fill="auto"/>
        <w:spacing w:after="0" w:line="240" w:lineRule="auto"/>
        <w:ind w:firstLine="0"/>
        <w:rPr>
          <w:rFonts w:ascii="Times New Roman" w:cs="Times New Roman"/>
          <w:color w:val="000000" w:themeColor="text1"/>
          <w:spacing w:val="0"/>
        </w:rPr>
      </w:pPr>
    </w:p>
    <w:p w14:paraId="2B7B7F32" w14:textId="77777777" w:rsidR="008C5307" w:rsidRPr="00F90EAE" w:rsidRDefault="008C5307" w:rsidP="00F90EAE">
      <w:pPr>
        <w:jc w:val="both"/>
        <w:rPr>
          <w:color w:val="000000" w:themeColor="text1"/>
          <w:sz w:val="16"/>
          <w:szCs w:val="16"/>
        </w:rPr>
      </w:pPr>
      <w:r w:rsidRPr="00F90EAE">
        <w:rPr>
          <w:color w:val="000000" w:themeColor="text1"/>
          <w:sz w:val="16"/>
          <w:szCs w:val="16"/>
        </w:rPr>
        <w:t>В январе 1945 г. начались летные испытания самолета «120», с крылом, набранным из ламинарных профилей. Серийно этот самолет не строился, но новое крыло, доказав свою эффективность, получило путевку в жизнь. Отра бо - танные принципы компоновки ламинарных крыльев стали основой при создании послевоенных истребителей Ла-5 и Ла-11 (19727).</w:t>
      </w:r>
    </w:p>
    <w:p w14:paraId="3BCB5C22" w14:textId="77777777" w:rsidR="008C5307" w:rsidRPr="00F90EAE" w:rsidRDefault="008C5307" w:rsidP="00F90EAE">
      <w:pPr>
        <w:jc w:val="both"/>
        <w:rPr>
          <w:color w:val="000000" w:themeColor="text1"/>
          <w:sz w:val="16"/>
          <w:szCs w:val="16"/>
        </w:rPr>
      </w:pPr>
    </w:p>
    <w:p w14:paraId="0D9E9DDC" w14:textId="77777777" w:rsidR="00F1364C" w:rsidRPr="00F90EAE" w:rsidRDefault="00F1364C" w:rsidP="00F90EAE">
      <w:pPr>
        <w:jc w:val="both"/>
        <w:rPr>
          <w:color w:val="0070C0"/>
          <w:sz w:val="16"/>
          <w:szCs w:val="16"/>
        </w:rPr>
      </w:pPr>
      <w:r w:rsidRPr="00F90EAE">
        <w:rPr>
          <w:color w:val="0070C0"/>
          <w:sz w:val="16"/>
          <w:szCs w:val="16"/>
        </w:rPr>
        <w:t xml:space="preserve">В январе 1945 г. захватили первый исправный экземпляр </w:t>
      </w:r>
      <w:r w:rsidRPr="00F90EAE">
        <w:rPr>
          <w:color w:val="0070C0"/>
          <w:sz w:val="16"/>
          <w:szCs w:val="16"/>
          <w:lang w:val="en-US"/>
        </w:rPr>
        <w:t>Bf</w:t>
      </w:r>
      <w:r w:rsidRPr="00F90EAE">
        <w:rPr>
          <w:color w:val="0070C0"/>
          <w:sz w:val="16"/>
          <w:szCs w:val="16"/>
        </w:rPr>
        <w:t xml:space="preserve"> 109 </w:t>
      </w:r>
      <w:r w:rsidRPr="00F90EAE">
        <w:rPr>
          <w:color w:val="0070C0"/>
          <w:sz w:val="16"/>
          <w:szCs w:val="16"/>
          <w:lang w:val="en-US"/>
        </w:rPr>
        <w:t>G</w:t>
      </w:r>
      <w:r w:rsidRPr="00F90EAE">
        <w:rPr>
          <w:color w:val="0070C0"/>
          <w:sz w:val="16"/>
          <w:szCs w:val="16"/>
        </w:rPr>
        <w:t>-6№783959. Испытания в НИИ ВВС проводил В.Е. Голофастов. Выяснилось, что на высотах до 5000 м немецкий истребитель уступает Як-3, Як-9У и Ла-7. Максимальной скорости достигли на высоте 7000 м - 630 км/ч, а у земли получили всего 492 км/ч. Правда, изучение мотора на этой машине показало, что форсированный режим на нем отключен (23186).</w:t>
      </w:r>
    </w:p>
    <w:p w14:paraId="191AB719" w14:textId="77777777" w:rsidR="00F1364C" w:rsidRPr="00F90EAE" w:rsidRDefault="00F1364C" w:rsidP="00F90EAE">
      <w:pPr>
        <w:jc w:val="both"/>
        <w:rPr>
          <w:color w:val="0070C0"/>
          <w:sz w:val="16"/>
          <w:szCs w:val="16"/>
        </w:rPr>
      </w:pPr>
    </w:p>
    <w:p w14:paraId="039A5C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М-105ПВ испытывался на самолетах Як-3 и Пе-2. М-105ПВ (ВК-105ПВ), М-105ПФ с ПЦН от мотора М-1. Создан на заводе № 16 в 1944 г. Номинальная мощность 1320 л.с. (11852)</w:t>
      </w:r>
    </w:p>
    <w:p w14:paraId="53D472B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84157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С января по конец февраля 1945 г. экипажем Б.Г. Говорова проводились заводские испытания первого Пе-8ОН.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АЧ-ЗОБ работали удовлетворительно, хотя наблюдались выбивание масла через суфлёр и уплотнение ротора турбокомпрессора ТК-82. Масло попадало на выхлопные коллекторы и </w:t>
      </w:r>
      <w:r w:rsidRPr="00F90EAE">
        <w:rPr>
          <w:color w:val="000000" w:themeColor="text1"/>
          <w:sz w:val="16"/>
          <w:szCs w:val="16"/>
        </w:rPr>
        <w:lastRenderedPageBreak/>
        <w:t>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1DB6857E" w14:textId="77777777" w:rsidR="00C2313B" w:rsidRPr="00F90EAE" w:rsidRDefault="00C2313B" w:rsidP="00F90EAE">
      <w:pPr>
        <w:autoSpaceDE w:val="0"/>
        <w:autoSpaceDN w:val="0"/>
        <w:adjustRightInd w:val="0"/>
        <w:jc w:val="both"/>
        <w:rPr>
          <w:color w:val="000000" w:themeColor="text1"/>
          <w:sz w:val="16"/>
          <w:szCs w:val="16"/>
        </w:rPr>
      </w:pPr>
    </w:p>
    <w:p w14:paraId="7E2BE379" w14:textId="77777777" w:rsidR="00BC1830" w:rsidRPr="00F90EAE" w:rsidRDefault="00BC1830" w:rsidP="00F90EAE">
      <w:pPr>
        <w:jc w:val="both"/>
        <w:rPr>
          <w:color w:val="000000" w:themeColor="text1"/>
          <w:sz w:val="16"/>
          <w:szCs w:val="16"/>
        </w:rPr>
      </w:pPr>
      <w:r w:rsidRPr="00F90EAE">
        <w:rPr>
          <w:color w:val="000000" w:themeColor="text1"/>
          <w:sz w:val="16"/>
          <w:szCs w:val="16"/>
        </w:rPr>
        <w:t>В январе 1945 г. в докладе «О ра</w:t>
      </w:r>
      <w:r w:rsidRPr="00F90EAE">
        <w:rPr>
          <w:color w:val="000000" w:themeColor="text1"/>
          <w:sz w:val="16"/>
          <w:szCs w:val="16"/>
        </w:rPr>
        <w:softHyphen/>
        <w:t>боте моторов АШ-82ФН, установленных на самолётах Ла-5 и Ла-7 в 1-м Гвардейском истребительном авиационном Минском корпусе» говорилось:</w:t>
      </w:r>
    </w:p>
    <w:p w14:paraId="74C29BB4" w14:textId="77777777" w:rsidR="00BC1830" w:rsidRPr="00F90EAE" w:rsidRDefault="00BC1830" w:rsidP="00F90EAE">
      <w:pPr>
        <w:jc w:val="both"/>
        <w:rPr>
          <w:color w:val="000000" w:themeColor="text1"/>
          <w:sz w:val="16"/>
          <w:szCs w:val="16"/>
        </w:rPr>
      </w:pPr>
      <w:r w:rsidRPr="00F90EAE">
        <w:rPr>
          <w:color w:val="000000" w:themeColor="text1"/>
          <w:sz w:val="16"/>
          <w:szCs w:val="16"/>
        </w:rPr>
        <w:t>«Первоначальное объяснение причин ступенчатой выработки цилиндров — «эксплу</w:t>
      </w:r>
      <w:r w:rsidRPr="00F90EAE">
        <w:rPr>
          <w:color w:val="000000" w:themeColor="text1"/>
          <w:sz w:val="16"/>
          <w:szCs w:val="16"/>
        </w:rPr>
        <w:softHyphen/>
        <w:t>атация самолётов на пыльных аэродромах», явилось не правильным, так как целый ряд предупредительных мероприя</w:t>
      </w:r>
      <w:r w:rsidRPr="00F90EAE">
        <w:rPr>
          <w:color w:val="000000" w:themeColor="text1"/>
          <w:sz w:val="16"/>
          <w:szCs w:val="16"/>
        </w:rPr>
        <w:softHyphen/>
        <w:t>тий (смазывание маслом внут</w:t>
      </w:r>
      <w:r w:rsidRPr="00F90EAE">
        <w:rPr>
          <w:color w:val="000000" w:themeColor="text1"/>
          <w:sz w:val="16"/>
          <w:szCs w:val="16"/>
        </w:rPr>
        <w:softHyphen/>
        <w:t>ренней полости всасывающего сопла и противопыльных фильтров, регулярная замена масла через каждые пять часов полёта, строгое соблюдение правил эксплуатации данного мотора лётным составом и дру</w:t>
      </w:r>
      <w:r w:rsidRPr="00F90EAE">
        <w:rPr>
          <w:color w:val="000000" w:themeColor="text1"/>
          <w:sz w:val="16"/>
          <w:szCs w:val="16"/>
        </w:rPr>
        <w:softHyphen/>
        <w:t>гих мероприятий, проводимые техническим составом) положи</w:t>
      </w:r>
      <w:r w:rsidRPr="00F90EAE">
        <w:rPr>
          <w:color w:val="000000" w:themeColor="text1"/>
          <w:sz w:val="16"/>
          <w:szCs w:val="16"/>
        </w:rPr>
        <w:softHyphen/>
        <w:t>тельных результатов по умень</w:t>
      </w:r>
      <w:r w:rsidRPr="00F90EAE">
        <w:rPr>
          <w:color w:val="000000" w:themeColor="text1"/>
          <w:sz w:val="16"/>
          <w:szCs w:val="16"/>
        </w:rPr>
        <w:softHyphen/>
        <w:t>шению расхода масла не дало, а поэтому основной причиной ступенчатой выработки цилиндров нужно считать: — несоответствие техническим условиям изготовление цилиндров, поршневых колец и направляющих клапанов» (15829).</w:t>
      </w:r>
    </w:p>
    <w:p w14:paraId="68DC473E" w14:textId="77777777" w:rsidR="00BC1830" w:rsidRPr="00F90EAE" w:rsidRDefault="00BC1830" w:rsidP="00F90EAE">
      <w:pPr>
        <w:jc w:val="both"/>
        <w:rPr>
          <w:color w:val="000000" w:themeColor="text1"/>
          <w:sz w:val="16"/>
          <w:szCs w:val="16"/>
        </w:rPr>
      </w:pPr>
    </w:p>
    <w:p w14:paraId="65A6034B" w14:textId="77777777" w:rsidR="00BC1830" w:rsidRPr="00F90EAE" w:rsidRDefault="00BC1830" w:rsidP="00F90EAE">
      <w:pPr>
        <w:jc w:val="both"/>
        <w:rPr>
          <w:color w:val="000000" w:themeColor="text1"/>
          <w:sz w:val="16"/>
          <w:szCs w:val="16"/>
        </w:rPr>
      </w:pPr>
      <w:r w:rsidRPr="00F90EAE">
        <w:rPr>
          <w:color w:val="000000" w:themeColor="text1"/>
          <w:sz w:val="16"/>
          <w:szCs w:val="16"/>
        </w:rPr>
        <w:t>В январе 1945 г. в отчёте старшего военпреда завода №19 инженер-майора И.К. Четверика отмеча</w:t>
      </w:r>
      <w:r w:rsidRPr="00F90EAE">
        <w:rPr>
          <w:color w:val="000000" w:themeColor="text1"/>
          <w:sz w:val="16"/>
          <w:szCs w:val="16"/>
        </w:rPr>
        <w:softHyphen/>
        <w:t>лось:</w:t>
      </w:r>
    </w:p>
    <w:p w14:paraId="2CD9320F" w14:textId="77777777" w:rsidR="00BC1830" w:rsidRPr="00F90EAE" w:rsidRDefault="00BC1830" w:rsidP="00F90EAE">
      <w:pPr>
        <w:jc w:val="both"/>
        <w:rPr>
          <w:color w:val="000000" w:themeColor="text1"/>
          <w:sz w:val="16"/>
          <w:szCs w:val="16"/>
        </w:rPr>
      </w:pPr>
      <w:r w:rsidRPr="00F90EAE">
        <w:rPr>
          <w:color w:val="000000" w:themeColor="text1"/>
          <w:sz w:val="16"/>
          <w:szCs w:val="16"/>
        </w:rPr>
        <w:t>«...Эксплуатация моторов проводилась на Ту-2, Пе-8, Ла-5, Ла-7, Ли-2. На Ту-2 и Пе-8 в большинстве случаев моторы отрабатывают свой ресурс, а на всех остальных лимитирует цилиндро</w:t>
      </w:r>
      <w:r w:rsidRPr="00F90EAE">
        <w:rPr>
          <w:color w:val="000000" w:themeColor="text1"/>
          <w:sz w:val="16"/>
          <w:szCs w:val="16"/>
        </w:rPr>
        <w:softHyphen/>
        <w:t>вая группа, особенно на Ла-7.</w:t>
      </w:r>
    </w:p>
    <w:p w14:paraId="23622CD0" w14:textId="77777777" w:rsidR="00BC1830" w:rsidRPr="00F90EAE" w:rsidRDefault="00BC1830" w:rsidP="00F90EAE">
      <w:pPr>
        <w:jc w:val="both"/>
        <w:rPr>
          <w:color w:val="000000" w:themeColor="text1"/>
          <w:sz w:val="16"/>
          <w:szCs w:val="16"/>
        </w:rPr>
      </w:pPr>
      <w:r w:rsidRPr="00F90EAE">
        <w:rPr>
          <w:color w:val="000000" w:themeColor="text1"/>
          <w:sz w:val="16"/>
          <w:szCs w:val="16"/>
        </w:rPr>
        <w:t>Для устранения преждевременного износа ци</w:t>
      </w:r>
      <w:r w:rsidRPr="00F90EAE">
        <w:rPr>
          <w:color w:val="000000" w:themeColor="text1"/>
          <w:sz w:val="16"/>
          <w:szCs w:val="16"/>
        </w:rPr>
        <w:softHyphen/>
        <w:t>линдровой группы на самолётах Ла-7 заводом вы</w:t>
      </w:r>
      <w:r w:rsidRPr="00F90EAE">
        <w:rPr>
          <w:color w:val="000000" w:themeColor="text1"/>
          <w:sz w:val="16"/>
          <w:szCs w:val="16"/>
        </w:rPr>
        <w:softHyphen/>
        <w:t>пускается эксплуатационный бюллетень, в котором предусмотрены профилактические мероприятия...» (15829).</w:t>
      </w:r>
    </w:p>
    <w:p w14:paraId="085DE65B" w14:textId="77777777" w:rsidR="00BC1830" w:rsidRPr="00F90EAE" w:rsidRDefault="00BC1830" w:rsidP="00F90EAE">
      <w:pPr>
        <w:jc w:val="both"/>
        <w:rPr>
          <w:color w:val="000000" w:themeColor="text1"/>
          <w:sz w:val="16"/>
          <w:szCs w:val="16"/>
        </w:rPr>
      </w:pPr>
      <w:r w:rsidRPr="00F90EAE">
        <w:rPr>
          <w:color w:val="000000" w:themeColor="text1"/>
          <w:sz w:val="16"/>
          <w:szCs w:val="16"/>
        </w:rPr>
        <w:t>В марте 1945 в отчёте старшего военпреда завода №19 инженер-майора И.К. Четверика отмеча</w:t>
      </w:r>
      <w:r w:rsidRPr="00F90EAE">
        <w:rPr>
          <w:color w:val="000000" w:themeColor="text1"/>
          <w:sz w:val="16"/>
          <w:szCs w:val="16"/>
        </w:rPr>
        <w:softHyphen/>
        <w:t>лось:</w:t>
      </w:r>
    </w:p>
    <w:p w14:paraId="155AECC8" w14:textId="77777777" w:rsidR="00BC1830" w:rsidRPr="00F90EAE" w:rsidRDefault="00BC1830" w:rsidP="00F90EAE">
      <w:pPr>
        <w:jc w:val="both"/>
        <w:rPr>
          <w:color w:val="000000" w:themeColor="text1"/>
          <w:sz w:val="16"/>
          <w:szCs w:val="16"/>
        </w:rPr>
      </w:pPr>
      <w:r w:rsidRPr="00F90EAE">
        <w:rPr>
          <w:color w:val="000000" w:themeColor="text1"/>
          <w:sz w:val="16"/>
          <w:szCs w:val="16"/>
        </w:rPr>
        <w:t>«В каждой воздушной армии созданы то</w:t>
      </w:r>
      <w:r w:rsidRPr="00F90EAE">
        <w:rPr>
          <w:color w:val="000000" w:themeColor="text1"/>
          <w:sz w:val="16"/>
          <w:szCs w:val="16"/>
        </w:rPr>
        <w:softHyphen/>
        <w:t>чки по замене цилиндров на Ла-7, куда выделены заводские бригады. Для меньшего простоя самолё</w:t>
      </w:r>
      <w:r w:rsidRPr="00F90EAE">
        <w:rPr>
          <w:color w:val="000000" w:themeColor="text1"/>
          <w:sz w:val="16"/>
          <w:szCs w:val="16"/>
        </w:rPr>
        <w:softHyphen/>
        <w:t>ты в указанные точки приходят лётом, где после за</w:t>
      </w:r>
      <w:r w:rsidRPr="00F90EAE">
        <w:rPr>
          <w:color w:val="000000" w:themeColor="text1"/>
          <w:sz w:val="16"/>
          <w:szCs w:val="16"/>
        </w:rPr>
        <w:softHyphen/>
        <w:t>мены цилиндровой группы проводят приработку мотора и облёт по кругу, с последующей отметкой в формуляре о допуске мотора к эксплоатации...</w:t>
      </w:r>
    </w:p>
    <w:p w14:paraId="5C3A5F37" w14:textId="77777777" w:rsidR="00BC1830" w:rsidRPr="00F90EAE" w:rsidRDefault="00BC1830" w:rsidP="00F90EAE">
      <w:pPr>
        <w:jc w:val="both"/>
        <w:rPr>
          <w:color w:val="000000" w:themeColor="text1"/>
          <w:sz w:val="16"/>
          <w:szCs w:val="16"/>
        </w:rPr>
      </w:pPr>
      <w:r w:rsidRPr="00F90EAE">
        <w:rPr>
          <w:color w:val="000000" w:themeColor="text1"/>
          <w:sz w:val="16"/>
          <w:szCs w:val="16"/>
        </w:rPr>
        <w:t>Из поступивших отчётов можно сделать вывод, что цилиндровая группа моторов АШ-82ФН лими</w:t>
      </w:r>
      <w:r w:rsidRPr="00F90EAE">
        <w:rPr>
          <w:color w:val="000000" w:themeColor="text1"/>
          <w:sz w:val="16"/>
          <w:szCs w:val="16"/>
        </w:rPr>
        <w:softHyphen/>
        <w:t>тирует ресурс работы моторов как на Ла-7, так и на Ла-5. Выработка установленного ресурса рабо</w:t>
      </w:r>
      <w:r w:rsidRPr="00F90EAE">
        <w:rPr>
          <w:color w:val="000000" w:themeColor="text1"/>
          <w:sz w:val="16"/>
          <w:szCs w:val="16"/>
        </w:rPr>
        <w:softHyphen/>
        <w:t>ты мотора является редким явлением, и притом с заменой нескольких цилиндров...» (14829).</w:t>
      </w:r>
    </w:p>
    <w:p w14:paraId="4663A16A" w14:textId="77777777" w:rsidR="00BC1830" w:rsidRPr="00F90EAE" w:rsidRDefault="00BC1830" w:rsidP="00F90EAE">
      <w:pPr>
        <w:jc w:val="both"/>
        <w:rPr>
          <w:color w:val="000000" w:themeColor="text1"/>
          <w:sz w:val="16"/>
          <w:szCs w:val="16"/>
        </w:rPr>
      </w:pPr>
    </w:p>
    <w:p w14:paraId="773430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А.И.Шахурин писал письмо наркому ВМФ адмиралу Кузнецову На N 97сс</w:t>
      </w:r>
    </w:p>
    <w:p w14:paraId="28388C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Согласен включить в проект Постановления ГОКО задание опытно-конструкторскому бюро завода N 455 конструктивно разработать и отработать техническую документацию на прибор ХАРП-250-200А.</w:t>
      </w:r>
    </w:p>
    <w:p w14:paraId="1C64E3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опытных образцов для гос. испытаний ОКБ-455 поручить не возможно из-за отсутствия производственных мощностей.</w:t>
      </w:r>
    </w:p>
    <w:p w14:paraId="657D1A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опытной партии по чертежам ОКБ-455 для гос. испытаний целесообразно поручить НКБ (завод N 67), так как аналогичный прибор ХАРП-500-300А идет у них в серийном производстве (2595,8).</w:t>
      </w:r>
    </w:p>
    <w:p w14:paraId="0B6DEB14" w14:textId="77777777" w:rsidR="00C2313B" w:rsidRPr="00F90EAE" w:rsidRDefault="00C2313B" w:rsidP="00F90EAE">
      <w:pPr>
        <w:autoSpaceDE w:val="0"/>
        <w:autoSpaceDN w:val="0"/>
        <w:adjustRightInd w:val="0"/>
        <w:jc w:val="both"/>
        <w:rPr>
          <w:color w:val="000000" w:themeColor="text1"/>
          <w:sz w:val="16"/>
          <w:szCs w:val="16"/>
        </w:rPr>
      </w:pPr>
    </w:p>
    <w:p w14:paraId="12E024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гл. конструктор ОКБ-455 Картуков писал письмо Шахурину.</w:t>
      </w:r>
    </w:p>
    <w:p w14:paraId="3BE6F7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вопросу требования НК ВМФ на отработку и изготовление опытных образцов химического авиационного разового прибора ХАРП-200А докладываю:</w:t>
      </w:r>
    </w:p>
    <w:p w14:paraId="26A793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Прибор ХАРП-250-200А по принципу работы подобен принятому на вооружение ВВС ВМФ - прибору ХАРП-500-300А, который был разработан и отработан в ОКБ-455 в 1942-44 г.г. По заказу ВВС ВМФ завод N 67 НКБ изготавливает в настоящее время малую серию этих приборов. В связи с тем, что мое ОКБ имеет опытный цех с малой мощностью, изготовить в 1945 году опытную партию приборов ХАРП-250-200А для гос. испытаний без ущерба для других опытных работ мы не сможем.</w:t>
      </w:r>
    </w:p>
    <w:p w14:paraId="05D6A7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Считаю возможным принять к выполнению в ОКБ-455 в I-II квартале 45 года разработку чертежей, отработку технической документации и изготовление нескольких приборов для проверки на заводских наземных испытаниях правильности выбранных конструктивных параметров.</w:t>
      </w:r>
    </w:p>
    <w:p w14:paraId="16D966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опытной партии в количестве 50-100 шт. для проведения гос. испытаний считаю целесообразным поручить по нашим чертежам и технической документации заводу N 67 НКБ (2595,9).</w:t>
      </w:r>
    </w:p>
    <w:p w14:paraId="2D3B836C" w14:textId="77777777" w:rsidR="00C2313B" w:rsidRPr="00F90EAE" w:rsidRDefault="00C2313B" w:rsidP="00F90EAE">
      <w:pPr>
        <w:autoSpaceDE w:val="0"/>
        <w:autoSpaceDN w:val="0"/>
        <w:adjustRightInd w:val="0"/>
        <w:jc w:val="both"/>
        <w:rPr>
          <w:color w:val="000000" w:themeColor="text1"/>
          <w:sz w:val="16"/>
          <w:szCs w:val="16"/>
        </w:rPr>
      </w:pPr>
    </w:p>
    <w:p w14:paraId="5F2D8A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состоялись контрольные испытания опытно-серийной партии авиабомб в 50 штук и они закончились с положительным результатом за исключением отмеченного ранее превышения массы боеприпаса на 1,3 кг. Однако это не помешало принять его на вооружение ВВС с присвоением номера чертежа 3-01460 и индекса ВВС 7-ОФ-276 (7453).</w:t>
      </w:r>
    </w:p>
    <w:p w14:paraId="7129CFB0" w14:textId="77777777" w:rsidR="00C2313B" w:rsidRPr="00F90EAE" w:rsidRDefault="00C2313B" w:rsidP="00F90EAE">
      <w:pPr>
        <w:autoSpaceDE w:val="0"/>
        <w:autoSpaceDN w:val="0"/>
        <w:adjustRightInd w:val="0"/>
        <w:jc w:val="both"/>
        <w:rPr>
          <w:color w:val="000000" w:themeColor="text1"/>
          <w:sz w:val="16"/>
          <w:szCs w:val="16"/>
        </w:rPr>
      </w:pPr>
    </w:p>
    <w:p w14:paraId="6C118C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на вооружение приняли авиационные парашютные донные неконтактные мины АМД-2-500 и АМД-2-1000 с двухканальным взрывателем. Их с декабря 1942 по июль 1943 в Каспийском море (1085,176).</w:t>
      </w:r>
    </w:p>
    <w:p w14:paraId="783B49ED" w14:textId="77777777" w:rsidR="00C2313B" w:rsidRPr="00F90EAE" w:rsidRDefault="00C2313B" w:rsidP="00F90EAE">
      <w:pPr>
        <w:autoSpaceDE w:val="0"/>
        <w:autoSpaceDN w:val="0"/>
        <w:adjustRightInd w:val="0"/>
        <w:jc w:val="both"/>
        <w:rPr>
          <w:color w:val="000000" w:themeColor="text1"/>
          <w:sz w:val="16"/>
          <w:szCs w:val="16"/>
        </w:rPr>
      </w:pPr>
    </w:p>
    <w:p w14:paraId="158FF0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донные неконтактные мины АМД-2-500 приняли на вооружение (561,28).</w:t>
      </w:r>
    </w:p>
    <w:p w14:paraId="4DFBCC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Оценить успехи минной постановки не удалось. Поставили 2387 за 1658 вылетов. После войны на складах осталось 3000. Плотность постановки была низкой, восстановление полей и их защита не проводились, систематического наблюдения не вели и оценить эффективность невозможно (1086,177).</w:t>
      </w:r>
    </w:p>
    <w:p w14:paraId="4FD497F0" w14:textId="77777777" w:rsidR="00C2313B" w:rsidRPr="00F90EAE" w:rsidRDefault="00C2313B" w:rsidP="00F90EAE">
      <w:pPr>
        <w:autoSpaceDE w:val="0"/>
        <w:autoSpaceDN w:val="0"/>
        <w:adjustRightInd w:val="0"/>
        <w:jc w:val="both"/>
        <w:rPr>
          <w:color w:val="000000" w:themeColor="text1"/>
          <w:sz w:val="16"/>
          <w:szCs w:val="16"/>
        </w:rPr>
      </w:pPr>
    </w:p>
    <w:p w14:paraId="29D5B7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января 1945 года началось планомерное изучение В-29. В общем итоге в руках ВВС Тихоокеанского Флота оказалось три В-29 в различной степени исправности. Нарком военно-морского флота адмирал Н.Г.Кузнецов приказал организовать изучение новой американской техники. Для этого на Дальний Восток направили заместителя начальника летной инспекции ВВС ВМФ подполковника С.Б.Рейделя. Рейдель, работавший ранее испытателем в Отдельном морском отряде Научно-испытательного института ВВС, а затем в НИИ ВВС Военно-морского флота в Севастополе, за свою жизнь освоил много типов самолетов, владел английским языком. Поскольку па Тихоокеанском флоте в то время не было пилотов, знакомых с американскими машинами (ленд-лизовские самолеты шли прямо на фронт), с Черного моря откомандировали еще двух летчиков (одним из них был В. П.Марунов), до этого летавших на американских А-20. Инженеров А.Ф.Чернова и М.М.Круглова отобрали из состава ВВС Тихоокеанского флота. Рейдель самостоятельно освоил В-29, используя документацию, найденную на одном из самолетов. Сначала он рулил но аэродрому, делал подлеты и, наконец, взлетел (3457,120).</w:t>
      </w:r>
    </w:p>
    <w:p w14:paraId="06FB85C9" w14:textId="77777777" w:rsidR="00C2313B" w:rsidRPr="00F90EAE" w:rsidRDefault="00C2313B" w:rsidP="00F90EAE">
      <w:pPr>
        <w:autoSpaceDE w:val="0"/>
        <w:autoSpaceDN w:val="0"/>
        <w:adjustRightInd w:val="0"/>
        <w:jc w:val="both"/>
        <w:rPr>
          <w:color w:val="000000" w:themeColor="text1"/>
          <w:sz w:val="16"/>
          <w:szCs w:val="16"/>
        </w:rPr>
      </w:pPr>
    </w:p>
    <w:p w14:paraId="7A4824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года в отчете старшего военпреда завода №19 инженер-майора И.К. Четверика от</w:t>
      </w:r>
      <w:r w:rsidRPr="00F90EAE">
        <w:rPr>
          <w:color w:val="000000" w:themeColor="text1"/>
          <w:sz w:val="16"/>
          <w:szCs w:val="16"/>
        </w:rPr>
        <w:softHyphen/>
        <w:t>мечалось:</w:t>
      </w:r>
    </w:p>
    <w:p w14:paraId="3C9D8F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Эксплоатация моторов прово</w:t>
      </w:r>
      <w:r w:rsidRPr="00F90EAE">
        <w:rPr>
          <w:color w:val="000000" w:themeColor="text1"/>
          <w:sz w:val="16"/>
          <w:szCs w:val="16"/>
        </w:rPr>
        <w:softHyphen/>
        <w:t>дилась на самолетах Ту-2, Пе-8, Ла-5, Ла-7, Ли-2. На самолетах Ту-2 и Пе-8 в большинстве случаев моторы от</w:t>
      </w:r>
      <w:r w:rsidRPr="00F90EAE">
        <w:rPr>
          <w:color w:val="000000" w:themeColor="text1"/>
          <w:sz w:val="16"/>
          <w:szCs w:val="16"/>
        </w:rPr>
        <w:softHyphen/>
        <w:t>рабатывают свой ресурс, а на всех остальных лимитирует цилиндровая группа, особенно на самолетах Ла-7.</w:t>
      </w:r>
    </w:p>
    <w:p w14:paraId="03A17D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устранения преждевременно</w:t>
      </w:r>
      <w:r w:rsidRPr="00F90EAE">
        <w:rPr>
          <w:color w:val="000000" w:themeColor="text1"/>
          <w:sz w:val="16"/>
          <w:szCs w:val="16"/>
        </w:rPr>
        <w:softHyphen/>
        <w:t>го износа цилиндровой группы на са</w:t>
      </w:r>
      <w:r w:rsidRPr="00F90EAE">
        <w:rPr>
          <w:color w:val="000000" w:themeColor="text1"/>
          <w:sz w:val="16"/>
          <w:szCs w:val="16"/>
        </w:rPr>
        <w:softHyphen/>
        <w:t>молетах Ла-7 заводом выпускается эксплоатационный бюллетень, в ко</w:t>
      </w:r>
      <w:r w:rsidRPr="00F90EAE">
        <w:rPr>
          <w:color w:val="000000" w:themeColor="text1"/>
          <w:sz w:val="16"/>
          <w:szCs w:val="16"/>
        </w:rPr>
        <w:softHyphen/>
        <w:t>тором предусмотрены профилакти</w:t>
      </w:r>
      <w:r w:rsidRPr="00F90EAE">
        <w:rPr>
          <w:color w:val="000000" w:themeColor="text1"/>
          <w:sz w:val="16"/>
          <w:szCs w:val="16"/>
        </w:rPr>
        <w:softHyphen/>
        <w:t>ческие мероприятия...» (10730).</w:t>
      </w:r>
    </w:p>
    <w:p w14:paraId="6566667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474F11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года в докладе «О работе моторов АШ-82ФН, установленных на самолетах Ла-5 и Ла-7 в 1-м Гвардейском ис</w:t>
      </w:r>
      <w:r w:rsidRPr="00F90EAE">
        <w:rPr>
          <w:color w:val="000000" w:themeColor="text1"/>
          <w:sz w:val="16"/>
          <w:szCs w:val="16"/>
        </w:rPr>
        <w:softHyphen/>
        <w:t>требительном авиационном Минском корпусе» говорилось:</w:t>
      </w:r>
    </w:p>
    <w:p w14:paraId="3552CD3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«Первоначальное объяснение причин ступенчатой выработки ци</w:t>
      </w:r>
      <w:r w:rsidRPr="00F90EAE">
        <w:rPr>
          <w:color w:val="000000" w:themeColor="text1"/>
          <w:sz w:val="16"/>
          <w:szCs w:val="16"/>
        </w:rPr>
        <w:softHyphen/>
        <w:t>линдров — «эксплоатация самолетов на пыльных аэродромах», явилось не правильным, так как целый ряд пре</w:t>
      </w:r>
      <w:r w:rsidRPr="00F90EAE">
        <w:rPr>
          <w:color w:val="000000" w:themeColor="text1"/>
          <w:sz w:val="16"/>
          <w:szCs w:val="16"/>
        </w:rPr>
        <w:softHyphen/>
        <w:t>дупредительных мероприятий (сма</w:t>
      </w:r>
      <w:r w:rsidRPr="00F90EAE">
        <w:rPr>
          <w:color w:val="000000" w:themeColor="text1"/>
          <w:sz w:val="16"/>
          <w:szCs w:val="16"/>
        </w:rPr>
        <w:softHyphen/>
        <w:t>зывание маслом внутренней полос</w:t>
      </w:r>
      <w:r w:rsidRPr="00F90EAE">
        <w:rPr>
          <w:color w:val="000000" w:themeColor="text1"/>
          <w:sz w:val="16"/>
          <w:szCs w:val="16"/>
        </w:rPr>
        <w:softHyphen/>
        <w:t>ти всасывающего сопла и противо</w:t>
      </w:r>
      <w:r w:rsidRPr="00F90EAE">
        <w:rPr>
          <w:color w:val="000000" w:themeColor="text1"/>
          <w:sz w:val="16"/>
          <w:szCs w:val="16"/>
        </w:rPr>
        <w:softHyphen/>
        <w:t>пыльных фильтров, регулярная заме</w:t>
      </w:r>
      <w:r w:rsidRPr="00F90EAE">
        <w:rPr>
          <w:color w:val="000000" w:themeColor="text1"/>
          <w:sz w:val="16"/>
          <w:szCs w:val="16"/>
        </w:rPr>
        <w:softHyphen/>
        <w:t>на масла через каждые пять часов полета, строгое соблюдение правил эксплоатации данного мотора лет</w:t>
      </w:r>
      <w:r w:rsidRPr="00F90EAE">
        <w:rPr>
          <w:color w:val="000000" w:themeColor="text1"/>
          <w:sz w:val="16"/>
          <w:szCs w:val="16"/>
        </w:rPr>
        <w:softHyphen/>
        <w:t>ным составом и других мероприя</w:t>
      </w:r>
      <w:r w:rsidRPr="00F90EAE">
        <w:rPr>
          <w:color w:val="000000" w:themeColor="text1"/>
          <w:sz w:val="16"/>
          <w:szCs w:val="16"/>
        </w:rPr>
        <w:softHyphen/>
        <w:t>тий, проводимые техническим соста</w:t>
      </w:r>
      <w:r w:rsidRPr="00F90EAE">
        <w:rPr>
          <w:color w:val="000000" w:themeColor="text1"/>
          <w:sz w:val="16"/>
          <w:szCs w:val="16"/>
        </w:rPr>
        <w:softHyphen/>
        <w:t>вом) положительных результатов по уменьшению расхода масла не дало, а поэтому основной причиной сту</w:t>
      </w:r>
      <w:r w:rsidRPr="00F90EAE">
        <w:rPr>
          <w:color w:val="000000" w:themeColor="text1"/>
          <w:sz w:val="16"/>
          <w:szCs w:val="16"/>
        </w:rPr>
        <w:softHyphen/>
        <w:t>пенчатой выработки цилиндров нуж</w:t>
      </w:r>
      <w:r w:rsidRPr="00F90EAE">
        <w:rPr>
          <w:color w:val="000000" w:themeColor="text1"/>
          <w:sz w:val="16"/>
          <w:szCs w:val="16"/>
        </w:rPr>
        <w:softHyphen/>
        <w:t>но считать: - несоответствие техни</w:t>
      </w:r>
      <w:r w:rsidRPr="00F90EAE">
        <w:rPr>
          <w:color w:val="000000" w:themeColor="text1"/>
          <w:sz w:val="16"/>
          <w:szCs w:val="16"/>
        </w:rPr>
        <w:softHyphen/>
        <w:t>ческим условиям изготовление ци</w:t>
      </w:r>
      <w:r w:rsidRPr="00F90EAE">
        <w:rPr>
          <w:color w:val="000000" w:themeColor="text1"/>
          <w:sz w:val="16"/>
          <w:szCs w:val="16"/>
        </w:rPr>
        <w:softHyphen/>
        <w:t>линдров, поршневых колец и направ</w:t>
      </w:r>
      <w:r w:rsidRPr="00F90EAE">
        <w:rPr>
          <w:color w:val="000000" w:themeColor="text1"/>
          <w:sz w:val="16"/>
          <w:szCs w:val="16"/>
        </w:rPr>
        <w:softHyphen/>
        <w:t>ляющих клапанов» (10730).</w:t>
      </w:r>
    </w:p>
    <w:p w14:paraId="44985F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49935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проводились испытания нагнетателя "Э-67В" на Ла-5 с АШ-82ФН N 39212183. Прошли удовлетворительно (744,3).</w:t>
      </w:r>
    </w:p>
    <w:p w14:paraId="2493EDFD" w14:textId="77777777" w:rsidR="00C2313B" w:rsidRPr="00F90EAE" w:rsidRDefault="00C2313B" w:rsidP="00F90EAE">
      <w:pPr>
        <w:autoSpaceDE w:val="0"/>
        <w:autoSpaceDN w:val="0"/>
        <w:adjustRightInd w:val="0"/>
        <w:jc w:val="both"/>
        <w:rPr>
          <w:color w:val="000000" w:themeColor="text1"/>
          <w:sz w:val="16"/>
          <w:szCs w:val="16"/>
        </w:rPr>
      </w:pPr>
    </w:p>
    <w:p w14:paraId="5A1DCF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начались летные испытания самолета "120" - прообраза будущего Ла-9. В конструкции "120" более широко, чем на Ла-7, применялся металл, но он еще не был цельнометаллическим; крыло имело ламинарный профиль, вооружение усилено за счет установки двух новых пушек НС-23. С двигателем АШ-83 опытный истребитель "120" достиг на испытаниях скорости 725 км/ч; Ла-7 с обычным крылом и двигателем АШ-83 на испытаниях в августе 1944 показал только 701 км/ч - прирост скорости в 24 км/ч произошел на "120" за счет применения ламинарного крыла и улучшения аэродинамики. Следующим шагом к Ла-9 стал самолет "126", испытания которого с декабря 1945 г. по апрель 1946 г. проводили летчики А.В.Давыдов, И.Е.Федоров и А.А.Попов. От "120" он отличался двигателем АШ-82ФН и усиленным четырехпушечным вооружением (4 пушки НС-23 с боезапасом 290 снарядов). Крыло "126-го" имело фанерную обшивку, но уже металлический силовой набор. Следующим шагом стал полностью металлический самолет "130", запущенный в серийное производство под обозначением Ла-9 (4707).</w:t>
      </w:r>
    </w:p>
    <w:p w14:paraId="44A7FA92" w14:textId="77777777" w:rsidR="00C2313B" w:rsidRPr="00F90EAE" w:rsidRDefault="00C2313B" w:rsidP="00F90EAE">
      <w:pPr>
        <w:autoSpaceDE w:val="0"/>
        <w:autoSpaceDN w:val="0"/>
        <w:adjustRightInd w:val="0"/>
        <w:jc w:val="both"/>
        <w:rPr>
          <w:color w:val="000000" w:themeColor="text1"/>
          <w:sz w:val="16"/>
          <w:szCs w:val="16"/>
        </w:rPr>
      </w:pPr>
    </w:p>
    <w:p w14:paraId="7B4495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январе 1945 г. начались испытания самолета "120", а в июле на нем достигли скорости 735 км/ч, что на 24 км/ч превышало аналогичный показатель опытного образца Ла-7 с таким же мотором. И все это на номинальном режиме работы двигателя, а ведь у него имелся резерв - боевой режим, который, правда, так и не довелось опробовать. АШ-83 требовал доводки, за время испытаний на истребителе сменили пять моторов. Видимо, это обстоятельство и стало причиной прекращения дальнейшей работы над этим двигателем. Поскольку АШ-83 не смог достичь требуемого уровня надежности, его выпуск довольно быстро прекратили. После войны ряд технических решений, опробованных на нем, использовали при создании двигателя АШ-82Т. Так АШ-83 решил судьбу самолета "120", построенного всего в двух экземплярах.</w:t>
      </w:r>
    </w:p>
    <w:p w14:paraId="111C770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Один из них в 1945 г. превратили в "полуреактивный" истребитель "120Р". При его проектировании использовали опыт, полученный при испытаниях более ранних аналогичных машин Ла-7Р-1 и Ла-7Р-2. Поршневой мотор дополнили ЖРД РД-1ХЗ, установленным в хвостовой части фюзеляжа. ЖРД, развивавший тягу в 300 кг, позволял ненадолго, но значительно увеличить скорость самолета; при этом возрастала и скороподъемность. Такой истребитель мог быть использован как перехватчик малого радиуса действия для защиты особо важных объектов. По замыслу конструкторов, "полуреактивный" самолет должен был быстро набирать высоту и догонять противника. Но после израсходования горючего и окислителя ЖРД и его баки становились бесполезным грузом, ухудшая летные данные машины. Кроме того, для размещения баков для ЖРД приходилось частично жертвовать запасом бензина для поршневого мотора. Это ограничивало дальность полета.</w:t>
      </w:r>
    </w:p>
    <w:p w14:paraId="0C1030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Двигатель РД-1ХЗ работал на керосине и азотной кислоте, подававшихся из отдельных баков насосным агрегатом, приводившимся от мотора АШ-83. Буквы "ХЗ" означали "химическое зажигание" с помощью самовоспламеняющихся компонентов. Бак окислителя, вмещавший 270 кг азотной кислоты, находился в центроплане, а бак горючего (на 60 кг керосина) - в правой консоли крыла. Этого хватало на 3 - 3,5 мин полета. При этом запас бензина сократился до 210 кг. Управление ЖРД осуществлялось с помощью рычага газа и пускового крана (вентиля).</w:t>
      </w:r>
    </w:p>
    <w:p w14:paraId="64206A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Прежде чем установить на самолет "120" двигатель РД-1ХЗ, машину пришлось основательно перекомпоновать и полностью заменить хвостовую часть фюзеляжа вместе с оперением. Для компенсации дополнительного веса вместо одной из пушек НС-23 поставили более легкую Б-20. Мотор АШ-83 для сохранения центровки сместили на 70 мм вперед. Для той же цели "переехали" на другие места аккумулятор, маслобак и воздушный баллон. Внесли и кое-какие другие, более мелкие изменения. В результате появился самолет "120Р".</w:t>
      </w:r>
    </w:p>
    <w:p w14:paraId="4A9DA5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использование в силовой установке таких кислотостойких материалов, как чистый алюминий и его сплавы, а также нержавеющая сталь, агрессивная кислота, попадая на некоторые агрегаты и узлы, безжалостно их разъедала, приводя в негодность. Подготовка самолета к полету была сопряжена с постоянной опасностью, особенно в момент заправки бака окислителем. Ядовитые пары азотной кислоты вызывали законную настороженность и у летчиков, и у наземного состава. Надежность РЛ-1ХЗ была выше, чем у его предшественника РД-1, но никто не мог дать гарантии, что вместо запуска не произойдет взрыв, что уже имело место на Ла-7Р-2.</w:t>
      </w:r>
    </w:p>
    <w:p w14:paraId="1CD8F0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испытаниях, кроме доводки ЖРД, пришлось повозиться с доработкой топливной и масляной систем истребителя. На самолете "120Р" из шестнадцати полетов с работающим ЖРД удалось сделать лишь семь. В одном из них зарегистрировали скорость 725 км/ч, то есть дополнительный двигатель дал прирост 103 км/ч. Самолет "120Р" публично продемонстрировали на воздушном празднике в Тушино в 1946 г., пилотировал его летчик А.В. Давыдов. Испытания этой машины завершились 13 августа, когда из-за воспламенения смеси компонентов топлива в подкапотном пространстве ЖРД обгорели хвостовая часть фюзеляжа и оперение. К этому времени ресурс мотора АШ-83 был почти выработан, да и планер истребителя оказался подпорчен азотной кислотой. Это поставило точку в биографии самолета "120Р" (11990).</w:t>
      </w:r>
    </w:p>
    <w:p w14:paraId="4980C2BB" w14:textId="77777777" w:rsidR="00C2313B" w:rsidRPr="00F90EAE" w:rsidRDefault="00C2313B" w:rsidP="00F90EAE">
      <w:pPr>
        <w:autoSpaceDE w:val="0"/>
        <w:autoSpaceDN w:val="0"/>
        <w:adjustRightInd w:val="0"/>
        <w:jc w:val="both"/>
        <w:rPr>
          <w:color w:val="000000" w:themeColor="text1"/>
          <w:sz w:val="16"/>
          <w:szCs w:val="16"/>
        </w:rPr>
      </w:pPr>
    </w:p>
    <w:p w14:paraId="6BBB68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при полетах Як-9 с мотором ВК-105ПД была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 (2592,223).</w:t>
      </w:r>
    </w:p>
    <w:p w14:paraId="0F9A99A5" w14:textId="77777777" w:rsidR="00C2313B" w:rsidRPr="00F90EAE" w:rsidRDefault="00C2313B" w:rsidP="00F90EAE">
      <w:pPr>
        <w:autoSpaceDE w:val="0"/>
        <w:autoSpaceDN w:val="0"/>
        <w:adjustRightInd w:val="0"/>
        <w:jc w:val="both"/>
        <w:rPr>
          <w:color w:val="000000" w:themeColor="text1"/>
          <w:sz w:val="16"/>
          <w:szCs w:val="16"/>
        </w:rPr>
      </w:pPr>
    </w:p>
    <w:p w14:paraId="39050C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проходили гос. испытания Як-9У N 39-083 с ВК-107А и ВИШ-107ЛО (1145,24). Это были контрольные испытания (65,154).</w:t>
      </w:r>
    </w:p>
    <w:p w14:paraId="11B6037A" w14:textId="77777777" w:rsidR="00C2313B" w:rsidRPr="00F90EAE" w:rsidRDefault="00C2313B" w:rsidP="00F90EAE">
      <w:pPr>
        <w:autoSpaceDE w:val="0"/>
        <w:autoSpaceDN w:val="0"/>
        <w:adjustRightInd w:val="0"/>
        <w:jc w:val="both"/>
        <w:rPr>
          <w:color w:val="000000" w:themeColor="text1"/>
          <w:sz w:val="16"/>
          <w:szCs w:val="16"/>
        </w:rPr>
      </w:pPr>
    </w:p>
    <w:p w14:paraId="0EB00B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в НИИ ВВС прошел контрольные испытания серийный Як-9У № 39-083 завода № 166, укомплектованный двумя синхронными УБСами и пушкой М П-20. По сравнению с серийной машиной № 25-021, испытывавшейся в прошлом году, установили механизм аварийного сбрасывания подвижной части фонаря и козырек с плоскими гранями в кабине пилота. Обрезали заднюю кромку элеронов и сняли из под зализов оперения груз весом 20 кг. Тогда же разместили в системе охлаждения двигателя сепаратор в расширительном бачке и диффузор в трубопроводе перед помпой, увеличили входную и выходную части тоннеля во- дорадиатора. Передатчик РСИ-3 заменили РСИ-ЗМ-1, коробки регуляторов и фильтров генератора перенесли под обшивку нулевых нервюр. Одновременно изменили пневмосистему, улучшили аэродинамику.</w:t>
      </w:r>
    </w:p>
    <w:p w14:paraId="12B43A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существенных преимуществ это не дало. Как следует из заключения по результатам контрольных испытаний, на самолете не устранили тряску мотора на пониженных режимах и перегрев масла при наборе высоты на режиме максимальной скороподъемности. Отсутствовал противопыль- ный фильтр во всасывающем патрубке. По- прежнему нагрузки на ручку управления от элеронов и руля высоты были большие; дальность радиосвязи считалась недостаточной и отсутствовала амортизация приборной доски (12046).</w:t>
      </w:r>
    </w:p>
    <w:p w14:paraId="273361C3" w14:textId="77777777" w:rsidR="00C2313B" w:rsidRPr="00F90EAE" w:rsidRDefault="00C2313B" w:rsidP="00F90EAE">
      <w:pPr>
        <w:autoSpaceDE w:val="0"/>
        <w:autoSpaceDN w:val="0"/>
        <w:adjustRightInd w:val="0"/>
        <w:jc w:val="both"/>
        <w:rPr>
          <w:color w:val="000000" w:themeColor="text1"/>
          <w:sz w:val="16"/>
          <w:szCs w:val="16"/>
        </w:rPr>
      </w:pPr>
    </w:p>
    <w:p w14:paraId="793A45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заводские испытания проходил первый высотный АМ-46. Новый двигатель был более чем в три раза мощнее микулинского первенца М-34. Удельная масса АМ-46Ф на чрезвычайном режиме составляла всего 0,37 кг/л.с., а на взлетном режиме - 0,40 кг/л.с. Такие данные свидетельствовали об огромном прогрессе, достигнутом ОКБ Микулина в первой половине сороковых годов (9030).</w:t>
      </w:r>
    </w:p>
    <w:p w14:paraId="4B914915" w14:textId="77777777" w:rsidR="00C2313B" w:rsidRPr="00F90EAE" w:rsidRDefault="00C2313B" w:rsidP="00F90EAE">
      <w:pPr>
        <w:autoSpaceDE w:val="0"/>
        <w:autoSpaceDN w:val="0"/>
        <w:adjustRightInd w:val="0"/>
        <w:jc w:val="both"/>
        <w:rPr>
          <w:color w:val="000000" w:themeColor="text1"/>
          <w:sz w:val="16"/>
          <w:szCs w:val="16"/>
        </w:rPr>
      </w:pPr>
    </w:p>
    <w:p w14:paraId="1FAD8F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один Р-38 совершил вынужденную посадку у местечка Надькереш под Будапештом. Этот самолет с надписью "Прайд оф Джейн" сопровождал бомбардировщики, был подбит и с убранным шасси плюхнулся на покрытое талым снегом поле, согнул винты, смял капоты моторов. Пилот не пострадал и был эвакуирован командой специалистов советской 5-й воздушной армии, увозя с собой саблю венгерского генерала, выменянную у наших пехотинцев на парашют (3457,89).</w:t>
      </w:r>
    </w:p>
    <w:p w14:paraId="6057EEE6" w14:textId="77777777" w:rsidR="00C2313B" w:rsidRPr="00F90EAE" w:rsidRDefault="00C2313B" w:rsidP="00F90EAE">
      <w:pPr>
        <w:autoSpaceDE w:val="0"/>
        <w:autoSpaceDN w:val="0"/>
        <w:adjustRightInd w:val="0"/>
        <w:jc w:val="both"/>
        <w:rPr>
          <w:color w:val="000000" w:themeColor="text1"/>
          <w:sz w:val="16"/>
          <w:szCs w:val="16"/>
        </w:rPr>
      </w:pPr>
    </w:p>
    <w:p w14:paraId="2874E3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был готов Як-10 (4,350).</w:t>
      </w:r>
    </w:p>
    <w:p w14:paraId="274B0EBD" w14:textId="77777777" w:rsidR="00C2313B" w:rsidRPr="00F90EAE" w:rsidRDefault="00C2313B" w:rsidP="00F90EAE">
      <w:pPr>
        <w:autoSpaceDE w:val="0"/>
        <w:autoSpaceDN w:val="0"/>
        <w:adjustRightInd w:val="0"/>
        <w:jc w:val="both"/>
        <w:rPr>
          <w:color w:val="000000" w:themeColor="text1"/>
          <w:sz w:val="16"/>
          <w:szCs w:val="16"/>
        </w:rPr>
      </w:pPr>
    </w:p>
    <w:p w14:paraId="058133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1945-го ОКБ А.С.Я. выпустило самолет, аналогичный Як-13 по назначению, но по схеме подкосного высокоплана - Як-10 (первоначально обозначавшийся Як-14). Самолет имел тот же двигатель М-11ФМ, но неубирающееся шасси.</w:t>
      </w:r>
    </w:p>
    <w:p w14:paraId="4890D4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Обе схемы - свободнонесущий низко-план Як-13 и подкосный высокоплан Як-10 имели свои преимущества. Схема низкоплана при одинаковой мощности двигатели обеспечивала большую максимальную скорость и скороподъемность, лучшее аэродинамическое качество и, как следствие, большую дальность полета. Схема высокоплана -более простую технику пилотирования и, следовательно, более быстрое освоение летчиками.</w:t>
      </w:r>
    </w:p>
    <w:p w14:paraId="77410D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Як-13 по летно-техническим характеристикам полностью соответствовал предъявляемым к нему требованиям и значительно превосходил Як-10 по максимальной скорости, скороподъемности и дальности полета. Но Як-10 требовал меньшую ВПП, то есть лучше подходил для санитарной и сельскохозяйственной авиации. В условиях 1945-го, когда экономика страны еще лежала в руинах, строить одновременно два практически однотипных самолета было не целесообразно. В серию запустили Як-10, имевший более широкий диапазон применения (6411).</w:t>
      </w:r>
    </w:p>
    <w:p w14:paraId="15BEFE55" w14:textId="77777777" w:rsidR="00C2313B" w:rsidRPr="00F90EAE" w:rsidRDefault="00C2313B" w:rsidP="00F90EAE">
      <w:pPr>
        <w:autoSpaceDE w:val="0"/>
        <w:autoSpaceDN w:val="0"/>
        <w:adjustRightInd w:val="0"/>
        <w:jc w:val="both"/>
        <w:rPr>
          <w:color w:val="000000" w:themeColor="text1"/>
          <w:sz w:val="16"/>
          <w:szCs w:val="16"/>
        </w:rPr>
      </w:pPr>
    </w:p>
    <w:p w14:paraId="5B2FCB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американские С-47 обслуживали линии из Москвы в Тбилиси, Ташкент, Алма-Ату, Хабаровск. Экипажи принимали технику прямо на трассе АЛСИБа - в Якутске. Всего ГВФ тогда получила 58 самолетов этого типа (3457,138).</w:t>
      </w:r>
    </w:p>
    <w:p w14:paraId="53986E85" w14:textId="77777777" w:rsidR="00C2313B" w:rsidRPr="00F90EAE" w:rsidRDefault="00C2313B" w:rsidP="00F90EAE">
      <w:pPr>
        <w:autoSpaceDE w:val="0"/>
        <w:autoSpaceDN w:val="0"/>
        <w:adjustRightInd w:val="0"/>
        <w:jc w:val="both"/>
        <w:rPr>
          <w:color w:val="000000" w:themeColor="text1"/>
          <w:sz w:val="16"/>
          <w:szCs w:val="16"/>
        </w:rPr>
      </w:pPr>
    </w:p>
    <w:p w14:paraId="19D4BA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С-47 стали летать из Москвы в Тегеран, где происходила стыковка с линией, обслуживавшейся американской военно-транспортной авиацией. Для этой цели США дополнительно предоставили десять самолетов. К концу войны 19-й полк насчитывал около полусотни машин (3457,137).</w:t>
      </w:r>
    </w:p>
    <w:p w14:paraId="110B9C28" w14:textId="77777777" w:rsidR="00C2313B" w:rsidRPr="00F90EAE" w:rsidRDefault="00C2313B" w:rsidP="00F90EAE">
      <w:pPr>
        <w:autoSpaceDE w:val="0"/>
        <w:autoSpaceDN w:val="0"/>
        <w:adjustRightInd w:val="0"/>
        <w:jc w:val="both"/>
        <w:rPr>
          <w:color w:val="000000" w:themeColor="text1"/>
          <w:sz w:val="16"/>
          <w:szCs w:val="16"/>
        </w:rPr>
      </w:pPr>
    </w:p>
    <w:p w14:paraId="05725B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И.Ф.Флоров в 4 секторе НИИ-1 начал разработку самолета с РД-2М3Ц (2928,79).</w:t>
      </w:r>
    </w:p>
    <w:p w14:paraId="0F25C90F" w14:textId="77777777" w:rsidR="00C2313B" w:rsidRPr="00F90EAE" w:rsidRDefault="00C2313B" w:rsidP="00F90EAE">
      <w:pPr>
        <w:autoSpaceDE w:val="0"/>
        <w:autoSpaceDN w:val="0"/>
        <w:adjustRightInd w:val="0"/>
        <w:jc w:val="both"/>
        <w:rPr>
          <w:color w:val="000000" w:themeColor="text1"/>
          <w:sz w:val="16"/>
          <w:szCs w:val="16"/>
        </w:rPr>
      </w:pPr>
    </w:p>
    <w:p w14:paraId="379EF2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Б.Н.Кудрин выполнил два полета на БИ с лыжным шасси и РД-1 А.М.Исаева - развитии Д-1А-1100. Всего было построено 9 Би и 30-40 недостроенных были уничтожены после гибели Г.Я.Бахчиванджи (173,408).</w:t>
      </w:r>
    </w:p>
    <w:p w14:paraId="67C55A56" w14:textId="77777777" w:rsidR="00C2313B" w:rsidRPr="00F90EAE" w:rsidRDefault="00C2313B" w:rsidP="00F90EAE">
      <w:pPr>
        <w:autoSpaceDE w:val="0"/>
        <w:autoSpaceDN w:val="0"/>
        <w:adjustRightInd w:val="0"/>
        <w:jc w:val="both"/>
        <w:rPr>
          <w:color w:val="000000" w:themeColor="text1"/>
          <w:sz w:val="16"/>
          <w:szCs w:val="16"/>
        </w:rPr>
      </w:pPr>
    </w:p>
    <w:p w14:paraId="192793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января 1945 в КБ завода № 24 под руководством М.Р.Флисского разрабатывался М-45 (АМ-45) - дальнейшее развитие АМ-44 с двухступенчатым ПЦН, интеркулером и непосредственным впрыском. Для этого двигателя в ЦИАМ специально спроектировали двухступенчатый четырехскоростной нагнетатель, испытывавшийся там же на стенде в марте - апреле 1945.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E410C3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Характеристики:</w:t>
      </w:r>
    </w:p>
    <w:p w14:paraId="407ED0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 диаметр цилиндра/ход поршня 160/190 (в цилиндрах с прицепными шатунами 196,8) мм;</w:t>
      </w:r>
    </w:p>
    <w:p w14:paraId="5C2030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объем 46,66 л;</w:t>
      </w:r>
    </w:p>
    <w:p w14:paraId="59EB42F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мощность и вес в зависимости от модификации;</w:t>
      </w:r>
    </w:p>
    <w:p w14:paraId="3174AA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запуск сжатым воздухом.</w:t>
      </w:r>
    </w:p>
    <w:p w14:paraId="63BF3B6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Известны три модификации:</w:t>
      </w:r>
    </w:p>
    <w:p w14:paraId="3A5800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F90EAE">
        <w:rPr>
          <w:color w:val="000000" w:themeColor="text1"/>
          <w:sz w:val="16"/>
          <w:szCs w:val="16"/>
        </w:rPr>
        <w:softHyphen/>
        <w:t>ные испытания.</w:t>
      </w:r>
    </w:p>
    <w:p w14:paraId="5D0D37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5F1A6E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АМ-45Ш, 2400/3000 л.с. Изготовлен в двух экземплярах в 1948 г., проходил заводские испытания.</w:t>
      </w:r>
    </w:p>
    <w:p w14:paraId="13FFAC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Существовал проект модификации Ил-10 с этим двигателем (11852).</w:t>
      </w:r>
    </w:p>
    <w:p w14:paraId="528598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A3EF3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Даже на январь 1945 г. в авиапромышленности СССР превалировала сравнительно малоквалифицированная рабочая сила.</w:t>
      </w:r>
    </w:p>
    <w:p w14:paraId="0C140A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Распределение рабочих по разрядам на 01.01.1945 (%) (РГАЭ. Ф. 8044. </w:t>
      </w:r>
      <w:r w:rsidRPr="00F90EAE">
        <w:rPr>
          <w:color w:val="000000" w:themeColor="text1"/>
          <w:sz w:val="16"/>
          <w:szCs w:val="16"/>
          <w:lang w:val="en-US"/>
        </w:rPr>
        <w:t xml:space="preserve">On. </w:t>
      </w:r>
      <w:r w:rsidRPr="00F90EAE">
        <w:rPr>
          <w:color w:val="000000" w:themeColor="text1"/>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749"/>
        <w:gridCol w:w="734"/>
        <w:gridCol w:w="739"/>
        <w:gridCol w:w="734"/>
        <w:gridCol w:w="739"/>
        <w:gridCol w:w="739"/>
        <w:gridCol w:w="734"/>
        <w:gridCol w:w="749"/>
      </w:tblGrid>
      <w:tr w:rsidR="00561F31" w:rsidRPr="00F90EAE" w14:paraId="1E57AC52" w14:textId="77777777">
        <w:trPr>
          <w:trHeight w:val="235"/>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77ED3D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35357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0F3E89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6D384F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59D0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V</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4A369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VI</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2C0B76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lang w:val="en-US"/>
              </w:rPr>
              <w:t>vn</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4EDD64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lang w:val="en-US"/>
              </w:rPr>
              <w:t>vm</w:t>
            </w:r>
          </w:p>
        </w:tc>
      </w:tr>
      <w:tr w:rsidR="00561F31" w:rsidRPr="00F90EAE" w14:paraId="4D855E96" w14:textId="77777777">
        <w:trPr>
          <w:trHeight w:val="240"/>
        </w:trPr>
        <w:tc>
          <w:tcPr>
            <w:tcW w:w="749" w:type="dxa"/>
            <w:tcBorders>
              <w:top w:val="single" w:sz="6" w:space="0" w:color="auto"/>
              <w:left w:val="single" w:sz="6" w:space="0" w:color="auto"/>
              <w:bottom w:val="single" w:sz="6" w:space="0" w:color="auto"/>
              <w:right w:val="single" w:sz="6" w:space="0" w:color="auto"/>
            </w:tcBorders>
            <w:shd w:val="clear" w:color="auto" w:fill="FFFFFF"/>
          </w:tcPr>
          <w:p w14:paraId="247A87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0BA19F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269E6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31,0</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43CCFF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26,5</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2A7825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739" w:type="dxa"/>
            <w:tcBorders>
              <w:top w:val="single" w:sz="6" w:space="0" w:color="auto"/>
              <w:left w:val="single" w:sz="6" w:space="0" w:color="auto"/>
              <w:bottom w:val="single" w:sz="6" w:space="0" w:color="auto"/>
              <w:right w:val="single" w:sz="6" w:space="0" w:color="auto"/>
            </w:tcBorders>
            <w:shd w:val="clear" w:color="auto" w:fill="FFFFFF"/>
          </w:tcPr>
          <w:p w14:paraId="5E50C5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IV</w:t>
            </w:r>
          </w:p>
        </w:tc>
        <w:tc>
          <w:tcPr>
            <w:tcW w:w="734" w:type="dxa"/>
            <w:tcBorders>
              <w:top w:val="single" w:sz="6" w:space="0" w:color="auto"/>
              <w:left w:val="single" w:sz="6" w:space="0" w:color="auto"/>
              <w:bottom w:val="single" w:sz="6" w:space="0" w:color="auto"/>
              <w:right w:val="single" w:sz="6" w:space="0" w:color="auto"/>
            </w:tcBorders>
            <w:shd w:val="clear" w:color="auto" w:fill="FFFFFF"/>
          </w:tcPr>
          <w:p w14:paraId="5BB7BC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32CBBF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0,9</w:t>
            </w:r>
          </w:p>
        </w:tc>
      </w:tr>
    </w:tbl>
    <w:p w14:paraId="108A7B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рабочие высших разрядов (VI—VIII) со</w:t>
      </w:r>
      <w:r w:rsidRPr="00F90EAE">
        <w:rPr>
          <w:color w:val="000000" w:themeColor="text1"/>
          <w:sz w:val="16"/>
          <w:szCs w:val="16"/>
        </w:rPr>
        <w:softHyphen/>
        <w:t>ставляли менее одной пятой всех рабочих Авиапрома. Инте</w:t>
      </w:r>
      <w:r w:rsidRPr="00F90EAE">
        <w:rPr>
          <w:color w:val="000000" w:themeColor="text1"/>
          <w:sz w:val="16"/>
          <w:szCs w:val="16"/>
        </w:rPr>
        <w:softHyphen/>
        <w:t>ресно, что в связи с этой ситуацией руководство НКАП по шло на создание особой группы заводов, на которых концен трировались высококвалифицированные кадры.</w:t>
      </w:r>
    </w:p>
    <w:p w14:paraId="2BA93E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Распределение заводов НКАП но преобладающим на них разрядам рабочих на 01.01.1945 г. (РГАЭ. Ф. 8044. </w:t>
      </w:r>
      <w:r w:rsidRPr="00F90EAE">
        <w:rPr>
          <w:color w:val="000000" w:themeColor="text1"/>
          <w:sz w:val="16"/>
          <w:szCs w:val="16"/>
          <w:lang w:val="en-US"/>
        </w:rPr>
        <w:t xml:space="preserve">On. </w:t>
      </w:r>
      <w:r w:rsidRPr="00F90EAE">
        <w:rPr>
          <w:color w:val="000000" w:themeColor="text1"/>
          <w:sz w:val="16"/>
          <w:szCs w:val="16"/>
        </w:rPr>
        <w:t>1 Д. 2873. Л. 11)</w:t>
      </w:r>
    </w:p>
    <w:tbl>
      <w:tblPr>
        <w:tblW w:w="0" w:type="auto"/>
        <w:tblInd w:w="8" w:type="dxa"/>
        <w:tblLayout w:type="fixed"/>
        <w:tblCellMar>
          <w:left w:w="0" w:type="dxa"/>
          <w:right w:w="0" w:type="dxa"/>
        </w:tblCellMar>
        <w:tblLook w:val="0000" w:firstRow="0" w:lastRow="0" w:firstColumn="0" w:lastColumn="0" w:noHBand="0" w:noVBand="0"/>
      </w:tblPr>
      <w:tblGrid>
        <w:gridCol w:w="2496"/>
        <w:gridCol w:w="686"/>
        <w:gridCol w:w="682"/>
        <w:gridCol w:w="682"/>
        <w:gridCol w:w="682"/>
        <w:gridCol w:w="696"/>
      </w:tblGrid>
      <w:tr w:rsidR="00561F31" w:rsidRPr="00F90EAE" w14:paraId="3B9E1741" w14:textId="77777777">
        <w:trPr>
          <w:trHeight w:val="235"/>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16DDBB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заводов</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536319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II</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1BE550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475D07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IV</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56F4CC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V</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5839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VI</w:t>
            </w:r>
          </w:p>
        </w:tc>
      </w:tr>
      <w:tr w:rsidR="00561F31" w:rsidRPr="00F90EAE" w14:paraId="0EF6352C" w14:textId="77777777">
        <w:trPr>
          <w:trHeight w:val="240"/>
        </w:trPr>
        <w:tc>
          <w:tcPr>
            <w:tcW w:w="2496" w:type="dxa"/>
            <w:tcBorders>
              <w:top w:val="single" w:sz="6" w:space="0" w:color="auto"/>
              <w:left w:val="single" w:sz="6" w:space="0" w:color="auto"/>
              <w:bottom w:val="single" w:sz="6" w:space="0" w:color="auto"/>
              <w:right w:val="single" w:sz="6" w:space="0" w:color="auto"/>
            </w:tcBorders>
            <w:shd w:val="clear" w:color="auto" w:fill="FFFFFF"/>
          </w:tcPr>
          <w:p w14:paraId="3AEEEA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132</w:t>
            </w:r>
          </w:p>
        </w:tc>
        <w:tc>
          <w:tcPr>
            <w:tcW w:w="686" w:type="dxa"/>
            <w:tcBorders>
              <w:top w:val="single" w:sz="6" w:space="0" w:color="auto"/>
              <w:left w:val="single" w:sz="6" w:space="0" w:color="auto"/>
              <w:bottom w:val="single" w:sz="6" w:space="0" w:color="auto"/>
              <w:right w:val="single" w:sz="6" w:space="0" w:color="auto"/>
            </w:tcBorders>
            <w:shd w:val="clear" w:color="auto" w:fill="FFFFFF"/>
          </w:tcPr>
          <w:p w14:paraId="7AA1AB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2747E1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91</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0BACC2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682" w:type="dxa"/>
            <w:tcBorders>
              <w:top w:val="single" w:sz="6" w:space="0" w:color="auto"/>
              <w:left w:val="single" w:sz="6" w:space="0" w:color="auto"/>
              <w:bottom w:val="single" w:sz="6" w:space="0" w:color="auto"/>
              <w:right w:val="single" w:sz="6" w:space="0" w:color="auto"/>
            </w:tcBorders>
            <w:shd w:val="clear" w:color="auto" w:fill="FFFFFF"/>
          </w:tcPr>
          <w:p w14:paraId="7D9CEF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696" w:type="dxa"/>
            <w:tcBorders>
              <w:top w:val="single" w:sz="6" w:space="0" w:color="auto"/>
              <w:left w:val="single" w:sz="6" w:space="0" w:color="auto"/>
              <w:bottom w:val="single" w:sz="6" w:space="0" w:color="auto"/>
              <w:right w:val="single" w:sz="6" w:space="0" w:color="auto"/>
            </w:tcBorders>
            <w:shd w:val="clear" w:color="auto" w:fill="FFFFFF"/>
          </w:tcPr>
          <w:p w14:paraId="0899CA6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w:t>
            </w:r>
          </w:p>
        </w:tc>
      </w:tr>
    </w:tbl>
    <w:p w14:paraId="1662A0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годы войны квалификация сотрудников НКАП карди</w:t>
      </w:r>
      <w:r w:rsidRPr="00F90EAE">
        <w:rPr>
          <w:color w:val="000000" w:themeColor="text1"/>
          <w:sz w:val="16"/>
          <w:szCs w:val="16"/>
        </w:rPr>
        <w:softHyphen/>
        <w:t>нально не изменилась. Мы позволим привести себе данные лишь о пиковых значениях изменения среднего уровня ква</w:t>
      </w:r>
      <w:r w:rsidRPr="00F90EAE">
        <w:rPr>
          <w:color w:val="000000" w:themeColor="text1"/>
          <w:sz w:val="16"/>
          <w:szCs w:val="16"/>
        </w:rPr>
        <w:softHyphen/>
        <w:t>лификации по заводам, на остальных разница между средним уровнем разрядности по квалификационной сетке была ещё меньше.</w:t>
      </w:r>
    </w:p>
    <w:p w14:paraId="60B2DA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Изменения среднего разряда квалификации но заводам (приводится в извлечении) (РГАЭ. Ф. 8044. </w:t>
      </w:r>
      <w:r w:rsidRPr="00F90EAE">
        <w:rPr>
          <w:color w:val="000000" w:themeColor="text1"/>
          <w:sz w:val="16"/>
          <w:szCs w:val="16"/>
          <w:lang w:val="en-US"/>
        </w:rPr>
        <w:t xml:space="preserve">On. </w:t>
      </w:r>
      <w:r w:rsidRPr="00F90EAE">
        <w:rPr>
          <w:color w:val="000000" w:themeColor="text1"/>
          <w:sz w:val="16"/>
          <w:szCs w:val="16"/>
        </w:rPr>
        <w:t>1 Д. 2985. Л. 39)</w:t>
      </w:r>
    </w:p>
    <w:tbl>
      <w:tblPr>
        <w:tblW w:w="0" w:type="auto"/>
        <w:tblInd w:w="8" w:type="dxa"/>
        <w:tblLayout w:type="fixed"/>
        <w:tblCellMar>
          <w:left w:w="0" w:type="dxa"/>
          <w:right w:w="0" w:type="dxa"/>
        </w:tblCellMar>
        <w:tblLook w:val="0000" w:firstRow="0" w:lastRow="0" w:firstColumn="0" w:lastColumn="0" w:noHBand="0" w:noVBand="0"/>
      </w:tblPr>
      <w:tblGrid>
        <w:gridCol w:w="782"/>
        <w:gridCol w:w="2059"/>
        <w:gridCol w:w="2045"/>
        <w:gridCol w:w="1066"/>
      </w:tblGrid>
      <w:tr w:rsidR="00561F31" w:rsidRPr="00F90EAE" w14:paraId="4D852003" w14:textId="77777777">
        <w:trPr>
          <w:trHeight w:val="427"/>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6264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завода</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1AFD0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Средний разряд по заводу на 15.05.1941</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50CD14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Средняя разряд по заводу па 01.01.1945</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669A6E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Разница</w:t>
            </w:r>
          </w:p>
        </w:tc>
      </w:tr>
      <w:tr w:rsidR="00561F31" w:rsidRPr="00F90EAE" w14:paraId="3F234E65"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0729EF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EE353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21F76B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4,09</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2BE304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+0,69</w:t>
            </w:r>
          </w:p>
        </w:tc>
      </w:tr>
      <w:tr w:rsidR="00561F31" w:rsidRPr="00F90EAE" w14:paraId="677D5B4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88346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6F3BD1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4E166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63698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+0,6</w:t>
            </w:r>
          </w:p>
        </w:tc>
      </w:tr>
      <w:tr w:rsidR="00561F31" w:rsidRPr="00F90EAE" w14:paraId="2282EE20" w14:textId="77777777">
        <w:trPr>
          <w:trHeight w:val="21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245B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40DA4F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122208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E9CDA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+0,62</w:t>
            </w:r>
          </w:p>
        </w:tc>
      </w:tr>
      <w:tr w:rsidR="00561F31" w:rsidRPr="00F90EAE" w14:paraId="65DC48DC" w14:textId="77777777">
        <w:trPr>
          <w:trHeight w:val="226"/>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13F5FA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5E9A8E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6A6062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4,08</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0EA833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-0,22</w:t>
            </w:r>
          </w:p>
        </w:tc>
      </w:tr>
      <w:tr w:rsidR="00561F31" w:rsidRPr="00F90EAE" w14:paraId="5609C114" w14:textId="77777777">
        <w:trPr>
          <w:trHeight w:val="221"/>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EE40A3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1D69E3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2389D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4,22</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510F61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+0,72</w:t>
            </w:r>
          </w:p>
        </w:tc>
      </w:tr>
      <w:tr w:rsidR="00561F31" w:rsidRPr="00F90EAE" w14:paraId="4C220FC3" w14:textId="77777777">
        <w:trPr>
          <w:trHeight w:val="245"/>
        </w:trPr>
        <w:tc>
          <w:tcPr>
            <w:tcW w:w="782" w:type="dxa"/>
            <w:tcBorders>
              <w:top w:val="single" w:sz="6" w:space="0" w:color="auto"/>
              <w:left w:val="single" w:sz="6" w:space="0" w:color="auto"/>
              <w:bottom w:val="single" w:sz="6" w:space="0" w:color="auto"/>
              <w:right w:val="single" w:sz="6" w:space="0" w:color="auto"/>
            </w:tcBorders>
            <w:shd w:val="clear" w:color="auto" w:fill="FFFFFF"/>
          </w:tcPr>
          <w:p w14:paraId="4F40F8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2059" w:type="dxa"/>
            <w:tcBorders>
              <w:top w:val="single" w:sz="6" w:space="0" w:color="auto"/>
              <w:left w:val="single" w:sz="6" w:space="0" w:color="auto"/>
              <w:bottom w:val="single" w:sz="6" w:space="0" w:color="auto"/>
              <w:right w:val="single" w:sz="6" w:space="0" w:color="auto"/>
            </w:tcBorders>
            <w:shd w:val="clear" w:color="auto" w:fill="FFFFFF"/>
          </w:tcPr>
          <w:p w14:paraId="0A9B76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2045" w:type="dxa"/>
            <w:tcBorders>
              <w:top w:val="single" w:sz="6" w:space="0" w:color="auto"/>
              <w:left w:val="single" w:sz="6" w:space="0" w:color="auto"/>
              <w:bottom w:val="single" w:sz="6" w:space="0" w:color="auto"/>
              <w:right w:val="single" w:sz="6" w:space="0" w:color="auto"/>
            </w:tcBorders>
            <w:shd w:val="clear" w:color="auto" w:fill="FFFFFF"/>
          </w:tcPr>
          <w:p w14:paraId="09206E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4,03</w:t>
            </w:r>
          </w:p>
        </w:tc>
        <w:tc>
          <w:tcPr>
            <w:tcW w:w="1066" w:type="dxa"/>
            <w:tcBorders>
              <w:top w:val="single" w:sz="6" w:space="0" w:color="auto"/>
              <w:left w:val="single" w:sz="6" w:space="0" w:color="auto"/>
              <w:bottom w:val="single" w:sz="6" w:space="0" w:color="auto"/>
              <w:right w:val="single" w:sz="6" w:space="0" w:color="auto"/>
            </w:tcBorders>
            <w:shd w:val="clear" w:color="auto" w:fill="FFFFFF"/>
          </w:tcPr>
          <w:p w14:paraId="3C4C09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-0,27</w:t>
            </w:r>
          </w:p>
        </w:tc>
      </w:tr>
    </w:tbl>
    <w:p w14:paraId="51C38E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 в последнюю очередь успехи НКАП объясняются ши</w:t>
      </w:r>
      <w:r w:rsidRPr="00F90EAE">
        <w:rPr>
          <w:color w:val="000000" w:themeColor="text1"/>
          <w:sz w:val="16"/>
          <w:szCs w:val="16"/>
        </w:rPr>
        <w:softHyphen/>
        <w:t>роким внедрением перспективных форм стимулирования трудовой активности.</w:t>
      </w:r>
    </w:p>
    <w:p w14:paraId="563C86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Распространение сдельной и сдельно-прогрессивной оплаты труда в НКАП на 01.01.1945 г. (РГАЭ. Ф. 8044. </w:t>
      </w:r>
      <w:r w:rsidRPr="00F90EAE">
        <w:rPr>
          <w:color w:val="000000" w:themeColor="text1"/>
          <w:sz w:val="16"/>
          <w:szCs w:val="16"/>
          <w:lang w:val="en-US"/>
        </w:rPr>
        <w:t xml:space="preserve">On. </w:t>
      </w:r>
      <w:r w:rsidRPr="00F90EAE">
        <w:rPr>
          <w:color w:val="000000" w:themeColor="text1"/>
          <w:sz w:val="16"/>
          <w:szCs w:val="16"/>
        </w:rPr>
        <w:t>1 Д. 2873. Л. 12)</w:t>
      </w:r>
    </w:p>
    <w:tbl>
      <w:tblPr>
        <w:tblW w:w="0" w:type="auto"/>
        <w:tblInd w:w="8" w:type="dxa"/>
        <w:tblLayout w:type="fixed"/>
        <w:tblCellMar>
          <w:left w:w="0" w:type="dxa"/>
          <w:right w:w="0" w:type="dxa"/>
        </w:tblCellMar>
        <w:tblLook w:val="0000" w:firstRow="0" w:lastRow="0" w:firstColumn="0" w:lastColumn="0" w:noHBand="0" w:noVBand="0"/>
      </w:tblPr>
      <w:tblGrid>
        <w:gridCol w:w="2995"/>
        <w:gridCol w:w="1070"/>
        <w:gridCol w:w="854"/>
        <w:gridCol w:w="1022"/>
      </w:tblGrid>
      <w:tr w:rsidR="00561F31" w:rsidRPr="00F90EAE" w14:paraId="4EB0B233" w14:textId="77777777">
        <w:trPr>
          <w:trHeight w:val="42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0A5DB2" w14:textId="77777777" w:rsidR="00C2313B" w:rsidRPr="00F90EAE" w:rsidRDefault="00C2313B" w:rsidP="00F90EAE">
            <w:pPr>
              <w:autoSpaceDE w:val="0"/>
              <w:autoSpaceDN w:val="0"/>
              <w:adjustRightInd w:val="0"/>
              <w:jc w:val="both"/>
              <w:rPr>
                <w:color w:val="000000" w:themeColor="text1"/>
                <w:sz w:val="16"/>
                <w:szCs w:val="16"/>
              </w:rPr>
            </w:pP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B96F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 по НКАП, в т.ч.:</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FFFE1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основных цехах</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68DF3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 вспомога</w:t>
            </w:r>
            <w:r w:rsidRPr="00F90EAE">
              <w:rPr>
                <w:color w:val="000000" w:themeColor="text1"/>
                <w:sz w:val="16"/>
                <w:szCs w:val="16"/>
              </w:rPr>
              <w:softHyphen/>
              <w:t>тельных цеш</w:t>
            </w:r>
          </w:p>
        </w:tc>
      </w:tr>
      <w:tr w:rsidR="00561F31" w:rsidRPr="00F90EAE" w14:paraId="0CE3B070" w14:textId="77777777">
        <w:trPr>
          <w:trHeight w:val="226"/>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6BB12E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Сдельщики (% ко всем рабочим)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076084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68,2</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1CCAA1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249896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Я,6</w:t>
            </w:r>
          </w:p>
        </w:tc>
      </w:tr>
      <w:tr w:rsidR="00561F31" w:rsidRPr="00F90EAE" w14:paraId="5EE304DB" w14:textId="77777777">
        <w:trPr>
          <w:trHeight w:val="432"/>
        </w:trPr>
        <w:tc>
          <w:tcPr>
            <w:tcW w:w="2995" w:type="dxa"/>
            <w:tcBorders>
              <w:top w:val="single" w:sz="6" w:space="0" w:color="auto"/>
              <w:left w:val="single" w:sz="6" w:space="0" w:color="auto"/>
              <w:bottom w:val="single" w:sz="6" w:space="0" w:color="auto"/>
              <w:right w:val="single" w:sz="6" w:space="0" w:color="auto"/>
            </w:tcBorders>
            <w:shd w:val="clear" w:color="auto" w:fill="FFFFFF"/>
          </w:tcPr>
          <w:p w14:paraId="15F469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Сдельщики на прогрессивке (% ко всем сдельщикам)</w:t>
            </w:r>
          </w:p>
        </w:tc>
        <w:tc>
          <w:tcPr>
            <w:tcW w:w="1070" w:type="dxa"/>
            <w:tcBorders>
              <w:top w:val="single" w:sz="6" w:space="0" w:color="auto"/>
              <w:left w:val="single" w:sz="6" w:space="0" w:color="auto"/>
              <w:bottom w:val="single" w:sz="6" w:space="0" w:color="auto"/>
              <w:right w:val="single" w:sz="6" w:space="0" w:color="auto"/>
            </w:tcBorders>
            <w:shd w:val="clear" w:color="auto" w:fill="FFFFFF"/>
          </w:tcPr>
          <w:p w14:paraId="5C707E3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283</w:t>
            </w:r>
          </w:p>
        </w:tc>
        <w:tc>
          <w:tcPr>
            <w:tcW w:w="854" w:type="dxa"/>
            <w:tcBorders>
              <w:top w:val="single" w:sz="6" w:space="0" w:color="auto"/>
              <w:left w:val="single" w:sz="6" w:space="0" w:color="auto"/>
              <w:bottom w:val="single" w:sz="6" w:space="0" w:color="auto"/>
              <w:right w:val="single" w:sz="6" w:space="0" w:color="auto"/>
            </w:tcBorders>
            <w:shd w:val="clear" w:color="auto" w:fill="FFFFFF"/>
          </w:tcPr>
          <w:p w14:paraId="62A786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35,7</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14:paraId="4FD950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8,7</w:t>
            </w:r>
          </w:p>
        </w:tc>
      </w:tr>
    </w:tbl>
    <w:p w14:paraId="463E38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распространение сдельщины к 1945 г. су</w:t>
      </w:r>
      <w:r w:rsidRPr="00F90EAE">
        <w:rPr>
          <w:color w:val="000000" w:themeColor="text1"/>
          <w:sz w:val="16"/>
          <w:szCs w:val="16"/>
        </w:rPr>
        <w:softHyphen/>
        <w:t>щественно превысило 62 %, характерные для НКАП в 1938— 1939 гг. (12011).</w:t>
      </w:r>
    </w:p>
    <w:p w14:paraId="5C12F203" w14:textId="77777777" w:rsidR="00C2313B" w:rsidRPr="00F90EAE" w:rsidRDefault="00C2313B" w:rsidP="00F90EAE">
      <w:pPr>
        <w:autoSpaceDE w:val="0"/>
        <w:autoSpaceDN w:val="0"/>
        <w:adjustRightInd w:val="0"/>
        <w:jc w:val="both"/>
        <w:rPr>
          <w:color w:val="000000" w:themeColor="text1"/>
          <w:sz w:val="16"/>
          <w:szCs w:val="16"/>
        </w:rPr>
      </w:pPr>
    </w:p>
    <w:p w14:paraId="5DDB510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завод № 36 был включен в число действующих предприятий и стал впервые работать по графику.</w:t>
      </w:r>
    </w:p>
    <w:p w14:paraId="41BF6D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 проведением работ по мотору М-251 (ОКБ) завод проводил работу по организации нового ОКБ.</w:t>
      </w:r>
    </w:p>
    <w:p w14:paraId="67CA55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ОКБ-2 создано в соответствии с постановлением СМ от 26 июня 1946 года за № 1409/622сс и приказа МАП и МВД за № 550сс/00774 от 15 августа 1946 года.</w:t>
      </w:r>
    </w:p>
    <w:p w14:paraId="584644C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Предназначалось ОКБ-2 для изготовления экспериментальных деталей и узлов опытного турбореактивного двигателя ТРД-7Б. Приказом МАП № 416сс от 17 июня 1948 года ОКБ-2 было ликвидировано.</w:t>
      </w:r>
    </w:p>
    <w:p w14:paraId="1ACAAD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Директора завода:</w:t>
      </w:r>
    </w:p>
    <w:p w14:paraId="6C6B8A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Сова С.М. – с 1942 года по 1944 год</w:t>
      </w:r>
    </w:p>
    <w:p w14:paraId="74B7FB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Григорьев Г.М. – с 1944 года по 1947 год</w:t>
      </w:r>
    </w:p>
    <w:p w14:paraId="512E32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Петров А.П. – с 1947 года по 1949 год</w:t>
      </w:r>
    </w:p>
    <w:p w14:paraId="744A61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Субботин М.И. – с 1949 года по 1956 год</w:t>
      </w:r>
    </w:p>
    <w:p w14:paraId="6492B6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Смирнов А.Д. – с 1956 года</w:t>
      </w:r>
    </w:p>
    <w:p w14:paraId="6B6074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Должность гл. конструктора с 1943 года занимает Добрынин В.А.</w:t>
      </w:r>
    </w:p>
    <w:p w14:paraId="6E693F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Смирнов</w:t>
      </w:r>
    </w:p>
    <w:p w14:paraId="56BEC0F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Рыбинск, п/я 20</w:t>
      </w:r>
    </w:p>
    <w:p w14:paraId="6EFDFA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авиационный моторостроительный завод (9825).</w:t>
      </w:r>
    </w:p>
    <w:p w14:paraId="208A9AD5" w14:textId="77777777" w:rsidR="00C2313B" w:rsidRPr="00F90EAE" w:rsidRDefault="00C2313B" w:rsidP="00F90EAE">
      <w:pPr>
        <w:autoSpaceDE w:val="0"/>
        <w:autoSpaceDN w:val="0"/>
        <w:adjustRightInd w:val="0"/>
        <w:jc w:val="both"/>
        <w:rPr>
          <w:color w:val="000000" w:themeColor="text1"/>
          <w:sz w:val="16"/>
          <w:szCs w:val="16"/>
        </w:rPr>
      </w:pPr>
    </w:p>
    <w:p w14:paraId="00629E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января 1945 года директором завода № 213 стал Кочеров П.П.</w:t>
      </w:r>
    </w:p>
    <w:p w14:paraId="626CDB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052B13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609FDB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6FB761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2665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011261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Смирнов</w:t>
      </w:r>
    </w:p>
    <w:p w14:paraId="392534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Саратов 5, п/я 176, Б. Садовая, д. 239</w:t>
      </w:r>
    </w:p>
    <w:p w14:paraId="6367D2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авиаприборостроение, гироскопическое-ракетное (9837).</w:t>
      </w:r>
    </w:p>
    <w:p w14:paraId="210DD89D" w14:textId="77777777" w:rsidR="00C2313B" w:rsidRPr="00F90EAE" w:rsidRDefault="00C2313B" w:rsidP="00F90EAE">
      <w:pPr>
        <w:autoSpaceDE w:val="0"/>
        <w:autoSpaceDN w:val="0"/>
        <w:adjustRightInd w:val="0"/>
        <w:jc w:val="both"/>
        <w:rPr>
          <w:color w:val="000000" w:themeColor="text1"/>
          <w:sz w:val="16"/>
          <w:szCs w:val="16"/>
        </w:rPr>
      </w:pPr>
    </w:p>
    <w:p w14:paraId="2B3BBA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 [78] (артиллерийской инструментальной разведки).</w:t>
      </w:r>
    </w:p>
    <w:p w14:paraId="2D80EE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наличие записей с плохими или отсутствующими началами. Точность звуковой засечки цели получена в пределах 14-30 малых делений угломера” [79].</w:t>
      </w:r>
    </w:p>
    <w:p w14:paraId="46502A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одном из документов ЦАМО имеется следующая информация по упомянутому вопросу.</w:t>
      </w:r>
    </w:p>
    <w:p w14:paraId="0C7677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Кроме того в 1947 году в несколько меньшем об”еме, подобные учения провела Высшая Офицерская Артиллерийская Школа /ВОАШ/.</w:t>
      </w:r>
    </w:p>
    <w:p w14:paraId="37C2D1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w:t>
      </w:r>
    </w:p>
    <w:p w14:paraId="47E5F4B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Отыскание новых методов разведывания реактивных установок /РУ/ невозможно без знания тех явлений, которые можно использовать для разведки реактивных систем. Вначале эта работа была поставлена в НИИАП /ныне НИИ-5 ААН МВС/, а затем в 1947 году на ГНИАП”е. Ввиду того, что НИИАП поставленную задачу решил недостаточно полно, комплексное исследование всех физических явлений, возникающих при реактивном выстреле , было поставлено и практически, впервые, начато в 1947 г. на ГНИАП”е” [80] (11772).</w:t>
      </w:r>
    </w:p>
    <w:p w14:paraId="5BE9B87E" w14:textId="77777777" w:rsidR="00C2313B" w:rsidRPr="00F90EAE" w:rsidRDefault="00C2313B" w:rsidP="00F90EAE">
      <w:pPr>
        <w:autoSpaceDE w:val="0"/>
        <w:autoSpaceDN w:val="0"/>
        <w:adjustRightInd w:val="0"/>
        <w:jc w:val="both"/>
        <w:rPr>
          <w:color w:val="000000" w:themeColor="text1"/>
          <w:sz w:val="16"/>
          <w:szCs w:val="16"/>
        </w:rPr>
      </w:pPr>
    </w:p>
    <w:p w14:paraId="3057937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C0FFF8" w14:textId="77777777" w:rsidR="00C2313B" w:rsidRPr="00F90EAE" w:rsidRDefault="00C2313B" w:rsidP="00F90EAE">
      <w:pPr>
        <w:autoSpaceDE w:val="0"/>
        <w:autoSpaceDN w:val="0"/>
        <w:adjustRightInd w:val="0"/>
        <w:jc w:val="both"/>
        <w:rPr>
          <w:iCs/>
          <w:color w:val="000000" w:themeColor="text1"/>
          <w:sz w:val="16"/>
          <w:szCs w:val="16"/>
        </w:rPr>
      </w:pPr>
    </w:p>
    <w:p w14:paraId="492888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январе 1945 г. Ленинградский филиал ЦАКБ (ЦКБ-34 МОП, МО, ГКОТ, Морское артиллерийское КБ (МАКБ) НКВ, МАЦКБ, КБ средств механизации (КБСМ) </w:t>
      </w:r>
      <w:r w:rsidRPr="00F90EAE">
        <w:rPr>
          <w:color w:val="000000" w:themeColor="text1"/>
          <w:sz w:val="16"/>
          <w:szCs w:val="16"/>
          <w:lang w:val="en-US"/>
        </w:rPr>
        <w:t>MOM</w:t>
      </w:r>
      <w:r w:rsidRPr="00F90EAE">
        <w:rPr>
          <w:color w:val="000000" w:themeColor="text1"/>
          <w:sz w:val="16"/>
          <w:szCs w:val="16"/>
        </w:rPr>
        <w:t>, ФГУП, ОАО «КБ Специального машиностроения» (КБСМ) /194100  г. Ленинград,  г. Санкт-Петербург Лесной пр-д, 64А, 64Б и ул. Бобруйская, 7, и ул. Кантемировская, 15А, 15Б, 17А тел. 245-51-13/) начал проектирование 220-мм атиллерийской башни для крейсера пр. 82. В 1945 г. сюда из ЦАКБ переданы работы по 100-мм палубной артустановке С-44, здесь она переименована в СМ-5 («СМ» - фирменный индекс ЦКБ-34, возможно, «система морская»</w:t>
      </w:r>
      <w:r w:rsidRPr="00F90EAE">
        <w:rPr>
          <w:color w:val="000000" w:themeColor="text1"/>
          <w:sz w:val="16"/>
          <w:szCs w:val="16"/>
          <w:vertAlign w:val="superscript"/>
        </w:rPr>
        <w:t>148</w:t>
      </w:r>
      <w:r w:rsidRPr="00F90EAE">
        <w:rPr>
          <w:color w:val="000000" w:themeColor="text1"/>
          <w:sz w:val="16"/>
          <w:szCs w:val="16"/>
        </w:rPr>
        <w:t>). Приказом МВМС № 0059 от 11,05.1949 г. СМ-5-1 пнв.</w:t>
      </w:r>
    </w:p>
    <w:p w14:paraId="330425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14.03.1946 г. выдано задание на модернизацию 3-орудийной 152-мм установки МК-5. Техпроект установки утвержден 23.09.1947 г., пост. СМ № 3850-1538 от 22.08.1952 г. башня МК-5бис пнв.</w:t>
      </w:r>
    </w:p>
    <w:p w14:paraId="41164E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24.04.1948 г. было утверждено ТТЗ на разработку 305-мм пушки СМ-33 для тяжелого крейсера пр. 82, для нее совместно с КБ ЛМЗ велась разработка 3-орудийной башни СМ-31 (в 1953 г. разработка башни прекращена). 19.01.1955 г. вышло постановление правительства о создании на базе СМ-33 305-мм железнодорожной батареи СМ-41 с качающейся частью СМ-33 Т, вскоре по распоряжению Хрущева работы были прекращены.</w:t>
      </w:r>
    </w:p>
    <w:p w14:paraId="0FC063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конце 1940-х  г. КБ было привлечено к изучению немецкого опыта по созданию </w:t>
      </w:r>
      <w:r w:rsidRPr="00F90EAE">
        <w:rPr>
          <w:color w:val="000000" w:themeColor="text1"/>
          <w:sz w:val="16"/>
          <w:szCs w:val="16"/>
          <w:lang w:val="en-US"/>
        </w:rPr>
        <w:t>PC</w:t>
      </w:r>
      <w:r w:rsidRPr="00F90EAE">
        <w:rPr>
          <w:color w:val="000000" w:themeColor="text1"/>
          <w:sz w:val="16"/>
          <w:szCs w:val="16"/>
        </w:rPr>
        <w:t xml:space="preserve"> и пусковых установок. Разрабатывало ПУ для больших кораблей и ПЛ.</w:t>
      </w:r>
    </w:p>
    <w:p w14:paraId="62B782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Разработана 180-мм пушка СМ-45 и 2-орудийная башня СМ-48 для крейсера пр. 84, пост, правительства от 25.08.1956 г. работы по ним прекращены.</w:t>
      </w:r>
    </w:p>
    <w:p w14:paraId="350D62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1953 г. КБ поручена разработка ПУ для передвижного ЗРК С-75.</w:t>
      </w:r>
    </w:p>
    <w:p w14:paraId="5D8646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 МОП от 20.09.1955 г. КБ поручена разработка ПУ для ПКР «КСЩ» и ЗРК М-3; в 11.1956 г. был готов техпроект СМ-59, затем создана СМ-68. В 12.1956 г. выдано задание на разработку ПУ СМ-70 для ККР П-35.</w:t>
      </w:r>
    </w:p>
    <w:p w14:paraId="034E07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ГКОТ от 14.06.1960 г. начата разработка ШПУ «Шексна» для Р-16.</w:t>
      </w:r>
    </w:p>
    <w:p w14:paraId="637E2B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1961 г. в ЦКБ переданы тематика и личный состав ликвидированного ОКБ-43.</w:t>
      </w:r>
    </w:p>
    <w:p w14:paraId="7A4CDD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1965 г. ЦКБ-34 ГКОТ передано в ведение 4ГУ </w:t>
      </w:r>
      <w:r w:rsidRPr="00F90EAE">
        <w:rPr>
          <w:color w:val="000000" w:themeColor="text1"/>
          <w:sz w:val="16"/>
          <w:szCs w:val="16"/>
          <w:lang w:val="en-US"/>
        </w:rPr>
        <w:t>MOM</w:t>
      </w:r>
      <w:r w:rsidRPr="00F90EAE">
        <w:rPr>
          <w:color w:val="000000" w:themeColor="text1"/>
          <w:sz w:val="16"/>
          <w:szCs w:val="16"/>
        </w:rPr>
        <w:t xml:space="preserve"> и по приказу от 6.03.1966 г. преобразовано в КБСМ (средств механизации).</w:t>
      </w:r>
      <w:r w:rsidRPr="00F90EAE">
        <w:rPr>
          <w:color w:val="000000" w:themeColor="text1"/>
          <w:sz w:val="16"/>
          <w:szCs w:val="16"/>
          <w:vertAlign w:val="superscript"/>
        </w:rPr>
        <w:t>77</w:t>
      </w:r>
      <w:r w:rsidRPr="00F90EAE">
        <w:rPr>
          <w:color w:val="000000" w:themeColor="text1"/>
          <w:sz w:val="16"/>
          <w:szCs w:val="16"/>
        </w:rPr>
        <w:t xml:space="preserve"> В 1970-80-е  г. КБ специального машиностроения вновь вошло в </w:t>
      </w:r>
      <w:r w:rsidRPr="00F90EAE">
        <w:rPr>
          <w:color w:val="000000" w:themeColor="text1"/>
          <w:sz w:val="16"/>
          <w:szCs w:val="16"/>
          <w:lang w:val="en-US"/>
        </w:rPr>
        <w:t>MOM</w:t>
      </w:r>
      <w:r w:rsidRPr="00F90EAE">
        <w:rPr>
          <w:color w:val="000000" w:themeColor="text1"/>
          <w:sz w:val="16"/>
          <w:szCs w:val="16"/>
        </w:rPr>
        <w:t xml:space="preserve"> (в ведении 4ГУ).</w:t>
      </w:r>
    </w:p>
    <w:p w14:paraId="71D6DC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1960-х  г. - головное предприятие по наземному оборудованию для РКТ стационарного и мобильного базирования для армии и флота. Создано 13 стартовых комплексов (СК). В 1980-е  г. создан стенд для определения давления на железнодорожное полотно при старте ракеты БЖРК.</w:t>
      </w:r>
    </w:p>
    <w:p w14:paraId="5AD09F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Создан ряд антенн диаметром до 32 м, радиотелескоп с диаметром зеркала 70 м.</w:t>
      </w:r>
    </w:p>
    <w:p w14:paraId="108D32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1992 г. принимал участие в работах по переоборудованию ШПУ МБР 15Ж60 под ракету «Тополь-М». Для этого на экспериментальной базе был построен стенд-имитатор штатной ПУ СМ-Э316.</w:t>
      </w:r>
    </w:p>
    <w:p w14:paraId="13DC5F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1990-х  г. на базе системы амортизации МБР в ШПУ разработана система сейсмозащиты АЭС и других экологически опасных объектов. Создан металлобетонированный контейнер для длительного хранения и транспортировки отработанного ядерного топлива и ЯЭУ.</w:t>
      </w:r>
    </w:p>
    <w:p w14:paraId="0840B6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35A29E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Имело в своем составе КБ-4 (1970-е  г., работы по ШПУ, БЖРК). Имело филиал в КБОМ ( г. Москва).</w:t>
      </w:r>
    </w:p>
    <w:p w14:paraId="3AB220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 Предприятие входило (2010 г.) в состав Концерна ПВО «Алмаз- Антей».</w:t>
      </w:r>
    </w:p>
    <w:p w14:paraId="5EA1DA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составе экспериментальной базы имелся (2005 г.) комплексный стен грузоподъемностью 140 т для бросковых испытаний контейнеров.</w:t>
      </w:r>
      <w:r w:rsidRPr="00F90EAE">
        <w:rPr>
          <w:color w:val="000000" w:themeColor="text1"/>
          <w:sz w:val="16"/>
          <w:szCs w:val="16"/>
          <w:vertAlign w:val="superscript"/>
        </w:rPr>
        <w:t>101</w:t>
      </w:r>
    </w:p>
    <w:p w14:paraId="024EF6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рамках принятого осенью 2007 г. проекта создания Северо-Западного регионального центра (СЗРЦ) концерна «Алмаз-Антей» на базе Обуховского завода планировался перевод предприятия на его площадку.</w:t>
      </w:r>
    </w:p>
    <w:p w14:paraId="2A458E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(2010 г.)- 3,71 га.</w:t>
      </w:r>
    </w:p>
    <w:p w14:paraId="4965AE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(2002 г.) -1900 чел.</w:t>
      </w:r>
    </w:p>
    <w:p w14:paraId="5CEF07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(1944-50-е)- И.И. Иванов, (1950-е-69 г.-&gt; Е. Г. Рудяк {2.01.1908-4.04.1991 г.},</w:t>
      </w:r>
      <w:r w:rsidRPr="00F90EAE">
        <w:rPr>
          <w:color w:val="000000" w:themeColor="text1"/>
          <w:sz w:val="16"/>
          <w:szCs w:val="16"/>
          <w:vertAlign w:val="superscript"/>
        </w:rPr>
        <w:t>58</w:t>
      </w:r>
      <w:r w:rsidRPr="00F90EAE">
        <w:rPr>
          <w:color w:val="000000" w:themeColor="text1"/>
          <w:sz w:val="16"/>
          <w:szCs w:val="16"/>
        </w:rPr>
        <w:t xml:space="preserve"> (1970-е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Степанов,  Г.А. Белов, (1980-е-2003 г.)- А.Ф. Уткин. Ген. конструктор (2003-06 г.-)- Н.А. Трофимов.</w:t>
      </w:r>
    </w:p>
    <w:p w14:paraId="58F204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(1950-е)- И.И. Иванов, (2002 г.)- Н.А. Трофимов. Гендиректор (2006 г.)- Н.А. Трофимов.</w:t>
      </w:r>
    </w:p>
    <w:p w14:paraId="579589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(2002 г.)- В. Г. Долбенков.</w:t>
      </w:r>
    </w:p>
    <w:p w14:paraId="1ECAFA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1-й зам. Начальника (2002 г.)- В. Г. Долбенков. Зам. Начальника по экономике (2002 г.)- И.В. Маркелов.</w:t>
      </w:r>
      <w:r w:rsidRPr="00F90EAE">
        <w:rPr>
          <w:color w:val="000000" w:themeColor="text1"/>
          <w:sz w:val="16"/>
          <w:szCs w:val="16"/>
          <w:vertAlign w:val="superscript"/>
        </w:rPr>
        <w:t>69</w:t>
      </w:r>
    </w:p>
    <w:p w14:paraId="6BF632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(1953 г.-)- Б.С. Коробов (ПУ С-75), (1950-е)- И.П. Шахов (СМ-71П), (1963 г.)- Б. Г. Бочков (СМ-97, -97А, -101, -107), (1972 г.)- А.Ф. Уткин (ШПУ для МР-УРЮО).</w:t>
      </w:r>
    </w:p>
    <w:p w14:paraId="5F0562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КО (08.1944 г.-)- Т.Д. Вылкост.</w:t>
      </w:r>
    </w:p>
    <w:p w14:paraId="6C9789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лаборатории: (1958 г.-)- Е.А. Угрюмов.</w:t>
      </w:r>
    </w:p>
    <w:p w14:paraId="0C90E8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Создано: пушки: 406-мм СМ-54 (2АЗ) на самоходном шасси для стрельбы ядерными боеприпасами «Конденсатор» (1956); морские: 45-мм зенитный автомат СМ-7 (1949), 180-мм СМ-45 (проект, 1956), 220-мм СМ- 40 для пр. 66 (1953), баллистический ствол СМ-Э77 для СМ-40 (1953), 305-мм СМ-33 (1950-е); артустановки: 2- орудийные: зенитная 45-мм СМ-16 (1949), ее нестабилизированный вариант СМ-17 (1949), палубная 100-мм СМ- 5-1 (пнв 11.05.1949 г.), 100-мм башенная СМ-52 (1955), 180-мм башенная СМ-48 (проект, 1956); 3-орудийные башенные: 152-мм МК-5бис (пнв 22.08.1952 г.), 220-мм СМ-6 для крейсера пр. 66 (проект, 1953), 305-мм СМ-31 (проект, 1950-53, совместно с КБ </w:t>
      </w:r>
      <w:r w:rsidRPr="00F90EAE">
        <w:rPr>
          <w:color w:val="000000" w:themeColor="text1"/>
          <w:sz w:val="16"/>
          <w:szCs w:val="16"/>
          <w:lang w:val="en-US"/>
        </w:rPr>
        <w:t>JIM</w:t>
      </w:r>
      <w:r w:rsidRPr="00F90EAE">
        <w:rPr>
          <w:color w:val="000000" w:themeColor="text1"/>
          <w:sz w:val="16"/>
          <w:szCs w:val="16"/>
        </w:rPr>
        <w:t>3); 305-мм железнодорожная СМ-41 (1955, проект); СМ-2-1 (1950-е); командно-дальномерный пост КДП2-8 СМ-18 и СМ-18-1 для пр. 68К и 68бис (1940-е); ПУ: СМ-44 (2П5) для РСЗО «Коршун» на шасси ЯАЗ-214, КрАЗ-214 (1955); для ККР: СМ-58 для КСС крейсера пр. 67 (проект, 1955), СМ-59 для «КСЩ» эсминца пр. 56Э (1956), СМ-77 для П-7 (проект, 1950-е); СМ-64 для ЗРК «Волхов» М-2 крейсера пр. 70Э (1957), СМ-68 (СМ-64-1) для корабельного ЗРК М-3 (1957), СМ-69 и поворотная СМ-76 для П- 40 крейсера пр. 63 (проект, 1955-); СМ-70 (штатная), 4-х контейнерная СМ-82 (для наземнх испытаний) и СМЭ- 142 (опытового судна ОС-15) для П-35 (1959); для «Малахит», «Оникс»,</w:t>
      </w:r>
      <w:r w:rsidRPr="00F90EAE">
        <w:rPr>
          <w:color w:val="000000" w:themeColor="text1"/>
          <w:sz w:val="16"/>
          <w:szCs w:val="16"/>
          <w:vertAlign w:val="superscript"/>
        </w:rPr>
        <w:t>58</w:t>
      </w:r>
      <w:r w:rsidRPr="00F90EAE">
        <w:rPr>
          <w:color w:val="000000" w:themeColor="text1"/>
          <w:sz w:val="16"/>
          <w:szCs w:val="16"/>
        </w:rPr>
        <w:t xml:space="preserve"> ЗС14Э для "</w:t>
      </w:r>
      <w:r w:rsidRPr="00F90EAE">
        <w:rPr>
          <w:color w:val="000000" w:themeColor="text1"/>
          <w:sz w:val="16"/>
          <w:szCs w:val="16"/>
          <w:lang w:val="en-US"/>
        </w:rPr>
        <w:t>Club</w:t>
      </w:r>
      <w:r w:rsidRPr="00F90EAE">
        <w:rPr>
          <w:color w:val="000000" w:themeColor="text1"/>
          <w:sz w:val="16"/>
          <w:szCs w:val="16"/>
        </w:rPr>
        <w:t>-</w:t>
      </w:r>
      <w:r w:rsidRPr="00F90EAE">
        <w:rPr>
          <w:color w:val="000000" w:themeColor="text1"/>
          <w:sz w:val="16"/>
          <w:szCs w:val="16"/>
          <w:lang w:val="en-US"/>
        </w:rPr>
        <w:t>N</w:t>
      </w:r>
      <w:r w:rsidRPr="00F90EAE">
        <w:rPr>
          <w:color w:val="000000" w:themeColor="text1"/>
          <w:sz w:val="16"/>
          <w:szCs w:val="16"/>
        </w:rPr>
        <w:t>"; для БРПЛ: СМ-60 для Р-11ФМ и Р-13, СМ-87 для Р-21, для Р-27; СМ-97 (для ПЛ пр. 661), -97А (для ПЛ пр. 670А), -101 (для плавучего стенда), -107 (для ПЛ пр. 613А) для КР ПЛ П-70 «Аметист» (1963); СМ-71П для В-1000 системы ПРО «А» (1950-е); стартовая позиция комплекса «Шексна» для БР Р-16; ШПУ для Р-36 (1964), МР-УРЮО (1970-е), Р- 36М2 (1980-е); наземный комплекс для БР РТ-20П (1960-е); СК 5П85С для С-300П, 15П765-18Э для «Тополь-М», 15П761, 15П952 для БЖРК РТ-23 «Молодец» (1987), 15П961 для БЖРК РТ-23УТТХ (пнв в 1989 г.); артиллерийская часть ракетного комплекса «Филин» 2П4 (11982).</w:t>
      </w:r>
    </w:p>
    <w:p w14:paraId="2E291C16" w14:textId="77777777" w:rsidR="00C2313B" w:rsidRPr="00F90EAE" w:rsidRDefault="00C2313B" w:rsidP="00F90EAE">
      <w:pPr>
        <w:autoSpaceDE w:val="0"/>
        <w:autoSpaceDN w:val="0"/>
        <w:adjustRightInd w:val="0"/>
        <w:jc w:val="both"/>
        <w:rPr>
          <w:color w:val="000000" w:themeColor="text1"/>
          <w:sz w:val="16"/>
          <w:szCs w:val="16"/>
        </w:rPr>
      </w:pPr>
    </w:p>
    <w:p w14:paraId="7A2741DE" w14:textId="77777777" w:rsidR="00BC1830" w:rsidRPr="00F90EAE" w:rsidRDefault="00BC1830" w:rsidP="00F90EAE">
      <w:pPr>
        <w:jc w:val="both"/>
        <w:rPr>
          <w:color w:val="000000" w:themeColor="text1"/>
          <w:sz w:val="16"/>
          <w:szCs w:val="16"/>
        </w:rPr>
      </w:pPr>
      <w:r w:rsidRPr="00F90EAE">
        <w:rPr>
          <w:color w:val="000000" w:themeColor="text1"/>
          <w:sz w:val="16"/>
          <w:szCs w:val="16"/>
        </w:rPr>
        <w:t>В январе 1945</w:t>
      </w:r>
    </w:p>
    <w:p w14:paraId="4F16E599" w14:textId="77777777" w:rsidR="00BC1830" w:rsidRPr="00F90EAE" w:rsidRDefault="00BC1830" w:rsidP="00F90EAE">
      <w:pPr>
        <w:jc w:val="both"/>
        <w:rPr>
          <w:color w:val="000000" w:themeColor="text1"/>
          <w:sz w:val="16"/>
          <w:szCs w:val="16"/>
        </w:rPr>
      </w:pPr>
      <w:r w:rsidRPr="00F90EAE">
        <w:rPr>
          <w:color w:val="000000" w:themeColor="text1"/>
          <w:sz w:val="16"/>
          <w:szCs w:val="16"/>
        </w:rPr>
        <w:t>Секретно</w:t>
      </w:r>
    </w:p>
    <w:p w14:paraId="3C72F37A" w14:textId="77777777" w:rsidR="00BC1830" w:rsidRPr="00F90EAE" w:rsidRDefault="00BC1830" w:rsidP="00F90EAE">
      <w:pPr>
        <w:jc w:val="both"/>
        <w:rPr>
          <w:color w:val="000000" w:themeColor="text1"/>
          <w:sz w:val="16"/>
          <w:szCs w:val="16"/>
        </w:rPr>
      </w:pPr>
      <w:r w:rsidRPr="00F90EAE">
        <w:rPr>
          <w:color w:val="000000" w:themeColor="text1"/>
          <w:sz w:val="16"/>
          <w:szCs w:val="16"/>
        </w:rPr>
        <w:t>Товарищу Берия Л.П.</w:t>
      </w:r>
    </w:p>
    <w:p w14:paraId="20F36172" w14:textId="77777777" w:rsidR="00BC1830" w:rsidRPr="00F90EAE" w:rsidRDefault="00BC1830" w:rsidP="00F90EAE">
      <w:pPr>
        <w:jc w:val="both"/>
        <w:rPr>
          <w:color w:val="000000" w:themeColor="text1"/>
          <w:sz w:val="16"/>
          <w:szCs w:val="16"/>
        </w:rPr>
      </w:pPr>
      <w:r w:rsidRPr="00F90EAE">
        <w:rPr>
          <w:color w:val="000000" w:themeColor="text1"/>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33EE08E3" w14:textId="77777777" w:rsidR="00BC1830" w:rsidRPr="00F90EAE" w:rsidRDefault="00BC1830" w:rsidP="00F90EAE">
      <w:pPr>
        <w:jc w:val="both"/>
        <w:rPr>
          <w:color w:val="000000" w:themeColor="text1"/>
          <w:sz w:val="16"/>
          <w:szCs w:val="16"/>
        </w:rPr>
      </w:pPr>
      <w:r w:rsidRPr="00F90EAE">
        <w:rPr>
          <w:color w:val="000000" w:themeColor="text1"/>
          <w:sz w:val="16"/>
          <w:szCs w:val="16"/>
        </w:rPr>
        <w:t>Приведенные в письме тов Гоглидзе факты невыполнения программы по минам 120мм, выпуска мин с дефектами и другие недостатки имевшие место на заводе № 106 НКВ в  1944  г. подтвердились.</w:t>
      </w:r>
    </w:p>
    <w:p w14:paraId="4DD7C854" w14:textId="77777777" w:rsidR="00BC1830" w:rsidRPr="00F90EAE" w:rsidRDefault="00BC1830" w:rsidP="00F90EAE">
      <w:pPr>
        <w:jc w:val="both"/>
        <w:rPr>
          <w:color w:val="000000" w:themeColor="text1"/>
          <w:sz w:val="16"/>
          <w:szCs w:val="16"/>
        </w:rPr>
      </w:pPr>
      <w:r w:rsidRPr="00F90EAE">
        <w:rPr>
          <w:color w:val="000000" w:themeColor="text1"/>
          <w:sz w:val="16"/>
          <w:szCs w:val="16"/>
        </w:rPr>
        <w:t>В целях выправления работы завода № 106 Наркомвооружения и ГАУ КА приняты следующие меры:</w:t>
      </w:r>
    </w:p>
    <w:p w14:paraId="6A2D0C84" w14:textId="77777777" w:rsidR="00BC1830" w:rsidRPr="00F90EAE" w:rsidRDefault="00BC1830" w:rsidP="00F90EAE">
      <w:pPr>
        <w:jc w:val="both"/>
        <w:rPr>
          <w:color w:val="000000" w:themeColor="text1"/>
          <w:sz w:val="16"/>
          <w:szCs w:val="16"/>
        </w:rPr>
      </w:pPr>
      <w:r w:rsidRPr="00F90EAE">
        <w:rPr>
          <w:color w:val="000000" w:themeColor="text1"/>
          <w:sz w:val="16"/>
          <w:szCs w:val="16"/>
        </w:rPr>
        <w:t>1. директор завода № 106 т. Третьяков от руководства заводом отстранен;</w:t>
      </w:r>
    </w:p>
    <w:p w14:paraId="5D46012A" w14:textId="77777777" w:rsidR="00BC1830" w:rsidRPr="00F90EAE" w:rsidRDefault="00BC1830" w:rsidP="00F90EAE">
      <w:pPr>
        <w:jc w:val="both"/>
        <w:rPr>
          <w:color w:val="000000" w:themeColor="text1"/>
          <w:sz w:val="16"/>
          <w:szCs w:val="16"/>
        </w:rPr>
      </w:pPr>
      <w:r w:rsidRPr="00F90EAE">
        <w:rPr>
          <w:color w:val="000000" w:themeColor="text1"/>
          <w:sz w:val="16"/>
          <w:szCs w:val="16"/>
        </w:rPr>
        <w:t>2. Главному инженеру заводу тов. Пьянкову об"явлен строгий выговор с предупреждением;</w:t>
      </w:r>
    </w:p>
    <w:p w14:paraId="61A78099" w14:textId="77777777" w:rsidR="00BC1830" w:rsidRPr="00F90EAE" w:rsidRDefault="00BC1830" w:rsidP="00F90EAE">
      <w:pPr>
        <w:jc w:val="both"/>
        <w:rPr>
          <w:color w:val="000000" w:themeColor="text1"/>
          <w:sz w:val="16"/>
          <w:szCs w:val="16"/>
        </w:rPr>
      </w:pPr>
      <w:r w:rsidRPr="00F90EAE">
        <w:rPr>
          <w:color w:val="000000" w:themeColor="text1"/>
          <w:sz w:val="16"/>
          <w:szCs w:val="16"/>
        </w:rPr>
        <w:lastRenderedPageBreak/>
        <w:t>3. начальник ОТК завода освобожден от работы;</w:t>
      </w:r>
    </w:p>
    <w:p w14:paraId="71FD4D56" w14:textId="77777777" w:rsidR="00BC1830" w:rsidRPr="00F90EAE" w:rsidRDefault="00BC1830" w:rsidP="00F90EAE">
      <w:pPr>
        <w:jc w:val="both"/>
        <w:rPr>
          <w:color w:val="000000" w:themeColor="text1"/>
          <w:sz w:val="16"/>
          <w:szCs w:val="16"/>
        </w:rPr>
      </w:pPr>
      <w:r w:rsidRPr="00F90EAE">
        <w:rPr>
          <w:color w:val="000000" w:themeColor="text1"/>
          <w:sz w:val="16"/>
          <w:szCs w:val="16"/>
        </w:rPr>
        <w:t>4. районный военный инженер полковник Посашков понижен в должности и переведен на работу военным представителем в г. Горький;</w:t>
      </w:r>
    </w:p>
    <w:p w14:paraId="1D8CE1B1" w14:textId="77777777" w:rsidR="00BC1830" w:rsidRPr="00F90EAE" w:rsidRDefault="00BC1830" w:rsidP="00F90EAE">
      <w:pPr>
        <w:jc w:val="both"/>
        <w:rPr>
          <w:color w:val="000000" w:themeColor="text1"/>
          <w:sz w:val="16"/>
          <w:szCs w:val="16"/>
        </w:rPr>
      </w:pPr>
      <w:r w:rsidRPr="00F90EAE">
        <w:rPr>
          <w:color w:val="000000" w:themeColor="text1"/>
          <w:sz w:val="16"/>
          <w:szCs w:val="16"/>
        </w:rPr>
        <w:t>5. все ранее забракованные корпуса мин 120 мм вновь пересмотрены и сданы на снаряжение, отход в брак составил около 6,5%;</w:t>
      </w:r>
    </w:p>
    <w:p w14:paraId="40BB0A1C" w14:textId="77777777" w:rsidR="00BC1830" w:rsidRPr="00F90EAE" w:rsidRDefault="00BC1830" w:rsidP="00F90EAE">
      <w:pPr>
        <w:jc w:val="both"/>
        <w:rPr>
          <w:color w:val="000000" w:themeColor="text1"/>
          <w:sz w:val="16"/>
          <w:szCs w:val="16"/>
        </w:rPr>
      </w:pPr>
      <w:r w:rsidRPr="00F90EAE">
        <w:rPr>
          <w:color w:val="000000" w:themeColor="text1"/>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627FA099" w14:textId="77777777" w:rsidR="00BC1830" w:rsidRPr="00F90EAE" w:rsidRDefault="00BC1830" w:rsidP="00F90EAE">
      <w:pPr>
        <w:jc w:val="both"/>
        <w:rPr>
          <w:color w:val="000000" w:themeColor="text1"/>
          <w:sz w:val="16"/>
          <w:szCs w:val="16"/>
        </w:rPr>
      </w:pPr>
      <w:r w:rsidRPr="00F90EAE">
        <w:rPr>
          <w:color w:val="000000" w:themeColor="text1"/>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5540F1E9" w14:textId="77777777" w:rsidR="00BC1830" w:rsidRPr="00F90EAE" w:rsidRDefault="00BC1830" w:rsidP="00F90EAE">
      <w:pPr>
        <w:jc w:val="both"/>
        <w:rPr>
          <w:color w:val="000000" w:themeColor="text1"/>
          <w:sz w:val="16"/>
          <w:szCs w:val="16"/>
        </w:rPr>
      </w:pPr>
      <w:r w:rsidRPr="00F90EAE">
        <w:rPr>
          <w:color w:val="000000" w:themeColor="text1"/>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78D59CD" w14:textId="77777777" w:rsidR="00BC1830" w:rsidRPr="00F90EAE" w:rsidRDefault="00BC1830" w:rsidP="00F90EAE">
      <w:pPr>
        <w:jc w:val="both"/>
        <w:rPr>
          <w:color w:val="000000" w:themeColor="text1"/>
          <w:sz w:val="16"/>
          <w:szCs w:val="16"/>
        </w:rPr>
      </w:pPr>
      <w:r w:rsidRPr="00F90EAE">
        <w:rPr>
          <w:color w:val="000000" w:themeColor="text1"/>
          <w:sz w:val="16"/>
          <w:szCs w:val="16"/>
        </w:rPr>
        <w:t>В.Рябиков</w:t>
      </w:r>
    </w:p>
    <w:p w14:paraId="44BAE55D" w14:textId="77777777" w:rsidR="00BC1830" w:rsidRPr="00F90EAE" w:rsidRDefault="00BC1830" w:rsidP="00F90EAE">
      <w:pPr>
        <w:jc w:val="both"/>
        <w:rPr>
          <w:color w:val="000000" w:themeColor="text1"/>
          <w:sz w:val="16"/>
          <w:szCs w:val="16"/>
        </w:rPr>
      </w:pPr>
      <w:r w:rsidRPr="00F90EAE">
        <w:rPr>
          <w:color w:val="000000" w:themeColor="text1"/>
          <w:sz w:val="16"/>
          <w:szCs w:val="16"/>
        </w:rPr>
        <w:t>Н.Борисов</w:t>
      </w:r>
    </w:p>
    <w:p w14:paraId="50FDFD19" w14:textId="77777777" w:rsidR="00BC1830" w:rsidRPr="00F90EAE" w:rsidRDefault="00BC1830" w:rsidP="00F90EAE">
      <w:pPr>
        <w:jc w:val="both"/>
        <w:rPr>
          <w:color w:val="000000" w:themeColor="text1"/>
          <w:sz w:val="16"/>
          <w:szCs w:val="16"/>
        </w:rPr>
      </w:pPr>
      <w:r w:rsidRPr="00F90EAE">
        <w:rPr>
          <w:color w:val="000000" w:themeColor="text1"/>
          <w:sz w:val="16"/>
          <w:szCs w:val="16"/>
        </w:rPr>
        <w:t>П.Кирпичников"</w:t>
      </w:r>
    </w:p>
    <w:p w14:paraId="3AE37988" w14:textId="77777777" w:rsidR="00BC1830" w:rsidRPr="00F90EAE" w:rsidRDefault="00BC1830" w:rsidP="00F90EAE">
      <w:pPr>
        <w:jc w:val="both"/>
        <w:rPr>
          <w:color w:val="000000" w:themeColor="text1"/>
          <w:sz w:val="16"/>
          <w:szCs w:val="16"/>
        </w:rPr>
      </w:pPr>
      <w:r w:rsidRPr="00F90EAE">
        <w:rPr>
          <w:color w:val="000000" w:themeColor="text1"/>
          <w:sz w:val="16"/>
          <w:szCs w:val="16"/>
        </w:rPr>
        <w:t>(РГАЭ ф. 4372 д. 307 л. 160) (15492).</w:t>
      </w:r>
    </w:p>
    <w:p w14:paraId="43BA1AE4" w14:textId="77777777" w:rsidR="00BC1830" w:rsidRPr="00F90EAE" w:rsidRDefault="00BC1830" w:rsidP="00F90EAE">
      <w:pPr>
        <w:jc w:val="both"/>
        <w:rPr>
          <w:color w:val="000000" w:themeColor="text1"/>
          <w:sz w:val="16"/>
          <w:szCs w:val="16"/>
        </w:rPr>
      </w:pPr>
    </w:p>
    <w:p w14:paraId="55A677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завод № 13 спроектировал повозку ЗУ-17 весом 3600 кг под пушку КС-18 весом 3300 кг. В феврале 1947 года на заводе № 8 изготовлен "повторный образец" КС-18 с ССП. Проведены заводские и полигонные испытания на НИЗАПе. Испытания показали, что повозка КЗУ-17 имеет ряд недостатков и следует:</w:t>
      </w:r>
    </w:p>
    <w:p w14:paraId="6E400E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изменить конструкцию подрессоривания;</w:t>
      </w:r>
    </w:p>
    <w:p w14:paraId="2A791B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усилить стебель трубы;</w:t>
      </w:r>
    </w:p>
    <w:p w14:paraId="030F47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упрочить хребтовую балку;</w:t>
      </w:r>
    </w:p>
    <w:p w14:paraId="7C2546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 увеличить клиренс до 400 мм.</w:t>
      </w:r>
    </w:p>
    <w:p w14:paraId="3D1C6C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1948 году завод № 8 изготовил опытную серию из 4-х пушек. Из них две с ССП (КС-18) и две с ручным приводом (КС-18А). Все пушки сделаны в октябре 1948 года.</w:t>
      </w:r>
    </w:p>
    <w:p w14:paraId="067277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марте 1949 года были проведены полигонные испытания КС-18, а осенью 1949 года проведены войсковые испытания КС-18А.</w:t>
      </w:r>
    </w:p>
    <w:p w14:paraId="7066BF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рассмотрении результатов совместных войсковых испытаний 85-мм зенитной пушки КС-18А, КС-18 и КС-1, проведенные в 1949 году в комплексе с ПУАЗО-4А и стереодальномером "ДЯ-6", комиссией Арткома было решено провести 2-й этап войсковых испытаний КС-18А с ПУАЗО-6 и радиолокатором "Гром".</w:t>
      </w:r>
    </w:p>
    <w:p w14:paraId="30C6E7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в связи с задержкой в изготовлении ПУАЗО-6 и "Грома" в целях ускорения решения вопроса о пушке, в июле 1950 года было решено провести 2-ф этап войсковых испытаний батареи КС-18А с ПУАЗО-4А, стереодальномером ДЯ-6 и радиолокатором "Луч" с системой связи ССП.</w:t>
      </w:r>
    </w:p>
    <w:p w14:paraId="59A3B9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Войсковые испытания проводились на основе директивы заместителя Военного министра Соколовского по программе, утвержденной комиссией Арткома.</w:t>
      </w:r>
    </w:p>
    <w:p w14:paraId="790C951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Комиссия рекомендовала принят на вооружение войсковой зенитной артиллерии и зенитной артиллерии РВК КС-18А вместо 85-мм зенитных пушек обр. 1939 г. и обр. 1944 г.</w:t>
      </w:r>
    </w:p>
    <w:p w14:paraId="72C134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КС-18А рекомендована на вооружение зенитных артиллерийских полков, артиллерийских дивизий (бригад), армий и РВК, и корпусной зенитной артиллерии полков (дивизионов) войсковой зенитной артиллерии.</w:t>
      </w:r>
    </w:p>
    <w:p w14:paraId="78FC91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27 ноября по 24 декабря были проведены дополнительные испытания возкой за гусеничным тягачом АТ-С и М-2.</w:t>
      </w:r>
    </w:p>
    <w:p w14:paraId="0C63B0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итоге войсковых испытаний КС-18А в объеме 1014 выстрелов и 1500 км пробега (2 орудия по 1514 и 1484 км) установлено:</w:t>
      </w:r>
    </w:p>
    <w:p w14:paraId="677DD1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КС-18А проста по конструкции, надежна в работе и достаточно устойчива при стрельбе по воздушным и наземным целям.</w:t>
      </w:r>
    </w:p>
    <w:p w14:paraId="60ECA0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Кучность по наземным целям на небольшой дальности по сравнению с первым этапом войсковых испытаний улучшилась в 1,52 раза и является вполне удовлетворительной.</w:t>
      </w:r>
    </w:p>
    <w:p w14:paraId="70D77D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Результаты стрельбы по количеству нормальных отклонений средних точек разрывов от цели по сравнению с первым этапом войсковых испытаний улучшены в 1,52 раза.</w:t>
      </w:r>
    </w:p>
    <w:p w14:paraId="15ED56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Количество захватывающих залпов при стрельбе по наблюдаемым и ненаблюдаемым воздушным целям на высотах 6000, 7000 и 8000 м в среднем 4055%, что вполне приемлемо.</w:t>
      </w:r>
    </w:p>
    <w:p w14:paraId="4D297EB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Ввиду низкой точности решения задачи встречи, отсутствия специального механизма для учета запаздывания выстрела, а также больших трудностей в работе номеров при стрельбе по скоростным воздушным целям использование батареи КС-18А с ПУАЗО-4А может быть допущено временно до принятия на вооружение более совершенных ПУАЗО.</w:t>
      </w:r>
    </w:p>
    <w:p w14:paraId="4BEE77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КС-18А на пробеге по гравийному и булыжному шоссе, а также по бездорожью, показали достаточную устойчивость, поворотливость и сравнительно легкую преодолеваемость небольших препятствий.</w:t>
      </w:r>
    </w:p>
    <w:p w14:paraId="167A17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Повозка КЗУ-17 надежное основание пушки как при стрельбе, так и при возке.</w:t>
      </w:r>
    </w:p>
    <w:p w14:paraId="64EA59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Недостатки тоже выявлены.</w:t>
      </w:r>
    </w:p>
    <w:p w14:paraId="0D85E7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КС-18А на 2-м этапе войсковых испытаний была укомплектована противооткатными устройствами от 100-мм зенитной пушки КС-19 с передним уплотнением по второму варианту.</w:t>
      </w:r>
    </w:p>
    <w:p w14:paraId="650FC5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Противооткатные устройства работали нормально, однако необходимо изготовить и испытать зимой противооткатные устройства с двойным запором азота и улучшенным плавающим поршнем.</w:t>
      </w:r>
    </w:p>
    <w:p w14:paraId="291ED7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Скорость движения в зависимости от качества дороги:</w:t>
      </w:r>
    </w:p>
    <w:p w14:paraId="1F34EA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2-м этапе войсковых испытаний за "Студебеккером" от 10 до 50 км/час;</w:t>
      </w:r>
    </w:p>
    <w:p w14:paraId="4C0C5D7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дополнительных испытаниях: за АТ-С 1035 км/час;</w:t>
      </w:r>
    </w:p>
    <w:p w14:paraId="116A768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М-2 925 км/час.</w:t>
      </w:r>
    </w:p>
    <w:p w14:paraId="3C50BE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Колеса недостаточно прочные образовались трещины в дисках задних колес и т.д.</w:t>
      </w:r>
    </w:p>
    <w:p w14:paraId="00B96D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Металлическая часть колеса взята от колеса 85-мм зенитной пушки обр. 1939 г. (от ЗИС-5), а резиновая часть с камерой ГК от ЗИС-150.</w:t>
      </w:r>
    </w:p>
    <w:p w14:paraId="64A30F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колею: ЗИС-5 1100 кг, ЗИС-150 1500 кг.</w:t>
      </w:r>
    </w:p>
    <w:p w14:paraId="5E9DE8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 комиссии:</w:t>
      </w:r>
    </w:p>
    <w:p w14:paraId="6AF2E41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КС-18А 2-й этап войсковых испытаний стрельбой и пробегом выдержала. Недостатки повозки могут быть устранены.</w:t>
      </w:r>
    </w:p>
    <w:p w14:paraId="03256A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КС-18А по своим боевым качествам является современным зенитным орудием.</w:t>
      </w:r>
    </w:p>
    <w:p w14:paraId="4D85AE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Учитывая хорошее конструктивное решение, относительно небольшой вес, надежность работы и достаточную скорострельность считать необходимым принять пушку на вооружение.</w:t>
      </w:r>
    </w:p>
    <w:p w14:paraId="1C916C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Так как войсковые испытания проводились в летнее время, провести в 1851 году зимой дополнительные испытания в объеме 300 выстрелов (особенно противооткатных устройств).</w:t>
      </w:r>
    </w:p>
    <w:p w14:paraId="120B17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Заводам № 8 и № 13 внести изменения в чертежи, чтобы избавиться от недостатков.</w:t>
      </w:r>
    </w:p>
    <w:p w14:paraId="4E9E18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Совета министров № 465-207 от 18 марте 1954 года завод № 8 изготовил 6 пушек КС-18А. В августе 1954 года все 6 пушек были собраны. В сентябре-октябре 1954 года четыре пушки прошли полигонные испытания на НИАПе. В декабре 1954 года сданы две пушки КС-18А, доделанные по результатам полигонных испытаний.</w:t>
      </w:r>
    </w:p>
    <w:p w14:paraId="221623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июне 1954 года в ОКБ-8 был закончен технический проект и рабочие чертежи 85-мм пушка КС-18 с ГССП-100М и АУВ. Изготовление двух опытных образцов их было перенесено на I квартал 1955 года. К 1 января 1955 года производилось изготовление деталей.</w:t>
      </w:r>
    </w:p>
    <w:p w14:paraId="466558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КС-18А подвижное орудие, установленное на четырехколесной повозке с торсионным подрессориванием и неотделяемым в боевом положении ходом. Пушка имеет досылатель и лоток.</w:t>
      </w:r>
    </w:p>
    <w:p w14:paraId="38FE67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Камора и гильза КС-18 и КС-18А одинаковы с Д-48. (3861).</w:t>
      </w:r>
    </w:p>
    <w:p w14:paraId="12C9F74E" w14:textId="77777777" w:rsidR="00C2313B" w:rsidRPr="00F90EAE" w:rsidRDefault="00C2313B" w:rsidP="00F90EAE">
      <w:pPr>
        <w:autoSpaceDE w:val="0"/>
        <w:autoSpaceDN w:val="0"/>
        <w:adjustRightInd w:val="0"/>
        <w:jc w:val="both"/>
        <w:rPr>
          <w:color w:val="000000" w:themeColor="text1"/>
          <w:sz w:val="16"/>
          <w:szCs w:val="16"/>
        </w:rPr>
      </w:pPr>
    </w:p>
    <w:p w14:paraId="692134C3" w14:textId="77777777" w:rsidR="000C332D" w:rsidRPr="00F90EAE" w:rsidRDefault="000C332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январе 1945 года был произведён обстрел двух башен ИС-6, изготовленных на УЗТМ из стали 70Л и 72Л. Обстрел борта башни из 88-мм пушки Pak 43L/71 показал, что вторым выстрелом 150-мм борт оказался пробит, то же самое случилось и при попадании второго снаряда в участок толщиной 160 мм. Далее была пробита корма башни снарядом 75-мм пушки KwK 42 L/70. После пятого выстрела башня из стали 72Л раскололась. Башня из стали 70Л показала более удовлетворительный результат, но стало ясно, что насчёт формы башни в НКТП и ГБТУ КА просчитались. Впрочем, это произойдёт потом, а по состоянию на конец 1944 года ИС-6 считался приоритетом (19090).</w:t>
      </w:r>
    </w:p>
    <w:p w14:paraId="39F21D58" w14:textId="77777777" w:rsidR="000C332D" w:rsidRPr="00F90EAE" w:rsidRDefault="000C332D" w:rsidP="00F90EAE">
      <w:pPr>
        <w:pStyle w:val="ae"/>
        <w:shd w:val="clear" w:color="auto" w:fill="FFFFFF"/>
        <w:spacing w:before="0" w:after="0"/>
        <w:jc w:val="both"/>
        <w:textAlignment w:val="baseline"/>
        <w:rPr>
          <w:color w:val="000000" w:themeColor="text1"/>
          <w:sz w:val="16"/>
          <w:szCs w:val="16"/>
        </w:rPr>
      </w:pPr>
    </w:p>
    <w:p w14:paraId="185C8027" w14:textId="77777777" w:rsidR="000C332D" w:rsidRPr="00F90EAE" w:rsidRDefault="000C332D" w:rsidP="00F90EAE">
      <w:pPr>
        <w:jc w:val="both"/>
        <w:rPr>
          <w:color w:val="000000" w:themeColor="text1"/>
          <w:sz w:val="16"/>
          <w:szCs w:val="16"/>
        </w:rPr>
      </w:pPr>
      <w:r w:rsidRPr="00F90EAE">
        <w:rPr>
          <w:color w:val="000000" w:themeColor="text1"/>
          <w:sz w:val="16"/>
          <w:szCs w:val="16"/>
        </w:rPr>
        <w:t>В январе 1945 года на УЗТМ для рассмотрения переработанных проектов прибыла специальная комиссия НКТП, которую возглавлял И.С. Бер. Рассмотрев проекты на месте, комиссия согласилась с выводами КБ УЗТМ. Вариант с кормовым расположением боевого отделения выглядел более перспективно. Расчёты показывали, что даже в случае увеличения толщины брони боевая масса возрастает незначительно. Кроме того, в боевое отделение вполне вписывалось не только 100-мм орудие Д-10С, но и более громоздкая Д-25. По итогам комиссия указала на ряд недостатков, которые следовало устранить в финальном варианте проекта (19525).</w:t>
      </w:r>
    </w:p>
    <w:p w14:paraId="2FAD2113" w14:textId="77777777" w:rsidR="000C332D" w:rsidRPr="00F90EAE" w:rsidRDefault="000C332D" w:rsidP="00F90EAE">
      <w:pPr>
        <w:pStyle w:val="ae"/>
        <w:shd w:val="clear" w:color="auto" w:fill="FFFFFF"/>
        <w:spacing w:before="0" w:after="0"/>
        <w:jc w:val="both"/>
        <w:textAlignment w:val="baseline"/>
        <w:rPr>
          <w:color w:val="000000" w:themeColor="text1"/>
          <w:sz w:val="16"/>
          <w:szCs w:val="16"/>
        </w:rPr>
      </w:pPr>
    </w:p>
    <w:p w14:paraId="1FDAA5A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двухстворчатая крыш</w:t>
      </w:r>
      <w:r w:rsidRPr="00F90EAE">
        <w:rPr>
          <w:color w:val="000000" w:themeColor="text1"/>
          <w:sz w:val="16"/>
          <w:szCs w:val="16"/>
        </w:rPr>
        <w:softHyphen/>
        <w:t>ка люка командирской башенки была заменена на одностворчатую (10703).</w:t>
      </w:r>
    </w:p>
    <w:p w14:paraId="2210CF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9E7F7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двустворчатую крышку люка командирской башенки Т-34-85 заменили на одностворчатую, а после войны на Т-34 завода Красное Сормово перенесли один из вентиляторов (4390).</w:t>
      </w:r>
    </w:p>
    <w:p w14:paraId="531ACEF0" w14:textId="77777777" w:rsidR="00C2313B" w:rsidRPr="00F90EAE" w:rsidRDefault="00C2313B" w:rsidP="00F90EAE">
      <w:pPr>
        <w:autoSpaceDE w:val="0"/>
        <w:autoSpaceDN w:val="0"/>
        <w:adjustRightInd w:val="0"/>
        <w:jc w:val="both"/>
        <w:rPr>
          <w:color w:val="000000" w:themeColor="text1"/>
          <w:sz w:val="16"/>
          <w:szCs w:val="16"/>
        </w:rPr>
      </w:pPr>
    </w:p>
    <w:p w14:paraId="4681A8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был изготовлен опытный образец машины Т-34 с ЗИС-1, который в феврале того же года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бронебойно-подкали^ернымч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7719C7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303A6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был изготовлен опыт</w:t>
      </w:r>
      <w:r w:rsidRPr="00F90EAE">
        <w:rPr>
          <w:color w:val="000000" w:themeColor="text1"/>
          <w:sz w:val="16"/>
          <w:szCs w:val="16"/>
        </w:rPr>
        <w:softHyphen/>
        <w:t>ный образец танка Т-34-85ПХ (ТПХ-2), который был разработан в 1944 - 1945 гг. конст</w:t>
      </w:r>
      <w:r w:rsidRPr="00F90EAE">
        <w:rPr>
          <w:color w:val="000000" w:themeColor="text1"/>
          <w:sz w:val="16"/>
          <w:szCs w:val="16"/>
        </w:rPr>
        <w:softHyphen/>
        <w:t>рукторским отделом завода "Красное Сормово" (ведущий конструкто</w:t>
      </w:r>
      <w:r w:rsidRPr="00F90EAE">
        <w:rPr>
          <w:color w:val="000000" w:themeColor="text1"/>
          <w:sz w:val="16"/>
          <w:szCs w:val="16"/>
        </w:rPr>
        <w:softHyphen/>
        <w:t>р машины Ю.П. Новиков), с оборудованием для подводного вождения и летом то</w:t>
      </w:r>
      <w:r w:rsidRPr="00F90EAE">
        <w:rPr>
          <w:color w:val="000000" w:themeColor="text1"/>
          <w:sz w:val="16"/>
          <w:szCs w:val="16"/>
        </w:rPr>
        <w:softHyphen/>
        <w:t>го же года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F90EAE">
        <w:rPr>
          <w:color w:val="000000" w:themeColor="text1"/>
          <w:sz w:val="16"/>
          <w:szCs w:val="16"/>
        </w:rPr>
        <w:softHyphen/>
        <w:t>лась от пего проведением дополнительных мероприятий но герметиза</w:t>
      </w:r>
      <w:r w:rsidRPr="00F90EAE">
        <w:rPr>
          <w:color w:val="000000" w:themeColor="text1"/>
          <w:sz w:val="16"/>
          <w:szCs w:val="16"/>
        </w:rPr>
        <w:softHyphen/>
        <w:t>ции корпуса и башни танка, а также установкой специального оборудо</w:t>
      </w:r>
      <w:r w:rsidRPr="00F90EAE">
        <w:rPr>
          <w:color w:val="000000" w:themeColor="text1"/>
          <w:sz w:val="16"/>
          <w:szCs w:val="16"/>
        </w:rPr>
        <w:softHyphen/>
        <w:t>вания, обеспечивавшего ему возможность свободного преодоления вод</w:t>
      </w:r>
      <w:r w:rsidRPr="00F90EAE">
        <w:rPr>
          <w:color w:val="000000" w:themeColor="text1"/>
          <w:sz w:val="16"/>
          <w:szCs w:val="16"/>
        </w:rPr>
        <w:softHyphen/>
        <w:t>ных преград по дну глубиной до 5 м (10703).</w:t>
      </w:r>
    </w:p>
    <w:p w14:paraId="2E2459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390237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был изготовлен опыт</w:t>
      </w:r>
      <w:r w:rsidRPr="00F90EAE">
        <w:rPr>
          <w:color w:val="000000" w:themeColor="text1"/>
          <w:sz w:val="16"/>
          <w:szCs w:val="16"/>
        </w:rPr>
        <w:softHyphen/>
        <w:t>ный образец танка Т-34-85ПХ (ТПХ-1), который был разработан в 1944 - 1945 гг. конст</w:t>
      </w:r>
      <w:r w:rsidRPr="00F90EAE">
        <w:rPr>
          <w:color w:val="000000" w:themeColor="text1"/>
          <w:sz w:val="16"/>
          <w:szCs w:val="16"/>
        </w:rPr>
        <w:softHyphen/>
        <w:t>рукторским отделом завода "Красное Сормово" (ведущим конструкто</w:t>
      </w:r>
      <w:r w:rsidRPr="00F90EAE">
        <w:rPr>
          <w:color w:val="000000" w:themeColor="text1"/>
          <w:sz w:val="16"/>
          <w:szCs w:val="16"/>
        </w:rPr>
        <w:softHyphen/>
        <w:t>ром машины был Ю.П. Новиков) с оборудованием для подводного вождения, который прошел полигонные испытания. На вооружение не принимался и в се</w:t>
      </w:r>
      <w:r w:rsidRPr="00F90EAE">
        <w:rPr>
          <w:color w:val="000000" w:themeColor="text1"/>
          <w:sz w:val="16"/>
          <w:szCs w:val="16"/>
        </w:rPr>
        <w:softHyphen/>
        <w:t>рийном производстве не состоял. Танк ТПХ-1 отличался от танка ТПХ-2 наличием более сложных по конструкции и исполнению отдельных специальных узлов и систем, свойственных тапку подводного вождения. Корпус машины по конструкции и технологии был усложнен за счет установки на машине более сложных систем приема воздуха в машину, охлаждения и выпуска отработавших газов. Боковая система приема воздуха в машину с поворачивавшейся тру</w:t>
      </w:r>
      <w:r w:rsidRPr="00F90EAE">
        <w:rPr>
          <w:color w:val="000000" w:themeColor="text1"/>
          <w:sz w:val="16"/>
          <w:szCs w:val="16"/>
        </w:rPr>
        <w:softHyphen/>
        <w:t>бой потребовала выреза отверстия в левом наклонном бортовом броне</w:t>
      </w:r>
      <w:r w:rsidRPr="00F90EAE">
        <w:rPr>
          <w:color w:val="000000" w:themeColor="text1"/>
          <w:sz w:val="16"/>
          <w:szCs w:val="16"/>
        </w:rPr>
        <w:softHyphen/>
        <w:t>вом листе и приварки мортиры (10703).</w:t>
      </w:r>
    </w:p>
    <w:p w14:paraId="0BACCD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43DA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ИС-2 начали оборудовать противокумулятивными экранами, которые изготавливались и устанавливались большей частью кустарно силами танкоремонтных подразделений из тонких металлических листов сетки и даже спиралей Бруно, сплющенных танковыми гусеницами. Кумулятивная граната "фаустпатрона" взрываясь на экране, разносила его в клочья, но на основной броне оставляла лишь оплавленную вороночку, которую танкисты с черным юмором людей, ежеминутно смотрящих в глаза смерти назвали "засос ведьмы"..</w:t>
      </w:r>
    </w:p>
    <w:p w14:paraId="691A56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сожалению, разрывами снарядов и обломками зданий экраны часто срывало или деформировало. О том, какие это вызывало последствия, рассказал в своей повести-воспоминании "Последний бой - он трудный самый" В.Миндлин, участник штурма Берлина, подполковник гвардии, командир 11-го Гв. ттпп:..</w:t>
      </w:r>
    </w:p>
    <w:p w14:paraId="326C8B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"Вот стоит машина с наглухо задраенными люками, из нее сквозь броню слышен визг вращающегося умформера радиостанции. Но экипаж молчит... Не отзывается ни на стук, ни по радио. В башне - маленькая, диаметром с копейку, оплавленная дырочка - мизинец не пройдет. А это - "фауст", его работа". Экран в этом месте сорван, концентрированный взрыв ударил по броне... Синеватыми огоньками брызжет сварка: только так можно вскрыть задраенный изнутри люк. Из башни достаем четырех погибших танкистов. Молодые, еще недавно веселые сильные парни. Им бы жить да жить....</w:t>
      </w:r>
    </w:p>
    <w:p w14:paraId="0942D9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Кумулятивная граната прожгла сталь брони, огненным вихрем ворвалась в машину. Брызги расплавленной стали поразили всех насмерть... Не затронуты ни боеукладка, ни баки с горючим, ни механизмы. Погибли лишь люди, и вот, как будто в последнем строю, лежат они, танкисты, у гусеницы своей боевой машины. А танк - живой - стоит посреди улицы, низко к мостовой опустив пушку, как бы скорбя по погибшему экипажу. А людей уже нет. Кто видел танковый бой, тот знает, как страшно гибнут танкисты. Если снаряд или "фауст" поразил боеукладку, баки с горючим, танк погибает мгновенно - взрывается, и ничего живого в нем и возле танка не остается. Экипаж погибает без мучений..</w:t>
      </w:r>
    </w:p>
    <w:p w14:paraId="64A966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бывает и так: пробил снаряд или "фауст" броню, тяжело ранены все члены экипажа, и машина горит, огонь идет к боеукладке, к бакам с горючим, а погасить его экипаж не в состоянии. Надо покинуть танк и до взрыва успеть отбежать на безопасное расстояние. Но у раненых танкистов уже нет сил отдраить люки, открыть их. И слышишь крики заживо горящих людей. Помочь им нельзя: люки закрыты изнутри, можно, повторю, открыть только сваркой..</w:t>
      </w:r>
    </w:p>
    <w:p w14:paraId="51D234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Нет более жестокого боя, чем танковый бой. Нет страшнее смерти, чем смерть в горящем танке"..</w:t>
      </w:r>
    </w:p>
    <w:p w14:paraId="08409D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Вести уличный бои с открытыми башенными люками было нельзя, так как из любого окна могла вылететь ручная граната. Поэтому экипажи получили приказ: люки закрывать но не задраивать. В результате безвозвратные потери личного состава несколько снизились. Для боя в городских кварталах применялось специальное построение под названием "елочка"..</w:t>
      </w:r>
    </w:p>
    <w:p w14:paraId="31DE69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Танки взаимодействовали огнем попарно а пары между собой. Танковый взвод, два тяжелых танка ИС-2, простреливал всю улицу, один танк ее правую сторону, а другой левую. Такая пара двигалась уступом, друг за другом, по обеим сторонам улицы. Другая пара шла следом за первой и поддерживала ее огнем..</w:t>
      </w:r>
    </w:p>
    <w:p w14:paraId="3C8198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Каждой танковой роте придавался взвод автоматчиков, состоявший из пяти отделений, по числу тяжелых танков в роте. Автоматчики передвигались на броне, при встрече с противником они спешивались и вели бой в тесном взаимодействии с экипажем "своего" танка..</w:t>
      </w:r>
    </w:p>
    <w:p w14:paraId="52D0F4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уличных боях именно на пехотинцев ложилась основная работа по уничтожению "фаустников". Создавались специальные штурмовые группы: взвод автоматчиков и одно полевое орудие, чаще всего ЗИС-3. О применении таких групп упоминает и артиллерист М.Бадигин в своих воспоминаниях..</w:t>
      </w:r>
    </w:p>
    <w:p w14:paraId="35448D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борьбе с "фаустниками" неплохо зарекомендовали себя и крупнокалиберные зенитные пулеметы ДШК. Правда, на улицах Берлина задранные вверх стволы этих пулеметов цеплялись за все провода, особенно за трамвайные. Поэтому на части танков ДШК были сняты. (3862).</w:t>
      </w:r>
    </w:p>
    <w:p w14:paraId="2204246B" w14:textId="77777777" w:rsidR="00C2313B" w:rsidRPr="00F90EAE" w:rsidRDefault="00C2313B" w:rsidP="00F90EAE">
      <w:pPr>
        <w:autoSpaceDE w:val="0"/>
        <w:autoSpaceDN w:val="0"/>
        <w:adjustRightInd w:val="0"/>
        <w:jc w:val="both"/>
        <w:rPr>
          <w:color w:val="000000" w:themeColor="text1"/>
          <w:sz w:val="16"/>
          <w:szCs w:val="16"/>
        </w:rPr>
      </w:pPr>
    </w:p>
    <w:p w14:paraId="13F5E661" w14:textId="77777777" w:rsidR="008C5307" w:rsidRPr="00F90EAE" w:rsidRDefault="008C5307" w:rsidP="00F90EAE">
      <w:pPr>
        <w:jc w:val="both"/>
        <w:rPr>
          <w:color w:val="000000" w:themeColor="text1"/>
          <w:sz w:val="16"/>
          <w:szCs w:val="16"/>
        </w:rPr>
      </w:pPr>
      <w:r w:rsidRPr="00F90EAE">
        <w:rPr>
          <w:color w:val="000000" w:themeColor="text1"/>
          <w:sz w:val="16"/>
          <w:szCs w:val="16"/>
        </w:rPr>
        <w:t>В январе 1945 года план производства ИСУ-152 на ЧКЗ снова был перевыполнен. Из-за нехватки систем А-19 было выпущено 90 ИСУ-122 и 110 ИСУ-152, в феврале и марте — по 100 ИСУ-152. Как и на ИС-2, с 1 февраля на самоходных установках стали монтировать дымовые шашки МДШ (18171).</w:t>
      </w:r>
    </w:p>
    <w:p w14:paraId="5B93D1FB" w14:textId="77777777" w:rsidR="008C5307" w:rsidRPr="00F90EAE" w:rsidRDefault="008C5307" w:rsidP="00F90EAE">
      <w:pPr>
        <w:jc w:val="both"/>
        <w:rPr>
          <w:color w:val="000000" w:themeColor="text1"/>
          <w:sz w:val="16"/>
          <w:szCs w:val="16"/>
        </w:rPr>
      </w:pPr>
    </w:p>
    <w:p w14:paraId="50EB739B" w14:textId="77777777" w:rsidR="008C5307" w:rsidRPr="00F90EAE" w:rsidRDefault="008C5307" w:rsidP="00F90EAE">
      <w:pPr>
        <w:jc w:val="both"/>
        <w:rPr>
          <w:color w:val="000000" w:themeColor="text1"/>
          <w:sz w:val="16"/>
          <w:szCs w:val="16"/>
        </w:rPr>
      </w:pPr>
      <w:r w:rsidRPr="00F90EAE">
        <w:rPr>
          <w:color w:val="000000" w:themeColor="text1"/>
          <w:sz w:val="16"/>
          <w:szCs w:val="16"/>
        </w:rPr>
        <w:t>С января 1945 года зенитными пулемётами оснащались все ИС-2 и ИСУ. Это было крайне полезное нововведение: для ДШКТ хватало не только воздушных, но и наземных целей, до его появления экипажам приходилось бороться с вражеской пехотой при помощи личного оружия (18171).</w:t>
      </w:r>
    </w:p>
    <w:p w14:paraId="73BEF0F3" w14:textId="77777777" w:rsidR="008C5307" w:rsidRPr="00F90EAE" w:rsidRDefault="008C5307" w:rsidP="00F90EAE">
      <w:pPr>
        <w:jc w:val="both"/>
        <w:rPr>
          <w:color w:val="000000" w:themeColor="text1"/>
          <w:sz w:val="16"/>
          <w:szCs w:val="16"/>
        </w:rPr>
      </w:pPr>
    </w:p>
    <w:p w14:paraId="3E00C501" w14:textId="77777777" w:rsidR="00F1364C" w:rsidRPr="00F90EAE" w:rsidRDefault="00F1364C" w:rsidP="00F90EAE">
      <w:pPr>
        <w:shd w:val="clear" w:color="auto" w:fill="FFFFFF"/>
        <w:jc w:val="both"/>
        <w:rPr>
          <w:rStyle w:val="700"/>
          <w:rFonts w:ascii="Times New Roman" w:eastAsiaTheme="minorHAnsi" w:hAnsi="Times New Roman" w:cs="Times New Roman"/>
          <w:color w:val="0070C0"/>
          <w:sz w:val="16"/>
          <w:szCs w:val="16"/>
        </w:rPr>
      </w:pPr>
      <w:r w:rsidRPr="00F90EAE">
        <w:rPr>
          <w:rStyle w:val="690"/>
          <w:rFonts w:ascii="Times New Roman" w:hAnsi="Times New Roman" w:cs="Times New Roman"/>
          <w:color w:val="0070C0"/>
          <w:sz w:val="16"/>
          <w:szCs w:val="16"/>
        </w:rPr>
        <w:t>В январе 1945 года имели место более существенные доработки ИС-2. Изменения, впрочем, носили незначительный объем, в ос</w:t>
      </w:r>
      <w:r w:rsidRPr="00F90EAE">
        <w:rPr>
          <w:rStyle w:val="690"/>
          <w:rFonts w:ascii="Times New Roman" w:hAnsi="Times New Roman" w:cs="Times New Roman"/>
          <w:color w:val="0070C0"/>
          <w:sz w:val="16"/>
          <w:szCs w:val="16"/>
        </w:rPr>
        <w:softHyphen/>
        <w:t>новном улучшались мелкие детали, например, добавили ребро жесткости на вертикальную тягу педали газа и тросик с рукояткой для обеспечения спуска воды из водяной помпы. С 10 января ввели крепление ППШ, также в ян</w:t>
      </w:r>
      <w:r w:rsidRPr="00F90EAE">
        <w:rPr>
          <w:rStyle w:val="690"/>
          <w:rFonts w:ascii="Times New Roman" w:hAnsi="Times New Roman" w:cs="Times New Roman"/>
          <w:color w:val="0070C0"/>
          <w:sz w:val="16"/>
          <w:szCs w:val="16"/>
        </w:rPr>
        <w:softHyphen/>
        <w:t>варе внедрили генератор Г-73 и новые типы приборов. Наиболее важным моментом стало то, что с 1 января 1945 года все танки и САУ, выпускавшиеся в Челябинске, получали зе</w:t>
      </w:r>
      <w:r w:rsidRPr="00F90EAE">
        <w:rPr>
          <w:rStyle w:val="690"/>
          <w:rFonts w:ascii="Times New Roman" w:hAnsi="Times New Roman" w:cs="Times New Roman"/>
          <w:color w:val="0070C0"/>
          <w:sz w:val="16"/>
          <w:szCs w:val="16"/>
        </w:rPr>
        <w:softHyphen/>
        <w:t>нитные</w:t>
      </w:r>
      <w:r w:rsidRPr="00F90EAE">
        <w:rPr>
          <w:color w:val="0070C0"/>
          <w:sz w:val="16"/>
          <w:szCs w:val="16"/>
        </w:rPr>
        <w:t xml:space="preserve"> </w:t>
      </w:r>
      <w:r w:rsidRPr="00F90EAE">
        <w:rPr>
          <w:rStyle w:val="690"/>
          <w:rFonts w:ascii="Times New Roman" w:hAnsi="Times New Roman" w:cs="Times New Roman"/>
          <w:color w:val="0070C0"/>
          <w:sz w:val="16"/>
          <w:szCs w:val="16"/>
        </w:rPr>
        <w:t>зе</w:t>
      </w:r>
      <w:r w:rsidRPr="00F90EAE">
        <w:rPr>
          <w:rStyle w:val="690"/>
          <w:rFonts w:ascii="Times New Roman" w:hAnsi="Times New Roman" w:cs="Times New Roman"/>
          <w:color w:val="0070C0"/>
          <w:sz w:val="16"/>
          <w:szCs w:val="16"/>
        </w:rPr>
        <w:softHyphen/>
        <w:t>нитные турели с крупнокалиберным пулеме</w:t>
      </w:r>
      <w:r w:rsidRPr="00F90EAE">
        <w:rPr>
          <w:rStyle w:val="690"/>
          <w:rFonts w:ascii="Times New Roman" w:hAnsi="Times New Roman" w:cs="Times New Roman"/>
          <w:color w:val="0070C0"/>
          <w:sz w:val="16"/>
          <w:szCs w:val="16"/>
        </w:rPr>
        <w:softHyphen/>
        <w:t xml:space="preserve">том ДШК. За декабрь 1944 года их поставили </w:t>
      </w:r>
      <w:r w:rsidRPr="00F90EAE">
        <w:rPr>
          <w:rStyle w:val="700"/>
          <w:rFonts w:ascii="Times New Roman" w:eastAsiaTheme="minorHAnsi" w:hAnsi="Times New Roman" w:cs="Times New Roman"/>
          <w:color w:val="0070C0"/>
          <w:sz w:val="16"/>
          <w:szCs w:val="16"/>
        </w:rPr>
        <w:t>на 125 танков. В походном положении пуле</w:t>
      </w:r>
      <w:r w:rsidRPr="00F90EAE">
        <w:rPr>
          <w:rStyle w:val="700"/>
          <w:rFonts w:ascii="Times New Roman" w:eastAsiaTheme="minorHAnsi" w:hAnsi="Times New Roman" w:cs="Times New Roman"/>
          <w:color w:val="0070C0"/>
          <w:sz w:val="16"/>
          <w:szCs w:val="16"/>
        </w:rPr>
        <w:softHyphen/>
        <w:t>меты вешались на креплениях, которые уста</w:t>
      </w:r>
      <w:r w:rsidRPr="00F90EAE">
        <w:rPr>
          <w:rStyle w:val="700"/>
          <w:rFonts w:ascii="Times New Roman" w:eastAsiaTheme="minorHAnsi" w:hAnsi="Times New Roman" w:cs="Times New Roman"/>
          <w:color w:val="0070C0"/>
          <w:sz w:val="16"/>
          <w:szCs w:val="16"/>
        </w:rPr>
        <w:softHyphen/>
        <w:t>новили на правом борту башни. В дальней</w:t>
      </w:r>
      <w:r w:rsidRPr="00F90EAE">
        <w:rPr>
          <w:rStyle w:val="700"/>
          <w:rFonts w:ascii="Times New Roman" w:eastAsiaTheme="minorHAnsi" w:hAnsi="Times New Roman" w:cs="Times New Roman"/>
          <w:color w:val="0070C0"/>
          <w:sz w:val="16"/>
          <w:szCs w:val="16"/>
        </w:rPr>
        <w:softHyphen/>
        <w:t>шем, по мере возможности, зенитными пуле</w:t>
      </w:r>
      <w:r w:rsidRPr="00F90EAE">
        <w:rPr>
          <w:rStyle w:val="700"/>
          <w:rFonts w:ascii="Times New Roman" w:eastAsiaTheme="minorHAnsi" w:hAnsi="Times New Roman" w:cs="Times New Roman"/>
          <w:color w:val="0070C0"/>
          <w:sz w:val="16"/>
          <w:szCs w:val="16"/>
        </w:rPr>
        <w:softHyphen/>
        <w:t>метами оснащались и танки более раннего выпуска, но происходило это крайне медлен</w:t>
      </w:r>
      <w:r w:rsidRPr="00F90EAE">
        <w:rPr>
          <w:rStyle w:val="700"/>
          <w:rFonts w:ascii="Times New Roman" w:eastAsiaTheme="minorHAnsi" w:hAnsi="Times New Roman" w:cs="Times New Roman"/>
          <w:color w:val="0070C0"/>
          <w:sz w:val="16"/>
          <w:szCs w:val="16"/>
        </w:rPr>
        <w:softHyphen/>
        <w:t>но. Главным тормозящим фактором был де</w:t>
      </w:r>
      <w:r w:rsidRPr="00F90EAE">
        <w:rPr>
          <w:rStyle w:val="700"/>
          <w:rFonts w:ascii="Times New Roman" w:eastAsiaTheme="minorHAnsi" w:hAnsi="Times New Roman" w:cs="Times New Roman"/>
          <w:color w:val="0070C0"/>
          <w:sz w:val="16"/>
          <w:szCs w:val="16"/>
        </w:rPr>
        <w:softHyphen/>
        <w:t>фицит пулеметов и турелей, которых понача</w:t>
      </w:r>
      <w:r w:rsidRPr="00F90EAE">
        <w:rPr>
          <w:rStyle w:val="700"/>
          <w:rFonts w:ascii="Times New Roman" w:eastAsiaTheme="minorHAnsi" w:hAnsi="Times New Roman" w:cs="Times New Roman"/>
          <w:color w:val="0070C0"/>
          <w:sz w:val="16"/>
          <w:szCs w:val="16"/>
        </w:rPr>
        <w:softHyphen/>
        <w:t>лу едва хватало для обеспечения производ</w:t>
      </w:r>
      <w:r w:rsidRPr="00F90EAE">
        <w:rPr>
          <w:rStyle w:val="700"/>
          <w:rFonts w:ascii="Times New Roman" w:eastAsiaTheme="minorHAnsi" w:hAnsi="Times New Roman" w:cs="Times New Roman"/>
          <w:color w:val="0070C0"/>
          <w:sz w:val="16"/>
          <w:szCs w:val="16"/>
        </w:rPr>
        <w:softHyphen/>
        <w:t>ства новых танков. Посему танки более ран</w:t>
      </w:r>
      <w:r w:rsidRPr="00F90EAE">
        <w:rPr>
          <w:rStyle w:val="700"/>
          <w:rFonts w:ascii="Times New Roman" w:eastAsiaTheme="minorHAnsi" w:hAnsi="Times New Roman" w:cs="Times New Roman"/>
          <w:color w:val="0070C0"/>
          <w:sz w:val="16"/>
          <w:szCs w:val="16"/>
        </w:rPr>
        <w:softHyphen/>
        <w:t>него выпуска с зенитными пулеметами явля</w:t>
      </w:r>
      <w:r w:rsidRPr="00F90EAE">
        <w:rPr>
          <w:rStyle w:val="700"/>
          <w:rFonts w:ascii="Times New Roman" w:eastAsiaTheme="minorHAnsi" w:hAnsi="Times New Roman" w:cs="Times New Roman"/>
          <w:color w:val="0070C0"/>
          <w:sz w:val="16"/>
          <w:szCs w:val="16"/>
        </w:rPr>
        <w:softHyphen/>
        <w:t>лись скорее исключением, чем правилом (19880).</w:t>
      </w:r>
    </w:p>
    <w:p w14:paraId="3E92994C" w14:textId="77777777" w:rsidR="00F1364C" w:rsidRPr="00F90EAE" w:rsidRDefault="00F1364C" w:rsidP="00F90EAE">
      <w:pPr>
        <w:shd w:val="clear" w:color="auto" w:fill="FFFFFF"/>
        <w:jc w:val="both"/>
        <w:rPr>
          <w:color w:val="0070C0"/>
          <w:sz w:val="16"/>
          <w:szCs w:val="16"/>
        </w:rPr>
      </w:pPr>
    </w:p>
    <w:p w14:paraId="7F2E8CD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ЧКЗ приступил к изготовлению опытных образцов танка “Кировец-1”. Второй опытный образец танка ИС-3 ("Объект 703"), изготовлен</w:t>
      </w:r>
      <w:r w:rsidRPr="00F90EAE">
        <w:rPr>
          <w:color w:val="000000" w:themeColor="text1"/>
          <w:sz w:val="16"/>
          <w:szCs w:val="16"/>
        </w:rPr>
        <w:softHyphen/>
        <w:t>ный на ЧКЗ, значительно отличался от первого образца танка ИС-3 ("Кировец-1") и являлся результатом объединения двух проектов -ЧКЗ и завода № 100 (10703).</w:t>
      </w:r>
    </w:p>
    <w:p w14:paraId="37DE09F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C313E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проект самоходной установки был рассмотрен на за</w:t>
      </w:r>
      <w:r w:rsidRPr="00F90EAE">
        <w:rPr>
          <w:color w:val="000000" w:themeColor="text1"/>
          <w:sz w:val="16"/>
          <w:szCs w:val="16"/>
        </w:rPr>
        <w:softHyphen/>
        <w:t>воде и после устранения отмеченных комиссией недостатков в марте то</w:t>
      </w:r>
      <w:r w:rsidRPr="00F90EAE">
        <w:rPr>
          <w:color w:val="000000" w:themeColor="text1"/>
          <w:sz w:val="16"/>
          <w:szCs w:val="16"/>
        </w:rPr>
        <w:softHyphen/>
        <w:t>го же года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F90EAE">
        <w:rPr>
          <w:color w:val="000000" w:themeColor="text1"/>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682F9C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5A1870E" w14:textId="77777777" w:rsidR="002D465A" w:rsidRPr="00F90EAE" w:rsidRDefault="002D465A"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За январь 1945 года завод №40 сдал 140 машин СУ-76М, а ГАЗ им. Молотова — 435. В феврале объём выпуска не изменился. В марте в Горьком сдали 450, а в Мытищах — 150 машин. Темп по 600 машин в месяц заводы продолжали сохранять и в дальнейшем, когда начался серийный выпуск СУ-76М с модернизированным корпусом. Называть эту САУ, о которой речь пойдёт в отдельном материале, «СУ-76 послевоенного выпуска» в корне неверно. Ведь ещё до окончания Великой </w:t>
      </w:r>
      <w:r w:rsidRPr="00F90EAE">
        <w:rPr>
          <w:color w:val="000000" w:themeColor="text1"/>
          <w:sz w:val="16"/>
          <w:szCs w:val="16"/>
        </w:rPr>
        <w:lastRenderedPageBreak/>
        <w:t>Отечественной войны было сдано не менее 600 таких машин (17728).</w:t>
      </w:r>
    </w:p>
    <w:p w14:paraId="20C6E37A" w14:textId="77777777" w:rsidR="002D465A" w:rsidRPr="00F90EAE" w:rsidRDefault="002D465A" w:rsidP="00F90EAE">
      <w:pPr>
        <w:jc w:val="both"/>
        <w:rPr>
          <w:color w:val="000000" w:themeColor="text1"/>
          <w:sz w:val="16"/>
          <w:szCs w:val="16"/>
        </w:rPr>
      </w:pPr>
    </w:p>
    <w:p w14:paraId="09118C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при НИИ-5 был образован Опытный инструментальный завод НИИ-5 (Опытный завод НИИЧаспрома, Инструментальный завод ММиП /г. Москва, 57 п/я 1312 (1948 г.)/). В 05.1945 г. он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0144E1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1947-48 г. завод - в ведении Главчаспрома ММиП.</w:t>
      </w:r>
    </w:p>
    <w:p w14:paraId="4A8DC1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3B4AFE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 (1946 г.)- 327 ед., (1947 г.)- 473 ед.</w:t>
      </w:r>
    </w:p>
    <w:p w14:paraId="4722DE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(1947 г.)- 7,008 га; застройки (1947 г.)- 14126 м</w:t>
      </w:r>
      <w:r w:rsidRPr="00F90EAE">
        <w:rPr>
          <w:color w:val="000000" w:themeColor="text1"/>
          <w:sz w:val="16"/>
          <w:szCs w:val="16"/>
          <w:vertAlign w:val="superscript"/>
        </w:rPr>
        <w:t>2</w:t>
      </w:r>
      <w:r w:rsidRPr="00F90EAE">
        <w:rPr>
          <w:color w:val="000000" w:themeColor="text1"/>
          <w:sz w:val="16"/>
          <w:szCs w:val="16"/>
        </w:rPr>
        <w:t>; производственная (1946 г.)-8200 м</w:t>
      </w:r>
      <w:r w:rsidRPr="00F90EAE">
        <w:rPr>
          <w:color w:val="000000" w:themeColor="text1"/>
          <w:sz w:val="16"/>
          <w:szCs w:val="16"/>
          <w:vertAlign w:val="superscript"/>
        </w:rPr>
        <w:t>2</w:t>
      </w:r>
      <w:r w:rsidRPr="00F90EAE">
        <w:rPr>
          <w:color w:val="000000" w:themeColor="text1"/>
          <w:sz w:val="16"/>
          <w:szCs w:val="16"/>
        </w:rPr>
        <w:t>, (1947 г.)- 11065 м</w:t>
      </w:r>
      <w:r w:rsidRPr="00F90EAE">
        <w:rPr>
          <w:color w:val="000000" w:themeColor="text1"/>
          <w:sz w:val="16"/>
          <w:szCs w:val="16"/>
          <w:vertAlign w:val="superscript"/>
        </w:rPr>
        <w:t>2</w:t>
      </w:r>
      <w:r w:rsidRPr="00F90EAE">
        <w:rPr>
          <w:color w:val="000000" w:themeColor="text1"/>
          <w:sz w:val="16"/>
          <w:szCs w:val="16"/>
        </w:rPr>
        <w:t>.</w:t>
      </w:r>
    </w:p>
    <w:p w14:paraId="1FCE3A1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(1946 г.)- 878 чел., (1947 г.)- 843 чел.</w:t>
      </w:r>
    </w:p>
    <w:p w14:paraId="4596FC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(1948 г.)- Смирнов.</w:t>
      </w:r>
    </w:p>
    <w:p w14:paraId="4C587E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(1948 г.)- Жардецкий.</w:t>
      </w:r>
    </w:p>
    <w:p w14:paraId="7A07CD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1851A990" w14:textId="77777777" w:rsidR="00C2313B" w:rsidRPr="00F90EAE" w:rsidRDefault="00C2313B" w:rsidP="00F90EAE">
      <w:pPr>
        <w:autoSpaceDE w:val="0"/>
        <w:autoSpaceDN w:val="0"/>
        <w:adjustRightInd w:val="0"/>
        <w:jc w:val="both"/>
        <w:rPr>
          <w:color w:val="000000" w:themeColor="text1"/>
          <w:sz w:val="16"/>
          <w:szCs w:val="16"/>
        </w:rPr>
      </w:pPr>
    </w:p>
    <w:p w14:paraId="0FE2C45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января 1945 г. в Морском центральном ЦКБ началось проектирование 220-мм артиллерийской башни. Комиссия С. П. Ставицкого в на</w:t>
      </w:r>
      <w:r w:rsidRPr="00F90EAE">
        <w:rPr>
          <w:color w:val="000000" w:themeColor="text1"/>
          <w:sz w:val="16"/>
          <w:szCs w:val="16"/>
        </w:rPr>
        <w:softHyphen/>
        <w:t>чале 1945 г.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F90EAE">
        <w:rPr>
          <w:color w:val="000000" w:themeColor="text1"/>
          <w:sz w:val="16"/>
          <w:szCs w:val="16"/>
        </w:rPr>
        <w:softHyphen/>
        <w:t>ями (3898).</w:t>
      </w:r>
    </w:p>
    <w:p w14:paraId="09922A73" w14:textId="77777777" w:rsidR="00C2313B" w:rsidRPr="00F90EAE" w:rsidRDefault="00C2313B" w:rsidP="00F90EAE">
      <w:pPr>
        <w:autoSpaceDE w:val="0"/>
        <w:autoSpaceDN w:val="0"/>
        <w:adjustRightInd w:val="0"/>
        <w:jc w:val="both"/>
        <w:rPr>
          <w:color w:val="000000" w:themeColor="text1"/>
          <w:sz w:val="16"/>
          <w:szCs w:val="16"/>
        </w:rPr>
      </w:pPr>
    </w:p>
    <w:p w14:paraId="47733B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корабельная ПУ 16-М-13 была принята на вооружение ВМФ. Всего в ходе ВОВ изготовили и поставили флотам 92 ПУ М-8-М, 30 М-13-М1, 35 16-М-13 и 49 24-М-8. Ставили как на бронекатера проектов 1124 и 1125, так и на ТК, сторожевики, трофейные десантные баржи (4305,35).</w:t>
      </w:r>
    </w:p>
    <w:p w14:paraId="2AB0CB37" w14:textId="77777777" w:rsidR="00C2313B" w:rsidRPr="00F90EAE" w:rsidRDefault="00C2313B" w:rsidP="00F90EAE">
      <w:pPr>
        <w:autoSpaceDE w:val="0"/>
        <w:autoSpaceDN w:val="0"/>
        <w:adjustRightInd w:val="0"/>
        <w:jc w:val="both"/>
        <w:rPr>
          <w:color w:val="000000" w:themeColor="text1"/>
          <w:sz w:val="16"/>
          <w:szCs w:val="16"/>
        </w:rPr>
      </w:pPr>
    </w:p>
    <w:p w14:paraId="5B70CF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течение января 1945 продолжались работы на десяти БМО, имевших техническую готовность от 8 до 93%. В аварийно-боевом ремонте находились 15 БМО. Ремонт производился также на спасательном судне "Коммуна". Велись работы по разборке и изучению опытных акустических торпед вражеской подводной лодки U-250, потопленной нашим МО на Балтике (10671). На Балтийском заводе в постройке находились ТЩ типа МТ-2. К концу января 2 ТЩ достраивались на стапеле, 3 ТЩ - на стапельных местах поточной линии, там же в начальной стадии постройки - 3 ТЩ. Готовилась закладка одного (33-го) ТЩ на поточной линии и 3 ТЩ - в корпусном цехе на площадке предварительной сборки (34-36-го). Седьмой ТЩ типа МТ-2 являлся макетным (10671). На Адмиралтейском заводе работа велась на 7 МБК (10671).</w:t>
      </w:r>
    </w:p>
    <w:p w14:paraId="11D454A3" w14:textId="77777777" w:rsidR="00C2313B" w:rsidRPr="00F90EAE" w:rsidRDefault="00C2313B" w:rsidP="00F90EAE">
      <w:pPr>
        <w:autoSpaceDE w:val="0"/>
        <w:autoSpaceDN w:val="0"/>
        <w:adjustRightInd w:val="0"/>
        <w:jc w:val="both"/>
        <w:rPr>
          <w:color w:val="000000" w:themeColor="text1"/>
          <w:sz w:val="16"/>
          <w:szCs w:val="16"/>
        </w:rPr>
      </w:pPr>
    </w:p>
    <w:p w14:paraId="19BFB8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производство малых охотников типа ОД-200 в Сосновке посетила делегация военной миссии США по ленд-лизу (на строящихся катерах уста</w:t>
      </w:r>
      <w:r w:rsidRPr="00F90EAE">
        <w:rPr>
          <w:color w:val="000000" w:themeColor="text1"/>
          <w:sz w:val="16"/>
          <w:szCs w:val="16"/>
        </w:rPr>
        <w:softHyphen/>
        <w:t>навливались американские двигатели фирмы "Паккард"), на ко</w:t>
      </w:r>
      <w:r w:rsidRPr="00F90EAE">
        <w:rPr>
          <w:color w:val="000000" w:themeColor="text1"/>
          <w:sz w:val="16"/>
          <w:szCs w:val="16"/>
        </w:rPr>
        <w:softHyphen/>
        <w:t>торую увиденное произвело впечатление (3898).</w:t>
      </w:r>
    </w:p>
    <w:p w14:paraId="6B14C9D4" w14:textId="77777777" w:rsidR="00C2313B" w:rsidRPr="00F90EAE" w:rsidRDefault="00C2313B" w:rsidP="00F90EAE">
      <w:pPr>
        <w:autoSpaceDE w:val="0"/>
        <w:autoSpaceDN w:val="0"/>
        <w:adjustRightInd w:val="0"/>
        <w:jc w:val="both"/>
        <w:rPr>
          <w:color w:val="000000" w:themeColor="text1"/>
          <w:sz w:val="16"/>
          <w:szCs w:val="16"/>
        </w:rPr>
      </w:pPr>
    </w:p>
    <w:p w14:paraId="178FBB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на Севере эсминцу "Разъяренным" взрывом акустической торпеды с немецкой подводной лодки оторвало кор</w:t>
      </w:r>
      <w:r w:rsidRPr="00F90EAE">
        <w:rPr>
          <w:color w:val="000000" w:themeColor="text1"/>
          <w:sz w:val="16"/>
          <w:szCs w:val="16"/>
        </w:rPr>
        <w:softHyphen/>
        <w:t>му. Корабль удалось спасти и привести в базу (3898).</w:t>
      </w:r>
    </w:p>
    <w:p w14:paraId="002B70AB" w14:textId="77777777" w:rsidR="00C2313B" w:rsidRPr="00F90EAE" w:rsidRDefault="00C2313B" w:rsidP="00F90EAE">
      <w:pPr>
        <w:autoSpaceDE w:val="0"/>
        <w:autoSpaceDN w:val="0"/>
        <w:adjustRightInd w:val="0"/>
        <w:jc w:val="both"/>
        <w:rPr>
          <w:color w:val="000000" w:themeColor="text1"/>
          <w:sz w:val="16"/>
          <w:szCs w:val="16"/>
        </w:rPr>
      </w:pPr>
    </w:p>
    <w:p w14:paraId="1D8DF37D" w14:textId="77777777" w:rsidR="008C5307" w:rsidRPr="00F90EAE" w:rsidRDefault="008C530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январе 1945 года по распоряжению наркома ВМФ из ведущих специалистов Военно-морского флота СССР была образована комиссия, подготовившая материалы по типам и основным тактико-техническим элементам (характеристикам) перспективных кораблей, в т.ч. подлодок.</w:t>
      </w:r>
    </w:p>
    <w:p w14:paraId="69C2D20F" w14:textId="77777777" w:rsidR="008C5307" w:rsidRPr="00F90EAE" w:rsidRDefault="008C530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На основе материалов комиссии Главный морской штаб (ГМШ) разработал предложения Наркомата ВМФ (НК ВМФ) в план кораблестроения на 1946—1955 гг. и 28 апреля 1945 года отправил наркому судостроительной промышленности И.И. Носенко ориентировочную заявку потребности ВМФ в кораблях на 10 лет.</w:t>
      </w:r>
    </w:p>
    <w:p w14:paraId="720174E5" w14:textId="77777777" w:rsidR="008C5307" w:rsidRPr="00F90EAE" w:rsidRDefault="008C530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НК ВМФ предложил выполнять десятилетний план военного судостроения в три этапа. На первом — в 1946—1948 гг. строить освоенные типы кораблей и достраивать законсервированные, а также разрабатывать новые проекты. На втором — в 1949—1950 гг. отработать головные образцы новых проектов и строить освоенные. На третьем — в 1951—1955 гг. строить все типы кораблей по заявке флота (19841).</w:t>
      </w:r>
    </w:p>
    <w:p w14:paraId="3CEE612A" w14:textId="77777777" w:rsidR="008C5307" w:rsidRPr="00F90EAE" w:rsidRDefault="008C5307" w:rsidP="00F90EAE">
      <w:pPr>
        <w:pStyle w:val="ae"/>
        <w:shd w:val="clear" w:color="auto" w:fill="FFFFFF"/>
        <w:spacing w:before="0" w:after="0"/>
        <w:jc w:val="both"/>
        <w:rPr>
          <w:color w:val="000000" w:themeColor="text1"/>
          <w:sz w:val="16"/>
          <w:szCs w:val="16"/>
        </w:rPr>
      </w:pPr>
    </w:p>
    <w:p w14:paraId="2012585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AD47B90" w14:textId="77777777" w:rsidR="00C2313B" w:rsidRPr="00F90EAE" w:rsidRDefault="00C2313B" w:rsidP="00F90EAE">
      <w:pPr>
        <w:autoSpaceDE w:val="0"/>
        <w:autoSpaceDN w:val="0"/>
        <w:adjustRightInd w:val="0"/>
        <w:jc w:val="both"/>
        <w:rPr>
          <w:iCs/>
          <w:color w:val="000000" w:themeColor="text1"/>
          <w:sz w:val="16"/>
          <w:szCs w:val="16"/>
        </w:rPr>
      </w:pPr>
    </w:p>
    <w:p w14:paraId="449541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w:t>
      </w:r>
      <w:r w:rsidRPr="00F90EAE">
        <w:rPr>
          <w:color w:val="000000" w:themeColor="text1"/>
          <w:sz w:val="16"/>
          <w:szCs w:val="16"/>
        </w:rPr>
        <w:softHyphen/>
        <w:t>ре 1945 г. 108-й гвардейский штурмовой авиационный полк, также как и 78-й гшап, был переучен на Ил-10. В Акте от 21 января кон</w:t>
      </w:r>
      <w:r w:rsidRPr="00F90EAE">
        <w:rPr>
          <w:color w:val="000000" w:themeColor="text1"/>
          <w:sz w:val="16"/>
          <w:szCs w:val="16"/>
        </w:rPr>
        <w:softHyphen/>
        <w:t>статировалось, что «полк составе 41 летчика подготовлен к перелету на фронт на Ил-10 днем в простых ме</w:t>
      </w:r>
      <w:r w:rsidRPr="00F90EAE">
        <w:rPr>
          <w:color w:val="000000" w:themeColor="text1"/>
          <w:sz w:val="16"/>
          <w:szCs w:val="16"/>
        </w:rPr>
        <w:softHyphen/>
        <w:t>теоусловиях».</w:t>
      </w:r>
    </w:p>
    <w:p w14:paraId="2D06F3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этому времени каждый летчик полка успел налетать на самолете Ил-10 по программе переучивания в сред</w:t>
      </w:r>
      <w:r w:rsidRPr="00F90EAE">
        <w:rPr>
          <w:color w:val="000000" w:themeColor="text1"/>
          <w:sz w:val="16"/>
          <w:szCs w:val="16"/>
        </w:rPr>
        <w:softHyphen/>
        <w:t>нем 2 ч 58 мин (10 посадок), в том чис</w:t>
      </w:r>
      <w:r w:rsidRPr="00F90EAE">
        <w:rPr>
          <w:color w:val="000000" w:themeColor="text1"/>
          <w:sz w:val="16"/>
          <w:szCs w:val="16"/>
        </w:rPr>
        <w:softHyphen/>
        <w:t>ле около 2 ч на боевое применение. В тоже время весь летный состав полка имел боевой опыт на самолете Ил-2 -боевой налет на одного летчика в сред</w:t>
      </w:r>
      <w:r w:rsidRPr="00F90EAE">
        <w:rPr>
          <w:color w:val="000000" w:themeColor="text1"/>
          <w:sz w:val="16"/>
          <w:szCs w:val="16"/>
        </w:rPr>
        <w:softHyphen/>
        <w:t>нем составлял 53 вылета.</w:t>
      </w:r>
    </w:p>
    <w:p w14:paraId="7EC3F6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Поскольку предполагалось, что на базе 108-го гшап пройдут войсковые испытания нового штурмовика, то по</w:t>
      </w:r>
      <w:r w:rsidRPr="00F90EAE">
        <w:rPr>
          <w:color w:val="000000" w:themeColor="text1"/>
          <w:sz w:val="16"/>
          <w:szCs w:val="16"/>
        </w:rPr>
        <w:softHyphen/>
        <w:t>полнению полка самолетами было уде</w:t>
      </w:r>
      <w:r w:rsidRPr="00F90EAE">
        <w:rPr>
          <w:color w:val="000000" w:themeColor="text1"/>
          <w:sz w:val="16"/>
          <w:szCs w:val="16"/>
        </w:rPr>
        <w:softHyphen/>
        <w:t>лено пристальное внимание. Самолеты отбирались из числа имевших наи</w:t>
      </w:r>
      <w:r w:rsidRPr="00F90EAE">
        <w:rPr>
          <w:color w:val="000000" w:themeColor="text1"/>
          <w:sz w:val="16"/>
          <w:szCs w:val="16"/>
        </w:rPr>
        <w:softHyphen/>
        <w:t>меньшее количество производствен</w:t>
      </w:r>
      <w:r w:rsidRPr="00F90EAE">
        <w:rPr>
          <w:color w:val="000000" w:themeColor="text1"/>
          <w:sz w:val="16"/>
          <w:szCs w:val="16"/>
        </w:rPr>
        <w:softHyphen/>
        <w:t>ных и конструктивных дефектов и тща</w:t>
      </w:r>
      <w:r w:rsidRPr="00F90EAE">
        <w:rPr>
          <w:color w:val="000000" w:themeColor="text1"/>
          <w:sz w:val="16"/>
          <w:szCs w:val="16"/>
        </w:rPr>
        <w:softHyphen/>
        <w:t>тельно проверялись, как заводскими бригадами, так и техническим составом полка. В общей сложности полк полу</w:t>
      </w:r>
      <w:r w:rsidRPr="00F90EAE">
        <w:rPr>
          <w:color w:val="000000" w:themeColor="text1"/>
          <w:sz w:val="16"/>
          <w:szCs w:val="16"/>
        </w:rPr>
        <w:softHyphen/>
        <w:t>чил 42 самолета Ил-10, в том числе 37 «десяток» производства авиазавода № 18 (2 машины из 1-й серии, остальные 2-й и 3-й серии) и 5 самолетов выпуска авиазавода № 1 (зав. № 102012,102021, 103031, 103052, 103059).</w:t>
      </w:r>
    </w:p>
    <w:p w14:paraId="3EC1923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Отлет на фронт был назначен на 2 февраля. При этом с целью ускорения перебазирования полка инженеры и техники летели вместо стрелков, кото</w:t>
      </w:r>
      <w:r w:rsidRPr="00F90EAE">
        <w:rPr>
          <w:color w:val="000000" w:themeColor="text1"/>
          <w:sz w:val="16"/>
          <w:szCs w:val="16"/>
        </w:rPr>
        <w:softHyphen/>
        <w:t>рых насчитывалось в полку всего 7 человек, и должны были самостоятель</w:t>
      </w:r>
      <w:r w:rsidRPr="00F90EAE">
        <w:rPr>
          <w:color w:val="000000" w:themeColor="text1"/>
          <w:sz w:val="16"/>
          <w:szCs w:val="16"/>
        </w:rPr>
        <w:softHyphen/>
        <w:t>но готовить машины на всех промежу</w:t>
      </w:r>
      <w:r w:rsidRPr="00F90EAE">
        <w:rPr>
          <w:color w:val="000000" w:themeColor="text1"/>
          <w:sz w:val="16"/>
          <w:szCs w:val="16"/>
        </w:rPr>
        <w:softHyphen/>
        <w:t>точных аэродромах.</w:t>
      </w:r>
    </w:p>
    <w:p w14:paraId="2312A8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тщательность подго</w:t>
      </w:r>
      <w:r w:rsidRPr="00F90EAE">
        <w:rPr>
          <w:color w:val="000000" w:themeColor="text1"/>
          <w:sz w:val="16"/>
          <w:szCs w:val="16"/>
        </w:rPr>
        <w:softHyphen/>
        <w:t>товки перелета, первый самостоятель</w:t>
      </w:r>
      <w:r w:rsidRPr="00F90EAE">
        <w:rPr>
          <w:color w:val="000000" w:themeColor="text1"/>
          <w:sz w:val="16"/>
          <w:szCs w:val="16"/>
        </w:rPr>
        <w:softHyphen/>
        <w:t>ный вылет полка закончился полной неудачей. В последний момент был сменен первый промежуточный аэро</w:t>
      </w:r>
      <w:r w:rsidRPr="00F90EAE">
        <w:rPr>
          <w:color w:val="000000" w:themeColor="text1"/>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F90EAE">
        <w:rPr>
          <w:color w:val="000000" w:themeColor="text1"/>
          <w:sz w:val="16"/>
          <w:szCs w:val="16"/>
        </w:rPr>
        <w:softHyphen/>
        <w:t>виться должным образом не успел, а на аэродроме вылета Толкай не было подготовлено положения по органи</w:t>
      </w:r>
      <w:r w:rsidRPr="00F90EAE">
        <w:rPr>
          <w:color w:val="000000" w:themeColor="text1"/>
          <w:sz w:val="16"/>
          <w:szCs w:val="16"/>
        </w:rPr>
        <w:softHyphen/>
        <w:t>зации перелета.</w:t>
      </w:r>
    </w:p>
    <w:p w14:paraId="1DE5D7B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первая группа в со</w:t>
      </w:r>
      <w:r w:rsidRPr="00F90EAE">
        <w:rPr>
          <w:color w:val="000000" w:themeColor="text1"/>
          <w:sz w:val="16"/>
          <w:szCs w:val="16"/>
        </w:rPr>
        <w:softHyphen/>
        <w:t>ставе 5 Ил-10 (ведущий группы по</w:t>
      </w:r>
      <w:r w:rsidRPr="00F90EAE">
        <w:rPr>
          <w:color w:val="000000" w:themeColor="text1"/>
          <w:sz w:val="16"/>
          <w:szCs w:val="16"/>
        </w:rPr>
        <w:softHyphen/>
        <w:t>мощник командира полка по воздуш</w:t>
      </w:r>
      <w:r w:rsidRPr="00F90EAE">
        <w:rPr>
          <w:color w:val="000000" w:themeColor="text1"/>
          <w:sz w:val="16"/>
          <w:szCs w:val="16"/>
        </w:rPr>
        <w:softHyphen/>
        <w:t xml:space="preserve">но-стрелковой службе к-н Сироткин), вылетев в 13.55 </w:t>
      </w:r>
      <w:r w:rsidRPr="00F90EAE">
        <w:rPr>
          <w:iCs/>
          <w:color w:val="000000" w:themeColor="text1"/>
          <w:sz w:val="16"/>
          <w:szCs w:val="16"/>
        </w:rPr>
        <w:t xml:space="preserve">с </w:t>
      </w:r>
      <w:r w:rsidRPr="00F90EAE">
        <w:rPr>
          <w:color w:val="000000" w:themeColor="text1"/>
          <w:sz w:val="16"/>
          <w:szCs w:val="16"/>
        </w:rPr>
        <w:t>базового аэродро</w:t>
      </w:r>
      <w:r w:rsidRPr="00F90EAE">
        <w:rPr>
          <w:color w:val="000000" w:themeColor="text1"/>
          <w:sz w:val="16"/>
          <w:szCs w:val="16"/>
        </w:rPr>
        <w:softHyphen/>
        <w:t>ма, благополучно добралась до ново</w:t>
      </w:r>
      <w:r w:rsidRPr="00F90EAE">
        <w:rPr>
          <w:color w:val="000000" w:themeColor="text1"/>
          <w:sz w:val="16"/>
          <w:szCs w:val="16"/>
        </w:rPr>
        <w:softHyphen/>
        <w:t>го аэродрома, выполнив в 15.05 по</w:t>
      </w:r>
      <w:r w:rsidRPr="00F90EAE">
        <w:rPr>
          <w:color w:val="000000" w:themeColor="text1"/>
          <w:sz w:val="16"/>
          <w:szCs w:val="16"/>
        </w:rPr>
        <w:softHyphen/>
        <w:t>садку.</w:t>
      </w:r>
    </w:p>
    <w:p w14:paraId="1590893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7 Ил-10 второй группы долете</w:t>
      </w:r>
      <w:r w:rsidRPr="00F90EAE">
        <w:rPr>
          <w:color w:val="000000" w:themeColor="text1"/>
          <w:sz w:val="16"/>
          <w:szCs w:val="16"/>
        </w:rPr>
        <w:softHyphen/>
        <w:t>ла до нового аэродрома только четвер</w:t>
      </w:r>
      <w:r w:rsidRPr="00F90EAE">
        <w:rPr>
          <w:color w:val="000000" w:themeColor="text1"/>
          <w:sz w:val="16"/>
          <w:szCs w:val="16"/>
        </w:rPr>
        <w:softHyphen/>
        <w:t>ка во главе с ведущим группы капита</w:t>
      </w:r>
      <w:r w:rsidRPr="00F90EAE">
        <w:rPr>
          <w:color w:val="000000" w:themeColor="text1"/>
          <w:sz w:val="16"/>
          <w:szCs w:val="16"/>
        </w:rPr>
        <w:softHyphen/>
        <w:t>ном Зиновьевым. Звено во главе с мл. лейтенантом Мазуром оторвалась от общей группы сразу же с места выле</w:t>
      </w:r>
      <w:r w:rsidRPr="00F90EAE">
        <w:rPr>
          <w:color w:val="000000" w:themeColor="text1"/>
          <w:sz w:val="16"/>
          <w:szCs w:val="16"/>
        </w:rPr>
        <w:softHyphen/>
        <w:t>та. Затем летчики заблудились и, выра</w:t>
      </w:r>
      <w:r w:rsidRPr="00F90EAE">
        <w:rPr>
          <w:color w:val="000000" w:themeColor="text1"/>
          <w:sz w:val="16"/>
          <w:szCs w:val="16"/>
        </w:rPr>
        <w:softHyphen/>
        <w:t>ботав горючее, сели в поле. В итоге: одна авария и одна поломка самолета.</w:t>
      </w:r>
    </w:p>
    <w:p w14:paraId="64ED4D6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Третья группа из 10 Ил-10 (веду</w:t>
      </w:r>
      <w:r w:rsidRPr="00F90EAE">
        <w:rPr>
          <w:color w:val="000000" w:themeColor="text1"/>
          <w:sz w:val="16"/>
          <w:szCs w:val="16"/>
        </w:rPr>
        <w:softHyphen/>
        <w:t>щий к-н Железняков), вылетевшая в 14.35, долетела до г.Балаково и воз</w:t>
      </w:r>
      <w:r w:rsidRPr="00F90EAE">
        <w:rPr>
          <w:color w:val="000000" w:themeColor="text1"/>
          <w:sz w:val="16"/>
          <w:szCs w:val="16"/>
        </w:rPr>
        <w:softHyphen/>
        <w:t>вратилась по метеоусловиям, совер</w:t>
      </w:r>
      <w:r w:rsidRPr="00F90EAE">
        <w:rPr>
          <w:color w:val="000000" w:themeColor="text1"/>
          <w:sz w:val="16"/>
          <w:szCs w:val="16"/>
        </w:rPr>
        <w:softHyphen/>
        <w:t>шив посадку в Чапаевске на аэродро</w:t>
      </w:r>
      <w:r w:rsidRPr="00F90EAE">
        <w:rPr>
          <w:color w:val="000000" w:themeColor="text1"/>
          <w:sz w:val="16"/>
          <w:szCs w:val="16"/>
        </w:rPr>
        <w:softHyphen/>
        <w:t>ме 12-го зап. Из состава группы мл. л-т Кирюшкин сел на вынужденную по причине отказа мотора - самолет по</w:t>
      </w:r>
      <w:r w:rsidRPr="00F90EAE">
        <w:rPr>
          <w:color w:val="000000" w:themeColor="text1"/>
          <w:sz w:val="16"/>
          <w:szCs w:val="16"/>
        </w:rPr>
        <w:softHyphen/>
        <w:t>ломан и требует ремонта. Лейтенант Максимов выработал горючее и потер</w:t>
      </w:r>
      <w:r w:rsidRPr="00F90EAE">
        <w:rPr>
          <w:color w:val="000000" w:themeColor="text1"/>
          <w:sz w:val="16"/>
          <w:szCs w:val="16"/>
        </w:rPr>
        <w:softHyphen/>
        <w:t>пел аварию в районе Чапаевска. Млад</w:t>
      </w:r>
      <w:r w:rsidRPr="00F90EAE">
        <w:rPr>
          <w:color w:val="000000" w:themeColor="text1"/>
          <w:sz w:val="16"/>
          <w:szCs w:val="16"/>
        </w:rPr>
        <w:softHyphen/>
        <w:t>ший лейтенант Юдаев произвел посад</w:t>
      </w:r>
      <w:r w:rsidRPr="00F90EAE">
        <w:rPr>
          <w:color w:val="000000" w:themeColor="text1"/>
          <w:sz w:val="16"/>
          <w:szCs w:val="16"/>
        </w:rPr>
        <w:softHyphen/>
        <w:t>ку на одно колесо по причине не вы</w:t>
      </w:r>
      <w:r w:rsidRPr="00F90EAE">
        <w:rPr>
          <w:color w:val="000000" w:themeColor="text1"/>
          <w:sz w:val="16"/>
          <w:szCs w:val="16"/>
        </w:rPr>
        <w:softHyphen/>
        <w:t>хода шасси - самолет поломан и тре</w:t>
      </w:r>
      <w:r w:rsidRPr="00F90EAE">
        <w:rPr>
          <w:color w:val="000000" w:themeColor="text1"/>
          <w:sz w:val="16"/>
          <w:szCs w:val="16"/>
        </w:rPr>
        <w:softHyphen/>
        <w:t>бует ремонта.</w:t>
      </w:r>
    </w:p>
    <w:p w14:paraId="7EC0939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Четвертая группа из 4 Ил-10 (веду</w:t>
      </w:r>
      <w:r w:rsidRPr="00F90EAE">
        <w:rPr>
          <w:color w:val="000000" w:themeColor="text1"/>
          <w:sz w:val="16"/>
          <w:szCs w:val="16"/>
        </w:rPr>
        <w:softHyphen/>
        <w:t>щий к-н Новиков), вылетев в 14.45, возвратилась с маршрута и произвела посадку на аэродроме в Чапаевске.</w:t>
      </w:r>
    </w:p>
    <w:p w14:paraId="3CEAA9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Таким образом, из 26 Ил-10, вы</w:t>
      </w:r>
      <w:r w:rsidRPr="00F90EAE">
        <w:rPr>
          <w:color w:val="000000" w:themeColor="text1"/>
          <w:sz w:val="16"/>
          <w:szCs w:val="16"/>
        </w:rPr>
        <w:softHyphen/>
        <w:t>летевших с аэродрома Толкай, на ме</w:t>
      </w:r>
      <w:r w:rsidRPr="00F90EAE">
        <w:rPr>
          <w:color w:val="000000" w:themeColor="text1"/>
          <w:sz w:val="16"/>
          <w:szCs w:val="16"/>
        </w:rPr>
        <w:softHyphen/>
        <w:t>сто назначения прибыло только 9 самолетов, 13 самолетов - сели в Ча</w:t>
      </w:r>
      <w:r w:rsidRPr="00F90EAE">
        <w:rPr>
          <w:color w:val="000000" w:themeColor="text1"/>
          <w:sz w:val="16"/>
          <w:szCs w:val="16"/>
        </w:rPr>
        <w:softHyphen/>
        <w:t>паевске, плюс две аварии и три по</w:t>
      </w:r>
      <w:r w:rsidRPr="00F90EAE">
        <w:rPr>
          <w:color w:val="000000" w:themeColor="text1"/>
          <w:sz w:val="16"/>
          <w:szCs w:val="16"/>
        </w:rPr>
        <w:softHyphen/>
        <w:t>ломки самолетов.</w:t>
      </w:r>
    </w:p>
    <w:p w14:paraId="11727C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разбора полетов и раздачи «слонов» всем «заинтересованным» ли</w:t>
      </w:r>
      <w:r w:rsidRPr="00F90EAE">
        <w:rPr>
          <w:color w:val="000000" w:themeColor="text1"/>
          <w:sz w:val="16"/>
          <w:szCs w:val="16"/>
        </w:rPr>
        <w:softHyphen/>
        <w:t>цам, 108-й гвардейский шап в два при</w:t>
      </w:r>
      <w:r w:rsidRPr="00F90EAE">
        <w:rPr>
          <w:color w:val="000000" w:themeColor="text1"/>
          <w:sz w:val="16"/>
          <w:szCs w:val="16"/>
        </w:rPr>
        <w:softHyphen/>
        <w:t>ема - 9 и 20 февраля,убыл таки полным составом в действующую армию.</w:t>
      </w:r>
    </w:p>
    <w:p w14:paraId="701D87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двух лидерных маршевых авиаполков, в 1-й заб в течение янва</w:t>
      </w:r>
      <w:r w:rsidRPr="00F90EAE">
        <w:rPr>
          <w:color w:val="000000" w:themeColor="text1"/>
          <w:sz w:val="16"/>
          <w:szCs w:val="16"/>
        </w:rPr>
        <w:softHyphen/>
        <w:t>ря было переучено на самолете Ил-10 20 летчиков-инструкторов для 43-го и 50-го запасных авиаполков, 12 эки</w:t>
      </w:r>
      <w:r w:rsidRPr="00F90EAE">
        <w:rPr>
          <w:color w:val="000000" w:themeColor="text1"/>
          <w:sz w:val="16"/>
          <w:szCs w:val="16"/>
        </w:rPr>
        <w:softHyphen/>
        <w:t>пажей перегоночных авиаполков, 10 инспекторов полетной подготовке (по одному для 3-й, 14-й и 2-й ВА, по од</w:t>
      </w:r>
      <w:r w:rsidRPr="00F90EAE">
        <w:rPr>
          <w:color w:val="000000" w:themeColor="text1"/>
          <w:sz w:val="16"/>
          <w:szCs w:val="16"/>
        </w:rPr>
        <w:softHyphen/>
        <w:t>ному - для Московского, Киевского, Бе</w:t>
      </w:r>
      <w:r w:rsidRPr="00F90EAE">
        <w:rPr>
          <w:color w:val="000000" w:themeColor="text1"/>
          <w:sz w:val="16"/>
          <w:szCs w:val="16"/>
        </w:rPr>
        <w:softHyphen/>
        <w:t>лорусского и Одесского Военных ок</w:t>
      </w:r>
      <w:r w:rsidRPr="00F90EAE">
        <w:rPr>
          <w:color w:val="000000" w:themeColor="text1"/>
          <w:sz w:val="16"/>
          <w:szCs w:val="16"/>
        </w:rPr>
        <w:softHyphen/>
        <w:t>ругов и три-для Инспекции ВВСКА), а также 51 летчик из постоянного со</w:t>
      </w:r>
      <w:r w:rsidRPr="00F90EAE">
        <w:rPr>
          <w:color w:val="000000" w:themeColor="text1"/>
          <w:sz w:val="16"/>
          <w:szCs w:val="16"/>
        </w:rPr>
        <w:softHyphen/>
        <w:t>става бригады. Из этого числа два ин</w:t>
      </w:r>
      <w:r w:rsidRPr="00F90EAE">
        <w:rPr>
          <w:color w:val="000000" w:themeColor="text1"/>
          <w:sz w:val="16"/>
          <w:szCs w:val="16"/>
        </w:rPr>
        <w:softHyphen/>
        <w:t>спектора по технике пилотирования для 2-й воздушной армии и для Киевс</w:t>
      </w:r>
      <w:r w:rsidRPr="00F90EAE">
        <w:rPr>
          <w:color w:val="000000" w:themeColor="text1"/>
          <w:sz w:val="16"/>
          <w:szCs w:val="16"/>
        </w:rPr>
        <w:softHyphen/>
        <w:t>кого Военного округа убыли к месту назначения 26 января поездом, а ос</w:t>
      </w:r>
      <w:r w:rsidRPr="00F90EAE">
        <w:rPr>
          <w:color w:val="000000" w:themeColor="text1"/>
          <w:sz w:val="16"/>
          <w:szCs w:val="16"/>
        </w:rPr>
        <w:softHyphen/>
        <w:t>тальные - 1 февраля, также поездом.</w:t>
      </w:r>
    </w:p>
    <w:p w14:paraId="37ED6BC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Отправка инструкторов для 43-го и 50-го зап состоялась 7 и 9 февраля (поез</w:t>
      </w:r>
      <w:r w:rsidRPr="00F90EAE">
        <w:rPr>
          <w:color w:val="000000" w:themeColor="text1"/>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2A4D60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58E37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1945 г. 108-й гшап, также как и 78-й, бы пере</w:t>
      </w:r>
      <w:r w:rsidRPr="00F90EAE">
        <w:rPr>
          <w:color w:val="000000" w:themeColor="text1"/>
          <w:sz w:val="16"/>
          <w:szCs w:val="16"/>
        </w:rPr>
        <w:softHyphen/>
        <w:t>учен на Ил-10. Акт от 21 января констатировал, что полк «в со-ставе 41 летчика подготовлен к перелету на фронт на Ил-10 днем в простых метео</w:t>
      </w:r>
      <w:r w:rsidRPr="00F90EAE">
        <w:rPr>
          <w:color w:val="000000" w:themeColor="text1"/>
          <w:sz w:val="16"/>
          <w:szCs w:val="16"/>
        </w:rPr>
        <w:softHyphen/>
        <w:t>условиях». Летный состав был подготов</w:t>
      </w:r>
      <w:r w:rsidRPr="00F90EAE">
        <w:rPr>
          <w:color w:val="000000" w:themeColor="text1"/>
          <w:sz w:val="16"/>
          <w:szCs w:val="16"/>
        </w:rPr>
        <w:softHyphen/>
        <w:t>лен несколько лучше, чем в 78-м полку. Налет на Ил-10 составлял в среднем 2 ч 58 мин (10 посадок), в том числе около 2 ч в тренировках на боевое примене</w:t>
      </w:r>
      <w:r w:rsidRPr="00F90EAE">
        <w:rPr>
          <w:color w:val="000000" w:themeColor="text1"/>
          <w:sz w:val="16"/>
          <w:szCs w:val="16"/>
        </w:rPr>
        <w:softHyphen/>
        <w:t>ние. Весь летный состав полка уже полу</w:t>
      </w:r>
      <w:r w:rsidRPr="00F90EAE">
        <w:rPr>
          <w:color w:val="000000" w:themeColor="text1"/>
          <w:sz w:val="16"/>
          <w:szCs w:val="16"/>
        </w:rPr>
        <w:softHyphen/>
        <w:t xml:space="preserve">чил боевой опыт, воюя на штурмовиках Ил-2. Поскольку </w:t>
      </w:r>
      <w:r w:rsidRPr="00F90EAE">
        <w:rPr>
          <w:color w:val="000000" w:themeColor="text1"/>
          <w:sz w:val="16"/>
          <w:szCs w:val="16"/>
        </w:rPr>
        <w:lastRenderedPageBreak/>
        <w:t>предполагалось, что в этом полку пройдут войсковые испытания но</w:t>
      </w:r>
      <w:r w:rsidRPr="00F90EAE">
        <w:rPr>
          <w:color w:val="000000" w:themeColor="text1"/>
          <w:sz w:val="16"/>
          <w:szCs w:val="16"/>
        </w:rPr>
        <w:softHyphen/>
        <w:t>вого самолета, то пополнению полка техникой уделили самое пристальное внимание. Штурмовики отбирались из числа имевших наименьшее количество производственных и конструктивных де</w:t>
      </w:r>
      <w:r w:rsidRPr="00F90EAE">
        <w:rPr>
          <w:color w:val="000000" w:themeColor="text1"/>
          <w:sz w:val="16"/>
          <w:szCs w:val="16"/>
        </w:rPr>
        <w:softHyphen/>
        <w:t>фектов и тщательно проверялись как заводскими бригадами, так и техничес</w:t>
      </w:r>
      <w:r w:rsidRPr="00F90EAE">
        <w:rPr>
          <w:color w:val="000000" w:themeColor="text1"/>
          <w:sz w:val="16"/>
          <w:szCs w:val="16"/>
        </w:rPr>
        <w:softHyphen/>
        <w:t>ким составом части. В общей сложности полк получил 42 Ил-10, в том числе 37 производства завода № 18 и 5 выпуска завода № 1 (10681).</w:t>
      </w:r>
    </w:p>
    <w:p w14:paraId="6C04688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02AA60A" w14:textId="77777777" w:rsidR="002D465A" w:rsidRPr="00F90EAE" w:rsidRDefault="002D465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С января 1945 года первые маршевые полки - 78-й майора С. П. Барило и 108-й подполковника О. В. Топилина гвардейские штурмовые авиаполки (в составе 108 гшап насчитывался 41 летчик, а в составе 78 гшап - только 21 летчик, поэтому полк требовал пополнения в количестве 20 человек летного состава) приступил к практическому курсу освоения новой машины. 78-й гвардейский штурмовой авиаполк проходил переучивание на базе 12 зап на аэродроме г. Чапаевск, а 108-й гвардейский - на базе 5 зап на аэродроме Толкай около ст. Кинель-Черкасы.</w:t>
      </w:r>
    </w:p>
    <w:p w14:paraId="7F307A83" w14:textId="77777777" w:rsidR="002D465A" w:rsidRPr="00F90EAE" w:rsidRDefault="002D465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До возобновления серийного выпуска Ил-10 летный и технический состав запасных полков и вновь прибывших маршевых полков занимался исключительно изучением матчасти «десятки» и мотора АМ-42. После сдачи зачетов личный состав маршевых полков перебазировался на аэродромы запасных полков 1 заб.</w:t>
      </w:r>
    </w:p>
    <w:p w14:paraId="01D8EC3B"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Согласно приказу командующего ВВС ПриВО генерал-майора Игнатова 1 заб в январе 1945 года должна была переучить на самолет Ил-10: 78 и 108 гшап, 20 экипажей 43 и 50 зап, 16 экипажей перегоночных штурмовых авиаполков (1000, 245, 217 и 620 пшап), 10 инспекторов по технике пилотирования для воздушных армий и военных округов, а также весь постоянный состав бригады (5, 10, 12 зап и 850 пшап) - всего 137 человек.</w:t>
      </w:r>
    </w:p>
    <w:p w14:paraId="79EB3FDD" w14:textId="77777777" w:rsidR="002D465A" w:rsidRPr="00F90EAE" w:rsidRDefault="002D465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Комбриг А. И. Подольский приказал командирам запасных авиаполков при поступлении переменного летного и технического состава для переучивания на самолет Ил-10 немедленно приступить к организации занятий по наземной подготовке. При этом вся ответственность за приемку летного состава, контроль и организацию обучения, как обычно, возлагалась лично на командиров запасных полков.</w:t>
      </w:r>
    </w:p>
    <w:p w14:paraId="50FDF67A"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Кроме этого, с целью ускорения темпов переучивания и обеспечения плановых показателей учебно -боевой подготовки приказами по 1 заб инструкторский состав запасных авиаполков обязан был производить полеты на личную тренировку только на самолете Ил-10. Отделы по боевой подготовке полков с получением программы наземной подготовки летно -технического состава на Ил-10 должны были немедленно приступить к составлению преподавательским составом конспектов и к 5 января 1945 года оборудовать классы необходимыми наглядными пособиями.</w:t>
      </w:r>
    </w:p>
    <w:p w14:paraId="39E5742C"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Согласно программе переучивания на изучение матчасти самолета Ил-10 и мотора АМ-42 и сдачу зачетов отводилось 7 дней для летного состава, 12 дней - для технического состава и 4 дня - для воздушных стрелков. Затем следовало продолжение изучения матчасти на серийных авиазаводах и ознакомление с конструктивно-производственными дефектами и эксплуатационными особенностями самолета и мотора. Техническому составу отводилось два дня на изучение мотора АМ-42 на заводе № 24 и три дня - для изучения конструкции самолета Ил-10 на авиазаводах № 1 и № 18. Летному составу предоставлялось три дня для изучения материальной части на одном из самолетных заводов.</w:t>
      </w:r>
    </w:p>
    <w:p w14:paraId="32A68B42" w14:textId="77777777" w:rsidR="002D465A" w:rsidRPr="00F90EAE" w:rsidRDefault="002D465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Для обучения на 24-м заводе формировалась группа технического состава в количестве 30 человек, а на 18-м и 1-м авиазаводах - по две группы летного и технического состава по 30 человек каждая и по одной группе по вооружению и спецоборудованию в количестве 20 человек.</w:t>
      </w:r>
    </w:p>
    <w:p w14:paraId="3A39438F"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Летная часть программы переучивания включала: один полет на УИл-2 для проверки техники пилотирования - 30 мин, 8 контрольно-провозных полетов на УИл-2 - 48 мин, 6 самостоятельных полетов на Ил-2 (взлет, полет по кругу, посадка) - 36 мин, 10 самостоятельных полетов по кругу на Ил-10 - 1 ч, два полета на самостоятельное упражнение (максимальный угол набора высоты, виражи с креном 30-60°, боевые развороты, спираль с креном 30°) - 1 ч, один полет на полигон для стрельбы и бомбометания по наземной цели - 30 мин, один полет по маршруту в составе пары с бомбометанием и стрельбой на полигоне - 50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оборонительный круг - 1 ч 40 мин. То есть программа переучивания предусматривала 17 полетов на Ил-10 с налетом 5 ч 30 мин на каждого летчика.</w:t>
      </w:r>
    </w:p>
    <w:p w14:paraId="41E1A3F5"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Как это обычно бывает, захотелось быстрее испытать новый самолет в деле. В связи с этим планомерная подготовка летного и технического состава лидерных полков была нарушена. Уже в первых числах января 1945 года по личному распоряжению заместителя начальника Управления формирования и комплектования полковника Бронштейна 78 гшап надлежало срочно завершить программу переучивания и убыть в действующую армию в состав 2-й гвардейской штурмовой авиадивизии 16 ВА.</w:t>
      </w:r>
    </w:p>
    <w:p w14:paraId="085BD423"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К этому времени летный состав полка успел отработать на Ил-10 только 10, 12 и 13-е упражнения по программе переучивания с налетом на одного летчика 57 минут (6 посадок). На боевое применение никто из летчиков не вылетал. Полк срочно пополнили до штата 20 летчиками, прошедшими 1-й и 2-й разделы «Курса боевой подготовки штурмовой авиации 1944 г.», 20 самолетами Ил-2 и 15 самолетами Ил-10. Переучивание полка на новой матчасти официально закончилось 10 января. Уже через два дня 78 гшап признали готовым к перелету на фронт. Акт подписали командир 12 зап подполковник Горошко, начальник штаба 12 зап полковник Теплов, командир 78 гшап майор Барило, начальник штаба 78 гшап капитан Семенов и командир 3-й эскадрильи 12 зап старший лейтенант Вавилов. Отлет назначили на 12 января. Однако долго не было годных к перелету самолетов Ил-10. К тому же полк решили доукомплектовать «десятками» до штатного состава. Затем ждали погоду. Только 21 января первый эшелон полка в составе 20 Ил-2 и 11 Ил-10 смог вылететь к месту назначения. Второй летный эшелон в составе 10 экипажей на Ил-10 вылетел на следующий день.</w:t>
      </w:r>
    </w:p>
    <w:p w14:paraId="45E5E5EE" w14:textId="77777777" w:rsidR="002D465A" w:rsidRPr="00F90EAE" w:rsidRDefault="002D465A" w:rsidP="00F90EAE">
      <w:pPr>
        <w:jc w:val="both"/>
        <w:rPr>
          <w:color w:val="000000" w:themeColor="text1"/>
          <w:sz w:val="16"/>
          <w:szCs w:val="16"/>
        </w:rPr>
      </w:pPr>
      <w:r w:rsidRPr="00F90EAE">
        <w:rPr>
          <w:rStyle w:val="107"/>
          <w:rFonts w:eastAsiaTheme="minorHAnsi"/>
          <w:color w:val="000000" w:themeColor="text1"/>
          <w:sz w:val="16"/>
          <w:szCs w:val="16"/>
        </w:rPr>
        <w:t>Фактически 78 гшап был не готов к боевым действиям на новом штурмовике Ил-10. В то же время летный состав, прибывший в Куйбышев на переучивание, имел солидный боевой опыт. Боевой налет на самолете Ил-2 на одного летчика в среднем составлял 78 боевых вылетов. Налет молодежи, прибывшей на пополнение, составлял 23 ч 49 мин (61 посадка), в том числе 13 ч (41 посадка) на боевое применение. Неплохую подготовку имели молодые летчики в «слепом» полете - в среднем по 10 ч (20 посадок) каждый. Из числа «старых» летчиков 9 имели в своем активе свыше 100 боевых самолето -вылетов, 8 пилотов - от 50 до 100 вылетов, три пилота - менее 50 вылетов, и только один летчик не имел боевых вылетов, но его налет на Ил-2 составлял 892 ч (17490).</w:t>
      </w:r>
    </w:p>
    <w:p w14:paraId="1FB2C38A" w14:textId="77777777" w:rsidR="002D465A" w:rsidRPr="00F90EAE" w:rsidRDefault="002D465A" w:rsidP="00F90EAE">
      <w:pPr>
        <w:jc w:val="both"/>
        <w:rPr>
          <w:color w:val="000000" w:themeColor="text1"/>
          <w:sz w:val="16"/>
          <w:szCs w:val="16"/>
        </w:rPr>
      </w:pPr>
    </w:p>
    <w:p w14:paraId="280444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января 1945 г. 10-го зап (командир подполковник К.Н. Холобаев) и первые строевые полки -78-й гвардейский штурмовой авиаполк (гшап) майора С.П. Барило и 108-й гшап подполковника О.В. Топилина после возобновления выпуска Ил-10 были направлены на аэродромы начался практический курс. 78-й гшап проходил переучивание на базе 12-го зап в Чапаевске, а 108-й гшап - на базе 5-го зап на аэродроме Толкай око</w:t>
      </w:r>
      <w:r w:rsidRPr="00F90EAE">
        <w:rPr>
          <w:color w:val="000000" w:themeColor="text1"/>
          <w:sz w:val="16"/>
          <w:szCs w:val="16"/>
        </w:rPr>
        <w:softHyphen/>
        <w:t>ло станции Кинель. Из-за приостановки производства и постоянных переделок уже собранных штурмовиков «десяток» в 1-й заб посто</w:t>
      </w:r>
      <w:r w:rsidRPr="00F90EAE">
        <w:rPr>
          <w:color w:val="000000" w:themeColor="text1"/>
          <w:sz w:val="16"/>
          <w:szCs w:val="16"/>
        </w:rPr>
        <w:softHyphen/>
        <w:t>янно не хватало. На 5 января 1945 г. там числились 45 Ил-10, в течение следую</w:t>
      </w:r>
      <w:r w:rsidRPr="00F90EAE">
        <w:rPr>
          <w:color w:val="000000" w:themeColor="text1"/>
          <w:sz w:val="16"/>
          <w:szCs w:val="16"/>
        </w:rPr>
        <w:softHyphen/>
        <w:t>щих двух недель поступило еще 65. В феврале пришли 83 машины, в марте -145, в апреле - 265 и в мае - 257 штур</w:t>
      </w:r>
      <w:r w:rsidRPr="00F90EAE">
        <w:rPr>
          <w:color w:val="000000" w:themeColor="text1"/>
          <w:sz w:val="16"/>
          <w:szCs w:val="16"/>
        </w:rPr>
        <w:softHyphen/>
        <w:t>мовиков. В общей сложности к 1 июля 1945 г. 1-я заб получила 1077 боевых Ил-10 и три учебно-тренировочных «де</w:t>
      </w:r>
      <w:r w:rsidRPr="00F90EAE">
        <w:rPr>
          <w:color w:val="000000" w:themeColor="text1"/>
          <w:sz w:val="16"/>
          <w:szCs w:val="16"/>
        </w:rPr>
        <w:softHyphen/>
        <w:t>сятки». Командующий ВВС Приволжского воен</w:t>
      </w:r>
      <w:r w:rsidRPr="00F90EAE">
        <w:rPr>
          <w:color w:val="000000" w:themeColor="text1"/>
          <w:sz w:val="16"/>
          <w:szCs w:val="16"/>
        </w:rPr>
        <w:softHyphen/>
        <w:t>ного округа генерал-майор Игнатов по</w:t>
      </w:r>
      <w:r w:rsidRPr="00F90EAE">
        <w:rPr>
          <w:color w:val="000000" w:themeColor="text1"/>
          <w:sz w:val="16"/>
          <w:szCs w:val="16"/>
        </w:rPr>
        <w:softHyphen/>
        <w:t>ставил задачу в январе 1945 г. подгото</w:t>
      </w:r>
      <w:r w:rsidRPr="00F90EAE">
        <w:rPr>
          <w:color w:val="000000" w:themeColor="text1"/>
          <w:sz w:val="16"/>
          <w:szCs w:val="16"/>
        </w:rPr>
        <w:softHyphen/>
        <w:t>вить 78-й (21 экипаж) и 108-й (41 экипаж) гшап, 20 экипажей из 43-го и 50-го зап, 16 экипажей для перегоночных полков (1000, 245, 217-го и 620-го), 10 инспекто</w:t>
      </w:r>
      <w:r w:rsidRPr="00F90EAE">
        <w:rPr>
          <w:color w:val="000000" w:themeColor="text1"/>
          <w:sz w:val="16"/>
          <w:szCs w:val="16"/>
        </w:rPr>
        <w:softHyphen/>
        <w:t>ров по технике пилотирования для воз</w:t>
      </w:r>
      <w:r w:rsidRPr="00F90EAE">
        <w:rPr>
          <w:color w:val="000000" w:themeColor="text1"/>
          <w:sz w:val="16"/>
          <w:szCs w:val="16"/>
        </w:rPr>
        <w:softHyphen/>
        <w:t>душных армий и военных округов, а так</w:t>
      </w:r>
      <w:r w:rsidRPr="00F90EAE">
        <w:rPr>
          <w:color w:val="000000" w:themeColor="text1"/>
          <w:sz w:val="16"/>
          <w:szCs w:val="16"/>
        </w:rPr>
        <w:softHyphen/>
        <w:t>же весь постоянный состав запасной бригады (5, 10, 12-й зап и 850-й перего</w:t>
      </w:r>
      <w:r w:rsidRPr="00F90EAE">
        <w:rPr>
          <w:color w:val="000000" w:themeColor="text1"/>
          <w:sz w:val="16"/>
          <w:szCs w:val="16"/>
        </w:rPr>
        <w:softHyphen/>
        <w:t>ночный полк) - всего 137 человек. Для ускорения темпов переучивания инструкторский состав запасных полков обязан был производить полеты на лич</w:t>
      </w:r>
      <w:r w:rsidRPr="00F90EAE">
        <w:rPr>
          <w:color w:val="000000" w:themeColor="text1"/>
          <w:sz w:val="16"/>
          <w:szCs w:val="16"/>
        </w:rPr>
        <w:softHyphen/>
        <w:t>ную тренировку только на Ил-10. Отде</w:t>
      </w:r>
      <w:r w:rsidRPr="00F90EAE">
        <w:rPr>
          <w:color w:val="000000" w:themeColor="text1"/>
          <w:sz w:val="16"/>
          <w:szCs w:val="16"/>
        </w:rPr>
        <w:softHyphen/>
        <w:t>лы по боевой подготовке полков с полу</w:t>
      </w:r>
      <w:r w:rsidRPr="00F90EAE">
        <w:rPr>
          <w:color w:val="000000" w:themeColor="text1"/>
          <w:sz w:val="16"/>
          <w:szCs w:val="16"/>
        </w:rPr>
        <w:softHyphen/>
        <w:t>чением программы наземной подготовки должны были немедленно приступить к составлению преподавательским соста</w:t>
      </w:r>
      <w:r w:rsidRPr="00F90EAE">
        <w:rPr>
          <w:color w:val="000000" w:themeColor="text1"/>
          <w:sz w:val="16"/>
          <w:szCs w:val="16"/>
        </w:rPr>
        <w:softHyphen/>
        <w:t>вом конспектов и к 5 января 1945 г. обо</w:t>
      </w:r>
      <w:r w:rsidRPr="00F90EAE">
        <w:rPr>
          <w:color w:val="000000" w:themeColor="text1"/>
          <w:sz w:val="16"/>
          <w:szCs w:val="16"/>
        </w:rPr>
        <w:softHyphen/>
        <w:t>рудовать классы необходимыми нагляд</w:t>
      </w:r>
      <w:r w:rsidRPr="00F90EAE">
        <w:rPr>
          <w:color w:val="000000" w:themeColor="text1"/>
          <w:sz w:val="16"/>
          <w:szCs w:val="16"/>
        </w:rPr>
        <w:softHyphen/>
        <w:t>ными пособиями. Согласно программе на изучение матчасти и сдачу зачетов отводилось 7 дней для летного состава, 12 дней - для технического и 4 дня - для воздушных стрелков. Затем следовали продолжение изучения Ил-10 и АМ-42 на заводах и ознакомление с конструк</w:t>
      </w:r>
      <w:r w:rsidRPr="00F90EAE">
        <w:rPr>
          <w:color w:val="000000" w:themeColor="text1"/>
          <w:sz w:val="16"/>
          <w:szCs w:val="16"/>
        </w:rPr>
        <w:softHyphen/>
        <w:t>тивно-производственными дефектами и эксплуатационными особенностями са</w:t>
      </w:r>
      <w:r w:rsidRPr="00F90EAE">
        <w:rPr>
          <w:color w:val="000000" w:themeColor="text1"/>
          <w:sz w:val="16"/>
          <w:szCs w:val="16"/>
        </w:rPr>
        <w:softHyphen/>
        <w:t>молета и мотора. Техническому составу отводилось два дня на изучение АМ-42 на заводе № 24 и три - на сам Ил-10 на заводах №1 и №18. Летному составу предоставлялось три дня для изучения матчасти, и только на одном из самоле</w:t>
      </w:r>
      <w:r w:rsidRPr="00F90EAE">
        <w:rPr>
          <w:color w:val="000000" w:themeColor="text1"/>
          <w:sz w:val="16"/>
          <w:szCs w:val="16"/>
        </w:rPr>
        <w:softHyphen/>
        <w:t>тостроительных заводов. Летная часть программы переучива</w:t>
      </w:r>
      <w:r w:rsidRPr="00F90EAE">
        <w:rPr>
          <w:color w:val="000000" w:themeColor="text1"/>
          <w:sz w:val="16"/>
          <w:szCs w:val="16"/>
        </w:rPr>
        <w:softHyphen/>
        <w:t>ния включала один полет на проверку техники пилотирования на УИл-2 - на</w:t>
      </w:r>
      <w:r w:rsidRPr="00F90EAE">
        <w:rPr>
          <w:color w:val="000000" w:themeColor="text1"/>
          <w:sz w:val="16"/>
          <w:szCs w:val="16"/>
        </w:rPr>
        <w:softHyphen/>
        <w:t>лет 30 мин; 8 контрольно-провозных по</w:t>
      </w:r>
      <w:r w:rsidRPr="00F90EAE">
        <w:rPr>
          <w:color w:val="000000" w:themeColor="text1"/>
          <w:sz w:val="16"/>
          <w:szCs w:val="16"/>
        </w:rPr>
        <w:softHyphen/>
        <w:t>летов на УИл-2 - 48 мин; 6 самостоя</w:t>
      </w:r>
      <w:r w:rsidRPr="00F90EAE">
        <w:rPr>
          <w:color w:val="000000" w:themeColor="text1"/>
          <w:sz w:val="16"/>
          <w:szCs w:val="16"/>
        </w:rPr>
        <w:softHyphen/>
        <w:t>тельных полетов на Ил-2 (взлет, полет по кругу и посадка) - 36 мин; 10 само</w:t>
      </w:r>
      <w:r w:rsidRPr="00F90EAE">
        <w:rPr>
          <w:color w:val="000000" w:themeColor="text1"/>
          <w:sz w:val="16"/>
          <w:szCs w:val="16"/>
        </w:rPr>
        <w:softHyphen/>
        <w:t>стоятельных полетов по кругу на Ил-10 -1 ч; 2 полета на самостоятельное уп</w:t>
      </w:r>
      <w:r w:rsidRPr="00F90EAE">
        <w:rPr>
          <w:color w:val="000000" w:themeColor="text1"/>
          <w:sz w:val="16"/>
          <w:szCs w:val="16"/>
        </w:rPr>
        <w:softHyphen/>
        <w:t>ражнение (максимальный угол набора высоты, виражи с креном 30° - 60°, бое</w:t>
      </w:r>
      <w:r w:rsidRPr="00F90EAE">
        <w:rPr>
          <w:color w:val="000000" w:themeColor="text1"/>
          <w:sz w:val="16"/>
          <w:szCs w:val="16"/>
        </w:rPr>
        <w:softHyphen/>
        <w:t>вые развороты, спираль с креном 30° с высоты 1000 - 1500 м) - 1 ч; один полет на полигон для стрельбы и бомбомета</w:t>
      </w:r>
      <w:r w:rsidRPr="00F90EAE">
        <w:rPr>
          <w:color w:val="000000" w:themeColor="text1"/>
          <w:sz w:val="16"/>
          <w:szCs w:val="16"/>
        </w:rPr>
        <w:softHyphen/>
        <w:t>ния по наземной цели - 30 мин; один по</w:t>
      </w:r>
      <w:r w:rsidRPr="00F90EAE">
        <w:rPr>
          <w:color w:val="000000" w:themeColor="text1"/>
          <w:sz w:val="16"/>
          <w:szCs w:val="16"/>
        </w:rPr>
        <w:softHyphen/>
        <w:t>лет по маршруту в составе пары с бом</w:t>
      </w:r>
      <w:r w:rsidRPr="00F90EAE">
        <w:rPr>
          <w:color w:val="000000" w:themeColor="text1"/>
          <w:sz w:val="16"/>
          <w:szCs w:val="16"/>
        </w:rPr>
        <w:softHyphen/>
        <w:t>бометанием и стрельбой на полигоне -50 мин; один полет на бомбометание и стрельбу в составе звена - 30 мин; два полета по маршруту в составе шестерки с заходом на полигон в боевом порядке «пеленг», после бомбометания оборо</w:t>
      </w:r>
      <w:r w:rsidRPr="00F90EAE">
        <w:rPr>
          <w:color w:val="000000" w:themeColor="text1"/>
          <w:sz w:val="16"/>
          <w:szCs w:val="16"/>
        </w:rPr>
        <w:softHyphen/>
        <w:t>нительный круг - 1 ч 40 мин. В общей сложности программа переучивания предусматривала 17 полетов на Ил-10 с налетом 5 ч 30 мин на каждого пилота. Как это обычно бывает, начальству за</w:t>
      </w:r>
      <w:r w:rsidRPr="00F90EAE">
        <w:rPr>
          <w:color w:val="000000" w:themeColor="text1"/>
          <w:sz w:val="16"/>
          <w:szCs w:val="16"/>
        </w:rPr>
        <w:softHyphen/>
        <w:t>хотелось побыстрее испытать новый са</w:t>
      </w:r>
      <w:r w:rsidRPr="00F90EAE">
        <w:rPr>
          <w:color w:val="000000" w:themeColor="text1"/>
          <w:sz w:val="16"/>
          <w:szCs w:val="16"/>
        </w:rPr>
        <w:softHyphen/>
        <w:t>молет в деле, в связи с чем планомер</w:t>
      </w:r>
      <w:r w:rsidRPr="00F90EAE">
        <w:rPr>
          <w:color w:val="000000" w:themeColor="text1"/>
          <w:sz w:val="16"/>
          <w:szCs w:val="16"/>
        </w:rPr>
        <w:softHyphen/>
        <w:t>ная подготовка летного и технического состава была нарушена (10681).</w:t>
      </w:r>
    </w:p>
    <w:p w14:paraId="46B456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F6974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из-за испортившейся погоды на маршруте Иркутск-Красноярск-Омск-Свердловск и необходимости выполнения доработок, связанных с заменой фонаря кабины пилотов, ни одна из машин не перегонялась, зато в феврале, марте и апреле ВВС КА получили 33, 30 и 41 самолет, соответственно. Подавляющее большинство из них опять-таки предназначалось для 2-го гвардейского авиакорпуса. Однако в целом следует признать, что доля бомбардировщиков, переданных в войска, по отношению к суммарному объему выпуска Ер-2 оказалась небольшой (25% в 1944 г. и около 50% по состоянию на конец апреля 1945 г.). Налицо были серьезные технические проблемы, препятствовавшие широкому внедрению самолета в строевые части (3322,43).</w:t>
      </w:r>
    </w:p>
    <w:p w14:paraId="5BAC25AB" w14:textId="77777777" w:rsidR="00C2313B" w:rsidRPr="00F90EAE" w:rsidRDefault="00C2313B" w:rsidP="00F90EAE">
      <w:pPr>
        <w:autoSpaceDE w:val="0"/>
        <w:autoSpaceDN w:val="0"/>
        <w:adjustRightInd w:val="0"/>
        <w:jc w:val="both"/>
        <w:rPr>
          <w:color w:val="000000" w:themeColor="text1"/>
          <w:sz w:val="16"/>
          <w:szCs w:val="16"/>
        </w:rPr>
      </w:pPr>
    </w:p>
    <w:p w14:paraId="762E01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за четыре месяца до падения столицы Германии, в наших войсках было 1300 бомбардировщиков и 345 разведчиков Пе-2, что составляло более половины фронтовых бомбардировщиков Красной Армии (12049).</w:t>
      </w:r>
    </w:p>
    <w:p w14:paraId="5DFCEA1C" w14:textId="77777777" w:rsidR="00C2313B" w:rsidRPr="00F90EAE" w:rsidRDefault="00C2313B" w:rsidP="00F90EAE">
      <w:pPr>
        <w:autoSpaceDE w:val="0"/>
        <w:autoSpaceDN w:val="0"/>
        <w:adjustRightInd w:val="0"/>
        <w:jc w:val="both"/>
        <w:rPr>
          <w:color w:val="000000" w:themeColor="text1"/>
          <w:sz w:val="16"/>
          <w:szCs w:val="16"/>
        </w:rPr>
      </w:pPr>
    </w:p>
    <w:p w14:paraId="4AAE27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на P-47D-22 начались боевые вылеты на Балтике, куда "Тандерболты" попали чуть позже. Пять P-47D-22, первый из которых прибыл в ноябре 1944 года, вошли в состав 15-го разведывательного полка. Четыре "Тандерболта" базировались в Паланге, а пятый - в Паневежисе. С середины января 1945 американские самолеты довольно интенсивно использовались для разведки в западной части Балтийского моря. Летали они как поодиночке, так и парами (3457,86).</w:t>
      </w:r>
    </w:p>
    <w:p w14:paraId="16222F50" w14:textId="77777777" w:rsidR="00C2313B" w:rsidRPr="00F90EAE" w:rsidRDefault="00C2313B" w:rsidP="00F90EAE">
      <w:pPr>
        <w:autoSpaceDE w:val="0"/>
        <w:autoSpaceDN w:val="0"/>
        <w:adjustRightInd w:val="0"/>
        <w:jc w:val="both"/>
        <w:rPr>
          <w:color w:val="000000" w:themeColor="text1"/>
          <w:sz w:val="16"/>
          <w:szCs w:val="16"/>
        </w:rPr>
      </w:pPr>
    </w:p>
    <w:p w14:paraId="387DBF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(4476).</w:t>
      </w:r>
    </w:p>
    <w:p w14:paraId="4B281DCA" w14:textId="77777777" w:rsidR="00C2313B" w:rsidRPr="00F90EAE" w:rsidRDefault="00C2313B" w:rsidP="00F90EAE">
      <w:pPr>
        <w:autoSpaceDE w:val="0"/>
        <w:autoSpaceDN w:val="0"/>
        <w:adjustRightInd w:val="0"/>
        <w:jc w:val="both"/>
        <w:rPr>
          <w:color w:val="000000" w:themeColor="text1"/>
          <w:sz w:val="16"/>
          <w:szCs w:val="16"/>
        </w:rPr>
      </w:pPr>
    </w:p>
    <w:p w14:paraId="5D0BA0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на территории СССР начала формироваться 1-я чехословацкая смешанная авиадивизия. Согласно договору о безвозмездной передаче вооружения и боевой техники для укомплектования входившего в эту дивизию по штату бомбардировочного полка, Советский Союз выделил 32 Пе-2. В мае 1946 г. советские экипажи перегнали в Прагу 30 Пе-2 и два УПе-2. С 20 июня по 1 августа наши инструкторы обучили чехословацких летчиков. В июле 1947 г. полк, получивший около 20 Пе-2, перебросили в Словакию. Остальные Пе-2 законсервировали. В 1947 г. машины Петлякова обозначили по стандартам чехословацких ВВС: В-32-боевые и СВ-32-учебные.</w:t>
      </w:r>
    </w:p>
    <w:p w14:paraId="220AF2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Очень остро стояла проблема с запчастями - ведь в СССР производство Пе-2 прекратилось. Детали и агрегаты, включая двигатели, снимали с законсервированных бомбардировщиков. В авиамастерских города Малешице организовали капитальный ремонт моторов М-105ПФ, а на заводе "Летов" ремонтировали планеры. Там же, по образцу УПе-2 переделали несколько В-32 в СВ-32; эти машины передали в полк.</w:t>
      </w:r>
    </w:p>
    <w:p w14:paraId="19000A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Чехословакии разработали несколько оригинальных проектов переделки Пе-2 применительно к специфике эксплуатации в этой стране. От периода немецкой оккупации на складах осталось немало авиационного оборудования, вооружения и боеприпасов. Имелось и отлаженное их производство, организованное немцами для нужд люфтваффе. В 1949 г. коллектив под руководством инженера Матунера предложил проект переделки Пе-2 под перевернутые V-образные моторы жидкостного охлаждения М-211 (немецкие Jumo 21 IF) с винтами VS-11. Предполагалось также, что установка этих двигателей, имевшихся в большом количестве, поможет продлить "летную жизнь" Пе-2. Монтировать их собирался "Летов". Однако план так и не реализовали (12042).</w:t>
      </w:r>
    </w:p>
    <w:p w14:paraId="319D36D1" w14:textId="77777777" w:rsidR="00C2313B" w:rsidRPr="00F90EAE" w:rsidRDefault="00C2313B" w:rsidP="00F90EAE">
      <w:pPr>
        <w:autoSpaceDE w:val="0"/>
        <w:autoSpaceDN w:val="0"/>
        <w:adjustRightInd w:val="0"/>
        <w:jc w:val="both"/>
        <w:rPr>
          <w:color w:val="000000" w:themeColor="text1"/>
          <w:sz w:val="16"/>
          <w:szCs w:val="16"/>
        </w:rPr>
      </w:pPr>
    </w:p>
    <w:p w14:paraId="774CB861"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January of 1945, it was arranged by the Soviets for four crews of B-29 to "escape" to the West via Teheran, but their B-29s remained behind (1034).</w:t>
      </w:r>
    </w:p>
    <w:p w14:paraId="554A53E1" w14:textId="77777777" w:rsidR="00C2313B" w:rsidRPr="00F90EAE" w:rsidRDefault="00C2313B" w:rsidP="00F90EAE">
      <w:pPr>
        <w:autoSpaceDE w:val="0"/>
        <w:autoSpaceDN w:val="0"/>
        <w:adjustRightInd w:val="0"/>
        <w:jc w:val="both"/>
        <w:rPr>
          <w:color w:val="000000" w:themeColor="text1"/>
          <w:sz w:val="16"/>
          <w:szCs w:val="16"/>
          <w:lang w:val="en-US"/>
        </w:rPr>
      </w:pPr>
    </w:p>
    <w:p w14:paraId="1F80B5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1944 СССР позволили экипажам 4 В-29 покинуть страну через Тегеран, но самолеты остались в СССР (1034).</w:t>
      </w:r>
    </w:p>
    <w:p w14:paraId="27B75D21" w14:textId="77777777" w:rsidR="00C2313B" w:rsidRPr="00F90EAE" w:rsidRDefault="00C2313B" w:rsidP="00F90EAE">
      <w:pPr>
        <w:autoSpaceDE w:val="0"/>
        <w:autoSpaceDN w:val="0"/>
        <w:adjustRightInd w:val="0"/>
        <w:jc w:val="both"/>
        <w:rPr>
          <w:color w:val="000000" w:themeColor="text1"/>
          <w:sz w:val="16"/>
          <w:szCs w:val="16"/>
        </w:rPr>
      </w:pPr>
    </w:p>
    <w:p w14:paraId="407C89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во время Висло-Одерской операции Пе-2 использовались не только в своей основной роли фронтовых бомбардировщиков, но и как транспортные самолеты, доставляя горючее вырвавшимся вперед частям 2-й гв. танковой армии (3542).</w:t>
      </w:r>
    </w:p>
    <w:p w14:paraId="04C2AD93" w14:textId="77777777" w:rsidR="00C2313B" w:rsidRPr="00F90EAE" w:rsidRDefault="00C2313B" w:rsidP="00F90EAE">
      <w:pPr>
        <w:autoSpaceDE w:val="0"/>
        <w:autoSpaceDN w:val="0"/>
        <w:adjustRightInd w:val="0"/>
        <w:jc w:val="both"/>
        <w:rPr>
          <w:color w:val="000000" w:themeColor="text1"/>
          <w:sz w:val="16"/>
          <w:szCs w:val="16"/>
        </w:rPr>
      </w:pPr>
    </w:p>
    <w:p w14:paraId="3B8987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261806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02B047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3FC344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41383A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252547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2222A7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26833F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141CFD2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372837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1CF758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5805E7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5A1A6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Германские ударные управляемые средства...</w:t>
      </w:r>
    </w:p>
    <w:p w14:paraId="55807B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3D0F6B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13A05F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0A6DF0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36A190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6F241F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57DA65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707293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68C4587" w14:textId="77777777" w:rsidR="00C2313B" w:rsidRPr="00F90EAE" w:rsidRDefault="00C2313B" w:rsidP="00F90EAE">
      <w:pPr>
        <w:autoSpaceDE w:val="0"/>
        <w:autoSpaceDN w:val="0"/>
        <w:adjustRightInd w:val="0"/>
        <w:jc w:val="both"/>
        <w:rPr>
          <w:color w:val="000000" w:themeColor="text1"/>
          <w:sz w:val="16"/>
          <w:szCs w:val="16"/>
        </w:rPr>
      </w:pPr>
    </w:p>
    <w:p w14:paraId="7E5437DC"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течение 1944 г. Шпеер трижды – 4 февраля, 23 мая и 28 июля –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Германская авиация не имела стратегических бомбардировщиков, способных преодолевать расстояние в несколько тысяч километров и при этом нести достаточную бомбовую нагрузку. Поэтому для атаки советских электростанций Шпеер и Баумбах предложили использовать новое «чудо-оружие» – авиационный ударный комплекс «Мистел-2». Это был необычный летательный аппарат, представлявший собой связку двух самолетов. На фюзеляже беспилотного бомбардировщика Ju-88 на специальных стойках был закреплен истребитель FW-190, пилот которого при помощи электродистанционной системы управлял всем комплексом. «Мистел» имел ряд преимуществ по сравнению с обычным бомбардировщиком. Его пилоту не нужно было пролетать непосредственно над целью. Подойдя на дистанцию три-четыре километра, он на высоте 3000 м переводил комплекс в пологое пикирование. Поймав цель в прицел, летчик включал автопилот, удерживавший самолет-снаряд на выбранном курсе, а затем при помощи пиропатронов производил расцепку и уходил из зоны зенитного огня. В носовой части Ju-88 вместо кабины экипажа была установлена кумулятивная боеголовка с 1700 кг взрывчатки, пробивавшая броню толщиной 50 см или слой железобетона толщиной до 18 м и тем самым гарантировавшая уничтожение любых целей. В завершение пилот выполнял обратный полет на FW-190 и имел хорошие шансы уйти от вражеских истребителей. Каждую электростанцию должны были атаковать от трех до шести «Мистелов», главной целью которых были здания турбинных залов. В распоряжении летчиков были аэрофотоснимки и детальные трехмерные модели электростанций и окружающей местности. Кроме того, Штайнманн имел множество фотографий зданий турбинных залов, которые были сделаны с земли в различных погодных условиях и при различной освещенности. Их предоставила фирма «Сименс», которая в свое время изготавливала турбины для советских электростанций и чьи специалисты затем монтировали их, попутно снимая «на память» результаты своей работы.  Не менее тщательно был разработан и маршрут полета к целям. В операции планировалось использовать 80 «Мистелов-2» и 150 цельфиндеров и разведчиков Ju-88, Ju-188, а также четырехмоторных Ju-290. Вся эта армада должна была взлететь с шести аэродромов в Северо-Восточной Германии в интервале между 16.00 и 19.00 в один из трех дней в конце марта, приходившихся на период полнолуния. Последнее обстоятельство было крайне важным, поскольку большая часть полета проходила в ночное время и яркая луна значительно облегчала ориентировку пилотов.  Пройдя над Балтийским морем, Прибалтикой и Белоруссией, самолеты должны были достичь Смоленска. Дальше одна группа отворачивала на восток, чтобы атаковать электростанции в Алексине, Туле, Кашире и Сталиногорске, а оставшаяся и большая часть продолжала полет прежним курсом. Северо-западнее Москвы она разделялась еще на три группы: одна шла к Рыбинску, Ярославлю и Угличу, вторая – к Шатуре, а третья – к Горькому, Балахне и Дзержинску. По всей трассе самолеты-цельфиндеры в специальных контрольных точках должны были выстреливать сигнальные ракеты, облегчавшие пилотам «Мистелов» ориентировку. Общая протяженность перелета от аэродромов в районе Берлина до Горького составляла около 2250 км, и летчикам предстояло потратить восемь часов, чтобы преодолеть их. Самолеты должны были выйти к целям на рассвете. Предполагалось, что будут разрушены восемь из тринадцати электростанций. Это вызвало бы снижение объемов производства промышленности Центрально-промышленного района СССР на 40%.  После атаки пилотам «Мистелов» теперь уже только на одних FW-190, а также экипажам цельфиндеров предстояло пролететь еще 1200 км до аэродромов в Латвии, где узкая 150-км полоса берега удерживалась группой армий «Курляндия». Запаса топлива едва хватало, и была высокая вероятность, что кому-то придется возвращаться пешком (11742).</w:t>
      </w:r>
    </w:p>
    <w:p w14:paraId="7FF001CE" w14:textId="77777777" w:rsidR="00C2313B" w:rsidRPr="00F90EAE" w:rsidRDefault="00C2313B" w:rsidP="00F90EAE">
      <w:pPr>
        <w:widowControl w:val="0"/>
        <w:autoSpaceDE w:val="0"/>
        <w:autoSpaceDN w:val="0"/>
        <w:adjustRightInd w:val="0"/>
        <w:jc w:val="both"/>
        <w:rPr>
          <w:color w:val="000000" w:themeColor="text1"/>
          <w:sz w:val="16"/>
          <w:szCs w:val="16"/>
        </w:rPr>
      </w:pPr>
    </w:p>
    <w:p w14:paraId="35824B06" w14:textId="77777777" w:rsidR="00BC1830" w:rsidRPr="00F90EAE" w:rsidRDefault="00BC1830" w:rsidP="00F90EAE">
      <w:pPr>
        <w:jc w:val="both"/>
        <w:rPr>
          <w:color w:val="000000" w:themeColor="text1"/>
          <w:sz w:val="16"/>
          <w:szCs w:val="16"/>
        </w:rPr>
      </w:pPr>
      <w:r w:rsidRPr="00F90EAE">
        <w:rPr>
          <w:color w:val="000000" w:themeColor="text1"/>
          <w:sz w:val="16"/>
          <w:szCs w:val="16"/>
        </w:rPr>
        <w:t>В январе 1945 года на Артиллерийском полигоне Артиллерийской Академии (ст. Алабино) было проведено учение по разведке реактивных минометов противника. Задача учений – “</w:t>
      </w:r>
      <w:r w:rsidRPr="00F90EAE">
        <w:rPr>
          <w:iCs/>
          <w:color w:val="000000" w:themeColor="text1"/>
          <w:sz w:val="16"/>
          <w:szCs w:val="16"/>
        </w:rPr>
        <w:t>сбор опытного материала по оптической и звуковой разведке реактивных минометов с последующей обработкой его и составление войсковой инструкции для засечки реактивных минометов средствами АИР</w:t>
      </w:r>
      <w:r w:rsidRPr="00F90EAE">
        <w:rPr>
          <w:color w:val="000000" w:themeColor="text1"/>
          <w:sz w:val="16"/>
          <w:szCs w:val="16"/>
        </w:rPr>
        <w:t>” (артиллерийской инструментальной разведки).</w:t>
      </w:r>
    </w:p>
    <w:p w14:paraId="62850383" w14:textId="77777777" w:rsidR="00BC1830" w:rsidRPr="00F90EAE" w:rsidRDefault="00BC1830" w:rsidP="00F90EAE">
      <w:pPr>
        <w:jc w:val="both"/>
        <w:rPr>
          <w:color w:val="000000" w:themeColor="text1"/>
          <w:sz w:val="16"/>
          <w:szCs w:val="16"/>
        </w:rPr>
      </w:pPr>
      <w:r w:rsidRPr="00F90EAE">
        <w:rPr>
          <w:color w:val="000000" w:themeColor="text1"/>
          <w:sz w:val="16"/>
          <w:szCs w:val="16"/>
        </w:rPr>
        <w:t>“В выводах по алабинскому учению, на основании полученного богатого опытного материала, утверждается полная возможность не только оптической, но и звуковой разведки реактивных минометов, причем, даже при наличии записей с плохими или отсутствующими началами. Точность звуковой  засечки цели получена в пределах 14-30 малых делений угломера”.</w:t>
      </w:r>
    </w:p>
    <w:p w14:paraId="23E4ACBB" w14:textId="77777777" w:rsidR="00BC1830" w:rsidRPr="00F90EAE" w:rsidRDefault="00BC1830" w:rsidP="00F90EAE">
      <w:pPr>
        <w:jc w:val="both"/>
        <w:rPr>
          <w:color w:val="000000" w:themeColor="text1"/>
          <w:sz w:val="16"/>
          <w:szCs w:val="16"/>
        </w:rPr>
      </w:pPr>
      <w:r w:rsidRPr="00F90EAE">
        <w:rPr>
          <w:color w:val="000000" w:themeColor="text1"/>
          <w:sz w:val="16"/>
          <w:szCs w:val="16"/>
        </w:rPr>
        <w:t>В одном из документов ЦАМО имеется следующая информация по упомянутому вопросу.</w:t>
      </w:r>
    </w:p>
    <w:p w14:paraId="16C34A3E" w14:textId="77777777" w:rsidR="00BC1830" w:rsidRPr="00F90EAE" w:rsidRDefault="00BC1830" w:rsidP="00F90EAE">
      <w:pPr>
        <w:jc w:val="both"/>
        <w:rPr>
          <w:color w:val="000000" w:themeColor="text1"/>
          <w:sz w:val="16"/>
          <w:szCs w:val="16"/>
        </w:rPr>
      </w:pPr>
      <w:r w:rsidRPr="00F90EAE">
        <w:rPr>
          <w:color w:val="000000" w:themeColor="text1"/>
          <w:sz w:val="16"/>
          <w:szCs w:val="16"/>
        </w:rPr>
        <w:t>“В ходе Великой Отечественной войны, и главным образом, сразу же после её окончания у нас в СССР начались работы по отысканию средств разведывания реактивных установок. С этой целью, по заданию Командующего Артиллерией Советской Армии, Артиллерийский Стрелково-Тактический Комитет /ныне НИИ-1 А.А.Н, МВС/ провел два больших учения: первое – на Алабинском Полигоне под Москвой в 1945 году и второе на Лужском Полигоне в 1946 году с привлечением всех средств артиллерийского инструментального разведывания. Кроме того в 1947 году в несколько меньшем об”еме, подобные учения провела Высшая Офицерская Артиллерийская Школа /ВОАШ/.</w:t>
      </w:r>
    </w:p>
    <w:p w14:paraId="5D03EADD" w14:textId="77777777" w:rsidR="00BC1830" w:rsidRPr="00F90EAE" w:rsidRDefault="00BC1830" w:rsidP="00F90EAE">
      <w:pPr>
        <w:jc w:val="both"/>
        <w:rPr>
          <w:color w:val="000000" w:themeColor="text1"/>
          <w:sz w:val="16"/>
          <w:szCs w:val="16"/>
        </w:rPr>
      </w:pPr>
      <w:r w:rsidRPr="00F90EAE">
        <w:rPr>
          <w:color w:val="000000" w:themeColor="text1"/>
          <w:sz w:val="16"/>
          <w:szCs w:val="16"/>
        </w:rPr>
        <w:t>Выводы этих учений еще раз подтвердили то положение, что существующие методы и приборы АИР не пригодны для разведки реактивных установок. Для этого необходимы новые методы и приборы (15981).</w:t>
      </w:r>
    </w:p>
    <w:p w14:paraId="7A55FEEB" w14:textId="77777777" w:rsidR="00BC1830" w:rsidRPr="00F90EAE" w:rsidRDefault="00BC1830" w:rsidP="00F90EAE">
      <w:pPr>
        <w:jc w:val="both"/>
        <w:rPr>
          <w:color w:val="000000" w:themeColor="text1"/>
          <w:sz w:val="16"/>
          <w:szCs w:val="16"/>
        </w:rPr>
      </w:pPr>
    </w:p>
    <w:p w14:paraId="50216705" w14:textId="77777777" w:rsidR="006C4B00" w:rsidRPr="00F90EAE" w:rsidRDefault="006C4B00"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C7A0927" w14:textId="77777777" w:rsidR="006C4B00" w:rsidRPr="00F90EAE" w:rsidRDefault="006C4B00" w:rsidP="00F90EAE">
      <w:pPr>
        <w:autoSpaceDE w:val="0"/>
        <w:autoSpaceDN w:val="0"/>
        <w:adjustRightInd w:val="0"/>
        <w:jc w:val="both"/>
        <w:rPr>
          <w:iCs/>
          <w:color w:val="000000" w:themeColor="text1"/>
          <w:sz w:val="16"/>
          <w:szCs w:val="16"/>
        </w:rPr>
      </w:pPr>
    </w:p>
    <w:p w14:paraId="60BDEAF1" w14:textId="77777777" w:rsidR="006C4B00" w:rsidRPr="00F90EAE" w:rsidRDefault="006C4B00" w:rsidP="00F90EAE">
      <w:pPr>
        <w:jc w:val="both"/>
        <w:rPr>
          <w:color w:val="000000" w:themeColor="text1"/>
          <w:sz w:val="16"/>
          <w:szCs w:val="16"/>
        </w:rPr>
      </w:pPr>
      <w:r w:rsidRPr="00F90EAE">
        <w:rPr>
          <w:color w:val="000000" w:themeColor="text1"/>
          <w:sz w:val="16"/>
          <w:szCs w:val="16"/>
        </w:rPr>
        <w:t>В январе 1945 г. был выработан окончательный вариант позиции СССР к предстоявшим переговорам по репарациям с союзниками в Ялте. Он включал в себя следующие пункты: 1) единовременные изъятия промышленного оборудования и транспорта (до 75% в тяжелой индустрии) в течение двух лет после капитуляции Германии; 2) поставки готовой продукции в течение 10 лет; 3) использование германского труда в пострадавших от войны странах на протяжении 10 лет «в таком количестве, какое они сочтут желательным получить». Советский Союз претендовал на получение 75—80 % всего оборудования, 75 % ежегодных поставок и 5 млн немецких рабочих 14 . На Ялтинской конференции (4—11 февраля 1945 г.) Советский Союз впервые представил план, в соответствии с которым Германия должна была выплатить 20 млрд долларов (в ценах 1938 г.), из которых 10 млрд имел бы право получить СССР, 8 млрд — США и Великобритания и 2 млрд — остальные союзники стран «большой тройки» 15 . Американская делегация отреагировала на предложения советской стороны сдержанно, но не категорически отрицательно, тогда как британцы сочли советские требования слишком высокими. Для Лондона первостепенную важность представляли не репарации, а вопросы, связанные с покрытием немецкого довоенного долга, возвращением британского имущества и бесперебойным финансированием импорта 16 . Найденное компромиссное решение по результатам Крымской конференции заключалось в том, что, как было заявлено лидерами «большой тройки», немцы должны компенсировать причиненный ими материальный ущерб «в максимально возможной мере». В итоге, решено было взимать репарации в трех формах: 1) единовременное изъятие из национальной собственности Германии, как на ее территории, так и за ее пределами (демонтаж промышленных предприятий и оборудования, конфискация транспортных средств, зарубежных активов и прочее) в течение двух лет после капитуляции; 2) ежегодные поставки товаров и сырья; 3) использование труда немецких рабочих. Сроки действия по второму и третьему пунктам установлены не были [Советский Союз, 1979. С. 278—279] (19850).</w:t>
      </w:r>
    </w:p>
    <w:p w14:paraId="70EB0E38" w14:textId="77777777" w:rsidR="006C4B00" w:rsidRPr="00F90EAE" w:rsidRDefault="006C4B00" w:rsidP="00F90EAE">
      <w:pPr>
        <w:jc w:val="both"/>
        <w:rPr>
          <w:color w:val="000000" w:themeColor="text1"/>
          <w:sz w:val="16"/>
          <w:szCs w:val="16"/>
        </w:rPr>
      </w:pPr>
    </w:p>
    <w:p w14:paraId="048D5F0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E842DFF" w14:textId="77777777" w:rsidR="00C2313B" w:rsidRPr="00F90EAE" w:rsidRDefault="00C2313B" w:rsidP="00F90EAE">
      <w:pPr>
        <w:autoSpaceDE w:val="0"/>
        <w:autoSpaceDN w:val="0"/>
        <w:adjustRightInd w:val="0"/>
        <w:jc w:val="both"/>
        <w:rPr>
          <w:iCs/>
          <w:color w:val="000000" w:themeColor="text1"/>
          <w:sz w:val="16"/>
          <w:szCs w:val="16"/>
        </w:rPr>
      </w:pPr>
    </w:p>
    <w:p w14:paraId="6FE552EB" w14:textId="77777777" w:rsidR="00BC1830" w:rsidRPr="00F90EAE" w:rsidRDefault="00BC1830" w:rsidP="00F90EAE">
      <w:pPr>
        <w:jc w:val="both"/>
        <w:rPr>
          <w:color w:val="000000" w:themeColor="text1"/>
          <w:sz w:val="16"/>
          <w:szCs w:val="16"/>
        </w:rPr>
      </w:pPr>
      <w:r w:rsidRPr="00F90EAE">
        <w:rPr>
          <w:color w:val="000000" w:themeColor="text1"/>
          <w:sz w:val="16"/>
          <w:szCs w:val="16"/>
        </w:rPr>
        <w:t>В январе 1945г., пока на ГВФ разворачивалось серийное производство Go.229, в Геттингене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4BAB05EB" w14:textId="77777777" w:rsidR="00BC1830" w:rsidRPr="00F90EAE" w:rsidRDefault="00BC1830" w:rsidP="00F90EAE">
      <w:pPr>
        <w:jc w:val="both"/>
        <w:rPr>
          <w:color w:val="000000" w:themeColor="text1"/>
          <w:sz w:val="16"/>
          <w:szCs w:val="16"/>
        </w:rPr>
      </w:pPr>
    </w:p>
    <w:p w14:paraId="7B0EEEA5" w14:textId="77777777" w:rsidR="00BC1830" w:rsidRPr="00F90EAE" w:rsidRDefault="00BC1830" w:rsidP="00F90EAE">
      <w:pPr>
        <w:jc w:val="both"/>
        <w:rPr>
          <w:color w:val="000000" w:themeColor="text1"/>
          <w:sz w:val="16"/>
          <w:szCs w:val="16"/>
        </w:rPr>
      </w:pPr>
      <w:r w:rsidRPr="00F90EAE">
        <w:rPr>
          <w:color w:val="000000" w:themeColor="text1"/>
          <w:sz w:val="16"/>
          <w:szCs w:val="16"/>
        </w:rPr>
        <w:t xml:space="preserve">В январе 1945 г. началось серийное производство истребителей Не 162 и были изготовлены первые 6 самолетов. Всего до конца войны частям Люфтваффе было передано примерно 120 машин, и еще более 200 изтовленных самолетов проходили заводские летные испытания. Более или менее достоверные данные о боевом использовании "народных истребителей" отсутствуют, однако имеются отчеты, свидетельствующие о многочисленных авариях и катастрофах этих самолетов, обусловленных конструкторскими ошибками и производственными дефектами. Например, только в течении трех недель с 13 апреля до конца войны 1-я эскадрилья </w:t>
      </w:r>
      <w:r w:rsidRPr="00F90EAE">
        <w:rPr>
          <w:color w:val="000000" w:themeColor="text1"/>
          <w:sz w:val="16"/>
          <w:szCs w:val="16"/>
        </w:rPr>
        <w:lastRenderedPageBreak/>
        <w:t>1-й эскадры, вооруженной самолетами Не 162, потеряла 13 самолета и 10 пилотов, из них только 3 самолета были уничтожены противником, а остальные потери являлись результатом аварий и катастроф. Таким образом, в этой эскадрилье на каждые два дня в среднем приходилось одна авария. Однако эти данные следует рассматривать в контексте тотального развала промышленности и вооруженных сил Германии в результате фактически уже свершившегося военного поражения Германии. Если бы этот скоростной истребитель появился хотя бы на год раньше (такая возможность имелась, так как двигатель BMW 003 был готов уже в 1941 г., а первая промышленная серия двигателей BMW 003A1 была заказана в октябре 1943 г.), то авиации СССР и союзников пришлось бы пережить немало трудных дней (15139).</w:t>
      </w:r>
    </w:p>
    <w:p w14:paraId="06E62DD3" w14:textId="77777777" w:rsidR="00BC1830" w:rsidRPr="00F90EAE" w:rsidRDefault="00BC1830" w:rsidP="00F90EAE">
      <w:pPr>
        <w:jc w:val="both"/>
        <w:rPr>
          <w:color w:val="000000" w:themeColor="text1"/>
          <w:sz w:val="16"/>
          <w:szCs w:val="16"/>
        </w:rPr>
      </w:pPr>
    </w:p>
    <w:p w14:paraId="4778B11F" w14:textId="77777777" w:rsidR="00BC1830" w:rsidRPr="00F90EAE" w:rsidRDefault="00BC1830" w:rsidP="00F90EAE">
      <w:pPr>
        <w:pStyle w:val="book"/>
        <w:ind w:firstLine="0"/>
        <w:jc w:val="both"/>
        <w:rPr>
          <w:color w:val="000000" w:themeColor="text1"/>
          <w:sz w:val="16"/>
          <w:szCs w:val="16"/>
        </w:rPr>
      </w:pPr>
      <w:r w:rsidRPr="00F90EAE">
        <w:rPr>
          <w:color w:val="000000" w:themeColor="text1"/>
          <w:sz w:val="16"/>
          <w:szCs w:val="16"/>
        </w:rPr>
        <w:t>До января 1945 г. было произведено 6 пусков ракет «Рейнтохтер R-3F» в неуправляемом варианте. Разработка ракеты «Рейнтохтер R-3F» началась только в 1944 г. и велась очень быстрыми темпами. В ней полномасштабно использовались уже отработанные элементы ракеты «Рейнтохтер R-1P». Но до летных испытаний, которые планировалось провести весной 1945 г. на полигоне ракетного центра в Пенемюнде, ракету довести не успели, поскольку советские войска стремительно приближались, и ракетный центр пришлось эвакуировать. Ракета «Рейнтохтер R-3F» была скомпонована по аэродинамической схеме «утка». Она имела 4 воздушных руля в носовой части и 4 стреловидных крыла, расположенных под углом 90° в хвостовой части. Длина ракеты составляла 4900 мм, диаметр корпуса 530 мм, размах крыльев 2600 мм. Ракета была снабжена боевой частью, имевшей разрывной заряд ВВ с зажигательными элементами весом 150 кг. Вес ракеты составлял 1600 кг. Ракета оснащалась ЖРД «Конрад» и двумя стартовыми пороховыми реактивными двигателями, крепившимися на наружной поверхности корпуса ракеты. ЖРД развивал максимальную тягу около 2200 кгс в течение 5 с, а затем 1800 кгс в течение 38 с. В ЖРД использовались следующие компоненты топлива: горючее — визоль (88 кг) и окислитель — азотная кислота (335 кг). В двигателе использовалась вытеснительная система подачи компонентов топлива. Каждый из двух стартовых двигателей имел заряд динитро-диэтиленгликолевого пороха весом 150 кг и развивал тягу около 25 000 кгс в течение 0,9 с. ЗУР «Рейнтохтер», как и «Вассерфаль», наводилась на цель системой управления «Эльзас». Для запуска ракеты предполагалось использовать передвижную пусковую установку с направляющей, устанавливаемой в направлении цели под углом возвышения около 70° (15225).</w:t>
      </w:r>
    </w:p>
    <w:p w14:paraId="7C2FD850" w14:textId="77777777" w:rsidR="00BC1830" w:rsidRPr="00F90EAE" w:rsidRDefault="00BC1830" w:rsidP="00F90EAE">
      <w:pPr>
        <w:pStyle w:val="book"/>
        <w:ind w:firstLine="0"/>
        <w:jc w:val="both"/>
        <w:rPr>
          <w:color w:val="000000" w:themeColor="text1"/>
          <w:sz w:val="16"/>
          <w:szCs w:val="16"/>
        </w:rPr>
      </w:pPr>
    </w:p>
    <w:p w14:paraId="528A5E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 Берлине высшему командованию Рейха демонстрировали Як-3, захваченный в Восточной Пруссии. Оказался на малых высотах лучше Ме-109 и ФВ-190 (1134,28).</w:t>
      </w:r>
    </w:p>
    <w:p w14:paraId="21466B8B" w14:textId="77777777" w:rsidR="00C2313B" w:rsidRPr="00F90EAE" w:rsidRDefault="00C2313B" w:rsidP="00F90EAE">
      <w:pPr>
        <w:autoSpaceDE w:val="0"/>
        <w:autoSpaceDN w:val="0"/>
        <w:adjustRightInd w:val="0"/>
        <w:jc w:val="both"/>
        <w:rPr>
          <w:color w:val="000000" w:themeColor="text1"/>
          <w:sz w:val="16"/>
          <w:szCs w:val="16"/>
        </w:rPr>
      </w:pPr>
    </w:p>
    <w:p w14:paraId="33CCCD4D" w14:textId="77777777" w:rsidR="00A40927" w:rsidRPr="00F90EAE" w:rsidRDefault="00A40927" w:rsidP="00F90EAE">
      <w:pPr>
        <w:jc w:val="both"/>
        <w:rPr>
          <w:color w:val="0070C0"/>
          <w:sz w:val="16"/>
          <w:szCs w:val="16"/>
        </w:rPr>
      </w:pPr>
      <w:r w:rsidRPr="00F90EAE">
        <w:rPr>
          <w:color w:val="0070C0"/>
          <w:sz w:val="16"/>
          <w:szCs w:val="16"/>
        </w:rPr>
        <w:t>В январе 1945 года союзники захватили все пусковые установки, с которых немцы обстреливали Англию, и удары прекратились. Новой целью для крылатых ракет стал крупнейший в Европе порт Антверпен. Он являлся основным пунктом снабжения союзников после высадки в Нормандии. О начале обстрелов было известно заранее, система противоракетной обороны была организована своевременно — и эффективность действия крылатых ракет оказалась чрезвычайно низкой (22878).</w:t>
      </w:r>
    </w:p>
    <w:p w14:paraId="52ECE175" w14:textId="77777777" w:rsidR="00A40927" w:rsidRPr="00F90EAE" w:rsidRDefault="00A40927" w:rsidP="00F90EAE">
      <w:pPr>
        <w:jc w:val="both"/>
        <w:rPr>
          <w:color w:val="0070C0"/>
          <w:sz w:val="16"/>
          <w:szCs w:val="16"/>
        </w:rPr>
      </w:pPr>
    </w:p>
    <w:p w14:paraId="64922137" w14:textId="77777777" w:rsidR="00A40927" w:rsidRPr="00F90EAE" w:rsidRDefault="00A40927" w:rsidP="00F90EAE">
      <w:pPr>
        <w:pStyle w:val="ae"/>
        <w:spacing w:before="0" w:after="0"/>
        <w:jc w:val="both"/>
        <w:rPr>
          <w:color w:val="0070C0"/>
          <w:sz w:val="16"/>
          <w:szCs w:val="16"/>
        </w:rPr>
      </w:pPr>
      <w:r w:rsidRPr="00F90EAE">
        <w:rPr>
          <w:color w:val="0070C0"/>
          <w:sz w:val="16"/>
          <w:szCs w:val="16"/>
        </w:rPr>
        <w:t>В январе 1945 г. провели испытания самолета-снаряда MXY7 «Ока» Модель 11 на полной тяге в беспилотном режиме. На высоте 3500 м скорость планирования была 463 км/ч, а с включением всех трех ракет на пикировании достигла 650 км/ч. Не дожидаясь положительного заключения по летным испытаниям, основной завод 1-го арсенала в Йокосуке добился заказа на 155 серийных MXY-7, а еще 600 должен был сделать его филиал, который строился в подземелье в окрестностях города Касумигара (22951).</w:t>
      </w:r>
    </w:p>
    <w:p w14:paraId="55112168" w14:textId="77777777" w:rsidR="00A40927" w:rsidRPr="00F90EAE" w:rsidRDefault="00A40927" w:rsidP="00F90EAE">
      <w:pPr>
        <w:jc w:val="both"/>
        <w:rPr>
          <w:color w:val="0070C0"/>
          <w:sz w:val="16"/>
          <w:szCs w:val="16"/>
        </w:rPr>
      </w:pPr>
    </w:p>
    <w:p w14:paraId="259879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немцы предупредили Швецию, что нанесут удар V-1 по Стокгольму если Швеция вступит в войну (1227,21).</w:t>
      </w:r>
    </w:p>
    <w:p w14:paraId="6567F0F6" w14:textId="77777777" w:rsidR="00C2313B" w:rsidRPr="00F90EAE" w:rsidRDefault="00C2313B" w:rsidP="00F90EAE">
      <w:pPr>
        <w:autoSpaceDE w:val="0"/>
        <w:autoSpaceDN w:val="0"/>
        <w:adjustRightInd w:val="0"/>
        <w:jc w:val="both"/>
        <w:rPr>
          <w:color w:val="000000" w:themeColor="text1"/>
          <w:sz w:val="16"/>
          <w:szCs w:val="16"/>
        </w:rPr>
      </w:pPr>
    </w:p>
    <w:p w14:paraId="5F93EB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испытательный пуск «американской» ракеты закончился провалом. Фон Браун поспешил с новым предложением – заменить вторую ступень крылатым реактивным снарядом с... пилотом. Учитывая физические условия подъема ракеты на высоту 290 км, пилот ракеты оказался бы смертником, но он стал бы еще и первым в мире космонавтом.</w:t>
      </w:r>
    </w:p>
    <w:p w14:paraId="48AC47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Небольшой отряд смертников, как было сказано выше, уже был создан СД при участии О. Скорцени для наведения сброшенных с самолетов пилотируемых снарядов Райхенберг на промышленные объекты в глубине Советского Союза. Продвижение Красной Армии и отсутствие у Германии стратегической авиации оставили самоубийц без работы, и теперь им предлагалась новая задача – наведение баллистических ракет по городам США на Восточном побережье.</w:t>
      </w:r>
    </w:p>
    <w:p w14:paraId="14394E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января 1945 г. фон Браун заявил, что проблема создания последней ступени решена. Но от «принципиального решения» до работающего «железа» долгий путь, тем более что германская промышленность уже исчерпала свои ресурсы и потеряла большую часть мощностей. Высококвалифицированный инженер фон Браун не мог этого не понимать. Но он был еще и штурмбаннфюрером СС и обязан был поддерживать иллюзии фюрера (11686).</w:t>
      </w:r>
    </w:p>
    <w:p w14:paraId="759521F9" w14:textId="77777777" w:rsidR="00C2313B" w:rsidRPr="00F90EAE" w:rsidRDefault="00C2313B" w:rsidP="00F90EAE">
      <w:pPr>
        <w:autoSpaceDE w:val="0"/>
        <w:autoSpaceDN w:val="0"/>
        <w:adjustRightInd w:val="0"/>
        <w:jc w:val="both"/>
        <w:rPr>
          <w:color w:val="000000" w:themeColor="text1"/>
          <w:sz w:val="16"/>
          <w:szCs w:val="16"/>
        </w:rPr>
      </w:pPr>
    </w:p>
    <w:p w14:paraId="75454BC9" w14:textId="77777777" w:rsidR="00C2313B" w:rsidRPr="00F90EAE" w:rsidRDefault="00C2313B" w:rsidP="00F90EAE">
      <w:pPr>
        <w:tabs>
          <w:tab w:val="left" w:pos="5529"/>
        </w:tabs>
        <w:autoSpaceDE w:val="0"/>
        <w:autoSpaceDN w:val="0"/>
        <w:adjustRightInd w:val="0"/>
        <w:jc w:val="both"/>
        <w:rPr>
          <w:color w:val="000000" w:themeColor="text1"/>
          <w:sz w:val="16"/>
          <w:szCs w:val="16"/>
        </w:rPr>
      </w:pPr>
      <w:r w:rsidRPr="00F90EAE">
        <w:rPr>
          <w:color w:val="000000" w:themeColor="text1"/>
          <w:sz w:val="16"/>
          <w:szCs w:val="16"/>
        </w:rPr>
        <w:t>В январе 1945 был готов макет и началась сборка 5 ЕФ-126 (1795,71). Осенью 1945 Бааде предложил Олехновичу л одноместный штурмовик ЕФ-126 с ПВРД Аргус на основе Физелер 103 (V-1). К концу войны было сделано 175 Фи- 103 и хотели использовать для камикадзе. Идею дала Анна Райч. Нам предложили оснастить 2х20 мм пушками и лыжей для посадки, а стартовать с катапульты с помощью пороховых ракет (1795,71).</w:t>
      </w:r>
    </w:p>
    <w:p w14:paraId="7E794172" w14:textId="77777777" w:rsidR="00C2313B" w:rsidRPr="00F90EAE" w:rsidRDefault="00C2313B" w:rsidP="00F90EAE">
      <w:pPr>
        <w:autoSpaceDE w:val="0"/>
        <w:autoSpaceDN w:val="0"/>
        <w:adjustRightInd w:val="0"/>
        <w:jc w:val="both"/>
        <w:rPr>
          <w:color w:val="000000" w:themeColor="text1"/>
          <w:sz w:val="16"/>
          <w:szCs w:val="16"/>
        </w:rPr>
      </w:pPr>
    </w:p>
    <w:p w14:paraId="0CD0B41E"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During January 1945 German Luftwaffe formed special squadron of 16 Me-262 jet fighters, each armed with twenty-four 55-mm high-explosive rockets, which operated with high success against Allied bomber formations (1038).</w:t>
      </w:r>
    </w:p>
    <w:p w14:paraId="3D9AA68F" w14:textId="77777777" w:rsidR="00C2313B" w:rsidRPr="00F90EAE" w:rsidRDefault="00C2313B" w:rsidP="00F90EAE">
      <w:pPr>
        <w:autoSpaceDE w:val="0"/>
        <w:autoSpaceDN w:val="0"/>
        <w:adjustRightInd w:val="0"/>
        <w:jc w:val="both"/>
        <w:rPr>
          <w:color w:val="000000" w:themeColor="text1"/>
          <w:sz w:val="16"/>
          <w:szCs w:val="16"/>
          <w:lang w:val="en-US"/>
        </w:rPr>
      </w:pPr>
    </w:p>
    <w:p w14:paraId="70F496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 Люфтваффе был сформирован специальный эскадрон истребителей Ме-262 с 55 мм ракетами под крыльями, которые действовали против бомбардировщиков союзников (1038).</w:t>
      </w:r>
    </w:p>
    <w:p w14:paraId="7242D6A1" w14:textId="77777777" w:rsidR="00C2313B" w:rsidRPr="00F90EAE" w:rsidRDefault="00C2313B" w:rsidP="00F90EAE">
      <w:pPr>
        <w:autoSpaceDE w:val="0"/>
        <w:autoSpaceDN w:val="0"/>
        <w:adjustRightInd w:val="0"/>
        <w:jc w:val="both"/>
        <w:rPr>
          <w:color w:val="000000" w:themeColor="text1"/>
          <w:sz w:val="16"/>
          <w:szCs w:val="16"/>
        </w:rPr>
      </w:pPr>
    </w:p>
    <w:p w14:paraId="0930D7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До января 1945 года, до начала эвакуации в Германии химический завод "Аноргана Верк ГМБХ" по производству фосфорорганических ОВ (ФОВ), построенный в 1939-1942 годах в Дихернфурте-на-Одере (Силезия) и принадлежащий концерну "ИГ Фарбениндустри", вел производство табуна. Здесь была создана опытная установка по выпуску зарина (мощность - 300 т в месяц), однако монтаж основного оборудования в цехе по выпуску зарина (последняя стадия) к моменту захвата завода закончен не был. Разведчики 1-го Украинского фронта вышли к заводу в Дихернфурте-на-Одере в начале 1945 года.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1C24AB9" w14:textId="77777777" w:rsidR="00C2313B" w:rsidRPr="00F90EAE" w:rsidRDefault="00C2313B" w:rsidP="00F90EAE">
      <w:pPr>
        <w:autoSpaceDE w:val="0"/>
        <w:autoSpaceDN w:val="0"/>
        <w:adjustRightInd w:val="0"/>
        <w:jc w:val="both"/>
        <w:rPr>
          <w:color w:val="000000" w:themeColor="text1"/>
          <w:sz w:val="16"/>
          <w:szCs w:val="16"/>
        </w:rPr>
      </w:pPr>
    </w:p>
    <w:p w14:paraId="05B969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армейское командование поручило фирме «Кавасаки» создать специальный бомбардировщик для камикадзе.</w:t>
      </w:r>
    </w:p>
    <w:p w14:paraId="350E93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Конструкторы спроектировали самолет за три месяца. Это должен был быть легкий одноместный одномоторный самолет Ка васаки Кi119. Бомбардировщик должен был доставлять одну 800-килограммовую бомбу на внешней подвеске. Элементы самолета должны были производиться на небольших частных предприятиях, а </w:t>
      </w:r>
      <w:r w:rsidRPr="00F90EAE">
        <w:rPr>
          <w:color w:val="000000" w:themeColor="text1"/>
          <w:sz w:val="16"/>
          <w:szCs w:val="16"/>
        </w:rPr>
        <w:lastRenderedPageBreak/>
        <w:t>собирался бомбардировщик на подземном заводе. Вследствие налета американской авиации на завод в Камигахара в июне 1945 г. чертежи Кi119 были уничтожены и проект не был реализован (11886).</w:t>
      </w:r>
    </w:p>
    <w:p w14:paraId="0B2D323F" w14:textId="77777777" w:rsidR="00C2313B" w:rsidRPr="00F90EAE" w:rsidRDefault="00C2313B" w:rsidP="00F90EAE">
      <w:pPr>
        <w:autoSpaceDE w:val="0"/>
        <w:autoSpaceDN w:val="0"/>
        <w:adjustRightInd w:val="0"/>
        <w:jc w:val="both"/>
        <w:rPr>
          <w:color w:val="000000" w:themeColor="text1"/>
          <w:sz w:val="16"/>
          <w:szCs w:val="16"/>
        </w:rPr>
      </w:pPr>
    </w:p>
    <w:p w14:paraId="5FED55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Касима были проведены и полеты MXY7 в беспилотном режиме. Они позволили снять следующие летные хаpактеpистики: скорость на высоте 3000 м в пикиpовании pазвивалась до 450 км/ч, а пpи включении ускоpителей – до 650 км/ч (11686).</w:t>
      </w:r>
    </w:p>
    <w:p w14:paraId="2EF24B4D" w14:textId="77777777" w:rsidR="00C2313B" w:rsidRPr="00F90EAE" w:rsidRDefault="00C2313B" w:rsidP="00F90EAE">
      <w:pPr>
        <w:autoSpaceDE w:val="0"/>
        <w:autoSpaceDN w:val="0"/>
        <w:adjustRightInd w:val="0"/>
        <w:jc w:val="both"/>
        <w:rPr>
          <w:color w:val="000000" w:themeColor="text1"/>
          <w:sz w:val="16"/>
          <w:szCs w:val="16"/>
        </w:rPr>
      </w:pPr>
    </w:p>
    <w:p w14:paraId="203F9E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Тирана. Указы Президиума АНОС: о конфискации государственной собственности Италии и Германии в Албании; о ликвидации всех иностранных банков и создании Банка Албании; о введении чрезвычайного единовременного прогрессивного налога на буржуазию. Обращение правительства Албании в Подготовительный комитет ООН с просьбой о приеме Албании в члены этой организации (7594).</w:t>
      </w:r>
    </w:p>
    <w:p w14:paraId="43B4DE7A" w14:textId="77777777" w:rsidR="00C2313B" w:rsidRPr="00F90EAE" w:rsidRDefault="00C2313B" w:rsidP="00F90EAE">
      <w:pPr>
        <w:autoSpaceDE w:val="0"/>
        <w:autoSpaceDN w:val="0"/>
        <w:adjustRightInd w:val="0"/>
        <w:jc w:val="both"/>
        <w:rPr>
          <w:color w:val="000000" w:themeColor="text1"/>
          <w:sz w:val="16"/>
          <w:szCs w:val="16"/>
        </w:rPr>
      </w:pPr>
    </w:p>
    <w:p w14:paraId="0CC7C8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Джон фон Нейман присоединился к группе разработчиков ENIAC и описал устройство будущего компьютера EDVAC - с этой работы началась архитектура фон Неймана (3463).</w:t>
      </w:r>
    </w:p>
    <w:p w14:paraId="675C5E4E" w14:textId="77777777" w:rsidR="00C2313B" w:rsidRPr="00F90EAE" w:rsidRDefault="00C2313B" w:rsidP="00F90EAE">
      <w:pPr>
        <w:autoSpaceDE w:val="0"/>
        <w:autoSpaceDN w:val="0"/>
        <w:adjustRightInd w:val="0"/>
        <w:jc w:val="both"/>
        <w:rPr>
          <w:color w:val="000000" w:themeColor="text1"/>
          <w:sz w:val="16"/>
          <w:szCs w:val="16"/>
        </w:rPr>
      </w:pPr>
    </w:p>
    <w:p w14:paraId="5D9ACDD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6D7CCCF" w14:textId="77777777" w:rsidR="00C2313B" w:rsidRPr="00F90EAE" w:rsidRDefault="00C2313B" w:rsidP="00F90EAE">
      <w:pPr>
        <w:autoSpaceDE w:val="0"/>
        <w:autoSpaceDN w:val="0"/>
        <w:adjustRightInd w:val="0"/>
        <w:jc w:val="both"/>
        <w:rPr>
          <w:iCs/>
          <w:color w:val="000000" w:themeColor="text1"/>
          <w:sz w:val="16"/>
          <w:szCs w:val="16"/>
        </w:rPr>
      </w:pPr>
    </w:p>
    <w:p w14:paraId="6FD8E5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января по конец февраля 1945 года на заводе №22 проводились испытания Пе-8ОН №42612.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6EF8E4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5D6D64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48B799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68FE9AD" w14:textId="77777777" w:rsidR="00C2313B" w:rsidRPr="00F90EAE" w:rsidRDefault="00C2313B" w:rsidP="00F90EAE">
      <w:pPr>
        <w:autoSpaceDE w:val="0"/>
        <w:autoSpaceDN w:val="0"/>
        <w:adjustRightInd w:val="0"/>
        <w:jc w:val="both"/>
        <w:rPr>
          <w:color w:val="000000" w:themeColor="text1"/>
          <w:sz w:val="16"/>
          <w:szCs w:val="16"/>
        </w:rPr>
      </w:pPr>
    </w:p>
    <w:p w14:paraId="1A046B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январе-апреле 1945 г. на Ла-7Р, оснащенном ЖРД РД-1 конструкции В.П.Глушко, летчики-испытатели Г.М.Шиянов и А.В.Давыдов совершили 15 полетов. Запас горючего (керосин) и окислителя (азотная кислота) обеспечивал работу ЖРД в течение 3-3,5 мин. При работающим ракетном двигателе скорость Ла-7Р возрастала порой на 190 км/ч, максимально достигнутая на Ла-7Р скорость составляет 795 км/ч. В ходе испытаний ненадежность одного из первых ЖРД проявилась в полной мере: один раз движок взорвался при аэродромных гонках (точнее - пусках), второй - 27 марта 1945 г. в воздухе, Шиянов смог посадить поврежденную машину. Доработанный ЖРД был установлен на опытный самолет "120" (4707).</w:t>
      </w:r>
    </w:p>
    <w:p w14:paraId="369E50DE" w14:textId="77777777" w:rsidR="00C2313B" w:rsidRPr="00F90EAE" w:rsidRDefault="00C2313B" w:rsidP="00F90EAE">
      <w:pPr>
        <w:autoSpaceDE w:val="0"/>
        <w:autoSpaceDN w:val="0"/>
        <w:adjustRightInd w:val="0"/>
        <w:jc w:val="both"/>
        <w:rPr>
          <w:color w:val="000000" w:themeColor="text1"/>
          <w:sz w:val="16"/>
          <w:szCs w:val="16"/>
        </w:rPr>
      </w:pPr>
    </w:p>
    <w:p w14:paraId="7291364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7DC35A2" w14:textId="77777777" w:rsidR="00C2313B" w:rsidRPr="00F90EAE" w:rsidRDefault="00C2313B" w:rsidP="00F90EAE">
      <w:pPr>
        <w:autoSpaceDE w:val="0"/>
        <w:autoSpaceDN w:val="0"/>
        <w:adjustRightInd w:val="0"/>
        <w:jc w:val="both"/>
        <w:rPr>
          <w:iCs/>
          <w:color w:val="000000" w:themeColor="text1"/>
          <w:sz w:val="16"/>
          <w:szCs w:val="16"/>
        </w:rPr>
      </w:pPr>
    </w:p>
    <w:p w14:paraId="66025AC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январе-феврале 1945 г. заводом № 183 был изготовлен Опытный обра</w:t>
      </w:r>
      <w:r w:rsidRPr="00F90EAE">
        <w:rPr>
          <w:color w:val="000000" w:themeColor="text1"/>
          <w:sz w:val="16"/>
          <w:szCs w:val="16"/>
        </w:rPr>
        <w:softHyphen/>
        <w:t>зец танка Т-54 (первый образец). После пока</w:t>
      </w:r>
      <w:r w:rsidRPr="00F90EAE">
        <w:rPr>
          <w:color w:val="000000" w:themeColor="text1"/>
          <w:sz w:val="16"/>
          <w:szCs w:val="16"/>
        </w:rPr>
        <w:softHyphen/>
        <w:t>за членам Правительства, танк в марте — апреле того же года прошел ис</w:t>
      </w:r>
      <w:r w:rsidRPr="00F90EAE">
        <w:rPr>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F90EAE">
        <w:rPr>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F90EAE">
        <w:rPr>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036220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693DF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 феврале 1945 г. на осно</w:t>
      </w:r>
      <w:r w:rsidRPr="00F90EAE">
        <w:rPr>
          <w:color w:val="000000" w:themeColor="text1"/>
          <w:sz w:val="16"/>
          <w:szCs w:val="16"/>
        </w:rPr>
        <w:softHyphen/>
        <w:t>ве объединения технических проектов тяжелых танков, разработанных ЧКЗ и заводом № 100 под общим руководством Ж.Я. Котина был разработан Танк "Объект 703" (ИС-3, образец № 2), который являлся дальнейшим раз</w:t>
      </w:r>
      <w:r w:rsidRPr="00F90EAE">
        <w:rPr>
          <w:color w:val="000000" w:themeColor="text1"/>
          <w:sz w:val="16"/>
          <w:szCs w:val="16"/>
        </w:rPr>
        <w:softHyphen/>
        <w:t>витием танка "Кировец-1" в отношении улучшения конструкции броне</w:t>
      </w:r>
      <w:r w:rsidRPr="00F90EAE">
        <w:rPr>
          <w:color w:val="000000" w:themeColor="text1"/>
          <w:sz w:val="16"/>
          <w:szCs w:val="16"/>
        </w:rPr>
        <w:softHyphen/>
        <w:t>вой защиты и устранения недостатков, выявленных во время полигон</w:t>
      </w:r>
      <w:r w:rsidRPr="00F90EAE">
        <w:rPr>
          <w:color w:val="000000" w:themeColor="text1"/>
          <w:sz w:val="16"/>
          <w:szCs w:val="16"/>
        </w:rPr>
        <w:softHyphen/>
        <w:t>ных испытаний. Восемь опытных образцов установочной партии были изготовлены на ЧКЗ в феврале 1945 г.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F90EAE">
        <w:rPr>
          <w:color w:val="000000" w:themeColor="text1"/>
          <w:sz w:val="16"/>
          <w:szCs w:val="16"/>
        </w:rPr>
        <w:softHyphen/>
        <w:t>ной Армии и организации на ЧКЗ его серийного производства (10703).</w:t>
      </w:r>
    </w:p>
    <w:p w14:paraId="520199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266E14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FDC5679" w14:textId="77777777" w:rsidR="00C2313B" w:rsidRPr="00F90EAE" w:rsidRDefault="00C2313B" w:rsidP="00F90EAE">
      <w:pPr>
        <w:autoSpaceDE w:val="0"/>
        <w:autoSpaceDN w:val="0"/>
        <w:adjustRightInd w:val="0"/>
        <w:jc w:val="both"/>
        <w:rPr>
          <w:iCs/>
          <w:color w:val="000000" w:themeColor="text1"/>
          <w:sz w:val="16"/>
          <w:szCs w:val="16"/>
        </w:rPr>
      </w:pPr>
    </w:p>
    <w:p w14:paraId="22EE54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январе-феврале 1945 года "Вентуры" совершили 62 самолето-вылета. В документах дивизии они числятся как В-34. Одну "Вентуру" облюбовал командир дивизии подполковник М.А.Еремин (3457,124).</w:t>
      </w:r>
    </w:p>
    <w:p w14:paraId="2C25AB00" w14:textId="77777777" w:rsidR="00C2313B" w:rsidRPr="00F90EAE" w:rsidRDefault="00C2313B" w:rsidP="00F90EAE">
      <w:pPr>
        <w:autoSpaceDE w:val="0"/>
        <w:autoSpaceDN w:val="0"/>
        <w:adjustRightInd w:val="0"/>
        <w:jc w:val="both"/>
        <w:rPr>
          <w:color w:val="000000" w:themeColor="text1"/>
          <w:sz w:val="16"/>
          <w:szCs w:val="16"/>
        </w:rPr>
      </w:pPr>
    </w:p>
    <w:p w14:paraId="3C1DF7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январе-марте 1945 оборонительные опера</w:t>
      </w:r>
      <w:r w:rsidRPr="00F90EAE">
        <w:rPr>
          <w:color w:val="000000" w:themeColor="text1"/>
          <w:sz w:val="16"/>
          <w:szCs w:val="16"/>
        </w:rPr>
        <w:softHyphen/>
        <w:t>ции в районе озер Балатон — Веленце стали наиболее яркими примера</w:t>
      </w:r>
      <w:r w:rsidRPr="00F90EAE">
        <w:rPr>
          <w:color w:val="000000" w:themeColor="text1"/>
          <w:sz w:val="16"/>
          <w:szCs w:val="16"/>
        </w:rPr>
        <w:softHyphen/>
        <w:t>ми использования САУ, где получили боевое крещение полки и бригады с СУ-100, которые ввиду хорошей броневой защиты приме</w:t>
      </w:r>
      <w:r w:rsidRPr="00F90EAE">
        <w:rPr>
          <w:color w:val="000000" w:themeColor="text1"/>
          <w:sz w:val="16"/>
          <w:szCs w:val="16"/>
        </w:rPr>
        <w:softHyphen/>
        <w:t>нялись для прикрытия собой танков в ходе контратак не</w:t>
      </w:r>
      <w:r w:rsidRPr="00F90EAE">
        <w:rPr>
          <w:color w:val="000000" w:themeColor="text1"/>
          <w:sz w:val="16"/>
          <w:szCs w:val="16"/>
        </w:rPr>
        <w:softHyphen/>
        <w:t>мецких и венгерских позиций. Там же, несмотря на, каза</w:t>
      </w:r>
      <w:r w:rsidRPr="00F90EAE">
        <w:rPr>
          <w:color w:val="000000" w:themeColor="text1"/>
          <w:sz w:val="16"/>
          <w:szCs w:val="16"/>
        </w:rPr>
        <w:softHyphen/>
        <w:t>лось бы, слабое вооружение, хорошо проявили себя легкие СУ-76, бывшие на вооружении кавалерийских и стрелко</w:t>
      </w:r>
      <w:r w:rsidRPr="00F90EAE">
        <w:rPr>
          <w:color w:val="000000" w:themeColor="text1"/>
          <w:sz w:val="16"/>
          <w:szCs w:val="16"/>
        </w:rPr>
        <w:softHyphen/>
        <w:t>вых частей. Они продемонстрировали хорошую проходи</w:t>
      </w:r>
      <w:r w:rsidRPr="00F90EAE">
        <w:rPr>
          <w:color w:val="000000" w:themeColor="text1"/>
          <w:sz w:val="16"/>
          <w:szCs w:val="16"/>
        </w:rPr>
        <w:softHyphen/>
        <w:t>мость на раскисшей почве и могли маневрировать на ней даже в тех условиях, когда средние СУ-85 и СУ-100 закапы</w:t>
      </w:r>
      <w:r w:rsidRPr="00F90EAE">
        <w:rPr>
          <w:color w:val="000000" w:themeColor="text1"/>
          <w:sz w:val="16"/>
          <w:szCs w:val="16"/>
        </w:rPr>
        <w:softHyphen/>
        <w:t>вались «по самое брюхо» в чернозем и из подвижных огне</w:t>
      </w:r>
      <w:r w:rsidRPr="00F90EAE">
        <w:rPr>
          <w:color w:val="000000" w:themeColor="text1"/>
          <w:sz w:val="16"/>
          <w:szCs w:val="16"/>
        </w:rPr>
        <w:softHyphen/>
        <w:t>вых точек превращались в неподвижные (11417).</w:t>
      </w:r>
    </w:p>
    <w:p w14:paraId="64A6A4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5D39F9E" w14:textId="2EE77758" w:rsidR="00B6122E" w:rsidRPr="00F90EAE" w:rsidRDefault="00B6122E"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6EC87331" w14:textId="77777777" w:rsidR="00B6122E" w:rsidRPr="00F90EAE" w:rsidRDefault="00B6122E" w:rsidP="00F90EAE">
      <w:pPr>
        <w:autoSpaceDE w:val="0"/>
        <w:autoSpaceDN w:val="0"/>
        <w:adjustRightInd w:val="0"/>
        <w:jc w:val="both"/>
        <w:rPr>
          <w:i/>
          <w:iCs/>
          <w:color w:val="000000" w:themeColor="text1"/>
          <w:sz w:val="16"/>
          <w:szCs w:val="16"/>
        </w:rPr>
      </w:pPr>
    </w:p>
    <w:p w14:paraId="00DA42F0" w14:textId="77777777" w:rsidR="00B6122E" w:rsidRPr="00F90EAE" w:rsidRDefault="00B6122E" w:rsidP="00F90EAE">
      <w:pPr>
        <w:jc w:val="both"/>
        <w:rPr>
          <w:color w:val="0070C0"/>
          <w:sz w:val="16"/>
          <w:szCs w:val="16"/>
        </w:rPr>
      </w:pPr>
      <w:r w:rsidRPr="00F90EAE">
        <w:rPr>
          <w:color w:val="0070C0"/>
          <w:sz w:val="16"/>
          <w:szCs w:val="16"/>
        </w:rPr>
        <w:t>В январе-мае 1945 года выпуск «модели 28» «Консолидейтед» завершили, сдав последний из 175 машин версии PBY-6А для ВМС, параллельно 75 таких амфибий было выпущено для ВВС Армии США, но последние не имели бомбардировочного вооружения. Главное отличие «шестерки» заключалось в штатной установке РЛС (до того радары ставились по спецзаказу) (22816).</w:t>
      </w:r>
    </w:p>
    <w:p w14:paraId="5046AE1B" w14:textId="77777777" w:rsidR="00B6122E" w:rsidRPr="00F90EAE" w:rsidRDefault="00B6122E" w:rsidP="00F90EAE">
      <w:pPr>
        <w:jc w:val="both"/>
        <w:rPr>
          <w:color w:val="0070C0"/>
          <w:sz w:val="16"/>
          <w:szCs w:val="16"/>
        </w:rPr>
      </w:pPr>
    </w:p>
    <w:p w14:paraId="67FC62DE" w14:textId="429F27D8"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869CBBE" w14:textId="77777777" w:rsidR="00C2313B" w:rsidRPr="00F90EAE" w:rsidRDefault="00C2313B" w:rsidP="00F90EAE">
      <w:pPr>
        <w:autoSpaceDE w:val="0"/>
        <w:autoSpaceDN w:val="0"/>
        <w:adjustRightInd w:val="0"/>
        <w:jc w:val="both"/>
        <w:rPr>
          <w:iCs/>
          <w:color w:val="000000" w:themeColor="text1"/>
          <w:sz w:val="16"/>
          <w:szCs w:val="16"/>
        </w:rPr>
      </w:pPr>
    </w:p>
    <w:p w14:paraId="6DBA23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две НС-45 поставили на Ил-2. Прошел гос. испытания, но в связи с концом войны в серии не был (177,310).</w:t>
      </w:r>
    </w:p>
    <w:p w14:paraId="18FDFDEC" w14:textId="77777777" w:rsidR="00C2313B" w:rsidRPr="00F90EAE" w:rsidRDefault="00C2313B" w:rsidP="00F90EAE">
      <w:pPr>
        <w:autoSpaceDE w:val="0"/>
        <w:autoSpaceDN w:val="0"/>
        <w:adjustRightInd w:val="0"/>
        <w:jc w:val="both"/>
        <w:rPr>
          <w:color w:val="000000" w:themeColor="text1"/>
          <w:sz w:val="16"/>
          <w:szCs w:val="16"/>
        </w:rPr>
      </w:pPr>
    </w:p>
    <w:p w14:paraId="630302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 подготовлен отчет завода 18 за 1944:</w:t>
      </w:r>
    </w:p>
    <w:p w14:paraId="057C2D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"Правительством поручено заводу изготовить опытный экз. нового самолета Ил-1, штурмовика более высокого класса. Завод успешно выполнил это задание.</w:t>
      </w:r>
    </w:p>
    <w:p w14:paraId="07E38B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заданию Правительства в отчетном году завод д.б. модифицировать Ил-2 за счет введения крыла новой конструкции - со стрелкой в плане, освоить производство его и давать серийный выпуск модернизированных машин.</w:t>
      </w:r>
    </w:p>
    <w:p w14:paraId="3F6A24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Начиная со 2 кв. завод дает армии модернизированный Ил-2 в большем количестве, чем было предусмотрено планом.</w:t>
      </w:r>
    </w:p>
    <w:p w14:paraId="66092A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Во 2 полугодии - задачу внедрения новой машины Ил-10 завод принципиально решил. При большом недостатке РС на заводе до конца года было собрано 73 новых машины, из них сдано КА 43 самолета." (1356).</w:t>
      </w:r>
    </w:p>
    <w:p w14:paraId="08B57A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выпуску Ил-10 возникла необходимость в доработке конструкции мотора М-42. Без этого приемка готовых самолетов не оформлялась заводом.</w:t>
      </w:r>
    </w:p>
    <w:p w14:paraId="353868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Выпуск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561F31" w:rsidRPr="00F90EAE" w14:paraId="708D1316" w14:textId="77777777">
        <w:tc>
          <w:tcPr>
            <w:tcW w:w="2254" w:type="dxa"/>
          </w:tcPr>
          <w:p w14:paraId="50025188" w14:textId="77777777" w:rsidR="00C2313B" w:rsidRPr="00F90EAE" w:rsidRDefault="00C2313B" w:rsidP="00F90EAE">
            <w:pPr>
              <w:autoSpaceDE w:val="0"/>
              <w:autoSpaceDN w:val="0"/>
              <w:adjustRightInd w:val="0"/>
              <w:jc w:val="both"/>
              <w:rPr>
                <w:color w:val="000000" w:themeColor="text1"/>
                <w:sz w:val="16"/>
                <w:szCs w:val="16"/>
              </w:rPr>
            </w:pPr>
          </w:p>
        </w:tc>
        <w:tc>
          <w:tcPr>
            <w:tcW w:w="2254" w:type="dxa"/>
          </w:tcPr>
          <w:p w14:paraId="03FEA2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2254" w:type="dxa"/>
          </w:tcPr>
          <w:p w14:paraId="5AAED463" w14:textId="77777777" w:rsidR="00C2313B" w:rsidRPr="00F90EAE" w:rsidRDefault="00C2313B" w:rsidP="00F90EAE">
            <w:pPr>
              <w:autoSpaceDE w:val="0"/>
              <w:autoSpaceDN w:val="0"/>
              <w:adjustRightInd w:val="0"/>
              <w:jc w:val="both"/>
              <w:rPr>
                <w:color w:val="000000" w:themeColor="text1"/>
                <w:sz w:val="16"/>
                <w:szCs w:val="16"/>
              </w:rPr>
            </w:pPr>
          </w:p>
        </w:tc>
        <w:tc>
          <w:tcPr>
            <w:tcW w:w="2254" w:type="dxa"/>
          </w:tcPr>
          <w:p w14:paraId="0016B9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Ил-10</w:t>
            </w:r>
          </w:p>
        </w:tc>
        <w:tc>
          <w:tcPr>
            <w:tcW w:w="2254" w:type="dxa"/>
          </w:tcPr>
          <w:p w14:paraId="02DCED6D"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1805C0B7" w14:textId="77777777">
        <w:tc>
          <w:tcPr>
            <w:tcW w:w="2254" w:type="dxa"/>
          </w:tcPr>
          <w:p w14:paraId="6F222C18" w14:textId="77777777" w:rsidR="00C2313B" w:rsidRPr="00F90EAE" w:rsidRDefault="00C2313B" w:rsidP="00F90EAE">
            <w:pPr>
              <w:autoSpaceDE w:val="0"/>
              <w:autoSpaceDN w:val="0"/>
              <w:adjustRightInd w:val="0"/>
              <w:jc w:val="both"/>
              <w:rPr>
                <w:color w:val="000000" w:themeColor="text1"/>
                <w:sz w:val="16"/>
                <w:szCs w:val="16"/>
              </w:rPr>
            </w:pPr>
          </w:p>
        </w:tc>
        <w:tc>
          <w:tcPr>
            <w:tcW w:w="2254" w:type="dxa"/>
          </w:tcPr>
          <w:p w14:paraId="0D027B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2254" w:type="dxa"/>
          </w:tcPr>
          <w:p w14:paraId="333B1F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w:t>
            </w:r>
          </w:p>
        </w:tc>
        <w:tc>
          <w:tcPr>
            <w:tcW w:w="2254" w:type="dxa"/>
          </w:tcPr>
          <w:p w14:paraId="7E464B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2254" w:type="dxa"/>
          </w:tcPr>
          <w:p w14:paraId="69D128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w:t>
            </w:r>
          </w:p>
        </w:tc>
      </w:tr>
      <w:tr w:rsidR="00561F31" w:rsidRPr="00F90EAE" w14:paraId="381F5627" w14:textId="77777777">
        <w:tc>
          <w:tcPr>
            <w:tcW w:w="2254" w:type="dxa"/>
          </w:tcPr>
          <w:p w14:paraId="2FBEF2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кв.</w:t>
            </w:r>
          </w:p>
        </w:tc>
        <w:tc>
          <w:tcPr>
            <w:tcW w:w="2254" w:type="dxa"/>
          </w:tcPr>
          <w:p w14:paraId="4B79CA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1155</w:t>
            </w:r>
          </w:p>
        </w:tc>
        <w:tc>
          <w:tcPr>
            <w:tcW w:w="2254" w:type="dxa"/>
          </w:tcPr>
          <w:p w14:paraId="1A6BEB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1161</w:t>
            </w:r>
          </w:p>
        </w:tc>
        <w:tc>
          <w:tcPr>
            <w:tcW w:w="2254" w:type="dxa"/>
          </w:tcPr>
          <w:p w14:paraId="393946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54" w:type="dxa"/>
          </w:tcPr>
          <w:p w14:paraId="6559911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003AE08" w14:textId="77777777">
        <w:tc>
          <w:tcPr>
            <w:tcW w:w="2254" w:type="dxa"/>
          </w:tcPr>
          <w:p w14:paraId="2538DE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кв.</w:t>
            </w:r>
          </w:p>
        </w:tc>
        <w:tc>
          <w:tcPr>
            <w:tcW w:w="2254" w:type="dxa"/>
          </w:tcPr>
          <w:p w14:paraId="11B30D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1140</w:t>
            </w:r>
          </w:p>
        </w:tc>
        <w:tc>
          <w:tcPr>
            <w:tcW w:w="2254" w:type="dxa"/>
          </w:tcPr>
          <w:p w14:paraId="1D0870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1147</w:t>
            </w:r>
          </w:p>
        </w:tc>
        <w:tc>
          <w:tcPr>
            <w:tcW w:w="2254" w:type="dxa"/>
          </w:tcPr>
          <w:p w14:paraId="67CB3B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54" w:type="dxa"/>
          </w:tcPr>
          <w:p w14:paraId="7AB9ABE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8360419" w14:textId="77777777">
        <w:tc>
          <w:tcPr>
            <w:tcW w:w="2254" w:type="dxa"/>
          </w:tcPr>
          <w:p w14:paraId="683833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кв.</w:t>
            </w:r>
          </w:p>
        </w:tc>
        <w:tc>
          <w:tcPr>
            <w:tcW w:w="2254" w:type="dxa"/>
          </w:tcPr>
          <w:p w14:paraId="4F2C44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878</w:t>
            </w:r>
          </w:p>
        </w:tc>
        <w:tc>
          <w:tcPr>
            <w:tcW w:w="2254" w:type="dxa"/>
          </w:tcPr>
          <w:p w14:paraId="705311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859</w:t>
            </w:r>
          </w:p>
        </w:tc>
        <w:tc>
          <w:tcPr>
            <w:tcW w:w="2254" w:type="dxa"/>
          </w:tcPr>
          <w:p w14:paraId="3DD2B9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2254" w:type="dxa"/>
          </w:tcPr>
          <w:p w14:paraId="581712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DF96AB9" w14:textId="77777777">
        <w:tc>
          <w:tcPr>
            <w:tcW w:w="2254" w:type="dxa"/>
          </w:tcPr>
          <w:p w14:paraId="1B47F2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кв.</w:t>
            </w:r>
          </w:p>
        </w:tc>
        <w:tc>
          <w:tcPr>
            <w:tcW w:w="2254" w:type="dxa"/>
          </w:tcPr>
          <w:p w14:paraId="321F79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2254" w:type="dxa"/>
          </w:tcPr>
          <w:p w14:paraId="7C8CD9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804</w:t>
            </w:r>
          </w:p>
        </w:tc>
        <w:tc>
          <w:tcPr>
            <w:tcW w:w="2254" w:type="dxa"/>
          </w:tcPr>
          <w:p w14:paraId="4279B3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2254" w:type="dxa"/>
          </w:tcPr>
          <w:p w14:paraId="51ECA1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r>
      <w:tr w:rsidR="00561F31" w:rsidRPr="00F90EAE" w14:paraId="0C0D4F0B" w14:textId="77777777">
        <w:tc>
          <w:tcPr>
            <w:tcW w:w="2254" w:type="dxa"/>
          </w:tcPr>
          <w:p w14:paraId="648027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Год</w:t>
            </w:r>
          </w:p>
        </w:tc>
        <w:tc>
          <w:tcPr>
            <w:tcW w:w="2254" w:type="dxa"/>
          </w:tcPr>
          <w:p w14:paraId="2382DE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3789</w:t>
            </w:r>
          </w:p>
        </w:tc>
        <w:tc>
          <w:tcPr>
            <w:tcW w:w="2254" w:type="dxa"/>
          </w:tcPr>
          <w:p w14:paraId="6EA937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3971</w:t>
            </w:r>
          </w:p>
        </w:tc>
        <w:tc>
          <w:tcPr>
            <w:tcW w:w="2254" w:type="dxa"/>
          </w:tcPr>
          <w:p w14:paraId="6CCFC1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2254" w:type="dxa"/>
          </w:tcPr>
          <w:p w14:paraId="793BF4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w:t>
            </w:r>
          </w:p>
        </w:tc>
      </w:tr>
      <w:tr w:rsidR="00561F31" w:rsidRPr="00F90EAE" w14:paraId="5D4B94CC" w14:textId="77777777">
        <w:tc>
          <w:tcPr>
            <w:tcW w:w="2254" w:type="dxa"/>
          </w:tcPr>
          <w:p w14:paraId="759E09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вкл. учеб.</w:t>
            </w:r>
          </w:p>
        </w:tc>
        <w:tc>
          <w:tcPr>
            <w:tcW w:w="2254" w:type="dxa"/>
          </w:tcPr>
          <w:p w14:paraId="4AE9D4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370</w:t>
            </w:r>
          </w:p>
        </w:tc>
        <w:tc>
          <w:tcPr>
            <w:tcW w:w="2254" w:type="dxa"/>
          </w:tcPr>
          <w:p w14:paraId="0781C8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2254" w:type="dxa"/>
          </w:tcPr>
          <w:p w14:paraId="19077A68" w14:textId="77777777" w:rsidR="00C2313B" w:rsidRPr="00F90EAE" w:rsidRDefault="00C2313B" w:rsidP="00F90EAE">
            <w:pPr>
              <w:autoSpaceDE w:val="0"/>
              <w:autoSpaceDN w:val="0"/>
              <w:adjustRightInd w:val="0"/>
              <w:jc w:val="both"/>
              <w:rPr>
                <w:color w:val="000000" w:themeColor="text1"/>
                <w:sz w:val="16"/>
                <w:szCs w:val="16"/>
              </w:rPr>
            </w:pPr>
          </w:p>
        </w:tc>
        <w:tc>
          <w:tcPr>
            <w:tcW w:w="2254" w:type="dxa"/>
          </w:tcPr>
          <w:p w14:paraId="4EEFB6FB" w14:textId="77777777" w:rsidR="00C2313B" w:rsidRPr="00F90EAE" w:rsidRDefault="00C2313B" w:rsidP="00F90EAE">
            <w:pPr>
              <w:autoSpaceDE w:val="0"/>
              <w:autoSpaceDN w:val="0"/>
              <w:adjustRightInd w:val="0"/>
              <w:jc w:val="both"/>
              <w:rPr>
                <w:color w:val="000000" w:themeColor="text1"/>
                <w:sz w:val="16"/>
                <w:szCs w:val="16"/>
              </w:rPr>
            </w:pPr>
          </w:p>
        </w:tc>
      </w:tr>
    </w:tbl>
    <w:p w14:paraId="379839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выполнении плана выпуска основных изделий завод в то же время выполнил и ряд непредусмотренных планом важных работ. В частности, в 1 кв. завод закончил и сдал 1 опытный самолет Ил-1 по заказу ГК С.В.И." (2480).</w:t>
      </w:r>
    </w:p>
    <w:p w14:paraId="65D8BEE9" w14:textId="77777777" w:rsidR="00C2313B" w:rsidRPr="00F90EAE" w:rsidRDefault="00C2313B" w:rsidP="00F90EAE">
      <w:pPr>
        <w:autoSpaceDE w:val="0"/>
        <w:autoSpaceDN w:val="0"/>
        <w:adjustRightInd w:val="0"/>
        <w:jc w:val="both"/>
        <w:rPr>
          <w:color w:val="000000" w:themeColor="text1"/>
          <w:sz w:val="16"/>
          <w:szCs w:val="16"/>
        </w:rPr>
      </w:pPr>
    </w:p>
    <w:p w14:paraId="4720E4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начала 1945 г. начали поступать со</w:t>
      </w:r>
      <w:r w:rsidRPr="00F90EAE">
        <w:rPr>
          <w:color w:val="000000" w:themeColor="text1"/>
          <w:sz w:val="16"/>
          <w:szCs w:val="16"/>
        </w:rPr>
        <w:softHyphen/>
        <w:t>общения о деформациях и даже срыве обшивки крыла Ил-10. Листы обшивки шли волнами, заклепки срезались или выры</w:t>
      </w:r>
      <w:r w:rsidRPr="00F90EAE">
        <w:rPr>
          <w:color w:val="000000" w:themeColor="text1"/>
          <w:sz w:val="16"/>
          <w:szCs w:val="16"/>
        </w:rPr>
        <w:softHyphen/>
        <w:t>вались при резком выходе из пикирова</w:t>
      </w:r>
      <w:r w:rsidRPr="00F90EAE">
        <w:rPr>
          <w:color w:val="000000" w:themeColor="text1"/>
          <w:sz w:val="16"/>
          <w:szCs w:val="16"/>
        </w:rPr>
        <w:softHyphen/>
        <w:t>ния. На некоторых машинах наблюда</w:t>
      </w:r>
      <w:r w:rsidRPr="00F90EAE">
        <w:rPr>
          <w:color w:val="000000" w:themeColor="text1"/>
          <w:sz w:val="16"/>
          <w:szCs w:val="16"/>
        </w:rPr>
        <w:softHyphen/>
        <w:t>лось отставание листов нижней обшив</w:t>
      </w:r>
      <w:r w:rsidRPr="00F90EAE">
        <w:rPr>
          <w:color w:val="000000" w:themeColor="text1"/>
          <w:sz w:val="16"/>
          <w:szCs w:val="16"/>
        </w:rPr>
        <w:softHyphen/>
        <w:t>ки центроплана. Это было связано с истребительным прошлым Ил-10. При переделке Ил-1 в штурмовик вес самолета увеличился и, кроме этого, в центроплане сделали вы</w:t>
      </w:r>
      <w:r w:rsidRPr="00F90EAE">
        <w:rPr>
          <w:color w:val="000000" w:themeColor="text1"/>
          <w:sz w:val="16"/>
          <w:szCs w:val="16"/>
        </w:rPr>
        <w:softHyphen/>
        <w:t>резы под бомболюки. В результате проч</w:t>
      </w:r>
      <w:r w:rsidRPr="00F90EAE">
        <w:rPr>
          <w:color w:val="000000" w:themeColor="text1"/>
          <w:sz w:val="16"/>
          <w:szCs w:val="16"/>
        </w:rPr>
        <w:softHyphen/>
        <w:t>ность крыла снизилась. ОКБ Ильюшина срочно занялось усилением конструк</w:t>
      </w:r>
      <w:r w:rsidRPr="00F90EAE">
        <w:rPr>
          <w:color w:val="000000" w:themeColor="text1"/>
          <w:sz w:val="16"/>
          <w:szCs w:val="16"/>
        </w:rPr>
        <w:softHyphen/>
        <w:t>ции. Уже с мая 1945 г. (с 9-й серии завода № 18) все машины стали выпускать</w:t>
      </w:r>
      <w:r w:rsidRPr="00F90EAE">
        <w:rPr>
          <w:color w:val="000000" w:themeColor="text1"/>
          <w:sz w:val="16"/>
          <w:szCs w:val="16"/>
        </w:rPr>
        <w:softHyphen/>
        <w:t>ся с доработанным крылом. В строевые части выехали специальные бригады для переделки штурмовиков на местах (10680).</w:t>
      </w:r>
    </w:p>
    <w:p w14:paraId="53DBDC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34A68A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вышел отчетный доклад завода 1 за 1944:</w:t>
      </w:r>
    </w:p>
    <w:p w14:paraId="742935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завод выпустил 3721 Ил-2 и Ил-10 при задании 3697.</w:t>
      </w:r>
    </w:p>
    <w:p w14:paraId="6BF13A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момента перебазирования на новую площадку по 1 января 1945 завод дал армии 19884 самолетов.</w:t>
      </w:r>
    </w:p>
    <w:p w14:paraId="204FDB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завод перешел с выпуска Ил-2 с деревянным крылом на выпуск этого самолета с металлическим крылом и в кратчайший срок освоил серийный выпуск цельнометаллического Ил-10." (2481).</w:t>
      </w:r>
    </w:p>
    <w:p w14:paraId="32B32320" w14:textId="77777777" w:rsidR="00C2313B" w:rsidRPr="00F90EAE" w:rsidRDefault="00C2313B" w:rsidP="00F90EAE">
      <w:pPr>
        <w:autoSpaceDE w:val="0"/>
        <w:autoSpaceDN w:val="0"/>
        <w:adjustRightInd w:val="0"/>
        <w:jc w:val="both"/>
        <w:rPr>
          <w:color w:val="000000" w:themeColor="text1"/>
          <w:sz w:val="16"/>
          <w:szCs w:val="16"/>
        </w:rPr>
      </w:pPr>
    </w:p>
    <w:p w14:paraId="1D575B0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начала 1945 г. начали посту</w:t>
      </w:r>
      <w:r w:rsidRPr="00F90EAE">
        <w:rPr>
          <w:color w:val="000000" w:themeColor="text1"/>
          <w:sz w:val="16"/>
          <w:szCs w:val="16"/>
        </w:rPr>
        <w:softHyphen/>
        <w:t>пать сообщения о деформациях и даже срыве обшивки крыла Ил-10. Листы обшивки шли волнами, заклепки срезались или вырывались при резком входе из пикирования. На некоторых машинах наблюдалось отставание листов нижней обшив</w:t>
      </w:r>
      <w:r w:rsidRPr="00F90EAE">
        <w:rPr>
          <w:color w:val="000000" w:themeColor="text1"/>
          <w:sz w:val="16"/>
          <w:szCs w:val="16"/>
        </w:rPr>
        <w:softHyphen/>
        <w:t>ки центроплана. Это было связано с истребитель</w:t>
      </w:r>
      <w:r w:rsidRPr="00F90EAE">
        <w:rPr>
          <w:color w:val="000000" w:themeColor="text1"/>
          <w:sz w:val="16"/>
          <w:szCs w:val="16"/>
        </w:rPr>
        <w:softHyphen/>
        <w:t>ным прошлым Ил-10, при передел</w:t>
      </w:r>
      <w:r w:rsidRPr="00F90EAE">
        <w:rPr>
          <w:color w:val="000000" w:themeColor="text1"/>
          <w:sz w:val="16"/>
          <w:szCs w:val="16"/>
        </w:rPr>
        <w:softHyphen/>
        <w:t>ке опытного бронированного истре</w:t>
      </w:r>
      <w:r w:rsidRPr="00F90EAE">
        <w:rPr>
          <w:color w:val="000000" w:themeColor="text1"/>
          <w:sz w:val="16"/>
          <w:szCs w:val="16"/>
        </w:rPr>
        <w:softHyphen/>
        <w:t>бителя Ил-1 в штурмовик вес само</w:t>
      </w:r>
      <w:r w:rsidRPr="00F90EAE">
        <w:rPr>
          <w:color w:val="000000" w:themeColor="text1"/>
          <w:sz w:val="16"/>
          <w:szCs w:val="16"/>
        </w:rPr>
        <w:softHyphen/>
        <w:t>лета увеличился и, кроме этого, в центроплане сделали вырезы под бомболкжи. В результате прочность крыла снизилась. ОКБ Ильюшина срочно занялось усилением конструкции. Уже с мая 1945 г. (с 9-й се</w:t>
      </w:r>
      <w:r w:rsidRPr="00F90EAE">
        <w:rPr>
          <w:color w:val="000000" w:themeColor="text1"/>
          <w:sz w:val="16"/>
          <w:szCs w:val="16"/>
        </w:rPr>
        <w:softHyphen/>
        <w:t>рии завода № 18) все машины стали выпускаться с доработанным кры</w:t>
      </w:r>
      <w:r w:rsidRPr="00F90EAE">
        <w:rPr>
          <w:color w:val="000000" w:themeColor="text1"/>
          <w:sz w:val="16"/>
          <w:szCs w:val="16"/>
        </w:rPr>
        <w:softHyphen/>
        <w:t>лом. В строевые части выехали спе</w:t>
      </w:r>
      <w:r w:rsidRPr="00F90EAE">
        <w:rPr>
          <w:color w:val="000000" w:themeColor="text1"/>
          <w:sz w:val="16"/>
          <w:szCs w:val="16"/>
        </w:rPr>
        <w:softHyphen/>
        <w:t>циальные бригады для переделки штурмовиков на местах (11132).</w:t>
      </w:r>
    </w:p>
    <w:p w14:paraId="3B4C75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3F25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вышел Технический отчет по опытному самолетостроению за 1944:</w:t>
      </w:r>
    </w:p>
    <w:p w14:paraId="348A0E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По штурмовикам:</w:t>
      </w:r>
    </w:p>
    <w:p w14:paraId="2F4AB0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Проектом плана основного задания на 1944 по штурмовикам было определено создание бронированного штурмовика со скоростью у земли около 500 км/час.</w:t>
      </w:r>
    </w:p>
    <w:p w14:paraId="5F71DBD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Это задание успешно выполнено. Уже в первой половине 1944 закончил гос. испытания и принят в серийное производство бронированный штурмовик Ил-10 с АМ-42, имеющий макс. скорость у земли 507 км/час, на высоте 551 км/час и вооруженный пушкой 20 мм для стрельбы назад, вместо пулемета 12.7 мм на серийном Ил-2.</w:t>
      </w:r>
    </w:p>
    <w:p w14:paraId="2E0AE6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выпущен также и закончил гос. испытания штурмовик Ил-8 с АМ-42 с усиленным бронированием и увеличенной на 400 кг бомбовой нагрузкой по сравнению с серийным штурмовиком Ил-2.</w:t>
      </w:r>
    </w:p>
    <w:p w14:paraId="7345F6D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 показал макс. скорость у земли 428 км/час и на высоте 471 км/час.</w:t>
      </w:r>
    </w:p>
    <w:p w14:paraId="5E1B1C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1944 выпущен улучшенный экз. этого самолета с расчетной макс. скоростью у земли 470 км/час и на высоте 2500 м - 510 км/час.</w:t>
      </w:r>
    </w:p>
    <w:p w14:paraId="512038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Выводы:</w:t>
      </w:r>
    </w:p>
    <w:p w14:paraId="5C2D31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совершен резкий скачек в деле серьезного улучшения ЛТД наших штурмовиков. Принятый в серию в 1944 штурмовик Ил-10 с АМ-42 полностью удовлетворяет всем требованиям и превосходит серийный штурмовик Ил-2 с АМ-38Ф по макс. скорости у земли больше, чем на 100 км/час, а на высоте почти на 150 км/час.</w:t>
      </w:r>
    </w:p>
    <w:p w14:paraId="4CD2E3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По бомбардировщикам</w:t>
      </w:r>
    </w:p>
    <w:p w14:paraId="516830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4-х моторным бомбардировщикам в 1944 в соответствии с проектом плана К А.Н.Т., С.В.И. В.М.М. и Незваль проведено предварительное проектирование и разработаны компоновочные схемы новых тяжелых 4-х моторных бомбардировщиков.</w:t>
      </w:r>
    </w:p>
    <w:p w14:paraId="251601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Выводы:</w:t>
      </w:r>
    </w:p>
    <w:p w14:paraId="5849AD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Работы по 4-х моторным бомбардировщикам в 1944 заключались лишь в выполнении предварительного проектирования и компоновочных схем.</w:t>
      </w:r>
    </w:p>
    <w:p w14:paraId="1D9A4E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Краткая характеристика состояния работ по основным объектам опытного самолетостроения:</w:t>
      </w:r>
    </w:p>
    <w:p w14:paraId="43B20D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240, ГК С.В.И.</w:t>
      </w:r>
    </w:p>
    <w:p w14:paraId="20C6CA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Бронированный штурмовик Ил-8 второй с АМ-42. Самолет прошел гос. испытания</w:t>
      </w:r>
    </w:p>
    <w:p w14:paraId="054166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Бронированный штурмовик Ил-10 с АМ-42. Самолет принят в серию</w:t>
      </w:r>
    </w:p>
    <w:p w14:paraId="390ED4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Самолет Ил-6 с 2хАЧ-30Б. Самолет закончил испытания.</w:t>
      </w:r>
    </w:p>
    <w:p w14:paraId="090A41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Транспортный самолет с 2хАЧ-30Б. Готовность самолета - 45%</w:t>
      </w:r>
    </w:p>
    <w:p w14:paraId="698117A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Подписал Шишкин - нач. 7 ГУ (1919,52).</w:t>
      </w:r>
    </w:p>
    <w:p w14:paraId="18748D27" w14:textId="77777777" w:rsidR="00C2313B" w:rsidRPr="00F90EAE" w:rsidRDefault="00C2313B" w:rsidP="00F90EAE">
      <w:pPr>
        <w:autoSpaceDE w:val="0"/>
        <w:autoSpaceDN w:val="0"/>
        <w:adjustRightInd w:val="0"/>
        <w:jc w:val="both"/>
        <w:rPr>
          <w:color w:val="000000" w:themeColor="text1"/>
          <w:sz w:val="16"/>
          <w:szCs w:val="16"/>
        </w:rPr>
      </w:pPr>
    </w:p>
    <w:p w14:paraId="4A57C8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В.К. Коккинаки совершил на Ил-16 первый полет. Но вскоре работы по самолету из-за недоведенности силовой установки, а также в свя</w:t>
      </w:r>
      <w:r w:rsidRPr="00F90EAE">
        <w:rPr>
          <w:color w:val="000000" w:themeColor="text1"/>
          <w:sz w:val="16"/>
          <w:szCs w:val="16"/>
        </w:rPr>
        <w:softHyphen/>
        <w:t>зи с окончанием войны и отсутствием четких взглядов на пути раз</w:t>
      </w:r>
      <w:r w:rsidRPr="00F90EAE">
        <w:rPr>
          <w:color w:val="000000" w:themeColor="text1"/>
          <w:sz w:val="16"/>
          <w:szCs w:val="16"/>
        </w:rPr>
        <w:softHyphen/>
        <w:t>вития штурмовиков по указанию Главкома ВВС были прекращены. Планировалось использовать этот мотор также и на послевоен</w:t>
      </w:r>
      <w:r w:rsidRPr="00F90EAE">
        <w:rPr>
          <w:color w:val="000000" w:themeColor="text1"/>
          <w:sz w:val="16"/>
          <w:szCs w:val="16"/>
        </w:rPr>
        <w:softHyphen/>
        <w:t>ных модификациях самолета Ил-10 вместо АМ-42, но этот замысел не был реализован из-за недоведенности мотора. В декабре 1945 г. проходил испытания только один экземпляр самолета Ил-10 с этим двигателем. Получили максимальную скорость у земли 540 км/ч, а на расчетной высоте 2200 м — 575 км/ч. (10781).</w:t>
      </w:r>
    </w:p>
    <w:p w14:paraId="24C0B85F" w14:textId="77777777" w:rsidR="00C2313B" w:rsidRPr="00F90EAE" w:rsidRDefault="00C2313B" w:rsidP="00F90EAE">
      <w:pPr>
        <w:autoSpaceDE w:val="0"/>
        <w:autoSpaceDN w:val="0"/>
        <w:adjustRightInd w:val="0"/>
        <w:jc w:val="both"/>
        <w:rPr>
          <w:color w:val="000000" w:themeColor="text1"/>
          <w:sz w:val="16"/>
          <w:szCs w:val="16"/>
        </w:rPr>
      </w:pPr>
    </w:p>
    <w:p w14:paraId="106DED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Постройка трех опытных образцов Ил-16 на заводе N 18 была завершена в начале 1945 Первый полет выполнил В.К.Коккинаки. Оказалось, что при такой мощности двигателя реактивный момент винта при коротком хвосте сильно сказывается на продольной устойчивости. Хвостовую часть удлинили на 500 мм и увеличили площадь вертикального оперения, поставили триммер.</w:t>
      </w:r>
    </w:p>
    <w:p w14:paraId="643586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Подготовка к серийному производству Ил-16 началась еще до проведения летных испытаний, так как считалось, что боевая эффективность машины, значительно превышающей Ил-10 по скорости и маневренности при сохранении оборонительного и наступательного вооружения и большей мощности двигателя, будет значительно выше.</w:t>
      </w:r>
    </w:p>
    <w:p w14:paraId="74695911" w14:textId="77777777" w:rsidR="00C2313B" w:rsidRPr="00F90EAE" w:rsidRDefault="00C2313B" w:rsidP="00F90EAE">
      <w:pPr>
        <w:autoSpaceDE w:val="0"/>
        <w:autoSpaceDN w:val="0"/>
        <w:adjustRightInd w:val="0"/>
        <w:jc w:val="both"/>
        <w:rPr>
          <w:color w:val="000000" w:themeColor="text1"/>
          <w:sz w:val="16"/>
          <w:szCs w:val="16"/>
        </w:rPr>
      </w:pPr>
    </w:p>
    <w:p w14:paraId="088AD0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были построены три опытных экземпляра скоростного бронированного штурмовика Ил-16 с АМ-43, затем началась постройка малой серии (25 экземпляров). Из-за недоведенности силовой установки, а также в связи с окончанием войны работы по Ил-16 были свернуты (9032). Планировалось использовать этот мотор также и на послевоенных модификациях самолета Ил-10 вместо АМ-42, но этот замысел не был реализован из-за недоведенности мотора (9032).</w:t>
      </w:r>
    </w:p>
    <w:p w14:paraId="506E5528" w14:textId="77777777" w:rsidR="00C2313B" w:rsidRPr="00F90EAE" w:rsidRDefault="00C2313B" w:rsidP="00F90EAE">
      <w:pPr>
        <w:autoSpaceDE w:val="0"/>
        <w:autoSpaceDN w:val="0"/>
        <w:adjustRightInd w:val="0"/>
        <w:jc w:val="both"/>
        <w:rPr>
          <w:color w:val="000000" w:themeColor="text1"/>
          <w:sz w:val="16"/>
          <w:szCs w:val="16"/>
        </w:rPr>
      </w:pPr>
    </w:p>
    <w:p w14:paraId="33C5CD6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1945-го серийный завод завершил постройку опытного Ил-16, летчик-испытатель В.К.Коккинаки совершил на нем первый полет. Летные испытания Ил-16 затянулись из-за недостатков двигателя М-43НВ, довести который до требуемого состояния не удалось.</w:t>
      </w:r>
    </w:p>
    <w:p w14:paraId="4664C0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Начало проектных работ по еще более скоростному и маневренному штурмовику Ил-16 облегченного типа определили Высокие летно-тактические данные штурмовика Ил-10, его способность вести активный воздушный бой с истребителями противника.</w:t>
      </w:r>
    </w:p>
    <w:p w14:paraId="223FAC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Штурмовик Ил-16 проектировался под новый двигатель жидкостного охлаждения М-43НВ взлетной мощностью 2300 л.с.</w:t>
      </w:r>
    </w:p>
    <w:p w14:paraId="7FC0B8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своей схеме, аэродинамической и конструктивной компоновке Ил-16 был практически одинаков с Ил-10, но имел несколько меньшие геометрические размеры и массу. В сочетании с более мощным двигателем это должно было обеспечить новому штурмовику максимальную расчетную скорость 625 км/ч. Летом 1946-го работы по Ил-16 прекратили (9523,5).</w:t>
      </w:r>
    </w:p>
    <w:p w14:paraId="1F767DC8" w14:textId="77777777" w:rsidR="00C2313B" w:rsidRPr="00F90EAE" w:rsidRDefault="00C2313B" w:rsidP="00F90EAE">
      <w:pPr>
        <w:autoSpaceDE w:val="0"/>
        <w:autoSpaceDN w:val="0"/>
        <w:adjustRightInd w:val="0"/>
        <w:jc w:val="both"/>
        <w:rPr>
          <w:color w:val="000000" w:themeColor="text1"/>
          <w:sz w:val="16"/>
          <w:szCs w:val="16"/>
        </w:rPr>
      </w:pPr>
    </w:p>
    <w:p w14:paraId="1FC41E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серийный завод завершил постройку опытного Ил-16, и летчик-испытатель В.К.Коккинаки совершил первый полет. Выяснилось, что при таком мощном моторе реактивный момент воздушного винта и короткий хвост сильно сказываются на продольной устойчивости. Для ее улучшения на 500 мм удлинили хвостовую часть фюзеляжа, увеличили площадь вертикального оперения, а на руле направления поставили триммер. Доработанный самолет стал более устойчив и лучше управляем. Тем не менее, летные испытания затянулись из-за недостатков М-43НВ. Довести двигатель до требуемого состояния не удалось, поэтому летом 1946 г. работы по Ил-16 прекратили (9528).</w:t>
      </w:r>
    </w:p>
    <w:p w14:paraId="41C47B81" w14:textId="77777777" w:rsidR="00C2313B" w:rsidRPr="00F90EAE" w:rsidRDefault="00C2313B" w:rsidP="00F90EAE">
      <w:pPr>
        <w:autoSpaceDE w:val="0"/>
        <w:autoSpaceDN w:val="0"/>
        <w:adjustRightInd w:val="0"/>
        <w:jc w:val="both"/>
        <w:rPr>
          <w:color w:val="000000" w:themeColor="text1"/>
          <w:sz w:val="16"/>
          <w:szCs w:val="16"/>
        </w:rPr>
      </w:pPr>
    </w:p>
    <w:p w14:paraId="29C2E1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64 завод в Воронеже начал сборку Ил-4 из готовых агрегатов (236,42).</w:t>
      </w:r>
    </w:p>
    <w:p w14:paraId="344FCD99" w14:textId="77777777" w:rsidR="00C2313B" w:rsidRPr="00F90EAE" w:rsidRDefault="00C2313B" w:rsidP="00F90EAE">
      <w:pPr>
        <w:autoSpaceDE w:val="0"/>
        <w:autoSpaceDN w:val="0"/>
        <w:adjustRightInd w:val="0"/>
        <w:jc w:val="both"/>
        <w:rPr>
          <w:color w:val="000000" w:themeColor="text1"/>
          <w:sz w:val="16"/>
          <w:szCs w:val="16"/>
        </w:rPr>
      </w:pPr>
    </w:p>
    <w:p w14:paraId="748F31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 выпущен Ер-2 с АЧ-30БФ (4,281).</w:t>
      </w:r>
    </w:p>
    <w:p w14:paraId="3473DA41" w14:textId="77777777" w:rsidR="00C2313B" w:rsidRPr="00F90EAE" w:rsidRDefault="00C2313B" w:rsidP="00F90EAE">
      <w:pPr>
        <w:autoSpaceDE w:val="0"/>
        <w:autoSpaceDN w:val="0"/>
        <w:adjustRightInd w:val="0"/>
        <w:jc w:val="both"/>
        <w:rPr>
          <w:color w:val="000000" w:themeColor="text1"/>
          <w:sz w:val="16"/>
          <w:szCs w:val="16"/>
        </w:rPr>
      </w:pPr>
    </w:p>
    <w:p w14:paraId="5B88CB4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ОКБ А.Н.Т. подготовило проект еще одного фронтового скоростного бомбардировщика - модификацию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9EA35B6" w14:textId="77777777" w:rsidR="00C2313B" w:rsidRPr="00F90EAE" w:rsidRDefault="00C2313B" w:rsidP="00F90EAE">
      <w:pPr>
        <w:autoSpaceDE w:val="0"/>
        <w:autoSpaceDN w:val="0"/>
        <w:adjustRightInd w:val="0"/>
        <w:jc w:val="both"/>
        <w:rPr>
          <w:color w:val="000000" w:themeColor="text1"/>
          <w:sz w:val="16"/>
          <w:szCs w:val="16"/>
        </w:rPr>
      </w:pPr>
    </w:p>
    <w:p w14:paraId="191B4A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А.Н.Т. получил задание на новый 4 моторный бомбардировщик - самолет 64 (4,384).</w:t>
      </w:r>
    </w:p>
    <w:p w14:paraId="46FF4FBB" w14:textId="77777777" w:rsidR="00C2313B" w:rsidRPr="00F90EAE" w:rsidRDefault="00C2313B" w:rsidP="00F90EAE">
      <w:pPr>
        <w:autoSpaceDE w:val="0"/>
        <w:autoSpaceDN w:val="0"/>
        <w:adjustRightInd w:val="0"/>
        <w:jc w:val="both"/>
        <w:rPr>
          <w:color w:val="000000" w:themeColor="text1"/>
          <w:sz w:val="16"/>
          <w:szCs w:val="16"/>
        </w:rPr>
      </w:pPr>
    </w:p>
    <w:p w14:paraId="4BA2A3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прекратили производство последних модификаций Пе-8 (2494,8).</w:t>
      </w:r>
    </w:p>
    <w:p w14:paraId="395DEB27" w14:textId="77777777" w:rsidR="00C2313B" w:rsidRPr="00F90EAE" w:rsidRDefault="00C2313B" w:rsidP="00F90EAE">
      <w:pPr>
        <w:autoSpaceDE w:val="0"/>
        <w:autoSpaceDN w:val="0"/>
        <w:adjustRightInd w:val="0"/>
        <w:jc w:val="both"/>
        <w:rPr>
          <w:color w:val="000000" w:themeColor="text1"/>
          <w:sz w:val="16"/>
          <w:szCs w:val="16"/>
        </w:rPr>
      </w:pPr>
    </w:p>
    <w:p w14:paraId="6312F8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прекратили производство Пе-8 (ТБ-7), а до этого строили 3-4 в месяц (556,160).</w:t>
      </w:r>
    </w:p>
    <w:p w14:paraId="69CBB613" w14:textId="77777777" w:rsidR="00C2313B" w:rsidRPr="00F90EAE" w:rsidRDefault="00C2313B" w:rsidP="00F90EAE">
      <w:pPr>
        <w:autoSpaceDE w:val="0"/>
        <w:autoSpaceDN w:val="0"/>
        <w:adjustRightInd w:val="0"/>
        <w:jc w:val="both"/>
        <w:rPr>
          <w:color w:val="000000" w:themeColor="text1"/>
          <w:sz w:val="16"/>
          <w:szCs w:val="16"/>
        </w:rPr>
      </w:pPr>
    </w:p>
    <w:p w14:paraId="4714E1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были предложения реанимировать серийное производство Пе-8, судя по всему в модернизированном варианте, но это предложение было отвергнуто в самом начале. Под влиянием предложений авиапрома и военных (например, письмо в НКАП В.М.Мясищева и "представления" В-29 Сталину Головановым) Сталин принимает историческое для нашей авиации решение - копировать В-29 на основе нескольких машин, интернированных СССР на Дальнем Востоке (7685).</w:t>
      </w:r>
    </w:p>
    <w:p w14:paraId="071CBDBB" w14:textId="77777777" w:rsidR="00C2313B" w:rsidRPr="00F90EAE" w:rsidRDefault="00C2313B" w:rsidP="00F90EAE">
      <w:pPr>
        <w:autoSpaceDE w:val="0"/>
        <w:autoSpaceDN w:val="0"/>
        <w:adjustRightInd w:val="0"/>
        <w:jc w:val="both"/>
        <w:rPr>
          <w:color w:val="000000" w:themeColor="text1"/>
          <w:sz w:val="16"/>
          <w:szCs w:val="16"/>
        </w:rPr>
      </w:pPr>
    </w:p>
    <w:p w14:paraId="74A75F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из самолетов Пе-8 4М-82 был переоборудован в самолет-носитель для испытаний челомеевских самолетов-снарядов серии "Х"(10Х, 14Х, 16Х), проектировавшихся на базе немецких ФАУ-1 (7685).</w:t>
      </w:r>
    </w:p>
    <w:p w14:paraId="5409ECBB" w14:textId="77777777" w:rsidR="00C2313B" w:rsidRPr="00F90EAE" w:rsidRDefault="00C2313B" w:rsidP="00F90EAE">
      <w:pPr>
        <w:autoSpaceDE w:val="0"/>
        <w:autoSpaceDN w:val="0"/>
        <w:adjustRightInd w:val="0"/>
        <w:jc w:val="both"/>
        <w:rPr>
          <w:color w:val="000000" w:themeColor="text1"/>
          <w:sz w:val="16"/>
          <w:szCs w:val="16"/>
        </w:rPr>
      </w:pPr>
    </w:p>
    <w:p w14:paraId="1BCB9E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один Пе-8 с М-82 переоборудовали в носитель самолётов-снарядов (крылатых ракет) 10Х, 14Х и 16Х. В марте того же года в Средней Азии их сбрасывали и запускали с этого самолёта.</w:t>
      </w:r>
    </w:p>
    <w:p w14:paraId="6D8B47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Другой Пе-8, с моторами М-82, в ЛИИ превратили в носитель опытного ракетного самолёта "5" конструкции М.Р. Бисновата. Полёты по программе его испытаний выполнялись в 1948 - 1949 гг.</w:t>
      </w:r>
    </w:p>
    <w:p w14:paraId="1353ED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Уже после снятия Пе-8 с производства проводилось переоборудование машин в летающие лаборатории. К Незвалю обратился начальник НИИ ВВС генерал П.А. Лосюков с просьбой переделать серийный Пе-8 с моторами АМ-35А в летающую лабораторию для испытаний АШ-82ФН. Последний устанавливался в носовой части фюзеляжа вместо кабины штурмана. Переделку осуществляли мастерские НИИ ВВС (11996).</w:t>
      </w:r>
    </w:p>
    <w:p w14:paraId="15C73DD8" w14:textId="77777777" w:rsidR="00C2313B" w:rsidRPr="00F90EAE" w:rsidRDefault="00C2313B" w:rsidP="00F90EAE">
      <w:pPr>
        <w:autoSpaceDE w:val="0"/>
        <w:autoSpaceDN w:val="0"/>
        <w:adjustRightInd w:val="0"/>
        <w:jc w:val="both"/>
        <w:rPr>
          <w:color w:val="000000" w:themeColor="text1"/>
          <w:sz w:val="16"/>
          <w:szCs w:val="16"/>
        </w:rPr>
      </w:pPr>
    </w:p>
    <w:p w14:paraId="179C4E8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 отказались и решили делать правительственные машины на основе доработки обычных серийных машин. С осени 1944 по начало 1945 в бригаде Б.М.Кондорского КБ А.Н.Т. прорабатывался пассажирский самолет для спецперевозок MN и было рассмотрено около 10 вариантов (2546,36).</w:t>
      </w:r>
    </w:p>
    <w:p w14:paraId="627C65D4" w14:textId="77777777" w:rsidR="00C2313B" w:rsidRPr="00F90EAE" w:rsidRDefault="00C2313B" w:rsidP="00F90EAE">
      <w:pPr>
        <w:autoSpaceDE w:val="0"/>
        <w:autoSpaceDN w:val="0"/>
        <w:adjustRightInd w:val="0"/>
        <w:jc w:val="both"/>
        <w:rPr>
          <w:color w:val="000000" w:themeColor="text1"/>
          <w:sz w:val="16"/>
          <w:szCs w:val="16"/>
        </w:rPr>
      </w:pPr>
    </w:p>
    <w:p w14:paraId="595B74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М.Л. Миль, впоследствии известный конструктор вертолетов, предложил для улучшения маневренности истребителя использовать посадочные шитки. В марте машина прошла исследования в ЛИИ, показавшие, что время виража на высоте 1000 м сокращалось на 1,5-2,5 секунды, а на высоте 4000 м - на 2,5- 3,5 секунды. При этом радиус виража уменьшался на 15-20 м и 50-60 м соответственно. Было предложено использовать идею на самолетах Ла-7, выпускавшихся заводом № 381. Война уже шла к концу, предложение так и осталось не внедренным, но не потеряло своей актуальности и по сей день (12032).</w:t>
      </w:r>
    </w:p>
    <w:p w14:paraId="248B3740" w14:textId="77777777" w:rsidR="00C2313B" w:rsidRPr="00F90EAE" w:rsidRDefault="00C2313B" w:rsidP="00F90EAE">
      <w:pPr>
        <w:autoSpaceDE w:val="0"/>
        <w:autoSpaceDN w:val="0"/>
        <w:adjustRightInd w:val="0"/>
        <w:jc w:val="both"/>
        <w:rPr>
          <w:color w:val="000000" w:themeColor="text1"/>
          <w:sz w:val="16"/>
          <w:szCs w:val="16"/>
        </w:rPr>
      </w:pPr>
    </w:p>
    <w:p w14:paraId="05AD8E8E" w14:textId="77777777" w:rsidR="00B6122E" w:rsidRPr="00F90EAE" w:rsidRDefault="00B6122E" w:rsidP="00F90EAE">
      <w:pPr>
        <w:jc w:val="both"/>
        <w:rPr>
          <w:color w:val="0070C0"/>
          <w:sz w:val="16"/>
          <w:szCs w:val="16"/>
        </w:rPr>
      </w:pPr>
      <w:r w:rsidRPr="00F90EAE">
        <w:rPr>
          <w:color w:val="0070C0"/>
          <w:sz w:val="16"/>
          <w:szCs w:val="16"/>
        </w:rPr>
        <w:t>С начала 1945 г. самолеты Ла-7 стали комплектоваться радиополукомпасами РПКО-10, а со второго полугодия — и ответчиками «свой-чужой» СЧ-3, которые выдавали сигнал опознавания наземным радиолокаторам с приставкой-запросчиком. Истребитель Лавочкина стал первой советской машиной, которая получила такое оборудование штатно в ходе производства, а не в порядке доработки единичных машин или отдельных серий по спецзаказам. К лету 1945-го процент Ла-7, оснащенных РПКО-10 и СЧ-3, был выше, чем аналогичных истребителей Яковлева. Но антенна СЧ-3 была расположена так, что летчик, прыгая с парашютом, мог удариться об нее. Специалистами НИИ ВВС в сентябре 1945 г. была разработана внутрифюзеляжная антенна ответчика (22769).</w:t>
      </w:r>
    </w:p>
    <w:p w14:paraId="6E428CDD" w14:textId="77777777" w:rsidR="00B6122E" w:rsidRPr="00F90EAE" w:rsidRDefault="00B6122E" w:rsidP="00F90EAE">
      <w:pPr>
        <w:jc w:val="both"/>
        <w:rPr>
          <w:color w:val="0070C0"/>
          <w:sz w:val="16"/>
          <w:szCs w:val="16"/>
        </w:rPr>
      </w:pPr>
    </w:p>
    <w:p w14:paraId="0BD35F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ХАЗ получил правительственное задание переделать уже готовые истребители Як-9М в истребители-бомбардировщики. Ремонт и выпуск Як-9 всех модификаций шел, не прекращаясь, до самого последнего дня войны (10674).</w:t>
      </w:r>
    </w:p>
    <w:p w14:paraId="470675A0" w14:textId="77777777" w:rsidR="00C2313B" w:rsidRPr="00F90EAE" w:rsidRDefault="00C2313B" w:rsidP="00F90EAE">
      <w:pPr>
        <w:autoSpaceDE w:val="0"/>
        <w:autoSpaceDN w:val="0"/>
        <w:adjustRightInd w:val="0"/>
        <w:jc w:val="both"/>
        <w:rPr>
          <w:color w:val="000000" w:themeColor="text1"/>
          <w:sz w:val="16"/>
          <w:szCs w:val="16"/>
        </w:rPr>
      </w:pPr>
    </w:p>
    <w:p w14:paraId="5DDB52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года А.С.Яковлев вновь взялся за установ</w:t>
      </w:r>
      <w:r w:rsidRPr="00F90EAE">
        <w:rPr>
          <w:color w:val="000000" w:themeColor="text1"/>
          <w:sz w:val="16"/>
          <w:szCs w:val="16"/>
        </w:rPr>
        <w:softHyphen/>
        <w:t>ку АШ-82ФН на свой самолет, те</w:t>
      </w:r>
      <w:r w:rsidRPr="00F90EAE">
        <w:rPr>
          <w:color w:val="000000" w:themeColor="text1"/>
          <w:sz w:val="16"/>
          <w:szCs w:val="16"/>
        </w:rPr>
        <w:softHyphen/>
        <w:t>перь уже Як-3. К апрелю Як-ЗУ с этим мотором был построен, но опоздал -война закончилась, и самолет остал</w:t>
      </w:r>
      <w:r w:rsidRPr="00F90EAE">
        <w:rPr>
          <w:color w:val="000000" w:themeColor="text1"/>
          <w:sz w:val="16"/>
          <w:szCs w:val="16"/>
        </w:rPr>
        <w:softHyphen/>
        <w:t>ся не у дел (10714).</w:t>
      </w:r>
    </w:p>
    <w:p w14:paraId="41ECFE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99888AE" w14:textId="77777777" w:rsidR="00B6122E" w:rsidRPr="00F90EAE" w:rsidRDefault="00B6122E" w:rsidP="00F90EAE">
      <w:pPr>
        <w:jc w:val="both"/>
        <w:rPr>
          <w:color w:val="0070C0"/>
          <w:sz w:val="16"/>
          <w:szCs w:val="16"/>
        </w:rPr>
      </w:pPr>
      <w:r w:rsidRPr="00F90EAE">
        <w:rPr>
          <w:color w:val="0070C0"/>
          <w:sz w:val="16"/>
          <w:szCs w:val="16"/>
        </w:rPr>
        <w:t>В начале 1945 Як-3 № 1630 выпуска завода № 292 «провалил» контрольные испытания. Такие машины старались не давать на фронт, а использовать для различных опытных работ или в запасных полках для тренировки пилотов (22751).</w:t>
      </w:r>
    </w:p>
    <w:p w14:paraId="1BC06D54" w14:textId="77777777" w:rsidR="00B6122E" w:rsidRPr="00F90EAE" w:rsidRDefault="00B6122E" w:rsidP="00F90EAE">
      <w:pPr>
        <w:jc w:val="both"/>
        <w:rPr>
          <w:color w:val="0070C0"/>
          <w:sz w:val="16"/>
          <w:szCs w:val="16"/>
        </w:rPr>
      </w:pPr>
    </w:p>
    <w:p w14:paraId="3BE04F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завод получил новое задание подготовиться к выпуску новой машины ЯК-3 с мотором ВК-107А с металлическими крыльями (директор Саладзе).</w:t>
      </w:r>
    </w:p>
    <w:p w14:paraId="276444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Ввиду того. Что самолет ЯК-3 с ВК-107А не был доработан оказалось много конструктивных недостатков, приходилось несколько раз переделывать агрегаты, а иногда браковать готовые изделия.</w:t>
      </w:r>
    </w:p>
    <w:p w14:paraId="4CB4EC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от 12 сентября 1946 года за № 2049-846 заводу было дано новое задание: сдать до 20-го октября 1946 года 15 самолетов ЯК-15 с реактивными двигателями (директор Саладзе). С 1 января 1947 года завод полностью переключился на серийный выпуск самолетов ЯК-15 с реактивным двигателем РД-10.</w:t>
      </w:r>
    </w:p>
    <w:p w14:paraId="53E9562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СМ за № 3284-1071с от 17 сентября 1947 года дается новое задание по выпуску 2-х местных учебно-тренировочных истребителей ЯК-17 с реактивным двигателем РД-10 (директор Саладзе), серийный выпуск которых заводом был налажен в кратчайший срок, а производство самолетов ЯК-15 прекращено. В марте 1948 года по постановлению СМ за № 878-220с завод приступает к запуску в производство истребителей ЯК-17 боевой с реактивным двигателем РД-10 (директор Саладзе, а с июля 1948 года директором назначен Хведилиани Я.Р.), а выпускаемый заводом учебно-тренировочный истребитель получает наименование УТИ ЯК-17.</w:t>
      </w:r>
    </w:p>
    <w:p w14:paraId="399A3E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Постепенно самолет УТИ ЯК-17 с производства снимается и завод полностью переключается на выпуск боевых машин ЯК-17 боевой. В декабре 1948 года завод получает новое правительственное задание начать выпуск самолета ЯК-23 с двигателем РД-500 (директор Хведелиани). В июле 1949 года завод получает новое Правительственное задание приступить к выпуску одноместных боевых реактивных истребителей МИГ-15. Однако в дальнейшем завод получил распоряжение запуск машины МИГ-15 прекратить и продолжить выпуск самолетов ЯК-23, которые завод выпускал до конца 1950 года. В начале 1951 года завод получает распоряжение Правительства прекратить производство самолетов ЯК-23 и приступить к запуску самолетов МИГ-15бис (директор Хведелиани).</w:t>
      </w:r>
    </w:p>
    <w:p w14:paraId="6D6260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СМ за № 3143-1481сс от 25 августа 1951 года и приказа МАП за № 851сс от 1 сентября 1951 года, завод получает задание подготовиться к выпуску нового самолета МИГ-17 и обеспечить его выпуск с декабря 1952 года.</w:t>
      </w:r>
    </w:p>
    <w:p w14:paraId="721D65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завода Хведелиани</w:t>
      </w:r>
    </w:p>
    <w:p w14:paraId="6CC1EB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Тбилиси, п/я 51</w:t>
      </w:r>
    </w:p>
    <w:p w14:paraId="66817B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июля 1956 года завод приступил к освоению нового самолета МИГ-21 (9821).</w:t>
      </w:r>
    </w:p>
    <w:p w14:paraId="1074B30B" w14:textId="77777777" w:rsidR="00C2313B" w:rsidRPr="00F90EAE" w:rsidRDefault="00C2313B" w:rsidP="00F90EAE">
      <w:pPr>
        <w:autoSpaceDE w:val="0"/>
        <w:autoSpaceDN w:val="0"/>
        <w:adjustRightInd w:val="0"/>
        <w:jc w:val="both"/>
        <w:rPr>
          <w:color w:val="000000" w:themeColor="text1"/>
          <w:sz w:val="16"/>
          <w:szCs w:val="16"/>
        </w:rPr>
      </w:pPr>
    </w:p>
    <w:p w14:paraId="68055501" w14:textId="77777777" w:rsidR="000C332D" w:rsidRPr="00F90EAE" w:rsidRDefault="000C332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начале 1945 г. на 1-й ремонт</w:t>
      </w:r>
      <w:r w:rsidRPr="00F90EAE">
        <w:rPr>
          <w:rFonts w:ascii="Times New Roman" w:cs="Times New Roman"/>
          <w:color w:val="000000" w:themeColor="text1"/>
          <w:spacing w:val="0"/>
        </w:rPr>
        <w:softHyphen/>
        <w:t>ной базе 13-й воздушной армии передела</w:t>
      </w:r>
      <w:r w:rsidRPr="00F90EAE">
        <w:rPr>
          <w:rFonts w:ascii="Times New Roman" w:cs="Times New Roman"/>
          <w:color w:val="000000" w:themeColor="text1"/>
          <w:spacing w:val="0"/>
        </w:rPr>
        <w:softHyphen/>
        <w:t>ли Як-9 с мотором ВК-105ПФ в двухместный учебно-трениро-вочный самолёт. Машина, названная Як-9В («вывозной»), отличалась наличием места для инструктора и двой</w:t>
      </w:r>
      <w:r w:rsidRPr="00F90EAE">
        <w:rPr>
          <w:rFonts w:ascii="Times New Roman" w:cs="Times New Roman"/>
          <w:color w:val="000000" w:themeColor="text1"/>
          <w:spacing w:val="0"/>
        </w:rPr>
        <w:softHyphen/>
        <w:t>ным управлением. На ней имелся приёмник РСИ-4А, связанный с СПУ, а вооружение от</w:t>
      </w:r>
      <w:r w:rsidRPr="00F90EAE">
        <w:rPr>
          <w:rFonts w:ascii="Times New Roman" w:cs="Times New Roman"/>
          <w:color w:val="000000" w:themeColor="text1"/>
          <w:spacing w:val="0"/>
        </w:rPr>
        <w:softHyphen/>
        <w:t>сутствовало. В марте того же года самолёт испытали в НИИ ВВС и рекомендовали для обучения и тренировки лётного состава при условии проведения статических испытаний и устранения выявленных дефектов.</w:t>
      </w:r>
    </w:p>
    <w:p w14:paraId="2F9B076B" w14:textId="77777777" w:rsidR="000C332D" w:rsidRPr="00F90EAE" w:rsidRDefault="000C332D" w:rsidP="00F90EAE">
      <w:pPr>
        <w:jc w:val="both"/>
        <w:rPr>
          <w:color w:val="000000" w:themeColor="text1"/>
          <w:sz w:val="16"/>
          <w:szCs w:val="16"/>
        </w:rPr>
      </w:pPr>
      <w:r w:rsidRPr="00F90EAE">
        <w:rPr>
          <w:color w:val="000000" w:themeColor="text1"/>
          <w:sz w:val="16"/>
          <w:szCs w:val="16"/>
        </w:rPr>
        <w:t>Но этого не сделали, зато сходным обра</w:t>
      </w:r>
      <w:r w:rsidRPr="00F90EAE">
        <w:rPr>
          <w:color w:val="000000" w:themeColor="text1"/>
          <w:sz w:val="16"/>
          <w:szCs w:val="16"/>
        </w:rPr>
        <w:softHyphen/>
        <w:t>зом модифицировали Як-9Т, построенный заводом № 153. Кабину обучаемого смес</w:t>
      </w:r>
      <w:r w:rsidRPr="00F90EAE">
        <w:rPr>
          <w:color w:val="000000" w:themeColor="text1"/>
          <w:sz w:val="16"/>
          <w:szCs w:val="16"/>
        </w:rPr>
        <w:softHyphen/>
        <w:t>тили вперёд на 400 мм, а между 2-й и 3-й рамами фюзеляжа разместили инструктора. Обе кабины закрывались общим фонарём с механизмом аварийного сброса. Бронеспин</w:t>
      </w:r>
      <w:r w:rsidRPr="00F90EAE">
        <w:rPr>
          <w:color w:val="000000" w:themeColor="text1"/>
          <w:sz w:val="16"/>
          <w:szCs w:val="16"/>
        </w:rPr>
        <w:softHyphen/>
        <w:t>ки заменили фанерными. Объём маслобака уменьшили до 51 л, а с бензобаков сняли протекторы и систему нейтрального газа. Радиостанцию и кислородное оборудование демонтировали.</w:t>
      </w:r>
    </w:p>
    <w:p w14:paraId="6978579B" w14:textId="77777777" w:rsidR="000C332D" w:rsidRPr="00F90EAE" w:rsidRDefault="000C332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задней кабине разместили ручное и ножное управление рулями и элеронами, управление тормозами (при этом инструк</w:t>
      </w:r>
      <w:r w:rsidRPr="00F90EAE">
        <w:rPr>
          <w:rFonts w:ascii="Times New Roman" w:cs="Times New Roman"/>
          <w:color w:val="000000" w:themeColor="text1"/>
          <w:spacing w:val="0"/>
        </w:rPr>
        <w:softHyphen/>
        <w:t>тор кнопкой мог выключить управление ими из передней кабины), сектора газа и управления шагом винта, переключатель магнето, две осветительные лампы и при</w:t>
      </w:r>
      <w:r w:rsidRPr="00F90EAE">
        <w:rPr>
          <w:rFonts w:ascii="Times New Roman" w:cs="Times New Roman"/>
          <w:color w:val="000000" w:themeColor="text1"/>
          <w:spacing w:val="0"/>
        </w:rPr>
        <w:softHyphen/>
        <w:t>борную доску. Пушку НС-37 и пулемёт УБС заменили на одну МП-20 с боезапасом 90 патронов.</w:t>
      </w:r>
    </w:p>
    <w:p w14:paraId="48C5B6F1" w14:textId="77777777" w:rsidR="000C332D" w:rsidRPr="00F90EAE" w:rsidRDefault="000C332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lastRenderedPageBreak/>
        <w:t>Этот самолёт тоже проходил испытания. Из-за недостаточного объёма оборудования и неудобства задней кабины Як-9В не ре</w:t>
      </w:r>
      <w:r w:rsidRPr="00F90EAE">
        <w:rPr>
          <w:rFonts w:ascii="Times New Roman" w:cs="Times New Roman"/>
          <w:color w:val="000000" w:themeColor="text1"/>
          <w:spacing w:val="0"/>
        </w:rPr>
        <w:softHyphen/>
        <w:t>комендовали для использования в лётных школах и запасных полках. Тем не менее, его запустили в серию, поскольку по технике пилотирования он ничем не отличался от серийных машин с мотором ВК-105ПФ (19103).</w:t>
      </w:r>
    </w:p>
    <w:p w14:paraId="64080906" w14:textId="77777777" w:rsidR="000C332D" w:rsidRPr="00F90EAE" w:rsidRDefault="000C332D" w:rsidP="00F90EAE">
      <w:pPr>
        <w:pStyle w:val="27"/>
        <w:shd w:val="clear" w:color="auto" w:fill="auto"/>
        <w:spacing w:after="0" w:line="240" w:lineRule="auto"/>
        <w:ind w:firstLine="0"/>
        <w:rPr>
          <w:rFonts w:ascii="Times New Roman" w:cs="Times New Roman"/>
          <w:color w:val="000000" w:themeColor="text1"/>
          <w:spacing w:val="0"/>
        </w:rPr>
      </w:pPr>
    </w:p>
    <w:p w14:paraId="234F24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наркомат авиапромышленности утвердил план первого квартала, в котором ОКБ П.О. Сухого поручалось создание реактивного истребителя к 1 марта 1946 г. Однако впоследствии тема была исключена из плана из-за отсутствия летного образца двигателя С-18 конструкции А.М. Люлька. Эти обстоятельства вынудили проектировщиков переориентироваться на трофейный двигатель Jumo 004. В октябре 1945 г. эскизный проект двухмоторного самолета, получивший в ОКБ шифр "Л", был утвержден.</w:t>
      </w:r>
    </w:p>
    <w:p w14:paraId="2E31EC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Машина предназначалась для ведения активного воздушного боя с истребителями и бомбардировщиками противника в прифронтовой зоне и представляла собой цельнометаллический среднеплан с трехколесным убирающимся в полете шасси. Вооружение состояло из пушки калибра 37 мм с боезапасом 45 снарядов и двух пушек калибра 20 мм с суммарным боекомплектом 300 патронов.</w:t>
      </w:r>
    </w:p>
    <w:p w14:paraId="4C4815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выводах заключения по эскизному проекту указывалось, что проект "…представляет интерес для ВВС КА..."</w:t>
      </w:r>
    </w:p>
    <w:p w14:paraId="045E317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утверждении заключения главный инженер ВВС КА генерал-полковник ИАС А.К. Репин отметил, что "Конструкция истребителя должна позволять установку двигателей ЮМО с тягой до 1200 кг" (11179).</w:t>
      </w:r>
    </w:p>
    <w:p w14:paraId="2C9C1306" w14:textId="77777777" w:rsidR="00C2313B" w:rsidRPr="00F90EAE" w:rsidRDefault="00C2313B" w:rsidP="00F90EAE">
      <w:pPr>
        <w:autoSpaceDE w:val="0"/>
        <w:autoSpaceDN w:val="0"/>
        <w:adjustRightInd w:val="0"/>
        <w:jc w:val="both"/>
        <w:rPr>
          <w:color w:val="000000" w:themeColor="text1"/>
          <w:sz w:val="16"/>
          <w:szCs w:val="16"/>
        </w:rPr>
      </w:pPr>
    </w:p>
    <w:p w14:paraId="7A9285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начале 1945 г. УГУ НКАП СССР утвердило план </w:t>
      </w:r>
      <w:r w:rsidRPr="00F90EAE">
        <w:rPr>
          <w:color w:val="000000" w:themeColor="text1"/>
          <w:sz w:val="16"/>
          <w:szCs w:val="16"/>
          <w:lang w:val="en-US"/>
        </w:rPr>
        <w:t>I</w:t>
      </w:r>
      <w:r w:rsidRPr="00F90EAE">
        <w:rPr>
          <w:color w:val="000000" w:themeColor="text1"/>
          <w:sz w:val="16"/>
          <w:szCs w:val="16"/>
        </w:rPr>
        <w:t xml:space="preserve"> квартала со сроком завершения работ по реактивному истребителю к 1 марта 1946 г., но во </w:t>
      </w:r>
      <w:r w:rsidRPr="00F90EAE">
        <w:rPr>
          <w:color w:val="000000" w:themeColor="text1"/>
          <w:sz w:val="16"/>
          <w:szCs w:val="16"/>
          <w:lang w:val="en-US"/>
        </w:rPr>
        <w:t>II</w:t>
      </w:r>
      <w:r w:rsidRPr="00F90EAE">
        <w:rPr>
          <w:color w:val="000000" w:themeColor="text1"/>
          <w:sz w:val="16"/>
          <w:szCs w:val="16"/>
        </w:rPr>
        <w:t xml:space="preserve"> и </w:t>
      </w:r>
      <w:r w:rsidRPr="00F90EAE">
        <w:rPr>
          <w:color w:val="000000" w:themeColor="text1"/>
          <w:sz w:val="16"/>
          <w:szCs w:val="16"/>
          <w:lang w:val="en-US"/>
        </w:rPr>
        <w:t>III</w:t>
      </w:r>
      <w:r w:rsidRPr="00F90EAE">
        <w:rPr>
          <w:color w:val="000000" w:themeColor="text1"/>
          <w:sz w:val="16"/>
          <w:szCs w:val="16"/>
        </w:rPr>
        <w:t xml:space="preserve"> кварталах тему иск</w:t>
      </w:r>
      <w:r w:rsidRPr="00F90EAE">
        <w:rPr>
          <w:color w:val="000000" w:themeColor="text1"/>
          <w:sz w:val="16"/>
          <w:szCs w:val="16"/>
        </w:rPr>
        <w:softHyphen/>
        <w:t>лючили из плана, и работа по ней опять перешла в разряд инициативных. К тому же от</w:t>
      </w:r>
      <w:r w:rsidRPr="00F90EAE">
        <w:rPr>
          <w:color w:val="000000" w:themeColor="text1"/>
          <w:sz w:val="16"/>
          <w:szCs w:val="16"/>
        </w:rPr>
        <w:softHyphen/>
        <w:t>сутствие лётного образца двигателя С-18 вынудило проектировщиков использовать трофейный иито-004 (11696).</w:t>
      </w:r>
    </w:p>
    <w:p w14:paraId="621956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1107B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были выпущены рабочие чертежи Ил-14 (первого самолета под таким обозначением), предназначавшегося для замены самолета Ил-4 и способного превысить скорость 700 км/ч, а затем, в соответствии с планом опытного строительства НКАП на 1945 г., началась постройка опытной машины (9528).</w:t>
      </w:r>
    </w:p>
    <w:p w14:paraId="70683BEE" w14:textId="77777777" w:rsidR="00C2313B" w:rsidRPr="00F90EAE" w:rsidRDefault="00C2313B" w:rsidP="00F90EAE">
      <w:pPr>
        <w:autoSpaceDE w:val="0"/>
        <w:autoSpaceDN w:val="0"/>
        <w:adjustRightInd w:val="0"/>
        <w:jc w:val="both"/>
        <w:rPr>
          <w:color w:val="000000" w:themeColor="text1"/>
          <w:sz w:val="16"/>
          <w:szCs w:val="16"/>
        </w:rPr>
      </w:pPr>
    </w:p>
    <w:p w14:paraId="69D008BA" w14:textId="77777777" w:rsidR="006C4B00" w:rsidRPr="00F90EAE" w:rsidRDefault="006C4B00" w:rsidP="00F90EAE">
      <w:pPr>
        <w:jc w:val="both"/>
        <w:rPr>
          <w:color w:val="000000" w:themeColor="text1"/>
          <w:sz w:val="16"/>
          <w:szCs w:val="16"/>
        </w:rPr>
      </w:pPr>
      <w:r w:rsidRPr="00F90EAE">
        <w:rPr>
          <w:color w:val="000000" w:themeColor="text1"/>
          <w:sz w:val="16"/>
          <w:szCs w:val="16"/>
        </w:rPr>
        <w:t>В начале 1945 г. в трубе Т-101 продули опытный самолет Ла-7л, крыло которого имело оптимальную форму в плане (19727).</w:t>
      </w:r>
    </w:p>
    <w:p w14:paraId="6CEBC945" w14:textId="77777777" w:rsidR="006C4B00" w:rsidRPr="00F90EAE" w:rsidRDefault="006C4B00" w:rsidP="00F90EAE">
      <w:pPr>
        <w:jc w:val="both"/>
        <w:rPr>
          <w:color w:val="000000" w:themeColor="text1"/>
          <w:sz w:val="16"/>
          <w:szCs w:val="16"/>
        </w:rPr>
      </w:pPr>
    </w:p>
    <w:p w14:paraId="2C9546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на Ли-2 было установлено две крыльевые пушки ДС-45. Самолет прошел с ними летные испытания, но серийно не строился в связи с прекращением войны (10695).</w:t>
      </w:r>
    </w:p>
    <w:p w14:paraId="75ABDB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339EAB8" w14:textId="77777777" w:rsidR="00B6122E" w:rsidRPr="00F90EAE" w:rsidRDefault="00B6122E" w:rsidP="00F90EAE">
      <w:pPr>
        <w:jc w:val="both"/>
        <w:rPr>
          <w:color w:val="0070C0"/>
          <w:sz w:val="16"/>
          <w:szCs w:val="16"/>
        </w:rPr>
      </w:pPr>
      <w:r w:rsidRPr="00F90EAE">
        <w:rPr>
          <w:color w:val="0070C0"/>
          <w:sz w:val="16"/>
          <w:szCs w:val="16"/>
        </w:rPr>
        <w:t>В начале 1945</w:t>
      </w:r>
    </w:p>
    <w:p w14:paraId="1FEE77FA" w14:textId="77777777" w:rsidR="00B6122E" w:rsidRPr="00F90EAE" w:rsidRDefault="00B6122E" w:rsidP="00F90EAE">
      <w:pPr>
        <w:jc w:val="both"/>
        <w:rPr>
          <w:color w:val="0070C0"/>
          <w:sz w:val="16"/>
          <w:szCs w:val="16"/>
        </w:rPr>
      </w:pPr>
      <w:r w:rsidRPr="00F90EAE">
        <w:rPr>
          <w:color w:val="0070C0"/>
          <w:sz w:val="16"/>
          <w:szCs w:val="16"/>
        </w:rPr>
        <w:t>ВЫПИСКА ИЗ ДИСПЕТЧЕРСКОГО ЖУРНАЛА НАРКОМАТА АВИАЦИОННОЙ ПРОМЫШЛЕННОСТИ СССР "ДИНАМИКА ПРОИЗВОДСТВА САМОЛЕТОВ"</w:t>
      </w:r>
    </w:p>
    <w:p w14:paraId="1A7D7136" w14:textId="77777777" w:rsidR="00B6122E" w:rsidRPr="00F90EAE" w:rsidRDefault="00B6122E" w:rsidP="00F90EAE">
      <w:pPr>
        <w:jc w:val="both"/>
        <w:rPr>
          <w:color w:val="0070C0"/>
          <w:sz w:val="16"/>
          <w:szCs w:val="16"/>
        </w:rPr>
      </w:pPr>
      <w:r w:rsidRPr="00F90EAE">
        <w:rPr>
          <w:color w:val="0070C0"/>
          <w:sz w:val="16"/>
          <w:szCs w:val="16"/>
        </w:rPr>
        <w:t>[1944 г.]</w:t>
      </w:r>
    </w:p>
    <w:p w14:paraId="596CF1B8" w14:textId="77777777" w:rsidR="00B6122E" w:rsidRPr="00F90EAE" w:rsidRDefault="00B6122E" w:rsidP="00F90EAE">
      <w:pPr>
        <w:jc w:val="both"/>
        <w:rPr>
          <w:color w:val="0070C0"/>
          <w:sz w:val="16"/>
          <w:szCs w:val="16"/>
        </w:rPr>
      </w:pPr>
      <w:r w:rsidRPr="00F90EAE">
        <w:rPr>
          <w:color w:val="0070C0"/>
          <w:sz w:val="16"/>
          <w:szCs w:val="16"/>
        </w:rPr>
        <w:t>№№  п/п</w:t>
      </w:r>
      <w:r w:rsidRPr="00F90EAE">
        <w:rPr>
          <w:color w:val="0070C0"/>
          <w:sz w:val="16"/>
          <w:szCs w:val="16"/>
        </w:rPr>
        <w:tab/>
        <w:t>Изделие</w:t>
      </w:r>
      <w:r w:rsidRPr="00F90EAE">
        <w:rPr>
          <w:color w:val="0070C0"/>
          <w:sz w:val="16"/>
          <w:szCs w:val="16"/>
        </w:rPr>
        <w:tab/>
        <w:t>Выпуск самолетов и моторов по годам</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4381F629" w14:textId="77777777" w:rsidR="00B6122E" w:rsidRPr="00F90EAE" w:rsidRDefault="00B6122E" w:rsidP="00F90EAE">
      <w:pPr>
        <w:jc w:val="both"/>
        <w:rPr>
          <w:color w:val="0070C0"/>
          <w:sz w:val="16"/>
          <w:szCs w:val="16"/>
        </w:rPr>
      </w:pPr>
      <w:r w:rsidRPr="00F90EAE">
        <w:rPr>
          <w:color w:val="0070C0"/>
          <w:sz w:val="16"/>
          <w:szCs w:val="16"/>
        </w:rPr>
        <w:tab/>
      </w:r>
      <w:r w:rsidRPr="00F90EAE">
        <w:rPr>
          <w:color w:val="0070C0"/>
          <w:sz w:val="16"/>
          <w:szCs w:val="16"/>
        </w:rPr>
        <w:tab/>
        <w:t>1939</w:t>
      </w:r>
      <w:r w:rsidRPr="00F90EAE">
        <w:rPr>
          <w:color w:val="0070C0"/>
          <w:sz w:val="16"/>
          <w:szCs w:val="16"/>
        </w:rPr>
        <w:tab/>
        <w:t>1940</w:t>
      </w:r>
      <w:r w:rsidRPr="00F90EAE">
        <w:rPr>
          <w:color w:val="0070C0"/>
          <w:sz w:val="16"/>
          <w:szCs w:val="16"/>
        </w:rPr>
        <w:tab/>
        <w:t>1941</w:t>
      </w:r>
      <w:r w:rsidRPr="00F90EAE">
        <w:rPr>
          <w:color w:val="0070C0"/>
          <w:sz w:val="16"/>
          <w:szCs w:val="16"/>
        </w:rPr>
        <w:tab/>
        <w:t>1942</w:t>
      </w:r>
      <w:r w:rsidRPr="00F90EAE">
        <w:rPr>
          <w:color w:val="0070C0"/>
          <w:sz w:val="16"/>
          <w:szCs w:val="16"/>
        </w:rPr>
        <w:tab/>
        <w:t>1943</w:t>
      </w:r>
      <w:r w:rsidRPr="00F90EAE">
        <w:rPr>
          <w:color w:val="0070C0"/>
          <w:sz w:val="16"/>
          <w:szCs w:val="16"/>
        </w:rPr>
        <w:tab/>
        <w:t>1944</w:t>
      </w:r>
    </w:p>
    <w:p w14:paraId="6BCD6652" w14:textId="77777777" w:rsidR="00B6122E" w:rsidRPr="00F90EAE" w:rsidRDefault="00B6122E" w:rsidP="00F90EAE">
      <w:pPr>
        <w:jc w:val="both"/>
        <w:rPr>
          <w:color w:val="0070C0"/>
          <w:sz w:val="16"/>
          <w:szCs w:val="16"/>
        </w:rPr>
      </w:pPr>
      <w:r w:rsidRPr="00F90EAE">
        <w:rPr>
          <w:color w:val="0070C0"/>
          <w:sz w:val="16"/>
          <w:szCs w:val="16"/>
        </w:rPr>
        <w:t>1</w:t>
      </w:r>
      <w:r w:rsidRPr="00F90EAE">
        <w:rPr>
          <w:color w:val="0070C0"/>
          <w:sz w:val="16"/>
          <w:szCs w:val="16"/>
        </w:rPr>
        <w:tab/>
        <w:t>2</w:t>
      </w:r>
      <w:r w:rsidRPr="00F90EAE">
        <w:rPr>
          <w:color w:val="0070C0"/>
          <w:sz w:val="16"/>
          <w:szCs w:val="16"/>
        </w:rPr>
        <w:tab/>
        <w:t>3</w:t>
      </w:r>
      <w:r w:rsidRPr="00F90EAE">
        <w:rPr>
          <w:color w:val="0070C0"/>
          <w:sz w:val="16"/>
          <w:szCs w:val="16"/>
        </w:rPr>
        <w:tab/>
        <w:t>4</w:t>
      </w:r>
      <w:r w:rsidRPr="00F90EAE">
        <w:rPr>
          <w:color w:val="0070C0"/>
          <w:sz w:val="16"/>
          <w:szCs w:val="16"/>
        </w:rPr>
        <w:tab/>
        <w:t>5</w:t>
      </w:r>
      <w:r w:rsidRPr="00F90EAE">
        <w:rPr>
          <w:color w:val="0070C0"/>
          <w:sz w:val="16"/>
          <w:szCs w:val="16"/>
        </w:rPr>
        <w:tab/>
        <w:t>6</w:t>
      </w:r>
      <w:r w:rsidRPr="00F90EAE">
        <w:rPr>
          <w:color w:val="0070C0"/>
          <w:sz w:val="16"/>
          <w:szCs w:val="16"/>
        </w:rPr>
        <w:tab/>
        <w:t>7</w:t>
      </w:r>
      <w:r w:rsidRPr="00F90EAE">
        <w:rPr>
          <w:color w:val="0070C0"/>
          <w:sz w:val="16"/>
          <w:szCs w:val="16"/>
        </w:rPr>
        <w:tab/>
        <w:t>8</w:t>
      </w:r>
    </w:p>
    <w:p w14:paraId="41DB596A" w14:textId="77777777" w:rsidR="00B6122E" w:rsidRPr="00F90EAE" w:rsidRDefault="00B6122E" w:rsidP="00F90EAE">
      <w:pPr>
        <w:jc w:val="both"/>
        <w:rPr>
          <w:color w:val="0070C0"/>
          <w:sz w:val="16"/>
          <w:szCs w:val="16"/>
        </w:rPr>
      </w:pPr>
      <w:r w:rsidRPr="00F90EAE">
        <w:rPr>
          <w:color w:val="0070C0"/>
          <w:sz w:val="16"/>
          <w:szCs w:val="16"/>
        </w:rPr>
        <w:t>Истребители</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17021AA4" w14:textId="77777777" w:rsidR="00B6122E" w:rsidRPr="00F90EAE" w:rsidRDefault="00B6122E" w:rsidP="00F90EAE">
      <w:pPr>
        <w:jc w:val="both"/>
        <w:rPr>
          <w:color w:val="0070C0"/>
          <w:sz w:val="16"/>
          <w:szCs w:val="16"/>
        </w:rPr>
      </w:pPr>
      <w:r w:rsidRPr="00F90EAE">
        <w:rPr>
          <w:color w:val="0070C0"/>
          <w:sz w:val="16"/>
          <w:szCs w:val="16"/>
        </w:rPr>
        <w:t>И-15</w:t>
      </w:r>
      <w:r w:rsidRPr="00F90EAE">
        <w:rPr>
          <w:color w:val="0070C0"/>
          <w:sz w:val="16"/>
          <w:szCs w:val="16"/>
        </w:rPr>
        <w:tab/>
      </w:r>
      <w:r w:rsidRPr="00F90EAE">
        <w:rPr>
          <w:color w:val="0070C0"/>
          <w:sz w:val="16"/>
          <w:szCs w:val="16"/>
        </w:rPr>
        <w:tab/>
        <w:t>1303</w:t>
      </w:r>
      <w:r w:rsidRPr="00F90EAE">
        <w:rPr>
          <w:color w:val="0070C0"/>
          <w:sz w:val="16"/>
          <w:szCs w:val="16"/>
        </w:rPr>
        <w:tab/>
        <w:t>-</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r>
    </w:p>
    <w:p w14:paraId="46C4C4F8" w14:textId="77777777" w:rsidR="00B6122E" w:rsidRPr="00F90EAE" w:rsidRDefault="00B6122E" w:rsidP="00F90EAE">
      <w:pPr>
        <w:jc w:val="both"/>
        <w:rPr>
          <w:color w:val="0070C0"/>
          <w:sz w:val="16"/>
          <w:szCs w:val="16"/>
        </w:rPr>
      </w:pPr>
      <w:r w:rsidRPr="00F90EAE">
        <w:rPr>
          <w:color w:val="0070C0"/>
          <w:sz w:val="16"/>
          <w:szCs w:val="16"/>
        </w:rPr>
        <w:t>И-153</w:t>
      </w:r>
      <w:r w:rsidRPr="00F90EAE">
        <w:rPr>
          <w:color w:val="0070C0"/>
          <w:sz w:val="16"/>
          <w:szCs w:val="16"/>
        </w:rPr>
        <w:tab/>
      </w:r>
      <w:r w:rsidRPr="00F90EAE">
        <w:rPr>
          <w:color w:val="0070C0"/>
          <w:sz w:val="16"/>
          <w:szCs w:val="16"/>
        </w:rPr>
        <w:tab/>
        <w:t>1011</w:t>
      </w:r>
      <w:r w:rsidRPr="00F90EAE">
        <w:rPr>
          <w:color w:val="0070C0"/>
          <w:sz w:val="16"/>
          <w:szCs w:val="16"/>
        </w:rPr>
        <w:tab/>
        <w:t>2362</w:t>
      </w:r>
      <w:r w:rsidRPr="00F90EAE">
        <w:rPr>
          <w:color w:val="0070C0"/>
          <w:sz w:val="16"/>
          <w:szCs w:val="16"/>
        </w:rPr>
        <w:tab/>
        <w:t>64</w:t>
      </w:r>
      <w:r w:rsidRPr="00F90EAE">
        <w:rPr>
          <w:color w:val="0070C0"/>
          <w:sz w:val="16"/>
          <w:szCs w:val="16"/>
        </w:rPr>
        <w:tab/>
        <w:t>-</w:t>
      </w:r>
      <w:r w:rsidRPr="00F90EAE">
        <w:rPr>
          <w:color w:val="0070C0"/>
          <w:sz w:val="16"/>
          <w:szCs w:val="16"/>
        </w:rPr>
        <w:tab/>
        <w:t>-</w:t>
      </w:r>
      <w:r w:rsidRPr="00F90EAE">
        <w:rPr>
          <w:color w:val="0070C0"/>
          <w:sz w:val="16"/>
          <w:szCs w:val="16"/>
        </w:rPr>
        <w:tab/>
        <w:t>-</w:t>
      </w:r>
    </w:p>
    <w:p w14:paraId="05C52B33" w14:textId="77777777" w:rsidR="00B6122E" w:rsidRPr="00F90EAE" w:rsidRDefault="00B6122E" w:rsidP="00F90EAE">
      <w:pPr>
        <w:jc w:val="both"/>
        <w:rPr>
          <w:color w:val="0070C0"/>
          <w:sz w:val="16"/>
          <w:szCs w:val="16"/>
        </w:rPr>
      </w:pPr>
      <w:r w:rsidRPr="00F90EAE">
        <w:rPr>
          <w:color w:val="0070C0"/>
          <w:sz w:val="16"/>
          <w:szCs w:val="16"/>
        </w:rPr>
        <w:t>И-16</w:t>
      </w:r>
      <w:r w:rsidRPr="00F90EAE">
        <w:rPr>
          <w:color w:val="0070C0"/>
          <w:sz w:val="16"/>
          <w:szCs w:val="16"/>
        </w:rPr>
        <w:tab/>
      </w:r>
      <w:r w:rsidRPr="00F90EAE">
        <w:rPr>
          <w:color w:val="0070C0"/>
          <w:sz w:val="16"/>
          <w:szCs w:val="16"/>
        </w:rPr>
        <w:tab/>
        <w:t>1411</w:t>
      </w:r>
      <w:r w:rsidRPr="00F90EAE">
        <w:rPr>
          <w:color w:val="0070C0"/>
          <w:sz w:val="16"/>
          <w:szCs w:val="16"/>
        </w:rPr>
        <w:tab/>
        <w:t>2110</w:t>
      </w:r>
      <w:r w:rsidRPr="00F90EAE">
        <w:rPr>
          <w:color w:val="0070C0"/>
          <w:sz w:val="16"/>
          <w:szCs w:val="16"/>
        </w:rPr>
        <w:tab/>
        <w:t>99</w:t>
      </w:r>
      <w:r w:rsidRPr="00F90EAE">
        <w:rPr>
          <w:color w:val="0070C0"/>
          <w:sz w:val="16"/>
          <w:szCs w:val="16"/>
        </w:rPr>
        <w:tab/>
        <w:t>-</w:t>
      </w:r>
      <w:r w:rsidRPr="00F90EAE">
        <w:rPr>
          <w:color w:val="0070C0"/>
          <w:sz w:val="16"/>
          <w:szCs w:val="16"/>
        </w:rPr>
        <w:tab/>
        <w:t>-</w:t>
      </w:r>
      <w:r w:rsidRPr="00F90EAE">
        <w:rPr>
          <w:color w:val="0070C0"/>
          <w:sz w:val="16"/>
          <w:szCs w:val="16"/>
        </w:rPr>
        <w:tab/>
        <w:t>-</w:t>
      </w:r>
    </w:p>
    <w:p w14:paraId="7816F37A" w14:textId="77777777" w:rsidR="00B6122E" w:rsidRPr="00F90EAE" w:rsidRDefault="00B6122E" w:rsidP="00F90EAE">
      <w:pPr>
        <w:jc w:val="both"/>
        <w:rPr>
          <w:color w:val="0070C0"/>
          <w:sz w:val="16"/>
          <w:szCs w:val="16"/>
        </w:rPr>
      </w:pPr>
      <w:r w:rsidRPr="00F90EAE">
        <w:rPr>
          <w:color w:val="0070C0"/>
          <w:sz w:val="16"/>
          <w:szCs w:val="16"/>
        </w:rPr>
        <w:t>ДИ-6</w:t>
      </w:r>
      <w:r w:rsidRPr="00F90EAE">
        <w:rPr>
          <w:color w:val="0070C0"/>
          <w:sz w:val="16"/>
          <w:szCs w:val="16"/>
        </w:rPr>
        <w:tab/>
      </w:r>
      <w:r w:rsidRPr="00F90EAE">
        <w:rPr>
          <w:color w:val="0070C0"/>
          <w:sz w:val="16"/>
          <w:szCs w:val="16"/>
        </w:rPr>
        <w:tab/>
        <w:t>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2387991E" w14:textId="77777777" w:rsidR="00B6122E" w:rsidRPr="00F90EAE" w:rsidRDefault="00B6122E" w:rsidP="00F90EAE">
      <w:pPr>
        <w:jc w:val="both"/>
        <w:rPr>
          <w:color w:val="0070C0"/>
          <w:sz w:val="16"/>
          <w:szCs w:val="16"/>
        </w:rPr>
      </w:pPr>
      <w:r w:rsidRPr="00F90EAE">
        <w:rPr>
          <w:color w:val="0070C0"/>
          <w:sz w:val="16"/>
          <w:szCs w:val="16"/>
        </w:rPr>
        <w:t>И-180</w:t>
      </w:r>
      <w:r w:rsidRPr="00F90EAE">
        <w:rPr>
          <w:color w:val="0070C0"/>
          <w:sz w:val="16"/>
          <w:szCs w:val="16"/>
        </w:rPr>
        <w:tab/>
      </w:r>
      <w:r w:rsidRPr="00F90EAE">
        <w:rPr>
          <w:color w:val="0070C0"/>
          <w:sz w:val="16"/>
          <w:szCs w:val="16"/>
        </w:rPr>
        <w:tab/>
      </w:r>
      <w:r w:rsidRPr="00F90EAE">
        <w:rPr>
          <w:color w:val="0070C0"/>
          <w:sz w:val="16"/>
          <w:szCs w:val="16"/>
        </w:rPr>
        <w:tab/>
        <w:t>1</w:t>
      </w:r>
      <w:r w:rsidRPr="00F90EAE">
        <w:rPr>
          <w:color w:val="0070C0"/>
          <w:sz w:val="16"/>
          <w:szCs w:val="16"/>
        </w:rPr>
        <w:tab/>
      </w:r>
      <w:r w:rsidRPr="00F90EAE">
        <w:rPr>
          <w:color w:val="0070C0"/>
          <w:sz w:val="16"/>
          <w:szCs w:val="16"/>
        </w:rPr>
        <w:tab/>
      </w:r>
      <w:r w:rsidRPr="00F90EAE">
        <w:rPr>
          <w:color w:val="0070C0"/>
          <w:sz w:val="16"/>
          <w:szCs w:val="16"/>
        </w:rPr>
        <w:tab/>
        <w:t>-</w:t>
      </w:r>
      <w:r w:rsidRPr="00F90EAE">
        <w:rPr>
          <w:color w:val="0070C0"/>
          <w:sz w:val="16"/>
          <w:szCs w:val="16"/>
        </w:rPr>
        <w:tab/>
        <w:t>-</w:t>
      </w:r>
    </w:p>
    <w:p w14:paraId="2409C8E0" w14:textId="77777777" w:rsidR="00B6122E" w:rsidRPr="00F90EAE" w:rsidRDefault="00B6122E" w:rsidP="00F90EAE">
      <w:pPr>
        <w:jc w:val="both"/>
        <w:rPr>
          <w:color w:val="0070C0"/>
          <w:sz w:val="16"/>
          <w:szCs w:val="16"/>
        </w:rPr>
      </w:pPr>
      <w:r w:rsidRPr="00F90EAE">
        <w:rPr>
          <w:color w:val="0070C0"/>
          <w:sz w:val="16"/>
          <w:szCs w:val="16"/>
        </w:rPr>
        <w:t>И-26</w:t>
      </w:r>
      <w:r w:rsidRPr="00F90EAE">
        <w:rPr>
          <w:color w:val="0070C0"/>
          <w:sz w:val="16"/>
          <w:szCs w:val="16"/>
        </w:rPr>
        <w:tab/>
      </w:r>
      <w:r w:rsidRPr="00F90EAE">
        <w:rPr>
          <w:color w:val="0070C0"/>
          <w:sz w:val="16"/>
          <w:szCs w:val="16"/>
        </w:rPr>
        <w:tab/>
        <w:t>-</w:t>
      </w:r>
      <w:r w:rsidRPr="00F90EAE">
        <w:rPr>
          <w:color w:val="0070C0"/>
          <w:sz w:val="16"/>
          <w:szCs w:val="16"/>
        </w:rPr>
        <w:tab/>
        <w:t>64</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266BFCF6" w14:textId="77777777" w:rsidR="00B6122E" w:rsidRPr="00F90EAE" w:rsidRDefault="00B6122E" w:rsidP="00F90EAE">
      <w:pPr>
        <w:jc w:val="both"/>
        <w:rPr>
          <w:color w:val="0070C0"/>
          <w:sz w:val="16"/>
          <w:szCs w:val="16"/>
        </w:rPr>
      </w:pPr>
      <w:r w:rsidRPr="00F90EAE">
        <w:rPr>
          <w:color w:val="0070C0"/>
          <w:sz w:val="16"/>
          <w:szCs w:val="16"/>
        </w:rPr>
        <w:t>МИГ-1</w:t>
      </w:r>
      <w:r w:rsidRPr="00F90EAE">
        <w:rPr>
          <w:color w:val="0070C0"/>
          <w:sz w:val="16"/>
          <w:szCs w:val="16"/>
        </w:rPr>
        <w:tab/>
      </w:r>
      <w:r w:rsidRPr="00F90EAE">
        <w:rPr>
          <w:color w:val="0070C0"/>
          <w:sz w:val="16"/>
          <w:szCs w:val="16"/>
        </w:rPr>
        <w:tab/>
      </w:r>
      <w:r w:rsidRPr="00F90EAE">
        <w:rPr>
          <w:color w:val="0070C0"/>
          <w:sz w:val="16"/>
          <w:szCs w:val="16"/>
        </w:rPr>
        <w:tab/>
        <w:t>100</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17D43D11" w14:textId="77777777" w:rsidR="00B6122E" w:rsidRPr="00F90EAE" w:rsidRDefault="00B6122E" w:rsidP="00F90EAE">
      <w:pPr>
        <w:jc w:val="both"/>
        <w:rPr>
          <w:color w:val="0070C0"/>
          <w:sz w:val="16"/>
          <w:szCs w:val="16"/>
        </w:rPr>
      </w:pPr>
      <w:r w:rsidRPr="00F90EAE">
        <w:rPr>
          <w:color w:val="0070C0"/>
          <w:sz w:val="16"/>
          <w:szCs w:val="16"/>
        </w:rPr>
        <w:t>МИГ-3</w:t>
      </w:r>
      <w:r w:rsidRPr="00F90EAE">
        <w:rPr>
          <w:color w:val="0070C0"/>
          <w:sz w:val="16"/>
          <w:szCs w:val="16"/>
        </w:rPr>
        <w:tab/>
      </w:r>
      <w:r w:rsidRPr="00F90EAE">
        <w:rPr>
          <w:color w:val="0070C0"/>
          <w:sz w:val="16"/>
          <w:szCs w:val="16"/>
        </w:rPr>
        <w:tab/>
        <w:t>-</w:t>
      </w:r>
      <w:r w:rsidRPr="00F90EAE">
        <w:rPr>
          <w:color w:val="0070C0"/>
          <w:sz w:val="16"/>
          <w:szCs w:val="16"/>
        </w:rPr>
        <w:tab/>
        <w:t>20</w:t>
      </w:r>
      <w:r w:rsidRPr="00F90EAE">
        <w:rPr>
          <w:color w:val="0070C0"/>
          <w:sz w:val="16"/>
          <w:szCs w:val="16"/>
        </w:rPr>
        <w:tab/>
        <w:t>3100</w:t>
      </w:r>
      <w:r w:rsidRPr="00F90EAE">
        <w:rPr>
          <w:color w:val="0070C0"/>
          <w:sz w:val="16"/>
          <w:szCs w:val="16"/>
        </w:rPr>
        <w:tab/>
        <w:t>52</w:t>
      </w:r>
      <w:r w:rsidRPr="00F90EAE">
        <w:rPr>
          <w:color w:val="0070C0"/>
          <w:sz w:val="16"/>
          <w:szCs w:val="16"/>
        </w:rPr>
        <w:tab/>
        <w:t>6</w:t>
      </w:r>
      <w:r w:rsidRPr="00F90EAE">
        <w:rPr>
          <w:color w:val="0070C0"/>
          <w:sz w:val="16"/>
          <w:szCs w:val="16"/>
        </w:rPr>
        <w:tab/>
        <w:t>-</w:t>
      </w:r>
    </w:p>
    <w:p w14:paraId="44376488" w14:textId="77777777" w:rsidR="00B6122E" w:rsidRPr="00F90EAE" w:rsidRDefault="00B6122E" w:rsidP="00F90EAE">
      <w:pPr>
        <w:jc w:val="both"/>
        <w:rPr>
          <w:color w:val="0070C0"/>
          <w:sz w:val="16"/>
          <w:szCs w:val="16"/>
        </w:rPr>
      </w:pPr>
      <w:r w:rsidRPr="00F90EAE">
        <w:rPr>
          <w:color w:val="0070C0"/>
          <w:sz w:val="16"/>
          <w:szCs w:val="16"/>
        </w:rPr>
        <w:t>ЛАГГ-3</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2463</w:t>
      </w:r>
      <w:r w:rsidRPr="00F90EAE">
        <w:rPr>
          <w:color w:val="0070C0"/>
          <w:sz w:val="16"/>
          <w:szCs w:val="16"/>
        </w:rPr>
        <w:tab/>
        <w:t>2771</w:t>
      </w:r>
      <w:r w:rsidRPr="00F90EAE">
        <w:rPr>
          <w:color w:val="0070C0"/>
          <w:sz w:val="16"/>
          <w:szCs w:val="16"/>
        </w:rPr>
        <w:tab/>
        <w:t>1065</w:t>
      </w:r>
      <w:r w:rsidRPr="00F90EAE">
        <w:rPr>
          <w:color w:val="0070C0"/>
          <w:sz w:val="16"/>
          <w:szCs w:val="16"/>
        </w:rPr>
        <w:tab/>
        <w:t>229</w:t>
      </w:r>
    </w:p>
    <w:p w14:paraId="1C188775" w14:textId="77777777" w:rsidR="00B6122E" w:rsidRPr="00F90EAE" w:rsidRDefault="00B6122E" w:rsidP="00F90EAE">
      <w:pPr>
        <w:jc w:val="both"/>
        <w:rPr>
          <w:color w:val="0070C0"/>
          <w:sz w:val="16"/>
          <w:szCs w:val="16"/>
        </w:rPr>
      </w:pPr>
      <w:r w:rsidRPr="00F90EAE">
        <w:rPr>
          <w:color w:val="0070C0"/>
          <w:sz w:val="16"/>
          <w:szCs w:val="16"/>
        </w:rPr>
        <w:t>И-21</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1</w:t>
      </w:r>
      <w:r w:rsidRPr="00F90EAE">
        <w:rPr>
          <w:color w:val="0070C0"/>
          <w:sz w:val="16"/>
          <w:szCs w:val="16"/>
        </w:rPr>
        <w:tab/>
        <w:t>-</w:t>
      </w:r>
      <w:r w:rsidRPr="00F90EAE">
        <w:rPr>
          <w:color w:val="0070C0"/>
          <w:sz w:val="16"/>
          <w:szCs w:val="16"/>
        </w:rPr>
        <w:tab/>
        <w:t>-</w:t>
      </w:r>
      <w:r w:rsidRPr="00F90EAE">
        <w:rPr>
          <w:color w:val="0070C0"/>
          <w:sz w:val="16"/>
          <w:szCs w:val="16"/>
        </w:rPr>
        <w:tab/>
        <w:t>-</w:t>
      </w:r>
    </w:p>
    <w:p w14:paraId="74114301" w14:textId="77777777" w:rsidR="00B6122E" w:rsidRPr="00F90EAE" w:rsidRDefault="00B6122E" w:rsidP="00F90EAE">
      <w:pPr>
        <w:jc w:val="both"/>
        <w:rPr>
          <w:color w:val="0070C0"/>
          <w:sz w:val="16"/>
          <w:szCs w:val="16"/>
        </w:rPr>
      </w:pPr>
      <w:r w:rsidRPr="00F90EAE">
        <w:rPr>
          <w:color w:val="0070C0"/>
          <w:sz w:val="16"/>
          <w:szCs w:val="16"/>
        </w:rPr>
        <w:t>ЯК-1</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1354</w:t>
      </w:r>
      <w:r w:rsidRPr="00F90EAE">
        <w:rPr>
          <w:color w:val="0070C0"/>
          <w:sz w:val="16"/>
          <w:szCs w:val="16"/>
        </w:rPr>
        <w:tab/>
        <w:t>3476</w:t>
      </w:r>
      <w:r w:rsidRPr="00F90EAE">
        <w:rPr>
          <w:color w:val="0070C0"/>
          <w:sz w:val="16"/>
          <w:szCs w:val="16"/>
        </w:rPr>
        <w:tab/>
        <w:t>2720</w:t>
      </w:r>
      <w:r w:rsidRPr="00F90EAE">
        <w:rPr>
          <w:color w:val="0070C0"/>
          <w:sz w:val="16"/>
          <w:szCs w:val="16"/>
        </w:rPr>
        <w:tab/>
        <w:t>1128</w:t>
      </w:r>
    </w:p>
    <w:p w14:paraId="554483B5" w14:textId="77777777" w:rsidR="00B6122E" w:rsidRPr="00F90EAE" w:rsidRDefault="00B6122E" w:rsidP="00F90EAE">
      <w:pPr>
        <w:jc w:val="both"/>
        <w:rPr>
          <w:color w:val="0070C0"/>
          <w:sz w:val="16"/>
          <w:szCs w:val="16"/>
        </w:rPr>
      </w:pPr>
      <w:r w:rsidRPr="00F90EAE">
        <w:rPr>
          <w:color w:val="0070C0"/>
          <w:sz w:val="16"/>
          <w:szCs w:val="16"/>
        </w:rPr>
        <w:t>ЯК-7</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2431</w:t>
      </w:r>
      <w:r w:rsidRPr="00F90EAE">
        <w:rPr>
          <w:color w:val="0070C0"/>
          <w:sz w:val="16"/>
          <w:szCs w:val="16"/>
        </w:rPr>
        <w:tab/>
        <w:t>3296</w:t>
      </w:r>
      <w:r w:rsidRPr="00F90EAE">
        <w:rPr>
          <w:color w:val="0070C0"/>
          <w:sz w:val="16"/>
          <w:szCs w:val="16"/>
        </w:rPr>
        <w:tab/>
        <w:t>465</w:t>
      </w:r>
    </w:p>
    <w:p w14:paraId="407DAAD1" w14:textId="77777777" w:rsidR="00B6122E" w:rsidRPr="00F90EAE" w:rsidRDefault="00B6122E" w:rsidP="00F90EAE">
      <w:pPr>
        <w:jc w:val="both"/>
        <w:rPr>
          <w:color w:val="0070C0"/>
          <w:sz w:val="16"/>
          <w:szCs w:val="16"/>
        </w:rPr>
      </w:pPr>
      <w:r w:rsidRPr="00F90EAE">
        <w:rPr>
          <w:color w:val="0070C0"/>
          <w:sz w:val="16"/>
          <w:szCs w:val="16"/>
        </w:rPr>
        <w:t>Л А-5</w:t>
      </w:r>
      <w:r w:rsidRPr="00F90EAE">
        <w:rPr>
          <w:color w:val="0070C0"/>
          <w:sz w:val="16"/>
          <w:szCs w:val="16"/>
        </w:rPr>
        <w:tab/>
      </w:r>
      <w:r w:rsidRPr="00F90EAE">
        <w:rPr>
          <w:color w:val="0070C0"/>
          <w:sz w:val="16"/>
          <w:szCs w:val="16"/>
        </w:rPr>
        <w:tab/>
        <w:t>-</w:t>
      </w:r>
      <w:r w:rsidRPr="00F90EAE">
        <w:rPr>
          <w:color w:val="0070C0"/>
          <w:sz w:val="16"/>
          <w:szCs w:val="16"/>
        </w:rPr>
        <w:tab/>
      </w:r>
      <w:r w:rsidRPr="00F90EAE">
        <w:rPr>
          <w:color w:val="0070C0"/>
          <w:sz w:val="16"/>
          <w:szCs w:val="16"/>
        </w:rPr>
        <w:tab/>
        <w:t>~</w:t>
      </w:r>
      <w:r w:rsidRPr="00F90EAE">
        <w:rPr>
          <w:color w:val="0070C0"/>
          <w:sz w:val="16"/>
          <w:szCs w:val="16"/>
        </w:rPr>
        <w:tab/>
        <w:t>1129</w:t>
      </w:r>
      <w:r w:rsidRPr="00F90EAE">
        <w:rPr>
          <w:color w:val="0070C0"/>
          <w:sz w:val="16"/>
          <w:szCs w:val="16"/>
        </w:rPr>
        <w:tab/>
        <w:t>5047</w:t>
      </w:r>
      <w:r w:rsidRPr="00F90EAE">
        <w:rPr>
          <w:color w:val="0070C0"/>
          <w:sz w:val="16"/>
          <w:szCs w:val="16"/>
        </w:rPr>
        <w:tab/>
        <w:t>3826</w:t>
      </w:r>
    </w:p>
    <w:p w14:paraId="300EFBA1" w14:textId="77777777" w:rsidR="00B6122E" w:rsidRPr="00F90EAE" w:rsidRDefault="00B6122E" w:rsidP="00F90EAE">
      <w:pPr>
        <w:jc w:val="both"/>
        <w:rPr>
          <w:color w:val="0070C0"/>
          <w:sz w:val="16"/>
          <w:szCs w:val="16"/>
        </w:rPr>
      </w:pPr>
      <w:r w:rsidRPr="00F90EAE">
        <w:rPr>
          <w:color w:val="0070C0"/>
          <w:sz w:val="16"/>
          <w:szCs w:val="16"/>
        </w:rPr>
        <w:t>ЯК-9</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59</w:t>
      </w:r>
      <w:r w:rsidRPr="00F90EAE">
        <w:rPr>
          <w:color w:val="0070C0"/>
          <w:sz w:val="16"/>
          <w:szCs w:val="16"/>
        </w:rPr>
        <w:tab/>
        <w:t>2493</w:t>
      </w:r>
      <w:r w:rsidRPr="00F90EAE">
        <w:rPr>
          <w:color w:val="0070C0"/>
          <w:sz w:val="16"/>
          <w:szCs w:val="16"/>
        </w:rPr>
        <w:tab/>
        <w:t>7831</w:t>
      </w:r>
    </w:p>
    <w:p w14:paraId="49D811F3" w14:textId="77777777" w:rsidR="00B6122E" w:rsidRPr="00F90EAE" w:rsidRDefault="00B6122E" w:rsidP="00F90EAE">
      <w:pPr>
        <w:jc w:val="both"/>
        <w:rPr>
          <w:color w:val="0070C0"/>
          <w:sz w:val="16"/>
          <w:szCs w:val="16"/>
        </w:rPr>
      </w:pPr>
      <w:r w:rsidRPr="00F90EAE">
        <w:rPr>
          <w:color w:val="0070C0"/>
          <w:sz w:val="16"/>
          <w:szCs w:val="16"/>
        </w:rPr>
        <w:t>ЯК-3</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2180</w:t>
      </w:r>
    </w:p>
    <w:p w14:paraId="0135758B" w14:textId="77777777" w:rsidR="00B6122E" w:rsidRPr="00F90EAE" w:rsidRDefault="00B6122E" w:rsidP="00F90EAE">
      <w:pPr>
        <w:jc w:val="both"/>
        <w:rPr>
          <w:color w:val="0070C0"/>
          <w:sz w:val="16"/>
          <w:szCs w:val="16"/>
        </w:rPr>
      </w:pPr>
      <w:r w:rsidRPr="00F90EAE">
        <w:rPr>
          <w:color w:val="0070C0"/>
          <w:sz w:val="16"/>
          <w:szCs w:val="16"/>
        </w:rPr>
        <w:t>ЛА-7</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t>2238</w:t>
      </w:r>
    </w:p>
    <w:p w14:paraId="7AEAF5F0" w14:textId="77777777" w:rsidR="00B6122E" w:rsidRPr="00F90EAE" w:rsidRDefault="00B6122E" w:rsidP="00F90EAE">
      <w:pPr>
        <w:jc w:val="both"/>
        <w:rPr>
          <w:color w:val="0070C0"/>
          <w:sz w:val="16"/>
          <w:szCs w:val="16"/>
        </w:rPr>
      </w:pPr>
      <w:r w:rsidRPr="00F90EAE">
        <w:rPr>
          <w:color w:val="0070C0"/>
          <w:sz w:val="16"/>
          <w:szCs w:val="16"/>
        </w:rPr>
        <w:t>Итого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22E9EAFB" w14:textId="77777777" w:rsidR="00B6122E" w:rsidRPr="00F90EAE" w:rsidRDefault="00B6122E" w:rsidP="00F90EAE">
      <w:pPr>
        <w:jc w:val="both"/>
        <w:rPr>
          <w:color w:val="0070C0"/>
          <w:sz w:val="16"/>
          <w:szCs w:val="16"/>
        </w:rPr>
      </w:pPr>
      <w:r w:rsidRPr="00F90EAE">
        <w:rPr>
          <w:color w:val="0070C0"/>
          <w:sz w:val="16"/>
          <w:szCs w:val="16"/>
        </w:rPr>
        <w:t>истребителей</w:t>
      </w:r>
      <w:r w:rsidRPr="00F90EAE">
        <w:rPr>
          <w:color w:val="0070C0"/>
          <w:sz w:val="16"/>
          <w:szCs w:val="16"/>
        </w:rPr>
        <w:tab/>
      </w:r>
      <w:r w:rsidRPr="00F90EAE">
        <w:rPr>
          <w:color w:val="0070C0"/>
          <w:sz w:val="16"/>
          <w:szCs w:val="16"/>
        </w:rPr>
        <w:tab/>
        <w:t>3726</w:t>
      </w:r>
      <w:r w:rsidRPr="00F90EAE">
        <w:rPr>
          <w:color w:val="0070C0"/>
          <w:sz w:val="16"/>
          <w:szCs w:val="16"/>
        </w:rPr>
        <w:tab/>
        <w:t>4657</w:t>
      </w:r>
      <w:r w:rsidRPr="00F90EAE">
        <w:rPr>
          <w:color w:val="0070C0"/>
          <w:sz w:val="16"/>
          <w:szCs w:val="16"/>
        </w:rPr>
        <w:tab/>
        <w:t>7081</w:t>
      </w:r>
      <w:r w:rsidRPr="00F90EAE">
        <w:rPr>
          <w:color w:val="0070C0"/>
          <w:sz w:val="16"/>
          <w:szCs w:val="16"/>
        </w:rPr>
        <w:tab/>
        <w:t>9918</w:t>
      </w:r>
      <w:r w:rsidRPr="00F90EAE">
        <w:rPr>
          <w:color w:val="0070C0"/>
          <w:sz w:val="16"/>
          <w:szCs w:val="16"/>
        </w:rPr>
        <w:tab/>
        <w:t>14627</w:t>
      </w:r>
      <w:r w:rsidRPr="00F90EAE">
        <w:rPr>
          <w:color w:val="0070C0"/>
          <w:sz w:val="16"/>
          <w:szCs w:val="16"/>
        </w:rPr>
        <w:tab/>
        <w:t>13895</w:t>
      </w:r>
    </w:p>
    <w:p w14:paraId="02E868B1" w14:textId="77777777" w:rsidR="00B6122E" w:rsidRPr="00F90EAE" w:rsidRDefault="00B6122E" w:rsidP="00F90EAE">
      <w:pPr>
        <w:jc w:val="both"/>
        <w:rPr>
          <w:color w:val="0070C0"/>
          <w:sz w:val="16"/>
          <w:szCs w:val="16"/>
        </w:rPr>
      </w:pPr>
      <w:r w:rsidRPr="00F90EAE">
        <w:rPr>
          <w:color w:val="0070C0"/>
          <w:sz w:val="16"/>
          <w:szCs w:val="16"/>
        </w:rPr>
        <w:t>Разведчики</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2905090C" w14:textId="77777777" w:rsidR="00B6122E" w:rsidRPr="00F90EAE" w:rsidRDefault="00B6122E" w:rsidP="00F90EAE">
      <w:pPr>
        <w:jc w:val="both"/>
        <w:rPr>
          <w:color w:val="0070C0"/>
          <w:sz w:val="16"/>
          <w:szCs w:val="16"/>
        </w:rPr>
      </w:pPr>
      <w:r w:rsidRPr="00F90EAE">
        <w:rPr>
          <w:color w:val="0070C0"/>
          <w:sz w:val="16"/>
          <w:szCs w:val="16"/>
        </w:rPr>
        <w:t>МБР-2</w:t>
      </w:r>
      <w:r w:rsidRPr="00F90EAE">
        <w:rPr>
          <w:color w:val="0070C0"/>
          <w:sz w:val="16"/>
          <w:szCs w:val="16"/>
        </w:rPr>
        <w:tab/>
      </w:r>
      <w:r w:rsidRPr="00F90EAE">
        <w:rPr>
          <w:color w:val="0070C0"/>
          <w:sz w:val="16"/>
          <w:szCs w:val="16"/>
        </w:rPr>
        <w:tab/>
        <w:t>192</w:t>
      </w:r>
      <w:r w:rsidRPr="00F90EAE">
        <w:rPr>
          <w:color w:val="0070C0"/>
          <w:sz w:val="16"/>
          <w:szCs w:val="16"/>
        </w:rPr>
        <w:tab/>
        <w:t>38</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4138D46C" w14:textId="77777777" w:rsidR="00B6122E" w:rsidRPr="00F90EAE" w:rsidRDefault="00B6122E" w:rsidP="00F90EAE">
      <w:pPr>
        <w:jc w:val="both"/>
        <w:rPr>
          <w:color w:val="0070C0"/>
          <w:sz w:val="16"/>
          <w:szCs w:val="16"/>
        </w:rPr>
      </w:pPr>
      <w:r w:rsidRPr="00F90EAE">
        <w:rPr>
          <w:color w:val="0070C0"/>
          <w:sz w:val="16"/>
          <w:szCs w:val="16"/>
        </w:rPr>
        <w:t>КОР-1</w:t>
      </w:r>
      <w:r w:rsidRPr="00F90EAE">
        <w:rPr>
          <w:color w:val="0070C0"/>
          <w:sz w:val="16"/>
          <w:szCs w:val="16"/>
        </w:rPr>
        <w:tab/>
      </w:r>
      <w:r w:rsidRPr="00F90EAE">
        <w:rPr>
          <w:color w:val="0070C0"/>
          <w:sz w:val="16"/>
          <w:szCs w:val="16"/>
        </w:rPr>
        <w:tab/>
        <w:t>3</w:t>
      </w:r>
      <w:r w:rsidRPr="00F90EAE">
        <w:rPr>
          <w:color w:val="0070C0"/>
          <w:sz w:val="16"/>
          <w:szCs w:val="16"/>
        </w:rPr>
        <w:tab/>
        <w:t>9</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3C3A1385" w14:textId="77777777" w:rsidR="00B6122E" w:rsidRPr="00F90EAE" w:rsidRDefault="00B6122E" w:rsidP="00F90EAE">
      <w:pPr>
        <w:jc w:val="both"/>
        <w:rPr>
          <w:color w:val="0070C0"/>
          <w:sz w:val="16"/>
          <w:szCs w:val="16"/>
        </w:rPr>
      </w:pPr>
      <w:r w:rsidRPr="00F90EAE">
        <w:rPr>
          <w:color w:val="0070C0"/>
          <w:sz w:val="16"/>
          <w:szCs w:val="16"/>
        </w:rPr>
        <w:t>Консолидейтед</w:t>
      </w:r>
      <w:r w:rsidRPr="00F90EAE">
        <w:rPr>
          <w:color w:val="0070C0"/>
          <w:sz w:val="16"/>
          <w:szCs w:val="16"/>
        </w:rPr>
        <w:tab/>
      </w:r>
      <w:r w:rsidRPr="00F90EAE">
        <w:rPr>
          <w:color w:val="0070C0"/>
          <w:sz w:val="16"/>
          <w:szCs w:val="16"/>
        </w:rPr>
        <w:tab/>
        <w:t>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1B0B9874" w14:textId="77777777" w:rsidR="00B6122E" w:rsidRPr="00F90EAE" w:rsidRDefault="00B6122E" w:rsidP="00F90EAE">
      <w:pPr>
        <w:jc w:val="both"/>
        <w:rPr>
          <w:color w:val="0070C0"/>
          <w:sz w:val="16"/>
          <w:szCs w:val="16"/>
        </w:rPr>
      </w:pPr>
      <w:r w:rsidRPr="00F90EAE">
        <w:rPr>
          <w:color w:val="0070C0"/>
          <w:sz w:val="16"/>
          <w:szCs w:val="16"/>
        </w:rPr>
        <w:t>Р-10</w:t>
      </w:r>
      <w:r w:rsidRPr="00F90EAE">
        <w:rPr>
          <w:color w:val="0070C0"/>
          <w:sz w:val="16"/>
          <w:szCs w:val="16"/>
        </w:rPr>
        <w:tab/>
      </w:r>
      <w:r w:rsidRPr="00F90EAE">
        <w:rPr>
          <w:color w:val="0070C0"/>
          <w:sz w:val="16"/>
          <w:szCs w:val="16"/>
        </w:rPr>
        <w:tab/>
        <w:t>331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26E46A64" w14:textId="77777777" w:rsidR="00B6122E" w:rsidRPr="00F90EAE" w:rsidRDefault="00B6122E" w:rsidP="00F90EAE">
      <w:pPr>
        <w:jc w:val="both"/>
        <w:rPr>
          <w:color w:val="0070C0"/>
          <w:sz w:val="16"/>
          <w:szCs w:val="16"/>
        </w:rPr>
      </w:pPr>
      <w:r w:rsidRPr="00F90EAE">
        <w:rPr>
          <w:color w:val="0070C0"/>
          <w:sz w:val="16"/>
          <w:szCs w:val="16"/>
        </w:rPr>
        <w:t>ГСТ</w:t>
      </w:r>
      <w:r w:rsidRPr="00F90EAE">
        <w:rPr>
          <w:color w:val="0070C0"/>
          <w:sz w:val="16"/>
          <w:szCs w:val="16"/>
        </w:rPr>
        <w:tab/>
      </w:r>
      <w:r w:rsidRPr="00F90EAE">
        <w:rPr>
          <w:color w:val="0070C0"/>
          <w:sz w:val="16"/>
          <w:szCs w:val="16"/>
        </w:rPr>
        <w:tab/>
        <w:t>-</w:t>
      </w:r>
      <w:r w:rsidRPr="00F90EAE">
        <w:rPr>
          <w:color w:val="0070C0"/>
          <w:sz w:val="16"/>
          <w:szCs w:val="16"/>
        </w:rPr>
        <w:tab/>
        <w:t>21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23D24669" w14:textId="77777777" w:rsidR="00B6122E" w:rsidRPr="00F90EAE" w:rsidRDefault="00B6122E" w:rsidP="00F90EAE">
      <w:pPr>
        <w:jc w:val="both"/>
        <w:rPr>
          <w:color w:val="0070C0"/>
          <w:sz w:val="16"/>
          <w:szCs w:val="16"/>
        </w:rPr>
      </w:pPr>
      <w:r w:rsidRPr="00F90EAE">
        <w:rPr>
          <w:color w:val="0070C0"/>
          <w:sz w:val="16"/>
          <w:szCs w:val="16"/>
        </w:rPr>
        <w:t>М2Р-6</w:t>
      </w:r>
      <w:r w:rsidRPr="00F90EAE">
        <w:rPr>
          <w:color w:val="0070C0"/>
          <w:sz w:val="16"/>
          <w:szCs w:val="16"/>
        </w:rPr>
        <w:tab/>
      </w:r>
      <w:r w:rsidRPr="00F90EAE">
        <w:rPr>
          <w:color w:val="0070C0"/>
          <w:sz w:val="16"/>
          <w:szCs w:val="16"/>
        </w:rPr>
        <w:tab/>
        <w:t>-</w:t>
      </w:r>
      <w:r w:rsidRPr="00F90EAE">
        <w:rPr>
          <w:color w:val="0070C0"/>
          <w:sz w:val="16"/>
          <w:szCs w:val="16"/>
        </w:rPr>
        <w:tab/>
        <w:t>13</w:t>
      </w:r>
      <w:r w:rsidRPr="00F90EAE">
        <w:rPr>
          <w:color w:val="0070C0"/>
          <w:sz w:val="16"/>
          <w:szCs w:val="16"/>
        </w:rPr>
        <w:tab/>
        <w:t>25</w:t>
      </w:r>
      <w:r w:rsidRPr="00F90EAE">
        <w:rPr>
          <w:color w:val="0070C0"/>
          <w:sz w:val="16"/>
          <w:szCs w:val="16"/>
        </w:rPr>
        <w:tab/>
        <w:t>5</w:t>
      </w:r>
      <w:r w:rsidRPr="00F90EAE">
        <w:rPr>
          <w:color w:val="0070C0"/>
          <w:sz w:val="16"/>
          <w:szCs w:val="16"/>
        </w:rPr>
        <w:tab/>
        <w:t>-</w:t>
      </w:r>
      <w:r w:rsidRPr="00F90EAE">
        <w:rPr>
          <w:color w:val="0070C0"/>
          <w:sz w:val="16"/>
          <w:szCs w:val="16"/>
        </w:rPr>
        <w:tab/>
        <w:t>-</w:t>
      </w:r>
    </w:p>
    <w:p w14:paraId="54E3F9F1" w14:textId="77777777" w:rsidR="00B6122E" w:rsidRPr="00F90EAE" w:rsidRDefault="00B6122E" w:rsidP="00F90EAE">
      <w:pPr>
        <w:jc w:val="both"/>
        <w:rPr>
          <w:color w:val="0070C0"/>
          <w:sz w:val="16"/>
          <w:szCs w:val="16"/>
        </w:rPr>
      </w:pPr>
      <w:r w:rsidRPr="00F90EAE">
        <w:rPr>
          <w:color w:val="0070C0"/>
          <w:sz w:val="16"/>
          <w:szCs w:val="16"/>
        </w:rPr>
        <w:t>ХАИ-5</w:t>
      </w:r>
      <w:r w:rsidRPr="00F90EAE">
        <w:rPr>
          <w:color w:val="0070C0"/>
          <w:sz w:val="16"/>
          <w:szCs w:val="16"/>
        </w:rPr>
        <w:tab/>
      </w:r>
      <w:r w:rsidRPr="00F90EAE">
        <w:rPr>
          <w:color w:val="0070C0"/>
          <w:sz w:val="16"/>
          <w:szCs w:val="16"/>
        </w:rPr>
        <w:tab/>
      </w:r>
      <w:r w:rsidRPr="00F90EAE">
        <w:rPr>
          <w:color w:val="0070C0"/>
          <w:sz w:val="16"/>
          <w:szCs w:val="16"/>
        </w:rPr>
        <w:tab/>
        <w:t>18</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t>-</w:t>
      </w:r>
    </w:p>
    <w:p w14:paraId="48F87D8C" w14:textId="77777777" w:rsidR="00B6122E" w:rsidRPr="00F90EAE" w:rsidRDefault="00B6122E" w:rsidP="00F90EAE">
      <w:pPr>
        <w:jc w:val="both"/>
        <w:rPr>
          <w:color w:val="0070C0"/>
          <w:sz w:val="16"/>
          <w:szCs w:val="16"/>
        </w:rPr>
      </w:pPr>
      <w:r w:rsidRPr="00F90EAE">
        <w:rPr>
          <w:color w:val="0070C0"/>
          <w:sz w:val="16"/>
          <w:szCs w:val="16"/>
        </w:rPr>
        <w:t>Итого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7FF54C61" w14:textId="77777777" w:rsidR="00B6122E" w:rsidRPr="00F90EAE" w:rsidRDefault="00B6122E" w:rsidP="00F90EAE">
      <w:pPr>
        <w:jc w:val="both"/>
        <w:rPr>
          <w:color w:val="0070C0"/>
          <w:sz w:val="16"/>
          <w:szCs w:val="16"/>
        </w:rPr>
      </w:pPr>
      <w:r w:rsidRPr="00F90EAE">
        <w:rPr>
          <w:color w:val="0070C0"/>
          <w:sz w:val="16"/>
          <w:szCs w:val="16"/>
        </w:rPr>
        <w:t>разведчиков</w:t>
      </w:r>
      <w:r w:rsidRPr="00F90EAE">
        <w:rPr>
          <w:color w:val="0070C0"/>
          <w:sz w:val="16"/>
          <w:szCs w:val="16"/>
        </w:rPr>
        <w:tab/>
      </w:r>
      <w:r w:rsidRPr="00F90EAE">
        <w:rPr>
          <w:color w:val="0070C0"/>
          <w:sz w:val="16"/>
          <w:szCs w:val="16"/>
        </w:rPr>
        <w:tab/>
        <w:t>527</w:t>
      </w:r>
      <w:r w:rsidRPr="00F90EAE">
        <w:rPr>
          <w:color w:val="0070C0"/>
          <w:sz w:val="16"/>
          <w:szCs w:val="16"/>
        </w:rPr>
        <w:tab/>
        <w:t>99</w:t>
      </w:r>
      <w:r w:rsidRPr="00F90EAE">
        <w:rPr>
          <w:color w:val="0070C0"/>
          <w:sz w:val="16"/>
          <w:szCs w:val="16"/>
        </w:rPr>
        <w:tab/>
        <w:t>25</w:t>
      </w:r>
      <w:r w:rsidRPr="00F90EAE">
        <w:rPr>
          <w:color w:val="0070C0"/>
          <w:sz w:val="16"/>
          <w:szCs w:val="16"/>
        </w:rPr>
        <w:tab/>
        <w:t>5</w:t>
      </w:r>
      <w:r w:rsidRPr="00F90EAE">
        <w:rPr>
          <w:color w:val="0070C0"/>
          <w:sz w:val="16"/>
          <w:szCs w:val="16"/>
        </w:rPr>
        <w:tab/>
        <w:t>-</w:t>
      </w:r>
      <w:r w:rsidRPr="00F90EAE">
        <w:rPr>
          <w:color w:val="0070C0"/>
          <w:sz w:val="16"/>
          <w:szCs w:val="16"/>
        </w:rPr>
        <w:tab/>
        <w:t>-</w:t>
      </w:r>
    </w:p>
    <w:p w14:paraId="0080345B" w14:textId="77777777" w:rsidR="00B6122E" w:rsidRPr="00F90EAE" w:rsidRDefault="00B6122E" w:rsidP="00F90EAE">
      <w:pPr>
        <w:jc w:val="both"/>
        <w:rPr>
          <w:color w:val="0070C0"/>
          <w:sz w:val="16"/>
          <w:szCs w:val="16"/>
        </w:rPr>
      </w:pPr>
      <w:r w:rsidRPr="00F90EAE">
        <w:rPr>
          <w:color w:val="0070C0"/>
          <w:sz w:val="16"/>
          <w:szCs w:val="16"/>
        </w:rPr>
        <w:t>И</w:t>
      </w:r>
      <w:r w:rsidRPr="00F90EAE">
        <w:rPr>
          <w:color w:val="0070C0"/>
          <w:sz w:val="16"/>
          <w:szCs w:val="16"/>
        </w:rPr>
        <w:tab/>
      </w:r>
      <w:r w:rsidRPr="00F90EAE">
        <w:rPr>
          <w:color w:val="0070C0"/>
          <w:sz w:val="16"/>
          <w:szCs w:val="16"/>
        </w:rPr>
        <w:tab/>
        <w:t>Li</w:t>
      </w:r>
      <w:r w:rsidRPr="00F90EAE">
        <w:rPr>
          <w:color w:val="0070C0"/>
          <w:sz w:val="16"/>
          <w:szCs w:val="16"/>
        </w:rPr>
        <w:tab/>
      </w:r>
      <w:r w:rsidRPr="00F90EAE">
        <w:rPr>
          <w:color w:val="0070C0"/>
          <w:sz w:val="16"/>
          <w:szCs w:val="16"/>
        </w:rPr>
        <w:tab/>
      </w:r>
      <w:r w:rsidRPr="00F90EAE">
        <w:rPr>
          <w:color w:val="0070C0"/>
          <w:sz w:val="16"/>
          <w:szCs w:val="16"/>
        </w:rPr>
        <w:tab/>
        <w:t>L3</w:t>
      </w:r>
      <w:r w:rsidRPr="00F90EAE">
        <w:rPr>
          <w:color w:val="0070C0"/>
          <w:sz w:val="16"/>
          <w:szCs w:val="16"/>
        </w:rPr>
        <w:tab/>
      </w:r>
      <w:r w:rsidRPr="00F90EAE">
        <w:rPr>
          <w:color w:val="0070C0"/>
          <w:sz w:val="16"/>
          <w:szCs w:val="16"/>
        </w:rPr>
        <w:tab/>
      </w:r>
      <w:r w:rsidRPr="00F90EAE">
        <w:rPr>
          <w:color w:val="0070C0"/>
          <w:sz w:val="16"/>
          <w:szCs w:val="16"/>
        </w:rPr>
        <w:tab/>
        <w:t>Li</w:t>
      </w:r>
      <w:r w:rsidRPr="00F90EAE">
        <w:rPr>
          <w:color w:val="0070C0"/>
          <w:sz w:val="16"/>
          <w:szCs w:val="16"/>
        </w:rPr>
        <w:tab/>
      </w:r>
      <w:r w:rsidRPr="00F90EAE">
        <w:rPr>
          <w:color w:val="0070C0"/>
          <w:sz w:val="16"/>
          <w:szCs w:val="16"/>
        </w:rPr>
        <w:tab/>
        <w:t>_J5</w:t>
      </w:r>
      <w:r w:rsidRPr="00F90EAE">
        <w:rPr>
          <w:color w:val="0070C0"/>
          <w:sz w:val="16"/>
          <w:szCs w:val="16"/>
        </w:rPr>
        <w:tab/>
      </w:r>
      <w:r w:rsidRPr="00F90EAE">
        <w:rPr>
          <w:color w:val="0070C0"/>
          <w:sz w:val="16"/>
          <w:szCs w:val="16"/>
        </w:rPr>
        <w:tab/>
        <w:t>le</w:t>
      </w:r>
      <w:r w:rsidRPr="00F90EAE">
        <w:rPr>
          <w:color w:val="0070C0"/>
          <w:sz w:val="16"/>
          <w:szCs w:val="16"/>
        </w:rPr>
        <w:tab/>
        <w:t>I7</w:t>
      </w:r>
      <w:r w:rsidRPr="00F90EAE">
        <w:rPr>
          <w:color w:val="0070C0"/>
          <w:sz w:val="16"/>
          <w:szCs w:val="16"/>
        </w:rPr>
        <w:tab/>
        <w:t>|8 |</w:t>
      </w:r>
    </w:p>
    <w:p w14:paraId="51653823" w14:textId="77777777" w:rsidR="00B6122E" w:rsidRPr="00F90EAE" w:rsidRDefault="00B6122E" w:rsidP="00F90EAE">
      <w:pPr>
        <w:jc w:val="both"/>
        <w:rPr>
          <w:color w:val="0070C0"/>
          <w:sz w:val="16"/>
          <w:szCs w:val="16"/>
        </w:rPr>
      </w:pPr>
      <w:r w:rsidRPr="00F90EAE">
        <w:rPr>
          <w:color w:val="0070C0"/>
          <w:sz w:val="16"/>
          <w:szCs w:val="16"/>
        </w:rPr>
        <w:t>ИЛ-2</w:t>
      </w:r>
      <w:r w:rsidRPr="00F90EAE">
        <w:rPr>
          <w:color w:val="0070C0"/>
          <w:sz w:val="16"/>
          <w:szCs w:val="16"/>
        </w:rPr>
        <w:tab/>
        <w:t>-</w:t>
      </w:r>
      <w:r w:rsidRPr="00F90EAE">
        <w:rPr>
          <w:color w:val="0070C0"/>
          <w:sz w:val="16"/>
          <w:szCs w:val="16"/>
        </w:rPr>
        <w:tab/>
        <w:t>-</w:t>
      </w:r>
      <w:r w:rsidRPr="00F90EAE">
        <w:rPr>
          <w:color w:val="0070C0"/>
          <w:sz w:val="16"/>
          <w:szCs w:val="16"/>
        </w:rPr>
        <w:tab/>
        <w:t>1542</w:t>
      </w:r>
      <w:r w:rsidRPr="00F90EAE">
        <w:rPr>
          <w:color w:val="0070C0"/>
          <w:sz w:val="16"/>
          <w:szCs w:val="16"/>
        </w:rPr>
        <w:tab/>
        <w:t>8229</w:t>
      </w:r>
      <w:r w:rsidRPr="00F90EAE">
        <w:rPr>
          <w:color w:val="0070C0"/>
          <w:sz w:val="16"/>
          <w:szCs w:val="16"/>
        </w:rPr>
        <w:tab/>
        <w:t>11193</w:t>
      </w:r>
      <w:r w:rsidRPr="00F90EAE">
        <w:rPr>
          <w:color w:val="0070C0"/>
          <w:sz w:val="16"/>
          <w:szCs w:val="16"/>
        </w:rPr>
        <w:tab/>
        <w:t>10888</w:t>
      </w:r>
    </w:p>
    <w:p w14:paraId="33276F95" w14:textId="77777777" w:rsidR="00B6122E" w:rsidRPr="00F90EAE" w:rsidRDefault="00B6122E" w:rsidP="00F90EAE">
      <w:pPr>
        <w:jc w:val="both"/>
        <w:rPr>
          <w:color w:val="0070C0"/>
          <w:sz w:val="16"/>
          <w:szCs w:val="16"/>
        </w:rPr>
      </w:pPr>
      <w:r w:rsidRPr="00F90EAE">
        <w:rPr>
          <w:color w:val="0070C0"/>
          <w:sz w:val="16"/>
          <w:szCs w:val="16"/>
        </w:rPr>
        <w:t>ИЛ-10</w:t>
      </w:r>
      <w:r w:rsidRPr="00F90EAE">
        <w:rPr>
          <w:color w:val="0070C0"/>
          <w:sz w:val="16"/>
          <w:szCs w:val="16"/>
        </w:rPr>
        <w:tab/>
        <w:t>~</w:t>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222</w:t>
      </w:r>
    </w:p>
    <w:p w14:paraId="0AF07668" w14:textId="77777777" w:rsidR="00B6122E" w:rsidRPr="00F90EAE" w:rsidRDefault="00B6122E" w:rsidP="00F90EAE">
      <w:pPr>
        <w:jc w:val="both"/>
        <w:rPr>
          <w:color w:val="0070C0"/>
          <w:sz w:val="16"/>
          <w:szCs w:val="16"/>
        </w:rPr>
      </w:pPr>
      <w:r w:rsidRPr="00F90EAE">
        <w:rPr>
          <w:color w:val="0070C0"/>
          <w:sz w:val="16"/>
          <w:szCs w:val="16"/>
        </w:rPr>
        <w:t>Итого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45FB2E00" w14:textId="77777777" w:rsidR="00B6122E" w:rsidRPr="00F90EAE" w:rsidRDefault="00B6122E" w:rsidP="00F90EAE">
      <w:pPr>
        <w:jc w:val="both"/>
        <w:rPr>
          <w:color w:val="0070C0"/>
          <w:sz w:val="16"/>
          <w:szCs w:val="16"/>
        </w:rPr>
      </w:pPr>
      <w:r w:rsidRPr="00F90EAE">
        <w:rPr>
          <w:color w:val="0070C0"/>
          <w:sz w:val="16"/>
          <w:szCs w:val="16"/>
        </w:rPr>
        <w:t>штурмовиков  Бомбардировщики</w:t>
      </w:r>
      <w:r w:rsidRPr="00F90EAE">
        <w:rPr>
          <w:color w:val="0070C0"/>
          <w:sz w:val="16"/>
          <w:szCs w:val="16"/>
        </w:rPr>
        <w:tab/>
      </w:r>
      <w:r w:rsidRPr="00F90EAE">
        <w:rPr>
          <w:color w:val="0070C0"/>
          <w:sz w:val="16"/>
          <w:szCs w:val="16"/>
        </w:rPr>
        <w:tab/>
      </w:r>
      <w:r w:rsidRPr="00F90EAE">
        <w:rPr>
          <w:color w:val="0070C0"/>
          <w:sz w:val="16"/>
          <w:szCs w:val="16"/>
        </w:rPr>
        <w:tab/>
        <w:t>1542</w:t>
      </w:r>
      <w:r w:rsidRPr="00F90EAE">
        <w:rPr>
          <w:color w:val="0070C0"/>
          <w:sz w:val="16"/>
          <w:szCs w:val="16"/>
        </w:rPr>
        <w:tab/>
        <w:t>8229</w:t>
      </w:r>
      <w:r w:rsidRPr="00F90EAE">
        <w:rPr>
          <w:color w:val="0070C0"/>
          <w:sz w:val="16"/>
          <w:szCs w:val="16"/>
        </w:rPr>
        <w:tab/>
        <w:t>11193</w:t>
      </w:r>
      <w:r w:rsidRPr="00F90EAE">
        <w:rPr>
          <w:color w:val="0070C0"/>
          <w:sz w:val="16"/>
          <w:szCs w:val="16"/>
        </w:rPr>
        <w:tab/>
        <w:t>11110</w:t>
      </w:r>
    </w:p>
    <w:p w14:paraId="50209502" w14:textId="77777777" w:rsidR="00B6122E" w:rsidRPr="00F90EAE" w:rsidRDefault="00B6122E" w:rsidP="00F90EAE">
      <w:pPr>
        <w:jc w:val="both"/>
        <w:rPr>
          <w:color w:val="0070C0"/>
          <w:sz w:val="16"/>
          <w:szCs w:val="16"/>
        </w:rPr>
      </w:pPr>
      <w:r w:rsidRPr="00F90EAE">
        <w:rPr>
          <w:color w:val="0070C0"/>
          <w:sz w:val="16"/>
          <w:szCs w:val="16"/>
        </w:rPr>
        <w:t>ДБ-3</w:t>
      </w:r>
      <w:r w:rsidRPr="00F90EAE">
        <w:rPr>
          <w:color w:val="0070C0"/>
          <w:sz w:val="16"/>
          <w:szCs w:val="16"/>
        </w:rPr>
        <w:tab/>
        <w:t>959</w:t>
      </w:r>
      <w:r w:rsidRPr="00F90EAE">
        <w:rPr>
          <w:color w:val="0070C0"/>
          <w:sz w:val="16"/>
          <w:szCs w:val="16"/>
        </w:rPr>
        <w:tab/>
        <w:t>100</w:t>
      </w:r>
      <w:r w:rsidRPr="00F90EAE">
        <w:rPr>
          <w:color w:val="0070C0"/>
          <w:sz w:val="16"/>
          <w:szCs w:val="16"/>
        </w:rPr>
        <w:tab/>
        <w:t>25</w:t>
      </w:r>
      <w:r w:rsidRPr="00F90EAE">
        <w:rPr>
          <w:color w:val="0070C0"/>
          <w:sz w:val="16"/>
          <w:szCs w:val="16"/>
        </w:rPr>
        <w:tab/>
        <w:t>-</w:t>
      </w:r>
      <w:r w:rsidRPr="00F90EAE">
        <w:rPr>
          <w:color w:val="0070C0"/>
          <w:sz w:val="16"/>
          <w:szCs w:val="16"/>
        </w:rPr>
        <w:tab/>
        <w:t>-</w:t>
      </w:r>
      <w:r w:rsidRPr="00F90EAE">
        <w:rPr>
          <w:color w:val="0070C0"/>
          <w:sz w:val="16"/>
          <w:szCs w:val="16"/>
        </w:rPr>
        <w:tab/>
        <w:t>-</w:t>
      </w:r>
    </w:p>
    <w:p w14:paraId="0D0153DB" w14:textId="77777777" w:rsidR="00B6122E" w:rsidRPr="00F90EAE" w:rsidRDefault="00B6122E" w:rsidP="00F90EAE">
      <w:pPr>
        <w:jc w:val="both"/>
        <w:rPr>
          <w:color w:val="0070C0"/>
          <w:sz w:val="16"/>
          <w:szCs w:val="16"/>
        </w:rPr>
      </w:pPr>
      <w:r w:rsidRPr="00F90EAE">
        <w:rPr>
          <w:color w:val="0070C0"/>
          <w:sz w:val="16"/>
          <w:szCs w:val="16"/>
        </w:rPr>
        <w:t>ДБ-А</w:t>
      </w:r>
      <w:r w:rsidRPr="00F90EAE">
        <w:rPr>
          <w:color w:val="0070C0"/>
          <w:sz w:val="16"/>
          <w:szCs w:val="16"/>
        </w:rPr>
        <w:tab/>
        <w:t>5</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06FAC224" w14:textId="77777777" w:rsidR="00B6122E" w:rsidRPr="00F90EAE" w:rsidRDefault="00B6122E" w:rsidP="00F90EAE">
      <w:pPr>
        <w:jc w:val="both"/>
        <w:rPr>
          <w:color w:val="0070C0"/>
          <w:sz w:val="16"/>
          <w:szCs w:val="16"/>
        </w:rPr>
      </w:pPr>
      <w:r w:rsidRPr="00F90EAE">
        <w:rPr>
          <w:color w:val="0070C0"/>
          <w:sz w:val="16"/>
          <w:szCs w:val="16"/>
        </w:rPr>
        <w:t>СБ</w:t>
      </w:r>
      <w:r w:rsidRPr="00F90EAE">
        <w:rPr>
          <w:color w:val="0070C0"/>
          <w:sz w:val="16"/>
          <w:szCs w:val="16"/>
        </w:rPr>
        <w:tab/>
        <w:t>1778</w:t>
      </w:r>
      <w:r w:rsidRPr="00F90EAE">
        <w:rPr>
          <w:color w:val="0070C0"/>
          <w:sz w:val="16"/>
          <w:szCs w:val="16"/>
        </w:rPr>
        <w:tab/>
        <w:t>2124</w:t>
      </w:r>
      <w:r w:rsidRPr="00F90EAE">
        <w:rPr>
          <w:color w:val="0070C0"/>
          <w:sz w:val="16"/>
          <w:szCs w:val="16"/>
        </w:rPr>
        <w:tab/>
        <w:t>93</w:t>
      </w:r>
      <w:r w:rsidRPr="00F90EAE">
        <w:rPr>
          <w:color w:val="0070C0"/>
          <w:sz w:val="16"/>
          <w:szCs w:val="16"/>
        </w:rPr>
        <w:tab/>
        <w:t>-</w:t>
      </w:r>
      <w:r w:rsidRPr="00F90EAE">
        <w:rPr>
          <w:color w:val="0070C0"/>
          <w:sz w:val="16"/>
          <w:szCs w:val="16"/>
        </w:rPr>
        <w:tab/>
        <w:t>-</w:t>
      </w:r>
      <w:r w:rsidRPr="00F90EAE">
        <w:rPr>
          <w:color w:val="0070C0"/>
          <w:sz w:val="16"/>
          <w:szCs w:val="16"/>
        </w:rPr>
        <w:tab/>
        <w:t>-</w:t>
      </w:r>
    </w:p>
    <w:p w14:paraId="5CF6A0CA" w14:textId="77777777" w:rsidR="00B6122E" w:rsidRPr="00F90EAE" w:rsidRDefault="00B6122E" w:rsidP="00F90EAE">
      <w:pPr>
        <w:jc w:val="both"/>
        <w:rPr>
          <w:color w:val="0070C0"/>
          <w:sz w:val="16"/>
          <w:szCs w:val="16"/>
        </w:rPr>
      </w:pPr>
      <w:r w:rsidRPr="00F90EAE">
        <w:rPr>
          <w:color w:val="0070C0"/>
          <w:sz w:val="16"/>
          <w:szCs w:val="16"/>
        </w:rPr>
        <w:t>ПЕ-8</w:t>
      </w:r>
      <w:r w:rsidRPr="00F90EAE">
        <w:rPr>
          <w:color w:val="0070C0"/>
          <w:sz w:val="16"/>
          <w:szCs w:val="16"/>
        </w:rPr>
        <w:tab/>
        <w:t>2</w:t>
      </w:r>
      <w:r w:rsidRPr="00F90EAE">
        <w:rPr>
          <w:color w:val="0070C0"/>
          <w:sz w:val="16"/>
          <w:szCs w:val="16"/>
        </w:rPr>
        <w:tab/>
        <w:t>10</w:t>
      </w:r>
      <w:r w:rsidRPr="00F90EAE">
        <w:rPr>
          <w:color w:val="0070C0"/>
          <w:sz w:val="16"/>
          <w:szCs w:val="16"/>
        </w:rPr>
        <w:tab/>
        <w:t>23</w:t>
      </w:r>
      <w:r w:rsidRPr="00F90EAE">
        <w:rPr>
          <w:color w:val="0070C0"/>
          <w:sz w:val="16"/>
          <w:szCs w:val="16"/>
        </w:rPr>
        <w:tab/>
        <w:t>22</w:t>
      </w:r>
      <w:r w:rsidRPr="00F90EAE">
        <w:rPr>
          <w:color w:val="0070C0"/>
          <w:sz w:val="16"/>
          <w:szCs w:val="16"/>
        </w:rPr>
        <w:tab/>
        <w:t>29</w:t>
      </w:r>
      <w:r w:rsidRPr="00F90EAE">
        <w:rPr>
          <w:color w:val="0070C0"/>
          <w:sz w:val="16"/>
          <w:szCs w:val="16"/>
        </w:rPr>
        <w:tab/>
        <w:t>5</w:t>
      </w:r>
    </w:p>
    <w:p w14:paraId="7C834AAF" w14:textId="77777777" w:rsidR="00B6122E" w:rsidRPr="00F90EAE" w:rsidRDefault="00B6122E" w:rsidP="00F90EAE">
      <w:pPr>
        <w:jc w:val="both"/>
        <w:rPr>
          <w:color w:val="0070C0"/>
          <w:sz w:val="16"/>
          <w:szCs w:val="16"/>
        </w:rPr>
      </w:pPr>
      <w:r w:rsidRPr="00F90EAE">
        <w:rPr>
          <w:color w:val="0070C0"/>
          <w:sz w:val="16"/>
          <w:szCs w:val="16"/>
        </w:rPr>
        <w:t>ИЛ-4</w:t>
      </w:r>
      <w:r w:rsidRPr="00F90EAE">
        <w:rPr>
          <w:color w:val="0070C0"/>
          <w:sz w:val="16"/>
          <w:szCs w:val="16"/>
        </w:rPr>
        <w:tab/>
        <w:t>-</w:t>
      </w:r>
      <w:r w:rsidRPr="00F90EAE">
        <w:rPr>
          <w:color w:val="0070C0"/>
          <w:sz w:val="16"/>
          <w:szCs w:val="16"/>
        </w:rPr>
        <w:tab/>
        <w:t>1006</w:t>
      </w:r>
      <w:r w:rsidRPr="00F90EAE">
        <w:rPr>
          <w:color w:val="0070C0"/>
          <w:sz w:val="16"/>
          <w:szCs w:val="16"/>
        </w:rPr>
        <w:tab/>
        <w:t>732</w:t>
      </w:r>
      <w:r w:rsidRPr="00F90EAE">
        <w:rPr>
          <w:color w:val="0070C0"/>
          <w:sz w:val="16"/>
          <w:szCs w:val="16"/>
        </w:rPr>
        <w:tab/>
        <w:t>858</w:t>
      </w:r>
      <w:r w:rsidRPr="00F90EAE">
        <w:rPr>
          <w:color w:val="0070C0"/>
          <w:sz w:val="16"/>
          <w:szCs w:val="16"/>
        </w:rPr>
        <w:tab/>
        <w:t>1568</w:t>
      </w:r>
      <w:r w:rsidRPr="00F90EAE">
        <w:rPr>
          <w:color w:val="0070C0"/>
          <w:sz w:val="16"/>
          <w:szCs w:val="16"/>
        </w:rPr>
        <w:tab/>
        <w:t>706</w:t>
      </w:r>
    </w:p>
    <w:p w14:paraId="53D50B97" w14:textId="77777777" w:rsidR="00B6122E" w:rsidRPr="00F90EAE" w:rsidRDefault="00B6122E" w:rsidP="00F90EAE">
      <w:pPr>
        <w:jc w:val="both"/>
        <w:rPr>
          <w:color w:val="0070C0"/>
          <w:sz w:val="16"/>
          <w:szCs w:val="16"/>
        </w:rPr>
      </w:pPr>
      <w:r w:rsidRPr="00F90EAE">
        <w:rPr>
          <w:color w:val="0070C0"/>
          <w:sz w:val="16"/>
          <w:szCs w:val="16"/>
        </w:rPr>
        <w:t>АР-2</w:t>
      </w:r>
      <w:r w:rsidRPr="00F90EAE">
        <w:rPr>
          <w:color w:val="0070C0"/>
          <w:sz w:val="16"/>
          <w:szCs w:val="16"/>
        </w:rPr>
        <w:tab/>
        <w:t>-</w:t>
      </w:r>
      <w:r w:rsidRPr="00F90EAE">
        <w:rPr>
          <w:color w:val="0070C0"/>
          <w:sz w:val="16"/>
          <w:szCs w:val="16"/>
        </w:rPr>
        <w:tab/>
        <w:t>71</w:t>
      </w:r>
      <w:r w:rsidRPr="00F90EAE">
        <w:rPr>
          <w:color w:val="0070C0"/>
          <w:sz w:val="16"/>
          <w:szCs w:val="16"/>
        </w:rPr>
        <w:tab/>
        <w:t>127</w:t>
      </w:r>
      <w:r w:rsidRPr="00F90EAE">
        <w:rPr>
          <w:color w:val="0070C0"/>
          <w:sz w:val="16"/>
          <w:szCs w:val="16"/>
        </w:rPr>
        <w:tab/>
        <w:t>-</w:t>
      </w:r>
      <w:r w:rsidRPr="00F90EAE">
        <w:rPr>
          <w:color w:val="0070C0"/>
          <w:sz w:val="16"/>
          <w:szCs w:val="16"/>
        </w:rPr>
        <w:tab/>
        <w:t>-</w:t>
      </w:r>
      <w:r w:rsidRPr="00F90EAE">
        <w:rPr>
          <w:color w:val="0070C0"/>
          <w:sz w:val="16"/>
          <w:szCs w:val="16"/>
        </w:rPr>
        <w:tab/>
        <w:t>-</w:t>
      </w:r>
    </w:p>
    <w:p w14:paraId="2F2A8EFA" w14:textId="77777777" w:rsidR="00B6122E" w:rsidRPr="00F90EAE" w:rsidRDefault="00B6122E" w:rsidP="00F90EAE">
      <w:pPr>
        <w:jc w:val="both"/>
        <w:rPr>
          <w:color w:val="0070C0"/>
          <w:sz w:val="16"/>
          <w:szCs w:val="16"/>
        </w:rPr>
      </w:pPr>
      <w:r w:rsidRPr="00F90EAE">
        <w:rPr>
          <w:color w:val="0070C0"/>
          <w:sz w:val="16"/>
          <w:szCs w:val="16"/>
        </w:rPr>
        <w:t>ЯК-4</w:t>
      </w:r>
      <w:r w:rsidRPr="00F90EAE">
        <w:rPr>
          <w:color w:val="0070C0"/>
          <w:sz w:val="16"/>
          <w:szCs w:val="16"/>
        </w:rPr>
        <w:tab/>
        <w:t>-</w:t>
      </w:r>
      <w:r w:rsidRPr="00F90EAE">
        <w:rPr>
          <w:color w:val="0070C0"/>
          <w:sz w:val="16"/>
          <w:szCs w:val="16"/>
        </w:rPr>
        <w:tab/>
        <w:t>138</w:t>
      </w:r>
      <w:r w:rsidRPr="00F90EAE">
        <w:rPr>
          <w:color w:val="0070C0"/>
          <w:sz w:val="16"/>
          <w:szCs w:val="16"/>
        </w:rPr>
        <w:tab/>
        <w:t>63</w:t>
      </w:r>
      <w:r w:rsidRPr="00F90EAE">
        <w:rPr>
          <w:color w:val="0070C0"/>
          <w:sz w:val="16"/>
          <w:szCs w:val="16"/>
        </w:rPr>
        <w:tab/>
        <w:t>-</w:t>
      </w:r>
      <w:r w:rsidRPr="00F90EAE">
        <w:rPr>
          <w:color w:val="0070C0"/>
          <w:sz w:val="16"/>
          <w:szCs w:val="16"/>
        </w:rPr>
        <w:tab/>
        <w:t>-</w:t>
      </w:r>
      <w:r w:rsidRPr="00F90EAE">
        <w:rPr>
          <w:color w:val="0070C0"/>
          <w:sz w:val="16"/>
          <w:szCs w:val="16"/>
        </w:rPr>
        <w:tab/>
        <w:t>-</w:t>
      </w:r>
    </w:p>
    <w:p w14:paraId="0EBBCE9C" w14:textId="77777777" w:rsidR="00B6122E" w:rsidRPr="00F90EAE" w:rsidRDefault="00B6122E" w:rsidP="00F90EAE">
      <w:pPr>
        <w:jc w:val="both"/>
        <w:rPr>
          <w:color w:val="0070C0"/>
          <w:sz w:val="16"/>
          <w:szCs w:val="16"/>
        </w:rPr>
      </w:pPr>
      <w:r w:rsidRPr="00F90EAE">
        <w:rPr>
          <w:color w:val="0070C0"/>
          <w:sz w:val="16"/>
          <w:szCs w:val="16"/>
        </w:rPr>
        <w:t>СУ-2</w:t>
      </w:r>
      <w:r w:rsidRPr="00F90EAE">
        <w:rPr>
          <w:color w:val="0070C0"/>
          <w:sz w:val="16"/>
          <w:szCs w:val="16"/>
        </w:rPr>
        <w:tab/>
        <w:t>-</w:t>
      </w:r>
      <w:r w:rsidRPr="00F90EAE">
        <w:rPr>
          <w:color w:val="0070C0"/>
          <w:sz w:val="16"/>
          <w:szCs w:val="16"/>
        </w:rPr>
        <w:tab/>
        <w:t>125</w:t>
      </w:r>
      <w:r w:rsidRPr="00F90EAE">
        <w:rPr>
          <w:color w:val="0070C0"/>
          <w:sz w:val="16"/>
          <w:szCs w:val="16"/>
        </w:rPr>
        <w:tab/>
        <w:t>728</w:t>
      </w:r>
      <w:r w:rsidRPr="00F90EAE">
        <w:rPr>
          <w:color w:val="0070C0"/>
          <w:sz w:val="16"/>
          <w:szCs w:val="16"/>
        </w:rPr>
        <w:tab/>
        <w:t>40</w:t>
      </w:r>
      <w:r w:rsidRPr="00F90EAE">
        <w:rPr>
          <w:color w:val="0070C0"/>
          <w:sz w:val="16"/>
          <w:szCs w:val="16"/>
        </w:rPr>
        <w:tab/>
        <w:t>-</w:t>
      </w:r>
      <w:r w:rsidRPr="00F90EAE">
        <w:rPr>
          <w:color w:val="0070C0"/>
          <w:sz w:val="16"/>
          <w:szCs w:val="16"/>
        </w:rPr>
        <w:tab/>
        <w:t>-</w:t>
      </w:r>
    </w:p>
    <w:p w14:paraId="55F1FC94" w14:textId="77777777" w:rsidR="00B6122E" w:rsidRPr="00F90EAE" w:rsidRDefault="00B6122E" w:rsidP="00F90EAE">
      <w:pPr>
        <w:jc w:val="both"/>
        <w:rPr>
          <w:color w:val="0070C0"/>
          <w:sz w:val="16"/>
          <w:szCs w:val="16"/>
        </w:rPr>
      </w:pPr>
      <w:r w:rsidRPr="00F90EAE">
        <w:rPr>
          <w:color w:val="0070C0"/>
          <w:sz w:val="16"/>
          <w:szCs w:val="16"/>
        </w:rPr>
        <w:t>БЕ-4</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6</w:t>
      </w:r>
      <w:r w:rsidRPr="00F90EAE">
        <w:rPr>
          <w:color w:val="0070C0"/>
          <w:sz w:val="16"/>
          <w:szCs w:val="16"/>
        </w:rPr>
        <w:tab/>
        <w:t>-</w:t>
      </w:r>
      <w:r w:rsidRPr="00F90EAE">
        <w:rPr>
          <w:color w:val="0070C0"/>
          <w:sz w:val="16"/>
          <w:szCs w:val="16"/>
        </w:rPr>
        <w:tab/>
        <w:t>-</w:t>
      </w:r>
    </w:p>
    <w:p w14:paraId="3F73A5AA" w14:textId="77777777" w:rsidR="00B6122E" w:rsidRPr="00F90EAE" w:rsidRDefault="00B6122E" w:rsidP="00F90EAE">
      <w:pPr>
        <w:jc w:val="both"/>
        <w:rPr>
          <w:color w:val="0070C0"/>
          <w:sz w:val="16"/>
          <w:szCs w:val="16"/>
        </w:rPr>
      </w:pPr>
      <w:r w:rsidRPr="00F90EAE">
        <w:rPr>
          <w:color w:val="0070C0"/>
          <w:sz w:val="16"/>
          <w:szCs w:val="16"/>
        </w:rPr>
        <w:t>ПЕ-2 и ПЕ-3</w:t>
      </w:r>
      <w:r w:rsidRPr="00F90EAE">
        <w:rPr>
          <w:color w:val="0070C0"/>
          <w:sz w:val="16"/>
          <w:szCs w:val="16"/>
        </w:rPr>
        <w:tab/>
        <w:t>-</w:t>
      </w:r>
      <w:r w:rsidRPr="00F90EAE">
        <w:rPr>
          <w:color w:val="0070C0"/>
          <w:sz w:val="16"/>
          <w:szCs w:val="16"/>
        </w:rPr>
        <w:tab/>
        <w:t>1</w:t>
      </w:r>
      <w:r w:rsidRPr="00F90EAE">
        <w:rPr>
          <w:color w:val="0070C0"/>
          <w:sz w:val="16"/>
          <w:szCs w:val="16"/>
        </w:rPr>
        <w:tab/>
        <w:t>1867</w:t>
      </w:r>
      <w:r w:rsidRPr="00F90EAE">
        <w:rPr>
          <w:color w:val="0070C0"/>
          <w:sz w:val="16"/>
          <w:szCs w:val="16"/>
        </w:rPr>
        <w:tab/>
        <w:t>2524</w:t>
      </w:r>
      <w:r w:rsidRPr="00F90EAE">
        <w:rPr>
          <w:color w:val="0070C0"/>
          <w:sz w:val="16"/>
          <w:szCs w:val="16"/>
        </w:rPr>
        <w:tab/>
        <w:t>2441</w:t>
      </w:r>
      <w:r w:rsidRPr="00F90EAE">
        <w:rPr>
          <w:color w:val="0070C0"/>
          <w:sz w:val="16"/>
          <w:szCs w:val="16"/>
        </w:rPr>
        <w:tab/>
        <w:t>2963</w:t>
      </w:r>
    </w:p>
    <w:p w14:paraId="52A733D0" w14:textId="77777777" w:rsidR="00B6122E" w:rsidRPr="00F90EAE" w:rsidRDefault="00B6122E" w:rsidP="00F90EAE">
      <w:pPr>
        <w:jc w:val="both"/>
        <w:rPr>
          <w:color w:val="0070C0"/>
          <w:sz w:val="16"/>
          <w:szCs w:val="16"/>
        </w:rPr>
      </w:pPr>
      <w:r w:rsidRPr="00F90EAE">
        <w:rPr>
          <w:color w:val="0070C0"/>
          <w:sz w:val="16"/>
          <w:szCs w:val="16"/>
        </w:rPr>
        <w:t>ЕР-2</w:t>
      </w:r>
      <w:r w:rsidRPr="00F90EAE">
        <w:rPr>
          <w:color w:val="0070C0"/>
          <w:sz w:val="16"/>
          <w:szCs w:val="16"/>
        </w:rPr>
        <w:tab/>
        <w:t>-</w:t>
      </w:r>
      <w:r w:rsidRPr="00F90EAE">
        <w:rPr>
          <w:color w:val="0070C0"/>
          <w:sz w:val="16"/>
          <w:szCs w:val="16"/>
        </w:rPr>
        <w:tab/>
        <w:t>-</w:t>
      </w:r>
      <w:r w:rsidRPr="00F90EAE">
        <w:rPr>
          <w:color w:val="0070C0"/>
          <w:sz w:val="16"/>
          <w:szCs w:val="16"/>
        </w:rPr>
        <w:tab/>
        <w:t>71</w:t>
      </w:r>
      <w:r w:rsidRPr="00F90EAE">
        <w:rPr>
          <w:color w:val="0070C0"/>
          <w:sz w:val="16"/>
          <w:szCs w:val="16"/>
        </w:rPr>
        <w:tab/>
        <w:t>-</w:t>
      </w:r>
      <w:r w:rsidRPr="00F90EAE">
        <w:rPr>
          <w:color w:val="0070C0"/>
          <w:sz w:val="16"/>
          <w:szCs w:val="16"/>
        </w:rPr>
        <w:tab/>
        <w:t>2</w:t>
      </w:r>
      <w:r w:rsidRPr="00F90EAE">
        <w:rPr>
          <w:color w:val="0070C0"/>
          <w:sz w:val="16"/>
          <w:szCs w:val="16"/>
        </w:rPr>
        <w:tab/>
        <w:t>148</w:t>
      </w:r>
    </w:p>
    <w:p w14:paraId="737B9038" w14:textId="77777777" w:rsidR="00B6122E" w:rsidRPr="00F90EAE" w:rsidRDefault="00B6122E" w:rsidP="00F90EAE">
      <w:pPr>
        <w:jc w:val="both"/>
        <w:rPr>
          <w:color w:val="0070C0"/>
          <w:sz w:val="16"/>
          <w:szCs w:val="16"/>
        </w:rPr>
      </w:pPr>
      <w:r w:rsidRPr="00F90EAE">
        <w:rPr>
          <w:color w:val="0070C0"/>
          <w:sz w:val="16"/>
          <w:szCs w:val="16"/>
        </w:rPr>
        <w:t>ТУ-2</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79</w:t>
      </w:r>
      <w:r w:rsidRPr="00F90EAE">
        <w:rPr>
          <w:color w:val="0070C0"/>
          <w:sz w:val="16"/>
          <w:szCs w:val="16"/>
        </w:rPr>
        <w:tab/>
        <w:t>17</w:t>
      </w:r>
      <w:r w:rsidRPr="00F90EAE">
        <w:rPr>
          <w:color w:val="0070C0"/>
          <w:sz w:val="16"/>
          <w:szCs w:val="16"/>
        </w:rPr>
        <w:tab/>
        <w:t>378</w:t>
      </w:r>
    </w:p>
    <w:p w14:paraId="6658B67E" w14:textId="77777777" w:rsidR="00B6122E" w:rsidRPr="00F90EAE" w:rsidRDefault="00B6122E" w:rsidP="00F90EAE">
      <w:pPr>
        <w:jc w:val="both"/>
        <w:rPr>
          <w:color w:val="0070C0"/>
          <w:sz w:val="16"/>
          <w:szCs w:val="16"/>
        </w:rPr>
      </w:pPr>
      <w:r w:rsidRPr="00F90EAE">
        <w:rPr>
          <w:color w:val="0070C0"/>
          <w:sz w:val="16"/>
          <w:szCs w:val="16"/>
        </w:rPr>
        <w:t xml:space="preserve">Итого бомбардировщиков </w:t>
      </w:r>
    </w:p>
    <w:p w14:paraId="745DED3E" w14:textId="77777777" w:rsidR="00B6122E" w:rsidRPr="00F90EAE" w:rsidRDefault="00B6122E" w:rsidP="00F90EAE">
      <w:pPr>
        <w:jc w:val="both"/>
        <w:rPr>
          <w:color w:val="0070C0"/>
          <w:sz w:val="16"/>
          <w:szCs w:val="16"/>
        </w:rPr>
      </w:pPr>
      <w:r w:rsidRPr="00F90EAE">
        <w:rPr>
          <w:color w:val="0070C0"/>
          <w:sz w:val="16"/>
          <w:szCs w:val="16"/>
        </w:rPr>
        <w:t>Всего боевых</w:t>
      </w:r>
      <w:r w:rsidRPr="00F90EAE">
        <w:rPr>
          <w:color w:val="0070C0"/>
          <w:sz w:val="16"/>
          <w:szCs w:val="16"/>
        </w:rPr>
        <w:tab/>
        <w:t>2744</w:t>
      </w:r>
      <w:r w:rsidRPr="00F90EAE">
        <w:rPr>
          <w:color w:val="0070C0"/>
          <w:sz w:val="16"/>
          <w:szCs w:val="16"/>
        </w:rPr>
        <w:tab/>
        <w:t>3576</w:t>
      </w:r>
      <w:r w:rsidRPr="00F90EAE">
        <w:rPr>
          <w:color w:val="0070C0"/>
          <w:sz w:val="16"/>
          <w:szCs w:val="16"/>
        </w:rPr>
        <w:tab/>
        <w:t>3729</w:t>
      </w:r>
      <w:r w:rsidRPr="00F90EAE">
        <w:rPr>
          <w:color w:val="0070C0"/>
          <w:sz w:val="16"/>
          <w:szCs w:val="16"/>
        </w:rPr>
        <w:tab/>
        <w:t>3529</w:t>
      </w:r>
      <w:r w:rsidRPr="00F90EAE">
        <w:rPr>
          <w:color w:val="0070C0"/>
          <w:sz w:val="16"/>
          <w:szCs w:val="16"/>
        </w:rPr>
        <w:tab/>
        <w:t>4057</w:t>
      </w:r>
      <w:r w:rsidRPr="00F90EAE">
        <w:rPr>
          <w:color w:val="0070C0"/>
          <w:sz w:val="16"/>
          <w:szCs w:val="16"/>
        </w:rPr>
        <w:tab/>
        <w:t>4200</w:t>
      </w:r>
    </w:p>
    <w:p w14:paraId="52634BD3" w14:textId="77777777" w:rsidR="00B6122E" w:rsidRPr="00F90EAE" w:rsidRDefault="00B6122E" w:rsidP="00F90EAE">
      <w:pPr>
        <w:jc w:val="both"/>
        <w:rPr>
          <w:color w:val="0070C0"/>
          <w:sz w:val="16"/>
          <w:szCs w:val="16"/>
        </w:rPr>
      </w:pPr>
      <w:r w:rsidRPr="00F90EAE">
        <w:rPr>
          <w:color w:val="0070C0"/>
          <w:sz w:val="16"/>
          <w:szCs w:val="16"/>
        </w:rPr>
        <w:t>самолетов</w:t>
      </w:r>
      <w:r w:rsidRPr="00F90EAE">
        <w:rPr>
          <w:color w:val="0070C0"/>
          <w:sz w:val="16"/>
          <w:szCs w:val="16"/>
        </w:rPr>
        <w:tab/>
        <w:t>6997</w:t>
      </w:r>
      <w:r w:rsidRPr="00F90EAE">
        <w:rPr>
          <w:color w:val="0070C0"/>
          <w:sz w:val="16"/>
          <w:szCs w:val="16"/>
        </w:rPr>
        <w:tab/>
        <w:t>8331</w:t>
      </w:r>
      <w:r w:rsidRPr="00F90EAE">
        <w:rPr>
          <w:color w:val="0070C0"/>
          <w:sz w:val="16"/>
          <w:szCs w:val="16"/>
        </w:rPr>
        <w:tab/>
        <w:t>12377</w:t>
      </w:r>
      <w:r w:rsidRPr="00F90EAE">
        <w:rPr>
          <w:color w:val="0070C0"/>
          <w:sz w:val="16"/>
          <w:szCs w:val="16"/>
        </w:rPr>
        <w:tab/>
        <w:t>21681</w:t>
      </w:r>
      <w:r w:rsidRPr="00F90EAE">
        <w:rPr>
          <w:color w:val="0070C0"/>
          <w:sz w:val="16"/>
          <w:szCs w:val="16"/>
        </w:rPr>
        <w:tab/>
        <w:t>29877</w:t>
      </w:r>
      <w:r w:rsidRPr="00F90EAE">
        <w:rPr>
          <w:color w:val="0070C0"/>
          <w:sz w:val="16"/>
          <w:szCs w:val="16"/>
        </w:rPr>
        <w:tab/>
        <w:t>33205</w:t>
      </w:r>
    </w:p>
    <w:p w14:paraId="4660B17F" w14:textId="77777777" w:rsidR="00B6122E" w:rsidRPr="00F90EAE" w:rsidRDefault="00B6122E" w:rsidP="00F90EAE">
      <w:pPr>
        <w:jc w:val="both"/>
        <w:rPr>
          <w:color w:val="0070C0"/>
          <w:sz w:val="16"/>
          <w:szCs w:val="16"/>
        </w:rPr>
      </w:pPr>
      <w:r w:rsidRPr="00F90EAE">
        <w:rPr>
          <w:color w:val="0070C0"/>
          <w:sz w:val="16"/>
          <w:szCs w:val="16"/>
        </w:rPr>
        <w:t>Транспортные</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068638CC" w14:textId="77777777" w:rsidR="00B6122E" w:rsidRPr="00F90EAE" w:rsidRDefault="00B6122E" w:rsidP="00F90EAE">
      <w:pPr>
        <w:jc w:val="both"/>
        <w:rPr>
          <w:color w:val="0070C0"/>
          <w:sz w:val="16"/>
          <w:szCs w:val="16"/>
        </w:rPr>
      </w:pPr>
      <w:r w:rsidRPr="00F90EAE">
        <w:rPr>
          <w:color w:val="0070C0"/>
          <w:sz w:val="16"/>
          <w:szCs w:val="16"/>
        </w:rPr>
        <w:t>ЛИ-2</w:t>
      </w:r>
      <w:r w:rsidRPr="00F90EAE">
        <w:rPr>
          <w:color w:val="0070C0"/>
          <w:sz w:val="16"/>
          <w:szCs w:val="16"/>
        </w:rPr>
        <w:tab/>
        <w:t>6</w:t>
      </w:r>
      <w:r w:rsidRPr="00F90EAE">
        <w:rPr>
          <w:color w:val="0070C0"/>
          <w:sz w:val="16"/>
          <w:szCs w:val="16"/>
        </w:rPr>
        <w:tab/>
        <w:t>61</w:t>
      </w:r>
      <w:r w:rsidRPr="00F90EAE">
        <w:rPr>
          <w:color w:val="0070C0"/>
          <w:sz w:val="16"/>
          <w:szCs w:val="16"/>
        </w:rPr>
        <w:tab/>
        <w:t>237</w:t>
      </w:r>
      <w:r w:rsidRPr="00F90EAE">
        <w:rPr>
          <w:color w:val="0070C0"/>
          <w:sz w:val="16"/>
          <w:szCs w:val="16"/>
        </w:rPr>
        <w:tab/>
        <w:t>423</w:t>
      </w:r>
      <w:r w:rsidRPr="00F90EAE">
        <w:rPr>
          <w:color w:val="0070C0"/>
          <w:sz w:val="16"/>
          <w:szCs w:val="16"/>
        </w:rPr>
        <w:tab/>
        <w:t>618</w:t>
      </w:r>
      <w:r w:rsidRPr="00F90EAE">
        <w:rPr>
          <w:color w:val="0070C0"/>
          <w:sz w:val="16"/>
          <w:szCs w:val="16"/>
        </w:rPr>
        <w:tab/>
        <w:t>626</w:t>
      </w:r>
    </w:p>
    <w:p w14:paraId="663D8D8C" w14:textId="77777777" w:rsidR="00B6122E" w:rsidRPr="00F90EAE" w:rsidRDefault="00B6122E" w:rsidP="00F90EAE">
      <w:pPr>
        <w:jc w:val="both"/>
        <w:rPr>
          <w:color w:val="0070C0"/>
          <w:sz w:val="16"/>
          <w:szCs w:val="16"/>
        </w:rPr>
      </w:pPr>
      <w:r w:rsidRPr="00F90EAE">
        <w:rPr>
          <w:color w:val="0070C0"/>
          <w:sz w:val="16"/>
          <w:szCs w:val="16"/>
        </w:rPr>
        <w:t>СП-35</w:t>
      </w:r>
      <w:r w:rsidRPr="00F90EAE">
        <w:rPr>
          <w:color w:val="0070C0"/>
          <w:sz w:val="16"/>
          <w:szCs w:val="16"/>
        </w:rPr>
        <w:tab/>
        <w:t>8</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626C30D7" w14:textId="77777777" w:rsidR="00B6122E" w:rsidRPr="00F90EAE" w:rsidRDefault="00B6122E" w:rsidP="00F90EAE">
      <w:pPr>
        <w:jc w:val="both"/>
        <w:rPr>
          <w:color w:val="0070C0"/>
          <w:sz w:val="16"/>
          <w:szCs w:val="16"/>
        </w:rPr>
      </w:pPr>
      <w:r w:rsidRPr="00F90EAE">
        <w:rPr>
          <w:color w:val="0070C0"/>
          <w:sz w:val="16"/>
          <w:szCs w:val="16"/>
        </w:rPr>
        <w:lastRenderedPageBreak/>
        <w:t>АП</w:t>
      </w:r>
      <w:r w:rsidRPr="00F90EAE">
        <w:rPr>
          <w:color w:val="0070C0"/>
          <w:sz w:val="16"/>
          <w:szCs w:val="16"/>
        </w:rPr>
        <w:tab/>
        <w:t>125</w:t>
      </w:r>
      <w:r w:rsidRPr="00F90EAE">
        <w:rPr>
          <w:color w:val="0070C0"/>
          <w:sz w:val="16"/>
          <w:szCs w:val="16"/>
        </w:rPr>
        <w:tab/>
        <w:t>125</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6B9A810B" w14:textId="77777777" w:rsidR="00B6122E" w:rsidRPr="00F90EAE" w:rsidRDefault="00B6122E" w:rsidP="00F90EAE">
      <w:pPr>
        <w:jc w:val="both"/>
        <w:rPr>
          <w:color w:val="0070C0"/>
          <w:sz w:val="16"/>
          <w:szCs w:val="16"/>
        </w:rPr>
      </w:pPr>
      <w:r w:rsidRPr="00F90EAE">
        <w:rPr>
          <w:color w:val="0070C0"/>
          <w:sz w:val="16"/>
          <w:szCs w:val="16"/>
        </w:rPr>
        <w:t>СП</w:t>
      </w:r>
      <w:r w:rsidRPr="00F90EAE">
        <w:rPr>
          <w:color w:val="0070C0"/>
          <w:sz w:val="16"/>
          <w:szCs w:val="16"/>
        </w:rPr>
        <w:tab/>
        <w:t>126</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21557424" w14:textId="77777777" w:rsidR="00B6122E" w:rsidRPr="00F90EAE" w:rsidRDefault="00B6122E" w:rsidP="00F90EAE">
      <w:pPr>
        <w:jc w:val="both"/>
        <w:rPr>
          <w:color w:val="0070C0"/>
          <w:sz w:val="16"/>
          <w:szCs w:val="16"/>
        </w:rPr>
      </w:pPr>
      <w:r w:rsidRPr="00F90EAE">
        <w:rPr>
          <w:color w:val="0070C0"/>
          <w:sz w:val="16"/>
          <w:szCs w:val="16"/>
        </w:rPr>
        <w:t>МГ</w:t>
      </w:r>
      <w:r w:rsidRPr="00F90EAE">
        <w:rPr>
          <w:color w:val="0070C0"/>
          <w:sz w:val="16"/>
          <w:szCs w:val="16"/>
        </w:rPr>
        <w:tab/>
        <w:t>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66554757" w14:textId="77777777" w:rsidR="00B6122E" w:rsidRPr="00F90EAE" w:rsidRDefault="00B6122E" w:rsidP="00F90EAE">
      <w:pPr>
        <w:jc w:val="both"/>
        <w:rPr>
          <w:color w:val="0070C0"/>
          <w:sz w:val="16"/>
          <w:szCs w:val="16"/>
        </w:rPr>
      </w:pPr>
      <w:r w:rsidRPr="00F90EAE">
        <w:rPr>
          <w:color w:val="0070C0"/>
          <w:sz w:val="16"/>
          <w:szCs w:val="16"/>
        </w:rPr>
        <w:t>ПО-2С</w:t>
      </w:r>
      <w:r w:rsidRPr="00F90EAE">
        <w:rPr>
          <w:color w:val="0070C0"/>
          <w:sz w:val="16"/>
          <w:szCs w:val="16"/>
        </w:rPr>
        <w:tab/>
        <w:t>-</w:t>
      </w:r>
      <w:r w:rsidRPr="00F90EAE">
        <w:rPr>
          <w:color w:val="0070C0"/>
          <w:sz w:val="16"/>
          <w:szCs w:val="16"/>
        </w:rPr>
        <w:tab/>
        <w:t>365</w:t>
      </w:r>
      <w:r w:rsidRPr="00F90EAE">
        <w:rPr>
          <w:color w:val="0070C0"/>
          <w:sz w:val="16"/>
          <w:szCs w:val="16"/>
        </w:rPr>
        <w:tab/>
        <w:t>20</w:t>
      </w:r>
      <w:r w:rsidRPr="00F90EAE">
        <w:rPr>
          <w:color w:val="0070C0"/>
          <w:sz w:val="16"/>
          <w:szCs w:val="16"/>
        </w:rPr>
        <w:tab/>
        <w:t>18</w:t>
      </w:r>
      <w:r w:rsidRPr="00F90EAE">
        <w:rPr>
          <w:color w:val="0070C0"/>
          <w:sz w:val="16"/>
          <w:szCs w:val="16"/>
        </w:rPr>
        <w:tab/>
        <w:t>270</w:t>
      </w:r>
      <w:r w:rsidRPr="00F90EAE">
        <w:rPr>
          <w:color w:val="0070C0"/>
          <w:sz w:val="16"/>
          <w:szCs w:val="16"/>
        </w:rPr>
        <w:tab/>
        <w:t>695</w:t>
      </w:r>
    </w:p>
    <w:p w14:paraId="709ED2A2" w14:textId="77777777" w:rsidR="00B6122E" w:rsidRPr="00F90EAE" w:rsidRDefault="00B6122E" w:rsidP="00F90EAE">
      <w:pPr>
        <w:jc w:val="both"/>
        <w:rPr>
          <w:color w:val="0070C0"/>
          <w:sz w:val="16"/>
          <w:szCs w:val="16"/>
        </w:rPr>
      </w:pPr>
      <w:r w:rsidRPr="00F90EAE">
        <w:rPr>
          <w:color w:val="0070C0"/>
          <w:sz w:val="16"/>
          <w:szCs w:val="16"/>
        </w:rPr>
        <w:t>ЯК-6</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28</w:t>
      </w:r>
      <w:r w:rsidRPr="00F90EAE">
        <w:rPr>
          <w:color w:val="0070C0"/>
          <w:sz w:val="16"/>
          <w:szCs w:val="16"/>
        </w:rPr>
        <w:tab/>
        <w:t>353</w:t>
      </w:r>
      <w:r w:rsidRPr="00F90EAE">
        <w:rPr>
          <w:color w:val="0070C0"/>
          <w:sz w:val="16"/>
          <w:szCs w:val="16"/>
        </w:rPr>
        <w:tab/>
        <w:t>-</w:t>
      </w:r>
    </w:p>
    <w:p w14:paraId="18037EA0" w14:textId="77777777" w:rsidR="00B6122E" w:rsidRPr="00F90EAE" w:rsidRDefault="00B6122E" w:rsidP="00F90EAE">
      <w:pPr>
        <w:jc w:val="both"/>
        <w:rPr>
          <w:color w:val="0070C0"/>
          <w:sz w:val="16"/>
          <w:szCs w:val="16"/>
        </w:rPr>
      </w:pPr>
      <w:r w:rsidRPr="00F90EAE">
        <w:rPr>
          <w:color w:val="0070C0"/>
          <w:sz w:val="16"/>
          <w:szCs w:val="16"/>
        </w:rPr>
        <w:t>ЩЕ-2</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222</w:t>
      </w:r>
    </w:p>
    <w:p w14:paraId="591D77A5" w14:textId="77777777" w:rsidR="00B6122E" w:rsidRPr="00F90EAE" w:rsidRDefault="00B6122E" w:rsidP="00F90EAE">
      <w:pPr>
        <w:jc w:val="both"/>
        <w:rPr>
          <w:color w:val="0070C0"/>
          <w:sz w:val="16"/>
          <w:szCs w:val="16"/>
        </w:rPr>
      </w:pPr>
      <w:r w:rsidRPr="00F90EAE">
        <w:rPr>
          <w:color w:val="0070C0"/>
          <w:sz w:val="16"/>
          <w:szCs w:val="16"/>
        </w:rPr>
        <w:t>Итого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5A83E5A2" w14:textId="77777777" w:rsidR="00B6122E" w:rsidRPr="00F90EAE" w:rsidRDefault="00B6122E" w:rsidP="00F90EAE">
      <w:pPr>
        <w:jc w:val="both"/>
        <w:rPr>
          <w:color w:val="0070C0"/>
          <w:sz w:val="16"/>
          <w:szCs w:val="16"/>
        </w:rPr>
      </w:pPr>
      <w:r w:rsidRPr="00F90EAE">
        <w:rPr>
          <w:color w:val="0070C0"/>
          <w:sz w:val="16"/>
          <w:szCs w:val="16"/>
        </w:rPr>
        <w:t>транспортных</w:t>
      </w:r>
      <w:r w:rsidRPr="00F90EAE">
        <w:rPr>
          <w:color w:val="0070C0"/>
          <w:sz w:val="16"/>
          <w:szCs w:val="16"/>
        </w:rPr>
        <w:tab/>
        <w:t>266</w:t>
      </w:r>
      <w:r w:rsidRPr="00F90EAE">
        <w:rPr>
          <w:color w:val="0070C0"/>
          <w:sz w:val="16"/>
          <w:szCs w:val="16"/>
        </w:rPr>
        <w:tab/>
        <w:t>551</w:t>
      </w:r>
      <w:r w:rsidRPr="00F90EAE">
        <w:rPr>
          <w:color w:val="0070C0"/>
          <w:sz w:val="16"/>
          <w:szCs w:val="16"/>
        </w:rPr>
        <w:tab/>
        <w:t>257</w:t>
      </w:r>
      <w:r w:rsidRPr="00F90EAE">
        <w:rPr>
          <w:color w:val="0070C0"/>
          <w:sz w:val="16"/>
          <w:szCs w:val="16"/>
        </w:rPr>
        <w:tab/>
        <w:t>469</w:t>
      </w:r>
      <w:r w:rsidRPr="00F90EAE">
        <w:rPr>
          <w:color w:val="0070C0"/>
          <w:sz w:val="16"/>
          <w:szCs w:val="16"/>
        </w:rPr>
        <w:tab/>
        <w:t>1241</w:t>
      </w:r>
      <w:r w:rsidRPr="00F90EAE">
        <w:rPr>
          <w:color w:val="0070C0"/>
          <w:sz w:val="16"/>
          <w:szCs w:val="16"/>
        </w:rPr>
        <w:tab/>
        <w:t>1543</w:t>
      </w:r>
    </w:p>
    <w:p w14:paraId="110D58E3" w14:textId="77777777" w:rsidR="00B6122E" w:rsidRPr="00F90EAE" w:rsidRDefault="00B6122E" w:rsidP="00F90EAE">
      <w:pPr>
        <w:jc w:val="both"/>
        <w:rPr>
          <w:color w:val="0070C0"/>
          <w:sz w:val="16"/>
          <w:szCs w:val="16"/>
        </w:rPr>
      </w:pPr>
      <w:r w:rsidRPr="00F90EAE">
        <w:rPr>
          <w:color w:val="0070C0"/>
          <w:sz w:val="16"/>
          <w:szCs w:val="16"/>
        </w:rPr>
        <w:t>Учебные</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4817B88F" w14:textId="77777777" w:rsidR="00B6122E" w:rsidRPr="00F90EAE" w:rsidRDefault="00B6122E" w:rsidP="00F90EAE">
      <w:pPr>
        <w:jc w:val="both"/>
        <w:rPr>
          <w:color w:val="0070C0"/>
          <w:sz w:val="16"/>
          <w:szCs w:val="16"/>
        </w:rPr>
      </w:pPr>
      <w:r w:rsidRPr="00F90EAE">
        <w:rPr>
          <w:color w:val="0070C0"/>
          <w:sz w:val="16"/>
          <w:szCs w:val="16"/>
        </w:rPr>
        <w:t>УТИ-4</w:t>
      </w:r>
      <w:r w:rsidRPr="00F90EAE">
        <w:rPr>
          <w:color w:val="0070C0"/>
          <w:sz w:val="16"/>
          <w:szCs w:val="16"/>
        </w:rPr>
        <w:tab/>
        <w:t>424</w:t>
      </w:r>
      <w:r w:rsidRPr="00F90EAE">
        <w:rPr>
          <w:color w:val="0070C0"/>
          <w:sz w:val="16"/>
          <w:szCs w:val="16"/>
        </w:rPr>
        <w:tab/>
        <w:t>600</w:t>
      </w:r>
      <w:r w:rsidRPr="00F90EAE">
        <w:rPr>
          <w:color w:val="0070C0"/>
          <w:sz w:val="16"/>
          <w:szCs w:val="16"/>
        </w:rPr>
        <w:tab/>
        <w:t>1016</w:t>
      </w:r>
      <w:r w:rsidRPr="00F90EAE">
        <w:rPr>
          <w:color w:val="0070C0"/>
          <w:sz w:val="16"/>
          <w:szCs w:val="16"/>
        </w:rPr>
        <w:tab/>
        <w:t>83</w:t>
      </w:r>
      <w:r w:rsidRPr="00F90EAE">
        <w:rPr>
          <w:color w:val="0070C0"/>
          <w:sz w:val="16"/>
          <w:szCs w:val="16"/>
        </w:rPr>
        <w:tab/>
        <w:t>-</w:t>
      </w:r>
      <w:r w:rsidRPr="00F90EAE">
        <w:rPr>
          <w:color w:val="0070C0"/>
          <w:sz w:val="16"/>
          <w:szCs w:val="16"/>
        </w:rPr>
        <w:tab/>
        <w:t>-</w:t>
      </w:r>
    </w:p>
    <w:p w14:paraId="51101359" w14:textId="77777777" w:rsidR="00B6122E" w:rsidRPr="00F90EAE" w:rsidRDefault="00B6122E" w:rsidP="00F90EAE">
      <w:pPr>
        <w:jc w:val="both"/>
        <w:rPr>
          <w:color w:val="0070C0"/>
          <w:sz w:val="16"/>
          <w:szCs w:val="16"/>
        </w:rPr>
      </w:pPr>
      <w:r w:rsidRPr="00F90EAE">
        <w:rPr>
          <w:color w:val="0070C0"/>
          <w:sz w:val="16"/>
          <w:szCs w:val="16"/>
        </w:rPr>
        <w:t>ПО-2</w:t>
      </w:r>
      <w:r w:rsidRPr="00F90EAE">
        <w:rPr>
          <w:color w:val="0070C0"/>
          <w:sz w:val="16"/>
          <w:szCs w:val="16"/>
        </w:rPr>
        <w:tab/>
        <w:t>1584</w:t>
      </w:r>
      <w:r w:rsidRPr="00F90EAE">
        <w:rPr>
          <w:color w:val="0070C0"/>
          <w:sz w:val="16"/>
          <w:szCs w:val="16"/>
        </w:rPr>
        <w:tab/>
        <w:t>522</w:t>
      </w:r>
      <w:r w:rsidRPr="00F90EAE">
        <w:rPr>
          <w:color w:val="0070C0"/>
          <w:sz w:val="16"/>
          <w:szCs w:val="16"/>
        </w:rPr>
        <w:tab/>
        <w:t>1245</w:t>
      </w:r>
      <w:r w:rsidRPr="00F90EAE">
        <w:rPr>
          <w:color w:val="0070C0"/>
          <w:sz w:val="16"/>
          <w:szCs w:val="16"/>
        </w:rPr>
        <w:tab/>
        <w:t>2225</w:t>
      </w:r>
      <w:r w:rsidRPr="00F90EAE">
        <w:rPr>
          <w:color w:val="0070C0"/>
          <w:sz w:val="16"/>
          <w:szCs w:val="16"/>
        </w:rPr>
        <w:tab/>
        <w:t>2857</w:t>
      </w:r>
      <w:r w:rsidRPr="00F90EAE">
        <w:rPr>
          <w:color w:val="0070C0"/>
          <w:sz w:val="16"/>
          <w:szCs w:val="16"/>
        </w:rPr>
        <w:tab/>
        <w:t>4438</w:t>
      </w:r>
    </w:p>
    <w:p w14:paraId="70C32F85" w14:textId="77777777" w:rsidR="00B6122E" w:rsidRPr="00F90EAE" w:rsidRDefault="00B6122E" w:rsidP="00F90EAE">
      <w:pPr>
        <w:jc w:val="both"/>
        <w:rPr>
          <w:color w:val="0070C0"/>
          <w:sz w:val="16"/>
          <w:szCs w:val="16"/>
        </w:rPr>
      </w:pPr>
      <w:r w:rsidRPr="00F90EAE">
        <w:rPr>
          <w:color w:val="0070C0"/>
          <w:sz w:val="16"/>
          <w:szCs w:val="16"/>
        </w:rPr>
        <w:t>УТ-1</w:t>
      </w:r>
      <w:r w:rsidRPr="00F90EAE">
        <w:rPr>
          <w:color w:val="0070C0"/>
          <w:sz w:val="16"/>
          <w:szCs w:val="16"/>
        </w:rPr>
        <w:tab/>
        <w:t>551</w:t>
      </w:r>
      <w:r w:rsidRPr="00F90EAE">
        <w:rPr>
          <w:color w:val="0070C0"/>
          <w:sz w:val="16"/>
          <w:szCs w:val="16"/>
        </w:rPr>
        <w:tab/>
        <w:t>1</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0B02FAA1" w14:textId="77777777" w:rsidR="00B6122E" w:rsidRPr="00F90EAE" w:rsidRDefault="00B6122E" w:rsidP="00F90EAE">
      <w:pPr>
        <w:jc w:val="both"/>
        <w:rPr>
          <w:color w:val="0070C0"/>
          <w:sz w:val="16"/>
          <w:szCs w:val="16"/>
        </w:rPr>
      </w:pPr>
      <w:r w:rsidRPr="00F90EAE">
        <w:rPr>
          <w:color w:val="0070C0"/>
          <w:sz w:val="16"/>
          <w:szCs w:val="16"/>
        </w:rPr>
        <w:t>УТ-2</w:t>
      </w:r>
      <w:r w:rsidRPr="00F90EAE">
        <w:rPr>
          <w:color w:val="0070C0"/>
          <w:sz w:val="16"/>
          <w:szCs w:val="16"/>
        </w:rPr>
        <w:tab/>
        <w:t>540</w:t>
      </w:r>
      <w:r w:rsidRPr="00F90EAE">
        <w:rPr>
          <w:color w:val="0070C0"/>
          <w:sz w:val="16"/>
          <w:szCs w:val="16"/>
        </w:rPr>
        <w:tab/>
        <w:t>548</w:t>
      </w:r>
      <w:r w:rsidRPr="00F90EAE">
        <w:rPr>
          <w:color w:val="0070C0"/>
          <w:sz w:val="16"/>
          <w:szCs w:val="16"/>
        </w:rPr>
        <w:tab/>
        <w:t>654</w:t>
      </w:r>
      <w:r w:rsidRPr="00F90EAE">
        <w:rPr>
          <w:color w:val="0070C0"/>
          <w:sz w:val="16"/>
          <w:szCs w:val="16"/>
        </w:rPr>
        <w:tab/>
        <w:t>978</w:t>
      </w:r>
      <w:r w:rsidRPr="00F90EAE">
        <w:rPr>
          <w:color w:val="0070C0"/>
          <w:sz w:val="16"/>
          <w:szCs w:val="16"/>
        </w:rPr>
        <w:tab/>
        <w:t>909</w:t>
      </w:r>
      <w:r w:rsidRPr="00F90EAE">
        <w:rPr>
          <w:color w:val="0070C0"/>
          <w:sz w:val="16"/>
          <w:szCs w:val="16"/>
        </w:rPr>
        <w:tab/>
        <w:t>1055</w:t>
      </w:r>
    </w:p>
    <w:p w14:paraId="0C55A8F7" w14:textId="77777777" w:rsidR="00B6122E" w:rsidRPr="00F90EAE" w:rsidRDefault="00B6122E" w:rsidP="00F90EAE">
      <w:pPr>
        <w:jc w:val="both"/>
        <w:rPr>
          <w:color w:val="0070C0"/>
          <w:sz w:val="16"/>
          <w:szCs w:val="16"/>
        </w:rPr>
      </w:pPr>
      <w:r w:rsidRPr="00F90EAE">
        <w:rPr>
          <w:color w:val="0070C0"/>
          <w:sz w:val="16"/>
          <w:szCs w:val="16"/>
        </w:rPr>
        <w:t>УТ-3</w:t>
      </w:r>
      <w:r w:rsidRPr="00F90EAE">
        <w:rPr>
          <w:color w:val="0070C0"/>
          <w:sz w:val="16"/>
          <w:szCs w:val="16"/>
        </w:rPr>
        <w:tab/>
        <w:t>-</w:t>
      </w:r>
      <w:r w:rsidRPr="00F90EAE">
        <w:rPr>
          <w:color w:val="0070C0"/>
          <w:sz w:val="16"/>
          <w:szCs w:val="16"/>
        </w:rPr>
        <w:tab/>
        <w:t>12</w:t>
      </w:r>
      <w:r w:rsidRPr="00F90EAE">
        <w:rPr>
          <w:color w:val="0070C0"/>
          <w:sz w:val="16"/>
          <w:szCs w:val="16"/>
        </w:rPr>
        <w:tab/>
        <w:t>-</w:t>
      </w:r>
      <w:r w:rsidRPr="00F90EAE">
        <w:rPr>
          <w:color w:val="0070C0"/>
          <w:sz w:val="16"/>
          <w:szCs w:val="16"/>
        </w:rPr>
        <w:tab/>
        <w:t>-</w:t>
      </w:r>
      <w:r w:rsidRPr="00F90EAE">
        <w:rPr>
          <w:color w:val="0070C0"/>
          <w:sz w:val="16"/>
          <w:szCs w:val="16"/>
        </w:rPr>
        <w:tab/>
        <w:t>-</w:t>
      </w:r>
      <w:r w:rsidRPr="00F90EAE">
        <w:rPr>
          <w:color w:val="0070C0"/>
          <w:sz w:val="16"/>
          <w:szCs w:val="16"/>
        </w:rPr>
        <w:tab/>
        <w:t>-</w:t>
      </w:r>
    </w:p>
    <w:p w14:paraId="4D3FC13B" w14:textId="77777777" w:rsidR="00B6122E" w:rsidRPr="00F90EAE" w:rsidRDefault="00B6122E" w:rsidP="00F90EAE">
      <w:pPr>
        <w:jc w:val="both"/>
        <w:rPr>
          <w:color w:val="0070C0"/>
          <w:sz w:val="16"/>
          <w:szCs w:val="16"/>
        </w:rPr>
      </w:pPr>
      <w:r w:rsidRPr="00F90EAE">
        <w:rPr>
          <w:color w:val="0070C0"/>
          <w:sz w:val="16"/>
          <w:szCs w:val="16"/>
        </w:rPr>
        <w:t>УТИ-26</w:t>
      </w:r>
      <w:r w:rsidRPr="00F90EAE">
        <w:rPr>
          <w:color w:val="0070C0"/>
          <w:sz w:val="16"/>
          <w:szCs w:val="16"/>
        </w:rPr>
        <w:tab/>
        <w:t>-</w:t>
      </w:r>
      <w:r w:rsidRPr="00F90EAE">
        <w:rPr>
          <w:color w:val="0070C0"/>
          <w:sz w:val="16"/>
          <w:szCs w:val="16"/>
        </w:rPr>
        <w:tab/>
        <w:t>-</w:t>
      </w:r>
      <w:r w:rsidRPr="00F90EAE">
        <w:rPr>
          <w:color w:val="0070C0"/>
          <w:sz w:val="16"/>
          <w:szCs w:val="16"/>
        </w:rPr>
        <w:tab/>
        <w:t>186</w:t>
      </w:r>
      <w:r w:rsidRPr="00F90EAE">
        <w:rPr>
          <w:color w:val="0070C0"/>
          <w:sz w:val="16"/>
          <w:szCs w:val="16"/>
        </w:rPr>
        <w:tab/>
        <w:t>-</w:t>
      </w:r>
      <w:r w:rsidRPr="00F90EAE">
        <w:rPr>
          <w:color w:val="0070C0"/>
          <w:sz w:val="16"/>
          <w:szCs w:val="16"/>
        </w:rPr>
        <w:tab/>
        <w:t>-</w:t>
      </w:r>
      <w:r w:rsidRPr="00F90EAE">
        <w:rPr>
          <w:color w:val="0070C0"/>
          <w:sz w:val="16"/>
          <w:szCs w:val="16"/>
        </w:rPr>
        <w:tab/>
        <w:t>-</w:t>
      </w:r>
    </w:p>
    <w:p w14:paraId="21E4C270" w14:textId="77777777" w:rsidR="00B6122E" w:rsidRPr="00F90EAE" w:rsidRDefault="00B6122E" w:rsidP="00F90EAE">
      <w:pPr>
        <w:jc w:val="both"/>
        <w:rPr>
          <w:color w:val="0070C0"/>
          <w:sz w:val="16"/>
          <w:szCs w:val="16"/>
        </w:rPr>
      </w:pPr>
      <w:r w:rsidRPr="00F90EAE">
        <w:rPr>
          <w:color w:val="0070C0"/>
          <w:sz w:val="16"/>
          <w:szCs w:val="16"/>
        </w:rPr>
        <w:t>Итого учебных</w:t>
      </w:r>
      <w:r w:rsidRPr="00F90EAE">
        <w:rPr>
          <w:color w:val="0070C0"/>
          <w:sz w:val="16"/>
          <w:szCs w:val="16"/>
        </w:rPr>
        <w:tab/>
        <w:t>3099</w:t>
      </w:r>
      <w:r w:rsidRPr="00F90EAE">
        <w:rPr>
          <w:color w:val="0070C0"/>
          <w:sz w:val="16"/>
          <w:szCs w:val="16"/>
        </w:rPr>
        <w:tab/>
        <w:t>1623</w:t>
      </w:r>
      <w:r w:rsidRPr="00F90EAE">
        <w:rPr>
          <w:color w:val="0070C0"/>
          <w:sz w:val="16"/>
          <w:szCs w:val="16"/>
        </w:rPr>
        <w:tab/>
        <w:t>3101</w:t>
      </w:r>
      <w:r w:rsidRPr="00F90EAE">
        <w:rPr>
          <w:color w:val="0070C0"/>
          <w:sz w:val="16"/>
          <w:szCs w:val="16"/>
        </w:rPr>
        <w:tab/>
        <w:t>3286</w:t>
      </w:r>
      <w:r w:rsidRPr="00F90EAE">
        <w:rPr>
          <w:color w:val="0070C0"/>
          <w:sz w:val="16"/>
          <w:szCs w:val="16"/>
        </w:rPr>
        <w:tab/>
        <w:t>2766</w:t>
      </w:r>
      <w:r w:rsidRPr="00F90EAE">
        <w:rPr>
          <w:color w:val="0070C0"/>
          <w:sz w:val="16"/>
          <w:szCs w:val="16"/>
        </w:rPr>
        <w:tab/>
        <w:t>5493</w:t>
      </w:r>
    </w:p>
    <w:p w14:paraId="6003F989" w14:textId="77777777" w:rsidR="00B6122E" w:rsidRPr="00F90EAE" w:rsidRDefault="00B6122E" w:rsidP="00F90EAE">
      <w:pPr>
        <w:jc w:val="both"/>
        <w:rPr>
          <w:color w:val="0070C0"/>
          <w:sz w:val="16"/>
          <w:szCs w:val="16"/>
        </w:rPr>
      </w:pPr>
      <w:r w:rsidRPr="00F90EAE">
        <w:rPr>
          <w:color w:val="0070C0"/>
          <w:sz w:val="16"/>
          <w:szCs w:val="16"/>
        </w:rPr>
        <w:t>Всего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1388D51D" w14:textId="77777777" w:rsidR="00B6122E" w:rsidRPr="00F90EAE" w:rsidRDefault="00B6122E" w:rsidP="00F90EAE">
      <w:pPr>
        <w:jc w:val="both"/>
        <w:rPr>
          <w:color w:val="0070C0"/>
          <w:sz w:val="16"/>
          <w:szCs w:val="16"/>
        </w:rPr>
      </w:pPr>
      <w:r w:rsidRPr="00F90EAE">
        <w:rPr>
          <w:color w:val="0070C0"/>
          <w:sz w:val="16"/>
          <w:szCs w:val="16"/>
        </w:rPr>
        <w:t>самолетов</w:t>
      </w:r>
      <w:r w:rsidRPr="00F90EAE">
        <w:rPr>
          <w:color w:val="0070C0"/>
          <w:sz w:val="16"/>
          <w:szCs w:val="16"/>
        </w:rPr>
        <w:tab/>
        <w:t>10362</w:t>
      </w:r>
      <w:r w:rsidRPr="00F90EAE">
        <w:rPr>
          <w:color w:val="0070C0"/>
          <w:sz w:val="16"/>
          <w:szCs w:val="16"/>
        </w:rPr>
        <w:tab/>
        <w:t>10565</w:t>
      </w:r>
      <w:r w:rsidRPr="00F90EAE">
        <w:rPr>
          <w:color w:val="0070C0"/>
          <w:sz w:val="16"/>
          <w:szCs w:val="16"/>
        </w:rPr>
        <w:tab/>
        <w:t>15735</w:t>
      </w:r>
      <w:r w:rsidRPr="00F90EAE">
        <w:rPr>
          <w:color w:val="0070C0"/>
          <w:sz w:val="16"/>
          <w:szCs w:val="16"/>
        </w:rPr>
        <w:tab/>
        <w:t>25436</w:t>
      </w:r>
      <w:r w:rsidRPr="00F90EAE">
        <w:rPr>
          <w:color w:val="0070C0"/>
          <w:sz w:val="16"/>
          <w:szCs w:val="16"/>
        </w:rPr>
        <w:tab/>
        <w:t>34884</w:t>
      </w:r>
      <w:r w:rsidRPr="00F90EAE">
        <w:rPr>
          <w:color w:val="0070C0"/>
          <w:sz w:val="16"/>
          <w:szCs w:val="16"/>
        </w:rPr>
        <w:tab/>
        <w:t>40241</w:t>
      </w:r>
    </w:p>
    <w:p w14:paraId="036472EF" w14:textId="77777777" w:rsidR="00B6122E" w:rsidRPr="00F90EAE" w:rsidRDefault="00B6122E" w:rsidP="00F90EAE">
      <w:pPr>
        <w:jc w:val="both"/>
        <w:rPr>
          <w:color w:val="0070C0"/>
          <w:sz w:val="16"/>
          <w:szCs w:val="16"/>
        </w:rPr>
      </w:pPr>
      <w:r w:rsidRPr="00F90EAE">
        <w:rPr>
          <w:color w:val="0070C0"/>
          <w:sz w:val="16"/>
          <w:szCs w:val="16"/>
        </w:rPr>
        <w:t>Кроме того,</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3F99F38C" w14:textId="77777777" w:rsidR="00B6122E" w:rsidRPr="00F90EAE" w:rsidRDefault="00B6122E" w:rsidP="00F90EAE">
      <w:pPr>
        <w:jc w:val="both"/>
        <w:rPr>
          <w:color w:val="0070C0"/>
          <w:sz w:val="16"/>
          <w:szCs w:val="16"/>
        </w:rPr>
      </w:pPr>
      <w:r w:rsidRPr="00F90EAE">
        <w:rPr>
          <w:color w:val="0070C0"/>
          <w:sz w:val="16"/>
          <w:szCs w:val="16"/>
        </w:rPr>
        <w:t>БЕ-4</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t>-</w:t>
      </w:r>
      <w:r w:rsidRPr="00F90EAE">
        <w:rPr>
          <w:color w:val="0070C0"/>
          <w:sz w:val="16"/>
          <w:szCs w:val="16"/>
        </w:rPr>
        <w:tab/>
        <w:t>-</w:t>
      </w:r>
      <w:r w:rsidRPr="00F90EAE">
        <w:rPr>
          <w:color w:val="0070C0"/>
          <w:sz w:val="16"/>
          <w:szCs w:val="16"/>
        </w:rPr>
        <w:tab/>
        <w:t>20</w:t>
      </w:r>
    </w:p>
    <w:p w14:paraId="10210898" w14:textId="77777777" w:rsidR="00B6122E" w:rsidRPr="00F90EAE" w:rsidRDefault="00B6122E" w:rsidP="00F90EAE">
      <w:pPr>
        <w:jc w:val="both"/>
        <w:rPr>
          <w:color w:val="0070C0"/>
          <w:sz w:val="16"/>
          <w:szCs w:val="16"/>
        </w:rPr>
      </w:pPr>
      <w:r w:rsidRPr="00F90EAE">
        <w:rPr>
          <w:color w:val="0070C0"/>
          <w:sz w:val="16"/>
          <w:szCs w:val="16"/>
        </w:rPr>
        <w:t>РГАЭ. Ф.8044. Оп. 1. Д.3233. Ял. 1-4. Рукопись в журнале, исполненном типографским способом. Подписи исполнителей отсутствуют (20549, 20550).</w:t>
      </w:r>
    </w:p>
    <w:p w14:paraId="5E5374AD" w14:textId="77777777" w:rsidR="00B6122E" w:rsidRPr="00F90EAE" w:rsidRDefault="00B6122E" w:rsidP="00F90EAE">
      <w:pPr>
        <w:jc w:val="both"/>
        <w:rPr>
          <w:color w:val="0070C0"/>
          <w:sz w:val="16"/>
          <w:szCs w:val="16"/>
        </w:rPr>
      </w:pPr>
    </w:p>
    <w:p w14:paraId="5D08D6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была подготовлена Объяснительная записка к годовому бухгалтерскому отчету завода за 1944 год о выпуске самолетной продукции</w:t>
      </w:r>
    </w:p>
    <w:p w14:paraId="3710B8A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Секретно</w:t>
      </w:r>
    </w:p>
    <w:p w14:paraId="1788E9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Коллектив завода № 83 в своей работе, постоянно помня указание тов. Сталина "не останавливаться на достигнутом, а непрерывно двигаться вперед", вместе со всеми работниками авиационной промышленности, неустанно мобилизуя внутренние резервы и умение претворить эти резервы в действительность, 1944 г. ознаменовал новыми производственными успехами, которые находят свое подтверждение в следующих показателях:</w:t>
      </w:r>
    </w:p>
    <w:p w14:paraId="7A75F0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Выпуск самолетной продукции возрос в сравнении с 1943 г. на 11,3%, в том числе по самолетам ИЛ-4 на 24 процента.</w:t>
      </w:r>
    </w:p>
    <w:p w14:paraId="198C535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Освоены в производстве и обеспечен выпуск не менее двух машин в сутки следующих новых агрегатов к самолетам ИЛ-4:</w:t>
      </w:r>
    </w:p>
    <w:p w14:paraId="37659A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элероны крыла измененной конструкции (с полотняной обшивкой вместо металлической);</w:t>
      </w:r>
    </w:p>
    <w:p w14:paraId="4FF649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посадочные щитки центроплана, мотоотсека, отъемной части крыла;</w:t>
      </w:r>
    </w:p>
    <w:p w14:paraId="366F6D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рули высоты;</w:t>
      </w:r>
    </w:p>
    <w:p w14:paraId="6BB852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руль поворота;</w:t>
      </w:r>
    </w:p>
    <w:p w14:paraId="1932DEB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концевые обтекатели крыла;</w:t>
      </w:r>
    </w:p>
    <w:p w14:paraId="4F9673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 створки бомболюков;</w:t>
      </w:r>
    </w:p>
    <w:p w14:paraId="59E6A7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ж) окончательно отработан в производстве носок фюзеляжа по восьмую полураму.</w:t>
      </w:r>
    </w:p>
    <w:p w14:paraId="00B183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Снижена трудоемкость выпускаемых агрегатов за 1944 г. на 33,4 процента.</w:t>
      </w:r>
    </w:p>
    <w:p w14:paraId="34FE232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4. Увеличена выработка на одного рабочего в 1944 г. в сравнении с планом 1944 г. на 16,8 процента. &lt;...&gt;* </w:t>
      </w:r>
    </w:p>
    <w:p w14:paraId="1497724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Указанные положительные результаты работы завода потребовали от всего коллектива напряжения всех сил и способностей. Для обеспечения выполнения поставленных задач потребовалось решение целого ряда возникших в связи с этим вопросов как в области технологии и ее оснащенности, так и в области внедрения в производство более совершенных методов организации производства. Успешное и правильное решение этих вопросов позволило заводу закончить 1944 год с изложенными показателями. &lt;...&gt; **</w:t>
      </w:r>
    </w:p>
    <w:p w14:paraId="1108BE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Директор завода № 83 им. М. Горького Муратов</w:t>
      </w:r>
    </w:p>
    <w:p w14:paraId="178F00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о. главного бухгалтера Рыбин</w:t>
      </w:r>
    </w:p>
    <w:p w14:paraId="64012FF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 Р-498. Оп. 3. Д. 31. Л. 1, 2, 112. Машинописный подлинник (11629).</w:t>
      </w:r>
    </w:p>
    <w:p w14:paraId="1C9B40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AFB2F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1945-го двигатель М-11ФМ удовлетворительно прошел 300-часовые испытания на стенде, а затем 200-часовые летные испытания на По-2ВС (6411).</w:t>
      </w:r>
    </w:p>
    <w:p w14:paraId="61578AAA" w14:textId="77777777" w:rsidR="00C2313B" w:rsidRPr="00F90EAE" w:rsidRDefault="00C2313B" w:rsidP="00F90EAE">
      <w:pPr>
        <w:autoSpaceDE w:val="0"/>
        <w:autoSpaceDN w:val="0"/>
        <w:adjustRightInd w:val="0"/>
        <w:jc w:val="both"/>
        <w:rPr>
          <w:color w:val="000000" w:themeColor="text1"/>
          <w:sz w:val="16"/>
          <w:szCs w:val="16"/>
        </w:rPr>
      </w:pPr>
    </w:p>
    <w:p w14:paraId="766F97B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О.К.А., не дождавшись ответа из НИИ ГВФ, показал проект своего грузового биплана А.С.Яковлеву и предложил строить “Везделет” на заводе №115 НКАП - так называлось в то время ОКБ, возглавляемое Александром Сергеевичем. Но шеф ответил Антонову отказом, сказав, что "эта машина не его профиля”. Тогда Олег Константинович стал задумываться о самостоятельной реализации проекта, и в августе 1945 г., когда война окончилась, обратился к Яковлеву с просьбой освободить его от обязанностей первого зама и разрешить вплотную заняться бипланом. Яковлев не хотел отпускать Антонова, но и препятствовать его начинанию не стал. В качестве компромисса он предложил Олегу Константиновичу выехать в Новосибирск, где возглавить филиал своего ОКБ при заводе №153 им. В.П.Чкалова. Фактически это означало готовность Яковлева “закрыть глаза” на инициативные работы своего зама (9631).</w:t>
      </w:r>
    </w:p>
    <w:p w14:paraId="321B2569" w14:textId="77777777" w:rsidR="00C2313B" w:rsidRPr="00F90EAE" w:rsidRDefault="00C2313B" w:rsidP="00F90EAE">
      <w:pPr>
        <w:autoSpaceDE w:val="0"/>
        <w:autoSpaceDN w:val="0"/>
        <w:adjustRightInd w:val="0"/>
        <w:jc w:val="both"/>
        <w:rPr>
          <w:color w:val="000000" w:themeColor="text1"/>
          <w:sz w:val="16"/>
          <w:szCs w:val="16"/>
        </w:rPr>
      </w:pPr>
    </w:p>
    <w:p w14:paraId="56770B5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 испытан опытный экз. двухбалочного планера САМ-23 А.С.Москалева для перевозки грузов до 1500 кг, но в связи с окончанием войны и разработкой Ц-25 строить не стали. Москалева перевели в Ленинград и он планерами заниматься перестал (94,101).</w:t>
      </w:r>
    </w:p>
    <w:p w14:paraId="2FFA7BB8" w14:textId="77777777" w:rsidR="00C2313B" w:rsidRPr="00F90EAE" w:rsidRDefault="00C2313B" w:rsidP="00F90EAE">
      <w:pPr>
        <w:autoSpaceDE w:val="0"/>
        <w:autoSpaceDN w:val="0"/>
        <w:adjustRightInd w:val="0"/>
        <w:jc w:val="both"/>
        <w:rPr>
          <w:color w:val="000000" w:themeColor="text1"/>
          <w:sz w:val="16"/>
          <w:szCs w:val="16"/>
        </w:rPr>
      </w:pPr>
    </w:p>
    <w:p w14:paraId="376912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на заводе N 499 в Заводоуковске А.Москалев сделал 22 местный планер САМ-23 и он успешно прошел испытания. В планере могла размещаться танкетка или пушка. Из-за окончания войны планер строить не стали (2889,131).</w:t>
      </w:r>
    </w:p>
    <w:p w14:paraId="54F36A48" w14:textId="77777777" w:rsidR="00C2313B" w:rsidRPr="00F90EAE" w:rsidRDefault="00C2313B" w:rsidP="00F90EAE">
      <w:pPr>
        <w:autoSpaceDE w:val="0"/>
        <w:autoSpaceDN w:val="0"/>
        <w:adjustRightInd w:val="0"/>
        <w:jc w:val="both"/>
        <w:rPr>
          <w:color w:val="000000" w:themeColor="text1"/>
          <w:sz w:val="16"/>
          <w:szCs w:val="16"/>
        </w:rPr>
      </w:pPr>
    </w:p>
    <w:p w14:paraId="194131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 начало 1945 г. НКАП имел следующий состав (РГАЭ. Ф. 8044. </w:t>
      </w:r>
      <w:r w:rsidRPr="00F90EAE">
        <w:rPr>
          <w:color w:val="000000" w:themeColor="text1"/>
          <w:sz w:val="16"/>
          <w:szCs w:val="16"/>
          <w:lang w:val="en-US"/>
        </w:rPr>
        <w:t>On</w:t>
      </w:r>
      <w:r w:rsidRPr="00F90EAE">
        <w:rPr>
          <w:color w:val="000000" w:themeColor="text1"/>
          <w:sz w:val="16"/>
          <w:szCs w:val="16"/>
        </w:rPr>
        <w:t>. 1. Д. 2885. Л. 34—37):</w:t>
      </w:r>
    </w:p>
    <w:p w14:paraId="7521A4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I ГУ — заводы № 21, 31, 381, 301, 82, 99, 153, 166, 292, 167, 305,447.</w:t>
      </w:r>
    </w:p>
    <w:p w14:paraId="26BEFFD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 ГУ — заводы № 32, 43, 481, 145, 454, 119, 34, 469, 286, 261,472, 124, 219,455,483,485,120.</w:t>
      </w:r>
    </w:p>
    <w:p w14:paraId="0868B1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Ш ГУ — заводы № 16, 19, 24, 26, 29, 36, 41, 45, 154, 500, 466, 265,478.</w:t>
      </w:r>
    </w:p>
    <w:p w14:paraId="3375B90E" w14:textId="77777777" w:rsidR="00C2313B" w:rsidRPr="00F90EAE" w:rsidRDefault="00C2313B" w:rsidP="00F90EAE">
      <w:pPr>
        <w:tabs>
          <w:tab w:val="left" w:pos="577"/>
        </w:tabs>
        <w:autoSpaceDE w:val="0"/>
        <w:autoSpaceDN w:val="0"/>
        <w:adjustRightInd w:val="0"/>
        <w:jc w:val="both"/>
        <w:rPr>
          <w:color w:val="000000" w:themeColor="text1"/>
          <w:sz w:val="16"/>
          <w:szCs w:val="16"/>
        </w:rPr>
      </w:pPr>
      <w:r w:rsidRPr="00F90EAE">
        <w:rPr>
          <w:color w:val="000000" w:themeColor="text1"/>
          <w:sz w:val="16"/>
          <w:szCs w:val="16"/>
        </w:rPr>
        <w:t>IV ГУ — заводы № 140,315,451,476,20,161, 85,266,296, 306, 307,132, 284, 33, 480, 488, 489.</w:t>
      </w:r>
    </w:p>
    <w:p w14:paraId="46491B30" w14:textId="77777777" w:rsidR="00C2313B" w:rsidRPr="00F90EAE" w:rsidRDefault="00C2313B" w:rsidP="00F90EAE">
      <w:pPr>
        <w:tabs>
          <w:tab w:val="left" w:pos="510"/>
        </w:tabs>
        <w:autoSpaceDE w:val="0"/>
        <w:autoSpaceDN w:val="0"/>
        <w:adjustRightInd w:val="0"/>
        <w:jc w:val="both"/>
        <w:rPr>
          <w:color w:val="000000" w:themeColor="text1"/>
          <w:sz w:val="16"/>
          <w:szCs w:val="16"/>
        </w:rPr>
      </w:pPr>
      <w:r w:rsidRPr="00F90EAE">
        <w:rPr>
          <w:color w:val="000000" w:themeColor="text1"/>
          <w:sz w:val="16"/>
          <w:szCs w:val="16"/>
        </w:rPr>
        <w:t>V ГУ — заводы № 213, 448, 230, 280, 214, 474, 279, 470, 118,122,133, 282, 295,149,218,224,157.</w:t>
      </w:r>
    </w:p>
    <w:p w14:paraId="7DA4D6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VI ГУ — заводы № 135,163,225,473,475.</w:t>
      </w:r>
    </w:p>
    <w:p w14:paraId="37CF8D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lang w:val="en-US"/>
        </w:rPr>
        <w:t>VII</w:t>
      </w:r>
      <w:r w:rsidRPr="00F90EAE">
        <w:rPr>
          <w:color w:val="000000" w:themeColor="text1"/>
          <w:sz w:val="16"/>
          <w:szCs w:val="16"/>
        </w:rPr>
        <w:t xml:space="preserve"> ГУ — заводы № 240, 81,155,41,134,482,156, 115.</w:t>
      </w:r>
    </w:p>
    <w:p w14:paraId="3075E8D6" w14:textId="77777777" w:rsidR="00C2313B" w:rsidRPr="00F90EAE" w:rsidRDefault="00C2313B" w:rsidP="00F90EAE">
      <w:pPr>
        <w:tabs>
          <w:tab w:val="left" w:pos="731"/>
        </w:tabs>
        <w:autoSpaceDE w:val="0"/>
        <w:autoSpaceDN w:val="0"/>
        <w:adjustRightInd w:val="0"/>
        <w:jc w:val="both"/>
        <w:rPr>
          <w:color w:val="000000" w:themeColor="text1"/>
          <w:sz w:val="16"/>
          <w:szCs w:val="16"/>
        </w:rPr>
      </w:pPr>
      <w:r w:rsidRPr="00F90EAE">
        <w:rPr>
          <w:color w:val="000000" w:themeColor="text1"/>
          <w:sz w:val="16"/>
          <w:szCs w:val="16"/>
        </w:rPr>
        <w:t>VIII ГУ — ОКБ-19, ОКБ-315, завод № 300.</w:t>
      </w:r>
    </w:p>
    <w:p w14:paraId="36721D54" w14:textId="77777777" w:rsidR="00C2313B" w:rsidRPr="00F90EAE" w:rsidRDefault="00C2313B" w:rsidP="00F90EAE">
      <w:pPr>
        <w:tabs>
          <w:tab w:val="left" w:pos="573"/>
        </w:tabs>
        <w:autoSpaceDE w:val="0"/>
        <w:autoSpaceDN w:val="0"/>
        <w:adjustRightInd w:val="0"/>
        <w:jc w:val="both"/>
        <w:rPr>
          <w:color w:val="000000" w:themeColor="text1"/>
          <w:sz w:val="16"/>
          <w:szCs w:val="16"/>
        </w:rPr>
      </w:pPr>
      <w:r w:rsidRPr="00F90EAE">
        <w:rPr>
          <w:color w:val="000000" w:themeColor="text1"/>
          <w:sz w:val="16"/>
          <w:szCs w:val="16"/>
        </w:rPr>
        <w:t>IX ГУ — заводы № 65,150, 95, 268, 269,496.</w:t>
      </w:r>
    </w:p>
    <w:p w14:paraId="52DBF336" w14:textId="77777777" w:rsidR="00C2313B" w:rsidRPr="00F90EAE" w:rsidRDefault="00C2313B" w:rsidP="00F90EAE">
      <w:pPr>
        <w:tabs>
          <w:tab w:val="left" w:pos="519"/>
        </w:tabs>
        <w:autoSpaceDE w:val="0"/>
        <w:autoSpaceDN w:val="0"/>
        <w:adjustRightInd w:val="0"/>
        <w:jc w:val="both"/>
        <w:rPr>
          <w:color w:val="000000" w:themeColor="text1"/>
          <w:sz w:val="16"/>
          <w:szCs w:val="16"/>
        </w:rPr>
      </w:pPr>
      <w:r w:rsidRPr="00F90EAE">
        <w:rPr>
          <w:color w:val="000000" w:themeColor="text1"/>
          <w:sz w:val="16"/>
          <w:szCs w:val="16"/>
        </w:rPr>
        <w:t>X ГУ — заводы № 1, 18, 207, 22, 294, 23, 30, 125, 456, 83,126, 84,477, 86, 64.</w:t>
      </w:r>
    </w:p>
    <w:p w14:paraId="5B0E3455" w14:textId="77777777" w:rsidR="00C2313B" w:rsidRPr="00F90EAE" w:rsidRDefault="00C2313B" w:rsidP="00F90EAE">
      <w:pPr>
        <w:tabs>
          <w:tab w:val="left" w:pos="620"/>
        </w:tabs>
        <w:autoSpaceDE w:val="0"/>
        <w:autoSpaceDN w:val="0"/>
        <w:adjustRightInd w:val="0"/>
        <w:jc w:val="both"/>
        <w:rPr>
          <w:color w:val="000000" w:themeColor="text1"/>
          <w:sz w:val="16"/>
          <w:szCs w:val="16"/>
        </w:rPr>
      </w:pPr>
      <w:r w:rsidRPr="00F90EAE">
        <w:rPr>
          <w:color w:val="000000" w:themeColor="text1"/>
          <w:sz w:val="16"/>
          <w:szCs w:val="16"/>
        </w:rPr>
        <w:t xml:space="preserve">XI ГУ — заводы № 47, 116, 387, 164, 464, 468, 471, </w:t>
      </w:r>
      <w:r w:rsidRPr="00F90EAE">
        <w:rPr>
          <w:color w:val="000000" w:themeColor="text1"/>
          <w:sz w:val="16"/>
          <w:szCs w:val="16"/>
          <w:lang w:val="en-US"/>
        </w:rPr>
        <w:t>Ai</w:t>
      </w:r>
      <w:r w:rsidRPr="00F90EAE">
        <w:rPr>
          <w:color w:val="000000" w:themeColor="text1"/>
          <w:sz w:val="16"/>
          <w:szCs w:val="16"/>
        </w:rPr>
        <w:t xml:space="preserve"> 499,463,168,273.</w:t>
      </w:r>
    </w:p>
    <w:p w14:paraId="4AFA994A" w14:textId="77777777" w:rsidR="00C2313B" w:rsidRPr="00F90EAE" w:rsidRDefault="00C2313B" w:rsidP="00F90EAE">
      <w:pPr>
        <w:tabs>
          <w:tab w:val="left" w:pos="736"/>
        </w:tabs>
        <w:autoSpaceDE w:val="0"/>
        <w:autoSpaceDN w:val="0"/>
        <w:adjustRightInd w:val="0"/>
        <w:jc w:val="both"/>
        <w:rPr>
          <w:color w:val="000000" w:themeColor="text1"/>
          <w:sz w:val="16"/>
          <w:szCs w:val="16"/>
        </w:rPr>
      </w:pPr>
      <w:r w:rsidRPr="00F90EAE">
        <w:rPr>
          <w:color w:val="000000" w:themeColor="text1"/>
          <w:sz w:val="16"/>
          <w:szCs w:val="16"/>
        </w:rPr>
        <w:t>XIV ГУ — заводы № 27,28, 35,162, 383,467.</w:t>
      </w:r>
    </w:p>
    <w:p w14:paraId="0AD781C1" w14:textId="77777777" w:rsidR="00C2313B" w:rsidRPr="00F90EAE" w:rsidRDefault="00C2313B" w:rsidP="00F90EAE">
      <w:pPr>
        <w:tabs>
          <w:tab w:val="left" w:pos="664"/>
        </w:tabs>
        <w:autoSpaceDE w:val="0"/>
        <w:autoSpaceDN w:val="0"/>
        <w:adjustRightInd w:val="0"/>
        <w:jc w:val="both"/>
        <w:rPr>
          <w:color w:val="000000" w:themeColor="text1"/>
          <w:sz w:val="16"/>
          <w:szCs w:val="16"/>
        </w:rPr>
      </w:pPr>
      <w:r w:rsidRPr="00F90EAE">
        <w:rPr>
          <w:color w:val="000000" w:themeColor="text1"/>
          <w:sz w:val="16"/>
          <w:szCs w:val="16"/>
        </w:rPr>
        <w:t>XV ГУ — заводы № 52, 53, 57.</w:t>
      </w:r>
    </w:p>
    <w:p w14:paraId="089982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XVII ГУ — заводы № 339,382,452,278.</w:t>
      </w:r>
    </w:p>
    <w:p w14:paraId="043933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оборудования — заводы № 165,492,491,4, 493.</w:t>
      </w:r>
    </w:p>
    <w:p w14:paraId="2189C5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ХУШ ГУ — заводы № 289,225.</w:t>
      </w:r>
    </w:p>
    <w:p w14:paraId="3D6953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Как видим, количество главков по сравнению с 1941 г. существенно возросло. К сожалению, на сегодняшний день документов, детально описывающих порядок и хронологию административного переустройства наркомата в годы войны, не обнаружено, остаётся лишь надеяться, что архивные изыскания позволят в будущем осветить эту тему более подробно.</w:t>
      </w:r>
    </w:p>
    <w:p w14:paraId="0CA8C3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Рост производственных мощностей советского авиастроения в годы Великой Отечественной войны (Самолётостроение в СССР. 1917—1945. Кн. 2. М„ 1994. С. 233.)</w:t>
      </w:r>
    </w:p>
    <w:tbl>
      <w:tblPr>
        <w:tblW w:w="0" w:type="auto"/>
        <w:tblInd w:w="8" w:type="dxa"/>
        <w:tblLayout w:type="fixed"/>
        <w:tblCellMar>
          <w:left w:w="0" w:type="dxa"/>
          <w:right w:w="0" w:type="dxa"/>
        </w:tblCellMar>
        <w:tblLook w:val="0000" w:firstRow="0" w:lastRow="0" w:firstColumn="0" w:lastColumn="0" w:noHBand="0" w:noVBand="0"/>
      </w:tblPr>
      <w:tblGrid>
        <w:gridCol w:w="1685"/>
        <w:gridCol w:w="998"/>
        <w:gridCol w:w="1013"/>
        <w:gridCol w:w="1128"/>
        <w:gridCol w:w="1114"/>
      </w:tblGrid>
      <w:tr w:rsidR="00561F31" w:rsidRPr="00F90EAE" w14:paraId="3EF222D0" w14:textId="77777777">
        <w:trPr>
          <w:trHeight w:val="230"/>
        </w:trPr>
        <w:tc>
          <w:tcPr>
            <w:tcW w:w="1685" w:type="dxa"/>
            <w:tcBorders>
              <w:top w:val="single" w:sz="6" w:space="0" w:color="auto"/>
              <w:left w:val="single" w:sz="6" w:space="0" w:color="auto"/>
              <w:bottom w:val="nil"/>
              <w:right w:val="single" w:sz="6" w:space="0" w:color="auto"/>
            </w:tcBorders>
            <w:shd w:val="clear" w:color="auto" w:fill="FFFFFF"/>
          </w:tcPr>
          <w:p w14:paraId="41569F2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Производственные показателя</w:t>
            </w:r>
          </w:p>
        </w:tc>
        <w:tc>
          <w:tcPr>
            <w:tcW w:w="2011" w:type="dxa"/>
            <w:gridSpan w:val="2"/>
            <w:tcBorders>
              <w:top w:val="single" w:sz="6" w:space="0" w:color="auto"/>
              <w:left w:val="single" w:sz="6" w:space="0" w:color="auto"/>
              <w:bottom w:val="single" w:sz="6" w:space="0" w:color="auto"/>
              <w:right w:val="single" w:sz="6" w:space="0" w:color="auto"/>
            </w:tcBorders>
            <w:shd w:val="clear" w:color="auto" w:fill="FFFFFF"/>
          </w:tcPr>
          <w:p w14:paraId="33236F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Самолётостроительные заводы</w:t>
            </w:r>
          </w:p>
        </w:tc>
        <w:tc>
          <w:tcPr>
            <w:tcW w:w="2242" w:type="dxa"/>
            <w:gridSpan w:val="2"/>
            <w:tcBorders>
              <w:top w:val="single" w:sz="6" w:space="0" w:color="auto"/>
              <w:left w:val="single" w:sz="6" w:space="0" w:color="auto"/>
              <w:bottom w:val="single" w:sz="6" w:space="0" w:color="auto"/>
              <w:right w:val="single" w:sz="6" w:space="0" w:color="auto"/>
            </w:tcBorders>
            <w:shd w:val="clear" w:color="auto" w:fill="FFFFFF"/>
          </w:tcPr>
          <w:p w14:paraId="717F62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Моторостроительные заводы</w:t>
            </w:r>
          </w:p>
        </w:tc>
      </w:tr>
      <w:tr w:rsidR="00561F31" w:rsidRPr="00F90EAE" w14:paraId="1D0F65C4" w14:textId="77777777">
        <w:trPr>
          <w:trHeight w:val="221"/>
        </w:trPr>
        <w:tc>
          <w:tcPr>
            <w:tcW w:w="1685" w:type="dxa"/>
            <w:tcBorders>
              <w:top w:val="nil"/>
              <w:left w:val="single" w:sz="6" w:space="0" w:color="auto"/>
              <w:bottom w:val="single" w:sz="6" w:space="0" w:color="auto"/>
              <w:right w:val="single" w:sz="6" w:space="0" w:color="auto"/>
            </w:tcBorders>
            <w:shd w:val="clear" w:color="auto" w:fill="FFFFFF"/>
          </w:tcPr>
          <w:p w14:paraId="6A2E5176" w14:textId="77777777" w:rsidR="00C2313B" w:rsidRPr="00F90EAE" w:rsidRDefault="00C2313B" w:rsidP="00F90EAE">
            <w:pPr>
              <w:autoSpaceDE w:val="0"/>
              <w:autoSpaceDN w:val="0"/>
              <w:adjustRightInd w:val="0"/>
              <w:jc w:val="both"/>
              <w:rPr>
                <w:color w:val="000000" w:themeColor="text1"/>
                <w:sz w:val="16"/>
                <w:szCs w:val="16"/>
              </w:rPr>
            </w:pP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0DF81C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1941г.</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025C90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34104A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1941с</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701628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r>
      <w:tr w:rsidR="00561F31" w:rsidRPr="00F90EAE" w14:paraId="32D08FF5"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72BFE4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Число металлорежущих станков</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46BF02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12095</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28CE4E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26572</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0D96D7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14616</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6EE06D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37845</w:t>
            </w:r>
          </w:p>
        </w:tc>
      </w:tr>
      <w:tr w:rsidR="00561F31" w:rsidRPr="00F90EAE" w14:paraId="0F78C752" w14:textId="77777777">
        <w:trPr>
          <w:trHeight w:val="413"/>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062F77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Производственная площадь, тыс. м</w:t>
            </w:r>
            <w:r w:rsidRPr="00F90EAE">
              <w:rPr>
                <w:color w:val="000000" w:themeColor="text1"/>
                <w:sz w:val="16"/>
                <w:szCs w:val="16"/>
                <w:vertAlign w:val="superscript"/>
              </w:rPr>
              <w:t>!</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660A5C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1410,2</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3685B3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3070,8</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42402D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791,7</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3320E1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1897,6</w:t>
            </w:r>
          </w:p>
        </w:tc>
      </w:tr>
      <w:tr w:rsidR="00561F31" w:rsidRPr="00F90EAE" w14:paraId="1F69BB6E" w14:textId="77777777">
        <w:trPr>
          <w:trHeight w:val="235"/>
        </w:trPr>
        <w:tc>
          <w:tcPr>
            <w:tcW w:w="1685" w:type="dxa"/>
            <w:tcBorders>
              <w:top w:val="single" w:sz="6" w:space="0" w:color="auto"/>
              <w:left w:val="single" w:sz="6" w:space="0" w:color="auto"/>
              <w:bottom w:val="single" w:sz="6" w:space="0" w:color="auto"/>
              <w:right w:val="single" w:sz="6" w:space="0" w:color="auto"/>
            </w:tcBorders>
            <w:shd w:val="clear" w:color="auto" w:fill="FFFFFF"/>
          </w:tcPr>
          <w:p w14:paraId="27834F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Число рабочих, тыс. чел.</w:t>
            </w:r>
          </w:p>
        </w:tc>
        <w:tc>
          <w:tcPr>
            <w:tcW w:w="998" w:type="dxa"/>
            <w:tcBorders>
              <w:top w:val="single" w:sz="6" w:space="0" w:color="auto"/>
              <w:left w:val="single" w:sz="6" w:space="0" w:color="auto"/>
              <w:bottom w:val="single" w:sz="6" w:space="0" w:color="auto"/>
              <w:right w:val="single" w:sz="6" w:space="0" w:color="auto"/>
            </w:tcBorders>
            <w:shd w:val="clear" w:color="auto" w:fill="FFFFFF"/>
          </w:tcPr>
          <w:p w14:paraId="737ADE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105,4</w:t>
            </w:r>
          </w:p>
        </w:tc>
        <w:tc>
          <w:tcPr>
            <w:tcW w:w="1013" w:type="dxa"/>
            <w:tcBorders>
              <w:top w:val="single" w:sz="6" w:space="0" w:color="auto"/>
              <w:left w:val="single" w:sz="6" w:space="0" w:color="auto"/>
              <w:bottom w:val="single" w:sz="6" w:space="0" w:color="auto"/>
              <w:right w:val="single" w:sz="6" w:space="0" w:color="auto"/>
            </w:tcBorders>
            <w:shd w:val="clear" w:color="auto" w:fill="FFFFFF"/>
          </w:tcPr>
          <w:p w14:paraId="4BBFB86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179,5</w:t>
            </w:r>
          </w:p>
        </w:tc>
        <w:tc>
          <w:tcPr>
            <w:tcW w:w="1128" w:type="dxa"/>
            <w:tcBorders>
              <w:top w:val="single" w:sz="6" w:space="0" w:color="auto"/>
              <w:left w:val="single" w:sz="6" w:space="0" w:color="auto"/>
              <w:bottom w:val="single" w:sz="6" w:space="0" w:color="auto"/>
              <w:right w:val="single" w:sz="6" w:space="0" w:color="auto"/>
            </w:tcBorders>
            <w:shd w:val="clear" w:color="auto" w:fill="FFFFFF"/>
          </w:tcPr>
          <w:p w14:paraId="1512F7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69,0</w:t>
            </w:r>
          </w:p>
        </w:tc>
        <w:tc>
          <w:tcPr>
            <w:tcW w:w="1114" w:type="dxa"/>
            <w:tcBorders>
              <w:top w:val="single" w:sz="6" w:space="0" w:color="auto"/>
              <w:left w:val="single" w:sz="6" w:space="0" w:color="auto"/>
              <w:bottom w:val="single" w:sz="6" w:space="0" w:color="auto"/>
              <w:right w:val="single" w:sz="6" w:space="0" w:color="auto"/>
            </w:tcBorders>
            <w:shd w:val="clear" w:color="auto" w:fill="FFFFFF"/>
          </w:tcPr>
          <w:p w14:paraId="13A441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93,6</w:t>
            </w:r>
          </w:p>
        </w:tc>
      </w:tr>
    </w:tbl>
    <w:p w14:paraId="364834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число станков и производственная пло</w:t>
      </w:r>
      <w:r w:rsidRPr="00F90EAE">
        <w:rPr>
          <w:color w:val="000000" w:themeColor="text1"/>
          <w:sz w:val="16"/>
          <w:szCs w:val="16"/>
        </w:rPr>
        <w:softHyphen/>
        <w:t>щадь росли опережающими, сравнительно с численностью рабочих, темпами. К сожалению, надо признать, что в области авиамоторостроения прорыва так и не наступило — масшта</w:t>
      </w:r>
      <w:r w:rsidRPr="00F90EAE">
        <w:rPr>
          <w:color w:val="000000" w:themeColor="text1"/>
          <w:sz w:val="16"/>
          <w:szCs w:val="16"/>
        </w:rPr>
        <w:softHyphen/>
        <w:t>бы авиавыпуска лимитировались именно поставками авиа</w:t>
      </w:r>
      <w:r w:rsidRPr="00F90EAE">
        <w:rPr>
          <w:color w:val="000000" w:themeColor="text1"/>
          <w:sz w:val="16"/>
          <w:szCs w:val="16"/>
        </w:rPr>
        <w:softHyphen/>
        <w:t>моторов. Скажем, в марте 1945 г. (!) завод № 153 вынужден был снизить сдачу самолётов с 20 (уровень июня 1944 — апреля 1945 гг</w:t>
      </w:r>
      <w:r w:rsidRPr="00F90EAE">
        <w:rPr>
          <w:smallCaps/>
          <w:color w:val="000000" w:themeColor="text1"/>
          <w:sz w:val="16"/>
          <w:szCs w:val="16"/>
        </w:rPr>
        <w:t>.</w:t>
      </w:r>
      <w:r w:rsidRPr="00F90EAE">
        <w:rPr>
          <w:color w:val="000000" w:themeColor="text1"/>
          <w:sz w:val="16"/>
          <w:szCs w:val="16"/>
        </w:rPr>
        <w:t>) до 16 самолётов в сутки только по причине недопоставки двигателей. В результате на 13 марта на заводе стопилось уже 235 некомплектных машин, которыми были заставлены все проезды, включая противопо</w:t>
      </w:r>
      <w:r w:rsidRPr="00F90EAE">
        <w:rPr>
          <w:color w:val="000000" w:themeColor="text1"/>
          <w:sz w:val="16"/>
          <w:szCs w:val="16"/>
        </w:rPr>
        <w:softHyphen/>
        <w:t>жарные (</w:t>
      </w:r>
      <w:r w:rsidRPr="00F90EAE">
        <w:rPr>
          <w:iCs/>
          <w:color w:val="000000" w:themeColor="text1"/>
          <w:sz w:val="16"/>
          <w:szCs w:val="16"/>
        </w:rPr>
        <w:t>Савицкий И.М.</w:t>
      </w:r>
      <w:r w:rsidRPr="00F90EAE">
        <w:rPr>
          <w:color w:val="000000" w:themeColor="text1"/>
          <w:sz w:val="16"/>
          <w:szCs w:val="16"/>
        </w:rPr>
        <w:t xml:space="preserve"> Указ. соч. С. 131) (12011).</w:t>
      </w:r>
    </w:p>
    <w:p w14:paraId="0B25B970" w14:textId="77777777" w:rsidR="00C2313B" w:rsidRPr="00F90EAE" w:rsidRDefault="00C2313B" w:rsidP="00F90EAE">
      <w:pPr>
        <w:autoSpaceDE w:val="0"/>
        <w:autoSpaceDN w:val="0"/>
        <w:adjustRightInd w:val="0"/>
        <w:jc w:val="both"/>
        <w:rPr>
          <w:color w:val="000000" w:themeColor="text1"/>
          <w:sz w:val="16"/>
          <w:szCs w:val="16"/>
        </w:rPr>
      </w:pPr>
    </w:p>
    <w:p w14:paraId="4147A3E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в полках ГВФ на фронте все еще было 38 Р-5. были Р-5 и на ДВ (3551,19).</w:t>
      </w:r>
    </w:p>
    <w:p w14:paraId="7467A0D1" w14:textId="77777777" w:rsidR="00C2313B" w:rsidRPr="00F90EAE" w:rsidRDefault="00C2313B" w:rsidP="00F90EAE">
      <w:pPr>
        <w:autoSpaceDE w:val="0"/>
        <w:autoSpaceDN w:val="0"/>
        <w:adjustRightInd w:val="0"/>
        <w:jc w:val="both"/>
        <w:rPr>
          <w:color w:val="000000" w:themeColor="text1"/>
          <w:sz w:val="16"/>
          <w:szCs w:val="16"/>
        </w:rPr>
      </w:pPr>
    </w:p>
    <w:p w14:paraId="46917234" w14:textId="77777777" w:rsidR="00BC1830" w:rsidRPr="00F90EAE" w:rsidRDefault="00BC1830" w:rsidP="00F90EAE">
      <w:pPr>
        <w:jc w:val="both"/>
        <w:rPr>
          <w:color w:val="000000" w:themeColor="text1"/>
          <w:sz w:val="16"/>
          <w:szCs w:val="16"/>
        </w:rPr>
      </w:pPr>
      <w:r w:rsidRPr="00F90EAE">
        <w:rPr>
          <w:color w:val="000000" w:themeColor="text1"/>
          <w:sz w:val="16"/>
          <w:szCs w:val="16"/>
        </w:rPr>
        <w:t xml:space="preserve">В начале 1945 г. стала возможной разработка и постройка экспериментальной машин, выполненной по аэродинамической схеме «утка». В феврале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Блок, Т.А. Малькова, Я.И. Селецкий и А.А. Чумаченко.</w:t>
      </w:r>
    </w:p>
    <w:p w14:paraId="54D70D88" w14:textId="77777777" w:rsidR="00BC1830" w:rsidRPr="00F90EAE" w:rsidRDefault="00BC1830" w:rsidP="00F90EAE">
      <w:pPr>
        <w:jc w:val="both"/>
        <w:rPr>
          <w:color w:val="000000" w:themeColor="text1"/>
          <w:sz w:val="16"/>
          <w:szCs w:val="16"/>
        </w:rPr>
      </w:pPr>
      <w:r w:rsidRPr="00F90EAE">
        <w:rPr>
          <w:color w:val="000000" w:themeColor="text1"/>
          <w:sz w:val="16"/>
          <w:szCs w:val="16"/>
        </w:rPr>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F90EAE">
        <w:rPr>
          <w:color w:val="000000" w:themeColor="text1"/>
          <w:sz w:val="16"/>
          <w:szCs w:val="16"/>
        </w:rPr>
        <w:softHyphen/>
        <w:t>зволяло проверить её управляемость на малых скоростях при отсутствии обдува крыла вин</w:t>
      </w:r>
      <w:r w:rsidRPr="00F90EAE">
        <w:rPr>
          <w:color w:val="000000" w:themeColor="text1"/>
          <w:sz w:val="16"/>
          <w:szCs w:val="16"/>
        </w:rPr>
        <w:softHyphen/>
        <w:t>том. Как отметили в пояснительной записке А.И. Микоян и М.И. Гуревич:</w:t>
      </w:r>
      <w:r w:rsidRPr="00F90EAE">
        <w:rPr>
          <w:rStyle w:val="aff6"/>
          <w:rFonts w:ascii="Times New Roman" w:eastAsia="Arial Narrow" w:hAnsi="Times New Roman" w:cs="Times New Roman"/>
          <w:i w:val="0"/>
          <w:color w:val="000000" w:themeColor="text1"/>
        </w:rPr>
        <w:t xml:space="preserve"> «Это представляет </w:t>
      </w:r>
      <w:r w:rsidRPr="00F90EAE">
        <w:rPr>
          <w:color w:val="000000" w:themeColor="text1"/>
          <w:sz w:val="16"/>
          <w:szCs w:val="16"/>
        </w:rPr>
        <w:t>интерес для самолётов с чисто реактивными дви</w:t>
      </w:r>
      <w:r w:rsidRPr="00F90EAE">
        <w:rPr>
          <w:color w:val="000000" w:themeColor="text1"/>
          <w:sz w:val="16"/>
          <w:szCs w:val="16"/>
        </w:rPr>
        <w:softHyphen/>
        <w:t>гателями. Эксплуатация этого самолёта позволит изучить вопросы, связан</w:t>
      </w:r>
      <w:r w:rsidRPr="00F90EAE">
        <w:rPr>
          <w:color w:val="000000" w:themeColor="text1"/>
          <w:sz w:val="16"/>
          <w:szCs w:val="16"/>
        </w:rPr>
        <w:softHyphen/>
        <w:t>ные с управляемостью самолёта на земле и во</w:t>
      </w:r>
      <w:r w:rsidRPr="00F90EAE">
        <w:rPr>
          <w:color w:val="000000" w:themeColor="text1"/>
          <w:sz w:val="16"/>
          <w:szCs w:val="16"/>
        </w:rPr>
        <w:softHyphen/>
        <w:t>просы взлёта и посадки (заход на второй круг) в условиях отсутствия об</w:t>
      </w:r>
      <w:r w:rsidRPr="00F90EAE">
        <w:rPr>
          <w:color w:val="000000" w:themeColor="text1"/>
          <w:sz w:val="16"/>
          <w:szCs w:val="16"/>
        </w:rPr>
        <w:softHyphen/>
        <w:t>дувки винтом органов управления» (15848).</w:t>
      </w:r>
    </w:p>
    <w:p w14:paraId="592EEFAC" w14:textId="77777777" w:rsidR="00BC1830" w:rsidRPr="00F90EAE" w:rsidRDefault="00BC1830" w:rsidP="00F90EAE">
      <w:pPr>
        <w:jc w:val="both"/>
        <w:rPr>
          <w:color w:val="000000" w:themeColor="text1"/>
          <w:sz w:val="16"/>
          <w:szCs w:val="16"/>
        </w:rPr>
      </w:pPr>
    </w:p>
    <w:p w14:paraId="78AD8E72" w14:textId="77777777" w:rsidR="00BC1830" w:rsidRPr="00F90EAE" w:rsidRDefault="00BC1830" w:rsidP="00F90EAE">
      <w:pPr>
        <w:jc w:val="both"/>
        <w:rPr>
          <w:color w:val="000000" w:themeColor="text1"/>
          <w:sz w:val="16"/>
          <w:szCs w:val="16"/>
        </w:rPr>
      </w:pPr>
      <w:r w:rsidRPr="00F90EAE">
        <w:rPr>
          <w:color w:val="000000" w:themeColor="text1"/>
          <w:sz w:val="16"/>
          <w:szCs w:val="16"/>
        </w:rPr>
        <w:t>К началу 1945 г. М-83 подготови</w:t>
      </w:r>
      <w:r w:rsidRPr="00F90EAE">
        <w:rPr>
          <w:color w:val="000000" w:themeColor="text1"/>
          <w:sz w:val="16"/>
          <w:szCs w:val="16"/>
        </w:rPr>
        <w:softHyphen/>
        <w:t>ли к запуску в серию, которую, однако, так практически и не развернули (15829).</w:t>
      </w:r>
    </w:p>
    <w:p w14:paraId="353E9A02" w14:textId="77777777" w:rsidR="00BC1830" w:rsidRPr="00F90EAE" w:rsidRDefault="00BC1830" w:rsidP="00F90EAE">
      <w:pPr>
        <w:jc w:val="both"/>
        <w:rPr>
          <w:color w:val="000000" w:themeColor="text1"/>
          <w:sz w:val="16"/>
          <w:szCs w:val="16"/>
        </w:rPr>
      </w:pPr>
    </w:p>
    <w:p w14:paraId="3DA71C76" w14:textId="77777777" w:rsidR="00BC1830" w:rsidRPr="00F90EAE" w:rsidRDefault="00BC1830" w:rsidP="00F90EAE">
      <w:pPr>
        <w:jc w:val="both"/>
        <w:rPr>
          <w:color w:val="000000" w:themeColor="text1"/>
          <w:sz w:val="16"/>
          <w:szCs w:val="16"/>
        </w:rPr>
      </w:pPr>
      <w:r w:rsidRPr="00F90EAE">
        <w:rPr>
          <w:color w:val="000000" w:themeColor="text1"/>
          <w:sz w:val="16"/>
          <w:szCs w:val="16"/>
        </w:rPr>
        <w:t>В начале 1945 г. А.С. Яковлев вновь взялся за установку АШ-82ФН на свой самолёт, теперь уже Як-3. К апрелю Як-ЗУ с этим мотором построили, но он опоздал — война закончилась, и самолёт остался не у дел (15829).</w:t>
      </w:r>
    </w:p>
    <w:p w14:paraId="4EFBBD9F" w14:textId="77777777" w:rsidR="00BC1830" w:rsidRPr="00F90EAE" w:rsidRDefault="00BC1830" w:rsidP="00F90EAE">
      <w:pPr>
        <w:jc w:val="both"/>
        <w:rPr>
          <w:color w:val="000000" w:themeColor="text1"/>
          <w:sz w:val="16"/>
          <w:szCs w:val="16"/>
        </w:rPr>
      </w:pPr>
    </w:p>
    <w:p w14:paraId="2AA666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ОКБ-16 стало ясно, что пушку Н-37 надо ставить на реактивный истребитель (263,96).</w:t>
      </w:r>
    </w:p>
    <w:p w14:paraId="4CA548FA" w14:textId="77777777" w:rsidR="00C2313B" w:rsidRPr="00F90EAE" w:rsidRDefault="00C2313B" w:rsidP="00F90EAE">
      <w:pPr>
        <w:autoSpaceDE w:val="0"/>
        <w:autoSpaceDN w:val="0"/>
        <w:adjustRightInd w:val="0"/>
        <w:jc w:val="both"/>
        <w:rPr>
          <w:color w:val="000000" w:themeColor="text1"/>
          <w:sz w:val="16"/>
          <w:szCs w:val="16"/>
        </w:rPr>
      </w:pPr>
    </w:p>
    <w:p w14:paraId="7BED73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была подготовлена объяснительная записка ПГУ к отчету за 1944:</w:t>
      </w:r>
    </w:p>
    <w:p w14:paraId="5F6BC66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"Основными производственно-хозяйственными задачами ПГУ на 1944 являлись:</w:t>
      </w:r>
    </w:p>
    <w:p w14:paraId="44A646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Внедрение в производство новых типов самолетов Ла-7 АШ-82ФН, Як-3 с ВК-105ПФ, Як-9 с ВК-107А, а также связанная с этим конструкторская доводка данных самолетов" (1960).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2107"/>
        <w:gridCol w:w="2107"/>
        <w:gridCol w:w="2107"/>
        <w:gridCol w:w="2107"/>
        <w:gridCol w:w="2107"/>
      </w:tblGrid>
      <w:tr w:rsidR="00561F31" w:rsidRPr="00F90EAE" w14:paraId="000785D2" w14:textId="77777777">
        <w:tc>
          <w:tcPr>
            <w:tcW w:w="675" w:type="dxa"/>
            <w:tcBorders>
              <w:top w:val="single" w:sz="12" w:space="0" w:color="auto"/>
            </w:tcBorders>
          </w:tcPr>
          <w:p w14:paraId="39EED0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w:t>
            </w:r>
          </w:p>
        </w:tc>
        <w:tc>
          <w:tcPr>
            <w:tcW w:w="2107" w:type="dxa"/>
            <w:tcBorders>
              <w:top w:val="single" w:sz="12" w:space="0" w:color="auto"/>
            </w:tcBorders>
          </w:tcPr>
          <w:p w14:paraId="19B010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2107" w:type="dxa"/>
            <w:tcBorders>
              <w:top w:val="single" w:sz="12" w:space="0" w:color="auto"/>
            </w:tcBorders>
          </w:tcPr>
          <w:p w14:paraId="128494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Сборка</w:t>
            </w:r>
          </w:p>
        </w:tc>
        <w:tc>
          <w:tcPr>
            <w:tcW w:w="2107" w:type="dxa"/>
            <w:tcBorders>
              <w:top w:val="single" w:sz="12" w:space="0" w:color="auto"/>
            </w:tcBorders>
          </w:tcPr>
          <w:p w14:paraId="0345C45F"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Borders>
              <w:top w:val="single" w:sz="12" w:space="0" w:color="auto"/>
            </w:tcBorders>
          </w:tcPr>
          <w:p w14:paraId="268B1D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бою</w:t>
            </w:r>
          </w:p>
        </w:tc>
        <w:tc>
          <w:tcPr>
            <w:tcW w:w="2107" w:type="dxa"/>
            <w:tcBorders>
              <w:top w:val="single" w:sz="12" w:space="0" w:color="auto"/>
            </w:tcBorders>
          </w:tcPr>
          <w:p w14:paraId="41FC1D94" w14:textId="77777777" w:rsidR="00C2313B" w:rsidRPr="00F90EAE" w:rsidRDefault="00C2313B" w:rsidP="00F90EAE">
            <w:pPr>
              <w:autoSpaceDE w:val="0"/>
              <w:autoSpaceDN w:val="0"/>
              <w:adjustRightInd w:val="0"/>
              <w:jc w:val="both"/>
              <w:rPr>
                <w:color w:val="000000" w:themeColor="text1"/>
                <w:sz w:val="16"/>
                <w:szCs w:val="16"/>
              </w:rPr>
            </w:pPr>
          </w:p>
        </w:tc>
      </w:tr>
      <w:tr w:rsidR="00561F31" w:rsidRPr="00F90EAE" w14:paraId="4E36B75A" w14:textId="77777777">
        <w:tc>
          <w:tcPr>
            <w:tcW w:w="675" w:type="dxa"/>
          </w:tcPr>
          <w:p w14:paraId="3BA56E9B"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5490F551"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582017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 1943</w:t>
            </w:r>
          </w:p>
        </w:tc>
        <w:tc>
          <w:tcPr>
            <w:tcW w:w="2107" w:type="dxa"/>
          </w:tcPr>
          <w:p w14:paraId="6221BD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 1944</w:t>
            </w:r>
          </w:p>
        </w:tc>
        <w:tc>
          <w:tcPr>
            <w:tcW w:w="2107" w:type="dxa"/>
          </w:tcPr>
          <w:p w14:paraId="43724E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 1943</w:t>
            </w:r>
          </w:p>
        </w:tc>
        <w:tc>
          <w:tcPr>
            <w:tcW w:w="2107" w:type="dxa"/>
          </w:tcPr>
          <w:p w14:paraId="132A06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Отчет 1944</w:t>
            </w:r>
          </w:p>
        </w:tc>
      </w:tr>
      <w:tr w:rsidR="00561F31" w:rsidRPr="00F90EAE" w14:paraId="11DB2312" w14:textId="77777777">
        <w:tc>
          <w:tcPr>
            <w:tcW w:w="675" w:type="dxa"/>
          </w:tcPr>
          <w:p w14:paraId="2424CB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2107" w:type="dxa"/>
          </w:tcPr>
          <w:p w14:paraId="32B290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Ла-5 и Ла-5ФН</w:t>
            </w:r>
          </w:p>
        </w:tc>
        <w:tc>
          <w:tcPr>
            <w:tcW w:w="2107" w:type="dxa"/>
          </w:tcPr>
          <w:p w14:paraId="074B9A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4619</w:t>
            </w:r>
          </w:p>
        </w:tc>
        <w:tc>
          <w:tcPr>
            <w:tcW w:w="2107" w:type="dxa"/>
          </w:tcPr>
          <w:p w14:paraId="7A742C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3503</w:t>
            </w:r>
          </w:p>
        </w:tc>
        <w:tc>
          <w:tcPr>
            <w:tcW w:w="2107" w:type="dxa"/>
          </w:tcPr>
          <w:p w14:paraId="55D33D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4610</w:t>
            </w:r>
          </w:p>
        </w:tc>
        <w:tc>
          <w:tcPr>
            <w:tcW w:w="2107" w:type="dxa"/>
          </w:tcPr>
          <w:p w14:paraId="23E135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3559</w:t>
            </w:r>
          </w:p>
        </w:tc>
      </w:tr>
      <w:tr w:rsidR="00561F31" w:rsidRPr="00F90EAE" w14:paraId="61D87FB1" w14:textId="77777777">
        <w:tc>
          <w:tcPr>
            <w:tcW w:w="675" w:type="dxa"/>
          </w:tcPr>
          <w:p w14:paraId="1EDD123A"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221106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2107" w:type="dxa"/>
          </w:tcPr>
          <w:p w14:paraId="023CB8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6E88CF7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1558</w:t>
            </w:r>
          </w:p>
        </w:tc>
        <w:tc>
          <w:tcPr>
            <w:tcW w:w="2107" w:type="dxa"/>
          </w:tcPr>
          <w:p w14:paraId="118C75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5491362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1150</w:t>
            </w:r>
          </w:p>
        </w:tc>
      </w:tr>
      <w:tr w:rsidR="00561F31" w:rsidRPr="00F90EAE" w14:paraId="047714E9" w14:textId="77777777">
        <w:tc>
          <w:tcPr>
            <w:tcW w:w="675" w:type="dxa"/>
          </w:tcPr>
          <w:p w14:paraId="49A7823E"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3A3C4F4D"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36BB21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43FF28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5061</w:t>
            </w:r>
          </w:p>
        </w:tc>
        <w:tc>
          <w:tcPr>
            <w:tcW w:w="2107" w:type="dxa"/>
          </w:tcPr>
          <w:p w14:paraId="2ECFC2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736BAA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4709</w:t>
            </w:r>
          </w:p>
        </w:tc>
      </w:tr>
      <w:tr w:rsidR="00561F31" w:rsidRPr="00F90EAE" w14:paraId="5464EA9E" w14:textId="77777777">
        <w:tc>
          <w:tcPr>
            <w:tcW w:w="675" w:type="dxa"/>
          </w:tcPr>
          <w:p w14:paraId="6769F05B"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6636B85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ЛаГГ-3</w:t>
            </w:r>
          </w:p>
        </w:tc>
        <w:tc>
          <w:tcPr>
            <w:tcW w:w="2107" w:type="dxa"/>
          </w:tcPr>
          <w:p w14:paraId="5C4B91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5A1764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4E803B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2107" w:type="dxa"/>
          </w:tcPr>
          <w:p w14:paraId="2868B7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F9B72F1" w14:textId="77777777">
        <w:tc>
          <w:tcPr>
            <w:tcW w:w="675" w:type="dxa"/>
          </w:tcPr>
          <w:p w14:paraId="3E89A2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107" w:type="dxa"/>
          </w:tcPr>
          <w:p w14:paraId="4125AF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ЛаГГ-3</w:t>
            </w:r>
          </w:p>
        </w:tc>
        <w:tc>
          <w:tcPr>
            <w:tcW w:w="2107" w:type="dxa"/>
          </w:tcPr>
          <w:p w14:paraId="5DCAE8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1065</w:t>
            </w:r>
          </w:p>
        </w:tc>
        <w:tc>
          <w:tcPr>
            <w:tcW w:w="2107" w:type="dxa"/>
          </w:tcPr>
          <w:p w14:paraId="4C3885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229</w:t>
            </w:r>
          </w:p>
        </w:tc>
        <w:tc>
          <w:tcPr>
            <w:tcW w:w="2107" w:type="dxa"/>
          </w:tcPr>
          <w:p w14:paraId="2F6EB9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1037</w:t>
            </w:r>
          </w:p>
        </w:tc>
        <w:tc>
          <w:tcPr>
            <w:tcW w:w="2107" w:type="dxa"/>
          </w:tcPr>
          <w:p w14:paraId="45C05C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317</w:t>
            </w:r>
          </w:p>
        </w:tc>
      </w:tr>
      <w:tr w:rsidR="00561F31" w:rsidRPr="00F90EAE" w14:paraId="359C6508" w14:textId="77777777">
        <w:tc>
          <w:tcPr>
            <w:tcW w:w="675" w:type="dxa"/>
          </w:tcPr>
          <w:p w14:paraId="09958BA7"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491B42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Як-3ПФ</w:t>
            </w:r>
          </w:p>
        </w:tc>
        <w:tc>
          <w:tcPr>
            <w:tcW w:w="2107" w:type="dxa"/>
          </w:tcPr>
          <w:p w14:paraId="35C502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62015E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498</w:t>
            </w:r>
          </w:p>
        </w:tc>
        <w:tc>
          <w:tcPr>
            <w:tcW w:w="2107" w:type="dxa"/>
          </w:tcPr>
          <w:p w14:paraId="699ED9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0E10CD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436</w:t>
            </w:r>
          </w:p>
        </w:tc>
      </w:tr>
      <w:tr w:rsidR="00561F31" w:rsidRPr="00F90EAE" w14:paraId="4DDC9393" w14:textId="77777777">
        <w:tc>
          <w:tcPr>
            <w:tcW w:w="675" w:type="dxa"/>
          </w:tcPr>
          <w:p w14:paraId="4BDCBF65"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6EA757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Ла-5Ф</w:t>
            </w:r>
          </w:p>
        </w:tc>
        <w:tc>
          <w:tcPr>
            <w:tcW w:w="2107" w:type="dxa"/>
          </w:tcPr>
          <w:p w14:paraId="24C9A4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2107" w:type="dxa"/>
          </w:tcPr>
          <w:p w14:paraId="66B60C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711872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2107" w:type="dxa"/>
          </w:tcPr>
          <w:p w14:paraId="51F20CA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BD42ACA" w14:textId="77777777">
        <w:tc>
          <w:tcPr>
            <w:tcW w:w="675" w:type="dxa"/>
          </w:tcPr>
          <w:p w14:paraId="221642A0"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4B06ADE5"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5A4A05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1070</w:t>
            </w:r>
          </w:p>
        </w:tc>
        <w:tc>
          <w:tcPr>
            <w:tcW w:w="2107" w:type="dxa"/>
          </w:tcPr>
          <w:p w14:paraId="64CB95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727</w:t>
            </w:r>
          </w:p>
        </w:tc>
        <w:tc>
          <w:tcPr>
            <w:tcW w:w="2107" w:type="dxa"/>
          </w:tcPr>
          <w:p w14:paraId="713722A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1041</w:t>
            </w:r>
          </w:p>
        </w:tc>
        <w:tc>
          <w:tcPr>
            <w:tcW w:w="2107" w:type="dxa"/>
          </w:tcPr>
          <w:p w14:paraId="6B38C4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753</w:t>
            </w:r>
          </w:p>
        </w:tc>
      </w:tr>
      <w:tr w:rsidR="00561F31" w:rsidRPr="00F90EAE" w14:paraId="4E3C3ECA" w14:textId="77777777">
        <w:tc>
          <w:tcPr>
            <w:tcW w:w="675" w:type="dxa"/>
          </w:tcPr>
          <w:p w14:paraId="157A73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2107" w:type="dxa"/>
          </w:tcPr>
          <w:p w14:paraId="15A27A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Як-7ПФ</w:t>
            </w:r>
          </w:p>
        </w:tc>
        <w:tc>
          <w:tcPr>
            <w:tcW w:w="2107" w:type="dxa"/>
          </w:tcPr>
          <w:p w14:paraId="153F1D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640</w:t>
            </w:r>
          </w:p>
        </w:tc>
        <w:tc>
          <w:tcPr>
            <w:tcW w:w="2107" w:type="dxa"/>
          </w:tcPr>
          <w:p w14:paraId="315244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465</w:t>
            </w:r>
          </w:p>
        </w:tc>
        <w:tc>
          <w:tcPr>
            <w:tcW w:w="2107" w:type="dxa"/>
          </w:tcPr>
          <w:p w14:paraId="3C11D5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2107" w:type="dxa"/>
          </w:tcPr>
          <w:p w14:paraId="134B63B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485</w:t>
            </w:r>
          </w:p>
        </w:tc>
      </w:tr>
      <w:tr w:rsidR="00561F31" w:rsidRPr="00F90EAE" w14:paraId="6EE0E759" w14:textId="77777777">
        <w:tc>
          <w:tcPr>
            <w:tcW w:w="675" w:type="dxa"/>
          </w:tcPr>
          <w:p w14:paraId="78419BC7"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08021D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2107" w:type="dxa"/>
          </w:tcPr>
          <w:p w14:paraId="54393D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32F584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373</w:t>
            </w:r>
          </w:p>
        </w:tc>
        <w:tc>
          <w:tcPr>
            <w:tcW w:w="2107" w:type="dxa"/>
          </w:tcPr>
          <w:p w14:paraId="0FDC20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0AE0D8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219</w:t>
            </w:r>
          </w:p>
        </w:tc>
      </w:tr>
      <w:tr w:rsidR="00561F31" w:rsidRPr="00F90EAE" w14:paraId="5BF6D614" w14:textId="77777777">
        <w:tc>
          <w:tcPr>
            <w:tcW w:w="675" w:type="dxa"/>
          </w:tcPr>
          <w:p w14:paraId="451835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2107" w:type="dxa"/>
          </w:tcPr>
          <w:p w14:paraId="4CD3AA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Ла-5ФН</w:t>
            </w:r>
          </w:p>
        </w:tc>
        <w:tc>
          <w:tcPr>
            <w:tcW w:w="2107" w:type="dxa"/>
          </w:tcPr>
          <w:p w14:paraId="6F4FF5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2107" w:type="dxa"/>
          </w:tcPr>
          <w:p w14:paraId="69842F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102</w:t>
            </w:r>
          </w:p>
        </w:tc>
        <w:tc>
          <w:tcPr>
            <w:tcW w:w="2107" w:type="dxa"/>
          </w:tcPr>
          <w:p w14:paraId="0F147A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177</w:t>
            </w:r>
          </w:p>
        </w:tc>
        <w:tc>
          <w:tcPr>
            <w:tcW w:w="2107" w:type="dxa"/>
          </w:tcPr>
          <w:p w14:paraId="1F9CC3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110</w:t>
            </w:r>
          </w:p>
        </w:tc>
      </w:tr>
      <w:tr w:rsidR="00561F31" w:rsidRPr="00F90EAE" w14:paraId="6D4CFC32" w14:textId="77777777">
        <w:tc>
          <w:tcPr>
            <w:tcW w:w="675" w:type="dxa"/>
          </w:tcPr>
          <w:p w14:paraId="277F983B"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64FFD6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2107" w:type="dxa"/>
          </w:tcPr>
          <w:p w14:paraId="45D654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4A71FA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2107" w:type="dxa"/>
          </w:tcPr>
          <w:p w14:paraId="119727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6ECA98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w:t>
            </w:r>
          </w:p>
        </w:tc>
      </w:tr>
      <w:tr w:rsidR="00561F31" w:rsidRPr="00F90EAE" w14:paraId="42D7AC8E" w14:textId="77777777">
        <w:tc>
          <w:tcPr>
            <w:tcW w:w="675" w:type="dxa"/>
          </w:tcPr>
          <w:p w14:paraId="3D7409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2107" w:type="dxa"/>
          </w:tcPr>
          <w:p w14:paraId="279C0B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Як-7ПФ</w:t>
            </w:r>
          </w:p>
        </w:tc>
        <w:tc>
          <w:tcPr>
            <w:tcW w:w="2107" w:type="dxa"/>
          </w:tcPr>
          <w:p w14:paraId="286FFF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2656</w:t>
            </w:r>
          </w:p>
        </w:tc>
        <w:tc>
          <w:tcPr>
            <w:tcW w:w="2107" w:type="dxa"/>
          </w:tcPr>
          <w:p w14:paraId="6BB786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7ABECF3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2811</w:t>
            </w:r>
          </w:p>
        </w:tc>
        <w:tc>
          <w:tcPr>
            <w:tcW w:w="2107" w:type="dxa"/>
          </w:tcPr>
          <w:p w14:paraId="05204A8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33</w:t>
            </w:r>
          </w:p>
        </w:tc>
      </w:tr>
      <w:tr w:rsidR="00561F31" w:rsidRPr="00F90EAE" w14:paraId="4119184D" w14:textId="77777777">
        <w:tc>
          <w:tcPr>
            <w:tcW w:w="675" w:type="dxa"/>
          </w:tcPr>
          <w:p w14:paraId="67038E10"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0E6DEA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Як-9ПФ</w:t>
            </w:r>
          </w:p>
        </w:tc>
        <w:tc>
          <w:tcPr>
            <w:tcW w:w="2107" w:type="dxa"/>
          </w:tcPr>
          <w:p w14:paraId="29D4D4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831</w:t>
            </w:r>
          </w:p>
        </w:tc>
        <w:tc>
          <w:tcPr>
            <w:tcW w:w="2107" w:type="dxa"/>
          </w:tcPr>
          <w:p w14:paraId="64F73D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4541</w:t>
            </w:r>
          </w:p>
        </w:tc>
        <w:tc>
          <w:tcPr>
            <w:tcW w:w="2107" w:type="dxa"/>
          </w:tcPr>
          <w:p w14:paraId="7BF239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816</w:t>
            </w:r>
          </w:p>
        </w:tc>
        <w:tc>
          <w:tcPr>
            <w:tcW w:w="2107" w:type="dxa"/>
          </w:tcPr>
          <w:p w14:paraId="16832B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4457</w:t>
            </w:r>
          </w:p>
        </w:tc>
      </w:tr>
      <w:tr w:rsidR="00561F31" w:rsidRPr="00F90EAE" w14:paraId="060D6197" w14:textId="77777777">
        <w:tc>
          <w:tcPr>
            <w:tcW w:w="675" w:type="dxa"/>
          </w:tcPr>
          <w:p w14:paraId="7AC620FA"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1DEC235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Як-9ПФ МП-37</w:t>
            </w:r>
          </w:p>
        </w:tc>
        <w:tc>
          <w:tcPr>
            <w:tcW w:w="2107" w:type="dxa"/>
          </w:tcPr>
          <w:p w14:paraId="07137D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930</w:t>
            </w:r>
          </w:p>
        </w:tc>
        <w:tc>
          <w:tcPr>
            <w:tcW w:w="2107" w:type="dxa"/>
          </w:tcPr>
          <w:p w14:paraId="11CAC4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1267</w:t>
            </w:r>
          </w:p>
        </w:tc>
        <w:tc>
          <w:tcPr>
            <w:tcW w:w="2107" w:type="dxa"/>
          </w:tcPr>
          <w:p w14:paraId="2AE229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900</w:t>
            </w:r>
          </w:p>
        </w:tc>
        <w:tc>
          <w:tcPr>
            <w:tcW w:w="2107" w:type="dxa"/>
          </w:tcPr>
          <w:p w14:paraId="416CCD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1208</w:t>
            </w:r>
          </w:p>
        </w:tc>
      </w:tr>
      <w:tr w:rsidR="00561F31" w:rsidRPr="00F90EAE" w14:paraId="19A36E49" w14:textId="77777777">
        <w:tc>
          <w:tcPr>
            <w:tcW w:w="675" w:type="dxa"/>
          </w:tcPr>
          <w:p w14:paraId="4A658412"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338872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 М107А</w:t>
            </w:r>
          </w:p>
        </w:tc>
        <w:tc>
          <w:tcPr>
            <w:tcW w:w="2107" w:type="dxa"/>
          </w:tcPr>
          <w:p w14:paraId="149B32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20FF06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2107" w:type="dxa"/>
          </w:tcPr>
          <w:p w14:paraId="72A43F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222FAA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50</w:t>
            </w:r>
          </w:p>
        </w:tc>
      </w:tr>
      <w:tr w:rsidR="00561F31" w:rsidRPr="00F90EAE" w14:paraId="2DF7189F" w14:textId="77777777">
        <w:tc>
          <w:tcPr>
            <w:tcW w:w="675" w:type="dxa"/>
          </w:tcPr>
          <w:p w14:paraId="2DCAA4D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166</w:t>
            </w:r>
          </w:p>
        </w:tc>
        <w:tc>
          <w:tcPr>
            <w:tcW w:w="2107" w:type="dxa"/>
          </w:tcPr>
          <w:p w14:paraId="52236A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Як-9ПФ</w:t>
            </w:r>
          </w:p>
        </w:tc>
        <w:tc>
          <w:tcPr>
            <w:tcW w:w="2107" w:type="dxa"/>
          </w:tcPr>
          <w:p w14:paraId="33BBB33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721</w:t>
            </w:r>
          </w:p>
        </w:tc>
        <w:tc>
          <w:tcPr>
            <w:tcW w:w="2107" w:type="dxa"/>
          </w:tcPr>
          <w:p w14:paraId="42D7E2F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480</w:t>
            </w:r>
          </w:p>
        </w:tc>
        <w:tc>
          <w:tcPr>
            <w:tcW w:w="2107" w:type="dxa"/>
          </w:tcPr>
          <w:p w14:paraId="6F2B9D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681</w:t>
            </w:r>
          </w:p>
        </w:tc>
        <w:tc>
          <w:tcPr>
            <w:tcW w:w="2107" w:type="dxa"/>
          </w:tcPr>
          <w:p w14:paraId="7741AF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516</w:t>
            </w:r>
          </w:p>
        </w:tc>
      </w:tr>
      <w:tr w:rsidR="00561F31" w:rsidRPr="00F90EAE" w14:paraId="76E24E96" w14:textId="77777777">
        <w:tc>
          <w:tcPr>
            <w:tcW w:w="675" w:type="dxa"/>
          </w:tcPr>
          <w:p w14:paraId="7B78521E"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51F3383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Як-9 М107А</w:t>
            </w:r>
          </w:p>
        </w:tc>
        <w:tc>
          <w:tcPr>
            <w:tcW w:w="2107" w:type="dxa"/>
          </w:tcPr>
          <w:p w14:paraId="7AC1795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2107" w:type="dxa"/>
          </w:tcPr>
          <w:p w14:paraId="6B59D2A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1119</w:t>
            </w:r>
          </w:p>
        </w:tc>
        <w:tc>
          <w:tcPr>
            <w:tcW w:w="2107" w:type="dxa"/>
          </w:tcPr>
          <w:p w14:paraId="6FF24F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3DDD891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1002</w:t>
            </w:r>
          </w:p>
        </w:tc>
      </w:tr>
      <w:tr w:rsidR="00561F31" w:rsidRPr="00F90EAE" w14:paraId="41E2E096" w14:textId="77777777">
        <w:tc>
          <w:tcPr>
            <w:tcW w:w="675" w:type="dxa"/>
          </w:tcPr>
          <w:p w14:paraId="62EDD9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2107" w:type="dxa"/>
          </w:tcPr>
          <w:p w14:paraId="59AB20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Як-1 ПФ</w:t>
            </w:r>
          </w:p>
        </w:tc>
        <w:tc>
          <w:tcPr>
            <w:tcW w:w="2107" w:type="dxa"/>
          </w:tcPr>
          <w:p w14:paraId="14FC7C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2720</w:t>
            </w:r>
          </w:p>
        </w:tc>
        <w:tc>
          <w:tcPr>
            <w:tcW w:w="2107" w:type="dxa"/>
          </w:tcPr>
          <w:p w14:paraId="3536F9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1128</w:t>
            </w:r>
          </w:p>
        </w:tc>
        <w:tc>
          <w:tcPr>
            <w:tcW w:w="2107" w:type="dxa"/>
          </w:tcPr>
          <w:p w14:paraId="190950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2852</w:t>
            </w:r>
          </w:p>
        </w:tc>
        <w:tc>
          <w:tcPr>
            <w:tcW w:w="2107" w:type="dxa"/>
          </w:tcPr>
          <w:p w14:paraId="155D93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1189</w:t>
            </w:r>
          </w:p>
        </w:tc>
      </w:tr>
      <w:tr w:rsidR="00561F31" w:rsidRPr="00F90EAE" w14:paraId="602D3579" w14:textId="77777777">
        <w:tc>
          <w:tcPr>
            <w:tcW w:w="675" w:type="dxa"/>
          </w:tcPr>
          <w:p w14:paraId="37CEB4C8"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0FFA31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Як-3ПФ</w:t>
            </w:r>
          </w:p>
        </w:tc>
        <w:tc>
          <w:tcPr>
            <w:tcW w:w="2107" w:type="dxa"/>
          </w:tcPr>
          <w:p w14:paraId="0C545F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1BF20A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1682</w:t>
            </w:r>
          </w:p>
        </w:tc>
        <w:tc>
          <w:tcPr>
            <w:tcW w:w="2107" w:type="dxa"/>
          </w:tcPr>
          <w:p w14:paraId="2F88C74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2D52E5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1137</w:t>
            </w:r>
          </w:p>
        </w:tc>
      </w:tr>
      <w:tr w:rsidR="00561F31" w:rsidRPr="00F90EAE" w14:paraId="16376A8E" w14:textId="77777777">
        <w:tc>
          <w:tcPr>
            <w:tcW w:w="675" w:type="dxa"/>
          </w:tcPr>
          <w:p w14:paraId="416940E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381</w:t>
            </w:r>
          </w:p>
        </w:tc>
        <w:tc>
          <w:tcPr>
            <w:tcW w:w="2107" w:type="dxa"/>
          </w:tcPr>
          <w:p w14:paraId="7DEC48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Ла-5ФН</w:t>
            </w:r>
          </w:p>
        </w:tc>
        <w:tc>
          <w:tcPr>
            <w:tcW w:w="2107" w:type="dxa"/>
          </w:tcPr>
          <w:p w14:paraId="6CACA5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239</w:t>
            </w:r>
          </w:p>
        </w:tc>
        <w:tc>
          <w:tcPr>
            <w:tcW w:w="2107" w:type="dxa"/>
          </w:tcPr>
          <w:p w14:paraId="364406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221</w:t>
            </w:r>
          </w:p>
        </w:tc>
        <w:tc>
          <w:tcPr>
            <w:tcW w:w="2107" w:type="dxa"/>
          </w:tcPr>
          <w:p w14:paraId="6AC34A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222</w:t>
            </w:r>
          </w:p>
        </w:tc>
        <w:tc>
          <w:tcPr>
            <w:tcW w:w="2107" w:type="dxa"/>
          </w:tcPr>
          <w:p w14:paraId="61124D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231</w:t>
            </w:r>
          </w:p>
        </w:tc>
      </w:tr>
      <w:tr w:rsidR="00561F31" w:rsidRPr="00F90EAE" w14:paraId="6550D0DE" w14:textId="77777777">
        <w:tc>
          <w:tcPr>
            <w:tcW w:w="675" w:type="dxa"/>
          </w:tcPr>
          <w:p w14:paraId="66FF951D"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Pr>
          <w:p w14:paraId="760856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2107" w:type="dxa"/>
          </w:tcPr>
          <w:p w14:paraId="38FD55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69BFBE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638</w:t>
            </w:r>
          </w:p>
        </w:tc>
        <w:tc>
          <w:tcPr>
            <w:tcW w:w="2107" w:type="dxa"/>
          </w:tcPr>
          <w:p w14:paraId="7BEEA5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107" w:type="dxa"/>
          </w:tcPr>
          <w:p w14:paraId="0D61359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604</w:t>
            </w:r>
          </w:p>
        </w:tc>
      </w:tr>
      <w:tr w:rsidR="00561F31" w:rsidRPr="00F90EAE" w14:paraId="53A98C00" w14:textId="77777777">
        <w:tc>
          <w:tcPr>
            <w:tcW w:w="675" w:type="dxa"/>
            <w:tcBorders>
              <w:bottom w:val="single" w:sz="12" w:space="0" w:color="auto"/>
            </w:tcBorders>
          </w:tcPr>
          <w:p w14:paraId="6869C2A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2107" w:type="dxa"/>
            <w:tcBorders>
              <w:bottom w:val="single" w:sz="12" w:space="0" w:color="auto"/>
            </w:tcBorders>
          </w:tcPr>
          <w:p w14:paraId="3C5D004B" w14:textId="77777777" w:rsidR="00C2313B" w:rsidRPr="00F90EAE" w:rsidRDefault="00C2313B" w:rsidP="00F90EAE">
            <w:pPr>
              <w:autoSpaceDE w:val="0"/>
              <w:autoSpaceDN w:val="0"/>
              <w:adjustRightInd w:val="0"/>
              <w:jc w:val="both"/>
              <w:rPr>
                <w:color w:val="000000" w:themeColor="text1"/>
                <w:sz w:val="16"/>
                <w:szCs w:val="16"/>
              </w:rPr>
            </w:pPr>
          </w:p>
        </w:tc>
        <w:tc>
          <w:tcPr>
            <w:tcW w:w="2107" w:type="dxa"/>
            <w:tcBorders>
              <w:bottom w:val="single" w:sz="12" w:space="0" w:color="auto"/>
            </w:tcBorders>
          </w:tcPr>
          <w:p w14:paraId="56E11A9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14621</w:t>
            </w:r>
          </w:p>
        </w:tc>
        <w:tc>
          <w:tcPr>
            <w:tcW w:w="2107" w:type="dxa"/>
            <w:tcBorders>
              <w:bottom w:val="single" w:sz="12" w:space="0" w:color="auto"/>
            </w:tcBorders>
          </w:tcPr>
          <w:p w14:paraId="14C692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17894</w:t>
            </w:r>
          </w:p>
        </w:tc>
        <w:tc>
          <w:tcPr>
            <w:tcW w:w="2107" w:type="dxa"/>
            <w:tcBorders>
              <w:bottom w:val="single" w:sz="12" w:space="0" w:color="auto"/>
            </w:tcBorders>
          </w:tcPr>
          <w:p w14:paraId="20F25C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14739</w:t>
            </w:r>
          </w:p>
        </w:tc>
        <w:tc>
          <w:tcPr>
            <w:tcW w:w="2107" w:type="dxa"/>
            <w:tcBorders>
              <w:bottom w:val="single" w:sz="12" w:space="0" w:color="auto"/>
            </w:tcBorders>
          </w:tcPr>
          <w:p w14:paraId="0CC0989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16988</w:t>
            </w:r>
          </w:p>
        </w:tc>
      </w:tr>
    </w:tbl>
    <w:p w14:paraId="2A6CC4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(1960,3)</w:t>
      </w:r>
    </w:p>
    <w:p w14:paraId="29CD70A8" w14:textId="77777777" w:rsidR="00C2313B" w:rsidRPr="00F90EAE" w:rsidRDefault="00C2313B" w:rsidP="00F90EAE">
      <w:pPr>
        <w:autoSpaceDE w:val="0"/>
        <w:autoSpaceDN w:val="0"/>
        <w:adjustRightInd w:val="0"/>
        <w:jc w:val="both"/>
        <w:rPr>
          <w:color w:val="000000" w:themeColor="text1"/>
          <w:sz w:val="16"/>
          <w:szCs w:val="16"/>
        </w:rPr>
      </w:pPr>
    </w:p>
    <w:p w14:paraId="49679B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 29-й отдельной разведывательной эскад</w:t>
      </w:r>
      <w:r w:rsidRPr="00F90EAE">
        <w:rPr>
          <w:color w:val="000000" w:themeColor="text1"/>
          <w:sz w:val="16"/>
          <w:szCs w:val="16"/>
        </w:rPr>
        <w:softHyphen/>
        <w:t>рилье числилось 10 Бе-4: №№ 4770205, 4770301, 4770302, 4770303, 4770305, 4770401, 4770402, 4770403, 4770404, 4770405. Задачами гид</w:t>
      </w:r>
      <w:r w:rsidRPr="00F90EAE">
        <w:rPr>
          <w:color w:val="000000" w:themeColor="text1"/>
          <w:sz w:val="16"/>
          <w:szCs w:val="16"/>
        </w:rPr>
        <w:softHyphen/>
        <w:t>росамолетов стало ведение противолодоч</w:t>
      </w:r>
      <w:r w:rsidRPr="00F90EAE">
        <w:rPr>
          <w:color w:val="000000" w:themeColor="text1"/>
          <w:sz w:val="16"/>
          <w:szCs w:val="16"/>
        </w:rPr>
        <w:softHyphen/>
        <w:t>ного поиска, а также спасение экипажей сбитых самолетов. Например, 22 июля 1944 г. после нанесения удара по немецким кораблям совершил вынужденную посадку в Финском заливе штурмовик Ил-2 из 8-го Гвардейского штурмового полка 11-й штур</w:t>
      </w:r>
      <w:r w:rsidRPr="00F90EAE">
        <w:rPr>
          <w:color w:val="000000" w:themeColor="text1"/>
          <w:sz w:val="16"/>
          <w:szCs w:val="16"/>
        </w:rPr>
        <w:softHyphen/>
        <w:t>мовой авиадивизии. Самолет быстро зато</w:t>
      </w:r>
      <w:r w:rsidRPr="00F90EAE">
        <w:rPr>
          <w:color w:val="000000" w:themeColor="text1"/>
          <w:sz w:val="16"/>
          <w:szCs w:val="16"/>
        </w:rPr>
        <w:softHyphen/>
        <w:t>нул, а пилот Кузнецов и стрелок Стрижак перебрались в спасательную лодку и чуть позже были вывезены Бе-4, вылетевшим с гидроаэродрома Гора Валдай (10685).</w:t>
      </w:r>
    </w:p>
    <w:p w14:paraId="26C909C3" w14:textId="77777777" w:rsidR="00C2313B" w:rsidRPr="00F90EAE" w:rsidRDefault="00C2313B" w:rsidP="00F90EAE">
      <w:pPr>
        <w:autoSpaceDE w:val="0"/>
        <w:autoSpaceDN w:val="0"/>
        <w:adjustRightInd w:val="0"/>
        <w:jc w:val="both"/>
        <w:rPr>
          <w:color w:val="000000" w:themeColor="text1"/>
          <w:sz w:val="16"/>
          <w:szCs w:val="16"/>
        </w:rPr>
      </w:pPr>
    </w:p>
    <w:p w14:paraId="098834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на базе ЦАРБ-Аэрофлота на ЦА было создано ОКБ 482 В.М.М. (1847,83).</w:t>
      </w:r>
    </w:p>
    <w:p w14:paraId="495CFC26" w14:textId="77777777" w:rsidR="00C2313B" w:rsidRPr="00F90EAE" w:rsidRDefault="00C2313B" w:rsidP="00F90EAE">
      <w:pPr>
        <w:autoSpaceDE w:val="0"/>
        <w:autoSpaceDN w:val="0"/>
        <w:adjustRightInd w:val="0"/>
        <w:jc w:val="both"/>
        <w:rPr>
          <w:color w:val="000000" w:themeColor="text1"/>
          <w:sz w:val="16"/>
          <w:szCs w:val="16"/>
        </w:rPr>
      </w:pPr>
    </w:p>
    <w:p w14:paraId="0F4219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самом начале 1945 года последние пять машин типа P-39Q "Аэрокобра" прошли по АЛСИБу, хотя производство Р-39 на заводе "Белл" в Ниагара-Фоллз прекратили еще в 1944 году. Всего, но различным источникам, из США поставили от 4719 до 4746 "Аэрокобр" разных модификаций. Еще 212 самолетов реэкспортировали из Великобритании, до места из них дошли 158. По нашим данным, в СССР приняты 4952 машины. У нас, правда, учитывались и неисправные истребители, присылавшиеся англичанами вместо группкомплектов запчастей. Разбивка по модификациям известна только из отчетов об американской военной помощи. Согласно им, отправлено 108 Р 39D, 40 Р 39К, 137 P-39L, 157 Р 39М, 1113 P-39N и 3291 P-39Q (3457,77).</w:t>
      </w:r>
    </w:p>
    <w:p w14:paraId="75D6E382" w14:textId="77777777" w:rsidR="00C2313B" w:rsidRPr="00F90EAE" w:rsidRDefault="00C2313B" w:rsidP="00F90EAE">
      <w:pPr>
        <w:autoSpaceDE w:val="0"/>
        <w:autoSpaceDN w:val="0"/>
        <w:adjustRightInd w:val="0"/>
        <w:jc w:val="both"/>
        <w:rPr>
          <w:color w:val="000000" w:themeColor="text1"/>
          <w:sz w:val="16"/>
          <w:szCs w:val="16"/>
        </w:rPr>
      </w:pPr>
    </w:p>
    <w:p w14:paraId="4FE2DB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поступил даже один экземпляр Р-63А-10, оснащенный РЛС. Правда, радар был не поисковый, а предназначенный для предупреждения об атаке сзади (3457,78).</w:t>
      </w:r>
    </w:p>
    <w:p w14:paraId="4D171EC3" w14:textId="77777777" w:rsidR="00C2313B" w:rsidRPr="00F90EAE" w:rsidRDefault="00C2313B" w:rsidP="00F90EAE">
      <w:pPr>
        <w:autoSpaceDE w:val="0"/>
        <w:autoSpaceDN w:val="0"/>
        <w:adjustRightInd w:val="0"/>
        <w:jc w:val="both"/>
        <w:rPr>
          <w:color w:val="000000" w:themeColor="text1"/>
          <w:sz w:val="16"/>
          <w:szCs w:val="16"/>
        </w:rPr>
      </w:pPr>
    </w:p>
    <w:p w14:paraId="0B041023" w14:textId="77777777" w:rsidR="00573476" w:rsidRPr="00F90EAE" w:rsidRDefault="00573476" w:rsidP="00F90EAE">
      <w:pPr>
        <w:jc w:val="both"/>
        <w:rPr>
          <w:color w:val="000000" w:themeColor="text1"/>
          <w:sz w:val="16"/>
          <w:szCs w:val="16"/>
        </w:rPr>
      </w:pPr>
      <w:r w:rsidRPr="00F90EAE">
        <w:rPr>
          <w:color w:val="000000" w:themeColor="text1"/>
          <w:sz w:val="16"/>
          <w:szCs w:val="16"/>
        </w:rPr>
        <w:t>В начале 1945 г. опытный экземпляр САМ-23 прошел испытания, но в серию не передавался. Война заканчивалась, и много оружия уже было не нужно. Предпочтение отдали планеру Ц-25 КБ Цыбина, хотя ОДНО преимущество У САМ-23 перел. Ц-25 было — это хвостовой погрузочный люк. Носовой люк (как у Ц-25) в боевых условиях часто повреждается при по</w:t>
      </w:r>
      <w:r w:rsidRPr="00F90EAE">
        <w:rPr>
          <w:color w:val="000000" w:themeColor="text1"/>
          <w:sz w:val="16"/>
          <w:szCs w:val="16"/>
        </w:rPr>
        <w:softHyphen/>
        <w:t>садке.</w:t>
      </w:r>
    </w:p>
    <w:p w14:paraId="35EBB468" w14:textId="77777777" w:rsidR="00573476" w:rsidRPr="00F90EAE" w:rsidRDefault="00573476" w:rsidP="00F90EAE">
      <w:pPr>
        <w:jc w:val="both"/>
        <w:rPr>
          <w:color w:val="000000" w:themeColor="text1"/>
          <w:sz w:val="16"/>
          <w:szCs w:val="16"/>
        </w:rPr>
      </w:pPr>
      <w:r w:rsidRPr="00F90EAE">
        <w:rPr>
          <w:color w:val="000000" w:themeColor="text1"/>
          <w:sz w:val="16"/>
          <w:szCs w:val="16"/>
        </w:rPr>
        <w:t>ОСНОВНЫЕ ДАННЫЕ ТРАНСПОРТНЫХ ПЛАНЕРОВ, СОЗДАННЫХ В СССР В ПЕРИОД 1941-1945 гг.</w:t>
      </w:r>
    </w:p>
    <w:tbl>
      <w:tblPr>
        <w:tblW w:w="0" w:type="auto"/>
        <w:tblInd w:w="-18" w:type="dxa"/>
        <w:tblLayout w:type="fixed"/>
        <w:tblCellMar>
          <w:left w:w="10" w:type="dxa"/>
          <w:right w:w="10" w:type="dxa"/>
        </w:tblCellMar>
        <w:tblLook w:val="0000" w:firstRow="0" w:lastRow="0" w:firstColumn="0" w:lastColumn="0" w:noHBand="0" w:noVBand="0"/>
      </w:tblPr>
      <w:tblGrid>
        <w:gridCol w:w="2696"/>
        <w:gridCol w:w="1670"/>
        <w:gridCol w:w="1638"/>
        <w:gridCol w:w="1577"/>
        <w:gridCol w:w="2048"/>
      </w:tblGrid>
      <w:tr w:rsidR="00561F31" w:rsidRPr="00F90EAE" w14:paraId="056FF094" w14:textId="77777777" w:rsidTr="00573476">
        <w:trPr>
          <w:trHeight w:val="58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E74BB45" w14:textId="77777777" w:rsidR="00573476" w:rsidRPr="00F90EAE" w:rsidRDefault="00573476" w:rsidP="00F90EAE">
            <w:pPr>
              <w:jc w:val="both"/>
              <w:rPr>
                <w:color w:val="000000" w:themeColor="text1"/>
                <w:sz w:val="16"/>
                <w:szCs w:val="16"/>
              </w:rPr>
            </w:pPr>
            <w:r w:rsidRPr="00F90EAE">
              <w:rPr>
                <w:color w:val="000000" w:themeColor="text1"/>
                <w:sz w:val="16"/>
                <w:szCs w:val="16"/>
              </w:rPr>
              <w:t>Типы планеров Характеристики -—</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F411677" w14:textId="77777777" w:rsidR="00573476" w:rsidRPr="00F90EAE" w:rsidRDefault="00573476" w:rsidP="00F90EAE">
            <w:pPr>
              <w:jc w:val="both"/>
              <w:rPr>
                <w:color w:val="000000" w:themeColor="text1"/>
                <w:sz w:val="16"/>
                <w:szCs w:val="16"/>
              </w:rPr>
            </w:pPr>
            <w:r w:rsidRPr="00F90EAE">
              <w:rPr>
                <w:color w:val="000000" w:themeColor="text1"/>
                <w:sz w:val="16"/>
                <w:szCs w:val="16"/>
              </w:rPr>
              <w:t>БДП-1 (БДП-2)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F07A940" w14:textId="77777777" w:rsidR="00573476" w:rsidRPr="00F90EAE" w:rsidRDefault="00573476" w:rsidP="00F90EAE">
            <w:pPr>
              <w:jc w:val="both"/>
              <w:rPr>
                <w:color w:val="000000" w:themeColor="text1"/>
                <w:sz w:val="16"/>
                <w:szCs w:val="16"/>
              </w:rPr>
            </w:pPr>
            <w:r w:rsidRPr="00F90EAE">
              <w:rPr>
                <w:color w:val="000000" w:themeColor="text1"/>
                <w:sz w:val="16"/>
                <w:szCs w:val="16"/>
              </w:rPr>
              <w:t>КГ</w:t>
            </w:r>
          </w:p>
          <w:p w14:paraId="33F4C3CF" w14:textId="77777777" w:rsidR="00573476" w:rsidRPr="00F90EAE" w:rsidRDefault="00573476" w:rsidP="00F90EAE">
            <w:pPr>
              <w:jc w:val="both"/>
              <w:rPr>
                <w:color w:val="000000" w:themeColor="text1"/>
                <w:sz w:val="16"/>
                <w:szCs w:val="16"/>
              </w:rPr>
            </w:pPr>
            <w:r w:rsidRPr="00F90EAE">
              <w:rPr>
                <w:color w:val="000000" w:themeColor="text1"/>
                <w:sz w:val="16"/>
                <w:szCs w:val="16"/>
              </w:rPr>
              <w:t>(КГ-Эталон)</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008A195" w14:textId="77777777" w:rsidR="00573476" w:rsidRPr="00F90EAE" w:rsidRDefault="00573476" w:rsidP="00F90EAE">
            <w:pPr>
              <w:jc w:val="both"/>
              <w:rPr>
                <w:color w:val="000000" w:themeColor="text1"/>
                <w:sz w:val="16"/>
                <w:szCs w:val="16"/>
              </w:rPr>
            </w:pPr>
            <w:r w:rsidRPr="00F90EAE">
              <w:rPr>
                <w:color w:val="000000" w:themeColor="text1"/>
                <w:sz w:val="16"/>
                <w:szCs w:val="16"/>
              </w:rPr>
              <w:t>А-40 (КТ, ЛТ)</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62BB29C" w14:textId="77777777" w:rsidR="00573476" w:rsidRPr="00F90EAE" w:rsidRDefault="00573476" w:rsidP="00F90EAE">
            <w:pPr>
              <w:jc w:val="both"/>
              <w:rPr>
                <w:color w:val="000000" w:themeColor="text1"/>
                <w:sz w:val="16"/>
                <w:szCs w:val="16"/>
              </w:rPr>
            </w:pPr>
            <w:r w:rsidRPr="00F90EAE">
              <w:rPr>
                <w:color w:val="000000" w:themeColor="text1"/>
                <w:sz w:val="16"/>
                <w:szCs w:val="16"/>
              </w:rPr>
              <w:t>САМ-23</w:t>
            </w:r>
          </w:p>
        </w:tc>
      </w:tr>
      <w:tr w:rsidR="00561F31" w:rsidRPr="00F90EAE" w14:paraId="2186A1E9"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326D1271" w14:textId="77777777" w:rsidR="00573476" w:rsidRPr="00F90EAE" w:rsidRDefault="00573476" w:rsidP="00F90EAE">
            <w:pPr>
              <w:jc w:val="both"/>
              <w:rPr>
                <w:color w:val="000000" w:themeColor="text1"/>
                <w:sz w:val="16"/>
                <w:szCs w:val="16"/>
              </w:rPr>
            </w:pPr>
            <w:r w:rsidRPr="00F90EAE">
              <w:rPr>
                <w:color w:val="000000" w:themeColor="text1"/>
                <w:sz w:val="16"/>
                <w:szCs w:val="16"/>
              </w:rPr>
              <w:t>Дата первого вылета</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1D694721" w14:textId="77777777" w:rsidR="00573476" w:rsidRPr="00F90EAE" w:rsidRDefault="00573476" w:rsidP="00F90EAE">
            <w:pPr>
              <w:jc w:val="both"/>
              <w:rPr>
                <w:color w:val="000000" w:themeColor="text1"/>
                <w:sz w:val="16"/>
                <w:szCs w:val="16"/>
              </w:rPr>
            </w:pPr>
            <w:r w:rsidRPr="00F90EAE">
              <w:rPr>
                <w:color w:val="000000" w:themeColor="text1"/>
                <w:sz w:val="16"/>
                <w:szCs w:val="16"/>
              </w:rPr>
              <w:t>Сентябрь 1941 г. (10.02.42 г.)</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ADA7ACD" w14:textId="77777777" w:rsidR="00573476" w:rsidRPr="00F90EAE" w:rsidRDefault="00573476" w:rsidP="00F90EAE">
            <w:pPr>
              <w:jc w:val="both"/>
              <w:rPr>
                <w:color w:val="000000" w:themeColor="text1"/>
                <w:sz w:val="16"/>
                <w:szCs w:val="16"/>
              </w:rPr>
            </w:pPr>
            <w:r w:rsidRPr="00F90EAE">
              <w:rPr>
                <w:color w:val="000000" w:themeColor="text1"/>
                <w:sz w:val="16"/>
                <w:szCs w:val="16"/>
              </w:rPr>
              <w:t>09.01.1942 г.</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AA6050E" w14:textId="77777777" w:rsidR="00573476" w:rsidRPr="00F90EAE" w:rsidRDefault="00573476" w:rsidP="00F90EAE">
            <w:pPr>
              <w:jc w:val="both"/>
              <w:rPr>
                <w:color w:val="000000" w:themeColor="text1"/>
                <w:sz w:val="16"/>
                <w:szCs w:val="16"/>
              </w:rPr>
            </w:pPr>
            <w:r w:rsidRPr="00F90EAE">
              <w:rPr>
                <w:color w:val="000000" w:themeColor="text1"/>
                <w:sz w:val="16"/>
                <w:szCs w:val="16"/>
              </w:rPr>
              <w:t>02.09.1942 г.</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E1CCA38" w14:textId="77777777" w:rsidR="00573476" w:rsidRPr="00F90EAE" w:rsidRDefault="00573476" w:rsidP="00F90EAE">
            <w:pPr>
              <w:jc w:val="both"/>
              <w:rPr>
                <w:color w:val="000000" w:themeColor="text1"/>
                <w:sz w:val="16"/>
                <w:szCs w:val="16"/>
              </w:rPr>
            </w:pPr>
            <w:r w:rsidRPr="00F90EAE">
              <w:rPr>
                <w:color w:val="000000" w:themeColor="text1"/>
                <w:sz w:val="16"/>
                <w:szCs w:val="16"/>
              </w:rPr>
              <w:t>Начало 1945 г.</w:t>
            </w:r>
          </w:p>
        </w:tc>
      </w:tr>
      <w:tr w:rsidR="00561F31" w:rsidRPr="00F90EAE" w14:paraId="0F672064"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4FE19C6" w14:textId="77777777" w:rsidR="00573476" w:rsidRPr="00F90EAE" w:rsidRDefault="00573476" w:rsidP="00F90EAE">
            <w:pPr>
              <w:jc w:val="both"/>
              <w:rPr>
                <w:color w:val="000000" w:themeColor="text1"/>
                <w:sz w:val="16"/>
                <w:szCs w:val="16"/>
              </w:rPr>
            </w:pPr>
            <w:r w:rsidRPr="00F90EAE">
              <w:rPr>
                <w:color w:val="000000" w:themeColor="text1"/>
                <w:sz w:val="16"/>
                <w:szCs w:val="16"/>
              </w:rPr>
              <w:t>Общее число построен</w:t>
            </w:r>
            <w:r w:rsidRPr="00F90EAE">
              <w:rPr>
                <w:color w:val="000000" w:themeColor="text1"/>
                <w:sz w:val="16"/>
                <w:szCs w:val="16"/>
              </w:rPr>
              <w:softHyphen/>
              <w:t>ных планеров, шт.</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32F8842" w14:textId="77777777" w:rsidR="00573476" w:rsidRPr="00F90EAE" w:rsidRDefault="00573476" w:rsidP="00F90EAE">
            <w:pPr>
              <w:jc w:val="both"/>
              <w:rPr>
                <w:color w:val="000000" w:themeColor="text1"/>
                <w:sz w:val="16"/>
                <w:szCs w:val="16"/>
              </w:rPr>
            </w:pPr>
            <w:r w:rsidRPr="00F90EAE">
              <w:rPr>
                <w:color w:val="000000" w:themeColor="text1"/>
                <w:sz w:val="16"/>
                <w:szCs w:val="16"/>
              </w:rPr>
              <w:t>4</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18B492F" w14:textId="77777777" w:rsidR="00573476" w:rsidRPr="00F90EAE" w:rsidRDefault="00573476" w:rsidP="00F90EAE">
            <w:pPr>
              <w:jc w:val="both"/>
              <w:rPr>
                <w:color w:val="000000" w:themeColor="text1"/>
                <w:sz w:val="16"/>
                <w:szCs w:val="16"/>
              </w:rPr>
            </w:pPr>
            <w:r w:rsidRPr="00F90EAE">
              <w:rPr>
                <w:color w:val="000000" w:themeColor="text1"/>
                <w:sz w:val="16"/>
                <w:szCs w:val="16"/>
              </w:rPr>
              <w:t>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783578E" w14:textId="77777777" w:rsidR="00573476" w:rsidRPr="00F90EAE" w:rsidRDefault="00573476" w:rsidP="00F90EAE">
            <w:pPr>
              <w:jc w:val="both"/>
              <w:rPr>
                <w:color w:val="000000" w:themeColor="text1"/>
                <w:sz w:val="16"/>
                <w:szCs w:val="16"/>
              </w:rPr>
            </w:pPr>
            <w:r w:rsidRPr="00F90EAE">
              <w:rPr>
                <w:color w:val="000000" w:themeColor="text1"/>
                <w:sz w:val="16"/>
                <w:szCs w:val="16"/>
              </w:rPr>
              <w:t>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4C2C75E" w14:textId="77777777" w:rsidR="00573476" w:rsidRPr="00F90EAE" w:rsidRDefault="00573476" w:rsidP="00F90EAE">
            <w:pPr>
              <w:jc w:val="both"/>
              <w:rPr>
                <w:color w:val="000000" w:themeColor="text1"/>
                <w:sz w:val="16"/>
                <w:szCs w:val="16"/>
              </w:rPr>
            </w:pPr>
            <w:r w:rsidRPr="00F90EAE">
              <w:rPr>
                <w:color w:val="000000" w:themeColor="text1"/>
                <w:sz w:val="16"/>
                <w:szCs w:val="16"/>
              </w:rPr>
              <w:t>1</w:t>
            </w:r>
          </w:p>
        </w:tc>
      </w:tr>
      <w:tr w:rsidR="00561F31" w:rsidRPr="00F90EAE" w14:paraId="5EF0E08D"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2525B7F" w14:textId="77777777" w:rsidR="00573476" w:rsidRPr="00F90EAE" w:rsidRDefault="00573476" w:rsidP="00F90EAE">
            <w:pPr>
              <w:jc w:val="both"/>
              <w:rPr>
                <w:color w:val="000000" w:themeColor="text1"/>
                <w:sz w:val="16"/>
                <w:szCs w:val="16"/>
              </w:rPr>
            </w:pPr>
            <w:r w:rsidRPr="00F90EAE">
              <w:rPr>
                <w:color w:val="000000" w:themeColor="text1"/>
                <w:sz w:val="16"/>
                <w:szCs w:val="16"/>
              </w:rPr>
              <w:t>Длина,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2C8CCF56" w14:textId="77777777" w:rsidR="00573476" w:rsidRPr="00F90EAE" w:rsidRDefault="00573476" w:rsidP="00F90EAE">
            <w:pPr>
              <w:jc w:val="both"/>
              <w:rPr>
                <w:color w:val="000000" w:themeColor="text1"/>
                <w:sz w:val="16"/>
                <w:szCs w:val="16"/>
              </w:rPr>
            </w:pPr>
            <w:r w:rsidRPr="00F90EAE">
              <w:rPr>
                <w:color w:val="000000" w:themeColor="text1"/>
                <w:sz w:val="16"/>
                <w:szCs w:val="16"/>
              </w:rPr>
              <w:t>13,6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0FAD290" w14:textId="77777777" w:rsidR="00573476" w:rsidRPr="00F90EAE" w:rsidRDefault="00573476" w:rsidP="00F90EAE">
            <w:pPr>
              <w:jc w:val="both"/>
              <w:rPr>
                <w:color w:val="000000" w:themeColor="text1"/>
                <w:sz w:val="16"/>
                <w:szCs w:val="16"/>
              </w:rPr>
            </w:pPr>
            <w:r w:rsidRPr="00F90EAE">
              <w:rPr>
                <w:color w:val="000000" w:themeColor="text1"/>
                <w:sz w:val="16"/>
                <w:szCs w:val="16"/>
              </w:rPr>
              <w:t>16,2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16CB143" w14:textId="77777777" w:rsidR="00573476" w:rsidRPr="00F90EAE" w:rsidRDefault="00573476" w:rsidP="00F90EAE">
            <w:pPr>
              <w:jc w:val="both"/>
              <w:rPr>
                <w:color w:val="000000" w:themeColor="text1"/>
                <w:sz w:val="16"/>
                <w:szCs w:val="16"/>
              </w:rPr>
            </w:pPr>
            <w:r w:rsidRPr="00F90EAE">
              <w:rPr>
                <w:color w:val="000000" w:themeColor="text1"/>
                <w:sz w:val="16"/>
                <w:szCs w:val="16"/>
              </w:rPr>
              <w:t>12,06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1D90DBC" w14:textId="77777777" w:rsidR="00573476" w:rsidRPr="00F90EAE" w:rsidRDefault="00573476" w:rsidP="00F90EAE">
            <w:pPr>
              <w:jc w:val="both"/>
              <w:rPr>
                <w:color w:val="000000" w:themeColor="text1"/>
                <w:sz w:val="16"/>
                <w:szCs w:val="16"/>
              </w:rPr>
            </w:pPr>
            <w:r w:rsidRPr="00F90EAE">
              <w:rPr>
                <w:color w:val="000000" w:themeColor="text1"/>
                <w:sz w:val="16"/>
                <w:szCs w:val="16"/>
              </w:rPr>
              <w:t>11.8** (12,5***)</w:t>
            </w:r>
          </w:p>
        </w:tc>
      </w:tr>
      <w:tr w:rsidR="00561F31" w:rsidRPr="00F90EAE" w14:paraId="2BF7E78E" w14:textId="77777777" w:rsidTr="00573476">
        <w:trPr>
          <w:trHeight w:val="35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59E379B5" w14:textId="77777777" w:rsidR="00573476" w:rsidRPr="00F90EAE" w:rsidRDefault="00573476" w:rsidP="00F90EAE">
            <w:pPr>
              <w:jc w:val="both"/>
              <w:rPr>
                <w:color w:val="000000" w:themeColor="text1"/>
                <w:sz w:val="16"/>
                <w:szCs w:val="16"/>
              </w:rPr>
            </w:pPr>
            <w:r w:rsidRPr="00F90EAE">
              <w:rPr>
                <w:color w:val="000000" w:themeColor="text1"/>
                <w:sz w:val="16"/>
                <w:szCs w:val="16"/>
              </w:rPr>
              <w:t>Размах крыла,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6C0F198" w14:textId="77777777" w:rsidR="00573476" w:rsidRPr="00F90EAE" w:rsidRDefault="00573476" w:rsidP="00F90EAE">
            <w:pPr>
              <w:jc w:val="both"/>
              <w:rPr>
                <w:color w:val="000000" w:themeColor="text1"/>
                <w:sz w:val="16"/>
                <w:szCs w:val="16"/>
              </w:rPr>
            </w:pPr>
            <w:r w:rsidRPr="00F90EAE">
              <w:rPr>
                <w:color w:val="000000" w:themeColor="text1"/>
                <w:sz w:val="16"/>
                <w:szCs w:val="16"/>
              </w:rPr>
              <w:t>20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30109B8" w14:textId="77777777" w:rsidR="00573476" w:rsidRPr="00F90EAE" w:rsidRDefault="00573476" w:rsidP="00F90EAE">
            <w:pPr>
              <w:jc w:val="both"/>
              <w:rPr>
                <w:color w:val="000000" w:themeColor="text1"/>
                <w:sz w:val="16"/>
                <w:szCs w:val="16"/>
              </w:rPr>
            </w:pPr>
            <w:r w:rsidRPr="00F90EAE">
              <w:rPr>
                <w:color w:val="000000" w:themeColor="text1"/>
                <w:sz w:val="16"/>
                <w:szCs w:val="16"/>
              </w:rPr>
              <w:t>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9DEA5D8" w14:textId="77777777" w:rsidR="00573476" w:rsidRPr="00F90EAE" w:rsidRDefault="00573476" w:rsidP="00F90EAE">
            <w:pPr>
              <w:jc w:val="both"/>
              <w:rPr>
                <w:color w:val="000000" w:themeColor="text1"/>
                <w:sz w:val="16"/>
                <w:szCs w:val="16"/>
              </w:rPr>
            </w:pPr>
            <w:r w:rsidRPr="00F90EAE">
              <w:rPr>
                <w:color w:val="000000" w:themeColor="text1"/>
                <w:sz w:val="16"/>
                <w:szCs w:val="16"/>
              </w:rPr>
              <w:t>18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D8D2CAD" w14:textId="77777777" w:rsidR="00573476" w:rsidRPr="00F90EAE" w:rsidRDefault="00573476" w:rsidP="00F90EAE">
            <w:pPr>
              <w:jc w:val="both"/>
              <w:rPr>
                <w:color w:val="000000" w:themeColor="text1"/>
                <w:sz w:val="16"/>
                <w:szCs w:val="16"/>
              </w:rPr>
            </w:pPr>
            <w:r w:rsidRPr="00F90EAE">
              <w:rPr>
                <w:color w:val="000000" w:themeColor="text1"/>
                <w:sz w:val="16"/>
                <w:szCs w:val="16"/>
              </w:rPr>
              <w:t>20** (16,5***)</w:t>
            </w:r>
          </w:p>
        </w:tc>
      </w:tr>
      <w:tr w:rsidR="00561F31" w:rsidRPr="00F90EAE" w14:paraId="7EEB9A54" w14:textId="77777777" w:rsidTr="00573476">
        <w:trPr>
          <w:trHeight w:val="36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607AEC0E" w14:textId="77777777" w:rsidR="00573476" w:rsidRPr="00F90EAE" w:rsidRDefault="00573476" w:rsidP="00F90EAE">
            <w:pPr>
              <w:jc w:val="both"/>
              <w:rPr>
                <w:color w:val="000000" w:themeColor="text1"/>
                <w:sz w:val="16"/>
                <w:szCs w:val="16"/>
              </w:rPr>
            </w:pPr>
            <w:r w:rsidRPr="00F90EAE">
              <w:rPr>
                <w:color w:val="000000" w:themeColor="text1"/>
                <w:sz w:val="16"/>
                <w:szCs w:val="16"/>
              </w:rPr>
              <w:t>Высота,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6BEBB23" w14:textId="77777777" w:rsidR="00573476" w:rsidRPr="00F90EAE" w:rsidRDefault="00573476" w:rsidP="00F90EAE">
            <w:pPr>
              <w:jc w:val="both"/>
              <w:rPr>
                <w:color w:val="000000" w:themeColor="text1"/>
                <w:sz w:val="16"/>
                <w:szCs w:val="16"/>
              </w:rPr>
            </w:pPr>
            <w:r w:rsidRPr="00F90EAE">
              <w:rPr>
                <w:color w:val="000000" w:themeColor="text1"/>
                <w:sz w:val="16"/>
                <w:szCs w:val="16"/>
              </w:rPr>
              <w:t>2,85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E1E16B1" w14:textId="77777777" w:rsidR="00573476" w:rsidRPr="00F90EAE" w:rsidRDefault="00573476" w:rsidP="00F90EAE">
            <w:pPr>
              <w:jc w:val="both"/>
              <w:rPr>
                <w:color w:val="000000" w:themeColor="text1"/>
                <w:sz w:val="16"/>
                <w:szCs w:val="16"/>
              </w:rPr>
            </w:pPr>
            <w:r w:rsidRPr="00F90EAE">
              <w:rPr>
                <w:color w:val="000000" w:themeColor="text1"/>
                <w:sz w:val="16"/>
                <w:szCs w:val="16"/>
              </w:rPr>
              <w:t>2,85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3594A23" w14:textId="77777777" w:rsidR="00573476" w:rsidRPr="00F90EAE" w:rsidRDefault="00573476" w:rsidP="00F90EAE">
            <w:pPr>
              <w:jc w:val="both"/>
              <w:rPr>
                <w:color w:val="000000" w:themeColor="text1"/>
                <w:sz w:val="16"/>
                <w:szCs w:val="16"/>
              </w:rPr>
            </w:pPr>
            <w:r w:rsidRPr="00F90EAE">
              <w:rPr>
                <w:color w:val="000000" w:themeColor="text1"/>
                <w:sz w:val="16"/>
                <w:szCs w:val="16"/>
              </w:rPr>
              <w:t>3,67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37DDF48"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r>
      <w:tr w:rsidR="00561F31" w:rsidRPr="00F90EAE" w14:paraId="44EE846A"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F8C8C2A" w14:textId="77777777" w:rsidR="00573476" w:rsidRPr="00F90EAE" w:rsidRDefault="00573476" w:rsidP="00F90EAE">
            <w:pPr>
              <w:jc w:val="both"/>
              <w:rPr>
                <w:color w:val="000000" w:themeColor="text1"/>
                <w:sz w:val="16"/>
                <w:szCs w:val="16"/>
              </w:rPr>
            </w:pPr>
            <w:r w:rsidRPr="00F90EAE">
              <w:rPr>
                <w:color w:val="000000" w:themeColor="text1"/>
                <w:sz w:val="16"/>
                <w:szCs w:val="16"/>
              </w:rPr>
              <w:t>Площадь крыла, 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DEA06A4" w14:textId="77777777" w:rsidR="00573476" w:rsidRPr="00F90EAE" w:rsidRDefault="00573476" w:rsidP="00F90EAE">
            <w:pPr>
              <w:jc w:val="both"/>
              <w:rPr>
                <w:color w:val="000000" w:themeColor="text1"/>
                <w:sz w:val="16"/>
                <w:szCs w:val="16"/>
              </w:rPr>
            </w:pPr>
            <w:r w:rsidRPr="00F90EAE">
              <w:rPr>
                <w:color w:val="000000" w:themeColor="text1"/>
                <w:sz w:val="16"/>
                <w:szCs w:val="16"/>
              </w:rPr>
              <w:t>44,72</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60DA42F" w14:textId="77777777" w:rsidR="00573476" w:rsidRPr="00F90EAE" w:rsidRDefault="00573476" w:rsidP="00F90EAE">
            <w:pPr>
              <w:jc w:val="both"/>
              <w:rPr>
                <w:color w:val="000000" w:themeColor="text1"/>
                <w:sz w:val="16"/>
                <w:szCs w:val="16"/>
              </w:rPr>
            </w:pPr>
            <w:r w:rsidRPr="00F90EAE">
              <w:rPr>
                <w:color w:val="000000" w:themeColor="text1"/>
                <w:sz w:val="16"/>
                <w:szCs w:val="16"/>
              </w:rPr>
              <w:t>80 (80,2)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4607A69" w14:textId="77777777" w:rsidR="00573476" w:rsidRPr="00F90EAE" w:rsidRDefault="00573476" w:rsidP="00F90EAE">
            <w:pPr>
              <w:jc w:val="both"/>
              <w:rPr>
                <w:color w:val="000000" w:themeColor="text1"/>
                <w:sz w:val="16"/>
                <w:szCs w:val="16"/>
              </w:rPr>
            </w:pPr>
            <w:r w:rsidRPr="00F90EAE">
              <w:rPr>
                <w:color w:val="000000" w:themeColor="text1"/>
                <w:sz w:val="16"/>
                <w:szCs w:val="16"/>
              </w:rPr>
              <w:t>85,8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444F817" w14:textId="77777777" w:rsidR="00573476" w:rsidRPr="00F90EAE" w:rsidRDefault="00573476" w:rsidP="00F90EAE">
            <w:pPr>
              <w:jc w:val="both"/>
              <w:rPr>
                <w:color w:val="000000" w:themeColor="text1"/>
                <w:sz w:val="16"/>
                <w:szCs w:val="16"/>
              </w:rPr>
            </w:pPr>
            <w:r w:rsidRPr="00F90EAE">
              <w:rPr>
                <w:color w:val="000000" w:themeColor="text1"/>
                <w:sz w:val="16"/>
                <w:szCs w:val="16"/>
              </w:rPr>
              <w:t>42** (38***)</w:t>
            </w:r>
          </w:p>
        </w:tc>
      </w:tr>
      <w:tr w:rsidR="00561F31" w:rsidRPr="00F90EAE" w14:paraId="3B58338C"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D5AAC3B" w14:textId="77777777" w:rsidR="00573476" w:rsidRPr="00F90EAE" w:rsidRDefault="00573476" w:rsidP="00F90EAE">
            <w:pPr>
              <w:jc w:val="both"/>
              <w:rPr>
                <w:color w:val="000000" w:themeColor="text1"/>
                <w:sz w:val="16"/>
                <w:szCs w:val="16"/>
              </w:rPr>
            </w:pPr>
            <w:r w:rsidRPr="00F90EAE">
              <w:rPr>
                <w:color w:val="000000" w:themeColor="text1"/>
                <w:sz w:val="16"/>
                <w:szCs w:val="16"/>
              </w:rPr>
              <w:t>Вес пустого планера,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6A8DFF1D" w14:textId="77777777" w:rsidR="00573476" w:rsidRPr="00F90EAE" w:rsidRDefault="00573476" w:rsidP="00F90EAE">
            <w:pPr>
              <w:jc w:val="both"/>
              <w:rPr>
                <w:color w:val="000000" w:themeColor="text1"/>
                <w:sz w:val="16"/>
                <w:szCs w:val="16"/>
              </w:rPr>
            </w:pPr>
            <w:r w:rsidRPr="00F90EAE">
              <w:rPr>
                <w:color w:val="000000" w:themeColor="text1"/>
                <w:sz w:val="16"/>
                <w:szCs w:val="16"/>
              </w:rPr>
              <w:t>1457 (1557)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6480F7C4" w14:textId="77777777" w:rsidR="00573476" w:rsidRPr="00F90EAE" w:rsidRDefault="00573476" w:rsidP="00F90EAE">
            <w:pPr>
              <w:jc w:val="both"/>
              <w:rPr>
                <w:color w:val="000000" w:themeColor="text1"/>
                <w:sz w:val="16"/>
                <w:szCs w:val="16"/>
              </w:rPr>
            </w:pPr>
            <w:r w:rsidRPr="00F90EAE">
              <w:rPr>
                <w:color w:val="000000" w:themeColor="text1"/>
                <w:sz w:val="16"/>
                <w:szCs w:val="16"/>
              </w:rPr>
              <w:t>2941 (3740)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42ADFA30" w14:textId="77777777" w:rsidR="00573476" w:rsidRPr="00F90EAE" w:rsidRDefault="00573476" w:rsidP="00F90EAE">
            <w:pPr>
              <w:jc w:val="both"/>
              <w:rPr>
                <w:color w:val="000000" w:themeColor="text1"/>
                <w:sz w:val="16"/>
                <w:szCs w:val="16"/>
              </w:rPr>
            </w:pPr>
            <w:r w:rsidRPr="00F90EAE">
              <w:rPr>
                <w:color w:val="000000" w:themeColor="text1"/>
                <w:sz w:val="16"/>
                <w:szCs w:val="16"/>
              </w:rPr>
              <w:t>2000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763D111"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r>
      <w:tr w:rsidR="00561F31" w:rsidRPr="00F90EAE" w14:paraId="1DEF22EB" w14:textId="77777777" w:rsidTr="00573476">
        <w:trPr>
          <w:trHeight w:val="529"/>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1BE4871" w14:textId="77777777" w:rsidR="00573476" w:rsidRPr="00F90EAE" w:rsidRDefault="00573476" w:rsidP="00F90EAE">
            <w:pPr>
              <w:jc w:val="both"/>
              <w:rPr>
                <w:color w:val="000000" w:themeColor="text1"/>
                <w:sz w:val="16"/>
                <w:szCs w:val="16"/>
              </w:rPr>
            </w:pPr>
            <w:r w:rsidRPr="00F90EAE">
              <w:rPr>
                <w:color w:val="000000" w:themeColor="text1"/>
                <w:sz w:val="16"/>
                <w:szCs w:val="16"/>
              </w:rPr>
              <w:t>Вес взлетный, нормальный, кг</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BEDF4F0" w14:textId="77777777" w:rsidR="00573476" w:rsidRPr="00F90EAE" w:rsidRDefault="00573476" w:rsidP="00F90EAE">
            <w:pPr>
              <w:jc w:val="both"/>
              <w:rPr>
                <w:color w:val="000000" w:themeColor="text1"/>
                <w:sz w:val="16"/>
                <w:szCs w:val="16"/>
              </w:rPr>
            </w:pPr>
            <w:r w:rsidRPr="00F90EAE">
              <w:rPr>
                <w:color w:val="000000" w:themeColor="text1"/>
                <w:sz w:val="16"/>
                <w:szCs w:val="16"/>
              </w:rPr>
              <w:t>3391 (3437)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2DA6584" w14:textId="77777777" w:rsidR="00573476" w:rsidRPr="00F90EAE" w:rsidRDefault="00573476" w:rsidP="00F90EAE">
            <w:pPr>
              <w:jc w:val="both"/>
              <w:rPr>
                <w:color w:val="000000" w:themeColor="text1"/>
                <w:sz w:val="16"/>
                <w:szCs w:val="16"/>
              </w:rPr>
            </w:pPr>
            <w:r w:rsidRPr="00F90EAE">
              <w:rPr>
                <w:color w:val="000000" w:themeColor="text1"/>
                <w:sz w:val="16"/>
                <w:szCs w:val="16"/>
              </w:rPr>
              <w:t>3430* 6000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7F7559FB" w14:textId="77777777" w:rsidR="00573476" w:rsidRPr="00F90EAE" w:rsidRDefault="00573476" w:rsidP="00F90EAE">
            <w:pPr>
              <w:jc w:val="both"/>
              <w:rPr>
                <w:color w:val="000000" w:themeColor="text1"/>
                <w:sz w:val="16"/>
                <w:szCs w:val="16"/>
              </w:rPr>
            </w:pPr>
            <w:r w:rsidRPr="00F90EAE">
              <w:rPr>
                <w:color w:val="000000" w:themeColor="text1"/>
                <w:sz w:val="16"/>
                <w:szCs w:val="16"/>
              </w:rPr>
              <w:t>7804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409FB00"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r>
      <w:tr w:rsidR="00561F31" w:rsidRPr="00F90EAE" w14:paraId="120037A2"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A1B44C5" w14:textId="77777777" w:rsidR="00573476" w:rsidRPr="00F90EAE" w:rsidRDefault="00573476" w:rsidP="00F90EAE">
            <w:pPr>
              <w:jc w:val="both"/>
              <w:rPr>
                <w:color w:val="000000" w:themeColor="text1"/>
                <w:sz w:val="16"/>
                <w:szCs w:val="16"/>
              </w:rPr>
            </w:pPr>
            <w:r w:rsidRPr="00F90EAE">
              <w:rPr>
                <w:color w:val="000000" w:themeColor="text1"/>
                <w:sz w:val="16"/>
                <w:szCs w:val="16"/>
              </w:rPr>
              <w:t>Нагрузка на крыло, кг/кв. м</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32A2AA3" w14:textId="77777777" w:rsidR="00573476" w:rsidRPr="00F90EAE" w:rsidRDefault="00573476" w:rsidP="00F90EAE">
            <w:pPr>
              <w:jc w:val="both"/>
              <w:rPr>
                <w:color w:val="000000" w:themeColor="text1"/>
                <w:sz w:val="16"/>
                <w:szCs w:val="16"/>
              </w:rPr>
            </w:pPr>
            <w:r w:rsidRPr="00F90EAE">
              <w:rPr>
                <w:color w:val="000000" w:themeColor="text1"/>
                <w:sz w:val="16"/>
                <w:szCs w:val="16"/>
              </w:rPr>
              <w:t>75,8 (76,8)</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03B26671" w14:textId="77777777" w:rsidR="00573476" w:rsidRPr="00F90EAE" w:rsidRDefault="00573476" w:rsidP="00F90EAE">
            <w:pPr>
              <w:jc w:val="both"/>
              <w:rPr>
                <w:color w:val="000000" w:themeColor="text1"/>
                <w:sz w:val="16"/>
                <w:szCs w:val="16"/>
              </w:rPr>
            </w:pPr>
            <w:r w:rsidRPr="00F90EAE">
              <w:rPr>
                <w:color w:val="000000" w:themeColor="text1"/>
                <w:sz w:val="16"/>
                <w:szCs w:val="16"/>
              </w:rPr>
              <w:t>91 (-)</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E10AB82" w14:textId="77777777" w:rsidR="00573476" w:rsidRPr="00F90EAE" w:rsidRDefault="00573476" w:rsidP="00F90EAE">
            <w:pPr>
              <w:jc w:val="both"/>
              <w:rPr>
                <w:color w:val="000000" w:themeColor="text1"/>
                <w:sz w:val="16"/>
                <w:szCs w:val="16"/>
              </w:rPr>
            </w:pPr>
            <w:r w:rsidRPr="00F90EAE">
              <w:rPr>
                <w:color w:val="000000" w:themeColor="text1"/>
                <w:sz w:val="16"/>
                <w:szCs w:val="16"/>
              </w:rPr>
              <w:t>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07C60"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r>
      <w:tr w:rsidR="00561F31" w:rsidRPr="00F90EAE" w14:paraId="25898EC6" w14:textId="77777777" w:rsidTr="00573476">
        <w:trPr>
          <w:trHeight w:val="392"/>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D6303A4" w14:textId="77777777" w:rsidR="00573476" w:rsidRPr="00F90EAE" w:rsidRDefault="00573476" w:rsidP="00F90EAE">
            <w:pPr>
              <w:jc w:val="both"/>
              <w:rPr>
                <w:color w:val="000000" w:themeColor="text1"/>
                <w:sz w:val="16"/>
                <w:szCs w:val="16"/>
              </w:rPr>
            </w:pPr>
            <w:r w:rsidRPr="00F90EAE">
              <w:rPr>
                <w:color w:val="000000" w:themeColor="text1"/>
                <w:sz w:val="16"/>
                <w:szCs w:val="16"/>
              </w:rPr>
              <w:t>Экипаж: пилоты + десантники</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4A8F707C" w14:textId="77777777" w:rsidR="00573476" w:rsidRPr="00F90EAE" w:rsidRDefault="00573476" w:rsidP="00F90EAE">
            <w:pPr>
              <w:jc w:val="both"/>
              <w:rPr>
                <w:color w:val="000000" w:themeColor="text1"/>
                <w:sz w:val="16"/>
                <w:szCs w:val="16"/>
              </w:rPr>
            </w:pPr>
            <w:r w:rsidRPr="00F90EAE">
              <w:rPr>
                <w:color w:val="000000" w:themeColor="text1"/>
                <w:sz w:val="16"/>
                <w:szCs w:val="16"/>
              </w:rPr>
              <w:t>1 + 16</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7BDB30F1" w14:textId="77777777" w:rsidR="00573476" w:rsidRPr="00F90EAE" w:rsidRDefault="00573476" w:rsidP="00F90EAE">
            <w:pPr>
              <w:jc w:val="both"/>
              <w:rPr>
                <w:color w:val="000000" w:themeColor="text1"/>
                <w:sz w:val="16"/>
                <w:szCs w:val="16"/>
              </w:rPr>
            </w:pPr>
            <w:r w:rsidRPr="00F90EAE">
              <w:rPr>
                <w:color w:val="000000" w:themeColor="text1"/>
                <w:sz w:val="16"/>
                <w:szCs w:val="16"/>
              </w:rPr>
              <w:t>1 +20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22F17CF9" w14:textId="77777777" w:rsidR="00573476" w:rsidRPr="00F90EAE" w:rsidRDefault="00573476" w:rsidP="00F90EAE">
            <w:pPr>
              <w:jc w:val="both"/>
              <w:rPr>
                <w:color w:val="000000" w:themeColor="text1"/>
                <w:sz w:val="16"/>
                <w:szCs w:val="16"/>
              </w:rPr>
            </w:pPr>
            <w:r w:rsidRPr="00F90EAE">
              <w:rPr>
                <w:color w:val="000000" w:themeColor="text1"/>
                <w:sz w:val="16"/>
                <w:szCs w:val="16"/>
              </w:rPr>
              <w:t>2 + танк</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5413D5" w14:textId="77777777" w:rsidR="00573476" w:rsidRPr="00F90EAE" w:rsidRDefault="00573476" w:rsidP="00F90EAE">
            <w:pPr>
              <w:jc w:val="both"/>
              <w:rPr>
                <w:color w:val="000000" w:themeColor="text1"/>
                <w:sz w:val="16"/>
                <w:szCs w:val="16"/>
              </w:rPr>
            </w:pPr>
            <w:r w:rsidRPr="00F90EAE">
              <w:rPr>
                <w:color w:val="000000" w:themeColor="text1"/>
                <w:sz w:val="16"/>
                <w:szCs w:val="16"/>
              </w:rPr>
              <w:t>2+ 13** (2+18***)</w:t>
            </w:r>
          </w:p>
        </w:tc>
      </w:tr>
      <w:tr w:rsidR="00561F31" w:rsidRPr="00F90EAE" w14:paraId="586F5D03" w14:textId="77777777" w:rsidTr="00573476">
        <w:trPr>
          <w:trHeight w:val="540"/>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293704D8" w14:textId="77777777" w:rsidR="00573476" w:rsidRPr="00F90EAE" w:rsidRDefault="00573476" w:rsidP="00F90EAE">
            <w:pPr>
              <w:jc w:val="both"/>
              <w:rPr>
                <w:color w:val="000000" w:themeColor="text1"/>
                <w:sz w:val="16"/>
                <w:szCs w:val="16"/>
              </w:rPr>
            </w:pPr>
            <w:r w:rsidRPr="00F90EAE">
              <w:rPr>
                <w:color w:val="000000" w:themeColor="text1"/>
                <w:sz w:val="16"/>
                <w:szCs w:val="16"/>
              </w:rPr>
              <w:t>Макс, скорость бук</w:t>
            </w:r>
            <w:r w:rsidRPr="00F90EAE">
              <w:rPr>
                <w:color w:val="000000" w:themeColor="text1"/>
                <w:sz w:val="16"/>
                <w:szCs w:val="16"/>
              </w:rPr>
              <w:softHyphen/>
              <w:t>сировки,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C18DD0" w14:textId="77777777" w:rsidR="00573476" w:rsidRPr="00F90EAE" w:rsidRDefault="00573476" w:rsidP="00F90EAE">
            <w:pPr>
              <w:jc w:val="both"/>
              <w:rPr>
                <w:color w:val="000000" w:themeColor="text1"/>
                <w:sz w:val="16"/>
                <w:szCs w:val="16"/>
              </w:rPr>
            </w:pPr>
            <w:r w:rsidRPr="00F90EAE">
              <w:rPr>
                <w:color w:val="000000" w:themeColor="text1"/>
                <w:sz w:val="16"/>
                <w:szCs w:val="16"/>
              </w:rPr>
              <w:t>250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226A3902" w14:textId="77777777" w:rsidR="00573476" w:rsidRPr="00F90EAE" w:rsidRDefault="00573476" w:rsidP="00F90EAE">
            <w:pPr>
              <w:jc w:val="both"/>
              <w:rPr>
                <w:color w:val="000000" w:themeColor="text1"/>
                <w:sz w:val="16"/>
                <w:szCs w:val="16"/>
              </w:rPr>
            </w:pPr>
            <w:r w:rsidRPr="00F90EAE">
              <w:rPr>
                <w:color w:val="000000" w:themeColor="text1"/>
                <w:sz w:val="16"/>
                <w:szCs w:val="16"/>
              </w:rPr>
              <w:t>170* (200*)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6019D066" w14:textId="77777777" w:rsidR="00573476" w:rsidRPr="00F90EAE" w:rsidRDefault="00573476" w:rsidP="00F90EAE">
            <w:pPr>
              <w:jc w:val="both"/>
              <w:rPr>
                <w:color w:val="000000" w:themeColor="text1"/>
                <w:sz w:val="16"/>
                <w:szCs w:val="16"/>
              </w:rPr>
            </w:pPr>
            <w:r w:rsidRPr="00F90EAE">
              <w:rPr>
                <w:color w:val="000000" w:themeColor="text1"/>
                <w:sz w:val="16"/>
                <w:szCs w:val="16"/>
              </w:rPr>
              <w:t>250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95CCE9E" w14:textId="77777777" w:rsidR="00573476" w:rsidRPr="00F90EAE" w:rsidRDefault="00573476" w:rsidP="00F90EAE">
            <w:pPr>
              <w:jc w:val="both"/>
              <w:rPr>
                <w:color w:val="000000" w:themeColor="text1"/>
                <w:sz w:val="16"/>
                <w:szCs w:val="16"/>
              </w:rPr>
            </w:pPr>
            <w:r w:rsidRPr="00F90EAE">
              <w:rPr>
                <w:color w:val="000000" w:themeColor="text1"/>
                <w:sz w:val="16"/>
                <w:szCs w:val="16"/>
              </w:rPr>
              <w:t>250</w:t>
            </w:r>
          </w:p>
        </w:tc>
      </w:tr>
      <w:tr w:rsidR="00561F31" w:rsidRPr="00F90EAE" w14:paraId="542DDCA1" w14:textId="77777777" w:rsidTr="00573476">
        <w:trPr>
          <w:trHeight w:val="533"/>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43501F38" w14:textId="77777777" w:rsidR="00573476" w:rsidRPr="00F90EAE" w:rsidRDefault="00573476" w:rsidP="00F90EAE">
            <w:pPr>
              <w:jc w:val="both"/>
              <w:rPr>
                <w:color w:val="000000" w:themeColor="text1"/>
                <w:sz w:val="16"/>
                <w:szCs w:val="16"/>
              </w:rPr>
            </w:pPr>
            <w:r w:rsidRPr="00F90EAE">
              <w:rPr>
                <w:color w:val="000000" w:themeColor="text1"/>
                <w:sz w:val="16"/>
                <w:szCs w:val="16"/>
              </w:rPr>
              <w:t>Скорость взлетная,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73CA8D18" w14:textId="77777777" w:rsidR="00573476" w:rsidRPr="00F90EAE" w:rsidRDefault="00573476" w:rsidP="00F90EAE">
            <w:pPr>
              <w:jc w:val="both"/>
              <w:rPr>
                <w:color w:val="000000" w:themeColor="text1"/>
                <w:sz w:val="16"/>
                <w:szCs w:val="16"/>
              </w:rPr>
            </w:pPr>
            <w:r w:rsidRPr="00F90EAE">
              <w:rPr>
                <w:color w:val="000000" w:themeColor="text1"/>
                <w:sz w:val="16"/>
                <w:szCs w:val="16"/>
              </w:rPr>
              <w:t>~ 115</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3C93C52F" w14:textId="77777777" w:rsidR="00573476" w:rsidRPr="00F90EAE" w:rsidRDefault="00573476" w:rsidP="00F90EAE">
            <w:pPr>
              <w:jc w:val="both"/>
              <w:rPr>
                <w:color w:val="000000" w:themeColor="text1"/>
                <w:sz w:val="16"/>
                <w:szCs w:val="16"/>
              </w:rPr>
            </w:pPr>
            <w:r w:rsidRPr="00F90EAE">
              <w:rPr>
                <w:color w:val="000000" w:themeColor="text1"/>
                <w:sz w:val="16"/>
                <w:szCs w:val="16"/>
              </w:rPr>
              <w:t>95-100 («115)</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0C007278" w14:textId="77777777" w:rsidR="00573476" w:rsidRPr="00F90EAE" w:rsidRDefault="00573476" w:rsidP="00F90EAE">
            <w:pPr>
              <w:jc w:val="both"/>
              <w:rPr>
                <w:color w:val="000000" w:themeColor="text1"/>
                <w:sz w:val="16"/>
                <w:szCs w:val="16"/>
              </w:rPr>
            </w:pPr>
            <w:r w:rsidRPr="00F90EAE">
              <w:rPr>
                <w:color w:val="000000" w:themeColor="text1"/>
                <w:sz w:val="16"/>
                <w:szCs w:val="16"/>
              </w:rPr>
              <w:t>115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83429A2"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r>
      <w:tr w:rsidR="00561F31" w:rsidRPr="00F90EAE" w14:paraId="54C76217" w14:textId="77777777" w:rsidTr="00573476">
        <w:trPr>
          <w:trHeight w:val="536"/>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7E75EFD7" w14:textId="77777777" w:rsidR="00573476" w:rsidRPr="00F90EAE" w:rsidRDefault="00573476" w:rsidP="00F90EAE">
            <w:pPr>
              <w:jc w:val="both"/>
              <w:rPr>
                <w:color w:val="000000" w:themeColor="text1"/>
                <w:sz w:val="16"/>
                <w:szCs w:val="16"/>
              </w:rPr>
            </w:pPr>
            <w:r w:rsidRPr="00F90EAE">
              <w:rPr>
                <w:color w:val="000000" w:themeColor="text1"/>
                <w:sz w:val="16"/>
                <w:szCs w:val="16"/>
              </w:rPr>
              <w:t>Скорость посадочная, км/ч</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0D7F05C4" w14:textId="77777777" w:rsidR="00573476" w:rsidRPr="00F90EAE" w:rsidRDefault="00573476" w:rsidP="00F90EAE">
            <w:pPr>
              <w:jc w:val="both"/>
              <w:rPr>
                <w:color w:val="000000" w:themeColor="text1"/>
                <w:sz w:val="16"/>
                <w:szCs w:val="16"/>
              </w:rPr>
            </w:pPr>
            <w:r w:rsidRPr="00F90EAE">
              <w:rPr>
                <w:color w:val="000000" w:themeColor="text1"/>
                <w:sz w:val="16"/>
                <w:szCs w:val="16"/>
              </w:rPr>
              <w:t>105-110</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5D0CF104" w14:textId="77777777" w:rsidR="00573476" w:rsidRPr="00F90EAE" w:rsidRDefault="00573476" w:rsidP="00F90EAE">
            <w:pPr>
              <w:jc w:val="both"/>
              <w:rPr>
                <w:color w:val="000000" w:themeColor="text1"/>
                <w:sz w:val="16"/>
                <w:szCs w:val="16"/>
              </w:rPr>
            </w:pPr>
            <w:r w:rsidRPr="00F90EAE">
              <w:rPr>
                <w:color w:val="000000" w:themeColor="text1"/>
                <w:sz w:val="16"/>
                <w:szCs w:val="16"/>
              </w:rPr>
              <w:t>90-92* (110)</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48704DD"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AD26707" w14:textId="77777777" w:rsidR="00573476" w:rsidRPr="00F90EAE" w:rsidRDefault="00573476" w:rsidP="00F90EAE">
            <w:pPr>
              <w:jc w:val="both"/>
              <w:rPr>
                <w:color w:val="000000" w:themeColor="text1"/>
                <w:sz w:val="16"/>
                <w:szCs w:val="16"/>
              </w:rPr>
            </w:pPr>
            <w:r w:rsidRPr="00F90EAE">
              <w:rPr>
                <w:color w:val="000000" w:themeColor="text1"/>
                <w:sz w:val="16"/>
                <w:szCs w:val="16"/>
              </w:rPr>
              <w:t>82-88</w:t>
            </w:r>
          </w:p>
        </w:tc>
      </w:tr>
      <w:tr w:rsidR="00561F31" w:rsidRPr="00F90EAE" w14:paraId="6276455C" w14:textId="77777777" w:rsidTr="00573476">
        <w:trPr>
          <w:trHeight w:val="554"/>
        </w:trPr>
        <w:tc>
          <w:tcPr>
            <w:tcW w:w="2696" w:type="dxa"/>
            <w:tcBorders>
              <w:top w:val="single" w:sz="6" w:space="0" w:color="auto"/>
              <w:left w:val="single" w:sz="6" w:space="0" w:color="auto"/>
              <w:bottom w:val="single" w:sz="6" w:space="0" w:color="auto"/>
              <w:right w:val="single" w:sz="6" w:space="0" w:color="auto"/>
            </w:tcBorders>
            <w:shd w:val="clear" w:color="auto" w:fill="FFFFFF"/>
          </w:tcPr>
          <w:p w14:paraId="000AF170" w14:textId="77777777" w:rsidR="00573476" w:rsidRPr="00F90EAE" w:rsidRDefault="00573476" w:rsidP="00F90EAE">
            <w:pPr>
              <w:jc w:val="both"/>
              <w:rPr>
                <w:color w:val="000000" w:themeColor="text1"/>
                <w:sz w:val="16"/>
                <w:szCs w:val="16"/>
              </w:rPr>
            </w:pPr>
            <w:r w:rsidRPr="00F90EAE">
              <w:rPr>
                <w:color w:val="000000" w:themeColor="text1"/>
                <w:sz w:val="16"/>
                <w:szCs w:val="16"/>
              </w:rPr>
              <w:t>Макс, аэродинамическое каче</w:t>
            </w:r>
            <w:r w:rsidRPr="00F90EAE">
              <w:rPr>
                <w:color w:val="000000" w:themeColor="text1"/>
                <w:sz w:val="16"/>
                <w:szCs w:val="16"/>
              </w:rPr>
              <w:softHyphen/>
              <w:t>ство</w:t>
            </w:r>
          </w:p>
        </w:tc>
        <w:tc>
          <w:tcPr>
            <w:tcW w:w="1670" w:type="dxa"/>
            <w:tcBorders>
              <w:top w:val="single" w:sz="6" w:space="0" w:color="auto"/>
              <w:left w:val="single" w:sz="6" w:space="0" w:color="auto"/>
              <w:bottom w:val="single" w:sz="6" w:space="0" w:color="auto"/>
              <w:right w:val="single" w:sz="6" w:space="0" w:color="auto"/>
            </w:tcBorders>
            <w:shd w:val="clear" w:color="auto" w:fill="FFFFFF"/>
          </w:tcPr>
          <w:p w14:paraId="3EDD0A70" w14:textId="77777777" w:rsidR="00573476" w:rsidRPr="00F90EAE" w:rsidRDefault="00573476" w:rsidP="00F90EAE">
            <w:pPr>
              <w:jc w:val="both"/>
              <w:rPr>
                <w:color w:val="000000" w:themeColor="text1"/>
                <w:sz w:val="16"/>
                <w:szCs w:val="16"/>
              </w:rPr>
            </w:pPr>
            <w:r w:rsidRPr="00F90EAE">
              <w:rPr>
                <w:color w:val="000000" w:themeColor="text1"/>
                <w:sz w:val="16"/>
                <w:szCs w:val="16"/>
              </w:rPr>
              <w:t>я 17</w:t>
            </w:r>
          </w:p>
        </w:tc>
        <w:tc>
          <w:tcPr>
            <w:tcW w:w="1638" w:type="dxa"/>
            <w:tcBorders>
              <w:top w:val="single" w:sz="6" w:space="0" w:color="auto"/>
              <w:left w:val="single" w:sz="6" w:space="0" w:color="auto"/>
              <w:bottom w:val="single" w:sz="6" w:space="0" w:color="auto"/>
              <w:right w:val="single" w:sz="6" w:space="0" w:color="auto"/>
            </w:tcBorders>
            <w:shd w:val="clear" w:color="auto" w:fill="FFFFFF"/>
          </w:tcPr>
          <w:p w14:paraId="40E63FBC" w14:textId="77777777" w:rsidR="00573476" w:rsidRPr="00F90EAE" w:rsidRDefault="00573476" w:rsidP="00F90EAE">
            <w:pPr>
              <w:jc w:val="both"/>
              <w:rPr>
                <w:color w:val="000000" w:themeColor="text1"/>
                <w:sz w:val="16"/>
                <w:szCs w:val="16"/>
              </w:rPr>
            </w:pPr>
            <w:r w:rsidRPr="00F90EAE">
              <w:rPr>
                <w:color w:val="000000" w:themeColor="text1"/>
                <w:sz w:val="16"/>
                <w:szCs w:val="16"/>
              </w:rPr>
              <w:t>13,2</w:t>
            </w:r>
          </w:p>
        </w:tc>
        <w:tc>
          <w:tcPr>
            <w:tcW w:w="1577" w:type="dxa"/>
            <w:tcBorders>
              <w:top w:val="single" w:sz="6" w:space="0" w:color="auto"/>
              <w:left w:val="single" w:sz="6" w:space="0" w:color="auto"/>
              <w:bottom w:val="single" w:sz="6" w:space="0" w:color="auto"/>
              <w:right w:val="single" w:sz="6" w:space="0" w:color="auto"/>
            </w:tcBorders>
            <w:shd w:val="clear" w:color="auto" w:fill="FFFFFF"/>
          </w:tcPr>
          <w:p w14:paraId="5C27D6A1" w14:textId="77777777" w:rsidR="00573476" w:rsidRPr="00F90EAE" w:rsidRDefault="00573476" w:rsidP="00F90EAE">
            <w:pPr>
              <w:jc w:val="both"/>
              <w:rPr>
                <w:color w:val="000000" w:themeColor="text1"/>
                <w:sz w:val="16"/>
                <w:szCs w:val="16"/>
              </w:rPr>
            </w:pPr>
            <w:r w:rsidRPr="00F90EAE">
              <w:rPr>
                <w:color w:val="000000" w:themeColor="text1"/>
                <w:sz w:val="16"/>
                <w:szCs w:val="16"/>
              </w:rPr>
              <w:t>—</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F61B554" w14:textId="77777777" w:rsidR="00573476" w:rsidRPr="00F90EAE" w:rsidRDefault="00573476" w:rsidP="00F90EAE">
            <w:pPr>
              <w:jc w:val="both"/>
              <w:rPr>
                <w:color w:val="000000" w:themeColor="text1"/>
                <w:sz w:val="16"/>
                <w:szCs w:val="16"/>
              </w:rPr>
            </w:pPr>
            <w:r w:rsidRPr="00F90EAE">
              <w:rPr>
                <w:color w:val="000000" w:themeColor="text1"/>
                <w:sz w:val="16"/>
                <w:szCs w:val="16"/>
              </w:rPr>
              <w:t>16,2</w:t>
            </w:r>
          </w:p>
        </w:tc>
      </w:tr>
    </w:tbl>
    <w:p w14:paraId="6E4FBF59" w14:textId="77777777" w:rsidR="00573476" w:rsidRPr="00F90EAE" w:rsidRDefault="00573476" w:rsidP="00F90EAE">
      <w:pPr>
        <w:jc w:val="both"/>
        <w:rPr>
          <w:color w:val="000000" w:themeColor="text1"/>
          <w:sz w:val="16"/>
          <w:szCs w:val="16"/>
        </w:rPr>
      </w:pPr>
      <w:r w:rsidRPr="00F90EAE">
        <w:rPr>
          <w:color w:val="000000" w:themeColor="text1"/>
          <w:sz w:val="16"/>
          <w:szCs w:val="16"/>
        </w:rPr>
        <w:t>* В перегрузочном варианте. ** Данные из Грибовского К.В. [2]. *** Данные из Красильщикова А.П. [1] (12300).</w:t>
      </w:r>
    </w:p>
    <w:p w14:paraId="046CACE0" w14:textId="77777777" w:rsidR="00573476" w:rsidRPr="00F90EAE" w:rsidRDefault="00573476" w:rsidP="00F90EAE">
      <w:pPr>
        <w:jc w:val="both"/>
        <w:rPr>
          <w:color w:val="000000" w:themeColor="text1"/>
          <w:sz w:val="16"/>
          <w:szCs w:val="16"/>
        </w:rPr>
      </w:pPr>
    </w:p>
    <w:p w14:paraId="5830C47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года 7ГУ НКАП СССР утвердило план I квартала со сроком завершения работ по реак</w:t>
      </w:r>
      <w:r w:rsidRPr="00F90EAE">
        <w:rPr>
          <w:color w:val="000000" w:themeColor="text1"/>
          <w:sz w:val="16"/>
          <w:szCs w:val="16"/>
        </w:rPr>
        <w:softHyphen/>
        <w:t>тивному истребителю к 1 марта 1946 года, но во II и III кварталах тема была исключена из плана, и работа по ней опять перешла в разряд инициатив</w:t>
      </w:r>
      <w:r w:rsidRPr="00F90EAE">
        <w:rPr>
          <w:color w:val="000000" w:themeColor="text1"/>
          <w:sz w:val="16"/>
          <w:szCs w:val="16"/>
        </w:rPr>
        <w:softHyphen/>
        <w:t>ных. К тому же, отсутствие летного об</w:t>
      </w:r>
      <w:r w:rsidRPr="00F90EAE">
        <w:rPr>
          <w:color w:val="000000" w:themeColor="text1"/>
          <w:sz w:val="16"/>
          <w:szCs w:val="16"/>
        </w:rPr>
        <w:softHyphen/>
        <w:t>разца двигателя С-18 вынудило проек</w:t>
      </w:r>
      <w:r w:rsidRPr="00F90EAE">
        <w:rPr>
          <w:color w:val="000000" w:themeColor="text1"/>
          <w:sz w:val="16"/>
          <w:szCs w:val="16"/>
        </w:rPr>
        <w:softHyphen/>
        <w:t>тировщиков использовать трофейный двигатель Jumo-004 (10706).</w:t>
      </w:r>
    </w:p>
    <w:p w14:paraId="61ED36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456C4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года назаводе № 165 был изготовлен первый экземпляр экспериментального ТРД С-18, спроектированного группой А.М.Люльки (10706).</w:t>
      </w:r>
    </w:p>
    <w:p w14:paraId="6FC859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421D8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Кравченко был подготовлен "Краткий отчет о работах 4-го спецотдела НКВД СССР с 1939 по 1944 г". для Л.П.Берия:</w:t>
      </w:r>
    </w:p>
    <w:p w14:paraId="5177226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"Основными задачами 4-го Спецотдела являются: использование заключенных специалистов для выполнения научно-исследовательских и проектных работ по созданию новых типов военных самолетов, авиамоторов и двигателей военно-морских судов, образцов артиллерийского вооружения и боеприпасов, средств химического нападения и защиты... обеспечения средствами радиосвязи и оперативной техники...", - отмечается в документе.</w:t>
      </w:r>
    </w:p>
    <w:p w14:paraId="626FE4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Далее дается краткий перечень основных работ, выполненных 4-м Спецотделом.</w:t>
      </w:r>
    </w:p>
    <w:p w14:paraId="79ACFB5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"Пикирующий бомбардировщик под названием Пе-2 был принят на вооружение ВВС КА, и является в настоящее время основным типом советского пикирующего бомбардировщика, принимающего участие в боевых операциях на всех фронтах Отечественной войны"</w:t>
      </w:r>
    </w:p>
    <w:p w14:paraId="7C33CD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"решению ГСКО самолет... под названием Ту-2 принят на вооружение... для выполнения особо важных боевых операций на фронтах Отечественной войны".</w:t>
      </w:r>
    </w:p>
    <w:p w14:paraId="6A6F6D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"Полковая 76 мм пушка является основным оружием непосредственной поддержки пехоты и конницы. По решению ГКО пушка принята на вооружение Красной Армии и изготовляется в валовом производстве" (11694).</w:t>
      </w:r>
    </w:p>
    <w:p w14:paraId="4FCBFC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ACCCE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на небольшом московском механическом заводе штампов и приспособлений № 165, где развернули опытно-конструкторскую базу по изготовлению реактивных двигателей, был изготовлен первый экземпляр экспериментального ТРД С-18, спроектированного группой А.М. Люльки (11407).</w:t>
      </w:r>
    </w:p>
    <w:p w14:paraId="033DDB18" w14:textId="77777777" w:rsidR="00C2313B" w:rsidRPr="00F90EAE" w:rsidRDefault="00C2313B" w:rsidP="00F90EAE">
      <w:pPr>
        <w:autoSpaceDE w:val="0"/>
        <w:autoSpaceDN w:val="0"/>
        <w:adjustRightInd w:val="0"/>
        <w:jc w:val="both"/>
        <w:rPr>
          <w:color w:val="000000" w:themeColor="text1"/>
          <w:sz w:val="16"/>
          <w:szCs w:val="16"/>
        </w:rPr>
      </w:pPr>
    </w:p>
    <w:p w14:paraId="770AD0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в Болгарию прибыла советская техническая комиссия для модернизации болгарских ВВС, которые за исключением Ме-109 были вооружены старьем (241,40).</w:t>
      </w:r>
    </w:p>
    <w:p w14:paraId="74DB921B" w14:textId="77777777" w:rsidR="00C2313B" w:rsidRPr="00F90EAE" w:rsidRDefault="00C2313B" w:rsidP="00F90EAE">
      <w:pPr>
        <w:autoSpaceDE w:val="0"/>
        <w:autoSpaceDN w:val="0"/>
        <w:adjustRightInd w:val="0"/>
        <w:jc w:val="both"/>
        <w:rPr>
          <w:color w:val="000000" w:themeColor="text1"/>
          <w:sz w:val="16"/>
          <w:szCs w:val="16"/>
        </w:rPr>
      </w:pPr>
    </w:p>
    <w:p w14:paraId="268106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на заводе 165 был изготовлен первый экземпляр разработанного люльковцами экспериментального газотурбинного ВРД С-18 с восьмиступенчатым компрессором, а затем - еще четыре таких двигателя. На двух первых проводились огневые испытания, на третьем двигателе - отработка агрегатов, на четвертом и пятом двигателях велась отработка конструкции двигателя в целом и снятие характеристик. В ходе доводки для снижения температуры газов за турбиной была изъята восьмая ступень компрессора (9018).</w:t>
      </w:r>
    </w:p>
    <w:p w14:paraId="3EE05DBD" w14:textId="77777777" w:rsidR="00C2313B" w:rsidRPr="00F90EAE" w:rsidRDefault="00C2313B" w:rsidP="00F90EAE">
      <w:pPr>
        <w:autoSpaceDE w:val="0"/>
        <w:autoSpaceDN w:val="0"/>
        <w:adjustRightInd w:val="0"/>
        <w:jc w:val="both"/>
        <w:rPr>
          <w:color w:val="000000" w:themeColor="text1"/>
          <w:sz w:val="16"/>
          <w:szCs w:val="16"/>
        </w:rPr>
      </w:pPr>
    </w:p>
    <w:p w14:paraId="4078E2D8" w14:textId="77777777" w:rsidR="00BC1830" w:rsidRPr="00F90EAE" w:rsidRDefault="00BC1830"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начале 1945 г. для ликвидации отставания СССР приняли решение об использова</w:t>
      </w:r>
      <w:r w:rsidRPr="00F90EAE">
        <w:rPr>
          <w:rFonts w:ascii="Times New Roman" w:cs="Times New Roman"/>
          <w:color w:val="000000" w:themeColor="text1"/>
          <w:spacing w:val="0"/>
          <w:sz w:val="16"/>
          <w:szCs w:val="16"/>
        </w:rPr>
        <w:softHyphen/>
        <w:t>нии опыта немецких, а позднее и английских фирм — производителей ТРД. Как только в расположении наших войск обнаружили первые немецкие реактивные самолёты, на</w:t>
      </w:r>
      <w:r w:rsidRPr="00F90EAE">
        <w:rPr>
          <w:rFonts w:ascii="Times New Roman" w:cs="Times New Roman"/>
          <w:color w:val="000000" w:themeColor="text1"/>
          <w:spacing w:val="0"/>
          <w:sz w:val="16"/>
          <w:szCs w:val="16"/>
        </w:rPr>
        <w:softHyphen/>
        <w:t xml:space="preserve">чалось тщательное изучение трофейных двигателей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Кроме того, при вступлении советских войск на территорию Германии в начале 1945 г., представи</w:t>
      </w:r>
      <w:r w:rsidRPr="00F90EAE">
        <w:rPr>
          <w:rFonts w:ascii="Times New Roman" w:cs="Times New Roman"/>
          <w:color w:val="000000" w:themeColor="text1"/>
          <w:spacing w:val="0"/>
          <w:sz w:val="16"/>
          <w:szCs w:val="16"/>
        </w:rPr>
        <w:softHyphen/>
        <w:t>тели НКАП, находящиеся при действующей армии, приняли меры к обнаружению образ</w:t>
      </w:r>
      <w:r w:rsidRPr="00F90EAE">
        <w:rPr>
          <w:rFonts w:ascii="Times New Roman" w:cs="Times New Roman"/>
          <w:color w:val="000000" w:themeColor="text1"/>
          <w:spacing w:val="0"/>
          <w:sz w:val="16"/>
          <w:szCs w:val="16"/>
        </w:rPr>
        <w:softHyphen/>
        <w:t xml:space="preserve">цов новой немецкой авиационной техники, их сохранению и отправке в Советский Союз. Первые образцы двигателей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вернее, их обломки, поступили в ЦИАМ в нача</w:t>
      </w:r>
      <w:r w:rsidRPr="00F90EAE">
        <w:rPr>
          <w:rFonts w:ascii="Times New Roman" w:cs="Times New Roman"/>
          <w:color w:val="000000" w:themeColor="text1"/>
          <w:spacing w:val="0"/>
          <w:sz w:val="16"/>
          <w:szCs w:val="16"/>
        </w:rPr>
        <w:softHyphen/>
        <w:t>ле марта 1945 г. В апреле 1945 г. на участке 2-го Белорусского фронта в Ростоке об</w:t>
      </w:r>
      <w:r w:rsidRPr="00F90EAE">
        <w:rPr>
          <w:rFonts w:ascii="Times New Roman" w:cs="Times New Roman"/>
          <w:color w:val="000000" w:themeColor="text1"/>
          <w:spacing w:val="0"/>
          <w:sz w:val="16"/>
          <w:szCs w:val="16"/>
        </w:rPr>
        <w:softHyphen/>
        <w:t xml:space="preserve">наружили ящики с двигателями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(15791).</w:t>
      </w:r>
    </w:p>
    <w:p w14:paraId="78A3415F" w14:textId="77777777" w:rsidR="00BC1830" w:rsidRPr="00F90EAE" w:rsidRDefault="00BC1830"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нача</w:t>
      </w:r>
      <w:r w:rsidRPr="00F90EAE">
        <w:rPr>
          <w:rFonts w:ascii="Times New Roman" w:cs="Times New Roman"/>
          <w:color w:val="000000" w:themeColor="text1"/>
          <w:spacing w:val="0"/>
          <w:sz w:val="16"/>
          <w:szCs w:val="16"/>
        </w:rPr>
        <w:softHyphen/>
        <w:t xml:space="preserve">ле марта 1945 г. первые образцы двигателей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вернее, их обломки, поступили в ЦИАМ. В апреле 1945 г. на участке 2-го Белорусского фронта в Ростоке об</w:t>
      </w:r>
      <w:r w:rsidRPr="00F90EAE">
        <w:rPr>
          <w:rFonts w:ascii="Times New Roman" w:cs="Times New Roman"/>
          <w:color w:val="000000" w:themeColor="text1"/>
          <w:spacing w:val="0"/>
          <w:sz w:val="16"/>
          <w:szCs w:val="16"/>
        </w:rPr>
        <w:softHyphen/>
        <w:t xml:space="preserve">наружили ящики с двигателями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(15791).</w:t>
      </w:r>
    </w:p>
    <w:p w14:paraId="2A0FCF9A" w14:textId="77777777" w:rsidR="00BC1830" w:rsidRPr="00F90EAE" w:rsidRDefault="00BC1830" w:rsidP="00F90EAE">
      <w:pPr>
        <w:pStyle w:val="36"/>
        <w:shd w:val="clear" w:color="auto" w:fill="auto"/>
        <w:spacing w:after="0" w:line="240" w:lineRule="auto"/>
        <w:jc w:val="both"/>
        <w:rPr>
          <w:rFonts w:ascii="Times New Roman" w:cs="Times New Roman"/>
          <w:color w:val="000000" w:themeColor="text1"/>
          <w:spacing w:val="0"/>
          <w:sz w:val="16"/>
          <w:szCs w:val="16"/>
        </w:rPr>
      </w:pPr>
    </w:p>
    <w:p w14:paraId="3B9C049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П.О.Сухой предлагал ВРДК, расположенные под консо</w:t>
      </w:r>
      <w:r w:rsidRPr="00F90EAE">
        <w:rPr>
          <w:color w:val="000000" w:themeColor="text1"/>
          <w:sz w:val="16"/>
          <w:szCs w:val="16"/>
        </w:rPr>
        <w:softHyphen/>
        <w:t>лями крыла, как ускорители, необхо</w:t>
      </w:r>
      <w:r w:rsidRPr="00F90EAE">
        <w:rPr>
          <w:color w:val="000000" w:themeColor="text1"/>
          <w:sz w:val="16"/>
          <w:szCs w:val="16"/>
        </w:rPr>
        <w:softHyphen/>
        <w:t>димые для кратковременного увеличе</w:t>
      </w:r>
      <w:r w:rsidRPr="00F90EAE">
        <w:rPr>
          <w:color w:val="000000" w:themeColor="text1"/>
          <w:sz w:val="16"/>
          <w:szCs w:val="16"/>
        </w:rPr>
        <w:softHyphen/>
        <w:t>ния скорости полета самолета Ер-2 (10669).</w:t>
      </w:r>
    </w:p>
    <w:p w14:paraId="6B69C1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32A28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работу по теме Пе-2 с РУ-1 свернули, а уже весной В.П. Глушко и С.П. Королев, освобожденные из-под стражи, но не реабилитированные, в офицерских мундирах, но без единой орденской планки, появились в Германии, где занялись изучением немецкой ракеты V-2 и ее двигателя (4476).</w:t>
      </w:r>
    </w:p>
    <w:p w14:paraId="136C1B5D" w14:textId="77777777" w:rsidR="00C2313B" w:rsidRPr="00F90EAE" w:rsidRDefault="00C2313B" w:rsidP="00F90EAE">
      <w:pPr>
        <w:autoSpaceDE w:val="0"/>
        <w:autoSpaceDN w:val="0"/>
        <w:adjustRightInd w:val="0"/>
        <w:jc w:val="both"/>
        <w:rPr>
          <w:color w:val="000000" w:themeColor="text1"/>
          <w:sz w:val="16"/>
          <w:szCs w:val="16"/>
        </w:rPr>
      </w:pPr>
    </w:p>
    <w:p w14:paraId="35627E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вновь образованный отдел опытного дизелестроения 1600 приступил к работе в восстановленных зданиях. Его начальником был назначен С.И. Коропов, главным инженером - М.А. Турчин. В 1946 г. отдел возглавил Д.И. Толмачев, который в годы войны был директором Барнаульского моторного завода № 77, выпускавшего танковые дизели В-2. В течение первых же лет работы отдел выдал "на-гора" и провел испытания трех новых моторов. Один из них - тепловозный дизель Д50, прототипом которого послужил американский двигатель фирмы "Алко", а два других представляли собой принципиально новые и оригинальные разработки, и сегодня вызывающие интерес своеобразием инженерных решений. Несмотря на то, что значительная часть завода продолжала лежать в развалинах, не хватало самого необходимого: производственных помещений, станочного оборудования, рабочих рук, электричества и тепла - на постройку опытных образцов ушел минимум времени (9024).</w:t>
      </w:r>
    </w:p>
    <w:p w14:paraId="1EAC1028" w14:textId="77777777" w:rsidR="00C2313B" w:rsidRPr="00F90EAE" w:rsidRDefault="00C2313B" w:rsidP="00F90EAE">
      <w:pPr>
        <w:autoSpaceDE w:val="0"/>
        <w:autoSpaceDN w:val="0"/>
        <w:adjustRightInd w:val="0"/>
        <w:jc w:val="both"/>
        <w:rPr>
          <w:color w:val="000000" w:themeColor="text1"/>
          <w:sz w:val="16"/>
          <w:szCs w:val="16"/>
        </w:rPr>
      </w:pPr>
    </w:p>
    <w:p w14:paraId="49F4A2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 транспортных полках ГВФ насчитывалось всего 38 П-5. Немного их осталось и в тылу (12034).</w:t>
      </w:r>
    </w:p>
    <w:p w14:paraId="48F7C12D" w14:textId="77777777" w:rsidR="00C2313B" w:rsidRPr="00F90EAE" w:rsidRDefault="00C2313B" w:rsidP="00F90EAE">
      <w:pPr>
        <w:autoSpaceDE w:val="0"/>
        <w:autoSpaceDN w:val="0"/>
        <w:adjustRightInd w:val="0"/>
        <w:jc w:val="both"/>
        <w:rPr>
          <w:color w:val="000000" w:themeColor="text1"/>
          <w:sz w:val="16"/>
          <w:szCs w:val="16"/>
        </w:rPr>
      </w:pPr>
    </w:p>
    <w:p w14:paraId="63BAB9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на реэвакуированом б. заводе № 67 Мостяжарт организовали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0D751C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60C87AE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061F61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7CFBDC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542E3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Москва, Семеновская застава, Вельяминовская ул., д. 32, п/я 2350</w:t>
      </w:r>
    </w:p>
    <w:p w14:paraId="5227836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50E9EE86" w14:textId="77777777" w:rsidR="00C2313B" w:rsidRPr="00F90EAE" w:rsidRDefault="00C2313B" w:rsidP="00F90EAE">
      <w:pPr>
        <w:autoSpaceDE w:val="0"/>
        <w:autoSpaceDN w:val="0"/>
        <w:adjustRightInd w:val="0"/>
        <w:jc w:val="both"/>
        <w:rPr>
          <w:color w:val="000000" w:themeColor="text1"/>
          <w:sz w:val="16"/>
          <w:szCs w:val="16"/>
        </w:rPr>
      </w:pPr>
    </w:p>
    <w:p w14:paraId="3970632C" w14:textId="77777777" w:rsidR="00BC1830" w:rsidRPr="00F90EAE" w:rsidRDefault="00BC1830" w:rsidP="00F90EAE">
      <w:pPr>
        <w:jc w:val="both"/>
        <w:rPr>
          <w:color w:val="000000" w:themeColor="text1"/>
          <w:sz w:val="16"/>
          <w:szCs w:val="16"/>
        </w:rPr>
      </w:pPr>
      <w:r w:rsidRPr="00F90EAE">
        <w:rPr>
          <w:color w:val="000000" w:themeColor="text1"/>
          <w:sz w:val="16"/>
          <w:szCs w:val="16"/>
        </w:rPr>
        <w:t>В начале 1945 года ГСКБ-47 была поручена работа по созданию управляемых и планирующих авиабомб. Возглавил эти работы А. Ф. Турахин. Его отдел был укомплектован кадровыми работниками ГСКБ. В отдел также пришли некоторые бывшие сотрудники предприятий авиационной промышленности, молодые специалисты из МВТУ им. Баумана. Специалисты отдела тщательно изучили трофейную техническую документацию и образцы немецких управляемых авиабомб «Хеншель-293» и «Фритц-Х».</w:t>
      </w:r>
    </w:p>
    <w:p w14:paraId="27995651" w14:textId="77777777" w:rsidR="00BC1830" w:rsidRPr="00F90EAE" w:rsidRDefault="00BC1830" w:rsidP="00F90EAE">
      <w:pPr>
        <w:jc w:val="both"/>
        <w:rPr>
          <w:color w:val="000000" w:themeColor="text1"/>
          <w:sz w:val="16"/>
          <w:szCs w:val="16"/>
        </w:rPr>
      </w:pPr>
      <w:r w:rsidRPr="00F90EAE">
        <w:rPr>
          <w:color w:val="000000" w:themeColor="text1"/>
          <w:sz w:val="16"/>
          <w:szCs w:val="16"/>
        </w:rPr>
        <w:t>Предполагалось развивать работы по двум направлениям – по линии создания управляемых планирующих и управляемых непланирующих авиабомб.</w:t>
      </w:r>
    </w:p>
    <w:p w14:paraId="40913845" w14:textId="77777777" w:rsidR="00BC1830" w:rsidRPr="00F90EAE" w:rsidRDefault="00BC1830" w:rsidP="00F90EAE">
      <w:pPr>
        <w:jc w:val="both"/>
        <w:rPr>
          <w:color w:val="000000" w:themeColor="text1"/>
          <w:sz w:val="16"/>
          <w:szCs w:val="16"/>
        </w:rPr>
      </w:pPr>
      <w:r w:rsidRPr="00F90EAE">
        <w:rPr>
          <w:color w:val="000000" w:themeColor="text1"/>
          <w:sz w:val="16"/>
          <w:szCs w:val="16"/>
        </w:rPr>
        <w:t>Две конструкции планирующих авиабомб массой 1000 кг, управление которыми осуществлялось с помощью аэродинамических рулей, были созданы достаточно быстро. Обе конструкции успешно прошли летные испытания.</w:t>
      </w:r>
    </w:p>
    <w:p w14:paraId="1E28768D" w14:textId="77777777" w:rsidR="00BC1830" w:rsidRPr="00F90EAE" w:rsidRDefault="00BC1830" w:rsidP="00F90EAE">
      <w:pPr>
        <w:jc w:val="both"/>
        <w:rPr>
          <w:color w:val="000000" w:themeColor="text1"/>
          <w:sz w:val="16"/>
          <w:szCs w:val="16"/>
        </w:rPr>
      </w:pPr>
      <w:r w:rsidRPr="00F90EAE">
        <w:rPr>
          <w:color w:val="000000" w:themeColor="text1"/>
          <w:sz w:val="16"/>
          <w:szCs w:val="16"/>
        </w:rPr>
        <w:t>Непланирующими авиабомбами предполагалось управлять с помощью интерцепторов. Однако работа над этим направлением показала, что успешная разработка подобной техники силами сравнительно небольшого отдела невозможна.</w:t>
      </w:r>
    </w:p>
    <w:p w14:paraId="1158BDA4" w14:textId="77777777" w:rsidR="00BC1830" w:rsidRPr="00F90EAE" w:rsidRDefault="00BC1830" w:rsidP="00F90EAE">
      <w:pPr>
        <w:jc w:val="both"/>
        <w:rPr>
          <w:color w:val="000000" w:themeColor="text1"/>
          <w:sz w:val="16"/>
          <w:szCs w:val="16"/>
        </w:rPr>
      </w:pPr>
      <w:r w:rsidRPr="00F90EAE">
        <w:rPr>
          <w:color w:val="000000" w:themeColor="text1"/>
          <w:sz w:val="16"/>
          <w:szCs w:val="16"/>
        </w:rPr>
        <w:t>В 1948 году государственными органами принимается решение о передаче этой тематики вместе с основным составом отдела в новую специализированную конструкторскую организацию (15794).</w:t>
      </w:r>
    </w:p>
    <w:p w14:paraId="146FFBD2" w14:textId="77777777" w:rsidR="00BC1830" w:rsidRPr="00F90EAE" w:rsidRDefault="00BC1830" w:rsidP="00F90EAE">
      <w:pPr>
        <w:jc w:val="both"/>
        <w:rPr>
          <w:color w:val="000000" w:themeColor="text1"/>
          <w:sz w:val="16"/>
          <w:szCs w:val="16"/>
        </w:rPr>
      </w:pPr>
    </w:p>
    <w:p w14:paraId="271C6675" w14:textId="77777777" w:rsidR="00BC1830" w:rsidRPr="00F90EAE" w:rsidRDefault="00BC1830" w:rsidP="00F90EAE">
      <w:pPr>
        <w:pStyle w:val="36"/>
        <w:shd w:val="clear" w:color="auto" w:fill="auto"/>
        <w:tabs>
          <w:tab w:val="left" w:pos="3098"/>
        </w:tabs>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начале 1945 года СССР был готовы применить самолеты-снаряды. Но ЦК ВКП(б), Советское правительство приняли решение отказаться от применения этого оружия. Согласно, воспоминаниям Шахурина, не менее сильное и, пожалуй, более эффективное, чем у врага, оружие у нас было, и гитлеровцы знали о нем. Но мы не стали уподобляться фашистским варва</w:t>
      </w:r>
      <w:r w:rsidRPr="00F90EAE">
        <w:rPr>
          <w:rFonts w:ascii="Times New Roman" w:cs="Times New Roman"/>
          <w:color w:val="000000" w:themeColor="text1"/>
          <w:spacing w:val="0"/>
          <w:sz w:val="16"/>
          <w:szCs w:val="16"/>
        </w:rPr>
        <w:softHyphen/>
        <w:t>рам, «воевавшим» с помощью своих ФАУ с мирными жителями Британских островов. Ведь наибольший эффект приносило применение самолётов-снарядов по городам, где было много мирного населения. А советский народ сражался только с гитлеровской ар</w:t>
      </w:r>
      <w:r w:rsidRPr="00F90EAE">
        <w:rPr>
          <w:rFonts w:ascii="Times New Roman" w:cs="Times New Roman"/>
          <w:color w:val="000000" w:themeColor="text1"/>
          <w:spacing w:val="0"/>
          <w:sz w:val="16"/>
          <w:szCs w:val="16"/>
        </w:rPr>
        <w:softHyphen/>
        <w:t>мией, а не с мирными жителями Германии. Поэтому готовые к бою эскадрильи тяжелых бомбардировщиков с подвешенными к ним снарядами, получившими наименование «10Х» (десятая модификация неизвестного оружия), так и не взлетели со своих аэ</w:t>
      </w:r>
      <w:r w:rsidRPr="00F90EAE">
        <w:rPr>
          <w:rFonts w:ascii="Times New Roman" w:cs="Times New Roman"/>
          <w:color w:val="000000" w:themeColor="text1"/>
          <w:spacing w:val="0"/>
          <w:sz w:val="16"/>
          <w:szCs w:val="16"/>
        </w:rPr>
        <w:softHyphen/>
        <w:t>родромов для нанесения боевых ударов (15790).</w:t>
      </w:r>
    </w:p>
    <w:p w14:paraId="07934EB4" w14:textId="77777777" w:rsidR="00BC1830" w:rsidRPr="00F90EAE" w:rsidRDefault="00BC1830" w:rsidP="00F90EAE">
      <w:pPr>
        <w:pStyle w:val="36"/>
        <w:shd w:val="clear" w:color="auto" w:fill="auto"/>
        <w:spacing w:after="0" w:line="240" w:lineRule="auto"/>
        <w:jc w:val="both"/>
        <w:rPr>
          <w:rFonts w:ascii="Times New Roman" w:cs="Times New Roman"/>
          <w:color w:val="000000" w:themeColor="text1"/>
          <w:spacing w:val="0"/>
          <w:sz w:val="16"/>
          <w:szCs w:val="16"/>
        </w:rPr>
      </w:pPr>
    </w:p>
    <w:p w14:paraId="393F0BB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2B1010F" w14:textId="77777777" w:rsidR="00C2313B" w:rsidRPr="00F90EAE" w:rsidRDefault="00C2313B" w:rsidP="00F90EAE">
      <w:pPr>
        <w:autoSpaceDE w:val="0"/>
        <w:autoSpaceDN w:val="0"/>
        <w:adjustRightInd w:val="0"/>
        <w:jc w:val="both"/>
        <w:rPr>
          <w:iCs/>
          <w:color w:val="000000" w:themeColor="text1"/>
          <w:sz w:val="16"/>
          <w:szCs w:val="16"/>
        </w:rPr>
      </w:pPr>
    </w:p>
    <w:p w14:paraId="1B8282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на ниву соревнования с немецким 88-мм противотанковым орудием обр. 1943 г. вступило КБ завода № 9. В январе-феврале 1945 г. в корпусе СУ-100 прошла испытания 85-мм пушка большой мощности Д-10-85. Это орудие имело составную трубу ствола. Се</w:t>
      </w:r>
      <w:r w:rsidRPr="00F90EAE">
        <w:rPr>
          <w:color w:val="000000" w:themeColor="text1"/>
          <w:sz w:val="16"/>
          <w:szCs w:val="16"/>
        </w:rPr>
        <w:softHyphen/>
        <w:t>рийная 100-мм пушка Д-10 была оснащена 85-мм нарез</w:t>
      </w:r>
      <w:r w:rsidRPr="00F90EAE">
        <w:rPr>
          <w:color w:val="000000" w:themeColor="text1"/>
          <w:sz w:val="16"/>
          <w:szCs w:val="16"/>
        </w:rPr>
        <w:softHyphen/>
        <w:t>ной частью ствола, при этом сохранила гильзу от 100-мм орудия Б-34, а ствол был удлинен гладкоствольной дуль</w:t>
      </w:r>
      <w:r w:rsidRPr="00F90EAE">
        <w:rPr>
          <w:color w:val="000000" w:themeColor="text1"/>
          <w:sz w:val="16"/>
          <w:szCs w:val="16"/>
        </w:rPr>
        <w:softHyphen/>
        <w:t>ной надставкой, применение которой значительно упрос</w:t>
      </w:r>
      <w:r w:rsidRPr="00F90EAE">
        <w:rPr>
          <w:color w:val="000000" w:themeColor="text1"/>
          <w:sz w:val="16"/>
          <w:szCs w:val="16"/>
        </w:rPr>
        <w:softHyphen/>
        <w:t>тило технологию изготовления пушки. Проведенные испытания стрельбой показали, что ряд снарядов также кувыркается, но случаи срыва ведущих по</w:t>
      </w:r>
      <w:r w:rsidRPr="00F90EAE">
        <w:rPr>
          <w:color w:val="000000" w:themeColor="text1"/>
          <w:sz w:val="16"/>
          <w:szCs w:val="16"/>
        </w:rPr>
        <w:softHyphen/>
        <w:t>ясков уменьшились. В ходе отработки заряда удалось до</w:t>
      </w:r>
      <w:r w:rsidRPr="00F90EAE">
        <w:rPr>
          <w:color w:val="000000" w:themeColor="text1"/>
          <w:sz w:val="16"/>
          <w:szCs w:val="16"/>
        </w:rPr>
        <w:softHyphen/>
        <w:t>стичь начальной скорости бронебойного снаряда в 1050 м/с, но для более стабильного поведения снаряда на траек</w:t>
      </w:r>
      <w:r w:rsidRPr="00F90EAE">
        <w:rPr>
          <w:color w:val="000000" w:themeColor="text1"/>
          <w:sz w:val="16"/>
          <w:szCs w:val="16"/>
        </w:rPr>
        <w:softHyphen/>
        <w:t>тории требовалось увеличить число ведущих поясков. Но это решение значительно усложняло производство боепри</w:t>
      </w:r>
      <w:r w:rsidRPr="00F90EAE">
        <w:rPr>
          <w:color w:val="000000" w:themeColor="text1"/>
          <w:sz w:val="16"/>
          <w:szCs w:val="16"/>
        </w:rPr>
        <w:softHyphen/>
        <w:t>пасов, и потому от него вскоре отказались. Кроме того, все дальнейшие расчеты, проведенные в ЦАКБ и Техуправлении НКВ, показывали, что достичь за</w:t>
      </w:r>
      <w:r w:rsidRPr="00F90EAE">
        <w:rPr>
          <w:color w:val="000000" w:themeColor="text1"/>
          <w:sz w:val="16"/>
          <w:szCs w:val="16"/>
        </w:rPr>
        <w:softHyphen/>
        <w:t>планированных характеристик бронепробиваемости мож</w:t>
      </w:r>
      <w:r w:rsidRPr="00F90EAE">
        <w:rPr>
          <w:color w:val="000000" w:themeColor="text1"/>
          <w:sz w:val="16"/>
          <w:szCs w:val="16"/>
        </w:rPr>
        <w:softHyphen/>
        <w:t>но лишь в случае применения 85—100-мм выстрела с гиль</w:t>
      </w:r>
      <w:r w:rsidRPr="00F90EAE">
        <w:rPr>
          <w:color w:val="000000" w:themeColor="text1"/>
          <w:sz w:val="16"/>
          <w:szCs w:val="16"/>
        </w:rPr>
        <w:softHyphen/>
        <w:t>зой и пороховым зарядом 122-мм пушки типа Д-25/А-19. Но в этом случае маневрировать выстрелом указанных га</w:t>
      </w:r>
      <w:r w:rsidRPr="00F90EAE">
        <w:rPr>
          <w:color w:val="000000" w:themeColor="text1"/>
          <w:sz w:val="16"/>
          <w:szCs w:val="16"/>
        </w:rPr>
        <w:softHyphen/>
        <w:t>баритов и массы было бы уже крайне затруднительно, и по</w:t>
      </w:r>
      <w:r w:rsidRPr="00F90EAE">
        <w:rPr>
          <w:color w:val="000000" w:themeColor="text1"/>
          <w:sz w:val="16"/>
          <w:szCs w:val="16"/>
        </w:rPr>
        <w:softHyphen/>
        <w:t>тому от развития данного направления отказались. Догнать «малой кровью» немецких артиллерийских конструкторов без изменения конструкции снаряда не уда</w:t>
      </w:r>
      <w:r w:rsidRPr="00F90EAE">
        <w:rPr>
          <w:color w:val="000000" w:themeColor="text1"/>
          <w:sz w:val="16"/>
          <w:szCs w:val="16"/>
        </w:rPr>
        <w:softHyphen/>
        <w:t>лось ни одному отечественному артиллерийскому КБ. Чу</w:t>
      </w:r>
      <w:r w:rsidRPr="00F90EAE">
        <w:rPr>
          <w:color w:val="000000" w:themeColor="text1"/>
          <w:sz w:val="16"/>
          <w:szCs w:val="16"/>
        </w:rPr>
        <w:softHyphen/>
        <w:t>дес не бывает. Опытные пушки так и остались опытными. (11417).</w:t>
      </w:r>
    </w:p>
    <w:p w14:paraId="78CCB1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D03D7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ввиду приближающегося окончания воен</w:t>
      </w:r>
      <w:r w:rsidRPr="00F90EAE">
        <w:rPr>
          <w:color w:val="000000" w:themeColor="text1"/>
          <w:sz w:val="16"/>
          <w:szCs w:val="16"/>
        </w:rPr>
        <w:softHyphen/>
        <w:t>ных действий, советское правительство стабилизировало воен</w:t>
      </w:r>
      <w:r w:rsidRPr="00F90EAE">
        <w:rPr>
          <w:color w:val="000000" w:themeColor="text1"/>
          <w:sz w:val="16"/>
          <w:szCs w:val="16"/>
        </w:rPr>
        <w:softHyphen/>
        <w:t>ные расходы на уровне 1944 г., предполагая направить прирост национального дохода на увеличение накопления и потребления. Объем накопления, по сравнению с предыдущим годом, предпо</w:t>
      </w:r>
      <w:r w:rsidRPr="00F90EAE">
        <w:rPr>
          <w:color w:val="000000" w:themeColor="text1"/>
          <w:sz w:val="16"/>
          <w:szCs w:val="16"/>
        </w:rPr>
        <w:softHyphen/>
        <w:t>лагалось увеличить на 37%, а объем потребления на 19%. При</w:t>
      </w:r>
      <w:r w:rsidRPr="00F90EAE">
        <w:rPr>
          <w:color w:val="000000" w:themeColor="text1"/>
          <w:sz w:val="16"/>
          <w:szCs w:val="16"/>
        </w:rPr>
        <w:softHyphen/>
        <w:t>рост национального дохода, по плану, обеспечивался увеличени</w:t>
      </w:r>
      <w:r w:rsidRPr="00F90EAE">
        <w:rPr>
          <w:color w:val="000000" w:themeColor="text1"/>
          <w:sz w:val="16"/>
          <w:szCs w:val="16"/>
        </w:rPr>
        <w:softHyphen/>
        <w:t>ем валовой продукции «гражданской» промышленности на 1 9% и сокращением производства военной продукции почти в полтора раза. Однако, накапливавшиеся в предыдущие годы несоответст</w:t>
      </w:r>
      <w:r w:rsidRPr="00F90EAE">
        <w:rPr>
          <w:color w:val="000000" w:themeColor="text1"/>
          <w:sz w:val="16"/>
          <w:szCs w:val="16"/>
        </w:rPr>
        <w:softHyphen/>
        <w:t>вия между натуральной и ценностной формами выражения сто</w:t>
      </w:r>
      <w:r w:rsidRPr="00F90EAE">
        <w:rPr>
          <w:color w:val="000000" w:themeColor="text1"/>
          <w:sz w:val="16"/>
          <w:szCs w:val="16"/>
        </w:rPr>
        <w:softHyphen/>
        <w:t>имости общественного продукта и национального дохода привели к тому, что план развития народного хозяйства СССР в 1945 г. составлялся с серьезными диспропорциями. Так, баланс средств производства формировался с дефицитом в 24 млд. руб., а баланс предметов потребления — с дефицитом 20 млд. руб. (РГАЭ ф. 4372, оп. 94, д. 115, л. 42).</w:t>
      </w:r>
    </w:p>
    <w:p w14:paraId="52D37B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Далее, Госплан СССР допустил грубую ошибку при определе</w:t>
      </w:r>
      <w:r w:rsidRPr="00F90EAE">
        <w:rPr>
          <w:color w:val="000000" w:themeColor="text1"/>
          <w:sz w:val="16"/>
          <w:szCs w:val="16"/>
        </w:rPr>
        <w:softHyphen/>
        <w:t>нии размеров национального дохода в 1945 г., назвав в начале цифру 518 млд. руб., затем — 476 млд. руб. Фактически он со</w:t>
      </w:r>
      <w:r w:rsidRPr="00F90EAE">
        <w:rPr>
          <w:color w:val="000000" w:themeColor="text1"/>
          <w:sz w:val="16"/>
          <w:szCs w:val="16"/>
        </w:rPr>
        <w:softHyphen/>
        <w:t>ставил 441,4 млд. руб., или на 48,2 млд. руб. меньше, чем в 1944 году. Распределение национального дохода в 1945 г., по сравнению с запланированными показателями, характеризуется следующими данными.</w:t>
      </w:r>
    </w:p>
    <w:p w14:paraId="163822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Баланс общественного продукта СССР</w:t>
      </w:r>
    </w:p>
    <w:p w14:paraId="027E0A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млд. руб. в действующих ценах)</w:t>
      </w:r>
    </w:p>
    <w:tbl>
      <w:tblPr>
        <w:tblW w:w="0" w:type="auto"/>
        <w:tblInd w:w="40" w:type="dxa"/>
        <w:tblLayout w:type="fixed"/>
        <w:tblCellMar>
          <w:left w:w="40" w:type="dxa"/>
          <w:right w:w="40" w:type="dxa"/>
        </w:tblCellMar>
        <w:tblLook w:val="0000" w:firstRow="0" w:lastRow="0" w:firstColumn="0" w:lastColumn="0" w:noHBand="0" w:noVBand="0"/>
      </w:tblPr>
      <w:tblGrid>
        <w:gridCol w:w="4680"/>
        <w:gridCol w:w="14"/>
        <w:gridCol w:w="1606"/>
        <w:gridCol w:w="7"/>
      </w:tblGrid>
      <w:tr w:rsidR="00561F31" w:rsidRPr="00F90EAE" w14:paraId="5388B0DB" w14:textId="77777777">
        <w:trPr>
          <w:gridAfter w:val="1"/>
          <w:wAfter w:w="7" w:type="dxa"/>
          <w:trHeight w:val="509"/>
        </w:trPr>
        <w:tc>
          <w:tcPr>
            <w:tcW w:w="4680" w:type="dxa"/>
            <w:tcBorders>
              <w:top w:val="single" w:sz="12" w:space="0" w:color="auto"/>
              <w:left w:val="single" w:sz="12" w:space="0" w:color="auto"/>
              <w:bottom w:val="single" w:sz="6" w:space="0" w:color="auto"/>
              <w:right w:val="single" w:sz="6" w:space="0" w:color="auto"/>
            </w:tcBorders>
          </w:tcPr>
          <w:p w14:paraId="38631E6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p w14:paraId="4D91A28B" w14:textId="77777777" w:rsidR="00C2313B" w:rsidRPr="00F90EAE" w:rsidRDefault="00092917"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w:t>
            </w:r>
            <w:r w:rsidR="00C2313B" w:rsidRPr="00F90EAE">
              <w:rPr>
                <w:color w:val="000000" w:themeColor="text1"/>
                <w:sz w:val="16"/>
                <w:szCs w:val="16"/>
              </w:rPr>
              <w:t>тчет</w:t>
            </w:r>
          </w:p>
        </w:tc>
        <w:tc>
          <w:tcPr>
            <w:tcW w:w="1620" w:type="dxa"/>
            <w:gridSpan w:val="2"/>
            <w:tcBorders>
              <w:top w:val="single" w:sz="12" w:space="0" w:color="auto"/>
              <w:left w:val="single" w:sz="6" w:space="0" w:color="auto"/>
              <w:bottom w:val="single" w:sz="6" w:space="0" w:color="auto"/>
              <w:right w:val="single" w:sz="12" w:space="0" w:color="auto"/>
            </w:tcBorders>
          </w:tcPr>
          <w:p w14:paraId="6715928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1945 1945</w:t>
            </w:r>
          </w:p>
          <w:p w14:paraId="41A30B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 вып.</w:t>
            </w:r>
          </w:p>
          <w:p w14:paraId="26F6578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AB04624" w14:textId="77777777">
        <w:trPr>
          <w:gridAfter w:val="1"/>
          <w:wAfter w:w="7" w:type="dxa"/>
          <w:trHeight w:val="902"/>
        </w:trPr>
        <w:tc>
          <w:tcPr>
            <w:tcW w:w="4680" w:type="dxa"/>
            <w:tcBorders>
              <w:top w:val="single" w:sz="6" w:space="0" w:color="auto"/>
              <w:left w:val="single" w:sz="12" w:space="0" w:color="auto"/>
              <w:bottom w:val="single" w:sz="12" w:space="0" w:color="auto"/>
              <w:right w:val="single" w:sz="6" w:space="0" w:color="auto"/>
            </w:tcBorders>
          </w:tcPr>
          <w:p w14:paraId="3DF5A1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Поступление</w:t>
            </w:r>
          </w:p>
          <w:p w14:paraId="1331DFE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Произведенный общественный продукт 708,6</w:t>
            </w:r>
          </w:p>
          <w:p w14:paraId="7B674DA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Поступление из др. источников 44,7</w:t>
            </w:r>
          </w:p>
          <w:p w14:paraId="451AC4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Годовой общественный продукт 753,3</w:t>
            </w:r>
          </w:p>
          <w:p w14:paraId="2EDE270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20" w:type="dxa"/>
            <w:gridSpan w:val="2"/>
            <w:tcBorders>
              <w:top w:val="single" w:sz="6" w:space="0" w:color="auto"/>
              <w:left w:val="single" w:sz="6" w:space="0" w:color="auto"/>
              <w:bottom w:val="single" w:sz="12" w:space="0" w:color="auto"/>
              <w:right w:val="single" w:sz="12" w:space="0" w:color="auto"/>
            </w:tcBorders>
          </w:tcPr>
          <w:p w14:paraId="1B8B97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53920F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727,0 640,4</w:t>
            </w:r>
          </w:p>
          <w:p w14:paraId="0BB1BCE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40,0 36,5</w:t>
            </w:r>
          </w:p>
          <w:p w14:paraId="3CA9C8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767,0 676,9</w:t>
            </w:r>
          </w:p>
          <w:p w14:paraId="5872799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520B7EEE" w14:textId="77777777">
        <w:trPr>
          <w:trHeight w:val="470"/>
        </w:trPr>
        <w:tc>
          <w:tcPr>
            <w:tcW w:w="4694" w:type="dxa"/>
            <w:gridSpan w:val="2"/>
            <w:tcBorders>
              <w:top w:val="single" w:sz="6" w:space="0" w:color="auto"/>
              <w:left w:val="single" w:sz="12" w:space="0" w:color="auto"/>
              <w:bottom w:val="single" w:sz="6" w:space="0" w:color="auto"/>
              <w:right w:val="single" w:sz="6" w:space="0" w:color="auto"/>
            </w:tcBorders>
          </w:tcPr>
          <w:p w14:paraId="177F9F3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p w14:paraId="160B7C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отчет</w:t>
            </w:r>
          </w:p>
          <w:p w14:paraId="51BC1E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38E6DF1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1945 1945</w:t>
            </w:r>
          </w:p>
          <w:p w14:paraId="0C0913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 вып.</w:t>
            </w:r>
          </w:p>
          <w:p w14:paraId="532BCA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55B206C" w14:textId="77777777">
        <w:trPr>
          <w:trHeight w:val="250"/>
        </w:trPr>
        <w:tc>
          <w:tcPr>
            <w:tcW w:w="4694" w:type="dxa"/>
            <w:gridSpan w:val="2"/>
            <w:tcBorders>
              <w:top w:val="single" w:sz="6" w:space="0" w:color="auto"/>
              <w:left w:val="single" w:sz="12" w:space="0" w:color="auto"/>
              <w:bottom w:val="single" w:sz="12" w:space="0" w:color="auto"/>
              <w:right w:val="single" w:sz="6" w:space="0" w:color="auto"/>
            </w:tcBorders>
          </w:tcPr>
          <w:p w14:paraId="1E1144C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Распределение</w:t>
            </w:r>
          </w:p>
        </w:tc>
        <w:tc>
          <w:tcPr>
            <w:tcW w:w="1613" w:type="dxa"/>
            <w:gridSpan w:val="2"/>
            <w:tcBorders>
              <w:top w:val="single" w:sz="6" w:space="0" w:color="auto"/>
              <w:left w:val="single" w:sz="6" w:space="0" w:color="auto"/>
              <w:bottom w:val="single" w:sz="12" w:space="0" w:color="auto"/>
              <w:right w:val="single" w:sz="12" w:space="0" w:color="auto"/>
            </w:tcBorders>
          </w:tcPr>
          <w:p w14:paraId="178787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0410C69" w14:textId="77777777">
        <w:trPr>
          <w:trHeight w:val="240"/>
        </w:trPr>
        <w:tc>
          <w:tcPr>
            <w:tcW w:w="4694" w:type="dxa"/>
            <w:gridSpan w:val="2"/>
            <w:tcBorders>
              <w:top w:val="nil"/>
              <w:left w:val="single" w:sz="12" w:space="0" w:color="auto"/>
              <w:bottom w:val="single" w:sz="6" w:space="0" w:color="auto"/>
              <w:right w:val="single" w:sz="6" w:space="0" w:color="auto"/>
            </w:tcBorders>
          </w:tcPr>
          <w:p w14:paraId="53F7A8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Производственное потребление 219,0</w:t>
            </w:r>
          </w:p>
          <w:p w14:paraId="5EF8B1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nil"/>
              <w:left w:val="single" w:sz="6" w:space="0" w:color="auto"/>
              <w:bottom w:val="single" w:sz="6" w:space="0" w:color="auto"/>
              <w:right w:val="single" w:sz="12" w:space="0" w:color="auto"/>
            </w:tcBorders>
          </w:tcPr>
          <w:p w14:paraId="05B4F3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252,0 199,0</w:t>
            </w:r>
          </w:p>
          <w:p w14:paraId="09E34E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8A3190D"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0A8609D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Потребление населения и учреждений 457,5</w:t>
            </w:r>
          </w:p>
          <w:p w14:paraId="5333392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6F2500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392,0 400,1</w:t>
            </w:r>
          </w:p>
          <w:p w14:paraId="799DDF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A731BFA" w14:textId="77777777">
        <w:trPr>
          <w:trHeight w:val="240"/>
        </w:trPr>
        <w:tc>
          <w:tcPr>
            <w:tcW w:w="4694" w:type="dxa"/>
            <w:gridSpan w:val="2"/>
            <w:tcBorders>
              <w:top w:val="single" w:sz="6" w:space="0" w:color="auto"/>
              <w:left w:val="single" w:sz="12" w:space="0" w:color="auto"/>
              <w:bottom w:val="single" w:sz="6" w:space="0" w:color="auto"/>
              <w:right w:val="single" w:sz="6" w:space="0" w:color="auto"/>
            </w:tcBorders>
          </w:tcPr>
          <w:p w14:paraId="6404DED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Военные затраты 93,7</w:t>
            </w:r>
          </w:p>
          <w:p w14:paraId="29E6A7A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0BA12E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62,0 64,9</w:t>
            </w:r>
          </w:p>
          <w:p w14:paraId="4D72DC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CB536E0" w14:textId="77777777">
        <w:trPr>
          <w:trHeight w:val="182"/>
        </w:trPr>
        <w:tc>
          <w:tcPr>
            <w:tcW w:w="4694" w:type="dxa"/>
            <w:gridSpan w:val="2"/>
            <w:tcBorders>
              <w:top w:val="single" w:sz="6" w:space="0" w:color="auto"/>
              <w:left w:val="single" w:sz="12" w:space="0" w:color="auto"/>
              <w:bottom w:val="single" w:sz="6" w:space="0" w:color="auto"/>
              <w:right w:val="single" w:sz="6" w:space="0" w:color="auto"/>
            </w:tcBorders>
          </w:tcPr>
          <w:p w14:paraId="3D051E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087709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BDCCF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616DCF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E44C003"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5F06FA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военная продукция 55,1</w:t>
            </w:r>
          </w:p>
          <w:p w14:paraId="29CBAD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5D525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50,5 39,3</w:t>
            </w:r>
          </w:p>
          <w:p w14:paraId="5D039A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3129F4F"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5E872D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Потери общественного продукта 11,1</w:t>
            </w:r>
          </w:p>
          <w:p w14:paraId="02D900A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59FADCD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10,5</w:t>
            </w:r>
          </w:p>
          <w:p w14:paraId="07F6D3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E6EE49E"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1C764C8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Накопление 10,6</w:t>
            </w:r>
          </w:p>
          <w:p w14:paraId="0161AA3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ACAA53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53,0 28,0</w:t>
            </w:r>
          </w:p>
          <w:p w14:paraId="6B3013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334B1532" w14:textId="77777777">
        <w:trPr>
          <w:trHeight w:val="202"/>
        </w:trPr>
        <w:tc>
          <w:tcPr>
            <w:tcW w:w="4694" w:type="dxa"/>
            <w:gridSpan w:val="2"/>
            <w:tcBorders>
              <w:top w:val="single" w:sz="6" w:space="0" w:color="auto"/>
              <w:left w:val="single" w:sz="12" w:space="0" w:color="auto"/>
              <w:bottom w:val="single" w:sz="6" w:space="0" w:color="auto"/>
              <w:right w:val="single" w:sz="6" w:space="0" w:color="auto"/>
            </w:tcBorders>
          </w:tcPr>
          <w:p w14:paraId="6F4555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51F54E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4ACD9C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4D077C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41FDFE48" w14:textId="77777777">
        <w:trPr>
          <w:trHeight w:val="250"/>
        </w:trPr>
        <w:tc>
          <w:tcPr>
            <w:tcW w:w="4694" w:type="dxa"/>
            <w:gridSpan w:val="2"/>
            <w:tcBorders>
              <w:top w:val="single" w:sz="6" w:space="0" w:color="auto"/>
              <w:left w:val="single" w:sz="12" w:space="0" w:color="auto"/>
              <w:bottom w:val="single" w:sz="6" w:space="0" w:color="auto"/>
              <w:right w:val="single" w:sz="6" w:space="0" w:color="auto"/>
            </w:tcBorders>
          </w:tcPr>
          <w:p w14:paraId="6278E16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Прирост основных фондов 29,1</w:t>
            </w:r>
          </w:p>
          <w:p w14:paraId="526BF5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12C0801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46,3 34,7</w:t>
            </w:r>
          </w:p>
          <w:p w14:paraId="7DFF30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245EE869" w14:textId="77777777">
        <w:trPr>
          <w:trHeight w:val="221"/>
        </w:trPr>
        <w:tc>
          <w:tcPr>
            <w:tcW w:w="4694" w:type="dxa"/>
            <w:gridSpan w:val="2"/>
            <w:tcBorders>
              <w:top w:val="single" w:sz="6" w:space="0" w:color="auto"/>
              <w:left w:val="single" w:sz="12" w:space="0" w:color="auto"/>
              <w:bottom w:val="single" w:sz="6" w:space="0" w:color="auto"/>
              <w:right w:val="single" w:sz="6" w:space="0" w:color="auto"/>
            </w:tcBorders>
          </w:tcPr>
          <w:p w14:paraId="4810E36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Прирост запасов -20,5</w:t>
            </w:r>
          </w:p>
          <w:p w14:paraId="4AF0B8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FEA22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-8,7</w:t>
            </w:r>
          </w:p>
          <w:p w14:paraId="244273B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69F6B459"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6806DA4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Прирост резервов 2,0</w:t>
            </w:r>
          </w:p>
          <w:p w14:paraId="69F2048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613" w:type="dxa"/>
            <w:gridSpan w:val="2"/>
            <w:tcBorders>
              <w:top w:val="single" w:sz="6" w:space="0" w:color="auto"/>
              <w:left w:val="single" w:sz="6" w:space="0" w:color="auto"/>
              <w:bottom w:val="single" w:sz="6" w:space="0" w:color="auto"/>
              <w:right w:val="single" w:sz="12" w:space="0" w:color="auto"/>
            </w:tcBorders>
          </w:tcPr>
          <w:p w14:paraId="04A59F1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2,0 2,0</w:t>
            </w:r>
          </w:p>
          <w:p w14:paraId="60D5179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D010DD8" w14:textId="77777777">
        <w:trPr>
          <w:trHeight w:val="230"/>
        </w:trPr>
        <w:tc>
          <w:tcPr>
            <w:tcW w:w="4694" w:type="dxa"/>
            <w:gridSpan w:val="2"/>
            <w:tcBorders>
              <w:top w:val="single" w:sz="6" w:space="0" w:color="auto"/>
              <w:left w:val="single" w:sz="12" w:space="0" w:color="auto"/>
              <w:bottom w:val="single" w:sz="6" w:space="0" w:color="auto"/>
              <w:right w:val="single" w:sz="6" w:space="0" w:color="auto"/>
            </w:tcBorders>
          </w:tcPr>
          <w:p w14:paraId="3871B8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РАСПРЕДЕЛЕНО 753,3</w:t>
            </w:r>
          </w:p>
        </w:tc>
        <w:tc>
          <w:tcPr>
            <w:tcW w:w="1613" w:type="dxa"/>
            <w:gridSpan w:val="2"/>
            <w:tcBorders>
              <w:top w:val="single" w:sz="6" w:space="0" w:color="auto"/>
              <w:left w:val="single" w:sz="6" w:space="0" w:color="auto"/>
              <w:bottom w:val="single" w:sz="6" w:space="0" w:color="auto"/>
              <w:right w:val="single" w:sz="12" w:space="0" w:color="auto"/>
            </w:tcBorders>
          </w:tcPr>
          <w:p w14:paraId="7DCEAE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509,0 676,9</w:t>
            </w:r>
          </w:p>
        </w:tc>
      </w:tr>
      <w:tr w:rsidR="00561F31" w:rsidRPr="00F90EAE" w14:paraId="6B3FCBA7" w14:textId="77777777">
        <w:trPr>
          <w:trHeight w:val="230"/>
        </w:trPr>
        <w:tc>
          <w:tcPr>
            <w:tcW w:w="4694" w:type="dxa"/>
            <w:gridSpan w:val="2"/>
            <w:tcBorders>
              <w:top w:val="single" w:sz="6" w:space="0" w:color="auto"/>
              <w:left w:val="single" w:sz="12" w:space="0" w:color="auto"/>
              <w:bottom w:val="single" w:sz="12" w:space="0" w:color="auto"/>
              <w:right w:val="single" w:sz="6" w:space="0" w:color="auto"/>
            </w:tcBorders>
          </w:tcPr>
          <w:p w14:paraId="2C7D03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НАЦИОНАЛЬНЫЙ ДОХОД 489,6</w:t>
            </w:r>
          </w:p>
        </w:tc>
        <w:tc>
          <w:tcPr>
            <w:tcW w:w="1613" w:type="dxa"/>
            <w:gridSpan w:val="2"/>
            <w:tcBorders>
              <w:top w:val="single" w:sz="6" w:space="0" w:color="auto"/>
              <w:left w:val="single" w:sz="6" w:space="0" w:color="auto"/>
              <w:bottom w:val="single" w:sz="12" w:space="0" w:color="auto"/>
              <w:right w:val="single" w:sz="12" w:space="0" w:color="auto"/>
            </w:tcBorders>
          </w:tcPr>
          <w:p w14:paraId="530B15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475,0 441,4</w:t>
            </w:r>
          </w:p>
        </w:tc>
      </w:tr>
    </w:tbl>
    <w:p w14:paraId="0974C65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Источник: РГАЭ ф.4372, оп.95, д.168, л.45.</w:t>
      </w:r>
    </w:p>
    <w:p w14:paraId="5FE90C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сокращении годового общественного продукта и нацио</w:t>
      </w:r>
      <w:r w:rsidRPr="00F90EAE">
        <w:rPr>
          <w:color w:val="000000" w:themeColor="text1"/>
          <w:sz w:val="16"/>
          <w:szCs w:val="16"/>
        </w:rPr>
        <w:softHyphen/>
        <w:t>нального дохода в 1945 г., увеличение размеров накопления и покрытие военных затрат могло осуществляться за счет тех же источников, что и в период войны, то есть сокращения производ</w:t>
      </w:r>
      <w:r w:rsidRPr="00F90EAE">
        <w:rPr>
          <w:color w:val="000000" w:themeColor="text1"/>
          <w:sz w:val="16"/>
          <w:szCs w:val="16"/>
        </w:rPr>
        <w:softHyphen/>
        <w:t>ственного потребления и потребление населения. Дополнитель</w:t>
      </w:r>
      <w:r w:rsidRPr="00F90EAE">
        <w:rPr>
          <w:color w:val="000000" w:themeColor="text1"/>
          <w:sz w:val="16"/>
          <w:szCs w:val="16"/>
        </w:rPr>
        <w:softHyphen/>
        <w:t>ными источниками накопления и покрытия военных расходов в советской экономике в 1945 г. продолжали оставаться рост цен на товары широкого потребления и кредитная эмиссия Государ</w:t>
      </w:r>
      <w:r w:rsidRPr="00F90EAE">
        <w:rPr>
          <w:color w:val="000000" w:themeColor="text1"/>
          <w:sz w:val="16"/>
          <w:szCs w:val="16"/>
        </w:rPr>
        <w:softHyphen/>
        <w:t>ственного Банка СССР (РГАЭ ф. 4372, оп. 95, д. 78, л. 60).</w:t>
      </w:r>
    </w:p>
    <w:p w14:paraId="0AA3E72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1945 г. возникли проблемы с выполнением утвержден</w:t>
      </w:r>
      <w:r w:rsidRPr="00F90EAE">
        <w:rPr>
          <w:color w:val="000000" w:themeColor="text1"/>
          <w:sz w:val="16"/>
          <w:szCs w:val="16"/>
        </w:rPr>
        <w:softHyphen/>
        <w:t>ного правительством бюджетного плана. Доходы оказались на 8,2 млд. руб. меньше ожидаемых. Расходы союзного бюд</w:t>
      </w:r>
      <w:r w:rsidRPr="00F90EAE">
        <w:rPr>
          <w:color w:val="000000" w:themeColor="text1"/>
          <w:sz w:val="16"/>
          <w:szCs w:val="16"/>
        </w:rPr>
        <w:softHyphen/>
        <w:t>жета сократились, против плана, на 9,6 млд. руб.; при этом рас</w:t>
      </w:r>
      <w:r w:rsidRPr="00F90EAE">
        <w:rPr>
          <w:color w:val="000000" w:themeColor="text1"/>
          <w:sz w:val="16"/>
          <w:szCs w:val="16"/>
        </w:rPr>
        <w:softHyphen/>
        <w:t>ходы на оборону остались на запланированном уровне (98,2 млд. руб. или 54,3% от общей суммы расходной части бюджета страны) (РГАЭ ф. 4372, оп. 94, д. 1453, л. 43). Таким образом, последний год войны и начало Первого года мирной жизни для экономики СССР ознаменова</w:t>
      </w:r>
      <w:r w:rsidRPr="00F90EAE">
        <w:rPr>
          <w:color w:val="000000" w:themeColor="text1"/>
          <w:sz w:val="16"/>
          <w:szCs w:val="16"/>
        </w:rPr>
        <w:softHyphen/>
        <w:t>лись глубоким кризисом, который, на самом деле, являлся про</w:t>
      </w:r>
      <w:r w:rsidRPr="00F90EAE">
        <w:rPr>
          <w:color w:val="000000" w:themeColor="text1"/>
          <w:sz w:val="16"/>
          <w:szCs w:val="16"/>
        </w:rPr>
        <w:softHyphen/>
        <w:t>должением общего экономического спада, обусловленного гиган</w:t>
      </w:r>
      <w:r w:rsidRPr="00F90EAE">
        <w:rPr>
          <w:color w:val="000000" w:themeColor="text1"/>
          <w:sz w:val="16"/>
          <w:szCs w:val="16"/>
        </w:rPr>
        <w:softHyphen/>
        <w:t>тскими экономическими потерями и военными затратами 1941-1945 годов (1566).</w:t>
      </w:r>
    </w:p>
    <w:p w14:paraId="4CE89C1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12B7EF2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поставили на вооружение ж. д. бригады обе ж. д. батареи, которые финны восстановили после их подрыва отступающей КА на Ханко и в сентябре 1944 возвратили в СССР (3861).</w:t>
      </w:r>
    </w:p>
    <w:p w14:paraId="355F5143" w14:textId="77777777" w:rsidR="00C2313B" w:rsidRPr="00F90EAE" w:rsidRDefault="00C2313B" w:rsidP="00F90EAE">
      <w:pPr>
        <w:autoSpaceDE w:val="0"/>
        <w:autoSpaceDN w:val="0"/>
        <w:adjustRightInd w:val="0"/>
        <w:jc w:val="both"/>
        <w:rPr>
          <w:color w:val="000000" w:themeColor="text1"/>
          <w:sz w:val="16"/>
          <w:szCs w:val="16"/>
        </w:rPr>
      </w:pPr>
    </w:p>
    <w:p w14:paraId="24BD4EDC"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начале 1945 года ГБТУ Красной Армии разработало тактико-технические требования для проектирования нового тяжелого танка мощного бронирования. В феврале того же года приказом наркома танковой промышленности разработка такой боевой машины поручалась конструкторскому бюро Челябинского Кировского завода под руководством Н.Л. Духова и КБ опытного завода № 100 Ж.Я. Котина. Предполагалось создать машину с бронированием, обеспечивающим защиту от снарядов танковой и противотанковой артиллерии противника калибром 88-128-мм с начальной скоростью 1200 м/с. В качестве вооружения предусматривалось использование 122-мм пушки большой мощности или 152-мм орудия. Новый танк должен был иметь дизель в 1000–1200 л.с., обеспечивающий скорость до 60 км/ч, механическую планетарную или электромеханическую трансмиссию.</w:t>
      </w:r>
    </w:p>
    <w:p w14:paraId="0D870765"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Челябинский Кировский завода, загруженный работами по обеспечению серийного выпуска танков ИС-2 и самоходок, а также доведению и испытанию своего нового танка «объект 701», сильно затянул с проектированием. Его вариант машины мощного бронирования был готов лишь осенью 1946 года. Этот танк, получивший обозначение «объект 705», представлял собой 100-тонную машину с экипажем из пяти человек, вооруженную 130 или 152-мм орудием и пятью пулеметами (три 14,5-мм и четыре 7,62-мм). В качестве силовой установки планировалось использовать дизель мощностью 1800–2000 л.с., проектированием которого занимался двигательный отдел ЧКЗ под руководством И.Я. Трашутина. Однако из-за работ по подготовке к серийному выпуску танка ИС-4 и его последующей доработке, завершение проектирования «объекта 705» передвинулось сначала на осень 1947 года, затем — на 1948-й. А в октябре 1949 года все работы по «объекту 705» прекратили (17434).</w:t>
      </w:r>
    </w:p>
    <w:p w14:paraId="10336D62" w14:textId="77777777" w:rsidR="00092917" w:rsidRPr="00F90EAE" w:rsidRDefault="00092917" w:rsidP="00F90EAE">
      <w:pPr>
        <w:pStyle w:val="ae"/>
        <w:spacing w:before="0" w:after="0"/>
        <w:jc w:val="both"/>
        <w:rPr>
          <w:color w:val="000000" w:themeColor="text1"/>
          <w:sz w:val="16"/>
          <w:szCs w:val="16"/>
        </w:rPr>
      </w:pPr>
    </w:p>
    <w:p w14:paraId="1FF80B3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заводом № 112 и НИИ-627 для проведения всесторонних испытаний были изготовлены 4 опытных танка Т-34-85 со стабилизатором "Таран". Результаты испытаний были использованы уже после окончания Великой Отечественной войны при создании однопплоскостного стабилизатора "Горизонт" для 100-мм пушки среднего танка Т-54 (10703).</w:t>
      </w:r>
    </w:p>
    <w:p w14:paraId="09D302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F1FCA7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проходили испытания 4-х специально пе</w:t>
      </w:r>
      <w:r w:rsidRPr="00F90EAE">
        <w:rPr>
          <w:color w:val="000000" w:themeColor="text1"/>
          <w:sz w:val="16"/>
          <w:szCs w:val="16"/>
        </w:rPr>
        <w:softHyphen/>
        <w:t>реоборудованных танков, оснащенных стабилизаторами (названные разработчиком Т-34-85-СТ). Испытания показали многообещающие результаты. Стабилизатор облег</w:t>
      </w:r>
      <w:r w:rsidRPr="00F90EAE">
        <w:rPr>
          <w:color w:val="000000" w:themeColor="text1"/>
          <w:sz w:val="16"/>
          <w:szCs w:val="16"/>
        </w:rPr>
        <w:softHyphen/>
        <w:t>чал наводчику операцию вертикальной наводки орудия в движении по слабопересеченной местности, а условия про</w:t>
      </w:r>
      <w:r w:rsidRPr="00F90EAE">
        <w:rPr>
          <w:color w:val="000000" w:themeColor="text1"/>
          <w:sz w:val="16"/>
          <w:szCs w:val="16"/>
        </w:rPr>
        <w:softHyphen/>
        <w:t>ведения стрельб на ходу приближались к таковым с места. Однако стабилизатор работал еще не вполне надежно, а его эксплуатация была под силу только подготовленному экипажу. Поэтому на вооружение он не принимался (11135).</w:t>
      </w:r>
    </w:p>
    <w:p w14:paraId="01A810F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79F17B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заводом № 112 для проведения полигонных ис</w:t>
      </w:r>
      <w:r w:rsidRPr="00F90EAE">
        <w:rPr>
          <w:color w:val="000000" w:themeColor="text1"/>
          <w:sz w:val="16"/>
          <w:szCs w:val="16"/>
        </w:rPr>
        <w:softHyphen/>
        <w:t>пытаний была выпущена опытная партия из пяти танков Т-34-85, осна</w:t>
      </w:r>
      <w:r w:rsidRPr="00F90EAE">
        <w:rPr>
          <w:color w:val="000000" w:themeColor="text1"/>
          <w:sz w:val="16"/>
          <w:szCs w:val="16"/>
        </w:rPr>
        <w:softHyphen/>
        <w:t>щенных этим одноплоскостным стабилизатором. Из-за больших разме</w:t>
      </w:r>
      <w:r w:rsidRPr="00F90EAE">
        <w:rPr>
          <w:color w:val="000000" w:themeColor="text1"/>
          <w:sz w:val="16"/>
          <w:szCs w:val="16"/>
        </w:rPr>
        <w:softHyphen/>
        <w:t>ров узлов и механизмов силовые стабилизаторы не были установлены в серийных танках (10703).</w:t>
      </w:r>
    </w:p>
    <w:p w14:paraId="1D5D8E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92B64A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начале 1945 г. на завод № 183 были поставлены два восьмишпиндельных полуавтомата «Буллард». Начиная с этого момента механический цех на заводе мог сам изготавливать все новые 5-скоростные КПП самостоятельно, а не получать детали для их сборки по кооперации с других предприятий.</w:t>
      </w:r>
    </w:p>
    <w:p w14:paraId="00C2561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Была внедрена технология расточки бандажей до диамет</w:t>
      </w:r>
      <w:r w:rsidRPr="00F90EAE">
        <w:rPr>
          <w:color w:val="000000" w:themeColor="text1"/>
          <w:sz w:val="16"/>
          <w:szCs w:val="16"/>
        </w:rPr>
        <w:softHyphen/>
        <w:t>ра 660 мм без предварительной черновой обработки. В част</w:t>
      </w:r>
      <w:r w:rsidRPr="00F90EAE">
        <w:rPr>
          <w:color w:val="000000" w:themeColor="text1"/>
          <w:sz w:val="16"/>
          <w:szCs w:val="16"/>
        </w:rPr>
        <w:softHyphen/>
        <w:t>ности все необходимые для наварки шин канавки на глубину 60% от установленной формировались за один проход (11135).</w:t>
      </w:r>
    </w:p>
    <w:p w14:paraId="3A6CAD1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63A3F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w:t>
      </w:r>
      <w:r w:rsidRPr="00F90EAE">
        <w:rPr>
          <w:color w:val="000000" w:themeColor="text1"/>
          <w:sz w:val="16"/>
          <w:szCs w:val="16"/>
        </w:rPr>
        <w:softHyphen/>
        <w:t>чале 1945 г. в целях дальнейшего усиления огневой мощи средних танков завод № 183 изготовил и испытал опытный образец средне</w:t>
      </w:r>
      <w:r w:rsidRPr="00F90EAE">
        <w:rPr>
          <w:color w:val="000000" w:themeColor="text1"/>
          <w:sz w:val="16"/>
          <w:szCs w:val="16"/>
        </w:rPr>
        <w:softHyphen/>
        <w:t>го танка со 100-мм пушкой ЛБ-1, разработанной заводом № 92. В фев</w:t>
      </w:r>
      <w:r w:rsidRPr="00F90EAE">
        <w:rPr>
          <w:color w:val="000000" w:themeColor="text1"/>
          <w:sz w:val="16"/>
          <w:szCs w:val="16"/>
        </w:rPr>
        <w:softHyphen/>
        <w:t>рале 1945 г. завод № 9 спроектировал и изготовил 100-мм нарезную пушку Д- ЮТ,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F90EAE">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339F953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C2CDC77" w14:textId="77777777" w:rsidR="00573476" w:rsidRPr="00F90EAE" w:rsidRDefault="00573476" w:rsidP="00F90EAE">
      <w:pPr>
        <w:jc w:val="both"/>
        <w:rPr>
          <w:color w:val="000000" w:themeColor="text1"/>
          <w:sz w:val="16"/>
          <w:szCs w:val="16"/>
        </w:rPr>
      </w:pPr>
      <w:r w:rsidRPr="00F90EAE">
        <w:rPr>
          <w:color w:val="000000" w:themeColor="text1"/>
          <w:sz w:val="16"/>
          <w:szCs w:val="16"/>
        </w:rPr>
        <w:t>В начале 1945 года новый танк поручивший обозначение Т-34-100, изготовили, а с 28 февраля по 2 марта в нем испытывалась стрельбой (1000 выстрелов) и возкой (500 километров пробега) 100-мм пушка ЗИС-100 завода № 92 НКВ. В выводах об испытаниях говорилось:</w:t>
      </w:r>
    </w:p>
    <w:p w14:paraId="30128784" w14:textId="77777777" w:rsidR="00573476" w:rsidRPr="00F90EAE" w:rsidRDefault="00573476" w:rsidP="00F90EAE">
      <w:pPr>
        <w:jc w:val="both"/>
        <w:rPr>
          <w:color w:val="000000" w:themeColor="text1"/>
          <w:sz w:val="16"/>
          <w:szCs w:val="16"/>
        </w:rPr>
      </w:pPr>
      <w:r w:rsidRPr="00F90EAE">
        <w:rPr>
          <w:color w:val="000000" w:themeColor="text1"/>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51E594F7" w14:textId="77777777" w:rsidR="00573476" w:rsidRPr="00F90EAE" w:rsidRDefault="00573476" w:rsidP="00F90EAE">
      <w:pPr>
        <w:jc w:val="both"/>
        <w:rPr>
          <w:color w:val="000000" w:themeColor="text1"/>
          <w:sz w:val="16"/>
          <w:szCs w:val="16"/>
        </w:rPr>
      </w:pPr>
      <w:r w:rsidRPr="00F90EAE">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6F90A28A" w14:textId="77777777" w:rsidR="00573476" w:rsidRPr="00F90EAE" w:rsidRDefault="00573476" w:rsidP="00F90EAE">
      <w:pPr>
        <w:jc w:val="both"/>
        <w:rPr>
          <w:color w:val="000000" w:themeColor="text1"/>
          <w:sz w:val="16"/>
          <w:szCs w:val="16"/>
        </w:rPr>
      </w:pPr>
      <w:r w:rsidRPr="00F90EAE">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1AB88E08" w14:textId="77777777" w:rsidR="00573476" w:rsidRPr="00F90EAE" w:rsidRDefault="00573476" w:rsidP="00F90EAE">
      <w:pPr>
        <w:jc w:val="both"/>
        <w:rPr>
          <w:color w:val="000000" w:themeColor="text1"/>
          <w:sz w:val="16"/>
          <w:szCs w:val="16"/>
        </w:rPr>
      </w:pPr>
      <w:r w:rsidRPr="00F90EAE">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артсистемы для новых типов средних танков, а Т-34-100 - как стенд для испытания 100-мм орудий (12217).</w:t>
      </w:r>
    </w:p>
    <w:p w14:paraId="352D9329" w14:textId="77777777" w:rsidR="00573476" w:rsidRPr="00F90EAE" w:rsidRDefault="00573476" w:rsidP="00F90EAE">
      <w:pPr>
        <w:jc w:val="both"/>
        <w:rPr>
          <w:color w:val="000000" w:themeColor="text1"/>
          <w:sz w:val="16"/>
          <w:szCs w:val="16"/>
        </w:rPr>
      </w:pPr>
    </w:p>
    <w:p w14:paraId="307365F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были продолжены дальнейшие работы по созданию электромеханических трансмис</w:t>
      </w:r>
      <w:r w:rsidRPr="00F90EAE">
        <w:rPr>
          <w:color w:val="000000" w:themeColor="text1"/>
          <w:sz w:val="16"/>
          <w:szCs w:val="16"/>
        </w:rPr>
        <w:softHyphen/>
        <w:t>сий в нашей стране, когда начались проектные работы над новым тяжелым танком ИС-7. Было разработано несколько проектов тяжелого танка с электромеханической трансмис</w:t>
      </w:r>
      <w:r w:rsidRPr="00F90EAE">
        <w:rPr>
          <w:color w:val="000000" w:themeColor="text1"/>
          <w:sz w:val="16"/>
          <w:szCs w:val="16"/>
        </w:rPr>
        <w:softHyphen/>
        <w:t>сией. Проекты этих машин получили заводское обозначение "Объект 257", "Объект 259", "Объект 260" и "Объект 261". В трансмиссиях этих машин планировалось использование тяговых реверсивных электро</w:t>
      </w:r>
      <w:r w:rsidRPr="00F90EAE">
        <w:rPr>
          <w:color w:val="000000" w:themeColor="text1"/>
          <w:sz w:val="16"/>
          <w:szCs w:val="16"/>
        </w:rPr>
        <w:softHyphen/>
        <w:t>двигателей постоянного тока с электропитанием независимых обмоток возбуждения от электромашинных усилителей. Изменение передаточ</w:t>
      </w:r>
      <w:r w:rsidRPr="00F90EAE">
        <w:rPr>
          <w:color w:val="000000" w:themeColor="text1"/>
          <w:sz w:val="16"/>
          <w:szCs w:val="16"/>
        </w:rPr>
        <w:softHyphen/>
        <w:t>ных чисел трансмиссии в разработанных проектах было выполнено сту</w:t>
      </w:r>
      <w:r w:rsidRPr="00F90EAE">
        <w:rPr>
          <w:color w:val="000000" w:themeColor="text1"/>
          <w:sz w:val="16"/>
          <w:szCs w:val="16"/>
        </w:rPr>
        <w:softHyphen/>
        <w:t>пенчатым (по типу управления танка ЭКВ). Управление осуществля</w:t>
      </w:r>
      <w:r w:rsidRPr="00F90EAE">
        <w:rPr>
          <w:color w:val="000000" w:themeColor="text1"/>
          <w:sz w:val="16"/>
          <w:szCs w:val="16"/>
        </w:rPr>
        <w:softHyphen/>
        <w:t>лось за счет переключения двух тяговых электродвигателей либо после</w:t>
      </w:r>
      <w:r w:rsidRPr="00F90EAE">
        <w:rPr>
          <w:color w:val="000000" w:themeColor="text1"/>
          <w:sz w:val="16"/>
          <w:szCs w:val="16"/>
        </w:rPr>
        <w:softHyphen/>
        <w:t>довательно, либо параллельно. В проекте танка "Объект 260" был при</w:t>
      </w:r>
      <w:r w:rsidRPr="00F90EAE">
        <w:rPr>
          <w:color w:val="000000" w:themeColor="text1"/>
          <w:sz w:val="16"/>
          <w:szCs w:val="16"/>
        </w:rPr>
        <w:softHyphen/>
        <w:t>менен один тяговый двигатель, что значительно упростило электрическую схему, так как поворот машины осуществлялся с помощью ПМП. В проекте танка "Объект 261" использовался блок двух дизелей и тягово</w:t>
      </w:r>
      <w:r w:rsidRPr="00F90EAE">
        <w:rPr>
          <w:color w:val="000000" w:themeColor="text1"/>
          <w:sz w:val="16"/>
          <w:szCs w:val="16"/>
        </w:rPr>
        <w:softHyphen/>
        <w:t>го генератора ГТ-261. Проекты этих машин не были воплощены в ме</w:t>
      </w:r>
      <w:r w:rsidRPr="00F90EAE">
        <w:rPr>
          <w:color w:val="000000" w:themeColor="text1"/>
          <w:sz w:val="16"/>
          <w:szCs w:val="16"/>
        </w:rPr>
        <w:softHyphen/>
        <w:t>талле. Дальнейшие работы по созданию электромеханической транс</w:t>
      </w:r>
      <w:r w:rsidRPr="00F90EAE">
        <w:rPr>
          <w:color w:val="000000" w:themeColor="text1"/>
          <w:sz w:val="16"/>
          <w:szCs w:val="16"/>
        </w:rPr>
        <w:softHyphen/>
        <w:t>миссии для тяжелого отечественного танка были продолжены уже по</w:t>
      </w:r>
      <w:r w:rsidRPr="00F90EAE">
        <w:rPr>
          <w:color w:val="000000" w:themeColor="text1"/>
          <w:sz w:val="16"/>
          <w:szCs w:val="16"/>
        </w:rPr>
        <w:softHyphen/>
        <w:t>сле войны в ходе дальнейших работ по танку "Объект 701" и разработ</w:t>
      </w:r>
      <w:r w:rsidRPr="00F90EAE">
        <w:rPr>
          <w:color w:val="000000" w:themeColor="text1"/>
          <w:sz w:val="16"/>
          <w:szCs w:val="16"/>
        </w:rPr>
        <w:softHyphen/>
        <w:t>ки для него электромеханической трансмиссии ЭМТ-701. Одновременно с опытно-конструкторскими работами по созданию тяжелого танка на заводе № 100 в конструкторском бюро ЧКЗ по своей инициативе, начиная с июля 1943 г. на основании тактико-технических требований ГБТУ была начата ОКР по созданию нового тяжелого тан</w:t>
      </w:r>
      <w:r w:rsidRPr="00F90EAE">
        <w:rPr>
          <w:color w:val="000000" w:themeColor="text1"/>
          <w:sz w:val="16"/>
          <w:szCs w:val="16"/>
        </w:rPr>
        <w:softHyphen/>
        <w:t>ка, который получил заводское обозначение, отличное от ранее установ</w:t>
      </w:r>
      <w:r w:rsidRPr="00F90EAE">
        <w:rPr>
          <w:color w:val="000000" w:themeColor="text1"/>
          <w:sz w:val="16"/>
          <w:szCs w:val="16"/>
        </w:rPr>
        <w:softHyphen/>
        <w:t>ленных для ЧКЗ и завода № 100 - "Объект 701". Завод поставил перед собой задачу — сделать новый тяжелый танк, который по своим БТХ, конструктивному оформлению превосходил бы как отечественные, так и иностранные тяжелые танки. В проектировании танка также прини</w:t>
      </w:r>
      <w:r w:rsidRPr="00F90EAE">
        <w:rPr>
          <w:color w:val="000000" w:themeColor="text1"/>
          <w:sz w:val="16"/>
          <w:szCs w:val="16"/>
        </w:rPr>
        <w:softHyphen/>
        <w:t>мали участие группы конструкторов по трансмиссии - из МВТУ им. Баумана и по вооружению — из ЦАКБ НКВ. Эскизный проект нового танка был утвержден 10 декабря 1943 г. (10703).</w:t>
      </w:r>
    </w:p>
    <w:p w14:paraId="561B4E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0A27727" w14:textId="77777777" w:rsidR="001E5A84" w:rsidRPr="00F90EAE" w:rsidRDefault="001E5A84" w:rsidP="00F90EAE">
      <w:pPr>
        <w:shd w:val="clear" w:color="auto" w:fill="FFFFFF"/>
        <w:jc w:val="both"/>
        <w:rPr>
          <w:color w:val="000000" w:themeColor="text1"/>
          <w:sz w:val="16"/>
          <w:szCs w:val="16"/>
        </w:rPr>
      </w:pPr>
      <w:r w:rsidRPr="00F90EAE">
        <w:rPr>
          <w:color w:val="000000" w:themeColor="text1"/>
          <w:sz w:val="16"/>
          <w:szCs w:val="16"/>
        </w:rPr>
        <w:t>По состоянию на начало 1945 года работы по ИС-6 оказались свёрнуты, и завод №100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НКТП! Не последнюю роль в этих напряжённых отношениях сыграла история с ИС-6, который столь упрямо проталкивался Котиным и который при этом всё равно проиграл Объекту 701 (16735).</w:t>
      </w:r>
    </w:p>
    <w:p w14:paraId="23C208E2" w14:textId="77777777" w:rsidR="001E5A84" w:rsidRPr="00F90EAE" w:rsidRDefault="001E5A84" w:rsidP="00F90EAE">
      <w:pPr>
        <w:jc w:val="both"/>
        <w:rPr>
          <w:rStyle w:val="107"/>
          <w:rFonts w:eastAsiaTheme="minorHAnsi"/>
          <w:color w:val="000000" w:themeColor="text1"/>
          <w:sz w:val="16"/>
          <w:szCs w:val="16"/>
        </w:rPr>
      </w:pPr>
    </w:p>
    <w:p w14:paraId="65DB875D" w14:textId="77777777" w:rsidR="00712FB3" w:rsidRPr="00F90EAE" w:rsidRDefault="00712FB3" w:rsidP="00F90EAE">
      <w:pPr>
        <w:jc w:val="both"/>
        <w:rPr>
          <w:color w:val="000000" w:themeColor="text1"/>
          <w:sz w:val="16"/>
          <w:szCs w:val="16"/>
        </w:rPr>
      </w:pPr>
      <w:r w:rsidRPr="00F90EAE">
        <w:rPr>
          <w:color w:val="000000" w:themeColor="text1"/>
          <w:sz w:val="16"/>
          <w:szCs w:val="16"/>
        </w:rPr>
        <w:t>В начале 1945 года началось боевое применение СУ-100. Организационно полки, вооружённые СУ-100, имели ту же структуру, что и самоходные артиллерийские полки (САП), оснащавшиеся СУ-85. По штату №010/462 в полку имелась 21 машина (четыре батареи по пять машин в каждой плюс командирская машина). Так как производство СУ-100 началось в сентябре 1944 года, а фактические поставки в войска — ближе к ноябрю, эта машина оказалась куда менее заметным явлением на поле боя. На дату боевого дебюта СУ-100 повлияли и выявившиеся дефекты, прежде всего, выход из строя передних опорных катков. Также поступали жалобы на различные детали орудийной установки, а также трещины, проявлявшиеся в месте стыка бортов рубки и «косынок».</w:t>
      </w:r>
    </w:p>
    <w:p w14:paraId="31E4DCA5" w14:textId="77777777" w:rsidR="00712FB3" w:rsidRPr="00F90EAE" w:rsidRDefault="00712FB3" w:rsidP="00F90EAE">
      <w:pPr>
        <w:jc w:val="both"/>
        <w:rPr>
          <w:color w:val="000000" w:themeColor="text1"/>
          <w:sz w:val="16"/>
          <w:szCs w:val="16"/>
        </w:rPr>
      </w:pPr>
      <w:r w:rsidRPr="00F90EAE">
        <w:rPr>
          <w:color w:val="000000" w:themeColor="text1"/>
          <w:sz w:val="16"/>
          <w:szCs w:val="16"/>
        </w:rPr>
        <w:t>Одними из первых СУ-100 применили САП, входившие в состав 1-го Гвардейского танкового корпуса. Это произошло в начале января 1945 года во время боёв в Венгрии. К 5 января в состав корпуса вошли 1453-й САП, 1821-й САП и 382-й ГвСАП, имевшие на вооружении новые САУ. Впервые новые машины по-настоящему показали себя 11 января, когда, по данным командования корпуса, немцы перешли в контратаку, поддерживая пехоту танками численностью до 100 штук. Силами 1453-го и 1821-го САП было сожжено 20 танков. В дальнейших боях, проходивших </w:t>
      </w:r>
      <w:hyperlink r:id="rId17" w:history="1">
        <w:r w:rsidRPr="00F90EAE">
          <w:rPr>
            <w:rStyle w:val="a5"/>
            <w:color w:val="000000" w:themeColor="text1"/>
            <w:sz w:val="16"/>
            <w:szCs w:val="16"/>
          </w:rPr>
          <w:t>на подступах к Будапешту</w:t>
        </w:r>
      </w:hyperlink>
      <w:r w:rsidRPr="00F90EAE">
        <w:rPr>
          <w:color w:val="000000" w:themeColor="text1"/>
          <w:sz w:val="16"/>
          <w:szCs w:val="16"/>
        </w:rPr>
        <w:t>, СУ-100 показали себя хорошо, но в своём отчёте 1-й корпус указывал и на ряд недостатков (в основном это касалось трещин в корпусе и проблемы с передними опорными катками). Также самоходчики жаловались на прицел ТШ-19 — часть машин была выпуска сентября-октября 1944 года, когда ещё не полностью решили проблему с прицелами.</w:t>
      </w:r>
    </w:p>
    <w:p w14:paraId="33F161F6" w14:textId="77777777" w:rsidR="00712FB3" w:rsidRPr="00F90EAE" w:rsidRDefault="00712FB3" w:rsidP="00F90EAE">
      <w:pPr>
        <w:jc w:val="both"/>
        <w:rPr>
          <w:color w:val="000000" w:themeColor="text1"/>
          <w:sz w:val="16"/>
          <w:szCs w:val="16"/>
        </w:rPr>
      </w:pPr>
      <w:r w:rsidRPr="00F90EAE">
        <w:rPr>
          <w:color w:val="000000" w:themeColor="text1"/>
          <w:sz w:val="16"/>
          <w:szCs w:val="16"/>
        </w:rPr>
        <w:t>В ходе оборонительных боёв выявилась острая необходимость в пулемётном вооружении. Мнения по этому вопросу разделились: часть экипажей предлагала сделать пулемёт спаренным с орудием (как на танках), другие предлагали поставить его на турель. Другое дело, что само наличие пулемёта даже не обсуждалось. 8 января 382-й ГвСАП потерял 10 СУ-100 в результате атаки вражеской пехоты, от которой оказалось нечем отбиваться. В результате полк потерял половину машин, даже не вступив в бой с вражеской бронетехникой.</w:t>
      </w:r>
    </w:p>
    <w:p w14:paraId="4E47E0CD" w14:textId="77777777" w:rsidR="00712FB3" w:rsidRPr="00F90EAE" w:rsidRDefault="00712FB3" w:rsidP="00F90EAE">
      <w:pPr>
        <w:jc w:val="both"/>
        <w:rPr>
          <w:color w:val="000000" w:themeColor="text1"/>
          <w:sz w:val="16"/>
          <w:szCs w:val="16"/>
        </w:rPr>
      </w:pPr>
      <w:r w:rsidRPr="00F90EAE">
        <w:rPr>
          <w:color w:val="000000" w:themeColor="text1"/>
          <w:sz w:val="16"/>
          <w:szCs w:val="16"/>
        </w:rPr>
        <w:t>Во время сражений за Венгрию СУ-100 использовались довольно интенсивно. Так, эти машины участвовали и в отражении немецкого контрнаступления </w:t>
      </w:r>
      <w:hyperlink r:id="rId18" w:history="1">
        <w:r w:rsidRPr="00F90EAE">
          <w:rPr>
            <w:rStyle w:val="a5"/>
            <w:color w:val="000000" w:themeColor="text1"/>
            <w:sz w:val="16"/>
            <w:szCs w:val="16"/>
          </w:rPr>
          <w:t>в районе озера Балатон</w:t>
        </w:r>
      </w:hyperlink>
      <w:r w:rsidRPr="00F90EAE">
        <w:rPr>
          <w:color w:val="000000" w:themeColor="text1"/>
          <w:sz w:val="16"/>
          <w:szCs w:val="16"/>
        </w:rPr>
        <w:t>. Среди частей, отражавших контрнаступление, был 912-й САП из состава 207-й самоходной артиллерийской бригады (бывшая 1-я Краснознаменная танковая бригада). В бой полк пошёл 8 марта 1945 года, а 11 марта занял оборонительную позицию в районе Кишвеленце. На следующий день началась атака немецких танков. В результате атаки немцы потеряли девять танков и до 70 солдат убитыми, а 912-й САП — две СУ-100 сгоревшими и две подбитыми (двое самоходчиков было убито, 17 ранено). Такие потери отрезвили немцев, и вплоть до 18 марта позиции 912-го САП они не атаковали.</w:t>
      </w:r>
    </w:p>
    <w:p w14:paraId="3687E86C" w14:textId="77777777" w:rsidR="00712FB3" w:rsidRPr="00F90EAE" w:rsidRDefault="00712FB3" w:rsidP="00F90EAE">
      <w:pPr>
        <w:jc w:val="both"/>
        <w:rPr>
          <w:color w:val="000000" w:themeColor="text1"/>
          <w:sz w:val="16"/>
          <w:szCs w:val="16"/>
        </w:rPr>
      </w:pPr>
      <w:r w:rsidRPr="00F90EAE">
        <w:rPr>
          <w:color w:val="000000" w:themeColor="text1"/>
          <w:sz w:val="16"/>
          <w:szCs w:val="16"/>
        </w:rPr>
        <w:t>20 марта полк совместно с 34-й СД пошёл в атаку. В ходе боя с 14-ю немецкими танками самоходчики уничтожили семь танков (из них одна «Пантера») и две «Пантеры» подбили. Всего в ходе наступления 20–22 марта полк уничтожил семь танков и два подбил, потеряв пять СУ-100 сгоревшими и одну подбитую (пять самоходчиков было убито, 26 ранено). Далее последовали бои за канал Раба и город Шопрон. За период с 23 по 30 марта самоходчики уничтожили ещё шесть танков и САУ, четыре БТР, 14 противотанковых пушек и до батальона пехоты. Собственные потери составили одну СУ-100 сгоревшей, три подорвались на мине, сгорел бронеавтомобиль БА-10 (шесть самоходчиков погибло, девять было ранено).</w:t>
      </w:r>
    </w:p>
    <w:p w14:paraId="16EC49CF" w14:textId="77777777" w:rsidR="00712FB3" w:rsidRPr="00F90EAE" w:rsidRDefault="00712FB3" w:rsidP="00F90EAE">
      <w:pPr>
        <w:jc w:val="both"/>
        <w:rPr>
          <w:color w:val="000000" w:themeColor="text1"/>
          <w:sz w:val="16"/>
          <w:szCs w:val="16"/>
        </w:rPr>
      </w:pPr>
      <w:r w:rsidRPr="00F90EAE">
        <w:rPr>
          <w:color w:val="000000" w:themeColor="text1"/>
          <w:sz w:val="16"/>
          <w:szCs w:val="16"/>
        </w:rPr>
        <w:t>912-й САП воевал до 15 апреля, потеряв за более чем месяц боёв 15 СУ-100 сгоревшими и 1 СУ-100 подбитой (убит 21 и ранено 87 самоходчиков). В ходе боевых действий полк получил пополнение в виде пяти СУ-100. Оставшиеся в строю десять машин были сданы в 208-ю самоходную артиллерийскую бригаду. В свою очередь, 912-й САП отчитался о 39 уничтоженных танках и САУ, 30 БТР и 55 орудиях. Также было захвачено 20 вражеских танков, до 40 тягачей, 17 орудий и до 500 солдат, включая венгерских (18252).</w:t>
      </w:r>
    </w:p>
    <w:p w14:paraId="01D8441F" w14:textId="77777777" w:rsidR="00712FB3" w:rsidRPr="00F90EAE" w:rsidRDefault="00712FB3" w:rsidP="00F90EAE">
      <w:pPr>
        <w:jc w:val="both"/>
        <w:rPr>
          <w:color w:val="000000" w:themeColor="text1"/>
          <w:sz w:val="16"/>
          <w:szCs w:val="16"/>
        </w:rPr>
      </w:pPr>
    </w:p>
    <w:p w14:paraId="60BA1C65"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По состоянию на начало 1945 года работы по ИС-6 в КБ опытного завода №100 оказались свернуты, и завод в основном 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19" w:history="1">
        <w:r w:rsidRPr="00F90EAE">
          <w:rPr>
            <w:rStyle w:val="a5"/>
            <w:color w:val="000000" w:themeColor="text1"/>
            <w:sz w:val="16"/>
            <w:szCs w:val="16"/>
          </w:rPr>
          <w:t>наркома танковой промышленности В.А. Малышева</w:t>
        </w:r>
      </w:hyperlink>
      <w:r w:rsidRPr="00F90EAE">
        <w:rPr>
          <w:color w:val="000000" w:themeColor="text1"/>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5EE0454E" w14:textId="77777777" w:rsidR="00FA59CB" w:rsidRPr="00F90EAE" w:rsidRDefault="00FA59CB" w:rsidP="00F90EAE">
      <w:pPr>
        <w:pStyle w:val="ae"/>
        <w:shd w:val="clear" w:color="auto" w:fill="FFFFFF"/>
        <w:spacing w:before="0" w:after="0"/>
        <w:jc w:val="both"/>
        <w:rPr>
          <w:color w:val="000000" w:themeColor="text1"/>
          <w:sz w:val="16"/>
          <w:szCs w:val="16"/>
        </w:rPr>
      </w:pPr>
    </w:p>
    <w:p w14:paraId="5CCFA06B" w14:textId="77777777" w:rsidR="00712FB3" w:rsidRPr="00F90EAE" w:rsidRDefault="00712FB3" w:rsidP="00F90EAE">
      <w:pPr>
        <w:jc w:val="both"/>
        <w:rPr>
          <w:color w:val="000000" w:themeColor="text1"/>
          <w:sz w:val="16"/>
          <w:szCs w:val="16"/>
        </w:rPr>
      </w:pPr>
      <w:r w:rsidRPr="00F90EAE">
        <w:rPr>
          <w:color w:val="000000" w:themeColor="text1"/>
          <w:sz w:val="16"/>
          <w:szCs w:val="16"/>
        </w:rPr>
        <w:t>С начала 1945 года, запустили разработку самоходной установки с использованием шасси «Кировца-1». Как и в случае с ИСУ-152, ведущим инженером машины являлся Л.С. Троянов. В переписке завода данная машина проходила как «Кировец-2», при этом машина получила чертёжный индекс 704 (также использовалось обозначение Объект 704). В отечественной литературе данную машину нередко называют ИСУ-152 обр.1945 года, но это не более чем послевоенное «изобретение». С большой долей вероятности придумали этот индекс в Кубинке, где Объект 704 всё ещё хранится как музейный экспонат (18636).</w:t>
      </w:r>
    </w:p>
    <w:p w14:paraId="244A15F8" w14:textId="77777777" w:rsidR="00712FB3" w:rsidRPr="00F90EAE" w:rsidRDefault="00712FB3" w:rsidP="00F90EAE">
      <w:pPr>
        <w:jc w:val="both"/>
        <w:rPr>
          <w:color w:val="000000" w:themeColor="text1"/>
          <w:sz w:val="16"/>
          <w:szCs w:val="16"/>
        </w:rPr>
      </w:pPr>
    </w:p>
    <w:p w14:paraId="4939908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1945 г. автозаво</w:t>
      </w:r>
      <w:r w:rsidRPr="00F90EAE">
        <w:rPr>
          <w:color w:val="000000" w:themeColor="text1"/>
          <w:sz w:val="16"/>
          <w:szCs w:val="16"/>
        </w:rPr>
        <w:softHyphen/>
        <w:t>дом был изготовлен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F90EAE">
        <w:rPr>
          <w:color w:val="000000" w:themeColor="text1"/>
          <w:sz w:val="16"/>
          <w:szCs w:val="16"/>
        </w:rPr>
        <w:softHyphen/>
        <w:t>лась модернизированным вариантом СУ-85А, который в апреле - мае 1945 г. ус</w:t>
      </w:r>
      <w:r w:rsidRPr="00F90EAE">
        <w:rPr>
          <w:color w:val="000000" w:themeColor="text1"/>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F90EAE">
        <w:rPr>
          <w:color w:val="000000" w:themeColor="text1"/>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406B59A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715BFD43" w14:textId="77777777" w:rsidR="005C1F60" w:rsidRPr="00F90EAE" w:rsidRDefault="005C1F60" w:rsidP="00F90EAE">
      <w:pPr>
        <w:pStyle w:val="ae"/>
        <w:spacing w:before="0" w:after="0"/>
        <w:jc w:val="both"/>
        <w:textAlignment w:val="baseline"/>
        <w:rPr>
          <w:color w:val="000000" w:themeColor="text1"/>
          <w:sz w:val="16"/>
          <w:szCs w:val="16"/>
        </w:rPr>
      </w:pPr>
      <w:r w:rsidRPr="00F90EAE">
        <w:rPr>
          <w:color w:val="000000" w:themeColor="text1"/>
          <w:sz w:val="16"/>
          <w:szCs w:val="16"/>
        </w:rPr>
        <w:t>В начале 1945 года в бой пошли СУ-100, имевшие лучшую защиту лобовой части и куда более мощные орудия. Но СУ-85 оставались основными советскими САУ до самого конца войны. Эти машины, в том числе некоторое количество СУ-85М, оказались и на вооружении Войска Польского. После войны эти машины состояли на вооружении польской армии вместе с СУ-100. Именно в Польше до наших дней сохранилось больше всего комплектных машин этого типа. Кроме двух уцелевших СУ-85, в военном музее города Познань имеется единственная сохранившаяся СУ-85М. Всего же до наших дней в том или ином виде дожило 11 СУ-85. Наиболее интересный экземпляр находится в Тбилиси. Это единственная сохранившаяся СУ-85 выпуска 1943 года (17719).</w:t>
      </w:r>
    </w:p>
    <w:p w14:paraId="710FF51D" w14:textId="77777777" w:rsidR="005C1F60" w:rsidRPr="00F90EAE" w:rsidRDefault="005C1F60" w:rsidP="00F90EAE">
      <w:pPr>
        <w:jc w:val="both"/>
        <w:rPr>
          <w:rStyle w:val="107"/>
          <w:rFonts w:eastAsiaTheme="minorHAnsi"/>
          <w:color w:val="000000" w:themeColor="text1"/>
          <w:sz w:val="16"/>
          <w:szCs w:val="16"/>
        </w:rPr>
      </w:pPr>
    </w:p>
    <w:p w14:paraId="0C3B4A75" w14:textId="77777777" w:rsidR="006C4B00" w:rsidRPr="00F90EAE" w:rsidRDefault="006C4B00" w:rsidP="00F90EAE">
      <w:pPr>
        <w:jc w:val="both"/>
        <w:rPr>
          <w:color w:val="000000" w:themeColor="text1"/>
          <w:sz w:val="16"/>
          <w:szCs w:val="16"/>
        </w:rPr>
      </w:pPr>
      <w:r w:rsidRPr="00F90EAE">
        <w:rPr>
          <w:color w:val="000000" w:themeColor="text1"/>
          <w:sz w:val="16"/>
          <w:szCs w:val="16"/>
        </w:rPr>
        <w:t>В начале 1945 года НКВ возложил работы по 85-мм орудию для СУ-76М на Центральное артиллерийское конструкторское бюро (ЦАКБ). Там для проведения опытных работ затребовали серийную СУ-76М. Чем закончилась эта история, не совсем понятно, но собственную установку 85-мм орудия ЦАКБ разработало. Данная работа получила обозначение С-68. К сожалению, эскизного проекта не сохранилось, но, судя по описанию, С-68 мало отличалась от установки СУ-76М. В конструкцию рубки вносились изменения, связанные с установкой более громоздкой системы. С-68 также имела дульный тормоз, но длина отката получилась существенно большей — 900 мм. Плюсом являлся меньший вес: качающаяся часть СУ-68 имела массу 895 кг, а качающаяся часть ЛБ-2 — 1390 кг. ЛБ-2 ставилась в рамке, а С-68 на вертлюге. Вместо телескопического прицела ТШ-15 предполагалось использовать перископический прицел 10Т. Боекомплект САУ с орудием С-68 должен был состоять из 40 патронов калибра 85 мм.</w:t>
      </w:r>
    </w:p>
    <w:p w14:paraId="59A413CA" w14:textId="77777777" w:rsidR="006C4B00" w:rsidRPr="00F90EAE" w:rsidRDefault="006C4B00" w:rsidP="00F90EAE">
      <w:pPr>
        <w:jc w:val="both"/>
        <w:rPr>
          <w:color w:val="000000" w:themeColor="text1"/>
          <w:sz w:val="16"/>
          <w:szCs w:val="16"/>
        </w:rPr>
      </w:pPr>
      <w:r w:rsidRPr="00F90EAE">
        <w:rPr>
          <w:color w:val="000000" w:themeColor="text1"/>
          <w:sz w:val="16"/>
          <w:szCs w:val="16"/>
        </w:rPr>
        <w:t>Проект ЦАКБ так и остался на бумаге: летом 1945 года от него отказались и в ГАУ, и в ГБТУ, поскольку он уступал ЛБ-2.</w:t>
      </w:r>
    </w:p>
    <w:p w14:paraId="06980973" w14:textId="77777777" w:rsidR="006C4B00" w:rsidRPr="00F90EAE" w:rsidRDefault="006C4B00" w:rsidP="00F90EAE">
      <w:pPr>
        <w:jc w:val="both"/>
        <w:rPr>
          <w:color w:val="000000" w:themeColor="text1"/>
          <w:sz w:val="16"/>
          <w:szCs w:val="16"/>
        </w:rPr>
      </w:pPr>
      <w:r w:rsidRPr="00F90EAE">
        <w:rPr>
          <w:color w:val="000000" w:themeColor="text1"/>
          <w:sz w:val="16"/>
          <w:szCs w:val="16"/>
        </w:rPr>
        <w:t>Как и в СУ-85А, орудие ЛБ-2 устанавливалось с некоторым смещением влево. Правда, смещение стало меньшим: 125 мм вместо 175 мм у Д-5С-85А. Прицельный механизм остался прежним — ломающийся телескопический прицел ТШ-15. Орудийная установка и рубка снова подверглись переделкам. Особенно они были заметны сзади. Вместо невысокого заднего люка появилась полноценная дверь, которая одновременно служила укладкой для пяти патронов к ЛБ-2.</w:t>
      </w:r>
    </w:p>
    <w:p w14:paraId="11AF24D2" w14:textId="77777777" w:rsidR="006C4B00" w:rsidRPr="00F90EAE" w:rsidRDefault="006C4B00" w:rsidP="00F90EAE">
      <w:pPr>
        <w:jc w:val="both"/>
        <w:rPr>
          <w:color w:val="000000" w:themeColor="text1"/>
          <w:sz w:val="16"/>
          <w:szCs w:val="16"/>
        </w:rPr>
      </w:pPr>
      <w:r w:rsidRPr="00F90EAE">
        <w:rPr>
          <w:color w:val="000000" w:themeColor="text1"/>
          <w:sz w:val="16"/>
          <w:szCs w:val="16"/>
        </w:rPr>
        <w:t>Обзорность улучшилась: командир машины получил новый смотровой прибор в лобовом листе рубки, имевший призму по типу командирской башенки американского среднего танка M4A2(76)W. Также переделке подверглись перископические смотровые приборы. Наконец, были учтены замечания к размещению боекомплекта. Из 43 патронов калибра 85 мм в основной укладке перед наводчиком находились 24 штуки. Остальные удалось разместить на правом борту рубки и её корме. Это улучшило условия работы заряжающего.</w:t>
      </w:r>
    </w:p>
    <w:p w14:paraId="07244DEE" w14:textId="77777777" w:rsidR="006C4B00" w:rsidRPr="00F90EAE" w:rsidRDefault="006C4B00" w:rsidP="00F90EAE">
      <w:pPr>
        <w:jc w:val="both"/>
        <w:rPr>
          <w:color w:val="000000" w:themeColor="text1"/>
          <w:sz w:val="16"/>
          <w:szCs w:val="16"/>
        </w:rPr>
      </w:pPr>
      <w:r w:rsidRPr="00F90EAE">
        <w:rPr>
          <w:color w:val="000000" w:themeColor="text1"/>
          <w:sz w:val="16"/>
          <w:szCs w:val="16"/>
        </w:rPr>
        <w:t>Переделка машины в СУ-85Б была закончена к 28 марта 1945 года.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16CE5B6F" w14:textId="77777777" w:rsidR="006C4B00" w:rsidRPr="00F90EAE" w:rsidRDefault="006C4B00" w:rsidP="00F90EAE">
      <w:pPr>
        <w:jc w:val="both"/>
        <w:rPr>
          <w:color w:val="000000" w:themeColor="text1"/>
          <w:sz w:val="16"/>
          <w:szCs w:val="16"/>
        </w:rPr>
      </w:pPr>
      <w:r w:rsidRPr="00F90EAE">
        <w:rPr>
          <w:color w:val="000000" w:themeColor="text1"/>
          <w:sz w:val="16"/>
          <w:szCs w:val="16"/>
        </w:rPr>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05967F1B" w14:textId="77777777" w:rsidR="006C4B00" w:rsidRPr="00F90EAE" w:rsidRDefault="006C4B00" w:rsidP="00F90EAE">
      <w:pPr>
        <w:jc w:val="both"/>
        <w:rPr>
          <w:color w:val="000000" w:themeColor="text1"/>
          <w:sz w:val="16"/>
          <w:szCs w:val="16"/>
        </w:rPr>
      </w:pPr>
      <w:r w:rsidRPr="00F90EAE">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7996D0BF" w14:textId="77777777" w:rsidR="006C4B00" w:rsidRPr="00F90EAE" w:rsidRDefault="006C4B00" w:rsidP="00F90EAE">
      <w:pPr>
        <w:jc w:val="both"/>
        <w:rPr>
          <w:color w:val="000000" w:themeColor="text1"/>
          <w:sz w:val="16"/>
          <w:szCs w:val="16"/>
        </w:rPr>
      </w:pPr>
      <w:r w:rsidRPr="00F90EAE">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9D33A75" w14:textId="77777777" w:rsidR="006C4B00" w:rsidRPr="00F90EAE" w:rsidRDefault="006C4B00" w:rsidP="00F90EAE">
      <w:pPr>
        <w:jc w:val="both"/>
        <w:rPr>
          <w:color w:val="000000" w:themeColor="text1"/>
          <w:sz w:val="16"/>
          <w:szCs w:val="16"/>
        </w:rPr>
      </w:pPr>
    </w:p>
    <w:p w14:paraId="277652C7" w14:textId="77777777" w:rsidR="00712FB3" w:rsidRPr="00F90EAE" w:rsidRDefault="00712FB3" w:rsidP="00F90EAE">
      <w:pPr>
        <w:jc w:val="both"/>
        <w:rPr>
          <w:color w:val="000000" w:themeColor="text1"/>
          <w:sz w:val="16"/>
          <w:szCs w:val="16"/>
        </w:rPr>
      </w:pPr>
      <w:r w:rsidRPr="00F90EAE">
        <w:rPr>
          <w:color w:val="000000" w:themeColor="text1"/>
          <w:sz w:val="16"/>
          <w:szCs w:val="16"/>
        </w:rPr>
        <w:t>В начале 1945 года в процесс модернизации СУ-76 включились конструкторы ГАЗ им. Молотова под руководством Н.А. Астрова. Техническое совещание 12 января 1945 года рассмотрело проекты модернизации, предложенные этим предприятием и заводом №40. Более удачной признали разработку ГАЗ. Она основывалась на опыте, полученном при создании самоходной установки СУ-85А. При этом конструкция лючков и установки пулемёта была позаимствована у разработки КБ завода №40. К 25 января 1945 года ожидалась подготовка чертежей, а с 15 февраля заводы №176 и №177 обязали выпускать корпуса нового типа.</w:t>
      </w:r>
    </w:p>
    <w:p w14:paraId="01525F95" w14:textId="77777777" w:rsidR="00712FB3" w:rsidRPr="00F90EAE" w:rsidRDefault="00712FB3" w:rsidP="00F90EAE">
      <w:pPr>
        <w:jc w:val="both"/>
        <w:rPr>
          <w:color w:val="000000" w:themeColor="text1"/>
          <w:sz w:val="16"/>
          <w:szCs w:val="16"/>
        </w:rPr>
      </w:pPr>
      <w:r w:rsidRPr="00F90EAE">
        <w:rPr>
          <w:color w:val="000000" w:themeColor="text1"/>
          <w:sz w:val="16"/>
          <w:szCs w:val="16"/>
        </w:rPr>
        <w:t>В финальном варианте высота кормового листа увеличивалась на 360 мм, а вырезы в бортах рубки ликвидировались. Кормовой люк (дверца) увеличивалась по высоте на 360 мм вверх и на 210 мм вниз. Как и на модернизации завода №40, в бортах и корме имелись амбразуры для пулемёта ДТ с откидывающимися лючками. Соответственно, появился и сам пулемёт ДТ, крепление для него, укладка на девять дисков, две брезентовые сумки, где хранилось ещё шесть дисков, а также приспособления для установки в амбразурах или на перекладине. Количество гнёзд в стеллажах для дисков ППШ сократилось до 4 штук. Смотровой прибор командира переделали, чтобы можно было легко его откинуть и поставить пулемёт.</w:t>
      </w:r>
    </w:p>
    <w:p w14:paraId="50298EF3" w14:textId="77777777" w:rsidR="00712FB3" w:rsidRPr="00F90EAE" w:rsidRDefault="00712FB3" w:rsidP="00F90EAE">
      <w:pPr>
        <w:jc w:val="both"/>
        <w:rPr>
          <w:color w:val="000000" w:themeColor="text1"/>
          <w:sz w:val="16"/>
          <w:szCs w:val="16"/>
        </w:rPr>
      </w:pPr>
      <w:r w:rsidRPr="00F90EAE">
        <w:rPr>
          <w:color w:val="000000" w:themeColor="text1"/>
          <w:sz w:val="16"/>
          <w:szCs w:val="16"/>
        </w:rPr>
        <w:t>Существенным отличием от конструкции завода №40 стало появление изменённого тента. Появилась специальная откидная конструкция в виде дуги, которая позволяла быстро, без выхода экипажа из боевого отделения, откинуть тент в боевое положение. Это оказалось очень кстати в ситуациях, когда машине нужно было прямо с марша вступить в бой. Также вместо единого заднего сиденья появились два раздельных.</w:t>
      </w:r>
    </w:p>
    <w:p w14:paraId="655DE67B" w14:textId="77777777" w:rsidR="00712FB3" w:rsidRPr="00F90EAE" w:rsidRDefault="00712FB3" w:rsidP="00F90EAE">
      <w:pPr>
        <w:jc w:val="both"/>
        <w:rPr>
          <w:color w:val="000000" w:themeColor="text1"/>
          <w:sz w:val="16"/>
          <w:szCs w:val="16"/>
        </w:rPr>
      </w:pPr>
      <w:r w:rsidRPr="00F90EAE">
        <w:rPr>
          <w:color w:val="000000" w:themeColor="text1"/>
          <w:sz w:val="16"/>
          <w:szCs w:val="16"/>
        </w:rPr>
        <w:t>Первоначально предполагалось, что корпусные заводы смогут начать поставки модернизированных корпусов СУ-76М с 1 марта 1945 года. Но работы затянулись. На подготовку к запуску в серию новых корпусов требовалось время, кроме того, у выпускавших корпуса предприятий, в том числе и у самого ГАЗ им. Молотова, имелся существенный задел по старым корпусам. Первые модернизированные корпуса стали поступать на ГАЗ им. Молотова только к концу марта 1945 года. На заводе №40 ситуация развивалась аналогично.</w:t>
      </w:r>
    </w:p>
    <w:p w14:paraId="5E5FD8B2" w14:textId="77777777" w:rsidR="00712FB3" w:rsidRPr="00F90EAE" w:rsidRDefault="00712FB3" w:rsidP="00F90EAE">
      <w:pPr>
        <w:jc w:val="both"/>
        <w:rPr>
          <w:color w:val="000000" w:themeColor="text1"/>
          <w:sz w:val="16"/>
          <w:szCs w:val="16"/>
        </w:rPr>
      </w:pPr>
      <w:r w:rsidRPr="00F90EAE">
        <w:rPr>
          <w:color w:val="000000" w:themeColor="text1"/>
          <w:sz w:val="16"/>
          <w:szCs w:val="16"/>
        </w:rPr>
        <w:t>Оба завода перешли к производству СУ-76М с модернизированным боевым отделением в апреле 1945 года.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1E09009A" w14:textId="77777777" w:rsidR="00712FB3" w:rsidRPr="00F90EAE" w:rsidRDefault="00712FB3" w:rsidP="00F90EAE">
      <w:pPr>
        <w:jc w:val="both"/>
        <w:rPr>
          <w:color w:val="000000" w:themeColor="text1"/>
          <w:sz w:val="16"/>
          <w:szCs w:val="16"/>
        </w:rPr>
      </w:pPr>
    </w:p>
    <w:p w14:paraId="5A68E8E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захваченную в Венгрии САУ “Хетцер” испытывали совместно с СУ-576, причем в заключении говорилось: “Таким образом, немецкий опыт танкостроения показывает, что применение малоразмерных безбашенных танков в современной войне полностью себя оправдало... Сравнение немецкого безбашенного танка типа “оса” с машиной СУ-576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танка оборонительного пулемета с возможностью ведения огня из-за брони... К недостаткам СУ-576 можно отнести отсутствие в ее боекомплекте мощного осколочного или осколочно-фугасного снаряда... ” (5742, 14).</w:t>
      </w:r>
    </w:p>
    <w:p w14:paraId="05BC321A" w14:textId="77777777" w:rsidR="00C2313B" w:rsidRPr="00F90EAE" w:rsidRDefault="00C2313B" w:rsidP="00F90EAE">
      <w:pPr>
        <w:autoSpaceDE w:val="0"/>
        <w:autoSpaceDN w:val="0"/>
        <w:adjustRightInd w:val="0"/>
        <w:jc w:val="both"/>
        <w:rPr>
          <w:color w:val="000000" w:themeColor="text1"/>
          <w:sz w:val="16"/>
          <w:szCs w:val="16"/>
        </w:rPr>
      </w:pPr>
    </w:p>
    <w:p w14:paraId="1FDAC1CD" w14:textId="77777777" w:rsidR="00712FB3" w:rsidRPr="00F90EAE" w:rsidRDefault="00712FB3" w:rsidP="00F90EAE">
      <w:pPr>
        <w:jc w:val="both"/>
        <w:rPr>
          <w:color w:val="000000" w:themeColor="text1"/>
          <w:sz w:val="16"/>
          <w:szCs w:val="16"/>
        </w:rPr>
      </w:pPr>
      <w:r w:rsidRPr="00F90EAE">
        <w:rPr>
          <w:color w:val="000000" w:themeColor="text1"/>
          <w:sz w:val="16"/>
          <w:szCs w:val="16"/>
        </w:rPr>
        <w:t>В начале 1945 года, захваченную в Венгрии САУ "Хетцер" испытывали совместно с СУ-57б, причем в заключении говорилось:</w:t>
      </w:r>
    </w:p>
    <w:p w14:paraId="26498B59" w14:textId="77777777" w:rsidR="00712FB3" w:rsidRPr="00F90EAE" w:rsidRDefault="00712FB3" w:rsidP="00F90EAE">
      <w:pPr>
        <w:jc w:val="both"/>
        <w:rPr>
          <w:color w:val="000000" w:themeColor="text1"/>
          <w:sz w:val="16"/>
          <w:szCs w:val="16"/>
        </w:rPr>
      </w:pPr>
      <w:r w:rsidRPr="00F90EAE">
        <w:rPr>
          <w:color w:val="000000" w:themeColor="text1"/>
          <w:sz w:val="16"/>
          <w:szCs w:val="16"/>
        </w:rPr>
        <w:t xml:space="preserve">"Таким образом, немецкий опыт </w:t>
      </w:r>
      <w:hyperlink r:id="rId20" w:tgtFrame="_blank" w:history="1">
        <w:r w:rsidRPr="00F90EAE">
          <w:rPr>
            <w:color w:val="000000" w:themeColor="text1"/>
            <w:sz w:val="16"/>
            <w:szCs w:val="16"/>
          </w:rPr>
          <w:t>танк</w:t>
        </w:r>
      </w:hyperlink>
      <w:r w:rsidRPr="00F90EAE">
        <w:rPr>
          <w:color w:val="000000" w:themeColor="text1"/>
          <w:sz w:val="16"/>
          <w:szCs w:val="16"/>
        </w:rPr>
        <w:t xml:space="preserve">остроения показывает, что применение малоразмерных безбашенных </w:t>
      </w:r>
      <w:hyperlink r:id="rId21" w:tgtFrame="_blank" w:history="1">
        <w:r w:rsidRPr="00F90EAE">
          <w:rPr>
            <w:color w:val="000000" w:themeColor="text1"/>
            <w:sz w:val="16"/>
            <w:szCs w:val="16"/>
          </w:rPr>
          <w:t>танк</w:t>
        </w:r>
      </w:hyperlink>
      <w:r w:rsidRPr="00F90EAE">
        <w:rPr>
          <w:color w:val="000000" w:themeColor="text1"/>
          <w:sz w:val="16"/>
          <w:szCs w:val="16"/>
        </w:rPr>
        <w:t xml:space="preserve">ов в современной войне полностью себя оправдало... Сравнение немецкого безбашенного </w:t>
      </w:r>
      <w:hyperlink r:id="rId22" w:tgtFrame="_blank" w:history="1">
        <w:r w:rsidRPr="00F90EAE">
          <w:rPr>
            <w:color w:val="000000" w:themeColor="text1"/>
            <w:sz w:val="16"/>
            <w:szCs w:val="16"/>
          </w:rPr>
          <w:t>танк</w:t>
        </w:r>
      </w:hyperlink>
      <w:r w:rsidRPr="00F90EAE">
        <w:rPr>
          <w:color w:val="000000" w:themeColor="text1"/>
          <w:sz w:val="16"/>
          <w:szCs w:val="16"/>
        </w:rPr>
        <w:t xml:space="preserve">а типа "оса" с машиной СУ-57б горьковского завода, имеющими сходную массу, показывает некоторые преимущества отечественной машины, связанные с применением дизель-мотора... Весьма удачным следует считать установку на крыше немецкого </w:t>
      </w:r>
      <w:hyperlink r:id="rId23" w:tgtFrame="_blank" w:history="1">
        <w:r w:rsidRPr="00F90EAE">
          <w:rPr>
            <w:color w:val="000000" w:themeColor="text1"/>
            <w:sz w:val="16"/>
            <w:szCs w:val="16"/>
          </w:rPr>
          <w:t>танк</w:t>
        </w:r>
      </w:hyperlink>
      <w:r w:rsidRPr="00F90EAE">
        <w:rPr>
          <w:color w:val="000000" w:themeColor="text1"/>
          <w:sz w:val="16"/>
          <w:szCs w:val="16"/>
        </w:rPr>
        <w:t>а оборонительного пулемета с возможностью ведения огня из-за брони... К недостаткам СУ-57б можно отнести отсутствие в ее боекомплекте мощного осколочного или осколочно-фугасного снаряда..." (15642).</w:t>
      </w:r>
    </w:p>
    <w:p w14:paraId="6E739FCF" w14:textId="77777777" w:rsidR="00712FB3" w:rsidRPr="00F90EAE" w:rsidRDefault="00712FB3" w:rsidP="00F90EAE">
      <w:pPr>
        <w:jc w:val="both"/>
        <w:rPr>
          <w:color w:val="000000" w:themeColor="text1"/>
          <w:sz w:val="16"/>
          <w:szCs w:val="16"/>
        </w:rPr>
      </w:pPr>
    </w:p>
    <w:p w14:paraId="64C6B72B"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С начала 1945 года до конца июля на НИИБТ полигоне повторно изучался M4A2E8. К моменту, когда испытания подходили к концу, поставки танков этого типа закончились, в СССР начали приходить более совершенные M4A2E8. Столь долгий срок испытаний оказался связан с тем, что сверху пришло указание о длительном ресурсном пробеге. Теперь речь шла не просто о более глубоком изучении машины, а о полноценных испытаниях. Столь радикальное изменение задания появилось неспроста: боевая масса танка выросла с 30,9 до 34,1 тонн, что не могло не повлиять на его динамические характеристики и надежность.</w:t>
      </w:r>
    </w:p>
    <w:p w14:paraId="366DC6E9"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 xml:space="preserve">Помимо выросшей боевой массы, заинтересовали руководство ГБТУ КА и другие технические особенности танка. Как и в случае с советским Т-34–85, M4A2(76)W был не просто танком предыдущего образца с новой пушкой. Машина имела совершенно новую башню, которая, помимо большего размера, отличалась целым рядом иных особенностей. Прежде всего, речь идет о новой командирской башенке D82183. Она заинтересовала специалистов настолько, что ей был посвящен отдельный </w:t>
      </w:r>
      <w:r w:rsidRPr="00F90EAE">
        <w:rPr>
          <w:color w:val="000000" w:themeColor="text1"/>
          <w:sz w:val="16"/>
          <w:szCs w:val="16"/>
        </w:rPr>
        <w:lastRenderedPageBreak/>
        <w:t>отчет, подготовленный в конце декабря 1944 года. Каждый из смотровых приборов, установленных на ней, обеспечивал обзорность в пределах 145 градусов по горизонтали и до 90 градусов по вертикали. Также здесь имелся перископ, установленный в башенном люке. Насколько башенка понравилась советским специалистам, можно судить по заключению:</w:t>
      </w:r>
    </w:p>
    <w:p w14:paraId="2C74ADC4" w14:textId="77777777" w:rsidR="005C1F60" w:rsidRPr="00F90EAE" w:rsidRDefault="005C1F60" w:rsidP="00F90EAE">
      <w:pPr>
        <w:shd w:val="clear" w:color="auto" w:fill="FFFFFF"/>
        <w:jc w:val="both"/>
        <w:rPr>
          <w:color w:val="000000" w:themeColor="text1"/>
          <w:sz w:val="16"/>
          <w:szCs w:val="16"/>
        </w:rPr>
      </w:pPr>
      <w:r w:rsidRPr="00F90EAE">
        <w:rPr>
          <w:iCs/>
          <w:color w:val="000000" w:themeColor="text1"/>
          <w:sz w:val="16"/>
          <w:szCs w:val="16"/>
        </w:rPr>
        <w:t>«1. Рекомендовать командирскую башенку американского модернизированного танка М4А2 для установки на отечественных танках, как наиболее полно отвечающую тактико-техническим требованиям, предъявляемым к танковым командирским башенкам.</w:t>
      </w:r>
    </w:p>
    <w:p w14:paraId="133AF8DF" w14:textId="77777777" w:rsidR="005C1F60" w:rsidRPr="00F90EAE" w:rsidRDefault="005C1F60" w:rsidP="00F90EAE">
      <w:pPr>
        <w:shd w:val="clear" w:color="auto" w:fill="FFFFFF"/>
        <w:jc w:val="both"/>
        <w:rPr>
          <w:color w:val="000000" w:themeColor="text1"/>
          <w:sz w:val="16"/>
          <w:szCs w:val="16"/>
        </w:rPr>
      </w:pPr>
      <w:r w:rsidRPr="00F90EAE">
        <w:rPr>
          <w:iCs/>
          <w:color w:val="000000" w:themeColor="text1"/>
          <w:sz w:val="16"/>
          <w:szCs w:val="16"/>
        </w:rPr>
        <w:t>2. Наружные и внутренние габариты командирской башенки позволяют установку ее на танках Т-34 и ИС».</w:t>
      </w:r>
    </w:p>
    <w:p w14:paraId="586A2D1F"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 xml:space="preserve">И хотя башенка эта в чистом виде так на наши танки не попала, ее конструкция оставила свой след в отечественном танкостроении. Особенно это касается смотровых приборов, которые обеспечивали хороший обзор. Практически в неизменном виде они использовались на одном из образцов танка </w:t>
      </w:r>
      <w:hyperlink r:id="rId24" w:history="1">
        <w:r w:rsidRPr="00F90EAE">
          <w:rPr>
            <w:color w:val="000000" w:themeColor="text1"/>
            <w:sz w:val="16"/>
            <w:szCs w:val="16"/>
          </w:rPr>
          <w:t>ИС-7</w:t>
        </w:r>
      </w:hyperlink>
      <w:r w:rsidRPr="00F90EAE">
        <w:rPr>
          <w:color w:val="000000" w:themeColor="text1"/>
          <w:sz w:val="16"/>
          <w:szCs w:val="16"/>
        </w:rPr>
        <w:t>, они же применялись и на БТР-152.</w:t>
      </w:r>
    </w:p>
    <w:p w14:paraId="7C51DB3F"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Неплохой оказалась и общая обзорность модернизированного американского танка. Помимо двух перископов, установленных на крыше отделения управления, имелось еще по одному перископу в люках механика-водителя и его помощника. Непросматриваемое вперед пространство составляло всего 6 метров, что для танка немного. Кроме того, сиденья имели регулировку по высоте, так что в походном положении механик-водитель мог ехать, высунувшись из люка. Вполне достаточным оказался и обзор с мест наводчика и заряжающего, также имевших перископические приборы.</w:t>
      </w:r>
    </w:p>
    <w:p w14:paraId="6B54E9AF"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Более подробного описания удостоилось и размещение боеприпасов внутри танка. Боекомплект снизился до 71 выстрела. Из них 6 находилось в укладке на полу башни, они использовались в первую очередь. Основной же боекомплект находился под полом башни в специальных кассетах. С правой стороны боеприпасы находились в наклонных кассетах по 5 выстрелов в каждой (всего 35 штук), причем доставать их более сподручно было помощнику механика-водителя. Еще 30 выстрелов находились слева по ходу движения, эта укладка являлась основной для заряжающего. Мокрыми укладки назывались по той причине, что между кассетам размещались специальные бачки. Летом они заполнялась водой, а зимой – антифризом. Это заметно снижало вероятность детонации боеукладки при попадании вражеского снаряда.</w:t>
      </w:r>
    </w:p>
    <w:p w14:paraId="3395CAB2"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Специалисты НИБТ Полигона оценили подобную укладку неоднозначно. С одной стороны, перевод боекомплекта из надгусеничных полок на пол боевого отделения, а также система «мокрой» укладки снизили уязвимость танка от вражеских снарядов. Также укладки получились простыми по конструкции, а заодно теоретически повысилось удобство их использования. Однако в некоторых положениях башни укладками становилось пользоваться очень неудобно, а для выемки выстрелов из укладки с правой стороны приходилось отвлекать помощника механика-водителя.</w:t>
      </w:r>
    </w:p>
    <w:p w14:paraId="148DECB4"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Как бы то ни было, новая укладка заставила американских инженеров отказаться от полика и ограждения башни. Это было скорее плюсом, потому как в ряде случаев ограждение становилось смертельной ловушкой для экипажа, который не мог выбраться из машины. Подобное изменение испытатели причислили к положительным сторонам новой машины.</w:t>
      </w:r>
    </w:p>
    <w:p w14:paraId="23BE674C"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Как уже упоминалось, программу испытаний танка серьезно изменили. Это было связано с тем, что в ГБТУ КА решили проверить реальность ресурса танка, определенного производителем в размере 300 моточасов или 2000 км. Общий километраж ходовых испытаний был установлен в 3000 км, из них 100 км танк должен был пройти по шоссе, 1700 по проселочным дорогам в зимних условиях, а оставшиеся 1200 – по проселку в весенних условиях.</w:t>
      </w:r>
    </w:p>
    <w:p w14:paraId="5A8D8109"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Также в программу испытаний входило определение максимальной скорости танка. Она составила 51,4 км/ч, то есть даже больше, чем паспортная (48 км/ч). Для сравнения, летом 1943 года М4А2 на резино-металлических гусеницах развил скорость 50 км/ч. Средняя скорость танка по шоссе составила 26 км/ч, а расход топлива – 330 литров на 100 километров. Это было в 2 раза больше, чем у обычного М4А2, но более высокий расход топлива объяснялся сложными дорожными условиями. Это же касалось и низкой средней скорости, которая у М4А2 составила 39,7 км/ч.</w:t>
      </w:r>
    </w:p>
    <w:p w14:paraId="019C197B"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Подобное объяснение подтверждается показателями движения на проселочных дорогах. Для М4А2 средняя скорость по проселку составила 20 км/ч, а расход топлива 246 литров. Зимой те же показатели составили 22,4 км/ч и 268 литров соответственно. Что же касается М4А2–76 мм, то для него средняя техническая скорость составила 19,2 км/ч по весеннему проселку, и 15,8 км/ч по зимней проселочной дороге, покрытой снегом глубиной до 0,8 метра. Учитывая характер местности, это вполне достойные показатели. Расход топлива по заснеженному проселку составил 371 литр на 100 километров, а по весеннему – до 410 литров на 100 километров. Как можно заметить, разница между шоссе и проселком оказалась небольшой.</w:t>
      </w:r>
    </w:p>
    <w:p w14:paraId="5C8A23AD"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В программу испытаний попало и преодоление склонов. Зимой для американского танка непреодолимым стал подъем крутизной 22 градуса, а летом танку удалось преодолеть подъем крутизной 26 градусов. Испытания движения по косогору выявили, что зимой максимальный крен составляет 12 градусов, а летом 20 градусов. Во многом ограничивающим проходимость фактором стали траки T49, не обеспечивавшие надежного сцепления с грунтом. Свою лепту вносила и особенность работы механизма поворота с двойным дифференциалом, который допускал пробуксовку на скользком грунте. Испытания в виде буксировки Т-34–85 показали, что М4А2–76 мм может тащить этот танк на второй-третьей передачах со средней скоростью 9,5 км/ч, при этом расход топлива вырастал до 490 литров на 100 километров.</w:t>
      </w:r>
    </w:p>
    <w:p w14:paraId="3A879331"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Надежность танка оказалась вполне соответствующей указанным данным. Без проблем, впрочем, не обошлось. На 949-м километре испытаний вышел из строя правый двигатель. Случилось это потому, что мотор работал в перегрузочном режиме – танк преодолевал тяжелую заснеженную проселочную дорогу. Второй мотор проработал 2126 километров, после чего ему потребовался небольшой ремонт. Проблемы вызвала и работа ходовой части. Начиная с 1339-го километра началось разрушение бандажей опорных катков, в основном это касалось тех катков, которые находились ближе к кормовой части. Гораздо надежнее оказались траки – до начала частых разрывов лент они выдержали 3120 километров. Также имел место износ венцов ведущих колес, требовали замены пружины.</w:t>
      </w:r>
    </w:p>
    <w:p w14:paraId="7E26A0F4"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В целом итоги испытаний показали, что американский танк после модернизации не ухудшился с точки зрения надежности. Исключение составляли отдельные элементы ходовой части. С другой стороны, установка более мощного орудия значительно повысила эффективность машины на поле боя. Для сравнения, 75-мм пушка пробивала бортовую броню «Тигра» на дистанции 500 метров, а новое орудие делало то же самое на дистанции 2,5 километра. Также отмечалось значительное улучшение обзорности. Испытания стрельбой показали, что пушка имеет хорошую кучность и точность боя. Понравился испытателям и гидравлический привод поворота башни. Наличие гироскопического стабилизатора увеличило точность орудия при стрельбе с ходу на скорости 15 км/ч в 2 раза, а на скорости 25 км/ч – в 5–6 раз. Одним словом, модернизация явно удалась (17678).</w:t>
      </w:r>
    </w:p>
    <w:p w14:paraId="2AF9AEE5" w14:textId="77777777" w:rsidR="005C1F60" w:rsidRPr="00F90EAE" w:rsidRDefault="005C1F60" w:rsidP="00F90EAE">
      <w:pPr>
        <w:jc w:val="both"/>
        <w:rPr>
          <w:rStyle w:val="107"/>
          <w:rFonts w:eastAsiaTheme="minorHAnsi"/>
          <w:color w:val="000000" w:themeColor="text1"/>
          <w:sz w:val="16"/>
          <w:szCs w:val="16"/>
        </w:rPr>
      </w:pPr>
    </w:p>
    <w:p w14:paraId="47B76394" w14:textId="77777777" w:rsidR="005C1F60" w:rsidRPr="00F90EAE" w:rsidRDefault="005C1F60" w:rsidP="00F90EAE">
      <w:pPr>
        <w:shd w:val="clear" w:color="auto" w:fill="FFFFFF"/>
        <w:jc w:val="both"/>
        <w:rPr>
          <w:color w:val="000000" w:themeColor="text1"/>
          <w:sz w:val="16"/>
          <w:szCs w:val="16"/>
        </w:rPr>
      </w:pPr>
      <w:r w:rsidRPr="00F90EAE">
        <w:rPr>
          <w:color w:val="000000" w:themeColor="text1"/>
          <w:sz w:val="16"/>
          <w:szCs w:val="16"/>
        </w:rPr>
        <w:t>В начале 1945 года был поднят вопрос закупки легких танков M24. К тому моменту эти машины уже активно применялись в Западной Европе и не представляли собой большого секрета. Даже пяти машин, (в таком количестве были приобретены Light Tank M5A1) советской закупочной комиссии показалось много. В результате количество заказанных танков сократилось до двух (17684).</w:t>
      </w:r>
    </w:p>
    <w:p w14:paraId="6173FD2E" w14:textId="77777777" w:rsidR="005C1F60" w:rsidRPr="00F90EAE" w:rsidRDefault="005C1F60" w:rsidP="00F90EAE">
      <w:pPr>
        <w:jc w:val="both"/>
        <w:rPr>
          <w:rStyle w:val="107"/>
          <w:rFonts w:eastAsiaTheme="minorHAnsi"/>
          <w:color w:val="000000" w:themeColor="text1"/>
          <w:sz w:val="16"/>
          <w:szCs w:val="16"/>
        </w:rPr>
      </w:pPr>
    </w:p>
    <w:p w14:paraId="39C4B470" w14:textId="77777777" w:rsidR="00712FB3" w:rsidRPr="00F90EAE" w:rsidRDefault="00712FB3" w:rsidP="00F90EAE">
      <w:pPr>
        <w:jc w:val="both"/>
        <w:rPr>
          <w:color w:val="000000" w:themeColor="text1"/>
          <w:sz w:val="16"/>
          <w:szCs w:val="16"/>
        </w:rPr>
      </w:pPr>
      <w:r w:rsidRPr="00F90EAE">
        <w:rPr>
          <w:color w:val="000000" w:themeColor="text1"/>
          <w:sz w:val="16"/>
          <w:szCs w:val="16"/>
        </w:rPr>
        <w:t>В начале 1945 года бронированные канадские снегоходы прибыли в Советский Союз. К тому моменту над аэросанями в СССР начали сгущаться тучи. Если в начале войны об их применении поступали положительные отзывы, а зимой 1942–1943 годов использование аэросаней Красной армией достигло апогея, то в следующий зимний сезон ситуация изменилась. Фактически аэросани продолжали применять на севере и северо-западе, на других участках погодные условия не дали возможности использовать данный тип машин. Впрочем, и зимой 1942–1943 годов дела шли гладко не везде: часть аэросанных батальонов так и простояла без движения, поскольку снежный покров оказался недостаточным (18251).</w:t>
      </w:r>
    </w:p>
    <w:p w14:paraId="4A4B07A6" w14:textId="77777777" w:rsidR="00712FB3" w:rsidRPr="00F90EAE" w:rsidRDefault="00712FB3" w:rsidP="00F90EAE">
      <w:pPr>
        <w:jc w:val="both"/>
        <w:rPr>
          <w:color w:val="000000" w:themeColor="text1"/>
          <w:sz w:val="16"/>
          <w:szCs w:val="16"/>
        </w:rPr>
      </w:pPr>
      <w:r w:rsidRPr="00F90EAE">
        <w:rPr>
          <w:color w:val="000000" w:themeColor="text1"/>
          <w:sz w:val="16"/>
          <w:szCs w:val="16"/>
        </w:rPr>
        <w:t>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 а 1 февраля 1945 года начались испытания улучшенной версии машины. Она существенно отличалась от аэросаней НКЛ-26: форма корпуса больше напоминала автомобиль, кроме 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3B7158C7" w14:textId="77777777" w:rsidR="00712FB3" w:rsidRPr="00F90EAE" w:rsidRDefault="00712FB3" w:rsidP="00F90EAE">
      <w:pPr>
        <w:jc w:val="both"/>
        <w:rPr>
          <w:color w:val="000000" w:themeColor="text1"/>
          <w:sz w:val="16"/>
          <w:szCs w:val="16"/>
        </w:rPr>
      </w:pPr>
    </w:p>
    <w:p w14:paraId="06678C3C" w14:textId="77777777" w:rsidR="00BC1830" w:rsidRPr="00F90EAE" w:rsidRDefault="00BC1830" w:rsidP="00F90EAE">
      <w:pPr>
        <w:widowControl w:val="0"/>
        <w:jc w:val="both"/>
        <w:rPr>
          <w:color w:val="000000" w:themeColor="text1"/>
          <w:sz w:val="16"/>
          <w:szCs w:val="16"/>
        </w:rPr>
      </w:pPr>
      <w:r w:rsidRPr="00F90EAE">
        <w:rPr>
          <w:color w:val="000000" w:themeColor="text1"/>
          <w:sz w:val="16"/>
          <w:szCs w:val="16"/>
        </w:rPr>
        <w:t>В начале 1945 года творческими усилиями главного конструктора завода А.А. Липгарта, начальников бюро А.М. Кригера и Ю.Н. Сорочкина, ведущего конструктора А.Д. Просвирнина, конструкторов В.Н. Борисова, С.А. Зислина, Д.М. Гороховского, Л.В. Косткина, Н.Г. Мозохина и других были созданы новые грузовые автомобили ГАЗ-51 с 6-цилинровым двигателем взамен устаревшей модели ГАЗ-АА, ГАЗ-63 с двумя ведущими мостами, легковой автомобиль М-20 («Победа») с новым 4-цилиндровым двигателем. Опытные образцы этих автомобилей были представлены правительственной комиссии и утверждены для производства. 28 августа 1945 года вышел приказ НКСМ о начале выпуска грузового автомобиля ГАЗ-51 в декабре 1945 года (15218).</w:t>
      </w:r>
    </w:p>
    <w:p w14:paraId="4D7B8747" w14:textId="77777777" w:rsidR="00BC1830" w:rsidRPr="00F90EAE" w:rsidRDefault="00BC1830" w:rsidP="00F90EAE">
      <w:pPr>
        <w:widowControl w:val="0"/>
        <w:jc w:val="both"/>
        <w:rPr>
          <w:color w:val="000000" w:themeColor="text1"/>
          <w:sz w:val="16"/>
          <w:szCs w:val="16"/>
        </w:rPr>
      </w:pPr>
    </w:p>
    <w:p w14:paraId="170192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1945 года Разведчики 1-го Украинского фронта вышли к заводу в Дихернфурте-на-Одере. Они очень хорошо знали, что искать. День 9 февраля 1945 года мало чем заметен в истории, ну разве что тем, что в тот день был арестован командир артиллерийской батареи капитан А.И.Солженицын, чтоб не доверял письмам свои сомнения. И уж совсем никому не известно, что в тот день 9 февраля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w:t>
      </w:r>
      <w:r w:rsidRPr="00F90EAE">
        <w:rPr>
          <w:color w:val="000000" w:themeColor="text1"/>
          <w:sz w:val="16"/>
          <w:szCs w:val="16"/>
        </w:rPr>
        <w:lastRenderedPageBreak/>
        <w:t xml:space="preserve">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25C0F95" w14:textId="77777777" w:rsidR="00C2313B" w:rsidRPr="00F90EAE" w:rsidRDefault="00C2313B" w:rsidP="00F90EAE">
      <w:pPr>
        <w:autoSpaceDE w:val="0"/>
        <w:autoSpaceDN w:val="0"/>
        <w:adjustRightInd w:val="0"/>
        <w:jc w:val="both"/>
        <w:rPr>
          <w:color w:val="000000" w:themeColor="text1"/>
          <w:sz w:val="16"/>
          <w:szCs w:val="16"/>
        </w:rPr>
      </w:pPr>
    </w:p>
    <w:p w14:paraId="10CE9D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были заводы №№ 656 и 697 НК электропрома (8971)</w:t>
      </w:r>
    </w:p>
    <w:p w14:paraId="618681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была подготовлена:</w:t>
      </w:r>
    </w:p>
    <w:p w14:paraId="001C3E4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Справка о предприятиях местной промышленности и артелях промокооперации Московской области, переведенных в госпромышленность за годы войны (1941-1944 гг.)</w:t>
      </w:r>
    </w:p>
    <w:p w14:paraId="568EA7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“Пресс”</w:t>
      </w:r>
    </w:p>
    <w:p w14:paraId="39C5544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Серпухов</w:t>
      </w:r>
    </w:p>
    <w:p w14:paraId="623FEC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 войны завод выпускал заводную металлическую игрушку широкой номенклатуры.</w:t>
      </w:r>
    </w:p>
    <w:p w14:paraId="494DE0F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 НКАП в 1940 году на основании распоряжения СНК РСФСР (8950)</w:t>
      </w:r>
    </w:p>
    <w:p w14:paraId="4BBD491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Хотьковский лакокрасочный завод</w:t>
      </w:r>
    </w:p>
    <w:p w14:paraId="37A8CE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Хотьково Загорского района</w:t>
      </w:r>
    </w:p>
    <w:p w14:paraId="61F45C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 НК химической промышленности в 1942 году на основании распоряжения СНК РСФСР (8950)</w:t>
      </w:r>
    </w:p>
    <w:p w14:paraId="7680F3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Фабрика целлулоидных изделий Балашихинского райпромкомбината</w:t>
      </w:r>
    </w:p>
    <w:p w14:paraId="4C03B4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Передана НК боеприпасов в 1941 году (8950)</w:t>
      </w:r>
    </w:p>
    <w:p w14:paraId="452535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Чугунолитейный завод Ногинского горпромкомбината</w:t>
      </w:r>
    </w:p>
    <w:p w14:paraId="3F7832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Ногинск</w:t>
      </w:r>
    </w:p>
    <w:p w14:paraId="014129C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 Ново-Краматорскому заводу в 1941 году на основании распоряжения СНК РСФСР (8950)</w:t>
      </w:r>
    </w:p>
    <w:p w14:paraId="3BEB97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цех артели “Спортснабжение”</w:t>
      </w:r>
    </w:p>
    <w:p w14:paraId="5827658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д. Новая Лужа Химкинского района</w:t>
      </w:r>
    </w:p>
    <w:p w14:paraId="7A6FA8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Передана заводу № 293 НКАП на основании Постановления СНК РСФСР от 4 сентября 1942 года (8950)</w:t>
      </w:r>
    </w:p>
    <w:p w14:paraId="288D7A7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Артель “Крюковский стекольный завод”</w:t>
      </w:r>
    </w:p>
    <w:p w14:paraId="56A01F5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Место: пос. Крюково</w:t>
      </w:r>
    </w:p>
    <w:p w14:paraId="57DF2CF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Передана НКВ в ноябре 1943 года на основании Постановления ГОКО (8950)</w:t>
      </w:r>
    </w:p>
    <w:p w14:paraId="27CCC9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w:t>
      </w:r>
      <w:r w:rsidRPr="00F90EAE">
        <w:rPr>
          <w:color w:val="000000" w:themeColor="text1"/>
          <w:sz w:val="16"/>
          <w:szCs w:val="16"/>
        </w:rPr>
        <w:softHyphen/>
        <w:t>чале 1945 г. Комиссия С. П. Ставицкого обосновала необходимость развития трех подклассов крейсеров: тяжелого с 220-мм артиллерией, легкого — со 152-мм и промежуточного типа — просто "крейсера" — со 180-мм оруди</w:t>
      </w:r>
      <w:r w:rsidRPr="00F90EAE">
        <w:rPr>
          <w:color w:val="000000" w:themeColor="text1"/>
          <w:sz w:val="16"/>
          <w:szCs w:val="16"/>
        </w:rPr>
        <w:softHyphen/>
        <w:t>ями (3898).</w:t>
      </w:r>
    </w:p>
    <w:p w14:paraId="7667E2DE" w14:textId="77777777" w:rsidR="00C2313B" w:rsidRPr="00F90EAE" w:rsidRDefault="00C2313B" w:rsidP="00F90EAE">
      <w:pPr>
        <w:autoSpaceDE w:val="0"/>
        <w:autoSpaceDN w:val="0"/>
        <w:adjustRightInd w:val="0"/>
        <w:jc w:val="both"/>
        <w:rPr>
          <w:color w:val="000000" w:themeColor="text1"/>
          <w:sz w:val="16"/>
          <w:szCs w:val="16"/>
        </w:rPr>
      </w:pPr>
    </w:p>
    <w:p w14:paraId="0A774D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был также создан Научно-технический совет по радиолокации, главной задачей которого было определять научно-техническую политику в развитии радиолокации, отвечавшую, с одной стороны, нуждам армии и флота, а с другой - возможностям науки, техники и промышленности. НТС возглавил профессор А. Н. Щукин, отозванный из Военно-морской академии РККФ, где возглавлял кафедру (9921).</w:t>
      </w:r>
    </w:p>
    <w:p w14:paraId="1DE3C0F3" w14:textId="77777777" w:rsidR="00C2313B" w:rsidRPr="00F90EAE" w:rsidRDefault="00C2313B" w:rsidP="00F90EAE">
      <w:pPr>
        <w:autoSpaceDE w:val="0"/>
        <w:autoSpaceDN w:val="0"/>
        <w:adjustRightInd w:val="0"/>
        <w:jc w:val="both"/>
        <w:rPr>
          <w:color w:val="000000" w:themeColor="text1"/>
          <w:sz w:val="16"/>
          <w:szCs w:val="16"/>
        </w:rPr>
      </w:pPr>
    </w:p>
    <w:p w14:paraId="456DE1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подкомиссия по авианосцам пришла к выводу о необходимости развивать два типа таких кораблей — большой (60 самолетов) и малый (30). Были проработаны варианты воору</w:t>
      </w:r>
      <w:r w:rsidRPr="00F90EAE">
        <w:rPr>
          <w:color w:val="000000" w:themeColor="text1"/>
          <w:sz w:val="16"/>
          <w:szCs w:val="16"/>
        </w:rPr>
        <w:softHyphen/>
        <w:t>жения для стандартнь1х водоизмещении 23 700, 30 000, 45 000 и 60 000 т. Однако все эти варианты заданий не были воплощены в проектах, так как до утверждения послевоенной программы сама перспектива строительства авианосцев вызывала сомнение (3898).</w:t>
      </w:r>
    </w:p>
    <w:p w14:paraId="236820B5" w14:textId="77777777" w:rsidR="00C2313B" w:rsidRPr="00F90EAE" w:rsidRDefault="00C2313B" w:rsidP="00F90EAE">
      <w:pPr>
        <w:autoSpaceDE w:val="0"/>
        <w:autoSpaceDN w:val="0"/>
        <w:adjustRightInd w:val="0"/>
        <w:jc w:val="both"/>
        <w:rPr>
          <w:color w:val="000000" w:themeColor="text1"/>
          <w:sz w:val="16"/>
          <w:szCs w:val="16"/>
        </w:rPr>
      </w:pPr>
    </w:p>
    <w:p w14:paraId="6CBB97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на заводе "Ленинская кузница", который получил но</w:t>
      </w:r>
      <w:r w:rsidRPr="00F90EAE">
        <w:rPr>
          <w:color w:val="000000" w:themeColor="text1"/>
          <w:sz w:val="16"/>
          <w:szCs w:val="16"/>
        </w:rPr>
        <w:softHyphen/>
        <w:t>вый литерный номер (302 вместо 300), были заложены первые после его освобождения корабли (3898).</w:t>
      </w:r>
    </w:p>
    <w:p w14:paraId="73A711E6" w14:textId="77777777" w:rsidR="00C2313B" w:rsidRPr="00F90EAE" w:rsidRDefault="00C2313B" w:rsidP="00F90EAE">
      <w:pPr>
        <w:autoSpaceDE w:val="0"/>
        <w:autoSpaceDN w:val="0"/>
        <w:adjustRightInd w:val="0"/>
        <w:jc w:val="both"/>
        <w:rPr>
          <w:color w:val="000000" w:themeColor="text1"/>
          <w:sz w:val="16"/>
          <w:szCs w:val="16"/>
        </w:rPr>
      </w:pPr>
    </w:p>
    <w:p w14:paraId="6B668AA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7E3253A" w14:textId="77777777" w:rsidR="00C2313B" w:rsidRPr="00F90EAE" w:rsidRDefault="00C2313B" w:rsidP="00F90EAE">
      <w:pPr>
        <w:autoSpaceDE w:val="0"/>
        <w:autoSpaceDN w:val="0"/>
        <w:adjustRightInd w:val="0"/>
        <w:jc w:val="both"/>
        <w:rPr>
          <w:iCs/>
          <w:color w:val="000000" w:themeColor="text1"/>
          <w:sz w:val="16"/>
          <w:szCs w:val="16"/>
        </w:rPr>
      </w:pPr>
    </w:p>
    <w:p w14:paraId="401811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полки Ил-10 вылетели из Куйбышева на фронт для участия в операциях прорыва на Берлинском направлении. В 108 гвардейском, орденов Суворова и Богдана Хмельницкого, Рава-Русском шап 2-й воздушной армии проводились войсковые испытания на боевое применение. В состав бригады входили: А.К.Долгов - ведущий летчик, С.Г.Фролов, В.Н.Ковынев, В.Д.Кабанов, С.Т.Глущенко - контролировал испытания от ГКО. Отчет по испытаниям утверждал И.В.Сталин (172,162).</w:t>
      </w:r>
    </w:p>
    <w:p w14:paraId="76584696" w14:textId="77777777" w:rsidR="00C2313B" w:rsidRPr="00F90EAE" w:rsidRDefault="00C2313B" w:rsidP="00F90EAE">
      <w:pPr>
        <w:autoSpaceDE w:val="0"/>
        <w:autoSpaceDN w:val="0"/>
        <w:adjustRightInd w:val="0"/>
        <w:jc w:val="both"/>
        <w:rPr>
          <w:color w:val="000000" w:themeColor="text1"/>
          <w:sz w:val="16"/>
          <w:szCs w:val="16"/>
        </w:rPr>
      </w:pPr>
    </w:p>
    <w:p w14:paraId="3398D4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наблюдая за портами Клайпеда и Лиепая, воздухоплаватели не позволили немцам вывезти из Литвы и Латвии награбленные ценности (11328).</w:t>
      </w:r>
    </w:p>
    <w:p w14:paraId="092728D1" w14:textId="77777777" w:rsidR="00C2313B" w:rsidRPr="00F90EAE" w:rsidRDefault="00C2313B" w:rsidP="00F90EAE">
      <w:pPr>
        <w:autoSpaceDE w:val="0"/>
        <w:autoSpaceDN w:val="0"/>
        <w:adjustRightInd w:val="0"/>
        <w:jc w:val="both"/>
        <w:rPr>
          <w:color w:val="000000" w:themeColor="text1"/>
          <w:sz w:val="16"/>
          <w:szCs w:val="16"/>
        </w:rPr>
      </w:pPr>
    </w:p>
    <w:p w14:paraId="3E5583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 составе 3-го гвардейского бомбардировочного авиакорпуса (бывшего 7-го ак ДД) имелся еще один авиаполк, вооруженный самолетами Ер-2 - 333-й бап. До середины марта полк возглавлял гвардии подполковник М.А.Аркатов, а позднее - гвардии майор П.М.Засорин. Поскольку в 1944 г. эта авиачасть получила всего три бомбардировщика, а в апреле 1945 г. исправные Ер-2 в ней отсутствовали, то очевидно, что боеготовой она стать не успела и в боевых действиях не участвовала. В июле 1945 г. полк приказом командующего 18-й ВА был передан в состав 48-й бад. К концу 1945 г. в нем имелось по шесть бомбардировщиков Ер-2 и Ли-2 (3322,49).</w:t>
      </w:r>
    </w:p>
    <w:p w14:paraId="71A5EB07" w14:textId="77777777" w:rsidR="00C2313B" w:rsidRPr="00F90EAE" w:rsidRDefault="00C2313B" w:rsidP="00F90EAE">
      <w:pPr>
        <w:autoSpaceDE w:val="0"/>
        <w:autoSpaceDN w:val="0"/>
        <w:adjustRightInd w:val="0"/>
        <w:jc w:val="both"/>
        <w:rPr>
          <w:color w:val="000000" w:themeColor="text1"/>
          <w:sz w:val="16"/>
          <w:szCs w:val="16"/>
        </w:rPr>
      </w:pPr>
    </w:p>
    <w:p w14:paraId="05366E12" w14:textId="77777777" w:rsidR="006C4B00" w:rsidRPr="00F90EAE" w:rsidRDefault="006C4B00" w:rsidP="00F90EAE">
      <w:pPr>
        <w:pStyle w:val="rtejustify"/>
        <w:shd w:val="clear" w:color="auto" w:fill="FFFFFF"/>
        <w:spacing w:before="0" w:after="0"/>
        <w:rPr>
          <w:color w:val="000000" w:themeColor="text1"/>
          <w:sz w:val="16"/>
          <w:szCs w:val="16"/>
        </w:rPr>
      </w:pPr>
      <w:r w:rsidRPr="00F90EAE">
        <w:rPr>
          <w:color w:val="000000" w:themeColor="text1"/>
          <w:sz w:val="16"/>
          <w:szCs w:val="16"/>
        </w:rPr>
        <w:t>С начала 1945 г. в 3-ю дивизию связи стали поступать более современные самолеты А-20 и В-25. Это позволило списать старые и крайне изношенные ПС-43. К сентябрю ни одной такой машины в Советском Союзе уже не осталось (19199).</w:t>
      </w:r>
    </w:p>
    <w:p w14:paraId="14296C34" w14:textId="77777777" w:rsidR="006C4B00" w:rsidRPr="00F90EAE" w:rsidRDefault="006C4B00" w:rsidP="00F90EAE">
      <w:pPr>
        <w:shd w:val="clear" w:color="auto" w:fill="FFFFFF"/>
        <w:jc w:val="both"/>
        <w:textAlignment w:val="baseline"/>
        <w:rPr>
          <w:color w:val="000000" w:themeColor="text1"/>
          <w:sz w:val="16"/>
          <w:szCs w:val="16"/>
        </w:rPr>
      </w:pPr>
    </w:p>
    <w:p w14:paraId="1428BB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 процент неисправных самолетов снизился до 8% (4107) (3573).</w:t>
      </w:r>
    </w:p>
    <w:p w14:paraId="79A21865" w14:textId="77777777" w:rsidR="00C2313B" w:rsidRPr="00F90EAE" w:rsidRDefault="00C2313B" w:rsidP="00F90EAE">
      <w:pPr>
        <w:autoSpaceDE w:val="0"/>
        <w:autoSpaceDN w:val="0"/>
        <w:adjustRightInd w:val="0"/>
        <w:jc w:val="both"/>
        <w:rPr>
          <w:color w:val="000000" w:themeColor="text1"/>
          <w:sz w:val="16"/>
          <w:szCs w:val="16"/>
        </w:rPr>
      </w:pPr>
    </w:p>
    <w:p w14:paraId="5A8ED37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1945-го в "Люфтваффе" боевые вылеты продолжали совершать лишь две эскадрильи Hs 129, и то на Восточном фронте. Остальные соединения понесли невосполнимые потери и были расформированы (3039,31).</w:t>
      </w:r>
    </w:p>
    <w:p w14:paraId="3453C1AB" w14:textId="77777777" w:rsidR="00C2313B" w:rsidRPr="00F90EAE" w:rsidRDefault="00C2313B" w:rsidP="00F90EAE">
      <w:pPr>
        <w:autoSpaceDE w:val="0"/>
        <w:autoSpaceDN w:val="0"/>
        <w:adjustRightInd w:val="0"/>
        <w:jc w:val="both"/>
        <w:rPr>
          <w:color w:val="000000" w:themeColor="text1"/>
          <w:sz w:val="16"/>
          <w:szCs w:val="16"/>
        </w:rPr>
      </w:pPr>
    </w:p>
    <w:p w14:paraId="0C398881" w14:textId="77777777" w:rsidR="00A96EA6" w:rsidRPr="00F90EAE" w:rsidRDefault="00A96EA6"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С начала 1945 г. Як-9У во все возрас</w:t>
      </w:r>
      <w:r w:rsidRPr="00F90EAE">
        <w:rPr>
          <w:rFonts w:ascii="Times New Roman" w:cs="Times New Roman"/>
          <w:color w:val="000000" w:themeColor="text1"/>
          <w:spacing w:val="0"/>
        </w:rPr>
        <w:softHyphen/>
        <w:t>тающих количествах начали поступать в строевые части. А всего до августа 1945 г. промышленность произвела 3921 само</w:t>
      </w:r>
      <w:r w:rsidRPr="00F90EAE">
        <w:rPr>
          <w:rFonts w:ascii="Times New Roman" w:cs="Times New Roman"/>
          <w:color w:val="000000" w:themeColor="text1"/>
          <w:spacing w:val="0"/>
        </w:rPr>
        <w:softHyphen/>
        <w:t>лет этого типа, включая две сотни Як-9УТ с усиленным вооружением.</w:t>
      </w:r>
    </w:p>
    <w:p w14:paraId="16366600" w14:textId="77777777" w:rsidR="00A96EA6" w:rsidRPr="00F90EAE" w:rsidRDefault="00A96EA6"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К сожалению, все недостатки винто</w:t>
      </w:r>
      <w:r w:rsidRPr="00F90EAE">
        <w:rPr>
          <w:rFonts w:ascii="Times New Roman" w:cs="Times New Roman"/>
          <w:color w:val="000000" w:themeColor="text1"/>
          <w:spacing w:val="0"/>
        </w:rPr>
        <w:softHyphen/>
        <w:t>моторной группы в условиях военного вре</w:t>
      </w:r>
      <w:r w:rsidRPr="00F90EAE">
        <w:rPr>
          <w:rFonts w:ascii="Times New Roman" w:cs="Times New Roman"/>
          <w:color w:val="000000" w:themeColor="text1"/>
          <w:spacing w:val="0"/>
        </w:rPr>
        <w:softHyphen/>
        <w:t>мени устранить так и не удалось. Впрочем, с этим тогда мирились, хотя были даже случаи «обратного перевооружения», когда командование принимало решение пере</w:t>
      </w:r>
      <w:r w:rsidRPr="00F90EAE">
        <w:rPr>
          <w:rFonts w:ascii="Times New Roman" w:cs="Times New Roman"/>
          <w:color w:val="000000" w:themeColor="text1"/>
          <w:spacing w:val="0"/>
        </w:rPr>
        <w:softHyphen/>
        <w:t>оснастить только что перевооруженные на Як-9У полки более старой, но зато более надежной техникой (например, Ла-5ФН).</w:t>
      </w:r>
    </w:p>
    <w:p w14:paraId="3FF3DD20" w14:textId="77777777" w:rsidR="00A96EA6" w:rsidRPr="00F90EAE" w:rsidRDefault="00A96EA6"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Совершенно иное отношение к само</w:t>
      </w:r>
      <w:r w:rsidRPr="00F90EAE">
        <w:rPr>
          <w:rFonts w:ascii="Times New Roman" w:cs="Times New Roman"/>
          <w:color w:val="000000" w:themeColor="text1"/>
          <w:spacing w:val="0"/>
        </w:rPr>
        <w:softHyphen/>
        <w:t>лету стало ощущаться после окончания войны. Як-9У, несмотря на более высокие летные характеристики, имел ту же сме</w:t>
      </w:r>
      <w:r w:rsidRPr="00F90EAE">
        <w:rPr>
          <w:rFonts w:ascii="Times New Roman" w:cs="Times New Roman"/>
          <w:color w:val="000000" w:themeColor="text1"/>
          <w:spacing w:val="0"/>
        </w:rPr>
        <w:softHyphen/>
        <w:t>шанную конструкцию, что и более ран</w:t>
      </w:r>
      <w:r w:rsidRPr="00F90EAE">
        <w:rPr>
          <w:rFonts w:ascii="Times New Roman" w:cs="Times New Roman"/>
          <w:color w:val="000000" w:themeColor="text1"/>
          <w:spacing w:val="0"/>
        </w:rPr>
        <w:softHyphen/>
        <w:t>ние Яки, а значит, был не приспособлен к длительной службе мирного времени (в военное время «жизнь» среднего отече</w:t>
      </w:r>
      <w:r w:rsidRPr="00F90EAE">
        <w:rPr>
          <w:rFonts w:ascii="Times New Roman" w:cs="Times New Roman"/>
          <w:color w:val="000000" w:themeColor="text1"/>
          <w:spacing w:val="0"/>
        </w:rPr>
        <w:softHyphen/>
        <w:t>ственного истребителя редко превышала 3 месяца). В типичных для нашей страны условиях круглогодичного безангарного хранения (холодная зима, жаркое лето, дождливые осень и весна) планер Як-9У, а особенно его перкалевая обшивка, прихо</w:t>
      </w:r>
      <w:r w:rsidRPr="00F90EAE">
        <w:rPr>
          <w:rFonts w:ascii="Times New Roman" w:cs="Times New Roman"/>
          <w:color w:val="000000" w:themeColor="text1"/>
          <w:spacing w:val="0"/>
        </w:rPr>
        <w:softHyphen/>
        <w:t>дили в негодность очень быстро.</w:t>
      </w:r>
    </w:p>
    <w:p w14:paraId="0976E746" w14:textId="77777777" w:rsidR="00A96EA6" w:rsidRPr="00F90EAE" w:rsidRDefault="00A96EA6"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К началу 1946 г. в отечественной ави</w:t>
      </w:r>
      <w:r w:rsidRPr="00F90EAE">
        <w:rPr>
          <w:rFonts w:ascii="Times New Roman" w:cs="Times New Roman"/>
          <w:color w:val="000000" w:themeColor="text1"/>
          <w:spacing w:val="0"/>
        </w:rPr>
        <w:softHyphen/>
        <w:t>ации сложилась и вовсе парадоксаль</w:t>
      </w:r>
      <w:r w:rsidRPr="00F90EAE">
        <w:rPr>
          <w:rFonts w:ascii="Times New Roman" w:cs="Times New Roman"/>
          <w:color w:val="000000" w:themeColor="text1"/>
          <w:spacing w:val="0"/>
        </w:rPr>
        <w:softHyphen/>
        <w:t>ная ситуация. С одной стороны, имелось огромное количество явно устаревших самолетов, требовавших ремонта. С дру</w:t>
      </w:r>
      <w:r w:rsidRPr="00F90EAE">
        <w:rPr>
          <w:rFonts w:ascii="Times New Roman" w:cs="Times New Roman"/>
          <w:color w:val="000000" w:themeColor="text1"/>
          <w:spacing w:val="0"/>
        </w:rPr>
        <w:softHyphen/>
        <w:t xml:space="preserve">гой, - СССР опять оказался в положении догоняющего. В Германии, США и Англии уже в 1945 г. имелись на вооружении и даже воевали </w:t>
      </w:r>
      <w:r w:rsidRPr="00F90EAE">
        <w:rPr>
          <w:rFonts w:ascii="Times New Roman" w:cs="Times New Roman"/>
          <w:color w:val="000000" w:themeColor="text1"/>
          <w:spacing w:val="0"/>
        </w:rPr>
        <w:lastRenderedPageBreak/>
        <w:t>серийные реактивные самолеты. Немцы, конечно, не сумели применить реактивную авиатехнику и ракеты в количе</w:t>
      </w:r>
      <w:r w:rsidRPr="00F90EAE">
        <w:rPr>
          <w:rFonts w:ascii="Times New Roman" w:cs="Times New Roman"/>
          <w:color w:val="000000" w:themeColor="text1"/>
          <w:spacing w:val="0"/>
        </w:rPr>
        <w:softHyphen/>
        <w:t>ствах, достаточных для того, чтобы перело</w:t>
      </w:r>
      <w:r w:rsidRPr="00F90EAE">
        <w:rPr>
          <w:rFonts w:ascii="Times New Roman" w:cs="Times New Roman"/>
          <w:color w:val="000000" w:themeColor="text1"/>
          <w:spacing w:val="0"/>
        </w:rPr>
        <w:softHyphen/>
        <w:t>мить ход войны в свою пользу. Но все-таки они показали рсему миру насколько это грозное и многообещающее оружие (12741).</w:t>
      </w:r>
    </w:p>
    <w:p w14:paraId="31932952" w14:textId="77777777" w:rsidR="00A96EA6" w:rsidRPr="00F90EAE" w:rsidRDefault="00A96EA6" w:rsidP="00F90EAE">
      <w:pPr>
        <w:pStyle w:val="27"/>
        <w:shd w:val="clear" w:color="auto" w:fill="auto"/>
        <w:spacing w:after="0" w:line="240" w:lineRule="auto"/>
        <w:ind w:firstLine="0"/>
        <w:rPr>
          <w:rFonts w:ascii="Times New Roman" w:cs="Times New Roman"/>
          <w:color w:val="000000" w:themeColor="text1"/>
          <w:spacing w:val="0"/>
        </w:rPr>
      </w:pPr>
    </w:p>
    <w:p w14:paraId="75A4ED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года численности "Кобр" в системе ПВО достигла 597 по сравнению с 65 в системе в конце 1943. Например, 57-й, 101-и и 66-й гвардейские полки (все па Р-39) привлекались к прикрытию американских авиабаз па Украине. Интересно, что "Кобрами" в первую очередь вооружали полки, расположенные поближе к фронту, а в тылу обходились "Харрикейнами" и "Киттихаукамн". К концу войны в системе ПВО имелись восемь полков на Р 39 (частично уже переоснащенных Р 63). В общей сложности они сбили 95 немецких самолетов (3457,74).</w:t>
      </w:r>
    </w:p>
    <w:p w14:paraId="5343C875" w14:textId="77777777" w:rsidR="00C2313B" w:rsidRPr="00F90EAE" w:rsidRDefault="00C2313B" w:rsidP="00F90EAE">
      <w:pPr>
        <w:autoSpaceDE w:val="0"/>
        <w:autoSpaceDN w:val="0"/>
        <w:adjustRightInd w:val="0"/>
        <w:jc w:val="both"/>
        <w:rPr>
          <w:color w:val="000000" w:themeColor="text1"/>
          <w:sz w:val="16"/>
          <w:szCs w:val="16"/>
        </w:rPr>
      </w:pPr>
    </w:p>
    <w:p w14:paraId="6A6E1B6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был сформирован польский 1-й смешанный ак (г Ф.А.Агальцов) в составе 1-й Польской бомбардировочной ад, 1-й польской шд и 3-й польской ид (340,175).</w:t>
      </w:r>
    </w:p>
    <w:p w14:paraId="1D1F06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 второй половины августа 1944 по конец войны польские ВВС выполнили 6000 вылетов (340,176).</w:t>
      </w:r>
    </w:p>
    <w:p w14:paraId="4A3BF30A" w14:textId="77777777" w:rsidR="00C2313B" w:rsidRPr="00F90EAE" w:rsidRDefault="00C2313B" w:rsidP="00F90EAE">
      <w:pPr>
        <w:autoSpaceDE w:val="0"/>
        <w:autoSpaceDN w:val="0"/>
        <w:adjustRightInd w:val="0"/>
        <w:jc w:val="both"/>
        <w:rPr>
          <w:color w:val="000000" w:themeColor="text1"/>
          <w:sz w:val="16"/>
          <w:szCs w:val="16"/>
        </w:rPr>
      </w:pPr>
    </w:p>
    <w:p w14:paraId="78E79D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 в полках ГВФ на фронте имелось 38 самолетов Р-5. В армейских частях самолеты-ветераны к этому моменту уже не учитываются. Тем не менее Р-5 применялись вплоть до последних дней войны в Европе (5016).</w:t>
      </w:r>
    </w:p>
    <w:p w14:paraId="6893F8AC" w14:textId="77777777" w:rsidR="00C2313B" w:rsidRPr="00F90EAE" w:rsidRDefault="00C2313B" w:rsidP="00F90EAE">
      <w:pPr>
        <w:autoSpaceDE w:val="0"/>
        <w:autoSpaceDN w:val="0"/>
        <w:adjustRightInd w:val="0"/>
        <w:jc w:val="both"/>
        <w:rPr>
          <w:color w:val="000000" w:themeColor="text1"/>
          <w:sz w:val="16"/>
          <w:szCs w:val="16"/>
        </w:rPr>
      </w:pPr>
    </w:p>
    <w:p w14:paraId="0FB7BF3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г.на КБФ в боевом составе числились 78 Пе-2. Началось наращивание количества “пешек” и на Дальнем Востоке: с 5 единиц, имевшихся на 1 января 1944 г., оно выросло до 52 машин к началу 1945 г. Оставалась значительной и группировка “пешек” на Черном море (80 машин), а вот в составе ВВС СФ на эту дату сохранились всего 5 Пе-2. Безусловно, наиболее известным и заслуженным полком морских “пешек” в годы войны стал 12. В марте-апреле 1945 г. полк принимал участие в борьбе за военно-морскую базу Пиллау, а затем - во взятии Кенигсберга (4476).</w:t>
      </w:r>
    </w:p>
    <w:p w14:paraId="172F8DEE" w14:textId="77777777" w:rsidR="00C2313B" w:rsidRPr="00F90EAE" w:rsidRDefault="00C2313B" w:rsidP="00F90EAE">
      <w:pPr>
        <w:autoSpaceDE w:val="0"/>
        <w:autoSpaceDN w:val="0"/>
        <w:adjustRightInd w:val="0"/>
        <w:jc w:val="both"/>
        <w:rPr>
          <w:color w:val="000000" w:themeColor="text1"/>
          <w:sz w:val="16"/>
          <w:szCs w:val="16"/>
        </w:rPr>
      </w:pPr>
    </w:p>
    <w:p w14:paraId="16649A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12 гвардейский бомбардировочный авиационный Таллинский Краснознаменный ордена Ушакова полк (бывший 73-й бап), которым командовал дважды Герой Советского Союза полковник В.И. Раков, а позднее - Герой Советского Союза майор К.С. Усенко принимал участие в атаках кораблей и судов в военно-морской базе Пиллау, других германских портах, хотя погодные условия не благоприятствовали активным действиям.</w:t>
      </w:r>
    </w:p>
    <w:p w14:paraId="2C9A7F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наступлением морозов ненастье в Прибалтике прекратилось, - вспоминал ветеран части полковник А.Ф. Калиничен- ко. - Однажды утром я взглянул в окно и увидел, что земля одета пушистым снежным покрывалом. На аэродром мы выехали в хорошем настроении. Радовали не только синее небо и яркое солнце. Поступил приказ немедленно перелететь поближе к объектам вражеской обороны. Взаимодействовавшие с нами истребители 14-го гвардейского авиаполка должны были перебазироваться на соседний аэродром...</w:t>
      </w:r>
    </w:p>
    <w:p w14:paraId="3E28956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Мы взлетели, через несколько минут к нам пристроились истребители прикрытия. Группа, насчитывающая около 50 самолетов, взяла курс в море. Нашим пикировщикам предстояло уничтожить караван вражеских транспортов, вышедших из Пиллау (ныне Балтийск)... Пересекли береговую черту. Море встретило нас 8-бальной облачностью. На высоте 2000 м висели слоистые облака. Лететь ниже было рискованно. Для обороны караванов с войсками гитлеровцы использовали боевые корабли, оснащенные дополнительными зенитными средствами. Гвардии майор К.С. Усенко повел группу над облаками. Долго висела под крылом белесая муть. Казалось, что внизу не облачность, а холмистая пустыня, покрытая снегом, и что летим мы над самой землей. Посмотрел на высотомер - прибор показывал 3500 м..."</w:t>
      </w:r>
    </w:p>
    <w:p w14:paraId="35F899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Неожиданно атаковав противника из-за облаков, группа пикировщиков потопила вражеский транспорт, и без потерь вернулась на аэродром. По нашим данным, наиболее успешный удар флотские бомбардировщики по кораблям и судам в гавани Пиллау нанесли 9 апреля. В тот день совместно со штурмовиками из 47-го шап им удалось потопить до восьми транспортов, танкер и два сторожевых корабля, еще большее число неприятельских судов получили повреждения. За период с 9 по 25 апреля по ВМБ Пиллау в ходе пяти массированных налетов было совершено до 900 боевых вылетов, из них 141 самолетами Пе-2. Поданным штаба ВВС КБФ, противник понес значительные потери: не менее 50 кораблей и судов были потоплены или получили повреждения (12042).</w:t>
      </w:r>
    </w:p>
    <w:p w14:paraId="1D1B8690" w14:textId="77777777" w:rsidR="00C2313B" w:rsidRPr="00F90EAE" w:rsidRDefault="00C2313B" w:rsidP="00F90EAE">
      <w:pPr>
        <w:autoSpaceDE w:val="0"/>
        <w:autoSpaceDN w:val="0"/>
        <w:adjustRightInd w:val="0"/>
        <w:jc w:val="both"/>
        <w:rPr>
          <w:color w:val="000000" w:themeColor="text1"/>
          <w:sz w:val="16"/>
          <w:szCs w:val="16"/>
        </w:rPr>
      </w:pPr>
    </w:p>
    <w:p w14:paraId="44060E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в Финляндии оставалось восемь И-153. В феврале полеты на них прекратили и поставили на прикол. В законсервированном виде самолеты хранились до наступления 1950 г, когда их окончательно списали (6592).</w:t>
      </w:r>
    </w:p>
    <w:p w14:paraId="37594E06" w14:textId="77777777" w:rsidR="00C2313B" w:rsidRPr="00F90EAE" w:rsidRDefault="00C2313B" w:rsidP="00F90EAE">
      <w:pPr>
        <w:autoSpaceDE w:val="0"/>
        <w:autoSpaceDN w:val="0"/>
        <w:adjustRightInd w:val="0"/>
        <w:jc w:val="both"/>
        <w:rPr>
          <w:color w:val="000000" w:themeColor="text1"/>
          <w:sz w:val="16"/>
          <w:szCs w:val="16"/>
        </w:rPr>
      </w:pPr>
    </w:p>
    <w:p w14:paraId="781318F0" w14:textId="77777777" w:rsidR="00573476" w:rsidRPr="00F90EAE" w:rsidRDefault="00573476" w:rsidP="00F90EAE">
      <w:pPr>
        <w:jc w:val="both"/>
        <w:rPr>
          <w:color w:val="000000" w:themeColor="text1"/>
          <w:sz w:val="16"/>
          <w:szCs w:val="16"/>
        </w:rPr>
      </w:pPr>
      <w:r w:rsidRPr="00F90EAE">
        <w:rPr>
          <w:color w:val="000000" w:themeColor="text1"/>
          <w:sz w:val="16"/>
          <w:szCs w:val="16"/>
        </w:rPr>
        <w:t>В начале 1945 г. был сфор</w:t>
      </w:r>
      <w:r w:rsidRPr="00F90EAE">
        <w:rPr>
          <w:color w:val="000000" w:themeColor="text1"/>
          <w:sz w:val="16"/>
          <w:szCs w:val="16"/>
        </w:rPr>
        <w:softHyphen/>
        <w:t>мирован 45-й учебно-тренировочный авиапланёрный полк (45-й утапп). С 25 февраля им командовал майор З.П. Медведев. Туда перевели часть опытных планеристов из 208-го и 209-го полков. Эта часть в 1947 г. перебазиро</w:t>
      </w:r>
      <w:r w:rsidRPr="00F90EAE">
        <w:rPr>
          <w:color w:val="000000" w:themeColor="text1"/>
          <w:sz w:val="16"/>
          <w:szCs w:val="16"/>
        </w:rPr>
        <w:softHyphen/>
        <w:t>валась в Торжок, где стала осваивать тяжёлый планёр Ц-25 (12266).</w:t>
      </w:r>
    </w:p>
    <w:p w14:paraId="0FB0AA73" w14:textId="77777777" w:rsidR="00573476" w:rsidRPr="00F90EAE" w:rsidRDefault="00573476" w:rsidP="00F90EAE">
      <w:pPr>
        <w:jc w:val="both"/>
        <w:rPr>
          <w:color w:val="000000" w:themeColor="text1"/>
          <w:sz w:val="16"/>
          <w:szCs w:val="16"/>
        </w:rPr>
      </w:pPr>
    </w:p>
    <w:p w14:paraId="0787A9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1945 года в составе Ленинградской армии ПВО развернуто 2 полка ВНОС, которые имели на вооружении только станции “Редут” и осуществляли обнаружение целей на расстоянии 125 – 200 км от Ленинграда. Силами частей Ленинградской армии уничтожались немецкие и финские самолеты. Полеты финских самолетов прекратились в августе 1944 года. Посты станций “Редут”, “Пегматит” и МРУ-105 дислоцировались в городах и населенных пунктах Вязьма, Юхнов, Серпухов, Ржев, Ярополец (под Волоколамском), Клин, Кубинка, Одинцово, Люберцы, Богородское (под Горьким), Рыбинск, Красногвардейск, Красное Село, Волосово, Приозерск (четыре последних расположены под Ленинградом), Архангельск, Кандалакша, Мурманск и др. (10109).</w:t>
      </w:r>
    </w:p>
    <w:p w14:paraId="7A82A979" w14:textId="77777777" w:rsidR="00C2313B" w:rsidRPr="00F90EAE" w:rsidRDefault="00C2313B" w:rsidP="00F90EAE">
      <w:pPr>
        <w:autoSpaceDE w:val="0"/>
        <w:autoSpaceDN w:val="0"/>
        <w:adjustRightInd w:val="0"/>
        <w:jc w:val="both"/>
        <w:rPr>
          <w:color w:val="000000" w:themeColor="text1"/>
          <w:sz w:val="16"/>
          <w:szCs w:val="16"/>
        </w:rPr>
      </w:pPr>
    </w:p>
    <w:p w14:paraId="01AC8511" w14:textId="77777777" w:rsidR="006C4B00" w:rsidRPr="00F90EAE" w:rsidRDefault="006C4B00" w:rsidP="00F90EAE">
      <w:pPr>
        <w:jc w:val="both"/>
        <w:rPr>
          <w:color w:val="000000" w:themeColor="text1"/>
          <w:sz w:val="16"/>
          <w:szCs w:val="16"/>
        </w:rPr>
      </w:pPr>
      <w:r w:rsidRPr="00F90EAE">
        <w:rPr>
          <w:color w:val="000000" w:themeColor="text1"/>
          <w:sz w:val="16"/>
          <w:szCs w:val="16"/>
        </w:rPr>
        <w:t>В начале 1945 г. части 1-го Украинского фронта (командующий 1-м Украинским фронтом маршал Советского Союза И.С. Конев), наступая на Берлин с юго-востока, в обход, окружили и блокировали крупную группировку немецких войск в районе Бреслау. Немцы пытались снабжать окружённые войска по воздуху, направляя в этот район авиационные соединения транспортной авиации, которые использовали аэродромы, имевшиеся в распоряжении немцев под Бреслау. Эти аэродромы были способны принимать за ночь от 30 до 60 транспортных самолётов. Одной из основных задач, поставленных перед войсками Западного фронта ПВО в этом районе, была блокировка окружённого Бреслау с воздуха. В крепости Бреслау находилось до 65 тыс. вражеских солдат и офицеров, большое количество боевой техники, и изоляция этой мощной группы имела большое значение.</w:t>
      </w:r>
    </w:p>
    <w:p w14:paraId="52798543" w14:textId="77777777" w:rsidR="006C4B00" w:rsidRPr="00F90EAE" w:rsidRDefault="006C4B00" w:rsidP="00F90EAE">
      <w:pPr>
        <w:jc w:val="both"/>
        <w:rPr>
          <w:color w:val="000000" w:themeColor="text1"/>
          <w:sz w:val="16"/>
          <w:szCs w:val="16"/>
        </w:rPr>
      </w:pPr>
      <w:r w:rsidRPr="00F90EAE">
        <w:rPr>
          <w:color w:val="000000" w:themeColor="text1"/>
          <w:sz w:val="16"/>
          <w:szCs w:val="16"/>
        </w:rPr>
        <w:t>Аппаратура РД, которой были оснащены самолеты 45-го авиационного полка 56-й истребительной авиационной дивизии, ставила целью существенно сократить и упростить процесс радиолокационного наведения истребителей. Для этого вместо команд по радио на самолет, имевший небольшой телевизионный приёмник, передавалось изображение планшета, и летчик, имея перед собой экран телевизионной трубки диаметром около 17 см, на котором было изображение карты местности с нанесёнными на ней планшетными данными, в том числе высота полёта цели, мог самостоятельно выходить на цель. Это не только упрощало наведение, но и позволяло летчику проявлять тактическую инициативу при перехвате, что повысило эффективность воздушного боя.</w:t>
      </w:r>
    </w:p>
    <w:p w14:paraId="1AFA3C01" w14:textId="77777777" w:rsidR="006C4B00" w:rsidRPr="00F90EAE" w:rsidRDefault="006C4B00" w:rsidP="00F90EAE">
      <w:pPr>
        <w:jc w:val="both"/>
        <w:rPr>
          <w:color w:val="000000" w:themeColor="text1"/>
          <w:sz w:val="16"/>
          <w:szCs w:val="16"/>
        </w:rPr>
      </w:pPr>
      <w:r w:rsidRPr="00F90EAE">
        <w:rPr>
          <w:color w:val="000000" w:themeColor="text1"/>
          <w:sz w:val="16"/>
          <w:szCs w:val="16"/>
        </w:rPr>
        <w:t>Прибывшие на аэродромы сотрудники 108-го института Е.С. Губенко и Н.Н. Батухтина вместе с представителем НИИ ВВС А.В. Пивоваровым, будущим первым заместителем А.А. Расплетина по ЗРК С-25, помогали летчикам 45-го авиационного полка осваивать новые для них приборы РД, а наземному персоналу – осуществлять телепередачу на самолёты с командного пункта. При необходимости они также ремонтировали аппаратуру. Таким образом, войсковые испытания аппаратуры проводились непосредственно в боевых условиях. Они помогли нашим лётчикам блокировать с воздуха Бреслау и перехватывать вражеские самолёты во всем районе боевых действий 45-го авиационного полка истребительной авиации.</w:t>
      </w:r>
    </w:p>
    <w:p w14:paraId="0CDCA29F" w14:textId="77777777" w:rsidR="006C4B00" w:rsidRPr="00F90EAE" w:rsidRDefault="006C4B00" w:rsidP="00F90EAE">
      <w:pPr>
        <w:jc w:val="both"/>
        <w:rPr>
          <w:color w:val="000000" w:themeColor="text1"/>
          <w:sz w:val="16"/>
          <w:szCs w:val="16"/>
        </w:rPr>
      </w:pPr>
      <w:r w:rsidRPr="00F90EAE">
        <w:rPr>
          <w:color w:val="000000" w:themeColor="text1"/>
          <w:sz w:val="16"/>
          <w:szCs w:val="16"/>
        </w:rPr>
        <w:t>6 мая 1945 г. командующий обороной Бреслау генерал Никгоф капитулировал с 40-тысячной группой войск.</w:t>
      </w:r>
    </w:p>
    <w:p w14:paraId="07576058" w14:textId="77777777" w:rsidR="006C4B00" w:rsidRPr="00F90EAE" w:rsidRDefault="006C4B00" w:rsidP="00F90EAE">
      <w:pPr>
        <w:jc w:val="both"/>
        <w:rPr>
          <w:color w:val="000000" w:themeColor="text1"/>
          <w:sz w:val="16"/>
          <w:szCs w:val="16"/>
        </w:rPr>
      </w:pPr>
      <w:r w:rsidRPr="00F90EAE">
        <w:rPr>
          <w:color w:val="000000" w:themeColor="text1"/>
          <w:sz w:val="16"/>
          <w:szCs w:val="16"/>
        </w:rPr>
        <w:t>Опыт, полученный при испытании аппаратуры в боевых условиях под Ленинградом и Бреслау, позволил А.А. Расплетину уяснить важные тактические возможности использования телевизионной системы наведения истребителей на цель. Именно в это время А.А. Расплетин чётко сформулировал требования учёта тактики боевого применения новой техники. Его заслуга как конструктора заключается не только в том, что он разрабатывал боевые системы, комплексы, но и создавал тренажёрную аппаратуру для обучения личного состава (18588).</w:t>
      </w:r>
    </w:p>
    <w:p w14:paraId="3E17B462" w14:textId="77777777" w:rsidR="006C4B00" w:rsidRPr="00F90EAE" w:rsidRDefault="006C4B00" w:rsidP="00F90EAE">
      <w:pPr>
        <w:jc w:val="both"/>
        <w:rPr>
          <w:color w:val="000000" w:themeColor="text1"/>
          <w:sz w:val="16"/>
          <w:szCs w:val="16"/>
        </w:rPr>
      </w:pPr>
    </w:p>
    <w:p w14:paraId="2E6FF815" w14:textId="77777777" w:rsidR="006C4B00" w:rsidRPr="00F90EAE" w:rsidRDefault="006C4B00"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88D075C" w14:textId="77777777" w:rsidR="006C4B00" w:rsidRPr="00F90EAE" w:rsidRDefault="006C4B00" w:rsidP="00F90EAE">
      <w:pPr>
        <w:autoSpaceDE w:val="0"/>
        <w:autoSpaceDN w:val="0"/>
        <w:adjustRightInd w:val="0"/>
        <w:jc w:val="both"/>
        <w:rPr>
          <w:iCs/>
          <w:color w:val="000000" w:themeColor="text1"/>
          <w:sz w:val="16"/>
          <w:szCs w:val="16"/>
        </w:rPr>
      </w:pPr>
    </w:p>
    <w:p w14:paraId="75602411" w14:textId="77777777" w:rsidR="006C4B00" w:rsidRPr="00F90EAE" w:rsidRDefault="006C4B00" w:rsidP="00F90EAE">
      <w:pPr>
        <w:jc w:val="both"/>
        <w:rPr>
          <w:color w:val="000000" w:themeColor="text1"/>
          <w:sz w:val="16"/>
          <w:szCs w:val="16"/>
        </w:rPr>
      </w:pPr>
      <w:r w:rsidRPr="00F90EAE">
        <w:rPr>
          <w:color w:val="000000" w:themeColor="text1"/>
          <w:sz w:val="16"/>
          <w:szCs w:val="16"/>
        </w:rPr>
        <w:t>Начало 1945 года. А. А. Андреева вспоминала: "Был уже конец войны, шла зима 44/45 года, близилась последняя военная весна. И многих молодых мужчин, мобилизованных по возрасту, на фронт уже не отправляли. Им давали безопасную, но очень нудную работу. Они патрулировали на улицах, особенно много их было в метро на всех выходах. Эти здоровые молодые парни должны были следить, не нарушает ли установленный порядок кто-то из военных. Штатские их не касались. Может быть, в подоплеке этого приказа лежало желание поймать переодетых шпионов, но превратилось все в совершенный фарс. Парни от скуки останавливали всех, кого хотели. Например, обращается такой патрульный к генералу или полковнику. Тот обязан остановиться, предъявить документы, и мальчишка нарочно медленно разглядывает их, долго сравнивает фотографию с лицом стоящего человека. Словом, развлекается" (18688).</w:t>
      </w:r>
    </w:p>
    <w:p w14:paraId="0454A39B" w14:textId="77777777" w:rsidR="006C4B00" w:rsidRPr="00F90EAE" w:rsidRDefault="006C4B00" w:rsidP="00F90EAE">
      <w:pPr>
        <w:jc w:val="both"/>
        <w:rPr>
          <w:color w:val="000000" w:themeColor="text1"/>
          <w:sz w:val="16"/>
          <w:szCs w:val="16"/>
        </w:rPr>
      </w:pPr>
    </w:p>
    <w:p w14:paraId="3E151580" w14:textId="77777777" w:rsidR="00712FB3" w:rsidRPr="00F90EAE" w:rsidRDefault="00712FB3" w:rsidP="00F90EAE">
      <w:pPr>
        <w:jc w:val="both"/>
        <w:rPr>
          <w:color w:val="000000" w:themeColor="text1"/>
          <w:sz w:val="16"/>
          <w:szCs w:val="16"/>
        </w:rPr>
      </w:pPr>
      <w:r w:rsidRPr="00F90EAE">
        <w:rPr>
          <w:color w:val="000000" w:themeColor="text1"/>
          <w:sz w:val="16"/>
          <w:szCs w:val="16"/>
        </w:rPr>
        <w:t>В начале 1945 г., ввиду приближающегося окончания военных действий, советское правительство стабилизировало военные расходы на уровне 1944 г., предполагая направить прирост национального дохода на увеличение накопления и потребления. Начиная с 1944 г. государственный бюджет исполнялся с превышением доходов над расходами, а следовательно, отпала и необходимость в бюджетном использовании денежной эмиссии.</w:t>
      </w:r>
    </w:p>
    <w:p w14:paraId="49E69F13" w14:textId="77777777" w:rsidR="00712FB3" w:rsidRPr="00F90EAE" w:rsidRDefault="00712FB3" w:rsidP="00F90EAE">
      <w:pPr>
        <w:jc w:val="both"/>
        <w:rPr>
          <w:color w:val="000000" w:themeColor="text1"/>
          <w:sz w:val="16"/>
          <w:szCs w:val="16"/>
        </w:rPr>
      </w:pPr>
      <w:r w:rsidRPr="00F90EAE">
        <w:rPr>
          <w:color w:val="000000" w:themeColor="text1"/>
          <w:sz w:val="16"/>
          <w:szCs w:val="16"/>
        </w:rPr>
        <w:lastRenderedPageBreak/>
        <w:t>Однако, как известно, в 1945 г. в связи с гигантскими экономическими потерями и военными затратами в 1941 - 1945 гг. возникли серьезные проблемы с выполнением утвержденного Правительством бюджетного плана. Доходы оказались на 8,2 млрд. руб. меньше ожидаемых. Расходы союзного бюджета сократились, против плана, на 9,6 млрд. руб. При этом расходы на оборону остались на запланированном уровне (98,2 млрд. руб., или 54,3% от общей суммы расходной части бюджета страны). Национальный доход в 1945 г. составил 441,4 млрд. руб., или на 48,2 млрд. меньше, чем в 1944 г.</w:t>
      </w:r>
    </w:p>
    <w:p w14:paraId="2F7171FF" w14:textId="77777777" w:rsidR="00712FB3" w:rsidRPr="00F90EAE" w:rsidRDefault="00712FB3" w:rsidP="00F90EAE">
      <w:pPr>
        <w:jc w:val="both"/>
        <w:rPr>
          <w:color w:val="000000" w:themeColor="text1"/>
          <w:sz w:val="16"/>
          <w:szCs w:val="16"/>
        </w:rPr>
      </w:pPr>
      <w:r w:rsidRPr="00F90EAE">
        <w:rPr>
          <w:color w:val="000000" w:themeColor="text1"/>
          <w:sz w:val="16"/>
          <w:szCs w:val="16"/>
        </w:rPr>
        <w:t>За 1941 - 1945 гг. расходы государственного бюджета СССР составили 1146,8 млрд. руб., из них 582,4 млрд. было направлено на покрытие расходов Наркоматов обороны и Военно-Морского Флота, т. е. половина всех ресурсов бюджета была израсходована на военные цели.</w:t>
      </w:r>
    </w:p>
    <w:p w14:paraId="2E2F122A" w14:textId="77777777" w:rsidR="00712FB3" w:rsidRPr="00F90EAE" w:rsidRDefault="00712FB3" w:rsidP="00F90EAE">
      <w:pPr>
        <w:jc w:val="both"/>
        <w:rPr>
          <w:color w:val="000000" w:themeColor="text1"/>
          <w:sz w:val="16"/>
          <w:szCs w:val="16"/>
        </w:rPr>
      </w:pPr>
      <w:r w:rsidRPr="00F90EAE">
        <w:rPr>
          <w:color w:val="000000" w:themeColor="text1"/>
          <w:sz w:val="16"/>
          <w:szCs w:val="16"/>
        </w:rPr>
        <w:t>В денежном исчислении только прямой ущерб, нанесенный государству и населению вражеским вторжением и оцененный по довоенным государственным ценам, составил 679 млрд. руб., или 128 млрд. американских долларов. С учетом прямых военных расходов и дополнительных расходов, вызванных войной и перестройкой народного хозяйства (включая финансирование военного строительства и производства, расходы на противовоздушную оборону, эвакуацию и реэвакуацию предприятий, выплату военных пенсий), а также с учетом потерь доходов населения вследствие прекращения производства в оккупированных районах материальный ущерб составил 1890 млрд. руб. в государственных довоенных ценах, или 357 млрд. американских долларов (18390).</w:t>
      </w:r>
    </w:p>
    <w:p w14:paraId="5ED89685" w14:textId="77777777" w:rsidR="00712FB3" w:rsidRPr="00F90EAE" w:rsidRDefault="00712FB3" w:rsidP="00F90EAE">
      <w:pPr>
        <w:jc w:val="both"/>
        <w:rPr>
          <w:color w:val="000000" w:themeColor="text1"/>
          <w:sz w:val="16"/>
          <w:szCs w:val="16"/>
        </w:rPr>
      </w:pPr>
    </w:p>
    <w:p w14:paraId="36134E2C"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DAAD05E" w14:textId="77777777" w:rsidR="00C2313B" w:rsidRPr="00F90EAE" w:rsidRDefault="00C2313B" w:rsidP="00F90EAE">
      <w:pPr>
        <w:autoSpaceDE w:val="0"/>
        <w:autoSpaceDN w:val="0"/>
        <w:adjustRightInd w:val="0"/>
        <w:jc w:val="both"/>
        <w:rPr>
          <w:iCs/>
          <w:color w:val="000000" w:themeColor="text1"/>
          <w:sz w:val="16"/>
          <w:szCs w:val="16"/>
        </w:rPr>
      </w:pPr>
    </w:p>
    <w:p w14:paraId="3D086C95" w14:textId="77777777" w:rsidR="00BC1830" w:rsidRPr="00F90EAE" w:rsidRDefault="00BC1830" w:rsidP="00F90EAE">
      <w:pPr>
        <w:jc w:val="both"/>
        <w:rPr>
          <w:color w:val="000000" w:themeColor="text1"/>
          <w:sz w:val="16"/>
          <w:szCs w:val="16"/>
        </w:rPr>
      </w:pPr>
      <w:r w:rsidRPr="00F90EAE">
        <w:rPr>
          <w:color w:val="000000" w:themeColor="text1"/>
          <w:sz w:val="16"/>
          <w:szCs w:val="16"/>
        </w:rPr>
        <w:t>В начале 1945 года в Германии была ещё одна попытка создания сверхлёг</w:t>
      </w:r>
      <w:r w:rsidRPr="00F90EAE">
        <w:rPr>
          <w:color w:val="000000" w:themeColor="text1"/>
          <w:sz w:val="16"/>
          <w:szCs w:val="16"/>
        </w:rPr>
        <w:softHyphen/>
        <w:t>кого штурмовика путём установки сразу четырёх гра</w:t>
      </w:r>
      <w:r w:rsidRPr="00F90EAE">
        <w:rPr>
          <w:color w:val="000000" w:themeColor="text1"/>
          <w:sz w:val="16"/>
          <w:szCs w:val="16"/>
        </w:rPr>
        <w:softHyphen/>
        <w:t xml:space="preserve">натомётов </w:t>
      </w:r>
      <w:r w:rsidRPr="00F90EAE">
        <w:rPr>
          <w:color w:val="000000" w:themeColor="text1"/>
          <w:sz w:val="16"/>
          <w:szCs w:val="16"/>
          <w:lang w:val="en-US"/>
        </w:rPr>
        <w:t>Panzerfaust</w:t>
      </w:r>
      <w:r w:rsidRPr="00F90EAE">
        <w:rPr>
          <w:color w:val="000000" w:themeColor="text1"/>
          <w:sz w:val="16"/>
          <w:szCs w:val="16"/>
        </w:rPr>
        <w:t xml:space="preserve"> над и под крыльями учебного самолёта </w:t>
      </w:r>
      <w:r w:rsidRPr="00F90EAE">
        <w:rPr>
          <w:color w:val="000000" w:themeColor="text1"/>
          <w:sz w:val="16"/>
          <w:szCs w:val="16"/>
          <w:lang w:val="en-US"/>
        </w:rPr>
        <w:t>Backer</w:t>
      </w:r>
      <w:r w:rsidRPr="00F90EAE">
        <w:rPr>
          <w:color w:val="000000" w:themeColor="text1"/>
          <w:sz w:val="16"/>
          <w:szCs w:val="16"/>
        </w:rPr>
        <w:t xml:space="preserve"> Ви.18Ю </w:t>
      </w:r>
      <w:r w:rsidRPr="00F90EAE">
        <w:rPr>
          <w:color w:val="000000" w:themeColor="text1"/>
          <w:sz w:val="16"/>
          <w:szCs w:val="16"/>
          <w:lang w:val="en-US"/>
        </w:rPr>
        <w:t>Bestmann</w:t>
      </w:r>
      <w:r w:rsidRPr="00F90EAE">
        <w:rPr>
          <w:color w:val="000000" w:themeColor="text1"/>
          <w:sz w:val="16"/>
          <w:szCs w:val="16"/>
        </w:rPr>
        <w:t xml:space="preserve"> (15846).</w:t>
      </w:r>
    </w:p>
    <w:p w14:paraId="073A6015" w14:textId="77777777" w:rsidR="00BC1830" w:rsidRPr="00F90EAE" w:rsidRDefault="00BC1830" w:rsidP="00F90EAE">
      <w:pPr>
        <w:jc w:val="both"/>
        <w:rPr>
          <w:color w:val="000000" w:themeColor="text1"/>
          <w:sz w:val="16"/>
          <w:szCs w:val="16"/>
        </w:rPr>
      </w:pPr>
    </w:p>
    <w:p w14:paraId="6584B1D6" w14:textId="77777777" w:rsidR="00BC1830" w:rsidRPr="00F90EAE" w:rsidRDefault="00BC1830" w:rsidP="00F90EAE">
      <w:pPr>
        <w:jc w:val="both"/>
        <w:rPr>
          <w:color w:val="000000" w:themeColor="text1"/>
          <w:sz w:val="16"/>
          <w:szCs w:val="16"/>
        </w:rPr>
      </w:pPr>
      <w:r w:rsidRPr="00F90EAE">
        <w:rPr>
          <w:color w:val="000000" w:themeColor="text1"/>
          <w:sz w:val="16"/>
          <w:szCs w:val="16"/>
        </w:rPr>
        <w:t>В начале 1945 года в виду неоспоримого превосходства проекта Hs-117 "Schmetterling" над всеми другими вариантами, Третий Рейх принял решение о развертывании массового производства этих ракет. К концу 1945 года планировалось иметь 600 батарей ракет для обороны воздушного пространства Германии на Западе. Однако этим планам не суждено было сбыться. Впоследствии Hs-117 "Schmetterling" под обозначением Р-105 испытывалась специалистами из НИИ ВВС РККА на полигоне Капустин Яр, где подтвердила свои высокие характеристики (14139).</w:t>
      </w:r>
    </w:p>
    <w:p w14:paraId="2EA73F07" w14:textId="77777777" w:rsidR="00BC1830" w:rsidRPr="00F90EAE" w:rsidRDefault="00BC1830" w:rsidP="00F90EAE">
      <w:pPr>
        <w:jc w:val="both"/>
        <w:rPr>
          <w:color w:val="000000" w:themeColor="text1"/>
          <w:sz w:val="16"/>
          <w:szCs w:val="16"/>
        </w:rPr>
      </w:pPr>
    </w:p>
    <w:p w14:paraId="6129B2A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у Германии на всех фронтах было 15 ракетных бригад по 108 ПУ каждый - примерно половина от числа советских и четверть по числу направляющих РС (3815).</w:t>
      </w:r>
    </w:p>
    <w:p w14:paraId="17B88D76" w14:textId="77777777" w:rsidR="00C2313B" w:rsidRPr="00F90EAE" w:rsidRDefault="00C2313B" w:rsidP="00F90EAE">
      <w:pPr>
        <w:autoSpaceDE w:val="0"/>
        <w:autoSpaceDN w:val="0"/>
        <w:adjustRightInd w:val="0"/>
        <w:jc w:val="both"/>
        <w:rPr>
          <w:color w:val="000000" w:themeColor="text1"/>
          <w:sz w:val="16"/>
          <w:szCs w:val="16"/>
        </w:rPr>
      </w:pPr>
    </w:p>
    <w:p w14:paraId="1E17AFF3" w14:textId="77777777" w:rsidR="00BE5234" w:rsidRPr="00F90EAE" w:rsidRDefault="00BE523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начале 1945 г. неожиданно получили указания го</w:t>
      </w:r>
      <w:r w:rsidRPr="00F90EAE">
        <w:rPr>
          <w:rFonts w:ascii="Times New Roman" w:cs="Times New Roman"/>
          <w:color w:val="000000" w:themeColor="text1"/>
          <w:spacing w:val="0"/>
          <w:sz w:val="16"/>
          <w:szCs w:val="16"/>
        </w:rPr>
        <w:softHyphen/>
        <w:t xml:space="preserve">товить крупносерийное производство самолёта.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1 перегнали в военный испы</w:t>
      </w:r>
      <w:r w:rsidRPr="00F90EAE">
        <w:rPr>
          <w:rFonts w:ascii="Times New Roman" w:cs="Times New Roman"/>
          <w:color w:val="000000" w:themeColor="text1"/>
          <w:spacing w:val="0"/>
          <w:sz w:val="16"/>
          <w:szCs w:val="16"/>
        </w:rPr>
        <w:softHyphen/>
        <w:t>тательный центр в Рехлин, где и продолжили его испытания. Однако во время тяжёлой бомбардировки самолёт был серьёзно поврежден.</w:t>
      </w:r>
    </w:p>
    <w:p w14:paraId="0DC5CD14" w14:textId="77777777" w:rsidR="00BE5234" w:rsidRPr="00F90EAE" w:rsidRDefault="00BE523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Работы продолжались на опытном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2 и прототипе серии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3 на неболь</w:t>
      </w:r>
      <w:r w:rsidRPr="00F90EAE">
        <w:rPr>
          <w:rFonts w:ascii="Times New Roman" w:cs="Times New Roman"/>
          <w:color w:val="000000" w:themeColor="text1"/>
          <w:spacing w:val="0"/>
          <w:sz w:val="16"/>
          <w:szCs w:val="16"/>
        </w:rPr>
        <w:softHyphen/>
        <w:t>ших заводах фирмы «Юнкере», расположенных на окраинах Лейпцига недалеко от аэро</w:t>
      </w:r>
      <w:r w:rsidRPr="00F90EAE">
        <w:rPr>
          <w:rFonts w:ascii="Times New Roman" w:cs="Times New Roman"/>
          <w:color w:val="000000" w:themeColor="text1"/>
          <w:spacing w:val="0"/>
          <w:sz w:val="16"/>
          <w:szCs w:val="16"/>
        </w:rPr>
        <w:softHyphen/>
        <w:t xml:space="preserve">дрома Брандис. Крыло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2 осталось таким же, как и на первом самолёте, но фюзеляж, оперение и шасси сделали новыми. Стойки шасси и их колёса полностью уби</w:t>
      </w:r>
      <w:r w:rsidRPr="00F90EAE">
        <w:rPr>
          <w:rFonts w:ascii="Times New Roman" w:cs="Times New Roman"/>
          <w:color w:val="000000" w:themeColor="text1"/>
          <w:spacing w:val="0"/>
          <w:sz w:val="16"/>
          <w:szCs w:val="16"/>
        </w:rPr>
        <w:softHyphen/>
        <w:t xml:space="preserve">рались в фюзеляж. При этом колесо передней стойки при уборке поворачивалось на 90°. Передняя часть фюзеляжа была подобна фюзеляжу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-388.</w:t>
      </w:r>
    </w:p>
    <w:p w14:paraId="78593CE6" w14:textId="77777777" w:rsidR="00BE5234" w:rsidRPr="00F90EAE" w:rsidRDefault="00BE523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соответствии с создавшимся тогда положением с изготовлением двигателей меня</w:t>
      </w:r>
      <w:r w:rsidRPr="00F90EAE">
        <w:rPr>
          <w:rFonts w:ascii="Times New Roman" w:cs="Times New Roman"/>
          <w:color w:val="000000" w:themeColor="text1"/>
          <w:spacing w:val="0"/>
          <w:sz w:val="16"/>
          <w:szCs w:val="16"/>
        </w:rPr>
        <w:softHyphen/>
        <w:t xml:space="preserve">лись и решения об их использовании: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 xml:space="preserve">-012, затем Хе-011,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Так как их тяга очень различалась — от 2900 до 800 кгс, менялось и число потребных дви</w:t>
      </w:r>
      <w:r w:rsidRPr="00F90EAE">
        <w:rPr>
          <w:rFonts w:ascii="Times New Roman" w:cs="Times New Roman"/>
          <w:color w:val="000000" w:themeColor="text1"/>
          <w:spacing w:val="0"/>
          <w:sz w:val="16"/>
          <w:szCs w:val="16"/>
        </w:rPr>
        <w:softHyphen/>
        <w:t xml:space="preserve">гателей. Разработали проекты с двумя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—012, подвешенными к крыльям снизу. Но этот двигатель ещё не был готов, так что пришлось временно удовлетвориться четырь</w:t>
      </w:r>
      <w:r w:rsidRPr="00F90EAE">
        <w:rPr>
          <w:rFonts w:ascii="Times New Roman" w:cs="Times New Roman"/>
          <w:color w:val="000000" w:themeColor="text1"/>
          <w:spacing w:val="0"/>
          <w:sz w:val="16"/>
          <w:szCs w:val="16"/>
        </w:rPr>
        <w:softHyphen/>
        <w:t xml:space="preserve">мя </w:t>
      </w:r>
      <w:r w:rsidRPr="00F90EAE">
        <w:rPr>
          <w:rFonts w:ascii="Times New Roman" w:cs="Times New Roman"/>
          <w:color w:val="000000" w:themeColor="text1"/>
          <w:spacing w:val="0"/>
          <w:sz w:val="16"/>
          <w:szCs w:val="16"/>
          <w:lang w:val="en-US"/>
        </w:rPr>
        <w:t>HeS</w:t>
      </w:r>
      <w:r w:rsidRPr="00F90EAE">
        <w:rPr>
          <w:rFonts w:ascii="Times New Roman" w:cs="Times New Roman"/>
          <w:color w:val="000000" w:themeColor="text1"/>
          <w:spacing w:val="0"/>
          <w:sz w:val="16"/>
          <w:szCs w:val="16"/>
        </w:rPr>
        <w:t xml:space="preserve">-011 с тягой по 1300 кгс. Эти двигатели предполагали установить, как на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1. В это время выяснилось, что и этих двигателей тоже нет. Оставался выбор между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каждого из них требовалось по 6 штук. Но реально оба ти</w:t>
      </w:r>
      <w:r w:rsidRPr="00F90EAE">
        <w:rPr>
          <w:rFonts w:ascii="Times New Roman" w:cs="Times New Roman"/>
          <w:color w:val="000000" w:themeColor="text1"/>
          <w:spacing w:val="0"/>
          <w:sz w:val="16"/>
          <w:szCs w:val="16"/>
        </w:rPr>
        <w:softHyphen/>
        <w:t>па двигателей забронировало Министерство авиации для истребителей. Все варианты установки двигателей тщательно проверяли на моделях в аэродинамической трубе (15791).</w:t>
      </w:r>
    </w:p>
    <w:p w14:paraId="12822C15" w14:textId="77777777" w:rsidR="00BE5234" w:rsidRPr="00F90EAE" w:rsidRDefault="00BE523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На летающей лаборатории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1 было только 2 члена экипажа, на </w:t>
      </w:r>
      <w:r w:rsidRPr="00F90EAE">
        <w:rPr>
          <w:rFonts w:ascii="Times New Roman" w:cs="Times New Roman"/>
          <w:color w:val="000000" w:themeColor="text1"/>
          <w:spacing w:val="0"/>
          <w:sz w:val="16"/>
          <w:szCs w:val="16"/>
          <w:lang w:val="en-US"/>
        </w:rPr>
        <w:t>Ju</w:t>
      </w:r>
      <w:r w:rsidRPr="00F90EAE">
        <w:rPr>
          <w:rFonts w:ascii="Times New Roman" w:cs="Times New Roman"/>
          <w:color w:val="000000" w:themeColor="text1"/>
          <w:spacing w:val="0"/>
          <w:sz w:val="16"/>
          <w:szCs w:val="16"/>
        </w:rPr>
        <w:t>-287</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2 и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3 — по 3 человека. На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1 и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2 кабины негерметичные, а на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 xml:space="preserve">3 — герметичные. На </w:t>
      </w:r>
      <w:r w:rsidRPr="00F90EAE">
        <w:rPr>
          <w:rFonts w:ascii="Times New Roman" w:cs="Times New Roman"/>
          <w:color w:val="000000" w:themeColor="text1"/>
          <w:spacing w:val="0"/>
          <w:sz w:val="16"/>
          <w:szCs w:val="16"/>
          <w:lang w:val="en-US"/>
        </w:rPr>
        <w:t>V</w:t>
      </w:r>
      <w:r w:rsidRPr="00F90EAE">
        <w:rPr>
          <w:rFonts w:ascii="Times New Roman" w:cs="Times New Roman"/>
          <w:color w:val="000000" w:themeColor="text1"/>
          <w:spacing w:val="0"/>
          <w:sz w:val="16"/>
          <w:szCs w:val="16"/>
        </w:rPr>
        <w:t>3 дол</w:t>
      </w:r>
      <w:r w:rsidRPr="00F90EAE">
        <w:rPr>
          <w:rFonts w:ascii="Times New Roman" w:cs="Times New Roman"/>
          <w:color w:val="000000" w:themeColor="text1"/>
          <w:spacing w:val="0"/>
          <w:sz w:val="16"/>
          <w:szCs w:val="16"/>
        </w:rPr>
        <w:softHyphen/>
        <w:t>жна была стоять хво</w:t>
      </w:r>
      <w:r w:rsidRPr="00F90EAE">
        <w:rPr>
          <w:rFonts w:ascii="Times New Roman" w:cs="Times New Roman"/>
          <w:color w:val="000000" w:themeColor="text1"/>
          <w:spacing w:val="0"/>
          <w:sz w:val="16"/>
          <w:szCs w:val="16"/>
        </w:rPr>
        <w:softHyphen/>
        <w:t>стовая башня с дву</w:t>
      </w:r>
      <w:r w:rsidRPr="00F90EAE">
        <w:rPr>
          <w:rFonts w:ascii="Times New Roman" w:cs="Times New Roman"/>
          <w:color w:val="000000" w:themeColor="text1"/>
          <w:spacing w:val="0"/>
          <w:sz w:val="16"/>
          <w:szCs w:val="16"/>
        </w:rPr>
        <w:softHyphen/>
        <w:t>мя 13-мм пулемёта</w:t>
      </w:r>
      <w:r w:rsidRPr="00F90EAE">
        <w:rPr>
          <w:rFonts w:ascii="Times New Roman" w:cs="Times New Roman"/>
          <w:color w:val="000000" w:themeColor="text1"/>
          <w:spacing w:val="0"/>
          <w:sz w:val="16"/>
          <w:szCs w:val="16"/>
        </w:rPr>
        <w:softHyphen/>
        <w:t xml:space="preserve">ми </w:t>
      </w:r>
      <w:r w:rsidRPr="00F90EAE">
        <w:rPr>
          <w:rFonts w:ascii="Times New Roman" w:cs="Times New Roman"/>
          <w:color w:val="000000" w:themeColor="text1"/>
          <w:spacing w:val="0"/>
          <w:sz w:val="16"/>
          <w:szCs w:val="16"/>
          <w:lang w:val="en-US"/>
        </w:rPr>
        <w:t>MG</w:t>
      </w:r>
      <w:r w:rsidRPr="00F90EAE">
        <w:rPr>
          <w:rFonts w:ascii="Times New Roman" w:cs="Times New Roman"/>
          <w:color w:val="000000" w:themeColor="text1"/>
          <w:spacing w:val="0"/>
          <w:sz w:val="16"/>
          <w:szCs w:val="16"/>
        </w:rPr>
        <w:t>-131, управля</w:t>
      </w:r>
      <w:r w:rsidRPr="00F90EAE">
        <w:rPr>
          <w:rFonts w:ascii="Times New Roman" w:cs="Times New Roman"/>
          <w:color w:val="000000" w:themeColor="text1"/>
          <w:spacing w:val="0"/>
          <w:sz w:val="16"/>
          <w:szCs w:val="16"/>
        </w:rPr>
        <w:softHyphen/>
        <w:t>емыми дистанцион</w:t>
      </w:r>
      <w:r w:rsidRPr="00F90EAE">
        <w:rPr>
          <w:rFonts w:ascii="Times New Roman" w:cs="Times New Roman"/>
          <w:color w:val="000000" w:themeColor="text1"/>
          <w:spacing w:val="0"/>
          <w:sz w:val="16"/>
          <w:szCs w:val="16"/>
        </w:rPr>
        <w:softHyphen/>
        <w:t>но с помощью пери</w:t>
      </w:r>
      <w:r w:rsidRPr="00F90EAE">
        <w:rPr>
          <w:rFonts w:ascii="Times New Roman" w:cs="Times New Roman"/>
          <w:color w:val="000000" w:themeColor="text1"/>
          <w:spacing w:val="0"/>
          <w:sz w:val="16"/>
          <w:szCs w:val="16"/>
        </w:rPr>
        <w:softHyphen/>
        <w:t>скопа (15791).</w:t>
      </w:r>
    </w:p>
    <w:p w14:paraId="26E1E418" w14:textId="77777777" w:rsidR="00BE5234" w:rsidRPr="00F90EAE" w:rsidRDefault="00BE5234" w:rsidP="00F90EAE">
      <w:pPr>
        <w:pStyle w:val="36"/>
        <w:shd w:val="clear" w:color="auto" w:fill="auto"/>
        <w:spacing w:after="0" w:line="240" w:lineRule="auto"/>
        <w:jc w:val="both"/>
        <w:rPr>
          <w:rFonts w:ascii="Times New Roman" w:cs="Times New Roman"/>
          <w:color w:val="000000" w:themeColor="text1"/>
          <w:spacing w:val="0"/>
          <w:sz w:val="16"/>
          <w:szCs w:val="16"/>
        </w:rPr>
      </w:pPr>
    </w:p>
    <w:p w14:paraId="42F824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года увидела свет модификация «Ме-163С», развивавшая скорость 944 км/ч и достигавшая высоты 16 км. На ней была установлена новая версия двигателя «Walter HWK 109-509C» с двумя камерами сгорания: главной «стартовой» и вспомогательной, которая могла работать при малых тягах.</w:t>
      </w:r>
    </w:p>
    <w:p w14:paraId="44A188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бюро «Липпиш-Мессершмитт» начало работу над еще более совершенной версией ракетоплана, получившей обозначение «Me-163D».</w:t>
      </w:r>
    </w:p>
    <w:p w14:paraId="03F325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Фактически «Me-163D» представлял собой другой самолет с удлиненным на 0,85 метра фюзеляжем, вмещавшим большой запас топлива. Он сохранил от предшественника крыло, но его конструкция была изменена, чтобы увеличить емкость баков. Однако самое концептуальное изменение касалось шасси. Сбрасываемая тележка и выдвижная лыжа были заменены классическим шасси, полностью убирающимся в фюзеляж в полете. Вооружение «Ме-163D» состояло из двух пушек «МК-108» калибром 30 мм, размещенных в прикорневых частях крыла.</w:t>
      </w:r>
    </w:p>
    <w:p w14:paraId="21F968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Первый опытный «Me-163D-V1» был готов в конце весны 1944 года. Планерные испытания с фиксированными стойками прошли успешно, но к этому времени в Министерстве авиации решили, что фирма Мессершмитта просто не обладает необходимыми людскими ресурсами, чтобы довести «Me-163D» до серийного производства. В результате поступило распоряжение перевести работы по ракетоплану на завод фирмы «Юнкерс» в Дассау.</w:t>
      </w:r>
    </w:p>
    <w:p w14:paraId="782C58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Под руководством профессора Генриха Хертеля ракетоплан несколько перепроектировали, после чего он был назван «Ju-248» («Junkers»). В процессе работ было изменено остекленение кабины пилота, самолет оснастили каплевидным фонарем с обзором в 360°. Неподвижные предкрылки были заменены на автоматические, а площадь закрылков увеличена. Фюзеляж цельнометаллической конструкции выполнялся из трех секций. Передняя вмещала кабину, нишу носового колеса, радиостанцию и генератор. Она приклепывалась к основной секции, вмещавшей баки и ниши основных стоек шасси. Задняя секция была съемной для технического обследования двигательной установки. Бронированный носовой конус от «Me-163B» на новый самолет не ставился, а защита пилота обеспечивалась 20-миллиметровой плитой, прикрывавшей ноги и половину туловища, двух 12-миллиметровых бронеплит, прикрывавших верхнюю часть туловища, и 100-миллиметрового бронестекла. Вооружение состояло из пушек «МК-108» с 75 снарядами на ствол в корне крыльев. Боезапас помещался в фюзеляже над нишами шасси (11688).</w:t>
      </w:r>
    </w:p>
    <w:p w14:paraId="5843E6C6" w14:textId="77777777" w:rsidR="00C2313B" w:rsidRPr="00F90EAE" w:rsidRDefault="00C2313B" w:rsidP="00F90EAE">
      <w:pPr>
        <w:autoSpaceDE w:val="0"/>
        <w:autoSpaceDN w:val="0"/>
        <w:adjustRightInd w:val="0"/>
        <w:jc w:val="both"/>
        <w:rPr>
          <w:color w:val="000000" w:themeColor="text1"/>
          <w:sz w:val="16"/>
          <w:szCs w:val="16"/>
        </w:rPr>
      </w:pPr>
    </w:p>
    <w:p w14:paraId="3FF916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завод Юнкерса в Бернбурге наладил выпуск новой модификации сцепки Mistel3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51D9F9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25293D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4FE2D5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461E501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13F2D13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65508B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Германские ударные управляемые средства...</w:t>
      </w:r>
    </w:p>
    <w:p w14:paraId="5E0D8E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4931F0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 Окончание войны не дало немецким «сверхчеловекам» возможности наладить массовое производство и применение планирующей бомбы Арадо Е377.</w:t>
      </w:r>
    </w:p>
    <w:p w14:paraId="1BE21C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4C5A37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Принцип боевого применения этого Мистеля состоял в следующем. Вся сцепка поднималась в воздух и следовала в район цели.</w:t>
      </w:r>
    </w:p>
    <w:p w14:paraId="3C1D4A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AC427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21ECC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52A763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7A959EF3" w14:textId="77777777" w:rsidR="00C2313B" w:rsidRPr="00F90EAE" w:rsidRDefault="00C2313B" w:rsidP="00F90EAE">
      <w:pPr>
        <w:autoSpaceDE w:val="0"/>
        <w:autoSpaceDN w:val="0"/>
        <w:adjustRightInd w:val="0"/>
        <w:jc w:val="both"/>
        <w:rPr>
          <w:color w:val="000000" w:themeColor="text1"/>
          <w:sz w:val="16"/>
          <w:szCs w:val="16"/>
        </w:rPr>
      </w:pPr>
    </w:p>
    <w:p w14:paraId="58FFC1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немцы сформировали в Баварии единственную вертолетную часть в Люфтваффе - 40 транспортную, вооруженную тремя вертолетами поперечной схемы Fa-223 и пятью Fi-282 c перекрещивающимися винтами. Корректировали артогонь в Северных Альпах, осуществляли транспортные и связные операции (1146,10).</w:t>
      </w:r>
    </w:p>
    <w:p w14:paraId="669DAB12" w14:textId="77777777" w:rsidR="00C2313B" w:rsidRPr="00F90EAE" w:rsidRDefault="00C2313B" w:rsidP="00F90EAE">
      <w:pPr>
        <w:autoSpaceDE w:val="0"/>
        <w:autoSpaceDN w:val="0"/>
        <w:adjustRightInd w:val="0"/>
        <w:jc w:val="both"/>
        <w:rPr>
          <w:color w:val="000000" w:themeColor="text1"/>
          <w:sz w:val="16"/>
          <w:szCs w:val="16"/>
        </w:rPr>
      </w:pPr>
    </w:p>
    <w:p w14:paraId="49B8B6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немцы формируют в Баварии единственную вертолетную часть в Люфтваффе - 40-ю транспортную эскадрилью. В состав эскадрильи входили три вертолета поперечной схемы Fa-223 Генриха Фокке и пять FI-282 с перекрещивающимися винтами Антона Флеттнера. Винтокрылые машины со свастикой на фюзеляже участвовали в Северных Альпах в корректировке артиллерийского огня, а также в транспортных и связных операциях (11860).</w:t>
      </w:r>
    </w:p>
    <w:p w14:paraId="4E4B461F" w14:textId="77777777" w:rsidR="00C2313B" w:rsidRPr="00F90EAE" w:rsidRDefault="00C2313B" w:rsidP="00F90EAE">
      <w:pPr>
        <w:autoSpaceDE w:val="0"/>
        <w:autoSpaceDN w:val="0"/>
        <w:adjustRightInd w:val="0"/>
        <w:jc w:val="both"/>
        <w:rPr>
          <w:color w:val="000000" w:themeColor="text1"/>
          <w:sz w:val="16"/>
          <w:szCs w:val="16"/>
        </w:rPr>
      </w:pPr>
    </w:p>
    <w:p w14:paraId="38CE02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фирма «Хеншель» развернула работы по созданию нового образца управляемой ракеты «воздух–поверхность», получившей название Zitterrochen («Электрический скат»). Конструкция была разработана профессором Вагнером.</w:t>
      </w:r>
    </w:p>
    <w:p w14:paraId="523B4B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Испытания в аэродинамической трубе на скоростях М=1,5 дали обнадеживающие результаты, но работы были прекращены в связи с поражением Германии в войне (11686).</w:t>
      </w:r>
    </w:p>
    <w:p w14:paraId="47CCF758" w14:textId="77777777" w:rsidR="00C2313B" w:rsidRPr="00F90EAE" w:rsidRDefault="00C2313B" w:rsidP="00F90EAE">
      <w:pPr>
        <w:autoSpaceDE w:val="0"/>
        <w:autoSpaceDN w:val="0"/>
        <w:adjustRightInd w:val="0"/>
        <w:jc w:val="both"/>
        <w:rPr>
          <w:color w:val="000000" w:themeColor="text1"/>
          <w:sz w:val="16"/>
          <w:szCs w:val="16"/>
        </w:rPr>
      </w:pPr>
    </w:p>
    <w:p w14:paraId="1D39D6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макет ракеты А4b проходил испытания в аэродинамической трубе института. Эвакуация Пенемюнде положила конец еще одному зловещему плану фашистов, разрабатывавшемуся для массового уничтожения людей.</w:t>
      </w:r>
    </w:p>
    <w:p w14:paraId="4EE66C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Интересно отметить, что параллельно с беспилотным вариантом разрабатывался и пилотируемый вариант ракеты А4b. Герметичная кабина летчика размещалась в носовой части. Вариант А4b, который предназначался для летных испытаний, помимо кабины содержал и убирающееся в полете самолетное шасси, дополнительный турбореактивный или прямоточный воздушно-реактивный двигатель в нижнем стабилизаторе. Позднее этой модификации был присвоен индекс А6.</w:t>
      </w:r>
    </w:p>
    <w:p w14:paraId="78D784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Ракета А6 рассматривалась в качестве сверхзвукового пилотируемого фоторазведчика. Ее проектная скорость составляла 2900 км/ч. Длина ракеты составляла 15,75 м, размах стреловидных крыльев – 6,33 м, тяга двигателя – около 12 т. Взлет ракеты А6 должен был осуществляться вертикально. После отключения ракетного двигателя в работу вступал воздушно-реактивный двигатель. Ракета переходила в горизонтальный полет, который осуществляла в течение 15–20 минут. Приземление совершалось по-самолетному – с помощью выпускаемого колесного шасси. Для уменьшения длины разбега предусматривался тормозной парашют. Концепция ракеты А6 была после Второй мировой войны реализована в американском проекте Х15.</w:t>
      </w:r>
    </w:p>
    <w:p w14:paraId="7F06BB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Проект ракеты А7 был вариантом ракеты А6, но с дельтовидным крылом. Расчетный радиус действия составлял 800 км, высота полета – 95 км. В. фон Браун предлагал этот проект в качестве сверхзвукового перехватчика. Ракета А7 должна была запускаться с самолета. Однако руководство люфтваффе отвергло это предложение.</w:t>
      </w:r>
    </w:p>
    <w:p w14:paraId="4053CF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Интересно, что планы производства ракеты А4b существовали еще в 1941 г. По поручению фон Брауна известный германский ракетчик Г. Оберт подготовил такие расчеты. Но тогда, как мы говорили выше, был востребован более реалистичный проект – баллистическая ракета А4.</w:t>
      </w:r>
    </w:p>
    <w:p w14:paraId="6A56DAA2" w14:textId="77777777" w:rsidR="00C2313B" w:rsidRPr="00F90EAE" w:rsidRDefault="00C2313B" w:rsidP="00F90EAE">
      <w:pPr>
        <w:autoSpaceDE w:val="0"/>
        <w:autoSpaceDN w:val="0"/>
        <w:adjustRightInd w:val="0"/>
        <w:jc w:val="both"/>
        <w:rPr>
          <w:color w:val="000000" w:themeColor="text1"/>
          <w:sz w:val="16"/>
          <w:szCs w:val="16"/>
        </w:rPr>
      </w:pPr>
    </w:p>
    <w:p w14:paraId="210E74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РЛС группы американских кораблей, готовившихся к вторжению на Окинаву и продвигавшихся вдоль архипелага Нансей-Шото обнаружили 200-300 объектов, двигавшихся со скоростью 1600 км/час на высоте 600 м. Самолеты, поднятые с авианосцев, проследовали сквозь них ничего не заметив (3712).</w:t>
      </w:r>
    </w:p>
    <w:p w14:paraId="42A30721" w14:textId="77777777" w:rsidR="00C2313B" w:rsidRPr="00F90EAE" w:rsidRDefault="00C2313B" w:rsidP="00F90EAE">
      <w:pPr>
        <w:autoSpaceDE w:val="0"/>
        <w:autoSpaceDN w:val="0"/>
        <w:adjustRightInd w:val="0"/>
        <w:jc w:val="both"/>
        <w:rPr>
          <w:color w:val="000000" w:themeColor="text1"/>
          <w:sz w:val="16"/>
          <w:szCs w:val="16"/>
        </w:rPr>
      </w:pPr>
    </w:p>
    <w:p w14:paraId="03555B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по решению армейского командования фирма «Накадзима» стала разрабатывать специальный одноместный штурмовой самолет. Самолет получил название Цуруги и должен был быть максимально простым в производстве, обслуживании и управлении. По проекту на нем могли использоваться любые моторы, имевшиеся в наличии. После взлета неубирающиеся стойки шасси должны были сбрасываться. Под крыльями для резкого увеличения скорости пикирования предполагалось установить два твердотопливных ракетных ускорителя. Планировалось быстро организовать массовое производство «летающей бомбы» на многочисленных мелких предприятиях. Уже 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7C94AD50" w14:textId="77777777" w:rsidR="00C2313B" w:rsidRPr="00F90EAE" w:rsidRDefault="00C2313B" w:rsidP="00F90EAE">
      <w:pPr>
        <w:autoSpaceDE w:val="0"/>
        <w:autoSpaceDN w:val="0"/>
        <w:adjustRightInd w:val="0"/>
        <w:jc w:val="both"/>
        <w:rPr>
          <w:color w:val="000000" w:themeColor="text1"/>
          <w:sz w:val="16"/>
          <w:szCs w:val="16"/>
        </w:rPr>
      </w:pPr>
    </w:p>
    <w:p w14:paraId="6EC9D118" w14:textId="77777777" w:rsidR="00573476" w:rsidRPr="00F90EAE" w:rsidRDefault="00573476" w:rsidP="00F90EAE">
      <w:pPr>
        <w:jc w:val="both"/>
        <w:rPr>
          <w:color w:val="000000" w:themeColor="text1"/>
          <w:sz w:val="16"/>
          <w:szCs w:val="16"/>
        </w:rPr>
      </w:pPr>
      <w:r w:rsidRPr="00F90EAE">
        <w:rPr>
          <w:color w:val="000000" w:themeColor="text1"/>
          <w:sz w:val="16"/>
          <w:szCs w:val="16"/>
        </w:rPr>
        <w:t>В начале 1945 г. в единственном образце был построен построен Р-63Э. «Автомобильные» двери пилотской кабины нравились не всем; многие лётчики считали, что они усложняют покидание машины в аварийной ситуации. Во всяком случае, англичане на истребителе «Тайфун» от них со временем отказались, перейдя на традиционного типа фонарь со сдвигающейся назад секцией остекления. То же самое попытались проделать и с «Кингкоброй». Модификация Э получила фонарь кругового обзора, состоявший из неподвижного трёхгранного козырька и беспереплётной задней части, сдвигавшейся по направляющим. В аварийной ситуации задняя часть сбрасывалась.</w:t>
      </w:r>
    </w:p>
    <w:p w14:paraId="4F678060" w14:textId="77777777" w:rsidR="00573476" w:rsidRPr="00F90EAE" w:rsidRDefault="00573476" w:rsidP="00F90EAE">
      <w:pPr>
        <w:jc w:val="both"/>
        <w:rPr>
          <w:color w:val="000000" w:themeColor="text1"/>
          <w:sz w:val="16"/>
          <w:szCs w:val="16"/>
        </w:rPr>
      </w:pPr>
      <w:r w:rsidRPr="00F90EAE">
        <w:rPr>
          <w:color w:val="000000" w:themeColor="text1"/>
          <w:sz w:val="16"/>
          <w:szCs w:val="16"/>
        </w:rPr>
        <w:t>Самолёт получил мотор \/-1710-109 мощностью 1425 л.с. Ппанёр в целом соответствовал Р-63А, но размах крыла увеличили на 254 мм. Гребень под хвостовой частью фюзепяжа отсутствовал. На испытаниях ХР-630 показал максимальную скорость 703 км/ч. Но единственный построенный экземпляр этой модификации потерпел катастрофу, не выйдя из пикирования; испытатель Р. Боршерт погиб.</w:t>
      </w:r>
    </w:p>
    <w:p w14:paraId="50B4CA0D" w14:textId="77777777" w:rsidR="00573476" w:rsidRPr="00F90EAE" w:rsidRDefault="00573476" w:rsidP="00F90EAE">
      <w:pPr>
        <w:jc w:val="both"/>
        <w:rPr>
          <w:color w:val="000000" w:themeColor="text1"/>
          <w:sz w:val="16"/>
          <w:szCs w:val="16"/>
        </w:rPr>
      </w:pPr>
      <w:r w:rsidRPr="00F90EAE">
        <w:rPr>
          <w:color w:val="000000" w:themeColor="text1"/>
          <w:sz w:val="16"/>
          <w:szCs w:val="16"/>
        </w:rPr>
        <w:t>За этой машиной последовала небольшая серия из 13 самолётов Р-63Е-1, именовавшихся конструкторами «модель 41». Они сочетали новые крыло и мо-тоустановку со стандартной кабиной с «автомобильными» дверями. Пушечно- пулемётное и бомбовое вооружение дополнялось связками трубчатых направляющих для неуправляемых ракет, как у типа А-10. Эти истребители вывели на испытания к маю 1945 г. Хотя максимальный взлётный вес достиг 5085 кг, лётные данные оказались весьма высокими. Модификация считалась очень перспективной, и военные заказали сразу 2930 экземпляров. Но к моменту подготовки массового производства война подошла к концу, и контракты расторгли.</w:t>
      </w:r>
    </w:p>
    <w:p w14:paraId="42B83322" w14:textId="77777777" w:rsidR="00573476" w:rsidRPr="00F90EAE" w:rsidRDefault="00573476" w:rsidP="00F90EAE">
      <w:pPr>
        <w:jc w:val="both"/>
        <w:rPr>
          <w:color w:val="000000" w:themeColor="text1"/>
          <w:sz w:val="16"/>
          <w:szCs w:val="16"/>
        </w:rPr>
      </w:pPr>
      <w:r w:rsidRPr="00F90EAE">
        <w:rPr>
          <w:color w:val="000000" w:themeColor="text1"/>
          <w:sz w:val="16"/>
          <w:szCs w:val="16"/>
        </w:rPr>
        <w:t>Дальнейшим развитием варианта Е стала модификация Р-63Р. На ней изменили вертикальное оперение, вытянув его вверх и снабдив форкилем. Подфю- зеляжный гребень тоже присутствовал. Самолёт получил двигатель N/-1710-135 мощностью 1425 л.с. Система впрыска воды позволяла кратковременно форсировать его до 1800 л.с. Эту машину изготовили в двух экземплярах (12265).</w:t>
      </w:r>
    </w:p>
    <w:p w14:paraId="2F8E7419" w14:textId="77777777" w:rsidR="00573476" w:rsidRPr="00F90EAE" w:rsidRDefault="00573476" w:rsidP="00F90EAE">
      <w:pPr>
        <w:jc w:val="both"/>
        <w:rPr>
          <w:color w:val="000000" w:themeColor="text1"/>
          <w:sz w:val="16"/>
          <w:szCs w:val="16"/>
        </w:rPr>
      </w:pPr>
    </w:p>
    <w:p w14:paraId="0708A74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205C0C7" w14:textId="77777777" w:rsidR="00C2313B" w:rsidRPr="00F90EAE" w:rsidRDefault="00C2313B" w:rsidP="00F90EAE">
      <w:pPr>
        <w:autoSpaceDE w:val="0"/>
        <w:autoSpaceDN w:val="0"/>
        <w:adjustRightInd w:val="0"/>
        <w:jc w:val="both"/>
        <w:rPr>
          <w:iCs/>
          <w:color w:val="000000" w:themeColor="text1"/>
          <w:sz w:val="16"/>
          <w:szCs w:val="16"/>
        </w:rPr>
      </w:pPr>
    </w:p>
    <w:p w14:paraId="61C193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февралю 1945 г. авиазаводами № 1 и 30 было выпущено всего 800 комп</w:t>
      </w:r>
      <w:r w:rsidRPr="00F90EAE">
        <w:rPr>
          <w:color w:val="000000" w:themeColor="text1"/>
          <w:sz w:val="16"/>
          <w:szCs w:val="16"/>
        </w:rPr>
        <w:softHyphen/>
        <w:t>лектов ремонтного варианта бронекор</w:t>
      </w:r>
      <w:r w:rsidRPr="00F90EAE">
        <w:rPr>
          <w:color w:val="000000" w:themeColor="text1"/>
          <w:sz w:val="16"/>
          <w:szCs w:val="16"/>
        </w:rPr>
        <w:softHyphen/>
        <w:t>пуса Ил-2 (300 и 500 соответственно).</w:t>
      </w:r>
    </w:p>
    <w:p w14:paraId="5A4EC1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частях штурмовой авиации поле</w:t>
      </w:r>
      <w:r w:rsidRPr="00F90EAE">
        <w:rPr>
          <w:color w:val="000000" w:themeColor="text1"/>
          <w:sz w:val="16"/>
          <w:szCs w:val="16"/>
        </w:rPr>
        <w:softHyphen/>
        <w:t>вой вариант дополнительного брониро</w:t>
      </w:r>
      <w:r w:rsidRPr="00F90EAE">
        <w:rPr>
          <w:color w:val="000000" w:themeColor="text1"/>
          <w:sz w:val="16"/>
          <w:szCs w:val="16"/>
        </w:rPr>
        <w:softHyphen/>
        <w:t>вания Ил-2 встретили "на ура". Первые же бои показали его высокую эффек</w:t>
      </w:r>
      <w:r w:rsidRPr="00F90EAE">
        <w:rPr>
          <w:color w:val="000000" w:themeColor="text1"/>
          <w:sz w:val="16"/>
          <w:szCs w:val="16"/>
        </w:rPr>
        <w:softHyphen/>
        <w:t>тивность. Броня хорошо защищала воз</w:t>
      </w:r>
      <w:r w:rsidRPr="00F90EAE">
        <w:rPr>
          <w:color w:val="000000" w:themeColor="text1"/>
          <w:sz w:val="16"/>
          <w:szCs w:val="16"/>
        </w:rPr>
        <w:softHyphen/>
        <w:t xml:space="preserve">душного стрелка. Например, в 311 -и </w:t>
      </w:r>
      <w:r w:rsidRPr="00F90EAE">
        <w:rPr>
          <w:iCs/>
          <w:color w:val="000000" w:themeColor="text1"/>
          <w:sz w:val="16"/>
          <w:szCs w:val="16"/>
        </w:rPr>
        <w:t xml:space="preserve">шад </w:t>
      </w:r>
      <w:r w:rsidRPr="00F90EAE">
        <w:rPr>
          <w:color w:val="000000" w:themeColor="text1"/>
          <w:sz w:val="16"/>
          <w:szCs w:val="16"/>
        </w:rPr>
        <w:t>1 -и ВА был случай, когда в кабину стрел</w:t>
      </w:r>
      <w:r w:rsidRPr="00F90EAE">
        <w:rPr>
          <w:color w:val="000000" w:themeColor="text1"/>
          <w:sz w:val="16"/>
          <w:szCs w:val="16"/>
        </w:rPr>
        <w:softHyphen/>
        <w:t>ка попали два 20-мм снаряда, но стре</w:t>
      </w:r>
      <w:r w:rsidRPr="00F90EAE">
        <w:rPr>
          <w:color w:val="000000" w:themeColor="text1"/>
          <w:sz w:val="16"/>
          <w:szCs w:val="16"/>
        </w:rPr>
        <w:softHyphen/>
        <w:t>лок остался жив (6467).</w:t>
      </w:r>
    </w:p>
    <w:p w14:paraId="1A665DBC" w14:textId="77777777" w:rsidR="00C2313B" w:rsidRPr="00F90EAE" w:rsidRDefault="00C2313B" w:rsidP="00F90EAE">
      <w:pPr>
        <w:autoSpaceDE w:val="0"/>
        <w:autoSpaceDN w:val="0"/>
        <w:adjustRightInd w:val="0"/>
        <w:jc w:val="both"/>
        <w:rPr>
          <w:color w:val="000000" w:themeColor="text1"/>
          <w:sz w:val="16"/>
          <w:szCs w:val="16"/>
        </w:rPr>
      </w:pPr>
    </w:p>
    <w:p w14:paraId="6426A387" w14:textId="77777777" w:rsidR="00712FB3" w:rsidRPr="00F90EAE" w:rsidRDefault="00712FB3" w:rsidP="00F90EAE">
      <w:pPr>
        <w:jc w:val="both"/>
        <w:rPr>
          <w:color w:val="000000" w:themeColor="text1"/>
          <w:sz w:val="16"/>
          <w:szCs w:val="16"/>
        </w:rPr>
      </w:pPr>
      <w:r w:rsidRPr="00F90EAE">
        <w:rPr>
          <w:color w:val="000000" w:themeColor="text1"/>
          <w:sz w:val="16"/>
          <w:szCs w:val="16"/>
        </w:rPr>
        <w:t>К февралю 1945 г. было выпущено 800 комплектов дополнительной брони для стрелка Ил-2, а к концу года в строевые части поступило 593 Ил-2 с удлиненным бронекорпусом.</w:t>
      </w:r>
    </w:p>
    <w:p w14:paraId="395C4EA8"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Штурмовики с «длинным» бронекорпусом на фронт не попали, но дополни</w:t>
      </w:r>
      <w:r w:rsidRPr="00F90EAE">
        <w:rPr>
          <w:rFonts w:ascii="Times New Roman" w:hAnsi="Times New Roman" w:cs="Times New Roman"/>
          <w:color w:val="000000" w:themeColor="text1"/>
          <w:sz w:val="16"/>
          <w:szCs w:val="16"/>
        </w:rPr>
        <w:softHyphen/>
        <w:t>тельная броня стрелка была испытана в боях. С октября 1944 г. по март 1945 г. в частях 1,3,4 и 15 ВА было установлено 303 комплекта дополнительного брони</w:t>
      </w:r>
      <w:r w:rsidRPr="00F90EAE">
        <w:rPr>
          <w:rFonts w:ascii="Times New Roman" w:hAnsi="Times New Roman" w:cs="Times New Roman"/>
          <w:color w:val="000000" w:themeColor="text1"/>
          <w:sz w:val="16"/>
          <w:szCs w:val="16"/>
        </w:rPr>
        <w:softHyphen/>
        <w:t>рования.</w:t>
      </w:r>
    </w:p>
    <w:p w14:paraId="254249FE"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сожалению, без проблем не обо</w:t>
      </w:r>
      <w:r w:rsidRPr="00F90EAE">
        <w:rPr>
          <w:rFonts w:ascii="Times New Roman" w:hAnsi="Times New Roman" w:cs="Times New Roman"/>
          <w:color w:val="000000" w:themeColor="text1"/>
          <w:sz w:val="16"/>
          <w:szCs w:val="16"/>
        </w:rPr>
        <w:softHyphen/>
        <w:t>шлось. Как докладывал начальник отде</w:t>
      </w:r>
      <w:r w:rsidRPr="00F90EAE">
        <w:rPr>
          <w:rFonts w:ascii="Times New Roman" w:hAnsi="Times New Roman" w:cs="Times New Roman"/>
          <w:color w:val="000000" w:themeColor="text1"/>
          <w:sz w:val="16"/>
          <w:szCs w:val="16"/>
        </w:rPr>
        <w:softHyphen/>
        <w:t>ления материалов УОС ГУ ИАС ВВС инже</w:t>
      </w:r>
      <w:r w:rsidRPr="00F90EAE">
        <w:rPr>
          <w:rFonts w:ascii="Times New Roman" w:hAnsi="Times New Roman" w:cs="Times New Roman"/>
          <w:color w:val="000000" w:themeColor="text1"/>
          <w:sz w:val="16"/>
          <w:szCs w:val="16"/>
        </w:rPr>
        <w:softHyphen/>
        <w:t>нер-подполковник Огилько, «в противо</w:t>
      </w:r>
      <w:r w:rsidRPr="00F90EAE">
        <w:rPr>
          <w:rFonts w:ascii="Times New Roman" w:hAnsi="Times New Roman" w:cs="Times New Roman"/>
          <w:color w:val="000000" w:themeColor="text1"/>
          <w:sz w:val="16"/>
          <w:szCs w:val="16"/>
        </w:rPr>
        <w:softHyphen/>
        <w:t>положность заключению ГК НИИ ВВС по</w:t>
      </w:r>
      <w:r w:rsidRPr="00F90EAE">
        <w:rPr>
          <w:rFonts w:ascii="Times New Roman" w:hAnsi="Times New Roman" w:cs="Times New Roman"/>
          <w:color w:val="000000" w:themeColor="text1"/>
          <w:sz w:val="16"/>
          <w:szCs w:val="16"/>
        </w:rPr>
        <w:softHyphen/>
        <w:t>чти весь летный состав частей отмечает ухудшение маневренности и взлетных качеств самолетов Ил-2 с дополнитель</w:t>
      </w:r>
      <w:r w:rsidRPr="00F90EAE">
        <w:rPr>
          <w:rFonts w:ascii="Times New Roman" w:hAnsi="Times New Roman" w:cs="Times New Roman"/>
          <w:color w:val="000000" w:themeColor="text1"/>
          <w:sz w:val="16"/>
          <w:szCs w:val="16"/>
        </w:rPr>
        <w:softHyphen/>
        <w:t>ной броней, особенно при работе на пло</w:t>
      </w:r>
      <w:r w:rsidRPr="00F90EAE">
        <w:rPr>
          <w:rFonts w:ascii="Times New Roman" w:hAnsi="Times New Roman" w:cs="Times New Roman"/>
          <w:color w:val="000000" w:themeColor="text1"/>
          <w:sz w:val="16"/>
          <w:szCs w:val="16"/>
        </w:rPr>
        <w:softHyphen/>
        <w:t>хих аэродромах и на старой материаль</w:t>
      </w:r>
      <w:r w:rsidRPr="00F90EAE">
        <w:rPr>
          <w:rFonts w:ascii="Times New Roman" w:hAnsi="Times New Roman" w:cs="Times New Roman"/>
          <w:color w:val="000000" w:themeColor="text1"/>
          <w:sz w:val="16"/>
          <w:szCs w:val="16"/>
        </w:rPr>
        <w:softHyphen/>
        <w:t>ной части».</w:t>
      </w:r>
    </w:p>
    <w:p w14:paraId="7B1D4945"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На некоторых самолетах установка дополнительной брони настолько ухуд</w:t>
      </w:r>
      <w:r w:rsidRPr="00F90EAE">
        <w:rPr>
          <w:rFonts w:ascii="Times New Roman" w:hAnsi="Times New Roman" w:cs="Times New Roman"/>
          <w:color w:val="000000" w:themeColor="text1"/>
          <w:sz w:val="16"/>
          <w:szCs w:val="16"/>
        </w:rPr>
        <w:softHyphen/>
        <w:t>шила летные качества, «что даже вы</w:t>
      </w:r>
      <w:r w:rsidRPr="00F90EAE">
        <w:rPr>
          <w:rFonts w:ascii="Times New Roman" w:hAnsi="Times New Roman" w:cs="Times New Roman"/>
          <w:color w:val="000000" w:themeColor="text1"/>
          <w:sz w:val="16"/>
          <w:szCs w:val="16"/>
        </w:rPr>
        <w:softHyphen/>
        <w:t>сококвалифицированные летчики 76-го гшап (имевшего в своем составе 16 Героев Советского Союза), работав</w:t>
      </w:r>
      <w:r w:rsidRPr="00F90EAE">
        <w:rPr>
          <w:rFonts w:ascii="Times New Roman" w:hAnsi="Times New Roman" w:cs="Times New Roman"/>
          <w:color w:val="000000" w:themeColor="text1"/>
          <w:sz w:val="16"/>
          <w:szCs w:val="16"/>
        </w:rPr>
        <w:softHyphen/>
        <w:t>шие прежде ночными штурмовиками, от этих самолетов отказывались». Более того, после неоднократных требований летного состава старший инженер диви</w:t>
      </w:r>
      <w:r w:rsidRPr="00F90EAE">
        <w:rPr>
          <w:rFonts w:ascii="Times New Roman" w:hAnsi="Times New Roman" w:cs="Times New Roman"/>
          <w:color w:val="000000" w:themeColor="text1"/>
          <w:sz w:val="16"/>
          <w:szCs w:val="16"/>
        </w:rPr>
        <w:softHyphen/>
        <w:t>зии инженер-полковник Поляков вынуж</w:t>
      </w:r>
      <w:r w:rsidRPr="00F90EAE">
        <w:rPr>
          <w:rFonts w:ascii="Times New Roman" w:hAnsi="Times New Roman" w:cs="Times New Roman"/>
          <w:color w:val="000000" w:themeColor="text1"/>
          <w:sz w:val="16"/>
          <w:szCs w:val="16"/>
        </w:rPr>
        <w:softHyphen/>
        <w:t>ден был на Ил-2 зав. №303156 броню стрелка снять.</w:t>
      </w:r>
    </w:p>
    <w:p w14:paraId="2D90DE85"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Летчики в один голос утверждали, что Ил-2 с дополнительной броней теряют управляемость при значительно меньших повреждениях, чем самолеты без брони стрелка.</w:t>
      </w:r>
    </w:p>
    <w:p w14:paraId="29B550EF"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Не было зафиксировано ни одного случая, чтобы Ил-2 с дополнительным бронированием при серьезных повре</w:t>
      </w:r>
      <w:r w:rsidRPr="00F90EAE">
        <w:rPr>
          <w:rFonts w:ascii="Times New Roman" w:hAnsi="Times New Roman" w:cs="Times New Roman"/>
          <w:color w:val="000000" w:themeColor="text1"/>
          <w:sz w:val="16"/>
          <w:szCs w:val="16"/>
        </w:rPr>
        <w:softHyphen/>
        <w:t>ждениях хвостовой части самолета (ста</w:t>
      </w:r>
      <w:r w:rsidRPr="00F90EAE">
        <w:rPr>
          <w:rFonts w:ascii="Times New Roman" w:hAnsi="Times New Roman" w:cs="Times New Roman"/>
          <w:color w:val="000000" w:themeColor="text1"/>
          <w:sz w:val="16"/>
          <w:szCs w:val="16"/>
        </w:rPr>
        <w:softHyphen/>
        <w:t>билизатора и рулей глубины) сделал нор</w:t>
      </w:r>
      <w:r w:rsidRPr="00F90EAE">
        <w:rPr>
          <w:rFonts w:ascii="Times New Roman" w:hAnsi="Times New Roman" w:cs="Times New Roman"/>
          <w:color w:val="000000" w:themeColor="text1"/>
          <w:sz w:val="16"/>
          <w:szCs w:val="16"/>
        </w:rPr>
        <w:softHyphen/>
        <w:t>мальную посадку, в то время как на «нор</w:t>
      </w:r>
      <w:r w:rsidRPr="00F90EAE">
        <w:rPr>
          <w:rFonts w:ascii="Times New Roman" w:hAnsi="Times New Roman" w:cs="Times New Roman"/>
          <w:color w:val="000000" w:themeColor="text1"/>
          <w:sz w:val="16"/>
          <w:szCs w:val="16"/>
        </w:rPr>
        <w:softHyphen/>
        <w:t>мальных» Ил-2 такие посадки исчисля</w:t>
      </w:r>
      <w:r w:rsidRPr="00F90EAE">
        <w:rPr>
          <w:rFonts w:ascii="Times New Roman" w:hAnsi="Times New Roman" w:cs="Times New Roman"/>
          <w:color w:val="000000" w:themeColor="text1"/>
          <w:sz w:val="16"/>
          <w:szCs w:val="16"/>
        </w:rPr>
        <w:softHyphen/>
        <w:t>лись сотнями.</w:t>
      </w:r>
    </w:p>
    <w:p w14:paraId="2BEEB8A4"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Так, в 1-й и 4-й ВА из 78 Ил-2 с до</w:t>
      </w:r>
      <w:r w:rsidRPr="00F90EAE">
        <w:rPr>
          <w:rFonts w:ascii="Times New Roman" w:hAnsi="Times New Roman" w:cs="Times New Roman"/>
          <w:color w:val="000000" w:themeColor="text1"/>
          <w:sz w:val="16"/>
          <w:szCs w:val="16"/>
        </w:rPr>
        <w:softHyphen/>
        <w:t>полнительной броней 44 машины были потеряны в боях, из них только четыре Ил-2 были сбиты над целью, осталь</w:t>
      </w:r>
      <w:r w:rsidRPr="00F90EAE">
        <w:rPr>
          <w:rFonts w:ascii="Times New Roman" w:hAnsi="Times New Roman" w:cs="Times New Roman"/>
          <w:color w:val="000000" w:themeColor="text1"/>
          <w:sz w:val="16"/>
          <w:szCs w:val="16"/>
        </w:rPr>
        <w:softHyphen/>
        <w:t>ные - подбиты и затем разбиты при вынужденных посадках из-за плохой управляемости, причем два самолета при подходе к своему аэродрому пере</w:t>
      </w:r>
      <w:r w:rsidRPr="00F90EAE">
        <w:rPr>
          <w:rFonts w:ascii="Times New Roman" w:hAnsi="Times New Roman" w:cs="Times New Roman"/>
          <w:color w:val="000000" w:themeColor="text1"/>
          <w:sz w:val="16"/>
          <w:szCs w:val="16"/>
        </w:rPr>
        <w:softHyphen/>
        <w:t>вернулись в воздухе.</w:t>
      </w:r>
    </w:p>
    <w:p w14:paraId="002E40ED"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Тем не менее, по единодушному мне</w:t>
      </w:r>
      <w:r w:rsidRPr="00F90EAE">
        <w:rPr>
          <w:rFonts w:ascii="Times New Roman" w:hAnsi="Times New Roman" w:cs="Times New Roman"/>
          <w:color w:val="000000" w:themeColor="text1"/>
          <w:sz w:val="16"/>
          <w:szCs w:val="16"/>
        </w:rPr>
        <w:softHyphen/>
        <w:t>нию летного состава полевой комплект „ дополнительной брони на Ил-2 необхо</w:t>
      </w:r>
      <w:r w:rsidRPr="00F90EAE">
        <w:rPr>
          <w:rFonts w:ascii="Times New Roman" w:hAnsi="Times New Roman" w:cs="Times New Roman"/>
          <w:color w:val="000000" w:themeColor="text1"/>
          <w:sz w:val="16"/>
          <w:szCs w:val="16"/>
        </w:rPr>
        <w:softHyphen/>
        <w:t>дим, «так как процент раненых воздуш</w:t>
      </w:r>
      <w:r w:rsidRPr="00F90EAE">
        <w:rPr>
          <w:rFonts w:ascii="Times New Roman" w:hAnsi="Times New Roman" w:cs="Times New Roman"/>
          <w:color w:val="000000" w:themeColor="text1"/>
          <w:sz w:val="16"/>
          <w:szCs w:val="16"/>
        </w:rPr>
        <w:softHyphen/>
        <w:t>ных стрелков на других самолетах очень велик», но требовалось сохранить цент</w:t>
      </w:r>
      <w:r w:rsidRPr="00F90EAE">
        <w:rPr>
          <w:rFonts w:ascii="Times New Roman" w:hAnsi="Times New Roman" w:cs="Times New Roman"/>
          <w:color w:val="000000" w:themeColor="text1"/>
          <w:sz w:val="16"/>
          <w:szCs w:val="16"/>
        </w:rPr>
        <w:softHyphen/>
        <w:t>ровку самолета на прежнем уровне, на</w:t>
      </w:r>
      <w:r w:rsidRPr="00F90EAE">
        <w:rPr>
          <w:rFonts w:ascii="Times New Roman" w:hAnsi="Times New Roman" w:cs="Times New Roman"/>
          <w:color w:val="000000" w:themeColor="text1"/>
          <w:sz w:val="16"/>
          <w:szCs w:val="16"/>
        </w:rPr>
        <w:softHyphen/>
        <w:t>пример, «путем уменьшения боковых плит кабины воздушного стрелка».</w:t>
      </w:r>
    </w:p>
    <w:p w14:paraId="097D734E" w14:textId="77777777" w:rsidR="00712FB3" w:rsidRPr="00F90EAE" w:rsidRDefault="00712FB3" w:rsidP="00F90EAE">
      <w:pPr>
        <w:pStyle w:val="184"/>
        <w:shd w:val="clear" w:color="auto" w:fill="auto"/>
        <w:spacing w:before="0" w:after="0" w:line="240" w:lineRule="auto"/>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Анализ случившегося показал, что в отличие от строевых частей, государст</w:t>
      </w:r>
      <w:r w:rsidRPr="00F90EAE">
        <w:rPr>
          <w:rFonts w:ascii="Times New Roman" w:hAnsi="Times New Roman" w:cs="Times New Roman"/>
          <w:color w:val="000000" w:themeColor="text1"/>
          <w:sz w:val="16"/>
          <w:szCs w:val="16"/>
        </w:rPr>
        <w:softHyphen/>
        <w:t>венные испытания Ил-2 с дополнитель</w:t>
      </w:r>
      <w:r w:rsidRPr="00F90EAE">
        <w:rPr>
          <w:rFonts w:ascii="Times New Roman" w:hAnsi="Times New Roman" w:cs="Times New Roman"/>
          <w:color w:val="000000" w:themeColor="text1"/>
          <w:sz w:val="16"/>
          <w:szCs w:val="16"/>
        </w:rPr>
        <w:softHyphen/>
        <w:t>ной броней проводились с хороших аэро</w:t>
      </w:r>
      <w:r w:rsidRPr="00F90EAE">
        <w:rPr>
          <w:rFonts w:ascii="Times New Roman" w:hAnsi="Times New Roman" w:cs="Times New Roman"/>
          <w:color w:val="000000" w:themeColor="text1"/>
          <w:sz w:val="16"/>
          <w:szCs w:val="16"/>
        </w:rPr>
        <w:softHyphen/>
        <w:t>дромов и на совершенно новой матери</w:t>
      </w:r>
      <w:r w:rsidRPr="00F90EAE">
        <w:rPr>
          <w:rFonts w:ascii="Times New Roman" w:hAnsi="Times New Roman" w:cs="Times New Roman"/>
          <w:color w:val="000000" w:themeColor="text1"/>
          <w:sz w:val="16"/>
          <w:szCs w:val="16"/>
        </w:rPr>
        <w:softHyphen/>
        <w:t>альной части. К тому же «ГК НИИ ВВС КА не мог учесть влияние различных повре</w:t>
      </w:r>
      <w:r w:rsidRPr="00F90EAE">
        <w:rPr>
          <w:rFonts w:ascii="Times New Roman" w:hAnsi="Times New Roman" w:cs="Times New Roman"/>
          <w:color w:val="000000" w:themeColor="text1"/>
          <w:sz w:val="16"/>
          <w:szCs w:val="16"/>
        </w:rPr>
        <w:softHyphen/>
        <w:t>ждений матчасти на управляемость само</w:t>
      </w:r>
      <w:r w:rsidRPr="00F90EAE">
        <w:rPr>
          <w:rFonts w:ascii="Times New Roman" w:hAnsi="Times New Roman" w:cs="Times New Roman"/>
          <w:color w:val="000000" w:themeColor="text1"/>
          <w:sz w:val="16"/>
          <w:szCs w:val="16"/>
        </w:rPr>
        <w:softHyphen/>
        <w:t>летов Ил-2 с дополнительной броней и без нее, что для самолетов Ил-2 по усло</w:t>
      </w:r>
      <w:r w:rsidRPr="00F90EAE">
        <w:rPr>
          <w:rFonts w:ascii="Times New Roman" w:hAnsi="Times New Roman" w:cs="Times New Roman"/>
          <w:color w:val="000000" w:themeColor="text1"/>
          <w:sz w:val="16"/>
          <w:szCs w:val="16"/>
        </w:rPr>
        <w:softHyphen/>
        <w:t>виям их боевой работы имеет особое зна</w:t>
      </w:r>
      <w:r w:rsidRPr="00F90EAE">
        <w:rPr>
          <w:rFonts w:ascii="Times New Roman" w:hAnsi="Times New Roman" w:cs="Times New Roman"/>
          <w:color w:val="000000" w:themeColor="text1"/>
          <w:sz w:val="16"/>
          <w:szCs w:val="16"/>
        </w:rPr>
        <w:softHyphen/>
        <w:t>чение» (19558).</w:t>
      </w:r>
    </w:p>
    <w:p w14:paraId="2CBD3B73" w14:textId="77777777" w:rsidR="00712FB3" w:rsidRPr="00F90EAE" w:rsidRDefault="00712FB3" w:rsidP="00F90EAE">
      <w:pPr>
        <w:jc w:val="both"/>
        <w:rPr>
          <w:rStyle w:val="9pt80"/>
          <w:rFonts w:ascii="Times New Roman" w:hAnsi="Times New Roman" w:cs="Times New Roman"/>
          <w:color w:val="000000" w:themeColor="text1"/>
          <w:w w:val="100"/>
          <w:sz w:val="16"/>
          <w:szCs w:val="16"/>
        </w:rPr>
      </w:pPr>
    </w:p>
    <w:p w14:paraId="729E70E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февралю 1945 г. первый доработанный экземпляр Пе-2И испытали в ЛИИ. Изменение передаточного соотношения редуктора двигателя, использование режима форсажа на взлете (увеличение взлетной мощности почти на 100 л.с.), облегчение планера и другие изменения способствовали улучшению взлетно-посадочных характеристик и увеличению дальности полета. В этом же году ОКБ-482 предложило проекты Пе-2И с двигателями АМ-39Ф в вариантах "Москито" с облегченным оборонительным вооружением и фронтового бомбардировщика. Пе-2И с двигателями ВК-107А, несмотря на высокие характеристики, был выпущен 22-м заводом в пяти экземплярах, предназначенных для войсковых испытаний. Все самолеты предназначались для ВВС, но заказчик, из-за большого количества дефектов, так и не оплатил их. Многие из технических решений, отработанных на нем, нашли применение в других самолетах, правда, тоже, опытных (3337).</w:t>
      </w:r>
    </w:p>
    <w:p w14:paraId="435E191C" w14:textId="77777777" w:rsidR="00C2313B" w:rsidRPr="00F90EAE" w:rsidRDefault="00C2313B" w:rsidP="00F90EAE">
      <w:pPr>
        <w:autoSpaceDE w:val="0"/>
        <w:autoSpaceDN w:val="0"/>
        <w:adjustRightInd w:val="0"/>
        <w:jc w:val="both"/>
        <w:rPr>
          <w:color w:val="000000" w:themeColor="text1"/>
          <w:sz w:val="16"/>
          <w:szCs w:val="16"/>
        </w:rPr>
      </w:pPr>
    </w:p>
    <w:p w14:paraId="0BF618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февралю 1945 года первый доработанный экзем</w:t>
      </w:r>
      <w:r w:rsidRPr="00F90EAE">
        <w:rPr>
          <w:color w:val="000000" w:themeColor="text1"/>
          <w:sz w:val="16"/>
          <w:szCs w:val="16"/>
        </w:rPr>
        <w:softHyphen/>
        <w:t>пляр Пе-2И испытали в ЛИИ. Изменение передаточно</w:t>
      </w:r>
      <w:r w:rsidRPr="00F90EAE">
        <w:rPr>
          <w:color w:val="000000" w:themeColor="text1"/>
          <w:sz w:val="16"/>
          <w:szCs w:val="16"/>
        </w:rPr>
        <w:softHyphen/>
        <w:t>го соотношения редуктора двигателя, использование режима «форсажа» на взлете, облегчение планера и другие изменения способствовали улучшению взлет</w:t>
      </w:r>
      <w:r w:rsidRPr="00F90EAE">
        <w:rPr>
          <w:color w:val="000000" w:themeColor="text1"/>
          <w:sz w:val="16"/>
          <w:szCs w:val="16"/>
        </w:rPr>
        <w:softHyphen/>
        <w:t>но-посадочных характеристик и увеличению дально</w:t>
      </w:r>
      <w:r w:rsidRPr="00F90EAE">
        <w:rPr>
          <w:color w:val="000000" w:themeColor="text1"/>
          <w:sz w:val="16"/>
          <w:szCs w:val="16"/>
        </w:rPr>
        <w:softHyphen/>
        <w:t>сти полета.</w:t>
      </w:r>
    </w:p>
    <w:p w14:paraId="7B159080" w14:textId="77777777" w:rsidR="00C2313B" w:rsidRPr="00F90EAE" w:rsidRDefault="00C2313B"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Спустя два месяца эту машину передали в НИИ ВВС, где подтвердили полученные в ЛИИ длину разбе</w:t>
      </w:r>
      <w:r w:rsidRPr="00F90EAE">
        <w:rPr>
          <w:color w:val="000000" w:themeColor="text1"/>
          <w:sz w:val="16"/>
          <w:szCs w:val="16"/>
        </w:rPr>
        <w:softHyphen/>
        <w:t>га 420—480 м при взлетном весе 8980 кг (с 500 кг бомб), а при весе 9480 кг (с бомбовой нагрузкой 1000 кг) разбег не превышал 500 м.</w:t>
      </w:r>
    </w:p>
    <w:p w14:paraId="055587B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Специалисты НИИ ВВС отмечали большие нагруз</w:t>
      </w:r>
      <w:r w:rsidRPr="00F90EAE">
        <w:rPr>
          <w:color w:val="000000" w:themeColor="text1"/>
          <w:sz w:val="16"/>
          <w:szCs w:val="16"/>
        </w:rPr>
        <w:softHyphen/>
        <w:t>ки на штурвал, но не рекомендовали пользоваться триммером для упрощения управлением самолетом. В то же время, учтя рекомендации ЦАГИ и ЛИИ, ввели дополнительную сервокомпенсацию руля высоты.</w:t>
      </w:r>
    </w:p>
    <w:p w14:paraId="3D43819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этом же году ОКБ-482 предложило проекты Пе-2И с двигателями АМ-39Ф в вариантах «Москито» с об</w:t>
      </w:r>
      <w:r w:rsidRPr="00F90EAE">
        <w:rPr>
          <w:color w:val="000000" w:themeColor="text1"/>
          <w:sz w:val="16"/>
          <w:szCs w:val="16"/>
        </w:rPr>
        <w:softHyphen/>
        <w:t>легченным оборонительным вооружением и фронто</w:t>
      </w:r>
      <w:r w:rsidRPr="00F90EAE">
        <w:rPr>
          <w:color w:val="000000" w:themeColor="text1"/>
          <w:sz w:val="16"/>
          <w:szCs w:val="16"/>
        </w:rPr>
        <w:softHyphen/>
        <w:t>вого бомбардировщика.</w:t>
      </w:r>
    </w:p>
    <w:p w14:paraId="61D06EF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Пе-2И с двигателями ВК-107А, несмотря на высо</w:t>
      </w:r>
      <w:r w:rsidRPr="00F90EAE">
        <w:rPr>
          <w:color w:val="000000" w:themeColor="text1"/>
          <w:sz w:val="16"/>
          <w:szCs w:val="16"/>
        </w:rPr>
        <w:softHyphen/>
        <w:t>кие характеристики, был выпущен 22-м заводом в пяти экземплярах, предназначенных для войсковых испы</w:t>
      </w:r>
      <w:r w:rsidRPr="00F90EAE">
        <w:rPr>
          <w:color w:val="000000" w:themeColor="text1"/>
          <w:sz w:val="16"/>
          <w:szCs w:val="16"/>
        </w:rPr>
        <w:softHyphen/>
        <w:t>таний. Внедрение Пе-2И в серию потребовало изменить около трети чертежей Пе-2И соответственно его про</w:t>
      </w:r>
      <w:r w:rsidRPr="00F90EAE">
        <w:rPr>
          <w:color w:val="000000" w:themeColor="text1"/>
          <w:sz w:val="16"/>
          <w:szCs w:val="16"/>
        </w:rPr>
        <w:softHyphen/>
        <w:t>изводственной оснастки,</w:t>
      </w:r>
    </w:p>
    <w:p w14:paraId="143D57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самолеты предназначались для ВВС, но за</w:t>
      </w:r>
      <w:r w:rsidRPr="00F90EAE">
        <w:rPr>
          <w:color w:val="000000" w:themeColor="text1"/>
          <w:sz w:val="16"/>
          <w:szCs w:val="16"/>
        </w:rPr>
        <w:softHyphen/>
        <w:t>казчик, из-за большого количества дефектов, так и не оплатил их. Многие из технических решений, отработайных на нем, нашли применение в других самолетах, правда, тоже опытных (11446).</w:t>
      </w:r>
    </w:p>
    <w:p w14:paraId="104C70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76A5C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5C2FD43" w14:textId="77777777" w:rsidR="00C2313B" w:rsidRPr="00F90EAE" w:rsidRDefault="00C2313B" w:rsidP="00F90EAE">
      <w:pPr>
        <w:autoSpaceDE w:val="0"/>
        <w:autoSpaceDN w:val="0"/>
        <w:adjustRightInd w:val="0"/>
        <w:jc w:val="both"/>
        <w:rPr>
          <w:iCs/>
          <w:color w:val="000000" w:themeColor="text1"/>
          <w:sz w:val="16"/>
          <w:szCs w:val="16"/>
        </w:rPr>
      </w:pPr>
    </w:p>
    <w:p w14:paraId="047AED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февралю 1945 в ВМФ США было 17 вертолетов (3032,129).</w:t>
      </w:r>
    </w:p>
    <w:p w14:paraId="7AE6B849" w14:textId="77777777" w:rsidR="00C2313B" w:rsidRPr="00F90EAE" w:rsidRDefault="00C2313B" w:rsidP="00F90EAE">
      <w:pPr>
        <w:autoSpaceDE w:val="0"/>
        <w:autoSpaceDN w:val="0"/>
        <w:adjustRightInd w:val="0"/>
        <w:jc w:val="both"/>
        <w:rPr>
          <w:color w:val="000000" w:themeColor="text1"/>
          <w:sz w:val="16"/>
          <w:szCs w:val="16"/>
        </w:rPr>
      </w:pPr>
    </w:p>
    <w:p w14:paraId="0038D16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EC6A3F4" w14:textId="77777777" w:rsidR="00C2313B" w:rsidRPr="00F90EAE" w:rsidRDefault="00C2313B" w:rsidP="00F90EAE">
      <w:pPr>
        <w:autoSpaceDE w:val="0"/>
        <w:autoSpaceDN w:val="0"/>
        <w:adjustRightInd w:val="0"/>
        <w:jc w:val="both"/>
        <w:rPr>
          <w:iCs/>
          <w:color w:val="000000" w:themeColor="text1"/>
          <w:sz w:val="16"/>
          <w:szCs w:val="16"/>
        </w:rPr>
      </w:pPr>
    </w:p>
    <w:p w14:paraId="458C9651" w14:textId="77777777" w:rsidR="003D013D" w:rsidRPr="00F90EAE" w:rsidRDefault="003D013D" w:rsidP="00F90EAE">
      <w:pPr>
        <w:jc w:val="both"/>
        <w:rPr>
          <w:color w:val="000000" w:themeColor="text1"/>
          <w:sz w:val="16"/>
          <w:szCs w:val="16"/>
        </w:rPr>
      </w:pPr>
      <w:r w:rsidRPr="00F90EAE">
        <w:rPr>
          <w:color w:val="000000" w:themeColor="text1"/>
          <w:sz w:val="16"/>
          <w:szCs w:val="16"/>
        </w:rPr>
        <w:t>1 февраля 1945 г. в до</w:t>
      </w:r>
      <w:r w:rsidRPr="00F90EAE">
        <w:rPr>
          <w:color w:val="000000" w:themeColor="text1"/>
          <w:sz w:val="16"/>
          <w:szCs w:val="16"/>
        </w:rPr>
        <w:softHyphen/>
        <w:t>полнение к высотному истребителю Як-9 на лётную станцию передали высотный ис</w:t>
      </w:r>
      <w:r w:rsidRPr="00F90EAE">
        <w:rPr>
          <w:color w:val="000000" w:themeColor="text1"/>
          <w:sz w:val="16"/>
          <w:szCs w:val="16"/>
        </w:rPr>
        <w:softHyphen/>
        <w:t>требитель Як-3 с ВК-105ПД и двухступенчатым нагнетателем Э-100, с передаточным числом 9,72. Площадь крыла увеличили по сравнению с серийным Як-3 на 0,5 м</w:t>
      </w:r>
      <w:r w:rsidRPr="00F90EAE">
        <w:rPr>
          <w:color w:val="000000" w:themeColor="text1"/>
          <w:sz w:val="16"/>
          <w:szCs w:val="16"/>
          <w:vertAlign w:val="superscript"/>
        </w:rPr>
        <w:t>2</w:t>
      </w:r>
      <w:r w:rsidRPr="00F90EAE">
        <w:rPr>
          <w:color w:val="000000" w:themeColor="text1"/>
          <w:sz w:val="16"/>
          <w:szCs w:val="16"/>
        </w:rPr>
        <w:t>, а раз</w:t>
      </w:r>
      <w:r w:rsidRPr="00F90EAE">
        <w:rPr>
          <w:color w:val="000000" w:themeColor="text1"/>
          <w:sz w:val="16"/>
          <w:szCs w:val="16"/>
        </w:rPr>
        <w:softHyphen/>
        <w:t>мах крыла — на 0,6 м. В период с 23 февраля по 3 мая 1945 г. лётчик-испытатель С.Н. Анохин совершил на нём 18 полётов. Из-за ненормальной работы мотора испытания ча</w:t>
      </w:r>
      <w:r w:rsidRPr="00F90EAE">
        <w:rPr>
          <w:color w:val="000000" w:themeColor="text1"/>
          <w:sz w:val="16"/>
          <w:szCs w:val="16"/>
        </w:rPr>
        <w:softHyphen/>
        <w:t>сто приходилось прерывать, а 14 мая полёты с этим мотором пришлось прекратить со</w:t>
      </w:r>
      <w:r w:rsidRPr="00F90EAE">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3D6F7F03" w14:textId="77777777" w:rsidR="003D013D" w:rsidRPr="00F90EAE" w:rsidRDefault="003D013D" w:rsidP="00F90EAE">
      <w:pPr>
        <w:jc w:val="both"/>
        <w:rPr>
          <w:color w:val="000000" w:themeColor="text1"/>
          <w:sz w:val="16"/>
          <w:szCs w:val="16"/>
        </w:rPr>
      </w:pPr>
      <w:r w:rsidRPr="00F90EAE">
        <w:rPr>
          <w:color w:val="000000" w:themeColor="text1"/>
          <w:sz w:val="16"/>
          <w:szCs w:val="16"/>
        </w:rPr>
        <w:t>Ощущения И.И. Шунейко в том полёте очень образно описал И.И. Шелест:</w:t>
      </w:r>
    </w:p>
    <w:p w14:paraId="79686AE8" w14:textId="77777777" w:rsidR="003D013D" w:rsidRPr="00F90EAE" w:rsidRDefault="003D013D" w:rsidP="00F90EAE">
      <w:pPr>
        <w:jc w:val="both"/>
        <w:rPr>
          <w:color w:val="000000" w:themeColor="text1"/>
          <w:sz w:val="16"/>
          <w:szCs w:val="16"/>
        </w:rPr>
      </w:pPr>
      <w:r w:rsidRPr="00F90EAE">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F90EAE">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5DA37CC" w14:textId="77777777" w:rsidR="003D013D" w:rsidRPr="00F90EAE" w:rsidRDefault="003D013D" w:rsidP="00F90EAE">
      <w:pPr>
        <w:jc w:val="both"/>
        <w:rPr>
          <w:color w:val="000000" w:themeColor="text1"/>
          <w:sz w:val="16"/>
          <w:szCs w:val="16"/>
        </w:rPr>
      </w:pPr>
      <w:r w:rsidRPr="00F90EAE">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F90EAE">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0F9B6E25" w14:textId="77777777" w:rsidR="003D013D" w:rsidRPr="00F90EAE" w:rsidRDefault="003D013D" w:rsidP="00F90EAE">
      <w:pPr>
        <w:jc w:val="both"/>
        <w:rPr>
          <w:color w:val="000000" w:themeColor="text1"/>
          <w:sz w:val="16"/>
          <w:szCs w:val="16"/>
        </w:rPr>
      </w:pPr>
      <w:r w:rsidRPr="00F90EAE">
        <w:rPr>
          <w:color w:val="000000" w:themeColor="text1"/>
          <w:sz w:val="16"/>
          <w:szCs w:val="16"/>
        </w:rPr>
        <w:t>«Видно, это будет наш общий потолок — и мотора и мой, — продолжал свою заме</w:t>
      </w:r>
      <w:r w:rsidRPr="00F90EAE">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58DD3D88" w14:textId="77777777" w:rsidR="003D013D" w:rsidRPr="00F90EAE" w:rsidRDefault="003D013D" w:rsidP="00F90EAE">
      <w:pPr>
        <w:jc w:val="both"/>
        <w:rPr>
          <w:color w:val="000000" w:themeColor="text1"/>
          <w:sz w:val="16"/>
          <w:szCs w:val="16"/>
        </w:rPr>
      </w:pPr>
      <w:r w:rsidRPr="00F90EAE">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F90EAE">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A8E7E2C" w14:textId="77777777" w:rsidR="003D013D" w:rsidRPr="00F90EAE" w:rsidRDefault="003D013D" w:rsidP="00F90EAE">
      <w:pPr>
        <w:jc w:val="both"/>
        <w:rPr>
          <w:color w:val="000000" w:themeColor="text1"/>
          <w:sz w:val="16"/>
          <w:szCs w:val="16"/>
        </w:rPr>
      </w:pPr>
      <w:r w:rsidRPr="00F90EAE">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F90EAE">
        <w:rPr>
          <w:color w:val="000000" w:themeColor="text1"/>
          <w:sz w:val="16"/>
          <w:szCs w:val="16"/>
        </w:rPr>
        <w:softHyphen/>
        <w:t>лной грудью. И с этим вздохом в душу его влетела некая птица дотоле неведомой вели</w:t>
      </w:r>
      <w:r w:rsidRPr="00F90EAE">
        <w:rPr>
          <w:color w:val="000000" w:themeColor="text1"/>
          <w:sz w:val="16"/>
          <w:szCs w:val="16"/>
        </w:rPr>
        <w:softHyphen/>
        <w:t>кой радости. Он понял, что</w:t>
      </w:r>
      <w:r w:rsidRPr="00F90EAE">
        <w:rPr>
          <w:rStyle w:val="MSReferenceSansSerif85pt"/>
          <w:rFonts w:ascii="Times New Roman" w:hAnsi="Times New Roman" w:cs="Times New Roman"/>
          <w:b w:val="0"/>
          <w:i w:val="0"/>
          <w:color w:val="000000" w:themeColor="text1"/>
          <w:sz w:val="16"/>
          <w:szCs w:val="16"/>
        </w:rPr>
        <w:t xml:space="preserve"> этот день его.</w:t>
      </w:r>
      <w:r w:rsidRPr="00F90EAE">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078B29D1" w14:textId="77777777" w:rsidR="003D013D" w:rsidRPr="00F90EAE" w:rsidRDefault="003D013D" w:rsidP="00F90EAE">
      <w:pPr>
        <w:jc w:val="both"/>
        <w:rPr>
          <w:color w:val="000000" w:themeColor="text1"/>
          <w:sz w:val="16"/>
          <w:szCs w:val="16"/>
        </w:rPr>
      </w:pPr>
      <w:r w:rsidRPr="00F90EAE">
        <w:rPr>
          <w:color w:val="000000" w:themeColor="text1"/>
          <w:sz w:val="16"/>
          <w:szCs w:val="16"/>
        </w:rPr>
        <w:t>Впоследствии начальник лётной части ЛИИ Даниил Степанович Зосим, сам инже</w:t>
      </w:r>
      <w:r w:rsidRPr="00F90EAE">
        <w:rPr>
          <w:color w:val="000000" w:themeColor="text1"/>
          <w:sz w:val="16"/>
          <w:szCs w:val="16"/>
        </w:rPr>
        <w:softHyphen/>
        <w:t>нер-лётчик, знакомый с высотными полётами (перед войной он принимал участие в ис</w:t>
      </w:r>
      <w:r w:rsidRPr="00F90EAE">
        <w:rPr>
          <w:color w:val="000000" w:themeColor="text1"/>
          <w:sz w:val="16"/>
          <w:szCs w:val="16"/>
        </w:rPr>
        <w:softHyphen/>
        <w:t>пытаниях одного из первых советских скафандров), спросил Шунейко:</w:t>
      </w:r>
    </w:p>
    <w:p w14:paraId="00CFE383" w14:textId="77777777" w:rsidR="003D013D" w:rsidRPr="00F90EAE" w:rsidRDefault="003D013D" w:rsidP="00F90EAE">
      <w:pPr>
        <w:numPr>
          <w:ilvl w:val="0"/>
          <w:numId w:val="1"/>
        </w:numPr>
        <w:tabs>
          <w:tab w:val="left" w:pos="423"/>
        </w:tabs>
        <w:jc w:val="both"/>
        <w:rPr>
          <w:color w:val="000000" w:themeColor="text1"/>
          <w:sz w:val="16"/>
          <w:szCs w:val="16"/>
        </w:rPr>
      </w:pPr>
      <w:r w:rsidRPr="00F90EAE">
        <w:rPr>
          <w:color w:val="000000" w:themeColor="text1"/>
          <w:sz w:val="16"/>
          <w:szCs w:val="16"/>
        </w:rPr>
        <w:t>Скажи, пожалуйста, Иван Иванович, будучи на моем месте, сколько бы ты запла</w:t>
      </w:r>
      <w:r w:rsidRPr="00F90EAE">
        <w:rPr>
          <w:color w:val="000000" w:themeColor="text1"/>
          <w:sz w:val="16"/>
          <w:szCs w:val="16"/>
        </w:rPr>
        <w:softHyphen/>
        <w:t>тил лётчику за риск таких полётов на высоту?</w:t>
      </w:r>
    </w:p>
    <w:p w14:paraId="4257CEFD" w14:textId="77777777" w:rsidR="003D013D" w:rsidRPr="00F90EAE" w:rsidRDefault="003D013D" w:rsidP="00F90EAE">
      <w:pPr>
        <w:jc w:val="both"/>
        <w:rPr>
          <w:color w:val="000000" w:themeColor="text1"/>
          <w:sz w:val="16"/>
          <w:szCs w:val="16"/>
        </w:rPr>
      </w:pPr>
      <w:r w:rsidRPr="00F90EAE">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DAC94CE" w14:textId="77777777" w:rsidR="003D013D" w:rsidRPr="00F90EAE" w:rsidRDefault="003D013D" w:rsidP="00F90EAE">
      <w:pPr>
        <w:numPr>
          <w:ilvl w:val="0"/>
          <w:numId w:val="1"/>
        </w:numPr>
        <w:tabs>
          <w:tab w:val="left" w:pos="420"/>
        </w:tabs>
        <w:jc w:val="both"/>
        <w:rPr>
          <w:color w:val="000000" w:themeColor="text1"/>
          <w:sz w:val="16"/>
          <w:szCs w:val="16"/>
        </w:rPr>
      </w:pPr>
      <w:r w:rsidRPr="00F90EAE">
        <w:rPr>
          <w:color w:val="000000" w:themeColor="text1"/>
          <w:sz w:val="16"/>
          <w:szCs w:val="16"/>
        </w:rPr>
        <w:t>На мой взгляд... эти полёты стоят столько, сколько стоит моя жизнь» (15830).</w:t>
      </w:r>
    </w:p>
    <w:p w14:paraId="20D5806C" w14:textId="77777777" w:rsidR="003D013D" w:rsidRPr="00F90EAE" w:rsidRDefault="003D013D" w:rsidP="00F90EAE">
      <w:pPr>
        <w:tabs>
          <w:tab w:val="left" w:pos="420"/>
        </w:tabs>
        <w:jc w:val="both"/>
        <w:rPr>
          <w:color w:val="000000" w:themeColor="text1"/>
          <w:sz w:val="16"/>
          <w:szCs w:val="16"/>
        </w:rPr>
      </w:pPr>
    </w:p>
    <w:p w14:paraId="39AC84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состоялся первый полет предпоследнего советского дирижабля ДМ-20 "Победа", а последнего - СССР В-12-бис "Патриот" - 8 августа 1947 (233,166).</w:t>
      </w:r>
    </w:p>
    <w:p w14:paraId="2A52D83E" w14:textId="77777777" w:rsidR="00C2313B" w:rsidRPr="00F90EAE" w:rsidRDefault="00C2313B" w:rsidP="00F90EAE">
      <w:pPr>
        <w:autoSpaceDE w:val="0"/>
        <w:autoSpaceDN w:val="0"/>
        <w:adjustRightInd w:val="0"/>
        <w:jc w:val="both"/>
        <w:rPr>
          <w:color w:val="000000" w:themeColor="text1"/>
          <w:sz w:val="16"/>
          <w:szCs w:val="16"/>
        </w:rPr>
      </w:pPr>
    </w:p>
    <w:p w14:paraId="473E7D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года решением ГКО и приказом НКАП в марте 1945 года был организован завод № 794 с профилем: производство деталей из тонкой керамики для радиолокационной аппаратуры. Для размещения завода № 794 была предоставлена площадка бывш. завода № 123 (по Таврической ул.), на которой завод был до 1 июня 1945 года. В июне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4352C36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переходом на новую площадку изменился и профиль завода.</w:t>
      </w:r>
    </w:p>
    <w:p w14:paraId="591E7E7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1E74C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 А.П. – с 1 апреля 1945 года</w:t>
      </w:r>
    </w:p>
    <w:p w14:paraId="217C90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ОКБ:</w:t>
      </w:r>
    </w:p>
    <w:p w14:paraId="42CA07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Комедатов Ю.Г. – с 3 июня 1946 года по 3 сентября 1950 года</w:t>
      </w:r>
    </w:p>
    <w:p w14:paraId="5B7FF3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Котов А.А. – с 3 сентября 1950 года по 23 сентября 1954 года</w:t>
      </w:r>
    </w:p>
    <w:p w14:paraId="56BD7F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Зазорин Е.А. – с 23 сентября 1954 года</w:t>
      </w:r>
    </w:p>
    <w:p w14:paraId="3ECD3D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w:t>
      </w:r>
    </w:p>
    <w:p w14:paraId="62C302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Волковская ул., д. 27 (9866).</w:t>
      </w:r>
    </w:p>
    <w:p w14:paraId="6E33FEB3" w14:textId="77777777" w:rsidR="00C2313B" w:rsidRPr="00F90EAE" w:rsidRDefault="00C2313B" w:rsidP="00F90EAE">
      <w:pPr>
        <w:autoSpaceDE w:val="0"/>
        <w:autoSpaceDN w:val="0"/>
        <w:adjustRightInd w:val="0"/>
        <w:jc w:val="both"/>
        <w:rPr>
          <w:color w:val="000000" w:themeColor="text1"/>
          <w:sz w:val="16"/>
          <w:szCs w:val="16"/>
        </w:rPr>
      </w:pPr>
    </w:p>
    <w:p w14:paraId="5BBF0AC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Распоряжение ГКО № 7436 [О выдаче по 1 кг хлеба в день 5100 заключенным и спецконтингенту, занятым на заготовке, вывозке и отгрузке авиационной фанерной березы и сосны.] (7304, 62).</w:t>
      </w:r>
    </w:p>
    <w:p w14:paraId="4B0CF737"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B74D60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C442E66" w14:textId="77777777" w:rsidR="00C2313B" w:rsidRPr="00F90EAE" w:rsidRDefault="00C2313B" w:rsidP="00F90EAE">
      <w:pPr>
        <w:autoSpaceDE w:val="0"/>
        <w:autoSpaceDN w:val="0"/>
        <w:adjustRightInd w:val="0"/>
        <w:jc w:val="both"/>
        <w:rPr>
          <w:iCs/>
          <w:color w:val="000000" w:themeColor="text1"/>
          <w:sz w:val="16"/>
          <w:szCs w:val="16"/>
        </w:rPr>
      </w:pPr>
    </w:p>
    <w:p w14:paraId="3EB4E70E" w14:textId="77777777" w:rsidR="004945E9" w:rsidRPr="00F90EAE" w:rsidRDefault="004945E9" w:rsidP="00F90EAE">
      <w:pPr>
        <w:jc w:val="both"/>
        <w:rPr>
          <w:color w:val="000000" w:themeColor="text1"/>
          <w:sz w:val="16"/>
          <w:szCs w:val="16"/>
        </w:rPr>
      </w:pPr>
      <w:r w:rsidRPr="00F90EAE">
        <w:rPr>
          <w:color w:val="000000" w:themeColor="text1"/>
          <w:sz w:val="16"/>
          <w:szCs w:val="16"/>
        </w:rPr>
        <w:t>1 февраля 1945 г. ИЗ ОТЧЕТА О РАБОТЕ ОТДЕЛА ОБОРОННОЙ ПРОМЫШЛЕННОСТИ НОВОСИБИРСКОГО ГОРКОМА ВКП(б) ЗА 1944 г.</w:t>
      </w:r>
    </w:p>
    <w:p w14:paraId="3D10E26C" w14:textId="77777777" w:rsidR="004945E9" w:rsidRPr="00F90EAE" w:rsidRDefault="004945E9" w:rsidP="00F90EAE">
      <w:pPr>
        <w:jc w:val="both"/>
        <w:rPr>
          <w:color w:val="000000" w:themeColor="text1"/>
          <w:sz w:val="16"/>
          <w:szCs w:val="16"/>
        </w:rPr>
      </w:pPr>
      <w:r w:rsidRPr="00F90EAE">
        <w:rPr>
          <w:color w:val="000000" w:themeColor="text1"/>
          <w:sz w:val="16"/>
          <w:szCs w:val="16"/>
        </w:rPr>
        <w:t xml:space="preserve">В отдел оборонной промышленности горкома ВКП(б) входят следующие отрасли промышленности: промышленность боеприпасов, промышленность вооружения, промышленность авиации, промышленность черной металлургии. В истекшем 1944 году оборонные предприятия города работали в условиях, требовавших увеличения выпуска продукции при прежнем или уменьшенном количестве рабочих. Поэтому в своей практической работе оборонные заводы города должны были решить, и в подавляющем большинстве успешно решили, основную поставленную задачу - с меньшим количеством людей дать больше боевой продукции. Решение задачи - с меньшим числом рабочих дать больше продукции — было направлено по пути резкого увеличения производительности труда за счет: усовершенствования технологии, организации труда, организации производства, механизации трудоемких операций и процессов, повышения квалификации рабочих. Каких же результатов добились отдельные предприятия оборонной промышленности? Ордена Ленина комбинат № 179. В 1944 году на комбинате был осуществлен большой план организационно-технических мероприятий по дальнейшему усовершенствованию технологии и конструкции изделий, внедрению поточных методов производства, усилению механизации трудоемких операций и процессов, улучшению организации производства и организации труда. По комбинату Х 179 увеличение производительности труда в 1944 г. - 28% против 1943 года - позволило увеличить выпуск боеприпасов за этот период на 28,7%, при уменьшении количества рабочей силы. Выполнение годового плана закончено на 37 дней раньше. Комбинат за 1944 год дал фронту боевой продукции сверх плана [на] сумму 70 млн. рублей. Почти все изделия, выпускаемые комбинатом, являются самыми дешевыми изделиями, выпускаемыми аналогичными заводами нашей страны. Завоевав в марте месяце переходящее Красное знамя ЦК ВКП(б), комбинат держит его до настоящего времени. Ордена Трудового Красного Знамени завод № 635. Установление четырех ленточных транспортеров для погрузки готовой продукции непосредственно в железнодорожные вагоны позволило заводу высвободить 40 человек рабочих-грузчиков. Только за счет реконструкции склада, где хранятся пустые корпуса, высвобождено 10 человек рабочих, две единицы гужевого транспорта. Проведение ряда технологических усовершенствований по цеху приготовления суррогатов позволило увеличить его производительность в два раза и этим обеспечить рост выпуска боеприпасов. Коллектив завода досрочно к 5 декабря - дню Сталинской Конституции закончил выполнение годового плана. Этот завод дал прирост продукции в 1944 году на 35,9%, против 1943 года, при меньшем количестве людей. Только за один 1944 год дано заводом сверхплановой продукции на 76 млн. рублей. Коллектив завода по праву занимает с февраля месяца 1944 года первое место во Всесоюзном соревновании и беспрерывно в течение 11 месяцев держит переходящее Красное знамя ЦК ВКП(б). Завод № 386. Организация поточных линий в производстве резко сказалась на увеличении выпуска продукции и ее удешевлении. Например, на изготовление изделия ... расход рабочего времени на единицу сократился на 45% (вместо 15,7 чел./часа потребовалось только 8,7 чел./часа). Расход зарплаты на одну единицу снизился с 33 рублей до 24 рублей. Себестоимость единицы изделия снижена на 26%. По изделию ...' до внедрения поточного метода расход рабочего времени на единицу изделия составлял 92 чел./часа, а после внедрения потока потребовалось только 60 чел./часов. Следовательно, это дало возможность увеличить выпуск этого изделия на 50%. Завод № 188. Из заводов промышленности вооружения необходимо особо отметить работу по улучшению технико-экономических показателей коллектива завода № 188. Если в 1943 г. за счет удорожания выпускаемой продукции завод дал убытка свыше 15 млн. рублей, то в 1944 году в результате проведения ряда организационно-технических мероприятий, направленных на снижение непроизводительных расходов, завод дал около 3 млн. сверхплановых накоплений. Завод № 702 Наркомчермета на 204% увеличил выпуск продукции против 1943 года и почти на 8 млн. рублей дал сверхплановой продукции в 1944 г. Этот завод за 1944 год дал государству сверхплановых накоплений 27 млн. рублей. Завод № 350. В текущем 1944 году коллективом завода изготовлено 11 единиц опытных образцов новых изделий и произведен запуск в производство двух сложнейших объектов вооружения. Большая работа проведена по усовершенствованию технологии, например: переведено на холодную и горячую штамповку — 38 деталей, переведено с токарной на револьверную обработку — 34 детали, переведено на автоматы — 30 деталей, переведено на пластмассу - 10 деталей, применена скоростная полировка оптических изделий и ряд других, что позволило заводу в 1944 г. сэкономить: черного металла — 12 тонн, цветного металла - 2,8 тонны, спирта — 4 тонны, топлива — 497 тонн, электроэнергии - 256 тыс. кВт.час. Проведение указанных мероприятий не могло не сказаться на себестоимости выпускаемой продукции. В 1944 году себестоимость продукции снижена на 11%, что дало возможность заводу получить свыше 3 млн. рублей экономии. План 1944 года по производительности труда выполнен на 110,7%, что дает увеличение против 1943 года на 30,7%. Это дало возможность заводу увеличить выпуск продукции в 1944 году на 17%, при уменьшении количества рабочей силы на 5%. Завод им. Чкалова. В 1944 году большой рост выпуска продукции дал завод им. Чкалова, увеличив его на 25,6% против 1943 года, при уменьшении количества рабочих на 8%. Такое увеличение выпуска продукции шло исключительно за счет роста производительности труда, снижения трудоемкости обработки изделий, за счет усовершенствования конструкций и улучшения технологического процесса, широкого внедрения поточного метода производства и улучшения организации труда. Введено 19 поточных линий, что позволило снизить трудоемкость против 1943 года в среднем на 29%. Производительность труда в 1944 году составила 106,2%, а против 1943 года — увеличилась на 41%. Проведение в жизнь ряда организационно-технических мероприятий позволило коллективу завода снизить себестоимость выпускаемой продукции, против 1943 года, на 12% и получить за счет этого 80 млн. рублей экономии. Наряду с передовыми заводами, которые в 1944 году сумели напряженной и творческой работой преодолеть трудности в снабжении энергией, топливом, основными металлами и обеспечили перевыполнение заданий Государственного Комитета Обороны, мы имеем заводы № 677 и № 556. которые сорвали выполнение планов 1944 года. Эти заводы не дали увеличения выпуска продукции против выпуска 1943 года, хотя количество рабочей силы осталось почти без изменений. Основной причиной плохой работы завода N° 677 является недостаточная борьба руководства завода за своевременное снабжение металлом механических цехов, за освоение заменителей автоматной стали и плохая организация производственных процессов, вследствие чего завод имел большие убытки от брака, который в конце года увеличился по детали N° 6 до 19%. За год потери от брака по этой детали составили такое количество, которое обеспечивает выполнение 2-месячной программы. Одной из основных причин невыполнения плана в 1944 году по заводу № 556 является также брак, убытки от которого, против 1943 года, увеличились на 2,5 млн. рублей и составили за 1944 год свыше 11 млн. рублей. Если в 1943 году было внедрено рацпредложений 3 000 с экономическим эффектом в 90 млн. рублей, то в 1944 году их внедрено 4 100 с экономическим эффектом в 92,6 млн. рублей. Наиболее активизировалась работа с рационализаторами и изобретателями на заводах промышленности вооружения. Если в 1943 году было подано рацпредложений 1 333, из них внедрено 630 и получен экономический эффект в 7 433 тыс. рублей, то в 1944 году подано 2 840 рацпредложений, из них внедрено 1 298 и получен экономический эффект в 11,5 млн. рублей. На заводе им. Чкалова в 1944 году внедрено 1 314 рацпредложений, против 779 в 1943 году, и получена экономия в 13 млн. рублей, против 11,5 млн. рублей в 1943 году. Положительные результаты в этой работе имеет ряд заводов промышленности боеприпасов (заводы №Л^ 564, 386). Внесено много рационализаторских предложений, заслуживших общего внимания. Например, на заводе № 564 т. Кулагин предложил такое приспособление калибровки мелких резьб, которое позволило в 2-3 раза увеличить производительность труда контролеров на данной операции. На заводе № 556 начальник лаборатории тов. Колосветов предложил изготавливать матрицы с победитовыми кольцами. Испытание их показало большую стойкость и производительность. Это предложение дает заводу годовую экономию свыше двух миллионов рублей. Начальник цеха тов. Чернышев совместно с технологом цеха тов. Бобриным предложили ленточный транспортер для перемещения изделий и создания поточности производства. Внедрение этого предложения освобождает 126 человек рабочих. Экономический эффект- 1,5 млн. рублей в год. На заводе № 386 также имеется ряд ценных рацпредложений, внедрение которых позволило заводу в 1944 году дать экономии 636 тыс. рублей, против 56 тыс. рублей в 1943 году. Наиболее ценными предложениями являются: предложение по рациональному способу резки стандартного листа фольги вместо 16 на 18 частей. Внедрение этого предложения позволило заводу сэкономить 12% дорогостоящего металла. Годовая экономия — 416 тыс. рублей; применение нового инструмента для прессования одного изделия - вместо обычных 10 гнезд применили 14. Это дало возможность увеличить производительность на 40%. На заводе им. Ленина проведение 2 смотров рационализации и изобретательства значительно повысило роль рационализатора на производстве, а проведение в жизнь предложений, поступивших в период смотра, резко сказалось на улучшении работы всего завода. Например, предложение старшего мастера литейного цеха тов. Белова об изменении технологии заливки металла позволило сократить брак на 50% и дать годовую экономию в 44 тыс. рублей. Предложение слесаря Сту-пенкова о замене ручной работы работой на прессе увеличило производительность в 10 раз и дало годовой экономии в 11 тыс. рублей. Но наряду с этим мы имеем и такие заводы, где работа с рационализаторами и изобретателями в целом по заводу пошла на убыль. Это можно видеть на примере завода № 556 и передового завода ордена Трудового Красного Знамени № 635. По заводу № 556 в 1943 году было подано рацпредложений 458, из них внедрено - 209 и получено экономии от внедрения рацпредложений 14 млн. рублей, а в 1944 году поступило предложений всего только 178, из них внедрено за год только 109, получено экономии 8 млн. рублей. По заводу № 635 в 1943 году экономический эффект от внедрения рацпредложений составил около 2,5 млн. рублей, а в 1944 году получена экономия всего лишь 800 тыс. рублей. Материально-бытовые условия трудящихся заводов оборонной промышленности Партийные организации заводов, успешно решая производственные вопросы по обеспечению выполнения государственных планов, в 1944 году проводили работу и по улучшению материально-бытовых и культурных условий трудящихся. На заводе ордена Трудового Красного Знамени № 635 в 1944 году введены в эксплуатацию новые жилые дома, что дало возможность расселить рабочих и полностью отказаться от 2-ярусных нар. Для улучшения культурного обслуживания трудящихся завода выстроен и введен в эксплуатацию клуб на 300 посадочных мест, летняя эстрада на 700 мест и танцевальная площадка. Закончено строительство детского сада на 100 ребят и открыт родильный дом. На зиму рабочие завода обеспечены на 90% теплыми костюмами, полушубками, меховыми жилетами. Выдано 400 пар валенок. Все общежития обеспечены топливом. Питание на этом заводе улучшено - все рабочие пользуются трехразовым питанием, помимо дополнительного. Вместе с тем на этом заводе имеется еще много рабочих-одиночек, не имеющих смены белья, верхней одежды. В общежитиях не хватает смены постельного белья, вместо кроватей рабочие спят на топчанах с грязными </w:t>
      </w:r>
      <w:r w:rsidRPr="00F90EAE">
        <w:rPr>
          <w:color w:val="000000" w:themeColor="text1"/>
          <w:sz w:val="16"/>
          <w:szCs w:val="16"/>
        </w:rPr>
        <w:lastRenderedPageBreak/>
        <w:t>матрацами; общежития не обеспечены тумбочками, табуретами. Совершенно не организовано изготовление предметов широкого потребления для продажи рабочим завода, хотя возможности для этого имеются. Все это происходит потому, что партийная организация не взяла под свой контроль вопрос улучшения быта рабочих, хозяйственное руководство ослабило внимание к условиям быта. На заводе им. Ленина больным вопросом являются жилищные условия рабочих. С 1941 года многие рабочие живут в землянках, которые уже приходят в негодность. В настоящее время 324 семьи живут в землянках. Кроме того, многие рабочие живут в порядке подселения, в частном секторе. Все это обязывало партийное руководство завода им. Ленина серьезно заняться данным вопросом и взять под особый контроль вопрос жилищного строительства. Но партийное руководство, в унисон хозяйственному руководству завода, формально отнеслось к этому вопросу, считая, что строительство жилья ведет СибОВСУ, поэтому не стоит вмешиваться в это. Формальное отношение к вопросу улучшения быта со стороны партийного руководства заключается и в том, что, несмотря на явный холод в общежитиях (+5°), норма выдачи угля не увеличивается свыше 10 кг в день и партийное руководство, в лице т. Гицеля, считает это вполне законным. Плохо подготовлен завод к зиме в отношении обеспечения рабочих топливом. Если на заводе организованы заводские цеха по изготовлению такого ширпотреба, как катка валенок, изготовление резиновой обуви, пошив кожаной обуви, пошив верхнего и нижнего платья, ремонт обуви, то к изготовлению столь необходимого ширпотреба в виде посуды, ведер, корыт, железных кроватей и прочих до сих пор по-серьезному не приступили, хотя возможность на это завод имеет. В течение 1944 года в цехах образованы мастерские по ремонту обуви, в 7 цехах - пошивочные мастерские по пошивке и ремонту одежды. Очень мало сделано на заводе по улучшению качества питания, вследствие чего летом 1944 года имели место случаи отравления рабочих. Отсутствие контроля со стороны партийных организаций за улучшением быта рабочих привело к тому, что, например, на комбинате № 179 во многих общежитиях грязь, холод, недостает кроватей, тумбочек, табуреток и другого инвентаря, не говоря уже о хозяйственной посуде. Питание на комбинате № 179 и заводе X? 677 организовано плохо. XVI Пленум горкома ВКП(б) осудил такую практику руководства парторганизаций комбината № 179, заводов № № 677 и 69 и предложил всем секретарям парторганизаций установить строгий контроль за работой аппаратов ЖКО и ОРСов. Такое положение по вопросу улучшения быта рабочих можно встретить на каждом заводе. Вопрос улучшения материально-бытовых условий трудящихся обязывает всю партийную организацию города в 1945 году решить очень много вопросов, связанных с развертыванием жилстроительства, обеспечением рабочих одеждой, бельем, резким улучшением качества питания, своевременным обеспечением топливом рабочих, не доводя это дело до зимы, улучшением культурного обслуживания рабочих и усилением политического воспитания их. В текущем году необходимо коренным образом изменить отношение заводов к вопросу развертывания и массового выпуска предметов широкого потребления. Роль и влияние отдела на работу промышленности в 1944 году В истекшем году отделом оборонной промышленности были проведены следующие наиболее крупные мероприятия. На бюро горкома ВКП(б) были поставлены вопросы: о работе парторганизаций завода № 556 и комбината № 179 в вопросе укрепления трудовой дисциплины; об улучшении материально-бытовых условий трудящихся завода Ленина; об улучшении технико-экономических показателей завода № 188; о развитии многостаночного обслуживания на заводе N? 564; о ходе выполнения задания обкома ВКП(б) по изготовлению запасных частей (заводы №№ 153, 556, 564); о случаях возникновения пожаров на заводах 556 и 564.</w:t>
      </w:r>
    </w:p>
    <w:p w14:paraId="4BCB1702" w14:textId="77777777" w:rsidR="004945E9" w:rsidRPr="00F90EAE" w:rsidRDefault="004945E9" w:rsidP="00F90EAE">
      <w:pPr>
        <w:jc w:val="both"/>
        <w:rPr>
          <w:color w:val="000000" w:themeColor="text1"/>
          <w:sz w:val="16"/>
          <w:szCs w:val="16"/>
        </w:rPr>
      </w:pPr>
      <w:r w:rsidRPr="00F90EAE">
        <w:rPr>
          <w:color w:val="000000" w:themeColor="text1"/>
          <w:sz w:val="16"/>
          <w:szCs w:val="16"/>
        </w:rPr>
        <w:t>Зам. зав. отделом оборонной промышленности горкома ВКП(б) Черепанов</w:t>
      </w:r>
    </w:p>
    <w:p w14:paraId="493E9665" w14:textId="77777777" w:rsidR="004945E9" w:rsidRPr="00F90EAE" w:rsidRDefault="004945E9" w:rsidP="00F90EAE">
      <w:pPr>
        <w:jc w:val="both"/>
        <w:rPr>
          <w:color w:val="000000" w:themeColor="text1"/>
          <w:sz w:val="16"/>
          <w:szCs w:val="16"/>
        </w:rPr>
      </w:pPr>
      <w:r w:rsidRPr="00F90EAE">
        <w:rPr>
          <w:color w:val="000000" w:themeColor="text1"/>
          <w:sz w:val="16"/>
          <w:szCs w:val="16"/>
        </w:rPr>
        <w:t>ГАНС Ф. П-22. Оп. 3. Д. 1594. Л. 22-25, 29-30. Подлинник.</w:t>
      </w:r>
    </w:p>
    <w:p w14:paraId="011C8566" w14:textId="77777777" w:rsidR="004945E9" w:rsidRPr="00F90EAE" w:rsidRDefault="004945E9" w:rsidP="00F90EAE">
      <w:pPr>
        <w:jc w:val="both"/>
        <w:rPr>
          <w:color w:val="000000" w:themeColor="text1"/>
          <w:sz w:val="16"/>
          <w:szCs w:val="16"/>
        </w:rPr>
      </w:pPr>
      <w:r w:rsidRPr="00F90EAE">
        <w:rPr>
          <w:color w:val="000000" w:themeColor="text1"/>
          <w:sz w:val="16"/>
          <w:szCs w:val="16"/>
        </w:rPr>
        <w:t>Подпись-автограф Черепанова. Один из экземпляров машинописной закладки. Документ датируется по проставленной при ого подписании Черепановым дате: 1.11.1945 г. (12160).</w:t>
      </w:r>
    </w:p>
    <w:p w14:paraId="3E365254" w14:textId="77777777" w:rsidR="004945E9" w:rsidRPr="00F90EAE" w:rsidRDefault="004945E9" w:rsidP="00F90EAE">
      <w:pPr>
        <w:jc w:val="both"/>
        <w:rPr>
          <w:color w:val="000000" w:themeColor="text1"/>
          <w:sz w:val="16"/>
          <w:szCs w:val="16"/>
        </w:rPr>
      </w:pPr>
    </w:p>
    <w:p w14:paraId="450123CD" w14:textId="77777777" w:rsidR="00A524F6" w:rsidRPr="00F90EAE" w:rsidRDefault="00A524F6" w:rsidP="00F90EAE">
      <w:pPr>
        <w:jc w:val="both"/>
        <w:rPr>
          <w:color w:val="000000" w:themeColor="text1"/>
          <w:sz w:val="16"/>
          <w:szCs w:val="16"/>
        </w:rPr>
      </w:pPr>
      <w:r w:rsidRPr="00F90EAE">
        <w:rPr>
          <w:color w:val="000000" w:themeColor="text1"/>
          <w:sz w:val="16"/>
          <w:szCs w:val="16"/>
        </w:rPr>
        <w:t>1 февраля 1945 года начались испытания улучшенной версии машины НКЛ-26. Несмотря на ряд выявившихся проблем, Аэросанное управление Красной армии (подчинялось Управлению бронепоездов и бронемашин ГБТУ КА) продолжало работу над новыми машинами. Прежде всего это касалось транспортных аэросаней. В 1944 году на испытания вышли штабные аэросани НКЛ-38</w:t>
      </w:r>
    </w:p>
    <w:p w14:paraId="57C7591F" w14:textId="77777777" w:rsidR="00A524F6" w:rsidRPr="00F90EAE" w:rsidRDefault="00A524F6" w:rsidP="00F90EAE">
      <w:pPr>
        <w:jc w:val="both"/>
        <w:rPr>
          <w:color w:val="000000" w:themeColor="text1"/>
          <w:sz w:val="16"/>
          <w:szCs w:val="16"/>
        </w:rPr>
      </w:pPr>
      <w:r w:rsidRPr="00F90EAE">
        <w:rPr>
          <w:color w:val="000000" w:themeColor="text1"/>
          <w:sz w:val="16"/>
          <w:szCs w:val="16"/>
        </w:rPr>
        <w:t>Она существенно отличалась от аэросаней НКЛ-26: форма корпуса больше напоминала автомобиль, кроме того, в машине учли ряд недостатков предшественников. Машина имела ряд дефектов, часть из которых устранили в ходе модернизации. Впрочем, эти дефекты были не самой большой проблемой. Главным препятствием на пути к серии оказался канадский снегоход, который в переписке ГБТУ КА проходил как «канадский бронированный снегоход Mk-1 (B-3)». В переписке Аэросанного управления Красной армии он появился в феврале 1945 года (18251).</w:t>
      </w:r>
    </w:p>
    <w:p w14:paraId="15B2D873" w14:textId="77777777" w:rsidR="00A524F6" w:rsidRPr="00F90EAE" w:rsidRDefault="00A524F6" w:rsidP="00F90EAE">
      <w:pPr>
        <w:jc w:val="both"/>
        <w:rPr>
          <w:color w:val="000000" w:themeColor="text1"/>
          <w:sz w:val="16"/>
          <w:szCs w:val="16"/>
        </w:rPr>
      </w:pPr>
    </w:p>
    <w:p w14:paraId="0926739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7432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 I квартале 1945 года. РГАНИР, Фонд ГКО, д. 365, лл. 11-16, 17-57 (11012).</w:t>
      </w:r>
    </w:p>
    <w:p w14:paraId="232E44F3" w14:textId="77777777" w:rsidR="00C2313B" w:rsidRPr="00F90EAE" w:rsidRDefault="00C2313B" w:rsidP="00F90EAE">
      <w:pPr>
        <w:autoSpaceDE w:val="0"/>
        <w:autoSpaceDN w:val="0"/>
        <w:adjustRightInd w:val="0"/>
        <w:jc w:val="both"/>
        <w:rPr>
          <w:color w:val="000000" w:themeColor="text1"/>
          <w:sz w:val="16"/>
          <w:szCs w:val="16"/>
        </w:rPr>
      </w:pPr>
    </w:p>
    <w:p w14:paraId="4117DBDE"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7437 О плане распределения электроэнергии на февраль 1945 г. (7304, 63-65,66-77).</w:t>
      </w:r>
    </w:p>
    <w:p w14:paraId="4B5AB95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28491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7438 О мерах помощи предприятиям Наркомчермета углем, мазутом и электроэнергией в феврале 1945 года. РГАНИР, Фонд ГКО, д. 365, лл. 78-82, 83-88 (11012).</w:t>
      </w:r>
    </w:p>
    <w:p w14:paraId="62D467BE" w14:textId="77777777" w:rsidR="00C2313B" w:rsidRPr="00F90EAE" w:rsidRDefault="00C2313B" w:rsidP="00F90EAE">
      <w:pPr>
        <w:autoSpaceDE w:val="0"/>
        <w:autoSpaceDN w:val="0"/>
        <w:adjustRightInd w:val="0"/>
        <w:jc w:val="both"/>
        <w:rPr>
          <w:color w:val="000000" w:themeColor="text1"/>
          <w:sz w:val="16"/>
          <w:szCs w:val="16"/>
        </w:rPr>
      </w:pPr>
    </w:p>
    <w:p w14:paraId="099CC728"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7446 О мероприятиях по улучшению материально-бытовых условий работников НКПС и управлений железных дорог. (7304, 101-102,103).</w:t>
      </w:r>
    </w:p>
    <w:p w14:paraId="5E9108E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D1012D5"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7447 О частичном изменении постановления ГОКО от 28 января 1945 г. № 7412с о перешивке железных дорог Польши и Германии в пределах 2-го Белорусского фронта. (7304, 104).</w:t>
      </w:r>
    </w:p>
    <w:p w14:paraId="6CAF720F"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1B78C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7451 О плане ремонта бронеавтомобилей, бронетранспортеров, мотоциклов и велосипедов для Красной Армии на I квартал 1945 года. РГАНИР, Фонд ГКО, д. 365, лл. 116-118, 119-136 (11012).</w:t>
      </w:r>
    </w:p>
    <w:p w14:paraId="19A46F14" w14:textId="77777777" w:rsidR="00C2313B" w:rsidRPr="00F90EAE" w:rsidRDefault="00C2313B" w:rsidP="00F90EAE">
      <w:pPr>
        <w:autoSpaceDE w:val="0"/>
        <w:autoSpaceDN w:val="0"/>
        <w:adjustRightInd w:val="0"/>
        <w:jc w:val="both"/>
        <w:rPr>
          <w:color w:val="000000" w:themeColor="text1"/>
          <w:sz w:val="16"/>
          <w:szCs w:val="16"/>
        </w:rPr>
      </w:pPr>
    </w:p>
    <w:p w14:paraId="544615D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7452 Об изготовлении мостовых металлических ферм для НКПС в первом полугодии 1945 г. (7304, 137-142).</w:t>
      </w:r>
    </w:p>
    <w:p w14:paraId="1FC11FE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EF1438C"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7453 О плане ремонта автомобилей для Красной Армии, Военно-Морского Флота и централизованного резерва на I квартал 1945 г. (7305, 1-10,11-97).</w:t>
      </w:r>
    </w:p>
    <w:p w14:paraId="18B923E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1A3512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7454 О плане ремонта и производства военно-технического имущества на I кв. 1945 г. по Наркомату Обороны СССР. РГАНИР, Фонд ГКО, д. 366, лл. 98-100, 101-158 (11012).</w:t>
      </w:r>
    </w:p>
    <w:p w14:paraId="416CFECA" w14:textId="77777777" w:rsidR="00C2313B" w:rsidRPr="00F90EAE" w:rsidRDefault="00C2313B" w:rsidP="00F90EAE">
      <w:pPr>
        <w:autoSpaceDE w:val="0"/>
        <w:autoSpaceDN w:val="0"/>
        <w:adjustRightInd w:val="0"/>
        <w:jc w:val="both"/>
        <w:rPr>
          <w:color w:val="000000" w:themeColor="text1"/>
          <w:sz w:val="16"/>
          <w:szCs w:val="16"/>
        </w:rPr>
      </w:pPr>
    </w:p>
    <w:p w14:paraId="0D7759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7455 О плане производства серийных радиолокационных станций, запасного имущества и комплектующих изделий к ним и о материально-техническом обеспечении радиолокационной промышленности в I квартале 1945 года. РГАНИР, Фонд ГКО, д. 366, лл. 159-169, 170-207 (11012).</w:t>
      </w:r>
    </w:p>
    <w:p w14:paraId="369E8276" w14:textId="77777777" w:rsidR="00C2313B" w:rsidRPr="00F90EAE" w:rsidRDefault="00C2313B" w:rsidP="00F90EAE">
      <w:pPr>
        <w:autoSpaceDE w:val="0"/>
        <w:autoSpaceDN w:val="0"/>
        <w:adjustRightInd w:val="0"/>
        <w:jc w:val="both"/>
        <w:rPr>
          <w:color w:val="000000" w:themeColor="text1"/>
          <w:sz w:val="16"/>
          <w:szCs w:val="16"/>
        </w:rPr>
      </w:pPr>
    </w:p>
    <w:p w14:paraId="79FFAF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Распоряжение ГКО № 7456. О реэвакуации оборудования, строительных материалов и рабочей силы со строительства Челябинской станции на Лисичанскую станцию Подземгаза. РГАНИР, Фонд ГКО, д. 366, лл. 208 (11012).</w:t>
      </w:r>
    </w:p>
    <w:p w14:paraId="60FAACA9" w14:textId="77777777" w:rsidR="00C2313B" w:rsidRPr="00F90EAE" w:rsidRDefault="00C2313B" w:rsidP="00F90EAE">
      <w:pPr>
        <w:autoSpaceDE w:val="0"/>
        <w:autoSpaceDN w:val="0"/>
        <w:adjustRightInd w:val="0"/>
        <w:jc w:val="both"/>
        <w:rPr>
          <w:color w:val="000000" w:themeColor="text1"/>
          <w:sz w:val="16"/>
          <w:szCs w:val="16"/>
        </w:rPr>
      </w:pPr>
    </w:p>
    <w:p w14:paraId="0BBEC02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7457 О подготовке квалифицированных кадров для Дашкесанского рудника Наркомчермета в Азербайджанской ССР. (7305, 209).</w:t>
      </w:r>
    </w:p>
    <w:p w14:paraId="2FDECCE5"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1674B8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7458 Об организации Украинского дорожно-строительного треста Гушосдора НКВД СССР. (7305, 210-212,213).</w:t>
      </w:r>
    </w:p>
    <w:p w14:paraId="42C947D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3ED50B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7459 О мероприятиях по развитию производства флотационных масел в 1945 году. РГАНИР, Фонд ГКО, д. 366, лл. 214-216, 217-218 (11012).</w:t>
      </w:r>
    </w:p>
    <w:p w14:paraId="0E2AAAED" w14:textId="77777777" w:rsidR="00C2313B" w:rsidRPr="00F90EAE" w:rsidRDefault="00C2313B" w:rsidP="00F90EAE">
      <w:pPr>
        <w:autoSpaceDE w:val="0"/>
        <w:autoSpaceDN w:val="0"/>
        <w:adjustRightInd w:val="0"/>
        <w:jc w:val="both"/>
        <w:rPr>
          <w:color w:val="000000" w:themeColor="text1"/>
          <w:sz w:val="16"/>
          <w:szCs w:val="16"/>
        </w:rPr>
      </w:pPr>
    </w:p>
    <w:p w14:paraId="15EBFE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7460 О неотложных мероприятиях по строительству Широковской гидроэлектростанции. РГАНИР, Фонд ГКО, д. 366, лл. 219-222 (11012).</w:t>
      </w:r>
    </w:p>
    <w:p w14:paraId="198A45CD" w14:textId="77777777" w:rsidR="00C2313B" w:rsidRPr="00F90EAE" w:rsidRDefault="00C2313B" w:rsidP="00F90EAE">
      <w:pPr>
        <w:autoSpaceDE w:val="0"/>
        <w:autoSpaceDN w:val="0"/>
        <w:adjustRightInd w:val="0"/>
        <w:jc w:val="both"/>
        <w:rPr>
          <w:color w:val="000000" w:themeColor="text1"/>
          <w:sz w:val="16"/>
          <w:szCs w:val="16"/>
        </w:rPr>
      </w:pPr>
    </w:p>
    <w:p w14:paraId="68A481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7461 Об обеспечении НКО СССР маскировочными красками. РГАНИР, Фонд ГКО, д. 366, лл. 223-225, 226 (11012).</w:t>
      </w:r>
    </w:p>
    <w:p w14:paraId="0A010074" w14:textId="77777777" w:rsidR="00C2313B" w:rsidRPr="00F90EAE" w:rsidRDefault="00C2313B" w:rsidP="00F90EAE">
      <w:pPr>
        <w:autoSpaceDE w:val="0"/>
        <w:autoSpaceDN w:val="0"/>
        <w:adjustRightInd w:val="0"/>
        <w:jc w:val="both"/>
        <w:rPr>
          <w:color w:val="000000" w:themeColor="text1"/>
          <w:sz w:val="16"/>
          <w:szCs w:val="16"/>
        </w:rPr>
      </w:pPr>
    </w:p>
    <w:p w14:paraId="637B0C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7462 Об обеспечении монтажа радиолокационных приборов на кораблях и береговых установках Наркомвоенморфлота. РГАНИР, Фонд ГКО, д. 366, лл. 227-229, 230-231 (11012).</w:t>
      </w:r>
    </w:p>
    <w:p w14:paraId="0294B01C" w14:textId="77777777" w:rsidR="00C2313B" w:rsidRPr="00F90EAE" w:rsidRDefault="00C2313B" w:rsidP="00F90EAE">
      <w:pPr>
        <w:autoSpaceDE w:val="0"/>
        <w:autoSpaceDN w:val="0"/>
        <w:adjustRightInd w:val="0"/>
        <w:jc w:val="both"/>
        <w:rPr>
          <w:color w:val="000000" w:themeColor="text1"/>
          <w:sz w:val="16"/>
          <w:szCs w:val="16"/>
        </w:rPr>
      </w:pPr>
    </w:p>
    <w:p w14:paraId="1D34E17D"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1 февраля 1945 вышло Постановление ГКО № 7464 О ремонте узкоколейного железнодорожного транспорта Главторфа НКЭС. (7305, 238-242,243-247).</w:t>
      </w:r>
    </w:p>
    <w:p w14:paraId="10BB3E8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A5B4BE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B7D102E" w14:textId="77777777" w:rsidR="00C2313B" w:rsidRPr="00F90EAE" w:rsidRDefault="00C2313B" w:rsidP="00F90EAE">
      <w:pPr>
        <w:autoSpaceDE w:val="0"/>
        <w:autoSpaceDN w:val="0"/>
        <w:adjustRightInd w:val="0"/>
        <w:jc w:val="both"/>
        <w:rPr>
          <w:iCs/>
          <w:color w:val="000000" w:themeColor="text1"/>
          <w:sz w:val="16"/>
          <w:szCs w:val="16"/>
        </w:rPr>
      </w:pPr>
    </w:p>
    <w:p w14:paraId="27E26E08" w14:textId="77777777" w:rsidR="003D013D" w:rsidRPr="00F90EAE" w:rsidRDefault="003D013D" w:rsidP="00F90EAE">
      <w:pPr>
        <w:jc w:val="both"/>
        <w:rPr>
          <w:color w:val="000000" w:themeColor="text1"/>
          <w:sz w:val="16"/>
          <w:szCs w:val="16"/>
        </w:rPr>
      </w:pPr>
      <w:r w:rsidRPr="00F90EAE">
        <w:rPr>
          <w:bCs/>
          <w:color w:val="000000" w:themeColor="text1"/>
          <w:sz w:val="16"/>
          <w:szCs w:val="16"/>
        </w:rPr>
        <w:t>1 февраля</w:t>
      </w:r>
      <w:r w:rsidRPr="00F90EAE">
        <w:rPr>
          <w:color w:val="000000" w:themeColor="text1"/>
          <w:sz w:val="16"/>
          <w:szCs w:val="16"/>
        </w:rPr>
        <w:t xml:space="preserve"> в 1945 году оперативная сводка Совинформбюро:</w:t>
      </w:r>
    </w:p>
    <w:p w14:paraId="34A40106" w14:textId="77777777" w:rsidR="003D013D" w:rsidRPr="00F90EAE" w:rsidRDefault="003D013D" w:rsidP="00F90EAE">
      <w:pPr>
        <w:jc w:val="both"/>
        <w:rPr>
          <w:color w:val="000000" w:themeColor="text1"/>
          <w:sz w:val="16"/>
          <w:szCs w:val="16"/>
        </w:rPr>
      </w:pPr>
      <w:r w:rsidRPr="00F90EAE">
        <w:rPr>
          <w:color w:val="000000" w:themeColor="text1"/>
          <w:sz w:val="16"/>
          <w:szCs w:val="16"/>
        </w:rPr>
        <w:t>«В течение 1 февраля в Восточной Пруссии наши войска продолжали вести наступательные бои, в ходе которых овладели городом Зеeбург, а также с боями заняли более 50 других населённых пунктов и среди них Другенен, Куменен, Поерштитен, Понакен, Шудиттен (17 километров северо-западнее Кенигсберга), Кнаутен, Роггенхаузен, Толнигr, Зигфридсвальде, Лекиттен, Флеминг, Эшенау, Глоттау.</w:t>
      </w:r>
    </w:p>
    <w:p w14:paraId="12C80E09" w14:textId="77777777" w:rsidR="003D013D" w:rsidRPr="00F90EAE" w:rsidRDefault="003D013D" w:rsidP="00F90EAE">
      <w:pPr>
        <w:jc w:val="both"/>
        <w:rPr>
          <w:color w:val="000000" w:themeColor="text1"/>
          <w:sz w:val="16"/>
          <w:szCs w:val="16"/>
        </w:rPr>
      </w:pPr>
      <w:r w:rsidRPr="00F90EAE">
        <w:rPr>
          <w:color w:val="000000" w:themeColor="text1"/>
          <w:sz w:val="16"/>
          <w:szCs w:val="16"/>
        </w:rPr>
        <w:t>Войска 2-го Белорусского фронта, сломив сопротивление окружённой группировки противника, 1 февраля штурмом овладели городом и крепостью Торунь (Торн)— важным узлом коммуникаций и мощным опорным пунктом обороны немцев на реке Висла.</w:t>
      </w:r>
    </w:p>
    <w:p w14:paraId="1FCF345B"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и северо-западнее города Шнайдемюль наши войска, продолжая наступление, овладели городом Ратцебур, а также с боями заняли населённые пункты Пиннов, Бризенитц, Цамборст, Виссульке, Лебенке, Шпрингберг. Наши войска окружили гарнизон противника в городе Шнайдемюль и вели бои по его уничтожению.</w:t>
      </w:r>
    </w:p>
    <w:p w14:paraId="6B184CAA"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Франкфурта-на-Одере наши войска с боем овладели городом и железнодорожным узлом Шверин, а также заняли на территории Бранденбургской провинции более 100 других населённых пунктов, в том числе крупные населённые пункты Либенов, Дюрингсхоф, Хаммер, Кенигсвальде, Глайссен, Зеерен, Лагов, Мюльбок, Гризель, Лайтерсдорф.</w:t>
      </w:r>
    </w:p>
    <w:p w14:paraId="1E420C26" w14:textId="77777777" w:rsidR="003D013D" w:rsidRPr="00F90EAE" w:rsidRDefault="003D013D" w:rsidP="00F90EAE">
      <w:pPr>
        <w:jc w:val="both"/>
        <w:rPr>
          <w:color w:val="000000" w:themeColor="text1"/>
          <w:sz w:val="16"/>
          <w:szCs w:val="16"/>
        </w:rPr>
      </w:pPr>
      <w:r w:rsidRPr="00F90EAE">
        <w:rPr>
          <w:color w:val="000000" w:themeColor="text1"/>
          <w:sz w:val="16"/>
          <w:szCs w:val="16"/>
        </w:rPr>
        <w:t>В районе Познани продолжались бои по уничтожению окружённых в городе частей противника.</w:t>
      </w:r>
    </w:p>
    <w:p w14:paraId="66D8C0FB" w14:textId="77777777" w:rsidR="003D013D" w:rsidRPr="00F90EAE" w:rsidRDefault="003D013D" w:rsidP="00F90EAE">
      <w:pPr>
        <w:jc w:val="both"/>
        <w:rPr>
          <w:color w:val="000000" w:themeColor="text1"/>
          <w:sz w:val="16"/>
          <w:szCs w:val="16"/>
        </w:rPr>
      </w:pPr>
      <w:r w:rsidRPr="00F90EAE">
        <w:rPr>
          <w:color w:val="000000" w:themeColor="text1"/>
          <w:sz w:val="16"/>
          <w:szCs w:val="16"/>
        </w:rPr>
        <w:t>Западнее города Лешно (Лисса) наши войска пересекли германскую границу и с боем овладели на территории Германии городами Шлезирзе и Фрауштадт, а также с боями заняли более 50 других населённых пунктов, среди которых крупные населённые пункты Шуссенце, Шенаве, Мерцдорф, Лангемарк, Курсдорф, Шлихтингсхайм.</w:t>
      </w:r>
    </w:p>
    <w:p w14:paraId="24703959"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наши войска продолжали вести бои по уничтожению окружённого гарнизона противника в западной части города (Буда) и заняли несколько кварталов.</w:t>
      </w:r>
    </w:p>
    <w:p w14:paraId="0054CED9" w14:textId="77777777" w:rsidR="003D013D" w:rsidRPr="00F90EAE" w:rsidRDefault="003D013D" w:rsidP="00F90EAE">
      <w:pPr>
        <w:jc w:val="both"/>
        <w:rPr>
          <w:color w:val="000000" w:themeColor="text1"/>
          <w:sz w:val="16"/>
          <w:szCs w:val="16"/>
        </w:rPr>
      </w:pPr>
      <w:r w:rsidRPr="00F90EAE">
        <w:rPr>
          <w:color w:val="000000" w:themeColor="text1"/>
          <w:sz w:val="16"/>
          <w:szCs w:val="16"/>
        </w:rPr>
        <w:t>За 31 января на всех фронтах подбито и уничтожено 195 немецких танков. В воздушных боях и огнём зенитной артиллерии сбито 26 самолётов противника.</w:t>
      </w:r>
    </w:p>
    <w:p w14:paraId="50900132" w14:textId="77777777" w:rsidR="003D013D" w:rsidRPr="00F90EAE" w:rsidRDefault="003D013D" w:rsidP="00F90EAE">
      <w:pPr>
        <w:jc w:val="both"/>
        <w:rPr>
          <w:color w:val="000000" w:themeColor="text1"/>
          <w:sz w:val="16"/>
          <w:szCs w:val="16"/>
        </w:rPr>
      </w:pPr>
      <w:r w:rsidRPr="00F90EAE">
        <w:rPr>
          <w:color w:val="000000" w:themeColor="text1"/>
          <w:sz w:val="16"/>
          <w:szCs w:val="16"/>
        </w:rPr>
        <w:t>В Восточной Пруссии наши войска продолжали наступление. Части Н-ского соединения, действующие северо-западнее города Кенигсберг, переправились через реку Мюленфлис, заняли ряд населённых пунктов и ведут бои в 12 километрах от побережья Данцигской бухты. Ожесточённые бои происходили также за сильно укреплённый город Зеебург. Противник, опираясь на заранее подготовленные позиции, оказывал упорное сопротивление. Советские пехотинцы и танкисты преодолели полосу немецкой обороны и овладели городом Зеебург. В течение дня уничтожено несколько тысяч гитлеровцев. Подбито и сожжено более 40 немецких танков. Захвачены трофеи, в числе которых 25 танков и самоходных орудий, 49 полевых орудий, 6 паровозов и 150 вагонов с грузами. Взято в плен свыше 2.000 немцев.</w:t>
      </w:r>
    </w:p>
    <w:p w14:paraId="3F8AB501"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Северо-западнее города Алленштайн наши войска, успешно отразив попытки немцев пробиться в западном направлении, нанесли им тяжёлые потери. Места боёв усеяны трупами гитлеровцев, разбитой техникой и вооружением противника.</w:t>
      </w:r>
    </w:p>
    <w:p w14:paraId="474EC76C" w14:textId="77777777" w:rsidR="003D013D" w:rsidRPr="00F90EAE" w:rsidRDefault="003D013D" w:rsidP="00F90EAE">
      <w:pPr>
        <w:jc w:val="both"/>
        <w:rPr>
          <w:color w:val="000000" w:themeColor="text1"/>
          <w:sz w:val="16"/>
          <w:szCs w:val="16"/>
        </w:rPr>
      </w:pPr>
      <w:r w:rsidRPr="00F90EAE">
        <w:rPr>
          <w:color w:val="000000" w:themeColor="text1"/>
          <w:sz w:val="16"/>
          <w:szCs w:val="16"/>
        </w:rPr>
        <w:t>Войска 2-го Белорусского фронта сегодня штурмом овладели городом и крепостью Торунь (Торн). Подступы к Торуни прикрыты двенадцатью фортами с трёхметровыми бетонированными стенами. Впереди фортов проходила полоса укреплений полевого типа, проволочные заграждения, противотанковый ров и широкие минные поля. Крепость обороняли специально подготовленные крепостные батальоны и другие части противника, располагавшие большим количеством артиллерии. Немецкий гарнизон получил от гитлеровского командования строжайший приказ сражаться до последнего человека. Специальные группы эсэсовцев расстреливали на месте солдат, пытавшихся сдаться в плен. Мощным ударом с трёх сторон наши войска прорвали полевые укрепления противника, уничтожив при этом два полка вражеской пехоты. После упорных боёв на подступах к городу советские части, поддержанные огнём артиллерии, пошли на штурм крепости. Гитлеровцы яростно сопротивлялись, но не смогли сдержать напора наших войск. Один за другим пали все форты. Советские штурмовые отряды стремительно продвинулись вперёд и расчленили гарнизон противника. Одна группа вражеской пехоты пыталась вырваться из города в северо-западном направлении. Наши войска атаковали немцев со всех сторон. В непродолжительном бою колонна немцев численностью до полутора полков пехоты была разгромлена. Большая часть гитлеровцев истреблена, а остальные сложили оружие и сдались в плен.</w:t>
      </w:r>
    </w:p>
    <w:p w14:paraId="34454ED4"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Франкфурта-на-Одере наши войска продолжали наступление. В результате ожесточённых боёв - советские части овладели городом Шверин — важным опорным пунктом немецкой обороны, расположенным при впадении реки Обра в судоходную реку Варта. Другие наши части, уничтожая на своём пути войска противника, продвинулись вперёд на 20 километров. Занят населённый пункт Лагов, находящийся в 50 километрах от города Франкфурт-на-Одре. По неполным данным, наши войска за день истребили до 3 тысяч немецких солдат и офицеров и взяли 1.617 пленных. Захвачены у немцев большие трофеи, в том числе 247 орудий и 150 бронетранспортёров.</w:t>
      </w:r>
    </w:p>
    <w:p w14:paraId="61EDF7A0" w14:textId="77777777" w:rsidR="003D013D" w:rsidRPr="00F90EAE" w:rsidRDefault="003D013D" w:rsidP="00F90EAE">
      <w:pPr>
        <w:jc w:val="both"/>
        <w:rPr>
          <w:color w:val="000000" w:themeColor="text1"/>
          <w:sz w:val="16"/>
          <w:szCs w:val="16"/>
        </w:rPr>
      </w:pPr>
      <w:r w:rsidRPr="00F90EAE">
        <w:rPr>
          <w:color w:val="000000" w:themeColor="text1"/>
          <w:sz w:val="16"/>
          <w:szCs w:val="16"/>
        </w:rPr>
        <w:t>Западнее города Лешно (Лисса) наши войска, преодолевая сопротивление противника, пересекли польско-германскую границу и углубились на территорию Германии на 20 километров. Советские части овладели немецкими городами Шлезирзе и Фрауштадт — сильно укреплёнными опорными пунктами обороны противника. Занята также железнодорожная станция Шлихтингсхайм у реки Одер. За последние дни наши войска разгромили в лесах в районе города Лешно две группировки немцев. За два дня боёв уничтожено несколько тысяч солдат и офицеров противника. Взято в плен 2.800 немцев.» (15027).</w:t>
      </w:r>
    </w:p>
    <w:p w14:paraId="0141A273" w14:textId="77777777" w:rsidR="003D013D" w:rsidRPr="00F90EAE" w:rsidRDefault="003D013D" w:rsidP="00F90EAE">
      <w:pPr>
        <w:jc w:val="both"/>
        <w:rPr>
          <w:color w:val="000000" w:themeColor="text1"/>
          <w:sz w:val="16"/>
          <w:szCs w:val="16"/>
        </w:rPr>
      </w:pPr>
    </w:p>
    <w:p w14:paraId="4E01C9C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советские войска освободили от фашистов Торунь (Польша) (4962).</w:t>
      </w:r>
    </w:p>
    <w:p w14:paraId="35A6B36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73C7E9B"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 1945: In its drive toward the Oder, the Soviet 1st Belorussian Front (Zhukov) reaches the river NW of Kustrin. Since the beginning of the Soviet offensive in East Prussia that started on Jan 20, the Kriegsmarine has evacuated by sea 140,000 cvilian refugees and 18,000 wounded soldiers (3819).</w:t>
      </w:r>
    </w:p>
    <w:p w14:paraId="46D1EF81" w14:textId="77777777" w:rsidR="00C2313B" w:rsidRPr="00F90EAE" w:rsidRDefault="00C2313B" w:rsidP="00F90EAE">
      <w:pPr>
        <w:autoSpaceDE w:val="0"/>
        <w:autoSpaceDN w:val="0"/>
        <w:adjustRightInd w:val="0"/>
        <w:jc w:val="both"/>
        <w:rPr>
          <w:color w:val="000000" w:themeColor="text1"/>
          <w:sz w:val="16"/>
          <w:szCs w:val="16"/>
          <w:lang w:val="en-US"/>
        </w:rPr>
      </w:pPr>
    </w:p>
    <w:p w14:paraId="7EDDF09D"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 February 1945 (February) Red Army crosses River Oder and advances into Germany (270).</w:t>
      </w:r>
    </w:p>
    <w:p w14:paraId="2364C58D" w14:textId="77777777" w:rsidR="00C2313B" w:rsidRPr="00F90EAE" w:rsidRDefault="00C2313B" w:rsidP="00F90EAE">
      <w:pPr>
        <w:autoSpaceDE w:val="0"/>
        <w:autoSpaceDN w:val="0"/>
        <w:adjustRightInd w:val="0"/>
        <w:jc w:val="both"/>
        <w:rPr>
          <w:color w:val="000000" w:themeColor="text1"/>
          <w:sz w:val="16"/>
          <w:szCs w:val="16"/>
          <w:lang w:val="en-US"/>
        </w:rPr>
      </w:pPr>
    </w:p>
    <w:p w14:paraId="6BFB78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СА форсировала Одер и продвинулась в Германию (270).</w:t>
      </w:r>
    </w:p>
    <w:p w14:paraId="294235A1" w14:textId="77777777" w:rsidR="00C2313B" w:rsidRPr="00F90EAE" w:rsidRDefault="00C2313B" w:rsidP="00F90EAE">
      <w:pPr>
        <w:autoSpaceDE w:val="0"/>
        <w:autoSpaceDN w:val="0"/>
        <w:adjustRightInd w:val="0"/>
        <w:jc w:val="both"/>
        <w:rPr>
          <w:color w:val="000000" w:themeColor="text1"/>
          <w:sz w:val="16"/>
          <w:szCs w:val="16"/>
        </w:rPr>
      </w:pPr>
    </w:p>
    <w:p w14:paraId="6C10227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Распоряжение ГКО № 7433 [О сокращении штатной численности МПВО г. Ленинграда.] (7304, 58-59).</w:t>
      </w:r>
    </w:p>
    <w:p w14:paraId="4206822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EBAD2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Распоряжение ГКО № 7434. О введении в феврале и марте 1945 г. зимних норм снабжения хлебом личного состава ТОФ и войск НКВД в Забайкальском, Хабаровском, Грузинском и Азербайджанском ВО. РГАНИР, Фонд ГКО, д. 365, лл. 60 (11012).</w:t>
      </w:r>
    </w:p>
    <w:p w14:paraId="3021C0AA" w14:textId="77777777" w:rsidR="00C2313B" w:rsidRPr="00F90EAE" w:rsidRDefault="00C2313B" w:rsidP="00F90EAE">
      <w:pPr>
        <w:autoSpaceDE w:val="0"/>
        <w:autoSpaceDN w:val="0"/>
        <w:adjustRightInd w:val="0"/>
        <w:jc w:val="both"/>
        <w:rPr>
          <w:color w:val="000000" w:themeColor="text1"/>
          <w:sz w:val="16"/>
          <w:szCs w:val="16"/>
        </w:rPr>
      </w:pPr>
    </w:p>
    <w:p w14:paraId="19E90F8E"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Распоряжение ГКО № 7435 [О выделении 5500 т картофеля НКВМФ из госрезерва в Украинской ССР.] (7304, 61).</w:t>
      </w:r>
    </w:p>
    <w:p w14:paraId="1D066D3D"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A998EE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7463 О подготовке в 1945 г. шоферов-стажеров для Красной Армии. (7305, 232-236,237).</w:t>
      </w:r>
    </w:p>
    <w:p w14:paraId="100C3AA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0326FA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9F358B3" w14:textId="77777777" w:rsidR="00C2313B" w:rsidRPr="00F90EAE" w:rsidRDefault="00C2313B" w:rsidP="00F90EAE">
      <w:pPr>
        <w:autoSpaceDE w:val="0"/>
        <w:autoSpaceDN w:val="0"/>
        <w:adjustRightInd w:val="0"/>
        <w:jc w:val="both"/>
        <w:rPr>
          <w:iCs/>
          <w:color w:val="000000" w:themeColor="text1"/>
          <w:sz w:val="16"/>
          <w:szCs w:val="16"/>
        </w:rPr>
      </w:pPr>
    </w:p>
    <w:p w14:paraId="379EB9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7448 О размещении заказов для нужд фронта на предприятиях г. Мишколц (Венгрия). РГАНИР, Фонд ГКО, д. 365, лл. 105-106, 107-110 (11012).</w:t>
      </w:r>
    </w:p>
    <w:p w14:paraId="5F4C861C" w14:textId="77777777" w:rsidR="00C2313B" w:rsidRPr="00F90EAE" w:rsidRDefault="00C2313B" w:rsidP="00F90EAE">
      <w:pPr>
        <w:autoSpaceDE w:val="0"/>
        <w:autoSpaceDN w:val="0"/>
        <w:adjustRightInd w:val="0"/>
        <w:jc w:val="both"/>
        <w:rPr>
          <w:color w:val="000000" w:themeColor="text1"/>
          <w:sz w:val="16"/>
          <w:szCs w:val="16"/>
        </w:rPr>
      </w:pPr>
    </w:p>
    <w:p w14:paraId="15C1B6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7449 О размещении заказов для нужд народного хозяйства СССР на предприятиях г. г. Мишколц и Озд (Венгрия). РГАНИР, Фонд ГКО, д. 365, лл. 111, 112-113 (11012).</w:t>
      </w:r>
    </w:p>
    <w:p w14:paraId="43859CB6" w14:textId="77777777" w:rsidR="00C2313B" w:rsidRPr="00F90EAE" w:rsidRDefault="00C2313B" w:rsidP="00F90EAE">
      <w:pPr>
        <w:autoSpaceDE w:val="0"/>
        <w:autoSpaceDN w:val="0"/>
        <w:adjustRightInd w:val="0"/>
        <w:jc w:val="both"/>
        <w:rPr>
          <w:color w:val="000000" w:themeColor="text1"/>
          <w:sz w:val="16"/>
          <w:szCs w:val="16"/>
        </w:rPr>
      </w:pPr>
    </w:p>
    <w:p w14:paraId="77D9C9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вышло Постановление ГКО № 7450 Об организации в г. Будапешт на заводе Хофнер и Шранц базы по капитальному ремонту средних и тяжелых танков. РГАНИР, Фонд ГКО, д. 365, лл. 114-115 (11012).</w:t>
      </w:r>
    </w:p>
    <w:p w14:paraId="790ACC54" w14:textId="77777777" w:rsidR="00C2313B" w:rsidRPr="00F90EAE" w:rsidRDefault="00C2313B" w:rsidP="00F90EAE">
      <w:pPr>
        <w:autoSpaceDE w:val="0"/>
        <w:autoSpaceDN w:val="0"/>
        <w:adjustRightInd w:val="0"/>
        <w:jc w:val="both"/>
        <w:rPr>
          <w:color w:val="000000" w:themeColor="text1"/>
          <w:sz w:val="16"/>
          <w:szCs w:val="16"/>
        </w:rPr>
      </w:pPr>
    </w:p>
    <w:p w14:paraId="2E4DAD5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4FF17E6" w14:textId="77777777" w:rsidR="00C2313B" w:rsidRPr="00F90EAE" w:rsidRDefault="00C2313B" w:rsidP="00F90EAE">
      <w:pPr>
        <w:autoSpaceDE w:val="0"/>
        <w:autoSpaceDN w:val="0"/>
        <w:adjustRightInd w:val="0"/>
        <w:jc w:val="both"/>
        <w:rPr>
          <w:iCs/>
          <w:color w:val="000000" w:themeColor="text1"/>
          <w:sz w:val="16"/>
          <w:szCs w:val="16"/>
        </w:rPr>
      </w:pPr>
    </w:p>
    <w:p w14:paraId="7944CF15" w14:textId="77777777" w:rsidR="003D013D" w:rsidRPr="00F90EAE" w:rsidRDefault="003D013D" w:rsidP="00F90EAE">
      <w:pPr>
        <w:jc w:val="both"/>
        <w:rPr>
          <w:color w:val="000000" w:themeColor="text1"/>
          <w:sz w:val="16"/>
          <w:szCs w:val="16"/>
        </w:rPr>
      </w:pPr>
      <w:r w:rsidRPr="00F90EAE">
        <w:rPr>
          <w:bCs/>
          <w:color w:val="000000" w:themeColor="text1"/>
          <w:sz w:val="16"/>
          <w:szCs w:val="16"/>
        </w:rPr>
        <w:t>1 февраля</w:t>
      </w:r>
      <w:r w:rsidRPr="00F90EAE">
        <w:rPr>
          <w:color w:val="000000" w:themeColor="text1"/>
          <w:sz w:val="16"/>
          <w:szCs w:val="16"/>
        </w:rPr>
        <w:t xml:space="preserve"> в 1945 году первый полет истребителя</w:t>
      </w:r>
      <w:hyperlink r:id="rId25" w:tgtFrame="_blank" w:history="1">
        <w:r w:rsidRPr="00F90EAE">
          <w:rPr>
            <w:color w:val="000000" w:themeColor="text1"/>
            <w:sz w:val="16"/>
            <w:szCs w:val="16"/>
          </w:rPr>
          <w:t xml:space="preserve"> «Kawasaki Ki-100». </w:t>
        </w:r>
      </w:hyperlink>
    </w:p>
    <w:p w14:paraId="5FC954A2" w14:textId="77777777" w:rsidR="003D013D" w:rsidRPr="00F90EAE" w:rsidRDefault="003D013D" w:rsidP="00F90EAE">
      <w:pPr>
        <w:jc w:val="both"/>
        <w:rPr>
          <w:color w:val="000000" w:themeColor="text1"/>
          <w:sz w:val="16"/>
          <w:szCs w:val="16"/>
        </w:rPr>
      </w:pPr>
    </w:p>
    <w:p w14:paraId="0BEE518E" w14:textId="77777777" w:rsidR="002A4526" w:rsidRPr="00F90EAE" w:rsidRDefault="002A4526" w:rsidP="00F90EAE">
      <w:pPr>
        <w:jc w:val="both"/>
        <w:rPr>
          <w:color w:val="0070C0"/>
          <w:sz w:val="16"/>
          <w:szCs w:val="16"/>
        </w:rPr>
      </w:pPr>
      <w:r w:rsidRPr="00F90EAE">
        <w:rPr>
          <w:color w:val="0070C0"/>
          <w:sz w:val="16"/>
          <w:szCs w:val="16"/>
        </w:rPr>
        <w:t>1 февраля 1945 первый полет Kawasaki Ki-100 (20371).</w:t>
      </w:r>
    </w:p>
    <w:p w14:paraId="50BB75D9" w14:textId="77777777" w:rsidR="002A4526" w:rsidRPr="00F90EAE" w:rsidRDefault="002A4526" w:rsidP="00F90EAE">
      <w:pPr>
        <w:jc w:val="both"/>
        <w:rPr>
          <w:color w:val="0070C0"/>
          <w:sz w:val="16"/>
          <w:szCs w:val="16"/>
        </w:rPr>
      </w:pPr>
    </w:p>
    <w:p w14:paraId="49C0BC5E" w14:textId="77777777" w:rsidR="003D013D" w:rsidRPr="00F90EAE" w:rsidRDefault="003D013D" w:rsidP="00F90EAE">
      <w:pPr>
        <w:jc w:val="both"/>
        <w:rPr>
          <w:color w:val="000000" w:themeColor="text1"/>
          <w:sz w:val="16"/>
          <w:szCs w:val="16"/>
        </w:rPr>
      </w:pPr>
      <w:r w:rsidRPr="00F90EAE">
        <w:rPr>
          <w:bCs/>
          <w:color w:val="000000" w:themeColor="text1"/>
          <w:sz w:val="16"/>
          <w:szCs w:val="16"/>
        </w:rPr>
        <w:lastRenderedPageBreak/>
        <w:t>1 февраля</w:t>
      </w:r>
      <w:r w:rsidRPr="00F90EAE">
        <w:rPr>
          <w:color w:val="000000" w:themeColor="text1"/>
          <w:sz w:val="16"/>
          <w:szCs w:val="16"/>
        </w:rPr>
        <w:t xml:space="preserve"> в 1945 году немецкие дивизионы проводившие стрельбы ракетами "A-4"/SS-1/Scunner были переименованы: 836-й в 901-й, 485-й в 902-й, SS Werfer Batterie 500 в SS Werfer Abteilung Batterie 500 (15027).</w:t>
      </w:r>
    </w:p>
    <w:p w14:paraId="0207431C" w14:textId="77777777" w:rsidR="003D013D" w:rsidRPr="00F90EAE" w:rsidRDefault="003D013D" w:rsidP="00F90EAE">
      <w:pPr>
        <w:jc w:val="both"/>
        <w:rPr>
          <w:color w:val="000000" w:themeColor="text1"/>
          <w:sz w:val="16"/>
          <w:szCs w:val="16"/>
        </w:rPr>
      </w:pPr>
    </w:p>
    <w:p w14:paraId="6BA63E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февраля 1945 в освобожденном Кошице начала работать делегация Словацкого национального совета, принявшего на себя функции высшей исполнительной власти (3186).</w:t>
      </w:r>
    </w:p>
    <w:p w14:paraId="63B0BB22" w14:textId="77777777" w:rsidR="00C2313B" w:rsidRPr="00F90EAE" w:rsidRDefault="00C2313B" w:rsidP="00F90EAE">
      <w:pPr>
        <w:autoSpaceDE w:val="0"/>
        <w:autoSpaceDN w:val="0"/>
        <w:adjustRightInd w:val="0"/>
        <w:jc w:val="both"/>
        <w:rPr>
          <w:color w:val="000000" w:themeColor="text1"/>
          <w:sz w:val="16"/>
          <w:szCs w:val="16"/>
        </w:rPr>
      </w:pPr>
    </w:p>
    <w:p w14:paraId="0E07E9E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0A45778" w14:textId="77777777" w:rsidR="00C2313B" w:rsidRPr="00F90EAE" w:rsidRDefault="00C2313B" w:rsidP="00F90EAE">
      <w:pPr>
        <w:autoSpaceDE w:val="0"/>
        <w:autoSpaceDN w:val="0"/>
        <w:adjustRightInd w:val="0"/>
        <w:jc w:val="both"/>
        <w:rPr>
          <w:iCs/>
          <w:color w:val="000000" w:themeColor="text1"/>
          <w:sz w:val="16"/>
          <w:szCs w:val="16"/>
        </w:rPr>
      </w:pPr>
    </w:p>
    <w:p w14:paraId="1BBC84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февраля 1945 вышел приказ НКАП о постройке на заводе № 30 в Москве трех опытных экземпляров Ил-16. Пер-выи из них использовали для проведе</w:t>
      </w:r>
      <w:r w:rsidRPr="00F90EAE">
        <w:rPr>
          <w:color w:val="000000" w:themeColor="text1"/>
          <w:sz w:val="16"/>
          <w:szCs w:val="16"/>
        </w:rPr>
        <w:softHyphen/>
        <w:t>ния статических испытаний, а два других - для летных. Работы над Ил-16 как еще более эффективного бронированного штурмовика начались сразу же после принятия решения о запуске Ил-10 в серию. В первую очередь, планировали улуч</w:t>
      </w:r>
      <w:r w:rsidRPr="00F90EAE">
        <w:rPr>
          <w:color w:val="000000" w:themeColor="text1"/>
          <w:sz w:val="16"/>
          <w:szCs w:val="16"/>
        </w:rPr>
        <w:softHyphen/>
        <w:t>шить скоростные данные и маневрен</w:t>
      </w:r>
      <w:r w:rsidRPr="00F90EAE">
        <w:rPr>
          <w:color w:val="000000" w:themeColor="text1"/>
          <w:sz w:val="16"/>
          <w:szCs w:val="16"/>
        </w:rPr>
        <w:softHyphen/>
        <w:t>ность в вертикальной плоскости. Для этого требовалось снизить вес планера и поставить более мощный мотор АМ-43. Новый самолет по схеме и компоновке был подобен пред</w:t>
      </w:r>
      <w:r w:rsidRPr="00F90EAE">
        <w:rPr>
          <w:color w:val="000000" w:themeColor="text1"/>
          <w:sz w:val="16"/>
          <w:szCs w:val="16"/>
        </w:rPr>
        <w:softHyphen/>
        <w:t>шественнику, но меньше по размерам. Уменьшились размах и площадь крыла, а также длина фюзеляжа. Длина самоле</w:t>
      </w:r>
      <w:r w:rsidRPr="00F90EAE">
        <w:rPr>
          <w:color w:val="000000" w:themeColor="text1"/>
          <w:sz w:val="16"/>
          <w:szCs w:val="16"/>
        </w:rPr>
        <w:softHyphen/>
        <w:t>та составляла 10,19 м, размах крыла -12,5 м, площадь крыла - 24 м</w:t>
      </w:r>
      <w:r w:rsidRPr="00F90EAE">
        <w:rPr>
          <w:color w:val="000000" w:themeColor="text1"/>
          <w:sz w:val="16"/>
          <w:szCs w:val="16"/>
          <w:vertAlign w:val="superscript"/>
        </w:rPr>
        <w:t>2</w:t>
      </w:r>
      <w:r w:rsidRPr="00F90EAE">
        <w:rPr>
          <w:color w:val="000000" w:themeColor="text1"/>
          <w:sz w:val="16"/>
          <w:szCs w:val="16"/>
        </w:rPr>
        <w:t>. Стрело</w:t>
      </w:r>
      <w:r w:rsidRPr="00F90EAE">
        <w:rPr>
          <w:color w:val="000000" w:themeColor="text1"/>
          <w:sz w:val="16"/>
          <w:szCs w:val="16"/>
        </w:rPr>
        <w:softHyphen/>
        <w:t>видность крыла по передней кромке 65°. Предполагалось использовать четырех-лопастный винт диаметром 3,4 м. Экономия веса достигалась отчасти за счет изменения схемы бронирования. В верхней части капота площадь неза</w:t>
      </w:r>
      <w:r w:rsidRPr="00F90EAE">
        <w:rPr>
          <w:color w:val="000000" w:themeColor="text1"/>
          <w:sz w:val="16"/>
          <w:szCs w:val="16"/>
        </w:rPr>
        <w:softHyphen/>
        <w:t>бронированной части увеличили, а тол</w:t>
      </w:r>
      <w:r w:rsidRPr="00F90EAE">
        <w:rPr>
          <w:color w:val="000000" w:themeColor="text1"/>
          <w:sz w:val="16"/>
          <w:szCs w:val="16"/>
        </w:rPr>
        <w:softHyphen/>
        <w:t>щину боковых листов уменьшили. Ожидаемая скорость составляла 560 км/ч у земли, на высоте 3400 м - 625 км/ч, посадочная - 145 км/ч, дальность полета на высоте 500 м на скорости 375 км/ч -800 км, время подъема на высоту 5000 м -6,5 мин. Предполагалось вооружение из двух пушек НС-23 (боекомплект 280 снаря</w:t>
      </w:r>
      <w:r w:rsidRPr="00F90EAE">
        <w:rPr>
          <w:color w:val="000000" w:themeColor="text1"/>
          <w:sz w:val="16"/>
          <w:szCs w:val="16"/>
        </w:rPr>
        <w:softHyphen/>
        <w:t>дов), двух пулеметов ШКАС (1400 патро</w:t>
      </w:r>
      <w:r w:rsidRPr="00F90EAE">
        <w:rPr>
          <w:color w:val="000000" w:themeColor="text1"/>
          <w:sz w:val="16"/>
          <w:szCs w:val="16"/>
        </w:rPr>
        <w:softHyphen/>
        <w:t>нов), оборонительной пушки УБ-20 (150 снарядов), 10 авиационных гранат АГ-2; нормальная бомбовая нагрузка неболь</w:t>
      </w:r>
      <w:r w:rsidRPr="00F90EAE">
        <w:rPr>
          <w:color w:val="000000" w:themeColor="text1"/>
          <w:sz w:val="16"/>
          <w:szCs w:val="16"/>
        </w:rPr>
        <w:softHyphen/>
        <w:t>шая - 200 кг (в перегрузку 400 кг). Бомбы размещались в двух центропланных бом-боотсеках по типу Ил-10. Позднее вес бомбовой нагрузки увеличили до 400 кг в нормальном и 500 кг в перегрузочном ва</w:t>
      </w:r>
      <w:r w:rsidRPr="00F90EAE">
        <w:rPr>
          <w:color w:val="000000" w:themeColor="text1"/>
          <w:sz w:val="16"/>
          <w:szCs w:val="16"/>
        </w:rPr>
        <w:softHyphen/>
        <w:t>рианте (10681).</w:t>
      </w:r>
    </w:p>
    <w:p w14:paraId="2A3A411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21893E3E" w14:textId="77777777" w:rsidR="002A4526" w:rsidRPr="00F90EAE" w:rsidRDefault="002A4526" w:rsidP="00F90EAE">
      <w:pPr>
        <w:jc w:val="both"/>
        <w:rPr>
          <w:color w:val="0070C0"/>
          <w:sz w:val="16"/>
          <w:szCs w:val="16"/>
        </w:rPr>
      </w:pPr>
      <w:r w:rsidRPr="00F90EAE">
        <w:rPr>
          <w:color w:val="0070C0"/>
          <w:sz w:val="16"/>
          <w:szCs w:val="16"/>
        </w:rPr>
        <w:t>2 февраля 1945 Начальник НИИ ВВС генерал-лейтенант Лосюков утвердил отчет по госиспытаниям Су-6 АМ-42, вычеркнув при этом п.2 Заключения.</w:t>
      </w:r>
    </w:p>
    <w:p w14:paraId="29259B8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Опытный Су-6 АМ-42 доводился до января 1945 г., но в связи с закрытием всех работ по нему в ГК НИИ ВВС решили официально прекратить и государственные испытания машины с оформлением отчета «за про</w:t>
      </w:r>
      <w:r w:rsidRPr="00F90EAE">
        <w:rPr>
          <w:rFonts w:ascii="Times New Roman" w:hAnsi="Times New Roman"/>
          <w:color w:val="0070C0"/>
          <w:sz w:val="16"/>
          <w:szCs w:val="16"/>
        </w:rPr>
        <w:softHyphen/>
        <w:t>веденную часть испытательной работы».</w:t>
      </w:r>
    </w:p>
    <w:p w14:paraId="22CC741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В заключении отчета констатирова</w:t>
      </w:r>
      <w:r w:rsidRPr="00F90EAE">
        <w:rPr>
          <w:rFonts w:ascii="Times New Roman" w:hAnsi="Times New Roman"/>
          <w:color w:val="0070C0"/>
          <w:sz w:val="16"/>
          <w:szCs w:val="16"/>
        </w:rPr>
        <w:softHyphen/>
        <w:t>лось:</w:t>
      </w:r>
    </w:p>
    <w:p w14:paraId="188D8AD7" w14:textId="77777777" w:rsidR="002A4526" w:rsidRPr="00F90EAE" w:rsidRDefault="002A4526"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«1) Опытный 2-х местный брониро</w:t>
      </w:r>
      <w:r w:rsidRPr="00F90EAE">
        <w:rPr>
          <w:rFonts w:ascii="Times New Roman" w:hAnsi="Times New Roman" w:cs="Times New Roman"/>
          <w:b w:val="0"/>
          <w:bCs w:val="0"/>
          <w:color w:val="0070C0"/>
          <w:sz w:val="16"/>
          <w:szCs w:val="16"/>
        </w:rPr>
        <w:softHyphen/>
        <w:t>ванный штурмовик Су-6 с АМ-42 и винтом АВ-9л-172 конструкции т. Сухого по своим летным данным, технике пилотирования и управляемости уступает запущенному в серийное производство самолету Ил-10 с АМ-42 конструкции тов. Ильюшина.</w:t>
      </w:r>
    </w:p>
    <w:p w14:paraId="09142BB5" w14:textId="77777777" w:rsidR="002A4526" w:rsidRPr="00F90EAE" w:rsidRDefault="002A4526"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2) Запуск Су-6 с АМ-42 в серийное про</w:t>
      </w:r>
      <w:r w:rsidRPr="00F90EAE">
        <w:rPr>
          <w:rFonts w:ascii="Times New Roman" w:hAnsi="Times New Roman" w:cs="Times New Roman"/>
          <w:b w:val="0"/>
          <w:bCs w:val="0"/>
          <w:color w:val="0070C0"/>
          <w:sz w:val="16"/>
          <w:szCs w:val="16"/>
        </w:rPr>
        <w:softHyphen/>
        <w:t>изводство считать нецелесообразным».</w:t>
      </w:r>
    </w:p>
    <w:p w14:paraId="65DD6AC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Материалы отчета и заключение под</w:t>
      </w:r>
      <w:r w:rsidRPr="00F90EAE">
        <w:rPr>
          <w:rFonts w:ascii="Times New Roman" w:hAnsi="Times New Roman"/>
          <w:color w:val="0070C0"/>
          <w:sz w:val="16"/>
          <w:szCs w:val="16"/>
        </w:rPr>
        <w:softHyphen/>
        <w:t>писали: начальник 1-го Управления ГК НИИ ВВС генерал-майор Сафронов и на</w:t>
      </w:r>
      <w:r w:rsidRPr="00F90EAE">
        <w:rPr>
          <w:rFonts w:ascii="Times New Roman" w:hAnsi="Times New Roman"/>
          <w:color w:val="0070C0"/>
          <w:sz w:val="16"/>
          <w:szCs w:val="16"/>
        </w:rPr>
        <w:softHyphen/>
        <w:t>чальник 5-го отдела 1-го Управления ин</w:t>
      </w:r>
      <w:r w:rsidRPr="00F90EAE">
        <w:rPr>
          <w:rFonts w:ascii="Times New Roman" w:hAnsi="Times New Roman"/>
          <w:color w:val="0070C0"/>
          <w:sz w:val="16"/>
          <w:szCs w:val="16"/>
        </w:rPr>
        <w:softHyphen/>
        <w:t>женер-подполковник Холопов.</w:t>
      </w:r>
    </w:p>
    <w:p w14:paraId="7A577FE8" w14:textId="77777777" w:rsidR="002A4526" w:rsidRPr="00F90EAE" w:rsidRDefault="002A4526" w:rsidP="00F90EAE">
      <w:pPr>
        <w:jc w:val="both"/>
        <w:rPr>
          <w:color w:val="0070C0"/>
          <w:sz w:val="16"/>
          <w:szCs w:val="16"/>
        </w:rPr>
      </w:pPr>
      <w:r w:rsidRPr="00F90EAE">
        <w:rPr>
          <w:color w:val="0070C0"/>
          <w:sz w:val="16"/>
          <w:szCs w:val="16"/>
        </w:rPr>
        <w:t>Летные данные опытных и серийных бронированных штурмовиков Су-6, Ил-2, Ил-8, Ил-10</w:t>
      </w:r>
    </w:p>
    <w:tbl>
      <w:tblPr>
        <w:tblW w:w="0" w:type="auto"/>
        <w:tblInd w:w="-5" w:type="dxa"/>
        <w:tblLayout w:type="fixed"/>
        <w:tblCellMar>
          <w:left w:w="10" w:type="dxa"/>
          <w:right w:w="10" w:type="dxa"/>
        </w:tblCellMar>
        <w:tblLook w:val="0000" w:firstRow="0" w:lastRow="0" w:firstColumn="0" w:lastColumn="0" w:noHBand="0" w:noVBand="0"/>
      </w:tblPr>
      <w:tblGrid>
        <w:gridCol w:w="1560"/>
        <w:gridCol w:w="708"/>
        <w:gridCol w:w="709"/>
        <w:gridCol w:w="709"/>
        <w:gridCol w:w="709"/>
        <w:gridCol w:w="708"/>
        <w:gridCol w:w="709"/>
        <w:gridCol w:w="709"/>
        <w:gridCol w:w="709"/>
        <w:gridCol w:w="708"/>
        <w:gridCol w:w="709"/>
        <w:gridCol w:w="709"/>
        <w:gridCol w:w="709"/>
      </w:tblGrid>
      <w:tr w:rsidR="002A4526" w:rsidRPr="00F90EAE" w14:paraId="4D5E3E87" w14:textId="77777777" w:rsidTr="00076D96">
        <w:trPr>
          <w:trHeight w:val="107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9D2D907" w14:textId="77777777" w:rsidR="002A4526" w:rsidRPr="00F90EAE" w:rsidRDefault="002A4526" w:rsidP="00F90EAE">
            <w:pPr>
              <w:jc w:val="both"/>
              <w:rPr>
                <w:color w:val="0070C0"/>
                <w:sz w:val="16"/>
                <w:szCs w:val="16"/>
              </w:rPr>
            </w:pP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8DC8AD3"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Ил-2 опытный з-д №39 ГИ, 03.41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FC6C414"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Су-6 опытный з-д №289 ГИ, 09.41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5CFDD2"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Су-6</w:t>
            </w:r>
            <w:r w:rsidRPr="00F90EAE">
              <w:rPr>
                <w:rFonts w:ascii="Times New Roman" w:hAnsi="Times New Roman" w:cs="Times New Roman"/>
                <w:color w:val="0070C0"/>
                <w:sz w:val="16"/>
                <w:szCs w:val="16"/>
                <w:vertAlign w:val="superscript"/>
                <w:lang w:val="ru-RU"/>
              </w:rPr>
              <w:t xml:space="preserve">1 </w:t>
            </w:r>
            <w:r w:rsidRPr="00F90EAE">
              <w:rPr>
                <w:rFonts w:ascii="Times New Roman" w:hAnsi="Times New Roman" w:cs="Times New Roman"/>
                <w:color w:val="0070C0"/>
                <w:sz w:val="16"/>
                <w:szCs w:val="16"/>
                <w:lang w:val="ru-RU"/>
              </w:rPr>
              <w:t>опытный з-д №289 ГИ, 07.42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230DD"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rPr>
              <w:t>Ил-2 №1862402 з-д №18 КИ, 06.41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E996460"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rPr>
              <w:t>Ил-2 №1861704 з-д №18 ГИ, 10.41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ACABC3"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rPr>
              <w:t>Ил-2 №16526 з-д №1 КИ, 04.43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463F77"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rPr>
              <w:t>Ил-2 №302349 з-д №30 ГИ, 06.43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FD9A16"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Су-6 опытный з-д №289 ГИ, 08.43 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D0D205F"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Су-6</w:t>
            </w:r>
            <w:r w:rsidRPr="00F90EAE">
              <w:rPr>
                <w:rFonts w:ascii="Times New Roman" w:hAnsi="Times New Roman" w:cs="Times New Roman"/>
                <w:color w:val="0070C0"/>
                <w:sz w:val="16"/>
                <w:szCs w:val="16"/>
                <w:vertAlign w:val="superscript"/>
                <w:lang w:val="ru-RU"/>
              </w:rPr>
              <w:t xml:space="preserve">6 </w:t>
            </w:r>
            <w:r w:rsidRPr="00F90EAE">
              <w:rPr>
                <w:rFonts w:ascii="Times New Roman" w:hAnsi="Times New Roman" w:cs="Times New Roman"/>
                <w:color w:val="0070C0"/>
                <w:sz w:val="16"/>
                <w:szCs w:val="16"/>
                <w:lang w:val="ru-RU"/>
              </w:rPr>
              <w:t>опытный з-д №289 ГИ, 07.44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9FC94E"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Ил-8 опытный з-д №240 ГИ, 04.44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BFAABA6"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Ил-10 опытный з-д №18 з-д №240 ГИ, 05.44 г.</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97D1F4" w14:textId="77777777" w:rsidR="002A4526" w:rsidRPr="00F90EAE" w:rsidRDefault="002A4526" w:rsidP="00F90EAE">
            <w:pPr>
              <w:pStyle w:val="57"/>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rPr>
              <w:t>Ил-10 серийный №1892908 КИ, 07.45 г.</w:t>
            </w:r>
          </w:p>
        </w:tc>
      </w:tr>
      <w:tr w:rsidR="002A4526" w:rsidRPr="00F90EAE" w14:paraId="142AC98D"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391A66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Число членов экипажа</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5AA4DD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79B57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34115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9891DE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C4CF9B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14B04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BC7D7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265C5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0B0E66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838F6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212CA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BBA80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w:t>
            </w:r>
          </w:p>
        </w:tc>
      </w:tr>
      <w:tr w:rsidR="002A4526" w:rsidRPr="00F90EAE" w14:paraId="02333ABC"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882DCF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Тип двигателей</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F64F40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EF1D49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761D0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М-71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44131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АМ-38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9C739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АМ-38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0BC1A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11BE8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АМ-38ф</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C6E8D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М-71ф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EF82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E3335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360A9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АМ-42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4034B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АМ-42</w:t>
            </w:r>
          </w:p>
        </w:tc>
      </w:tr>
      <w:tr w:rsidR="002A4526" w:rsidRPr="00F90EAE" w14:paraId="513BAAB7" w14:textId="77777777" w:rsidTr="00076D96">
        <w:trPr>
          <w:trHeight w:val="46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260E12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Мощность, взлет./ номинал, у земли, 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9A9E75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1600/1500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1BD29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6B61B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691A34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1623/1525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C31617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1623/1525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D74CC1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4C5D76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1720/1500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4E691B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2200/1800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0215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4BD0CD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A2209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2000/1750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CA340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2000/1750</w:t>
            </w:r>
          </w:p>
        </w:tc>
      </w:tr>
      <w:tr w:rsidR="002A4526" w:rsidRPr="00F90EAE" w14:paraId="323AAC36"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911202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Длина самолета,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B1A5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1FE287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E6415A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9,13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A09EF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FFFD2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A0295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25FF7A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ADA3B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9,24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6E13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9,24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E1A6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12,99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48801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11,12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66F10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11,12</w:t>
            </w:r>
          </w:p>
        </w:tc>
      </w:tr>
      <w:tr w:rsidR="002A4526" w:rsidRPr="00F90EAE" w14:paraId="4A9A8B0B"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ED635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Размах крыла,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08E4A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38077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847B8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832B7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527CDD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0FDDB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9629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7FBA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64EAD8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3640F2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0A60F5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A7D4C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13,4</w:t>
            </w:r>
          </w:p>
        </w:tc>
      </w:tr>
      <w:tr w:rsidR="002A4526" w:rsidRPr="00F90EAE" w14:paraId="7B826259"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5D4FA0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Площадь крыла, м2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68931B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4427E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9BB58E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4D7DA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EDAB90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7F8117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2C2BB4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9668D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C4174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28,6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2E5F2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39,02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C04BBC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CA470A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30,0</w:t>
            </w:r>
          </w:p>
        </w:tc>
      </w:tr>
      <w:tr w:rsidR="002A4526" w:rsidRPr="00F90EAE" w14:paraId="76553C4F"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403ECA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Вес пустого самолета,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59A103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3990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26DEAF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3387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D159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3727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935EA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4016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1A2600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4076,5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4A5A4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4540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7589E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37C9A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4110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74076C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4370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1A232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5265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C2C3F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4680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E3C04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4675</w:t>
            </w:r>
          </w:p>
        </w:tc>
      </w:tr>
      <w:tr w:rsidR="002A4526" w:rsidRPr="00F90EAE" w14:paraId="2E39412B"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7A9F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Полетный вес,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E3F947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E594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4214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23519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5250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FE813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5336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B0405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5864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0A16B9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6143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A9C1B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6247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A789FD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5534</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09883D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7E58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7260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FCDB2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6335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7178E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6345</w:t>
            </w:r>
          </w:p>
        </w:tc>
      </w:tr>
      <w:tr w:rsidR="002A4526" w:rsidRPr="00F90EAE" w14:paraId="4D1D118C"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585C80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Нагрузка на крыло, кг/м</w:t>
            </w:r>
            <w:r w:rsidRPr="00F90EAE">
              <w:rPr>
                <w:rFonts w:ascii="Times New Roman" w:hAnsi="Times New Roman"/>
                <w:color w:val="0070C0"/>
                <w:sz w:val="16"/>
                <w:szCs w:val="16"/>
                <w:vertAlign w:val="superscript"/>
              </w:rPr>
              <w:t>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857208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137,92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814D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162,08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954E1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201,92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E24A4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138,60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247A7E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152,31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0158A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159,56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8B2012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162,26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FE3789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212,85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495D22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216,78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2ACBBB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213,30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AA0F7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20BDC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211,5</w:t>
            </w:r>
          </w:p>
        </w:tc>
      </w:tr>
      <w:tr w:rsidR="002A4526" w:rsidRPr="00F90EAE" w14:paraId="3715ED4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6F36FFA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Нагрузка на мощность, кг/л.с.</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BFB653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3,32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65DE7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13867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1B69C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3,29</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3B53D8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3,61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615C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3,57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37EFDF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E1B1D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2,52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26F648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670ABD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3,63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7E442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3,17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6098A9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3,17</w:t>
            </w:r>
          </w:p>
        </w:tc>
      </w:tr>
      <w:tr w:rsidR="002A4526" w:rsidRPr="00F90EAE" w14:paraId="7AABE28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F3CF91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Вес брони,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2CAC9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811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9E5F06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44673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37E9D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925</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811CC0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CDA90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962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5DA1BA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963,5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B63B2A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642,6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AC99A7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895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37B35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1237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AE861A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1010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FF73B5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994</w:t>
            </w:r>
          </w:p>
        </w:tc>
      </w:tr>
      <w:tr w:rsidR="002A4526" w:rsidRPr="00F90EAE" w14:paraId="6F1EAF6D" w14:textId="77777777" w:rsidTr="00076D96">
        <w:trPr>
          <w:trHeight w:val="658"/>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F1D326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Максимальная скорость, км/ч:</w:t>
            </w:r>
          </w:p>
          <w:p w14:paraId="0E2259AE" w14:textId="77777777" w:rsidR="002A4526" w:rsidRPr="00F90EAE" w:rsidRDefault="002A4526" w:rsidP="00F90EAE">
            <w:pPr>
              <w:pStyle w:val="76"/>
              <w:numPr>
                <w:ilvl w:val="0"/>
                <w:numId w:val="3"/>
              </w:numPr>
              <w:shd w:val="clear" w:color="auto" w:fill="auto"/>
              <w:tabs>
                <w:tab w:val="left" w:pos="162"/>
              </w:tabs>
              <w:overflowPunct/>
              <w:autoSpaceDE/>
              <w:autoSpaceDN/>
              <w:adjustRightInd/>
              <w:spacing w:line="240" w:lineRule="auto"/>
              <w:ind w:firstLine="0"/>
              <w:jc w:val="both"/>
              <w:textAlignment w:val="auto"/>
              <w:rPr>
                <w:rFonts w:ascii="Times New Roman" w:hAnsi="Times New Roman"/>
                <w:color w:val="0070C0"/>
                <w:sz w:val="16"/>
                <w:szCs w:val="16"/>
              </w:rPr>
            </w:pPr>
            <w:r w:rsidRPr="00F90EAE">
              <w:rPr>
                <w:rFonts w:ascii="Times New Roman" w:hAnsi="Times New Roman"/>
                <w:color w:val="0070C0"/>
                <w:sz w:val="16"/>
                <w:szCs w:val="16"/>
              </w:rPr>
              <w:t>у земли</w:t>
            </w:r>
          </w:p>
          <w:p w14:paraId="56D722A7" w14:textId="77777777" w:rsidR="002A4526" w:rsidRPr="00F90EAE" w:rsidRDefault="002A4526" w:rsidP="00F90EAE">
            <w:pPr>
              <w:pStyle w:val="76"/>
              <w:numPr>
                <w:ilvl w:val="0"/>
                <w:numId w:val="3"/>
              </w:numPr>
              <w:shd w:val="clear" w:color="auto" w:fill="auto"/>
              <w:tabs>
                <w:tab w:val="left" w:pos="171"/>
              </w:tabs>
              <w:overflowPunct/>
              <w:autoSpaceDE/>
              <w:autoSpaceDN/>
              <w:adjustRightInd/>
              <w:spacing w:line="240" w:lineRule="auto"/>
              <w:ind w:firstLine="0"/>
              <w:jc w:val="both"/>
              <w:textAlignment w:val="auto"/>
              <w:rPr>
                <w:rFonts w:ascii="Times New Roman" w:hAnsi="Times New Roman"/>
                <w:color w:val="0070C0"/>
                <w:sz w:val="16"/>
                <w:szCs w:val="16"/>
              </w:rPr>
            </w:pPr>
            <w:r w:rsidRPr="00F90EAE">
              <w:rPr>
                <w:rFonts w:ascii="Times New Roman" w:hAnsi="Times New Roman"/>
                <w:color w:val="0070C0"/>
                <w:sz w:val="16"/>
                <w:szCs w:val="16"/>
              </w:rPr>
              <w:t>на высоте/м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659549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419 450/2460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0EB1E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474 (518ф) 566/5700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CB68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445 491/2500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83F6C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423 451/2500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99F051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373 409/2400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493F4B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387 397/1100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B1EE4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373 387/1320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B4000A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480 514/3850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166E4B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492 521/1860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361CBC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428 472/2500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9D25B3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507 551/2800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6023E5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492 528/2660</w:t>
            </w:r>
          </w:p>
        </w:tc>
      </w:tr>
      <w:tr w:rsidR="002A4526" w:rsidRPr="00F90EAE" w14:paraId="71532824" w14:textId="77777777" w:rsidTr="00076D96">
        <w:trPr>
          <w:trHeight w:val="653"/>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73CD34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Время набора высоты, мин: -1000 м -3000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382D74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88F83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1,16 6,25/5000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A7056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1,7 5,1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487662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1,7 3,5/2000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96704A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2,12 4,24/2000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029E7F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B3AC4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3,0 6,6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E5855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1,8 6,0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D3A7C5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2,0 6,0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7C0952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2,35 7,5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226F61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1,6 5,0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BB08F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2Д 6,4</w:t>
            </w:r>
          </w:p>
        </w:tc>
      </w:tr>
      <w:tr w:rsidR="002A4526" w:rsidRPr="00F90EAE" w14:paraId="1BC5D25A"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1E37F36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Дальность полета/высота, км/м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826A4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508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34CD5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700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B5388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576/670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464AF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510/348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FB5C65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582/336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8783EC"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8DCE008"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C8B70F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973/1000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78A5D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790/1000</w:t>
            </w:r>
            <w:r w:rsidRPr="00F90EAE">
              <w:rPr>
                <w:rFonts w:ascii="Times New Roman" w:hAnsi="Times New Roman"/>
                <w:color w:val="0070C0"/>
                <w:sz w:val="16"/>
                <w:szCs w:val="16"/>
                <w:vertAlign w:val="superscript"/>
              </w:rPr>
              <w:t>7</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B7E1BB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820/1000</w:t>
            </w:r>
            <w:r w:rsidRPr="00F90EAE">
              <w:rPr>
                <w:rFonts w:ascii="Times New Roman" w:hAnsi="Times New Roman"/>
                <w:color w:val="0070C0"/>
                <w:sz w:val="16"/>
                <w:szCs w:val="16"/>
                <w:vertAlign w:val="superscript"/>
              </w:rPr>
              <w:t>9</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FA1EC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790/1000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97AEC3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830</w:t>
            </w:r>
          </w:p>
        </w:tc>
      </w:tr>
      <w:tr w:rsidR="002A4526" w:rsidRPr="00F90EAE" w14:paraId="28DE89C4"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0F2399A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Посадочная скорость, км/ч</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3CA055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128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83BAF80"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4C893A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DD4179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C9A247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074F769"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447ACB"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8279D2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C3DD9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F18EB8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136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11908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EE2AB9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149</w:t>
            </w:r>
          </w:p>
        </w:tc>
      </w:tr>
      <w:tr w:rsidR="002A4526" w:rsidRPr="00F90EAE" w14:paraId="582E0FAE"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C57F4F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Разбег при взлете, 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55DED5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6615D2"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FC12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81C0E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410 (385ф)</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D2E9B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515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85CCBFF" w14:textId="77777777" w:rsidR="002A4526" w:rsidRPr="00F90EAE" w:rsidRDefault="002A4526" w:rsidP="00F90EAE">
            <w:pPr>
              <w:jc w:val="both"/>
              <w:rPr>
                <w:color w:val="0070C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B0AF08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440ф</w:t>
            </w:r>
            <w:r w:rsidRPr="00F90EAE">
              <w:rPr>
                <w:rFonts w:ascii="Times New Roman" w:hAnsi="Times New Roman"/>
                <w:color w:val="0070C0"/>
                <w:sz w:val="16"/>
                <w:szCs w:val="16"/>
                <w:vertAlign w:val="superscript"/>
              </w:rPr>
              <w:t>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B9F3F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lang w:val="en-US"/>
              </w:rPr>
              <w:t>410</w:t>
            </w:r>
            <w:r w:rsidRPr="00F90EAE">
              <w:rPr>
                <w:rFonts w:ascii="Times New Roman" w:hAnsi="Times New Roman"/>
                <w:color w:val="0070C0"/>
                <w:sz w:val="16"/>
                <w:szCs w:val="16"/>
                <w:vertAlign w:val="superscript"/>
                <w:lang w:val="en-US"/>
              </w:rPr>
              <w:t>s</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1D0EF7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540</w:t>
            </w:r>
            <w:r w:rsidRPr="00F90EAE">
              <w:rPr>
                <w:rFonts w:ascii="Times New Roman" w:hAnsi="Times New Roman"/>
                <w:color w:val="0070C0"/>
                <w:sz w:val="16"/>
                <w:szCs w:val="16"/>
                <w:vertAlign w:val="superscript"/>
              </w:rPr>
              <w:t>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77EC28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435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FA88C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475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5DB67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480</w:t>
            </w:r>
          </w:p>
        </w:tc>
      </w:tr>
      <w:tr w:rsidR="002A4526" w:rsidRPr="00F90EAE" w14:paraId="2F2492CF" w14:textId="77777777" w:rsidTr="00076D96">
        <w:trPr>
          <w:trHeight w:val="254"/>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7A1C6A3D" w14:textId="77777777" w:rsidR="002A4526" w:rsidRPr="00F90EAE" w:rsidRDefault="002A4526"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Наступательное вооружение:</w:t>
            </w:r>
          </w:p>
        </w:tc>
      </w:tr>
      <w:tr w:rsidR="002A4526" w:rsidRPr="00F90EAE" w14:paraId="2685E938" w14:textId="77777777" w:rsidTr="00076D96">
        <w:trPr>
          <w:trHeight w:val="456"/>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2920D15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бомбовое: нормальное/ максимальная, кг</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B0C9F2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43324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120/200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EC98C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9AE9D2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400/600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ACEDEB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D43099F"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D4C4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0925E8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A40687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3F52CE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600/1000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FC930D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400/600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374D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400/600</w:t>
            </w:r>
          </w:p>
        </w:tc>
      </w:tr>
      <w:tr w:rsidR="002A4526" w:rsidRPr="00F90EAE" w14:paraId="62E67AA5"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7A50DB1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пушечное:</w:t>
            </w:r>
          </w:p>
          <w:p w14:paraId="0AF1E1B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C6CF3B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2/20/420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ACF4D5C" w14:textId="77777777" w:rsidR="002A4526" w:rsidRPr="00F90EAE" w:rsidRDefault="002A4526" w:rsidP="00F90EAE">
            <w:pPr>
              <w:pStyle w:val="613"/>
              <w:shd w:val="clear" w:color="auto" w:fill="auto"/>
              <w:spacing w:before="0" w:after="0" w:line="240" w:lineRule="auto"/>
              <w:jc w:val="both"/>
              <w:rPr>
                <w:rFonts w:ascii="Times New Roman" w:hAnsi="Times New Roman" w:cs="Times New Roman"/>
                <w:color w:val="0070C0"/>
                <w:spacing w:val="0"/>
                <w:sz w:val="16"/>
                <w:szCs w:val="16"/>
              </w:rPr>
            </w:pPr>
            <w:r w:rsidRPr="00F90EAE">
              <w:rPr>
                <w:rFonts w:ascii="Times New Roman" w:hAnsi="Times New Roman" w:cs="Times New Roman"/>
                <w:color w:val="0070C0"/>
                <w:spacing w:val="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DD7A92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2/23/230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580F1D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2/20/420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ECAB99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2/37/80</w:t>
            </w:r>
            <w:r w:rsidRPr="00F90EAE">
              <w:rPr>
                <w:rFonts w:ascii="Times New Roman" w:hAnsi="Times New Roman"/>
                <w:color w:val="0070C0"/>
                <w:sz w:val="16"/>
                <w:szCs w:val="16"/>
                <w:vertAlign w:val="superscript"/>
              </w:rPr>
              <w:t>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23FCD8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2/20/500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BD43F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2/37/120</w:t>
            </w:r>
            <w:r w:rsidRPr="00F90EAE">
              <w:rPr>
                <w:rFonts w:ascii="Times New Roman" w:hAnsi="Times New Roman"/>
                <w:color w:val="0070C0"/>
                <w:sz w:val="16"/>
                <w:szCs w:val="16"/>
                <w:vertAlign w:val="superscript"/>
              </w:rPr>
              <w:t>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BE4EE8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2/37/90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89EEFA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2/23/240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45BDDBD"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35664D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2/23/300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4685DE1"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2/23/300</w:t>
            </w:r>
          </w:p>
        </w:tc>
      </w:tr>
      <w:tr w:rsidR="002A4526" w:rsidRPr="00F90EAE" w14:paraId="13480D4D" w14:textId="77777777" w:rsidTr="00076D96">
        <w:trPr>
          <w:trHeight w:val="451"/>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EFBFA2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стрелковое:</w:t>
            </w:r>
          </w:p>
          <w:p w14:paraId="63B8D82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4549212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18A2FA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2/7,62с/1520 4/7,62/3160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D53335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4/7,62/3000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E5A5B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41322C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6D2A79E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193303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6AD88B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2/7,62/1400</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A62D368"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2/7,62/1400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553172"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B56B52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86FC79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2/7,62/1500</w:t>
            </w:r>
          </w:p>
        </w:tc>
      </w:tr>
      <w:tr w:rsidR="002A4526" w:rsidRPr="00F90EAE" w14:paraId="61A34830" w14:textId="77777777" w:rsidTr="00076D96">
        <w:trPr>
          <w:trHeight w:val="254"/>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4E32ED9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ракетное: число/калибр, мм</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2D23AB6"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6232512" w14:textId="77777777" w:rsidR="002A4526" w:rsidRPr="00F90EAE" w:rsidRDefault="002A4526" w:rsidP="00F90EAE">
            <w:pPr>
              <w:pStyle w:val="60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51EBEC"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10/(132-82)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AD4820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8/132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58DBA8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8/82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938F74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9722CE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C31DE9A"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6/(132-82)</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035B2B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6/(132-82)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7168248"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590CF89"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F768A4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4/82</w:t>
            </w:r>
          </w:p>
        </w:tc>
      </w:tr>
      <w:tr w:rsidR="002A4526" w:rsidRPr="00F90EAE" w14:paraId="5D08C6AA" w14:textId="77777777" w:rsidTr="00076D96">
        <w:trPr>
          <w:trHeight w:val="250"/>
        </w:trPr>
        <w:tc>
          <w:tcPr>
            <w:tcW w:w="10065" w:type="dxa"/>
            <w:gridSpan w:val="13"/>
            <w:tcBorders>
              <w:top w:val="single" w:sz="4" w:space="0" w:color="auto"/>
              <w:left w:val="single" w:sz="4" w:space="0" w:color="auto"/>
              <w:bottom w:val="single" w:sz="4" w:space="0" w:color="auto"/>
              <w:right w:val="single" w:sz="4" w:space="0" w:color="auto"/>
            </w:tcBorders>
            <w:shd w:val="clear" w:color="auto" w:fill="FFFFFF"/>
          </w:tcPr>
          <w:p w14:paraId="50155272" w14:textId="77777777" w:rsidR="002A4526" w:rsidRPr="00F90EAE" w:rsidRDefault="002A4526"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Оборонительное вооружение:</w:t>
            </w:r>
          </w:p>
        </w:tc>
      </w:tr>
      <w:tr w:rsidR="002A4526" w:rsidRPr="00F90EAE" w14:paraId="50475BBC" w14:textId="77777777" w:rsidTr="00076D96">
        <w:trPr>
          <w:trHeight w:val="250"/>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34BA4D23"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lastRenderedPageBreak/>
              <w:t>число/калибр/боезапас, шт./мм/шт.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6A2E0856"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302B62B"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A134AD1"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7129FA6F"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7279623E"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35BAD05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AD7A87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E67D287"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1/12,7/196</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100435F9"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1/12,7/196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C975C6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5C00E05"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1/20/150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3E6974E"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1/12,7/150</w:t>
            </w:r>
          </w:p>
        </w:tc>
      </w:tr>
      <w:tr w:rsidR="002A4526" w:rsidRPr="00F90EAE" w14:paraId="3F03103A" w14:textId="77777777" w:rsidTr="00076D96">
        <w:trPr>
          <w:trHeight w:val="259"/>
        </w:trPr>
        <w:tc>
          <w:tcPr>
            <w:tcW w:w="1560" w:type="dxa"/>
            <w:tcBorders>
              <w:top w:val="single" w:sz="4" w:space="0" w:color="auto"/>
              <w:left w:val="single" w:sz="4" w:space="0" w:color="auto"/>
              <w:bottom w:val="single" w:sz="4" w:space="0" w:color="auto"/>
              <w:right w:val="single" w:sz="4" w:space="0" w:color="auto"/>
            </w:tcBorders>
            <w:shd w:val="clear" w:color="auto" w:fill="FFFFFF"/>
          </w:tcPr>
          <w:p w14:paraId="5C971150"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авиаграната АГ-2, шт.</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2A8017FC"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F24E3EF"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54902F2"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2D02BD74" w14:textId="77777777" w:rsidR="002A4526" w:rsidRPr="00F90EAE" w:rsidRDefault="002A4526" w:rsidP="00F90EAE">
            <w:pPr>
              <w:pStyle w:val="623"/>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5D2AE62D"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1CD40C9"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3B4333"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5E8DCFBF"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0167B286" w14:textId="77777777" w:rsidR="002A4526" w:rsidRPr="00F90EAE" w:rsidRDefault="002A4526" w:rsidP="00F90EAE">
            <w:pPr>
              <w:pStyle w:val="580"/>
              <w:shd w:val="clear" w:color="auto" w:fill="auto"/>
              <w:spacing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023873E2" w14:textId="77777777" w:rsidR="002A4526" w:rsidRPr="00F90EAE" w:rsidRDefault="002A4526" w:rsidP="00F90EAE">
            <w:pPr>
              <w:pStyle w:val="591"/>
              <w:shd w:val="clear" w:color="auto" w:fill="auto"/>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val="ru"/>
              </w:rPr>
              <w:t>-</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4AC2573B"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14:paraId="1C994544" w14:textId="77777777" w:rsidR="002A4526" w:rsidRPr="00F90EAE" w:rsidRDefault="002A4526" w:rsidP="00F90EAE">
            <w:pPr>
              <w:pStyle w:val="76"/>
              <w:shd w:val="clear" w:color="auto" w:fill="auto"/>
              <w:spacing w:line="240" w:lineRule="auto"/>
              <w:ind w:firstLine="0"/>
              <w:jc w:val="both"/>
              <w:rPr>
                <w:rFonts w:ascii="Times New Roman" w:hAnsi="Times New Roman"/>
                <w:color w:val="0070C0"/>
                <w:sz w:val="16"/>
                <w:szCs w:val="16"/>
              </w:rPr>
            </w:pPr>
            <w:r w:rsidRPr="00F90EAE">
              <w:rPr>
                <w:rFonts w:ascii="Times New Roman" w:hAnsi="Times New Roman"/>
                <w:color w:val="0070C0"/>
                <w:sz w:val="16"/>
                <w:szCs w:val="16"/>
              </w:rPr>
              <w:t>10</w:t>
            </w:r>
          </w:p>
        </w:tc>
      </w:tr>
    </w:tbl>
    <w:p w14:paraId="739268B1" w14:textId="77777777" w:rsidR="002A4526" w:rsidRPr="00F90EAE" w:rsidRDefault="002A4526" w:rsidP="00F90EAE">
      <w:pPr>
        <w:jc w:val="both"/>
        <w:rPr>
          <w:color w:val="0070C0"/>
          <w:sz w:val="16"/>
          <w:szCs w:val="16"/>
        </w:rPr>
      </w:pPr>
      <w:r w:rsidRPr="00F90EAE">
        <w:rPr>
          <w:color w:val="0070C0"/>
          <w:sz w:val="16"/>
          <w:szCs w:val="16"/>
        </w:rPr>
        <w:t>(19853).</w:t>
      </w:r>
    </w:p>
    <w:p w14:paraId="52C75685" w14:textId="77777777" w:rsidR="002A4526" w:rsidRPr="00F90EAE" w:rsidRDefault="002A4526" w:rsidP="00F90EAE">
      <w:pPr>
        <w:jc w:val="both"/>
        <w:rPr>
          <w:color w:val="0070C0"/>
          <w:sz w:val="16"/>
          <w:szCs w:val="16"/>
        </w:rPr>
      </w:pPr>
    </w:p>
    <w:p w14:paraId="17DF75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О.К.А. в качестве зам ГК А.С.Я. писал письмо по особенностям гос. испытаний Як-3Т с Н-37 (65,181).</w:t>
      </w:r>
    </w:p>
    <w:p w14:paraId="72ABBC83" w14:textId="77777777" w:rsidR="00C2313B" w:rsidRPr="00F90EAE" w:rsidRDefault="00C2313B" w:rsidP="00F90EAE">
      <w:pPr>
        <w:autoSpaceDE w:val="0"/>
        <w:autoSpaceDN w:val="0"/>
        <w:adjustRightInd w:val="0"/>
        <w:jc w:val="both"/>
        <w:rPr>
          <w:color w:val="000000" w:themeColor="text1"/>
          <w:sz w:val="16"/>
          <w:szCs w:val="16"/>
        </w:rPr>
      </w:pPr>
    </w:p>
    <w:p w14:paraId="416BE7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ГОКО N 7442с о демонтаже и вывозу оборудования завода Хорти Легет в Будапеште на 64 завод в Воронеж (1874,10).</w:t>
      </w:r>
    </w:p>
    <w:p w14:paraId="63AE2094" w14:textId="77777777" w:rsidR="00C2313B" w:rsidRPr="00F90EAE" w:rsidRDefault="00C2313B" w:rsidP="00F90EAE">
      <w:pPr>
        <w:autoSpaceDE w:val="0"/>
        <w:autoSpaceDN w:val="0"/>
        <w:adjustRightInd w:val="0"/>
        <w:jc w:val="both"/>
        <w:rPr>
          <w:color w:val="000000" w:themeColor="text1"/>
          <w:sz w:val="16"/>
          <w:szCs w:val="16"/>
        </w:rPr>
      </w:pPr>
    </w:p>
    <w:p w14:paraId="2A24BCA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E6672A3" w14:textId="77777777" w:rsidR="00C2313B" w:rsidRPr="00F90EAE" w:rsidRDefault="00C2313B" w:rsidP="00F90EAE">
      <w:pPr>
        <w:autoSpaceDE w:val="0"/>
        <w:autoSpaceDN w:val="0"/>
        <w:adjustRightInd w:val="0"/>
        <w:jc w:val="both"/>
        <w:rPr>
          <w:iCs/>
          <w:color w:val="000000" w:themeColor="text1"/>
          <w:sz w:val="16"/>
          <w:szCs w:val="16"/>
        </w:rPr>
      </w:pPr>
    </w:p>
    <w:p w14:paraId="1B48CFDA" w14:textId="77777777" w:rsidR="004945E9" w:rsidRPr="00F90EAE" w:rsidRDefault="004945E9" w:rsidP="00F90EAE">
      <w:pPr>
        <w:jc w:val="both"/>
        <w:rPr>
          <w:color w:val="000000" w:themeColor="text1"/>
          <w:sz w:val="16"/>
          <w:szCs w:val="16"/>
        </w:rPr>
      </w:pPr>
      <w:r w:rsidRPr="00F90EAE">
        <w:rPr>
          <w:color w:val="000000" w:themeColor="text1"/>
          <w:sz w:val="16"/>
          <w:szCs w:val="16"/>
        </w:rPr>
        <w:t>2 февраля 1945 г. из СПЕЦИАЛЬНОГО СООБЩЕНИЯ НАЧАЛЬНИКА УПРАВЛЕНИЯ НКВД ПО НОВОСИБИРСКОЙ ОБЛАСТИ Ф.П. ПЕТРОВСКОГО СЕКРЕТАРЮ НОВОСИБИРСКОГО ОБКОМА ВКП(б) И.Д. ЯКОВЛЕВУ «О ЖИЛИЩНО-БЫТОВЫХ УСЛОВИЯХ СПЕЦПЕРЕСЕЛЕНЦЕВ-НЕМЦЕВ, ТРУДОУСТРОЕННЫХ НА ЗАВОДЕ № 65 г. НОВОСИБИРСКА»</w:t>
      </w:r>
    </w:p>
    <w:p w14:paraId="535AA29B" w14:textId="77777777" w:rsidR="004945E9" w:rsidRPr="00F90EAE" w:rsidRDefault="004945E9" w:rsidP="00F90EAE">
      <w:pPr>
        <w:jc w:val="both"/>
        <w:rPr>
          <w:color w:val="000000" w:themeColor="text1"/>
          <w:sz w:val="16"/>
          <w:szCs w:val="16"/>
        </w:rPr>
      </w:pPr>
      <w:r w:rsidRPr="00F90EAE">
        <w:rPr>
          <w:color w:val="000000" w:themeColor="text1"/>
          <w:sz w:val="16"/>
          <w:szCs w:val="16"/>
        </w:rPr>
        <w:t>В связи с создавшимися крайне тяжелыми жилищно-бытовыми условиями спецпереселенцев-немцев, трудоустроенных и работающих на заводе № 65 по инициативе отдела спецпоселений УНКВД, была создана комиссия из представителей районных организаций Кировского района для проверки истинного положения обстоятельств дела. Произведенной проверкой установлено, что расселенные в трех общих бараках так называемой зоны Затона 295 семей, с общим количеством в них 775 человек спецпереселенцев-немцев, из которых работает на заводе 492 человека, или 64% к общему числу расселенных, действительно живут в нетерпимых условиях, крайне скученно, завшивлены, полураздеты, в постоянном холоде из-за непригодности бараков и отсутствия топлива, вследствие чего имеют место массовые заболевания и смертность. Только за последние 6 месяцев умерло 54 человека, из них -39 человек от дистрофии. Состояние бараков, в которых живут немцы, характеризуется так: Бараки засыпного типа постройки 1941 года, оштукатурены только с одной внутренней стороны. Засыпка стен во многих местах значительно осела, образовались большие пустоты со щелями. Жилые комнаты отделены от холодного коридора одинарной обшивной перегородкой из досок в 2,5 см, без всякого утепления, сама обшивка сделана небрежно, имеются большие щели. Наружные двери не утеплены, плохо пригнаны, имеются щели. Стекла в оконных переплетах отсутствуют на 30-40% и заменены досчаткой, при этом небрежно, со щелями. По изложенным причинам тепло в бараках не держится даже при условии топки. В момент обследования температура в бараках стояла от 5 до 9 градусов тепла при наружной температуре 20 градусов мороза. Топливом общежития обеспечиваются с большими перебоями и в крайне ограниченных размерах. На день обследования никакого запаса топлива не было. При среднесуточной потребности дров для отопления жилых бараков и бани 15 кубометров завозится только один-полтора кубометра. Во всех общежитиях исключительная антисанитария, спецпереселенцы мыла не получают, баню не посещают, так как она топится очень редко, ввиду этого все без исключения они сильно завшивлены. Подавляющее большинство рабочих и иждивенцев постельных принадлежностей не имеют, спят на голых нарах, укрываются грязными рабочими телогрейками и другими предметами старой грязной рвани. Значительная часть спецпереселенцев совершенно не имеет нательного белья, многие из них ходят, надев на голое тело грязные фуфайки или другие грязные и рваные одежды, которые нечем сменить. В таком именно одеянии при проверке оказались: станочница 17[-го] цеха Бауэр Мария Петровна, рабочая 15[-го] цеха Шпрингер Елизавета Фридри-ховна и ряд других - 30 человек. Спецпереселенки: Куласало, Бауэр, Тельту, Гах, Габриль и многие другие - прекратили выход на работу в цеха завода по причине раздетости и разутости. Многие не возвращаются из цехов в бараки по несколько дней из-за отсутствия одежды и обуви. В организованном при зоне детсаде помещено 180 человек детей спецпереселенцев в возрасте от 2 до 8 лет, из которых 70 человек совсем раздеты и ходят в одних нижних рубашках. Так как детсад из-за недостаточности топлива обслуживается очень плохо, то дети днями просиживают укутанными одеялами. Ввиду таких условий с июня месяца по 23 декабря 1944 года все спецпереселенцы, проживающие в этих бараках, были закарантированы по поводу сыпного тифа. Там же и по настоящее время не прекращаются заболевания брюшным тифом. Питание спецпереселенцев очень плохое, мер к организации трехразового питания за счет ресурсов подсобного хозяйства руководство завода не принимает. Также не реагирует на систематические перебои в доставке хлеба для продажи спецпереселенцам. В частности, с 31 декабря 1944 года по 4 января 1945 года совсем не завозился хлеб в магазин зоны обслуживания спецпереселенцев. В результате таких нетерпимых условий, наряду с многочисленной заболеваемостью и смертностью среди немцев, о чем сказано выше, имеются массовые случаи бегства спецпереселенцев. Только за последние 4 месяца бежало 129 человек. После указанного обследования комиссия посетила директора завода № 65 тов. Яковлева, ознакомила его с положением дел и поинтересовалась, что предпринимается дирекцией завода к устранению имеющих место ненормальностей в жилищно-бытовых условиях немцев. Выслушав комиссию, тов. Яковлев заявил, что в течение ноября и декабря месяцев он лично пять раз был в общежитиях немцев и положение их знает хорошо, пообещал дать распоряжение о ежедневном завозе туда 5 кубометров дров (вместо необходимых 15 кубометров) и выдать 200 матрацев. В отношении разрешения всех остальных вопросов т. Яковлев заявил, что ему не спецпереселенцы нужны, а выполнение производственной программы, поэтому, заявил он, заниматься улучшением жилищно-бытовых условий спецпереселенцев мне некогда. Основываясь на указаниях НКВД СССР о применении репрессий к тем предприятиям, которые не выполняют требований органов НКВД в части создания нормальных жилищно-бытовых условий используемым ими спецпереселенцам, мною принято решение об изъятии из завода № 65 указанных немцев и передаче другому предприятию, способному обеспечить их нормальными условиями быта. Одновременно считаю целесообразным заслушать на бюро обкома ВКП(б) директора завода № 65 т. Яковлева о безобразных жилищно-бытовых условиях спецпереселенцев-немцев, создавшихся по вине директора завода.</w:t>
      </w:r>
    </w:p>
    <w:p w14:paraId="571CE7ED" w14:textId="77777777" w:rsidR="004945E9" w:rsidRPr="00F90EAE" w:rsidRDefault="004945E9" w:rsidP="00F90EAE">
      <w:pPr>
        <w:jc w:val="both"/>
        <w:rPr>
          <w:color w:val="000000" w:themeColor="text1"/>
          <w:sz w:val="16"/>
          <w:szCs w:val="16"/>
        </w:rPr>
      </w:pPr>
      <w:r w:rsidRPr="00F90EAE">
        <w:rPr>
          <w:color w:val="000000" w:themeColor="text1"/>
          <w:sz w:val="16"/>
          <w:szCs w:val="16"/>
        </w:rPr>
        <w:t>Начальник управления НКВД по Новосибирской области Ф. Петровский</w:t>
      </w:r>
    </w:p>
    <w:p w14:paraId="0AFA6437" w14:textId="77777777" w:rsidR="004945E9" w:rsidRPr="00F90EAE" w:rsidRDefault="004945E9" w:rsidP="00F90EAE">
      <w:pPr>
        <w:jc w:val="both"/>
        <w:rPr>
          <w:color w:val="000000" w:themeColor="text1"/>
          <w:sz w:val="16"/>
          <w:szCs w:val="16"/>
        </w:rPr>
      </w:pPr>
      <w:r w:rsidRPr="00F90EAE">
        <w:rPr>
          <w:color w:val="000000" w:themeColor="text1"/>
          <w:sz w:val="16"/>
          <w:szCs w:val="16"/>
        </w:rPr>
        <w:t>ГЛНО. Ф. П-4. Оп. 9. Д. 348. Л. 30-32. Подлинник.</w:t>
      </w:r>
    </w:p>
    <w:p w14:paraId="42E341C9" w14:textId="77777777" w:rsidR="004945E9" w:rsidRPr="00F90EAE" w:rsidRDefault="004945E9" w:rsidP="00F90EAE">
      <w:pPr>
        <w:jc w:val="both"/>
        <w:rPr>
          <w:color w:val="000000" w:themeColor="text1"/>
          <w:sz w:val="16"/>
          <w:szCs w:val="16"/>
        </w:rPr>
      </w:pPr>
      <w:r w:rsidRPr="00F90EAE">
        <w:rPr>
          <w:color w:val="000000" w:themeColor="text1"/>
          <w:sz w:val="16"/>
          <w:szCs w:val="16"/>
        </w:rPr>
        <w:t xml:space="preserve">Подпись-автограф Петровского. Документ датируется по дате, проставленной автором при его подписании: 2 февраля 1945 г. На первом листе документа резолюция И.Д. Яковлева: «Срочно. Только лично Саханиикому. Прошу немедленно предоставить обкому объяснение о причинах такого положения и о Ваших мерях для обсуждения на бюро обкома. Справку после ознакомления верните. </w:t>
      </w:r>
    </w:p>
    <w:p w14:paraId="235F9184" w14:textId="77777777" w:rsidR="004945E9" w:rsidRPr="00F90EAE" w:rsidRDefault="004945E9" w:rsidP="00F90EAE">
      <w:pPr>
        <w:jc w:val="both"/>
        <w:rPr>
          <w:color w:val="000000" w:themeColor="text1"/>
          <w:sz w:val="16"/>
          <w:szCs w:val="16"/>
        </w:rPr>
      </w:pPr>
    </w:p>
    <w:p w14:paraId="245E32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Распоряжение ГКО № 7439. О направлении 4 тыс. осужденных за самовольный уход с предприятий военной промышленности и бытовые преступления на заводы НКВ в феврале 1945 г. РГАНИР, Фонд ГКО, д. 365, лл. 89-90 (11012).</w:t>
      </w:r>
    </w:p>
    <w:p w14:paraId="4CB4A4F3" w14:textId="77777777" w:rsidR="00C2313B" w:rsidRPr="00F90EAE" w:rsidRDefault="00C2313B" w:rsidP="00F90EAE">
      <w:pPr>
        <w:autoSpaceDE w:val="0"/>
        <w:autoSpaceDN w:val="0"/>
        <w:adjustRightInd w:val="0"/>
        <w:jc w:val="both"/>
        <w:rPr>
          <w:color w:val="000000" w:themeColor="text1"/>
          <w:sz w:val="16"/>
          <w:szCs w:val="16"/>
        </w:rPr>
      </w:pPr>
    </w:p>
    <w:p w14:paraId="4928DD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7440 О плане поставок хлебофуража для Красной Армии в феврале и марте 1945 г. и об изменении плана поставок I квартала 1945 г. по другим продовольственным товарам. РГАНИР, Фонд ГКО, д. 365, лл. 91-92, 93 (11012).</w:t>
      </w:r>
    </w:p>
    <w:p w14:paraId="3FB85FE8" w14:textId="77777777" w:rsidR="00C2313B" w:rsidRPr="00F90EAE" w:rsidRDefault="00C2313B" w:rsidP="00F90EAE">
      <w:pPr>
        <w:autoSpaceDE w:val="0"/>
        <w:autoSpaceDN w:val="0"/>
        <w:adjustRightInd w:val="0"/>
        <w:jc w:val="both"/>
        <w:rPr>
          <w:color w:val="000000" w:themeColor="text1"/>
          <w:sz w:val="16"/>
          <w:szCs w:val="16"/>
        </w:rPr>
      </w:pPr>
    </w:p>
    <w:p w14:paraId="1F44191B"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7445 [О мерах по ускорению продвижения поездов и обеспечению государственного плана перевозки воинских и народнохозяйственных грузов.] (7304, 99-100).</w:t>
      </w:r>
    </w:p>
    <w:p w14:paraId="1283E1C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8792EE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7465 О плане и мерах по обеспечению перевозок народнохозяйственных грузов по железнодорожному и морскому транспорту на февраль 1945 г. (7306, 1-7,8-243).</w:t>
      </w:r>
    </w:p>
    <w:p w14:paraId="0C09938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66CCD86"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7466 Об общем плане перевозок по железнодорожному и морскому транспорту на февраль 1945 г. (7307, 1).</w:t>
      </w:r>
    </w:p>
    <w:p w14:paraId="77156BB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BD223C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7B22F54" w14:textId="77777777" w:rsidR="00C2313B" w:rsidRPr="00F90EAE" w:rsidRDefault="00C2313B" w:rsidP="00F90EAE">
      <w:pPr>
        <w:autoSpaceDE w:val="0"/>
        <w:autoSpaceDN w:val="0"/>
        <w:adjustRightInd w:val="0"/>
        <w:jc w:val="both"/>
        <w:rPr>
          <w:iCs/>
          <w:color w:val="000000" w:themeColor="text1"/>
          <w:sz w:val="16"/>
          <w:szCs w:val="16"/>
        </w:rPr>
      </w:pPr>
    </w:p>
    <w:p w14:paraId="29CE744C" w14:textId="77777777" w:rsidR="003D013D" w:rsidRPr="00F90EAE" w:rsidRDefault="003D013D" w:rsidP="00F90EAE">
      <w:pPr>
        <w:jc w:val="both"/>
        <w:rPr>
          <w:color w:val="000000" w:themeColor="text1"/>
          <w:sz w:val="16"/>
          <w:szCs w:val="16"/>
        </w:rPr>
      </w:pPr>
      <w:r w:rsidRPr="00F90EAE">
        <w:rPr>
          <w:bCs/>
          <w:color w:val="000000" w:themeColor="text1"/>
          <w:sz w:val="16"/>
          <w:szCs w:val="16"/>
        </w:rPr>
        <w:t>2 февраля</w:t>
      </w:r>
      <w:r w:rsidRPr="00F90EAE">
        <w:rPr>
          <w:color w:val="000000" w:themeColor="text1"/>
          <w:sz w:val="16"/>
          <w:szCs w:val="16"/>
        </w:rPr>
        <w:t xml:space="preserve"> в 1945 году оперативная сводка Совинформбюро:</w:t>
      </w:r>
    </w:p>
    <w:p w14:paraId="705045B9" w14:textId="77777777" w:rsidR="003D013D" w:rsidRPr="00F90EAE" w:rsidRDefault="003D013D" w:rsidP="00F90EAE">
      <w:pPr>
        <w:jc w:val="both"/>
        <w:rPr>
          <w:color w:val="000000" w:themeColor="text1"/>
          <w:sz w:val="16"/>
          <w:szCs w:val="16"/>
        </w:rPr>
      </w:pPr>
      <w:r w:rsidRPr="00F90EAE">
        <w:rPr>
          <w:color w:val="000000" w:themeColor="text1"/>
          <w:sz w:val="16"/>
          <w:szCs w:val="16"/>
        </w:rPr>
        <w:t>«В течение 2 февраля в Восточной Пруссии наши войска, продолжая наступление, овладели городами Домнау, Шиппенбайль, Гутштадт, а также с боями заняли более 100 других населённых пунктов, в том числе крупные населённые пункты Гермау, Ромиттен, Шенбрух, Лангендорф, Ляндскрон, Юдиттен, Лисиен, Тромиттен, Редденау, Петерсхаген, Зюссенберг, Штольцхаген, Альткирх, Байсвальде, Лаутервальде.</w:t>
      </w:r>
    </w:p>
    <w:p w14:paraId="528FBA4D" w14:textId="77777777" w:rsidR="003D013D" w:rsidRPr="00F90EAE" w:rsidRDefault="003D013D" w:rsidP="00F90EAE">
      <w:pPr>
        <w:jc w:val="both"/>
        <w:rPr>
          <w:color w:val="000000" w:themeColor="text1"/>
          <w:sz w:val="16"/>
          <w:szCs w:val="16"/>
        </w:rPr>
      </w:pPr>
      <w:r w:rsidRPr="00F90EAE">
        <w:rPr>
          <w:color w:val="000000" w:themeColor="text1"/>
          <w:sz w:val="16"/>
          <w:szCs w:val="16"/>
        </w:rPr>
        <w:t>В районе Шнайдемюля наши войска вели бои по уничтожению окружённого гарнизона противника.</w:t>
      </w:r>
    </w:p>
    <w:p w14:paraId="6EEAEB9E"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Франкфурта-на-Одере наши войска с боем овладели городами Зольдин, Дроссен, а также заняли более 150 других населённых пунктов, среди которых крупные населённые пункты Штаффельде, Альт Лиммритц, Радах, Мальсов, Валльвитц.</w:t>
      </w:r>
    </w:p>
    <w:p w14:paraId="455E0FD3" w14:textId="77777777" w:rsidR="003D013D" w:rsidRPr="00F90EAE" w:rsidRDefault="003D013D" w:rsidP="00F90EAE">
      <w:pPr>
        <w:jc w:val="both"/>
        <w:rPr>
          <w:color w:val="000000" w:themeColor="text1"/>
          <w:sz w:val="16"/>
          <w:szCs w:val="16"/>
        </w:rPr>
      </w:pPr>
      <w:r w:rsidRPr="00F90EAE">
        <w:rPr>
          <w:color w:val="000000" w:themeColor="text1"/>
          <w:sz w:val="16"/>
          <w:szCs w:val="16"/>
        </w:rPr>
        <w:t>В районе Познани продолжались бои по уничтожению окружённых в городе частей противника.</w:t>
      </w:r>
    </w:p>
    <w:p w14:paraId="4491DC35" w14:textId="77777777" w:rsidR="003D013D" w:rsidRPr="00F90EAE" w:rsidRDefault="003D013D" w:rsidP="00F90EAE">
      <w:pPr>
        <w:jc w:val="both"/>
        <w:rPr>
          <w:color w:val="000000" w:themeColor="text1"/>
          <w:sz w:val="16"/>
          <w:szCs w:val="16"/>
        </w:rPr>
      </w:pPr>
      <w:r w:rsidRPr="00F90EAE">
        <w:rPr>
          <w:color w:val="000000" w:themeColor="text1"/>
          <w:sz w:val="16"/>
          <w:szCs w:val="16"/>
        </w:rPr>
        <w:t>Западнее города Лешно (Лисса) наши войска вышли к реке Одер, заняв при этом крупные населённые пункты Кольциг, Контопп. Либенциг, Бойадель, Пирних, Липпен.</w:t>
      </w:r>
    </w:p>
    <w:p w14:paraId="2AB9ACD4"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наши войска, продолжая бои по уничтожению окружённого в западной части города (Буда) гарнизона противника, заняли 23 квартала.</w:t>
      </w:r>
    </w:p>
    <w:p w14:paraId="3028171C" w14:textId="77777777" w:rsidR="003D013D" w:rsidRPr="00F90EAE" w:rsidRDefault="003D013D" w:rsidP="00F90EAE">
      <w:pPr>
        <w:jc w:val="both"/>
        <w:rPr>
          <w:color w:val="000000" w:themeColor="text1"/>
          <w:sz w:val="16"/>
          <w:szCs w:val="16"/>
        </w:rPr>
      </w:pPr>
      <w:r w:rsidRPr="00F90EAE">
        <w:rPr>
          <w:color w:val="000000" w:themeColor="text1"/>
          <w:sz w:val="16"/>
          <w:szCs w:val="16"/>
        </w:rPr>
        <w:t>За 1 февраля на всех фронтах подбито и уничтожено 133 немецких танка. В воздушных боях и огнём зенитной артиллерии сбито 26 самолётов противника.</w:t>
      </w:r>
    </w:p>
    <w:p w14:paraId="0D0B5BB3" w14:textId="77777777" w:rsidR="003D013D" w:rsidRPr="00F90EAE" w:rsidRDefault="003D013D" w:rsidP="00F90EAE">
      <w:pPr>
        <w:jc w:val="both"/>
        <w:rPr>
          <w:color w:val="000000" w:themeColor="text1"/>
          <w:sz w:val="16"/>
          <w:szCs w:val="16"/>
        </w:rPr>
      </w:pPr>
      <w:r w:rsidRPr="00F90EAE">
        <w:rPr>
          <w:color w:val="000000" w:themeColor="text1"/>
          <w:sz w:val="16"/>
          <w:szCs w:val="16"/>
        </w:rPr>
        <w:lastRenderedPageBreak/>
        <w:t>В Восточной Пруссии наши войска продолжали наступление. В ходе боёв немцы несут тяжёлые потери. Восточно-прусская группировка противника, отрезанная от центральных районов Германии, стремится ценой любых жертв удержать занимаемые позиции. Немецкие офицеры и специальные команды эсэсовцев на месте расстреливают своих отступающих солдат. Советские войска, нанося врагу мощные удары, всё теснее сжимают кольцо вокруг вражеской группировки. Северо-западнее Кенигсберга немцы выбиты из опорного пункта Гермау, находящегося в 6 километрах от побережья Данцигской бухты. Юго-западнее города Инстербург наши войска, преодолевая упорное сопротивление гитлеровцев, продвинулись вперёд на 10 километров и овладели городом Домнау. Другие советские части, наступающие вдоль реки Алле, в результате ночной атаки танков и пехоты заняли город Гутштадт. За день боёв уничтожено свыше 4.000 гитлеровцев, подбито и сожжено 70 танков, бронемашин и бронетранспортёров противника. Взято в плен 800 немцев.</w:t>
      </w:r>
    </w:p>
    <w:p w14:paraId="07C9A34B" w14:textId="77777777" w:rsidR="003D013D" w:rsidRPr="00F90EAE" w:rsidRDefault="003D013D" w:rsidP="00F90EAE">
      <w:pPr>
        <w:jc w:val="both"/>
        <w:rPr>
          <w:color w:val="000000" w:themeColor="text1"/>
          <w:sz w:val="16"/>
          <w:szCs w:val="16"/>
        </w:rPr>
      </w:pPr>
      <w:r w:rsidRPr="00F90EAE">
        <w:rPr>
          <w:color w:val="000000" w:themeColor="text1"/>
          <w:sz w:val="16"/>
          <w:szCs w:val="16"/>
        </w:rPr>
        <w:t>В районе Шнайдемюля наши войска вели бои по уничтожению окружённого в городе гарнизона противника. Советские бойцы, действуя штурмовыми группами, выбили немцев из сильно укреплённых позиций. Уничтожено до батальона гитлеровцев. Захвачено 45 орудий, более тысячи винтовок, несколько складов с вооружением и военным имуществом. Взяты пленные.</w:t>
      </w:r>
    </w:p>
    <w:p w14:paraId="5D8A2FBD"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города Франкфурт-на-Одере наши войска продолжали наступление. Противник непрерывно усиливает и пополняет свои потрёпанные войска свежими силами. За последние дни немцы ввели в бой несколько дивизий и десятки отдельных охранных, полицейских и других батальонов. Гитлеровцы упорно сопротивляются, но под ударами советских войск теряют одну позицию за другой и откатываются на запад. Бойцы Н-ского соединения преодолели лесной массив и, продвигаясь вперёд, ворвались в город Зольдин. В ожесточённом бою наши части разгромили вражеский гарнизон и заняли город. Сегодня наши войска выбили немцев из города Дроссен, расположенного в 22 километрах северо-восточнее Франкфурта-на-Одере. На поле боя остались сотни вражеских трупов. Захвачены трофеи и пленные.</w:t>
      </w:r>
    </w:p>
    <w:p w14:paraId="1956480B" w14:textId="77777777" w:rsidR="003D013D" w:rsidRPr="00F90EAE" w:rsidRDefault="003D013D" w:rsidP="00F90EAE">
      <w:pPr>
        <w:jc w:val="both"/>
        <w:rPr>
          <w:color w:val="000000" w:themeColor="text1"/>
          <w:sz w:val="16"/>
          <w:szCs w:val="16"/>
        </w:rPr>
      </w:pPr>
      <w:r w:rsidRPr="00F90EAE">
        <w:rPr>
          <w:color w:val="000000" w:themeColor="text1"/>
          <w:sz w:val="16"/>
          <w:szCs w:val="16"/>
        </w:rPr>
        <w:t>Западнее города Лешно (Лисса) немцы пытались задержать наши войска на рубеже озёр и реки Фауле-Обра. Части Н-ского соединения преодолели укреплённый район противника и, стремительно продвинувшись вперёд, вышли к реке Одер. Разрозненные вражеские отряды были прижаты к реке и уничтожены. Захвачено у немцев 29 танков и самоходных орудий, 30 бронетранспортёров и 35 орудий. Взято в плен 1.500 немецких солдат и офицеров.</w:t>
      </w:r>
    </w:p>
    <w:p w14:paraId="1E16946E" w14:textId="77777777" w:rsidR="003D013D" w:rsidRPr="00F90EAE" w:rsidRDefault="003D013D" w:rsidP="00F90EAE">
      <w:pPr>
        <w:jc w:val="both"/>
        <w:rPr>
          <w:color w:val="000000" w:themeColor="text1"/>
          <w:sz w:val="16"/>
          <w:szCs w:val="16"/>
        </w:rPr>
      </w:pPr>
      <w:r w:rsidRPr="00F90EAE">
        <w:rPr>
          <w:color w:val="000000" w:themeColor="text1"/>
          <w:sz w:val="16"/>
          <w:szCs w:val="16"/>
        </w:rPr>
        <w:t>Советские лётчики в воздушных боях за день сбили 16 самолётов противника. Кроме того, 8 немецких самолетов уничтожены огнём нашей зенитной артиллерии.</w:t>
      </w:r>
    </w:p>
    <w:p w14:paraId="63490FE8"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наши войска продолжали вести бои по ликвидации группировки противника, окружённой в западной части города. Гитлеровцы приспособили каменные дома для долговременной круговой обороны и оказывают упорное сопротивление. Советские штурмовые группы, при поддержке артиллерии, подавляют вражеские опорные пункты и настойчиво продвигаются вперёд. Артиллеристы старшего лейтенанта Иванова на руках втащили орудия на второй и третий этажи большого дома и огнём прямой наводкой уничтожили узел сопротивления противника. Воспользовавшись замешательством среди гитлеровцев, наши подразделения перешли в атаку, выбили противника из нескольких кварталов и овладели господствующими над местностью позициями. Бронебойщики подразделения офицера Кошица, отражая вражескую контратаку, сожгли 3 немецких танка. На другом участке наши части разгромили два вражеских батальона. Взято в плен 478 немецких и венгерских солдат и офицеров.» (15028).</w:t>
      </w:r>
    </w:p>
    <w:p w14:paraId="04F43038" w14:textId="77777777" w:rsidR="003D013D" w:rsidRPr="00F90EAE" w:rsidRDefault="003D013D" w:rsidP="00F90EAE">
      <w:pPr>
        <w:jc w:val="both"/>
        <w:rPr>
          <w:color w:val="000000" w:themeColor="text1"/>
          <w:sz w:val="16"/>
          <w:szCs w:val="16"/>
        </w:rPr>
      </w:pPr>
    </w:p>
    <w:p w14:paraId="26EA8E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февраля 1945 несмотря на тщательность подго</w:t>
      </w:r>
      <w:r w:rsidRPr="00F90EAE">
        <w:rPr>
          <w:color w:val="000000" w:themeColor="text1"/>
          <w:sz w:val="16"/>
          <w:szCs w:val="16"/>
        </w:rPr>
        <w:softHyphen/>
        <w:t>товки перелета 108 шап на фронт, первый самостоятель</w:t>
      </w:r>
      <w:r w:rsidRPr="00F90EAE">
        <w:rPr>
          <w:color w:val="000000" w:themeColor="text1"/>
          <w:sz w:val="16"/>
          <w:szCs w:val="16"/>
        </w:rPr>
        <w:softHyphen/>
        <w:t>ный вылет полка закончился полной неудачей. В последний момент был сменен первый промежуточный аэро</w:t>
      </w:r>
      <w:r w:rsidRPr="00F90EAE">
        <w:rPr>
          <w:color w:val="000000" w:themeColor="text1"/>
          <w:sz w:val="16"/>
          <w:szCs w:val="16"/>
        </w:rPr>
        <w:softHyphen/>
        <w:t>дром перелета. Вместо аэродрома Разбойщина следовало лететь на аэродром Багай-Барановка. Естественно, летный состав к новому маршруту подгото</w:t>
      </w:r>
      <w:r w:rsidRPr="00F90EAE">
        <w:rPr>
          <w:color w:val="000000" w:themeColor="text1"/>
          <w:sz w:val="16"/>
          <w:szCs w:val="16"/>
        </w:rPr>
        <w:softHyphen/>
        <w:t>виться должным образом не успел, а на аэродроме вылета Толкай не было подготовлено положения по органи</w:t>
      </w:r>
      <w:r w:rsidRPr="00F90EAE">
        <w:rPr>
          <w:color w:val="000000" w:themeColor="text1"/>
          <w:sz w:val="16"/>
          <w:szCs w:val="16"/>
        </w:rPr>
        <w:softHyphen/>
        <w:t>зации перелета.</w:t>
      </w:r>
    </w:p>
    <w:p w14:paraId="0F6089D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первая группа в со</w:t>
      </w:r>
      <w:r w:rsidRPr="00F90EAE">
        <w:rPr>
          <w:color w:val="000000" w:themeColor="text1"/>
          <w:sz w:val="16"/>
          <w:szCs w:val="16"/>
        </w:rPr>
        <w:softHyphen/>
        <w:t>ставе 5 Ил-10 (ведущий группы по</w:t>
      </w:r>
      <w:r w:rsidRPr="00F90EAE">
        <w:rPr>
          <w:color w:val="000000" w:themeColor="text1"/>
          <w:sz w:val="16"/>
          <w:szCs w:val="16"/>
        </w:rPr>
        <w:softHyphen/>
        <w:t>мощник командира полка по воздуш</w:t>
      </w:r>
      <w:r w:rsidRPr="00F90EAE">
        <w:rPr>
          <w:color w:val="000000" w:themeColor="text1"/>
          <w:sz w:val="16"/>
          <w:szCs w:val="16"/>
        </w:rPr>
        <w:softHyphen/>
        <w:t xml:space="preserve">но-стрелковой службе к-н Сироткин), вылетев в 13.55 </w:t>
      </w:r>
      <w:r w:rsidRPr="00F90EAE">
        <w:rPr>
          <w:iCs/>
          <w:color w:val="000000" w:themeColor="text1"/>
          <w:sz w:val="16"/>
          <w:szCs w:val="16"/>
        </w:rPr>
        <w:t xml:space="preserve">с </w:t>
      </w:r>
      <w:r w:rsidRPr="00F90EAE">
        <w:rPr>
          <w:color w:val="000000" w:themeColor="text1"/>
          <w:sz w:val="16"/>
          <w:szCs w:val="16"/>
        </w:rPr>
        <w:t>базового аэродро</w:t>
      </w:r>
      <w:r w:rsidRPr="00F90EAE">
        <w:rPr>
          <w:color w:val="000000" w:themeColor="text1"/>
          <w:sz w:val="16"/>
          <w:szCs w:val="16"/>
        </w:rPr>
        <w:softHyphen/>
        <w:t>ма, благополучно добралась до ново</w:t>
      </w:r>
      <w:r w:rsidRPr="00F90EAE">
        <w:rPr>
          <w:color w:val="000000" w:themeColor="text1"/>
          <w:sz w:val="16"/>
          <w:szCs w:val="16"/>
        </w:rPr>
        <w:softHyphen/>
        <w:t>го аэродрома, выполнив в 15.05 по</w:t>
      </w:r>
      <w:r w:rsidRPr="00F90EAE">
        <w:rPr>
          <w:color w:val="000000" w:themeColor="text1"/>
          <w:sz w:val="16"/>
          <w:szCs w:val="16"/>
        </w:rPr>
        <w:softHyphen/>
        <w:t>садку.</w:t>
      </w:r>
    </w:p>
    <w:p w14:paraId="0594CD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7 Ил-10 второй группы долете</w:t>
      </w:r>
      <w:r w:rsidRPr="00F90EAE">
        <w:rPr>
          <w:color w:val="000000" w:themeColor="text1"/>
          <w:sz w:val="16"/>
          <w:szCs w:val="16"/>
        </w:rPr>
        <w:softHyphen/>
        <w:t>ла до нового аэродрома только четвер</w:t>
      </w:r>
      <w:r w:rsidRPr="00F90EAE">
        <w:rPr>
          <w:color w:val="000000" w:themeColor="text1"/>
          <w:sz w:val="16"/>
          <w:szCs w:val="16"/>
        </w:rPr>
        <w:softHyphen/>
        <w:t>ка во главе с ведущим группы капита</w:t>
      </w:r>
      <w:r w:rsidRPr="00F90EAE">
        <w:rPr>
          <w:color w:val="000000" w:themeColor="text1"/>
          <w:sz w:val="16"/>
          <w:szCs w:val="16"/>
        </w:rPr>
        <w:softHyphen/>
        <w:t>ном Зиновьевым. Звено во главе с мл. лейтенантом Мазуром оторвалась от общей группы сразу же с места выле</w:t>
      </w:r>
      <w:r w:rsidRPr="00F90EAE">
        <w:rPr>
          <w:color w:val="000000" w:themeColor="text1"/>
          <w:sz w:val="16"/>
          <w:szCs w:val="16"/>
        </w:rPr>
        <w:softHyphen/>
        <w:t>та. Затем летчики заблудились и, выра</w:t>
      </w:r>
      <w:r w:rsidRPr="00F90EAE">
        <w:rPr>
          <w:color w:val="000000" w:themeColor="text1"/>
          <w:sz w:val="16"/>
          <w:szCs w:val="16"/>
        </w:rPr>
        <w:softHyphen/>
        <w:t>ботав горючее, сели в поле. В итоге: одна авария и одна поломка самолета.</w:t>
      </w:r>
    </w:p>
    <w:p w14:paraId="3896E42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Третья группа из 10 Ил-10 (веду</w:t>
      </w:r>
      <w:r w:rsidRPr="00F90EAE">
        <w:rPr>
          <w:color w:val="000000" w:themeColor="text1"/>
          <w:sz w:val="16"/>
          <w:szCs w:val="16"/>
        </w:rPr>
        <w:softHyphen/>
        <w:t>щий к-н Железняков), вылетевшая в 14.35, долетела до г.Балаково и воз</w:t>
      </w:r>
      <w:r w:rsidRPr="00F90EAE">
        <w:rPr>
          <w:color w:val="000000" w:themeColor="text1"/>
          <w:sz w:val="16"/>
          <w:szCs w:val="16"/>
        </w:rPr>
        <w:softHyphen/>
        <w:t>вратилась по метеоусловиям, совер</w:t>
      </w:r>
      <w:r w:rsidRPr="00F90EAE">
        <w:rPr>
          <w:color w:val="000000" w:themeColor="text1"/>
          <w:sz w:val="16"/>
          <w:szCs w:val="16"/>
        </w:rPr>
        <w:softHyphen/>
        <w:t>шив посадку в Чапаевске на аэродро</w:t>
      </w:r>
      <w:r w:rsidRPr="00F90EAE">
        <w:rPr>
          <w:color w:val="000000" w:themeColor="text1"/>
          <w:sz w:val="16"/>
          <w:szCs w:val="16"/>
        </w:rPr>
        <w:softHyphen/>
        <w:t>ме 12-го зап. Из состава группы мл. л-т Кирюшкин сел на вынужденную по причине отказа мотора - самолет по</w:t>
      </w:r>
      <w:r w:rsidRPr="00F90EAE">
        <w:rPr>
          <w:color w:val="000000" w:themeColor="text1"/>
          <w:sz w:val="16"/>
          <w:szCs w:val="16"/>
        </w:rPr>
        <w:softHyphen/>
        <w:t>ломан и требует ремонта. Лейтенант Максимов выработал горючее и потер</w:t>
      </w:r>
      <w:r w:rsidRPr="00F90EAE">
        <w:rPr>
          <w:color w:val="000000" w:themeColor="text1"/>
          <w:sz w:val="16"/>
          <w:szCs w:val="16"/>
        </w:rPr>
        <w:softHyphen/>
        <w:t>пел аварию в районе Чапаевска. Млад</w:t>
      </w:r>
      <w:r w:rsidRPr="00F90EAE">
        <w:rPr>
          <w:color w:val="000000" w:themeColor="text1"/>
          <w:sz w:val="16"/>
          <w:szCs w:val="16"/>
        </w:rPr>
        <w:softHyphen/>
        <w:t>ший лейтенант Юдаев произвел посад</w:t>
      </w:r>
      <w:r w:rsidRPr="00F90EAE">
        <w:rPr>
          <w:color w:val="000000" w:themeColor="text1"/>
          <w:sz w:val="16"/>
          <w:szCs w:val="16"/>
        </w:rPr>
        <w:softHyphen/>
        <w:t>ку на одно колесо по причине не вы</w:t>
      </w:r>
      <w:r w:rsidRPr="00F90EAE">
        <w:rPr>
          <w:color w:val="000000" w:themeColor="text1"/>
          <w:sz w:val="16"/>
          <w:szCs w:val="16"/>
        </w:rPr>
        <w:softHyphen/>
        <w:t>хода шасси - самолет поломан и тре</w:t>
      </w:r>
      <w:r w:rsidRPr="00F90EAE">
        <w:rPr>
          <w:color w:val="000000" w:themeColor="text1"/>
          <w:sz w:val="16"/>
          <w:szCs w:val="16"/>
        </w:rPr>
        <w:softHyphen/>
        <w:t>бует ремонта.</w:t>
      </w:r>
    </w:p>
    <w:p w14:paraId="0FBB08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Четвертая группа из 4 Ил-10 (веду</w:t>
      </w:r>
      <w:r w:rsidRPr="00F90EAE">
        <w:rPr>
          <w:color w:val="000000" w:themeColor="text1"/>
          <w:sz w:val="16"/>
          <w:szCs w:val="16"/>
        </w:rPr>
        <w:softHyphen/>
        <w:t>щий к-н Новиков), вылетев в 14.45, возвратилась с маршрута и произвела посадку на аэродроме в Чапаевске.</w:t>
      </w:r>
    </w:p>
    <w:p w14:paraId="1550646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Таким образом, из 26 Ил-10, вы</w:t>
      </w:r>
      <w:r w:rsidRPr="00F90EAE">
        <w:rPr>
          <w:color w:val="000000" w:themeColor="text1"/>
          <w:sz w:val="16"/>
          <w:szCs w:val="16"/>
        </w:rPr>
        <w:softHyphen/>
        <w:t>летевших с аэродрома Толкай, на ме</w:t>
      </w:r>
      <w:r w:rsidRPr="00F90EAE">
        <w:rPr>
          <w:color w:val="000000" w:themeColor="text1"/>
          <w:sz w:val="16"/>
          <w:szCs w:val="16"/>
        </w:rPr>
        <w:softHyphen/>
        <w:t>сто назначения прибыло только 9 самолетов, 13 самолетов - сели в Ча</w:t>
      </w:r>
      <w:r w:rsidRPr="00F90EAE">
        <w:rPr>
          <w:color w:val="000000" w:themeColor="text1"/>
          <w:sz w:val="16"/>
          <w:szCs w:val="16"/>
        </w:rPr>
        <w:softHyphen/>
        <w:t>паевске, плюс две аварии и три по</w:t>
      </w:r>
      <w:r w:rsidRPr="00F90EAE">
        <w:rPr>
          <w:color w:val="000000" w:themeColor="text1"/>
          <w:sz w:val="16"/>
          <w:szCs w:val="16"/>
        </w:rPr>
        <w:softHyphen/>
        <w:t>ломки самолетов.</w:t>
      </w:r>
    </w:p>
    <w:p w14:paraId="482779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разбора полетов и раздачи «слонов» всем «заинтересованным» ли</w:t>
      </w:r>
      <w:r w:rsidRPr="00F90EAE">
        <w:rPr>
          <w:color w:val="000000" w:themeColor="text1"/>
          <w:sz w:val="16"/>
          <w:szCs w:val="16"/>
        </w:rPr>
        <w:softHyphen/>
        <w:t>цам, 108-й гвардейский шап в два при</w:t>
      </w:r>
      <w:r w:rsidRPr="00F90EAE">
        <w:rPr>
          <w:color w:val="000000" w:themeColor="text1"/>
          <w:sz w:val="16"/>
          <w:szCs w:val="16"/>
        </w:rPr>
        <w:softHyphen/>
        <w:t>ема - 9 и 20 февраля,убыл таки полным составом в действующую армию.</w:t>
      </w:r>
    </w:p>
    <w:p w14:paraId="2D5B370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двух лидерных маршевых авиаполков, в 1-й заб в течение янва</w:t>
      </w:r>
      <w:r w:rsidRPr="00F90EAE">
        <w:rPr>
          <w:color w:val="000000" w:themeColor="text1"/>
          <w:sz w:val="16"/>
          <w:szCs w:val="16"/>
        </w:rPr>
        <w:softHyphen/>
        <w:t>ря было переучено на самолете Ил-10 20 летчиков-инструкторов для 43-го и 50-го запасных авиаполков, 12 эки</w:t>
      </w:r>
      <w:r w:rsidRPr="00F90EAE">
        <w:rPr>
          <w:color w:val="000000" w:themeColor="text1"/>
          <w:sz w:val="16"/>
          <w:szCs w:val="16"/>
        </w:rPr>
        <w:softHyphen/>
        <w:t>пажей перегоночных авиаполков, 10 инспекторов полетной подготовке (по одному для 3-й, 14-й и 2-й ВА, по од</w:t>
      </w:r>
      <w:r w:rsidRPr="00F90EAE">
        <w:rPr>
          <w:color w:val="000000" w:themeColor="text1"/>
          <w:sz w:val="16"/>
          <w:szCs w:val="16"/>
        </w:rPr>
        <w:softHyphen/>
        <w:t>ному - для Московского, Киевского, Бе</w:t>
      </w:r>
      <w:r w:rsidRPr="00F90EAE">
        <w:rPr>
          <w:color w:val="000000" w:themeColor="text1"/>
          <w:sz w:val="16"/>
          <w:szCs w:val="16"/>
        </w:rPr>
        <w:softHyphen/>
        <w:t>лорусского и Одесского Военных ок</w:t>
      </w:r>
      <w:r w:rsidRPr="00F90EAE">
        <w:rPr>
          <w:color w:val="000000" w:themeColor="text1"/>
          <w:sz w:val="16"/>
          <w:szCs w:val="16"/>
        </w:rPr>
        <w:softHyphen/>
        <w:t>ругов и три-для Инспекции ВВСКА), а также 51 летчик из постоянного со</w:t>
      </w:r>
      <w:r w:rsidRPr="00F90EAE">
        <w:rPr>
          <w:color w:val="000000" w:themeColor="text1"/>
          <w:sz w:val="16"/>
          <w:szCs w:val="16"/>
        </w:rPr>
        <w:softHyphen/>
        <w:t>става бригады. Из этого числа два ин</w:t>
      </w:r>
      <w:r w:rsidRPr="00F90EAE">
        <w:rPr>
          <w:color w:val="000000" w:themeColor="text1"/>
          <w:sz w:val="16"/>
          <w:szCs w:val="16"/>
        </w:rPr>
        <w:softHyphen/>
        <w:t>спектора по технике пилотирования для 2-й воздушной армии и для Киевс</w:t>
      </w:r>
      <w:r w:rsidRPr="00F90EAE">
        <w:rPr>
          <w:color w:val="000000" w:themeColor="text1"/>
          <w:sz w:val="16"/>
          <w:szCs w:val="16"/>
        </w:rPr>
        <w:softHyphen/>
        <w:t>кого Военного округа убыли к месту назначения 26 января поездом, а ос</w:t>
      </w:r>
      <w:r w:rsidRPr="00F90EAE">
        <w:rPr>
          <w:color w:val="000000" w:themeColor="text1"/>
          <w:sz w:val="16"/>
          <w:szCs w:val="16"/>
        </w:rPr>
        <w:softHyphen/>
        <w:t>тальные - 1 февраля, также поездом.</w:t>
      </w:r>
    </w:p>
    <w:p w14:paraId="1F5A921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Отправка инструкторов для 43-го и 50-го зап состоялась 7 и 9 февраля (поез</w:t>
      </w:r>
      <w:r w:rsidRPr="00F90EAE">
        <w:rPr>
          <w:color w:val="000000" w:themeColor="text1"/>
          <w:sz w:val="16"/>
          <w:szCs w:val="16"/>
        </w:rPr>
        <w:softHyphen/>
        <w:t>дом), а летчиков-перегонщиков для 245-го (летом на Ил-10), 1000-го и 217-го (поездом) перегоночных полков - 9, 15 и 16 февраля, соответственно (11131).</w:t>
      </w:r>
    </w:p>
    <w:p w14:paraId="70A407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B13C7F"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На 2 февраля 1945 был назначен отлет на фронт 108 полка. При этом с целью ускорения перебазирования полка инженеры и техники летели вместо стрелков, которых насчитывалось в полку всего 7 человек, и должны были самостоятельно готовить машины на всех промежуточных аэродромах.</w:t>
      </w:r>
    </w:p>
    <w:p w14:paraId="2D6ABC10"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Несмотря на тщательность подготовки перелета, первый самостоятельный вылет полка закончился полной неудачей. В последний момент был сменен первый промежуточный аэродром перелета. Вместо аэродрома Разбойщина следовало лететь на аэродром Багай-Барановка. Естественно, летный состав к новому маршруту подготовиться должным образом не успел, а на аэродроме вылета Толкай не было подготовлено положения по организации перелета.</w:t>
      </w:r>
    </w:p>
    <w:p w14:paraId="72BD892D"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В результате первая группа в составе 5 Ил-10 (ведущий группы - помощник командира полка по воздушно-стрелковой службе капитан Сироткин), вылетев в 13.55 с базового аэродрома, благополучно добралась до нового аэродрома, выполнив в 15.05 посадку.</w:t>
      </w:r>
    </w:p>
    <w:p w14:paraId="6C447B9B"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Из 7 Ил-10 второй группы долетела до нового аэродрома только четверка командира 3-й эскадрильи капитана Зиновьева.</w:t>
      </w:r>
    </w:p>
    <w:p w14:paraId="1A46D7AE"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Звено во главе с замкомэска младшим лейтенантом Мазуром оторвалась от общей группы сразу же с места вылета. Затем летчики заблудились и, выработав горючее, сели в поле. В итоге: одна авария - Ил-10 зав. № 1890602 и одна поломка - Ил-10 зав. № 1891302.</w:t>
      </w:r>
    </w:p>
    <w:p w14:paraId="2ACCF71E"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Третья группа из 10 Ил-10 (ведущий капитан Железняков), вылетевшая в 14.35, долетела до г. Балаково и возвратилась по метеоусловиям, совершив посадку в Чапаевске на аэродроме 12 зап.</w:t>
      </w:r>
    </w:p>
    <w:p w14:paraId="143109A0"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Из состава группы младший лейтенант Кирюшкин (Ил-10 зав. № 1891902) вынужденно сел по причине отказа мотора (АМ-42 зав. № 45315) - «самолет разбит при вынужденной посадке вне аэродрома». Из -за отсутствия давления масла разрушился ведущий валик маслонасоса.</w:t>
      </w:r>
    </w:p>
    <w:p w14:paraId="384AFCCB"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На самолете Ил-10 (зав. № 1890801) лейтенанта Максимова «в полете лопнула мембрана редуктора рабочей сети, воздух из системы стравился в атмосферу». Над аэродромом Чапаевск Максимов попытался выпустить шасси при помощи аварийной лебедки. Шасси вышло только наполовину, когда оборвались тросы лебедки. Пришлось садиться с наполовину выпущенным шасси. В результате погнут воздушный винт, сломаны шасси, но главное, деформировался центроплан. Самолет списали.</w:t>
      </w:r>
    </w:p>
    <w:p w14:paraId="2FD0BE08"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Младший лейтенант Юдаев (Ил-10 зав. № 1891002) произвел посадку на одно колесо из -за невыхода шасси («по причине проскакивания обтекателя колеса в купол центроплана»). Самолет поломан, требует ремонта.</w:t>
      </w:r>
    </w:p>
    <w:p w14:paraId="7616FAEA"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Четвертая группа из 4 Ил-10 (ведущий командир 2-й эскадрильи капитан Новиков), вылетев в 14.45, возвратилась с маршрута и произвела посадку на аэродроме в Чапаевске.</w:t>
      </w:r>
    </w:p>
    <w:p w14:paraId="6AA4E42F"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Таким образом, из 26 Ил-10, вылетевших с аэродрома Толкай, на место назначения прибыло только 9 экипажей, 13 - сели в Чапаевске плюс три аварии и две поломки самолетов. Безвозвратные потери составили 2 Ил-10.</w:t>
      </w:r>
    </w:p>
    <w:p w14:paraId="52D2BE9B"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После «разбора полетов» и раздачи «слонов» всем «заинтересованным» лицам 108 гшап в два приема - 9 и 20 февраля - все же убыл оставшимся составом в действующую армию.</w:t>
      </w:r>
    </w:p>
    <w:p w14:paraId="79E730D9"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Помимо двух лидерных маршевых авиаполков, в 1 заб в течение января было переучено на самолете Ил-10 20 летчиков-инструкторов для 43-го и 50-го запасных авиаполков, 12 экипажей перегоночных авиаполков, 10 инспекторов по летной подготовке (по одному для 3, 14 и 2 ВА, по одному - для Московского, Киевского, Белорусского и Одесского военных округов и три - для Инспекции ВВС КА), а также 51 летчик из постоянного состава бригады. Из этого числа два инспектора по технике пилотирования для 2-й воздушной армии и для Киевского военного округа убыли к месту назначения 26 января поездом, а остальные - 1 февраля, также поездом. Отправка инструкторов для 43 и 50 зап состоялась 7 и 9 февраля (поездом), а летчиков-перегонщиков для 245 (летом на Ил-10), 1000 и 217-го (поездом) перегоночных полков - 9, 15 и 16 февраля соответственно (17490).</w:t>
      </w:r>
    </w:p>
    <w:p w14:paraId="3549EE4B" w14:textId="77777777" w:rsidR="001907E8" w:rsidRPr="00F90EAE" w:rsidRDefault="001907E8" w:rsidP="00F90EAE">
      <w:pPr>
        <w:jc w:val="both"/>
        <w:rPr>
          <w:color w:val="000000" w:themeColor="text1"/>
          <w:sz w:val="16"/>
          <w:szCs w:val="16"/>
        </w:rPr>
      </w:pPr>
    </w:p>
    <w:p w14:paraId="704777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по данным ОКБ С.В.И. эскадрилья, ведомая Героем Советского Союза Ф.А.Жигариным - штурманом 108 гшап - впервые штурмовала танки и мотопехоту у реки Нейсе (5,123).</w:t>
      </w:r>
    </w:p>
    <w:p w14:paraId="00C63B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Это, очевидно, недоразумение и должно быть не февраля, а апреля. Стреляли РС и бросали ПТАБ, а также пушки и пулеметы. Вернулись все (111,176).</w:t>
      </w:r>
    </w:p>
    <w:p w14:paraId="4FEB446B" w14:textId="77777777" w:rsidR="00C2313B" w:rsidRPr="00F90EAE" w:rsidRDefault="00C2313B" w:rsidP="00F90EAE">
      <w:pPr>
        <w:autoSpaceDE w:val="0"/>
        <w:autoSpaceDN w:val="0"/>
        <w:adjustRightInd w:val="0"/>
        <w:jc w:val="both"/>
        <w:rPr>
          <w:color w:val="000000" w:themeColor="text1"/>
          <w:sz w:val="16"/>
          <w:szCs w:val="16"/>
        </w:rPr>
      </w:pPr>
    </w:p>
    <w:p w14:paraId="0FAC93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было первое применение Ил-10 в боевых действиях под Шпротау у р. Нейсе под управлением командира эскадрильи 108 гшап 2ВА Ф.А.Жигарина (3846,20).</w:t>
      </w:r>
    </w:p>
    <w:p w14:paraId="6A91C796" w14:textId="77777777" w:rsidR="00C2313B" w:rsidRPr="00F90EAE" w:rsidRDefault="00C2313B" w:rsidP="00F90EAE">
      <w:pPr>
        <w:autoSpaceDE w:val="0"/>
        <w:autoSpaceDN w:val="0"/>
        <w:adjustRightInd w:val="0"/>
        <w:jc w:val="both"/>
        <w:rPr>
          <w:color w:val="000000" w:themeColor="text1"/>
          <w:sz w:val="16"/>
          <w:szCs w:val="16"/>
        </w:rPr>
      </w:pPr>
    </w:p>
    <w:p w14:paraId="75A2C7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фев</w:t>
      </w:r>
      <w:r w:rsidRPr="00F90EAE">
        <w:rPr>
          <w:color w:val="000000" w:themeColor="text1"/>
          <w:sz w:val="16"/>
          <w:szCs w:val="16"/>
        </w:rPr>
        <w:softHyphen/>
        <w:t>раля 1945 чтобы ускорить перебазирование 108 полка, инженеры и техники летели вме</w:t>
      </w:r>
      <w:r w:rsidRPr="00F90EAE">
        <w:rPr>
          <w:color w:val="000000" w:themeColor="text1"/>
          <w:sz w:val="16"/>
          <w:szCs w:val="16"/>
        </w:rPr>
        <w:softHyphen/>
        <w:t>сто стрелков, которых насчитывалось в полку всего 7 человек, и должны были самостоятельно готовить машины на всех промежуточных аэродромах. Несмотря на тщательность подготов</w:t>
      </w:r>
      <w:r w:rsidRPr="00F90EAE">
        <w:rPr>
          <w:color w:val="000000" w:themeColor="text1"/>
          <w:sz w:val="16"/>
          <w:szCs w:val="16"/>
        </w:rPr>
        <w:softHyphen/>
        <w:t>ки перелета, он закончился неудачей. В последний момент сменили первый промежуточный пункт. Вместо аэродро</w:t>
      </w:r>
      <w:r w:rsidRPr="00F90EAE">
        <w:rPr>
          <w:color w:val="000000" w:themeColor="text1"/>
          <w:sz w:val="16"/>
          <w:szCs w:val="16"/>
        </w:rPr>
        <w:softHyphen/>
        <w:t>ма Разбойщина следовало лететь в Багай-Барановку. Летный состав к новому маршруту подготовиться должным об</w:t>
      </w:r>
      <w:r w:rsidRPr="00F90EAE">
        <w:rPr>
          <w:color w:val="000000" w:themeColor="text1"/>
          <w:sz w:val="16"/>
          <w:szCs w:val="16"/>
        </w:rPr>
        <w:softHyphen/>
        <w:t>разом не успел. Первая группа из пяти машин, лиди-руемая капитаном Сироткиным, добра</w:t>
      </w:r>
      <w:r w:rsidRPr="00F90EAE">
        <w:rPr>
          <w:color w:val="000000" w:themeColor="text1"/>
          <w:sz w:val="16"/>
          <w:szCs w:val="16"/>
        </w:rPr>
        <w:softHyphen/>
        <w:t>лась до нового аэродрома благополуч</w:t>
      </w:r>
      <w:r w:rsidRPr="00F90EAE">
        <w:rPr>
          <w:color w:val="000000" w:themeColor="text1"/>
          <w:sz w:val="16"/>
          <w:szCs w:val="16"/>
        </w:rPr>
        <w:softHyphen/>
        <w:t>но. Из второй (семь Ил-10) долетела только четверка во главе с ведущим группы капитаном Зиновьевым. Звено младшего лейтенанта Мазура оторва</w:t>
      </w:r>
      <w:r w:rsidRPr="00F90EAE">
        <w:rPr>
          <w:color w:val="000000" w:themeColor="text1"/>
          <w:sz w:val="16"/>
          <w:szCs w:val="16"/>
        </w:rPr>
        <w:softHyphen/>
        <w:t>лось от группы сразу же. Летчики заблу</w:t>
      </w:r>
      <w:r w:rsidRPr="00F90EAE">
        <w:rPr>
          <w:color w:val="000000" w:themeColor="text1"/>
          <w:sz w:val="16"/>
          <w:szCs w:val="16"/>
        </w:rPr>
        <w:softHyphen/>
        <w:t>дились и, выработав горючее, сели в по</w:t>
      </w:r>
      <w:r w:rsidRPr="00F90EAE">
        <w:rPr>
          <w:color w:val="000000" w:themeColor="text1"/>
          <w:sz w:val="16"/>
          <w:szCs w:val="16"/>
        </w:rPr>
        <w:softHyphen/>
        <w:t>ле. В итоге - одна авария и одна полом</w:t>
      </w:r>
      <w:r w:rsidRPr="00F90EAE">
        <w:rPr>
          <w:color w:val="000000" w:themeColor="text1"/>
          <w:sz w:val="16"/>
          <w:szCs w:val="16"/>
        </w:rPr>
        <w:softHyphen/>
        <w:t>ка. Третья группа из 10 Ил-10 (ведущий капитан Железняков) долетела до Бала-ково и возвратилась из-за плохой пого</w:t>
      </w:r>
      <w:r w:rsidRPr="00F90EAE">
        <w:rPr>
          <w:color w:val="000000" w:themeColor="text1"/>
          <w:sz w:val="16"/>
          <w:szCs w:val="16"/>
        </w:rPr>
        <w:softHyphen/>
        <w:t>ды. На обратном пути младший лейте</w:t>
      </w:r>
      <w:r w:rsidRPr="00F90EAE">
        <w:rPr>
          <w:color w:val="000000" w:themeColor="text1"/>
          <w:sz w:val="16"/>
          <w:szCs w:val="16"/>
        </w:rPr>
        <w:softHyphen/>
        <w:t>нант Кирюшкин совершил вынужденную посадку - отказал мотор. Его самолет был поврежден. Лейтенант Максимов выработал горючее и потерпел аварию в районе Чапаевска. Младшему лейте</w:t>
      </w:r>
      <w:r w:rsidRPr="00F90EAE">
        <w:rPr>
          <w:color w:val="000000" w:themeColor="text1"/>
          <w:sz w:val="16"/>
          <w:szCs w:val="16"/>
        </w:rPr>
        <w:softHyphen/>
        <w:t>нанту Юдаеву пришлось садиться на одно колесо - не вышла вторая стойка. Четвертая группа во главе с капитаном Новиковым (четыре Ил-10) тоже верну</w:t>
      </w:r>
      <w:r w:rsidRPr="00F90EAE">
        <w:rPr>
          <w:color w:val="000000" w:themeColor="text1"/>
          <w:sz w:val="16"/>
          <w:szCs w:val="16"/>
        </w:rPr>
        <w:softHyphen/>
        <w:t>лась и приземлилась в Чапаевске. Та</w:t>
      </w:r>
      <w:r w:rsidRPr="00F90EAE">
        <w:rPr>
          <w:color w:val="000000" w:themeColor="text1"/>
          <w:sz w:val="16"/>
          <w:szCs w:val="16"/>
        </w:rPr>
        <w:softHyphen/>
        <w:t>ким образом, из 26 самолетов, вылетев</w:t>
      </w:r>
      <w:r w:rsidRPr="00F90EAE">
        <w:rPr>
          <w:color w:val="000000" w:themeColor="text1"/>
          <w:sz w:val="16"/>
          <w:szCs w:val="16"/>
        </w:rPr>
        <w:softHyphen/>
        <w:t>ших с аэродрома Толкай, на место назначения прибыли девять. После разби</w:t>
      </w:r>
      <w:r w:rsidRPr="00F90EAE">
        <w:rPr>
          <w:color w:val="000000" w:themeColor="text1"/>
          <w:sz w:val="16"/>
          <w:szCs w:val="16"/>
        </w:rPr>
        <w:softHyphen/>
        <w:t>рательства и принятия мер 108-й гшап в два приема - 9 и 20 февраля убыл-таки полным составом в действующую ар</w:t>
      </w:r>
      <w:r w:rsidRPr="00F90EAE">
        <w:rPr>
          <w:color w:val="000000" w:themeColor="text1"/>
          <w:sz w:val="16"/>
          <w:szCs w:val="16"/>
        </w:rPr>
        <w:softHyphen/>
        <w:t>мию. Кроме этого, 25 января на стажи</w:t>
      </w:r>
      <w:r w:rsidRPr="00F90EAE">
        <w:rPr>
          <w:color w:val="000000" w:themeColor="text1"/>
          <w:sz w:val="16"/>
          <w:szCs w:val="16"/>
        </w:rPr>
        <w:softHyphen/>
        <w:t>ровку во 2-ю воздушную армию отпра</w:t>
      </w:r>
      <w:r w:rsidRPr="00F90EAE">
        <w:rPr>
          <w:color w:val="000000" w:themeColor="text1"/>
          <w:sz w:val="16"/>
          <w:szCs w:val="16"/>
        </w:rPr>
        <w:softHyphen/>
        <w:t>вилось на Ил-10 звено от управления бригады (10681).</w:t>
      </w:r>
    </w:p>
    <w:p w14:paraId="00C64C7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271493A"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 1945: The Soviet 1st Belorussian Front reaches the Oder south of Frankfurt. Ecuador declares war on Germany (3819).</w:t>
      </w:r>
    </w:p>
    <w:p w14:paraId="5F130C8A" w14:textId="77777777" w:rsidR="00C2313B" w:rsidRPr="00F90EAE" w:rsidRDefault="00C2313B" w:rsidP="00F90EAE">
      <w:pPr>
        <w:autoSpaceDE w:val="0"/>
        <w:autoSpaceDN w:val="0"/>
        <w:adjustRightInd w:val="0"/>
        <w:jc w:val="both"/>
        <w:rPr>
          <w:color w:val="000000" w:themeColor="text1"/>
          <w:sz w:val="16"/>
          <w:szCs w:val="16"/>
          <w:lang w:val="en-US"/>
        </w:rPr>
      </w:pPr>
    </w:p>
    <w:p w14:paraId="78D4E099"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2 </w:t>
      </w:r>
      <w:r w:rsidRPr="00F90EAE">
        <w:rPr>
          <w:color w:val="000000" w:themeColor="text1"/>
          <w:sz w:val="16"/>
          <w:szCs w:val="16"/>
        </w:rPr>
        <w:t>февраля</w:t>
      </w:r>
      <w:r w:rsidRPr="00F90EAE">
        <w:rPr>
          <w:color w:val="000000" w:themeColor="text1"/>
          <w:sz w:val="16"/>
          <w:szCs w:val="16"/>
          <w:lang w:val="en-US"/>
        </w:rPr>
        <w:t xml:space="preserve"> 1945 1</w:t>
      </w:r>
      <w:r w:rsidRPr="00F90EAE">
        <w:rPr>
          <w:color w:val="000000" w:themeColor="text1"/>
          <w:sz w:val="16"/>
          <w:szCs w:val="16"/>
        </w:rPr>
        <w:t>БФвышелкОдерунаЮгеуФранкфурта</w:t>
      </w:r>
      <w:r w:rsidRPr="00F90EAE">
        <w:rPr>
          <w:color w:val="000000" w:themeColor="text1"/>
          <w:sz w:val="16"/>
          <w:szCs w:val="16"/>
          <w:lang w:val="en-US"/>
        </w:rPr>
        <w:t xml:space="preserve">. </w:t>
      </w:r>
      <w:r w:rsidRPr="00F90EAE">
        <w:rPr>
          <w:color w:val="000000" w:themeColor="text1"/>
          <w:sz w:val="16"/>
          <w:szCs w:val="16"/>
        </w:rPr>
        <w:t>Эквадор</w:t>
      </w:r>
      <w:r w:rsidRPr="00F90EAE">
        <w:rPr>
          <w:color w:val="000000" w:themeColor="text1"/>
          <w:sz w:val="16"/>
          <w:szCs w:val="16"/>
          <w:lang w:val="en-US"/>
        </w:rPr>
        <w:t xml:space="preserve"> </w:t>
      </w:r>
      <w:r w:rsidRPr="00F90EAE">
        <w:rPr>
          <w:color w:val="000000" w:themeColor="text1"/>
          <w:sz w:val="16"/>
          <w:szCs w:val="16"/>
        </w:rPr>
        <w:t>объявил</w:t>
      </w:r>
      <w:r w:rsidRPr="00F90EAE">
        <w:rPr>
          <w:color w:val="000000" w:themeColor="text1"/>
          <w:sz w:val="16"/>
          <w:szCs w:val="16"/>
          <w:lang w:val="en-US"/>
        </w:rPr>
        <w:t xml:space="preserve"> </w:t>
      </w:r>
      <w:r w:rsidRPr="00F90EAE">
        <w:rPr>
          <w:color w:val="000000" w:themeColor="text1"/>
          <w:sz w:val="16"/>
          <w:szCs w:val="16"/>
        </w:rPr>
        <w:t>войну</w:t>
      </w:r>
      <w:r w:rsidRPr="00F90EAE">
        <w:rPr>
          <w:color w:val="000000" w:themeColor="text1"/>
          <w:sz w:val="16"/>
          <w:szCs w:val="16"/>
          <w:lang w:val="en-US"/>
        </w:rPr>
        <w:t xml:space="preserve"> </w:t>
      </w:r>
      <w:r w:rsidRPr="00F90EAE">
        <w:rPr>
          <w:color w:val="000000" w:themeColor="text1"/>
          <w:sz w:val="16"/>
          <w:szCs w:val="16"/>
        </w:rPr>
        <w:t>Германии</w:t>
      </w:r>
      <w:r w:rsidRPr="00F90EAE">
        <w:rPr>
          <w:color w:val="000000" w:themeColor="text1"/>
          <w:sz w:val="16"/>
          <w:szCs w:val="16"/>
          <w:lang w:val="en-US"/>
        </w:rPr>
        <w:t xml:space="preserve"> (3819).</w:t>
      </w:r>
    </w:p>
    <w:p w14:paraId="19B93EF4" w14:textId="77777777" w:rsidR="00C2313B" w:rsidRPr="00F90EAE" w:rsidRDefault="00C2313B" w:rsidP="00F90EAE">
      <w:pPr>
        <w:autoSpaceDE w:val="0"/>
        <w:autoSpaceDN w:val="0"/>
        <w:adjustRightInd w:val="0"/>
        <w:jc w:val="both"/>
        <w:rPr>
          <w:color w:val="000000" w:themeColor="text1"/>
          <w:sz w:val="16"/>
          <w:szCs w:val="16"/>
          <w:lang w:val="en-US"/>
        </w:rPr>
      </w:pPr>
    </w:p>
    <w:p w14:paraId="72B0C35F"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февраля 1945 в бою с фашистами погиб русский солдат Федор Полетаев, национальный герой Италии (4962).</w:t>
      </w:r>
    </w:p>
    <w:p w14:paraId="0243FE37"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57C2A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7443 Об утверждении генерал-майора Баюкова В.А. в должности зам. начальника Тыла КА. РГАНИР, Фонд ГКО, д. 365, лл. 97 (11012).</w:t>
      </w:r>
    </w:p>
    <w:p w14:paraId="076E6BF1" w14:textId="77777777" w:rsidR="00C2313B" w:rsidRPr="00F90EAE" w:rsidRDefault="00C2313B" w:rsidP="00F90EAE">
      <w:pPr>
        <w:autoSpaceDE w:val="0"/>
        <w:autoSpaceDN w:val="0"/>
        <w:adjustRightInd w:val="0"/>
        <w:jc w:val="both"/>
        <w:rPr>
          <w:color w:val="000000" w:themeColor="text1"/>
          <w:sz w:val="16"/>
          <w:szCs w:val="16"/>
        </w:rPr>
      </w:pPr>
    </w:p>
    <w:p w14:paraId="322FC2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7444 О т.т. Дребедневе М.Ф. и Егорове Н.В. РГАНИР, Фонд ГКО, д. 365, лл. 98 (11012).</w:t>
      </w:r>
    </w:p>
    <w:p w14:paraId="6D57B182" w14:textId="77777777" w:rsidR="00C2313B" w:rsidRPr="00F90EAE" w:rsidRDefault="00C2313B" w:rsidP="00F90EAE">
      <w:pPr>
        <w:autoSpaceDE w:val="0"/>
        <w:autoSpaceDN w:val="0"/>
        <w:adjustRightInd w:val="0"/>
        <w:jc w:val="both"/>
        <w:rPr>
          <w:color w:val="000000" w:themeColor="text1"/>
          <w:sz w:val="16"/>
          <w:szCs w:val="16"/>
        </w:rPr>
      </w:pPr>
    </w:p>
    <w:p w14:paraId="5841C67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г. в своей резиденции Каринхалле реихсмаршал Геринг принял Власова и Мальцева, а 4 марта состоялось окончательное признание ВВС РОА как самостоятельной структуры, что и было зафиксировано соответствующим приказом Коллеоа. С этого дня русское командование получило формальную независимым (4538).</w:t>
      </w:r>
    </w:p>
    <w:p w14:paraId="6E683911" w14:textId="77777777" w:rsidR="00C2313B" w:rsidRPr="00F90EAE" w:rsidRDefault="00C2313B" w:rsidP="00F90EAE">
      <w:pPr>
        <w:autoSpaceDE w:val="0"/>
        <w:autoSpaceDN w:val="0"/>
        <w:adjustRightInd w:val="0"/>
        <w:jc w:val="both"/>
        <w:rPr>
          <w:color w:val="000000" w:themeColor="text1"/>
          <w:sz w:val="16"/>
          <w:szCs w:val="16"/>
        </w:rPr>
      </w:pPr>
    </w:p>
    <w:p w14:paraId="2F623FF5"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73C5A5E" w14:textId="77777777" w:rsidR="00C2313B" w:rsidRPr="00F90EAE" w:rsidRDefault="00C2313B" w:rsidP="00F90EAE">
      <w:pPr>
        <w:autoSpaceDE w:val="0"/>
        <w:autoSpaceDN w:val="0"/>
        <w:adjustRightInd w:val="0"/>
        <w:jc w:val="both"/>
        <w:rPr>
          <w:iCs/>
          <w:color w:val="000000" w:themeColor="text1"/>
          <w:sz w:val="16"/>
          <w:szCs w:val="16"/>
        </w:rPr>
      </w:pPr>
    </w:p>
    <w:p w14:paraId="1163A3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на Поместном соборе патриархом РЦП был избран митрополит Ленинградский и Новгородский Алексий (3186).</w:t>
      </w:r>
    </w:p>
    <w:p w14:paraId="367556A5" w14:textId="77777777" w:rsidR="00C2313B" w:rsidRPr="00F90EAE" w:rsidRDefault="00C2313B" w:rsidP="00F90EAE">
      <w:pPr>
        <w:autoSpaceDE w:val="0"/>
        <w:autoSpaceDN w:val="0"/>
        <w:adjustRightInd w:val="0"/>
        <w:jc w:val="both"/>
        <w:rPr>
          <w:color w:val="000000" w:themeColor="text1"/>
          <w:sz w:val="16"/>
          <w:szCs w:val="16"/>
        </w:rPr>
      </w:pPr>
    </w:p>
    <w:p w14:paraId="4E89B9E1" w14:textId="77777777" w:rsidR="00A524F6" w:rsidRPr="00F90EAE" w:rsidRDefault="00A524F6" w:rsidP="00F90EAE">
      <w:pPr>
        <w:jc w:val="both"/>
        <w:rPr>
          <w:color w:val="000000" w:themeColor="text1"/>
          <w:sz w:val="16"/>
          <w:szCs w:val="16"/>
        </w:rPr>
      </w:pPr>
      <w:r w:rsidRPr="00F90EAE">
        <w:rPr>
          <w:color w:val="000000" w:themeColor="text1"/>
          <w:sz w:val="16"/>
          <w:szCs w:val="16"/>
        </w:rPr>
        <w:t>2 февраля 1945. Патриархом Московским и всея Руси избран митрополит Ленинградский и Новгородский Алексий (Симанский) (18688).</w:t>
      </w:r>
    </w:p>
    <w:p w14:paraId="14ACC096" w14:textId="77777777" w:rsidR="00A524F6" w:rsidRPr="00F90EAE" w:rsidRDefault="00A524F6" w:rsidP="00F90EAE">
      <w:pPr>
        <w:jc w:val="both"/>
        <w:rPr>
          <w:color w:val="000000" w:themeColor="text1"/>
          <w:sz w:val="16"/>
          <w:szCs w:val="16"/>
        </w:rPr>
      </w:pPr>
    </w:p>
    <w:p w14:paraId="4264F7C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682A3D3" w14:textId="77777777" w:rsidR="00C2313B" w:rsidRPr="00F90EAE" w:rsidRDefault="00C2313B" w:rsidP="00F90EAE">
      <w:pPr>
        <w:autoSpaceDE w:val="0"/>
        <w:autoSpaceDN w:val="0"/>
        <w:adjustRightInd w:val="0"/>
        <w:jc w:val="both"/>
        <w:rPr>
          <w:iCs/>
          <w:color w:val="000000" w:themeColor="text1"/>
          <w:sz w:val="16"/>
          <w:szCs w:val="16"/>
        </w:rPr>
      </w:pPr>
    </w:p>
    <w:p w14:paraId="4CD3AC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вышло Постановление ГКО № 7441 О помощи продовольствием населению г. Варшавы. РГАНИР, Фонд ГКО, д. 365, лл. 94 (11012).</w:t>
      </w:r>
    </w:p>
    <w:p w14:paraId="6F84AC01" w14:textId="77777777" w:rsidR="00C2313B" w:rsidRPr="00F90EAE" w:rsidRDefault="00C2313B" w:rsidP="00F90EAE">
      <w:pPr>
        <w:autoSpaceDE w:val="0"/>
        <w:autoSpaceDN w:val="0"/>
        <w:adjustRightInd w:val="0"/>
        <w:jc w:val="both"/>
        <w:rPr>
          <w:color w:val="000000" w:themeColor="text1"/>
          <w:sz w:val="16"/>
          <w:szCs w:val="16"/>
        </w:rPr>
      </w:pPr>
    </w:p>
    <w:p w14:paraId="4FC79381"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672A07E" w14:textId="77777777" w:rsidR="00C2313B" w:rsidRPr="00F90EAE" w:rsidRDefault="00C2313B" w:rsidP="00F90EAE">
      <w:pPr>
        <w:autoSpaceDE w:val="0"/>
        <w:autoSpaceDN w:val="0"/>
        <w:adjustRightInd w:val="0"/>
        <w:jc w:val="both"/>
        <w:rPr>
          <w:iCs/>
          <w:color w:val="000000" w:themeColor="text1"/>
          <w:sz w:val="16"/>
          <w:szCs w:val="16"/>
        </w:rPr>
      </w:pPr>
    </w:p>
    <w:p w14:paraId="0FA7229B" w14:textId="77777777" w:rsidR="002A4526" w:rsidRPr="00F90EAE" w:rsidRDefault="002A4526" w:rsidP="00F90EAE">
      <w:pPr>
        <w:jc w:val="both"/>
        <w:rPr>
          <w:color w:val="0070C0"/>
          <w:sz w:val="16"/>
          <w:szCs w:val="16"/>
        </w:rPr>
      </w:pPr>
      <w:r w:rsidRPr="00F90EAE">
        <w:rPr>
          <w:color w:val="0070C0"/>
          <w:sz w:val="16"/>
          <w:szCs w:val="16"/>
        </w:rPr>
        <w:t>2 февраля 1945 первый полет Horten H.IX V2, первого мощного прототипа Horten Ho 229 (20371).</w:t>
      </w:r>
    </w:p>
    <w:p w14:paraId="19E74E3B" w14:textId="77777777" w:rsidR="002A4526" w:rsidRPr="00F90EAE" w:rsidRDefault="002A4526" w:rsidP="00F90EAE">
      <w:pPr>
        <w:jc w:val="both"/>
        <w:rPr>
          <w:color w:val="0070C0"/>
          <w:sz w:val="16"/>
          <w:szCs w:val="16"/>
        </w:rPr>
      </w:pPr>
    </w:p>
    <w:p w14:paraId="59B0F091" w14:textId="77777777" w:rsidR="002A4526" w:rsidRPr="00F90EAE" w:rsidRDefault="002A4526" w:rsidP="00F90EAE">
      <w:pPr>
        <w:jc w:val="both"/>
        <w:rPr>
          <w:color w:val="0070C0"/>
          <w:sz w:val="16"/>
          <w:szCs w:val="16"/>
        </w:rPr>
      </w:pPr>
      <w:r w:rsidRPr="00F90EAE">
        <w:rPr>
          <w:color w:val="0070C0"/>
          <w:sz w:val="16"/>
          <w:szCs w:val="16"/>
        </w:rPr>
        <w:t>2 февраля 1945 Horten H.IX V2, второй прототип и первый прототип Horten Ho 229 с двигателем, совершает первый полет в Ораниенбурге, Германия. Это первый в мире полет на турбореактивного самолет типа летающее крыло (20371).</w:t>
      </w:r>
    </w:p>
    <w:p w14:paraId="7409E149" w14:textId="77777777" w:rsidR="002A4526" w:rsidRPr="00F90EAE" w:rsidRDefault="002A4526" w:rsidP="00F90EAE">
      <w:pPr>
        <w:jc w:val="both"/>
        <w:rPr>
          <w:color w:val="0070C0"/>
          <w:sz w:val="16"/>
          <w:szCs w:val="16"/>
        </w:rPr>
      </w:pPr>
    </w:p>
    <w:p w14:paraId="6683D97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1200 английских бомбардировщиков бомбили Висбаден и Карлсруе (2100).</w:t>
      </w:r>
    </w:p>
    <w:p w14:paraId="6B398B75" w14:textId="77777777" w:rsidR="00C2313B" w:rsidRPr="00F90EAE" w:rsidRDefault="00C2313B" w:rsidP="00F90EAE">
      <w:pPr>
        <w:autoSpaceDE w:val="0"/>
        <w:autoSpaceDN w:val="0"/>
        <w:adjustRightInd w:val="0"/>
        <w:jc w:val="both"/>
        <w:rPr>
          <w:color w:val="000000" w:themeColor="text1"/>
          <w:sz w:val="16"/>
          <w:szCs w:val="16"/>
        </w:rPr>
      </w:pPr>
    </w:p>
    <w:p w14:paraId="19A7E5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февраля 1945 г. усовершенствованной ракете V1 удалось достичь скорости 800 км/ч. Потеря стартовых позиций на побережье ЛаМанша потребовала увеличения дальности полета КР до 400 км (Новичков Н.Н. Развитие крылатых ракет самолетных схем. Диссертация кандидата технических наук. М.: Институт истории естествознания и техники, 1982.). Поскольку величину удельного расхода топлива ПуВРД не удалось снизить до уровня менее 4,8 кг/кгсч при скорости полета КР 530–550 км и тяги 270 кгс, то увеличение дальности было осуществлено за счет снижения массы полезной нагрузки, увеличения запаса топлива и применения деревянного крыла. Благодаря этому дальность Fi.103 возросла с 240 км до 370 км. Кроме того, инженеры фирмы «Аскания» создали и опробовали гироскопический автопилот, значительно повысивший точность полета и попадания в цель. Гитлеровцы вновь решили применить КР по Англии с наземных пусковых установок. В Западной Голландии было построено шесть стартовых позиций. Из этих позиций до 29 марта 1945 г. по Англии было запущено 275 крылатых ракет. Однако эти удары уже не могли остановить крах Третьего рейха (11686).</w:t>
      </w:r>
    </w:p>
    <w:p w14:paraId="591517C9" w14:textId="77777777" w:rsidR="00C2313B" w:rsidRPr="00F90EAE" w:rsidRDefault="00C2313B" w:rsidP="00F90EAE">
      <w:pPr>
        <w:autoSpaceDE w:val="0"/>
        <w:autoSpaceDN w:val="0"/>
        <w:adjustRightInd w:val="0"/>
        <w:jc w:val="both"/>
        <w:rPr>
          <w:color w:val="000000" w:themeColor="text1"/>
          <w:sz w:val="16"/>
          <w:szCs w:val="16"/>
        </w:rPr>
      </w:pPr>
    </w:p>
    <w:p w14:paraId="193E5F2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8D5FD12" w14:textId="77777777" w:rsidR="00C2313B" w:rsidRPr="00F90EAE" w:rsidRDefault="00C2313B" w:rsidP="00F90EAE">
      <w:pPr>
        <w:autoSpaceDE w:val="0"/>
        <w:autoSpaceDN w:val="0"/>
        <w:adjustRightInd w:val="0"/>
        <w:jc w:val="both"/>
        <w:rPr>
          <w:iCs/>
          <w:color w:val="000000" w:themeColor="text1"/>
          <w:sz w:val="16"/>
          <w:szCs w:val="16"/>
        </w:rPr>
      </w:pPr>
    </w:p>
    <w:p w14:paraId="145A461A" w14:textId="77777777" w:rsidR="0032140A" w:rsidRPr="00F90EAE" w:rsidRDefault="0032140A" w:rsidP="00F90EAE">
      <w:pPr>
        <w:jc w:val="both"/>
        <w:rPr>
          <w:color w:val="000000" w:themeColor="text1"/>
          <w:sz w:val="16"/>
          <w:szCs w:val="16"/>
        </w:rPr>
      </w:pPr>
      <w:r w:rsidRPr="00F90EAE">
        <w:rPr>
          <w:color w:val="000000" w:themeColor="text1"/>
          <w:sz w:val="16"/>
          <w:szCs w:val="16"/>
        </w:rPr>
        <w:t>3 февраля 1945 г. генерал-полковник А.К. Репин обратился к заместителю наркома авиационной промышленности СССР гене</w:t>
      </w:r>
      <w:r w:rsidRPr="00F90EAE">
        <w:rPr>
          <w:color w:val="000000" w:themeColor="text1"/>
          <w:sz w:val="16"/>
          <w:szCs w:val="16"/>
        </w:rPr>
        <w:softHyphen/>
        <w:t>рал-лейтенанту А.С. Яковлеву с предложением заменить цементованную броню гомогенной для всех бронедеталей, располагаемых внутри фюзеляжа самолета, а также отработать более рациональную систему броневой защиты на истребителях, отвечающую современным тре</w:t>
      </w:r>
      <w:r w:rsidRPr="00F90EAE">
        <w:rPr>
          <w:color w:val="000000" w:themeColor="text1"/>
          <w:sz w:val="16"/>
          <w:szCs w:val="16"/>
        </w:rPr>
        <w:softHyphen/>
        <w:t>бованиям.</w:t>
      </w:r>
    </w:p>
    <w:p w14:paraId="66400D83" w14:textId="77777777" w:rsidR="0032140A" w:rsidRPr="00F90EAE" w:rsidRDefault="0032140A" w:rsidP="00F90EAE">
      <w:pPr>
        <w:jc w:val="both"/>
        <w:rPr>
          <w:color w:val="000000" w:themeColor="text1"/>
          <w:sz w:val="16"/>
          <w:szCs w:val="16"/>
        </w:rPr>
      </w:pPr>
      <w:r w:rsidRPr="00F90EAE">
        <w:rPr>
          <w:color w:val="000000" w:themeColor="text1"/>
          <w:sz w:val="16"/>
          <w:szCs w:val="16"/>
        </w:rPr>
        <w:t>К этому времени в ГК НИИ ВВС в ходе ис</w:t>
      </w:r>
      <w:r w:rsidRPr="00F90EAE">
        <w:rPr>
          <w:color w:val="000000" w:themeColor="text1"/>
          <w:sz w:val="16"/>
          <w:szCs w:val="16"/>
        </w:rPr>
        <w:softHyphen/>
        <w:t>следования влияния элементов конструкции самолета на стойкость авиационной брони внутри самолета выяснилось, что пули кали</w:t>
      </w:r>
      <w:r w:rsidRPr="00F90EAE">
        <w:rPr>
          <w:color w:val="000000" w:themeColor="text1"/>
          <w:sz w:val="16"/>
          <w:szCs w:val="16"/>
        </w:rPr>
        <w:softHyphen/>
        <w:t>бра 7,62 мм не пробивают практически с лю</w:t>
      </w:r>
      <w:r w:rsidRPr="00F90EAE">
        <w:rPr>
          <w:color w:val="000000" w:themeColor="text1"/>
          <w:sz w:val="16"/>
          <w:szCs w:val="16"/>
        </w:rPr>
        <w:softHyphen/>
        <w:t>бых дистанций цементованную и гомогенную броню толщиной 8,5 мм, расположенную в конструкции самолета. То есть, цементованная броня в реальных условиях ее работы на само</w:t>
      </w:r>
      <w:r w:rsidRPr="00F90EAE">
        <w:rPr>
          <w:color w:val="000000" w:themeColor="text1"/>
          <w:sz w:val="16"/>
          <w:szCs w:val="16"/>
        </w:rPr>
        <w:softHyphen/>
        <w:t>лете не имела явных преимуществ перед го</w:t>
      </w:r>
      <w:r w:rsidRPr="00F90EAE">
        <w:rPr>
          <w:color w:val="000000" w:themeColor="text1"/>
          <w:sz w:val="16"/>
          <w:szCs w:val="16"/>
        </w:rPr>
        <w:softHyphen/>
        <w:t>могенной броней. В то же время применяемая для бронеспинок броня толщиной 8,5 мм (как в гомогенном, так и в цементованном варианте) не обеспечивает защиту летчика в воздушном бою, так как пробивается боеприпасами кали</w:t>
      </w:r>
      <w:r w:rsidRPr="00F90EAE">
        <w:rPr>
          <w:color w:val="000000" w:themeColor="text1"/>
          <w:sz w:val="16"/>
          <w:szCs w:val="16"/>
        </w:rPr>
        <w:softHyphen/>
        <w:t>бра 13-20 мм с дистанции до 400 м в конусе ±30° от продольной оси самолета.</w:t>
      </w:r>
    </w:p>
    <w:p w14:paraId="42535207" w14:textId="77777777" w:rsidR="0032140A" w:rsidRPr="00F90EAE" w:rsidRDefault="0032140A" w:rsidP="00F90EAE">
      <w:pPr>
        <w:jc w:val="both"/>
        <w:rPr>
          <w:color w:val="000000" w:themeColor="text1"/>
          <w:sz w:val="16"/>
          <w:szCs w:val="16"/>
        </w:rPr>
      </w:pPr>
      <w:r w:rsidRPr="00F90EAE">
        <w:rPr>
          <w:color w:val="000000" w:themeColor="text1"/>
          <w:sz w:val="16"/>
          <w:szCs w:val="16"/>
        </w:rPr>
        <w:t>Репин просил поручить ВИАМ и заводу №125</w:t>
      </w:r>
      <w:r w:rsidRPr="00F90EAE">
        <w:rPr>
          <w:rStyle w:val="aff6"/>
          <w:rFonts w:ascii="Times New Roman" w:hAnsi="Times New Roman" w:cs="Times New Roman"/>
          <w:i w:val="0"/>
          <w:color w:val="000000" w:themeColor="text1"/>
        </w:rPr>
        <w:t xml:space="preserve"> «отработать параметры гомогенной брони (марка стали, твердость) для указан</w:t>
      </w:r>
      <w:r w:rsidRPr="00F90EAE">
        <w:rPr>
          <w:rStyle w:val="aff6"/>
          <w:rFonts w:ascii="Times New Roman" w:hAnsi="Times New Roman" w:cs="Times New Roman"/>
          <w:i w:val="0"/>
          <w:color w:val="000000" w:themeColor="text1"/>
        </w:rPr>
        <w:softHyphen/>
        <w:t>ных бронедеталей в связи с отказом от их це</w:t>
      </w:r>
      <w:r w:rsidRPr="00F90EAE">
        <w:rPr>
          <w:rStyle w:val="aff6"/>
          <w:rFonts w:ascii="Times New Roman" w:hAnsi="Times New Roman" w:cs="Times New Roman"/>
          <w:i w:val="0"/>
          <w:color w:val="000000" w:themeColor="text1"/>
        </w:rPr>
        <w:softHyphen/>
        <w:t>ментации».</w:t>
      </w:r>
      <w:r w:rsidRPr="00F90EAE">
        <w:rPr>
          <w:color w:val="000000" w:themeColor="text1"/>
          <w:sz w:val="16"/>
          <w:szCs w:val="16"/>
        </w:rPr>
        <w:t xml:space="preserve"> Для этого самолетостроительным заводам следовало представить заводу №125 по два фюзеляжа Як-3, Як-9, Ла-7 и Ил-2 с хво</w:t>
      </w:r>
      <w:r w:rsidRPr="00F90EAE">
        <w:rPr>
          <w:color w:val="000000" w:themeColor="text1"/>
          <w:sz w:val="16"/>
          <w:szCs w:val="16"/>
        </w:rPr>
        <w:softHyphen/>
        <w:t>стовым оперением и макетами расположенных внутри фюзеляжа приборов и агрегатов. Кро</w:t>
      </w:r>
      <w:r w:rsidRPr="00F90EAE">
        <w:rPr>
          <w:color w:val="000000" w:themeColor="text1"/>
          <w:sz w:val="16"/>
          <w:szCs w:val="16"/>
        </w:rPr>
        <w:softHyphen/>
        <w:t>ме этого, считалось необходимым поручить ВИАМу и заводу №125 срочно провести экс</w:t>
      </w:r>
      <w:r w:rsidRPr="00F90EAE">
        <w:rPr>
          <w:color w:val="000000" w:themeColor="text1"/>
          <w:sz w:val="16"/>
          <w:szCs w:val="16"/>
        </w:rPr>
        <w:softHyphen/>
        <w:t>периментальные работы по изысканию рацио</w:t>
      </w:r>
      <w:r w:rsidRPr="00F90EAE">
        <w:rPr>
          <w:color w:val="000000" w:themeColor="text1"/>
          <w:sz w:val="16"/>
          <w:szCs w:val="16"/>
        </w:rPr>
        <w:softHyphen/>
        <w:t>нальных защитных систем на данных самоле</w:t>
      </w:r>
      <w:r w:rsidRPr="00F90EAE">
        <w:rPr>
          <w:color w:val="000000" w:themeColor="text1"/>
          <w:sz w:val="16"/>
          <w:szCs w:val="16"/>
        </w:rPr>
        <w:softHyphen/>
        <w:t>тах, отвечающих современным требованиям (17479).</w:t>
      </w:r>
    </w:p>
    <w:p w14:paraId="117E9E8D" w14:textId="77777777" w:rsidR="0032140A" w:rsidRPr="00F90EAE" w:rsidRDefault="0032140A" w:rsidP="00F90EAE">
      <w:pPr>
        <w:jc w:val="both"/>
        <w:rPr>
          <w:color w:val="000000" w:themeColor="text1"/>
          <w:sz w:val="16"/>
          <w:szCs w:val="16"/>
        </w:rPr>
      </w:pPr>
    </w:p>
    <w:p w14:paraId="4195500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вышел приказ НКАП N 38с:</w:t>
      </w:r>
    </w:p>
    <w:p w14:paraId="182CF1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выпуска самолета Ту-2 с 2АМ-39ФРНВ:</w:t>
      </w:r>
    </w:p>
    <w:p w14:paraId="0F46AD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ГК и отв. руководителю завода 156 А.Н.Т. спроектировать и построить опытный образец серийного самолета Ту-2 с 2АМ-39ФРНВ и передать его на летные испытания к 10 апреля 1945." (1890,205).</w:t>
      </w:r>
    </w:p>
    <w:p w14:paraId="257182E3" w14:textId="77777777" w:rsidR="00C2313B" w:rsidRPr="00F90EAE" w:rsidRDefault="00C2313B" w:rsidP="00F90EAE">
      <w:pPr>
        <w:autoSpaceDE w:val="0"/>
        <w:autoSpaceDN w:val="0"/>
        <w:adjustRightInd w:val="0"/>
        <w:jc w:val="both"/>
        <w:rPr>
          <w:color w:val="000000" w:themeColor="text1"/>
          <w:sz w:val="16"/>
          <w:szCs w:val="16"/>
        </w:rPr>
      </w:pPr>
    </w:p>
    <w:p w14:paraId="0EB70400"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НКАП своим приказом №38 обязал ОКБ Туполева выпустить скоростной пикирующий бомбардировщик </w:t>
      </w:r>
      <w:hyperlink r:id="rId26" w:tgtFrame="_blank" w:history="1">
        <w:r w:rsidRPr="00F90EAE">
          <w:rPr>
            <w:color w:val="000000" w:themeColor="text1"/>
            <w:sz w:val="16"/>
            <w:szCs w:val="16"/>
          </w:rPr>
          <w:t xml:space="preserve">«Ту-10» </w:t>
        </w:r>
      </w:hyperlink>
      <w:r w:rsidRPr="00F90EAE">
        <w:rPr>
          <w:color w:val="000000" w:themeColor="text1"/>
          <w:sz w:val="16"/>
          <w:szCs w:val="16"/>
        </w:rPr>
        <w:t xml:space="preserve">на базе серийного «Ту-2» №16/20 производства завода №23. Машина подверглась весьма существенным переделкам. Установили новый фонарь пилота и штурмана, одно большое круглое </w:t>
      </w:r>
      <w:r w:rsidRPr="00F90EAE">
        <w:rPr>
          <w:color w:val="000000" w:themeColor="text1"/>
          <w:sz w:val="16"/>
          <w:szCs w:val="16"/>
        </w:rPr>
        <w:lastRenderedPageBreak/>
        <w:t>окно нижней стрелковой установки вместо трех маленьких, увеличили вертикальное оперение и вынос колес шасси (на 125 мм), поставили новое хвостовое колесо 480 х 200 мм. Винтомоторную группу сконструировали заново под моторы «АМ-39ФНВ» с непосредственным впрыском топлива в цилиндры, в центроплане разместили водяные радиаторы системы охлаждения, а хвостовую часть крыла переделали в связи с заменой баков №6 и 7 одним общим. Изменения коснулись и вооружения. Установку БУШ у штурмана заменили на «ВУС-1», «ВУБ-2М» у стрелка-радиста - на «ВУБ-65», модернизировали люковую установку, усовершенствовали систему подъема бомб. Вобрав в себя все эти изменения, серийный «Ту-2» №16/20 превратился в середине мая в самолет "68" «2хАМ-39ФНВ» (15029).</w:t>
      </w:r>
    </w:p>
    <w:p w14:paraId="1E213D0F" w14:textId="77777777" w:rsidR="003D013D" w:rsidRPr="00F90EAE" w:rsidRDefault="003D013D" w:rsidP="00F90EAE">
      <w:pPr>
        <w:jc w:val="both"/>
        <w:rPr>
          <w:color w:val="000000" w:themeColor="text1"/>
          <w:sz w:val="16"/>
          <w:szCs w:val="16"/>
        </w:rPr>
      </w:pPr>
    </w:p>
    <w:p w14:paraId="7C301F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вышел приказ НКАП N 39с:</w:t>
      </w:r>
    </w:p>
    <w:p w14:paraId="5D3EBE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"ГКО постановлением N 7309 от 13 января 1945 утвердил ГК самолета Ер-2 П.О.С.</w:t>
      </w:r>
    </w:p>
    <w:p w14:paraId="4B128B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целях дальнейшего развития и успешного проведения работ по усовершенствованию самолета Ер-2:</w:t>
      </w:r>
    </w:p>
    <w:p w14:paraId="217CC9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Объединить заводы 134 и 289, считая основной базой объединенного завода территорию завода 134. Присвоить объединенному заводу номер 134 и сохранить за ним территорию, сооружения и жилые дома, числящиеся на балансе заводов 289 и 134 в Москве, Тушино и Калининграде.</w:t>
      </w:r>
    </w:p>
    <w:p w14:paraId="4B48C7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Утвердить директором и ГК объединенного завода 134 П.О.С.." (1890,217).</w:t>
      </w:r>
    </w:p>
    <w:p w14:paraId="42297FD9" w14:textId="77777777" w:rsidR="00C2313B" w:rsidRPr="00F90EAE" w:rsidRDefault="00C2313B" w:rsidP="00F90EAE">
      <w:pPr>
        <w:autoSpaceDE w:val="0"/>
        <w:autoSpaceDN w:val="0"/>
        <w:adjustRightInd w:val="0"/>
        <w:jc w:val="both"/>
        <w:rPr>
          <w:color w:val="000000" w:themeColor="text1"/>
          <w:sz w:val="16"/>
          <w:szCs w:val="16"/>
        </w:rPr>
      </w:pPr>
    </w:p>
    <w:p w14:paraId="4D1A71A3"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3 февраля 1945 г.</w:t>
      </w:r>
    </w:p>
    <w:p w14:paraId="0A8650D6"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Докладная записка заместителя начальника ВВС ВМФ по тылу А.К. Купреева директору завода № 477 И.Я. Рехтману</w:t>
      </w:r>
    </w:p>
    <w:p w14:paraId="5DD7D451"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г. Москва 3 февраля 1945 г.</w:t>
      </w:r>
    </w:p>
    <w:p w14:paraId="3BF91891"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На приемку и оплату пяти самолетов Бе-4 с облетом их в воинской части согласен.</w:t>
      </w:r>
    </w:p>
    <w:p w14:paraId="5E305727"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Самолеты будут отправлены на ВВС ТОФ2 с бригадой завода.</w:t>
      </w:r>
    </w:p>
    <w:p w14:paraId="7F8C6342"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Туда же, к указанным самолетам, в ближайшее время будут отправлены из Москвы винты ВИШ 105/62.</w:t>
      </w:r>
    </w:p>
    <w:p w14:paraId="47C8D0FD"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На месте оплачивается военпредом 80 % стоимости, остальные 20 % – по сдаче войсковой части в абсолютной исправности после облета, отдельно в соответствии с осн[овным] договором.</w:t>
      </w:r>
    </w:p>
    <w:p w14:paraId="7E06570B"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Зам[еститель] начальника ВВС ВМФ по тылу генерал-лейтенант интендантской службы подпись Купреев</w:t>
      </w:r>
    </w:p>
    <w:p w14:paraId="544638BB"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r w:rsidRPr="00F90EAE">
        <w:rPr>
          <w:rFonts w:eastAsia="TimesNewRomanPSMT"/>
          <w:iCs/>
          <w:color w:val="000000" w:themeColor="text1"/>
          <w:sz w:val="16"/>
          <w:szCs w:val="16"/>
        </w:rPr>
        <w:t>КГКУ «ГАКК». Ф.Р-1341. Оп. 5. Д. 17. Л. 2. Подлинник. Машинопись с рукописными вставками (19799).</w:t>
      </w:r>
    </w:p>
    <w:p w14:paraId="24FB41F7" w14:textId="77777777" w:rsidR="00A524F6" w:rsidRPr="00F90EAE" w:rsidRDefault="00A524F6" w:rsidP="00F90EAE">
      <w:pPr>
        <w:autoSpaceDE w:val="0"/>
        <w:autoSpaceDN w:val="0"/>
        <w:adjustRightInd w:val="0"/>
        <w:jc w:val="both"/>
        <w:rPr>
          <w:rFonts w:eastAsia="TimesNewRomanPSMT"/>
          <w:iCs/>
          <w:color w:val="000000" w:themeColor="text1"/>
          <w:sz w:val="16"/>
          <w:szCs w:val="16"/>
        </w:rPr>
      </w:pPr>
    </w:p>
    <w:p w14:paraId="561E67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г. по приказу НКАП № 39с в состав завода № 134 7ГУ НКАП с 1.01.1945 г. был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6762C67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F90EAE">
        <w:rPr>
          <w:color w:val="000000" w:themeColor="text1"/>
          <w:sz w:val="16"/>
          <w:szCs w:val="16"/>
          <w:vertAlign w:val="superscript"/>
        </w:rPr>
        <w:t>34</w:t>
      </w:r>
      <w:r w:rsidRPr="00F90EAE">
        <w:rPr>
          <w:color w:val="000000" w:themeColor="text1"/>
          <w:sz w:val="16"/>
          <w:szCs w:val="16"/>
        </w:rPr>
        <w:t>.</w:t>
      </w:r>
    </w:p>
    <w:p w14:paraId="53649E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560FEB8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3BCB8A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393сс от 24.05.1949 г. все помещения на территориях «а» и «б» переданы НИИ-2.</w:t>
      </w:r>
    </w:p>
    <w:p w14:paraId="0A906F9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F90EAE">
        <w:rPr>
          <w:color w:val="000000" w:themeColor="text1"/>
          <w:sz w:val="16"/>
          <w:szCs w:val="16"/>
          <w:lang w:val="en-US"/>
        </w:rPr>
        <w:t>MB</w:t>
      </w:r>
      <w:r w:rsidRPr="00F90EAE">
        <w:rPr>
          <w:color w:val="000000" w:themeColor="text1"/>
          <w:sz w:val="16"/>
          <w:szCs w:val="16"/>
        </w:rPr>
        <w:t>.</w:t>
      </w:r>
    </w:p>
    <w:p w14:paraId="6215B83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1946 г. на завод передано 386 единиц оборудования с завода Юнкерса в  г. Хальберштадт (Германия).</w:t>
      </w:r>
    </w:p>
    <w:p w14:paraId="7647FC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42ACC1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Работы по комплексным системам огневой защиты Ту-16 и Ту-95.</w:t>
      </w:r>
    </w:p>
    <w:p w14:paraId="787566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4AD827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617DEC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1.04.1982 г. тематика УРВВ (К-73) и УРВП (Х-29) переведена из НПО «Молния» в МКБ «Вымпел» вместе с группой конструкторов (300 чел.) во главе с  Г.И. Хохловым.</w:t>
      </w:r>
    </w:p>
    <w:p w14:paraId="36E9B2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1985 г. НИР «Клеенка» по разработке Р-27П. В начале 1990-х  г. - НИР «Ельник» по ракете РВВ-АЕ.</w:t>
      </w:r>
    </w:p>
    <w:p w14:paraId="3E6FA09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5B70D7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Ильин. Руководитель (1981-2004 г.)-  Г.А. Соколовский. Гендиректор (2005 г.)- В.А. Рац.</w:t>
      </w:r>
    </w:p>
    <w:p w14:paraId="130C67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Зам. гендиректора: по производству (1999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Ильин; по ВЭД (2002 г.)- В.Н. Сычев.</w:t>
      </w:r>
    </w:p>
    <w:p w14:paraId="5DDFB5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6A4C05E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(1980-е)- В.А. Пустовойтов.</w:t>
      </w:r>
    </w:p>
    <w:p w14:paraId="018C2F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79F45E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производства (-1961 г.)- А.Л. Ляпин.</w:t>
      </w:r>
    </w:p>
    <w:p w14:paraId="2EE301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(1949 г.)- Б.С. Абрамович (ПВ-23).</w:t>
      </w:r>
    </w:p>
    <w:p w14:paraId="55B202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Ведущие инженеры: (1944 г.)- Казанли, (1944 г.)- Сверчевский, (1944 г.)- Н.В. Синельников (Ер-20Н), (1946 г.)- Фисун (УТБ-2).</w:t>
      </w:r>
    </w:p>
    <w:p w14:paraId="2904B4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Летчики-испытатели: (1946 г.)- Фиксон, (1946 г.)- Шиянов.</w:t>
      </w:r>
    </w:p>
    <w:p w14:paraId="347D9F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52539D10" w14:textId="77777777" w:rsidR="00C2313B" w:rsidRPr="00F90EAE" w:rsidRDefault="00C2313B" w:rsidP="00F90EAE">
      <w:pPr>
        <w:autoSpaceDE w:val="0"/>
        <w:autoSpaceDN w:val="0"/>
        <w:adjustRightInd w:val="0"/>
        <w:jc w:val="both"/>
        <w:rPr>
          <w:color w:val="000000" w:themeColor="text1"/>
          <w:sz w:val="16"/>
          <w:szCs w:val="16"/>
        </w:rPr>
      </w:pPr>
    </w:p>
    <w:p w14:paraId="6CBD52D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г. приказом НКАП № 39с в соответствии с пост. ГКО № 7309 от 13.01.1945 г. ОКБ вновь образованного завода № 134 НКАП возглавил П.О. Сухой, назначенный гл. конструктором самолета Ер-2. Продолжены работы по модификации Ер-2: Ер-20Н, Ер-2 с дизелями АЧ-31, Сухой назначен гл. конструктором по Ер-2. Создан учебно-тренировочный бомбардировщик УТБ, первый полет 21.07.1946 г.</w:t>
      </w:r>
    </w:p>
    <w:p w14:paraId="361FEEC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Созданы экспериментальные и опытные реактивные истребители Су-9, Су-10, Су-11 (28.05.1947 г.), Су-12, Су- 15, Су-17. Первый реактивный истребитель П.О. Сухого Су-9 взлетел 13.11.1946 г.</w:t>
      </w:r>
    </w:p>
    <w:p w14:paraId="0217244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пост, правительства от 26.02.1946 г. и приказом МАП от 27.03.1946 г. был разработан скоростной бомбардировщик Су-10 («Е») с 4 </w:t>
      </w:r>
      <w:r w:rsidRPr="00F90EAE">
        <w:rPr>
          <w:color w:val="000000" w:themeColor="text1"/>
          <w:sz w:val="16"/>
          <w:szCs w:val="16"/>
          <w:lang w:val="en-US"/>
        </w:rPr>
        <w:t>Jumo</w:t>
      </w:r>
      <w:r w:rsidRPr="00F90EAE">
        <w:rPr>
          <w:color w:val="000000" w:themeColor="text1"/>
          <w:sz w:val="16"/>
          <w:szCs w:val="16"/>
        </w:rPr>
        <w:t>-004, построен в конце 1947 г., не испытывался.</w:t>
      </w:r>
    </w:p>
    <w:p w14:paraId="4CD77A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 приказу № 361сс от 7.06.1946 г. планировалось перевести опытную базу ОКБ в Подлипки на площади бывшего завода № 289 НКАП. Решение не было выполнено, площади в Подлипках переданы НИИ-88 </w:t>
      </w:r>
      <w:r w:rsidRPr="00F90EAE">
        <w:rPr>
          <w:color w:val="000000" w:themeColor="text1"/>
          <w:sz w:val="16"/>
          <w:szCs w:val="16"/>
          <w:lang w:val="en-US"/>
        </w:rPr>
        <w:t>MB</w:t>
      </w:r>
      <w:r w:rsidRPr="00F90EAE">
        <w:rPr>
          <w:color w:val="000000" w:themeColor="text1"/>
          <w:sz w:val="16"/>
          <w:szCs w:val="16"/>
        </w:rPr>
        <w:t>.</w:t>
      </w:r>
    </w:p>
    <w:p w14:paraId="01770E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Далее вышло Постановление СМ СССР «О сокращении расходов на опытные и научно-исследовательские работы по авиационной промышленности». В соответствии с пост.ениями СМ СССР № 1923-752с от 4.06.1948 г. и № 5185-1980сс от 14.11.1949 г. и приказом № 914сс от 18.11.1949 г. ОКБ Сухого закрыто и влито в ОКБ Туполева вместе со всем личным составом, часть конструкторов и рабочих (40 чел.) переведены в ОКБ-240.</w:t>
      </w:r>
    </w:p>
    <w:p w14:paraId="4F611E4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(02.1945-11.1949 г.)- П.О. Сухой.</w:t>
      </w:r>
    </w:p>
    <w:p w14:paraId="5BD40C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(02.1945 г.-)- Д.А. Ромейко-Гурко, (-1946-49 г.)- Е.С. Фельснер (11982).</w:t>
      </w:r>
    </w:p>
    <w:p w14:paraId="70F4175B" w14:textId="77777777" w:rsidR="00C2313B" w:rsidRPr="00F90EAE" w:rsidRDefault="00C2313B" w:rsidP="00F90EAE">
      <w:pPr>
        <w:autoSpaceDE w:val="0"/>
        <w:autoSpaceDN w:val="0"/>
        <w:adjustRightInd w:val="0"/>
        <w:jc w:val="both"/>
        <w:rPr>
          <w:color w:val="000000" w:themeColor="text1"/>
          <w:sz w:val="16"/>
          <w:szCs w:val="16"/>
        </w:rPr>
      </w:pPr>
    </w:p>
    <w:p w14:paraId="5F30EC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 февраля 1945 г. приказом № 39с в соответствии с пост. ГКО № 7309 от 13.01.1945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 (11982).</w:t>
      </w:r>
    </w:p>
    <w:p w14:paraId="72F68059" w14:textId="77777777" w:rsidR="003D013D" w:rsidRPr="00F90EAE" w:rsidRDefault="003D013D" w:rsidP="00F90EAE">
      <w:pPr>
        <w:autoSpaceDE w:val="0"/>
        <w:autoSpaceDN w:val="0"/>
        <w:adjustRightInd w:val="0"/>
        <w:jc w:val="both"/>
        <w:rPr>
          <w:color w:val="000000" w:themeColor="text1"/>
          <w:sz w:val="16"/>
          <w:szCs w:val="16"/>
        </w:rPr>
      </w:pPr>
    </w:p>
    <w:p w14:paraId="75A6BBE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года Шахурин писал письмо N Н-35/543 наркому ВМФ адмиралу флота Кузнецову Н.Г.</w:t>
      </w:r>
    </w:p>
    <w:p w14:paraId="1884A55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N 97сс.</w:t>
      </w:r>
    </w:p>
    <w:p w14:paraId="33C84C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Вашим предложением о включении в проект постановления ГОКО задания опытно-конструкторскому бюро завода N 455 по конструктивной разработке и отработке технической документации на прибор ХАРП 250-200А- согласен.</w:t>
      </w:r>
    </w:p>
    <w:p w14:paraId="26251C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опытных образцов для государственных испытаний поручить ОКБ-455 не представляется возможным из-за отсутствия производственных мощностей.</w:t>
      </w:r>
    </w:p>
    <w:p w14:paraId="78B655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Завод N 67 НКБ выпускает в серии аналогичный прибор ХАРП-500-300 А, поэтому считаю целесообразным поручить заводу N 67 изготовление опытной партии по чертежам ОКБ-455 (2595).</w:t>
      </w:r>
    </w:p>
    <w:p w14:paraId="05F8B642" w14:textId="77777777" w:rsidR="00C2313B" w:rsidRPr="00F90EAE" w:rsidRDefault="00C2313B" w:rsidP="00F90EAE">
      <w:pPr>
        <w:autoSpaceDE w:val="0"/>
        <w:autoSpaceDN w:val="0"/>
        <w:adjustRightInd w:val="0"/>
        <w:jc w:val="both"/>
        <w:rPr>
          <w:color w:val="000000" w:themeColor="text1"/>
          <w:sz w:val="16"/>
          <w:szCs w:val="16"/>
        </w:rPr>
      </w:pPr>
    </w:p>
    <w:p w14:paraId="3174AC2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года Шахурин писал письмо N Н-35/544 наркому ВМФ адмиралу флота Кузнецову Н.Г.</w:t>
      </w:r>
    </w:p>
    <w:p w14:paraId="63FD84D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N 91сс.</w:t>
      </w:r>
    </w:p>
    <w:p w14:paraId="0FDE5E8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Гидравлические тормоза, в т.ч. необходимые Вам тормоза "Т-2-Д-А", изготовлялись в серии не Московским авиационным институтом, а специализированным заводом НКАП. С началом войны производство тормозов было прекращено.</w:t>
      </w:r>
    </w:p>
    <w:p w14:paraId="60DC8DB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НКАП сам испытавает нужду в гидравлических тормозах, однако, восстановление завода для их изготовления в настоящее время не представляется возможным, организация же изготовления тормозов в МАИ не является целесообразной.</w:t>
      </w:r>
    </w:p>
    <w:p w14:paraId="0835CC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связщи с этим, Вашу просьбу об изготовлении в 1945 10-12 тормозов типа НКАП удовлетворить не может (2595,10).</w:t>
      </w:r>
    </w:p>
    <w:p w14:paraId="12F8B900" w14:textId="77777777" w:rsidR="00C2313B" w:rsidRPr="00F90EAE" w:rsidRDefault="00C2313B" w:rsidP="00F90EAE">
      <w:pPr>
        <w:autoSpaceDE w:val="0"/>
        <w:autoSpaceDN w:val="0"/>
        <w:adjustRightInd w:val="0"/>
        <w:jc w:val="both"/>
        <w:rPr>
          <w:color w:val="000000" w:themeColor="text1"/>
          <w:sz w:val="16"/>
          <w:szCs w:val="16"/>
        </w:rPr>
      </w:pPr>
    </w:p>
    <w:p w14:paraId="6ADDED6B"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EEA1975" w14:textId="77777777" w:rsidR="00C2313B" w:rsidRPr="00F90EAE" w:rsidRDefault="00C2313B" w:rsidP="00F90EAE">
      <w:pPr>
        <w:autoSpaceDE w:val="0"/>
        <w:autoSpaceDN w:val="0"/>
        <w:adjustRightInd w:val="0"/>
        <w:jc w:val="both"/>
        <w:rPr>
          <w:iCs/>
          <w:color w:val="000000" w:themeColor="text1"/>
          <w:sz w:val="16"/>
          <w:szCs w:val="16"/>
        </w:rPr>
      </w:pPr>
    </w:p>
    <w:p w14:paraId="55DF7372" w14:textId="77777777" w:rsidR="00A524F6" w:rsidRPr="00F90EAE" w:rsidRDefault="00A524F6"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3 февраля 1945 года началась сборка первых двух образцов улучшенных танков «Кировец-1». При этом речь шла о шасси (башни с завода №200 ещё не прибыли). Перед началом сборки корпус взвесили. Оказалось, что его масса (16 985 кг) ниже не только корпуса ИС-2 завода №200 (18 185 кг), но и УЗТМ (17 851 кг). Танк со свердловским корпусом начали собирать 6 февраля, а ещё одну, уже четвёртую по счёту машину (также с корпусом УЗТМ) — 9 февраля. Также к 9 февраля прибыли две башни производства УЗТМ, при взвешивании выяснилось, что масса башни «Кировец-1» составляет 7470 кг, а башни ИС-2 — 6795 кг. К 15 февраля в разной степени сборки находилось уже 8 танков и 4 башни, а на следующий день первая машина (серийный номер 2) с уже установленной башней отправилась в тестовый пробег (19731).</w:t>
      </w:r>
    </w:p>
    <w:p w14:paraId="785CC35D" w14:textId="77777777" w:rsidR="00A524F6" w:rsidRPr="00F90EAE" w:rsidRDefault="00A524F6" w:rsidP="00F90EAE">
      <w:pPr>
        <w:pStyle w:val="ae"/>
        <w:shd w:val="clear" w:color="auto" w:fill="FFFFFF"/>
        <w:spacing w:before="0" w:after="0"/>
        <w:jc w:val="both"/>
        <w:textAlignment w:val="baseline"/>
        <w:rPr>
          <w:color w:val="000000" w:themeColor="text1"/>
          <w:sz w:val="16"/>
          <w:szCs w:val="16"/>
        </w:rPr>
      </w:pPr>
    </w:p>
    <w:p w14:paraId="19BFB6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вышло Постановление ГКО № 7468 О мероприятиях по обеспечению заводов Наркомнефти нефтесырьем в феврале 1945 г. РГАНИР, Фонд ГКО, д. 369, лл. 6-9, 10-11 (11012).</w:t>
      </w:r>
    </w:p>
    <w:p w14:paraId="6ACF05D9" w14:textId="77777777" w:rsidR="00C2313B" w:rsidRPr="00F90EAE" w:rsidRDefault="00C2313B" w:rsidP="00F90EAE">
      <w:pPr>
        <w:autoSpaceDE w:val="0"/>
        <w:autoSpaceDN w:val="0"/>
        <w:adjustRightInd w:val="0"/>
        <w:jc w:val="both"/>
        <w:rPr>
          <w:color w:val="000000" w:themeColor="text1"/>
          <w:sz w:val="16"/>
          <w:szCs w:val="16"/>
        </w:rPr>
      </w:pPr>
    </w:p>
    <w:p w14:paraId="2320463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февраля 1945 вышло Постановление ГКО № 7469 [О плане перевозок нефтепродуктов по Черному морю в феврале 1945 г.] (7307, 12-13,14).</w:t>
      </w:r>
    </w:p>
    <w:p w14:paraId="2832E43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436A78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вышло Постановление ГКО № 7470 О плане снабжения горюче-смазочными материалами Красной Армии и Военно-Морского Флота на февраль 1945 года. РГАНИР, Фонд ГКО, д. 369, лл. 15-17, 18-42 (11012).</w:t>
      </w:r>
    </w:p>
    <w:p w14:paraId="668AD6FD" w14:textId="77777777" w:rsidR="00C2313B" w:rsidRPr="00F90EAE" w:rsidRDefault="00C2313B" w:rsidP="00F90EAE">
      <w:pPr>
        <w:autoSpaceDE w:val="0"/>
        <w:autoSpaceDN w:val="0"/>
        <w:adjustRightInd w:val="0"/>
        <w:jc w:val="both"/>
        <w:rPr>
          <w:color w:val="000000" w:themeColor="text1"/>
          <w:sz w:val="16"/>
          <w:szCs w:val="16"/>
        </w:rPr>
      </w:pPr>
    </w:p>
    <w:p w14:paraId="7766A82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84F1214" w14:textId="77777777" w:rsidR="00C2313B" w:rsidRPr="00F90EAE" w:rsidRDefault="00C2313B" w:rsidP="00F90EAE">
      <w:pPr>
        <w:autoSpaceDE w:val="0"/>
        <w:autoSpaceDN w:val="0"/>
        <w:adjustRightInd w:val="0"/>
        <w:jc w:val="both"/>
        <w:rPr>
          <w:iCs/>
          <w:color w:val="000000" w:themeColor="text1"/>
          <w:sz w:val="16"/>
          <w:szCs w:val="16"/>
        </w:rPr>
      </w:pPr>
    </w:p>
    <w:p w14:paraId="4C755E9C"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оперативная сводка Совинформбюро:</w:t>
      </w:r>
    </w:p>
    <w:p w14:paraId="4DBB5C3D" w14:textId="77777777" w:rsidR="003D013D" w:rsidRPr="00F90EAE" w:rsidRDefault="003D013D" w:rsidP="00F90EAE">
      <w:pPr>
        <w:jc w:val="both"/>
        <w:rPr>
          <w:color w:val="000000" w:themeColor="text1"/>
          <w:sz w:val="16"/>
          <w:szCs w:val="16"/>
        </w:rPr>
      </w:pPr>
      <w:r w:rsidRPr="00F90EAE">
        <w:rPr>
          <w:color w:val="000000" w:themeColor="text1"/>
          <w:sz w:val="16"/>
          <w:szCs w:val="16"/>
        </w:rPr>
        <w:t>«В течение 3 февраля в Восточной Пруссии наши войска продолжали вести наступательные бои, в ходе которых заняли более 30 населённых пунктов и среди них Шпиттенен, Айххорн, Хаусхаген, Райхенберг, Петерсвальде, Грона, Зоммерфельд.</w:t>
      </w:r>
    </w:p>
    <w:p w14:paraId="27CE7AA3"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Северо-западнее и западнее города Шнайдемюль наши войска с боем овладели городами Фройденфир, Шлоппе, а также заняли более 40 других населённых пунктов, в том числе Ягдхауз, Клавиттерсдорф, Загемюль, Квирим, Карльсруэ, Арнсфельде, Рушендорф, Мелентин.</w:t>
      </w:r>
    </w:p>
    <w:p w14:paraId="374376F6"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Франкфурта-на-Одере наши войска, продолжая наступление, овладели городами Витц, Зоненбург, Циленциг, Реппен, Штернберг, а также с боями заняли более 150 других населенных пунктов. Юго-восточнее Кюстрина наши войска окружили в лесах значительную группу немецких войск и после упорного боя полностью разгромили её, захватив при этом следующие трофеи: орудий — 163, миномётов — 55, пулемётов — 167, автомашин — 1.626, мотоциклов — 500, подвод с военными грузами — 200. Взято в плен 9.450 немецких солдат и офицеров. На поле боя осталось более 8.000 трупов немецких солдат и офицеров.</w:t>
      </w:r>
    </w:p>
    <w:p w14:paraId="32379A9A"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гарнизона противника, окружённого в западной части города (Буда), в ходе которых наши войска заняли 10 кварталов.</w:t>
      </w:r>
    </w:p>
    <w:p w14:paraId="1A32DA9E" w14:textId="77777777" w:rsidR="003D013D" w:rsidRPr="00F90EAE" w:rsidRDefault="003D013D" w:rsidP="00F90EAE">
      <w:pPr>
        <w:jc w:val="both"/>
        <w:rPr>
          <w:color w:val="000000" w:themeColor="text1"/>
          <w:sz w:val="16"/>
          <w:szCs w:val="16"/>
        </w:rPr>
      </w:pPr>
      <w:r w:rsidRPr="00F90EAE">
        <w:rPr>
          <w:color w:val="000000" w:themeColor="text1"/>
          <w:sz w:val="16"/>
          <w:szCs w:val="16"/>
        </w:rPr>
        <w:t>Восточнее и юго-восточнее города Секешфехервар наши войска в результате предпринятых атак продвинулись вперёд до 20 километров, заняв при этом более 60 населённых пунктов, в том числе крупные населённые пункты Кишвеленце, Гардонь, Адони-Саболч, Перката, Херцегфальва, Шарбогард.</w:t>
      </w:r>
    </w:p>
    <w:p w14:paraId="2BF99C9E" w14:textId="77777777" w:rsidR="003D013D" w:rsidRPr="00F90EAE" w:rsidRDefault="003D013D"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1FA1C3D" w14:textId="77777777" w:rsidR="003D013D" w:rsidRPr="00F90EAE" w:rsidRDefault="003D013D" w:rsidP="00F90EAE">
      <w:pPr>
        <w:jc w:val="both"/>
        <w:rPr>
          <w:color w:val="000000" w:themeColor="text1"/>
          <w:sz w:val="16"/>
          <w:szCs w:val="16"/>
        </w:rPr>
      </w:pPr>
      <w:r w:rsidRPr="00F90EAE">
        <w:rPr>
          <w:color w:val="000000" w:themeColor="text1"/>
          <w:sz w:val="16"/>
          <w:szCs w:val="16"/>
        </w:rPr>
        <w:t>За 2 февраля на всех фронтах подбито и уничтожено 176 немецких танков. В воздушных боях и огнём зенитной артиллерии сбит 21 самолёт противника.</w:t>
      </w:r>
    </w:p>
    <w:p w14:paraId="131A048A" w14:textId="77777777" w:rsidR="003D013D" w:rsidRPr="00F90EAE" w:rsidRDefault="003D013D" w:rsidP="00F90EAE">
      <w:pPr>
        <w:jc w:val="both"/>
        <w:rPr>
          <w:color w:val="000000" w:themeColor="text1"/>
          <w:sz w:val="16"/>
          <w:szCs w:val="16"/>
        </w:rPr>
      </w:pPr>
      <w:r w:rsidRPr="00F90EAE">
        <w:rPr>
          <w:color w:val="000000" w:themeColor="text1"/>
          <w:sz w:val="16"/>
          <w:szCs w:val="16"/>
        </w:rPr>
        <w:t>В Восточной Пруссии наши войска продолжали наступление. Части Н-ского соединения в ходе ожесточенных боёв сломили сопротивление немцев, засевших в железобетонных дотах, и заняли населённый пункт Шпиттенен, находящийся в 3 километрах к западу от города Бартенштайн. Другие наши части продвинулись вперёд до 15 километров и ведут бои на подступах к городу Ландсберг — важному узлу шоссейных дорог. В этих боях немцы потеряли только убитыми до 6 тысяч солдат и офицеров. Уничтожено 68 танков и самоходных орудий, 33 бронетранспортёра и 50 полевых орудий. Повсюду валяются разбитая техника и вооружение, брошенные гитлеровцами. Захвачены трофеи, в числе которых 25 паровозов, 500 железнодорожных вагонов, 69 тягачей и 470 автомашин. Взято в плен 700 солдат и офицеров противника.</w:t>
      </w:r>
    </w:p>
    <w:p w14:paraId="682CD455" w14:textId="77777777" w:rsidR="003D013D" w:rsidRPr="00F90EAE" w:rsidRDefault="003D013D" w:rsidP="00F90EAE">
      <w:pPr>
        <w:jc w:val="both"/>
        <w:rPr>
          <w:color w:val="000000" w:themeColor="text1"/>
          <w:sz w:val="16"/>
          <w:szCs w:val="16"/>
        </w:rPr>
      </w:pPr>
      <w:r w:rsidRPr="00F90EAE">
        <w:rPr>
          <w:color w:val="000000" w:themeColor="text1"/>
          <w:sz w:val="16"/>
          <w:szCs w:val="16"/>
        </w:rPr>
        <w:t>Советские воины проявляют мужество и отвагу в борьбе с немецкими захватчиками. Бронебойщик Михаил Горячев, отражая вражескую контратаку, поджёг два немецких танка. Экипаж самоходного орудия лейтенанта Катаруша, поддерживая наступление пехоты, уничтожил в одном бою 4 немецких пулемёта, одно орудие, бронетранспортёр и истребил несколько десятков гитлеровцев. Бойцы стрелкового отделения во главе с сержантом Близнюком в рукопашной схватке уничтожили 20 немцев и взяли 7 пленных.</w:t>
      </w:r>
    </w:p>
    <w:p w14:paraId="1ADAB58B"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Северо-западнее и западнее города Шнайдемюль наши войска, с боями продвигаясь вперёд, вышли на подступы к городу Шлоппе. Немецкий гарнизон, занявший удобные и заранее подготовленные позиции, оказывал упорное сопротивление. Наши подразделения отрезали противнику пути отхода, а затем штурмам заняли город Шлоппе — узел шоссейных дорог и сильный опорный пункт обороны немцев. На другом участке наши войска овладели городом Фройденфир. Уничтожено до двух батальонов немецкой пехоты, сожжено и подбито 14 танков противника.</w:t>
      </w:r>
    </w:p>
    <w:p w14:paraId="53736837"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Северо-восточнее и восточнее города Франкфурт-на-Одере наши войска продолжали наступление. Несмотря на начавшуюся оттепель, советские части настойчиво продвигаются вперёд, уничтожая на своём пути гарнизоны опорных пунктов противника. После ожесточённых боёв занят город Зоненбург, расположенный в 8 километрах от города и крепости Кюстрин. В результате стремительного обходного манёвра и атаки с фронта наши войска овладели сильным опорным пунктом обороны немцев городом Циленциг. Вражеские войска выбиты также из города Решен, расположенного в 18 километрах к востоку от Франкфурта-на-Одере. В ходе боёв разгромлено несколько частей противника, только что переброшенных на этот участок фронта. В числе других трофеев захвачено у немцев 350 железнодорожных вагонов и платформ, из них 16 платформ с самолётами.</w:t>
      </w:r>
    </w:p>
    <w:p w14:paraId="0D71F434" w14:textId="77777777" w:rsidR="003D013D" w:rsidRPr="00F90EAE" w:rsidRDefault="003D013D" w:rsidP="00F90EAE">
      <w:pPr>
        <w:jc w:val="both"/>
        <w:rPr>
          <w:color w:val="000000" w:themeColor="text1"/>
          <w:sz w:val="16"/>
          <w:szCs w:val="16"/>
        </w:rPr>
      </w:pPr>
      <w:r w:rsidRPr="00F90EAE">
        <w:rPr>
          <w:color w:val="000000" w:themeColor="text1"/>
          <w:sz w:val="16"/>
          <w:szCs w:val="16"/>
        </w:rPr>
        <w:t>Восточнее и юго-восточнее города Секешфехервар противник, сосредоточив крупные силы танков и пехоты, за последнее время неоднократно пытался пробиться на помощь своей группировке, окружённой в городе Будапеште. Как уже сообщалось, ценою огромных потерь немцам первоначально удалось несколько продвинуться вперёд. Измотав врага в оборонительных боях, наши войска предприняли сильные атаки. Ударом с юга и севера советские танкисты, пехотинцы и артиллеристы сломили вражеское сопротивление и окружили группу немецких войск. В непродолжительном бою вражеская группа, зажатая со всех сторон, была ликвидирована. Только в течение дня уничтожено свыше 2 тысяч гитлеровцев, подбито и сожжено 39 немецких танков и бронетранспортёров. Захвачено много орудий, миномётов, пулемётов и автомашин противника.</w:t>
      </w:r>
    </w:p>
    <w:p w14:paraId="67B229C8" w14:textId="77777777" w:rsidR="003D013D" w:rsidRPr="00F90EAE" w:rsidRDefault="003D013D" w:rsidP="00F90EAE">
      <w:pPr>
        <w:jc w:val="both"/>
        <w:rPr>
          <w:color w:val="000000" w:themeColor="text1"/>
          <w:sz w:val="16"/>
          <w:szCs w:val="16"/>
        </w:rPr>
      </w:pPr>
      <w:r w:rsidRPr="00F90EAE">
        <w:rPr>
          <w:color w:val="000000" w:themeColor="text1"/>
          <w:sz w:val="16"/>
          <w:szCs w:val="16"/>
        </w:rPr>
        <w:t xml:space="preserve">На 2-ом Белорусском фронте на сторону Красной Армии перешёл командир 1-го батальона 30-го мотолодка 18-й немецкой мотодивизии капитан Генрих Депта. Перебежчик рассказал: «Невиданный размах наступления советских войск ошеломил нас. Я участвовал в походе немецкой армии во Францию, воевал в Африке, в Италии и на различных участках советско-германского фронта. Я был во многих боях и испытал много горьких минут. Однако такого поражения, какое мы потерпели в январские дни, я ещё никогда не переживал. Мой батальон, насчитывавший 650 активных штыков, был уничтожен за несколько дней. Молниеносные удары русских войск деморализовали не только солдат, но и офицеров. Теперь даже ограниченные и близорукие офицеры видят, что Германия стоит на краю пропасти. Командир </w:t>
      </w:r>
      <w:r w:rsidRPr="00F90EAE">
        <w:rPr>
          <w:color w:val="000000" w:themeColor="text1"/>
          <w:sz w:val="16"/>
          <w:szCs w:val="16"/>
        </w:rPr>
        <w:lastRenderedPageBreak/>
        <w:t>30-го мотополка полковник Шене и командир 18-й мотодивизии генерал-майор Бельзен в личных беседах неоднократно говорили, что теперь, когда всем очевиден крах Германии, нелепо продолжать сопротивление. Так думают многие офицеры, но они не решаются действовать. Наступление Красной Армии окончательно убедило меня в том, что война скоро закончится полным разгромом немецкой армии и уничтожением гитлеровского режима. Я понял, что при сложившихся условиях бессмысленно продолжать борьбу, и перешёл на сторону Красной Армии» (15029).</w:t>
      </w:r>
    </w:p>
    <w:p w14:paraId="38F9D505" w14:textId="77777777" w:rsidR="003D013D" w:rsidRPr="00F90EAE" w:rsidRDefault="003D013D" w:rsidP="00F90EAE">
      <w:pPr>
        <w:jc w:val="both"/>
        <w:rPr>
          <w:color w:val="000000" w:themeColor="text1"/>
          <w:sz w:val="16"/>
          <w:szCs w:val="16"/>
        </w:rPr>
      </w:pPr>
    </w:p>
    <w:p w14:paraId="636DE1DA"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завершилась Висло-Одерская операция. Войска 1-го Белорусского фронта, проводившие Варшавско-Познанскую операцию, очистили от немцев правый берег реки Одер в 100-километровой полосе к югу от Цедента и захватили плацдарм на левом берегу севернее и южнее Кюстрина. Войска 1-го Украинского фронта, осуществлявшие Сандомирско-Силезскую операцию, разгромив 4-ую танковую и основные силы 17-й армии противника, продвинулись на 400-500 км, захватили несколько плацдармов на левом берегу реки Одер и закрепились на них, во взаимодействии с 1-ым Белорусским и 4-ым Украинским фронтами освободили южные районы Польши и перенесли военные действия на территорию фашистской Германии (15029).</w:t>
      </w:r>
    </w:p>
    <w:p w14:paraId="097E5B83" w14:textId="77777777" w:rsidR="003D013D" w:rsidRPr="00F90EAE" w:rsidRDefault="003D013D" w:rsidP="00F90EAE">
      <w:pPr>
        <w:jc w:val="both"/>
        <w:rPr>
          <w:color w:val="000000" w:themeColor="text1"/>
          <w:sz w:val="16"/>
          <w:szCs w:val="16"/>
        </w:rPr>
      </w:pPr>
    </w:p>
    <w:p w14:paraId="4F8978F8" w14:textId="77777777" w:rsidR="003D013D" w:rsidRPr="00F90EAE" w:rsidRDefault="003D013D"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в ходе Висло-Одерской операции 1БФ (Г.К.Ж.) форсировал одер и захватил плацдарм на левом берегу в районе Кюстрина (3398,57).</w:t>
      </w:r>
    </w:p>
    <w:p w14:paraId="67F2ADC3" w14:textId="77777777" w:rsidR="003D013D" w:rsidRPr="00F90EAE" w:rsidRDefault="003D013D" w:rsidP="00F90EAE">
      <w:pPr>
        <w:autoSpaceDE w:val="0"/>
        <w:autoSpaceDN w:val="0"/>
        <w:adjustRightInd w:val="0"/>
        <w:jc w:val="both"/>
        <w:rPr>
          <w:color w:val="000000" w:themeColor="text1"/>
          <w:sz w:val="16"/>
          <w:szCs w:val="16"/>
        </w:rPr>
      </w:pPr>
    </w:p>
    <w:p w14:paraId="640112B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февраля 1945 вышло Постановление ГКО № 7467 [О мерах очищения тыла действующих фронтов от террористов и диверсантов.] (7307, 2-5).</w:t>
      </w:r>
    </w:p>
    <w:p w14:paraId="1837E08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B1491E9" w14:textId="77777777" w:rsidR="00161A39" w:rsidRPr="00F90EAE" w:rsidRDefault="00161A39" w:rsidP="00F90EAE">
      <w:pPr>
        <w:jc w:val="both"/>
        <w:rPr>
          <w:color w:val="0070C0"/>
          <w:sz w:val="16"/>
          <w:szCs w:val="16"/>
        </w:rPr>
      </w:pPr>
      <w:r w:rsidRPr="00F90EAE">
        <w:rPr>
          <w:color w:val="0070C0"/>
          <w:sz w:val="16"/>
          <w:szCs w:val="16"/>
        </w:rPr>
        <w:t>3 февраля 1945, направляющийся к Кольскому заливу в Советском Союзе, Convoy JW 64 становится первым арктическим конвоем, отправившимся с реки Клайд. Его эскорт, получивший обозначение Operation Hotbed, включает британские авианосцы сопровождения HMS Campania и HMS Nairana . Кампания несет первый ночной истребитель, участвовавший в операции по сопровождению конвоя, Fairey Fulmar, оснащенный бортовым радаром перехвата (20371).</w:t>
      </w:r>
    </w:p>
    <w:p w14:paraId="3F2E887D" w14:textId="77777777" w:rsidR="00161A39" w:rsidRPr="00F90EAE" w:rsidRDefault="00161A39" w:rsidP="00F90EAE">
      <w:pPr>
        <w:jc w:val="both"/>
        <w:rPr>
          <w:color w:val="0070C0"/>
          <w:sz w:val="16"/>
          <w:szCs w:val="16"/>
        </w:rPr>
      </w:pPr>
    </w:p>
    <w:p w14:paraId="32AC8F8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10AFFA4" w14:textId="77777777" w:rsidR="00C2313B" w:rsidRPr="00F90EAE" w:rsidRDefault="00C2313B" w:rsidP="00F90EAE">
      <w:pPr>
        <w:autoSpaceDE w:val="0"/>
        <w:autoSpaceDN w:val="0"/>
        <w:adjustRightInd w:val="0"/>
        <w:jc w:val="both"/>
        <w:rPr>
          <w:iCs/>
          <w:color w:val="000000" w:themeColor="text1"/>
          <w:sz w:val="16"/>
          <w:szCs w:val="16"/>
        </w:rPr>
      </w:pPr>
    </w:p>
    <w:p w14:paraId="3DFE0900"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пилот Боб Чилтон поднял в воздух первый </w:t>
      </w:r>
      <w:hyperlink r:id="rId27" w:tgtFrame="_blank" w:history="1">
        <w:r w:rsidRPr="00F90EAE">
          <w:rPr>
            <w:color w:val="000000" w:themeColor="text1"/>
            <w:sz w:val="16"/>
            <w:szCs w:val="16"/>
          </w:rPr>
          <w:t xml:space="preserve">«P-51H-1-NA» «Mustang». </w:t>
        </w:r>
      </w:hyperlink>
      <w:r w:rsidRPr="00F90EAE">
        <w:rPr>
          <w:color w:val="000000" w:themeColor="text1"/>
          <w:sz w:val="16"/>
          <w:szCs w:val="16"/>
        </w:rPr>
        <w:t>Всего изготовили 20 самолетов серии «P-51H-1-NA» с хвостовым оперением от «XP-51F» (15029).</w:t>
      </w:r>
    </w:p>
    <w:p w14:paraId="55AC1758" w14:textId="77777777" w:rsidR="003D013D" w:rsidRPr="00F90EAE" w:rsidRDefault="003D013D" w:rsidP="00F90EAE">
      <w:pPr>
        <w:jc w:val="both"/>
        <w:rPr>
          <w:color w:val="000000" w:themeColor="text1"/>
          <w:sz w:val="16"/>
          <w:szCs w:val="16"/>
        </w:rPr>
      </w:pPr>
    </w:p>
    <w:p w14:paraId="46087CB6"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3, 1945. A total of 959 B-17 crews carry out the largest raid to date against Berlin by American bombers (1089).</w:t>
      </w:r>
    </w:p>
    <w:p w14:paraId="4EA5219E" w14:textId="77777777" w:rsidR="00C2313B" w:rsidRPr="00F90EAE" w:rsidRDefault="00C2313B" w:rsidP="00F90EAE">
      <w:pPr>
        <w:autoSpaceDE w:val="0"/>
        <w:autoSpaceDN w:val="0"/>
        <w:adjustRightInd w:val="0"/>
        <w:jc w:val="both"/>
        <w:rPr>
          <w:color w:val="000000" w:themeColor="text1"/>
          <w:sz w:val="16"/>
          <w:szCs w:val="16"/>
          <w:lang w:val="en-US"/>
        </w:rPr>
      </w:pPr>
    </w:p>
    <w:p w14:paraId="30077986"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rPr>
        <w:t>3 февраля 1945 состоялся крупнейший американский налет на Берлин, в котором приняло участие 959 В-17 (1089). Сбросили</w:t>
      </w:r>
      <w:r w:rsidRPr="00F90EAE">
        <w:rPr>
          <w:color w:val="000000" w:themeColor="text1"/>
          <w:sz w:val="16"/>
          <w:szCs w:val="16"/>
          <w:lang w:val="en-US"/>
        </w:rPr>
        <w:t xml:space="preserve"> 3000 </w:t>
      </w:r>
      <w:r w:rsidRPr="00F90EAE">
        <w:rPr>
          <w:color w:val="000000" w:themeColor="text1"/>
          <w:sz w:val="16"/>
          <w:szCs w:val="16"/>
        </w:rPr>
        <w:t>тбомб</w:t>
      </w:r>
      <w:r w:rsidRPr="00F90EAE">
        <w:rPr>
          <w:color w:val="000000" w:themeColor="text1"/>
          <w:sz w:val="16"/>
          <w:szCs w:val="16"/>
          <w:lang w:val="en-US"/>
        </w:rPr>
        <w:t xml:space="preserve"> (2100).</w:t>
      </w:r>
    </w:p>
    <w:p w14:paraId="29CDDC54" w14:textId="77777777" w:rsidR="00C2313B" w:rsidRPr="00F90EAE" w:rsidRDefault="00C2313B" w:rsidP="00F90EAE">
      <w:pPr>
        <w:autoSpaceDE w:val="0"/>
        <w:autoSpaceDN w:val="0"/>
        <w:adjustRightInd w:val="0"/>
        <w:jc w:val="both"/>
        <w:rPr>
          <w:color w:val="000000" w:themeColor="text1"/>
          <w:sz w:val="16"/>
          <w:szCs w:val="16"/>
          <w:lang w:val="en-US"/>
        </w:rPr>
      </w:pPr>
    </w:p>
    <w:p w14:paraId="598A4367"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3, 1945: The US 8th Air Force, with 937 bombers and 613 fighters, carries out the heaviest attack to date against Berlin which levels large areas of the city and kills more than 25,000 civilians (3819).</w:t>
      </w:r>
    </w:p>
    <w:p w14:paraId="2848ABCC" w14:textId="77777777" w:rsidR="00C2313B" w:rsidRPr="00F90EAE" w:rsidRDefault="00C2313B" w:rsidP="00F90EAE">
      <w:pPr>
        <w:autoSpaceDE w:val="0"/>
        <w:autoSpaceDN w:val="0"/>
        <w:adjustRightInd w:val="0"/>
        <w:jc w:val="both"/>
        <w:rPr>
          <w:color w:val="000000" w:themeColor="text1"/>
          <w:sz w:val="16"/>
          <w:szCs w:val="16"/>
          <w:lang w:val="en-US"/>
        </w:rPr>
      </w:pPr>
    </w:p>
    <w:p w14:paraId="06F381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937 б и 613 и 8ВА совершили налет на Берлин и погибло около 25 тыс. гражданского населения (3819).</w:t>
      </w:r>
    </w:p>
    <w:p w14:paraId="46C4CDDB" w14:textId="77777777" w:rsidR="00C2313B" w:rsidRPr="00F90EAE" w:rsidRDefault="00C2313B" w:rsidP="00F90EAE">
      <w:pPr>
        <w:autoSpaceDE w:val="0"/>
        <w:autoSpaceDN w:val="0"/>
        <w:adjustRightInd w:val="0"/>
        <w:jc w:val="both"/>
        <w:rPr>
          <w:color w:val="000000" w:themeColor="text1"/>
          <w:sz w:val="16"/>
          <w:szCs w:val="16"/>
        </w:rPr>
      </w:pPr>
    </w:p>
    <w:p w14:paraId="071A2C1E"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rStyle w:val="a7"/>
          <w:b w:val="0"/>
          <w:color w:val="000000" w:themeColor="text1"/>
          <w:sz w:val="16"/>
          <w:szCs w:val="16"/>
        </w:rPr>
        <w:t>3 февраля 1945 года</w:t>
      </w:r>
      <w:r w:rsidRPr="00F90EAE">
        <w:rPr>
          <w:color w:val="000000" w:themeColor="text1"/>
          <w:sz w:val="16"/>
          <w:szCs w:val="16"/>
        </w:rPr>
        <w:t xml:space="preserve"> под прикрытием 785 истребителей Р-51 «Мустанг» над Берлином появились 950 «летающих крепостей». Воздушная армада вывалила на городские кварталы 2298 тонн бомб, распахав районы Темпельхоф и Шёнеберг, а также центр города. По «средним» прикидкам количество жертв среди населения в этот день исчислялось тысячами – называют цифры до 25 000 убитых.</w:t>
      </w:r>
    </w:p>
    <w:p w14:paraId="121B4169"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rStyle w:val="a7"/>
          <w:b w:val="0"/>
          <w:color w:val="000000" w:themeColor="text1"/>
          <w:sz w:val="16"/>
          <w:szCs w:val="16"/>
        </w:rPr>
        <w:t>26 февраля 1945 г</w:t>
      </w:r>
      <w:r w:rsidRPr="00F90EAE">
        <w:rPr>
          <w:color w:val="000000" w:themeColor="text1"/>
          <w:sz w:val="16"/>
          <w:szCs w:val="16"/>
        </w:rPr>
        <w:t xml:space="preserve">. ужас повторился в ещё больших масштабах —  781 В-17 и 285 В-24, сбросили на город 2796 тонн бомб, практически не имея потерь со своей стороны. Конечно это был не конец – отрабатывая новую тактику, </w:t>
      </w:r>
      <w:r w:rsidRPr="00F90EAE">
        <w:rPr>
          <w:rStyle w:val="a7"/>
          <w:b w:val="0"/>
          <w:color w:val="000000" w:themeColor="text1"/>
          <w:sz w:val="16"/>
          <w:szCs w:val="16"/>
        </w:rPr>
        <w:t>18 марта</w:t>
      </w:r>
      <w:r w:rsidRPr="00F90EAE">
        <w:rPr>
          <w:color w:val="000000" w:themeColor="text1"/>
          <w:sz w:val="16"/>
          <w:szCs w:val="16"/>
        </w:rPr>
        <w:t xml:space="preserve">, </w:t>
      </w:r>
      <w:r w:rsidRPr="00F90EAE">
        <w:rPr>
          <w:rStyle w:val="a7"/>
          <w:b w:val="0"/>
          <w:color w:val="000000" w:themeColor="text1"/>
          <w:sz w:val="16"/>
          <w:szCs w:val="16"/>
        </w:rPr>
        <w:t>24 марта</w:t>
      </w:r>
      <w:r w:rsidRPr="00F90EAE">
        <w:rPr>
          <w:color w:val="000000" w:themeColor="text1"/>
          <w:sz w:val="16"/>
          <w:szCs w:val="16"/>
        </w:rPr>
        <w:t xml:space="preserve">, </w:t>
      </w:r>
      <w:r w:rsidRPr="00F90EAE">
        <w:rPr>
          <w:rStyle w:val="a7"/>
          <w:b w:val="0"/>
          <w:color w:val="000000" w:themeColor="text1"/>
          <w:sz w:val="16"/>
          <w:szCs w:val="16"/>
        </w:rPr>
        <w:t>20 апреля</w:t>
      </w:r>
      <w:r w:rsidRPr="00F90EAE">
        <w:rPr>
          <w:color w:val="000000" w:themeColor="text1"/>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50 000 человек.</w:t>
      </w:r>
    </w:p>
    <w:p w14:paraId="3AA909B3" w14:textId="77777777" w:rsidR="00FA59CB" w:rsidRPr="00F90EAE" w:rsidRDefault="00FA59CB" w:rsidP="00F90EAE">
      <w:pPr>
        <w:jc w:val="both"/>
        <w:rPr>
          <w:color w:val="000000" w:themeColor="text1"/>
          <w:sz w:val="16"/>
          <w:szCs w:val="16"/>
        </w:rPr>
      </w:pPr>
      <w:r w:rsidRPr="00F90EAE">
        <w:rPr>
          <w:color w:val="000000" w:themeColor="text1"/>
          <w:sz w:val="16"/>
          <w:szCs w:val="16"/>
        </w:rPr>
        <w:t>В Берлине из имевшихся в 1939 году 1 502 383 зданий, к концу войны осталось относительно неповрежденными 976 500.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01E5E67B" w14:textId="77777777" w:rsidR="00FA59CB" w:rsidRPr="00F90EAE" w:rsidRDefault="00FA59CB" w:rsidP="00F90EAE">
      <w:pPr>
        <w:jc w:val="both"/>
        <w:rPr>
          <w:color w:val="000000" w:themeColor="text1"/>
          <w:sz w:val="16"/>
          <w:szCs w:val="16"/>
        </w:rPr>
      </w:pPr>
    </w:p>
    <w:p w14:paraId="679C5114" w14:textId="77777777" w:rsidR="00161A39" w:rsidRPr="00F90EAE" w:rsidRDefault="00161A39" w:rsidP="00F90EAE">
      <w:pPr>
        <w:jc w:val="both"/>
        <w:rPr>
          <w:color w:val="0070C0"/>
          <w:sz w:val="16"/>
          <w:szCs w:val="16"/>
        </w:rPr>
      </w:pPr>
      <w:r w:rsidRPr="00F90EAE">
        <w:rPr>
          <w:color w:val="0070C0"/>
          <w:sz w:val="16"/>
          <w:szCs w:val="16"/>
        </w:rPr>
        <w:t>3 февраля 1945 состоялся самый тяжелый американский стратегический бомбардировочный налет на Берлин в ходе войны (свыше одной тысячи бомбардировщиков и 575 P-51 Mustang в сопровождении). Среди почти 3000 немцев, погибших в результате налета, был печально известный нацистский судья Volksgerichtshof Роланд Фрейслер (20371).</w:t>
      </w:r>
    </w:p>
    <w:p w14:paraId="72DF4CC5" w14:textId="77777777" w:rsidR="00161A39" w:rsidRPr="00F90EAE" w:rsidRDefault="00161A39" w:rsidP="00F90EAE">
      <w:pPr>
        <w:jc w:val="both"/>
        <w:rPr>
          <w:color w:val="0070C0"/>
          <w:sz w:val="16"/>
          <w:szCs w:val="16"/>
        </w:rPr>
      </w:pPr>
    </w:p>
    <w:p w14:paraId="7B911FF8" w14:textId="77777777" w:rsidR="00161A39" w:rsidRPr="00F90EAE" w:rsidRDefault="00161A39" w:rsidP="00F90EAE">
      <w:pPr>
        <w:jc w:val="both"/>
        <w:rPr>
          <w:color w:val="0070C0"/>
          <w:sz w:val="16"/>
          <w:szCs w:val="16"/>
        </w:rPr>
      </w:pPr>
      <w:r w:rsidRPr="00F90EAE">
        <w:rPr>
          <w:color w:val="0070C0"/>
          <w:sz w:val="16"/>
          <w:szCs w:val="16"/>
        </w:rPr>
        <w:t>3 февраля 1945 - Берлин пережил самый тяжелый воздушный налет в войне. В этот день в плотно затянутом облаками небе над столицей Третьего рейха появились 937 американских бомбардировщиков Б-17 и Б-24, которых сопровождали 613 истребителей. За 53 минуты они сбросили на городские районы Темпельхоф, Шёнеберг, Кройцберг 2267 тонн бомб. При этом 36 бомбардировщиков и 9 истребителей были сбиты. Это был первый дневной американский террористический налет на жилые кварталы Берлина в духе ночных налетов англичан. Четыре квадратных километра площади было полностью разрушено, при этом, по американским данным, погибло около 23 тыс. человек (22635).</w:t>
      </w:r>
    </w:p>
    <w:p w14:paraId="0984576C" w14:textId="77777777" w:rsidR="00161A39" w:rsidRPr="00F90EAE" w:rsidRDefault="00161A39" w:rsidP="00F90EAE">
      <w:pPr>
        <w:jc w:val="both"/>
        <w:rPr>
          <w:color w:val="0070C0"/>
          <w:sz w:val="16"/>
          <w:szCs w:val="16"/>
        </w:rPr>
      </w:pPr>
    </w:p>
    <w:p w14:paraId="6BC7B6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февраля 1945 морские пехотинцы США высадились в Маниле на Филиппинах (2248,2).</w:t>
      </w:r>
    </w:p>
    <w:p w14:paraId="67C37ACC" w14:textId="77777777" w:rsidR="00C2313B" w:rsidRPr="00F90EAE" w:rsidRDefault="00C2313B" w:rsidP="00F90EAE">
      <w:pPr>
        <w:autoSpaceDE w:val="0"/>
        <w:autoSpaceDN w:val="0"/>
        <w:adjustRightInd w:val="0"/>
        <w:jc w:val="both"/>
        <w:rPr>
          <w:color w:val="000000" w:themeColor="text1"/>
          <w:sz w:val="16"/>
          <w:szCs w:val="16"/>
        </w:rPr>
      </w:pPr>
    </w:p>
    <w:p w14:paraId="514ADD1E"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на Филиппинах части американской армии начинают сражение за Манилу. 3 марта город будет взят (15029).</w:t>
      </w:r>
    </w:p>
    <w:p w14:paraId="4011AF26" w14:textId="77777777" w:rsidR="003D013D" w:rsidRPr="00F90EAE" w:rsidRDefault="003D013D" w:rsidP="00F90EAE">
      <w:pPr>
        <w:jc w:val="both"/>
        <w:rPr>
          <w:color w:val="000000" w:themeColor="text1"/>
          <w:sz w:val="16"/>
          <w:szCs w:val="16"/>
        </w:rPr>
      </w:pPr>
    </w:p>
    <w:p w14:paraId="01792A30"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февраля 1945 немецкий гарнизон г. Кольмар (Франция) сдался союзникам (4962).</w:t>
      </w:r>
    </w:p>
    <w:p w14:paraId="20541DB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6042096" w14:textId="77777777" w:rsidR="003D013D" w:rsidRPr="00F90EAE" w:rsidRDefault="003D013D" w:rsidP="00F90EAE">
      <w:pPr>
        <w:jc w:val="both"/>
        <w:rPr>
          <w:color w:val="000000" w:themeColor="text1"/>
          <w:sz w:val="16"/>
          <w:szCs w:val="16"/>
        </w:rPr>
      </w:pPr>
      <w:r w:rsidRPr="00F90EAE">
        <w:rPr>
          <w:bCs/>
          <w:color w:val="000000" w:themeColor="text1"/>
          <w:sz w:val="16"/>
          <w:szCs w:val="16"/>
        </w:rPr>
        <w:t>3 февраля</w:t>
      </w:r>
      <w:r w:rsidRPr="00F90EAE">
        <w:rPr>
          <w:color w:val="000000" w:themeColor="text1"/>
          <w:sz w:val="16"/>
          <w:szCs w:val="16"/>
        </w:rPr>
        <w:t xml:space="preserve"> в 1945 году американские войска прорвали германскую оборонительную линию «Зигфрид» (15029).</w:t>
      </w:r>
    </w:p>
    <w:p w14:paraId="7763078C" w14:textId="77777777" w:rsidR="003D013D" w:rsidRPr="00F90EAE" w:rsidRDefault="003D013D" w:rsidP="00F90EAE">
      <w:pPr>
        <w:jc w:val="both"/>
        <w:rPr>
          <w:color w:val="000000" w:themeColor="text1"/>
          <w:sz w:val="16"/>
          <w:szCs w:val="16"/>
        </w:rPr>
      </w:pPr>
    </w:p>
    <w:p w14:paraId="2D258158" w14:textId="77777777" w:rsidR="00C2313B" w:rsidRPr="00F90EAE" w:rsidRDefault="001561D1" w:rsidP="00F90EAE">
      <w:pPr>
        <w:tabs>
          <w:tab w:val="left" w:pos="11199"/>
        </w:tabs>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2DFCDA3" w14:textId="77777777" w:rsidR="00C2313B" w:rsidRPr="00F90EAE" w:rsidRDefault="00C2313B" w:rsidP="00F90EAE">
      <w:pPr>
        <w:tabs>
          <w:tab w:val="left" w:pos="11199"/>
        </w:tabs>
        <w:autoSpaceDE w:val="0"/>
        <w:autoSpaceDN w:val="0"/>
        <w:adjustRightInd w:val="0"/>
        <w:jc w:val="both"/>
        <w:rPr>
          <w:iCs/>
          <w:color w:val="000000" w:themeColor="text1"/>
          <w:sz w:val="16"/>
          <w:szCs w:val="16"/>
        </w:rPr>
      </w:pPr>
    </w:p>
    <w:p w14:paraId="2EE0905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января 1945 была подготовлена докладная записка по результатам командировки ви 3 отд. 1 упр. ТК НИИ ВВС КА им Алексеенко на завод 21:</w:t>
      </w:r>
    </w:p>
    <w:p w14:paraId="780D9D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21 по 26 июня 1944 была командировка на завод № 21 бригады НИИ ВВС по с-ту 120 и трещинам тавриков передних лонжеронов цп с-та Ла-7:</w:t>
      </w:r>
    </w:p>
    <w:p w14:paraId="3D5231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“...Кроме ознакомления с технологией обработки полок лонжеронов, мы проверили качество контроля со стороны военпреда технологии сборки (по просьбе старшего военпреда завода). В результате нашего осмотра самолета, ВМГ которого была окончательно принята в,пред. цеха, обнаружено 12 существенных дефектов, о которых мы почти в каждом акте пишем: чеканка трубок высокого давления, чеканка патрубков, неудовлетворительная герметизация внутреннего капота и 1-й рамы фюзеляжа, неудовлетворительная подгонка заслонок во всасявающем патрубке и т.д.</w:t>
      </w:r>
    </w:p>
    <w:p w14:paraId="15425A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Зам. военпреда цеха объясняет наличие дефектов графиком (темпами), что якобы нет смысла им писать при приемкуе самолета много дефектов (на этом самолете написано только 9), т.к. иногда ими обнаруженные дефекты не устраняются и их винят в задержке самолетов.</w:t>
      </w:r>
    </w:p>
    <w:p w14:paraId="2D9ED61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строевых частях (так и у нас) необходимо самолет на несколько дней выводить из строя для устранения дефектов (742).</w:t>
      </w:r>
    </w:p>
    <w:p w14:paraId="41878E90" w14:textId="77777777" w:rsidR="00C2313B" w:rsidRPr="00F90EAE" w:rsidRDefault="00C2313B" w:rsidP="00F90EAE">
      <w:pPr>
        <w:autoSpaceDE w:val="0"/>
        <w:autoSpaceDN w:val="0"/>
        <w:adjustRightInd w:val="0"/>
        <w:jc w:val="both"/>
        <w:rPr>
          <w:color w:val="000000" w:themeColor="text1"/>
          <w:sz w:val="16"/>
          <w:szCs w:val="16"/>
        </w:rPr>
      </w:pPr>
    </w:p>
    <w:p w14:paraId="0875073A"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CA2F88A" w14:textId="77777777" w:rsidR="00C2313B" w:rsidRPr="00F90EAE" w:rsidRDefault="00C2313B" w:rsidP="00F90EAE">
      <w:pPr>
        <w:autoSpaceDE w:val="0"/>
        <w:autoSpaceDN w:val="0"/>
        <w:adjustRightInd w:val="0"/>
        <w:jc w:val="both"/>
        <w:rPr>
          <w:iCs/>
          <w:color w:val="000000" w:themeColor="text1"/>
          <w:sz w:val="16"/>
          <w:szCs w:val="16"/>
        </w:rPr>
      </w:pPr>
    </w:p>
    <w:p w14:paraId="632590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7471. О дополнительной отгрузке угля из Кузбасса заводу № 129 НКБ. РГАНИР, Фонд ГКО, д. 369, лл. 43 (11012).</w:t>
      </w:r>
    </w:p>
    <w:p w14:paraId="3312A0AD" w14:textId="77777777" w:rsidR="00C2313B" w:rsidRPr="00F90EAE" w:rsidRDefault="00C2313B" w:rsidP="00F90EAE">
      <w:pPr>
        <w:autoSpaceDE w:val="0"/>
        <w:autoSpaceDN w:val="0"/>
        <w:adjustRightInd w:val="0"/>
        <w:jc w:val="both"/>
        <w:rPr>
          <w:color w:val="000000" w:themeColor="text1"/>
          <w:sz w:val="16"/>
          <w:szCs w:val="16"/>
        </w:rPr>
      </w:pPr>
    </w:p>
    <w:p w14:paraId="6CAAE1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Постановление ГКО № 7472 О мероприятиях по обеспечению мазутом важнейших заводов Наркомбоеприпасов в феврале 1945 года. РГАНИР, Фонд ГКО, д. 369, лл. 44-46 (11012).</w:t>
      </w:r>
    </w:p>
    <w:p w14:paraId="72A02845" w14:textId="77777777" w:rsidR="00C2313B" w:rsidRPr="00F90EAE" w:rsidRDefault="00C2313B" w:rsidP="00F90EAE">
      <w:pPr>
        <w:autoSpaceDE w:val="0"/>
        <w:autoSpaceDN w:val="0"/>
        <w:adjustRightInd w:val="0"/>
        <w:jc w:val="both"/>
        <w:rPr>
          <w:color w:val="000000" w:themeColor="text1"/>
          <w:sz w:val="16"/>
          <w:szCs w:val="16"/>
        </w:rPr>
      </w:pPr>
    </w:p>
    <w:p w14:paraId="0535E67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7473 [О дополнительной отгрузке угля в феврале-марте 1945 г. для строительства № 500 НКВД.] (7307, 47).</w:t>
      </w:r>
    </w:p>
    <w:p w14:paraId="7FD71F65"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7ADC606C"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7474 [Об изменении плана поставки угля НКПС на февраль 1945 г.] (7307, 48).</w:t>
      </w:r>
    </w:p>
    <w:p w14:paraId="736BFD73"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0E72C7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7475 [О выделении бензина в феврале-марте 1945 г. для перевозок колхозников, переселяющихся на Карельский перешеек и в Грозненскую обл.] (7307, 49).</w:t>
      </w:r>
    </w:p>
    <w:p w14:paraId="0FA1F60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36721E2"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вышло Постановление ГКО № 7476 О закладке в мобрезерв сушеных овощей и картофеля. (7307, 50).</w:t>
      </w:r>
    </w:p>
    <w:p w14:paraId="368BCAA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BEAED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7477. О снабжении рабочих предприятий НКХП, занятых на особо вредных работах, и о дополнительном снабжении руководящих работников центрального аппарата НКНП. РГАНИР, Фонд ГКО, д. 369, лл. 51-52 (11012).</w:t>
      </w:r>
    </w:p>
    <w:p w14:paraId="6EAE7F63" w14:textId="77777777" w:rsidR="00C2313B" w:rsidRPr="00F90EAE" w:rsidRDefault="00C2313B" w:rsidP="00F90EAE">
      <w:pPr>
        <w:autoSpaceDE w:val="0"/>
        <w:autoSpaceDN w:val="0"/>
        <w:adjustRightInd w:val="0"/>
        <w:jc w:val="both"/>
        <w:rPr>
          <w:color w:val="000000" w:themeColor="text1"/>
          <w:sz w:val="16"/>
          <w:szCs w:val="16"/>
        </w:rPr>
      </w:pPr>
    </w:p>
    <w:p w14:paraId="3759E71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7478. Об обеспечении крепежным лесом шахт Кузбасса. РГАНИР, Фонд ГКО, д. 369, лл. 53-55 (11012).</w:t>
      </w:r>
    </w:p>
    <w:p w14:paraId="0F03F79D" w14:textId="77777777" w:rsidR="00C2313B" w:rsidRPr="00F90EAE" w:rsidRDefault="00C2313B" w:rsidP="00F90EAE">
      <w:pPr>
        <w:autoSpaceDE w:val="0"/>
        <w:autoSpaceDN w:val="0"/>
        <w:adjustRightInd w:val="0"/>
        <w:jc w:val="both"/>
        <w:rPr>
          <w:color w:val="000000" w:themeColor="text1"/>
          <w:sz w:val="16"/>
          <w:szCs w:val="16"/>
        </w:rPr>
      </w:pPr>
    </w:p>
    <w:p w14:paraId="263EFE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7479. О поставках спецукупорки 160 мм мин заводам НКМВ. РГАНИР, Фонд ГКО, д. 369, лл. 56-58, 59-62 (11012).</w:t>
      </w:r>
    </w:p>
    <w:p w14:paraId="59BF045A" w14:textId="77777777" w:rsidR="00C2313B" w:rsidRPr="00F90EAE" w:rsidRDefault="00C2313B" w:rsidP="00F90EAE">
      <w:pPr>
        <w:autoSpaceDE w:val="0"/>
        <w:autoSpaceDN w:val="0"/>
        <w:adjustRightInd w:val="0"/>
        <w:jc w:val="both"/>
        <w:rPr>
          <w:color w:val="000000" w:themeColor="text1"/>
          <w:sz w:val="16"/>
          <w:szCs w:val="16"/>
        </w:rPr>
      </w:pPr>
    </w:p>
    <w:p w14:paraId="1016E8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7480. Об организации ремонта автоматических расцепок на складах ВВС КА. РГАНИР, Фонд ГКО, д. 369, лл. 63 (11012).</w:t>
      </w:r>
    </w:p>
    <w:p w14:paraId="59D9E819" w14:textId="77777777" w:rsidR="00C2313B" w:rsidRPr="00F90EAE" w:rsidRDefault="00C2313B" w:rsidP="00F90EAE">
      <w:pPr>
        <w:autoSpaceDE w:val="0"/>
        <w:autoSpaceDN w:val="0"/>
        <w:adjustRightInd w:val="0"/>
        <w:jc w:val="both"/>
        <w:rPr>
          <w:color w:val="000000" w:themeColor="text1"/>
          <w:sz w:val="16"/>
          <w:szCs w:val="16"/>
        </w:rPr>
      </w:pPr>
    </w:p>
    <w:p w14:paraId="17A9EE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Постановление ГКО № 7481 О производстве и поставке бензотары, средств заправки, подогрева и других спецмашин Наркомату обороны СССР и Наркомвоенморфлоту в I квартале 1945 г. РГАНИР, Фонд ГКО, д. 369, лл. 64-65, 66-71 (11012).</w:t>
      </w:r>
    </w:p>
    <w:p w14:paraId="6D1D98C6" w14:textId="77777777" w:rsidR="00C2313B" w:rsidRPr="00F90EAE" w:rsidRDefault="00C2313B" w:rsidP="00F90EAE">
      <w:pPr>
        <w:autoSpaceDE w:val="0"/>
        <w:autoSpaceDN w:val="0"/>
        <w:adjustRightInd w:val="0"/>
        <w:jc w:val="both"/>
        <w:rPr>
          <w:color w:val="000000" w:themeColor="text1"/>
          <w:sz w:val="16"/>
          <w:szCs w:val="16"/>
        </w:rPr>
      </w:pPr>
    </w:p>
    <w:p w14:paraId="237AC5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вышло Распоряжение ГКО № 7482. Об обеспечении снаряжательных заводов Наркомбоеприпасов корпусами снарядов и мин. РГАНИР, Фонд ГКО, д. 369, лл. 72-78, 79-89 (11012).</w:t>
      </w:r>
    </w:p>
    <w:p w14:paraId="37E5D3B2" w14:textId="77777777" w:rsidR="00C2313B" w:rsidRPr="00F90EAE" w:rsidRDefault="00C2313B" w:rsidP="00F90EAE">
      <w:pPr>
        <w:autoSpaceDE w:val="0"/>
        <w:autoSpaceDN w:val="0"/>
        <w:adjustRightInd w:val="0"/>
        <w:jc w:val="both"/>
        <w:rPr>
          <w:color w:val="000000" w:themeColor="text1"/>
          <w:sz w:val="16"/>
          <w:szCs w:val="16"/>
        </w:rPr>
      </w:pPr>
    </w:p>
    <w:p w14:paraId="06F71CF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11E3C1E" w14:textId="77777777" w:rsidR="00C2313B" w:rsidRPr="00F90EAE" w:rsidRDefault="00C2313B" w:rsidP="00F90EAE">
      <w:pPr>
        <w:autoSpaceDE w:val="0"/>
        <w:autoSpaceDN w:val="0"/>
        <w:adjustRightInd w:val="0"/>
        <w:jc w:val="both"/>
        <w:rPr>
          <w:iCs/>
          <w:color w:val="000000" w:themeColor="text1"/>
          <w:sz w:val="16"/>
          <w:szCs w:val="16"/>
        </w:rPr>
      </w:pPr>
    </w:p>
    <w:p w14:paraId="0FF51A53" w14:textId="77777777" w:rsidR="003D013D" w:rsidRPr="00F90EAE" w:rsidRDefault="003D013D" w:rsidP="00F90EAE">
      <w:pPr>
        <w:jc w:val="both"/>
        <w:rPr>
          <w:color w:val="000000" w:themeColor="text1"/>
          <w:sz w:val="16"/>
          <w:szCs w:val="16"/>
        </w:rPr>
      </w:pPr>
      <w:r w:rsidRPr="00F90EAE">
        <w:rPr>
          <w:bCs/>
          <w:color w:val="000000" w:themeColor="text1"/>
          <w:sz w:val="16"/>
          <w:szCs w:val="16"/>
        </w:rPr>
        <w:t>4 февраля</w:t>
      </w:r>
      <w:r w:rsidRPr="00F90EAE">
        <w:rPr>
          <w:color w:val="000000" w:themeColor="text1"/>
          <w:sz w:val="16"/>
          <w:szCs w:val="16"/>
        </w:rPr>
        <w:t xml:space="preserve"> в 1945 году оперативная сводка Совинформбюро:</w:t>
      </w:r>
    </w:p>
    <w:p w14:paraId="48FFAA4F" w14:textId="77777777" w:rsidR="003D013D" w:rsidRPr="00F90EAE" w:rsidRDefault="003D013D" w:rsidP="00F90EAE">
      <w:pPr>
        <w:jc w:val="both"/>
        <w:rPr>
          <w:color w:val="000000" w:themeColor="text1"/>
          <w:sz w:val="16"/>
          <w:szCs w:val="16"/>
        </w:rPr>
      </w:pPr>
      <w:r w:rsidRPr="00F90EAE">
        <w:rPr>
          <w:color w:val="000000" w:themeColor="text1"/>
          <w:sz w:val="16"/>
          <w:szCs w:val="16"/>
        </w:rPr>
        <w:t>«В течение 4 февраля севернее и северо-западнее Кенигсберга наши войска вели бои по очищению от противника Земландского полуострова и овладели при этом городом и железнодорожной станцией Гранц, а также заняли более 30 других населённых пунктов, в том числе Михеляу, Грюнхофф, Гарбзайден, Алляйнен, Побетен, Регенен. Наши войска полностью очистили от противника приморскую косу Курише Нерунг, отделяющую залив Курише Гаф от Балтийского моря.</w:t>
      </w:r>
    </w:p>
    <w:p w14:paraId="13356F78" w14:textId="77777777" w:rsidR="003D013D" w:rsidRPr="00F90EAE" w:rsidRDefault="003D013D" w:rsidP="00F90EAE">
      <w:pPr>
        <w:jc w:val="both"/>
        <w:rPr>
          <w:color w:val="000000" w:themeColor="text1"/>
          <w:sz w:val="16"/>
          <w:szCs w:val="16"/>
        </w:rPr>
      </w:pPr>
      <w:r w:rsidRPr="00F90EAE">
        <w:rPr>
          <w:color w:val="000000" w:themeColor="text1"/>
          <w:sz w:val="16"/>
          <w:szCs w:val="16"/>
        </w:rPr>
        <w:t>Войска 3-го Белорусского фронта, продолжая наступление, с боем овладели городами Ландсберг и Бартенштайн — крупными узлами коммуникаций и сильными опорными пунктами обороны немцев в центральных районах Восточной Пруссии, а также заняли более 40 других населённых пунктов, среди которых крупные населённые пункты Ной Ассмунис, Зиддау, Легинен, Дамерау, Альбрехтсдорф, Айхен.</w:t>
      </w:r>
    </w:p>
    <w:p w14:paraId="04020F1C"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и юго-восточнее Франкфурта-на-Одере наши войска, в результате наступательных боёв, овладели городами Бзрвальде, Нойдамм, Цибинген и заняли более 100 других населённых пунктов.</w:t>
      </w:r>
    </w:p>
    <w:p w14:paraId="5E0A67B5" w14:textId="77777777" w:rsidR="003D013D" w:rsidRPr="00F90EAE" w:rsidRDefault="003D013D" w:rsidP="00F90EAE">
      <w:pPr>
        <w:jc w:val="both"/>
        <w:rPr>
          <w:color w:val="000000" w:themeColor="text1"/>
          <w:sz w:val="16"/>
          <w:szCs w:val="16"/>
        </w:rPr>
      </w:pPr>
      <w:r w:rsidRPr="00F90EAE">
        <w:rPr>
          <w:color w:val="000000" w:themeColor="text1"/>
          <w:sz w:val="16"/>
          <w:szCs w:val="16"/>
        </w:rPr>
        <w:t>За 3 февраля в этом районе наши войска захватили у противника 180 орудий и взяли в плен свыше 1.500 немецких солдат и офицеров.</w:t>
      </w:r>
    </w:p>
    <w:p w14:paraId="50396FFB"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12 кварталов.</w:t>
      </w:r>
    </w:p>
    <w:p w14:paraId="4689D93C" w14:textId="77777777" w:rsidR="003D013D" w:rsidRPr="00F90EAE" w:rsidRDefault="003D013D"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315F9F99" w14:textId="77777777" w:rsidR="003D013D" w:rsidRPr="00F90EAE" w:rsidRDefault="003D013D" w:rsidP="00F90EAE">
      <w:pPr>
        <w:jc w:val="both"/>
        <w:rPr>
          <w:color w:val="000000" w:themeColor="text1"/>
          <w:sz w:val="16"/>
          <w:szCs w:val="16"/>
        </w:rPr>
      </w:pPr>
      <w:r w:rsidRPr="00F90EAE">
        <w:rPr>
          <w:color w:val="000000" w:themeColor="text1"/>
          <w:sz w:val="16"/>
          <w:szCs w:val="16"/>
        </w:rPr>
        <w:t>За 3 февраля подбито и уничтожено 120 немецких танков. В воздушных боях и огнём зенитной артиллерии сбито 30 самолётов противника.</w:t>
      </w:r>
    </w:p>
    <w:p w14:paraId="3C7A9164"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и северо-западнее города Кенигсберг наши стрелковые и танковые части, при поддержке артиллерии, нанесли мощный удар противнику и, стремительно продвинувшись вперёд, вышли на побережье Данцигской бухты. Таким образом, группировка немецких войск, действующая на Земландском полуострове, оказалась расчленённой на две изолированные друг от друга части. Продолжая наращивать удары, наши войска заняли город Гранц на побережье Балтийского моря. Места боёв усеяны трупами гитлеровцев, вражеской техникой и вооружением. Разбитые и деморализованные немецкие части потеряли между собою связь. Советские бойцы прижимают вражеские группы к морю и уничтожают их. Отдельные подразделения противника прекращают сопротивление и складывают оружие. Отмечен ряд случаев, когда немецкие солдаты, перед тем как сдаться в плен, убивают эсэсовцев и офицеров, заставлявших их продолжать борьбу.</w:t>
      </w:r>
    </w:p>
    <w:p w14:paraId="452876E1" w14:textId="77777777" w:rsidR="003D013D" w:rsidRPr="00F90EAE" w:rsidRDefault="003D013D" w:rsidP="00F90EAE">
      <w:pPr>
        <w:jc w:val="both"/>
        <w:rPr>
          <w:color w:val="000000" w:themeColor="text1"/>
          <w:sz w:val="16"/>
          <w:szCs w:val="16"/>
        </w:rPr>
      </w:pPr>
      <w:r w:rsidRPr="00F90EAE">
        <w:rPr>
          <w:color w:val="000000" w:themeColor="text1"/>
          <w:sz w:val="16"/>
          <w:szCs w:val="16"/>
        </w:rPr>
        <w:t>В заливе Курише Гаф наши войска захватили 130 речных судов.</w:t>
      </w:r>
    </w:p>
    <w:p w14:paraId="3C656F81" w14:textId="77777777" w:rsidR="003D013D" w:rsidRPr="00F90EAE" w:rsidRDefault="003D013D" w:rsidP="00F90EAE">
      <w:pPr>
        <w:jc w:val="both"/>
        <w:rPr>
          <w:color w:val="000000" w:themeColor="text1"/>
          <w:sz w:val="16"/>
          <w:szCs w:val="16"/>
        </w:rPr>
      </w:pPr>
      <w:r w:rsidRPr="00F90EAE">
        <w:rPr>
          <w:color w:val="000000" w:themeColor="text1"/>
          <w:sz w:val="16"/>
          <w:szCs w:val="16"/>
        </w:rPr>
        <w:t>Войска З-го Белорусского фронта продолжали успешное наступление. Советские части прорвали долговременную оборону противника и, обойдя с севера и запада город Бартенштайн, отрезали вражескому гарнизону основные пути отхода. После сильного артиллерийского обстрела вражеских укреплений советские пехотинцы перешли в атаку. В ожесточённом уличном бою наши войска разгромили немецкий гарнизон и сегодня овладели городом Бартенштайн — сильно укрепленным опорным пунктом обороны противника. Лишь немногие немецкие солдаты из состава гарнизона города спаслись бегством. Бартенштайн является промышленным городом Восточной Пруссии. В нём имеются машиностроительные и другие предприятия. Наши войска, сломив упорное сопротивление противника, овладели также городом Ландсберг. В течение дня уничтожено несколько тысяч немецких солдат и офицеров. Сожжено и подбито 49 танков и самоходных орудий противника. Захвачено у немцев 8 танков, 23 орудия, 140 пулемётов, 76 автомашин и 8 крупных складов. Взято в плен 600 немецких солдат и офицеров.</w:t>
      </w:r>
    </w:p>
    <w:p w14:paraId="1A737292"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города Франкфурт-на-Одере наши пехотинцы и танкисты стремительно продвинулись вперёд на 20 километров. Заняты важные узлы дорог и опорные пункты немцев города Нойдамм и Бэрвальде. Противник подтянул свежие резервы и с хода, бросил их в бой. В ожесточённом бою советские части разгромили немецкую пехотную дивизию, только что прибывшую на фронт. Юго-восточнее Франкфурта-на-Одере наши войска вели бои в обширном лесном районе, изобилующем болотами и озёрами. Используя выгодную для обороны местность, гитлеровцы оказывали упорное сопротивление. Советские части преодолели укреплённый район противника и, развивая успех, овладели городом Цибинген, находящимся в 6 километрах восточнее реки Одер. За день боёв немцы потеряли только убитыми до 5 тысяч солдат и офицеров.</w:t>
      </w:r>
    </w:p>
    <w:p w14:paraId="59FF022F"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в западной части города (Буда), наши войска вели бои по уничтожению окружённой группировки противника. Советские штурмовые группы, преодолевая на своём пути многочисленные баррикады, минные и проволочные заграждения, продолжают теснить противника. Очищено от гитлеровцев несколько кварталов. В результате упорного боя нашими подразделениями занято здание Промышленно-технологического музея, превращенного немцами в опорный пункт обороны. Взято в плен 340 немецких и венгерских солдат и офицеров.</w:t>
      </w:r>
    </w:p>
    <w:p w14:paraId="2703B94A" w14:textId="77777777" w:rsidR="003D013D" w:rsidRPr="00F90EAE" w:rsidRDefault="003D013D" w:rsidP="00F90EAE">
      <w:pPr>
        <w:jc w:val="both"/>
        <w:rPr>
          <w:color w:val="000000" w:themeColor="text1"/>
          <w:sz w:val="16"/>
          <w:szCs w:val="16"/>
        </w:rPr>
      </w:pPr>
      <w:r w:rsidRPr="00F90EAE">
        <w:rPr>
          <w:color w:val="000000" w:themeColor="text1"/>
          <w:sz w:val="16"/>
          <w:szCs w:val="16"/>
        </w:rPr>
        <w:t>На 1-м Украинском фронте взят в плен начальник штаба 42-го немецкого армейского корпуса полковник Драбих Вехтер. Пленный заявил: «Немецкое командование принимало отчаянные меры, чтобы остановить наступление русских войск, но не смогло изменить ход событий. Германия войну проиграла. Гигантское и успешное наступление Красной Армии ускоряет окончание войны и день крушения Германии».</w:t>
      </w:r>
    </w:p>
    <w:p w14:paraId="54E81B28" w14:textId="77777777" w:rsidR="003D013D" w:rsidRPr="00F90EAE" w:rsidRDefault="003D013D" w:rsidP="00F90EAE">
      <w:pPr>
        <w:jc w:val="both"/>
        <w:rPr>
          <w:color w:val="000000" w:themeColor="text1"/>
          <w:sz w:val="16"/>
          <w:szCs w:val="16"/>
        </w:rPr>
      </w:pPr>
      <w:r w:rsidRPr="00F90EAE">
        <w:rPr>
          <w:color w:val="000000" w:themeColor="text1"/>
          <w:sz w:val="16"/>
          <w:szCs w:val="16"/>
        </w:rPr>
        <w:t>Советским войскам сдался в полном составе 242-й немецкий батальон во главе со своим командиром капитаном Карлом Дрендель. Пленный капитан сообщил: «242-й батальон сформирован в начале января и через десять дней был послан на фронт. По дороге к месту назначения мы расположились на ночлег в здании школы. Ночью в селе поднялась тревога, послышались выстрелы. Солдаты заволновались. Я успокоил их и приказал сидеть и ждать, пока обстановка прояснится. Вскоре русские подошли совсем близко. Было уже поздно что-либо предпринимать. Весь батальон сложил оружие и сдался в плен» (15030).</w:t>
      </w:r>
    </w:p>
    <w:p w14:paraId="6766AE1D" w14:textId="77777777" w:rsidR="003D013D" w:rsidRPr="00F90EAE" w:rsidRDefault="003D013D" w:rsidP="00F90EAE">
      <w:pPr>
        <w:jc w:val="both"/>
        <w:rPr>
          <w:color w:val="000000" w:themeColor="text1"/>
          <w:sz w:val="16"/>
          <w:szCs w:val="16"/>
        </w:rPr>
      </w:pPr>
    </w:p>
    <w:p w14:paraId="69326D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г. на аэродроме в Хебе Власов устроил смотр своей авиации. Среди отмеченных в тот день его приказом были майоры С.Т.Бычков, А.Меттль, Ильюхин, капитаны Б.Р.Антилевский, С.Артемов, К.Арзамасцев, Науменко, Д.Соколов, старшие лейтенанты Кузнецов, П.Песиголовец, В.Шиян, поручики А.Алексеев, П.Воронин, А.Григорьев, И.Ляхов, Н.Лушпаев, В.Пискунов, М.Сашин, П.Сердюк, А.Скобченко, О.Соколов, В.Строкун, Н.Щербина, Г.Школьный и А.Ярославец. Из числа новичков, недавно попавших в РОА, в приказе упоминались капитаны А.Иванов, В.Микушев, старший лейтенант И.Стежар, лейтенанты И.Бачурин, В.Беликин, В.Грилев, А.Новосель-цев, И.Петров. И.Попонин, В.Рвачев, В.Сининых, Е.Табулия, Н.Чебукин. С.Чургин, Г.Хамитов и другие. По этому случаю журнал “Наши крылья” в номере от 22 марта 1945 писал: "...стоя плечом к плечу со свободомыслящим русским человеком и всем миром, открыто заявляем: мы. лучшие из летчиков, вступаем в ряды РОА и даем торжественную присягу - все свои силы. а если понадобится, то и жизнь, отдать за освобождение нашей страны от большевизма. Мы ждем лишь приказа, чтобы взять в руки штурвал самолета и направить наши машины в бой за светлое будущее...” (4538).</w:t>
      </w:r>
    </w:p>
    <w:p w14:paraId="4EA1539F" w14:textId="77777777" w:rsidR="00C2313B" w:rsidRPr="00F90EAE" w:rsidRDefault="00C2313B" w:rsidP="00F90EAE">
      <w:pPr>
        <w:autoSpaceDE w:val="0"/>
        <w:autoSpaceDN w:val="0"/>
        <w:adjustRightInd w:val="0"/>
        <w:jc w:val="both"/>
        <w:rPr>
          <w:color w:val="000000" w:themeColor="text1"/>
          <w:sz w:val="16"/>
          <w:szCs w:val="16"/>
        </w:rPr>
      </w:pPr>
    </w:p>
    <w:p w14:paraId="1E11EAB5" w14:textId="77777777" w:rsidR="00A524F6" w:rsidRPr="00F90EAE" w:rsidRDefault="00A524F6"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065E378" w14:textId="77777777" w:rsidR="00A524F6" w:rsidRPr="00F90EAE" w:rsidRDefault="00A524F6" w:rsidP="00F90EAE">
      <w:pPr>
        <w:autoSpaceDE w:val="0"/>
        <w:autoSpaceDN w:val="0"/>
        <w:adjustRightInd w:val="0"/>
        <w:jc w:val="both"/>
        <w:rPr>
          <w:iCs/>
          <w:color w:val="000000" w:themeColor="text1"/>
          <w:sz w:val="16"/>
          <w:szCs w:val="16"/>
        </w:rPr>
      </w:pPr>
    </w:p>
    <w:p w14:paraId="4FD43188" w14:textId="77777777" w:rsidR="00A524F6" w:rsidRPr="00F90EAE" w:rsidRDefault="00A524F6" w:rsidP="00F90EAE">
      <w:pPr>
        <w:jc w:val="both"/>
        <w:rPr>
          <w:color w:val="000000" w:themeColor="text1"/>
          <w:sz w:val="16"/>
          <w:szCs w:val="16"/>
        </w:rPr>
      </w:pPr>
      <w:r w:rsidRPr="00F90EAE">
        <w:rPr>
          <w:color w:val="000000" w:themeColor="text1"/>
          <w:sz w:val="16"/>
          <w:szCs w:val="16"/>
        </w:rPr>
        <w:t>4 февраля 1945. В Богоявленском кафедральном соборе, что в Елохове, за торжественной литургией состоялась интронизация вновь избранного патриарха Московского и всея Руси Алексия (18688).</w:t>
      </w:r>
    </w:p>
    <w:p w14:paraId="1A7D1E6D" w14:textId="77777777" w:rsidR="00A524F6" w:rsidRPr="00F90EAE" w:rsidRDefault="00A524F6" w:rsidP="00F90EAE">
      <w:pPr>
        <w:jc w:val="both"/>
        <w:rPr>
          <w:color w:val="000000" w:themeColor="text1"/>
          <w:sz w:val="16"/>
          <w:szCs w:val="16"/>
        </w:rPr>
      </w:pPr>
    </w:p>
    <w:p w14:paraId="4D05044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481F8F9" w14:textId="77777777" w:rsidR="00C2313B" w:rsidRPr="00F90EAE" w:rsidRDefault="00C2313B" w:rsidP="00F90EAE">
      <w:pPr>
        <w:autoSpaceDE w:val="0"/>
        <w:autoSpaceDN w:val="0"/>
        <w:adjustRightInd w:val="0"/>
        <w:jc w:val="both"/>
        <w:rPr>
          <w:iCs/>
          <w:color w:val="000000" w:themeColor="text1"/>
          <w:sz w:val="16"/>
          <w:szCs w:val="16"/>
        </w:rPr>
      </w:pPr>
    </w:p>
    <w:p w14:paraId="193958DA"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в Ялте началась Крымская конференция глав США, СССР и Британии (4962).</w:t>
      </w:r>
    </w:p>
    <w:p w14:paraId="4812685B"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53A37A4"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4 February 1945 (4-10-February) Conference in Yalta, Crimea with Churchill, Stalin and Roosevelt (270).</w:t>
      </w:r>
    </w:p>
    <w:p w14:paraId="2575341F"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Main results: Plans for dealing with defeat of Germany; policy for postwar Europe; agreement on forming a United Nations organization; agreement on conditions under which Russia would enter war against Japan (1052).</w:t>
      </w:r>
    </w:p>
    <w:p w14:paraId="1C5D3CD1" w14:textId="77777777" w:rsidR="00C2313B" w:rsidRPr="00F90EAE" w:rsidRDefault="00C2313B" w:rsidP="00F90EAE">
      <w:pPr>
        <w:autoSpaceDE w:val="0"/>
        <w:autoSpaceDN w:val="0"/>
        <w:adjustRightInd w:val="0"/>
        <w:jc w:val="both"/>
        <w:rPr>
          <w:color w:val="000000" w:themeColor="text1"/>
          <w:sz w:val="16"/>
          <w:szCs w:val="16"/>
          <w:lang w:val="en-US"/>
        </w:rPr>
      </w:pPr>
    </w:p>
    <w:p w14:paraId="3FF2D03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4 по 10 февраля 1944 состоялась Ялтинская конференция на высшем уровне, в которой приняли участие Ф.Д.Р., У.Черчиль и И.В.С. (270). Рассматривали вопросы послевоенного устройства Европы, соглашение о создании ООН и условия вступления СССР в войну с Японией (1052).</w:t>
      </w:r>
    </w:p>
    <w:p w14:paraId="612A30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Одним из последних заданий черноморской авиации была защита участников Ялтинской конференции, которая проходила с 4 по 11 февраля 1945. Флот выделил для защиты Ялты пять полков, а ВВС - два полка. Днем над Ялтой кружило по 140-170 истребителей, а ночью - 48. Всего на боевом дежурстве находилось 119 пилотов, способных летать ночью (2691).</w:t>
      </w:r>
    </w:p>
    <w:p w14:paraId="2A86637F" w14:textId="77777777" w:rsidR="00C2313B" w:rsidRPr="00F90EAE" w:rsidRDefault="00C2313B" w:rsidP="00F90EAE">
      <w:pPr>
        <w:autoSpaceDE w:val="0"/>
        <w:autoSpaceDN w:val="0"/>
        <w:adjustRightInd w:val="0"/>
        <w:jc w:val="both"/>
        <w:rPr>
          <w:color w:val="000000" w:themeColor="text1"/>
          <w:sz w:val="16"/>
          <w:szCs w:val="16"/>
        </w:rPr>
      </w:pPr>
    </w:p>
    <w:p w14:paraId="00A3C75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4-11 февраля 1945 г. состоялась Ялтинская (Крымская) конференция Большой Тройки. Перед Ялтой британская и американская делегации встретились на Мальте; это, однако, не сняло ряда противоречий. Рузвельт был твердо намерен вести сотрудничество с СССР. По его мнению, СССР, в отличие от Великобритании, не был империалистической державой, а Рузвельт считал ликвидацию колониальной системы одним из приоритетов послевоенного урегулирования. Рузвельт вел сложную дипломатическую игру: с одной стороны, Великобритания продолжала оставаться его ближайшим союзником, и атомный проект осуществлялся с ведома Лондона, но в тайне от Москвы; с другой стороны, советско-американское сотрудничество, на взгляд президента, позволяло осуществлять глобальное регулирование системы международных отношений.</w:t>
      </w:r>
    </w:p>
    <w:p w14:paraId="26243EE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Большая Тройка вернулась к вопросу о судьбе Германии. Черчиль предложил отделить от Германии Пруссию и образовать южно-германское государство со столицей в Вене. Сталин и Рузвельт согласились с тем, что Германия должна быть расчленена. Однако, приняв это решение, конференция не установила процедуру расчленения или хотя бы его примерные территориальные контуры.</w:t>
      </w:r>
    </w:p>
    <w:p w14:paraId="578D46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Рузвельт и Черчиль предложили предоставить Франции зону оккупации в Германии, причем Рузвельт подчеркнул, что американские войска не останутся в Европе дольше двух лет. Однако Сталин не хотел включать Францию в Контрольную Комиссию, и Рузвельт поначалу с готовностью с ним согласился. Ни Рузвельт, ни Сталин включать Францию в число великих держав не хотели. Однако в конце концов Рузвельт заявил, что если включить Францию в Контрольную Комиссию, то это заставит де Голля быть более уступчивым. Сталин, которому пошли навстречу в других вопросах, согласился.</w:t>
      </w:r>
    </w:p>
    <w:p w14:paraId="61E434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Советская сторона подняла вопрос о репарациях, предлагая две формы их: вывоз оборудования и ежегодные платежи. Она также предложила создать комиссию по репарациям в Москве. Однако конечная сумма репараций установлена не была. На последнем настаивала британская сторона; Рузвельт же благожелательно воспринял советское предложение определить общую сумму репараций в 20 миллиардов долларов, из которых 50 процентов должны были быть выплачены Советскому Союзу.</w:t>
      </w:r>
    </w:p>
    <w:p w14:paraId="0AB891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Усеченное советское предложение о членстве советских республик в ООН было принято, однако их число было ограничено двумя (Молотов предлагал две-три - Украину, Белоруссию и Литву, мотивируя это тем, что Британское Содружество представлено в полном составе). Было решено провести учредительную конференцию ООН в США в апреле. Советская сторона согласилась с американским предложением, согласно которому постоянный член Совета Безопасности не мог голосовать, если вопрос касался его. Рузвельт воспринял советскую уступку с воодушевлением.</w:t>
      </w:r>
    </w:p>
    <w:p w14:paraId="65A9EF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Рузвельт серьезно относился к принципу опеки ООН над колониальными территориями. Когда американская сторона представила соответствующий документ в Ялте, Черчиль вознегодовал. Он заявил, что не допустит вмешательства в дела Британской империи. Как, вопрошал Черчиль, апеллируя к СССР, отнесся бы Сталин к предложению интернационализировать Крым? Американская сторона, отступая, заявила, что в виду имелись территории, отвоеванные у врага, - например, острова в Тихом океане. Согласились на том, что американское предложение распространяется на подмандатные территории Лиги Наций, территории, отобранные у противника, и территории, которые добровольно согласятся на надзор ООН.</w:t>
      </w:r>
    </w:p>
    <w:p w14:paraId="4359406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Конференция обсудила ряд вопросов, связанных с малыми европейскими государствами. Сталин не оспаривал британо-американского контроля над Италией, в которой все еще шли бои.</w:t>
      </w:r>
    </w:p>
    <w:p w14:paraId="5209AE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Ялте был, в общем, подтвержден паритет СССР и Великобритании в отношении Югославии, хотя практическое урегулирование ситуации в Югославии было предусмотрено не так, как его хотел видеть Черчиль. Черчиля беспокоило также территориальное урегулирование между Югославией и Австрией и Югославией и Италией. В Ялте было решено, что эти проблемы будут обсуждаться по обычным дипломатическим каналам.</w:t>
      </w:r>
    </w:p>
    <w:p w14:paraId="586DC0F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Аналогичное решение было принято и по жалобам американской и британской сторон на то, что СССР не консультировался с ними в решении политических проблем Румынии и Болгарии. Ситуация в Венгрии, где советская сторона опять-таки исключила западных союзников из процесса политического урегулирования, подробно не обсуждалась.</w:t>
      </w:r>
    </w:p>
    <w:p w14:paraId="05915C3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общем, в Ялте de facto подразумевалось, что вся Восточная Европа остается в советской сфере влияния. Это было отходом от "процентной дипломатии", однако Великобритания могла надеяться на некоторую корректировку советской позиции в ходе послевоенного урегулирования.</w:t>
      </w:r>
    </w:p>
    <w:p w14:paraId="348A72B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Американская сторона представила в Ялте документ, названный "Декларация об освобожденной Европе". Она основывалась на тех же демократических принципах, что и предшествующие документы того же порядка. Главы союзных правительств, в частности, обязались согласовывать друг с другом свою политику по разрешению демократическими методами политических и экономических проблем освобожденных стран в период "временной" нестабильности. Союзники обязались создавать условия для установления демократических форм правления через свободные выборы. Декларация была принята. Однако она оставалась голословным документом, не имеющим практической ценности.</w:t>
      </w:r>
    </w:p>
    <w:p w14:paraId="3E5F585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Без всякого энтузиазма участники конференции взялись обсуждать польский вопрос. К этому времени просоветское правительство уже перебралось в Варшаву из Люблина, но по-прежнему именовалось западными державами "люблинским".</w:t>
      </w:r>
    </w:p>
    <w:p w14:paraId="6ACD634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Рузвельт, поддержанный Черчилем, предложил, чтобы СССР вернул Польше Львов. Однако и Рузвельта, и Черчиля вопрос о польских границах занимал не слишком; польская независимость - вот что стояло на повестке дня. Сталин повторил свою позицию: западная граница Польши должна быть передвинута, восточная - проходить по линии Керзона, варшавское правительство с польским лондонским дела иметь не будет. Черчиль заявил, что, по его сведению, люблинское правительство представляет взгляды не больше трети поляков, и ситуация может привести к кровопролитию, арестам и депортациям. Сталин согласился на включение в польское временное правительство некоторых "демократических" лидеров из польских эмигрантских кругов.</w:t>
      </w:r>
    </w:p>
    <w:p w14:paraId="6466EB9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Рузвельт предлагал создание президентского совета в Польше, состоящего из представителей различных сил, который бы сформировал польское правительство, однако вскоре снял свое предложение. Последовали долгие дискуссии. В конечном счете было решено реорганизовать временное польское правительство на "широкой демократической основе" и провести как можно скорее свободные выборы. Все три державы обязались установить дипломатические отношения с реорганизованным правительством. Восточная граница Польши определялась по линии Керзона; территориальные приращения за счет Германии были упомянуты расплывчато. Окончательное определение западной границы Польши откладывалось до мирной конференции.</w:t>
      </w:r>
    </w:p>
    <w:p w14:paraId="5B69EF3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Было заключено соглашение по вступлению СССР в войну против Японии через два-три месяца после окончания войны в Европе. В ходе раздельных переговоров Сталина с Рузвельтом и Черчилем была достигнута договоренность об усилении позиций СССР на Дальнем Востоке. Сталин выдвинул следующие условия: сохранение статуса Монголии, возвращение России Южного Сахалина и прилегающих островов, интернационализация порта Далянь (Дальний), восстановление военно-морской базы в Порт-Артуре, совместное советско-китайское владение КВЖД и ЮМЖД, передача СССР Курильских островов. По всем этим вопросам с западной стороны инициатива уступки принадлежала Рузвельту (3871).</w:t>
      </w:r>
    </w:p>
    <w:p w14:paraId="0A0B74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Общая стоимость претензий СССР к Германии составляла 750 млрд. Долл., но И.В.С. ее не озвучил, т.к. запад мог обвинить его в приказе все сжигать перед отступлением (4301).</w:t>
      </w:r>
    </w:p>
    <w:p w14:paraId="7479FEA5" w14:textId="77777777" w:rsidR="00C2313B" w:rsidRPr="00F90EAE" w:rsidRDefault="00C2313B" w:rsidP="00F90EAE">
      <w:pPr>
        <w:autoSpaceDE w:val="0"/>
        <w:autoSpaceDN w:val="0"/>
        <w:adjustRightInd w:val="0"/>
        <w:jc w:val="both"/>
        <w:rPr>
          <w:color w:val="000000" w:themeColor="text1"/>
          <w:sz w:val="16"/>
          <w:szCs w:val="16"/>
        </w:rPr>
      </w:pPr>
    </w:p>
    <w:p w14:paraId="072AFB21" w14:textId="77777777" w:rsidR="003D013D" w:rsidRPr="00F90EAE" w:rsidRDefault="003D013D" w:rsidP="00F90EAE">
      <w:pPr>
        <w:jc w:val="both"/>
        <w:rPr>
          <w:color w:val="000000" w:themeColor="text1"/>
          <w:sz w:val="16"/>
          <w:szCs w:val="16"/>
        </w:rPr>
      </w:pPr>
      <w:r w:rsidRPr="00F90EAE">
        <w:rPr>
          <w:bCs/>
          <w:color w:val="000000" w:themeColor="text1"/>
          <w:sz w:val="16"/>
          <w:szCs w:val="16"/>
        </w:rPr>
        <w:t>4 февраля</w:t>
      </w:r>
      <w:r w:rsidRPr="00F90EAE">
        <w:rPr>
          <w:color w:val="000000" w:themeColor="text1"/>
          <w:sz w:val="16"/>
          <w:szCs w:val="16"/>
        </w:rPr>
        <w:t xml:space="preserve"> в 1945 году в Ливадии под Ялтой открылась Конференция глав правительств трех великих держав антигитлеровской коалиции во Второй мировой войне - СССР, США и Великобритании. Конференция проходила до 11 февраля 1945 года. В ее работе приняли участие Председатель Совета Народных Комиссаров И.В.Сталин, Президент США Ф.Рузвельт, и премьер-министр Великобритании У.Черчилль, министры иностранных дел трех держав В.Молотов, Э.Стеттиниус, А.Иден, представители генеральных штабов. На Крымской (Ялтинской) конференции были определены и согласованы военные планы союзников и намечены основные принципы послевоенной политики с целью создания прочного мира и системы международной безопасности. Участники Крымской конференции объявили своей целью уничтожение германского милитаризма и нацизма, приняли решения о создании в Германии зон оккупации трёх держав (а также Франции, в случае её согласия) и общегерманского контрольного органа союзных держав, о взыскании с Германии репараций, о создании ООН и др. СССР выразил согласие вступить в войну против Японии через 2—3 месяца после окончания войны в Европе (15030).</w:t>
      </w:r>
    </w:p>
    <w:p w14:paraId="16F0C5C8" w14:textId="77777777" w:rsidR="003D013D" w:rsidRPr="00F90EAE" w:rsidRDefault="003D013D" w:rsidP="00F90EAE">
      <w:pPr>
        <w:jc w:val="both"/>
        <w:rPr>
          <w:color w:val="000000" w:themeColor="text1"/>
          <w:sz w:val="16"/>
          <w:szCs w:val="16"/>
        </w:rPr>
      </w:pPr>
    </w:p>
    <w:p w14:paraId="2DE0444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FA726BE" w14:textId="77777777" w:rsidR="00C2313B" w:rsidRPr="00F90EAE" w:rsidRDefault="00C2313B" w:rsidP="00F90EAE">
      <w:pPr>
        <w:autoSpaceDE w:val="0"/>
        <w:autoSpaceDN w:val="0"/>
        <w:adjustRightInd w:val="0"/>
        <w:jc w:val="both"/>
        <w:rPr>
          <w:iCs/>
          <w:color w:val="000000" w:themeColor="text1"/>
          <w:sz w:val="16"/>
          <w:szCs w:val="16"/>
        </w:rPr>
      </w:pPr>
    </w:p>
    <w:p w14:paraId="1A85F22F" w14:textId="77777777" w:rsidR="003D013D" w:rsidRPr="00F90EAE" w:rsidRDefault="003D013D" w:rsidP="00F90EAE">
      <w:pPr>
        <w:jc w:val="both"/>
        <w:rPr>
          <w:color w:val="000000" w:themeColor="text1"/>
          <w:sz w:val="16"/>
          <w:szCs w:val="16"/>
        </w:rPr>
      </w:pPr>
      <w:r w:rsidRPr="00F90EAE">
        <w:rPr>
          <w:bCs/>
          <w:color w:val="000000" w:themeColor="text1"/>
          <w:sz w:val="16"/>
          <w:szCs w:val="16"/>
        </w:rPr>
        <w:t>4 февраля</w:t>
      </w:r>
      <w:r w:rsidRPr="00F90EAE">
        <w:rPr>
          <w:color w:val="000000" w:themeColor="text1"/>
          <w:sz w:val="16"/>
          <w:szCs w:val="16"/>
        </w:rPr>
        <w:t xml:space="preserve"> в 1945 году во время полета на «Не.162М6» оторвалось хвостовое оперение, летчик Г.Вейдемейер погиб (15030).</w:t>
      </w:r>
    </w:p>
    <w:p w14:paraId="1FA8C088" w14:textId="77777777" w:rsidR="003D013D" w:rsidRPr="00F90EAE" w:rsidRDefault="003D013D" w:rsidP="00F90EAE">
      <w:pPr>
        <w:jc w:val="both"/>
        <w:rPr>
          <w:color w:val="000000" w:themeColor="text1"/>
          <w:sz w:val="16"/>
          <w:szCs w:val="16"/>
        </w:rPr>
      </w:pPr>
    </w:p>
    <w:p w14:paraId="3518EF35" w14:textId="77777777" w:rsidR="000510C1" w:rsidRPr="00F90EAE" w:rsidRDefault="000510C1" w:rsidP="00F90EAE">
      <w:pPr>
        <w:jc w:val="both"/>
        <w:rPr>
          <w:color w:val="0070C0"/>
          <w:sz w:val="16"/>
          <w:szCs w:val="16"/>
        </w:rPr>
      </w:pPr>
      <w:r w:rsidRPr="00F90EAE">
        <w:rPr>
          <w:color w:val="0070C0"/>
          <w:sz w:val="16"/>
          <w:szCs w:val="16"/>
        </w:rPr>
        <w:t>4 февраля 1945 реактивный истребитель Gloster Meteor F.3 Королевских ВВС отправляется в Мельсбрук в Бельгии для работы в составе ВВС (20371).</w:t>
      </w:r>
    </w:p>
    <w:p w14:paraId="189D95A1" w14:textId="77777777" w:rsidR="000510C1" w:rsidRPr="00F90EAE" w:rsidRDefault="000510C1" w:rsidP="00F90EAE">
      <w:pPr>
        <w:jc w:val="both"/>
        <w:rPr>
          <w:color w:val="0070C0"/>
          <w:sz w:val="16"/>
          <w:szCs w:val="16"/>
        </w:rPr>
      </w:pPr>
    </w:p>
    <w:p w14:paraId="27EED18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Бельгия полностью освобождена от фашистов (4962).</w:t>
      </w:r>
    </w:p>
    <w:p w14:paraId="0FE85999"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FC1EF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немцы эвакуировались из Бельгии (2100).</w:t>
      </w:r>
    </w:p>
    <w:p w14:paraId="2E03DAE4" w14:textId="77777777" w:rsidR="00C2313B" w:rsidRPr="00F90EAE" w:rsidRDefault="00C2313B" w:rsidP="00F90EAE">
      <w:pPr>
        <w:autoSpaceDE w:val="0"/>
        <w:autoSpaceDN w:val="0"/>
        <w:adjustRightInd w:val="0"/>
        <w:jc w:val="both"/>
        <w:rPr>
          <w:color w:val="000000" w:themeColor="text1"/>
          <w:sz w:val="16"/>
          <w:szCs w:val="16"/>
        </w:rPr>
      </w:pPr>
    </w:p>
    <w:p w14:paraId="64F12D99"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февраля 1945 находившийся в тюремном госпитале в Уэльсе, бывший заместитель Гитлера Рудольф Гесс попытался вскрыть себе вены хлебным ножом (4962).</w:t>
      </w:r>
    </w:p>
    <w:p w14:paraId="136F3F7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2DE1AB5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февраля 1945 на ТО американские бомбардировщики проведи экспериментальную бомбардировку Кобе с низкой высоты зажигательными бомбами и потом стали применять широко (3907,255).</w:t>
      </w:r>
    </w:p>
    <w:p w14:paraId="4577FC68" w14:textId="77777777" w:rsidR="00C2313B" w:rsidRPr="00F90EAE" w:rsidRDefault="00C2313B" w:rsidP="00F90EAE">
      <w:pPr>
        <w:autoSpaceDE w:val="0"/>
        <w:autoSpaceDN w:val="0"/>
        <w:adjustRightInd w:val="0"/>
        <w:jc w:val="both"/>
        <w:rPr>
          <w:color w:val="000000" w:themeColor="text1"/>
          <w:sz w:val="16"/>
          <w:szCs w:val="16"/>
        </w:rPr>
      </w:pPr>
    </w:p>
    <w:p w14:paraId="271AF1A8" w14:textId="77777777" w:rsidR="003D013D" w:rsidRPr="00F90EAE" w:rsidRDefault="003D013D" w:rsidP="00F90EAE">
      <w:pPr>
        <w:jc w:val="both"/>
        <w:rPr>
          <w:color w:val="000000" w:themeColor="text1"/>
          <w:sz w:val="16"/>
          <w:szCs w:val="16"/>
        </w:rPr>
      </w:pPr>
      <w:r w:rsidRPr="00F90EAE">
        <w:rPr>
          <w:bCs/>
          <w:color w:val="000000" w:themeColor="text1"/>
          <w:sz w:val="16"/>
          <w:szCs w:val="16"/>
        </w:rPr>
        <w:t>4 февраля</w:t>
      </w:r>
      <w:r w:rsidRPr="00F90EAE">
        <w:rPr>
          <w:color w:val="000000" w:themeColor="text1"/>
          <w:sz w:val="16"/>
          <w:szCs w:val="16"/>
        </w:rPr>
        <w:t xml:space="preserve"> в 1945 году на Тихом океане американские бомбардировщики проводят "экспериментальную" бомбардировку японского города Кобе с низкой высоты зажигательными бомбами. Успех операции дает основание для применения этого способа бомбометания в возрастающем масштабе при налетах на другие японские города (15030).</w:t>
      </w:r>
    </w:p>
    <w:p w14:paraId="4FB585A2" w14:textId="77777777" w:rsidR="003D013D" w:rsidRPr="00F90EAE" w:rsidRDefault="003D013D" w:rsidP="00F90EAE">
      <w:pPr>
        <w:jc w:val="both"/>
        <w:rPr>
          <w:color w:val="000000" w:themeColor="text1"/>
          <w:sz w:val="16"/>
          <w:szCs w:val="16"/>
        </w:rPr>
      </w:pPr>
    </w:p>
    <w:p w14:paraId="6DDCAB27" w14:textId="77777777" w:rsidR="000510C1" w:rsidRPr="00F90EAE" w:rsidRDefault="000510C1" w:rsidP="00F90EAE">
      <w:pPr>
        <w:jc w:val="both"/>
        <w:rPr>
          <w:color w:val="0070C0"/>
          <w:sz w:val="16"/>
          <w:szCs w:val="16"/>
        </w:rPr>
      </w:pPr>
      <w:r w:rsidRPr="00F90EAE">
        <w:rPr>
          <w:color w:val="0070C0"/>
          <w:sz w:val="16"/>
          <w:szCs w:val="16"/>
        </w:rPr>
        <w:t>4 февраля 1945 британский Тихоокеанский флот прибывает в Фримантл, Австралия (20371).</w:t>
      </w:r>
    </w:p>
    <w:p w14:paraId="459EF798" w14:textId="77777777" w:rsidR="000510C1" w:rsidRPr="00F90EAE" w:rsidRDefault="000510C1" w:rsidP="00F90EAE">
      <w:pPr>
        <w:jc w:val="both"/>
        <w:rPr>
          <w:color w:val="0070C0"/>
          <w:sz w:val="16"/>
          <w:szCs w:val="16"/>
        </w:rPr>
      </w:pPr>
    </w:p>
    <w:p w14:paraId="01D47C4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FAFB2BD" w14:textId="77777777" w:rsidR="00C2313B" w:rsidRPr="00F90EAE" w:rsidRDefault="00C2313B" w:rsidP="00F90EAE">
      <w:pPr>
        <w:autoSpaceDE w:val="0"/>
        <w:autoSpaceDN w:val="0"/>
        <w:adjustRightInd w:val="0"/>
        <w:jc w:val="both"/>
        <w:rPr>
          <w:iCs/>
          <w:color w:val="000000" w:themeColor="text1"/>
          <w:sz w:val="16"/>
          <w:szCs w:val="16"/>
        </w:rPr>
      </w:pPr>
    </w:p>
    <w:p w14:paraId="2268D06F" w14:textId="77777777" w:rsidR="0032140A" w:rsidRPr="00F90EAE" w:rsidRDefault="0032140A" w:rsidP="00F90EAE">
      <w:pPr>
        <w:jc w:val="both"/>
        <w:rPr>
          <w:color w:val="000000" w:themeColor="text1"/>
          <w:sz w:val="16"/>
          <w:szCs w:val="16"/>
        </w:rPr>
      </w:pPr>
      <w:r w:rsidRPr="00F90EAE">
        <w:rPr>
          <w:color w:val="000000" w:themeColor="text1"/>
          <w:sz w:val="16"/>
          <w:szCs w:val="16"/>
        </w:rPr>
        <w:t>5 февраля 1945 г. директор завода №125 Свет обратился в НИИ ВВС с просьбой дать согласие на изготовление гомогенной брони толщиной 15 и 8 мм из стали ХД (содержание углерода 0,28-0,34%). Эту сталь предполага</w:t>
      </w:r>
      <w:r w:rsidRPr="00F90EAE">
        <w:rPr>
          <w:color w:val="000000" w:themeColor="text1"/>
          <w:sz w:val="16"/>
          <w:szCs w:val="16"/>
        </w:rPr>
        <w:softHyphen/>
        <w:t>лось выпускать вплоть до решения вопроса о принятии на вооружение новых марок стали и освоения их заводами Наркомчермета и НКАП.</w:t>
      </w:r>
    </w:p>
    <w:p w14:paraId="2A10FFA7" w14:textId="77777777" w:rsidR="0032140A" w:rsidRPr="00F90EAE" w:rsidRDefault="0032140A" w:rsidP="00F90EAE">
      <w:pPr>
        <w:jc w:val="both"/>
        <w:rPr>
          <w:color w:val="000000" w:themeColor="text1"/>
          <w:sz w:val="16"/>
          <w:szCs w:val="16"/>
        </w:rPr>
      </w:pPr>
      <w:r w:rsidRPr="00F90EAE">
        <w:rPr>
          <w:color w:val="000000" w:themeColor="text1"/>
          <w:sz w:val="16"/>
          <w:szCs w:val="16"/>
        </w:rPr>
        <w:t>Одновременно он просил включить сталь ХД-693 в программу государственных испы</w:t>
      </w:r>
      <w:r w:rsidRPr="00F90EAE">
        <w:rPr>
          <w:color w:val="000000" w:themeColor="text1"/>
          <w:sz w:val="16"/>
          <w:szCs w:val="16"/>
        </w:rPr>
        <w:softHyphen/>
        <w:t>таний новых марок гомогенной авиаброни для всех толщин бронекорпуса Ил-2 и бронезащи- ты других самолетов.</w:t>
      </w:r>
    </w:p>
    <w:p w14:paraId="692C6E86" w14:textId="77777777" w:rsidR="0032140A" w:rsidRPr="00F90EAE" w:rsidRDefault="0032140A" w:rsidP="00F90EAE">
      <w:pPr>
        <w:jc w:val="both"/>
        <w:rPr>
          <w:color w:val="000000" w:themeColor="text1"/>
          <w:sz w:val="16"/>
          <w:szCs w:val="16"/>
        </w:rPr>
      </w:pPr>
      <w:r w:rsidRPr="00F90EAE">
        <w:rPr>
          <w:color w:val="000000" w:themeColor="text1"/>
          <w:sz w:val="16"/>
          <w:szCs w:val="16"/>
        </w:rPr>
        <w:t>В обоснование позиции завода приводи</w:t>
      </w:r>
      <w:r w:rsidRPr="00F90EAE">
        <w:rPr>
          <w:color w:val="000000" w:themeColor="text1"/>
          <w:sz w:val="16"/>
          <w:szCs w:val="16"/>
        </w:rPr>
        <w:softHyphen/>
        <w:t>лись следующие сведения. При получении за</w:t>
      </w:r>
      <w:r w:rsidRPr="00F90EAE">
        <w:rPr>
          <w:color w:val="000000" w:themeColor="text1"/>
          <w:sz w:val="16"/>
          <w:szCs w:val="16"/>
        </w:rPr>
        <w:softHyphen/>
        <w:t>каза ВВС на изготовление 15-мм бронеспинки для самолета Ту-2 оказалось, что серийная сталь КП-2 (АБ-2. -</w:t>
      </w:r>
      <w:r w:rsidRPr="00F90EAE">
        <w:rPr>
          <w:rStyle w:val="aff6"/>
          <w:rFonts w:ascii="Times New Roman" w:hAnsi="Times New Roman" w:cs="Times New Roman"/>
          <w:i w:val="0"/>
          <w:color w:val="000000" w:themeColor="text1"/>
        </w:rPr>
        <w:t xml:space="preserve"> Прим. авт.)</w:t>
      </w:r>
      <w:r w:rsidRPr="00F90EAE">
        <w:rPr>
          <w:color w:val="000000" w:themeColor="text1"/>
          <w:sz w:val="16"/>
          <w:szCs w:val="16"/>
        </w:rPr>
        <w:t xml:space="preserve"> такой толщи</w:t>
      </w:r>
      <w:r w:rsidRPr="00F90EAE">
        <w:rPr>
          <w:color w:val="000000" w:themeColor="text1"/>
          <w:sz w:val="16"/>
          <w:szCs w:val="16"/>
        </w:rPr>
        <w:softHyphen/>
        <w:t>ны дает расколы и трещины при обстреле пу</w:t>
      </w:r>
      <w:r w:rsidRPr="00F90EAE">
        <w:rPr>
          <w:color w:val="000000" w:themeColor="text1"/>
          <w:sz w:val="16"/>
          <w:szCs w:val="16"/>
        </w:rPr>
        <w:softHyphen/>
        <w:t>лями калибра 12,7 мм. Поэтому завод №125 перешел на гомогенную броню марки ХД, ко</w:t>
      </w:r>
      <w:r w:rsidRPr="00F90EAE">
        <w:rPr>
          <w:color w:val="000000" w:themeColor="text1"/>
          <w:sz w:val="16"/>
          <w:szCs w:val="16"/>
        </w:rPr>
        <w:softHyphen/>
        <w:t>торая при полигонных испытаниях продемон</w:t>
      </w:r>
      <w:r w:rsidRPr="00F90EAE">
        <w:rPr>
          <w:color w:val="000000" w:themeColor="text1"/>
          <w:sz w:val="16"/>
          <w:szCs w:val="16"/>
        </w:rPr>
        <w:softHyphen/>
        <w:t>стрировала полное соответствие техническим условиям ВВС. Опыт работы в течение 1944 г. показал, что сталь ХД обладает отличной живу</w:t>
      </w:r>
      <w:r w:rsidRPr="00F90EAE">
        <w:rPr>
          <w:color w:val="000000" w:themeColor="text1"/>
          <w:sz w:val="16"/>
          <w:szCs w:val="16"/>
        </w:rPr>
        <w:softHyphen/>
        <w:t>честью, а процент некондиционных поражений не превышает среднего уровня для гомоген</w:t>
      </w:r>
      <w:r w:rsidRPr="00F90EAE">
        <w:rPr>
          <w:color w:val="000000" w:themeColor="text1"/>
          <w:sz w:val="16"/>
          <w:szCs w:val="16"/>
        </w:rPr>
        <w:softHyphen/>
        <w:t>ной брони из КП-2.</w:t>
      </w:r>
    </w:p>
    <w:p w14:paraId="6899081C" w14:textId="77777777" w:rsidR="0032140A" w:rsidRPr="00F90EAE" w:rsidRDefault="0032140A" w:rsidP="00F90EAE">
      <w:pPr>
        <w:jc w:val="both"/>
        <w:rPr>
          <w:color w:val="000000" w:themeColor="text1"/>
          <w:sz w:val="16"/>
          <w:szCs w:val="16"/>
        </w:rPr>
      </w:pPr>
      <w:r w:rsidRPr="00F90EAE">
        <w:rPr>
          <w:color w:val="000000" w:themeColor="text1"/>
          <w:sz w:val="16"/>
          <w:szCs w:val="16"/>
        </w:rPr>
        <w:t>В 1945 г. завод начал серийный выпуск уд</w:t>
      </w:r>
      <w:r w:rsidRPr="00F90EAE">
        <w:rPr>
          <w:color w:val="000000" w:themeColor="text1"/>
          <w:sz w:val="16"/>
          <w:szCs w:val="16"/>
        </w:rPr>
        <w:softHyphen/>
        <w:t>линенных бронекорпусов самолета Ил-2У. На них толщину нижних боковых крышек капота мотора по требованию ГК НИИ ВВС увеличили с 4 до 8 мм для надежной защиты от снарядов малокалиберной зенитной артиллерии и пуль крупного калибра. Поэтому следовало выбрать для таких деталей марку стали, не дающую хрупких разрушений при обстреле снарядами и пулями калибра 12,7 и 15 мм.</w:t>
      </w:r>
    </w:p>
    <w:p w14:paraId="51D8F68F" w14:textId="77777777" w:rsidR="0032140A" w:rsidRPr="00F90EAE" w:rsidRDefault="0032140A" w:rsidP="00F90EAE">
      <w:pPr>
        <w:jc w:val="both"/>
        <w:rPr>
          <w:color w:val="000000" w:themeColor="text1"/>
          <w:sz w:val="16"/>
          <w:szCs w:val="16"/>
        </w:rPr>
      </w:pPr>
      <w:r w:rsidRPr="00F90EAE">
        <w:rPr>
          <w:color w:val="000000" w:themeColor="text1"/>
          <w:sz w:val="16"/>
          <w:szCs w:val="16"/>
        </w:rPr>
        <w:t>Такой маркой оказалась обработанная в гомогенном виде сталь ХД. На полигонных ис</w:t>
      </w:r>
      <w:r w:rsidRPr="00F90EAE">
        <w:rPr>
          <w:color w:val="000000" w:themeColor="text1"/>
          <w:sz w:val="16"/>
          <w:szCs w:val="16"/>
        </w:rPr>
        <w:softHyphen/>
        <w:t>пытаниях пяти различных плавок этой стали в от 0,29 до 0,37% они не дали ни одной трещи</w:t>
      </w:r>
      <w:r w:rsidRPr="00F90EAE">
        <w:rPr>
          <w:color w:val="000000" w:themeColor="text1"/>
          <w:sz w:val="16"/>
          <w:szCs w:val="16"/>
        </w:rPr>
        <w:softHyphen/>
        <w:t>ны или раскола при обстреле отечественны</w:t>
      </w:r>
      <w:r w:rsidRPr="00F90EAE">
        <w:rPr>
          <w:color w:val="000000" w:themeColor="text1"/>
          <w:sz w:val="16"/>
          <w:szCs w:val="16"/>
        </w:rPr>
        <w:softHyphen/>
        <w:t>ми и немецкими пулями и снарядами калибра 12,7,15 и 20 мм (17479).</w:t>
      </w:r>
    </w:p>
    <w:p w14:paraId="0B77A45E" w14:textId="77777777" w:rsidR="0032140A" w:rsidRPr="00F90EAE" w:rsidRDefault="0032140A" w:rsidP="00F90EAE">
      <w:pPr>
        <w:jc w:val="both"/>
        <w:rPr>
          <w:color w:val="000000" w:themeColor="text1"/>
          <w:sz w:val="16"/>
          <w:szCs w:val="16"/>
        </w:rPr>
      </w:pPr>
    </w:p>
    <w:p w14:paraId="07E96A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20A7FE8E" w14:textId="77777777" w:rsidR="00C2313B" w:rsidRPr="00F90EAE" w:rsidRDefault="00C2313B" w:rsidP="00F90EAE">
      <w:pPr>
        <w:autoSpaceDE w:val="0"/>
        <w:autoSpaceDN w:val="0"/>
        <w:adjustRightInd w:val="0"/>
        <w:jc w:val="both"/>
        <w:rPr>
          <w:color w:val="000000" w:themeColor="text1"/>
          <w:sz w:val="16"/>
          <w:szCs w:val="16"/>
        </w:rPr>
      </w:pPr>
    </w:p>
    <w:p w14:paraId="67DD54B1"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летчик М.И.Иванов испытывал ВМГ модифицированного высотного самолета </w:t>
      </w:r>
      <w:hyperlink r:id="rId28" w:tgtFrame="_blank" w:history="1">
        <w:r w:rsidRPr="00F90EAE">
          <w:rPr>
            <w:color w:val="000000" w:themeColor="text1"/>
            <w:sz w:val="16"/>
            <w:szCs w:val="16"/>
          </w:rPr>
          <w:t xml:space="preserve">«Як-3ПД» </w:t>
        </w:r>
      </w:hyperlink>
      <w:r w:rsidRPr="00F90EAE">
        <w:rPr>
          <w:color w:val="000000" w:themeColor="text1"/>
          <w:sz w:val="16"/>
          <w:szCs w:val="16"/>
        </w:rPr>
        <w:t xml:space="preserve">в двух непродолжительных полетах с Центрального аэродрома 5 февраля (с винтом «СВ-02») и 18 февраля (с винтом «Л-2»). Фактически полетная масса составляла 2616 кг с 270 кг горючего. Была достигнута высота 9000 м, на которой давление бензина упало до нуля. Двигатель давал перебои. </w:t>
      </w:r>
      <w:hyperlink r:id="rId29" w:tgtFrame="_blank" w:history="1">
        <w:r w:rsidRPr="00F90EAE">
          <w:rPr>
            <w:color w:val="000000" w:themeColor="text1"/>
            <w:sz w:val="16"/>
            <w:szCs w:val="16"/>
          </w:rPr>
          <w:t xml:space="preserve">«Як-ЗПД» </w:t>
        </w:r>
      </w:hyperlink>
      <w:r w:rsidRPr="00F90EAE">
        <w:rPr>
          <w:color w:val="000000" w:themeColor="text1"/>
          <w:sz w:val="16"/>
          <w:szCs w:val="16"/>
        </w:rPr>
        <w:t>серийно не строился, но исследования в ЛИИ продолжались. Так, в марте 1947 г. был выпущен отчет об исследовании работы в высотных условиях водо - и маслорадиаторов на самолете «Як-ЗПД» с двигателем «ВК-105ПВ» (15031).</w:t>
      </w:r>
    </w:p>
    <w:p w14:paraId="3106F29A" w14:textId="77777777" w:rsidR="003D013D" w:rsidRPr="00F90EAE" w:rsidRDefault="003D013D" w:rsidP="00F90EAE">
      <w:pPr>
        <w:jc w:val="both"/>
        <w:rPr>
          <w:color w:val="000000" w:themeColor="text1"/>
          <w:sz w:val="16"/>
          <w:szCs w:val="16"/>
        </w:rPr>
      </w:pPr>
    </w:p>
    <w:p w14:paraId="7295D1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года летчик М.И. Иванов начал заводские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В тот день он проверил работу силовой установки с серийным винтом ВИШ-105СВ-02. Всасывающий патрубок двигателя находился под фюзеляжем перед туннелем водорадиатора (как на Як-9ПД), а двигатель для уменьшения температуры воздуха за нагнетателем был оборудован системой впрыска 50%-ной спирто-вод- ной смеси, располагавшейся между ступенями нагнетателя.</w:t>
      </w:r>
    </w:p>
    <w:p w14:paraId="789E16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3C0479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Спустя две недели, 18 февраля, машину опробовали с винтом ВИШ-105ТЛ-2, при этом была достигнута высота 9000 метров, но из-за падения давления бензина до нуля полет пришлось прекратить.</w:t>
      </w:r>
    </w:p>
    <w:p w14:paraId="62872A1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7667BE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51477D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D475D8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5DC1B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8086F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69B8DF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28A316AD" w14:textId="77777777" w:rsidR="00C2313B" w:rsidRPr="00F90EAE" w:rsidRDefault="00C2313B" w:rsidP="00F90EAE">
      <w:pPr>
        <w:autoSpaceDE w:val="0"/>
        <w:autoSpaceDN w:val="0"/>
        <w:adjustRightInd w:val="0"/>
        <w:jc w:val="both"/>
        <w:rPr>
          <w:color w:val="000000" w:themeColor="text1"/>
          <w:sz w:val="16"/>
          <w:szCs w:val="16"/>
        </w:rPr>
      </w:pPr>
    </w:p>
    <w:p w14:paraId="13A9B6A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вышел приказ НКАП N 42сс:</w:t>
      </w:r>
    </w:p>
    <w:p w14:paraId="70D1DDC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1944 г. в результате совместной работы завода 22 и ОКБ ГК В.М.М., достигнуты положительные результаты повышения скорости серийного самолета Пе-2. Максимальная скорость доведена до 530 км/час.</w:t>
      </w:r>
    </w:p>
    <w:p w14:paraId="3E3691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Наряду с этим, отмечено невыполнение заводом 22 и ОКБ В.М.М. задания по выпуску к 15 октября 1944 5 самолетов Пе-2 с ВК-107А.</w:t>
      </w:r>
    </w:p>
    <w:p w14:paraId="4E78FD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целях дальнейшего повышения скорости серийного самолета Пе-2 и подготовки производства к переходу на выпуск самолетов с ВК-107А:</w:t>
      </w:r>
    </w:p>
    <w:p w14:paraId="1299202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22 Окулову и ГК В.М.М.:</w:t>
      </w:r>
    </w:p>
    <w:p w14:paraId="1772403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обеспечить в 1945 выпуск серийных самолетов Пе-2 с макс. скоростью, равной 550 км/час, для чего утвердить представленный заводом 22 и ОКБ В.М.М. перечень мероприятий (см. приложение).</w:t>
      </w:r>
    </w:p>
    <w:p w14:paraId="151680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построить 2 самолета Пе-2 с внесением в них утвержденных мною мероприятий, направленных к дельнейшему повышению макс. скорости самолета Пе-2, и передать их к 1 мая 1945 в ЛИИ на испытания.</w:t>
      </w:r>
    </w:p>
    <w:p w14:paraId="1B5DFDF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всемерно ускорить выпуск 5 самолетов Пе-2 с ВК-107А, разрешив заводу 22 на одном самолете установить стрелковое вооружение по чертежам ГК В.М.М. Одновременно с этим вести дальнейшую подготовку производства для серийного выпуска самолетов Пе-2 с ВК-107А.</w:t>
      </w:r>
    </w:p>
    <w:p w14:paraId="7FE4A0B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ГК В.М.М.:</w:t>
      </w:r>
    </w:p>
    <w:p w14:paraId="00F7020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предъявить на гос. испытания к 25 апреля 1945 один экз. самолета с ВК-108 с увеличенным бомбовым отсеком и стрелковым вооружением по типу серийного самолета Пе-2.</w:t>
      </w:r>
    </w:p>
    <w:p w14:paraId="1F155CC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б) предъявить на гос. испытания к 31 марта 1945 самолет Пе-2 с ВК-107А, установив на нем стрелковое вооружение по типу серийного самолета Пе-2." (1889,12).</w:t>
      </w:r>
    </w:p>
    <w:p w14:paraId="1195D5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Перечень мероприятий по увеличению макс. скорости серийного самолета Пе-2 с 2хВК-105ПФ:</w:t>
      </w:r>
    </w:p>
    <w:p w14:paraId="3C3CC5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установить новые винты с целью увеличения макс. скорости самолета</w:t>
      </w:r>
    </w:p>
    <w:p w14:paraId="028292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Изменить положение оси вращения створок жалюзи водорадиаторов с целью улучшения аэродинамики самолета</w:t>
      </w:r>
    </w:p>
    <w:p w14:paraId="664554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Улучшить обтекание на индивидуальных выхлопных патрубках</w:t>
      </w:r>
    </w:p>
    <w:p w14:paraId="0CB651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Установить улучшенную жароупорную крышку капота</w:t>
      </w:r>
    </w:p>
    <w:p w14:paraId="495A4BB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Ликвидировать ступеньку между коком и передним диском капота</w:t>
      </w:r>
    </w:p>
    <w:p w14:paraId="2816B92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Снять из воздушного потока кронштейны крепления обтекателя патрубков к балке капота</w:t>
      </w:r>
    </w:p>
    <w:p w14:paraId="0AC96C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Улучшить стыки тоннелей водорадиатора в центроплане и крыле</w:t>
      </w:r>
    </w:p>
    <w:p w14:paraId="6C629C3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Устранить отсос створок люков шасси в полете.</w:t>
      </w:r>
    </w:p>
    <w:p w14:paraId="1E0F2D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т.п. до 23. Улучшить аэродинамику люковой стрелковой установки в боевом положении с открытыми створками." (Окулов, Мясищев) (1889,15).</w:t>
      </w:r>
    </w:p>
    <w:p w14:paraId="4757A434" w14:textId="77777777" w:rsidR="00C2313B" w:rsidRPr="00F90EAE" w:rsidRDefault="00C2313B" w:rsidP="00F90EAE">
      <w:pPr>
        <w:autoSpaceDE w:val="0"/>
        <w:autoSpaceDN w:val="0"/>
        <w:adjustRightInd w:val="0"/>
        <w:jc w:val="both"/>
        <w:rPr>
          <w:color w:val="000000" w:themeColor="text1"/>
          <w:sz w:val="16"/>
          <w:szCs w:val="16"/>
        </w:rPr>
      </w:pPr>
    </w:p>
    <w:p w14:paraId="084349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 вышел приказ НКАП N 42, в соответствии с которым В.М.М. предписывалось разработать и предъявить на государственные испытания 31 марта самолет Пе-2 с двигателями ВК-107А и усиленным вооружением, состоявшем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развивать скорость 625 км/ч на высоте 5900 м и летать на расстояние 2300 км с 1000 кг бомб на внутренней подвеске. Эту машину, получившую впоследствии обозначение Пе-2М, переделали из второго опытного Пе-2И. Кроме более мощного вооружения, в задней части фюзеляжа разместили кабину стрелка-радиста с усиленной бронезащитой и фонарем с улучшенным обзором. Изменили стреловидность передней и задней кромок крыла с одновременным увеличением площади законцовок. Новое шасси с увеличенным ходом амортизации упрощало посадку (3337).</w:t>
      </w:r>
    </w:p>
    <w:p w14:paraId="1870B240" w14:textId="77777777" w:rsidR="00C2313B" w:rsidRPr="00F90EAE" w:rsidRDefault="00C2313B" w:rsidP="00F90EAE">
      <w:pPr>
        <w:autoSpaceDE w:val="0"/>
        <w:autoSpaceDN w:val="0"/>
        <w:adjustRightInd w:val="0"/>
        <w:jc w:val="both"/>
        <w:rPr>
          <w:color w:val="000000" w:themeColor="text1"/>
          <w:sz w:val="16"/>
          <w:szCs w:val="16"/>
        </w:rPr>
      </w:pPr>
    </w:p>
    <w:p w14:paraId="36730B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февраля 1945 года вышел приказ НКАП № 42, в соответствии с которым предписывалось разрабо</w:t>
      </w:r>
      <w:r w:rsidRPr="00F90EAE">
        <w:rPr>
          <w:color w:val="000000" w:themeColor="text1"/>
          <w:sz w:val="16"/>
          <w:szCs w:val="16"/>
        </w:rPr>
        <w:softHyphen/>
        <w:t>тать и предъявить на государственные испытания 31 марта самолет Пе-2 с двигателями ВК-107А и уси</w:t>
      </w:r>
      <w:r w:rsidRPr="00F90EAE">
        <w:rPr>
          <w:color w:val="000000" w:themeColor="text1"/>
          <w:sz w:val="16"/>
          <w:szCs w:val="16"/>
        </w:rPr>
        <w:softHyphen/>
        <w:t>ленным вооружением, состоявшим из трех пушек Б-20. Одна из них, неподвижная, предназначалась для стрельбы вперед, две других — для обстрела верхней и нижней задних полусфер. Самолет должен был раз</w:t>
      </w:r>
      <w:r w:rsidRPr="00F90EAE">
        <w:rPr>
          <w:color w:val="000000" w:themeColor="text1"/>
          <w:sz w:val="16"/>
          <w:szCs w:val="16"/>
        </w:rPr>
        <w:softHyphen/>
        <w:t>вивать скорость 625 км/ч на высоте 5900 м и летать на расстояние 2300 км с 1000 кг бомб на внутренней под</w:t>
      </w:r>
      <w:r w:rsidRPr="00F90EAE">
        <w:rPr>
          <w:color w:val="000000" w:themeColor="text1"/>
          <w:sz w:val="16"/>
          <w:szCs w:val="16"/>
        </w:rPr>
        <w:softHyphen/>
        <w:t>веске. Эту машину, получившую впоследствии обо</w:t>
      </w:r>
      <w:r w:rsidRPr="00F90EAE">
        <w:rPr>
          <w:color w:val="000000" w:themeColor="text1"/>
          <w:sz w:val="16"/>
          <w:szCs w:val="16"/>
        </w:rPr>
        <w:softHyphen/>
        <w:t>значение Пе-2М, переделали из второго опытного Пе-2И. Кроме более мощного вооружения, в задней части фюзеляжа разместили кабину стрелка-радиста с уси</w:t>
      </w:r>
      <w:r w:rsidRPr="00F90EAE">
        <w:rPr>
          <w:color w:val="000000" w:themeColor="text1"/>
          <w:sz w:val="16"/>
          <w:szCs w:val="16"/>
        </w:rPr>
        <w:softHyphen/>
        <w:t>ленной бронезащитой и фонарем с улучшенным обзо</w:t>
      </w:r>
      <w:r w:rsidRPr="00F90EAE">
        <w:rPr>
          <w:color w:val="000000" w:themeColor="text1"/>
          <w:sz w:val="16"/>
          <w:szCs w:val="16"/>
        </w:rPr>
        <w:softHyphen/>
        <w:t>ром. Изменили стреловидность передней и задней кромок крыла с одновременным увеличением площа</w:t>
      </w:r>
      <w:r w:rsidRPr="00F90EAE">
        <w:rPr>
          <w:color w:val="000000" w:themeColor="text1"/>
          <w:sz w:val="16"/>
          <w:szCs w:val="16"/>
        </w:rPr>
        <w:softHyphen/>
        <w:t>ди законцовок. Новое шасси с увеличенным ходом амортизации упрощало посадку.</w:t>
      </w:r>
    </w:p>
    <w:p w14:paraId="769B8D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Второй Пе-2И, переделанный в вариант Пе-2М, по</w:t>
      </w:r>
      <w:r w:rsidRPr="00F90EAE">
        <w:rPr>
          <w:color w:val="000000" w:themeColor="text1"/>
          <w:sz w:val="16"/>
          <w:szCs w:val="16"/>
        </w:rPr>
        <w:softHyphen/>
        <w:t>строили к 1 марта и через шесть дней приказом НКАП № 92 для проведения заводских летных испытаний на</w:t>
      </w:r>
      <w:r w:rsidRPr="00F90EAE">
        <w:rPr>
          <w:color w:val="000000" w:themeColor="text1"/>
          <w:sz w:val="16"/>
          <w:szCs w:val="16"/>
        </w:rPr>
        <w:softHyphen/>
        <w:t>значили ведущим летчиком-испытателем Ф.Ф. Опад-чего. В состав испытательной бригады входили также ведущий инженер К. Попов, инженер летно-испыта-тельной станции А.И. Никонов, техник В.П. Белоусов и бортмеханик А. Артамошин.</w:t>
      </w:r>
    </w:p>
    <w:p w14:paraId="4887D52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целом результаты испытаний Пе-2М были удов</w:t>
      </w:r>
      <w:r w:rsidRPr="00F90EAE">
        <w:rPr>
          <w:color w:val="000000" w:themeColor="text1"/>
          <w:sz w:val="16"/>
          <w:szCs w:val="16"/>
        </w:rPr>
        <w:softHyphen/>
        <w:t>летворительные. Правда, много неприятностей опять-таки доставляли двигатели. В частности, в полете 25 апреля на высоте 4500 м загорелся правый двигатель. Летчик-испытатель А. Пальчиков сумел посадить ма</w:t>
      </w:r>
      <w:r w:rsidRPr="00F90EAE">
        <w:rPr>
          <w:color w:val="000000" w:themeColor="text1"/>
          <w:sz w:val="16"/>
          <w:szCs w:val="16"/>
        </w:rPr>
        <w:softHyphen/>
        <w:t>шину на аэродром и вместе с ведущим инженером Н.Лашкевичем ликвидировать пожар. В мае 1945 года проходил заводские испытания Пе-2М с двигателями ВК-108. В этом же месяце машина испытывалась в НИИ ВВС.</w:t>
      </w:r>
    </w:p>
    <w:p w14:paraId="1E0822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Много рекламаций было на стрелковые установки завода № 43, обладавшие низкой надежностью, что и стало главной причиной отказа от Пе-2М.</w:t>
      </w:r>
    </w:p>
    <w:p w14:paraId="390EA5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Пе-2И стал базовой машиной, на основе которой в ОКБ-22 разработали дальний истребитель сопровож</w:t>
      </w:r>
      <w:r w:rsidRPr="00F90EAE">
        <w:rPr>
          <w:color w:val="000000" w:themeColor="text1"/>
          <w:sz w:val="16"/>
          <w:szCs w:val="16"/>
        </w:rPr>
        <w:softHyphen/>
        <w:t>дения «ДИС» (№ 12), дневной бомбардировщик «ДБ» и высотный бомбардировщик «ВБ» (11446).</w:t>
      </w:r>
    </w:p>
    <w:p w14:paraId="01E8B31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72A9E8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 в приказе НКАП № 42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(4476).</w:t>
      </w:r>
    </w:p>
    <w:p w14:paraId="19110EA5" w14:textId="77777777" w:rsidR="00C2313B" w:rsidRPr="00F90EAE" w:rsidRDefault="00C2313B" w:rsidP="00F90EAE">
      <w:pPr>
        <w:autoSpaceDE w:val="0"/>
        <w:autoSpaceDN w:val="0"/>
        <w:adjustRightInd w:val="0"/>
        <w:jc w:val="both"/>
        <w:rPr>
          <w:color w:val="000000" w:themeColor="text1"/>
          <w:sz w:val="16"/>
          <w:szCs w:val="16"/>
        </w:rPr>
      </w:pPr>
    </w:p>
    <w:p w14:paraId="3E6B99BF"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приказом НКАП № 42 поставлена задача об усилении оборонительного вооружения второго опытного прототипа </w:t>
      </w:r>
      <w:hyperlink r:id="rId30" w:tgtFrame="_blank" w:history="1">
        <w:r w:rsidRPr="00F90EAE">
          <w:rPr>
            <w:color w:val="000000" w:themeColor="text1"/>
            <w:sz w:val="16"/>
            <w:szCs w:val="16"/>
          </w:rPr>
          <w:t xml:space="preserve">«ДБ-108» </w:t>
        </w:r>
      </w:hyperlink>
      <w:r w:rsidRPr="00F90EAE">
        <w:rPr>
          <w:color w:val="000000" w:themeColor="text1"/>
          <w:sz w:val="16"/>
          <w:szCs w:val="16"/>
        </w:rPr>
        <w:t>усиленным вариантом вооружения", включавшим люковую пушечную установку и пулемет УБТ на шкворне у третьего члена экипажа - стрелка-радиста. Однако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трофейными немецкими разработками и подвижными башнями американского бомбардировщика «В-29». В 1943 г. В.М.Мясищев был назначен руководителем конструкторского бюро вместо В.М.Петлякова, погибшего в авиационной катастрофе 12 января 1942 г. Под руководством В.М.Мясищева на базе двухместного бомбардировщика «Пе-2И» с двигателями «ВК-107А» летом 1944 г. началась разработка дальнего бомбардировщика «ДБ-108» с двигателями «ВК-108». С окончанием войны все работы по «ДБ-108» были прекращены. Характеристики «ДБ-108» («ВМ-16»): экипаж – 2 человека, силовая установка – 2 х ВК-108 мощностью по 1800 л. е., размах крыла – 17,8 м и его площадь – 43,0 м2, длина самолета – 13,47 м, вес пустого – 6953 кг, взлетный вес – 9431 кг, максимальная скорость – 700 км/ч, дальность – 2250 км, скороподъемность – 1000 м/мин, практический потолок – 11 000 м, вооружение – 1 пушка ШВАК калибра 20 мм, 2 пулемета УБК калибра 12,7 мм, 1 пулемет ШКАС калибра 7,62 мм и 3000 кг бомб (15031).</w:t>
      </w:r>
    </w:p>
    <w:p w14:paraId="40F60B01" w14:textId="77777777" w:rsidR="003D013D" w:rsidRPr="00F90EAE" w:rsidRDefault="003D013D" w:rsidP="00F90EAE">
      <w:pPr>
        <w:jc w:val="both"/>
        <w:rPr>
          <w:color w:val="000000" w:themeColor="text1"/>
          <w:sz w:val="16"/>
          <w:szCs w:val="16"/>
        </w:rPr>
      </w:pPr>
    </w:p>
    <w:p w14:paraId="3A10FE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 в приказе НКАП № 42 от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Постройка этой машины была завершена 25 мая 1945 г.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8F8C1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A155A0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02B15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6FD87B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5F0F454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67E1329E" w14:textId="77777777" w:rsidR="00C2313B" w:rsidRPr="00F90EAE" w:rsidRDefault="00C2313B" w:rsidP="00F90EAE">
      <w:pPr>
        <w:autoSpaceDE w:val="0"/>
        <w:autoSpaceDN w:val="0"/>
        <w:adjustRightInd w:val="0"/>
        <w:jc w:val="both"/>
        <w:rPr>
          <w:color w:val="000000" w:themeColor="text1"/>
          <w:sz w:val="16"/>
          <w:szCs w:val="16"/>
        </w:rPr>
      </w:pPr>
    </w:p>
    <w:p w14:paraId="455FCD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сборочный цех 51 завода первый с/с 10Х с ПВРД Д-3 и автопилотом АП-4 В.М.Сорокина и потом из изготовленных 19 17 направили на летные испытания, а 2 - оставили в качестве эталонов. Устройствами подвески оборудовали три Пе-8 и два Ер-2, но в Средней Азии, где проходили испытания, Ер-2 с нагрузкой из-за жары подняться не смогли. Потом, правда, летал в Подмосковье (1800,3).</w:t>
      </w:r>
    </w:p>
    <w:p w14:paraId="07553257" w14:textId="77777777" w:rsidR="00C2313B" w:rsidRPr="00F90EAE" w:rsidRDefault="00C2313B" w:rsidP="00F90EAE">
      <w:pPr>
        <w:autoSpaceDE w:val="0"/>
        <w:autoSpaceDN w:val="0"/>
        <w:adjustRightInd w:val="0"/>
        <w:jc w:val="both"/>
        <w:rPr>
          <w:color w:val="000000" w:themeColor="text1"/>
          <w:sz w:val="16"/>
          <w:szCs w:val="16"/>
        </w:rPr>
      </w:pPr>
    </w:p>
    <w:p w14:paraId="6A78DBC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 из сборочного цеха завода выкатили первый серийный самолет-снаряд 10Х. Всего в первой серии было изготовлено 19 таких самолетов-снарядов. 17 из них было отправлено на летные испытания, две ракеты были оставлены в качестве эталона (11686).</w:t>
      </w:r>
    </w:p>
    <w:p w14:paraId="3993D5D4" w14:textId="77777777" w:rsidR="00C2313B" w:rsidRPr="00F90EAE" w:rsidRDefault="00C2313B" w:rsidP="00F90EAE">
      <w:pPr>
        <w:autoSpaceDE w:val="0"/>
        <w:autoSpaceDN w:val="0"/>
        <w:adjustRightInd w:val="0"/>
        <w:jc w:val="both"/>
        <w:rPr>
          <w:color w:val="000000" w:themeColor="text1"/>
          <w:sz w:val="16"/>
          <w:szCs w:val="16"/>
        </w:rPr>
      </w:pPr>
    </w:p>
    <w:p w14:paraId="777F07D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года П. Дементьев писал письмо N Н-35/555 командующему ВВС ВМФ маршалу авиации Жаворонкову.</w:t>
      </w:r>
    </w:p>
    <w:p w14:paraId="5F5DD86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 озера вблизи Констанца были найдены несколько десятков реактивных подвесных ускорителей для старта тяжелых гидросамолетов, а также бочки с катализатором и специальные алюминиевые бочки для перевозки перекиси водорода.</w:t>
      </w:r>
    </w:p>
    <w:p w14:paraId="2E4361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указаний командующему ВВС ЧМФ Ермаченкову организовать сбор этого имущества и отправку его в Москву в НИИ-1 НКАП для изучения и использования (2595,13).</w:t>
      </w:r>
    </w:p>
    <w:p w14:paraId="69F4B871" w14:textId="77777777" w:rsidR="00C2313B" w:rsidRPr="00F90EAE" w:rsidRDefault="00C2313B" w:rsidP="00F90EAE">
      <w:pPr>
        <w:autoSpaceDE w:val="0"/>
        <w:autoSpaceDN w:val="0"/>
        <w:adjustRightInd w:val="0"/>
        <w:jc w:val="both"/>
        <w:rPr>
          <w:color w:val="000000" w:themeColor="text1"/>
          <w:sz w:val="16"/>
          <w:szCs w:val="16"/>
        </w:rPr>
      </w:pPr>
    </w:p>
    <w:p w14:paraId="6C54BBD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года вышел приказ НКАП:</w:t>
      </w:r>
    </w:p>
    <w:p w14:paraId="09B7EDF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Утвердить Шаройко Я.Е. директором завода № 471, освободив Голубкова П.Н. (8958).</w:t>
      </w:r>
    </w:p>
    <w:p w14:paraId="70301CAD" w14:textId="77777777" w:rsidR="00C2313B" w:rsidRPr="00F90EAE" w:rsidRDefault="00C2313B" w:rsidP="00F90EAE">
      <w:pPr>
        <w:autoSpaceDE w:val="0"/>
        <w:autoSpaceDN w:val="0"/>
        <w:adjustRightInd w:val="0"/>
        <w:jc w:val="both"/>
        <w:rPr>
          <w:color w:val="000000" w:themeColor="text1"/>
          <w:sz w:val="16"/>
          <w:szCs w:val="16"/>
        </w:rPr>
      </w:pPr>
    </w:p>
    <w:p w14:paraId="00C908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года группу авиационных инженеров во главе с начальником НИИ ГВФ генерал-лейтенантом И.Н. Петровым Государственный Комитет Обороны направил в расположение 1-го Украинского фронта для изучения техники, захваченной войсками на немецком полигоне по испытанию самолетов-снарядов и авиабомб. Вскоре в Москву поступило сообщение, что на этом полигоне обнаружили Фау-3.</w:t>
      </w:r>
    </w:p>
    <w:p w14:paraId="3B63159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марта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6340CE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4840C4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7AFDADB" w14:textId="77777777" w:rsidR="00C2313B" w:rsidRPr="00F90EAE" w:rsidRDefault="00C2313B" w:rsidP="00F90EAE">
      <w:pPr>
        <w:autoSpaceDE w:val="0"/>
        <w:autoSpaceDN w:val="0"/>
        <w:adjustRightInd w:val="0"/>
        <w:jc w:val="both"/>
        <w:rPr>
          <w:color w:val="000000" w:themeColor="text1"/>
          <w:sz w:val="16"/>
          <w:szCs w:val="16"/>
        </w:rPr>
      </w:pPr>
    </w:p>
    <w:p w14:paraId="306BF35A"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8639DD6" w14:textId="77777777" w:rsidR="00C2313B" w:rsidRPr="00F90EAE" w:rsidRDefault="00C2313B" w:rsidP="00F90EAE">
      <w:pPr>
        <w:autoSpaceDE w:val="0"/>
        <w:autoSpaceDN w:val="0"/>
        <w:adjustRightInd w:val="0"/>
        <w:jc w:val="both"/>
        <w:rPr>
          <w:iCs/>
          <w:color w:val="000000" w:themeColor="text1"/>
          <w:sz w:val="16"/>
          <w:szCs w:val="16"/>
        </w:rPr>
      </w:pPr>
    </w:p>
    <w:p w14:paraId="60AAE1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февраля 1945 г. были подготовлены ПРЕДЛОЖЕНИЯ УСА ГБТУ КА ПО ДАЛЬНЕЙШЕМУ УСИЛЕНИЮ ТАНКОВОГО И АРТСАМОХОДНОГО ВООРУЖЕНИЯ</w:t>
      </w:r>
    </w:p>
    <w:p w14:paraId="16AA0A0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Оценка танкового вооружения</w:t>
      </w:r>
    </w:p>
    <w:p w14:paraId="144E98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1944 году немцы приняли на вооружение новый танк Тигр Б, который в настоящее время яв</w:t>
      </w:r>
      <w:r w:rsidRPr="00F90EAE">
        <w:rPr>
          <w:color w:val="000000" w:themeColor="text1"/>
          <w:sz w:val="16"/>
          <w:szCs w:val="16"/>
        </w:rPr>
        <w:softHyphen/>
        <w:t>ляется основным типом тяжелых танков противника.</w:t>
      </w:r>
    </w:p>
    <w:p w14:paraId="262D680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Тигр Б при наличии мощного лобового бронирования имеет сильную 88-мм пушку КШК-43. Бронебойный снаряд этой пушки имеет начальную скорость свыше 1000 м/с при скорост</w:t>
      </w:r>
      <w:r w:rsidRPr="00F90EAE">
        <w:rPr>
          <w:color w:val="000000" w:themeColor="text1"/>
          <w:sz w:val="16"/>
          <w:szCs w:val="16"/>
        </w:rPr>
        <w:softHyphen/>
        <w:t>рельности (прицельной) около 6 выстрелов в минуту.</w:t>
      </w:r>
    </w:p>
    <w:p w14:paraId="36FC74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Вторым основным типом немецких танков является средний танк Пантера. Этот танк имеет на вооружении 75-мм пушку, бронебойный снаряд которой имеет начальную скорость также свы</w:t>
      </w:r>
      <w:r w:rsidRPr="00F90EAE">
        <w:rPr>
          <w:color w:val="000000" w:themeColor="text1"/>
          <w:sz w:val="16"/>
          <w:szCs w:val="16"/>
        </w:rPr>
        <w:softHyphen/>
        <w:t>ше 1000 м/с при скорострельности 7-8 выстрелов в минуту.</w:t>
      </w:r>
    </w:p>
    <w:p w14:paraId="0E0CBB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Бронебойные снаряды указанных выше танковых пушек противника способны пробивать бро</w:t>
      </w:r>
      <w:r w:rsidRPr="00F90EAE">
        <w:rPr>
          <w:color w:val="000000" w:themeColor="text1"/>
          <w:sz w:val="16"/>
          <w:szCs w:val="16"/>
        </w:rPr>
        <w:softHyphen/>
        <w:t>ню наших танков с дистанций 1500-2000 м.</w:t>
      </w:r>
    </w:p>
    <w:p w14:paraId="197814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Состоящая на вооружении американских средних танков М4-А2 76-мм пушка М-1, имеющая начальную скорость бронебойного снаряда около 800 м/с, пробивает 80 мм броню с дистанции 2000 м.</w:t>
      </w:r>
    </w:p>
    <w:p w14:paraId="2EB106C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Основным типом танка Красной Армии является танк Т-34.</w:t>
      </w:r>
    </w:p>
    <w:p w14:paraId="585DCA7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Этот танк имеет на вооружении 85-мм пушку ЗИС-С-53, бронебойный снаряд которой проби</w:t>
      </w:r>
      <w:r w:rsidRPr="00F90EAE">
        <w:rPr>
          <w:color w:val="000000" w:themeColor="text1"/>
          <w:sz w:val="16"/>
          <w:szCs w:val="16"/>
        </w:rPr>
        <w:softHyphen/>
        <w:t>вает бортовую броню танка Пантера со всех предельных дистанций и бортовую 80-мм [броню] тан</w:t>
      </w:r>
      <w:r w:rsidRPr="00F90EAE">
        <w:rPr>
          <w:color w:val="000000" w:themeColor="text1"/>
          <w:sz w:val="16"/>
          <w:szCs w:val="16"/>
        </w:rPr>
        <w:softHyphen/>
        <w:t>ка Тигр Б с дистанций не свыше 1200 м.</w:t>
      </w:r>
    </w:p>
    <w:p w14:paraId="212D570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Причем пушка ЗИС-С-53 не пробивает лобовой брони немецких танков Тигр Б и Пантера.</w:t>
      </w:r>
    </w:p>
    <w:p w14:paraId="637178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Состоящая на вооружении тяжелых танков ИС 122-мм пушка Д-25 по мощности бронебойного выстрела превосходит все известные иностранные образцы танковых пушек, уступая им лишь в прицельной скорострельности.</w:t>
      </w:r>
    </w:p>
    <w:p w14:paraId="132593E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Пушка Д-25 в состоянии вести эффективную борьбу с немецкими танками со всех прицельных дистанций.</w:t>
      </w:r>
    </w:p>
    <w:p w14:paraId="23A73E5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приведенного видно, что превосходство в вооружении имеет только танк ИС-122, тогда как вооружение средних танков Т-34 по своей мощности уступает вооружению средних немецких и американских танков.</w:t>
      </w:r>
    </w:p>
    <w:p w14:paraId="620F3F0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этом следует отметить, что 88-мм и 75-мм пушки противника могут поражать наши танки, в том числе и лобовые детали с дистанций 2000 м, тогда как 85-мм пушки танка Т-34 могут поражать лишь бортовую и кормовую броню танка Тигр Б с дистанций 1200 м и лобовую броню танка Тигр Б с дистанций 700 м.</w:t>
      </w:r>
    </w:p>
    <w:p w14:paraId="7DF215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Предлагаемые мероприятия</w:t>
      </w:r>
    </w:p>
    <w:p w14:paraId="4B2763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усиления танкового вооружения, для обеспечения возможности надежного пробития брони современных танков противника необходимо провести:</w:t>
      </w:r>
    </w:p>
    <w:p w14:paraId="4118082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Отработать и ввести на вооружение танков Т-44 100-мм пушку Д-1 ОТ. Срок отработки следует установить 15 февраля 1945 года.</w:t>
      </w:r>
    </w:p>
    <w:p w14:paraId="51FCF7C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Наладить на заводе №112 выпуск танков Т-44, вооруженных 100-мм пушками с тем, что</w:t>
      </w:r>
      <w:r w:rsidRPr="00F90EAE">
        <w:rPr>
          <w:color w:val="000000" w:themeColor="text1"/>
          <w:sz w:val="16"/>
          <w:szCs w:val="16"/>
        </w:rPr>
        <w:softHyphen/>
        <w:t>бы к 1 июня 1945 г. перейти целиком на выпуск Т-44.</w:t>
      </w:r>
    </w:p>
    <w:p w14:paraId="70BAC8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Наладить на заводе №174 выпуск атрсамоходов СУ-100 с тем, чтобы, начиная с марта 1945 го</w:t>
      </w:r>
      <w:r w:rsidRPr="00F90EAE">
        <w:rPr>
          <w:color w:val="000000" w:themeColor="text1"/>
          <w:sz w:val="16"/>
          <w:szCs w:val="16"/>
        </w:rPr>
        <w:softHyphen/>
        <w:t>да, перейти целиком на выпуск СУ-100.</w:t>
      </w:r>
    </w:p>
    <w:p w14:paraId="48A66D2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Поставить перед НКВ и ГАУ КА вопрос об обеспечении 100-мм пушками и прицелами ТШ-19 все выпускаемые танки и артсамоходы.</w:t>
      </w:r>
    </w:p>
    <w:p w14:paraId="33B686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Для обеспечения повышения скорострельности ускорить отработку механизма подачи сна</w:t>
      </w:r>
      <w:r w:rsidRPr="00F90EAE">
        <w:rPr>
          <w:color w:val="000000" w:themeColor="text1"/>
          <w:sz w:val="16"/>
          <w:szCs w:val="16"/>
        </w:rPr>
        <w:softHyphen/>
        <w:t>рядов пушки Д-25 с тем, чтобы к 1 апреля с. г. устанавливать его на всех выпускаемых танках ИС и артсамоходах ИСУ-122С.</w:t>
      </w:r>
    </w:p>
    <w:p w14:paraId="7C58767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Поставить перед НКВ и ГАУ КА вопрос о повышении качества 85-мм бронебойных снарядов с тем, чтобы обеспечить пробитие бортовой брони тяжелых немецких танков с дистанции 2000 м.</w:t>
      </w:r>
    </w:p>
    <w:p w14:paraId="68C52C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Дать задание НКВ и ГАУ КА на разработку установки в тяжелые танки крупнокалиберного пулемета вместо спаренного с пушкой пулемета ДТ.</w:t>
      </w:r>
    </w:p>
    <w:p w14:paraId="6F45A4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Дать задание НКВ и ГАУ КА на разработку установки в танках Т-34, взамен пулеметов ДТ, пу</w:t>
      </w:r>
      <w:r w:rsidRPr="00F90EAE">
        <w:rPr>
          <w:color w:val="000000" w:themeColor="text1"/>
          <w:sz w:val="16"/>
          <w:szCs w:val="16"/>
        </w:rPr>
        <w:softHyphen/>
        <w:t>леметов ленточного питания ГВГ.</w:t>
      </w:r>
    </w:p>
    <w:p w14:paraId="5DB5E2E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Поставить перед НКВ и ГАУ КА вопрос об ускорении отработки 85-мм пушки для установки ее на легкие артсамоходы вместо 76-мм пушки ЗИС-3.</w:t>
      </w:r>
    </w:p>
    <w:p w14:paraId="25CF514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Поставить перед НКСМ вопрос о переводе завода №40 на выпуск СУ-85, согласовав сроки раз</w:t>
      </w:r>
      <w:r w:rsidRPr="00F90EAE">
        <w:rPr>
          <w:color w:val="000000" w:themeColor="text1"/>
          <w:sz w:val="16"/>
          <w:szCs w:val="16"/>
        </w:rPr>
        <w:softHyphen/>
        <w:t>вертывания выпуска СУ-85 со сроками выпуска 85-мм пушек.</w:t>
      </w:r>
    </w:p>
    <w:p w14:paraId="1D6DC6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Поставить перед НКСМ вопрос о развертывании, в соответствии с результатами испыта</w:t>
      </w:r>
      <w:r w:rsidRPr="00F90EAE">
        <w:rPr>
          <w:color w:val="000000" w:themeColor="text1"/>
          <w:sz w:val="16"/>
          <w:szCs w:val="16"/>
        </w:rPr>
        <w:softHyphen/>
        <w:t>ний, выпуска на заводе №40 не менее 50 штук ежемесячно зенитных артсамоходов СУ-37.</w:t>
      </w:r>
    </w:p>
    <w:p w14:paraId="176878B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Поставить перед НКВ и НКТП вопрос об ускорении отработки и запуске в серийное произ</w:t>
      </w:r>
      <w:r w:rsidRPr="00F90EAE">
        <w:rPr>
          <w:color w:val="000000" w:themeColor="text1"/>
          <w:sz w:val="16"/>
          <w:szCs w:val="16"/>
        </w:rPr>
        <w:softHyphen/>
        <w:t>водство 122-мм пушки Д-30 для установки в танки и артсамоходы, начиная с июля 1945 года.</w:t>
      </w:r>
    </w:p>
    <w:p w14:paraId="1DEC6AA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3 отдела УСА ГБТУ КА инженер-подполковник Ратников</w:t>
      </w:r>
    </w:p>
    <w:p w14:paraId="11C4AF3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2732. Л. 4,5-7. Копия (11420).</w:t>
      </w:r>
    </w:p>
    <w:p w14:paraId="41836278" w14:textId="77777777" w:rsidR="00C2313B" w:rsidRPr="00F90EAE" w:rsidRDefault="00C2313B" w:rsidP="00F90EAE">
      <w:pPr>
        <w:autoSpaceDE w:val="0"/>
        <w:autoSpaceDN w:val="0"/>
        <w:adjustRightInd w:val="0"/>
        <w:jc w:val="both"/>
        <w:rPr>
          <w:color w:val="000000" w:themeColor="text1"/>
          <w:sz w:val="16"/>
          <w:szCs w:val="16"/>
        </w:rPr>
      </w:pPr>
    </w:p>
    <w:p w14:paraId="68656EFB" w14:textId="77777777" w:rsidR="004945E9" w:rsidRPr="00F90EAE" w:rsidRDefault="004945E9" w:rsidP="00F90EAE">
      <w:pPr>
        <w:jc w:val="both"/>
        <w:rPr>
          <w:color w:val="000000" w:themeColor="text1"/>
          <w:sz w:val="16"/>
          <w:szCs w:val="16"/>
        </w:rPr>
      </w:pPr>
      <w:r w:rsidRPr="00F90EAE">
        <w:rPr>
          <w:color w:val="000000" w:themeColor="text1"/>
          <w:sz w:val="16"/>
          <w:szCs w:val="16"/>
        </w:rPr>
        <w:lastRenderedPageBreak/>
        <w:t>5 февраля 1945 г. вышел приказ НКТП №66, в соответствии с которым 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 Вариант тяжелого танка, создававшийся в СКБ-2 ЧКЗ под руководством Н.Л. Духова, имел 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165F87C6" w14:textId="77777777" w:rsidR="004945E9" w:rsidRPr="00F90EAE" w:rsidRDefault="004945E9" w:rsidP="00F90EAE">
      <w:pPr>
        <w:jc w:val="both"/>
        <w:rPr>
          <w:color w:val="000000" w:themeColor="text1"/>
          <w:sz w:val="16"/>
          <w:szCs w:val="16"/>
        </w:rPr>
      </w:pPr>
      <w:r w:rsidRPr="00F90EAE">
        <w:rPr>
          <w:color w:val="000000" w:themeColor="text1"/>
          <w:sz w:val="16"/>
          <w:szCs w:val="16"/>
        </w:rPr>
        <w:t>Разработка этих машин велась в соответствии с требованиями, аналогичными для танка ИС-4.</w:t>
      </w:r>
    </w:p>
    <w:p w14:paraId="69E882AE" w14:textId="77777777" w:rsidR="004945E9" w:rsidRPr="00F90EAE" w:rsidRDefault="004945E9" w:rsidP="00F90EAE">
      <w:pPr>
        <w:jc w:val="both"/>
        <w:rPr>
          <w:color w:val="000000" w:themeColor="text1"/>
          <w:sz w:val="16"/>
          <w:szCs w:val="16"/>
        </w:rPr>
      </w:pPr>
      <w:r w:rsidRPr="00F90EAE">
        <w:rPr>
          <w:color w:val="000000" w:themeColor="text1"/>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17EA3F8E" w14:textId="77777777" w:rsidR="004945E9" w:rsidRPr="00F90EAE" w:rsidRDefault="004945E9" w:rsidP="00F90EAE">
      <w:pPr>
        <w:jc w:val="both"/>
        <w:rPr>
          <w:color w:val="000000" w:themeColor="text1"/>
          <w:sz w:val="16"/>
          <w:szCs w:val="16"/>
        </w:rPr>
      </w:pPr>
      <w:r w:rsidRPr="00F90EAE">
        <w:rPr>
          <w:color w:val="000000" w:themeColor="text1"/>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1094E51C" w14:textId="77777777" w:rsidR="004945E9" w:rsidRPr="00F90EAE" w:rsidRDefault="004945E9" w:rsidP="00F90EAE">
      <w:pPr>
        <w:jc w:val="both"/>
        <w:rPr>
          <w:color w:val="000000" w:themeColor="text1"/>
          <w:sz w:val="16"/>
          <w:szCs w:val="16"/>
        </w:rPr>
      </w:pPr>
      <w:r w:rsidRPr="00F90EAE">
        <w:rPr>
          <w:color w:val="000000" w:themeColor="text1"/>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3B261154" w14:textId="77777777" w:rsidR="004945E9" w:rsidRPr="00F90EAE" w:rsidRDefault="004945E9" w:rsidP="00F90EAE">
      <w:pPr>
        <w:jc w:val="both"/>
        <w:rPr>
          <w:color w:val="000000" w:themeColor="text1"/>
          <w:sz w:val="16"/>
          <w:szCs w:val="16"/>
        </w:rPr>
      </w:pPr>
      <w:r w:rsidRPr="00F90EAE">
        <w:rPr>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3E739929" w14:textId="77777777" w:rsidR="004945E9" w:rsidRPr="00F90EAE" w:rsidRDefault="004945E9" w:rsidP="00F90EAE">
      <w:pPr>
        <w:jc w:val="both"/>
        <w:rPr>
          <w:color w:val="000000" w:themeColor="text1"/>
          <w:sz w:val="16"/>
          <w:szCs w:val="16"/>
        </w:rPr>
      </w:pPr>
      <w:r w:rsidRPr="00F90EAE">
        <w:rPr>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C784F8" w14:textId="77777777" w:rsidR="004945E9" w:rsidRPr="00F90EAE" w:rsidRDefault="004945E9" w:rsidP="00F90EAE">
      <w:pPr>
        <w:jc w:val="both"/>
        <w:rPr>
          <w:color w:val="000000" w:themeColor="text1"/>
          <w:sz w:val="16"/>
          <w:szCs w:val="16"/>
        </w:rPr>
      </w:pPr>
    </w:p>
    <w:p w14:paraId="48451E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вышло Постановление ГКО № 7484 О неотложных мерах помощи углем заводам Наркомвооружения № 3, 71, 235, 92 и 232. РГАНИР, Фонд ГКО, д. 369, лл. 92-95 (11012).</w:t>
      </w:r>
    </w:p>
    <w:p w14:paraId="1EADDB1A" w14:textId="77777777" w:rsidR="00C2313B" w:rsidRPr="00F90EAE" w:rsidRDefault="00C2313B" w:rsidP="00F90EAE">
      <w:pPr>
        <w:autoSpaceDE w:val="0"/>
        <w:autoSpaceDN w:val="0"/>
        <w:adjustRightInd w:val="0"/>
        <w:jc w:val="both"/>
        <w:rPr>
          <w:color w:val="000000" w:themeColor="text1"/>
          <w:sz w:val="16"/>
          <w:szCs w:val="16"/>
        </w:rPr>
      </w:pPr>
    </w:p>
    <w:p w14:paraId="0EBB2633"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февраля 1945 вышло Постановление ГКО № 7486 О мерах по усилению в феврале с.г. отгрузки угля железным дорогам, промышленности и электростанциям. (7307, 98-103,104-105).</w:t>
      </w:r>
    </w:p>
    <w:p w14:paraId="3CB53D62"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0009DB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2AE2E8D" w14:textId="77777777" w:rsidR="00C2313B" w:rsidRPr="00F90EAE" w:rsidRDefault="00C2313B" w:rsidP="00F90EAE">
      <w:pPr>
        <w:autoSpaceDE w:val="0"/>
        <w:autoSpaceDN w:val="0"/>
        <w:adjustRightInd w:val="0"/>
        <w:jc w:val="both"/>
        <w:rPr>
          <w:iCs/>
          <w:color w:val="000000" w:themeColor="text1"/>
          <w:sz w:val="16"/>
          <w:szCs w:val="16"/>
        </w:rPr>
      </w:pPr>
    </w:p>
    <w:p w14:paraId="6F3C80E1"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оперативная сводка Совинформбюро:</w:t>
      </w:r>
    </w:p>
    <w:p w14:paraId="7F2937A4" w14:textId="77777777" w:rsidR="003D013D" w:rsidRPr="00F90EAE" w:rsidRDefault="003D013D" w:rsidP="00F90EAE">
      <w:pPr>
        <w:jc w:val="both"/>
        <w:rPr>
          <w:color w:val="000000" w:themeColor="text1"/>
          <w:sz w:val="16"/>
          <w:szCs w:val="16"/>
        </w:rPr>
      </w:pPr>
      <w:r w:rsidRPr="00F90EAE">
        <w:rPr>
          <w:color w:val="000000" w:themeColor="text1"/>
          <w:sz w:val="16"/>
          <w:szCs w:val="16"/>
        </w:rPr>
        <w:t>«В течение 5 февраля северо-западнее Кенигсберга наши войска продолжали бои по очищению от противника Земландского полуострова, в ходе которых заняли несколько населённых пунктов и среди них Ватцум, Гросс Лядткайм, Тиренберг, Каллен, Повайен.</w:t>
      </w:r>
    </w:p>
    <w:p w14:paraId="6B4881BE"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и юго-восточнее Франкфурта-на-Одере наши войска с боями вышли и реке Одер, заняв при этом город и железнодорожную станцию Геритц и более 100 других населённых пунктов, в том числе крупные населённые пункты Целлин, Ноймюль, Альт Шаумбург, Тирпитц, Райпциг, Мачдорф, Рампитц, Шенфельд, Гюнтерсберг, Реднитц.</w:t>
      </w:r>
    </w:p>
    <w:p w14:paraId="57A636E8" w14:textId="77777777" w:rsidR="003D013D" w:rsidRPr="00F90EAE" w:rsidRDefault="003D013D" w:rsidP="00F90EAE">
      <w:pPr>
        <w:jc w:val="both"/>
        <w:rPr>
          <w:color w:val="000000" w:themeColor="text1"/>
          <w:sz w:val="16"/>
          <w:szCs w:val="16"/>
        </w:rPr>
      </w:pPr>
      <w:r w:rsidRPr="00F90EAE">
        <w:rPr>
          <w:color w:val="000000" w:themeColor="text1"/>
          <w:sz w:val="16"/>
          <w:szCs w:val="16"/>
        </w:rPr>
        <w:t>В городе Познани продолжались бои по уничтожению окружённого гарнизона противника. Наши наступающие части овладели в городе оружейным заводом, на котором захватили 58 орудий, 1.250 ручных и станковых пулемётов, 130 автоматов и 1.500 винтовок.</w:t>
      </w:r>
    </w:p>
    <w:p w14:paraId="1E9536E1"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16 кварталов.</w:t>
      </w:r>
    </w:p>
    <w:p w14:paraId="5D670BFC" w14:textId="77777777" w:rsidR="003D013D" w:rsidRPr="00F90EAE" w:rsidRDefault="003D013D" w:rsidP="00F90EAE">
      <w:pPr>
        <w:jc w:val="both"/>
        <w:rPr>
          <w:color w:val="000000" w:themeColor="text1"/>
          <w:sz w:val="16"/>
          <w:szCs w:val="16"/>
        </w:rPr>
      </w:pPr>
      <w:r w:rsidRPr="00F90EAE">
        <w:rPr>
          <w:color w:val="000000" w:themeColor="text1"/>
          <w:sz w:val="16"/>
          <w:szCs w:val="16"/>
        </w:rPr>
        <w:t>Юго-западнее Будапешта наши войска в результате предпринятых атак овладели крупными населёнными пунктами Шерегельеш, Шарашд, Аба, Шаркерестур, Силашбалхаш.</w:t>
      </w:r>
    </w:p>
    <w:p w14:paraId="5543AFDE" w14:textId="77777777" w:rsidR="003D013D" w:rsidRPr="00F90EAE" w:rsidRDefault="003D013D"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0BEB204" w14:textId="77777777" w:rsidR="003D013D" w:rsidRPr="00F90EAE" w:rsidRDefault="003D013D" w:rsidP="00F90EAE">
      <w:pPr>
        <w:jc w:val="both"/>
        <w:rPr>
          <w:color w:val="000000" w:themeColor="text1"/>
          <w:sz w:val="16"/>
          <w:szCs w:val="16"/>
        </w:rPr>
      </w:pPr>
      <w:r w:rsidRPr="00F90EAE">
        <w:rPr>
          <w:color w:val="000000" w:themeColor="text1"/>
          <w:sz w:val="16"/>
          <w:szCs w:val="16"/>
        </w:rPr>
        <w:t>За 4 февраля подбито и уничтожено 136 немецких танков. В воздушных боях и огнём зенитной артиллерии сбито 56 самолётов противника.</w:t>
      </w:r>
    </w:p>
    <w:p w14:paraId="4EBFF92D"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Северо-западнее города Кенигсберг наши войска очищали от немцев Земландский полуостров. Зажатые на узкой полосе побережья, гитлеровцы оказывали упорное сопротивление. Советские части, с боями продвигаясь вперёд, заняли несколько сильно укреплённых населённых пунктов. На одном участке немцы предприняли ряд контратак, бросив в бой крупные силы пехоты и танков. Наши артиллеристы и пехотинцы отбили вражеские контратаки и уничтожили до полка пехоты противника и 54 немецких танка. За день боев захвачено у немцев 30 танков и самоходных орудий, 3 самолёта, 186 молевых орудий, 267 пулемётов и 1.160 автомашин. Взято в плен 1.600 немецких солдат и офицеров.</w:t>
      </w:r>
    </w:p>
    <w:p w14:paraId="35C71641" w14:textId="77777777" w:rsidR="003D013D" w:rsidRPr="00F90EAE" w:rsidRDefault="003D013D" w:rsidP="00F90EAE">
      <w:pPr>
        <w:jc w:val="both"/>
        <w:rPr>
          <w:color w:val="000000" w:themeColor="text1"/>
          <w:sz w:val="16"/>
          <w:szCs w:val="16"/>
        </w:rPr>
      </w:pPr>
      <w:r w:rsidRPr="00F90EAE">
        <w:rPr>
          <w:color w:val="000000" w:themeColor="text1"/>
          <w:sz w:val="16"/>
          <w:szCs w:val="16"/>
        </w:rPr>
        <w:t>Севернее и юго-восточнее города Франкфурт-на-Одере наши войска сломили сопротивление противника и вышли к реке Одер. Многочисленные группы немцев были прижаты к реке и уничтожены. Занят населённый пункт Альт Шаумбург, находящийся в 3 километрах северо-западнее немецкой крепости Кюстрин. Другие наши части с боями овладели городом Геритц, расположенным на берегу Одера в 10 километраж южнее Кюстрина. Большие потери убитыми и пленными понесла 25-я немецкая моторизованная дивизия, только что переброшенная на советско-германский фронт с Западного фронта. В одном районе наши кавалерийские части ликвидировали окружённую группу противника, состоявшую из подразделений ранее разгромлённых немецких дивизий. В течение дня наши войска уничтожили свыше 5.000 немецких солдат и офицеров. Захвачены большие трофеи, в числе которых 70 орудий, 200 пулемётов и 18 больших складов с военным имуществом. Взято в плен 1.350 немцев.</w:t>
      </w:r>
    </w:p>
    <w:p w14:paraId="31AD8C76" w14:textId="77777777" w:rsidR="003D013D" w:rsidRPr="00F90EAE" w:rsidRDefault="003D013D" w:rsidP="00F90EAE">
      <w:pPr>
        <w:jc w:val="both"/>
        <w:rPr>
          <w:color w:val="000000" w:themeColor="text1"/>
          <w:sz w:val="16"/>
          <w:szCs w:val="16"/>
        </w:rPr>
      </w:pPr>
      <w:r w:rsidRPr="00F90EAE">
        <w:rPr>
          <w:color w:val="000000" w:themeColor="text1"/>
          <w:sz w:val="16"/>
          <w:szCs w:val="16"/>
        </w:rPr>
        <w:t>В Будапеште, в западной части города, наши войска вели бои по уничтожению окружённой группировки противника. Оставшиеся в руках немцев городские районы расположены на холмистой местности и представляют удобный район для обороны. Противник превратил каждый каменный дом в опорный пункт сопротивления. Советские артиллеристы огнём прямой наводкой разрушают укрепления врага и подавляют его огневые точки. Вслед за этим наши штурмовые группы продвигаются вперёд и очищают от гитлеровцев дома и улицы. Артиллеристы гвардии капитана Варыгина и гвардии старшего лейтенанта Воронкова в ночном бою уничтожили десять огневых точек противника, преграждавших путь нашей пехоте. Миномётчики гвардии старших сержантов Булычёва, Конова и Любимова подбили два немецких самоходных орудия и рассеяли большую группу вражеских автоматчиков. Бойцы капитана Хайруллина выбили противника из большого здания, превращённого им в крупный опорный пункт обороны. Истреблено несколько десятков немцев.</w:t>
      </w:r>
    </w:p>
    <w:p w14:paraId="69F26454" w14:textId="77777777" w:rsidR="003D013D" w:rsidRPr="00F90EAE" w:rsidRDefault="003D013D" w:rsidP="00F90EAE">
      <w:pPr>
        <w:jc w:val="both"/>
        <w:rPr>
          <w:color w:val="000000" w:themeColor="text1"/>
          <w:sz w:val="16"/>
          <w:szCs w:val="16"/>
        </w:rPr>
      </w:pPr>
      <w:r w:rsidRPr="00F90EAE">
        <w:rPr>
          <w:color w:val="000000" w:themeColor="text1"/>
          <w:sz w:val="16"/>
          <w:szCs w:val="16"/>
        </w:rPr>
        <w:t>Юго-западнее Будапешта наши войска атаковали противника и овладели сильно укреплёнными позициями. Стремясь восстановить положение, гитлеровцы предприняли несколько контратак, но были отброшены. Отражая вражеские контратаки, наши артиллеристы и бронебойщики сожгли и подбили 35 танков и 15 бронетранспортеров противника.</w:t>
      </w:r>
    </w:p>
    <w:p w14:paraId="12FFE613" w14:textId="77777777" w:rsidR="003D013D" w:rsidRPr="00F90EAE" w:rsidRDefault="003D013D" w:rsidP="00F90EAE">
      <w:pPr>
        <w:jc w:val="both"/>
        <w:rPr>
          <w:color w:val="000000" w:themeColor="text1"/>
          <w:sz w:val="16"/>
          <w:szCs w:val="16"/>
        </w:rPr>
      </w:pPr>
      <w:r w:rsidRPr="00F90EAE">
        <w:rPr>
          <w:color w:val="000000" w:themeColor="text1"/>
          <w:sz w:val="16"/>
          <w:szCs w:val="16"/>
        </w:rPr>
        <w:t>Советские воины в боях с немецкими захватчиками показывают примеры мужества и геройства. Экипаж танка офицера Пшеничникова в одной схватке подбил немецкий танк «Пантера» и 4 бронетранспортёра. Бронебойщик гвардии рядовой Григораш уничтожил самоходное орудие противника. Орудийный расчёт гвардии сержанта Анисимова, отражая вражескую атаку, подбил 2 немецких танка и удержал свою позицию. Возвращаясь на свой аэродром, летчики лейтенант Долгов и младший лейтенант Курцидзе подверглись нападению шести немецких истребителей. Гитлеровцы атаковали самолёт Курцидзе. Лейтенант Долгов поспешил на выручку товарища и меткой очередью сбил немецкий истребитель, Вслед за этим воздушный стрелок лейтенанта Долгова старший сержант Мартынов один за другим сбил ещё два вражеских самолета. Наши штурмовики благополучно приземлились на своём аэродроме.</w:t>
      </w:r>
    </w:p>
    <w:p w14:paraId="7E2A2E88" w14:textId="77777777" w:rsidR="003D013D" w:rsidRPr="00F90EAE" w:rsidRDefault="003D013D" w:rsidP="00F90EAE">
      <w:pPr>
        <w:jc w:val="both"/>
        <w:rPr>
          <w:color w:val="000000" w:themeColor="text1"/>
          <w:sz w:val="16"/>
          <w:szCs w:val="16"/>
        </w:rPr>
      </w:pPr>
      <w:r w:rsidRPr="00F90EAE">
        <w:rPr>
          <w:color w:val="000000" w:themeColor="text1"/>
          <w:sz w:val="16"/>
          <w:szCs w:val="16"/>
        </w:rPr>
        <w:t>В Восточной Пруссии взят в плен капитан Рихтер. Пленный рассказал: «Я был преподавателем тактики в унтер-офицерской школе. Недавно школу спешно бросили на фронт, а меня назначили её командиром. Немецкое командование считало оборону на реке Дайме неприступной и уверяло, что на эхом участке русские не пройдут. Однако советские войска прорвали наши укрепления. Это был очень чувствительный удар, опрокинувший все наши планы».</w:t>
      </w:r>
    </w:p>
    <w:p w14:paraId="33480A1F" w14:textId="77777777" w:rsidR="003D013D" w:rsidRPr="00F90EAE" w:rsidRDefault="003D013D" w:rsidP="00F90EAE">
      <w:pPr>
        <w:jc w:val="both"/>
        <w:rPr>
          <w:color w:val="000000" w:themeColor="text1"/>
          <w:sz w:val="16"/>
          <w:szCs w:val="16"/>
        </w:rPr>
      </w:pPr>
      <w:r w:rsidRPr="00F90EAE">
        <w:rPr>
          <w:color w:val="000000" w:themeColor="text1"/>
          <w:sz w:val="16"/>
          <w:szCs w:val="16"/>
        </w:rPr>
        <w:t>Пленный командир 23-го немецкого крепостного пулемётного батальона капитан Отто Шундт сообщил: «Результаты последних боёв окончательно убедили меня в том, что никакие, даже самые мощные укрепления уже не спасут Германию от неизбежного разгрома. Буквально за несколько дней русские штурмом взяли несколько первоклассных крепостей. Большинство солдат моего батальона погибло. С оставшейся группой в 30 человек я сдался в плен» (15031).</w:t>
      </w:r>
    </w:p>
    <w:p w14:paraId="6DB924B2" w14:textId="77777777" w:rsidR="003D013D" w:rsidRPr="00F90EAE" w:rsidRDefault="003D013D" w:rsidP="00F90EAE">
      <w:pPr>
        <w:jc w:val="both"/>
        <w:rPr>
          <w:color w:val="000000" w:themeColor="text1"/>
          <w:sz w:val="16"/>
          <w:szCs w:val="16"/>
        </w:rPr>
      </w:pPr>
    </w:p>
    <w:p w14:paraId="72C1ADE8"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5, 1945: On the Eastern front, the Red Army approaches Elbing and Marienburg in East Prussia (3819).</w:t>
      </w:r>
    </w:p>
    <w:p w14:paraId="0B399731" w14:textId="77777777" w:rsidR="00C2313B" w:rsidRPr="00F90EAE" w:rsidRDefault="00C2313B" w:rsidP="00F90EAE">
      <w:pPr>
        <w:autoSpaceDE w:val="0"/>
        <w:autoSpaceDN w:val="0"/>
        <w:adjustRightInd w:val="0"/>
        <w:jc w:val="both"/>
        <w:rPr>
          <w:color w:val="000000" w:themeColor="text1"/>
          <w:sz w:val="16"/>
          <w:szCs w:val="16"/>
          <w:lang w:val="en-US"/>
        </w:rPr>
      </w:pPr>
    </w:p>
    <w:p w14:paraId="3B69FA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КА взяла Эльбинг и Мариенбург (3819).</w:t>
      </w:r>
    </w:p>
    <w:p w14:paraId="6BC1E049" w14:textId="77777777" w:rsidR="00C2313B" w:rsidRPr="00F90EAE" w:rsidRDefault="00C2313B" w:rsidP="00F90EAE">
      <w:pPr>
        <w:autoSpaceDE w:val="0"/>
        <w:autoSpaceDN w:val="0"/>
        <w:adjustRightInd w:val="0"/>
        <w:jc w:val="both"/>
        <w:rPr>
          <w:color w:val="000000" w:themeColor="text1"/>
          <w:sz w:val="16"/>
          <w:szCs w:val="16"/>
        </w:rPr>
      </w:pPr>
    </w:p>
    <w:p w14:paraId="07C647E2"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февраля 1945 отряды советской армии пересекли реку Одер (4962).</w:t>
      </w:r>
    </w:p>
    <w:p w14:paraId="5CC06A36"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CB793E6"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отряды советской армии форсировали реку Одер (15031).</w:t>
      </w:r>
    </w:p>
    <w:p w14:paraId="09B1C92E" w14:textId="77777777" w:rsidR="003D013D" w:rsidRPr="00F90EAE" w:rsidRDefault="003D013D" w:rsidP="00F90EAE">
      <w:pPr>
        <w:jc w:val="both"/>
        <w:rPr>
          <w:color w:val="000000" w:themeColor="text1"/>
          <w:sz w:val="16"/>
          <w:szCs w:val="16"/>
        </w:rPr>
      </w:pPr>
    </w:p>
    <w:p w14:paraId="047FAF66"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1788CAF" w14:textId="77777777" w:rsidR="00C2313B" w:rsidRPr="00F90EAE" w:rsidRDefault="00C2313B" w:rsidP="00F90EAE">
      <w:pPr>
        <w:autoSpaceDE w:val="0"/>
        <w:autoSpaceDN w:val="0"/>
        <w:adjustRightInd w:val="0"/>
        <w:jc w:val="both"/>
        <w:rPr>
          <w:iCs/>
          <w:color w:val="000000" w:themeColor="text1"/>
          <w:sz w:val="16"/>
          <w:szCs w:val="16"/>
        </w:rPr>
      </w:pPr>
    </w:p>
    <w:p w14:paraId="78B9EA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февраля 1945 г. впервые официальная советская позиция о репарациях с Германии была из</w:t>
      </w:r>
      <w:r w:rsidRPr="00F90EAE">
        <w:rPr>
          <w:color w:val="000000" w:themeColor="text1"/>
          <w:sz w:val="16"/>
          <w:szCs w:val="16"/>
        </w:rPr>
        <w:softHyphen/>
        <w:t>ложена еще во время войны, на Крымской конференции союзных держав. В результате переговоров главами правительств Великобритании, СССР и США был подписан протокол о переговорах по вопросу о репарациях с Германии. Стороны договорились о том, что репарации должны взиматься натурой путем еди</w:t>
      </w:r>
      <w:r w:rsidRPr="00F90EAE">
        <w:rPr>
          <w:color w:val="000000" w:themeColor="text1"/>
          <w:sz w:val="16"/>
          <w:szCs w:val="16"/>
        </w:rPr>
        <w:softHyphen/>
        <w:t>новременных изъятий из национального богатства Германии и ежегодных товар</w:t>
      </w:r>
      <w:r w:rsidRPr="00F90EAE">
        <w:rPr>
          <w:color w:val="000000" w:themeColor="text1"/>
          <w:sz w:val="16"/>
          <w:szCs w:val="16"/>
        </w:rPr>
        <w:softHyphen/>
        <w:t>ных поставок из текущей продукции. Для выработки подробного репарационного плана предусматривалось учреждение в Москве Международной комиссии по репа</w:t>
      </w:r>
      <w:r w:rsidRPr="00F90EAE">
        <w:rPr>
          <w:color w:val="000000" w:themeColor="text1"/>
          <w:sz w:val="16"/>
          <w:szCs w:val="16"/>
        </w:rPr>
        <w:softHyphen/>
        <w:t>рациям в составе представителей трех держав. Стороны согласились принять в ка</w:t>
      </w:r>
      <w:r w:rsidRPr="00F90EAE">
        <w:rPr>
          <w:color w:val="000000" w:themeColor="text1"/>
          <w:sz w:val="16"/>
          <w:szCs w:val="16"/>
        </w:rPr>
        <w:softHyphen/>
        <w:t>честве базы для обсуждения советское предложение о том, что общая сумма репара</w:t>
      </w:r>
      <w:r w:rsidRPr="00F90EAE">
        <w:rPr>
          <w:color w:val="000000" w:themeColor="text1"/>
          <w:sz w:val="16"/>
          <w:szCs w:val="16"/>
        </w:rPr>
        <w:softHyphen/>
        <w:t>ций должна составлять 20 млрд долларов США и что 50% этой суммы пойдет Советскому Союзу.</w:t>
      </w:r>
    </w:p>
    <w:p w14:paraId="0F78EE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Берлинской конференции трех держав в июле — августе 1945 г. вопрос о ре</w:t>
      </w:r>
      <w:r w:rsidRPr="00F90EAE">
        <w:rPr>
          <w:color w:val="000000" w:themeColor="text1"/>
          <w:sz w:val="16"/>
          <w:szCs w:val="16"/>
        </w:rPr>
        <w:softHyphen/>
        <w:t>парациях с Германии стал предметом острых дискуссий. Советская сторона в прин</w:t>
      </w:r>
      <w:r w:rsidRPr="00F90EAE">
        <w:rPr>
          <w:color w:val="000000" w:themeColor="text1"/>
          <w:sz w:val="16"/>
          <w:szCs w:val="16"/>
        </w:rPr>
        <w:softHyphen/>
        <w:t>ципе согласилась с позицией западных держав о взимании репараций по отдельным оккупационным зонам, понимая нереалистичность своего первоначального предло</w:t>
      </w:r>
      <w:r w:rsidRPr="00F90EAE">
        <w:rPr>
          <w:color w:val="000000" w:themeColor="text1"/>
          <w:sz w:val="16"/>
          <w:szCs w:val="16"/>
        </w:rPr>
        <w:softHyphen/>
        <w:t>жения о составлении общего для всех союзников плана репарационных платежей с Германии. В третьем разделе протокола конференции, касавшемся репараций, было записано, что СССР получит дополнительно из западных оккупационных зон 15% промышленного оборудования в обмен на эквивалентную стоимость некоторых то</w:t>
      </w:r>
      <w:r w:rsidRPr="00F90EAE">
        <w:rPr>
          <w:color w:val="000000" w:themeColor="text1"/>
          <w:sz w:val="16"/>
          <w:szCs w:val="16"/>
        </w:rPr>
        <w:softHyphen/>
        <w:t>варов из Советской зоны оккупации и еще 10% оборудования без оплаты или возме</w:t>
      </w:r>
      <w:r w:rsidRPr="00F90EAE">
        <w:rPr>
          <w:color w:val="000000" w:themeColor="text1"/>
          <w:sz w:val="16"/>
          <w:szCs w:val="16"/>
        </w:rPr>
        <w:softHyphen/>
        <w:t>щения. При этом количество оборудования, подлежащего изъятию из западных зон в счет репараций для СССР, должно было быть определено в течение шести меся</w:t>
      </w:r>
      <w:r w:rsidRPr="00F90EAE">
        <w:rPr>
          <w:color w:val="000000" w:themeColor="text1"/>
          <w:sz w:val="16"/>
          <w:szCs w:val="16"/>
        </w:rPr>
        <w:softHyphen/>
        <w:t>цев. В соответствии с решениями Берлинской конференции СССР также взял на себя обязательство удовлетворить репарационные претензии Польши к Германии из своей репарационной доли. Соответствующее соглашение между СССР и Поль</w:t>
      </w:r>
      <w:r w:rsidRPr="00F90EAE">
        <w:rPr>
          <w:color w:val="000000" w:themeColor="text1"/>
          <w:sz w:val="16"/>
          <w:szCs w:val="16"/>
        </w:rPr>
        <w:softHyphen/>
        <w:t>шей было заключено 16 августа 1945 г. СССР уступал Польше 15% всех репарацион</w:t>
      </w:r>
      <w:r w:rsidRPr="00F90EAE">
        <w:rPr>
          <w:color w:val="000000" w:themeColor="text1"/>
          <w:sz w:val="16"/>
          <w:szCs w:val="16"/>
        </w:rPr>
        <w:softHyphen/>
        <w:t>ных поставок из Советской зоны оккупации Германии, которые он должен был по</w:t>
      </w:r>
      <w:r w:rsidRPr="00F90EAE">
        <w:rPr>
          <w:color w:val="000000" w:themeColor="text1"/>
          <w:sz w:val="16"/>
          <w:szCs w:val="16"/>
        </w:rPr>
        <w:softHyphen/>
        <w:t>лучить в порядке обмена на другие товары, и 15% оборудования, которое вывозилось из Советской зоны оккупации без возмещения. Де-факто с первых дней оккупации Германии СССР взял курс на зональное изъятие репараций. Это прояви</w:t>
      </w:r>
      <w:r w:rsidRPr="00F90EAE">
        <w:rPr>
          <w:color w:val="000000" w:themeColor="text1"/>
          <w:sz w:val="16"/>
          <w:szCs w:val="16"/>
        </w:rPr>
        <w:softHyphen/>
        <w:t>лось в массовом демонтаже немецких предприятий и других технических объектов. Являясь в этот период времени основной формой возмещения огромного матери</w:t>
      </w:r>
      <w:r w:rsidRPr="00F90EAE">
        <w:rPr>
          <w:color w:val="000000" w:themeColor="text1"/>
          <w:sz w:val="16"/>
          <w:szCs w:val="16"/>
        </w:rPr>
        <w:softHyphen/>
        <w:t>ального ущерба, нанесенного Советскому Союзу немецкой агрессией, демонтажные работы в Советской зоне оккупации имели безусловный приоритет для советских оккупационных властей. То, что державами-победительницами еще даже не были выработаны основы совместной репарационной политики в отношении Германии, совершенно не меняло позиции советской стороны по этому вопросу. Лишь в сере</w:t>
      </w:r>
      <w:r w:rsidRPr="00F90EAE">
        <w:rPr>
          <w:color w:val="000000" w:themeColor="text1"/>
          <w:sz w:val="16"/>
          <w:szCs w:val="16"/>
        </w:rPr>
        <w:softHyphen/>
        <w:t>дине октября 1945 г. появилось распоряжение СНК СССР о «прекращении само</w:t>
      </w:r>
      <w:r w:rsidRPr="00F90EAE">
        <w:rPr>
          <w:color w:val="000000" w:themeColor="text1"/>
          <w:sz w:val="16"/>
          <w:szCs w:val="16"/>
        </w:rPr>
        <w:softHyphen/>
        <w:t>вольного изъятия трофеев» в Советской зоне оккупации Германии, при этом распо</w:t>
      </w:r>
      <w:r w:rsidRPr="00F90EAE">
        <w:rPr>
          <w:color w:val="000000" w:themeColor="text1"/>
          <w:sz w:val="16"/>
          <w:szCs w:val="16"/>
        </w:rPr>
        <w:softHyphen/>
        <w:t>ряжение СНК весьма красноречиво комментировалось телеграммой наркома иностранных дел СССР В.М. Молотова, адресованной Главноначальствующему СВАГ Г.К. Жукову: «Текст постановления Совнаркома сформулирован таким обра</w:t>
      </w:r>
      <w:r w:rsidRPr="00F90EAE">
        <w:rPr>
          <w:color w:val="000000" w:themeColor="text1"/>
          <w:sz w:val="16"/>
          <w:szCs w:val="16"/>
        </w:rPr>
        <w:softHyphen/>
        <w:t>зом, чтобы в случае необходимости он мог быть использован в будущем для предъ</w:t>
      </w:r>
      <w:r w:rsidRPr="00F90EAE">
        <w:rPr>
          <w:color w:val="000000" w:themeColor="text1"/>
          <w:sz w:val="16"/>
          <w:szCs w:val="16"/>
        </w:rPr>
        <w:softHyphen/>
        <w:t>явления союзникам». Одновременно подчеркивалось, что это решение «отнюдь не должно задерживать выполнение решений ГКО о демонтаже германских предприя</w:t>
      </w:r>
      <w:r w:rsidRPr="00F90EAE">
        <w:rPr>
          <w:color w:val="000000" w:themeColor="text1"/>
          <w:sz w:val="16"/>
          <w:szCs w:val="16"/>
        </w:rPr>
        <w:softHyphen/>
        <w:t>тий и вывозе трофейного имущества» (см.: ГА РФ. Ф. Р-9401. Оп. 2. Д. 104. Л. 281). После Берлинской конференции вопрос о репарациях продолжал оставаться посто</w:t>
      </w:r>
      <w:r w:rsidRPr="00F90EAE">
        <w:rPr>
          <w:color w:val="000000" w:themeColor="text1"/>
          <w:sz w:val="16"/>
          <w:szCs w:val="16"/>
        </w:rPr>
        <w:softHyphen/>
        <w:t>янным раздражителем в отношениях СССР и западных союзников в Германии. По</w:t>
      </w:r>
      <w:r w:rsidRPr="00F90EAE">
        <w:rPr>
          <w:color w:val="000000" w:themeColor="text1"/>
          <w:sz w:val="16"/>
          <w:szCs w:val="16"/>
        </w:rPr>
        <w:softHyphen/>
        <w:t>этому основные усилия Москвы и советских оккупационных властей в этом направ</w:t>
      </w:r>
      <w:r w:rsidRPr="00F90EAE">
        <w:rPr>
          <w:color w:val="000000" w:themeColor="text1"/>
          <w:sz w:val="16"/>
          <w:szCs w:val="16"/>
        </w:rPr>
        <w:softHyphen/>
        <w:t>лении сосредоточились на Советской оккупационной зоне. Так, например, в 1946 г. упор был сделан на изъятие репараций в форме поставок продукции из текущего производства зоны. Для этой цели несколько сотен немецких промышленных пред</w:t>
      </w:r>
      <w:r w:rsidRPr="00F90EAE">
        <w:rPr>
          <w:color w:val="000000" w:themeColor="text1"/>
          <w:sz w:val="16"/>
          <w:szCs w:val="16"/>
        </w:rPr>
        <w:softHyphen/>
        <w:t>приятий и др. технических объектов были объявлены собственностью СССР и на их базе был образован ряд Советских акционерных обществ в Германии. См.: Пос</w:t>
      </w:r>
      <w:r w:rsidRPr="00F90EAE">
        <w:rPr>
          <w:color w:val="000000" w:themeColor="text1"/>
          <w:sz w:val="16"/>
          <w:szCs w:val="16"/>
        </w:rPr>
        <w:softHyphen/>
        <w:t>тановление Совета Народных Комиссаров СССР № 175-68с от 25 января 1946 г. об изъятии в собственность СССР германских предприятий и об организации на базе этих предприятий акционерных обществ. Приложение: список германских пред</w:t>
      </w:r>
      <w:r w:rsidRPr="00F90EAE">
        <w:rPr>
          <w:color w:val="000000" w:themeColor="text1"/>
          <w:sz w:val="16"/>
          <w:szCs w:val="16"/>
        </w:rPr>
        <w:softHyphen/>
        <w:t>приятий, изымаемых в собственность Советского Союза. Там же. Ф. Р-7317. Оп. 7. Д. 17. Л. 3—18; Приказ Главноначальствующего СВАГ № 003 от 8 марта 1946 г. «Об изъятии и передаче в собственность СССР германских предприятий и об организа</w:t>
      </w:r>
      <w:r w:rsidRPr="00F90EAE">
        <w:rPr>
          <w:color w:val="000000" w:themeColor="text1"/>
          <w:sz w:val="16"/>
          <w:szCs w:val="16"/>
        </w:rPr>
        <w:softHyphen/>
        <w:t>ции на базе этих предприятий акционерных обществ». Там же. Д. 29. Л. 9—25; При</w:t>
      </w:r>
      <w:r w:rsidRPr="00F90EAE">
        <w:rPr>
          <w:color w:val="000000" w:themeColor="text1"/>
          <w:sz w:val="16"/>
          <w:szCs w:val="16"/>
        </w:rPr>
        <w:softHyphen/>
        <w:t>каз Главноначальствующего СВАГ № 167 от 5 июня 1946 г. о переходе в собствен</w:t>
      </w:r>
      <w:r w:rsidRPr="00F90EAE">
        <w:rPr>
          <w:color w:val="000000" w:themeColor="text1"/>
          <w:sz w:val="16"/>
          <w:szCs w:val="16"/>
        </w:rPr>
        <w:softHyphen/>
        <w:t>ность СССР предприятий в Германии в порядке удовлетворения репарационных претензий СССР. Там же. Оп. 8. Д. 5. Л. 312—324 (11419).</w:t>
      </w:r>
    </w:p>
    <w:p w14:paraId="2D6E61A1" w14:textId="77777777" w:rsidR="00C2313B" w:rsidRPr="00F90EAE" w:rsidRDefault="00C2313B" w:rsidP="00F90EAE">
      <w:pPr>
        <w:autoSpaceDE w:val="0"/>
        <w:autoSpaceDN w:val="0"/>
        <w:adjustRightInd w:val="0"/>
        <w:jc w:val="both"/>
        <w:rPr>
          <w:color w:val="000000" w:themeColor="text1"/>
          <w:sz w:val="16"/>
          <w:szCs w:val="16"/>
        </w:rPr>
      </w:pPr>
    </w:p>
    <w:p w14:paraId="7EA41C9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февраля 1945 вышло Постановление ГКО № 7483 Об использовании для ремонта боевой техники промышленных предприятий Будапешта. РГАНИР, Фонд ГКО, д. 369, лл. 90-91 (11012).</w:t>
      </w:r>
    </w:p>
    <w:p w14:paraId="78E9315B" w14:textId="77777777" w:rsidR="00C2313B" w:rsidRPr="00F90EAE" w:rsidRDefault="00C2313B" w:rsidP="00F90EAE">
      <w:pPr>
        <w:autoSpaceDE w:val="0"/>
        <w:autoSpaceDN w:val="0"/>
        <w:adjustRightInd w:val="0"/>
        <w:jc w:val="both"/>
        <w:rPr>
          <w:color w:val="000000" w:themeColor="text1"/>
          <w:sz w:val="16"/>
          <w:szCs w:val="16"/>
        </w:rPr>
      </w:pPr>
    </w:p>
    <w:p w14:paraId="251756F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B6EF7CD" w14:textId="77777777" w:rsidR="00C2313B" w:rsidRPr="00F90EAE" w:rsidRDefault="00C2313B" w:rsidP="00F90EAE">
      <w:pPr>
        <w:autoSpaceDE w:val="0"/>
        <w:autoSpaceDN w:val="0"/>
        <w:adjustRightInd w:val="0"/>
        <w:jc w:val="both"/>
        <w:rPr>
          <w:iCs/>
          <w:color w:val="000000" w:themeColor="text1"/>
          <w:sz w:val="16"/>
          <w:szCs w:val="16"/>
        </w:rPr>
      </w:pPr>
    </w:p>
    <w:p w14:paraId="3B25394E"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из-за ухудшающейся ситуации на фронтах вся работа над германским самолетом-разведчиком </w:t>
      </w:r>
      <w:hyperlink r:id="rId31" w:tgtFrame="_blank" w:history="1">
        <w:r w:rsidRPr="00F90EAE">
          <w:rPr>
            <w:color w:val="000000" w:themeColor="text1"/>
            <w:sz w:val="16"/>
            <w:szCs w:val="16"/>
          </w:rPr>
          <w:t xml:space="preserve">«Ju 635» </w:t>
        </w:r>
      </w:hyperlink>
      <w:r w:rsidRPr="00F90EAE">
        <w:rPr>
          <w:color w:val="000000" w:themeColor="text1"/>
          <w:sz w:val="16"/>
          <w:szCs w:val="16"/>
        </w:rPr>
        <w:t>была остановлена (15031).</w:t>
      </w:r>
    </w:p>
    <w:p w14:paraId="1E144A44" w14:textId="77777777" w:rsidR="003D013D" w:rsidRPr="00F90EAE" w:rsidRDefault="003D013D" w:rsidP="00F90EAE">
      <w:pPr>
        <w:jc w:val="both"/>
        <w:rPr>
          <w:color w:val="000000" w:themeColor="text1"/>
          <w:sz w:val="16"/>
          <w:szCs w:val="16"/>
        </w:rPr>
      </w:pPr>
    </w:p>
    <w:p w14:paraId="0B71DFE2"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февраля 1945 левые греческие партизаны согласились сложить оружие в обмен на обещание амнистии со стороны проанглийского правительства Греции (4962).</w:t>
      </w:r>
    </w:p>
    <w:p w14:paraId="2AA69807"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5422FD7D" w14:textId="77777777" w:rsidR="003D013D" w:rsidRPr="00F90EAE" w:rsidRDefault="003D013D" w:rsidP="00F90EAE">
      <w:pPr>
        <w:jc w:val="both"/>
        <w:rPr>
          <w:color w:val="000000" w:themeColor="text1"/>
          <w:sz w:val="16"/>
          <w:szCs w:val="16"/>
        </w:rPr>
      </w:pPr>
      <w:r w:rsidRPr="00F90EAE">
        <w:rPr>
          <w:bCs/>
          <w:color w:val="000000" w:themeColor="text1"/>
          <w:sz w:val="16"/>
          <w:szCs w:val="16"/>
        </w:rPr>
        <w:t>5 февраля</w:t>
      </w:r>
      <w:r w:rsidRPr="00F90EAE">
        <w:rPr>
          <w:color w:val="000000" w:themeColor="text1"/>
          <w:sz w:val="16"/>
          <w:szCs w:val="16"/>
        </w:rPr>
        <w:t xml:space="preserve"> в 1945 году левые греческие партизаны соглашаются сложить оружие в обмен на обещание амнистии со стороны проанглийского правительства Греции (15031).</w:t>
      </w:r>
    </w:p>
    <w:p w14:paraId="5D63800C" w14:textId="77777777" w:rsidR="003D013D" w:rsidRPr="00F90EAE" w:rsidRDefault="003D013D" w:rsidP="00F90EAE">
      <w:pPr>
        <w:jc w:val="both"/>
        <w:rPr>
          <w:color w:val="000000" w:themeColor="text1"/>
          <w:sz w:val="16"/>
          <w:szCs w:val="16"/>
        </w:rPr>
      </w:pPr>
    </w:p>
    <w:p w14:paraId="4D342BD1" w14:textId="77777777" w:rsidR="003D013D" w:rsidRPr="00F90EAE" w:rsidRDefault="003D013D"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февраля 1945 на скачках в Мексике лошадь Большая Ракета установила мировой рекорд скорости - 70 км/ч (4962).</w:t>
      </w:r>
    </w:p>
    <w:p w14:paraId="6581DA7F" w14:textId="77777777" w:rsidR="003D013D" w:rsidRPr="00F90EAE" w:rsidRDefault="003D013D" w:rsidP="00F90EAE">
      <w:pPr>
        <w:tabs>
          <w:tab w:val="left" w:pos="11199"/>
        </w:tabs>
        <w:autoSpaceDE w:val="0"/>
        <w:autoSpaceDN w:val="0"/>
        <w:adjustRightInd w:val="0"/>
        <w:jc w:val="both"/>
        <w:rPr>
          <w:color w:val="000000" w:themeColor="text1"/>
          <w:sz w:val="16"/>
          <w:szCs w:val="16"/>
        </w:rPr>
      </w:pPr>
    </w:p>
    <w:p w14:paraId="41A837B7"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6E51CD" w14:textId="77777777" w:rsidR="00C2313B" w:rsidRPr="00F90EAE" w:rsidRDefault="00C2313B" w:rsidP="00F90EAE">
      <w:pPr>
        <w:autoSpaceDE w:val="0"/>
        <w:autoSpaceDN w:val="0"/>
        <w:adjustRightInd w:val="0"/>
        <w:jc w:val="both"/>
        <w:rPr>
          <w:iCs/>
          <w:color w:val="000000" w:themeColor="text1"/>
          <w:sz w:val="16"/>
          <w:szCs w:val="16"/>
        </w:rPr>
      </w:pPr>
    </w:p>
    <w:p w14:paraId="3C451C0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вышел приказ НКАП N 43сс:</w:t>
      </w:r>
    </w:p>
    <w:p w14:paraId="425060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39 Нестерову построить один опытный летный экз. нового бронированного штурмовика (Ил-16) с АМ-43 с нижеследующими ЛД:</w:t>
      </w:r>
    </w:p>
    <w:p w14:paraId="208D3E8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у земли - 560 км/час</w:t>
      </w:r>
    </w:p>
    <w:p w14:paraId="65A5899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Макс. скорость на высоте 3400 м - 625 км/час</w:t>
      </w:r>
    </w:p>
    <w:p w14:paraId="1A9CC5B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Потолок - 9000 м</w:t>
      </w:r>
    </w:p>
    <w:p w14:paraId="0B5AD9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Макс. дальность - 800 км</w:t>
      </w:r>
    </w:p>
    <w:p w14:paraId="3768F80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Норм. бомбовая нагрузка - 400 кг</w:t>
      </w:r>
    </w:p>
    <w:p w14:paraId="510004D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Перегрузочный вариант бомб - 500 кг</w:t>
      </w:r>
    </w:p>
    <w:p w14:paraId="08C5FC2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Вооружение:</w:t>
      </w:r>
    </w:p>
    <w:p w14:paraId="2E6734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а) вперед - 2х23мм НС с 300</w:t>
      </w:r>
    </w:p>
    <w:p w14:paraId="4852B4F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- 2хШКАС с 1000</w:t>
      </w:r>
    </w:p>
    <w:p w14:paraId="27F4C47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назад - Б20 мм со 150</w:t>
      </w:r>
    </w:p>
    <w:p w14:paraId="7420E7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заводские летные испытания выпустить 15 июня</w:t>
      </w:r>
    </w:p>
    <w:p w14:paraId="2D650D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ГК С.В.И. сдать рабочие чертежи нового ш заводу 30 6 февраля 1945." (1889,26).</w:t>
      </w:r>
    </w:p>
    <w:p w14:paraId="18B460E9" w14:textId="77777777" w:rsidR="00C2313B" w:rsidRPr="00F90EAE" w:rsidRDefault="00C2313B" w:rsidP="00F90EAE">
      <w:pPr>
        <w:autoSpaceDE w:val="0"/>
        <w:autoSpaceDN w:val="0"/>
        <w:adjustRightInd w:val="0"/>
        <w:jc w:val="both"/>
        <w:rPr>
          <w:color w:val="000000" w:themeColor="text1"/>
          <w:sz w:val="16"/>
          <w:szCs w:val="16"/>
        </w:rPr>
      </w:pPr>
    </w:p>
    <w:p w14:paraId="5AF6828A"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6 февраля 1945 вышел приказ НКАП о постройке на заводе № 30 в Москве трех опытных экземпляров Ил-16. Второй экземпляр планировалось использовать для проведения статических испытаний, а два других - для летных. При этом первый экземпляр предполагалось вооружить пушками калибра 23 мм, а третий - пушками калибра 37 мм. Для стрельбы назад - пушка 20 мм. Бомбы - 400 кг (500 кг в перегрузку). Максимальная скорость у земли - 560 км/ч, на высоте 3400 м - 625 км/ч, посадочная скорость - 145 км/ч, время подъема на 5000 м - 6,5 мин, дальность полета - 800 км, потолок - 9000 м. Срок выпуска на заводские летные испытания устанавливался 15 июня 1945 года.</w:t>
      </w:r>
    </w:p>
    <w:p w14:paraId="3DFAD54E"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 xml:space="preserve">По схеме и компоновке Ил-16 был подобен Ил-10, но меньше по размерам. Уменьшили размах и площадь крыла, а также длину фюзеляжа. Профиль крыла: по борту фюзеляжа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0018, по внутренней хорде элеронов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230, на конце крыла -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4410. Использовался четырехлопастный винт серии Ф-1 диаметром 3,4 м.</w:t>
      </w:r>
    </w:p>
    <w:p w14:paraId="5AD5DDC3" w14:textId="77777777" w:rsidR="001907E8" w:rsidRPr="00F90EAE" w:rsidRDefault="001907E8" w:rsidP="00F90EAE">
      <w:pPr>
        <w:jc w:val="both"/>
        <w:rPr>
          <w:color w:val="000000" w:themeColor="text1"/>
          <w:sz w:val="16"/>
          <w:szCs w:val="16"/>
        </w:rPr>
      </w:pPr>
      <w:r w:rsidRPr="00F90EAE">
        <w:rPr>
          <w:rStyle w:val="107"/>
          <w:rFonts w:eastAsiaTheme="minorHAnsi"/>
          <w:color w:val="000000" w:themeColor="text1"/>
          <w:sz w:val="16"/>
          <w:szCs w:val="16"/>
        </w:rPr>
        <w:t>Некоторая экономия веса достигалась и за счет изменения схемы бронирования. В верхней части капота площадь незабронированной части увеличили, а толщину боковых листов уменьшили (17490).</w:t>
      </w:r>
    </w:p>
    <w:p w14:paraId="59A9662B" w14:textId="77777777" w:rsidR="001907E8" w:rsidRPr="00F90EAE" w:rsidRDefault="001907E8" w:rsidP="00F90EAE">
      <w:pPr>
        <w:jc w:val="both"/>
        <w:rPr>
          <w:rStyle w:val="107"/>
          <w:rFonts w:eastAsiaTheme="minorHAnsi"/>
          <w:color w:val="000000" w:themeColor="text1"/>
          <w:sz w:val="16"/>
          <w:szCs w:val="16"/>
        </w:rPr>
      </w:pPr>
    </w:p>
    <w:p w14:paraId="52C161C7" w14:textId="77777777" w:rsidR="004D08EC" w:rsidRPr="00F90EAE" w:rsidRDefault="004D08EC"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на завод 30 была передана конструкторская документация по Ил-16 с АМ-43НВ (3846,20).</w:t>
      </w:r>
    </w:p>
    <w:p w14:paraId="5FD0E72F" w14:textId="77777777" w:rsidR="004D08EC" w:rsidRPr="00F90EAE" w:rsidRDefault="004D08EC" w:rsidP="00F90EAE">
      <w:pPr>
        <w:autoSpaceDE w:val="0"/>
        <w:autoSpaceDN w:val="0"/>
        <w:adjustRightInd w:val="0"/>
        <w:jc w:val="both"/>
        <w:rPr>
          <w:color w:val="000000" w:themeColor="text1"/>
          <w:sz w:val="16"/>
          <w:szCs w:val="16"/>
        </w:rPr>
      </w:pPr>
    </w:p>
    <w:p w14:paraId="6C41D2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Нач. 1 отд. 2У ГК НИИ ВВС и/п Гервасов подписал, а 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3430F1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Ответственный исполнитель К.А.Савенко</w:t>
      </w:r>
    </w:p>
    <w:p w14:paraId="54AA341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Сделаны выводы об эффективности применения высотных корректоров на различных режимах полета.</w:t>
      </w:r>
    </w:p>
    <w:p w14:paraId="209C51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Были использованы данные из отчетов по испытаниям с-тов Як, Пе-2, и Ил-2</w:t>
      </w:r>
    </w:p>
    <w:p w14:paraId="27F85F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исследовании эффнективности применения высотных корректоров последний открывался по внешним причинам работы мотора</w:t>
      </w:r>
    </w:p>
    <w:p w14:paraId="7E8038C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80E12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Як-9Д № 0715306 с ВК-105ПФ № 335-1896 (апрель-май 1944)</w:t>
      </w:r>
    </w:p>
    <w:p w14:paraId="6EEAFF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к Ф.Ф.Демида</w:t>
      </w:r>
    </w:p>
    <w:p w14:paraId="484735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Як-9 № 09-09 с ВК-105ПФ № 325-2056 (май-июнь 1944)</w:t>
      </w:r>
    </w:p>
    <w:p w14:paraId="6EED3C9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м-р Антипов</w:t>
      </w:r>
    </w:p>
    <w:p w14:paraId="1E3A1EC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Ил-2 № 1122 АМ-38Ф февраля 1943</w:t>
      </w:r>
    </w:p>
    <w:p w14:paraId="36BAD16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Л Демидов</w:t>
      </w:r>
    </w:p>
    <w:p w14:paraId="3800C0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0FEB84C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5951DCB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 (809,2).</w:t>
      </w:r>
    </w:p>
    <w:p w14:paraId="348E8166" w14:textId="77777777" w:rsidR="00C2313B" w:rsidRPr="00F90EAE" w:rsidRDefault="00C2313B" w:rsidP="00F90EAE">
      <w:pPr>
        <w:autoSpaceDE w:val="0"/>
        <w:autoSpaceDN w:val="0"/>
        <w:adjustRightInd w:val="0"/>
        <w:jc w:val="both"/>
        <w:rPr>
          <w:color w:val="000000" w:themeColor="text1"/>
          <w:sz w:val="16"/>
          <w:szCs w:val="16"/>
        </w:rPr>
      </w:pPr>
    </w:p>
    <w:p w14:paraId="5A07031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г. А.И.Ш. наложил резолюцию: "Это очень важные и интересные предложения, их нужно быстрее реализовать. Предварительно нужно провести продувки в трубе и не обязательно связываться с форсированными моторами" на январское письмо П.О.С., которая стала отправной точкой для малой модернизации Ер-2. К подготовке рабочих чертежей приступили в середине февраля.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5A0F604D" w14:textId="77777777" w:rsidR="00C2313B" w:rsidRPr="00F90EAE" w:rsidRDefault="00C2313B" w:rsidP="00F90EAE">
      <w:pPr>
        <w:autoSpaceDE w:val="0"/>
        <w:autoSpaceDN w:val="0"/>
        <w:adjustRightInd w:val="0"/>
        <w:jc w:val="both"/>
        <w:rPr>
          <w:color w:val="000000" w:themeColor="text1"/>
          <w:sz w:val="16"/>
          <w:szCs w:val="16"/>
        </w:rPr>
      </w:pPr>
    </w:p>
    <w:p w14:paraId="1AEE51F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года вышел приказ НКАП:</w:t>
      </w:r>
    </w:p>
    <w:p w14:paraId="43CB9BC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Утвердить Волкова П.П. директором завода № 230, освободив Соколовского А.Н. (8958)</w:t>
      </w:r>
    </w:p>
    <w:p w14:paraId="75248885" w14:textId="77777777" w:rsidR="00C2313B" w:rsidRPr="00F90EAE" w:rsidRDefault="00C2313B" w:rsidP="00F90EAE">
      <w:pPr>
        <w:autoSpaceDE w:val="0"/>
        <w:autoSpaceDN w:val="0"/>
        <w:adjustRightInd w:val="0"/>
        <w:jc w:val="both"/>
        <w:rPr>
          <w:iCs/>
          <w:color w:val="000000" w:themeColor="text1"/>
          <w:sz w:val="16"/>
          <w:szCs w:val="16"/>
        </w:rPr>
      </w:pPr>
    </w:p>
    <w:p w14:paraId="159644FD"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0E15C53" w14:textId="77777777" w:rsidR="00C2313B" w:rsidRPr="00F90EAE" w:rsidRDefault="00C2313B" w:rsidP="00F90EAE">
      <w:pPr>
        <w:autoSpaceDE w:val="0"/>
        <w:autoSpaceDN w:val="0"/>
        <w:adjustRightInd w:val="0"/>
        <w:jc w:val="both"/>
        <w:rPr>
          <w:iCs/>
          <w:color w:val="000000" w:themeColor="text1"/>
          <w:sz w:val="16"/>
          <w:szCs w:val="16"/>
        </w:rPr>
      </w:pPr>
    </w:p>
    <w:p w14:paraId="209FC1C2"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6 февраля 1945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2BD8EEA5" w14:textId="77777777" w:rsidR="00FA59CB" w:rsidRPr="00F90EAE" w:rsidRDefault="00FA59CB" w:rsidP="00F90EAE">
      <w:pPr>
        <w:pStyle w:val="ae"/>
        <w:shd w:val="clear" w:color="auto" w:fill="FFFFFF"/>
        <w:spacing w:before="0" w:after="0"/>
        <w:jc w:val="both"/>
        <w:rPr>
          <w:color w:val="000000" w:themeColor="text1"/>
          <w:sz w:val="16"/>
          <w:szCs w:val="16"/>
        </w:rPr>
      </w:pPr>
    </w:p>
    <w:p w14:paraId="3C47E823" w14:textId="77777777" w:rsidR="004D08EC" w:rsidRPr="00F90EAE" w:rsidRDefault="004D08EC" w:rsidP="00F90EAE">
      <w:pPr>
        <w:shd w:val="clear" w:color="auto" w:fill="FFFFFF"/>
        <w:jc w:val="both"/>
        <w:rPr>
          <w:color w:val="000000" w:themeColor="text1"/>
          <w:sz w:val="16"/>
          <w:szCs w:val="16"/>
        </w:rPr>
      </w:pPr>
      <w:r w:rsidRPr="00F90EAE">
        <w:rPr>
          <w:color w:val="000000" w:themeColor="text1"/>
          <w:sz w:val="16"/>
          <w:szCs w:val="16"/>
        </w:rPr>
        <w:t>6 февраля 1945 был издан приказ №66 по Народному комиссариату танковой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всё ещё не было видно. Кроме того, как раз в феврале 1945 года происходила доводка модернизированного ИС-2, получившего заводской индекс Кировец-1, а также чертёжный индекс 703 (Объект 703). Месяц спустя, 29 марта 1945 года, 703-й приняли на вооружение как ИС-3, что ещё сильнее отдалило перспективу запуска Объекта 701 в серию (16735).</w:t>
      </w:r>
    </w:p>
    <w:p w14:paraId="2DA16966" w14:textId="77777777" w:rsidR="004D08EC" w:rsidRPr="00F90EAE" w:rsidRDefault="004D08EC" w:rsidP="00F90EAE">
      <w:pPr>
        <w:jc w:val="both"/>
        <w:rPr>
          <w:rStyle w:val="107"/>
          <w:rFonts w:eastAsiaTheme="minorHAnsi"/>
          <w:color w:val="000000" w:themeColor="text1"/>
          <w:sz w:val="16"/>
          <w:szCs w:val="16"/>
        </w:rPr>
      </w:pPr>
    </w:p>
    <w:p w14:paraId="24552A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вышло Постановление ГКО № 7487 О неотложных мероприятиях по предохранению взорванных набережных на р. Западная Двина в г. Риге от дальнейшего разрушения при весеннем паводке. РГАНИР, Фонд ГКО, д. 369, лл. 106-108 (11012).</w:t>
      </w:r>
    </w:p>
    <w:p w14:paraId="72390176" w14:textId="77777777" w:rsidR="00C2313B" w:rsidRPr="00F90EAE" w:rsidRDefault="00C2313B" w:rsidP="00F90EAE">
      <w:pPr>
        <w:autoSpaceDE w:val="0"/>
        <w:autoSpaceDN w:val="0"/>
        <w:adjustRightInd w:val="0"/>
        <w:jc w:val="both"/>
        <w:rPr>
          <w:color w:val="000000" w:themeColor="text1"/>
          <w:sz w:val="16"/>
          <w:szCs w:val="16"/>
        </w:rPr>
      </w:pPr>
    </w:p>
    <w:p w14:paraId="0FFA06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вышло Постановление ГКО № 7488 О мероприятиях по обеспечению углем электростанций НКЭС: казанских, омских, Барнаульской и Игумновской. РГАНИР, Фонд ГКО, д. 369, лл. 109-112 (11012).</w:t>
      </w:r>
    </w:p>
    <w:p w14:paraId="05D08A53" w14:textId="77777777" w:rsidR="00C2313B" w:rsidRPr="00F90EAE" w:rsidRDefault="00C2313B" w:rsidP="00F90EAE">
      <w:pPr>
        <w:autoSpaceDE w:val="0"/>
        <w:autoSpaceDN w:val="0"/>
        <w:adjustRightInd w:val="0"/>
        <w:jc w:val="both"/>
        <w:rPr>
          <w:color w:val="000000" w:themeColor="text1"/>
          <w:sz w:val="16"/>
          <w:szCs w:val="16"/>
        </w:rPr>
      </w:pPr>
    </w:p>
    <w:p w14:paraId="2C57372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вышло Постановление ГКО № 7489 О мероприятиях по обеспечению топливом куйбышевских электростанций. РГАНИР, Фонд ГКО, д. 369, лл. 113-115 (11012).</w:t>
      </w:r>
    </w:p>
    <w:p w14:paraId="28EC3C1F" w14:textId="77777777" w:rsidR="00C2313B" w:rsidRPr="00F90EAE" w:rsidRDefault="00C2313B" w:rsidP="00F90EAE">
      <w:pPr>
        <w:autoSpaceDE w:val="0"/>
        <w:autoSpaceDN w:val="0"/>
        <w:adjustRightInd w:val="0"/>
        <w:jc w:val="both"/>
        <w:rPr>
          <w:color w:val="000000" w:themeColor="text1"/>
          <w:sz w:val="16"/>
          <w:szCs w:val="16"/>
        </w:rPr>
      </w:pPr>
    </w:p>
    <w:p w14:paraId="09CB4064"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февраля 1945 вышло Распоряжение ГКО № 7490 [О мерах по обеспечению вывоза соли из затопляемых мест.] (7307, 116-118).</w:t>
      </w:r>
    </w:p>
    <w:p w14:paraId="5571E89C"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0DF58FE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На Балтийском заводе заложен 14-й ТЩ типа МТ-2 (10671).</w:t>
      </w:r>
    </w:p>
    <w:p w14:paraId="209F361D" w14:textId="77777777" w:rsidR="00C2313B" w:rsidRPr="00F90EAE" w:rsidRDefault="00C2313B" w:rsidP="00F90EAE">
      <w:pPr>
        <w:autoSpaceDE w:val="0"/>
        <w:autoSpaceDN w:val="0"/>
        <w:adjustRightInd w:val="0"/>
        <w:jc w:val="both"/>
        <w:rPr>
          <w:color w:val="000000" w:themeColor="text1"/>
          <w:sz w:val="16"/>
          <w:szCs w:val="16"/>
        </w:rPr>
      </w:pPr>
    </w:p>
    <w:p w14:paraId="16EBC729"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E443474" w14:textId="77777777" w:rsidR="00C2313B" w:rsidRPr="00F90EAE" w:rsidRDefault="00C2313B" w:rsidP="00F90EAE">
      <w:pPr>
        <w:autoSpaceDE w:val="0"/>
        <w:autoSpaceDN w:val="0"/>
        <w:adjustRightInd w:val="0"/>
        <w:jc w:val="both"/>
        <w:rPr>
          <w:iCs/>
          <w:color w:val="000000" w:themeColor="text1"/>
          <w:sz w:val="16"/>
          <w:szCs w:val="16"/>
        </w:rPr>
      </w:pPr>
    </w:p>
    <w:p w14:paraId="499D27B2" w14:textId="77777777" w:rsidR="00DB43FF" w:rsidRPr="00F90EAE" w:rsidRDefault="00DB43FF" w:rsidP="00F90EAE">
      <w:pPr>
        <w:jc w:val="both"/>
        <w:rPr>
          <w:color w:val="000000" w:themeColor="text1"/>
          <w:sz w:val="16"/>
          <w:szCs w:val="16"/>
        </w:rPr>
      </w:pPr>
      <w:r w:rsidRPr="00F90EAE">
        <w:rPr>
          <w:bCs/>
          <w:color w:val="000000" w:themeColor="text1"/>
          <w:sz w:val="16"/>
          <w:szCs w:val="16"/>
        </w:rPr>
        <w:t>6 февраля</w:t>
      </w:r>
      <w:r w:rsidRPr="00F90EAE">
        <w:rPr>
          <w:color w:val="000000" w:themeColor="text1"/>
          <w:sz w:val="16"/>
          <w:szCs w:val="16"/>
        </w:rPr>
        <w:t xml:space="preserve"> в 1945 году оперативная сводка Совинформбюро:</w:t>
      </w:r>
    </w:p>
    <w:p w14:paraId="2D08C4B0" w14:textId="77777777" w:rsidR="00DB43FF" w:rsidRPr="00F90EAE" w:rsidRDefault="00DB43FF" w:rsidP="00F90EAE">
      <w:pPr>
        <w:jc w:val="both"/>
        <w:rPr>
          <w:color w:val="000000" w:themeColor="text1"/>
          <w:sz w:val="16"/>
          <w:szCs w:val="16"/>
        </w:rPr>
      </w:pPr>
      <w:r w:rsidRPr="00F90EAE">
        <w:rPr>
          <w:color w:val="000000" w:themeColor="text1"/>
          <w:sz w:val="16"/>
          <w:szCs w:val="16"/>
        </w:rPr>
        <w:t>«В течение 6 февраля в Восточной Пруссии, севернее города Алленштайн, наши войска в результате наступательных боёв заняли населённые пункты Восседен, Лангвизе, Лаунау, Фраймаркт, Бенерн, Арнсдорф, Фойгтсдорф.</w:t>
      </w:r>
    </w:p>
    <w:p w14:paraId="446E526E"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форсировали реку Одер юго-восточнее города Бреслау (Бреславль), прорвали сильно укреплённую долговременную оборону немцев на западном берегу реки и за три дня наступательных боёв продвинулись вперёд до 20 километров, расширив плацдарм до 80 километров по фронту.</w:t>
      </w:r>
    </w:p>
    <w:p w14:paraId="575D0C2B" w14:textId="77777777" w:rsidR="00DB43FF" w:rsidRPr="00F90EAE" w:rsidRDefault="00DB43FF" w:rsidP="00F90EAE">
      <w:pPr>
        <w:jc w:val="both"/>
        <w:rPr>
          <w:color w:val="000000" w:themeColor="text1"/>
          <w:sz w:val="16"/>
          <w:szCs w:val="16"/>
        </w:rPr>
      </w:pPr>
      <w:r w:rsidRPr="00F90EAE">
        <w:rPr>
          <w:color w:val="000000" w:themeColor="text1"/>
          <w:sz w:val="16"/>
          <w:szCs w:val="16"/>
        </w:rPr>
        <w:t>В ходе наступления войска фронта овладели городами Олау, Бриг, Томаскирх, Гротткау, Левен и Шургаст — важными узлами коммуникаций и сильными опорными пунктами обороны немцев на западном берегу Одера, а также с боями заняли более 60 других населённых пунктов.</w:t>
      </w:r>
    </w:p>
    <w:p w14:paraId="27A8AF08"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наши войска продолжали бои по уничтожению окружённого гарнизона противника в западной части города (Буда) и заняли 12 кварталов.</w:t>
      </w:r>
    </w:p>
    <w:p w14:paraId="0D4F7E7B" w14:textId="77777777" w:rsidR="00DB43FF" w:rsidRPr="00F90EAE" w:rsidRDefault="00DB43FF" w:rsidP="00F90EAE">
      <w:pPr>
        <w:jc w:val="both"/>
        <w:rPr>
          <w:color w:val="000000" w:themeColor="text1"/>
          <w:sz w:val="16"/>
          <w:szCs w:val="16"/>
        </w:rPr>
      </w:pPr>
      <w:r w:rsidRPr="00F90EAE">
        <w:rPr>
          <w:color w:val="000000" w:themeColor="text1"/>
          <w:sz w:val="16"/>
          <w:szCs w:val="16"/>
        </w:rPr>
        <w:t>На 1 -м Белорусском фронте нашими войсками взят в плен командир 433-й немецкой пехотной дивизии генерал-лейтенант Люббе.</w:t>
      </w:r>
    </w:p>
    <w:p w14:paraId="3DB3ED7B" w14:textId="77777777" w:rsidR="00DB43FF" w:rsidRPr="00F90EAE" w:rsidRDefault="00DB43FF" w:rsidP="00F90EAE">
      <w:pPr>
        <w:jc w:val="both"/>
        <w:rPr>
          <w:color w:val="000000" w:themeColor="text1"/>
          <w:sz w:val="16"/>
          <w:szCs w:val="16"/>
        </w:rPr>
      </w:pPr>
      <w:r w:rsidRPr="00F90EAE">
        <w:rPr>
          <w:color w:val="000000" w:themeColor="text1"/>
          <w:sz w:val="16"/>
          <w:szCs w:val="16"/>
        </w:rPr>
        <w:t>За 5 февраля наши войска на всех фронтах подбили и уничтожили 189 немецких танков. В воздушных боях и огнём зенитной артиллерии сбит 21 самолёт противника.</w:t>
      </w:r>
    </w:p>
    <w:p w14:paraId="3AAA5563"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севернее города Алленштайн, наши войска продолжали наступление. Немцы укрепились на заранее подготовленном рубеже, усиленном дотами, и оказывали упорное сопротивление. Части Н-ского соединения, после артиллерийского обстрела вражеских позиций, перешли в атаку. В результате упорного боя, неоднократно переходившего в рукопашные схватки, наши войска заняли несколько опорных пунктов обороны противника. Подтянув резервы, гитлеровцы предприняли ряд контратак, но были отброшены. На поле боя осталось много вражеских трупов. Уничтожено 38 танков и самоходных орудий, 70 полевых орудий и миномётов противника. Взято в плен 1.600 немцев.</w:t>
      </w:r>
    </w:p>
    <w:p w14:paraId="339A784E" w14:textId="77777777" w:rsidR="00DB43FF" w:rsidRPr="00F90EAE" w:rsidRDefault="00DB43FF" w:rsidP="00F90EAE">
      <w:pPr>
        <w:jc w:val="both"/>
        <w:rPr>
          <w:color w:val="000000" w:themeColor="text1"/>
          <w:sz w:val="16"/>
          <w:szCs w:val="16"/>
        </w:rPr>
      </w:pPr>
      <w:r w:rsidRPr="00F90EAE">
        <w:rPr>
          <w:color w:val="000000" w:themeColor="text1"/>
          <w:sz w:val="16"/>
          <w:szCs w:val="16"/>
        </w:rPr>
        <w:t>На одном участке немецкая пехота при поддержке танков ночью атаковала наши позиции. Завязался ожесточённый бой. Наводчик самоходного орудия Владимир Полозов меткими выстрелами подбил один немецкий танк и два бронетранспортёра. Вскоре командир и механик самоходного орудия были ранены. Оставшись один, Полозов стрелял до тех пор, пока не кончились все снаряды. Между тем гитлеровцы наседали. Тогда Полозов взял пулемёт, лёг под орудие и меткими очередями нанёс врагу большой урон. Подоспевшие советские пехотинцы завершили разгром немцев. В другом районе наша стрелковая рота атаковала опорный пункт противника. Рядовой Шубако первый ворвался в траншею и гранатами уничтожил два немецких пулемёта вместе с их расчётами. За день боя т. Шубако истребил 21 гитлеровца.</w:t>
      </w:r>
    </w:p>
    <w:p w14:paraId="48060ACC" w14:textId="77777777" w:rsidR="00DB43FF" w:rsidRPr="00F90EAE" w:rsidRDefault="00DB43FF" w:rsidP="00F90EAE">
      <w:pPr>
        <w:jc w:val="both"/>
        <w:rPr>
          <w:color w:val="000000" w:themeColor="text1"/>
          <w:sz w:val="16"/>
          <w:szCs w:val="16"/>
        </w:rPr>
      </w:pPr>
      <w:r w:rsidRPr="00F90EAE">
        <w:rPr>
          <w:color w:val="000000" w:themeColor="text1"/>
          <w:sz w:val="16"/>
          <w:szCs w:val="16"/>
        </w:rPr>
        <w:t>Советские лётчики в воздушных боях в течение дня сбили 7 немецких самолётов. Кроме того, на аэродромах уничтожено и повреждено 26 самолётов противника.</w:t>
      </w:r>
    </w:p>
    <w:p w14:paraId="2AD9125F" w14:textId="77777777" w:rsidR="00DB43FF" w:rsidRPr="00F90EAE" w:rsidRDefault="00DB43FF" w:rsidP="00F90EAE">
      <w:pPr>
        <w:jc w:val="both"/>
        <w:rPr>
          <w:color w:val="000000" w:themeColor="text1"/>
          <w:sz w:val="16"/>
          <w:szCs w:val="16"/>
        </w:rPr>
      </w:pPr>
      <w:r w:rsidRPr="00F90EAE">
        <w:rPr>
          <w:color w:val="000000" w:themeColor="text1"/>
          <w:sz w:val="16"/>
          <w:szCs w:val="16"/>
        </w:rPr>
        <w:t xml:space="preserve">Войска 1-го Украинского фронта, продолжая наступление, форсировали реку Одер юго-восточнее города Бреслау (Бреславль). Переправа через Одер была сопряжена с огромными трудностями. В полосе обороны, проходящей по левому берегу реки, немцы построили долговременные укрепления и заранее сосредоточили в них крупные силы своих войск. Ширина Одера в этом районе достигает 150 метров. Река не замёрзла, и лишь у её берегов образовались кромки льда. Передовые советские отряды на подручных средствах переправились через Одер и захватили несколько небольших плацдармов. Героическими усилиями советских сапёров, под огнём врага, были наведены переправы. Основные силы нашей пехоты, танков и артиллерии устремились на плацдармы, которые удерживали передовые отряды. Затем советские части с севера и юга атаковали город Олау и овладели этим мощным узлом сопротивления немцев. Другие наши части расширили плацдарм северо-западнее </w:t>
      </w:r>
      <w:r w:rsidRPr="00F90EAE">
        <w:rPr>
          <w:color w:val="000000" w:themeColor="text1"/>
          <w:sz w:val="16"/>
          <w:szCs w:val="16"/>
        </w:rPr>
        <w:lastRenderedPageBreak/>
        <w:t>города Оппельн. Отразив многочисленные контратаки немцев и накопив силы за Одером, наши войска нанесли врагу мощный удар с плацдарма в районе Олау в южном направлении и с плацдарма в районе Оппельна в северо-западном направлении. Долговременная и сильно укреплённая оборона немцев на западном берегу реки Одер была прорвана. Наши войска стремительно продвинулись вперед и соединились в районе юго-западнее города Бриг. Таким образом, немецкий гарнизон города Бриг оказался в мешке. Наши части пошли на штурм и после ожесточённых уличных боёв овладели городом и крепостью Бриг. На подступах к городу советские части захватили 11 немецких самолётов, 26 танков и 25 бронетранспортеров. На поле боя остались тысячи вражеских трупов. В городе Бриг имеется 18 промышленных предприятий, производящих оружие и боевую технику. Развивая успех, наши танкисты стремительно продвинулись в юго-западном направлении и с двух сторон ворвались в город Гротткау. Вместе с подоспевшей пехотой танкисты разгромили вражеский гарнизон и овладели важным узлом коммуникаций городом Гротткау. Захвачены большие трофеи, в числе которых 37 тяжёлых орудий на бетонированных площадках. Только за день боёв уничтожено 70 танков и бронетранспортёров противника. Взято в плен 1.270 немецких солдат и офицеров.</w:t>
      </w:r>
    </w:p>
    <w:p w14:paraId="64A28D51"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в западной части города, наши войска продолжали бои по ликвидации гарнизона противника. Советские части всё теснее сжимают кольцо окружения, истребляя живую силу врага и его технику. Наши штурмовые отряды продвинулись вперёд и разгромили несколько узлов сопротивления немцев. На улицах, занятых сегодня советскими войсками, валяются сотни трупов гитлеровцев. Захвачены трофеи и взято в плен 2.890 солдат и офицеров противника.</w:t>
      </w:r>
    </w:p>
    <w:p w14:paraId="4B144F37" w14:textId="77777777" w:rsidR="00DB43FF" w:rsidRPr="00F90EAE" w:rsidRDefault="00DB43F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атаковала в Данцигской бухте корабли противника. В результате торпедобомбового удара потоплено три немецких транспорта и один танкер общим водоизмещением в 24 тысячи тонн.</w:t>
      </w:r>
    </w:p>
    <w:p w14:paraId="652FD54F" w14:textId="77777777" w:rsidR="00DB43FF" w:rsidRPr="00F90EAE" w:rsidRDefault="00DB43FF"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повредили эсминец противника.</w:t>
      </w:r>
    </w:p>
    <w:p w14:paraId="771719DA" w14:textId="77777777" w:rsidR="00DB43FF" w:rsidRPr="00F90EAE" w:rsidRDefault="00DB43FF" w:rsidP="00F90EAE">
      <w:pPr>
        <w:jc w:val="both"/>
        <w:rPr>
          <w:color w:val="000000" w:themeColor="text1"/>
          <w:sz w:val="16"/>
          <w:szCs w:val="16"/>
        </w:rPr>
      </w:pPr>
      <w:r w:rsidRPr="00F90EAE">
        <w:rPr>
          <w:color w:val="000000" w:themeColor="text1"/>
          <w:sz w:val="16"/>
          <w:szCs w:val="16"/>
        </w:rPr>
        <w:t>Взятый в плен в Восточной Пруссии офицер штаба 1-го батальона 927-го полка 286-й немецкой пехотной дивизии лейтенант Рихард Шмидт заявил: «Война для Германии безнадёжно проиграна. У нас уже не осталось никаких надежд, никаких иллюзий. Немецкие солдаты и офицеры, которые теперь ежедневно тысячами гибнут на поле боя, защищают не Германию. Никакая сила в мире уже не может её спасти.</w:t>
      </w:r>
    </w:p>
    <w:p w14:paraId="4C47BE73" w14:textId="77777777" w:rsidR="00DB43FF" w:rsidRPr="00F90EAE" w:rsidRDefault="00DB43FF" w:rsidP="00F90EAE">
      <w:pPr>
        <w:jc w:val="both"/>
        <w:rPr>
          <w:color w:val="000000" w:themeColor="text1"/>
          <w:sz w:val="16"/>
          <w:szCs w:val="16"/>
        </w:rPr>
      </w:pPr>
      <w:r w:rsidRPr="00F90EAE">
        <w:rPr>
          <w:color w:val="000000" w:themeColor="text1"/>
          <w:sz w:val="16"/>
          <w:szCs w:val="16"/>
        </w:rPr>
        <w:t>Солдаты гибнут потому, что этого хотят Гитлер, Гиммлер и их приспешники, которые цепляются за власть и хотят хотя бы ненадолго продлить свою жизнь» (15032).</w:t>
      </w:r>
    </w:p>
    <w:p w14:paraId="77621E29" w14:textId="77777777" w:rsidR="00DB43FF" w:rsidRPr="00F90EAE" w:rsidRDefault="00DB43FF" w:rsidP="00F90EAE">
      <w:pPr>
        <w:jc w:val="both"/>
        <w:rPr>
          <w:color w:val="000000" w:themeColor="text1"/>
          <w:sz w:val="16"/>
          <w:szCs w:val="16"/>
        </w:rPr>
      </w:pPr>
    </w:p>
    <w:p w14:paraId="0A2C09AD"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6, 1945: The Soviet 1st Belorussian Front (Zhukov) makes further advances to reach the Oder between Kustrin and Frankfurt (3819).</w:t>
      </w:r>
    </w:p>
    <w:p w14:paraId="567BF236" w14:textId="77777777" w:rsidR="00C2313B" w:rsidRPr="00F90EAE" w:rsidRDefault="00C2313B" w:rsidP="00F90EAE">
      <w:pPr>
        <w:autoSpaceDE w:val="0"/>
        <w:autoSpaceDN w:val="0"/>
        <w:adjustRightInd w:val="0"/>
        <w:jc w:val="both"/>
        <w:rPr>
          <w:color w:val="000000" w:themeColor="text1"/>
          <w:sz w:val="16"/>
          <w:szCs w:val="16"/>
          <w:lang w:val="en-US"/>
        </w:rPr>
      </w:pPr>
    </w:p>
    <w:p w14:paraId="6C07DC9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6 февраля 1945 СА закрепилась на другом берегу Одера (2248,2).</w:t>
      </w:r>
    </w:p>
    <w:p w14:paraId="04A6073D" w14:textId="77777777" w:rsidR="00C2313B" w:rsidRPr="00F90EAE" w:rsidRDefault="00C2313B" w:rsidP="00F90EAE">
      <w:pPr>
        <w:autoSpaceDE w:val="0"/>
        <w:autoSpaceDN w:val="0"/>
        <w:adjustRightInd w:val="0"/>
        <w:jc w:val="both"/>
        <w:rPr>
          <w:color w:val="000000" w:themeColor="text1"/>
          <w:sz w:val="16"/>
          <w:szCs w:val="16"/>
        </w:rPr>
      </w:pPr>
    </w:p>
    <w:p w14:paraId="7070712B" w14:textId="77777777" w:rsidR="00DB43F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4B27FCD" w14:textId="77777777" w:rsidR="00DB43FF" w:rsidRPr="00F90EAE" w:rsidRDefault="00DB43FF" w:rsidP="00F90EAE">
      <w:pPr>
        <w:autoSpaceDE w:val="0"/>
        <w:autoSpaceDN w:val="0"/>
        <w:adjustRightInd w:val="0"/>
        <w:jc w:val="both"/>
        <w:rPr>
          <w:iCs/>
          <w:color w:val="000000" w:themeColor="text1"/>
          <w:sz w:val="16"/>
          <w:szCs w:val="16"/>
        </w:rPr>
      </w:pPr>
    </w:p>
    <w:p w14:paraId="6EDD94A4" w14:textId="77777777" w:rsidR="00DB43FF" w:rsidRPr="00F90EAE" w:rsidRDefault="00DB43FF" w:rsidP="00F90EAE">
      <w:pPr>
        <w:jc w:val="both"/>
        <w:rPr>
          <w:color w:val="000000" w:themeColor="text1"/>
          <w:sz w:val="16"/>
          <w:szCs w:val="16"/>
        </w:rPr>
      </w:pPr>
      <w:r w:rsidRPr="00F90EAE">
        <w:rPr>
          <w:bCs/>
          <w:color w:val="000000" w:themeColor="text1"/>
          <w:sz w:val="16"/>
          <w:szCs w:val="16"/>
        </w:rPr>
        <w:t>6 февраля</w:t>
      </w:r>
      <w:r w:rsidRPr="00F90EAE">
        <w:rPr>
          <w:color w:val="000000" w:themeColor="text1"/>
          <w:sz w:val="16"/>
          <w:szCs w:val="16"/>
        </w:rPr>
        <w:t xml:space="preserve"> в 1945 году на Ялтинской конференции обсуждается польская проблема (15032).</w:t>
      </w:r>
    </w:p>
    <w:p w14:paraId="459C481F" w14:textId="77777777" w:rsidR="00DB43FF" w:rsidRPr="00F90EAE" w:rsidRDefault="00DB43FF" w:rsidP="00F90EAE">
      <w:pPr>
        <w:jc w:val="both"/>
        <w:rPr>
          <w:color w:val="000000" w:themeColor="text1"/>
          <w:sz w:val="16"/>
          <w:szCs w:val="16"/>
        </w:rPr>
      </w:pPr>
    </w:p>
    <w:p w14:paraId="1787A083"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9256D7F" w14:textId="77777777" w:rsidR="00C2313B" w:rsidRPr="00F90EAE" w:rsidRDefault="00C2313B" w:rsidP="00F90EAE">
      <w:pPr>
        <w:autoSpaceDE w:val="0"/>
        <w:autoSpaceDN w:val="0"/>
        <w:adjustRightInd w:val="0"/>
        <w:jc w:val="both"/>
        <w:rPr>
          <w:iCs/>
          <w:color w:val="000000" w:themeColor="text1"/>
          <w:sz w:val="16"/>
          <w:szCs w:val="16"/>
        </w:rPr>
      </w:pPr>
    </w:p>
    <w:p w14:paraId="3BE68BE9" w14:textId="77777777" w:rsidR="00DB43FF" w:rsidRPr="00F90EAE" w:rsidRDefault="00DB43FF" w:rsidP="00F90EAE">
      <w:pPr>
        <w:jc w:val="both"/>
        <w:rPr>
          <w:color w:val="000000" w:themeColor="text1"/>
          <w:sz w:val="16"/>
          <w:szCs w:val="16"/>
        </w:rPr>
      </w:pPr>
      <w:r w:rsidRPr="00F90EAE">
        <w:rPr>
          <w:color w:val="000000" w:themeColor="text1"/>
          <w:sz w:val="16"/>
          <w:szCs w:val="16"/>
        </w:rPr>
        <w:t>6 февраля 1945 года, - дата официального прекращения работ над ЗУР "Rheintocher", однако, конструкторам не удалось закончить работы и получить готовую к боевому применению зенитную управляемую ракету, многие технические и технологические решения, найденные немецкими конструкторами, были воплощены в послевоенных разработках в США, СССР и других странах (15139).</w:t>
      </w:r>
    </w:p>
    <w:p w14:paraId="16923D44" w14:textId="77777777" w:rsidR="00DB43FF" w:rsidRPr="00F90EAE" w:rsidRDefault="00DB43FF" w:rsidP="00F90EAE">
      <w:pPr>
        <w:jc w:val="both"/>
        <w:rPr>
          <w:color w:val="000000" w:themeColor="text1"/>
          <w:sz w:val="16"/>
          <w:szCs w:val="16"/>
        </w:rPr>
      </w:pPr>
    </w:p>
    <w:p w14:paraId="696AFF03" w14:textId="77777777" w:rsidR="00480A84" w:rsidRPr="00F90EAE" w:rsidRDefault="00480A84" w:rsidP="00F90EAE">
      <w:pPr>
        <w:jc w:val="both"/>
        <w:rPr>
          <w:color w:val="0070C0"/>
          <w:sz w:val="16"/>
          <w:szCs w:val="16"/>
        </w:rPr>
      </w:pPr>
      <w:r w:rsidRPr="00F90EAE">
        <w:rPr>
          <w:color w:val="0070C0"/>
          <w:sz w:val="16"/>
          <w:szCs w:val="16"/>
        </w:rPr>
        <w:t>6 февраля 1945 обергруппенфюрер СС Ханс Каммлер отменяет проект Хеншель Hs 117 (20371).</w:t>
      </w:r>
    </w:p>
    <w:p w14:paraId="48C61039" w14:textId="77777777" w:rsidR="00480A84" w:rsidRPr="00F90EAE" w:rsidRDefault="00480A84" w:rsidP="00F90EAE">
      <w:pPr>
        <w:jc w:val="both"/>
        <w:rPr>
          <w:color w:val="0070C0"/>
          <w:sz w:val="16"/>
          <w:szCs w:val="16"/>
        </w:rPr>
      </w:pPr>
    </w:p>
    <w:p w14:paraId="03452875" w14:textId="77777777" w:rsidR="00DB43FF" w:rsidRPr="00F90EAE" w:rsidRDefault="00DB43FF" w:rsidP="00F90EAE">
      <w:pPr>
        <w:jc w:val="both"/>
        <w:rPr>
          <w:color w:val="000000" w:themeColor="text1"/>
          <w:sz w:val="16"/>
          <w:szCs w:val="16"/>
        </w:rPr>
      </w:pPr>
      <w:r w:rsidRPr="00F90EAE">
        <w:rPr>
          <w:bCs/>
          <w:color w:val="000000" w:themeColor="text1"/>
          <w:sz w:val="16"/>
          <w:szCs w:val="16"/>
        </w:rPr>
        <w:t>6 февраля</w:t>
      </w:r>
      <w:r w:rsidRPr="00F90EAE">
        <w:rPr>
          <w:color w:val="000000" w:themeColor="text1"/>
          <w:sz w:val="16"/>
          <w:szCs w:val="16"/>
        </w:rPr>
        <w:t xml:space="preserve"> в 1945 году в Лондоне начинает работать I Всемирная конференция профсоюзов, организованная Британским конгрессом тред-юнионов. Создается Всемирная федерация профсоюзов. Присутствуют представители союзных государств и нейтральных стран (15032).</w:t>
      </w:r>
    </w:p>
    <w:p w14:paraId="0F2DC050" w14:textId="77777777" w:rsidR="00DB43FF" w:rsidRPr="00F90EAE" w:rsidRDefault="00DB43FF" w:rsidP="00F90EAE">
      <w:pPr>
        <w:jc w:val="both"/>
        <w:rPr>
          <w:color w:val="000000" w:themeColor="text1"/>
          <w:sz w:val="16"/>
          <w:szCs w:val="16"/>
        </w:rPr>
      </w:pPr>
    </w:p>
    <w:p w14:paraId="69376C31"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февраля 1945 Гитлер не разрешил Гиммлеру эвакуировать нескольких евреев из немецких концлагерей в Швейцарию (4962).</w:t>
      </w:r>
    </w:p>
    <w:p w14:paraId="0E3E8E50"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10E645DE"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130EF7" w14:textId="77777777" w:rsidR="00C2313B" w:rsidRPr="00F90EAE" w:rsidRDefault="00C2313B" w:rsidP="00F90EAE">
      <w:pPr>
        <w:autoSpaceDE w:val="0"/>
        <w:autoSpaceDN w:val="0"/>
        <w:adjustRightInd w:val="0"/>
        <w:jc w:val="both"/>
        <w:rPr>
          <w:iCs/>
          <w:color w:val="000000" w:themeColor="text1"/>
          <w:sz w:val="16"/>
          <w:szCs w:val="16"/>
        </w:rPr>
      </w:pPr>
    </w:p>
    <w:p w14:paraId="0F321836"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В самом начале февраля 1945 специальной комиссией были проведены испытания на взаимозаменяемость основных агрегатов двух серийных самолетов Ил-10 зав. № 1891003 и № 104089 производства заводов № 18 и № 1 соответственно.</w:t>
      </w:r>
    </w:p>
    <w:p w14:paraId="0FD79A79"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Оказалось, что консоль от самолета завода № 1 нельзя подстыковать к центроплану самолета завода № 18, и наоборот: «Не выдержан размер между узлами переднего и заднего лонжеронов крыла на 1,5 мм./.../То же самое и на центроплане на 5 мм./.../Разделка отверстий узлов разъема производится не в стапеле, а на месте».</w:t>
      </w:r>
    </w:p>
    <w:p w14:paraId="5D4DD90A"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Не удалось поменять местами стабилизаторы самолетов, так как «на хвостовом отсеке завода № 18 расстояние между узлами крепления стабилизатора заужено на 6 мм».</w:t>
      </w:r>
    </w:p>
    <w:p w14:paraId="0E8C409C"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Если левая половина руля высоты самолета завода № 1 не встала на левый концевой кронштейн стабилизатора самолета завода № 18, то обе части руля высоты от самолета № 18 полностью встали на стабилизатор от самолета завода № 1. Однако «лобовая часть левой половины РВ имела трение о вертикальные угольники заднего лонжерона стабилизатора» и «деревянные бобышки кронштейнов стабилизатора».</w:t>
      </w:r>
    </w:p>
    <w:p w14:paraId="35974A55"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Щитки центроплана заводов № 1 и № 18 поставить на свое место не удалось по причине отсутствия соосности в узле центропланов самолетов.</w:t>
      </w:r>
    </w:p>
    <w:p w14:paraId="080B786C"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Элероны также не смогли поменять на самолетах, поскольку имели место заметные «смещения узлов крепления элеронов по хорде».</w:t>
      </w:r>
    </w:p>
    <w:p w14:paraId="3B177D09" w14:textId="77777777" w:rsidR="004D08EC" w:rsidRPr="00F90EAE" w:rsidRDefault="004D08EC"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Правый маслобак от самолета завода № 18 с большим трудом удалось установить на место правого маслобака самолета № 1. Однако при его снятии были «обнаружены следы глубоких забоин и общая вмятина обичайки». Комиссия установила, что «забоины образовались в результате упирания бака в острие грани гайки коллектора зажигания». Маслобак сочли негодным для дальнейшего использования.</w:t>
      </w:r>
    </w:p>
    <w:p w14:paraId="0F2485C9"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В маслосистеме самолетов невзаимозаменяемыми оказались трубки суфлирования мотора, а в воздушной системе - абсолютно все «трубки воздушной проводки» («имеют разъемы в различных местах и различную конфигурацию»).</w:t>
      </w:r>
    </w:p>
    <w:p w14:paraId="072D1663"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После разборки эталонов самолетов заводов № 1 и № 18 выяснилось, что именно по всем этим агрегатам обе машины имеют заметные различия. В итоговом акте от 9 февраля 1945 года комиссия потребовала с целью обеспечения взаимозаменяемости отработать между заводами единые эталоны крыла, центроплана, стабилизатора, хвостового отсека, щитков, элеронов и рулей высоты, трубок воздушной и масляной систем.</w:t>
      </w:r>
    </w:p>
    <w:p w14:paraId="67C08770" w14:textId="77777777" w:rsidR="004D08EC" w:rsidRPr="00F90EAE" w:rsidRDefault="004D08EC" w:rsidP="00F90EAE">
      <w:pPr>
        <w:jc w:val="both"/>
        <w:rPr>
          <w:color w:val="000000" w:themeColor="text1"/>
          <w:sz w:val="16"/>
          <w:szCs w:val="16"/>
        </w:rPr>
      </w:pPr>
      <w:r w:rsidRPr="00F90EAE">
        <w:rPr>
          <w:rStyle w:val="107"/>
          <w:rFonts w:eastAsiaTheme="minorHAnsi"/>
          <w:color w:val="000000" w:themeColor="text1"/>
          <w:sz w:val="16"/>
          <w:szCs w:val="16"/>
        </w:rPr>
        <w:t>Кроме этого, предлагалось ввести «разделку узлов разъема центроплана на разделочном стапеле, а не по месту, как это сейчас происходит», и «стапельную оснастку сборки стабилизатора и хвостовых отсеков». Обязательно проводить при помощи единых для двух заводов контрольных рамок проверку узлов разъемов центроплана и консолей, на стабилизаторе и хвостовом отсеке, а также соосность узлов крепления щитка на центроплане и узлов щитка. Увязать макеты руля высоты заводов «на однотипность вырезов под узлы стабилизатора и профиля лобовой части руля» и «толщину деревянных бобышек на узлах стабилизатора» (17490).</w:t>
      </w:r>
    </w:p>
    <w:p w14:paraId="6018CBB9" w14:textId="77777777" w:rsidR="004D08EC" w:rsidRPr="00F90EAE" w:rsidRDefault="004D08EC" w:rsidP="00F90EAE">
      <w:pPr>
        <w:jc w:val="both"/>
        <w:rPr>
          <w:rStyle w:val="107"/>
          <w:rFonts w:eastAsiaTheme="minorHAnsi"/>
          <w:color w:val="000000" w:themeColor="text1"/>
          <w:sz w:val="16"/>
          <w:szCs w:val="16"/>
        </w:rPr>
      </w:pPr>
    </w:p>
    <w:p w14:paraId="324C51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февраля 1945 года ГК НИИ ВВС КА подготовил отчет о проведении государственных испы</w:t>
      </w:r>
      <w:r w:rsidRPr="00F90EAE">
        <w:rPr>
          <w:color w:val="000000" w:themeColor="text1"/>
          <w:sz w:val="16"/>
          <w:szCs w:val="16"/>
        </w:rPr>
        <w:softHyphen/>
        <w:t>таний самолета Су-6 с мотором АМ-42, утвержденный П.А.Лосюковым 8 февраля.</w:t>
      </w:r>
    </w:p>
    <w:p w14:paraId="34E328C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заключении отчета отмеча</w:t>
      </w:r>
      <w:r w:rsidRPr="00F90EAE">
        <w:rPr>
          <w:color w:val="000000" w:themeColor="text1"/>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F90EAE">
        <w:rPr>
          <w:color w:val="000000" w:themeColor="text1"/>
          <w:sz w:val="16"/>
          <w:szCs w:val="16"/>
        </w:rPr>
        <w:softHyphen/>
        <w:t>вания и управляемости уступает запущенному в серийное производ</w:t>
      </w:r>
      <w:r w:rsidRPr="00F90EAE">
        <w:rPr>
          <w:color w:val="000000" w:themeColor="text1"/>
          <w:sz w:val="16"/>
          <w:szCs w:val="16"/>
        </w:rPr>
        <w:softHyphen/>
        <w:t>ство самолету Ил-10 с АМ-42, кон</w:t>
      </w:r>
      <w:r w:rsidRPr="00F90EAE">
        <w:rPr>
          <w:color w:val="000000" w:themeColor="text1"/>
          <w:sz w:val="16"/>
          <w:szCs w:val="16"/>
        </w:rPr>
        <w:softHyphen/>
        <w:t>струкции товарища Ильюшина» (11845).</w:t>
      </w:r>
    </w:p>
    <w:p w14:paraId="09A158F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0DDE549F" w14:textId="77777777" w:rsidR="004D08EC" w:rsidRPr="00F90EAE" w:rsidRDefault="004D08EC" w:rsidP="00F90EAE">
      <w:pPr>
        <w:jc w:val="both"/>
        <w:rPr>
          <w:color w:val="000000" w:themeColor="text1"/>
          <w:sz w:val="16"/>
          <w:szCs w:val="16"/>
        </w:rPr>
      </w:pPr>
      <w:r w:rsidRPr="00F90EAE">
        <w:rPr>
          <w:color w:val="000000" w:themeColor="text1"/>
          <w:sz w:val="16"/>
          <w:szCs w:val="16"/>
        </w:rPr>
        <w:t>До начала февраля 1945 года доводился Су-6 с АМ-42 пока ГК НИИ ВВС вынес окончательное заключение о нецелесообразности дальнейших работ по самолету (17490).</w:t>
      </w:r>
    </w:p>
    <w:p w14:paraId="25611248" w14:textId="77777777" w:rsidR="004D08EC" w:rsidRPr="00F90EAE" w:rsidRDefault="004D08EC" w:rsidP="00F90EAE">
      <w:pPr>
        <w:jc w:val="both"/>
        <w:rPr>
          <w:color w:val="000000" w:themeColor="text1"/>
          <w:sz w:val="16"/>
          <w:szCs w:val="16"/>
        </w:rPr>
      </w:pPr>
    </w:p>
    <w:p w14:paraId="180728AE" w14:textId="77777777" w:rsidR="00C2313B" w:rsidRPr="00F90EAE" w:rsidRDefault="001561D1" w:rsidP="00F90EAE">
      <w:pPr>
        <w:tabs>
          <w:tab w:val="left" w:pos="11199"/>
        </w:tabs>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5B04A7D" w14:textId="77777777" w:rsidR="00C2313B" w:rsidRPr="00F90EAE" w:rsidRDefault="00C2313B" w:rsidP="00F90EAE">
      <w:pPr>
        <w:tabs>
          <w:tab w:val="left" w:pos="11199"/>
        </w:tabs>
        <w:autoSpaceDE w:val="0"/>
        <w:autoSpaceDN w:val="0"/>
        <w:adjustRightInd w:val="0"/>
        <w:jc w:val="both"/>
        <w:rPr>
          <w:iCs/>
          <w:color w:val="000000" w:themeColor="text1"/>
          <w:sz w:val="16"/>
          <w:szCs w:val="16"/>
        </w:rPr>
      </w:pPr>
    </w:p>
    <w:p w14:paraId="37268EDA"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начале февраля 1945 года имели место первые подвижки по созданию танка нового поколения, который должен был в перспективе заменить Объект 701. 6 февраля был издан приказ №66 по Народному комиссариату тяжелой промышленности (НКТП). Согласно ему, СКБ-2 ЧКЗ должно было разработать концепцию нового танка, опираясь на требования, аналогичные предъявляемым к Объекту 701. Но конструкторскому бюро в тот момент было совсем не до концепций. Шла доработка Объекта 701, машина неоднократно меняла конфигурацию корпуса и башни, и света в конце тоннеля все еще не было видно. Кроме того, как раз 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w:t>
      </w:r>
    </w:p>
    <w:p w14:paraId="5D431B2F"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Совсем иное положение дел сложилось у КБ опытного завода №100. По состоянию на начало 1945 года работы по ИС-6 оказались свернуты, и завод в основном </w:t>
      </w:r>
      <w:r w:rsidRPr="00F90EAE">
        <w:rPr>
          <w:color w:val="000000" w:themeColor="text1"/>
          <w:sz w:val="16"/>
          <w:szCs w:val="16"/>
        </w:rPr>
        <w:lastRenderedPageBreak/>
        <w:t xml:space="preserve">занимался испытаниями новых агрегатов. Положение усугублялось тем, что завод №100 старался отмежеваться от ЧКЗ по всем видам деятельности, поскольку последний задерживал поставки. Дошло до того, что ЧКЗ, находящийся всего в сотне метров от завода №100, не поставлял конкурентам даже серийных агрегатов, и это несмотря на приказы </w:t>
      </w:r>
      <w:hyperlink r:id="rId32" w:history="1">
        <w:r w:rsidRPr="00F90EAE">
          <w:rPr>
            <w:rStyle w:val="a5"/>
            <w:color w:val="000000" w:themeColor="text1"/>
            <w:sz w:val="16"/>
            <w:szCs w:val="16"/>
            <w:u w:val="none"/>
          </w:rPr>
          <w:t>наркома танковой промышленности В.А. Малышева</w:t>
        </w:r>
      </w:hyperlink>
      <w:r w:rsidRPr="00F90EAE">
        <w:rPr>
          <w:color w:val="000000" w:themeColor="text1"/>
          <w:sz w:val="16"/>
          <w:szCs w:val="16"/>
        </w:rPr>
        <w:t>! Не последнюю роль в этих напряженных отношениях сыграла история с ИС-6, который столь упрямо проталкивался Котиным и который при этом все равно проиграл Объекту 701 (17209).</w:t>
      </w:r>
    </w:p>
    <w:p w14:paraId="7276B9AE" w14:textId="77777777" w:rsidR="00FA59CB" w:rsidRPr="00F90EAE" w:rsidRDefault="00FA59CB" w:rsidP="00F90EAE">
      <w:pPr>
        <w:pStyle w:val="ae"/>
        <w:shd w:val="clear" w:color="auto" w:fill="FFFFFF"/>
        <w:spacing w:before="0" w:after="0"/>
        <w:jc w:val="both"/>
        <w:rPr>
          <w:color w:val="000000" w:themeColor="text1"/>
          <w:sz w:val="16"/>
          <w:szCs w:val="16"/>
        </w:rPr>
      </w:pPr>
    </w:p>
    <w:p w14:paraId="4FBE3FB9" w14:textId="77777777" w:rsidR="00A524F6" w:rsidRPr="00F90EAE" w:rsidRDefault="00A524F6"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начале февраля 1945 отчёте завода № 183 за январь 1945 года примерной датой изготовления танка Т-44Б указывали 15 февраля. Так оно и получилось: 14 февраля монтаж танков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509F6B41" w14:textId="77777777" w:rsidR="00A524F6" w:rsidRPr="00F90EAE" w:rsidRDefault="00A524F6" w:rsidP="00F90EAE">
      <w:pPr>
        <w:pStyle w:val="ae"/>
        <w:shd w:val="clear" w:color="auto" w:fill="FFFFFF"/>
        <w:spacing w:before="0" w:after="0"/>
        <w:jc w:val="both"/>
        <w:textAlignment w:val="baseline"/>
        <w:rPr>
          <w:color w:val="000000" w:themeColor="text1"/>
          <w:sz w:val="16"/>
          <w:szCs w:val="16"/>
        </w:rPr>
      </w:pPr>
    </w:p>
    <w:p w14:paraId="0EE28EA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началу февраля 1945 года на ИСУ-122-1 поставили новый ствол, т.к. предварительных испытаний в Гороховце не выдержала из-за низкой живучести ствола. После его монтажа самоходка вновь поступила на испытания, состоявшиеся в мае 1945 года. На последних при стрельбе произошел разрыв ствола из-за дефектов металла. После этого дальнейшие работы по ИСУ-122-1 прекратили (11638).</w:t>
      </w:r>
    </w:p>
    <w:p w14:paraId="2487880B" w14:textId="77777777" w:rsidR="00C2313B" w:rsidRPr="00F90EAE" w:rsidRDefault="00C2313B" w:rsidP="00F90EAE">
      <w:pPr>
        <w:autoSpaceDE w:val="0"/>
        <w:autoSpaceDN w:val="0"/>
        <w:adjustRightInd w:val="0"/>
        <w:jc w:val="both"/>
        <w:rPr>
          <w:iCs/>
          <w:color w:val="000000" w:themeColor="text1"/>
          <w:sz w:val="16"/>
          <w:szCs w:val="16"/>
        </w:rPr>
      </w:pPr>
    </w:p>
    <w:p w14:paraId="7E7ACCA2"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8095D5C" w14:textId="77777777" w:rsidR="00C2313B" w:rsidRPr="00F90EAE" w:rsidRDefault="00C2313B" w:rsidP="00F90EAE">
      <w:pPr>
        <w:autoSpaceDE w:val="0"/>
        <w:autoSpaceDN w:val="0"/>
        <w:adjustRightInd w:val="0"/>
        <w:jc w:val="both"/>
        <w:rPr>
          <w:iCs/>
          <w:color w:val="000000" w:themeColor="text1"/>
          <w:sz w:val="16"/>
          <w:szCs w:val="16"/>
        </w:rPr>
      </w:pPr>
    </w:p>
    <w:p w14:paraId="2A4F6BA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февраля 1945 г. в районе Пиллау - Эйлау “Нормандия - Неман” сошлась в смертельной схватке с ис</w:t>
      </w:r>
      <w:r w:rsidRPr="00F90EAE">
        <w:rPr>
          <w:color w:val="000000" w:themeColor="text1"/>
          <w:sz w:val="16"/>
          <w:szCs w:val="16"/>
        </w:rPr>
        <w:softHyphen/>
        <w:t>ключительно опытными и опасными противниками из истребительной эс</w:t>
      </w:r>
      <w:r w:rsidRPr="00F90EAE">
        <w:rPr>
          <w:color w:val="000000" w:themeColor="text1"/>
          <w:sz w:val="16"/>
          <w:szCs w:val="16"/>
        </w:rPr>
        <w:softHyphen/>
        <w:t>кадры JG54 “Зеленое сердце”. Погиб</w:t>
      </w:r>
      <w:r w:rsidRPr="00F90EAE">
        <w:rPr>
          <w:color w:val="000000" w:themeColor="text1"/>
          <w:sz w:val="16"/>
          <w:szCs w:val="16"/>
        </w:rPr>
        <w:softHyphen/>
        <w:t>ли младшие лейтенанты Р.Пенверн и Р. Ирибарн, еще два пилота получили тяжелые ранения. Серьезные потери понесли также другие полки 303-й иад. В “Нормандии” осталось всего 24 лет</w:t>
      </w:r>
      <w:r w:rsidRPr="00F90EAE">
        <w:rPr>
          <w:color w:val="000000" w:themeColor="text1"/>
          <w:sz w:val="16"/>
          <w:szCs w:val="16"/>
        </w:rPr>
        <w:softHyphen/>
        <w:t>чика, поэтому пришлось расформиро</w:t>
      </w:r>
      <w:r w:rsidRPr="00F90EAE">
        <w:rPr>
          <w:color w:val="000000" w:themeColor="text1"/>
          <w:sz w:val="16"/>
          <w:szCs w:val="16"/>
        </w:rPr>
        <w:softHyphen/>
        <w:t>вать еще одну эскадрилью. Тем време</w:t>
      </w:r>
      <w:r w:rsidRPr="00F90EAE">
        <w:rPr>
          <w:color w:val="000000" w:themeColor="text1"/>
          <w:sz w:val="16"/>
          <w:szCs w:val="16"/>
        </w:rPr>
        <w:softHyphen/>
        <w:t>нем, на основании директивы Гене</w:t>
      </w:r>
      <w:r w:rsidRPr="00F90EAE">
        <w:rPr>
          <w:color w:val="000000" w:themeColor="text1"/>
          <w:sz w:val="16"/>
          <w:szCs w:val="16"/>
        </w:rPr>
        <w:softHyphen/>
        <w:t>рального штаба Красной Армии нача</w:t>
      </w:r>
      <w:r w:rsidRPr="00F90EAE">
        <w:rPr>
          <w:color w:val="000000" w:themeColor="text1"/>
          <w:sz w:val="16"/>
          <w:szCs w:val="16"/>
        </w:rPr>
        <w:softHyphen/>
        <w:t>лось формирование долгожданной 1-й французской смешанной авиадивизии. Помимо “Нормандии - Неман”, в ее со</w:t>
      </w:r>
      <w:r w:rsidRPr="00F90EAE">
        <w:rPr>
          <w:color w:val="000000" w:themeColor="text1"/>
          <w:sz w:val="16"/>
          <w:szCs w:val="16"/>
        </w:rPr>
        <w:softHyphen/>
        <w:t>став планировалось ввести 2-й бом</w:t>
      </w:r>
      <w:r w:rsidRPr="00F90EAE">
        <w:rPr>
          <w:color w:val="000000" w:themeColor="text1"/>
          <w:sz w:val="16"/>
          <w:szCs w:val="16"/>
        </w:rPr>
        <w:softHyphen/>
        <w:t>бардировочный авиаполк “Бретань” на самолетах Пе-2 и 3-й истребительный авиаполк “Париж” на самолетах Як-3. “Бретань” в марте 1945 г. была укомп</w:t>
      </w:r>
      <w:r w:rsidRPr="00F90EAE">
        <w:rPr>
          <w:color w:val="000000" w:themeColor="text1"/>
          <w:sz w:val="16"/>
          <w:szCs w:val="16"/>
        </w:rPr>
        <w:softHyphen/>
        <w:t>лектована французскими экипажами и советским инженерно-техническим со</w:t>
      </w:r>
      <w:r w:rsidRPr="00F90EAE">
        <w:rPr>
          <w:color w:val="000000" w:themeColor="text1"/>
          <w:sz w:val="16"/>
          <w:szCs w:val="16"/>
        </w:rPr>
        <w:softHyphen/>
        <w:t>ставом, получила она и технику: 31 Пе-2 и 3 УПе-2. Полк базировался на аэродроме Клоково в Московском во</w:t>
      </w:r>
      <w:r w:rsidRPr="00F90EAE">
        <w:rPr>
          <w:color w:val="000000" w:themeColor="text1"/>
          <w:sz w:val="16"/>
          <w:szCs w:val="16"/>
        </w:rPr>
        <w:softHyphen/>
        <w:t>енном округе. Переучивание опытных французских летчиков серьезно тор</w:t>
      </w:r>
      <w:r w:rsidRPr="00F90EAE">
        <w:rPr>
          <w:color w:val="000000" w:themeColor="text1"/>
          <w:sz w:val="16"/>
          <w:szCs w:val="16"/>
        </w:rPr>
        <w:softHyphen/>
        <w:t>мозилось из-за незнания ими русского языка. Инструкторам из 9-го запасно</w:t>
      </w:r>
      <w:r w:rsidRPr="00F90EAE">
        <w:rPr>
          <w:color w:val="000000" w:themeColor="text1"/>
          <w:sz w:val="16"/>
          <w:szCs w:val="16"/>
        </w:rPr>
        <w:softHyphen/>
        <w:t>го авиаполка приходилось нелегко. И все же к концу апреля почти половина экипажей “Бретани” смогла вылететь самостоятельно (3956). “Париж” также не успел закончить подготовку к моменту окончания вой</w:t>
      </w:r>
      <w:r w:rsidRPr="00F90EAE">
        <w:rPr>
          <w:color w:val="000000" w:themeColor="text1"/>
          <w:sz w:val="16"/>
          <w:szCs w:val="16"/>
        </w:rPr>
        <w:softHyphen/>
        <w:t>ны в Европе. Ему не хватило всего па</w:t>
      </w:r>
      <w:r w:rsidRPr="00F90EAE">
        <w:rPr>
          <w:color w:val="000000" w:themeColor="text1"/>
          <w:sz w:val="16"/>
          <w:szCs w:val="16"/>
        </w:rPr>
        <w:softHyphen/>
        <w:t>ры месяцев, а в результате истреби</w:t>
      </w:r>
      <w:r w:rsidRPr="00F90EAE">
        <w:rPr>
          <w:color w:val="000000" w:themeColor="text1"/>
          <w:sz w:val="16"/>
          <w:szCs w:val="16"/>
        </w:rPr>
        <w:softHyphen/>
        <w:t>тельный авиаполк “Нормандия - Не</w:t>
      </w:r>
      <w:r w:rsidRPr="00F90EAE">
        <w:rPr>
          <w:color w:val="000000" w:themeColor="text1"/>
          <w:sz w:val="16"/>
          <w:szCs w:val="16"/>
        </w:rPr>
        <w:softHyphen/>
        <w:t>ман” так и остался единственной французской авиачастью, принявшей участие в боях на советско-германском фронте.</w:t>
      </w:r>
    </w:p>
    <w:p w14:paraId="43E2190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начале февраля 1945 г. первые самолеты Ил-10 были брошены в бой и добились неплохих результатов. В отчете по войсковым испытаниям отмечалась "недостаточная надежность мотора АМ-42 и короткий срок его службы вследствие:</w:t>
      </w:r>
    </w:p>
    <w:p w14:paraId="53E7B55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а) большого износа поршневых колец, приведшего к потере компрессии АМ-42 при эксплуатации с полевых аэродромов (выход из строя 76 % моторов);</w:t>
      </w:r>
    </w:p>
    <w:p w14:paraId="7B252F4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 б) появления бронзовой, стальной и алюминиевой стружки, попадания воды в картер и выбрасывания масла (выход из строя 16 % моторов)...</w:t>
      </w:r>
    </w:p>
    <w:p w14:paraId="5C93EB7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Выходу моторов из строя способствовало отсутствие в системе забора воздуха в мотор противопыльного фильтра".</w:t>
      </w:r>
    </w:p>
    <w:p w14:paraId="31BC4B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Дефекты мотора устранялись в процессе его доводки в серийном производстве. Как отмечал Микулин, активную роль в избавлении двигателя от "детских болезней" сыграл главный конструктор завода № 24 М.Р. Флиский (9032).</w:t>
      </w:r>
    </w:p>
    <w:p w14:paraId="1FB6E96D" w14:textId="77777777" w:rsidR="00C2313B" w:rsidRPr="00F90EAE" w:rsidRDefault="00C2313B" w:rsidP="00F90EAE">
      <w:pPr>
        <w:autoSpaceDE w:val="0"/>
        <w:autoSpaceDN w:val="0"/>
        <w:adjustRightInd w:val="0"/>
        <w:jc w:val="both"/>
        <w:rPr>
          <w:color w:val="000000" w:themeColor="text1"/>
          <w:sz w:val="16"/>
          <w:szCs w:val="16"/>
        </w:rPr>
      </w:pPr>
    </w:p>
    <w:p w14:paraId="4725BE68"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E068462" w14:textId="77777777" w:rsidR="00C2313B" w:rsidRPr="00F90EAE" w:rsidRDefault="00C2313B" w:rsidP="00F90EAE">
      <w:pPr>
        <w:autoSpaceDE w:val="0"/>
        <w:autoSpaceDN w:val="0"/>
        <w:adjustRightInd w:val="0"/>
        <w:jc w:val="both"/>
        <w:rPr>
          <w:iCs/>
          <w:color w:val="000000" w:themeColor="text1"/>
          <w:sz w:val="16"/>
          <w:szCs w:val="16"/>
        </w:rPr>
      </w:pPr>
    </w:p>
    <w:p w14:paraId="2B116C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Нач. ГУЗ ВВС КА г-л ИАС Селезнев писал письмо N 701485 Чл. Военного Совета ВВС КА г-п Авиации Шиманову "По вопросу выпуска модифицированных самолетов Ил-2 с удлиненным бронекорпусом и установки полевого варианта бронезащиты стрелка":</w:t>
      </w:r>
    </w:p>
    <w:p w14:paraId="568DC62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 времени последнего обращения Военного Совета ВВС КА в НКАП по вопросу о внедрении в серию самолетов Ил-2 с удлиненным бронекорпусом и установки на серийных заводах полевого варианта защиты стрелка, прошло 3 месяца; приказ НКАП, однако, до сего времени не вышел.</w:t>
      </w:r>
    </w:p>
    <w:p w14:paraId="17F877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К настоящему времени, выпуск модифицированных самолетов не только не лимитируется какими-либо производственными затруднениями, но наоборот, представляется более рентабельным в отношении трудоемкости сборки самолетов и экономии топлива и РС в производстве бронекорпусов. Массовый выпуск модифицированных самолетов задерживается исключительно из-за отсутствия приказа НКАП.</w:t>
      </w:r>
    </w:p>
    <w:p w14:paraId="32130A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сообщаю, что установка полевого варианта бронезащиты в деревянной кабине стрелка на серийных самолетах Ил-2, до сего времени, заводами не производится. С заводов 30, 1 и 18 отправляются на фронт самолеты Ил-2 без бронезащиты стрелка, в то самое время, как с этих же заводов на фронт отправляется бронезащита стрелка ж/д транспортом.</w:t>
      </w:r>
    </w:p>
    <w:p w14:paraId="1F7B19C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Такое положение в настоящее время тем более нетерпимо, что коммуникации непрерывно растягиваются, ж/д транспорты, в зимних условиях, идут к месту назначения по 1.5 - 2 месяца, а установка брони практически производится на фронте на тех самых машинах, которые выпущены заводами одновременно с выпуском брони, или позднее.</w:t>
      </w:r>
    </w:p>
    <w:p w14:paraId="509893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на заводе 1 имеется 500 комплектов, а на заводе 30 - 800 комплектов полевого варианта бронезащиты стрелка, которые могут быть легко установлены на выпускаемых заводами серийных самолетах Ил-2 с деревянной кабиной. В противном случае, эта броня сможет быть установлена в строевых частях силами техсостава не ранее, чем через 2-3 месяца.</w:t>
      </w:r>
    </w:p>
    <w:p w14:paraId="0853F6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Необходим срочный выпуск приказа НКАП о массовом производстве модифицированных самолетов Ил-2 с удлиненном бронекорпусом и установка полевого варианта на всех самолетах Ил-2 с деревянной кабиной стрелка.</w:t>
      </w:r>
    </w:p>
    <w:p w14:paraId="181CBB9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содействия.</w:t>
      </w:r>
    </w:p>
    <w:p w14:paraId="215584F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1. Отзыв 1 ВА о полевом варианте бронезащиты стрелка</w:t>
      </w:r>
    </w:p>
    <w:p w14:paraId="68DAF44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Копия письма Военного Совета ВВС КА в НКАП. (1879,58)"</w:t>
      </w:r>
    </w:p>
    <w:p w14:paraId="32D983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"копия с письма от вх. 0209</w:t>
      </w:r>
    </w:p>
    <w:p w14:paraId="5DA365E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 Управления технической эксплуатации ВВС КА г-л ИАС Шульговскому:</w:t>
      </w:r>
    </w:p>
    <w:p w14:paraId="6088715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Доношу: согласно указанию ГИ ВВС КА N 140, на пяти самолетах Ил-2 со стреловидным крылом, произведена установка дополнительного бронирования кабины стрелка.</w:t>
      </w:r>
    </w:p>
    <w:p w14:paraId="6D70A8B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Установку производил представитель завода 30. На самолеты производства завода 30, комплекты бронеплит подходят хорошо и на их полный монтаж 2 человека затрачивают 2 рабочих дня.</w:t>
      </w:r>
    </w:p>
    <w:p w14:paraId="160632D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 самолеты производства завода 18 бронеплиты по месту не подходят и для их подгонки необходима перестановка: баллона с СО, СПУ-Ф с кронштейном и задней бронестенки.</w:t>
      </w:r>
    </w:p>
    <w:p w14:paraId="06D9A71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установки бронирования в этом случае - 2 человека затрачивают три рабочих дня.</w:t>
      </w:r>
    </w:p>
    <w:p w14:paraId="66EC0BA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Дополнительное бронирование кабины стрелка целесообразно и части просят произвести установку на всех самолетах.</w:t>
      </w:r>
    </w:p>
    <w:p w14:paraId="0887C78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311 шад, самолет вернулся с боевого задания с двумя попаданиями 20 мм снаряда в кабину стрелка и только благодаря наличию дополнительного бронирования кабины стрелок остался невредим.</w:t>
      </w:r>
    </w:p>
    <w:p w14:paraId="5BFE79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установки дополнительного бронирования на всех самолетах, прошу вместе с комплектами бронеплит направлять также и бригады НКАП.</w:t>
      </w:r>
    </w:p>
    <w:p w14:paraId="4C7FA6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 ОТЭ ИАС 1ВА и-м Ануреев (31.01.1945)" (1979,60).</w:t>
      </w:r>
    </w:p>
    <w:p w14:paraId="5833E8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копия.</w:t>
      </w:r>
    </w:p>
    <w:p w14:paraId="5A61DF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 Ком. ВВС КА гпа Никитин и чл. ВС ВВС КА гпа Шиманов писали письмо НКАП ГПИАС А.И.Ш.</w:t>
      </w:r>
    </w:p>
    <w:p w14:paraId="77D1B6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Проблема повышения. эффективности бронирования жизненно-важных агрегатов и бронезащиты стрелка с-та -Ил-2, без снижения бомбовой нагрузки и ухудшещя. летных ка</w:t>
      </w:r>
      <w:r w:rsidRPr="00F90EAE">
        <w:rPr>
          <w:color w:val="000000" w:themeColor="text1"/>
          <w:sz w:val="16"/>
          <w:szCs w:val="16"/>
        </w:rPr>
        <w:softHyphen/>
        <w:t>честв самолета, к настоящему времени решена, путем ра</w:t>
      </w:r>
      <w:r w:rsidRPr="00F90EAE">
        <w:rPr>
          <w:color w:val="000000" w:themeColor="text1"/>
          <w:sz w:val="16"/>
          <w:szCs w:val="16"/>
        </w:rPr>
        <w:softHyphen/>
        <w:t>ционального перераспределения толщин брони.</w:t>
      </w:r>
    </w:p>
    <w:p w14:paraId="434B4A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Ил-2 с моторов АМ-38ф, с перераспределенньм бронекорпусом, удлиненным на величину кабины стрел</w:t>
      </w:r>
      <w:r w:rsidRPr="00F90EAE">
        <w:rPr>
          <w:color w:val="000000" w:themeColor="text1"/>
          <w:sz w:val="16"/>
          <w:szCs w:val="16"/>
        </w:rPr>
        <w:softHyphen/>
        <w:t>ка, успешно прошел государственные испытания в ГК НИИ ВВС КА и рекомендован для внедрения всерию.</w:t>
      </w:r>
    </w:p>
    <w:p w14:paraId="3A7679C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процессе изготовления 3-х опытных самолетов и установочной партии модернизированных броне корпусов, заводами .№ 30 и 125 полностью отработаны все необходи</w:t>
      </w:r>
      <w:r w:rsidRPr="00F90EAE">
        <w:rPr>
          <w:color w:val="000000" w:themeColor="text1"/>
          <w:sz w:val="16"/>
          <w:szCs w:val="16"/>
        </w:rPr>
        <w:softHyphen/>
        <w:t>мые чертежи и оснастка для внедрения в серию.</w:t>
      </w:r>
    </w:p>
    <w:p w14:paraId="6E29A5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защиты стрелка на серийных самолетах Ил-2, находящихся в эксплоатации и имеющих деревянную хвостовую часть фюзеляжа, по чертежам Главного Конструктора, изготовлено 1700 комплектов полевого варианта бронезащиты стрелка.</w:t>
      </w:r>
    </w:p>
    <w:p w14:paraId="4EC878E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Ил-2 с -мотором АМ-38Ф, с увеличенной стрельчатостью крыла и оборудозанный дополнительной броней, также успешно прошел государственные испытания в ГК НИИ ВВС КА и дополнительная броня рекомендована для установки в частях ВВС КА и на серийных отводах.</w:t>
      </w:r>
    </w:p>
    <w:p w14:paraId="7BD36B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Детали полевого варианта бронирования кабины стрел</w:t>
      </w:r>
      <w:r w:rsidRPr="00F90EAE">
        <w:rPr>
          <w:color w:val="000000" w:themeColor="text1"/>
          <w:sz w:val="16"/>
          <w:szCs w:val="16"/>
        </w:rPr>
        <w:softHyphen/>
        <w:t>ка самолета Ил-2, отправляются, в настоящее время, с завода № 30 в Воздушные Армии и устанавливается там на боевых самолетах техсоставом полков и ПАРМом.</w:t>
      </w:r>
    </w:p>
    <w:p w14:paraId="78CEB8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Придавая исключительное значение повышению эффек</w:t>
      </w:r>
      <w:r w:rsidRPr="00F90EAE">
        <w:rPr>
          <w:color w:val="000000" w:themeColor="text1"/>
          <w:sz w:val="16"/>
          <w:szCs w:val="16"/>
        </w:rPr>
        <w:softHyphen/>
        <w:t>тивности бронирования самолета Ил-2 для повышения его боевой живучести и уменьшения потерь стрелков, прошу Ваших указаний о внедрении в серию на заводе № 30 самолета Ид-2 с модернизированным бронекорпусом и об уста</w:t>
      </w:r>
      <w:r w:rsidRPr="00F90EAE">
        <w:rPr>
          <w:color w:val="000000" w:themeColor="text1"/>
          <w:sz w:val="16"/>
          <w:szCs w:val="16"/>
        </w:rPr>
        <w:softHyphen/>
        <w:t>новке дополнительной брони стрелка на серийных самолетах, выпускаемых заводом № 30, до-внедрения в серию модернизированного бронекорпуса.</w:t>
      </w:r>
    </w:p>
    <w:p w14:paraId="2D96708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Проект приказа на 2-х листах (1979,61).</w:t>
      </w:r>
    </w:p>
    <w:p w14:paraId="7F675263" w14:textId="77777777" w:rsidR="00C2313B" w:rsidRPr="00F90EAE" w:rsidRDefault="00C2313B" w:rsidP="00F90EAE">
      <w:pPr>
        <w:autoSpaceDE w:val="0"/>
        <w:autoSpaceDN w:val="0"/>
        <w:adjustRightInd w:val="0"/>
        <w:jc w:val="both"/>
        <w:rPr>
          <w:color w:val="000000" w:themeColor="text1"/>
          <w:sz w:val="16"/>
          <w:szCs w:val="16"/>
        </w:rPr>
      </w:pPr>
    </w:p>
    <w:p w14:paraId="39D0A96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А.E.Репин утвердил Отчет N 11 по войсковым испытаниям на боевое применение самолетов Як-9 У с ВК-107А производства 82 завода. Испытывалось 42 самолета, из которых 6 - 2-й серии, 15 - 3-й серии, 21 - 4-й серии в 163 Истребительном авиационном Седлецком Краснознаменном полку 336 ИАД 3 ВА (986,7).</w:t>
      </w:r>
    </w:p>
    <w:p w14:paraId="14FEF38A" w14:textId="77777777" w:rsidR="00C2313B" w:rsidRPr="00F90EAE" w:rsidRDefault="00C2313B" w:rsidP="00F90EAE">
      <w:pPr>
        <w:autoSpaceDE w:val="0"/>
        <w:autoSpaceDN w:val="0"/>
        <w:adjustRightInd w:val="0"/>
        <w:jc w:val="both"/>
        <w:rPr>
          <w:color w:val="000000" w:themeColor="text1"/>
          <w:sz w:val="16"/>
          <w:szCs w:val="16"/>
        </w:rPr>
      </w:pPr>
    </w:p>
    <w:p w14:paraId="13D1ADE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г. главный инженер ВВС генерал А.К.Репин утвердил Отчет по гос. испытаниям Як-7У, который выглядел более чем оптимистично. Особенно обращает внимание фраза, где утверждается о полном превосходстве Як-9У перед FW190, которые являлись основными противниками советских летчиков в Прибалтике зимой 1944-1945 гг. По данным отчета, после одной атаки и как правило двух-трех очередей, вражеский самолет падал на землю.</w:t>
      </w:r>
    </w:p>
    <w:p w14:paraId="6E0A512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Скажу несколько слов об условиях, в которых проходили войсковые испытания (4842).</w:t>
      </w:r>
    </w:p>
    <w:p w14:paraId="1CD87999" w14:textId="77777777" w:rsidR="00C2313B" w:rsidRPr="00F90EAE" w:rsidRDefault="00C2313B" w:rsidP="00F90EAE">
      <w:pPr>
        <w:autoSpaceDE w:val="0"/>
        <w:autoSpaceDN w:val="0"/>
        <w:adjustRightInd w:val="0"/>
        <w:jc w:val="both"/>
        <w:rPr>
          <w:color w:val="000000" w:themeColor="text1"/>
          <w:sz w:val="16"/>
          <w:szCs w:val="16"/>
        </w:rPr>
      </w:pPr>
    </w:p>
    <w:p w14:paraId="37BDA50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прекращены из-за ненадежной работы вооружения гос. испытания модифицированного Ла-7 № 38100358 с 3 пушками Б-20, которые начались 25 января 1945.</w:t>
      </w:r>
    </w:p>
    <w:p w14:paraId="0171754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С-ты № 38100358, 38105758 производства завода № 381</w:t>
      </w:r>
    </w:p>
    <w:p w14:paraId="78AC2BC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Отв. Исп. И-м Г.В.Чертявский</w:t>
      </w:r>
    </w:p>
    <w:p w14:paraId="00188A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Вед. Л м Кубышкин</w:t>
      </w:r>
    </w:p>
    <w:p w14:paraId="4884274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С-ты производства з-да № 381 выпуска января-февраля 1945 г</w:t>
      </w:r>
    </w:p>
    <w:p w14:paraId="10E3D64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5758 испытания начаты 22 февраля и закончены 25 марта 1945 г.</w:t>
      </w:r>
    </w:p>
    <w:p w14:paraId="0F9FBF6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 время полетов на с-те № 0358 налет составил 2:50</w:t>
      </w:r>
    </w:p>
    <w:p w14:paraId="7E7E9DF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2675, полетный - 3312</w:t>
      </w:r>
    </w:p>
    <w:p w14:paraId="5A7E2A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571, на 1 гр. (2900) - 632, на 5000 - 636, на 2 гр. (6100) - 662 км/час</w:t>
      </w:r>
    </w:p>
    <w:p w14:paraId="352B85A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5000 - 5,1</w:t>
      </w:r>
    </w:p>
    <w:p w14:paraId="61B3320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10325, время набора 26 мин.</w:t>
      </w:r>
    </w:p>
    <w:p w14:paraId="329338F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54FE4B2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3A96F48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работы 20мм пушек Б-20с и их синхронной установки не обеспечена.</w:t>
      </w:r>
    </w:p>
    <w:p w14:paraId="4C30EB6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Материалы испытаний оставить для внутреннего пользованияч.</w:t>
      </w:r>
    </w:p>
    <w:p w14:paraId="0BC416B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CA7BF0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Подписали Кочетков, Л.. 2 апреля 1945 (743,1).</w:t>
      </w:r>
    </w:p>
    <w:p w14:paraId="4A581588" w14:textId="77777777" w:rsidR="00C2313B" w:rsidRPr="00F90EAE" w:rsidRDefault="00C2313B" w:rsidP="00F90EAE">
      <w:pPr>
        <w:autoSpaceDE w:val="0"/>
        <w:autoSpaceDN w:val="0"/>
        <w:adjustRightInd w:val="0"/>
        <w:jc w:val="both"/>
        <w:rPr>
          <w:color w:val="000000" w:themeColor="text1"/>
          <w:sz w:val="16"/>
          <w:szCs w:val="16"/>
        </w:rPr>
      </w:pPr>
    </w:p>
    <w:p w14:paraId="303EDFD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года адмирал Л. Галлер писал письмо N 151642с Шахурину.</w:t>
      </w:r>
    </w:p>
    <w:p w14:paraId="771E285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 времени Вашего письма на имя Ворошилова от 30 августа 1944 года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5AFED81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(2595,6).</w:t>
      </w:r>
    </w:p>
    <w:p w14:paraId="7DB4CAA3" w14:textId="77777777" w:rsidR="00C2313B" w:rsidRPr="00F90EAE" w:rsidRDefault="00C2313B" w:rsidP="00F90EAE">
      <w:pPr>
        <w:autoSpaceDE w:val="0"/>
        <w:autoSpaceDN w:val="0"/>
        <w:adjustRightInd w:val="0"/>
        <w:jc w:val="both"/>
        <w:rPr>
          <w:color w:val="000000" w:themeColor="text1"/>
          <w:sz w:val="16"/>
          <w:szCs w:val="16"/>
        </w:rPr>
      </w:pPr>
    </w:p>
    <w:p w14:paraId="1BCEB8B7"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7499 О мероприятиях по обеспечению углем заводов Наркомавиапрома. РГАНИР, Фонд ГКО, д. 370, лл. 7-9 (11012).</w:t>
      </w:r>
    </w:p>
    <w:p w14:paraId="649114BA" w14:textId="77777777" w:rsidR="00C2313B" w:rsidRPr="00F90EAE" w:rsidRDefault="00C2313B" w:rsidP="00F90EAE">
      <w:pPr>
        <w:autoSpaceDE w:val="0"/>
        <w:autoSpaceDN w:val="0"/>
        <w:adjustRightInd w:val="0"/>
        <w:jc w:val="both"/>
        <w:rPr>
          <w:color w:val="000000" w:themeColor="text1"/>
          <w:sz w:val="16"/>
          <w:szCs w:val="16"/>
        </w:rPr>
      </w:pPr>
    </w:p>
    <w:p w14:paraId="2CD51204" w14:textId="77777777" w:rsidR="00A524F6" w:rsidRPr="00F90EAE" w:rsidRDefault="00A524F6" w:rsidP="00F90EAE">
      <w:pPr>
        <w:jc w:val="both"/>
        <w:rPr>
          <w:color w:val="000000" w:themeColor="text1"/>
          <w:sz w:val="16"/>
          <w:szCs w:val="16"/>
        </w:rPr>
      </w:pPr>
      <w:r w:rsidRPr="00F90EAE">
        <w:rPr>
          <w:color w:val="000000" w:themeColor="text1"/>
          <w:sz w:val="16"/>
          <w:szCs w:val="16"/>
        </w:rPr>
        <w:t>7 февраля 1945 г. во время возвращение в СССР при заходе на посадку под Киевом самолет советской группы по ракетам разбился. Члены группы погибли во время авиакатастрофы (кроме Ю. А. Победоносцева и М. К. Тихонравова, которые должны были возвратиться позже). На этом завершился первый этап изучения в СССР немецкой ракетной техники [6, с. 106–115] (19800).</w:t>
      </w:r>
    </w:p>
    <w:p w14:paraId="0520F341" w14:textId="77777777" w:rsidR="00A524F6" w:rsidRPr="00F90EAE" w:rsidRDefault="00A524F6" w:rsidP="00F90EAE">
      <w:pPr>
        <w:jc w:val="both"/>
        <w:rPr>
          <w:color w:val="000000" w:themeColor="text1"/>
          <w:sz w:val="16"/>
          <w:szCs w:val="16"/>
        </w:rPr>
      </w:pPr>
    </w:p>
    <w:p w14:paraId="5C20C93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0D55E69" w14:textId="77777777" w:rsidR="00C2313B" w:rsidRPr="00F90EAE" w:rsidRDefault="00C2313B" w:rsidP="00F90EAE">
      <w:pPr>
        <w:autoSpaceDE w:val="0"/>
        <w:autoSpaceDN w:val="0"/>
        <w:adjustRightInd w:val="0"/>
        <w:jc w:val="both"/>
        <w:rPr>
          <w:iCs/>
          <w:color w:val="000000" w:themeColor="text1"/>
          <w:sz w:val="16"/>
          <w:szCs w:val="16"/>
        </w:rPr>
      </w:pPr>
    </w:p>
    <w:p w14:paraId="4493CAE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7491 Об упорядочении поставок деревообрабатывающего оборудования и строительных механизмов Наркоматом минометного вооружения. РГАНИР, Фонд ГКО, д. 369, лл. 119, 120-134 (11012).</w:t>
      </w:r>
    </w:p>
    <w:p w14:paraId="74DB8AA1" w14:textId="77777777" w:rsidR="00C2313B" w:rsidRPr="00F90EAE" w:rsidRDefault="00C2313B" w:rsidP="00F90EAE">
      <w:pPr>
        <w:autoSpaceDE w:val="0"/>
        <w:autoSpaceDN w:val="0"/>
        <w:adjustRightInd w:val="0"/>
        <w:jc w:val="both"/>
        <w:rPr>
          <w:color w:val="000000" w:themeColor="text1"/>
          <w:sz w:val="16"/>
          <w:szCs w:val="16"/>
        </w:rPr>
      </w:pPr>
    </w:p>
    <w:p w14:paraId="256241B8"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7492 О мерах по обеспечению углем предприятий Наркомчермета. РГАНИР, Фонд ГКО, д. 369, лл. 135-139, 140-146 (11012).</w:t>
      </w:r>
    </w:p>
    <w:p w14:paraId="457FF3CE" w14:textId="77777777" w:rsidR="00C2313B" w:rsidRPr="00F90EAE" w:rsidRDefault="00C2313B" w:rsidP="00F90EAE">
      <w:pPr>
        <w:autoSpaceDE w:val="0"/>
        <w:autoSpaceDN w:val="0"/>
        <w:adjustRightInd w:val="0"/>
        <w:jc w:val="both"/>
        <w:rPr>
          <w:color w:val="000000" w:themeColor="text1"/>
          <w:sz w:val="16"/>
          <w:szCs w:val="16"/>
        </w:rPr>
      </w:pPr>
    </w:p>
    <w:p w14:paraId="58B8F60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7493 О мероприятиях по обеспечению мазутом заводов Наркомвооружения. РГАНИР, Фонд ГКО, д. 369, лл. 147-149 (11012).</w:t>
      </w:r>
    </w:p>
    <w:p w14:paraId="4AC29234" w14:textId="77777777" w:rsidR="00C2313B" w:rsidRPr="00F90EAE" w:rsidRDefault="00C2313B" w:rsidP="00F90EAE">
      <w:pPr>
        <w:autoSpaceDE w:val="0"/>
        <w:autoSpaceDN w:val="0"/>
        <w:adjustRightInd w:val="0"/>
        <w:jc w:val="both"/>
        <w:rPr>
          <w:color w:val="000000" w:themeColor="text1"/>
          <w:sz w:val="16"/>
          <w:szCs w:val="16"/>
        </w:rPr>
      </w:pPr>
    </w:p>
    <w:p w14:paraId="256FA8D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7494 О мерах по оказанию неотложной помощи топливом ТЭЦ завода № 26 Наркомавиапрома. РГАНИР, Фонд ГКО, д. 369, лл. 150-151 (11012).</w:t>
      </w:r>
    </w:p>
    <w:p w14:paraId="47ABF7D2" w14:textId="77777777" w:rsidR="00C2313B" w:rsidRPr="00F90EAE" w:rsidRDefault="00C2313B" w:rsidP="00F90EAE">
      <w:pPr>
        <w:autoSpaceDE w:val="0"/>
        <w:autoSpaceDN w:val="0"/>
        <w:adjustRightInd w:val="0"/>
        <w:jc w:val="both"/>
        <w:rPr>
          <w:color w:val="000000" w:themeColor="text1"/>
          <w:sz w:val="16"/>
          <w:szCs w:val="16"/>
        </w:rPr>
      </w:pPr>
    </w:p>
    <w:p w14:paraId="2B4F1F5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7495 О мероприятиях по обеспечению крепежным лесом угольных шахт Наркомугля в Кузнецком бассейне. РГАНИР, Фонд ГКО, д. 369, лл. 152-158 (11012).</w:t>
      </w:r>
    </w:p>
    <w:p w14:paraId="1571FD3D" w14:textId="77777777" w:rsidR="00C2313B" w:rsidRPr="00F90EAE" w:rsidRDefault="00C2313B" w:rsidP="00F90EAE">
      <w:pPr>
        <w:autoSpaceDE w:val="0"/>
        <w:autoSpaceDN w:val="0"/>
        <w:adjustRightInd w:val="0"/>
        <w:jc w:val="both"/>
        <w:rPr>
          <w:color w:val="000000" w:themeColor="text1"/>
          <w:sz w:val="16"/>
          <w:szCs w:val="16"/>
        </w:rPr>
      </w:pPr>
    </w:p>
    <w:p w14:paraId="510CBC37" w14:textId="77777777" w:rsidR="00C2313B" w:rsidRPr="00F90EAE" w:rsidRDefault="00C2313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7496 О вывозе никеля из Норильска. (7307, 159-160).</w:t>
      </w:r>
    </w:p>
    <w:p w14:paraId="709D6684" w14:textId="77777777" w:rsidR="00C2313B" w:rsidRPr="00F90EAE" w:rsidRDefault="00C2313B" w:rsidP="00F90EAE">
      <w:pPr>
        <w:tabs>
          <w:tab w:val="left" w:pos="11199"/>
        </w:tabs>
        <w:autoSpaceDE w:val="0"/>
        <w:autoSpaceDN w:val="0"/>
        <w:adjustRightInd w:val="0"/>
        <w:jc w:val="both"/>
        <w:rPr>
          <w:color w:val="000000" w:themeColor="text1"/>
          <w:sz w:val="16"/>
          <w:szCs w:val="16"/>
        </w:rPr>
      </w:pPr>
    </w:p>
    <w:p w14:paraId="6172BC4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вышло Постановление ГКО № 7498 О мероприятиях по обеспечению углем в феврале 1945 года важнейших заводов Наркомбоеприпасов. РГАНИР, Фонд ГКО, д. 370, лл. 3-6 (11012).</w:t>
      </w:r>
    </w:p>
    <w:p w14:paraId="09AEDAF9" w14:textId="77777777" w:rsidR="00C2313B" w:rsidRPr="00F90EAE" w:rsidRDefault="00C2313B" w:rsidP="00F90EAE">
      <w:pPr>
        <w:autoSpaceDE w:val="0"/>
        <w:autoSpaceDN w:val="0"/>
        <w:adjustRightInd w:val="0"/>
        <w:jc w:val="both"/>
        <w:rPr>
          <w:color w:val="000000" w:themeColor="text1"/>
          <w:sz w:val="16"/>
          <w:szCs w:val="16"/>
        </w:rPr>
      </w:pPr>
    </w:p>
    <w:p w14:paraId="141345BF"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2676835" w14:textId="77777777" w:rsidR="00C2313B" w:rsidRPr="00F90EAE" w:rsidRDefault="00C2313B" w:rsidP="00F90EAE">
      <w:pPr>
        <w:autoSpaceDE w:val="0"/>
        <w:autoSpaceDN w:val="0"/>
        <w:adjustRightInd w:val="0"/>
        <w:jc w:val="both"/>
        <w:rPr>
          <w:iCs/>
          <w:color w:val="000000" w:themeColor="text1"/>
          <w:sz w:val="16"/>
          <w:szCs w:val="16"/>
        </w:rPr>
      </w:pPr>
    </w:p>
    <w:p w14:paraId="14159F76" w14:textId="77777777" w:rsidR="00DB43FF" w:rsidRPr="00F90EAE" w:rsidRDefault="00DB43FF" w:rsidP="00F90EAE">
      <w:pPr>
        <w:jc w:val="both"/>
        <w:rPr>
          <w:color w:val="000000" w:themeColor="text1"/>
          <w:sz w:val="16"/>
          <w:szCs w:val="16"/>
        </w:rPr>
      </w:pPr>
      <w:r w:rsidRPr="00F90EAE">
        <w:rPr>
          <w:bCs/>
          <w:color w:val="000000" w:themeColor="text1"/>
          <w:sz w:val="16"/>
          <w:szCs w:val="16"/>
        </w:rPr>
        <w:t>7 февраля</w:t>
      </w:r>
      <w:r w:rsidRPr="00F90EAE">
        <w:rPr>
          <w:color w:val="000000" w:themeColor="text1"/>
          <w:sz w:val="16"/>
          <w:szCs w:val="16"/>
        </w:rPr>
        <w:t xml:space="preserve"> в 1945 году оперативная сводка Совинформбюро:</w:t>
      </w:r>
    </w:p>
    <w:p w14:paraId="1C931C0E" w14:textId="77777777" w:rsidR="00DB43FF" w:rsidRPr="00F90EAE" w:rsidRDefault="00DB43FF" w:rsidP="00F90EAE">
      <w:pPr>
        <w:jc w:val="both"/>
        <w:rPr>
          <w:color w:val="000000" w:themeColor="text1"/>
          <w:sz w:val="16"/>
          <w:szCs w:val="16"/>
        </w:rPr>
      </w:pPr>
      <w:r w:rsidRPr="00F90EAE">
        <w:rPr>
          <w:color w:val="000000" w:themeColor="text1"/>
          <w:sz w:val="16"/>
          <w:szCs w:val="16"/>
        </w:rPr>
        <w:t>«В течение 7 февраля южнее Кенигсберга наши войска вели наступательные бои, в ходе которых заняли более 30 населённых пунктов и среди них Липникен, Золлау, Посмален, Лайдткайм, Лампаш, Пошлошен. За 5 и 6 февраля в районе Кенигсберга наши войска взяли в плен 2.260 немецких солдат и офицеров.</w:t>
      </w:r>
    </w:p>
    <w:p w14:paraId="52A802AD" w14:textId="77777777" w:rsidR="00DB43FF" w:rsidRPr="00F90EAE" w:rsidRDefault="00DB43FF" w:rsidP="00F90EAE">
      <w:pPr>
        <w:jc w:val="both"/>
        <w:rPr>
          <w:color w:val="000000" w:themeColor="text1"/>
          <w:sz w:val="16"/>
          <w:szCs w:val="16"/>
        </w:rPr>
      </w:pPr>
      <w:r w:rsidRPr="00F90EAE">
        <w:rPr>
          <w:color w:val="000000" w:themeColor="text1"/>
          <w:sz w:val="16"/>
          <w:szCs w:val="16"/>
        </w:rPr>
        <w:t>Севернее и южнее города Кюстрин (на Одере) наши войска вели бои по очищению от противника восточного берега реки Одер, заняв при этом населённые пункты Цэкерик, Альт Литцегерике, Гюстебизе, Хэльзе, Клевитц, Альт Древитц, Треттин, Кунерсдорф, Ауритц. В боях за 5 и 6 февраля в этом районе взято в плен свыше 4.000 немецких солдат и офицеров и захвачено на аэродромах 69 самолётов противника.</w:t>
      </w:r>
    </w:p>
    <w:p w14:paraId="127B8C87"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Бреслау (Бреславль) наши войска, продолжая бои по расширению плацдарма на западном берегу Одера, заняли более 50 населённых пунктов, в том числе крупные населённые пункты Мэрцдорф, Вюрбен, Гроссбург, Лихтенберг, Дойче-Лайппе, Михелау, Боркенхайн, Вольфсгрунд, Эйзенау, Прейсдорф. В боях за 5 и 6 февраля в этом районе взято в плен более 4.200 немецких солдат и офицеров и захвачено на аэродроме 28 самолётов противника.</w:t>
      </w:r>
    </w:p>
    <w:p w14:paraId="28CADD2D"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10 кварталов. В боях за 5 и 6 февраля в западной части города (Буда) взято в плен более 5.600 солдат и офицеров противника.</w:t>
      </w:r>
    </w:p>
    <w:p w14:paraId="0993E1CA" w14:textId="77777777" w:rsidR="00DB43FF" w:rsidRPr="00F90EAE" w:rsidRDefault="00DB43FF" w:rsidP="00F90EAE">
      <w:pPr>
        <w:jc w:val="both"/>
        <w:rPr>
          <w:color w:val="000000" w:themeColor="text1"/>
          <w:sz w:val="16"/>
          <w:szCs w:val="16"/>
        </w:rPr>
      </w:pPr>
      <w:r w:rsidRPr="00F90EAE">
        <w:rPr>
          <w:color w:val="000000" w:themeColor="text1"/>
          <w:sz w:val="16"/>
          <w:szCs w:val="16"/>
        </w:rPr>
        <w:t>За 6 февраля на всех фронтах подбито и уничтожено 140 немецких танков. В воздушных боях и огнём зенитной артиллерии сбито 26 самолётов противника.</w:t>
      </w:r>
    </w:p>
    <w:p w14:paraId="0949BF14" w14:textId="77777777" w:rsidR="00DB43FF" w:rsidRPr="00F90EAE" w:rsidRDefault="00DB43FF" w:rsidP="00F90EAE">
      <w:pPr>
        <w:jc w:val="both"/>
        <w:rPr>
          <w:color w:val="000000" w:themeColor="text1"/>
          <w:sz w:val="16"/>
          <w:szCs w:val="16"/>
        </w:rPr>
      </w:pPr>
      <w:r w:rsidRPr="00F90EAE">
        <w:rPr>
          <w:color w:val="000000" w:themeColor="text1"/>
          <w:sz w:val="16"/>
          <w:szCs w:val="16"/>
        </w:rPr>
        <w:lastRenderedPageBreak/>
        <w:t>За время наступательных боёв с 12 января по 4 февраля сего года на центральном участке фронта нашими войсками взяты в плен: командир 88-й немецкой пехотной дивизии генерал-лейтенант Ритберг, командир 304-й немецкой пехотной дивизии генерал-майор Лисс, командир 433-й немецкой пехотной дивизии генерал-лейтенант Люббе, командир 17-й немецкой танковой дивизии полковник Брукс, командир 10-й немецкой моторизованной дивизии полковник Виаль, начальник штаба 42-го немецкого армейского корпуса полковник Драбих-Вехтер, командующий артиллерией 42-го немецкого армейского корпуса полковник Розен, начальник отдела министерства авиации генерал авиации Манке, начальник 39-го трудового военного округа генерал Вессеман.</w:t>
      </w:r>
    </w:p>
    <w:p w14:paraId="6D341AAF" w14:textId="77777777" w:rsidR="00DB43FF" w:rsidRPr="00F90EAE" w:rsidRDefault="00DB43FF" w:rsidP="00F90EAE">
      <w:pPr>
        <w:jc w:val="both"/>
        <w:rPr>
          <w:color w:val="000000" w:themeColor="text1"/>
          <w:sz w:val="16"/>
          <w:szCs w:val="16"/>
        </w:rPr>
      </w:pPr>
      <w:r w:rsidRPr="00F90EAE">
        <w:rPr>
          <w:color w:val="000000" w:themeColor="text1"/>
          <w:sz w:val="16"/>
          <w:szCs w:val="16"/>
        </w:rPr>
        <w:t>Среди убитых немецких солдат и офицеров найдены трупы командира 42-го немецкого армейского корпуса генерала пехоты Рекнагеля, командира 56-го немецкого танкового корпуса генерала пехоты Блока, командира 69-й немецкой пехотной дивизии генерал-лейтенанта Райна, командира 72-й немецкой пехотной дивизии генерал-майора Хона, командира 78-й немецкой пехотной дивизии генерал-майора Гиршфельда, командира 214-й немецкой пехотной дивизии генерал-лейтенанта Кирбаха, командира 291-й немецкой пехотной дивизии генерал-майора Фингера, командира 342-й немецкой пехотной дивизии генерал-лейтенанта Никкеля.</w:t>
      </w:r>
    </w:p>
    <w:p w14:paraId="02F0A32A"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южнее города Кенигсберг наши войска продолжали наступление и вышли к сильно укреплённой долговременной обороне противника у реки Посмор. В ходе ожесточённых боёв советские части форсировали реку и заняли на её левом берегу опорный пункт Посмален.</w:t>
      </w:r>
    </w:p>
    <w:p w14:paraId="64B031D6" w14:textId="77777777" w:rsidR="00DB43FF" w:rsidRPr="00F90EAE" w:rsidRDefault="00DB43FF" w:rsidP="00F90EAE">
      <w:pPr>
        <w:jc w:val="both"/>
        <w:rPr>
          <w:color w:val="000000" w:themeColor="text1"/>
          <w:sz w:val="16"/>
          <w:szCs w:val="16"/>
        </w:rPr>
      </w:pPr>
      <w:r w:rsidRPr="00F90EAE">
        <w:rPr>
          <w:color w:val="000000" w:themeColor="text1"/>
          <w:sz w:val="16"/>
          <w:szCs w:val="16"/>
        </w:rPr>
        <w:t>Захвачено 24 крупных дота. Немцы выбиты также из населённого пункта Лампаш, расположенного в 4 километрах северо-восточнее города Прейсиш-Айлау. За день боёв уничтожено более 3 тысяч вражеских солдат и офицеров, 28 танков и самоходных орудий противника.</w:t>
      </w:r>
    </w:p>
    <w:p w14:paraId="5674C5B2" w14:textId="77777777" w:rsidR="00DB43FF" w:rsidRPr="00F90EAE" w:rsidRDefault="00DB43FF" w:rsidP="00F90EAE">
      <w:pPr>
        <w:jc w:val="both"/>
        <w:rPr>
          <w:color w:val="000000" w:themeColor="text1"/>
          <w:sz w:val="16"/>
          <w:szCs w:val="16"/>
        </w:rPr>
      </w:pPr>
      <w:r w:rsidRPr="00F90EAE">
        <w:rPr>
          <w:color w:val="000000" w:themeColor="text1"/>
          <w:sz w:val="16"/>
          <w:szCs w:val="16"/>
        </w:rPr>
        <w:t>Севернее и южнее города Кюстрин наши войска вели наступательные бои. Противник пытается ценою любых потерь удержать плацдармы на восточном берегу реки Одер. Опираясь на долговременные оборонительные сооружения, гитлеровцы яростно сопротивлялись и неоднократно переходили в контратаки. В результате стремительного удара советские части овладели населённым пунктом Альт Древитц — северным предместьем города Кюстрин. Наши войска нанесли тяжёлое поражение группировке противника, обороняющей подступы к городу Франкфурт-на-Одере, и заняли населённый пункт Кунерсдорф, находящийся в пяти километрах восточнее Франкфурта. В течение дня противник потерял только убитыми до 5 тысяч солдат и офицеров. Подбито и сожжено 65 немецких танков и 90 бронетранспортёров.</w:t>
      </w:r>
    </w:p>
    <w:p w14:paraId="58D11E2C" w14:textId="77777777" w:rsidR="00DB43FF" w:rsidRPr="00F90EAE" w:rsidRDefault="00DB43FF" w:rsidP="00F90EAE">
      <w:pPr>
        <w:jc w:val="both"/>
        <w:rPr>
          <w:color w:val="000000" w:themeColor="text1"/>
          <w:sz w:val="16"/>
          <w:szCs w:val="16"/>
        </w:rPr>
      </w:pPr>
      <w:r w:rsidRPr="00F90EAE">
        <w:rPr>
          <w:color w:val="000000" w:themeColor="text1"/>
          <w:sz w:val="16"/>
          <w:szCs w:val="16"/>
        </w:rPr>
        <w:t>Занятый нашими войсками немецкий населённый пункт Кунерсдорф известен в русской военной истории. Во время Семилетней войны, 14 августа 1759 года, у Кунерсдорфа произошло крупное сражение между русскими войсками под командованием генерала Салтыкова и войсками прусского короля Фридриха II. Русские войска наголову разбили немцев и обратили их в бегство.</w:t>
      </w:r>
    </w:p>
    <w:p w14:paraId="697F5606"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Бреслау (Бреславль) наши войска, преодолевая упорное сопротивление противника, продолжали бои по расширению плацдарма на западном берегу реки Одер. Советские пехотинцы, при поддержке танкистов и артиллеристов, выбили немцев из населённого пункта Гроссбург, расположенного в 9 километрах севернее города Штрелен. Другие наши части, наступающие вдоль левого берега Одера, продвинулись вперёд на 10 километров и овладели Прейсдорфом — опорным пунктом обороны немцев.</w:t>
      </w:r>
    </w:p>
    <w:p w14:paraId="55140E6D" w14:textId="77777777" w:rsidR="00DB43FF" w:rsidRPr="00F90EAE" w:rsidRDefault="00DB43FF" w:rsidP="00F90EAE">
      <w:pPr>
        <w:jc w:val="both"/>
        <w:rPr>
          <w:color w:val="000000" w:themeColor="text1"/>
          <w:sz w:val="16"/>
          <w:szCs w:val="16"/>
        </w:rPr>
      </w:pPr>
      <w:r w:rsidRPr="00F90EAE">
        <w:rPr>
          <w:color w:val="000000" w:themeColor="text1"/>
          <w:sz w:val="16"/>
          <w:szCs w:val="16"/>
        </w:rPr>
        <w:t>В занятом вчера немецком городе Бриг советские войска захватили большие трофеи, в том числе 19 танков, 62 полевых орудия, 1.000 автомашин и много складов с военным имуществом.</w:t>
      </w:r>
    </w:p>
    <w:p w14:paraId="7D7A5B2A"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наши войска продолжали бои по ликвидации окружённой группировки противника. Упорная борьба произошла за гору Шашхедь, господствующую над всей остающейся в руках немцев частью города. Противник превратил Шашхедь в мощный узел обороны. Опираясь на укрепления, гитлеровцы оказывали ожесточённое сопротивление. Наши гвардейские подразделения очистили от врага улицу Зайоми и вышли к подножью торы с востока. Другие советские подразделения прорвались в этот район с юга и севера. Сегодня наши бойцы разгромили крупный немецкий гарнизон и овладели горой Шашхедь. Упорные бои произошли также за один парк. На территории марка немцы соорудили несколько дотов. Артиллеристы офицера Вакусова сильным огнём подавили вражеские огневые точки. Перешедшие в атаку советские пехотинцы очистили парк от немцев. Противник, зажаты в кольцо, несёт огромные потери. Места боёв усеяны трупами гитлеровцев.</w:t>
      </w:r>
    </w:p>
    <w:p w14:paraId="5A0845DB" w14:textId="77777777" w:rsidR="00DB43FF" w:rsidRPr="00F90EAE" w:rsidRDefault="00DB43FF" w:rsidP="00F90EAE">
      <w:pPr>
        <w:jc w:val="both"/>
        <w:rPr>
          <w:color w:val="000000" w:themeColor="text1"/>
          <w:sz w:val="16"/>
          <w:szCs w:val="16"/>
        </w:rPr>
      </w:pPr>
      <w:r w:rsidRPr="00F90EAE">
        <w:rPr>
          <w:color w:val="000000" w:themeColor="text1"/>
          <w:sz w:val="16"/>
          <w:szCs w:val="16"/>
        </w:rPr>
        <w:t>Нашими войсками захвачен новогодний приказ командующего центральной группой немецких армий генерал-полковника Рейнгардта. В приказе говорится: «Солдаты центральной группы! Мы пережили несчастливый 1944 военный год. Но мы не сломлены. Мы ещё живы, и сегодня наш фронт прочнее, чем в любую предыдущую зиму. Имеется достаточно признаков того, что кризис на восточном фронте преодолен. Теперь снова настал наш час. На западе наши товарищи уже перешли в наступление. Солдатам восточного фронта фюрер в нужный момент также бросит клич: «Вперёд». Пока этот великий час пробьёт, мы будем отстаивать каждый метр земли. Мы можем с гордо поднятой головой и с полной уверенностью в победе вступить в новый год борьбы».</w:t>
      </w:r>
    </w:p>
    <w:p w14:paraId="0A6CB61B" w14:textId="77777777" w:rsidR="00DB43FF" w:rsidRPr="00F90EAE" w:rsidRDefault="00DB43FF" w:rsidP="00F90EAE">
      <w:pPr>
        <w:jc w:val="both"/>
        <w:rPr>
          <w:color w:val="000000" w:themeColor="text1"/>
          <w:sz w:val="16"/>
          <w:szCs w:val="16"/>
        </w:rPr>
      </w:pPr>
      <w:r w:rsidRPr="00F90EAE">
        <w:rPr>
          <w:color w:val="000000" w:themeColor="text1"/>
          <w:sz w:val="16"/>
          <w:szCs w:val="16"/>
        </w:rPr>
        <w:t>Жизнь снова жестоко посмеялась над фашистскими генералами. Сотни тысяч гитлеровцев, к которым ещё недавно взывал генерал Рейнгардт, валяются на обширных полях сражений. Эти горы немецких трупов лучше всяких слов говорят о том, какое огромное поражение потерпели немецкие войска на советско-германском фронте в начале 1945 года.» (15033).</w:t>
      </w:r>
    </w:p>
    <w:p w14:paraId="0792F198" w14:textId="77777777" w:rsidR="00DB43FF" w:rsidRPr="00F90EAE" w:rsidRDefault="00DB43FF" w:rsidP="00F90EAE">
      <w:pPr>
        <w:jc w:val="both"/>
        <w:rPr>
          <w:color w:val="000000" w:themeColor="text1"/>
          <w:sz w:val="16"/>
          <w:szCs w:val="16"/>
        </w:rPr>
      </w:pPr>
    </w:p>
    <w:p w14:paraId="2B4B082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февраля 1945 г. был подготовлен ПЛАН РАСПРЕДЕЛЕНИЯ БОЕВЫХ МАШИН, ПОЛУЧАЕМЫХ ОТ ПРОМЫШЛЕННОСТИ ЗА ПЕРВУЮ ПОЛОВИНУ ФЕВРАЛЯ 1945 г.</w:t>
      </w:r>
    </w:p>
    <w:p w14:paraId="7884488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по 15 февраля будет получено:</w:t>
      </w:r>
    </w:p>
    <w:p w14:paraId="05E07C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 Т-34-580 штук, из них 460 отправляются по ранее принятым решениям. Остается свободных</w:t>
      </w:r>
    </w:p>
    <w:p w14:paraId="102753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Т-34—120 танков</w:t>
      </w:r>
    </w:p>
    <w:p w14:paraId="4FB6211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ИС— 79 танков</w:t>
      </w:r>
    </w:p>
    <w:p w14:paraId="1920C8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«Шерман»— 183 танка</w:t>
      </w:r>
    </w:p>
    <w:p w14:paraId="19AA39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 94 танка</w:t>
      </w:r>
    </w:p>
    <w:p w14:paraId="3276A1E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СУ-100—106 танков</w:t>
      </w:r>
    </w:p>
    <w:p w14:paraId="0C2E71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376 танков</w:t>
      </w:r>
    </w:p>
    <w:p w14:paraId="6CB451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Указанные боевые машины распределяются следующим образом:</w:t>
      </w:r>
    </w:p>
    <w:p w14:paraId="5CAB2BC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Третьему Белорусскому фронту т. Черняховскому танков ИС - 20</w:t>
      </w:r>
    </w:p>
    <w:p w14:paraId="2DBC53C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ИСУ-152-122 - 20</w:t>
      </w:r>
    </w:p>
    <w:p w14:paraId="2CE6E0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СУ-76 - 40</w:t>
      </w:r>
    </w:p>
    <w:p w14:paraId="30359A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- 80</w:t>
      </w:r>
    </w:p>
    <w:p w14:paraId="1370CF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Второму Белорусскому фронту т. Рокоссовскому</w:t>
      </w:r>
    </w:p>
    <w:p w14:paraId="69D2BE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 «Шерман» — 40</w:t>
      </w:r>
    </w:p>
    <w:p w14:paraId="54EC950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 ИС - 20</w:t>
      </w:r>
    </w:p>
    <w:p w14:paraId="131E201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ИСУ-152-122 - 30</w:t>
      </w:r>
    </w:p>
    <w:p w14:paraId="05C2A19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СУ-100 - 30</w:t>
      </w:r>
    </w:p>
    <w:p w14:paraId="16BE32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СУ-76 - 40</w:t>
      </w:r>
    </w:p>
    <w:p w14:paraId="19AD536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- 160</w:t>
      </w:r>
    </w:p>
    <w:p w14:paraId="296663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Первому Белорусскому фронту т. Жукову танков ИС - 20 танков</w:t>
      </w:r>
    </w:p>
    <w:p w14:paraId="580301D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«Шерман» — 80</w:t>
      </w:r>
    </w:p>
    <w:p w14:paraId="066B13C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ИСУ-152-122 - 40</w:t>
      </w:r>
    </w:p>
    <w:p w14:paraId="54E2EF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СУ-100 - 30</w:t>
      </w:r>
    </w:p>
    <w:p w14:paraId="20FA52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СУ-76 - 80</w:t>
      </w:r>
    </w:p>
    <w:p w14:paraId="3E35B4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- 250</w:t>
      </w:r>
    </w:p>
    <w:p w14:paraId="2D5714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Первому Украинскому фронту т. Коневу танков ИС - 20</w:t>
      </w:r>
    </w:p>
    <w:p w14:paraId="00A95D3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ИСУ-152-122 - 30</w:t>
      </w:r>
    </w:p>
    <w:p w14:paraId="7C69D1A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СУ-76 - 40</w:t>
      </w:r>
    </w:p>
    <w:p w14:paraId="029E04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- 90</w:t>
      </w:r>
    </w:p>
    <w:p w14:paraId="030F996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Четвертому Украинскому фронту т. Петрову танков ИС — 30</w:t>
      </w:r>
    </w:p>
    <w:p w14:paraId="087C12D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СУ-76 - 70</w:t>
      </w:r>
    </w:p>
    <w:p w14:paraId="1AEB31C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- 100</w:t>
      </w:r>
    </w:p>
    <w:p w14:paraId="4BE10DD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Второму Украинскому фронту т. Малиновскому</w:t>
      </w:r>
    </w:p>
    <w:p w14:paraId="13DD502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 ИС- 20</w:t>
      </w:r>
    </w:p>
    <w:p w14:paraId="2C5951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 Т-34- 55</w:t>
      </w:r>
    </w:p>
    <w:p w14:paraId="799E007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СУ-76- 60</w:t>
      </w:r>
    </w:p>
    <w:p w14:paraId="3D854AD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- 135</w:t>
      </w:r>
    </w:p>
    <w:p w14:paraId="3D952A7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Третьему Украинскому фронту т. Толбухину танков ИС - 20</w:t>
      </w:r>
    </w:p>
    <w:p w14:paraId="1E8BFE7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танков «Шерман» — 60</w:t>
      </w:r>
    </w:p>
    <w:p w14:paraId="7BACE0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СУ-76 - 75</w:t>
      </w:r>
    </w:p>
    <w:p w14:paraId="322522F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- 155</w:t>
      </w:r>
    </w:p>
    <w:p w14:paraId="55BA49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Югославской танковой бригаде танков Т-34 — 65</w:t>
      </w:r>
    </w:p>
    <w:p w14:paraId="66B1C7E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11353. Д. 1449. Л. 103-104. Подлинник.</w:t>
      </w:r>
    </w:p>
    <w:p w14:paraId="4D4FEB5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орготдела штаба БТ и МВ КА инженер-полковник Мартынов (11420).</w:t>
      </w:r>
    </w:p>
    <w:p w14:paraId="0E039E48" w14:textId="77777777" w:rsidR="00C2313B" w:rsidRPr="00F90EAE" w:rsidRDefault="00C2313B" w:rsidP="00F90EAE">
      <w:pPr>
        <w:autoSpaceDE w:val="0"/>
        <w:autoSpaceDN w:val="0"/>
        <w:adjustRightInd w:val="0"/>
        <w:jc w:val="both"/>
        <w:rPr>
          <w:color w:val="000000" w:themeColor="text1"/>
          <w:sz w:val="16"/>
          <w:szCs w:val="16"/>
        </w:rPr>
      </w:pPr>
    </w:p>
    <w:p w14:paraId="3BDBDC71" w14:textId="77777777" w:rsidR="00C2313B" w:rsidRPr="00F90EAE" w:rsidRDefault="00C2313B"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7, 1945: In East Prussia, Soviet attacks north of Konigsberg are blocked with the help of naval gunfire by the cruisers Scheer and Lutzow (3819).</w:t>
      </w:r>
    </w:p>
    <w:p w14:paraId="7CA49BEF" w14:textId="77777777" w:rsidR="00C2313B" w:rsidRPr="00F90EAE" w:rsidRDefault="00C2313B" w:rsidP="00F90EAE">
      <w:pPr>
        <w:autoSpaceDE w:val="0"/>
        <w:autoSpaceDN w:val="0"/>
        <w:adjustRightInd w:val="0"/>
        <w:jc w:val="both"/>
        <w:rPr>
          <w:color w:val="000000" w:themeColor="text1"/>
          <w:sz w:val="16"/>
          <w:szCs w:val="16"/>
          <w:lang w:val="en-US"/>
        </w:rPr>
      </w:pPr>
    </w:p>
    <w:p w14:paraId="51FF2B9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в Восточной Пруссии КА атаковала северный Кенигсберг, но бала отбита огнем с кораблей, в т.ч. с Шеера и Лютцева (3819).</w:t>
      </w:r>
    </w:p>
    <w:p w14:paraId="45372A60" w14:textId="77777777" w:rsidR="00C2313B" w:rsidRPr="00F90EAE" w:rsidRDefault="00C2313B" w:rsidP="00F90EAE">
      <w:pPr>
        <w:autoSpaceDE w:val="0"/>
        <w:autoSpaceDN w:val="0"/>
        <w:adjustRightInd w:val="0"/>
        <w:jc w:val="both"/>
        <w:rPr>
          <w:color w:val="000000" w:themeColor="text1"/>
          <w:sz w:val="16"/>
          <w:szCs w:val="16"/>
        </w:rPr>
      </w:pPr>
    </w:p>
    <w:p w14:paraId="7061706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СА прорвала оборону в районе Бреслау и форсировав Одер вышла к городу с юга (455,168).</w:t>
      </w:r>
    </w:p>
    <w:p w14:paraId="6521FCD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Противник широко использовал авиацию (транспортные самолеты и бомбардировщики) для снабжения окруженных войск и особое значение имела воздушная блокада окруженного противника (518,174).</w:t>
      </w:r>
    </w:p>
    <w:p w14:paraId="63EE248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немцы привлекали транспортные самолеты для снабжения войск и они понесли тяжелые потери (518,179).</w:t>
      </w:r>
    </w:p>
    <w:p w14:paraId="41FBB65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 операциях под Бреслау применяли 45-й дивизии истребителей дальнего действия применяли два С-47, работавших как посты наведения ночных истребителей. В 17-и дивизии АДД для ее командира полковника К.Ф.Логинова один С-47 превратили в летающим командный пункт с соответствующе оборудованным салоном и необходимыми средствами связи (3457,138).</w:t>
      </w:r>
    </w:p>
    <w:p w14:paraId="708E1D83" w14:textId="77777777" w:rsidR="00C2313B" w:rsidRPr="00F90EAE" w:rsidRDefault="00C2313B" w:rsidP="00F90EAE">
      <w:pPr>
        <w:autoSpaceDE w:val="0"/>
        <w:autoSpaceDN w:val="0"/>
        <w:adjustRightInd w:val="0"/>
        <w:jc w:val="both"/>
        <w:rPr>
          <w:color w:val="000000" w:themeColor="text1"/>
          <w:sz w:val="16"/>
          <w:szCs w:val="16"/>
        </w:rPr>
      </w:pPr>
    </w:p>
    <w:p w14:paraId="170F0D7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7 февраля 1945 года начался перегон самолетов 108 шап на фронт по маршруту: Толкой - Разбойщина - Курск - Львов - Ченстохов - Шпроттау. Ситуация осложнялась тем, что лететь пришлось как бы навстречу весне. Пролетая в день около 500-700 километров и двигаясь в западном направлении, полк сталкивался со всеми капризами погоды. Например, морозным ясным утром, взлетев с заснеженного аэродрома, самолеты совершают посадку на совершено раскисшее и похожее на огромную лужу поле. “Во время посадки поднялся такой водяной смерч, что самолета не было видно. Летчики едва удерживали машины от капотирования. Сели все благополучно. Со стоянки самолетов на КП все брели в меховых унтах по образовавшемуся озеру” (8683,36).</w:t>
      </w:r>
    </w:p>
    <w:p w14:paraId="378591FC" w14:textId="77777777" w:rsidR="00C2313B" w:rsidRPr="00F90EAE" w:rsidRDefault="00C2313B" w:rsidP="00F90EAE">
      <w:pPr>
        <w:autoSpaceDE w:val="0"/>
        <w:autoSpaceDN w:val="0"/>
        <w:adjustRightInd w:val="0"/>
        <w:jc w:val="both"/>
        <w:rPr>
          <w:color w:val="000000" w:themeColor="text1"/>
          <w:sz w:val="16"/>
          <w:szCs w:val="16"/>
        </w:rPr>
      </w:pPr>
    </w:p>
    <w:p w14:paraId="1A73B762" w14:textId="77777777" w:rsidR="00480A84" w:rsidRPr="00F90EAE" w:rsidRDefault="00480A84" w:rsidP="00F90EAE">
      <w:pPr>
        <w:jc w:val="both"/>
        <w:rPr>
          <w:color w:val="0070C0"/>
          <w:sz w:val="16"/>
          <w:szCs w:val="16"/>
        </w:rPr>
      </w:pPr>
      <w:r w:rsidRPr="00F90EAE">
        <w:rPr>
          <w:color w:val="0070C0"/>
          <w:sz w:val="16"/>
          <w:szCs w:val="16"/>
        </w:rPr>
        <w:t>7 - 12 февраля 1945 немецкие самолеты Junkers Ju 88 атакуют конвой JW 64 во время его рейса от Клайда до Кольского залива. Корвет сопровождения сбивает одного (20371).</w:t>
      </w:r>
    </w:p>
    <w:p w14:paraId="644EDF6D" w14:textId="77777777" w:rsidR="00480A84" w:rsidRPr="00F90EAE" w:rsidRDefault="00480A84" w:rsidP="00F90EAE">
      <w:pPr>
        <w:jc w:val="both"/>
        <w:rPr>
          <w:color w:val="0070C0"/>
          <w:sz w:val="16"/>
          <w:szCs w:val="16"/>
        </w:rPr>
      </w:pPr>
    </w:p>
    <w:p w14:paraId="1A3E4A04" w14:textId="77777777" w:rsidR="00A524F6" w:rsidRPr="00F90EAE" w:rsidRDefault="00A524F6"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2AA2A48" w14:textId="77777777" w:rsidR="00A524F6" w:rsidRPr="00F90EAE" w:rsidRDefault="00A524F6" w:rsidP="00F90EAE">
      <w:pPr>
        <w:autoSpaceDE w:val="0"/>
        <w:autoSpaceDN w:val="0"/>
        <w:adjustRightInd w:val="0"/>
        <w:jc w:val="both"/>
        <w:rPr>
          <w:iCs/>
          <w:color w:val="000000" w:themeColor="text1"/>
          <w:sz w:val="16"/>
          <w:szCs w:val="16"/>
        </w:rPr>
      </w:pPr>
    </w:p>
    <w:p w14:paraId="3524FA27" w14:textId="77777777" w:rsidR="00A524F6" w:rsidRPr="00F90EAE" w:rsidRDefault="00A524F6" w:rsidP="00F90EAE">
      <w:pPr>
        <w:jc w:val="both"/>
        <w:rPr>
          <w:color w:val="000000" w:themeColor="text1"/>
          <w:sz w:val="16"/>
          <w:szCs w:val="16"/>
        </w:rPr>
      </w:pPr>
      <w:r w:rsidRPr="00F90EAE">
        <w:rPr>
          <w:color w:val="000000" w:themeColor="text1"/>
          <w:sz w:val="16"/>
          <w:szCs w:val="16"/>
        </w:rPr>
        <w:t>7 февраля 1945 Молотов вручил Стеттиниусу и Идену краткий меморандум, в котором декларировалась общая сумма репараций в 20 млрд долл., распределявшихся следующим образом: СССР – 10 млрд, Великобритания и США – 8 млрд, остальные страны – 2 млрд долл. Предполагалось учредить Межсоюзную репарационную комиссию (МРК) из представителей трех стран, которая должна была работать в Москве [9. С. 106–107]. При обсуждении репарационных проблем главами делегаций Рузвельт высказался за принятие цифр, названных Майским, как «основы» для дальнейших переговоров. Черчилль высказался против. Он заявил: что «касается русского плана репараций, то для его рассмотрения требуется время. Он не может быть принят немедленно» [9. С. 76]. В Протоколе Ялтинской конференции констатировалось создание Межсоюзной комиссии по репарациям (МРК) в Москве. Советская и американская делегации согласились принять в качестве базы для обсуждения в МРК суммы репараций в 20 млрд долларов (50% этой суммы для СССР). По мнению британской делегации, пока не могут быть названы никакие цифры репараций [9. С. 253–254] (19851).</w:t>
      </w:r>
    </w:p>
    <w:p w14:paraId="669D7685" w14:textId="77777777" w:rsidR="00A524F6" w:rsidRPr="00F90EAE" w:rsidRDefault="00A524F6" w:rsidP="00F90EAE">
      <w:pPr>
        <w:jc w:val="both"/>
        <w:rPr>
          <w:color w:val="000000" w:themeColor="text1"/>
          <w:sz w:val="16"/>
          <w:szCs w:val="16"/>
        </w:rPr>
      </w:pPr>
    </w:p>
    <w:p w14:paraId="0EF4C2F4" w14:textId="507433F2" w:rsidR="00480A84" w:rsidRPr="00F90EAE" w:rsidRDefault="00480A84"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7BC01334" w14:textId="77777777" w:rsidR="00480A84" w:rsidRPr="00F90EAE" w:rsidRDefault="00480A84" w:rsidP="00F90EAE">
      <w:pPr>
        <w:autoSpaceDE w:val="0"/>
        <w:autoSpaceDN w:val="0"/>
        <w:adjustRightInd w:val="0"/>
        <w:jc w:val="both"/>
        <w:rPr>
          <w:i/>
          <w:iCs/>
          <w:color w:val="000000" w:themeColor="text1"/>
          <w:sz w:val="16"/>
          <w:szCs w:val="16"/>
        </w:rPr>
      </w:pPr>
    </w:p>
    <w:p w14:paraId="433B4273" w14:textId="77777777" w:rsidR="00480A84" w:rsidRPr="00F90EAE" w:rsidRDefault="00480A84" w:rsidP="00F90EAE">
      <w:pPr>
        <w:jc w:val="both"/>
        <w:rPr>
          <w:color w:val="0070C0"/>
          <w:sz w:val="16"/>
          <w:szCs w:val="16"/>
        </w:rPr>
      </w:pPr>
      <w:r w:rsidRPr="00F90EAE">
        <w:rPr>
          <w:color w:val="0070C0"/>
          <w:sz w:val="16"/>
          <w:szCs w:val="16"/>
        </w:rPr>
        <w:t>7 или 11 февраля первый полет Consolidated-Vultee XP-81 (с поршневым двигателем) (20371).</w:t>
      </w:r>
    </w:p>
    <w:p w14:paraId="537105F3" w14:textId="77777777" w:rsidR="00480A84" w:rsidRPr="00F90EAE" w:rsidRDefault="00480A84" w:rsidP="00F90EAE">
      <w:pPr>
        <w:jc w:val="both"/>
        <w:rPr>
          <w:color w:val="0070C0"/>
          <w:sz w:val="16"/>
          <w:szCs w:val="16"/>
        </w:rPr>
      </w:pPr>
    </w:p>
    <w:p w14:paraId="41D8A9AD" w14:textId="5EE7C010"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FF23820" w14:textId="77777777" w:rsidR="00C2313B" w:rsidRPr="00F90EAE" w:rsidRDefault="00C2313B" w:rsidP="00F90EAE">
      <w:pPr>
        <w:autoSpaceDE w:val="0"/>
        <w:autoSpaceDN w:val="0"/>
        <w:adjustRightInd w:val="0"/>
        <w:jc w:val="both"/>
        <w:rPr>
          <w:iCs/>
          <w:color w:val="000000" w:themeColor="text1"/>
          <w:sz w:val="16"/>
          <w:szCs w:val="16"/>
        </w:rPr>
      </w:pPr>
    </w:p>
    <w:p w14:paraId="7A5FFB2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года член Военного совета ВВС генерал-полковник авиации Шиманов писал письмо N 625032с Шахурину.</w:t>
      </w:r>
    </w:p>
    <w:p w14:paraId="4F3273E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Направляю на Ваше рассмотрение письмо начальника ГУЗ ВВС генерал-лейтенанта ИАС Селезнева о выпуске модифицированных самолетов Ил-2 с удлиненным бронекорпусом и установке полевого варианта бронезащиты стрелка.</w:t>
      </w:r>
    </w:p>
    <w:p w14:paraId="5D9597C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решения по этому вопросу.</w:t>
      </w:r>
    </w:p>
    <w:p w14:paraId="4EEC5082"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вх. N 0418 (1879).</w:t>
      </w:r>
    </w:p>
    <w:p w14:paraId="5AD9734D" w14:textId="77777777" w:rsidR="00C2313B" w:rsidRPr="00F90EAE" w:rsidRDefault="00C2313B" w:rsidP="00F90EAE">
      <w:pPr>
        <w:autoSpaceDE w:val="0"/>
        <w:autoSpaceDN w:val="0"/>
        <w:adjustRightInd w:val="0"/>
        <w:jc w:val="both"/>
        <w:rPr>
          <w:color w:val="000000" w:themeColor="text1"/>
          <w:sz w:val="16"/>
          <w:szCs w:val="16"/>
        </w:rPr>
      </w:pPr>
    </w:p>
    <w:p w14:paraId="6329364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года. Шахурин и зам. командующего ВВС генерал-полковник авиации Никитин.</w:t>
      </w:r>
    </w:p>
    <w:p w14:paraId="3F140B7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Приказ</w:t>
      </w:r>
    </w:p>
    <w:p w14:paraId="7F080374"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по наркомату Авиапрома и ВВС</w:t>
      </w:r>
    </w:p>
    <w:p w14:paraId="717980AF"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Содержание: Об усилении бронирования самолета Ил-2 с АМ-38Ф с увеличенной стрельчатостью крыла.</w:t>
      </w:r>
    </w:p>
    <w:p w14:paraId="5D4AAA0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Для усиления бронирования экипажа и винтомоторной группы самолетов Ил-2 с мотором Ам-38Ф, приказываем:</w:t>
      </w:r>
    </w:p>
    <w:p w14:paraId="146A343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1. Организовать на заводе N 30 производство самолетов Ил-2 с удлиненным бронекорпусом и новым механизмом управления щитками, по чертежам гл. конструктора.</w:t>
      </w:r>
    </w:p>
    <w:p w14:paraId="496157F3"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2. Директору завода N 30 Смирнову обеспечить выпуск серийных модифицированных самолетов Ил-2:</w:t>
      </w:r>
    </w:p>
    <w:p w14:paraId="3677F3C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ноябре - 50 самолетов</w:t>
      </w:r>
    </w:p>
    <w:p w14:paraId="32D0AFE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декабре - 100 самолетов</w:t>
      </w:r>
    </w:p>
    <w:p w14:paraId="0AF80B41"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- 200 самолетов</w:t>
      </w:r>
    </w:p>
    <w:p w14:paraId="68D47F2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с февраля 1945 года перейти полностью на выпуск модифицированных самолетов. До полного внедрения в серию модифицированного самолета с удлиненным бронекорпусом, устанавливать на всех выпускаемых самолетах дополнительное бронирование стрелка, по чертежам гл. конструктора.</w:t>
      </w:r>
    </w:p>
    <w:p w14:paraId="3B1EBA09"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3. Директору завода N 125 Свет обеспечить изготовление удлиненных бронекорпусов для завода N 30 в сроки:</w:t>
      </w:r>
    </w:p>
    <w:p w14:paraId="24D3ADF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октябрь - 100 корпусов</w:t>
      </w:r>
    </w:p>
    <w:p w14:paraId="67C55CC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ноябрь - 100 корпусов</w:t>
      </w:r>
    </w:p>
    <w:p w14:paraId="19862BA5"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декабрь - 200 корпусов</w:t>
      </w:r>
    </w:p>
    <w:p w14:paraId="4B45267E"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и с января 1945 года перейти полностью на выпуск модифицированных бронекорпусов.</w:t>
      </w:r>
    </w:p>
    <w:p w14:paraId="36E2898A"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4. Начальнику 10 Главного управления НКАП Кузнецову А.И. обеспечить поставку ВВС в 4-м квартале 1500 комплектов дополнительной брони стрелка.</w:t>
      </w:r>
    </w:p>
    <w:p w14:paraId="2BC33DD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Гл. инженерам воздушных армий организовать установку дополнительной брони стрелка на всех самолетах Ил-2 с увеличенной стрельчатостью крыла, для чего выводить из строя одновременно до 10% машин (1879).</w:t>
      </w:r>
    </w:p>
    <w:p w14:paraId="7C281840" w14:textId="77777777" w:rsidR="00C2313B" w:rsidRPr="00F90EAE" w:rsidRDefault="00C2313B" w:rsidP="00F90EAE">
      <w:pPr>
        <w:autoSpaceDE w:val="0"/>
        <w:autoSpaceDN w:val="0"/>
        <w:adjustRightInd w:val="0"/>
        <w:jc w:val="both"/>
        <w:rPr>
          <w:color w:val="000000" w:themeColor="text1"/>
          <w:sz w:val="16"/>
          <w:szCs w:val="16"/>
        </w:rPr>
      </w:pPr>
    </w:p>
    <w:p w14:paraId="29374377" w14:textId="77777777" w:rsidR="00DB43FF" w:rsidRPr="00F90EAE" w:rsidRDefault="00DB43FF" w:rsidP="00F90EAE">
      <w:pPr>
        <w:jc w:val="both"/>
        <w:rPr>
          <w:rStyle w:val="ucoz-forum-post"/>
          <w:color w:val="000000" w:themeColor="text1"/>
          <w:sz w:val="16"/>
          <w:szCs w:val="16"/>
        </w:rPr>
      </w:pPr>
      <w:r w:rsidRPr="00F90EAE">
        <w:rPr>
          <w:bCs/>
          <w:color w:val="000000" w:themeColor="text1"/>
          <w:sz w:val="16"/>
          <w:szCs w:val="16"/>
        </w:rPr>
        <w:t>8 февраля</w:t>
      </w:r>
      <w:r w:rsidRPr="00F90EAE">
        <w:rPr>
          <w:color w:val="000000" w:themeColor="text1"/>
          <w:sz w:val="16"/>
          <w:szCs w:val="16"/>
        </w:rPr>
        <w:t xml:space="preserve"> в 1945 году з</w:t>
      </w:r>
      <w:r w:rsidRPr="00F90EAE">
        <w:rPr>
          <w:rStyle w:val="ucoz-forum-post"/>
          <w:color w:val="000000" w:themeColor="text1"/>
          <w:sz w:val="16"/>
          <w:szCs w:val="16"/>
        </w:rPr>
        <w:t>авершились повторные государственные испытания скоростного пикирующего бомбардировщика Ту-10 (на заводе он шел под шифром "68", в ВВС - Ту-10, а одно время машину обозначали Ту-4). В Акте НИИ ВВС № 17 за 1946 год по результатам повторных государственных испытаний самолета "68" 2АМ-39ФНВ с винтами АВ-5АВ-166Б дано заключение, что "самолет может быть рекомендован на вооружение ВВС при условии устранения всех дефектов, отмеченных в акте". Ту-10 стал последним серийным поршневым бомбардировщиком такого класса - ОКБ уже работало над реактивными самолетами (15034).</w:t>
      </w:r>
    </w:p>
    <w:p w14:paraId="4823FB94" w14:textId="77777777" w:rsidR="00DB43FF" w:rsidRPr="00F90EAE" w:rsidRDefault="00DB43FF" w:rsidP="00F90EAE">
      <w:pPr>
        <w:jc w:val="both"/>
        <w:rPr>
          <w:rStyle w:val="ucoz-forum-post"/>
          <w:color w:val="000000" w:themeColor="text1"/>
          <w:sz w:val="16"/>
          <w:szCs w:val="16"/>
        </w:rPr>
      </w:pPr>
    </w:p>
    <w:p w14:paraId="277744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февраля 1945 П.А.Лосюков утвердил подготовленный в начале февраля 1945 года ГК НИИ ВВС КА отчет о проведении государственных испы</w:t>
      </w:r>
      <w:r w:rsidRPr="00F90EAE">
        <w:rPr>
          <w:color w:val="000000" w:themeColor="text1"/>
          <w:sz w:val="16"/>
          <w:szCs w:val="16"/>
        </w:rPr>
        <w:softHyphen/>
        <w:t>таний самолета Су-6 с мотором АМ-42.</w:t>
      </w:r>
    </w:p>
    <w:p w14:paraId="2584B25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заключении отчета отмеча</w:t>
      </w:r>
      <w:r w:rsidRPr="00F90EAE">
        <w:rPr>
          <w:color w:val="000000" w:themeColor="text1"/>
          <w:sz w:val="16"/>
          <w:szCs w:val="16"/>
        </w:rPr>
        <w:softHyphen/>
        <w:t>лось, что: «Опытный двухместный бронированный штурмовик Су-6 с мотором АМ-42 с винтом АВ-9Л-172, конструкции тов. Сухого, по своим летным данным, технике пилотиро</w:t>
      </w:r>
      <w:r w:rsidRPr="00F90EAE">
        <w:rPr>
          <w:color w:val="000000" w:themeColor="text1"/>
          <w:sz w:val="16"/>
          <w:szCs w:val="16"/>
        </w:rPr>
        <w:softHyphen/>
        <w:t>вания и управляемости уступает запущенному в серийное производ</w:t>
      </w:r>
      <w:r w:rsidRPr="00F90EAE">
        <w:rPr>
          <w:color w:val="000000" w:themeColor="text1"/>
          <w:sz w:val="16"/>
          <w:szCs w:val="16"/>
        </w:rPr>
        <w:softHyphen/>
        <w:t>ство самолету Ил-10 с АМ-42, кон</w:t>
      </w:r>
      <w:r w:rsidRPr="00F90EAE">
        <w:rPr>
          <w:color w:val="000000" w:themeColor="text1"/>
          <w:sz w:val="16"/>
          <w:szCs w:val="16"/>
        </w:rPr>
        <w:softHyphen/>
        <w:t>струкции товарища Ильюшина» (11845).</w:t>
      </w:r>
    </w:p>
    <w:p w14:paraId="6EB98D9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p w14:paraId="5F78B9BB"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5 и 8 февраля 1945 л М.И.Иванов испытал в двух непродолжительных полетах Як-3ПД с М-105ПД, сделанный на основе серийной машины N 36-20 292 завода. Первый полет был с винтом СВ-02, а второй - Л-2. 19 февраля М.И.Иванов перегнал машину в ЛИИ для доводок (65,174).</w:t>
      </w:r>
    </w:p>
    <w:p w14:paraId="357A34D8" w14:textId="77777777" w:rsidR="00C2313B" w:rsidRPr="00F90EAE" w:rsidRDefault="00C2313B" w:rsidP="00F90EAE">
      <w:pPr>
        <w:autoSpaceDE w:val="0"/>
        <w:autoSpaceDN w:val="0"/>
        <w:adjustRightInd w:val="0"/>
        <w:jc w:val="both"/>
        <w:rPr>
          <w:color w:val="000000" w:themeColor="text1"/>
          <w:sz w:val="16"/>
          <w:szCs w:val="16"/>
        </w:rPr>
      </w:pPr>
    </w:p>
    <w:p w14:paraId="2C4A0A40" w14:textId="77777777" w:rsidR="00C2313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F78138A" w14:textId="77777777" w:rsidR="00C2313B" w:rsidRPr="00F90EAE" w:rsidRDefault="00C2313B" w:rsidP="00F90EAE">
      <w:pPr>
        <w:autoSpaceDE w:val="0"/>
        <w:autoSpaceDN w:val="0"/>
        <w:adjustRightInd w:val="0"/>
        <w:jc w:val="both"/>
        <w:rPr>
          <w:iCs/>
          <w:color w:val="000000" w:themeColor="text1"/>
          <w:sz w:val="16"/>
          <w:szCs w:val="16"/>
        </w:rPr>
      </w:pPr>
    </w:p>
    <w:p w14:paraId="2C926A4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февраля 1945 г. была подготовлена ДОКЛАД НАЧАЛЬНИКА ТАНКОВОГО УПРАВЛЕНИЯ ГБТУ КА ВОЕННОМУ СОВЕТУ БТ и МВ КА ПО РЕЗУЛЬТАТАМ ИСПЫТАНИЙ ОБЪЕКТА «701»</w:t>
      </w:r>
    </w:p>
    <w:p w14:paraId="0803004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Танк (объект №701) спроектирован и изготовлен в соответствии с постановлением ГОКО №5583 от 8.04.1944 года по инициативе коллектива Кировского завода, при участии группы конструкторов трансмиссии МВТУ им. Баумана и вооружения конструкторов ЦАКБ НКВ.</w:t>
      </w:r>
    </w:p>
    <w:p w14:paraId="762E744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Согласно приказу командующего БТ и МВ КА и НКТП за №368/01, комиссия, под председа</w:t>
      </w:r>
      <w:r w:rsidRPr="00F90EAE">
        <w:rPr>
          <w:color w:val="000000" w:themeColor="text1"/>
          <w:sz w:val="16"/>
          <w:szCs w:val="16"/>
        </w:rPr>
        <w:softHyphen/>
        <w:t>тельством генерал-лейтенанта танковых войск т. Вершинина, в период июнь-июль 1944 года прове</w:t>
      </w:r>
      <w:r w:rsidRPr="00F90EAE">
        <w:rPr>
          <w:color w:val="000000" w:themeColor="text1"/>
          <w:sz w:val="16"/>
          <w:szCs w:val="16"/>
        </w:rPr>
        <w:softHyphen/>
        <w:t>ла полигонные испытания 2-х образцов тяжелого танка (объект №701).</w:t>
      </w:r>
    </w:p>
    <w:p w14:paraId="6F2F31B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период июль-август 1944 года на НИБТ полигоне был проведен обстрел 2-х вариантов кор</w:t>
      </w:r>
      <w:r w:rsidRPr="00F90EAE">
        <w:rPr>
          <w:color w:val="000000" w:themeColor="text1"/>
          <w:sz w:val="16"/>
          <w:szCs w:val="16"/>
        </w:rPr>
        <w:softHyphen/>
        <w:t>пусов и башен танка.</w:t>
      </w:r>
    </w:p>
    <w:p w14:paraId="009216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Ходовые испытания 2-х новых опытных образцов танка показали, что трансмиссия танка не</w:t>
      </w:r>
      <w:r w:rsidRPr="00F90EAE">
        <w:rPr>
          <w:color w:val="000000" w:themeColor="text1"/>
          <w:sz w:val="16"/>
          <w:szCs w:val="16"/>
        </w:rPr>
        <w:softHyphen/>
        <w:t>достаточно отработана. За время испытаний неоднократно выходили из строя: правый бортредук-тор танка и коробка перемены передач.</w:t>
      </w:r>
    </w:p>
    <w:p w14:paraId="7F81F65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Повышенные температуры нагрева масла бортредукторов и коробки перемены передач огра</w:t>
      </w:r>
      <w:r w:rsidRPr="00F90EAE">
        <w:rPr>
          <w:color w:val="000000" w:themeColor="text1"/>
          <w:sz w:val="16"/>
          <w:szCs w:val="16"/>
        </w:rPr>
        <w:softHyphen/>
        <w:t>ничивали режимы испытаний.</w:t>
      </w:r>
    </w:p>
    <w:p w14:paraId="37D52E9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Вследствие наличия указанных выше конструктивных недостатков машины комиссия, прово</w:t>
      </w:r>
      <w:r w:rsidRPr="00F90EAE">
        <w:rPr>
          <w:color w:val="000000" w:themeColor="text1"/>
          <w:sz w:val="16"/>
          <w:szCs w:val="16"/>
        </w:rPr>
        <w:softHyphen/>
        <w:t>дившая испытания, воздержалась от принятия танка на вооружение. Комиссия рекомендовала до</w:t>
      </w:r>
      <w:r w:rsidRPr="00F90EAE">
        <w:rPr>
          <w:color w:val="000000" w:themeColor="text1"/>
          <w:sz w:val="16"/>
          <w:szCs w:val="16"/>
        </w:rPr>
        <w:softHyphen/>
        <w:t>работать узлы трансмиссии танка и внесла конкретный перечень предложений и замечаний по ус</w:t>
      </w:r>
      <w:r w:rsidRPr="00F90EAE">
        <w:rPr>
          <w:color w:val="000000" w:themeColor="text1"/>
          <w:sz w:val="16"/>
          <w:szCs w:val="16"/>
        </w:rPr>
        <w:softHyphen/>
        <w:t>транению конструктивных недостатков машины, выявившихся как при ходовых испытаниях, так и при испытаниях отстрелом корпуса.</w:t>
      </w:r>
    </w:p>
    <w:p w14:paraId="086956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С августа по декабрь 1944 года завод проводил доработку танка в целом, как по узлам транс</w:t>
      </w:r>
      <w:r w:rsidRPr="00F90EAE">
        <w:rPr>
          <w:color w:val="000000" w:themeColor="text1"/>
          <w:sz w:val="16"/>
          <w:szCs w:val="16"/>
        </w:rPr>
        <w:softHyphen/>
        <w:t>миссии, так и по бронированию.</w:t>
      </w:r>
    </w:p>
    <w:p w14:paraId="4C20ED6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декабре 1944 г. завод предъявил доработанный образец для полигонных испытаний.</w:t>
      </w:r>
    </w:p>
    <w:p w14:paraId="2640D7B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Изменению подвергся ряд узлов танка.</w:t>
      </w:r>
    </w:p>
    <w:p w14:paraId="20A184D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коробке перемены передач был уменьшен запас фрикциона с 8 до 2,5, что уменьшило инер</w:t>
      </w:r>
      <w:r w:rsidRPr="00F90EAE">
        <w:rPr>
          <w:color w:val="000000" w:themeColor="text1"/>
          <w:sz w:val="16"/>
          <w:szCs w:val="16"/>
        </w:rPr>
        <w:softHyphen/>
        <w:t>ционные нагрузки трансмиссии на 5-й передаче.</w:t>
      </w:r>
    </w:p>
    <w:p w14:paraId="6F73014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бортредукторах изменены: модуль, коррекция и число зубьев цилиндрической пары шестерен.</w:t>
      </w:r>
    </w:p>
    <w:p w14:paraId="2A03F4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Заводом внесены следующие изменения в броневой защите танков:</w:t>
      </w:r>
    </w:p>
    <w:p w14:paraId="74D4372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увеличена толщина башни со 160 до 200 мм;</w:t>
      </w:r>
    </w:p>
    <w:p w14:paraId="0C55316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увеличена толщина верхнего лобового листа со 120 мм до 140 мм;</w:t>
      </w:r>
    </w:p>
    <w:p w14:paraId="3B55330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увеличена толщина подкрылков со 120 мм до 160 мм;</w:t>
      </w:r>
    </w:p>
    <w:p w14:paraId="4E9381F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уменьшена толщина боковых задних листов со 140 мм до 120 мм и одновременно стыкование этих листов с бортовыми листами корпуса введением ласточкиного хвоста, усилено.</w:t>
      </w:r>
    </w:p>
    <w:p w14:paraId="0BEE96B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перечисленные изменения в толщинах заводом выполнены в металле в образце, находя</w:t>
      </w:r>
      <w:r w:rsidRPr="00F90EAE">
        <w:rPr>
          <w:color w:val="000000" w:themeColor="text1"/>
          <w:sz w:val="16"/>
          <w:szCs w:val="16"/>
        </w:rPr>
        <w:softHyphen/>
        <w:t>щемся на заводе.</w:t>
      </w:r>
    </w:p>
    <w:p w14:paraId="5B1888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101 замечания комиссии выполнено 70 замечаний, остальные находятся в стадии выполне</w:t>
      </w:r>
      <w:r w:rsidRPr="00F90EAE">
        <w:rPr>
          <w:color w:val="000000" w:themeColor="text1"/>
          <w:sz w:val="16"/>
          <w:szCs w:val="16"/>
        </w:rPr>
        <w:softHyphen/>
        <w:t>ния.</w:t>
      </w:r>
    </w:p>
    <w:p w14:paraId="5743164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Ходовые испытания опытного образца танка, проведенные в декабре-январе 1945 года, пока</w:t>
      </w:r>
      <w:r w:rsidRPr="00F90EAE">
        <w:rPr>
          <w:color w:val="000000" w:themeColor="text1"/>
          <w:sz w:val="16"/>
          <w:szCs w:val="16"/>
        </w:rPr>
        <w:softHyphen/>
        <w:t>зали:</w:t>
      </w:r>
    </w:p>
    <w:p w14:paraId="43BA642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Средние скорости движения танка по шоссе и проселку приближаются к скоростям движе</w:t>
      </w:r>
      <w:r w:rsidRPr="00F90EAE">
        <w:rPr>
          <w:color w:val="000000" w:themeColor="text1"/>
          <w:sz w:val="16"/>
          <w:szCs w:val="16"/>
        </w:rPr>
        <w:softHyphen/>
        <w:t>ния танка Т-34, испытанного при этих же условиях.</w:t>
      </w:r>
    </w:p>
    <w:p w14:paraId="60A2100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Средние скорости движения (объекта №701) по шоссе несколько выше, чем у танка ИС, а по проселку значительно выше, чем у танка ИС, что является следствием как большего запаса мощности, так и более удобного переключения передач.</w:t>
      </w:r>
    </w:p>
    <w:p w14:paraId="444CC1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Таблица сравнительных скоростей движения танков</w:t>
      </w:r>
    </w:p>
    <w:tbl>
      <w:tblPr>
        <w:tblW w:w="0" w:type="auto"/>
        <w:tblInd w:w="40" w:type="dxa"/>
        <w:tblLayout w:type="fixed"/>
        <w:tblCellMar>
          <w:left w:w="40" w:type="dxa"/>
          <w:right w:w="40" w:type="dxa"/>
        </w:tblCellMar>
        <w:tblLook w:val="0000" w:firstRow="0" w:lastRow="0" w:firstColumn="0" w:lastColumn="0" w:noHBand="0" w:noVBand="0"/>
      </w:tblPr>
      <w:tblGrid>
        <w:gridCol w:w="2371"/>
        <w:gridCol w:w="3158"/>
        <w:gridCol w:w="1315"/>
        <w:gridCol w:w="1325"/>
        <w:gridCol w:w="1334"/>
      </w:tblGrid>
      <w:tr w:rsidR="00561F31" w:rsidRPr="00F90EAE" w14:paraId="1E361F57" w14:textId="77777777">
        <w:trPr>
          <w:trHeight w:val="259"/>
        </w:trPr>
        <w:tc>
          <w:tcPr>
            <w:tcW w:w="2371" w:type="dxa"/>
            <w:tcBorders>
              <w:top w:val="single" w:sz="6" w:space="0" w:color="auto"/>
              <w:left w:val="single" w:sz="6" w:space="0" w:color="auto"/>
              <w:bottom w:val="single" w:sz="6" w:space="0" w:color="auto"/>
              <w:right w:val="single" w:sz="6" w:space="0" w:color="auto"/>
            </w:tcBorders>
          </w:tcPr>
          <w:p w14:paraId="4FA0264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smallCaps/>
                <w:color w:val="000000" w:themeColor="text1"/>
                <w:sz w:val="16"/>
                <w:szCs w:val="16"/>
              </w:rPr>
              <w:t xml:space="preserve">условия </w:t>
            </w:r>
            <w:r w:rsidRPr="00F90EAE">
              <w:rPr>
                <w:color w:val="000000" w:themeColor="text1"/>
                <w:sz w:val="16"/>
                <w:szCs w:val="16"/>
              </w:rPr>
              <w:t>движения</w:t>
            </w:r>
          </w:p>
          <w:p w14:paraId="4DEA197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8DF94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Скорости и километраж</w:t>
            </w:r>
          </w:p>
          <w:p w14:paraId="2447CAB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38E2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"701"</w:t>
            </w:r>
          </w:p>
          <w:p w14:paraId="2E603E9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4DE22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ИС-122</w:t>
            </w:r>
          </w:p>
          <w:p w14:paraId="6FE8B31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D2BBF3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Т-34-85</w:t>
            </w:r>
          </w:p>
          <w:p w14:paraId="22547C6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78958B4C" w14:textId="77777777">
        <w:trPr>
          <w:trHeight w:val="595"/>
        </w:trPr>
        <w:tc>
          <w:tcPr>
            <w:tcW w:w="2371" w:type="dxa"/>
            <w:tcBorders>
              <w:top w:val="single" w:sz="6" w:space="0" w:color="auto"/>
              <w:left w:val="single" w:sz="6" w:space="0" w:color="auto"/>
              <w:bottom w:val="single" w:sz="6" w:space="0" w:color="auto"/>
              <w:right w:val="single" w:sz="6" w:space="0" w:color="auto"/>
            </w:tcBorders>
          </w:tcPr>
          <w:p w14:paraId="1D5D19DC"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Шоссе</w:t>
            </w:r>
          </w:p>
          <w:p w14:paraId="17B5CAD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343268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Пройдено км. Ср. скорости чистого движения км/ч. Технические скорости км/ч.</w:t>
            </w:r>
          </w:p>
          <w:p w14:paraId="0CE969C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18B39C6"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205 30,6 30,6</w:t>
            </w:r>
          </w:p>
          <w:p w14:paraId="05345C4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4C44F9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103 29,7 29,7</w:t>
            </w:r>
          </w:p>
          <w:p w14:paraId="3A2DC76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94827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204 31,6 29,7</w:t>
            </w:r>
          </w:p>
          <w:p w14:paraId="302E3AE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r w:rsidR="00561F31" w:rsidRPr="00F90EAE" w14:paraId="10832BA9" w14:textId="77777777">
        <w:trPr>
          <w:trHeight w:val="662"/>
        </w:trPr>
        <w:tc>
          <w:tcPr>
            <w:tcW w:w="2371" w:type="dxa"/>
            <w:tcBorders>
              <w:top w:val="single" w:sz="6" w:space="0" w:color="auto"/>
              <w:left w:val="single" w:sz="6" w:space="0" w:color="auto"/>
              <w:bottom w:val="single" w:sz="6" w:space="0" w:color="auto"/>
              <w:right w:val="single" w:sz="6" w:space="0" w:color="auto"/>
            </w:tcBorders>
          </w:tcPr>
          <w:p w14:paraId="1C0DE05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Проселок</w:t>
            </w:r>
          </w:p>
          <w:p w14:paraId="5B643BA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3158" w:type="dxa"/>
            <w:tcBorders>
              <w:top w:val="single" w:sz="6" w:space="0" w:color="auto"/>
              <w:left w:val="single" w:sz="6" w:space="0" w:color="auto"/>
              <w:bottom w:val="single" w:sz="6" w:space="0" w:color="auto"/>
              <w:right w:val="single" w:sz="6" w:space="0" w:color="auto"/>
            </w:tcBorders>
          </w:tcPr>
          <w:p w14:paraId="2F514B8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Пройдено км. Ср. скорости чистого движения км/ч. Технические скорости км/ч.</w:t>
            </w:r>
          </w:p>
          <w:p w14:paraId="5CCBA6C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BC907B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112 20,8 19,4</w:t>
            </w:r>
          </w:p>
          <w:p w14:paraId="3A3ABE6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AA6EF4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102 16 15,5</w:t>
            </w:r>
          </w:p>
          <w:p w14:paraId="71362E50"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69BA3D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76 20,2 20,2</w:t>
            </w:r>
          </w:p>
          <w:p w14:paraId="5BE8E41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p>
        </w:tc>
      </w:tr>
    </w:tbl>
    <w:p w14:paraId="132EBC0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Применение планетарной трансмиссии обеспечило легкое управление танком и высокую мане</w:t>
      </w:r>
      <w:r w:rsidRPr="00F90EAE">
        <w:rPr>
          <w:color w:val="000000" w:themeColor="text1"/>
          <w:sz w:val="16"/>
          <w:szCs w:val="16"/>
        </w:rPr>
        <w:softHyphen/>
        <w:t>вренность.</w:t>
      </w:r>
    </w:p>
    <w:p w14:paraId="02F1076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Надежность агрегатов трансмиссии получена высокой, за 1421 км пробега на полигоне ни</w:t>
      </w:r>
      <w:r w:rsidRPr="00F90EAE">
        <w:rPr>
          <w:color w:val="000000" w:themeColor="text1"/>
          <w:sz w:val="16"/>
          <w:szCs w:val="16"/>
        </w:rPr>
        <w:softHyphen/>
        <w:t>каких аварий у агрегатов трансмиссии не было.</w:t>
      </w:r>
    </w:p>
    <w:p w14:paraId="73B5DB9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Вооружение танка выполнено в двух вариантах. На танке может быть установлена как се</w:t>
      </w:r>
      <w:r w:rsidRPr="00F90EAE">
        <w:rPr>
          <w:color w:val="000000" w:themeColor="text1"/>
          <w:sz w:val="16"/>
          <w:szCs w:val="16"/>
        </w:rPr>
        <w:softHyphen/>
        <w:t>рийная 122-мм пушка Д-25, так и 122-мм пушка С-34П.</w:t>
      </w:r>
    </w:p>
    <w:p w14:paraId="22B66CF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Баллистические свойства у обеих пушек одинаковы, но пушка С-34П имеет горизонтальный клин и продувку ствола после выстрела.</w:t>
      </w:r>
    </w:p>
    <w:p w14:paraId="4B7F8F0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тем, что пушка С-34П на вооружение не принята и на производстве не состоит, целе</w:t>
      </w:r>
      <w:r w:rsidRPr="00F90EAE">
        <w:rPr>
          <w:color w:val="000000" w:themeColor="text1"/>
          <w:sz w:val="16"/>
          <w:szCs w:val="16"/>
        </w:rPr>
        <w:softHyphen/>
        <w:t>сообразно для вооружения танка принять пушку Д-25.</w:t>
      </w:r>
    </w:p>
    <w:p w14:paraId="779FFCE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дальнейшем при отработке пушки Д-30, имеющей продувку канала ствола, последняя легко может быть установлена в танке.</w:t>
      </w:r>
    </w:p>
    <w:p w14:paraId="4FB6FF1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Лобовая часть не пробивается со всех дистанций снарядами калибра 75, 88-мм с начальной ско</w:t>
      </w:r>
      <w:r w:rsidRPr="00F90EAE">
        <w:rPr>
          <w:color w:val="000000" w:themeColor="text1"/>
          <w:sz w:val="16"/>
          <w:szCs w:val="16"/>
        </w:rPr>
        <w:softHyphen/>
        <w:t>ростью 1000 м/с, 122-мм бронебойными (тупоголовыми и остроголовыми) снарядами, с начальной скоростью 800 м/с, 152-мм бронебойными снарядами с начальной скоростью 600 м/с.</w:t>
      </w:r>
    </w:p>
    <w:p w14:paraId="3A6409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Борта корпуса не пробиваются по нормали:</w:t>
      </w:r>
    </w:p>
    <w:p w14:paraId="2ACBEF5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75-мм бронебойными снарядами с начальной скоростью 1000 м/с с дистанции 1600 м;</w:t>
      </w:r>
    </w:p>
    <w:p w14:paraId="6CAA105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88-мм бронебойными снарядами с начальной скоростью 1000 м/с с дистанции 3790 м;</w:t>
      </w:r>
    </w:p>
    <w:p w14:paraId="534269E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122-мм бронебойными снарядами с начальной скоростью 800 м/с с дистанции 4400 м (тупого</w:t>
      </w:r>
      <w:r w:rsidRPr="00F90EAE">
        <w:rPr>
          <w:color w:val="000000" w:themeColor="text1"/>
          <w:sz w:val="16"/>
          <w:szCs w:val="16"/>
        </w:rPr>
        <w:softHyphen/>
        <w:t>ловый) .</w:t>
      </w:r>
    </w:p>
    <w:p w14:paraId="35E55354"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Бортовая броня курсовым углом 30° не пробивается:</w:t>
      </w:r>
    </w:p>
    <w:p w14:paraId="39BA8EE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75-мм бронебойными снарядами с дистанции 655 м;</w:t>
      </w:r>
    </w:p>
    <w:p w14:paraId="45087E58"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88-мм бронебойными снарядами с дистанции 540 м;</w:t>
      </w:r>
    </w:p>
    <w:p w14:paraId="71E3D4A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122-мм бронебойными снарядами с дистанции 1960 м.</w:t>
      </w:r>
    </w:p>
    <w:p w14:paraId="4C62E177"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 танка ИС верхняя лобовая часть не пробивается:</w:t>
      </w:r>
    </w:p>
    <w:p w14:paraId="08706C5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75-мм бронебойными снарядами с дистанции 460 м;</w:t>
      </w:r>
    </w:p>
    <w:p w14:paraId="5BFA3FB1"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88-мм бронебойными снарядами с дистанции 250 м.</w:t>
      </w:r>
    </w:p>
    <w:p w14:paraId="2A6A5892"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Нижний лобовой лист не пробивается 75-мм бронебойными снарядами с дистанции 870 м.</w:t>
      </w:r>
    </w:p>
    <w:p w14:paraId="4CD4A8C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Борт корпуса ИС</w:t>
      </w:r>
    </w:p>
    <w:p w14:paraId="155B24D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прямым углом не пробивается:</w:t>
      </w:r>
    </w:p>
    <w:p w14:paraId="64A245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75-мм бронебойными снарядами с дистанции 2910 м;</w:t>
      </w:r>
    </w:p>
    <w:p w14:paraId="4049369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88-мм бронебойными снарядами с дистанции 6270 м.</w:t>
      </w:r>
    </w:p>
    <w:p w14:paraId="53C14C93"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Толщины броневой защиты танка (объект №701) позволяют танку вести огонь и поражать все немецкие танки с таких дистанций, с которых он сам поражаться не будет.</w:t>
      </w:r>
    </w:p>
    <w:p w14:paraId="39A382F0"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Эксплуатация и обслуживание танка ввиду достаточной отработки всех узлов танка затруд</w:t>
      </w:r>
      <w:r w:rsidRPr="00F90EAE">
        <w:rPr>
          <w:color w:val="000000" w:themeColor="text1"/>
          <w:sz w:val="16"/>
          <w:szCs w:val="16"/>
        </w:rPr>
        <w:softHyphen/>
        <w:t>нений экипажам представлять не будет.</w:t>
      </w:r>
    </w:p>
    <w:p w14:paraId="50E2FB5E"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Исходя из того, что танк (объект № 701):</w:t>
      </w:r>
    </w:p>
    <w:p w14:paraId="2ED2183F"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По толщинам брони превосходит все существующие танки, по вооружению не уступает оте</w:t>
      </w:r>
      <w:r w:rsidRPr="00F90EAE">
        <w:rPr>
          <w:color w:val="000000" w:themeColor="text1"/>
          <w:sz w:val="16"/>
          <w:szCs w:val="16"/>
        </w:rPr>
        <w:softHyphen/>
        <w:t>чественным тяжелым танкам, а по маневренности не уступает нашим средним танкам.</w:t>
      </w:r>
    </w:p>
    <w:p w14:paraId="4CF8ED39"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По надежности конструкции агрегатов трансмиссии, в результате длительной работы над опытными образцами коллектива завода и по замечаниям комиссии, проводящей испытания, мож</w:t>
      </w:r>
      <w:r w:rsidRPr="00F90EAE">
        <w:rPr>
          <w:color w:val="000000" w:themeColor="text1"/>
          <w:sz w:val="16"/>
          <w:szCs w:val="16"/>
        </w:rPr>
        <w:softHyphen/>
        <w:t>но считать отработанным.</w:t>
      </w:r>
    </w:p>
    <w:p w14:paraId="04B1705D"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Конструкция агрегатов моторно-трансмиссионной и ходовой части танка, рассчитанные на большую мощность и вес машины, чем это имеет место в наших тяжелых танках ИС, представляют собой перспективную базу для дальнейшего развития боевых качеств тяжелых танков (бронирова</w:t>
      </w:r>
      <w:r w:rsidRPr="00F90EAE">
        <w:rPr>
          <w:color w:val="000000" w:themeColor="text1"/>
          <w:sz w:val="16"/>
          <w:szCs w:val="16"/>
        </w:rPr>
        <w:softHyphen/>
        <w:t>ние и вооружение).</w:t>
      </w:r>
    </w:p>
    <w:p w14:paraId="26304C4B"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Считать необходимым принять на вооружение Красной Армии танк (объект №701), с обяза</w:t>
      </w:r>
      <w:r w:rsidRPr="00F90EAE">
        <w:rPr>
          <w:color w:val="000000" w:themeColor="text1"/>
          <w:sz w:val="16"/>
          <w:szCs w:val="16"/>
        </w:rPr>
        <w:softHyphen/>
        <w:t>тельством устранения отмеченных комиссией дефектов в установочной партии.</w:t>
      </w:r>
    </w:p>
    <w:p w14:paraId="25EBAF0A"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Войти в Правительство с ходатайством о принятии танка «701» на вооружение и немедлен</w:t>
      </w:r>
      <w:r w:rsidRPr="00F90EAE">
        <w:rPr>
          <w:color w:val="000000" w:themeColor="text1"/>
          <w:sz w:val="16"/>
          <w:szCs w:val="16"/>
        </w:rPr>
        <w:softHyphen/>
        <w:t>ной организации производства его на Кировском заводе, в счет основной программы самоходных установок ИСУ-122 и ИСУ-122с, с тем чтобы в феврале - марте месяцах выпустить установочную партию 25-30 шт., в апреле выпустить 50 шт., в мае -100 шт. без уменьшения общего количества тан</w:t>
      </w:r>
      <w:r w:rsidRPr="00F90EAE">
        <w:rPr>
          <w:color w:val="000000" w:themeColor="text1"/>
          <w:sz w:val="16"/>
          <w:szCs w:val="16"/>
        </w:rPr>
        <w:softHyphen/>
        <w:t>ков и арт. самоходов, выпускаемых Кировским заводом.</w:t>
      </w:r>
    </w:p>
    <w:p w14:paraId="5DA6EBA5" w14:textId="77777777" w:rsidR="00C2313B" w:rsidRPr="00F90EAE" w:rsidRDefault="00C2313B"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11355. Д. 3012. Л. 102-105. Подлинник.</w:t>
      </w:r>
    </w:p>
    <w:p w14:paraId="67AB11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Начальник ТУ ГБТУ КА инженер-полковник Благонравов (11420).</w:t>
      </w:r>
    </w:p>
    <w:p w14:paraId="28BA0015" w14:textId="77777777" w:rsidR="00C2313B" w:rsidRPr="00F90EAE" w:rsidRDefault="00C2313B" w:rsidP="00F90EAE">
      <w:pPr>
        <w:autoSpaceDE w:val="0"/>
        <w:autoSpaceDN w:val="0"/>
        <w:adjustRightInd w:val="0"/>
        <w:jc w:val="both"/>
        <w:rPr>
          <w:color w:val="000000" w:themeColor="text1"/>
          <w:sz w:val="16"/>
          <w:szCs w:val="16"/>
        </w:rPr>
      </w:pPr>
    </w:p>
    <w:p w14:paraId="02A1EF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 февраля 1945 вышло Распоряжение ГКО № 7497. О мерах по обеспечению поставки аккумуляторного шпона для производства танковых, авиационных и торпедных батарей на заводах НКЭП. РГАНИР, Фонд ГКО, д. 370, лл. 1-2 (11012).</w:t>
      </w:r>
    </w:p>
    <w:p w14:paraId="1976CB6D" w14:textId="77777777" w:rsidR="00C2313B" w:rsidRPr="00F90EAE" w:rsidRDefault="00C2313B" w:rsidP="00F90EAE">
      <w:pPr>
        <w:autoSpaceDE w:val="0"/>
        <w:autoSpaceDN w:val="0"/>
        <w:adjustRightInd w:val="0"/>
        <w:jc w:val="both"/>
        <w:rPr>
          <w:color w:val="000000" w:themeColor="text1"/>
          <w:sz w:val="16"/>
          <w:szCs w:val="16"/>
        </w:rPr>
      </w:pPr>
    </w:p>
    <w:p w14:paraId="7D66DD0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вышло Распоряжение ГКО № 7500. О поставках древесины Верхотурскому заводу НКлеса. РГАНИР, Фонд ГКО, д. 370, лл. 10 (11012).</w:t>
      </w:r>
    </w:p>
    <w:p w14:paraId="6E3B455D" w14:textId="77777777" w:rsidR="00C2313B" w:rsidRPr="00F90EAE" w:rsidRDefault="00C2313B" w:rsidP="00F90EAE">
      <w:pPr>
        <w:autoSpaceDE w:val="0"/>
        <w:autoSpaceDN w:val="0"/>
        <w:adjustRightInd w:val="0"/>
        <w:jc w:val="both"/>
        <w:rPr>
          <w:color w:val="000000" w:themeColor="text1"/>
          <w:sz w:val="16"/>
          <w:szCs w:val="16"/>
        </w:rPr>
      </w:pPr>
    </w:p>
    <w:p w14:paraId="72E0F48C"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вышло Постановление ГКО № 7501 Об обеспечении металлом строительства Сталинского алюминиевого завода Наркомцветмета. РГАНИР, Фонд ГКО, д. 370, лл. 11-12 (11012).</w:t>
      </w:r>
    </w:p>
    <w:p w14:paraId="3B129120" w14:textId="77777777" w:rsidR="00C2313B" w:rsidRPr="00F90EAE" w:rsidRDefault="00C2313B" w:rsidP="00F90EAE">
      <w:pPr>
        <w:autoSpaceDE w:val="0"/>
        <w:autoSpaceDN w:val="0"/>
        <w:adjustRightInd w:val="0"/>
        <w:jc w:val="both"/>
        <w:rPr>
          <w:color w:val="000000" w:themeColor="text1"/>
          <w:sz w:val="16"/>
          <w:szCs w:val="16"/>
        </w:rPr>
      </w:pPr>
    </w:p>
    <w:p w14:paraId="5256529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вышло Постановление ГКО № 7502 О мерах по обеспечению мазутом предприятий Наркомчермета в феврале 1945 года. РГАНИР, Фонд ГКО, д. 370, лл. 13-16 (11012).</w:t>
      </w:r>
    </w:p>
    <w:p w14:paraId="54AC30A5" w14:textId="77777777" w:rsidR="00C2313B" w:rsidRPr="00F90EAE" w:rsidRDefault="00C2313B" w:rsidP="00F90EAE">
      <w:pPr>
        <w:autoSpaceDE w:val="0"/>
        <w:autoSpaceDN w:val="0"/>
        <w:adjustRightInd w:val="0"/>
        <w:jc w:val="both"/>
        <w:rPr>
          <w:color w:val="000000" w:themeColor="text1"/>
          <w:sz w:val="16"/>
          <w:szCs w:val="16"/>
        </w:rPr>
      </w:pPr>
    </w:p>
    <w:p w14:paraId="6CD2FB16"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вышло Постановление ГКО № 7503 О плане изготовления радиолокационных изделий наркоматами и ведомствами. РГАНИР, Фонд ГКО, д. 370, лл. 17, 18-19 (11012).</w:t>
      </w:r>
    </w:p>
    <w:p w14:paraId="74F77054" w14:textId="77777777" w:rsidR="00C2313B" w:rsidRPr="00F90EAE" w:rsidRDefault="00C2313B" w:rsidP="00F90EAE">
      <w:pPr>
        <w:autoSpaceDE w:val="0"/>
        <w:autoSpaceDN w:val="0"/>
        <w:adjustRightInd w:val="0"/>
        <w:jc w:val="both"/>
        <w:rPr>
          <w:color w:val="000000" w:themeColor="text1"/>
          <w:sz w:val="16"/>
          <w:szCs w:val="16"/>
        </w:rPr>
      </w:pPr>
    </w:p>
    <w:p w14:paraId="539D31BD" w14:textId="77777777" w:rsidR="00C2313B" w:rsidRPr="00F90EAE" w:rsidRDefault="00C2313B"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вышло Постановление ГКО № 7504 О строительстве автосборочного завода Наркомсредмаша в гор. Одесса. РГАНИР, Фонд ГКО, д. 370, лл. 20-26, 27-31 (11012).</w:t>
      </w:r>
    </w:p>
    <w:p w14:paraId="5089F6CD" w14:textId="77777777" w:rsidR="00C2313B" w:rsidRPr="00F90EAE" w:rsidRDefault="00C2313B" w:rsidP="00F90EAE">
      <w:pPr>
        <w:autoSpaceDE w:val="0"/>
        <w:autoSpaceDN w:val="0"/>
        <w:adjustRightInd w:val="0"/>
        <w:jc w:val="both"/>
        <w:rPr>
          <w:color w:val="000000" w:themeColor="text1"/>
          <w:sz w:val="16"/>
          <w:szCs w:val="16"/>
        </w:rPr>
      </w:pPr>
    </w:p>
    <w:p w14:paraId="57CDF9D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3F60E50" w14:textId="77777777" w:rsidR="00665165" w:rsidRPr="00F90EAE" w:rsidRDefault="00665165" w:rsidP="00F90EAE">
      <w:pPr>
        <w:autoSpaceDE w:val="0"/>
        <w:autoSpaceDN w:val="0"/>
        <w:adjustRightInd w:val="0"/>
        <w:jc w:val="both"/>
        <w:rPr>
          <w:iCs/>
          <w:color w:val="000000" w:themeColor="text1"/>
          <w:sz w:val="16"/>
          <w:szCs w:val="16"/>
        </w:rPr>
      </w:pPr>
    </w:p>
    <w:p w14:paraId="618FD3CC" w14:textId="77777777" w:rsidR="00DB43FF" w:rsidRPr="00F90EAE" w:rsidRDefault="00DB43FF" w:rsidP="00F90EAE">
      <w:pPr>
        <w:jc w:val="both"/>
        <w:rPr>
          <w:color w:val="000000" w:themeColor="text1"/>
          <w:sz w:val="16"/>
          <w:szCs w:val="16"/>
        </w:rPr>
      </w:pPr>
      <w:r w:rsidRPr="00F90EAE">
        <w:rPr>
          <w:bCs/>
          <w:color w:val="000000" w:themeColor="text1"/>
          <w:sz w:val="16"/>
          <w:szCs w:val="16"/>
        </w:rPr>
        <w:t>8 февраля</w:t>
      </w:r>
      <w:r w:rsidRPr="00F90EAE">
        <w:rPr>
          <w:color w:val="000000" w:themeColor="text1"/>
          <w:sz w:val="16"/>
          <w:szCs w:val="16"/>
        </w:rPr>
        <w:t xml:space="preserve"> в 1945 году оперативная сводка Совинформбюро:</w:t>
      </w:r>
    </w:p>
    <w:p w14:paraId="65BD36E9" w14:textId="77777777" w:rsidR="00DB43FF" w:rsidRPr="00F90EAE" w:rsidRDefault="00DB43FF" w:rsidP="00F90EAE">
      <w:pPr>
        <w:jc w:val="both"/>
        <w:rPr>
          <w:color w:val="000000" w:themeColor="text1"/>
          <w:sz w:val="16"/>
          <w:szCs w:val="16"/>
        </w:rPr>
      </w:pPr>
      <w:r w:rsidRPr="00F90EAE">
        <w:rPr>
          <w:color w:val="000000" w:themeColor="text1"/>
          <w:sz w:val="16"/>
          <w:szCs w:val="16"/>
        </w:rPr>
        <w:t>«В течение 8 февраля в Восточной Пруссии южнее Кенигсберга наши войска в результате упорных боёв овладели городом Кройцбург, а также заняли населённые пункты Поршкайм, Зеебен, Бартельсдорф, Воркайм, Рамерс-Вальде, Раунау, Бюргервальде, Фрауендорф, Милленберг, Опен.</w:t>
      </w:r>
    </w:p>
    <w:p w14:paraId="26F087E0"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города Штаргард наши войска овладели на территории немецкой Померании городами Реетц и Бернштайн, а также с боями заняли более 100 других населённых пунктов, среди которых крупные населённые пункты Беркенбрюгге, Либенов, Ритциг, Замментин, Готтберг. За 7 февраля в этом районе наши войска взяли в плен более 1.800 немецких солдат и офицеров.</w:t>
      </w:r>
    </w:p>
    <w:p w14:paraId="7499602F"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Бреслау продолжались бои по расширению плацдарма на западном берегу Одера, в ходе которых наши войска овладели населёнными пунктами Курч, Кохерн, Лорцендорф, Мехайц, Кехендорф, Хермсдорф, Мариенау, Вальдау, Тифензе, Гросс-Зарне.</w:t>
      </w:r>
    </w:p>
    <w:p w14:paraId="3B0BD3AD" w14:textId="77777777" w:rsidR="00DB43FF" w:rsidRPr="00F90EAE" w:rsidRDefault="00DB43FF" w:rsidP="00F90EAE">
      <w:pPr>
        <w:jc w:val="both"/>
        <w:rPr>
          <w:color w:val="000000" w:themeColor="text1"/>
          <w:sz w:val="16"/>
          <w:szCs w:val="16"/>
        </w:rPr>
      </w:pPr>
      <w:r w:rsidRPr="00F90EAE">
        <w:rPr>
          <w:color w:val="000000" w:themeColor="text1"/>
          <w:sz w:val="16"/>
          <w:szCs w:val="16"/>
        </w:rPr>
        <w:t>Юго-западнее Кракова наши войска, действуя в трудных условиях горно-лесистой местности, с боями заняли более 40 населённых пунктов, в том числе крупные населённые пункты Задзеле, Ленкавица, Рыхвалд, Мощаница, Елесьня, Пшыборув.</w:t>
      </w:r>
    </w:p>
    <w:p w14:paraId="4FC45D34"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наши войска продолжали бои по уничтожению гарнизона противника, окружённого в западной части города (Буда), и заняли несколько кварталов. В боях за 7 февраля в этом районе взято в плен более 3.500 солдат и офицеров противника.</w:t>
      </w:r>
    </w:p>
    <w:p w14:paraId="3B386710" w14:textId="77777777" w:rsidR="00DB43FF" w:rsidRPr="00F90EAE" w:rsidRDefault="00DB43FF" w:rsidP="00F90EAE">
      <w:pPr>
        <w:jc w:val="both"/>
        <w:rPr>
          <w:color w:val="000000" w:themeColor="text1"/>
          <w:sz w:val="16"/>
          <w:szCs w:val="16"/>
        </w:rPr>
      </w:pPr>
      <w:r w:rsidRPr="00F90EAE">
        <w:rPr>
          <w:color w:val="000000" w:themeColor="text1"/>
          <w:sz w:val="16"/>
          <w:szCs w:val="16"/>
        </w:rPr>
        <w:t>За 7 февраля на всех фронтах подбито и уничтожено 146 немецких танков. В воздушных боях и огнём зенитной артиллерии сбито 30 самолётов противника.</w:t>
      </w:r>
    </w:p>
    <w:p w14:paraId="7DD69C1D"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южнее города Кенигсберг, наши войска продолжали наступление. Ожесточённые бои произошли за город Кройцбург— мощный узел обороны немцев у реки Посмор. Противник подтянул резервы и оказывал упорное сопротивление. Советские части переправились через реку Посмор и атаковали гитлеровцев. Сегодня наши войска разгромили вражеский гарнизон и овладели городом Кройцбург. Противник потерял убитыми до 4 тысяч солдат и офицеров.</w:t>
      </w:r>
    </w:p>
    <w:p w14:paraId="2D2FF36E"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города Штаргард наши войска с боями продвигались вперёд. Советские пехотинцы, при поддержке артиллерии, прорвали оборону противника и вышли к городу Реетц. Наши подразделения переправились через реку, протекающую у западной окраины города, и блокировали вражеский гарнизон. В результате ожесточенного боя наши войска овладели городом Реетц — важным узлом шоссейных дорог, расположенным в 12 километрах северо-восточнее города Арнсвальде. В другом районе части Н-ского кавалерийского соединения окружили и ликвидировали группировку противника, состоявшую из эсэсовских пехотных и охранных подразделений. Захвачено много пленных, автомашин и вооружения.</w:t>
      </w:r>
    </w:p>
    <w:p w14:paraId="239A9635" w14:textId="77777777" w:rsidR="00DB43FF" w:rsidRPr="00F90EAE" w:rsidRDefault="00DB43FF" w:rsidP="00F90EAE">
      <w:pPr>
        <w:jc w:val="both"/>
        <w:rPr>
          <w:color w:val="000000" w:themeColor="text1"/>
          <w:sz w:val="16"/>
          <w:szCs w:val="16"/>
        </w:rPr>
      </w:pPr>
      <w:r w:rsidRPr="00F90EAE">
        <w:rPr>
          <w:color w:val="000000" w:themeColor="text1"/>
          <w:sz w:val="16"/>
          <w:szCs w:val="16"/>
        </w:rPr>
        <w:t>За день боёв на различных участках наши войска подбили и уничтожили 84 танка и самоходных орудия противника. Советские зенитчики, отражая атаки вражеской авиации, сбили 16 немецких самолётов.</w:t>
      </w:r>
    </w:p>
    <w:p w14:paraId="7C814186" w14:textId="77777777" w:rsidR="00DB43FF" w:rsidRPr="00F90EAE" w:rsidRDefault="00DB43FF" w:rsidP="00F90EAE">
      <w:pPr>
        <w:jc w:val="both"/>
        <w:rPr>
          <w:color w:val="000000" w:themeColor="text1"/>
          <w:sz w:val="16"/>
          <w:szCs w:val="16"/>
        </w:rPr>
      </w:pPr>
      <w:r w:rsidRPr="00F90EAE">
        <w:rPr>
          <w:color w:val="000000" w:themeColor="text1"/>
          <w:sz w:val="16"/>
          <w:szCs w:val="16"/>
        </w:rPr>
        <w:t>Юго-восточнее города Бреслау (Бреславль) немцы, стремясь остановить продвижение наших частей, предпринимали многочисленные контратаки. Преодолевая упорное сопротивление гитлеровцев, наши войска продолжали настойчиво продвигаться вперёд. Противник, выбит из селения Лорцендорф, расположенного в 6 километрах от города Штрелен. Занят также ряд других населённых пунктов. Взято в плен 320 немцев.</w:t>
      </w:r>
    </w:p>
    <w:p w14:paraId="05BB9C75" w14:textId="77777777" w:rsidR="00DB43FF" w:rsidRPr="00F90EAE" w:rsidRDefault="00DB43FF" w:rsidP="00F90EAE">
      <w:pPr>
        <w:jc w:val="both"/>
        <w:rPr>
          <w:color w:val="000000" w:themeColor="text1"/>
          <w:sz w:val="16"/>
          <w:szCs w:val="16"/>
        </w:rPr>
      </w:pPr>
      <w:r w:rsidRPr="00F90EAE">
        <w:rPr>
          <w:color w:val="000000" w:themeColor="text1"/>
          <w:sz w:val="16"/>
          <w:szCs w:val="16"/>
        </w:rPr>
        <w:t>В боях за расширение плацдарма за Одером советские воины проявляют доблесть и геройство. Группа танков под командованием капитана Плаксина стремительно атаковала сильно укреплённые позиции противника. Наши танкисты истребили более роты гитлеровцев и уничтожили 15 пулемётов, 3 миномёта, и 2 бронетранспортёра. Захвачено 50 пленных. Экипаж танка лейтенанта Фролова вырвался вперёд, огнём и гусеницами уничтожил немецкий обоз и 80 вражеских солдат и офицеров. Экипаж самоходного орудия старшего лейтенанта Гринь разбил 4 немецких бронетранспортёра и самоходное орудие. В одном бою пулемётчик сержант Кузьменко уничтожил 30 немцев. Ефрейтор Мельницын из противотанкового ружья подбил легковую машину и убил немецкого офицера, пытавшегося спастись бегством.</w:t>
      </w:r>
    </w:p>
    <w:p w14:paraId="096DE1D7" w14:textId="77777777" w:rsidR="00DB43FF" w:rsidRPr="00F90EAE" w:rsidRDefault="00DB43FF" w:rsidP="00F90EAE">
      <w:pPr>
        <w:jc w:val="both"/>
        <w:rPr>
          <w:color w:val="000000" w:themeColor="text1"/>
          <w:sz w:val="16"/>
          <w:szCs w:val="16"/>
        </w:rPr>
      </w:pPr>
      <w:r w:rsidRPr="00F90EAE">
        <w:rPr>
          <w:color w:val="000000" w:themeColor="text1"/>
          <w:sz w:val="16"/>
          <w:szCs w:val="16"/>
        </w:rPr>
        <w:t>Юго-западнее города Краков наши войска вели наступательные бои. Противник, укрепившись в селениях Ленкавица и Мощаница, оказывал упорное сопротивление.</w:t>
      </w:r>
    </w:p>
    <w:p w14:paraId="577DA476" w14:textId="77777777" w:rsidR="00DB43FF" w:rsidRPr="00F90EAE" w:rsidRDefault="00DB43FF" w:rsidP="00F90EAE">
      <w:pPr>
        <w:jc w:val="both"/>
        <w:rPr>
          <w:color w:val="000000" w:themeColor="text1"/>
          <w:sz w:val="16"/>
          <w:szCs w:val="16"/>
        </w:rPr>
      </w:pPr>
      <w:r w:rsidRPr="00F90EAE">
        <w:rPr>
          <w:color w:val="000000" w:themeColor="text1"/>
          <w:sz w:val="16"/>
          <w:szCs w:val="16"/>
        </w:rPr>
        <w:t>Наши гвардейцы по склонам гор обошли эти опорные пункты и стремительным фланговым ударом разгромили немецкие гарнизоны. Продвигаясь на запад по южным склонам горного хребта Бескид Малы, наши войска овладели крупным населённым пунктом Задзеле. В бою за этот пункт советские бойцы взяли в плен 170 немцев, захватили 26 орудий и другие трофеи.</w:t>
      </w:r>
    </w:p>
    <w:p w14:paraId="0A1B14EB" w14:textId="77777777" w:rsidR="00DB43FF" w:rsidRPr="00F90EAE" w:rsidRDefault="00DB43FF" w:rsidP="00F90EAE">
      <w:pPr>
        <w:jc w:val="both"/>
        <w:rPr>
          <w:color w:val="000000" w:themeColor="text1"/>
          <w:sz w:val="16"/>
          <w:szCs w:val="16"/>
        </w:rPr>
      </w:pPr>
      <w:r w:rsidRPr="00F90EAE">
        <w:rPr>
          <w:color w:val="000000" w:themeColor="text1"/>
          <w:sz w:val="16"/>
          <w:szCs w:val="16"/>
        </w:rPr>
        <w:t>Взятый в плен на 1-м Украинском фронте начальник артиллерии 42-го немецкого армейского корпуса полковник Оскар Розен рассказал: «Когда русские начали наступление, мы рассчитывали, что положение будет быстро восстановлено. Насколько мне известно, нашим командованием были намечены энергичные контрмеры, предусматривавшие длительную и активную оборону. Немецкое командование возложило на 24-й танковый корпус задачу приостановить наступление Красной Армии на нашем участке. Однако первые же бои показали, что эти планы были построены на песке. Мощными ударами русские опрокинули нашу оборону, продвинулись вперёд и начали громить штабы и тылы. Мы понесли тяжёлые и невосполнимые потери в людях и технике. Наступавшие русские танковые части и мотопехота преследовали нас по пятам, не давая никакой передышки» (15034).</w:t>
      </w:r>
    </w:p>
    <w:p w14:paraId="4BFE2AE0" w14:textId="77777777" w:rsidR="00DB43FF" w:rsidRPr="00F90EAE" w:rsidRDefault="00DB43FF" w:rsidP="00F90EAE">
      <w:pPr>
        <w:jc w:val="both"/>
        <w:rPr>
          <w:color w:val="000000" w:themeColor="text1"/>
          <w:sz w:val="16"/>
          <w:szCs w:val="16"/>
        </w:rPr>
      </w:pPr>
    </w:p>
    <w:p w14:paraId="70BFB35B" w14:textId="77777777" w:rsidR="00DB43FF" w:rsidRPr="00F90EAE" w:rsidRDefault="00DB43FF" w:rsidP="00F90EAE">
      <w:pPr>
        <w:jc w:val="both"/>
        <w:rPr>
          <w:color w:val="000000" w:themeColor="text1"/>
          <w:sz w:val="16"/>
          <w:szCs w:val="16"/>
        </w:rPr>
      </w:pPr>
      <w:r w:rsidRPr="00F90EAE">
        <w:rPr>
          <w:bCs/>
          <w:color w:val="000000" w:themeColor="text1"/>
          <w:sz w:val="16"/>
          <w:szCs w:val="16"/>
        </w:rPr>
        <w:t>8 февраля</w:t>
      </w:r>
      <w:r w:rsidRPr="00F90EAE">
        <w:rPr>
          <w:color w:val="000000" w:themeColor="text1"/>
          <w:sz w:val="16"/>
          <w:szCs w:val="16"/>
        </w:rPr>
        <w:t xml:space="preserve"> в 1945 году войска правого крыла 1-го Украинского фронта (Маршал Советского Союза И.С.Конев) начали Нижнесилезскую операцию. В ходе операции, завершившейся 24 февраля, были уничтожены крупные немецко-фашистские гарнизоны в Глогау и Брослау (15034).</w:t>
      </w:r>
    </w:p>
    <w:p w14:paraId="05509E0D" w14:textId="77777777" w:rsidR="00DB43FF" w:rsidRPr="00F90EAE" w:rsidRDefault="00DB43FF" w:rsidP="00F90EAE">
      <w:pPr>
        <w:jc w:val="both"/>
        <w:rPr>
          <w:color w:val="000000" w:themeColor="text1"/>
          <w:sz w:val="16"/>
          <w:szCs w:val="16"/>
        </w:rPr>
      </w:pPr>
    </w:p>
    <w:p w14:paraId="00CC13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8 по 24 февраля 1945 прошла Нижне-Селезская операция и вышли на Западную Нейсе. Прорвали оборону на участке 250 км и продвинулись на 100 км. Окружили Бреслау и Глогау (2438,450).</w:t>
      </w:r>
    </w:p>
    <w:p w14:paraId="3005464D" w14:textId="77777777" w:rsidR="00665165" w:rsidRPr="00F90EAE" w:rsidRDefault="00665165" w:rsidP="00F90EAE">
      <w:pPr>
        <w:autoSpaceDE w:val="0"/>
        <w:autoSpaceDN w:val="0"/>
        <w:adjustRightInd w:val="0"/>
        <w:jc w:val="both"/>
        <w:rPr>
          <w:color w:val="000000" w:themeColor="text1"/>
          <w:sz w:val="16"/>
          <w:szCs w:val="16"/>
        </w:rPr>
      </w:pPr>
    </w:p>
    <w:p w14:paraId="5566D5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М.Девятаев на Хе-111 улетел от немцев (455,150) с девятью человеками на борту (340,180).</w:t>
      </w:r>
    </w:p>
    <w:p w14:paraId="65272EC0" w14:textId="77777777" w:rsidR="00665165" w:rsidRPr="00F90EAE" w:rsidRDefault="00665165" w:rsidP="00F90EAE">
      <w:pPr>
        <w:autoSpaceDE w:val="0"/>
        <w:autoSpaceDN w:val="0"/>
        <w:adjustRightInd w:val="0"/>
        <w:jc w:val="both"/>
        <w:rPr>
          <w:color w:val="000000" w:themeColor="text1"/>
          <w:sz w:val="16"/>
          <w:szCs w:val="16"/>
        </w:rPr>
      </w:pPr>
    </w:p>
    <w:p w14:paraId="2B396B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ли М.П.Девятаев совершил побег из плена, куда попал после того, как был сбит в июле 1944. Улетел на Не-111, прихватив 10 заключенных и за 3 часа прошел от Прибалтики до Варшавы. Стал ГСС (438,932).</w:t>
      </w:r>
    </w:p>
    <w:p w14:paraId="54D9CDE4" w14:textId="77777777" w:rsidR="00665165" w:rsidRPr="00F90EAE" w:rsidRDefault="00665165" w:rsidP="00F90EAE">
      <w:pPr>
        <w:autoSpaceDE w:val="0"/>
        <w:autoSpaceDN w:val="0"/>
        <w:adjustRightInd w:val="0"/>
        <w:jc w:val="both"/>
        <w:rPr>
          <w:color w:val="000000" w:themeColor="text1"/>
          <w:sz w:val="16"/>
          <w:szCs w:val="16"/>
        </w:rPr>
      </w:pPr>
    </w:p>
    <w:p w14:paraId="42BC999E" w14:textId="77777777" w:rsidR="00DB43FF" w:rsidRPr="00F90EAE" w:rsidRDefault="00DB43FF" w:rsidP="00F90EAE">
      <w:pPr>
        <w:jc w:val="both"/>
        <w:rPr>
          <w:color w:val="000000" w:themeColor="text1"/>
          <w:sz w:val="16"/>
          <w:szCs w:val="16"/>
        </w:rPr>
      </w:pPr>
      <w:r w:rsidRPr="00F90EAE">
        <w:rPr>
          <w:bCs/>
          <w:color w:val="000000" w:themeColor="text1"/>
          <w:sz w:val="16"/>
          <w:szCs w:val="16"/>
        </w:rPr>
        <w:t>8 февраля</w:t>
      </w:r>
      <w:r w:rsidRPr="00F90EAE">
        <w:rPr>
          <w:color w:val="000000" w:themeColor="text1"/>
          <w:sz w:val="16"/>
          <w:szCs w:val="16"/>
        </w:rPr>
        <w:t xml:space="preserve"> в 1945 году побег из плена на вражеском самолете летчика М.П.Девятаева. Старший лейтенант Михаил Петрович Девятаев (мордвин по национальности) участвовал в боях с первого дня войны. Сбил несколько самолетов, был награжден орденом Красного Знамени. После нескольких ранений его списали из истребителей, но оставили в тихоходной авиации. Девятаев служил в полку ночных бомбардировщиков, санитарной авиации, вывозя раненых партизан на Большую Землю. Узнав, что в дивизии Покрышкина служит его друг, Михаил сумел добиться перевода в истребительный полк. В июле 1944 года его самолет был подбит, и летчик оказался в плену. Пересыльный лагерь под Варшавой, лагеря в Лодзи, Кляйкенигсберге, Заксенхаузен. В лагере смерти его ждала неминуемая гибель как организатора неудавшегося побега. Помогла взаимовыручка: товарищам удалось подменить его документы. Так он стал солдатом Никитенко, умершим в лагере незадолго перед тем. Подпольщикам удалось включить Девятаева и в команду заключенных, отправляемых на работу на аэродром, расположенный на острове Свинемюнде (другой вариант - Узедон), где фашисты испытывали ракетные снаряды ФАУ. Узнав, что Девятаев - летчик, военнопленные стали готовить побег: сумели достать для изучения уцелевшую приборную доску с разбитого бомбардировщика, изучали поведение охраны и работников аэродромной службы. 8 февраля на взлетной полосе был подготовлен к полету бомбардировщик «хейнкель-111». В обеденный час пунктуальные немцы по звонку ушли в столовую. Другого такого шанса могло больше не подвернуться. Сказав своему конвоиру, что начальство отдало срочный приказ расчистить капонир, они вышли на летное поле. Когда фашист понял, что что-то неладно, было уже поздно. Сумев завести моторы и оторвать тяжелый самолет от земли, Девятаев повел его сначала в сторону Швеции, а потом </w:t>
      </w:r>
      <w:r w:rsidRPr="00F90EAE">
        <w:rPr>
          <w:color w:val="000000" w:themeColor="text1"/>
          <w:sz w:val="16"/>
          <w:szCs w:val="16"/>
        </w:rPr>
        <w:lastRenderedPageBreak/>
        <w:t>свернул на восток. Каково же было удивление советских солдат, бежавших к самолету с крестами, чтобы захватить живьем экипаж, когда из бомбардировщика выбрались одетые в полосатые куртки 11 человек. Кроме Девятаева, в этом беспримерном побеге участвовали Ф.П.Адамов, М.А.Емец, И.П.Кривоногов, П.Кутергин, И.Олейник, И.М.Пацула, Т.Сердюк, В.Соколов, В.Тимченко, Н.Урбанович. По разному сложилась потом судьба героев: трое погибли в боях, о трех ничего не известно, а остальные вернулись в родные края и продолжали трудиться. Но не все было так безоблачно - еще долгое время над ними висело клеймо военнопленных. Лишь в августе 1957 года Девятаеву было присвоено звание Героя Советского Союза, а его товарищи удостоены государственных наград. Михаил Петрович вернулся к своей профессии речника, испытывал и водил первый катер на подводных крыльях «Ракета». Он почетный гражданин Республики Мордовия и города Казани. После войны удалось узнать и о событиях на Свинемюнде после побега. На пятый день прибыл рейхсмаршал Геринг в сопровождении эсэсовцев. Геринг устроил невиданный разнос. Комендант концлагеря, четыре эсэсовца из охраны и еще несколько солдат были приговорены к расстрелу, командира авиачасти спасло лишь заступничество самого Гитлера (15034).</w:t>
      </w:r>
    </w:p>
    <w:p w14:paraId="585E0A8E" w14:textId="77777777" w:rsidR="00DB43FF" w:rsidRPr="00F90EAE" w:rsidRDefault="00DB43FF" w:rsidP="00F90EAE">
      <w:pPr>
        <w:jc w:val="both"/>
        <w:rPr>
          <w:color w:val="000000" w:themeColor="text1"/>
          <w:sz w:val="16"/>
          <w:szCs w:val="16"/>
        </w:rPr>
      </w:pPr>
    </w:p>
    <w:p w14:paraId="2AC7C05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C2B2392" w14:textId="77777777" w:rsidR="00665165" w:rsidRPr="00F90EAE" w:rsidRDefault="00665165" w:rsidP="00F90EAE">
      <w:pPr>
        <w:autoSpaceDE w:val="0"/>
        <w:autoSpaceDN w:val="0"/>
        <w:adjustRightInd w:val="0"/>
        <w:jc w:val="both"/>
        <w:rPr>
          <w:iCs/>
          <w:color w:val="000000" w:themeColor="text1"/>
          <w:sz w:val="16"/>
          <w:szCs w:val="16"/>
        </w:rPr>
      </w:pPr>
    </w:p>
    <w:p w14:paraId="2E0080F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февраля 1945 лидеры СССР, США и Англии взяли день перерыва на Ялтинской конференции для осмотра крымских достопримечательностей (4962).</w:t>
      </w:r>
    </w:p>
    <w:p w14:paraId="645F5C6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69378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48535C1" w14:textId="77777777" w:rsidR="00665165" w:rsidRPr="00F90EAE" w:rsidRDefault="00665165" w:rsidP="00F90EAE">
      <w:pPr>
        <w:autoSpaceDE w:val="0"/>
        <w:autoSpaceDN w:val="0"/>
        <w:adjustRightInd w:val="0"/>
        <w:jc w:val="both"/>
        <w:rPr>
          <w:iCs/>
          <w:color w:val="000000" w:themeColor="text1"/>
          <w:sz w:val="16"/>
          <w:szCs w:val="16"/>
        </w:rPr>
      </w:pPr>
    </w:p>
    <w:p w14:paraId="556BE78E" w14:textId="77777777" w:rsidR="00DB43FF" w:rsidRPr="00F90EAE" w:rsidRDefault="00DB43FF" w:rsidP="00F90EAE">
      <w:pPr>
        <w:jc w:val="both"/>
        <w:rPr>
          <w:color w:val="000000" w:themeColor="text1"/>
          <w:sz w:val="16"/>
          <w:szCs w:val="16"/>
        </w:rPr>
      </w:pPr>
      <w:r w:rsidRPr="00F90EAE">
        <w:rPr>
          <w:bCs/>
          <w:color w:val="000000" w:themeColor="text1"/>
          <w:sz w:val="16"/>
          <w:szCs w:val="16"/>
        </w:rPr>
        <w:t>8 февраля</w:t>
      </w:r>
      <w:r w:rsidRPr="00F90EAE">
        <w:rPr>
          <w:color w:val="000000" w:themeColor="text1"/>
          <w:sz w:val="16"/>
          <w:szCs w:val="16"/>
        </w:rPr>
        <w:t xml:space="preserve"> в 1945 году поступил на испытания второй германский опытный высотный истребитель-перехватчик </w:t>
      </w:r>
      <w:hyperlink r:id="rId33" w:tgtFrame="_blank" w:history="1">
        <w:r w:rsidRPr="00F90EAE">
          <w:rPr>
            <w:color w:val="000000" w:themeColor="text1"/>
            <w:sz w:val="16"/>
            <w:szCs w:val="16"/>
          </w:rPr>
          <w:t xml:space="preserve">«ВV.155-V2». </w:t>
        </w:r>
      </w:hyperlink>
    </w:p>
    <w:p w14:paraId="279F2680" w14:textId="77777777" w:rsidR="00DB43FF" w:rsidRPr="00F90EAE" w:rsidRDefault="00DB43FF" w:rsidP="00F90EAE">
      <w:pPr>
        <w:jc w:val="both"/>
        <w:rPr>
          <w:color w:val="000000" w:themeColor="text1"/>
          <w:sz w:val="16"/>
          <w:szCs w:val="16"/>
        </w:rPr>
      </w:pPr>
    </w:p>
    <w:p w14:paraId="1F94D6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февраля 1945 англо-канадские войска начали наступление в Рейнской области (4962).</w:t>
      </w:r>
    </w:p>
    <w:p w14:paraId="2BECB96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91A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8 февраля по 10 марта 1945 состоялась Маас-Рейнская операция англо-американской группы Б.Монтгомери. Продвинулись на 25-60 км выйдя к Рейну (2438,381) под названием Веритабл и шла до 21 марта (3907,255).</w:t>
      </w:r>
    </w:p>
    <w:p w14:paraId="75F21318" w14:textId="77777777" w:rsidR="00665165" w:rsidRPr="00F90EAE" w:rsidRDefault="00665165" w:rsidP="00F90EAE">
      <w:pPr>
        <w:autoSpaceDE w:val="0"/>
        <w:autoSpaceDN w:val="0"/>
        <w:adjustRightInd w:val="0"/>
        <w:jc w:val="both"/>
        <w:rPr>
          <w:color w:val="000000" w:themeColor="text1"/>
          <w:sz w:val="16"/>
          <w:szCs w:val="16"/>
        </w:rPr>
      </w:pPr>
    </w:p>
    <w:p w14:paraId="62D3755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8, 1945: In the West, the Canadian First Army (Crerar) begins an offensive in the area of Nijmegen in Holland. Paraguay declares war on Germany. In the East, Soviet attacks in East Prussia, Pommerania and on the Oder front opposite Berlin continue with unabated ferocity (3819).</w:t>
      </w:r>
    </w:p>
    <w:p w14:paraId="654A04CA" w14:textId="77777777" w:rsidR="00665165" w:rsidRPr="00F90EAE" w:rsidRDefault="00665165" w:rsidP="00F90EAE">
      <w:pPr>
        <w:autoSpaceDE w:val="0"/>
        <w:autoSpaceDN w:val="0"/>
        <w:adjustRightInd w:val="0"/>
        <w:jc w:val="both"/>
        <w:rPr>
          <w:color w:val="000000" w:themeColor="text1"/>
          <w:sz w:val="16"/>
          <w:szCs w:val="16"/>
          <w:lang w:val="en-US"/>
        </w:rPr>
      </w:pPr>
    </w:p>
    <w:p w14:paraId="63A6A6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февраля 1945 канадская 1А (Крерар) начала наступление в Голландии. Парагвай объявил войну Германии (3819).</w:t>
      </w:r>
    </w:p>
    <w:p w14:paraId="0B47C268" w14:textId="77777777" w:rsidR="00665165" w:rsidRPr="00F90EAE" w:rsidRDefault="00665165" w:rsidP="00F90EAE">
      <w:pPr>
        <w:autoSpaceDE w:val="0"/>
        <w:autoSpaceDN w:val="0"/>
        <w:adjustRightInd w:val="0"/>
        <w:jc w:val="both"/>
        <w:rPr>
          <w:color w:val="000000" w:themeColor="text1"/>
          <w:sz w:val="16"/>
          <w:szCs w:val="16"/>
        </w:rPr>
      </w:pPr>
    </w:p>
    <w:p w14:paraId="5AF9B3B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871876B" w14:textId="77777777" w:rsidR="00665165" w:rsidRPr="00F90EAE" w:rsidRDefault="00665165" w:rsidP="00F90EAE">
      <w:pPr>
        <w:autoSpaceDE w:val="0"/>
        <w:autoSpaceDN w:val="0"/>
        <w:adjustRightInd w:val="0"/>
        <w:jc w:val="both"/>
        <w:rPr>
          <w:iCs/>
          <w:color w:val="000000" w:themeColor="text1"/>
          <w:sz w:val="16"/>
          <w:szCs w:val="16"/>
        </w:rPr>
      </w:pPr>
    </w:p>
    <w:p w14:paraId="7664F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Левин утвердил Отчет по обобщению результатов летных испытаний по замеру расхода горючего с применением высотного корректора на самолетах с ВК-105ПФ, ВК-107В и АМ-38Ф в 1943-1944 (809,2).</w:t>
      </w:r>
    </w:p>
    <w:p w14:paraId="1A4AC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Ответственный исполнитель К.А.Савенко</w:t>
      </w:r>
    </w:p>
    <w:p w14:paraId="40FE20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Сделаны выводы об эффективности применения высотных корректоров на различных режимах полета.</w:t>
      </w:r>
    </w:p>
    <w:p w14:paraId="7028F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Были использованы данные из отчетов по испытаниям с-тов Як, Пе-2, и Ил-2</w:t>
      </w:r>
    </w:p>
    <w:p w14:paraId="6EA5C3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исследовании эффнективности применения высотных корректоров последний открывался по внешним причинам работы мотора</w:t>
      </w:r>
    </w:p>
    <w:p w14:paraId="684E0D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Положение сектора высотного корректора в кабине с-та отмечалось л по спецметкам, разбивающим ход сектора на равные части (кроме с-та Як-9У № 31166011, где положение сектора регистрировалось при помощи самописца).</w:t>
      </w:r>
    </w:p>
    <w:p w14:paraId="15562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Як-9Д № 0715306 с ВК-105ПФ № 335-1896 (апрель-май 1944)</w:t>
      </w:r>
    </w:p>
    <w:p w14:paraId="254D12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к Ф.Ф.Демида</w:t>
      </w:r>
    </w:p>
    <w:p w14:paraId="18BE88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Як-9 № 09-09 с ВК-105ПФ № 325-2056 (май-июнь 1944)</w:t>
      </w:r>
    </w:p>
    <w:p w14:paraId="60962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м-р Антипов</w:t>
      </w:r>
    </w:p>
    <w:p w14:paraId="7B3188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Ил-2 № 1122 АМ-38Ф февраля 1943</w:t>
      </w:r>
    </w:p>
    <w:p w14:paraId="364567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Демидов</w:t>
      </w:r>
    </w:p>
    <w:p w14:paraId="1FA743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EC4E0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Обобщение материадлов летных испытаний по замеру расхода горючего с применением высотного корректора на с-тах с моторами ВК-105ПФ, ВК-107А, АМ-38Ф показало, что экономия горючего за счет применения корректора по внешним причинам работы мотора весьма значительна и достигает в отдельных случаях 35%.</w:t>
      </w:r>
    </w:p>
    <w:p w14:paraId="11E976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Применение высотного корректора на режиме максимальной скорости на высоте более 4000 м дало значительный прирост скорости с-та Як-9ДД № 01-10, достигший 33 км/час</w:t>
      </w:r>
    </w:p>
    <w:p w14:paraId="447B63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Нач. 1 отд. 2У ГК НИИ ВВС и/п Гкрвасов 6 февраля 1945 (809,2).</w:t>
      </w:r>
    </w:p>
    <w:p w14:paraId="4C97BCDD" w14:textId="77777777" w:rsidR="00665165" w:rsidRPr="00F90EAE" w:rsidRDefault="00665165" w:rsidP="00F90EAE">
      <w:pPr>
        <w:autoSpaceDE w:val="0"/>
        <w:autoSpaceDN w:val="0"/>
        <w:adjustRightInd w:val="0"/>
        <w:jc w:val="both"/>
        <w:rPr>
          <w:color w:val="000000" w:themeColor="text1"/>
          <w:sz w:val="16"/>
          <w:szCs w:val="16"/>
        </w:rPr>
      </w:pPr>
    </w:p>
    <w:p w14:paraId="74354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был выдан Мандат ГКО № 7485 Петрова Н.И., командированного с группой специалистов на 1 УФ для изучения немецкого полигона по испытанию самолетов-снарядов и авиабомб. РГАНИР, Фонд ГКО, д. 369, лл. 96 (11012).</w:t>
      </w:r>
    </w:p>
    <w:p w14:paraId="3A105678" w14:textId="77777777" w:rsidR="00665165" w:rsidRPr="00F90EAE" w:rsidRDefault="00665165" w:rsidP="00F90EAE">
      <w:pPr>
        <w:autoSpaceDE w:val="0"/>
        <w:autoSpaceDN w:val="0"/>
        <w:adjustRightInd w:val="0"/>
        <w:jc w:val="both"/>
        <w:rPr>
          <w:color w:val="000000" w:themeColor="text1"/>
          <w:sz w:val="16"/>
          <w:szCs w:val="16"/>
        </w:rPr>
      </w:pPr>
    </w:p>
    <w:p w14:paraId="1FD21E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7508 О неотложной поставке мазута заводам НКАП. РГАНИР, Фонд ГКО, д. 370, лл. 45-47 (11012).</w:t>
      </w:r>
    </w:p>
    <w:p w14:paraId="5AE9C7DB" w14:textId="77777777" w:rsidR="00665165" w:rsidRPr="00F90EAE" w:rsidRDefault="00665165" w:rsidP="00F90EAE">
      <w:pPr>
        <w:autoSpaceDE w:val="0"/>
        <w:autoSpaceDN w:val="0"/>
        <w:adjustRightInd w:val="0"/>
        <w:jc w:val="both"/>
        <w:rPr>
          <w:color w:val="000000" w:themeColor="text1"/>
          <w:sz w:val="16"/>
          <w:szCs w:val="16"/>
        </w:rPr>
      </w:pPr>
    </w:p>
    <w:p w14:paraId="55A4F9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Распоряжение ГКО № 7509. О производстве и применении антидетонационных присадок к авиабензину. РГАНИР, Фонд ГКО, д. 370, лл. 48-49 (11012).</w:t>
      </w:r>
    </w:p>
    <w:p w14:paraId="3511B2C7" w14:textId="77777777" w:rsidR="00665165" w:rsidRPr="00F90EAE" w:rsidRDefault="00665165" w:rsidP="00F90EAE">
      <w:pPr>
        <w:autoSpaceDE w:val="0"/>
        <w:autoSpaceDN w:val="0"/>
        <w:adjustRightInd w:val="0"/>
        <w:jc w:val="both"/>
        <w:rPr>
          <w:color w:val="000000" w:themeColor="text1"/>
          <w:sz w:val="16"/>
          <w:szCs w:val="16"/>
        </w:rPr>
      </w:pPr>
    </w:p>
    <w:p w14:paraId="030457E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AE24EB" w14:textId="77777777" w:rsidR="00665165" w:rsidRPr="00F90EAE" w:rsidRDefault="00665165" w:rsidP="00F90EAE">
      <w:pPr>
        <w:autoSpaceDE w:val="0"/>
        <w:autoSpaceDN w:val="0"/>
        <w:adjustRightInd w:val="0"/>
        <w:jc w:val="both"/>
        <w:rPr>
          <w:iCs/>
          <w:color w:val="000000" w:themeColor="text1"/>
          <w:sz w:val="16"/>
          <w:szCs w:val="16"/>
        </w:rPr>
      </w:pPr>
    </w:p>
    <w:p w14:paraId="2BCB3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7505 Об обеспечении плана поставки металлов для производства боеприпасов, танков, вооружения и самолетов в феврале 1945 года. РГАНИР, Фонд ГКО, д. 370, лл. 32-39, 40-41 (11012).</w:t>
      </w:r>
    </w:p>
    <w:p w14:paraId="2DBB1623" w14:textId="77777777" w:rsidR="00665165" w:rsidRPr="00F90EAE" w:rsidRDefault="00665165" w:rsidP="00F90EAE">
      <w:pPr>
        <w:autoSpaceDE w:val="0"/>
        <w:autoSpaceDN w:val="0"/>
        <w:adjustRightInd w:val="0"/>
        <w:jc w:val="both"/>
        <w:rPr>
          <w:color w:val="000000" w:themeColor="text1"/>
          <w:sz w:val="16"/>
          <w:szCs w:val="16"/>
        </w:rPr>
      </w:pPr>
    </w:p>
    <w:p w14:paraId="7D4CF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Распоряжение ГКО № 7506. О выделении четырех передвижных комплектных электростанций для городов Молдавской ССР. РГАНИР, Фонд ГКО, д. 370, лл. 42 (11012).</w:t>
      </w:r>
    </w:p>
    <w:p w14:paraId="0CC3ECAC" w14:textId="77777777" w:rsidR="00665165" w:rsidRPr="00F90EAE" w:rsidRDefault="00665165" w:rsidP="00F90EAE">
      <w:pPr>
        <w:autoSpaceDE w:val="0"/>
        <w:autoSpaceDN w:val="0"/>
        <w:adjustRightInd w:val="0"/>
        <w:jc w:val="both"/>
        <w:rPr>
          <w:color w:val="000000" w:themeColor="text1"/>
          <w:sz w:val="16"/>
          <w:szCs w:val="16"/>
        </w:rPr>
      </w:pPr>
    </w:p>
    <w:p w14:paraId="535B43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7510 О закреплении прибывающего из США электрооборудования за восстанавливаемыми и строящимися электростанциями. РГАНИР, Фонд ГКО, д. 370, лл. 50-51 (11012).</w:t>
      </w:r>
    </w:p>
    <w:p w14:paraId="6F3D1880" w14:textId="77777777" w:rsidR="00665165" w:rsidRPr="00F90EAE" w:rsidRDefault="00665165" w:rsidP="00F90EAE">
      <w:pPr>
        <w:autoSpaceDE w:val="0"/>
        <w:autoSpaceDN w:val="0"/>
        <w:adjustRightInd w:val="0"/>
        <w:jc w:val="both"/>
        <w:rPr>
          <w:color w:val="000000" w:themeColor="text1"/>
          <w:sz w:val="16"/>
          <w:szCs w:val="16"/>
        </w:rPr>
      </w:pPr>
    </w:p>
    <w:p w14:paraId="15E1D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7511 Об использовании продуктов, предназначенных для 1 БФ, обеспеченного из местных ресурсов, на другие нужды. РГАНИР, Фонд ГКО, д. 370, лл. 52-53 (11012).</w:t>
      </w:r>
    </w:p>
    <w:p w14:paraId="13207E63" w14:textId="77777777" w:rsidR="00665165" w:rsidRPr="00F90EAE" w:rsidRDefault="00665165" w:rsidP="00F90EAE">
      <w:pPr>
        <w:autoSpaceDE w:val="0"/>
        <w:autoSpaceDN w:val="0"/>
        <w:adjustRightInd w:val="0"/>
        <w:jc w:val="both"/>
        <w:rPr>
          <w:color w:val="000000" w:themeColor="text1"/>
          <w:sz w:val="16"/>
          <w:szCs w:val="16"/>
        </w:rPr>
      </w:pPr>
    </w:p>
    <w:p w14:paraId="609D538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февраля 1945 вышло Распоряжение ГКО № 7512 [О перевозке зерна по железным дорогам.] (7308, 54).</w:t>
      </w:r>
    </w:p>
    <w:p w14:paraId="0E9B8C9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06E19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Распоряжение ГКО № 7513. О мерах по сохранению сооружений Днепрогэса при пропуске весеннего паводка. РГАНИР, Фонд ГКО, д. 370, лл. 55-56 (11012).</w:t>
      </w:r>
    </w:p>
    <w:p w14:paraId="1AD84BF6" w14:textId="77777777" w:rsidR="00665165" w:rsidRPr="00F90EAE" w:rsidRDefault="00665165" w:rsidP="00F90EAE">
      <w:pPr>
        <w:autoSpaceDE w:val="0"/>
        <w:autoSpaceDN w:val="0"/>
        <w:adjustRightInd w:val="0"/>
        <w:jc w:val="both"/>
        <w:rPr>
          <w:color w:val="000000" w:themeColor="text1"/>
          <w:sz w:val="16"/>
          <w:szCs w:val="16"/>
        </w:rPr>
      </w:pPr>
    </w:p>
    <w:p w14:paraId="76E6E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7514 О плане производства и распределения подвижных ремонтных мастерских для Красной Армии и Военно-Морского Флота на I квартал 1945 года. РГАНИР, Фонд ГКО, д. 370, лл. 57-59, 60-82 (11012).</w:t>
      </w:r>
    </w:p>
    <w:p w14:paraId="131BE7FA" w14:textId="77777777" w:rsidR="00665165" w:rsidRPr="00F90EAE" w:rsidRDefault="00665165" w:rsidP="00F90EAE">
      <w:pPr>
        <w:autoSpaceDE w:val="0"/>
        <w:autoSpaceDN w:val="0"/>
        <w:adjustRightInd w:val="0"/>
        <w:jc w:val="both"/>
        <w:rPr>
          <w:color w:val="000000" w:themeColor="text1"/>
          <w:sz w:val="16"/>
          <w:szCs w:val="16"/>
        </w:rPr>
      </w:pPr>
    </w:p>
    <w:p w14:paraId="309F1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вышло Постановление ГКО № 7518 О мероприятиях по обеспечению углем заводов Наркомтанкопрома. РГАНИР, Фонд ГКО, д. 370, лл. 90-92 (11012).</w:t>
      </w:r>
    </w:p>
    <w:p w14:paraId="63768578" w14:textId="77777777" w:rsidR="00665165" w:rsidRPr="00F90EAE" w:rsidRDefault="00665165" w:rsidP="00F90EAE">
      <w:pPr>
        <w:autoSpaceDE w:val="0"/>
        <w:autoSpaceDN w:val="0"/>
        <w:adjustRightInd w:val="0"/>
        <w:jc w:val="both"/>
        <w:rPr>
          <w:color w:val="000000" w:themeColor="text1"/>
          <w:sz w:val="16"/>
          <w:szCs w:val="16"/>
        </w:rPr>
      </w:pPr>
    </w:p>
    <w:p w14:paraId="54EB27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г. химические войска Советской Армии в полосе 1-го Украинского фронта в заводской лаборатории завода "Аноргана Верк ГМБХ" в Дихернфурте-на-Одере (Силезия) нашли записную книжку с формулами производившихся на заводе фосфорорганических ОВ второго поколения - табуна и зарина (9067).</w:t>
      </w:r>
    </w:p>
    <w:p w14:paraId="5C50C071" w14:textId="77777777" w:rsidR="00665165" w:rsidRPr="00F90EAE" w:rsidRDefault="00665165" w:rsidP="00F90EAE">
      <w:pPr>
        <w:autoSpaceDE w:val="0"/>
        <w:autoSpaceDN w:val="0"/>
        <w:adjustRightInd w:val="0"/>
        <w:jc w:val="both"/>
        <w:rPr>
          <w:color w:val="000000" w:themeColor="text1"/>
          <w:sz w:val="16"/>
          <w:szCs w:val="16"/>
        </w:rPr>
      </w:pPr>
    </w:p>
    <w:p w14:paraId="20F3A3B7" w14:textId="77777777" w:rsidR="00DB43FF" w:rsidRPr="00F90EAE" w:rsidRDefault="00DB43FF" w:rsidP="00F90EAE">
      <w:pPr>
        <w:shd w:val="clear" w:color="auto" w:fill="FFFFFF"/>
        <w:jc w:val="both"/>
        <w:rPr>
          <w:color w:val="000000" w:themeColor="text1"/>
          <w:sz w:val="16"/>
          <w:szCs w:val="16"/>
        </w:rPr>
      </w:pPr>
      <w:r w:rsidRPr="00F90EAE">
        <w:rPr>
          <w:bCs/>
          <w:iCs/>
          <w:color w:val="000000" w:themeColor="text1"/>
          <w:sz w:val="16"/>
          <w:szCs w:val="16"/>
        </w:rPr>
        <w:t>9 февраля 1945 г</w:t>
      </w:r>
      <w:r w:rsidRPr="00F90EAE">
        <w:rPr>
          <w:color w:val="000000" w:themeColor="text1"/>
          <w:sz w:val="16"/>
          <w:szCs w:val="16"/>
        </w:rPr>
        <w:t>. Нахождение химическими войсками Советской Армии в заводской лаборатории завода «Аноргана Верк ГМБХ» в Дихернфурте-на-Одере (Германия) записной книжки с формулами производившихся на заводе фосфорорганических ОВ (ФОВ) второго поколения — табуна и зарина (17133).</w:t>
      </w:r>
    </w:p>
    <w:p w14:paraId="3DDC7634" w14:textId="77777777" w:rsidR="00DB43FF" w:rsidRPr="00F90EAE" w:rsidRDefault="00DB43FF" w:rsidP="00F90EAE">
      <w:pPr>
        <w:jc w:val="both"/>
        <w:rPr>
          <w:bCs/>
          <w:color w:val="000000" w:themeColor="text1"/>
          <w:sz w:val="16"/>
          <w:szCs w:val="16"/>
        </w:rPr>
      </w:pPr>
    </w:p>
    <w:p w14:paraId="4DAF70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9 февраля 1945 военно-химические разведчики нашли в заводской лаборатории в Дихернфурте-на-Одере чью-то записную книжку с формулами производившихся здесь ФОВ второго поколения - табуна и зарина. И были они настолько осведомлены в военно-химических секретах Германии, что тут же поняли, о чем речь, потому как найденные формулы лишь подтвердили то, что ожидалось найти. Срочно прибывшие на место два представителя из Москвы - заместитель начальника военно-химического управления Красной Армии генерал И.Ф.Чухнов и главный инженер института химической войны НИИ-42 (ныне - ГСНИИОХТ) Д.Г.Кудряшов - обнаружили, что искомый химический завод достался им в целости и полной сохранности - задание на его бомбежку не получала ни одна армия мира. Правда, достался без технической документации - ее к тому времени немцы вывезли в западном направлении и потом она попала в США. Нахождение военно-химического завода Германии крупного масштаба в полной сохранности было столь ошеломляющим, что уже 16 февраля 1945 года нарком НКХП СССР М.Г.Первухин доложил об этом заместителю председателя ГОКО СССР Л.П.Берия.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5E8530A4" w14:textId="77777777" w:rsidR="00665165" w:rsidRPr="00F90EAE" w:rsidRDefault="00665165" w:rsidP="00F90EAE">
      <w:pPr>
        <w:autoSpaceDE w:val="0"/>
        <w:autoSpaceDN w:val="0"/>
        <w:adjustRightInd w:val="0"/>
        <w:jc w:val="both"/>
        <w:rPr>
          <w:color w:val="000000" w:themeColor="text1"/>
          <w:sz w:val="16"/>
          <w:szCs w:val="16"/>
        </w:rPr>
      </w:pPr>
    </w:p>
    <w:p w14:paraId="36A7FAF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552B096" w14:textId="77777777" w:rsidR="00665165" w:rsidRPr="00F90EAE" w:rsidRDefault="00665165" w:rsidP="00F90EAE">
      <w:pPr>
        <w:autoSpaceDE w:val="0"/>
        <w:autoSpaceDN w:val="0"/>
        <w:adjustRightInd w:val="0"/>
        <w:jc w:val="both"/>
        <w:rPr>
          <w:iCs/>
          <w:color w:val="000000" w:themeColor="text1"/>
          <w:sz w:val="16"/>
          <w:szCs w:val="16"/>
        </w:rPr>
      </w:pPr>
    </w:p>
    <w:p w14:paraId="304D5DCF" w14:textId="77777777" w:rsidR="00DB43FF" w:rsidRPr="00F90EAE" w:rsidRDefault="00DB43FF" w:rsidP="00F90EAE">
      <w:pPr>
        <w:jc w:val="both"/>
        <w:rPr>
          <w:color w:val="000000" w:themeColor="text1"/>
          <w:sz w:val="16"/>
          <w:szCs w:val="16"/>
        </w:rPr>
      </w:pPr>
      <w:r w:rsidRPr="00F90EAE">
        <w:rPr>
          <w:bCs/>
          <w:color w:val="000000" w:themeColor="text1"/>
          <w:sz w:val="16"/>
          <w:szCs w:val="16"/>
        </w:rPr>
        <w:t>9 февраля</w:t>
      </w:r>
      <w:r w:rsidRPr="00F90EAE">
        <w:rPr>
          <w:color w:val="000000" w:themeColor="text1"/>
          <w:sz w:val="16"/>
          <w:szCs w:val="16"/>
        </w:rPr>
        <w:t xml:space="preserve"> в 1945 году оперативная сводка Совинформбюро:</w:t>
      </w:r>
    </w:p>
    <w:p w14:paraId="23149695" w14:textId="77777777" w:rsidR="00DB43FF" w:rsidRPr="00F90EAE" w:rsidRDefault="00DB43FF" w:rsidP="00F90EAE">
      <w:pPr>
        <w:jc w:val="both"/>
        <w:rPr>
          <w:color w:val="000000" w:themeColor="text1"/>
          <w:sz w:val="16"/>
          <w:szCs w:val="16"/>
        </w:rPr>
      </w:pPr>
      <w:r w:rsidRPr="00F90EAE">
        <w:rPr>
          <w:color w:val="000000" w:themeColor="text1"/>
          <w:sz w:val="16"/>
          <w:szCs w:val="16"/>
        </w:rPr>
        <w:t>«В течение 9 февраля в Восточной Пруссии южнее Кенигсберга наши войска с боями заняли более 30 населённых пунктов и среди них Шнакайнен, Барслак, Дингорт, Шлодиттен, Нойендорф, Воринен, Штабункен. Одновременно северо-восточнее Эльбинга наши войска овладели на побережье залива Фришгаф городом Фрауенбург. Наши войска окружили город Эльбинг и вели бои по уничтожению гарнизона противника.</w:t>
      </w:r>
    </w:p>
    <w:p w14:paraId="67E1976F" w14:textId="77777777" w:rsidR="00DB43FF" w:rsidRPr="00F90EAE" w:rsidRDefault="00DB43FF" w:rsidP="00F90EAE">
      <w:pPr>
        <w:jc w:val="both"/>
        <w:rPr>
          <w:color w:val="000000" w:themeColor="text1"/>
          <w:sz w:val="16"/>
          <w:szCs w:val="16"/>
        </w:rPr>
      </w:pPr>
      <w:r w:rsidRPr="00F90EAE">
        <w:rPr>
          <w:color w:val="000000" w:themeColor="text1"/>
          <w:sz w:val="16"/>
          <w:szCs w:val="16"/>
        </w:rPr>
        <w:t>Восточнее и юго-восточнее города Штаргард наши войска в результате наступательных боёв овладели на территории немецкой Померании населёнными пунктами Гламбек, Клайн Зильбер, Штольценфельде, Петцник, Браллентин, Делитц, Пленцих и окружили гарнизон противника в городе Арнсвальде. В боях за 8 февраля в этом районе взято в плен более 800 немецких солдат и офицеров.</w:t>
      </w:r>
    </w:p>
    <w:p w14:paraId="547B7E33"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ходе которых наши войска заняли 15 кварталов. В боях за 8 февраля в западной части города (Буда) взято в плен свыше 900 солдат и офицеров противника.</w:t>
      </w:r>
    </w:p>
    <w:p w14:paraId="20A5548E" w14:textId="77777777" w:rsidR="00DB43FF" w:rsidRPr="00F90EAE" w:rsidRDefault="00DB43FF" w:rsidP="00F90EAE">
      <w:pPr>
        <w:jc w:val="both"/>
        <w:rPr>
          <w:color w:val="000000" w:themeColor="text1"/>
          <w:sz w:val="16"/>
          <w:szCs w:val="16"/>
        </w:rPr>
      </w:pPr>
      <w:r w:rsidRPr="00F90EAE">
        <w:rPr>
          <w:color w:val="000000" w:themeColor="text1"/>
          <w:sz w:val="16"/>
          <w:szCs w:val="16"/>
        </w:rPr>
        <w:t>Южнее города Секешфехервар наши войска в результате предпринятых атак овладели крупными населёнными пунктами Шопонья, Калоз, Дег, Лайошкомаром, Эньинг, Шиофок.</w:t>
      </w:r>
    </w:p>
    <w:p w14:paraId="01A97FE4" w14:textId="77777777" w:rsidR="00DB43FF" w:rsidRPr="00F90EAE" w:rsidRDefault="00DB43FF" w:rsidP="00F90EAE">
      <w:pPr>
        <w:jc w:val="both"/>
        <w:rPr>
          <w:color w:val="000000" w:themeColor="text1"/>
          <w:sz w:val="16"/>
          <w:szCs w:val="16"/>
        </w:rPr>
      </w:pPr>
      <w:r w:rsidRPr="00F90EAE">
        <w:rPr>
          <w:color w:val="000000" w:themeColor="text1"/>
          <w:sz w:val="16"/>
          <w:szCs w:val="16"/>
        </w:rPr>
        <w:t>За 8 февраля на всех фронтах подбито и уничтожено 174 немецких танка. В воздушных боях и огнём зенитной артиллерии сбито 55 самолётов противника.</w:t>
      </w:r>
    </w:p>
    <w:p w14:paraId="5E9BF90F"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южнее города Кенигсберг наши войска в ходе ожесточённых боёв прорвали полосу долговременных укреплений противника, захватив при этом 102 железобетонных орудийных и пулемётных дота. Советские части продвинулись вперёд на 6 километров и ведут бои на подступах к городу Прейсиш Айлау.</w:t>
      </w:r>
    </w:p>
    <w:p w14:paraId="20AEAD3D" w14:textId="77777777" w:rsidR="00DB43FF" w:rsidRPr="00F90EAE" w:rsidRDefault="00DB43FF" w:rsidP="00F90EAE">
      <w:pPr>
        <w:jc w:val="both"/>
        <w:rPr>
          <w:color w:val="000000" w:themeColor="text1"/>
          <w:sz w:val="16"/>
          <w:szCs w:val="16"/>
        </w:rPr>
      </w:pPr>
      <w:r w:rsidRPr="00F90EAE">
        <w:rPr>
          <w:color w:val="000000" w:themeColor="text1"/>
          <w:sz w:val="16"/>
          <w:szCs w:val="16"/>
        </w:rPr>
        <w:t>Северо-восточнее города Эльбинг наши войска, преодолевая сопротивление противника, продвигались по побережью залива Фриш Гаф. На подступах к городу Фрауенбург советские части встретили особенно ожесточённое сопротивление немцев, укрепившихся на заранее подготовленном рубеже. Этот рубеж состоял из нескольких линий траншей, железобетонных дотов, а также широкого противотанкового рва и минных полей. С помощью сапёров советские стрелковые и танковые подразделения стремительной атакой прорвали немецкую оборону и завязали бои на улицах города. Сегодня наши войска разгромили вражеский гарнизон и овладели городом Фрауенбург. В боях за этот опорный пункт обороны противника полностью разгромлен 391-й немецкий пехотный полк, а его командир — подполковник Слауен взят в плен. Уничтожен 311-й немецкий батальон морской пехоты. Командир батальона майор Рихард с несколькими уцелевшими солдатами сдался в плен. Тяжёлый урон понесли и другие немецкие части.</w:t>
      </w:r>
    </w:p>
    <w:p w14:paraId="6838B49B" w14:textId="77777777" w:rsidR="00DB43FF" w:rsidRPr="00F90EAE" w:rsidRDefault="00DB43FF" w:rsidP="00F90EAE">
      <w:pPr>
        <w:jc w:val="both"/>
        <w:rPr>
          <w:color w:val="000000" w:themeColor="text1"/>
          <w:sz w:val="16"/>
          <w:szCs w:val="16"/>
        </w:rPr>
      </w:pPr>
      <w:r w:rsidRPr="00F90EAE">
        <w:rPr>
          <w:color w:val="000000" w:themeColor="text1"/>
          <w:sz w:val="16"/>
          <w:szCs w:val="16"/>
        </w:rPr>
        <w:t>За день боёв нашими войсками уничтожено несколько тысяч гитлеровцев. Подбито и сожжено свыше 60 танков и самоходных орудий противника. Захвачено у немцев 11 танков, 95 орудий, 140 автомашин, 20 паровозов и около 500 железнодорожных вагонов с военными грузами. Взято в плен более 2.600 немецких солдат и офицеров.</w:t>
      </w:r>
    </w:p>
    <w:p w14:paraId="62758808" w14:textId="77777777" w:rsidR="00DB43FF" w:rsidRPr="00F90EAE" w:rsidRDefault="00DB43FF" w:rsidP="00F90EAE">
      <w:pPr>
        <w:jc w:val="both"/>
        <w:rPr>
          <w:color w:val="000000" w:themeColor="text1"/>
          <w:sz w:val="16"/>
          <w:szCs w:val="16"/>
        </w:rPr>
      </w:pPr>
      <w:r w:rsidRPr="00F90EAE">
        <w:rPr>
          <w:color w:val="000000" w:themeColor="text1"/>
          <w:sz w:val="16"/>
          <w:szCs w:val="16"/>
        </w:rPr>
        <w:t>Восточнее и юго-восточнее города Штаргард наши войска с боями продвигались вперёд и окружили немецкий гарнизон в городе Арнсвальде. Противник подтянул резервы и пытался прорваться на помощь своим частям, окружённым в городе. Все контратаки немцев отбиты с большими для них потерями. За день наши войска уничтожили до 3 тысяч гитлеровцев. Захвачено много трофеев, в том числе 400 станковых и ручных пулемётов и 30 противотанковых ружей.</w:t>
      </w:r>
    </w:p>
    <w:p w14:paraId="51F0800F" w14:textId="77777777" w:rsidR="00DB43FF" w:rsidRPr="00F90EAE" w:rsidRDefault="00DB43FF" w:rsidP="00F90EAE">
      <w:pPr>
        <w:jc w:val="both"/>
        <w:rPr>
          <w:color w:val="000000" w:themeColor="text1"/>
          <w:sz w:val="16"/>
          <w:szCs w:val="16"/>
        </w:rPr>
      </w:pPr>
      <w:r w:rsidRPr="00F90EAE">
        <w:rPr>
          <w:color w:val="000000" w:themeColor="text1"/>
          <w:sz w:val="16"/>
          <w:szCs w:val="16"/>
        </w:rPr>
        <w:t>Советские лётчики в воздушных боях сбили 7 немецких самолётов. Огнём зенитной артиллерии уничтожено 27 самолётов противника.</w:t>
      </w:r>
    </w:p>
    <w:p w14:paraId="126DA189"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наши войска вели бои по ликвидации окружённой группировки противника. В оставшихся у немцев районах западной части города расположено много правительственных зданий и церквей. Под многими зданиями имеются подвалы и подземные ходы сообщения. Все эти здания немцы превратили в узлы обороны и оказывают яростное сопротивление. Советские гвардейские подразделения, овладевшие горой Шашхедь, заняли несколько кварталов и атаковали немцев, укрепившихся на кладбище Неметвельди. К исходу дня советские бойцы очистили кладбище от противника. Занято также несколько больших каменных домов. Захвачены трофеи, в числе которых 14 танков и бронетранспортёров, 30 орудий, 65 пулемётов и склад боеприпасов. Рота венгерских солдат и шесть офицеров перешли на сторону Красной Армии. Перебежчики принесли с собой всё своё вооружение. Сдались в плен 36 венгерских полицейских во главе с майором — командиром отряда.</w:t>
      </w:r>
    </w:p>
    <w:p w14:paraId="12DAAF55" w14:textId="77777777" w:rsidR="00DB43FF" w:rsidRPr="00F90EAE" w:rsidRDefault="00DB43FF" w:rsidP="00F90EAE">
      <w:pPr>
        <w:jc w:val="both"/>
        <w:rPr>
          <w:color w:val="000000" w:themeColor="text1"/>
          <w:sz w:val="16"/>
          <w:szCs w:val="16"/>
        </w:rPr>
      </w:pPr>
      <w:r w:rsidRPr="00F90EAE">
        <w:rPr>
          <w:color w:val="000000" w:themeColor="text1"/>
          <w:sz w:val="16"/>
          <w:szCs w:val="16"/>
        </w:rPr>
        <w:t>Южнее города Секешфехервар советские части, под прикрытием артиллерийского огня, атаковали немцев и выбили их из нескольких населённых пунктов. Советские воины проявляют в боях с врагом отвагу и высокую воинскую выучку. Пулемётчик Барзиков первым ворвался в населённый пункт, занятый противником. Пулемётным огнём Барзиков сдерживал натиск немцев. Когда кончились патроны, он захватил вражеский пулемёт, открыл огонь и уничтожил группу гитлеровцев. Немецкий танк раздавил станковый пулемёт гвардии красноармейца Задерея и засыпал землёй бойца, укрывшегося в траншее. Придя в себя и выбравшись наверх, т. Задерей увидел группу приближающихся к нему немцев. Советский воин бросил три гранаты и уничтожил 12 гитлеровцев. Бронебойщики сержанты Благодин и Иванчук в одном бою сожгли две самоходные пушки и два бронетранспортёра противника.</w:t>
      </w:r>
    </w:p>
    <w:p w14:paraId="6A8509F2" w14:textId="77777777" w:rsidR="00DB43FF" w:rsidRPr="00F90EAE" w:rsidRDefault="00DB43FF" w:rsidP="00F90EAE">
      <w:pPr>
        <w:jc w:val="both"/>
        <w:rPr>
          <w:color w:val="000000" w:themeColor="text1"/>
          <w:sz w:val="16"/>
          <w:szCs w:val="16"/>
        </w:rPr>
      </w:pPr>
      <w:r w:rsidRPr="00F90EAE">
        <w:rPr>
          <w:color w:val="000000" w:themeColor="text1"/>
          <w:sz w:val="16"/>
          <w:szCs w:val="16"/>
        </w:rPr>
        <w:t>Наши корабли атаковали и потопили в районе порта Либава немецкий транспорт водоизмещением в 6 тысяч тонн. Другому крупному транспорту противника нанесены серьёзные повреждения.</w:t>
      </w:r>
    </w:p>
    <w:p w14:paraId="0CDB805A"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взят в плен командир 3-го мотополка моторизованной дивизии «Герман Геринг» полковник Гейнц Хейгль. Пленный рассказал: «Дивизия «Герман Геринг» разгромлена. Перед началом русского наступления мой полк насчитывал 2.500 человек. Две трети личного состава полка погибли в боях. Такие же потери понесли и другие части. Командир 2-го мотополка майор Штау убит; командир артполка фон Кальден попал в плен». Далее Гейнц Хейгль заявил: «Германская армия, на которую обрушились такие мощные удары, уже не сможет оправиться. Когда русские войска летом 1944 года осуществили глубокий прорыв немецкой обороны в районе Витебска, фронт сразу откатился на сотни километров. Мы не могли тогда остановить Красную Армию ни у Минска, ни у Вильно. То же самое произошло и теперь. Прорвав наш фронт, русские войска вышли на Одер. Германия зашла в тупик, из которого ей уже не выбраться» (15035).</w:t>
      </w:r>
    </w:p>
    <w:p w14:paraId="5BD7C4B3" w14:textId="77777777" w:rsidR="00DB43FF" w:rsidRPr="00F90EAE" w:rsidRDefault="00DB43FF" w:rsidP="00F90EAE">
      <w:pPr>
        <w:jc w:val="both"/>
        <w:rPr>
          <w:color w:val="000000" w:themeColor="text1"/>
          <w:sz w:val="16"/>
          <w:szCs w:val="16"/>
        </w:rPr>
      </w:pPr>
    </w:p>
    <w:p w14:paraId="7FA1F638" w14:textId="77777777" w:rsidR="00DB43FF" w:rsidRPr="00F90EAE" w:rsidRDefault="00DB43FF" w:rsidP="00F90EAE">
      <w:pPr>
        <w:jc w:val="both"/>
        <w:rPr>
          <w:color w:val="000000" w:themeColor="text1"/>
          <w:sz w:val="16"/>
          <w:szCs w:val="16"/>
        </w:rPr>
      </w:pPr>
      <w:r w:rsidRPr="00F90EAE">
        <w:rPr>
          <w:bCs/>
          <w:color w:val="000000" w:themeColor="text1"/>
          <w:sz w:val="16"/>
          <w:szCs w:val="16"/>
        </w:rPr>
        <w:t>9 февраля</w:t>
      </w:r>
      <w:r w:rsidRPr="00F90EAE">
        <w:rPr>
          <w:color w:val="000000" w:themeColor="text1"/>
          <w:sz w:val="16"/>
          <w:szCs w:val="16"/>
        </w:rPr>
        <w:t xml:space="preserve"> в 1945 году началась Восточно-Померанская операция войск 2-го и 1-го Белорусских фонтов (15035).</w:t>
      </w:r>
    </w:p>
    <w:p w14:paraId="036FB177" w14:textId="77777777" w:rsidR="00DB43FF" w:rsidRPr="00F90EAE" w:rsidRDefault="00DB43FF" w:rsidP="00F90EAE">
      <w:pPr>
        <w:jc w:val="both"/>
        <w:rPr>
          <w:color w:val="000000" w:themeColor="text1"/>
          <w:sz w:val="16"/>
          <w:szCs w:val="16"/>
        </w:rPr>
      </w:pPr>
    </w:p>
    <w:p w14:paraId="6EF7E41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февраля 1945 советская подлодка капитана А. Маринеско потопила немецкий пароход “Генерал Штойбен” (4962).</w:t>
      </w:r>
    </w:p>
    <w:p w14:paraId="36F6399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0C64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во время Висло-Одерской операции 52 гв ТБр (3ГТА) оказалась впереди войск и продвигалась вперед. Немцы пытались остановить авиацией. 40 самолетов не уничтожили ни одного из 30-45 танков, хотя заходили сзади (3393).</w:t>
      </w:r>
    </w:p>
    <w:p w14:paraId="396AB6CF" w14:textId="77777777" w:rsidR="00665165" w:rsidRPr="00F90EAE" w:rsidRDefault="00665165" w:rsidP="00F90EAE">
      <w:pPr>
        <w:autoSpaceDE w:val="0"/>
        <w:autoSpaceDN w:val="0"/>
        <w:adjustRightInd w:val="0"/>
        <w:jc w:val="both"/>
        <w:rPr>
          <w:color w:val="000000" w:themeColor="text1"/>
          <w:sz w:val="16"/>
          <w:szCs w:val="16"/>
        </w:rPr>
      </w:pPr>
    </w:p>
    <w:p w14:paraId="4DF3F5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9 февраля 1945 г. состоялось нахождение химическими войсками Советской Армии в полосе 1-го Украинского фронта в заводской лаборатории завода "Аноргана Верк ГМБХ" в Дихернфурте-на-Одере (Силезия) записной книжки с формулами производившихся на заводе фосфорорганических ОВ второго поколения - табуна и зарина (4423).</w:t>
      </w:r>
    </w:p>
    <w:p w14:paraId="230E8804" w14:textId="77777777" w:rsidR="00665165" w:rsidRPr="00F90EAE" w:rsidRDefault="00665165" w:rsidP="00F90EAE">
      <w:pPr>
        <w:autoSpaceDE w:val="0"/>
        <w:autoSpaceDN w:val="0"/>
        <w:adjustRightInd w:val="0"/>
        <w:jc w:val="both"/>
        <w:rPr>
          <w:color w:val="000000" w:themeColor="text1"/>
          <w:sz w:val="16"/>
          <w:szCs w:val="16"/>
        </w:rPr>
      </w:pPr>
    </w:p>
    <w:p w14:paraId="7F84C35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9, 1945: In the East, the Red Army encircles Elbing and Posen (3819).</w:t>
      </w:r>
    </w:p>
    <w:p w14:paraId="2345C74E" w14:textId="77777777" w:rsidR="00665165" w:rsidRPr="00F90EAE" w:rsidRDefault="00665165" w:rsidP="00F90EAE">
      <w:pPr>
        <w:autoSpaceDE w:val="0"/>
        <w:autoSpaceDN w:val="0"/>
        <w:adjustRightInd w:val="0"/>
        <w:jc w:val="both"/>
        <w:rPr>
          <w:color w:val="000000" w:themeColor="text1"/>
          <w:sz w:val="16"/>
          <w:szCs w:val="16"/>
          <w:lang w:val="en-US"/>
        </w:rPr>
      </w:pPr>
    </w:p>
    <w:p w14:paraId="46FBB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КА окружила Ельбиг и Поссен (3819).</w:t>
      </w:r>
    </w:p>
    <w:p w14:paraId="428A9AEC" w14:textId="77777777" w:rsidR="00665165" w:rsidRPr="00F90EAE" w:rsidRDefault="00665165" w:rsidP="00F90EAE">
      <w:pPr>
        <w:autoSpaceDE w:val="0"/>
        <w:autoSpaceDN w:val="0"/>
        <w:adjustRightInd w:val="0"/>
        <w:jc w:val="both"/>
        <w:rPr>
          <w:color w:val="000000" w:themeColor="text1"/>
          <w:sz w:val="16"/>
          <w:szCs w:val="16"/>
        </w:rPr>
      </w:pPr>
    </w:p>
    <w:p w14:paraId="5A6621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и 20 февраля 1945 108 полк убыл-таки полным составом в действующую ар</w:t>
      </w:r>
      <w:r w:rsidRPr="00F90EAE">
        <w:rPr>
          <w:color w:val="000000" w:themeColor="text1"/>
          <w:sz w:val="16"/>
          <w:szCs w:val="16"/>
        </w:rPr>
        <w:softHyphen/>
        <w:t>мию. Кроме этого, 25 января на стажи</w:t>
      </w:r>
      <w:r w:rsidRPr="00F90EAE">
        <w:rPr>
          <w:color w:val="000000" w:themeColor="text1"/>
          <w:sz w:val="16"/>
          <w:szCs w:val="16"/>
        </w:rPr>
        <w:softHyphen/>
        <w:t>ровку во 2-ю воздушную армию отпра</w:t>
      </w:r>
      <w:r w:rsidRPr="00F90EAE">
        <w:rPr>
          <w:color w:val="000000" w:themeColor="text1"/>
          <w:sz w:val="16"/>
          <w:szCs w:val="16"/>
        </w:rPr>
        <w:softHyphen/>
        <w:t>вилось на Ил-10 звено от управления бригады (10681).</w:t>
      </w:r>
    </w:p>
    <w:p w14:paraId="1B250B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741DFE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536ADFB" w14:textId="77777777" w:rsidR="00665165" w:rsidRPr="00F90EAE" w:rsidRDefault="00665165" w:rsidP="00F90EAE">
      <w:pPr>
        <w:autoSpaceDE w:val="0"/>
        <w:autoSpaceDN w:val="0"/>
        <w:adjustRightInd w:val="0"/>
        <w:jc w:val="both"/>
        <w:rPr>
          <w:iCs/>
          <w:color w:val="000000" w:themeColor="text1"/>
          <w:sz w:val="16"/>
          <w:szCs w:val="16"/>
        </w:rPr>
      </w:pPr>
    </w:p>
    <w:p w14:paraId="0DBD37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февраля 1945 в Восточной Пруссии арестован и осужден на 8 лет лагерей командир артиллерийской батареи капитан Александр Солженицын (4962).</w:t>
      </w:r>
    </w:p>
    <w:p w14:paraId="2F1071C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4E8CB0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1C0FA06" w14:textId="77777777" w:rsidR="00665165" w:rsidRPr="00F90EAE" w:rsidRDefault="00665165" w:rsidP="00F90EAE">
      <w:pPr>
        <w:autoSpaceDE w:val="0"/>
        <w:autoSpaceDN w:val="0"/>
        <w:adjustRightInd w:val="0"/>
        <w:jc w:val="both"/>
        <w:rPr>
          <w:iCs/>
          <w:color w:val="000000" w:themeColor="text1"/>
          <w:sz w:val="16"/>
          <w:szCs w:val="16"/>
        </w:rPr>
      </w:pPr>
    </w:p>
    <w:p w14:paraId="33447A0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9 февраля 1945 вышло Постановление ГКО № 7507 О поставках хлеба в Польшу. РГАНИР</w:t>
      </w:r>
      <w:r w:rsidRPr="00F90EAE">
        <w:rPr>
          <w:color w:val="000000" w:themeColor="text1"/>
          <w:sz w:val="16"/>
          <w:szCs w:val="16"/>
          <w:lang w:val="en-US"/>
        </w:rPr>
        <w:t xml:space="preserve">, </w:t>
      </w:r>
      <w:r w:rsidRPr="00F90EAE">
        <w:rPr>
          <w:color w:val="000000" w:themeColor="text1"/>
          <w:sz w:val="16"/>
          <w:szCs w:val="16"/>
        </w:rPr>
        <w:t>ФондГКО</w:t>
      </w:r>
      <w:r w:rsidRPr="00F90EAE">
        <w:rPr>
          <w:color w:val="000000" w:themeColor="text1"/>
          <w:sz w:val="16"/>
          <w:szCs w:val="16"/>
          <w:lang w:val="en-US"/>
        </w:rPr>
        <w:t xml:space="preserve">, </w:t>
      </w:r>
      <w:r w:rsidRPr="00F90EAE">
        <w:rPr>
          <w:color w:val="000000" w:themeColor="text1"/>
          <w:sz w:val="16"/>
          <w:szCs w:val="16"/>
        </w:rPr>
        <w:t>д</w:t>
      </w:r>
      <w:r w:rsidRPr="00F90EAE">
        <w:rPr>
          <w:color w:val="000000" w:themeColor="text1"/>
          <w:sz w:val="16"/>
          <w:szCs w:val="16"/>
          <w:lang w:val="en-US"/>
        </w:rPr>
        <w:t xml:space="preserve">. 370, </w:t>
      </w:r>
      <w:r w:rsidRPr="00F90EAE">
        <w:rPr>
          <w:color w:val="000000" w:themeColor="text1"/>
          <w:sz w:val="16"/>
          <w:szCs w:val="16"/>
        </w:rPr>
        <w:t>лл</w:t>
      </w:r>
      <w:r w:rsidRPr="00F90EAE">
        <w:rPr>
          <w:color w:val="000000" w:themeColor="text1"/>
          <w:sz w:val="16"/>
          <w:szCs w:val="16"/>
          <w:lang w:val="en-US"/>
        </w:rPr>
        <w:t>. 43-44 (11012).</w:t>
      </w:r>
    </w:p>
    <w:p w14:paraId="650AC4DF" w14:textId="77777777" w:rsidR="00665165" w:rsidRPr="00F90EAE" w:rsidRDefault="00665165" w:rsidP="00F90EAE">
      <w:pPr>
        <w:autoSpaceDE w:val="0"/>
        <w:autoSpaceDN w:val="0"/>
        <w:adjustRightInd w:val="0"/>
        <w:jc w:val="both"/>
        <w:rPr>
          <w:color w:val="000000" w:themeColor="text1"/>
          <w:sz w:val="16"/>
          <w:szCs w:val="16"/>
          <w:lang w:val="en-US"/>
        </w:rPr>
      </w:pPr>
    </w:p>
    <w:p w14:paraId="692F86C9"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5F52BCD0" w14:textId="77777777" w:rsidR="00665165" w:rsidRPr="00F90EAE" w:rsidRDefault="00665165" w:rsidP="00F90EAE">
      <w:pPr>
        <w:autoSpaceDE w:val="0"/>
        <w:autoSpaceDN w:val="0"/>
        <w:adjustRightInd w:val="0"/>
        <w:jc w:val="both"/>
        <w:rPr>
          <w:iCs/>
          <w:color w:val="000000" w:themeColor="text1"/>
          <w:sz w:val="16"/>
          <w:szCs w:val="16"/>
          <w:lang w:val="en-US"/>
        </w:rPr>
      </w:pPr>
    </w:p>
    <w:p w14:paraId="042251B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9 February 1945 Allies break through the Seigfried Line (270).</w:t>
      </w:r>
    </w:p>
    <w:p w14:paraId="33A52D93" w14:textId="77777777" w:rsidR="00665165" w:rsidRPr="00F90EAE" w:rsidRDefault="00665165" w:rsidP="00F90EAE">
      <w:pPr>
        <w:autoSpaceDE w:val="0"/>
        <w:autoSpaceDN w:val="0"/>
        <w:adjustRightInd w:val="0"/>
        <w:jc w:val="both"/>
        <w:rPr>
          <w:color w:val="000000" w:themeColor="text1"/>
          <w:sz w:val="16"/>
          <w:szCs w:val="16"/>
          <w:lang w:val="en-US"/>
        </w:rPr>
      </w:pPr>
    </w:p>
    <w:p w14:paraId="62D229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союзники прорвались через линию Зигфрида (270).</w:t>
      </w:r>
    </w:p>
    <w:p w14:paraId="33878B6D" w14:textId="77777777" w:rsidR="00665165" w:rsidRPr="00F90EAE" w:rsidRDefault="00665165" w:rsidP="00F90EAE">
      <w:pPr>
        <w:autoSpaceDE w:val="0"/>
        <w:autoSpaceDN w:val="0"/>
        <w:adjustRightInd w:val="0"/>
        <w:jc w:val="both"/>
        <w:rPr>
          <w:color w:val="000000" w:themeColor="text1"/>
          <w:sz w:val="16"/>
          <w:szCs w:val="16"/>
        </w:rPr>
      </w:pPr>
    </w:p>
    <w:p w14:paraId="71FC9243" w14:textId="77777777" w:rsidR="00DB43FF" w:rsidRPr="00F90EAE" w:rsidRDefault="00DB43FF" w:rsidP="00F90EAE">
      <w:pPr>
        <w:jc w:val="both"/>
        <w:rPr>
          <w:color w:val="000000" w:themeColor="text1"/>
          <w:sz w:val="16"/>
          <w:szCs w:val="16"/>
        </w:rPr>
      </w:pPr>
      <w:r w:rsidRPr="00F90EAE">
        <w:rPr>
          <w:bCs/>
          <w:color w:val="000000" w:themeColor="text1"/>
          <w:sz w:val="16"/>
          <w:szCs w:val="16"/>
        </w:rPr>
        <w:t>9 февраля</w:t>
      </w:r>
      <w:r w:rsidRPr="00F90EAE">
        <w:rPr>
          <w:color w:val="000000" w:themeColor="text1"/>
          <w:sz w:val="16"/>
          <w:szCs w:val="16"/>
        </w:rPr>
        <w:t xml:space="preserve"> в 1945 году американо-английские войска завершили освобождение Эльзаса (15035).</w:t>
      </w:r>
    </w:p>
    <w:p w14:paraId="018400FD" w14:textId="77777777" w:rsidR="00DB43FF" w:rsidRPr="00F90EAE" w:rsidRDefault="00DB43FF" w:rsidP="00F90EAE">
      <w:pPr>
        <w:jc w:val="both"/>
        <w:rPr>
          <w:color w:val="000000" w:themeColor="text1"/>
          <w:sz w:val="16"/>
          <w:szCs w:val="16"/>
        </w:rPr>
      </w:pPr>
    </w:p>
    <w:p w14:paraId="4026AC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февраля 1945 Бофайтеры атаковали немецкие корабли в Форде-фиорде. Почти все Бофайтеры были повреждены немецкими истребителями и ЗА (4022,24).</w:t>
      </w:r>
    </w:p>
    <w:p w14:paraId="26A4174B" w14:textId="77777777" w:rsidR="00665165" w:rsidRPr="00F90EAE" w:rsidRDefault="00665165" w:rsidP="00F90EAE">
      <w:pPr>
        <w:autoSpaceDE w:val="0"/>
        <w:autoSpaceDN w:val="0"/>
        <w:adjustRightInd w:val="0"/>
        <w:jc w:val="both"/>
        <w:rPr>
          <w:color w:val="000000" w:themeColor="text1"/>
          <w:sz w:val="16"/>
          <w:szCs w:val="16"/>
        </w:rPr>
      </w:pPr>
    </w:p>
    <w:p w14:paraId="433DC9D8" w14:textId="77777777" w:rsidR="003E03D0" w:rsidRPr="00F90EAE" w:rsidRDefault="003E03D0" w:rsidP="00F90EAE">
      <w:pPr>
        <w:jc w:val="both"/>
        <w:rPr>
          <w:color w:val="0070C0"/>
          <w:sz w:val="16"/>
          <w:szCs w:val="16"/>
        </w:rPr>
      </w:pPr>
      <w:r w:rsidRPr="00F90EAE">
        <w:rPr>
          <w:color w:val="0070C0"/>
          <w:sz w:val="16"/>
          <w:szCs w:val="16"/>
        </w:rPr>
        <w:t>9 февраля 1945 дюжина истребителей Focke-Wulf Fw 190 из Jagdgeschwader 5 атакует более 30 истребителей британского Содружества Beaufighter в сопровождении примерно дюжины «Мустангов» Королевских ВВС над фьордом Фёрде в Норвегии, в то время как самолеты союзников наносят удар по кораблям ВМС Германии. Союзники теряют восемь Beaufighter и один Mustang в неудачном рейде, а немцы теряют несколько Fw 190. Два Fw 190, сбитых в бою, все еще существуют , и по крайней мере один из них находится на стадии восстановления до летной годности (20371).</w:t>
      </w:r>
    </w:p>
    <w:p w14:paraId="347533F1" w14:textId="77777777" w:rsidR="003E03D0" w:rsidRPr="00F90EAE" w:rsidRDefault="003E03D0" w:rsidP="00F90EAE">
      <w:pPr>
        <w:jc w:val="both"/>
        <w:rPr>
          <w:color w:val="0070C0"/>
          <w:sz w:val="16"/>
          <w:szCs w:val="16"/>
        </w:rPr>
      </w:pPr>
    </w:p>
    <w:p w14:paraId="001E54A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февраля 1945 Парагвай объявил войну Германии и Японии (4962).</w:t>
      </w:r>
    </w:p>
    <w:p w14:paraId="26A1DA7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A47CF1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FE194BB" w14:textId="77777777" w:rsidR="00665165" w:rsidRPr="00F90EAE" w:rsidRDefault="00665165" w:rsidP="00F90EAE">
      <w:pPr>
        <w:autoSpaceDE w:val="0"/>
        <w:autoSpaceDN w:val="0"/>
        <w:adjustRightInd w:val="0"/>
        <w:jc w:val="both"/>
        <w:rPr>
          <w:iCs/>
          <w:color w:val="000000" w:themeColor="text1"/>
          <w:sz w:val="16"/>
          <w:szCs w:val="16"/>
        </w:rPr>
      </w:pPr>
    </w:p>
    <w:p w14:paraId="2C1393D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10 февраля 1945 состояние опытного строительства на заводе № 81 было следующим:</w:t>
      </w:r>
    </w:p>
    <w:p w14:paraId="061A702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АШ-82ФН с 3 пушками калибра 20 мм испытывается. Работы по доводке установки оружия - заканчиваются</w:t>
      </w:r>
    </w:p>
    <w:p w14:paraId="3F4D36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АШ-82ФН с доработанной вентиляцией кабины - намечено окончание 11 февраля.</w:t>
      </w:r>
    </w:p>
    <w:p w14:paraId="1035634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С-т “К - закончен и все чертежи переданы для изготовления макета. Приступили к изготовлению чертежей оснастки.</w:t>
      </w:r>
    </w:p>
    <w:p w14:paraId="6B2E7BB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 - одноместный одномоторный цельнометаллический истребитель-моноплан. Мотор АШ-83 (или АШ-84). Крыло - ламинизированное из профилей ЦАГИ-2. В хвосте фюзеляжа - РД-1. Вооружение 4хНС23 - 2 вверху в и 2 в зализах</w:t>
      </w:r>
    </w:p>
    <w:p w14:paraId="714E503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С-т 120Р ( 120 с РД-1) - изготовление деталей кислотно-керосиновой системы (738,35).</w:t>
      </w:r>
    </w:p>
    <w:p w14:paraId="646905C1" w14:textId="77777777" w:rsidR="00665165" w:rsidRPr="00F90EAE" w:rsidRDefault="00665165" w:rsidP="00F90EAE">
      <w:pPr>
        <w:widowControl w:val="0"/>
        <w:autoSpaceDE w:val="0"/>
        <w:autoSpaceDN w:val="0"/>
        <w:adjustRightInd w:val="0"/>
        <w:jc w:val="both"/>
        <w:rPr>
          <w:color w:val="000000" w:themeColor="text1"/>
          <w:sz w:val="16"/>
          <w:szCs w:val="16"/>
        </w:rPr>
      </w:pPr>
    </w:p>
    <w:p w14:paraId="2C0EB5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февраля 1945 года Главного инженера ВВС КА А.К. Ре</w:t>
      </w:r>
      <w:r w:rsidRPr="00F90EAE">
        <w:rPr>
          <w:color w:val="000000" w:themeColor="text1"/>
          <w:sz w:val="16"/>
          <w:szCs w:val="16"/>
        </w:rPr>
        <w:softHyphen/>
        <w:t>пин докладывал А.А. Новикову:</w:t>
      </w:r>
    </w:p>
    <w:p w14:paraId="4B67EA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о состоянии парка самолетов Ла-5 и Ла-7 с моторами АШ-82ФН, по состоянию на 1.2.45 года.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6"/>
        <w:gridCol w:w="931"/>
        <w:gridCol w:w="1075"/>
        <w:gridCol w:w="1267"/>
        <w:gridCol w:w="1190"/>
      </w:tblGrid>
      <w:tr w:rsidR="00561F31" w:rsidRPr="00F90EAE" w14:paraId="6FAA21FE" w14:textId="77777777">
        <w:trPr>
          <w:trHeight w:val="278"/>
        </w:trPr>
        <w:tc>
          <w:tcPr>
            <w:tcW w:w="2266" w:type="dxa"/>
            <w:tcBorders>
              <w:top w:val="single" w:sz="12" w:space="0" w:color="auto"/>
            </w:tcBorders>
          </w:tcPr>
          <w:p w14:paraId="6CA675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12" w:space="0" w:color="auto"/>
            </w:tcBorders>
          </w:tcPr>
          <w:p w14:paraId="48EA82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75" w:type="dxa"/>
            <w:tcBorders>
              <w:top w:val="single" w:sz="12" w:space="0" w:color="auto"/>
            </w:tcBorders>
          </w:tcPr>
          <w:p w14:paraId="679602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Исправных</w:t>
            </w:r>
          </w:p>
        </w:tc>
        <w:tc>
          <w:tcPr>
            <w:tcW w:w="1267" w:type="dxa"/>
            <w:tcBorders>
              <w:top w:val="single" w:sz="12" w:space="0" w:color="auto"/>
            </w:tcBorders>
          </w:tcPr>
          <w:p w14:paraId="00F6D7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Неисправных</w:t>
            </w:r>
          </w:p>
        </w:tc>
        <w:tc>
          <w:tcPr>
            <w:tcW w:w="1190" w:type="dxa"/>
            <w:tcBorders>
              <w:top w:val="single" w:sz="12" w:space="0" w:color="auto"/>
            </w:tcBorders>
          </w:tcPr>
          <w:p w14:paraId="18C599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неиспр-х</w:t>
            </w:r>
          </w:p>
        </w:tc>
      </w:tr>
      <w:tr w:rsidR="00561F31" w:rsidRPr="00F90EAE" w14:paraId="4205AF61" w14:textId="77777777">
        <w:trPr>
          <w:trHeight w:val="192"/>
        </w:trPr>
        <w:tc>
          <w:tcPr>
            <w:tcW w:w="2266" w:type="dxa"/>
          </w:tcPr>
          <w:p w14:paraId="6CE6EE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частях Деист. Армии:</w:t>
            </w:r>
          </w:p>
        </w:tc>
        <w:tc>
          <w:tcPr>
            <w:tcW w:w="931" w:type="dxa"/>
          </w:tcPr>
          <w:p w14:paraId="725558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75" w:type="dxa"/>
          </w:tcPr>
          <w:p w14:paraId="4F390F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Pr>
          <w:p w14:paraId="5B227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90" w:type="dxa"/>
          </w:tcPr>
          <w:p w14:paraId="537170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A6E7209" w14:textId="77777777">
        <w:trPr>
          <w:trHeight w:val="192"/>
        </w:trPr>
        <w:tc>
          <w:tcPr>
            <w:tcW w:w="2266" w:type="dxa"/>
          </w:tcPr>
          <w:p w14:paraId="6F25E5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с-тов Ла-5 АШ-82ФН</w:t>
            </w:r>
          </w:p>
        </w:tc>
        <w:tc>
          <w:tcPr>
            <w:tcW w:w="931" w:type="dxa"/>
          </w:tcPr>
          <w:p w14:paraId="1BD1AC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1075</w:t>
            </w:r>
          </w:p>
        </w:tc>
        <w:tc>
          <w:tcPr>
            <w:tcW w:w="1075" w:type="dxa"/>
          </w:tcPr>
          <w:p w14:paraId="55CBA1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866</w:t>
            </w:r>
          </w:p>
        </w:tc>
        <w:tc>
          <w:tcPr>
            <w:tcW w:w="1267" w:type="dxa"/>
          </w:tcPr>
          <w:p w14:paraId="7FFE6B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209</w:t>
            </w:r>
          </w:p>
        </w:tc>
        <w:tc>
          <w:tcPr>
            <w:tcW w:w="1190" w:type="dxa"/>
          </w:tcPr>
          <w:p w14:paraId="5E7BB2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19,5 .</w:t>
            </w:r>
          </w:p>
        </w:tc>
      </w:tr>
      <w:tr w:rsidR="00561F31" w:rsidRPr="00F90EAE" w14:paraId="5A3A51DA" w14:textId="77777777">
        <w:trPr>
          <w:trHeight w:val="202"/>
        </w:trPr>
        <w:tc>
          <w:tcPr>
            <w:tcW w:w="2266" w:type="dxa"/>
          </w:tcPr>
          <w:p w14:paraId="0A19A4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с-тов Ла-7 АШ-82ФН</w:t>
            </w:r>
          </w:p>
        </w:tc>
        <w:tc>
          <w:tcPr>
            <w:tcW w:w="931" w:type="dxa"/>
          </w:tcPr>
          <w:p w14:paraId="14C3E0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433</w:t>
            </w:r>
          </w:p>
        </w:tc>
        <w:tc>
          <w:tcPr>
            <w:tcW w:w="1075" w:type="dxa"/>
          </w:tcPr>
          <w:p w14:paraId="3980B3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306</w:t>
            </w:r>
          </w:p>
        </w:tc>
        <w:tc>
          <w:tcPr>
            <w:tcW w:w="1267" w:type="dxa"/>
          </w:tcPr>
          <w:p w14:paraId="196990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w:t>
            </w:r>
          </w:p>
        </w:tc>
        <w:tc>
          <w:tcPr>
            <w:tcW w:w="1190" w:type="dxa"/>
          </w:tcPr>
          <w:p w14:paraId="01E571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29,3</w:t>
            </w:r>
          </w:p>
        </w:tc>
      </w:tr>
      <w:tr w:rsidR="00561F31" w:rsidRPr="00F90EAE" w14:paraId="4A543287" w14:textId="77777777">
        <w:trPr>
          <w:trHeight w:val="192"/>
        </w:trPr>
        <w:tc>
          <w:tcPr>
            <w:tcW w:w="2266" w:type="dxa"/>
          </w:tcPr>
          <w:p w14:paraId="0A62EE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31" w:type="dxa"/>
          </w:tcPr>
          <w:p w14:paraId="107651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1508</w:t>
            </w:r>
          </w:p>
        </w:tc>
        <w:tc>
          <w:tcPr>
            <w:tcW w:w="1075" w:type="dxa"/>
          </w:tcPr>
          <w:p w14:paraId="2617BD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1172</w:t>
            </w:r>
          </w:p>
        </w:tc>
        <w:tc>
          <w:tcPr>
            <w:tcW w:w="1267" w:type="dxa"/>
          </w:tcPr>
          <w:p w14:paraId="77D621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336</w:t>
            </w:r>
          </w:p>
        </w:tc>
        <w:tc>
          <w:tcPr>
            <w:tcW w:w="1190" w:type="dxa"/>
          </w:tcPr>
          <w:p w14:paraId="6CDF37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22,3</w:t>
            </w:r>
          </w:p>
        </w:tc>
      </w:tr>
      <w:tr w:rsidR="00561F31" w:rsidRPr="00F90EAE" w14:paraId="6F7263AA" w14:textId="77777777">
        <w:trPr>
          <w:trHeight w:val="202"/>
        </w:trPr>
        <w:tc>
          <w:tcPr>
            <w:tcW w:w="2266" w:type="dxa"/>
          </w:tcPr>
          <w:p w14:paraId="1B2351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тыловых частях ВВС КА:</w:t>
            </w:r>
          </w:p>
        </w:tc>
        <w:tc>
          <w:tcPr>
            <w:tcW w:w="931" w:type="dxa"/>
          </w:tcPr>
          <w:p w14:paraId="34E7D6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75" w:type="dxa"/>
          </w:tcPr>
          <w:p w14:paraId="3D1BDF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Pr>
          <w:p w14:paraId="7167D7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90" w:type="dxa"/>
          </w:tcPr>
          <w:p w14:paraId="37B32A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B8899CF" w14:textId="77777777">
        <w:trPr>
          <w:trHeight w:val="202"/>
        </w:trPr>
        <w:tc>
          <w:tcPr>
            <w:tcW w:w="2266" w:type="dxa"/>
          </w:tcPr>
          <w:p w14:paraId="126651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с-тов Ла-5 АШ-82ФН</w:t>
            </w:r>
          </w:p>
        </w:tc>
        <w:tc>
          <w:tcPr>
            <w:tcW w:w="931" w:type="dxa"/>
          </w:tcPr>
          <w:p w14:paraId="7A53F5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412</w:t>
            </w:r>
          </w:p>
        </w:tc>
        <w:tc>
          <w:tcPr>
            <w:tcW w:w="1075" w:type="dxa"/>
          </w:tcPr>
          <w:p w14:paraId="01F38B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301</w:t>
            </w:r>
          </w:p>
        </w:tc>
        <w:tc>
          <w:tcPr>
            <w:tcW w:w="1267" w:type="dxa"/>
          </w:tcPr>
          <w:p w14:paraId="77485B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111</w:t>
            </w:r>
          </w:p>
        </w:tc>
        <w:tc>
          <w:tcPr>
            <w:tcW w:w="1190" w:type="dxa"/>
          </w:tcPr>
          <w:p w14:paraId="2DEEC1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w:t>
            </w:r>
          </w:p>
        </w:tc>
      </w:tr>
      <w:tr w:rsidR="00561F31" w:rsidRPr="00F90EAE" w14:paraId="70252892" w14:textId="77777777">
        <w:trPr>
          <w:trHeight w:val="202"/>
        </w:trPr>
        <w:tc>
          <w:tcPr>
            <w:tcW w:w="2266" w:type="dxa"/>
          </w:tcPr>
          <w:p w14:paraId="028168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с-тов Ла-7 АШ-82ФН</w:t>
            </w:r>
          </w:p>
        </w:tc>
        <w:tc>
          <w:tcPr>
            <w:tcW w:w="931" w:type="dxa"/>
          </w:tcPr>
          <w:p w14:paraId="398469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458</w:t>
            </w:r>
          </w:p>
        </w:tc>
        <w:tc>
          <w:tcPr>
            <w:tcW w:w="1075" w:type="dxa"/>
          </w:tcPr>
          <w:p w14:paraId="27DE46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439</w:t>
            </w:r>
          </w:p>
        </w:tc>
        <w:tc>
          <w:tcPr>
            <w:tcW w:w="1267" w:type="dxa"/>
          </w:tcPr>
          <w:p w14:paraId="153496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w:t>
            </w:r>
          </w:p>
        </w:tc>
        <w:tc>
          <w:tcPr>
            <w:tcW w:w="1190" w:type="dxa"/>
          </w:tcPr>
          <w:p w14:paraId="1D80C5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w:t>
            </w:r>
          </w:p>
        </w:tc>
      </w:tr>
      <w:tr w:rsidR="00561F31" w:rsidRPr="00F90EAE" w14:paraId="1BEEC087" w14:textId="77777777">
        <w:trPr>
          <w:trHeight w:val="278"/>
        </w:trPr>
        <w:tc>
          <w:tcPr>
            <w:tcW w:w="2266" w:type="dxa"/>
            <w:tcBorders>
              <w:bottom w:val="single" w:sz="12" w:space="0" w:color="auto"/>
            </w:tcBorders>
          </w:tcPr>
          <w:p w14:paraId="5C9252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31" w:type="dxa"/>
            <w:tcBorders>
              <w:bottom w:val="single" w:sz="12" w:space="0" w:color="auto"/>
            </w:tcBorders>
          </w:tcPr>
          <w:p w14:paraId="7483A7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870</w:t>
            </w:r>
          </w:p>
        </w:tc>
        <w:tc>
          <w:tcPr>
            <w:tcW w:w="1075" w:type="dxa"/>
            <w:tcBorders>
              <w:bottom w:val="single" w:sz="12" w:space="0" w:color="auto"/>
            </w:tcBorders>
          </w:tcPr>
          <w:p w14:paraId="79C991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740</w:t>
            </w:r>
          </w:p>
        </w:tc>
        <w:tc>
          <w:tcPr>
            <w:tcW w:w="1267" w:type="dxa"/>
            <w:tcBorders>
              <w:bottom w:val="single" w:sz="12" w:space="0" w:color="auto"/>
            </w:tcBorders>
          </w:tcPr>
          <w:p w14:paraId="44CCC7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w:t>
            </w:r>
          </w:p>
        </w:tc>
        <w:tc>
          <w:tcPr>
            <w:tcW w:w="1190" w:type="dxa"/>
            <w:tcBorders>
              <w:bottom w:val="single" w:sz="12" w:space="0" w:color="auto"/>
            </w:tcBorders>
          </w:tcPr>
          <w:p w14:paraId="7F05C8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14,9</w:t>
            </w:r>
          </w:p>
        </w:tc>
      </w:tr>
    </w:tbl>
    <w:p w14:paraId="315CAE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числа неисправных 320 само</w:t>
      </w:r>
      <w:r w:rsidRPr="00F90EAE">
        <w:rPr>
          <w:color w:val="000000" w:themeColor="text1"/>
          <w:sz w:val="16"/>
          <w:szCs w:val="16"/>
        </w:rPr>
        <w:softHyphen/>
        <w:t>летов Ла-5 АШ-82ФН и 146 само</w:t>
      </w:r>
      <w:r w:rsidRPr="00F90EAE">
        <w:rPr>
          <w:color w:val="000000" w:themeColor="text1"/>
          <w:sz w:val="16"/>
          <w:szCs w:val="16"/>
        </w:rPr>
        <w:softHyphen/>
        <w:t>летов Ла-7 АШ-82ФН, т.е. 466 са</w:t>
      </w:r>
      <w:r w:rsidRPr="00F90EAE">
        <w:rPr>
          <w:color w:val="000000" w:themeColor="text1"/>
          <w:sz w:val="16"/>
          <w:szCs w:val="16"/>
        </w:rPr>
        <w:softHyphen/>
        <w:t>молетов с мотором АШ-82ФН, 203 самолета неисправны из-за мото</w:t>
      </w:r>
      <w:r w:rsidRPr="00F90EAE">
        <w:rPr>
          <w:color w:val="000000" w:themeColor="text1"/>
          <w:sz w:val="16"/>
          <w:szCs w:val="16"/>
        </w:rPr>
        <w:softHyphen/>
        <w:t>ров, что составляет 8,5% к всему парку самолетов Ла-5 и Ла-7...</w:t>
      </w:r>
    </w:p>
    <w:p w14:paraId="4B9476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Положение с моторами АШ-82ФН будет оставаться тяжелым, если нам не будет оказана со стороны НКАП действенная помощь реаль</w:t>
      </w:r>
      <w:r w:rsidRPr="00F90EAE">
        <w:rPr>
          <w:color w:val="000000" w:themeColor="text1"/>
          <w:sz w:val="16"/>
          <w:szCs w:val="16"/>
        </w:rPr>
        <w:softHyphen/>
        <w:t>ной поставкой запасных частей, и в первую очередь, цилиндров, а также самих моторов.</w:t>
      </w:r>
    </w:p>
    <w:p w14:paraId="19931C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характеристики положения обеспеченности ВВС моторами АШ-82 и запчастями к ним, привожу сле</w:t>
      </w:r>
      <w:r w:rsidRPr="00F90EAE">
        <w:rPr>
          <w:color w:val="000000" w:themeColor="text1"/>
          <w:sz w:val="16"/>
          <w:szCs w:val="16"/>
        </w:rPr>
        <w:softHyphen/>
        <w:t>дующую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561F31" w:rsidRPr="00F90EAE" w14:paraId="63A6D59F" w14:textId="77777777">
        <w:tc>
          <w:tcPr>
            <w:tcW w:w="2394" w:type="dxa"/>
            <w:tcBorders>
              <w:top w:val="single" w:sz="12" w:space="0" w:color="auto"/>
            </w:tcBorders>
          </w:tcPr>
          <w:p w14:paraId="3BC24B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2394" w:type="dxa"/>
            <w:tcBorders>
              <w:top w:val="single" w:sz="12" w:space="0" w:color="auto"/>
            </w:tcBorders>
          </w:tcPr>
          <w:p w14:paraId="27D2EE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Фактическая потребность ВВС КА на 1 кв. 1945 г</w:t>
            </w:r>
          </w:p>
        </w:tc>
        <w:tc>
          <w:tcPr>
            <w:tcW w:w="2394" w:type="dxa"/>
            <w:tcBorders>
              <w:top w:val="single" w:sz="12" w:space="0" w:color="auto"/>
            </w:tcBorders>
          </w:tcPr>
          <w:p w14:paraId="622026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Принято к поставке НКАП в 1 кв. 1945 г.</w:t>
            </w:r>
          </w:p>
        </w:tc>
        <w:tc>
          <w:tcPr>
            <w:tcW w:w="2394" w:type="dxa"/>
            <w:tcBorders>
              <w:top w:val="single" w:sz="12" w:space="0" w:color="auto"/>
            </w:tcBorders>
          </w:tcPr>
          <w:p w14:paraId="067222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Поставлено НКАП в январе 1945 г.</w:t>
            </w:r>
          </w:p>
        </w:tc>
      </w:tr>
      <w:tr w:rsidR="00561F31" w:rsidRPr="00F90EAE" w14:paraId="6ACEC3FA" w14:textId="77777777">
        <w:tc>
          <w:tcPr>
            <w:tcW w:w="2394" w:type="dxa"/>
          </w:tcPr>
          <w:p w14:paraId="125E26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Моторы АШ-82ФН ред. 11/16 </w:t>
            </w:r>
          </w:p>
        </w:tc>
        <w:tc>
          <w:tcPr>
            <w:tcW w:w="2394" w:type="dxa"/>
          </w:tcPr>
          <w:p w14:paraId="41065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400 </w:t>
            </w:r>
          </w:p>
        </w:tc>
        <w:tc>
          <w:tcPr>
            <w:tcW w:w="2394" w:type="dxa"/>
          </w:tcPr>
          <w:p w14:paraId="2A79BA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w:t>
            </w:r>
          </w:p>
        </w:tc>
        <w:tc>
          <w:tcPr>
            <w:tcW w:w="2394" w:type="dxa"/>
          </w:tcPr>
          <w:p w14:paraId="1AEF56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45A2100D" w14:textId="77777777">
        <w:tc>
          <w:tcPr>
            <w:tcW w:w="2394" w:type="dxa"/>
          </w:tcPr>
          <w:p w14:paraId="19413F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Моторы АШ-82ФН ред. 9/16 </w:t>
            </w:r>
          </w:p>
        </w:tc>
        <w:tc>
          <w:tcPr>
            <w:tcW w:w="2394" w:type="dxa"/>
          </w:tcPr>
          <w:p w14:paraId="7724C7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250 </w:t>
            </w:r>
          </w:p>
        </w:tc>
        <w:tc>
          <w:tcPr>
            <w:tcW w:w="2394" w:type="dxa"/>
          </w:tcPr>
          <w:p w14:paraId="590580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tc>
        <w:tc>
          <w:tcPr>
            <w:tcW w:w="2394" w:type="dxa"/>
          </w:tcPr>
          <w:p w14:paraId="432D8D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tc>
      </w:tr>
      <w:tr w:rsidR="00561F31" w:rsidRPr="00F90EAE" w14:paraId="0CD5EFDC" w14:textId="77777777">
        <w:tc>
          <w:tcPr>
            <w:tcW w:w="2394" w:type="dxa"/>
            <w:tcBorders>
              <w:bottom w:val="single" w:sz="12" w:space="0" w:color="auto"/>
            </w:tcBorders>
          </w:tcPr>
          <w:p w14:paraId="754E9E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Цилиндры мотора АШ-82ФН</w:t>
            </w:r>
          </w:p>
        </w:tc>
        <w:tc>
          <w:tcPr>
            <w:tcW w:w="2394" w:type="dxa"/>
            <w:tcBorders>
              <w:bottom w:val="single" w:sz="12" w:space="0" w:color="auto"/>
            </w:tcBorders>
          </w:tcPr>
          <w:p w14:paraId="6423CE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10664</w:t>
            </w:r>
          </w:p>
        </w:tc>
        <w:tc>
          <w:tcPr>
            <w:tcW w:w="2394" w:type="dxa"/>
            <w:tcBorders>
              <w:bottom w:val="single" w:sz="12" w:space="0" w:color="auto"/>
            </w:tcBorders>
          </w:tcPr>
          <w:p w14:paraId="4CBA8B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4520</w:t>
            </w:r>
          </w:p>
        </w:tc>
        <w:tc>
          <w:tcPr>
            <w:tcW w:w="2394" w:type="dxa"/>
            <w:tcBorders>
              <w:bottom w:val="single" w:sz="12" w:space="0" w:color="auto"/>
            </w:tcBorders>
          </w:tcPr>
          <w:p w14:paraId="2B76EF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1518</w:t>
            </w:r>
          </w:p>
        </w:tc>
      </w:tr>
    </w:tbl>
    <w:p w14:paraId="065F71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для увеличения вы</w:t>
      </w:r>
      <w:r w:rsidRPr="00F90EAE">
        <w:rPr>
          <w:color w:val="000000" w:themeColor="text1"/>
          <w:sz w:val="16"/>
          <w:szCs w:val="16"/>
        </w:rPr>
        <w:softHyphen/>
        <w:t>пуска авиационных моторов из ка</w:t>
      </w:r>
      <w:r w:rsidRPr="00F90EAE">
        <w:rPr>
          <w:color w:val="000000" w:themeColor="text1"/>
          <w:sz w:val="16"/>
          <w:szCs w:val="16"/>
        </w:rPr>
        <w:softHyphen/>
        <w:t>питального ремонта требуется отпуск авиамастерским электроэнергии и хромового ангидрида. То и другое не</w:t>
      </w:r>
      <w:r w:rsidRPr="00F90EAE">
        <w:rPr>
          <w:color w:val="000000" w:themeColor="text1"/>
          <w:sz w:val="16"/>
          <w:szCs w:val="16"/>
        </w:rPr>
        <w:softHyphen/>
        <w:t>обходимо для восстановления цилин</w:t>
      </w:r>
      <w:r w:rsidRPr="00F90EAE">
        <w:rPr>
          <w:color w:val="000000" w:themeColor="text1"/>
          <w:sz w:val="16"/>
          <w:szCs w:val="16"/>
        </w:rPr>
        <w:softHyphen/>
        <w:t>дров хромированием.</w:t>
      </w:r>
    </w:p>
    <w:p w14:paraId="16A0D6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месяце большинство ма</w:t>
      </w:r>
      <w:r w:rsidRPr="00F90EAE">
        <w:rPr>
          <w:color w:val="000000" w:themeColor="text1"/>
          <w:sz w:val="16"/>
          <w:szCs w:val="16"/>
        </w:rPr>
        <w:softHyphen/>
        <w:t>стерских работало с плохой загруз</w:t>
      </w:r>
      <w:r w:rsidRPr="00F90EAE">
        <w:rPr>
          <w:color w:val="000000" w:themeColor="text1"/>
          <w:sz w:val="16"/>
          <w:szCs w:val="16"/>
        </w:rPr>
        <w:softHyphen/>
        <w:t>кой станочного парка из-за непода</w:t>
      </w:r>
      <w:r w:rsidRPr="00F90EAE">
        <w:rPr>
          <w:color w:val="000000" w:themeColor="text1"/>
          <w:sz w:val="16"/>
          <w:szCs w:val="16"/>
        </w:rPr>
        <w:softHyphen/>
        <w:t>чи электроэнергии, а хромового ан</w:t>
      </w:r>
      <w:r w:rsidRPr="00F90EAE">
        <w:rPr>
          <w:color w:val="000000" w:themeColor="text1"/>
          <w:sz w:val="16"/>
          <w:szCs w:val="16"/>
        </w:rPr>
        <w:softHyphen/>
        <w:t>гидрида в январе получили от про</w:t>
      </w:r>
      <w:r w:rsidRPr="00F90EAE">
        <w:rPr>
          <w:color w:val="000000" w:themeColor="text1"/>
          <w:sz w:val="16"/>
          <w:szCs w:val="16"/>
        </w:rPr>
        <w:softHyphen/>
        <w:t>мышленности вместо утвержденного постановлением ГОКО на I кв. 1945 г. - 30000 кгр, всего 1500 кгр» (10730).</w:t>
      </w:r>
    </w:p>
    <w:p w14:paraId="334B05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01411BB" w14:textId="77777777" w:rsidR="00DB43FF" w:rsidRPr="00F90EAE" w:rsidRDefault="00DB43FF" w:rsidP="00F90EAE">
      <w:pPr>
        <w:tabs>
          <w:tab w:val="left" w:pos="5146"/>
        </w:tabs>
        <w:jc w:val="both"/>
        <w:rPr>
          <w:color w:val="000000" w:themeColor="text1"/>
          <w:sz w:val="16"/>
          <w:szCs w:val="16"/>
        </w:rPr>
      </w:pPr>
      <w:r w:rsidRPr="00F90EAE">
        <w:rPr>
          <w:color w:val="000000" w:themeColor="text1"/>
          <w:sz w:val="16"/>
          <w:szCs w:val="16"/>
        </w:rPr>
        <w:t>10 февраля 1945 г. из доклада Главного инженера ВВС КА А.К. Репина А.А. Новико</w:t>
      </w:r>
      <w:r w:rsidRPr="00F90EAE">
        <w:rPr>
          <w:color w:val="000000" w:themeColor="text1"/>
          <w:sz w:val="16"/>
          <w:szCs w:val="16"/>
        </w:rPr>
        <w:softHyphen/>
        <w:t>ву:</w:t>
      </w:r>
    </w:p>
    <w:p w14:paraId="7CF90B58" w14:textId="77777777" w:rsidR="00DB43FF" w:rsidRPr="00F90EAE" w:rsidRDefault="00DB43FF" w:rsidP="00F90EAE">
      <w:pPr>
        <w:tabs>
          <w:tab w:val="left" w:pos="5146"/>
        </w:tabs>
        <w:jc w:val="both"/>
        <w:rPr>
          <w:color w:val="000000" w:themeColor="text1"/>
          <w:sz w:val="16"/>
          <w:szCs w:val="16"/>
        </w:rPr>
      </w:pPr>
      <w:r w:rsidRPr="00F90EAE">
        <w:rPr>
          <w:color w:val="000000" w:themeColor="text1"/>
          <w:sz w:val="16"/>
          <w:szCs w:val="16"/>
        </w:rPr>
        <w:t>«Докладываю о состоянии парка самолётов Ла-5 и Ла-7 с моторами АШ-82ФН, по состоянию на 1.2.45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448"/>
        <w:gridCol w:w="778"/>
        <w:gridCol w:w="1387"/>
        <w:gridCol w:w="1714"/>
        <w:gridCol w:w="1066"/>
      </w:tblGrid>
      <w:tr w:rsidR="00561F31" w:rsidRPr="00F90EAE" w14:paraId="0CC70C39" w14:textId="77777777" w:rsidTr="000F49EC">
        <w:trPr>
          <w:trHeight w:val="221"/>
        </w:trPr>
        <w:tc>
          <w:tcPr>
            <w:tcW w:w="2448" w:type="dxa"/>
            <w:shd w:val="clear" w:color="auto" w:fill="FFFFFF"/>
          </w:tcPr>
          <w:p w14:paraId="79353C0E" w14:textId="77777777" w:rsidR="00DB43FF" w:rsidRPr="00F90EAE" w:rsidRDefault="00DB43FF" w:rsidP="00F90EAE">
            <w:pPr>
              <w:jc w:val="both"/>
              <w:rPr>
                <w:color w:val="000000" w:themeColor="text1"/>
                <w:sz w:val="16"/>
                <w:szCs w:val="16"/>
              </w:rPr>
            </w:pPr>
          </w:p>
        </w:tc>
        <w:tc>
          <w:tcPr>
            <w:tcW w:w="778" w:type="dxa"/>
            <w:shd w:val="clear" w:color="auto" w:fill="FFFFFF"/>
          </w:tcPr>
          <w:p w14:paraId="0A4DE67E"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Всего</w:t>
            </w:r>
          </w:p>
        </w:tc>
        <w:tc>
          <w:tcPr>
            <w:tcW w:w="1387" w:type="dxa"/>
            <w:shd w:val="clear" w:color="auto" w:fill="FFFFFF"/>
          </w:tcPr>
          <w:p w14:paraId="6990178F"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Исправных</w:t>
            </w:r>
          </w:p>
        </w:tc>
        <w:tc>
          <w:tcPr>
            <w:tcW w:w="1714" w:type="dxa"/>
            <w:shd w:val="clear" w:color="auto" w:fill="FFFFFF"/>
          </w:tcPr>
          <w:p w14:paraId="57E4B418"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 xml:space="preserve">Неисправных </w:t>
            </w:r>
            <w:r w:rsidRPr="00F90EAE">
              <w:rPr>
                <w:rFonts w:ascii="Times New Roman" w:hAnsi="Times New Roman"/>
                <w:color w:val="000000" w:themeColor="text1"/>
                <w:spacing w:val="0"/>
                <w:sz w:val="16"/>
                <w:szCs w:val="16"/>
                <w:vertAlign w:val="superscript"/>
              </w:rPr>
              <w:t>1</w:t>
            </w:r>
          </w:p>
        </w:tc>
        <w:tc>
          <w:tcPr>
            <w:tcW w:w="1066" w:type="dxa"/>
            <w:shd w:val="clear" w:color="auto" w:fill="FFFFFF"/>
          </w:tcPr>
          <w:p w14:paraId="7BDDF32D"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 неиспра!</w:t>
            </w:r>
          </w:p>
        </w:tc>
      </w:tr>
      <w:tr w:rsidR="00561F31" w:rsidRPr="00F90EAE" w14:paraId="283CF0C3" w14:textId="77777777" w:rsidTr="000F49EC">
        <w:trPr>
          <w:trHeight w:val="216"/>
        </w:trPr>
        <w:tc>
          <w:tcPr>
            <w:tcW w:w="2448" w:type="dxa"/>
            <w:shd w:val="clear" w:color="auto" w:fill="FFFFFF"/>
          </w:tcPr>
          <w:p w14:paraId="4B2C9862" w14:textId="77777777" w:rsidR="00DB43FF" w:rsidRPr="00F90EAE" w:rsidRDefault="00DB43FF" w:rsidP="00F90EAE">
            <w:pPr>
              <w:jc w:val="both"/>
              <w:rPr>
                <w:color w:val="000000" w:themeColor="text1"/>
                <w:sz w:val="16"/>
                <w:szCs w:val="16"/>
              </w:rPr>
            </w:pPr>
            <w:r w:rsidRPr="00F90EAE">
              <w:rPr>
                <w:color w:val="000000" w:themeColor="text1"/>
                <w:sz w:val="16"/>
                <w:szCs w:val="16"/>
              </w:rPr>
              <w:t>В частях Действ. Армии</w:t>
            </w:r>
          </w:p>
        </w:tc>
        <w:tc>
          <w:tcPr>
            <w:tcW w:w="778" w:type="dxa"/>
            <w:shd w:val="clear" w:color="auto" w:fill="FFFFFF"/>
          </w:tcPr>
          <w:p w14:paraId="08DED1DB" w14:textId="77777777" w:rsidR="00DB43FF" w:rsidRPr="00F90EAE" w:rsidRDefault="00DB43FF" w:rsidP="00F90EAE">
            <w:pPr>
              <w:jc w:val="both"/>
              <w:rPr>
                <w:color w:val="000000" w:themeColor="text1"/>
                <w:sz w:val="16"/>
                <w:szCs w:val="16"/>
              </w:rPr>
            </w:pPr>
          </w:p>
        </w:tc>
        <w:tc>
          <w:tcPr>
            <w:tcW w:w="1387" w:type="dxa"/>
            <w:shd w:val="clear" w:color="auto" w:fill="FFFFFF"/>
          </w:tcPr>
          <w:p w14:paraId="67256166" w14:textId="77777777" w:rsidR="00DB43FF" w:rsidRPr="00F90EAE" w:rsidRDefault="00DB43FF" w:rsidP="00F90EAE">
            <w:pPr>
              <w:jc w:val="both"/>
              <w:rPr>
                <w:color w:val="000000" w:themeColor="text1"/>
                <w:sz w:val="16"/>
                <w:szCs w:val="16"/>
              </w:rPr>
            </w:pPr>
          </w:p>
        </w:tc>
        <w:tc>
          <w:tcPr>
            <w:tcW w:w="1714" w:type="dxa"/>
            <w:shd w:val="clear" w:color="auto" w:fill="FFFFFF"/>
          </w:tcPr>
          <w:p w14:paraId="201671A7" w14:textId="77777777" w:rsidR="00DB43FF" w:rsidRPr="00F90EAE" w:rsidRDefault="00DB43FF" w:rsidP="00F90EAE">
            <w:pPr>
              <w:jc w:val="both"/>
              <w:rPr>
                <w:color w:val="000000" w:themeColor="text1"/>
                <w:sz w:val="16"/>
                <w:szCs w:val="16"/>
              </w:rPr>
            </w:pPr>
          </w:p>
        </w:tc>
        <w:tc>
          <w:tcPr>
            <w:tcW w:w="1066" w:type="dxa"/>
            <w:shd w:val="clear" w:color="auto" w:fill="FFFFFF"/>
          </w:tcPr>
          <w:p w14:paraId="1812E737" w14:textId="77777777" w:rsidR="00DB43FF" w:rsidRPr="00F90EAE" w:rsidRDefault="00DB43FF" w:rsidP="00F90EAE">
            <w:pPr>
              <w:jc w:val="both"/>
              <w:rPr>
                <w:color w:val="000000" w:themeColor="text1"/>
                <w:sz w:val="16"/>
                <w:szCs w:val="16"/>
              </w:rPr>
            </w:pPr>
          </w:p>
        </w:tc>
      </w:tr>
      <w:tr w:rsidR="00561F31" w:rsidRPr="00F90EAE" w14:paraId="1CA40988" w14:textId="77777777" w:rsidTr="000F49EC">
        <w:trPr>
          <w:trHeight w:val="216"/>
        </w:trPr>
        <w:tc>
          <w:tcPr>
            <w:tcW w:w="2448" w:type="dxa"/>
            <w:shd w:val="clear" w:color="auto" w:fill="FFFFFF"/>
          </w:tcPr>
          <w:p w14:paraId="44ED4321" w14:textId="77777777" w:rsidR="00DB43FF" w:rsidRPr="00F90EAE" w:rsidRDefault="00DB43FF" w:rsidP="00F90EAE">
            <w:pPr>
              <w:jc w:val="both"/>
              <w:rPr>
                <w:color w:val="000000" w:themeColor="text1"/>
                <w:sz w:val="16"/>
                <w:szCs w:val="16"/>
              </w:rPr>
            </w:pPr>
            <w:r w:rsidRPr="00F90EAE">
              <w:rPr>
                <w:color w:val="000000" w:themeColor="text1"/>
                <w:sz w:val="16"/>
                <w:szCs w:val="16"/>
              </w:rPr>
              <w:t>с-тов Ла-5 АШ-82ФН</w:t>
            </w:r>
          </w:p>
        </w:tc>
        <w:tc>
          <w:tcPr>
            <w:tcW w:w="778" w:type="dxa"/>
            <w:shd w:val="clear" w:color="auto" w:fill="FFFFFF"/>
          </w:tcPr>
          <w:p w14:paraId="5D351E1B" w14:textId="77777777" w:rsidR="00DB43FF" w:rsidRPr="00F90EAE" w:rsidRDefault="00DB43FF" w:rsidP="00F90EAE">
            <w:pPr>
              <w:jc w:val="both"/>
              <w:rPr>
                <w:color w:val="000000" w:themeColor="text1"/>
                <w:sz w:val="16"/>
                <w:szCs w:val="16"/>
              </w:rPr>
            </w:pPr>
            <w:r w:rsidRPr="00F90EAE">
              <w:rPr>
                <w:color w:val="000000" w:themeColor="text1"/>
                <w:sz w:val="16"/>
                <w:szCs w:val="16"/>
              </w:rPr>
              <w:t>1075</w:t>
            </w:r>
          </w:p>
        </w:tc>
        <w:tc>
          <w:tcPr>
            <w:tcW w:w="1387" w:type="dxa"/>
            <w:shd w:val="clear" w:color="auto" w:fill="FFFFFF"/>
          </w:tcPr>
          <w:p w14:paraId="59D0D8D5" w14:textId="77777777" w:rsidR="00DB43FF" w:rsidRPr="00F90EAE" w:rsidRDefault="00DB43FF" w:rsidP="00F90EAE">
            <w:pPr>
              <w:jc w:val="both"/>
              <w:rPr>
                <w:color w:val="000000" w:themeColor="text1"/>
                <w:sz w:val="16"/>
                <w:szCs w:val="16"/>
              </w:rPr>
            </w:pPr>
            <w:r w:rsidRPr="00F90EAE">
              <w:rPr>
                <w:color w:val="000000" w:themeColor="text1"/>
                <w:sz w:val="16"/>
                <w:szCs w:val="16"/>
              </w:rPr>
              <w:t>866</w:t>
            </w:r>
          </w:p>
        </w:tc>
        <w:tc>
          <w:tcPr>
            <w:tcW w:w="1714" w:type="dxa"/>
            <w:shd w:val="clear" w:color="auto" w:fill="FFFFFF"/>
          </w:tcPr>
          <w:p w14:paraId="3C1B5A37" w14:textId="77777777" w:rsidR="00DB43FF" w:rsidRPr="00F90EAE" w:rsidRDefault="00DB43FF" w:rsidP="00F90EAE">
            <w:pPr>
              <w:jc w:val="both"/>
              <w:rPr>
                <w:color w:val="000000" w:themeColor="text1"/>
                <w:sz w:val="16"/>
                <w:szCs w:val="16"/>
              </w:rPr>
            </w:pPr>
            <w:r w:rsidRPr="00F90EAE">
              <w:rPr>
                <w:color w:val="000000" w:themeColor="text1"/>
                <w:sz w:val="16"/>
                <w:szCs w:val="16"/>
              </w:rPr>
              <w:t>209</w:t>
            </w:r>
          </w:p>
        </w:tc>
        <w:tc>
          <w:tcPr>
            <w:tcW w:w="1066" w:type="dxa"/>
            <w:shd w:val="clear" w:color="auto" w:fill="FFFFFF"/>
          </w:tcPr>
          <w:p w14:paraId="0060CCF8" w14:textId="77777777" w:rsidR="00DB43FF" w:rsidRPr="00F90EAE" w:rsidRDefault="00DB43FF" w:rsidP="00F90EAE">
            <w:pPr>
              <w:jc w:val="both"/>
              <w:rPr>
                <w:color w:val="000000" w:themeColor="text1"/>
                <w:sz w:val="16"/>
                <w:szCs w:val="16"/>
              </w:rPr>
            </w:pPr>
            <w:r w:rsidRPr="00F90EAE">
              <w:rPr>
                <w:color w:val="000000" w:themeColor="text1"/>
                <w:sz w:val="16"/>
                <w:szCs w:val="16"/>
              </w:rPr>
              <w:t>19,5</w:t>
            </w:r>
          </w:p>
        </w:tc>
      </w:tr>
      <w:tr w:rsidR="00561F31" w:rsidRPr="00F90EAE" w14:paraId="145C6F41" w14:textId="77777777" w:rsidTr="000F49EC">
        <w:trPr>
          <w:trHeight w:val="216"/>
        </w:trPr>
        <w:tc>
          <w:tcPr>
            <w:tcW w:w="2448" w:type="dxa"/>
            <w:shd w:val="clear" w:color="auto" w:fill="FFFFFF"/>
          </w:tcPr>
          <w:p w14:paraId="5C0E6C2A" w14:textId="77777777" w:rsidR="00DB43FF" w:rsidRPr="00F90EAE" w:rsidRDefault="00DB43FF" w:rsidP="00F90EAE">
            <w:pPr>
              <w:jc w:val="both"/>
              <w:rPr>
                <w:color w:val="000000" w:themeColor="text1"/>
                <w:sz w:val="16"/>
                <w:szCs w:val="16"/>
              </w:rPr>
            </w:pPr>
            <w:r w:rsidRPr="00F90EAE">
              <w:rPr>
                <w:color w:val="000000" w:themeColor="text1"/>
                <w:sz w:val="16"/>
                <w:szCs w:val="16"/>
              </w:rPr>
              <w:t>с-тов Ла-7 АШ-82ФН</w:t>
            </w:r>
          </w:p>
        </w:tc>
        <w:tc>
          <w:tcPr>
            <w:tcW w:w="778" w:type="dxa"/>
            <w:shd w:val="clear" w:color="auto" w:fill="FFFFFF"/>
          </w:tcPr>
          <w:p w14:paraId="3058739B" w14:textId="77777777" w:rsidR="00DB43FF" w:rsidRPr="00F90EAE" w:rsidRDefault="00DB43FF" w:rsidP="00F90EAE">
            <w:pPr>
              <w:jc w:val="both"/>
              <w:rPr>
                <w:color w:val="000000" w:themeColor="text1"/>
                <w:sz w:val="16"/>
                <w:szCs w:val="16"/>
              </w:rPr>
            </w:pPr>
            <w:r w:rsidRPr="00F90EAE">
              <w:rPr>
                <w:color w:val="000000" w:themeColor="text1"/>
                <w:sz w:val="16"/>
                <w:szCs w:val="16"/>
              </w:rPr>
              <w:t>433</w:t>
            </w:r>
          </w:p>
        </w:tc>
        <w:tc>
          <w:tcPr>
            <w:tcW w:w="1387" w:type="dxa"/>
            <w:shd w:val="clear" w:color="auto" w:fill="FFFFFF"/>
          </w:tcPr>
          <w:p w14:paraId="4C57CDCF" w14:textId="77777777" w:rsidR="00DB43FF" w:rsidRPr="00F90EAE" w:rsidRDefault="00DB43FF" w:rsidP="00F90EAE">
            <w:pPr>
              <w:jc w:val="both"/>
              <w:rPr>
                <w:color w:val="000000" w:themeColor="text1"/>
                <w:sz w:val="16"/>
                <w:szCs w:val="16"/>
              </w:rPr>
            </w:pPr>
            <w:r w:rsidRPr="00F90EAE">
              <w:rPr>
                <w:color w:val="000000" w:themeColor="text1"/>
                <w:sz w:val="16"/>
                <w:szCs w:val="16"/>
              </w:rPr>
              <w:t>306</w:t>
            </w:r>
          </w:p>
        </w:tc>
        <w:tc>
          <w:tcPr>
            <w:tcW w:w="1714" w:type="dxa"/>
            <w:shd w:val="clear" w:color="auto" w:fill="FFFFFF"/>
          </w:tcPr>
          <w:p w14:paraId="5F7F697F" w14:textId="77777777" w:rsidR="00DB43FF" w:rsidRPr="00F90EAE" w:rsidRDefault="00DB43FF" w:rsidP="00F90EAE">
            <w:pPr>
              <w:jc w:val="both"/>
              <w:rPr>
                <w:color w:val="000000" w:themeColor="text1"/>
                <w:sz w:val="16"/>
                <w:szCs w:val="16"/>
              </w:rPr>
            </w:pPr>
            <w:r w:rsidRPr="00F90EAE">
              <w:rPr>
                <w:color w:val="000000" w:themeColor="text1"/>
                <w:sz w:val="16"/>
                <w:szCs w:val="16"/>
              </w:rPr>
              <w:t>127</w:t>
            </w:r>
          </w:p>
        </w:tc>
        <w:tc>
          <w:tcPr>
            <w:tcW w:w="1066" w:type="dxa"/>
            <w:shd w:val="clear" w:color="auto" w:fill="FFFFFF"/>
          </w:tcPr>
          <w:p w14:paraId="35FF0B2C" w14:textId="77777777" w:rsidR="00DB43FF" w:rsidRPr="00F90EAE" w:rsidRDefault="00DB43FF" w:rsidP="00F90EAE">
            <w:pPr>
              <w:jc w:val="both"/>
              <w:rPr>
                <w:color w:val="000000" w:themeColor="text1"/>
                <w:sz w:val="16"/>
                <w:szCs w:val="16"/>
              </w:rPr>
            </w:pPr>
            <w:r w:rsidRPr="00F90EAE">
              <w:rPr>
                <w:color w:val="000000" w:themeColor="text1"/>
                <w:sz w:val="16"/>
                <w:szCs w:val="16"/>
              </w:rPr>
              <w:t>29,3</w:t>
            </w:r>
          </w:p>
        </w:tc>
      </w:tr>
      <w:tr w:rsidR="00561F31" w:rsidRPr="00F90EAE" w14:paraId="6D70B99B" w14:textId="77777777" w:rsidTr="000F49EC">
        <w:trPr>
          <w:trHeight w:val="221"/>
        </w:trPr>
        <w:tc>
          <w:tcPr>
            <w:tcW w:w="2448" w:type="dxa"/>
            <w:shd w:val="clear" w:color="auto" w:fill="FFFFFF"/>
          </w:tcPr>
          <w:p w14:paraId="3924C30A"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Всего:</w:t>
            </w:r>
          </w:p>
        </w:tc>
        <w:tc>
          <w:tcPr>
            <w:tcW w:w="778" w:type="dxa"/>
            <w:shd w:val="clear" w:color="auto" w:fill="FFFFFF"/>
          </w:tcPr>
          <w:p w14:paraId="525B39D6"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1508</w:t>
            </w:r>
          </w:p>
        </w:tc>
        <w:tc>
          <w:tcPr>
            <w:tcW w:w="1387" w:type="dxa"/>
            <w:shd w:val="clear" w:color="auto" w:fill="FFFFFF"/>
          </w:tcPr>
          <w:p w14:paraId="10C6B377"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1172</w:t>
            </w:r>
          </w:p>
        </w:tc>
        <w:tc>
          <w:tcPr>
            <w:tcW w:w="1714" w:type="dxa"/>
            <w:shd w:val="clear" w:color="auto" w:fill="FFFFFF"/>
          </w:tcPr>
          <w:p w14:paraId="31DFA536"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336</w:t>
            </w:r>
          </w:p>
        </w:tc>
        <w:tc>
          <w:tcPr>
            <w:tcW w:w="1066" w:type="dxa"/>
            <w:shd w:val="clear" w:color="auto" w:fill="FFFFFF"/>
          </w:tcPr>
          <w:p w14:paraId="6BD1DF4F"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22,3</w:t>
            </w:r>
          </w:p>
        </w:tc>
      </w:tr>
      <w:tr w:rsidR="00561F31" w:rsidRPr="00F90EAE" w14:paraId="280A70F7" w14:textId="77777777" w:rsidTr="000F49EC">
        <w:trPr>
          <w:trHeight w:val="216"/>
        </w:trPr>
        <w:tc>
          <w:tcPr>
            <w:tcW w:w="2448" w:type="dxa"/>
            <w:shd w:val="clear" w:color="auto" w:fill="FFFFFF"/>
          </w:tcPr>
          <w:p w14:paraId="188D5C55" w14:textId="77777777" w:rsidR="00DB43FF" w:rsidRPr="00F90EAE" w:rsidRDefault="00DB43FF" w:rsidP="00F90EAE">
            <w:pPr>
              <w:jc w:val="both"/>
              <w:rPr>
                <w:color w:val="000000" w:themeColor="text1"/>
                <w:sz w:val="16"/>
                <w:szCs w:val="16"/>
              </w:rPr>
            </w:pPr>
            <w:r w:rsidRPr="00F90EAE">
              <w:rPr>
                <w:color w:val="000000" w:themeColor="text1"/>
                <w:sz w:val="16"/>
                <w:szCs w:val="16"/>
              </w:rPr>
              <w:t>В тыловых частях ВВС КА</w:t>
            </w:r>
          </w:p>
        </w:tc>
        <w:tc>
          <w:tcPr>
            <w:tcW w:w="778" w:type="dxa"/>
            <w:shd w:val="clear" w:color="auto" w:fill="FFFFFF"/>
          </w:tcPr>
          <w:p w14:paraId="021BE773" w14:textId="77777777" w:rsidR="00DB43FF" w:rsidRPr="00F90EAE" w:rsidRDefault="00DB43FF" w:rsidP="00F90EAE">
            <w:pPr>
              <w:jc w:val="both"/>
              <w:rPr>
                <w:color w:val="000000" w:themeColor="text1"/>
                <w:sz w:val="16"/>
                <w:szCs w:val="16"/>
              </w:rPr>
            </w:pPr>
          </w:p>
        </w:tc>
        <w:tc>
          <w:tcPr>
            <w:tcW w:w="1387" w:type="dxa"/>
            <w:shd w:val="clear" w:color="auto" w:fill="FFFFFF"/>
          </w:tcPr>
          <w:p w14:paraId="038ACD98" w14:textId="77777777" w:rsidR="00DB43FF" w:rsidRPr="00F90EAE" w:rsidRDefault="00DB43FF" w:rsidP="00F90EAE">
            <w:pPr>
              <w:jc w:val="both"/>
              <w:rPr>
                <w:color w:val="000000" w:themeColor="text1"/>
                <w:sz w:val="16"/>
                <w:szCs w:val="16"/>
              </w:rPr>
            </w:pPr>
          </w:p>
        </w:tc>
        <w:tc>
          <w:tcPr>
            <w:tcW w:w="1714" w:type="dxa"/>
            <w:shd w:val="clear" w:color="auto" w:fill="FFFFFF"/>
          </w:tcPr>
          <w:p w14:paraId="7EFDF724" w14:textId="77777777" w:rsidR="00DB43FF" w:rsidRPr="00F90EAE" w:rsidRDefault="00DB43FF" w:rsidP="00F90EAE">
            <w:pPr>
              <w:jc w:val="both"/>
              <w:rPr>
                <w:color w:val="000000" w:themeColor="text1"/>
                <w:sz w:val="16"/>
                <w:szCs w:val="16"/>
              </w:rPr>
            </w:pPr>
          </w:p>
        </w:tc>
        <w:tc>
          <w:tcPr>
            <w:tcW w:w="1066" w:type="dxa"/>
            <w:shd w:val="clear" w:color="auto" w:fill="FFFFFF"/>
          </w:tcPr>
          <w:p w14:paraId="6FFF1661" w14:textId="77777777" w:rsidR="00DB43FF" w:rsidRPr="00F90EAE" w:rsidRDefault="00DB43FF" w:rsidP="00F90EAE">
            <w:pPr>
              <w:jc w:val="both"/>
              <w:rPr>
                <w:color w:val="000000" w:themeColor="text1"/>
                <w:sz w:val="16"/>
                <w:szCs w:val="16"/>
              </w:rPr>
            </w:pPr>
          </w:p>
        </w:tc>
      </w:tr>
      <w:tr w:rsidR="00561F31" w:rsidRPr="00F90EAE" w14:paraId="18B026DA" w14:textId="77777777" w:rsidTr="000F49EC">
        <w:trPr>
          <w:trHeight w:val="216"/>
        </w:trPr>
        <w:tc>
          <w:tcPr>
            <w:tcW w:w="2448" w:type="dxa"/>
            <w:shd w:val="clear" w:color="auto" w:fill="FFFFFF"/>
          </w:tcPr>
          <w:p w14:paraId="339C7299" w14:textId="77777777" w:rsidR="00DB43FF" w:rsidRPr="00F90EAE" w:rsidRDefault="00DB43FF" w:rsidP="00F90EAE">
            <w:pPr>
              <w:jc w:val="both"/>
              <w:rPr>
                <w:color w:val="000000" w:themeColor="text1"/>
                <w:sz w:val="16"/>
                <w:szCs w:val="16"/>
              </w:rPr>
            </w:pPr>
            <w:r w:rsidRPr="00F90EAE">
              <w:rPr>
                <w:color w:val="000000" w:themeColor="text1"/>
                <w:sz w:val="16"/>
                <w:szCs w:val="16"/>
              </w:rPr>
              <w:lastRenderedPageBreak/>
              <w:t>с-тов Ла-5 АШ-82ФН</w:t>
            </w:r>
          </w:p>
        </w:tc>
        <w:tc>
          <w:tcPr>
            <w:tcW w:w="778" w:type="dxa"/>
            <w:shd w:val="clear" w:color="auto" w:fill="FFFFFF"/>
          </w:tcPr>
          <w:p w14:paraId="13E51A45" w14:textId="77777777" w:rsidR="00DB43FF" w:rsidRPr="00F90EAE" w:rsidRDefault="00DB43FF" w:rsidP="00F90EAE">
            <w:pPr>
              <w:jc w:val="both"/>
              <w:rPr>
                <w:color w:val="000000" w:themeColor="text1"/>
                <w:sz w:val="16"/>
                <w:szCs w:val="16"/>
              </w:rPr>
            </w:pPr>
            <w:r w:rsidRPr="00F90EAE">
              <w:rPr>
                <w:color w:val="000000" w:themeColor="text1"/>
                <w:sz w:val="16"/>
                <w:szCs w:val="16"/>
              </w:rPr>
              <w:t>412</w:t>
            </w:r>
          </w:p>
        </w:tc>
        <w:tc>
          <w:tcPr>
            <w:tcW w:w="1387" w:type="dxa"/>
            <w:shd w:val="clear" w:color="auto" w:fill="FFFFFF"/>
          </w:tcPr>
          <w:p w14:paraId="572D95DE" w14:textId="77777777" w:rsidR="00DB43FF" w:rsidRPr="00F90EAE" w:rsidRDefault="00DB43FF" w:rsidP="00F90EAE">
            <w:pPr>
              <w:jc w:val="both"/>
              <w:rPr>
                <w:color w:val="000000" w:themeColor="text1"/>
                <w:sz w:val="16"/>
                <w:szCs w:val="16"/>
              </w:rPr>
            </w:pPr>
            <w:r w:rsidRPr="00F90EAE">
              <w:rPr>
                <w:color w:val="000000" w:themeColor="text1"/>
                <w:sz w:val="16"/>
                <w:szCs w:val="16"/>
              </w:rPr>
              <w:t>301</w:t>
            </w:r>
          </w:p>
        </w:tc>
        <w:tc>
          <w:tcPr>
            <w:tcW w:w="1714" w:type="dxa"/>
            <w:shd w:val="clear" w:color="auto" w:fill="FFFFFF"/>
          </w:tcPr>
          <w:p w14:paraId="0ADB4676" w14:textId="77777777" w:rsidR="00DB43FF" w:rsidRPr="00F90EAE" w:rsidRDefault="00DB43FF" w:rsidP="00F90EAE">
            <w:pPr>
              <w:jc w:val="both"/>
              <w:rPr>
                <w:color w:val="000000" w:themeColor="text1"/>
                <w:sz w:val="16"/>
                <w:szCs w:val="16"/>
              </w:rPr>
            </w:pPr>
            <w:r w:rsidRPr="00F90EAE">
              <w:rPr>
                <w:color w:val="000000" w:themeColor="text1"/>
                <w:sz w:val="16"/>
                <w:szCs w:val="16"/>
              </w:rPr>
              <w:t>111</w:t>
            </w:r>
          </w:p>
        </w:tc>
        <w:tc>
          <w:tcPr>
            <w:tcW w:w="1066" w:type="dxa"/>
            <w:shd w:val="clear" w:color="auto" w:fill="FFFFFF"/>
          </w:tcPr>
          <w:p w14:paraId="192AC40F" w14:textId="77777777" w:rsidR="00DB43FF" w:rsidRPr="00F90EAE" w:rsidRDefault="00DB43FF" w:rsidP="00F90EAE">
            <w:pPr>
              <w:jc w:val="both"/>
              <w:rPr>
                <w:color w:val="000000" w:themeColor="text1"/>
                <w:sz w:val="16"/>
                <w:szCs w:val="16"/>
              </w:rPr>
            </w:pPr>
            <w:r w:rsidRPr="00F90EAE">
              <w:rPr>
                <w:color w:val="000000" w:themeColor="text1"/>
                <w:sz w:val="16"/>
                <w:szCs w:val="16"/>
              </w:rPr>
              <w:t>27,0</w:t>
            </w:r>
          </w:p>
        </w:tc>
      </w:tr>
      <w:tr w:rsidR="00561F31" w:rsidRPr="00F90EAE" w14:paraId="52261D88" w14:textId="77777777" w:rsidTr="000F49EC">
        <w:trPr>
          <w:trHeight w:val="226"/>
        </w:trPr>
        <w:tc>
          <w:tcPr>
            <w:tcW w:w="2448" w:type="dxa"/>
            <w:shd w:val="clear" w:color="auto" w:fill="FFFFFF"/>
          </w:tcPr>
          <w:p w14:paraId="38CF43E6" w14:textId="77777777" w:rsidR="00DB43FF" w:rsidRPr="00F90EAE" w:rsidRDefault="00DB43FF" w:rsidP="00F90EAE">
            <w:pPr>
              <w:jc w:val="both"/>
              <w:rPr>
                <w:color w:val="000000" w:themeColor="text1"/>
                <w:sz w:val="16"/>
                <w:szCs w:val="16"/>
              </w:rPr>
            </w:pPr>
            <w:r w:rsidRPr="00F90EAE">
              <w:rPr>
                <w:color w:val="000000" w:themeColor="text1"/>
                <w:sz w:val="16"/>
                <w:szCs w:val="16"/>
              </w:rPr>
              <w:t>с-тов Ла-7 АШ-82ФН</w:t>
            </w:r>
          </w:p>
        </w:tc>
        <w:tc>
          <w:tcPr>
            <w:tcW w:w="778" w:type="dxa"/>
            <w:shd w:val="clear" w:color="auto" w:fill="FFFFFF"/>
          </w:tcPr>
          <w:p w14:paraId="026CAC12" w14:textId="77777777" w:rsidR="00DB43FF" w:rsidRPr="00F90EAE" w:rsidRDefault="00DB43FF" w:rsidP="00F90EAE">
            <w:pPr>
              <w:jc w:val="both"/>
              <w:rPr>
                <w:color w:val="000000" w:themeColor="text1"/>
                <w:sz w:val="16"/>
                <w:szCs w:val="16"/>
              </w:rPr>
            </w:pPr>
            <w:r w:rsidRPr="00F90EAE">
              <w:rPr>
                <w:color w:val="000000" w:themeColor="text1"/>
                <w:sz w:val="16"/>
                <w:szCs w:val="16"/>
              </w:rPr>
              <w:t>458</w:t>
            </w:r>
          </w:p>
        </w:tc>
        <w:tc>
          <w:tcPr>
            <w:tcW w:w="1387" w:type="dxa"/>
            <w:shd w:val="clear" w:color="auto" w:fill="FFFFFF"/>
          </w:tcPr>
          <w:p w14:paraId="1E11D607" w14:textId="77777777" w:rsidR="00DB43FF" w:rsidRPr="00F90EAE" w:rsidRDefault="00DB43FF" w:rsidP="00F90EAE">
            <w:pPr>
              <w:jc w:val="both"/>
              <w:rPr>
                <w:color w:val="000000" w:themeColor="text1"/>
                <w:sz w:val="16"/>
                <w:szCs w:val="16"/>
              </w:rPr>
            </w:pPr>
            <w:r w:rsidRPr="00F90EAE">
              <w:rPr>
                <w:color w:val="000000" w:themeColor="text1"/>
                <w:sz w:val="16"/>
                <w:szCs w:val="16"/>
              </w:rPr>
              <w:t>439</w:t>
            </w:r>
          </w:p>
        </w:tc>
        <w:tc>
          <w:tcPr>
            <w:tcW w:w="1714" w:type="dxa"/>
            <w:shd w:val="clear" w:color="auto" w:fill="FFFFFF"/>
          </w:tcPr>
          <w:p w14:paraId="2D4C99D2" w14:textId="77777777" w:rsidR="00DB43FF" w:rsidRPr="00F90EAE" w:rsidRDefault="00DB43FF" w:rsidP="00F90EAE">
            <w:pPr>
              <w:jc w:val="both"/>
              <w:rPr>
                <w:color w:val="000000" w:themeColor="text1"/>
                <w:sz w:val="16"/>
                <w:szCs w:val="16"/>
              </w:rPr>
            </w:pPr>
            <w:r w:rsidRPr="00F90EAE">
              <w:rPr>
                <w:color w:val="000000" w:themeColor="text1"/>
                <w:sz w:val="16"/>
                <w:szCs w:val="16"/>
              </w:rPr>
              <w:t>19</w:t>
            </w:r>
          </w:p>
        </w:tc>
        <w:tc>
          <w:tcPr>
            <w:tcW w:w="1066" w:type="dxa"/>
            <w:shd w:val="clear" w:color="auto" w:fill="FFFFFF"/>
          </w:tcPr>
          <w:p w14:paraId="6EB5DE82" w14:textId="77777777" w:rsidR="00DB43FF" w:rsidRPr="00F90EAE" w:rsidRDefault="00DB43FF" w:rsidP="00F90EAE">
            <w:pPr>
              <w:jc w:val="both"/>
              <w:rPr>
                <w:color w:val="000000" w:themeColor="text1"/>
                <w:sz w:val="16"/>
                <w:szCs w:val="16"/>
              </w:rPr>
            </w:pPr>
            <w:r w:rsidRPr="00F90EAE">
              <w:rPr>
                <w:color w:val="000000" w:themeColor="text1"/>
                <w:sz w:val="16"/>
                <w:szCs w:val="16"/>
              </w:rPr>
              <w:t>4,1</w:t>
            </w:r>
          </w:p>
        </w:tc>
      </w:tr>
      <w:tr w:rsidR="00561F31" w:rsidRPr="00F90EAE" w14:paraId="7B0AE6DC" w14:textId="77777777" w:rsidTr="000F49EC">
        <w:trPr>
          <w:trHeight w:val="245"/>
        </w:trPr>
        <w:tc>
          <w:tcPr>
            <w:tcW w:w="2448" w:type="dxa"/>
            <w:shd w:val="clear" w:color="auto" w:fill="FFFFFF"/>
          </w:tcPr>
          <w:p w14:paraId="1B47D16F"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Всего:</w:t>
            </w:r>
          </w:p>
        </w:tc>
        <w:tc>
          <w:tcPr>
            <w:tcW w:w="778" w:type="dxa"/>
            <w:shd w:val="clear" w:color="auto" w:fill="FFFFFF"/>
          </w:tcPr>
          <w:p w14:paraId="2D3A5FCC"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870</w:t>
            </w:r>
          </w:p>
        </w:tc>
        <w:tc>
          <w:tcPr>
            <w:tcW w:w="1387" w:type="dxa"/>
            <w:shd w:val="clear" w:color="auto" w:fill="FFFFFF"/>
          </w:tcPr>
          <w:p w14:paraId="3379F219"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740</w:t>
            </w:r>
          </w:p>
        </w:tc>
        <w:tc>
          <w:tcPr>
            <w:tcW w:w="1714" w:type="dxa"/>
            <w:shd w:val="clear" w:color="auto" w:fill="FFFFFF"/>
          </w:tcPr>
          <w:p w14:paraId="68496C84"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130</w:t>
            </w:r>
          </w:p>
        </w:tc>
        <w:tc>
          <w:tcPr>
            <w:tcW w:w="1066" w:type="dxa"/>
            <w:shd w:val="clear" w:color="auto" w:fill="FFFFFF"/>
          </w:tcPr>
          <w:p w14:paraId="63D4F013" w14:textId="77777777" w:rsidR="00DB43FF" w:rsidRPr="00F90EAE" w:rsidRDefault="00DB43FF"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14,9</w:t>
            </w:r>
          </w:p>
        </w:tc>
      </w:tr>
    </w:tbl>
    <w:p w14:paraId="6C477D94" w14:textId="77777777" w:rsidR="00DB43FF" w:rsidRPr="00F90EAE" w:rsidRDefault="00DB43FF" w:rsidP="00F90EAE">
      <w:pPr>
        <w:tabs>
          <w:tab w:val="left" w:pos="5061"/>
          <w:tab w:val="left" w:pos="6659"/>
        </w:tabs>
        <w:jc w:val="both"/>
        <w:rPr>
          <w:color w:val="000000" w:themeColor="text1"/>
          <w:sz w:val="16"/>
          <w:szCs w:val="16"/>
        </w:rPr>
      </w:pPr>
      <w:r w:rsidRPr="00F90EAE">
        <w:rPr>
          <w:color w:val="000000" w:themeColor="text1"/>
          <w:sz w:val="16"/>
          <w:szCs w:val="16"/>
        </w:rPr>
        <w:t xml:space="preserve">Из числа неисправных 320 самолётов Ла-5 АШ-82ФН и 146 самолётов Ла-7 АШ-82ФН, т.е. 466 самолётов с мотором АШ-82ФН, 203 самолёта неисправны из-за моторов, что составляет 8,5% к всему парку самолётов Ла-5 и Ла-7. </w:t>
      </w:r>
    </w:p>
    <w:p w14:paraId="0DA99A1E" w14:textId="77777777" w:rsidR="00DB43FF" w:rsidRPr="00F90EAE" w:rsidRDefault="00DB43FF" w:rsidP="00F90EAE">
      <w:pPr>
        <w:jc w:val="both"/>
        <w:rPr>
          <w:color w:val="000000" w:themeColor="text1"/>
          <w:sz w:val="16"/>
          <w:szCs w:val="16"/>
        </w:rPr>
      </w:pPr>
      <w:r w:rsidRPr="00F90EAE">
        <w:rPr>
          <w:color w:val="000000" w:themeColor="text1"/>
          <w:sz w:val="16"/>
          <w:szCs w:val="16"/>
        </w:rPr>
        <w:t>Для характеристики обеспеченности ВВС привожу следующую таблицу: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126"/>
        <w:gridCol w:w="1985"/>
        <w:gridCol w:w="1984"/>
      </w:tblGrid>
      <w:tr w:rsidR="00561F31" w:rsidRPr="00F90EAE" w14:paraId="0A32AA0B" w14:textId="77777777" w:rsidTr="008741BA">
        <w:tc>
          <w:tcPr>
            <w:tcW w:w="2547" w:type="dxa"/>
            <w:shd w:val="clear" w:color="auto" w:fill="auto"/>
          </w:tcPr>
          <w:p w14:paraId="3E8A3469" w14:textId="77777777" w:rsidR="00DB43FF" w:rsidRPr="00F90EAE" w:rsidRDefault="00DB43FF" w:rsidP="00F90EAE">
            <w:pPr>
              <w:jc w:val="both"/>
              <w:rPr>
                <w:color w:val="000000" w:themeColor="text1"/>
                <w:sz w:val="16"/>
                <w:szCs w:val="16"/>
              </w:rPr>
            </w:pPr>
            <w:r w:rsidRPr="00F90EAE">
              <w:rPr>
                <w:color w:val="000000" w:themeColor="text1"/>
                <w:sz w:val="16"/>
                <w:szCs w:val="16"/>
              </w:rPr>
              <w:t>Наименование</w:t>
            </w:r>
          </w:p>
        </w:tc>
        <w:tc>
          <w:tcPr>
            <w:tcW w:w="2126" w:type="dxa"/>
            <w:shd w:val="clear" w:color="auto" w:fill="auto"/>
          </w:tcPr>
          <w:p w14:paraId="57096CDF" w14:textId="77777777" w:rsidR="00DB43FF" w:rsidRPr="00F90EAE" w:rsidRDefault="00DB43FF" w:rsidP="00F90EAE">
            <w:pPr>
              <w:jc w:val="both"/>
              <w:rPr>
                <w:color w:val="000000" w:themeColor="text1"/>
                <w:sz w:val="16"/>
                <w:szCs w:val="16"/>
              </w:rPr>
            </w:pPr>
            <w:r w:rsidRPr="00F90EAE">
              <w:rPr>
                <w:color w:val="000000" w:themeColor="text1"/>
                <w:sz w:val="16"/>
                <w:szCs w:val="16"/>
              </w:rPr>
              <w:t>Фактическая потребность ВВС КА на 1 кв. 1945 г.</w:t>
            </w:r>
          </w:p>
        </w:tc>
        <w:tc>
          <w:tcPr>
            <w:tcW w:w="1985" w:type="dxa"/>
            <w:shd w:val="clear" w:color="auto" w:fill="auto"/>
          </w:tcPr>
          <w:p w14:paraId="1FA280DA" w14:textId="77777777" w:rsidR="00DB43FF" w:rsidRPr="00F90EAE" w:rsidRDefault="00DB43FF" w:rsidP="00F90EAE">
            <w:pPr>
              <w:jc w:val="both"/>
              <w:rPr>
                <w:color w:val="000000" w:themeColor="text1"/>
                <w:sz w:val="16"/>
                <w:szCs w:val="16"/>
              </w:rPr>
            </w:pPr>
            <w:r w:rsidRPr="00F90EAE">
              <w:rPr>
                <w:color w:val="000000" w:themeColor="text1"/>
                <w:sz w:val="16"/>
                <w:szCs w:val="16"/>
              </w:rPr>
              <w:t>Принято к поставке НКАП в 1 кв. 1945 г.</w:t>
            </w:r>
          </w:p>
        </w:tc>
        <w:tc>
          <w:tcPr>
            <w:tcW w:w="1984" w:type="dxa"/>
            <w:shd w:val="clear" w:color="auto" w:fill="auto"/>
          </w:tcPr>
          <w:p w14:paraId="3835FCDE" w14:textId="77777777" w:rsidR="00DB43FF" w:rsidRPr="00F90EAE" w:rsidRDefault="00DB43FF" w:rsidP="00F90EAE">
            <w:pPr>
              <w:jc w:val="both"/>
              <w:rPr>
                <w:color w:val="000000" w:themeColor="text1"/>
                <w:sz w:val="16"/>
                <w:szCs w:val="16"/>
              </w:rPr>
            </w:pPr>
            <w:r w:rsidRPr="00F90EAE">
              <w:rPr>
                <w:color w:val="000000" w:themeColor="text1"/>
                <w:sz w:val="16"/>
                <w:szCs w:val="16"/>
              </w:rPr>
              <w:t xml:space="preserve">Поставлено </w:t>
            </w:r>
            <w:bookmarkStart w:id="1" w:name="bookmark13"/>
            <w:r w:rsidRPr="00F90EAE">
              <w:rPr>
                <w:color w:val="000000" w:themeColor="text1"/>
                <w:sz w:val="16"/>
                <w:szCs w:val="16"/>
              </w:rPr>
              <w:t>НКАП в янв. 1945 г.</w:t>
            </w:r>
            <w:bookmarkEnd w:id="1"/>
          </w:p>
        </w:tc>
      </w:tr>
      <w:tr w:rsidR="00561F31" w:rsidRPr="00F90EAE" w14:paraId="6F08055C" w14:textId="77777777" w:rsidTr="008741BA">
        <w:tc>
          <w:tcPr>
            <w:tcW w:w="2547" w:type="dxa"/>
            <w:shd w:val="clear" w:color="auto" w:fill="auto"/>
          </w:tcPr>
          <w:p w14:paraId="54B20FDB" w14:textId="77777777" w:rsidR="00DB43FF" w:rsidRPr="00F90EAE" w:rsidRDefault="00DB43FF" w:rsidP="00F90EAE">
            <w:pPr>
              <w:jc w:val="both"/>
              <w:rPr>
                <w:color w:val="000000" w:themeColor="text1"/>
                <w:sz w:val="16"/>
                <w:szCs w:val="16"/>
              </w:rPr>
            </w:pPr>
            <w:r w:rsidRPr="00F90EAE">
              <w:rPr>
                <w:color w:val="000000" w:themeColor="text1"/>
                <w:sz w:val="16"/>
                <w:szCs w:val="16"/>
              </w:rPr>
              <w:t>Моторы АШ-82ФН ред. 11/16</w:t>
            </w:r>
          </w:p>
        </w:tc>
        <w:tc>
          <w:tcPr>
            <w:tcW w:w="2126" w:type="dxa"/>
            <w:shd w:val="clear" w:color="auto" w:fill="auto"/>
          </w:tcPr>
          <w:p w14:paraId="4E1736AD" w14:textId="77777777" w:rsidR="00DB43FF" w:rsidRPr="00F90EAE" w:rsidRDefault="00DB43FF" w:rsidP="00F90EAE">
            <w:pPr>
              <w:jc w:val="both"/>
              <w:rPr>
                <w:color w:val="000000" w:themeColor="text1"/>
                <w:sz w:val="16"/>
                <w:szCs w:val="16"/>
              </w:rPr>
            </w:pPr>
            <w:r w:rsidRPr="00F90EAE">
              <w:rPr>
                <w:color w:val="000000" w:themeColor="text1"/>
                <w:sz w:val="16"/>
                <w:szCs w:val="16"/>
              </w:rPr>
              <w:t>400</w:t>
            </w:r>
          </w:p>
        </w:tc>
        <w:tc>
          <w:tcPr>
            <w:tcW w:w="1985" w:type="dxa"/>
            <w:shd w:val="clear" w:color="auto" w:fill="auto"/>
          </w:tcPr>
          <w:p w14:paraId="6B9956D3" w14:textId="77777777" w:rsidR="00DB43FF" w:rsidRPr="00F90EAE" w:rsidRDefault="00DB43FF" w:rsidP="00F90EAE">
            <w:pPr>
              <w:jc w:val="both"/>
              <w:rPr>
                <w:color w:val="000000" w:themeColor="text1"/>
                <w:sz w:val="16"/>
                <w:szCs w:val="16"/>
              </w:rPr>
            </w:pPr>
            <w:r w:rsidRPr="00F90EAE">
              <w:rPr>
                <w:color w:val="000000" w:themeColor="text1"/>
                <w:sz w:val="16"/>
                <w:szCs w:val="16"/>
              </w:rPr>
              <w:t>55</w:t>
            </w:r>
          </w:p>
        </w:tc>
        <w:tc>
          <w:tcPr>
            <w:tcW w:w="1984" w:type="dxa"/>
            <w:shd w:val="clear" w:color="auto" w:fill="auto"/>
          </w:tcPr>
          <w:p w14:paraId="74A4BD88" w14:textId="77777777" w:rsidR="00DB43FF" w:rsidRPr="00F90EAE" w:rsidRDefault="00DB43FF" w:rsidP="00F90EAE">
            <w:pPr>
              <w:jc w:val="both"/>
              <w:rPr>
                <w:color w:val="000000" w:themeColor="text1"/>
                <w:sz w:val="16"/>
                <w:szCs w:val="16"/>
              </w:rPr>
            </w:pPr>
            <w:r w:rsidRPr="00F90EAE">
              <w:rPr>
                <w:color w:val="000000" w:themeColor="text1"/>
                <w:sz w:val="16"/>
                <w:szCs w:val="16"/>
              </w:rPr>
              <w:t>10</w:t>
            </w:r>
          </w:p>
        </w:tc>
      </w:tr>
      <w:tr w:rsidR="00561F31" w:rsidRPr="00F90EAE" w14:paraId="1F97338D" w14:textId="77777777" w:rsidTr="008741BA">
        <w:tc>
          <w:tcPr>
            <w:tcW w:w="2547" w:type="dxa"/>
            <w:shd w:val="clear" w:color="auto" w:fill="auto"/>
          </w:tcPr>
          <w:p w14:paraId="21C29D79" w14:textId="77777777" w:rsidR="00DB43FF" w:rsidRPr="00F90EAE" w:rsidRDefault="00DB43FF" w:rsidP="00F90EAE">
            <w:pPr>
              <w:jc w:val="both"/>
              <w:rPr>
                <w:color w:val="000000" w:themeColor="text1"/>
                <w:sz w:val="16"/>
                <w:szCs w:val="16"/>
              </w:rPr>
            </w:pPr>
            <w:r w:rsidRPr="00F90EAE">
              <w:rPr>
                <w:color w:val="000000" w:themeColor="text1"/>
                <w:sz w:val="16"/>
                <w:szCs w:val="16"/>
              </w:rPr>
              <w:t>Моторы АШ-82ФН ред. 9/16</w:t>
            </w:r>
          </w:p>
        </w:tc>
        <w:tc>
          <w:tcPr>
            <w:tcW w:w="2126" w:type="dxa"/>
            <w:shd w:val="clear" w:color="auto" w:fill="auto"/>
          </w:tcPr>
          <w:p w14:paraId="421FF8F5" w14:textId="77777777" w:rsidR="00DB43FF" w:rsidRPr="00F90EAE" w:rsidRDefault="00DB43FF" w:rsidP="00F90EAE">
            <w:pPr>
              <w:jc w:val="both"/>
              <w:rPr>
                <w:color w:val="000000" w:themeColor="text1"/>
                <w:sz w:val="16"/>
                <w:szCs w:val="16"/>
              </w:rPr>
            </w:pPr>
            <w:r w:rsidRPr="00F90EAE">
              <w:rPr>
                <w:color w:val="000000" w:themeColor="text1"/>
                <w:sz w:val="16"/>
                <w:szCs w:val="16"/>
              </w:rPr>
              <w:t>250</w:t>
            </w:r>
          </w:p>
        </w:tc>
        <w:tc>
          <w:tcPr>
            <w:tcW w:w="1985" w:type="dxa"/>
            <w:shd w:val="clear" w:color="auto" w:fill="auto"/>
          </w:tcPr>
          <w:p w14:paraId="5F9EAC37" w14:textId="77777777" w:rsidR="00DB43FF" w:rsidRPr="00F90EAE" w:rsidRDefault="00DB43FF" w:rsidP="00F90EAE">
            <w:pPr>
              <w:jc w:val="both"/>
              <w:rPr>
                <w:color w:val="000000" w:themeColor="text1"/>
                <w:sz w:val="16"/>
                <w:szCs w:val="16"/>
              </w:rPr>
            </w:pPr>
            <w:r w:rsidRPr="00F90EAE">
              <w:rPr>
                <w:color w:val="000000" w:themeColor="text1"/>
                <w:sz w:val="16"/>
                <w:szCs w:val="16"/>
              </w:rPr>
              <w:t>35</w:t>
            </w:r>
          </w:p>
        </w:tc>
        <w:tc>
          <w:tcPr>
            <w:tcW w:w="1984" w:type="dxa"/>
            <w:shd w:val="clear" w:color="auto" w:fill="auto"/>
          </w:tcPr>
          <w:p w14:paraId="65419252" w14:textId="77777777" w:rsidR="00DB43FF" w:rsidRPr="00F90EAE" w:rsidRDefault="00DB43FF" w:rsidP="00F90EAE">
            <w:pPr>
              <w:jc w:val="both"/>
              <w:rPr>
                <w:color w:val="000000" w:themeColor="text1"/>
                <w:sz w:val="16"/>
                <w:szCs w:val="16"/>
              </w:rPr>
            </w:pPr>
            <w:r w:rsidRPr="00F90EAE">
              <w:rPr>
                <w:color w:val="000000" w:themeColor="text1"/>
                <w:sz w:val="16"/>
                <w:szCs w:val="16"/>
              </w:rPr>
              <w:t>15</w:t>
            </w:r>
          </w:p>
        </w:tc>
      </w:tr>
      <w:tr w:rsidR="00561F31" w:rsidRPr="00F90EAE" w14:paraId="5DD2F489" w14:textId="77777777" w:rsidTr="008741BA">
        <w:tc>
          <w:tcPr>
            <w:tcW w:w="2547" w:type="dxa"/>
            <w:shd w:val="clear" w:color="auto" w:fill="auto"/>
          </w:tcPr>
          <w:p w14:paraId="06A160F2" w14:textId="77777777" w:rsidR="00DB43FF" w:rsidRPr="00F90EAE" w:rsidRDefault="00DB43FF" w:rsidP="00F90EAE">
            <w:pPr>
              <w:jc w:val="both"/>
              <w:rPr>
                <w:color w:val="000000" w:themeColor="text1"/>
                <w:sz w:val="16"/>
                <w:szCs w:val="16"/>
              </w:rPr>
            </w:pPr>
            <w:r w:rsidRPr="00F90EAE">
              <w:rPr>
                <w:color w:val="000000" w:themeColor="text1"/>
                <w:sz w:val="16"/>
                <w:szCs w:val="16"/>
              </w:rPr>
              <w:t>Цилиндры мотора АШ-82ФН</w:t>
            </w:r>
          </w:p>
        </w:tc>
        <w:tc>
          <w:tcPr>
            <w:tcW w:w="2126" w:type="dxa"/>
            <w:shd w:val="clear" w:color="auto" w:fill="auto"/>
          </w:tcPr>
          <w:p w14:paraId="7810EAA5" w14:textId="77777777" w:rsidR="00DB43FF" w:rsidRPr="00F90EAE" w:rsidRDefault="00DB43FF" w:rsidP="00F90EAE">
            <w:pPr>
              <w:jc w:val="both"/>
              <w:rPr>
                <w:color w:val="000000" w:themeColor="text1"/>
                <w:sz w:val="16"/>
                <w:szCs w:val="16"/>
              </w:rPr>
            </w:pPr>
            <w:r w:rsidRPr="00F90EAE">
              <w:rPr>
                <w:color w:val="000000" w:themeColor="text1"/>
                <w:sz w:val="16"/>
                <w:szCs w:val="16"/>
              </w:rPr>
              <w:t>10664</w:t>
            </w:r>
          </w:p>
        </w:tc>
        <w:tc>
          <w:tcPr>
            <w:tcW w:w="1985" w:type="dxa"/>
            <w:shd w:val="clear" w:color="auto" w:fill="auto"/>
          </w:tcPr>
          <w:p w14:paraId="3C06A7C4" w14:textId="77777777" w:rsidR="00DB43FF" w:rsidRPr="00F90EAE" w:rsidRDefault="00DB43FF" w:rsidP="00F90EAE">
            <w:pPr>
              <w:jc w:val="both"/>
              <w:rPr>
                <w:color w:val="000000" w:themeColor="text1"/>
                <w:sz w:val="16"/>
                <w:szCs w:val="16"/>
              </w:rPr>
            </w:pPr>
            <w:r w:rsidRPr="00F90EAE">
              <w:rPr>
                <w:color w:val="000000" w:themeColor="text1"/>
                <w:sz w:val="16"/>
                <w:szCs w:val="16"/>
              </w:rPr>
              <w:t>4250</w:t>
            </w:r>
          </w:p>
        </w:tc>
        <w:tc>
          <w:tcPr>
            <w:tcW w:w="1984" w:type="dxa"/>
            <w:shd w:val="clear" w:color="auto" w:fill="auto"/>
          </w:tcPr>
          <w:p w14:paraId="665ECC5D" w14:textId="77777777" w:rsidR="00DB43FF" w:rsidRPr="00F90EAE" w:rsidRDefault="00DB43FF" w:rsidP="00F90EAE">
            <w:pPr>
              <w:jc w:val="both"/>
              <w:rPr>
                <w:color w:val="000000" w:themeColor="text1"/>
                <w:sz w:val="16"/>
                <w:szCs w:val="16"/>
              </w:rPr>
            </w:pPr>
            <w:r w:rsidRPr="00F90EAE">
              <w:rPr>
                <w:color w:val="000000" w:themeColor="text1"/>
                <w:sz w:val="16"/>
                <w:szCs w:val="16"/>
              </w:rPr>
              <w:t>1518</w:t>
            </w:r>
          </w:p>
        </w:tc>
      </w:tr>
    </w:tbl>
    <w:p w14:paraId="00FC0311" w14:textId="77777777" w:rsidR="00DB43FF" w:rsidRPr="00F90EAE" w:rsidRDefault="00DB43FF" w:rsidP="00F90EAE">
      <w:pPr>
        <w:jc w:val="both"/>
        <w:rPr>
          <w:color w:val="000000" w:themeColor="text1"/>
          <w:sz w:val="16"/>
          <w:szCs w:val="16"/>
        </w:rPr>
      </w:pPr>
      <w:r w:rsidRPr="00F90EAE">
        <w:rPr>
          <w:color w:val="000000" w:themeColor="text1"/>
          <w:sz w:val="16"/>
          <w:szCs w:val="16"/>
        </w:rPr>
        <w:t>Кроме того, для увеличения выпуска авиационных моторов из капитального ремонта требуется отпуск авиамастерским электроэнергии и хромового ангидрида. То и другое необходимо для восстановления цилиндров хромированием.</w:t>
      </w:r>
    </w:p>
    <w:p w14:paraId="5F0E47BD" w14:textId="77777777" w:rsidR="00DB43FF" w:rsidRPr="00F90EAE" w:rsidRDefault="00DB43FF" w:rsidP="00F90EAE">
      <w:pPr>
        <w:jc w:val="both"/>
        <w:rPr>
          <w:color w:val="000000" w:themeColor="text1"/>
          <w:sz w:val="16"/>
          <w:szCs w:val="16"/>
        </w:rPr>
      </w:pPr>
      <w:r w:rsidRPr="00F90EAE">
        <w:rPr>
          <w:color w:val="000000" w:themeColor="text1"/>
          <w:sz w:val="16"/>
          <w:szCs w:val="16"/>
        </w:rPr>
        <w:t>В январе месяце большинство мастерских работало с плохой загрузкой станочного парка из-за неподачи электроэнергии, а хромового ангидрида в январе получили от про</w:t>
      </w:r>
      <w:r w:rsidRPr="00F90EAE">
        <w:rPr>
          <w:color w:val="000000" w:themeColor="text1"/>
          <w:sz w:val="16"/>
          <w:szCs w:val="16"/>
        </w:rPr>
        <w:softHyphen/>
        <w:t>мышленности вместо утвержденного постановлением ГОКО на I кв. 1945 г. — 30000 кгр, всего 1500 кгр» (15829).</w:t>
      </w:r>
    </w:p>
    <w:p w14:paraId="41E31014" w14:textId="77777777" w:rsidR="00DB43FF" w:rsidRPr="00F90EAE" w:rsidRDefault="00DB43FF" w:rsidP="00F90EAE">
      <w:pPr>
        <w:jc w:val="both"/>
        <w:rPr>
          <w:color w:val="000000" w:themeColor="text1"/>
          <w:sz w:val="16"/>
          <w:szCs w:val="16"/>
        </w:rPr>
      </w:pPr>
    </w:p>
    <w:p w14:paraId="3EEC9C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года П. Дементьев писал письмо зам. председателя СНК Вознесенскому Н.А.</w:t>
      </w:r>
    </w:p>
    <w:p w14:paraId="1631D8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Производственные площади бывш. завода № 49 НКАП были переданы заводу № 26 НКАП.</w:t>
      </w:r>
    </w:p>
    <w:p w14:paraId="11541C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Совнарком Башкирской республики просит передать производственные площади завода № 49 авторемонтному заводу, против чего НКАП не возражает (8959).</w:t>
      </w:r>
    </w:p>
    <w:p w14:paraId="62E4BE40" w14:textId="77777777" w:rsidR="00665165" w:rsidRPr="00F90EAE" w:rsidRDefault="00665165" w:rsidP="00F90EAE">
      <w:pPr>
        <w:autoSpaceDE w:val="0"/>
        <w:autoSpaceDN w:val="0"/>
        <w:adjustRightInd w:val="0"/>
        <w:jc w:val="both"/>
        <w:rPr>
          <w:color w:val="000000" w:themeColor="text1"/>
          <w:sz w:val="16"/>
          <w:szCs w:val="16"/>
        </w:rPr>
      </w:pPr>
    </w:p>
    <w:p w14:paraId="7C638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период с 10 февраля по 1 мая 1945 на базе 5-го гмтап ВВС ЧФ проводились испытания стабилизатора для торпеды СН-45 при скоростях сбрасывания 360-380 км/ч.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114963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476B6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D86F296" w14:textId="77777777" w:rsidR="00665165" w:rsidRPr="00F90EAE" w:rsidRDefault="00665165" w:rsidP="00F90EAE">
      <w:pPr>
        <w:autoSpaceDE w:val="0"/>
        <w:autoSpaceDN w:val="0"/>
        <w:adjustRightInd w:val="0"/>
        <w:jc w:val="both"/>
        <w:rPr>
          <w:color w:val="000000" w:themeColor="text1"/>
          <w:sz w:val="16"/>
          <w:szCs w:val="16"/>
        </w:rPr>
      </w:pPr>
    </w:p>
    <w:p w14:paraId="3D1554F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6692D91" w14:textId="77777777" w:rsidR="00665165" w:rsidRPr="00F90EAE" w:rsidRDefault="00665165" w:rsidP="00F90EAE">
      <w:pPr>
        <w:autoSpaceDE w:val="0"/>
        <w:autoSpaceDN w:val="0"/>
        <w:adjustRightInd w:val="0"/>
        <w:jc w:val="both"/>
        <w:rPr>
          <w:iCs/>
          <w:color w:val="000000" w:themeColor="text1"/>
          <w:sz w:val="16"/>
          <w:szCs w:val="16"/>
        </w:rPr>
      </w:pPr>
    </w:p>
    <w:p w14:paraId="3C0609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7515 О мероприятиях по обеспечению мазутом заводов Наркомтанкопрома в феврале 1945 г. РГАНИР, Фонд ГКО, д. 370, лл. 83-86 (11012).</w:t>
      </w:r>
    </w:p>
    <w:p w14:paraId="4EA5E263" w14:textId="77777777" w:rsidR="00665165" w:rsidRPr="00F90EAE" w:rsidRDefault="00665165" w:rsidP="00F90EAE">
      <w:pPr>
        <w:autoSpaceDE w:val="0"/>
        <w:autoSpaceDN w:val="0"/>
        <w:adjustRightInd w:val="0"/>
        <w:jc w:val="both"/>
        <w:rPr>
          <w:color w:val="000000" w:themeColor="text1"/>
          <w:sz w:val="16"/>
          <w:szCs w:val="16"/>
        </w:rPr>
      </w:pPr>
    </w:p>
    <w:p w14:paraId="4CEAC6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Распоряжение ГКО № 7516. О срочной поставке топлива казанским электростанциям. РГАНИР, Фонд ГКО, д. 370, лл. 87 (11012).</w:t>
      </w:r>
    </w:p>
    <w:p w14:paraId="65D6DACF" w14:textId="77777777" w:rsidR="00665165" w:rsidRPr="00F90EAE" w:rsidRDefault="00665165" w:rsidP="00F90EAE">
      <w:pPr>
        <w:autoSpaceDE w:val="0"/>
        <w:autoSpaceDN w:val="0"/>
        <w:adjustRightInd w:val="0"/>
        <w:jc w:val="both"/>
        <w:rPr>
          <w:color w:val="000000" w:themeColor="text1"/>
          <w:sz w:val="16"/>
          <w:szCs w:val="16"/>
        </w:rPr>
      </w:pPr>
    </w:p>
    <w:p w14:paraId="7E952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7517 О мероприятиях по обеспечению донецким углем Днепродзержинской ГРЭС. РГАНИР, Фонд ГКО, д. 370, лл. 88-89 (11012).</w:t>
      </w:r>
    </w:p>
    <w:p w14:paraId="39FD4450" w14:textId="77777777" w:rsidR="00665165" w:rsidRPr="00F90EAE" w:rsidRDefault="00665165" w:rsidP="00F90EAE">
      <w:pPr>
        <w:autoSpaceDE w:val="0"/>
        <w:autoSpaceDN w:val="0"/>
        <w:adjustRightInd w:val="0"/>
        <w:jc w:val="both"/>
        <w:rPr>
          <w:color w:val="000000" w:themeColor="text1"/>
          <w:sz w:val="16"/>
          <w:szCs w:val="16"/>
        </w:rPr>
      </w:pPr>
    </w:p>
    <w:p w14:paraId="44327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7519 О мероприятиях по обеспечению углем Орской ТЭЦ. РГАНИР, Фонд ГКО, д. 370, лл. 93-95 (11012).</w:t>
      </w:r>
    </w:p>
    <w:p w14:paraId="5E92396C" w14:textId="77777777" w:rsidR="00665165" w:rsidRPr="00F90EAE" w:rsidRDefault="00665165" w:rsidP="00F90EAE">
      <w:pPr>
        <w:autoSpaceDE w:val="0"/>
        <w:autoSpaceDN w:val="0"/>
        <w:adjustRightInd w:val="0"/>
        <w:jc w:val="both"/>
        <w:rPr>
          <w:color w:val="000000" w:themeColor="text1"/>
          <w:sz w:val="16"/>
          <w:szCs w:val="16"/>
        </w:rPr>
      </w:pPr>
    </w:p>
    <w:p w14:paraId="2AB1C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7520 О вывозе трофейного сахара на территорию СССР. РГАНИР, Фонд ГКО, д. 370, лл. 96-97, 98-100 (11012).</w:t>
      </w:r>
    </w:p>
    <w:p w14:paraId="0042EBAA" w14:textId="77777777" w:rsidR="00665165" w:rsidRPr="00F90EAE" w:rsidRDefault="00665165" w:rsidP="00F90EAE">
      <w:pPr>
        <w:autoSpaceDE w:val="0"/>
        <w:autoSpaceDN w:val="0"/>
        <w:adjustRightInd w:val="0"/>
        <w:jc w:val="both"/>
        <w:rPr>
          <w:color w:val="000000" w:themeColor="text1"/>
          <w:sz w:val="16"/>
          <w:szCs w:val="16"/>
        </w:rPr>
      </w:pPr>
    </w:p>
    <w:p w14:paraId="225788A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7521 О неотложных мерах по подготовке Ленинградского торгового порта к навигации 1945 г. (7308, 101-105,106-108).</w:t>
      </w:r>
    </w:p>
    <w:p w14:paraId="1321B1A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EAA279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февраля 1945 вышло Распоряжение ГКО № 7522 [Об изготовлении и поставке электровозов для Криворожского железорудного бассейна.] (7308, 109).</w:t>
      </w:r>
    </w:p>
    <w:p w14:paraId="30BEB63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60F8F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7523 О мерах помощи комбинату "Севкавполиметалл" Наркомцветмета. (7308, 110-112,113-116).</w:t>
      </w:r>
    </w:p>
    <w:p w14:paraId="663C73F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839F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7524 О мероприятиях по обеспечению топливом электростанций Кировэнерго Наркомэлектростанций в I полугодии 1945 года. РГАНИР, Фонд ГКО, д. 370, лл. 117-120, 121-123 (11012).</w:t>
      </w:r>
    </w:p>
    <w:p w14:paraId="2326F40F" w14:textId="77777777" w:rsidR="00665165" w:rsidRPr="00F90EAE" w:rsidRDefault="00665165" w:rsidP="00F90EAE">
      <w:pPr>
        <w:autoSpaceDE w:val="0"/>
        <w:autoSpaceDN w:val="0"/>
        <w:adjustRightInd w:val="0"/>
        <w:jc w:val="both"/>
        <w:rPr>
          <w:color w:val="000000" w:themeColor="text1"/>
          <w:sz w:val="16"/>
          <w:szCs w:val="16"/>
        </w:rPr>
      </w:pPr>
    </w:p>
    <w:p w14:paraId="286D9D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Распоряжение ГКО № 7525. О мерах по обеспечению предприятий НКЧМ строительными материалами. РГАНИР, Фонд ГКО, д. 370, лл. 124, 125-127 (11012).</w:t>
      </w:r>
    </w:p>
    <w:p w14:paraId="1040C864" w14:textId="77777777" w:rsidR="00665165" w:rsidRPr="00F90EAE" w:rsidRDefault="00665165" w:rsidP="00F90EAE">
      <w:pPr>
        <w:autoSpaceDE w:val="0"/>
        <w:autoSpaceDN w:val="0"/>
        <w:adjustRightInd w:val="0"/>
        <w:jc w:val="both"/>
        <w:rPr>
          <w:color w:val="000000" w:themeColor="text1"/>
          <w:sz w:val="16"/>
          <w:szCs w:val="16"/>
        </w:rPr>
      </w:pPr>
    </w:p>
    <w:p w14:paraId="20546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7526 О восстановлении Кегумской гидроэлектростанции в Латвийской ССР. РГАНИР, Фонд ГКО, д. 370, лл. 128-129, 130-134 (11012).</w:t>
      </w:r>
    </w:p>
    <w:p w14:paraId="61CCE812" w14:textId="77777777" w:rsidR="00665165" w:rsidRPr="00F90EAE" w:rsidRDefault="00665165" w:rsidP="00F90EAE">
      <w:pPr>
        <w:autoSpaceDE w:val="0"/>
        <w:autoSpaceDN w:val="0"/>
        <w:adjustRightInd w:val="0"/>
        <w:jc w:val="both"/>
        <w:rPr>
          <w:color w:val="000000" w:themeColor="text1"/>
          <w:sz w:val="16"/>
          <w:szCs w:val="16"/>
        </w:rPr>
      </w:pPr>
    </w:p>
    <w:p w14:paraId="0CEFE9A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AE3BA2E" w14:textId="77777777" w:rsidR="00665165" w:rsidRPr="00F90EAE" w:rsidRDefault="00665165" w:rsidP="00F90EAE">
      <w:pPr>
        <w:autoSpaceDE w:val="0"/>
        <w:autoSpaceDN w:val="0"/>
        <w:adjustRightInd w:val="0"/>
        <w:jc w:val="both"/>
        <w:rPr>
          <w:iCs/>
          <w:color w:val="000000" w:themeColor="text1"/>
          <w:sz w:val="16"/>
          <w:szCs w:val="16"/>
        </w:rPr>
      </w:pPr>
    </w:p>
    <w:p w14:paraId="3D6A62FC" w14:textId="77777777" w:rsidR="00DB43FF" w:rsidRPr="00F90EAE" w:rsidRDefault="00DB43FF" w:rsidP="00F90EAE">
      <w:pPr>
        <w:jc w:val="both"/>
        <w:rPr>
          <w:color w:val="000000" w:themeColor="text1"/>
          <w:sz w:val="16"/>
          <w:szCs w:val="16"/>
        </w:rPr>
      </w:pPr>
      <w:r w:rsidRPr="00F90EAE">
        <w:rPr>
          <w:bCs/>
          <w:color w:val="000000" w:themeColor="text1"/>
          <w:sz w:val="16"/>
          <w:szCs w:val="16"/>
        </w:rPr>
        <w:t>10 февраля</w:t>
      </w:r>
      <w:r w:rsidRPr="00F90EAE">
        <w:rPr>
          <w:color w:val="000000" w:themeColor="text1"/>
          <w:sz w:val="16"/>
          <w:szCs w:val="16"/>
        </w:rPr>
        <w:t xml:space="preserve"> в 1945 году оперативная сводка Совинформбюро:</w:t>
      </w:r>
    </w:p>
    <w:p w14:paraId="35642328"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3-го Белорусского фронта, продолжая наступление, 10 февраля с боем овладели городом Прейсиш Айлау — важным узлом коммуникаций и сильным опорным пунктом обороны немцев в Восточной Пруссии, а также с боями заняли более 30 других населённых пунктов и среди них Глобунен, Тифенталь, Коршеллен, Ваккерн, Родиттен, Шевекен, Топпринен, Галенен.</w:t>
      </w:r>
    </w:p>
    <w:p w14:paraId="5DA5858E"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2-го Белорусского фронта, сломив сопротивление окружённой группировки противника, 10 февраля штурмом овладели городом Эльбинг — крупным узлом коммуникаций и мощным опорным пунктом обороны немцев на правом берегу Вислы, прикрывающим подступы к Данцигской бухте. За 8 и 9 февраля войсками фронта взято в плен свыше 4.300 немецких солдат и офицеров.</w:t>
      </w:r>
    </w:p>
    <w:p w14:paraId="32017220" w14:textId="77777777" w:rsidR="00DB43FF" w:rsidRPr="00F90EAE" w:rsidRDefault="00DB43FF" w:rsidP="00F90EAE">
      <w:pPr>
        <w:jc w:val="both"/>
        <w:rPr>
          <w:color w:val="000000" w:themeColor="text1"/>
          <w:sz w:val="16"/>
          <w:szCs w:val="16"/>
        </w:rPr>
      </w:pPr>
      <w:r w:rsidRPr="00F90EAE">
        <w:rPr>
          <w:color w:val="000000" w:themeColor="text1"/>
          <w:sz w:val="16"/>
          <w:szCs w:val="16"/>
        </w:rPr>
        <w:t>Севернее и северо-западнее города Шнайдемюль наши войска с боями заняли более 40 населённых пунктов, в том числе крупные населённые пункты Кнакзее, Гросс Борн, Редеритц, Хофштедт, Хансфельде, Эккартсберге, Клаусдорф, Штранц, Клайн Накель, Марте, Денцих.</w:t>
      </w:r>
    </w:p>
    <w:p w14:paraId="7C8411C9" w14:textId="77777777" w:rsidR="00DB43FF" w:rsidRPr="00F90EAE" w:rsidRDefault="00DB43FF" w:rsidP="00F90EAE">
      <w:pPr>
        <w:jc w:val="both"/>
        <w:rPr>
          <w:color w:val="000000" w:themeColor="text1"/>
          <w:sz w:val="16"/>
          <w:szCs w:val="16"/>
        </w:rPr>
      </w:pPr>
      <w:r w:rsidRPr="00F90EAE">
        <w:rPr>
          <w:color w:val="000000" w:themeColor="text1"/>
          <w:sz w:val="16"/>
          <w:szCs w:val="16"/>
        </w:rPr>
        <w:t>В Шнайдемюле и Познани продолжались бои по уничтожению окружённых гарнизонов противника.</w:t>
      </w:r>
    </w:p>
    <w:p w14:paraId="71AB35E4" w14:textId="77777777" w:rsidR="00DB43FF" w:rsidRPr="00F90EAE" w:rsidRDefault="00DB43FF" w:rsidP="00F90EAE">
      <w:pPr>
        <w:jc w:val="both"/>
        <w:rPr>
          <w:color w:val="000000" w:themeColor="text1"/>
          <w:sz w:val="16"/>
          <w:szCs w:val="16"/>
        </w:rPr>
      </w:pPr>
      <w:r w:rsidRPr="00F90EAE">
        <w:rPr>
          <w:color w:val="000000" w:themeColor="text1"/>
          <w:sz w:val="16"/>
          <w:szCs w:val="16"/>
        </w:rPr>
        <w:t>В западной части Будапешта (Буда) наши войска, продолжая бои по уничтожению гарнизона противника, заняли несколько кварталов. За 9 февраля в этом районе взято в плен более 1.300 солдат и офицеров противника.</w:t>
      </w:r>
    </w:p>
    <w:p w14:paraId="503F5EFE" w14:textId="77777777" w:rsidR="00DB43FF" w:rsidRPr="00F90EAE" w:rsidRDefault="00DB43FF" w:rsidP="00F90EAE">
      <w:pPr>
        <w:jc w:val="both"/>
        <w:rPr>
          <w:color w:val="000000" w:themeColor="text1"/>
          <w:sz w:val="16"/>
          <w:szCs w:val="16"/>
        </w:rPr>
      </w:pPr>
      <w:r w:rsidRPr="00F90EAE">
        <w:rPr>
          <w:color w:val="000000" w:themeColor="text1"/>
          <w:sz w:val="16"/>
          <w:szCs w:val="16"/>
        </w:rPr>
        <w:t>За 9 февраля на всех фронтах подбито и уничтожено 110 немецких танков. В воздушных боях и огнём зенитной артиллерии сбито 70 самолётов противника.</w:t>
      </w:r>
    </w:p>
    <w:p w14:paraId="2A2C1728"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3-го Белорусского фронта, продолжая наступление, вышли на подступы к городу Прейсиш Айлау, являющемуся центром укреплённого района Восточной Пруссии. Этот район состоял из большого числа четырех амбразурных железобетонных дотов, прикрытых проволочными заграждениями и минными полями. Советские войска сломили упорное сопротивление немцев и в результате ожесточённого боя овладели городом Прейсиш Айлау — узлом трёх железных и шести шоссейных дорог. По предварительным данным, уничтожено до 4 тысяч гитлеровцев. Сожжено и подбито 20 немецких танков. Захвачено 6 танков, 32 орудия и большие склады боеприпасов.</w:t>
      </w:r>
    </w:p>
    <w:p w14:paraId="78812E0C" w14:textId="77777777" w:rsidR="00DB43FF" w:rsidRPr="00F90EAE" w:rsidRDefault="00DB43FF" w:rsidP="00F90EAE">
      <w:pPr>
        <w:jc w:val="both"/>
        <w:rPr>
          <w:color w:val="000000" w:themeColor="text1"/>
          <w:sz w:val="16"/>
          <w:szCs w:val="16"/>
        </w:rPr>
      </w:pPr>
      <w:r w:rsidRPr="00F90EAE">
        <w:rPr>
          <w:color w:val="000000" w:themeColor="text1"/>
          <w:sz w:val="16"/>
          <w:szCs w:val="16"/>
        </w:rPr>
        <w:t xml:space="preserve">Экипаж самоходного орудия офицера Алёхина в бою уничтожил 2 немецкие пушки и 3 автомашины. Орудийный расчёт старшего сержанта Каримова вместе с группой пехотинцев проник в тыл противника. Артиллеристы уничтожили танк, 2 бронетранспортёра и группу гитлеровцев. Миномётный расчёт сержанта </w:t>
      </w:r>
      <w:r w:rsidRPr="00F90EAE">
        <w:rPr>
          <w:color w:val="000000" w:themeColor="text1"/>
          <w:sz w:val="16"/>
          <w:szCs w:val="16"/>
        </w:rPr>
        <w:lastRenderedPageBreak/>
        <w:t>Гаврильченко разбил дом, превращенный немцами в дот. Все гитлеровцы, находившиеся в нём, уничтожены. Миномётчик старший сержант Гаврилов, отражая вражескую контратаку, уничтожил 18 немцев.</w:t>
      </w:r>
    </w:p>
    <w:p w14:paraId="0ED07E5E"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2-го Белорусского фронта сегодня утром овладели городом Эльбинг. Противник придавал огромное значение этому городу и сосредоточил для его обороны крупные силы пехоты, танков, а также морские, сапёрные и другие части. Когда наши войска в результате обходного манёвра окружили Эльбинг, немецкое командование отдало своим войскам приказ пробиться к городу, «не обращая никакого внимания на потери». Пытаясь выполнить этот приказ, немцы понесли колоссальные потери, но так и не смогли прорвать несокрушимый заслон советских войск. Тем временем наши пехотные и танковые части, окружившие Эльбинг, предприняли штурм города. После мощного огневого налёта на вражеские укрепления советские бойцы овладели железнодорожной станцией, являвшейся базой снабжения, гитлеровцев. Развивая успех, наши войска прорвались в центр города, разгромили вражескую группировку и сегодня полностью овладели городом. В боях за Эльбинг уничтожено несколько тысяч немецких солдат и офицеров. Захвачено большое количество вооружения, складов, вагонов и паровозов.</w:t>
      </w:r>
    </w:p>
    <w:p w14:paraId="6F8CA74D" w14:textId="77777777" w:rsidR="00DB43FF" w:rsidRPr="00F90EAE" w:rsidRDefault="00DB43FF" w:rsidP="00F90EAE">
      <w:pPr>
        <w:jc w:val="both"/>
        <w:rPr>
          <w:color w:val="000000" w:themeColor="text1"/>
          <w:sz w:val="16"/>
          <w:szCs w:val="16"/>
        </w:rPr>
      </w:pPr>
      <w:r w:rsidRPr="00F90EAE">
        <w:rPr>
          <w:color w:val="000000" w:themeColor="text1"/>
          <w:sz w:val="16"/>
          <w:szCs w:val="16"/>
        </w:rPr>
        <w:t>Эльбинт является вторым по величине городом Восточной Пруссии. В нём сосредоточен ряд важных предприятий. Заводы Шихау производили локомотивы, судовые моторы и подводные лодки. До войны эти заводы выпускали 6 подводных лодок в месяц. В Эльбинге имеются также верфи для постройки торпедных катеров и другие предприятия.</w:t>
      </w:r>
    </w:p>
    <w:p w14:paraId="01FB15EF" w14:textId="77777777" w:rsidR="00DB43FF" w:rsidRPr="00F90EAE" w:rsidRDefault="00DB43FF" w:rsidP="00F90EAE">
      <w:pPr>
        <w:jc w:val="both"/>
        <w:rPr>
          <w:color w:val="000000" w:themeColor="text1"/>
          <w:sz w:val="16"/>
          <w:szCs w:val="16"/>
        </w:rPr>
      </w:pPr>
      <w:r w:rsidRPr="00F90EAE">
        <w:rPr>
          <w:color w:val="000000" w:themeColor="text1"/>
          <w:sz w:val="16"/>
          <w:szCs w:val="16"/>
        </w:rPr>
        <w:t>Севернее и северо-западнее города Шнайдемюль наши войска выбили немцев из населённого пункта Кнакзее, находящегося в 16 километрах от важного узла, железных дорог города Нойштеттин. На другом участке советские пехотинцы, преодолевая упорное сопротивление противника, овладели селением Клаусдорф, расположенным в 4 километрах севернее города Дейч-Кроне, и опорным пунктом Штранц, находящимся в 5 километрах юго-западнее Дейч-Кроне. Таким образом, группировка противника, обороняющая город Дойч-Кроне, зажата нашими войсками с трёх сторон. В распоряжении немцев осталась одна шоссейная дорога, которая находится под артиллерийским обстрелом. За день боёв сожжено и подбито 40 немецких танков и самоходных орудий. Захвачено 8 железнодорожных эшелонов с военным имуществом. Взято в плен до 600 немцев.</w:t>
      </w:r>
    </w:p>
    <w:p w14:paraId="1885271A" w14:textId="77777777" w:rsidR="00DB43FF" w:rsidRPr="00F90EAE" w:rsidRDefault="00DB43FF" w:rsidP="00F90EAE">
      <w:pPr>
        <w:jc w:val="both"/>
        <w:rPr>
          <w:color w:val="000000" w:themeColor="text1"/>
          <w:sz w:val="16"/>
          <w:szCs w:val="16"/>
        </w:rPr>
      </w:pPr>
      <w:r w:rsidRPr="00F90EAE">
        <w:rPr>
          <w:color w:val="000000" w:themeColor="text1"/>
          <w:sz w:val="16"/>
          <w:szCs w:val="16"/>
        </w:rPr>
        <w:t>В западной части Будапешта наши гвардейские подразделения очистили от гитлеровцев военный и общедоступный госпиталь № 3 и, продвигаясь вперед, преодолели укреплённый участок железнодорожной линии. Другие наши части овладели заводом и выбили противника из железнодорожного тоннеля. Таким образом, наши войска на значительном участке прорвали оборонительный рубеж, построенный немцами по кольцевой магистрали. На месте боёв осталось много трупов вражеских солдат и офицеров. Захвачено у немцев 37 орудий, 260 автомашин, 3 паровоза, 790 железнодорожных вагонов и другие трофеи. Взято свыше 1.300 пленных, среди которых интендант 1-го венгерского армейского корпуса полковник Регал Густав, начальник административной службы корпуса полковник Лобон Лайош и другие офицеры.</w:t>
      </w:r>
    </w:p>
    <w:p w14:paraId="4739C98B" w14:textId="77777777" w:rsidR="00DB43FF" w:rsidRPr="00F90EAE" w:rsidRDefault="00DB43FF" w:rsidP="00F90EAE">
      <w:pPr>
        <w:jc w:val="both"/>
        <w:rPr>
          <w:color w:val="000000" w:themeColor="text1"/>
          <w:sz w:val="16"/>
          <w:szCs w:val="16"/>
        </w:rPr>
      </w:pPr>
      <w:r w:rsidRPr="00F90EAE">
        <w:rPr>
          <w:color w:val="000000" w:themeColor="text1"/>
          <w:sz w:val="16"/>
          <w:szCs w:val="16"/>
        </w:rPr>
        <w:t>Пленный унтер-офицер 25-й немецкой танковой дивизии Гейнц Киршайс рассказал: «Наша дивизия была окружена советскими войсками. Бой в окружении длился около шести часов. Мы потеряли более 90 танков и бронетранспортёров. Мой танк был подбит, и я с экипажем пытался лесами пробраться на запад. Целую ночь мы безостановочно шли. На утро, когда нам казалось, что мы уже выбрались из окружения, нас заметили русские пехотинцы. В плену я встретил многих сослуживцев. От них я узнал, что 25-я дивизия полностью разгромлена и уничтожена» (15036).</w:t>
      </w:r>
    </w:p>
    <w:p w14:paraId="0EF5B3B7" w14:textId="77777777" w:rsidR="00DB43FF" w:rsidRPr="00F90EAE" w:rsidRDefault="00DB43FF" w:rsidP="00F90EAE">
      <w:pPr>
        <w:jc w:val="both"/>
        <w:rPr>
          <w:color w:val="000000" w:themeColor="text1"/>
          <w:sz w:val="16"/>
          <w:szCs w:val="16"/>
        </w:rPr>
      </w:pPr>
    </w:p>
    <w:p w14:paraId="02FC1B45" w14:textId="77777777" w:rsidR="00DB43FF" w:rsidRPr="00F90EAE" w:rsidRDefault="00DB43FF" w:rsidP="00F90EAE">
      <w:pPr>
        <w:jc w:val="both"/>
        <w:rPr>
          <w:bCs/>
          <w:color w:val="000000" w:themeColor="text1"/>
          <w:sz w:val="16"/>
          <w:szCs w:val="16"/>
        </w:rPr>
      </w:pPr>
      <w:r w:rsidRPr="00F90EAE">
        <w:rPr>
          <w:bCs/>
          <w:color w:val="000000" w:themeColor="text1"/>
          <w:sz w:val="16"/>
          <w:szCs w:val="16"/>
        </w:rPr>
        <w:t>10 февраля</w:t>
      </w:r>
      <w:r w:rsidRPr="00F90EAE">
        <w:rPr>
          <w:color w:val="000000" w:themeColor="text1"/>
          <w:sz w:val="16"/>
          <w:szCs w:val="16"/>
        </w:rPr>
        <w:t xml:space="preserve"> в 1945 году началась Восточно-Померанская наступательная операция войск 1-го и 2-го Белорусских фронтов (командующие маршал Г.К.Жуков и маршал К.К.Рокоссовский). В результате операции, завершившейся 4 апреля, была разгромлена немецко-фашистская группа армий "Висла". Советские войска вышли к побережью Балтийского моря</w:t>
      </w:r>
    </w:p>
    <w:p w14:paraId="1CAEEADA" w14:textId="77777777" w:rsidR="00DB43FF" w:rsidRPr="00F90EAE" w:rsidRDefault="00DB43FF" w:rsidP="00F90EAE">
      <w:pPr>
        <w:jc w:val="both"/>
        <w:rPr>
          <w:bCs/>
          <w:color w:val="000000" w:themeColor="text1"/>
          <w:sz w:val="16"/>
          <w:szCs w:val="16"/>
        </w:rPr>
      </w:pPr>
    </w:p>
    <w:p w14:paraId="7D747D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 февраля по 4 апреля 1945 состоялась Восточно-Померанская операция. Разгромили 15 дивизий и 6 бригад, выйдя к Балтике (2438,152). Участвовали 1БФ (Г.К.Ж.) и 2БФ (К.К.Рокосовский) - разгромили группу армий Висла (ком. Г.Гимлер) и вышли к побережью БМ (3398,69).</w:t>
      </w:r>
    </w:p>
    <w:p w14:paraId="78F79D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на поддержку и прикрытие сухопутных войск ВВС флота выделяли от 20 до 35% самолетовылетов (518,183).</w:t>
      </w:r>
    </w:p>
    <w:p w14:paraId="4E6BEA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1D1108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Западно-Померанской операции из-за того, что действия проходили в приморских районах с неустойчивой погодой 4ВА составила план боевых действий авиации в 3-х вариантах в зависимости от метеоусловий. В хорошую погоду д.б. летать эскадрильями и полковыми группами, в сложных - группами по 4-6 машин, в плохую погоду - парами или одиночными самолетами (518,117).</w:t>
      </w:r>
    </w:p>
    <w:p w14:paraId="318B4616" w14:textId="77777777" w:rsidR="00665165" w:rsidRPr="00F90EAE" w:rsidRDefault="00665165" w:rsidP="00F90EAE">
      <w:pPr>
        <w:autoSpaceDE w:val="0"/>
        <w:autoSpaceDN w:val="0"/>
        <w:adjustRightInd w:val="0"/>
        <w:jc w:val="both"/>
        <w:rPr>
          <w:color w:val="000000" w:themeColor="text1"/>
          <w:sz w:val="16"/>
          <w:szCs w:val="16"/>
        </w:rPr>
      </w:pPr>
    </w:p>
    <w:p w14:paraId="470C9AE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10, 1945: In the East, the attack by 2nd Belorussian Front (Rokossovsky) against the Pommernstellung is blocked by the German defenders. In Silesia, Liegnitz is captured by the 1st Ukrainian Front (Konev). In Hungary, the remnants of the defenders of Budapest give up and surrender (3819).</w:t>
      </w:r>
    </w:p>
    <w:p w14:paraId="499E57E5" w14:textId="77777777" w:rsidR="00665165" w:rsidRPr="00F90EAE" w:rsidRDefault="00665165" w:rsidP="00F90EAE">
      <w:pPr>
        <w:autoSpaceDE w:val="0"/>
        <w:autoSpaceDN w:val="0"/>
        <w:adjustRightInd w:val="0"/>
        <w:jc w:val="both"/>
        <w:rPr>
          <w:color w:val="000000" w:themeColor="text1"/>
          <w:sz w:val="16"/>
          <w:szCs w:val="16"/>
          <w:lang w:val="en-US"/>
        </w:rPr>
      </w:pPr>
    </w:p>
    <w:p w14:paraId="5A9EC1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наступление 2БФ (Рокосовский) было остановлено. 1УФ (Конев) занял Лейгниц в Силезии. В Венгрии сдались последние защитники Будапешта (3819).</w:t>
      </w:r>
    </w:p>
    <w:p w14:paraId="177EF9D3" w14:textId="77777777" w:rsidR="00665165" w:rsidRPr="00F90EAE" w:rsidRDefault="00665165" w:rsidP="00F90EAE">
      <w:pPr>
        <w:autoSpaceDE w:val="0"/>
        <w:autoSpaceDN w:val="0"/>
        <w:adjustRightInd w:val="0"/>
        <w:jc w:val="both"/>
        <w:rPr>
          <w:color w:val="000000" w:themeColor="text1"/>
          <w:sz w:val="16"/>
          <w:szCs w:val="16"/>
        </w:rPr>
      </w:pPr>
    </w:p>
    <w:p w14:paraId="7D42C7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 февраля 1945 г. штаб ВВС РОА перебрался из Карлсбада в Марианске Лазне (4538).</w:t>
      </w:r>
    </w:p>
    <w:p w14:paraId="05E3CE68" w14:textId="77777777" w:rsidR="00665165" w:rsidRPr="00F90EAE" w:rsidRDefault="00665165" w:rsidP="00F90EAE">
      <w:pPr>
        <w:autoSpaceDE w:val="0"/>
        <w:autoSpaceDN w:val="0"/>
        <w:adjustRightInd w:val="0"/>
        <w:jc w:val="both"/>
        <w:rPr>
          <w:color w:val="000000" w:themeColor="text1"/>
          <w:sz w:val="16"/>
          <w:szCs w:val="16"/>
        </w:rPr>
      </w:pPr>
    </w:p>
    <w:p w14:paraId="0F7216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лодка С-13 торпедировала и потопила военный транспорт "Генерал фон Штойбен" с 3 тыс. немецких военнослужащих. По суммарному тоннажу потопленных судов (47 тыс. тонн) подводной лодке С-13 принадлежит первое место в советском ВМФ (9873).</w:t>
      </w:r>
    </w:p>
    <w:p w14:paraId="26D887A7" w14:textId="77777777" w:rsidR="00665165" w:rsidRPr="00F90EAE" w:rsidRDefault="00665165" w:rsidP="00F90EAE">
      <w:pPr>
        <w:autoSpaceDE w:val="0"/>
        <w:autoSpaceDN w:val="0"/>
        <w:adjustRightInd w:val="0"/>
        <w:jc w:val="both"/>
        <w:rPr>
          <w:color w:val="000000" w:themeColor="text1"/>
          <w:sz w:val="16"/>
          <w:szCs w:val="16"/>
        </w:rPr>
      </w:pPr>
    </w:p>
    <w:p w14:paraId="5BD8D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С-13 А.Маринеско потопила еще один транспорт Генерал фон Штойбен водоизмещением 14660 т и из 3000 на борту спасли 300 (255,23).</w:t>
      </w:r>
    </w:p>
    <w:p w14:paraId="28A5105F" w14:textId="77777777" w:rsidR="00665165" w:rsidRPr="00F90EAE" w:rsidRDefault="00665165" w:rsidP="00F90EAE">
      <w:pPr>
        <w:autoSpaceDE w:val="0"/>
        <w:autoSpaceDN w:val="0"/>
        <w:adjustRightInd w:val="0"/>
        <w:jc w:val="both"/>
        <w:rPr>
          <w:color w:val="000000" w:themeColor="text1"/>
          <w:sz w:val="16"/>
          <w:szCs w:val="16"/>
        </w:rPr>
      </w:pPr>
    </w:p>
    <w:p w14:paraId="5F71CAC7" w14:textId="77777777" w:rsidR="00DB43FF" w:rsidRPr="00F90EAE" w:rsidRDefault="00DB43FF" w:rsidP="00F90EAE">
      <w:pPr>
        <w:jc w:val="both"/>
        <w:rPr>
          <w:color w:val="000000" w:themeColor="text1"/>
          <w:sz w:val="16"/>
          <w:szCs w:val="16"/>
        </w:rPr>
      </w:pPr>
      <w:r w:rsidRPr="00F90EAE">
        <w:rPr>
          <w:bCs/>
          <w:color w:val="000000" w:themeColor="text1"/>
          <w:sz w:val="16"/>
          <w:szCs w:val="16"/>
        </w:rPr>
        <w:t>10 февраля</w:t>
      </w:r>
      <w:r w:rsidRPr="00F90EAE">
        <w:rPr>
          <w:color w:val="000000" w:themeColor="text1"/>
          <w:sz w:val="16"/>
          <w:szCs w:val="16"/>
        </w:rPr>
        <w:t xml:space="preserve"> в 1945 году на подходе к Гданьской бухте подводной лодкой С-13 под командованием Александра Ивановича Маринеско был потоплен немецкий транспорт «Генерал фон Штойбен. 9 февраля 1945 лайнер «Штойбен» вышел из порта Пиллау (ныне Балтийск) и направился в Киль, на борту лайнера находилось более 4000 человек — 2680 раненых военнослужащих, 100 солдат, около 900 беженцев, 270 человек военного медперсонала и 285 членов экипажа судна. Судно шло в сопровождении миноносца T-196 и тральщика TF-10. Немецкий лайнер был обнаружен вечером 9 февраля советской подводной лодкой С-13 под командованием Александра Маринеско. На протяжении четырёх с половиной часов советская подлодка преследовала «Штойбен» и наконец ночью 10 февраля в 00:55 торпедировала лайнер двумя торпедами. Лайнер затонул спустя 15 минут, при этом погибло более 3600 человек (приводятся следующие числа: погибло 3608, спасено 659 человек). При торпедировании лайнера командир подводной лодки Александр Маринеско был убеждён, что перед ним не пассажирский лайнер, а военный крейсер «Эмден». О том, что это не так, Маринеско узнал после возвращения на базу в финский Турку из местных газет. До декабря 1944 года «Штойбен» совершил 18 рейсов, эвакуировав в общей сложности 26 445 раненых и 6 694 беженцев (15036).</w:t>
      </w:r>
    </w:p>
    <w:p w14:paraId="2B7D0BF6" w14:textId="77777777" w:rsidR="00DB43FF" w:rsidRPr="00F90EAE" w:rsidRDefault="00DB43FF" w:rsidP="00F90EAE">
      <w:pPr>
        <w:jc w:val="both"/>
        <w:rPr>
          <w:color w:val="000000" w:themeColor="text1"/>
          <w:sz w:val="16"/>
          <w:szCs w:val="16"/>
        </w:rPr>
      </w:pPr>
    </w:p>
    <w:p w14:paraId="7740A3C5" w14:textId="77777777" w:rsidR="00A524F6" w:rsidRPr="00F90EAE" w:rsidRDefault="00A524F6"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5D7C0BE" w14:textId="77777777" w:rsidR="00A524F6" w:rsidRPr="00F90EAE" w:rsidRDefault="00A524F6" w:rsidP="00F90EAE">
      <w:pPr>
        <w:autoSpaceDE w:val="0"/>
        <w:autoSpaceDN w:val="0"/>
        <w:adjustRightInd w:val="0"/>
        <w:jc w:val="both"/>
        <w:rPr>
          <w:iCs/>
          <w:color w:val="000000" w:themeColor="text1"/>
          <w:sz w:val="16"/>
          <w:szCs w:val="16"/>
        </w:rPr>
      </w:pPr>
    </w:p>
    <w:p w14:paraId="4109FC62" w14:textId="77777777" w:rsidR="00A524F6" w:rsidRPr="00F90EAE" w:rsidRDefault="00A524F6" w:rsidP="00F90EAE">
      <w:pPr>
        <w:jc w:val="both"/>
        <w:rPr>
          <w:color w:val="000000" w:themeColor="text1"/>
          <w:sz w:val="16"/>
          <w:szCs w:val="16"/>
        </w:rPr>
      </w:pPr>
      <w:r w:rsidRPr="00F90EAE">
        <w:rPr>
          <w:color w:val="000000" w:themeColor="text1"/>
          <w:sz w:val="16"/>
          <w:szCs w:val="16"/>
        </w:rPr>
        <w:t>10 февраля 1945. Из записки заведующего оргинструкторским отделом МГК ВКП(б) Федотова в ЦК ВКП(б): "Многие спрашивают, что раньше религия считалась опиумом народа. Остается ли это положение в силе на будущее" Поскольку создан комитет по делам православной русской церкви и поместный собор, будут ли после этого внесены изменения в Конституцию СССР" Если в печати, даже в газете "Правда" стали широко популяризировать материалы поместного собора, то не последует ли за этим изменение в программе нашей партии об отношении к религии" Будут ли издаваться произведения Маркса, Энгельса, Ленина, Сталина, направленные против религии" Не является ли такое резко выраженное сочувственное отношение к духовенству со стороны.наше-го правительства результатом нажима союзников" Можно ли вести сейчас антирелигиозную пропаганду (18688)"</w:t>
      </w:r>
    </w:p>
    <w:p w14:paraId="372420C1" w14:textId="77777777" w:rsidR="00A524F6" w:rsidRPr="00F90EAE" w:rsidRDefault="00A524F6" w:rsidP="00F90EAE">
      <w:pPr>
        <w:jc w:val="both"/>
        <w:rPr>
          <w:color w:val="000000" w:themeColor="text1"/>
          <w:sz w:val="16"/>
          <w:szCs w:val="16"/>
        </w:rPr>
      </w:pPr>
    </w:p>
    <w:p w14:paraId="00096E3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4D54517" w14:textId="77777777" w:rsidR="00665165" w:rsidRPr="00F90EAE" w:rsidRDefault="00665165" w:rsidP="00F90EAE">
      <w:pPr>
        <w:autoSpaceDE w:val="0"/>
        <w:autoSpaceDN w:val="0"/>
        <w:adjustRightInd w:val="0"/>
        <w:jc w:val="both"/>
        <w:rPr>
          <w:iCs/>
          <w:color w:val="000000" w:themeColor="text1"/>
          <w:sz w:val="16"/>
          <w:szCs w:val="16"/>
        </w:rPr>
      </w:pPr>
    </w:p>
    <w:p w14:paraId="04C83D6E"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10 февраля 1945 г. в Кореизе в Юсуповском дворце состоялась встреча советского правительства с премьер-министром Великобритании Уинстоном Черчиллем и сопровождавшим его министром иностранных дел Энтони Иденом. Так, главы союзных держав договорились о следующем:</w:t>
      </w:r>
    </w:p>
    <w:p w14:paraId="10E95D54"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 Германия обязана возместить в натуре ущерб, причиненный ею в ходе войны союзным нациям.</w:t>
      </w:r>
    </w:p>
    <w:p w14:paraId="63AE21EB"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 Репарации должны получаться в первую очередь теми странами, которые вынесли главную тяжесть войны, понесли наибольшие потери и организовали победу над врагом.</w:t>
      </w:r>
    </w:p>
    <w:p w14:paraId="2A582A2E"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 Репарации должны взиматься с Германии в трех формах:</w:t>
      </w:r>
    </w:p>
    <w:p w14:paraId="1356E701"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 xml:space="preserve">а) единовременные изъятия в течение двух лет по капитуляции Германии или прекращении организованного сопротивления из национального богатства Германии, находящегося как на территории самой Германии, так и вне ее (оборудование, станки, суда, подвижной состав, германские вложения за границей, акции </w:t>
      </w:r>
      <w:r w:rsidRPr="00F90EAE">
        <w:rPr>
          <w:color w:val="000000" w:themeColor="text1"/>
          <w:sz w:val="16"/>
          <w:szCs w:val="16"/>
        </w:rPr>
        <w:lastRenderedPageBreak/>
        <w:t>промышленных, транспортных, судоходных и других предприятий Германии и т.д.), причем эти изъятия должны быть проведены главным образом с целью уничтожения военного потенциала Германии;</w:t>
      </w:r>
    </w:p>
    <w:p w14:paraId="07E8BF00"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б) ежегодные товарные поставки из текущей продукции в течение периода, длительность которого должна быть установлена;</w:t>
      </w:r>
    </w:p>
    <w:p w14:paraId="06F407DE"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в) использование германского труда.</w:t>
      </w:r>
    </w:p>
    <w:p w14:paraId="5ADE9136"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Для выработки на основе вышеизложенных принципов подробного репарационного плана в Москве была учреждена межсоюзная комиссия по репарациям в составе представителей от СССР, США и Великобритании.</w:t>
      </w:r>
    </w:p>
    <w:p w14:paraId="27759BFC" w14:textId="77777777" w:rsidR="00DB43FF" w:rsidRPr="00F90EAE" w:rsidRDefault="00DB43FF" w:rsidP="00F90EAE">
      <w:pPr>
        <w:pStyle w:val="book"/>
        <w:ind w:firstLine="0"/>
        <w:jc w:val="both"/>
        <w:rPr>
          <w:color w:val="000000" w:themeColor="text1"/>
          <w:sz w:val="16"/>
          <w:szCs w:val="16"/>
        </w:rPr>
      </w:pPr>
      <w:r w:rsidRPr="00F90EAE">
        <w:rPr>
          <w:color w:val="000000" w:themeColor="text1"/>
          <w:sz w:val="16"/>
          <w:szCs w:val="16"/>
        </w:rPr>
        <w:t>В отношении определения общей суммы репараций, а также ее распределения между пострадавшими после германской агрессии странами советская и американская делегации согласились о следующем: «Московская комиссия по репарациям в первоначальной стадии своей работы примет в качестве базы для обсуждения предложение Советского правительства о том, что общая сумма репараций в соответствии с пунктами "а" и "б" параграфа 2-го должна составлять 20 миллиардов долларов и что 50% этой суммы идет Советскому Союзу». Британская делегация считала, что впредь до рассмотрения вопроса о репарациях Московской комиссией по репарациям не могут быть названы никакие цифры репараций (15225).</w:t>
      </w:r>
    </w:p>
    <w:p w14:paraId="65EDE471" w14:textId="77777777" w:rsidR="00DB43FF" w:rsidRPr="00F90EAE" w:rsidRDefault="00DB43FF" w:rsidP="00F90EAE">
      <w:pPr>
        <w:pStyle w:val="book"/>
        <w:ind w:firstLine="0"/>
        <w:jc w:val="both"/>
        <w:rPr>
          <w:color w:val="000000" w:themeColor="text1"/>
          <w:sz w:val="16"/>
          <w:szCs w:val="16"/>
        </w:rPr>
      </w:pPr>
    </w:p>
    <w:p w14:paraId="7261B1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вышло Постановление ГКО № 7527 О мерах помощи Национальному комитету освобождения Югославии в реорганизации и вооружении армии. РГАНИР, Фонд ГКО, д. 370, лл. 135-140, 141-192 (11012).</w:t>
      </w:r>
    </w:p>
    <w:p w14:paraId="28DD6532" w14:textId="77777777" w:rsidR="00665165" w:rsidRPr="00F90EAE" w:rsidRDefault="00665165" w:rsidP="00F90EAE">
      <w:pPr>
        <w:autoSpaceDE w:val="0"/>
        <w:autoSpaceDN w:val="0"/>
        <w:adjustRightInd w:val="0"/>
        <w:jc w:val="both"/>
        <w:rPr>
          <w:color w:val="000000" w:themeColor="text1"/>
          <w:sz w:val="16"/>
          <w:szCs w:val="16"/>
        </w:rPr>
      </w:pPr>
    </w:p>
    <w:p w14:paraId="507FFC1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8F7D347" w14:textId="77777777" w:rsidR="00665165" w:rsidRPr="00F90EAE" w:rsidRDefault="00665165" w:rsidP="00F90EAE">
      <w:pPr>
        <w:autoSpaceDE w:val="0"/>
        <w:autoSpaceDN w:val="0"/>
        <w:adjustRightInd w:val="0"/>
        <w:jc w:val="both"/>
        <w:rPr>
          <w:iCs/>
          <w:color w:val="000000" w:themeColor="text1"/>
          <w:sz w:val="16"/>
          <w:szCs w:val="16"/>
        </w:rPr>
      </w:pPr>
    </w:p>
    <w:p w14:paraId="36713677" w14:textId="77777777" w:rsidR="00DB43FF" w:rsidRPr="00F90EAE" w:rsidRDefault="00DB43FF"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90 В-29 бомбили Токио (2248,2).</w:t>
      </w:r>
    </w:p>
    <w:p w14:paraId="30434DBF" w14:textId="77777777" w:rsidR="00DB43FF" w:rsidRPr="00F90EAE" w:rsidRDefault="00DB43FF" w:rsidP="00F90EAE">
      <w:pPr>
        <w:autoSpaceDE w:val="0"/>
        <w:autoSpaceDN w:val="0"/>
        <w:adjustRightInd w:val="0"/>
        <w:jc w:val="both"/>
        <w:rPr>
          <w:color w:val="000000" w:themeColor="text1"/>
          <w:sz w:val="16"/>
          <w:szCs w:val="16"/>
        </w:rPr>
      </w:pPr>
    </w:p>
    <w:p w14:paraId="210A5C0D" w14:textId="77777777" w:rsidR="00DB43FF" w:rsidRPr="00F90EAE" w:rsidRDefault="00DB43FF" w:rsidP="00F90EAE">
      <w:pPr>
        <w:jc w:val="both"/>
        <w:rPr>
          <w:color w:val="000000" w:themeColor="text1"/>
          <w:sz w:val="16"/>
          <w:szCs w:val="16"/>
        </w:rPr>
      </w:pPr>
      <w:r w:rsidRPr="00F90EAE">
        <w:rPr>
          <w:bCs/>
          <w:color w:val="000000" w:themeColor="text1"/>
          <w:sz w:val="16"/>
          <w:szCs w:val="16"/>
        </w:rPr>
        <w:t>10 февраля</w:t>
      </w:r>
      <w:r w:rsidRPr="00F90EAE">
        <w:rPr>
          <w:color w:val="000000" w:themeColor="text1"/>
          <w:sz w:val="16"/>
          <w:szCs w:val="16"/>
        </w:rPr>
        <w:t xml:space="preserve"> в 1945 году открыл свой счёт сбитых «В-29» японский пилот тяжелого ночного истребителя </w:t>
      </w:r>
      <w:hyperlink r:id="rId34" w:tgtFrame="_blank" w:history="1">
        <w:r w:rsidRPr="00F90EAE">
          <w:rPr>
            <w:color w:val="000000" w:themeColor="text1"/>
            <w:sz w:val="16"/>
            <w:szCs w:val="16"/>
          </w:rPr>
          <w:t xml:space="preserve">«D4Y2-S» </w:t>
        </w:r>
      </w:hyperlink>
      <w:r w:rsidRPr="00F90EAE">
        <w:rPr>
          <w:color w:val="000000" w:themeColor="text1"/>
          <w:sz w:val="16"/>
          <w:szCs w:val="16"/>
        </w:rPr>
        <w:t>боцман Йосимицу Нака. До конца войны сбил по японским данным пять американских бомбардировщиков «В-29» "Суперфортресс" и повредил еще четыре. Интересна установка под 30* к оси самолета 20-мм пушки "тип 99 модель 2" (15036).</w:t>
      </w:r>
    </w:p>
    <w:p w14:paraId="257A1306" w14:textId="77777777" w:rsidR="00DB43FF" w:rsidRPr="00F90EAE" w:rsidRDefault="00DB43FF" w:rsidP="00F90EAE">
      <w:pPr>
        <w:jc w:val="both"/>
        <w:rPr>
          <w:color w:val="000000" w:themeColor="text1"/>
          <w:sz w:val="16"/>
          <w:szCs w:val="16"/>
        </w:rPr>
      </w:pPr>
    </w:p>
    <w:p w14:paraId="697C3B3A" w14:textId="77777777" w:rsidR="00361C8C" w:rsidRPr="00F90EAE" w:rsidRDefault="00361C8C" w:rsidP="00F90EAE">
      <w:pPr>
        <w:jc w:val="both"/>
        <w:rPr>
          <w:color w:val="0070C0"/>
          <w:sz w:val="16"/>
          <w:szCs w:val="16"/>
        </w:rPr>
      </w:pPr>
      <w:r w:rsidRPr="00F90EAE">
        <w:rPr>
          <w:color w:val="0070C0"/>
          <w:sz w:val="16"/>
          <w:szCs w:val="16"/>
        </w:rPr>
        <w:t>10 февраля 1945 второй лейтенант ВВС США (USAAF) Луис Кердс на P-51D Mustang 4-й истребительной эскадрильи Bad Angel над островом Батан в проливе Формоза замечает Skytrain 39-й военно-воздушной эскадрильи USAAF C-47, приближающийся к японскому аэродрому . После того, как C-47 не отвечает на его попытку предупредить об ошибке, он стреляет по двигателям, заставляя экипаж сесть у берега, и пассажиров и экипаж пересесть на спасательные плоты. Затем он бросает им сообщение, призывающее держаться подальше от берега. Он и его ведомый возвращаются на базу, а затем возвращаются к плотам до рассвета следующего утра, чтобы прикрыть спасательные плоты, пока их не подберет летающая лодка- амфибия PBY-5A Catalina. Вернувшись на базу, он обнаруживает, что был на свидании с медсестрой, садящейся в самолет, за ночь до того, как он его сбил. Несмотря на то, что он носит американский флаг на своем P-51D, чтобы обозначить сбитый C-47, он не награжден официальной победой, но получает кластер дубовых листьев к его летному кресту и воздушную медаль за свои действия. Он становится единственным американским пилотом, сбившим немецкий, итальянский, японский и американский самолеты во время Второй мировой войны (20371).</w:t>
      </w:r>
    </w:p>
    <w:p w14:paraId="5DF9200C" w14:textId="77777777" w:rsidR="00361C8C" w:rsidRPr="00F90EAE" w:rsidRDefault="00361C8C" w:rsidP="00F90EAE">
      <w:pPr>
        <w:jc w:val="both"/>
        <w:rPr>
          <w:color w:val="0070C0"/>
          <w:sz w:val="16"/>
          <w:szCs w:val="16"/>
        </w:rPr>
      </w:pPr>
    </w:p>
    <w:p w14:paraId="394F4F7E" w14:textId="77777777" w:rsidR="00361C8C" w:rsidRPr="00F90EAE" w:rsidRDefault="00361C8C" w:rsidP="00F90EAE">
      <w:pPr>
        <w:jc w:val="both"/>
        <w:rPr>
          <w:color w:val="0070C0"/>
          <w:sz w:val="16"/>
          <w:szCs w:val="16"/>
        </w:rPr>
      </w:pPr>
      <w:r w:rsidRPr="00F90EAE">
        <w:rPr>
          <w:color w:val="0070C0"/>
          <w:sz w:val="16"/>
          <w:szCs w:val="16"/>
        </w:rPr>
        <w:t>10 февраля 1945 немецкие самолеты Junkers Ju 88 атакуют конвой JW 64 в Северном Ледовитом океане (29371).</w:t>
      </w:r>
    </w:p>
    <w:p w14:paraId="32A9542A" w14:textId="77777777" w:rsidR="00361C8C" w:rsidRPr="00F90EAE" w:rsidRDefault="00361C8C" w:rsidP="00F90EAE">
      <w:pPr>
        <w:jc w:val="both"/>
        <w:rPr>
          <w:color w:val="0070C0"/>
          <w:sz w:val="16"/>
          <w:szCs w:val="16"/>
        </w:rPr>
      </w:pPr>
    </w:p>
    <w:p w14:paraId="250E9C5C" w14:textId="77777777" w:rsidR="00361C8C" w:rsidRPr="00F90EAE" w:rsidRDefault="00361C8C" w:rsidP="00F90EAE">
      <w:pPr>
        <w:jc w:val="both"/>
        <w:rPr>
          <w:color w:val="0070C0"/>
          <w:sz w:val="16"/>
          <w:szCs w:val="16"/>
        </w:rPr>
      </w:pPr>
      <w:r w:rsidRPr="00F90EAE">
        <w:rPr>
          <w:color w:val="0070C0"/>
          <w:sz w:val="16"/>
          <w:szCs w:val="16"/>
        </w:rPr>
        <w:t>10 февраля 1945 года. Лайнер водоизмещением 14.600 тонн был поражен в ночных условиях в результате мастерской атаки двумя торпедами из кормовых аппаратов и затонул через 15 минут, унеся с собой на дно моря 3608 человек. Спаслись лишь 659 человек.</w:t>
      </w:r>
    </w:p>
    <w:p w14:paraId="3C914BBD" w14:textId="77777777" w:rsidR="00361C8C" w:rsidRPr="00F90EAE" w:rsidRDefault="00361C8C" w:rsidP="00F90EAE">
      <w:pPr>
        <w:jc w:val="both"/>
        <w:rPr>
          <w:color w:val="0070C0"/>
          <w:sz w:val="16"/>
          <w:szCs w:val="16"/>
        </w:rPr>
      </w:pPr>
      <w:r w:rsidRPr="00F90EAE">
        <w:rPr>
          <w:color w:val="0070C0"/>
          <w:sz w:val="16"/>
          <w:szCs w:val="16"/>
        </w:rPr>
        <w:t>По сообщению газеты "Гамбургер Абендблат", у побережья Балтики вблизи польского городка Штольп были обнаружены останки немецкого военного транспорта "Штойбен", потопленного экипажем подлодки "С-13"</w:t>
      </w:r>
    </w:p>
    <w:p w14:paraId="2D137517" w14:textId="77777777" w:rsidR="00361C8C" w:rsidRPr="00F90EAE" w:rsidRDefault="00361C8C" w:rsidP="00F90EAE">
      <w:pPr>
        <w:jc w:val="both"/>
        <w:rPr>
          <w:color w:val="0070C0"/>
          <w:sz w:val="16"/>
          <w:szCs w:val="16"/>
        </w:rPr>
      </w:pPr>
      <w:r w:rsidRPr="00F90EAE">
        <w:rPr>
          <w:color w:val="0070C0"/>
          <w:sz w:val="16"/>
          <w:szCs w:val="16"/>
        </w:rPr>
        <w:t>"Генерал Штойбен» - немецкий океанский лайнер. Был спущен на воду в 1922 году под названием «Мюнхен». Это был один из самых роскошных круизных океанских лайнеров в мире, имея в длину 168 метров, ширину 19,8 метров и увеличенное водоизмещение 14.660 тонн. На нем был оборудован танцевальный зал, два роскошных обеденных помещения. Каюты большей частью были оснащены ваннами или душами. Система вентиляции позволяла полностью обновлять воздух в каютах за шесть минут, а в обеденных залах - за четыре минуты. На верхней палубе находился бассейн. Так что недаром с началом Второй мировой войны "Штойбен" был переоборудован под гостиницу для высшего командного состава ВМС Германии. В августе 1944 года, когда германским адмиралам было уже не до отдыха, его превратили в транспорт для доставки раненых. Этот вид кораблей не являлся госпитальным судном в полном смысле этого слова, и не находился под защитой Женевской конвенции. Транспорты по доставке раненых, в том числе и "Штойбен" были перекрашены в серый защитный цвет. С них был убран Красный Крест, но зато установлено вооружение: четыре зенитных орудия калибра 37 миллиметров и четыре счетверенных зенитных пулемета. Орудийная прислуга насчитывала 65 солдат.</w:t>
      </w:r>
    </w:p>
    <w:p w14:paraId="5E7FCE9E" w14:textId="77777777" w:rsidR="00361C8C" w:rsidRPr="00F90EAE" w:rsidRDefault="00361C8C" w:rsidP="00F90EAE">
      <w:pPr>
        <w:jc w:val="both"/>
        <w:rPr>
          <w:color w:val="0070C0"/>
          <w:sz w:val="16"/>
          <w:szCs w:val="16"/>
        </w:rPr>
      </w:pPr>
      <w:r w:rsidRPr="00F90EAE">
        <w:rPr>
          <w:color w:val="0070C0"/>
          <w:sz w:val="16"/>
          <w:szCs w:val="16"/>
        </w:rPr>
        <w:t>Контр-адмирал К.Энгельхардт, отвечавший за морские перевозки, узнал о гибели "Штойбена" ранним утром 10 февраля. На следующий день он уже имел четкую картину о размере катастрофы и человеческих жертвах. Согласно представленным ему уточненным донесениям, всего на борту парохода находились 4.267 человек, включая экипаж торгового флота, а также военный и медицинский персонал ВМС.</w:t>
      </w:r>
    </w:p>
    <w:p w14:paraId="68266660" w14:textId="77777777" w:rsidR="00361C8C" w:rsidRPr="00F90EAE" w:rsidRDefault="00361C8C" w:rsidP="00F90EAE">
      <w:pPr>
        <w:jc w:val="both"/>
        <w:rPr>
          <w:color w:val="0070C0"/>
          <w:sz w:val="16"/>
          <w:szCs w:val="16"/>
        </w:rPr>
      </w:pPr>
      <w:r w:rsidRPr="00F90EAE">
        <w:rPr>
          <w:color w:val="0070C0"/>
          <w:sz w:val="16"/>
          <w:szCs w:val="16"/>
        </w:rPr>
        <w:t>По докладу торпедолова TF10, им были спасены 512 человек, а сторожевым кораблем Т196 - 147 человек. Таким образом, всего удалось спасти 659 человек. 3608 человек считаются пропавшими без вести в Балтийском море (20190).</w:t>
      </w:r>
    </w:p>
    <w:p w14:paraId="24326F0E" w14:textId="77777777" w:rsidR="00361C8C" w:rsidRPr="00F90EAE" w:rsidRDefault="00361C8C" w:rsidP="00F90EAE">
      <w:pPr>
        <w:jc w:val="both"/>
        <w:rPr>
          <w:color w:val="0070C0"/>
          <w:sz w:val="16"/>
          <w:szCs w:val="16"/>
        </w:rPr>
      </w:pPr>
    </w:p>
    <w:p w14:paraId="57389EC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февраля 1945 немцы открыли шлюзы плотины Швамменауль, затопив мосты через Рур и остановив наступление союзников (4962).</w:t>
      </w:r>
    </w:p>
    <w:p w14:paraId="32300AB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17E0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февраля 1945 была проведена реорганизация авиационных сил. Заодно силы были подсчитаны, и оказалось, что в военно-морском флоте имеется 162 самолета-снаряда Ока и 72 самолета-носителя (Иванов Ю.Г. Камикадзе: пилоты-смертники. Смоленск: Русич, 2001.). Тогда же было проведено несколько экспериментов с реактивными снарядами, чтобы исчерпывающе определить потенциал нового оружия. Эксперименты своей цели не достигли (11686).</w:t>
      </w:r>
    </w:p>
    <w:p w14:paraId="4718F065" w14:textId="77777777" w:rsidR="00665165" w:rsidRPr="00F90EAE" w:rsidRDefault="00665165" w:rsidP="00F90EAE">
      <w:pPr>
        <w:autoSpaceDE w:val="0"/>
        <w:autoSpaceDN w:val="0"/>
        <w:adjustRightInd w:val="0"/>
        <w:jc w:val="both"/>
        <w:rPr>
          <w:color w:val="000000" w:themeColor="text1"/>
          <w:sz w:val="16"/>
          <w:szCs w:val="16"/>
        </w:rPr>
      </w:pPr>
    </w:p>
    <w:p w14:paraId="22CB225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5F140AA" w14:textId="77777777" w:rsidR="00665165" w:rsidRPr="00F90EAE" w:rsidRDefault="00665165" w:rsidP="00F90EAE">
      <w:pPr>
        <w:autoSpaceDE w:val="0"/>
        <w:autoSpaceDN w:val="0"/>
        <w:adjustRightInd w:val="0"/>
        <w:jc w:val="both"/>
        <w:rPr>
          <w:iCs/>
          <w:color w:val="000000" w:themeColor="text1"/>
          <w:sz w:val="16"/>
          <w:szCs w:val="16"/>
        </w:rPr>
      </w:pPr>
    </w:p>
    <w:p w14:paraId="734AAA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г., согласно приказу НКАП от 30/XII-44 г. за N 712сс, Завод N 301 приступил к работе по переоборудованию самолетов ЯК на высотный вариант. Изготовление опытного самолета этого типа машин производилось на заводе N 115, а разработка чертежей велась параллельно с выпуском этой машины силами СКО завода N 301 под руководством конструкторов ОКБ-115. В процессе разработки конструкции высотного истребителя гл. конструктором Яковлевым было признано более целесообразным использовать для переоборудования самолета ЯК-9 с ВК 107А производства завода N 166, а не самолеты ЯК-9 с ВК 105 ПФ, как указано в приказе N 712сс (2074,120).</w:t>
      </w:r>
    </w:p>
    <w:p w14:paraId="127CBE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феврале-марте 1945 г. Для переоборудования под высотный вариант. Ст. военпредом на заводе N 301 были предоставлены н/заводу 30 самолетов типа ЯК-9 с ВК 107А, из числа прибывших на н/завод для сборки. Из-за неготовности чертежей завод N 301 практически приступил к переоборудованию головной машины в начале апреля 1945 г. (2074,120).</w:t>
      </w:r>
    </w:p>
    <w:p w14:paraId="56ABF78B" w14:textId="77777777" w:rsidR="00665165" w:rsidRPr="00F90EAE" w:rsidRDefault="00665165" w:rsidP="00F90EAE">
      <w:pPr>
        <w:autoSpaceDE w:val="0"/>
        <w:autoSpaceDN w:val="0"/>
        <w:adjustRightInd w:val="0"/>
        <w:jc w:val="both"/>
        <w:rPr>
          <w:color w:val="000000" w:themeColor="text1"/>
          <w:sz w:val="16"/>
          <w:szCs w:val="16"/>
        </w:rPr>
      </w:pPr>
    </w:p>
    <w:p w14:paraId="1E4483A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57ACC85" w14:textId="77777777" w:rsidR="00665165" w:rsidRPr="00F90EAE" w:rsidRDefault="00665165" w:rsidP="00F90EAE">
      <w:pPr>
        <w:autoSpaceDE w:val="0"/>
        <w:autoSpaceDN w:val="0"/>
        <w:adjustRightInd w:val="0"/>
        <w:jc w:val="both"/>
        <w:rPr>
          <w:iCs/>
          <w:color w:val="000000" w:themeColor="text1"/>
          <w:sz w:val="16"/>
          <w:szCs w:val="16"/>
        </w:rPr>
      </w:pPr>
    </w:p>
    <w:p w14:paraId="1304E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Распоряжение ГКО № 7528. О срочной поставке нефти заводу № 172 НКВ. РГАНИР, Фонд ГКО, д. 370, лл. 193 (11012).</w:t>
      </w:r>
    </w:p>
    <w:p w14:paraId="3F527174" w14:textId="77777777" w:rsidR="00665165" w:rsidRPr="00F90EAE" w:rsidRDefault="00665165" w:rsidP="00F90EAE">
      <w:pPr>
        <w:autoSpaceDE w:val="0"/>
        <w:autoSpaceDN w:val="0"/>
        <w:adjustRightInd w:val="0"/>
        <w:jc w:val="both"/>
        <w:rPr>
          <w:color w:val="000000" w:themeColor="text1"/>
          <w:sz w:val="16"/>
          <w:szCs w:val="16"/>
        </w:rPr>
      </w:pPr>
    </w:p>
    <w:p w14:paraId="58D732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Постановление ГКО № 7529 № 7529 О мероприятиях по обеспечению мазутом заводов Наркомхимпрома: Кемеровского азотного, Березниковских азотного и № 761. РГАНИР, Фонд ГКО, д. 370, лл. 194-195 (11012).</w:t>
      </w:r>
    </w:p>
    <w:p w14:paraId="52B65DC8" w14:textId="77777777" w:rsidR="00665165" w:rsidRPr="00F90EAE" w:rsidRDefault="00665165" w:rsidP="00F90EAE">
      <w:pPr>
        <w:autoSpaceDE w:val="0"/>
        <w:autoSpaceDN w:val="0"/>
        <w:adjustRightInd w:val="0"/>
        <w:jc w:val="both"/>
        <w:rPr>
          <w:color w:val="000000" w:themeColor="text1"/>
          <w:sz w:val="16"/>
          <w:szCs w:val="16"/>
        </w:rPr>
      </w:pPr>
    </w:p>
    <w:p w14:paraId="3938A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Постановление ГКО № 7530 О мероприятиях по обеспечению углем Черноморского, Михайловского содового, Чирчикского азотного, 102, Актюбхимкомбината, № 761, № 237, 1-го калийного комбината, № 755 и Сталиногорского азотного заводов Наркомхимпрома. РГАНИР, Фонд ГКО, д. 370, лл. (11012).</w:t>
      </w:r>
    </w:p>
    <w:p w14:paraId="4D8C7378" w14:textId="77777777" w:rsidR="00665165" w:rsidRPr="00F90EAE" w:rsidRDefault="00665165" w:rsidP="00F90EAE">
      <w:pPr>
        <w:autoSpaceDE w:val="0"/>
        <w:autoSpaceDN w:val="0"/>
        <w:adjustRightInd w:val="0"/>
        <w:jc w:val="both"/>
        <w:rPr>
          <w:color w:val="000000" w:themeColor="text1"/>
          <w:sz w:val="16"/>
          <w:szCs w:val="16"/>
        </w:rPr>
      </w:pPr>
    </w:p>
    <w:p w14:paraId="2036A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Распоряжение ГКО № 7531. О дополнительном выделении бензина НКГБ СССР, Мособлисполкому и Куйбышевскому горисполкому. РГАНИР, Фонд ГКО, д. 370, лл. 198 (11012).</w:t>
      </w:r>
    </w:p>
    <w:p w14:paraId="6BA02E89" w14:textId="77777777" w:rsidR="00665165" w:rsidRPr="00F90EAE" w:rsidRDefault="00665165" w:rsidP="00F90EAE">
      <w:pPr>
        <w:autoSpaceDE w:val="0"/>
        <w:autoSpaceDN w:val="0"/>
        <w:adjustRightInd w:val="0"/>
        <w:jc w:val="both"/>
        <w:rPr>
          <w:color w:val="000000" w:themeColor="text1"/>
          <w:sz w:val="16"/>
          <w:szCs w:val="16"/>
        </w:rPr>
      </w:pPr>
    </w:p>
    <w:p w14:paraId="7B262A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Постановление ГКО № 7532 О мерах неотложной помощи углем Мосгорисполкому. РГАНИР, Фонд ГКО, д. 370, лл. 199-200 (11012).</w:t>
      </w:r>
    </w:p>
    <w:p w14:paraId="02304D25" w14:textId="77777777" w:rsidR="00665165" w:rsidRPr="00F90EAE" w:rsidRDefault="00665165" w:rsidP="00F90EAE">
      <w:pPr>
        <w:autoSpaceDE w:val="0"/>
        <w:autoSpaceDN w:val="0"/>
        <w:adjustRightInd w:val="0"/>
        <w:jc w:val="both"/>
        <w:rPr>
          <w:color w:val="000000" w:themeColor="text1"/>
          <w:sz w:val="16"/>
          <w:szCs w:val="16"/>
        </w:rPr>
      </w:pPr>
    </w:p>
    <w:p w14:paraId="120C4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11 февраля 1945 вышло Постановление ГКО № 7533 О производстве аэрофотоматериалов, кинопленки, киноаппаратуры в I квартале 1945 года. РГАНИР, Фонд ГКО, д. 370, лл. 201-205, 206-216 (11012).</w:t>
      </w:r>
    </w:p>
    <w:p w14:paraId="7B2E7401" w14:textId="77777777" w:rsidR="00665165" w:rsidRPr="00F90EAE" w:rsidRDefault="00665165" w:rsidP="00F90EAE">
      <w:pPr>
        <w:autoSpaceDE w:val="0"/>
        <w:autoSpaceDN w:val="0"/>
        <w:adjustRightInd w:val="0"/>
        <w:jc w:val="both"/>
        <w:rPr>
          <w:color w:val="000000" w:themeColor="text1"/>
          <w:sz w:val="16"/>
          <w:szCs w:val="16"/>
        </w:rPr>
      </w:pPr>
    </w:p>
    <w:p w14:paraId="402554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вышло Постановление ГКО № 7534 Об увеличении поставок абразивных изделий подшипниковым и другим заводам Наркомсредмаша в I квартале 1945 года и о мерах помощи абразивным заводам Наркомстанкостроения. РГАНИР, Фонд ГКО, д. 370, лл. 217-220 (11012).</w:t>
      </w:r>
    </w:p>
    <w:p w14:paraId="73343CA1" w14:textId="77777777" w:rsidR="00665165" w:rsidRPr="00F90EAE" w:rsidRDefault="00665165" w:rsidP="00F90EAE">
      <w:pPr>
        <w:autoSpaceDE w:val="0"/>
        <w:autoSpaceDN w:val="0"/>
        <w:adjustRightInd w:val="0"/>
        <w:jc w:val="both"/>
        <w:rPr>
          <w:color w:val="000000" w:themeColor="text1"/>
          <w:sz w:val="16"/>
          <w:szCs w:val="16"/>
        </w:rPr>
      </w:pPr>
    </w:p>
    <w:p w14:paraId="3606D0B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E82E45D" w14:textId="77777777" w:rsidR="00665165" w:rsidRPr="00F90EAE" w:rsidRDefault="00665165" w:rsidP="00F90EAE">
      <w:pPr>
        <w:autoSpaceDE w:val="0"/>
        <w:autoSpaceDN w:val="0"/>
        <w:adjustRightInd w:val="0"/>
        <w:jc w:val="both"/>
        <w:rPr>
          <w:iCs/>
          <w:color w:val="000000" w:themeColor="text1"/>
          <w:sz w:val="16"/>
          <w:szCs w:val="16"/>
        </w:rPr>
      </w:pPr>
    </w:p>
    <w:p w14:paraId="3E7F875F" w14:textId="77777777" w:rsidR="00DB43FF" w:rsidRPr="00F90EAE" w:rsidRDefault="00DB43FF" w:rsidP="00F90EAE">
      <w:pPr>
        <w:jc w:val="both"/>
        <w:rPr>
          <w:color w:val="000000" w:themeColor="text1"/>
          <w:sz w:val="16"/>
          <w:szCs w:val="16"/>
        </w:rPr>
      </w:pPr>
      <w:r w:rsidRPr="00F90EAE">
        <w:rPr>
          <w:bCs/>
          <w:color w:val="000000" w:themeColor="text1"/>
          <w:sz w:val="16"/>
          <w:szCs w:val="16"/>
        </w:rPr>
        <w:t>11 февраля</w:t>
      </w:r>
      <w:r w:rsidRPr="00F90EAE">
        <w:rPr>
          <w:color w:val="000000" w:themeColor="text1"/>
          <w:sz w:val="16"/>
          <w:szCs w:val="16"/>
        </w:rPr>
        <w:t xml:space="preserve"> в 1945 году оперативная сводка Совинформбюро:</w:t>
      </w:r>
    </w:p>
    <w:p w14:paraId="3D791B35" w14:textId="77777777" w:rsidR="00DB43FF" w:rsidRPr="00F90EAE" w:rsidRDefault="00DB43FF" w:rsidP="00F90EAE">
      <w:pPr>
        <w:jc w:val="both"/>
        <w:rPr>
          <w:color w:val="000000" w:themeColor="text1"/>
          <w:sz w:val="16"/>
          <w:szCs w:val="16"/>
        </w:rPr>
      </w:pPr>
      <w:r w:rsidRPr="00F90EAE">
        <w:rPr>
          <w:color w:val="000000" w:themeColor="text1"/>
          <w:sz w:val="16"/>
          <w:szCs w:val="16"/>
        </w:rPr>
        <w:t>«В течение 11 февраля в Восточной Пруссии наши войска в результате наступательных боёв овладели населёнными пунктами Мараунен, Хуссенен, Вондиттен, Вокелен, Гландау, Вагтен, Базен, Вузен. В боях за 10 февраля северо-западнее города Прейсиш Айлау войска 3-го Белорусского фронта захватили крупные военные склады, на которых, по предварительным данным, взято: автомашин — 4.200, новых орудийных стволов в упаковке — 1.000, орудийных лафетов — 400, стволов для станковых пулемётов — 5.000, танковых моторов — 400, автомобильных моторов — 250, мотоциклов — 500, бронетранспортёров — 50, тягачей — 211, вагонов с запасными частями для танков —100, вагонов с запасными частями для автомашин—100, мин — 1.000.000, снарядов — 1.000.000, железнодорожных вагонов с различным военным имуществом — 980.</w:t>
      </w:r>
    </w:p>
    <w:p w14:paraId="6A1595F8"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1-го Белорусского фронта, продолжая наступление, сегодня, 11 февраля, с боем овладели городами Дойч-Кроне и Меркиш-Фридланд — важными узлами коммуникаций и сильными опорными пунктами обороны немцев в Померании, а также с боями заняли более 30 других населённых пунктов.</w:t>
      </w:r>
    </w:p>
    <w:p w14:paraId="59274381" w14:textId="77777777" w:rsidR="00DB43FF" w:rsidRPr="00F90EAE" w:rsidRDefault="00DB43FF" w:rsidP="00F90EAE">
      <w:pPr>
        <w:jc w:val="both"/>
        <w:rPr>
          <w:color w:val="000000" w:themeColor="text1"/>
          <w:sz w:val="16"/>
          <w:szCs w:val="16"/>
        </w:rPr>
      </w:pPr>
      <w:r w:rsidRPr="00F90EAE">
        <w:rPr>
          <w:color w:val="000000" w:themeColor="text1"/>
          <w:sz w:val="16"/>
          <w:szCs w:val="16"/>
        </w:rPr>
        <w:t>В Шнайдемюле и Познани наши войска вели бои по уничтожению окружённых гарнизонов противника.</w:t>
      </w:r>
    </w:p>
    <w:p w14:paraId="525581BB"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1-го Украинского фронта форсировали реку Одер северо-западнее города Бреслау (Бреславль), прорвали сильно укреплённую долговременную оборону немцев на западном берегу реки и за четыре дня наступательных боёв продвинулись вперёд до 60 километров, расширив прорыв до 160 километров по фронту.</w:t>
      </w:r>
    </w:p>
    <w:p w14:paraId="355EC2EB" w14:textId="77777777" w:rsidR="00DB43FF" w:rsidRPr="00F90EAE" w:rsidRDefault="00DB43FF" w:rsidP="00F90EAE">
      <w:pPr>
        <w:jc w:val="both"/>
        <w:rPr>
          <w:color w:val="000000" w:themeColor="text1"/>
          <w:sz w:val="16"/>
          <w:szCs w:val="16"/>
        </w:rPr>
      </w:pPr>
      <w:r w:rsidRPr="00F90EAE">
        <w:rPr>
          <w:color w:val="000000" w:themeColor="text1"/>
          <w:sz w:val="16"/>
          <w:szCs w:val="16"/>
        </w:rPr>
        <w:t>В ходе наступления войска фронта овладели городами Лигниц, Штейнау, Любен, Гайнау, Ноймаркт и Кант — важными узлами коммуникаций и мощными опорными пунктами обороны немцев на западном берегу Одера, а также с боями заняли более 500 других населённых пунктов, среди которых крупные населённые пункты Придемост, Грамшюц, Фриденсхаген, Кваритц, Примкенау, Котценау, Гремсдорф, Нойдорф, Гросс Тинц, Гросс Баудисс, Костенблют, Рамфельд, Брейтенау.</w:t>
      </w:r>
    </w:p>
    <w:p w14:paraId="0F687F00" w14:textId="77777777" w:rsidR="00DB43FF" w:rsidRPr="00F90EAE" w:rsidRDefault="00DB43FF" w:rsidP="00F90EAE">
      <w:pPr>
        <w:jc w:val="both"/>
        <w:rPr>
          <w:color w:val="000000" w:themeColor="text1"/>
          <w:sz w:val="16"/>
          <w:szCs w:val="16"/>
        </w:rPr>
      </w:pPr>
      <w:r w:rsidRPr="00F90EAE">
        <w:rPr>
          <w:color w:val="000000" w:themeColor="text1"/>
          <w:sz w:val="16"/>
          <w:szCs w:val="16"/>
        </w:rPr>
        <w:t>Южнее города Катовице наши войска овладели городами Пшына, Дзедзице, а также с боями заняли населённые пункты Стара Весь, Лонка, Гочалковице, Забжег, Чеховице.</w:t>
      </w:r>
    </w:p>
    <w:p w14:paraId="36DCDD5F" w14:textId="77777777" w:rsidR="00DB43FF" w:rsidRPr="00F90EAE" w:rsidRDefault="00DB43FF" w:rsidP="00F90EAE">
      <w:pPr>
        <w:jc w:val="both"/>
        <w:rPr>
          <w:color w:val="000000" w:themeColor="text1"/>
          <w:sz w:val="16"/>
          <w:szCs w:val="16"/>
        </w:rPr>
      </w:pPr>
      <w:r w:rsidRPr="00F90EAE">
        <w:rPr>
          <w:color w:val="000000" w:themeColor="text1"/>
          <w:sz w:val="16"/>
          <w:szCs w:val="16"/>
        </w:rPr>
        <w:t>В Будапеште продолжались бои по уничтожению окружённого гарнизона противника, в ходе которых наши войска заняли 45 кварталов.</w:t>
      </w:r>
    </w:p>
    <w:p w14:paraId="52254C18" w14:textId="77777777" w:rsidR="00DB43FF" w:rsidRPr="00F90EAE" w:rsidRDefault="00DB43FF" w:rsidP="00F90EAE">
      <w:pPr>
        <w:jc w:val="both"/>
        <w:rPr>
          <w:color w:val="000000" w:themeColor="text1"/>
          <w:sz w:val="16"/>
          <w:szCs w:val="16"/>
        </w:rPr>
      </w:pPr>
      <w:r w:rsidRPr="00F90EAE">
        <w:rPr>
          <w:color w:val="000000" w:themeColor="text1"/>
          <w:sz w:val="16"/>
          <w:szCs w:val="16"/>
        </w:rPr>
        <w:t>При овладении городом Эльбинг войска 2-го Белорусского фронта взяли в плен более 2.700 немецких солдат и офицеров и захватили следующие трофеи: танков — 33, бронетранспортёров — 35, орудий — 200, автомашин — 790, паровозов — 40, вагонов — 1.141, пароходов — 2, складов с боеприпасами, снаряжением и продовольствием — 27. Противник потерял только убитыми до 5.000 солдат и офицеров.</w:t>
      </w:r>
    </w:p>
    <w:p w14:paraId="7BE5129A" w14:textId="77777777" w:rsidR="00DB43FF" w:rsidRPr="00F90EAE" w:rsidRDefault="00DB43FF"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1E078EA4" w14:textId="77777777" w:rsidR="00DB43FF" w:rsidRPr="00F90EAE" w:rsidRDefault="00DB43FF" w:rsidP="00F90EAE">
      <w:pPr>
        <w:jc w:val="both"/>
        <w:rPr>
          <w:color w:val="000000" w:themeColor="text1"/>
          <w:sz w:val="16"/>
          <w:szCs w:val="16"/>
        </w:rPr>
      </w:pPr>
      <w:r w:rsidRPr="00F90EAE">
        <w:rPr>
          <w:color w:val="000000" w:themeColor="text1"/>
          <w:sz w:val="16"/>
          <w:szCs w:val="16"/>
        </w:rPr>
        <w:t>За 10 февраля на всех фронтах подбито и уничтожено 220 немецких танков и самоходных орудий. В воздушных боях и огнём зенитной артиллерии сбито 26 самолётов противника.</w:t>
      </w:r>
    </w:p>
    <w:p w14:paraId="22F7E440" w14:textId="77777777" w:rsidR="00DB43FF" w:rsidRPr="00F90EAE" w:rsidRDefault="00DB43FF" w:rsidP="00F90EAE">
      <w:pPr>
        <w:jc w:val="both"/>
        <w:rPr>
          <w:color w:val="000000" w:themeColor="text1"/>
          <w:sz w:val="16"/>
          <w:szCs w:val="16"/>
        </w:rPr>
      </w:pPr>
      <w:r w:rsidRPr="00F90EAE">
        <w:rPr>
          <w:color w:val="000000" w:themeColor="text1"/>
          <w:sz w:val="16"/>
          <w:szCs w:val="16"/>
        </w:rPr>
        <w:t>В Восточной Пруссии южнее города Кенигсберга наши войска с боями продвигались вперёд. Противник, стремясь остановить наступление советских войск, предпринимал контратаки. Бои часто переходили в рукопашные схватки. Части Н-ского соединения прорвали сильно укреплённый рубеж немецкой обороны и ведут бои на подступах к городу Цинтен — важному узлу коммуникаций. Другие наши части выбили немцев из опорного пункта Вагтен, расположенного в трёх километрах западнее города Вормдитт. На поле боя осталось несколько тысяч трупов гитлеровцев. Сожжете и подбито 45 танков и самоходных орудий противника. Нашими войсками захвачено много трофеев и взято в плен 400 немцев.</w:t>
      </w:r>
    </w:p>
    <w:p w14:paraId="1AFC2758"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1-го Белорусского фронта продолжали наступление. Противник всё время подводит свежие резервы и с хода бросает их в контратаки. Особенно упорные бои произошли за город Дойч-Кроне. Немцы сильно укрепили город и подготовили его для круговой обороны. Советские пехотинцы, кавалеристы и танкисты преодолели лесной массив к западу от Дойч-Кроне и окружили гарнизон города. Гитлеровцы безуспешно пытались вырваться из «котла». Наши войска сегодня овладели городом Дойч-Кроне — узлом пяти железных и шести шоссейных дорог. Вражеский гарнизон ликвидирован. На улицах города и его окраинах осталось более 2.000 трупов немецких солдат и офицеров. Уничтожено 36 танков противника. Захвачено много трофеев и 600 пленных. Части 1-й Польской армии с боями продвинулись вперёд на 15 километров и в результате стремительной атаки овладели городом и железнодорожной станцией — Меркиш-Фридланд.</w:t>
      </w:r>
    </w:p>
    <w:p w14:paraId="567E285E" w14:textId="77777777" w:rsidR="00DB43FF" w:rsidRPr="00F90EAE" w:rsidRDefault="00DB43FF" w:rsidP="00F90EAE">
      <w:pPr>
        <w:jc w:val="both"/>
        <w:rPr>
          <w:color w:val="000000" w:themeColor="text1"/>
          <w:sz w:val="16"/>
          <w:szCs w:val="16"/>
        </w:rPr>
      </w:pPr>
      <w:r w:rsidRPr="00F90EAE">
        <w:rPr>
          <w:color w:val="000000" w:themeColor="text1"/>
          <w:sz w:val="16"/>
          <w:szCs w:val="16"/>
        </w:rPr>
        <w:t>Войска 1-го Украинского фронта перешли в наступление северо-западнее города Бреслау (Бреславль). Советские передовые отряды с помощью сапёрных подразделений форсировали реку Одер севернее и южнее города Штейнау и, отражая яростные контратаки немцев, обеспечили переправу через Одер наших основных сил. Совершив успешный манёвр, советские пехотинцы и танкисты окружили город Штейнау — мощную крепость на западном берегу Одера. На подступах к городу противник соорудил более 60 железобетонных много амбразурных дотов. В самом городе немцы превратили многие здания в сильные узлы сопротивления. Гарнизон Штейнау состоял из курсантов унтер-офицерской школы, танковых, гренадёрских и специальных батальонов. В ходе упорных боёв Штейнау был очищен от противника, а его гарнизон уничтожен. На улицах этого города осталось свыше 3 тысяч трупов немецких солдат и офицеров.</w:t>
      </w:r>
    </w:p>
    <w:p w14:paraId="40DF9057" w14:textId="77777777" w:rsidR="00DB43FF" w:rsidRPr="00F90EAE" w:rsidRDefault="00DB43FF" w:rsidP="00F90EAE">
      <w:pPr>
        <w:jc w:val="both"/>
        <w:rPr>
          <w:color w:val="000000" w:themeColor="text1"/>
          <w:sz w:val="16"/>
          <w:szCs w:val="16"/>
        </w:rPr>
      </w:pPr>
      <w:r w:rsidRPr="00F90EAE">
        <w:rPr>
          <w:color w:val="000000" w:themeColor="text1"/>
          <w:sz w:val="16"/>
          <w:szCs w:val="16"/>
        </w:rPr>
        <w:t>Захватив плацдарм на западном берегу Одера, советские пехотинцы, танкисты и артиллеристы в ходе ожесточённых боёв прорвали глубоко эшелонированную оборону противника и устремились в северо-западном, западном и юго-западном направлениях. Немцы ввели в бой крупные силы танков и пехоты, но не смогли задержать продвижения советских войск. Минуя минные поля, наши танкисты обошли город Любен с юга. Одновременно к городу приблизились с севера пехотные части. Вражеский гарнизон, оказавшийся в окружении, был наголову разбит. Ожесточённые бои произошли за крупный промышленный город Лигниц, превращенный немцами в мощный опорный пункт. Стремительно продвигаясь вперёд, наши танкисты ворвались в город с севера. В то же время пехотные соединения нанесли удар с юга. Упорные уличные бои продолжались весь день. Советские войска сегодня полностью овладели городом Лигниц — важным центром военной промышленности противника. Преодолевая сопротивление немцев на промежуточных рубежах, наши войска заняли города Гайнау, Ноймаркт, Кант и перерезали автомагистраль Бреслау — Берлин. Город Кант расположен в 16 километрах западнее Бреслау. Противник, подвергающийся непрерывным ударам советских подвижных соединений и пехоты, несет огромные потери. Только за один день уничтожено 60 немецких танков, 70 бронетранспортёров и 120 орудий. Захвачены большие трофеи, в том числе 37 немецких самолётов, много вооружения, крупный узел связи, склады с боеприпасами и военным имуществом. Взято в плен более 2.000 немецких солдат и офицеров.</w:t>
      </w:r>
    </w:p>
    <w:p w14:paraId="5BB12C8D" w14:textId="77777777" w:rsidR="00DB43FF" w:rsidRPr="00F90EAE" w:rsidRDefault="00DB43FF" w:rsidP="00F90EAE">
      <w:pPr>
        <w:jc w:val="both"/>
        <w:rPr>
          <w:color w:val="000000" w:themeColor="text1"/>
          <w:sz w:val="16"/>
          <w:szCs w:val="16"/>
          <w:lang w:val="en-US"/>
        </w:rPr>
      </w:pPr>
      <w:r w:rsidRPr="00F90EAE">
        <w:rPr>
          <w:color w:val="000000" w:themeColor="text1"/>
          <w:sz w:val="16"/>
          <w:szCs w:val="16"/>
        </w:rPr>
        <w:t xml:space="preserve">В западной части Будапешта наши гвардейские части, подержанные артиллерией, преодолели укреплённый участок железной дороги и овладели Южным вокзалом. Другие наши подразделения очистили от гитлеровцев несколько кварталов и ведут бои у подножья горы Геллертхедь. Взято 580 пленных. Захвачено 11 танков и бронетранспортёров, 37 орудий, 5 паровозов, 100 железнодорожных вагонов и другие трофеи.» </w:t>
      </w:r>
      <w:r w:rsidRPr="00F90EAE">
        <w:rPr>
          <w:color w:val="000000" w:themeColor="text1"/>
          <w:sz w:val="16"/>
          <w:szCs w:val="16"/>
          <w:lang w:val="en-US"/>
        </w:rPr>
        <w:t>(15037).</w:t>
      </w:r>
    </w:p>
    <w:p w14:paraId="3706F9FC" w14:textId="77777777" w:rsidR="00DB43FF" w:rsidRPr="00F90EAE" w:rsidRDefault="00DB43FF" w:rsidP="00F90EAE">
      <w:pPr>
        <w:jc w:val="both"/>
        <w:rPr>
          <w:color w:val="000000" w:themeColor="text1"/>
          <w:sz w:val="16"/>
          <w:szCs w:val="16"/>
          <w:lang w:val="en-US"/>
        </w:rPr>
      </w:pPr>
    </w:p>
    <w:p w14:paraId="21B10D7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11, 1945: In the East, the Red Army has encircled the fortress city of Kustrin on the Oder (3819).</w:t>
      </w:r>
    </w:p>
    <w:p w14:paraId="205D7A2D" w14:textId="77777777" w:rsidR="00665165" w:rsidRPr="00F90EAE" w:rsidRDefault="00665165" w:rsidP="00F90EAE">
      <w:pPr>
        <w:autoSpaceDE w:val="0"/>
        <w:autoSpaceDN w:val="0"/>
        <w:adjustRightInd w:val="0"/>
        <w:jc w:val="both"/>
        <w:rPr>
          <w:color w:val="000000" w:themeColor="text1"/>
          <w:sz w:val="16"/>
          <w:szCs w:val="16"/>
          <w:lang w:val="en-US"/>
        </w:rPr>
      </w:pPr>
    </w:p>
    <w:p w14:paraId="3D24C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КА окружили Кюстрин на Одере (3819).</w:t>
      </w:r>
    </w:p>
    <w:p w14:paraId="46EC4227" w14:textId="77777777" w:rsidR="00665165" w:rsidRPr="00F90EAE" w:rsidRDefault="00665165" w:rsidP="00F90EAE">
      <w:pPr>
        <w:autoSpaceDE w:val="0"/>
        <w:autoSpaceDN w:val="0"/>
        <w:adjustRightInd w:val="0"/>
        <w:jc w:val="both"/>
        <w:rPr>
          <w:color w:val="000000" w:themeColor="text1"/>
          <w:sz w:val="16"/>
          <w:szCs w:val="16"/>
        </w:rPr>
      </w:pPr>
    </w:p>
    <w:p w14:paraId="70B2A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февраля 1945 погиб И.С.Полбин (271,224) - в 157 вылете в свой день рождения над Бреслау - врезался на горящей машине - подаренном Пе-2 - в батарею (455,168). По другим данным, на выходе из пикирования снаряд попал в кабину и машина взорвалась в воздухе (3044,114).</w:t>
      </w:r>
    </w:p>
    <w:p w14:paraId="0FB76ED6" w14:textId="77777777" w:rsidR="00665165" w:rsidRPr="00F90EAE" w:rsidRDefault="00665165" w:rsidP="00F90EAE">
      <w:pPr>
        <w:autoSpaceDE w:val="0"/>
        <w:autoSpaceDN w:val="0"/>
        <w:adjustRightInd w:val="0"/>
        <w:jc w:val="both"/>
        <w:rPr>
          <w:color w:val="000000" w:themeColor="text1"/>
          <w:sz w:val="16"/>
          <w:szCs w:val="16"/>
        </w:rPr>
      </w:pPr>
    </w:p>
    <w:p w14:paraId="0B23B9B9"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Внешняя</w:t>
      </w:r>
      <w:r w:rsidRPr="00F90EAE">
        <w:rPr>
          <w:i/>
          <w:iCs/>
          <w:color w:val="000000" w:themeColor="text1"/>
          <w:sz w:val="16"/>
          <w:szCs w:val="16"/>
          <w:lang w:val="en-US"/>
        </w:rPr>
        <w:t xml:space="preserve"> </w:t>
      </w:r>
      <w:r w:rsidRPr="00F90EAE">
        <w:rPr>
          <w:i/>
          <w:iCs/>
          <w:color w:val="000000" w:themeColor="text1"/>
          <w:sz w:val="16"/>
          <w:szCs w:val="16"/>
        </w:rPr>
        <w:t>политика</w:t>
      </w:r>
      <w:r w:rsidRPr="00F90EAE">
        <w:rPr>
          <w:i/>
          <w:iCs/>
          <w:color w:val="000000" w:themeColor="text1"/>
          <w:sz w:val="16"/>
          <w:szCs w:val="16"/>
          <w:lang w:val="en-US"/>
        </w:rPr>
        <w:t>:</w:t>
      </w:r>
    </w:p>
    <w:p w14:paraId="7498A799" w14:textId="77777777" w:rsidR="00665165" w:rsidRPr="00F90EAE" w:rsidRDefault="00665165" w:rsidP="00F90EAE">
      <w:pPr>
        <w:autoSpaceDE w:val="0"/>
        <w:autoSpaceDN w:val="0"/>
        <w:adjustRightInd w:val="0"/>
        <w:jc w:val="both"/>
        <w:rPr>
          <w:iCs/>
          <w:color w:val="000000" w:themeColor="text1"/>
          <w:sz w:val="16"/>
          <w:szCs w:val="16"/>
          <w:lang w:val="en-US"/>
        </w:rPr>
      </w:pPr>
    </w:p>
    <w:p w14:paraId="1F629E0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On February 11, 1945, following their meetings at Yalta, President Roosevelt, Prime Minister Churchill, and Premier Stalin declared their resolve to establish "a general international organization to maintain peace and security."(1286).</w:t>
      </w:r>
    </w:p>
    <w:p w14:paraId="25555FB7" w14:textId="77777777" w:rsidR="00665165" w:rsidRPr="00F90EAE" w:rsidRDefault="00665165" w:rsidP="00F90EAE">
      <w:pPr>
        <w:autoSpaceDE w:val="0"/>
        <w:autoSpaceDN w:val="0"/>
        <w:adjustRightInd w:val="0"/>
        <w:jc w:val="both"/>
        <w:rPr>
          <w:color w:val="000000" w:themeColor="text1"/>
          <w:sz w:val="16"/>
          <w:szCs w:val="16"/>
          <w:lang w:val="en-US"/>
        </w:rPr>
      </w:pPr>
    </w:p>
    <w:p w14:paraId="5745BBE8" w14:textId="77777777" w:rsidR="00DB43FF" w:rsidRPr="00F90EAE" w:rsidRDefault="00DB43FF" w:rsidP="00F90EAE">
      <w:pPr>
        <w:jc w:val="both"/>
        <w:rPr>
          <w:color w:val="000000" w:themeColor="text1"/>
          <w:sz w:val="16"/>
          <w:szCs w:val="16"/>
        </w:rPr>
      </w:pPr>
      <w:r w:rsidRPr="00F90EAE">
        <w:rPr>
          <w:bCs/>
          <w:color w:val="000000" w:themeColor="text1"/>
          <w:sz w:val="16"/>
          <w:szCs w:val="16"/>
        </w:rPr>
        <w:t>11 февраля</w:t>
      </w:r>
      <w:r w:rsidRPr="00F90EAE">
        <w:rPr>
          <w:color w:val="000000" w:themeColor="text1"/>
          <w:sz w:val="16"/>
          <w:szCs w:val="16"/>
        </w:rPr>
        <w:t xml:space="preserve"> в 1945 году завершила свою работу Крымская конференция «Большой тройки», на которой был принят план послевоенного устройства Европы (15037).</w:t>
      </w:r>
    </w:p>
    <w:p w14:paraId="2946979D" w14:textId="77777777" w:rsidR="00DB43FF" w:rsidRPr="00F90EAE" w:rsidRDefault="00DB43FF" w:rsidP="00F90EAE">
      <w:pPr>
        <w:jc w:val="both"/>
        <w:rPr>
          <w:color w:val="000000" w:themeColor="text1"/>
          <w:sz w:val="16"/>
          <w:szCs w:val="16"/>
        </w:rPr>
      </w:pPr>
    </w:p>
    <w:p w14:paraId="14331DD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80C25E9" w14:textId="77777777" w:rsidR="00665165" w:rsidRPr="00F90EAE" w:rsidRDefault="00665165" w:rsidP="00F90EAE">
      <w:pPr>
        <w:autoSpaceDE w:val="0"/>
        <w:autoSpaceDN w:val="0"/>
        <w:adjustRightInd w:val="0"/>
        <w:jc w:val="both"/>
        <w:rPr>
          <w:iCs/>
          <w:color w:val="000000" w:themeColor="text1"/>
          <w:sz w:val="16"/>
          <w:szCs w:val="16"/>
        </w:rPr>
      </w:pPr>
    </w:p>
    <w:p w14:paraId="2B58169A" w14:textId="77777777" w:rsidR="00F0528A" w:rsidRPr="00F90EAE" w:rsidRDefault="00F0528A" w:rsidP="00F90EAE">
      <w:pPr>
        <w:jc w:val="both"/>
        <w:rPr>
          <w:color w:val="0070C0"/>
          <w:sz w:val="16"/>
          <w:szCs w:val="16"/>
        </w:rPr>
      </w:pPr>
      <w:r w:rsidRPr="00F90EAE">
        <w:rPr>
          <w:color w:val="0070C0"/>
          <w:sz w:val="16"/>
          <w:szCs w:val="16"/>
        </w:rPr>
        <w:t>11 февраля 1945 года — первый полёт истребителя Consolidated Vultee XP-81. /США/</w:t>
      </w:r>
    </w:p>
    <w:p w14:paraId="6D67E616" w14:textId="77777777" w:rsidR="00F0528A" w:rsidRPr="00F90EAE" w:rsidRDefault="00F0528A" w:rsidP="00F90EAE">
      <w:pPr>
        <w:jc w:val="both"/>
        <w:rPr>
          <w:color w:val="0070C0"/>
          <w:sz w:val="16"/>
          <w:szCs w:val="16"/>
        </w:rPr>
      </w:pPr>
      <w:r w:rsidRPr="00F90EAE">
        <w:rPr>
          <w:color w:val="0070C0"/>
          <w:sz w:val="16"/>
          <w:szCs w:val="16"/>
        </w:rPr>
        <w:t>К 1943 году ВВС США нуждалось в дальнем истребителе для сопровождения бомбардировщиков. Было принято решение создать самолёт с реактивно-турбовинтовой силовой установкой. Разработку истребителя XP-81 заказали корпорации Consolidated Vultee.</w:t>
      </w:r>
    </w:p>
    <w:p w14:paraId="45F2D985" w14:textId="77777777" w:rsidR="00F0528A" w:rsidRPr="00F90EAE" w:rsidRDefault="00F0528A" w:rsidP="00F90EAE">
      <w:pPr>
        <w:jc w:val="both"/>
        <w:rPr>
          <w:color w:val="0070C0"/>
          <w:sz w:val="16"/>
          <w:szCs w:val="16"/>
        </w:rPr>
      </w:pPr>
      <w:r w:rsidRPr="00F90EAE">
        <w:rPr>
          <w:color w:val="0070C0"/>
          <w:sz w:val="16"/>
          <w:szCs w:val="16"/>
        </w:rPr>
        <w:lastRenderedPageBreak/>
        <w:t>XP-81 представлял собой низкоплан с трапециевидным крылом с прямой передней кромкой и убираемым шасси. Оснащался турбовинтовым двигателем General Electric T31-GE-3 (но первые полёты выполнил с поршневым Packard V-1650 Merlin) и турбореактивным General Electric J33-GE-5. Максимальная скорость — 816 км/ч, дальность полёта — 4000 км. Вооружение состояло из 6 × 20-мм пушек и 910 кг бомб.</w:t>
      </w:r>
    </w:p>
    <w:p w14:paraId="108FA327" w14:textId="77777777" w:rsidR="00F0528A" w:rsidRPr="00F90EAE" w:rsidRDefault="00F0528A" w:rsidP="00F90EAE">
      <w:pPr>
        <w:jc w:val="both"/>
        <w:rPr>
          <w:color w:val="0070C0"/>
          <w:sz w:val="16"/>
          <w:szCs w:val="16"/>
        </w:rPr>
      </w:pPr>
      <w:r w:rsidRPr="00F90EAE">
        <w:rPr>
          <w:color w:val="0070C0"/>
          <w:sz w:val="16"/>
          <w:szCs w:val="16"/>
        </w:rPr>
        <w:t>Смешанная силовая установка не оправдала себя на испытаниях. К тому же, война закончилась и необходимость в таком истребителе отпала. Два построенных прототипа XP-81 отправились мишенями на полигон. После, то, что от них осталось передали в Национальный музей ВВС США (22300).</w:t>
      </w:r>
    </w:p>
    <w:p w14:paraId="7172CEDB" w14:textId="77777777" w:rsidR="00F0528A" w:rsidRPr="00F90EAE" w:rsidRDefault="00F0528A" w:rsidP="00F90EAE">
      <w:pPr>
        <w:jc w:val="both"/>
        <w:rPr>
          <w:color w:val="0070C0"/>
          <w:sz w:val="16"/>
          <w:szCs w:val="16"/>
        </w:rPr>
      </w:pPr>
    </w:p>
    <w:p w14:paraId="5C769088" w14:textId="77777777" w:rsidR="00F0528A" w:rsidRPr="00F90EAE" w:rsidRDefault="00F0528A" w:rsidP="00F90EAE">
      <w:pPr>
        <w:jc w:val="both"/>
        <w:rPr>
          <w:color w:val="0070C0"/>
          <w:sz w:val="16"/>
          <w:szCs w:val="16"/>
        </w:rPr>
      </w:pPr>
      <w:r w:rsidRPr="00F90EAE">
        <w:rPr>
          <w:color w:val="0070C0"/>
          <w:sz w:val="16"/>
          <w:szCs w:val="16"/>
        </w:rPr>
        <w:t>11 февраля 1945 - Первый полет дальнего эскортного истребителя Consolidated Vultee XP-81.</w:t>
      </w:r>
    </w:p>
    <w:p w14:paraId="4B939DAD" w14:textId="77777777" w:rsidR="00F0528A" w:rsidRPr="00F90EAE" w:rsidRDefault="00F0528A" w:rsidP="00F90EAE">
      <w:pPr>
        <w:jc w:val="both"/>
        <w:rPr>
          <w:color w:val="0070C0"/>
          <w:sz w:val="16"/>
          <w:szCs w:val="16"/>
        </w:rPr>
      </w:pPr>
      <w:r w:rsidRPr="00F90EAE">
        <w:rPr>
          <w:color w:val="0070C0"/>
          <w:sz w:val="16"/>
          <w:szCs w:val="16"/>
        </w:rPr>
        <w:t>После слияния в 1943 году фирм Consolidated и Vultee в одну корпорацию Convair одной из первых совместных разработок объединенного конструкторского бюро стал истребитель ХР-81. В то время силу набирала программа строительства реактивных самолётов, хотя наибольший приоритет пока отдавался машинам с поршневыми двигателями. Наибольший недостаток самолётов на реактивной тяге заключался в чрезмерно большом потреблении топлива, что отрицательно сказывалось на продолжительности и дальности полёта. В качестве преимущества упор делался на высокую максимальную скорость чего так не хватало обычным самолётам. Выход казался в компромиссном варианте - соединении только появившегося, но очень перспективного, турбовинтового и реактивного двигателей, что и было оформлено в середине 1943 года соответствующей спецификацией выданной USАAF. Принцип использования обеих силовых установок заключался в следующем: старт осуществлялся при помощи реактивной тяги, а в горизонтальном полете включался турбовинтовой двигатель.</w:t>
      </w:r>
    </w:p>
    <w:p w14:paraId="7914E1BE" w14:textId="77777777" w:rsidR="00F0528A" w:rsidRPr="00F90EAE" w:rsidRDefault="00F0528A" w:rsidP="00F90EAE">
      <w:pPr>
        <w:jc w:val="both"/>
        <w:rPr>
          <w:color w:val="0070C0"/>
          <w:sz w:val="16"/>
          <w:szCs w:val="16"/>
        </w:rPr>
      </w:pPr>
      <w:r w:rsidRPr="00F90EAE">
        <w:rPr>
          <w:color w:val="0070C0"/>
          <w:sz w:val="16"/>
          <w:szCs w:val="16"/>
        </w:rPr>
        <w:t>Самое деятельное участие в создании истребителя со смешанной силовой установкой приняли инженер фирмы Vultee Чарльз Р."Джек" Ирвин и лётчик-испытатель Фрэнк В.Дэвис, сотрудничавшие со специалистами из USAAF. Совместными усилиями они спроектировали одноместный истребитель с низкорасположенным крылом, у которого экспериментальный турбовинтовой двигатель General Electric TG-100 (позднее переименованный в ХТ31) устанавливался в носовой части фюзеляжа, а реактивный Allison J33-GE-5 в хвостовой. Подача воздуха для него осуществлялась через два воздухозаборника расположенные на "спине" в средней части фюзеляжа.</w:t>
      </w:r>
    </w:p>
    <w:p w14:paraId="31252571" w14:textId="77777777" w:rsidR="00F0528A" w:rsidRPr="00F90EAE" w:rsidRDefault="00F0528A" w:rsidP="00F90EAE">
      <w:pPr>
        <w:jc w:val="both"/>
        <w:rPr>
          <w:color w:val="0070C0"/>
          <w:sz w:val="16"/>
          <w:szCs w:val="16"/>
        </w:rPr>
      </w:pPr>
      <w:r w:rsidRPr="00F90EAE">
        <w:rPr>
          <w:color w:val="0070C0"/>
          <w:sz w:val="16"/>
          <w:szCs w:val="16"/>
        </w:rPr>
        <w:t>Заканчивающаяся война и захват близлежащих к Японии островов привели к отказу ВВС от дальнего эскортного истребителя. Заказ на 13 предсерийных YР-81 аннулировали (22601).</w:t>
      </w:r>
    </w:p>
    <w:p w14:paraId="791A3DC8" w14:textId="77777777" w:rsidR="00F0528A" w:rsidRPr="00F90EAE" w:rsidRDefault="00F0528A" w:rsidP="00F90EAE">
      <w:pPr>
        <w:jc w:val="both"/>
        <w:rPr>
          <w:color w:val="0070C0"/>
          <w:sz w:val="16"/>
          <w:szCs w:val="16"/>
        </w:rPr>
      </w:pPr>
    </w:p>
    <w:p w14:paraId="7EC12AC6" w14:textId="77777777" w:rsidR="00F0528A" w:rsidRPr="00F90EAE" w:rsidRDefault="00F0528A" w:rsidP="00F90EAE">
      <w:pPr>
        <w:jc w:val="both"/>
        <w:rPr>
          <w:color w:val="0070C0"/>
          <w:sz w:val="16"/>
          <w:szCs w:val="16"/>
        </w:rPr>
      </w:pPr>
      <w:r w:rsidRPr="00F90EAE">
        <w:rPr>
          <w:color w:val="0070C0"/>
          <w:sz w:val="16"/>
          <w:szCs w:val="16"/>
        </w:rPr>
        <w:t>11 февраля 1945 реактивный бомбардировщик впервые сбит в воздушном бою, когда Hawker Tempest Mark V Королевских ВВС сбивает немецкий Luftwaffe Arado Ar 234B Blitz (Lightning) (20371).</w:t>
      </w:r>
    </w:p>
    <w:p w14:paraId="5392D75A" w14:textId="77777777" w:rsidR="00F0528A" w:rsidRPr="00F90EAE" w:rsidRDefault="00F0528A" w:rsidP="00F90EAE">
      <w:pPr>
        <w:jc w:val="both"/>
        <w:rPr>
          <w:color w:val="0070C0"/>
          <w:sz w:val="16"/>
          <w:szCs w:val="16"/>
        </w:rPr>
      </w:pPr>
    </w:p>
    <w:p w14:paraId="55171198" w14:textId="77777777" w:rsidR="00DB43FF" w:rsidRPr="00F90EAE" w:rsidRDefault="00DB43FF" w:rsidP="00F90EAE">
      <w:pPr>
        <w:jc w:val="both"/>
        <w:rPr>
          <w:color w:val="000000" w:themeColor="text1"/>
          <w:sz w:val="16"/>
          <w:szCs w:val="16"/>
        </w:rPr>
      </w:pPr>
      <w:r w:rsidRPr="00F90EAE">
        <w:rPr>
          <w:bCs/>
          <w:color w:val="000000" w:themeColor="text1"/>
          <w:sz w:val="16"/>
          <w:szCs w:val="16"/>
        </w:rPr>
        <w:t>11 февраля</w:t>
      </w:r>
      <w:r w:rsidRPr="00F90EAE">
        <w:rPr>
          <w:color w:val="000000" w:themeColor="text1"/>
          <w:sz w:val="16"/>
          <w:szCs w:val="16"/>
        </w:rPr>
        <w:t xml:space="preserve"> в 1945 году командир 174 эскадрильи Д.С.Фербенкс (D.C.Fairbanks) сбил над аэродромом Рейн при заходе на посадку самолет «Ar.234В2» (зав. № 140149, код 4V*DH), принадлежавший отряду 1(F)/123, в котором погиб капитан Г.Фельд (H.Felde). «Аг 234В-2» — первый одноместный серийный реактивный бомбардировщик. Вооружение — две неподвижные пушки MG 151. стрелявшие параллельно оси фюзеляжа назад, с боезапасом по 250 выстрелов на ствол. Бомбовая нагрузка могла браться в трех вариантах: одна бомба 1000 кг — под фюзеляжем, 2 бомбы по 500 кг — под гондолами двигателей, одна бомба 500 кг — под фюзеляжем и две бомбы по 250 кг — под гондолами двигателей.</w:t>
      </w:r>
    </w:p>
    <w:p w14:paraId="710AC5AA" w14:textId="77777777" w:rsidR="00DB43FF" w:rsidRPr="00F90EAE" w:rsidRDefault="00DB43FF" w:rsidP="00F90EAE">
      <w:pPr>
        <w:jc w:val="both"/>
        <w:rPr>
          <w:color w:val="000000" w:themeColor="text1"/>
          <w:sz w:val="16"/>
          <w:szCs w:val="16"/>
        </w:rPr>
      </w:pPr>
      <w:r w:rsidRPr="00F90EAE">
        <w:rPr>
          <w:color w:val="000000" w:themeColor="text1"/>
          <w:sz w:val="16"/>
          <w:szCs w:val="16"/>
        </w:rPr>
        <w:t>Он стал первым серийным самолетом с неподвижным оружием для стрельбы назад. Это было вызвано появлением в последние годы войны высокоскоростных, но маломаневренных реактивных истребителей, в связи с чем линия погони в воздушном бою приближалась к прямой и наиболее вероятной для истребителя являлась атака бомбардировщика с хвоста (15037).</w:t>
      </w:r>
    </w:p>
    <w:p w14:paraId="454DF59B" w14:textId="77777777" w:rsidR="00DB43FF" w:rsidRPr="00F90EAE" w:rsidRDefault="00DB43FF" w:rsidP="00F90EAE">
      <w:pPr>
        <w:jc w:val="both"/>
        <w:rPr>
          <w:color w:val="000000" w:themeColor="text1"/>
          <w:sz w:val="16"/>
          <w:szCs w:val="16"/>
        </w:rPr>
      </w:pPr>
    </w:p>
    <w:p w14:paraId="5AD4160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февраля 1945 в Германии женщины от 16 до 60 лет призваны в “фольксштурм” (4962).</w:t>
      </w:r>
    </w:p>
    <w:p w14:paraId="155EA2E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A9D2C6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февраля 1945 в освобожденной от фашистов Бельгии сформировано правительство национального единства (4962).</w:t>
      </w:r>
    </w:p>
    <w:p w14:paraId="2ABD17C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45F52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февраля 1945 лидеры русской белой эмиграции в Париже приветствовали победы Красной Армии (4962).</w:t>
      </w:r>
    </w:p>
    <w:p w14:paraId="1DDA941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56EFACF" w14:textId="77777777" w:rsidR="00DB43FF" w:rsidRPr="00F90EAE" w:rsidRDefault="00DB43FF" w:rsidP="00F90EAE">
      <w:pPr>
        <w:jc w:val="both"/>
        <w:rPr>
          <w:color w:val="000000" w:themeColor="text1"/>
          <w:sz w:val="16"/>
          <w:szCs w:val="16"/>
        </w:rPr>
      </w:pPr>
      <w:r w:rsidRPr="00F90EAE">
        <w:rPr>
          <w:bCs/>
          <w:color w:val="000000" w:themeColor="text1"/>
          <w:sz w:val="16"/>
          <w:szCs w:val="16"/>
        </w:rPr>
        <w:t>11 февраля</w:t>
      </w:r>
      <w:r w:rsidRPr="00F90EAE">
        <w:rPr>
          <w:color w:val="000000" w:themeColor="text1"/>
          <w:sz w:val="16"/>
          <w:szCs w:val="16"/>
        </w:rPr>
        <w:t xml:space="preserve"> в 1945 году в Финляндии вышла первая книжка Туве Янссон о приключениях муми-троллей «Маленькие тролли и большое наводнение» (15037).</w:t>
      </w:r>
    </w:p>
    <w:p w14:paraId="6D98BE99" w14:textId="77777777" w:rsidR="00DB43FF" w:rsidRPr="00F90EAE" w:rsidRDefault="00DB43FF" w:rsidP="00F90EAE">
      <w:pPr>
        <w:jc w:val="both"/>
        <w:rPr>
          <w:color w:val="000000" w:themeColor="text1"/>
          <w:sz w:val="16"/>
          <w:szCs w:val="16"/>
        </w:rPr>
      </w:pPr>
    </w:p>
    <w:p w14:paraId="17D4E6E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DAACE02" w14:textId="77777777" w:rsidR="00665165" w:rsidRPr="00F90EAE" w:rsidRDefault="00665165" w:rsidP="00F90EAE">
      <w:pPr>
        <w:autoSpaceDE w:val="0"/>
        <w:autoSpaceDN w:val="0"/>
        <w:adjustRightInd w:val="0"/>
        <w:jc w:val="both"/>
        <w:rPr>
          <w:iCs/>
          <w:color w:val="000000" w:themeColor="text1"/>
          <w:sz w:val="16"/>
          <w:szCs w:val="16"/>
        </w:rPr>
      </w:pPr>
    </w:p>
    <w:p w14:paraId="7CAE15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12 - 17 февраля 1945 года. VIII Пленум ЦК профсоюза. Из доклада А.М. Вассермана (подводит итоги работы за время войны): "... 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 ... 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 ... За бесперебойное снабжение фронта самолетами во все возрастающем количестве в 1941-1943 гг. правительством были награждены орденами целый ряд заводов АП, как-то: №№ 1, 18, 21, 24 и другие. За годы Отечественной войны 5384 рабочих, инженеров, техников и служащих АП награждены правительством орденами и медалями... 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растеряна…В настоящее время мы имеем 64 действующих клуба. Огромные государственные ассигнования позволили НКАП в годы войны наращивать наличный жилой фонд от 12 % до 25 % ежегодно. ... Президиумом ЦК союза и заводскими комитетами была проведена большая работа по организации летнего отдыха детей. В 1944 году вывезли детей в п/лагеря 59 100 человек. По плану, утвержденному ВЦСПС, должны были вывести 50 000 детей ..,. В 1945 году нам предстоит в полтора раза увеличить вывоз детей в пионерлагеря... ... На 01.01.45 года мы имеем членов профсоюза 83,4%..." (11764).</w:t>
      </w:r>
    </w:p>
    <w:p w14:paraId="3D768D8B" w14:textId="77777777" w:rsidR="00665165" w:rsidRPr="00F90EAE" w:rsidRDefault="00665165" w:rsidP="00F90EAE">
      <w:pPr>
        <w:autoSpaceDE w:val="0"/>
        <w:autoSpaceDN w:val="0"/>
        <w:adjustRightInd w:val="0"/>
        <w:jc w:val="both"/>
        <w:rPr>
          <w:color w:val="000000" w:themeColor="text1"/>
          <w:sz w:val="16"/>
          <w:szCs w:val="16"/>
        </w:rPr>
      </w:pPr>
    </w:p>
    <w:p w14:paraId="0820D19C" w14:textId="77777777" w:rsidR="00720DFE" w:rsidRPr="00F90EAE" w:rsidRDefault="00720DFE" w:rsidP="00F90EAE">
      <w:pPr>
        <w:jc w:val="both"/>
        <w:rPr>
          <w:color w:val="000000" w:themeColor="text1"/>
          <w:sz w:val="16"/>
          <w:szCs w:val="16"/>
        </w:rPr>
      </w:pPr>
      <w:r w:rsidRPr="00F90EAE">
        <w:rPr>
          <w:color w:val="000000" w:themeColor="text1"/>
          <w:sz w:val="16"/>
          <w:szCs w:val="16"/>
        </w:rPr>
        <w:t>12 – 17 февраля 1945 года VIII Пленум ЦК профсоюза работников АП.</w:t>
      </w:r>
    </w:p>
    <w:p w14:paraId="6E16056B" w14:textId="77777777" w:rsidR="00720DFE" w:rsidRPr="00F90EAE" w:rsidRDefault="00720DFE" w:rsidP="00F90EAE">
      <w:pPr>
        <w:jc w:val="both"/>
        <w:rPr>
          <w:color w:val="000000" w:themeColor="text1"/>
          <w:sz w:val="16"/>
          <w:szCs w:val="16"/>
        </w:rPr>
      </w:pPr>
      <w:r w:rsidRPr="00F90EAE">
        <w:rPr>
          <w:color w:val="000000" w:themeColor="text1"/>
          <w:sz w:val="16"/>
          <w:szCs w:val="16"/>
        </w:rPr>
        <w:t>Из доклада А. М. Вассермана (подводит итоги работы за время войны):</w:t>
      </w:r>
    </w:p>
    <w:p w14:paraId="5DDAB91A" w14:textId="77777777" w:rsidR="00720DFE" w:rsidRPr="00F90EAE" w:rsidRDefault="00720DFE" w:rsidP="00F90EAE">
      <w:pPr>
        <w:jc w:val="both"/>
        <w:rPr>
          <w:color w:val="000000" w:themeColor="text1"/>
          <w:sz w:val="16"/>
          <w:szCs w:val="16"/>
        </w:rPr>
      </w:pPr>
      <w:r w:rsidRPr="00F90EAE">
        <w:rPr>
          <w:color w:val="000000" w:themeColor="text1"/>
          <w:sz w:val="16"/>
          <w:szCs w:val="16"/>
        </w:rPr>
        <w:t>"...В первый год или, вернее, полугодие, состав президиума, да и в целом состав ответственных работников ЦК союза, в связи с уходом в Красную Армию значительно сократился. Так, из 37 ответственных работников ЦК ушло в Красную Армию 22 человека, а из 9 членов президиума осталось только двое. Некоторые из ушедших товарищей, защищая нашу Родину, пали смертью храбрых. Остальные и сейчас со всем советским патриотизмом бьют фашистского зверя в его собственной берлоге.</w:t>
      </w:r>
    </w:p>
    <w:p w14:paraId="2AFC158E" w14:textId="77777777" w:rsidR="00720DFE" w:rsidRPr="00F90EAE" w:rsidRDefault="00720DFE" w:rsidP="00F90EAE">
      <w:pPr>
        <w:jc w:val="both"/>
        <w:rPr>
          <w:color w:val="000000" w:themeColor="text1"/>
          <w:sz w:val="16"/>
          <w:szCs w:val="16"/>
        </w:rPr>
      </w:pPr>
      <w:r w:rsidRPr="00F90EAE">
        <w:rPr>
          <w:color w:val="000000" w:themeColor="text1"/>
          <w:sz w:val="16"/>
          <w:szCs w:val="16"/>
        </w:rPr>
        <w:t>...Созванный в ноябре 1942 года V пленум ЦК союза явился поворотным моментом в работе президиума и в целом ЦК нашей промышленности... После V пленума президиум ЦК союза взял твердый курс на коренное улучшение работы профсоюзных организаций в дни Отечественной войны.</w:t>
      </w:r>
    </w:p>
    <w:p w14:paraId="23D3ACC6" w14:textId="77777777" w:rsidR="00720DFE" w:rsidRPr="00F90EAE" w:rsidRDefault="00720DFE" w:rsidP="00F90EAE">
      <w:pPr>
        <w:jc w:val="both"/>
        <w:rPr>
          <w:color w:val="000000" w:themeColor="text1"/>
          <w:sz w:val="16"/>
          <w:szCs w:val="16"/>
        </w:rPr>
      </w:pPr>
      <w:r w:rsidRPr="00F90EAE">
        <w:rPr>
          <w:color w:val="000000" w:themeColor="text1"/>
          <w:sz w:val="16"/>
          <w:szCs w:val="16"/>
        </w:rPr>
        <w:t>... За бесперебойное снабжение фронта самолетами во все возрастающем количестве в 1941-1943 гг. правительством были награждены орденами целый ряд заводов АП, как то: №№ 1, 18, 21, 24 и другие. За годы Отечественной войны 5384 рабочих, инженеров, техников и служащих АП награждены правительством орденами и медалями...</w:t>
      </w:r>
    </w:p>
    <w:p w14:paraId="0A97E6A6" w14:textId="77777777" w:rsidR="00720DFE" w:rsidRPr="00F90EAE" w:rsidRDefault="00720DFE" w:rsidP="00F90EAE">
      <w:pPr>
        <w:jc w:val="both"/>
        <w:rPr>
          <w:color w:val="000000" w:themeColor="text1"/>
          <w:sz w:val="16"/>
          <w:szCs w:val="16"/>
        </w:rPr>
      </w:pPr>
      <w:r w:rsidRPr="00F90EAE">
        <w:rPr>
          <w:color w:val="000000" w:themeColor="text1"/>
          <w:sz w:val="16"/>
          <w:szCs w:val="16"/>
        </w:rPr>
        <w:t>До войны мы имели при заводах нашей промышленности 35 клубов. В начале войны большинство клубов было занято под специальные цели, часть клубного имущества при эвакуации была растеряна... В настоящее время мы имеем 64 действующих клуба.</w:t>
      </w:r>
    </w:p>
    <w:p w14:paraId="0078230F" w14:textId="77777777" w:rsidR="00720DFE" w:rsidRPr="00F90EAE" w:rsidRDefault="00720DFE" w:rsidP="00F90EAE">
      <w:pPr>
        <w:jc w:val="both"/>
        <w:rPr>
          <w:color w:val="000000" w:themeColor="text1"/>
          <w:sz w:val="16"/>
          <w:szCs w:val="16"/>
        </w:rPr>
      </w:pPr>
      <w:r w:rsidRPr="00F90EAE">
        <w:rPr>
          <w:color w:val="000000" w:themeColor="text1"/>
          <w:sz w:val="16"/>
          <w:szCs w:val="16"/>
        </w:rPr>
        <w:t>Огромные государственные ассигнования позволили НКАП в годы войны наращивать наличный жилой фонд от 12% до 25% ежегодно.</w:t>
      </w:r>
    </w:p>
    <w:p w14:paraId="1BE5A522" w14:textId="77777777" w:rsidR="00720DFE" w:rsidRPr="00F90EAE" w:rsidRDefault="00720DFE" w:rsidP="00F90EAE">
      <w:pPr>
        <w:jc w:val="both"/>
        <w:rPr>
          <w:color w:val="000000" w:themeColor="text1"/>
          <w:sz w:val="16"/>
          <w:szCs w:val="16"/>
        </w:rPr>
      </w:pPr>
      <w:r w:rsidRPr="00F90EAE">
        <w:rPr>
          <w:color w:val="000000" w:themeColor="text1"/>
          <w:sz w:val="16"/>
          <w:szCs w:val="16"/>
        </w:rPr>
        <w:t>...Президиумом ЦК союза и заводскими комитетами была проведена большая работа по организации летнего отдыха детей.</w:t>
      </w:r>
    </w:p>
    <w:p w14:paraId="53FCC30C" w14:textId="77777777" w:rsidR="00720DFE" w:rsidRPr="00F90EAE" w:rsidRDefault="00720DFE" w:rsidP="00F90EAE">
      <w:pPr>
        <w:jc w:val="both"/>
        <w:rPr>
          <w:color w:val="000000" w:themeColor="text1"/>
          <w:sz w:val="16"/>
          <w:szCs w:val="16"/>
        </w:rPr>
      </w:pPr>
      <w:r w:rsidRPr="00F90EAE">
        <w:rPr>
          <w:color w:val="000000" w:themeColor="text1"/>
          <w:sz w:val="16"/>
          <w:szCs w:val="16"/>
        </w:rPr>
        <w:t>В 1944 году вывезли детей в п/лагеря 59 100 человек. По плану, утвержденному ВЦСПС, должны были вывести 50 000 детей ... В 1945 году нам предстоит в полтора раза увеличить вывоз детей в пионерлагеря...</w:t>
      </w:r>
    </w:p>
    <w:p w14:paraId="22D38375" w14:textId="77777777" w:rsidR="00720DFE" w:rsidRPr="00F90EAE" w:rsidRDefault="00720DFE" w:rsidP="00F90EAE">
      <w:pPr>
        <w:jc w:val="both"/>
        <w:rPr>
          <w:color w:val="000000" w:themeColor="text1"/>
          <w:sz w:val="16"/>
          <w:szCs w:val="16"/>
        </w:rPr>
      </w:pPr>
      <w:r w:rsidRPr="00F90EAE">
        <w:rPr>
          <w:color w:val="000000" w:themeColor="text1"/>
          <w:sz w:val="16"/>
          <w:szCs w:val="16"/>
        </w:rPr>
        <w:t>...На 01.01.45 года мы имеем членов профсоюза 83,4%..." (15496).</w:t>
      </w:r>
    </w:p>
    <w:p w14:paraId="2766E471" w14:textId="77777777" w:rsidR="00720DFE" w:rsidRPr="00F90EAE" w:rsidRDefault="00720DFE" w:rsidP="00F90EAE">
      <w:pPr>
        <w:jc w:val="both"/>
        <w:rPr>
          <w:color w:val="000000" w:themeColor="text1"/>
          <w:sz w:val="16"/>
          <w:szCs w:val="16"/>
        </w:rPr>
      </w:pPr>
    </w:p>
    <w:p w14:paraId="31567AB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DAEE379" w14:textId="77777777" w:rsidR="00665165" w:rsidRPr="00F90EAE" w:rsidRDefault="00665165" w:rsidP="00F90EAE">
      <w:pPr>
        <w:autoSpaceDE w:val="0"/>
        <w:autoSpaceDN w:val="0"/>
        <w:adjustRightInd w:val="0"/>
        <w:jc w:val="both"/>
        <w:rPr>
          <w:iCs/>
          <w:color w:val="000000" w:themeColor="text1"/>
          <w:sz w:val="16"/>
          <w:szCs w:val="16"/>
        </w:rPr>
      </w:pPr>
    </w:p>
    <w:p w14:paraId="195971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февраля 1945 вышло Распоряжение ГКО № 7535 [О мерах по выполнению программы производства водомаслозаправщиков в артелях Управления промкооперации при СНК РСФСР.] (7308, 221-222,223-225).</w:t>
      </w:r>
    </w:p>
    <w:p w14:paraId="176D8F9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12A8093" w14:textId="77777777" w:rsidR="00720DF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69376BF" w14:textId="77777777" w:rsidR="00720DFE" w:rsidRPr="00F90EAE" w:rsidRDefault="00720DFE" w:rsidP="00F90EAE">
      <w:pPr>
        <w:autoSpaceDE w:val="0"/>
        <w:autoSpaceDN w:val="0"/>
        <w:adjustRightInd w:val="0"/>
        <w:jc w:val="both"/>
        <w:rPr>
          <w:iCs/>
          <w:color w:val="000000" w:themeColor="text1"/>
          <w:sz w:val="16"/>
          <w:szCs w:val="16"/>
        </w:rPr>
      </w:pPr>
    </w:p>
    <w:p w14:paraId="523F5414" w14:textId="77777777" w:rsidR="00720DFE" w:rsidRPr="00F90EAE" w:rsidRDefault="00720DFE" w:rsidP="00F90EAE">
      <w:pPr>
        <w:jc w:val="both"/>
        <w:rPr>
          <w:color w:val="000000" w:themeColor="text1"/>
          <w:sz w:val="16"/>
          <w:szCs w:val="16"/>
        </w:rPr>
      </w:pPr>
      <w:r w:rsidRPr="00F90EAE">
        <w:rPr>
          <w:bCs/>
          <w:color w:val="000000" w:themeColor="text1"/>
          <w:sz w:val="16"/>
          <w:szCs w:val="16"/>
        </w:rPr>
        <w:t>12 февраля</w:t>
      </w:r>
      <w:r w:rsidRPr="00F90EAE">
        <w:rPr>
          <w:color w:val="000000" w:themeColor="text1"/>
          <w:sz w:val="16"/>
          <w:szCs w:val="16"/>
        </w:rPr>
        <w:t xml:space="preserve"> в 1945 году оперативная сводка Совинформбюро:</w:t>
      </w:r>
    </w:p>
    <w:p w14:paraId="6289632C" w14:textId="77777777" w:rsidR="00720DFE" w:rsidRPr="00F90EAE" w:rsidRDefault="00720DFE" w:rsidP="00F90EAE">
      <w:pPr>
        <w:jc w:val="both"/>
        <w:rPr>
          <w:color w:val="000000" w:themeColor="text1"/>
          <w:sz w:val="16"/>
          <w:szCs w:val="16"/>
        </w:rPr>
      </w:pPr>
      <w:r w:rsidRPr="00F90EAE">
        <w:rPr>
          <w:color w:val="000000" w:themeColor="text1"/>
          <w:sz w:val="16"/>
          <w:szCs w:val="16"/>
        </w:rPr>
        <w:lastRenderedPageBreak/>
        <w:t>«В течение 12 февраля севернее и северо-западнее города Быдгощ (Бромберг) наши войска в результате наступательных боёв овладели городом Швец, а также заняли более 120 других населённых пунктов, в том числе Гросс Цаппеен, Гацки, Широслав, Енджеево, Блондзмин, Любиво, Либенау, Драусниц, Плетциг.</w:t>
      </w:r>
    </w:p>
    <w:p w14:paraId="4BAE7C01" w14:textId="77777777" w:rsidR="00720DFE" w:rsidRPr="00F90EAE" w:rsidRDefault="00720DFE" w:rsidP="00F90EAE">
      <w:pPr>
        <w:jc w:val="both"/>
        <w:rPr>
          <w:color w:val="000000" w:themeColor="text1"/>
          <w:sz w:val="16"/>
          <w:szCs w:val="16"/>
        </w:rPr>
      </w:pPr>
      <w:r w:rsidRPr="00F90EAE">
        <w:rPr>
          <w:color w:val="000000" w:themeColor="text1"/>
          <w:sz w:val="16"/>
          <w:szCs w:val="16"/>
        </w:rPr>
        <w:t>По уточнённым данным, при ликвидации Торунской группировки противника и овладении городом Торунь (Торн) — с 1 по 9 февраля — войска 2-го Белорусского фронта взяли в плен свыше 15.000 немецких солдат и офицеров и захватили следующие трофеи: орудий — 270, пулемётов — 700, винтовок и автоматов— 7.500, автомашин — 1.200, повозок с военными грузами — 800, лошадей — 2.000, складов с вооружением, боеприпасами, продовольствием и другим военным имуществом — 202. Противник оставил на поле боя более 13.000 трупов солдат и офицеров.</w:t>
      </w:r>
    </w:p>
    <w:p w14:paraId="7FD81737" w14:textId="77777777" w:rsidR="00720DFE" w:rsidRPr="00F90EAE" w:rsidRDefault="00720DFE" w:rsidP="00F90EAE">
      <w:pPr>
        <w:jc w:val="both"/>
        <w:rPr>
          <w:color w:val="000000" w:themeColor="text1"/>
          <w:sz w:val="16"/>
          <w:szCs w:val="16"/>
        </w:rPr>
      </w:pPr>
      <w:r w:rsidRPr="00F90EAE">
        <w:rPr>
          <w:color w:val="000000" w:themeColor="text1"/>
          <w:sz w:val="16"/>
          <w:szCs w:val="16"/>
        </w:rPr>
        <w:t>Северо-западнее города Шнайдемюль наши войска, продолжая наступление, овладели на территории немецкой Померании городами Тютц, Каллис, Нойведель, а также с боями заняли более 40 других населённых пунктов, среди которых крупные населённые пункты Альт-Кертнитц, Бальстер, Гутсдорф, Вилдфорт. В боях за 11 февраля в этом районе наши войска взяли в плен более 1.300 немецких, солдат и офицеров.</w:t>
      </w:r>
    </w:p>
    <w:p w14:paraId="1FFF858E"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Украинского фронта, развивая наступление западнее реки Одер, 12 февраля с боем овладели в немецкой Силезии городом Бунцлау — важным узлом коммуникаций и сильным опорным пунктом обороны немцев на реке Бобер, а также с боями заняли более 100 других населённых пунктов, в том числе крупные населённые пункты Раушвиц, Оттендорф, Гисмансдорф, Оберлешен, Китлиц-Требен, Нидер-Шенфельд, Томасвальдау, Войтсдорф. В боях за 10 и 11 февраля в этом районе войска 1-го Украинского фронта взяли в плен около 3.000 немецких солдат и офицеров и захватили на аэродромах 100 самолётов и 200 тяжёлых планеров противника.</w:t>
      </w:r>
    </w:p>
    <w:p w14:paraId="28B353B5"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трудных условиях горно-лесистой местности в полосе Карпат, 12 февраля штурмом овладели городом Бельско— крупным узлом коммуникаций и мощным опорным пунктом обороны немцев на подступах к Моравской Остраве, а также с боями заняли более 30 других населённых пунктов, среди которых крупные населённые пункты Струмень, Голясовице, Прухна, Рудзица, Ясеница, Явоже, Вильковице, Бучковице.</w:t>
      </w:r>
    </w:p>
    <w:p w14:paraId="029F064C" w14:textId="77777777" w:rsidR="00720DFE" w:rsidRPr="00F90EAE" w:rsidRDefault="00720DFE" w:rsidP="00F90EAE">
      <w:pPr>
        <w:jc w:val="both"/>
        <w:rPr>
          <w:color w:val="000000" w:themeColor="text1"/>
          <w:sz w:val="16"/>
          <w:szCs w:val="16"/>
        </w:rPr>
      </w:pPr>
      <w:r w:rsidRPr="00F90EAE">
        <w:rPr>
          <w:color w:val="000000" w:themeColor="text1"/>
          <w:sz w:val="16"/>
          <w:szCs w:val="16"/>
        </w:rPr>
        <w:t>В БудапештЕ наши войска, сломив сопротивление противника в западной части города (Буда), заняли более 200 кварталов, в том числе королевский замок и старую крепость, и к исходу дня завершали бои по ликвидации остатков окружённой группировки противника. В ходе боёв за 11 и 12 февраля в западной части города (БУДА), по предварительным данным, взято в плен более 30.000 солдат и офицеров противника.</w:t>
      </w:r>
    </w:p>
    <w:p w14:paraId="29C14649" w14:textId="77777777" w:rsidR="00720DFE" w:rsidRPr="00F90EAE" w:rsidRDefault="00720DF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76B22C98" w14:textId="77777777" w:rsidR="00720DFE" w:rsidRPr="00F90EAE" w:rsidRDefault="00720DFE" w:rsidP="00F90EAE">
      <w:pPr>
        <w:jc w:val="both"/>
        <w:rPr>
          <w:color w:val="000000" w:themeColor="text1"/>
          <w:sz w:val="16"/>
          <w:szCs w:val="16"/>
        </w:rPr>
      </w:pPr>
      <w:r w:rsidRPr="00F90EAE">
        <w:rPr>
          <w:color w:val="000000" w:themeColor="text1"/>
          <w:sz w:val="16"/>
          <w:szCs w:val="16"/>
        </w:rPr>
        <w:t>За 11 февраля на всех фронтах подбито и уничтожено 125 немецких танков. В воздушных боях и огнём зенитной артиллерии сбито 43 самолёта противника.</w:t>
      </w:r>
    </w:p>
    <w:p w14:paraId="2C65BE67" w14:textId="77777777" w:rsidR="00720DFE" w:rsidRPr="00F90EAE" w:rsidRDefault="00720DFE" w:rsidP="00F90EAE">
      <w:pPr>
        <w:jc w:val="both"/>
        <w:rPr>
          <w:color w:val="000000" w:themeColor="text1"/>
          <w:sz w:val="16"/>
          <w:szCs w:val="16"/>
        </w:rPr>
      </w:pPr>
      <w:r w:rsidRPr="00F90EAE">
        <w:rPr>
          <w:color w:val="000000" w:themeColor="text1"/>
          <w:sz w:val="16"/>
          <w:szCs w:val="16"/>
        </w:rPr>
        <w:t>Севернее и северо-западнее города Быдгощ наши войска продвинулись вперёд на 20 километров и выбили немцев из ряда сильно укреплённых пунктов. Советские. части переправились через реку Висла и завязали бои за город Швец. Противник оказывал упорное сопротивление и в течение дня предпринял десятки контратак. Сломив вражеское сопротивление, наши пехотинцы штурмом овладели городом Швец — опорным пунктом обороны немцев на левом берегу Вислы. Гарнизон противника уничтожен. Захвачены пленные и трофеи.</w:t>
      </w:r>
    </w:p>
    <w:p w14:paraId="56464092"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Украинского фронта развивали наступление. Наши подвижные соединения и пехота, с боями продвигаясь вперёд, окружают и ликвидируют узлы сопротивления немцев. Советские танкисты, совершив стремительный двадцатикилометровый бросок, ворвались в город Бунцлау. Танкистов поддержали подоспевшие пехотные части. В упорном уличном бою наши войска сломили сопротивление немецкого гарнизона и овладели городом. Город Бунцлау расположен на восточном берегу реки Бобер и является важным узлом коммуникаций. Здесь сходятся четыре железных и много шоссейных дорог. В Бунцлау захвачены крупные склады с боеприпасами, снаряжением и продовольствием.</w:t>
      </w:r>
    </w:p>
    <w:p w14:paraId="602801FF" w14:textId="77777777" w:rsidR="00720DFE" w:rsidRPr="00F90EAE" w:rsidRDefault="00720DFE" w:rsidP="00F90EAE">
      <w:pPr>
        <w:jc w:val="both"/>
        <w:rPr>
          <w:color w:val="000000" w:themeColor="text1"/>
          <w:sz w:val="16"/>
          <w:szCs w:val="16"/>
        </w:rPr>
      </w:pPr>
      <w:r w:rsidRPr="00F90EAE">
        <w:rPr>
          <w:color w:val="000000" w:themeColor="text1"/>
          <w:sz w:val="16"/>
          <w:szCs w:val="16"/>
        </w:rPr>
        <w:t>Советские лётчики активно поддерживали наступление наших войск. В воздушных боях за день сбито 24 самолёта противника. Кроме того, наши истребители и штурмовики на аэродромах противника уничтожили 40 немецких самолётов.</w:t>
      </w:r>
    </w:p>
    <w:p w14:paraId="79E16F1F"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Ожесточённые бои произошли за город Бельско — мощный опорный пункт обороны противника, прикрывавший подступы к Моравской Остраве. Немцы занимали очень выгодные и сильно укреплённые позиции. С юго-востока и юга город прикрывают горные хребты — Бескид Малы и Бескид Сьляски. Установленные на склонах гор орудия и пулемёты простреливали все дороги, ведущие к Бельско с востока. К северу от города течёт река Бяла. На берегу этой реки немцы построили оборонительную полосу, состоявшую из железобетонных дотов, многочисленных линий окопов и траншей с бетонированными орудийными и пулемётными площадками. Наши пехотинцы и танкисты, поддержанные огнём артиллерии, форсировали реку Вяла и прорвали оборону противника на западном берегу реки. Затем советские войска нанесли удар в южном направлении и отрезали вражеской группировке все пути отхода на запад. Другие наши части перехватили дороги, идущие на юг. Таким образом, гарнизон города оказался в железном кольце советских войск. Сегодня наши войска штурмом овладели городом Бельско — узлом четырёх железных и восьми шоссейных дорог. Зажатые в восточной части города остатки разбитого вражеского гарнизона сложили оружие и сдались в плен.</w:t>
      </w:r>
    </w:p>
    <w:p w14:paraId="5870F025" w14:textId="77777777" w:rsidR="00720DFE" w:rsidRPr="00F90EAE" w:rsidRDefault="00720DFE" w:rsidP="00F90EAE">
      <w:pPr>
        <w:jc w:val="both"/>
        <w:rPr>
          <w:color w:val="000000" w:themeColor="text1"/>
          <w:sz w:val="16"/>
          <w:szCs w:val="16"/>
        </w:rPr>
      </w:pPr>
      <w:r w:rsidRPr="00F90EAE">
        <w:rPr>
          <w:color w:val="000000" w:themeColor="text1"/>
          <w:sz w:val="16"/>
          <w:szCs w:val="16"/>
        </w:rPr>
        <w:t>В боях за город Бельско советские воины проявили образцы высокого воинского мастерства и беззаветной храбрости. Танкисты офицера Гаева в одном бою истребили 150 немецких автоматчиков, 4 танка «Пантера» и 20 полевых орудий. Ефрейтор Мищенко подполз к железобетонному доту, в котором были установлены орудие и пулемёт. Отважный боец бросил в дот гранаты и уничтожил находившихся в нём гитлеровцев. Группа бойцов во главе с сержантом Кроля штурмом заняла укреплённое здание и взяла в плен 20 немцев.</w:t>
      </w:r>
    </w:p>
    <w:p w14:paraId="7FB9AD41" w14:textId="77777777" w:rsidR="00720DFE" w:rsidRPr="00F90EAE" w:rsidRDefault="00720DFE" w:rsidP="00F90EAE">
      <w:pPr>
        <w:jc w:val="both"/>
        <w:rPr>
          <w:color w:val="000000" w:themeColor="text1"/>
          <w:sz w:val="16"/>
          <w:szCs w:val="16"/>
        </w:rPr>
      </w:pPr>
      <w:r w:rsidRPr="00F90EAE">
        <w:rPr>
          <w:color w:val="000000" w:themeColor="text1"/>
          <w:sz w:val="16"/>
          <w:szCs w:val="16"/>
        </w:rPr>
        <w:t>В западной части города Будапешта наши войска сломили сопротивление окружённой группировки противника. Гвардейские подразделения очистили от гитлеровцев старинную крепость. Одновременно штурмовые группы Н-ской части штурмом заняли гору Геллертхедь. Занят также королевский замок. Вражеская оборона была полностью дезорганизована. Наши части усилили нажим со всех сторон. Немцы были вынуждены оставлять одну позицию за другой и отступать, устилая улицы города трупами своих солдат и офицеров. Завершаются бои по ликвидации отдельных очагов сопротивления противника. Большие колонны взятых в плен солдат и офицеров противника направляются на сборные пункты. В числе пленных командир 10-й венгерской пехотной дивизии полковник Леутский. Только бойцами Н-ской части захвачено 26 танков и самоходных орудий, 190 орудий, 18 паровозов и около 300 железнодорожных вагонов.» (15038).</w:t>
      </w:r>
    </w:p>
    <w:p w14:paraId="11389372" w14:textId="77777777" w:rsidR="00720DFE" w:rsidRPr="00F90EAE" w:rsidRDefault="00720DFE" w:rsidP="00F90EAE">
      <w:pPr>
        <w:jc w:val="both"/>
        <w:rPr>
          <w:color w:val="000000" w:themeColor="text1"/>
          <w:sz w:val="16"/>
          <w:szCs w:val="16"/>
        </w:rPr>
      </w:pPr>
    </w:p>
    <w:p w14:paraId="427D4791" w14:textId="77777777" w:rsidR="00720DF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B2F66A2" w14:textId="77777777" w:rsidR="00720DFE" w:rsidRPr="00F90EAE" w:rsidRDefault="00720DFE" w:rsidP="00F90EAE">
      <w:pPr>
        <w:autoSpaceDE w:val="0"/>
        <w:autoSpaceDN w:val="0"/>
        <w:adjustRightInd w:val="0"/>
        <w:jc w:val="both"/>
        <w:rPr>
          <w:iCs/>
          <w:color w:val="000000" w:themeColor="text1"/>
          <w:sz w:val="16"/>
          <w:szCs w:val="16"/>
        </w:rPr>
      </w:pPr>
    </w:p>
    <w:p w14:paraId="23C39E84" w14:textId="77777777" w:rsidR="00F0528A" w:rsidRPr="00F90EAE" w:rsidRDefault="00F0528A" w:rsidP="00F90EAE">
      <w:pPr>
        <w:jc w:val="both"/>
        <w:rPr>
          <w:color w:val="0070C0"/>
          <w:sz w:val="16"/>
          <w:szCs w:val="16"/>
        </w:rPr>
      </w:pPr>
      <w:r w:rsidRPr="00F90EAE">
        <w:rPr>
          <w:color w:val="0070C0"/>
          <w:sz w:val="16"/>
          <w:szCs w:val="16"/>
        </w:rPr>
        <w:t>12 февраля 1945 B-29 бомбят Иводзиму. В ходе этого рейда и их рейдов 24 и 29 января они сбросили на остров в общей сложности 367 тонн (332 940 кг) бомб (20371).</w:t>
      </w:r>
    </w:p>
    <w:p w14:paraId="22A4F67C" w14:textId="77777777" w:rsidR="00F0528A" w:rsidRPr="00F90EAE" w:rsidRDefault="00F0528A" w:rsidP="00F90EAE">
      <w:pPr>
        <w:jc w:val="both"/>
        <w:rPr>
          <w:color w:val="0070C0"/>
          <w:sz w:val="16"/>
          <w:szCs w:val="16"/>
        </w:rPr>
      </w:pPr>
    </w:p>
    <w:p w14:paraId="44813057" w14:textId="77777777" w:rsidR="00720DFE" w:rsidRPr="00F90EAE" w:rsidRDefault="00720DFE" w:rsidP="00F90EAE">
      <w:pPr>
        <w:jc w:val="both"/>
        <w:rPr>
          <w:color w:val="000000" w:themeColor="text1"/>
          <w:sz w:val="16"/>
          <w:szCs w:val="16"/>
        </w:rPr>
      </w:pPr>
      <w:r w:rsidRPr="00F90EAE">
        <w:rPr>
          <w:bCs/>
          <w:color w:val="000000" w:themeColor="text1"/>
          <w:sz w:val="16"/>
          <w:szCs w:val="16"/>
        </w:rPr>
        <w:t>12 февраля</w:t>
      </w:r>
      <w:r w:rsidRPr="00F90EAE">
        <w:rPr>
          <w:color w:val="000000" w:themeColor="text1"/>
          <w:sz w:val="16"/>
          <w:szCs w:val="16"/>
        </w:rPr>
        <w:t xml:space="preserve"> в 1945 году лидеры русской белой эмиграции в Париже приветствуют победы Красной Армии (15038).</w:t>
      </w:r>
    </w:p>
    <w:p w14:paraId="2B284B21" w14:textId="77777777" w:rsidR="00720DFE" w:rsidRPr="00F90EAE" w:rsidRDefault="00720DFE" w:rsidP="00F90EAE">
      <w:pPr>
        <w:jc w:val="both"/>
        <w:rPr>
          <w:color w:val="000000" w:themeColor="text1"/>
          <w:sz w:val="16"/>
          <w:szCs w:val="16"/>
        </w:rPr>
      </w:pPr>
    </w:p>
    <w:p w14:paraId="43D6FC71" w14:textId="77777777" w:rsidR="00720DFE" w:rsidRPr="00F90EAE" w:rsidRDefault="00720DFE" w:rsidP="00F90EAE">
      <w:pPr>
        <w:jc w:val="both"/>
        <w:rPr>
          <w:color w:val="000000" w:themeColor="text1"/>
          <w:sz w:val="16"/>
          <w:szCs w:val="16"/>
        </w:rPr>
      </w:pPr>
      <w:r w:rsidRPr="00F90EAE">
        <w:rPr>
          <w:bCs/>
          <w:color w:val="000000" w:themeColor="text1"/>
          <w:sz w:val="16"/>
          <w:szCs w:val="16"/>
        </w:rPr>
        <w:t>12 февраля</w:t>
      </w:r>
      <w:r w:rsidRPr="00F90EAE">
        <w:rPr>
          <w:color w:val="000000" w:themeColor="text1"/>
          <w:sz w:val="16"/>
          <w:szCs w:val="16"/>
        </w:rPr>
        <w:t xml:space="preserve"> в 1945 году в Германии женщины от 16 до 60 лет призываются в "фольксштурм" (15038).</w:t>
      </w:r>
    </w:p>
    <w:p w14:paraId="299F5185" w14:textId="77777777" w:rsidR="00720DFE" w:rsidRPr="00F90EAE" w:rsidRDefault="00720DFE" w:rsidP="00F90EAE">
      <w:pPr>
        <w:jc w:val="both"/>
        <w:rPr>
          <w:color w:val="000000" w:themeColor="text1"/>
          <w:sz w:val="16"/>
          <w:szCs w:val="16"/>
        </w:rPr>
      </w:pPr>
    </w:p>
    <w:p w14:paraId="60072651" w14:textId="77777777" w:rsidR="00720DFE" w:rsidRPr="00F90EAE" w:rsidRDefault="00720DFE" w:rsidP="00F90EAE">
      <w:pPr>
        <w:jc w:val="both"/>
        <w:rPr>
          <w:color w:val="000000" w:themeColor="text1"/>
          <w:sz w:val="16"/>
          <w:szCs w:val="16"/>
        </w:rPr>
      </w:pPr>
      <w:r w:rsidRPr="00F90EAE">
        <w:rPr>
          <w:bCs/>
          <w:color w:val="000000" w:themeColor="text1"/>
          <w:sz w:val="16"/>
          <w:szCs w:val="16"/>
        </w:rPr>
        <w:t>12 февраля</w:t>
      </w:r>
      <w:r w:rsidRPr="00F90EAE">
        <w:rPr>
          <w:color w:val="000000" w:themeColor="text1"/>
          <w:sz w:val="16"/>
          <w:szCs w:val="16"/>
        </w:rPr>
        <w:t xml:space="preserve"> в 1945 году Варкизское соглашение, заключено в Варкизе (Ваrкiza), близ Афин, между Национально-освободительным фронтом Греции (ЭАМ) и правительством Н.Пластираса после 50-дневного вооруженного сопротивления греческих патриотов английским интервентам и их ставленникам в Греции. Предусматривало отмену военного положения, амнистию всем политическим заключённым, освобождение заложников, установление в стране свободы слова, печати, собраний, профсоюзов. правительство обязывалось очистить государственный аппарат от лиц, сотрудничавших с немецко-фашистскими оккупантами, разоружить все вооруженные отряды и создать регулярную армию. В. с. предусматривало проведение плебисцита о государственном устройстве страны, а затем всеобщих свободных парламентских выборов. На этих условиях руководство ЭАМ соглашалось разоружить Народно-освободительную армию Греции (ЭЛАС). ЭАМ выполнил свои обязательства: войска ЭЛАС были расформированы, оружие сдано правительственным органам. Правительство не только не выполнило своих обязательств, но вооружило сданным частями ЭЛАС оружием новые отряды. После фальсифицированного "плебисцита" (1 сентября 1946) в стране была восстановлена монархия (15038).</w:t>
      </w:r>
    </w:p>
    <w:p w14:paraId="0D55EAD0" w14:textId="77777777" w:rsidR="00720DFE" w:rsidRPr="00F90EAE" w:rsidRDefault="00720DFE" w:rsidP="00F90EAE">
      <w:pPr>
        <w:jc w:val="both"/>
        <w:rPr>
          <w:color w:val="000000" w:themeColor="text1"/>
          <w:sz w:val="16"/>
          <w:szCs w:val="16"/>
        </w:rPr>
      </w:pPr>
    </w:p>
    <w:p w14:paraId="341DEAE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ACA7D3B" w14:textId="77777777" w:rsidR="00665165" w:rsidRPr="00F90EAE" w:rsidRDefault="00665165" w:rsidP="00F90EAE">
      <w:pPr>
        <w:autoSpaceDE w:val="0"/>
        <w:autoSpaceDN w:val="0"/>
        <w:adjustRightInd w:val="0"/>
        <w:jc w:val="both"/>
        <w:rPr>
          <w:iCs/>
          <w:color w:val="000000" w:themeColor="text1"/>
          <w:sz w:val="16"/>
          <w:szCs w:val="16"/>
        </w:rPr>
      </w:pPr>
    </w:p>
    <w:p w14:paraId="2930F0D5" w14:textId="77777777" w:rsidR="00F0528A" w:rsidRPr="00F90EAE" w:rsidRDefault="00F0528A" w:rsidP="00F90EAE">
      <w:pPr>
        <w:jc w:val="both"/>
        <w:rPr>
          <w:color w:val="0070C0"/>
          <w:sz w:val="16"/>
          <w:szCs w:val="16"/>
        </w:rPr>
      </w:pPr>
      <w:r w:rsidRPr="00F90EAE">
        <w:rPr>
          <w:color w:val="0070C0"/>
          <w:sz w:val="16"/>
          <w:szCs w:val="16"/>
        </w:rPr>
        <w:t>13 февраля 1945 г.</w:t>
      </w:r>
    </w:p>
    <w:p w14:paraId="5593F31E" w14:textId="77777777" w:rsidR="00F0528A" w:rsidRPr="00F90EAE" w:rsidRDefault="00F0528A" w:rsidP="00F90EAE">
      <w:pPr>
        <w:jc w:val="both"/>
        <w:rPr>
          <w:color w:val="0070C0"/>
          <w:sz w:val="16"/>
          <w:szCs w:val="16"/>
        </w:rPr>
      </w:pPr>
      <w:r w:rsidRPr="00F90EAE">
        <w:rPr>
          <w:color w:val="0070C0"/>
          <w:sz w:val="16"/>
          <w:szCs w:val="16"/>
        </w:rPr>
        <w:t>Из приказа Наркома авиационной промышленности СССР о поставке заводами №№ 1, 18, 207 в 1 квартале 1945 г. запчастей к самолетам ВВС КА, ВВС ВМФ и ГВФ</w:t>
      </w:r>
    </w:p>
    <w:p w14:paraId="27E2BAA3" w14:textId="77777777" w:rsidR="00F0528A" w:rsidRPr="00F90EAE" w:rsidRDefault="00F0528A" w:rsidP="00F90EAE">
      <w:pPr>
        <w:jc w:val="both"/>
        <w:rPr>
          <w:color w:val="0070C0"/>
          <w:sz w:val="16"/>
          <w:szCs w:val="16"/>
        </w:rPr>
      </w:pPr>
      <w:r w:rsidRPr="00F90EAE">
        <w:rPr>
          <w:color w:val="0070C0"/>
          <w:sz w:val="16"/>
          <w:szCs w:val="16"/>
        </w:rPr>
        <w:t>13 февраля 1945 г.</w:t>
      </w:r>
    </w:p>
    <w:p w14:paraId="401ED8E8" w14:textId="77777777" w:rsidR="00F0528A" w:rsidRPr="00F90EAE" w:rsidRDefault="00F0528A" w:rsidP="00F90EAE">
      <w:pPr>
        <w:jc w:val="both"/>
        <w:rPr>
          <w:color w:val="0070C0"/>
          <w:sz w:val="16"/>
          <w:szCs w:val="16"/>
        </w:rPr>
      </w:pPr>
      <w:r w:rsidRPr="00F90EAE">
        <w:rPr>
          <w:color w:val="0070C0"/>
          <w:sz w:val="16"/>
          <w:szCs w:val="16"/>
        </w:rPr>
        <w:t>В исполнение постановления Государственного Комитета Обороны от 29 января 1945 года № 7416 “О ремонте самолетов, авиационных моторов и материально-техническом обеспечении Военно-Воздушных Сил Красной Армии и Военно-Морского Флота в первом квартале 1945 года” приказываю:</w:t>
      </w:r>
    </w:p>
    <w:p w14:paraId="7A740003" w14:textId="77777777" w:rsidR="00F0528A" w:rsidRPr="00F90EAE" w:rsidRDefault="00F0528A" w:rsidP="00F90EAE">
      <w:pPr>
        <w:jc w:val="both"/>
        <w:rPr>
          <w:color w:val="0070C0"/>
          <w:sz w:val="16"/>
          <w:szCs w:val="16"/>
        </w:rPr>
      </w:pPr>
      <w:r w:rsidRPr="00F90EAE">
        <w:rPr>
          <w:color w:val="0070C0"/>
          <w:sz w:val="16"/>
          <w:szCs w:val="16"/>
        </w:rPr>
        <w:t>10. Начальнику 10-го Главного Управления - зам. наркома тов. Кузнецову А.И. и директорам заводов №№ 1, 18.., 207 включить в план производства и обеспечить поставку в первом квартале 1945 года ВВС КА, ВВС ВМФ и ГУГВФ запасных частей россыпью к самолетам... в количествах и по номенклатуре, согласованных с заказчиками, в том числе по основным агрегатам, согласно приложенной...</w:t>
      </w:r>
    </w:p>
    <w:p w14:paraId="4F317B16" w14:textId="77777777" w:rsidR="00F0528A" w:rsidRPr="00F90EAE" w:rsidRDefault="00F0528A" w:rsidP="00F90EAE">
      <w:pPr>
        <w:jc w:val="both"/>
        <w:rPr>
          <w:color w:val="0070C0"/>
          <w:sz w:val="16"/>
          <w:szCs w:val="16"/>
        </w:rPr>
      </w:pPr>
      <w:r w:rsidRPr="00F90EAE">
        <w:rPr>
          <w:color w:val="0070C0"/>
          <w:sz w:val="16"/>
          <w:szCs w:val="16"/>
        </w:rPr>
        <w:t>Народный Комиссар авиационной промышленности</w:t>
      </w:r>
      <w:r w:rsidRPr="00F90EAE">
        <w:rPr>
          <w:color w:val="0070C0"/>
          <w:sz w:val="16"/>
          <w:szCs w:val="16"/>
        </w:rPr>
        <w:tab/>
        <w:t>А. Шахурин</w:t>
      </w:r>
    </w:p>
    <w:p w14:paraId="384BC88B" w14:textId="77777777" w:rsidR="00F0528A" w:rsidRPr="00F90EAE" w:rsidRDefault="00F0528A"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xml:space="preserve">. P-3454. On. 1. </w:t>
      </w:r>
      <w:r w:rsidRPr="00F90EAE">
        <w:rPr>
          <w:color w:val="0070C0"/>
          <w:sz w:val="16"/>
          <w:szCs w:val="16"/>
        </w:rPr>
        <w:t>Д</w:t>
      </w:r>
      <w:r w:rsidRPr="00F90EAE">
        <w:rPr>
          <w:color w:val="0070C0"/>
          <w:sz w:val="16"/>
          <w:szCs w:val="16"/>
          <w:lang w:val="en-US"/>
        </w:rPr>
        <w:t xml:space="preserve">. 50. </w:t>
      </w:r>
      <w:r w:rsidRPr="00F90EAE">
        <w:rPr>
          <w:color w:val="0070C0"/>
          <w:sz w:val="16"/>
          <w:szCs w:val="16"/>
        </w:rPr>
        <w:t>Л</w:t>
      </w:r>
      <w:r w:rsidRPr="00F90EAE">
        <w:rPr>
          <w:color w:val="0070C0"/>
          <w:sz w:val="16"/>
          <w:szCs w:val="16"/>
          <w:lang w:val="en-US"/>
        </w:rPr>
        <w:t xml:space="preserve">. 5. </w:t>
      </w:r>
      <w:r w:rsidRPr="00F90EAE">
        <w:rPr>
          <w:color w:val="0070C0"/>
          <w:sz w:val="16"/>
          <w:szCs w:val="16"/>
        </w:rPr>
        <w:t>Завер. Копия (20588).</w:t>
      </w:r>
    </w:p>
    <w:p w14:paraId="4E595642" w14:textId="77777777" w:rsidR="00F0528A" w:rsidRPr="00F90EAE" w:rsidRDefault="00F0528A" w:rsidP="00F90EAE">
      <w:pPr>
        <w:jc w:val="both"/>
        <w:rPr>
          <w:color w:val="0070C0"/>
          <w:sz w:val="16"/>
          <w:szCs w:val="16"/>
        </w:rPr>
      </w:pPr>
    </w:p>
    <w:p w14:paraId="544F130B" w14:textId="77777777" w:rsidR="00F0528A" w:rsidRPr="00F90EAE" w:rsidRDefault="00F0528A" w:rsidP="00F90EAE">
      <w:pPr>
        <w:jc w:val="both"/>
        <w:rPr>
          <w:color w:val="0070C0"/>
          <w:sz w:val="16"/>
          <w:szCs w:val="16"/>
        </w:rPr>
      </w:pPr>
      <w:r w:rsidRPr="00F90EAE">
        <w:rPr>
          <w:color w:val="0070C0"/>
          <w:sz w:val="16"/>
          <w:szCs w:val="16"/>
        </w:rPr>
        <w:t>13 февраля 1945 г.</w:t>
      </w:r>
    </w:p>
    <w:p w14:paraId="789A6A81" w14:textId="77777777" w:rsidR="00F0528A" w:rsidRPr="00F90EAE" w:rsidRDefault="00F0528A" w:rsidP="00F90EAE">
      <w:pPr>
        <w:jc w:val="both"/>
        <w:rPr>
          <w:color w:val="0070C0"/>
          <w:sz w:val="16"/>
          <w:szCs w:val="16"/>
        </w:rPr>
      </w:pPr>
      <w:r w:rsidRPr="00F90EAE">
        <w:rPr>
          <w:color w:val="0070C0"/>
          <w:sz w:val="16"/>
          <w:szCs w:val="16"/>
        </w:rPr>
        <w:lastRenderedPageBreak/>
        <w:t>Из приказа Наркома авиационной промышленности СССР</w:t>
      </w:r>
    </w:p>
    <w:p w14:paraId="56F4CB13" w14:textId="77777777" w:rsidR="00F0528A" w:rsidRPr="00F90EAE" w:rsidRDefault="00F0528A" w:rsidP="00F90EAE">
      <w:pPr>
        <w:jc w:val="both"/>
        <w:rPr>
          <w:color w:val="0070C0"/>
          <w:sz w:val="16"/>
          <w:szCs w:val="16"/>
        </w:rPr>
      </w:pPr>
      <w:r w:rsidRPr="00F90EAE">
        <w:rPr>
          <w:color w:val="0070C0"/>
          <w:sz w:val="16"/>
          <w:szCs w:val="16"/>
        </w:rPr>
        <w:t>о поставке заводами №№ 1, 18, 207 в 1 квартале 1945 г.</w:t>
      </w:r>
    </w:p>
    <w:p w14:paraId="081F8D9E" w14:textId="77777777" w:rsidR="00F0528A" w:rsidRPr="00F90EAE" w:rsidRDefault="00F0528A" w:rsidP="00F90EAE">
      <w:pPr>
        <w:jc w:val="both"/>
        <w:rPr>
          <w:color w:val="0070C0"/>
          <w:sz w:val="16"/>
          <w:szCs w:val="16"/>
        </w:rPr>
      </w:pPr>
      <w:r w:rsidRPr="00F90EAE">
        <w:rPr>
          <w:color w:val="0070C0"/>
          <w:sz w:val="16"/>
          <w:szCs w:val="16"/>
        </w:rPr>
        <w:t>запчастей к самолетам ВВС КА, ВВС ВМФ и ГВФ</w:t>
      </w:r>
    </w:p>
    <w:p w14:paraId="3D88A796" w14:textId="77777777" w:rsidR="00F0528A" w:rsidRPr="00F90EAE" w:rsidRDefault="00F0528A" w:rsidP="00F90EAE">
      <w:pPr>
        <w:jc w:val="both"/>
        <w:rPr>
          <w:color w:val="0070C0"/>
          <w:sz w:val="16"/>
          <w:szCs w:val="16"/>
        </w:rPr>
      </w:pPr>
    </w:p>
    <w:p w14:paraId="453339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вышел приказ НКАП N 63с "Об изготовлении на заводе 166 опытной серии самолетов Як-9 ВК-107А с металлическим крылом":</w:t>
      </w:r>
    </w:p>
    <w:p w14:paraId="5929CB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всесторонней оценки качеств самолета Як-9 ВК-107А с металлическим крылом:</w:t>
      </w:r>
    </w:p>
    <w:p w14:paraId="3375F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Нач. ПГУ - зам. наркома Воронину и директору завода 166 Соколову построить опытную серию самолетов Як-9 с ВК-107А и металлическим крылом в количестве 5 самолетов в апреле 1945 по чертежам завода 115." (1888,23).</w:t>
      </w:r>
    </w:p>
    <w:p w14:paraId="50158CCD" w14:textId="77777777" w:rsidR="00665165" w:rsidRPr="00F90EAE" w:rsidRDefault="00665165" w:rsidP="00F90EAE">
      <w:pPr>
        <w:autoSpaceDE w:val="0"/>
        <w:autoSpaceDN w:val="0"/>
        <w:adjustRightInd w:val="0"/>
        <w:jc w:val="both"/>
        <w:rPr>
          <w:color w:val="000000" w:themeColor="text1"/>
          <w:sz w:val="16"/>
          <w:szCs w:val="16"/>
        </w:rPr>
      </w:pPr>
    </w:p>
    <w:p w14:paraId="65C78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13 февраля по 5 апреля 1945 первый Ту-2Т, сделанный в конце 1944 на основе доработки одного из серийных Ту-2 N 9/14 23 завода, проходил совместные испытания с одной или двумя торпедами 45-36АН или 45-36АНУ со стабилизаторами ЦАГИ, которые подвешивались у бортов фюзеляжа. испытывался в варианте тактического 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(1835,64).</w:t>
      </w:r>
    </w:p>
    <w:p w14:paraId="328BBA72" w14:textId="77777777" w:rsidR="00665165" w:rsidRPr="00F90EAE" w:rsidRDefault="00665165" w:rsidP="00F90EAE">
      <w:pPr>
        <w:autoSpaceDE w:val="0"/>
        <w:autoSpaceDN w:val="0"/>
        <w:adjustRightInd w:val="0"/>
        <w:jc w:val="both"/>
        <w:rPr>
          <w:color w:val="000000" w:themeColor="text1"/>
          <w:sz w:val="16"/>
          <w:szCs w:val="16"/>
        </w:rPr>
      </w:pPr>
    </w:p>
    <w:p w14:paraId="357C7BEF" w14:textId="77777777" w:rsidR="00720DFE" w:rsidRPr="00F90EAE" w:rsidRDefault="00720DFE" w:rsidP="00F90EAE">
      <w:pPr>
        <w:jc w:val="both"/>
        <w:rPr>
          <w:color w:val="000000" w:themeColor="text1"/>
          <w:sz w:val="16"/>
          <w:szCs w:val="16"/>
        </w:rPr>
      </w:pPr>
      <w:r w:rsidRPr="00F90EAE">
        <w:rPr>
          <w:bCs/>
          <w:color w:val="000000" w:themeColor="text1"/>
          <w:sz w:val="16"/>
          <w:szCs w:val="16"/>
        </w:rPr>
        <w:t>13 февраля</w:t>
      </w:r>
      <w:r w:rsidRPr="00F90EAE">
        <w:rPr>
          <w:color w:val="000000" w:themeColor="text1"/>
          <w:sz w:val="16"/>
          <w:szCs w:val="16"/>
        </w:rPr>
        <w:t xml:space="preserve"> в 1945 году проводились (по 5 апреля) совместные заводские и государственные испытания «Ту-2Т» №9/14. Самолет испытывался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(15039).</w:t>
      </w:r>
    </w:p>
    <w:p w14:paraId="03AB5579" w14:textId="77777777" w:rsidR="00720DFE" w:rsidRPr="00F90EAE" w:rsidRDefault="00720DFE" w:rsidP="00F90EAE">
      <w:pPr>
        <w:jc w:val="both"/>
        <w:rPr>
          <w:color w:val="000000" w:themeColor="text1"/>
          <w:sz w:val="16"/>
          <w:szCs w:val="16"/>
        </w:rPr>
      </w:pPr>
    </w:p>
    <w:p w14:paraId="5EFAA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13 февраля по 5 апреля 1945 г. первый Ту-2Т прошел испытания с одной и двумя торпедами в варианте низкого торпедоносца. На испытаниях самолет показал следующие данные с 1 торпедой (с 2 торпедами):</w:t>
      </w:r>
    </w:p>
    <w:p w14:paraId="50FF4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взлетная масса, кг - 11 423 (12 389);</w:t>
      </w:r>
    </w:p>
    <w:p w14:paraId="6CFF40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максимальная скорость, км/ч: у земли - 466 (455); на высоте 1000 м - 482 (471), 2000 м - 498 (488), 2400 м - 505 (493), 3000 м - 489 (475);</w:t>
      </w:r>
    </w:p>
    <w:p w14:paraId="175CCB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дальность полета при взлетной массе 12 400 кг - 2075 км*;</w:t>
      </w:r>
    </w:p>
    <w:p w14:paraId="5E042C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разбег, м - 540 (605);</w:t>
      </w:r>
    </w:p>
    <w:p w14:paraId="6133C1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пробег, м - 580 (660).</w:t>
      </w:r>
    </w:p>
    <w:p w14:paraId="19829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по испытаниям первого Ту-2Т говорилось:</w:t>
      </w:r>
    </w:p>
    <w:p w14:paraId="4189A3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Ту-2 с моторами АШ-82ФН в варианте низкого торпедоносца и подвешенными одной и двумя торпедами испытания выдержал.</w:t>
      </w:r>
    </w:p>
    <w:p w14:paraId="586029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C223A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481CBD4F" w14:textId="77777777" w:rsidR="00665165" w:rsidRPr="00F90EAE" w:rsidRDefault="00665165" w:rsidP="00F90EAE">
      <w:pPr>
        <w:autoSpaceDE w:val="0"/>
        <w:autoSpaceDN w:val="0"/>
        <w:adjustRightInd w:val="0"/>
        <w:jc w:val="both"/>
        <w:rPr>
          <w:color w:val="000000" w:themeColor="text1"/>
          <w:sz w:val="16"/>
          <w:szCs w:val="16"/>
        </w:rPr>
      </w:pPr>
    </w:p>
    <w:p w14:paraId="119757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комиссия приняла макет Пе-2 с мотором 2 ВК-109 (2592,88).</w:t>
      </w:r>
    </w:p>
    <w:p w14:paraId="761397A6" w14:textId="77777777" w:rsidR="00665165" w:rsidRPr="00F90EAE" w:rsidRDefault="00665165" w:rsidP="00F90EAE">
      <w:pPr>
        <w:autoSpaceDE w:val="0"/>
        <w:autoSpaceDN w:val="0"/>
        <w:adjustRightInd w:val="0"/>
        <w:jc w:val="both"/>
        <w:rPr>
          <w:color w:val="000000" w:themeColor="text1"/>
          <w:sz w:val="16"/>
          <w:szCs w:val="16"/>
        </w:rPr>
      </w:pPr>
    </w:p>
    <w:p w14:paraId="68ADA2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года вышел приказ НКАП:</w:t>
      </w:r>
    </w:p>
    <w:p w14:paraId="6844E6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Еськова В.С. директором завода № 456 (директор завода № 273) (8958)</w:t>
      </w:r>
    </w:p>
    <w:p w14:paraId="365B4C1E" w14:textId="77777777" w:rsidR="00665165" w:rsidRPr="00F90EAE" w:rsidRDefault="00665165" w:rsidP="00F90EAE">
      <w:pPr>
        <w:autoSpaceDE w:val="0"/>
        <w:autoSpaceDN w:val="0"/>
        <w:adjustRightInd w:val="0"/>
        <w:jc w:val="both"/>
        <w:rPr>
          <w:iCs/>
          <w:color w:val="000000" w:themeColor="text1"/>
          <w:sz w:val="16"/>
          <w:szCs w:val="16"/>
        </w:rPr>
      </w:pPr>
    </w:p>
    <w:p w14:paraId="6783DBB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890B387" w14:textId="77777777" w:rsidR="00665165" w:rsidRPr="00F90EAE" w:rsidRDefault="00665165" w:rsidP="00F90EAE">
      <w:pPr>
        <w:autoSpaceDE w:val="0"/>
        <w:autoSpaceDN w:val="0"/>
        <w:adjustRightInd w:val="0"/>
        <w:jc w:val="both"/>
        <w:rPr>
          <w:iCs/>
          <w:color w:val="000000" w:themeColor="text1"/>
          <w:sz w:val="16"/>
          <w:szCs w:val="16"/>
        </w:rPr>
      </w:pPr>
    </w:p>
    <w:p w14:paraId="724416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февраля 1945 г. была подготовлена ДОКЛАДНАЯ ЗАПИСКА НАЧАЛЬНИКА ГБТУ КА ВОЕННОМУ СОВЕТУ БТ и МВ КА ПО ВОПРОСУ ИЗГОТОВЛЕНИЯ ПРОТИВОМИННЫХ ТРАЛОВ ПТ-3</w:t>
      </w:r>
    </w:p>
    <w:p w14:paraId="392B07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Согласной постановлению ГОКО №7092 от 8.12.1944 г. Тульский механический завод НКПС обязан изготовить и сдать ГБТУ КА противоминные тралы ПТ-3 в количестве:</w:t>
      </w:r>
    </w:p>
    <w:p w14:paraId="42CE2A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декабрь 1944 г. — 50 шт.;</w:t>
      </w:r>
    </w:p>
    <w:p w14:paraId="7A50C8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январь 1945 г. — 60 шт.;</w:t>
      </w:r>
    </w:p>
    <w:p w14:paraId="083A9E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февраль 1945 г. — 25 шт.;</w:t>
      </w:r>
    </w:p>
    <w:p w14:paraId="4BEE98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март 1945 г. — 25 шт.</w:t>
      </w:r>
    </w:p>
    <w:p w14:paraId="1B4CE5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 декабря и января месяца выполнен заводом полностью. ГБТУ КА принято от Тульского завода 110 противоминных тралов ПТ-3. 82 противоминных трала отправлены в войска.</w:t>
      </w:r>
    </w:p>
    <w:p w14:paraId="700A35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10.02.1945 г. 60 тралов находятся на хранении в Тульском танковом военном лагере.</w:t>
      </w:r>
    </w:p>
    <w:p w14:paraId="52C1C3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Литейно-механический завод НКПС имени Кагановича, поставляющий стальное литье для Тульского механического завода, заканчивает в середине февраля с. г. изготовление стального ли</w:t>
      </w:r>
      <w:r w:rsidRPr="00F90EAE">
        <w:rPr>
          <w:color w:val="000000" w:themeColor="text1"/>
          <w:sz w:val="16"/>
          <w:szCs w:val="16"/>
        </w:rPr>
        <w:softHyphen/>
        <w:t>тья на всю программу, установленную постановлением ГОКО №7092.</w:t>
      </w:r>
    </w:p>
    <w:p w14:paraId="6E8203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Для обеспечения беспрерывного изготовления противоминных тралов во </w:t>
      </w:r>
      <w:r w:rsidRPr="00F90EAE">
        <w:rPr>
          <w:color w:val="000000" w:themeColor="text1"/>
          <w:sz w:val="16"/>
          <w:szCs w:val="16"/>
          <w:lang w:val="en-US"/>
        </w:rPr>
        <w:t>II</w:t>
      </w:r>
      <w:r w:rsidRPr="00F90EAE">
        <w:rPr>
          <w:color w:val="000000" w:themeColor="text1"/>
          <w:sz w:val="16"/>
          <w:szCs w:val="16"/>
        </w:rPr>
        <w:t xml:space="preserve"> квартале и сохра</w:t>
      </w:r>
      <w:r w:rsidRPr="00F90EAE">
        <w:rPr>
          <w:color w:val="000000" w:themeColor="text1"/>
          <w:sz w:val="16"/>
          <w:szCs w:val="16"/>
        </w:rPr>
        <w:softHyphen/>
        <w:t>нения производственной базы, обеспечивающей снабжение Красной Армии противоминными тра</w:t>
      </w:r>
      <w:r w:rsidRPr="00F90EAE">
        <w:rPr>
          <w:color w:val="000000" w:themeColor="text1"/>
          <w:sz w:val="16"/>
          <w:szCs w:val="16"/>
        </w:rPr>
        <w:softHyphen/>
        <w:t xml:space="preserve">лами, прошу разрешить произвести заказ на ПТ-3 на </w:t>
      </w:r>
      <w:r w:rsidRPr="00F90EAE">
        <w:rPr>
          <w:color w:val="000000" w:themeColor="text1"/>
          <w:sz w:val="16"/>
          <w:szCs w:val="16"/>
          <w:lang w:val="en-US"/>
        </w:rPr>
        <w:t>II</w:t>
      </w:r>
      <w:r w:rsidRPr="00F90EAE">
        <w:rPr>
          <w:color w:val="000000" w:themeColor="text1"/>
          <w:sz w:val="16"/>
          <w:szCs w:val="16"/>
        </w:rPr>
        <w:t xml:space="preserve"> квартал 1945 г. с поставкой ежемесячно по 25 тралов.</w:t>
      </w:r>
    </w:p>
    <w:p w14:paraId="0CBC6A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ГБТУ КА генерал-лейтенант танковых войск Вершинин</w:t>
      </w:r>
    </w:p>
    <w:p w14:paraId="334914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2705. Л. 13. Подлинник (11420).</w:t>
      </w:r>
    </w:p>
    <w:p w14:paraId="15A369FC" w14:textId="77777777" w:rsidR="00665165" w:rsidRPr="00F90EAE" w:rsidRDefault="00665165" w:rsidP="00F90EAE">
      <w:pPr>
        <w:autoSpaceDE w:val="0"/>
        <w:autoSpaceDN w:val="0"/>
        <w:adjustRightInd w:val="0"/>
        <w:jc w:val="both"/>
        <w:rPr>
          <w:color w:val="000000" w:themeColor="text1"/>
          <w:sz w:val="16"/>
          <w:szCs w:val="16"/>
        </w:rPr>
      </w:pPr>
    </w:p>
    <w:p w14:paraId="39259D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вышло Постановление ГКО № 7536 Об обеспечении топливом ГЭС № 1 Мосэнерго. РГАНИР, Фонд ГКО, д. 370, лл. 226-227 (11012).</w:t>
      </w:r>
    </w:p>
    <w:p w14:paraId="732A207C" w14:textId="77777777" w:rsidR="00665165" w:rsidRPr="00F90EAE" w:rsidRDefault="00665165" w:rsidP="00F90EAE">
      <w:pPr>
        <w:autoSpaceDE w:val="0"/>
        <w:autoSpaceDN w:val="0"/>
        <w:adjustRightInd w:val="0"/>
        <w:jc w:val="both"/>
        <w:rPr>
          <w:color w:val="000000" w:themeColor="text1"/>
          <w:sz w:val="16"/>
          <w:szCs w:val="16"/>
        </w:rPr>
      </w:pPr>
    </w:p>
    <w:p w14:paraId="322D3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вышло Постановление ГКО № 7537 О мероприятиях по обеспечению углем важнейших предприятий Наркомцветмета в феврале 1945 г. РГАНИР, Фонд ГКО, д. 370, лл. 228-230 (11012).</w:t>
      </w:r>
    </w:p>
    <w:p w14:paraId="0C801D11" w14:textId="77777777" w:rsidR="00665165" w:rsidRPr="00F90EAE" w:rsidRDefault="00665165" w:rsidP="00F90EAE">
      <w:pPr>
        <w:autoSpaceDE w:val="0"/>
        <w:autoSpaceDN w:val="0"/>
        <w:adjustRightInd w:val="0"/>
        <w:jc w:val="both"/>
        <w:rPr>
          <w:color w:val="000000" w:themeColor="text1"/>
          <w:sz w:val="16"/>
          <w:szCs w:val="16"/>
        </w:rPr>
      </w:pPr>
    </w:p>
    <w:p w14:paraId="29E7D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вышло Распоряжение ГКО № 7538. О поставках корпусов 160 мм мин заводу № 12 НКБ. РГАНИР, Фонд ГКО, д. 370, лл. 231 (11012).</w:t>
      </w:r>
    </w:p>
    <w:p w14:paraId="3E7F0405" w14:textId="77777777" w:rsidR="00665165" w:rsidRPr="00F90EAE" w:rsidRDefault="00665165" w:rsidP="00F90EAE">
      <w:pPr>
        <w:autoSpaceDE w:val="0"/>
        <w:autoSpaceDN w:val="0"/>
        <w:adjustRightInd w:val="0"/>
        <w:jc w:val="both"/>
        <w:rPr>
          <w:color w:val="000000" w:themeColor="text1"/>
          <w:sz w:val="16"/>
          <w:szCs w:val="16"/>
        </w:rPr>
      </w:pPr>
    </w:p>
    <w:p w14:paraId="29C9F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вышло Постановление ГКО № 7539 О производстве запасных частей для проведения в 1945 г. капитального ремонта оборудования электростанций и электросетей и мерах улучшения их эксплуатации. РГАНИР, Фонд ГКО, д. 371, лл. 1-6, 7-286 (11012).</w:t>
      </w:r>
    </w:p>
    <w:p w14:paraId="44643B45" w14:textId="77777777" w:rsidR="00665165" w:rsidRPr="00F90EAE" w:rsidRDefault="00665165" w:rsidP="00F90EAE">
      <w:pPr>
        <w:autoSpaceDE w:val="0"/>
        <w:autoSpaceDN w:val="0"/>
        <w:adjustRightInd w:val="0"/>
        <w:jc w:val="both"/>
        <w:rPr>
          <w:color w:val="000000" w:themeColor="text1"/>
          <w:sz w:val="16"/>
          <w:szCs w:val="16"/>
        </w:rPr>
      </w:pPr>
    </w:p>
    <w:p w14:paraId="54428DD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8489820" w14:textId="77777777" w:rsidR="00665165" w:rsidRPr="00F90EAE" w:rsidRDefault="00665165" w:rsidP="00F90EAE">
      <w:pPr>
        <w:autoSpaceDE w:val="0"/>
        <w:autoSpaceDN w:val="0"/>
        <w:adjustRightInd w:val="0"/>
        <w:jc w:val="both"/>
        <w:rPr>
          <w:iCs/>
          <w:color w:val="000000" w:themeColor="text1"/>
          <w:sz w:val="16"/>
          <w:szCs w:val="16"/>
        </w:rPr>
      </w:pPr>
    </w:p>
    <w:p w14:paraId="3400B262" w14:textId="77777777" w:rsidR="00720DFE" w:rsidRPr="00F90EAE" w:rsidRDefault="00720DFE" w:rsidP="00F90EAE">
      <w:pPr>
        <w:jc w:val="both"/>
        <w:rPr>
          <w:color w:val="000000" w:themeColor="text1"/>
          <w:sz w:val="16"/>
          <w:szCs w:val="16"/>
        </w:rPr>
      </w:pPr>
      <w:r w:rsidRPr="00F90EAE">
        <w:rPr>
          <w:bCs/>
          <w:color w:val="000000" w:themeColor="text1"/>
          <w:sz w:val="16"/>
          <w:szCs w:val="16"/>
        </w:rPr>
        <w:t>13 ФЕВРАЛЯ 1945 СООБЩЕНИЕ Совинформбюро:</w:t>
      </w:r>
    </w:p>
    <w:p w14:paraId="19C81A44"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2-го УКРАИНСКОГО фронта при содействии войск 3-го УКРАИНСКОГО фронта, после полуторамесячной осады и упорных боёв в трудных условиях большого города, 13 февраля завершили разгром окружённой группировки противника в БУДАПЕШТЕ и тем самым полностью овладели столицей Венгрии городом БУДАПЕШТ — стратегически важный узлом обороны немцев на путях к ВЕНЕ.</w:t>
      </w:r>
    </w:p>
    <w:p w14:paraId="2CA4732D" w14:textId="77777777" w:rsidR="00720DFE" w:rsidRPr="00F90EAE" w:rsidRDefault="00720DFE" w:rsidP="00F90EAE">
      <w:pPr>
        <w:jc w:val="both"/>
        <w:rPr>
          <w:color w:val="000000" w:themeColor="text1"/>
          <w:sz w:val="16"/>
          <w:szCs w:val="16"/>
        </w:rPr>
      </w:pPr>
      <w:r w:rsidRPr="00F90EAE">
        <w:rPr>
          <w:color w:val="000000" w:themeColor="text1"/>
          <w:sz w:val="16"/>
          <w:szCs w:val="16"/>
        </w:rPr>
        <w:t>В ходе боёв в городе БУДАПЕШТ войска 2-го УКРАИНСКОГО фронта взяли в плен более 110.000 солдат и офицеров противника во главе с немецким командующим Будапештской группой войск генерал-полковником Пфеффер — Вильденбрухом и его штабом, а также захватили следующие трофеи: самолётов—15, танков и самоходных орудий—269, орудий—1.257, миномётов—476, пулемётов—1.431, бронемашин и бронетранспортёров — 83, автомашин — 5.153, мотоциклов — 1.326, повозок с военными грузами — 3.925, паровозов—194, железнодорожных вагонов — 9.475, складов с боеприпасами, вооружением и продовольствием — 46. Уничтожено более 49.000 солдат и офицеров противника.</w:t>
      </w:r>
    </w:p>
    <w:p w14:paraId="3BE36256" w14:textId="77777777" w:rsidR="00720DFE" w:rsidRPr="00F90EAE" w:rsidRDefault="00720DFE" w:rsidP="00F90EAE">
      <w:pPr>
        <w:jc w:val="both"/>
        <w:rPr>
          <w:color w:val="000000" w:themeColor="text1"/>
          <w:sz w:val="16"/>
          <w:szCs w:val="16"/>
        </w:rPr>
      </w:pPr>
      <w:r w:rsidRPr="00F90EAE">
        <w:rPr>
          <w:color w:val="000000" w:themeColor="text1"/>
          <w:sz w:val="16"/>
          <w:szCs w:val="16"/>
        </w:rPr>
        <w:t>В течение 13 февраля севернее и северо-западнее города БЫДГОЩ (БРОМБЕРГ) наши войска, продолжая наступление, с боями заняли более 40 населённых пунктов, среди которых крупные населённые пункты МУКШ, КЛАЙН БИСЛАВ, ГРОСС МЕН-ДРОМИРЦ, ШЛАГЕНТИН, ГЕРСДОРФ, КАМИН, ГРУНАУ.</w:t>
      </w:r>
    </w:p>
    <w:p w14:paraId="1D4040AE" w14:textId="77777777" w:rsidR="00720DFE" w:rsidRPr="00F90EAE" w:rsidRDefault="00720DFE" w:rsidP="00F90EAE">
      <w:pPr>
        <w:jc w:val="both"/>
        <w:rPr>
          <w:color w:val="000000" w:themeColor="text1"/>
          <w:sz w:val="16"/>
          <w:szCs w:val="16"/>
        </w:rPr>
      </w:pPr>
      <w:r w:rsidRPr="00F90EAE">
        <w:rPr>
          <w:color w:val="000000" w:themeColor="text1"/>
          <w:sz w:val="16"/>
          <w:szCs w:val="16"/>
        </w:rPr>
        <w:t>В ШНАЙДЕМЮЛЕ и ПОЗНАНИ продолжались бои по уничтожению окружённых гарнизонов противника.</w:t>
      </w:r>
    </w:p>
    <w:p w14:paraId="44FE18F8" w14:textId="77777777" w:rsidR="00720DFE" w:rsidRPr="00F90EAE" w:rsidRDefault="00720DFE" w:rsidP="00F90EAE">
      <w:pPr>
        <w:jc w:val="both"/>
        <w:rPr>
          <w:color w:val="000000" w:themeColor="text1"/>
          <w:sz w:val="16"/>
          <w:szCs w:val="16"/>
        </w:rPr>
      </w:pPr>
      <w:r w:rsidRPr="00F90EAE">
        <w:rPr>
          <w:color w:val="000000" w:themeColor="text1"/>
          <w:sz w:val="16"/>
          <w:szCs w:val="16"/>
        </w:rPr>
        <w:t xml:space="preserve">Северо-западнее города ЛИГНИЦ наши войска, развивая наступление, с боями заняли в немецкой Силезии более 150 населённых пунктов, в том числе город БЕЙ-ТЕН и крупные населённые пункты ГРОССЕНБОРАУ, РЮККЕРСДОРФ, ИОНСДОРФ. НОЙХАММЕР, ЛОРЕНЦДОРФ. Наши войска окружили гарнизон противника </w:t>
      </w:r>
      <w:r w:rsidRPr="00F90EAE">
        <w:rPr>
          <w:color w:val="000000" w:themeColor="text1"/>
          <w:sz w:val="16"/>
          <w:szCs w:val="16"/>
        </w:rPr>
        <w:lastRenderedPageBreak/>
        <w:t>в городе ГЛОГАУ и вели бои по его уничтожению. За 12 февраля в этом районе наши войска захватили на аэродромах 345 немецких самолётов и 200 авиационных моторов, а также взяли в плен более 700 немецких солдат и офицеров.</w:t>
      </w:r>
    </w:p>
    <w:p w14:paraId="6310C00D" w14:textId="77777777" w:rsidR="00720DFE" w:rsidRPr="00F90EAE" w:rsidRDefault="00720DF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14A4AA63" w14:textId="77777777" w:rsidR="00720DFE" w:rsidRPr="00F90EAE" w:rsidRDefault="00720DFE" w:rsidP="00F90EAE">
      <w:pPr>
        <w:jc w:val="both"/>
        <w:rPr>
          <w:color w:val="000000" w:themeColor="text1"/>
          <w:sz w:val="16"/>
          <w:szCs w:val="16"/>
        </w:rPr>
      </w:pPr>
      <w:r w:rsidRPr="00F90EAE">
        <w:rPr>
          <w:color w:val="000000" w:themeColor="text1"/>
          <w:sz w:val="16"/>
          <w:szCs w:val="16"/>
        </w:rPr>
        <w:t>За 12 февраля на всех фронтах подбито и уничтожено 70 немецких танков. В воздушных боях и огнём зенитной артиллерии сбито 12 самолётов противника.</w:t>
      </w:r>
    </w:p>
    <w:p w14:paraId="0C294E84" w14:textId="77777777" w:rsidR="00720DFE" w:rsidRPr="00F90EAE" w:rsidRDefault="00720DFE" w:rsidP="00F90EAE">
      <w:pPr>
        <w:jc w:val="both"/>
        <w:rPr>
          <w:color w:val="000000" w:themeColor="text1"/>
          <w:sz w:val="16"/>
          <w:szCs w:val="16"/>
        </w:rPr>
      </w:pPr>
      <w:r w:rsidRPr="00F90EAE">
        <w:rPr>
          <w:color w:val="000000" w:themeColor="text1"/>
          <w:sz w:val="16"/>
          <w:szCs w:val="16"/>
        </w:rPr>
        <w:t>Сегодня войска 2-го Украинского фронта при содействии войск 3-го Украинского фронта завершили ликвидацию окружённой в Будапеште группировки противника и полностью очистили венгерскую столицу от немецких захватчиков. Битва за Будапешт закончилась новой славной победой Красной Армии.</w:t>
      </w:r>
    </w:p>
    <w:p w14:paraId="27B5DA6C" w14:textId="77777777" w:rsidR="00720DFE" w:rsidRPr="00F90EAE" w:rsidRDefault="00720DFE" w:rsidP="00F90EAE">
      <w:pPr>
        <w:jc w:val="both"/>
        <w:rPr>
          <w:color w:val="000000" w:themeColor="text1"/>
          <w:sz w:val="16"/>
          <w:szCs w:val="16"/>
        </w:rPr>
      </w:pPr>
      <w:r w:rsidRPr="00F90EAE">
        <w:rPr>
          <w:color w:val="000000" w:themeColor="text1"/>
          <w:sz w:val="16"/>
          <w:szCs w:val="16"/>
        </w:rPr>
        <w:t>Полтора месяца тому назад, 29 декабря 1944 года, Советское командование, желая избежать напрасного кровопролития, избавить мирное население от страданий и жертв, предотвратить разрушение венгерской столицы, направило командованию и всему офицерскому составу окруженных в районе Будапешта немецких войск парламентёров с ультиматумам о капитуляций. Гитлеровские провокаторы и бандиты убили советских парламентеров. С этого момента наши войска развернули планомерные операции по ликвидации вражеской группировки. Немецкое командование, пытаясь прийти на помощь своим окружённым войскам, сосредоточило северо-западнее Будапешта крупные силы танков и пехоты и бросило их в бой. Перед наступлением всем солдатам был объявлен приказ Гитлера следующего содержания: «Вас будет поддерживать много тяжёлой артиллерии и самолётов. Вы должны сделать все, чтобы освободить дивизии, окруженные в Будапеште. Операциями руководить буду я сам». Известно, что это немецкое наступление позорно провалилось. Не добившись никаких результатов, немцы перегруппировали свои силы и изменили направление удара. Они предприняли атаки на столицу из района юго-западнее Будапешта. Однако и здесь все попытки гитлеровцев прорваться в Будапешт потерпели крах. Советские части отразили атаки противника и нанесли ему огромные потери. В бесплодных попытках прорваться к Будапешту немцы потеряли сотни танков и несколько десятков тысяч своих солдат и офицеров. Советские войска, ведя упорные бои, всё теснее сжимали кольцо вокруг окружённой в городе группировки противника. Немцы оказывает яростное сопротивление. Они установили в домах орудия и пулемёты, взорвали многие здания, устроили завалы и баррикады, на улицах расставили десятки тысяч мин. Немецкие офицеры расстреливали солдат, которые говорили, что положение будапештского гарнизона безнадежно. Все эти свирепые меры не спасли противника от разгрома. Советские воины, испытанные мастера уличного боя, ликвидировали окружённую группировку немцев. За время полуторамесячной осады и упорных боёв в Будапеште взято в плен более 110 тысяч солдат и офицеров противника. Среди пленных командующий будапештской группировкой противника немецкий генерал-полковник Пфеффер Вильденбрух, взятый вместе с его штабом в подземной водосточной трубе.</w:t>
      </w:r>
    </w:p>
    <w:p w14:paraId="06892B1E" w14:textId="77777777" w:rsidR="00720DFE" w:rsidRPr="00F90EAE" w:rsidRDefault="00720DFE" w:rsidP="00F90EAE">
      <w:pPr>
        <w:jc w:val="both"/>
        <w:rPr>
          <w:color w:val="000000" w:themeColor="text1"/>
          <w:sz w:val="16"/>
          <w:szCs w:val="16"/>
        </w:rPr>
      </w:pPr>
      <w:r w:rsidRPr="00F90EAE">
        <w:rPr>
          <w:color w:val="000000" w:themeColor="text1"/>
          <w:sz w:val="16"/>
          <w:szCs w:val="16"/>
        </w:rPr>
        <w:t>Севернее и северо-западнее города Быдгощ (Бромберт) наши войска продолжали наступление. Противник оказывает упорное сопротивление и часто переходит в контратаки. На одном участке немцы в течение дня предприняли двадцать контратак. Отбив вражеские контратаки, советские части овладели крупным населённым пунктом Камин, железнодорожной станцией Гарсдорф и ведут бои в 10 километрах южнее города Хойнице (Конитц). 3а день боёв уничтожено до 2 тысяч немецких солдат и офицеров. Сожжено и подбито 14 танков и самоходных орудий противника.</w:t>
      </w:r>
    </w:p>
    <w:p w14:paraId="5747D51F" w14:textId="77777777" w:rsidR="00720DFE" w:rsidRPr="00F90EAE" w:rsidRDefault="00720DFE" w:rsidP="00F90EAE">
      <w:pPr>
        <w:jc w:val="both"/>
        <w:rPr>
          <w:color w:val="000000" w:themeColor="text1"/>
          <w:sz w:val="16"/>
          <w:szCs w:val="16"/>
        </w:rPr>
      </w:pPr>
      <w:r w:rsidRPr="00F90EAE">
        <w:rPr>
          <w:color w:val="000000" w:themeColor="text1"/>
          <w:sz w:val="16"/>
          <w:szCs w:val="16"/>
        </w:rPr>
        <w:t>Северо-западнее города Лигниц наши войска продолжали развивать успешное наступление. Части Н-ского соединения, совершив стремительный обходный манёвр, окружили город Глогау—сильный опорный пункт немецкой обороны на левом берегу Одера. Продвигаясь вдоль Одера на северо-запад, советские войска овладели железнодорожной станцией и городом Бейтен. Другие наши части переправились через реку Бобер, преодолели большой лесной массив и заняли населённые пункты Нойхаммер, Лоренцдорф и Клитшдорф, расположенные на восточном берегу реки Квейс. Разрозненные группы немцев были прижаты к реке и уничтожены. В лесах в одном районе захвачены большие подземные склады — арсеналы с вооружением, боеприпасами и военными материалами.</w:t>
      </w:r>
    </w:p>
    <w:p w14:paraId="79C7DB14" w14:textId="77777777" w:rsidR="00720DFE" w:rsidRPr="00F90EAE" w:rsidRDefault="00720DFE" w:rsidP="00F90EAE">
      <w:pPr>
        <w:jc w:val="both"/>
        <w:rPr>
          <w:color w:val="000000" w:themeColor="text1"/>
          <w:sz w:val="16"/>
          <w:szCs w:val="16"/>
        </w:rPr>
      </w:pPr>
      <w:r w:rsidRPr="00F90EAE">
        <w:rPr>
          <w:color w:val="000000" w:themeColor="text1"/>
          <w:sz w:val="16"/>
          <w:szCs w:val="16"/>
        </w:rPr>
        <w:t>Советские воины в боях с немецкими захватчиками показывают образцы доблести и геройства. Пулемётчик Николай Лубков переплыл через реку и, прикрывая переправу советских бойцов, пулемётным огнём истребил несколько десятков гитлеровцев. Артиллерист наводчик Пётр Земцов в одном бою уничтожил 2 танка и 4 бронетранспортера противника. Зенитчик сержант Жарков при отражении налёта вражеской авиации сбил 2 немецких самолёта. Артиллеристы батареи старшего лейтенанта Пешкова, следуя в боевых порядках пехоты, прямой наводкой подавили 29 огневых точек противника. Старший сержант Мельник заметил, что в одном сарае укрылась большая группа немцев. Он скрытно подобрался к сараю и бросил две гранаты. Ворвавшись затем в сарай, Мельник дал две очереди из автомата и крикнул: «Руки вверх!». Оторопевшие немцы бросили оружие. Вышедшие из сарая с поднятыми руками 104 гитлеровца взяты в плен (15039).</w:t>
      </w:r>
    </w:p>
    <w:p w14:paraId="032C7FC9" w14:textId="77777777" w:rsidR="00720DFE" w:rsidRPr="00F90EAE" w:rsidRDefault="00720DFE" w:rsidP="00F90EAE">
      <w:pPr>
        <w:jc w:val="both"/>
        <w:rPr>
          <w:color w:val="000000" w:themeColor="text1"/>
          <w:sz w:val="16"/>
          <w:szCs w:val="16"/>
        </w:rPr>
      </w:pPr>
    </w:p>
    <w:p w14:paraId="5D2EFCB0" w14:textId="77777777" w:rsidR="00720DFE" w:rsidRPr="00F90EAE" w:rsidRDefault="00720DFE" w:rsidP="00F90EAE">
      <w:pPr>
        <w:jc w:val="both"/>
        <w:rPr>
          <w:color w:val="000000" w:themeColor="text1"/>
          <w:sz w:val="16"/>
          <w:szCs w:val="16"/>
        </w:rPr>
      </w:pPr>
      <w:r w:rsidRPr="00F90EAE">
        <w:rPr>
          <w:bCs/>
          <w:color w:val="000000" w:themeColor="text1"/>
          <w:sz w:val="16"/>
          <w:szCs w:val="16"/>
        </w:rPr>
        <w:t>13 февраля</w:t>
      </w:r>
      <w:r w:rsidRPr="00F90EAE">
        <w:rPr>
          <w:color w:val="000000" w:themeColor="text1"/>
          <w:sz w:val="16"/>
          <w:szCs w:val="16"/>
        </w:rPr>
        <w:t xml:space="preserve"> в 1945 году генерал Вальтер Венк (Walter Wenk) назначен командовать немецким наступлением на советские позиции к востоку от Берлина. 12-я армия Венка, самого молодого генерала вермахта, оказалась меж двух огней: пыталась деблокировать осаждённый Берлин под непрерывными ударами советской штурмовой авиации, в то же время отражала с тыла наступление союзных войск. Все попытки деблокировать Берлин были провалены, удалось лишь частично деблокировать котбускую группировку южнее Берлина, окружённую войсками 1-го Украинского фронта Конева (15039).</w:t>
      </w:r>
    </w:p>
    <w:p w14:paraId="6EA0CE65" w14:textId="77777777" w:rsidR="00720DFE" w:rsidRPr="00F90EAE" w:rsidRDefault="00720DFE" w:rsidP="00F90EAE">
      <w:pPr>
        <w:jc w:val="both"/>
        <w:rPr>
          <w:color w:val="000000" w:themeColor="text1"/>
          <w:sz w:val="16"/>
          <w:szCs w:val="16"/>
        </w:rPr>
      </w:pPr>
    </w:p>
    <w:p w14:paraId="0EAEFF59" w14:textId="77777777" w:rsidR="002C1BDA" w:rsidRPr="00F90EAE" w:rsidRDefault="002C1BDA" w:rsidP="00F90EAE">
      <w:pPr>
        <w:jc w:val="both"/>
        <w:rPr>
          <w:color w:val="0070C0"/>
          <w:sz w:val="16"/>
          <w:szCs w:val="16"/>
        </w:rPr>
      </w:pPr>
      <w:r w:rsidRPr="00F90EAE">
        <w:rPr>
          <w:color w:val="0070C0"/>
          <w:sz w:val="16"/>
          <w:szCs w:val="16"/>
        </w:rPr>
        <w:t>С 13 февраля по 15 апреля 1945 г. на аэродроме Саки в Крыму, на базе 5-го гв. мтап велись испытания Ту-2 в варианте торпедоносца. Всего сбросили 20 торпед 45-36АН и усовершенствованных 45-36АНУ, как практических, без заряда, так и боевых. В программу испытаний входили и учебные атаки со сбросом по катеру-цели. По заключению комиссии торпедоносец испытания выдержал и был рекомендован к принятию на вооружение. Уже 4 мая командование флота заказало первые 20 комплектов для переоснащения уже имевшихся у морской авиации бомбардировщиков Ту-2 (21059).</w:t>
      </w:r>
    </w:p>
    <w:p w14:paraId="6A86A78F" w14:textId="77777777" w:rsidR="002C1BDA" w:rsidRPr="00F90EAE" w:rsidRDefault="002C1BDA" w:rsidP="00F90EAE">
      <w:pPr>
        <w:jc w:val="both"/>
        <w:rPr>
          <w:color w:val="0070C0"/>
          <w:sz w:val="16"/>
          <w:szCs w:val="16"/>
        </w:rPr>
      </w:pPr>
    </w:p>
    <w:p w14:paraId="2A1ADD1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13 февраля 1945 СА завершила блокаду Будапешта и оккупировала всю Венгрию</w:t>
      </w:r>
      <w:r w:rsidRPr="00F90EAE">
        <w:rPr>
          <w:color w:val="000000" w:themeColor="text1"/>
          <w:sz w:val="16"/>
          <w:szCs w:val="16"/>
          <w:lang w:val="en-US"/>
        </w:rPr>
        <w:t xml:space="preserve"> (270).</w:t>
      </w:r>
    </w:p>
    <w:p w14:paraId="63A0CAD7" w14:textId="77777777" w:rsidR="00665165" w:rsidRPr="00F90EAE" w:rsidRDefault="00665165" w:rsidP="00F90EAE">
      <w:pPr>
        <w:autoSpaceDE w:val="0"/>
        <w:autoSpaceDN w:val="0"/>
        <w:adjustRightInd w:val="0"/>
        <w:jc w:val="both"/>
        <w:rPr>
          <w:color w:val="000000" w:themeColor="text1"/>
          <w:sz w:val="16"/>
          <w:szCs w:val="16"/>
          <w:lang w:val="en-US"/>
        </w:rPr>
      </w:pPr>
    </w:p>
    <w:p w14:paraId="2A92943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13 February 1945 Red Army ends siege of Budapest and occupies Hungary (270).</w:t>
      </w:r>
    </w:p>
    <w:p w14:paraId="544DC4D8" w14:textId="77777777" w:rsidR="00665165" w:rsidRPr="00F90EAE" w:rsidRDefault="00665165" w:rsidP="00F90EAE">
      <w:pPr>
        <w:autoSpaceDE w:val="0"/>
        <w:autoSpaceDN w:val="0"/>
        <w:adjustRightInd w:val="0"/>
        <w:jc w:val="both"/>
        <w:rPr>
          <w:color w:val="000000" w:themeColor="text1"/>
          <w:sz w:val="16"/>
          <w:szCs w:val="16"/>
          <w:lang w:val="en-US"/>
        </w:rPr>
      </w:pPr>
    </w:p>
    <w:p w14:paraId="468586C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февраля 1945 после 50-дневной битвы советские войска взяли Будапешт (4962).</w:t>
      </w:r>
    </w:p>
    <w:p w14:paraId="0B8F96B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95E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согласно сообщению Совинформбюро л ВФ потопили несколько транспортов, а А.Носов направил горящую машину на транспорт в 6000 т и взорвал его. Вместе с ним погибли ш Игошин и стрелок Дорофеев (438,933).</w:t>
      </w:r>
    </w:p>
    <w:p w14:paraId="78BDA8B7" w14:textId="77777777" w:rsidR="00665165" w:rsidRPr="00F90EAE" w:rsidRDefault="00665165" w:rsidP="00F90EAE">
      <w:pPr>
        <w:autoSpaceDE w:val="0"/>
        <w:autoSpaceDN w:val="0"/>
        <w:adjustRightInd w:val="0"/>
        <w:jc w:val="both"/>
        <w:rPr>
          <w:color w:val="000000" w:themeColor="text1"/>
          <w:sz w:val="16"/>
          <w:szCs w:val="16"/>
        </w:rPr>
      </w:pPr>
    </w:p>
    <w:p w14:paraId="1EFE7D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февраля 1945 генерал Вальтер Венк назначен командовать немецким наступлением на советские позиции к востоку от Берлина (4962).</w:t>
      </w:r>
    </w:p>
    <w:p w14:paraId="241F801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782C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г. четверка самолетов А-20 (два в варианте торпедоносцев, два - топмачтовиков) из состава 51-го МТАП, ведомая старшим лейтенантом В.П. Фоменковым, севернее косы Хела обнаружила и атаковала немецкий конвой. Один из топмачтовиков (пилот - младший лейтенант В.П.Носов, штурман младший лейтенант А.И.Игошин, стрелок - сержант B.C. Дорофеев) в ходе атаки на высоте 30 метров получил прямое попадание зенитного снаряда и загорелся. Не выходя из атаки, самолет врезался во вражеский транспорт, шедший в середине колонны из трех кораблей. В результате мощного взрыва корабль вскоре затонул. Уже после войны установлено, что был потоплен немецкий военный транспорт Н-27 (бывший французский пароход “Сан Матео”) с весьма ценным грузом. Вместе с транспортом погибли двигатели для карликовых подлодок типа “Зеехунд”, станки подземного патронного завода, печатное оборудование книжного издательства “Грейф” и газеты “Кенигсбергише Альгемайне Цайтунг”. Гданьский клуб подводного плавания “Рекина” в свое время обнаружил затонувшее на небольшой глубине судно в районе с координатами 59°23' сш. 18°58' вд. и в 70-80-е годы совершал на него регулярные погружения. Потопление транспорта ни у кого не вызывало сомнений, но почему-то в этом случае советское командование “поскупилось” на звезды Героев для погибшего экипажа “Бостона”. Летчики были посмертно награждены лишь орденами Красного Знамени (8942).</w:t>
      </w:r>
    </w:p>
    <w:p w14:paraId="1E6BE2BF" w14:textId="77777777" w:rsidR="00665165" w:rsidRPr="00F90EAE" w:rsidRDefault="00665165" w:rsidP="00F90EAE">
      <w:pPr>
        <w:autoSpaceDE w:val="0"/>
        <w:autoSpaceDN w:val="0"/>
        <w:adjustRightInd w:val="0"/>
        <w:jc w:val="both"/>
        <w:rPr>
          <w:color w:val="000000" w:themeColor="text1"/>
          <w:sz w:val="16"/>
          <w:szCs w:val="16"/>
        </w:rPr>
      </w:pPr>
    </w:p>
    <w:p w14:paraId="2BE668B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13 февраля 1945 г. Состав штаба ВВС был утвержден Власовым. Начальником штаба и вторым лицом после Мальцева стал не менее известный офицер полковник А.Ф.Ванюшин, до плена командовавший ВВС 20-й армии и отмеченный приказами Ставки еще за бои с немцами под Смоленском летом 1941 г. Судьба снова свела его с прежним командиром - в битве под Москвой самой 20-й армией с 20 ноября 1941 г. командовал генерал-майор А.Д.Власов. Распределяя посты, Мальцев исходил из профессиональных соображений, не делая различия между вчерашними офицерами РККА и их классовыми врагами-эмигрантами из числа которых немало осело в Чехословакии и Германии. Парадоксально, но некоторым из них в 20-30-е годы довелось в Чехословакии готовить летные кадры для будущих Люфтваффе почти одновременно с советскими инструкторами. учившими немцев летать на базах ВВС РККА! </w:t>
      </w:r>
      <w:r w:rsidRPr="00F90EAE">
        <w:rPr>
          <w:color w:val="000000" w:themeColor="text1"/>
          <w:sz w:val="16"/>
          <w:szCs w:val="16"/>
          <w:lang w:val="en-US"/>
        </w:rPr>
        <w:t>(4538).</w:t>
      </w:r>
    </w:p>
    <w:p w14:paraId="414D1312" w14:textId="77777777" w:rsidR="00665165" w:rsidRPr="00F90EAE" w:rsidRDefault="00665165" w:rsidP="00F90EAE">
      <w:pPr>
        <w:autoSpaceDE w:val="0"/>
        <w:autoSpaceDN w:val="0"/>
        <w:adjustRightInd w:val="0"/>
        <w:jc w:val="both"/>
        <w:rPr>
          <w:color w:val="000000" w:themeColor="text1"/>
          <w:sz w:val="16"/>
          <w:szCs w:val="16"/>
          <w:lang w:val="en-US"/>
        </w:rPr>
      </w:pPr>
    </w:p>
    <w:p w14:paraId="44E16F68"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177BC8C4" w14:textId="77777777" w:rsidR="00665165" w:rsidRPr="00F90EAE" w:rsidRDefault="00665165" w:rsidP="00F90EAE">
      <w:pPr>
        <w:autoSpaceDE w:val="0"/>
        <w:autoSpaceDN w:val="0"/>
        <w:adjustRightInd w:val="0"/>
        <w:jc w:val="both"/>
        <w:rPr>
          <w:iCs/>
          <w:color w:val="000000" w:themeColor="text1"/>
          <w:sz w:val="16"/>
          <w:szCs w:val="16"/>
          <w:lang w:val="en-US"/>
        </w:rPr>
      </w:pPr>
    </w:p>
    <w:p w14:paraId="02D1D4D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февраля 1945 авиация</w:t>
      </w:r>
      <w:r w:rsidR="00A524F6" w:rsidRPr="00F90EAE">
        <w:rPr>
          <w:color w:val="000000" w:themeColor="text1"/>
          <w:sz w:val="16"/>
          <w:szCs w:val="16"/>
        </w:rPr>
        <w:t xml:space="preserve"> </w:t>
      </w:r>
      <w:r w:rsidRPr="00F90EAE">
        <w:rPr>
          <w:color w:val="000000" w:themeColor="text1"/>
          <w:sz w:val="16"/>
          <w:szCs w:val="16"/>
        </w:rPr>
        <w:t>союзников</w:t>
      </w:r>
      <w:r w:rsidR="00A524F6" w:rsidRPr="00F90EAE">
        <w:rPr>
          <w:color w:val="000000" w:themeColor="text1"/>
          <w:sz w:val="16"/>
          <w:szCs w:val="16"/>
        </w:rPr>
        <w:t xml:space="preserve"> </w:t>
      </w:r>
      <w:r w:rsidRPr="00F90EAE">
        <w:rPr>
          <w:color w:val="000000" w:themeColor="text1"/>
          <w:sz w:val="16"/>
          <w:szCs w:val="16"/>
        </w:rPr>
        <w:t>практически</w:t>
      </w:r>
      <w:r w:rsidR="00A524F6" w:rsidRPr="00F90EAE">
        <w:rPr>
          <w:color w:val="000000" w:themeColor="text1"/>
          <w:sz w:val="16"/>
          <w:szCs w:val="16"/>
        </w:rPr>
        <w:t xml:space="preserve"> </w:t>
      </w:r>
      <w:r w:rsidRPr="00F90EAE">
        <w:rPr>
          <w:color w:val="000000" w:themeColor="text1"/>
          <w:sz w:val="16"/>
          <w:szCs w:val="16"/>
        </w:rPr>
        <w:t>полностью</w:t>
      </w:r>
      <w:r w:rsidR="00A524F6" w:rsidRPr="00F90EAE">
        <w:rPr>
          <w:color w:val="000000" w:themeColor="text1"/>
          <w:sz w:val="16"/>
          <w:szCs w:val="16"/>
        </w:rPr>
        <w:t xml:space="preserve"> </w:t>
      </w:r>
      <w:r w:rsidRPr="00F90EAE">
        <w:rPr>
          <w:color w:val="000000" w:themeColor="text1"/>
          <w:sz w:val="16"/>
          <w:szCs w:val="16"/>
        </w:rPr>
        <w:t>разрушила</w:t>
      </w:r>
      <w:r w:rsidR="00A524F6" w:rsidRPr="00F90EAE">
        <w:rPr>
          <w:color w:val="000000" w:themeColor="text1"/>
          <w:sz w:val="16"/>
          <w:szCs w:val="16"/>
        </w:rPr>
        <w:t xml:space="preserve"> </w:t>
      </w:r>
      <w:r w:rsidRPr="00F90EAE">
        <w:rPr>
          <w:color w:val="000000" w:themeColor="text1"/>
          <w:sz w:val="16"/>
          <w:szCs w:val="16"/>
        </w:rPr>
        <w:t>Дрезден (4962).</w:t>
      </w:r>
    </w:p>
    <w:p w14:paraId="46DEA9B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722F15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13 February 1945 (13-14-February) Dresden is virtually destroyed in an Allied bombing attack - 100,000 civilians are killed (270).</w:t>
      </w:r>
    </w:p>
    <w:p w14:paraId="42913EC4" w14:textId="77777777" w:rsidR="00665165" w:rsidRPr="00F90EAE" w:rsidRDefault="00665165" w:rsidP="00F90EAE">
      <w:pPr>
        <w:autoSpaceDE w:val="0"/>
        <w:autoSpaceDN w:val="0"/>
        <w:adjustRightInd w:val="0"/>
        <w:jc w:val="both"/>
        <w:rPr>
          <w:color w:val="000000" w:themeColor="text1"/>
          <w:sz w:val="16"/>
          <w:szCs w:val="16"/>
          <w:lang w:val="en-US"/>
        </w:rPr>
      </w:pPr>
    </w:p>
    <w:p w14:paraId="31A67FFA" w14:textId="77777777" w:rsidR="002C1BDA" w:rsidRPr="00F90EAE" w:rsidRDefault="002C1BDA" w:rsidP="00F90EAE">
      <w:pPr>
        <w:jc w:val="both"/>
        <w:rPr>
          <w:color w:val="0070C0"/>
          <w:sz w:val="16"/>
          <w:szCs w:val="16"/>
        </w:rPr>
      </w:pPr>
      <w:r w:rsidRPr="00F90EAE">
        <w:rPr>
          <w:color w:val="0070C0"/>
          <w:sz w:val="16"/>
          <w:szCs w:val="16"/>
        </w:rPr>
        <w:t xml:space="preserve">13 февраля 1945 - В ночь на 14-е воздушные силы союзной авиации, общим числом 1100 бомбардировщиков, провели массированную бомбардировку Дрездена. Сброшено 3749 тонн бомб. Площадь зоны полных разрушений в Дрездене в 4 раза превышала площадь зоны полных разрушений в Нагасаки. Целью бомбардировки </w:t>
      </w:r>
      <w:r w:rsidRPr="00F90EAE">
        <w:rPr>
          <w:color w:val="0070C0"/>
          <w:sz w:val="16"/>
          <w:szCs w:val="16"/>
        </w:rPr>
        <w:lastRenderedPageBreak/>
        <w:t>были железнодорожные сортировочные узлы. В результате город подвергся наибольшему, из городов за всю Вторую мировую, разрушению. Под руинами и в пожарах погибло около 60 000 человек (22599).</w:t>
      </w:r>
    </w:p>
    <w:p w14:paraId="5B887A07" w14:textId="77777777" w:rsidR="002C1BDA" w:rsidRPr="00F90EAE" w:rsidRDefault="002C1BDA" w:rsidP="00F90EAE">
      <w:pPr>
        <w:jc w:val="both"/>
        <w:rPr>
          <w:color w:val="0070C0"/>
          <w:sz w:val="16"/>
          <w:szCs w:val="16"/>
        </w:rPr>
      </w:pPr>
    </w:p>
    <w:p w14:paraId="1DBE4113" w14:textId="77777777" w:rsidR="002C1BDA" w:rsidRPr="00F90EAE" w:rsidRDefault="002C1BDA" w:rsidP="00F90EAE">
      <w:pPr>
        <w:jc w:val="both"/>
        <w:rPr>
          <w:color w:val="0070C0"/>
          <w:sz w:val="16"/>
          <w:szCs w:val="16"/>
        </w:rPr>
      </w:pPr>
      <w:r w:rsidRPr="00F90EAE">
        <w:rPr>
          <w:color w:val="0070C0"/>
          <w:sz w:val="16"/>
          <w:szCs w:val="16"/>
        </w:rPr>
        <w:t>13–15 февраля 1945 бомбардировщики союзников атакуют Дрезден с применением зажигательного оружия, разрушая большую часть города и убивая около 50 000 человек (20371).</w:t>
      </w:r>
    </w:p>
    <w:p w14:paraId="26D34A46" w14:textId="77777777" w:rsidR="002C1BDA" w:rsidRPr="00F90EAE" w:rsidRDefault="002C1BDA" w:rsidP="00F90EAE">
      <w:pPr>
        <w:jc w:val="both"/>
        <w:rPr>
          <w:color w:val="0070C0"/>
          <w:sz w:val="16"/>
          <w:szCs w:val="16"/>
        </w:rPr>
      </w:pPr>
    </w:p>
    <w:p w14:paraId="5921CCD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13/14 февраля 1945 Дрезден был фактически полностью уничтожен и погибло 100 тыс. населения (270), а по другим данным - 130 тыс. </w:t>
      </w:r>
      <w:r w:rsidRPr="00F90EAE">
        <w:rPr>
          <w:color w:val="000000" w:themeColor="text1"/>
          <w:sz w:val="16"/>
          <w:szCs w:val="16"/>
          <w:lang w:val="en-US"/>
        </w:rPr>
        <w:t>(2248,3).</w:t>
      </w:r>
    </w:p>
    <w:p w14:paraId="00BBC2E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Сбросилибомбыс</w:t>
      </w:r>
      <w:r w:rsidRPr="00F90EAE">
        <w:rPr>
          <w:color w:val="000000" w:themeColor="text1"/>
          <w:sz w:val="16"/>
          <w:szCs w:val="16"/>
          <w:lang w:val="en-US"/>
        </w:rPr>
        <w:t xml:space="preserve"> 3 </w:t>
      </w:r>
      <w:r w:rsidRPr="00F90EAE">
        <w:rPr>
          <w:color w:val="000000" w:themeColor="text1"/>
          <w:sz w:val="16"/>
          <w:szCs w:val="16"/>
        </w:rPr>
        <w:t>тыс</w:t>
      </w:r>
      <w:r w:rsidRPr="00F90EAE">
        <w:rPr>
          <w:color w:val="000000" w:themeColor="text1"/>
          <w:sz w:val="16"/>
          <w:szCs w:val="16"/>
          <w:lang w:val="en-US"/>
        </w:rPr>
        <w:t xml:space="preserve">. </w:t>
      </w:r>
      <w:r w:rsidRPr="00F90EAE">
        <w:rPr>
          <w:color w:val="000000" w:themeColor="text1"/>
          <w:sz w:val="16"/>
          <w:szCs w:val="16"/>
        </w:rPr>
        <w:t>самолетовиуничтожили</w:t>
      </w:r>
      <w:r w:rsidRPr="00F90EAE">
        <w:rPr>
          <w:color w:val="000000" w:themeColor="text1"/>
          <w:sz w:val="16"/>
          <w:szCs w:val="16"/>
          <w:lang w:val="en-US"/>
        </w:rPr>
        <w:t xml:space="preserve"> 34 </w:t>
      </w:r>
      <w:r w:rsidRPr="00F90EAE">
        <w:rPr>
          <w:color w:val="000000" w:themeColor="text1"/>
          <w:sz w:val="16"/>
          <w:szCs w:val="16"/>
        </w:rPr>
        <w:t>тыс</w:t>
      </w:r>
      <w:r w:rsidRPr="00F90EAE">
        <w:rPr>
          <w:color w:val="000000" w:themeColor="text1"/>
          <w:sz w:val="16"/>
          <w:szCs w:val="16"/>
          <w:lang w:val="en-US"/>
        </w:rPr>
        <w:t xml:space="preserve">. </w:t>
      </w:r>
      <w:r w:rsidRPr="00F90EAE">
        <w:rPr>
          <w:color w:val="000000" w:themeColor="text1"/>
          <w:sz w:val="16"/>
          <w:szCs w:val="16"/>
        </w:rPr>
        <w:t>зданий</w:t>
      </w:r>
      <w:r w:rsidRPr="00F90EAE">
        <w:rPr>
          <w:color w:val="000000" w:themeColor="text1"/>
          <w:sz w:val="16"/>
          <w:szCs w:val="16"/>
          <w:lang w:val="en-US"/>
        </w:rPr>
        <w:t xml:space="preserve"> (88,165).</w:t>
      </w:r>
    </w:p>
    <w:p w14:paraId="3E2FC765" w14:textId="77777777" w:rsidR="00665165" w:rsidRPr="00F90EAE" w:rsidRDefault="00665165" w:rsidP="00F90EAE">
      <w:pPr>
        <w:autoSpaceDE w:val="0"/>
        <w:autoSpaceDN w:val="0"/>
        <w:adjustRightInd w:val="0"/>
        <w:jc w:val="both"/>
        <w:rPr>
          <w:color w:val="000000" w:themeColor="text1"/>
          <w:sz w:val="16"/>
          <w:szCs w:val="16"/>
          <w:lang w:val="en-US"/>
        </w:rPr>
      </w:pPr>
    </w:p>
    <w:p w14:paraId="4A01342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13, 1945: The RAF launches a heavy attack (over 800 bombers in two separate waves, which is followed the next day by 400 bombers of the US 8th Air Force) against Dresden that incinerates the inner city and kills between 150,000 and 200,000 civilians, including tens of thousands of refugees from the East and hundreds of Allied prisoners of war; it is by far the most deadly and devastating air raid of the Second World War. On the Eastern front in Pommerania, the Red Army captures Schneidemul (3819).</w:t>
      </w:r>
    </w:p>
    <w:p w14:paraId="2B398B0A" w14:textId="77777777" w:rsidR="00665165" w:rsidRPr="00F90EAE" w:rsidRDefault="00665165" w:rsidP="00F90EAE">
      <w:pPr>
        <w:autoSpaceDE w:val="0"/>
        <w:autoSpaceDN w:val="0"/>
        <w:adjustRightInd w:val="0"/>
        <w:jc w:val="both"/>
        <w:rPr>
          <w:color w:val="000000" w:themeColor="text1"/>
          <w:sz w:val="16"/>
          <w:szCs w:val="16"/>
          <w:lang w:val="en-US"/>
        </w:rPr>
      </w:pPr>
    </w:p>
    <w:p w14:paraId="5997C9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февраля 1945 Королевские ВВС силами 800 бомбардировщиков в двух волнах, а на следующий день еще 400 8ВА США выполнили налет на Дрезден. Погибло от 150 до 200 тыс. гражданских лиц. В Восточной Пруссии КА заняла Шнейдемуль (3819).</w:t>
      </w:r>
    </w:p>
    <w:p w14:paraId="2F0E0603" w14:textId="77777777" w:rsidR="00665165" w:rsidRPr="00F90EAE" w:rsidRDefault="00665165" w:rsidP="00F90EAE">
      <w:pPr>
        <w:autoSpaceDE w:val="0"/>
        <w:autoSpaceDN w:val="0"/>
        <w:adjustRightInd w:val="0"/>
        <w:jc w:val="both"/>
        <w:rPr>
          <w:color w:val="000000" w:themeColor="text1"/>
          <w:sz w:val="16"/>
          <w:szCs w:val="16"/>
        </w:rPr>
      </w:pPr>
    </w:p>
    <w:p w14:paraId="4809772F" w14:textId="77777777" w:rsidR="00720DFE" w:rsidRPr="00F90EAE" w:rsidRDefault="00720DFE" w:rsidP="00F90EAE">
      <w:pPr>
        <w:jc w:val="both"/>
        <w:rPr>
          <w:color w:val="000000" w:themeColor="text1"/>
          <w:sz w:val="16"/>
          <w:szCs w:val="16"/>
        </w:rPr>
      </w:pPr>
      <w:r w:rsidRPr="00F90EAE">
        <w:rPr>
          <w:bCs/>
          <w:color w:val="000000" w:themeColor="text1"/>
          <w:sz w:val="16"/>
          <w:szCs w:val="16"/>
        </w:rPr>
        <w:t>13 февраля</w:t>
      </w:r>
      <w:r w:rsidRPr="00F90EAE">
        <w:rPr>
          <w:color w:val="000000" w:themeColor="text1"/>
          <w:sz w:val="16"/>
          <w:szCs w:val="16"/>
        </w:rPr>
        <w:t xml:space="preserve"> в 1945 году начало массированных бомбежек англо-американской авиацией Дрездена На город было сброшено 3749 тонн бомб.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2E2E149A" w14:textId="77777777" w:rsidR="00720DFE" w:rsidRPr="00F90EAE" w:rsidRDefault="00720DFE" w:rsidP="00F90EAE">
      <w:pPr>
        <w:jc w:val="both"/>
        <w:rPr>
          <w:color w:val="000000" w:themeColor="text1"/>
          <w:sz w:val="16"/>
          <w:szCs w:val="16"/>
        </w:rPr>
      </w:pPr>
      <w:r w:rsidRPr="00F90EAE">
        <w:rPr>
          <w:color w:val="000000" w:themeColor="text1"/>
          <w:sz w:val="16"/>
          <w:szCs w:val="16"/>
        </w:rPr>
        <w:t>На город, не имеющий военного значения, сбрасывается 3749 тонн бомб, разрушается около 35 470 зданий. Население вместе с беженцами, считавшими город безопасным местом, составляло около 1 миллиона человек. По самым скромным подсчетам, под бомбами, в огне пожаров и просто потому, что нечем было дышать, погибли от 60 до 130 тысяч человек. По одной из версий, причиной столь варварских бомбардировок (в налетах участвовало одновременно свыше 400 бомбардировщиков) было то, что город должен был отойти к советской зоне оккупации, по другой версии эта акция является ответом Англии на налеты германской авиации в 1940 году на Англию.</w:t>
      </w:r>
    </w:p>
    <w:p w14:paraId="38D91935" w14:textId="77777777" w:rsidR="00720DFE" w:rsidRPr="00F90EAE" w:rsidRDefault="00720DFE" w:rsidP="00F90EAE">
      <w:pPr>
        <w:jc w:val="both"/>
        <w:rPr>
          <w:bCs/>
          <w:color w:val="000000" w:themeColor="text1"/>
          <w:sz w:val="16"/>
          <w:szCs w:val="16"/>
        </w:rPr>
      </w:pPr>
      <w:r w:rsidRPr="00F90EAE">
        <w:rPr>
          <w:color w:val="000000" w:themeColor="text1"/>
          <w:sz w:val="16"/>
          <w:szCs w:val="16"/>
        </w:rPr>
        <w:t>Это событие нашло отражение в романе американского писателя Курта Воннегута «Бойня № 5, или Крестовый поход детей», который находился в то время в Дрездене как военнопленный.</w:t>
      </w:r>
    </w:p>
    <w:p w14:paraId="7BA8E81B" w14:textId="77777777" w:rsidR="00720DFE" w:rsidRPr="00F90EAE" w:rsidRDefault="00720DFE" w:rsidP="00F90EAE">
      <w:pPr>
        <w:jc w:val="both"/>
        <w:rPr>
          <w:color w:val="000000" w:themeColor="text1"/>
          <w:sz w:val="16"/>
          <w:szCs w:val="16"/>
        </w:rPr>
      </w:pPr>
      <w:r w:rsidRPr="00F90EAE">
        <w:rPr>
          <w:color w:val="000000" w:themeColor="text1"/>
          <w:sz w:val="16"/>
          <w:szCs w:val="16"/>
        </w:rPr>
        <w:t>При выполнении операции «Миллениум» тысячи самолетов Бомбер-Харриса сбросили на Келн 1350 тонн обычных бомб и 460 тысяч тонн зажигательных. Больше огня, чем стали сыпалось с неба и в знаменитой рурской бомбежке, в которой погибла 21000 мирных жителей. В этих бомбардировках человек доказал, что путем изощренной комбинации различных видов оружия он способен искусственно вызывать природные катастрофы:</w:t>
      </w:r>
    </w:p>
    <w:p w14:paraId="19DD5C8E" w14:textId="77777777" w:rsidR="00720DFE" w:rsidRPr="00F90EAE" w:rsidRDefault="00720DFE" w:rsidP="00F90EAE">
      <w:pPr>
        <w:jc w:val="both"/>
        <w:rPr>
          <w:color w:val="000000" w:themeColor="text1"/>
          <w:sz w:val="16"/>
          <w:szCs w:val="16"/>
        </w:rPr>
      </w:pPr>
      <w:r w:rsidRPr="00F90EAE">
        <w:rPr>
          <w:color w:val="000000" w:themeColor="text1"/>
          <w:sz w:val="16"/>
          <w:szCs w:val="16"/>
        </w:rPr>
        <w:t>-Сначала сбрасывались мощные детонационные бомбы, в том числе и так называемые «блокбастеры» - бомбы прошибающие дома насквозь до первого этажа. Взрывной волной от них срывались прочь крыши, окна и разрушались огнеупорные перемычки.</w:t>
      </w:r>
    </w:p>
    <w:p w14:paraId="5C347A18" w14:textId="77777777" w:rsidR="00720DFE" w:rsidRPr="00F90EAE" w:rsidRDefault="00720DFE" w:rsidP="00F90EAE">
      <w:pPr>
        <w:jc w:val="both"/>
        <w:rPr>
          <w:color w:val="000000" w:themeColor="text1"/>
          <w:sz w:val="16"/>
          <w:szCs w:val="16"/>
        </w:rPr>
      </w:pPr>
      <w:r w:rsidRPr="00F90EAE">
        <w:rPr>
          <w:color w:val="000000" w:themeColor="text1"/>
          <w:sz w:val="16"/>
          <w:szCs w:val="16"/>
        </w:rPr>
        <w:t>- За этим, во вскрытое чрево зданий, огненным дождем сыпались зажигательные стержни и фосфорные бомбы. Воздух, гудевший под воздействием тяги в пустом остове здания, как в хорошо выложенном камине, раздувал любой маленький очаг огня, превращая его в огромное пламя.</w:t>
      </w:r>
    </w:p>
    <w:p w14:paraId="643CC1A2" w14:textId="77777777" w:rsidR="00720DFE" w:rsidRPr="00F90EAE" w:rsidRDefault="00720DFE" w:rsidP="00F90EAE">
      <w:pPr>
        <w:jc w:val="both"/>
        <w:rPr>
          <w:color w:val="000000" w:themeColor="text1"/>
          <w:sz w:val="16"/>
          <w:szCs w:val="16"/>
        </w:rPr>
      </w:pPr>
      <w:r w:rsidRPr="00F90EAE">
        <w:rPr>
          <w:color w:val="000000" w:themeColor="text1"/>
          <w:sz w:val="16"/>
          <w:szCs w:val="16"/>
        </w:rPr>
        <w:t>- Напоследок сбрасывалась заключительная волна обычных и осколочных бомб, частично с механизмами замедленного действия, разрушавшая водяные трубопроводы, усеивающая улицы воронками и уничтожавшая пожарные подразделения для того, чтобы дать отдельным очагам пожара беспрепятственно объединились в единое, всепоглощающее море огня.</w:t>
      </w:r>
    </w:p>
    <w:p w14:paraId="09DD58AB" w14:textId="77777777" w:rsidR="00720DFE" w:rsidRPr="00F90EAE" w:rsidRDefault="00720DFE" w:rsidP="00F90EAE">
      <w:pPr>
        <w:jc w:val="both"/>
        <w:rPr>
          <w:color w:val="000000" w:themeColor="text1"/>
          <w:sz w:val="16"/>
          <w:szCs w:val="16"/>
        </w:rPr>
      </w:pPr>
      <w:r w:rsidRPr="00F90EAE">
        <w:rPr>
          <w:color w:val="000000" w:themeColor="text1"/>
          <w:sz w:val="16"/>
          <w:szCs w:val="16"/>
        </w:rPr>
        <w:t>Воистину сатанинское, потустороннее последствие такой техники уничтожения заключалось в том, что над частями городов охваченных пожарами образовывались гигантские столбы раскаленного воздуха всасывающие в себя тысячи тонн кислорода и продуцирующие грандиозные тайфуны и ветра штурмовой силы. Люди, вне зависимости от того прятались ли они в подвалах или находились на открытой местности, погибали от перегрева или повышенного давления, ожогов или отравления углекислым газом.</w:t>
      </w:r>
    </w:p>
    <w:p w14:paraId="0B9F526B" w14:textId="77777777" w:rsidR="00720DFE" w:rsidRPr="00F90EAE" w:rsidRDefault="00720DFE" w:rsidP="00F90EAE">
      <w:pPr>
        <w:jc w:val="both"/>
        <w:rPr>
          <w:color w:val="000000" w:themeColor="text1"/>
          <w:sz w:val="16"/>
          <w:szCs w:val="16"/>
        </w:rPr>
      </w:pPr>
      <w:r w:rsidRPr="00F90EAE">
        <w:rPr>
          <w:color w:val="000000" w:themeColor="text1"/>
          <w:sz w:val="16"/>
          <w:szCs w:val="16"/>
        </w:rPr>
        <w:t>«Флоты бомбардировщиков, имеющие заданием сбросить миллионы зажигательных бомб не могут иметь какую-то конкретную цель, не говоря уже о конкретной военной цели, речь в таких случаях идет о географических площадях»,- осуждал эту технику ведения войны Фридрих, - «рабочие и дети рабочих, противники Гитлера в тюрьмах и рабы привезенные с оккупированных территорий, - все сгорает в одинаковой степени».</w:t>
      </w:r>
    </w:p>
    <w:p w14:paraId="7A29927B" w14:textId="77777777" w:rsidR="00720DFE" w:rsidRPr="00F90EAE" w:rsidRDefault="00720DFE" w:rsidP="00F90EAE">
      <w:pPr>
        <w:jc w:val="both"/>
        <w:rPr>
          <w:bCs/>
          <w:color w:val="000000" w:themeColor="text1"/>
          <w:sz w:val="16"/>
          <w:szCs w:val="16"/>
        </w:rPr>
      </w:pPr>
      <w:r w:rsidRPr="00F90EAE">
        <w:rPr>
          <w:color w:val="000000" w:themeColor="text1"/>
          <w:sz w:val="16"/>
          <w:szCs w:val="16"/>
        </w:rPr>
        <w:t>В разработке и улучшении этого метода уничтожения людей принимали участие как американские, так и английские ученные. США привлекли в 1943 году эмигрировавшего из Германии архитектора Эриха Мендельсона для постройки в пустыне на территории секретной испытательной зоны в штате Юта точнейшей копии берлинских казарм включая такие детали как мебель и гардины для проверки их воспламеняемости. Результаты этих экспериментов были применены по всей Германии и послужили поводом для не безосновательных утверждений Бомбера-Харриса : «Мы можем испепелить весь Берлин с одного его края до другого. Это будет стоить нам 400 – 500 самолетов. А немцам это будет стоить войны».</w:t>
      </w:r>
    </w:p>
    <w:p w14:paraId="27E5810E" w14:textId="77777777" w:rsidR="00720DFE" w:rsidRPr="00F90EAE" w:rsidRDefault="00720DFE" w:rsidP="00F90EAE">
      <w:pPr>
        <w:jc w:val="both"/>
        <w:rPr>
          <w:color w:val="000000" w:themeColor="text1"/>
          <w:sz w:val="16"/>
          <w:szCs w:val="16"/>
        </w:rPr>
      </w:pPr>
      <w:r w:rsidRPr="00F90EAE">
        <w:rPr>
          <w:color w:val="000000" w:themeColor="text1"/>
          <w:sz w:val="16"/>
          <w:szCs w:val="16"/>
        </w:rPr>
        <w:t>В августе 1944 года Черчилль ознакомил американского президента со своим планом называвшемся «Operation Thunderclap» («Операция Гром»), целью которого являлось уничтожение около двухсот тысяч берлинцев путем массированной бомбардировки города двумя тысячами бомбардировщиков. Рузвельт поспешил согласиться с этим планом, что в принципе весьма согласовалось с его отношением к гражданскому населению Германии: «Мы должны быть жестокими по отношению с немцами, я имею ввиду немцев как нацию, а не только нацистов. Либо мы должны кастрировать немецкий народ, либо так с ними обращаться, чтобы они не производили на свет потомство способное и дальше себя вести так, как в прошлом».</w:t>
      </w:r>
    </w:p>
    <w:p w14:paraId="2A94C00B" w14:textId="77777777" w:rsidR="00720DFE" w:rsidRPr="00F90EAE" w:rsidRDefault="00720DFE" w:rsidP="00F90EAE">
      <w:pPr>
        <w:jc w:val="both"/>
        <w:rPr>
          <w:color w:val="000000" w:themeColor="text1"/>
          <w:sz w:val="16"/>
          <w:szCs w:val="16"/>
        </w:rPr>
      </w:pPr>
      <w:r w:rsidRPr="00F90EAE">
        <w:rPr>
          <w:color w:val="000000" w:themeColor="text1"/>
          <w:sz w:val="16"/>
          <w:szCs w:val="16"/>
        </w:rPr>
        <w:t>Особый акцент делался на то, что бомбардировка «Гром» должна производится исключительно по жилым домам.. «Главная цель таких бомбардировок в первую очередь направлена против морали обычного населения и служит психологическим целям».- говорилось в обосновании операции, «весьма важно, чтобы вся операции стартовалась именно с этой целью, и не расширилась бы на пригороды, на такие цели как танковые заводы или, скажем, самолетостроительные предприятия и т.д.».</w:t>
      </w:r>
    </w:p>
    <w:p w14:paraId="27982430" w14:textId="77777777" w:rsidR="00720DFE" w:rsidRPr="00F90EAE" w:rsidRDefault="00720DFE" w:rsidP="00F90EAE">
      <w:pPr>
        <w:jc w:val="both"/>
        <w:rPr>
          <w:color w:val="000000" w:themeColor="text1"/>
          <w:sz w:val="16"/>
          <w:szCs w:val="16"/>
        </w:rPr>
      </w:pPr>
      <w:r w:rsidRPr="00F90EAE">
        <w:rPr>
          <w:color w:val="000000" w:themeColor="text1"/>
          <w:sz w:val="16"/>
          <w:szCs w:val="16"/>
        </w:rPr>
        <w:t>В то время, когда русские в начале 1945 года быстро приближались к немецкой границе, была начата операция «Гром», в которую дополнительно были включены города Дрезден и Лейпциг. По мнению большинства исследователей войны, и в том числе такого авторитета как Майк Девис, цель, которую ставило англо-американское командование «при выполнении этой операции служило в одинаковой степени окончанию мировой войны и началу холодной войны».</w:t>
      </w:r>
    </w:p>
    <w:p w14:paraId="12B11623" w14:textId="77777777" w:rsidR="00720DFE" w:rsidRPr="00F90EAE" w:rsidRDefault="00720DFE" w:rsidP="00F90EAE">
      <w:pPr>
        <w:jc w:val="both"/>
        <w:rPr>
          <w:color w:val="000000" w:themeColor="text1"/>
          <w:sz w:val="16"/>
          <w:szCs w:val="16"/>
        </w:rPr>
      </w:pPr>
      <w:r w:rsidRPr="00F90EAE">
        <w:rPr>
          <w:color w:val="000000" w:themeColor="text1"/>
          <w:sz w:val="16"/>
          <w:szCs w:val="16"/>
        </w:rPr>
        <w:t>И в самом деле стратеги английских ВВС рассчитывали «превращением больших городов в пустыню убедить наших русских союзников, а вместе с ними и руководителей нейтральных государств в непомерной мощи военно-воздушных сил англо-американской коалиции».</w:t>
      </w:r>
    </w:p>
    <w:p w14:paraId="2EAB083E" w14:textId="77777777" w:rsidR="00720DFE" w:rsidRPr="00F90EAE" w:rsidRDefault="00720DFE" w:rsidP="00F90EAE">
      <w:pPr>
        <w:jc w:val="both"/>
        <w:rPr>
          <w:color w:val="000000" w:themeColor="text1"/>
          <w:sz w:val="16"/>
          <w:szCs w:val="16"/>
        </w:rPr>
      </w:pPr>
      <w:r w:rsidRPr="00F90EAE">
        <w:rPr>
          <w:color w:val="000000" w:themeColor="text1"/>
          <w:sz w:val="16"/>
          <w:szCs w:val="16"/>
        </w:rPr>
        <w:t>Осуждая западных союзников историк Грогеле писал: «Перед лицом успешного наступления Красной Армии, «Операцию Гром» начали исключительно с целью закрепить за западными союзниками хоть и не решающую, но как минимум существенную роль, в ходе Второй Мировой Войны».</w:t>
      </w:r>
    </w:p>
    <w:p w14:paraId="72680FF5" w14:textId="77777777" w:rsidR="00720DFE" w:rsidRPr="00F90EAE" w:rsidRDefault="00720DFE" w:rsidP="00F90EAE">
      <w:pPr>
        <w:jc w:val="both"/>
        <w:rPr>
          <w:color w:val="000000" w:themeColor="text1"/>
          <w:sz w:val="16"/>
          <w:szCs w:val="16"/>
        </w:rPr>
      </w:pPr>
      <w:r w:rsidRPr="00F90EAE">
        <w:rPr>
          <w:color w:val="000000" w:themeColor="text1"/>
          <w:sz w:val="16"/>
          <w:szCs w:val="16"/>
        </w:rPr>
        <w:t>«Операция Гром» обошлась Берлину в 3000 убитых, В Дрездене удалось разжечь столь желаемый огненный ураган. Сил выживших не хватало для захоронения десятков тысяч умерших, похоронные бригады с опытом работы в концентрационных лагерях вынуждены были рыть братские могилы. «Осознанная террористическая атака» (по собственному определению ВВС США), достигла своей цели. Следует отметить, что большая часть погибших была из числа беженцев панически двигавшихся в сторону спасительного гуманного Запада дабы избежать предполагаемых зверств русских не гуманных оккупантов, зверств, которых так никто от русских и не дождался.</w:t>
      </w:r>
    </w:p>
    <w:p w14:paraId="1D391740" w14:textId="77777777" w:rsidR="00720DFE" w:rsidRPr="00F90EAE" w:rsidRDefault="00720DFE" w:rsidP="00F90EAE">
      <w:pPr>
        <w:jc w:val="both"/>
        <w:rPr>
          <w:color w:val="000000" w:themeColor="text1"/>
          <w:sz w:val="16"/>
          <w:szCs w:val="16"/>
        </w:rPr>
      </w:pPr>
      <w:r w:rsidRPr="00F90EAE">
        <w:rPr>
          <w:color w:val="000000" w:themeColor="text1"/>
          <w:sz w:val="16"/>
          <w:szCs w:val="16"/>
        </w:rPr>
        <w:t>Автор журнала «Шпигель» в 1982 году писал: «По меркам Нюрнбергского процесса Черчилль должен был быть повешен, как минимум за бомбардировку Дрездена, ведь это было сделано тогда, когда Германия была почти уже разгромлена русскими».</w:t>
      </w:r>
    </w:p>
    <w:p w14:paraId="323DC5CC" w14:textId="77777777" w:rsidR="00720DFE" w:rsidRPr="00F90EAE" w:rsidRDefault="00720DFE" w:rsidP="00F90EAE">
      <w:pPr>
        <w:jc w:val="both"/>
        <w:rPr>
          <w:color w:val="000000" w:themeColor="text1"/>
          <w:sz w:val="16"/>
          <w:szCs w:val="16"/>
        </w:rPr>
      </w:pPr>
      <w:r w:rsidRPr="00F90EAE">
        <w:rPr>
          <w:color w:val="000000" w:themeColor="text1"/>
          <w:sz w:val="16"/>
          <w:szCs w:val="16"/>
        </w:rPr>
        <w:t>События происходившие между развалинами и горами трупов можно сравнить лишь с библейским Армагеддоном. Группы по идентификации погибших требовали щипцы для снятия колец с умерших, это было, пожалуй, единственным шансом узнать человека по возможной гравировке на кольце. Огненный штурм, везде где он проходил превращал людей в живых факелов, падавших в конце концов на кипящий асфальт улиц.</w:t>
      </w:r>
    </w:p>
    <w:p w14:paraId="06D9EAE5" w14:textId="77777777" w:rsidR="00720DFE" w:rsidRPr="00F90EAE" w:rsidRDefault="00720DFE" w:rsidP="00F90EAE">
      <w:pPr>
        <w:jc w:val="both"/>
        <w:rPr>
          <w:color w:val="000000" w:themeColor="text1"/>
          <w:sz w:val="16"/>
          <w:szCs w:val="16"/>
        </w:rPr>
      </w:pPr>
      <w:r w:rsidRPr="00F90EAE">
        <w:rPr>
          <w:color w:val="000000" w:themeColor="text1"/>
          <w:sz w:val="16"/>
          <w:szCs w:val="16"/>
        </w:rPr>
        <w:t>Шестилетний житель Гамбурга Вольф Бирманн, выросший под желтой звездой, отец которого был в том же году убит в Освенциме, избежал смерти в огненном мареве 1943 года лишь потому, что его мать, Эмма, с ним за спиной переплыла канал Эльбы. В такие ночи некоторые жители Гамбурга начинали понимать о чем 18 февраля 1943 года говорил Геббельс доводя до истерики массы людей собравшихся во Дворце Спорта города: «Хотите ли вы тотальной войны? Хотите ли вы ее тотальнее и радикальнее того, что мы себе сегодня вообще можем представить?» И хотя Гитлер всего месяц до того сдал Красной Армии свою шестую армию под Сталинградом, стены Спортдворца сотрясало грохочущее «Да-а-а-а-а-а-а!».</w:t>
      </w:r>
    </w:p>
    <w:p w14:paraId="7115071D" w14:textId="77777777" w:rsidR="00720DFE" w:rsidRPr="00F90EAE" w:rsidRDefault="00720DFE" w:rsidP="00F90EAE">
      <w:pPr>
        <w:jc w:val="both"/>
        <w:rPr>
          <w:color w:val="000000" w:themeColor="text1"/>
          <w:sz w:val="16"/>
          <w:szCs w:val="16"/>
        </w:rPr>
      </w:pPr>
      <w:r w:rsidRPr="00F90EAE">
        <w:rPr>
          <w:color w:val="000000" w:themeColor="text1"/>
          <w:sz w:val="16"/>
          <w:szCs w:val="16"/>
        </w:rPr>
        <w:t>Нарастающее во времени «moral bombing» охватывало, преимущественно, традиционно антифашистские рабочие части городов, так называемые «красные пояса» Берлина или Гамбурга. Однако надежды американских и английских стратегов – бомбить пролетариат пока тот не поднимет восстание - не осуществлялись.</w:t>
      </w:r>
    </w:p>
    <w:p w14:paraId="4EBEDF04" w14:textId="77777777" w:rsidR="00720DFE" w:rsidRPr="00F90EAE" w:rsidRDefault="00720DFE" w:rsidP="00F90EAE">
      <w:pPr>
        <w:jc w:val="both"/>
        <w:rPr>
          <w:color w:val="000000" w:themeColor="text1"/>
          <w:sz w:val="16"/>
          <w:szCs w:val="16"/>
        </w:rPr>
      </w:pPr>
      <w:r w:rsidRPr="00F90EAE">
        <w:rPr>
          <w:color w:val="000000" w:themeColor="text1"/>
          <w:sz w:val="16"/>
          <w:szCs w:val="16"/>
        </w:rPr>
        <w:t>Не известно какому безмозглому штабному чину принадлежит столь идиотская мысль бомбить людей до тех пор пока они не восстанут, мысль которая ни разу не оправдалась не смотря на многочисленные попытки ее применения за последние 60 лет. Не смотря на это эти бесплодные попытки осуществляются по сей день в последний раз в Югославии и в Ираке.</w:t>
      </w:r>
    </w:p>
    <w:p w14:paraId="0B7E837C" w14:textId="77777777" w:rsidR="00720DFE" w:rsidRPr="00F90EAE" w:rsidRDefault="00720DFE" w:rsidP="00F90EAE">
      <w:pPr>
        <w:jc w:val="both"/>
        <w:rPr>
          <w:color w:val="000000" w:themeColor="text1"/>
          <w:sz w:val="16"/>
          <w:szCs w:val="16"/>
        </w:rPr>
      </w:pPr>
      <w:r w:rsidRPr="00F90EAE">
        <w:rPr>
          <w:color w:val="000000" w:themeColor="text1"/>
          <w:sz w:val="16"/>
          <w:szCs w:val="16"/>
        </w:rPr>
        <w:lastRenderedPageBreak/>
        <w:t>Бомбардируемые в немецких городах реагировали не восстанием, а приспособлением под бомбардировку. «Если вас бомбежками возвращают в каменный век, то вы тогда думаете не о восстании, а о примитивном выживании», - говорит свидетель тех времен Форте. Эти бомбежки позволили гитлеровской пропагандистской машине разжечь ненависть к «банде убийц» и «летчиков-террористов» подогреваемых «еврейскими силами» и тем самым отвлечь от себя ненависть и разочарование людей гитлеровским правительством, которое даже не позаботилось о необходимом количестве бомбоубежищ на своей территории.</w:t>
      </w:r>
    </w:p>
    <w:p w14:paraId="0F86D629" w14:textId="77777777" w:rsidR="00720DFE" w:rsidRPr="00F90EAE" w:rsidRDefault="00720DFE" w:rsidP="00F90EAE">
      <w:pPr>
        <w:jc w:val="both"/>
        <w:rPr>
          <w:color w:val="000000" w:themeColor="text1"/>
          <w:sz w:val="16"/>
          <w:szCs w:val="16"/>
        </w:rPr>
      </w:pPr>
      <w:r w:rsidRPr="00F90EAE">
        <w:rPr>
          <w:color w:val="000000" w:themeColor="text1"/>
          <w:sz w:val="16"/>
          <w:szCs w:val="16"/>
        </w:rPr>
        <w:t>Союзники почти не бомбили промышленные объекты, а те незначительные повреждения, которые чуть ли не случайно наносились некоторым заводам, очень быстро ликвидировались, рабочие, при необходимости заменялись военнопленными, тем самым военная индустрия функционировала на удивление успешно. «Мы были в бешенстве», - вспоминает Форте, «когда после бомбардировок выходили из подвалов на превращенные в руину улицы и видели, что заводы, где выпускались танки и пушки, остались не тронутыми. В таком состоянии они оставались до самой капитуляции».</w:t>
      </w:r>
    </w:p>
    <w:p w14:paraId="42D29984" w14:textId="77777777" w:rsidR="00720DFE" w:rsidRPr="00F90EAE" w:rsidRDefault="00720DFE" w:rsidP="00F90EAE">
      <w:pPr>
        <w:jc w:val="both"/>
        <w:rPr>
          <w:color w:val="000000" w:themeColor="text1"/>
          <w:sz w:val="16"/>
          <w:szCs w:val="16"/>
        </w:rPr>
      </w:pPr>
      <w:r w:rsidRPr="00F90EAE">
        <w:rPr>
          <w:color w:val="000000" w:themeColor="text1"/>
          <w:sz w:val="16"/>
          <w:szCs w:val="16"/>
        </w:rPr>
        <w:t>В этом таится загадка, которую нам, пожалуй, никогда не открыть – почему англо-американская авиация длительное время отказывалась нанести удар по гитлеровскому рейху в его наиболее уязвимом месте – разбомбить оборудование нефтедобывающей индустрии, поставляющей топливо полчищам немецких танков гоняющим по русским просторам. До мая 1944 года лишь 1,1 процент всех бомбометаний приходился на эти объекты. Разгадкой может служить тот факт, что эти объекты были построены на англо-американские средства, к строительству привлекался капитал Standart Oil of New Jersey и английской Royal Dutch Shell. Не в последнюю очередь сказался интерес западных союзников желавших обеспечить немецкие танки достаточным количеством топлива, чтобы те достаточно долго сдерживали русских вдали от своих границ, по крайней мере столь долго, пока англо-американские войска не продвинутся достаточно глубоко, чтобы ограничить коммунистическое влияние на страны поствоенной Европы. К такому же мнению пришли и в немецком штабе Люфтваффе в апреле 1944 года – «противник не уничтожает нефтеперегонные заводы на территории Германии, так как не желает поставить нас в положение, когда мы не сможет дальше вести борьбу с Россией Дальнейшая война с русскими лежит в сфере интересов англо-американских войск».</w:t>
      </w:r>
    </w:p>
    <w:p w14:paraId="245846C1" w14:textId="77777777" w:rsidR="00720DFE" w:rsidRPr="00F90EAE" w:rsidRDefault="00720DFE" w:rsidP="00F90EAE">
      <w:pPr>
        <w:jc w:val="both"/>
        <w:rPr>
          <w:color w:val="000000" w:themeColor="text1"/>
          <w:sz w:val="16"/>
          <w:szCs w:val="16"/>
        </w:rPr>
      </w:pPr>
      <w:r w:rsidRPr="00F90EAE">
        <w:rPr>
          <w:color w:val="000000" w:themeColor="text1"/>
          <w:sz w:val="16"/>
          <w:szCs w:val="16"/>
        </w:rPr>
        <w:t>Второй загадкой остается вопрос почему американские бомбардировщики не сбросили ни одной бомбы на железнодорожные пути по которым днем и ночью катили поезда смерти в Освенцим. Хотя беженцы из концентрационных лагерей ранней весною 1944 года проинформировали американцев о существовании газовых камер, Пентагону, по каким-то причинам, это не показалось достаточным поводом для уничтожения железнодорожных путей ни в одном концентрационном лагере. После того, как соответствующее предложение было положено на штабной стол офицеру Джону МакКлойу, от него последовало короткое: «Kill this», -«Уничтожить».</w:t>
      </w:r>
    </w:p>
    <w:p w14:paraId="699F1FDF" w14:textId="77777777" w:rsidR="00720DFE" w:rsidRPr="00F90EAE" w:rsidRDefault="00720DFE" w:rsidP="00F90EAE">
      <w:pPr>
        <w:jc w:val="both"/>
        <w:rPr>
          <w:color w:val="000000" w:themeColor="text1"/>
          <w:sz w:val="16"/>
          <w:szCs w:val="16"/>
        </w:rPr>
      </w:pPr>
      <w:r w:rsidRPr="00F90EAE">
        <w:rPr>
          <w:color w:val="000000" w:themeColor="text1"/>
          <w:sz w:val="16"/>
          <w:szCs w:val="16"/>
        </w:rPr>
        <w:t>Черчилль должен был быть повешен, как минимум за бомбардировку Дрездена</w:t>
      </w:r>
    </w:p>
    <w:p w14:paraId="18968BF9" w14:textId="77777777" w:rsidR="00720DFE" w:rsidRPr="00F90EAE" w:rsidRDefault="00720DFE" w:rsidP="00F90EAE">
      <w:pPr>
        <w:jc w:val="both"/>
        <w:rPr>
          <w:color w:val="000000" w:themeColor="text1"/>
          <w:sz w:val="16"/>
          <w:szCs w:val="16"/>
        </w:rPr>
      </w:pPr>
      <w:r w:rsidRPr="00F90EAE">
        <w:rPr>
          <w:color w:val="000000" w:themeColor="text1"/>
          <w:sz w:val="16"/>
          <w:szCs w:val="16"/>
        </w:rPr>
        <w:t>По окончании войны весь мир узнал о нацистской, разросшейся до гигантских масштабов, системе уничтожения людей, несколько позже историкам открылась правда и о англо-американских чудовищных видах оружия, которые они готовились применить, если бы война затянулась еще на некоторое время. Ряд архивных документов того времени заставляет бледнеть даже видавших виды военных ученных.</w:t>
      </w:r>
    </w:p>
    <w:p w14:paraId="6284A0C1" w14:textId="77777777" w:rsidR="00720DFE" w:rsidRPr="00F90EAE" w:rsidRDefault="00720DFE" w:rsidP="00F90EAE">
      <w:pPr>
        <w:jc w:val="both"/>
        <w:rPr>
          <w:color w:val="000000" w:themeColor="text1"/>
          <w:sz w:val="16"/>
          <w:szCs w:val="16"/>
        </w:rPr>
      </w:pPr>
      <w:r w:rsidRPr="00F90EAE">
        <w:rPr>
          <w:color w:val="000000" w:themeColor="text1"/>
          <w:sz w:val="16"/>
          <w:szCs w:val="16"/>
        </w:rPr>
        <w:t>После того как весною 1944 года гитлеровские ракеты все же достигли Лондона и разом унесли жизни двух тысяч людей, Черчилль приказал своим штабным офицерам подготовиться на крайний случай к тому, «чтобы пропитать всю Германию ядовитыми газами». Такая возможность должна быть, по его словам, продумана «с абсолютной хладнокровностью благоразумными людьми, а не этими поющими псалмы растяпами в военной форме, что там и сям перебегают нам еще дорогу».</w:t>
      </w:r>
    </w:p>
    <w:p w14:paraId="1517E907" w14:textId="77777777" w:rsidR="00720DFE" w:rsidRPr="00F90EAE" w:rsidRDefault="00720DFE" w:rsidP="00F90EAE">
      <w:pPr>
        <w:jc w:val="both"/>
        <w:rPr>
          <w:color w:val="000000" w:themeColor="text1"/>
          <w:sz w:val="16"/>
          <w:szCs w:val="16"/>
        </w:rPr>
      </w:pPr>
      <w:r w:rsidRPr="00F90EAE">
        <w:rPr>
          <w:color w:val="000000" w:themeColor="text1"/>
          <w:sz w:val="16"/>
          <w:szCs w:val="16"/>
        </w:rPr>
        <w:t>Поскольку в случае применения отравляющий веществ военные опасались ответной атаки немцев, то выбор пал на бактериологическое оружие, а конкретно на бомбы с сибирской язвой. Уже 8 марта 1944 года Черчилль заказал их в Америке в количестве одного миллиона экземпляров: «Мы рассматриваем это, как первую поставку», - добавил он. Через два месяца США уже переправили через океан в Англию первую серию таких бомб в количестве 5000 штук.</w:t>
      </w:r>
    </w:p>
    <w:p w14:paraId="51536E02" w14:textId="77777777" w:rsidR="00720DFE" w:rsidRPr="00F90EAE" w:rsidRDefault="00720DFE" w:rsidP="00F90EAE">
      <w:pPr>
        <w:jc w:val="both"/>
        <w:rPr>
          <w:color w:val="000000" w:themeColor="text1"/>
          <w:sz w:val="16"/>
          <w:szCs w:val="16"/>
        </w:rPr>
      </w:pPr>
      <w:r w:rsidRPr="00F90EAE">
        <w:rPr>
          <w:color w:val="000000" w:themeColor="text1"/>
          <w:sz w:val="16"/>
          <w:szCs w:val="16"/>
        </w:rPr>
        <w:t>Но 28 июня 1944 года руководство английского военного штаба отметило в протоколе ежемесячного совещания о намерении временно воздержаться от применения бактериологического оружия в пользу планируемых гигантских, всепоглощающих пожаров в городах Берлине и Дрездене.</w:t>
      </w:r>
    </w:p>
    <w:p w14:paraId="08B032F9" w14:textId="77777777" w:rsidR="00720DFE" w:rsidRPr="00F90EAE" w:rsidRDefault="00720DFE" w:rsidP="00F90EAE">
      <w:pPr>
        <w:jc w:val="both"/>
        <w:rPr>
          <w:bCs/>
          <w:color w:val="000000" w:themeColor="text1"/>
          <w:sz w:val="16"/>
          <w:szCs w:val="16"/>
        </w:rPr>
      </w:pPr>
      <w:r w:rsidRPr="00F90EAE">
        <w:rPr>
          <w:color w:val="000000" w:themeColor="text1"/>
          <w:sz w:val="16"/>
          <w:szCs w:val="16"/>
        </w:rPr>
        <w:t>Черчилля такой поворот событий явно не устраивал: «Ну конечно же, я не могу одновременно сопротивляться сразу всем – и священникам и собственным военным. Эту возможность нужно еще раз обдумать и вернуться к ее обсуждению, когда положение ухудшится».</w:t>
      </w:r>
    </w:p>
    <w:p w14:paraId="6AA031AD" w14:textId="77777777" w:rsidR="00720DFE" w:rsidRPr="00F90EAE" w:rsidRDefault="00720DFE" w:rsidP="00F90EAE">
      <w:pPr>
        <w:jc w:val="both"/>
        <w:rPr>
          <w:color w:val="000000" w:themeColor="text1"/>
          <w:sz w:val="16"/>
          <w:szCs w:val="16"/>
        </w:rPr>
      </w:pPr>
      <w:r w:rsidRPr="00F90EAE">
        <w:rPr>
          <w:color w:val="000000" w:themeColor="text1"/>
          <w:sz w:val="16"/>
          <w:szCs w:val="16"/>
        </w:rPr>
        <w:t>Положение однако улучшилось и не в последнюю очередь потому, что американским дальним бомбардировщикам удалось подавить немецкую ПВО. Таким образом союзники получили возможность почти беспрепятственно проводить свою стратегию сожжения городов вплоть до мая 1945 года.</w:t>
      </w:r>
    </w:p>
    <w:p w14:paraId="1E9EB508" w14:textId="77777777" w:rsidR="00720DFE" w:rsidRPr="00F90EAE" w:rsidRDefault="00720DFE" w:rsidP="00F90EAE">
      <w:pPr>
        <w:jc w:val="both"/>
        <w:rPr>
          <w:color w:val="000000" w:themeColor="text1"/>
          <w:sz w:val="16"/>
          <w:szCs w:val="16"/>
        </w:rPr>
      </w:pPr>
      <w:r w:rsidRPr="00F90EAE">
        <w:rPr>
          <w:color w:val="000000" w:themeColor="text1"/>
          <w:sz w:val="16"/>
          <w:szCs w:val="16"/>
        </w:rPr>
        <w:t>Недавно журнал «Вельт» задался риторическим вопросом: «Была ли бомбардировка немецких городов зажигательными бомбами необходимостью или преступлением, а может это было необходимым преступлением?». На это своеобразно ответил борец за свободу, гуманист Махатма Ганди, своею стратегией отрицания насилия вынудивший англичан покинуть его индийскую родину.</w:t>
      </w:r>
    </w:p>
    <w:p w14:paraId="4993BF0F" w14:textId="77777777" w:rsidR="00720DFE" w:rsidRPr="00F90EAE" w:rsidRDefault="00720DFE" w:rsidP="00F90EAE">
      <w:pPr>
        <w:jc w:val="both"/>
        <w:rPr>
          <w:color w:val="000000" w:themeColor="text1"/>
          <w:sz w:val="16"/>
          <w:szCs w:val="16"/>
        </w:rPr>
      </w:pPr>
      <w:r w:rsidRPr="00F90EAE">
        <w:rPr>
          <w:color w:val="000000" w:themeColor="text1"/>
          <w:sz w:val="16"/>
          <w:szCs w:val="16"/>
        </w:rPr>
        <w:t>О методах ведения воздушной войны союзниками он сказал: «В Дрездене и Хиросиме Гитлера победили Гитлером» (15039).</w:t>
      </w:r>
    </w:p>
    <w:p w14:paraId="44158368" w14:textId="77777777" w:rsidR="00720DFE" w:rsidRPr="00F90EAE" w:rsidRDefault="00720DFE" w:rsidP="00F90EAE">
      <w:pPr>
        <w:jc w:val="both"/>
        <w:rPr>
          <w:color w:val="000000" w:themeColor="text1"/>
          <w:sz w:val="16"/>
          <w:szCs w:val="16"/>
        </w:rPr>
      </w:pPr>
    </w:p>
    <w:p w14:paraId="085F0846" w14:textId="77777777" w:rsidR="00720DFE" w:rsidRPr="00F90EAE" w:rsidRDefault="00720DFE" w:rsidP="00F90EAE">
      <w:pPr>
        <w:jc w:val="both"/>
        <w:rPr>
          <w:color w:val="000000" w:themeColor="text1"/>
          <w:sz w:val="16"/>
          <w:szCs w:val="16"/>
        </w:rPr>
      </w:pPr>
      <w:r w:rsidRPr="00F90EAE">
        <w:rPr>
          <w:bCs/>
          <w:color w:val="000000" w:themeColor="text1"/>
          <w:sz w:val="16"/>
          <w:szCs w:val="16"/>
        </w:rPr>
        <w:t>13 февраля</w:t>
      </w:r>
      <w:r w:rsidRPr="00F90EAE">
        <w:rPr>
          <w:color w:val="000000" w:themeColor="text1"/>
          <w:sz w:val="16"/>
          <w:szCs w:val="16"/>
        </w:rPr>
        <w:t xml:space="preserve"> в 1945 году </w:t>
      </w:r>
      <w:hyperlink r:id="rId35" w:tgtFrame="_blank" w:history="1">
        <w:r w:rsidRPr="00F90EAE">
          <w:rPr>
            <w:color w:val="000000" w:themeColor="text1"/>
            <w:sz w:val="16"/>
            <w:szCs w:val="16"/>
          </w:rPr>
          <w:t xml:space="preserve">бомбардировка англо-американской авиацией Дрездена. </w:t>
        </w:r>
      </w:hyperlink>
      <w:r w:rsidRPr="00F90EAE">
        <w:rPr>
          <w:color w:val="000000" w:themeColor="text1"/>
          <w:sz w:val="16"/>
          <w:szCs w:val="16"/>
        </w:rPr>
        <w:t>Сброшено 3749 тонн бомб. Площадь зоны полных разрушений в Дрездене в 4 раза превышала площадь зоны полных разрушений в Нагасаки. Численность погибших оценивается разными источниками от 18-25 до 200—500 тысяч человек. Разрушение Дрездена является одним из самых масштабных массовых убийств в истории человечества (15039).</w:t>
      </w:r>
    </w:p>
    <w:p w14:paraId="40CD1097" w14:textId="77777777" w:rsidR="00720DFE" w:rsidRPr="00F90EAE" w:rsidRDefault="00720DFE" w:rsidP="00F90EAE">
      <w:pPr>
        <w:jc w:val="both"/>
        <w:rPr>
          <w:color w:val="000000" w:themeColor="text1"/>
          <w:sz w:val="16"/>
          <w:szCs w:val="16"/>
        </w:rPr>
      </w:pPr>
    </w:p>
    <w:p w14:paraId="16023C50" w14:textId="77777777" w:rsidR="00206770" w:rsidRPr="00F90EAE" w:rsidRDefault="00206770" w:rsidP="00F90EAE">
      <w:pPr>
        <w:jc w:val="both"/>
        <w:rPr>
          <w:color w:val="000000" w:themeColor="text1"/>
          <w:sz w:val="16"/>
          <w:szCs w:val="16"/>
        </w:rPr>
      </w:pPr>
      <w:r w:rsidRPr="00F90EAE">
        <w:rPr>
          <w:color w:val="000000" w:themeColor="text1"/>
          <w:sz w:val="16"/>
          <w:szCs w:val="16"/>
        </w:rPr>
        <w:t>13 -15 февраля 1945 года состоялась бомбардировка Дрездена. Перед войной в Дрездене насчитывалось 640 тысяч жи</w:t>
      </w:r>
      <w:r w:rsidRPr="00F90EAE">
        <w:rPr>
          <w:color w:val="000000" w:themeColor="text1"/>
          <w:sz w:val="16"/>
          <w:szCs w:val="16"/>
        </w:rPr>
        <w:softHyphen/>
        <w:t>телей, но за годы войны население столицы Саксонии за счет беженцев значительно увеличилось. Никакой военной необхо</w:t>
      </w:r>
      <w:r w:rsidRPr="00F90EAE">
        <w:rPr>
          <w:color w:val="000000" w:themeColor="text1"/>
          <w:sz w:val="16"/>
          <w:szCs w:val="16"/>
        </w:rPr>
        <w:softHyphen/>
        <w:t>димости бомбить город союзники не имели. Как писал британ</w:t>
      </w:r>
      <w:r w:rsidRPr="00F90EAE">
        <w:rPr>
          <w:color w:val="000000" w:themeColor="text1"/>
          <w:sz w:val="16"/>
          <w:szCs w:val="16"/>
        </w:rPr>
        <w:softHyphen/>
        <w:t>ский историк Девид Ирвинг: «В отличие от Эссена и Гамбурга, Дрезден, хотя и был сравним с ними по размеру, не имел каких- либо предприятий тяжелой промышленности, и в мирное время жизнь города основывалась на отраслях, выпускающих продук</w:t>
      </w:r>
      <w:r w:rsidRPr="00F90EAE">
        <w:rPr>
          <w:color w:val="000000" w:themeColor="text1"/>
          <w:sz w:val="16"/>
          <w:szCs w:val="16"/>
        </w:rPr>
        <w:softHyphen/>
        <w:t>цию массового потребления, его театрах, музеях и культурных учреждениях. Даже к концу 1944 г. было трудно выделить какой- нибудь один завод, имевший действительно важное значение, не считая расположенного в 40 километрах к северу (в Руланде) предприятия по производству синтетического горючего.</w:t>
      </w:r>
    </w:p>
    <w:p w14:paraId="6ED0792A" w14:textId="77777777" w:rsidR="00206770" w:rsidRPr="00F90EAE" w:rsidRDefault="00206770" w:rsidP="00F90EAE">
      <w:pPr>
        <w:jc w:val="both"/>
        <w:rPr>
          <w:color w:val="000000" w:themeColor="text1"/>
          <w:sz w:val="16"/>
          <w:szCs w:val="16"/>
        </w:rPr>
      </w:pPr>
      <w:r w:rsidRPr="00F90EAE">
        <w:rPr>
          <w:color w:val="000000" w:themeColor="text1"/>
          <w:sz w:val="16"/>
          <w:szCs w:val="16"/>
        </w:rPr>
        <w:t>Примерно в пяти километрах от центра находилось главное предприятие города - оптическое предприятие «Цейс-Икон». На окраинах размещались завод, выпускав</w:t>
      </w:r>
      <w:r w:rsidRPr="00F90EAE">
        <w:rPr>
          <w:color w:val="000000" w:themeColor="text1"/>
          <w:sz w:val="16"/>
          <w:szCs w:val="16"/>
        </w:rPr>
        <w:softHyphen/>
        <w:t>ший противогазы, два завода, занимавшиеся изготовлением компонентов для радаров и других электронных приборов, которые собирались в Берлине. Также имелся завод, занятый производством снарядных взрывателей для зенитных ору</w:t>
      </w:r>
      <w:r w:rsidRPr="00F90EAE">
        <w:rPr>
          <w:color w:val="000000" w:themeColor="text1"/>
          <w:sz w:val="16"/>
          <w:szCs w:val="16"/>
        </w:rPr>
        <w:softHyphen/>
        <w:t>дий. В городе располагались две крупные табачные фабрики, на долю которых приходилась значительная часть произ</w:t>
      </w:r>
      <w:r w:rsidRPr="00F90EAE">
        <w:rPr>
          <w:color w:val="000000" w:themeColor="text1"/>
          <w:sz w:val="16"/>
          <w:szCs w:val="16"/>
        </w:rPr>
        <w:softHyphen/>
        <w:t>водства сигарет в Германии. Не считая крупных табачных фабрик и предприятий по производству оптических прибо</w:t>
      </w:r>
      <w:r w:rsidRPr="00F90EAE">
        <w:rPr>
          <w:color w:val="000000" w:themeColor="text1"/>
          <w:sz w:val="16"/>
          <w:szCs w:val="16"/>
        </w:rPr>
        <w:softHyphen/>
        <w:t>ров, остальная часть промышленности города представляла собой весьма пеструю картину: фабрика по производству де</w:t>
      </w:r>
      <w:r w:rsidRPr="00F90EAE">
        <w:rPr>
          <w:color w:val="000000" w:themeColor="text1"/>
          <w:sz w:val="16"/>
          <w:szCs w:val="16"/>
        </w:rPr>
        <w:softHyphen/>
        <w:t>ревянных корпусов для радиоприемников, мыловаренный за</w:t>
      </w:r>
      <w:r w:rsidRPr="00F90EAE">
        <w:rPr>
          <w:color w:val="000000" w:themeColor="text1"/>
          <w:sz w:val="16"/>
          <w:szCs w:val="16"/>
        </w:rPr>
        <w:softHyphen/>
        <w:t>вод, несколько пивоварен и две фирмы, выпускавшие детали для авиамоторов, а также для самолетов «Мессершмитт», которые потом отправлялись на авиазавод в Аугсбруг. В раз</w:t>
      </w:r>
      <w:r w:rsidRPr="00F90EAE">
        <w:rPr>
          <w:color w:val="000000" w:themeColor="text1"/>
          <w:sz w:val="16"/>
          <w:szCs w:val="16"/>
        </w:rPr>
        <w:softHyphen/>
        <w:t>ных частях города целый ряд мелких фирм был вовлечен в производство высокочастотных приборов для военной промышленности. Необходимо отметить, что ни одно из этих предприятий не находилось в пределах пяти с половиной ки</w:t>
      </w:r>
      <w:r w:rsidRPr="00F90EAE">
        <w:rPr>
          <w:color w:val="000000" w:themeColor="text1"/>
          <w:sz w:val="16"/>
          <w:szCs w:val="16"/>
        </w:rPr>
        <w:softHyphen/>
        <w:t>лометров от центра города (в пределах зоны, по которой Ко</w:t>
      </w:r>
      <w:r w:rsidRPr="00F90EAE">
        <w:rPr>
          <w:color w:val="000000" w:themeColor="text1"/>
          <w:sz w:val="16"/>
          <w:szCs w:val="16"/>
        </w:rPr>
        <w:softHyphen/>
        <w:t>ролевские ВВС нанесли два сокрушительных ночных удара» (19735).</w:t>
      </w:r>
    </w:p>
    <w:p w14:paraId="4EC531A0" w14:textId="77777777" w:rsidR="00206770" w:rsidRPr="00F90EAE" w:rsidRDefault="00206770" w:rsidP="00F90EAE">
      <w:pPr>
        <w:jc w:val="both"/>
        <w:rPr>
          <w:color w:val="000000" w:themeColor="text1"/>
          <w:sz w:val="16"/>
          <w:szCs w:val="16"/>
        </w:rPr>
      </w:pPr>
    </w:p>
    <w:p w14:paraId="7E0D9A38" w14:textId="77777777" w:rsidR="00206770" w:rsidRPr="00F90EAE" w:rsidRDefault="00206770" w:rsidP="00F90EAE">
      <w:pPr>
        <w:jc w:val="both"/>
        <w:rPr>
          <w:color w:val="000000" w:themeColor="text1"/>
          <w:sz w:val="16"/>
          <w:szCs w:val="16"/>
        </w:rPr>
      </w:pPr>
      <w:r w:rsidRPr="00F90EAE">
        <w:rPr>
          <w:color w:val="000000" w:themeColor="text1"/>
          <w:sz w:val="16"/>
          <w:szCs w:val="16"/>
        </w:rPr>
        <w:t>13 февраля 1945 в 17 ч. 30 мин. с аэродрома в Центральной Англии взлетели первые эскадрильи «Ланкастеров» 5-й бом</w:t>
      </w:r>
      <w:r w:rsidRPr="00F90EAE">
        <w:rPr>
          <w:color w:val="000000" w:themeColor="text1"/>
          <w:sz w:val="16"/>
          <w:szCs w:val="16"/>
        </w:rPr>
        <w:softHyphen/>
        <w:t>бардировочной авиагруппы. К 18 часам все соединение из 244 бомбардировщиков первой волны было в воздухе. Они кружились над своими аэродромами, собирались в группы и брали курс на Германию.</w:t>
      </w:r>
    </w:p>
    <w:p w14:paraId="6AE2410A" w14:textId="77777777" w:rsidR="00206770" w:rsidRPr="00F90EAE" w:rsidRDefault="00206770" w:rsidP="00F90EAE">
      <w:pPr>
        <w:jc w:val="both"/>
        <w:rPr>
          <w:color w:val="000000" w:themeColor="text1"/>
          <w:sz w:val="16"/>
          <w:szCs w:val="16"/>
        </w:rPr>
      </w:pPr>
      <w:r w:rsidRPr="00F90EAE">
        <w:rPr>
          <w:color w:val="000000" w:themeColor="text1"/>
          <w:sz w:val="16"/>
          <w:szCs w:val="16"/>
        </w:rPr>
        <w:t>Параллельно англичане провели отвлекающий налет на завод синтетического горючего, расположенный неподалеку от Лейпцига в городе болен. В этом налете принимало участие 326 «Галифаксов», 34 «Ланкастера» и 8 «Москито». Они атаковали Болен с 21 ч. 54 мин. до 22 ч. 12 мин.</w:t>
      </w:r>
    </w:p>
    <w:p w14:paraId="04E60FA7" w14:textId="77777777" w:rsidR="00206770" w:rsidRPr="00F90EAE" w:rsidRDefault="00206770" w:rsidP="00F90EAE">
      <w:pPr>
        <w:jc w:val="both"/>
        <w:rPr>
          <w:color w:val="000000" w:themeColor="text1"/>
          <w:sz w:val="16"/>
          <w:szCs w:val="16"/>
        </w:rPr>
      </w:pPr>
      <w:r w:rsidRPr="00F90EAE">
        <w:rPr>
          <w:color w:val="000000" w:themeColor="text1"/>
          <w:sz w:val="16"/>
          <w:szCs w:val="16"/>
        </w:rPr>
        <w:t>Британские самолеты электронного противодействия из состава особой 100-й авиагруппы сбрасывали дипольные отра</w:t>
      </w:r>
      <w:r w:rsidRPr="00F90EAE">
        <w:rPr>
          <w:color w:val="000000" w:themeColor="text1"/>
          <w:sz w:val="16"/>
          <w:szCs w:val="16"/>
        </w:rPr>
        <w:softHyphen/>
        <w:t>жатели в районе Майнц-Магггейм.</w:t>
      </w:r>
    </w:p>
    <w:p w14:paraId="08F32641" w14:textId="77777777" w:rsidR="00206770" w:rsidRPr="00F90EAE" w:rsidRDefault="00206770" w:rsidP="00F90EAE">
      <w:pPr>
        <w:jc w:val="both"/>
        <w:rPr>
          <w:color w:val="000000" w:themeColor="text1"/>
          <w:sz w:val="16"/>
          <w:szCs w:val="16"/>
        </w:rPr>
      </w:pPr>
      <w:r w:rsidRPr="00F90EAE">
        <w:rPr>
          <w:color w:val="000000" w:themeColor="text1"/>
          <w:sz w:val="16"/>
          <w:szCs w:val="16"/>
        </w:rPr>
        <w:t>Долетев до Дрездена, «Ланкастеры» из 83-й эскадри</w:t>
      </w:r>
      <w:r w:rsidRPr="00F90EAE">
        <w:rPr>
          <w:color w:val="000000" w:themeColor="text1"/>
          <w:sz w:val="16"/>
          <w:szCs w:val="16"/>
        </w:rPr>
        <w:softHyphen/>
        <w:t>льи, имевшие самое лучшее навигационное оборудование, приступили к сбрасыванию первых световых индикаторов обозначения цели. Зеленые маркеры сбрасывались по радару над излучиной Эльбы в черте города вместе с магниевыми осветительными бомбами на парашютах, которые также опус</w:t>
      </w:r>
      <w:r w:rsidRPr="00F90EAE">
        <w:rPr>
          <w:color w:val="000000" w:themeColor="text1"/>
          <w:sz w:val="16"/>
          <w:szCs w:val="16"/>
        </w:rPr>
        <w:softHyphen/>
        <w:t>кались прямо на Дрезден.</w:t>
      </w:r>
    </w:p>
    <w:p w14:paraId="730F4202" w14:textId="77777777" w:rsidR="00206770" w:rsidRPr="00F90EAE" w:rsidRDefault="00206770" w:rsidP="00F90EAE">
      <w:pPr>
        <w:jc w:val="both"/>
        <w:rPr>
          <w:color w:val="000000" w:themeColor="text1"/>
          <w:sz w:val="16"/>
          <w:szCs w:val="16"/>
        </w:rPr>
      </w:pPr>
      <w:r w:rsidRPr="00F90EAE">
        <w:rPr>
          <w:color w:val="000000" w:themeColor="text1"/>
          <w:sz w:val="16"/>
          <w:szCs w:val="16"/>
        </w:rPr>
        <w:t>За первой группой «Ланкастеров» над районом цели прошла вторая, сбросившая серию осветительных бомб, дающих све</w:t>
      </w:r>
      <w:r w:rsidRPr="00F90EAE">
        <w:rPr>
          <w:color w:val="000000" w:themeColor="text1"/>
          <w:sz w:val="16"/>
          <w:szCs w:val="16"/>
        </w:rPr>
        <w:softHyphen/>
        <w:t>чение белого цвета. На этот раз бомбардиры полагались как на визуальный способ прицеливания, так и на данные, выводимые на экраны бортовых РЛС. Скрытый светомаскировкой город был обнаружен и хорошо освещен.</w:t>
      </w:r>
    </w:p>
    <w:p w14:paraId="2B6441FC" w14:textId="77777777" w:rsidR="00206770" w:rsidRPr="00F90EAE" w:rsidRDefault="00206770" w:rsidP="00F90EAE">
      <w:pPr>
        <w:jc w:val="both"/>
        <w:rPr>
          <w:color w:val="000000" w:themeColor="text1"/>
          <w:sz w:val="16"/>
          <w:szCs w:val="16"/>
        </w:rPr>
      </w:pPr>
      <w:r w:rsidRPr="00F90EAE">
        <w:rPr>
          <w:color w:val="000000" w:themeColor="text1"/>
          <w:sz w:val="16"/>
          <w:szCs w:val="16"/>
        </w:rPr>
        <w:t>На этом участие «осветителей» в обозначение цели закон</w:t>
      </w:r>
      <w:r w:rsidRPr="00F90EAE">
        <w:rPr>
          <w:color w:val="000000" w:themeColor="text1"/>
          <w:sz w:val="16"/>
          <w:szCs w:val="16"/>
        </w:rPr>
        <w:softHyphen/>
        <w:t>чилось, и наступила очередь группы самолетов «Москито», кото</w:t>
      </w:r>
      <w:r w:rsidRPr="00F90EAE">
        <w:rPr>
          <w:color w:val="000000" w:themeColor="text1"/>
          <w:sz w:val="16"/>
          <w:szCs w:val="16"/>
        </w:rPr>
        <w:softHyphen/>
        <w:t>рые должны были спикировать на Дрезден и своими маркерами яркого красного цвета отметить стадион. От этого зависел успех всей атаки. Стадион должен был стать основной точкой прице</w:t>
      </w:r>
      <w:r w:rsidRPr="00F90EAE">
        <w:rPr>
          <w:color w:val="000000" w:themeColor="text1"/>
          <w:sz w:val="16"/>
          <w:szCs w:val="16"/>
        </w:rPr>
        <w:softHyphen/>
        <w:t>ливания для последующих волн бомбовозов.</w:t>
      </w:r>
    </w:p>
    <w:p w14:paraId="404432BE" w14:textId="77777777" w:rsidR="00206770" w:rsidRPr="00F90EAE" w:rsidRDefault="00206770" w:rsidP="00F90EAE">
      <w:pPr>
        <w:jc w:val="both"/>
        <w:rPr>
          <w:color w:val="000000" w:themeColor="text1"/>
          <w:sz w:val="16"/>
          <w:szCs w:val="16"/>
        </w:rPr>
      </w:pPr>
      <w:r w:rsidRPr="00F90EAE">
        <w:rPr>
          <w:color w:val="000000" w:themeColor="text1"/>
          <w:sz w:val="16"/>
          <w:szCs w:val="16"/>
        </w:rPr>
        <w:t>Перед этим германские операторы наведения в штабе ис</w:t>
      </w:r>
      <w:r w:rsidRPr="00F90EAE">
        <w:rPr>
          <w:color w:val="000000" w:themeColor="text1"/>
          <w:sz w:val="16"/>
          <w:szCs w:val="16"/>
        </w:rPr>
        <w:softHyphen/>
        <w:t>требительной дивизии в Деберитце столкнулись со сложной проблемой. Посты радиоперехвата, которым раньше удавалось фиксировать сигналы бортовых РЛС и радиопередатчиков про</w:t>
      </w:r>
      <w:r w:rsidRPr="00F90EAE">
        <w:rPr>
          <w:color w:val="000000" w:themeColor="text1"/>
          <w:sz w:val="16"/>
          <w:szCs w:val="16"/>
        </w:rPr>
        <w:softHyphen/>
        <w:t>тивника во время их предполетной проверки, теперь не могли это делать, так как над восточным побережьем Англии и вдоль линии фронта на западе была выставлена электронная завеса. 128 самолетов 100-й авиагруппы электронного противодейст</w:t>
      </w:r>
      <w:r w:rsidRPr="00F90EAE">
        <w:rPr>
          <w:color w:val="000000" w:themeColor="text1"/>
          <w:sz w:val="16"/>
          <w:szCs w:val="16"/>
        </w:rPr>
        <w:softHyphen/>
        <w:t>вия поддерживали проводимую в эту ночь операцию, создавая экран из радиопомех, прикрывавший район цели с севера на юг. Остальные самолеты группы сбрасывали дипольные отражатели на подходе к другим городам и создавали помехи немецкой системе радиосвязи с помощью бортовых передатчиков высо</w:t>
      </w:r>
      <w:r w:rsidRPr="00F90EAE">
        <w:rPr>
          <w:color w:val="000000" w:themeColor="text1"/>
          <w:sz w:val="16"/>
          <w:szCs w:val="16"/>
        </w:rPr>
        <w:softHyphen/>
        <w:t>кой мощности. Часть самолетов была оборудована аппаратурой радиоперехвата. К тому же бомбардировщики пересекли линию фронта на малой высоте, и немецкие радары могли обнаружить их только тогда, когда они находились уже над территорией Германии. Все это делало задачу операторов немецкой истре</w:t>
      </w:r>
      <w:r w:rsidRPr="00F90EAE">
        <w:rPr>
          <w:color w:val="000000" w:themeColor="text1"/>
          <w:sz w:val="16"/>
          <w:szCs w:val="16"/>
        </w:rPr>
        <w:softHyphen/>
        <w:t>бительной авиации еще более сложной.</w:t>
      </w:r>
    </w:p>
    <w:p w14:paraId="135B86D5" w14:textId="77777777" w:rsidR="00206770" w:rsidRPr="00F90EAE" w:rsidRDefault="00206770" w:rsidP="00F90EAE">
      <w:pPr>
        <w:jc w:val="both"/>
        <w:rPr>
          <w:color w:val="000000" w:themeColor="text1"/>
          <w:sz w:val="16"/>
          <w:szCs w:val="16"/>
        </w:rPr>
      </w:pPr>
      <w:r w:rsidRPr="00F90EAE">
        <w:rPr>
          <w:color w:val="000000" w:themeColor="text1"/>
          <w:sz w:val="16"/>
          <w:szCs w:val="16"/>
        </w:rPr>
        <w:lastRenderedPageBreak/>
        <w:t>В это время отвлекающие операции Бомбардировочного ко</w:t>
      </w:r>
      <w:r w:rsidRPr="00F90EAE">
        <w:rPr>
          <w:color w:val="000000" w:themeColor="text1"/>
          <w:sz w:val="16"/>
          <w:szCs w:val="16"/>
        </w:rPr>
        <w:softHyphen/>
        <w:t>мандования уже шли полным ходом. Пять самолетов «Москито» бомбили Магдебург (через три с половиной часа девять «Мо</w:t>
      </w:r>
      <w:r w:rsidRPr="00F90EAE">
        <w:rPr>
          <w:color w:val="000000" w:themeColor="text1"/>
          <w:sz w:val="16"/>
          <w:szCs w:val="16"/>
        </w:rPr>
        <w:softHyphen/>
        <w:t>скито» будут вновь бомбить Магдебург, чтобы отвлечь внимание немцев от второго ударного соединения, которое также шло на Дрезден).</w:t>
      </w:r>
    </w:p>
    <w:p w14:paraId="39504AC2" w14:textId="77777777" w:rsidR="00206770" w:rsidRPr="00F90EAE" w:rsidRDefault="00206770" w:rsidP="00F90EAE">
      <w:pPr>
        <w:jc w:val="both"/>
        <w:rPr>
          <w:color w:val="000000" w:themeColor="text1"/>
          <w:sz w:val="16"/>
          <w:szCs w:val="16"/>
        </w:rPr>
      </w:pPr>
      <w:r w:rsidRPr="00F90EAE">
        <w:rPr>
          <w:color w:val="000000" w:themeColor="text1"/>
          <w:sz w:val="16"/>
          <w:szCs w:val="16"/>
        </w:rPr>
        <w:t>Когда уже начинался первый налет на Дрезден, семь «Мо</w:t>
      </w:r>
      <w:r w:rsidRPr="00F90EAE">
        <w:rPr>
          <w:color w:val="000000" w:themeColor="text1"/>
          <w:sz w:val="16"/>
          <w:szCs w:val="16"/>
        </w:rPr>
        <w:softHyphen/>
        <w:t>скито» сбрасывали бомбы на Нюрнберг. Это продолжалось затем еще в течение нескольких часов. Также шестнадцать «Москито» бомбили Бонн, семь атаковали Марбург.</w:t>
      </w:r>
    </w:p>
    <w:p w14:paraId="5850C2DA" w14:textId="77777777" w:rsidR="00206770" w:rsidRPr="00F90EAE" w:rsidRDefault="00206770" w:rsidP="00F90EAE">
      <w:pPr>
        <w:jc w:val="both"/>
        <w:rPr>
          <w:color w:val="000000" w:themeColor="text1"/>
          <w:sz w:val="16"/>
          <w:szCs w:val="16"/>
        </w:rPr>
      </w:pPr>
      <w:r w:rsidRPr="00F90EAE">
        <w:rPr>
          <w:color w:val="000000" w:themeColor="text1"/>
          <w:sz w:val="16"/>
          <w:szCs w:val="16"/>
        </w:rPr>
        <w:t>Все это привело к тому, что операторы командного пун</w:t>
      </w:r>
      <w:r w:rsidRPr="00F90EAE">
        <w:rPr>
          <w:color w:val="000000" w:themeColor="text1"/>
          <w:sz w:val="16"/>
          <w:szCs w:val="16"/>
        </w:rPr>
        <w:softHyphen/>
        <w:t>кта немецкой истребительной авиации не считали налет на Дрезден приоритетным. Вплоть до самых последних минут об угрозе воздушного нападения предупреждалось только насе</w:t>
      </w:r>
      <w:r w:rsidRPr="00F90EAE">
        <w:rPr>
          <w:color w:val="000000" w:themeColor="text1"/>
          <w:sz w:val="16"/>
          <w:szCs w:val="16"/>
        </w:rPr>
        <w:softHyphen/>
        <w:t>ление Лейпцига.</w:t>
      </w:r>
    </w:p>
    <w:p w14:paraId="2D4FFEE3" w14:textId="77777777" w:rsidR="00206770" w:rsidRPr="00F90EAE" w:rsidRDefault="00206770" w:rsidP="00F90EAE">
      <w:pPr>
        <w:jc w:val="both"/>
        <w:rPr>
          <w:color w:val="000000" w:themeColor="text1"/>
          <w:sz w:val="16"/>
          <w:szCs w:val="16"/>
        </w:rPr>
      </w:pPr>
      <w:r w:rsidRPr="00F90EAE">
        <w:rPr>
          <w:color w:val="000000" w:themeColor="text1"/>
          <w:sz w:val="16"/>
          <w:szCs w:val="16"/>
        </w:rPr>
        <w:t>В Дрездене же обычные сигналы, предупреждающие о воз</w:t>
      </w:r>
      <w:r w:rsidRPr="00F90EAE">
        <w:rPr>
          <w:color w:val="000000" w:themeColor="text1"/>
          <w:sz w:val="16"/>
          <w:szCs w:val="16"/>
        </w:rPr>
        <w:softHyphen/>
        <w:t>можности воздушного налета, не подавались. Первое, что люди услышали, это неожиданно раздавшийся в 21 ч. 55 мин. вой сирен. В эту же минуту на аэродром Дрезден-Клотцше (сейчас это гражданский аэропорт Дрездена) пришел приказ о подъ</w:t>
      </w:r>
      <w:r w:rsidRPr="00F90EAE">
        <w:rPr>
          <w:color w:val="000000" w:themeColor="text1"/>
          <w:sz w:val="16"/>
          <w:szCs w:val="16"/>
        </w:rPr>
        <w:softHyphen/>
        <w:t>еме в воздух базировавшейся на нем истребительной эскадри</w:t>
      </w:r>
      <w:r w:rsidRPr="00F90EAE">
        <w:rPr>
          <w:color w:val="000000" w:themeColor="text1"/>
          <w:sz w:val="16"/>
          <w:szCs w:val="16"/>
        </w:rPr>
        <w:softHyphen/>
        <w:t xml:space="preserve">льи </w:t>
      </w:r>
      <w:r w:rsidRPr="00F90EAE">
        <w:rPr>
          <w:color w:val="000000" w:themeColor="text1"/>
          <w:sz w:val="16"/>
          <w:szCs w:val="16"/>
          <w:lang w:val="en-US"/>
        </w:rPr>
        <w:t>V</w:t>
      </w:r>
      <w:r w:rsidRPr="00F90EAE">
        <w:rPr>
          <w:color w:val="000000" w:themeColor="text1"/>
          <w:sz w:val="16"/>
          <w:szCs w:val="16"/>
        </w:rPr>
        <w:t>/</w:t>
      </w:r>
      <w:r w:rsidRPr="00F90EAE">
        <w:rPr>
          <w:color w:val="000000" w:themeColor="text1"/>
          <w:sz w:val="16"/>
          <w:szCs w:val="16"/>
          <w:lang w:val="en-US"/>
        </w:rPr>
        <w:t>NJG</w:t>
      </w:r>
      <w:r w:rsidRPr="00F90EAE">
        <w:rPr>
          <w:color w:val="000000" w:themeColor="text1"/>
          <w:sz w:val="16"/>
          <w:szCs w:val="16"/>
        </w:rPr>
        <w:t>.5. Но было поздно - маркировка цели уже началась.</w:t>
      </w:r>
    </w:p>
    <w:p w14:paraId="70F20E33" w14:textId="77777777" w:rsidR="00206770" w:rsidRPr="00F90EAE" w:rsidRDefault="00206770" w:rsidP="00F90EAE">
      <w:pPr>
        <w:jc w:val="both"/>
        <w:rPr>
          <w:color w:val="000000" w:themeColor="text1"/>
          <w:sz w:val="16"/>
          <w:szCs w:val="16"/>
        </w:rPr>
      </w:pPr>
      <w:r w:rsidRPr="00F90EAE">
        <w:rPr>
          <w:color w:val="000000" w:themeColor="text1"/>
          <w:sz w:val="16"/>
          <w:szCs w:val="16"/>
        </w:rPr>
        <w:t>На защиту Дрездена поднялись только 27 ночных истреби</w:t>
      </w:r>
      <w:r w:rsidRPr="00F90EAE">
        <w:rPr>
          <w:color w:val="000000" w:themeColor="text1"/>
          <w:sz w:val="16"/>
          <w:szCs w:val="16"/>
        </w:rPr>
        <w:softHyphen/>
        <w:t>телей.</w:t>
      </w:r>
    </w:p>
    <w:p w14:paraId="11179C29" w14:textId="77777777" w:rsidR="00206770" w:rsidRPr="00F90EAE" w:rsidRDefault="00206770" w:rsidP="00F90EAE">
      <w:pPr>
        <w:jc w:val="both"/>
        <w:rPr>
          <w:color w:val="000000" w:themeColor="text1"/>
          <w:sz w:val="16"/>
          <w:szCs w:val="16"/>
        </w:rPr>
      </w:pPr>
      <w:r w:rsidRPr="00F90EAE">
        <w:rPr>
          <w:color w:val="000000" w:themeColor="text1"/>
          <w:sz w:val="16"/>
          <w:szCs w:val="16"/>
        </w:rPr>
        <w:t>К 22 час. 30 мин. 13 февраля все соединение бомбардиров</w:t>
      </w:r>
      <w:r w:rsidRPr="00F90EAE">
        <w:rPr>
          <w:color w:val="000000" w:themeColor="text1"/>
          <w:sz w:val="16"/>
          <w:szCs w:val="16"/>
        </w:rPr>
        <w:softHyphen/>
        <w:t>щиков, принимавших участие в первом налете на Дрезден, уже возвращалось в Англию. Из 245 «Ланкастеров» и 9 «Москито» 5-й авиагруппы, которые взлетели со своих аэродромов, 243 самолета в течение 20 минут сбросили бомбы на Дрезден. Налет этот был настолько сконцентрирован во времени и простран</w:t>
      </w:r>
      <w:r w:rsidRPr="00F90EAE">
        <w:rPr>
          <w:color w:val="000000" w:themeColor="text1"/>
          <w:sz w:val="16"/>
          <w:szCs w:val="16"/>
        </w:rPr>
        <w:softHyphen/>
        <w:t>стве, что один «Ланкастер» угодил под бомбы, сброшенные дру</w:t>
      </w:r>
      <w:r w:rsidRPr="00F90EAE">
        <w:rPr>
          <w:color w:val="000000" w:themeColor="text1"/>
          <w:sz w:val="16"/>
          <w:szCs w:val="16"/>
        </w:rPr>
        <w:softHyphen/>
        <w:t>гим, находившимся выше самолетом.</w:t>
      </w:r>
    </w:p>
    <w:p w14:paraId="51CE9E72" w14:textId="77777777" w:rsidR="00206770" w:rsidRPr="00F90EAE" w:rsidRDefault="00206770" w:rsidP="00F90EAE">
      <w:pPr>
        <w:jc w:val="both"/>
        <w:rPr>
          <w:color w:val="000000" w:themeColor="text1"/>
          <w:sz w:val="16"/>
          <w:szCs w:val="16"/>
        </w:rPr>
      </w:pPr>
      <w:r w:rsidRPr="00F90EAE">
        <w:rPr>
          <w:color w:val="000000" w:themeColor="text1"/>
          <w:sz w:val="16"/>
          <w:szCs w:val="16"/>
        </w:rPr>
        <w:t>Через 10 минут после завершения первого налета само</w:t>
      </w:r>
      <w:r w:rsidRPr="00F90EAE">
        <w:rPr>
          <w:color w:val="000000" w:themeColor="text1"/>
          <w:sz w:val="16"/>
          <w:szCs w:val="16"/>
        </w:rPr>
        <w:softHyphen/>
        <w:t>леты 5-й авиагруппы прекратили сбрасывание дипольных отражателей «Виндоу» и, резко снизившись до высоты 1800 метров, вышли из зоны действия немецких РЛС. В это время с другого направления шло соединение из 529 «Ланкастеров».</w:t>
      </w:r>
    </w:p>
    <w:p w14:paraId="7EA1552D" w14:textId="77777777" w:rsidR="00206770" w:rsidRPr="00F90EAE" w:rsidRDefault="00206770" w:rsidP="00F90EAE">
      <w:pPr>
        <w:jc w:val="both"/>
        <w:rPr>
          <w:color w:val="000000" w:themeColor="text1"/>
          <w:sz w:val="16"/>
          <w:szCs w:val="16"/>
        </w:rPr>
      </w:pPr>
      <w:r w:rsidRPr="00F90EAE">
        <w:rPr>
          <w:color w:val="000000" w:themeColor="text1"/>
          <w:sz w:val="16"/>
          <w:szCs w:val="16"/>
        </w:rPr>
        <w:t>Оно готовилось к нанесению второго удара по Дрездену, запланированного на 1 ч. 30 мин.</w:t>
      </w:r>
    </w:p>
    <w:p w14:paraId="0E4D906B" w14:textId="77777777" w:rsidR="00206770" w:rsidRPr="00F90EAE" w:rsidRDefault="00206770" w:rsidP="00F90EAE">
      <w:pPr>
        <w:jc w:val="both"/>
        <w:rPr>
          <w:color w:val="000000" w:themeColor="text1"/>
          <w:sz w:val="16"/>
          <w:szCs w:val="16"/>
        </w:rPr>
      </w:pPr>
      <w:r w:rsidRPr="00F90EAE">
        <w:rPr>
          <w:color w:val="000000" w:themeColor="text1"/>
          <w:sz w:val="16"/>
          <w:szCs w:val="16"/>
        </w:rPr>
        <w:t>Начиная с полуночи, по мере того как самолеты постепенно набирали высоту над занятой союзниками территорией и пересекали линию фронта примерно в 35 км к северу от Люксембурга, экипажи этих бомбардировщиков начали разбра</w:t>
      </w:r>
      <w:r w:rsidRPr="00F90EAE">
        <w:rPr>
          <w:color w:val="000000" w:themeColor="text1"/>
          <w:sz w:val="16"/>
          <w:szCs w:val="16"/>
        </w:rPr>
        <w:softHyphen/>
        <w:t>сывать в воздухе целые каскады диполь</w:t>
      </w:r>
      <w:r w:rsidRPr="00F90EAE">
        <w:rPr>
          <w:color w:val="000000" w:themeColor="text1"/>
          <w:sz w:val="16"/>
          <w:szCs w:val="16"/>
        </w:rPr>
        <w:softHyphen/>
        <w:t>ных отражателей.</w:t>
      </w:r>
    </w:p>
    <w:p w14:paraId="50AA1018" w14:textId="77777777" w:rsidR="00206770" w:rsidRPr="00F90EAE" w:rsidRDefault="00206770" w:rsidP="00F90EAE">
      <w:pPr>
        <w:jc w:val="both"/>
        <w:rPr>
          <w:color w:val="000000" w:themeColor="text1"/>
          <w:sz w:val="16"/>
          <w:szCs w:val="16"/>
        </w:rPr>
      </w:pPr>
      <w:r w:rsidRPr="00F90EAE">
        <w:rPr>
          <w:color w:val="000000" w:themeColor="text1"/>
          <w:sz w:val="16"/>
          <w:szCs w:val="16"/>
        </w:rPr>
        <w:t>Во главе потока летели «Ланкастеры», которые имели на борту как фугасные бомбы замедленного действия, так и све</w:t>
      </w:r>
      <w:r w:rsidRPr="00F90EAE">
        <w:rPr>
          <w:color w:val="000000" w:themeColor="text1"/>
          <w:sz w:val="16"/>
          <w:szCs w:val="16"/>
        </w:rPr>
        <w:softHyphen/>
        <w:t>товые бомбы, снабженные парашютами, предназначенные для освещения местно</w:t>
      </w:r>
      <w:r w:rsidRPr="00F90EAE">
        <w:rPr>
          <w:color w:val="000000" w:themeColor="text1"/>
          <w:sz w:val="16"/>
          <w:szCs w:val="16"/>
        </w:rPr>
        <w:softHyphen/>
        <w:t>сти. Эти бомбы представляли собой маг</w:t>
      </w:r>
      <w:r w:rsidRPr="00F90EAE">
        <w:rPr>
          <w:color w:val="000000" w:themeColor="text1"/>
          <w:sz w:val="16"/>
          <w:szCs w:val="16"/>
        </w:rPr>
        <w:softHyphen/>
        <w:t>ниевые фонари с отражателями, которые зажигались на высоте 6000 метров. Отра</w:t>
      </w:r>
      <w:r w:rsidRPr="00F90EAE">
        <w:rPr>
          <w:color w:val="000000" w:themeColor="text1"/>
          <w:sz w:val="16"/>
          <w:szCs w:val="16"/>
        </w:rPr>
        <w:softHyphen/>
        <w:t>жатели не ослепляли экипажи самолетов.</w:t>
      </w:r>
    </w:p>
    <w:p w14:paraId="27383D8A" w14:textId="77777777" w:rsidR="00206770" w:rsidRPr="00F90EAE" w:rsidRDefault="00206770" w:rsidP="00F90EAE">
      <w:pPr>
        <w:jc w:val="both"/>
        <w:rPr>
          <w:color w:val="000000" w:themeColor="text1"/>
          <w:sz w:val="16"/>
          <w:szCs w:val="16"/>
        </w:rPr>
      </w:pPr>
      <w:r w:rsidRPr="00F90EAE">
        <w:rPr>
          <w:color w:val="000000" w:themeColor="text1"/>
          <w:sz w:val="16"/>
          <w:szCs w:val="16"/>
        </w:rPr>
        <w:t>С интервалом в 3 - 4 минуты в потоке бомбардировщиков шли «Ланкастеры» «визуального центрирования» из состава ко</w:t>
      </w:r>
      <w:r w:rsidRPr="00F90EAE">
        <w:rPr>
          <w:color w:val="000000" w:themeColor="text1"/>
          <w:sz w:val="16"/>
          <w:szCs w:val="16"/>
        </w:rPr>
        <w:softHyphen/>
        <w:t>мандования уже шли полным ходом. Пять самолетов «Москито» бомбили группы наведения, которые должны были визуально сбрасывать свои светящиеся маркеры в центр отмеченной предыдущими экипажами цели. Были среди них и самолеты, несшие воздуш</w:t>
      </w:r>
      <w:r w:rsidRPr="00F90EAE">
        <w:rPr>
          <w:color w:val="000000" w:themeColor="text1"/>
          <w:sz w:val="16"/>
          <w:szCs w:val="16"/>
        </w:rPr>
        <w:softHyphen/>
        <w:t>ные парашютные маркеры - на случай, если плотные облака за</w:t>
      </w:r>
      <w:r w:rsidRPr="00F90EAE">
        <w:rPr>
          <w:color w:val="000000" w:themeColor="text1"/>
          <w:sz w:val="16"/>
          <w:szCs w:val="16"/>
        </w:rPr>
        <w:softHyphen/>
        <w:t>кроют землю и горящие на земле маркеры станут неразличимы. Удар должен был получиться плотным и сосредоточенным.</w:t>
      </w:r>
    </w:p>
    <w:p w14:paraId="339DA249" w14:textId="77777777" w:rsidR="00206770" w:rsidRPr="00F90EAE" w:rsidRDefault="00206770" w:rsidP="00F90EAE">
      <w:pPr>
        <w:jc w:val="both"/>
        <w:rPr>
          <w:color w:val="000000" w:themeColor="text1"/>
          <w:sz w:val="16"/>
          <w:szCs w:val="16"/>
        </w:rPr>
      </w:pPr>
      <w:r w:rsidRPr="00F90EAE">
        <w:rPr>
          <w:color w:val="000000" w:themeColor="text1"/>
          <w:sz w:val="16"/>
          <w:szCs w:val="16"/>
        </w:rPr>
        <w:t>Позади потока бомбардировщиков следовали эскадрильи истребителей-бомбардировщиков «Москито», оборудованных для ведения ночного воздушного боя и штурмовки немецких аэродромов. В растянувшемся на 8 км потоке находились также «Либерейторы» и «Летающие крепости» 100-й авиаг</w:t>
      </w:r>
      <w:r w:rsidRPr="00F90EAE">
        <w:rPr>
          <w:color w:val="000000" w:themeColor="text1"/>
          <w:sz w:val="16"/>
          <w:szCs w:val="16"/>
        </w:rPr>
        <w:softHyphen/>
        <w:t>руппы электронного противодействия. На борту каждого из этих самолетов было также по несколько тонн полосок метал</w:t>
      </w:r>
      <w:r w:rsidRPr="00F90EAE">
        <w:rPr>
          <w:color w:val="000000" w:themeColor="text1"/>
          <w:sz w:val="16"/>
          <w:szCs w:val="16"/>
        </w:rPr>
        <w:softHyphen/>
        <w:t>лической фольги «Виндоу».</w:t>
      </w:r>
    </w:p>
    <w:p w14:paraId="4167AB7A" w14:textId="77777777" w:rsidR="00206770" w:rsidRPr="00F90EAE" w:rsidRDefault="00206770" w:rsidP="00F90EAE">
      <w:pPr>
        <w:jc w:val="both"/>
        <w:rPr>
          <w:color w:val="000000" w:themeColor="text1"/>
          <w:sz w:val="16"/>
          <w:szCs w:val="16"/>
        </w:rPr>
      </w:pPr>
      <w:r w:rsidRPr="00F90EAE">
        <w:rPr>
          <w:color w:val="000000" w:themeColor="text1"/>
          <w:sz w:val="16"/>
          <w:szCs w:val="16"/>
        </w:rPr>
        <w:t>Старшие офицеры Бомбардировочного командования прекрасно знали, что готовятся приступить к бомбардировке незащищенного города, переполненного беженцами. Поэтому экипажам бомбардировщиков сообщили заведомо ложные све</w:t>
      </w:r>
      <w:r w:rsidRPr="00F90EAE">
        <w:rPr>
          <w:color w:val="000000" w:themeColor="text1"/>
          <w:sz w:val="16"/>
          <w:szCs w:val="16"/>
        </w:rPr>
        <w:softHyphen/>
        <w:t>дения об объектах атаки. Так, экипажам 3-й бомбардировочной группы сказали, что их группа будет бомбить штаб немецкой армии в Дрездене.</w:t>
      </w:r>
    </w:p>
    <w:p w14:paraId="412A42CF" w14:textId="77777777" w:rsidR="00206770" w:rsidRPr="00F90EAE" w:rsidRDefault="00206770" w:rsidP="00F90EAE">
      <w:pPr>
        <w:jc w:val="both"/>
        <w:rPr>
          <w:color w:val="000000" w:themeColor="text1"/>
          <w:sz w:val="16"/>
          <w:szCs w:val="16"/>
        </w:rPr>
      </w:pPr>
      <w:r w:rsidRPr="00F90EAE">
        <w:rPr>
          <w:color w:val="000000" w:themeColor="text1"/>
          <w:sz w:val="16"/>
          <w:szCs w:val="16"/>
        </w:rPr>
        <w:t>Участники налета из состава 75-й эскадрильи вспоминают, что им описывали Дрезден как город, объявленный крепостью. В инструктаже говорилось, что надо атаковать Дрезден для того, чтобы разрушить немецкие склады вооружения и базы снабже</w:t>
      </w:r>
      <w:r w:rsidRPr="00F90EAE">
        <w:rPr>
          <w:color w:val="000000" w:themeColor="text1"/>
          <w:sz w:val="16"/>
          <w:szCs w:val="16"/>
        </w:rPr>
        <w:softHyphen/>
        <w:t>ния. Утерждалось, что город является одним из основных цент</w:t>
      </w:r>
      <w:r w:rsidRPr="00F90EAE">
        <w:rPr>
          <w:color w:val="000000" w:themeColor="text1"/>
          <w:sz w:val="16"/>
          <w:szCs w:val="16"/>
        </w:rPr>
        <w:softHyphen/>
        <w:t>ров снабжения Восточного фронта.</w:t>
      </w:r>
    </w:p>
    <w:p w14:paraId="0D51D0BA" w14:textId="77777777" w:rsidR="00206770" w:rsidRPr="00F90EAE" w:rsidRDefault="00206770" w:rsidP="00F90EAE">
      <w:pPr>
        <w:jc w:val="both"/>
        <w:rPr>
          <w:color w:val="000000" w:themeColor="text1"/>
          <w:sz w:val="16"/>
          <w:szCs w:val="16"/>
        </w:rPr>
      </w:pPr>
      <w:r w:rsidRPr="00F90EAE">
        <w:rPr>
          <w:color w:val="000000" w:themeColor="text1"/>
          <w:sz w:val="16"/>
          <w:szCs w:val="16"/>
        </w:rPr>
        <w:t>В 1-й бомбардировочной группе упор делался на значение Дрездена как центра железнодорожного сообщения Германии. Экипажам было сказано, что точкой прицеливания будет желез</w:t>
      </w:r>
      <w:r w:rsidRPr="00F90EAE">
        <w:rPr>
          <w:color w:val="000000" w:themeColor="text1"/>
          <w:sz w:val="16"/>
          <w:szCs w:val="16"/>
        </w:rPr>
        <w:softHyphen/>
        <w:t>нодорожная станция.</w:t>
      </w:r>
    </w:p>
    <w:p w14:paraId="16C114AA" w14:textId="77777777" w:rsidR="00206770" w:rsidRPr="00F90EAE" w:rsidRDefault="00206770" w:rsidP="00F90EAE">
      <w:pPr>
        <w:jc w:val="both"/>
        <w:rPr>
          <w:color w:val="000000" w:themeColor="text1"/>
          <w:sz w:val="16"/>
          <w:szCs w:val="16"/>
        </w:rPr>
      </w:pPr>
      <w:r w:rsidRPr="00F90EAE">
        <w:rPr>
          <w:color w:val="000000" w:themeColor="text1"/>
          <w:sz w:val="16"/>
          <w:szCs w:val="16"/>
        </w:rPr>
        <w:t>В подборке документов, подготовленных штабом 6-й (ка</w:t>
      </w:r>
      <w:r w:rsidRPr="00F90EAE">
        <w:rPr>
          <w:color w:val="000000" w:themeColor="text1"/>
          <w:sz w:val="16"/>
          <w:szCs w:val="16"/>
        </w:rPr>
        <w:softHyphen/>
        <w:t>надской) бомбардировочной группы, говорилось, что Дрезден является важным промышленным районом, где производятся электромоторы, точные приборы, химикаты и вооружение.</w:t>
      </w:r>
    </w:p>
    <w:p w14:paraId="08426DDE" w14:textId="77777777" w:rsidR="00206770" w:rsidRPr="00F90EAE" w:rsidRDefault="00206770" w:rsidP="00F90EAE">
      <w:pPr>
        <w:jc w:val="both"/>
        <w:rPr>
          <w:color w:val="000000" w:themeColor="text1"/>
          <w:sz w:val="16"/>
          <w:szCs w:val="16"/>
        </w:rPr>
      </w:pPr>
      <w:r w:rsidRPr="00F90EAE">
        <w:rPr>
          <w:color w:val="000000" w:themeColor="text1"/>
          <w:sz w:val="16"/>
          <w:szCs w:val="16"/>
        </w:rPr>
        <w:t>Воображение офицеров на некоторых базах заходило на</w:t>
      </w:r>
      <w:r w:rsidRPr="00F90EAE">
        <w:rPr>
          <w:color w:val="000000" w:themeColor="text1"/>
          <w:sz w:val="16"/>
          <w:szCs w:val="16"/>
        </w:rPr>
        <w:softHyphen/>
        <w:t>столько далеко, что на одном аэродроме говорилось об атаке на штаб гестапо в центре города, на другом - о заводе, выпускаю</w:t>
      </w:r>
      <w:r w:rsidRPr="00F90EAE">
        <w:rPr>
          <w:color w:val="000000" w:themeColor="text1"/>
          <w:sz w:val="16"/>
          <w:szCs w:val="16"/>
        </w:rPr>
        <w:softHyphen/>
        <w:t>щем боеприпасы, а на третьем - о крупной фабрике по произ</w:t>
      </w:r>
      <w:r w:rsidRPr="00F90EAE">
        <w:rPr>
          <w:color w:val="000000" w:themeColor="text1"/>
          <w:sz w:val="16"/>
          <w:szCs w:val="16"/>
        </w:rPr>
        <w:softHyphen/>
        <w:t>водству отравляющих веществ.</w:t>
      </w:r>
    </w:p>
    <w:p w14:paraId="777D8249" w14:textId="77777777" w:rsidR="00206770" w:rsidRPr="00F90EAE" w:rsidRDefault="00206770" w:rsidP="00F90EAE">
      <w:pPr>
        <w:jc w:val="both"/>
        <w:rPr>
          <w:color w:val="000000" w:themeColor="text1"/>
          <w:sz w:val="16"/>
          <w:szCs w:val="16"/>
        </w:rPr>
      </w:pPr>
      <w:r w:rsidRPr="00F90EAE">
        <w:rPr>
          <w:color w:val="000000" w:themeColor="text1"/>
          <w:sz w:val="16"/>
          <w:szCs w:val="16"/>
        </w:rPr>
        <w:t>Поскольку Дрезден был фактически нетронутой целью, Бом</w:t>
      </w:r>
      <w:r w:rsidRPr="00F90EAE">
        <w:rPr>
          <w:color w:val="000000" w:themeColor="text1"/>
          <w:sz w:val="16"/>
          <w:szCs w:val="16"/>
        </w:rPr>
        <w:softHyphen/>
        <w:t>бардировочное командование решило его подвергнуть «гам</w:t>
      </w:r>
      <w:r w:rsidRPr="00F90EAE">
        <w:rPr>
          <w:color w:val="000000" w:themeColor="text1"/>
          <w:sz w:val="16"/>
          <w:szCs w:val="16"/>
        </w:rPr>
        <w:softHyphen/>
        <w:t>бургской» обработке по полной программе: сначала надо было фугасными бомбами сорвать крыши и выбить окна. Затем на город должны были посыпаться зажигательные бомбы, которые подожгут дома и взовьют вихри раскаленных искр. Через разби</w:t>
      </w:r>
      <w:r w:rsidRPr="00F90EAE">
        <w:rPr>
          <w:color w:val="000000" w:themeColor="text1"/>
          <w:sz w:val="16"/>
          <w:szCs w:val="16"/>
        </w:rPr>
        <w:softHyphen/>
        <w:t>тые крыши и окна бушующее пламя охватит стропила, мебель, полы, ковры, занавески.</w:t>
      </w:r>
    </w:p>
    <w:p w14:paraId="24FC23E8" w14:textId="77777777" w:rsidR="00206770" w:rsidRPr="00F90EAE" w:rsidRDefault="00206770" w:rsidP="00F90EAE">
      <w:pPr>
        <w:jc w:val="both"/>
        <w:rPr>
          <w:color w:val="000000" w:themeColor="text1"/>
          <w:sz w:val="16"/>
          <w:szCs w:val="16"/>
        </w:rPr>
      </w:pPr>
      <w:r w:rsidRPr="00F90EAE">
        <w:rPr>
          <w:color w:val="000000" w:themeColor="text1"/>
          <w:sz w:val="16"/>
          <w:szCs w:val="16"/>
        </w:rPr>
        <w:t>Во второй атаке помимо зажигательных, опять-таки были нужны фугасные бомбы: чтобы расширять зону возгорания и не дать возможности работать пожарным. Например, в 3-й авиаг</w:t>
      </w:r>
      <w:r w:rsidRPr="00F90EAE">
        <w:rPr>
          <w:color w:val="000000" w:themeColor="text1"/>
          <w:sz w:val="16"/>
          <w:szCs w:val="16"/>
        </w:rPr>
        <w:softHyphen/>
        <w:t>руппе применялось два типа бомбовой загрузки, бомбардиров</w:t>
      </w:r>
      <w:r w:rsidRPr="00F90EAE">
        <w:rPr>
          <w:color w:val="000000" w:themeColor="text1"/>
          <w:sz w:val="16"/>
          <w:szCs w:val="16"/>
        </w:rPr>
        <w:softHyphen/>
        <w:t>щики одной волны несли по одному 1800-кг «блокбастеру» и по пять упаковок 16-кг зажигательных бомб. У самолетов второй волны было по одной фугасной 225-килограммовой бомбе и такие же упаковки «зажигалок». В 1-й бомбардировочной группе загрузка несколько отличалась. Термитные бомбы шестиуголь</w:t>
      </w:r>
      <w:r w:rsidRPr="00F90EAE">
        <w:rPr>
          <w:color w:val="000000" w:themeColor="text1"/>
          <w:sz w:val="16"/>
          <w:szCs w:val="16"/>
        </w:rPr>
        <w:softHyphen/>
        <w:t>ной формы длиной весом 1,8 кг укладывались в небольшие ме</w:t>
      </w:r>
      <w:r w:rsidRPr="00F90EAE">
        <w:rPr>
          <w:color w:val="000000" w:themeColor="text1"/>
          <w:sz w:val="16"/>
          <w:szCs w:val="16"/>
        </w:rPr>
        <w:softHyphen/>
        <w:t>таллические контейнеры, которые сбрасывались над объектом и раскрывались в воздухе. Сами бомбы не имели стабилизаторов, что не позволяло вести прицельное бомбометание. Впрочем, при налете на такую цель, как Дрезден, где надо было добиться как можно большей площади возгорания, рассеивание термитных бомб не имело значения. Каждый самолет 1-й авиагруппы нес по 17 таких контейнеров и по одной фугасной бомбе весом 900 кг. В другом варианте это был один «блокбастер» и двенад</w:t>
      </w:r>
      <w:r w:rsidRPr="00F90EAE">
        <w:rPr>
          <w:color w:val="000000" w:themeColor="text1"/>
          <w:sz w:val="16"/>
          <w:szCs w:val="16"/>
        </w:rPr>
        <w:softHyphen/>
        <w:t>цать контейнеров с зажигательными бомбами. В общей слож</w:t>
      </w:r>
      <w:r w:rsidRPr="00F90EAE">
        <w:rPr>
          <w:color w:val="000000" w:themeColor="text1"/>
          <w:sz w:val="16"/>
          <w:szCs w:val="16"/>
        </w:rPr>
        <w:softHyphen/>
        <w:t>ности «Ланкастеры», атаковавшие Дрезден, несли 650 тысяч зажигательных бомб.</w:t>
      </w:r>
    </w:p>
    <w:p w14:paraId="77FA38A5" w14:textId="77777777" w:rsidR="00206770" w:rsidRPr="00F90EAE" w:rsidRDefault="00206770" w:rsidP="00F90EAE">
      <w:pPr>
        <w:jc w:val="both"/>
        <w:rPr>
          <w:color w:val="000000" w:themeColor="text1"/>
          <w:sz w:val="16"/>
          <w:szCs w:val="16"/>
        </w:rPr>
      </w:pPr>
      <w:r w:rsidRPr="00F90EAE">
        <w:rPr>
          <w:color w:val="000000" w:themeColor="text1"/>
          <w:sz w:val="16"/>
          <w:szCs w:val="16"/>
        </w:rPr>
        <w:t>Во втором соединении насчитывалось 550 «Ланкастеров» из 1-й, 3-й, 6-й и 8-й авиагрупп. Для прикрытия подхода вто</w:t>
      </w:r>
      <w:r w:rsidRPr="00F90EAE">
        <w:rPr>
          <w:color w:val="000000" w:themeColor="text1"/>
          <w:sz w:val="16"/>
          <w:szCs w:val="16"/>
        </w:rPr>
        <w:softHyphen/>
        <w:t>рой бомбардировочной армады к Дрездену самолеты 100-й авиагруппы сбрасывали дипольные отражатели «Виндоу», которые изображали на экранах немецких РЛС соединение бомбардировщиков, следующих по направлению к району Кёльн-Кобленц.</w:t>
      </w:r>
    </w:p>
    <w:p w14:paraId="555C0914" w14:textId="77777777" w:rsidR="00206770" w:rsidRPr="00F90EAE" w:rsidRDefault="00206770" w:rsidP="00F90EAE">
      <w:pPr>
        <w:jc w:val="both"/>
        <w:rPr>
          <w:color w:val="000000" w:themeColor="text1"/>
          <w:sz w:val="16"/>
          <w:szCs w:val="16"/>
        </w:rPr>
      </w:pPr>
      <w:r w:rsidRPr="00F90EAE">
        <w:rPr>
          <w:color w:val="000000" w:themeColor="text1"/>
          <w:sz w:val="16"/>
          <w:szCs w:val="16"/>
        </w:rPr>
        <w:t>Для этой операции были запланированы отвлекающие на</w:t>
      </w:r>
      <w:r w:rsidRPr="00F90EAE">
        <w:rPr>
          <w:color w:val="000000" w:themeColor="text1"/>
          <w:sz w:val="16"/>
          <w:szCs w:val="16"/>
        </w:rPr>
        <w:softHyphen/>
        <w:t>леты на Бонн, Нюрнберг и Магдебург.</w:t>
      </w:r>
    </w:p>
    <w:p w14:paraId="46D516E9" w14:textId="77777777" w:rsidR="00206770" w:rsidRPr="00F90EAE" w:rsidRDefault="00206770" w:rsidP="00F90EAE">
      <w:pPr>
        <w:jc w:val="both"/>
        <w:rPr>
          <w:color w:val="000000" w:themeColor="text1"/>
          <w:sz w:val="16"/>
          <w:szCs w:val="16"/>
        </w:rPr>
      </w:pPr>
      <w:r w:rsidRPr="00F90EAE">
        <w:rPr>
          <w:color w:val="000000" w:themeColor="text1"/>
          <w:sz w:val="16"/>
          <w:szCs w:val="16"/>
        </w:rPr>
        <w:t>Начало нанесения удара основным соединением было запла</w:t>
      </w:r>
      <w:r w:rsidRPr="00F90EAE">
        <w:rPr>
          <w:color w:val="000000" w:themeColor="text1"/>
          <w:sz w:val="16"/>
          <w:szCs w:val="16"/>
        </w:rPr>
        <w:softHyphen/>
        <w:t>нировано на 1 ч. 30 мин 14 февраля. Из 550 взлетевших со своих аэродромов «Ланкастеров» 515 дошли до Дрездена и атаковали город в период с 1 ч. 23 мин. до 1 ч. 52 мин.</w:t>
      </w:r>
    </w:p>
    <w:p w14:paraId="77DCCFE5" w14:textId="77777777" w:rsidR="00206770" w:rsidRPr="00F90EAE" w:rsidRDefault="00206770" w:rsidP="00F90EAE">
      <w:pPr>
        <w:jc w:val="both"/>
        <w:rPr>
          <w:color w:val="000000" w:themeColor="text1"/>
          <w:sz w:val="16"/>
          <w:szCs w:val="16"/>
        </w:rPr>
      </w:pPr>
      <w:r w:rsidRPr="00F90EAE">
        <w:rPr>
          <w:color w:val="000000" w:themeColor="text1"/>
          <w:sz w:val="16"/>
          <w:szCs w:val="16"/>
        </w:rPr>
        <w:t>К отражению второго налета на Дрезден были готовы 18 ночных истребителей Ме-110. Но они так и не поднялись в воз</w:t>
      </w:r>
      <w:r w:rsidRPr="00F90EAE">
        <w:rPr>
          <w:color w:val="000000" w:themeColor="text1"/>
          <w:sz w:val="16"/>
          <w:szCs w:val="16"/>
        </w:rPr>
        <w:softHyphen/>
        <w:t>дух из-за того, что на их аэродром должны были приземлиться несколько транспортных самолетов из осажденного Красной Армией Бреслау.</w:t>
      </w:r>
    </w:p>
    <w:p w14:paraId="6D206991" w14:textId="77777777" w:rsidR="00206770" w:rsidRPr="00F90EAE" w:rsidRDefault="00206770" w:rsidP="00F90EAE">
      <w:pPr>
        <w:jc w:val="both"/>
        <w:rPr>
          <w:color w:val="000000" w:themeColor="text1"/>
          <w:sz w:val="16"/>
          <w:szCs w:val="16"/>
        </w:rPr>
      </w:pPr>
    </w:p>
    <w:p w14:paraId="0F7ED6BD" w14:textId="77777777" w:rsidR="00206770" w:rsidRPr="00F90EAE" w:rsidRDefault="00206770" w:rsidP="00F90EAE">
      <w:pPr>
        <w:jc w:val="both"/>
        <w:rPr>
          <w:color w:val="000000" w:themeColor="text1"/>
          <w:sz w:val="16"/>
          <w:szCs w:val="16"/>
        </w:rPr>
      </w:pPr>
      <w:r w:rsidRPr="00F90EAE">
        <w:rPr>
          <w:color w:val="000000" w:themeColor="text1"/>
          <w:sz w:val="16"/>
          <w:szCs w:val="16"/>
        </w:rPr>
        <w:t>Вышеупомянутый Ирвинг отмечал: «Огонь зенитной артилле</w:t>
      </w:r>
      <w:r w:rsidRPr="00F90EAE">
        <w:rPr>
          <w:color w:val="000000" w:themeColor="text1"/>
          <w:sz w:val="16"/>
          <w:szCs w:val="16"/>
        </w:rPr>
        <w:softHyphen/>
        <w:t>рии отсутствовал полностью. Некоторые экипажи «Ланкастеров» почти стыдились этого. Многие самолеты по нескольку раз обле</w:t>
      </w:r>
      <w:r w:rsidRPr="00F90EAE">
        <w:rPr>
          <w:color w:val="000000" w:themeColor="text1"/>
          <w:sz w:val="16"/>
          <w:szCs w:val="16"/>
        </w:rPr>
        <w:softHyphen/>
        <w:t>тали горящий город, так как ничто не могло им помешать. Один «Ланкастер», оснащенный кинокамерой, в течение 10 минут круился над целью, снимая все происходящее внизу для Главного штаба Королевских ВВС. Кинопленка длиной 120 метров сейчас хранится в архиве Имперского Военного музея в Лондоне и яв</w:t>
      </w:r>
      <w:r w:rsidRPr="00F90EAE">
        <w:rPr>
          <w:color w:val="000000" w:themeColor="text1"/>
          <w:sz w:val="16"/>
          <w:szCs w:val="16"/>
        </w:rPr>
        <w:softHyphen/>
        <w:t>ляется одним из самых поразительных по своей беспощадности документов истории Второй мировой войны. Этот фильм пред</w:t>
      </w:r>
      <w:r w:rsidRPr="00F90EAE">
        <w:rPr>
          <w:color w:val="000000" w:themeColor="text1"/>
          <w:sz w:val="16"/>
          <w:szCs w:val="16"/>
        </w:rPr>
        <w:softHyphen/>
        <w:t>ставляет собой убедительное доказательство того, что Дрезден был незащищенным городом: ни одного прожектора, ни одного разрыва снаряда зенитной артиллерии нет на этих кадрах».</w:t>
      </w:r>
    </w:p>
    <w:p w14:paraId="1000DC44" w14:textId="77777777" w:rsidR="00206770" w:rsidRPr="00F90EAE" w:rsidRDefault="00206770" w:rsidP="00F90EAE">
      <w:pPr>
        <w:jc w:val="both"/>
        <w:rPr>
          <w:color w:val="000000" w:themeColor="text1"/>
          <w:sz w:val="16"/>
          <w:szCs w:val="16"/>
        </w:rPr>
      </w:pPr>
      <w:r w:rsidRPr="00F90EAE">
        <w:rPr>
          <w:color w:val="000000" w:themeColor="text1"/>
          <w:sz w:val="16"/>
          <w:szCs w:val="16"/>
        </w:rPr>
        <w:t>«Когда в конце налета мы прибыли в район цели, было видно, что город обречен», - вспоминал пилот «Ланкастера» из 3-й авиагруппы, который был поврежден зенитным огнем над Хемницем и задержался. Он должен был подойти к Дрездену за пять минут до окончания атаки, но опаздал на десять минут. Наверное, это был последний появившийся над целью самолет. «По моему мнению, море огня покрывало площадь размером примерно 40 квадратных миль (104 кв. км). От этой печи внизу поднимался жар, который ощущался даже в кабине моего са</w:t>
      </w:r>
      <w:r w:rsidRPr="00F90EAE">
        <w:rPr>
          <w:color w:val="000000" w:themeColor="text1"/>
          <w:sz w:val="16"/>
          <w:szCs w:val="16"/>
        </w:rPr>
        <w:softHyphen/>
        <w:t>молета. Небо переливалось оттенками ярко-красного и белого цветов, а свет внутри самолета был светом мрачного осеннего заката. Мы были настолько поражены ужасом при виде этого чудовищного пламени, что еще долго в одиночестве летали над городом. Совершенно подавленные, представляя себе то, что творилось внизу, мы повернули на обратный курс. Ослепительно яркий свет этого холокоста был виден за тридцать миль».</w:t>
      </w:r>
    </w:p>
    <w:p w14:paraId="0C0EDABF" w14:textId="77777777" w:rsidR="00206770" w:rsidRPr="00F90EAE" w:rsidRDefault="00206770" w:rsidP="00F90EAE">
      <w:pPr>
        <w:jc w:val="both"/>
        <w:rPr>
          <w:color w:val="000000" w:themeColor="text1"/>
          <w:sz w:val="16"/>
          <w:szCs w:val="16"/>
        </w:rPr>
      </w:pPr>
      <w:r w:rsidRPr="00F90EAE">
        <w:rPr>
          <w:color w:val="000000" w:themeColor="text1"/>
          <w:sz w:val="16"/>
          <w:szCs w:val="16"/>
        </w:rPr>
        <w:t>В общей сложности оба соединения сбросили на Дрезден почти 1480 тонн фугасных бомб, включая 529 «блокбастеров» по 1800 кг и один «блокбастер» весом 3600 кг, а также 1180 тонн зажигательных бомб. В отвлекающих налетах 109 «Москито» атаковали Магдебург, Бонн, Дортмунд, Мисбург и Нюрнберг.</w:t>
      </w:r>
    </w:p>
    <w:p w14:paraId="30EA9426" w14:textId="77777777" w:rsidR="00206770" w:rsidRPr="00F90EAE" w:rsidRDefault="00206770" w:rsidP="00F90EAE">
      <w:pPr>
        <w:jc w:val="both"/>
        <w:rPr>
          <w:color w:val="000000" w:themeColor="text1"/>
          <w:sz w:val="16"/>
          <w:szCs w:val="16"/>
        </w:rPr>
      </w:pPr>
      <w:r w:rsidRPr="00F90EAE">
        <w:rPr>
          <w:color w:val="000000" w:themeColor="text1"/>
          <w:sz w:val="16"/>
          <w:szCs w:val="16"/>
        </w:rPr>
        <w:t>Потери самолетов были на удивление низкими. Аналитики Бомбардировочного командования объясняли это облачностью, успешными мерами радиоэлектронного противодействия и отвлекающими налетами на другие цели. Ночные истребители «Москито» заявили о двух сбитых ими Ме-110. После разбора операции аналитики пришли к заключению, что силы ПВО противника бездействовали. Только 9 из 1164 вернувшихся са</w:t>
      </w:r>
      <w:r w:rsidRPr="00F90EAE">
        <w:rPr>
          <w:color w:val="000000" w:themeColor="text1"/>
          <w:sz w:val="16"/>
          <w:szCs w:val="16"/>
        </w:rPr>
        <w:softHyphen/>
        <w:t>молетов доложили о том, что были атакованы истребителями, а зенитный огонь в самом Дрездене характеризовался экипа</w:t>
      </w:r>
      <w:r w:rsidRPr="00F90EAE">
        <w:rPr>
          <w:color w:val="000000" w:themeColor="text1"/>
          <w:sz w:val="16"/>
          <w:szCs w:val="16"/>
        </w:rPr>
        <w:softHyphen/>
        <w:t>жами как «незначительный».</w:t>
      </w:r>
    </w:p>
    <w:p w14:paraId="32424993" w14:textId="77777777" w:rsidR="00206770" w:rsidRPr="00F90EAE" w:rsidRDefault="00206770" w:rsidP="00F90EAE">
      <w:pPr>
        <w:jc w:val="both"/>
        <w:rPr>
          <w:color w:val="000000" w:themeColor="text1"/>
          <w:sz w:val="16"/>
          <w:szCs w:val="16"/>
        </w:rPr>
      </w:pPr>
      <w:r w:rsidRPr="00F90EAE">
        <w:rPr>
          <w:color w:val="000000" w:themeColor="text1"/>
          <w:sz w:val="16"/>
          <w:szCs w:val="16"/>
        </w:rPr>
        <w:t>Сначала было объявлено, что из 1400 самолетов Бомбарди</w:t>
      </w:r>
      <w:r w:rsidRPr="00F90EAE">
        <w:rPr>
          <w:color w:val="000000" w:themeColor="text1"/>
          <w:sz w:val="16"/>
          <w:szCs w:val="16"/>
        </w:rPr>
        <w:softHyphen/>
        <w:t>ровочного командования, задействованных в проводившихся этой ночью операциях (вместе с постановщиками помех), было потеряно только 16 машин.</w:t>
      </w:r>
    </w:p>
    <w:p w14:paraId="340D6917" w14:textId="77777777" w:rsidR="00206770" w:rsidRPr="00F90EAE" w:rsidRDefault="00206770" w:rsidP="00F90EAE">
      <w:pPr>
        <w:jc w:val="both"/>
        <w:rPr>
          <w:color w:val="000000" w:themeColor="text1"/>
          <w:sz w:val="16"/>
          <w:szCs w:val="16"/>
        </w:rPr>
      </w:pPr>
      <w:r w:rsidRPr="00F90EAE">
        <w:rPr>
          <w:color w:val="000000" w:themeColor="text1"/>
          <w:sz w:val="16"/>
          <w:szCs w:val="16"/>
        </w:rPr>
        <w:t>К утру следующего дня данные были уточнены. Десять само</w:t>
      </w:r>
      <w:r w:rsidRPr="00F90EAE">
        <w:rPr>
          <w:color w:val="000000" w:themeColor="text1"/>
          <w:sz w:val="16"/>
          <w:szCs w:val="16"/>
        </w:rPr>
        <w:softHyphen/>
        <w:t>летов совершили посадку в континентальной части Европы. Было безвозвратно потеряно шесть «Ланкастеров». Один - над Боле- ном, второй - во время первой атаки на Дрезден, когда он был поражен падавшими сверху бомбами. Еще четыре бомбардиров</w:t>
      </w:r>
      <w:r w:rsidRPr="00F90EAE">
        <w:rPr>
          <w:color w:val="000000" w:themeColor="text1"/>
          <w:sz w:val="16"/>
          <w:szCs w:val="16"/>
        </w:rPr>
        <w:softHyphen/>
        <w:t>щика были потеряны во время второго налета: один сбит немец</w:t>
      </w:r>
      <w:r w:rsidRPr="00F90EAE">
        <w:rPr>
          <w:color w:val="000000" w:themeColor="text1"/>
          <w:sz w:val="16"/>
          <w:szCs w:val="16"/>
        </w:rPr>
        <w:softHyphen/>
        <w:t>ким ночным истребителем восточнее Штутгарта, второй упал на землю после столкновения в воздухе юго-</w:t>
      </w:r>
      <w:r w:rsidRPr="00F90EAE">
        <w:rPr>
          <w:color w:val="000000" w:themeColor="text1"/>
          <w:sz w:val="16"/>
          <w:szCs w:val="16"/>
        </w:rPr>
        <w:lastRenderedPageBreak/>
        <w:t>восточнее Франкфурта, третий разбился на обратном пути над устьем Соммы и четвертый упал на Дрезден по неизвестным причинам. Обломки двух само</w:t>
      </w:r>
      <w:r w:rsidRPr="00F90EAE">
        <w:rPr>
          <w:color w:val="000000" w:themeColor="text1"/>
          <w:sz w:val="16"/>
          <w:szCs w:val="16"/>
        </w:rPr>
        <w:softHyphen/>
        <w:t>летов, потерянных непосредственно над Дрезденом, вместе с по</w:t>
      </w:r>
      <w:r w:rsidRPr="00F90EAE">
        <w:rPr>
          <w:color w:val="000000" w:themeColor="text1"/>
          <w:sz w:val="16"/>
          <w:szCs w:val="16"/>
        </w:rPr>
        <w:softHyphen/>
        <w:t>гибшими членами экипажей были обнаружены на улицах города.</w:t>
      </w:r>
    </w:p>
    <w:p w14:paraId="01856549" w14:textId="77777777" w:rsidR="00206770" w:rsidRPr="00F90EAE" w:rsidRDefault="00206770" w:rsidP="00F90EAE">
      <w:pPr>
        <w:jc w:val="both"/>
        <w:rPr>
          <w:color w:val="000000" w:themeColor="text1"/>
          <w:sz w:val="16"/>
          <w:szCs w:val="16"/>
        </w:rPr>
      </w:pPr>
      <w:r w:rsidRPr="00F90EAE">
        <w:rPr>
          <w:color w:val="000000" w:themeColor="text1"/>
          <w:sz w:val="16"/>
          <w:szCs w:val="16"/>
        </w:rPr>
        <w:t>Третий (дневной) удар по Дрездену соединением из при</w:t>
      </w:r>
      <w:r w:rsidRPr="00F90EAE">
        <w:rPr>
          <w:color w:val="000000" w:themeColor="text1"/>
          <w:sz w:val="16"/>
          <w:szCs w:val="16"/>
        </w:rPr>
        <w:softHyphen/>
        <w:t>мерно 450 «Летающих крепостей» наносила уже Первая авиаци</w:t>
      </w:r>
      <w:r w:rsidRPr="00F90EAE">
        <w:rPr>
          <w:color w:val="000000" w:themeColor="text1"/>
          <w:sz w:val="16"/>
          <w:szCs w:val="16"/>
        </w:rPr>
        <w:softHyphen/>
        <w:t>онная дивизия ВВС США.</w:t>
      </w:r>
    </w:p>
    <w:p w14:paraId="758B5165" w14:textId="77777777" w:rsidR="00206770" w:rsidRPr="00F90EAE" w:rsidRDefault="00206770" w:rsidP="00F90EAE">
      <w:pPr>
        <w:jc w:val="both"/>
        <w:rPr>
          <w:color w:val="000000" w:themeColor="text1"/>
          <w:sz w:val="16"/>
          <w:szCs w:val="16"/>
        </w:rPr>
      </w:pPr>
      <w:r w:rsidRPr="00F90EAE">
        <w:rPr>
          <w:color w:val="000000" w:themeColor="text1"/>
          <w:sz w:val="16"/>
          <w:szCs w:val="16"/>
        </w:rPr>
        <w:t>У командования ВВС США в Европе был договор с советской стороной о том, что американцы будут за 24 часа извещать рус</w:t>
      </w:r>
      <w:r w:rsidRPr="00F90EAE">
        <w:rPr>
          <w:color w:val="000000" w:themeColor="text1"/>
          <w:sz w:val="16"/>
          <w:szCs w:val="16"/>
        </w:rPr>
        <w:softHyphen/>
        <w:t>ских о бомбардировке городов в Центральной Германии.</w:t>
      </w:r>
    </w:p>
    <w:p w14:paraId="7CBE9284" w14:textId="77777777" w:rsidR="00206770" w:rsidRPr="00F90EAE" w:rsidRDefault="00206770" w:rsidP="00F90EAE">
      <w:pPr>
        <w:jc w:val="both"/>
        <w:rPr>
          <w:color w:val="000000" w:themeColor="text1"/>
          <w:sz w:val="16"/>
          <w:szCs w:val="16"/>
        </w:rPr>
      </w:pPr>
      <w:r w:rsidRPr="00F90EAE">
        <w:rPr>
          <w:color w:val="000000" w:themeColor="text1"/>
          <w:sz w:val="16"/>
          <w:szCs w:val="16"/>
        </w:rPr>
        <w:t>12 февраля 1945 г. генерал Спаатс известил американскую военную миссию в Москве о том, что, если позволят погодные условия, он намерен 13 февраля отправить от 1200 до 1400 тяжелых бомбардировщиков 8-й воздушной армии для атаки сортировочной станции Дрездена. В тот же день начальник авиационного отдела американской миссии в Москве генерал- майор Эдмонт Хилл в точности передал эту информацию в советский Генштаб.</w:t>
      </w:r>
    </w:p>
    <w:p w14:paraId="3607BCE0" w14:textId="77777777" w:rsidR="00206770" w:rsidRPr="00F90EAE" w:rsidRDefault="00206770" w:rsidP="00F90EAE">
      <w:pPr>
        <w:jc w:val="both"/>
        <w:rPr>
          <w:color w:val="000000" w:themeColor="text1"/>
          <w:sz w:val="16"/>
          <w:szCs w:val="16"/>
        </w:rPr>
      </w:pPr>
      <w:r w:rsidRPr="00F90EAE">
        <w:rPr>
          <w:color w:val="000000" w:themeColor="text1"/>
          <w:sz w:val="16"/>
          <w:szCs w:val="16"/>
        </w:rPr>
        <w:t>Советский официальный представитель сообщил Девиду Ирвингу следующее: «Как явствует из этой информации, со</w:t>
      </w:r>
      <w:r w:rsidRPr="00F90EAE">
        <w:rPr>
          <w:color w:val="000000" w:themeColor="text1"/>
          <w:sz w:val="16"/>
          <w:szCs w:val="16"/>
        </w:rPr>
        <w:softHyphen/>
        <w:t>юзники известили советское командование только о своем намерении бомбить сортировочные станции в Дрездене. О массированных налетах на сам город советскому Генераль</w:t>
      </w:r>
      <w:r w:rsidRPr="00F90EAE">
        <w:rPr>
          <w:color w:val="000000" w:themeColor="text1"/>
          <w:sz w:val="16"/>
          <w:szCs w:val="16"/>
        </w:rPr>
        <w:softHyphen/>
        <w:t>ному штабу ничего не сообщалось».</w:t>
      </w:r>
    </w:p>
    <w:p w14:paraId="61E5BF01" w14:textId="77777777" w:rsidR="00206770" w:rsidRPr="00F90EAE" w:rsidRDefault="00206770" w:rsidP="00F90EAE">
      <w:pPr>
        <w:jc w:val="both"/>
        <w:rPr>
          <w:color w:val="000000" w:themeColor="text1"/>
          <w:sz w:val="16"/>
          <w:szCs w:val="16"/>
        </w:rPr>
      </w:pPr>
      <w:r w:rsidRPr="00F90EAE">
        <w:rPr>
          <w:color w:val="000000" w:themeColor="text1"/>
          <w:sz w:val="16"/>
          <w:szCs w:val="16"/>
        </w:rPr>
        <w:t>Ирвинг писал: «Еще до того как возвращавшиеся от Дрез</w:t>
      </w:r>
      <w:r w:rsidRPr="00F90EAE">
        <w:rPr>
          <w:color w:val="000000" w:themeColor="text1"/>
          <w:sz w:val="16"/>
          <w:szCs w:val="16"/>
        </w:rPr>
        <w:softHyphen/>
        <w:t>дена «Ланкастеры» Бомбардировочного командования пере</w:t>
      </w:r>
      <w:r w:rsidRPr="00F90EAE">
        <w:rPr>
          <w:color w:val="000000" w:themeColor="text1"/>
          <w:sz w:val="16"/>
          <w:szCs w:val="16"/>
        </w:rPr>
        <w:softHyphen/>
        <w:t>секли побережье Англии, экипажи более чем 1350 бомбар</w:t>
      </w:r>
      <w:r w:rsidRPr="00F90EAE">
        <w:rPr>
          <w:color w:val="000000" w:themeColor="text1"/>
          <w:sz w:val="16"/>
          <w:szCs w:val="16"/>
        </w:rPr>
        <w:softHyphen/>
        <w:t>дировщиков В-17 «Летающая крепость» и В-24 «Либерейтор» и всех пятнадцати американских истребительных авиагрупп уже сидели за полагавшимся им «завтраком палача», который включал в себя кофе и приготовленный из яичного порошка омлет. Инструктаж начался утром 14 февраля в 4.40, задолго до того, как над Англией занялся рассвет.</w:t>
      </w:r>
    </w:p>
    <w:p w14:paraId="45DD7D34" w14:textId="77777777" w:rsidR="00206770" w:rsidRPr="00F90EAE" w:rsidRDefault="00206770" w:rsidP="00F90EAE">
      <w:pPr>
        <w:jc w:val="both"/>
        <w:rPr>
          <w:color w:val="000000" w:themeColor="text1"/>
          <w:sz w:val="16"/>
          <w:szCs w:val="16"/>
        </w:rPr>
      </w:pPr>
      <w:r w:rsidRPr="00F90EAE">
        <w:rPr>
          <w:color w:val="000000" w:themeColor="text1"/>
          <w:sz w:val="16"/>
          <w:szCs w:val="16"/>
        </w:rPr>
        <w:t>Руководителей штурманской службы волновала проблема, как избежать навигационных ошибок и не оказаться над территорией, заня</w:t>
      </w:r>
      <w:r w:rsidRPr="00F90EAE">
        <w:rPr>
          <w:color w:val="000000" w:themeColor="text1"/>
          <w:sz w:val="16"/>
          <w:szCs w:val="16"/>
        </w:rPr>
        <w:softHyphen/>
        <w:t>той Красной Армией. Для проведения Дрезденской операции они решили, что после того как бомбардировщики войдут в воздушное пространство на го</w:t>
      </w:r>
      <w:r w:rsidRPr="00F90EAE">
        <w:rPr>
          <w:color w:val="000000" w:themeColor="text1"/>
          <w:sz w:val="16"/>
          <w:szCs w:val="16"/>
        </w:rPr>
        <w:softHyphen/>
        <w:t>родом Эгмонт на побережье Голландии и встретятся с истребителями сопрово</w:t>
      </w:r>
      <w:r w:rsidRPr="00F90EAE">
        <w:rPr>
          <w:color w:val="000000" w:themeColor="text1"/>
          <w:sz w:val="16"/>
          <w:szCs w:val="16"/>
        </w:rPr>
        <w:softHyphen/>
        <w:t>ждения Р-51, они направятся к контр</w:t>
      </w:r>
      <w:r w:rsidRPr="00F90EAE">
        <w:rPr>
          <w:color w:val="000000" w:themeColor="text1"/>
          <w:sz w:val="16"/>
          <w:szCs w:val="16"/>
        </w:rPr>
        <w:softHyphen/>
        <w:t>ольной точке над Эльбой. В сомкнутых боевых порядках группами по 50 - 40 самолетов соединение бомбардиров</w:t>
      </w:r>
      <w:r w:rsidRPr="00F90EAE">
        <w:rPr>
          <w:color w:val="000000" w:themeColor="text1"/>
          <w:sz w:val="16"/>
          <w:szCs w:val="16"/>
        </w:rPr>
        <w:softHyphen/>
        <w:t>щиков в сопровождении истребителей должно было идти к цели юго-западнее бремена.</w:t>
      </w:r>
    </w:p>
    <w:p w14:paraId="5D1906AF" w14:textId="77777777" w:rsidR="00206770" w:rsidRPr="00F90EAE" w:rsidRDefault="00206770" w:rsidP="00F90EAE">
      <w:pPr>
        <w:jc w:val="both"/>
        <w:rPr>
          <w:color w:val="000000" w:themeColor="text1"/>
          <w:sz w:val="16"/>
          <w:szCs w:val="16"/>
        </w:rPr>
      </w:pPr>
      <w:r w:rsidRPr="00F90EAE">
        <w:rPr>
          <w:color w:val="000000" w:themeColor="text1"/>
          <w:sz w:val="16"/>
          <w:szCs w:val="16"/>
        </w:rPr>
        <w:t>Ведущие штурманы соединения получили указание следовать курсом к контрольной точке над Торгау (в 80 ки</w:t>
      </w:r>
      <w:r w:rsidRPr="00F90EAE">
        <w:rPr>
          <w:color w:val="000000" w:themeColor="text1"/>
          <w:sz w:val="16"/>
          <w:szCs w:val="16"/>
        </w:rPr>
        <w:softHyphen/>
        <w:t>лометрах севернее Дрездена на реке Эльба). Оттуда им надо было просто идти на юг до первого большого города, через который, из</w:t>
      </w:r>
      <w:r w:rsidRPr="00F90EAE">
        <w:rPr>
          <w:color w:val="000000" w:themeColor="text1"/>
          <w:sz w:val="16"/>
          <w:szCs w:val="16"/>
        </w:rPr>
        <w:softHyphen/>
        <w:t>виваясь, протекает Эльба. Это и будет Дрезден. Конкретной целью атаки должна была стать железнодорожная станция в районе Нойштадт».</w:t>
      </w:r>
    </w:p>
    <w:p w14:paraId="24225CC4" w14:textId="77777777" w:rsidR="00206770" w:rsidRPr="00F90EAE" w:rsidRDefault="00206770" w:rsidP="00F90EAE">
      <w:pPr>
        <w:jc w:val="both"/>
        <w:rPr>
          <w:color w:val="000000" w:themeColor="text1"/>
          <w:sz w:val="16"/>
          <w:szCs w:val="16"/>
        </w:rPr>
      </w:pPr>
      <w:r w:rsidRPr="00F90EAE">
        <w:rPr>
          <w:color w:val="000000" w:themeColor="text1"/>
          <w:sz w:val="16"/>
          <w:szCs w:val="16"/>
        </w:rPr>
        <w:t>В 8 часов утра «Летающие крепости» начали взлетать и идти в зоны сбора, после чего направились к побережью Голландии. Истребители «Спитфайр» сопровождали их вплоть до морского побережья Англии, а над Зейдер- Зее бомбардировщики уже поджидали американские авиагруппы истребителей «Мустанг», после чего все соединение приступило к прорыву через Германию. При этом части истребителей было приказано сразу же после нанесения бомбового удара спикировать до высоты бреющего полета и приступить к штурмовке целей «по выбору». Пилоты «Мустангов» должны были обстреливать проходившие через разрушенный город колонны пехоты противника из пулеметов, поражать паровозы, грузовые автомашины и прочие транспортные средства.</w:t>
      </w:r>
    </w:p>
    <w:p w14:paraId="554D81FA" w14:textId="77777777" w:rsidR="00206770" w:rsidRPr="00F90EAE" w:rsidRDefault="00206770" w:rsidP="00F90EAE">
      <w:pPr>
        <w:jc w:val="both"/>
        <w:rPr>
          <w:color w:val="000000" w:themeColor="text1"/>
          <w:sz w:val="16"/>
          <w:szCs w:val="16"/>
        </w:rPr>
      </w:pPr>
      <w:r w:rsidRPr="00F90EAE">
        <w:rPr>
          <w:color w:val="000000" w:themeColor="text1"/>
          <w:sz w:val="16"/>
          <w:szCs w:val="16"/>
        </w:rPr>
        <w:t>На пути к Дрездену некоторые группы рассеялись из-за того, что попали в облака.</w:t>
      </w:r>
    </w:p>
    <w:p w14:paraId="19802532" w14:textId="77777777" w:rsidR="00206770" w:rsidRPr="00F90EAE" w:rsidRDefault="00206770" w:rsidP="00F90EAE">
      <w:pPr>
        <w:jc w:val="both"/>
        <w:rPr>
          <w:color w:val="000000" w:themeColor="text1"/>
          <w:sz w:val="16"/>
          <w:szCs w:val="16"/>
        </w:rPr>
      </w:pPr>
      <w:r w:rsidRPr="00F90EAE">
        <w:rPr>
          <w:color w:val="000000" w:themeColor="text1"/>
          <w:sz w:val="16"/>
          <w:szCs w:val="16"/>
        </w:rPr>
        <w:t>Слои облаков были и над соединением, и под ним. У Касселя бомбардировщики встретили сильный зенитный огонь, но попаданий в самолеты было мало.</w:t>
      </w:r>
    </w:p>
    <w:p w14:paraId="641FACAE" w14:textId="77777777" w:rsidR="00206770" w:rsidRPr="00F90EAE" w:rsidRDefault="00206770" w:rsidP="00F90EAE">
      <w:pPr>
        <w:jc w:val="both"/>
        <w:rPr>
          <w:color w:val="000000" w:themeColor="text1"/>
          <w:sz w:val="16"/>
          <w:szCs w:val="16"/>
        </w:rPr>
      </w:pPr>
      <w:r w:rsidRPr="00F90EAE">
        <w:rPr>
          <w:color w:val="000000" w:themeColor="text1"/>
          <w:sz w:val="16"/>
          <w:szCs w:val="16"/>
        </w:rPr>
        <w:t>Как и было запланировано, выйдя на контрольную точку в районе Тор</w:t>
      </w:r>
      <w:r w:rsidRPr="00F90EAE">
        <w:rPr>
          <w:color w:val="000000" w:themeColor="text1"/>
          <w:sz w:val="16"/>
          <w:szCs w:val="16"/>
        </w:rPr>
        <w:softHyphen/>
        <w:t>гау, американские бомбардировщики пошли боевым курсом вдоль Эльбы по направлению к Дрездену.</w:t>
      </w:r>
    </w:p>
    <w:p w14:paraId="2E306DEC" w14:textId="77777777" w:rsidR="00206770" w:rsidRPr="00F90EAE" w:rsidRDefault="00206770" w:rsidP="00F90EAE">
      <w:pPr>
        <w:jc w:val="both"/>
        <w:rPr>
          <w:color w:val="000000" w:themeColor="text1"/>
          <w:sz w:val="16"/>
          <w:szCs w:val="16"/>
        </w:rPr>
      </w:pPr>
      <w:r w:rsidRPr="00F90EAE">
        <w:rPr>
          <w:color w:val="000000" w:themeColor="text1"/>
          <w:sz w:val="16"/>
          <w:szCs w:val="16"/>
        </w:rPr>
        <w:t>В 12 ч. 12 мин. первые бомбы на</w:t>
      </w:r>
      <w:r w:rsidRPr="00F90EAE">
        <w:rPr>
          <w:color w:val="000000" w:themeColor="text1"/>
          <w:sz w:val="16"/>
          <w:szCs w:val="16"/>
        </w:rPr>
        <w:softHyphen/>
        <w:t>чали падать на город, в котором все еще бушевали пожары после прове</w:t>
      </w:r>
      <w:r w:rsidRPr="00F90EAE">
        <w:rPr>
          <w:color w:val="000000" w:themeColor="text1"/>
          <w:sz w:val="16"/>
          <w:szCs w:val="16"/>
        </w:rPr>
        <w:softHyphen/>
        <w:t>денного ночного налета Королевских ВВС. Один из бомбардиров докладывал: «Сплошной слой облачности подни</w:t>
      </w:r>
      <w:r w:rsidRPr="00F90EAE">
        <w:rPr>
          <w:color w:val="000000" w:themeColor="text1"/>
          <w:sz w:val="16"/>
          <w:szCs w:val="16"/>
        </w:rPr>
        <w:softHyphen/>
        <w:t>мался высоко, прямо под нами. Но постепенно он разрывался, и над Дрез</w:t>
      </w:r>
      <w:r w:rsidRPr="00F90EAE">
        <w:rPr>
          <w:color w:val="000000" w:themeColor="text1"/>
          <w:sz w:val="16"/>
          <w:szCs w:val="16"/>
        </w:rPr>
        <w:softHyphen/>
        <w:t>деном появились просветы.Зенитного огня в районе цели не было».</w:t>
      </w:r>
    </w:p>
    <w:p w14:paraId="12F5C0FE" w14:textId="77777777" w:rsidR="00206770" w:rsidRPr="00F90EAE" w:rsidRDefault="00206770" w:rsidP="00F90EAE">
      <w:pPr>
        <w:jc w:val="both"/>
        <w:rPr>
          <w:color w:val="000000" w:themeColor="text1"/>
          <w:sz w:val="16"/>
          <w:szCs w:val="16"/>
        </w:rPr>
      </w:pPr>
      <w:r w:rsidRPr="00F90EAE">
        <w:rPr>
          <w:color w:val="000000" w:themeColor="text1"/>
          <w:sz w:val="16"/>
          <w:szCs w:val="16"/>
        </w:rPr>
        <w:t>В общей сложности бомбардиров</w:t>
      </w:r>
      <w:r w:rsidRPr="00F90EAE">
        <w:rPr>
          <w:color w:val="000000" w:themeColor="text1"/>
          <w:sz w:val="16"/>
          <w:szCs w:val="16"/>
        </w:rPr>
        <w:softHyphen/>
        <w:t>щики В-17 сбросили 475 тонн фугасных и 296 тонн зажигательных бомб.</w:t>
      </w:r>
    </w:p>
    <w:p w14:paraId="78F983F9" w14:textId="77777777" w:rsidR="00206770" w:rsidRPr="00F90EAE" w:rsidRDefault="00206770" w:rsidP="00F90EAE">
      <w:pPr>
        <w:jc w:val="both"/>
        <w:rPr>
          <w:color w:val="000000" w:themeColor="text1"/>
          <w:sz w:val="16"/>
          <w:szCs w:val="16"/>
        </w:rPr>
      </w:pPr>
      <w:r w:rsidRPr="00F90EAE">
        <w:rPr>
          <w:color w:val="000000" w:themeColor="text1"/>
          <w:sz w:val="16"/>
          <w:szCs w:val="16"/>
        </w:rPr>
        <w:t>В 12 ч. 23 мин., после окончания бомбардировки, в атаку пошли «Мустанги». По свидетельствам очевидцев, большин</w:t>
      </w:r>
      <w:r w:rsidRPr="00F90EAE">
        <w:rPr>
          <w:color w:val="000000" w:themeColor="text1"/>
          <w:sz w:val="16"/>
          <w:szCs w:val="16"/>
        </w:rPr>
        <w:softHyphen/>
        <w:t>ство пилотов предпочитало проводить атаки вдоль берегов Эльбы. Остальные обстреливали транспортные средства на переполненных беженцами дорогах, ведущих из города. В донесении сообщалось, что один истребитель 55-й эскадри</w:t>
      </w:r>
      <w:r w:rsidRPr="00F90EAE">
        <w:rPr>
          <w:color w:val="000000" w:themeColor="text1"/>
          <w:sz w:val="16"/>
          <w:szCs w:val="16"/>
        </w:rPr>
        <w:softHyphen/>
        <w:t>льи летел так низко, что врезался в железнодорожный вагон и взорвался.</w:t>
      </w:r>
    </w:p>
    <w:p w14:paraId="1748CE09" w14:textId="77777777" w:rsidR="00206770" w:rsidRPr="00F90EAE" w:rsidRDefault="00206770" w:rsidP="00F90EAE">
      <w:pPr>
        <w:jc w:val="both"/>
        <w:rPr>
          <w:color w:val="000000" w:themeColor="text1"/>
          <w:sz w:val="16"/>
          <w:szCs w:val="16"/>
        </w:rPr>
      </w:pPr>
      <w:r w:rsidRPr="00F90EAE">
        <w:rPr>
          <w:color w:val="000000" w:themeColor="text1"/>
          <w:sz w:val="16"/>
          <w:szCs w:val="16"/>
        </w:rPr>
        <w:t>Как минимум одно американское подразделение из уча</w:t>
      </w:r>
      <w:r w:rsidRPr="00F90EAE">
        <w:rPr>
          <w:color w:val="000000" w:themeColor="text1"/>
          <w:sz w:val="16"/>
          <w:szCs w:val="16"/>
        </w:rPr>
        <w:softHyphen/>
        <w:t>ствовавших в бомбардировке Дрездена заблудилось. Про</w:t>
      </w:r>
      <w:r w:rsidRPr="00F90EAE">
        <w:rPr>
          <w:color w:val="000000" w:themeColor="text1"/>
          <w:sz w:val="16"/>
          <w:szCs w:val="16"/>
        </w:rPr>
        <w:softHyphen/>
        <w:t>летая сквозь облака, 398-я бомбардировочная авиагруппа сбилась с курса и ведущий штурман не смог определить свои координаты.</w:t>
      </w:r>
    </w:p>
    <w:p w14:paraId="5F14FC5F" w14:textId="77777777" w:rsidR="00206770" w:rsidRPr="00F90EAE" w:rsidRDefault="00206770" w:rsidP="00F90EAE">
      <w:pPr>
        <w:jc w:val="both"/>
        <w:rPr>
          <w:color w:val="000000" w:themeColor="text1"/>
          <w:sz w:val="16"/>
          <w:szCs w:val="16"/>
        </w:rPr>
      </w:pPr>
      <w:r w:rsidRPr="00F90EAE">
        <w:rPr>
          <w:color w:val="000000" w:themeColor="text1"/>
          <w:sz w:val="16"/>
          <w:szCs w:val="16"/>
        </w:rPr>
        <w:t>Бомбардировщики делали виражи, описывали круги, хо</w:t>
      </w:r>
      <w:r w:rsidRPr="00F90EAE">
        <w:rPr>
          <w:color w:val="000000" w:themeColor="text1"/>
          <w:sz w:val="16"/>
          <w:szCs w:val="16"/>
        </w:rPr>
        <w:softHyphen/>
        <w:t>дили «змейкой», что лишь усугубило ошибку. Наконец штурман с другого самолета обратился по радио к командиру подразде</w:t>
      </w:r>
      <w:r w:rsidRPr="00F90EAE">
        <w:rPr>
          <w:color w:val="000000" w:themeColor="text1"/>
          <w:sz w:val="16"/>
          <w:szCs w:val="16"/>
        </w:rPr>
        <w:softHyphen/>
        <w:t>ления, сообщив, что вместо контрольной точки над Торгау они вышли к Фрайбергу. Но это предположение было отвергнуто с приказанием соблюдать радиомолчание. В конце концов летчики увидели реку, которая, извиваясь, текла через круп</w:t>
      </w:r>
      <w:r w:rsidRPr="00F90EAE">
        <w:rPr>
          <w:color w:val="000000" w:themeColor="text1"/>
          <w:sz w:val="16"/>
          <w:szCs w:val="16"/>
        </w:rPr>
        <w:softHyphen/>
        <w:t>ный город. Ведущий бомбардир не смог опознать ни одного характерного элемента городской застройки, но бомбы при</w:t>
      </w:r>
      <w:r w:rsidRPr="00F90EAE">
        <w:rPr>
          <w:color w:val="000000" w:themeColor="text1"/>
          <w:sz w:val="16"/>
          <w:szCs w:val="16"/>
        </w:rPr>
        <w:softHyphen/>
        <w:t>казал сбросить. Впоследствии другие штурманы усомнились в расчетах ведущего и пришли к выводу, что четыре десятка их бомбардировщиков вместо Дрездена отбомбились по Праге.</w:t>
      </w:r>
    </w:p>
    <w:p w14:paraId="43229ED4" w14:textId="77777777" w:rsidR="00206770" w:rsidRPr="00F90EAE" w:rsidRDefault="00206770" w:rsidP="00F90EAE">
      <w:pPr>
        <w:jc w:val="both"/>
        <w:rPr>
          <w:color w:val="000000" w:themeColor="text1"/>
          <w:sz w:val="16"/>
          <w:szCs w:val="16"/>
        </w:rPr>
      </w:pPr>
      <w:r w:rsidRPr="00F90EAE">
        <w:rPr>
          <w:color w:val="000000" w:themeColor="text1"/>
          <w:sz w:val="16"/>
          <w:szCs w:val="16"/>
        </w:rPr>
        <w:t>Одновременно американцы бомбили город Хемниц. В этом налете принимало участие 295 самолетов, которые атаковали город и находившуюся в нем сортировочную стан цию, сбросив при этом 718 тонн бомб. Правда, из состава посланной на Хемниц Третьей авиационной дивизии многие подразделения не смогли определить цель. 34-я бомбарди</w:t>
      </w:r>
      <w:r w:rsidRPr="00F90EAE">
        <w:rPr>
          <w:color w:val="000000" w:themeColor="text1"/>
          <w:sz w:val="16"/>
          <w:szCs w:val="16"/>
        </w:rPr>
        <w:softHyphen/>
        <w:t>ровочная авиагруппа бомбила поселки Хоф и Зонненберг, а ведущий бомбардир 390-й группы вывел свое подразделе</w:t>
      </w:r>
      <w:r w:rsidRPr="00F90EAE">
        <w:rPr>
          <w:color w:val="000000" w:themeColor="text1"/>
          <w:sz w:val="16"/>
          <w:szCs w:val="16"/>
        </w:rPr>
        <w:softHyphen/>
        <w:t>ние на город Плауен и немецкий аэро</w:t>
      </w:r>
      <w:r w:rsidRPr="00F90EAE">
        <w:rPr>
          <w:color w:val="000000" w:themeColor="text1"/>
          <w:sz w:val="16"/>
          <w:szCs w:val="16"/>
        </w:rPr>
        <w:softHyphen/>
        <w:t>дром на территории Чехии. Туда и были сброшены бомбы.</w:t>
      </w:r>
    </w:p>
    <w:p w14:paraId="22340E73" w14:textId="77777777" w:rsidR="00206770" w:rsidRPr="00F90EAE" w:rsidRDefault="00206770" w:rsidP="00F90EAE">
      <w:pPr>
        <w:jc w:val="both"/>
        <w:rPr>
          <w:color w:val="000000" w:themeColor="text1"/>
          <w:sz w:val="16"/>
          <w:szCs w:val="16"/>
        </w:rPr>
      </w:pPr>
      <w:r w:rsidRPr="00F90EAE">
        <w:rPr>
          <w:color w:val="000000" w:themeColor="text1"/>
          <w:sz w:val="16"/>
          <w:szCs w:val="16"/>
        </w:rPr>
        <w:t>В тот день по разным оценкам в Дрездене погибло от 25 до более чем 100 тысяч мирных жителей (точных данных нет до сих пор, хотя указыва</w:t>
      </w:r>
      <w:r w:rsidRPr="00F90EAE">
        <w:rPr>
          <w:color w:val="000000" w:themeColor="text1"/>
          <w:sz w:val="16"/>
          <w:szCs w:val="16"/>
        </w:rPr>
        <w:softHyphen/>
        <w:t>лось, что 28 736 тел были захоронены на кладбище Хейдельфридхоф).</w:t>
      </w:r>
    </w:p>
    <w:p w14:paraId="421B06AD" w14:textId="77777777" w:rsidR="00206770" w:rsidRPr="00F90EAE" w:rsidRDefault="00206770" w:rsidP="00F90EAE">
      <w:pPr>
        <w:jc w:val="both"/>
        <w:rPr>
          <w:color w:val="000000" w:themeColor="text1"/>
          <w:sz w:val="16"/>
          <w:szCs w:val="16"/>
        </w:rPr>
      </w:pPr>
      <w:r w:rsidRPr="00F90EAE">
        <w:rPr>
          <w:color w:val="000000" w:themeColor="text1"/>
          <w:sz w:val="16"/>
          <w:szCs w:val="16"/>
        </w:rPr>
        <w:t>Что касается разрушений, то по бри</w:t>
      </w:r>
      <w:r w:rsidRPr="00F90EAE">
        <w:rPr>
          <w:color w:val="000000" w:themeColor="text1"/>
          <w:sz w:val="16"/>
          <w:szCs w:val="16"/>
        </w:rPr>
        <w:softHyphen/>
        <w:t>танским данным в городе было серьезно повреждено 23% зданий промышленного назначения и 56% зданий гражданского назначения. Британский отдел по изуче</w:t>
      </w:r>
      <w:r w:rsidRPr="00F90EAE">
        <w:rPr>
          <w:color w:val="000000" w:themeColor="text1"/>
          <w:sz w:val="16"/>
          <w:szCs w:val="16"/>
        </w:rPr>
        <w:softHyphen/>
        <w:t>нию результатов бомбардировок, осно</w:t>
      </w:r>
      <w:r w:rsidRPr="00F90EAE">
        <w:rPr>
          <w:color w:val="000000" w:themeColor="text1"/>
          <w:sz w:val="16"/>
          <w:szCs w:val="16"/>
        </w:rPr>
        <w:softHyphen/>
        <w:t>вываясь на аэрофотоснимках, посчитал, что разрушено 680 гектаров застроенной площади.</w:t>
      </w:r>
    </w:p>
    <w:p w14:paraId="21DBFDD5" w14:textId="77777777" w:rsidR="00206770" w:rsidRPr="00F90EAE" w:rsidRDefault="00206770" w:rsidP="00F90EAE">
      <w:pPr>
        <w:jc w:val="both"/>
        <w:rPr>
          <w:color w:val="000000" w:themeColor="text1"/>
          <w:sz w:val="16"/>
          <w:szCs w:val="16"/>
        </w:rPr>
      </w:pPr>
      <w:r w:rsidRPr="00F90EAE">
        <w:rPr>
          <w:color w:val="000000" w:themeColor="text1"/>
          <w:sz w:val="16"/>
          <w:szCs w:val="16"/>
        </w:rPr>
        <w:t>Уде после войны, в ноябре 1949 г., дрезденское Управление планирования завершило составление своего собст</w:t>
      </w:r>
      <w:r w:rsidRPr="00F90EAE">
        <w:rPr>
          <w:color w:val="000000" w:themeColor="text1"/>
          <w:sz w:val="16"/>
          <w:szCs w:val="16"/>
        </w:rPr>
        <w:softHyphen/>
        <w:t>венного перечня нанесенного городу ущерба. Согласно приведенным в нем данным, 1272 гектара площади города была разрушено более чем на 75%. Еще 421 гектар площади за пределами цен</w:t>
      </w:r>
      <w:r w:rsidRPr="00F90EAE">
        <w:rPr>
          <w:color w:val="000000" w:themeColor="text1"/>
          <w:sz w:val="16"/>
          <w:szCs w:val="16"/>
        </w:rPr>
        <w:softHyphen/>
        <w:t>тральной части Дрездена был разрушен более чем на 25%. Было установлено, что из 35 470 жилых домов Дрездена осталось неповрежденными только 7421. Из 220 тысяч квартир и частных домов 90 тысяч были разрушены или признаны полностью непригодными для жилья. 4 миллиона 750 тысяч квадратных метров жилой площади полностью уничтожено и 4 миллиона 540 тысяч квадратные метров повреждено.</w:t>
      </w:r>
    </w:p>
    <w:p w14:paraId="0FA585D6" w14:textId="77777777" w:rsidR="00206770" w:rsidRPr="00F90EAE" w:rsidRDefault="00206770" w:rsidP="00F90EAE">
      <w:pPr>
        <w:jc w:val="both"/>
        <w:rPr>
          <w:color w:val="000000" w:themeColor="text1"/>
          <w:sz w:val="16"/>
          <w:szCs w:val="16"/>
        </w:rPr>
      </w:pPr>
      <w:r w:rsidRPr="00F90EAE">
        <w:rPr>
          <w:color w:val="000000" w:themeColor="text1"/>
          <w:sz w:val="16"/>
          <w:szCs w:val="16"/>
        </w:rPr>
        <w:t>Немецкие статистики отличались особой скрупулезностью в подсчете ущерба от воздушных налетов, и они привели следующие цифры. В Мюнхене на каждого жителя пришлось по 6,5 кубометров каменных обломков, в Штутгарте - по 8,4 кубометра, в Берлине - по 12,5 кубометров, в Кёльне - по 31,2 кубометра, в то время как в Дрездене этот показатель со</w:t>
      </w:r>
      <w:r w:rsidRPr="00F90EAE">
        <w:rPr>
          <w:color w:val="000000" w:themeColor="text1"/>
          <w:sz w:val="16"/>
          <w:szCs w:val="16"/>
        </w:rPr>
        <w:softHyphen/>
        <w:t>ставил 42,5 кубометра, примерно по одиннадцать самосвалов на каждого жителя.</w:t>
      </w:r>
    </w:p>
    <w:p w14:paraId="5C0C11B9" w14:textId="77777777" w:rsidR="00206770" w:rsidRPr="00F90EAE" w:rsidRDefault="00206770" w:rsidP="00F90EAE">
      <w:pPr>
        <w:jc w:val="both"/>
        <w:rPr>
          <w:color w:val="000000" w:themeColor="text1"/>
          <w:sz w:val="16"/>
          <w:szCs w:val="16"/>
        </w:rPr>
      </w:pPr>
      <w:r w:rsidRPr="00F90EAE">
        <w:rPr>
          <w:color w:val="000000" w:themeColor="text1"/>
          <w:sz w:val="16"/>
          <w:szCs w:val="16"/>
        </w:rPr>
        <w:t>В донесении начальника полиции Дрездена фигуриро</w:t>
      </w:r>
      <w:r w:rsidRPr="00F90EAE">
        <w:rPr>
          <w:color w:val="000000" w:themeColor="text1"/>
          <w:sz w:val="16"/>
          <w:szCs w:val="16"/>
        </w:rPr>
        <w:softHyphen/>
        <w:t>вали более осязаемые цифры. К началу марта полковник Тириг насчитал 11 916 полностью разрушенных жилых домов (не квартир) и примерно столько же зданий оценивались как получившие тяжелые, серьезные и незначительные повре</w:t>
      </w:r>
      <w:r w:rsidRPr="00F90EAE">
        <w:rPr>
          <w:color w:val="000000" w:themeColor="text1"/>
          <w:sz w:val="16"/>
          <w:szCs w:val="16"/>
        </w:rPr>
        <w:softHyphen/>
        <w:t>ждения. В ходе бомбардировки были полностью уничтожены 24 здания банков и 26 зданий страховых компаний (в центре города были уничтожены все), 31 универмаг, 647 магазинов, 64 склада, два крытых рынка, 31 крупный отель, включая знаме</w:t>
      </w:r>
      <w:r w:rsidRPr="00F90EAE">
        <w:rPr>
          <w:color w:val="000000" w:themeColor="text1"/>
          <w:sz w:val="16"/>
          <w:szCs w:val="16"/>
        </w:rPr>
        <w:softHyphen/>
        <w:t>нитый «Бельвю» и 26 пивных баров. Был серьезно поврежден находившийся на Магдебургерштарссе крупнейший в Германии холодильник. Тяжелый ущерб был нанесен городскому мясопе</w:t>
      </w:r>
      <w:r w:rsidRPr="00F90EAE">
        <w:rPr>
          <w:color w:val="000000" w:themeColor="text1"/>
          <w:sz w:val="16"/>
          <w:szCs w:val="16"/>
        </w:rPr>
        <w:softHyphen/>
        <w:t>рерабатывающему заводу.</w:t>
      </w:r>
    </w:p>
    <w:p w14:paraId="5610BBC6" w14:textId="77777777" w:rsidR="00206770" w:rsidRPr="00F90EAE" w:rsidRDefault="00206770" w:rsidP="00F90EAE">
      <w:pPr>
        <w:jc w:val="both"/>
        <w:rPr>
          <w:color w:val="000000" w:themeColor="text1"/>
          <w:sz w:val="16"/>
          <w:szCs w:val="16"/>
        </w:rPr>
      </w:pPr>
      <w:r w:rsidRPr="00F90EAE">
        <w:rPr>
          <w:color w:val="000000" w:themeColor="text1"/>
          <w:sz w:val="16"/>
          <w:szCs w:val="16"/>
        </w:rPr>
        <w:t>Также были разрушены бесценные памятники архитектуры. Среди них три дворца, старая ратуша, знаменитый Цвингер, Новая художественная галерея и знаменитая на весь мир худо</w:t>
      </w:r>
      <w:r w:rsidRPr="00F90EAE">
        <w:rPr>
          <w:color w:val="000000" w:themeColor="text1"/>
          <w:sz w:val="16"/>
          <w:szCs w:val="16"/>
        </w:rPr>
        <w:softHyphen/>
        <w:t>жественная галерея Зеленые Своды, четыре музея, Академия художеств.</w:t>
      </w:r>
    </w:p>
    <w:p w14:paraId="5B008567" w14:textId="77777777" w:rsidR="00206770" w:rsidRPr="00F90EAE" w:rsidRDefault="00206770" w:rsidP="00F90EAE">
      <w:pPr>
        <w:jc w:val="both"/>
        <w:rPr>
          <w:color w:val="000000" w:themeColor="text1"/>
          <w:sz w:val="16"/>
          <w:szCs w:val="16"/>
        </w:rPr>
      </w:pPr>
      <w:r w:rsidRPr="00F90EAE">
        <w:rPr>
          <w:color w:val="000000" w:themeColor="text1"/>
          <w:sz w:val="16"/>
          <w:szCs w:val="16"/>
        </w:rPr>
        <w:t>Как уже говорилось, в Дрездене не было ни военных объек</w:t>
      </w:r>
      <w:r w:rsidRPr="00F90EAE">
        <w:rPr>
          <w:color w:val="000000" w:themeColor="text1"/>
          <w:sz w:val="16"/>
          <w:szCs w:val="16"/>
        </w:rPr>
        <w:softHyphen/>
        <w:t>тов, ни крупных военных предприятий. Небольшие предприятие пострадали сравнительно мало, что еще раз показывает, что целью бомбардировок союзников было мирное население, а не какие-то военные или промышленные объекты. Из крупных промышленных предприятий серьезный ущерб был нанесен только заводу по производству оптических приборов «Цейс- Икон», который располагался всего лишь в пяти километрах к востоку от центра города.</w:t>
      </w:r>
    </w:p>
    <w:p w14:paraId="3E0A9E87" w14:textId="77777777" w:rsidR="00206770" w:rsidRPr="00F90EAE" w:rsidRDefault="00206770" w:rsidP="00F90EAE">
      <w:pPr>
        <w:jc w:val="both"/>
        <w:rPr>
          <w:color w:val="000000" w:themeColor="text1"/>
          <w:sz w:val="16"/>
          <w:szCs w:val="16"/>
        </w:rPr>
      </w:pPr>
      <w:r w:rsidRPr="00F90EAE">
        <w:rPr>
          <w:color w:val="000000" w:themeColor="text1"/>
          <w:sz w:val="16"/>
          <w:szCs w:val="16"/>
        </w:rPr>
        <w:t>Ни одно предприятие не было разрушено полностью.</w:t>
      </w:r>
    </w:p>
    <w:p w14:paraId="38708047" w14:textId="77777777" w:rsidR="00206770" w:rsidRPr="00F90EAE" w:rsidRDefault="00206770" w:rsidP="00F90EAE">
      <w:pPr>
        <w:jc w:val="both"/>
        <w:rPr>
          <w:color w:val="000000" w:themeColor="text1"/>
          <w:sz w:val="16"/>
          <w:szCs w:val="16"/>
        </w:rPr>
      </w:pPr>
      <w:r w:rsidRPr="00F90EAE">
        <w:rPr>
          <w:color w:val="000000" w:themeColor="text1"/>
          <w:sz w:val="16"/>
          <w:szCs w:val="16"/>
        </w:rPr>
        <w:t>Два завода фирмы по производству комплектующих для электронного оборудования, располагавшиеся в районах Ни- дерзедлитц (8 километров к юго-востоку от центра) и Радеберг (14,5 километров к северо-востоку), избежали попадания фу</w:t>
      </w:r>
      <w:r w:rsidRPr="00F90EAE">
        <w:rPr>
          <w:color w:val="000000" w:themeColor="text1"/>
          <w:sz w:val="16"/>
          <w:szCs w:val="16"/>
        </w:rPr>
        <w:softHyphen/>
        <w:t>гасных бомб. На завод в Нидрезедлитце случайно упало не</w:t>
      </w:r>
      <w:r w:rsidRPr="00F90EAE">
        <w:rPr>
          <w:color w:val="000000" w:themeColor="text1"/>
          <w:sz w:val="16"/>
          <w:szCs w:val="16"/>
        </w:rPr>
        <w:softHyphen/>
        <w:t>сколько зажигательных бомб, с которыми справились заводские пожарные. Было разбито несколько окон. Примечательно, что единственное предприятие в Дрездене, которое строилось с учетом вероятности воздушных налетов, завод по производству снарядных взрывателей в Нойштадте, не пострадал вообще.</w:t>
      </w:r>
    </w:p>
    <w:p w14:paraId="4EF5F876" w14:textId="77777777" w:rsidR="00206770" w:rsidRPr="00F90EAE" w:rsidRDefault="00206770" w:rsidP="00F90EAE">
      <w:pPr>
        <w:jc w:val="both"/>
        <w:rPr>
          <w:color w:val="000000" w:themeColor="text1"/>
          <w:sz w:val="16"/>
          <w:szCs w:val="16"/>
        </w:rPr>
      </w:pPr>
      <w:r w:rsidRPr="00F90EAE">
        <w:rPr>
          <w:color w:val="000000" w:themeColor="text1"/>
          <w:sz w:val="16"/>
          <w:szCs w:val="16"/>
        </w:rPr>
        <w:t>Итоговый доклад начальника полиции Дрездена говорил о том, что мосты не были выведены из строя. Пострадали ав</w:t>
      </w:r>
      <w:r w:rsidRPr="00F90EAE">
        <w:rPr>
          <w:color w:val="000000" w:themeColor="text1"/>
          <w:sz w:val="16"/>
          <w:szCs w:val="16"/>
        </w:rPr>
        <w:softHyphen/>
        <w:t>тодорожные мосты Августа, Карола, Лохвитц и Носсен, так же как и железнодорожный мост Мариенбрюк. Но из них только мост Августа был поврежден в такой степени, что к марту 1945 г. был еще закрыт.</w:t>
      </w:r>
    </w:p>
    <w:p w14:paraId="4D49AA72" w14:textId="77777777" w:rsidR="00206770" w:rsidRPr="00F90EAE" w:rsidRDefault="00206770" w:rsidP="00F90EAE">
      <w:pPr>
        <w:jc w:val="both"/>
        <w:rPr>
          <w:color w:val="000000" w:themeColor="text1"/>
          <w:sz w:val="16"/>
          <w:szCs w:val="16"/>
        </w:rPr>
      </w:pPr>
      <w:r w:rsidRPr="00F90EAE">
        <w:rPr>
          <w:color w:val="000000" w:themeColor="text1"/>
          <w:sz w:val="16"/>
          <w:szCs w:val="16"/>
        </w:rPr>
        <w:t>То же самое касалось и проходивших через город железных дорог. По утверждению начальника полиции Дрездена пере</w:t>
      </w:r>
      <w:r w:rsidRPr="00F90EAE">
        <w:rPr>
          <w:color w:val="000000" w:themeColor="text1"/>
          <w:sz w:val="16"/>
          <w:szCs w:val="16"/>
        </w:rPr>
        <w:softHyphen/>
        <w:t>возки по железным дорогам (официальная цель налетов) почти не пострадали. Движение на несколько дней было приостановлено, но к концу февраля поезда снова шли через город. В опубликованной через несколько лет в ГДР «Истории разрушения и восстановления Дрездена» утверждалось, что «железно</w:t>
      </w:r>
      <w:r w:rsidRPr="00F90EAE">
        <w:rPr>
          <w:color w:val="000000" w:themeColor="text1"/>
          <w:sz w:val="16"/>
          <w:szCs w:val="16"/>
        </w:rPr>
        <w:softHyphen/>
        <w:t xml:space="preserve">дорожные линии не подверглись серьезным разрушениям. Аварийные службы смогли восстановить их так быстро, что не возникло никакой существенной дезорганизации движения». В отличие от памятников культуры и Старого города, в целом транспортные сооружения не были разрушены. Нанесенный им ущерб оказался сравнительно небольшим и, таким образом, движение в </w:t>
      </w:r>
      <w:r w:rsidRPr="00F90EAE">
        <w:rPr>
          <w:color w:val="000000" w:themeColor="text1"/>
          <w:sz w:val="16"/>
          <w:szCs w:val="16"/>
        </w:rPr>
        <w:lastRenderedPageBreak/>
        <w:t>Дрездене и из него на самом деле не прерывалось. Например, железнодорожные линии у центрального вокзала расчистили за несколько часов. К 15 февраля через Дрезден- Нойштадт пошли регулярные поезда.</w:t>
      </w:r>
    </w:p>
    <w:p w14:paraId="1E1CC09E" w14:textId="77777777" w:rsidR="00206770" w:rsidRPr="00F90EAE" w:rsidRDefault="00206770" w:rsidP="00F90EAE">
      <w:pPr>
        <w:jc w:val="both"/>
        <w:rPr>
          <w:color w:val="000000" w:themeColor="text1"/>
          <w:sz w:val="16"/>
          <w:szCs w:val="16"/>
        </w:rPr>
      </w:pPr>
      <w:r w:rsidRPr="00F90EAE">
        <w:rPr>
          <w:color w:val="000000" w:themeColor="text1"/>
          <w:sz w:val="16"/>
          <w:szCs w:val="16"/>
        </w:rPr>
        <w:t>Психологическое же воздействие на германский народ от уничтожения Дрездена оказалось совсем иным, чем думали в Лондоне и Вашингтоне. Оно не парализовало волю к сопротив</w:t>
      </w:r>
      <w:r w:rsidRPr="00F90EAE">
        <w:rPr>
          <w:color w:val="000000" w:themeColor="text1"/>
          <w:sz w:val="16"/>
          <w:szCs w:val="16"/>
        </w:rPr>
        <w:softHyphen/>
        <w:t>лению, а наоборот, вызвало всплеск ненависти к англосаксам (19735).</w:t>
      </w:r>
    </w:p>
    <w:p w14:paraId="501621C6" w14:textId="77777777" w:rsidR="00206770" w:rsidRPr="00F90EAE" w:rsidRDefault="00206770" w:rsidP="00F90EAE">
      <w:pPr>
        <w:jc w:val="both"/>
        <w:rPr>
          <w:color w:val="000000" w:themeColor="text1"/>
          <w:sz w:val="16"/>
          <w:szCs w:val="16"/>
        </w:rPr>
      </w:pPr>
    </w:p>
    <w:p w14:paraId="7C1A8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"13/14 февраля 1945 г. - задание 2, 18.00-20.00. Около 19.10 между Раштаттом и Бишвилером неожиданно встретился с огнями на высоте 3000 футов (914 м), повернул к ним, один ушел вниз, другой пошел прямо вверх, а затем исчез. Возвращаясь на базу, оглянулся и снова увидел огни на исходной позиции" (11602).</w:t>
      </w:r>
    </w:p>
    <w:p w14:paraId="1FE6B370" w14:textId="77777777" w:rsidR="00665165" w:rsidRPr="00F90EAE" w:rsidRDefault="00665165" w:rsidP="00F90EAE">
      <w:pPr>
        <w:autoSpaceDE w:val="0"/>
        <w:autoSpaceDN w:val="0"/>
        <w:adjustRightInd w:val="0"/>
        <w:jc w:val="both"/>
        <w:rPr>
          <w:color w:val="000000" w:themeColor="text1"/>
          <w:sz w:val="16"/>
          <w:szCs w:val="16"/>
        </w:rPr>
      </w:pPr>
    </w:p>
    <w:p w14:paraId="707EA2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52C3DDF" w14:textId="77777777" w:rsidR="00665165" w:rsidRPr="00F90EAE" w:rsidRDefault="00665165" w:rsidP="00F90EAE">
      <w:pPr>
        <w:autoSpaceDE w:val="0"/>
        <w:autoSpaceDN w:val="0"/>
        <w:adjustRightInd w:val="0"/>
        <w:jc w:val="both"/>
        <w:rPr>
          <w:iCs/>
          <w:color w:val="000000" w:themeColor="text1"/>
          <w:sz w:val="16"/>
          <w:szCs w:val="16"/>
        </w:rPr>
      </w:pPr>
    </w:p>
    <w:p w14:paraId="4D4E71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года и.о. начальника инспекции при наркоме Калмыков писал письмо N 883 Шахурину.</w:t>
      </w:r>
    </w:p>
    <w:p w14:paraId="555790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Докладная записка</w:t>
      </w:r>
    </w:p>
    <w:p w14:paraId="1B42F2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вопросу выполнения приказа N 444сс от 20.VII-44 г.</w:t>
      </w:r>
    </w:p>
    <w:p w14:paraId="725379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 постройке улучшенного самолета Ту-2 с моторами АШ-83ФН.</w:t>
      </w:r>
    </w:p>
    <w:p w14:paraId="0773B7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Наркомавиапрома N 444сс от 25.VII-44 г. обязывались:</w:t>
      </w:r>
    </w:p>
    <w:p w14:paraId="7D633F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Гл. конструктор Туполев - построить и сдать на летные испытания к 15/XI-44 г. улучшенный самолет Ту-2 с моторами АШ-83ФН с повышенной скоростью до 600 км/час, внеся в него необходимые аэродинамические и конструктивные изменения, согласно приложению к приказу;</w:t>
      </w:r>
    </w:p>
    <w:p w14:paraId="6392C9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Директор з-да N 29 Борисов и гл. конструктор Швецов - отгрузить з-ду N 156 два мотора АШ-83ФН с редукцией 9/16 к 25/VIII-44 г. и два мотора к 15.IX-44 г.</w:t>
      </w:r>
    </w:p>
    <w:p w14:paraId="113D98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Проверкой установлено:</w:t>
      </w:r>
    </w:p>
    <w:p w14:paraId="03215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Ту-2 с моторами АШ-83ФН на летные испытания не предъявлен.</w:t>
      </w:r>
    </w:p>
    <w:p w14:paraId="317638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целью быстрейшего внедрения в серийный самолет Ту-2 конструктивных и аэродинамических изменений, улучшающих боевые и эксплуатационные качества и получения летных данных самолета Ту-2 с моторами АШ-83ФН, гл. конструктором завода N 156 Туполевым было принято решение вести работы по постройке улучшенного самолета Ту-2 на два этапа:</w:t>
      </w:r>
    </w:p>
    <w:p w14:paraId="1F567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Модифицировать серийный самолет Ту-2 производства з-да N 23 с заменой моторов АШ-82ФН на моторы АШ-83ФН и внесением конструктивных и аэродинамических улучшений, согласно рекомендациям ЦАГИ и изменениям, указанным в приказе;</w:t>
      </w:r>
    </w:p>
    <w:p w14:paraId="5319C1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Производить постройку на заводе N 23 улучшенного серийного самолета Ту-2, включающего замену моторов, улучшение аэродинамики, а также конструктивные изменения, упрощающие его конструкцию наряду с внедрением всех изменений в серийное производство.</w:t>
      </w:r>
    </w:p>
    <w:p w14:paraId="1E2958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Состояние работ:</w:t>
      </w:r>
    </w:p>
    <w:p w14:paraId="333065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N 156</w:t>
      </w:r>
    </w:p>
    <w:p w14:paraId="62ACAE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серийном самолете Ту-2 (N 716) внесены конструктивные изменения и аэродинамические улучшения, согласно рекомендациям ЦАГИ и изменениям, указанным в приказе N 444сс.</w:t>
      </w:r>
    </w:p>
    <w:p w14:paraId="15A47E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самолету закончены, за исключением монтажа винтомоторной группы, которые задерживаются из-за непоставки заводом N 29 моторов АШ-83ФН с редукцией 9/16, срок по приказу был - два мотора к 25.VIII и два к 15.IX-44 г.</w:t>
      </w:r>
    </w:p>
    <w:p w14:paraId="62998E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N 23</w:t>
      </w:r>
    </w:p>
    <w:p w14:paraId="3806F7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Постройка серийного улучшенного самолета Ту-2 на 10.II-45 г. находится в следующем состоянии: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686"/>
        <w:gridCol w:w="4252"/>
      </w:tblGrid>
      <w:tr w:rsidR="00561F31" w:rsidRPr="00F90EAE" w14:paraId="0BFDA60D" w14:textId="77777777">
        <w:tc>
          <w:tcPr>
            <w:tcW w:w="2518" w:type="dxa"/>
          </w:tcPr>
          <w:p w14:paraId="7E54C4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агрегата</w:t>
            </w:r>
          </w:p>
        </w:tc>
        <w:tc>
          <w:tcPr>
            <w:tcW w:w="3686" w:type="dxa"/>
          </w:tcPr>
          <w:p w14:paraId="150B02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Состояние работ по агрегатам</w:t>
            </w:r>
          </w:p>
        </w:tc>
        <w:tc>
          <w:tcPr>
            <w:tcW w:w="4252" w:type="dxa"/>
          </w:tcPr>
          <w:p w14:paraId="62665C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Фактич.</w:t>
            </w:r>
          </w:p>
        </w:tc>
      </w:tr>
      <w:tr w:rsidR="00561F31" w:rsidRPr="00F90EAE" w14:paraId="45F568C8" w14:textId="77777777">
        <w:tc>
          <w:tcPr>
            <w:tcW w:w="2518" w:type="dxa"/>
          </w:tcPr>
          <w:p w14:paraId="1CD7EE5B"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22DFE4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Технич.</w:t>
            </w:r>
          </w:p>
        </w:tc>
        <w:tc>
          <w:tcPr>
            <w:tcW w:w="4252" w:type="dxa"/>
          </w:tcPr>
          <w:p w14:paraId="0245AC7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0301EE5" w14:textId="77777777">
        <w:tc>
          <w:tcPr>
            <w:tcW w:w="2518" w:type="dxa"/>
          </w:tcPr>
          <w:p w14:paraId="72C1928D"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07203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Готовность</w:t>
            </w:r>
          </w:p>
        </w:tc>
        <w:tc>
          <w:tcPr>
            <w:tcW w:w="4252" w:type="dxa"/>
          </w:tcPr>
          <w:p w14:paraId="78F23D8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F8AAADF" w14:textId="77777777">
        <w:tc>
          <w:tcPr>
            <w:tcW w:w="2518" w:type="dxa"/>
          </w:tcPr>
          <w:p w14:paraId="511DF48F"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053BE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10.II-45</w:t>
            </w:r>
          </w:p>
        </w:tc>
        <w:tc>
          <w:tcPr>
            <w:tcW w:w="4252" w:type="dxa"/>
          </w:tcPr>
          <w:p w14:paraId="6575B41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45CF435" w14:textId="77777777">
        <w:tc>
          <w:tcPr>
            <w:tcW w:w="2518" w:type="dxa"/>
          </w:tcPr>
          <w:p w14:paraId="35CA2905"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27946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w:t>
            </w:r>
          </w:p>
        </w:tc>
        <w:tc>
          <w:tcPr>
            <w:tcW w:w="4252" w:type="dxa"/>
          </w:tcPr>
          <w:p w14:paraId="04985E0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1A0C861" w14:textId="77777777">
        <w:tc>
          <w:tcPr>
            <w:tcW w:w="2518" w:type="dxa"/>
          </w:tcPr>
          <w:p w14:paraId="5D118D23"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056069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ориентиров.</w:t>
            </w:r>
          </w:p>
        </w:tc>
        <w:tc>
          <w:tcPr>
            <w:tcW w:w="4252" w:type="dxa"/>
          </w:tcPr>
          <w:p w14:paraId="5EBD5CD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534908A" w14:textId="77777777">
        <w:tc>
          <w:tcPr>
            <w:tcW w:w="2518" w:type="dxa"/>
          </w:tcPr>
          <w:p w14:paraId="303404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Фюзеляж</w:t>
            </w:r>
          </w:p>
        </w:tc>
        <w:tc>
          <w:tcPr>
            <w:tcW w:w="3686" w:type="dxa"/>
          </w:tcPr>
          <w:p w14:paraId="56943B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Закончена оснастка, производится</w:t>
            </w:r>
          </w:p>
        </w:tc>
        <w:tc>
          <w:tcPr>
            <w:tcW w:w="4252" w:type="dxa"/>
          </w:tcPr>
          <w:p w14:paraId="0FC35F8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0DCA0B" w14:textId="77777777">
        <w:tc>
          <w:tcPr>
            <w:tcW w:w="2518" w:type="dxa"/>
          </w:tcPr>
          <w:p w14:paraId="5C99D772"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14EB1E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заготовка деталей</w:t>
            </w:r>
          </w:p>
        </w:tc>
        <w:tc>
          <w:tcPr>
            <w:tcW w:w="4252" w:type="dxa"/>
          </w:tcPr>
          <w:p w14:paraId="1AEC0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r>
      <w:tr w:rsidR="00561F31" w:rsidRPr="00F90EAE" w14:paraId="3C47015F" w14:textId="77777777">
        <w:tc>
          <w:tcPr>
            <w:tcW w:w="2518" w:type="dxa"/>
          </w:tcPr>
          <w:p w14:paraId="450CEC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Крыло</w:t>
            </w:r>
          </w:p>
        </w:tc>
        <w:tc>
          <w:tcPr>
            <w:tcW w:w="3686" w:type="dxa"/>
          </w:tcPr>
          <w:p w14:paraId="1BD5E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Изготовлено 3 комплекта. Одно крыло</w:t>
            </w:r>
          </w:p>
        </w:tc>
        <w:tc>
          <w:tcPr>
            <w:tcW w:w="4252" w:type="dxa"/>
          </w:tcPr>
          <w:p w14:paraId="791F2E7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99E4C66" w14:textId="77777777">
        <w:tc>
          <w:tcPr>
            <w:tcW w:w="2518" w:type="dxa"/>
          </w:tcPr>
          <w:p w14:paraId="0B0C6784"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75EBE9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передано на стат. испытания.</w:t>
            </w:r>
          </w:p>
        </w:tc>
        <w:tc>
          <w:tcPr>
            <w:tcW w:w="4252" w:type="dxa"/>
          </w:tcPr>
          <w:p w14:paraId="767535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r>
      <w:tr w:rsidR="00561F31" w:rsidRPr="00F90EAE" w14:paraId="66CED782" w14:textId="77777777">
        <w:tc>
          <w:tcPr>
            <w:tcW w:w="2518" w:type="dxa"/>
          </w:tcPr>
          <w:p w14:paraId="18E5A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Шасси</w:t>
            </w:r>
          </w:p>
        </w:tc>
        <w:tc>
          <w:tcPr>
            <w:tcW w:w="3686" w:type="dxa"/>
          </w:tcPr>
          <w:p w14:paraId="3CF0D5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Изготовлено.</w:t>
            </w:r>
          </w:p>
        </w:tc>
        <w:tc>
          <w:tcPr>
            <w:tcW w:w="4252" w:type="dxa"/>
          </w:tcPr>
          <w:p w14:paraId="7E498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r>
      <w:tr w:rsidR="00561F31" w:rsidRPr="00F90EAE" w14:paraId="60E26FF3" w14:textId="77777777">
        <w:tc>
          <w:tcPr>
            <w:tcW w:w="2518" w:type="dxa"/>
          </w:tcPr>
          <w:p w14:paraId="282E8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самолетом</w:t>
            </w:r>
          </w:p>
        </w:tc>
        <w:tc>
          <w:tcPr>
            <w:tcW w:w="3686" w:type="dxa"/>
          </w:tcPr>
          <w:p w14:paraId="1BE0E7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Изготовлено.</w:t>
            </w:r>
          </w:p>
        </w:tc>
        <w:tc>
          <w:tcPr>
            <w:tcW w:w="4252" w:type="dxa"/>
          </w:tcPr>
          <w:p w14:paraId="1E208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r>
      <w:tr w:rsidR="00561F31" w:rsidRPr="00F90EAE" w14:paraId="05F48F0B" w14:textId="77777777">
        <w:tc>
          <w:tcPr>
            <w:tcW w:w="2518" w:type="dxa"/>
          </w:tcPr>
          <w:p w14:paraId="69EDA8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Центроплан</w:t>
            </w:r>
          </w:p>
        </w:tc>
        <w:tc>
          <w:tcPr>
            <w:tcW w:w="3686" w:type="dxa"/>
          </w:tcPr>
          <w:p w14:paraId="5D718D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Изготовлены шаблоны. Дорабатываются</w:t>
            </w:r>
          </w:p>
        </w:tc>
        <w:tc>
          <w:tcPr>
            <w:tcW w:w="4252" w:type="dxa"/>
          </w:tcPr>
          <w:p w14:paraId="683CF79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B833ECB" w14:textId="77777777">
        <w:tc>
          <w:tcPr>
            <w:tcW w:w="2518" w:type="dxa"/>
          </w:tcPr>
          <w:p w14:paraId="12204B47"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7BF49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приспособления, изготовляются детали.</w:t>
            </w:r>
          </w:p>
        </w:tc>
        <w:tc>
          <w:tcPr>
            <w:tcW w:w="4252" w:type="dxa"/>
          </w:tcPr>
          <w:p w14:paraId="70864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r>
      <w:tr w:rsidR="00561F31" w:rsidRPr="00F90EAE" w14:paraId="32E88D07" w14:textId="77777777">
        <w:tc>
          <w:tcPr>
            <w:tcW w:w="2518" w:type="dxa"/>
          </w:tcPr>
          <w:p w14:paraId="250CD6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Моторама</w:t>
            </w:r>
          </w:p>
        </w:tc>
        <w:tc>
          <w:tcPr>
            <w:tcW w:w="3686" w:type="dxa"/>
          </w:tcPr>
          <w:p w14:paraId="788EB8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Заготовка деталей закончена. Сборка</w:t>
            </w:r>
          </w:p>
        </w:tc>
        <w:tc>
          <w:tcPr>
            <w:tcW w:w="4252" w:type="dxa"/>
          </w:tcPr>
          <w:p w14:paraId="1643678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1D589A3" w14:textId="77777777">
        <w:tc>
          <w:tcPr>
            <w:tcW w:w="2518" w:type="dxa"/>
          </w:tcPr>
          <w:p w14:paraId="1E77023D"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569D96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задерживается из-за неготовности</w:t>
            </w:r>
          </w:p>
        </w:tc>
        <w:tc>
          <w:tcPr>
            <w:tcW w:w="4252" w:type="dxa"/>
          </w:tcPr>
          <w:p w14:paraId="76A6A35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25F573" w14:textId="77777777">
        <w:tc>
          <w:tcPr>
            <w:tcW w:w="2518" w:type="dxa"/>
          </w:tcPr>
          <w:p w14:paraId="280E193E"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3FEB30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стапеля (готовность 40%).</w:t>
            </w:r>
          </w:p>
        </w:tc>
        <w:tc>
          <w:tcPr>
            <w:tcW w:w="4252" w:type="dxa"/>
          </w:tcPr>
          <w:p w14:paraId="3CA006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r>
      <w:tr w:rsidR="00561F31" w:rsidRPr="00F90EAE" w14:paraId="53AB1F2D" w14:textId="77777777">
        <w:tc>
          <w:tcPr>
            <w:tcW w:w="2518" w:type="dxa"/>
          </w:tcPr>
          <w:p w14:paraId="654629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(АНО, ЭРО,</w:t>
            </w:r>
          </w:p>
        </w:tc>
        <w:tc>
          <w:tcPr>
            <w:tcW w:w="3686" w:type="dxa"/>
          </w:tcPr>
          <w:p w14:paraId="4FAA3C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Идет заготовка деталей.</w:t>
            </w:r>
          </w:p>
        </w:tc>
        <w:tc>
          <w:tcPr>
            <w:tcW w:w="4252" w:type="dxa"/>
          </w:tcPr>
          <w:p w14:paraId="50EDF3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r>
      <w:tr w:rsidR="00561F31" w:rsidRPr="00F90EAE" w14:paraId="68E9FC38" w14:textId="77777777">
        <w:tc>
          <w:tcPr>
            <w:tcW w:w="2518" w:type="dxa"/>
          </w:tcPr>
          <w:p w14:paraId="66D7D2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и</w:t>
            </w:r>
          </w:p>
        </w:tc>
        <w:tc>
          <w:tcPr>
            <w:tcW w:w="3686" w:type="dxa"/>
          </w:tcPr>
          <w:p w14:paraId="00B600FC" w14:textId="77777777" w:rsidR="00665165" w:rsidRPr="00F90EAE" w:rsidRDefault="00665165" w:rsidP="00F90EAE">
            <w:pPr>
              <w:autoSpaceDE w:val="0"/>
              <w:autoSpaceDN w:val="0"/>
              <w:adjustRightInd w:val="0"/>
              <w:jc w:val="both"/>
              <w:rPr>
                <w:color w:val="000000" w:themeColor="text1"/>
                <w:sz w:val="16"/>
                <w:szCs w:val="16"/>
              </w:rPr>
            </w:pPr>
          </w:p>
        </w:tc>
        <w:tc>
          <w:tcPr>
            <w:tcW w:w="4252" w:type="dxa"/>
          </w:tcPr>
          <w:p w14:paraId="6150842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EDA3935" w14:textId="77777777">
        <w:tc>
          <w:tcPr>
            <w:tcW w:w="2518" w:type="dxa"/>
          </w:tcPr>
          <w:p w14:paraId="737DD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гидрооборудование)</w:t>
            </w:r>
          </w:p>
        </w:tc>
        <w:tc>
          <w:tcPr>
            <w:tcW w:w="3686" w:type="dxa"/>
          </w:tcPr>
          <w:p w14:paraId="3E90DE6A" w14:textId="77777777" w:rsidR="00665165" w:rsidRPr="00F90EAE" w:rsidRDefault="00665165" w:rsidP="00F90EAE">
            <w:pPr>
              <w:autoSpaceDE w:val="0"/>
              <w:autoSpaceDN w:val="0"/>
              <w:adjustRightInd w:val="0"/>
              <w:jc w:val="both"/>
              <w:rPr>
                <w:color w:val="000000" w:themeColor="text1"/>
                <w:sz w:val="16"/>
                <w:szCs w:val="16"/>
              </w:rPr>
            </w:pPr>
          </w:p>
        </w:tc>
        <w:tc>
          <w:tcPr>
            <w:tcW w:w="4252" w:type="dxa"/>
          </w:tcPr>
          <w:p w14:paraId="56B1677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EBB8CED" w14:textId="77777777">
        <w:tc>
          <w:tcPr>
            <w:tcW w:w="2518" w:type="dxa"/>
          </w:tcPr>
          <w:p w14:paraId="44D19A51" w14:textId="77777777" w:rsidR="00665165" w:rsidRPr="00F90EAE" w:rsidRDefault="00665165" w:rsidP="00F90EAE">
            <w:pPr>
              <w:autoSpaceDE w:val="0"/>
              <w:autoSpaceDN w:val="0"/>
              <w:adjustRightInd w:val="0"/>
              <w:jc w:val="both"/>
              <w:rPr>
                <w:color w:val="000000" w:themeColor="text1"/>
                <w:sz w:val="16"/>
                <w:szCs w:val="16"/>
              </w:rPr>
            </w:pPr>
          </w:p>
        </w:tc>
        <w:tc>
          <w:tcPr>
            <w:tcW w:w="3686" w:type="dxa"/>
          </w:tcPr>
          <w:p w14:paraId="3819F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самолету</w:t>
            </w:r>
          </w:p>
        </w:tc>
        <w:tc>
          <w:tcPr>
            <w:tcW w:w="4252" w:type="dxa"/>
          </w:tcPr>
          <w:p w14:paraId="58137D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r>
    </w:tbl>
    <w:p w14:paraId="7C1A4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Выводы:</w:t>
      </w:r>
    </w:p>
    <w:p w14:paraId="18217C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 Наркомавиапрома N 444сс от 20/VII-44 г. о выпуске улучшенного самолета Ту-2 с моторами АШ-83ФН в срок не выполнен.</w:t>
      </w:r>
    </w:p>
    <w:p w14:paraId="579EC3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Отсутствие моторов АШ-83ФН не дает возможности полностью закончить постройку самолета Ту с моторами АШ-83ФН на з-де N 156 и задерживает разворот работ на заводе N 23 (2592,225).</w:t>
      </w:r>
    </w:p>
    <w:p w14:paraId="00B9F645" w14:textId="77777777" w:rsidR="00665165" w:rsidRPr="00F90EAE" w:rsidRDefault="00665165" w:rsidP="00F90EAE">
      <w:pPr>
        <w:autoSpaceDE w:val="0"/>
        <w:autoSpaceDN w:val="0"/>
        <w:adjustRightInd w:val="0"/>
        <w:jc w:val="both"/>
        <w:rPr>
          <w:color w:val="000000" w:themeColor="text1"/>
          <w:sz w:val="16"/>
          <w:szCs w:val="16"/>
        </w:rPr>
      </w:pPr>
    </w:p>
    <w:p w14:paraId="79297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 лётчику-испытателю завода N° 21 Большакову предстоял полёт на отстрел оружия. Только лётчик прикоснулся к боевой кнопке, как лопасти винта срезало будто ножовкой. Самолёт, лишённый тяги, резко потянуло вниз, и Большакову ничего не оставалось, как только выброситься с парашютом. Последовавшее расследование показало, что на истребителе ошибочно установили шестерни привода синхронизатора от мотора с другой редукцией... Особенно дико выглядит катастрофа Ла-7, происшедшая в апреле 1945 г. в одном из полков 5-й воздушной армии, когда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46EC9387" w14:textId="77777777" w:rsidR="00665165" w:rsidRPr="00F90EAE" w:rsidRDefault="00665165" w:rsidP="00F90EAE">
      <w:pPr>
        <w:autoSpaceDE w:val="0"/>
        <w:autoSpaceDN w:val="0"/>
        <w:adjustRightInd w:val="0"/>
        <w:jc w:val="both"/>
        <w:rPr>
          <w:color w:val="000000" w:themeColor="text1"/>
          <w:sz w:val="16"/>
          <w:szCs w:val="16"/>
        </w:rPr>
      </w:pPr>
    </w:p>
    <w:p w14:paraId="7CE482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февраля 1945 Мясищев утвердил программу испытаний Пе-2М, назначив ведущими лет</w:t>
      </w:r>
      <w:r w:rsidRPr="00F90EAE">
        <w:rPr>
          <w:color w:val="000000" w:themeColor="text1"/>
          <w:sz w:val="16"/>
          <w:szCs w:val="16"/>
        </w:rPr>
        <w:softHyphen/>
        <w:t>чика Ф.Ф. Опадчего, инженера А.И. Никонова и техни</w:t>
      </w:r>
      <w:r w:rsidRPr="00F90EAE">
        <w:rPr>
          <w:color w:val="000000" w:themeColor="text1"/>
          <w:sz w:val="16"/>
          <w:szCs w:val="16"/>
        </w:rPr>
        <w:softHyphen/>
        <w:t>ка В.П. Белоусова.</w:t>
      </w:r>
    </w:p>
    <w:p w14:paraId="655D14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завершения государственных испытаний первый экземпляр самолета передали в ЛИИ, а вто</w:t>
      </w:r>
      <w:r w:rsidRPr="00F90EAE">
        <w:rPr>
          <w:color w:val="000000" w:themeColor="text1"/>
          <w:sz w:val="16"/>
          <w:szCs w:val="16"/>
        </w:rPr>
        <w:softHyphen/>
        <w:t>рой — на завод № 482 (11446).</w:t>
      </w:r>
    </w:p>
    <w:p w14:paraId="3EDB96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23E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 по приказу НКАП № 62с на завод № 41 возложена организация выпуска опытной серии моторов МБ-8 конструкции С.С. Баландина. Для сопровождения этих работ на завод из ЦИАМ командирована группа из пяти конструкторов во главе с начальником Спецсектора ЦИАМ С.С. Баландиным. Далее, для продолжения работ в 08.1946 г. на заводе № 500 МАП сформировано ОКБ гл. конструктора С.С. Баландина (10776).</w:t>
      </w:r>
    </w:p>
    <w:p w14:paraId="417A5C77" w14:textId="77777777" w:rsidR="00665165" w:rsidRPr="00F90EAE" w:rsidRDefault="00665165" w:rsidP="00F90EAE">
      <w:pPr>
        <w:autoSpaceDE w:val="0"/>
        <w:autoSpaceDN w:val="0"/>
        <w:adjustRightInd w:val="0"/>
        <w:jc w:val="both"/>
        <w:rPr>
          <w:color w:val="000000" w:themeColor="text1"/>
          <w:sz w:val="16"/>
          <w:szCs w:val="16"/>
        </w:rPr>
      </w:pPr>
    </w:p>
    <w:p w14:paraId="0E3A0B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 в соответствии с приказом НКАП №62 на завод № 41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(10777).</w:t>
      </w:r>
    </w:p>
    <w:p w14:paraId="63DA4DFB" w14:textId="77777777" w:rsidR="00665165" w:rsidRPr="00F90EAE" w:rsidRDefault="00665165" w:rsidP="00F90EAE">
      <w:pPr>
        <w:autoSpaceDE w:val="0"/>
        <w:autoSpaceDN w:val="0"/>
        <w:adjustRightInd w:val="0"/>
        <w:jc w:val="both"/>
        <w:rPr>
          <w:color w:val="000000" w:themeColor="text1"/>
          <w:sz w:val="16"/>
          <w:szCs w:val="16"/>
        </w:rPr>
      </w:pPr>
    </w:p>
    <w:p w14:paraId="48EE78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 по приказу № 61с часть завода (Завод № 600 НКАП /Эстония  г. Таллинн/) на территории завода «Ильмарин» передана в систему НКместпрома Эстонской ССР, а часть завода на территории фабрики «Лютер» передана в НКлеспром Эстонской ССР. Завод выбыл из числа действующих в НКАП.</w:t>
      </w:r>
    </w:p>
    <w:p w14:paraId="7F96F8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(10.1944 г.-)- Н.И. Горьковский (11982).</w:t>
      </w:r>
    </w:p>
    <w:p w14:paraId="5DDA8102" w14:textId="77777777" w:rsidR="00665165" w:rsidRPr="00F90EAE" w:rsidRDefault="00665165" w:rsidP="00F90EAE">
      <w:pPr>
        <w:autoSpaceDE w:val="0"/>
        <w:autoSpaceDN w:val="0"/>
        <w:adjustRightInd w:val="0"/>
        <w:jc w:val="both"/>
        <w:rPr>
          <w:color w:val="000000" w:themeColor="text1"/>
          <w:sz w:val="16"/>
          <w:szCs w:val="16"/>
        </w:rPr>
      </w:pPr>
    </w:p>
    <w:p w14:paraId="2294230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810ED08" w14:textId="77777777" w:rsidR="00665165" w:rsidRPr="00F90EAE" w:rsidRDefault="00665165" w:rsidP="00F90EAE">
      <w:pPr>
        <w:autoSpaceDE w:val="0"/>
        <w:autoSpaceDN w:val="0"/>
        <w:adjustRightInd w:val="0"/>
        <w:jc w:val="both"/>
        <w:rPr>
          <w:iCs/>
          <w:color w:val="000000" w:themeColor="text1"/>
          <w:sz w:val="16"/>
          <w:szCs w:val="16"/>
        </w:rPr>
      </w:pPr>
    </w:p>
    <w:p w14:paraId="2C6220CD" w14:textId="77777777" w:rsidR="003C19E1" w:rsidRPr="00F90EAE" w:rsidRDefault="003C19E1"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14 февраля 1945 монтаж танков Т-44Б закончился, после чего провели опытные стрельбы. Испытания показали, что накат иногда происходил не полностью, кроме того, не всегда происходила экстракция гильз. Вместе с тем на заводе №183 посчитали, что проведённых кратковременных испытаний вполне достаточно. Во время пробега до стрельбища и обратно танк преодолел 50 км, в ходе которых никаких дефектов не обнаружилось. 16 февраля Т-54 отправили на НИБТ Полигон, причём вместе с Т-34-100 (19090).</w:t>
      </w:r>
    </w:p>
    <w:p w14:paraId="4B912A98" w14:textId="77777777" w:rsidR="003C19E1" w:rsidRPr="00F90EAE" w:rsidRDefault="003C19E1" w:rsidP="00F90EAE">
      <w:pPr>
        <w:pStyle w:val="ae"/>
        <w:shd w:val="clear" w:color="auto" w:fill="FFFFFF"/>
        <w:spacing w:before="0" w:after="0"/>
        <w:jc w:val="both"/>
        <w:textAlignment w:val="baseline"/>
        <w:rPr>
          <w:color w:val="000000" w:themeColor="text1"/>
          <w:sz w:val="16"/>
          <w:szCs w:val="16"/>
        </w:rPr>
      </w:pPr>
    </w:p>
    <w:p w14:paraId="1B1BE60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февраля 1945 вышло Постановление ГКО № 7540 О производстве и поставке Наркомлегпромом СССР парашютно-десантного имущества в I квартале 1945 г. (7309, 1-2,3-10).</w:t>
      </w:r>
    </w:p>
    <w:p w14:paraId="185582F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38D72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вышло Постановление ГКО № 7541 О восстановлении Роухиала ГЭС и достройке Энсо ГЭС на р. Вуокси. РГАНИР, Фонд ГКО, д. 372, лл. 11-13, 14-23 (11012).</w:t>
      </w:r>
    </w:p>
    <w:p w14:paraId="0465EB02" w14:textId="77777777" w:rsidR="00665165" w:rsidRPr="00F90EAE" w:rsidRDefault="00665165" w:rsidP="00F90EAE">
      <w:pPr>
        <w:autoSpaceDE w:val="0"/>
        <w:autoSpaceDN w:val="0"/>
        <w:adjustRightInd w:val="0"/>
        <w:jc w:val="both"/>
        <w:rPr>
          <w:color w:val="000000" w:themeColor="text1"/>
          <w:sz w:val="16"/>
          <w:szCs w:val="16"/>
        </w:rPr>
      </w:pPr>
    </w:p>
    <w:p w14:paraId="54F55DB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февраля 1945 вышло Постановление ГКО № 7542 Об увеличении производства свинца алтайскими предприятиями свинцово-цинковой промышленности Наркомцветмета. (7309, 24-30,31-63).</w:t>
      </w:r>
    </w:p>
    <w:p w14:paraId="6418A22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0116AE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73E738F" w14:textId="77777777" w:rsidR="00665165" w:rsidRPr="00F90EAE" w:rsidRDefault="00665165" w:rsidP="00F90EAE">
      <w:pPr>
        <w:autoSpaceDE w:val="0"/>
        <w:autoSpaceDN w:val="0"/>
        <w:adjustRightInd w:val="0"/>
        <w:jc w:val="both"/>
        <w:rPr>
          <w:iCs/>
          <w:color w:val="000000" w:themeColor="text1"/>
          <w:sz w:val="16"/>
          <w:szCs w:val="16"/>
        </w:rPr>
      </w:pPr>
    </w:p>
    <w:p w14:paraId="11E420C6" w14:textId="77777777" w:rsidR="00720DFE" w:rsidRPr="00F90EAE" w:rsidRDefault="00720DFE"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оперативная сводка Совинформбюро:</w:t>
      </w:r>
    </w:p>
    <w:p w14:paraId="77CA0E03" w14:textId="77777777" w:rsidR="00720DFE" w:rsidRPr="00F90EAE" w:rsidRDefault="00720DFE" w:rsidP="00F90EAE">
      <w:pPr>
        <w:jc w:val="both"/>
        <w:rPr>
          <w:color w:val="000000" w:themeColor="text1"/>
          <w:sz w:val="16"/>
          <w:szCs w:val="16"/>
        </w:rPr>
      </w:pPr>
      <w:r w:rsidRPr="00F90EAE">
        <w:rPr>
          <w:color w:val="000000" w:themeColor="text1"/>
          <w:sz w:val="16"/>
          <w:szCs w:val="16"/>
        </w:rPr>
        <w:t>«В течение 14 февраля севернее и северо-западнее города Быдгощ (Бромберг) наши войска в результате наступательных боёв заняли более 50 населённых пунктов и среди них Бремин, Здрое, Острово, Дембовец, Ной-Зуммин, Еленц, Лихнау, Мосниц, Блюмфельде, Ведельсхоф. В боях за 13 февраля в этом районе взято в плен более 500 немецких солдат и офицеров.</w:t>
      </w:r>
    </w:p>
    <w:p w14:paraId="1D88913D"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Белорусского фронта, сломив сопротивление окружённой группировки противника, 14 февраля штурмом овладели городом Шнайдемюль — важным узлом коммуникаций и мощным опорным пунктом обороны немцев в восточной части Померании. По предварительным данным, в боях при ликвидации окружённой группировки противника и овладении городом Шнайдемюль войска фронта взяли в плен более 5.000 немецких солдат и офицеров и захватили следующие трофеи: самолётов — 203, орудий — 30, миномётов — 34, пулемётов — 217, винтовок и автоматов— около 5.000, автомашин — 286, тракторов и тягачей — 102, повозок с военными грузами — 109, паровозов — 97, вагонов—1.508, складов с военным имуществом— 51. Противник потерял только убитыми более 7.000 солдат и офицеров.</w:t>
      </w:r>
    </w:p>
    <w:p w14:paraId="1B388649"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с боем овладели городами немецкой Силезии Неиштедтель, Неизальц, Фрейштадт, Шпроттау, Гольдберг, Яуер и Штригау — крупными узлами коммуникаций и сильными опорными пунктами обороны немцев, а также с боями заняли более 200 других населённых пунктов. За 13 февраля в этом районе войска фронта захватили на аэродромах 200 самолётов противника и взяли в плен свыше 2.100 немецких солдат и офицеров.</w:t>
      </w:r>
    </w:p>
    <w:p w14:paraId="6284700A" w14:textId="77777777" w:rsidR="00720DFE" w:rsidRPr="00F90EAE" w:rsidRDefault="00720DFE" w:rsidP="00F90EAE">
      <w:pPr>
        <w:jc w:val="both"/>
        <w:rPr>
          <w:color w:val="000000" w:themeColor="text1"/>
          <w:sz w:val="16"/>
          <w:szCs w:val="16"/>
        </w:rPr>
      </w:pPr>
      <w:r w:rsidRPr="00F90EAE">
        <w:rPr>
          <w:color w:val="000000" w:themeColor="text1"/>
          <w:sz w:val="16"/>
          <w:szCs w:val="16"/>
        </w:rPr>
        <w:t>По дополнительным данным, 13 февраля в боях, при ликвидации группировки противника, окружённой в районе Будапешта, войска 2-го и 3-го Украинских фронтов взяли в плен 12.700 солдат и офицеров противника, большая часть из них раненые. В числе пленных командир 1-го венгерского армейского корпуса генерал-полковник Хинди, командир 12-й венгерской пехотной дивизии генерал-майор Бауман, комендант Будапешта генерал-майор Чинкеш Эрню, командующий артиллерией 9-го немецкого армейского корпуса СС полковник Лединг. Среди убитых солдат и офицеров противника найдены трупы командира 8-й немецкой кавалерийской дивизии СС генерал-майора Румор и командира 22-й немецкой кавалерийской дивизии СС генерал-майора Цехентер. Незначительным остаткам из состава окружённой группировки противника удалось прорваться в леса северо-западнее Будапешта, где они вновь блокированы и успешно уничтожаются нашими войсками.</w:t>
      </w:r>
    </w:p>
    <w:p w14:paraId="0DCB2174" w14:textId="77777777" w:rsidR="00720DFE" w:rsidRPr="00F90EAE" w:rsidRDefault="00720DF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44CF0F3F" w14:textId="77777777" w:rsidR="00720DFE" w:rsidRPr="00F90EAE" w:rsidRDefault="00720DFE" w:rsidP="00F90EAE">
      <w:pPr>
        <w:jc w:val="both"/>
        <w:rPr>
          <w:color w:val="000000" w:themeColor="text1"/>
          <w:sz w:val="16"/>
          <w:szCs w:val="16"/>
        </w:rPr>
      </w:pPr>
      <w:r w:rsidRPr="00F90EAE">
        <w:rPr>
          <w:color w:val="000000" w:themeColor="text1"/>
          <w:sz w:val="16"/>
          <w:szCs w:val="16"/>
        </w:rPr>
        <w:t>За 13 февраля на всех фронтах подбито и уничтожено 116 немецких танков. В воздушных боях и огнём зенитной артиллерии сбито 9 самолётов противника.</w:t>
      </w:r>
    </w:p>
    <w:p w14:paraId="5688AEE4" w14:textId="77777777" w:rsidR="00720DFE" w:rsidRPr="00F90EAE" w:rsidRDefault="00720DFE" w:rsidP="00F90EAE">
      <w:pPr>
        <w:jc w:val="both"/>
        <w:rPr>
          <w:color w:val="000000" w:themeColor="text1"/>
          <w:sz w:val="16"/>
          <w:szCs w:val="16"/>
        </w:rPr>
      </w:pPr>
      <w:r w:rsidRPr="00F90EAE">
        <w:rPr>
          <w:color w:val="000000" w:themeColor="text1"/>
          <w:sz w:val="16"/>
          <w:szCs w:val="16"/>
        </w:rPr>
        <w:t>Севернее и северо-западнее города Быдгош (Бромберг) наши войска с боями продвигались вперёд. Противник, стремясь удержать важный узел коммуникаций город Хойнице (Конитц), сосредоточил на этом участке крупные силы своих войск. Опираясь на заранее подготовленные оборонительные рубежи, немцы бросают в контратаки пехоту и танки. Отражая вражеские контратаки, наши пехотинцы продвинулись вперёд на 5 километров и овладели населенным пунктом Лихнау, расположенным в четырёх километрах к югу от Хойнице. Другие наши части, наступающие восточнее реки Брае, продвинулись на 10 километров и заняли ряд населённых пунктов. В ходе боёв противник потерял убитыми свыше тысячи солдат и офицеров. Уничтожено 19 немецких танков и самоходных орудий.</w:t>
      </w:r>
    </w:p>
    <w:p w14:paraId="54AA33D9"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Белорусского фронта после упорных боёв овладели городом Шнайдемюль — мощным опорным пунктом обороны немцев в восточной части Померании. Пленные показывают, что немецкое командование приказало окружённому гарнизону во что бы то ни стало отстоять Шнайдемюль. Солдатам было объявлено, что к ним на выручку идут немецкие танковые и пехотные части. В последние дни гитлеровцы, потеряв всякую надежду на помощь извне, пытались прорваться из «котла». С отчаянием людей, обречённых на гибель, они бросались в контратаки. Гитлеровцы несли огромные потери и неизменно откатывались назад. Измотав противника, наши войска сегодня пошли на штурм и овладели городом. Шнайдемюль является важным узлом железных дорог. Город расположен на магистралях Данциг — Берлин и Торунь — Быдгощ — Штаргард.</w:t>
      </w:r>
    </w:p>
    <w:p w14:paraId="2093EF90" w14:textId="77777777" w:rsidR="00720DFE" w:rsidRPr="00F90EAE" w:rsidRDefault="00720DFE"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Ломая сопротивление противника, блокируя и громя его опорные пункты, наши войска с боями продвигались вперёд. Части Н-ского соединения, наступающие вдоль западного берега реки Одер, штурмом овладели городом Нейштедтель. Заняты также города Нейзальц и Фрейштадт. Нейзальц, узел железных и шоссейных дорог и сильно укреплённый опорный пункт обороны противника, находится в 20 километрах от города Грюнберг. Другие наши части после упорных двухдневных уличных боёв очистили от вражеских войск важный промышленный город Шпроттау. Противник оставил на поле боя много вооружения и военных материалов. Войска фронта, наступающие южнее города Лигниц, сломили упорное сопротивление немцев и продвинулись вперёд на 20 километров. Советские танкисты и пехотинцы стремительными ударами разгромили немецкие гарнизоны и овладели городами Яуер и Штригау. Занят также город Гольдберг, находящийся в 75 километрах к западу от Бреслау. В боях за день уничтожено 32 немецких танка, 48 бронетранспортёров и 150 орудий. Противник потерял только убитыми до 4 тысяч солдат и офицеров.</w:t>
      </w:r>
    </w:p>
    <w:p w14:paraId="665A3815" w14:textId="77777777" w:rsidR="00720DFE" w:rsidRPr="00F90EAE" w:rsidRDefault="00720DFE" w:rsidP="00F90EAE">
      <w:pPr>
        <w:jc w:val="both"/>
        <w:rPr>
          <w:color w:val="000000" w:themeColor="text1"/>
          <w:sz w:val="16"/>
          <w:szCs w:val="16"/>
          <w:lang w:val="en-US"/>
        </w:rPr>
      </w:pPr>
      <w:r w:rsidRPr="00F90EAE">
        <w:rPr>
          <w:color w:val="000000" w:themeColor="text1"/>
          <w:sz w:val="16"/>
          <w:szCs w:val="16"/>
        </w:rPr>
        <w:t xml:space="preserve">Рядовые, сержанты и офицеры войск 1-го Украинского фронта героическими подвигами прославляют боевые знамёна своих частей. Рота гвардии капитана Прилипко в ожесточённом бою уничтожила до батальона гитлеровцев. Подразделение капитана Губарева, вступив в бой с численно превосходящими силами противника, уничтожило до 300 немцев и взяло 90 пленных. Взвод лейтенанта Бойко обратил в бегство две роты немцев. Бойцы взвода уничтожили при этом 40 вражеских солдат и взяли 20 пленных. Орудийный расчёт сержанта Орловцева подбил немецкий танк, легковую автомашину и истребил группу солдат противника. Снайпер младший сержант Кузьмин в течение дня держал под обстрелом улицу одного немецкого села и убил 20 гитлеровцев. На рядового Михеда набросились немецкий офицер и два солдата. Михед выхватил нож и заколол напавших на него трёх немцев.» </w:t>
      </w:r>
      <w:r w:rsidRPr="00F90EAE">
        <w:rPr>
          <w:color w:val="000000" w:themeColor="text1"/>
          <w:sz w:val="16"/>
          <w:szCs w:val="16"/>
          <w:lang w:val="en-US"/>
        </w:rPr>
        <w:t>(15040).</w:t>
      </w:r>
    </w:p>
    <w:p w14:paraId="2E26767D" w14:textId="77777777" w:rsidR="00720DFE" w:rsidRPr="00F90EAE" w:rsidRDefault="00720DFE" w:rsidP="00F90EAE">
      <w:pPr>
        <w:jc w:val="both"/>
        <w:rPr>
          <w:color w:val="000000" w:themeColor="text1"/>
          <w:sz w:val="16"/>
          <w:szCs w:val="16"/>
          <w:lang w:val="en-US"/>
        </w:rPr>
      </w:pPr>
    </w:p>
    <w:p w14:paraId="149C7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February 14, 1945: On the Eastern front in Silesia, the Soviet 1st Ukrainian Front (Konev) encircles Breslau which has been declared a fortress under the command of Gauleiter Hanke. </w:t>
      </w:r>
      <w:r w:rsidRPr="00F90EAE">
        <w:rPr>
          <w:color w:val="000000" w:themeColor="text1"/>
          <w:sz w:val="16"/>
          <w:szCs w:val="16"/>
        </w:rPr>
        <w:t>Uruguay declares war against Germany (3819).</w:t>
      </w:r>
    </w:p>
    <w:p w14:paraId="50EA10D4" w14:textId="77777777" w:rsidR="00665165" w:rsidRPr="00F90EAE" w:rsidRDefault="00665165" w:rsidP="00F90EAE">
      <w:pPr>
        <w:autoSpaceDE w:val="0"/>
        <w:autoSpaceDN w:val="0"/>
        <w:adjustRightInd w:val="0"/>
        <w:jc w:val="both"/>
        <w:rPr>
          <w:color w:val="000000" w:themeColor="text1"/>
          <w:sz w:val="16"/>
          <w:szCs w:val="16"/>
        </w:rPr>
      </w:pPr>
    </w:p>
    <w:p w14:paraId="3E9464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1УФ (Конев) окружил Бреслау, который был объявлен крепостью. Уругвай объявил войну Германии (3819).</w:t>
      </w:r>
    </w:p>
    <w:p w14:paraId="5DEF4A6E" w14:textId="77777777" w:rsidR="00665165" w:rsidRPr="00F90EAE" w:rsidRDefault="00665165" w:rsidP="00F90EAE">
      <w:pPr>
        <w:autoSpaceDE w:val="0"/>
        <w:autoSpaceDN w:val="0"/>
        <w:adjustRightInd w:val="0"/>
        <w:jc w:val="both"/>
        <w:rPr>
          <w:color w:val="000000" w:themeColor="text1"/>
          <w:sz w:val="16"/>
          <w:szCs w:val="16"/>
        </w:rPr>
      </w:pPr>
    </w:p>
    <w:p w14:paraId="4007425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189D2E8" w14:textId="77777777" w:rsidR="00665165" w:rsidRPr="00F90EAE" w:rsidRDefault="00665165" w:rsidP="00F90EAE">
      <w:pPr>
        <w:autoSpaceDE w:val="0"/>
        <w:autoSpaceDN w:val="0"/>
        <w:adjustRightInd w:val="0"/>
        <w:jc w:val="both"/>
        <w:rPr>
          <w:iCs/>
          <w:color w:val="000000" w:themeColor="text1"/>
          <w:sz w:val="16"/>
          <w:szCs w:val="16"/>
        </w:rPr>
      </w:pPr>
    </w:p>
    <w:p w14:paraId="4F6D08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года были проведены первые испытания самолета Бахэма в свободном полете: «Не-111» поднял ракетоплан на высоту 5500 м, после чего летчик-испытатель Ганс Цюберт взял управление на себя. Самолет перешел в пологое пикирование, при этом во всем диапазоне скоростей от 200 до 700 км/ч его устойчивость в полете и управляемость были достаточно высоки. На высоте 900 м Цюберт привел в действие спасательный комплекс, после чего он сам и части его самолета были успешно доставлены на землю на парашютах.</w:t>
      </w:r>
    </w:p>
    <w:p w14:paraId="24E8A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Успех летных испытаний позволил перейти к следующему этапу испытаний– запуску самолета с пусковой установки. 25 февраля 1945 года четыре пороховые стартовые ракеты подняли ракетоплан с манекеном вместо летчика в кабине в воздух, и по истечении 10 секунд отделились от самолета. Произошло включение ракетного двигателя, самолет достиг заданной высоты, а затем его части и манекен благополучно спустились на землю.</w:t>
      </w:r>
    </w:p>
    <w:p w14:paraId="0C68B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w:t>
      </w:r>
    </w:p>
    <w:p w14:paraId="283AD7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4658172" w14:textId="77777777" w:rsidR="00665165" w:rsidRPr="00F90EAE" w:rsidRDefault="00665165" w:rsidP="00F90EAE">
      <w:pPr>
        <w:autoSpaceDE w:val="0"/>
        <w:autoSpaceDN w:val="0"/>
        <w:adjustRightInd w:val="0"/>
        <w:jc w:val="both"/>
        <w:rPr>
          <w:color w:val="000000" w:themeColor="text1"/>
          <w:sz w:val="16"/>
          <w:szCs w:val="16"/>
        </w:rPr>
      </w:pPr>
    </w:p>
    <w:p w14:paraId="24690A9B" w14:textId="77777777" w:rsidR="002C1BDA" w:rsidRPr="00F90EAE" w:rsidRDefault="002C1BDA" w:rsidP="00F90EAE">
      <w:pPr>
        <w:jc w:val="both"/>
        <w:rPr>
          <w:color w:val="0070C0"/>
          <w:sz w:val="16"/>
          <w:szCs w:val="16"/>
        </w:rPr>
      </w:pPr>
      <w:r w:rsidRPr="00F90EAE">
        <w:rPr>
          <w:color w:val="0070C0"/>
          <w:sz w:val="16"/>
          <w:szCs w:val="16"/>
        </w:rPr>
        <w:lastRenderedPageBreak/>
        <w:t>14 февраля 1945 - Проведено первое испытание в свободном полёте пилотируемого ракетного Bachеm Ва-349 («Natter») конструктора Эрика Бохема. Bachem Ba 349 Natter — немецкий одноместный ракетный истребитель-перехватчик вертикального взлёта. Разработан и испытан в конце Второй мировой. Был разработан для борьбы с бомбардировщиками антигитлеровской коалиции. ЛА был отцеплен от самолёта-буксировщика «Не-111» на высоте 5500 метров, после чего пилот взял управление на себя. При пологом пикировании была достигнута скорость 700 км/ч, на высоте 900 метров лётчик привёл в действие спасательный комплекс, позволивший совершить парашютную посадку на землю пилоту и спасаемым частям истребителя (22598).</w:t>
      </w:r>
    </w:p>
    <w:p w14:paraId="6CC8B3AC" w14:textId="77777777" w:rsidR="002C1BDA" w:rsidRPr="00F90EAE" w:rsidRDefault="002C1BDA" w:rsidP="00F90EAE">
      <w:pPr>
        <w:jc w:val="both"/>
        <w:rPr>
          <w:color w:val="0070C0"/>
          <w:sz w:val="16"/>
          <w:szCs w:val="16"/>
        </w:rPr>
      </w:pPr>
    </w:p>
    <w:p w14:paraId="7523F11D"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пилот Королевских ВВС Raymond на истребителе "Спитфайр" (Spitfire) в районе Гааги пытался атаковать стартующую БР "A-4"/SS-1/Scunner, атака к счастью пилота закончилась ничем. Единственный известный в истории применения "А-4" случай атаки ракеты во время полета (15040).</w:t>
      </w:r>
    </w:p>
    <w:p w14:paraId="7EE5EBBA" w14:textId="77777777" w:rsidR="008741BA" w:rsidRPr="00F90EAE" w:rsidRDefault="008741BA" w:rsidP="00F90EAE">
      <w:pPr>
        <w:jc w:val="both"/>
        <w:rPr>
          <w:color w:val="000000" w:themeColor="text1"/>
          <w:sz w:val="16"/>
          <w:szCs w:val="16"/>
        </w:rPr>
      </w:pPr>
    </w:p>
    <w:p w14:paraId="55914B0F"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проведено первые испытание в свободном полёте германского пилотируемого ракетного истребителя перехватчика Bacham "Ва-349" ("Natter"), конструктора Эрика Бохема. ЛА был отцеплен от самолета буксировщика "Не-111" на высоте 5500 метров, после чего пилот Ганс Цюберт взял управление на себя. При пологом пикировании была достигнута скорость 700 км/ч, на высоте 900 метров летчик привел в действие спасательный комплекс позволивший совершить парашютную посадку на землю пилоту и спасаемым частям истребителя (15040).</w:t>
      </w:r>
    </w:p>
    <w:p w14:paraId="41F96E78" w14:textId="77777777" w:rsidR="008741BA" w:rsidRPr="00F90EAE" w:rsidRDefault="008741BA" w:rsidP="00F90EAE">
      <w:pPr>
        <w:jc w:val="both"/>
        <w:rPr>
          <w:color w:val="000000" w:themeColor="text1"/>
          <w:sz w:val="16"/>
          <w:szCs w:val="16"/>
        </w:rPr>
      </w:pPr>
    </w:p>
    <w:p w14:paraId="190FBA47"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по неофициальной информации был проведен испытательный полет экспериментального германского ЛА "дисколета".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(15040).</w:t>
      </w:r>
    </w:p>
    <w:p w14:paraId="0B69F09D" w14:textId="77777777" w:rsidR="008741BA" w:rsidRPr="00F90EAE" w:rsidRDefault="008741BA" w:rsidP="00F90EAE">
      <w:pPr>
        <w:jc w:val="both"/>
        <w:rPr>
          <w:color w:val="000000" w:themeColor="text1"/>
          <w:sz w:val="16"/>
          <w:szCs w:val="16"/>
        </w:rPr>
      </w:pPr>
    </w:p>
    <w:p w14:paraId="7A408110"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(по неофициальной информации) был проведен испытательный полет экспериментального германского ЛА "дисколет". "Машина набрала высоту 12400 м., горизонтальная скорость полета составила около 200 км/час. Вокруг куполообразной кабины пилота вращалось широкое плоское кольцо, приводимое в действие управляемыми соплами. По другим сведениям, эта машина (или одна из них) в конце 1944 года испытывалась в районе Шпицбергена, где и была потеряна... Самое интересное, что в 1952-м году там действительно был найден дискообразный аппарат". Практически ничего не известно об еще одном проекте инженера Ахенбаха – дисколете </w:t>
      </w:r>
      <w:hyperlink r:id="rId36" w:tgtFrame="_blank" w:history="1">
        <w:r w:rsidRPr="00F90EAE">
          <w:rPr>
            <w:color w:val="000000" w:themeColor="text1"/>
            <w:sz w:val="16"/>
            <w:szCs w:val="16"/>
          </w:rPr>
          <w:t xml:space="preserve">«Spiegelei», </w:t>
        </w:r>
      </w:hyperlink>
      <w:r w:rsidRPr="00F90EAE">
        <w:rPr>
          <w:color w:val="000000" w:themeColor="text1"/>
          <w:sz w:val="16"/>
          <w:szCs w:val="16"/>
        </w:rPr>
        <w:t>разработанном в конце Второй Мировой войны. Фактически, в истории осталось только его название (Spiegelei в переводе с немецкого – яичница-глазунья), по которому можно сделать некоторые догадки относительно его внешнего вида и конфигурации. Вероятно, это был экспериментальный летательный аппарат с кабиной на одного пилота и кольцом двигателей в нижней части диска. В центре дисколета располагался то ли смотровой колпак кабины пилота, то ли выступающая верхняя часть энергетической установки. Кольца по периметру диска позволяют предположить, что конструкция аппарата Ахенбаха базировалась на аэродинамических принципах, внедренных Людвигом Прандтлом на самолете компании «Юнкерс» «Junkers» «AF-1» Absaugeflugzeug («вакуумный самолет»), получившем прозвище «Волчок». Нет никаких документальных свидетельств относительно того, был ли построен какой-либо прототип дисколета «Глазунья». В то же время, доподлинно известно, что AVA (Аэродинамическая лаборатория в Гёттингене) использовала концепт вакуумного мотора в двух ранних моделях самолетов «AF-1» и «AF-2» в 1938-1940 годах. Все летные испытания этих аппаратов носили исключительно экспериментальный характер и никогда не применялись на боевых моделях «AF-1» и «AF-2» (15040).</w:t>
      </w:r>
    </w:p>
    <w:p w14:paraId="17A42E56" w14:textId="77777777" w:rsidR="008741BA" w:rsidRPr="00F90EAE" w:rsidRDefault="008741BA" w:rsidP="00F90EAE">
      <w:pPr>
        <w:jc w:val="both"/>
        <w:rPr>
          <w:color w:val="000000" w:themeColor="text1"/>
          <w:sz w:val="16"/>
          <w:szCs w:val="16"/>
        </w:rPr>
      </w:pPr>
    </w:p>
    <w:p w14:paraId="109265E6"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в Германии запущена последняя ракета «A-4». Пилот британских Королевских ВВС Raymond на истребителе "Спитфайр" (Spitfire) в районе Гааги пытался атаковать стартующую БР "A-4"/SS-1/Scunner, атака к счастью пилота закончилась ничем. Единственный известный в истории применения "А-4" случай атаки ракеты во время полета (15040).</w:t>
      </w:r>
    </w:p>
    <w:p w14:paraId="5B5BD510" w14:textId="77777777" w:rsidR="008741BA" w:rsidRPr="00F90EAE" w:rsidRDefault="008741BA" w:rsidP="00F90EAE">
      <w:pPr>
        <w:jc w:val="both"/>
        <w:rPr>
          <w:color w:val="000000" w:themeColor="text1"/>
          <w:sz w:val="16"/>
          <w:szCs w:val="16"/>
        </w:rPr>
      </w:pPr>
    </w:p>
    <w:p w14:paraId="6D099C9A" w14:textId="77777777" w:rsidR="003C19E1" w:rsidRPr="00F90EAE" w:rsidRDefault="003C19E1" w:rsidP="00F90EAE">
      <w:pPr>
        <w:jc w:val="both"/>
        <w:rPr>
          <w:color w:val="000000" w:themeColor="text1"/>
          <w:sz w:val="16"/>
          <w:szCs w:val="16"/>
        </w:rPr>
      </w:pPr>
      <w:r w:rsidRPr="00F90EAE">
        <w:rPr>
          <w:color w:val="000000" w:themeColor="text1"/>
          <w:sz w:val="16"/>
          <w:szCs w:val="16"/>
        </w:rPr>
        <w:t>14 февраля 1945 года взлетела послед</w:t>
      </w:r>
      <w:r w:rsidRPr="00F90EAE">
        <w:rPr>
          <w:color w:val="000000" w:themeColor="text1"/>
          <w:sz w:val="16"/>
          <w:szCs w:val="16"/>
        </w:rPr>
        <w:softHyphen/>
        <w:t>няя ракета А-4 с площадки Центра Пенемюнде. Эсэсовские команды не успели полностью разрушить все оборудова</w:t>
      </w:r>
      <w:r w:rsidRPr="00F90EAE">
        <w:rPr>
          <w:color w:val="000000" w:themeColor="text1"/>
          <w:sz w:val="16"/>
          <w:szCs w:val="16"/>
        </w:rPr>
        <w:softHyphen/>
        <w:t>ние и готовую продукцию, которую не удавалось эвакуировать. При этом было уничтожено более 30 тысяч во</w:t>
      </w:r>
      <w:r w:rsidRPr="00F90EAE">
        <w:rPr>
          <w:color w:val="000000" w:themeColor="text1"/>
          <w:sz w:val="16"/>
          <w:szCs w:val="16"/>
        </w:rPr>
        <w:softHyphen/>
        <w:t>еннопленных и политзаключенных, занятых на строительстве секретных объектов (19630).</w:t>
      </w:r>
    </w:p>
    <w:p w14:paraId="24C9BF53" w14:textId="77777777" w:rsidR="003C19E1" w:rsidRPr="00F90EAE" w:rsidRDefault="003C19E1" w:rsidP="00F90EAE">
      <w:pPr>
        <w:jc w:val="both"/>
        <w:rPr>
          <w:color w:val="000000" w:themeColor="text1"/>
          <w:sz w:val="16"/>
          <w:szCs w:val="16"/>
        </w:rPr>
      </w:pPr>
    </w:p>
    <w:p w14:paraId="6ABDA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немцами была запущена последняя ракета А-4 (2528), N 4299 производства Миттельверке (2990).</w:t>
      </w:r>
    </w:p>
    <w:p w14:paraId="086BEBEB" w14:textId="77777777" w:rsidR="00665165" w:rsidRPr="00F90EAE" w:rsidRDefault="00665165" w:rsidP="00F90EAE">
      <w:pPr>
        <w:autoSpaceDE w:val="0"/>
        <w:autoSpaceDN w:val="0"/>
        <w:adjustRightInd w:val="0"/>
        <w:jc w:val="both"/>
        <w:rPr>
          <w:color w:val="000000" w:themeColor="text1"/>
          <w:sz w:val="16"/>
          <w:szCs w:val="16"/>
        </w:rPr>
      </w:pPr>
    </w:p>
    <w:p w14:paraId="2F463A1D" w14:textId="77777777" w:rsidR="008741BA" w:rsidRPr="00F90EAE" w:rsidRDefault="008741BA" w:rsidP="00F90EAE">
      <w:pPr>
        <w:jc w:val="both"/>
        <w:rPr>
          <w:color w:val="000000" w:themeColor="text1"/>
          <w:sz w:val="16"/>
          <w:szCs w:val="16"/>
        </w:rPr>
      </w:pPr>
      <w:r w:rsidRPr="00F90EAE">
        <w:rPr>
          <w:bCs/>
          <w:color w:val="000000" w:themeColor="text1"/>
          <w:sz w:val="16"/>
          <w:szCs w:val="16"/>
        </w:rPr>
        <w:t>14 февраля</w:t>
      </w:r>
      <w:r w:rsidRPr="00F90EAE">
        <w:rPr>
          <w:color w:val="000000" w:themeColor="text1"/>
          <w:sz w:val="16"/>
          <w:szCs w:val="16"/>
        </w:rPr>
        <w:t xml:space="preserve"> в 1945 году в исследовательском ракетном центре Пенемюнде был проведен последний испытательный пуск германской баллистической ракеты "A-4"/SS-1/Scunner/(Фау-2) с заводским номером 4299 (15040).</w:t>
      </w:r>
    </w:p>
    <w:p w14:paraId="343036AA" w14:textId="77777777" w:rsidR="008741BA" w:rsidRPr="00F90EAE" w:rsidRDefault="008741BA" w:rsidP="00F90EAE">
      <w:pPr>
        <w:jc w:val="both"/>
        <w:rPr>
          <w:color w:val="000000" w:themeColor="text1"/>
          <w:sz w:val="16"/>
          <w:szCs w:val="16"/>
        </w:rPr>
      </w:pPr>
    </w:p>
    <w:p w14:paraId="0A22268B" w14:textId="77777777" w:rsidR="002C1BDA" w:rsidRPr="00F90EAE" w:rsidRDefault="002C1BDA" w:rsidP="00F90EAE">
      <w:pPr>
        <w:jc w:val="both"/>
        <w:rPr>
          <w:color w:val="0070C0"/>
          <w:sz w:val="16"/>
          <w:szCs w:val="16"/>
        </w:rPr>
      </w:pPr>
      <w:r w:rsidRPr="00F90EAE">
        <w:rPr>
          <w:color w:val="0070C0"/>
          <w:sz w:val="16"/>
          <w:szCs w:val="16"/>
        </w:rPr>
        <w:t>14 февраля 1945 - Пилот британских Королевских ВВС Raymond на истребителе "Спитфайр" (Spitfire) в районе Гааги пытался атаковать стартующую БР "A-4", атака к счастью пилота закончилась ничем. Единственный известный в истории применения "А-4" случай атаки ракеты во время полета (22598).</w:t>
      </w:r>
    </w:p>
    <w:p w14:paraId="5B2D5EF6" w14:textId="77777777" w:rsidR="002C1BDA" w:rsidRPr="00F90EAE" w:rsidRDefault="002C1BDA" w:rsidP="00F90EAE">
      <w:pPr>
        <w:jc w:val="both"/>
        <w:rPr>
          <w:color w:val="0070C0"/>
          <w:sz w:val="16"/>
          <w:szCs w:val="16"/>
        </w:rPr>
      </w:pPr>
    </w:p>
    <w:p w14:paraId="76A0F39B" w14:textId="77777777" w:rsidR="002C1BDA" w:rsidRPr="00F90EAE" w:rsidRDefault="002C1BDA" w:rsidP="00F90EAE">
      <w:pPr>
        <w:jc w:val="both"/>
        <w:rPr>
          <w:color w:val="0070C0"/>
          <w:sz w:val="16"/>
          <w:szCs w:val="16"/>
        </w:rPr>
      </w:pPr>
      <w:r w:rsidRPr="00F90EAE">
        <w:rPr>
          <w:color w:val="0070C0"/>
          <w:sz w:val="16"/>
          <w:szCs w:val="16"/>
        </w:rPr>
        <w:t>14 февраля 1945 - Бомбардировка столицы оккупированной Германией Чехословакии Праги, проведённая ВВС США. Как позднее утверждали их представители, бомбардировка произошла по ошибке вследствие того, что самолёты, летевшие бомбить Дрезден, сбились с курса. В результате погиб 701 человек и было ранено 1184 человека, все они являлись гражданскими лицами (2598).</w:t>
      </w:r>
    </w:p>
    <w:p w14:paraId="17AE8543" w14:textId="77777777" w:rsidR="002C1BDA" w:rsidRPr="00F90EAE" w:rsidRDefault="002C1BDA" w:rsidP="00F90EAE">
      <w:pPr>
        <w:jc w:val="both"/>
        <w:rPr>
          <w:color w:val="0070C0"/>
          <w:sz w:val="16"/>
          <w:szCs w:val="16"/>
        </w:rPr>
      </w:pPr>
    </w:p>
    <w:p w14:paraId="38ADE0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февраля 1945 г. состоялась встреча Ф.Рузвельта и Ибн Сауд, которая оформила новый характер отношений между двумя странами. Заключается целый ряд соглашений о военном и экономическом сотрудничестве (3871).</w:t>
      </w:r>
    </w:p>
    <w:p w14:paraId="017F6A43" w14:textId="77777777" w:rsidR="00665165" w:rsidRPr="00F90EAE" w:rsidRDefault="00665165" w:rsidP="00F90EAE">
      <w:pPr>
        <w:autoSpaceDE w:val="0"/>
        <w:autoSpaceDN w:val="0"/>
        <w:adjustRightInd w:val="0"/>
        <w:jc w:val="both"/>
        <w:rPr>
          <w:color w:val="000000" w:themeColor="text1"/>
          <w:sz w:val="16"/>
          <w:szCs w:val="16"/>
        </w:rPr>
      </w:pPr>
    </w:p>
    <w:p w14:paraId="101C3C5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644CC8D" w14:textId="77777777" w:rsidR="00665165" w:rsidRPr="00F90EAE" w:rsidRDefault="00665165" w:rsidP="00F90EAE">
      <w:pPr>
        <w:autoSpaceDE w:val="0"/>
        <w:autoSpaceDN w:val="0"/>
        <w:adjustRightInd w:val="0"/>
        <w:jc w:val="both"/>
        <w:rPr>
          <w:iCs/>
          <w:color w:val="000000" w:themeColor="text1"/>
          <w:sz w:val="16"/>
          <w:szCs w:val="16"/>
        </w:rPr>
      </w:pPr>
    </w:p>
    <w:p w14:paraId="3867F9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года генерал-лейтенант ИАС Кузнецов писал письмо N Н-32/734 зам. командующего ВВС генерал-полковнику ИАС Репину.</w:t>
      </w:r>
    </w:p>
    <w:p w14:paraId="07DB9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высотности и надежности работы агрегатов опытных авиадизелей выпускаемых заводом N 500, при заводе организуется летно-испытательная станция (ЛИС).</w:t>
      </w:r>
    </w:p>
    <w:p w14:paraId="0E034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этих целей нами предполагается использовать самолет Пе-8, на котором будут установлены проверенные серийные моторы на крайних моторамах и опытные на средних.</w:t>
      </w:r>
    </w:p>
    <w:p w14:paraId="2F4F26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передать заводу N 500 из 45 Авиационной дивизии ДД (командир дивизии генерал-майор Лебедев) самолет Пе-8 4АЧ-30Б в настоящее время законсервированный из-за выработки моторами установленного ресурса (1879).</w:t>
      </w:r>
    </w:p>
    <w:p w14:paraId="0A977AC0" w14:textId="77777777" w:rsidR="00665165" w:rsidRPr="00F90EAE" w:rsidRDefault="00665165" w:rsidP="00F90EAE">
      <w:pPr>
        <w:autoSpaceDE w:val="0"/>
        <w:autoSpaceDN w:val="0"/>
        <w:adjustRightInd w:val="0"/>
        <w:jc w:val="both"/>
        <w:rPr>
          <w:color w:val="000000" w:themeColor="text1"/>
          <w:sz w:val="16"/>
          <w:szCs w:val="16"/>
        </w:rPr>
      </w:pPr>
    </w:p>
    <w:p w14:paraId="704CCC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закончился второй этап войсковых испытаний Як-9К с ВК-105ПФ и ВИШ-62П диаметром 3.0 м и с НС-45 в 274 иап 278 иад и 812 иап 65 иад на 1-м Белорусском, который шел с 15 января 1945. Летало 44 машины и налетали 402:03 выполнив 51 воздушный бой. Сбили 12 истребителей тратя на 1 5 снарядов в среднем. Попадание уничтожало машину. Хотели в серию, но так и не запустили, так как НС-45 работала ненадежно и потом появился Як-9У с Н-45 (65,131).</w:t>
      </w:r>
    </w:p>
    <w:p w14:paraId="4D3FC031" w14:textId="77777777" w:rsidR="00665165" w:rsidRPr="00F90EAE" w:rsidRDefault="00665165" w:rsidP="00F90EAE">
      <w:pPr>
        <w:autoSpaceDE w:val="0"/>
        <w:autoSpaceDN w:val="0"/>
        <w:adjustRightInd w:val="0"/>
        <w:jc w:val="both"/>
        <w:rPr>
          <w:color w:val="000000" w:themeColor="text1"/>
          <w:sz w:val="16"/>
          <w:szCs w:val="16"/>
        </w:rPr>
      </w:pPr>
    </w:p>
    <w:p w14:paraId="21BCE6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года вышел приказ № 62 НКАП</w:t>
      </w:r>
    </w:p>
    <w:p w14:paraId="66DA0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Новосибирской киностудией Сибтехфильм по заданию 1 гл. управления закончен производством кинофильм “Истребитель на потоке”.</w:t>
      </w:r>
    </w:p>
    <w:p w14:paraId="55217B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фильм впервые показывает опыт работы завода № 292, наиболее полно решившего задачи внедрения поточных методов производства (8961).</w:t>
      </w:r>
    </w:p>
    <w:p w14:paraId="008274FD" w14:textId="77777777" w:rsidR="00665165" w:rsidRPr="00F90EAE" w:rsidRDefault="00665165" w:rsidP="00F90EAE">
      <w:pPr>
        <w:autoSpaceDE w:val="0"/>
        <w:autoSpaceDN w:val="0"/>
        <w:adjustRightInd w:val="0"/>
        <w:jc w:val="both"/>
        <w:rPr>
          <w:color w:val="000000" w:themeColor="text1"/>
          <w:sz w:val="16"/>
          <w:szCs w:val="16"/>
        </w:rPr>
      </w:pPr>
    </w:p>
    <w:p w14:paraId="27CEB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года вышел приказ № 63 НКАП</w:t>
      </w:r>
    </w:p>
    <w:p w14:paraId="3F7C60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обеспечения выполнения Постановления ГОКО за № 6639с от 1 октября 1944 года о расширении производства электрических измерительных приборов и автоматов:</w:t>
      </w:r>
    </w:p>
    <w:p w14:paraId="217DD54A"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Организовать при заводе № 218 ОКБ.</w:t>
      </w:r>
    </w:p>
    <w:p w14:paraId="736C2BBB"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Гл. конструктором ОКБ при заводе № 218 назначить Андреева А.А., освободив его от работы гл. конструктора завода № 149 (8961).</w:t>
      </w:r>
    </w:p>
    <w:p w14:paraId="17D69973"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1EC995A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67E6548" w14:textId="77777777" w:rsidR="00665165" w:rsidRPr="00F90EAE" w:rsidRDefault="00665165" w:rsidP="00F90EAE">
      <w:pPr>
        <w:autoSpaceDE w:val="0"/>
        <w:autoSpaceDN w:val="0"/>
        <w:adjustRightInd w:val="0"/>
        <w:jc w:val="both"/>
        <w:rPr>
          <w:iCs/>
          <w:color w:val="000000" w:themeColor="text1"/>
          <w:sz w:val="16"/>
          <w:szCs w:val="16"/>
        </w:rPr>
      </w:pPr>
    </w:p>
    <w:p w14:paraId="2A0057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февраля 1945 г. была подготовлена ДОКЛАДНАЯ ЗАПИСКА ЗАМЕСТИТЕЛЯ НАЧАЛЬНИКА НИБТ ПОЛИГОНА НАЧАЛЬНИКУ УПРАВЛЕНИЯ САМОХОДНОЙ АРТИЛЛЕРИИ ГБТУ КА ПО ИСПЫТАНИЯМ САМОХОДНОЙ АРТУСТАНОВКИ СУ-100 №0291</w:t>
      </w:r>
    </w:p>
    <w:p w14:paraId="6A2B4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представленном НИБТ полигоном отчете по испытаниям самоходной артустановки СУ-100 Уралмашзавода (декабрьского выпуска 1944 г.) отмечен дефект — срыв металлических бандажей с дисков 3-х катков и разрушение резиновых массивов шин 6-ти катков.</w:t>
      </w:r>
    </w:p>
    <w:p w14:paraId="19729C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Срыв бандажей с дисков происходил с разрушением сварочных швов, удерживающих банда</w:t>
      </w:r>
      <w:r w:rsidRPr="00F90EAE">
        <w:rPr>
          <w:color w:val="000000" w:themeColor="text1"/>
          <w:sz w:val="16"/>
          <w:szCs w:val="16"/>
        </w:rPr>
        <w:softHyphen/>
        <w:t>жи на дисках.</w:t>
      </w:r>
    </w:p>
    <w:p w14:paraId="5CE5C3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 разрушения резиновых массивен шин — отрыв кусков резины с явлением расслое</w:t>
      </w:r>
      <w:r w:rsidRPr="00F90EAE">
        <w:rPr>
          <w:color w:val="000000" w:themeColor="text1"/>
          <w:sz w:val="16"/>
          <w:szCs w:val="16"/>
        </w:rPr>
        <w:softHyphen/>
        <w:t>ния и без осмоления.</w:t>
      </w:r>
    </w:p>
    <w:p w14:paraId="7588E6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Начало разрушения резинового массива шины первого левого внугреннего катка обнаружено до срыва бандажей с дисков других катков. При дальнейших испытаниях машины, на первом и вто</w:t>
      </w:r>
      <w:r w:rsidRPr="00F90EAE">
        <w:rPr>
          <w:color w:val="000000" w:themeColor="text1"/>
          <w:sz w:val="16"/>
          <w:szCs w:val="16"/>
        </w:rPr>
        <w:softHyphen/>
        <w:t>ром катках левой стороны полностью разрушились резиновые массивы после срыва бандажа и раз</w:t>
      </w:r>
      <w:r w:rsidRPr="00F90EAE">
        <w:rPr>
          <w:color w:val="000000" w:themeColor="text1"/>
          <w:sz w:val="16"/>
          <w:szCs w:val="16"/>
        </w:rPr>
        <w:softHyphen/>
        <w:t>рушения резинового массива третьего левого внутреннего катка.</w:t>
      </w:r>
    </w:p>
    <w:p w14:paraId="1FFCCB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наружных третьих катках правой и левой стороны резиновые массивы были также разру</w:t>
      </w:r>
      <w:r w:rsidRPr="00F90EAE">
        <w:rPr>
          <w:color w:val="000000" w:themeColor="text1"/>
          <w:sz w:val="16"/>
          <w:szCs w:val="16"/>
        </w:rPr>
        <w:softHyphen/>
        <w:t>шены, а па внутренних катках были сорваны бандажи с дисков. Причиной срыва бандажей с дис</w:t>
      </w:r>
      <w:r w:rsidRPr="00F90EAE">
        <w:rPr>
          <w:color w:val="000000" w:themeColor="text1"/>
          <w:sz w:val="16"/>
          <w:szCs w:val="16"/>
        </w:rPr>
        <w:softHyphen/>
        <w:t>ков является недостаточно плотная посадка бандажей на диски, что обусловлено недостаточным контролем за допусками на изготовление бандажей и дисков при механической обработке, а также и за качеством сборки катков (за запрессовкой и сваркой).</w:t>
      </w:r>
    </w:p>
    <w:p w14:paraId="40270A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различному поведению резиновых массивов первого левого катка и первого правого на</w:t>
      </w:r>
      <w:r w:rsidRPr="00F90EAE">
        <w:rPr>
          <w:color w:val="000000" w:themeColor="text1"/>
          <w:sz w:val="16"/>
          <w:szCs w:val="16"/>
        </w:rPr>
        <w:softHyphen/>
        <w:t>ружного (после срыва бандажа), и по характеру разрушения резиновых массивов (расслоение без осмоления, с отрывом кусков резины) можно заключить, что качество резины отдельных катков было низким и объясняется недостаточным контролем за процессом изготовления резиновых мас</w:t>
      </w:r>
      <w:r w:rsidRPr="00F90EAE">
        <w:rPr>
          <w:color w:val="000000" w:themeColor="text1"/>
          <w:sz w:val="16"/>
          <w:szCs w:val="16"/>
        </w:rPr>
        <w:softHyphen/>
        <w:t>сивов шин (в основном за процессом вулканизации массивов).</w:t>
      </w:r>
    </w:p>
    <w:p w14:paraId="34C6CE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Самоходной установке СУ-100 Уралмашзавода (декабрьского выпуска 1944 г.) были зачтены га</w:t>
      </w:r>
      <w:r w:rsidRPr="00F90EAE">
        <w:rPr>
          <w:color w:val="000000" w:themeColor="text1"/>
          <w:sz w:val="16"/>
          <w:szCs w:val="16"/>
        </w:rPr>
        <w:softHyphen/>
        <w:t>рантийные испытания, исходя из следующего:</w:t>
      </w:r>
    </w:p>
    <w:p w14:paraId="49F4E5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Самоходная установка прошла гарантийные испытания без замены внутренних дисков кат</w:t>
      </w:r>
      <w:r w:rsidRPr="00F90EAE">
        <w:rPr>
          <w:color w:val="000000" w:themeColor="text1"/>
          <w:sz w:val="16"/>
          <w:szCs w:val="16"/>
        </w:rPr>
        <w:softHyphen/>
        <w:t>ков с сорванными бандажами.</w:t>
      </w:r>
    </w:p>
    <w:p w14:paraId="532565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Согласно программы гарантийных испытаний пробеги машины совершались на максималь</w:t>
      </w:r>
      <w:r w:rsidRPr="00F90EAE">
        <w:rPr>
          <w:color w:val="000000" w:themeColor="text1"/>
          <w:sz w:val="16"/>
          <w:szCs w:val="16"/>
        </w:rPr>
        <w:softHyphen/>
        <w:t>но возможных, для данных дорожных условий, скоростях. Средняя техническая скорость движе</w:t>
      </w:r>
      <w:r w:rsidRPr="00F90EAE">
        <w:rPr>
          <w:color w:val="000000" w:themeColor="text1"/>
          <w:sz w:val="16"/>
          <w:szCs w:val="16"/>
        </w:rPr>
        <w:softHyphen/>
        <w:t>ния по шоссе (в период разрушения бегового слоя массивных шин катков) составляла 28,3 миль/ч.</w:t>
      </w:r>
    </w:p>
    <w:p w14:paraId="5CAE06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Согласно технических условий на массивные шины, утвержденных народным комиссаром ре</w:t>
      </w:r>
      <w:r w:rsidRPr="00F90EAE">
        <w:rPr>
          <w:color w:val="000000" w:themeColor="text1"/>
          <w:sz w:val="16"/>
          <w:szCs w:val="16"/>
        </w:rPr>
        <w:softHyphen/>
        <w:t>зиновой промышленности СССР и согласованных с начальником ГБТУ КА 29 июня 1944 г., средняя (техническая) скорость движения машины не должна превышать 25 миль/ч.</w:t>
      </w:r>
    </w:p>
    <w:p w14:paraId="1B4165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Исходя из вышеизложенного НИБТ полигон не имел права браковать машину по разрушению шин и тем более по срыву бандажей, так как последние выходили из строя при эксплуатации маши</w:t>
      </w:r>
      <w:r w:rsidRPr="00F90EAE">
        <w:rPr>
          <w:color w:val="000000" w:themeColor="text1"/>
          <w:sz w:val="16"/>
          <w:szCs w:val="16"/>
        </w:rPr>
        <w:softHyphen/>
        <w:t>ны с разрушенными резиновыми массивами шин.</w:t>
      </w:r>
    </w:p>
    <w:p w14:paraId="36F2A5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НИБТ полигона по научно-испытательной части инженер-полковник Сыч (11420).</w:t>
      </w:r>
    </w:p>
    <w:p w14:paraId="15CDA6D8" w14:textId="77777777" w:rsidR="00665165" w:rsidRPr="00F90EAE" w:rsidRDefault="00665165" w:rsidP="00F90EAE">
      <w:pPr>
        <w:autoSpaceDE w:val="0"/>
        <w:autoSpaceDN w:val="0"/>
        <w:adjustRightInd w:val="0"/>
        <w:jc w:val="both"/>
        <w:rPr>
          <w:color w:val="000000" w:themeColor="text1"/>
          <w:sz w:val="16"/>
          <w:szCs w:val="16"/>
        </w:rPr>
      </w:pPr>
    </w:p>
    <w:p w14:paraId="0D867C1F" w14:textId="77777777" w:rsidR="004945E9" w:rsidRPr="00F90EAE" w:rsidRDefault="004945E9" w:rsidP="00F90EAE">
      <w:pPr>
        <w:jc w:val="both"/>
        <w:rPr>
          <w:color w:val="000000" w:themeColor="text1"/>
          <w:sz w:val="16"/>
          <w:szCs w:val="16"/>
        </w:rPr>
      </w:pPr>
      <w:r w:rsidRPr="00F90EAE">
        <w:rPr>
          <w:color w:val="000000" w:themeColor="text1"/>
          <w:sz w:val="16"/>
          <w:szCs w:val="16"/>
        </w:rPr>
        <w:t xml:space="preserve">[15 февраля] 1945 г. из СВЕДЕНИЙ ПАРТОРГА ЦК ВКП(б) НА ЗАВОДЕ № 644 A.M. ПЕТРОВА ПО БЫТОВОМУ ОБСЛУЖИВАНИЮ РАБОЧИХ НА ПРЕДПРИЯТИИ </w:t>
      </w:r>
    </w:p>
    <w:p w14:paraId="7B5467F5" w14:textId="77777777" w:rsidR="004945E9" w:rsidRPr="00F90EAE" w:rsidRDefault="004945E9" w:rsidP="00F90EAE">
      <w:pPr>
        <w:jc w:val="both"/>
        <w:rPr>
          <w:color w:val="000000" w:themeColor="text1"/>
          <w:sz w:val="16"/>
          <w:szCs w:val="16"/>
        </w:rPr>
      </w:pPr>
      <w:r w:rsidRPr="00F90EAE">
        <w:rPr>
          <w:color w:val="000000" w:themeColor="text1"/>
          <w:sz w:val="16"/>
          <w:szCs w:val="16"/>
        </w:rPr>
        <w:t>По жилому фонду за 1944 год</w:t>
      </w:r>
    </w:p>
    <w:p w14:paraId="702512C5" w14:textId="77777777" w:rsidR="004945E9" w:rsidRPr="00F90EAE" w:rsidRDefault="004945E9" w:rsidP="00F90EAE">
      <w:pPr>
        <w:jc w:val="both"/>
        <w:rPr>
          <w:color w:val="000000" w:themeColor="text1"/>
          <w:sz w:val="16"/>
          <w:szCs w:val="16"/>
        </w:rPr>
      </w:pPr>
      <w:r w:rsidRPr="00F90EAE">
        <w:rPr>
          <w:color w:val="000000" w:themeColor="text1"/>
          <w:sz w:val="16"/>
          <w:szCs w:val="16"/>
        </w:rPr>
        <w:t>Весь жилой фонд в 1944 году состоял: из двух каменных домов с площадью в 705 кв. метров, двух деревянных двухэтажных домов, одного одноэтажного рубленого дома, 11 старых рубленых домов, 14 бараков насыпных, 5 землянок. В каменных домах с имеющейся площадью 705 кв. м проживают 164 человека, средняя жилплощадь на 1 человека 4,30 [кв.] метра. В рубленых домах с площадью 882 кв. метров проживают 288 человек, средняя жилплощадь на 1 человека 3,72 кв. метра. В бараках засыпных с площадью 835 кв. метров проживает 210 человек, средняя жилплощадь 4,21 кв. метра. В землянках с площадью 538 кв. метров проживает 61 человек, средняя жилплощадь на 1 человека 8,8 кв. метра. Строительного материала было выдано 35 семействам фронтовиков. Жилстроительство в соответствии с утвержденным титульным списком в 1944 г. намечалось в объеме 600 тыс. рублей. Предусматривалась постройка трех восьмиквартирных домов и достройка одного дома, начатого строительством в 1943 году. Общая жилая площадь указанных четырех домов составляет 1 480 кв. метров. Фактически за истекший период года сданы в эксплуатацию два дома. На 1 января 1945 года в землянках осталось только 6 семей, которые будут переселены во вновь отстроенное помещение в первом квартале 1945 года. За 1944 год ОРСом завода было выдано для рабочих и инженерно-технических работников обуви, теплых вещей: валенок - 1 008 пар, что составляет 85% удовлетворенности рабочих; телогреек — 371 шт., или 20% к работающим, теплых брюк - 274 пары, меховых безрукавок - 201 шт. Кроме того, для инженерно-технических работников завода пошито 80 полупальто. Камвольные и трикотажные изделия не учтены.</w:t>
      </w:r>
    </w:p>
    <w:p w14:paraId="594DF7A4" w14:textId="77777777" w:rsidR="004945E9" w:rsidRPr="00F90EAE" w:rsidRDefault="004945E9" w:rsidP="00F90EAE">
      <w:pPr>
        <w:jc w:val="both"/>
        <w:rPr>
          <w:color w:val="000000" w:themeColor="text1"/>
          <w:sz w:val="16"/>
          <w:szCs w:val="16"/>
        </w:rPr>
      </w:pPr>
      <w:r w:rsidRPr="00F90EAE">
        <w:rPr>
          <w:color w:val="000000" w:themeColor="text1"/>
          <w:sz w:val="16"/>
          <w:szCs w:val="16"/>
        </w:rPr>
        <w:t>Помощь завода семьям фронтовиков и инвалидам Отечественной войны</w:t>
      </w:r>
    </w:p>
    <w:p w14:paraId="1F2233F5" w14:textId="77777777" w:rsidR="004945E9" w:rsidRPr="00F90EAE" w:rsidRDefault="004945E9" w:rsidP="00F90EAE">
      <w:pPr>
        <w:jc w:val="both"/>
        <w:rPr>
          <w:color w:val="000000" w:themeColor="text1"/>
          <w:sz w:val="16"/>
          <w:szCs w:val="16"/>
        </w:rPr>
      </w:pPr>
      <w:r w:rsidRPr="00F90EAE">
        <w:rPr>
          <w:color w:val="000000" w:themeColor="text1"/>
          <w:sz w:val="16"/>
          <w:szCs w:val="16"/>
        </w:rPr>
        <w:t xml:space="preserve">За 1944 год оказана материальная помощь семьям фронтовиков и инвалидам Отечественной войны в количестве 40 000 рублей. Выдано картофеля - 10 тонн, мануфактуры — 1 245 метров, валяной обуви - 162 пары, ордеров на трикотаж и белье - 400 штук, отпущено топлива — дров 150 кубометров, угля 80 тонн. 75 человек детей фронтовиков отдохнули в пионерлагере. </w:t>
      </w:r>
    </w:p>
    <w:p w14:paraId="7E300EA0" w14:textId="77777777" w:rsidR="004945E9" w:rsidRPr="00F90EAE" w:rsidRDefault="004945E9" w:rsidP="00F90EAE">
      <w:pPr>
        <w:jc w:val="both"/>
        <w:rPr>
          <w:color w:val="000000" w:themeColor="text1"/>
          <w:sz w:val="16"/>
          <w:szCs w:val="16"/>
        </w:rPr>
      </w:pPr>
      <w:r w:rsidRPr="00F90EAE">
        <w:rPr>
          <w:color w:val="000000" w:themeColor="text1"/>
          <w:sz w:val="16"/>
          <w:szCs w:val="16"/>
        </w:rPr>
        <w:t>Парторг ЦК ВКП(б) на заводе № 644 Петров</w:t>
      </w:r>
    </w:p>
    <w:p w14:paraId="14ADFB0D" w14:textId="77777777" w:rsidR="004945E9" w:rsidRPr="00F90EAE" w:rsidRDefault="004945E9" w:rsidP="00F90EAE">
      <w:pPr>
        <w:jc w:val="both"/>
        <w:rPr>
          <w:color w:val="000000" w:themeColor="text1"/>
          <w:sz w:val="16"/>
          <w:szCs w:val="16"/>
        </w:rPr>
      </w:pPr>
      <w:r w:rsidRPr="00F90EAE">
        <w:rPr>
          <w:color w:val="000000" w:themeColor="text1"/>
          <w:sz w:val="16"/>
          <w:szCs w:val="16"/>
        </w:rPr>
        <w:t>ГАНО. Ф. П-4. Оп. 9. Д. 371. Л. 7-8. Подлинник.</w:t>
      </w:r>
    </w:p>
    <w:p w14:paraId="7184DCFD" w14:textId="77777777" w:rsidR="004945E9" w:rsidRPr="00F90EAE" w:rsidRDefault="004945E9" w:rsidP="00F90EAE">
      <w:pPr>
        <w:jc w:val="both"/>
        <w:rPr>
          <w:color w:val="000000" w:themeColor="text1"/>
          <w:sz w:val="16"/>
          <w:szCs w:val="16"/>
        </w:rPr>
      </w:pPr>
      <w:r w:rsidRPr="00F90EAE">
        <w:rPr>
          <w:color w:val="000000" w:themeColor="text1"/>
          <w:sz w:val="16"/>
          <w:szCs w:val="16"/>
        </w:rPr>
        <w:t>Подпись-автограф Петрова. Второй экземпляр машинописной закладки (12194).</w:t>
      </w:r>
    </w:p>
    <w:p w14:paraId="111EC9C1" w14:textId="77777777" w:rsidR="004945E9" w:rsidRPr="00F90EAE" w:rsidRDefault="004945E9" w:rsidP="00F90EAE">
      <w:pPr>
        <w:jc w:val="both"/>
        <w:rPr>
          <w:color w:val="000000" w:themeColor="text1"/>
          <w:sz w:val="16"/>
          <w:szCs w:val="16"/>
        </w:rPr>
      </w:pPr>
    </w:p>
    <w:p w14:paraId="652E9DB2" w14:textId="77777777" w:rsidR="004945E9" w:rsidRPr="00F90EAE" w:rsidRDefault="004945E9" w:rsidP="00F90EAE">
      <w:pPr>
        <w:jc w:val="both"/>
        <w:rPr>
          <w:color w:val="000000" w:themeColor="text1"/>
          <w:sz w:val="16"/>
          <w:szCs w:val="16"/>
        </w:rPr>
      </w:pPr>
      <w:r w:rsidRPr="00F90EAE">
        <w:rPr>
          <w:color w:val="000000" w:themeColor="text1"/>
          <w:sz w:val="16"/>
          <w:szCs w:val="16"/>
        </w:rPr>
        <w:t>Не ранее 15 февраля 1945 г. из СПРАВКИ СЕКРЕТАРЯ ПАРТОРГАНИЗАЦИИ ЗАВОДА № 617 В.П. БОРОВИКА ПО ЖИЛИЩНОМУ ВОПРОСУ В ОТДЕЛ ЭЛЕКТРОПРОМЫШЛЕННОСТИ ОБКОМА ВКП(б)</w:t>
      </w:r>
    </w:p>
    <w:p w14:paraId="4864926D" w14:textId="77777777" w:rsidR="004945E9" w:rsidRPr="00F90EAE" w:rsidRDefault="004945E9" w:rsidP="00F90EAE">
      <w:pPr>
        <w:jc w:val="both"/>
        <w:rPr>
          <w:color w:val="000000" w:themeColor="text1"/>
          <w:sz w:val="16"/>
          <w:szCs w:val="16"/>
        </w:rPr>
      </w:pPr>
      <w:r w:rsidRPr="00F90EAE">
        <w:rPr>
          <w:color w:val="000000" w:themeColor="text1"/>
          <w:sz w:val="16"/>
          <w:szCs w:val="16"/>
        </w:rPr>
        <w:t>Завод располагает следующим жилфондом: один кирпичный дом по ул. Дуси Ковальчук, Н° 12, часть кирпичного дома по Парковой улице, № 7. Общежитие одиночек и семейных в помещении бывшего НИИГАиК[а]. Два деревянных барака по Овражной улице и жилой городок завода из 5 двухэтажных домов. За последнее время резко улучшились условия проживающих в общежитиях завода. В общежитиях школы ФЗО (кр. корпус б. НИИГАиЩа]) в результате большой проделанной работы со стороны парторганизации, профорганизации и дирекции завода в общежитии стало чисто и тепло. Если 3-4 месяца тому назад при обследовании были акты санинспекции о грязи и завшивленности среди учеников ФЗО, то последние обследования давали хорошую оценку. В общежитиях рабочих путем проведения разъяснительной работы привлечены сами рабочие к наведению порядка в общежитиях. В значительной степени наведению порядка помог проводимый конкурс на лучшую комнату. В комнатах, где проживают семейные рабочие, конкурс и проверка смотровых комиссий в значительной степени улучшили состояние комнат и квартир семейных. Вся проводимая работа мобилизовала самих проживающих на улучшение санитарного состояния и создание уюта.</w:t>
      </w:r>
    </w:p>
    <w:p w14:paraId="5552347E" w14:textId="77777777" w:rsidR="004945E9" w:rsidRPr="00F90EAE" w:rsidRDefault="004945E9" w:rsidP="00F90EAE">
      <w:pPr>
        <w:jc w:val="both"/>
        <w:rPr>
          <w:color w:val="000000" w:themeColor="text1"/>
          <w:sz w:val="16"/>
          <w:szCs w:val="16"/>
        </w:rPr>
      </w:pPr>
      <w:r w:rsidRPr="00F90EAE">
        <w:rPr>
          <w:color w:val="000000" w:themeColor="text1"/>
          <w:sz w:val="16"/>
          <w:szCs w:val="16"/>
        </w:rPr>
        <w:t>Новое жилищное строительство</w:t>
      </w:r>
    </w:p>
    <w:p w14:paraId="4DB497E5" w14:textId="77777777" w:rsidR="004945E9" w:rsidRPr="00F90EAE" w:rsidRDefault="004945E9" w:rsidP="00F90EAE">
      <w:pPr>
        <w:jc w:val="both"/>
        <w:rPr>
          <w:color w:val="000000" w:themeColor="text1"/>
          <w:sz w:val="16"/>
          <w:szCs w:val="16"/>
        </w:rPr>
      </w:pPr>
      <w:r w:rsidRPr="00F90EAE">
        <w:rPr>
          <w:color w:val="000000" w:themeColor="text1"/>
          <w:sz w:val="16"/>
          <w:szCs w:val="16"/>
        </w:rPr>
        <w:t>Начатое строительство деревянных домов временно приостановлено из-за отсутствия в настоящее время строительного материала (леса). Незаконченными остались 3 дома 2-этажных и 1 дом одноэтажный. В текущем году начато строительство 5-этажного каменного жилого дома на 50 благоустроенных квартир.</w:t>
      </w:r>
    </w:p>
    <w:p w14:paraId="24340908" w14:textId="77777777" w:rsidR="004945E9" w:rsidRPr="00F90EAE" w:rsidRDefault="004945E9" w:rsidP="00F90EAE">
      <w:pPr>
        <w:jc w:val="both"/>
        <w:rPr>
          <w:color w:val="000000" w:themeColor="text1"/>
          <w:sz w:val="16"/>
          <w:szCs w:val="16"/>
        </w:rPr>
      </w:pPr>
      <w:r w:rsidRPr="00F90EAE">
        <w:rPr>
          <w:color w:val="000000" w:themeColor="text1"/>
          <w:sz w:val="16"/>
          <w:szCs w:val="16"/>
        </w:rPr>
        <w:t>Общественное питание</w:t>
      </w:r>
    </w:p>
    <w:p w14:paraId="7B4B2D67" w14:textId="77777777" w:rsidR="004945E9" w:rsidRPr="00F90EAE" w:rsidRDefault="004945E9" w:rsidP="00F90EAE">
      <w:pPr>
        <w:jc w:val="both"/>
        <w:rPr>
          <w:color w:val="000000" w:themeColor="text1"/>
          <w:sz w:val="16"/>
          <w:szCs w:val="16"/>
        </w:rPr>
      </w:pPr>
      <w:r w:rsidRPr="00F90EAE">
        <w:rPr>
          <w:color w:val="000000" w:themeColor="text1"/>
          <w:sz w:val="16"/>
          <w:szCs w:val="16"/>
        </w:rPr>
        <w:t>Наличие картофеля на 1 февраля 1945 г. составляет 190 тонн, не считая 100 тонн семейного фонда. Из наличного состава 40 тонн подлежат выдаче рабочим и 150 тонн остается для общественного питания,</w:t>
      </w:r>
    </w:p>
    <w:p w14:paraId="0E19BCC9" w14:textId="77777777" w:rsidR="004945E9" w:rsidRPr="00F90EAE" w:rsidRDefault="004945E9" w:rsidP="00F90EAE">
      <w:pPr>
        <w:jc w:val="both"/>
        <w:rPr>
          <w:color w:val="000000" w:themeColor="text1"/>
          <w:sz w:val="16"/>
          <w:szCs w:val="16"/>
        </w:rPr>
      </w:pPr>
      <w:r w:rsidRPr="00F90EAE">
        <w:rPr>
          <w:color w:val="000000" w:themeColor="text1"/>
          <w:sz w:val="16"/>
          <w:szCs w:val="16"/>
        </w:rPr>
        <w:t>что должно хватить до 1 августа 1945 г. из расчета расхода 25 тонн в месяц. Овощей на 1 февраля 1945 г. осталось 40 тонн, что также должно хватить до 1 августа 1945 года. Завод имеет две столовые, столовая № 1 при заводе и № 2 в бывшем здании НИИГАиЩа]. Столовые кухонной посудой обеспечены полностью, недостаточно тарелок (в ближайшие дни тарелками столовые будут обеспечены за счет собственного изготовления и частично будет закуплено).</w:t>
      </w:r>
    </w:p>
    <w:p w14:paraId="0C6C21F2" w14:textId="77777777" w:rsidR="004945E9" w:rsidRPr="00F90EAE" w:rsidRDefault="004945E9" w:rsidP="00F90EAE">
      <w:pPr>
        <w:jc w:val="both"/>
        <w:rPr>
          <w:color w:val="000000" w:themeColor="text1"/>
          <w:sz w:val="16"/>
          <w:szCs w:val="16"/>
        </w:rPr>
      </w:pPr>
      <w:r w:rsidRPr="00F90EAE">
        <w:rPr>
          <w:color w:val="000000" w:themeColor="text1"/>
          <w:sz w:val="16"/>
          <w:szCs w:val="16"/>
        </w:rPr>
        <w:t>Работа подсобных предприятий ОРСа</w:t>
      </w:r>
    </w:p>
    <w:p w14:paraId="2B5EF9DC" w14:textId="77777777" w:rsidR="004945E9" w:rsidRPr="00F90EAE" w:rsidRDefault="004945E9" w:rsidP="00F90EAE">
      <w:pPr>
        <w:jc w:val="both"/>
        <w:rPr>
          <w:color w:val="000000" w:themeColor="text1"/>
          <w:sz w:val="16"/>
          <w:szCs w:val="16"/>
        </w:rPr>
      </w:pPr>
      <w:r w:rsidRPr="00F90EAE">
        <w:rPr>
          <w:color w:val="000000" w:themeColor="text1"/>
          <w:sz w:val="16"/>
          <w:szCs w:val="16"/>
        </w:rPr>
        <w:t>В сапожной мастерской работает 9 мастеров и 2 ученика. Сапожная мастерская плохо еще справляется с работой. Причинами плохой работы являются ... перебои в снабжении кожаными товарами, недостаточное количество мастеров, плохо организована работа мастеров, отсутствие достаточного количества колодок. Все эти вопросы в настоящее время разрешаются ОРСом.</w:t>
      </w:r>
    </w:p>
    <w:p w14:paraId="75A4488E" w14:textId="77777777" w:rsidR="004945E9" w:rsidRPr="00F90EAE" w:rsidRDefault="004945E9" w:rsidP="00F90EAE">
      <w:pPr>
        <w:jc w:val="both"/>
        <w:rPr>
          <w:color w:val="000000" w:themeColor="text1"/>
          <w:sz w:val="16"/>
          <w:szCs w:val="16"/>
        </w:rPr>
      </w:pPr>
      <w:r w:rsidRPr="00F90EAE">
        <w:rPr>
          <w:color w:val="000000" w:themeColor="text1"/>
          <w:sz w:val="16"/>
          <w:szCs w:val="16"/>
        </w:rPr>
        <w:t>Секретарь парт. организации завода № 617 Боровик</w:t>
      </w:r>
    </w:p>
    <w:p w14:paraId="3A807569" w14:textId="77777777" w:rsidR="004945E9" w:rsidRPr="00F90EAE" w:rsidRDefault="004945E9" w:rsidP="00F90EAE">
      <w:pPr>
        <w:jc w:val="both"/>
        <w:rPr>
          <w:color w:val="000000" w:themeColor="text1"/>
          <w:sz w:val="16"/>
          <w:szCs w:val="16"/>
        </w:rPr>
      </w:pPr>
      <w:r w:rsidRPr="00F90EAE">
        <w:rPr>
          <w:color w:val="000000" w:themeColor="text1"/>
          <w:sz w:val="16"/>
          <w:szCs w:val="16"/>
        </w:rPr>
        <w:t>ГАНС Ф. П-4. Оп. 9. Д. 371. Л. 9. Подлинник. Подпись автограф Боровика (12194).</w:t>
      </w:r>
    </w:p>
    <w:p w14:paraId="6D250081" w14:textId="77777777" w:rsidR="004945E9" w:rsidRPr="00F90EAE" w:rsidRDefault="004945E9" w:rsidP="00F90EAE">
      <w:pPr>
        <w:jc w:val="both"/>
        <w:rPr>
          <w:color w:val="000000" w:themeColor="text1"/>
          <w:sz w:val="16"/>
          <w:szCs w:val="16"/>
        </w:rPr>
      </w:pPr>
    </w:p>
    <w:p w14:paraId="3F913A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вышло Распоряжение ГКО № 7543. О дополнительной поставке угля заводу № 863 НКлеса. РГАНИР, Фонд ГКО, д. 372, лл. 64 (11012).</w:t>
      </w:r>
    </w:p>
    <w:p w14:paraId="416B8DAF" w14:textId="77777777" w:rsidR="00665165" w:rsidRPr="00F90EAE" w:rsidRDefault="00665165" w:rsidP="00F90EAE">
      <w:pPr>
        <w:autoSpaceDE w:val="0"/>
        <w:autoSpaceDN w:val="0"/>
        <w:adjustRightInd w:val="0"/>
        <w:jc w:val="both"/>
        <w:rPr>
          <w:color w:val="000000" w:themeColor="text1"/>
          <w:sz w:val="16"/>
          <w:szCs w:val="16"/>
        </w:rPr>
      </w:pPr>
    </w:p>
    <w:p w14:paraId="5627516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D6BE784" w14:textId="77777777" w:rsidR="00665165" w:rsidRPr="00F90EAE" w:rsidRDefault="00665165" w:rsidP="00F90EAE">
      <w:pPr>
        <w:autoSpaceDE w:val="0"/>
        <w:autoSpaceDN w:val="0"/>
        <w:adjustRightInd w:val="0"/>
        <w:jc w:val="both"/>
        <w:rPr>
          <w:iCs/>
          <w:color w:val="000000" w:themeColor="text1"/>
          <w:sz w:val="16"/>
          <w:szCs w:val="16"/>
        </w:rPr>
      </w:pPr>
    </w:p>
    <w:p w14:paraId="6F9D84C6" w14:textId="77777777" w:rsidR="008741BA" w:rsidRPr="00F90EAE" w:rsidRDefault="008741BA" w:rsidP="00F90EAE">
      <w:pPr>
        <w:jc w:val="both"/>
        <w:rPr>
          <w:color w:val="000000" w:themeColor="text1"/>
          <w:sz w:val="16"/>
          <w:szCs w:val="16"/>
        </w:rPr>
      </w:pPr>
      <w:r w:rsidRPr="00F90EAE">
        <w:rPr>
          <w:bCs/>
          <w:color w:val="000000" w:themeColor="text1"/>
          <w:sz w:val="16"/>
          <w:szCs w:val="16"/>
        </w:rPr>
        <w:t>15 февраля</w:t>
      </w:r>
      <w:r w:rsidRPr="00F90EAE">
        <w:rPr>
          <w:color w:val="000000" w:themeColor="text1"/>
          <w:sz w:val="16"/>
          <w:szCs w:val="16"/>
        </w:rPr>
        <w:t xml:space="preserve"> в 1945 году оперативная сводка Совинформбюро:</w:t>
      </w:r>
    </w:p>
    <w:p w14:paraId="08FB8742" w14:textId="77777777" w:rsidR="008741BA" w:rsidRPr="00F90EAE" w:rsidRDefault="008741BA" w:rsidP="00F90EAE">
      <w:pPr>
        <w:jc w:val="both"/>
        <w:rPr>
          <w:color w:val="000000" w:themeColor="text1"/>
          <w:sz w:val="16"/>
          <w:szCs w:val="16"/>
        </w:rPr>
      </w:pPr>
      <w:r w:rsidRPr="00F90EAE">
        <w:rPr>
          <w:color w:val="000000" w:themeColor="text1"/>
          <w:sz w:val="16"/>
          <w:szCs w:val="16"/>
        </w:rPr>
        <w:t>«В течение 15 февраля в Восточной Пруссии южнее Кенигсберга наши войска вели наступательные бои, в ходе которых овладели населёнными пунктами Розиттен, Кумкайм, Гросс Клаузитен, Либенталь, Лихтенау, Лоттер-Фельд, Зонвальде, Хайнрикау.</w:t>
      </w:r>
    </w:p>
    <w:p w14:paraId="3480B509" w14:textId="77777777" w:rsidR="008741BA" w:rsidRPr="00F90EAE" w:rsidRDefault="008741BA"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15 февраля с боем овладели городами Хойнице (Конитц) и Тухоля (Тухель) — крупными узлами коммуникаций и сильными опорными пунктами обороны немцев в западной части Польши.</w:t>
      </w:r>
    </w:p>
    <w:p w14:paraId="48ADEDBD" w14:textId="77777777" w:rsidR="008741BA" w:rsidRPr="00F90EAE" w:rsidRDefault="008741BA" w:rsidP="00F90EAE">
      <w:pPr>
        <w:jc w:val="both"/>
        <w:rPr>
          <w:color w:val="000000" w:themeColor="text1"/>
          <w:sz w:val="16"/>
          <w:szCs w:val="16"/>
        </w:rPr>
      </w:pPr>
      <w:r w:rsidRPr="00F90EAE">
        <w:rPr>
          <w:color w:val="000000" w:themeColor="text1"/>
          <w:sz w:val="16"/>
          <w:szCs w:val="16"/>
        </w:rPr>
        <w:t>В Познани продолжались бои по уничтожению окружённого гарнизона немцев.</w:t>
      </w:r>
    </w:p>
    <w:p w14:paraId="538652D6" w14:textId="77777777" w:rsidR="008741BA" w:rsidRPr="00F90EAE" w:rsidRDefault="008741BA" w:rsidP="00F90EAE">
      <w:pPr>
        <w:jc w:val="both"/>
        <w:rPr>
          <w:color w:val="000000" w:themeColor="text1"/>
          <w:sz w:val="16"/>
          <w:szCs w:val="16"/>
        </w:rPr>
      </w:pPr>
      <w:r w:rsidRPr="00F90EAE">
        <w:rPr>
          <w:color w:val="000000" w:themeColor="text1"/>
          <w:sz w:val="16"/>
          <w:szCs w:val="16"/>
        </w:rPr>
        <w:t>К исходу 15 февраля наши войска очистили от противника большую часть города, расположенную на западном берегу реки Варта. Гарнизон немцев к этому же времени продолжал удерживать в своих руках район Цитадели на западном берегу Варты и четыре пригорода, расположенных на восточном берегу реки.</w:t>
      </w:r>
    </w:p>
    <w:p w14:paraId="6324BA26" w14:textId="77777777" w:rsidR="008741BA" w:rsidRPr="00F90EAE" w:rsidRDefault="008741BA" w:rsidP="00F90EAE">
      <w:pPr>
        <w:jc w:val="both"/>
        <w:rPr>
          <w:color w:val="000000" w:themeColor="text1"/>
          <w:sz w:val="16"/>
          <w:szCs w:val="16"/>
        </w:rPr>
      </w:pPr>
      <w:r w:rsidRPr="00F90EAE">
        <w:rPr>
          <w:color w:val="000000" w:themeColor="text1"/>
          <w:sz w:val="16"/>
          <w:szCs w:val="16"/>
        </w:rPr>
        <w:t xml:space="preserve">Войска 1-го Украинского фронта, развивая наступление, 15 февраля овладели на территории немецкой Силезии городом Грюнберг и в провинции Бранденбург городами Зоммерфельд и Зорау — важными узлами коммуникаций и мощными опорными пунктами обороны немцев, а также с боями заняли более 150 других </w:t>
      </w:r>
      <w:r w:rsidRPr="00F90EAE">
        <w:rPr>
          <w:color w:val="000000" w:themeColor="text1"/>
          <w:sz w:val="16"/>
          <w:szCs w:val="16"/>
        </w:rPr>
        <w:lastRenderedPageBreak/>
        <w:t>населённых пунктов, среди которых крупные населённые пункты Эйхвальдау, Швайнитц, Наумбург, Гассен, Бенау, Веллерсдорф, Тшибсдорф. За 14 февраля в этом районе войска фронта взяли в плен более 2.000 немецких солдат и офицеров и захватили на аэродромах 120 самолётов противника.</w:t>
      </w:r>
    </w:p>
    <w:p w14:paraId="13063EEA" w14:textId="77777777" w:rsidR="008741BA" w:rsidRPr="00F90EAE" w:rsidRDefault="008741BA" w:rsidP="00F90EAE">
      <w:pPr>
        <w:jc w:val="both"/>
        <w:rPr>
          <w:color w:val="000000" w:themeColor="text1"/>
          <w:sz w:val="16"/>
          <w:szCs w:val="16"/>
        </w:rPr>
      </w:pPr>
      <w:r w:rsidRPr="00F90EAE">
        <w:rPr>
          <w:color w:val="000000" w:themeColor="text1"/>
          <w:sz w:val="16"/>
          <w:szCs w:val="16"/>
        </w:rPr>
        <w:t>Северо-западнее Будапешта наши войска завершали уничтожение блокированных в лесах разрозненных групп противника, прорвавшихся из западной части Будапешта. За 14 февраля в этом районе наши войска взяли в плен 6.650 солдат и офицеров противника. В числе пленных командующий штурмовой артиллерией Будапештской группировки генерал-лейтенант Бельницер, генерал-лейтенант Имре Каландри и генерал-майор Лем Беркович.</w:t>
      </w:r>
    </w:p>
    <w:p w14:paraId="71A85B31" w14:textId="77777777" w:rsidR="008741BA" w:rsidRPr="00F90EAE" w:rsidRDefault="008741BA"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бои местного значения.</w:t>
      </w:r>
    </w:p>
    <w:p w14:paraId="62BF4BE1" w14:textId="77777777" w:rsidR="008741BA" w:rsidRPr="00F90EAE" w:rsidRDefault="008741BA" w:rsidP="00F90EAE">
      <w:pPr>
        <w:jc w:val="both"/>
        <w:rPr>
          <w:color w:val="000000" w:themeColor="text1"/>
          <w:sz w:val="16"/>
          <w:szCs w:val="16"/>
        </w:rPr>
      </w:pPr>
      <w:r w:rsidRPr="00F90EAE">
        <w:rPr>
          <w:color w:val="000000" w:themeColor="text1"/>
          <w:sz w:val="16"/>
          <w:szCs w:val="16"/>
        </w:rPr>
        <w:t>За 14 февраля на всех фронтах подбито и уничтожено 90 немецких танков. В воздушных боях и огнём зенитной артиллерии сбито 25 самолётов противника.</w:t>
      </w:r>
    </w:p>
    <w:p w14:paraId="5FCED1ED" w14:textId="77777777" w:rsidR="008741BA" w:rsidRPr="00F90EAE" w:rsidRDefault="008741BA" w:rsidP="00F90EAE">
      <w:pPr>
        <w:jc w:val="both"/>
        <w:rPr>
          <w:color w:val="000000" w:themeColor="text1"/>
          <w:sz w:val="16"/>
          <w:szCs w:val="16"/>
        </w:rPr>
      </w:pPr>
      <w:r w:rsidRPr="00F90EAE">
        <w:rPr>
          <w:color w:val="000000" w:themeColor="text1"/>
          <w:sz w:val="16"/>
          <w:szCs w:val="16"/>
        </w:rPr>
        <w:t>В Восточной Пруссии южнее Кенигсберга наши войска в результате упорных боёв выбили немцев из сильно укреплённого опорного пункта Розиттен. В этом районе захвачены большие трофеи, в числе которых 49 паровозов и 283 железнодорожных вагона с различными грузами. На другом участке советские части, преодолев полосу железобетонных укреплений немцев, продвинулись вперёд на 10 километров и заняли селение Хайнрикау. Этот населенный пункт находится в 6 километрах севернее города Вормдитт на железной дороге Вормдитт — Цинтен. За день боёв уничтожено 2 тысячи немецких солдат и офицеров, 23 танка и самоходных орудия. Взято в плен 500 солдат и офицеров противника.</w:t>
      </w:r>
    </w:p>
    <w:p w14:paraId="1C584D1D" w14:textId="77777777" w:rsidR="008741BA" w:rsidRPr="00F90EAE" w:rsidRDefault="008741BA"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вчера вышли на подступы к городу Хойнице (Конитц). Немцы построили вокруг города укрепления полевого типа, усиленные дотами, а также отрыли глубокие противотанковые рвы. Противник стянул в этот район много артиллерии и крупные силы танков и пехоты. Только за последние дни гарнизон города пополнился пехотной дивизией и боевыми группами, сформированными из курсантов, военных училищ. Наши войска преодолели немецкие укрепления и ворвались в Хойнице с юга. Последовавшими затем ударами с востока и запада вражеская оборона была дезорганизована. Немецкий гарнизон понёс большие потери и в беспорядке отступил. Советские части, овладевшие городом Хойнице, захватили много вооружения и склады с военными материалами. Только на подступах к городу немцы потеряли убитыми до 1.500 солдат и офицеров. Сожжено 14 вражеских танков. Город Хойнице являлся сильным опорным пунктом обороны немцев в западной части Польши. Кроме того, Хойнице являются важным узлом коммуникаций, питавшим действующую в этом районе группировку немецких войск. К городу сходятся шесть железных и восемь шоссейных дорог.</w:t>
      </w:r>
    </w:p>
    <w:p w14:paraId="0293071D" w14:textId="77777777" w:rsidR="008741BA" w:rsidRPr="00F90EAE" w:rsidRDefault="008741BA" w:rsidP="00F90EAE">
      <w:pPr>
        <w:jc w:val="both"/>
        <w:rPr>
          <w:color w:val="000000" w:themeColor="text1"/>
          <w:sz w:val="16"/>
          <w:szCs w:val="16"/>
        </w:rPr>
      </w:pPr>
      <w:r w:rsidRPr="00F90EAE">
        <w:rPr>
          <w:color w:val="000000" w:themeColor="text1"/>
          <w:sz w:val="16"/>
          <w:szCs w:val="16"/>
        </w:rPr>
        <w:t>Войска 1-го Украинского фронта продолжали развивать успешное наступление. Противник лихорадочно перебрасывает в район боёв свежие части. Однако все попытки немцев задержать наши войска терпят неудачу. Советские части перемалывают вражеские резервы и настойчиво продвигаются вперёд. Наши подвижные соединения и пехота, наступающие вдоль западного берега реки Одер, преодолели лесистую местность и атаковали немецкий гарнизон города Грюнберг. Мощными ударами с юго-востока и востока советские части сломили сопротивление противника и овладели городом. Другие наши части совершили стремительный бросок на северо-запад. Форсировав на своём пути реку Бобер, ряд разлившихся речек и преодолев несколько промежуточных оборонительных рубежей, советские танки и пехота продвинулись вперёд на 40 километров. С боями занят город и узел железных дорог Зоммерфельд. Зоммерфельд расположен в 18—20 километрах от крупных промышленных центров Германии городов Губен и Форст. После упорных боёв, советские части овладели городом Зорау. По неполным данным, в течение дня уничтожено 35 немецких танков, и 18 бронетранспортёров.</w:t>
      </w:r>
    </w:p>
    <w:p w14:paraId="5D849224" w14:textId="77777777" w:rsidR="008741BA" w:rsidRPr="00F90EAE" w:rsidRDefault="008741BA" w:rsidP="00F90EAE">
      <w:pPr>
        <w:jc w:val="both"/>
        <w:rPr>
          <w:color w:val="000000" w:themeColor="text1"/>
          <w:sz w:val="16"/>
          <w:szCs w:val="16"/>
        </w:rPr>
      </w:pPr>
      <w:r w:rsidRPr="00F90EAE">
        <w:rPr>
          <w:color w:val="000000" w:themeColor="text1"/>
          <w:sz w:val="16"/>
          <w:szCs w:val="16"/>
        </w:rPr>
        <w:t>За последние пять дней наши войска захватили на аэродромах 765 немецких самолётов.</w:t>
      </w:r>
    </w:p>
    <w:p w14:paraId="41E7482C" w14:textId="77777777" w:rsidR="008741BA" w:rsidRPr="00F90EAE" w:rsidRDefault="008741BA"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атаковала в районе мыса Риксгефт (Балтийское море) несколько транспортов противника. Самолёт, пилотируемый лётчиком Носовым, был подбит и загорелся. Лётчик направил горящий самолёт на немецкий транспорт и врезался в него. Произошёл взрыв. Транспорт водоизмещением в 6 тысяч тонн пошёл ко дну. Экипаж, в составе тт. Носова, Игошина и Дорофеева, погиб смертью героев. Другие наши самолёты, продолжая атаки, потопили второй немецкий транспорт водоизмещением в 10 тысяч тонн.</w:t>
      </w:r>
    </w:p>
    <w:p w14:paraId="60C88956" w14:textId="77777777" w:rsidR="008741BA" w:rsidRPr="00F90EAE" w:rsidRDefault="008741BA"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транспорт противника водоизмещением в 8 тысяч тонн.</w:t>
      </w:r>
    </w:p>
    <w:p w14:paraId="0849A1C8" w14:textId="77777777" w:rsidR="008741BA" w:rsidRPr="00F90EAE" w:rsidRDefault="008741BA" w:rsidP="00F90EAE">
      <w:pPr>
        <w:jc w:val="both"/>
        <w:rPr>
          <w:color w:val="000000" w:themeColor="text1"/>
          <w:sz w:val="16"/>
          <w:szCs w:val="16"/>
        </w:rPr>
      </w:pPr>
      <w:r w:rsidRPr="00F90EAE">
        <w:rPr>
          <w:color w:val="000000" w:themeColor="text1"/>
          <w:sz w:val="16"/>
          <w:szCs w:val="16"/>
        </w:rPr>
        <w:t>Пленный ефрейтор 504-й зенитной бригады Макс Молик рассказал: «Немецкое командование уделяло исключительное внимание обороне крепости Штейнау, прикрывавшей западный берег реки Одер. На подступах к городу были построены укрепления с множеством дотов. Однако русские войска окружили Штейнау. Комендант крепости Бернард заявил, что город и крепость Штейнау должны быть удержаны во что бы то ни стало. Он угрожал расстрелом всякому, кто заикнётся о капитуляции. Гарнизон нёс огромные потери. Монастырь был набит ранеными солдатами и офицерами. Русская пехота и танки прорвались в город и начали теснить нас. Когда солдаты увидели, что положение безвыходное, среди них началась паника. Судьба гарнизона была решена».</w:t>
      </w:r>
    </w:p>
    <w:p w14:paraId="0BD01A99" w14:textId="77777777" w:rsidR="008741BA" w:rsidRPr="00F90EAE" w:rsidRDefault="008741BA" w:rsidP="00F90EAE">
      <w:pPr>
        <w:jc w:val="both"/>
        <w:rPr>
          <w:color w:val="000000" w:themeColor="text1"/>
          <w:sz w:val="16"/>
          <w:szCs w:val="16"/>
        </w:rPr>
      </w:pPr>
      <w:r w:rsidRPr="00F90EAE">
        <w:rPr>
          <w:color w:val="000000" w:themeColor="text1"/>
          <w:sz w:val="16"/>
          <w:szCs w:val="16"/>
        </w:rPr>
        <w:t>Пленный обер-фельдфебель 1-й роты боевой группы «Гейдрих» Людвиг Биндер сообщил: «В город Штейнау мы прибыли 27 января вместе с танковым полком. Когда русские войска окружили город наша группа, поддержанная танками, получила приказ прорвать изнутри кольцо окружения. Русские открыли ураганный огонь и сразу подбили несколько танков. Прорваться нам не удалось. Мы были отброшены в город, где вскоре сдались в плен».</w:t>
      </w:r>
    </w:p>
    <w:p w14:paraId="4999281D" w14:textId="77777777" w:rsidR="008741BA" w:rsidRPr="00F90EAE" w:rsidRDefault="008741BA" w:rsidP="00F90EAE">
      <w:pPr>
        <w:jc w:val="both"/>
        <w:rPr>
          <w:color w:val="000000" w:themeColor="text1"/>
          <w:sz w:val="16"/>
          <w:szCs w:val="16"/>
        </w:rPr>
      </w:pPr>
      <w:r w:rsidRPr="00F90EAE">
        <w:rPr>
          <w:color w:val="000000" w:themeColor="text1"/>
          <w:sz w:val="16"/>
          <w:szCs w:val="16"/>
        </w:rPr>
        <w:t>Пленный унтер-офицер 7-й роты 9-го отдельного танкового батальона Бернгард Кейн заявил: «Нас очень спешно отправили в район Штейнау и с хода бросили в бой. Батальон имел до 40 танков. Из них 25 были сожжены и подбиты за первые два дня боёв. Все остальные танки в исправном состоянии попали в руки русских» (15041).</w:t>
      </w:r>
    </w:p>
    <w:p w14:paraId="13A4B3C9" w14:textId="77777777" w:rsidR="008741BA" w:rsidRPr="00F90EAE" w:rsidRDefault="008741BA" w:rsidP="00F90EAE">
      <w:pPr>
        <w:jc w:val="both"/>
        <w:rPr>
          <w:color w:val="000000" w:themeColor="text1"/>
          <w:sz w:val="16"/>
          <w:szCs w:val="16"/>
        </w:rPr>
      </w:pPr>
    </w:p>
    <w:p w14:paraId="3091D1E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февраля 1945 советские войска маршала Конева окружили Бреслау (4962).</w:t>
      </w:r>
    </w:p>
    <w:p w14:paraId="652F5BD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E44D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м Д.Жабинский направил горящий самолет Ил-2 на врага (455,163).</w:t>
      </w:r>
    </w:p>
    <w:p w14:paraId="25830E9A" w14:textId="77777777" w:rsidR="00665165" w:rsidRPr="00F90EAE" w:rsidRDefault="00665165" w:rsidP="00F90EAE">
      <w:pPr>
        <w:autoSpaceDE w:val="0"/>
        <w:autoSpaceDN w:val="0"/>
        <w:adjustRightInd w:val="0"/>
        <w:jc w:val="both"/>
        <w:rPr>
          <w:color w:val="000000" w:themeColor="text1"/>
          <w:sz w:val="16"/>
          <w:szCs w:val="16"/>
        </w:rPr>
      </w:pPr>
    </w:p>
    <w:p w14:paraId="2FD400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А-20 51 мтап в юго-восточной части БМ в составе 7 топмачтовиков и 7 торпедоносцев в трех группах (3 и 3, 2 и 2 и 2 и 2) использовали по 1хФАБ-500 + 2хФАБ-250 топмачтовиков и по одной 45-35АН + 24 Як-9. Группы шли строем клин с интервалом между ними в 500 м. Сначала атаковали топмачтовики|, сбросив бомбы с 200-300 м. Потом - торпедоносцы. Потопили 4 транспорта в сумме 22000 т. 3 - топмачтовики, 1 - торпедоносцы. Т.к. атаковали с одного борта - потеряли торпедоносец (4414,14).</w:t>
      </w:r>
    </w:p>
    <w:p w14:paraId="73152E07" w14:textId="77777777" w:rsidR="00665165" w:rsidRPr="00F90EAE" w:rsidRDefault="00665165" w:rsidP="00F90EAE">
      <w:pPr>
        <w:autoSpaceDE w:val="0"/>
        <w:autoSpaceDN w:val="0"/>
        <w:adjustRightInd w:val="0"/>
        <w:jc w:val="both"/>
        <w:rPr>
          <w:color w:val="000000" w:themeColor="text1"/>
          <w:sz w:val="16"/>
          <w:szCs w:val="16"/>
        </w:rPr>
      </w:pPr>
    </w:p>
    <w:p w14:paraId="0E93A60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15, 1945: On the Eastern front, the Red Army captures Sagan in Silesia. Also, Operation Sonnenwende is launched by all three Korps from the 11.SS-Panzer-Armee (XXXIX.Panzer, III.SS-Panzer, and X.SS). They were all to attack on this date but the only divisions ready were the from the III.SS.Panzer-Korps. They began to attack on the 15th with a Kampfgruppe from the 11.SS-PzGr.Div. "Nordland" &amp; 27.SS-Grenadier-Div. "Langemarck", of III.SS.Pz.Korps attacking south towards Arnswalde (about 30-35 kms southeast of Stargard). The KG from the 11.SS followed up the initial penetrations by the infantry of the 27.SS (3819).</w:t>
      </w:r>
    </w:p>
    <w:p w14:paraId="5155FC97" w14:textId="77777777" w:rsidR="00665165" w:rsidRPr="00F90EAE" w:rsidRDefault="00665165" w:rsidP="00F90EAE">
      <w:pPr>
        <w:autoSpaceDE w:val="0"/>
        <w:autoSpaceDN w:val="0"/>
        <w:adjustRightInd w:val="0"/>
        <w:jc w:val="both"/>
        <w:rPr>
          <w:color w:val="000000" w:themeColor="text1"/>
          <w:sz w:val="16"/>
          <w:szCs w:val="16"/>
          <w:lang w:val="en-US"/>
        </w:rPr>
      </w:pPr>
    </w:p>
    <w:p w14:paraId="6AC80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февраля 1945 КА заняла Саган в Силезии. Немецкие войска не смогли провести мощную контратаку в Восточной Пруссии (3819).</w:t>
      </w:r>
    </w:p>
    <w:p w14:paraId="177643AD" w14:textId="77777777" w:rsidR="00665165" w:rsidRPr="00F90EAE" w:rsidRDefault="00665165" w:rsidP="00F90EAE">
      <w:pPr>
        <w:autoSpaceDE w:val="0"/>
        <w:autoSpaceDN w:val="0"/>
        <w:adjustRightInd w:val="0"/>
        <w:jc w:val="both"/>
        <w:rPr>
          <w:color w:val="000000" w:themeColor="text1"/>
          <w:sz w:val="16"/>
          <w:szCs w:val="16"/>
        </w:rPr>
      </w:pPr>
    </w:p>
    <w:p w14:paraId="2F0EEF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г. Власов сообщил Мальцеву, что собирается выводить свои воинские формирования навстречу американцам в надежде выговорить приемлемые условия капитуляции. ВВС РОА следовало в течение трех дней осуществить переброску своих частей на подходящие аэродромы и сдать машины Ашенбреннеру (4538).</w:t>
      </w:r>
    </w:p>
    <w:p w14:paraId="6B024A88" w14:textId="77777777" w:rsidR="00665165" w:rsidRPr="00F90EAE" w:rsidRDefault="00665165" w:rsidP="00F90EAE">
      <w:pPr>
        <w:autoSpaceDE w:val="0"/>
        <w:autoSpaceDN w:val="0"/>
        <w:adjustRightInd w:val="0"/>
        <w:jc w:val="both"/>
        <w:rPr>
          <w:color w:val="000000" w:themeColor="text1"/>
          <w:sz w:val="16"/>
          <w:szCs w:val="16"/>
        </w:rPr>
      </w:pPr>
    </w:p>
    <w:p w14:paraId="51F22BA1" w14:textId="77777777" w:rsidR="008741B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280B2CD" w14:textId="77777777" w:rsidR="008741BA" w:rsidRPr="00F90EAE" w:rsidRDefault="008741BA" w:rsidP="00F90EAE">
      <w:pPr>
        <w:autoSpaceDE w:val="0"/>
        <w:autoSpaceDN w:val="0"/>
        <w:adjustRightInd w:val="0"/>
        <w:jc w:val="both"/>
        <w:rPr>
          <w:iCs/>
          <w:color w:val="000000" w:themeColor="text1"/>
          <w:sz w:val="16"/>
          <w:szCs w:val="16"/>
        </w:rPr>
      </w:pPr>
    </w:p>
    <w:p w14:paraId="2E585138" w14:textId="77777777" w:rsidR="008741BA" w:rsidRPr="00F90EAE" w:rsidRDefault="008741BA" w:rsidP="00F90EAE">
      <w:pPr>
        <w:jc w:val="both"/>
        <w:rPr>
          <w:color w:val="000000" w:themeColor="text1"/>
          <w:sz w:val="16"/>
          <w:szCs w:val="16"/>
        </w:rPr>
      </w:pPr>
      <w:r w:rsidRPr="00F90EAE">
        <w:rPr>
          <w:bCs/>
          <w:color w:val="000000" w:themeColor="text1"/>
          <w:sz w:val="16"/>
          <w:szCs w:val="16"/>
        </w:rPr>
        <w:t>15 февраля</w:t>
      </w:r>
      <w:r w:rsidRPr="00F90EAE">
        <w:rPr>
          <w:color w:val="000000" w:themeColor="text1"/>
          <w:sz w:val="16"/>
          <w:szCs w:val="16"/>
        </w:rPr>
        <w:t xml:space="preserve"> в 1945 году возобновила передачи Вторая программа Всесоюзного радио (15041).</w:t>
      </w:r>
    </w:p>
    <w:p w14:paraId="0D3096A8" w14:textId="77777777" w:rsidR="008741BA" w:rsidRPr="00F90EAE" w:rsidRDefault="008741BA" w:rsidP="00F90EAE">
      <w:pPr>
        <w:jc w:val="both"/>
        <w:rPr>
          <w:color w:val="000000" w:themeColor="text1"/>
          <w:sz w:val="16"/>
          <w:szCs w:val="16"/>
        </w:rPr>
      </w:pPr>
    </w:p>
    <w:p w14:paraId="07712600" w14:textId="606660D9" w:rsidR="00EA347D" w:rsidRPr="00F90EAE" w:rsidRDefault="00EA347D"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09E5B182" w14:textId="77777777" w:rsidR="00EA347D" w:rsidRPr="00F90EAE" w:rsidRDefault="00EA347D" w:rsidP="00F90EAE">
      <w:pPr>
        <w:autoSpaceDE w:val="0"/>
        <w:autoSpaceDN w:val="0"/>
        <w:adjustRightInd w:val="0"/>
        <w:jc w:val="both"/>
        <w:rPr>
          <w:i/>
          <w:iCs/>
          <w:color w:val="000000" w:themeColor="text1"/>
          <w:sz w:val="16"/>
          <w:szCs w:val="16"/>
        </w:rPr>
      </w:pPr>
    </w:p>
    <w:p w14:paraId="529E53E0" w14:textId="77777777" w:rsidR="00EA347D" w:rsidRPr="00F90EAE" w:rsidRDefault="00EA347D" w:rsidP="00F90EAE">
      <w:pPr>
        <w:jc w:val="both"/>
        <w:rPr>
          <w:color w:val="0070C0"/>
          <w:sz w:val="16"/>
          <w:szCs w:val="16"/>
        </w:rPr>
      </w:pPr>
      <w:r w:rsidRPr="00F90EAE">
        <w:rPr>
          <w:color w:val="0070C0"/>
          <w:sz w:val="16"/>
          <w:szCs w:val="16"/>
        </w:rPr>
        <w:t>15 февраля 1945 за десять недель непрерывных бомбардировок Иводзимы седьмая и двадцатая воздушные гпуппы ВВС США сбросили на остров почти 6 800 тонн (6 168 920 кг) бомб (20371).</w:t>
      </w:r>
    </w:p>
    <w:p w14:paraId="1F04998F" w14:textId="77777777" w:rsidR="00EA347D" w:rsidRPr="00F90EAE" w:rsidRDefault="00EA347D" w:rsidP="00F90EAE">
      <w:pPr>
        <w:jc w:val="both"/>
        <w:rPr>
          <w:color w:val="0070C0"/>
          <w:sz w:val="16"/>
          <w:szCs w:val="16"/>
        </w:rPr>
      </w:pPr>
    </w:p>
    <w:p w14:paraId="1C105F2F" w14:textId="1ACB721E"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B2051BC" w14:textId="77777777" w:rsidR="00665165" w:rsidRPr="00F90EAE" w:rsidRDefault="00665165" w:rsidP="00F90EAE">
      <w:pPr>
        <w:autoSpaceDE w:val="0"/>
        <w:autoSpaceDN w:val="0"/>
        <w:adjustRightInd w:val="0"/>
        <w:jc w:val="both"/>
        <w:rPr>
          <w:iCs/>
          <w:color w:val="000000" w:themeColor="text1"/>
          <w:sz w:val="16"/>
          <w:szCs w:val="16"/>
        </w:rPr>
      </w:pPr>
    </w:p>
    <w:p w14:paraId="61EC73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первой половине февраля 1945 года двое охотников нашли в якутской тайге в районе Верхневилюйска странную повисшую на дереве «конструкцию», представлявшую собой авиабомбу со стабилизатором и медным пропеллером, анероидным прибором для отцепки бомбы на заданной высоте, парашютом и термитными шашками для уничтожения всей системы. Журналисты из Красноярска посчитали, что это была маленькая копия американских атомных бомб «Малыш» и «Толстяк», случайно сброшенная Соединенными Штатами на территорию Советского Дальнего Востока раньше, чем на Хиросиму и Нагасаки. Бомбу забрали органы НКВД и перевезли в Москву (11765).</w:t>
      </w:r>
    </w:p>
    <w:p w14:paraId="472975F7" w14:textId="77777777" w:rsidR="00665165" w:rsidRPr="00F90EAE" w:rsidRDefault="00665165" w:rsidP="00F90EAE">
      <w:pPr>
        <w:autoSpaceDE w:val="0"/>
        <w:autoSpaceDN w:val="0"/>
        <w:adjustRightInd w:val="0"/>
        <w:jc w:val="both"/>
        <w:rPr>
          <w:color w:val="000000" w:themeColor="text1"/>
          <w:sz w:val="16"/>
          <w:szCs w:val="16"/>
        </w:rPr>
      </w:pPr>
    </w:p>
    <w:p w14:paraId="1C9F572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7DF4584" w14:textId="77777777" w:rsidR="00665165" w:rsidRPr="00F90EAE" w:rsidRDefault="00665165" w:rsidP="00F90EAE">
      <w:pPr>
        <w:autoSpaceDE w:val="0"/>
        <w:autoSpaceDN w:val="0"/>
        <w:adjustRightInd w:val="0"/>
        <w:jc w:val="both"/>
        <w:rPr>
          <w:iCs/>
          <w:color w:val="000000" w:themeColor="text1"/>
          <w:sz w:val="16"/>
          <w:szCs w:val="16"/>
        </w:rPr>
      </w:pPr>
    </w:p>
    <w:p w14:paraId="3B7AA4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середине февраля 1945 в КБ П.О.С. приступили к подготовке рабочих чертежей модернизации Ер-2. Основой для опытных экземпляров Ер-2ММ стали машины № 7063901 и № 7023901, к доработке которых приступили в апреле. На самолете № 7063901 с моторами АЧ-ЗОБ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AFF2060" w14:textId="77777777" w:rsidR="00665165" w:rsidRPr="00F90EAE" w:rsidRDefault="00665165" w:rsidP="00F90EAE">
      <w:pPr>
        <w:autoSpaceDE w:val="0"/>
        <w:autoSpaceDN w:val="0"/>
        <w:adjustRightInd w:val="0"/>
        <w:jc w:val="both"/>
        <w:rPr>
          <w:color w:val="000000" w:themeColor="text1"/>
          <w:sz w:val="16"/>
          <w:szCs w:val="16"/>
        </w:rPr>
      </w:pPr>
    </w:p>
    <w:p w14:paraId="5889F85D" w14:textId="77777777" w:rsidR="000F49EC" w:rsidRPr="00F90EAE" w:rsidRDefault="000F49EC" w:rsidP="00F90EAE">
      <w:pPr>
        <w:jc w:val="both"/>
        <w:rPr>
          <w:color w:val="000000" w:themeColor="text1"/>
          <w:sz w:val="16"/>
          <w:szCs w:val="16"/>
        </w:rPr>
      </w:pPr>
      <w:r w:rsidRPr="00F90EAE">
        <w:rPr>
          <w:color w:val="000000" w:themeColor="text1"/>
          <w:sz w:val="16"/>
          <w:szCs w:val="16"/>
        </w:rPr>
        <w:t>В середине февраля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испытаний...Почему руководство ВВС предложило проводить испытания в Джизаке, сейчас установить трудно. Кругом были пески, барханы, дули сильные ветры (15134).</w:t>
      </w:r>
    </w:p>
    <w:p w14:paraId="4009DA6E" w14:textId="77777777" w:rsidR="000F49EC" w:rsidRPr="00F90EAE" w:rsidRDefault="000F49EC" w:rsidP="00F90EAE">
      <w:pPr>
        <w:jc w:val="both"/>
        <w:rPr>
          <w:color w:val="000000" w:themeColor="text1"/>
          <w:sz w:val="16"/>
          <w:szCs w:val="16"/>
        </w:rPr>
      </w:pPr>
    </w:p>
    <w:p w14:paraId="550D9536" w14:textId="77777777" w:rsidR="004D08EC" w:rsidRPr="00F90EAE" w:rsidRDefault="004D08EC"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5221E00" w14:textId="77777777" w:rsidR="004D08EC" w:rsidRPr="00F90EAE" w:rsidRDefault="004D08EC" w:rsidP="00F90EAE">
      <w:pPr>
        <w:autoSpaceDE w:val="0"/>
        <w:autoSpaceDN w:val="0"/>
        <w:adjustRightInd w:val="0"/>
        <w:jc w:val="both"/>
        <w:rPr>
          <w:iCs/>
          <w:color w:val="000000" w:themeColor="text1"/>
          <w:sz w:val="16"/>
          <w:szCs w:val="16"/>
        </w:rPr>
      </w:pPr>
    </w:p>
    <w:p w14:paraId="08E59043" w14:textId="77777777" w:rsidR="004D08EC" w:rsidRPr="00F90EAE" w:rsidRDefault="004D08EC"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В середине февраля 1945 года </w:t>
      </w:r>
      <w:r w:rsidRPr="00F90EAE">
        <w:rPr>
          <w:color w:val="000000" w:themeColor="text1"/>
          <w:sz w:val="16"/>
          <w:szCs w:val="16"/>
          <w:lang w:val="en-US"/>
        </w:rPr>
        <w:t>b</w:t>
      </w:r>
      <w:r w:rsidRPr="00F90EAE">
        <w:rPr>
          <w:color w:val="000000" w:themeColor="text1"/>
          <w:sz w:val="16"/>
          <w:szCs w:val="16"/>
        </w:rPr>
        <w:t>нформация о M4A2E8 впервые попала к советским военным. Тогда был получен информационный бюллетень американского Военного департамента TB 9-1750K-2, в котором подробно описывалась новая ходовая часть. Гораздо более подробная информация о «горизонтальной подвеске танка M2A2» появилась 13 марта 1945 года.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9DC1EE6" w14:textId="77777777" w:rsidR="004D08EC" w:rsidRPr="00F90EAE" w:rsidRDefault="004D08EC"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слову, по данным Пульникова, траки T66 танки получали только с января по март 1945 года, с марта 1945 года в серию пошли траки T80.</w:t>
      </w:r>
    </w:p>
    <w:p w14:paraId="3C9A3F1D" w14:textId="77777777" w:rsidR="004D08EC" w:rsidRPr="00F90EAE" w:rsidRDefault="004D08EC"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0474020C" w14:textId="77777777" w:rsidR="004D08EC" w:rsidRPr="00F90EAE" w:rsidRDefault="004D08EC"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717F36E9" w14:textId="77777777" w:rsidR="004D08EC" w:rsidRPr="00F90EAE" w:rsidRDefault="004D08EC" w:rsidP="00F90EAE">
      <w:pPr>
        <w:jc w:val="both"/>
        <w:rPr>
          <w:rStyle w:val="107"/>
          <w:rFonts w:eastAsiaTheme="minorHAnsi"/>
          <w:color w:val="000000" w:themeColor="text1"/>
          <w:sz w:val="16"/>
          <w:szCs w:val="16"/>
        </w:rPr>
      </w:pPr>
    </w:p>
    <w:p w14:paraId="386A7D7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85BD23C" w14:textId="77777777" w:rsidR="00665165" w:rsidRPr="00F90EAE" w:rsidRDefault="00665165" w:rsidP="00F90EAE">
      <w:pPr>
        <w:autoSpaceDE w:val="0"/>
        <w:autoSpaceDN w:val="0"/>
        <w:adjustRightInd w:val="0"/>
        <w:jc w:val="both"/>
        <w:rPr>
          <w:iCs/>
          <w:color w:val="000000" w:themeColor="text1"/>
          <w:sz w:val="16"/>
          <w:szCs w:val="16"/>
        </w:rPr>
      </w:pPr>
    </w:p>
    <w:p w14:paraId="259D34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февраля 1945 в 108 гшап была только закончена программа летной тренировки и только потом начался перелет в расположение 6 шад, 2ВА из глубины России (111,176).</w:t>
      </w:r>
    </w:p>
    <w:p w14:paraId="1AFD3AE9" w14:textId="77777777" w:rsidR="00665165" w:rsidRPr="00F90EAE" w:rsidRDefault="00665165" w:rsidP="00F90EAE">
      <w:pPr>
        <w:autoSpaceDE w:val="0"/>
        <w:autoSpaceDN w:val="0"/>
        <w:adjustRightInd w:val="0"/>
        <w:jc w:val="both"/>
        <w:rPr>
          <w:color w:val="000000" w:themeColor="text1"/>
          <w:sz w:val="16"/>
          <w:szCs w:val="16"/>
        </w:rPr>
      </w:pPr>
    </w:p>
    <w:p w14:paraId="7FC9C6F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AE31F7C" w14:textId="77777777" w:rsidR="00665165" w:rsidRPr="00F90EAE" w:rsidRDefault="00665165" w:rsidP="00F90EAE">
      <w:pPr>
        <w:autoSpaceDE w:val="0"/>
        <w:autoSpaceDN w:val="0"/>
        <w:adjustRightInd w:val="0"/>
        <w:jc w:val="both"/>
        <w:rPr>
          <w:iCs/>
          <w:color w:val="000000" w:themeColor="text1"/>
          <w:sz w:val="16"/>
          <w:szCs w:val="16"/>
        </w:rPr>
      </w:pPr>
    </w:p>
    <w:p w14:paraId="763BE0F0" w14:textId="77777777" w:rsidR="003C19E1" w:rsidRPr="00F90EAE" w:rsidRDefault="003C19E1" w:rsidP="00F90EAE">
      <w:pPr>
        <w:jc w:val="both"/>
        <w:rPr>
          <w:color w:val="000000" w:themeColor="text1"/>
          <w:sz w:val="16"/>
          <w:szCs w:val="16"/>
        </w:rPr>
      </w:pPr>
      <w:r w:rsidRPr="00F90EAE">
        <w:rPr>
          <w:color w:val="000000" w:themeColor="text1"/>
          <w:sz w:val="16"/>
          <w:szCs w:val="16"/>
        </w:rPr>
        <w:t>16 февраля 1945 был выпущен самолет Ил-2 № 13653 производства завода № 1 им. Сталина со следующими данными:</w:t>
      </w:r>
    </w:p>
    <w:p w14:paraId="723151FE" w14:textId="77777777" w:rsidR="003C19E1" w:rsidRPr="00F90EAE" w:rsidRDefault="003C19E1" w:rsidP="00F90EAE">
      <w:pPr>
        <w:pStyle w:val="80"/>
        <w:shd w:val="clear" w:color="auto" w:fill="auto"/>
        <w:tabs>
          <w:tab w:val="left" w:leader="dot" w:pos="4038"/>
          <w:tab w:val="left" w:pos="4456"/>
          <w:tab w:val="center" w:pos="5267"/>
        </w:tabs>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 xml:space="preserve">I. </w:t>
      </w:r>
      <w:r w:rsidRPr="00F90EAE">
        <w:rPr>
          <w:rStyle w:val="8Gungsuh75pt"/>
          <w:rFonts w:ascii="Times New Roman" w:hAnsi="Times New Roman" w:cs="Times New Roman"/>
          <w:b w:val="0"/>
          <w:color w:val="000000" w:themeColor="text1"/>
          <w:sz w:val="16"/>
          <w:szCs w:val="16"/>
        </w:rPr>
        <w:t>Полный</w:t>
      </w:r>
      <w:r w:rsidRPr="00F90EAE">
        <w:rPr>
          <w:rFonts w:ascii="Times New Roman" w:hAnsi="Times New Roman" w:cs="Times New Roman"/>
          <w:color w:val="000000" w:themeColor="text1"/>
        </w:rPr>
        <w:t xml:space="preserve"> </w:t>
      </w:r>
      <w:r w:rsidRPr="00F90EAE">
        <w:rPr>
          <w:rStyle w:val="8Gungsuh75pt"/>
          <w:rFonts w:ascii="Times New Roman" w:hAnsi="Times New Roman" w:cs="Times New Roman"/>
          <w:b w:val="0"/>
          <w:color w:val="000000" w:themeColor="text1"/>
          <w:sz w:val="16"/>
          <w:szCs w:val="16"/>
        </w:rPr>
        <w:t>полетный</w:t>
      </w:r>
      <w:r w:rsidRPr="00F90EAE">
        <w:rPr>
          <w:rFonts w:ascii="Times New Roman" w:hAnsi="Times New Roman" w:cs="Times New Roman"/>
          <w:color w:val="000000" w:themeColor="text1"/>
        </w:rPr>
        <w:t xml:space="preserve"> вес </w:t>
      </w:r>
      <w:r w:rsidRPr="00F90EAE">
        <w:rPr>
          <w:rFonts w:ascii="Times New Roman" w:hAnsi="Times New Roman" w:cs="Times New Roman"/>
          <w:color w:val="000000" w:themeColor="text1"/>
        </w:rPr>
        <w:tab/>
      </w:r>
      <w:r w:rsidRPr="00F90EAE">
        <w:rPr>
          <w:rFonts w:ascii="Times New Roman" w:hAnsi="Times New Roman" w:cs="Times New Roman"/>
          <w:color w:val="000000" w:themeColor="text1"/>
        </w:rPr>
        <w:tab/>
        <w:t>-</w:t>
      </w:r>
      <w:r w:rsidRPr="00F90EAE">
        <w:rPr>
          <w:rFonts w:ascii="Times New Roman" w:hAnsi="Times New Roman" w:cs="Times New Roman"/>
          <w:color w:val="000000" w:themeColor="text1"/>
        </w:rPr>
        <w:tab/>
        <w:t>6290 кг.</w:t>
      </w:r>
    </w:p>
    <w:p w14:paraId="69237262" w14:textId="77777777" w:rsidR="003C19E1" w:rsidRPr="00F90EAE" w:rsidRDefault="003C19E1" w:rsidP="00F90EAE">
      <w:pPr>
        <w:pStyle w:val="431"/>
        <w:shd w:val="clear" w:color="auto" w:fill="auto"/>
        <w:tabs>
          <w:tab w:val="left" w:pos="942"/>
        </w:tabs>
        <w:spacing w:line="240" w:lineRule="auto"/>
        <w:ind w:firstLine="0"/>
        <w:jc w:val="both"/>
        <w:rPr>
          <w:rStyle w:val="8Gungsuh75pt"/>
          <w:rFonts w:ascii="Times New Roman" w:hAnsi="Times New Roman" w:cs="Times New Roman"/>
          <w:b w:val="0"/>
          <w:color w:val="000000" w:themeColor="text1"/>
          <w:sz w:val="16"/>
          <w:szCs w:val="16"/>
        </w:rPr>
      </w:pPr>
      <w:r w:rsidRPr="00F90EAE">
        <w:rPr>
          <w:rFonts w:ascii="Times New Roman" w:hAnsi="Times New Roman" w:cs="Times New Roman"/>
          <w:color w:val="000000" w:themeColor="text1"/>
          <w:sz w:val="16"/>
          <w:szCs w:val="16"/>
        </w:rPr>
        <w:t>2. Максим</w:t>
      </w:r>
      <w:r w:rsidRPr="00F90EAE">
        <w:rPr>
          <w:rStyle w:val="147"/>
          <w:rFonts w:ascii="Times New Roman" w:hAnsi="Times New Roman" w:cs="Times New Roman"/>
          <w:color w:val="000000" w:themeColor="text1"/>
          <w:spacing w:val="0"/>
          <w:sz w:val="16"/>
          <w:szCs w:val="16"/>
        </w:rPr>
        <w:t xml:space="preserve">альная скорость </w:t>
      </w:r>
      <w:r w:rsidRPr="00F90EAE">
        <w:rPr>
          <w:rFonts w:ascii="Times New Roman" w:hAnsi="Times New Roman" w:cs="Times New Roman"/>
          <w:color w:val="000000" w:themeColor="text1"/>
          <w:sz w:val="16"/>
          <w:szCs w:val="16"/>
        </w:rPr>
        <w:t xml:space="preserve">у земли </w:t>
      </w:r>
      <w:r w:rsidRPr="00F90EAE">
        <w:rPr>
          <w:rStyle w:val="8Gungsuh75pt"/>
          <w:rFonts w:ascii="Times New Roman" w:hAnsi="Times New Roman" w:cs="Times New Roman"/>
          <w:b w:val="0"/>
          <w:color w:val="000000" w:themeColor="text1"/>
          <w:sz w:val="16"/>
          <w:szCs w:val="16"/>
        </w:rPr>
        <w:t>У макс</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w:t>
      </w:r>
      <w:r w:rsidRPr="00F90EAE">
        <w:rPr>
          <w:rFonts w:ascii="Times New Roman" w:hAnsi="Times New Roman" w:cs="Times New Roman"/>
          <w:color w:val="000000" w:themeColor="text1"/>
          <w:sz w:val="16"/>
          <w:szCs w:val="16"/>
        </w:rPr>
        <w:tab/>
        <w:t>= 395 км/час</w:t>
      </w:r>
    </w:p>
    <w:p w14:paraId="0FE81636" w14:textId="77777777" w:rsidR="003C19E1" w:rsidRPr="00F90EAE" w:rsidRDefault="003C19E1" w:rsidP="00F90EAE">
      <w:pPr>
        <w:pStyle w:val="80"/>
        <w:shd w:val="clear" w:color="auto" w:fill="auto"/>
        <w:tabs>
          <w:tab w:val="left" w:leader="dot" w:pos="2499"/>
          <w:tab w:val="left" w:leader="dot" w:pos="3814"/>
          <w:tab w:val="left" w:pos="4429"/>
          <w:tab w:val="center" w:pos="5240"/>
        </w:tabs>
        <w:spacing w:line="240" w:lineRule="auto"/>
        <w:jc w:val="both"/>
        <w:rPr>
          <w:rStyle w:val="Consolas65pt"/>
          <w:rFonts w:ascii="Times New Roman" w:hAnsi="Times New Roman" w:cs="Times New Roman"/>
          <w:b w:val="0"/>
          <w:color w:val="000000" w:themeColor="text1"/>
          <w:sz w:val="16"/>
          <w:szCs w:val="16"/>
        </w:rPr>
      </w:pPr>
      <w:r w:rsidRPr="00F90EAE">
        <w:rPr>
          <w:rStyle w:val="147"/>
          <w:rFonts w:ascii="Times New Roman" w:hAnsi="Times New Roman" w:cs="Times New Roman"/>
          <w:color w:val="000000" w:themeColor="text1"/>
          <w:spacing w:val="0"/>
          <w:sz w:val="16"/>
          <w:szCs w:val="16"/>
        </w:rPr>
        <w:t>3. Максимальная скорость н</w:t>
      </w:r>
      <w:r w:rsidRPr="00F90EAE">
        <w:rPr>
          <w:rStyle w:val="154"/>
          <w:rFonts w:ascii="Times New Roman" w:hAnsi="Times New Roman" w:cs="Times New Roman"/>
          <w:color w:val="000000" w:themeColor="text1"/>
          <w:spacing w:val="0"/>
          <w:sz w:val="16"/>
          <w:szCs w:val="16"/>
        </w:rPr>
        <w:t xml:space="preserve">а </w:t>
      </w:r>
      <w:r w:rsidRPr="00F90EAE">
        <w:rPr>
          <w:rStyle w:val="147"/>
          <w:rFonts w:ascii="Times New Roman" w:hAnsi="Times New Roman" w:cs="Times New Roman"/>
          <w:color w:val="000000" w:themeColor="text1"/>
          <w:spacing w:val="0"/>
          <w:sz w:val="16"/>
          <w:szCs w:val="16"/>
        </w:rPr>
        <w:t>границе высотности Н</w:t>
      </w:r>
      <w:r w:rsidRPr="00F90EAE">
        <w:rPr>
          <w:rStyle w:val="Consolas65pt"/>
          <w:rFonts w:ascii="Times New Roman" w:hAnsi="Times New Roman" w:cs="Times New Roman"/>
          <w:b w:val="0"/>
          <w:color w:val="000000" w:themeColor="text1"/>
          <w:sz w:val="16"/>
          <w:szCs w:val="16"/>
        </w:rPr>
        <w:t xml:space="preserve"> = 1200</w:t>
      </w:r>
      <w:r w:rsidRPr="00F90EAE">
        <w:rPr>
          <w:rStyle w:val="135"/>
          <w:rFonts w:ascii="Times New Roman" w:hAnsi="Times New Roman" w:cs="Times New Roman"/>
          <w:color w:val="000000" w:themeColor="text1"/>
          <w:spacing w:val="0"/>
          <w:sz w:val="16"/>
          <w:szCs w:val="16"/>
        </w:rPr>
        <w:t xml:space="preserve"> </w:t>
      </w:r>
      <w:r w:rsidRPr="00F90EAE">
        <w:rPr>
          <w:rFonts w:ascii="Times New Roman" w:hAnsi="Times New Roman" w:cs="Times New Roman"/>
          <w:color w:val="000000" w:themeColor="text1"/>
          <w:lang w:val="en-US"/>
        </w:rPr>
        <w:t>V</w:t>
      </w:r>
      <w:r w:rsidRPr="00F90EAE">
        <w:rPr>
          <w:rFonts w:ascii="Times New Roman" w:hAnsi="Times New Roman" w:cs="Times New Roman"/>
          <w:color w:val="000000" w:themeColor="text1"/>
        </w:rPr>
        <w:t xml:space="preserve"> макс =</w:t>
      </w:r>
      <w:r w:rsidRPr="00F90EAE">
        <w:rPr>
          <w:rStyle w:val="Consolas65pt"/>
          <w:rFonts w:ascii="Times New Roman" w:hAnsi="Times New Roman" w:cs="Times New Roman"/>
          <w:b w:val="0"/>
          <w:color w:val="000000" w:themeColor="text1"/>
          <w:sz w:val="16"/>
          <w:szCs w:val="16"/>
        </w:rPr>
        <w:t xml:space="preserve"> 411 км/час</w:t>
      </w:r>
    </w:p>
    <w:p w14:paraId="55A8CBB7" w14:textId="77777777" w:rsidR="003C19E1" w:rsidRPr="00F90EAE" w:rsidRDefault="003C19E1" w:rsidP="00F90EAE">
      <w:pPr>
        <w:pStyle w:val="80"/>
        <w:shd w:val="clear" w:color="auto" w:fill="auto"/>
        <w:tabs>
          <w:tab w:val="left" w:leader="dot" w:pos="2499"/>
          <w:tab w:val="left" w:leader="dot" w:pos="3814"/>
          <w:tab w:val="left" w:pos="4429"/>
          <w:tab w:val="center" w:pos="5240"/>
        </w:tabs>
        <w:spacing w:line="240" w:lineRule="auto"/>
        <w:jc w:val="both"/>
        <w:rPr>
          <w:rFonts w:ascii="Times New Roman" w:hAnsi="Times New Roman" w:cs="Times New Roman"/>
          <w:color w:val="000000" w:themeColor="text1"/>
        </w:rPr>
      </w:pPr>
      <w:r w:rsidRPr="00F90EAE">
        <w:rPr>
          <w:rStyle w:val="Consolas65pt"/>
          <w:rFonts w:ascii="Times New Roman" w:hAnsi="Times New Roman" w:cs="Times New Roman"/>
          <w:b w:val="0"/>
          <w:color w:val="000000" w:themeColor="text1"/>
          <w:sz w:val="16"/>
          <w:szCs w:val="16"/>
        </w:rPr>
        <w:t xml:space="preserve">4. </w:t>
      </w:r>
      <w:r w:rsidRPr="00F90EAE">
        <w:rPr>
          <w:rFonts w:ascii="Times New Roman" w:hAnsi="Times New Roman" w:cs="Times New Roman"/>
          <w:color w:val="000000" w:themeColor="text1"/>
        </w:rPr>
        <w:t>Время наб</w:t>
      </w:r>
      <w:r w:rsidRPr="00F90EAE">
        <w:rPr>
          <w:rStyle w:val="147"/>
          <w:rFonts w:ascii="Times New Roman" w:hAnsi="Times New Roman" w:cs="Times New Roman"/>
          <w:color w:val="000000" w:themeColor="text1"/>
          <w:spacing w:val="0"/>
          <w:sz w:val="16"/>
          <w:szCs w:val="16"/>
          <w:lang w:val="en-US"/>
        </w:rPr>
        <w:t>opa</w:t>
      </w:r>
      <w:r w:rsidRPr="00F90EAE">
        <w:rPr>
          <w:rStyle w:val="147"/>
          <w:rFonts w:ascii="Times New Roman" w:hAnsi="Times New Roman" w:cs="Times New Roman"/>
          <w:color w:val="000000" w:themeColor="text1"/>
          <w:spacing w:val="0"/>
          <w:sz w:val="16"/>
          <w:szCs w:val="16"/>
        </w:rPr>
        <w:t xml:space="preserve"> 3</w:t>
      </w:r>
      <w:r w:rsidRPr="00F90EAE">
        <w:rPr>
          <w:rFonts w:ascii="Times New Roman" w:hAnsi="Times New Roman" w:cs="Times New Roman"/>
          <w:color w:val="000000" w:themeColor="text1"/>
        </w:rPr>
        <w:t xml:space="preserve">000 м. </w:t>
      </w:r>
      <w:r w:rsidRPr="00F90EAE">
        <w:rPr>
          <w:rStyle w:val="147"/>
          <w:rFonts w:ascii="Times New Roman" w:hAnsi="Times New Roman" w:cs="Times New Roman"/>
          <w:color w:val="000000" w:themeColor="text1"/>
          <w:spacing w:val="0"/>
          <w:sz w:val="16"/>
          <w:szCs w:val="16"/>
        </w:rPr>
        <w:t xml:space="preserve">равно </w:t>
      </w:r>
      <w:r w:rsidRPr="00F90EAE">
        <w:rPr>
          <w:rFonts w:ascii="Times New Roman" w:hAnsi="Times New Roman" w:cs="Times New Roman"/>
          <w:color w:val="000000" w:themeColor="text1"/>
        </w:rPr>
        <w:t>9,1 нпн.</w:t>
      </w:r>
    </w:p>
    <w:p w14:paraId="479C0ADD" w14:textId="77777777" w:rsidR="003C19E1" w:rsidRPr="00F90EAE" w:rsidRDefault="003C19E1" w:rsidP="00F90EAE">
      <w:pPr>
        <w:pStyle w:val="80"/>
        <w:shd w:val="clear" w:color="auto" w:fill="auto"/>
        <w:tabs>
          <w:tab w:val="left" w:pos="3834"/>
        </w:tabs>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б) весовые данные самолета</w:t>
      </w:r>
    </w:p>
    <w:p w14:paraId="4859A2E4" w14:textId="77777777" w:rsidR="003C19E1" w:rsidRPr="00F90EAE" w:rsidRDefault="003C19E1" w:rsidP="00F90EAE">
      <w:pPr>
        <w:pStyle w:val="431"/>
        <w:shd w:val="clear" w:color="auto" w:fill="auto"/>
        <w:tabs>
          <w:tab w:val="left" w:pos="928"/>
          <w:tab w:val="left" w:leader="dot" w:pos="4350"/>
          <w:tab w:val="left" w:pos="4677"/>
          <w:tab w:val="center" w:pos="5488"/>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1. Вес пустого с</w:t>
      </w:r>
      <w:r w:rsidRPr="00F90EAE">
        <w:rPr>
          <w:rStyle w:val="147"/>
          <w:rFonts w:ascii="Times New Roman" w:hAnsi="Times New Roman" w:cs="Times New Roman"/>
          <w:color w:val="000000" w:themeColor="text1"/>
          <w:spacing w:val="0"/>
          <w:sz w:val="16"/>
          <w:szCs w:val="16"/>
        </w:rPr>
        <w:t xml:space="preserve">амолета </w:t>
      </w:r>
      <w:r w:rsidRPr="00F90EAE">
        <w:rPr>
          <w:rStyle w:val="135"/>
          <w:rFonts w:ascii="Times New Roman" w:hAnsi="Times New Roman" w:cs="Times New Roman"/>
          <w:color w:val="000000" w:themeColor="text1"/>
          <w:spacing w:val="0"/>
          <w:sz w:val="16"/>
          <w:szCs w:val="16"/>
        </w:rPr>
        <w:tab/>
      </w:r>
      <w:r w:rsidRPr="00F90EAE">
        <w:rPr>
          <w:rStyle w:val="135"/>
          <w:rFonts w:ascii="Times New Roman" w:hAnsi="Times New Roman" w:cs="Times New Roman"/>
          <w:color w:val="000000" w:themeColor="text1"/>
          <w:spacing w:val="0"/>
          <w:sz w:val="16"/>
          <w:szCs w:val="16"/>
        </w:rPr>
        <w:tab/>
        <w:t>-</w:t>
      </w:r>
      <w:r w:rsidRPr="00F90EAE">
        <w:rPr>
          <w:rStyle w:val="135"/>
          <w:rFonts w:ascii="Times New Roman" w:hAnsi="Times New Roman" w:cs="Times New Roman"/>
          <w:color w:val="000000" w:themeColor="text1"/>
          <w:spacing w:val="0"/>
          <w:sz w:val="16"/>
          <w:szCs w:val="16"/>
        </w:rPr>
        <w:tab/>
      </w:r>
      <w:r w:rsidRPr="00F90EAE">
        <w:rPr>
          <w:rFonts w:ascii="Times New Roman" w:hAnsi="Times New Roman" w:cs="Times New Roman"/>
          <w:color w:val="000000" w:themeColor="text1"/>
          <w:sz w:val="16"/>
          <w:szCs w:val="16"/>
        </w:rPr>
        <w:t xml:space="preserve">4533 </w:t>
      </w:r>
      <w:r w:rsidRPr="00F90EAE">
        <w:rPr>
          <w:rStyle w:val="1pt"/>
          <w:rFonts w:ascii="Times New Roman" w:hAnsi="Times New Roman" w:cs="Times New Roman"/>
          <w:color w:val="000000" w:themeColor="text1"/>
          <w:spacing w:val="0"/>
          <w:sz w:val="16"/>
          <w:szCs w:val="16"/>
        </w:rPr>
        <w:t>кг.</w:t>
      </w:r>
    </w:p>
    <w:p w14:paraId="31CAE02B" w14:textId="77777777" w:rsidR="003C19E1" w:rsidRPr="00F90EAE" w:rsidRDefault="003C19E1" w:rsidP="00F90EAE">
      <w:pPr>
        <w:pStyle w:val="431"/>
        <w:shd w:val="clear" w:color="auto" w:fill="auto"/>
        <w:tabs>
          <w:tab w:val="left" w:pos="952"/>
          <w:tab w:val="left" w:leader="dot" w:pos="4365"/>
          <w:tab w:val="left" w:pos="4691"/>
          <w:tab w:val="center" w:pos="5502"/>
        </w:tabs>
        <w:spacing w:line="240" w:lineRule="auto"/>
        <w:ind w:firstLine="0"/>
        <w:jc w:val="both"/>
        <w:rPr>
          <w:rFonts w:ascii="Times New Roman" w:hAnsi="Times New Roman" w:cs="Times New Roman"/>
          <w:color w:val="000000" w:themeColor="text1"/>
          <w:sz w:val="16"/>
          <w:szCs w:val="16"/>
        </w:rPr>
      </w:pPr>
      <w:r w:rsidRPr="00F90EAE">
        <w:rPr>
          <w:rStyle w:val="147"/>
          <w:rFonts w:ascii="Times New Roman" w:hAnsi="Times New Roman" w:cs="Times New Roman"/>
          <w:color w:val="000000" w:themeColor="text1"/>
          <w:spacing w:val="0"/>
          <w:sz w:val="16"/>
          <w:szCs w:val="16"/>
        </w:rPr>
        <w:t>2. Полный полетный в</w:t>
      </w:r>
      <w:r w:rsidRPr="00F90EAE">
        <w:rPr>
          <w:rFonts w:ascii="Times New Roman" w:hAnsi="Times New Roman" w:cs="Times New Roman"/>
          <w:color w:val="000000" w:themeColor="text1"/>
          <w:sz w:val="16"/>
          <w:szCs w:val="16"/>
        </w:rPr>
        <w:t>ес</w:t>
      </w:r>
      <w:r w:rsidRPr="00F90EAE">
        <w:rPr>
          <w:rStyle w:val="135"/>
          <w:rFonts w:ascii="Times New Roman" w:hAnsi="Times New Roman" w:cs="Times New Roman"/>
          <w:color w:val="000000" w:themeColor="text1"/>
          <w:spacing w:val="0"/>
          <w:sz w:val="16"/>
          <w:szCs w:val="16"/>
        </w:rPr>
        <w:tab/>
      </w:r>
      <w:r w:rsidRPr="00F90EAE">
        <w:rPr>
          <w:rStyle w:val="135"/>
          <w:rFonts w:ascii="Times New Roman" w:hAnsi="Times New Roman" w:cs="Times New Roman"/>
          <w:color w:val="000000" w:themeColor="text1"/>
          <w:spacing w:val="0"/>
          <w:sz w:val="16"/>
          <w:szCs w:val="16"/>
        </w:rPr>
        <w:tab/>
        <w:t>-</w:t>
      </w:r>
      <w:r w:rsidRPr="00F90EAE">
        <w:rPr>
          <w:rStyle w:val="Consolas65pt"/>
          <w:rFonts w:ascii="Times New Roman" w:hAnsi="Times New Roman" w:cs="Times New Roman"/>
          <w:b w:val="0"/>
          <w:color w:val="000000" w:themeColor="text1"/>
          <w:sz w:val="16"/>
          <w:szCs w:val="16"/>
        </w:rPr>
        <w:tab/>
        <w:t>6290</w:t>
      </w:r>
      <w:r w:rsidRPr="00F90EAE">
        <w:rPr>
          <w:rFonts w:ascii="Times New Roman" w:hAnsi="Times New Roman" w:cs="Times New Roman"/>
          <w:color w:val="000000" w:themeColor="text1"/>
          <w:sz w:val="16"/>
          <w:szCs w:val="16"/>
        </w:rPr>
        <w:t xml:space="preserve"> кг.</w:t>
      </w:r>
    </w:p>
    <w:p w14:paraId="4F069535" w14:textId="77777777" w:rsidR="003C19E1" w:rsidRPr="00F90EAE" w:rsidRDefault="003C19E1" w:rsidP="00F90EAE">
      <w:pPr>
        <w:pStyle w:val="431"/>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 xml:space="preserve">в </w:t>
      </w:r>
      <w:r w:rsidRPr="00F90EAE">
        <w:rPr>
          <w:rStyle w:val="147"/>
          <w:rFonts w:ascii="Times New Roman" w:hAnsi="Times New Roman" w:cs="Times New Roman"/>
          <w:color w:val="000000" w:themeColor="text1"/>
          <w:spacing w:val="0"/>
          <w:sz w:val="16"/>
          <w:szCs w:val="16"/>
        </w:rPr>
        <w:t>том числе</w:t>
      </w:r>
      <w:r w:rsidRPr="00F90EAE">
        <w:rPr>
          <w:rFonts w:ascii="Times New Roman" w:hAnsi="Times New Roman" w:cs="Times New Roman"/>
          <w:color w:val="000000" w:themeColor="text1"/>
          <w:sz w:val="16"/>
          <w:szCs w:val="16"/>
        </w:rPr>
        <w:t>:</w:t>
      </w:r>
    </w:p>
    <w:p w14:paraId="4A96E5F3"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 xml:space="preserve">а) экипаж 2 </w:t>
      </w:r>
      <w:r w:rsidRPr="00F90EAE">
        <w:rPr>
          <w:rStyle w:val="147"/>
          <w:rFonts w:ascii="Times New Roman" w:hAnsi="Times New Roman" w:cs="Times New Roman"/>
          <w:color w:val="000000" w:themeColor="text1"/>
          <w:spacing w:val="0"/>
          <w:sz w:val="16"/>
          <w:szCs w:val="16"/>
        </w:rPr>
        <w:t>чел. с</w:t>
      </w:r>
      <w:r w:rsidRPr="00F90EAE">
        <w:rPr>
          <w:rFonts w:ascii="Times New Roman" w:hAnsi="Times New Roman" w:cs="Times New Roman"/>
          <w:color w:val="000000" w:themeColor="text1"/>
          <w:sz w:val="16"/>
          <w:szCs w:val="16"/>
        </w:rPr>
        <w:t xml:space="preserve"> парашютами</w:t>
      </w:r>
      <w:r w:rsidRPr="00F90EAE">
        <w:rPr>
          <w:rFonts w:ascii="Times New Roman" w:hAnsi="Times New Roman" w:cs="Times New Roman"/>
          <w:color w:val="000000" w:themeColor="text1"/>
          <w:sz w:val="16"/>
          <w:szCs w:val="16"/>
        </w:rPr>
        <w:tab/>
      </w:r>
      <w:r w:rsidRPr="00F90EAE">
        <w:rPr>
          <w:rStyle w:val="135"/>
          <w:rFonts w:ascii="Times New Roman" w:hAnsi="Times New Roman" w:cs="Times New Roman"/>
          <w:color w:val="000000" w:themeColor="text1"/>
          <w:spacing w:val="0"/>
          <w:sz w:val="16"/>
          <w:szCs w:val="16"/>
        </w:rPr>
        <w:tab/>
        <w:t xml:space="preserve">- </w:t>
      </w:r>
      <w:r w:rsidRPr="00F90EAE">
        <w:rPr>
          <w:rFonts w:ascii="Times New Roman" w:hAnsi="Times New Roman" w:cs="Times New Roman"/>
          <w:color w:val="000000" w:themeColor="text1"/>
          <w:sz w:val="16"/>
          <w:szCs w:val="16"/>
        </w:rPr>
        <w:t>172 кг</w:t>
      </w:r>
    </w:p>
    <w:p w14:paraId="1A0070FF"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б) горючее</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- 545</w:t>
      </w:r>
    </w:p>
    <w:p w14:paraId="1DFBB8B0"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смазочное</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- 70</w:t>
      </w:r>
    </w:p>
    <w:p w14:paraId="5CE8E771"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г) вода</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- 40</w:t>
      </w:r>
    </w:p>
    <w:p w14:paraId="6E03BA08"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 РС 4х82</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- 28</w:t>
      </w:r>
    </w:p>
    <w:p w14:paraId="2004B8E6"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е) бомбы</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- 400</w:t>
      </w:r>
    </w:p>
    <w:p w14:paraId="703609EC"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ж) пушки ВЯ х 2</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- 131</w:t>
      </w:r>
    </w:p>
    <w:p w14:paraId="64278FAE"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з) снаряды ВЯ со свзеньями 300 шт.</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- 168</w:t>
      </w:r>
    </w:p>
    <w:p w14:paraId="5CBFE43F"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и) Пулеметы ШКАС 2 шт.</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- 20</w:t>
      </w:r>
    </w:p>
    <w:p w14:paraId="48A41D27"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 Патроны к ним со звеньями 1500 шт.</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- 51</w:t>
      </w:r>
    </w:p>
    <w:p w14:paraId="5AFF39F5"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л) Пулемет УБТ 1 шт</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- 21,5</w:t>
      </w:r>
    </w:p>
    <w:p w14:paraId="0C5F4F36"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 Патроны к нему со звеньями 150 штю</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- 25</w:t>
      </w:r>
    </w:p>
    <w:p w14:paraId="3F6E90FA"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 РСИ-4</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- 13,5</w:t>
      </w:r>
    </w:p>
    <w:p w14:paraId="0FBC8FCE" w14:textId="77777777" w:rsidR="003C19E1" w:rsidRPr="00F90EAE" w:rsidRDefault="003C19E1" w:rsidP="00F90EAE">
      <w:pPr>
        <w:pStyle w:val="431"/>
        <w:shd w:val="clear" w:color="auto" w:fill="auto"/>
        <w:tabs>
          <w:tab w:val="left" w:leader="dot" w:pos="4048"/>
          <w:tab w:val="left" w:pos="4374"/>
          <w:tab w:val="center" w:pos="5186"/>
        </w:tabs>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 РПК-10</w:t>
      </w:r>
      <w:r w:rsidRPr="00F90EAE">
        <w:rPr>
          <w:rFonts w:ascii="Times New Roman" w:hAnsi="Times New Roman" w:cs="Times New Roman"/>
          <w:color w:val="000000" w:themeColor="text1"/>
          <w:sz w:val="16"/>
          <w:szCs w:val="16"/>
        </w:rPr>
        <w:tab/>
      </w:r>
      <w:r w:rsidRPr="00F90EAE">
        <w:rPr>
          <w:rFonts w:ascii="Times New Roman" w:hAnsi="Times New Roman" w:cs="Times New Roman"/>
          <w:color w:val="000000" w:themeColor="text1"/>
          <w:sz w:val="16"/>
          <w:szCs w:val="16"/>
        </w:rPr>
        <w:tab/>
        <w:t>- 14,5</w:t>
      </w:r>
    </w:p>
    <w:p w14:paraId="4FE5822A" w14:textId="77777777" w:rsidR="003C19E1" w:rsidRPr="00F90EAE" w:rsidRDefault="003C19E1" w:rsidP="00F90EAE">
      <w:pPr>
        <w:tabs>
          <w:tab w:val="left" w:leader="dot" w:pos="4038"/>
          <w:tab w:val="left" w:pos="4374"/>
          <w:tab w:val="right" w:pos="5287"/>
        </w:tabs>
        <w:jc w:val="both"/>
        <w:rPr>
          <w:color w:val="000000" w:themeColor="text1"/>
          <w:sz w:val="16"/>
          <w:szCs w:val="16"/>
        </w:rPr>
      </w:pPr>
      <w:r w:rsidRPr="00F90EAE">
        <w:rPr>
          <w:color w:val="000000" w:themeColor="text1"/>
          <w:sz w:val="16"/>
          <w:szCs w:val="16"/>
        </w:rPr>
        <w:t>п) СПУ-2 мм</w:t>
      </w:r>
      <w:r w:rsidRPr="00F90EAE">
        <w:rPr>
          <w:color w:val="000000" w:themeColor="text1"/>
          <w:sz w:val="16"/>
          <w:szCs w:val="16"/>
        </w:rPr>
        <w:tab/>
      </w:r>
      <w:r w:rsidRPr="00F90EAE">
        <w:rPr>
          <w:color w:val="000000" w:themeColor="text1"/>
          <w:sz w:val="16"/>
          <w:szCs w:val="16"/>
        </w:rPr>
        <w:tab/>
        <w:t>-  6,5</w:t>
      </w:r>
    </w:p>
    <w:p w14:paraId="32BF652B" w14:textId="77777777" w:rsidR="003C19E1" w:rsidRPr="00F90EAE" w:rsidRDefault="003C19E1" w:rsidP="00F90EAE">
      <w:pPr>
        <w:tabs>
          <w:tab w:val="left" w:leader="dot" w:pos="4038"/>
          <w:tab w:val="left" w:pos="4374"/>
          <w:tab w:val="right" w:pos="5287"/>
        </w:tabs>
        <w:jc w:val="both"/>
        <w:rPr>
          <w:color w:val="000000" w:themeColor="text1"/>
          <w:sz w:val="16"/>
          <w:szCs w:val="16"/>
        </w:rPr>
      </w:pPr>
      <w:r w:rsidRPr="00F90EAE">
        <w:rPr>
          <w:color w:val="000000" w:themeColor="text1"/>
          <w:sz w:val="16"/>
          <w:szCs w:val="16"/>
        </w:rPr>
        <w:t>р) Аккумулятор</w:t>
      </w:r>
      <w:r w:rsidRPr="00F90EAE">
        <w:rPr>
          <w:color w:val="000000" w:themeColor="text1"/>
          <w:sz w:val="16"/>
          <w:szCs w:val="16"/>
        </w:rPr>
        <w:tab/>
      </w:r>
      <w:r w:rsidRPr="00F90EAE">
        <w:rPr>
          <w:color w:val="000000" w:themeColor="text1"/>
          <w:sz w:val="16"/>
          <w:szCs w:val="16"/>
        </w:rPr>
        <w:tab/>
        <w:t>- 15</w:t>
      </w:r>
    </w:p>
    <w:p w14:paraId="7398E947" w14:textId="77777777" w:rsidR="003C19E1" w:rsidRPr="00F90EAE" w:rsidRDefault="003C19E1" w:rsidP="00F90EAE">
      <w:pPr>
        <w:tabs>
          <w:tab w:val="left" w:leader="dot" w:pos="4038"/>
          <w:tab w:val="left" w:pos="4374"/>
          <w:tab w:val="right" w:pos="5287"/>
        </w:tabs>
        <w:jc w:val="both"/>
        <w:rPr>
          <w:color w:val="000000" w:themeColor="text1"/>
          <w:sz w:val="16"/>
          <w:szCs w:val="16"/>
        </w:rPr>
      </w:pPr>
      <w:r w:rsidRPr="00F90EAE">
        <w:rPr>
          <w:color w:val="000000" w:themeColor="text1"/>
          <w:sz w:val="16"/>
          <w:szCs w:val="16"/>
        </w:rPr>
        <w:t>Итого</w:t>
      </w:r>
      <w:r w:rsidRPr="00F90EAE">
        <w:rPr>
          <w:color w:val="000000" w:themeColor="text1"/>
          <w:sz w:val="16"/>
          <w:szCs w:val="16"/>
        </w:rPr>
        <w:tab/>
      </w:r>
      <w:r w:rsidRPr="00F90EAE">
        <w:rPr>
          <w:color w:val="000000" w:themeColor="text1"/>
          <w:sz w:val="16"/>
          <w:szCs w:val="16"/>
        </w:rPr>
        <w:tab/>
        <w:t>- 1757</w:t>
      </w:r>
    </w:p>
    <w:p w14:paraId="4C3A2DA5" w14:textId="77777777" w:rsidR="003C19E1" w:rsidRPr="00F90EAE" w:rsidRDefault="003C19E1" w:rsidP="00F90EAE">
      <w:pPr>
        <w:tabs>
          <w:tab w:val="left" w:leader="dot" w:pos="4038"/>
          <w:tab w:val="left" w:pos="4374"/>
          <w:tab w:val="right" w:pos="5287"/>
        </w:tabs>
        <w:jc w:val="both"/>
        <w:rPr>
          <w:color w:val="000000" w:themeColor="text1"/>
          <w:sz w:val="16"/>
          <w:szCs w:val="16"/>
        </w:rPr>
      </w:pPr>
      <w:r w:rsidRPr="00F90EAE">
        <w:rPr>
          <w:color w:val="000000" w:themeColor="text1"/>
          <w:sz w:val="16"/>
          <w:szCs w:val="16"/>
        </w:rPr>
        <w:t>(19789).</w:t>
      </w:r>
    </w:p>
    <w:p w14:paraId="6EF5FFA9" w14:textId="77777777" w:rsidR="003C19E1" w:rsidRPr="00F90EAE" w:rsidRDefault="003C19E1" w:rsidP="00F90EAE">
      <w:pPr>
        <w:jc w:val="both"/>
        <w:rPr>
          <w:color w:val="000000" w:themeColor="text1"/>
          <w:sz w:val="16"/>
          <w:szCs w:val="16"/>
        </w:rPr>
      </w:pPr>
    </w:p>
    <w:p w14:paraId="6E5DE5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года вышел Приказ по ВВС N 027:</w:t>
      </w:r>
    </w:p>
    <w:p w14:paraId="23435A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Содержание: О проведении войсковых летных испытаний самолетов ЯК-1 с мотором ВК-105ПФ для определения экономии горючего в полете на пониженных оборотах мотора.</w:t>
      </w:r>
    </w:p>
    <w:p w14:paraId="69F3CE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определения экономии горючего на самолетах ЯК-1 с мотором ВК-105ПФ в полете на пониженных оборотах мотора приказываю:</w:t>
      </w:r>
    </w:p>
    <w:p w14:paraId="4942C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Провести войсковые летные испытания самолетов ЯК-1 с мотором ВК-105ПФ в 3 ЗАБ по программе ГК НИИ ВВС.</w:t>
      </w:r>
    </w:p>
    <w:p w14:paraId="2263F0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Организацию и общее руководство испытаниями возлагаю на командира 3 ЗАБ генерал-майора авиации Михайленко.</w:t>
      </w:r>
    </w:p>
    <w:p w14:paraId="6F1CC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Обеспечение войсковых летных испытаний техническим руководством возлагаю на начальника ГК НИИ ВВС генерал-полковника ИАС Репина А.К.</w:t>
      </w:r>
    </w:p>
    <w:p w14:paraId="3F09E7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Для обеспечения войсковых испытаний модифицированными регуляторами оборотов винта, их установки и наблюдения за их работой во время испытаний допустить представителя завода N 132 НКАП.</w:t>
      </w:r>
    </w:p>
    <w:p w14:paraId="7A0766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К испытаниям приступить после получения модифицированных регуляторов оборотов винта с завода N 132 и закончить их в течение 40 летных дней (1879,63).</w:t>
      </w:r>
    </w:p>
    <w:p w14:paraId="08F5F403" w14:textId="77777777" w:rsidR="00665165" w:rsidRPr="00F90EAE" w:rsidRDefault="00665165" w:rsidP="00F90EAE">
      <w:pPr>
        <w:autoSpaceDE w:val="0"/>
        <w:autoSpaceDN w:val="0"/>
        <w:adjustRightInd w:val="0"/>
        <w:jc w:val="both"/>
        <w:rPr>
          <w:color w:val="000000" w:themeColor="text1"/>
          <w:sz w:val="16"/>
          <w:szCs w:val="16"/>
        </w:rPr>
      </w:pPr>
    </w:p>
    <w:p w14:paraId="5E9EC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вышел приказ НКАП N 69с "Об увеличении выпуска КТ самолетов УТ-2":</w:t>
      </w:r>
    </w:p>
    <w:p w14:paraId="0B5DFE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увеличения выпуска УТС УТ-2:</w:t>
      </w:r>
    </w:p>
    <w:p w14:paraId="3008B3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447 В.А.Наджаряну организовать на заводе 447 производство УТ-2, обеспечив выпуск в мае - 5 самолетов, в июне - 10, в июле - 15, доведя выпуск их в конце 4 кв. до 3 самолетов в день." (188,137).</w:t>
      </w:r>
    </w:p>
    <w:p w14:paraId="58E35E7A" w14:textId="77777777" w:rsidR="00665165" w:rsidRPr="00F90EAE" w:rsidRDefault="00665165" w:rsidP="00F90EAE">
      <w:pPr>
        <w:autoSpaceDE w:val="0"/>
        <w:autoSpaceDN w:val="0"/>
        <w:adjustRightInd w:val="0"/>
        <w:jc w:val="both"/>
        <w:rPr>
          <w:color w:val="000000" w:themeColor="text1"/>
          <w:sz w:val="16"/>
          <w:szCs w:val="16"/>
        </w:rPr>
      </w:pPr>
    </w:p>
    <w:p w14:paraId="25AC56D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F8C8538" w14:textId="77777777" w:rsidR="00665165" w:rsidRPr="00F90EAE" w:rsidRDefault="00665165" w:rsidP="00F90EAE">
      <w:pPr>
        <w:autoSpaceDE w:val="0"/>
        <w:autoSpaceDN w:val="0"/>
        <w:adjustRightInd w:val="0"/>
        <w:jc w:val="both"/>
        <w:rPr>
          <w:iCs/>
          <w:color w:val="000000" w:themeColor="text1"/>
          <w:sz w:val="16"/>
          <w:szCs w:val="16"/>
        </w:rPr>
      </w:pPr>
    </w:p>
    <w:p w14:paraId="2CDF8C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вышел окончательный отчет по испытаниям танка T-IVВ Королевский тигр: “п. 9. Лобовая броня корпуса и башни низкого качества. При наличии несквозных поражений (вмятин) в броне образуются сквозные трещины и большие отколы с тыльной стороны... Бортовые листы отличаются резкой неравнопрочностью по сравнению с лобовыми и являются наиболее уязвимой частью броневого корпуса и башни танка...” (4300).</w:t>
      </w:r>
    </w:p>
    <w:p w14:paraId="17231425" w14:textId="77777777" w:rsidR="00665165" w:rsidRPr="00F90EAE" w:rsidRDefault="00665165" w:rsidP="00F90EAE">
      <w:pPr>
        <w:autoSpaceDE w:val="0"/>
        <w:autoSpaceDN w:val="0"/>
        <w:adjustRightInd w:val="0"/>
        <w:jc w:val="both"/>
        <w:rPr>
          <w:color w:val="000000" w:themeColor="text1"/>
          <w:sz w:val="16"/>
          <w:szCs w:val="16"/>
        </w:rPr>
      </w:pPr>
    </w:p>
    <w:p w14:paraId="37C89B7F"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16 февраля 1945 танк Т-54 отправили на НИБТ Полигон, причём вместе с Т-34-100.</w:t>
      </w:r>
    </w:p>
    <w:p w14:paraId="260218A0"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lastRenderedPageBreak/>
        <w:t>Требования Малышева, которые касались боевой массы, выдержать не удалось — вместо 34 т боевая масса Т-54 составила 35 850 кг. Это оказалось связано с существенным ростом броневой защиты. В случае с корпусом, как и на исходном проекте Т-44В, лобовая часть корпуса была толщиной 120 мм, а борта усилили до 90 мм. В целом корпус сохранил конфигурацию Т-44, но при этом стал длиннее на 54 мм. В связи с этим увеличилось и расстояние и между крайними опорными катками. Также, в связи с увеличением диаметра погона башни, переделке подвергся подбашенный лист. Уширителей, как на КВ-85, не понадобилось, но по бортам появились дополнительные накладки.</w:t>
      </w:r>
    </w:p>
    <w:p w14:paraId="39778286"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Помимо усиления броневой защиты, очередной переработке подверглось место механика-водителя. Для начала из верхней лобовой детали изъяли смотровую щель, что улучшило стойкость листа. Вместо него на верхней кромке лобового листа появился перископический прибор, который при необходимости можно было убрать. Сверху прибор прикрывался крышкой. Ещё один призменный перископический прибор предусмотрели с левой стороны. Никуда не делся и перископический прибор MK-IV в передней части крыши люка механика-водителя. Благодаря такой переделке обзорность немного выросла.</w:t>
      </w:r>
    </w:p>
    <w:p w14:paraId="38D724B3"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Аналогично башне курсовой пулемёт заменили на СГ-43 ленточного питания. В связи с изменением состава вооружения переделке подверглись и боеукладки. Боекомплект к орудию Д-10ТК составил 34 выстрела, из них 20 — в передней укладке, 5 — на полу боевого отделения, 6 — в кормовой нише башни, и 3 — на правой стенке башни. По сравнению с Т-44 боезапас явно сократился, но в то же время на более просторной СУ-100 боекомплект оказался даже чуть меньше — 33 выстрела. Также, ввиду ленточного питания пулемётов СГ-43, изменились пулемётные укладки. В отличие от выстрелов, боезапас по патронам существенно вырос — до 3000 штук.</w:t>
      </w:r>
    </w:p>
    <w:p w14:paraId="30A7AE96"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Силовая установка осталась такой же, как на Т-44. Вместе с тем КБ-520 провело ряд улучшений систем, связанных с двигателем. В систему охлаждения ввели пародинамический ламповый подогреватель, а радиатор сделали четырёхсекционным. Подогреватель установили и для воздухоочистителя, что облегчало запуск двигателя в зимний период. Мало изменилась топливная система, но при этом общий запас топлива удалось увеличить до 530 л. Помимо переделки опорных катков и балансиров, изменения внесли в бортовые передачи.</w:t>
      </w:r>
    </w:p>
    <w:p w14:paraId="2BE175E1"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За счёт более низкой башни общая высота Т-54 уменьшилась до 2275 мм. К слову, в заводской переписке произошла описка, и высоту указали как у Т-44, то есть 2400 мм. При этом высота боевого отделения составила 1570 мм, всего на 20 мм ниже Т-44. Ввиду того, что ходовые испытания во время заводских тестов толком не проводились, скоростные данные давались расчётные. Максимальная скорость оценивалась в 53,5 км/ч — как показали дальнейшие события, это было чересчур оптимистично (19090).</w:t>
      </w:r>
    </w:p>
    <w:p w14:paraId="0373F3DC"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p>
    <w:p w14:paraId="125EFE77"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16 февраля 1945 года при первых же заводских испытаниях к месту механика-водителя набралось немало претензий. Боевое отделение назвали очень тесным — причиной тому стали установленные слева и справа укладки для пулемётных дисков, а также снарядные укладки. При езде в походном положении мешал кронштейн смотрового прибора, который перегораживал механику-водителю доступ к рычагу переключения КПП. Проём люка оказался маловат для входа и выхода в зимней одежде. Также имелись претензии к сидению. Нашлись недочёты по боевому отделению, а двигатель в полевых условиях оказалось трудно демонтировать. Несмотря на то, что при создании улучшенного «Кировца-1» базой послужил исходный танк, на практике они довольно сильно отличались друг от друга. При этом опыт завода №100 и НИИ-48 сыграл положительную роль не только с точки зрения стойкости броневой защиты корпуса. Благодаря новой лобовой детали корпуса его масса оказалась ниже не только ИС-2, но и исходного «Кировца-1», что привело к снижению боевой массы до 4587 кг. Для сравнения, боевая масса первоначального «Кировца-1» составляла 45 870 кг. Корпус стал на 10 см уже, но за счёт «щучьего носа» длина выросла до 6900 мм. За счёт иной конструкции носовой детали толщина лобовых деталей снизилась до 110 мм при том же уровне стойкости. Толщина верхних бортовых листов составила 90 мм, но при этом они имели наклон почти 60 градусов от вертикали. Это было примерно равно стойкости верхней лобовой детали ИС-2 со спрямлённой сварной носовой частью.</w:t>
      </w:r>
    </w:p>
    <w:p w14:paraId="6154CFE7"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Толщина башни варьировалась от 120 до 210 мм, при этом её форма была улучшена по сравнению с исходным «Кировцем-1». Аналогично исходному танку, на «Кировец-1» поставили 520-сильный двигатель В-11. Кроме того, аналогично исходному танку топливные баки убрали из боевого отделения. Боекомплект снизили до 28 выстрелов к орудию Д-25Т, но при этом появился зенитный пулемёт ДШКМ. Ввиду того, что конструкция люков «Кировца-1» сильно отличалась от ИС-2, пришлось делать специальную «основу» для турели, которая в походном положении отводилась назад.</w:t>
      </w:r>
    </w:p>
    <w:p w14:paraId="0DB8C55C"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Одним из существенных плюсов «щучьего носа» было появление люка механика-водителя. Это не только облегчало попадание мехвода в машину, но и значительно улучшало обзорность в походном положении (19731).</w:t>
      </w:r>
    </w:p>
    <w:p w14:paraId="0478183E" w14:textId="77777777" w:rsidR="002E1B6D" w:rsidRPr="00F90EAE" w:rsidRDefault="002E1B6D" w:rsidP="00F90EAE">
      <w:pPr>
        <w:pStyle w:val="ae"/>
        <w:shd w:val="clear" w:color="auto" w:fill="FFFFFF"/>
        <w:spacing w:before="0" w:after="0"/>
        <w:jc w:val="both"/>
        <w:textAlignment w:val="baseline"/>
        <w:rPr>
          <w:color w:val="000000" w:themeColor="text1"/>
          <w:sz w:val="16"/>
          <w:szCs w:val="16"/>
        </w:rPr>
      </w:pPr>
    </w:p>
    <w:p w14:paraId="0E46B0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16 февраля 1945 года нарком НКХП СССР М.Г.Первухин доложил заместителю председателя ГОКО СССР Л.П.Берия о нахождение военно-химического завода Германии крупного масштаба в полной сохранности. В следующем сообщении, датированном 2 марта 1945 года, М.Г.Первухин докладывал члену ГОКО СССР Г.М.Маленкову детали.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48E9595F" w14:textId="77777777" w:rsidR="00665165" w:rsidRPr="00F90EAE" w:rsidRDefault="00665165" w:rsidP="00F90EAE">
      <w:pPr>
        <w:autoSpaceDE w:val="0"/>
        <w:autoSpaceDN w:val="0"/>
        <w:adjustRightInd w:val="0"/>
        <w:jc w:val="both"/>
        <w:rPr>
          <w:color w:val="000000" w:themeColor="text1"/>
          <w:sz w:val="16"/>
          <w:szCs w:val="16"/>
        </w:rPr>
      </w:pPr>
    </w:p>
    <w:p w14:paraId="3B166D13" w14:textId="77777777" w:rsidR="000F49EC" w:rsidRPr="00F90EAE" w:rsidRDefault="000F49EC" w:rsidP="00F90EAE">
      <w:pPr>
        <w:shd w:val="clear" w:color="auto" w:fill="FFFFFF"/>
        <w:jc w:val="both"/>
        <w:rPr>
          <w:color w:val="000000" w:themeColor="text1"/>
          <w:sz w:val="16"/>
          <w:szCs w:val="16"/>
        </w:rPr>
      </w:pPr>
      <w:r w:rsidRPr="00F90EAE">
        <w:rPr>
          <w:bCs/>
          <w:iCs/>
          <w:color w:val="000000" w:themeColor="text1"/>
          <w:sz w:val="16"/>
          <w:szCs w:val="16"/>
        </w:rPr>
        <w:t>16 февраля 1945 г.</w:t>
      </w:r>
      <w:r w:rsidRPr="00F90EAE">
        <w:rPr>
          <w:color w:val="000000" w:themeColor="text1"/>
          <w:sz w:val="16"/>
          <w:szCs w:val="16"/>
        </w:rPr>
        <w:t xml:space="preserve"> Доклад наркома НКХП СССР М.Г.Первухина заместителю председателя ГОКО СССР Л.П.Берия об обнаружении на занятой советскими войсками территории Германии химического завода по производству нового ОВ и по снаряжению им химических боеприпасов (место — Дихернфурт-на-Одере близ г.Волау). Сообщено, что направленные на завод заместитель начальника ГВХУ КА генерал И.Ф.Чухнов и главный инженер ГСНИИ-42 Д.Г.Кудряшов обнаружили исправность найденного предприятия (17133).</w:t>
      </w:r>
    </w:p>
    <w:p w14:paraId="66634A64" w14:textId="77777777" w:rsidR="000F49EC" w:rsidRPr="00F90EAE" w:rsidRDefault="000F49EC" w:rsidP="00F90EAE">
      <w:pPr>
        <w:shd w:val="clear" w:color="auto" w:fill="FFFFFF"/>
        <w:jc w:val="both"/>
        <w:rPr>
          <w:color w:val="000000" w:themeColor="text1"/>
          <w:sz w:val="16"/>
          <w:szCs w:val="16"/>
        </w:rPr>
      </w:pPr>
    </w:p>
    <w:p w14:paraId="0A29CC0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084D907" w14:textId="77777777" w:rsidR="00665165" w:rsidRPr="00F90EAE" w:rsidRDefault="00665165" w:rsidP="00F90EAE">
      <w:pPr>
        <w:autoSpaceDE w:val="0"/>
        <w:autoSpaceDN w:val="0"/>
        <w:adjustRightInd w:val="0"/>
        <w:jc w:val="both"/>
        <w:rPr>
          <w:iCs/>
          <w:color w:val="000000" w:themeColor="text1"/>
          <w:sz w:val="16"/>
          <w:szCs w:val="16"/>
        </w:rPr>
      </w:pPr>
    </w:p>
    <w:p w14:paraId="038682AA" w14:textId="77777777" w:rsidR="000F49EC" w:rsidRPr="00F90EAE" w:rsidRDefault="000F49EC" w:rsidP="00F90EAE">
      <w:pPr>
        <w:jc w:val="both"/>
        <w:rPr>
          <w:color w:val="000000" w:themeColor="text1"/>
          <w:sz w:val="16"/>
          <w:szCs w:val="16"/>
        </w:rPr>
      </w:pPr>
      <w:r w:rsidRPr="00F90EAE">
        <w:rPr>
          <w:bCs/>
          <w:color w:val="000000" w:themeColor="text1"/>
          <w:sz w:val="16"/>
          <w:szCs w:val="16"/>
        </w:rPr>
        <w:t>16 февраля</w:t>
      </w:r>
      <w:r w:rsidRPr="00F90EAE">
        <w:rPr>
          <w:color w:val="000000" w:themeColor="text1"/>
          <w:sz w:val="16"/>
          <w:szCs w:val="16"/>
        </w:rPr>
        <w:t xml:space="preserve"> в 1945 году оперативная сводка Совинформбюро:</w:t>
      </w:r>
    </w:p>
    <w:p w14:paraId="5A4F722C" w14:textId="77777777" w:rsidR="000F49EC" w:rsidRPr="00F90EAE" w:rsidRDefault="000F49EC" w:rsidP="00F90EAE">
      <w:pPr>
        <w:jc w:val="both"/>
        <w:rPr>
          <w:color w:val="000000" w:themeColor="text1"/>
          <w:sz w:val="16"/>
          <w:szCs w:val="16"/>
        </w:rPr>
      </w:pPr>
      <w:r w:rsidRPr="00F90EAE">
        <w:rPr>
          <w:color w:val="000000" w:themeColor="text1"/>
          <w:sz w:val="16"/>
          <w:szCs w:val="16"/>
        </w:rPr>
        <w:t>«В течение 16 февраля северо-восточнее и севернее города Быдгощ (Бромберг) наши войска в результате наступательных боёв овладели населёнными пунктами Клайн Ташау, Ешево, Лясковиц, Буциг, Людвигсталь, Клайн-Гацно, Шмидебрух.</w:t>
      </w:r>
    </w:p>
    <w:p w14:paraId="34DBF316" w14:textId="77777777" w:rsidR="000F49EC" w:rsidRPr="00F90EAE" w:rsidRDefault="000F49EC" w:rsidP="00F90EAE">
      <w:pPr>
        <w:jc w:val="both"/>
        <w:rPr>
          <w:color w:val="000000" w:themeColor="text1"/>
          <w:sz w:val="16"/>
          <w:szCs w:val="16"/>
        </w:rPr>
      </w:pPr>
      <w:r w:rsidRPr="00F90EAE">
        <w:rPr>
          <w:color w:val="000000" w:themeColor="text1"/>
          <w:sz w:val="16"/>
          <w:szCs w:val="16"/>
        </w:rPr>
        <w:t>В Познани продолжались бои по уничтожению гарнизона противника, удерживающего район Цитадели и четыре пригорода на восточном берегу Варты.</w:t>
      </w:r>
    </w:p>
    <w:p w14:paraId="75095932" w14:textId="77777777" w:rsidR="000F49EC" w:rsidRPr="00F90EAE" w:rsidRDefault="000F49EC" w:rsidP="00F90EAE">
      <w:pPr>
        <w:jc w:val="both"/>
        <w:rPr>
          <w:color w:val="000000" w:themeColor="text1"/>
          <w:sz w:val="16"/>
          <w:szCs w:val="16"/>
        </w:rPr>
      </w:pPr>
      <w:r w:rsidRPr="00F90EAE">
        <w:rPr>
          <w:color w:val="000000" w:themeColor="text1"/>
          <w:sz w:val="16"/>
          <w:szCs w:val="16"/>
        </w:rPr>
        <w:t>Западнее города Грюнберг наши войска, продолжая наступление, вышли на реку Бобер, заняв при этом более 50 населённых пунктов, среди которых крупные населённые пункты Ротенбург, Тимендорф, Русдорф, Дойч Загар, Коссар, Вейсиг, Рейхенау. За 15 февраля в районе южнее города Грюнберг наши войска взяли в плен более 1.500 немецких солдат и офицеров и захватили склад-арсенал, в котором находилось 350 орудий, 1.500 орудийных и миномётных стволов, 1.500 тяжёлых пулемётов и большое количество боеприпасов.</w:t>
      </w:r>
    </w:p>
    <w:p w14:paraId="02AFDAF0"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Бреслау (Бреславль) наши войска, наступая на город с севера, запада и юга, завершили окружение группировки противника, обороняющей город Бреслау (Бреславль). В ходе наступательных боёв наши войска заняли в этом районе белее 200 населённых пунктов, в том числе города Хундсфельд, Дойч Лисса, Ванзен и крупные населённые пункты Маргарет, Драхенбрунн, Закрау, Пашкервиц, Шебиц, Шенгартен, Добрюкк, Клеттендорф, Каттерн, Крафтборн.</w:t>
      </w:r>
    </w:p>
    <w:p w14:paraId="2F6EE1C2" w14:textId="77777777" w:rsidR="000F49EC" w:rsidRPr="00F90EAE" w:rsidRDefault="000F49EC" w:rsidP="00F90EAE">
      <w:pPr>
        <w:jc w:val="both"/>
        <w:rPr>
          <w:color w:val="000000" w:themeColor="text1"/>
          <w:sz w:val="16"/>
          <w:szCs w:val="16"/>
        </w:rPr>
      </w:pPr>
      <w:r w:rsidRPr="00F90EAE">
        <w:rPr>
          <w:color w:val="000000" w:themeColor="text1"/>
          <w:sz w:val="16"/>
          <w:szCs w:val="16"/>
        </w:rPr>
        <w:t>В лесах северо-западнее Будапешта наши войска завершили ликвидацию разрозненных групп противника, прорвавшихся из западной части города. За 15 февраля в этом районе наши войска взяли в плен свыше 3.400 солдат и офицеров противника и подобрали на поле боя 200 вражеских пулемётов, 4.000 винтовок и 1.500 автоматов.</w:t>
      </w:r>
    </w:p>
    <w:p w14:paraId="4BD7AEA3"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C5387EC" w14:textId="77777777" w:rsidR="000F49EC" w:rsidRPr="00F90EAE" w:rsidRDefault="000F49EC" w:rsidP="00F90EAE">
      <w:pPr>
        <w:jc w:val="both"/>
        <w:rPr>
          <w:color w:val="000000" w:themeColor="text1"/>
          <w:sz w:val="16"/>
          <w:szCs w:val="16"/>
        </w:rPr>
      </w:pPr>
      <w:r w:rsidRPr="00F90EAE">
        <w:rPr>
          <w:color w:val="000000" w:themeColor="text1"/>
          <w:sz w:val="16"/>
          <w:szCs w:val="16"/>
        </w:rPr>
        <w:t>За 15 февраля на всех фронтах подбито и уничтожено 117 немецких танков. В воздушных боях и огнём зенитной артиллерии сбито 39 самолётов противника.</w:t>
      </w:r>
    </w:p>
    <w:p w14:paraId="1B922102" w14:textId="77777777" w:rsidR="000F49EC" w:rsidRPr="00F90EAE" w:rsidRDefault="000F49EC" w:rsidP="00F90EAE">
      <w:pPr>
        <w:jc w:val="both"/>
        <w:rPr>
          <w:color w:val="000000" w:themeColor="text1"/>
          <w:sz w:val="16"/>
          <w:szCs w:val="16"/>
        </w:rPr>
      </w:pPr>
      <w:r w:rsidRPr="00F90EAE">
        <w:rPr>
          <w:color w:val="000000" w:themeColor="text1"/>
          <w:sz w:val="16"/>
          <w:szCs w:val="16"/>
        </w:rPr>
        <w:t>В городе Познань наши войска вели бои по уничтожению окружённого гарнизона противника. Немцы засели в цитадели, а также в пригородах на восточном берегу реки Варты и оказывают упорное сопротивление. Советские пехотинцы и артиллеристы, уничтожая огневые точки и живую силу противника, очищают от врага один, дом за другим. За день истреблено до тысячи гитлеровцев. Захвачено 78 пулемётов, 3 тысячи винтовок и автоматов, 2 склада с военным имуществом, 3 тысячи снарядов и 2 тысячи ручных гранат. Взято в плен 550 немецких солдат и офицеров.</w:t>
      </w:r>
    </w:p>
    <w:p w14:paraId="50090D03" w14:textId="77777777" w:rsidR="000F49EC" w:rsidRPr="00F90EAE" w:rsidRDefault="000F49EC" w:rsidP="00F90EAE">
      <w:pPr>
        <w:jc w:val="both"/>
        <w:rPr>
          <w:color w:val="000000" w:themeColor="text1"/>
          <w:sz w:val="16"/>
          <w:szCs w:val="16"/>
        </w:rPr>
      </w:pPr>
      <w:r w:rsidRPr="00F90EAE">
        <w:rPr>
          <w:color w:val="000000" w:themeColor="text1"/>
          <w:sz w:val="16"/>
          <w:szCs w:val="16"/>
        </w:rPr>
        <w:t xml:space="preserve">Западнее города Грюнберг наши войска развивали наступление. Противник соорудил у шоссейных дорог узлы сопротивления с дотами и дзотами. Особенно сильно укреплены перекрёстки дорог. Советские -пехотинцы и сопровождающие их артиллеристы, совершая обходные манёвры, блокируют и уничтожают опорные пункты </w:t>
      </w:r>
      <w:r w:rsidRPr="00F90EAE">
        <w:rPr>
          <w:color w:val="000000" w:themeColor="text1"/>
          <w:sz w:val="16"/>
          <w:szCs w:val="16"/>
        </w:rPr>
        <w:lastRenderedPageBreak/>
        <w:t>обороны противника. Наши войска с боями продвинулись вперёд на 20 километров и на широком фронте вышли к реке Бобер в её нижнем течении. После упорных боёв советские части овладели сильно укреплённым опорным пунктом Ротенбург, расположенным на левом берегу реки Одер. Немецкие укрепления были обращены к реке, на север. Наши войска атаковали этот крупный населённый пункт с юга и юго-востока. В уличных боях вражеский гарнизон был разгромлён. Захвачено много трофеев.</w:t>
      </w:r>
    </w:p>
    <w:p w14:paraId="06450A47"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города Бреслау (Бреславль) происходили ожесточённые бои. В результате успешных наступательных действий наших войск с плацдармов северо-западнее и юго-восточнее Бреслау этот сильнейший опорный пункт обороны немцев и крупный промышленный центр был почти полностью окружён. В распоряжении противника оставался лишь узкий коридор шириною в 8 километров. Немцы старались во что бы то ни стало удержать в своих руках железную и шоссейную дороги Бреслау — Франкенштайн. Мощными ударами с трёх сторон советские части сломили сопротивление гитлеровцев и сегодня завершили полное окружение города Бреслау. Развивая успех, наши войска заняли более 200 населённых пунктов и выбили немцев из города Дойч Лисса, расположенного в 7 километрах к северо-западу от Бреслау, и населённого пункта Каттерн (6 километров южнее Бреслау). За день боёв уничтожено 37 немецких танков, 16 бронетранспортёров и более 50 орудий.</w:t>
      </w:r>
    </w:p>
    <w:p w14:paraId="21A805A2" w14:textId="77777777" w:rsidR="000F49EC" w:rsidRPr="00F90EAE" w:rsidRDefault="000F49EC" w:rsidP="00F90EAE">
      <w:pPr>
        <w:jc w:val="both"/>
        <w:rPr>
          <w:color w:val="000000" w:themeColor="text1"/>
          <w:sz w:val="16"/>
          <w:szCs w:val="16"/>
        </w:rPr>
      </w:pPr>
      <w:r w:rsidRPr="00F90EAE">
        <w:rPr>
          <w:color w:val="000000" w:themeColor="text1"/>
          <w:sz w:val="16"/>
          <w:szCs w:val="16"/>
        </w:rPr>
        <w:t>В лесах северо-западнее Будапешта наши войска закончили ликвидацию разрозненных групп немцев, прорвавшихся из западной части города. У многих немецких солдат, взятых в плен, обнаружены золотые часы, золотые и серебряные ложки и другие драгоценности. Все эти вещи немцы награбили у жителей города Будапешта.</w:t>
      </w:r>
    </w:p>
    <w:p w14:paraId="45ECE866" w14:textId="77777777" w:rsidR="000F49EC" w:rsidRPr="00F90EAE" w:rsidRDefault="000F49EC" w:rsidP="00F90EAE">
      <w:pPr>
        <w:jc w:val="both"/>
        <w:rPr>
          <w:color w:val="000000" w:themeColor="text1"/>
          <w:sz w:val="16"/>
          <w:szCs w:val="16"/>
        </w:rPr>
      </w:pPr>
      <w:r w:rsidRPr="00F90EAE">
        <w:rPr>
          <w:color w:val="000000" w:themeColor="text1"/>
          <w:sz w:val="16"/>
          <w:szCs w:val="16"/>
        </w:rPr>
        <w:t>За последние дни наши войска в Восточной Пруссии взяли в плен большую группу немецких офицеров. Многие из них сдались в плен вместе с солдатами своих подразделений. Захвачен в плен штаб 927-го полка 286-й немецкой охранной дивизии. В числе пленных командир полка майор Вильгельм Фоссе и его адъютант обер-лейтенант Клаус Зейде. Пленный обер-лейтенант Клаус Зейде сообщил: «Штаб полка потерял связь с командованием дивизии и со своими подразделениями. Мы бежали в лес, где после трёхдневных блужданий были взяты в плен».</w:t>
      </w:r>
    </w:p>
    <w:p w14:paraId="2C9C7503" w14:textId="77777777" w:rsidR="000F49EC" w:rsidRPr="00F90EAE" w:rsidRDefault="000F49EC" w:rsidP="00F90EAE">
      <w:pPr>
        <w:jc w:val="both"/>
        <w:rPr>
          <w:color w:val="000000" w:themeColor="text1"/>
          <w:sz w:val="16"/>
          <w:szCs w:val="16"/>
        </w:rPr>
      </w:pPr>
      <w:r w:rsidRPr="00F90EAE">
        <w:rPr>
          <w:color w:val="000000" w:themeColor="text1"/>
          <w:sz w:val="16"/>
          <w:szCs w:val="16"/>
        </w:rPr>
        <w:t>Пленный лейтенант 286-й дивизии Рихард Мюллер заявил: «После тяжёлых боёв мелкие разрозненные группы солдат собрались на дивизионном сборном пункте. Меня назначили командиром сборной роты. Чтобы предупредить бегство солдат, командование приказало отобрать у них солдатские книжки. Однако эта мера не помогла. Мои карманы были битком набиты солдатскими книжками, но солдат у меня не оказалось. Почти все они разбежались. Я махнул на всё рукой, пошёл навстречу русским и сдался в плен».</w:t>
      </w:r>
    </w:p>
    <w:p w14:paraId="0941B368" w14:textId="77777777" w:rsidR="000F49EC" w:rsidRPr="00F90EAE" w:rsidRDefault="000F49EC" w:rsidP="00F90EAE">
      <w:pPr>
        <w:jc w:val="both"/>
        <w:rPr>
          <w:color w:val="000000" w:themeColor="text1"/>
          <w:sz w:val="16"/>
          <w:szCs w:val="16"/>
          <w:lang w:val="en-US"/>
        </w:rPr>
      </w:pPr>
      <w:r w:rsidRPr="00F90EAE">
        <w:rPr>
          <w:color w:val="000000" w:themeColor="text1"/>
          <w:sz w:val="16"/>
          <w:szCs w:val="16"/>
        </w:rPr>
        <w:t>На другом участке сдался в плен командир 400-го немецкого запасного батальона лейтенант Гельмут Пауль вместе с 76 солдатами. Пленный лейтенант рассказал: «В немецких частях, окружённых в Восточной Пруссии, творится хаос. Командование приказало держаться до последнего, но этот приказ невозможно выполнить. Солдаты видят, что дальнейшее сопротивление бесполезно. Часть из них переоделась в гражданское платье и отказалась выполнять мои приказания. После всего виденного и пережитого мною в январе 1945 года было бы безумием продолжать борьбу. Собравостаткисвоегобатальона</w:t>
      </w:r>
      <w:r w:rsidRPr="00F90EAE">
        <w:rPr>
          <w:color w:val="000000" w:themeColor="text1"/>
          <w:sz w:val="16"/>
          <w:szCs w:val="16"/>
          <w:lang w:val="en-US"/>
        </w:rPr>
        <w:t xml:space="preserve">, </w:t>
      </w:r>
      <w:r w:rsidRPr="00F90EAE">
        <w:rPr>
          <w:color w:val="000000" w:themeColor="text1"/>
          <w:sz w:val="16"/>
          <w:szCs w:val="16"/>
        </w:rPr>
        <w:t>ясдалсявплен</w:t>
      </w:r>
      <w:r w:rsidRPr="00F90EAE">
        <w:rPr>
          <w:color w:val="000000" w:themeColor="text1"/>
          <w:sz w:val="16"/>
          <w:szCs w:val="16"/>
          <w:lang w:val="en-US"/>
        </w:rPr>
        <w:t>» (15042).</w:t>
      </w:r>
    </w:p>
    <w:p w14:paraId="388C62EA" w14:textId="77777777" w:rsidR="000F49EC" w:rsidRPr="00F90EAE" w:rsidRDefault="000F49EC" w:rsidP="00F90EAE">
      <w:pPr>
        <w:jc w:val="both"/>
        <w:rPr>
          <w:color w:val="000000" w:themeColor="text1"/>
          <w:sz w:val="16"/>
          <w:szCs w:val="16"/>
          <w:lang w:val="en-US"/>
        </w:rPr>
      </w:pPr>
    </w:p>
    <w:p w14:paraId="7CBB857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16, 1945: On the Eastern front in Pommerania, the remaining units of the 11.SS-Panzer-Armee launch fully into Operation Sonnenwende, which in reality is a severely restricted counter-offensive to relieve the Kuestrin area (3819).</w:t>
      </w:r>
    </w:p>
    <w:p w14:paraId="40FB4978" w14:textId="77777777" w:rsidR="00665165" w:rsidRPr="00F90EAE" w:rsidRDefault="00665165" w:rsidP="00F90EAE">
      <w:pPr>
        <w:autoSpaceDE w:val="0"/>
        <w:autoSpaceDN w:val="0"/>
        <w:adjustRightInd w:val="0"/>
        <w:jc w:val="both"/>
        <w:rPr>
          <w:color w:val="000000" w:themeColor="text1"/>
          <w:sz w:val="16"/>
          <w:szCs w:val="16"/>
          <w:lang w:val="en-US"/>
        </w:rPr>
      </w:pPr>
    </w:p>
    <w:p w14:paraId="033E5F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в Померании 11ТА СС начала контрнаступление для освобождения района Кюстрина (3819).</w:t>
      </w:r>
    </w:p>
    <w:p w14:paraId="0AE39D35" w14:textId="77777777" w:rsidR="00665165" w:rsidRPr="00F90EAE" w:rsidRDefault="00665165" w:rsidP="00F90EAE">
      <w:pPr>
        <w:autoSpaceDE w:val="0"/>
        <w:autoSpaceDN w:val="0"/>
        <w:adjustRightInd w:val="0"/>
        <w:jc w:val="both"/>
        <w:rPr>
          <w:color w:val="000000" w:themeColor="text1"/>
          <w:sz w:val="16"/>
          <w:szCs w:val="16"/>
        </w:rPr>
      </w:pPr>
    </w:p>
    <w:p w14:paraId="5912A1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восьмерка Як-9 под управлением ГСС м Степаненко 4 иап в районе Тукумс-Либава расчищали воздух для налета Ил-2 из 235 шад и вместе со стрелками Ил-2 сбили аса Отто Кителя (4237,62).</w:t>
      </w:r>
    </w:p>
    <w:p w14:paraId="3ACE1C8D" w14:textId="77777777" w:rsidR="00665165" w:rsidRPr="00F90EAE" w:rsidRDefault="00665165" w:rsidP="00F90EAE">
      <w:pPr>
        <w:autoSpaceDE w:val="0"/>
        <w:autoSpaceDN w:val="0"/>
        <w:adjustRightInd w:val="0"/>
        <w:jc w:val="both"/>
        <w:rPr>
          <w:color w:val="000000" w:themeColor="text1"/>
          <w:sz w:val="16"/>
          <w:szCs w:val="16"/>
        </w:rPr>
      </w:pPr>
    </w:p>
    <w:p w14:paraId="102A1D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года был потоплен транспорт "Эмсшторм" (4517 тонн), перевозивший живую силу и технику, а также более легкий транспорт "Эрна". Спустя шесть дней немецкий флот лишился парохода "Мендоза" (5193 тонны) (2691).</w:t>
      </w:r>
    </w:p>
    <w:p w14:paraId="3AC212A7" w14:textId="77777777" w:rsidR="00665165" w:rsidRPr="00F90EAE" w:rsidRDefault="00665165" w:rsidP="00F90EAE">
      <w:pPr>
        <w:autoSpaceDE w:val="0"/>
        <w:autoSpaceDN w:val="0"/>
        <w:adjustRightInd w:val="0"/>
        <w:jc w:val="both"/>
        <w:rPr>
          <w:color w:val="000000" w:themeColor="text1"/>
          <w:sz w:val="16"/>
          <w:szCs w:val="16"/>
        </w:rPr>
      </w:pPr>
    </w:p>
    <w:p w14:paraId="4252541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B715591" w14:textId="77777777" w:rsidR="00665165" w:rsidRPr="00F90EAE" w:rsidRDefault="00665165" w:rsidP="00F90EAE">
      <w:pPr>
        <w:autoSpaceDE w:val="0"/>
        <w:autoSpaceDN w:val="0"/>
        <w:adjustRightInd w:val="0"/>
        <w:jc w:val="both"/>
        <w:rPr>
          <w:iCs/>
          <w:color w:val="000000" w:themeColor="text1"/>
          <w:sz w:val="16"/>
          <w:szCs w:val="16"/>
        </w:rPr>
      </w:pPr>
    </w:p>
    <w:p w14:paraId="75EC79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16 February - 16 March 1945 Capture of Iwo Jima 1945 The Marine Corps assault of 19 February was preceded and supported by two separate carrier elements of the Central Pacific Force. The first of these was Task Force 58 under Vice Admiral Mark A. Mitscher, the second was Task Group 52.2 under Rear Admiral C.T. Durgin. On 16-17 February Mitscher moved against Japan with nine heavy and five light carriers in four groups, and two heavy carriers in a night group. Carrier aircraft hit Japanese air bases in the Tokyo plains. From 19 to 23 February, his forces supported Marine Corps landings and operations on Iwo Jima and flew neutralization strikes against the Bonins. On 25 February, he returned for a second strike on Tokyo. On 1 March he struck at Okinawa and the Ryukyus and then retired to Ulithi leaving in his wake 648 enemy aircraft destroyed and 30,000 tons of merchant shipping sunk. Task Group 52.2 began the campaign with nine escort carriers; it was later augmented by two more escorts and one night CV. On 16-18 February, Admiral Durgin carried out air strikes on Iwo Jima's shore defenses to reduce their resistance to the impending Marine Corps landing. From 19 February to 11 March he flew missions in direct support of Marine Corps ground operations and neutralized airstrips in the Bonins. In counter attacks, the Japanese were not entirely unsuccessful. On 21 February a Kamikaze raid upon Task Group 52 sank the escort carrier Bismarck Sea, seriously damaged Saratoga, and did minor damage to Lunga Point. But new air defense elements in the U.S. fleet were functional and noteworthy; they included the altitude-determining radar on LSTs and a Night Fighter Director on the Air Support Commander's organization. Other U.S. operations deserve mention. Task Group 50. 5, under Commodore D. Ketcham, was based in the Marianas. The Group's shore-based aircraft conducted shipping reconnaissance and air-sea rescue between Japan and Iwo Jima. They also flew offensive screens for carrier raids and expeditionary forces. Similar operations were carried out by patrol planes of Fleet Air Wing 1 from tenders anchored in the lee of Iwo Jima (28 Feb-8 Mar). Marine Corps Observation Squadrons 4 and 5, which arrived on CVEs and on LSTs equipped with Brodie gear, began operations from Iwo Jima airfields on 27 February. Army fighters were flown in from Saipan on 6 March, and Marine Corps Torpedo Squadron 242 arrived on 8 March; they flew day and night combat air patrols and provided all air support upon the departure of the last CVEs on 11 March. </w:t>
      </w:r>
      <w:r w:rsidRPr="00F90EAE">
        <w:rPr>
          <w:color w:val="000000" w:themeColor="text1"/>
          <w:sz w:val="16"/>
          <w:szCs w:val="16"/>
        </w:rPr>
        <w:t>Iwo Jima was secured on 16 March (1090).</w:t>
      </w:r>
    </w:p>
    <w:p w14:paraId="0C0333AA" w14:textId="77777777" w:rsidR="00665165" w:rsidRPr="00F90EAE" w:rsidRDefault="00665165" w:rsidP="00F90EAE">
      <w:pPr>
        <w:autoSpaceDE w:val="0"/>
        <w:autoSpaceDN w:val="0"/>
        <w:adjustRightInd w:val="0"/>
        <w:jc w:val="both"/>
        <w:rPr>
          <w:color w:val="000000" w:themeColor="text1"/>
          <w:sz w:val="16"/>
          <w:szCs w:val="16"/>
        </w:rPr>
      </w:pPr>
    </w:p>
    <w:p w14:paraId="71E1C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16 февраля по 16 марта 1945 проходили бои за Иводзиму (1090).</w:t>
      </w:r>
    </w:p>
    <w:p w14:paraId="7D5B95FB" w14:textId="77777777" w:rsidR="00665165" w:rsidRPr="00F90EAE" w:rsidRDefault="00665165" w:rsidP="00F90EAE">
      <w:pPr>
        <w:autoSpaceDE w:val="0"/>
        <w:autoSpaceDN w:val="0"/>
        <w:adjustRightInd w:val="0"/>
        <w:jc w:val="both"/>
        <w:rPr>
          <w:color w:val="000000" w:themeColor="text1"/>
          <w:sz w:val="16"/>
          <w:szCs w:val="16"/>
        </w:rPr>
      </w:pPr>
    </w:p>
    <w:p w14:paraId="3D95AB34" w14:textId="77777777" w:rsidR="000F49EC" w:rsidRPr="00F90EAE" w:rsidRDefault="000F49EC" w:rsidP="00F90EAE">
      <w:pPr>
        <w:jc w:val="both"/>
        <w:rPr>
          <w:color w:val="000000" w:themeColor="text1"/>
          <w:sz w:val="16"/>
          <w:szCs w:val="16"/>
        </w:rPr>
      </w:pPr>
      <w:r w:rsidRPr="00F90EAE">
        <w:rPr>
          <w:bCs/>
          <w:color w:val="000000" w:themeColor="text1"/>
          <w:sz w:val="16"/>
          <w:szCs w:val="16"/>
        </w:rPr>
        <w:t>16 февраля</w:t>
      </w:r>
      <w:r w:rsidRPr="00F90EAE">
        <w:rPr>
          <w:color w:val="000000" w:themeColor="text1"/>
          <w:sz w:val="16"/>
          <w:szCs w:val="16"/>
        </w:rPr>
        <w:t xml:space="preserve"> в 1945 году американские войска выбили японцев с полуострова Батаан (Филипины) (15042).</w:t>
      </w:r>
    </w:p>
    <w:p w14:paraId="31D5CED2" w14:textId="77777777" w:rsidR="000F49EC" w:rsidRPr="00F90EAE" w:rsidRDefault="000F49EC" w:rsidP="00F90EAE">
      <w:pPr>
        <w:jc w:val="both"/>
        <w:rPr>
          <w:color w:val="000000" w:themeColor="text1"/>
          <w:sz w:val="16"/>
          <w:szCs w:val="16"/>
        </w:rPr>
      </w:pPr>
    </w:p>
    <w:p w14:paraId="726C1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февраля 1945 американская палубная авиация США нанесла мощный удар по Йокогаме (город вблизи Токио). В числе целей был и аэродром Коноикэ – главная тренировочная база «Богов грома». Все 24 самолета-носителя, находившиеся на авиабазе, были разбиты. Японцы стали ждать благоприятного случая для нанесения удара по противнику ракетными самолетами-снарядами (11686).</w:t>
      </w:r>
    </w:p>
    <w:p w14:paraId="38668184" w14:textId="77777777" w:rsidR="00665165" w:rsidRPr="00F90EAE" w:rsidRDefault="00665165" w:rsidP="00F90EAE">
      <w:pPr>
        <w:autoSpaceDE w:val="0"/>
        <w:autoSpaceDN w:val="0"/>
        <w:adjustRightInd w:val="0"/>
        <w:jc w:val="both"/>
        <w:rPr>
          <w:color w:val="000000" w:themeColor="text1"/>
          <w:sz w:val="16"/>
          <w:szCs w:val="16"/>
        </w:rPr>
      </w:pPr>
    </w:p>
    <w:p w14:paraId="7F85127E" w14:textId="77777777" w:rsidR="00EA347D" w:rsidRPr="00F90EAE" w:rsidRDefault="00EA347D" w:rsidP="00F90EAE">
      <w:pPr>
        <w:jc w:val="both"/>
        <w:rPr>
          <w:color w:val="0070C0"/>
          <w:sz w:val="16"/>
          <w:szCs w:val="16"/>
        </w:rPr>
      </w:pPr>
      <w:r w:rsidRPr="00F90EAE">
        <w:rPr>
          <w:color w:val="0070C0"/>
          <w:sz w:val="16"/>
          <w:szCs w:val="16"/>
        </w:rPr>
        <w:t>16 февраля 1945 надводные корабли ВМС США проводят двухдневную бомбардировку Иводзимы перед вторжением. Работая с авианосца сопровождения USS Wake Island (CVE-65), составная эскадрилья ВМС США (VOC-1) дебютирует на Тихоокеанском театре военных действий. В таких эскадрилтях пилоты, обучены артиллерийскому наблюдению и корректируют огонь надводных кораблей с истребителей и действия бомбардировщиков, дополняя или заменяющие более уязвимые корабельные гидросамолеты, ранее предназначенные для этой цели (20371).</w:t>
      </w:r>
    </w:p>
    <w:p w14:paraId="2F236289" w14:textId="77777777" w:rsidR="00EA347D" w:rsidRPr="00F90EAE" w:rsidRDefault="00EA347D" w:rsidP="00F90EAE">
      <w:pPr>
        <w:jc w:val="both"/>
        <w:rPr>
          <w:color w:val="0070C0"/>
          <w:sz w:val="16"/>
          <w:szCs w:val="16"/>
        </w:rPr>
      </w:pPr>
    </w:p>
    <w:p w14:paraId="7B87F7DC" w14:textId="77777777" w:rsidR="00EA347D" w:rsidRPr="00F90EAE" w:rsidRDefault="00EA347D" w:rsidP="00F90EAE">
      <w:pPr>
        <w:jc w:val="both"/>
        <w:rPr>
          <w:color w:val="0070C0"/>
          <w:sz w:val="16"/>
          <w:szCs w:val="16"/>
        </w:rPr>
      </w:pPr>
      <w:r w:rsidRPr="00F90EAE">
        <w:rPr>
          <w:color w:val="0070C0"/>
          <w:sz w:val="16"/>
          <w:szCs w:val="16"/>
        </w:rPr>
        <w:t>16-17 февраля 1945 авианосцы Одиннадцать флота и пять легких авианосцев ВМС США Task Force 58 проводят первый авиаудар против Японии с апреля 1942, когда Дулитл Raid атаковать цели в и вокруг Токио и Токийский залив. Самолеты ВМС США совершили 2761 самолето-вылетов, заявив, что 341 японский самолет был сбит и 190 уничтожен на земле, несколько кораблей и летательных аппаратов потоплены в Токийском заливе, а также повреждены японские планеры и заводы авиадвигателей в обмен на 60 американских самолетов, потерянных в бою, и еще 28. потеряны по небоевым причинам (20371).</w:t>
      </w:r>
    </w:p>
    <w:p w14:paraId="2A3CA7D0" w14:textId="77777777" w:rsidR="00EA347D" w:rsidRPr="00F90EAE" w:rsidRDefault="00EA347D" w:rsidP="00F90EAE">
      <w:pPr>
        <w:jc w:val="both"/>
        <w:rPr>
          <w:color w:val="0070C0"/>
          <w:sz w:val="16"/>
          <w:szCs w:val="16"/>
        </w:rPr>
      </w:pPr>
    </w:p>
    <w:p w14:paraId="4F83845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февраля 1945 Венесуэла объявила войну Германии и Японии (4962).</w:t>
      </w:r>
    </w:p>
    <w:p w14:paraId="0378B9D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97E952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82D7C93" w14:textId="77777777" w:rsidR="00665165" w:rsidRPr="00F90EAE" w:rsidRDefault="00665165" w:rsidP="00F90EAE">
      <w:pPr>
        <w:autoSpaceDE w:val="0"/>
        <w:autoSpaceDN w:val="0"/>
        <w:adjustRightInd w:val="0"/>
        <w:jc w:val="both"/>
        <w:rPr>
          <w:iCs/>
          <w:color w:val="000000" w:themeColor="text1"/>
          <w:sz w:val="16"/>
          <w:szCs w:val="16"/>
        </w:rPr>
      </w:pPr>
    </w:p>
    <w:p w14:paraId="2410C0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вышел приказ НКАП N 74с:</w:t>
      </w:r>
    </w:p>
    <w:p w14:paraId="31BEC2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ГК С.В.И. спроектировать для самолета Ил-10 АМ-42 установку для подвески четырех РС М-13.</w:t>
      </w:r>
    </w:p>
    <w:p w14:paraId="7E25E5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Чертежи передать заводам 1 и 18 не позднее 20 февраля 1945.</w:t>
      </w:r>
    </w:p>
    <w:p w14:paraId="0EE23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Директору завода 1 Литвинову и директору завода 18 Белянскому:</w:t>
      </w:r>
    </w:p>
    <w:p w14:paraId="172637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до 1 марта выпустить по два самолета Ил-10 с РУ под РС-82 и под М-13 и произвести проверку смонтированной установки с необходимыми испытаниями</w:t>
      </w:r>
    </w:p>
    <w:p w14:paraId="3023A0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 20 марта 1945 выпускать все самолеты Ил-10 оборудованными установками, обеспечивающими подвеску 4 РС-82 или 4 М-13." (1887,108).</w:t>
      </w:r>
    </w:p>
    <w:p w14:paraId="61D98B55" w14:textId="77777777" w:rsidR="00665165" w:rsidRPr="00F90EAE" w:rsidRDefault="00665165" w:rsidP="00F90EAE">
      <w:pPr>
        <w:autoSpaceDE w:val="0"/>
        <w:autoSpaceDN w:val="0"/>
        <w:adjustRightInd w:val="0"/>
        <w:jc w:val="both"/>
        <w:rPr>
          <w:color w:val="000000" w:themeColor="text1"/>
          <w:sz w:val="16"/>
          <w:szCs w:val="16"/>
        </w:rPr>
      </w:pPr>
    </w:p>
    <w:p w14:paraId="71C32992"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lastRenderedPageBreak/>
        <w:t>17 февраля 1945 состоялся приказ по НКАП № 74с «О производстве самолетов Ил-10 с реактивными установками РС-82 и под М-13 на заводах № 1 и № 18». Согласно приказу С. В. Ильюшин должен был спроектировать для самолета Ил-10 с АМ-42 установку для подвески четырех РС-82 или М-13 и не позднее 20 февраля передать чертежи на заводы № 1 и № 18. В свою очередь, директора заводов № 1 и № 18 обязывались «до 1 марта выпустить по 2 самолета Ил-10 с РО под РС-82 и под М-13 и провести проверку с необходимыми испытаниями». Уже с 20 марта требовалось «выпускать все самолеты Ил-10 оборудованными установками, обеспечивающими подвеску 4 РС-82 или 4 М-13».</w:t>
      </w:r>
    </w:p>
    <w:p w14:paraId="671EC33E"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Во исполнение приказа НКАП № 74с от 17 февраля 1945 г. заводом № 18 с целью отработки чертежей на трех серийных самолетах Ил-10 были смонтированы четыре ракетных орудия РО-82 и проведены заводские испытания.</w:t>
      </w:r>
    </w:p>
    <w:p w14:paraId="22350F72"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Поскольку установка ракетных орудий приводила к снижению скорости полета, то со всей очевидностью возникли трения с военной приемкой на заводе. Военные отказывались принимать самолеты, не удовлетворяющие ТУ на 1945 год.</w:t>
      </w:r>
    </w:p>
    <w:p w14:paraId="689E4DCC"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К началу апреля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1C1B6C98" w14:textId="77777777" w:rsidR="00911035" w:rsidRPr="00F90EAE" w:rsidRDefault="00911035" w:rsidP="00F90EAE">
      <w:pPr>
        <w:jc w:val="both"/>
        <w:rPr>
          <w:color w:val="000000" w:themeColor="text1"/>
          <w:sz w:val="16"/>
          <w:szCs w:val="16"/>
        </w:rPr>
      </w:pPr>
    </w:p>
    <w:p w14:paraId="1DE4629E" w14:textId="77777777" w:rsidR="00A9131A" w:rsidRPr="00F90EAE" w:rsidRDefault="00A9131A" w:rsidP="00F90EAE">
      <w:pPr>
        <w:jc w:val="both"/>
        <w:rPr>
          <w:color w:val="0070C0"/>
          <w:sz w:val="16"/>
          <w:szCs w:val="16"/>
        </w:rPr>
      </w:pPr>
      <w:r w:rsidRPr="00F90EAE">
        <w:rPr>
          <w:color w:val="0070C0"/>
          <w:sz w:val="16"/>
          <w:szCs w:val="16"/>
        </w:rPr>
        <w:t>17 февраля 1945 г.</w:t>
      </w:r>
    </w:p>
    <w:p w14:paraId="5DA7F687" w14:textId="77777777" w:rsidR="00A9131A" w:rsidRPr="00F90EAE" w:rsidRDefault="00A9131A" w:rsidP="00F90EAE">
      <w:pPr>
        <w:jc w:val="both"/>
        <w:rPr>
          <w:color w:val="0070C0"/>
          <w:sz w:val="16"/>
          <w:szCs w:val="16"/>
        </w:rPr>
      </w:pPr>
      <w:r w:rsidRPr="00F90EAE">
        <w:rPr>
          <w:color w:val="0070C0"/>
          <w:sz w:val="16"/>
          <w:szCs w:val="16"/>
        </w:rPr>
        <w:t>Приказ Наркома авиационной промышленности СССР о разработке проекта установки для подвески реактивных снарядов на самолете Ил-10</w:t>
      </w:r>
    </w:p>
    <w:p w14:paraId="0FA97C8D" w14:textId="77777777" w:rsidR="00A9131A" w:rsidRPr="00F90EAE" w:rsidRDefault="00A9131A" w:rsidP="00F90EAE">
      <w:pPr>
        <w:jc w:val="both"/>
        <w:rPr>
          <w:color w:val="0070C0"/>
          <w:sz w:val="16"/>
          <w:szCs w:val="16"/>
        </w:rPr>
      </w:pPr>
      <w:r w:rsidRPr="00F90EAE">
        <w:rPr>
          <w:color w:val="0070C0"/>
          <w:sz w:val="16"/>
          <w:szCs w:val="16"/>
        </w:rPr>
        <w:t>17 февраля 1945 г.</w:t>
      </w:r>
    </w:p>
    <w:p w14:paraId="741BE916" w14:textId="77777777" w:rsidR="00A9131A" w:rsidRPr="00F90EAE" w:rsidRDefault="00A9131A" w:rsidP="00F90EAE">
      <w:pPr>
        <w:jc w:val="both"/>
        <w:rPr>
          <w:color w:val="0070C0"/>
          <w:sz w:val="16"/>
          <w:szCs w:val="16"/>
        </w:rPr>
      </w:pPr>
      <w:r w:rsidRPr="00F90EAE">
        <w:rPr>
          <w:color w:val="0070C0"/>
          <w:sz w:val="16"/>
          <w:szCs w:val="16"/>
        </w:rPr>
        <w:t>1. Главному конструктору тов. Ильюшину С.В. спроектировать для самолета Ил-10 (с мотором АМ-42) установку для подвески четырех реактивных снарядов калибра РС-82 или для подвески четырех реактивных снарядов М-13.</w:t>
      </w:r>
    </w:p>
    <w:p w14:paraId="6DC9F636" w14:textId="77777777" w:rsidR="00A9131A" w:rsidRPr="00F90EAE" w:rsidRDefault="00A9131A" w:rsidP="00F90EAE">
      <w:pPr>
        <w:jc w:val="both"/>
        <w:rPr>
          <w:color w:val="0070C0"/>
          <w:sz w:val="16"/>
          <w:szCs w:val="16"/>
        </w:rPr>
      </w:pPr>
      <w:r w:rsidRPr="00F90EAE">
        <w:rPr>
          <w:color w:val="0070C0"/>
          <w:sz w:val="16"/>
          <w:szCs w:val="16"/>
        </w:rPr>
        <w:t>Чертежи передать заводам № 1 и № 18 не позднее 20 февраля 1945 года.</w:t>
      </w:r>
    </w:p>
    <w:p w14:paraId="77F77451" w14:textId="77777777" w:rsidR="00A9131A" w:rsidRPr="00F90EAE" w:rsidRDefault="00A9131A" w:rsidP="00F90EAE">
      <w:pPr>
        <w:jc w:val="both"/>
        <w:rPr>
          <w:color w:val="0070C0"/>
          <w:sz w:val="16"/>
          <w:szCs w:val="16"/>
        </w:rPr>
      </w:pPr>
      <w:r w:rsidRPr="00F90EAE">
        <w:rPr>
          <w:color w:val="0070C0"/>
          <w:sz w:val="16"/>
          <w:szCs w:val="16"/>
        </w:rPr>
        <w:t>2. Директору завода № 1 тов. Литвинову и директору завода № 18 тов. Белянскому:</w:t>
      </w:r>
    </w:p>
    <w:p w14:paraId="6B364D9F" w14:textId="77777777" w:rsidR="00A9131A" w:rsidRPr="00F90EAE" w:rsidRDefault="00A9131A" w:rsidP="00F90EAE">
      <w:pPr>
        <w:jc w:val="both"/>
        <w:rPr>
          <w:color w:val="0070C0"/>
          <w:sz w:val="16"/>
          <w:szCs w:val="16"/>
        </w:rPr>
      </w:pPr>
      <w:r w:rsidRPr="00F90EAE">
        <w:rPr>
          <w:color w:val="0070C0"/>
          <w:sz w:val="16"/>
          <w:szCs w:val="16"/>
        </w:rPr>
        <w:t>а) до 1 марта выпустить по два самолета Ил-10 с реактивной установкой под РС-82 и под М-13 и произвести проверку смонтированной установки с необходимыми испытаниями;</w:t>
      </w:r>
    </w:p>
    <w:p w14:paraId="1D4CB2E4" w14:textId="77777777" w:rsidR="00A9131A" w:rsidRPr="00F90EAE" w:rsidRDefault="00A9131A" w:rsidP="00F90EAE">
      <w:pPr>
        <w:jc w:val="both"/>
        <w:rPr>
          <w:color w:val="0070C0"/>
          <w:sz w:val="16"/>
          <w:szCs w:val="16"/>
        </w:rPr>
      </w:pPr>
      <w:r w:rsidRPr="00F90EAE">
        <w:rPr>
          <w:color w:val="0070C0"/>
          <w:sz w:val="16"/>
          <w:szCs w:val="16"/>
        </w:rPr>
        <w:t>б) с 20 марта 1945 года выпускать все самолеты Ил-10, оборудованными установками, обеспечивающими подвеску четырех РС-82 или четырех М-13.</w:t>
      </w:r>
    </w:p>
    <w:p w14:paraId="22779E7C" w14:textId="77777777" w:rsidR="00A9131A" w:rsidRPr="00F90EAE" w:rsidRDefault="00A9131A" w:rsidP="00F90EAE">
      <w:pPr>
        <w:jc w:val="both"/>
        <w:rPr>
          <w:color w:val="0070C0"/>
          <w:sz w:val="16"/>
          <w:szCs w:val="16"/>
        </w:rPr>
      </w:pPr>
      <w:r w:rsidRPr="00F90EAE">
        <w:rPr>
          <w:color w:val="0070C0"/>
          <w:sz w:val="16"/>
          <w:szCs w:val="16"/>
        </w:rPr>
        <w:t>Народный Комиссар авиационной промышленности</w:t>
      </w:r>
      <w:r w:rsidRPr="00F90EAE">
        <w:rPr>
          <w:color w:val="0070C0"/>
          <w:sz w:val="16"/>
          <w:szCs w:val="16"/>
        </w:rPr>
        <w:tab/>
        <w:t>А. Шахурин</w:t>
      </w:r>
    </w:p>
    <w:p w14:paraId="6207C3BA" w14:textId="77777777" w:rsidR="00A9131A" w:rsidRPr="00F90EAE" w:rsidRDefault="00A9131A"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xml:space="preserve">. P-3454. On. 2. </w:t>
      </w:r>
      <w:r w:rsidRPr="00F90EAE">
        <w:rPr>
          <w:color w:val="0070C0"/>
          <w:sz w:val="16"/>
          <w:szCs w:val="16"/>
        </w:rPr>
        <w:t>Д</w:t>
      </w:r>
      <w:r w:rsidRPr="00F90EAE">
        <w:rPr>
          <w:color w:val="0070C0"/>
          <w:sz w:val="16"/>
          <w:szCs w:val="16"/>
          <w:lang w:val="en-US"/>
        </w:rPr>
        <w:t xml:space="preserve">. 39. </w:t>
      </w:r>
      <w:r w:rsidRPr="00F90EAE">
        <w:rPr>
          <w:color w:val="0070C0"/>
          <w:sz w:val="16"/>
          <w:szCs w:val="16"/>
        </w:rPr>
        <w:t>Л</w:t>
      </w:r>
      <w:r w:rsidRPr="00F90EAE">
        <w:rPr>
          <w:color w:val="0070C0"/>
          <w:sz w:val="16"/>
          <w:szCs w:val="16"/>
          <w:lang w:val="en-US"/>
        </w:rPr>
        <w:t xml:space="preserve">. 38. </w:t>
      </w:r>
      <w:r w:rsidRPr="00F90EAE">
        <w:rPr>
          <w:color w:val="0070C0"/>
          <w:sz w:val="16"/>
          <w:szCs w:val="16"/>
        </w:rPr>
        <w:t>Завер. Копия (20909).</w:t>
      </w:r>
    </w:p>
    <w:p w14:paraId="5EEC97C0" w14:textId="77777777" w:rsidR="00A9131A" w:rsidRPr="00F90EAE" w:rsidRDefault="00A9131A" w:rsidP="00F90EAE">
      <w:pPr>
        <w:jc w:val="both"/>
        <w:rPr>
          <w:color w:val="0070C0"/>
          <w:sz w:val="16"/>
          <w:szCs w:val="16"/>
        </w:rPr>
      </w:pPr>
    </w:p>
    <w:p w14:paraId="6321C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года и.о. начальника при наркоме Калмыков писал письмо N 943 Шахурину.</w:t>
      </w:r>
    </w:p>
    <w:p w14:paraId="213967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Докладная записка</w:t>
      </w:r>
    </w:p>
    <w:p w14:paraId="32450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вопросу выполнения приказа N 358сс от 27/V-44 г.</w:t>
      </w:r>
    </w:p>
    <w:p w14:paraId="1C454D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 отработке скоростных бомбардировщиков.</w:t>
      </w:r>
    </w:p>
    <w:p w14:paraId="29C38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самолетам гл. конструктора Туполева.</w:t>
      </w:r>
    </w:p>
    <w:p w14:paraId="4D08E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Туполев обязывался построить на базе самолета Ту-2 скоростной бомбардировщик с моторами АМ-39 в двух экземплярах и предъявить на совместные испытания: первый экземпляр к 1/VI-44 г., второй к 15/X-44 г.</w:t>
      </w:r>
    </w:p>
    <w:p w14:paraId="691558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Состояние работ:</w:t>
      </w:r>
    </w:p>
    <w:p w14:paraId="72F0D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Первый экземпляр дневного скоростного бомбардировщика с моторами Ам-39 с редукцией 0,59, закончивший совместные испытания в НИИ ВВС 15/VIII-44 г., был предназначен под установку моторов АМ-39 с высотными корректорами.</w:t>
      </w:r>
    </w:p>
    <w:p w14:paraId="1CB35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Вследствие неподачи гл. конструктором Микулиным этих моторов до настоящего времени, на самолете производится установка моторов АМ-39 с редукцией 0.732 для определения изменений летных данных при этой редукции.</w:t>
      </w:r>
    </w:p>
    <w:p w14:paraId="286FD2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Второй экземпляр самолета с моторами АМ-39 передан на летные испытания в НИИ ВВС в декабре 1941 г. В полете 15.XII-44 г. мотор вышел из строя из-за поломки лопаток нагнетателя.</w:t>
      </w:r>
    </w:p>
    <w:p w14:paraId="64DD29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Указанием от 5/I-45 г. гл. конструктором Микулиным полеты были запрещены от устранения дефектов в нагнетателе. Нагнетатели на моторах сменены. С 23.I-с.г. произведено 5 полетов на определение температурных режимов и работы моторов на высоте до 8000 метров. испытания продолжаются.</w:t>
      </w:r>
    </w:p>
    <w:p w14:paraId="139AB5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Комплект установки обогрева и вентиляции в кабине самолета Ту-2 с американской печкой "Стюарт" заводом N 23 установлен на серийный самолет.</w:t>
      </w:r>
    </w:p>
    <w:p w14:paraId="3124A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Произведены наземные испытания, результаты удовлетворительные. Самолет подготовлен к летным испытаниям.</w:t>
      </w:r>
    </w:p>
    <w:p w14:paraId="65DFEE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самолетам гл. конструктора Мясищева.</w:t>
      </w:r>
    </w:p>
    <w:p w14:paraId="5ADC0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самолету Пе-2 с мотором 2 ВК-107А:</w:t>
      </w:r>
    </w:p>
    <w:p w14:paraId="46D0A2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Первый экземпляр самолета Пе-2 с ВК-107А, прошедший гос. испытания в июле 1944 г., был передан в ЛИИ НКАП для проведения работы по улучшению его взлетных свойств. Работы закончены, отчет об испытаниях представлен.</w:t>
      </w:r>
    </w:p>
    <w:p w14:paraId="4CEED3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самолет находится на заводе N 482 и на нем ведутся работы по подготовке самолета к проведению продувки в аэродинамической трубе ЦАГИ.</w:t>
      </w:r>
    </w:p>
    <w:p w14:paraId="0128B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экземпляре самолета Пе-2 с ВК-107А, прошедшего гос. испытания в октябре 1944 г. в настоящее время проведена работа по устранению дефектов, выявленных в процессе 2-го этапа гос. испытаний, а также дополнительные работы: по установке системы отопления в кабине пилота, по установке нового бомбардировочного вооружения, уменьшение усилий на штурвале от элеронов и ряд других мероприятий, улучшающих летные качества самолета.</w:t>
      </w:r>
    </w:p>
    <w:p w14:paraId="13180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подготовлен для проведения контрольных полетов в НИИ ВВС.</w:t>
      </w:r>
    </w:p>
    <w:p w14:paraId="1C622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 самолету Пе-2 с мотором 2ВК-108:</w:t>
      </w:r>
    </w:p>
    <w:p w14:paraId="7B775A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Первый экземпляр самолета с моторами ВК-108 производством закончен 31.XII-44 г., на самолете производятся наземные испытания.</w:t>
      </w:r>
    </w:p>
    <w:p w14:paraId="2CE842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Второй экземпляр самолета в производстве, выпуск задерживается из-за неподачи агрегатов серийными цехами з-да N 22. По второму экземпляру проведено увеличение бомбового отсека с учетом возможности внутренней подвески бомб калибром 2000 кг увеличения дальности до 2500 км и установки дополнительного стрелкового вооружения.</w:t>
      </w:r>
    </w:p>
    <w:p w14:paraId="655974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N 22 получено только два летных мотора ВК-108, вместо 6 моторов, которые завод N 26 должен был представить к 15.IX-44 г.</w:t>
      </w:r>
    </w:p>
    <w:p w14:paraId="33C7A0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 самолету Пе-2 с мотором 2 ВК-109:</w:t>
      </w:r>
    </w:p>
    <w:p w14:paraId="0C718B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должен быть построен в 2-х экземплярах и сдан на летные испытания в апреле 1945 г.</w:t>
      </w:r>
    </w:p>
    <w:p w14:paraId="7B110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Изготовление макета самолета с моторами ВК-109 на заводе N 482 закончено. Макет принят комиссией 13.II-45 г.</w:t>
      </w:r>
    </w:p>
    <w:p w14:paraId="5666D0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рабочих чертежей закончен в декабре 1944 г., за исключением чертежей и схем по винтомоторной группе, выпуск которых задержался из-за неподачи заводом N 26 чертежей габаритных размеров мотора ВК-109, по заявлению гл. конструктора Мясищева чертежи по ВМГ будут закончены во II половине февраля.</w:t>
      </w:r>
    </w:p>
    <w:p w14:paraId="414D0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Макетные моторы и моторы ВК-109 с 30 часовым ресурсом завод N 26 до настоящего времени заводу N 482 не поставил, срок поставки приказом был установлен 1/I-45 г.</w:t>
      </w:r>
    </w:p>
    <w:p w14:paraId="42A209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серийных цехах завода N 22 изготовление агрегатов самолета Пе-2 используемых для этого задания, идет медленно, сроки сдачи их по заводскому графику не выполняются.</w:t>
      </w:r>
    </w:p>
    <w:p w14:paraId="5D512B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Выводы:</w:t>
      </w:r>
    </w:p>
    <w:p w14:paraId="0DF582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Невыполнение приказа гл. конструктором Микулиным о подаче заводу N 156 моторов Ам-39, оборудованных высотными автокорректорами затягивает сроки сдачи на летные испытания первого экземпляра самолета Ту-2 с моторами Ам-39 с автокорректорами.</w:t>
      </w:r>
    </w:p>
    <w:p w14:paraId="1EA7EE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Невыполнение приказа гл. конструктором Климовым о поставке 2-х макетных и 6-ти с 30 часовым ресурсом работы моторов ВК-109, а также неудовлетворительная подача агрегатов серийными цехами завода N 22 ставит под угрозу срыва сроков сдачи на летные испытания самолетов с моторами ВК-109 (2592,88).</w:t>
      </w:r>
    </w:p>
    <w:p w14:paraId="2B63708A" w14:textId="77777777" w:rsidR="00665165" w:rsidRPr="00F90EAE" w:rsidRDefault="00665165" w:rsidP="00F90EAE">
      <w:pPr>
        <w:autoSpaceDE w:val="0"/>
        <w:autoSpaceDN w:val="0"/>
        <w:adjustRightInd w:val="0"/>
        <w:jc w:val="both"/>
        <w:rPr>
          <w:color w:val="000000" w:themeColor="text1"/>
          <w:sz w:val="16"/>
          <w:szCs w:val="16"/>
        </w:rPr>
      </w:pPr>
    </w:p>
    <w:p w14:paraId="20E12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17 февраля по 1 марта 1945 проходили контрольные испытания Пе-2 N 6/424 с ВИШ-105СВ 22 завода выпуска января 1945 с моторами 16 завода. Вед. л В.М.Шульгин. 22 полета продолжительностью 17 час. 5 мин. (806,8).</w:t>
      </w:r>
    </w:p>
    <w:p w14:paraId="7927B4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Лапин утвердил Акт по контрольным испытаниям Пе-2 винт ВИШ-105СВ с регулятором Р-7А</w:t>
      </w:r>
    </w:p>
    <w:p w14:paraId="0340E0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N 6/424 с ВИШ-105СВ 22 завода выпуска января 1945 с моторами пр-ва завода № 16</w:t>
      </w:r>
    </w:p>
    <w:p w14:paraId="6AE07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полета продолжительностью 17 час. 5 мин. (806,8).</w:t>
      </w:r>
    </w:p>
    <w:p w14:paraId="4043A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Ви и/к-н М.В.Самочетов</w:t>
      </w:r>
    </w:p>
    <w:p w14:paraId="7D951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В.М.Шульгин.</w:t>
      </w:r>
    </w:p>
    <w:p w14:paraId="5BD35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предыдущих испытаний.</w:t>
      </w:r>
    </w:p>
    <w:p w14:paraId="568243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октябре 1944 в НИИ ВВС испытывался серийный Пе-2 № 14/350 пр-ва з-да 22, выпуска июля 1944 с мотором з-да № 16.</w:t>
      </w:r>
    </w:p>
    <w:p w14:paraId="5E64FD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635E6D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3892D2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39D6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795219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с-та № 14/350, испытанного в октябре 1944 в ГК НИИ ВВС, с-т № 6/424 отличается:</w:t>
      </w:r>
    </w:p>
    <w:p w14:paraId="5DAFD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с-ту</w:t>
      </w:r>
    </w:p>
    <w:p w14:paraId="3D6C4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улучшена аэродинамика с-та</w:t>
      </w:r>
    </w:p>
    <w:p w14:paraId="7EEA7C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улучшена заделка обшивки на стыках агрегатов, ленты перекрытия сняты, а обшивка соединена встык</w:t>
      </w:r>
    </w:p>
    <w:p w14:paraId="04C51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установлена металлическая перегородка герметизации в Ф-3</w:t>
      </w:r>
    </w:p>
    <w:p w14:paraId="18C2A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Подшпаклеваны носки крыла, ЦП, Ф-1, стабилизатора и килей</w:t>
      </w:r>
    </w:p>
    <w:p w14:paraId="7ED12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39801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установлены форточки на амбразуры для бортового пулемета и т.п.</w:t>
      </w:r>
    </w:p>
    <w:p w14:paraId="026A0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389A0E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092ACC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агрегат газового запуска мотора</w:t>
      </w:r>
    </w:p>
    <w:p w14:paraId="49FAA5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w:t>
      </w:r>
    </w:p>
    <w:p w14:paraId="2FA235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однолучевая антенна для РСБ-3бис и РПК-10 по образцу, испытанному в 1944</w:t>
      </w:r>
    </w:p>
    <w:p w14:paraId="7CF14A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кислородный прибор КП-12 вместо КПА-3бис</w:t>
      </w:r>
    </w:p>
    <w:p w14:paraId="4FCC42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6A2A55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6047, цт 23.1%</w:t>
      </w:r>
    </w:p>
    <w:p w14:paraId="752AC2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 8405 26,5%</w:t>
      </w:r>
    </w:p>
    <w:p w14:paraId="047AA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 8805 26,2%</w:t>
      </w:r>
    </w:p>
    <w:p w14:paraId="71433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Нагрузки нормального полетного веса:</w:t>
      </w:r>
    </w:p>
    <w:p w14:paraId="39BAA2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- 270</w:t>
      </w:r>
    </w:p>
    <w:p w14:paraId="4802F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- 1100</w:t>
      </w:r>
    </w:p>
    <w:p w14:paraId="350A8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- 120</w:t>
      </w:r>
    </w:p>
    <w:p w14:paraId="70B105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пулеметы - 84</w:t>
      </w:r>
    </w:p>
    <w:p w14:paraId="523FEB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б/запас - 112</w:t>
      </w:r>
    </w:p>
    <w:p w14:paraId="793825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с замками (внешняя подвеска) - 607</w:t>
      </w:r>
    </w:p>
    <w:p w14:paraId="7A0EAB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- 65</w:t>
      </w:r>
    </w:p>
    <w:p w14:paraId="1FC79E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2358</w:t>
      </w:r>
    </w:p>
    <w:p w14:paraId="48091D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- 4хФАБ-100 = 400</w:t>
      </w:r>
    </w:p>
    <w:p w14:paraId="20B1C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w:t>
      </w:r>
    </w:p>
    <w:p w14:paraId="5E4C0B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- 468 км/час</w:t>
      </w:r>
    </w:p>
    <w:p w14:paraId="267528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гр. высотности - 513 км/час</w:t>
      </w:r>
    </w:p>
    <w:p w14:paraId="77914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 гр. высотности - 527 км/час</w:t>
      </w:r>
    </w:p>
    <w:p w14:paraId="1AAED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- 9,7, 8200 м - 34</w:t>
      </w:r>
    </w:p>
    <w:p w14:paraId="412EEB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1000 м на наивыгоднейшей скорости 310 км/час, 1750 оборотах - 1220 км</w:t>
      </w:r>
    </w:p>
    <w:p w14:paraId="401A8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 - 490, пробег - 565</w:t>
      </w:r>
    </w:p>
    <w:p w14:paraId="55FDB0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561F31" w:rsidRPr="00F90EAE" w14:paraId="71D8A780" w14:textId="77777777">
        <w:tc>
          <w:tcPr>
            <w:tcW w:w="2802" w:type="dxa"/>
            <w:tcBorders>
              <w:top w:val="single" w:sz="12" w:space="0" w:color="auto"/>
            </w:tcBorders>
          </w:tcPr>
          <w:p w14:paraId="007A3E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6CB802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2802" w:type="dxa"/>
            <w:tcBorders>
              <w:top w:val="single" w:sz="12" w:space="0" w:color="auto"/>
            </w:tcBorders>
          </w:tcPr>
          <w:p w14:paraId="6A524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r>
      <w:tr w:rsidR="00561F31" w:rsidRPr="00F90EAE" w14:paraId="7BBDA2EF" w14:textId="77777777">
        <w:tc>
          <w:tcPr>
            <w:tcW w:w="2802" w:type="dxa"/>
          </w:tcPr>
          <w:p w14:paraId="1F9EDA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2C3DBE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802" w:type="dxa"/>
          </w:tcPr>
          <w:p w14:paraId="57B953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r>
      <w:tr w:rsidR="00561F31" w:rsidRPr="00F90EAE" w14:paraId="013B3755" w14:textId="77777777">
        <w:tc>
          <w:tcPr>
            <w:tcW w:w="2802" w:type="dxa"/>
          </w:tcPr>
          <w:p w14:paraId="3520B5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2050</w:t>
            </w:r>
          </w:p>
        </w:tc>
        <w:tc>
          <w:tcPr>
            <w:tcW w:w="2802" w:type="dxa"/>
          </w:tcPr>
          <w:p w14:paraId="42E34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w:t>
            </w:r>
          </w:p>
        </w:tc>
        <w:tc>
          <w:tcPr>
            <w:tcW w:w="2802" w:type="dxa"/>
          </w:tcPr>
          <w:p w14:paraId="24C052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1080</w:t>
            </w:r>
          </w:p>
        </w:tc>
      </w:tr>
      <w:tr w:rsidR="00561F31" w:rsidRPr="00F90EAE" w14:paraId="463F686D" w14:textId="77777777">
        <w:tc>
          <w:tcPr>
            <w:tcW w:w="2802" w:type="dxa"/>
          </w:tcPr>
          <w:p w14:paraId="57C65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w:t>
            </w:r>
          </w:p>
        </w:tc>
        <w:tc>
          <w:tcPr>
            <w:tcW w:w="2802" w:type="dxa"/>
          </w:tcPr>
          <w:p w14:paraId="70484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504</w:t>
            </w:r>
          </w:p>
        </w:tc>
        <w:tc>
          <w:tcPr>
            <w:tcW w:w="2802" w:type="dxa"/>
          </w:tcPr>
          <w:p w14:paraId="200A4D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970</w:t>
            </w:r>
          </w:p>
        </w:tc>
      </w:tr>
      <w:tr w:rsidR="00561F31" w:rsidRPr="00F90EAE" w14:paraId="35DA7E27" w14:textId="77777777">
        <w:tc>
          <w:tcPr>
            <w:tcW w:w="2802" w:type="dxa"/>
          </w:tcPr>
          <w:p w14:paraId="0995F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3060</w:t>
            </w:r>
          </w:p>
        </w:tc>
        <w:tc>
          <w:tcPr>
            <w:tcW w:w="2802" w:type="dxa"/>
          </w:tcPr>
          <w:p w14:paraId="591CF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w:t>
            </w:r>
          </w:p>
        </w:tc>
        <w:tc>
          <w:tcPr>
            <w:tcW w:w="2802" w:type="dxa"/>
          </w:tcPr>
          <w:p w14:paraId="473E23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r>
      <w:tr w:rsidR="00561F31" w:rsidRPr="00F90EAE" w14:paraId="42CD4198" w14:textId="77777777">
        <w:tc>
          <w:tcPr>
            <w:tcW w:w="2802" w:type="dxa"/>
          </w:tcPr>
          <w:p w14:paraId="1A2671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4FD6E1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512,5</w:t>
            </w:r>
          </w:p>
        </w:tc>
        <w:tc>
          <w:tcPr>
            <w:tcW w:w="2802" w:type="dxa"/>
          </w:tcPr>
          <w:p w14:paraId="01A570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r>
      <w:tr w:rsidR="00561F31" w:rsidRPr="00F90EAE" w14:paraId="00C2CEB0" w14:textId="77777777">
        <w:tc>
          <w:tcPr>
            <w:tcW w:w="2802" w:type="dxa"/>
          </w:tcPr>
          <w:p w14:paraId="575A36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2802" w:type="dxa"/>
          </w:tcPr>
          <w:p w14:paraId="3AE94F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w:t>
            </w:r>
          </w:p>
        </w:tc>
        <w:tc>
          <w:tcPr>
            <w:tcW w:w="2802" w:type="dxa"/>
          </w:tcPr>
          <w:p w14:paraId="23A15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r>
      <w:tr w:rsidR="00561F31" w:rsidRPr="00F90EAE" w14:paraId="3FED5040" w14:textId="77777777">
        <w:tc>
          <w:tcPr>
            <w:tcW w:w="2802" w:type="dxa"/>
            <w:tcBorders>
              <w:bottom w:val="single" w:sz="12" w:space="0" w:color="auto"/>
            </w:tcBorders>
          </w:tcPr>
          <w:p w14:paraId="4C7FF8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6474B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c>
          <w:tcPr>
            <w:tcW w:w="2802" w:type="dxa"/>
            <w:tcBorders>
              <w:bottom w:val="single" w:sz="12" w:space="0" w:color="auto"/>
            </w:tcBorders>
          </w:tcPr>
          <w:p w14:paraId="6DC880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r>
    </w:tbl>
    <w:p w14:paraId="0E2C6C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595903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61F31" w:rsidRPr="00F90EAE" w14:paraId="4C1EA9CA" w14:textId="77777777">
        <w:tc>
          <w:tcPr>
            <w:tcW w:w="2802" w:type="dxa"/>
            <w:tcBorders>
              <w:top w:val="single" w:sz="12" w:space="0" w:color="auto"/>
            </w:tcBorders>
          </w:tcPr>
          <w:p w14:paraId="46F934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615E2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Верт. Скорость </w:t>
            </w:r>
          </w:p>
        </w:tc>
        <w:tc>
          <w:tcPr>
            <w:tcW w:w="2802" w:type="dxa"/>
            <w:tcBorders>
              <w:top w:val="single" w:sz="12" w:space="0" w:color="auto"/>
            </w:tcBorders>
          </w:tcPr>
          <w:p w14:paraId="7356CD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c>
          <w:tcPr>
            <w:tcW w:w="2802" w:type="dxa"/>
            <w:tcBorders>
              <w:top w:val="single" w:sz="12" w:space="0" w:color="auto"/>
            </w:tcBorders>
          </w:tcPr>
          <w:p w14:paraId="6423C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 скорость</w:t>
            </w:r>
          </w:p>
        </w:tc>
      </w:tr>
      <w:tr w:rsidR="00561F31" w:rsidRPr="00F90EAE" w14:paraId="0BBB7D04" w14:textId="77777777">
        <w:tc>
          <w:tcPr>
            <w:tcW w:w="2802" w:type="dxa"/>
          </w:tcPr>
          <w:p w14:paraId="4F647C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5CF7FE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2802" w:type="dxa"/>
          </w:tcPr>
          <w:p w14:paraId="30EA5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w:t>
            </w:r>
          </w:p>
        </w:tc>
        <w:tc>
          <w:tcPr>
            <w:tcW w:w="2802" w:type="dxa"/>
          </w:tcPr>
          <w:p w14:paraId="29ED32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6651ACB0" w14:textId="77777777">
        <w:tc>
          <w:tcPr>
            <w:tcW w:w="2802" w:type="dxa"/>
          </w:tcPr>
          <w:p w14:paraId="32B7B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2100</w:t>
            </w:r>
          </w:p>
        </w:tc>
        <w:tc>
          <w:tcPr>
            <w:tcW w:w="2802" w:type="dxa"/>
          </w:tcPr>
          <w:p w14:paraId="4DD970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tcPr>
          <w:p w14:paraId="29CFFC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960</w:t>
            </w:r>
          </w:p>
        </w:tc>
        <w:tc>
          <w:tcPr>
            <w:tcW w:w="2802" w:type="dxa"/>
          </w:tcPr>
          <w:p w14:paraId="2B152C4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2468E93" w14:textId="77777777">
        <w:tc>
          <w:tcPr>
            <w:tcW w:w="2802" w:type="dxa"/>
          </w:tcPr>
          <w:p w14:paraId="665AB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3400</w:t>
            </w:r>
          </w:p>
        </w:tc>
        <w:tc>
          <w:tcPr>
            <w:tcW w:w="2802" w:type="dxa"/>
          </w:tcPr>
          <w:p w14:paraId="41D9BB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2802" w:type="dxa"/>
          </w:tcPr>
          <w:p w14:paraId="58E80A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c>
          <w:tcPr>
            <w:tcW w:w="2802" w:type="dxa"/>
          </w:tcPr>
          <w:p w14:paraId="58EF601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48D0FA7" w14:textId="77777777">
        <w:tc>
          <w:tcPr>
            <w:tcW w:w="2802" w:type="dxa"/>
          </w:tcPr>
          <w:p w14:paraId="17D882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68014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2802" w:type="dxa"/>
          </w:tcPr>
          <w:p w14:paraId="13B362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w:t>
            </w:r>
          </w:p>
        </w:tc>
        <w:tc>
          <w:tcPr>
            <w:tcW w:w="2802" w:type="dxa"/>
          </w:tcPr>
          <w:p w14:paraId="63DD86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56541BFD" w14:textId="77777777">
        <w:tc>
          <w:tcPr>
            <w:tcW w:w="2802" w:type="dxa"/>
            <w:tcBorders>
              <w:bottom w:val="single" w:sz="12" w:space="0" w:color="auto"/>
            </w:tcBorders>
          </w:tcPr>
          <w:p w14:paraId="729E5B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402166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2802" w:type="dxa"/>
            <w:tcBorders>
              <w:bottom w:val="single" w:sz="12" w:space="0" w:color="auto"/>
            </w:tcBorders>
          </w:tcPr>
          <w:p w14:paraId="5C641CB9"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Borders>
              <w:bottom w:val="single" w:sz="12" w:space="0" w:color="auto"/>
            </w:tcBorders>
          </w:tcPr>
          <w:p w14:paraId="07AEC1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r>
    </w:tbl>
    <w:p w14:paraId="73C28B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095C8E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Посадка с тормозами на 50 гр. посадочная скорость 140 км/час при полетном весе 7200 кг, дистанция - 1160 м</w:t>
      </w:r>
    </w:p>
    <w:p w14:paraId="3EDCEA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3C2EB4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Носовой ШКАС и УБК неподвижные + УБТ на ВУБ-1 и УБТ на ЛУ + бортовые ШКАС</w:t>
      </w:r>
    </w:p>
    <w:p w14:paraId="66C920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4CEA35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двусторонней радиосвязи с наземной р/с РАФ-КВ-3 на 1000 м - телефон 360, телеграф - 400</w:t>
      </w:r>
    </w:p>
    <w:p w14:paraId="5016E4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производственного выполнения:</w:t>
      </w:r>
    </w:p>
    <w:p w14:paraId="19472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59AF5A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волнистость обшивки, низкое качество покраски, отставание и неравномерное нанесение краски</w:t>
      </w:r>
    </w:p>
    <w:p w14:paraId="37226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створки бомборлюка плотно не закрываются, остаются щели</w:t>
      </w:r>
    </w:p>
    <w:p w14:paraId="3D71D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боковые форточки фонаря кабины л плохо подогнаны, открываются и закрываются с большим усилием</w:t>
      </w:r>
    </w:p>
    <w:p w14:paraId="52889D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монтаж трубопроводов на моторе выполнен плохо, течи воды, масла, бензина</w:t>
      </w:r>
    </w:p>
    <w:p w14:paraId="5E1E5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4C08F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EFF51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дышать стало трудновстречается большое сопротивление на вдохе</w:t>
      </w:r>
    </w:p>
    <w:p w14:paraId="73E22D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46ED60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шланг тяжелый и жесткий, что затрудняет движение в кабине</w:t>
      </w:r>
    </w:p>
    <w:p w14:paraId="1B8FD6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782E37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 в существующем виде прибор КП-12 не может быть рекомендован для установки на серийные Пе-2</w:t>
      </w:r>
    </w:p>
    <w:p w14:paraId="20235C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 подписали 6 марта 1945</w:t>
      </w:r>
    </w:p>
    <w:p w14:paraId="07A37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561F31" w:rsidRPr="00F90EAE" w14:paraId="38B325AB" w14:textId="77777777">
        <w:tc>
          <w:tcPr>
            <w:tcW w:w="3936" w:type="dxa"/>
            <w:tcBorders>
              <w:top w:val="single" w:sz="12" w:space="0" w:color="auto"/>
            </w:tcBorders>
          </w:tcPr>
          <w:p w14:paraId="24B951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2236" w:type="dxa"/>
            <w:tcBorders>
              <w:top w:val="single" w:sz="12" w:space="0" w:color="auto"/>
            </w:tcBorders>
          </w:tcPr>
          <w:p w14:paraId="7475B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Пе-2 № 6/424 2ВК-105ПФ с полетным весом 8405 кг, </w:t>
            </w:r>
            <w:r w:rsidRPr="00F90EAE">
              <w:rPr>
                <w:color w:val="000000" w:themeColor="text1"/>
                <w:sz w:val="16"/>
                <w:szCs w:val="16"/>
              </w:rPr>
              <w:lastRenderedPageBreak/>
              <w:t>испытанным в НИИ ВВС в феврале-марте 1945</w:t>
            </w:r>
          </w:p>
        </w:tc>
        <w:tc>
          <w:tcPr>
            <w:tcW w:w="2236" w:type="dxa"/>
            <w:tcBorders>
              <w:top w:val="single" w:sz="12" w:space="0" w:color="auto"/>
            </w:tcBorders>
          </w:tcPr>
          <w:p w14:paraId="630458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xml:space="preserve">Пе-2 № 14/350 2ВК-105ПФ с полетным весом 8400 кг, </w:t>
            </w:r>
            <w:r w:rsidRPr="00F90EAE">
              <w:rPr>
                <w:color w:val="000000" w:themeColor="text1"/>
                <w:sz w:val="16"/>
                <w:szCs w:val="16"/>
              </w:rPr>
              <w:lastRenderedPageBreak/>
              <w:t>испытанным в НИИ ВВС в октябре 1944</w:t>
            </w:r>
          </w:p>
        </w:tc>
      </w:tr>
      <w:tr w:rsidR="00561F31" w:rsidRPr="00F90EAE" w14:paraId="52C86510" w14:textId="77777777">
        <w:tc>
          <w:tcPr>
            <w:tcW w:w="3936" w:type="dxa"/>
          </w:tcPr>
          <w:p w14:paraId="4BB8F2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Макс. скорость на номинальном режиме а) у земли</w:t>
            </w:r>
          </w:p>
          <w:p w14:paraId="1137443D" w14:textId="77777777" w:rsidR="00665165" w:rsidRPr="00F90EAE" w:rsidRDefault="00665165" w:rsidP="00F90EAE">
            <w:pPr>
              <w:autoSpaceDE w:val="0"/>
              <w:autoSpaceDN w:val="0"/>
              <w:adjustRightInd w:val="0"/>
              <w:jc w:val="both"/>
              <w:rPr>
                <w:color w:val="000000" w:themeColor="text1"/>
                <w:sz w:val="16"/>
                <w:szCs w:val="16"/>
              </w:rPr>
            </w:pPr>
          </w:p>
        </w:tc>
        <w:tc>
          <w:tcPr>
            <w:tcW w:w="2236" w:type="dxa"/>
          </w:tcPr>
          <w:p w14:paraId="104199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236" w:type="dxa"/>
          </w:tcPr>
          <w:p w14:paraId="3F9F06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457</w:t>
            </w:r>
          </w:p>
        </w:tc>
      </w:tr>
      <w:tr w:rsidR="00561F31" w:rsidRPr="00F90EAE" w14:paraId="7908F71F" w14:textId="77777777">
        <w:tc>
          <w:tcPr>
            <w:tcW w:w="3936" w:type="dxa"/>
          </w:tcPr>
          <w:p w14:paraId="6CDA0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 1 гр. высотности</w:t>
            </w:r>
          </w:p>
        </w:tc>
        <w:tc>
          <w:tcPr>
            <w:tcW w:w="2236" w:type="dxa"/>
          </w:tcPr>
          <w:p w14:paraId="029E29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513/2500</w:t>
            </w:r>
          </w:p>
        </w:tc>
        <w:tc>
          <w:tcPr>
            <w:tcW w:w="2236" w:type="dxa"/>
          </w:tcPr>
          <w:p w14:paraId="08AD3C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499/1850</w:t>
            </w:r>
          </w:p>
        </w:tc>
      </w:tr>
      <w:tr w:rsidR="00561F31" w:rsidRPr="00F90EAE" w14:paraId="3B74481A" w14:textId="77777777">
        <w:tc>
          <w:tcPr>
            <w:tcW w:w="3936" w:type="dxa"/>
          </w:tcPr>
          <w:p w14:paraId="67FD4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 2 гр. высотности</w:t>
            </w:r>
          </w:p>
        </w:tc>
        <w:tc>
          <w:tcPr>
            <w:tcW w:w="2236" w:type="dxa"/>
          </w:tcPr>
          <w:p w14:paraId="7AE0B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527/3900</w:t>
            </w:r>
          </w:p>
        </w:tc>
        <w:tc>
          <w:tcPr>
            <w:tcW w:w="2236" w:type="dxa"/>
          </w:tcPr>
          <w:p w14:paraId="195DB8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513/3700</w:t>
            </w:r>
          </w:p>
        </w:tc>
      </w:tr>
      <w:tr w:rsidR="00561F31" w:rsidRPr="00F90EAE" w14:paraId="0F56ABE6" w14:textId="77777777">
        <w:tc>
          <w:tcPr>
            <w:tcW w:w="3936" w:type="dxa"/>
          </w:tcPr>
          <w:p w14:paraId="76FED7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5000 м</w:t>
            </w:r>
          </w:p>
        </w:tc>
        <w:tc>
          <w:tcPr>
            <w:tcW w:w="2236" w:type="dxa"/>
          </w:tcPr>
          <w:p w14:paraId="298BE9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2236" w:type="dxa"/>
          </w:tcPr>
          <w:p w14:paraId="77804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r>
      <w:tr w:rsidR="00561F31" w:rsidRPr="00F90EAE" w14:paraId="43D55BFD" w14:textId="77777777">
        <w:tc>
          <w:tcPr>
            <w:tcW w:w="3936" w:type="dxa"/>
          </w:tcPr>
          <w:p w14:paraId="0B0D5B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2236" w:type="dxa"/>
          </w:tcPr>
          <w:p w14:paraId="1A6D49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236" w:type="dxa"/>
          </w:tcPr>
          <w:p w14:paraId="6D99E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7500</w:t>
            </w:r>
          </w:p>
        </w:tc>
      </w:tr>
      <w:tr w:rsidR="00561F31" w:rsidRPr="00F90EAE" w14:paraId="01DB7A46" w14:textId="77777777">
        <w:tc>
          <w:tcPr>
            <w:tcW w:w="3936" w:type="dxa"/>
          </w:tcPr>
          <w:p w14:paraId="6B36C7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Время набора 8000 м </w:t>
            </w:r>
          </w:p>
        </w:tc>
        <w:tc>
          <w:tcPr>
            <w:tcW w:w="2236" w:type="dxa"/>
          </w:tcPr>
          <w:p w14:paraId="2F8AF5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236" w:type="dxa"/>
          </w:tcPr>
          <w:p w14:paraId="00E8E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r>
      <w:tr w:rsidR="00561F31" w:rsidRPr="00F90EAE" w14:paraId="4BBE0683" w14:textId="77777777">
        <w:tc>
          <w:tcPr>
            <w:tcW w:w="3936" w:type="dxa"/>
          </w:tcPr>
          <w:p w14:paraId="5BEE91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236" w:type="dxa"/>
          </w:tcPr>
          <w:p w14:paraId="6A4302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c>
          <w:tcPr>
            <w:tcW w:w="2236" w:type="dxa"/>
          </w:tcPr>
          <w:p w14:paraId="27D259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r>
      <w:tr w:rsidR="00561F31" w:rsidRPr="00F90EAE" w14:paraId="6F0AF6B6" w14:textId="77777777">
        <w:tc>
          <w:tcPr>
            <w:tcW w:w="3936" w:type="dxa"/>
          </w:tcPr>
          <w:p w14:paraId="540CA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236" w:type="dxa"/>
          </w:tcPr>
          <w:p w14:paraId="05764B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w:t>
            </w:r>
          </w:p>
        </w:tc>
        <w:tc>
          <w:tcPr>
            <w:tcW w:w="2236" w:type="dxa"/>
          </w:tcPr>
          <w:p w14:paraId="262831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256CB3AD" w14:textId="77777777">
        <w:tc>
          <w:tcPr>
            <w:tcW w:w="3936" w:type="dxa"/>
            <w:tcBorders>
              <w:bottom w:val="single" w:sz="12" w:space="0" w:color="auto"/>
            </w:tcBorders>
          </w:tcPr>
          <w:p w14:paraId="12A78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w:t>
            </w:r>
          </w:p>
        </w:tc>
        <w:tc>
          <w:tcPr>
            <w:tcW w:w="2236" w:type="dxa"/>
            <w:tcBorders>
              <w:bottom w:val="single" w:sz="12" w:space="0" w:color="auto"/>
            </w:tcBorders>
          </w:tcPr>
          <w:p w14:paraId="3FD70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2236" w:type="dxa"/>
            <w:tcBorders>
              <w:bottom w:val="single" w:sz="12" w:space="0" w:color="auto"/>
            </w:tcBorders>
          </w:tcPr>
          <w:p w14:paraId="36ACFC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r>
    </w:tbl>
    <w:p w14:paraId="5635B9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60A2E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2F9A3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B0198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Невозможно окрыть входной люк из кабины пилота</w:t>
      </w:r>
    </w:p>
    <w:p w14:paraId="173BB0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Отсутствует противокапотажная рама</w:t>
      </w:r>
    </w:p>
    <w:p w14:paraId="67FEC1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Обшивка с-та имеет вмятины, покраска - плохая</w:t>
      </w:r>
    </w:p>
    <w:p w14:paraId="3358B3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Нач. 1 У м/п/п Паукер 6 марта, Нач. 1 У гмиас Сафонов 7 марта и Зам. Нач. ГУ ИАС Лосюков 10 марта 1945 (806,8).</w:t>
      </w:r>
    </w:p>
    <w:p w14:paraId="6CFC9AFD" w14:textId="77777777" w:rsidR="00665165" w:rsidRPr="00F90EAE" w:rsidRDefault="00665165" w:rsidP="00F90EAE">
      <w:pPr>
        <w:autoSpaceDE w:val="0"/>
        <w:autoSpaceDN w:val="0"/>
        <w:adjustRightInd w:val="0"/>
        <w:jc w:val="both"/>
        <w:rPr>
          <w:color w:val="000000" w:themeColor="text1"/>
          <w:sz w:val="16"/>
          <w:szCs w:val="16"/>
        </w:rPr>
      </w:pPr>
    </w:p>
    <w:p w14:paraId="31D2C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года Шахурин писал письмо N Н-32/774 командующему 18 ВА гл. маршалу авиации Голованову А.Е.</w:t>
      </w:r>
    </w:p>
    <w:p w14:paraId="7DF79C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Вас передать Наркомавиапрому (ЦИАМ) имеющийся в Вашем распоряжении самолет "Либерейтор Б-24Д".</w:t>
      </w:r>
    </w:p>
    <w:p w14:paraId="1F4A1B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предназначается для использования в качестве "Летающей высотной лаборатории" с целью проведения научно-исследовательских работ по изучению поведения моторов и моторных агрегатов в естественных условиях полета на различных высотах.</w:t>
      </w:r>
    </w:p>
    <w:p w14:paraId="79078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передаче самолета прошу также передать и все запасные части и агрегаты к нему (моторы, турбокомпрессоры, колеса и др. части) (1879).</w:t>
      </w:r>
    </w:p>
    <w:p w14:paraId="3053E1C9" w14:textId="77777777" w:rsidR="00665165" w:rsidRPr="00F90EAE" w:rsidRDefault="00665165" w:rsidP="00F90EAE">
      <w:pPr>
        <w:autoSpaceDE w:val="0"/>
        <w:autoSpaceDN w:val="0"/>
        <w:adjustRightInd w:val="0"/>
        <w:jc w:val="both"/>
        <w:rPr>
          <w:color w:val="000000" w:themeColor="text1"/>
          <w:sz w:val="16"/>
          <w:szCs w:val="16"/>
        </w:rPr>
      </w:pPr>
    </w:p>
    <w:p w14:paraId="1D09B6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17 февраля по 27 апреля 1945 Л.М.Кувшинов проводил гос. испытания Як-3Т, вооруженного Н-37 + 2 БС-20С. Летали Л.М.Кувшинов, а и были В.П.Белодеденко по конструкции и А.Г.Аронов по вооружению; м - В.Ф.Сбитнев. Выполнили 44 полета продолжительностью 26:05. Потом дорабатывали до с 12 мая по 2 июля 1945 (65,181).</w:t>
      </w:r>
    </w:p>
    <w:p w14:paraId="18B5090B" w14:textId="77777777" w:rsidR="00665165" w:rsidRPr="00F90EAE" w:rsidRDefault="00665165" w:rsidP="00F90EAE">
      <w:pPr>
        <w:autoSpaceDE w:val="0"/>
        <w:autoSpaceDN w:val="0"/>
        <w:adjustRightInd w:val="0"/>
        <w:jc w:val="both"/>
        <w:rPr>
          <w:color w:val="000000" w:themeColor="text1"/>
          <w:sz w:val="16"/>
          <w:szCs w:val="16"/>
        </w:rPr>
      </w:pPr>
    </w:p>
    <w:p w14:paraId="7428B9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17 февраля по 25 апреля 1945 года проходили государственные испытания Як-3Т.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 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59596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567763BC" w14:textId="77777777" w:rsidR="00665165" w:rsidRPr="00F90EAE" w:rsidRDefault="00665165" w:rsidP="00F90EAE">
      <w:pPr>
        <w:autoSpaceDE w:val="0"/>
        <w:autoSpaceDN w:val="0"/>
        <w:adjustRightInd w:val="0"/>
        <w:jc w:val="both"/>
        <w:rPr>
          <w:color w:val="000000" w:themeColor="text1"/>
          <w:sz w:val="16"/>
          <w:szCs w:val="16"/>
        </w:rPr>
      </w:pPr>
    </w:p>
    <w:p w14:paraId="3D3A048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5CD8C95" w14:textId="77777777" w:rsidR="00665165" w:rsidRPr="00F90EAE" w:rsidRDefault="00665165" w:rsidP="00F90EAE">
      <w:pPr>
        <w:autoSpaceDE w:val="0"/>
        <w:autoSpaceDN w:val="0"/>
        <w:adjustRightInd w:val="0"/>
        <w:jc w:val="both"/>
        <w:rPr>
          <w:iCs/>
          <w:color w:val="000000" w:themeColor="text1"/>
          <w:sz w:val="16"/>
          <w:szCs w:val="16"/>
        </w:rPr>
      </w:pPr>
    </w:p>
    <w:p w14:paraId="699717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вышло Распоряжение ГКО № 7544. О снабжении нефтетопливом завода № 92 НКВ. РГАНИР, Фонд ГКО, д. 372, лл. 65 (11012).</w:t>
      </w:r>
    </w:p>
    <w:p w14:paraId="646E895B" w14:textId="77777777" w:rsidR="00665165" w:rsidRPr="00F90EAE" w:rsidRDefault="00665165" w:rsidP="00F90EAE">
      <w:pPr>
        <w:autoSpaceDE w:val="0"/>
        <w:autoSpaceDN w:val="0"/>
        <w:adjustRightInd w:val="0"/>
        <w:jc w:val="both"/>
        <w:rPr>
          <w:color w:val="000000" w:themeColor="text1"/>
          <w:sz w:val="16"/>
          <w:szCs w:val="16"/>
        </w:rPr>
      </w:pPr>
    </w:p>
    <w:p w14:paraId="7F9856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вышло Распоряжение ГКО № 7545. О материально-техническом обеспечении объединения "Грознефть" для усиления буровых работ и улучшения эксплуатации скважин. РГАНИР, Фонд ГКО, д. 372, лл. 66-67 (11012).</w:t>
      </w:r>
    </w:p>
    <w:p w14:paraId="1246E226" w14:textId="77777777" w:rsidR="00665165" w:rsidRPr="00F90EAE" w:rsidRDefault="00665165" w:rsidP="00F90EAE">
      <w:pPr>
        <w:autoSpaceDE w:val="0"/>
        <w:autoSpaceDN w:val="0"/>
        <w:adjustRightInd w:val="0"/>
        <w:jc w:val="both"/>
        <w:rPr>
          <w:color w:val="000000" w:themeColor="text1"/>
          <w:sz w:val="16"/>
          <w:szCs w:val="16"/>
        </w:rPr>
      </w:pPr>
    </w:p>
    <w:p w14:paraId="445E8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вышло Распоряжение ГКО № 7546. О дополнительных мерах по производству средств противохимической защиты. РГАНИР, Фонд ГКО, д. 372, лл. 68-69 (11012).</w:t>
      </w:r>
    </w:p>
    <w:p w14:paraId="78627D88" w14:textId="77777777" w:rsidR="00665165" w:rsidRPr="00F90EAE" w:rsidRDefault="00665165" w:rsidP="00F90EAE">
      <w:pPr>
        <w:autoSpaceDE w:val="0"/>
        <w:autoSpaceDN w:val="0"/>
        <w:adjustRightInd w:val="0"/>
        <w:jc w:val="both"/>
        <w:rPr>
          <w:color w:val="000000" w:themeColor="text1"/>
          <w:sz w:val="16"/>
          <w:szCs w:val="16"/>
        </w:rPr>
      </w:pPr>
    </w:p>
    <w:p w14:paraId="7576C74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вышло Распоряжение ГКО № 7547 [Об изменениях в плане перевозок грузов НКПП.] (7309, 70).</w:t>
      </w:r>
    </w:p>
    <w:p w14:paraId="68C91A1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5FB7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вышло Распоряжение ГКО № 7548. О мерах по обеспечению кирпичом строительства новых нефтепромыслов в Узбекистане и Ванновского нефтеперерабатывающего завода. РГАНИР, Фонд ГКО, д. 372, лл. 71 (11012).</w:t>
      </w:r>
    </w:p>
    <w:p w14:paraId="1B88917D" w14:textId="77777777" w:rsidR="00665165" w:rsidRPr="00F90EAE" w:rsidRDefault="00665165" w:rsidP="00F90EAE">
      <w:pPr>
        <w:autoSpaceDE w:val="0"/>
        <w:autoSpaceDN w:val="0"/>
        <w:adjustRightInd w:val="0"/>
        <w:jc w:val="both"/>
        <w:rPr>
          <w:color w:val="000000" w:themeColor="text1"/>
          <w:sz w:val="16"/>
          <w:szCs w:val="16"/>
        </w:rPr>
      </w:pPr>
    </w:p>
    <w:p w14:paraId="614231E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381BF1D" w14:textId="77777777" w:rsidR="00665165" w:rsidRPr="00F90EAE" w:rsidRDefault="00665165" w:rsidP="00F90EAE">
      <w:pPr>
        <w:autoSpaceDE w:val="0"/>
        <w:autoSpaceDN w:val="0"/>
        <w:adjustRightInd w:val="0"/>
        <w:jc w:val="both"/>
        <w:rPr>
          <w:iCs/>
          <w:color w:val="000000" w:themeColor="text1"/>
          <w:sz w:val="16"/>
          <w:szCs w:val="16"/>
        </w:rPr>
      </w:pPr>
    </w:p>
    <w:p w14:paraId="638DA4F5" w14:textId="77777777" w:rsidR="000F49EC" w:rsidRPr="00F90EAE" w:rsidRDefault="000F49EC" w:rsidP="00F90EAE">
      <w:pPr>
        <w:jc w:val="both"/>
        <w:rPr>
          <w:color w:val="000000" w:themeColor="text1"/>
          <w:sz w:val="16"/>
          <w:szCs w:val="16"/>
        </w:rPr>
      </w:pPr>
      <w:r w:rsidRPr="00F90EAE">
        <w:rPr>
          <w:bCs/>
          <w:color w:val="000000" w:themeColor="text1"/>
          <w:sz w:val="16"/>
          <w:szCs w:val="16"/>
        </w:rPr>
        <w:t>17 февраля</w:t>
      </w:r>
      <w:r w:rsidRPr="00F90EAE">
        <w:rPr>
          <w:color w:val="000000" w:themeColor="text1"/>
          <w:sz w:val="16"/>
          <w:szCs w:val="16"/>
        </w:rPr>
        <w:t xml:space="preserve"> в 1945 году оперативная сводка Совинформбюро:</w:t>
      </w:r>
    </w:p>
    <w:p w14:paraId="4BFE3AA6" w14:textId="77777777" w:rsidR="000F49EC" w:rsidRPr="00F90EAE" w:rsidRDefault="000F49EC" w:rsidP="00F90EAE">
      <w:pPr>
        <w:jc w:val="both"/>
        <w:rPr>
          <w:color w:val="000000" w:themeColor="text1"/>
          <w:sz w:val="16"/>
          <w:szCs w:val="16"/>
        </w:rPr>
      </w:pPr>
      <w:r w:rsidRPr="00F90EAE">
        <w:rPr>
          <w:color w:val="000000" w:themeColor="text1"/>
          <w:sz w:val="16"/>
          <w:szCs w:val="16"/>
        </w:rPr>
        <w:t>«Войска 3-го Белорусского фронта, продолжая сжимать кольцо окружения Восточно-Прусской группировки противника, штурмом овладели городами Вормдитт и Мельзак — важными узлами коммуникаций и сильными опорными пунктами обороны немцев, а также с боями заняли населённые пункты Плаутен, Нойхоф, Борнитт, Клингенберг.</w:t>
      </w:r>
    </w:p>
    <w:p w14:paraId="731CBE81" w14:textId="77777777" w:rsidR="000F49EC" w:rsidRPr="00F90EAE" w:rsidRDefault="000F49EC" w:rsidP="00F90EAE">
      <w:pPr>
        <w:jc w:val="both"/>
        <w:rPr>
          <w:color w:val="000000" w:themeColor="text1"/>
          <w:sz w:val="16"/>
          <w:szCs w:val="16"/>
        </w:rPr>
      </w:pPr>
      <w:r w:rsidRPr="00F90EAE">
        <w:rPr>
          <w:color w:val="000000" w:themeColor="text1"/>
          <w:sz w:val="16"/>
          <w:szCs w:val="16"/>
        </w:rPr>
        <w:t>Северо-западнее города Грудзяндз (Грауденц) наши войска, наступая вдоль левого берега реки Вислы, овладели населёнными пунктами Группе, Флетенау, Бушин, Скшинкен, Медзно, Оше.</w:t>
      </w:r>
    </w:p>
    <w:p w14:paraId="30C550A7" w14:textId="77777777" w:rsidR="000F49EC" w:rsidRPr="00F90EAE" w:rsidRDefault="000F49EC" w:rsidP="00F90EAE">
      <w:pPr>
        <w:jc w:val="both"/>
        <w:rPr>
          <w:color w:val="000000" w:themeColor="text1"/>
          <w:sz w:val="16"/>
          <w:szCs w:val="16"/>
        </w:rPr>
      </w:pPr>
      <w:r w:rsidRPr="00F90EAE">
        <w:rPr>
          <w:color w:val="000000" w:themeColor="text1"/>
          <w:sz w:val="16"/>
          <w:szCs w:val="16"/>
        </w:rPr>
        <w:t>В Померании южнее города Штаргард наши войска отбивали атаки пехоты и танков противника. Одновременно в лесах севернее города Шнайдемюль наши войска ликвидировали окружённую группу противника, уничтожив при этом свыше 8.000 немецких солдат и офицеров. Взято в плен около 2.000 немцев и захвачены следующие трофеи: танков и самоходных орудий — 13, орудий—30, миномётов—35, пулемётов—154, автомашин—384, повозок с грузом военного имущества—120.</w:t>
      </w:r>
    </w:p>
    <w:p w14:paraId="1CB3DED4" w14:textId="77777777" w:rsidR="000F49EC" w:rsidRPr="00F90EAE" w:rsidRDefault="000F49EC" w:rsidP="00F90EAE">
      <w:pPr>
        <w:jc w:val="both"/>
        <w:rPr>
          <w:color w:val="000000" w:themeColor="text1"/>
          <w:sz w:val="16"/>
          <w:szCs w:val="16"/>
        </w:rPr>
      </w:pPr>
      <w:r w:rsidRPr="00F90EAE">
        <w:rPr>
          <w:color w:val="000000" w:themeColor="text1"/>
          <w:sz w:val="16"/>
          <w:szCs w:val="16"/>
        </w:rPr>
        <w:t>В Познани наши войска, продолжая бои по уничтожению окружённого гарнизона противника, овладели пригородами, расположенными на восточном берегу Варты. Следовательно, остатки окружённого гарнизона противника удерживаются только в цитадели. За 16 февраля в этом районе наши войска взяли в плен более 6.000 немецких солдат и офицеров и захватили следующие трофеи: орудий — 13, пулемётов—52, винтовок и автоматов — свыше 6.000, автомашин — 125, паровозов — 40, вагонов — 184 и 16 складов с различным военным имуществом.</w:t>
      </w:r>
    </w:p>
    <w:p w14:paraId="3B781B6B" w14:textId="77777777" w:rsidR="000F49EC" w:rsidRPr="00F90EAE" w:rsidRDefault="000F49EC" w:rsidP="00F90EAE">
      <w:pPr>
        <w:jc w:val="both"/>
        <w:rPr>
          <w:color w:val="000000" w:themeColor="text1"/>
          <w:sz w:val="16"/>
          <w:szCs w:val="16"/>
        </w:rPr>
      </w:pPr>
      <w:r w:rsidRPr="00F90EAE">
        <w:rPr>
          <w:color w:val="000000" w:themeColor="text1"/>
          <w:sz w:val="16"/>
          <w:szCs w:val="16"/>
        </w:rPr>
        <w:t>В Силезии северо-западнее и западнее города Бунцлау наши войска с боем заняли более 50 населённых пунктов, среди которых крупные населённые пункты Хермсдорф, Хаммер, Нойхаус, Рауша, Шнелленфурт, Томмендорф. В боях за 16 февраля в этом районе наши войска взяли в плен более 1.100 немецких солдат и офицеров.</w:t>
      </w:r>
    </w:p>
    <w:p w14:paraId="09C0BEC0" w14:textId="77777777" w:rsidR="000F49EC" w:rsidRPr="00F90EAE" w:rsidRDefault="000F49EC" w:rsidP="00F90EAE">
      <w:pPr>
        <w:jc w:val="both"/>
        <w:rPr>
          <w:color w:val="000000" w:themeColor="text1"/>
          <w:sz w:val="16"/>
          <w:szCs w:val="16"/>
        </w:rPr>
      </w:pPr>
      <w:r w:rsidRPr="00F90EAE">
        <w:rPr>
          <w:color w:val="000000" w:themeColor="text1"/>
          <w:sz w:val="16"/>
          <w:szCs w:val="16"/>
        </w:rPr>
        <w:t>Юго-западнее и южнее города Бреслау наши войска с боями продвигались вперёд и заняли более 60 населённых пунктов, в том числе крупные населённые пункты Захвиц, Хубертусхоф, Вировиц, Шенбанквиц, Борау, Грюнхартау, Брозевиц. Одновременно продолжались бои по уничтожению окружённой группировки противника в городе Бреслау (Бреславль).</w:t>
      </w:r>
    </w:p>
    <w:p w14:paraId="42628E49" w14:textId="77777777" w:rsidR="000F49EC" w:rsidRPr="00F90EAE" w:rsidRDefault="000F49EC" w:rsidP="00F90EAE">
      <w:pPr>
        <w:jc w:val="both"/>
        <w:rPr>
          <w:color w:val="000000" w:themeColor="text1"/>
          <w:sz w:val="16"/>
          <w:szCs w:val="16"/>
        </w:rPr>
      </w:pPr>
      <w:r w:rsidRPr="00F90EAE">
        <w:rPr>
          <w:color w:val="000000" w:themeColor="text1"/>
          <w:sz w:val="16"/>
          <w:szCs w:val="16"/>
        </w:rPr>
        <w:lastRenderedPageBreak/>
        <w:t>На северном берегу Дуная восточнее Комарно наши войска, находящиеся западнее реки Грон, отбивали атаки крупных сил пехоты и танков противника и нанесли ему большие потери в живой силе и технике.</w:t>
      </w:r>
    </w:p>
    <w:p w14:paraId="59F96BBF"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50A7676F" w14:textId="77777777" w:rsidR="000F49EC" w:rsidRPr="00F90EAE" w:rsidRDefault="000F49EC" w:rsidP="00F90EAE">
      <w:pPr>
        <w:jc w:val="both"/>
        <w:rPr>
          <w:color w:val="000000" w:themeColor="text1"/>
          <w:sz w:val="16"/>
          <w:szCs w:val="16"/>
        </w:rPr>
      </w:pPr>
      <w:r w:rsidRPr="00F90EAE">
        <w:rPr>
          <w:color w:val="000000" w:themeColor="text1"/>
          <w:sz w:val="16"/>
          <w:szCs w:val="16"/>
        </w:rPr>
        <w:t>За 16 февраля на всех фронтах подбито и уничтожено 106 немецких танков. В воздушных боях и огнём зенитной артиллерии сбит 41 самолёт противника.</w:t>
      </w:r>
    </w:p>
    <w:p w14:paraId="4138007D" w14:textId="77777777" w:rsidR="000F49EC" w:rsidRPr="00F90EAE" w:rsidRDefault="000F49EC" w:rsidP="00F90EAE">
      <w:pPr>
        <w:jc w:val="both"/>
        <w:rPr>
          <w:color w:val="000000" w:themeColor="text1"/>
          <w:sz w:val="16"/>
          <w:szCs w:val="16"/>
        </w:rPr>
      </w:pPr>
      <w:r w:rsidRPr="00F90EAE">
        <w:rPr>
          <w:color w:val="000000" w:themeColor="text1"/>
          <w:sz w:val="16"/>
          <w:szCs w:val="16"/>
        </w:rPr>
        <w:t>Войска 3-го Белорусского фронта продолжали наступление. Ожесточённые бои произошли близ города Вормдитт — сильно укреплённого пункта обороны противника. Немцы построили здесь большое количество дотов и дзотов, окопов и бетонированными огневыми площадками и отрыли противотанковые рвы. Сковывая противника фронтальными атаками, наши войска в то же время совершили обходный манёвр с востока и юга. Вскоре вражеская группировка, обороняющая вормдитский укреплённый район, была зажата в клещи. В результате мощного артиллерийского обстрела и ударов танков и пехоты немецкая оборона была дезорганизована. Советские части прорвали долговременные укрепления противника и штурмом овладели городом Вормдитт — узлом железных и шоссейных дорог. Одно наше соединение захватило в этом районе около 50 железобетонных дотов. Развивая успех, войска фронта продвинулись вперёд на 11 километров и вышли к реке Вальш. Наши пехотинцы и танкисты с хода форсировали водный рубеж и штурмом заняли город Мельзак. В районе городов Вормдитт и Мельзак противник оставил свыше 4 тысяч трупов своих солдат и офицеров. За два дня боёв уничтожено 74 немецких танка и самоходных орудия. Захвачено у немцев 8 танков, 36 орудий, 168 пулемётов и другие трофеи. Взято в плен более 800 немцев.</w:t>
      </w:r>
    </w:p>
    <w:p w14:paraId="1C779C38" w14:textId="77777777" w:rsidR="000F49EC" w:rsidRPr="00F90EAE" w:rsidRDefault="000F49EC" w:rsidP="00F90EAE">
      <w:pPr>
        <w:jc w:val="both"/>
        <w:rPr>
          <w:color w:val="000000" w:themeColor="text1"/>
          <w:sz w:val="16"/>
          <w:szCs w:val="16"/>
        </w:rPr>
      </w:pPr>
      <w:r w:rsidRPr="00F90EAE">
        <w:rPr>
          <w:color w:val="000000" w:themeColor="text1"/>
          <w:sz w:val="16"/>
          <w:szCs w:val="16"/>
        </w:rPr>
        <w:t>Батарея самоходных орудий гвардии капитана Авраменко прорвалась в тыл немцев и устроила засаду у дороги. Вскоре показалась колонна гитлеровцев. Артиллеристы открыли огонь и уничтожили 4 полевых и одно самоходное орудие противника. Артиллерист сержант Митин, отражая вражескую контратаку, сжёг немецкий танк и 2 бронетранспортёра. Артиллерийский расчёт гвардии сержанта Косьяненко уничтожил 18 немецких пулемётов вместе с их расчётами.</w:t>
      </w:r>
    </w:p>
    <w:p w14:paraId="33B0DDE5" w14:textId="77777777" w:rsidR="000F49EC" w:rsidRPr="00F90EAE" w:rsidRDefault="000F49EC" w:rsidP="00F90EAE">
      <w:pPr>
        <w:jc w:val="both"/>
        <w:rPr>
          <w:color w:val="000000" w:themeColor="text1"/>
          <w:sz w:val="16"/>
          <w:szCs w:val="16"/>
        </w:rPr>
      </w:pPr>
      <w:r w:rsidRPr="00F90EAE">
        <w:rPr>
          <w:color w:val="000000" w:themeColor="text1"/>
          <w:sz w:val="16"/>
          <w:szCs w:val="16"/>
        </w:rPr>
        <w:t>Северо-западнее города Грудзяндз (Грауденц) наши войска с боями продвигались вперёд вдоль левого берега реки Вислы. Немцы выбиты из нескольких сильно укреплённых населённых пунктов. Только в лесах у селения Бушин уничтожено 300 солдат и офицеров противника и взято 200 пленных. Советская авиация штурмовала боевые порядки и ближайшие тылы противника. Наши лётчики в воздушных боях сбили 13 немецких самолётов. Кроме того, 4 вражеских самолёта сожжены на аэродроме противника.</w:t>
      </w:r>
    </w:p>
    <w:p w14:paraId="233D73F5" w14:textId="77777777" w:rsidR="000F49EC" w:rsidRPr="00F90EAE" w:rsidRDefault="000F49EC" w:rsidP="00F90EAE">
      <w:pPr>
        <w:jc w:val="both"/>
        <w:rPr>
          <w:color w:val="000000" w:themeColor="text1"/>
          <w:sz w:val="16"/>
          <w:szCs w:val="16"/>
        </w:rPr>
      </w:pPr>
      <w:r w:rsidRPr="00F90EAE">
        <w:rPr>
          <w:color w:val="000000" w:themeColor="text1"/>
          <w:sz w:val="16"/>
          <w:szCs w:val="16"/>
        </w:rPr>
        <w:t>В Силезии северо-западнее и западнее города Бунцлау наши войска продолжали наступление. Немцы в одном районе сосредоточили пехоту и танки и пытались нанести удар во фланг советским частям. В ожесточённом бою наши войска разгромили эту группу противника. К западу от Бунцлау наши подвижные соединения и пехота форсировали реку Квейс. Немцы бросили в контратаку полк пехоты, усиленный 35 танками. Завязался напряжённый бой, в ходе которого 32 вражеских танка были уничтожены. Немецкая пехота, потеряв убитыми более 800 солдат и офицеров, в беспорядке отступила. Преследуя отступающих гитлеровцев, наши войска заняли ряд населённых пунктов.</w:t>
      </w:r>
    </w:p>
    <w:p w14:paraId="079648B6" w14:textId="77777777" w:rsidR="000F49EC" w:rsidRPr="00F90EAE" w:rsidRDefault="000F49EC"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нанесла удар по немецким судам в южной части Балтийского моря. В результате прямых попаданий бомб и торпед потоплены один транспорт водоизмещением в 8.000 тонн, два транспорта водоизмещением по 6.000 тонн каждый и один транспорт водоизмещением в 5.000 тонн. Кроме того, пущен ко дну тральщик противника.</w:t>
      </w:r>
    </w:p>
    <w:p w14:paraId="2B702544" w14:textId="77777777" w:rsidR="000F49EC" w:rsidRPr="00F90EAE" w:rsidRDefault="000F49EC" w:rsidP="00F90EAE">
      <w:pPr>
        <w:jc w:val="both"/>
        <w:rPr>
          <w:color w:val="000000" w:themeColor="text1"/>
          <w:sz w:val="16"/>
          <w:szCs w:val="16"/>
        </w:rPr>
      </w:pPr>
      <w:r w:rsidRPr="00F90EAE">
        <w:rPr>
          <w:color w:val="000000" w:themeColor="text1"/>
          <w:sz w:val="16"/>
          <w:szCs w:val="16"/>
        </w:rPr>
        <w:t>Пленный командир аэродромной роты обер-лейтенант Билли Кэперниц рассказал: «Моя рота работала на аэродроме неподалеку от города Быдгощ (Бромберг). Появление русских танков около аэродрома было для нас полной неожиданностью. Мы отступили в лес. Здесь также находились подразделения кавалерийской школы и другие части. Настроение у всех было подавленное. Командир эскадрона капитан фон Шулленбург, нисколько не стесняясь присутствия курсантов школы и солдат, говорил: «В районе Быдгощ запахло Сталинградом: надо скорее убираться отсюда, так как русские заходят к нам в тыл». На другой день утром мы пытались пробиться на север. Колонна насчитывала, около 1.500 человек. Проходя через лес, мы попали под огонь русских пулемётов и миномётов. В несколько мгновений воцарился страшный хаос. Уже находясь в плену, я увидел многих солдат и офицеров из нашей разгромлённой колонны. Их изловили в лесу русские автоматчики» (15043).</w:t>
      </w:r>
    </w:p>
    <w:p w14:paraId="08526F8F" w14:textId="77777777" w:rsidR="000F49EC" w:rsidRPr="00F90EAE" w:rsidRDefault="000F49EC" w:rsidP="00F90EAE">
      <w:pPr>
        <w:jc w:val="both"/>
        <w:rPr>
          <w:color w:val="000000" w:themeColor="text1"/>
          <w:sz w:val="16"/>
          <w:szCs w:val="16"/>
        </w:rPr>
      </w:pPr>
    </w:p>
    <w:p w14:paraId="5D8E69DC" w14:textId="77777777" w:rsidR="00E90CF3" w:rsidRPr="00F90EAE" w:rsidRDefault="00E90CF3" w:rsidP="00F90EAE">
      <w:pPr>
        <w:jc w:val="both"/>
        <w:rPr>
          <w:color w:val="000000" w:themeColor="text1"/>
          <w:sz w:val="16"/>
          <w:szCs w:val="16"/>
        </w:rPr>
      </w:pPr>
      <w:r w:rsidRPr="00F90EAE">
        <w:rPr>
          <w:color w:val="000000" w:themeColor="text1"/>
          <w:sz w:val="16"/>
          <w:szCs w:val="16"/>
        </w:rPr>
        <w:t>17 февраля 1945 г.в Померании от Штеттина и Штаргарда группировка генерала Венка наносит фланговый удар по наступающим на Берлин советским войскам, маршал Жуков предлагает остановить наступление и перейти к обороне, Сталин его поддерживает и останавливает войска. Немцы получают передышку на 2 месяца (до 17 — 18 апреля 1945 г.). Остановка на Одере по разному воспринималась советскими генералами, в частности генерал Василий Чуйков считал, что Берлин можно было взять еще в феврале, не давая немцам укрепить оборону. За это мнение его специально «прорабатывали» в Москве в день похорон Сергея Королева. Ни Жуков, ни Чуйков, ни Штеменко не пишут о главном факте из этого дня – 17 февраля 1945 г. разбился в автокатастрофе и был госпитализирован руководитель наступления немцев генерал Венк (17459).</w:t>
      </w:r>
    </w:p>
    <w:p w14:paraId="3B7FFD81" w14:textId="77777777" w:rsidR="00E90CF3" w:rsidRPr="00F90EAE" w:rsidRDefault="00E90CF3" w:rsidP="00F90EAE">
      <w:pPr>
        <w:jc w:val="both"/>
        <w:rPr>
          <w:color w:val="000000" w:themeColor="text1"/>
          <w:sz w:val="16"/>
          <w:szCs w:val="16"/>
        </w:rPr>
      </w:pPr>
    </w:p>
    <w:p w14:paraId="382D1CE0" w14:textId="77777777" w:rsidR="008C396C" w:rsidRPr="00F90EAE" w:rsidRDefault="008C396C"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17 февраля 1945 года согласно предположению Иван Кожедуб сбил вовсе не реактивный самолет</w:t>
      </w:r>
      <w:r w:rsidRPr="00F90EAE">
        <w:rPr>
          <w:rStyle w:val="510pt"/>
          <w:rFonts w:ascii="Times New Roman" w:hAnsi="Times New Roman" w:cs="Times New Roman"/>
          <w:b w:val="0"/>
          <w:i w:val="0"/>
          <w:color w:val="000000" w:themeColor="text1"/>
          <w:spacing w:val="0"/>
          <w:sz w:val="16"/>
          <w:szCs w:val="16"/>
        </w:rPr>
        <w:t>,</w:t>
      </w:r>
      <w:r w:rsidRPr="00F90EAE">
        <w:rPr>
          <w:rFonts w:ascii="Times New Roman" w:hAnsi="Times New Roman"/>
          <w:color w:val="000000" w:themeColor="text1"/>
          <w:spacing w:val="0"/>
          <w:sz w:val="16"/>
          <w:szCs w:val="16"/>
        </w:rPr>
        <w:t xml:space="preserve"> а поршневой истребитель-перехватчик типа </w:t>
      </w:r>
      <w:r w:rsidRPr="00F90EAE">
        <w:rPr>
          <w:rFonts w:ascii="Times New Roman" w:hAnsi="Times New Roman"/>
          <w:color w:val="000000" w:themeColor="text1"/>
          <w:spacing w:val="0"/>
          <w:sz w:val="16"/>
          <w:szCs w:val="16"/>
          <w:lang w:val="en-US"/>
        </w:rPr>
        <w:t>Bf</w:t>
      </w:r>
      <w:r w:rsidRPr="00F90EAE">
        <w:rPr>
          <w:rFonts w:ascii="Times New Roman" w:hAnsi="Times New Roman"/>
          <w:color w:val="000000" w:themeColor="text1"/>
          <w:spacing w:val="0"/>
          <w:sz w:val="16"/>
          <w:szCs w:val="16"/>
        </w:rPr>
        <w:t xml:space="preserve"> 109 или </w:t>
      </w:r>
      <w:r w:rsidRPr="00F90EAE">
        <w:rPr>
          <w:rFonts w:ascii="Times New Roman" w:hAnsi="Times New Roman"/>
          <w:color w:val="000000" w:themeColor="text1"/>
          <w:spacing w:val="0"/>
          <w:sz w:val="16"/>
          <w:szCs w:val="16"/>
          <w:lang w:val="en-US"/>
        </w:rPr>
        <w:t>Fw</w:t>
      </w:r>
      <w:r w:rsidRPr="00F90EAE">
        <w:rPr>
          <w:rFonts w:ascii="Times New Roman" w:hAnsi="Times New Roman"/>
          <w:color w:val="000000" w:themeColor="text1"/>
          <w:spacing w:val="0"/>
          <w:sz w:val="16"/>
          <w:szCs w:val="16"/>
        </w:rPr>
        <w:t xml:space="preserve"> 190, оснащенный стреляющей назад подвесной ракетнойустановкой типа </w:t>
      </w:r>
      <w:r w:rsidRPr="00F90EAE">
        <w:rPr>
          <w:rFonts w:ascii="Times New Roman" w:hAnsi="Times New Roman"/>
          <w:color w:val="000000" w:themeColor="text1"/>
          <w:spacing w:val="0"/>
          <w:sz w:val="16"/>
          <w:szCs w:val="16"/>
          <w:lang w:val="en-US"/>
        </w:rPr>
        <w:t>WGr</w:t>
      </w:r>
      <w:r w:rsidRPr="00F90EAE">
        <w:rPr>
          <w:rFonts w:ascii="Times New Roman" w:hAnsi="Times New Roman"/>
          <w:color w:val="000000" w:themeColor="text1"/>
          <w:spacing w:val="0"/>
          <w:sz w:val="16"/>
          <w:szCs w:val="16"/>
        </w:rPr>
        <w:t xml:space="preserve"> 21, которую наши авиационные специалисты в то время сертифицировали как дополнительный :активный двигатель. На совещании, кото</w:t>
      </w:r>
      <w:r w:rsidRPr="00F90EAE">
        <w:rPr>
          <w:rFonts w:ascii="Times New Roman" w:hAnsi="Times New Roman"/>
          <w:color w:val="000000" w:themeColor="text1"/>
          <w:spacing w:val="0"/>
          <w:sz w:val="16"/>
          <w:szCs w:val="16"/>
        </w:rPr>
        <w:softHyphen/>
        <w:t>рое 26 февраля 1945 года Командующий 16-й Воздушной Армии генерал-полковник Руденко провел с летчиками-истреби</w:t>
      </w:r>
      <w:r w:rsidRPr="00F90EAE">
        <w:rPr>
          <w:rFonts w:ascii="Times New Roman" w:hAnsi="Times New Roman"/>
          <w:color w:val="000000" w:themeColor="text1"/>
          <w:spacing w:val="0"/>
          <w:sz w:val="16"/>
          <w:szCs w:val="16"/>
        </w:rPr>
        <w:softHyphen/>
        <w:t>телями в связи с появлением на фронте германских самолетов с реактивными установками И.Н. Кожедуб рассказал о самолете, кото</w:t>
      </w:r>
      <w:r w:rsidRPr="00F90EAE">
        <w:rPr>
          <w:rFonts w:ascii="Times New Roman" w:hAnsi="Times New Roman"/>
          <w:color w:val="000000" w:themeColor="text1"/>
          <w:spacing w:val="0"/>
          <w:sz w:val="16"/>
          <w:szCs w:val="16"/>
        </w:rPr>
        <w:softHyphen/>
        <w:t>рый он недавно сбил: «...Я тоже при вы</w:t>
      </w:r>
      <w:r w:rsidRPr="00F90EAE">
        <w:rPr>
          <w:rFonts w:ascii="Times New Roman" w:hAnsi="Times New Roman"/>
          <w:color w:val="000000" w:themeColor="text1"/>
          <w:spacing w:val="0"/>
          <w:sz w:val="16"/>
          <w:szCs w:val="16"/>
        </w:rPr>
        <w:softHyphen/>
        <w:t>полнении задачи в районе плацдармов над рекой Одер заметил МЕ-109 с какой-то подвеской, нагнал его, а мой ведомый май</w:t>
      </w:r>
      <w:r w:rsidRPr="00F90EAE">
        <w:rPr>
          <w:rFonts w:ascii="Times New Roman" w:hAnsi="Times New Roman"/>
          <w:color w:val="000000" w:themeColor="text1"/>
          <w:spacing w:val="0"/>
          <w:sz w:val="16"/>
          <w:szCs w:val="16"/>
        </w:rPr>
        <w:softHyphen/>
        <w:t>ор Титаренко, зайдя сверху, дал по нему очередь, но промахнулся.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скоростные самолеты противни</w:t>
      </w:r>
      <w:r w:rsidRPr="00F90EAE">
        <w:rPr>
          <w:rFonts w:ascii="Times New Roman" w:hAnsi="Times New Roman"/>
          <w:color w:val="000000" w:themeColor="text1"/>
          <w:spacing w:val="0"/>
          <w:sz w:val="16"/>
          <w:szCs w:val="16"/>
        </w:rPr>
        <w:softHyphen/>
        <w:t>ка сбивать не трудно, применяя внезап</w:t>
      </w:r>
      <w:r w:rsidRPr="00F90EAE">
        <w:rPr>
          <w:rFonts w:ascii="Times New Roman" w:hAnsi="Times New Roman"/>
          <w:color w:val="000000" w:themeColor="text1"/>
          <w:spacing w:val="0"/>
          <w:sz w:val="16"/>
          <w:szCs w:val="16"/>
        </w:rPr>
        <w:softHyphen/>
        <w:t>ность атаки» (19082).</w:t>
      </w:r>
    </w:p>
    <w:p w14:paraId="35B97D24" w14:textId="77777777" w:rsidR="008C396C" w:rsidRPr="00F90EAE" w:rsidRDefault="008C396C" w:rsidP="00F90EAE">
      <w:pPr>
        <w:jc w:val="both"/>
        <w:rPr>
          <w:color w:val="000000" w:themeColor="text1"/>
          <w:sz w:val="16"/>
          <w:szCs w:val="16"/>
        </w:rPr>
      </w:pPr>
    </w:p>
    <w:p w14:paraId="280297A9" w14:textId="77777777" w:rsidR="00574D94" w:rsidRPr="00F90EAE" w:rsidRDefault="00574D94" w:rsidP="00F90EAE">
      <w:pPr>
        <w:jc w:val="both"/>
        <w:rPr>
          <w:color w:val="000000" w:themeColor="text1"/>
          <w:sz w:val="16"/>
          <w:szCs w:val="16"/>
        </w:rPr>
      </w:pPr>
      <w:r w:rsidRPr="00F90EAE">
        <w:rPr>
          <w:color w:val="000000" w:themeColor="text1"/>
          <w:sz w:val="16"/>
          <w:szCs w:val="16"/>
        </w:rPr>
        <w:t>17 февраля</w:t>
      </w:r>
      <w:r w:rsidRPr="00F90EAE">
        <w:rPr>
          <w:bCs/>
          <w:color w:val="000000" w:themeColor="text1"/>
          <w:sz w:val="16"/>
          <w:szCs w:val="16"/>
        </w:rPr>
        <w:t xml:space="preserve"> 1945 Венк, видя, что его шофер устал, сел за руль сам, он был переутомлен, уснул и въехал в ограду моста на шоссе Берлин-Штеттин. Он сильно разбился и был отправлен в госпиталь. Без Венка атака захлебнулась и так и не смогла больше набрать прежний ход (17459).</w:t>
      </w:r>
    </w:p>
    <w:p w14:paraId="0680F01C" w14:textId="77777777" w:rsidR="00574D94" w:rsidRPr="00F90EAE" w:rsidRDefault="00574D94" w:rsidP="00F90EAE">
      <w:pPr>
        <w:jc w:val="both"/>
        <w:rPr>
          <w:color w:val="000000" w:themeColor="text1"/>
          <w:sz w:val="16"/>
          <w:szCs w:val="16"/>
        </w:rPr>
      </w:pPr>
    </w:p>
    <w:p w14:paraId="1B88211D" w14:textId="77777777" w:rsidR="00574D94" w:rsidRPr="00F90EAE" w:rsidRDefault="00574D94"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командующий немецкими войсками на Восточном фронте генерал Вальтер Венк сломал руку (4962).</w:t>
      </w:r>
    </w:p>
    <w:p w14:paraId="506B1F30" w14:textId="77777777" w:rsidR="00574D94" w:rsidRPr="00F90EAE" w:rsidRDefault="00574D94" w:rsidP="00F90EAE">
      <w:pPr>
        <w:tabs>
          <w:tab w:val="left" w:pos="11199"/>
        </w:tabs>
        <w:autoSpaceDE w:val="0"/>
        <w:autoSpaceDN w:val="0"/>
        <w:adjustRightInd w:val="0"/>
        <w:jc w:val="both"/>
        <w:rPr>
          <w:color w:val="000000" w:themeColor="text1"/>
          <w:sz w:val="16"/>
          <w:szCs w:val="16"/>
        </w:rPr>
      </w:pPr>
    </w:p>
    <w:p w14:paraId="3898637B" w14:textId="77777777" w:rsidR="000F49EC" w:rsidRPr="00F90EAE" w:rsidRDefault="000F49EC" w:rsidP="00F90EAE">
      <w:pPr>
        <w:jc w:val="both"/>
        <w:rPr>
          <w:color w:val="000000" w:themeColor="text1"/>
          <w:sz w:val="16"/>
          <w:szCs w:val="16"/>
        </w:rPr>
      </w:pPr>
      <w:r w:rsidRPr="00F90EAE">
        <w:rPr>
          <w:bCs/>
          <w:color w:val="000000" w:themeColor="text1"/>
          <w:sz w:val="16"/>
          <w:szCs w:val="16"/>
        </w:rPr>
        <w:t>17 февраля</w:t>
      </w:r>
      <w:r w:rsidRPr="00F90EAE">
        <w:rPr>
          <w:color w:val="000000" w:themeColor="text1"/>
          <w:sz w:val="16"/>
          <w:szCs w:val="16"/>
        </w:rPr>
        <w:t xml:space="preserve"> в 1945 году войска 2-го Украинского фронта начали отражение контрудара немцев, наносимого из района восточнее Комарно на Солдины - Паркань (15043).</w:t>
      </w:r>
    </w:p>
    <w:p w14:paraId="492D46DE" w14:textId="77777777" w:rsidR="000F49EC" w:rsidRPr="00F90EAE" w:rsidRDefault="000F49EC" w:rsidP="00F90EAE">
      <w:pPr>
        <w:jc w:val="both"/>
        <w:rPr>
          <w:color w:val="000000" w:themeColor="text1"/>
          <w:sz w:val="16"/>
          <w:szCs w:val="16"/>
        </w:rPr>
      </w:pPr>
    </w:p>
    <w:p w14:paraId="69047CAD" w14:textId="77777777" w:rsidR="004945E9" w:rsidRPr="00F90EAE" w:rsidRDefault="004945E9" w:rsidP="00F90EAE">
      <w:pPr>
        <w:shd w:val="clear" w:color="auto" w:fill="FFFFFF"/>
        <w:jc w:val="both"/>
        <w:rPr>
          <w:color w:val="000000" w:themeColor="text1"/>
          <w:sz w:val="16"/>
          <w:szCs w:val="16"/>
        </w:rPr>
      </w:pPr>
      <w:r w:rsidRPr="00F90EAE">
        <w:rPr>
          <w:color w:val="000000" w:themeColor="text1"/>
          <w:sz w:val="16"/>
          <w:szCs w:val="16"/>
        </w:rPr>
        <w:t>17–25 февраля 1945 года при отражении частями 7-й гвардейской армии контрудара противника бойцы-истребители уничтожили с помощью зажигательных бутылок на плацдарме на западном берегу реки Грон (Чехословакия) 40 танков, 6 бронетранспортеров, 3 штурмовых орудия. В Будапеште только за день боев 10 января 1945 года штурмовые группы и истребители танков 155-й стрелковой дивизии израсходовали 57 зажигательных бутылок.</w:t>
      </w:r>
    </w:p>
    <w:p w14:paraId="6C2FE45E" w14:textId="77777777" w:rsidR="004945E9" w:rsidRPr="00F90EAE" w:rsidRDefault="004945E9" w:rsidP="00F90EAE">
      <w:pPr>
        <w:shd w:val="clear" w:color="auto" w:fill="FFFFFF"/>
        <w:jc w:val="both"/>
        <w:rPr>
          <w:color w:val="000000" w:themeColor="text1"/>
          <w:sz w:val="16"/>
          <w:szCs w:val="16"/>
        </w:rPr>
      </w:pPr>
      <w:r w:rsidRPr="00F90EAE">
        <w:rPr>
          <w:iCs/>
          <w:color w:val="000000" w:themeColor="text1"/>
          <w:sz w:val="16"/>
          <w:szCs w:val="16"/>
        </w:rPr>
        <w:t>«Боевой счет» бутылок впечатляет: по официальным данным, в период Великой Отечественной с их помощью советские бойцы уничтожили 2429 танков, САУ и бронемашин, 1189 дотов и дзотов, 2547 других укрепсооружений, 738 автомашин и 65 военных складов.</w:t>
      </w:r>
    </w:p>
    <w:p w14:paraId="0458DD18" w14:textId="77777777" w:rsidR="004945E9" w:rsidRPr="00F90EAE" w:rsidRDefault="004945E9" w:rsidP="00F90EAE">
      <w:pPr>
        <w:shd w:val="clear" w:color="auto" w:fill="FFFFFF"/>
        <w:jc w:val="both"/>
        <w:rPr>
          <w:color w:val="000000" w:themeColor="text1"/>
          <w:sz w:val="16"/>
          <w:szCs w:val="16"/>
        </w:rPr>
      </w:pPr>
      <w:r w:rsidRPr="00F90EAE">
        <w:rPr>
          <w:color w:val="000000" w:themeColor="text1"/>
          <w:sz w:val="16"/>
          <w:szCs w:val="16"/>
        </w:rPr>
        <w:t>Зажигательные бутылки использовали и для поражения транспортных машин, дотов, дзотов, складов, самолетов на аэродромах, живой силы, зданий, устройств огневых и комбинированных заграждений. Уже в оборонительных боях под Москвой и Ленинградом появились огневые валы и поля. В бутылочных полях зажигательные бутылки располагали в шахматном порядке, иногда – в сочетании с противотанковыми минами. Расчет делался на то, что танк или бронемашина раздавит бутылку, горящая жидкость растечется по ходовой части, вынудив экипаж остановиться или развернуться, чтобы сбить огонь, и наехать при этом на мину (12233).</w:t>
      </w:r>
    </w:p>
    <w:p w14:paraId="60268768" w14:textId="77777777" w:rsidR="004945E9" w:rsidRPr="00F90EAE" w:rsidRDefault="004945E9" w:rsidP="00F90EAE">
      <w:pPr>
        <w:shd w:val="clear" w:color="auto" w:fill="FFFFFF"/>
        <w:jc w:val="both"/>
        <w:rPr>
          <w:color w:val="000000" w:themeColor="text1"/>
          <w:sz w:val="16"/>
          <w:szCs w:val="16"/>
        </w:rPr>
      </w:pPr>
    </w:p>
    <w:p w14:paraId="412588A2" w14:textId="77777777" w:rsidR="004945E9" w:rsidRPr="00F90EAE" w:rsidRDefault="004945E9" w:rsidP="00F90EAE">
      <w:pPr>
        <w:jc w:val="both"/>
        <w:rPr>
          <w:color w:val="000000" w:themeColor="text1"/>
          <w:sz w:val="16"/>
          <w:szCs w:val="16"/>
        </w:rPr>
      </w:pPr>
      <w:r w:rsidRPr="00F90EAE">
        <w:rPr>
          <w:color w:val="000000" w:themeColor="text1"/>
          <w:sz w:val="16"/>
          <w:szCs w:val="16"/>
        </w:rPr>
        <w:t>17-19 февраля 1945 года экипаж танка Т-34 младшего лейтенанта Ивана Борисова в боях при освобождении Чехословакии на правом берегу реки Грон уничтожил 8 танков, 5 БТР противника. За этот бой младшему лейтенанту И.Ф: Борисову 28 апреля 1945 года было присвоено звание Героя Советского Союза (12217).</w:t>
      </w:r>
    </w:p>
    <w:p w14:paraId="57F77F40" w14:textId="77777777" w:rsidR="004945E9" w:rsidRPr="00F90EAE" w:rsidRDefault="004945E9" w:rsidP="00F90EAE">
      <w:pPr>
        <w:jc w:val="both"/>
        <w:rPr>
          <w:color w:val="000000" w:themeColor="text1"/>
          <w:sz w:val="16"/>
          <w:szCs w:val="16"/>
        </w:rPr>
      </w:pPr>
    </w:p>
    <w:p w14:paraId="4CD990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вышло Постановление ГКО № 7549 [О назначении начальником Генерального Штаба КА Антонова А.И.] (7309, 72).</w:t>
      </w:r>
    </w:p>
    <w:p w14:paraId="51806E9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720B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вышло Постановление ГКО № 7550 Об изменении состава Ставки ВГК. РГАНИР, Фонд ГКО, д. 372, лл. 73 (11012).</w:t>
      </w:r>
    </w:p>
    <w:p w14:paraId="4CE01DB5" w14:textId="77777777" w:rsidR="00665165" w:rsidRPr="00F90EAE" w:rsidRDefault="00665165" w:rsidP="00F90EAE">
      <w:pPr>
        <w:autoSpaceDE w:val="0"/>
        <w:autoSpaceDN w:val="0"/>
        <w:adjustRightInd w:val="0"/>
        <w:jc w:val="both"/>
        <w:rPr>
          <w:color w:val="000000" w:themeColor="text1"/>
          <w:sz w:val="16"/>
          <w:szCs w:val="16"/>
        </w:rPr>
      </w:pPr>
    </w:p>
    <w:p w14:paraId="4CE08EA8" w14:textId="77777777" w:rsidR="005720F5" w:rsidRPr="00F90EAE" w:rsidRDefault="005720F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г.</w:t>
      </w:r>
      <w:r w:rsidRPr="00F90EAE">
        <w:rPr>
          <w:bCs/>
          <w:color w:val="000000" w:themeColor="text1"/>
          <w:sz w:val="16"/>
          <w:szCs w:val="16"/>
        </w:rPr>
        <w:t xml:space="preserve"> ГКО утвердил Ставку в следующем составе: Верховный Главнокомандующий И.В. Сталин, начальник Генштаба генерал армии А.И. Антонов, заместитель наркома обороны генерал армии Н.А. Булганин, маршалы Г.К. Жуков и A.M. Василевский (17459).</w:t>
      </w:r>
    </w:p>
    <w:p w14:paraId="5DCD9E11" w14:textId="77777777" w:rsidR="005720F5" w:rsidRPr="00F90EAE" w:rsidRDefault="005720F5" w:rsidP="00F90EAE">
      <w:pPr>
        <w:tabs>
          <w:tab w:val="left" w:pos="11199"/>
        </w:tabs>
        <w:autoSpaceDE w:val="0"/>
        <w:autoSpaceDN w:val="0"/>
        <w:adjustRightInd w:val="0"/>
        <w:jc w:val="both"/>
        <w:rPr>
          <w:color w:val="000000" w:themeColor="text1"/>
          <w:sz w:val="16"/>
          <w:szCs w:val="16"/>
        </w:rPr>
      </w:pPr>
    </w:p>
    <w:p w14:paraId="3435E69E" w14:textId="77777777" w:rsidR="00574D94" w:rsidRPr="00F90EAE" w:rsidRDefault="00574D94"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года</w:t>
      </w:r>
      <w:r w:rsidRPr="00F90EAE">
        <w:rPr>
          <w:bCs/>
          <w:color w:val="000000" w:themeColor="text1"/>
          <w:sz w:val="16"/>
          <w:szCs w:val="16"/>
        </w:rPr>
        <w:t xml:space="preserve"> очистка Будапешта от немецких солдат полностью закончилась. Уже двумя днями ранее советское командование квалифицировало прорыв как военную операцию, которой закончилось сражение за Будапешт. В целом Красная Армия взяла в плен 22350 солдат и офицеров. К началу прорыва в распоряжении Пфеффера-Вильденбруха имелось 43900 человек. Четыре дня спустя почти все они были убиты или взяты в плен. По приблизительным подсчетам, в это время еще около 3 тысяч солдат скрывалось в горах. Немецкой линии фронта смогли достичь около 700 человек (17459).</w:t>
      </w:r>
    </w:p>
    <w:p w14:paraId="12DCF938" w14:textId="77777777" w:rsidR="00574D94" w:rsidRPr="00F90EAE" w:rsidRDefault="00574D94" w:rsidP="00F90EAE">
      <w:pPr>
        <w:tabs>
          <w:tab w:val="left" w:pos="11199"/>
        </w:tabs>
        <w:autoSpaceDE w:val="0"/>
        <w:autoSpaceDN w:val="0"/>
        <w:adjustRightInd w:val="0"/>
        <w:jc w:val="both"/>
        <w:rPr>
          <w:color w:val="000000" w:themeColor="text1"/>
          <w:sz w:val="16"/>
          <w:szCs w:val="16"/>
        </w:rPr>
      </w:pPr>
    </w:p>
    <w:p w14:paraId="4251873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17 февраля 1945 у Мурманска немецкой подлодкой потоплен английский корвет “Блюбелл” (4962).</w:t>
      </w:r>
    </w:p>
    <w:p w14:paraId="4CBC8FA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E021F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9838C7E" w14:textId="77777777" w:rsidR="00665165" w:rsidRPr="00F90EAE" w:rsidRDefault="00665165" w:rsidP="00F90EAE">
      <w:pPr>
        <w:autoSpaceDE w:val="0"/>
        <w:autoSpaceDN w:val="0"/>
        <w:adjustRightInd w:val="0"/>
        <w:jc w:val="both"/>
        <w:rPr>
          <w:iCs/>
          <w:color w:val="000000" w:themeColor="text1"/>
          <w:sz w:val="16"/>
          <w:szCs w:val="16"/>
        </w:rPr>
      </w:pPr>
    </w:p>
    <w:p w14:paraId="56B1A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февраля 1945 Решение СНК СССР об оказании помощи в восстановлении столицы Польши Варшавы (7451).</w:t>
      </w:r>
    </w:p>
    <w:p w14:paraId="790ED14E" w14:textId="77777777" w:rsidR="00665165" w:rsidRPr="00F90EAE" w:rsidRDefault="00665165" w:rsidP="00F90EAE">
      <w:pPr>
        <w:autoSpaceDE w:val="0"/>
        <w:autoSpaceDN w:val="0"/>
        <w:adjustRightInd w:val="0"/>
        <w:jc w:val="both"/>
        <w:rPr>
          <w:color w:val="000000" w:themeColor="text1"/>
          <w:sz w:val="16"/>
          <w:szCs w:val="16"/>
        </w:rPr>
      </w:pPr>
    </w:p>
    <w:p w14:paraId="4880870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5CA2FAE" w14:textId="77777777" w:rsidR="00665165" w:rsidRPr="00F90EAE" w:rsidRDefault="00665165" w:rsidP="00F90EAE">
      <w:pPr>
        <w:autoSpaceDE w:val="0"/>
        <w:autoSpaceDN w:val="0"/>
        <w:adjustRightInd w:val="0"/>
        <w:jc w:val="both"/>
        <w:rPr>
          <w:iCs/>
          <w:color w:val="000000" w:themeColor="text1"/>
          <w:sz w:val="16"/>
          <w:szCs w:val="16"/>
        </w:rPr>
      </w:pPr>
    </w:p>
    <w:p w14:paraId="3893E8E6" w14:textId="77777777" w:rsidR="000F49EC" w:rsidRPr="00F90EAE" w:rsidRDefault="000F49EC" w:rsidP="00F90EAE">
      <w:pPr>
        <w:jc w:val="both"/>
        <w:rPr>
          <w:color w:val="000000" w:themeColor="text1"/>
          <w:sz w:val="16"/>
          <w:szCs w:val="16"/>
        </w:rPr>
      </w:pPr>
      <w:r w:rsidRPr="00F90EAE">
        <w:rPr>
          <w:bCs/>
          <w:color w:val="000000" w:themeColor="text1"/>
          <w:sz w:val="16"/>
          <w:szCs w:val="16"/>
        </w:rPr>
        <w:t>17 февраля</w:t>
      </w:r>
      <w:r w:rsidRPr="00F90EAE">
        <w:rPr>
          <w:color w:val="000000" w:themeColor="text1"/>
          <w:sz w:val="16"/>
          <w:szCs w:val="16"/>
        </w:rPr>
        <w:t xml:space="preserve"> в 1945 году полетел «Hе.162-V25». Вооружение состояло из двух пушек «МК-108», предназначался для испытания вооружения. Испытания короткоствольных «МК-108» - основного вооружения «Hе.162a-1» выявили вибрацию элементов конструкции вследствие сильной отдачи. В качестве временной меры самолет перевооружили на «МG-151/20» (15043).</w:t>
      </w:r>
    </w:p>
    <w:p w14:paraId="1D5A8C5C" w14:textId="77777777" w:rsidR="000F49EC" w:rsidRPr="00F90EAE" w:rsidRDefault="000F49EC" w:rsidP="00F90EAE">
      <w:pPr>
        <w:jc w:val="both"/>
        <w:rPr>
          <w:color w:val="000000" w:themeColor="text1"/>
          <w:sz w:val="16"/>
          <w:szCs w:val="16"/>
        </w:rPr>
      </w:pPr>
    </w:p>
    <w:p w14:paraId="35C75FDE" w14:textId="77777777" w:rsidR="000F49EC" w:rsidRPr="00F90EAE" w:rsidRDefault="000F49EC" w:rsidP="00F90EAE">
      <w:pPr>
        <w:jc w:val="both"/>
        <w:rPr>
          <w:color w:val="000000" w:themeColor="text1"/>
          <w:sz w:val="16"/>
          <w:szCs w:val="16"/>
        </w:rPr>
      </w:pPr>
      <w:r w:rsidRPr="00F90EAE">
        <w:rPr>
          <w:bCs/>
          <w:color w:val="000000" w:themeColor="text1"/>
          <w:sz w:val="16"/>
          <w:szCs w:val="16"/>
        </w:rPr>
        <w:t>17 февраля</w:t>
      </w:r>
      <w:r w:rsidRPr="00F90EAE">
        <w:rPr>
          <w:color w:val="000000" w:themeColor="text1"/>
          <w:sz w:val="16"/>
          <w:szCs w:val="16"/>
        </w:rPr>
        <w:t xml:space="preserve"> в 1945 году посадку самолета </w:t>
      </w:r>
      <w:hyperlink r:id="rId37" w:tgtFrame="_blank" w:history="1">
        <w:r w:rsidRPr="00F90EAE">
          <w:rPr>
            <w:color w:val="000000" w:themeColor="text1"/>
            <w:sz w:val="16"/>
            <w:szCs w:val="16"/>
          </w:rPr>
          <w:t xml:space="preserve">«F8F-1» </w:t>
        </w:r>
      </w:hyperlink>
      <w:r w:rsidRPr="00F90EAE">
        <w:rPr>
          <w:color w:val="000000" w:themeColor="text1"/>
          <w:sz w:val="16"/>
          <w:szCs w:val="16"/>
        </w:rPr>
        <w:t>на корабль провел капитан Роберт М.Эдлер (Robert M.Edler), посадивший свой Биркэт (Bearcat) на палубу авианосца «CVE-30» "Чарджер" ("Charger") Это был последний этап испытаний и самолет прошел его успешно. Конечно, как и у всякой новой машины, у Биркэта были свои "нюансы". Так, шасси убиралось слишком быстро и с ударом. При превышении эксплуатационных ограничений по скорости наблюдался бафтинг, и чтобы погасить тряску, пилоту рекомендовалось использовать тормозные щитки на нижней поверхности крыла. Были также свои особенности реакции на "дачу" рулей (15043).</w:t>
      </w:r>
    </w:p>
    <w:p w14:paraId="3CB59533" w14:textId="77777777" w:rsidR="000F49EC" w:rsidRPr="00F90EAE" w:rsidRDefault="000F49EC" w:rsidP="00F90EAE">
      <w:pPr>
        <w:jc w:val="both"/>
        <w:rPr>
          <w:color w:val="000000" w:themeColor="text1"/>
          <w:sz w:val="16"/>
          <w:szCs w:val="16"/>
        </w:rPr>
      </w:pPr>
    </w:p>
    <w:p w14:paraId="1D299F4B" w14:textId="77777777" w:rsidR="00574D94" w:rsidRPr="00F90EAE" w:rsidRDefault="00574D94" w:rsidP="00F90EAE">
      <w:pPr>
        <w:jc w:val="both"/>
        <w:rPr>
          <w:color w:val="000000" w:themeColor="text1"/>
          <w:sz w:val="16"/>
          <w:szCs w:val="16"/>
        </w:rPr>
      </w:pPr>
      <w:r w:rsidRPr="00F90EAE">
        <w:rPr>
          <w:color w:val="000000" w:themeColor="text1"/>
          <w:sz w:val="16"/>
          <w:szCs w:val="16"/>
        </w:rPr>
        <w:t xml:space="preserve">17 февраля 1945 г. космос: ракетчики Дорнбергер и Браун эвакуируются из Пенемюнде в Баварские Альпы. </w:t>
      </w:r>
      <w:r w:rsidRPr="00F90EAE">
        <w:rPr>
          <w:bCs/>
          <w:color w:val="000000" w:themeColor="text1"/>
          <w:sz w:val="16"/>
          <w:szCs w:val="16"/>
        </w:rPr>
        <w:t>Все оборудование и документация были упакованы в ящики, на которых значился индекс «EW». В сопроводительных документах значилось, что это имущество Elektrotechnische Werke (электротехнического завода). Автомобильные колонны и железнодорожные эшелоны со специалистами, архивами и оборудованием, возглавляемые Дорнбергером и фон Брауном, покинули остров Узедом</w:t>
      </w:r>
      <w:r w:rsidRPr="00F90EAE">
        <w:rPr>
          <w:color w:val="000000" w:themeColor="text1"/>
          <w:sz w:val="16"/>
          <w:szCs w:val="16"/>
        </w:rPr>
        <w:t xml:space="preserve"> 17 февраля 1945 года. </w:t>
      </w:r>
      <w:r w:rsidRPr="00F90EAE">
        <w:rPr>
          <w:bCs/>
          <w:color w:val="000000" w:themeColor="text1"/>
          <w:sz w:val="16"/>
          <w:szCs w:val="16"/>
        </w:rPr>
        <w:t>Эвакуация производилась в район Нордхаузена, Бляйхероде, Зангерхаузена, Леестена, Витценхаузена, Ворбиса и Бад-Сакса. Основные архивы с результатами тринадцатилетних исследований и работ были спрятаны в штольнях «Миттельверка» и калийных шахтах. Основная группа руководителей Пенемюнде направилась в Баварские Альпы</w:t>
      </w:r>
      <w:r w:rsidRPr="00F90EAE">
        <w:rPr>
          <w:color w:val="000000" w:themeColor="text1"/>
          <w:sz w:val="16"/>
          <w:szCs w:val="16"/>
        </w:rPr>
        <w:t xml:space="preserve"> (17459).</w:t>
      </w:r>
    </w:p>
    <w:p w14:paraId="60D0CAF3" w14:textId="77777777" w:rsidR="00574D94" w:rsidRPr="00F90EAE" w:rsidRDefault="00574D94" w:rsidP="00F90EAE">
      <w:pPr>
        <w:jc w:val="both"/>
        <w:rPr>
          <w:color w:val="000000" w:themeColor="text1"/>
          <w:sz w:val="16"/>
          <w:szCs w:val="16"/>
        </w:rPr>
      </w:pPr>
    </w:p>
    <w:p w14:paraId="4506A9C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у Триеста английской авиацией потоплены итальянские линкоры “Граф Кавур” и “Имперо” (4962).</w:t>
      </w:r>
    </w:p>
    <w:p w14:paraId="2BAC783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28D6513"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17 февраля 1945 г. на курортный город Карловы Вары американцы сбросили 55 тонн зажигательных и 170 тонн фугасных бомб (19083).</w:t>
      </w:r>
    </w:p>
    <w:p w14:paraId="556B441F"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p>
    <w:p w14:paraId="0F21384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февраля 1945 в Каире на банкете в честь короля Саудовской Аравии английский премьер У. Черчилль случайно выпил жидкость для сексуальной стимуляции (4962).</w:t>
      </w:r>
    </w:p>
    <w:p w14:paraId="087895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0068BF" w14:textId="77777777" w:rsidR="000F49EC" w:rsidRPr="00F90EAE" w:rsidRDefault="000F49EC" w:rsidP="00F90EAE">
      <w:pPr>
        <w:jc w:val="both"/>
        <w:rPr>
          <w:color w:val="000000" w:themeColor="text1"/>
          <w:sz w:val="16"/>
          <w:szCs w:val="16"/>
        </w:rPr>
      </w:pPr>
      <w:r w:rsidRPr="00F90EAE">
        <w:rPr>
          <w:bCs/>
          <w:color w:val="000000" w:themeColor="text1"/>
          <w:sz w:val="16"/>
          <w:szCs w:val="16"/>
        </w:rPr>
        <w:t>17 февраля</w:t>
      </w:r>
      <w:r w:rsidRPr="00F90EAE">
        <w:rPr>
          <w:color w:val="000000" w:themeColor="text1"/>
          <w:sz w:val="16"/>
          <w:szCs w:val="16"/>
        </w:rPr>
        <w:t xml:space="preserve"> в 1945 году во время Второй Мировой войны американские войска окружили группировку немецко-фашистских войск в районе Уффализа (15043).</w:t>
      </w:r>
    </w:p>
    <w:p w14:paraId="4BBF2919" w14:textId="77777777" w:rsidR="000F49EC" w:rsidRPr="00F90EAE" w:rsidRDefault="000F49EC" w:rsidP="00F90EAE">
      <w:pPr>
        <w:jc w:val="both"/>
        <w:rPr>
          <w:color w:val="000000" w:themeColor="text1"/>
          <w:sz w:val="16"/>
          <w:szCs w:val="16"/>
        </w:rPr>
      </w:pPr>
    </w:p>
    <w:p w14:paraId="7F98896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9DB649F" w14:textId="77777777" w:rsidR="00665165" w:rsidRPr="00F90EAE" w:rsidRDefault="00665165" w:rsidP="00F90EAE">
      <w:pPr>
        <w:autoSpaceDE w:val="0"/>
        <w:autoSpaceDN w:val="0"/>
        <w:adjustRightInd w:val="0"/>
        <w:jc w:val="both"/>
        <w:rPr>
          <w:iCs/>
          <w:color w:val="000000" w:themeColor="text1"/>
          <w:sz w:val="16"/>
          <w:szCs w:val="16"/>
        </w:rPr>
      </w:pPr>
    </w:p>
    <w:p w14:paraId="10AFF0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л Г.И.Комаров выполнил первый полет на Су-6 АШ-82ФН 2ТК-3 с ЖРД РД-1 В.П.Глушко - Су-7 без включения ЖРД (3808,85).</w:t>
      </w:r>
    </w:p>
    <w:p w14:paraId="48AAE01A" w14:textId="77777777" w:rsidR="00665165" w:rsidRPr="00F90EAE" w:rsidRDefault="00665165" w:rsidP="00F90EAE">
      <w:pPr>
        <w:autoSpaceDE w:val="0"/>
        <w:autoSpaceDN w:val="0"/>
        <w:adjustRightInd w:val="0"/>
        <w:jc w:val="both"/>
        <w:rPr>
          <w:color w:val="000000" w:themeColor="text1"/>
          <w:sz w:val="16"/>
          <w:szCs w:val="16"/>
        </w:rPr>
      </w:pPr>
    </w:p>
    <w:p w14:paraId="5E643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февраля 1945 начались летные испытания РД-1 на Су-7, про</w:t>
      </w:r>
      <w:r w:rsidRPr="00F90EAE">
        <w:rPr>
          <w:color w:val="000000" w:themeColor="text1"/>
          <w:sz w:val="16"/>
          <w:szCs w:val="16"/>
        </w:rPr>
        <w:softHyphen/>
        <w:t>должавшиеся с небольшими переры</w:t>
      </w:r>
      <w:r w:rsidRPr="00F90EAE">
        <w:rPr>
          <w:color w:val="000000" w:themeColor="text1"/>
          <w:sz w:val="16"/>
          <w:szCs w:val="16"/>
        </w:rPr>
        <w:softHyphen/>
        <w:t>вами до 23 марта. В этот день в поле</w:t>
      </w:r>
      <w:r w:rsidRPr="00F90EAE">
        <w:rPr>
          <w:color w:val="000000" w:themeColor="text1"/>
          <w:sz w:val="16"/>
          <w:szCs w:val="16"/>
        </w:rPr>
        <w:softHyphen/>
        <w:t>те при повторном включении РД-1 в воздухе произошел взрыв, вызвавший незначительные повреждения хвосто</w:t>
      </w:r>
      <w:r w:rsidRPr="00F90EAE">
        <w:rPr>
          <w:color w:val="000000" w:themeColor="text1"/>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F90EAE">
        <w:rPr>
          <w:color w:val="000000" w:themeColor="text1"/>
          <w:sz w:val="16"/>
          <w:szCs w:val="16"/>
        </w:rPr>
        <w:softHyphen/>
        <w:t>кома А.С.Яковлева, была назначена комиссия, которая установила, что пос</w:t>
      </w:r>
      <w:r w:rsidRPr="00F90EAE">
        <w:rPr>
          <w:color w:val="000000" w:themeColor="text1"/>
          <w:sz w:val="16"/>
          <w:szCs w:val="16"/>
        </w:rPr>
        <w:softHyphen/>
        <w:t>ле неудавшегося высотного запуска при повторной попытке произвести его про</w:t>
      </w:r>
      <w:r w:rsidRPr="00F90EAE">
        <w:rPr>
          <w:color w:val="000000" w:themeColor="text1"/>
          <w:sz w:val="16"/>
          <w:szCs w:val="16"/>
        </w:rPr>
        <w:softHyphen/>
        <w:t>изошел взрыв. Его причиной послужи</w:t>
      </w:r>
      <w:r w:rsidRPr="00F90EAE">
        <w:rPr>
          <w:color w:val="000000" w:themeColor="text1"/>
          <w:sz w:val="16"/>
          <w:szCs w:val="16"/>
        </w:rPr>
        <w:softHyphen/>
        <w:t>ла ненадежная работа системы эфиро-воздушного зажигания со свечой накаливания. Ввиду неудовлетворительной рабо</w:t>
      </w:r>
      <w:r w:rsidRPr="00F90EAE">
        <w:rPr>
          <w:color w:val="000000" w:themeColor="text1"/>
          <w:sz w:val="16"/>
          <w:szCs w:val="16"/>
        </w:rPr>
        <w:softHyphen/>
        <w:t>ты системы зажигания двигателя РД-1 ОКБ-СД завода №16 разработало модификацию двигателя. Вместо пре</w:t>
      </w:r>
      <w:r w:rsidRPr="00F90EAE">
        <w:rPr>
          <w:color w:val="000000" w:themeColor="text1"/>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F90EAE">
        <w:rPr>
          <w:color w:val="000000" w:themeColor="text1"/>
          <w:sz w:val="16"/>
          <w:szCs w:val="16"/>
        </w:rPr>
        <w:softHyphen/>
        <w:t>чество пусковых форсунок. Модифика</w:t>
      </w:r>
      <w:r w:rsidRPr="00F90EAE">
        <w:rPr>
          <w:color w:val="000000" w:themeColor="text1"/>
          <w:sz w:val="16"/>
          <w:szCs w:val="16"/>
        </w:rPr>
        <w:softHyphen/>
        <w:t>ция двигателя получила обозначение РД-1ХЗ (химический запуск). Пусковые свойства модифицированного двигате</w:t>
      </w:r>
      <w:r w:rsidRPr="00F90EAE">
        <w:rPr>
          <w:color w:val="000000" w:themeColor="text1"/>
          <w:sz w:val="16"/>
          <w:szCs w:val="16"/>
        </w:rPr>
        <w:softHyphen/>
        <w:t>ля стали значительно лучше, но все же было несколько случаев взрывов дви</w:t>
      </w:r>
      <w:r w:rsidRPr="00F90EAE">
        <w:rPr>
          <w:color w:val="000000" w:themeColor="text1"/>
          <w:sz w:val="16"/>
          <w:szCs w:val="16"/>
        </w:rPr>
        <w:softHyphen/>
        <w:t>гателей на стенде, а также отмечалась вибрация двигателя при переходе с одного режима работы на другой (10668).</w:t>
      </w:r>
    </w:p>
    <w:p w14:paraId="44D425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AAC3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февраля 1945 приступили ко второму этапу испытаний Су-7. Он продолжался до сере</w:t>
      </w:r>
      <w:r w:rsidRPr="00F90EAE">
        <w:rPr>
          <w:color w:val="000000" w:themeColor="text1"/>
          <w:sz w:val="16"/>
          <w:szCs w:val="16"/>
        </w:rPr>
        <w:softHyphen/>
        <w:t>дины декабря. Испытания выявили нена</w:t>
      </w:r>
      <w:r w:rsidRPr="00F90EAE">
        <w:rPr>
          <w:color w:val="000000" w:themeColor="text1"/>
          <w:sz w:val="16"/>
          <w:szCs w:val="16"/>
        </w:rPr>
        <w:softHyphen/>
        <w:t>дежность двигателей РД-1 и небезопас</w:t>
      </w:r>
      <w:r w:rsidRPr="00F90EAE">
        <w:rPr>
          <w:color w:val="000000" w:themeColor="text1"/>
          <w:sz w:val="16"/>
          <w:szCs w:val="16"/>
        </w:rPr>
        <w:softHyphen/>
        <w:t>ность их эксплуатации (10719).</w:t>
      </w:r>
    </w:p>
    <w:p w14:paraId="4712F1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CD72D12" w14:textId="77777777" w:rsidR="008C396C" w:rsidRPr="00F90EAE" w:rsidRDefault="008C396C" w:rsidP="00F90EAE">
      <w:pPr>
        <w:shd w:val="clear" w:color="auto" w:fill="FFFFFF"/>
        <w:jc w:val="both"/>
        <w:rPr>
          <w:color w:val="000000" w:themeColor="text1"/>
          <w:sz w:val="16"/>
          <w:szCs w:val="16"/>
        </w:rPr>
      </w:pPr>
      <w:r w:rsidRPr="00F90EAE">
        <w:rPr>
          <w:color w:val="000000" w:themeColor="text1"/>
          <w:sz w:val="16"/>
          <w:szCs w:val="16"/>
        </w:rPr>
        <w:t>18 февраля 1945 были начаты летные испытания самолета Су-7 с РД-1, которые продолжались с небольшими перерывами до 23 марта. В этот день в полете при повторном включении РД-1 в воздухе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5E8D293" w14:textId="77777777" w:rsidR="008C396C" w:rsidRPr="00F90EAE" w:rsidRDefault="008C396C" w:rsidP="00F90EAE">
      <w:pPr>
        <w:shd w:val="clear" w:color="auto" w:fill="FFFFFF"/>
        <w:jc w:val="both"/>
        <w:rPr>
          <w:color w:val="000000" w:themeColor="text1"/>
          <w:sz w:val="16"/>
          <w:szCs w:val="16"/>
        </w:rPr>
      </w:pPr>
      <w:r w:rsidRPr="00F90EAE">
        <w:rPr>
          <w:color w:val="000000" w:themeColor="text1"/>
          <w:sz w:val="16"/>
          <w:szCs w:val="16"/>
        </w:rPr>
        <w:t>Для установления причин аварии самолета по приказу за местителя Наркома А.С. Яковлева была назначена комиссия.</w:t>
      </w:r>
    </w:p>
    <w:p w14:paraId="6FE30C5E" w14:textId="77777777" w:rsidR="008C396C" w:rsidRPr="00F90EAE" w:rsidRDefault="008C396C" w:rsidP="00F90EAE">
      <w:pPr>
        <w:shd w:val="clear" w:color="auto" w:fill="FFFFFF"/>
        <w:jc w:val="both"/>
        <w:rPr>
          <w:color w:val="000000" w:themeColor="text1"/>
          <w:sz w:val="16"/>
          <w:szCs w:val="16"/>
        </w:rPr>
      </w:pPr>
      <w:r w:rsidRPr="00F90EAE">
        <w:rPr>
          <w:color w:val="000000" w:themeColor="text1"/>
          <w:sz w:val="16"/>
          <w:szCs w:val="16"/>
        </w:rPr>
        <w:t>Было установлено, что после неудавшегося высотного запуска при повторной попытке произвести его произошел взрыв. При чиной взрыва послужила ненадежная работа системы эфиро воздушного зажигания со свечой накаливания (19586).</w:t>
      </w:r>
    </w:p>
    <w:p w14:paraId="745E707A" w14:textId="77777777" w:rsidR="008C396C" w:rsidRPr="00F90EAE" w:rsidRDefault="008C396C" w:rsidP="00F90EAE">
      <w:pPr>
        <w:shd w:val="clear" w:color="auto" w:fill="FFFFFF"/>
        <w:jc w:val="both"/>
        <w:rPr>
          <w:color w:val="000000" w:themeColor="text1"/>
          <w:sz w:val="16"/>
          <w:szCs w:val="16"/>
        </w:rPr>
      </w:pPr>
    </w:p>
    <w:p w14:paraId="660DD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опробовали с винтом ВИШ-105ТЛ-2, при этом была достигнута высота 9000 метров, но из-за падения давления бензина до нуля полет пришлось прекратить.</w:t>
      </w:r>
    </w:p>
    <w:p w14:paraId="3CB43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67A5A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следующий день М.И. Иванов перегнал самолет в Летно-исследовательский институт для дальнейших испытаний и доводки, которая затянулась до 5 мая 1945 года.</w:t>
      </w:r>
    </w:p>
    <w:p w14:paraId="58DBE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06836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791DEC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C013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25584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6D7DA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1F94120" w14:textId="77777777" w:rsidR="00665165" w:rsidRPr="00F90EAE" w:rsidRDefault="00665165" w:rsidP="00F90EAE">
      <w:pPr>
        <w:autoSpaceDE w:val="0"/>
        <w:autoSpaceDN w:val="0"/>
        <w:adjustRightInd w:val="0"/>
        <w:jc w:val="both"/>
        <w:rPr>
          <w:color w:val="000000" w:themeColor="text1"/>
          <w:sz w:val="16"/>
          <w:szCs w:val="16"/>
        </w:rPr>
      </w:pPr>
    </w:p>
    <w:p w14:paraId="32445652" w14:textId="77777777" w:rsidR="000F49EC" w:rsidRPr="00F90EAE" w:rsidRDefault="000F49EC" w:rsidP="00F90EAE">
      <w:pPr>
        <w:jc w:val="both"/>
        <w:rPr>
          <w:color w:val="000000" w:themeColor="text1"/>
          <w:sz w:val="16"/>
          <w:szCs w:val="16"/>
        </w:rPr>
      </w:pPr>
      <w:r w:rsidRPr="00F90EAE">
        <w:rPr>
          <w:bCs/>
          <w:color w:val="000000" w:themeColor="text1"/>
          <w:sz w:val="16"/>
          <w:szCs w:val="16"/>
        </w:rPr>
        <w:lastRenderedPageBreak/>
        <w:t>18 февраля</w:t>
      </w:r>
      <w:r w:rsidRPr="00F90EAE">
        <w:rPr>
          <w:color w:val="000000" w:themeColor="text1"/>
          <w:sz w:val="16"/>
          <w:szCs w:val="16"/>
        </w:rPr>
        <w:t xml:space="preserve"> в 1945 году на Центральном аэродроме летчик М.И.Иванов испытал ВМГ модифицированного истребителя «Як-З» N36-20 с винтом «Л-2 в двух непродолжительных полетах. Двигатель давал перебои. 19 февраля М.И.Иванов перегнал самолет в ЛИИ для дальнейших испытаний и доводки. С 20 февраля по 5 мая 1945 г. </w:t>
      </w:r>
      <w:hyperlink r:id="rId38" w:tgtFrame="_blank" w:history="1">
        <w:r w:rsidRPr="00F90EAE">
          <w:rPr>
            <w:color w:val="000000" w:themeColor="text1"/>
            <w:sz w:val="16"/>
            <w:szCs w:val="16"/>
          </w:rPr>
          <w:t xml:space="preserve">«Як-ЗПД» </w:t>
        </w:r>
      </w:hyperlink>
      <w:r w:rsidRPr="00F90EAE">
        <w:rPr>
          <w:color w:val="000000" w:themeColor="text1"/>
          <w:sz w:val="16"/>
          <w:szCs w:val="16"/>
        </w:rPr>
        <w:t>с двигателем «ВК-105ПД N1012-43» завода N466 с двухступенчатым нагнетателем «Э-100» (передаточное число 9,72) проходил летные испытания и доводку в ЛИИ (15044).</w:t>
      </w:r>
    </w:p>
    <w:p w14:paraId="02B05EA3" w14:textId="77777777" w:rsidR="000F49EC" w:rsidRPr="00F90EAE" w:rsidRDefault="000F49EC" w:rsidP="00F90EAE">
      <w:pPr>
        <w:jc w:val="both"/>
        <w:rPr>
          <w:color w:val="000000" w:themeColor="text1"/>
          <w:sz w:val="16"/>
          <w:szCs w:val="16"/>
        </w:rPr>
      </w:pPr>
    </w:p>
    <w:p w14:paraId="432B34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c удовлетворительной оценкой закончились гос. испытания однокамерный ЖРД РД-2М Л.С.Душкина, которые начались с 23 января 1945. тяга была 1450 кг взлетная и 1170 номинальная. Ресурс - 41 мин. по камере (2928,88).</w:t>
      </w:r>
    </w:p>
    <w:p w14:paraId="6B8385A8" w14:textId="77777777" w:rsidR="00665165" w:rsidRPr="00F90EAE" w:rsidRDefault="00665165" w:rsidP="00F90EAE">
      <w:pPr>
        <w:autoSpaceDE w:val="0"/>
        <w:autoSpaceDN w:val="0"/>
        <w:adjustRightInd w:val="0"/>
        <w:jc w:val="both"/>
        <w:rPr>
          <w:color w:val="000000" w:themeColor="text1"/>
          <w:sz w:val="16"/>
          <w:szCs w:val="16"/>
        </w:rPr>
      </w:pPr>
    </w:p>
    <w:p w14:paraId="2FAB7A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были завершены все заводские работы по двухкамерному ЖРД Л.С.Душкина РД-2М3Ц (2928,98).</w:t>
      </w:r>
    </w:p>
    <w:p w14:paraId="608C9BC0" w14:textId="77777777" w:rsidR="00665165" w:rsidRPr="00F90EAE" w:rsidRDefault="00665165" w:rsidP="00F90EAE">
      <w:pPr>
        <w:autoSpaceDE w:val="0"/>
        <w:autoSpaceDN w:val="0"/>
        <w:adjustRightInd w:val="0"/>
        <w:jc w:val="both"/>
        <w:rPr>
          <w:color w:val="000000" w:themeColor="text1"/>
          <w:sz w:val="16"/>
          <w:szCs w:val="16"/>
        </w:rPr>
      </w:pPr>
    </w:p>
    <w:p w14:paraId="0D3FFB1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A90F2ED" w14:textId="77777777" w:rsidR="00665165" w:rsidRPr="00F90EAE" w:rsidRDefault="00665165" w:rsidP="00F90EAE">
      <w:pPr>
        <w:autoSpaceDE w:val="0"/>
        <w:autoSpaceDN w:val="0"/>
        <w:adjustRightInd w:val="0"/>
        <w:jc w:val="both"/>
        <w:rPr>
          <w:iCs/>
          <w:color w:val="000000" w:themeColor="text1"/>
          <w:sz w:val="16"/>
          <w:szCs w:val="16"/>
        </w:rPr>
      </w:pPr>
    </w:p>
    <w:p w14:paraId="55C470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февраля 1945 г. был подготовлен ОТЗЫВ В УСА ГБТУ КА О БОЕВОМ ИСПОЛЬЗОВАНИИ САМОХОДНЫХ АРТУСТАНОВОК СУ-100 НА 3-м УКРАИНСКОМ ФРОНТЕ</w:t>
      </w:r>
    </w:p>
    <w:p w14:paraId="6C102E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Боевое применение СУ-100.</w:t>
      </w:r>
    </w:p>
    <w:p w14:paraId="43D157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СУ-100 является новым средством борьбы с танками противника. В боевом применении они показали себя как самые эффективные средства против тяжелых танков.</w:t>
      </w:r>
    </w:p>
    <w:p w14:paraId="511A60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мощности огня СУ-100 намного превосходят СУ-85. СУ-100 прямым попаданием с дистанции 1500 м выводит из строя тяжелые танки противника, а при фланговом огне — с дистанции 2000 м.</w:t>
      </w:r>
    </w:p>
    <w:p w14:paraId="7BEE1E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наступлении СУ-100 выгодно использовать для сопровождения танков.</w:t>
      </w:r>
    </w:p>
    <w:p w14:paraId="7915F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обороне СУ-100 выгодно располагать на танкоопасных направлениях и, кроме того, исполь</w:t>
      </w:r>
      <w:r w:rsidRPr="00F90EAE">
        <w:rPr>
          <w:color w:val="000000" w:themeColor="text1"/>
          <w:sz w:val="16"/>
          <w:szCs w:val="16"/>
        </w:rPr>
        <w:softHyphen/>
        <w:t>зовать их как подвижный противотанковый резерв. Ведение огня, как правило, прямой наводкой с места или с коротких остановок.</w:t>
      </w:r>
    </w:p>
    <w:p w14:paraId="5B40C2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видах боя СУ-100 должны прикрываться танками и пехотой.</w:t>
      </w:r>
    </w:p>
    <w:p w14:paraId="5E636E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Эффективность введенных конструктивных изменений СУ-100 по сравнению с СУ-85.</w:t>
      </w:r>
    </w:p>
    <w:p w14:paraId="27925B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Броня СУ-100 более устойчива, чем СУ-85. Но в ней имеются следующие недостатки:</w:t>
      </w:r>
    </w:p>
    <w:p w14:paraId="34C81A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Есть случаи, когда от сильных ударов снарядов лопаются крепежные болты и даже элект</w:t>
      </w:r>
      <w:r w:rsidRPr="00F90EAE">
        <w:rPr>
          <w:color w:val="000000" w:themeColor="text1"/>
          <w:sz w:val="16"/>
          <w:szCs w:val="16"/>
        </w:rPr>
        <w:softHyphen/>
        <w:t>росварка. Также, от ударов снарядов мелкие частицы стали, отламываясь от стенок, поражают экипажи.</w:t>
      </w:r>
    </w:p>
    <w:p w14:paraId="7BAFD1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Ходовая часть в практической работе разницы с СУ-85 не имеет. Как у СУ-100, так и у СУ-85 на третьем катке иногда спадают бандажи.</w:t>
      </w:r>
    </w:p>
    <w:p w14:paraId="2317C2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Боевое отделение отличается от СУ-85 в лучшую сторону тем, что имеет командирскую башню. Это дает возможность вести круговой обзор и наблюдение за полем боя.</w:t>
      </w:r>
    </w:p>
    <w:p w14:paraId="618529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Сравнительные данные по проходимости и взятию препятствий СУ-100 и СУ-85.</w:t>
      </w:r>
    </w:p>
    <w:p w14:paraId="4C8BBD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СУ-100 и СУ-85 по проходимости существенной разницы не имеют. СУ-100 с небольшим увели</w:t>
      </w:r>
      <w:r w:rsidRPr="00F90EAE">
        <w:rPr>
          <w:color w:val="000000" w:themeColor="text1"/>
          <w:sz w:val="16"/>
          <w:szCs w:val="16"/>
        </w:rPr>
        <w:softHyphen/>
        <w:t>чением веса не потеряла маневренности. Наличие длинного ствола у СУ-100 несколько ограничивает взятие препятствий, что нужно учитывать при подготовке механиков-водителей.</w:t>
      </w:r>
    </w:p>
    <w:p w14:paraId="280168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Удобство работы экипажа.</w:t>
      </w:r>
    </w:p>
    <w:p w14:paraId="591A07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сравнению с СУ-85 существенной разницы нет. Уменьшилось место работы экипажа в связи с увеличением габарита пушки. Это небольшое изменение несколько сказывается на быстроте рабо</w:t>
      </w:r>
      <w:r w:rsidRPr="00F90EAE">
        <w:rPr>
          <w:color w:val="000000" w:themeColor="text1"/>
          <w:sz w:val="16"/>
          <w:szCs w:val="16"/>
        </w:rPr>
        <w:softHyphen/>
        <w:t>ты экипажа.</w:t>
      </w:r>
    </w:p>
    <w:p w14:paraId="56B196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Практическая скорострельность пушки.</w:t>
      </w:r>
    </w:p>
    <w:p w14:paraId="75DD32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Практическая скорострельность СУ-100 в минуту — 4-5 выстрелов, а СУ-85 — 7-8 выстрелов. Скорострельность уменьшается за счет увеличения веса снаряда.</w:t>
      </w:r>
    </w:p>
    <w:p w14:paraId="41D5BD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Работа подъемного и поворотного механизмов пушки.</w:t>
      </w:r>
    </w:p>
    <w:p w14:paraId="3FCCA6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Подъемный и поворотный механизмы СУ-100 работают несколько туго. Это зависит от малого габарита маховика и от грубой обработки деталей. Кроме того, медленно поворачивается орудие. Кронштейн, на котором монтируется подъемный и поворотный механизмы, в местах его сварки к раме иногда дает трещину. Были случаи отрыва кронштейна совсем.</w:t>
      </w:r>
    </w:p>
    <w:p w14:paraId="292A4F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Размещение и крепление боеукладок.</w:t>
      </w:r>
    </w:p>
    <w:p w14:paraId="57329B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Размещение боеукладок в СУ-100 удобно тем, что оно находится с левой стороны. Крепление их прочнее.</w:t>
      </w:r>
    </w:p>
    <w:p w14:paraId="4B801C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Надежность монтажа и удобство пользования прицельным приспособлением.</w:t>
      </w:r>
    </w:p>
    <w:p w14:paraId="0CD423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расположению монтаж прицельного приспособления удобный, сам прицел ТШ-19 в светоси</w:t>
      </w:r>
      <w:r w:rsidRPr="00F90EAE">
        <w:rPr>
          <w:color w:val="000000" w:themeColor="text1"/>
          <w:sz w:val="16"/>
          <w:szCs w:val="16"/>
        </w:rPr>
        <w:softHyphen/>
        <w:t>ле слаб. Отверстие в бронемаске для полезрения грубо обработано. Оптика от удара снаряда в броню иногда нарушается и выходит из строя.</w:t>
      </w:r>
    </w:p>
    <w:p w14:paraId="4155E9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Стойкость брони против разных видов артиллерии и качество брони.</w:t>
      </w:r>
    </w:p>
    <w:p w14:paraId="17E086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Лобовая часть брони СУ-100 для легкой и средней артиллерии неуязвима. Тяжелые танки и артиллерия 88-мм лобовую часть на близких дистанциях пробивает (1000 м и ближе). В броне есть такой недостаток, что при ударе снаряда от внутренней части брони отскакивают мелкие осколки (хрупкость брони), которые поражают экипаж.</w:t>
      </w:r>
    </w:p>
    <w:p w14:paraId="1B8634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Удобство обзорности из машины для командира установки, наводчика и механика-водителя, В коV^андирской башне смотровые приборы не совершенны, особенно плохой вертикальный обзор. Для наводчика и механика-водителя обзорность вполне удовлетворительная.</w:t>
      </w:r>
    </w:p>
    <w:p w14:paraId="0693E3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Основные неисправности и дефекты СУ-100, встречающиеся во время боевой эксплуатации. Кроме вышеперечисленных неисправностей и дефектов, замечено следующее: После пробега 400-500 км выходит из строя подшипник каретки первой и задней передачи. Отмечено несколько случаев выхода из строя масляных трубок зимней смазки. В работе иногда отка</w:t>
      </w:r>
      <w:r w:rsidRPr="00F90EAE">
        <w:rPr>
          <w:color w:val="000000" w:themeColor="text1"/>
          <w:sz w:val="16"/>
          <w:szCs w:val="16"/>
        </w:rPr>
        <w:softHyphen/>
        <w:t>зывают подъемный и поворотный механизмы, а также открывающий механизм затвора.</w:t>
      </w:r>
    </w:p>
    <w:p w14:paraId="728E47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Предложения по улучшению боевых и эксплуатационных качеств СУ-100</w:t>
      </w:r>
    </w:p>
    <w:p w14:paraId="5760D0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Вследствие недостаточного обзора для механика водителя на правую гусеницу (что затрудняет работу при маршах) необходимо поставить зеркало.</w:t>
      </w:r>
    </w:p>
    <w:p w14:paraId="383631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Повернуть буксирные крюки на 180°, усилить их стопора и троса.</w:t>
      </w:r>
    </w:p>
    <w:p w14:paraId="122107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Для уменьшения отката поставить на ствол дульный тормоз.</w:t>
      </w:r>
    </w:p>
    <w:p w14:paraId="1837C8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Увеличить радиус маховиков подъемного и поворотного механизмов.</w:t>
      </w:r>
    </w:p>
    <w:p w14:paraId="2F19BC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С целью уменьшения не просматриваемого пространства около СУ поднять перископ коман</w:t>
      </w:r>
      <w:r w:rsidRPr="00F90EAE">
        <w:rPr>
          <w:color w:val="000000" w:themeColor="text1"/>
          <w:sz w:val="16"/>
          <w:szCs w:val="16"/>
        </w:rPr>
        <w:softHyphen/>
        <w:t>дирской башни на 7-8 см.</w:t>
      </w:r>
    </w:p>
    <w:p w14:paraId="0958FB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Крышку люка командирской башни сделать сплошную (как у Т-34).</w:t>
      </w:r>
    </w:p>
    <w:p w14:paraId="35B687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Усилить подвеску передних катков для увеличения проходимости СУ-100 через препятствия.</w:t>
      </w:r>
    </w:p>
    <w:p w14:paraId="3674F2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Установить по одному буксирному крюку на бортах для вытягивания перевернутой машины.</w:t>
      </w:r>
    </w:p>
    <w:p w14:paraId="3F7E62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Установить на СУ-100 пулемет.</w:t>
      </w:r>
    </w:p>
    <w:p w14:paraId="6EA165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Выводы</w:t>
      </w:r>
    </w:p>
    <w:p w14:paraId="40C7A7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Опыт боевого применения СУ-100 показал, что СУ-100 являются самым эффективным средством борь</w:t>
      </w:r>
      <w:r w:rsidRPr="00F90EAE">
        <w:rPr>
          <w:color w:val="000000" w:themeColor="text1"/>
          <w:sz w:val="16"/>
          <w:szCs w:val="16"/>
        </w:rPr>
        <w:softHyphen/>
        <w:t>бы с тяжелыми танками противника. Наличие пушки СУ-100 значительно увеличило огневую мощь и про</w:t>
      </w:r>
      <w:r w:rsidRPr="00F90EAE">
        <w:rPr>
          <w:color w:val="000000" w:themeColor="text1"/>
          <w:sz w:val="16"/>
          <w:szCs w:val="16"/>
        </w:rPr>
        <w:softHyphen/>
        <w:t>бивную способность по сравнению с СУ-85. С включением СУ-100 в танковые и механизированные корпуса значительно увеличится их ударная сила, а также обороноспособность против танков противника.</w:t>
      </w:r>
    </w:p>
    <w:p w14:paraId="46783F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3 Украинского фронта генерал-майор танковых войск Павелкин</w:t>
      </w:r>
    </w:p>
    <w:p w14:paraId="0E3994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3 УФ по артиллерии генерал-майор артиллерии Гундорин</w:t>
      </w:r>
    </w:p>
    <w:p w14:paraId="520218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11369. Д. 507. Л. 62-64. Подлинник (11420).</w:t>
      </w:r>
    </w:p>
    <w:p w14:paraId="3578ED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B38525E" w14:textId="77777777" w:rsidR="000F49EC" w:rsidRPr="00F90EAE" w:rsidRDefault="000F49EC" w:rsidP="00F90EAE">
      <w:pPr>
        <w:jc w:val="both"/>
        <w:rPr>
          <w:color w:val="000000" w:themeColor="text1"/>
          <w:sz w:val="16"/>
          <w:szCs w:val="16"/>
        </w:rPr>
      </w:pPr>
      <w:r w:rsidRPr="00F90EAE">
        <w:rPr>
          <w:bCs/>
          <w:color w:val="000000" w:themeColor="text1"/>
          <w:sz w:val="16"/>
          <w:szCs w:val="16"/>
        </w:rPr>
        <w:t>18 февраля</w:t>
      </w:r>
      <w:r w:rsidRPr="00F90EAE">
        <w:rPr>
          <w:color w:val="000000" w:themeColor="text1"/>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(15044).</w:t>
      </w:r>
    </w:p>
    <w:p w14:paraId="3ABCEB11" w14:textId="77777777" w:rsidR="000F49EC" w:rsidRPr="00F90EAE" w:rsidRDefault="000F49EC" w:rsidP="00F90EAE">
      <w:pPr>
        <w:jc w:val="both"/>
        <w:rPr>
          <w:color w:val="000000" w:themeColor="text1"/>
          <w:sz w:val="16"/>
          <w:szCs w:val="16"/>
        </w:rPr>
      </w:pPr>
    </w:p>
    <w:p w14:paraId="7C92BC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7551. О мерах по вводу в действие импортных гидравлических прессов и пневмогидравлических аккумуляторных станций на заводах НКБ. РГАНИР, Фонд ГКО, д. 372, лл. 74-78, 79-80 (11012).</w:t>
      </w:r>
    </w:p>
    <w:p w14:paraId="24440BA5" w14:textId="77777777" w:rsidR="00665165" w:rsidRPr="00F90EAE" w:rsidRDefault="00665165" w:rsidP="00F90EAE">
      <w:pPr>
        <w:autoSpaceDE w:val="0"/>
        <w:autoSpaceDN w:val="0"/>
        <w:adjustRightInd w:val="0"/>
        <w:jc w:val="both"/>
        <w:rPr>
          <w:color w:val="000000" w:themeColor="text1"/>
          <w:sz w:val="16"/>
          <w:szCs w:val="16"/>
        </w:rPr>
      </w:pPr>
    </w:p>
    <w:p w14:paraId="617F8E4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7552 [О мерах по обеспечению потребности НКПС в смазочных маслах в I кв. 1945 г.] (7309, 81-82).</w:t>
      </w:r>
    </w:p>
    <w:p w14:paraId="75825C1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513A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7553. О мерах выполнения плана поставки пороховым заводам НКБ линтера-сырца и хлопкового волокна в I кв. 1945 г. РГАНИР, Фонд ГКО, д. 372, лл. 83, 84 (11012).</w:t>
      </w:r>
    </w:p>
    <w:p w14:paraId="7D4C8D69" w14:textId="77777777" w:rsidR="00665165" w:rsidRPr="00F90EAE" w:rsidRDefault="00665165" w:rsidP="00F90EAE">
      <w:pPr>
        <w:autoSpaceDE w:val="0"/>
        <w:autoSpaceDN w:val="0"/>
        <w:adjustRightInd w:val="0"/>
        <w:jc w:val="both"/>
        <w:rPr>
          <w:color w:val="000000" w:themeColor="text1"/>
          <w:sz w:val="16"/>
          <w:szCs w:val="16"/>
        </w:rPr>
      </w:pPr>
    </w:p>
    <w:p w14:paraId="7CDA01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18 февраля 1945 вышло Постановление ГКО № 7554 О неотложной помощи по поставке нефтепродуктов заводам Наркомтанкопрома. РГАНИР, Фонд ГКО, д. 372, лл. 85-86 (11012).</w:t>
      </w:r>
    </w:p>
    <w:p w14:paraId="528073AA" w14:textId="77777777" w:rsidR="00665165" w:rsidRPr="00F90EAE" w:rsidRDefault="00665165" w:rsidP="00F90EAE">
      <w:pPr>
        <w:autoSpaceDE w:val="0"/>
        <w:autoSpaceDN w:val="0"/>
        <w:adjustRightInd w:val="0"/>
        <w:jc w:val="both"/>
        <w:rPr>
          <w:color w:val="000000" w:themeColor="text1"/>
          <w:sz w:val="16"/>
          <w:szCs w:val="16"/>
        </w:rPr>
      </w:pPr>
    </w:p>
    <w:p w14:paraId="24E224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7555. О производстве деталей для трубопрокатных станов НКЧМ. РГАНИР, Фонд ГКО, д. 372, лл. 87 (11012).</w:t>
      </w:r>
    </w:p>
    <w:p w14:paraId="12AA1FAB" w14:textId="77777777" w:rsidR="00665165" w:rsidRPr="00F90EAE" w:rsidRDefault="00665165" w:rsidP="00F90EAE">
      <w:pPr>
        <w:autoSpaceDE w:val="0"/>
        <w:autoSpaceDN w:val="0"/>
        <w:adjustRightInd w:val="0"/>
        <w:jc w:val="both"/>
        <w:rPr>
          <w:color w:val="000000" w:themeColor="text1"/>
          <w:sz w:val="16"/>
          <w:szCs w:val="16"/>
        </w:rPr>
      </w:pPr>
    </w:p>
    <w:p w14:paraId="238DA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7556. О производстве и испытании опытных партий противогазов. РГАНИР, Фонд ГКО, д. 372, лл. 88 (11012).</w:t>
      </w:r>
    </w:p>
    <w:p w14:paraId="0C04E42B" w14:textId="77777777" w:rsidR="00665165" w:rsidRPr="00F90EAE" w:rsidRDefault="00665165" w:rsidP="00F90EAE">
      <w:pPr>
        <w:autoSpaceDE w:val="0"/>
        <w:autoSpaceDN w:val="0"/>
        <w:adjustRightInd w:val="0"/>
        <w:jc w:val="both"/>
        <w:rPr>
          <w:color w:val="000000" w:themeColor="text1"/>
          <w:sz w:val="16"/>
          <w:szCs w:val="16"/>
        </w:rPr>
      </w:pPr>
    </w:p>
    <w:p w14:paraId="32B1F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вышло Распоряжение ГКО № 7557. О мерах скорейшего восстановления производства взрывателей и капсюльных втулок на Харьковском велозаводе НКСМ. РГАНИР, Фонд ГКО, д. 372, лл. 89-90 (11012).</w:t>
      </w:r>
    </w:p>
    <w:p w14:paraId="71887BEC" w14:textId="77777777" w:rsidR="00665165" w:rsidRPr="00F90EAE" w:rsidRDefault="00665165" w:rsidP="00F90EAE">
      <w:pPr>
        <w:autoSpaceDE w:val="0"/>
        <w:autoSpaceDN w:val="0"/>
        <w:adjustRightInd w:val="0"/>
        <w:jc w:val="both"/>
        <w:rPr>
          <w:color w:val="000000" w:themeColor="text1"/>
          <w:sz w:val="16"/>
          <w:szCs w:val="16"/>
        </w:rPr>
      </w:pPr>
    </w:p>
    <w:p w14:paraId="1C07063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4857093" w14:textId="77777777" w:rsidR="00665165" w:rsidRPr="00F90EAE" w:rsidRDefault="00665165" w:rsidP="00F90EAE">
      <w:pPr>
        <w:autoSpaceDE w:val="0"/>
        <w:autoSpaceDN w:val="0"/>
        <w:adjustRightInd w:val="0"/>
        <w:jc w:val="both"/>
        <w:rPr>
          <w:iCs/>
          <w:color w:val="000000" w:themeColor="text1"/>
          <w:sz w:val="16"/>
          <w:szCs w:val="16"/>
        </w:rPr>
      </w:pPr>
    </w:p>
    <w:p w14:paraId="1E3C8B06" w14:textId="77777777" w:rsidR="000F49EC" w:rsidRPr="00F90EAE" w:rsidRDefault="000F49EC" w:rsidP="00F90EAE">
      <w:pPr>
        <w:jc w:val="both"/>
        <w:rPr>
          <w:color w:val="000000" w:themeColor="text1"/>
          <w:sz w:val="16"/>
          <w:szCs w:val="16"/>
        </w:rPr>
      </w:pPr>
      <w:r w:rsidRPr="00F90EAE">
        <w:rPr>
          <w:bCs/>
          <w:color w:val="000000" w:themeColor="text1"/>
          <w:sz w:val="16"/>
          <w:szCs w:val="16"/>
        </w:rPr>
        <w:t>18 февраля</w:t>
      </w:r>
      <w:r w:rsidRPr="00F90EAE">
        <w:rPr>
          <w:color w:val="000000" w:themeColor="text1"/>
          <w:sz w:val="16"/>
          <w:szCs w:val="16"/>
        </w:rPr>
        <w:t xml:space="preserve"> в 1945 году оперативная сводка Совинформбюро:</w:t>
      </w:r>
    </w:p>
    <w:p w14:paraId="13AE33EF" w14:textId="77777777" w:rsidR="000F49EC" w:rsidRPr="00F90EAE" w:rsidRDefault="000F49EC" w:rsidP="00F90EAE">
      <w:pPr>
        <w:jc w:val="both"/>
        <w:rPr>
          <w:color w:val="000000" w:themeColor="text1"/>
          <w:sz w:val="16"/>
          <w:szCs w:val="16"/>
        </w:rPr>
      </w:pPr>
      <w:r w:rsidRPr="00F90EAE">
        <w:rPr>
          <w:color w:val="000000" w:themeColor="text1"/>
          <w:sz w:val="16"/>
          <w:szCs w:val="16"/>
        </w:rPr>
        <w:t>«В течение 18 февраля южнее Кенигсберга наши войска продолжали бои по уничтожению Восточно-Прусской группировки немцев и овладели населёнными пунктами Робиттен, Галлинген, Оршен, Вильденхофф, Буххольц, Лайс, Лянгвальде.</w:t>
      </w:r>
    </w:p>
    <w:p w14:paraId="1D0B07A2"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Грудзяндз (Грауденц) наши войска, наступая на север вдоль западного берега Вислы, завершили окружение гарнизона противника, обороняющегося в городе Грудзяндз (Грауденц), и заняли при этом населённые пункты Гросс-Драгас, Круш, Монтау, Гросс Зибсау, Варлюбин.</w:t>
      </w:r>
    </w:p>
    <w:p w14:paraId="4B3080FB" w14:textId="77777777" w:rsidR="000F49EC" w:rsidRPr="00F90EAE" w:rsidRDefault="000F49EC" w:rsidP="00F90EAE">
      <w:pPr>
        <w:jc w:val="both"/>
        <w:rPr>
          <w:color w:val="000000" w:themeColor="text1"/>
          <w:sz w:val="16"/>
          <w:szCs w:val="16"/>
        </w:rPr>
      </w:pPr>
      <w:r w:rsidRPr="00F90EAE">
        <w:rPr>
          <w:color w:val="000000" w:themeColor="text1"/>
          <w:sz w:val="16"/>
          <w:szCs w:val="16"/>
        </w:rPr>
        <w:t>В Померании южнее и юго-восточнее города Штаргард наши войска успешно отбили атаки пехоты и танков противника. Одновременно в лесах севернее Шнайдемюль наши войска ликвидировали ещё одну окружённую группу противника, захватив при этом в плен около 2.000 немецких солдат и офицеров, в том числе начальника инженерной службы Шнайдемюльского гарнизона полковника Курхаупа.</w:t>
      </w:r>
    </w:p>
    <w:p w14:paraId="1ED100B1" w14:textId="77777777" w:rsidR="000F49EC" w:rsidRPr="00F90EAE" w:rsidRDefault="000F49EC" w:rsidP="00F90EAE">
      <w:pPr>
        <w:jc w:val="both"/>
        <w:rPr>
          <w:color w:val="000000" w:themeColor="text1"/>
          <w:sz w:val="16"/>
          <w:szCs w:val="16"/>
        </w:rPr>
      </w:pPr>
      <w:r w:rsidRPr="00F90EAE">
        <w:rPr>
          <w:color w:val="000000" w:themeColor="text1"/>
          <w:sz w:val="16"/>
          <w:szCs w:val="16"/>
        </w:rPr>
        <w:t>В Бранденбурге южнее города Шверин нашими войсками в своё время был блокирован долговременный опорный пункт укреплённого района немцев, состоящий из 30 железобетонных оборонительных сооружений. После длительной осады и воздействия огнём артиллерии большой мощности гарнизон этого опорного пункта капитулировал, при этом нашими войсками взято в плен 1.245 немецких солдат и офицеров и захвачены следующие трофеи: орудий—48, миномётов—25, огнемётов—15, пулемётов—230, карабинов—800, автомашин—40, прицепов—338.</w:t>
      </w:r>
    </w:p>
    <w:p w14:paraId="5314422B" w14:textId="77777777" w:rsidR="000F49EC" w:rsidRPr="00F90EAE" w:rsidRDefault="000F49EC" w:rsidP="00F90EAE">
      <w:pPr>
        <w:jc w:val="both"/>
        <w:rPr>
          <w:color w:val="000000" w:themeColor="text1"/>
          <w:sz w:val="16"/>
          <w:szCs w:val="16"/>
        </w:rPr>
      </w:pPr>
      <w:r w:rsidRPr="00F90EAE">
        <w:rPr>
          <w:color w:val="000000" w:themeColor="text1"/>
          <w:sz w:val="16"/>
          <w:szCs w:val="16"/>
        </w:rPr>
        <w:t>В Познани продолжались бои по уничтожению гарнизона противника, удерживающего Цитадель.</w:t>
      </w:r>
    </w:p>
    <w:p w14:paraId="4B3B4A7B" w14:textId="77777777" w:rsidR="000F49EC" w:rsidRPr="00F90EAE" w:rsidRDefault="000F49EC" w:rsidP="00F90EAE">
      <w:pPr>
        <w:jc w:val="both"/>
        <w:rPr>
          <w:color w:val="000000" w:themeColor="text1"/>
          <w:sz w:val="16"/>
          <w:szCs w:val="16"/>
        </w:rPr>
      </w:pPr>
      <w:r w:rsidRPr="00F90EAE">
        <w:rPr>
          <w:color w:val="000000" w:themeColor="text1"/>
          <w:sz w:val="16"/>
          <w:szCs w:val="16"/>
        </w:rPr>
        <w:t>В Силезии наши войска с боем овладели городами Заган и Наумбург.</w:t>
      </w:r>
    </w:p>
    <w:p w14:paraId="3CA528E0" w14:textId="77777777" w:rsidR="000F49EC" w:rsidRPr="00F90EAE" w:rsidRDefault="000F49EC" w:rsidP="00F90EAE">
      <w:pPr>
        <w:jc w:val="both"/>
        <w:rPr>
          <w:color w:val="000000" w:themeColor="text1"/>
          <w:sz w:val="16"/>
          <w:szCs w:val="16"/>
        </w:rPr>
      </w:pPr>
      <w:r w:rsidRPr="00F90EAE">
        <w:rPr>
          <w:color w:val="000000" w:themeColor="text1"/>
          <w:sz w:val="16"/>
          <w:szCs w:val="16"/>
        </w:rPr>
        <w:t>Юго-западнее и южнее города Бреслау (Бреславль) наши войска в результате наступательных боёв заняли населённые пункты Ландау, Бейлау, Капсдорф, Гросс-Зегевиц, Трошдорф, Дуквиц, Ясвиц, Клайн-Тинц, Дюрр Хартау, Тифензе, Пудигау. Одновременно продолжались бои по уничтожению окружённой группировки противника в городе Бреслау.</w:t>
      </w:r>
    </w:p>
    <w:p w14:paraId="271DEB33"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Комарно наши войска продолжали отбивать атаки крупных сил пехоты и танков противника. В боях за 17 февраля в этом районе подбито и уничтожено 43 немецких танка.</w:t>
      </w:r>
    </w:p>
    <w:p w14:paraId="41D4C47E"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1A82DBC2" w14:textId="77777777" w:rsidR="000F49EC" w:rsidRPr="00F90EAE" w:rsidRDefault="000F49EC" w:rsidP="00F90EAE">
      <w:pPr>
        <w:jc w:val="both"/>
        <w:rPr>
          <w:color w:val="000000" w:themeColor="text1"/>
          <w:sz w:val="16"/>
          <w:szCs w:val="16"/>
        </w:rPr>
      </w:pPr>
      <w:r w:rsidRPr="00F90EAE">
        <w:rPr>
          <w:color w:val="000000" w:themeColor="text1"/>
          <w:sz w:val="16"/>
          <w:szCs w:val="16"/>
        </w:rPr>
        <w:t>За 17 февраля на всех фронтах подбито и уничтожено 115 немецких танков. В воздушных боях и огнём зенитной артиллерии сбито 88 самолётов противника.</w:t>
      </w:r>
    </w:p>
    <w:p w14:paraId="29356DFB" w14:textId="77777777" w:rsidR="000F49EC" w:rsidRPr="00F90EAE" w:rsidRDefault="000F49EC" w:rsidP="00F90EAE">
      <w:pPr>
        <w:jc w:val="both"/>
        <w:rPr>
          <w:color w:val="000000" w:themeColor="text1"/>
          <w:sz w:val="16"/>
          <w:szCs w:val="16"/>
        </w:rPr>
      </w:pPr>
      <w:r w:rsidRPr="00F90EAE">
        <w:rPr>
          <w:color w:val="000000" w:themeColor="text1"/>
          <w:sz w:val="16"/>
          <w:szCs w:val="16"/>
        </w:rPr>
        <w:t>Южнее города Кенигсберг наши войска продолжали сжимать кольцо окружения Восточно-Прусской группировки немцев. Советские части, преодолевая упорное сопротивление противника, очистили от гитлеровцев большой лесной массив. Занято несколько сильно укреплённых опорных пунктов. Уничтожено до 2 тысяч немецких солдат и офицеров и 22 танка противника. Захвачено у немцев 22 орудия, 70 пулемётов, 65 автомашин, 2 железнодорожных эшелона с грузами и другие трофеи.</w:t>
      </w:r>
    </w:p>
    <w:p w14:paraId="01C8FB1F"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города Грудзяндз (Грауденц) наши войска в результате ожесточённых боёв прорвали оборону противника. Советские части устремились в бреши, образовавшиеся в немецких позициях и, совершив обходный манёвр по болотистой труднопроходимой местности, окружили гарнизон противника в городе Грудаяндз (Грауденц). Гитлеровцы предприняли ряд отчаянных попыток прорвать кольцо окружения и вырваться из «мешка». В течение дня танки и пехота противника многократно переходили в контратаки. Наши пехотинцы отбили все вражеские контратаки, ворвались на окраины города и ведут бои по ликвидации окружённого гарнизона противника. На поле боя осталось много трупов вражеских солдат и офицеров. Захвачено 42 орудия, 440 автомашин, 246 мотоциклов, 5 складов с различным военным имуществом и другие трофеи. Взято в плен 400 немцев.</w:t>
      </w:r>
    </w:p>
    <w:p w14:paraId="16568BF0" w14:textId="77777777" w:rsidR="000F49EC" w:rsidRPr="00F90EAE" w:rsidRDefault="000F49EC" w:rsidP="00F90EAE">
      <w:pPr>
        <w:jc w:val="both"/>
        <w:rPr>
          <w:color w:val="000000" w:themeColor="text1"/>
          <w:sz w:val="16"/>
          <w:szCs w:val="16"/>
        </w:rPr>
      </w:pPr>
      <w:r w:rsidRPr="00F90EAE">
        <w:rPr>
          <w:color w:val="000000" w:themeColor="text1"/>
          <w:sz w:val="16"/>
          <w:szCs w:val="16"/>
        </w:rPr>
        <w:t>На 1-м Белорусском фронте шесть самолётов-истребителей под командованием дважды Героя Советского Союза майора Кожедуба встретили в воздухе 30 немецких самолётов, пытавшихся бомбардировать наши переправы. Советские летчики стремительно атаковали противника и расстроили его боевые порядки. Немецкие лётчики беспорядочно сбросили бомбы на свои войска и пытались уклониться от боя. Наши истребители, преследуя противника, сбили 8 немецких самолётов. Из них майор Кожедуб уничтожил 3 вражеских истребителя.</w:t>
      </w:r>
    </w:p>
    <w:p w14:paraId="11432818" w14:textId="77777777" w:rsidR="000F49EC" w:rsidRPr="00F90EAE" w:rsidRDefault="000F49EC" w:rsidP="00F90EAE">
      <w:pPr>
        <w:jc w:val="both"/>
        <w:rPr>
          <w:color w:val="000000" w:themeColor="text1"/>
          <w:sz w:val="16"/>
          <w:szCs w:val="16"/>
        </w:rPr>
      </w:pPr>
      <w:r w:rsidRPr="00F90EAE">
        <w:rPr>
          <w:color w:val="000000" w:themeColor="text1"/>
          <w:sz w:val="16"/>
          <w:szCs w:val="16"/>
        </w:rPr>
        <w:t>В Силезии наши войска продолжали наступление. В результате двухдневных боёв части Н-ского соединения разгромили немецкий гарнизон и овладели городом Заган. На улицах города осталось 1.400 трупов вражеских солдат и офицеров. Заган являлся сильным опорным шунтами обороны немцев на реке Бобер и важным узлом коммуникаций. К нему сходятся шесть железных дорог. Другие советские части, развивая наступление, сегодня овладели городом Наумбург, на реке Квейс. На одной железнодорожной станции войсками фронта захвачено 14 паровозов и 900 железнодорожных вагонов с различными грузами. Взято в плен более 800 немецких солдат и офицеров.</w:t>
      </w:r>
    </w:p>
    <w:p w14:paraId="5865EA26" w14:textId="77777777" w:rsidR="000F49EC" w:rsidRPr="00F90EAE" w:rsidRDefault="000F49EC" w:rsidP="00F90EAE">
      <w:pPr>
        <w:jc w:val="both"/>
        <w:rPr>
          <w:color w:val="000000" w:themeColor="text1"/>
          <w:sz w:val="16"/>
          <w:szCs w:val="16"/>
        </w:rPr>
      </w:pPr>
      <w:r w:rsidRPr="00F90EAE">
        <w:rPr>
          <w:color w:val="000000" w:themeColor="text1"/>
          <w:sz w:val="16"/>
          <w:szCs w:val="16"/>
        </w:rPr>
        <w:t>Наши лётчики в течение дня в воздушных боях сбили 35 немецких самолётов. Кроме того, на аэродромах уничтожено 30 самолётов противника.</w:t>
      </w:r>
    </w:p>
    <w:p w14:paraId="58D48DF1" w14:textId="77777777" w:rsidR="000F49EC" w:rsidRPr="00F90EAE" w:rsidRDefault="000F49EC" w:rsidP="00F90EAE">
      <w:pPr>
        <w:jc w:val="both"/>
        <w:rPr>
          <w:color w:val="000000" w:themeColor="text1"/>
          <w:sz w:val="16"/>
          <w:szCs w:val="16"/>
        </w:rPr>
      </w:pPr>
      <w:r w:rsidRPr="00F90EAE">
        <w:rPr>
          <w:color w:val="000000" w:themeColor="text1"/>
          <w:sz w:val="16"/>
          <w:szCs w:val="16"/>
        </w:rPr>
        <w:t>Авиацией Краснознамённого Балтийского флота потоплены транспорт и сторожевой катер противника.</w:t>
      </w:r>
    </w:p>
    <w:p w14:paraId="6D564418" w14:textId="77777777" w:rsidR="000F49EC" w:rsidRPr="00F90EAE" w:rsidRDefault="000F49EC" w:rsidP="00F90EAE">
      <w:pPr>
        <w:jc w:val="both"/>
        <w:rPr>
          <w:color w:val="000000" w:themeColor="text1"/>
          <w:sz w:val="16"/>
          <w:szCs w:val="16"/>
        </w:rPr>
      </w:pPr>
      <w:r w:rsidRPr="00F90EAE">
        <w:rPr>
          <w:color w:val="000000" w:themeColor="text1"/>
          <w:sz w:val="16"/>
          <w:szCs w:val="16"/>
        </w:rPr>
        <w:t>Командир 3-го дивизиона 91-го немецкого артиллерийского полка капитан Вилли Нафцигер, взятый в плен на 1-м Белорусском фронте, рассказал: «Мой дивизион был придан 6-му артиллерийскому полку 6-й пехотной дивизии. На совещании офицеров. командир ножа майор Брунг хвастливо говорил: «Наша оборона укреплена и насыщена таким количеством техники, что русские не смогут её прорвать». Подобные иллюзии разделяли и другие офицеры. Через несколько дней всех нас постигло горькое разочарование. Русские войска быстро преодолели казавшиеся неприступными позиции. Наши разбитые части в беспорядке отступали. Теперь всё потеряно. Нет никаких надежд на благоприятный для Германии исход войны. Страна истощена, её резервы иссякают» (15044).</w:t>
      </w:r>
    </w:p>
    <w:p w14:paraId="217F3BFD" w14:textId="77777777" w:rsidR="000F49EC" w:rsidRPr="00F90EAE" w:rsidRDefault="000F49EC" w:rsidP="00F90EAE">
      <w:pPr>
        <w:jc w:val="both"/>
        <w:rPr>
          <w:color w:val="000000" w:themeColor="text1"/>
          <w:sz w:val="16"/>
          <w:szCs w:val="16"/>
        </w:rPr>
      </w:pPr>
    </w:p>
    <w:p w14:paraId="292D28B6" w14:textId="77777777" w:rsidR="000F49EC" w:rsidRPr="00F90EAE" w:rsidRDefault="000F49EC" w:rsidP="00F90EAE">
      <w:pPr>
        <w:jc w:val="both"/>
        <w:rPr>
          <w:color w:val="000000" w:themeColor="text1"/>
          <w:sz w:val="16"/>
          <w:szCs w:val="16"/>
        </w:rPr>
      </w:pPr>
      <w:r w:rsidRPr="00F90EAE">
        <w:rPr>
          <w:bCs/>
          <w:color w:val="000000" w:themeColor="text1"/>
          <w:sz w:val="16"/>
          <w:szCs w:val="16"/>
        </w:rPr>
        <w:t>18 февраля</w:t>
      </w:r>
      <w:r w:rsidRPr="00F90EAE">
        <w:rPr>
          <w:color w:val="000000" w:themeColor="text1"/>
          <w:sz w:val="16"/>
          <w:szCs w:val="16"/>
        </w:rPr>
        <w:t xml:space="preserve"> в 1945 году «в 09:02 в Данцигской бухте севернее маяка Хела два самолета «Як-9» (ведущий - старший лейтенант Кузьмин) обнаружили один траливший </w:t>
      </w:r>
      <w:hyperlink r:id="rId39" w:tgtFrame="_blank" w:history="1">
        <w:r w:rsidRPr="00F90EAE">
          <w:rPr>
            <w:color w:val="000000" w:themeColor="text1"/>
            <w:sz w:val="16"/>
            <w:szCs w:val="16"/>
          </w:rPr>
          <w:t xml:space="preserve">«Ю-52» </w:t>
        </w:r>
      </w:hyperlink>
      <w:r w:rsidRPr="00F90EAE">
        <w:rPr>
          <w:color w:val="000000" w:themeColor="text1"/>
          <w:sz w:val="16"/>
          <w:szCs w:val="16"/>
        </w:rPr>
        <w:t>: Учитывая ценность самолета-тральщика, наши летчики приняли решение привести «Ю-52» на свой аэродром: Вражеский самолет несколько минут летел в указанном направлении, но потом стал разворачиваться к своим кораблям. Опасаясь ухода, наши истребители произвели по нему несколько пушечно-пулеметных очередей, в результате чего «Ю-52» загорелся и, разваливаясь на части, упал в воду восточнее порта Данциг. Чуть позже, в 14:30 два других «Як-9» встретили и сбили еще три «Ю-52», производившие траление на подходах к Либаве.» Так описывает, изданная в 1951 г., "Хроника Великой Отечественной войны Советского Союза на Балтийском море и Ладожском озере" вышеупомянутые события (15044).</w:t>
      </w:r>
    </w:p>
    <w:p w14:paraId="447F92C0" w14:textId="77777777" w:rsidR="000F49EC" w:rsidRPr="00F90EAE" w:rsidRDefault="000F49EC" w:rsidP="00F90EAE">
      <w:pPr>
        <w:jc w:val="both"/>
        <w:rPr>
          <w:color w:val="000000" w:themeColor="text1"/>
          <w:sz w:val="16"/>
          <w:szCs w:val="16"/>
        </w:rPr>
      </w:pPr>
    </w:p>
    <w:p w14:paraId="6D2DB84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февраля 1945 в Восточной Пруссии погиб советский маршал И. Черняховский, командующий Третьим Белорусским фронтом (4962).</w:t>
      </w:r>
    </w:p>
    <w:p w14:paraId="0E033E2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D754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был смертельно ранен и погиб близ г. Мельзак в Восточной Пруссии И.Д.Черняховский (1348,238).</w:t>
      </w:r>
    </w:p>
    <w:p w14:paraId="0677AB09" w14:textId="77777777" w:rsidR="00665165" w:rsidRPr="00F90EAE" w:rsidRDefault="00665165" w:rsidP="00F90EAE">
      <w:pPr>
        <w:autoSpaceDE w:val="0"/>
        <w:autoSpaceDN w:val="0"/>
        <w:adjustRightInd w:val="0"/>
        <w:jc w:val="both"/>
        <w:rPr>
          <w:color w:val="000000" w:themeColor="text1"/>
          <w:sz w:val="16"/>
          <w:szCs w:val="16"/>
        </w:rPr>
      </w:pPr>
    </w:p>
    <w:p w14:paraId="37E93C15" w14:textId="77777777" w:rsidR="0037412D" w:rsidRPr="00F90EAE" w:rsidRDefault="0037412D" w:rsidP="00F90EAE">
      <w:pPr>
        <w:autoSpaceDE w:val="0"/>
        <w:autoSpaceDN w:val="0"/>
        <w:adjustRightInd w:val="0"/>
        <w:jc w:val="both"/>
        <w:rPr>
          <w:color w:val="000000" w:themeColor="text1"/>
          <w:sz w:val="16"/>
          <w:szCs w:val="16"/>
        </w:rPr>
      </w:pPr>
      <w:r w:rsidRPr="00F90EAE">
        <w:rPr>
          <w:bCs/>
          <w:color w:val="000000" w:themeColor="text1"/>
          <w:sz w:val="16"/>
          <w:szCs w:val="16"/>
        </w:rPr>
        <w:t xml:space="preserve">Утром </w:t>
      </w:r>
      <w:r w:rsidRPr="00F90EAE">
        <w:rPr>
          <w:color w:val="000000" w:themeColor="text1"/>
          <w:sz w:val="16"/>
          <w:szCs w:val="16"/>
        </w:rPr>
        <w:t>18 февраля (1945)</w:t>
      </w:r>
      <w:r w:rsidRPr="00F90EAE">
        <w:rPr>
          <w:bCs/>
          <w:color w:val="000000" w:themeColor="text1"/>
          <w:sz w:val="16"/>
          <w:szCs w:val="16"/>
        </w:rPr>
        <w:t xml:space="preserve"> Черняховский снова выехал на передовую, теперь уже в боевые порядки соединений 3-й армии генерала Горбатова. Комаров позвонил командиру корпуса, в который они собирались ехать, чтобы тот выслал навстречу офицера связи. На восточной окраине города Мельзак их встретил молодой майор. По району командного пункта корпуса противник вел методический артогонь. Машина Черняховского следовала за машиной майора из штаба корпуса. Кажется, тот не очень уверенно ориентировался в обстановке. Не успели проехать и двух километров, как позади машины Черняховского разорвался снаряд. Один из осколков, пробив заднюю стенку машины и сиденья, в спину ранил командующего, повредил правую руку водителя и застрял в приборном щитке. СтаршинаВиноградов, превозмогаяболь, остановилвездеход (17459).</w:t>
      </w:r>
    </w:p>
    <w:p w14:paraId="09B2B3DF" w14:textId="77777777" w:rsidR="0037412D" w:rsidRPr="00F90EAE" w:rsidRDefault="0037412D" w:rsidP="00F90EAE">
      <w:pPr>
        <w:autoSpaceDE w:val="0"/>
        <w:autoSpaceDN w:val="0"/>
        <w:adjustRightInd w:val="0"/>
        <w:jc w:val="both"/>
        <w:rPr>
          <w:color w:val="000000" w:themeColor="text1"/>
          <w:sz w:val="16"/>
          <w:szCs w:val="16"/>
        </w:rPr>
      </w:pPr>
    </w:p>
    <w:p w14:paraId="27AB150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18, 1945: In the East, the Red Army encircles Graudenz on the Vistula. German troops of the 11.SS-Panzer-Armee are brought to a stand still against Soviet opposition to Operation Sonnenwende (3819).</w:t>
      </w:r>
    </w:p>
    <w:p w14:paraId="69519A88" w14:textId="77777777" w:rsidR="00665165" w:rsidRPr="00F90EAE" w:rsidRDefault="00665165" w:rsidP="00F90EAE">
      <w:pPr>
        <w:autoSpaceDE w:val="0"/>
        <w:autoSpaceDN w:val="0"/>
        <w:adjustRightInd w:val="0"/>
        <w:jc w:val="both"/>
        <w:rPr>
          <w:color w:val="000000" w:themeColor="text1"/>
          <w:sz w:val="16"/>
          <w:szCs w:val="16"/>
          <w:lang w:val="en-US"/>
        </w:rPr>
      </w:pPr>
    </w:p>
    <w:p w14:paraId="7AA245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февраля 1945 КА окружила Грауденц на Висле. Войска 11ТА СС отражали советские контратаки (3819).</w:t>
      </w:r>
    </w:p>
    <w:p w14:paraId="3E40B26F" w14:textId="77777777" w:rsidR="00665165" w:rsidRPr="00F90EAE" w:rsidRDefault="00665165" w:rsidP="00F90EAE">
      <w:pPr>
        <w:autoSpaceDE w:val="0"/>
        <w:autoSpaceDN w:val="0"/>
        <w:adjustRightInd w:val="0"/>
        <w:jc w:val="both"/>
        <w:rPr>
          <w:color w:val="000000" w:themeColor="text1"/>
          <w:sz w:val="16"/>
          <w:szCs w:val="16"/>
        </w:rPr>
      </w:pPr>
    </w:p>
    <w:p w14:paraId="530A1F9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февраля 1945 в ходе пыток погиб советский генерал Д. Карбышев (4962).</w:t>
      </w:r>
    </w:p>
    <w:p w14:paraId="4669F6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A1B1F78" w14:textId="77777777" w:rsidR="000F49EC" w:rsidRPr="00F90EAE" w:rsidRDefault="000F49EC" w:rsidP="00F90EAE">
      <w:pPr>
        <w:jc w:val="both"/>
        <w:rPr>
          <w:color w:val="000000" w:themeColor="text1"/>
          <w:sz w:val="16"/>
          <w:szCs w:val="16"/>
        </w:rPr>
      </w:pPr>
      <w:r w:rsidRPr="00F90EAE">
        <w:rPr>
          <w:bCs/>
          <w:color w:val="000000" w:themeColor="text1"/>
          <w:sz w:val="16"/>
          <w:szCs w:val="16"/>
        </w:rPr>
        <w:lastRenderedPageBreak/>
        <w:t>18 февраля</w:t>
      </w:r>
      <w:r w:rsidRPr="00F90EAE">
        <w:rPr>
          <w:color w:val="000000" w:themeColor="text1"/>
          <w:sz w:val="16"/>
          <w:szCs w:val="16"/>
        </w:rPr>
        <w:t xml:space="preserve"> в 1945 году в концлагере Маутхаузен мученической смертью погиб Дмитрий Михайлович Карбышев (родился в 1880 году), генерал-лейтенант инженерных войск, Герой Советского Союза, участник первой мировой, гражданской и Великой Отечественной войн (15044).</w:t>
      </w:r>
    </w:p>
    <w:p w14:paraId="2D933894" w14:textId="77777777" w:rsidR="000F49EC" w:rsidRPr="00F90EAE" w:rsidRDefault="000F49EC" w:rsidP="00F90EAE">
      <w:pPr>
        <w:jc w:val="both"/>
        <w:rPr>
          <w:color w:val="000000" w:themeColor="text1"/>
          <w:sz w:val="16"/>
          <w:szCs w:val="16"/>
        </w:rPr>
      </w:pPr>
    </w:p>
    <w:p w14:paraId="03EE5485" w14:textId="77777777" w:rsidR="0037412D" w:rsidRPr="00F90EAE" w:rsidRDefault="0037412D" w:rsidP="00F90EAE">
      <w:pPr>
        <w:jc w:val="both"/>
        <w:rPr>
          <w:color w:val="000000" w:themeColor="text1"/>
          <w:sz w:val="16"/>
          <w:szCs w:val="16"/>
        </w:rPr>
      </w:pPr>
      <w:r w:rsidRPr="00F90EAE">
        <w:rPr>
          <w:color w:val="000000" w:themeColor="text1"/>
          <w:sz w:val="16"/>
          <w:szCs w:val="16"/>
        </w:rPr>
        <w:t>18 февраля 1945 г. в концлагере Маутхаузен, Австрия, фашисты провели зверскую акцию – около 500 заключенных заморозили заживо – обливали водой. В их числе мученически погиб генерал Дмитрий Карбышев (17459).</w:t>
      </w:r>
    </w:p>
    <w:p w14:paraId="692D221E" w14:textId="77777777" w:rsidR="0037412D" w:rsidRPr="00F90EAE" w:rsidRDefault="0037412D" w:rsidP="00F90EAE">
      <w:pPr>
        <w:jc w:val="both"/>
        <w:rPr>
          <w:color w:val="000000" w:themeColor="text1"/>
          <w:sz w:val="16"/>
          <w:szCs w:val="16"/>
        </w:rPr>
      </w:pPr>
    </w:p>
    <w:p w14:paraId="0382D4C2" w14:textId="77777777" w:rsidR="000F49EC"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D28D39E" w14:textId="77777777" w:rsidR="000F49EC" w:rsidRPr="00F90EAE" w:rsidRDefault="000F49EC" w:rsidP="00F90EAE">
      <w:pPr>
        <w:autoSpaceDE w:val="0"/>
        <w:autoSpaceDN w:val="0"/>
        <w:adjustRightInd w:val="0"/>
        <w:jc w:val="both"/>
        <w:rPr>
          <w:iCs/>
          <w:color w:val="000000" w:themeColor="text1"/>
          <w:sz w:val="16"/>
          <w:szCs w:val="16"/>
        </w:rPr>
      </w:pPr>
    </w:p>
    <w:p w14:paraId="532375EE" w14:textId="77777777" w:rsidR="00A9131A" w:rsidRPr="00F90EAE" w:rsidRDefault="00A9131A" w:rsidP="00F90EAE">
      <w:pPr>
        <w:jc w:val="both"/>
        <w:rPr>
          <w:color w:val="0070C0"/>
          <w:sz w:val="16"/>
          <w:szCs w:val="16"/>
        </w:rPr>
      </w:pPr>
      <w:r w:rsidRPr="00F90EAE">
        <w:rPr>
          <w:color w:val="0070C0"/>
          <w:sz w:val="16"/>
          <w:szCs w:val="16"/>
        </w:rPr>
        <w:t>18 февраля 1945 на Horten H.IX V2, втором прототипе и первом прототипе Horten Ho 229 с двигателем, происходит отказ двигателя во время третьего испытательного полета и он терпит крушение в Ораниенбурге, Германия, в результате чего погиб пилот лейтенант Эрвин Циллер. Третий прототип так и не был завершен, и авария положила конец программе Ho 229 (20371).</w:t>
      </w:r>
    </w:p>
    <w:p w14:paraId="12701ABC" w14:textId="77777777" w:rsidR="00A9131A" w:rsidRPr="00F90EAE" w:rsidRDefault="00A9131A" w:rsidP="00F90EAE">
      <w:pPr>
        <w:jc w:val="both"/>
        <w:rPr>
          <w:color w:val="0070C0"/>
          <w:sz w:val="16"/>
          <w:szCs w:val="16"/>
        </w:rPr>
      </w:pPr>
    </w:p>
    <w:p w14:paraId="324B36A1" w14:textId="77777777" w:rsidR="000F49EC" w:rsidRPr="00F90EAE" w:rsidRDefault="000F49EC" w:rsidP="00F90EAE">
      <w:pPr>
        <w:jc w:val="both"/>
        <w:rPr>
          <w:color w:val="000000" w:themeColor="text1"/>
          <w:sz w:val="16"/>
          <w:szCs w:val="16"/>
        </w:rPr>
      </w:pPr>
      <w:r w:rsidRPr="00F90EAE">
        <w:rPr>
          <w:bCs/>
          <w:color w:val="000000" w:themeColor="text1"/>
          <w:sz w:val="16"/>
          <w:szCs w:val="16"/>
        </w:rPr>
        <w:t>18 февраля</w:t>
      </w:r>
      <w:r w:rsidRPr="00F90EAE">
        <w:rPr>
          <w:color w:val="000000" w:themeColor="text1"/>
          <w:sz w:val="16"/>
          <w:szCs w:val="16"/>
        </w:rPr>
        <w:t xml:space="preserve"> в 1945 году японские пикирующие самолеты - торпедоносцы </w:t>
      </w:r>
      <w:hyperlink r:id="rId40" w:tgtFrame="_blank" w:history="1">
        <w:r w:rsidRPr="00F90EAE">
          <w:rPr>
            <w:color w:val="000000" w:themeColor="text1"/>
            <w:sz w:val="16"/>
            <w:szCs w:val="16"/>
          </w:rPr>
          <w:t xml:space="preserve">«D4Y4» "Суисей" </w:t>
        </w:r>
      </w:hyperlink>
      <w:r w:rsidRPr="00F90EAE">
        <w:rPr>
          <w:color w:val="000000" w:themeColor="text1"/>
          <w:sz w:val="16"/>
          <w:szCs w:val="16"/>
        </w:rPr>
        <w:t xml:space="preserve">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36 палубных истребителей, погибли 123 моряка, почти 200 получили ранения. Как прототип </w:t>
      </w:r>
      <w:hyperlink r:id="rId41" w:tgtFrame="_blank" w:history="1">
        <w:r w:rsidRPr="00F90EAE">
          <w:rPr>
            <w:color w:val="000000" w:themeColor="text1"/>
            <w:sz w:val="16"/>
            <w:szCs w:val="16"/>
          </w:rPr>
          <w:t xml:space="preserve">«D4Y4» "Суисей" </w:t>
        </w:r>
      </w:hyperlink>
      <w:r w:rsidRPr="00F90EAE">
        <w:rPr>
          <w:color w:val="000000" w:themeColor="text1"/>
          <w:sz w:val="16"/>
          <w:szCs w:val="16"/>
        </w:rPr>
        <w:t>не строился, а в феврале 1945-го сразу началось серийное производство. С февраля по июнь выпускали в среднем по 50-60 машин в месяц. В июле собрали лишь 25 «D4Y4», а последнюю пятерку выпустили в августе. Общий итог серийного выпуска составил 296 машин (15044).</w:t>
      </w:r>
    </w:p>
    <w:p w14:paraId="0A7B9D5A" w14:textId="77777777" w:rsidR="000F49EC" w:rsidRPr="00F90EAE" w:rsidRDefault="000F49EC" w:rsidP="00F90EAE">
      <w:pPr>
        <w:jc w:val="both"/>
        <w:rPr>
          <w:color w:val="000000" w:themeColor="text1"/>
          <w:sz w:val="16"/>
          <w:szCs w:val="16"/>
        </w:rPr>
      </w:pPr>
    </w:p>
    <w:p w14:paraId="65689F8E" w14:textId="77777777" w:rsidR="00A9131A" w:rsidRPr="00F90EAE" w:rsidRDefault="00A9131A" w:rsidP="00F90EAE">
      <w:pPr>
        <w:jc w:val="both"/>
        <w:rPr>
          <w:color w:val="0070C0"/>
          <w:sz w:val="16"/>
          <w:szCs w:val="16"/>
        </w:rPr>
      </w:pPr>
      <w:r w:rsidRPr="00F90EAE">
        <w:rPr>
          <w:color w:val="0070C0"/>
          <w:sz w:val="16"/>
          <w:szCs w:val="16"/>
        </w:rPr>
        <w:t>18 февраля 1945 - Японские пикирующие самолеты - торпедоносцы D4Y4 "Суисей" ведомые пилотами-камикадзе, сформированными в группу при 601-м кокутае на авиабазе "Катори", в составе 32-х самолетов (12 А6М5, 12 D4Y4 и по четыре B6N2 и Р1Y1) провели успешную акцию против американских кораблей соединения TG.52, обеспечивавшего высадку морской пехоты на острове Иводзима. Стартовав из Японии, камикадзе осуществили дозаправку на одном из островов архипелага Бонин и вышли на цель. Классическим попаданием в самолетоподъемник одному из них удалось потопить эскортный авианосец "Бисмарк Си" (погибло 218 моряков). Еще несколько машин серьезно повредили тяжелый авианосец "Саратога", осуществлявший ПВО американской эскадры. Авианосец выдержал попадания четырех (!) камикадзе, но полностью утратил боеспособность и отправился на ремонт в Штаты. На нем было уничтожено 36 палубных истребителей, погибли 123 моряка, почти 200 получили ранения (22594).</w:t>
      </w:r>
    </w:p>
    <w:p w14:paraId="79BE0697" w14:textId="77777777" w:rsidR="00A9131A" w:rsidRPr="00F90EAE" w:rsidRDefault="00A9131A" w:rsidP="00F90EAE">
      <w:pPr>
        <w:jc w:val="both"/>
        <w:rPr>
          <w:color w:val="0070C0"/>
          <w:sz w:val="16"/>
          <w:szCs w:val="16"/>
        </w:rPr>
      </w:pPr>
    </w:p>
    <w:p w14:paraId="4350378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76EE180" w14:textId="77777777" w:rsidR="00665165" w:rsidRPr="00F90EAE" w:rsidRDefault="00665165" w:rsidP="00F90EAE">
      <w:pPr>
        <w:autoSpaceDE w:val="0"/>
        <w:autoSpaceDN w:val="0"/>
        <w:adjustRightInd w:val="0"/>
        <w:jc w:val="both"/>
        <w:rPr>
          <w:iCs/>
          <w:color w:val="000000" w:themeColor="text1"/>
          <w:sz w:val="16"/>
          <w:szCs w:val="16"/>
        </w:rPr>
      </w:pPr>
    </w:p>
    <w:p w14:paraId="73CDD2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в НИИ ВВС закончились гос. испытания Ил-2 N 18840122 с АМ-38Ф и винтом АВ-5Л-158 производства 18 завода, изготовленного в ноябре 1944, которые проводились с 25 января 1945 (804,4).</w:t>
      </w:r>
    </w:p>
    <w:p w14:paraId="3A1DD513" w14:textId="77777777" w:rsidR="00665165" w:rsidRPr="00F90EAE" w:rsidRDefault="00665165" w:rsidP="00F90EAE">
      <w:pPr>
        <w:autoSpaceDE w:val="0"/>
        <w:autoSpaceDN w:val="0"/>
        <w:adjustRightInd w:val="0"/>
        <w:jc w:val="both"/>
        <w:rPr>
          <w:color w:val="000000" w:themeColor="text1"/>
          <w:sz w:val="16"/>
          <w:szCs w:val="16"/>
        </w:rPr>
      </w:pPr>
    </w:p>
    <w:p w14:paraId="25840D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5604B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23 января 1945 в НИИ ВВС поступил на гос. испытания </w:t>
      </w:r>
    </w:p>
    <w:p w14:paraId="0EC294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59BDBD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и ип/п П.Т.Аброщенко</w:t>
      </w:r>
    </w:p>
    <w:p w14:paraId="5F133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л-к 5 отд. 1У ГК НИИ ВВС к-н Г.А.Тиняков, подписал 22 февраля</w:t>
      </w:r>
    </w:p>
    <w:p w14:paraId="7EB7C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гм-р Стефановский - подписал 23 февраля</w:t>
      </w:r>
    </w:p>
    <w:p w14:paraId="6CAA4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5 отд. по л/ч п/п Долгов</w:t>
      </w:r>
    </w:p>
    <w:p w14:paraId="5BB8B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Установлены кнопки управления передатчиком на ручкуе сектора нормального газа</w:t>
      </w:r>
    </w:p>
    <w:p w14:paraId="5758F7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система газового запуска холодного мотора</w:t>
      </w:r>
    </w:p>
    <w:p w14:paraId="0B28F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на испытания 23 января</w:t>
      </w:r>
    </w:p>
    <w:p w14:paraId="3E164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полетов, налет 10:50</w:t>
      </w:r>
    </w:p>
    <w:p w14:paraId="77226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4644 кг, загруженного с-та с нормальной нагрузкой - 6325, ц/т 27,5%</w:t>
      </w:r>
    </w:p>
    <w:p w14:paraId="7CE5D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Угол капотирования при торможении 30Ж20</w:t>
      </w:r>
    </w:p>
    <w:p w14:paraId="1875F8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состоит из:</w:t>
      </w:r>
    </w:p>
    <w:p w14:paraId="00CE67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- 190 кг</w:t>
      </w:r>
    </w:p>
    <w:p w14:paraId="096113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- 545 кг (0,747)</w:t>
      </w:r>
    </w:p>
    <w:p w14:paraId="6C260F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- 65 кг</w:t>
      </w:r>
    </w:p>
    <w:p w14:paraId="0B3A1F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- 400 кг</w:t>
      </w:r>
    </w:p>
    <w:p w14:paraId="4FD2A8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2хВЯ - 132 кг, патроны к пушке (300) - 168 кг</w:t>
      </w:r>
    </w:p>
    <w:p w14:paraId="5FA75A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УБТ - 21 кг, патроны (150) - 27</w:t>
      </w:r>
    </w:p>
    <w:p w14:paraId="32356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2хШКАС - 21 кг, патронов ШКАС (1500) - 51 кг</w:t>
      </w:r>
    </w:p>
    <w:p w14:paraId="46DA0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снарядов РС (4хРС-82) - 27 кг</w:t>
      </w:r>
    </w:p>
    <w:p w14:paraId="347FE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w:t>
      </w:r>
    </w:p>
    <w:p w14:paraId="2A1C53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- 15</w:t>
      </w:r>
    </w:p>
    <w:p w14:paraId="1BCE0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вооружения - 29</w:t>
      </w:r>
    </w:p>
    <w:p w14:paraId="49CBA4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- 1681 кг</w:t>
      </w:r>
    </w:p>
    <w:p w14:paraId="246433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ЛТД</w:t>
      </w:r>
    </w:p>
    <w:p w14:paraId="3311A6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405 км/час на 1200 м</w:t>
      </w:r>
    </w:p>
    <w:p w14:paraId="472D9B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1000 м - 2,6 мин., на 3000 м - 8,8 мин.</w:t>
      </w:r>
    </w:p>
    <w:p w14:paraId="3BAAA2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5800 м, набор за 38 мин.</w:t>
      </w:r>
    </w:p>
    <w:p w14:paraId="1C211D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мерилась при закрытых фонарях кабины л и стрелка,Ю окрытых полностью заслонках водо и маслорадиатора</w:t>
      </w:r>
    </w:p>
    <w:p w14:paraId="3D791D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при весе 6325 и 2050 оборотах и Ра 1220</w:t>
      </w:r>
    </w:p>
    <w:p w14:paraId="6A7AC8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0 - 6,3</w:t>
      </w:r>
    </w:p>
    <w:p w14:paraId="035F3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850 - 6,8</w:t>
      </w:r>
    </w:p>
    <w:p w14:paraId="772CB4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3000 - 4</w:t>
      </w:r>
    </w:p>
    <w:p w14:paraId="09228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5800 - ,5</w:t>
      </w:r>
    </w:p>
    <w:p w14:paraId="0D804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 эксплуатируется на бензине 4Б-78 и масле АО-8 М6</w:t>
      </w:r>
    </w:p>
    <w:p w14:paraId="0E68FA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Тиняков: управляемость с-та - хорошая, усилия на ручке - не большие</w:t>
      </w:r>
    </w:p>
    <w:p w14:paraId="6C6027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 подписал За. Нач. НИИ ВВС глиас Лосюков 26 февраля 1945 и нач. 1У НИИ ВВС гмиас Сафонов 24 февраля 1945 (804,4)</w:t>
      </w:r>
    </w:p>
    <w:p w14:paraId="3FCB8ED0" w14:textId="77777777" w:rsidR="00665165" w:rsidRPr="00F90EAE" w:rsidRDefault="00665165" w:rsidP="00F90EAE">
      <w:pPr>
        <w:autoSpaceDE w:val="0"/>
        <w:autoSpaceDN w:val="0"/>
        <w:adjustRightInd w:val="0"/>
        <w:jc w:val="both"/>
        <w:rPr>
          <w:color w:val="000000" w:themeColor="text1"/>
          <w:sz w:val="16"/>
          <w:szCs w:val="16"/>
        </w:rPr>
      </w:pPr>
    </w:p>
    <w:p w14:paraId="7F3294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Начю 1 отдела з-да № 78 НКБ Чиченко писал письмо № 292/14 НКАП:</w:t>
      </w:r>
    </w:p>
    <w:p w14:paraId="52781B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этом возвращаются по прилагаемой описи тех. Документы по Ил-2, полученные в 1941 году от Вас и с завода № 18 и Подольского завода им. Орджоникидзе, как за ненадобностью для нашего производства (10526,1):</w:t>
      </w:r>
    </w:p>
    <w:p w14:paraId="64D68D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ОПИСЬ</w:t>
      </w:r>
    </w:p>
    <w:p w14:paraId="1610A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Схема обшивки корпуса фюзеляжа</w:t>
      </w:r>
    </w:p>
    <w:p w14:paraId="184B0C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Схема разметки деталей</w:t>
      </w:r>
    </w:p>
    <w:p w14:paraId="12300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Стапель общей сборки</w:t>
      </w:r>
    </w:p>
    <w:p w14:paraId="58578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Альбом раскроев листового проката марки стали АБ-1 на корпус Ил-2</w:t>
      </w:r>
    </w:p>
    <w:p w14:paraId="30B616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Техусловия на бронекорпус</w:t>
      </w:r>
    </w:p>
    <w:p w14:paraId="54935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ТУ-22 на бронестекло</w:t>
      </w:r>
    </w:p>
    <w:p w14:paraId="32E83C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 на время войны на Ил-2 с изменениями</w:t>
      </w:r>
    </w:p>
    <w:p w14:paraId="12559C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Временное ТУ на приемку броневой стали для самолета Ил-2 (10526,2).</w:t>
      </w:r>
    </w:p>
    <w:p w14:paraId="7952DDFF" w14:textId="77777777" w:rsidR="00665165" w:rsidRPr="00F90EAE" w:rsidRDefault="00665165" w:rsidP="00F90EAE">
      <w:pPr>
        <w:autoSpaceDE w:val="0"/>
        <w:autoSpaceDN w:val="0"/>
        <w:adjustRightInd w:val="0"/>
        <w:jc w:val="both"/>
        <w:rPr>
          <w:color w:val="000000" w:themeColor="text1"/>
          <w:sz w:val="16"/>
          <w:szCs w:val="16"/>
        </w:rPr>
      </w:pPr>
    </w:p>
    <w:p w14:paraId="7B1B7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л Г.И.Комаров выполнил второй полет на Су-6 АШ-82ФН 2ТК-3 с ЖРД РД-1 В.П.Глушко - Су-7 уже с включением ЖРД. В 11 полете взорвалась камера сгорания и двигатель заменили на РД-1ХЗ. испытания шли до декабря 1945 (3808,85).</w:t>
      </w:r>
    </w:p>
    <w:p w14:paraId="6851F4DE" w14:textId="77777777" w:rsidR="00665165" w:rsidRPr="00F90EAE" w:rsidRDefault="00665165" w:rsidP="00F90EAE">
      <w:pPr>
        <w:autoSpaceDE w:val="0"/>
        <w:autoSpaceDN w:val="0"/>
        <w:adjustRightInd w:val="0"/>
        <w:jc w:val="both"/>
        <w:rPr>
          <w:color w:val="000000" w:themeColor="text1"/>
          <w:sz w:val="16"/>
          <w:szCs w:val="16"/>
        </w:rPr>
      </w:pPr>
    </w:p>
    <w:p w14:paraId="2B2BE2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М.И. Иванов перегнал высотный истребитель-перехватчик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 в Летно-исследовательский институт для дальнейших испытаний и доводки, которая затянулась до 5 мая 1945 года.</w:t>
      </w:r>
    </w:p>
    <w:p w14:paraId="4D998F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1735BF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 следующий день самолет </w:t>
      </w:r>
    </w:p>
    <w:p w14:paraId="03FE2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4814C4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5FD424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8975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11217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4BB4F2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7D7C63C" w14:textId="77777777" w:rsidR="00665165" w:rsidRPr="00F90EAE" w:rsidRDefault="00665165" w:rsidP="00F90EAE">
      <w:pPr>
        <w:autoSpaceDE w:val="0"/>
        <w:autoSpaceDN w:val="0"/>
        <w:adjustRightInd w:val="0"/>
        <w:jc w:val="both"/>
        <w:rPr>
          <w:color w:val="000000" w:themeColor="text1"/>
          <w:sz w:val="16"/>
          <w:szCs w:val="16"/>
        </w:rPr>
      </w:pPr>
    </w:p>
    <w:p w14:paraId="2BDCD3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года вышел приказ № 68 НКАП</w:t>
      </w:r>
    </w:p>
    <w:p w14:paraId="51B337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от 29 января 1945 года и приказом НКАП № 37 от 3 февраля 1945 года:</w:t>
      </w:r>
    </w:p>
    <w:p w14:paraId="636AB42B"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Реорганизовать “Авиаспецтрест” НКАП в Трест вторичного алюминия НКАП “Вторалюминий” на который возложить:</w:t>
      </w:r>
    </w:p>
    <w:p w14:paraId="0F8EBFCC"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Организацию сбора самолетного лома и отходов алюминиевых сплавов и переплав их, как на спецзаводах Треста, так и на других заводах НКАП.</w:t>
      </w:r>
    </w:p>
    <w:p w14:paraId="7260B758"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Извлечение черных и тяжело-цветных металлов, остающихся после разделки самолетного лома с передачей их на дальнейшую обработку Главвторчермету и Главвторцветмету.</w:t>
      </w:r>
    </w:p>
    <w:p w14:paraId="03669AB1"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Извлечение годных деталей самолетов, моторов, вооружения и приборов с передачей их ВВС и заводам НКАП ………….(8961)</w:t>
      </w:r>
    </w:p>
    <w:p w14:paraId="124925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года вышел приказ НКАП:</w:t>
      </w:r>
    </w:p>
    <w:p w14:paraId="1B244E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Сычева В.В. директором завода № 301 (директор завода № 469) (8958).</w:t>
      </w:r>
    </w:p>
    <w:p w14:paraId="5ADE70BE" w14:textId="77777777" w:rsidR="00665165" w:rsidRPr="00F90EAE" w:rsidRDefault="00665165" w:rsidP="00F90EAE">
      <w:pPr>
        <w:autoSpaceDE w:val="0"/>
        <w:autoSpaceDN w:val="0"/>
        <w:adjustRightInd w:val="0"/>
        <w:jc w:val="both"/>
        <w:rPr>
          <w:color w:val="000000" w:themeColor="text1"/>
          <w:sz w:val="16"/>
          <w:szCs w:val="16"/>
        </w:rPr>
      </w:pPr>
    </w:p>
    <w:p w14:paraId="2297FCA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BC414B1" w14:textId="77777777" w:rsidR="00665165" w:rsidRPr="00F90EAE" w:rsidRDefault="00665165" w:rsidP="00F90EAE">
      <w:pPr>
        <w:autoSpaceDE w:val="0"/>
        <w:autoSpaceDN w:val="0"/>
        <w:adjustRightInd w:val="0"/>
        <w:jc w:val="both"/>
        <w:rPr>
          <w:iCs/>
          <w:color w:val="000000" w:themeColor="text1"/>
          <w:sz w:val="16"/>
          <w:szCs w:val="16"/>
        </w:rPr>
      </w:pPr>
    </w:p>
    <w:p w14:paraId="6C5AA0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февраля 1945 г. была подготовлена ДОКЛАДНАЯ ЗАПИСКА НАЧАЛЬНИКА НИБТ ПОЛИГОНА НАЧАЛЬНИКУ ГБТУ КА ПО ОТБОРУ НОВЫХ ОБРАЗЦОВ ТРОФЕЙНОЙ ТЕХНИКИ № 104</w:t>
      </w:r>
    </w:p>
    <w:p w14:paraId="6BCAF1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 командировании от НИБТ полигона ГБТУ КА в район дейс</w:t>
      </w:r>
      <w:r w:rsidRPr="00F90EAE">
        <w:rPr>
          <w:color w:val="000000" w:themeColor="text1"/>
          <w:sz w:val="16"/>
          <w:szCs w:val="16"/>
        </w:rPr>
        <w:softHyphen/>
        <w:t>твия 1-го Украинского фронта техника-лейтенанта т. Ваиль М.М. (старший группы), сержанта т. Криворучко И.З. и мл. сержанта т. Сопрыкина М.И.</w:t>
      </w:r>
    </w:p>
    <w:p w14:paraId="638FBC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Цель командировки — отбор и доставка на НИБТ полигон ГБТУ КА новых образцов трофейной техники: танков, самоходных установок, бронетранспортеров и т.д.</w:t>
      </w:r>
    </w:p>
    <w:p w14:paraId="1C4216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НИБТ полигона генерал-майор танковых войск Романов</w:t>
      </w:r>
    </w:p>
    <w:p w14:paraId="2E5EDC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3038. Л. 75. Подлинник (11420).</w:t>
      </w:r>
    </w:p>
    <w:p w14:paraId="08484604" w14:textId="77777777" w:rsidR="00665165" w:rsidRPr="00F90EAE" w:rsidRDefault="00665165" w:rsidP="00F90EAE">
      <w:pPr>
        <w:autoSpaceDE w:val="0"/>
        <w:autoSpaceDN w:val="0"/>
        <w:adjustRightInd w:val="0"/>
        <w:jc w:val="both"/>
        <w:rPr>
          <w:color w:val="000000" w:themeColor="text1"/>
          <w:sz w:val="16"/>
          <w:szCs w:val="16"/>
        </w:rPr>
      </w:pPr>
    </w:p>
    <w:p w14:paraId="57B2AFC3"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Завершено строительство и введена в строй 1-я очередь Красноярского машиностроительного завода «Красный профинтерн». В Восточной Сибири создана крупная база тяжёлого машиностроения (15045).</w:t>
      </w:r>
    </w:p>
    <w:p w14:paraId="7D0DC166" w14:textId="77777777" w:rsidR="000F49EC" w:rsidRPr="00F90EAE" w:rsidRDefault="000F49EC" w:rsidP="00F90EAE">
      <w:pPr>
        <w:jc w:val="both"/>
        <w:rPr>
          <w:color w:val="000000" w:themeColor="text1"/>
          <w:sz w:val="16"/>
          <w:szCs w:val="16"/>
        </w:rPr>
      </w:pPr>
    </w:p>
    <w:p w14:paraId="13C1660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742408" w14:textId="77777777" w:rsidR="00665165" w:rsidRPr="00F90EAE" w:rsidRDefault="00665165" w:rsidP="00F90EAE">
      <w:pPr>
        <w:autoSpaceDE w:val="0"/>
        <w:autoSpaceDN w:val="0"/>
        <w:adjustRightInd w:val="0"/>
        <w:jc w:val="both"/>
        <w:rPr>
          <w:iCs/>
          <w:color w:val="000000" w:themeColor="text1"/>
          <w:sz w:val="16"/>
          <w:szCs w:val="16"/>
        </w:rPr>
      </w:pPr>
    </w:p>
    <w:p w14:paraId="6B975305"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оперативная сводка Совинформбюро:</w:t>
      </w:r>
    </w:p>
    <w:p w14:paraId="2758DA6F" w14:textId="77777777" w:rsidR="000F49EC" w:rsidRPr="00F90EAE" w:rsidRDefault="000F49EC" w:rsidP="00F90EAE">
      <w:pPr>
        <w:jc w:val="both"/>
        <w:rPr>
          <w:color w:val="000000" w:themeColor="text1"/>
          <w:sz w:val="16"/>
          <w:szCs w:val="16"/>
        </w:rPr>
      </w:pPr>
      <w:r w:rsidRPr="00F90EAE">
        <w:rPr>
          <w:color w:val="000000" w:themeColor="text1"/>
          <w:sz w:val="16"/>
          <w:szCs w:val="16"/>
        </w:rPr>
        <w:t>«В течение 19 февраля на Земландском полуострове наши войска отбивали атаки пехоты и танков противника, стремящегося прорваться из города Кенигсберга на запад. Одновременно южнее Кенигсберга наши войска, продолжая бои по уничтожению Восточно-Прусской группировки противника, овладели населёнными пунктами Квенен, Парескен, Вангник, Розенвальде, Энгельсвальде, Зугнинен, Лихтвальде, Хайштерн, Подлехен, Гедильген, Груненберг.</w:t>
      </w:r>
    </w:p>
    <w:p w14:paraId="16C0924B" w14:textId="77777777" w:rsidR="000F49EC" w:rsidRPr="00F90EAE" w:rsidRDefault="000F49EC" w:rsidP="00F90EAE">
      <w:pPr>
        <w:jc w:val="both"/>
        <w:rPr>
          <w:color w:val="000000" w:themeColor="text1"/>
          <w:sz w:val="16"/>
          <w:szCs w:val="16"/>
        </w:rPr>
      </w:pPr>
      <w:r w:rsidRPr="00F90EAE">
        <w:rPr>
          <w:color w:val="000000" w:themeColor="text1"/>
          <w:sz w:val="16"/>
          <w:szCs w:val="16"/>
        </w:rPr>
        <w:t>Севернее и северо-западнее города Грудзяндз (Грауденц) наши войска, наступая на север вдоль западного берега Вислы, овладели городом Нойенбург и заняли населённые пункты Гросс Комморск, Унтерберг, Эспенвердер. В этом районе продолжались бои по уничтожению гарнизона противника, окружённого в городе Грудзяндз (Грауденц).</w:t>
      </w:r>
    </w:p>
    <w:p w14:paraId="74B90309" w14:textId="77777777" w:rsidR="000F49EC" w:rsidRPr="00F90EAE" w:rsidRDefault="000F49EC" w:rsidP="00F90EAE">
      <w:pPr>
        <w:jc w:val="both"/>
        <w:rPr>
          <w:color w:val="000000" w:themeColor="text1"/>
          <w:sz w:val="16"/>
          <w:szCs w:val="16"/>
        </w:rPr>
      </w:pPr>
      <w:r w:rsidRPr="00F90EAE">
        <w:rPr>
          <w:color w:val="000000" w:themeColor="text1"/>
          <w:sz w:val="16"/>
          <w:szCs w:val="16"/>
        </w:rPr>
        <w:t>Юго-западнее и южнее Бреслау (Бреславль) наши войска в результате наступательных боёв овладели населёнными пунктами Окилиц, Моршельвитц, Альбрехтсдорф, Дамсдорф, Штейн, Данквиц, Клайн-Езериц, Грегерсдорф. Одновременно наши войска вели бои по уничтожению группировки противника в городе Бреслау (Бреславль) и, сжимая кольцо окружения, овладели населёнными пунктами Трешен, Броккау, Герцогсхуфен, Нойкирх, Гольдшмиден, Траутензе.</w:t>
      </w:r>
    </w:p>
    <w:p w14:paraId="78B66E85"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наши войска, находящиеся западнее реки Грон, отбивали атаки крупных сил пехоты и танков противника и после упорных боёв оставили несколько населённых пунктов.</w:t>
      </w:r>
    </w:p>
    <w:p w14:paraId="09BAE712"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23F4FAA" w14:textId="77777777" w:rsidR="000F49EC" w:rsidRPr="00F90EAE" w:rsidRDefault="000F49EC" w:rsidP="00F90EAE">
      <w:pPr>
        <w:jc w:val="both"/>
        <w:rPr>
          <w:color w:val="000000" w:themeColor="text1"/>
          <w:sz w:val="16"/>
          <w:szCs w:val="16"/>
        </w:rPr>
      </w:pPr>
      <w:r w:rsidRPr="00F90EAE">
        <w:rPr>
          <w:color w:val="000000" w:themeColor="text1"/>
          <w:sz w:val="16"/>
          <w:szCs w:val="16"/>
        </w:rPr>
        <w:t>За 18 февраля на всех фронтах подбито и уничтожено 117 немецких танков. В воздушных боях и огнём зенитной артиллерии сбито 84 самолёта противника.</w:t>
      </w:r>
    </w:p>
    <w:p w14:paraId="31E01A74" w14:textId="77777777" w:rsidR="000F49EC" w:rsidRPr="00F90EAE" w:rsidRDefault="000F49EC" w:rsidP="00F90EAE">
      <w:pPr>
        <w:jc w:val="both"/>
        <w:rPr>
          <w:color w:val="000000" w:themeColor="text1"/>
          <w:sz w:val="16"/>
          <w:szCs w:val="16"/>
        </w:rPr>
      </w:pPr>
      <w:r w:rsidRPr="00F90EAE">
        <w:rPr>
          <w:color w:val="000000" w:themeColor="text1"/>
          <w:sz w:val="16"/>
          <w:szCs w:val="16"/>
        </w:rPr>
        <w:t>Южнее Кенигсберга наши войска продолжали сжимать кольцо окружения Восточно-Прусской группировки противника. Северо-западнее города Ландсберг бойцы Н-ского соединения в ночном бою очистили от немцев лесной участок и заняли несколько сильно укреплённых населённых пунктов. Другие наши части, после упорных боёв, переправились через реку Пассарге и заняли на её восточном берегу селение Груненберг. Противник неоднократно переходил в контратаки, но все попытки гитлеровцев вернуть потерянные позиции закончились неудачей. В ходе боёв на этом участке немцы понесли большие потери в живой силе. На поле боя осталось 27 подбитых вражеских танков, 5 бронетранспортеров и десятки полевых орудий. Нашими войсками взято в плен более 420 немецких солдат и офицеров.</w:t>
      </w:r>
    </w:p>
    <w:p w14:paraId="7D63AAFB" w14:textId="77777777" w:rsidR="000F49EC" w:rsidRPr="00F90EAE" w:rsidRDefault="000F49EC" w:rsidP="00F90EAE">
      <w:pPr>
        <w:jc w:val="both"/>
        <w:rPr>
          <w:color w:val="000000" w:themeColor="text1"/>
          <w:sz w:val="16"/>
          <w:szCs w:val="16"/>
        </w:rPr>
      </w:pPr>
      <w:r w:rsidRPr="00F90EAE">
        <w:rPr>
          <w:color w:val="000000" w:themeColor="text1"/>
          <w:sz w:val="16"/>
          <w:szCs w:val="16"/>
        </w:rPr>
        <w:t>Советская авиация наносила удары по скоплениям живой силы и техники противника. В воздушных боях сбито 13 немецких самолётов. Кроме того, 8 вражеских самолётов уничтожено на аэродромах.</w:t>
      </w:r>
    </w:p>
    <w:p w14:paraId="73A34D07" w14:textId="77777777" w:rsidR="000F49EC" w:rsidRPr="00F90EAE" w:rsidRDefault="000F49EC" w:rsidP="00F90EAE">
      <w:pPr>
        <w:jc w:val="both"/>
        <w:rPr>
          <w:color w:val="000000" w:themeColor="text1"/>
          <w:sz w:val="16"/>
          <w:szCs w:val="16"/>
        </w:rPr>
      </w:pPr>
      <w:r w:rsidRPr="00F90EAE">
        <w:rPr>
          <w:color w:val="000000" w:themeColor="text1"/>
          <w:sz w:val="16"/>
          <w:szCs w:val="16"/>
        </w:rPr>
        <w:t xml:space="preserve">Севернее и северо-западнее города Грудзяндз (Грауденц) наши войска продолжали наступление. Сломив сопротивление противника, советские части продвинулись вперёд на 10 километров. Штурмом занят город Нойенбург — узел коммуникаций и сильный опорный пункт обороны немцев на западном берегу Вислы. Одновременно наши войска продолжали бои по ликвидация гарнизона противника, окружённого в городе Грудзяндз (Грауденц). Сегодня на рассвете два батальона гитлеровцев переправились на западный берег Вислы и пытались пробиться из окружения. Вражеская группа была встречена миномётным и пулемётным огнём наших </w:t>
      </w:r>
      <w:r w:rsidRPr="00F90EAE">
        <w:rPr>
          <w:color w:val="000000" w:themeColor="text1"/>
          <w:sz w:val="16"/>
          <w:szCs w:val="16"/>
        </w:rPr>
        <w:lastRenderedPageBreak/>
        <w:t>подразделений и в большей своей части уничтожена. Немцы, опираясь на укрепления, прикрывающие город Грудзяндз со всех сторон, оказывают упорное сопротивление. Советские части, продолжая сжимать кольцо окружения, ворвались на окраину города. За день боёв уничтожено более 1.500 солдат и офицеров противника. Захвачено у немцев 8 бронетранспортёров, 34 орудия и другие трофеи.</w:t>
      </w:r>
    </w:p>
    <w:p w14:paraId="5ACEEA78"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противник рано утром возобновил атаки. Немцы ввели в бой на узком участке крупные силы пехоты и две танковые дивизии. Завязались ожесточённые бои, в ходе которых отдельные населённые пункты неоднократно переходили из рук в руки. Ценою больших потерь противнику удалось занять несколько населённых пунктов. На поле боя осталось много вражеских трупов. По неполным данным, подбито 22 немецких танка и 9 бронетранспортёров.</w:t>
      </w:r>
    </w:p>
    <w:p w14:paraId="4F05F135" w14:textId="77777777" w:rsidR="000F49EC" w:rsidRPr="00F90EAE" w:rsidRDefault="000F49EC"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наносила удары по кораблям противника, обнаруженным в Балтийском море. Потоплены три немецких транспорта общим водоизмещением в 16 тысяч тонн и тральщик противника.</w:t>
      </w:r>
    </w:p>
    <w:p w14:paraId="32036282" w14:textId="77777777" w:rsidR="000F49EC" w:rsidRPr="00F90EAE" w:rsidRDefault="000F49EC" w:rsidP="00F90EAE">
      <w:pPr>
        <w:jc w:val="both"/>
        <w:rPr>
          <w:color w:val="000000" w:themeColor="text1"/>
          <w:sz w:val="16"/>
          <w:szCs w:val="16"/>
        </w:rPr>
      </w:pPr>
      <w:r w:rsidRPr="00F90EAE">
        <w:rPr>
          <w:color w:val="000000" w:themeColor="text1"/>
          <w:sz w:val="16"/>
          <w:szCs w:val="16"/>
        </w:rPr>
        <w:t>Кораблями флота на подходах к порту Лепая (Либава) пущены ко дну два немецких транспорта.</w:t>
      </w:r>
    </w:p>
    <w:p w14:paraId="46E6F06A" w14:textId="77777777" w:rsidR="000F49EC" w:rsidRPr="00F90EAE" w:rsidRDefault="000F49EC" w:rsidP="00F90EAE">
      <w:pPr>
        <w:jc w:val="both"/>
        <w:rPr>
          <w:color w:val="000000" w:themeColor="text1"/>
          <w:sz w:val="16"/>
          <w:szCs w:val="16"/>
        </w:rPr>
      </w:pPr>
      <w:r w:rsidRPr="00F90EAE">
        <w:rPr>
          <w:color w:val="000000" w:themeColor="text1"/>
          <w:sz w:val="16"/>
          <w:szCs w:val="16"/>
        </w:rPr>
        <w:t>Лётчики флота в воздушных боях сбили 11 самолётов противника.</w:t>
      </w:r>
    </w:p>
    <w:p w14:paraId="24A1EE86" w14:textId="77777777" w:rsidR="000F49EC" w:rsidRPr="00F90EAE" w:rsidRDefault="000F49EC" w:rsidP="00F90EAE">
      <w:pPr>
        <w:jc w:val="both"/>
        <w:rPr>
          <w:color w:val="000000" w:themeColor="text1"/>
          <w:sz w:val="16"/>
          <w:szCs w:val="16"/>
        </w:rPr>
      </w:pPr>
      <w:r w:rsidRPr="00F90EAE">
        <w:rPr>
          <w:color w:val="000000" w:themeColor="text1"/>
          <w:sz w:val="16"/>
          <w:szCs w:val="16"/>
        </w:rPr>
        <w:t>Немецкий фельдфебель Эрземан Гюнтер, взятый в плен в районе города Бреслау, рассказал: «В четверг, 18 января, в городе распространились тревожные слухи. Говорили, что русские войска вторглись в Силезию и двигаются на Бреслау. Местные газеты категорически опровергали подобные слухи и писали, что всё это ложь. Однако через несколько дней гаулейтер Силезии Ханке издал приказ, в котором требовал немедленной эвакуации жителей. Он угрожал суровыми репрессиями всем, кто не выполнит этого приказа. Паника, охватившая население, не поддаётся описанию. Жители города стремились уничтожить всё, что свидетельствовало бы о их связях с гитлеровским режимом. Из окон многих домов выбрасывали портреты Гитлера, мундиры штурмовиков, а также знамёна со свастикой. Тысячи жителей пешком устремились из города. На обледенелых шоссе сразу же образовались пробки. Застрявшие в пути толпы беженцев, впервые вкусившие все прелести эвакуации, проклинали фашистских чиновников, удиравших из города на автомашинах. В случайно проходивших поездах места брались с боя. Люди метались, как безумные. Многие были раздавлены и изувечены» (15045).</w:t>
      </w:r>
    </w:p>
    <w:p w14:paraId="73484040" w14:textId="77777777" w:rsidR="000F49EC" w:rsidRPr="00F90EAE" w:rsidRDefault="000F49EC" w:rsidP="00F90EAE">
      <w:pPr>
        <w:jc w:val="both"/>
        <w:rPr>
          <w:color w:val="000000" w:themeColor="text1"/>
          <w:sz w:val="16"/>
          <w:szCs w:val="16"/>
        </w:rPr>
      </w:pPr>
    </w:p>
    <w:p w14:paraId="35D5D295"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завершилась Западно-Карпатская операция войск 4-го Украинского и основных сил 2-го Украинского фронтов: советские войска освободили большую часть территории Словакии и южные районы Польши (15045).</w:t>
      </w:r>
    </w:p>
    <w:p w14:paraId="66FC775E" w14:textId="77777777" w:rsidR="000F49EC" w:rsidRPr="00F90EAE" w:rsidRDefault="000F49EC" w:rsidP="00F90EAE">
      <w:pPr>
        <w:jc w:val="both"/>
        <w:rPr>
          <w:color w:val="000000" w:themeColor="text1"/>
          <w:sz w:val="16"/>
          <w:szCs w:val="16"/>
        </w:rPr>
      </w:pPr>
    </w:p>
    <w:p w14:paraId="7E7C37CC"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за высокое воинское мастерство и решительность в боях с Инстербургской группировкой противника в Восточной Пруссии 26-ая гвардейская Краснознамённая Восточно-Сибирская Городокская стрелковая дивизия награждена орденом Суворова 2-ой степени (15045).</w:t>
      </w:r>
    </w:p>
    <w:p w14:paraId="7E758777" w14:textId="77777777" w:rsidR="000F49EC" w:rsidRPr="00F90EAE" w:rsidRDefault="000F49EC" w:rsidP="00F90EAE">
      <w:pPr>
        <w:jc w:val="both"/>
        <w:rPr>
          <w:color w:val="000000" w:themeColor="text1"/>
          <w:sz w:val="16"/>
          <w:szCs w:val="16"/>
        </w:rPr>
      </w:pPr>
    </w:p>
    <w:p w14:paraId="7DDAD1E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19, 1945: In East Prussia, German forces reestablish communications between Konigsberg and the port of Pillau, thus again enabling tens of thousands of German refugees to be evacuated to the West by ships of the Kriegsmarine. Operation Sonnenwende is stopped in the face of fierce Soviet resistance. The operation was a complete military failure, but did achieve the political goal of delaying Soviet operations to take Berlin by several months (3819).</w:t>
      </w:r>
    </w:p>
    <w:p w14:paraId="4EB32D29" w14:textId="77777777" w:rsidR="00665165" w:rsidRPr="00F90EAE" w:rsidRDefault="00665165" w:rsidP="00F90EAE">
      <w:pPr>
        <w:autoSpaceDE w:val="0"/>
        <w:autoSpaceDN w:val="0"/>
        <w:adjustRightInd w:val="0"/>
        <w:jc w:val="both"/>
        <w:rPr>
          <w:color w:val="000000" w:themeColor="text1"/>
          <w:sz w:val="16"/>
          <w:szCs w:val="16"/>
          <w:lang w:val="en-US"/>
        </w:rPr>
      </w:pPr>
    </w:p>
    <w:p w14:paraId="4AD858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в Восточной Пруссии немецкие части восстановили связь между Кенигсбергом и портом Пилау для того, чтобы продолжить эвакуацию немцев. В военном смысле операция провалилась, но в политическом - позволила оттянуть взятие берлина на несколько месяцев (3819).</w:t>
      </w:r>
    </w:p>
    <w:p w14:paraId="68BBD831" w14:textId="77777777" w:rsidR="00665165" w:rsidRPr="00F90EAE" w:rsidRDefault="00665165" w:rsidP="00F90EAE">
      <w:pPr>
        <w:autoSpaceDE w:val="0"/>
        <w:autoSpaceDN w:val="0"/>
        <w:adjustRightInd w:val="0"/>
        <w:jc w:val="both"/>
        <w:rPr>
          <w:color w:val="000000" w:themeColor="text1"/>
          <w:sz w:val="16"/>
          <w:szCs w:val="16"/>
        </w:rPr>
      </w:pPr>
    </w:p>
    <w:p w14:paraId="0961B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И.Кожедуб сбил Ме-262 - свой шестидесятый самолет (355,34).</w:t>
      </w:r>
    </w:p>
    <w:p w14:paraId="04AFB3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это было 24 февраля.</w:t>
      </w:r>
    </w:p>
    <w:p w14:paraId="63859F65" w14:textId="77777777" w:rsidR="00665165" w:rsidRPr="00F90EAE" w:rsidRDefault="00665165" w:rsidP="00F90EAE">
      <w:pPr>
        <w:autoSpaceDE w:val="0"/>
        <w:autoSpaceDN w:val="0"/>
        <w:adjustRightInd w:val="0"/>
        <w:jc w:val="both"/>
        <w:rPr>
          <w:color w:val="000000" w:themeColor="text1"/>
          <w:sz w:val="16"/>
          <w:szCs w:val="16"/>
        </w:rPr>
      </w:pPr>
    </w:p>
    <w:p w14:paraId="1840CF7E"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w:t>
      </w:r>
      <w:hyperlink r:id="rId42" w:tgtFrame="_blank" w:history="1">
        <w:r w:rsidRPr="00F90EAE">
          <w:rPr>
            <w:color w:val="000000" w:themeColor="text1"/>
            <w:sz w:val="16"/>
            <w:szCs w:val="16"/>
          </w:rPr>
          <w:t xml:space="preserve">Схватки с «Ме-262». </w:t>
        </w:r>
      </w:hyperlink>
      <w:r w:rsidRPr="00F90EAE">
        <w:rPr>
          <w:color w:val="000000" w:themeColor="text1"/>
          <w:sz w:val="16"/>
          <w:szCs w:val="16"/>
        </w:rPr>
        <w:t>Иван Кожедуб уничтожает в воздушном бою над Одером немецкий «Ме-262» (WNr.900284.) и первым из советских лётчиков открывает счет сбитым реактивным самолётам. Однако первые два реактивных истребителя были сбиты ещё 7 октября 1944 года, когда "Мустанг" из 375-й эскадрильи, 361-й истребительной группы под управлением лейтенанта Урбана Дрю спикировал на два взлетавших «Me-262» и отправил их на землю (15045).</w:t>
      </w:r>
    </w:p>
    <w:p w14:paraId="0964DA89" w14:textId="77777777" w:rsidR="000F49EC" w:rsidRPr="00F90EAE" w:rsidRDefault="000F49EC" w:rsidP="00F90EAE">
      <w:pPr>
        <w:jc w:val="both"/>
        <w:rPr>
          <w:color w:val="000000" w:themeColor="text1"/>
          <w:sz w:val="16"/>
          <w:szCs w:val="16"/>
        </w:rPr>
      </w:pPr>
    </w:p>
    <w:p w14:paraId="7D20715D" w14:textId="77777777" w:rsidR="0037412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0A9F472" w14:textId="77777777" w:rsidR="0037412D" w:rsidRPr="00F90EAE" w:rsidRDefault="0037412D" w:rsidP="00F90EAE">
      <w:pPr>
        <w:autoSpaceDE w:val="0"/>
        <w:autoSpaceDN w:val="0"/>
        <w:adjustRightInd w:val="0"/>
        <w:jc w:val="both"/>
        <w:rPr>
          <w:iCs/>
          <w:color w:val="000000" w:themeColor="text1"/>
          <w:sz w:val="16"/>
          <w:szCs w:val="16"/>
        </w:rPr>
      </w:pPr>
    </w:p>
    <w:p w14:paraId="73139666" w14:textId="77777777" w:rsidR="0037412D" w:rsidRPr="00F90EAE" w:rsidRDefault="0037412D" w:rsidP="00F90EAE">
      <w:pPr>
        <w:jc w:val="both"/>
        <w:rPr>
          <w:color w:val="000000" w:themeColor="text1"/>
          <w:sz w:val="16"/>
          <w:szCs w:val="16"/>
        </w:rPr>
      </w:pPr>
      <w:r w:rsidRPr="00F90EAE">
        <w:rPr>
          <w:color w:val="000000" w:themeColor="text1"/>
          <w:sz w:val="16"/>
          <w:szCs w:val="16"/>
        </w:rPr>
        <w:t>19 февраля 1945 артисты столицы провели день культурного отдыха раненого бойца. Коллектив МХАТа дал 65 концертов, коллектив Малого театра организовал около 100 выступлений. В спектаклях и концертах для раненых бойцов приняли участие артисты Камерного театра, Большого театра Союза ССР (три бригады), Театра имени Евг. Вахтангова (17459).</w:t>
      </w:r>
    </w:p>
    <w:p w14:paraId="517DB0DA" w14:textId="77777777" w:rsidR="0037412D" w:rsidRPr="00F90EAE" w:rsidRDefault="0037412D" w:rsidP="00F90EAE">
      <w:pPr>
        <w:jc w:val="both"/>
        <w:rPr>
          <w:color w:val="000000" w:themeColor="text1"/>
          <w:sz w:val="16"/>
          <w:szCs w:val="16"/>
        </w:rPr>
      </w:pPr>
    </w:p>
    <w:p w14:paraId="5DF68751" w14:textId="77777777" w:rsidR="0037412D" w:rsidRPr="00F90EAE" w:rsidRDefault="0037412D" w:rsidP="00F90EAE">
      <w:pPr>
        <w:jc w:val="both"/>
        <w:rPr>
          <w:color w:val="000000" w:themeColor="text1"/>
          <w:sz w:val="16"/>
          <w:szCs w:val="16"/>
        </w:rPr>
      </w:pPr>
      <w:r w:rsidRPr="00F90EAE">
        <w:rPr>
          <w:color w:val="000000" w:themeColor="text1"/>
          <w:sz w:val="16"/>
          <w:szCs w:val="16"/>
        </w:rPr>
        <w:t>19 февраля 1945 года</w:t>
      </w:r>
      <w:r w:rsidRPr="00F90EAE">
        <w:rPr>
          <w:bCs/>
          <w:color w:val="000000" w:themeColor="text1"/>
          <w:sz w:val="16"/>
          <w:szCs w:val="16"/>
        </w:rPr>
        <w:t>, вечером в понедельник, на одиннадцатый день после ареста, спецконвой из трёх смершевцев (офицер и два солдата) доставил арестанта в центральную тюрьму НКГБ. «Я должен был выбирать кратчайшую дорогу к тюрьме, я сам должен был привести их на Лубянку, на которой они никогда не были (а я её путал с министерством иностранных дел)». Раздевание догола, ощупывание, стрижка волос на голове и в местах их скопления на лице и теле, снова одевание (в свою одежду без пуговиц и застёжек), опять раздевание и опись особых примет, измерение роста, помывка, прожарка, фотографирование, отпечатки пальцев… Весь этот приёмный конвейер изматывает и подавляет, хотя с точки зрения тюрьмы, процедуры подчиняются внятной логике и давно заведенному порядку: предварительный обыск, установление личности, приём под расписку, основной обыск, 1 санобработка, запись примет и медосмотр. Бессонная ночь с 19 на 20 февраля тянулась бесконечно, во многих боксах и многих коридорах, на пустых лестницах и лестничных площадках, при мёртвой тишине, приучавшей арестанта быть покорным исполнителем тюремного режима (17459).</w:t>
      </w:r>
    </w:p>
    <w:p w14:paraId="55B20C63" w14:textId="77777777" w:rsidR="0037412D" w:rsidRPr="00F90EAE" w:rsidRDefault="0037412D" w:rsidP="00F90EAE">
      <w:pPr>
        <w:jc w:val="both"/>
        <w:rPr>
          <w:color w:val="000000" w:themeColor="text1"/>
          <w:sz w:val="16"/>
          <w:szCs w:val="16"/>
        </w:rPr>
      </w:pPr>
    </w:p>
    <w:p w14:paraId="2A92034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E93FE40" w14:textId="77777777" w:rsidR="00665165" w:rsidRPr="00F90EAE" w:rsidRDefault="00665165" w:rsidP="00F90EAE">
      <w:pPr>
        <w:autoSpaceDE w:val="0"/>
        <w:autoSpaceDN w:val="0"/>
        <w:adjustRightInd w:val="0"/>
        <w:jc w:val="both"/>
        <w:rPr>
          <w:iCs/>
          <w:color w:val="000000" w:themeColor="text1"/>
          <w:sz w:val="16"/>
          <w:szCs w:val="16"/>
        </w:rPr>
      </w:pPr>
    </w:p>
    <w:p w14:paraId="4E8DC014" w14:textId="77777777" w:rsidR="00426075" w:rsidRPr="00F90EAE" w:rsidRDefault="0042607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февраля 1945 года</w:t>
      </w:r>
      <w:r w:rsidRPr="00F90EAE">
        <w:rPr>
          <w:bCs/>
          <w:color w:val="000000" w:themeColor="text1"/>
          <w:sz w:val="16"/>
          <w:szCs w:val="16"/>
        </w:rPr>
        <w:t xml:space="preserve"> «Диск Белонце» совершил свой первый и последний экспериментальный полет. Машина, получившая кодовое наименование «Диск Белонце», была окольцована установкой из 12 наклонных реактивных двигателей. Они своими струями охлаждали «взрывной» двигатель и, всасывая воздух, создавали сверху аппарата область разрежения, что способствовало его подъему с меньшим усилием. За 3 минуты летчики-испытатели достигли высоты 15 000 метров и скорости 2200 километров в час при горизонтальном движении. Он мог зависать в воздухе и летать назад-вперед почти без разворотов, для приземления же имел складывающиеся стойки. Аппарат, стоивший миллионы, в конце войны был уничтожен. Хотя завод в Бреслау (ныне Вроцлав), где он строился, и попал в руки наших войск, это ничего не дало. Шривер и Шаубергер избежали советского плена и перебрались в США. В письме к другу в августе 1958 года Виктор Шаубергер писал: «Модель, испытанная в феврале 1945 года, была построена в сотрудничестве с первоклассными инженерами-специалистами по взрывам из числа заключенных концлагеря </w:t>
      </w:r>
      <w:r w:rsidRPr="00F90EAE">
        <w:rPr>
          <w:bCs/>
          <w:iCs/>
          <w:color w:val="000000" w:themeColor="text1"/>
          <w:sz w:val="16"/>
          <w:szCs w:val="16"/>
        </w:rPr>
        <w:t>Маутхаузен</w:t>
      </w:r>
      <w:r w:rsidRPr="00F90EAE">
        <w:rPr>
          <w:bCs/>
          <w:color w:val="000000" w:themeColor="text1"/>
          <w:sz w:val="16"/>
          <w:szCs w:val="16"/>
        </w:rPr>
        <w:t>. Затем их увезли в лагерь, для них это был конец. Я уже после войны слышал, что идет интенсивное развитие дискообразных летательных аппаратов, но, несмотря на прошедшее время и уйму захваченных в Германии документов, страны, ведущие разработки, не создали хотя бы что-то похожее на мою модель. Она была взорвана по приказу Кейтеля» (</w:t>
      </w:r>
      <w:r w:rsidRPr="00F90EAE">
        <w:rPr>
          <w:bCs/>
          <w:iCs/>
          <w:color w:val="000000" w:themeColor="text1"/>
          <w:sz w:val="16"/>
          <w:szCs w:val="16"/>
        </w:rPr>
        <w:t>С.Славин «Секретное оружие третьего рейха», М., Вече, 1999</w:t>
      </w:r>
      <w:r w:rsidRPr="00F90EAE">
        <w:rPr>
          <w:bCs/>
          <w:color w:val="000000" w:themeColor="text1"/>
          <w:sz w:val="16"/>
          <w:szCs w:val="16"/>
        </w:rPr>
        <w:t>) (17459).</w:t>
      </w:r>
    </w:p>
    <w:p w14:paraId="2F0EAF82" w14:textId="77777777" w:rsidR="00426075" w:rsidRPr="00F90EAE" w:rsidRDefault="00426075" w:rsidP="00F90EAE">
      <w:pPr>
        <w:tabs>
          <w:tab w:val="left" w:pos="11199"/>
        </w:tabs>
        <w:autoSpaceDE w:val="0"/>
        <w:autoSpaceDN w:val="0"/>
        <w:adjustRightInd w:val="0"/>
        <w:jc w:val="both"/>
        <w:rPr>
          <w:color w:val="000000" w:themeColor="text1"/>
          <w:sz w:val="16"/>
          <w:szCs w:val="16"/>
        </w:rPr>
      </w:pPr>
    </w:p>
    <w:p w14:paraId="616FEBC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февраля 1945 Гиммлер тайно встретился с главой Красного Креста графом Ф. Бернадотом, предложив мирные переговоры с Западом (4962).</w:t>
      </w:r>
    </w:p>
    <w:p w14:paraId="1DB65F6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75FDC0" w14:textId="77777777" w:rsidR="008D5ABD" w:rsidRPr="00F90EAE" w:rsidRDefault="008D5ABD" w:rsidP="00F90EAE">
      <w:pPr>
        <w:shd w:val="clear" w:color="auto" w:fill="FFFFFF"/>
        <w:jc w:val="both"/>
        <w:rPr>
          <w:color w:val="000000" w:themeColor="text1"/>
          <w:sz w:val="16"/>
          <w:szCs w:val="16"/>
        </w:rPr>
      </w:pPr>
      <w:r w:rsidRPr="00F90EAE">
        <w:rPr>
          <w:color w:val="000000" w:themeColor="text1"/>
          <w:sz w:val="16"/>
          <w:szCs w:val="16"/>
        </w:rPr>
        <w:t>9 февраля 1945 года</w:t>
      </w:r>
      <w:r w:rsidRPr="00F90EAE">
        <w:rPr>
          <w:bCs/>
          <w:color w:val="000000" w:themeColor="text1"/>
          <w:sz w:val="16"/>
          <w:szCs w:val="16"/>
        </w:rPr>
        <w:t xml:space="preserve"> состоялась встреча между графом Бернадоттом и Гиммлером в Хоэнлихене. По дороге туда я еще раз напомнил графу об особенностях характера Гиммлера и дал ему несколько советов относительно ведения предстоящих переговоров. Я знал, что Гиммлер никогда не согласится с просьбой Бернадотта об освобождении датских и норвежских пленных, и в качестве компромисса предложил собрать всех заключенных в сборном лагере в Северной Германии. Это предложение было одобрено обеими сторонами. На Гиммлера, казалось, произвела огромное впечатление встреча с Бернадоттом: он поручил мне взять на себя контроль за выполнением принятых решений, а также поддерживать и в дальнейшем тесный контакт с графом. Кроме того, я должен был сообщить Риббентропу об основных вопросах, обсуждавшихся на переговорах, и о достигнутом соглашении, чтобы он мог официально уведомить об этом графа. Прежде всего о результатах переговоров я сообщил Кальтенбруннеру и Мюллеру, поскольку оба они отвечали за полицейские меры в отношении заключенных. Кальтенбруннер обрушился на меня с упреками, говоря, что я оказал на Гиммлера слишком сильное влияние, встав на сторону Бернадотта. Вся идея сама по себе, сказал он, целиком утопична — где ему напастись бензину и транспортных средств, чтобы собрать заключенных, разбросанных по всей Германии. Кроме того, намеченный для сбора норвежцев и датчан лагерь Нойенгамме переполнен. Всегда одно и то же — как только людям, которые сами себя считают государственными деятелями, удается уговорить Гиммлера, получается одна бессмыслица (</w:t>
      </w:r>
      <w:r w:rsidRPr="00F90EAE">
        <w:rPr>
          <w:bCs/>
          <w:iCs/>
          <w:color w:val="000000" w:themeColor="text1"/>
          <w:sz w:val="16"/>
          <w:szCs w:val="16"/>
        </w:rPr>
        <w:t>Вальтер Шелленберг «Мемуары (Лабиринт)», Кёльн, 1959</w:t>
      </w:r>
      <w:r w:rsidRPr="00F90EAE">
        <w:rPr>
          <w:bCs/>
          <w:color w:val="000000" w:themeColor="text1"/>
          <w:sz w:val="16"/>
          <w:szCs w:val="16"/>
        </w:rPr>
        <w:t>) (17459).</w:t>
      </w:r>
    </w:p>
    <w:p w14:paraId="6194B612" w14:textId="77777777" w:rsidR="008D5ABD" w:rsidRPr="00F90EAE" w:rsidRDefault="008D5ABD" w:rsidP="00F90EAE">
      <w:pPr>
        <w:tabs>
          <w:tab w:val="left" w:pos="11199"/>
        </w:tabs>
        <w:autoSpaceDE w:val="0"/>
        <w:autoSpaceDN w:val="0"/>
        <w:adjustRightInd w:val="0"/>
        <w:jc w:val="both"/>
        <w:rPr>
          <w:color w:val="000000" w:themeColor="text1"/>
          <w:sz w:val="16"/>
          <w:szCs w:val="16"/>
        </w:rPr>
      </w:pPr>
    </w:p>
    <w:p w14:paraId="2119AC2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19 February 1945 US troops land at Iwo Jima (270).</w:t>
      </w:r>
    </w:p>
    <w:p w14:paraId="70EF19CE" w14:textId="77777777" w:rsidR="00665165" w:rsidRPr="00F90EAE" w:rsidRDefault="00665165" w:rsidP="00F90EAE">
      <w:pPr>
        <w:autoSpaceDE w:val="0"/>
        <w:autoSpaceDN w:val="0"/>
        <w:adjustRightInd w:val="0"/>
        <w:jc w:val="both"/>
        <w:rPr>
          <w:color w:val="000000" w:themeColor="text1"/>
          <w:sz w:val="16"/>
          <w:szCs w:val="16"/>
          <w:lang w:val="en-US"/>
        </w:rPr>
      </w:pPr>
    </w:p>
    <w:p w14:paraId="1FBDD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морские пехотинцы США высадились на Иводзиме (270).</w:t>
      </w:r>
    </w:p>
    <w:p w14:paraId="51E3DC6F" w14:textId="77777777" w:rsidR="00665165" w:rsidRPr="00F90EAE" w:rsidRDefault="00665165" w:rsidP="00F90EAE">
      <w:pPr>
        <w:autoSpaceDE w:val="0"/>
        <w:autoSpaceDN w:val="0"/>
        <w:adjustRightInd w:val="0"/>
        <w:jc w:val="both"/>
        <w:rPr>
          <w:color w:val="000000" w:themeColor="text1"/>
          <w:sz w:val="16"/>
          <w:szCs w:val="16"/>
        </w:rPr>
      </w:pPr>
    </w:p>
    <w:p w14:paraId="603A182B" w14:textId="77777777" w:rsidR="00A9131A" w:rsidRPr="00F90EAE" w:rsidRDefault="00A9131A" w:rsidP="00F90EAE">
      <w:pPr>
        <w:jc w:val="both"/>
        <w:rPr>
          <w:color w:val="0070C0"/>
          <w:sz w:val="16"/>
          <w:szCs w:val="16"/>
        </w:rPr>
      </w:pPr>
      <w:r w:rsidRPr="00F90EAE">
        <w:rPr>
          <w:color w:val="0070C0"/>
          <w:sz w:val="16"/>
          <w:szCs w:val="16"/>
        </w:rPr>
        <w:t>19 февраля 1945 силы Корпуса морской пехоты США вторгаются в Иводзиму, начиная кампанию на Иводзиме (20371).</w:t>
      </w:r>
    </w:p>
    <w:p w14:paraId="2FBE18F7" w14:textId="77777777" w:rsidR="00A9131A" w:rsidRPr="00F90EAE" w:rsidRDefault="00A9131A" w:rsidP="00F90EAE">
      <w:pPr>
        <w:jc w:val="both"/>
        <w:rPr>
          <w:color w:val="0070C0"/>
          <w:sz w:val="16"/>
          <w:szCs w:val="16"/>
        </w:rPr>
      </w:pPr>
    </w:p>
    <w:p w14:paraId="2D8C7F9E"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американские Вооруженные Силы в годы Второй мировой войны начали операцию по захвату острова Иводзима (Тихий океан). После ожесточенных боев японский гарнизон (свыше 20 тысяч человек) к 26 марта был почти полностью уничтожен. Потери ВС США - более 25 тысяч солдат и офицеров (15045).</w:t>
      </w:r>
    </w:p>
    <w:p w14:paraId="02089C74" w14:textId="77777777" w:rsidR="000F49EC" w:rsidRPr="00F90EAE" w:rsidRDefault="000F49EC" w:rsidP="00F90EAE">
      <w:pPr>
        <w:jc w:val="both"/>
        <w:rPr>
          <w:color w:val="000000" w:themeColor="text1"/>
          <w:sz w:val="16"/>
          <w:szCs w:val="16"/>
        </w:rPr>
      </w:pPr>
    </w:p>
    <w:p w14:paraId="1F66CFA1" w14:textId="77777777" w:rsidR="0037412D" w:rsidRPr="00F90EAE" w:rsidRDefault="0037412D" w:rsidP="00F90EAE">
      <w:pPr>
        <w:jc w:val="both"/>
        <w:rPr>
          <w:bCs/>
          <w:color w:val="000000" w:themeColor="text1"/>
          <w:sz w:val="16"/>
          <w:szCs w:val="16"/>
        </w:rPr>
      </w:pPr>
      <w:r w:rsidRPr="00F90EAE">
        <w:rPr>
          <w:color w:val="000000" w:themeColor="text1"/>
          <w:sz w:val="16"/>
          <w:szCs w:val="16"/>
        </w:rPr>
        <w:t xml:space="preserve">19 февраля 1945 г. две дивизии американской морской пехоты начала высадку на маленьком вулканическом острове Иводзима – на полпути от Марианских островов к Японии – здесь была японская авиабаза, с которой японцы мешали началу планомерных бомбардировок Японии. Ценой жизней более 6.800 морских пехотинцев американцы (была десантирована и третья дивизия, т.к. японцы сражались до последнего и </w:t>
      </w:r>
      <w:r w:rsidRPr="00F90EAE">
        <w:rPr>
          <w:bCs/>
          <w:iCs/>
          <w:color w:val="000000" w:themeColor="text1"/>
          <w:sz w:val="16"/>
          <w:szCs w:val="16"/>
        </w:rPr>
        <w:t>погибли все</w:t>
      </w:r>
      <w:r w:rsidRPr="00F90EAE">
        <w:rPr>
          <w:color w:val="000000" w:themeColor="text1"/>
          <w:sz w:val="16"/>
          <w:szCs w:val="16"/>
        </w:rPr>
        <w:t xml:space="preserve"> – около 21.000 чел.) к 16 марта захватили этот клочок суши в океане (менее 30 кв. км). С 17 марта 1945 г. остров стали готовить для американских бомбардировщиков B-29. За следующие 5 месяцев более чем 2.000 бомбардировщиков смогли высадиться на острове (17459).</w:t>
      </w:r>
    </w:p>
    <w:p w14:paraId="463823E3" w14:textId="77777777" w:rsidR="0037412D" w:rsidRPr="00F90EAE" w:rsidRDefault="0037412D" w:rsidP="00F90EAE">
      <w:pPr>
        <w:jc w:val="both"/>
        <w:rPr>
          <w:bCs/>
          <w:color w:val="000000" w:themeColor="text1"/>
          <w:sz w:val="16"/>
          <w:szCs w:val="16"/>
        </w:rPr>
      </w:pPr>
    </w:p>
    <w:p w14:paraId="72C5A87C" w14:textId="77777777" w:rsidR="0037412D" w:rsidRPr="00F90EAE" w:rsidRDefault="0037412D" w:rsidP="00F90EAE">
      <w:pPr>
        <w:jc w:val="both"/>
        <w:rPr>
          <w:bCs/>
          <w:color w:val="000000" w:themeColor="text1"/>
          <w:sz w:val="16"/>
          <w:szCs w:val="16"/>
        </w:rPr>
      </w:pPr>
      <w:r w:rsidRPr="00F90EAE">
        <w:rPr>
          <w:color w:val="000000" w:themeColor="text1"/>
          <w:sz w:val="16"/>
          <w:szCs w:val="16"/>
        </w:rPr>
        <w:t>19 февраля</w:t>
      </w:r>
      <w:r w:rsidRPr="00F90EAE">
        <w:rPr>
          <w:bCs/>
          <w:color w:val="000000" w:themeColor="text1"/>
          <w:sz w:val="16"/>
          <w:szCs w:val="16"/>
        </w:rPr>
        <w:t xml:space="preserve"> 1945 корабли артиллерийской поддержки перешли от методичного огня на разрушение к быстрому нейтрализующему огню, чтобы загнать обороняющиеся войска под землю. После того как свыше 100 самолетов 58-го оперативного соединения с ревом прошли над островом, ведя огонь из ракетных установок и пулеметов и сбрасывая фугасные и </w:t>
      </w:r>
      <w:r w:rsidRPr="00F90EAE">
        <w:rPr>
          <w:color w:val="000000" w:themeColor="text1"/>
          <w:sz w:val="16"/>
          <w:szCs w:val="16"/>
        </w:rPr>
        <w:t>напалмовые бомбы</w:t>
      </w:r>
      <w:r w:rsidRPr="00F90EAE">
        <w:rPr>
          <w:bCs/>
          <w:color w:val="000000" w:themeColor="text1"/>
          <w:sz w:val="16"/>
          <w:szCs w:val="16"/>
        </w:rPr>
        <w:t>, флот возобновил обстрел с моря. К исходному рубежу уже приближались около 500 высадочных катеров, на которых находилось восемь батальонов из состава 4-й и 5-й дивизий морской пехоты. В 08.30 первая волна десанта — 68 бронированных амфибийных машин — направилась к берегу. В этот момент артиллерия кораблей перенесла огонь, создавая перед фронтом и на флангах высаживающихся войск подвижную и неподвижные огневые завесы. Более 50 бронекатеров подошли к берегу для обеспечения непосредственной поддержки (17459).</w:t>
      </w:r>
    </w:p>
    <w:p w14:paraId="23DD81E7" w14:textId="77777777" w:rsidR="0037412D" w:rsidRPr="00F90EAE" w:rsidRDefault="0037412D" w:rsidP="00F90EAE">
      <w:pPr>
        <w:jc w:val="both"/>
        <w:rPr>
          <w:bCs/>
          <w:color w:val="000000" w:themeColor="text1"/>
          <w:sz w:val="16"/>
          <w:szCs w:val="16"/>
        </w:rPr>
      </w:pPr>
    </w:p>
    <w:p w14:paraId="03CD4148" w14:textId="77777777" w:rsidR="000F49EC" w:rsidRPr="00F90EAE" w:rsidRDefault="000F49EC" w:rsidP="00F90EAE">
      <w:pPr>
        <w:jc w:val="both"/>
        <w:rPr>
          <w:color w:val="000000" w:themeColor="text1"/>
          <w:sz w:val="16"/>
          <w:szCs w:val="16"/>
        </w:rPr>
      </w:pPr>
      <w:r w:rsidRPr="00F90EAE">
        <w:rPr>
          <w:bCs/>
          <w:color w:val="000000" w:themeColor="text1"/>
          <w:sz w:val="16"/>
          <w:szCs w:val="16"/>
        </w:rPr>
        <w:t>19 февраля</w:t>
      </w:r>
      <w:r w:rsidRPr="00F90EAE">
        <w:rPr>
          <w:color w:val="000000" w:themeColor="text1"/>
          <w:sz w:val="16"/>
          <w:szCs w:val="16"/>
        </w:rPr>
        <w:t xml:space="preserve"> в 1945 году в Бирме происходит самая массовая крокодилья атака. Крокодилы съедают до тысячи японских солдат, пытающихся спастись от англичан в болотах (15045).</w:t>
      </w:r>
    </w:p>
    <w:p w14:paraId="744E09C5" w14:textId="77777777" w:rsidR="000F49EC" w:rsidRPr="00F90EAE" w:rsidRDefault="000F49EC" w:rsidP="00F90EAE">
      <w:pPr>
        <w:jc w:val="both"/>
        <w:rPr>
          <w:color w:val="000000" w:themeColor="text1"/>
          <w:sz w:val="16"/>
          <w:szCs w:val="16"/>
        </w:rPr>
      </w:pPr>
    </w:p>
    <w:p w14:paraId="70D9C79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CBFEBE" w14:textId="77777777" w:rsidR="00665165" w:rsidRPr="00F90EAE" w:rsidRDefault="00665165" w:rsidP="00F90EAE">
      <w:pPr>
        <w:autoSpaceDE w:val="0"/>
        <w:autoSpaceDN w:val="0"/>
        <w:adjustRightInd w:val="0"/>
        <w:jc w:val="both"/>
        <w:rPr>
          <w:iCs/>
          <w:color w:val="000000" w:themeColor="text1"/>
          <w:sz w:val="16"/>
          <w:szCs w:val="16"/>
        </w:rPr>
      </w:pPr>
    </w:p>
    <w:p w14:paraId="45F8B3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закончились войсковые испытания Як-9Б (заводской индекс - Як-9Л) с ВК-105ПФ и 4хФАБ-100 или 128 ПТАБ-2,5-1,5 в 130 иад (командир п Ф.И.Шинкаренко), которые шли с 18 декабря 1944. Оценили положительно, но сброс 356 т бомб за 2494 боевых вылета оценили неудовлетворительно, так как не было прицела и была сделана только войсковая серия из 109 машин. Именно в 130 иад была эскадрилья "Малый театр - фронту" (65,136).</w:t>
      </w:r>
    </w:p>
    <w:p w14:paraId="70FB3AC4" w14:textId="77777777" w:rsidR="00665165" w:rsidRPr="00F90EAE" w:rsidRDefault="00665165" w:rsidP="00F90EAE">
      <w:pPr>
        <w:autoSpaceDE w:val="0"/>
        <w:autoSpaceDN w:val="0"/>
        <w:adjustRightInd w:val="0"/>
        <w:jc w:val="both"/>
        <w:rPr>
          <w:color w:val="000000" w:themeColor="text1"/>
          <w:sz w:val="16"/>
          <w:szCs w:val="16"/>
        </w:rPr>
      </w:pPr>
    </w:p>
    <w:p w14:paraId="710A60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в 130 иад неудачно закончились войсковые испытания Як-9Б переделанного в бомбардировщики - 4хФАБ или 4хкассета по 32 ПТАБ, которые проходили с 18 декабря 1944, но потом все же построили 109 машин, которыми полностью вооружили 130 иад (4237,25).</w:t>
      </w:r>
    </w:p>
    <w:p w14:paraId="3637F0C7" w14:textId="77777777" w:rsidR="00665165" w:rsidRPr="00F90EAE" w:rsidRDefault="00665165" w:rsidP="00F90EAE">
      <w:pPr>
        <w:autoSpaceDE w:val="0"/>
        <w:autoSpaceDN w:val="0"/>
        <w:adjustRightInd w:val="0"/>
        <w:jc w:val="both"/>
        <w:rPr>
          <w:color w:val="000000" w:themeColor="text1"/>
          <w:sz w:val="16"/>
          <w:szCs w:val="16"/>
        </w:rPr>
      </w:pPr>
    </w:p>
    <w:p w14:paraId="1B1CC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февраля по 5 мая 1945 в ЛИИ испытывали и доводился Як-3ПД с ВК-105ПД. С.Н.Анохин сделал 18 полетов. Двигатель ВК-105ПД был с 466 завода N 1012-43 и двухступенчатым нагнетателем Э-100 (65,174).</w:t>
      </w:r>
    </w:p>
    <w:p w14:paraId="3A6CF619" w14:textId="77777777" w:rsidR="00665165" w:rsidRPr="00F90EAE" w:rsidRDefault="00665165" w:rsidP="00F90EAE">
      <w:pPr>
        <w:autoSpaceDE w:val="0"/>
        <w:autoSpaceDN w:val="0"/>
        <w:adjustRightInd w:val="0"/>
        <w:jc w:val="both"/>
        <w:rPr>
          <w:color w:val="000000" w:themeColor="text1"/>
          <w:sz w:val="16"/>
          <w:szCs w:val="16"/>
        </w:rPr>
      </w:pPr>
    </w:p>
    <w:p w14:paraId="0129E8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года приказом НКАП № 76сс на завод № 301 было возложено переоборудование самолетов ЯК-9, ВК-105-ПФ в учебные с двойным управлением (вывозной вариант).</w:t>
      </w:r>
    </w:p>
    <w:p w14:paraId="3FD06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Директором завода в мае 1945 года был назначен Сычев В.В.</w:t>
      </w:r>
    </w:p>
    <w:p w14:paraId="38E510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46C7F3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Этим же приказом директором завода назначен гл. конструктор С.А. Лавочкин.</w:t>
      </w:r>
    </w:p>
    <w:p w14:paraId="7FC7CD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2F227E8A" w14:textId="77777777" w:rsidR="00665165" w:rsidRPr="00F90EAE" w:rsidRDefault="00665165" w:rsidP="00F90EAE">
      <w:pPr>
        <w:autoSpaceDE w:val="0"/>
        <w:autoSpaceDN w:val="0"/>
        <w:adjustRightInd w:val="0"/>
        <w:jc w:val="both"/>
        <w:rPr>
          <w:color w:val="000000" w:themeColor="text1"/>
          <w:sz w:val="16"/>
          <w:szCs w:val="16"/>
        </w:rPr>
      </w:pPr>
    </w:p>
    <w:p w14:paraId="595D370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20 февраля 1945 состояние опытного строительства на заводе № 81 было следующим:</w:t>
      </w:r>
    </w:p>
    <w:p w14:paraId="681582B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АШ-82ФН с 2 пушками НС-23 - заканчивается монтаж установки 2 пушек на серийном с-те Ла-7 К 25 февраля все работы по с-ту д.б. закончены.</w:t>
      </w:r>
    </w:p>
    <w:p w14:paraId="1C4407D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с АШ-82 с пушками Шпитального калибра 20 мм. На с-те работы временено прекращены из-за отсутствия рабочих жестянщиков (для доработки капотов</w:t>
      </w:r>
    </w:p>
    <w:p w14:paraId="78ED6B6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По “К” - ведется сборка макета (738,35).</w:t>
      </w:r>
    </w:p>
    <w:p w14:paraId="473EB712" w14:textId="77777777" w:rsidR="00665165" w:rsidRPr="00F90EAE" w:rsidRDefault="00665165" w:rsidP="00F90EAE">
      <w:pPr>
        <w:widowControl w:val="0"/>
        <w:autoSpaceDE w:val="0"/>
        <w:autoSpaceDN w:val="0"/>
        <w:adjustRightInd w:val="0"/>
        <w:jc w:val="both"/>
        <w:rPr>
          <w:color w:val="000000" w:themeColor="text1"/>
          <w:sz w:val="16"/>
          <w:szCs w:val="16"/>
        </w:rPr>
      </w:pPr>
    </w:p>
    <w:p w14:paraId="4C020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г. второй экземпляр истребителя И-225 был закончен в производстве (5852,40).</w:t>
      </w:r>
    </w:p>
    <w:p w14:paraId="04DC262C" w14:textId="77777777" w:rsidR="00665165" w:rsidRPr="00F90EAE" w:rsidRDefault="00665165" w:rsidP="00F90EAE">
      <w:pPr>
        <w:autoSpaceDE w:val="0"/>
        <w:autoSpaceDN w:val="0"/>
        <w:adjustRightInd w:val="0"/>
        <w:jc w:val="both"/>
        <w:rPr>
          <w:color w:val="000000" w:themeColor="text1"/>
          <w:sz w:val="16"/>
          <w:szCs w:val="16"/>
        </w:rPr>
      </w:pPr>
    </w:p>
    <w:p w14:paraId="0CB121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февраля 1945 г. изготовили второй экземпляр истребителя И—225 (9984).</w:t>
      </w:r>
    </w:p>
    <w:p w14:paraId="025588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652AD27" w14:textId="77777777" w:rsidR="000F49EC" w:rsidRPr="00F90EAE" w:rsidRDefault="000F49EC" w:rsidP="00F90EAE">
      <w:pPr>
        <w:jc w:val="both"/>
        <w:rPr>
          <w:color w:val="000000" w:themeColor="text1"/>
          <w:sz w:val="16"/>
          <w:szCs w:val="16"/>
        </w:rPr>
      </w:pPr>
      <w:r w:rsidRPr="00F90EAE">
        <w:rPr>
          <w:bCs/>
          <w:color w:val="000000" w:themeColor="text1"/>
          <w:sz w:val="16"/>
          <w:szCs w:val="16"/>
        </w:rPr>
        <w:t>20 февраля</w:t>
      </w:r>
      <w:r w:rsidRPr="00F90EAE">
        <w:rPr>
          <w:color w:val="000000" w:themeColor="text1"/>
          <w:sz w:val="16"/>
          <w:szCs w:val="16"/>
        </w:rPr>
        <w:t xml:space="preserve"> в 1945 году второй экземпляр истребителя </w:t>
      </w:r>
      <w:hyperlink r:id="rId43" w:tgtFrame="_blank" w:history="1">
        <w:r w:rsidRPr="00F90EAE">
          <w:rPr>
            <w:color w:val="000000" w:themeColor="text1"/>
            <w:sz w:val="16"/>
            <w:szCs w:val="16"/>
          </w:rPr>
          <w:t xml:space="preserve">«И-225» </w:t>
        </w:r>
      </w:hyperlink>
      <w:r w:rsidRPr="00F90EAE">
        <w:rPr>
          <w:color w:val="000000" w:themeColor="text1"/>
          <w:sz w:val="16"/>
          <w:szCs w:val="16"/>
        </w:rPr>
        <w:t>был закончен в производстве. Первоначально на самолет планировали установить мотор «АМ-43», однако из-за его отсутствия на него поставили «АМ-42ФБ» № 01. Кроме того, самолёт оснастили турбокомпрессором «АМТК-1А», воздухо-воздушным радиатором, трёхлопастным воздушным винтом «АВ-5Л-22»В диаметром 3,6 м, а также гермокабиной. Вооружение состояло из четырёх синхронных 20-мм пушек «СШ-20» с боекомплектом по 100 патронов. Опытные пушки «СШ-20» в дальнейшем планировали заменить на серийные «Б-20» (15046).</w:t>
      </w:r>
    </w:p>
    <w:p w14:paraId="4CC97FFF" w14:textId="77777777" w:rsidR="000F49EC" w:rsidRPr="00F90EAE" w:rsidRDefault="000F49EC" w:rsidP="00F90EAE">
      <w:pPr>
        <w:jc w:val="both"/>
        <w:rPr>
          <w:color w:val="000000" w:themeColor="text1"/>
          <w:sz w:val="16"/>
          <w:szCs w:val="16"/>
        </w:rPr>
      </w:pPr>
    </w:p>
    <w:p w14:paraId="4B8DC8CC" w14:textId="77777777" w:rsidR="00A9131A" w:rsidRPr="00F90EAE" w:rsidRDefault="00A9131A" w:rsidP="00F90EAE">
      <w:pPr>
        <w:jc w:val="both"/>
        <w:rPr>
          <w:color w:val="0070C0"/>
          <w:sz w:val="16"/>
          <w:szCs w:val="16"/>
        </w:rPr>
      </w:pPr>
      <w:r w:rsidRPr="00F90EAE">
        <w:rPr>
          <w:color w:val="0070C0"/>
          <w:sz w:val="16"/>
          <w:szCs w:val="16"/>
        </w:rPr>
        <w:t>С 20 февраля 1945 г. по 24 января 1947 г. дирижабль мягкого типа «Победа», сконструированный по итогам эксплуатации «СССР В-12» КБ Б.А. Гарфа, состоявшее из семи человек, совершила 99 полётов суммар</w:t>
      </w:r>
      <w:r w:rsidRPr="00F90EAE">
        <w:rPr>
          <w:color w:val="0070C0"/>
          <w:sz w:val="16"/>
          <w:szCs w:val="16"/>
        </w:rPr>
        <w:softHyphen/>
        <w:t>ной продолжительностью 285 ч 10 мин, пройдя в общей сложности 15 315 км. В 26 полётах она перевёзла 16900 м3 газа с Московского электро</w:t>
      </w:r>
      <w:r w:rsidRPr="00F90EAE">
        <w:rPr>
          <w:color w:val="0070C0"/>
          <w:sz w:val="16"/>
          <w:szCs w:val="16"/>
        </w:rPr>
        <w:softHyphen/>
        <w:t>лизного завода в воздухоплавательные части ВДВ на расстояние от 20-50 км (Павловская слобо</w:t>
      </w:r>
      <w:r w:rsidRPr="00F90EAE">
        <w:rPr>
          <w:color w:val="0070C0"/>
          <w:sz w:val="16"/>
          <w:szCs w:val="16"/>
        </w:rPr>
        <w:softHyphen/>
        <w:t>да, Медвежьи Озера, Звенигород) до 200-500 км (Тейково и Иваново).</w:t>
      </w:r>
    </w:p>
    <w:p w14:paraId="195D068A" w14:textId="77777777" w:rsidR="00A9131A" w:rsidRPr="00F90EAE" w:rsidRDefault="00A9131A" w:rsidP="00F90EAE">
      <w:pPr>
        <w:jc w:val="both"/>
        <w:rPr>
          <w:color w:val="0070C0"/>
          <w:sz w:val="16"/>
          <w:szCs w:val="16"/>
        </w:rPr>
      </w:pPr>
      <w:r w:rsidRPr="00F90EAE">
        <w:rPr>
          <w:color w:val="0070C0"/>
          <w:sz w:val="16"/>
          <w:szCs w:val="16"/>
        </w:rPr>
        <w:t>Велась работа и над наземным оборудовани</w:t>
      </w:r>
      <w:r w:rsidRPr="00F90EAE">
        <w:rPr>
          <w:color w:val="0070C0"/>
          <w:sz w:val="16"/>
          <w:szCs w:val="16"/>
        </w:rPr>
        <w:softHyphen/>
        <w:t>ем для дирижаблей. КБ при 1-ом ОВД ВДВ, ру</w:t>
      </w:r>
      <w:r w:rsidRPr="00F90EAE">
        <w:rPr>
          <w:color w:val="0070C0"/>
          <w:sz w:val="16"/>
          <w:szCs w:val="16"/>
        </w:rPr>
        <w:softHyphen/>
        <w:t>ководимое Б.А. Гарфом, построило низкие при</w:t>
      </w:r>
      <w:r w:rsidRPr="00F90EAE">
        <w:rPr>
          <w:color w:val="0070C0"/>
          <w:sz w:val="16"/>
          <w:szCs w:val="16"/>
        </w:rPr>
        <w:softHyphen/>
        <w:t>чальные мачты для полевой стоянки дирижаблей и разработало систему посадки дирижабля с по</w:t>
      </w:r>
      <w:r w:rsidRPr="00F90EAE">
        <w:rPr>
          <w:color w:val="0070C0"/>
          <w:sz w:val="16"/>
          <w:szCs w:val="16"/>
        </w:rPr>
        <w:softHyphen/>
        <w:t>мощью автомобильного причала.</w:t>
      </w:r>
    </w:p>
    <w:p w14:paraId="20D09A1A" w14:textId="77777777" w:rsidR="00A9131A" w:rsidRPr="00F90EAE" w:rsidRDefault="00A9131A" w:rsidP="00F90EAE">
      <w:pPr>
        <w:jc w:val="both"/>
        <w:rPr>
          <w:color w:val="0070C0"/>
          <w:sz w:val="16"/>
          <w:szCs w:val="16"/>
        </w:rPr>
      </w:pPr>
      <w:r w:rsidRPr="00F90EAE">
        <w:rPr>
          <w:color w:val="0070C0"/>
          <w:sz w:val="16"/>
          <w:szCs w:val="16"/>
        </w:rPr>
        <w:t>В сентябре 1945 г. дирижабль «Победа» напра</w:t>
      </w:r>
      <w:r w:rsidRPr="00F90EAE">
        <w:rPr>
          <w:color w:val="0070C0"/>
          <w:sz w:val="16"/>
          <w:szCs w:val="16"/>
        </w:rPr>
        <w:softHyphen/>
        <w:t>вили в распоряжение командующего ЧФ адми</w:t>
      </w:r>
      <w:r w:rsidRPr="00F90EAE">
        <w:rPr>
          <w:color w:val="0070C0"/>
          <w:sz w:val="16"/>
          <w:szCs w:val="16"/>
        </w:rPr>
        <w:softHyphen/>
        <w:t>рала Ф.С. Октябрьского для поиска затонувших кораблей и мин заграждения. Группу воздухо</w:t>
      </w:r>
      <w:r w:rsidRPr="00F90EAE">
        <w:rPr>
          <w:color w:val="0070C0"/>
          <w:sz w:val="16"/>
          <w:szCs w:val="16"/>
        </w:rPr>
        <w:softHyphen/>
        <w:t>плавателей возглавил заместитель командира ОВД ВДВ В.А. Устинович. Командиром дирижа</w:t>
      </w:r>
      <w:r w:rsidRPr="00F90EAE">
        <w:rPr>
          <w:color w:val="0070C0"/>
          <w:sz w:val="16"/>
          <w:szCs w:val="16"/>
        </w:rPr>
        <w:softHyphen/>
        <w:t>бля был капитан А.И. Рощин, пилотом — стар</w:t>
      </w:r>
      <w:r w:rsidRPr="00F90EAE">
        <w:rPr>
          <w:color w:val="0070C0"/>
          <w:sz w:val="16"/>
          <w:szCs w:val="16"/>
        </w:rPr>
        <w:softHyphen/>
        <w:t>ший лейтенант Ф.И. Мутовкин. В состав группы входили также старший бортмеханик капитан С.Н. Горячев и бортрадист старший сержант А.Д. Салабай.</w:t>
      </w:r>
    </w:p>
    <w:p w14:paraId="7DB4933C" w14:textId="77777777" w:rsidR="00A9131A" w:rsidRPr="00F90EAE" w:rsidRDefault="00A9131A" w:rsidP="00F90EAE">
      <w:pPr>
        <w:jc w:val="both"/>
        <w:rPr>
          <w:color w:val="0070C0"/>
          <w:sz w:val="16"/>
          <w:szCs w:val="16"/>
        </w:rPr>
      </w:pPr>
      <w:r w:rsidRPr="00F90EAE">
        <w:rPr>
          <w:color w:val="0070C0"/>
          <w:sz w:val="16"/>
          <w:szCs w:val="16"/>
        </w:rPr>
        <w:t>«Победа» выполнила перелёт из Москвы в Се</w:t>
      </w:r>
      <w:r w:rsidRPr="00F90EAE">
        <w:rPr>
          <w:color w:val="0070C0"/>
          <w:sz w:val="16"/>
          <w:szCs w:val="16"/>
        </w:rPr>
        <w:softHyphen/>
        <w:t>вастополь, где базировалась под открытым небом в Килен-балке. Здесь дирижабль выдержал трёх</w:t>
      </w:r>
      <w:r w:rsidRPr="00F90EAE">
        <w:rPr>
          <w:color w:val="0070C0"/>
          <w:sz w:val="16"/>
          <w:szCs w:val="16"/>
        </w:rPr>
        <w:softHyphen/>
        <w:t>суточный шторм, срывавший с якорей морские буксиры и катера.</w:t>
      </w:r>
    </w:p>
    <w:p w14:paraId="1381630E" w14:textId="77777777" w:rsidR="00A9131A" w:rsidRPr="00F90EAE" w:rsidRDefault="00A9131A" w:rsidP="00F90EAE">
      <w:pPr>
        <w:jc w:val="both"/>
        <w:rPr>
          <w:color w:val="0070C0"/>
          <w:sz w:val="16"/>
          <w:szCs w:val="16"/>
        </w:rPr>
      </w:pPr>
      <w:r w:rsidRPr="00F90EAE">
        <w:rPr>
          <w:color w:val="0070C0"/>
          <w:sz w:val="16"/>
          <w:szCs w:val="16"/>
        </w:rPr>
        <w:t>26 сентября дирижабль вылетел в первый оз</w:t>
      </w:r>
      <w:r w:rsidRPr="00F90EAE">
        <w:rPr>
          <w:color w:val="0070C0"/>
          <w:sz w:val="16"/>
          <w:szCs w:val="16"/>
        </w:rPr>
        <w:softHyphen/>
        <w:t>накомительный полёт над акваторией Чёрного моря, продолжавшийся 4 ч 20 мин. В ходе полёта было установлено, что затонувшие корабли хо</w:t>
      </w:r>
      <w:r w:rsidRPr="00F90EAE">
        <w:rPr>
          <w:color w:val="0070C0"/>
          <w:sz w:val="16"/>
          <w:szCs w:val="16"/>
        </w:rPr>
        <w:softHyphen/>
        <w:t>рошо просматривались на глубинах до 100 м.</w:t>
      </w:r>
    </w:p>
    <w:p w14:paraId="65C1C61B" w14:textId="77777777" w:rsidR="00A9131A" w:rsidRPr="00F90EAE" w:rsidRDefault="00A9131A" w:rsidP="00F90EAE">
      <w:pPr>
        <w:jc w:val="both"/>
        <w:rPr>
          <w:color w:val="0070C0"/>
          <w:sz w:val="16"/>
          <w:szCs w:val="16"/>
        </w:rPr>
      </w:pPr>
      <w:r w:rsidRPr="00F90EAE">
        <w:rPr>
          <w:color w:val="0070C0"/>
          <w:sz w:val="16"/>
          <w:szCs w:val="16"/>
        </w:rPr>
        <w:t>В последующих полётах дирижабль прово</w:t>
      </w:r>
      <w:r w:rsidRPr="00F90EAE">
        <w:rPr>
          <w:color w:val="0070C0"/>
          <w:sz w:val="16"/>
          <w:szCs w:val="16"/>
        </w:rPr>
        <w:softHyphen/>
        <w:t>дил также аэрофотосъемку минных полей, уча</w:t>
      </w:r>
      <w:r w:rsidRPr="00F90EAE">
        <w:rPr>
          <w:color w:val="0070C0"/>
          <w:sz w:val="16"/>
          <w:szCs w:val="16"/>
        </w:rPr>
        <w:softHyphen/>
        <w:t>ствовал в экспериментах по обнаружению под</w:t>
      </w:r>
      <w:r w:rsidRPr="00F90EAE">
        <w:rPr>
          <w:color w:val="0070C0"/>
          <w:sz w:val="16"/>
          <w:szCs w:val="16"/>
        </w:rPr>
        <w:softHyphen/>
        <w:t>водных лодок. В одном из полётов на выходе из Севастопольской бухты с «Победы» обнаружили мину в районе, где до этого неоднократно про</w:t>
      </w:r>
      <w:r w:rsidRPr="00F90EAE">
        <w:rPr>
          <w:color w:val="0070C0"/>
          <w:sz w:val="16"/>
          <w:szCs w:val="16"/>
        </w:rPr>
        <w:softHyphen/>
        <w:t>водилось траление. Вызванный по радио траль</w:t>
      </w:r>
      <w:r w:rsidRPr="00F90EAE">
        <w:rPr>
          <w:color w:val="0070C0"/>
          <w:sz w:val="16"/>
          <w:szCs w:val="16"/>
        </w:rPr>
        <w:softHyphen/>
        <w:t>щик выловил мину и отбуксировал её в открытое море для уничтожения. Иногда дирижабль опус</w:t>
      </w:r>
      <w:r w:rsidRPr="00F90EAE">
        <w:rPr>
          <w:color w:val="0070C0"/>
          <w:sz w:val="16"/>
          <w:szCs w:val="16"/>
        </w:rPr>
        <w:softHyphen/>
        <w:t>кался над морем до 5 м, и его экипаж свободно разговаривал с командирами катеров, указывая им местонахождение мин. Во время морских уче</w:t>
      </w:r>
      <w:r w:rsidRPr="00F90EAE">
        <w:rPr>
          <w:color w:val="0070C0"/>
          <w:sz w:val="16"/>
          <w:szCs w:val="16"/>
        </w:rPr>
        <w:softHyphen/>
        <w:t>ний дирижабль на значительном удалении от бе</w:t>
      </w:r>
      <w:r w:rsidRPr="00F90EAE">
        <w:rPr>
          <w:color w:val="0070C0"/>
          <w:sz w:val="16"/>
          <w:szCs w:val="16"/>
        </w:rPr>
        <w:softHyphen/>
        <w:t>рега отыскивал нужные военные суда, передавал им грузы, донесения и почту. Попутно «Победа» проводила опыты по разведке косяков рыб.</w:t>
      </w:r>
    </w:p>
    <w:p w14:paraId="55D9F896" w14:textId="77777777" w:rsidR="00A9131A" w:rsidRPr="00F90EAE" w:rsidRDefault="00A9131A" w:rsidP="00F90EAE">
      <w:pPr>
        <w:jc w:val="both"/>
        <w:rPr>
          <w:color w:val="0070C0"/>
          <w:sz w:val="16"/>
          <w:szCs w:val="16"/>
        </w:rPr>
      </w:pPr>
      <w:r w:rsidRPr="00F90EAE">
        <w:rPr>
          <w:color w:val="0070C0"/>
          <w:sz w:val="16"/>
          <w:szCs w:val="16"/>
        </w:rPr>
        <w:t>Всего на Черном море «Победа» соверши</w:t>
      </w:r>
      <w:r w:rsidRPr="00F90EAE">
        <w:rPr>
          <w:color w:val="0070C0"/>
          <w:sz w:val="16"/>
          <w:szCs w:val="16"/>
        </w:rPr>
        <w:softHyphen/>
        <w:t>ла 20 полётов общей продолжительностью 113 ч 29 мин, пройдя расстояние около 5500 км. По итогам работы экипажа дирижабля адмирал Ф.С. Октябрьский запросил в Главном штабе ВМФ для ЧФ две эскадры дирижаблей (20120).</w:t>
      </w:r>
    </w:p>
    <w:p w14:paraId="26227939" w14:textId="77777777" w:rsidR="00A9131A" w:rsidRPr="00F90EAE" w:rsidRDefault="00A9131A" w:rsidP="00F90EAE">
      <w:pPr>
        <w:jc w:val="both"/>
        <w:rPr>
          <w:color w:val="0070C0"/>
          <w:sz w:val="16"/>
          <w:szCs w:val="16"/>
        </w:rPr>
      </w:pPr>
    </w:p>
    <w:p w14:paraId="6940276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D34D5D0" w14:textId="77777777" w:rsidR="00665165" w:rsidRPr="00F90EAE" w:rsidRDefault="00665165" w:rsidP="00F90EAE">
      <w:pPr>
        <w:autoSpaceDE w:val="0"/>
        <w:autoSpaceDN w:val="0"/>
        <w:adjustRightInd w:val="0"/>
        <w:jc w:val="both"/>
        <w:rPr>
          <w:iCs/>
          <w:color w:val="000000" w:themeColor="text1"/>
          <w:sz w:val="16"/>
          <w:szCs w:val="16"/>
        </w:rPr>
      </w:pPr>
    </w:p>
    <w:p w14:paraId="4EFB71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февраля 1945 г. танк ИС-3 ("Объект 703") № 2 из установочной серии после предъявления военному представительству был отправлен в Москву (10703).</w:t>
      </w:r>
    </w:p>
    <w:p w14:paraId="1F351C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38CF8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февраля 1945 г. эталонный образец танка ИС-3 («Объ</w:t>
      </w:r>
      <w:r w:rsidRPr="00F90EAE">
        <w:rPr>
          <w:color w:val="000000" w:themeColor="text1"/>
          <w:sz w:val="16"/>
          <w:szCs w:val="16"/>
        </w:rPr>
        <w:softHyphen/>
        <w:t>ект 703») № 2 отправился для государственных испытаний, которые состоялись на НИБТ полигоне, с 23 марта по 12 ап</w:t>
      </w:r>
      <w:r w:rsidRPr="00F90EAE">
        <w:rPr>
          <w:color w:val="000000" w:themeColor="text1"/>
          <w:sz w:val="16"/>
          <w:szCs w:val="16"/>
        </w:rPr>
        <w:softHyphen/>
        <w:t xml:space="preserve">реля 1945 г. танк ИС-3 № 3 поступил на полигон 26 марта. 21 мая начальник техуправления ГБТУ Красной Армии Бла-гонравов подписал комплект </w:t>
      </w:r>
      <w:r w:rsidRPr="00F90EAE">
        <w:rPr>
          <w:color w:val="000000" w:themeColor="text1"/>
          <w:sz w:val="16"/>
          <w:szCs w:val="16"/>
        </w:rPr>
        <w:lastRenderedPageBreak/>
        <w:t>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обкатку...(11135).</w:t>
      </w:r>
    </w:p>
    <w:p w14:paraId="623521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40564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E3B4BCB" w14:textId="77777777" w:rsidR="00665165" w:rsidRPr="00F90EAE" w:rsidRDefault="00665165" w:rsidP="00F90EAE">
      <w:pPr>
        <w:autoSpaceDE w:val="0"/>
        <w:autoSpaceDN w:val="0"/>
        <w:adjustRightInd w:val="0"/>
        <w:jc w:val="both"/>
        <w:rPr>
          <w:iCs/>
          <w:color w:val="000000" w:themeColor="text1"/>
          <w:sz w:val="16"/>
          <w:szCs w:val="16"/>
        </w:rPr>
      </w:pPr>
    </w:p>
    <w:p w14:paraId="23D78EB4" w14:textId="77777777" w:rsidR="000F49EC" w:rsidRPr="00F90EAE" w:rsidRDefault="000F49EC" w:rsidP="00F90EAE">
      <w:pPr>
        <w:jc w:val="both"/>
        <w:rPr>
          <w:color w:val="000000" w:themeColor="text1"/>
          <w:sz w:val="16"/>
          <w:szCs w:val="16"/>
        </w:rPr>
      </w:pPr>
      <w:r w:rsidRPr="00F90EAE">
        <w:rPr>
          <w:bCs/>
          <w:color w:val="000000" w:themeColor="text1"/>
          <w:sz w:val="16"/>
          <w:szCs w:val="16"/>
        </w:rPr>
        <w:t>20 февраля</w:t>
      </w:r>
      <w:r w:rsidRPr="00F90EAE">
        <w:rPr>
          <w:color w:val="000000" w:themeColor="text1"/>
          <w:sz w:val="16"/>
          <w:szCs w:val="16"/>
        </w:rPr>
        <w:t xml:space="preserve"> в 1945 году оперативная сводка Совинформбюро:</w:t>
      </w:r>
    </w:p>
    <w:p w14:paraId="1F8A4EB5" w14:textId="77777777" w:rsidR="000F49EC" w:rsidRPr="00F90EAE" w:rsidRDefault="000F49EC" w:rsidP="00F90EAE">
      <w:pPr>
        <w:jc w:val="both"/>
        <w:rPr>
          <w:color w:val="000000" w:themeColor="text1"/>
          <w:sz w:val="16"/>
          <w:szCs w:val="16"/>
        </w:rPr>
      </w:pPr>
      <w:r w:rsidRPr="00F90EAE">
        <w:rPr>
          <w:color w:val="000000" w:themeColor="text1"/>
          <w:sz w:val="16"/>
          <w:szCs w:val="16"/>
        </w:rPr>
        <w:t>«В течение 20 февраля на Земландском полуострове наши войска отбивали атаки пехоты и танков противника, стремящегося, несмотря на большие потери, пробиться из Кенигсберга на запад в направлении Пиллау. Одновременно юго-западнее Кенигсберга наши войска сжимали кольцо окружения Восточно-Прусской группировки немцев и овладели населёнными пунктами Альбенлаук, Немриттен, Кан-Диттен, Гуттенфельд, Айххольц, Волау, Гауден, Пакхаузен, Борхертсдорф. В боях за 19 февраля в районе западнее и юго-западнее Кенигсберга подбито и уничтожено 70 немецких танков и взято в плен более 600 солдат и офицеров противника.</w:t>
      </w:r>
    </w:p>
    <w:p w14:paraId="17FA3BE4" w14:textId="77777777" w:rsidR="000F49EC" w:rsidRPr="00F90EAE" w:rsidRDefault="000F49EC" w:rsidP="00F90EAE">
      <w:pPr>
        <w:jc w:val="both"/>
        <w:rPr>
          <w:color w:val="000000" w:themeColor="text1"/>
          <w:sz w:val="16"/>
          <w:szCs w:val="16"/>
        </w:rPr>
      </w:pPr>
      <w:r w:rsidRPr="00F90EAE">
        <w:rPr>
          <w:color w:val="000000" w:themeColor="text1"/>
          <w:sz w:val="16"/>
          <w:szCs w:val="16"/>
        </w:rPr>
        <w:t>Южнее Данцига наши войска, продолжая наступление вдоль западного берега Вислы, с боями заняли более 50 населённых пунктов, среди которых крупные населённые пункты Мюнотервальде, Хальбдорф, Лялькау, Ящерск, Каспарус, Линовег, Гросс Шливиц, Гагенорт, Шляхта. В городе Грудзяндз (Грауденц) продолжались бои по уничтожению окружённого гарнизона противника.</w:t>
      </w:r>
    </w:p>
    <w:p w14:paraId="75D84DE6" w14:textId="77777777" w:rsidR="000F49EC" w:rsidRPr="00F90EAE" w:rsidRDefault="000F49EC" w:rsidP="00F90EAE">
      <w:pPr>
        <w:jc w:val="both"/>
        <w:rPr>
          <w:color w:val="000000" w:themeColor="text1"/>
          <w:sz w:val="16"/>
          <w:szCs w:val="16"/>
        </w:rPr>
      </w:pPr>
      <w:r w:rsidRPr="00F90EAE">
        <w:rPr>
          <w:color w:val="000000" w:themeColor="text1"/>
          <w:sz w:val="16"/>
          <w:szCs w:val="16"/>
        </w:rPr>
        <w:t>В провинции Бранденбург наши войска в результате наступательных боёв овладели городами Гроссен, Боберсберг, Христианштадт, а также заняли более 80 других населённых пунктов, в том числе крупные населённые пункты Альтрефельд, Нойэндорф, Линденхайм, Шегельн, Даубе, Лаубнитц, Гуркау, Марсдорф, Бурау. За 19 февраля в этом районе взято в плен около 1.000 немецких солдат и офицеров.</w:t>
      </w:r>
    </w:p>
    <w:p w14:paraId="063179FA"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в городе группировки противника.</w:t>
      </w:r>
    </w:p>
    <w:p w14:paraId="33212464" w14:textId="77777777" w:rsidR="000F49EC" w:rsidRPr="00F90EAE" w:rsidRDefault="000F49EC" w:rsidP="00F90EAE">
      <w:pPr>
        <w:jc w:val="both"/>
        <w:rPr>
          <w:color w:val="000000" w:themeColor="text1"/>
          <w:sz w:val="16"/>
          <w:szCs w:val="16"/>
        </w:rPr>
      </w:pPr>
      <w:r w:rsidRPr="00F90EAE">
        <w:rPr>
          <w:color w:val="000000" w:themeColor="text1"/>
          <w:sz w:val="16"/>
          <w:szCs w:val="16"/>
        </w:rPr>
        <w:t>На территории Чехословакии северо-западнее города Лученец наши войска, действуя в трудных условиях горно-лесистой местности в полосе Карпат, с боями заняли белее 60 населённых пунктов, среди которых крупные населённые пункты Склярово, Дуьрави, Детва, Кривань, Другайовци, Стара Гутта, Червена.</w:t>
      </w:r>
    </w:p>
    <w:p w14:paraId="197DEF7D"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наши войска успешно отбили атаки крупных сил пехоты и танков противника. В боях за 19 февраля в этом районе подбито и уничтожено 60 немецких танков.</w:t>
      </w:r>
    </w:p>
    <w:p w14:paraId="0F595C1D"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722F85DF" w14:textId="77777777" w:rsidR="000F49EC" w:rsidRPr="00F90EAE" w:rsidRDefault="000F49EC" w:rsidP="00F90EAE">
      <w:pPr>
        <w:jc w:val="both"/>
        <w:rPr>
          <w:color w:val="000000" w:themeColor="text1"/>
          <w:sz w:val="16"/>
          <w:szCs w:val="16"/>
        </w:rPr>
      </w:pPr>
      <w:r w:rsidRPr="00F90EAE">
        <w:rPr>
          <w:color w:val="000000" w:themeColor="text1"/>
          <w:sz w:val="16"/>
          <w:szCs w:val="16"/>
        </w:rPr>
        <w:t>За 19 февраля на всех фронтах подбито и уничтожено 206 немецких танков. В воздушных боях и огнём зенитной артиллерии сбито 109 самолётов противника.</w:t>
      </w:r>
    </w:p>
    <w:p w14:paraId="242FA4D7" w14:textId="77777777" w:rsidR="000F49EC" w:rsidRPr="00F90EAE" w:rsidRDefault="000F49EC" w:rsidP="00F90EAE">
      <w:pPr>
        <w:jc w:val="both"/>
        <w:rPr>
          <w:color w:val="000000" w:themeColor="text1"/>
          <w:sz w:val="16"/>
          <w:szCs w:val="16"/>
        </w:rPr>
      </w:pPr>
      <w:r w:rsidRPr="00F90EAE">
        <w:rPr>
          <w:color w:val="000000" w:themeColor="text1"/>
          <w:sz w:val="16"/>
          <w:szCs w:val="16"/>
        </w:rPr>
        <w:t>На Земландском полуострове противник утром возобновил попытки прорваться из города Кенигсберга на запад. Крупные силы немецкой пехоты, поддержанные танками, перешли в атаку. Весь день продолжались напряжённые бои. На узком участке противник выпустил десятки тысяч снарядов и мин. Советские части, отбивая вражеские атаки, уничтожили более 2 тысяч немецких солдат и офицеров.</w:t>
      </w:r>
    </w:p>
    <w:p w14:paraId="52D38413" w14:textId="77777777" w:rsidR="000F49EC" w:rsidRPr="00F90EAE" w:rsidRDefault="000F49EC" w:rsidP="00F90EAE">
      <w:pPr>
        <w:jc w:val="both"/>
        <w:rPr>
          <w:color w:val="000000" w:themeColor="text1"/>
          <w:sz w:val="16"/>
          <w:szCs w:val="16"/>
        </w:rPr>
      </w:pPr>
      <w:r w:rsidRPr="00F90EAE">
        <w:rPr>
          <w:color w:val="000000" w:themeColor="text1"/>
          <w:sz w:val="16"/>
          <w:szCs w:val="16"/>
        </w:rPr>
        <w:t>Юго-западнее Кенигсберга части Н-ского соединения с боями переправились через реку Штрадик. Совершив стремительный бросок, советские бойцы перерезали железную дорогу, идущую от города Цинтен к побережью залива Фриш Гаф. На другом участке занят населённый пункт Пакхаузен—узел шоссейных дорог. Наши войска, переправившиеся вчера через реку Пассарге, продолжали расширять плацдарм на её восточном берегу. Многочисленные контратаки противника отбиты с большими для него потерями. Захвачено у немцев 36 орудий и минометов, 70 пулеметов, 115 автомашин и другие трофеи.</w:t>
      </w:r>
    </w:p>
    <w:p w14:paraId="177EC10B" w14:textId="77777777" w:rsidR="000F49EC" w:rsidRPr="00F90EAE" w:rsidRDefault="000F49EC" w:rsidP="00F90EAE">
      <w:pPr>
        <w:jc w:val="both"/>
        <w:rPr>
          <w:color w:val="000000" w:themeColor="text1"/>
          <w:sz w:val="16"/>
          <w:szCs w:val="16"/>
        </w:rPr>
      </w:pPr>
      <w:r w:rsidRPr="00F90EAE">
        <w:rPr>
          <w:color w:val="000000" w:themeColor="text1"/>
          <w:sz w:val="16"/>
          <w:szCs w:val="16"/>
        </w:rPr>
        <w:t>Южнее Данцига наши войска с боями продвигались вперёд. Советские части, наступающие вдоль западного берега реки Вислы, сломили сопротивление немцев и овладели сильно укреплённым населённым пунктом Мюнстервальде, расположенным в 65 километрах южнее Данцига. На другом участке наши пехотинцы выбили немцев из крупного населённого пункта и железнодорожного узла Шляхта, находящегося в 8 километрах к юго-востоку от города Черск.</w:t>
      </w:r>
    </w:p>
    <w:p w14:paraId="74C08B4D" w14:textId="77777777" w:rsidR="000F49EC" w:rsidRPr="00F90EAE" w:rsidRDefault="000F49EC" w:rsidP="00F90EAE">
      <w:pPr>
        <w:jc w:val="both"/>
        <w:rPr>
          <w:color w:val="000000" w:themeColor="text1"/>
          <w:sz w:val="16"/>
          <w:szCs w:val="16"/>
        </w:rPr>
      </w:pPr>
      <w:r w:rsidRPr="00F90EAE">
        <w:rPr>
          <w:color w:val="000000" w:themeColor="text1"/>
          <w:sz w:val="16"/>
          <w:szCs w:val="16"/>
        </w:rPr>
        <w:t>В городе Грудзяндз (Грауденц) наши войска вели бои по ликвидации окружённого гарнизона противника. Немецкие части, засевшие в фортах и крепости, оказывают упорное сопротивление. Советские штурмовые группы овладели несколькими дотами и ворвались в крепость. За день боёв уничтожено до 1.500 гитлеровцев, 9 танков и 30 орудий противника.</w:t>
      </w:r>
    </w:p>
    <w:p w14:paraId="19ACEDAE" w14:textId="77777777" w:rsidR="000F49EC" w:rsidRPr="00F90EAE" w:rsidRDefault="000F49EC" w:rsidP="00F90EAE">
      <w:pPr>
        <w:jc w:val="both"/>
        <w:rPr>
          <w:color w:val="000000" w:themeColor="text1"/>
          <w:sz w:val="16"/>
          <w:szCs w:val="16"/>
        </w:rPr>
      </w:pPr>
      <w:r w:rsidRPr="00F90EAE">
        <w:rPr>
          <w:color w:val="000000" w:themeColor="text1"/>
          <w:sz w:val="16"/>
          <w:szCs w:val="16"/>
        </w:rPr>
        <w:t>В провинции Бранденбург наши войска продолжали наступление. В результате стремительной атаки советские части овладели городом Гроссен — важным опорным пунктом обороны противника. Город Гроссен расположен при впадении реки Бобер в Одер. Развивая успех, наши войска продвинулись вперёд на 15 километров. Другие наши части, после ожесточённого боя, выбили немцев из города Боберсберг и ведут бои в лесах восточнее города Бубен. Занят также город Христианштадт. В этом районе разбиты части противника, пытавшиеся нанести нашим войскам удар во фланг. Уничтожено 32 танка и свыше 1.000 немецких солдат и офицеров. Остатки вражеской группы рассеяны в лесах. Бойцы стрелкового батальона майора Шабалина атаковали большую автоколонну с пехотой противника. В ожесточённой схватке вражеская колонна была разгромлена. Истреблено до батальона гитлеровцев. На другом участке артиллеристы противотанкового дивизиона майора Руденко, отражая вражескую контратаку, сожгли 3 танка, 5 бронетранспортёров и уничтожили более 100 немецких солдат и офицеров. Рядовой бронебойщик Кириенко огнём из противотанкового ружья сбил немецкий самолёт.</w:t>
      </w:r>
    </w:p>
    <w:p w14:paraId="1A26E47C" w14:textId="77777777" w:rsidR="000F49EC" w:rsidRPr="00F90EAE" w:rsidRDefault="000F49EC" w:rsidP="00F90EAE">
      <w:pPr>
        <w:jc w:val="both"/>
        <w:rPr>
          <w:color w:val="000000" w:themeColor="text1"/>
          <w:sz w:val="16"/>
          <w:szCs w:val="16"/>
        </w:rPr>
      </w:pPr>
      <w:r w:rsidRPr="00F90EAE">
        <w:rPr>
          <w:color w:val="000000" w:themeColor="text1"/>
          <w:sz w:val="16"/>
          <w:szCs w:val="16"/>
        </w:rPr>
        <w:t>Немецкие офицеры, взятые в плен на 1-м Украинском фронте, сообщают о больших потерях немецких войск. Пленный начальник оперативного отделения 10 моторизованной дивизии майор Вольфганг Шааль заявил: «Русское наступление превосходит все самые крупные военные операции, какие когда-либо предпринимались. Ничего подобного никто из нас не видел. Мы считали свою мощную и глубоко эшелонированную оборону неприступной и неуязвимой. На нашем участке в резерве стояли наготове 16-я и 17-я танковые и 10-я и 20-я моторизованные дивизии. Так как пехота не сумела сдержать натиска русских, пришлось немедленно бросить в бой резервы. Русские войска прорвали оборону и погнали нас на запад. Преследуя отступающие части, советские танкисты окружали и уничтожали их. В два дня наша дивизия была разгромлена. Такая же участь постигла и другие соединения. Оставшийся в живых солдаты разбежались кто куда. Я и командир дивизии полковник Виаль пытались пробраться на запад. Мы шли только ночью, а днём прятались. За семь ночей мы прошли десятки километров, но фронт передвигался ещё быстрее. На восьмой день, когда русские взяли нас в плен, мы узнали, что находимся далеко позади фронта в глубоком тылу» (15046).</w:t>
      </w:r>
    </w:p>
    <w:p w14:paraId="61182C55" w14:textId="77777777" w:rsidR="000F49EC" w:rsidRPr="00F90EAE" w:rsidRDefault="000F49EC" w:rsidP="00F90EAE">
      <w:pPr>
        <w:jc w:val="both"/>
        <w:rPr>
          <w:color w:val="000000" w:themeColor="text1"/>
          <w:sz w:val="16"/>
          <w:szCs w:val="16"/>
        </w:rPr>
      </w:pPr>
    </w:p>
    <w:p w14:paraId="77699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февраля по 5 марта 1945 чехословацкий 3 шап базировался на аэродроме в Iwonicz и продолжал тренировки (241,39).</w:t>
      </w:r>
    </w:p>
    <w:p w14:paraId="28D52704" w14:textId="77777777" w:rsidR="00665165" w:rsidRPr="00F90EAE" w:rsidRDefault="00665165" w:rsidP="00F90EAE">
      <w:pPr>
        <w:autoSpaceDE w:val="0"/>
        <w:autoSpaceDN w:val="0"/>
        <w:adjustRightInd w:val="0"/>
        <w:jc w:val="both"/>
        <w:rPr>
          <w:color w:val="000000" w:themeColor="text1"/>
          <w:sz w:val="16"/>
          <w:szCs w:val="16"/>
        </w:rPr>
      </w:pPr>
    </w:p>
    <w:p w14:paraId="144695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февраля по 6 марта 1945 в период подготовки к Балатонской оборонительной операции воздушное фотографирование составило 42.7% всех самолетовылетов (518,213).</w:t>
      </w:r>
    </w:p>
    <w:p w14:paraId="72CF04F4" w14:textId="77777777" w:rsidR="00665165" w:rsidRPr="00F90EAE" w:rsidRDefault="00665165" w:rsidP="00F90EAE">
      <w:pPr>
        <w:autoSpaceDE w:val="0"/>
        <w:autoSpaceDN w:val="0"/>
        <w:adjustRightInd w:val="0"/>
        <w:jc w:val="both"/>
        <w:rPr>
          <w:color w:val="000000" w:themeColor="text1"/>
          <w:sz w:val="16"/>
          <w:szCs w:val="16"/>
        </w:rPr>
      </w:pPr>
    </w:p>
    <w:p w14:paraId="0AFDEA5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20, 1945: In the East, Soviet attacks against the lines of Heeresgruppe Kurland cut off for months from the rest of the Eastern front fail in the face of stubborn German resistance (3819).</w:t>
      </w:r>
    </w:p>
    <w:p w14:paraId="4A1311FF" w14:textId="77777777" w:rsidR="00665165" w:rsidRPr="00F90EAE" w:rsidRDefault="00665165" w:rsidP="00F90EAE">
      <w:pPr>
        <w:autoSpaceDE w:val="0"/>
        <w:autoSpaceDN w:val="0"/>
        <w:adjustRightInd w:val="0"/>
        <w:jc w:val="both"/>
        <w:rPr>
          <w:color w:val="000000" w:themeColor="text1"/>
          <w:sz w:val="16"/>
          <w:szCs w:val="16"/>
          <w:lang w:val="en-US"/>
        </w:rPr>
      </w:pPr>
    </w:p>
    <w:p w14:paraId="58A645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КА атаковала Группу Курляндия, отрезанную от других частей Восточного фронта (3819).</w:t>
      </w:r>
    </w:p>
    <w:p w14:paraId="7DB395ED" w14:textId="77777777" w:rsidR="00665165" w:rsidRPr="00F90EAE" w:rsidRDefault="00665165" w:rsidP="00F90EAE">
      <w:pPr>
        <w:autoSpaceDE w:val="0"/>
        <w:autoSpaceDN w:val="0"/>
        <w:adjustRightInd w:val="0"/>
        <w:jc w:val="both"/>
        <w:rPr>
          <w:color w:val="000000" w:themeColor="text1"/>
          <w:sz w:val="16"/>
          <w:szCs w:val="16"/>
        </w:rPr>
      </w:pPr>
    </w:p>
    <w:p w14:paraId="6D8BA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года в боях за 8-й, 9-й и 10-й кварталы города Познань, непосредственно прилегавшие к южной части крепостной цитадели, штурмовая группа в составе взвода пехоты, трех ИСУ-152 и двух танков Т-34 очищала от противника квартал № 10. В 8-й гвардейской армии 1-го Белорусского фронта в боях за город Познань в состав штурмовых групп 74-й гвардейской стрелковой дивизии были включены по две-три ИСУ-152 394-го гвардейского тяжелого самоходно-артиллерий-ского полка. Другая группа в составе взвода пехоты, двух самоходно-артиллерийских установок ИСУ-152 и трех огнеметных ТО-34 штурмовала 8-й и 9-й кварталы. В этих боях САУ действовали быстро и решительно. Они приближались к домам и в упор уничтожали размещенные в окнах, подвалах и других местах зданий немецкие огневые точки, а также проделывали проломы в стенах зданий для прохода своей пехоты. При действиях вдоль улиц самоходки двигались, прижимаясь к стенам домов и уничтожая огневые средства противника, расположенные в зданиях на противоположной стороне. Своим огнем установки взаимно прикрывали друг друга и обеспечивали продвижение пехоты и танков. Вперед самоходно-артиллерийские установки продвигались поочередно перекатами, по мере продвижения пехоты и танков. В результате кварталы были быстро заняты нашей пехотой и немцы с большими потерями отошли в цитадель (11638).</w:t>
      </w:r>
    </w:p>
    <w:p w14:paraId="221D639D" w14:textId="77777777" w:rsidR="00665165" w:rsidRPr="00F90EAE" w:rsidRDefault="00665165" w:rsidP="00F90EAE">
      <w:pPr>
        <w:autoSpaceDE w:val="0"/>
        <w:autoSpaceDN w:val="0"/>
        <w:adjustRightInd w:val="0"/>
        <w:jc w:val="both"/>
        <w:rPr>
          <w:color w:val="000000" w:themeColor="text1"/>
          <w:sz w:val="16"/>
          <w:szCs w:val="16"/>
        </w:rPr>
      </w:pPr>
    </w:p>
    <w:p w14:paraId="4C676719" w14:textId="77777777" w:rsidR="00A9131A" w:rsidRPr="00F90EAE" w:rsidRDefault="00A9131A" w:rsidP="00F90EAE">
      <w:pPr>
        <w:jc w:val="both"/>
        <w:rPr>
          <w:color w:val="0070C0"/>
          <w:sz w:val="16"/>
          <w:szCs w:val="16"/>
        </w:rPr>
      </w:pPr>
      <w:r w:rsidRPr="00F90EAE">
        <w:rPr>
          <w:color w:val="0070C0"/>
          <w:sz w:val="16"/>
          <w:szCs w:val="16"/>
        </w:rPr>
        <w:t>20 февраля 1945 25 немецких Юнкерс Ju 88s атаковали конвой RA 64 торпедами на пути к Кольскому заливу. Wildcats с британских авианосцев HMS Campania и HMS Nairana сбили как минимум три из них (20371).</w:t>
      </w:r>
    </w:p>
    <w:p w14:paraId="35EB0EF0" w14:textId="77777777" w:rsidR="00A9131A" w:rsidRPr="00F90EAE" w:rsidRDefault="00A9131A" w:rsidP="00F90EAE">
      <w:pPr>
        <w:jc w:val="both"/>
        <w:rPr>
          <w:color w:val="0070C0"/>
          <w:sz w:val="16"/>
          <w:szCs w:val="16"/>
        </w:rPr>
      </w:pPr>
    </w:p>
    <w:p w14:paraId="5C834D62" w14:textId="77777777" w:rsidR="000F49EC"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43C9027" w14:textId="77777777" w:rsidR="000F49EC" w:rsidRPr="00F90EAE" w:rsidRDefault="000F49EC" w:rsidP="00F90EAE">
      <w:pPr>
        <w:autoSpaceDE w:val="0"/>
        <w:autoSpaceDN w:val="0"/>
        <w:adjustRightInd w:val="0"/>
        <w:jc w:val="both"/>
        <w:rPr>
          <w:iCs/>
          <w:color w:val="000000" w:themeColor="text1"/>
          <w:sz w:val="16"/>
          <w:szCs w:val="16"/>
        </w:rPr>
      </w:pPr>
    </w:p>
    <w:p w14:paraId="1273030F" w14:textId="77777777" w:rsidR="000F49EC" w:rsidRPr="00F90EAE" w:rsidRDefault="000F49EC" w:rsidP="00F90EAE">
      <w:pPr>
        <w:jc w:val="both"/>
        <w:rPr>
          <w:color w:val="000000" w:themeColor="text1"/>
          <w:sz w:val="16"/>
          <w:szCs w:val="16"/>
        </w:rPr>
      </w:pPr>
      <w:r w:rsidRPr="00F90EAE">
        <w:rPr>
          <w:bCs/>
          <w:color w:val="000000" w:themeColor="text1"/>
          <w:sz w:val="16"/>
          <w:szCs w:val="16"/>
        </w:rPr>
        <w:t>20 февраля</w:t>
      </w:r>
      <w:r w:rsidRPr="00F90EAE">
        <w:rPr>
          <w:color w:val="000000" w:themeColor="text1"/>
          <w:sz w:val="16"/>
          <w:szCs w:val="16"/>
        </w:rPr>
        <w:t xml:space="preserve"> в 1945 году из уральской эвакуации в Москву вернулись сокровища Оружейной палаты (15046).</w:t>
      </w:r>
    </w:p>
    <w:p w14:paraId="61491696" w14:textId="77777777" w:rsidR="000F49EC" w:rsidRPr="00F90EAE" w:rsidRDefault="000F49EC" w:rsidP="00F90EAE">
      <w:pPr>
        <w:jc w:val="both"/>
        <w:rPr>
          <w:color w:val="000000" w:themeColor="text1"/>
          <w:sz w:val="16"/>
          <w:szCs w:val="16"/>
        </w:rPr>
      </w:pPr>
    </w:p>
    <w:p w14:paraId="4BF464E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9D0387A" w14:textId="77777777" w:rsidR="00665165" w:rsidRPr="00F90EAE" w:rsidRDefault="00665165" w:rsidP="00F90EAE">
      <w:pPr>
        <w:autoSpaceDE w:val="0"/>
        <w:autoSpaceDN w:val="0"/>
        <w:adjustRightInd w:val="0"/>
        <w:jc w:val="both"/>
        <w:rPr>
          <w:iCs/>
          <w:color w:val="000000" w:themeColor="text1"/>
          <w:sz w:val="16"/>
          <w:szCs w:val="16"/>
        </w:rPr>
      </w:pPr>
    </w:p>
    <w:p w14:paraId="441387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Постановление ГКО о военных трофеях на территории Польши", согласно которому все промышленные объекты с оборудованием и сырьем передавались польским властям (7451).</w:t>
      </w:r>
    </w:p>
    <w:p w14:paraId="3C41F19F" w14:textId="77777777" w:rsidR="00665165" w:rsidRPr="00F90EAE" w:rsidRDefault="00665165" w:rsidP="00F90EAE">
      <w:pPr>
        <w:autoSpaceDE w:val="0"/>
        <w:autoSpaceDN w:val="0"/>
        <w:adjustRightInd w:val="0"/>
        <w:jc w:val="both"/>
        <w:rPr>
          <w:color w:val="000000" w:themeColor="text1"/>
          <w:sz w:val="16"/>
          <w:szCs w:val="16"/>
        </w:rPr>
      </w:pPr>
    </w:p>
    <w:p w14:paraId="48DF3C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 февраля 1945 вышло Постановление ГКО № 7558 Вопросы Польши. РГАНИР, Фонд ГКО, д. 372, лл. 91-94 (11012).</w:t>
      </w:r>
    </w:p>
    <w:p w14:paraId="371FD463" w14:textId="77777777" w:rsidR="00665165" w:rsidRPr="00F90EAE" w:rsidRDefault="00665165" w:rsidP="00F90EAE">
      <w:pPr>
        <w:autoSpaceDE w:val="0"/>
        <w:autoSpaceDN w:val="0"/>
        <w:adjustRightInd w:val="0"/>
        <w:jc w:val="both"/>
        <w:rPr>
          <w:color w:val="000000" w:themeColor="text1"/>
          <w:sz w:val="16"/>
          <w:szCs w:val="16"/>
        </w:rPr>
      </w:pPr>
    </w:p>
    <w:p w14:paraId="5B23990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FB385AC" w14:textId="77777777" w:rsidR="00665165" w:rsidRPr="00F90EAE" w:rsidRDefault="00665165" w:rsidP="00F90EAE">
      <w:pPr>
        <w:autoSpaceDE w:val="0"/>
        <w:autoSpaceDN w:val="0"/>
        <w:adjustRightInd w:val="0"/>
        <w:jc w:val="both"/>
        <w:rPr>
          <w:iCs/>
          <w:color w:val="000000" w:themeColor="text1"/>
          <w:sz w:val="16"/>
          <w:szCs w:val="16"/>
        </w:rPr>
      </w:pPr>
    </w:p>
    <w:p w14:paraId="251C24A7" w14:textId="77777777" w:rsidR="008C396C" w:rsidRPr="00F90EAE" w:rsidRDefault="008C396C" w:rsidP="00F90EAE">
      <w:pPr>
        <w:jc w:val="both"/>
        <w:rPr>
          <w:color w:val="000000" w:themeColor="text1"/>
          <w:sz w:val="16"/>
          <w:szCs w:val="16"/>
        </w:rPr>
      </w:pPr>
      <w:r w:rsidRPr="00F90EAE">
        <w:rPr>
          <w:color w:val="000000" w:themeColor="text1"/>
          <w:sz w:val="16"/>
          <w:szCs w:val="16"/>
        </w:rPr>
        <w:t xml:space="preserve">К 20 февраля 1945 г. 15 ракет « Рейнтохтер» нового варианта поступили из Лиепаи в ракетный центр Пенемюнде. Стартовая масса ракеты была </w:t>
      </w:r>
      <w:smartTag w:uri="urn:schemas-microsoft-com:office:smarttags" w:element="metricconverter">
        <w:smartTagPr>
          <w:attr w:name="ProductID" w:val="1560 кг"/>
        </w:smartTagPr>
        <w:r w:rsidRPr="00F90EAE">
          <w:rPr>
            <w:color w:val="000000" w:themeColor="text1"/>
            <w:sz w:val="16"/>
            <w:szCs w:val="16"/>
          </w:rPr>
          <w:t>1560 кг</w:t>
        </w:r>
      </w:smartTag>
      <w:r w:rsidRPr="00F90EAE">
        <w:rPr>
          <w:color w:val="000000" w:themeColor="text1"/>
          <w:sz w:val="16"/>
          <w:szCs w:val="16"/>
        </w:rPr>
        <w:t>. Интересно, что наши войска вошли раньше в Пенемюнде, чем Лиепаю. Лиепая была освобождена 11.05.45. на 3-й день после окончания войны. Курляндская группировка немецких войск полностью капитулировала только 14.05.45 г., только тогда была освобождена вся территория СССР. Можно считать, что война окончилась не в Берлине и не в Праге, а в латвийской Курляндии (19590).</w:t>
      </w:r>
    </w:p>
    <w:p w14:paraId="43B6D63C" w14:textId="77777777" w:rsidR="008C396C" w:rsidRPr="00F90EAE" w:rsidRDefault="008C396C" w:rsidP="00F90EAE">
      <w:pPr>
        <w:jc w:val="both"/>
        <w:rPr>
          <w:color w:val="000000" w:themeColor="text1"/>
          <w:sz w:val="16"/>
          <w:szCs w:val="16"/>
        </w:rPr>
      </w:pPr>
    </w:p>
    <w:p w14:paraId="5845A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февраля 1945 г. бывшая румынская пл ТС-2 ("Марсуйнул") была разрушена взрывом собственных торпед (3898).</w:t>
      </w:r>
    </w:p>
    <w:p w14:paraId="02DD651F" w14:textId="77777777" w:rsidR="00665165" w:rsidRPr="00F90EAE" w:rsidRDefault="00665165" w:rsidP="00F90EAE">
      <w:pPr>
        <w:autoSpaceDE w:val="0"/>
        <w:autoSpaceDN w:val="0"/>
        <w:adjustRightInd w:val="0"/>
        <w:jc w:val="both"/>
        <w:rPr>
          <w:color w:val="000000" w:themeColor="text1"/>
          <w:sz w:val="16"/>
          <w:szCs w:val="16"/>
        </w:rPr>
      </w:pPr>
    </w:p>
    <w:p w14:paraId="027D003A" w14:textId="77777777" w:rsidR="000F49EC" w:rsidRPr="00F90EAE" w:rsidRDefault="000F49EC" w:rsidP="00F90EAE">
      <w:pPr>
        <w:jc w:val="both"/>
        <w:rPr>
          <w:color w:val="000000" w:themeColor="text1"/>
          <w:sz w:val="16"/>
          <w:szCs w:val="16"/>
        </w:rPr>
      </w:pPr>
      <w:r w:rsidRPr="00F90EAE">
        <w:rPr>
          <w:bCs/>
          <w:color w:val="000000" w:themeColor="text1"/>
          <w:sz w:val="16"/>
          <w:szCs w:val="16"/>
        </w:rPr>
        <w:t>20 февраля</w:t>
      </w:r>
      <w:r w:rsidRPr="00F90EAE">
        <w:rPr>
          <w:color w:val="000000" w:themeColor="text1"/>
          <w:sz w:val="16"/>
          <w:szCs w:val="16"/>
        </w:rPr>
        <w:t xml:space="preserve"> в 1945 году распоряжением министра обороны США был основан полигон «Уайт-Сэндс» («White Sands») (буквально «Белые пески», Лас Крузес, штат Нью-Мексико, 41 градус северной широты). Протяженность с юга на север 280 км, с запада на восток 65 км. Это в основном пустынная равнина, расположенная на высоте 1200 км над уровнем моря между горами Сан-Андрес и Сакраменто с вершинами около 3000 км. Разница во времени с Гринвичем 7 часов (15046).</w:t>
      </w:r>
    </w:p>
    <w:p w14:paraId="107E59C3" w14:textId="77777777" w:rsidR="000F49EC" w:rsidRPr="00F90EAE" w:rsidRDefault="000F49EC" w:rsidP="00F90EAE">
      <w:pPr>
        <w:jc w:val="both"/>
        <w:rPr>
          <w:color w:val="000000" w:themeColor="text1"/>
          <w:sz w:val="16"/>
          <w:szCs w:val="16"/>
        </w:rPr>
      </w:pPr>
    </w:p>
    <w:p w14:paraId="5A464A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февраля 1945 в штате Теннеси открылся завод по производству урана-235 для первых американских атомных бомб (4962).</w:t>
      </w:r>
    </w:p>
    <w:p w14:paraId="559794D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3638ED" w14:textId="77777777" w:rsidR="000F49EC" w:rsidRPr="00F90EAE" w:rsidRDefault="000F49EC" w:rsidP="00F90EAE">
      <w:pPr>
        <w:jc w:val="both"/>
        <w:rPr>
          <w:color w:val="000000" w:themeColor="text1"/>
          <w:sz w:val="16"/>
          <w:szCs w:val="16"/>
        </w:rPr>
      </w:pPr>
      <w:r w:rsidRPr="00F90EAE">
        <w:rPr>
          <w:bCs/>
          <w:color w:val="000000" w:themeColor="text1"/>
          <w:sz w:val="16"/>
          <w:szCs w:val="16"/>
        </w:rPr>
        <w:t>20 февраля</w:t>
      </w:r>
      <w:r w:rsidRPr="00F90EAE">
        <w:rPr>
          <w:color w:val="000000" w:themeColor="text1"/>
          <w:sz w:val="16"/>
          <w:szCs w:val="16"/>
        </w:rPr>
        <w:t xml:space="preserve"> в 1945 году высадившиеся у берегов Бирмы на остров Рамри войска союзников окружили в ночь с 19 на 20 февраля от 800 до 1000 японских солдат, занявших оборону в мангровых зарослях. Когда рассвело, оказалось, что противник бесследно исчез. В плен попали только 20 человек — остальных заживо съели жившие в прибрежном болоте крокодилы (15046).</w:t>
      </w:r>
    </w:p>
    <w:p w14:paraId="4232ABBF" w14:textId="77777777" w:rsidR="000F49EC" w:rsidRPr="00F90EAE" w:rsidRDefault="000F49EC" w:rsidP="00F90EAE">
      <w:pPr>
        <w:jc w:val="both"/>
        <w:rPr>
          <w:color w:val="000000" w:themeColor="text1"/>
          <w:sz w:val="16"/>
          <w:szCs w:val="16"/>
        </w:rPr>
      </w:pPr>
    </w:p>
    <w:p w14:paraId="76D0A422" w14:textId="77777777" w:rsidR="00A9131A" w:rsidRPr="00F90EAE" w:rsidRDefault="00A9131A" w:rsidP="00F90EAE">
      <w:pPr>
        <w:jc w:val="both"/>
        <w:rPr>
          <w:color w:val="0070C0"/>
          <w:sz w:val="16"/>
          <w:szCs w:val="16"/>
        </w:rPr>
      </w:pPr>
      <w:r w:rsidRPr="00F90EAE">
        <w:rPr>
          <w:color w:val="0070C0"/>
          <w:sz w:val="16"/>
          <w:szCs w:val="16"/>
        </w:rPr>
        <w:t>20–21 февраля (ночь) 1945 13 налетов японской авиации на корабли Пятого флота США у Иводзимы (20371).</w:t>
      </w:r>
    </w:p>
    <w:p w14:paraId="3D35A68F" w14:textId="77777777" w:rsidR="00A9131A" w:rsidRPr="00F90EAE" w:rsidRDefault="00A9131A" w:rsidP="00F90EAE">
      <w:pPr>
        <w:jc w:val="both"/>
        <w:rPr>
          <w:color w:val="0070C0"/>
          <w:sz w:val="16"/>
          <w:szCs w:val="16"/>
        </w:rPr>
      </w:pPr>
    </w:p>
    <w:p w14:paraId="2CF39B7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89F552F" w14:textId="77777777" w:rsidR="00665165" w:rsidRPr="00F90EAE" w:rsidRDefault="00665165" w:rsidP="00F90EAE">
      <w:pPr>
        <w:autoSpaceDE w:val="0"/>
        <w:autoSpaceDN w:val="0"/>
        <w:adjustRightInd w:val="0"/>
        <w:jc w:val="both"/>
        <w:rPr>
          <w:iCs/>
          <w:color w:val="000000" w:themeColor="text1"/>
          <w:sz w:val="16"/>
          <w:szCs w:val="16"/>
        </w:rPr>
      </w:pPr>
    </w:p>
    <w:p w14:paraId="3393AD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 вышло Постановление ГОКО № 7560 26 февраля 1945 приказ НКАП № 76, в соответствии с которыми на авиазаводе № 1 строился учебно-тренировочный вариант штурмовика Ил-10 (7489).</w:t>
      </w:r>
    </w:p>
    <w:p w14:paraId="437BFD74" w14:textId="77777777" w:rsidR="00665165" w:rsidRPr="00F90EAE" w:rsidRDefault="00665165" w:rsidP="00F90EAE">
      <w:pPr>
        <w:autoSpaceDE w:val="0"/>
        <w:autoSpaceDN w:val="0"/>
        <w:adjustRightInd w:val="0"/>
        <w:jc w:val="both"/>
        <w:rPr>
          <w:color w:val="000000" w:themeColor="text1"/>
          <w:sz w:val="16"/>
          <w:szCs w:val="16"/>
        </w:rPr>
      </w:pPr>
    </w:p>
    <w:p w14:paraId="06B718EC"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21 февраля 1945 г. вышли постановление ГКО № 7560сс и 26 февраля приказ НКАП № 76сс о создании учебно-тренировочного варианта штурмовика Ил-10 - УИл-10 (17490).</w:t>
      </w:r>
    </w:p>
    <w:p w14:paraId="3943B7AD" w14:textId="77777777" w:rsidR="00911035" w:rsidRPr="00F90EAE" w:rsidRDefault="00911035" w:rsidP="00F90EAE">
      <w:pPr>
        <w:jc w:val="both"/>
        <w:rPr>
          <w:rStyle w:val="107"/>
          <w:rFonts w:eastAsiaTheme="minorHAnsi"/>
          <w:color w:val="000000" w:themeColor="text1"/>
          <w:sz w:val="16"/>
          <w:szCs w:val="16"/>
        </w:rPr>
      </w:pPr>
    </w:p>
    <w:p w14:paraId="75EA4C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февраля 1945 г. вышло Постановлением ГКО а 26 февраля 1945 приказ НКАП, в соответствии с которым был создан учебно-тренировочный вариант штурмовика Ил-10 - УИл-10. Техничес</w:t>
      </w:r>
      <w:r w:rsidRPr="00F90EAE">
        <w:rPr>
          <w:color w:val="000000" w:themeColor="text1"/>
          <w:sz w:val="16"/>
          <w:szCs w:val="16"/>
        </w:rPr>
        <w:softHyphen/>
        <w:t>кие требования к нему заместитель ко</w:t>
      </w:r>
      <w:r w:rsidRPr="00F90EAE">
        <w:rPr>
          <w:color w:val="000000" w:themeColor="text1"/>
          <w:sz w:val="16"/>
          <w:szCs w:val="16"/>
        </w:rPr>
        <w:softHyphen/>
        <w:t>мандующего ВВС маршал Ф.Я. Фалалеев утвердил 21 апреля. Опытного образца, по-видимому, не было. Сразу начали с небольшой серии, выпущенной на заводе №1. Кабину стрелка переоборудовали для размеще</w:t>
      </w:r>
      <w:r w:rsidRPr="00F90EAE">
        <w:rPr>
          <w:color w:val="000000" w:themeColor="text1"/>
          <w:sz w:val="16"/>
          <w:szCs w:val="16"/>
        </w:rPr>
        <w:softHyphen/>
        <w:t>ния летчика-инструктора; там смонтиро</w:t>
      </w:r>
      <w:r w:rsidRPr="00F90EAE">
        <w:rPr>
          <w:color w:val="000000" w:themeColor="text1"/>
          <w:sz w:val="16"/>
          <w:szCs w:val="16"/>
        </w:rPr>
        <w:softHyphen/>
        <w:t>вали второе управление самолетом, установили приборную доску с указате</w:t>
      </w:r>
      <w:r w:rsidRPr="00F90EAE">
        <w:rPr>
          <w:color w:val="000000" w:themeColor="text1"/>
          <w:sz w:val="16"/>
          <w:szCs w:val="16"/>
        </w:rPr>
        <w:softHyphen/>
        <w:t>лями скорости и поворота, авиагоризон</w:t>
      </w:r>
      <w:r w:rsidRPr="00F90EAE">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F90EAE">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F90EAE">
        <w:rPr>
          <w:color w:val="000000" w:themeColor="text1"/>
          <w:sz w:val="16"/>
          <w:szCs w:val="16"/>
        </w:rPr>
        <w:softHyphen/>
        <w:t>вания бомболюков (10681).</w:t>
      </w:r>
    </w:p>
    <w:p w14:paraId="38879B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1F6FF5A" w14:textId="77777777" w:rsidR="00A9131A" w:rsidRPr="00F90EAE" w:rsidRDefault="00A9131A" w:rsidP="00F90EAE">
      <w:pPr>
        <w:jc w:val="both"/>
        <w:rPr>
          <w:color w:val="0070C0"/>
          <w:sz w:val="16"/>
          <w:szCs w:val="16"/>
        </w:rPr>
      </w:pPr>
      <w:r w:rsidRPr="00F90EAE">
        <w:rPr>
          <w:color w:val="0070C0"/>
          <w:sz w:val="16"/>
          <w:szCs w:val="16"/>
        </w:rPr>
        <w:t>21 февраля 1945 г.</w:t>
      </w:r>
    </w:p>
    <w:p w14:paraId="0BAF07B3" w14:textId="77777777" w:rsidR="00A9131A" w:rsidRPr="00F90EAE" w:rsidRDefault="00A9131A" w:rsidP="00F90EAE">
      <w:pPr>
        <w:jc w:val="both"/>
        <w:rPr>
          <w:color w:val="0070C0"/>
          <w:sz w:val="16"/>
          <w:szCs w:val="16"/>
        </w:rPr>
      </w:pPr>
      <w:r w:rsidRPr="00F90EAE">
        <w:rPr>
          <w:color w:val="0070C0"/>
          <w:sz w:val="16"/>
          <w:szCs w:val="16"/>
        </w:rPr>
        <w:t>Из приказа по 10-му Главному Управлению НКАП о работе завода № 18 за 1944 год - о выполнении плана по основной деятельности и капитальному строительству</w:t>
      </w:r>
    </w:p>
    <w:p w14:paraId="54C715FF" w14:textId="77777777" w:rsidR="00A9131A" w:rsidRPr="00F90EAE" w:rsidRDefault="00A9131A" w:rsidP="00F90EAE">
      <w:pPr>
        <w:jc w:val="both"/>
        <w:rPr>
          <w:color w:val="0070C0"/>
          <w:sz w:val="16"/>
          <w:szCs w:val="16"/>
        </w:rPr>
      </w:pPr>
      <w:r w:rsidRPr="00F90EAE">
        <w:rPr>
          <w:color w:val="0070C0"/>
          <w:sz w:val="16"/>
          <w:szCs w:val="16"/>
        </w:rPr>
        <w:t>21 февраля 1945 г.</w:t>
      </w:r>
    </w:p>
    <w:p w14:paraId="74A3CBC6" w14:textId="77777777" w:rsidR="00A9131A" w:rsidRPr="00F90EAE" w:rsidRDefault="00A9131A" w:rsidP="00F90EAE">
      <w:pPr>
        <w:jc w:val="both"/>
        <w:rPr>
          <w:color w:val="0070C0"/>
          <w:sz w:val="16"/>
          <w:szCs w:val="16"/>
        </w:rPr>
      </w:pPr>
      <w:r w:rsidRPr="00F90EAE">
        <w:rPr>
          <w:color w:val="0070C0"/>
          <w:sz w:val="16"/>
          <w:szCs w:val="16"/>
        </w:rPr>
        <w:t>Рассмотрев представленный заводом № 18 годовой отчет о производственной и финансово-хозяйственной деятельности за 1944 год,</w:t>
      </w:r>
    </w:p>
    <w:p w14:paraId="4ACD5999" w14:textId="77777777" w:rsidR="00A9131A" w:rsidRPr="00F90EAE" w:rsidRDefault="00A9131A" w:rsidP="00F90EAE">
      <w:pPr>
        <w:jc w:val="both"/>
        <w:rPr>
          <w:color w:val="0070C0"/>
          <w:sz w:val="16"/>
          <w:szCs w:val="16"/>
        </w:rPr>
      </w:pPr>
      <w:r w:rsidRPr="00F90EAE">
        <w:rPr>
          <w:color w:val="0070C0"/>
          <w:sz w:val="16"/>
          <w:szCs w:val="16"/>
        </w:rPr>
        <w:t>ОТМЕЧАЮ:</w:t>
      </w:r>
    </w:p>
    <w:p w14:paraId="42F3275C" w14:textId="77777777" w:rsidR="00A9131A" w:rsidRPr="00F90EAE" w:rsidRDefault="00A9131A" w:rsidP="00F90EAE">
      <w:pPr>
        <w:jc w:val="both"/>
        <w:rPr>
          <w:color w:val="0070C0"/>
          <w:sz w:val="16"/>
          <w:szCs w:val="16"/>
        </w:rPr>
      </w:pPr>
      <w:r w:rsidRPr="00F90EAE">
        <w:rPr>
          <w:color w:val="0070C0"/>
          <w:sz w:val="16"/>
          <w:szCs w:val="16"/>
        </w:rPr>
        <w:t>Установленный план на 1944 год заводом выполнен:</w:t>
      </w:r>
    </w:p>
    <w:p w14:paraId="0539DA07" w14:textId="77777777" w:rsidR="00A9131A" w:rsidRPr="00F90EAE" w:rsidRDefault="00A9131A" w:rsidP="00F90EAE">
      <w:pPr>
        <w:jc w:val="both"/>
        <w:rPr>
          <w:color w:val="0070C0"/>
          <w:sz w:val="16"/>
          <w:szCs w:val="16"/>
        </w:rPr>
      </w:pPr>
      <w:r w:rsidRPr="00F90EAE">
        <w:rPr>
          <w:color w:val="0070C0"/>
          <w:sz w:val="16"/>
          <w:szCs w:val="16"/>
        </w:rPr>
        <w:t>по основной деятельности:</w:t>
      </w:r>
    </w:p>
    <w:p w14:paraId="176DFDB6" w14:textId="77777777" w:rsidR="00A9131A" w:rsidRPr="00F90EAE" w:rsidRDefault="00A9131A" w:rsidP="00F90EAE">
      <w:pPr>
        <w:jc w:val="both"/>
        <w:rPr>
          <w:color w:val="0070C0"/>
          <w:sz w:val="16"/>
          <w:szCs w:val="16"/>
        </w:rPr>
      </w:pPr>
      <w:r w:rsidRPr="00F90EAE">
        <w:rPr>
          <w:color w:val="0070C0"/>
          <w:sz w:val="16"/>
          <w:szCs w:val="16"/>
        </w:rPr>
        <w:t>а) по товарной продукции................. на 100,6%</w:t>
      </w:r>
    </w:p>
    <w:p w14:paraId="71AAE750" w14:textId="77777777" w:rsidR="00A9131A" w:rsidRPr="00F90EAE" w:rsidRDefault="00A9131A" w:rsidP="00F90EAE">
      <w:pPr>
        <w:jc w:val="both"/>
        <w:rPr>
          <w:color w:val="0070C0"/>
          <w:sz w:val="16"/>
          <w:szCs w:val="16"/>
        </w:rPr>
      </w:pPr>
      <w:r w:rsidRPr="00F90EAE">
        <w:rPr>
          <w:color w:val="0070C0"/>
          <w:sz w:val="16"/>
          <w:szCs w:val="16"/>
        </w:rPr>
        <w:t>б) по валовой продукции................... « 97,6%</w:t>
      </w:r>
    </w:p>
    <w:p w14:paraId="4478CABE" w14:textId="77777777" w:rsidR="00A9131A" w:rsidRPr="00F90EAE" w:rsidRDefault="00A9131A" w:rsidP="00F90EAE">
      <w:pPr>
        <w:jc w:val="both"/>
        <w:rPr>
          <w:color w:val="0070C0"/>
          <w:sz w:val="16"/>
          <w:szCs w:val="16"/>
        </w:rPr>
      </w:pPr>
      <w:r w:rsidRPr="00F90EAE">
        <w:rPr>
          <w:color w:val="0070C0"/>
          <w:sz w:val="16"/>
          <w:szCs w:val="16"/>
        </w:rPr>
        <w:t>в) по выработке на 1 рабочего............. « 104,5%</w:t>
      </w:r>
    </w:p>
    <w:p w14:paraId="6906BD67" w14:textId="77777777" w:rsidR="00A9131A" w:rsidRPr="00F90EAE" w:rsidRDefault="00A9131A" w:rsidP="00F90EAE">
      <w:pPr>
        <w:jc w:val="both"/>
        <w:rPr>
          <w:color w:val="0070C0"/>
          <w:sz w:val="16"/>
          <w:szCs w:val="16"/>
        </w:rPr>
      </w:pPr>
      <w:r w:rsidRPr="00F90EAE">
        <w:rPr>
          <w:color w:val="0070C0"/>
          <w:sz w:val="16"/>
          <w:szCs w:val="16"/>
        </w:rPr>
        <w:t>г) себестоимость товарной продукции к плану «</w:t>
      </w:r>
      <w:r w:rsidRPr="00F90EAE">
        <w:rPr>
          <w:color w:val="0070C0"/>
          <w:sz w:val="16"/>
          <w:szCs w:val="16"/>
        </w:rPr>
        <w:tab/>
        <w:t>97,9%</w:t>
      </w:r>
    </w:p>
    <w:p w14:paraId="429D0537" w14:textId="77777777" w:rsidR="00A9131A" w:rsidRPr="00F90EAE" w:rsidRDefault="00A9131A" w:rsidP="00F90EAE">
      <w:pPr>
        <w:jc w:val="both"/>
        <w:rPr>
          <w:color w:val="0070C0"/>
          <w:sz w:val="16"/>
          <w:szCs w:val="16"/>
        </w:rPr>
      </w:pPr>
      <w:r w:rsidRPr="00F90EAE">
        <w:rPr>
          <w:color w:val="0070C0"/>
          <w:sz w:val="16"/>
          <w:szCs w:val="16"/>
        </w:rPr>
        <w:t>д) перевыполнение плана накоплений....... «</w:t>
      </w:r>
      <w:r w:rsidRPr="00F90EAE">
        <w:rPr>
          <w:color w:val="0070C0"/>
          <w:sz w:val="16"/>
          <w:szCs w:val="16"/>
        </w:rPr>
        <w:tab/>
        <w:t>10,4 млн. руб.</w:t>
      </w:r>
    </w:p>
    <w:p w14:paraId="1CDDDEEE" w14:textId="77777777" w:rsidR="00A9131A" w:rsidRPr="00F90EAE" w:rsidRDefault="00A9131A" w:rsidP="00F90EAE">
      <w:pPr>
        <w:jc w:val="both"/>
        <w:rPr>
          <w:color w:val="0070C0"/>
          <w:sz w:val="16"/>
          <w:szCs w:val="16"/>
        </w:rPr>
      </w:pPr>
      <w:r w:rsidRPr="00F90EAE">
        <w:rPr>
          <w:color w:val="0070C0"/>
          <w:sz w:val="16"/>
          <w:szCs w:val="16"/>
        </w:rPr>
        <w:t>по капитальному строительству:</w:t>
      </w:r>
    </w:p>
    <w:p w14:paraId="06BE2309" w14:textId="77777777" w:rsidR="00A9131A" w:rsidRPr="00F90EAE" w:rsidRDefault="00A9131A" w:rsidP="00F90EAE">
      <w:pPr>
        <w:jc w:val="both"/>
        <w:rPr>
          <w:color w:val="0070C0"/>
          <w:sz w:val="16"/>
          <w:szCs w:val="16"/>
        </w:rPr>
      </w:pPr>
      <w:r w:rsidRPr="00F90EAE">
        <w:rPr>
          <w:color w:val="0070C0"/>
          <w:sz w:val="16"/>
          <w:szCs w:val="16"/>
        </w:rPr>
        <w:t>а) по капитальному строительству......... « 154,2%</w:t>
      </w:r>
    </w:p>
    <w:p w14:paraId="4752CA30" w14:textId="77777777" w:rsidR="00A9131A" w:rsidRPr="00F90EAE" w:rsidRDefault="00A9131A" w:rsidP="00F90EAE">
      <w:pPr>
        <w:jc w:val="both"/>
        <w:rPr>
          <w:color w:val="0070C0"/>
          <w:sz w:val="16"/>
          <w:szCs w:val="16"/>
        </w:rPr>
      </w:pPr>
      <w:r w:rsidRPr="00F90EAE">
        <w:rPr>
          <w:color w:val="0070C0"/>
          <w:sz w:val="16"/>
          <w:szCs w:val="16"/>
        </w:rPr>
        <w:t>б) по вводу в эксплуатацию............... « 144%</w:t>
      </w:r>
    </w:p>
    <w:p w14:paraId="4E237CF0" w14:textId="77777777" w:rsidR="00A9131A" w:rsidRPr="00F90EAE" w:rsidRDefault="00A9131A" w:rsidP="00F90EAE">
      <w:pPr>
        <w:jc w:val="both"/>
        <w:rPr>
          <w:color w:val="0070C0"/>
          <w:sz w:val="16"/>
          <w:szCs w:val="16"/>
        </w:rPr>
      </w:pPr>
      <w:r w:rsidRPr="00F90EAE">
        <w:rPr>
          <w:color w:val="0070C0"/>
          <w:sz w:val="16"/>
          <w:szCs w:val="16"/>
        </w:rPr>
        <w:t>В первом полугодии 1944 года завод провел большую модификацию самолета Ил-2, внедрив в производство стрельчатое крыло. Во втором полугодии завод в короткие сроки решил задачу подготовки и внедрения в производство нового самолета Ил-10, причем подготовка производства была произведена на высоком техническом уровне.</w:t>
      </w:r>
    </w:p>
    <w:p w14:paraId="427CD370" w14:textId="77777777" w:rsidR="00A9131A" w:rsidRPr="00F90EAE" w:rsidRDefault="00A9131A" w:rsidP="00F90EAE">
      <w:pPr>
        <w:jc w:val="both"/>
        <w:rPr>
          <w:color w:val="0070C0"/>
          <w:sz w:val="16"/>
          <w:szCs w:val="16"/>
        </w:rPr>
      </w:pPr>
      <w:r w:rsidRPr="00F90EAE">
        <w:rPr>
          <w:color w:val="0070C0"/>
          <w:sz w:val="16"/>
          <w:szCs w:val="16"/>
        </w:rPr>
        <w:t>Наряду с борьбой за качество производственного выполнения и за повышение летных данных серийных самолетов, завод следил за состоянием технико-экономических показателей и поддерживал их в продолжение всего года на удовлетворительном уровне.</w:t>
      </w:r>
    </w:p>
    <w:p w14:paraId="49C837C5" w14:textId="77777777" w:rsidR="00A9131A" w:rsidRPr="00F90EAE" w:rsidRDefault="00A9131A" w:rsidP="00F90EAE">
      <w:pPr>
        <w:jc w:val="both"/>
        <w:rPr>
          <w:color w:val="0070C0"/>
          <w:sz w:val="16"/>
          <w:szCs w:val="16"/>
        </w:rPr>
      </w:pPr>
      <w:r w:rsidRPr="00F90EAE">
        <w:rPr>
          <w:color w:val="0070C0"/>
          <w:sz w:val="16"/>
          <w:szCs w:val="16"/>
        </w:rPr>
        <w:t>Считаю деятельность завода № 18 по основному производству и капитальному строительству ХОРОШЕЙ...</w:t>
      </w:r>
    </w:p>
    <w:p w14:paraId="2110505E" w14:textId="77777777" w:rsidR="00A9131A" w:rsidRPr="00F90EAE" w:rsidRDefault="00A9131A" w:rsidP="00F90EAE">
      <w:pPr>
        <w:jc w:val="both"/>
        <w:rPr>
          <w:color w:val="0070C0"/>
          <w:sz w:val="16"/>
          <w:szCs w:val="16"/>
        </w:rPr>
      </w:pPr>
      <w:r w:rsidRPr="00F90EAE">
        <w:rPr>
          <w:color w:val="0070C0"/>
          <w:sz w:val="16"/>
          <w:szCs w:val="16"/>
        </w:rPr>
        <w:t>Начальник 10 Главного Управления заместитель Народного Комиссара авиационной промышленности</w:t>
      </w:r>
      <w:r w:rsidRPr="00F90EAE">
        <w:rPr>
          <w:color w:val="0070C0"/>
          <w:sz w:val="16"/>
          <w:szCs w:val="16"/>
        </w:rPr>
        <w:tab/>
        <w:t>А. Кузнецов</w:t>
      </w:r>
    </w:p>
    <w:p w14:paraId="09E7EAC9" w14:textId="77777777" w:rsidR="00A9131A" w:rsidRPr="00F90EAE" w:rsidRDefault="00A9131A" w:rsidP="00F90EAE">
      <w:pPr>
        <w:jc w:val="both"/>
        <w:rPr>
          <w:color w:val="0070C0"/>
          <w:sz w:val="16"/>
          <w:szCs w:val="16"/>
        </w:rPr>
      </w:pPr>
      <w:r w:rsidRPr="00F90EAE">
        <w:rPr>
          <w:color w:val="0070C0"/>
          <w:sz w:val="16"/>
          <w:szCs w:val="16"/>
        </w:rPr>
        <w:t>ГАСО</w:t>
      </w:r>
      <w:r w:rsidRPr="00F90EAE">
        <w:rPr>
          <w:color w:val="0070C0"/>
          <w:sz w:val="16"/>
          <w:szCs w:val="16"/>
          <w:lang w:val="en-US"/>
        </w:rPr>
        <w:t xml:space="preserve">. </w:t>
      </w:r>
      <w:r w:rsidRPr="00F90EAE">
        <w:rPr>
          <w:color w:val="0070C0"/>
          <w:sz w:val="16"/>
          <w:szCs w:val="16"/>
        </w:rPr>
        <w:t>Ф</w:t>
      </w:r>
      <w:r w:rsidRPr="00F90EAE">
        <w:rPr>
          <w:color w:val="0070C0"/>
          <w:sz w:val="16"/>
          <w:szCs w:val="16"/>
          <w:lang w:val="en-US"/>
        </w:rPr>
        <w:t xml:space="preserve">. P-3454. On. 2. </w:t>
      </w:r>
      <w:r w:rsidRPr="00F90EAE">
        <w:rPr>
          <w:color w:val="0070C0"/>
          <w:sz w:val="16"/>
          <w:szCs w:val="16"/>
        </w:rPr>
        <w:t>Д</w:t>
      </w:r>
      <w:r w:rsidRPr="00F90EAE">
        <w:rPr>
          <w:color w:val="0070C0"/>
          <w:sz w:val="16"/>
          <w:szCs w:val="16"/>
          <w:lang w:val="en-US"/>
        </w:rPr>
        <w:t xml:space="preserve">. 39. </w:t>
      </w:r>
      <w:r w:rsidRPr="00F90EAE">
        <w:rPr>
          <w:color w:val="0070C0"/>
          <w:sz w:val="16"/>
          <w:szCs w:val="16"/>
        </w:rPr>
        <w:t>Л</w:t>
      </w:r>
      <w:r w:rsidRPr="00F90EAE">
        <w:rPr>
          <w:color w:val="0070C0"/>
          <w:sz w:val="16"/>
          <w:szCs w:val="16"/>
          <w:lang w:val="en-US"/>
        </w:rPr>
        <w:t xml:space="preserve">. 52. </w:t>
      </w:r>
      <w:r w:rsidRPr="00F90EAE">
        <w:rPr>
          <w:color w:val="0070C0"/>
          <w:sz w:val="16"/>
          <w:szCs w:val="16"/>
        </w:rPr>
        <w:t>Завер. Копия (20528).</w:t>
      </w:r>
    </w:p>
    <w:p w14:paraId="2126E32F" w14:textId="77777777" w:rsidR="00A9131A" w:rsidRPr="00F90EAE" w:rsidRDefault="00A9131A" w:rsidP="00F90EAE">
      <w:pPr>
        <w:jc w:val="both"/>
        <w:rPr>
          <w:color w:val="0070C0"/>
          <w:sz w:val="16"/>
          <w:szCs w:val="16"/>
        </w:rPr>
      </w:pPr>
    </w:p>
    <w:p w14:paraId="45730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года П. Дементьев писал письмо Лапину А.</w:t>
      </w:r>
    </w:p>
    <w:p w14:paraId="695E51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 связи с предстоящим прекращением производства по выпуску моторов АМ-38ф, проведение опытных работ на этом типе мотора производить считаю нецелесообразным.</w:t>
      </w:r>
    </w:p>
    <w:p w14:paraId="626225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В июне завод N 18, совместно с заводом N 24 предъявят на войсковые испытания первые 13 самолетов Ил-10 с мотором АМ-42, оборудованные системой гидравлического агрегата "ВГ-42".</w:t>
      </w:r>
    </w:p>
    <w:p w14:paraId="6A503A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Против автоматизации переключения скоростей нагнетателя мотора АМ-82ФН возражает гл. конструктор Швецов. Этот вопрос будет окончательно решен после проведения им длительных моторных испытаний автомата "..-67". По этой причине, а также учитывая проделанную подготовку к серийному выпуску автомата "..-67", отработку автомата АПСН-14 на самолете Ла-7 считаю нецелесообразным.</w:t>
      </w:r>
    </w:p>
    <w:p w14:paraId="22E42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НИСО НКАП поручено проверить целесообразность замены электромеханизма УР-2 на УР-3 в комплекте автомата АРТ-41 на самолетах "Як", после чего и будет вынесено решение.</w:t>
      </w:r>
    </w:p>
    <w:p w14:paraId="24B415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Вопрос организации ОКБ по моторной автоматике прорабатывается и в ближайшее время по нему будет вынесено решение (1879).</w:t>
      </w:r>
    </w:p>
    <w:p w14:paraId="2BAD7CF4" w14:textId="77777777" w:rsidR="00665165" w:rsidRPr="00F90EAE" w:rsidRDefault="00665165" w:rsidP="00F90EAE">
      <w:pPr>
        <w:autoSpaceDE w:val="0"/>
        <w:autoSpaceDN w:val="0"/>
        <w:adjustRightInd w:val="0"/>
        <w:jc w:val="both"/>
        <w:rPr>
          <w:color w:val="000000" w:themeColor="text1"/>
          <w:sz w:val="16"/>
          <w:szCs w:val="16"/>
        </w:rPr>
      </w:pPr>
    </w:p>
    <w:p w14:paraId="399F65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 вышло Постановление ГОКО N 7560сс о постройке двухместных учебно-тренировочных самолетов, в т.ч. ЯК-9 с ВК-105ПФ N 11-01 выпуска завода N 301 (2591,14).</w:t>
      </w:r>
    </w:p>
    <w:p w14:paraId="33049BB7" w14:textId="77777777" w:rsidR="00665165" w:rsidRPr="00F90EAE" w:rsidRDefault="00665165" w:rsidP="00F90EAE">
      <w:pPr>
        <w:autoSpaceDE w:val="0"/>
        <w:autoSpaceDN w:val="0"/>
        <w:adjustRightInd w:val="0"/>
        <w:jc w:val="both"/>
        <w:rPr>
          <w:color w:val="000000" w:themeColor="text1"/>
          <w:sz w:val="16"/>
          <w:szCs w:val="16"/>
        </w:rPr>
      </w:pPr>
    </w:p>
    <w:p w14:paraId="52D67D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года адмирал Л. Галлер писал письмо N 151642с Шахурину.</w:t>
      </w:r>
    </w:p>
    <w:p w14:paraId="09908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 времени Вашего письма на имя Ворошилова К.Е. от 30.08.44 г. N Н-33/4113 о необходимости продувки модели ПС-84 с тральным кольцом с целью аэродинамической проверки самолета-тральщика, запроектированного конструктором Голубковым А.П., прошло уже пять с половиной месяцев, однако этот вопрос на сегодня не нашел еще должного решения.</w:t>
      </w:r>
    </w:p>
    <w:p w14:paraId="08708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исключительную важность вопроса о принятии на вооружение самолета минного тральщика, как эффективного средства борьбы с неконтактными минами противника, особенно в настоящее время на реках Дунае, Висле и др., прошу Вашего распоряжения об ускорении решения вопроса по изготовлению отечественных самолетов-тральщиков (2595,28).</w:t>
      </w:r>
    </w:p>
    <w:p w14:paraId="60EBA51D" w14:textId="77777777" w:rsidR="00665165" w:rsidRPr="00F90EAE" w:rsidRDefault="00665165" w:rsidP="00F90EAE">
      <w:pPr>
        <w:autoSpaceDE w:val="0"/>
        <w:autoSpaceDN w:val="0"/>
        <w:adjustRightInd w:val="0"/>
        <w:jc w:val="both"/>
        <w:rPr>
          <w:color w:val="000000" w:themeColor="text1"/>
          <w:sz w:val="16"/>
          <w:szCs w:val="16"/>
        </w:rPr>
      </w:pPr>
    </w:p>
    <w:p w14:paraId="4B2A27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21 февраля 1945 г. по приказу № 72с от на площадке эвакуированного завода № 133 НКАП образован завод № 794 НКАП в системе 17ГУ.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радиодеталей.</w:t>
      </w:r>
    </w:p>
    <w:p w14:paraId="2B2E8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1959 г.- НИР "Прима" (работы по РЛС обеспечения безопасности полета низколетящего бомбардировщика). </w:t>
      </w:r>
    </w:p>
    <w:p w14:paraId="32AF4B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ЦК КПСС от 14.02.1957 г. завод в 1958 г. передан в ведение Ленсовнархоза. В соответствии с постановлением ЦК КПСС от 29.09.1965 г. завод передан в ведение МРП и получил наименование «Радиоприбор».</w:t>
      </w:r>
    </w:p>
    <w:p w14:paraId="09F6E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w:t>
      </w:r>
    </w:p>
    <w:p w14:paraId="6001B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(02.1945-57 г.)- А.П. Петров, (1957-63 г.)- А.П. Зубов, (1963-68 г.)- В.Т. Бедняков, (1968-72 г.)- Ю.Т. Машенков.</w:t>
      </w:r>
    </w:p>
    <w:p w14:paraId="3CF889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Производство: радиодетали для бомбоприцела «Кобальт» для Ту-4; РЛ- дальномеры: СРД-1М (1956), «База-6», «Перо»; следящая система для РЛС "Фрегат" (1957 г.); радиотехническая аппаратура «Антей» для КР П-6, аппаратура управления К-1 ракетой «КС»; РЛС «Изумруд»; радиолы. </w:t>
      </w:r>
    </w:p>
    <w:p w14:paraId="25B0C4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 794 НКАП, МАП, Ленсовнархоза, Завод «Радиоприбор» МРП</w:t>
      </w:r>
    </w:p>
    <w:p w14:paraId="096F27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Ленинград ул. Волковская, 23</w:t>
      </w:r>
    </w:p>
    <w:p w14:paraId="0845CB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ОКБ-794 МАП, ГКАТ, ГКРЭ, Р-6808 </w:t>
      </w:r>
    </w:p>
    <w:p w14:paraId="789C5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Ленинград</w:t>
      </w:r>
    </w:p>
    <w:p w14:paraId="20BAA8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РЛ-аппаратуры. Сопровождение серийного производства на заводе доплеровских измерителей скорости, бомбоприцела «Кобальт» и РЛС «Изумруд», аппаратуры управления К-1 ракетой «КС», радиодальномера СРД-1М. </w:t>
      </w:r>
    </w:p>
    <w:p w14:paraId="33E003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3EF87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Сюда 1.06.1955 г. из НИИ-17 был переведен В.А. Малышев (специалист по радиодальномерам), возглавил работы по прицельно-навигационным системам.</w:t>
      </w:r>
    </w:p>
    <w:p w14:paraId="073771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12.1957 г. ОКБ- в ведении ГКАТ. Для концентрации работ по радиоэлектронике в 12.1958 г. ОКБ передано во вновь образованный ГКРЭ.</w:t>
      </w:r>
    </w:p>
    <w:p w14:paraId="7509D7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СССР № 615-278сс от 6.06.1959 г. на базе трех ОКБ-283, ОКБ-287 и ОКБ-794 в системе ГКРЭ в Ленинграде создан новый НИИ-131. ОКБ-794 стало базой для СКБ-3 НИИ-131.</w:t>
      </w:r>
    </w:p>
    <w:p w14:paraId="158CC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(04.1946 г.-)- А.А. Котов.</w:t>
      </w:r>
    </w:p>
    <w:p w14:paraId="54D7C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Ю.Г. Комедатов, (-1956-59 г.)- Е.А. Зазорин (затем- руководитель СКБ-3 НИИ-131).</w:t>
      </w:r>
    </w:p>
    <w:p w14:paraId="760B25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(1950-е)- Е.А. Зазорин (радиодальномеры, ДИСС), (1950-е)- В.Л. Коблов («Эмблема»).</w:t>
      </w:r>
    </w:p>
    <w:p w14:paraId="24B109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радиодальномеры: «СРД», "База-6", "Перо"; ДИСС «Ветер-1», «Ветер-2» для Ту-16, Бе-8, ДИВ-1 «Скорость» для вертолетов; РЛС предупреждения столкновений: РППС-1 «Рубеж» для Ил-14, РПСН «Эмблема»; система "Пума-А".</w:t>
      </w:r>
    </w:p>
    <w:p w14:paraId="36D8BB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СЛ-П (СЛ-11) при заводе № 794 МАП</w:t>
      </w:r>
    </w:p>
    <w:p w14:paraId="33A0C4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Специальная лаборатория СЛ-П (СЛ-11) создана в 1956 г. </w:t>
      </w:r>
    </w:p>
    <w:p w14:paraId="39A42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Руководители- Иосиф Вениаминович Берг, Ф.Г. Старос (настоящие имена: Альфред Сарант и Джоэл Барр)- английские разведчики, переправленные в СССР после разоблачения. Разработка вычислительной техники. Создан первый советский компьютер. </w:t>
      </w:r>
    </w:p>
    <w:p w14:paraId="6875B6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на базе СЛ-П создано СКБ-2 НИИ-131 (10776).</w:t>
      </w:r>
    </w:p>
    <w:p w14:paraId="06E72D63" w14:textId="77777777" w:rsidR="00665165" w:rsidRPr="00F90EAE" w:rsidRDefault="00665165" w:rsidP="00F90EAE">
      <w:pPr>
        <w:autoSpaceDE w:val="0"/>
        <w:autoSpaceDN w:val="0"/>
        <w:adjustRightInd w:val="0"/>
        <w:jc w:val="both"/>
        <w:rPr>
          <w:color w:val="000000" w:themeColor="text1"/>
          <w:sz w:val="16"/>
          <w:szCs w:val="16"/>
        </w:rPr>
      </w:pPr>
    </w:p>
    <w:p w14:paraId="6DC4DD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 по приказам НКАП № 72с и № 249с от 15.06.1945 г. на второй площадке завода № 273 (бывший завод им. Каракозова) вновь образовался завод № 794 НКАП (11982).</w:t>
      </w:r>
    </w:p>
    <w:p w14:paraId="3463C3E8" w14:textId="77777777" w:rsidR="00665165" w:rsidRPr="00F90EAE" w:rsidRDefault="00665165" w:rsidP="00F90EAE">
      <w:pPr>
        <w:autoSpaceDE w:val="0"/>
        <w:autoSpaceDN w:val="0"/>
        <w:adjustRightInd w:val="0"/>
        <w:jc w:val="both"/>
        <w:rPr>
          <w:color w:val="000000" w:themeColor="text1"/>
          <w:sz w:val="16"/>
          <w:szCs w:val="16"/>
        </w:rPr>
      </w:pPr>
    </w:p>
    <w:p w14:paraId="725F6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21 февраля 1945 г. по приказу НКАП № 72с на площадке эвакуированного завода № 133 НКАП образован завод № 794 НКАП в системе 17ГУ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приказу № 231с от 23.05.1945 г. все помещения завода № 794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F90EAE">
        <w:rPr>
          <w:color w:val="000000" w:themeColor="text1"/>
          <w:sz w:val="16"/>
          <w:szCs w:val="16"/>
          <w:lang w:val="en-US"/>
        </w:rPr>
        <w:t>PJI</w:t>
      </w:r>
      <w:r w:rsidRPr="00F90EAE">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50E99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НИР «Прима» (работы по РЛС обеспечения безопасности полета низколетящего бомбардировщика).</w:t>
      </w:r>
    </w:p>
    <w:p w14:paraId="2B7752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BB015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4D2A55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6C1D8D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4C838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Производственные площади (2003 г.)- более 60 тыс. м</w:t>
      </w:r>
      <w:r w:rsidRPr="00F90EAE">
        <w:rPr>
          <w:color w:val="000000" w:themeColor="text1"/>
          <w:sz w:val="16"/>
          <w:szCs w:val="16"/>
          <w:vertAlign w:val="superscript"/>
        </w:rPr>
        <w:t>2</w:t>
      </w:r>
      <w:r w:rsidRPr="00F90EAE">
        <w:rPr>
          <w:color w:val="000000" w:themeColor="text1"/>
          <w:sz w:val="16"/>
          <w:szCs w:val="16"/>
        </w:rPr>
        <w:t>.</w:t>
      </w:r>
    </w:p>
    <w:p w14:paraId="50357A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(2003  г.)- около 1000 чел.</w:t>
      </w:r>
    </w:p>
    <w:p w14:paraId="2EB90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0AF723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гендиректора: по производству (-1991 г.)- А.О. Бураков; по коммерческим вопросам (2003 г.)- А.Н. Окунев.</w:t>
      </w:r>
    </w:p>
    <w:p w14:paraId="4614B8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(-1972 г.)- О.Ф. Бураков, (2003 г.)- Б.К. Румянцев.</w:t>
      </w:r>
    </w:p>
    <w:p w14:paraId="23E94B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А.О. Бураков.</w:t>
      </w:r>
    </w:p>
    <w:p w14:paraId="48142B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производства (1983 г.-)- А.О. Бураков.</w:t>
      </w:r>
    </w:p>
    <w:p w14:paraId="48D4E4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2A6115C0"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РЛ бомбоприцел «Кобальт-1М, -2М» для Ту-4, -16 (1950-е);</w:t>
      </w:r>
      <w:r w:rsidRPr="00F90EAE">
        <w:rPr>
          <w:iCs/>
          <w:color w:val="000000" w:themeColor="text1"/>
          <w:sz w:val="16"/>
          <w:szCs w:val="16"/>
          <w:lang w:val="en-US"/>
        </w:rPr>
        <w:t>PJI</w:t>
      </w:r>
      <w:r w:rsidRPr="00F90EAE">
        <w:rPr>
          <w:iCs/>
          <w:color w:val="000000" w:themeColor="text1"/>
          <w:sz w:val="16"/>
          <w:szCs w:val="16"/>
        </w:rPr>
        <w:t>- дальномеры:</w:t>
      </w:r>
      <w:r w:rsidRPr="00F90EAE">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F90EAE">
        <w:rPr>
          <w:iCs/>
          <w:color w:val="000000" w:themeColor="text1"/>
          <w:sz w:val="16"/>
          <w:szCs w:val="16"/>
        </w:rPr>
        <w:t>); телевизоры:</w:t>
      </w:r>
      <w:r w:rsidRPr="00F90EAE">
        <w:rPr>
          <w:color w:val="000000" w:themeColor="text1"/>
          <w:sz w:val="16"/>
          <w:szCs w:val="16"/>
        </w:rPr>
        <w:t xml:space="preserve"> «Сигнал» (1963-), «Балтика», «Атлант»;</w:t>
      </w:r>
      <w:r w:rsidRPr="00F90EAE">
        <w:rPr>
          <w:iCs/>
          <w:color w:val="000000" w:themeColor="text1"/>
          <w:sz w:val="16"/>
          <w:szCs w:val="16"/>
        </w:rPr>
        <w:t xml:space="preserve"> радиоприемники:</w:t>
      </w:r>
      <w:r w:rsidRPr="00F90EAE">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F90EAE">
        <w:rPr>
          <w:color w:val="000000" w:themeColor="text1"/>
          <w:sz w:val="16"/>
          <w:szCs w:val="16"/>
          <w:lang w:val="en-US"/>
        </w:rPr>
        <w:t>l</w:t>
      </w:r>
      <w:r w:rsidRPr="00F90EAE">
        <w:rPr>
          <w:color w:val="000000" w:themeColor="text1"/>
          <w:sz w:val="16"/>
          <w:szCs w:val="16"/>
        </w:rPr>
        <w:t>-).</w:t>
      </w:r>
    </w:p>
    <w:p w14:paraId="698C3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ОКБ-794 МАП, ГКАТ, ГКРЭ /г. Ленинград/</w:t>
      </w:r>
    </w:p>
    <w:p w14:paraId="4285CA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w:t>
      </w:r>
      <w:r w:rsidRPr="00F90EAE">
        <w:rPr>
          <w:color w:val="000000" w:themeColor="text1"/>
          <w:sz w:val="16"/>
          <w:szCs w:val="16"/>
          <w:lang w:val="en-US"/>
        </w:rPr>
        <w:t>PJI</w:t>
      </w:r>
      <w:r w:rsidRPr="00F90EAE">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F90EAE">
        <w:rPr>
          <w:color w:val="000000" w:themeColor="text1"/>
          <w:sz w:val="16"/>
          <w:szCs w:val="16"/>
          <w:lang w:val="en-US"/>
        </w:rPr>
        <w:t>PJIC</w:t>
      </w:r>
      <w:r w:rsidRPr="00F90EAE">
        <w:rPr>
          <w:color w:val="000000" w:themeColor="text1"/>
          <w:sz w:val="16"/>
          <w:szCs w:val="16"/>
        </w:rPr>
        <w:t xml:space="preserve"> «Изумруд», аппаратуры управления К-1 ракетой «КС», радиодальномера СРД-1М.</w:t>
      </w:r>
    </w:p>
    <w:p w14:paraId="21AFA2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69FBD1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7C96F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47C48E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A88EA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(04.1946 г.-)- А.А. Котов.</w:t>
      </w:r>
    </w:p>
    <w:p w14:paraId="51A18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Ю. Г. Комедатов, (-1956-59 г.)- Е. А. Зазорин (затем- руководитель СКБ-3 НИИ-131).</w:t>
      </w:r>
    </w:p>
    <w:p w14:paraId="3D057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(1947 г.-)- А.С. Чефранов («Залив»), (1950-е)- Е.А. Зазорин (радиодальномеры, ДИСС), (- 1959 г.)- В.Л. Коблов («Эмблема»).</w:t>
      </w:r>
    </w:p>
    <w:p w14:paraId="154E2F57"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737AD3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СЛ-П (СЛ-11) при заводе № 794 МАП</w:t>
      </w:r>
    </w:p>
    <w:p w14:paraId="4A0C0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Специальная лаборатория СЛ-П (СЛ-11) создана в 1956 г.</w:t>
      </w:r>
    </w:p>
    <w:p w14:paraId="49A6A1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18963C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на базе СЛ-П создано СКБ-2 НИИ-131 (11982).</w:t>
      </w:r>
    </w:p>
    <w:p w14:paraId="56A27ADC" w14:textId="77777777" w:rsidR="00665165" w:rsidRPr="00F90EAE" w:rsidRDefault="00665165" w:rsidP="00F90EAE">
      <w:pPr>
        <w:autoSpaceDE w:val="0"/>
        <w:autoSpaceDN w:val="0"/>
        <w:adjustRightInd w:val="0"/>
        <w:jc w:val="both"/>
        <w:rPr>
          <w:color w:val="000000" w:themeColor="text1"/>
          <w:sz w:val="16"/>
          <w:szCs w:val="16"/>
        </w:rPr>
      </w:pPr>
    </w:p>
    <w:p w14:paraId="32502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года вышло Постановление ГОКО от № 7560/с:</w:t>
      </w:r>
    </w:p>
    <w:p w14:paraId="479E1FD5"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1837F890"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3647590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A2FE5B1" w14:textId="77777777" w:rsidR="00665165" w:rsidRPr="00F90EAE" w:rsidRDefault="00665165" w:rsidP="00F90EAE">
      <w:pPr>
        <w:autoSpaceDE w:val="0"/>
        <w:autoSpaceDN w:val="0"/>
        <w:adjustRightInd w:val="0"/>
        <w:jc w:val="both"/>
        <w:rPr>
          <w:iCs/>
          <w:color w:val="000000" w:themeColor="text1"/>
          <w:sz w:val="16"/>
          <w:szCs w:val="16"/>
        </w:rPr>
      </w:pPr>
    </w:p>
    <w:p w14:paraId="4A8BAA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февраля 1945 г. было СООБЩЕНИЕ НАЧАЛЬНИКА ГБТУ КА ЗАМЕСТИТЕЛЮ НАЧАЛЬНИКА ГАУ КА О ТРЕБОВАНИЯХ К МЕХАНИЗМАМ ТАНКОВЫХ И АРТСАМОХОДНЫХ ПУШЕК № 842387</w:t>
      </w:r>
    </w:p>
    <w:p w14:paraId="6B11B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Танки и самоходные артустановки Красной Армии имеют следующие максимальные и сред</w:t>
      </w:r>
      <w:r w:rsidRPr="00F90EAE">
        <w:rPr>
          <w:color w:val="000000" w:themeColor="text1"/>
          <w:sz w:val="16"/>
          <w:szCs w:val="16"/>
        </w:rPr>
        <w:softHyphen/>
        <w:t>ние скорости передвижения в зависимости от дорожных условий:</w:t>
      </w:r>
    </w:p>
    <w:tbl>
      <w:tblPr>
        <w:tblW w:w="0" w:type="auto"/>
        <w:tblInd w:w="40" w:type="dxa"/>
        <w:tblLayout w:type="fixed"/>
        <w:tblCellMar>
          <w:left w:w="40" w:type="dxa"/>
          <w:right w:w="40" w:type="dxa"/>
        </w:tblCellMar>
        <w:tblLook w:val="0000" w:firstRow="0" w:lastRow="0" w:firstColumn="0" w:lastColumn="0" w:noHBand="0" w:noVBand="0"/>
      </w:tblPr>
      <w:tblGrid>
        <w:gridCol w:w="2054"/>
        <w:gridCol w:w="1277"/>
        <w:gridCol w:w="1277"/>
        <w:gridCol w:w="1286"/>
        <w:gridCol w:w="1277"/>
        <w:gridCol w:w="1277"/>
        <w:gridCol w:w="1219"/>
      </w:tblGrid>
      <w:tr w:rsidR="00561F31" w:rsidRPr="00F90EAE" w14:paraId="7F9DF8EF" w14:textId="77777777">
        <w:trPr>
          <w:trHeight w:val="259"/>
        </w:trPr>
        <w:tc>
          <w:tcPr>
            <w:tcW w:w="2054" w:type="dxa"/>
            <w:tcBorders>
              <w:top w:val="single" w:sz="6" w:space="0" w:color="auto"/>
              <w:left w:val="single" w:sz="6" w:space="0" w:color="auto"/>
              <w:bottom w:val="nil"/>
              <w:right w:val="single" w:sz="6" w:space="0" w:color="auto"/>
            </w:tcBorders>
          </w:tcPr>
          <w:p w14:paraId="21D811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Дорожные условия</w:t>
            </w:r>
          </w:p>
          <w:p w14:paraId="792075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613" w:type="dxa"/>
            <w:gridSpan w:val="6"/>
            <w:tcBorders>
              <w:top w:val="single" w:sz="6" w:space="0" w:color="auto"/>
              <w:left w:val="single" w:sz="6" w:space="0" w:color="auto"/>
              <w:bottom w:val="single" w:sz="6" w:space="0" w:color="auto"/>
              <w:right w:val="single" w:sz="6" w:space="0" w:color="auto"/>
            </w:tcBorders>
          </w:tcPr>
          <w:p w14:paraId="6D48D4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Машины</w:t>
            </w:r>
          </w:p>
          <w:p w14:paraId="1E1DFD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A9C0342" w14:textId="77777777">
        <w:trPr>
          <w:trHeight w:val="230"/>
        </w:trPr>
        <w:tc>
          <w:tcPr>
            <w:tcW w:w="2054" w:type="dxa"/>
            <w:tcBorders>
              <w:top w:val="nil"/>
              <w:left w:val="single" w:sz="6" w:space="0" w:color="auto"/>
              <w:bottom w:val="nil"/>
              <w:right w:val="single" w:sz="6" w:space="0" w:color="auto"/>
            </w:tcBorders>
          </w:tcPr>
          <w:p w14:paraId="6A63DEC2" w14:textId="77777777" w:rsidR="00665165" w:rsidRPr="00F90EAE" w:rsidRDefault="00665165" w:rsidP="00F90EAE">
            <w:pPr>
              <w:autoSpaceDE w:val="0"/>
              <w:autoSpaceDN w:val="0"/>
              <w:adjustRightInd w:val="0"/>
              <w:jc w:val="both"/>
              <w:rPr>
                <w:color w:val="000000" w:themeColor="text1"/>
                <w:sz w:val="16"/>
                <w:szCs w:val="16"/>
              </w:rPr>
            </w:pPr>
          </w:p>
          <w:p w14:paraId="1465B516" w14:textId="77777777" w:rsidR="00665165" w:rsidRPr="00F90EAE" w:rsidRDefault="00665165" w:rsidP="00F90EAE">
            <w:pPr>
              <w:autoSpaceDE w:val="0"/>
              <w:autoSpaceDN w:val="0"/>
              <w:adjustRightInd w:val="0"/>
              <w:jc w:val="both"/>
              <w:rPr>
                <w:color w:val="000000" w:themeColor="text1"/>
                <w:sz w:val="16"/>
                <w:szCs w:val="16"/>
              </w:rPr>
            </w:pPr>
          </w:p>
        </w:tc>
        <w:tc>
          <w:tcPr>
            <w:tcW w:w="2554" w:type="dxa"/>
            <w:gridSpan w:val="2"/>
            <w:tcBorders>
              <w:top w:val="single" w:sz="6" w:space="0" w:color="auto"/>
              <w:left w:val="single" w:sz="6" w:space="0" w:color="auto"/>
              <w:bottom w:val="single" w:sz="6" w:space="0" w:color="auto"/>
              <w:right w:val="single" w:sz="6" w:space="0" w:color="auto"/>
            </w:tcBorders>
          </w:tcPr>
          <w:p w14:paraId="1CE0C3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w:t>
            </w:r>
          </w:p>
          <w:p w14:paraId="75A928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63" w:type="dxa"/>
            <w:gridSpan w:val="2"/>
            <w:tcBorders>
              <w:top w:val="single" w:sz="6" w:space="0" w:color="auto"/>
              <w:left w:val="single" w:sz="6" w:space="0" w:color="auto"/>
              <w:bottom w:val="single" w:sz="6" w:space="0" w:color="auto"/>
              <w:right w:val="single" w:sz="6" w:space="0" w:color="auto"/>
            </w:tcBorders>
          </w:tcPr>
          <w:p w14:paraId="758CBD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Т-34-85, СУ-100</w:t>
            </w:r>
          </w:p>
          <w:p w14:paraId="3345B5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496" w:type="dxa"/>
            <w:gridSpan w:val="2"/>
            <w:tcBorders>
              <w:top w:val="single" w:sz="6" w:space="0" w:color="auto"/>
              <w:left w:val="single" w:sz="6" w:space="0" w:color="auto"/>
              <w:bottom w:val="single" w:sz="6" w:space="0" w:color="auto"/>
              <w:right w:val="single" w:sz="6" w:space="0" w:color="auto"/>
            </w:tcBorders>
          </w:tcPr>
          <w:p w14:paraId="143F2A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ИС-122, ИСУ-122 (ИСУ-152)</w:t>
            </w:r>
          </w:p>
          <w:p w14:paraId="565449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F5C1503" w14:textId="77777777">
        <w:trPr>
          <w:trHeight w:val="240"/>
        </w:trPr>
        <w:tc>
          <w:tcPr>
            <w:tcW w:w="2054" w:type="dxa"/>
            <w:tcBorders>
              <w:top w:val="nil"/>
              <w:left w:val="single" w:sz="6" w:space="0" w:color="auto"/>
              <w:bottom w:val="single" w:sz="6" w:space="0" w:color="auto"/>
              <w:right w:val="single" w:sz="6" w:space="0" w:color="auto"/>
            </w:tcBorders>
          </w:tcPr>
          <w:p w14:paraId="4E35F3C3" w14:textId="77777777" w:rsidR="00665165" w:rsidRPr="00F90EAE" w:rsidRDefault="00665165" w:rsidP="00F90EAE">
            <w:pPr>
              <w:autoSpaceDE w:val="0"/>
              <w:autoSpaceDN w:val="0"/>
              <w:adjustRightInd w:val="0"/>
              <w:jc w:val="both"/>
              <w:rPr>
                <w:color w:val="000000" w:themeColor="text1"/>
                <w:sz w:val="16"/>
                <w:szCs w:val="16"/>
              </w:rPr>
            </w:pPr>
          </w:p>
          <w:p w14:paraId="06D55231" w14:textId="77777777" w:rsidR="00665165" w:rsidRPr="00F90EAE" w:rsidRDefault="00665165" w:rsidP="00F90EAE">
            <w:pPr>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0BEC6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Макс.</w:t>
            </w:r>
          </w:p>
          <w:p w14:paraId="71DE0F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0297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w:t>
            </w:r>
          </w:p>
          <w:p w14:paraId="518366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90DA0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Макс.</w:t>
            </w:r>
          </w:p>
          <w:p w14:paraId="5AD3FA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14418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w:t>
            </w:r>
          </w:p>
          <w:p w14:paraId="114966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7ECBB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Макс.</w:t>
            </w:r>
          </w:p>
          <w:p w14:paraId="5FE4AF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633904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w:t>
            </w:r>
          </w:p>
          <w:p w14:paraId="1D62B8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B5B4998"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3A9EFC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шоссе км/ч</w:t>
            </w:r>
          </w:p>
          <w:p w14:paraId="004B1C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C807B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w:t>
            </w:r>
          </w:p>
          <w:p w14:paraId="4801BC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AC0B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344B8F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1B9F3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p w14:paraId="65BC83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C0122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w:t>
            </w:r>
          </w:p>
          <w:p w14:paraId="22908C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E604E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w:t>
            </w:r>
          </w:p>
          <w:p w14:paraId="6FA714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7D848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29,7</w:t>
            </w:r>
          </w:p>
          <w:p w14:paraId="3F6D33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628C845" w14:textId="77777777">
        <w:trPr>
          <w:trHeight w:val="240"/>
        </w:trPr>
        <w:tc>
          <w:tcPr>
            <w:tcW w:w="2054" w:type="dxa"/>
            <w:tcBorders>
              <w:top w:val="single" w:sz="6" w:space="0" w:color="auto"/>
              <w:left w:val="single" w:sz="6" w:space="0" w:color="auto"/>
              <w:bottom w:val="single" w:sz="6" w:space="0" w:color="auto"/>
              <w:right w:val="single" w:sz="6" w:space="0" w:color="auto"/>
            </w:tcBorders>
          </w:tcPr>
          <w:p w14:paraId="58233A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проселку км/ч</w:t>
            </w:r>
          </w:p>
          <w:p w14:paraId="5A82DC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9419A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14BE98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EFA66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w:t>
            </w:r>
          </w:p>
          <w:p w14:paraId="174C08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F059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p w14:paraId="51ABDB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91708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13BF97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1234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2D6298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7D99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16,7</w:t>
            </w:r>
          </w:p>
          <w:p w14:paraId="7F77E8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2228E17" w14:textId="77777777">
        <w:trPr>
          <w:trHeight w:val="259"/>
        </w:trPr>
        <w:tc>
          <w:tcPr>
            <w:tcW w:w="2054" w:type="dxa"/>
            <w:tcBorders>
              <w:top w:val="single" w:sz="6" w:space="0" w:color="auto"/>
              <w:left w:val="single" w:sz="6" w:space="0" w:color="auto"/>
              <w:bottom w:val="single" w:sz="6" w:space="0" w:color="auto"/>
              <w:right w:val="single" w:sz="6" w:space="0" w:color="auto"/>
            </w:tcBorders>
          </w:tcPr>
          <w:p w14:paraId="5597D3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бездорожью км/ч</w:t>
            </w:r>
          </w:p>
          <w:p w14:paraId="3C9FD7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5B082E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63F3C9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A96D8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7F3D8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BF2C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510B47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38CF18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7BEB14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8523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02B228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07D214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216E5E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22B1D2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Эти скорости и следует учитывать при расчете деталей и механизмов танковых и самоходных артсистем на прочность, при движении с незакрепленными по-походному орудиями.</w:t>
      </w:r>
    </w:p>
    <w:p w14:paraId="1AE814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Считаю, что детали и механизмы танковых и самоходных артсистем должны надежно работать не менее 2000 км пробега (срок службы танков и самоходных артустановок), из которых не менее 500 км пробега совершается с незакрепленными по-походному орудиями.</w:t>
      </w:r>
    </w:p>
    <w:p w14:paraId="5472D1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ГБТУ КА генерал-лейтенант танковых войск Вершинин</w:t>
      </w:r>
    </w:p>
    <w:p w14:paraId="53EC64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11369. Д. 709. Л. 28. Копия (11420).</w:t>
      </w:r>
    </w:p>
    <w:p w14:paraId="2ED0AF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6D8275E"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21 февраля 1945 машины №1 и №3 приняли, а танк №2, прошедший заводскую обкатку, 20 февраля отправили в Москву. Перед отправкой в Москву танк №2 сфотографировали, но снимки не получились, поэтому 1 марта повторно сняли танк №3. При этом танк №3, после заводских испытаний прошедший 40 км, немного доработали, а далее было принято решение о том, что его подвергнут большим, 1000-км испытаниям.</w:t>
      </w:r>
    </w:p>
    <w:p w14:paraId="7D6B09FA"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ходе первого этапа заводских испытаний выяснилось, что масляный радиатор ничем не защищён — в него попадали посторонние предметы (камешки), повредившие его, причём такое случалось трижды. По этой причине было предложено ввести защитную сетку. В ходе заводских испытаний на булыжном шоссе была получена средняя скорость чистого движения 31,5 км/ч. При этом продолжали выявляться различные дефекты, а температура воды была близка к опасным значениям. Танк неоднократно отправлялся в ремонт, поэтому тот же цикл 1000-км испытаний решили провести на машине №4. Этот танк также неоднократно оказывался в ремонте. Танк №3 к 19 марта прошёл 1026 км, при этом средняя скорость чистого движения по грунтовой дороге составила 26,3 км/ч. Испытания танка продолжились, завершившись 29 марта — к тому моменту он преодолел 1922 км. По итогам был собран целый «букет» различных недочётов, которые требовалось исправить на ранее построенных машинах, а также при запуске танка в серию.</w:t>
      </w:r>
    </w:p>
    <w:p w14:paraId="0E6AAAF1"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Решение срочно запустить заводские испытания оказалось совсем не лишним. Дело в том, что НИБТ Полигон, куда ещё 20 февраля отправили танк №2, получил его только 16 марта. В НКТП прекрасно понимали, чем это может закончиться. Более того, по состоянию на 19 марта танк ещё не отправился на ходовые испытания, а производилась стрельба из орудия. К ходовым испытаниям приступили только к 20-м числам марта. В ходе пробега 23 марта была получена максимальная скорость 40 км/ч, а средняя скорость чистого движения — 32,5 км/ч. На следующий день танк двигался по разбитой просёлочной дороге, при этом средняя скорость составила 17,1 км/ч. Всего же на испытания было потрачено 27 дней, за это время танк преодолел 1016 км, из них 258 — по асфальтовому шоссе, 439 — по просёлку, 159 — по целине, и 160 пришлись на специспытания. Также произвели 110 выстрелов из орудия и 910 выстрелов из зенитного пулемёта ДШК.</w:t>
      </w:r>
    </w:p>
    <w:p w14:paraId="2D2CA16A"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испытаний средняя скорость движения по шоссе составила 31,3 км/ч, по просёлку — 17,2 км/ч, и по целине — 16,6 км/ч. Столь небольшая разница между скоростью по просёлку и целине объяснялась очень тяжёлыми дорожными условиями. Это видно и по расходу топлива. Если по шоссе танк тратил 230 л на 100 км, то на той же дистанции по просёлку тратилось 390 л, а при езде по целине — 460 л. Поэтому и запас хода оказался близким — 200, 120 и 100 км. Неприятным моментом стал повышенный тепловой режим двигателя, что отмечалось и на полигонных, и на заводских испытаниях. Кроме того, список «болячек» танка №2 оказался близок к тому, что обнаружился при испытаниях танка №3. Разница в том, что танк №3 к 29 марта накатал уже 1922 км, а на НИБТ Полигоне ходовые испытания закончились только в апреле.</w:t>
      </w:r>
    </w:p>
    <w:p w14:paraId="24392C63"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Чего не было выполнено на заводских испытаниях в полном объёме, так это огневых тестов. Отчасти поэтому на НИБТ Полигоне и начались испытания со стрельбы. При стрельбе из орудия была получена кучность, очень близкая к табличной. Средняя скорострельность составила 2 выстрела в минуту, при этом максимальное значение составило 2,25 выстрела в минуту. Следует отметить, что размещение боекомплекта существенно отличалось от ИС-2. Поскольку у башни практически не было кормовой ниши, снаряды разместили по периметру башни. Основная проблема возникла при использовании зарядов. Часть из них находилась в районе места механика-водителя, причём они не только мешали ему, делая отделение управления тесным, но до них ещё оказалось проблематично дотянуться. Вместе с тем, таких «неудобных» зарядов оказалось немного. В целом стрельба из орудия оказалась вполне успешной, чего не скажешь о стрельбе из ДШКМ. Ввиду того, что отсутствовал упор при стрельбе, кучность оказалась неудовлетворительной. К турели набралось немало претензий, которые требовалось исправить при запуске в серию.</w:t>
      </w:r>
    </w:p>
    <w:p w14:paraId="40689361"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Имелось немало претензий и к боевому отделению. Неудобно оказались выполнены сидения экипажа, отсутствие «классической» командирской башенки снизило обзорность. Также накопилось немало недостатков смотровых приборов расчёта башни, включая телескопический прицел ТШ-17. Кроме того, имелись претензии к загазованности боевого отделения. Вентилятор не справлялся со своей задачей при максимальной скорострельности орудия. Дублирующее устройство поворота башни признали удачным решением, но не само его исполнение.</w:t>
      </w:r>
    </w:p>
    <w:p w14:paraId="06EAB9AC"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Броневую защиту танка оценили высоко, но с нюансами. Предварительный отстрел башни показал, что качество брони невысоко, поскольку появились трещины. Точнее, это было сказано довольно дипломатично — на самом деле башня попросту раскололась. Также, при попадании снарядов, произошло разрушение сварных швов укладок снарядов. Ещё одним неприятным звоночком стало разрушение сварных швов фальшбортов, которое произошло во время ходовых испытаний. В тот момент на то, что именно стало причиной разрушения швов, внимания не обратили, на практике же это был «привет» от недостаточно жёсткого крепления листов днища и бортов танка. Впоследствии именно этот недостаток стал одной из главных причин проблем с ИС-3 во время его войсковой эксплуатации.</w:t>
      </w:r>
    </w:p>
    <w:p w14:paraId="75E1AF42"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полигонных испытаний появился длинный список того, что требовалось исправить. 15 пунктов по корпусу и башне, 10 пунктов по вооружению, 15 пунктов по боевому отделению, 4 пункта по отделению управления, 5 пунктов по двигателю, 9 пунктов по системе охлаждения, 10 пунктов по трансмиссии и ходовой части, 6 пунктов по электрооборудованию и связи, а также 4 пункта по укладке ЗИП в танке. Тем не менее, машину рекомендовали после устранения всех недостатков запускать в серийное производство. На самом деле решение о запуске танка в серию было принято за несколько недель до окончания испытаний. Ещё 20 марта 1945 года в адрес Сталина ушло письмо за подписями Берия, Малышева, Бирюкова и Коробкова. В нём они предлагали поставить на вооружение Красной армии тяжёлый танк «Маршал Сталин». 29 марта Сталин подписал постановление ГКО №7950, на вооружение танк был принят под индексом ИС-3. Согласно постановлению, уже в апреле сдавалось 25 танков данного типа, в мае — 100, в июне — 250 (19731).</w:t>
      </w:r>
    </w:p>
    <w:p w14:paraId="6E0D6485" w14:textId="77777777" w:rsidR="008C396C" w:rsidRPr="00F90EAE" w:rsidRDefault="008C396C" w:rsidP="00F90EAE">
      <w:pPr>
        <w:pStyle w:val="ae"/>
        <w:shd w:val="clear" w:color="auto" w:fill="FFFFFF"/>
        <w:spacing w:before="0" w:after="0"/>
        <w:jc w:val="both"/>
        <w:textAlignment w:val="baseline"/>
        <w:rPr>
          <w:color w:val="000000" w:themeColor="text1"/>
          <w:sz w:val="16"/>
          <w:szCs w:val="16"/>
        </w:rPr>
      </w:pPr>
    </w:p>
    <w:p w14:paraId="12D631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7561 О добыче торфа и подготовке предприятий Наркомэлектростанций к торфяному сезону 1945 г. (7309, 111-123,124-140).</w:t>
      </w:r>
    </w:p>
    <w:p w14:paraId="3E3ED70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CC3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7562 Об изготовлении в 1945 году специального оборудования, инструмента и запасных деталей для стационарных и подвижных снаряжательных мастерских Главного артиллерийского управления Красной Армии. РГАНИР, Фонд ГКО, д. 372, лл. 141-144, 145-172 (11012).</w:t>
      </w:r>
    </w:p>
    <w:p w14:paraId="3373ACAB" w14:textId="77777777" w:rsidR="00665165" w:rsidRPr="00F90EAE" w:rsidRDefault="00665165" w:rsidP="00F90EAE">
      <w:pPr>
        <w:autoSpaceDE w:val="0"/>
        <w:autoSpaceDN w:val="0"/>
        <w:adjustRightInd w:val="0"/>
        <w:jc w:val="both"/>
        <w:rPr>
          <w:color w:val="000000" w:themeColor="text1"/>
          <w:sz w:val="16"/>
          <w:szCs w:val="16"/>
        </w:rPr>
      </w:pPr>
    </w:p>
    <w:p w14:paraId="77B3FD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 вышло Постановление ГКО № 7563 «О создании при действующих фронтах Красной Армии постоянных комиссий и о порядке вывоза оборудования и материалов с территорий Германии и Польши» (Д. 453. Л. 174–176, 178–180).</w:t>
      </w:r>
    </w:p>
    <w:p w14:paraId="4F1D8276" w14:textId="77777777" w:rsidR="00665165" w:rsidRPr="00F90EAE" w:rsidRDefault="00665165" w:rsidP="00F90EAE">
      <w:pPr>
        <w:autoSpaceDE w:val="0"/>
        <w:autoSpaceDN w:val="0"/>
        <w:adjustRightInd w:val="0"/>
        <w:jc w:val="both"/>
        <w:rPr>
          <w:color w:val="000000" w:themeColor="text1"/>
          <w:sz w:val="16"/>
          <w:szCs w:val="16"/>
        </w:rPr>
      </w:pPr>
    </w:p>
    <w:p w14:paraId="3A22B79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7564 О восстановлении и перешивке на широкую колею железнодорожных участков в Восточной Пруссии. (7309, 176).</w:t>
      </w:r>
    </w:p>
    <w:p w14:paraId="60EAFE9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234D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7565 О распределении мобилизуемых на территории действующих фронтов немцев на работы в промышленности. РГАНИР, Фонд ГКО, д. 372, лл. 177-178 (11012).</w:t>
      </w:r>
    </w:p>
    <w:p w14:paraId="30091321" w14:textId="77777777" w:rsidR="00665165" w:rsidRPr="00F90EAE" w:rsidRDefault="00665165" w:rsidP="00F90EAE">
      <w:pPr>
        <w:autoSpaceDE w:val="0"/>
        <w:autoSpaceDN w:val="0"/>
        <w:adjustRightInd w:val="0"/>
        <w:jc w:val="both"/>
        <w:rPr>
          <w:color w:val="000000" w:themeColor="text1"/>
          <w:sz w:val="16"/>
          <w:szCs w:val="16"/>
        </w:rPr>
      </w:pPr>
    </w:p>
    <w:p w14:paraId="672F94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7566 О порядке распределения передвижных паровых электростанций мощностью 1000 квт и выше, поступающих по импорту. РГАНИР, Фонд ГКО, д. 372, лл. 179 (11012).</w:t>
      </w:r>
    </w:p>
    <w:p w14:paraId="276E746B" w14:textId="77777777" w:rsidR="00665165" w:rsidRPr="00F90EAE" w:rsidRDefault="00665165" w:rsidP="00F90EAE">
      <w:pPr>
        <w:autoSpaceDE w:val="0"/>
        <w:autoSpaceDN w:val="0"/>
        <w:adjustRightInd w:val="0"/>
        <w:jc w:val="both"/>
        <w:rPr>
          <w:color w:val="000000" w:themeColor="text1"/>
          <w:sz w:val="16"/>
          <w:szCs w:val="16"/>
        </w:rPr>
      </w:pPr>
    </w:p>
    <w:p w14:paraId="5375051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Распоряжение ГКО № 7567 [Об увеличении на 10 тыс. численности передаваемых НКВД военнообязанных для охраны ИТЛ и колоний; об увеличении на 10 тыс. численности досрочно освобождаемых заключенных, осужденных за незначительные преступления, годных к строевой службе в КА.] (7309, 180).</w:t>
      </w:r>
    </w:p>
    <w:p w14:paraId="4B5008A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68162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7568 О срочных мерах по усилению налива нефтепродуктов и ускорению продвижения цистерн по железным дорогам. (7309, 181-186,187-188).</w:t>
      </w:r>
    </w:p>
    <w:p w14:paraId="2C27A8B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87F8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7569 О восстановлении производства специального пергамента для Наркомата боеприпасов. РГАНИР, Фонд ГКО, д. 372, лл. 189-192, 193-194 (11012).</w:t>
      </w:r>
    </w:p>
    <w:p w14:paraId="1E8B138F" w14:textId="77777777" w:rsidR="00665165" w:rsidRPr="00F90EAE" w:rsidRDefault="00665165" w:rsidP="00F90EAE">
      <w:pPr>
        <w:autoSpaceDE w:val="0"/>
        <w:autoSpaceDN w:val="0"/>
        <w:adjustRightInd w:val="0"/>
        <w:jc w:val="both"/>
        <w:rPr>
          <w:color w:val="000000" w:themeColor="text1"/>
          <w:sz w:val="16"/>
          <w:szCs w:val="16"/>
        </w:rPr>
      </w:pPr>
    </w:p>
    <w:p w14:paraId="587A0C9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7570 О распределении металла на капитальное строительство на I квартал 1945 г. (7310, 1,2-6).</w:t>
      </w:r>
    </w:p>
    <w:p w14:paraId="5D43080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F97CD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7571 Об организации Центрального военно-эксплуатационного управления в НКПС и военно-эксплуатационных управлений при 1 и 2-м Белорусских и 1-м Украинском фронтах. (7310, 7-10).</w:t>
      </w:r>
    </w:p>
    <w:p w14:paraId="2DAD191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A8275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7572 О подготовке специалистов по физике атомного ядра. (7310, 11-15,16-19).</w:t>
      </w:r>
    </w:p>
    <w:p w14:paraId="21FA70A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C1738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B7A550A" w14:textId="77777777" w:rsidR="00665165" w:rsidRPr="00F90EAE" w:rsidRDefault="00665165" w:rsidP="00F90EAE">
      <w:pPr>
        <w:autoSpaceDE w:val="0"/>
        <w:autoSpaceDN w:val="0"/>
        <w:adjustRightInd w:val="0"/>
        <w:jc w:val="both"/>
        <w:rPr>
          <w:iCs/>
          <w:color w:val="000000" w:themeColor="text1"/>
          <w:sz w:val="16"/>
          <w:szCs w:val="16"/>
        </w:rPr>
      </w:pPr>
    </w:p>
    <w:p w14:paraId="7F1D4DA6" w14:textId="77777777" w:rsidR="000F49EC" w:rsidRPr="00F90EAE" w:rsidRDefault="000F49EC" w:rsidP="00F90EAE">
      <w:pPr>
        <w:jc w:val="both"/>
        <w:rPr>
          <w:color w:val="000000" w:themeColor="text1"/>
          <w:sz w:val="16"/>
          <w:szCs w:val="16"/>
        </w:rPr>
      </w:pPr>
      <w:r w:rsidRPr="00F90EAE">
        <w:rPr>
          <w:bCs/>
          <w:color w:val="000000" w:themeColor="text1"/>
          <w:sz w:val="16"/>
          <w:szCs w:val="16"/>
        </w:rPr>
        <w:t>21 февраля</w:t>
      </w:r>
      <w:r w:rsidRPr="00F90EAE">
        <w:rPr>
          <w:color w:val="000000" w:themeColor="text1"/>
          <w:sz w:val="16"/>
          <w:szCs w:val="16"/>
        </w:rPr>
        <w:t xml:space="preserve"> в 1945 году оперативная сводка Совинформбюро:</w:t>
      </w:r>
    </w:p>
    <w:p w14:paraId="2238E486" w14:textId="77777777" w:rsidR="000F49EC" w:rsidRPr="00F90EAE" w:rsidRDefault="000F49EC" w:rsidP="00F90EAE">
      <w:pPr>
        <w:jc w:val="both"/>
        <w:rPr>
          <w:color w:val="000000" w:themeColor="text1"/>
          <w:sz w:val="16"/>
          <w:szCs w:val="16"/>
        </w:rPr>
      </w:pPr>
      <w:r w:rsidRPr="00F90EAE">
        <w:rPr>
          <w:color w:val="000000" w:themeColor="text1"/>
          <w:sz w:val="16"/>
          <w:szCs w:val="16"/>
        </w:rPr>
        <w:t>«В течение 21 февраля на Земландском полуострове западнее Кенигсберга наши войска отбивали атаки пехоты и танков противника, стремившегося пробиться из Кенигсберга в направлении Пиллау, и после упорных боёв оставили несколько населённых пунктов. Одновременно южнее и юго-западнее Кенигсберга наши войска, сжимая кольцо окружения Восточно-Прусской группировки противника, с боями заняли населенные пункты Швенгельс, Магген, Аугам, Воршинен, Блумштайн, Петерсвальде, Хогендорф, Штраубендорф, Шендамерау. В боях за 20 февраля западнее и юго-западнее Кенигсберга подбито и уничтожено 60 немецких танков и самоходных орудий.</w:t>
      </w:r>
    </w:p>
    <w:p w14:paraId="7BA3AF09" w14:textId="77777777" w:rsidR="000F49EC" w:rsidRPr="00F90EAE" w:rsidRDefault="000F49EC"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21 февраля с боем овладели городом Черск — важным узлом коммуникаций и сильным опорным пунктом обороны немцев в северо-западной части Польши, а также с боями заняли более 40 других населённых пунктов, среди которых крупные населённые пункты Езевиц, Нихтсфельде, Пескерфельде, Кирхенян, Оссик, Оцципель, Шенберг.</w:t>
      </w:r>
    </w:p>
    <w:p w14:paraId="517EDB9D" w14:textId="77777777" w:rsidR="000F49EC" w:rsidRPr="00F90EAE" w:rsidRDefault="000F49EC" w:rsidP="00F90EAE">
      <w:pPr>
        <w:jc w:val="both"/>
        <w:rPr>
          <w:color w:val="000000" w:themeColor="text1"/>
          <w:sz w:val="16"/>
          <w:szCs w:val="16"/>
        </w:rPr>
      </w:pPr>
      <w:r w:rsidRPr="00F90EAE">
        <w:rPr>
          <w:color w:val="000000" w:themeColor="text1"/>
          <w:sz w:val="16"/>
          <w:szCs w:val="16"/>
        </w:rPr>
        <w:t>В провинции Бранденбург наши войска с боем овладели городами Пфертен, Прибус, а также заняли более 50 других населённых пунктов, в том числе крупные населённые пункты Ламо, Кушерн, Форштадт, Герен, Ниверле, Цшехельн, Грефенхайн, Гроссзельтен, Лайппа. В боях за 20 февраля в этом районе наши войска подбили и уничтожили 49 немецких танков.</w:t>
      </w:r>
    </w:p>
    <w:p w14:paraId="0ABBECE1" w14:textId="77777777" w:rsidR="000F49EC" w:rsidRPr="00F90EAE" w:rsidRDefault="000F49EC" w:rsidP="00F90EAE">
      <w:pPr>
        <w:jc w:val="both"/>
        <w:rPr>
          <w:color w:val="000000" w:themeColor="text1"/>
          <w:sz w:val="16"/>
          <w:szCs w:val="16"/>
        </w:rPr>
      </w:pPr>
      <w:r w:rsidRPr="00F90EAE">
        <w:rPr>
          <w:color w:val="000000" w:themeColor="text1"/>
          <w:sz w:val="16"/>
          <w:szCs w:val="16"/>
        </w:rPr>
        <w:t>В районе Бреслау наши войска вели бои по уничтожению окружённой в городе группировки противника.</w:t>
      </w:r>
    </w:p>
    <w:p w14:paraId="667B3B38"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атаки пехоты и танков противника отбивались нашими войсками. 20 февраля в этом районе подбито и уничтожено 38 немецких танков и самоходных орудий.</w:t>
      </w:r>
    </w:p>
    <w:p w14:paraId="209BB820" w14:textId="77777777" w:rsidR="000F49EC" w:rsidRPr="00F90EAE" w:rsidRDefault="000F49EC"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10F362DE" w14:textId="77777777" w:rsidR="000F49EC" w:rsidRPr="00F90EAE" w:rsidRDefault="000F49EC" w:rsidP="00F90EAE">
      <w:pPr>
        <w:jc w:val="both"/>
        <w:rPr>
          <w:color w:val="000000" w:themeColor="text1"/>
          <w:sz w:val="16"/>
          <w:szCs w:val="16"/>
        </w:rPr>
      </w:pPr>
      <w:r w:rsidRPr="00F90EAE">
        <w:rPr>
          <w:color w:val="000000" w:themeColor="text1"/>
          <w:sz w:val="16"/>
          <w:szCs w:val="16"/>
        </w:rPr>
        <w:t>За 20 февраля на всех фронтах подбито и уничтожено 180 немецких танков и самоходных орудий. В воздушных боях и огнём зенитной артиллерии сбито 67 самолетов противника.</w:t>
      </w:r>
    </w:p>
    <w:p w14:paraId="64249DD0" w14:textId="77777777" w:rsidR="000F49EC" w:rsidRPr="00F90EAE" w:rsidRDefault="000F49EC" w:rsidP="00F90EAE">
      <w:pPr>
        <w:jc w:val="both"/>
        <w:rPr>
          <w:color w:val="000000" w:themeColor="text1"/>
          <w:sz w:val="16"/>
          <w:szCs w:val="16"/>
        </w:rPr>
      </w:pPr>
      <w:r w:rsidRPr="00F90EAE">
        <w:rPr>
          <w:color w:val="000000" w:themeColor="text1"/>
          <w:sz w:val="16"/>
          <w:szCs w:val="16"/>
        </w:rPr>
        <w:t>Налёт нашей авиации на железнодорожные узлы и военные объекты в немецких городах Штеттин, Штаргард и Бреслау.</w:t>
      </w:r>
    </w:p>
    <w:p w14:paraId="6BC7131F" w14:textId="77777777" w:rsidR="000F49EC" w:rsidRPr="00F90EAE" w:rsidRDefault="000F49EC" w:rsidP="00F90EAE">
      <w:pPr>
        <w:jc w:val="both"/>
        <w:rPr>
          <w:color w:val="000000" w:themeColor="text1"/>
          <w:sz w:val="16"/>
          <w:szCs w:val="16"/>
        </w:rPr>
      </w:pPr>
      <w:r w:rsidRPr="00F90EAE">
        <w:rPr>
          <w:color w:val="000000" w:themeColor="text1"/>
          <w:sz w:val="16"/>
          <w:szCs w:val="16"/>
        </w:rPr>
        <w:t>В ночь на 21 февраля наши тяжёлые бомбардировщики нанесли удар по железнодорожным узлам и военным объектам в городах Штеттин а Штаргард. В результате бомбардировки возникли большие пожары. Горели железнодорожные эшелоны и военные склады противника. Особенно крупные пожары, сопровождавшиеся сильными взрывами, отмечены на железнодорожном узле Штаргард.</w:t>
      </w:r>
    </w:p>
    <w:p w14:paraId="4F356EF1" w14:textId="77777777" w:rsidR="000F49EC" w:rsidRPr="00F90EAE" w:rsidRDefault="000F49EC" w:rsidP="00F90EAE">
      <w:pPr>
        <w:jc w:val="both"/>
        <w:rPr>
          <w:color w:val="000000" w:themeColor="text1"/>
          <w:sz w:val="16"/>
          <w:szCs w:val="16"/>
        </w:rPr>
      </w:pPr>
      <w:r w:rsidRPr="00F90EAE">
        <w:rPr>
          <w:color w:val="000000" w:themeColor="text1"/>
          <w:sz w:val="16"/>
          <w:szCs w:val="16"/>
        </w:rPr>
        <w:t>Наша авиация бомбардировала также военно-промышленные объекты в городе Бреслау. Прямым попаданием бомб разрушен один военный завод. В расположении окружённой группировки немецких войск возникли пожары, сопровождавшиеся сильными взрывами.</w:t>
      </w:r>
    </w:p>
    <w:p w14:paraId="4FEDF5EE" w14:textId="77777777" w:rsidR="000F49EC" w:rsidRPr="00F90EAE" w:rsidRDefault="000F49EC" w:rsidP="00F90EAE">
      <w:pPr>
        <w:jc w:val="both"/>
        <w:rPr>
          <w:color w:val="000000" w:themeColor="text1"/>
          <w:sz w:val="16"/>
          <w:szCs w:val="16"/>
        </w:rPr>
      </w:pPr>
      <w:r w:rsidRPr="00F90EAE">
        <w:rPr>
          <w:color w:val="000000" w:themeColor="text1"/>
          <w:sz w:val="16"/>
          <w:szCs w:val="16"/>
        </w:rPr>
        <w:t>На Земландском полуострове противник, стремясь прорваться из Кенигсберга на запад, атакует наши позиции. Немцы сосредоточили крупные силы пехоты и танков и пытаются пробить коридор к порту Пиллау. Они бросают в бой всё новые и новые части, не считаясь с огромными потерями в живой силе и технике. Только на участке одного нашего соединения за день уничтожено 1.600 немецких солдат и офицеров.</w:t>
      </w:r>
    </w:p>
    <w:p w14:paraId="77009841" w14:textId="77777777" w:rsidR="000F49EC" w:rsidRPr="00F90EAE" w:rsidRDefault="000F49EC" w:rsidP="00F90EAE">
      <w:pPr>
        <w:jc w:val="both"/>
        <w:rPr>
          <w:color w:val="000000" w:themeColor="text1"/>
          <w:sz w:val="16"/>
          <w:szCs w:val="16"/>
        </w:rPr>
      </w:pPr>
      <w:r w:rsidRPr="00F90EAE">
        <w:rPr>
          <w:color w:val="000000" w:themeColor="text1"/>
          <w:sz w:val="16"/>
          <w:szCs w:val="16"/>
        </w:rPr>
        <w:t>Юго-западнее Кенигсберга продолжались ожесточённые бои на подступах к городу Цинтен — центральному опорному пункту укрепленного района немцев. Преодолевая сопротивление противника, советские части продвинулись вперёд и заняли ряд железобетонных дотов. На другом участке гитлеровцы неоднократно пытались ликвидировать плацдарм, захваченный нашими войсками на восточном берегу реки Пассарге. К исходу дня все вражеские контратаки были отбиты. На отдельных участках советские пехотинцы улучшили свои позиции. Захвачены трофеи и пленные.</w:t>
      </w:r>
    </w:p>
    <w:p w14:paraId="6CDDEBEC" w14:textId="77777777" w:rsidR="000F49EC" w:rsidRPr="00F90EAE" w:rsidRDefault="000F49EC" w:rsidP="00F90EAE">
      <w:pPr>
        <w:jc w:val="both"/>
        <w:rPr>
          <w:color w:val="000000" w:themeColor="text1"/>
          <w:sz w:val="16"/>
          <w:szCs w:val="16"/>
        </w:rPr>
      </w:pPr>
      <w:r w:rsidRPr="00F90EAE">
        <w:rPr>
          <w:color w:val="000000" w:themeColor="text1"/>
          <w:sz w:val="16"/>
          <w:szCs w:val="16"/>
        </w:rPr>
        <w:t>Наша авиация наносила удары по скоплениям войск и техники восточно-прусской группировки противника. Советские лётчики уничтожили 25 немецких танков, около 400 автомашин и повозок с грузами. Взорвано 4 склада боеприпасов, рассеяно и частью уничтожено до полка пехоты противника. В воздушных боях и огнём зенит-вой артиллерии сбито 19 немецких самолётов.</w:t>
      </w:r>
    </w:p>
    <w:p w14:paraId="18B0B5BF" w14:textId="77777777" w:rsidR="000F49EC" w:rsidRPr="00F90EAE" w:rsidRDefault="000F49EC"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Советские части стремительно продвинулись вперед и с боем овладели городом Черск. Немцы превратили этот город в сильно укреплённый опорный пункт своей обороны в северо-западной части Польши. На подступах к Черску они построили развитую сеть полевых укреплений, усиленных дотами. Лесистая местность, изобилующая озёрами и реками, затрудняла манёвр наших войск. Советская пехота, поддержанная артиллерией, атаковала противника, прорвала его оборону и ворвалась на улицы Черска. Гитлеровцы, засевшие в каменных домах, оказывали упорное сопротивление, но были разгромлены. Город Черск является важным узлом коммуникаций. К нему сходятся четыре железных и несколько шоссейных дорог. В боях за город уничтожено до 2 тысяч немецких солдат и офицеров, 11 танков и самоходных орудий. Захвачено 26 орудий и другие трофеи.</w:t>
      </w:r>
    </w:p>
    <w:p w14:paraId="4E392159" w14:textId="77777777" w:rsidR="000F49EC" w:rsidRPr="00F90EAE" w:rsidRDefault="000F49EC" w:rsidP="00F90EAE">
      <w:pPr>
        <w:jc w:val="both"/>
        <w:rPr>
          <w:color w:val="000000" w:themeColor="text1"/>
          <w:sz w:val="16"/>
          <w:szCs w:val="16"/>
        </w:rPr>
      </w:pPr>
      <w:r w:rsidRPr="00F90EAE">
        <w:rPr>
          <w:color w:val="000000" w:themeColor="text1"/>
          <w:sz w:val="16"/>
          <w:szCs w:val="16"/>
        </w:rPr>
        <w:t>В провинции Бранденбург наши войска с боями продвигались вперёд. Советские пехотинцы и танкисты преодолели большой лесной массив и ведут бои на подступах к городу Губен. Другие наши части прорвали немецкую оборону в районе между озёрами и штурмом овладели городом Пфертен, расположенным в 7 километрах от промышленного центра Форст. Занят город Прибус и более 50 других населённых пунктов. Захвачены трофеи и взято в плен 360 немцев.</w:t>
      </w:r>
    </w:p>
    <w:p w14:paraId="00C13FAF" w14:textId="77777777" w:rsidR="000F49EC" w:rsidRPr="00F90EAE" w:rsidRDefault="000F49EC" w:rsidP="00F90EAE">
      <w:pPr>
        <w:jc w:val="both"/>
        <w:rPr>
          <w:color w:val="000000" w:themeColor="text1"/>
          <w:sz w:val="16"/>
          <w:szCs w:val="16"/>
        </w:rPr>
      </w:pPr>
      <w:r w:rsidRPr="00F90EAE">
        <w:rPr>
          <w:color w:val="000000" w:themeColor="text1"/>
          <w:sz w:val="16"/>
          <w:szCs w:val="16"/>
        </w:rPr>
        <w:t>В воздушных боях за день наши лётчики сбили 26 самолётов противника. Кроме того, на аэродроме уничтожено 10 немецких самолётов.</w:t>
      </w:r>
    </w:p>
    <w:p w14:paraId="10B4C2B7" w14:textId="77777777" w:rsidR="000F49EC" w:rsidRPr="00F90EAE" w:rsidRDefault="000F49EC"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наши войска отбивали атаки противника. Немцы бросили в бой свежие силы пехоты и танков, однако не добились никакого успеха. На подступах к нашим позициям остались сотни трупов гитлеровцев.</w:t>
      </w:r>
    </w:p>
    <w:p w14:paraId="019EAB6B" w14:textId="77777777" w:rsidR="000F49EC" w:rsidRPr="00F90EAE" w:rsidRDefault="000F49EC" w:rsidP="00F90EAE">
      <w:pPr>
        <w:jc w:val="both"/>
        <w:rPr>
          <w:color w:val="000000" w:themeColor="text1"/>
          <w:sz w:val="16"/>
          <w:szCs w:val="16"/>
        </w:rPr>
      </w:pPr>
      <w:r w:rsidRPr="00F90EAE">
        <w:rPr>
          <w:color w:val="000000" w:themeColor="text1"/>
          <w:sz w:val="16"/>
          <w:szCs w:val="16"/>
        </w:rPr>
        <w:t>Артиллерийская батарея лейтенанта Гиремого, отражая атаку противника, сожгла 2 немецких танка. В критический момент артиллеристы вступили в рукопашную схватку с вражеской пехотой и истребили группу немецких солдат и офицеров. Пулемётчик сержант Нуграм Мухарямов метким огнём уничтожил 20 гитлеровцев. Четыре лётчика-истребителя во главе с лейтенантом Мальцевым встретились с шестью немецкими истребителями. В результате воздушного боя наши лётчики сбили три самолёта противника.</w:t>
      </w:r>
    </w:p>
    <w:p w14:paraId="3F22EB0B" w14:textId="77777777" w:rsidR="000F49EC" w:rsidRPr="00F90EAE" w:rsidRDefault="000F49EC" w:rsidP="00F90EAE">
      <w:pPr>
        <w:jc w:val="both"/>
        <w:rPr>
          <w:color w:val="000000" w:themeColor="text1"/>
          <w:sz w:val="16"/>
          <w:szCs w:val="16"/>
          <w:lang w:val="en-US"/>
        </w:rPr>
      </w:pPr>
      <w:r w:rsidRPr="00F90EAE">
        <w:rPr>
          <w:color w:val="000000" w:themeColor="text1"/>
          <w:sz w:val="16"/>
          <w:szCs w:val="16"/>
        </w:rPr>
        <w:t xml:space="preserve">Авиацией Краснознамённого Балтийского флота в Данцигской бухте потоплены два немецких транспорта общим водоизмещением в 18 тысяч тонн.» </w:t>
      </w:r>
      <w:r w:rsidRPr="00F90EAE">
        <w:rPr>
          <w:color w:val="000000" w:themeColor="text1"/>
          <w:sz w:val="16"/>
          <w:szCs w:val="16"/>
          <w:lang w:val="en-US"/>
        </w:rPr>
        <w:t>(15047).</w:t>
      </w:r>
    </w:p>
    <w:p w14:paraId="399FEBE9" w14:textId="77777777" w:rsidR="000F49EC" w:rsidRPr="00F90EAE" w:rsidRDefault="000F49EC" w:rsidP="00F90EAE">
      <w:pPr>
        <w:jc w:val="both"/>
        <w:rPr>
          <w:color w:val="000000" w:themeColor="text1"/>
          <w:sz w:val="16"/>
          <w:szCs w:val="16"/>
          <w:lang w:val="en-US"/>
        </w:rPr>
      </w:pPr>
    </w:p>
    <w:p w14:paraId="472A2E5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lastRenderedPageBreak/>
        <w:t>February 21, 1945: On the Oder front, the Soviet 1st Ukrainian Front (Konev) captures Guben. The US 8th Air Force launches another heavy attack (over 1,000 bombers) against Nurnberg (3819).</w:t>
      </w:r>
    </w:p>
    <w:p w14:paraId="3840EAF8" w14:textId="77777777" w:rsidR="00665165" w:rsidRPr="00F90EAE" w:rsidRDefault="00665165" w:rsidP="00F90EAE">
      <w:pPr>
        <w:autoSpaceDE w:val="0"/>
        <w:autoSpaceDN w:val="0"/>
        <w:adjustRightInd w:val="0"/>
        <w:jc w:val="both"/>
        <w:rPr>
          <w:color w:val="000000" w:themeColor="text1"/>
          <w:sz w:val="16"/>
          <w:szCs w:val="16"/>
          <w:lang w:val="en-US"/>
        </w:rPr>
      </w:pPr>
    </w:p>
    <w:p w14:paraId="2D82EF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на Одерском фронте 1УФ (Конев) захватил Губен. 8ВА США совершила еще один массированный налет (1000 бомбардировщиков) на Нюрнберг (3819).</w:t>
      </w:r>
    </w:p>
    <w:p w14:paraId="13263A6D" w14:textId="77777777" w:rsidR="00665165" w:rsidRPr="00F90EAE" w:rsidRDefault="00665165" w:rsidP="00F90EAE">
      <w:pPr>
        <w:autoSpaceDE w:val="0"/>
        <w:autoSpaceDN w:val="0"/>
        <w:adjustRightInd w:val="0"/>
        <w:jc w:val="both"/>
        <w:rPr>
          <w:color w:val="000000" w:themeColor="text1"/>
          <w:sz w:val="16"/>
          <w:szCs w:val="16"/>
        </w:rPr>
      </w:pPr>
    </w:p>
    <w:p w14:paraId="3C9C27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7560 О подготовке летно-технических кадров в 1945 году. РГАНИР, Фонд ГКО, д. 372, лл. 106-110 (11012).</w:t>
      </w:r>
    </w:p>
    <w:p w14:paraId="4DA1C43C" w14:textId="77777777" w:rsidR="00665165" w:rsidRPr="00F90EAE" w:rsidRDefault="00665165" w:rsidP="00F90EAE">
      <w:pPr>
        <w:autoSpaceDE w:val="0"/>
        <w:autoSpaceDN w:val="0"/>
        <w:adjustRightInd w:val="0"/>
        <w:jc w:val="both"/>
        <w:rPr>
          <w:color w:val="000000" w:themeColor="text1"/>
          <w:sz w:val="16"/>
          <w:szCs w:val="16"/>
        </w:rPr>
      </w:pPr>
    </w:p>
    <w:p w14:paraId="51F215C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F394C6D" w14:textId="77777777" w:rsidR="00665165" w:rsidRPr="00F90EAE" w:rsidRDefault="00665165" w:rsidP="00F90EAE">
      <w:pPr>
        <w:autoSpaceDE w:val="0"/>
        <w:autoSpaceDN w:val="0"/>
        <w:adjustRightInd w:val="0"/>
        <w:jc w:val="both"/>
        <w:rPr>
          <w:iCs/>
          <w:color w:val="000000" w:themeColor="text1"/>
          <w:sz w:val="16"/>
          <w:szCs w:val="16"/>
        </w:rPr>
      </w:pPr>
    </w:p>
    <w:p w14:paraId="6435DE18" w14:textId="77777777" w:rsidR="003D5AF4" w:rsidRPr="00F90EAE" w:rsidRDefault="003D5AF4"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года экипаж Дж. Пауэра из VPB-131 на самолете PV-1 Локхид Вентура, добравшись до советского берега, выбросился с парашютами (3457,124).</w:t>
      </w:r>
    </w:p>
    <w:p w14:paraId="01961929" w14:textId="77777777" w:rsidR="003D5AF4" w:rsidRPr="00F90EAE" w:rsidRDefault="003D5AF4" w:rsidP="00F90EAE">
      <w:pPr>
        <w:autoSpaceDE w:val="0"/>
        <w:autoSpaceDN w:val="0"/>
        <w:adjustRightInd w:val="0"/>
        <w:jc w:val="both"/>
        <w:rPr>
          <w:color w:val="000000" w:themeColor="text1"/>
          <w:sz w:val="16"/>
          <w:szCs w:val="16"/>
        </w:rPr>
      </w:pPr>
    </w:p>
    <w:p w14:paraId="764FF69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 7559 [О выделении Войску Польскому вооружения, автотранспорта, снаряжения, обмундирования и о приеме польских офицеров в советские военные академии. (7309, 95-97,98-105).</w:t>
      </w:r>
    </w:p>
    <w:p w14:paraId="74B3B74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D8AFB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вышло постановление ГКО о создании при действующих фронтах постоянных “комиссий по вывозу оборудования и материалов с территории Польши и Германии” И.В.С. оценивал ущерб в 750 млрд. долл., но союзники предложили 10 млрд. В ценных бумагах (4301).</w:t>
      </w:r>
    </w:p>
    <w:p w14:paraId="47E42B6D" w14:textId="77777777" w:rsidR="00665165" w:rsidRPr="00F90EAE" w:rsidRDefault="00665165" w:rsidP="00F90EAE">
      <w:pPr>
        <w:autoSpaceDE w:val="0"/>
        <w:autoSpaceDN w:val="0"/>
        <w:adjustRightInd w:val="0"/>
        <w:jc w:val="both"/>
        <w:rPr>
          <w:color w:val="000000" w:themeColor="text1"/>
          <w:sz w:val="16"/>
          <w:szCs w:val="16"/>
        </w:rPr>
      </w:pPr>
    </w:p>
    <w:p w14:paraId="1762C99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3DB98C4" w14:textId="77777777" w:rsidR="00665165" w:rsidRPr="00F90EAE" w:rsidRDefault="00665165" w:rsidP="00F90EAE">
      <w:pPr>
        <w:autoSpaceDE w:val="0"/>
        <w:autoSpaceDN w:val="0"/>
        <w:adjustRightInd w:val="0"/>
        <w:jc w:val="both"/>
        <w:rPr>
          <w:iCs/>
          <w:color w:val="000000" w:themeColor="text1"/>
          <w:sz w:val="16"/>
          <w:szCs w:val="16"/>
        </w:rPr>
      </w:pPr>
    </w:p>
    <w:p w14:paraId="5A806FEB" w14:textId="77777777" w:rsidR="000F49EC" w:rsidRPr="00F90EAE" w:rsidRDefault="000F49EC" w:rsidP="00F90EAE">
      <w:pPr>
        <w:jc w:val="both"/>
        <w:rPr>
          <w:color w:val="000000" w:themeColor="text1"/>
          <w:sz w:val="16"/>
          <w:szCs w:val="16"/>
        </w:rPr>
      </w:pPr>
      <w:r w:rsidRPr="00F90EAE">
        <w:rPr>
          <w:bCs/>
          <w:color w:val="000000" w:themeColor="text1"/>
          <w:sz w:val="16"/>
          <w:szCs w:val="16"/>
        </w:rPr>
        <w:t>21 февраля</w:t>
      </w:r>
      <w:r w:rsidRPr="00F90EAE">
        <w:rPr>
          <w:color w:val="000000" w:themeColor="text1"/>
          <w:sz w:val="16"/>
          <w:szCs w:val="16"/>
        </w:rPr>
        <w:t xml:space="preserve"> в 1945 году первый полёт палубного многоцелевого истребителя </w:t>
      </w:r>
      <w:hyperlink r:id="rId44" w:tgtFrame="_blank" w:history="1">
        <w:r w:rsidRPr="00F90EAE">
          <w:rPr>
            <w:color w:val="000000" w:themeColor="text1"/>
            <w:sz w:val="16"/>
            <w:szCs w:val="16"/>
          </w:rPr>
          <w:t xml:space="preserve">«Sea Fury» («SR661») </w:t>
        </w:r>
      </w:hyperlink>
      <w:r w:rsidRPr="00F90EAE">
        <w:rPr>
          <w:color w:val="000000" w:themeColor="text1"/>
          <w:sz w:val="16"/>
          <w:szCs w:val="16"/>
        </w:rPr>
        <w:t>(компания «Hawker», Великобритания). Война уже подходила к концу, поэтому заказы на серийное производство были значительно сокращены. Контракт с фирмой "Болтон-Пол Эйркрафт" был аннулирован, и все производство сосредотачивалось в Кингстоне. После окончания войны было принято решение о дальнейшем сокращении: «Си Фьюри» «Мк.Х» выпускался только для нужд флота. Самолет «Хоукер» "Си Фьюри" был самым скоростным поршневым истребителем британского военно-морского флота. Он и сегодня используется в США как гоночная машина, много раз побеждавшая своих соперников - модифицированные американские самолёты времен Второй мировой войны. Самый быстрый прототип "Фьюри" был оснащён мотором "Сейбр" VII и в 1944 году показал скорость 777 км/ч (15047).</w:t>
      </w:r>
    </w:p>
    <w:p w14:paraId="0C52669C" w14:textId="77777777" w:rsidR="000F49EC" w:rsidRPr="00F90EAE" w:rsidRDefault="000F49EC" w:rsidP="00F90EAE">
      <w:pPr>
        <w:jc w:val="both"/>
        <w:rPr>
          <w:color w:val="000000" w:themeColor="text1"/>
          <w:sz w:val="16"/>
          <w:szCs w:val="16"/>
        </w:rPr>
      </w:pPr>
    </w:p>
    <w:p w14:paraId="4D2B6F3A" w14:textId="77777777" w:rsidR="000C1B0E" w:rsidRPr="00F90EAE" w:rsidRDefault="000C1B0E" w:rsidP="00F90EAE">
      <w:pPr>
        <w:jc w:val="both"/>
        <w:rPr>
          <w:color w:val="0070C0"/>
          <w:sz w:val="16"/>
          <w:szCs w:val="16"/>
        </w:rPr>
      </w:pPr>
      <w:r w:rsidRPr="00F90EAE">
        <w:rPr>
          <w:color w:val="0070C0"/>
          <w:sz w:val="16"/>
          <w:szCs w:val="16"/>
        </w:rPr>
        <w:t>21 февраля 1945 первый полет прототипа Hawker Sea Fury SR661 (20371).</w:t>
      </w:r>
    </w:p>
    <w:p w14:paraId="1656EAA6" w14:textId="77777777" w:rsidR="000C1B0E" w:rsidRPr="00F90EAE" w:rsidRDefault="000C1B0E" w:rsidP="00F90EAE">
      <w:pPr>
        <w:jc w:val="both"/>
        <w:rPr>
          <w:color w:val="0070C0"/>
          <w:sz w:val="16"/>
          <w:szCs w:val="16"/>
        </w:rPr>
      </w:pPr>
    </w:p>
    <w:p w14:paraId="1F74AF55" w14:textId="77777777" w:rsidR="000C1B0E" w:rsidRPr="00F90EAE" w:rsidRDefault="000C1B0E" w:rsidP="00F90EAE">
      <w:pPr>
        <w:jc w:val="both"/>
        <w:rPr>
          <w:color w:val="0070C0"/>
          <w:sz w:val="16"/>
          <w:szCs w:val="16"/>
        </w:rPr>
      </w:pPr>
      <w:r w:rsidRPr="00F90EAE">
        <w:rPr>
          <w:color w:val="0070C0"/>
          <w:sz w:val="16"/>
          <w:szCs w:val="16"/>
        </w:rPr>
        <w:t>21 февраля 1945 года — первый полёт палубного истребителя Hawker Sea Fury.</w:t>
      </w:r>
    </w:p>
    <w:p w14:paraId="5A771F3A" w14:textId="77777777" w:rsidR="000C1B0E" w:rsidRPr="00F90EAE" w:rsidRDefault="000C1B0E" w:rsidP="00F90EAE">
      <w:pPr>
        <w:jc w:val="both"/>
        <w:rPr>
          <w:color w:val="0070C0"/>
          <w:sz w:val="16"/>
          <w:szCs w:val="16"/>
        </w:rPr>
      </w:pPr>
      <w:r w:rsidRPr="00F90EAE">
        <w:rPr>
          <w:color w:val="0070C0"/>
          <w:sz w:val="16"/>
          <w:szCs w:val="16"/>
        </w:rPr>
        <w:t>Разработка самолёта началась в 1943 году на базе истребителя Hawker Tempest. Первоначально проект назывался просто Fury и основывался на требованиях Королевских ВВС. В связи с окончанием Второй мировой войны RAF отменили свой заказ, но самолётом заинтересовался Королевский ВМФ, нуждавшийся в замене устаревшей палубной авиации.</w:t>
      </w:r>
    </w:p>
    <w:p w14:paraId="26F5DBA0" w14:textId="77777777" w:rsidR="000C1B0E" w:rsidRPr="00F90EAE" w:rsidRDefault="000C1B0E" w:rsidP="00F90EAE">
      <w:pPr>
        <w:jc w:val="both"/>
        <w:rPr>
          <w:color w:val="0070C0"/>
          <w:sz w:val="16"/>
          <w:szCs w:val="16"/>
        </w:rPr>
      </w:pPr>
      <w:r w:rsidRPr="00F90EAE">
        <w:rPr>
          <w:color w:val="0070C0"/>
          <w:sz w:val="16"/>
          <w:szCs w:val="16"/>
        </w:rPr>
        <w:t>Считается, что многие требования к (Sea) Fury оформились после знакомства англичан с немецким Focke-Wulf Fw 190A-9. Решили создавать лёгкий и быстрый истребитель для воздушного боя. Облегчение достигалось за счёт меньших размеров, использования лёгких сплавов, сокращения оборудования и запасов горючего. От Tempest'а самолёт получил внешние секции крыла и 4 × 20-мм пушки.</w:t>
      </w:r>
    </w:p>
    <w:p w14:paraId="40F73DA6" w14:textId="77777777" w:rsidR="000C1B0E" w:rsidRPr="00F90EAE" w:rsidRDefault="000C1B0E" w:rsidP="00F90EAE">
      <w:pPr>
        <w:jc w:val="both"/>
        <w:rPr>
          <w:color w:val="0070C0"/>
          <w:sz w:val="16"/>
          <w:szCs w:val="16"/>
        </w:rPr>
      </w:pPr>
      <w:r w:rsidRPr="00F90EAE">
        <w:rPr>
          <w:color w:val="0070C0"/>
          <w:sz w:val="16"/>
          <w:szCs w:val="16"/>
        </w:rPr>
        <w:t>Sea Fury стал последним и самым быстрым поршневым истребителем британского ВМФ. Уже к середине 1950-х годов его заменила реактивная авиация. Дольше всего «Фьюри» прослужил в ВВС Пакиcтана — до 1973 года. Сегодня Hawker Sea Fury можно встретить в роли гоночного самолёта в США (22300).</w:t>
      </w:r>
    </w:p>
    <w:p w14:paraId="6804EFCE" w14:textId="77777777" w:rsidR="000C1B0E" w:rsidRPr="00F90EAE" w:rsidRDefault="000C1B0E" w:rsidP="00F90EAE">
      <w:pPr>
        <w:jc w:val="both"/>
        <w:rPr>
          <w:color w:val="0070C0"/>
          <w:sz w:val="16"/>
          <w:szCs w:val="16"/>
        </w:rPr>
      </w:pPr>
    </w:p>
    <w:p w14:paraId="50373926" w14:textId="77777777" w:rsidR="000F49EC" w:rsidRPr="00F90EAE" w:rsidRDefault="000F49EC" w:rsidP="00F90EAE">
      <w:pPr>
        <w:jc w:val="both"/>
        <w:rPr>
          <w:color w:val="000000" w:themeColor="text1"/>
          <w:sz w:val="16"/>
          <w:szCs w:val="16"/>
        </w:rPr>
      </w:pPr>
      <w:r w:rsidRPr="00F90EAE">
        <w:rPr>
          <w:bCs/>
          <w:color w:val="000000" w:themeColor="text1"/>
          <w:sz w:val="16"/>
          <w:szCs w:val="16"/>
        </w:rPr>
        <w:t>21 февраля</w:t>
      </w:r>
      <w:r w:rsidRPr="00F90EAE">
        <w:rPr>
          <w:color w:val="000000" w:themeColor="text1"/>
          <w:sz w:val="16"/>
          <w:szCs w:val="16"/>
        </w:rPr>
        <w:t xml:space="preserve"> в 1945 году очередная немецкая ракета "A-4"/SS-1/Scunner/ (Фау-2) пущенная по Антверпену полетела в другую сторону и угодила в Hengelo на улицу Berflostraat. В результате было убито 24 человека, а также полностью разрушено 20 домов (15047).</w:t>
      </w:r>
    </w:p>
    <w:p w14:paraId="719855C5" w14:textId="77777777" w:rsidR="000F49EC" w:rsidRPr="00F90EAE" w:rsidRDefault="000F49EC" w:rsidP="00F90EAE">
      <w:pPr>
        <w:jc w:val="both"/>
        <w:rPr>
          <w:color w:val="000000" w:themeColor="text1"/>
          <w:sz w:val="16"/>
          <w:szCs w:val="16"/>
        </w:rPr>
      </w:pPr>
    </w:p>
    <w:p w14:paraId="7C1F6724" w14:textId="77777777" w:rsidR="000F49EC" w:rsidRPr="00F90EAE" w:rsidRDefault="000F49EC" w:rsidP="00F90EAE">
      <w:pPr>
        <w:jc w:val="both"/>
        <w:rPr>
          <w:color w:val="000000" w:themeColor="text1"/>
          <w:sz w:val="16"/>
          <w:szCs w:val="16"/>
        </w:rPr>
      </w:pPr>
      <w:r w:rsidRPr="00F90EAE">
        <w:rPr>
          <w:bCs/>
          <w:color w:val="000000" w:themeColor="text1"/>
          <w:sz w:val="16"/>
          <w:szCs w:val="16"/>
        </w:rPr>
        <w:t>21 февраля</w:t>
      </w:r>
      <w:r w:rsidRPr="00F90EAE">
        <w:rPr>
          <w:color w:val="000000" w:themeColor="text1"/>
          <w:sz w:val="16"/>
          <w:szCs w:val="16"/>
        </w:rPr>
        <w:t xml:space="preserve"> в 1945 году потоплен в результате атаки двух камикадзе авианосец «Bismark Sea» (15047).</w:t>
      </w:r>
    </w:p>
    <w:p w14:paraId="5BC4C497" w14:textId="77777777" w:rsidR="000F49EC" w:rsidRPr="00F90EAE" w:rsidRDefault="000F49EC" w:rsidP="00F90EAE">
      <w:pPr>
        <w:jc w:val="both"/>
        <w:rPr>
          <w:color w:val="000000" w:themeColor="text1"/>
          <w:sz w:val="16"/>
          <w:szCs w:val="16"/>
        </w:rPr>
      </w:pPr>
    </w:p>
    <w:p w14:paraId="26B6C0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февраля 1945 делегация СНС Словакии передала свои полномочия президиуму СНС (3186).</w:t>
      </w:r>
    </w:p>
    <w:p w14:paraId="4BF39655" w14:textId="77777777" w:rsidR="00665165" w:rsidRPr="00F90EAE" w:rsidRDefault="00665165" w:rsidP="00F90EAE">
      <w:pPr>
        <w:autoSpaceDE w:val="0"/>
        <w:autoSpaceDN w:val="0"/>
        <w:adjustRightInd w:val="0"/>
        <w:jc w:val="both"/>
        <w:rPr>
          <w:color w:val="000000" w:themeColor="text1"/>
          <w:sz w:val="16"/>
          <w:szCs w:val="16"/>
        </w:rPr>
      </w:pPr>
    </w:p>
    <w:p w14:paraId="7FF93342" w14:textId="77777777" w:rsidR="000C1B0E" w:rsidRPr="00F90EAE" w:rsidRDefault="000C1B0E" w:rsidP="00F90EAE">
      <w:pPr>
        <w:jc w:val="both"/>
        <w:rPr>
          <w:color w:val="0070C0"/>
          <w:sz w:val="16"/>
          <w:szCs w:val="16"/>
        </w:rPr>
      </w:pPr>
      <w:r w:rsidRPr="00F90EAE">
        <w:rPr>
          <w:color w:val="0070C0"/>
          <w:sz w:val="16"/>
          <w:szCs w:val="16"/>
        </w:rPr>
        <w:t>21 февраля 1945 японские камикадзе атакуют американские корабли у побережья Иводзимы. Они серьезно повредили авианосец USS Saratoga, который потерял 123 человека убитыми и пропавшими без вести и 192 ранеными, а также потерял 42 самолета и выбыл из строя на три месяца; потопили эскортный авианосец USS Bismarck Sea с потерей 218 членов экипажа; и повредили эскортный авианосец USS Lunga Point и эсминец USS Keokuk . Bismarck Sea на сегодняшний день является последним авианосцем США, потопленным в результате вражеских действий (20371).</w:t>
      </w:r>
    </w:p>
    <w:p w14:paraId="16305946" w14:textId="77777777" w:rsidR="000C1B0E" w:rsidRPr="00F90EAE" w:rsidRDefault="000C1B0E" w:rsidP="00F90EAE">
      <w:pPr>
        <w:jc w:val="both"/>
        <w:rPr>
          <w:color w:val="0070C0"/>
          <w:sz w:val="16"/>
          <w:szCs w:val="16"/>
        </w:rPr>
      </w:pPr>
    </w:p>
    <w:p w14:paraId="5ADB174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218641F" w14:textId="77777777" w:rsidR="00665165" w:rsidRPr="00F90EAE" w:rsidRDefault="00665165" w:rsidP="00F90EAE">
      <w:pPr>
        <w:autoSpaceDE w:val="0"/>
        <w:autoSpaceDN w:val="0"/>
        <w:adjustRightInd w:val="0"/>
        <w:jc w:val="both"/>
        <w:rPr>
          <w:iCs/>
          <w:color w:val="000000" w:themeColor="text1"/>
          <w:sz w:val="16"/>
          <w:szCs w:val="16"/>
        </w:rPr>
      </w:pPr>
    </w:p>
    <w:p w14:paraId="1CC5B9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февраля 1945 года А. Кузнецов писал письмо N Н-32/8.. зам. командующего ВВС генерал-полковнику авиации Никитину А.В.</w:t>
      </w:r>
    </w:p>
    <w:p w14:paraId="686F0A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Отечественной войны 1941 года был установлен порядок об отправке с заводов самолетов снаряженных боекомплектами.</w:t>
      </w:r>
    </w:p>
    <w:p w14:paraId="06E2DB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требовалось по причине близости фронта, куда непосредственно отправлялись с заводов самолеты.</w:t>
      </w:r>
    </w:p>
    <w:p w14:paraId="480A2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данное время все самолеты Ил-2 с завода N 30 идут не в войсковые части, а в ЗАП"ы и надобность в снаряжении их боекомплектами отпала.</w:t>
      </w:r>
    </w:p>
    <w:p w14:paraId="486713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Снаряжение боекомплектами отправляемых самолетов чрезвычайно затрудняет работу завода N 30 из-за отсутствия приспособленных складов для хранения боеприпасов.</w:t>
      </w:r>
    </w:p>
    <w:p w14:paraId="35629F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Исходя из этого прошу разрешить заводу N 30 отправлять самолеты Ил-2 в ЗАП"ы без боекомплектов (1879).</w:t>
      </w:r>
    </w:p>
    <w:p w14:paraId="239C9145" w14:textId="77777777" w:rsidR="00665165" w:rsidRPr="00F90EAE" w:rsidRDefault="00665165" w:rsidP="00F90EAE">
      <w:pPr>
        <w:autoSpaceDE w:val="0"/>
        <w:autoSpaceDN w:val="0"/>
        <w:adjustRightInd w:val="0"/>
        <w:jc w:val="both"/>
        <w:rPr>
          <w:color w:val="000000" w:themeColor="text1"/>
          <w:sz w:val="16"/>
          <w:szCs w:val="16"/>
        </w:rPr>
      </w:pPr>
    </w:p>
    <w:p w14:paraId="487DDAAF" w14:textId="77777777" w:rsidR="0032140A" w:rsidRPr="00F90EAE" w:rsidRDefault="0032140A" w:rsidP="00F90EAE">
      <w:pPr>
        <w:jc w:val="both"/>
        <w:rPr>
          <w:color w:val="000000" w:themeColor="text1"/>
          <w:sz w:val="16"/>
          <w:szCs w:val="16"/>
        </w:rPr>
      </w:pPr>
      <w:r w:rsidRPr="00F90EAE">
        <w:rPr>
          <w:color w:val="000000" w:themeColor="text1"/>
          <w:sz w:val="16"/>
          <w:szCs w:val="16"/>
        </w:rPr>
        <w:t xml:space="preserve">22 февраля 1945 г.Отдел ГК НИИ ВВС письмом от </w:t>
      </w:r>
      <w:r w:rsidRPr="00F90EAE">
        <w:rPr>
          <w:rStyle w:val="aff6"/>
          <w:rFonts w:ascii="Times New Roman" w:hAnsi="Times New Roman" w:cs="Times New Roman"/>
          <w:i w:val="0"/>
          <w:color w:val="000000" w:themeColor="text1"/>
        </w:rPr>
        <w:t>«временно разрешил только заводу №125 НКАП и только впредь до освоения в производстве стали марки АБ-3 изготовлять бронедетали толщиной 8 и 15 мм гомогенной брони ХД».</w:t>
      </w:r>
      <w:r w:rsidRPr="00F90EAE">
        <w:rPr>
          <w:color w:val="000000" w:themeColor="text1"/>
          <w:sz w:val="16"/>
          <w:szCs w:val="16"/>
        </w:rPr>
        <w:t xml:space="preserve"> Сталь АБ-3 к тому мо</w:t>
      </w:r>
      <w:r w:rsidRPr="00F90EAE">
        <w:rPr>
          <w:color w:val="000000" w:themeColor="text1"/>
          <w:sz w:val="16"/>
          <w:szCs w:val="16"/>
        </w:rPr>
        <w:softHyphen/>
        <w:t>менту уже была запущена в валовое производ</w:t>
      </w:r>
      <w:r w:rsidRPr="00F90EAE">
        <w:rPr>
          <w:color w:val="000000" w:themeColor="text1"/>
          <w:sz w:val="16"/>
          <w:szCs w:val="16"/>
        </w:rPr>
        <w:softHyphen/>
        <w:t>ство и удовлетворяла требованиям ВВС КА как заменитель АБ-2 (17479).</w:t>
      </w:r>
    </w:p>
    <w:p w14:paraId="1F3B4484" w14:textId="77777777" w:rsidR="0032140A" w:rsidRPr="00F90EAE" w:rsidRDefault="0032140A" w:rsidP="00F90EAE">
      <w:pPr>
        <w:jc w:val="both"/>
        <w:rPr>
          <w:color w:val="000000" w:themeColor="text1"/>
          <w:sz w:val="16"/>
          <w:szCs w:val="16"/>
        </w:rPr>
      </w:pPr>
    </w:p>
    <w:p w14:paraId="3FC046BB"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период с 22 по 28 февраля 1945 г. прошел испытания прицел ПШ-3, который был разработан за</w:t>
      </w:r>
      <w:r w:rsidRPr="00F90EAE">
        <w:rPr>
          <w:rFonts w:ascii="Times New Roman" w:hAnsi="Times New Roman" w:cs="Times New Roman"/>
          <w:color w:val="000000" w:themeColor="text1"/>
          <w:sz w:val="16"/>
          <w:szCs w:val="16"/>
        </w:rPr>
        <w:softHyphen/>
        <w:t>водом №589 НКВ. В целом государственные испытания на самолете Ил-2 в ГК НИИ ВВС прошли успешно.</w:t>
      </w:r>
    </w:p>
    <w:p w14:paraId="4E665869"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Проведение испытаний ПШ-3 на са</w:t>
      </w:r>
      <w:r w:rsidRPr="00F90EAE">
        <w:rPr>
          <w:rFonts w:ascii="Times New Roman" w:hAnsi="Times New Roman" w:cs="Times New Roman"/>
          <w:color w:val="000000" w:themeColor="text1"/>
          <w:sz w:val="16"/>
          <w:szCs w:val="16"/>
        </w:rPr>
        <w:softHyphen/>
        <w:t>молете Ил-2 обуславливалось желанием как можно скорее довести прицел и по</w:t>
      </w:r>
      <w:r w:rsidRPr="00F90EAE">
        <w:rPr>
          <w:rFonts w:ascii="Times New Roman" w:hAnsi="Times New Roman" w:cs="Times New Roman"/>
          <w:color w:val="000000" w:themeColor="text1"/>
          <w:sz w:val="16"/>
          <w:szCs w:val="16"/>
        </w:rPr>
        <w:softHyphen/>
        <w:t>ставить его на вооружение штурмовой авиации.</w:t>
      </w:r>
    </w:p>
    <w:p w14:paraId="475AA43D"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Прицел позволял «заглянуть под себя и наблю</w:t>
      </w:r>
      <w:r w:rsidRPr="00F90EAE">
        <w:rPr>
          <w:rFonts w:ascii="Times New Roman" w:hAnsi="Times New Roman" w:cs="Times New Roman"/>
          <w:color w:val="000000" w:themeColor="text1"/>
          <w:sz w:val="16"/>
          <w:szCs w:val="16"/>
        </w:rPr>
        <w:softHyphen/>
        <w:t>дать цель в момент атаки» и в опреде</w:t>
      </w:r>
      <w:r w:rsidRPr="00F90EAE">
        <w:rPr>
          <w:rFonts w:ascii="Times New Roman" w:hAnsi="Times New Roman" w:cs="Times New Roman"/>
          <w:color w:val="000000" w:themeColor="text1"/>
          <w:sz w:val="16"/>
          <w:szCs w:val="16"/>
        </w:rPr>
        <w:softHyphen/>
        <w:t>ленной мере обеспечивал необходимую точность прицеливания при бомбомета</w:t>
      </w:r>
      <w:r w:rsidRPr="00F90EAE">
        <w:rPr>
          <w:rFonts w:ascii="Times New Roman" w:hAnsi="Times New Roman" w:cs="Times New Roman"/>
          <w:color w:val="000000" w:themeColor="text1"/>
          <w:sz w:val="16"/>
          <w:szCs w:val="16"/>
        </w:rPr>
        <w:softHyphen/>
        <w:t>нии с горизонтального полета и с пики</w:t>
      </w:r>
      <w:r w:rsidRPr="00F90EAE">
        <w:rPr>
          <w:rFonts w:ascii="Times New Roman" w:hAnsi="Times New Roman" w:cs="Times New Roman"/>
          <w:color w:val="000000" w:themeColor="text1"/>
          <w:sz w:val="16"/>
          <w:szCs w:val="16"/>
        </w:rPr>
        <w:softHyphen/>
        <w:t>рования.</w:t>
      </w:r>
    </w:p>
    <w:p w14:paraId="7B5B87CE" w14:textId="77777777" w:rsidR="0032140A" w:rsidRPr="00F90EAE" w:rsidRDefault="0032140A" w:rsidP="00F90EAE">
      <w:pPr>
        <w:jc w:val="both"/>
        <w:rPr>
          <w:color w:val="000000" w:themeColor="text1"/>
          <w:sz w:val="16"/>
          <w:szCs w:val="16"/>
        </w:rPr>
      </w:pPr>
      <w:r w:rsidRPr="00F90EAE">
        <w:rPr>
          <w:color w:val="000000" w:themeColor="text1"/>
          <w:sz w:val="16"/>
          <w:szCs w:val="16"/>
        </w:rPr>
        <w:t>ПШ-3 обеспечивал прицельное бом</w:t>
      </w:r>
      <w:r w:rsidRPr="00F90EAE">
        <w:rPr>
          <w:color w:val="000000" w:themeColor="text1"/>
          <w:sz w:val="16"/>
          <w:szCs w:val="16"/>
        </w:rPr>
        <w:softHyphen/>
        <w:t>бометание с горизонтального и пикиру</w:t>
      </w:r>
      <w:r w:rsidRPr="00F90EAE">
        <w:rPr>
          <w:color w:val="000000" w:themeColor="text1"/>
          <w:sz w:val="16"/>
          <w:szCs w:val="16"/>
        </w:rPr>
        <w:softHyphen/>
        <w:t>ющего полетов. Прицельные данные вы</w:t>
      </w:r>
      <w:r w:rsidRPr="00F90EAE">
        <w:rPr>
          <w:color w:val="000000" w:themeColor="text1"/>
          <w:sz w:val="16"/>
          <w:szCs w:val="16"/>
        </w:rPr>
        <w:softHyphen/>
        <w:t>рабатывались автоматически в зависи</w:t>
      </w:r>
      <w:r w:rsidRPr="00F90EAE">
        <w:rPr>
          <w:color w:val="000000" w:themeColor="text1"/>
          <w:sz w:val="16"/>
          <w:szCs w:val="16"/>
        </w:rPr>
        <w:softHyphen/>
        <w:t>мости от установки летчиком исходных данных - высоты и путевой скорости по</w:t>
      </w:r>
      <w:r w:rsidRPr="00F90EAE">
        <w:rPr>
          <w:color w:val="000000" w:themeColor="text1"/>
          <w:sz w:val="16"/>
          <w:szCs w:val="16"/>
        </w:rPr>
        <w:softHyphen/>
        <w:t>лета при бомбометании с горизонталь</w:t>
      </w:r>
      <w:r w:rsidRPr="00F90EAE">
        <w:rPr>
          <w:color w:val="000000" w:themeColor="text1"/>
          <w:sz w:val="16"/>
          <w:szCs w:val="16"/>
        </w:rPr>
        <w:softHyphen/>
        <w:t>ного полета, высоты ввода в пикирова</w:t>
      </w:r>
      <w:r w:rsidRPr="00F90EAE">
        <w:rPr>
          <w:color w:val="000000" w:themeColor="text1"/>
          <w:sz w:val="16"/>
          <w:szCs w:val="16"/>
        </w:rPr>
        <w:softHyphen/>
        <w:t>ние при бомбометании с пикирования. Кроме бомбометания, прицел ПШ-3 ис</w:t>
      </w:r>
      <w:r w:rsidRPr="00F90EAE">
        <w:rPr>
          <w:color w:val="000000" w:themeColor="text1"/>
          <w:sz w:val="16"/>
          <w:szCs w:val="16"/>
        </w:rPr>
        <w:softHyphen/>
        <w:t>пользовался для стрельбы из стрелково-пушечного и ракетного оружия.</w:t>
      </w:r>
    </w:p>
    <w:p w14:paraId="0175ED44"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Прицел представлял собой теле</w:t>
      </w:r>
      <w:r w:rsidRPr="00F90EAE">
        <w:rPr>
          <w:rFonts w:ascii="Times New Roman" w:hAnsi="Times New Roman" w:cs="Times New Roman"/>
          <w:color w:val="000000" w:themeColor="text1"/>
          <w:sz w:val="16"/>
          <w:szCs w:val="16"/>
        </w:rPr>
        <w:softHyphen/>
        <w:t>скопическую зрительную трубу в виде бокового перископа, в котором систе</w:t>
      </w:r>
      <w:r w:rsidRPr="00F90EAE">
        <w:rPr>
          <w:rFonts w:ascii="Times New Roman" w:hAnsi="Times New Roman" w:cs="Times New Roman"/>
          <w:color w:val="000000" w:themeColor="text1"/>
          <w:sz w:val="16"/>
          <w:szCs w:val="16"/>
        </w:rPr>
        <w:softHyphen/>
        <w:t>ма зеркал, была связана механизмом автоматики, обеспечивавшим наклон линии визирования от 0' до 43° от ли</w:t>
      </w:r>
      <w:r w:rsidRPr="00F90EAE">
        <w:rPr>
          <w:rFonts w:ascii="Times New Roman" w:hAnsi="Times New Roman" w:cs="Times New Roman"/>
          <w:color w:val="000000" w:themeColor="text1"/>
          <w:sz w:val="16"/>
          <w:szCs w:val="16"/>
        </w:rPr>
        <w:softHyphen/>
        <w:t>нии горизонта. Угол поля зрения при удалении глаза летчика от окуляра 30 мм равнялся 23°, увеличение - Г, диаметр объектива - 40 мм, вынос пло</w:t>
      </w:r>
      <w:r w:rsidRPr="00F90EAE">
        <w:rPr>
          <w:rFonts w:ascii="Times New Roman" w:hAnsi="Times New Roman" w:cs="Times New Roman"/>
          <w:color w:val="000000" w:themeColor="text1"/>
          <w:sz w:val="16"/>
          <w:szCs w:val="16"/>
        </w:rPr>
        <w:softHyphen/>
        <w:t>скости визирования относительно цен</w:t>
      </w:r>
      <w:r w:rsidRPr="00F90EAE">
        <w:rPr>
          <w:rFonts w:ascii="Times New Roman" w:hAnsi="Times New Roman" w:cs="Times New Roman"/>
          <w:color w:val="000000" w:themeColor="text1"/>
          <w:sz w:val="16"/>
          <w:szCs w:val="16"/>
        </w:rPr>
        <w:softHyphen/>
        <w:t>тра окуляра - 680 мм. Габариты при</w:t>
      </w:r>
      <w:r w:rsidRPr="00F90EAE">
        <w:rPr>
          <w:rFonts w:ascii="Times New Roman" w:hAnsi="Times New Roman" w:cs="Times New Roman"/>
          <w:color w:val="000000" w:themeColor="text1"/>
          <w:sz w:val="16"/>
          <w:szCs w:val="16"/>
        </w:rPr>
        <w:softHyphen/>
        <w:t>цела с выдвинутой окулярной частью составляли 750x152x120 мм. Вес при</w:t>
      </w:r>
      <w:r w:rsidRPr="00F90EAE">
        <w:rPr>
          <w:rFonts w:ascii="Times New Roman" w:hAnsi="Times New Roman" w:cs="Times New Roman"/>
          <w:color w:val="000000" w:themeColor="text1"/>
          <w:sz w:val="16"/>
          <w:szCs w:val="16"/>
        </w:rPr>
        <w:softHyphen/>
        <w:t>цела - 4,5 кг.</w:t>
      </w:r>
    </w:p>
    <w:p w14:paraId="241BEDE5"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Расчет условий бомбометания вы</w:t>
      </w:r>
      <w:r w:rsidRPr="00F90EAE">
        <w:rPr>
          <w:rFonts w:ascii="Times New Roman" w:hAnsi="Times New Roman" w:cs="Times New Roman"/>
          <w:color w:val="000000" w:themeColor="text1"/>
          <w:sz w:val="16"/>
          <w:szCs w:val="16"/>
        </w:rPr>
        <w:softHyphen/>
        <w:t>полнялся для бомбометания в плоско</w:t>
      </w:r>
      <w:r w:rsidRPr="00F90EAE">
        <w:rPr>
          <w:rFonts w:ascii="Times New Roman" w:hAnsi="Times New Roman" w:cs="Times New Roman"/>
          <w:color w:val="000000" w:themeColor="text1"/>
          <w:sz w:val="16"/>
          <w:szCs w:val="16"/>
        </w:rPr>
        <w:softHyphen/>
        <w:t>сти ветра. Рабочий диапазон при бом</w:t>
      </w:r>
      <w:r w:rsidRPr="00F90EAE">
        <w:rPr>
          <w:rFonts w:ascii="Times New Roman" w:hAnsi="Times New Roman" w:cs="Times New Roman"/>
          <w:color w:val="000000" w:themeColor="text1"/>
          <w:sz w:val="16"/>
          <w:szCs w:val="16"/>
        </w:rPr>
        <w:softHyphen/>
        <w:t>бометании с горизонтального полета составлял: высота - 100-1400 м, ско</w:t>
      </w:r>
      <w:r w:rsidRPr="00F90EAE">
        <w:rPr>
          <w:rFonts w:ascii="Times New Roman" w:hAnsi="Times New Roman" w:cs="Times New Roman"/>
          <w:color w:val="000000" w:themeColor="text1"/>
          <w:sz w:val="16"/>
          <w:szCs w:val="16"/>
        </w:rPr>
        <w:softHyphen/>
        <w:t>рость полета - 350-550 км/ч. Принятое в расчетах характеристическое время падения бомбы - 20,37 с.</w:t>
      </w:r>
    </w:p>
    <w:p w14:paraId="5E8239C4"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бомбометании с пикирования скорость ввода в пикирование была по</w:t>
      </w:r>
      <w:r w:rsidRPr="00F90EAE">
        <w:rPr>
          <w:rFonts w:ascii="Times New Roman" w:hAnsi="Times New Roman" w:cs="Times New Roman"/>
          <w:color w:val="000000" w:themeColor="text1"/>
          <w:sz w:val="16"/>
          <w:szCs w:val="16"/>
        </w:rPr>
        <w:softHyphen/>
        <w:t>стоянной - 340 км/ч. Высота ввода в пи</w:t>
      </w:r>
      <w:r w:rsidRPr="00F90EAE">
        <w:rPr>
          <w:rFonts w:ascii="Times New Roman" w:hAnsi="Times New Roman" w:cs="Times New Roman"/>
          <w:color w:val="000000" w:themeColor="text1"/>
          <w:sz w:val="16"/>
          <w:szCs w:val="16"/>
        </w:rPr>
        <w:softHyphen/>
        <w:t>кирование изменялась в зависимости от угла пикирования: при угле пикирования 25° - 800 м, 30° - 1000 м, 35° - 1200 м, 40°-1400 м.</w:t>
      </w:r>
    </w:p>
    <w:p w14:paraId="44EEF5CC" w14:textId="77777777" w:rsidR="0032140A" w:rsidRPr="00F90EAE" w:rsidRDefault="0032140A" w:rsidP="00F90EAE">
      <w:pPr>
        <w:jc w:val="both"/>
        <w:rPr>
          <w:color w:val="000000" w:themeColor="text1"/>
          <w:sz w:val="16"/>
          <w:szCs w:val="16"/>
        </w:rPr>
      </w:pPr>
      <w:r w:rsidRPr="00F90EAE">
        <w:rPr>
          <w:color w:val="000000" w:themeColor="text1"/>
          <w:sz w:val="16"/>
          <w:szCs w:val="16"/>
        </w:rPr>
        <w:t>При бомбометании с горизонталь</w:t>
      </w:r>
      <w:r w:rsidRPr="00F90EAE">
        <w:rPr>
          <w:color w:val="000000" w:themeColor="text1"/>
          <w:sz w:val="16"/>
          <w:szCs w:val="16"/>
        </w:rPr>
        <w:softHyphen/>
        <w:t>ного полета от летчика требовалось установить высоту, совместить шкалу прицела со скоростью, развернуть са</w:t>
      </w:r>
      <w:r w:rsidRPr="00F90EAE">
        <w:rPr>
          <w:color w:val="000000" w:themeColor="text1"/>
          <w:sz w:val="16"/>
          <w:szCs w:val="16"/>
        </w:rPr>
        <w:softHyphen/>
        <w:t>молет на цель. Наблюдая цель в оку</w:t>
      </w:r>
      <w:r w:rsidRPr="00F90EAE">
        <w:rPr>
          <w:color w:val="000000" w:themeColor="text1"/>
          <w:sz w:val="16"/>
          <w:szCs w:val="16"/>
        </w:rPr>
        <w:softHyphen/>
        <w:t xml:space="preserve">ляр прицела, в момент ее прихода в перекрестие следовало нажать кнопку пуска счетно-решающего устройства, которое в течение 6-8 с вырабатывало прицельные данные, соответствующие заданным условиям полета (высота и скорость) и автоматически удерживало линию визирования на цели или </w:t>
      </w:r>
      <w:r w:rsidRPr="00F90EAE">
        <w:rPr>
          <w:color w:val="000000" w:themeColor="text1"/>
          <w:sz w:val="16"/>
          <w:szCs w:val="16"/>
        </w:rPr>
        <w:lastRenderedPageBreak/>
        <w:t>вблизи нее до момента отработки прицельных данных. В момент построения счетно- решающим механизмом угла прицели</w:t>
      </w:r>
      <w:r w:rsidRPr="00F90EAE">
        <w:rPr>
          <w:color w:val="000000" w:themeColor="text1"/>
          <w:sz w:val="16"/>
          <w:szCs w:val="16"/>
        </w:rPr>
        <w:softHyphen/>
        <w:t>вания (или упреждения) в поле зрения прицела появлялся световой сигнал.</w:t>
      </w:r>
    </w:p>
    <w:p w14:paraId="1E587053"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Прицел наводился в упреждающую точку. При совмещении цели с пере</w:t>
      </w:r>
      <w:r w:rsidRPr="00F90EAE">
        <w:rPr>
          <w:rFonts w:ascii="Times New Roman" w:hAnsi="Times New Roman" w:cs="Times New Roman"/>
          <w:color w:val="000000" w:themeColor="text1"/>
          <w:sz w:val="16"/>
          <w:szCs w:val="16"/>
        </w:rPr>
        <w:softHyphen/>
        <w:t>крестием сетки прицела автоматиче</w:t>
      </w:r>
      <w:r w:rsidRPr="00F90EAE">
        <w:rPr>
          <w:rFonts w:ascii="Times New Roman" w:hAnsi="Times New Roman" w:cs="Times New Roman"/>
          <w:color w:val="000000" w:themeColor="text1"/>
          <w:sz w:val="16"/>
          <w:szCs w:val="16"/>
        </w:rPr>
        <w:softHyphen/>
        <w:t>ски осуществлялся сброс бомб. Сброс бомб можно было выполнить и без ав</w:t>
      </w:r>
      <w:r w:rsidRPr="00F90EAE">
        <w:rPr>
          <w:rFonts w:ascii="Times New Roman" w:hAnsi="Times New Roman" w:cs="Times New Roman"/>
          <w:color w:val="000000" w:themeColor="text1"/>
          <w:sz w:val="16"/>
          <w:szCs w:val="16"/>
        </w:rPr>
        <w:softHyphen/>
        <w:t>томатики прицела, вручную путем на</w:t>
      </w:r>
      <w:r w:rsidRPr="00F90EAE">
        <w:rPr>
          <w:rFonts w:ascii="Times New Roman" w:hAnsi="Times New Roman" w:cs="Times New Roman"/>
          <w:color w:val="000000" w:themeColor="text1"/>
          <w:sz w:val="16"/>
          <w:szCs w:val="16"/>
        </w:rPr>
        <w:softHyphen/>
        <w:t>жатия боевой кнопки.</w:t>
      </w:r>
    </w:p>
    <w:p w14:paraId="41D9D221"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разработке алгоритма работы прицела при бомбометании с пикиро</w:t>
      </w:r>
      <w:r w:rsidRPr="00F90EAE">
        <w:rPr>
          <w:rFonts w:ascii="Times New Roman" w:hAnsi="Times New Roman" w:cs="Times New Roman"/>
          <w:color w:val="000000" w:themeColor="text1"/>
          <w:sz w:val="16"/>
          <w:szCs w:val="16"/>
        </w:rPr>
        <w:softHyphen/>
        <w:t>вания была заложена следующая схема. Считалось, что самолет пикирует «с не</w:t>
      </w:r>
      <w:r w:rsidRPr="00F90EAE">
        <w:rPr>
          <w:rFonts w:ascii="Times New Roman" w:hAnsi="Times New Roman" w:cs="Times New Roman"/>
          <w:color w:val="000000" w:themeColor="text1"/>
          <w:sz w:val="16"/>
          <w:szCs w:val="16"/>
        </w:rPr>
        <w:softHyphen/>
        <w:t>которой наперед заданной траектори</w:t>
      </w:r>
      <w:r w:rsidRPr="00F90EAE">
        <w:rPr>
          <w:rFonts w:ascii="Times New Roman" w:hAnsi="Times New Roman" w:cs="Times New Roman"/>
          <w:color w:val="000000" w:themeColor="text1"/>
          <w:sz w:val="16"/>
          <w:szCs w:val="16"/>
        </w:rPr>
        <w:softHyphen/>
        <w:t>ей, состоящей из трех участков»: ввод в пикирование (продолжительность около 6 с), боевой курс (3 с), участок бросания бомбы (3 с). При этом в лю</w:t>
      </w:r>
      <w:r w:rsidRPr="00F90EAE">
        <w:rPr>
          <w:rFonts w:ascii="Times New Roman" w:hAnsi="Times New Roman" w:cs="Times New Roman"/>
          <w:color w:val="000000" w:themeColor="text1"/>
          <w:sz w:val="16"/>
          <w:szCs w:val="16"/>
        </w:rPr>
        <w:softHyphen/>
        <w:t>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5C5F1BBF"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Перед вводом в пикирование лет</w:t>
      </w:r>
      <w:r w:rsidRPr="00F90EAE">
        <w:rPr>
          <w:rFonts w:ascii="Times New Roman" w:hAnsi="Times New Roman" w:cs="Times New Roman"/>
          <w:color w:val="000000" w:themeColor="text1"/>
          <w:sz w:val="16"/>
          <w:szCs w:val="16"/>
        </w:rPr>
        <w:softHyphen/>
        <w:t>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w:t>
      </w:r>
      <w:r w:rsidRPr="00F90EAE">
        <w:rPr>
          <w:rFonts w:ascii="Times New Roman" w:hAnsi="Times New Roman" w:cs="Times New Roman"/>
          <w:color w:val="000000" w:themeColor="text1"/>
          <w:sz w:val="16"/>
          <w:szCs w:val="16"/>
        </w:rPr>
        <w:softHyphen/>
        <w:t>цела требовалось нажать кнопку пуска счетно-решающего механизма прицела и одновременно начать ввод самолета в пикирование. Во время ввода само</w:t>
      </w:r>
      <w:r w:rsidRPr="00F90EAE">
        <w:rPr>
          <w:rFonts w:ascii="Times New Roman" w:hAnsi="Times New Roman" w:cs="Times New Roman"/>
          <w:color w:val="000000" w:themeColor="text1"/>
          <w:sz w:val="16"/>
          <w:szCs w:val="16"/>
        </w:rPr>
        <w:softHyphen/>
        <w:t>лета в пикирование необходимо было удерживать цель на перекрестии сет</w:t>
      </w:r>
      <w:r w:rsidRPr="00F90EAE">
        <w:rPr>
          <w:rFonts w:ascii="Times New Roman" w:hAnsi="Times New Roman" w:cs="Times New Roman"/>
          <w:color w:val="000000" w:themeColor="text1"/>
          <w:sz w:val="16"/>
          <w:szCs w:val="16"/>
        </w:rPr>
        <w:softHyphen/>
        <w:t>ки прицела. Непосредственно в ходе пикирования от летчика требовалось удерживать цель на перекрестии сетки и ожидать появления в поле зрения при</w:t>
      </w:r>
      <w:r w:rsidRPr="00F90EAE">
        <w:rPr>
          <w:rFonts w:ascii="Times New Roman" w:hAnsi="Times New Roman" w:cs="Times New Roman"/>
          <w:color w:val="000000" w:themeColor="text1"/>
          <w:sz w:val="16"/>
          <w:szCs w:val="16"/>
        </w:rPr>
        <w:softHyphen/>
        <w:t>цела светового сигнала, указывающего на момент построения угла упреждения. Сброс бомбы можно выполнить в тече</w:t>
      </w:r>
      <w:r w:rsidRPr="00F90EAE">
        <w:rPr>
          <w:rFonts w:ascii="Times New Roman" w:hAnsi="Times New Roman" w:cs="Times New Roman"/>
          <w:color w:val="000000" w:themeColor="text1"/>
          <w:sz w:val="16"/>
          <w:szCs w:val="16"/>
        </w:rPr>
        <w:softHyphen/>
        <w:t>ние 3 с с момента появления светового сигнала и до его исчезновения. Все это время цель следовало удерживать в пе</w:t>
      </w:r>
      <w:r w:rsidRPr="00F90EAE">
        <w:rPr>
          <w:rFonts w:ascii="Times New Roman" w:hAnsi="Times New Roman" w:cs="Times New Roman"/>
          <w:color w:val="000000" w:themeColor="text1"/>
          <w:sz w:val="16"/>
          <w:szCs w:val="16"/>
        </w:rPr>
        <w:softHyphen/>
        <w:t>рекрестии сетки прицела.</w:t>
      </w:r>
    </w:p>
    <w:p w14:paraId="47B84D78"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ходе испытаний бом</w:t>
      </w:r>
      <w:r w:rsidRPr="00F90EAE">
        <w:rPr>
          <w:rFonts w:ascii="Times New Roman" w:hAnsi="Times New Roman" w:cs="Times New Roman"/>
          <w:color w:val="000000" w:themeColor="text1"/>
          <w:sz w:val="16"/>
          <w:szCs w:val="16"/>
        </w:rPr>
        <w:softHyphen/>
        <w:t>бы сбрасывались с высоты 400 м на скорости 350 км/ч при горизонтальном бом</w:t>
      </w:r>
      <w:r w:rsidRPr="00F90EAE">
        <w:rPr>
          <w:rFonts w:ascii="Times New Roman" w:hAnsi="Times New Roman" w:cs="Times New Roman"/>
          <w:color w:val="000000" w:themeColor="text1"/>
          <w:sz w:val="16"/>
          <w:szCs w:val="16"/>
        </w:rPr>
        <w:softHyphen/>
        <w:t>бометании и 420 км/ч при сбросе бомб с пикирования (угол 30'). Во всех случаях «кучность бомбометания» была выше, чем при исполь</w:t>
      </w:r>
      <w:r w:rsidRPr="00F90EAE">
        <w:rPr>
          <w:rFonts w:ascii="Times New Roman" w:hAnsi="Times New Roman" w:cs="Times New Roman"/>
          <w:color w:val="000000" w:themeColor="text1"/>
          <w:sz w:val="16"/>
          <w:szCs w:val="16"/>
        </w:rPr>
        <w:softHyphen/>
        <w:t>зовании ВМШ-2. Причем все точки падения бомб нахо</w:t>
      </w:r>
      <w:r w:rsidRPr="00F90EAE">
        <w:rPr>
          <w:rFonts w:ascii="Times New Roman" w:hAnsi="Times New Roman" w:cs="Times New Roman"/>
          <w:color w:val="000000" w:themeColor="text1"/>
          <w:sz w:val="16"/>
          <w:szCs w:val="16"/>
        </w:rPr>
        <w:softHyphen/>
        <w:t>дились в пределах отличной оценки по «Руководству по бомбометанию 1944 г.».</w:t>
      </w:r>
    </w:p>
    <w:p w14:paraId="0480E1B1"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Государственные испытания на са</w:t>
      </w:r>
      <w:r w:rsidRPr="00F90EAE">
        <w:rPr>
          <w:rFonts w:ascii="Times New Roman" w:hAnsi="Times New Roman" w:cs="Times New Roman"/>
          <w:color w:val="000000" w:themeColor="text1"/>
          <w:sz w:val="16"/>
          <w:szCs w:val="16"/>
        </w:rPr>
        <w:softHyphen/>
        <w:t>молете Ил-10 прицел ПШ-3 проходил в Управлении испытаний авиавооружения ГК НИИ ВВС в период с 16 по 23 июля 1945 г.</w:t>
      </w:r>
    </w:p>
    <w:p w14:paraId="5F5F08C2"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И тут результаты оказались неудов</w:t>
      </w:r>
      <w:r w:rsidRPr="00F90EAE">
        <w:rPr>
          <w:rFonts w:ascii="Times New Roman" w:hAnsi="Times New Roman" w:cs="Times New Roman"/>
          <w:color w:val="000000" w:themeColor="text1"/>
          <w:sz w:val="16"/>
          <w:szCs w:val="16"/>
        </w:rPr>
        <w:softHyphen/>
        <w:t>летворительными. Вследствие значи</w:t>
      </w:r>
      <w:r w:rsidRPr="00F90EAE">
        <w:rPr>
          <w:rFonts w:ascii="Times New Roman" w:hAnsi="Times New Roman" w:cs="Times New Roman"/>
          <w:color w:val="000000" w:themeColor="text1"/>
          <w:sz w:val="16"/>
          <w:szCs w:val="16"/>
        </w:rPr>
        <w:softHyphen/>
        <w:t>тельных вибраций визирного зеркала и оптической трубы прицела качество изображения наблюдаемых объектов было плохим. Кроме того, имели место систематические недолеты бомб при их сбросе, как с пикирования, так и с гори</w:t>
      </w:r>
      <w:r w:rsidRPr="00F90EAE">
        <w:rPr>
          <w:rFonts w:ascii="Times New Roman" w:hAnsi="Times New Roman" w:cs="Times New Roman"/>
          <w:color w:val="000000" w:themeColor="text1"/>
          <w:sz w:val="16"/>
          <w:szCs w:val="16"/>
        </w:rPr>
        <w:softHyphen/>
        <w:t>зонтального полета.</w:t>
      </w:r>
    </w:p>
    <w:p w14:paraId="5BDFE2ED"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Как следствие, испытательной бри</w:t>
      </w:r>
      <w:r w:rsidRPr="00F90EAE">
        <w:rPr>
          <w:rFonts w:ascii="Times New Roman" w:hAnsi="Times New Roman" w:cs="Times New Roman"/>
          <w:color w:val="000000" w:themeColor="text1"/>
          <w:sz w:val="16"/>
          <w:szCs w:val="16"/>
        </w:rPr>
        <w:softHyphen/>
        <w:t>гадой было сделано заключение, что «ПШ-3 №4110001 конструкции и из</w:t>
      </w:r>
      <w:r w:rsidRPr="00F90EAE">
        <w:rPr>
          <w:rFonts w:ascii="Times New Roman" w:hAnsi="Times New Roman" w:cs="Times New Roman"/>
          <w:color w:val="000000" w:themeColor="text1"/>
          <w:sz w:val="16"/>
          <w:szCs w:val="16"/>
        </w:rPr>
        <w:softHyphen/>
        <w:t>готовления завода №589 НКВ госу</w:t>
      </w:r>
      <w:r w:rsidRPr="00F90EAE">
        <w:rPr>
          <w:rFonts w:ascii="Times New Roman" w:hAnsi="Times New Roman" w:cs="Times New Roman"/>
          <w:color w:val="000000" w:themeColor="text1"/>
          <w:sz w:val="16"/>
          <w:szCs w:val="16"/>
        </w:rPr>
        <w:softHyphen/>
        <w:t>дарственных испытаний на самолете Ил-10 не выдержал». Требовалось «про</w:t>
      </w:r>
      <w:r w:rsidRPr="00F90EAE">
        <w:rPr>
          <w:rFonts w:ascii="Times New Roman" w:hAnsi="Times New Roman" w:cs="Times New Roman"/>
          <w:color w:val="000000" w:themeColor="text1"/>
          <w:sz w:val="16"/>
          <w:szCs w:val="16"/>
        </w:rPr>
        <w:softHyphen/>
        <w:t>сить Главного конструктора самолета Ил-10 генерал-лейтенанта Ильюшина С.В. дать указания ОКБ-240 об улуч</w:t>
      </w:r>
      <w:r w:rsidRPr="00F90EAE">
        <w:rPr>
          <w:rFonts w:ascii="Times New Roman" w:hAnsi="Times New Roman" w:cs="Times New Roman"/>
          <w:color w:val="000000" w:themeColor="text1"/>
          <w:sz w:val="16"/>
          <w:szCs w:val="16"/>
        </w:rPr>
        <w:softHyphen/>
        <w:t>шении амортизации кронштейна для крепления ПШ-3 на самолете Ил-10», а также «внести изменения, исключа</w:t>
      </w:r>
      <w:r w:rsidRPr="00F90EAE">
        <w:rPr>
          <w:rFonts w:ascii="Times New Roman" w:hAnsi="Times New Roman" w:cs="Times New Roman"/>
          <w:color w:val="000000" w:themeColor="text1"/>
          <w:sz w:val="16"/>
          <w:szCs w:val="16"/>
        </w:rPr>
        <w:softHyphen/>
        <w:t>ющие систематический недолет бомб, нанести штрихи на сетку для поправки на ветер...» (17469).</w:t>
      </w:r>
    </w:p>
    <w:p w14:paraId="37117FE1" w14:textId="77777777" w:rsidR="0032140A" w:rsidRPr="00F90EAE" w:rsidRDefault="0032140A" w:rsidP="00F90EAE">
      <w:pPr>
        <w:jc w:val="both"/>
        <w:rPr>
          <w:color w:val="000000" w:themeColor="text1"/>
          <w:sz w:val="16"/>
          <w:szCs w:val="16"/>
        </w:rPr>
      </w:pPr>
    </w:p>
    <w:p w14:paraId="3563B627" w14:textId="77777777" w:rsidR="003D5AF4" w:rsidRPr="00F90EAE" w:rsidRDefault="003D5AF4" w:rsidP="00F90EAE">
      <w:pPr>
        <w:pStyle w:val="a3"/>
        <w:rPr>
          <w:color w:val="000000" w:themeColor="text1"/>
          <w:lang w:val="ru-RU"/>
        </w:rPr>
      </w:pPr>
      <w:r w:rsidRPr="00F90EAE">
        <w:rPr>
          <w:color w:val="000000" w:themeColor="text1"/>
          <w:lang w:val="ru-RU"/>
        </w:rPr>
        <w:t>С 22 по 28 февраля 1945 г. прицел ПШ-3 (перископический стрелково-бомбардировочноный прицел, который позволял</w:t>
      </w:r>
      <w:r w:rsidRPr="00F90EAE">
        <w:rPr>
          <w:rStyle w:val="284"/>
          <w:rFonts w:ascii="Times New Roman" w:hAnsi="Times New Roman" w:cs="Times New Roman"/>
          <w:i w:val="0"/>
          <w:color w:val="000000" w:themeColor="text1"/>
          <w:sz w:val="16"/>
          <w:szCs w:val="16"/>
          <w:lang w:val="ru-RU"/>
        </w:rPr>
        <w:t xml:space="preserve"> «заглянуть под себя и наблюдать цель в</w:t>
      </w:r>
      <w:r w:rsidRPr="00F90EAE">
        <w:rPr>
          <w:color w:val="000000" w:themeColor="text1"/>
          <w:lang w:val="ru-RU"/>
        </w:rPr>
        <w:t xml:space="preserve"> момент</w:t>
      </w:r>
      <w:r w:rsidRPr="00F90EAE">
        <w:rPr>
          <w:rStyle w:val="284"/>
          <w:rFonts w:ascii="Times New Roman" w:hAnsi="Times New Roman" w:cs="Times New Roman"/>
          <w:i w:val="0"/>
          <w:color w:val="000000" w:themeColor="text1"/>
          <w:sz w:val="16"/>
          <w:szCs w:val="16"/>
          <w:lang w:val="ru-RU"/>
        </w:rPr>
        <w:t xml:space="preserve"> атаки»</w:t>
      </w:r>
      <w:r w:rsidRPr="00F90EAE">
        <w:rPr>
          <w:color w:val="000000" w:themeColor="text1"/>
          <w:lang w:val="ru-RU"/>
        </w:rPr>
        <w:t>), разработанный заводом № 589 НКВ, в целом успешно прошёл государственные испытания на самолёте Ил-2 (зав. № 0944) в ГК НИИ ВВС. Отчёт по испытаниям утвердил 12 марта заместитель начальника института генерал- лейтенант М.В. Гуревич.</w:t>
      </w:r>
    </w:p>
    <w:p w14:paraId="4D4FC0B9" w14:textId="77777777" w:rsidR="003D5AF4" w:rsidRPr="00F90EAE" w:rsidRDefault="003D5AF4" w:rsidP="00F90EAE">
      <w:pPr>
        <w:pStyle w:val="a3"/>
        <w:rPr>
          <w:color w:val="000000" w:themeColor="text1"/>
          <w:lang w:val="ru-RU"/>
        </w:rPr>
      </w:pPr>
      <w:r w:rsidRPr="00F90EAE">
        <w:rPr>
          <w:color w:val="000000" w:themeColor="text1"/>
          <w:lang w:val="ru-RU"/>
        </w:rPr>
        <w:t>В состав испытательной бригады входили: ведущий инженер по испытаниям - инженер-май</w:t>
      </w:r>
      <w:r w:rsidRPr="00F90EAE">
        <w:rPr>
          <w:color w:val="000000" w:themeColor="text1"/>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07A148C9" w14:textId="77777777" w:rsidR="003D5AF4" w:rsidRPr="00F90EAE" w:rsidRDefault="003D5AF4" w:rsidP="00F90EAE">
      <w:pPr>
        <w:pStyle w:val="a3"/>
        <w:rPr>
          <w:color w:val="000000" w:themeColor="text1"/>
          <w:lang w:val="ru-RU"/>
        </w:rPr>
      </w:pPr>
      <w:r w:rsidRPr="00F90EAE">
        <w:rPr>
          <w:color w:val="000000" w:themeColor="text1"/>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5171F6C0" w14:textId="77777777" w:rsidR="003D5AF4" w:rsidRPr="00F90EAE" w:rsidRDefault="003D5AF4" w:rsidP="00F90EAE">
      <w:pPr>
        <w:pStyle w:val="a3"/>
        <w:rPr>
          <w:color w:val="000000" w:themeColor="text1"/>
          <w:lang w:val="ru-RU"/>
        </w:rPr>
      </w:pPr>
      <w:r w:rsidRPr="00F90EAE">
        <w:rPr>
          <w:color w:val="000000" w:themeColor="text1"/>
          <w:lang w:val="ru-RU"/>
        </w:rPr>
        <w:t>Прицел ПШ-3 рассчитывался для применения на штурмовом самолёте Ил-10. Но для уско</w:t>
      </w:r>
      <w:r w:rsidRPr="00F90EAE">
        <w:rPr>
          <w:color w:val="000000" w:themeColor="text1"/>
          <w:lang w:val="ru-RU"/>
        </w:rPr>
        <w:softHyphen/>
        <w:t>рения доводки и постановки прицела на вооружение решили его испытать на Ил-2.</w:t>
      </w:r>
    </w:p>
    <w:p w14:paraId="1C13F247" w14:textId="77777777" w:rsidR="003D5AF4" w:rsidRPr="00F90EAE" w:rsidRDefault="003D5AF4" w:rsidP="00F90EAE">
      <w:pPr>
        <w:pStyle w:val="a3"/>
        <w:rPr>
          <w:color w:val="000000" w:themeColor="text1"/>
          <w:lang w:val="ru-RU"/>
        </w:rPr>
      </w:pPr>
      <w:r w:rsidRPr="00F90EAE">
        <w:rPr>
          <w:color w:val="000000" w:themeColor="text1"/>
          <w:lang w:val="ru-RU"/>
        </w:rPr>
        <w:t>ПШ-3 обеспечивал прицельное бомбометание с горизонтального и пикирующего (пла</w:t>
      </w:r>
      <w:r w:rsidRPr="00F90EAE">
        <w:rPr>
          <w:color w:val="000000" w:themeColor="text1"/>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F90EAE">
        <w:rPr>
          <w:color w:val="000000" w:themeColor="text1"/>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44424F0E" w14:textId="77777777" w:rsidR="003D5AF4" w:rsidRPr="00F90EAE" w:rsidRDefault="003D5AF4" w:rsidP="00F90EAE">
      <w:pPr>
        <w:pStyle w:val="a3"/>
        <w:rPr>
          <w:color w:val="000000" w:themeColor="text1"/>
          <w:lang w:val="ru-RU"/>
        </w:rPr>
      </w:pPr>
      <w:r w:rsidRPr="00F90EAE">
        <w:rPr>
          <w:color w:val="000000" w:themeColor="text1"/>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F90EAE">
        <w:rPr>
          <w:color w:val="000000" w:themeColor="text1"/>
          <w:lang w:val="ru-RU"/>
        </w:rPr>
        <w:softHyphen/>
        <w:t>ризонта. Угол поля зрения при удале</w:t>
      </w:r>
      <w:r w:rsidRPr="00F90EAE">
        <w:rPr>
          <w:color w:val="000000" w:themeColor="text1"/>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F90EAE">
        <w:rPr>
          <w:color w:val="000000" w:themeColor="text1"/>
          <w:lang w:val="ru-RU"/>
        </w:rPr>
        <w:softHyphen/>
        <w:t>ходить на цель по или против направ</w:t>
      </w:r>
      <w:r w:rsidRPr="00F90EAE">
        <w:rPr>
          <w:color w:val="000000" w:themeColor="text1"/>
          <w:lang w:val="ru-RU"/>
        </w:rPr>
        <w:softHyphen/>
        <w:t>ления ветра.</w:t>
      </w:r>
    </w:p>
    <w:p w14:paraId="3EDFADF1" w14:textId="77777777" w:rsidR="003D5AF4" w:rsidRPr="00F90EAE" w:rsidRDefault="003D5AF4" w:rsidP="00F90EAE">
      <w:pPr>
        <w:pStyle w:val="a3"/>
        <w:rPr>
          <w:color w:val="000000" w:themeColor="text1"/>
          <w:lang w:val="ru-RU"/>
        </w:rPr>
      </w:pPr>
      <w:r w:rsidRPr="00F90EAE">
        <w:rPr>
          <w:color w:val="000000" w:themeColor="text1"/>
          <w:lang w:val="ru-RU"/>
        </w:rPr>
        <w:t>Габариты прицела с выдвину</w:t>
      </w:r>
      <w:r w:rsidRPr="00F90EAE">
        <w:rPr>
          <w:color w:val="000000" w:themeColor="text1"/>
          <w:lang w:val="ru-RU"/>
        </w:rPr>
        <w:softHyphen/>
        <w:t>той окулярной частью составляли 750</w:t>
      </w:r>
      <w:r w:rsidRPr="00F90EAE">
        <w:rPr>
          <w:color w:val="000000" w:themeColor="text1"/>
        </w:rPr>
        <w:t>x</w:t>
      </w:r>
      <w:r w:rsidRPr="00F90EAE">
        <w:rPr>
          <w:color w:val="000000" w:themeColor="text1"/>
          <w:lang w:val="ru-RU"/>
        </w:rPr>
        <w:t>152</w:t>
      </w:r>
      <w:r w:rsidRPr="00F90EAE">
        <w:rPr>
          <w:color w:val="000000" w:themeColor="text1"/>
        </w:rPr>
        <w:t>x</w:t>
      </w:r>
      <w:r w:rsidRPr="00F90EAE">
        <w:rPr>
          <w:color w:val="000000" w:themeColor="text1"/>
          <w:lang w:val="ru-RU"/>
        </w:rPr>
        <w:t>120 мм, с убранной - 640</w:t>
      </w:r>
      <w:r w:rsidRPr="00F90EAE">
        <w:rPr>
          <w:color w:val="000000" w:themeColor="text1"/>
        </w:rPr>
        <w:t>x</w:t>
      </w:r>
      <w:r w:rsidRPr="00F90EAE">
        <w:rPr>
          <w:color w:val="000000" w:themeColor="text1"/>
          <w:lang w:val="ru-RU"/>
        </w:rPr>
        <w:t>152</w:t>
      </w:r>
      <w:r w:rsidRPr="00F90EAE">
        <w:rPr>
          <w:color w:val="000000" w:themeColor="text1"/>
        </w:rPr>
        <w:t>x</w:t>
      </w:r>
      <w:r w:rsidRPr="00F90EAE">
        <w:rPr>
          <w:color w:val="000000" w:themeColor="text1"/>
          <w:lang w:val="ru-RU"/>
        </w:rPr>
        <w:t>120 мм. Вес прицела - всего 4,5 кг.</w:t>
      </w:r>
    </w:p>
    <w:p w14:paraId="2620D8EF" w14:textId="77777777" w:rsidR="003D5AF4" w:rsidRPr="00F90EAE" w:rsidRDefault="003D5AF4" w:rsidP="00F90EAE">
      <w:pPr>
        <w:pStyle w:val="a3"/>
        <w:rPr>
          <w:color w:val="000000" w:themeColor="text1"/>
          <w:lang w:val="ru-RU"/>
        </w:rPr>
      </w:pPr>
      <w:r w:rsidRPr="00F90EAE">
        <w:rPr>
          <w:color w:val="000000" w:themeColor="text1"/>
          <w:lang w:val="ru-RU"/>
        </w:rPr>
        <w:t>Рабочий диапазон при бомбо</w:t>
      </w:r>
      <w:r w:rsidRPr="00F90EAE">
        <w:rPr>
          <w:color w:val="000000" w:themeColor="text1"/>
          <w:lang w:val="ru-RU"/>
        </w:rPr>
        <w:softHyphen/>
        <w:t>метании с горизонтального полёта составлял: высота 100-1400 м, ско</w:t>
      </w:r>
      <w:r w:rsidRPr="00F90EAE">
        <w:rPr>
          <w:color w:val="000000" w:themeColor="text1"/>
          <w:lang w:val="ru-RU"/>
        </w:rPr>
        <w:softHyphen/>
        <w:t>рость полёта 350-550 км/ч. Приня</w:t>
      </w:r>
      <w:r w:rsidRPr="00F90EAE">
        <w:rPr>
          <w:color w:val="000000" w:themeColor="text1"/>
          <w:lang w:val="ru-RU"/>
        </w:rPr>
        <w:softHyphen/>
        <w:t>тое в расчётах характеристическое время падения бомбы - 20,37 сек.</w:t>
      </w:r>
    </w:p>
    <w:p w14:paraId="552F0F41" w14:textId="77777777" w:rsidR="003D5AF4" w:rsidRPr="00F90EAE" w:rsidRDefault="003D5AF4" w:rsidP="00F90EAE">
      <w:pPr>
        <w:pStyle w:val="a3"/>
        <w:rPr>
          <w:color w:val="000000" w:themeColor="text1"/>
          <w:lang w:val="ru-RU"/>
        </w:rPr>
      </w:pPr>
      <w:r w:rsidRPr="00F90EAE">
        <w:rPr>
          <w:color w:val="000000" w:themeColor="text1"/>
          <w:lang w:val="ru-RU"/>
        </w:rPr>
        <w:t>При бомбометании с пикиро</w:t>
      </w:r>
      <w:r w:rsidRPr="00F90EAE">
        <w:rPr>
          <w:color w:val="000000" w:themeColor="text1"/>
          <w:lang w:val="ru-RU"/>
        </w:rPr>
        <w:softHyphen/>
        <w:t>вания на самолёте Ил-10 скорость ввода в пикирование была постоян</w:t>
      </w:r>
      <w:r w:rsidRPr="00F90EAE">
        <w:rPr>
          <w:color w:val="000000" w:themeColor="text1"/>
          <w:lang w:val="ru-RU"/>
        </w:rPr>
        <w:softHyphen/>
        <w:t>ной - 340 км/ч. Высота ввода в пики</w:t>
      </w:r>
      <w:r w:rsidRPr="00F90EAE">
        <w:rPr>
          <w:color w:val="000000" w:themeColor="text1"/>
          <w:lang w:val="ru-RU"/>
        </w:rPr>
        <w:softHyphen/>
        <w:t>рование изменялась в зависимости от угла пикирования: при угле пики</w:t>
      </w:r>
      <w:r w:rsidRPr="00F90EAE">
        <w:rPr>
          <w:color w:val="000000" w:themeColor="text1"/>
          <w:lang w:val="ru-RU"/>
        </w:rPr>
        <w:softHyphen/>
        <w:t>рования 25° - 800 м, 30° - 1000 м, 35° - 1200 м, 40° - 1400 м.</w:t>
      </w:r>
    </w:p>
    <w:p w14:paraId="096926EE" w14:textId="77777777" w:rsidR="003D5AF4" w:rsidRPr="00F90EAE" w:rsidRDefault="003D5AF4" w:rsidP="00F90EAE">
      <w:pPr>
        <w:pStyle w:val="a3"/>
        <w:rPr>
          <w:color w:val="000000" w:themeColor="text1"/>
          <w:lang w:val="ru-RU"/>
        </w:rPr>
      </w:pPr>
      <w:r w:rsidRPr="00F90EAE">
        <w:rPr>
          <w:color w:val="000000" w:themeColor="text1"/>
          <w:lang w:val="ru-RU"/>
        </w:rPr>
        <w:t>Применительно к Ил-2 бомбоме</w:t>
      </w:r>
      <w:r w:rsidRPr="00F90EAE">
        <w:rPr>
          <w:color w:val="000000" w:themeColor="text1"/>
          <w:lang w:val="ru-RU"/>
        </w:rPr>
        <w:softHyphen/>
        <w:t>тание с горизонтального полёта при помощи ПШ-3 можно было выпол</w:t>
      </w:r>
      <w:r w:rsidRPr="00F90EAE">
        <w:rPr>
          <w:color w:val="000000" w:themeColor="text1"/>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220724AC" w14:textId="77777777" w:rsidR="003D5AF4" w:rsidRPr="00F90EAE" w:rsidRDefault="003D5AF4" w:rsidP="00F90EAE">
      <w:pPr>
        <w:pStyle w:val="a3"/>
        <w:rPr>
          <w:color w:val="000000" w:themeColor="text1"/>
          <w:lang w:val="ru-RU"/>
        </w:rPr>
      </w:pPr>
      <w:r w:rsidRPr="00F90EAE">
        <w:rPr>
          <w:color w:val="000000" w:themeColor="text1"/>
          <w:lang w:val="ru-RU"/>
        </w:rPr>
        <w:t>При бомбометании с горизонтального полёта от лётчика требовалось установить высо</w:t>
      </w:r>
      <w:r w:rsidRPr="00F90EAE">
        <w:rPr>
          <w:color w:val="000000" w:themeColor="text1"/>
          <w:lang w:val="ru-RU"/>
        </w:rPr>
        <w:softHyphen/>
        <w:t>ту, совместить шкалу прицела со скоростью, развернуть самолёт на цель. Наблюдая цель в окуляр прицела в момент её прихода в перекрестие следовало нажать кнопку пуска счётно- решающего устройства, который в течение 6-8 сек вырабатывал прицельные данные соответ</w:t>
      </w:r>
      <w:r w:rsidRPr="00F90EAE">
        <w:rPr>
          <w:color w:val="000000" w:themeColor="text1"/>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F90EAE">
        <w:rPr>
          <w:color w:val="000000" w:themeColor="text1"/>
          <w:lang w:val="ru-RU"/>
        </w:rPr>
        <w:softHyphen/>
        <w:t>цел наводился в упреждающую точку. С этого момента цель быстро «подходила» к перекре</w:t>
      </w:r>
      <w:r w:rsidRPr="00F90EAE">
        <w:rPr>
          <w:color w:val="000000" w:themeColor="text1"/>
          <w:lang w:val="ru-RU"/>
        </w:rPr>
        <w:softHyphen/>
        <w:t>стию прицела. При совмещении цели с перекрестием сетки прицела автоматически сбра</w:t>
      </w:r>
      <w:r w:rsidRPr="00F90EAE">
        <w:rPr>
          <w:color w:val="000000" w:themeColor="text1"/>
          <w:lang w:val="ru-RU"/>
        </w:rPr>
        <w:softHyphen/>
        <w:t>сывались бомбы. Сброс бомб можно было выполнить и без автоматики прицела, вручную, нажав боевую кнопку.</w:t>
      </w:r>
    </w:p>
    <w:p w14:paraId="07169468" w14:textId="77777777" w:rsidR="003D5AF4" w:rsidRPr="00F90EAE" w:rsidRDefault="003D5AF4" w:rsidP="00F90EAE">
      <w:pPr>
        <w:pStyle w:val="a3"/>
        <w:rPr>
          <w:color w:val="000000" w:themeColor="text1"/>
          <w:lang w:val="ru-RU"/>
        </w:rPr>
      </w:pPr>
      <w:r w:rsidRPr="00F90EAE">
        <w:rPr>
          <w:color w:val="000000" w:themeColor="text1"/>
          <w:lang w:val="ru-RU"/>
        </w:rPr>
        <w:t>В алгоритме работы прицела была заложена следующая схема. Считалось, что самолёт пикирует «с</w:t>
      </w:r>
      <w:r w:rsidRPr="00F90EAE">
        <w:rPr>
          <w:rStyle w:val="277"/>
          <w:rFonts w:ascii="Times New Roman" w:hAnsi="Times New Roman" w:cs="Times New Roman"/>
          <w:i w:val="0"/>
          <w:color w:val="000000" w:themeColor="text1"/>
          <w:sz w:val="16"/>
          <w:szCs w:val="16"/>
          <w:lang w:val="ru-RU"/>
        </w:rPr>
        <w:t xml:space="preserve"> некоторой наперёд заданной траекторией, состоящей из трёх участков</w:t>
      </w:r>
      <w:r w:rsidRPr="00F90EAE">
        <w:rPr>
          <w:color w:val="000000" w:themeColor="text1"/>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F90EAE">
        <w:rPr>
          <w:rStyle w:val="277"/>
          <w:rFonts w:ascii="Times New Roman" w:hAnsi="Times New Roman" w:cs="Times New Roman"/>
          <w:i w:val="0"/>
          <w:color w:val="000000" w:themeColor="text1"/>
          <w:sz w:val="16"/>
          <w:szCs w:val="16"/>
          <w:lang w:val="ru-RU"/>
        </w:rPr>
        <w:t xml:space="preserve"> «лётчик может сбросить бомбы при условии непрерывного совмещения перекрестия сетки прицела с целью».</w:t>
      </w:r>
    </w:p>
    <w:p w14:paraId="08481CEC" w14:textId="77777777" w:rsidR="003D5AF4" w:rsidRPr="00F90EAE" w:rsidRDefault="003D5AF4" w:rsidP="00F90EAE">
      <w:pPr>
        <w:pStyle w:val="a3"/>
        <w:rPr>
          <w:color w:val="000000" w:themeColor="text1"/>
          <w:lang w:val="ru-RU"/>
        </w:rPr>
      </w:pPr>
      <w:r w:rsidRPr="00F90EAE">
        <w:rPr>
          <w:color w:val="000000" w:themeColor="text1"/>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518A339E" w14:textId="77777777" w:rsidR="003D5AF4" w:rsidRPr="00F90EAE" w:rsidRDefault="003D5AF4" w:rsidP="00F90EAE">
      <w:pPr>
        <w:pStyle w:val="a3"/>
        <w:rPr>
          <w:color w:val="000000" w:themeColor="text1"/>
          <w:lang w:val="ru-RU"/>
        </w:rPr>
      </w:pPr>
      <w:r w:rsidRPr="00F90EAE">
        <w:rPr>
          <w:color w:val="000000" w:themeColor="text1"/>
          <w:lang w:val="ru-RU"/>
        </w:rPr>
        <w:t>В момент прихода цели к перекрестию сетки прицела лётчик одновременно нажимал пуска счетно-решающего механизма прицела и начинал ввод самолёта в 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F90EAE">
        <w:rPr>
          <w:color w:val="000000" w:themeColor="text1"/>
          <w:lang w:val="ru-RU"/>
        </w:rPr>
        <w:softHyphen/>
        <w:t>явления светового сигнала и до его исчезновения. Всё это время цель следовало удерживать в перекрестии сетки прицела.</w:t>
      </w:r>
    </w:p>
    <w:p w14:paraId="3DEB22D8" w14:textId="77777777" w:rsidR="003D5AF4" w:rsidRPr="00F90EAE" w:rsidRDefault="003D5AF4"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221"/>
          <w:rFonts w:ascii="Times New Roman" w:eastAsia="Arial Unicode MS" w:hAnsi="Times New Roman" w:cs="Times New Roman"/>
          <w:i w:val="0"/>
          <w:iCs w:val="0"/>
          <w:color w:val="000000" w:themeColor="text1"/>
        </w:rPr>
        <w:t>В отчёте по результатам испытаний отмечалось, что прицел ПШ-3 на самолёте Ил-2 «обеспечивает</w:t>
      </w:r>
      <w:r w:rsidRPr="00F90EAE">
        <w:rPr>
          <w:rFonts w:ascii="Times New Roman" w:hAnsi="Times New Roman" w:cs="Times New Roman"/>
          <w:i w:val="0"/>
          <w:color w:val="000000" w:themeColor="text1"/>
          <w:sz w:val="16"/>
          <w:szCs w:val="16"/>
        </w:rPr>
        <w:t xml:space="preserve"> достаточные удобства наводки, наблюдения</w:t>
      </w:r>
      <w:r w:rsidRPr="00F90EAE">
        <w:rPr>
          <w:rStyle w:val="2221"/>
          <w:rFonts w:ascii="Times New Roman" w:eastAsia="Arial Unicode MS" w:hAnsi="Times New Roman" w:cs="Times New Roman"/>
          <w:i w:val="0"/>
          <w:iCs w:val="0"/>
          <w:color w:val="000000" w:themeColor="text1"/>
        </w:rPr>
        <w:t xml:space="preserve"> за</w:t>
      </w:r>
      <w:r w:rsidRPr="00F90EAE">
        <w:rPr>
          <w:rFonts w:ascii="Times New Roman" w:hAnsi="Times New Roman" w:cs="Times New Roman"/>
          <w:i w:val="0"/>
          <w:color w:val="000000" w:themeColor="text1"/>
          <w:sz w:val="16"/>
          <w:szCs w:val="16"/>
        </w:rPr>
        <w:t xml:space="preserve"> целью и бомбометания с го</w:t>
      </w:r>
      <w:r w:rsidRPr="00F90EAE">
        <w:rPr>
          <w:rFonts w:ascii="Times New Roman" w:hAnsi="Times New Roman" w:cs="Times New Roman"/>
          <w:i w:val="0"/>
          <w:color w:val="000000" w:themeColor="text1"/>
          <w:sz w:val="16"/>
          <w:szCs w:val="16"/>
        </w:rPr>
        <w:softHyphen/>
        <w:t>ризонтального полёта и с планирования».</w:t>
      </w:r>
      <w:r w:rsidRPr="00F90EAE">
        <w:rPr>
          <w:rStyle w:val="2221"/>
          <w:rFonts w:ascii="Times New Roman" w:eastAsia="Arial Unicode MS" w:hAnsi="Times New Roman" w:cs="Times New Roman"/>
          <w:i w:val="0"/>
          <w:iCs w:val="0"/>
          <w:color w:val="000000" w:themeColor="text1"/>
        </w:rPr>
        <w:t xml:space="preserve"> При этом</w:t>
      </w:r>
      <w:r w:rsidRPr="00F90EAE">
        <w:rPr>
          <w:rFonts w:ascii="Times New Roman" w:hAnsi="Times New Roman" w:cs="Times New Roman"/>
          <w:i w:val="0"/>
          <w:color w:val="000000" w:themeColor="text1"/>
          <w:sz w:val="16"/>
          <w:szCs w:val="16"/>
        </w:rPr>
        <w:t xml:space="preserve"> «удаление глаз лётчика от окуляра, при котором используется всё поле зрения (23°), должно быть не более 80 мм».</w:t>
      </w:r>
      <w:r w:rsidRPr="00F90EAE">
        <w:rPr>
          <w:rStyle w:val="2221"/>
          <w:rFonts w:ascii="Times New Roman" w:eastAsia="Arial Unicode MS" w:hAnsi="Times New Roman" w:cs="Times New Roman"/>
          <w:i w:val="0"/>
          <w:iCs w:val="0"/>
          <w:color w:val="000000" w:themeColor="text1"/>
        </w:rPr>
        <w:t xml:space="preserve"> В этих условиях полёта - корпус лётчика наклонен вперёд, пилотирование самолётом было возможно, «но </w:t>
      </w:r>
      <w:r w:rsidRPr="00F90EAE">
        <w:rPr>
          <w:rFonts w:ascii="Times New Roman" w:hAnsi="Times New Roman" w:cs="Times New Roman"/>
          <w:i w:val="0"/>
          <w:color w:val="000000" w:themeColor="text1"/>
          <w:sz w:val="16"/>
          <w:szCs w:val="16"/>
        </w:rPr>
        <w:t>голова лётчика в меньшей мере защищена бронёй</w:t>
      </w:r>
      <w:r w:rsidRPr="00F90EAE">
        <w:rPr>
          <w:rStyle w:val="2221"/>
          <w:rFonts w:ascii="Times New Roman" w:eastAsia="Arial Unicode MS" w:hAnsi="Times New Roman" w:cs="Times New Roman"/>
          <w:i w:val="0"/>
          <w:iCs w:val="0"/>
          <w:color w:val="000000" w:themeColor="text1"/>
        </w:rPr>
        <w:t xml:space="preserve">». Синхронно-временной механизм ПШ-3 </w:t>
      </w:r>
      <w:r w:rsidRPr="00F90EAE">
        <w:rPr>
          <w:rFonts w:ascii="Times New Roman" w:hAnsi="Times New Roman" w:cs="Times New Roman"/>
          <w:i w:val="0"/>
          <w:color w:val="000000" w:themeColor="text1"/>
          <w:sz w:val="16"/>
          <w:szCs w:val="16"/>
        </w:rPr>
        <w:t>«уравнивает скорости</w:t>
      </w:r>
      <w:r w:rsidRPr="00F90EAE">
        <w:rPr>
          <w:rStyle w:val="2221"/>
          <w:rFonts w:ascii="Times New Roman" w:eastAsia="Arial Unicode MS" w:hAnsi="Times New Roman" w:cs="Times New Roman"/>
          <w:i w:val="0"/>
          <w:iCs w:val="0"/>
          <w:color w:val="000000" w:themeColor="text1"/>
        </w:rPr>
        <w:t xml:space="preserve"> движения</w:t>
      </w:r>
      <w:r w:rsidRPr="00F90EAE">
        <w:rPr>
          <w:rFonts w:ascii="Times New Roman" w:hAnsi="Times New Roman" w:cs="Times New Roman"/>
          <w:i w:val="0"/>
          <w:color w:val="000000" w:themeColor="text1"/>
          <w:sz w:val="16"/>
          <w:szCs w:val="16"/>
        </w:rPr>
        <w:t xml:space="preserve"> визирного луча и цели относительно самолёта, улучшает ус</w:t>
      </w:r>
      <w:r w:rsidRPr="00F90EAE">
        <w:rPr>
          <w:rFonts w:ascii="Times New Roman" w:hAnsi="Times New Roman" w:cs="Times New Roman"/>
          <w:i w:val="0"/>
          <w:color w:val="000000" w:themeColor="text1"/>
          <w:sz w:val="16"/>
          <w:szCs w:val="16"/>
        </w:rPr>
        <w:softHyphen/>
        <w:t>ловия прицеливания, особенно при бомбометании с малых высот при большой скорости по</w:t>
      </w:r>
      <w:r w:rsidRPr="00F90EAE">
        <w:rPr>
          <w:rFonts w:ascii="Times New Roman" w:hAnsi="Times New Roman" w:cs="Times New Roman"/>
          <w:i w:val="0"/>
          <w:color w:val="000000" w:themeColor="text1"/>
          <w:sz w:val="16"/>
          <w:szCs w:val="16"/>
        </w:rPr>
        <w:softHyphen/>
        <w:t>лёта».</w:t>
      </w:r>
      <w:r w:rsidRPr="00F90EAE">
        <w:rPr>
          <w:rStyle w:val="2221"/>
          <w:rFonts w:ascii="Times New Roman" w:eastAsia="Arial Unicode MS" w:hAnsi="Times New Roman" w:cs="Times New Roman"/>
          <w:i w:val="0"/>
          <w:iCs w:val="0"/>
          <w:color w:val="000000" w:themeColor="text1"/>
        </w:rPr>
        <w:t xml:space="preserve"> И главное,</w:t>
      </w:r>
      <w:r w:rsidRPr="00F90EAE">
        <w:rPr>
          <w:rFonts w:ascii="Times New Roman" w:hAnsi="Times New Roman" w:cs="Times New Roman"/>
          <w:i w:val="0"/>
          <w:color w:val="000000" w:themeColor="text1"/>
          <w:sz w:val="16"/>
          <w:szCs w:val="16"/>
        </w:rPr>
        <w:t xml:space="preserve"> «точность бомбометания с горизонтального полёта и планирования с ПШ-3 выше, чем с ВМШ-2».</w:t>
      </w:r>
    </w:p>
    <w:p w14:paraId="00A48846" w14:textId="77777777" w:rsidR="003D5AF4" w:rsidRPr="00F90EAE" w:rsidRDefault="003D5AF4" w:rsidP="00F90EAE">
      <w:pPr>
        <w:pStyle w:val="a3"/>
        <w:rPr>
          <w:color w:val="000000" w:themeColor="text1"/>
          <w:lang w:val="ru-RU"/>
        </w:rPr>
      </w:pPr>
      <w:r w:rsidRPr="00F90EAE">
        <w:rPr>
          <w:color w:val="000000" w:themeColor="text1"/>
          <w:lang w:val="ru-RU"/>
        </w:rPr>
        <w:t>Время нахождения на боевом курсе, как при бомбометании с горизонта, так и с пикирова</w:t>
      </w:r>
      <w:r w:rsidRPr="00F90EAE">
        <w:rPr>
          <w:color w:val="000000" w:themeColor="text1"/>
          <w:lang w:val="ru-RU"/>
        </w:rPr>
        <w:softHyphen/>
        <w:t>ния, было сравнительно невелико и не превышало 10-12 сек.</w:t>
      </w:r>
    </w:p>
    <w:p w14:paraId="430C83B3" w14:textId="77777777" w:rsidR="003D5AF4" w:rsidRPr="00F90EAE" w:rsidRDefault="003D5AF4" w:rsidP="00F90EAE">
      <w:pPr>
        <w:pStyle w:val="a3"/>
        <w:rPr>
          <w:color w:val="000000" w:themeColor="text1"/>
          <w:lang w:val="ru-RU"/>
        </w:rPr>
      </w:pPr>
      <w:r w:rsidRPr="00F90EAE">
        <w:rPr>
          <w:color w:val="000000" w:themeColor="text1"/>
          <w:lang w:val="ru-RU"/>
        </w:rPr>
        <w:t>При горизонтальном бомбометании боковая наводка считалась простой, наводка по даль</w:t>
      </w:r>
      <w:r w:rsidRPr="00F90EAE">
        <w:rPr>
          <w:color w:val="000000" w:themeColor="text1"/>
          <w:lang w:val="ru-RU"/>
        </w:rPr>
        <w:softHyphen/>
        <w:t>ности - «</w:t>
      </w:r>
      <w:r w:rsidRPr="00F90EAE">
        <w:rPr>
          <w:rStyle w:val="263"/>
          <w:rFonts w:ascii="Times New Roman" w:hAnsi="Times New Roman" w:cs="Times New Roman"/>
          <w:i w:val="0"/>
          <w:color w:val="000000" w:themeColor="text1"/>
          <w:sz w:val="16"/>
          <w:szCs w:val="16"/>
          <w:lang w:val="ru-RU"/>
        </w:rPr>
        <w:t>зависит от точного выдерживания лётчиком путевой скорости и высоты бросания, уста</w:t>
      </w:r>
      <w:r w:rsidRPr="00F90EAE">
        <w:rPr>
          <w:rStyle w:val="263"/>
          <w:rFonts w:ascii="Times New Roman" w:hAnsi="Times New Roman" w:cs="Times New Roman"/>
          <w:i w:val="0"/>
          <w:color w:val="000000" w:themeColor="text1"/>
          <w:sz w:val="16"/>
          <w:szCs w:val="16"/>
          <w:lang w:val="ru-RU"/>
        </w:rPr>
        <w:softHyphen/>
        <w:t>новленной на прицеле»,</w:t>
      </w:r>
      <w:r w:rsidRPr="00F90EAE">
        <w:rPr>
          <w:color w:val="000000" w:themeColor="text1"/>
          <w:lang w:val="ru-RU"/>
        </w:rPr>
        <w:t xml:space="preserve"> но также была несложной. Выход на цель (высота полёта 100-800 м) можно было выполнять как с разворота, так и с прямой.</w:t>
      </w:r>
    </w:p>
    <w:p w14:paraId="5225528D" w14:textId="77777777" w:rsidR="003D5AF4" w:rsidRPr="00F90EAE" w:rsidRDefault="003D5AF4" w:rsidP="00F90EAE">
      <w:pPr>
        <w:pStyle w:val="a3"/>
        <w:rPr>
          <w:color w:val="000000" w:themeColor="text1"/>
          <w:lang w:val="ru-RU"/>
        </w:rPr>
      </w:pPr>
      <w:r w:rsidRPr="00F90EAE">
        <w:rPr>
          <w:color w:val="000000" w:themeColor="text1"/>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F90EAE">
        <w:rPr>
          <w:color w:val="000000" w:themeColor="text1"/>
          <w:lang w:val="ru-RU"/>
        </w:rPr>
        <w:softHyphen/>
        <w:t>точно небольшой тренировки - всего 2-3 полёта.</w:t>
      </w:r>
    </w:p>
    <w:p w14:paraId="7CDCDF6F" w14:textId="77777777" w:rsidR="003D5AF4" w:rsidRPr="00F90EAE" w:rsidRDefault="003D5AF4" w:rsidP="00F90EAE">
      <w:pPr>
        <w:pStyle w:val="a3"/>
        <w:rPr>
          <w:color w:val="000000" w:themeColor="text1"/>
          <w:lang w:val="ru-RU"/>
        </w:rPr>
      </w:pPr>
      <w:r w:rsidRPr="00F90EAE">
        <w:rPr>
          <w:color w:val="000000" w:themeColor="text1"/>
          <w:lang w:val="ru-RU"/>
        </w:rPr>
        <w:t>В ходе испытаний бомбы сбрасывались с высоты 400 м на скорости 350 км/ч при горизон</w:t>
      </w:r>
      <w:r w:rsidRPr="00F90EAE">
        <w:rPr>
          <w:color w:val="000000" w:themeColor="text1"/>
          <w:lang w:val="ru-RU"/>
        </w:rPr>
        <w:softHyphen/>
        <w:t>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«Руководству по бомбометанию 1944 г.».</w:t>
      </w:r>
    </w:p>
    <w:p w14:paraId="40749AF6" w14:textId="77777777" w:rsidR="003D5AF4" w:rsidRPr="00F90EAE" w:rsidRDefault="003D5AF4"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211"/>
          <w:rFonts w:ascii="Times New Roman" w:eastAsia="Arial Unicode MS" w:hAnsi="Times New Roman" w:cs="Times New Roman"/>
          <w:i w:val="0"/>
          <w:iCs w:val="0"/>
          <w:color w:val="000000" w:themeColor="text1"/>
        </w:rPr>
        <w:t>Отмечалось, что</w:t>
      </w:r>
      <w:r w:rsidRPr="00F90EAE">
        <w:rPr>
          <w:rFonts w:ascii="Times New Roman" w:hAnsi="Times New Roman" w:cs="Times New Roman"/>
          <w:i w:val="0"/>
          <w:color w:val="000000" w:themeColor="text1"/>
          <w:sz w:val="16"/>
          <w:szCs w:val="16"/>
        </w:rPr>
        <w:t xml:space="preserve"> «красный сигнал, указывающий момент построения угла прицеливания (упреждения, ви</w:t>
      </w:r>
      <w:r w:rsidRPr="00F90EAE">
        <w:rPr>
          <w:rFonts w:ascii="Times New Roman" w:hAnsi="Times New Roman" w:cs="Times New Roman"/>
          <w:i w:val="0"/>
          <w:color w:val="000000" w:themeColor="text1"/>
          <w:sz w:val="16"/>
          <w:szCs w:val="16"/>
        </w:rPr>
        <w:softHyphen/>
        <w:t>ден плохо, ...пользоваться неудоб</w:t>
      </w:r>
      <w:r w:rsidRPr="00F90EAE">
        <w:rPr>
          <w:rFonts w:ascii="Times New Roman" w:hAnsi="Times New Roman" w:cs="Times New Roman"/>
          <w:i w:val="0"/>
          <w:color w:val="000000" w:themeColor="text1"/>
          <w:sz w:val="16"/>
          <w:szCs w:val="16"/>
        </w:rPr>
        <w:softHyphen/>
        <w:t>но».</w:t>
      </w:r>
      <w:r w:rsidRPr="00F90EAE">
        <w:rPr>
          <w:rStyle w:val="2211"/>
          <w:rFonts w:ascii="Times New Roman" w:eastAsia="Arial Unicode MS" w:hAnsi="Times New Roman" w:cs="Times New Roman"/>
          <w:i w:val="0"/>
          <w:iCs w:val="0"/>
          <w:color w:val="000000" w:themeColor="text1"/>
        </w:rPr>
        <w:t xml:space="preserve"> Предлагалось увеличить (на 1-2 сек) время ввода самолёта в пикиро</w:t>
      </w:r>
      <w:r w:rsidRPr="00F90EAE">
        <w:rPr>
          <w:rStyle w:val="2211"/>
          <w:rFonts w:ascii="Times New Roman" w:eastAsia="Arial Unicode MS" w:hAnsi="Times New Roman" w:cs="Times New Roman"/>
          <w:i w:val="0"/>
          <w:iCs w:val="0"/>
          <w:color w:val="000000" w:themeColor="text1"/>
        </w:rPr>
        <w:softHyphen/>
        <w:t>вание.</w:t>
      </w:r>
    </w:p>
    <w:p w14:paraId="5469B019" w14:textId="77777777" w:rsidR="003D5AF4" w:rsidRPr="00F90EAE" w:rsidRDefault="003D5AF4" w:rsidP="00F90EAE">
      <w:pPr>
        <w:pStyle w:val="a3"/>
        <w:rPr>
          <w:color w:val="000000" w:themeColor="text1"/>
          <w:lang w:val="ru-RU"/>
        </w:rPr>
      </w:pPr>
      <w:r w:rsidRPr="00F90EAE">
        <w:rPr>
          <w:color w:val="000000" w:themeColor="text1"/>
          <w:lang w:val="ru-RU"/>
        </w:rPr>
        <w:t xml:space="preserve">В заключении делался вывод, что </w:t>
      </w:r>
      <w:r w:rsidRPr="00F90EAE">
        <w:rPr>
          <w:rStyle w:val="254"/>
          <w:rFonts w:ascii="Times New Roman" w:hAnsi="Times New Roman" w:cs="Times New Roman"/>
          <w:i w:val="0"/>
          <w:color w:val="000000" w:themeColor="text1"/>
          <w:sz w:val="16"/>
          <w:szCs w:val="16"/>
          <w:lang w:val="ru-RU"/>
        </w:rPr>
        <w:t>«государственные испытания ПШ-3 выдержал».</w:t>
      </w:r>
      <w:r w:rsidRPr="00F90EAE">
        <w:rPr>
          <w:color w:val="000000" w:themeColor="text1"/>
          <w:lang w:val="ru-RU"/>
        </w:rPr>
        <w:t xml:space="preserve"> Рекомендовалось</w:t>
      </w:r>
      <w:r w:rsidRPr="00F90EAE">
        <w:rPr>
          <w:rStyle w:val="254"/>
          <w:rFonts w:ascii="Times New Roman" w:hAnsi="Times New Roman" w:cs="Times New Roman"/>
          <w:i w:val="0"/>
          <w:color w:val="000000" w:themeColor="text1"/>
          <w:sz w:val="16"/>
          <w:szCs w:val="16"/>
          <w:lang w:val="ru-RU"/>
        </w:rPr>
        <w:t xml:space="preserve"> «про</w:t>
      </w:r>
      <w:r w:rsidRPr="00F90EAE">
        <w:rPr>
          <w:rStyle w:val="254"/>
          <w:rFonts w:ascii="Times New Roman" w:hAnsi="Times New Roman" w:cs="Times New Roman"/>
          <w:i w:val="0"/>
          <w:color w:val="000000" w:themeColor="text1"/>
          <w:sz w:val="16"/>
          <w:szCs w:val="16"/>
          <w:lang w:val="ru-RU"/>
        </w:rPr>
        <w:softHyphen/>
        <w:t>сить 2-е ГУ НКВ обязать завод № 589</w:t>
      </w:r>
      <w:r w:rsidRPr="00F90EAE">
        <w:rPr>
          <w:color w:val="000000" w:themeColor="text1"/>
          <w:lang w:val="ru-RU"/>
        </w:rPr>
        <w:t>» срочно пересчитать ПШ-3 для самолёта Ил-2, а также</w:t>
      </w:r>
      <w:r w:rsidRPr="00F90EAE">
        <w:rPr>
          <w:rStyle w:val="254"/>
          <w:rFonts w:ascii="Times New Roman" w:hAnsi="Times New Roman" w:cs="Times New Roman"/>
          <w:i w:val="0"/>
          <w:color w:val="000000" w:themeColor="text1"/>
          <w:sz w:val="16"/>
          <w:szCs w:val="16"/>
          <w:lang w:val="ru-RU"/>
        </w:rPr>
        <w:t xml:space="preserve"> «изготовить</w:t>
      </w:r>
      <w:r w:rsidRPr="00F90EAE">
        <w:rPr>
          <w:color w:val="000000" w:themeColor="text1"/>
          <w:lang w:val="ru-RU"/>
        </w:rPr>
        <w:t xml:space="preserve"> опытную</w:t>
      </w:r>
      <w:r w:rsidRPr="00F90EAE">
        <w:rPr>
          <w:rStyle w:val="254"/>
          <w:rFonts w:ascii="Times New Roman" w:hAnsi="Times New Roman" w:cs="Times New Roman"/>
          <w:i w:val="0"/>
          <w:color w:val="000000" w:themeColor="text1"/>
          <w:sz w:val="16"/>
          <w:szCs w:val="16"/>
          <w:lang w:val="ru-RU"/>
        </w:rPr>
        <w:t xml:space="preserve"> партию в 30</w:t>
      </w:r>
      <w:r w:rsidRPr="00F90EAE">
        <w:rPr>
          <w:color w:val="000000" w:themeColor="text1"/>
          <w:lang w:val="ru-RU"/>
        </w:rPr>
        <w:t xml:space="preserve"> шт. для</w:t>
      </w:r>
      <w:r w:rsidRPr="00F90EAE">
        <w:rPr>
          <w:rStyle w:val="254"/>
          <w:rFonts w:ascii="Times New Roman" w:hAnsi="Times New Roman" w:cs="Times New Roman"/>
          <w:i w:val="0"/>
          <w:color w:val="000000" w:themeColor="text1"/>
          <w:sz w:val="16"/>
          <w:szCs w:val="16"/>
          <w:lang w:val="ru-RU"/>
        </w:rPr>
        <w:t xml:space="preserve"> войсковых испытаний на Ил-2 в июне-июле 1945</w:t>
      </w:r>
      <w:r w:rsidRPr="00F90EAE">
        <w:rPr>
          <w:color w:val="000000" w:themeColor="text1"/>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F90EAE">
        <w:rPr>
          <w:rStyle w:val="254"/>
          <w:rFonts w:ascii="Times New Roman" w:hAnsi="Times New Roman" w:cs="Times New Roman"/>
          <w:i w:val="0"/>
          <w:color w:val="000000" w:themeColor="text1"/>
          <w:sz w:val="16"/>
          <w:szCs w:val="16"/>
          <w:lang w:val="ru-RU"/>
        </w:rPr>
        <w:t>просить Главного конструктора т.</w:t>
      </w:r>
      <w:r w:rsidRPr="00F90EAE">
        <w:rPr>
          <w:color w:val="000000" w:themeColor="text1"/>
          <w:lang w:val="ru-RU"/>
        </w:rPr>
        <w:t xml:space="preserve"> Ильюшина</w:t>
      </w:r>
      <w:r w:rsidRPr="00F90EAE">
        <w:rPr>
          <w:rStyle w:val="254"/>
          <w:rFonts w:ascii="Times New Roman" w:hAnsi="Times New Roman" w:cs="Times New Roman"/>
          <w:i w:val="0"/>
          <w:color w:val="000000" w:themeColor="text1"/>
          <w:sz w:val="16"/>
          <w:szCs w:val="16"/>
          <w:lang w:val="ru-RU"/>
        </w:rPr>
        <w:t xml:space="preserve"> С.В. ускорить </w:t>
      </w:r>
      <w:r w:rsidRPr="00F90EAE">
        <w:rPr>
          <w:rStyle w:val="254"/>
          <w:rFonts w:ascii="Times New Roman" w:hAnsi="Times New Roman" w:cs="Times New Roman"/>
          <w:i w:val="0"/>
          <w:color w:val="000000" w:themeColor="text1"/>
          <w:sz w:val="16"/>
          <w:szCs w:val="16"/>
          <w:lang w:val="ru-RU"/>
        </w:rPr>
        <w:lastRenderedPageBreak/>
        <w:t>монтаж ПШ-3 на самолёт</w:t>
      </w:r>
      <w:r w:rsidRPr="00F90EAE">
        <w:rPr>
          <w:color w:val="000000" w:themeColor="text1"/>
          <w:lang w:val="ru-RU"/>
        </w:rPr>
        <w:t xml:space="preserve"> Ил-10 для</w:t>
      </w:r>
      <w:r w:rsidRPr="00F90EAE">
        <w:rPr>
          <w:rStyle w:val="254"/>
          <w:rFonts w:ascii="Times New Roman" w:hAnsi="Times New Roman" w:cs="Times New Roman"/>
          <w:i w:val="0"/>
          <w:color w:val="000000" w:themeColor="text1"/>
          <w:sz w:val="16"/>
          <w:szCs w:val="16"/>
          <w:lang w:val="ru-RU"/>
        </w:rPr>
        <w:t xml:space="preserve"> государствен</w:t>
      </w:r>
      <w:r w:rsidRPr="00F90EAE">
        <w:rPr>
          <w:rStyle w:val="254"/>
          <w:rFonts w:ascii="Times New Roman" w:hAnsi="Times New Roman" w:cs="Times New Roman"/>
          <w:i w:val="0"/>
          <w:color w:val="000000" w:themeColor="text1"/>
          <w:sz w:val="16"/>
          <w:szCs w:val="16"/>
          <w:lang w:val="ru-RU"/>
        </w:rPr>
        <w:softHyphen/>
        <w:t>ных испытаний» (15978).</w:t>
      </w:r>
    </w:p>
    <w:p w14:paraId="75959C06" w14:textId="77777777" w:rsidR="003D5AF4" w:rsidRPr="00F90EAE" w:rsidRDefault="003D5AF4" w:rsidP="00F90EAE">
      <w:pPr>
        <w:pStyle w:val="a3"/>
        <w:rPr>
          <w:color w:val="000000" w:themeColor="text1"/>
          <w:lang w:val="ru-RU"/>
        </w:rPr>
      </w:pPr>
    </w:p>
    <w:p w14:paraId="078F966F" w14:textId="77777777" w:rsidR="00D92245" w:rsidRPr="00F90EAE" w:rsidRDefault="00D92245" w:rsidP="00F90EAE">
      <w:pPr>
        <w:jc w:val="both"/>
        <w:rPr>
          <w:color w:val="000000" w:themeColor="text1"/>
          <w:sz w:val="16"/>
          <w:szCs w:val="16"/>
        </w:rPr>
      </w:pPr>
      <w:r w:rsidRPr="00F90EAE">
        <w:rPr>
          <w:bCs/>
          <w:color w:val="000000" w:themeColor="text1"/>
          <w:sz w:val="16"/>
          <w:szCs w:val="16"/>
        </w:rPr>
        <w:t>22 февраля</w:t>
      </w:r>
      <w:r w:rsidRPr="00F90EAE">
        <w:rPr>
          <w:color w:val="000000" w:themeColor="text1"/>
          <w:sz w:val="16"/>
          <w:szCs w:val="16"/>
        </w:rPr>
        <w:t xml:space="preserve"> в 1945 году благополучно завершена полная программа переучивания на штурмовик «Ил-10», 108-ого гшап. На следующий день убыл в полном составе (43 самолета «Ил-10 «производства заводов № 1 и № 18 1-й, 2-й, 3-й и 4-й серий с «АМ-42» с винтом «АВ-5л-24») в действующую армию на 1-й Украинский фронт в состав 2-й Воздушной Армии (15048).</w:t>
      </w:r>
    </w:p>
    <w:p w14:paraId="2A8AC45E" w14:textId="77777777" w:rsidR="00D92245" w:rsidRPr="00F90EAE" w:rsidRDefault="00D92245" w:rsidP="00F90EAE">
      <w:pPr>
        <w:jc w:val="both"/>
        <w:rPr>
          <w:color w:val="000000" w:themeColor="text1"/>
          <w:sz w:val="16"/>
          <w:szCs w:val="16"/>
        </w:rPr>
      </w:pPr>
    </w:p>
    <w:p w14:paraId="289C0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 февраля 1945 по 25 марта проходили гос. испытания модифицированного Ла-7 № 38105758 с 3 пушками Б-20.</w:t>
      </w:r>
    </w:p>
    <w:p w14:paraId="057CF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 38100358, 38105758 производства завода № 381</w:t>
      </w:r>
    </w:p>
    <w:p w14:paraId="26E9F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Г.В.Чертявский</w:t>
      </w:r>
    </w:p>
    <w:p w14:paraId="799566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м Кубышкин</w:t>
      </w:r>
    </w:p>
    <w:p w14:paraId="7378BF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производства з-да № 381 выпуска января-февраля 1945 г</w:t>
      </w:r>
    </w:p>
    <w:p w14:paraId="7A46A7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38100358 испытания начались 25 января 1945 и прекращены 7 февраля 1945 из-за ненадежной работы вооружения.</w:t>
      </w:r>
    </w:p>
    <w:p w14:paraId="0392AA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5758 испытания начаты 22 февраля и закончены 25 марта 1945 г.</w:t>
      </w:r>
    </w:p>
    <w:p w14:paraId="2C95E5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полетов на с-те № 0358 налет составил 2:50</w:t>
      </w:r>
    </w:p>
    <w:p w14:paraId="0DA33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2675, полетный - 3312</w:t>
      </w:r>
    </w:p>
    <w:p w14:paraId="4998DB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571, на 1 гр. (2900) - 632, на 5000 - 636, на 2 гр. (6100) - 662 км/час</w:t>
      </w:r>
    </w:p>
    <w:p w14:paraId="08330F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5000 - 5,1</w:t>
      </w:r>
    </w:p>
    <w:p w14:paraId="29DAB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10325, время набора 26 мин.</w:t>
      </w:r>
    </w:p>
    <w:p w14:paraId="47D34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1020D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56FB99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работы 20мм пушек Б-20с и их синхронной установки не обеспечена.</w:t>
      </w:r>
    </w:p>
    <w:p w14:paraId="0D3779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Материалы испытаний оставить для внутреннего пользованияч.</w:t>
      </w:r>
    </w:p>
    <w:p w14:paraId="2429C4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715B92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Кочетков, Л.. 2 апреля 1945 (743,1).</w:t>
      </w:r>
    </w:p>
    <w:p w14:paraId="60FD5C19" w14:textId="77777777" w:rsidR="00665165" w:rsidRPr="00F90EAE" w:rsidRDefault="00665165" w:rsidP="00F90EAE">
      <w:pPr>
        <w:autoSpaceDE w:val="0"/>
        <w:autoSpaceDN w:val="0"/>
        <w:adjustRightInd w:val="0"/>
        <w:jc w:val="both"/>
        <w:rPr>
          <w:color w:val="000000" w:themeColor="text1"/>
          <w:sz w:val="16"/>
          <w:szCs w:val="16"/>
        </w:rPr>
      </w:pPr>
    </w:p>
    <w:p w14:paraId="72C31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22 по 25 февраля 1945, а затем после перерыва с 20 марта по 8 апреля 1945 проходили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Летал Д.Г.Пикуленко и выполнил 24 полета продолжительностью 15 час. 40 мин. Летчиками облета летали многие. Прошел удовлетворительно (744,1).</w:t>
      </w:r>
    </w:p>
    <w:p w14:paraId="40780E32" w14:textId="77777777" w:rsidR="00665165" w:rsidRPr="00F90EAE" w:rsidRDefault="00665165" w:rsidP="00F90EAE">
      <w:pPr>
        <w:autoSpaceDE w:val="0"/>
        <w:autoSpaceDN w:val="0"/>
        <w:adjustRightInd w:val="0"/>
        <w:jc w:val="both"/>
        <w:rPr>
          <w:color w:val="000000" w:themeColor="text1"/>
          <w:sz w:val="16"/>
          <w:szCs w:val="16"/>
        </w:rPr>
      </w:pPr>
    </w:p>
    <w:p w14:paraId="58C57C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 февраля 1945 проходили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были прерваны 25 февраля, возобновлены 20 марта и закончились 8 апреля 1945.</w:t>
      </w:r>
    </w:p>
    <w:p w14:paraId="2B41D5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выполнено 24 полета с налетом 15:40</w:t>
      </w:r>
    </w:p>
    <w:p w14:paraId="179D1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Вед. Ии ли и Л.А.Радионов</w:t>
      </w:r>
    </w:p>
    <w:p w14:paraId="000850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и-м Д.Г.Пикуленко</w:t>
      </w:r>
    </w:p>
    <w:p w14:paraId="5A070B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B4BB5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0290C1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6615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надежности работы провести войсковые испытания (20 с-тов)</w:t>
      </w:r>
    </w:p>
    <w:p w14:paraId="601A6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70BB1A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1944 испытавался во 2у ГК НИИ ВВС на с-та Ла-5 № 1618 вновь удовлетворительно</w:t>
      </w:r>
    </w:p>
    <w:p w14:paraId="54EE5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Отмечено, что значительно облегчает управление ВМГ</w:t>
      </w:r>
    </w:p>
    <w:p w14:paraId="568765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3586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11C2BE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АРТЦ-43 - был изготовлен в опытном экз. В 1943 заводом № 194 НКАП согласно плану опытных работ ВВС КА</w:t>
      </w:r>
    </w:p>
    <w:p w14:paraId="77118B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77156D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C16C9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613193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45F662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183C7011" w14:textId="77777777" w:rsidR="00665165" w:rsidRPr="00F90EAE" w:rsidRDefault="00665165" w:rsidP="00F90EAE">
      <w:pPr>
        <w:autoSpaceDE w:val="0"/>
        <w:autoSpaceDN w:val="0"/>
        <w:adjustRightInd w:val="0"/>
        <w:jc w:val="both"/>
        <w:rPr>
          <w:color w:val="000000" w:themeColor="text1"/>
          <w:sz w:val="16"/>
          <w:szCs w:val="16"/>
        </w:rPr>
      </w:pPr>
    </w:p>
    <w:p w14:paraId="61A3E83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8111824" w14:textId="77777777" w:rsidR="00665165" w:rsidRPr="00F90EAE" w:rsidRDefault="00665165" w:rsidP="00F90EAE">
      <w:pPr>
        <w:autoSpaceDE w:val="0"/>
        <w:autoSpaceDN w:val="0"/>
        <w:adjustRightInd w:val="0"/>
        <w:jc w:val="both"/>
        <w:rPr>
          <w:iCs/>
          <w:color w:val="000000" w:themeColor="text1"/>
          <w:sz w:val="16"/>
          <w:szCs w:val="16"/>
        </w:rPr>
      </w:pPr>
    </w:p>
    <w:p w14:paraId="72D80E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февраля 1945 г. после опытного пробега в Москву на завод №37 для показа командованию БГ и МВ КА и членам правительства прибыл первый Т-54, который изготовили к 30 января 1945 г. на за</w:t>
      </w:r>
      <w:r w:rsidRPr="00F90EAE">
        <w:rPr>
          <w:color w:val="000000" w:themeColor="text1"/>
          <w:sz w:val="16"/>
          <w:szCs w:val="16"/>
        </w:rPr>
        <w:softHyphen/>
        <w:t>воде №183.</w:t>
      </w:r>
    </w:p>
    <w:p w14:paraId="65BD5D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Опытный танк Т-54 обр. 1945 г. представ</w:t>
      </w:r>
      <w:r w:rsidRPr="00F90EAE">
        <w:rPr>
          <w:color w:val="000000" w:themeColor="text1"/>
          <w:sz w:val="16"/>
          <w:szCs w:val="16"/>
        </w:rPr>
        <w:softHyphen/>
        <w:t>лял собой модернизацию танка Т-44 обр. 1944 г. в направлении значительного повы</w:t>
      </w:r>
      <w:r w:rsidRPr="00F90EAE">
        <w:rPr>
          <w:color w:val="000000" w:themeColor="text1"/>
          <w:sz w:val="16"/>
          <w:szCs w:val="16"/>
        </w:rPr>
        <w:softHyphen/>
        <w:t>шения его боевых свойств - огневой мощи и защищенности, что в пределах заданной боевой массы было достигнуто главным об</w:t>
      </w:r>
      <w:r w:rsidRPr="00F90EAE">
        <w:rPr>
          <w:color w:val="000000" w:themeColor="text1"/>
          <w:sz w:val="16"/>
          <w:szCs w:val="16"/>
        </w:rPr>
        <w:softHyphen/>
        <w:t>разом за счет совершенствования классичес</w:t>
      </w:r>
      <w:r w:rsidRPr="00F90EAE">
        <w:rPr>
          <w:color w:val="000000" w:themeColor="text1"/>
          <w:sz w:val="16"/>
          <w:szCs w:val="16"/>
        </w:rPr>
        <w:softHyphen/>
        <w:t>кой схемы общей компоновки машины. Со</w:t>
      </w:r>
      <w:r w:rsidRPr="00F90EAE">
        <w:rPr>
          <w:color w:val="000000" w:themeColor="text1"/>
          <w:sz w:val="16"/>
          <w:szCs w:val="16"/>
        </w:rPr>
        <w:softHyphen/>
        <w:t>кращение численности экипажа с пяти до четырех человек и повышение плотности общей компоновки танка привело к уменьше</w:t>
      </w:r>
      <w:r w:rsidRPr="00F90EAE">
        <w:rPr>
          <w:color w:val="000000" w:themeColor="text1"/>
          <w:sz w:val="16"/>
          <w:szCs w:val="16"/>
        </w:rPr>
        <w:softHyphen/>
        <w:t>нию забронированного объема до 11,8 м</w:t>
      </w:r>
      <w:r w:rsidRPr="00F90EAE">
        <w:rPr>
          <w:color w:val="000000" w:themeColor="text1"/>
          <w:sz w:val="16"/>
          <w:szCs w:val="16"/>
          <w:vertAlign w:val="superscript"/>
        </w:rPr>
        <w:t xml:space="preserve">3 </w:t>
      </w:r>
      <w:r w:rsidRPr="00F90EAE">
        <w:rPr>
          <w:color w:val="000000" w:themeColor="text1"/>
          <w:sz w:val="16"/>
          <w:szCs w:val="16"/>
        </w:rPr>
        <w:t>(для сравнения: у танка Т-34-85 эта величина была равна 12,6 м</w:t>
      </w:r>
      <w:r w:rsidRPr="00F90EAE">
        <w:rPr>
          <w:color w:val="000000" w:themeColor="text1"/>
          <w:sz w:val="16"/>
          <w:szCs w:val="16"/>
          <w:vertAlign w:val="superscript"/>
        </w:rPr>
        <w:t>3</w:t>
      </w:r>
      <w:r w:rsidRPr="00F90EAE">
        <w:rPr>
          <w:color w:val="000000" w:themeColor="text1"/>
          <w:sz w:val="16"/>
          <w:szCs w:val="16"/>
        </w:rPr>
        <w:t>). Высота машины была уменьшена на 300 мм по сравнению с высо</w:t>
      </w:r>
      <w:r w:rsidRPr="00F90EAE">
        <w:rPr>
          <w:color w:val="000000" w:themeColor="text1"/>
          <w:sz w:val="16"/>
          <w:szCs w:val="16"/>
        </w:rPr>
        <w:softHyphen/>
        <w:t>той танка Т-34-85, что также позволило сэко</w:t>
      </w:r>
      <w:r w:rsidRPr="00F90EAE">
        <w:rPr>
          <w:color w:val="000000" w:themeColor="text1"/>
          <w:sz w:val="16"/>
          <w:szCs w:val="16"/>
        </w:rPr>
        <w:softHyphen/>
        <w:t>номленную при этом массу использовать для усиления броневой зашиты нового танка.</w:t>
      </w:r>
    </w:p>
    <w:p w14:paraId="2CC3DD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Поперечное расположение двигателя в кормовой части корпуса позволило за счет сокращения длины МТО увеличить размеры боевого отделения и впервые установить на серийном среднем танке 100-мм пушку, что значительно увеличило огневую мощь маши</w:t>
      </w:r>
      <w:r w:rsidRPr="00F90EAE">
        <w:rPr>
          <w:color w:val="000000" w:themeColor="text1"/>
          <w:sz w:val="16"/>
          <w:szCs w:val="16"/>
        </w:rPr>
        <w:softHyphen/>
        <w:t>ны по сравнению с танком Т-44.</w:t>
      </w:r>
    </w:p>
    <w:p w14:paraId="711876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Благодаря принятой схеме общей компо</w:t>
      </w:r>
      <w:r w:rsidRPr="00F90EAE">
        <w:rPr>
          <w:color w:val="000000" w:themeColor="text1"/>
          <w:sz w:val="16"/>
          <w:szCs w:val="16"/>
        </w:rPr>
        <w:softHyphen/>
        <w:t>новки башню удалось сместить в сторону кор</w:t>
      </w:r>
      <w:r w:rsidRPr="00F90EAE">
        <w:rPr>
          <w:color w:val="000000" w:themeColor="text1"/>
          <w:sz w:val="16"/>
          <w:szCs w:val="16"/>
        </w:rPr>
        <w:softHyphen/>
        <w:t>мы танка и расположить на подбашенном ли</w:t>
      </w:r>
      <w:r w:rsidRPr="00F90EAE">
        <w:rPr>
          <w:color w:val="000000" w:themeColor="text1"/>
          <w:sz w:val="16"/>
          <w:szCs w:val="16"/>
        </w:rPr>
        <w:softHyphen/>
        <w:t>сте корпуса люк механика-водителя. Эта дало возможность значительно усилить противо-снарядную стойкость носовой части.</w:t>
      </w:r>
    </w:p>
    <w:p w14:paraId="52903A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Вооружение танка состояло из 100-мм опытной танковой пушки Д-10Т-К конструк</w:t>
      </w:r>
      <w:r w:rsidRPr="00F90EAE">
        <w:rPr>
          <w:color w:val="000000" w:themeColor="text1"/>
          <w:sz w:val="16"/>
          <w:szCs w:val="16"/>
        </w:rPr>
        <w:softHyphen/>
        <w:t>ции завода №9 НКВ и двух 7,62-мм пулеме</w:t>
      </w:r>
      <w:r w:rsidRPr="00F90EAE">
        <w:rPr>
          <w:color w:val="000000" w:themeColor="text1"/>
          <w:sz w:val="16"/>
          <w:szCs w:val="16"/>
        </w:rPr>
        <w:softHyphen/>
        <w:t>тов ГВТ с ленточным питанием, один из которых был спарен с пушкой, второй — кур</w:t>
      </w:r>
      <w:r w:rsidRPr="00F90EAE">
        <w:rPr>
          <w:color w:val="000000" w:themeColor="text1"/>
          <w:sz w:val="16"/>
          <w:szCs w:val="16"/>
        </w:rPr>
        <w:softHyphen/>
        <w:t>совой, устанавливался в отделении управ</w:t>
      </w:r>
      <w:r w:rsidRPr="00F90EAE">
        <w:rPr>
          <w:color w:val="000000" w:themeColor="text1"/>
          <w:sz w:val="16"/>
          <w:szCs w:val="16"/>
        </w:rPr>
        <w:softHyphen/>
        <w:t>ления справа от механика-водителя.</w:t>
      </w:r>
    </w:p>
    <w:p w14:paraId="0213D0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отличие от пушки Д-10Т обр. 1944 г., у пушки Д-10Т-К был упразднен пружинный уравновешивающий механизм. Уравновеши</w:t>
      </w:r>
      <w:r w:rsidRPr="00F90EAE">
        <w:rPr>
          <w:color w:val="000000" w:themeColor="text1"/>
          <w:sz w:val="16"/>
          <w:szCs w:val="16"/>
        </w:rPr>
        <w:softHyphen/>
        <w:t>вание качающейся части пушки осуществля</w:t>
      </w:r>
      <w:r w:rsidRPr="00F90EAE">
        <w:rPr>
          <w:color w:val="000000" w:themeColor="text1"/>
          <w:sz w:val="16"/>
          <w:szCs w:val="16"/>
        </w:rPr>
        <w:softHyphen/>
        <w:t>лось за счет некоторого облегчения высту</w:t>
      </w:r>
      <w:r w:rsidRPr="00F90EAE">
        <w:rPr>
          <w:color w:val="000000" w:themeColor="text1"/>
          <w:sz w:val="16"/>
          <w:szCs w:val="16"/>
        </w:rPr>
        <w:softHyphen/>
        <w:t>павшей за башню части трубы, утяжеления ограждения и подвески под казенную часть пушки специальных грузов.</w:t>
      </w:r>
    </w:p>
    <w:p w14:paraId="4D1F3D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стрельбе из спаренной установки, корректировании огня, определении рассто</w:t>
      </w:r>
      <w:r w:rsidRPr="00F90EAE">
        <w:rPr>
          <w:color w:val="000000" w:themeColor="text1"/>
          <w:sz w:val="16"/>
          <w:szCs w:val="16"/>
        </w:rPr>
        <w:softHyphen/>
        <w:t>яний до целей и наблюдении за полем боя использовался телескопический шарнирный прицел ТШ-19 четырехкратного увеличения и полем зрения, равным 16°. Предельная дальность стрельбы по шкале для стрельбы из пушки составляла 6800 м, а для стрельбы из пулемета - 1500 м.</w:t>
      </w:r>
    </w:p>
    <w:p w14:paraId="428F1AF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приводе вертикальной наводки исполь</w:t>
      </w:r>
      <w:r w:rsidRPr="00F90EAE">
        <w:rPr>
          <w:color w:val="000000" w:themeColor="text1"/>
          <w:sz w:val="16"/>
          <w:szCs w:val="16"/>
        </w:rPr>
        <w:softHyphen/>
        <w:t>зовался подъемный механизм секторного типа с ручным и электромоторным приво</w:t>
      </w:r>
      <w:r w:rsidRPr="00F90EAE">
        <w:rPr>
          <w:color w:val="000000" w:themeColor="text1"/>
          <w:sz w:val="16"/>
          <w:szCs w:val="16"/>
        </w:rPr>
        <w:softHyphen/>
        <w:t>дом со сдающим звеном. Наводка спарен</w:t>
      </w:r>
      <w:r w:rsidRPr="00F90EAE">
        <w:rPr>
          <w:color w:val="000000" w:themeColor="text1"/>
          <w:sz w:val="16"/>
          <w:szCs w:val="16"/>
        </w:rPr>
        <w:softHyphen/>
        <w:t>ной установки в горизонтальной плоскости осуществлялось с помощью механизма по</w:t>
      </w:r>
      <w:r w:rsidRPr="00F90EAE">
        <w:rPr>
          <w:color w:val="000000" w:themeColor="text1"/>
          <w:sz w:val="16"/>
          <w:szCs w:val="16"/>
        </w:rPr>
        <w:softHyphen/>
        <w:t>ворота (МПБ), располагавшегося в башне с левой стороны.</w:t>
      </w:r>
    </w:p>
    <w:p w14:paraId="0709D7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стрельбы из пушки применялись 100-мм унитарные выстрелы с бронебойно-трассирующим снарядом БР-412 с взрыва</w:t>
      </w:r>
      <w:r w:rsidRPr="00F90EAE">
        <w:rPr>
          <w:color w:val="000000" w:themeColor="text1"/>
          <w:sz w:val="16"/>
          <w:szCs w:val="16"/>
        </w:rPr>
        <w:softHyphen/>
        <w:t>телями МД-8 и с осколочно-фугасной гра</w:t>
      </w:r>
      <w:r w:rsidRPr="00F90EAE">
        <w:rPr>
          <w:color w:val="000000" w:themeColor="text1"/>
          <w:sz w:val="16"/>
          <w:szCs w:val="16"/>
        </w:rPr>
        <w:softHyphen/>
        <w:t>натой ОФ-412 с взрывателем РГМ. Броне</w:t>
      </w:r>
      <w:r w:rsidRPr="00F90EAE">
        <w:rPr>
          <w:color w:val="000000" w:themeColor="text1"/>
          <w:sz w:val="16"/>
          <w:szCs w:val="16"/>
        </w:rPr>
        <w:softHyphen/>
        <w:t>бойный снаряд массой 15,8 кг, имевший начальную скорость 897 м/с, на дистанции 1000 м пробивал вертикально расположен</w:t>
      </w:r>
      <w:r w:rsidRPr="00F90EAE">
        <w:rPr>
          <w:color w:val="000000" w:themeColor="text1"/>
          <w:sz w:val="16"/>
          <w:szCs w:val="16"/>
        </w:rPr>
        <w:softHyphen/>
        <w:t>ную броневую плиту толщиной 121 мм.</w:t>
      </w:r>
    </w:p>
    <w:p w14:paraId="1F8D35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Броневая защита танка — дифференци</w:t>
      </w:r>
      <w:r w:rsidRPr="00F90EAE">
        <w:rPr>
          <w:color w:val="000000" w:themeColor="text1"/>
          <w:sz w:val="16"/>
          <w:szCs w:val="16"/>
        </w:rPr>
        <w:softHyphen/>
        <w:t>рованная противоснарядная. Конструкция корпуса была аналогична конструкции кор</w:t>
      </w:r>
      <w:r w:rsidRPr="00F90EAE">
        <w:rPr>
          <w:color w:val="000000" w:themeColor="text1"/>
          <w:sz w:val="16"/>
          <w:szCs w:val="16"/>
        </w:rPr>
        <w:softHyphen/>
        <w:t>пуса танка Т-44. Применение днища коры</w:t>
      </w:r>
      <w:r w:rsidRPr="00F90EAE">
        <w:rPr>
          <w:color w:val="000000" w:themeColor="text1"/>
          <w:sz w:val="16"/>
          <w:szCs w:val="16"/>
        </w:rPr>
        <w:softHyphen/>
        <w:t>тообразной формы с отогнутыми вверх кра</w:t>
      </w:r>
      <w:r w:rsidRPr="00F90EAE">
        <w:rPr>
          <w:color w:val="000000" w:themeColor="text1"/>
          <w:sz w:val="16"/>
          <w:szCs w:val="16"/>
        </w:rPr>
        <w:softHyphen/>
        <w:t>ями (реданом) позволило уменьшить высо</w:t>
      </w:r>
      <w:r w:rsidRPr="00F90EAE">
        <w:rPr>
          <w:color w:val="000000" w:themeColor="text1"/>
          <w:sz w:val="16"/>
          <w:szCs w:val="16"/>
        </w:rPr>
        <w:softHyphen/>
        <w:t>ту длинных и толстых бортовых броневых ли</w:t>
      </w:r>
      <w:r w:rsidRPr="00F90EAE">
        <w:rPr>
          <w:color w:val="000000" w:themeColor="text1"/>
          <w:sz w:val="16"/>
          <w:szCs w:val="16"/>
        </w:rPr>
        <w:softHyphen/>
        <w:t>стов корпуса и за счет этого сэкономить бо</w:t>
      </w:r>
      <w:r w:rsidRPr="00F90EAE">
        <w:rPr>
          <w:color w:val="000000" w:themeColor="text1"/>
          <w:sz w:val="16"/>
          <w:szCs w:val="16"/>
        </w:rPr>
        <w:softHyphen/>
        <w:t>лее тонны броневой стали.</w:t>
      </w:r>
    </w:p>
    <w:p w14:paraId="0750B0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Вращающаяся литая башня с диаметром опоры в свету 1800 мм, выполненная по типу башни танка Т-44, была изготовлена из бро</w:t>
      </w:r>
      <w:r w:rsidRPr="00F90EAE">
        <w:rPr>
          <w:color w:val="000000" w:themeColor="text1"/>
          <w:sz w:val="16"/>
          <w:szCs w:val="16"/>
        </w:rPr>
        <w:softHyphen/>
        <w:t>ни 66 АМС с закалкой на среднюю твердость.</w:t>
      </w:r>
    </w:p>
    <w:p w14:paraId="3D8913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Вварная крыша башни изготавливалась из двух катаных броневых листов толщиной 30 мм, сваренных между собой.</w:t>
      </w:r>
    </w:p>
    <w:p w14:paraId="4EBA39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МТО танка перпендикулярно продоль</w:t>
      </w:r>
      <w:r w:rsidRPr="00F90EAE">
        <w:rPr>
          <w:color w:val="000000" w:themeColor="text1"/>
          <w:sz w:val="16"/>
          <w:szCs w:val="16"/>
        </w:rPr>
        <w:softHyphen/>
        <w:t>ной оси корпуса устанавливался У-образный двенадцатицилиндровый четырехтактный бескомпрессорный дизель В-2-44 мощнос</w:t>
      </w:r>
      <w:r w:rsidRPr="00F90EAE">
        <w:rPr>
          <w:color w:val="000000" w:themeColor="text1"/>
          <w:sz w:val="16"/>
          <w:szCs w:val="16"/>
        </w:rPr>
        <w:softHyphen/>
        <w:t>тью 520 л.с. (383 кВт).</w:t>
      </w:r>
    </w:p>
    <w:p w14:paraId="593E95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топливную систему входили четыре топливных бака общей емкостью 520 л. Кро</w:t>
      </w:r>
      <w:r w:rsidRPr="00F90EAE">
        <w:rPr>
          <w:color w:val="000000" w:themeColor="text1"/>
          <w:sz w:val="16"/>
          <w:szCs w:val="16"/>
        </w:rPr>
        <w:softHyphen/>
        <w:t>ме внутренних (основных) топливных баков, снаружи танка на надгусеничных полках ус</w:t>
      </w:r>
      <w:r w:rsidRPr="00F90EAE">
        <w:rPr>
          <w:color w:val="000000" w:themeColor="text1"/>
          <w:sz w:val="16"/>
          <w:szCs w:val="16"/>
        </w:rPr>
        <w:softHyphen/>
        <w:t>танавливались три дополнительных топлив</w:t>
      </w:r>
      <w:r w:rsidRPr="00F90EAE">
        <w:rPr>
          <w:color w:val="000000" w:themeColor="text1"/>
          <w:sz w:val="16"/>
          <w:szCs w:val="16"/>
        </w:rPr>
        <w:softHyphen/>
        <w:t>ных бака емкостью по 50 л каждый. Допол</w:t>
      </w:r>
      <w:r w:rsidRPr="00F90EAE">
        <w:rPr>
          <w:color w:val="000000" w:themeColor="text1"/>
          <w:sz w:val="16"/>
          <w:szCs w:val="16"/>
        </w:rPr>
        <w:softHyphen/>
        <w:t>нительные баки были включены в топливную систему. Запас хода по шоссе с использо</w:t>
      </w:r>
      <w:r w:rsidRPr="00F90EAE">
        <w:rPr>
          <w:color w:val="000000" w:themeColor="text1"/>
          <w:sz w:val="16"/>
          <w:szCs w:val="16"/>
        </w:rPr>
        <w:softHyphen/>
        <w:t>ванием дополнительных топливных баков достигал 300-360 км.</w:t>
      </w:r>
    </w:p>
    <w:p w14:paraId="50FE75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состав трансмиссии входили: вход</w:t>
      </w:r>
      <w:r w:rsidRPr="00F90EAE">
        <w:rPr>
          <w:color w:val="000000" w:themeColor="text1"/>
          <w:sz w:val="16"/>
          <w:szCs w:val="16"/>
        </w:rPr>
        <w:softHyphen/>
        <w:t>ной редуктор (гитара), многодисковый су</w:t>
      </w:r>
      <w:r w:rsidRPr="00F90EAE">
        <w:rPr>
          <w:color w:val="000000" w:themeColor="text1"/>
          <w:sz w:val="16"/>
          <w:szCs w:val="16"/>
        </w:rPr>
        <w:softHyphen/>
        <w:t>хого трения (сталь по стали), главный фрик</w:t>
      </w:r>
      <w:r w:rsidRPr="00F90EAE">
        <w:rPr>
          <w:color w:val="000000" w:themeColor="text1"/>
          <w:sz w:val="16"/>
          <w:szCs w:val="16"/>
        </w:rPr>
        <w:softHyphen/>
        <w:t>цион; треходовая пятиступенчатая короб</w:t>
      </w:r>
      <w:r w:rsidRPr="00F90EAE">
        <w:rPr>
          <w:color w:val="000000" w:themeColor="text1"/>
          <w:sz w:val="16"/>
          <w:szCs w:val="16"/>
        </w:rPr>
        <w:softHyphen/>
        <w:t>ка передач, два многодисковых сухого тре</w:t>
      </w:r>
      <w:r w:rsidRPr="00F90EAE">
        <w:rPr>
          <w:color w:val="000000" w:themeColor="text1"/>
          <w:sz w:val="16"/>
          <w:szCs w:val="16"/>
        </w:rPr>
        <w:softHyphen/>
        <w:t>ния (сталь по стали) бортовых фрикциона; два ленточных (с чугунными накладками) тормоза и два однорядных бортовых редуктора.</w:t>
      </w:r>
    </w:p>
    <w:p w14:paraId="4CE096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Система подрессорива-ния танка состояла из десяти балансиров, десяти торсион</w:t>
      </w:r>
      <w:r w:rsidRPr="00F90EAE">
        <w:rPr>
          <w:color w:val="000000" w:themeColor="text1"/>
          <w:sz w:val="16"/>
          <w:szCs w:val="16"/>
        </w:rPr>
        <w:softHyphen/>
        <w:t>ных валов с углом закрутки 44°, десяти кронштейнов, де</w:t>
      </w:r>
      <w:r w:rsidRPr="00F90EAE">
        <w:rPr>
          <w:color w:val="000000" w:themeColor="text1"/>
          <w:sz w:val="16"/>
          <w:szCs w:val="16"/>
        </w:rPr>
        <w:softHyphen/>
        <w:t>сяти опор балансиров, деся</w:t>
      </w:r>
      <w:r w:rsidRPr="00F90EAE">
        <w:rPr>
          <w:color w:val="000000" w:themeColor="text1"/>
          <w:sz w:val="16"/>
          <w:szCs w:val="16"/>
        </w:rPr>
        <w:softHyphen/>
        <w:t>ти упоров. Балансиры опор</w:t>
      </w:r>
      <w:r w:rsidRPr="00F90EAE">
        <w:rPr>
          <w:color w:val="000000" w:themeColor="text1"/>
          <w:sz w:val="16"/>
          <w:szCs w:val="16"/>
        </w:rPr>
        <w:softHyphen/>
        <w:t>ных катков, в отличие от штам</w:t>
      </w:r>
      <w:r w:rsidRPr="00F90EAE">
        <w:rPr>
          <w:color w:val="000000" w:themeColor="text1"/>
          <w:sz w:val="16"/>
          <w:szCs w:val="16"/>
        </w:rPr>
        <w:softHyphen/>
        <w:t>пованных балансиров танка Т-44, были изготовлены литы</w:t>
      </w:r>
      <w:r w:rsidRPr="00F90EAE">
        <w:rPr>
          <w:color w:val="000000" w:themeColor="text1"/>
          <w:sz w:val="16"/>
          <w:szCs w:val="16"/>
        </w:rPr>
        <w:softHyphen/>
        <w:t>ми, заодно целое с осями ба</w:t>
      </w:r>
      <w:r w:rsidRPr="00F90EAE">
        <w:rPr>
          <w:color w:val="000000" w:themeColor="text1"/>
          <w:sz w:val="16"/>
          <w:szCs w:val="16"/>
        </w:rPr>
        <w:softHyphen/>
        <w:t>лансиров.</w:t>
      </w:r>
    </w:p>
    <w:p w14:paraId="5EE894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Гусеничный движитель с кормовым расположением ведущих колес состоял из двух крупнозвенчатых (шаг трака 172 мм) с гребневым зацеп-</w:t>
      </w:r>
    </w:p>
    <w:p w14:paraId="1B8F82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лением гусениц, двух ведущих колес, деся</w:t>
      </w:r>
      <w:r w:rsidRPr="00F90EAE">
        <w:rPr>
          <w:color w:val="000000" w:themeColor="text1"/>
          <w:sz w:val="16"/>
          <w:szCs w:val="16"/>
        </w:rPr>
        <w:softHyphen/>
        <w:t>ти литых сдвоенных опорных катков с наруж</w:t>
      </w:r>
      <w:r w:rsidRPr="00F90EAE">
        <w:rPr>
          <w:color w:val="000000" w:themeColor="text1"/>
          <w:sz w:val="16"/>
          <w:szCs w:val="16"/>
        </w:rPr>
        <w:softHyphen/>
        <w:t>ной амортизацией (диаметр 830 мм) и двух литых сдвоенных направляю</w:t>
      </w:r>
      <w:r w:rsidRPr="00F90EAE">
        <w:rPr>
          <w:color w:val="000000" w:themeColor="text1"/>
          <w:sz w:val="16"/>
          <w:szCs w:val="16"/>
        </w:rPr>
        <w:softHyphen/>
        <w:t>щих колес (диаметр 500 мм) с механизмами натяжения гусениц (11468).</w:t>
      </w:r>
    </w:p>
    <w:p w14:paraId="6B8E71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2B243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февраля 1945 г. была подготовлена СПРАВКА УС ГАВТУ КА О ВЫДАЧЕ ИМПОРТНЫХ АВТОМАШИН с 1.11.1941 по 1.01.1945 г.</w:t>
      </w:r>
    </w:p>
    <w:tbl>
      <w:tblPr>
        <w:tblW w:w="0" w:type="auto"/>
        <w:tblInd w:w="40" w:type="dxa"/>
        <w:tblLayout w:type="fixed"/>
        <w:tblCellMar>
          <w:left w:w="40" w:type="dxa"/>
          <w:right w:w="40" w:type="dxa"/>
        </w:tblCellMar>
        <w:tblLook w:val="0000" w:firstRow="0" w:lastRow="0" w:firstColumn="0" w:lastColumn="0" w:noHBand="0" w:noVBand="0"/>
      </w:tblPr>
      <w:tblGrid>
        <w:gridCol w:w="576"/>
        <w:gridCol w:w="1642"/>
        <w:gridCol w:w="1066"/>
        <w:gridCol w:w="1056"/>
        <w:gridCol w:w="1056"/>
        <w:gridCol w:w="1056"/>
        <w:gridCol w:w="1056"/>
        <w:gridCol w:w="1056"/>
        <w:gridCol w:w="1085"/>
      </w:tblGrid>
      <w:tr w:rsidR="00561F31" w:rsidRPr="00F90EAE" w14:paraId="6E40CA60" w14:textId="77777777">
        <w:trPr>
          <w:trHeight w:val="422"/>
        </w:trPr>
        <w:tc>
          <w:tcPr>
            <w:tcW w:w="576" w:type="dxa"/>
            <w:tcBorders>
              <w:top w:val="single" w:sz="6" w:space="0" w:color="auto"/>
              <w:left w:val="single" w:sz="6" w:space="0" w:color="auto"/>
              <w:bottom w:val="single" w:sz="6" w:space="0" w:color="auto"/>
              <w:right w:val="single" w:sz="6" w:space="0" w:color="auto"/>
            </w:tcBorders>
          </w:tcPr>
          <w:p w14:paraId="1BCC1C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07C1F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п/п</w:t>
            </w:r>
          </w:p>
          <w:p w14:paraId="34DED8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42AF6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Марки машин</w:t>
            </w:r>
          </w:p>
          <w:p w14:paraId="5F3520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41FF4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год</w:t>
            </w:r>
          </w:p>
          <w:p w14:paraId="2905EF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3B312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год</w:t>
            </w:r>
          </w:p>
          <w:p w14:paraId="67DECE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9AAD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5AC2CA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DDA3A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1 944 год</w:t>
            </w:r>
          </w:p>
          <w:p w14:paraId="37FEB1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E56A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3C21AD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30B71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Возврат НКВТ</w:t>
            </w:r>
          </w:p>
          <w:p w14:paraId="191DA4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4C00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7BC276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06E49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6A0A8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1C6B5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C6BEB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Студебекер</w:t>
            </w:r>
          </w:p>
          <w:p w14:paraId="332B71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4AB31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68E19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7A0F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3798</w:t>
            </w:r>
          </w:p>
          <w:p w14:paraId="79A23B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FD45C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33009</w:t>
            </w:r>
          </w:p>
          <w:p w14:paraId="70E037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C8D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56460</w:t>
            </w:r>
          </w:p>
          <w:p w14:paraId="080FE0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36E7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93271</w:t>
            </w:r>
          </w:p>
          <w:p w14:paraId="294DD7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3FBD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782</w:t>
            </w:r>
          </w:p>
          <w:p w14:paraId="6A457A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7224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94053</w:t>
            </w:r>
          </w:p>
          <w:p w14:paraId="63FF9E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C58EB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01F4E5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2B100D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EB9C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Интернационал</w:t>
            </w:r>
          </w:p>
          <w:p w14:paraId="66EC05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7A07C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DDCE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2554E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838</w:t>
            </w:r>
          </w:p>
          <w:p w14:paraId="1DB22F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7D698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1830</w:t>
            </w:r>
          </w:p>
          <w:p w14:paraId="5E99CF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DCA39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121</w:t>
            </w:r>
          </w:p>
          <w:p w14:paraId="62152F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1C810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2789</w:t>
            </w:r>
          </w:p>
          <w:p w14:paraId="5330E4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B1F1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w:t>
            </w:r>
          </w:p>
          <w:p w14:paraId="667C2C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4B47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2818</w:t>
            </w:r>
          </w:p>
          <w:p w14:paraId="5B01DE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A4F994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2FFE0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6D53DA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4E998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дмс</w:t>
            </w:r>
          </w:p>
          <w:p w14:paraId="508B73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0DFFC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BEA3E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B8B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1343</w:t>
            </w:r>
          </w:p>
          <w:p w14:paraId="729D72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4365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4818</w:t>
            </w:r>
          </w:p>
          <w:p w14:paraId="3D8C5A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88A3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468</w:t>
            </w:r>
          </w:p>
          <w:p w14:paraId="30F017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B8E4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6629</w:t>
            </w:r>
          </w:p>
          <w:p w14:paraId="212C15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40DB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w:t>
            </w:r>
          </w:p>
          <w:p w14:paraId="5A4342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64F6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6698</w:t>
            </w:r>
          </w:p>
          <w:p w14:paraId="795FC6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2BE4F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AB940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FDE9A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9CB40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Шевроле</w:t>
            </w:r>
          </w:p>
          <w:p w14:paraId="2566D8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596E7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94246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9337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2548</w:t>
            </w:r>
          </w:p>
          <w:p w14:paraId="30D38C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EC1FB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12539</w:t>
            </w:r>
          </w:p>
          <w:p w14:paraId="32DCC7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AD24A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25189</w:t>
            </w:r>
          </w:p>
          <w:p w14:paraId="5078C8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4A387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40276</w:t>
            </w:r>
          </w:p>
          <w:p w14:paraId="508342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9CB4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54CA27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620C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40288</w:t>
            </w:r>
          </w:p>
          <w:p w14:paraId="4E8516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8F06C3D"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39F9D1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3FDE71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3C74D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Форд-6</w:t>
            </w:r>
          </w:p>
          <w:p w14:paraId="200269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79094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0A2FD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7D541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7518</w:t>
            </w:r>
          </w:p>
          <w:p w14:paraId="3B4AA1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171D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16684</w:t>
            </w:r>
          </w:p>
          <w:p w14:paraId="46C67C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7A2DC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30551</w:t>
            </w:r>
          </w:p>
          <w:p w14:paraId="4DECDF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55C3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54753</w:t>
            </w:r>
          </w:p>
          <w:p w14:paraId="5C4791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B27A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w:t>
            </w:r>
          </w:p>
          <w:p w14:paraId="1A0272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AED01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54795</w:t>
            </w:r>
          </w:p>
          <w:p w14:paraId="215A1B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E732236"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A7523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5AEEE9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8D11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Додж1,5тн.</w:t>
            </w:r>
          </w:p>
          <w:p w14:paraId="30D6F1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1067A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0A38D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D7C44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7854</w:t>
            </w:r>
          </w:p>
          <w:p w14:paraId="7363AB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A770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1658</w:t>
            </w:r>
          </w:p>
          <w:p w14:paraId="1F8306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A84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p w14:paraId="42C7C0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3A9F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9564</w:t>
            </w:r>
          </w:p>
          <w:p w14:paraId="5805F2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73BB6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48D097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55BA6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9567</w:t>
            </w:r>
          </w:p>
          <w:p w14:paraId="281EBE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AA86D3"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61F445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731103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6ECFD7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Додж 3/4 тн.</w:t>
            </w:r>
          </w:p>
          <w:p w14:paraId="36971C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E21E8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5DDBE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6EB34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83C67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054CC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3919</w:t>
            </w:r>
          </w:p>
          <w:p w14:paraId="10481C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97F6B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127+10639</w:t>
            </w:r>
          </w:p>
          <w:p w14:paraId="683FDF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67CA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127+14558</w:t>
            </w:r>
          </w:p>
          <w:p w14:paraId="29CA85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738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06D2F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7CA3E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127+14558</w:t>
            </w:r>
          </w:p>
          <w:p w14:paraId="64C452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67DF7E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5B0337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257504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52AB0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Додж 3 тн.</w:t>
            </w:r>
          </w:p>
          <w:p w14:paraId="21D48A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1C266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DC73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448D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5FC6D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F477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632</w:t>
            </w:r>
          </w:p>
          <w:p w14:paraId="609F90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47072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622</w:t>
            </w:r>
          </w:p>
          <w:p w14:paraId="48E2BB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D3595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1254</w:t>
            </w:r>
          </w:p>
          <w:p w14:paraId="4BA342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13B06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449</w:t>
            </w:r>
          </w:p>
          <w:p w14:paraId="606B0E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61A20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1703</w:t>
            </w:r>
          </w:p>
          <w:p w14:paraId="335D89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6407B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99C9A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17E6FA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32F57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Виллис</w:t>
            </w:r>
          </w:p>
          <w:p w14:paraId="1A3E52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3F4A9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C25E9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88B3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5278</w:t>
            </w:r>
          </w:p>
          <w:p w14:paraId="385819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DD6A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12276</w:t>
            </w:r>
          </w:p>
          <w:p w14:paraId="173924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6457D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17016</w:t>
            </w:r>
          </w:p>
          <w:p w14:paraId="32FCC2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5BC3E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34570</w:t>
            </w:r>
          </w:p>
          <w:p w14:paraId="41BB1D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275D2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3D0ACE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A0B2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34584</w:t>
            </w:r>
          </w:p>
          <w:p w14:paraId="49F86C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F92F65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4A8885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72760B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359DD6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Форд-английский</w:t>
            </w:r>
          </w:p>
          <w:p w14:paraId="034A55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5AEAF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97FE2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20E4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359</w:t>
            </w:r>
          </w:p>
          <w:p w14:paraId="4ADD60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D06C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572</w:t>
            </w:r>
          </w:p>
          <w:p w14:paraId="3BEFD7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B1814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p w14:paraId="65D5B7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E212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991</w:t>
            </w:r>
          </w:p>
          <w:p w14:paraId="45EE31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DE8B8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40BCE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40062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991</w:t>
            </w:r>
          </w:p>
          <w:p w14:paraId="6DCCA9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C4BAC0A"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4009A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w:t>
            </w:r>
          </w:p>
          <w:p w14:paraId="462E64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CD1B1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Мастерские</w:t>
            </w:r>
          </w:p>
          <w:p w14:paraId="1387EE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60DB8A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14C31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2407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w:t>
            </w:r>
          </w:p>
          <w:p w14:paraId="584907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B70A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7D2252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8D685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261</w:t>
            </w:r>
          </w:p>
          <w:p w14:paraId="48C11F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3D850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403</w:t>
            </w:r>
          </w:p>
          <w:p w14:paraId="0CA6B3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32B0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DAD3B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DB91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403</w:t>
            </w:r>
          </w:p>
          <w:p w14:paraId="1764AC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01BEF24"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4E13B3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64CFAF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0E9575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Разные и краны</w:t>
            </w:r>
          </w:p>
          <w:p w14:paraId="16D6C2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E8CD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2E01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072A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w:t>
            </w:r>
          </w:p>
          <w:p w14:paraId="7EF555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4DCE3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2063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A9B90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краны</w:t>
            </w:r>
          </w:p>
          <w:p w14:paraId="3CFF82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4331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кр. 43</w:t>
            </w:r>
          </w:p>
          <w:p w14:paraId="79D990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A8C96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E783A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6618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w:t>
            </w:r>
          </w:p>
          <w:p w14:paraId="08CA9D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BAD748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2AB218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w:t>
            </w:r>
          </w:p>
          <w:p w14:paraId="0D51EB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1AC208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Бедфорд</w:t>
            </w:r>
          </w:p>
          <w:p w14:paraId="20C9DD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B4F78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w:t>
            </w:r>
          </w:p>
          <w:p w14:paraId="32DA8D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58244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1106</w:t>
            </w:r>
          </w:p>
          <w:p w14:paraId="71988E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9AEC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6751B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5AC17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61221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0915C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1138</w:t>
            </w:r>
          </w:p>
          <w:p w14:paraId="63A8B1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9AB44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A6E72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28C0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1138</w:t>
            </w:r>
          </w:p>
          <w:p w14:paraId="28756B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D1AFAAE"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85BE5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486E78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11134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Форд-Мармон</w:t>
            </w:r>
          </w:p>
          <w:p w14:paraId="1C1E55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2B447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158</w:t>
            </w:r>
          </w:p>
          <w:p w14:paraId="692021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0C249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315</w:t>
            </w:r>
          </w:p>
          <w:p w14:paraId="0889B8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68AC2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45F83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3317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МАК1</w:t>
            </w:r>
          </w:p>
          <w:p w14:paraId="761F7F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7E05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МАК 473</w:t>
            </w:r>
          </w:p>
          <w:p w14:paraId="4AAD50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5E34E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C4621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7064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474</w:t>
            </w:r>
          </w:p>
          <w:p w14:paraId="07DC64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5F0986C"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7F0FA4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162A75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75D923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Остин</w:t>
            </w:r>
          </w:p>
          <w:p w14:paraId="263D67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CAAF3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w:t>
            </w:r>
          </w:p>
          <w:p w14:paraId="655D6E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C5C21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w:t>
            </w:r>
          </w:p>
          <w:p w14:paraId="0578AD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1A5C5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F880F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1B92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75F0E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4AF95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491</w:t>
            </w:r>
          </w:p>
          <w:p w14:paraId="5F0E43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13C7E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8C6B0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963BA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491</w:t>
            </w:r>
          </w:p>
          <w:p w14:paraId="51EC01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71114E0" w14:textId="77777777">
        <w:trPr>
          <w:trHeight w:val="211"/>
        </w:trPr>
        <w:tc>
          <w:tcPr>
            <w:tcW w:w="576" w:type="dxa"/>
            <w:tcBorders>
              <w:top w:val="single" w:sz="6" w:space="0" w:color="auto"/>
              <w:left w:val="single" w:sz="6" w:space="0" w:color="auto"/>
              <w:bottom w:val="single" w:sz="6" w:space="0" w:color="auto"/>
              <w:right w:val="single" w:sz="6" w:space="0" w:color="auto"/>
            </w:tcBorders>
          </w:tcPr>
          <w:p w14:paraId="5A1465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w:t>
            </w:r>
          </w:p>
          <w:p w14:paraId="5B8648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9A0B2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Бантам</w:t>
            </w:r>
          </w:p>
          <w:p w14:paraId="34F29B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5A44F1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F32C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8F09E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477</w:t>
            </w:r>
          </w:p>
          <w:p w14:paraId="11F0A9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8A6FB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18FC92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C79FD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5F0354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C576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530</w:t>
            </w:r>
          </w:p>
          <w:p w14:paraId="3B4F6C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10439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11AE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36E2D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530</w:t>
            </w:r>
          </w:p>
          <w:p w14:paraId="54D554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72D5812"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055AA0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w:t>
            </w:r>
          </w:p>
          <w:p w14:paraId="00D01B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4ACA11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Трайлер</w:t>
            </w:r>
          </w:p>
          <w:p w14:paraId="450988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19B87A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53164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62E4BF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C9DBC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A660A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7BCC6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301B48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w:t>
            </w:r>
          </w:p>
          <w:p w14:paraId="21C0DD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008B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w:t>
            </w:r>
          </w:p>
          <w:p w14:paraId="52ED90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CD2B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w:t>
            </w:r>
          </w:p>
          <w:p w14:paraId="200BE0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B4C9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427</w:t>
            </w:r>
          </w:p>
          <w:p w14:paraId="6CA594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11FD6C5" w14:textId="77777777">
        <w:trPr>
          <w:trHeight w:val="202"/>
        </w:trPr>
        <w:tc>
          <w:tcPr>
            <w:tcW w:w="576" w:type="dxa"/>
            <w:tcBorders>
              <w:top w:val="single" w:sz="6" w:space="0" w:color="auto"/>
              <w:left w:val="single" w:sz="6" w:space="0" w:color="auto"/>
              <w:bottom w:val="single" w:sz="6" w:space="0" w:color="auto"/>
              <w:right w:val="single" w:sz="6" w:space="0" w:color="auto"/>
            </w:tcBorders>
          </w:tcPr>
          <w:p w14:paraId="11986E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p w14:paraId="1FD3F4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215E51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Амфибия</w:t>
            </w:r>
          </w:p>
          <w:p w14:paraId="3A7B1E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045C1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F0F6E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E0098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7EBBA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296AC0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F6655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3E303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1549</w:t>
            </w:r>
          </w:p>
          <w:p w14:paraId="0711C1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F4370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1550</w:t>
            </w:r>
          </w:p>
          <w:p w14:paraId="6950A7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62CB9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CCBFA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5A00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1550</w:t>
            </w:r>
          </w:p>
          <w:p w14:paraId="7FC484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C5D962C" w14:textId="77777777">
        <w:trPr>
          <w:trHeight w:val="221"/>
        </w:trPr>
        <w:tc>
          <w:tcPr>
            <w:tcW w:w="576" w:type="dxa"/>
            <w:tcBorders>
              <w:top w:val="single" w:sz="6" w:space="0" w:color="auto"/>
              <w:left w:val="single" w:sz="6" w:space="0" w:color="auto"/>
              <w:bottom w:val="single" w:sz="6" w:space="0" w:color="auto"/>
              <w:right w:val="single" w:sz="6" w:space="0" w:color="auto"/>
            </w:tcBorders>
          </w:tcPr>
          <w:p w14:paraId="2D7F20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1166A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42" w:type="dxa"/>
            <w:tcBorders>
              <w:top w:val="single" w:sz="6" w:space="0" w:color="auto"/>
              <w:left w:val="single" w:sz="6" w:space="0" w:color="auto"/>
              <w:bottom w:val="single" w:sz="6" w:space="0" w:color="auto"/>
              <w:right w:val="single" w:sz="6" w:space="0" w:color="auto"/>
            </w:tcBorders>
          </w:tcPr>
          <w:p w14:paraId="540A9E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3677D7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E9538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385</w:t>
            </w:r>
          </w:p>
          <w:p w14:paraId="2D9DDA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BCFB7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31830</w:t>
            </w:r>
          </w:p>
          <w:p w14:paraId="0ABE56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30C39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88114</w:t>
            </w:r>
          </w:p>
          <w:p w14:paraId="470292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48AA36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143328</w:t>
            </w:r>
          </w:p>
          <w:p w14:paraId="44F59E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1DD15E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263 657</w:t>
            </w:r>
          </w:p>
          <w:p w14:paraId="04139F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FE46B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1608</w:t>
            </w:r>
          </w:p>
          <w:p w14:paraId="78F19D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83A01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265 265</w:t>
            </w:r>
          </w:p>
          <w:p w14:paraId="146907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4D56E7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4 отдела УС ГАВТУ КА инженер-подполковник Лебедев</w:t>
      </w:r>
    </w:p>
    <w:p w14:paraId="19EDD2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Инженер по учету Платонова</w:t>
      </w:r>
    </w:p>
    <w:p w14:paraId="53AAA5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11593. Д. 220. Л. 42. Подлинник (11420).</w:t>
      </w:r>
    </w:p>
    <w:p w14:paraId="54916B33" w14:textId="77777777" w:rsidR="00665165" w:rsidRPr="00F90EAE" w:rsidRDefault="00665165" w:rsidP="00F90EAE">
      <w:pPr>
        <w:autoSpaceDE w:val="0"/>
        <w:autoSpaceDN w:val="0"/>
        <w:adjustRightInd w:val="0"/>
        <w:jc w:val="both"/>
        <w:rPr>
          <w:color w:val="000000" w:themeColor="text1"/>
          <w:sz w:val="16"/>
          <w:szCs w:val="16"/>
        </w:rPr>
      </w:pPr>
    </w:p>
    <w:p w14:paraId="69CA68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февраля 1945 вышло Распоряжение ГКО № 7573 [О выделении бензина для строительства № 500 в Комсомольске-на-Амуре.] (7310, 20).</w:t>
      </w:r>
    </w:p>
    <w:p w14:paraId="150A9E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363D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февраля 1945 вышло Распоряжение ГКО № 7574. О поставках лесоматериалов для предприятий НКрыбкома. РГАНИР, Фонд ГКО, д. 373, лл. 21-22, 23 (11012).</w:t>
      </w:r>
    </w:p>
    <w:p w14:paraId="37799BA3" w14:textId="77777777" w:rsidR="00665165" w:rsidRPr="00F90EAE" w:rsidRDefault="00665165" w:rsidP="00F90EAE">
      <w:pPr>
        <w:autoSpaceDE w:val="0"/>
        <w:autoSpaceDN w:val="0"/>
        <w:adjustRightInd w:val="0"/>
        <w:jc w:val="both"/>
        <w:rPr>
          <w:color w:val="000000" w:themeColor="text1"/>
          <w:sz w:val="16"/>
          <w:szCs w:val="16"/>
        </w:rPr>
      </w:pPr>
    </w:p>
    <w:p w14:paraId="4F547F9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февраля 1945 вышло Постановление ГКО № 7575 О Керченском железнодорожном мосте. (7310, 24-26).</w:t>
      </w:r>
    </w:p>
    <w:p w14:paraId="77AF0F8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1F49C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февраля 1945 вышло Распоряжение ГКО № 7576. О передаче турбины для Брестской электростанции. РГАНИР, Фонд ГКО, д. 373, лл. 27 (11012).</w:t>
      </w:r>
    </w:p>
    <w:p w14:paraId="702B1D1E" w14:textId="77777777" w:rsidR="00665165" w:rsidRPr="00F90EAE" w:rsidRDefault="00665165" w:rsidP="00F90EAE">
      <w:pPr>
        <w:autoSpaceDE w:val="0"/>
        <w:autoSpaceDN w:val="0"/>
        <w:adjustRightInd w:val="0"/>
        <w:jc w:val="both"/>
        <w:rPr>
          <w:color w:val="000000" w:themeColor="text1"/>
          <w:sz w:val="16"/>
          <w:szCs w:val="16"/>
        </w:rPr>
      </w:pPr>
    </w:p>
    <w:p w14:paraId="4108EF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февраля 1945 вышло Распоряжение ГКО № 7577. О продлении до 1 мая 1945 г. срока работы военнообязанных 1927 г. рождения на лесозаготовках для Москвы. РГАНИР, Фонд ГКО, д. 373, лл. 28 (11012).</w:t>
      </w:r>
    </w:p>
    <w:p w14:paraId="0ED129ED" w14:textId="77777777" w:rsidR="00665165" w:rsidRPr="00F90EAE" w:rsidRDefault="00665165" w:rsidP="00F90EAE">
      <w:pPr>
        <w:autoSpaceDE w:val="0"/>
        <w:autoSpaceDN w:val="0"/>
        <w:adjustRightInd w:val="0"/>
        <w:jc w:val="both"/>
        <w:rPr>
          <w:color w:val="000000" w:themeColor="text1"/>
          <w:sz w:val="16"/>
          <w:szCs w:val="16"/>
        </w:rPr>
      </w:pPr>
    </w:p>
    <w:p w14:paraId="094231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B7100FE" w14:textId="77777777" w:rsidR="00665165" w:rsidRPr="00F90EAE" w:rsidRDefault="00665165" w:rsidP="00F90EAE">
      <w:pPr>
        <w:autoSpaceDE w:val="0"/>
        <w:autoSpaceDN w:val="0"/>
        <w:adjustRightInd w:val="0"/>
        <w:jc w:val="both"/>
        <w:rPr>
          <w:iCs/>
          <w:color w:val="000000" w:themeColor="text1"/>
          <w:sz w:val="16"/>
          <w:szCs w:val="16"/>
        </w:rPr>
      </w:pPr>
    </w:p>
    <w:p w14:paraId="493FEAC9" w14:textId="77777777" w:rsidR="00D92245" w:rsidRPr="00F90EAE" w:rsidRDefault="00D92245" w:rsidP="00F90EAE">
      <w:pPr>
        <w:jc w:val="both"/>
        <w:rPr>
          <w:color w:val="000000" w:themeColor="text1"/>
          <w:sz w:val="16"/>
          <w:szCs w:val="16"/>
        </w:rPr>
      </w:pPr>
      <w:r w:rsidRPr="00F90EAE">
        <w:rPr>
          <w:bCs/>
          <w:color w:val="000000" w:themeColor="text1"/>
          <w:sz w:val="16"/>
          <w:szCs w:val="16"/>
        </w:rPr>
        <w:t>22 февраля</w:t>
      </w:r>
      <w:r w:rsidRPr="00F90EAE">
        <w:rPr>
          <w:color w:val="000000" w:themeColor="text1"/>
          <w:sz w:val="16"/>
          <w:szCs w:val="16"/>
        </w:rPr>
        <w:t xml:space="preserve"> в 1945 году оперативная сводка Совинформбюро:</w:t>
      </w:r>
    </w:p>
    <w:p w14:paraId="341F0B0B" w14:textId="77777777" w:rsidR="00D92245" w:rsidRPr="00F90EAE" w:rsidRDefault="00D92245" w:rsidP="00F90EAE">
      <w:pPr>
        <w:jc w:val="both"/>
        <w:rPr>
          <w:color w:val="000000" w:themeColor="text1"/>
          <w:sz w:val="16"/>
          <w:szCs w:val="16"/>
        </w:rPr>
      </w:pPr>
      <w:r w:rsidRPr="00F90EAE">
        <w:rPr>
          <w:color w:val="000000" w:themeColor="text1"/>
          <w:sz w:val="16"/>
          <w:szCs w:val="16"/>
        </w:rPr>
        <w:t xml:space="preserve">«В течение 22 февраля на Земландском полуострове западнее Кенигсберга наши войска отбивали атаки крупных сил пехоты и танков противника. Ценой больших потерь в живой силе и технике противнику удалось потеснить наши части от северного побережья Кенигсбергской бухты. Одновременно юго-западнее Кенигсберга наши войска вели бои по уничтожению Восточно-Прусской группировки противника и, сжимая кольцо окружения, овладели городом Цинтен и населёнными </w:t>
      </w:r>
      <w:r w:rsidRPr="00F90EAE">
        <w:rPr>
          <w:color w:val="000000" w:themeColor="text1"/>
          <w:sz w:val="16"/>
          <w:szCs w:val="16"/>
        </w:rPr>
        <w:lastRenderedPageBreak/>
        <w:t>пунктами Зарген, Пальтен, Киршинен, Борманнсхоф, Плясвих. В трёхдневных боях —с 13 по 21 февраля—западнее Кенигсберга нашими войсками уничтожено 86 немецких танков и самоходных орудий, 76 орудий, 160 пулемётов и свыше 300 автомашин. Противник потерял только убитыми более 8.000 солдат и офицеров.</w:t>
      </w:r>
    </w:p>
    <w:p w14:paraId="25F77FA9" w14:textId="77777777" w:rsidR="00D92245" w:rsidRPr="00F90EAE" w:rsidRDefault="00D92245" w:rsidP="00F90EAE">
      <w:pPr>
        <w:jc w:val="both"/>
        <w:rPr>
          <w:color w:val="000000" w:themeColor="text1"/>
          <w:sz w:val="16"/>
          <w:szCs w:val="16"/>
        </w:rPr>
      </w:pPr>
      <w:r w:rsidRPr="00F90EAE">
        <w:rPr>
          <w:color w:val="000000" w:themeColor="text1"/>
          <w:sz w:val="16"/>
          <w:szCs w:val="16"/>
        </w:rPr>
        <w:t>Южнее Данцига наши войска в результате наступательных боёв овладели населёнными пунктами Гоголево, Кенигсвальде, Барлошно, Глуха, Вальддорф, Крампкен, Лонг, Гуттовитц, Риттель. За 21 февраля в этом районе наши войска взяли в плен более 500 немецких солдат и офицеров и захватили следующие трофеи: самоходных орудий — 5, полевых орудий — 55, бронетранспортёров — 24.</w:t>
      </w:r>
    </w:p>
    <w:p w14:paraId="22E947FE" w14:textId="77777777" w:rsidR="00D92245" w:rsidRPr="00F90EAE" w:rsidRDefault="00D92245" w:rsidP="00F90EAE">
      <w:pPr>
        <w:jc w:val="both"/>
        <w:rPr>
          <w:color w:val="000000" w:themeColor="text1"/>
          <w:sz w:val="16"/>
          <w:szCs w:val="16"/>
        </w:rPr>
      </w:pPr>
      <w:r w:rsidRPr="00F90EAE">
        <w:rPr>
          <w:color w:val="000000" w:themeColor="text1"/>
          <w:sz w:val="16"/>
          <w:szCs w:val="16"/>
        </w:rPr>
        <w:t>В Познани продолжались бои по уничтожению гарнизона противника, удерживающего Цитадель.</w:t>
      </w:r>
    </w:p>
    <w:p w14:paraId="6A7BADB1" w14:textId="77777777" w:rsidR="00D92245" w:rsidRPr="00F90EAE" w:rsidRDefault="00D92245" w:rsidP="00F90EAE">
      <w:pPr>
        <w:jc w:val="both"/>
        <w:rPr>
          <w:color w:val="000000" w:themeColor="text1"/>
          <w:sz w:val="16"/>
          <w:szCs w:val="16"/>
        </w:rPr>
      </w:pPr>
      <w:r w:rsidRPr="00F90EAE">
        <w:rPr>
          <w:color w:val="000000" w:themeColor="text1"/>
          <w:sz w:val="16"/>
          <w:szCs w:val="16"/>
        </w:rPr>
        <w:t>В провинции Бранденбург южнее города Губен наши войска вышли на реку Нейсе, заняв при этом более 60 населённых пунктов, среди которых крупные населённые пункты Шенкендорф, Маркерсдорф, Штрега, Тейплитц, Трибель, Гросс Зэрхен, Тепферштадт, Дубрау. В лесах юго-восточнее города Губен наши войска ликвидировали окружённую группу противника численностью до 2.000 солдат и офицеров, при этом взяты в плен командиры боевых групп полковник Хенш и полковник Лендейнар.</w:t>
      </w:r>
    </w:p>
    <w:p w14:paraId="25C35803" w14:textId="77777777" w:rsidR="00D92245" w:rsidRPr="00F90EAE" w:rsidRDefault="00D92245" w:rsidP="00F90EAE">
      <w:pPr>
        <w:jc w:val="both"/>
        <w:rPr>
          <w:color w:val="000000" w:themeColor="text1"/>
          <w:sz w:val="16"/>
          <w:szCs w:val="16"/>
        </w:rPr>
      </w:pPr>
      <w:r w:rsidRPr="00F90EAE">
        <w:rPr>
          <w:color w:val="000000" w:themeColor="text1"/>
          <w:sz w:val="16"/>
          <w:szCs w:val="16"/>
        </w:rPr>
        <w:t>В районе Бреслау наши войска вели бои по уничтожению окружённой в городе группировки противника, в ходе которых заняли пригороды Бреслау—Мазельвитц, Критерн, Гюнерн, Зимсдорф.</w:t>
      </w:r>
    </w:p>
    <w:p w14:paraId="52143678" w14:textId="77777777" w:rsidR="00D92245" w:rsidRPr="00F90EAE" w:rsidRDefault="00D92245" w:rsidP="00F90EAE">
      <w:pPr>
        <w:jc w:val="both"/>
        <w:rPr>
          <w:color w:val="000000" w:themeColor="text1"/>
          <w:sz w:val="16"/>
          <w:szCs w:val="16"/>
        </w:rPr>
      </w:pPr>
      <w:r w:rsidRPr="00F90EAE">
        <w:rPr>
          <w:color w:val="000000" w:themeColor="text1"/>
          <w:sz w:val="16"/>
          <w:szCs w:val="16"/>
        </w:rPr>
        <w:t>На северном берегу Дуная восточнее города Комарно наши войска отбивали атаки крупных сил пехоты и танков противника. В боях за 21 февраля в этом районе подбито и уничтожено 40 немецких танков и самоходных орудий.</w:t>
      </w:r>
    </w:p>
    <w:p w14:paraId="6C7A6917" w14:textId="77777777" w:rsidR="00D92245" w:rsidRPr="00F90EAE" w:rsidRDefault="00D9224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F1E8CD8" w14:textId="77777777" w:rsidR="00D92245" w:rsidRPr="00F90EAE" w:rsidRDefault="00D92245" w:rsidP="00F90EAE">
      <w:pPr>
        <w:jc w:val="both"/>
        <w:rPr>
          <w:color w:val="000000" w:themeColor="text1"/>
          <w:sz w:val="16"/>
          <w:szCs w:val="16"/>
        </w:rPr>
      </w:pPr>
      <w:r w:rsidRPr="00F90EAE">
        <w:rPr>
          <w:color w:val="000000" w:themeColor="text1"/>
          <w:sz w:val="16"/>
          <w:szCs w:val="16"/>
        </w:rPr>
        <w:t>За 21 февраля на всех фронтах подбито и уничтожено 198 немецких танков. В воздушных боях и огнём зенитной артиллерии сбито 80 самолётов противника.</w:t>
      </w:r>
    </w:p>
    <w:p w14:paraId="420E0D1D" w14:textId="77777777" w:rsidR="00D92245" w:rsidRPr="00F90EAE" w:rsidRDefault="00D92245" w:rsidP="00F90EAE">
      <w:pPr>
        <w:jc w:val="both"/>
        <w:rPr>
          <w:color w:val="000000" w:themeColor="text1"/>
          <w:sz w:val="16"/>
          <w:szCs w:val="16"/>
        </w:rPr>
      </w:pPr>
      <w:r w:rsidRPr="00F90EAE">
        <w:rPr>
          <w:color w:val="000000" w:themeColor="text1"/>
          <w:sz w:val="16"/>
          <w:szCs w:val="16"/>
        </w:rPr>
        <w:t>Массированный налёт нашей авиации на военные объекты противника в городах Кенигсберг и Братислава</w:t>
      </w:r>
    </w:p>
    <w:p w14:paraId="3019F8CA" w14:textId="77777777" w:rsidR="00D92245" w:rsidRPr="00F90EAE" w:rsidRDefault="00D92245" w:rsidP="00F90EAE">
      <w:pPr>
        <w:jc w:val="both"/>
        <w:rPr>
          <w:color w:val="000000" w:themeColor="text1"/>
          <w:sz w:val="16"/>
          <w:szCs w:val="16"/>
        </w:rPr>
      </w:pPr>
      <w:r w:rsidRPr="00F90EAE">
        <w:rPr>
          <w:color w:val="000000" w:themeColor="text1"/>
          <w:sz w:val="16"/>
          <w:szCs w:val="16"/>
        </w:rPr>
        <w:t>В ночь на 22 февраля наши тяжёлые бомбардировщики нанесли массированный удар по военно-промышленным объектам противника в городе Кенигсберге. В результате бомбардировки возникло свыше 40 пожаров, сопровождавшиеся взрывами большой силы. Наблюдением отмечены пожары на территории машиностроительного и газового заводов.</w:t>
      </w:r>
    </w:p>
    <w:p w14:paraId="6F6A1C65" w14:textId="77777777" w:rsidR="00D92245" w:rsidRPr="00F90EAE" w:rsidRDefault="00D92245" w:rsidP="00F90EAE">
      <w:pPr>
        <w:jc w:val="both"/>
        <w:rPr>
          <w:color w:val="000000" w:themeColor="text1"/>
          <w:sz w:val="16"/>
          <w:szCs w:val="16"/>
        </w:rPr>
      </w:pPr>
      <w:r w:rsidRPr="00F90EAE">
        <w:rPr>
          <w:color w:val="000000" w:themeColor="text1"/>
          <w:sz w:val="16"/>
          <w:szCs w:val="16"/>
        </w:rPr>
        <w:t>В эту же ночь наша авиация бомбардировала военно-промышленные объекты противника в чехословацком городе Братислава. Бомбардировкой вызваны пожары, среди которых произошло несколько сильных взрывов.</w:t>
      </w:r>
    </w:p>
    <w:p w14:paraId="54D045AD" w14:textId="77777777" w:rsidR="00D92245" w:rsidRPr="00F90EAE" w:rsidRDefault="00D92245" w:rsidP="00F90EAE">
      <w:pPr>
        <w:jc w:val="both"/>
        <w:rPr>
          <w:color w:val="000000" w:themeColor="text1"/>
          <w:sz w:val="16"/>
          <w:szCs w:val="16"/>
        </w:rPr>
      </w:pPr>
      <w:r w:rsidRPr="00F90EAE">
        <w:rPr>
          <w:color w:val="000000" w:themeColor="text1"/>
          <w:sz w:val="16"/>
          <w:szCs w:val="16"/>
        </w:rPr>
        <w:t>Юго-западнее города Кенигсберг наши войска вели бои по ликвидации Восточно-Прусской группировки противника. Ожесточённые бои происходили в районе города Цинтен. Немцы превратили этот город в мощный опорный пункт своей обороны. Они построили железобетонные доты, отрыли глубокие противотанковые рвы, а на высотах, окружающих Цинтен, сосредоточили свыше 80 артиллерийских и миномётных батареи. Советские части предприняли обходный манёвр с севера, переправились через реку Штрадик и перерезали все дороги, ведущие из города на запад. Другие наши части ворвались в Цинтен с юго-востока. Завязались унарные уличные бои. Немцы много раз переходили в контратаки, но под ударами наших подразделений откатывались назад. Сегодня наши войска разгромили вражеский гарнизон и очистим город от немцев. В боях за Цинтен уничтожено до 4 тысяч солдат и офицеров противника, 41 танк, 10 бронетранспортёров и 60 орудий. Захвачено у немцев 40 орудий, 108 пулеметов и другие трофеи. Взято в плен 520 немцев.Южнее города Данциг наши войска продолжали наступление. Лесные массивы, большое число озёр и речек затрудняют действия советских частей. Используя удобную для обороны местность, немцы укрепили населённые пункты, а на перекрёстках дорог построили узлы сопротивления с дотами и дзотами. Части Н-ского соединения сегодня вели упорные бои за населённый пункт и железнодорожную станцию Лонг, находящиеся у пересечения двух железных дорог. Наши бойцы сломили вражеское сопротивление и штурмом заняли Лонг. Противник оставил на поле боя 400 трупов своих солдат и офицеров. Подбито 9 немецких танков и 2 бронетранспортёра. На другом участке наши войска с боями продвинулись вперёд на 10 километров и выбили немцев из нескольких сильно укреплённых населённых пунктов.</w:t>
      </w:r>
    </w:p>
    <w:p w14:paraId="550DE8C5" w14:textId="77777777" w:rsidR="00D92245" w:rsidRPr="00F90EAE" w:rsidRDefault="00D92245" w:rsidP="00F90EAE">
      <w:pPr>
        <w:jc w:val="both"/>
        <w:rPr>
          <w:color w:val="000000" w:themeColor="text1"/>
          <w:sz w:val="16"/>
          <w:szCs w:val="16"/>
        </w:rPr>
      </w:pPr>
      <w:r w:rsidRPr="00F90EAE">
        <w:rPr>
          <w:color w:val="000000" w:themeColor="text1"/>
          <w:sz w:val="16"/>
          <w:szCs w:val="16"/>
        </w:rPr>
        <w:t>В Познани наши войска вели бои по уничтожению немецкого гарнизона, засевшего в Цитадели. Советские штурмовые отряды очистили от немцев земляной вал, опоясывающий Цитадель с юга, и с помощью лестниц и штурмовых мостиков преодолели ров. Затем наши бойцы устремились в брешь, пробитую артиллерией в крепостной стене, и овладели одним зданием. Захвачено в плен 360 солдат и 13 немецких офицеров.</w:t>
      </w:r>
    </w:p>
    <w:p w14:paraId="11A7AF20" w14:textId="77777777" w:rsidR="00D92245" w:rsidRPr="00F90EAE" w:rsidRDefault="00D92245" w:rsidP="00F90EAE">
      <w:pPr>
        <w:jc w:val="both"/>
        <w:rPr>
          <w:color w:val="000000" w:themeColor="text1"/>
          <w:sz w:val="16"/>
          <w:szCs w:val="16"/>
        </w:rPr>
      </w:pPr>
      <w:r w:rsidRPr="00F90EAE">
        <w:rPr>
          <w:color w:val="000000" w:themeColor="text1"/>
          <w:sz w:val="16"/>
          <w:szCs w:val="16"/>
        </w:rPr>
        <w:t>В провинции Бранденбург южнее города Губен наши войска, с боями продвигаясь вперёд, на широком фронте вышли к реке Нейсе. Занято селение Шенкендорф, находящееся в трёх километраж южнее Губана. Немцы выбиты также из населённого пункта Штрега, расположенного в шести километрах к северу от города Форст. Подразделения Н-ской части прижали к реке батальон пехоты противника. Большая часть гитлеровцев уничтожена, а остальные взяты в плен. За день боёв на разных участках подбито и сожжено 3-8 немецких танков и самоходных орудий. Захвачены большие трофеи.» (15048).</w:t>
      </w:r>
    </w:p>
    <w:p w14:paraId="68F62521" w14:textId="77777777" w:rsidR="00D92245" w:rsidRPr="00F90EAE" w:rsidRDefault="00D92245" w:rsidP="00F90EAE">
      <w:pPr>
        <w:jc w:val="both"/>
        <w:rPr>
          <w:color w:val="000000" w:themeColor="text1"/>
          <w:sz w:val="16"/>
          <w:szCs w:val="16"/>
        </w:rPr>
      </w:pPr>
    </w:p>
    <w:p w14:paraId="45FB60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февраля 1945 г. во время воздушного налета немецкой авиации на переправы через р. Одер у насе</w:t>
      </w:r>
      <w:r w:rsidRPr="00F90EAE">
        <w:rPr>
          <w:color w:val="000000" w:themeColor="text1"/>
          <w:sz w:val="16"/>
          <w:szCs w:val="16"/>
        </w:rPr>
        <w:softHyphen/>
        <w:t>ленного пункта Ауритц с самолетов Не-111 были запущены две бомбы-плане</w:t>
      </w:r>
      <w:r w:rsidRPr="00F90EAE">
        <w:rPr>
          <w:color w:val="000000" w:themeColor="text1"/>
          <w:sz w:val="16"/>
          <w:szCs w:val="16"/>
        </w:rPr>
        <w:softHyphen/>
        <w:t>ры, подвешенные под фюзеляжем бом</w:t>
      </w:r>
      <w:r w:rsidRPr="00F90EAE">
        <w:rPr>
          <w:color w:val="000000" w:themeColor="text1"/>
          <w:sz w:val="16"/>
          <w:szCs w:val="16"/>
        </w:rPr>
        <w:softHyphen/>
        <w:t>бардировщиков. В момент отделения у них включились маршевые двигате</w:t>
      </w:r>
      <w:r w:rsidRPr="00F90EAE">
        <w:rPr>
          <w:color w:val="000000" w:themeColor="text1"/>
          <w:sz w:val="16"/>
          <w:szCs w:val="16"/>
        </w:rPr>
        <w:softHyphen/>
        <w:t>ли, после чего они перешли в пикиро</w:t>
      </w:r>
      <w:r w:rsidRPr="00F90EAE">
        <w:rPr>
          <w:color w:val="000000" w:themeColor="text1"/>
          <w:sz w:val="16"/>
          <w:szCs w:val="16"/>
        </w:rPr>
        <w:softHyphen/>
        <w:t>вание на цель под углом 60-70°. Одна из бомб угодила в каменный дом, раз</w:t>
      </w:r>
      <w:r w:rsidRPr="00F90EAE">
        <w:rPr>
          <w:color w:val="000000" w:themeColor="text1"/>
          <w:sz w:val="16"/>
          <w:szCs w:val="16"/>
        </w:rPr>
        <w:softHyphen/>
        <w:t>рушив его до основания. В этот же день аналогичной бом</w:t>
      </w:r>
      <w:r w:rsidRPr="00F90EAE">
        <w:rPr>
          <w:color w:val="000000" w:themeColor="text1"/>
          <w:sz w:val="16"/>
          <w:szCs w:val="16"/>
        </w:rPr>
        <w:softHyphen/>
        <w:t>бардировке подверглась другая пере</w:t>
      </w:r>
      <w:r w:rsidRPr="00F90EAE">
        <w:rPr>
          <w:color w:val="000000" w:themeColor="text1"/>
          <w:sz w:val="16"/>
          <w:szCs w:val="16"/>
        </w:rPr>
        <w:softHyphen/>
        <w:t>права в районе фольварка Одер-Форверк. В результате воздушного удара (5 бомб-планеров) мост получил зна</w:t>
      </w:r>
      <w:r w:rsidRPr="00F90EAE">
        <w:rPr>
          <w:color w:val="000000" w:themeColor="text1"/>
          <w:sz w:val="16"/>
          <w:szCs w:val="16"/>
        </w:rPr>
        <w:softHyphen/>
        <w:t>чительные разрушения. О мощности БП говорит тот факт, что воронка пос</w:t>
      </w:r>
      <w:r w:rsidRPr="00F90EAE">
        <w:rPr>
          <w:color w:val="000000" w:themeColor="text1"/>
          <w:sz w:val="16"/>
          <w:szCs w:val="16"/>
        </w:rPr>
        <w:softHyphen/>
        <w:t>ле взрыва имела размеры 17 м в диа</w:t>
      </w:r>
      <w:r w:rsidRPr="00F90EAE">
        <w:rPr>
          <w:color w:val="000000" w:themeColor="text1"/>
          <w:sz w:val="16"/>
          <w:szCs w:val="16"/>
        </w:rPr>
        <w:softHyphen/>
        <w:t>метре и 5 м в глубину. В дальнейшем были отмечены еще 3 воздушных налета на переправы че</w:t>
      </w:r>
      <w:r w:rsidRPr="00F90EAE">
        <w:rPr>
          <w:color w:val="000000" w:themeColor="text1"/>
          <w:sz w:val="16"/>
          <w:szCs w:val="16"/>
        </w:rPr>
        <w:softHyphen/>
        <w:t>рез Одер (25 февраля, 6 и 13 марта 1945 г.), в ходе которых было запуще</w:t>
      </w:r>
      <w:r w:rsidRPr="00F90EAE">
        <w:rPr>
          <w:color w:val="000000" w:themeColor="text1"/>
          <w:sz w:val="16"/>
          <w:szCs w:val="16"/>
        </w:rPr>
        <w:softHyphen/>
        <w:t>но 13 БП, причинивших инженерным сооружениям большие разрушения. Использование на советско-герман</w:t>
      </w:r>
      <w:r w:rsidRPr="00F90EAE">
        <w:rPr>
          <w:color w:val="000000" w:themeColor="text1"/>
          <w:sz w:val="16"/>
          <w:szCs w:val="16"/>
        </w:rPr>
        <w:softHyphen/>
        <w:t>ском фронте нового вида оружия было отмечено в директиве командующего артиллерией Красной Армии главного маршала артиллерии Н.Н.Воронова, в которой в частности указывалось: «Немцы начали применять против объектов наших войск и тыла бомбы-планеры Хеншель-293... Учитывая воз</w:t>
      </w:r>
      <w:r w:rsidRPr="00F90EAE">
        <w:rPr>
          <w:color w:val="000000" w:themeColor="text1"/>
          <w:sz w:val="16"/>
          <w:szCs w:val="16"/>
        </w:rPr>
        <w:softHyphen/>
        <w:t>можность применения бомб-планеров в глубоком тылу... предусмотреть организацию обороны важнейших объектов, обратив особое внимание на обеспечение обороны важнейших железнодорожных мостов на коммуни</w:t>
      </w:r>
      <w:r w:rsidRPr="00F90EAE">
        <w:rPr>
          <w:color w:val="000000" w:themeColor="text1"/>
          <w:sz w:val="16"/>
          <w:szCs w:val="16"/>
        </w:rPr>
        <w:softHyphen/>
        <w:t>кациях линейных фронтов... Истреби</w:t>
      </w:r>
      <w:r w:rsidRPr="00F90EAE">
        <w:rPr>
          <w:color w:val="000000" w:themeColor="text1"/>
          <w:sz w:val="16"/>
          <w:szCs w:val="16"/>
        </w:rPr>
        <w:softHyphen/>
        <w:t>тельная авиация должна быть исполь</w:t>
      </w:r>
      <w:r w:rsidRPr="00F90EAE">
        <w:rPr>
          <w:color w:val="000000" w:themeColor="text1"/>
          <w:sz w:val="16"/>
          <w:szCs w:val="16"/>
        </w:rPr>
        <w:softHyphen/>
        <w:t>зована как основное средство борьбы с самолетами-буксировщиками на подступах к обороняемому объекту. Кроме борьбы с самолетами-буксиров</w:t>
      </w:r>
      <w:r w:rsidRPr="00F90EAE">
        <w:rPr>
          <w:color w:val="000000" w:themeColor="text1"/>
          <w:sz w:val="16"/>
          <w:szCs w:val="16"/>
        </w:rPr>
        <w:softHyphen/>
        <w:t>щиками на истребительную авиацию возложить задачу уничтожения бомб-планеров, сброшенных с буксировщи</w:t>
      </w:r>
      <w:r w:rsidRPr="00F90EAE">
        <w:rPr>
          <w:color w:val="000000" w:themeColor="text1"/>
          <w:sz w:val="16"/>
          <w:szCs w:val="16"/>
        </w:rPr>
        <w:softHyphen/>
        <w:t>ков, до перехода бомб в крутое пики</w:t>
      </w:r>
      <w:r w:rsidRPr="00F90EAE">
        <w:rPr>
          <w:color w:val="000000" w:themeColor="text1"/>
          <w:sz w:val="16"/>
          <w:szCs w:val="16"/>
        </w:rPr>
        <w:softHyphen/>
        <w:t>рование. Зенитная артиллерия и зе</w:t>
      </w:r>
      <w:r w:rsidRPr="00F90EAE">
        <w:rPr>
          <w:color w:val="000000" w:themeColor="text1"/>
          <w:sz w:val="16"/>
          <w:szCs w:val="16"/>
        </w:rPr>
        <w:softHyphen/>
        <w:t>нитные пулеметы должны уничтожать самолеты-буксировщики и бомбы-пла</w:t>
      </w:r>
      <w:r w:rsidRPr="00F90EAE">
        <w:rPr>
          <w:color w:val="000000" w:themeColor="text1"/>
          <w:sz w:val="16"/>
          <w:szCs w:val="16"/>
        </w:rPr>
        <w:softHyphen/>
        <w:t>неры в зонах своего огня...». К дирек</w:t>
      </w:r>
      <w:r w:rsidRPr="00F90EAE">
        <w:rPr>
          <w:color w:val="000000" w:themeColor="text1"/>
          <w:sz w:val="16"/>
          <w:szCs w:val="16"/>
        </w:rPr>
        <w:softHyphen/>
        <w:t>тиве прилагалась справка с кратким описанием немецких радиоуправляе</w:t>
      </w:r>
      <w:r w:rsidRPr="00F90EAE">
        <w:rPr>
          <w:color w:val="000000" w:themeColor="text1"/>
          <w:sz w:val="16"/>
          <w:szCs w:val="16"/>
        </w:rPr>
        <w:softHyphen/>
        <w:t>мых бомб-планеров. В ней же приве</w:t>
      </w:r>
      <w:r w:rsidRPr="00F90EAE">
        <w:rPr>
          <w:color w:val="000000" w:themeColor="text1"/>
          <w:sz w:val="16"/>
          <w:szCs w:val="16"/>
        </w:rPr>
        <w:softHyphen/>
        <w:t>дены примеры применения бомб-пла</w:t>
      </w:r>
      <w:r w:rsidRPr="00F90EAE">
        <w:rPr>
          <w:color w:val="000000" w:themeColor="text1"/>
          <w:sz w:val="16"/>
          <w:szCs w:val="16"/>
        </w:rPr>
        <w:softHyphen/>
        <w:t>неров в августе-сентябре 1944 г. про</w:t>
      </w:r>
      <w:r w:rsidRPr="00F90EAE">
        <w:rPr>
          <w:color w:val="000000" w:themeColor="text1"/>
          <w:sz w:val="16"/>
          <w:szCs w:val="16"/>
        </w:rPr>
        <w:softHyphen/>
        <w:t>тив наземных целей войск союзников в Северной Франции, а также по пе</w:t>
      </w:r>
      <w:r w:rsidRPr="00F90EAE">
        <w:rPr>
          <w:color w:val="000000" w:themeColor="text1"/>
          <w:sz w:val="16"/>
          <w:szCs w:val="16"/>
        </w:rPr>
        <w:softHyphen/>
        <w:t>реправам через р. Одер в полосе 1-го Белорусского фронта 22 и 25 фев</w:t>
      </w:r>
      <w:r w:rsidRPr="00F90EAE">
        <w:rPr>
          <w:color w:val="000000" w:themeColor="text1"/>
          <w:sz w:val="16"/>
          <w:szCs w:val="16"/>
        </w:rPr>
        <w:softHyphen/>
        <w:t>раля 1945 г. (10791).</w:t>
      </w:r>
    </w:p>
    <w:p w14:paraId="57A905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45799D" w14:textId="77777777" w:rsidR="00D92245" w:rsidRPr="00F90EAE" w:rsidRDefault="00D92245" w:rsidP="00F90EAE">
      <w:pPr>
        <w:jc w:val="both"/>
        <w:rPr>
          <w:color w:val="000000" w:themeColor="text1"/>
          <w:sz w:val="16"/>
          <w:szCs w:val="16"/>
        </w:rPr>
      </w:pPr>
      <w:r w:rsidRPr="00F90EAE">
        <w:rPr>
          <w:bCs/>
          <w:color w:val="000000" w:themeColor="text1"/>
          <w:sz w:val="16"/>
          <w:szCs w:val="16"/>
        </w:rPr>
        <w:t>22 февраля</w:t>
      </w:r>
      <w:r w:rsidRPr="00F90EAE">
        <w:rPr>
          <w:color w:val="000000" w:themeColor="text1"/>
          <w:sz w:val="16"/>
          <w:szCs w:val="16"/>
        </w:rPr>
        <w:t xml:space="preserve"> в 1945 году </w:t>
      </w:r>
      <w:hyperlink r:id="rId45" w:tgtFrame="_blank" w:history="1">
        <w:r w:rsidRPr="00F90EAE">
          <w:rPr>
            <w:color w:val="000000" w:themeColor="text1"/>
            <w:sz w:val="16"/>
            <w:szCs w:val="16"/>
          </w:rPr>
          <w:t xml:space="preserve">применение немецких планирующих бомб </w:t>
        </w:r>
      </w:hyperlink>
      <w:r w:rsidRPr="00F90EAE">
        <w:rPr>
          <w:color w:val="000000" w:themeColor="text1"/>
          <w:sz w:val="16"/>
          <w:szCs w:val="16"/>
        </w:rPr>
        <w:t>на советско-германском фронте. Бомбометание с самолётов «Не-111» по советским переправам через реку Одер. Предпринятые 200-й бомбардировочной эскадрой, в которую влились остатки 36-го испытательного командования, попытки применить на советско-германском фронте для разрушения мостов не имела успеха (15048).</w:t>
      </w:r>
    </w:p>
    <w:p w14:paraId="26573BA7" w14:textId="77777777" w:rsidR="00D92245" w:rsidRPr="00F90EAE" w:rsidRDefault="00D92245" w:rsidP="00F90EAE">
      <w:pPr>
        <w:jc w:val="both"/>
        <w:rPr>
          <w:color w:val="000000" w:themeColor="text1"/>
          <w:sz w:val="16"/>
          <w:szCs w:val="16"/>
        </w:rPr>
      </w:pPr>
    </w:p>
    <w:p w14:paraId="517266A4" w14:textId="77777777" w:rsidR="00580BC7" w:rsidRPr="00F90EAE" w:rsidRDefault="00580BC7" w:rsidP="00F90EAE">
      <w:pPr>
        <w:jc w:val="both"/>
        <w:rPr>
          <w:color w:val="0070C0"/>
          <w:sz w:val="16"/>
          <w:szCs w:val="16"/>
        </w:rPr>
      </w:pPr>
      <w:r w:rsidRPr="00F90EAE">
        <w:rPr>
          <w:color w:val="0070C0"/>
          <w:sz w:val="16"/>
          <w:szCs w:val="16"/>
        </w:rPr>
        <w:t>22 февраля 1945 - Первое применение немецких планирующих бомб на советско-германском фронте. Бомбометание с самолётов Не-111 по советским переправам через реку Одер (22590).</w:t>
      </w:r>
    </w:p>
    <w:p w14:paraId="2CD876B3" w14:textId="77777777" w:rsidR="00580BC7" w:rsidRPr="00F90EAE" w:rsidRDefault="00580BC7" w:rsidP="00F90EAE">
      <w:pPr>
        <w:jc w:val="both"/>
        <w:rPr>
          <w:color w:val="0070C0"/>
          <w:sz w:val="16"/>
          <w:szCs w:val="16"/>
        </w:rPr>
      </w:pPr>
    </w:p>
    <w:p w14:paraId="7B98314F" w14:textId="77777777" w:rsidR="004945E9" w:rsidRPr="00F90EAE" w:rsidRDefault="004945E9" w:rsidP="00F90EAE">
      <w:pPr>
        <w:jc w:val="both"/>
        <w:rPr>
          <w:color w:val="000000" w:themeColor="text1"/>
          <w:sz w:val="16"/>
          <w:szCs w:val="16"/>
        </w:rPr>
      </w:pPr>
      <w:r w:rsidRPr="00F90EAE">
        <w:rPr>
          <w:color w:val="000000" w:themeColor="text1"/>
          <w:sz w:val="16"/>
          <w:szCs w:val="16"/>
        </w:rPr>
        <w:t>22-23 февраля 1945 года в Чехословакии, у населенного пункта Барт взвод Т-34-85 гвардии младшего лейтенанта Ивана Депутатова из 36-й гвардейской танковой бригады 4-го гвардейского мехкорпуса за два дня боев уничтожил 26 немецких танков. При этом два танка взвода были подбиты в первый же день, и 23 февраля оборону держал Т-34-85 Депутатова (12217).</w:t>
      </w:r>
    </w:p>
    <w:p w14:paraId="18A89405" w14:textId="77777777" w:rsidR="004945E9" w:rsidRPr="00F90EAE" w:rsidRDefault="004945E9" w:rsidP="00F90EAE">
      <w:pPr>
        <w:jc w:val="both"/>
        <w:rPr>
          <w:color w:val="000000" w:themeColor="text1"/>
          <w:sz w:val="16"/>
          <w:szCs w:val="16"/>
        </w:rPr>
      </w:pPr>
    </w:p>
    <w:p w14:paraId="1643421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D4AF74C" w14:textId="77777777" w:rsidR="00665165" w:rsidRPr="00F90EAE" w:rsidRDefault="00665165" w:rsidP="00F90EAE">
      <w:pPr>
        <w:autoSpaceDE w:val="0"/>
        <w:autoSpaceDN w:val="0"/>
        <w:adjustRightInd w:val="0"/>
        <w:jc w:val="both"/>
        <w:rPr>
          <w:iCs/>
          <w:color w:val="000000" w:themeColor="text1"/>
          <w:sz w:val="16"/>
          <w:szCs w:val="16"/>
        </w:rPr>
      </w:pPr>
    </w:p>
    <w:p w14:paraId="2FFDE60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февраля 1945 Совнарком СССР принял решение о строительстве метро в Киеве (4962).</w:t>
      </w:r>
    </w:p>
    <w:p w14:paraId="3A6E054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9CCC51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FB0DBF8" w14:textId="77777777" w:rsidR="00665165" w:rsidRPr="00F90EAE" w:rsidRDefault="00665165" w:rsidP="00F90EAE">
      <w:pPr>
        <w:autoSpaceDE w:val="0"/>
        <w:autoSpaceDN w:val="0"/>
        <w:adjustRightInd w:val="0"/>
        <w:jc w:val="both"/>
        <w:rPr>
          <w:iCs/>
          <w:color w:val="000000" w:themeColor="text1"/>
          <w:sz w:val="16"/>
          <w:szCs w:val="16"/>
        </w:rPr>
      </w:pPr>
    </w:p>
    <w:p w14:paraId="2EF374D0" w14:textId="77777777" w:rsidR="00D92245" w:rsidRPr="00F90EAE" w:rsidRDefault="00D92245" w:rsidP="00F90EAE">
      <w:pPr>
        <w:jc w:val="both"/>
        <w:rPr>
          <w:color w:val="000000" w:themeColor="text1"/>
          <w:sz w:val="16"/>
          <w:szCs w:val="16"/>
        </w:rPr>
      </w:pPr>
      <w:r w:rsidRPr="00F90EAE">
        <w:rPr>
          <w:bCs/>
          <w:color w:val="000000" w:themeColor="text1"/>
          <w:sz w:val="16"/>
          <w:szCs w:val="16"/>
        </w:rPr>
        <w:t>22 февраля</w:t>
      </w:r>
      <w:r w:rsidRPr="00F90EAE">
        <w:rPr>
          <w:color w:val="000000" w:themeColor="text1"/>
          <w:sz w:val="16"/>
          <w:szCs w:val="16"/>
        </w:rPr>
        <w:t xml:space="preserve"> в 1945 году венгерский истребитель «MAVAG» «Hejja II» («V6+09») потерпел аварию во время учебного полета. Это был последний экземпляр (из 191 экземпляра) итало-венгерского истребителя «Hejja II», аналога итальянского «Re.2000» (15048).</w:t>
      </w:r>
    </w:p>
    <w:p w14:paraId="4CD5207C" w14:textId="77777777" w:rsidR="00D92245" w:rsidRPr="00F90EAE" w:rsidRDefault="00D92245" w:rsidP="00F90EAE">
      <w:pPr>
        <w:jc w:val="both"/>
        <w:rPr>
          <w:color w:val="000000" w:themeColor="text1"/>
          <w:sz w:val="16"/>
          <w:szCs w:val="16"/>
        </w:rPr>
      </w:pPr>
    </w:p>
    <w:p w14:paraId="7ADBCDF8" w14:textId="77777777" w:rsidR="00580BC7" w:rsidRPr="00F90EAE" w:rsidRDefault="00580BC7" w:rsidP="00F90EAE">
      <w:pPr>
        <w:jc w:val="both"/>
        <w:rPr>
          <w:color w:val="0070C0"/>
          <w:sz w:val="16"/>
          <w:szCs w:val="16"/>
        </w:rPr>
      </w:pPr>
      <w:r w:rsidRPr="00F90EAE">
        <w:rPr>
          <w:color w:val="0070C0"/>
          <w:sz w:val="16"/>
          <w:szCs w:val="16"/>
        </w:rPr>
        <w:t>22 февраля 1945 союзники запускают операцию «Кларион» - 24-часовую кампанию, в ходе которой около 9000 самолетов союзников атакубт цели по всей Германии, пытаясь уничтожить все доступные транспортные средства. Цели включали железнодорожные сортировочные станции, железнодорожные переезды и сигнальные посты, мосты, шлюзы каналов и другую транспортную инфраструктуру (20371).</w:t>
      </w:r>
    </w:p>
    <w:p w14:paraId="5D799356" w14:textId="77777777" w:rsidR="00580BC7" w:rsidRPr="00F90EAE" w:rsidRDefault="00580BC7" w:rsidP="00F90EAE">
      <w:pPr>
        <w:jc w:val="both"/>
        <w:rPr>
          <w:color w:val="0070C0"/>
          <w:sz w:val="16"/>
          <w:szCs w:val="16"/>
        </w:rPr>
      </w:pPr>
    </w:p>
    <w:p w14:paraId="274C157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февраля 1945 американские войска форсировали реку Саар (4962).</w:t>
      </w:r>
    </w:p>
    <w:p w14:paraId="2CE0E0C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A1B3A7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февраля 1945 Уругвай объявил войну Германии и Японии (4962).</w:t>
      </w:r>
    </w:p>
    <w:p w14:paraId="119F6FE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C93D37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E2570ED" w14:textId="77777777" w:rsidR="00665165" w:rsidRPr="00F90EAE" w:rsidRDefault="00665165" w:rsidP="00F90EAE">
      <w:pPr>
        <w:autoSpaceDE w:val="0"/>
        <w:autoSpaceDN w:val="0"/>
        <w:adjustRightInd w:val="0"/>
        <w:jc w:val="both"/>
        <w:rPr>
          <w:iCs/>
          <w:color w:val="000000" w:themeColor="text1"/>
          <w:sz w:val="16"/>
          <w:szCs w:val="16"/>
        </w:rPr>
      </w:pPr>
    </w:p>
    <w:p w14:paraId="3D69FA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г., благополучно завершив полную программу переучивания на штурмовик Ил-10, 108-й гшап на следующий день убыл в полном составе (43 самолета Ил-10 производства заводов № 1 и № 18 1-й, 2-й, 3-й и 4-й серий с АМ-42 с винтом АВ-5л-24) в действующую армию на 1 -и Украинский фронт в состав 2-й ВА (7489).</w:t>
      </w:r>
    </w:p>
    <w:p w14:paraId="25A8E4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целью ускорения перебазирования полка инженеры и техники летели вместо стрелков и самостоятельно готовили машины на всех промежуточных аэродромах, что было далеко не просто ввиду наступившей весенней распутицы, захватившей большинство аэродромов по пути следования полка.</w:t>
      </w:r>
    </w:p>
    <w:p w14:paraId="5B49A765" w14:textId="77777777" w:rsidR="00665165" w:rsidRPr="00F90EAE" w:rsidRDefault="00665165" w:rsidP="00F90EAE">
      <w:pPr>
        <w:autoSpaceDE w:val="0"/>
        <w:autoSpaceDN w:val="0"/>
        <w:adjustRightInd w:val="0"/>
        <w:jc w:val="both"/>
        <w:rPr>
          <w:iCs/>
          <w:color w:val="000000" w:themeColor="text1"/>
          <w:sz w:val="16"/>
          <w:szCs w:val="16"/>
        </w:rPr>
      </w:pPr>
    </w:p>
    <w:p w14:paraId="33A7AB5A"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С 22 по 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Отчет по испытаниям утвержден 12 марта заместителем начальника института генерал-лейтенантом М. В. Гуревичем.</w:t>
      </w:r>
    </w:p>
    <w:p w14:paraId="4265777C"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49A59714"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70A1BB98"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к линии горизонта. Угол поля зрения при удалении глаза летчика от окуляра 30 мм равнялся 23°, увеличение - 1 крат, диаметр объектива - 40 мм, вынос плоскости визирования относительно центра окуляра - 680 мм. Габариты прицела с выдвинутой окулярной частью составляли 750х152х120 мм. Вес прицела - 4,5 кг.</w:t>
      </w:r>
    </w:p>
    <w:p w14:paraId="07A6B48D"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2169424B"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5E20EC25"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30102A6C"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7738490C"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45574D11"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1345AD2"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108CF55F"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0AADF124" w14:textId="77777777" w:rsidR="00911035" w:rsidRPr="00F90EAE" w:rsidRDefault="00911035" w:rsidP="00F90EAE">
      <w:pPr>
        <w:jc w:val="both"/>
        <w:rPr>
          <w:color w:val="000000" w:themeColor="text1"/>
          <w:sz w:val="16"/>
          <w:szCs w:val="16"/>
        </w:rPr>
      </w:pPr>
      <w:r w:rsidRPr="00F90EAE">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4E08AB53" w14:textId="77777777" w:rsidR="00911035" w:rsidRPr="00F90EAE" w:rsidRDefault="0091103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DA1604D" w14:textId="77777777" w:rsidR="00911035" w:rsidRPr="00F90EAE" w:rsidRDefault="00911035" w:rsidP="00F90EAE">
      <w:pPr>
        <w:jc w:val="both"/>
        <w:rPr>
          <w:rStyle w:val="107"/>
          <w:rFonts w:eastAsiaTheme="minorHAnsi"/>
          <w:color w:val="000000" w:themeColor="text1"/>
          <w:sz w:val="16"/>
          <w:szCs w:val="16"/>
        </w:rPr>
      </w:pPr>
    </w:p>
    <w:p w14:paraId="72F838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закончились гос. испытания Ту-2 М-82ФН N 16/7 23 завода с винтом АВ-5В-21А, которые проходили с 18 октября 1944 (824).</w:t>
      </w:r>
    </w:p>
    <w:p w14:paraId="37AD86FD" w14:textId="77777777" w:rsidR="00665165" w:rsidRPr="00F90EAE" w:rsidRDefault="00665165" w:rsidP="00F90EAE">
      <w:pPr>
        <w:autoSpaceDE w:val="0"/>
        <w:autoSpaceDN w:val="0"/>
        <w:adjustRightInd w:val="0"/>
        <w:jc w:val="both"/>
        <w:rPr>
          <w:color w:val="000000" w:themeColor="text1"/>
          <w:sz w:val="16"/>
          <w:szCs w:val="16"/>
        </w:rPr>
      </w:pPr>
    </w:p>
    <w:p w14:paraId="17206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года завершились госиспытания Ту-2 и в заключение Акта по результатам государственных испытаний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503A81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6F78C8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7BFE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НИИ ВВС по результатам испытаний десяти самолетов отмечалось, в частности:</w:t>
      </w:r>
    </w:p>
    <w:p w14:paraId="681AA8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характеристики модифицированных Ту-2 соответствуют техническим условиям на их поставку ВВС.</w:t>
      </w:r>
    </w:p>
    <w:p w14:paraId="61C5F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03B8557E" w14:textId="77777777" w:rsidR="00665165" w:rsidRPr="00F90EAE" w:rsidRDefault="00665165" w:rsidP="00F90EAE">
      <w:pPr>
        <w:autoSpaceDE w:val="0"/>
        <w:autoSpaceDN w:val="0"/>
        <w:adjustRightInd w:val="0"/>
        <w:jc w:val="both"/>
        <w:rPr>
          <w:color w:val="000000" w:themeColor="text1"/>
          <w:sz w:val="16"/>
          <w:szCs w:val="16"/>
        </w:rPr>
      </w:pPr>
    </w:p>
    <w:p w14:paraId="51B46D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февраля 1945 по 3 мая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11DEB5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27F113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668D83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DFBD9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21D46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B7442BB" w14:textId="77777777" w:rsidR="00665165" w:rsidRPr="00F90EAE" w:rsidRDefault="00665165" w:rsidP="00F90EAE">
      <w:pPr>
        <w:autoSpaceDE w:val="0"/>
        <w:autoSpaceDN w:val="0"/>
        <w:adjustRightInd w:val="0"/>
        <w:jc w:val="both"/>
        <w:rPr>
          <w:color w:val="000000" w:themeColor="text1"/>
          <w:sz w:val="16"/>
          <w:szCs w:val="16"/>
        </w:rPr>
      </w:pPr>
    </w:p>
    <w:p w14:paraId="6630F27F" w14:textId="77777777" w:rsidR="00D92245" w:rsidRPr="00F90EAE" w:rsidRDefault="00D92245" w:rsidP="00F90EAE">
      <w:pPr>
        <w:jc w:val="both"/>
        <w:rPr>
          <w:color w:val="000000" w:themeColor="text1"/>
          <w:sz w:val="16"/>
          <w:szCs w:val="16"/>
        </w:rPr>
      </w:pPr>
      <w:r w:rsidRPr="00F90EAE">
        <w:rPr>
          <w:color w:val="000000" w:themeColor="text1"/>
          <w:sz w:val="16"/>
          <w:szCs w:val="16"/>
        </w:rPr>
        <w:t>С 23 февраля по 3 мая 1945 г. лётчик-испытатель С.Н. Анохин совершил на Як-3 с ВК-105ПД и двухступенчатым нагнетателем Э-100, с передаточным числом 9,72 18 полётов. Из-за ненормальной работы мотора испытания ча</w:t>
      </w:r>
      <w:r w:rsidRPr="00F90EAE">
        <w:rPr>
          <w:color w:val="000000" w:themeColor="text1"/>
          <w:sz w:val="16"/>
          <w:szCs w:val="16"/>
        </w:rPr>
        <w:softHyphen/>
        <w:t>сто приходилось прерывать, а 14 мая полёты с этим мотором пришлось прекратить со</w:t>
      </w:r>
      <w:r w:rsidRPr="00F90EAE">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7ED3E7FF" w14:textId="77777777" w:rsidR="00D92245" w:rsidRPr="00F90EAE" w:rsidRDefault="00D92245" w:rsidP="00F90EAE">
      <w:pPr>
        <w:jc w:val="both"/>
        <w:rPr>
          <w:color w:val="000000" w:themeColor="text1"/>
          <w:sz w:val="16"/>
          <w:szCs w:val="16"/>
        </w:rPr>
      </w:pPr>
      <w:r w:rsidRPr="00F90EAE">
        <w:rPr>
          <w:color w:val="000000" w:themeColor="text1"/>
          <w:sz w:val="16"/>
          <w:szCs w:val="16"/>
        </w:rPr>
        <w:t>Ощущения И.И. Шунейко в том полёте очень образно описал И.И. Шелест:</w:t>
      </w:r>
    </w:p>
    <w:p w14:paraId="22781720" w14:textId="77777777" w:rsidR="00D92245" w:rsidRPr="00F90EAE" w:rsidRDefault="00D92245" w:rsidP="00F90EAE">
      <w:pPr>
        <w:jc w:val="both"/>
        <w:rPr>
          <w:color w:val="000000" w:themeColor="text1"/>
          <w:sz w:val="16"/>
          <w:szCs w:val="16"/>
        </w:rPr>
      </w:pPr>
      <w:r w:rsidRPr="00F90EAE">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F90EAE">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741BF945" w14:textId="77777777" w:rsidR="00D92245" w:rsidRPr="00F90EAE" w:rsidRDefault="00D92245" w:rsidP="00F90EAE">
      <w:pPr>
        <w:jc w:val="both"/>
        <w:rPr>
          <w:color w:val="000000" w:themeColor="text1"/>
          <w:sz w:val="16"/>
          <w:szCs w:val="16"/>
        </w:rPr>
      </w:pPr>
      <w:r w:rsidRPr="00F90EAE">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F90EAE">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7036B351" w14:textId="77777777" w:rsidR="00D92245" w:rsidRPr="00F90EAE" w:rsidRDefault="00D92245" w:rsidP="00F90EAE">
      <w:pPr>
        <w:jc w:val="both"/>
        <w:rPr>
          <w:color w:val="000000" w:themeColor="text1"/>
          <w:sz w:val="16"/>
          <w:szCs w:val="16"/>
        </w:rPr>
      </w:pPr>
      <w:r w:rsidRPr="00F90EAE">
        <w:rPr>
          <w:color w:val="000000" w:themeColor="text1"/>
          <w:sz w:val="16"/>
          <w:szCs w:val="16"/>
        </w:rPr>
        <w:t>«Видно, это будет наш общий потолок — и мотора и мой, — продолжал свою заме</w:t>
      </w:r>
      <w:r w:rsidRPr="00F90EAE">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D8A0FF3" w14:textId="77777777" w:rsidR="00D92245" w:rsidRPr="00F90EAE" w:rsidRDefault="00D92245" w:rsidP="00F90EAE">
      <w:pPr>
        <w:jc w:val="both"/>
        <w:rPr>
          <w:color w:val="000000" w:themeColor="text1"/>
          <w:sz w:val="16"/>
          <w:szCs w:val="16"/>
        </w:rPr>
      </w:pPr>
      <w:r w:rsidRPr="00F90EAE">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F90EAE">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3492E247" w14:textId="77777777" w:rsidR="00D92245" w:rsidRPr="00F90EAE" w:rsidRDefault="00D92245" w:rsidP="00F90EAE">
      <w:pPr>
        <w:jc w:val="both"/>
        <w:rPr>
          <w:color w:val="000000" w:themeColor="text1"/>
          <w:sz w:val="16"/>
          <w:szCs w:val="16"/>
        </w:rPr>
      </w:pPr>
      <w:r w:rsidRPr="00F90EAE">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F90EAE">
        <w:rPr>
          <w:color w:val="000000" w:themeColor="text1"/>
          <w:sz w:val="16"/>
          <w:szCs w:val="16"/>
        </w:rPr>
        <w:softHyphen/>
        <w:t>лной грудью. И с этим вздохом в душу его влетела некая птица дотоле неведомой вели</w:t>
      </w:r>
      <w:r w:rsidRPr="00F90EAE">
        <w:rPr>
          <w:color w:val="000000" w:themeColor="text1"/>
          <w:sz w:val="16"/>
          <w:szCs w:val="16"/>
        </w:rPr>
        <w:softHyphen/>
        <w:t>кой радости. Он понял, что</w:t>
      </w:r>
      <w:r w:rsidRPr="00F90EAE">
        <w:rPr>
          <w:rStyle w:val="MSReferenceSansSerif85pt"/>
          <w:rFonts w:ascii="Times New Roman" w:hAnsi="Times New Roman" w:cs="Times New Roman"/>
          <w:b w:val="0"/>
          <w:i w:val="0"/>
          <w:color w:val="000000" w:themeColor="text1"/>
          <w:sz w:val="16"/>
          <w:szCs w:val="16"/>
        </w:rPr>
        <w:t xml:space="preserve"> этот день его.</w:t>
      </w:r>
      <w:r w:rsidRPr="00F90EAE">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01FF8128" w14:textId="77777777" w:rsidR="00D92245" w:rsidRPr="00F90EAE" w:rsidRDefault="00D92245" w:rsidP="00F90EAE">
      <w:pPr>
        <w:jc w:val="both"/>
        <w:rPr>
          <w:color w:val="000000" w:themeColor="text1"/>
          <w:sz w:val="16"/>
          <w:szCs w:val="16"/>
        </w:rPr>
      </w:pPr>
      <w:r w:rsidRPr="00F90EAE">
        <w:rPr>
          <w:color w:val="000000" w:themeColor="text1"/>
          <w:sz w:val="16"/>
          <w:szCs w:val="16"/>
        </w:rPr>
        <w:t>Впоследствии начальник лётной части ЛИИ Даниил Степанович Зосим, сам инже</w:t>
      </w:r>
      <w:r w:rsidRPr="00F90EAE">
        <w:rPr>
          <w:color w:val="000000" w:themeColor="text1"/>
          <w:sz w:val="16"/>
          <w:szCs w:val="16"/>
        </w:rPr>
        <w:softHyphen/>
        <w:t>нер-лётчик, знакомый с высотными полётами (перед войной он принимал участие в ис</w:t>
      </w:r>
      <w:r w:rsidRPr="00F90EAE">
        <w:rPr>
          <w:color w:val="000000" w:themeColor="text1"/>
          <w:sz w:val="16"/>
          <w:szCs w:val="16"/>
        </w:rPr>
        <w:softHyphen/>
        <w:t>пытаниях одного из первых советских скафандров), спросил Шунейко:</w:t>
      </w:r>
    </w:p>
    <w:p w14:paraId="420A9A52" w14:textId="77777777" w:rsidR="00D92245" w:rsidRPr="00F90EAE" w:rsidRDefault="00D92245" w:rsidP="00F90EAE">
      <w:pPr>
        <w:numPr>
          <w:ilvl w:val="0"/>
          <w:numId w:val="1"/>
        </w:numPr>
        <w:tabs>
          <w:tab w:val="left" w:pos="423"/>
        </w:tabs>
        <w:jc w:val="both"/>
        <w:rPr>
          <w:color w:val="000000" w:themeColor="text1"/>
          <w:sz w:val="16"/>
          <w:szCs w:val="16"/>
        </w:rPr>
      </w:pPr>
      <w:r w:rsidRPr="00F90EAE">
        <w:rPr>
          <w:color w:val="000000" w:themeColor="text1"/>
          <w:sz w:val="16"/>
          <w:szCs w:val="16"/>
        </w:rPr>
        <w:t>Скажи, пожалуйста, Иван Иванович, будучи на моем месте, сколько бы ты запла</w:t>
      </w:r>
      <w:r w:rsidRPr="00F90EAE">
        <w:rPr>
          <w:color w:val="000000" w:themeColor="text1"/>
          <w:sz w:val="16"/>
          <w:szCs w:val="16"/>
        </w:rPr>
        <w:softHyphen/>
        <w:t>тил лётчику за риск таких полётов на высоту?</w:t>
      </w:r>
    </w:p>
    <w:p w14:paraId="2BCF1DE0" w14:textId="77777777" w:rsidR="00D92245" w:rsidRPr="00F90EAE" w:rsidRDefault="00D92245" w:rsidP="00F90EAE">
      <w:pPr>
        <w:jc w:val="both"/>
        <w:rPr>
          <w:color w:val="000000" w:themeColor="text1"/>
          <w:sz w:val="16"/>
          <w:szCs w:val="16"/>
        </w:rPr>
      </w:pPr>
      <w:r w:rsidRPr="00F90EAE">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43B9DBF0" w14:textId="77777777" w:rsidR="00D92245" w:rsidRPr="00F90EAE" w:rsidRDefault="00D92245" w:rsidP="00F90EAE">
      <w:pPr>
        <w:numPr>
          <w:ilvl w:val="0"/>
          <w:numId w:val="1"/>
        </w:numPr>
        <w:tabs>
          <w:tab w:val="left" w:pos="420"/>
        </w:tabs>
        <w:jc w:val="both"/>
        <w:rPr>
          <w:color w:val="000000" w:themeColor="text1"/>
          <w:sz w:val="16"/>
          <w:szCs w:val="16"/>
        </w:rPr>
      </w:pPr>
      <w:r w:rsidRPr="00F90EAE">
        <w:rPr>
          <w:color w:val="000000" w:themeColor="text1"/>
          <w:sz w:val="16"/>
          <w:szCs w:val="16"/>
        </w:rPr>
        <w:t>На мой взгляд... эти полёты стоят столько, сколько стоит моя жизнь» (15830).</w:t>
      </w:r>
    </w:p>
    <w:p w14:paraId="4C375D8E" w14:textId="77777777" w:rsidR="00D92245" w:rsidRPr="00F90EAE" w:rsidRDefault="00D92245" w:rsidP="00F90EAE">
      <w:pPr>
        <w:tabs>
          <w:tab w:val="left" w:pos="420"/>
        </w:tabs>
        <w:jc w:val="both"/>
        <w:rPr>
          <w:color w:val="000000" w:themeColor="text1"/>
          <w:sz w:val="16"/>
          <w:szCs w:val="16"/>
        </w:rPr>
      </w:pPr>
    </w:p>
    <w:p w14:paraId="030CE2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февраля по 7 апреля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205976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3363D0D" w14:textId="77777777" w:rsidR="00665165" w:rsidRPr="00F90EAE" w:rsidRDefault="00665165" w:rsidP="00F90EAE">
      <w:pPr>
        <w:autoSpaceDE w:val="0"/>
        <w:autoSpaceDN w:val="0"/>
        <w:adjustRightInd w:val="0"/>
        <w:jc w:val="both"/>
        <w:rPr>
          <w:color w:val="000000" w:themeColor="text1"/>
          <w:sz w:val="16"/>
          <w:szCs w:val="16"/>
        </w:rPr>
      </w:pPr>
    </w:p>
    <w:p w14:paraId="72D0D93C" w14:textId="77777777" w:rsidR="00D9224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12AD7DE" w14:textId="77777777" w:rsidR="00D92245" w:rsidRPr="00F90EAE" w:rsidRDefault="00D92245" w:rsidP="00F90EAE">
      <w:pPr>
        <w:autoSpaceDE w:val="0"/>
        <w:autoSpaceDN w:val="0"/>
        <w:adjustRightInd w:val="0"/>
        <w:jc w:val="both"/>
        <w:rPr>
          <w:iCs/>
          <w:color w:val="000000" w:themeColor="text1"/>
          <w:sz w:val="16"/>
          <w:szCs w:val="16"/>
        </w:rPr>
      </w:pPr>
    </w:p>
    <w:p w14:paraId="73A85043"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7578. О дополнительном выделении угля НКПП. РГАНИР, Фонд ГКО, д. 373, лл. 29 (11012).</w:t>
      </w:r>
    </w:p>
    <w:p w14:paraId="1B1C1AC5" w14:textId="77777777" w:rsidR="00D92245" w:rsidRPr="00F90EAE" w:rsidRDefault="00D92245" w:rsidP="00F90EAE">
      <w:pPr>
        <w:autoSpaceDE w:val="0"/>
        <w:autoSpaceDN w:val="0"/>
        <w:adjustRightInd w:val="0"/>
        <w:jc w:val="both"/>
        <w:rPr>
          <w:color w:val="000000" w:themeColor="text1"/>
          <w:sz w:val="16"/>
          <w:szCs w:val="16"/>
        </w:rPr>
      </w:pPr>
    </w:p>
    <w:p w14:paraId="203BB7EF"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7579. О поставках строительных материалов на строительство второго Бакинского водопровода. РГАНИР, Фонд ГКО, д. 373, лл. 30 (11012).</w:t>
      </w:r>
    </w:p>
    <w:p w14:paraId="2E0C006D" w14:textId="77777777" w:rsidR="00D92245" w:rsidRPr="00F90EAE" w:rsidRDefault="00D92245" w:rsidP="00F90EAE">
      <w:pPr>
        <w:autoSpaceDE w:val="0"/>
        <w:autoSpaceDN w:val="0"/>
        <w:adjustRightInd w:val="0"/>
        <w:jc w:val="both"/>
        <w:rPr>
          <w:color w:val="000000" w:themeColor="text1"/>
          <w:sz w:val="16"/>
          <w:szCs w:val="16"/>
        </w:rPr>
      </w:pPr>
    </w:p>
    <w:p w14:paraId="1D791CB5" w14:textId="77777777" w:rsidR="00D92245" w:rsidRPr="00F90EAE" w:rsidRDefault="00D9224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7580 [Об изменениях в плане перевозок черных металлов по железным дорогам.] (7310, 31).</w:t>
      </w:r>
    </w:p>
    <w:p w14:paraId="4A4F0DB1" w14:textId="77777777" w:rsidR="00D92245" w:rsidRPr="00F90EAE" w:rsidRDefault="00D92245" w:rsidP="00F90EAE">
      <w:pPr>
        <w:tabs>
          <w:tab w:val="left" w:pos="11199"/>
        </w:tabs>
        <w:autoSpaceDE w:val="0"/>
        <w:autoSpaceDN w:val="0"/>
        <w:adjustRightInd w:val="0"/>
        <w:jc w:val="both"/>
        <w:rPr>
          <w:color w:val="000000" w:themeColor="text1"/>
          <w:sz w:val="16"/>
          <w:szCs w:val="16"/>
        </w:rPr>
      </w:pPr>
    </w:p>
    <w:p w14:paraId="55CD1325" w14:textId="77777777" w:rsidR="00D92245" w:rsidRPr="00F90EAE" w:rsidRDefault="00D9224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7581 [О дополнительном выделении продовольствия НКВД в феврале-марте 1945 г.] (7310, 32,33).</w:t>
      </w:r>
    </w:p>
    <w:p w14:paraId="37645619" w14:textId="77777777" w:rsidR="00D92245" w:rsidRPr="00F90EAE" w:rsidRDefault="00D92245" w:rsidP="00F90EAE">
      <w:pPr>
        <w:tabs>
          <w:tab w:val="left" w:pos="11199"/>
        </w:tabs>
        <w:autoSpaceDE w:val="0"/>
        <w:autoSpaceDN w:val="0"/>
        <w:adjustRightInd w:val="0"/>
        <w:jc w:val="both"/>
        <w:rPr>
          <w:color w:val="000000" w:themeColor="text1"/>
          <w:sz w:val="16"/>
          <w:szCs w:val="16"/>
        </w:rPr>
      </w:pPr>
    </w:p>
    <w:p w14:paraId="1F47C6E4" w14:textId="77777777" w:rsidR="00D92245" w:rsidRPr="00F90EAE" w:rsidRDefault="00D9224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7582 [Об изменении плана перевозок рыбопродуктов в феврале 1945 г.] (7310, 34).</w:t>
      </w:r>
    </w:p>
    <w:p w14:paraId="1FA5C916" w14:textId="77777777" w:rsidR="00D92245" w:rsidRPr="00F90EAE" w:rsidRDefault="00D92245" w:rsidP="00F90EAE">
      <w:pPr>
        <w:tabs>
          <w:tab w:val="left" w:pos="11199"/>
        </w:tabs>
        <w:autoSpaceDE w:val="0"/>
        <w:autoSpaceDN w:val="0"/>
        <w:adjustRightInd w:val="0"/>
        <w:jc w:val="both"/>
        <w:rPr>
          <w:color w:val="000000" w:themeColor="text1"/>
          <w:sz w:val="16"/>
          <w:szCs w:val="16"/>
        </w:rPr>
      </w:pPr>
    </w:p>
    <w:p w14:paraId="36200392"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7583. О срочном дополнительном производстве автобензина для Донбасса. РГАНИР, Фонд ГКО, д. 373, лл. 35 (11012).</w:t>
      </w:r>
    </w:p>
    <w:p w14:paraId="0535C2D2" w14:textId="77777777" w:rsidR="00D92245" w:rsidRPr="00F90EAE" w:rsidRDefault="00D92245" w:rsidP="00F90EAE">
      <w:pPr>
        <w:autoSpaceDE w:val="0"/>
        <w:autoSpaceDN w:val="0"/>
        <w:adjustRightInd w:val="0"/>
        <w:jc w:val="both"/>
        <w:rPr>
          <w:color w:val="000000" w:themeColor="text1"/>
          <w:sz w:val="16"/>
          <w:szCs w:val="16"/>
        </w:rPr>
      </w:pPr>
    </w:p>
    <w:p w14:paraId="7A7FB067"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7584. О распространении п. 133 постановления № 7333 от 18 января 1945 г. на лесозаготовительные организации НКПС. РГАНИР, Фонд ГКО, д. 373, лл. 36 (11012).</w:t>
      </w:r>
    </w:p>
    <w:p w14:paraId="0F9F4F84" w14:textId="77777777" w:rsidR="00D92245" w:rsidRPr="00F90EAE" w:rsidRDefault="00D92245" w:rsidP="00F90EAE">
      <w:pPr>
        <w:autoSpaceDE w:val="0"/>
        <w:autoSpaceDN w:val="0"/>
        <w:adjustRightInd w:val="0"/>
        <w:jc w:val="both"/>
        <w:rPr>
          <w:color w:val="000000" w:themeColor="text1"/>
          <w:sz w:val="16"/>
          <w:szCs w:val="16"/>
        </w:rPr>
      </w:pPr>
    </w:p>
    <w:p w14:paraId="6DBA243C" w14:textId="77777777" w:rsidR="00D92245" w:rsidRPr="00F90EAE" w:rsidRDefault="00D9224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вышло Постановление ГКО № 7585 Об обеспечении углем судов заграничного плавания. (7310, 37-38).</w:t>
      </w:r>
    </w:p>
    <w:p w14:paraId="190D1539" w14:textId="77777777" w:rsidR="00D92245" w:rsidRPr="00F90EAE" w:rsidRDefault="00D92245" w:rsidP="00F90EAE">
      <w:pPr>
        <w:tabs>
          <w:tab w:val="left" w:pos="11199"/>
        </w:tabs>
        <w:autoSpaceDE w:val="0"/>
        <w:autoSpaceDN w:val="0"/>
        <w:adjustRightInd w:val="0"/>
        <w:jc w:val="both"/>
        <w:rPr>
          <w:color w:val="000000" w:themeColor="text1"/>
          <w:sz w:val="16"/>
          <w:szCs w:val="16"/>
        </w:rPr>
      </w:pPr>
    </w:p>
    <w:p w14:paraId="25F3F643"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7586. Об обеспечении поставками бесперебойного выпуска корпусов 76 мм и 45 мм снарядов на Белохолуницком заводе НКТМ в период весенней распутицы 1945 г. РГАНИР, Фонд ГКО, д. 373, лл. 39-40 (11012).</w:t>
      </w:r>
    </w:p>
    <w:p w14:paraId="1B3B37EB" w14:textId="77777777" w:rsidR="00D92245" w:rsidRPr="00F90EAE" w:rsidRDefault="00D92245" w:rsidP="00F90EAE">
      <w:pPr>
        <w:autoSpaceDE w:val="0"/>
        <w:autoSpaceDN w:val="0"/>
        <w:adjustRightInd w:val="0"/>
        <w:jc w:val="both"/>
        <w:rPr>
          <w:color w:val="000000" w:themeColor="text1"/>
          <w:sz w:val="16"/>
          <w:szCs w:val="16"/>
        </w:rPr>
      </w:pPr>
    </w:p>
    <w:p w14:paraId="49DCE21A"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7587. О мерах по восстановлению завода СК-2 НКРП. РГАНИР, Фонд ГКО, д. 373, лл. 41-43 (11012).</w:t>
      </w:r>
    </w:p>
    <w:p w14:paraId="39DACDF9" w14:textId="77777777" w:rsidR="00D92245" w:rsidRPr="00F90EAE" w:rsidRDefault="00D92245" w:rsidP="00F90EAE">
      <w:pPr>
        <w:autoSpaceDE w:val="0"/>
        <w:autoSpaceDN w:val="0"/>
        <w:adjustRightInd w:val="0"/>
        <w:jc w:val="both"/>
        <w:rPr>
          <w:color w:val="000000" w:themeColor="text1"/>
          <w:sz w:val="16"/>
          <w:szCs w:val="16"/>
        </w:rPr>
      </w:pPr>
    </w:p>
    <w:p w14:paraId="1A1C8AB9"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вышло Распоряжение ГКО № 7588. О поставках металлургического сырья заводам НКТМ. РГАНИР, Фонд ГКО, д. 373, лл. 44-45, 46 (11012).</w:t>
      </w:r>
    </w:p>
    <w:p w14:paraId="540296B3" w14:textId="77777777" w:rsidR="00D92245" w:rsidRPr="00F90EAE" w:rsidRDefault="00D92245" w:rsidP="00F90EAE">
      <w:pPr>
        <w:autoSpaceDE w:val="0"/>
        <w:autoSpaceDN w:val="0"/>
        <w:adjustRightInd w:val="0"/>
        <w:jc w:val="both"/>
        <w:rPr>
          <w:color w:val="000000" w:themeColor="text1"/>
          <w:sz w:val="16"/>
          <w:szCs w:val="16"/>
        </w:rPr>
      </w:pPr>
    </w:p>
    <w:p w14:paraId="025C336A"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года нарком Берия подписал приказ № 00103 “Об организации комбината № 6 НКВД СССР”, которым “в связи с приемом от Наркомцветмета урановых предприятий” в системе Спецметуправления ГУЛГМП организовывался (на базе завода “В” в городе Ленинабаде Таджикской ССР) Ферганский горно-химический комбинат НКВД с присвоением ему условного наименования “Комбинат № 6 НКВД СССР” (7560).</w:t>
      </w:r>
    </w:p>
    <w:p w14:paraId="262D0994"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Начальником Комбината № 6 был назначен подполковник ГБ Б. Н. Чирков. В органах ОГПУ-НКВД он работал с 1922-го, был на руководящих должностях в ГПУ/УНКВД Якутской АССР, возглавлял Владимирский горотдел УНКВД Ивановской области, УНКВД Восточно-Казахстанской области, побывал заместителем наркома внутренних дел Казахской ССР, начальником Джезказганского и Тырныаузского комбинатов и ИТЛ НКВД, в 1943-1945 годах находился в Действующей армии (на должностях от комбата до заместителя командира дивизии ВДВ). За участие в работе по созданию атомной бомбы Чирков 29 октября 1949-го будет удостоен звания Героя Социалистического Труда, однако указом ПВС от 16 января 1959-го лишится его “за нарушения в прошлом социалистической законности” (7560).</w:t>
      </w:r>
    </w:p>
    <w:p w14:paraId="28D542B8" w14:textId="77777777" w:rsidR="00D92245" w:rsidRPr="00F90EAE" w:rsidRDefault="00D92245" w:rsidP="00F90EAE">
      <w:pPr>
        <w:autoSpaceDE w:val="0"/>
        <w:autoSpaceDN w:val="0"/>
        <w:adjustRightInd w:val="0"/>
        <w:jc w:val="both"/>
        <w:rPr>
          <w:color w:val="000000" w:themeColor="text1"/>
          <w:sz w:val="16"/>
          <w:szCs w:val="16"/>
        </w:rPr>
      </w:pPr>
    </w:p>
    <w:p w14:paraId="186D500F"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приказом № 00103 начальнику ГУЛАГа Наседкину и начальнику Отдела спецпоселений НКВД М. В. Кузнецову предписывалось направить в первом квартале 1945 года на предприятия Комбината № 6 900 “мобилизованных спецпереселенцев крымских татар” с Волгостроя и 300 “квалифицированных рабочих” (150 строителей, 30 горняков, 40 электриков, 30 монтажников и 50 шоферов) с других строек и лагерей НКВД; им же вместе с начальником ГУЛГМП П. А. Захаровым предстояло отобрать специалистов горняков, геологов, химиков, механиков, энергетиков, находящихся в лагерях и используемых не по специальности. Начальнику Управления снабжения ГУЛАГа А. А. Усиевичу приказывалось обеспечить Комбинат № 6 продовольствием и вещевым довольствием за счет других лагерей и строек НКВД (7560).</w:t>
      </w:r>
    </w:p>
    <w:p w14:paraId="34A5004E" w14:textId="77777777" w:rsidR="00D92245" w:rsidRPr="00F90EAE" w:rsidRDefault="00D92245" w:rsidP="00F90EAE">
      <w:pPr>
        <w:autoSpaceDE w:val="0"/>
        <w:autoSpaceDN w:val="0"/>
        <w:adjustRightInd w:val="0"/>
        <w:jc w:val="both"/>
        <w:rPr>
          <w:color w:val="000000" w:themeColor="text1"/>
          <w:sz w:val="16"/>
          <w:szCs w:val="16"/>
        </w:rPr>
      </w:pPr>
    </w:p>
    <w:p w14:paraId="3909744C" w14:textId="77777777" w:rsidR="00D9224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ABF57C9" w14:textId="77777777" w:rsidR="00D92245" w:rsidRPr="00F90EAE" w:rsidRDefault="00D92245" w:rsidP="00F90EAE">
      <w:pPr>
        <w:autoSpaceDE w:val="0"/>
        <w:autoSpaceDN w:val="0"/>
        <w:adjustRightInd w:val="0"/>
        <w:jc w:val="both"/>
        <w:rPr>
          <w:iCs/>
          <w:color w:val="000000" w:themeColor="text1"/>
          <w:sz w:val="16"/>
          <w:szCs w:val="16"/>
        </w:rPr>
      </w:pPr>
    </w:p>
    <w:p w14:paraId="59977B22" w14:textId="77777777" w:rsidR="00D92245" w:rsidRPr="00F90EAE" w:rsidRDefault="00D92245" w:rsidP="00F90EAE">
      <w:pPr>
        <w:jc w:val="both"/>
        <w:rPr>
          <w:color w:val="000000" w:themeColor="text1"/>
          <w:sz w:val="16"/>
          <w:szCs w:val="16"/>
        </w:rPr>
      </w:pPr>
      <w:r w:rsidRPr="00F90EAE">
        <w:rPr>
          <w:bCs/>
          <w:color w:val="000000" w:themeColor="text1"/>
          <w:sz w:val="16"/>
          <w:szCs w:val="16"/>
        </w:rPr>
        <w:t>23 февраля</w:t>
      </w:r>
      <w:r w:rsidRPr="00F90EAE">
        <w:rPr>
          <w:color w:val="000000" w:themeColor="text1"/>
          <w:sz w:val="16"/>
          <w:szCs w:val="16"/>
        </w:rPr>
        <w:t xml:space="preserve"> в 1945 году оперативная сводка Совинформбюро:</w:t>
      </w:r>
    </w:p>
    <w:p w14:paraId="235B9B46" w14:textId="77777777" w:rsidR="00D92245" w:rsidRPr="00F90EAE" w:rsidRDefault="00D92245" w:rsidP="00F90EAE">
      <w:pPr>
        <w:jc w:val="both"/>
        <w:rPr>
          <w:color w:val="000000" w:themeColor="text1"/>
          <w:sz w:val="16"/>
          <w:szCs w:val="16"/>
        </w:rPr>
      </w:pPr>
      <w:r w:rsidRPr="00F90EAE">
        <w:rPr>
          <w:color w:val="000000" w:themeColor="text1"/>
          <w:sz w:val="16"/>
          <w:szCs w:val="16"/>
        </w:rPr>
        <w:lastRenderedPageBreak/>
        <w:t>«В течение 23 февраля юго-западнее Кенигсберга наши войска продолжали бои по уничтожению Восточно-Прусской группировки противника и, сжимая кольцо окружения, овладели населёнными пунктами Арнстайн, Лихтенфельд, Лилиенталь, Тольксдорф, Либенау, Шальмай. В боях за 22 февраля в этом районе наши войска взяли в плен около 500 немецких солдат и офицеров.</w:t>
      </w:r>
    </w:p>
    <w:p w14:paraId="0C6090B1" w14:textId="77777777" w:rsidR="00D92245" w:rsidRPr="00F90EAE" w:rsidRDefault="00D92245" w:rsidP="00F90EAE">
      <w:pPr>
        <w:jc w:val="both"/>
        <w:rPr>
          <w:color w:val="000000" w:themeColor="text1"/>
          <w:sz w:val="16"/>
          <w:szCs w:val="16"/>
        </w:rPr>
      </w:pPr>
      <w:r w:rsidRPr="00F90EAE">
        <w:rPr>
          <w:color w:val="000000" w:themeColor="text1"/>
          <w:sz w:val="16"/>
          <w:szCs w:val="16"/>
        </w:rPr>
        <w:t>В Померании наши войска, сломив сопротивление противника, овладели городом и железнодорожным узлом Арнсвальде.</w:t>
      </w:r>
    </w:p>
    <w:p w14:paraId="6F9B9BFB" w14:textId="77777777" w:rsidR="00D92245" w:rsidRPr="00F90EAE" w:rsidRDefault="00D92245" w:rsidP="00F90EAE">
      <w:pPr>
        <w:jc w:val="both"/>
        <w:rPr>
          <w:color w:val="000000" w:themeColor="text1"/>
          <w:sz w:val="16"/>
          <w:szCs w:val="16"/>
        </w:rPr>
      </w:pPr>
      <w:r w:rsidRPr="00F90EAE">
        <w:rPr>
          <w:color w:val="000000" w:themeColor="text1"/>
          <w:sz w:val="16"/>
          <w:szCs w:val="16"/>
        </w:rPr>
        <w:t>Войска 1-го Белорусского фронта после месячной осады и упорных боёв завершили разгром окружённой группировки противника и 23 февраля полностью овладели городом и крепостью Познань — стратегически важным узлом обороны немцев на Берлинском направлении.</w:t>
      </w:r>
    </w:p>
    <w:p w14:paraId="3FBBE98A" w14:textId="77777777" w:rsidR="00D92245" w:rsidRPr="00F90EAE" w:rsidRDefault="00D92245" w:rsidP="00F90EAE">
      <w:pPr>
        <w:jc w:val="both"/>
        <w:rPr>
          <w:color w:val="000000" w:themeColor="text1"/>
          <w:sz w:val="16"/>
          <w:szCs w:val="16"/>
        </w:rPr>
      </w:pPr>
      <w:r w:rsidRPr="00F90EAE">
        <w:rPr>
          <w:color w:val="000000" w:themeColor="text1"/>
          <w:sz w:val="16"/>
          <w:szCs w:val="16"/>
        </w:rPr>
        <w:t>В ходе боёв в Познани войска фронта взяли в плен 23.000 немецких солдат и офицеров во главе с комендантом крепости генерал-майором Маттерн и его штабом, а также захватили следующие трофеи: самолётов—365, танков и самоходных орудий — 32, орудий — 584, миномётов — 177, пулемётов — 4.490, винтовок и автоматов — свыше 30.000, бронетранспортёров — 36, автомашин — 3.260, мотоциклов — 400, радиостанций—21, паровозов—193, вагонов—3.705, лошадей—990. Противник потерял только убитыми свыше 25.000 солдат и офицеров.</w:t>
      </w:r>
    </w:p>
    <w:p w14:paraId="26FB28A1" w14:textId="77777777" w:rsidR="00D92245" w:rsidRPr="00F90EAE" w:rsidRDefault="00D92245" w:rsidP="00F90EAE">
      <w:pPr>
        <w:jc w:val="both"/>
        <w:rPr>
          <w:color w:val="000000" w:themeColor="text1"/>
          <w:sz w:val="16"/>
          <w:szCs w:val="16"/>
        </w:rPr>
      </w:pPr>
      <w:r w:rsidRPr="00F90EAE">
        <w:rPr>
          <w:color w:val="000000" w:themeColor="text1"/>
          <w:sz w:val="16"/>
          <w:szCs w:val="16"/>
        </w:rPr>
        <w:t>В районе Бреслау наши войска, продолжая бои по уничтожению окружённой в городе группировки противника, заняли пригороды Папельхоф, Гросс Рааке, Клайн Рааке, Клайн Бишвиц, Клайн Мазельвитц и 20 кварталов в южной части города. В боях за 22 февраля в этом районе наши войска захватили 130 немецких орудий, среди которых 80 орудий большой мощности.</w:t>
      </w:r>
    </w:p>
    <w:p w14:paraId="0C5265A2" w14:textId="77777777" w:rsidR="00D92245" w:rsidRPr="00F90EAE" w:rsidRDefault="00D9224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5011B3B8" w14:textId="77777777" w:rsidR="00D92245" w:rsidRPr="00F90EAE" w:rsidRDefault="00D92245" w:rsidP="00F90EAE">
      <w:pPr>
        <w:jc w:val="both"/>
        <w:rPr>
          <w:color w:val="000000" w:themeColor="text1"/>
          <w:sz w:val="16"/>
          <w:szCs w:val="16"/>
        </w:rPr>
      </w:pPr>
      <w:r w:rsidRPr="00F90EAE">
        <w:rPr>
          <w:color w:val="000000" w:themeColor="text1"/>
          <w:sz w:val="16"/>
          <w:szCs w:val="16"/>
        </w:rPr>
        <w:t>За 22 февраля на всех фронтах подбито и уничтожено 105 немецких танков и самоходных орудий. В воздушных боях и огнём зенитной артиллерии сбито 14 самолётов противника.</w:t>
      </w:r>
    </w:p>
    <w:p w14:paraId="522878B4" w14:textId="77777777" w:rsidR="00D92245" w:rsidRPr="00F90EAE" w:rsidRDefault="00D92245" w:rsidP="00F90EAE">
      <w:pPr>
        <w:jc w:val="both"/>
        <w:rPr>
          <w:color w:val="000000" w:themeColor="text1"/>
          <w:sz w:val="16"/>
          <w:szCs w:val="16"/>
        </w:rPr>
      </w:pPr>
      <w:r w:rsidRPr="00F90EAE">
        <w:rPr>
          <w:color w:val="000000" w:themeColor="text1"/>
          <w:sz w:val="16"/>
          <w:szCs w:val="16"/>
        </w:rPr>
        <w:t>Войска 1-го Белорусского фронта сегодня завершили разгром окружённой группировки противника и полностью овладели городом и крепостью Познань.</w:t>
      </w:r>
    </w:p>
    <w:p w14:paraId="75AB6994" w14:textId="77777777" w:rsidR="00D92245" w:rsidRPr="00F90EAE" w:rsidRDefault="00D92245" w:rsidP="00F90EAE">
      <w:pPr>
        <w:jc w:val="both"/>
        <w:rPr>
          <w:color w:val="000000" w:themeColor="text1"/>
          <w:sz w:val="16"/>
          <w:szCs w:val="16"/>
        </w:rPr>
      </w:pPr>
      <w:r w:rsidRPr="00F90EAE">
        <w:rPr>
          <w:color w:val="000000" w:themeColor="text1"/>
          <w:sz w:val="16"/>
          <w:szCs w:val="16"/>
        </w:rPr>
        <w:t>В конце января, развивая стремительное наступление, наши войска окружили в Познани крупные немецкие силы. Советские части преодолели мощный укреплённый район, прикрывавший подступы к городу, овладели железнодорожной станцией и прорвались к центру города. Гитлеровцы укрепились в старинных массивных зданиях. Ожесточённые схватки происходили за каждый дом. В то же время наши войска блокировали форты, прикрывавшие Познань с севера и востока, и уничтожили их гарнизоны. В результате успешных действий советских войск город Познань и пригороды к утру 17 февраля были очищены от немцев. Остатки окружённого гарнизона противника засели в Цитадели— старинной крепости, усиленной современным военно-инженерными вооружениями. Цитадель расположена на возвышенности, занимает обширную площадь и обнесена высоким земляным валом. За валом проходит противотанковый ров шириной в 8 метров и глубиной в 5 метров. За рвом противник соорудил большое количество железобетонных дотов, связанных подземными ходами сообщения. За дотами возвышается крепостная стена. Цитадель обороняли пехотные и артиллерийские части противника, эсэсовцы, а также курсанты юнкерского и унтер-офицерского училищ. Немецкий гарнизон располагал большим количеством боеприпасов и четырёхмесячными запасами продовольствия. Всем немецким солдатам был объявлен приказ Гитлера, требовавший во что бы то ни стало удержать Познань.</w:t>
      </w:r>
    </w:p>
    <w:p w14:paraId="4BFE4AF3" w14:textId="77777777" w:rsidR="00D92245" w:rsidRPr="00F90EAE" w:rsidRDefault="00D92245" w:rsidP="00F90EAE">
      <w:pPr>
        <w:jc w:val="both"/>
        <w:rPr>
          <w:color w:val="000000" w:themeColor="text1"/>
          <w:sz w:val="16"/>
          <w:szCs w:val="16"/>
        </w:rPr>
      </w:pPr>
      <w:r w:rsidRPr="00F90EAE">
        <w:rPr>
          <w:color w:val="000000" w:themeColor="text1"/>
          <w:sz w:val="16"/>
          <w:szCs w:val="16"/>
        </w:rPr>
        <w:t>Наши войска, в результате стремительной атаки, очистили от гитлеровцев вал, переправились через ров и начали штурм Цитадели. Мощные орудия обрушили огонь на крепостные стены. Советские пехотинцы и сапёры подтаскивали бочки с толом к крепостным стеная и взрывали их. В образовавшиеся проходы устремились штурмовые отряды. Многие пехотинцы взбирались на крепостные стены три помощи верёвочных лестниц и канатов. После упорного боя советские части овладели крепостной тюрьмой и радиостанцией. Не выдержав удара наших войск, немцы группами стали складывать оружие и сдаваться в плен. Сегодня во второй половине дня доблестные советские воины полностью овладели Цитаделью—основным узлом обороны противника в Познани.</w:t>
      </w:r>
    </w:p>
    <w:p w14:paraId="758E339A" w14:textId="77777777" w:rsidR="00D92245" w:rsidRPr="00F90EAE" w:rsidRDefault="00D92245" w:rsidP="00F90EAE">
      <w:pPr>
        <w:jc w:val="both"/>
        <w:rPr>
          <w:color w:val="000000" w:themeColor="text1"/>
          <w:sz w:val="16"/>
          <w:szCs w:val="16"/>
        </w:rPr>
      </w:pPr>
      <w:r w:rsidRPr="00F90EAE">
        <w:rPr>
          <w:color w:val="000000" w:themeColor="text1"/>
          <w:sz w:val="16"/>
          <w:szCs w:val="16"/>
        </w:rPr>
        <w:t>Город и крепость Познань являлись стратегически важным узлом обороны немцев на Берлинском направлении. Познань вместе с тем является крупным промышленным центром. За время войны немцы построили в городе ряд военных заводов и, кроме того, эвакуировали сюда некоторые военные предприятия из различных районов Германии. К городу сходятся 8 железных и много шоссейных дорог, связывающих западные районы Польши с Померанией, Бранденбургской провинцией и Силезией. Через Познань проходит железнодорожная магистраль Варшава — Берлин.</w:t>
      </w:r>
    </w:p>
    <w:p w14:paraId="6B5E874A" w14:textId="77777777" w:rsidR="00D92245" w:rsidRPr="00F90EAE" w:rsidRDefault="00D92245" w:rsidP="00F90EAE">
      <w:pPr>
        <w:jc w:val="both"/>
        <w:rPr>
          <w:color w:val="000000" w:themeColor="text1"/>
          <w:sz w:val="16"/>
          <w:szCs w:val="16"/>
        </w:rPr>
      </w:pPr>
      <w:r w:rsidRPr="00F90EAE">
        <w:rPr>
          <w:color w:val="000000" w:themeColor="text1"/>
          <w:sz w:val="16"/>
          <w:szCs w:val="16"/>
        </w:rPr>
        <w:t>В Бреслау наши войска продолжали бои по ликвидации окружённой в городе группировки противника. После упорных боёв советские части, наступающие с юга, прорвали оборону немцев, построенную вдоль железнодорожного обвода. Наши пехотинцы захватили радиостанцию, танковые и автомобильные ремонтные мастерские, а также очистили от гитлеровцев территорию южного парка. Ожесточённые бои происходит в южных кварталах города. Противник построил на перекрёстках улиц доты и оказывает упорное сопротивление. Советские штурмовые труппы, с боями продвигаясь вперёд, очищают от гитлеровцев один квартал за другим. Захвачено много вооружения, а также склады с военными материалами и боеприпасами.</w:t>
      </w:r>
    </w:p>
    <w:p w14:paraId="247914E6" w14:textId="77777777" w:rsidR="00D92245" w:rsidRPr="00F90EAE" w:rsidRDefault="00D92245" w:rsidP="00F90EAE">
      <w:pPr>
        <w:jc w:val="both"/>
        <w:rPr>
          <w:color w:val="000000" w:themeColor="text1"/>
          <w:sz w:val="16"/>
          <w:szCs w:val="16"/>
        </w:rPr>
      </w:pPr>
      <w:r w:rsidRPr="00F90EAE">
        <w:rPr>
          <w:color w:val="000000" w:themeColor="text1"/>
          <w:sz w:val="16"/>
          <w:szCs w:val="16"/>
        </w:rPr>
        <w:t>С огромным воодушевлением встретила вся Советская страна приказ Верховной Главнокомандующего Маршала Советского Союза товарища Сталина о 27-й годовщине Красной Армии. Во многих городах и сёлах Советского Союза, на заводах, в учреждениях, в колхозах состоялись многолюдные собрания и митинги. Советский народ горячо приветствует своего любимого вождя и полководца, организатора и вдохновителя исторических побед над врагом. Советский народ славит победоносную Красную Армию, в великих битвах против немецких захватчиков отстоявшую свободу и независимость нашей Родины.</w:t>
      </w:r>
    </w:p>
    <w:p w14:paraId="54238E80" w14:textId="77777777" w:rsidR="00D92245" w:rsidRPr="00F90EAE" w:rsidRDefault="00D92245" w:rsidP="00F90EAE">
      <w:pPr>
        <w:jc w:val="both"/>
        <w:rPr>
          <w:color w:val="000000" w:themeColor="text1"/>
          <w:sz w:val="16"/>
          <w:szCs w:val="16"/>
        </w:rPr>
      </w:pPr>
      <w:r w:rsidRPr="00F90EAE">
        <w:rPr>
          <w:color w:val="000000" w:themeColor="text1"/>
          <w:sz w:val="16"/>
          <w:szCs w:val="16"/>
        </w:rPr>
        <w:t>С исключительным подъёмом прошло обсуждение приказа товарища Сталина на московском заводе «Динамо» имени Кирова. Мастер литейного цеха тов. Курин в своей речи сказал: «Великий Сталин отметил возросшую силу и мощь нашей доблестной Красной Армии. Гитлеровцы хвастали, что более сотни лет немецкая земля не видала ни одного неприятельского солдата. Наглые и самоуверенные гитлеровцы уверяли, что немецкая армия воевала и будет воевать только на чужой территории. Красная Армия опровергла и опрокинула расчёты кичливых гитлеровцев. Красная Армия изгнала немцев из пределов советской земли и помогла народам Европы сбросить немецкое иго. Победоносная Красная Армия опирается на беззаветную поддержку всего советского народа. Теперь, в дни решающих боёв против немецко-фашистских захватчиков, труженики тыла ещё больше усилят свою помощь Красной Армии. Мы ничего не пожалеем для достижения полной и окончательной победы над немецкими захватчиками».</w:t>
      </w:r>
    </w:p>
    <w:p w14:paraId="731EA142" w14:textId="77777777" w:rsidR="00D92245" w:rsidRPr="00F90EAE" w:rsidRDefault="00D92245" w:rsidP="00F90EAE">
      <w:pPr>
        <w:jc w:val="both"/>
        <w:rPr>
          <w:color w:val="000000" w:themeColor="text1"/>
          <w:sz w:val="16"/>
          <w:szCs w:val="16"/>
        </w:rPr>
      </w:pPr>
      <w:r w:rsidRPr="00F90EAE">
        <w:rPr>
          <w:color w:val="000000" w:themeColor="text1"/>
          <w:sz w:val="16"/>
          <w:szCs w:val="16"/>
        </w:rPr>
        <w:t>В Ленинграде на собрании рабочих завода имени Сталина выступил стахановец Радионов. «Красная Армия, — заявил он,— обрушила на врага небывалый по силе удар л перенесла военные действия на территорию Германии. Война бушует на немецкой земле. С великой радостью восприняли мы сталинские слова о том, что полная победа над немцами теперь уже близка. Товарищ Сталин учит нас, что победа не приходит сама, она добывается в тяжёлых боях и в упорном труде. Мы заявляем, что будем неустанно трудиться и поможем нашей родной Красной Армии до конца выполнить великую освободительную миссию».</w:t>
      </w:r>
    </w:p>
    <w:p w14:paraId="791D5C3B" w14:textId="77777777" w:rsidR="00D92245" w:rsidRPr="00F90EAE" w:rsidRDefault="00D92245" w:rsidP="00F90EAE">
      <w:pPr>
        <w:jc w:val="both"/>
        <w:rPr>
          <w:color w:val="000000" w:themeColor="text1"/>
          <w:sz w:val="16"/>
          <w:szCs w:val="16"/>
        </w:rPr>
      </w:pPr>
      <w:r w:rsidRPr="00F90EAE">
        <w:rPr>
          <w:color w:val="000000" w:themeColor="text1"/>
          <w:sz w:val="16"/>
          <w:szCs w:val="16"/>
        </w:rPr>
        <w:t>В Харькове на собрании рабочих и инженерно-технических работников завода, где директором тов. Яковлев, с речью выступила револьверщица Крыжановская. «С непередаваемым волнением слушала я приказ Верховного Главнокомандующего,— сказала она.— Товарищ Сталин указал, что на четвёртом году войны Красная Армия стала крепче и сильнее, чем когда бы то ни было. Сердца советских людей преисполнены гордостью за свою любимую и славную Красную Армию» (15049).</w:t>
      </w:r>
    </w:p>
    <w:p w14:paraId="76683BFD" w14:textId="77777777" w:rsidR="00D92245" w:rsidRPr="00F90EAE" w:rsidRDefault="00D92245" w:rsidP="00F90EAE">
      <w:pPr>
        <w:jc w:val="both"/>
        <w:rPr>
          <w:color w:val="000000" w:themeColor="text1"/>
          <w:sz w:val="16"/>
          <w:szCs w:val="16"/>
        </w:rPr>
      </w:pPr>
    </w:p>
    <w:p w14:paraId="17D26328" w14:textId="77777777" w:rsidR="00D92245" w:rsidRPr="00F90EAE" w:rsidRDefault="00D92245" w:rsidP="00F90EAE">
      <w:pPr>
        <w:jc w:val="both"/>
        <w:rPr>
          <w:color w:val="000000" w:themeColor="text1"/>
          <w:sz w:val="16"/>
          <w:szCs w:val="16"/>
        </w:rPr>
      </w:pPr>
      <w:r w:rsidRPr="00F90EAE">
        <w:rPr>
          <w:bCs/>
          <w:color w:val="000000" w:themeColor="text1"/>
          <w:sz w:val="16"/>
          <w:szCs w:val="16"/>
        </w:rPr>
        <w:t>23 февраля</w:t>
      </w:r>
      <w:r w:rsidRPr="00F90EAE">
        <w:rPr>
          <w:color w:val="000000" w:themeColor="text1"/>
          <w:sz w:val="16"/>
          <w:szCs w:val="16"/>
        </w:rPr>
        <w:t xml:space="preserve"> в 1945 году войска 1-го Белорусского фронта уничтожили группировку немецко-фашистских войск в городе Познань (15049).</w:t>
      </w:r>
    </w:p>
    <w:p w14:paraId="7D32ADF3" w14:textId="77777777" w:rsidR="00D92245" w:rsidRPr="00F90EAE" w:rsidRDefault="00D92245" w:rsidP="00F90EAE">
      <w:pPr>
        <w:jc w:val="both"/>
        <w:rPr>
          <w:color w:val="000000" w:themeColor="text1"/>
          <w:sz w:val="16"/>
          <w:szCs w:val="16"/>
        </w:rPr>
      </w:pPr>
    </w:p>
    <w:p w14:paraId="1C483ADE" w14:textId="77777777" w:rsidR="00D92245" w:rsidRPr="00F90EAE" w:rsidRDefault="00D9224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после месяца боев советские войска взяли Познань (Польша) (4962).</w:t>
      </w:r>
    </w:p>
    <w:p w14:paraId="1A07063B" w14:textId="77777777" w:rsidR="00D92245" w:rsidRPr="00F90EAE" w:rsidRDefault="00D92245" w:rsidP="00F90EAE">
      <w:pPr>
        <w:tabs>
          <w:tab w:val="left" w:pos="11199"/>
        </w:tabs>
        <w:autoSpaceDE w:val="0"/>
        <w:autoSpaceDN w:val="0"/>
        <w:adjustRightInd w:val="0"/>
        <w:jc w:val="both"/>
        <w:rPr>
          <w:color w:val="000000" w:themeColor="text1"/>
          <w:sz w:val="16"/>
          <w:szCs w:val="16"/>
        </w:rPr>
      </w:pPr>
    </w:p>
    <w:p w14:paraId="1A86C606" w14:textId="77777777" w:rsidR="00D92245" w:rsidRPr="00F90EAE" w:rsidRDefault="00D92245" w:rsidP="00F90EAE">
      <w:pPr>
        <w:autoSpaceDE w:val="0"/>
        <w:autoSpaceDN w:val="0"/>
        <w:adjustRightInd w:val="0"/>
        <w:jc w:val="both"/>
        <w:rPr>
          <w:color w:val="000000" w:themeColor="text1"/>
          <w:sz w:val="16"/>
          <w:szCs w:val="16"/>
        </w:rPr>
      </w:pPr>
      <w:r w:rsidRPr="00F90EAE">
        <w:rPr>
          <w:color w:val="000000" w:themeColor="text1"/>
          <w:sz w:val="16"/>
          <w:szCs w:val="16"/>
        </w:rPr>
        <w:t>С 23 февраля по 5 марта 1945 были тяжелые бои за Грауденц в Польше, где окружили большую группировку и взяли в плен 5 чел. (2438,195).</w:t>
      </w:r>
    </w:p>
    <w:p w14:paraId="3F679DAF" w14:textId="77777777" w:rsidR="00D92245" w:rsidRPr="00F90EAE" w:rsidRDefault="00D92245" w:rsidP="00F90EAE">
      <w:pPr>
        <w:autoSpaceDE w:val="0"/>
        <w:autoSpaceDN w:val="0"/>
        <w:adjustRightInd w:val="0"/>
        <w:jc w:val="both"/>
        <w:rPr>
          <w:color w:val="000000" w:themeColor="text1"/>
          <w:sz w:val="16"/>
          <w:szCs w:val="16"/>
        </w:rPr>
      </w:pPr>
    </w:p>
    <w:p w14:paraId="051923A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07AB3A3" w14:textId="77777777" w:rsidR="00665165" w:rsidRPr="00F90EAE" w:rsidRDefault="00665165" w:rsidP="00F90EAE">
      <w:pPr>
        <w:autoSpaceDE w:val="0"/>
        <w:autoSpaceDN w:val="0"/>
        <w:adjustRightInd w:val="0"/>
        <w:jc w:val="both"/>
        <w:rPr>
          <w:iCs/>
          <w:color w:val="000000" w:themeColor="text1"/>
          <w:sz w:val="16"/>
          <w:szCs w:val="16"/>
        </w:rPr>
      </w:pPr>
    </w:p>
    <w:p w14:paraId="6E4A3D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февраля по 17 апреля 1945 г. работала Московская комиссия для решения польского вопроса, созданная в Ялте. Молотов сделал все возможное для утверждения варшавского правительства в качестве единственной властной основы в Польше. Черчиль хотел придерживаться буквы достигнутого в Ялте компромиссного соглашения. Рузвельт скорее придерживался духа Ялты - полюбовного раздела сфер влияния с сильным советско-американским взаимодействием (3871).</w:t>
      </w:r>
    </w:p>
    <w:p w14:paraId="3125FD57" w14:textId="77777777" w:rsidR="00665165" w:rsidRPr="00F90EAE" w:rsidRDefault="00665165" w:rsidP="00F90EAE">
      <w:pPr>
        <w:autoSpaceDE w:val="0"/>
        <w:autoSpaceDN w:val="0"/>
        <w:adjustRightInd w:val="0"/>
        <w:jc w:val="both"/>
        <w:rPr>
          <w:color w:val="000000" w:themeColor="text1"/>
          <w:sz w:val="16"/>
          <w:szCs w:val="16"/>
        </w:rPr>
      </w:pPr>
    </w:p>
    <w:p w14:paraId="1974C21B" w14:textId="77777777" w:rsidR="00D92245" w:rsidRPr="00F90EAE" w:rsidRDefault="00D92245" w:rsidP="00F90EAE">
      <w:pPr>
        <w:jc w:val="both"/>
        <w:rPr>
          <w:color w:val="000000" w:themeColor="text1"/>
          <w:sz w:val="16"/>
          <w:szCs w:val="16"/>
        </w:rPr>
      </w:pPr>
      <w:r w:rsidRPr="00F90EAE">
        <w:rPr>
          <w:bCs/>
          <w:color w:val="000000" w:themeColor="text1"/>
          <w:sz w:val="16"/>
          <w:szCs w:val="16"/>
        </w:rPr>
        <w:t>23 февраля</w:t>
      </w:r>
      <w:r w:rsidRPr="00F90EAE">
        <w:rPr>
          <w:color w:val="000000" w:themeColor="text1"/>
          <w:sz w:val="16"/>
          <w:szCs w:val="16"/>
        </w:rPr>
        <w:t xml:space="preserve"> в 1945 году к награждению представлены сотрудники НКВД, НКГБ, "отличившиеся при организации работ, связанных с обеспечением охраны и обслуживания конференции в Ялте". Всего 1 021 человек получили ордена, в том числе орден Кутузова 1-ой степени - 10 человек, 2-ой степени - 15, орден Отечественной войны 1-ой степени - 99, 2-ой степени - 101, орден Красной Звезды - 373 человека. Среди награжденных были и 14 работников гостиницы "Интурист" (15049).</w:t>
      </w:r>
    </w:p>
    <w:p w14:paraId="2F4754EF" w14:textId="77777777" w:rsidR="00D92245" w:rsidRPr="00F90EAE" w:rsidRDefault="00D92245" w:rsidP="00F90EAE">
      <w:pPr>
        <w:jc w:val="both"/>
        <w:rPr>
          <w:color w:val="000000" w:themeColor="text1"/>
          <w:sz w:val="16"/>
          <w:szCs w:val="16"/>
        </w:rPr>
      </w:pPr>
    </w:p>
    <w:p w14:paraId="5E92277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8010DD9" w14:textId="77777777" w:rsidR="00665165" w:rsidRPr="00F90EAE" w:rsidRDefault="00665165" w:rsidP="00F90EAE">
      <w:pPr>
        <w:autoSpaceDE w:val="0"/>
        <w:autoSpaceDN w:val="0"/>
        <w:adjustRightInd w:val="0"/>
        <w:jc w:val="both"/>
        <w:rPr>
          <w:iCs/>
          <w:color w:val="000000" w:themeColor="text1"/>
          <w:sz w:val="16"/>
          <w:szCs w:val="16"/>
        </w:rPr>
      </w:pPr>
    </w:p>
    <w:p w14:paraId="626DA654" w14:textId="77777777" w:rsidR="00580BC7" w:rsidRPr="00F90EAE" w:rsidRDefault="00580BC7" w:rsidP="00F90EAE">
      <w:pPr>
        <w:jc w:val="both"/>
        <w:rPr>
          <w:color w:val="0070C0"/>
          <w:sz w:val="16"/>
          <w:szCs w:val="16"/>
        </w:rPr>
      </w:pPr>
      <w:r w:rsidRPr="00F90EAE">
        <w:rPr>
          <w:color w:val="0070C0"/>
          <w:sz w:val="16"/>
          <w:szCs w:val="16"/>
        </w:rPr>
        <w:t>23 февраля 1945 первый полет Bachem Ba 349 Natter (первый вертикальный пуск с ракетным двигателем) (20371).</w:t>
      </w:r>
    </w:p>
    <w:p w14:paraId="2392BE22" w14:textId="77777777" w:rsidR="00580BC7" w:rsidRPr="00F90EAE" w:rsidRDefault="00580BC7" w:rsidP="00F90EAE">
      <w:pPr>
        <w:jc w:val="both"/>
        <w:rPr>
          <w:color w:val="0070C0"/>
          <w:sz w:val="16"/>
          <w:szCs w:val="16"/>
        </w:rPr>
      </w:pPr>
    </w:p>
    <w:p w14:paraId="4B7CFCD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февраля 1945 в журнале “Дас Райх” немецкий министр пропаганды Й. Геббельс опубликовал статью, в которой предрекал, что СССР отгородит Восточную Европу от остального мира “железным занавесом” (4962).</w:t>
      </w:r>
    </w:p>
    <w:p w14:paraId="14FCE17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620A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Эйзенхауэр начал наступление в Рейнланд, а Турция объявила войну Германии (2100).</w:t>
      </w:r>
    </w:p>
    <w:p w14:paraId="0028E960" w14:textId="77777777" w:rsidR="00665165" w:rsidRPr="00F90EAE" w:rsidRDefault="00665165" w:rsidP="00F90EAE">
      <w:pPr>
        <w:autoSpaceDE w:val="0"/>
        <w:autoSpaceDN w:val="0"/>
        <w:adjustRightInd w:val="0"/>
        <w:jc w:val="both"/>
        <w:rPr>
          <w:color w:val="000000" w:themeColor="text1"/>
          <w:sz w:val="16"/>
          <w:szCs w:val="16"/>
        </w:rPr>
      </w:pPr>
    </w:p>
    <w:p w14:paraId="3C8DA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в Египте и Турции состоялось голосование о присоединении к союзникам против сил оси (2248,3).</w:t>
      </w:r>
    </w:p>
    <w:p w14:paraId="21739EBD" w14:textId="77777777" w:rsidR="00665165" w:rsidRPr="00F90EAE" w:rsidRDefault="00665165" w:rsidP="00F90EAE">
      <w:pPr>
        <w:autoSpaceDE w:val="0"/>
        <w:autoSpaceDN w:val="0"/>
        <w:adjustRightInd w:val="0"/>
        <w:jc w:val="both"/>
        <w:rPr>
          <w:color w:val="000000" w:themeColor="text1"/>
          <w:sz w:val="16"/>
          <w:szCs w:val="16"/>
        </w:rPr>
      </w:pPr>
    </w:p>
    <w:p w14:paraId="6B9D6F2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23, 1945: In the West, the US Ninth Army (Simpson) begins an offensive from its bridgeheads on the Roer river leading to the bloody battle of the Hurtgen Forest. In the Esat, the Red Army captures the isolated fortress city of Posen (3819).</w:t>
      </w:r>
    </w:p>
    <w:p w14:paraId="11BD4738" w14:textId="77777777" w:rsidR="00665165" w:rsidRPr="00F90EAE" w:rsidRDefault="00665165" w:rsidP="00F90EAE">
      <w:pPr>
        <w:autoSpaceDE w:val="0"/>
        <w:autoSpaceDN w:val="0"/>
        <w:adjustRightInd w:val="0"/>
        <w:jc w:val="both"/>
        <w:rPr>
          <w:color w:val="000000" w:themeColor="text1"/>
          <w:sz w:val="16"/>
          <w:szCs w:val="16"/>
          <w:lang w:val="en-US"/>
        </w:rPr>
      </w:pPr>
    </w:p>
    <w:p w14:paraId="2561D72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23 февраля 1945 9А США (Симпсон) начала наступление с плацдарма на Роер, которое привело к кровавой битве на Хуртгенею КАзахватилакрепостьПоссен</w:t>
      </w:r>
      <w:r w:rsidRPr="00F90EAE">
        <w:rPr>
          <w:color w:val="000000" w:themeColor="text1"/>
          <w:sz w:val="16"/>
          <w:szCs w:val="16"/>
          <w:lang w:val="en-US"/>
        </w:rPr>
        <w:t xml:space="preserve"> (3819).</w:t>
      </w:r>
    </w:p>
    <w:p w14:paraId="3586F823" w14:textId="77777777" w:rsidR="00665165" w:rsidRPr="00F90EAE" w:rsidRDefault="00665165" w:rsidP="00F90EAE">
      <w:pPr>
        <w:autoSpaceDE w:val="0"/>
        <w:autoSpaceDN w:val="0"/>
        <w:adjustRightInd w:val="0"/>
        <w:jc w:val="both"/>
        <w:rPr>
          <w:color w:val="000000" w:themeColor="text1"/>
          <w:sz w:val="16"/>
          <w:szCs w:val="16"/>
          <w:lang w:val="en-US"/>
        </w:rPr>
      </w:pPr>
    </w:p>
    <w:p w14:paraId="15EA26D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23, 1945 - A fire bomb test raid on Tokyo with 172 planes burns one square mile, the most destructive raid on Japan to date (1039).</w:t>
      </w:r>
    </w:p>
    <w:p w14:paraId="52DFDA12" w14:textId="77777777" w:rsidR="00665165" w:rsidRPr="00F90EAE" w:rsidRDefault="00665165" w:rsidP="00F90EAE">
      <w:pPr>
        <w:autoSpaceDE w:val="0"/>
        <w:autoSpaceDN w:val="0"/>
        <w:adjustRightInd w:val="0"/>
        <w:jc w:val="both"/>
        <w:rPr>
          <w:color w:val="000000" w:themeColor="text1"/>
          <w:sz w:val="16"/>
          <w:szCs w:val="16"/>
          <w:lang w:val="en-US"/>
        </w:rPr>
      </w:pPr>
    </w:p>
    <w:p w14:paraId="70BDBC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состоялся налет на Токио 172 бомбардировщиков с зажигательными бомбами, которые полностью уничтожили одну квадратную милю города (1039).</w:t>
      </w:r>
    </w:p>
    <w:p w14:paraId="39F86404" w14:textId="77777777" w:rsidR="00665165" w:rsidRPr="00F90EAE" w:rsidRDefault="00665165" w:rsidP="00F90EAE">
      <w:pPr>
        <w:autoSpaceDE w:val="0"/>
        <w:autoSpaceDN w:val="0"/>
        <w:adjustRightInd w:val="0"/>
        <w:jc w:val="both"/>
        <w:rPr>
          <w:color w:val="000000" w:themeColor="text1"/>
          <w:sz w:val="16"/>
          <w:szCs w:val="16"/>
        </w:rPr>
      </w:pPr>
    </w:p>
    <w:p w14:paraId="0921B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февраля 1945 морские пехотинцы США водрузили флаг на горе в Иводзиме (2248,3).</w:t>
      </w:r>
    </w:p>
    <w:p w14:paraId="6D6EF65E" w14:textId="77777777" w:rsidR="00665165" w:rsidRPr="00F90EAE" w:rsidRDefault="00665165" w:rsidP="00F90EAE">
      <w:pPr>
        <w:autoSpaceDE w:val="0"/>
        <w:autoSpaceDN w:val="0"/>
        <w:adjustRightInd w:val="0"/>
        <w:jc w:val="both"/>
        <w:rPr>
          <w:color w:val="000000" w:themeColor="text1"/>
          <w:sz w:val="16"/>
          <w:szCs w:val="16"/>
        </w:rPr>
      </w:pPr>
    </w:p>
    <w:p w14:paraId="4BDE1AC5" w14:textId="77777777" w:rsidR="00580BC7" w:rsidRPr="00F90EAE" w:rsidRDefault="00580BC7" w:rsidP="00F90EAE">
      <w:pPr>
        <w:jc w:val="both"/>
        <w:rPr>
          <w:color w:val="0070C0"/>
          <w:sz w:val="16"/>
          <w:szCs w:val="16"/>
        </w:rPr>
      </w:pPr>
      <w:r w:rsidRPr="00F90EAE">
        <w:rPr>
          <w:color w:val="0070C0"/>
          <w:sz w:val="16"/>
          <w:szCs w:val="16"/>
        </w:rPr>
        <w:t>23 февраля - 2 марта 1945 эскадрилья ночных истребителей на борту авианосца «Энтерпрайз» (CV-6), действующего у Иводзимы, удерживает самолеты в воздухе рекордные 174 часа подряд (20371).</w:t>
      </w:r>
    </w:p>
    <w:p w14:paraId="22B5CDE3" w14:textId="77777777" w:rsidR="00580BC7" w:rsidRPr="00F90EAE" w:rsidRDefault="00580BC7" w:rsidP="00F90EAE">
      <w:pPr>
        <w:jc w:val="both"/>
        <w:rPr>
          <w:color w:val="0070C0"/>
          <w:sz w:val="16"/>
          <w:szCs w:val="16"/>
        </w:rPr>
      </w:pPr>
    </w:p>
    <w:p w14:paraId="54EE65D0" w14:textId="77777777" w:rsidR="00D92245" w:rsidRPr="00F90EAE" w:rsidRDefault="00D92245" w:rsidP="00F90EAE">
      <w:pPr>
        <w:jc w:val="both"/>
        <w:rPr>
          <w:color w:val="000000" w:themeColor="text1"/>
          <w:sz w:val="16"/>
          <w:szCs w:val="16"/>
        </w:rPr>
      </w:pPr>
      <w:r w:rsidRPr="00F90EAE">
        <w:rPr>
          <w:bCs/>
          <w:color w:val="000000" w:themeColor="text1"/>
          <w:sz w:val="16"/>
          <w:szCs w:val="16"/>
        </w:rPr>
        <w:t>23 февраля</w:t>
      </w:r>
      <w:r w:rsidRPr="00F90EAE">
        <w:rPr>
          <w:color w:val="000000" w:themeColor="text1"/>
          <w:sz w:val="16"/>
          <w:szCs w:val="16"/>
        </w:rPr>
        <w:t xml:space="preserve"> в 1945 году рота Е 2-го батальона 28-го полка 5-й дивизии морской пехоты США овладела горой Сурибаши , господствующей высотой острова Иводжима. Фотография шестерых морских пехотинцев водружающих флаг на горе , сделанная фотографом Ассошиэйтид Пресс Джо Розенталем, стала одной из самых знаменитых фотографий Второй мировой войны (15049).</w:t>
      </w:r>
    </w:p>
    <w:p w14:paraId="58C4CB88" w14:textId="77777777" w:rsidR="00D92245" w:rsidRPr="00F90EAE" w:rsidRDefault="00D92245" w:rsidP="00F90EAE">
      <w:pPr>
        <w:jc w:val="both"/>
        <w:rPr>
          <w:color w:val="000000" w:themeColor="text1"/>
          <w:sz w:val="16"/>
          <w:szCs w:val="16"/>
        </w:rPr>
      </w:pPr>
    </w:p>
    <w:p w14:paraId="10C0FAA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65B73E9" w14:textId="77777777" w:rsidR="00665165" w:rsidRPr="00F90EAE" w:rsidRDefault="00665165" w:rsidP="00F90EAE">
      <w:pPr>
        <w:autoSpaceDE w:val="0"/>
        <w:autoSpaceDN w:val="0"/>
        <w:adjustRightInd w:val="0"/>
        <w:jc w:val="both"/>
        <w:rPr>
          <w:iCs/>
          <w:color w:val="000000" w:themeColor="text1"/>
          <w:sz w:val="16"/>
          <w:szCs w:val="16"/>
        </w:rPr>
      </w:pPr>
    </w:p>
    <w:p w14:paraId="0D7A9C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нач. 1У НИИ ВВС гмиас Сафонов и 26 февраля 1945 Зам. Нач. НИИ ВВС глиас Лосюков подписали Заключение по госиспытаниям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33DDE7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февраля 1945 в НИИ ВВС закончились испытания Ил-2 N 18840122 с АМ-38Ф и винтом АВ-5Л-158 производства 18 завода, изготовленного в ноябре 1944, которые проводились с 25 января.</w:t>
      </w:r>
    </w:p>
    <w:p w14:paraId="631429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23 января 1945 в НИИ ВВС поступил на гос. испытания </w:t>
      </w:r>
    </w:p>
    <w:p w14:paraId="179B33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состоялись с 25 января по 19 февраля 1945 в НИИ ВВС.</w:t>
      </w:r>
    </w:p>
    <w:p w14:paraId="38216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и ип/п П.Т.Аброщенко</w:t>
      </w:r>
    </w:p>
    <w:p w14:paraId="74CC86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л-к 5 отд. 1У ГК НИИ ВВС к-н Г.А.Тиняков, подписал 22 февраля</w:t>
      </w:r>
    </w:p>
    <w:p w14:paraId="6544CB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гм-р Стефановский - подписал 23 февраля</w:t>
      </w:r>
    </w:p>
    <w:p w14:paraId="1B2DEB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5 отд. по л/ч п/п Долгов</w:t>
      </w:r>
    </w:p>
    <w:p w14:paraId="4BBC7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Установлены кнопки управления передатчиком на ручкуе сектора нормального газа</w:t>
      </w:r>
    </w:p>
    <w:p w14:paraId="186F92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система газового запуска холодного мотора</w:t>
      </w:r>
    </w:p>
    <w:p w14:paraId="0B4285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на испытания 23 января</w:t>
      </w:r>
    </w:p>
    <w:p w14:paraId="11F990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полетов, налет 10:50</w:t>
      </w:r>
    </w:p>
    <w:p w14:paraId="2E2BB4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4644 кг, загруженного с-та с нормальной нагрузкой - 6325, ц/т 27,5%</w:t>
      </w:r>
    </w:p>
    <w:p w14:paraId="5DC360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Угол капотирования при торможении 30Ж20</w:t>
      </w:r>
    </w:p>
    <w:p w14:paraId="2B46F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состоит из:</w:t>
      </w:r>
    </w:p>
    <w:p w14:paraId="5B7841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- 190 кг</w:t>
      </w:r>
    </w:p>
    <w:p w14:paraId="2F6314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- 545 кг (0,747)</w:t>
      </w:r>
    </w:p>
    <w:p w14:paraId="0712F7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- 65 кг</w:t>
      </w:r>
    </w:p>
    <w:p w14:paraId="7DB976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- 400 кг</w:t>
      </w:r>
    </w:p>
    <w:p w14:paraId="4F0D60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2хВЯ - 132 кг, патроны к пушке (300) - 168 кг</w:t>
      </w:r>
    </w:p>
    <w:p w14:paraId="4F310E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УБТ - 21 кг, патроны (150) - 27</w:t>
      </w:r>
    </w:p>
    <w:p w14:paraId="27FE5E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2хШКАС - 21 кг, патронов ШКАС (1500) - 51 кг</w:t>
      </w:r>
    </w:p>
    <w:p w14:paraId="646F4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снарядов РС (4хРС-82) - 27 кг</w:t>
      </w:r>
    </w:p>
    <w:p w14:paraId="1B421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w:t>
      </w:r>
    </w:p>
    <w:p w14:paraId="52C081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- 15</w:t>
      </w:r>
    </w:p>
    <w:p w14:paraId="3E4202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вооружения - 29</w:t>
      </w:r>
    </w:p>
    <w:p w14:paraId="05610A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- 1681 кг</w:t>
      </w:r>
    </w:p>
    <w:p w14:paraId="76CCF4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ЛТД</w:t>
      </w:r>
    </w:p>
    <w:p w14:paraId="2FCF1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405 км/час на 1200 м</w:t>
      </w:r>
    </w:p>
    <w:p w14:paraId="3745A4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1000 м - 2,6 мин., на 3000 м - 8,8 мин.</w:t>
      </w:r>
    </w:p>
    <w:p w14:paraId="05D47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5800 м, набор за 38 мин.</w:t>
      </w:r>
    </w:p>
    <w:p w14:paraId="4266CF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мерилась при закрытых фонарях кабины л и стрелка,Ю окрытых полностью заслонках водо и маслорадиатора</w:t>
      </w:r>
    </w:p>
    <w:p w14:paraId="7D3DB8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при весе 6325 и 2050 оборотах и Ра 1220</w:t>
      </w:r>
    </w:p>
    <w:p w14:paraId="43DD8F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0 - 6,3</w:t>
      </w:r>
    </w:p>
    <w:p w14:paraId="25DBD2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850 - 6,8</w:t>
      </w:r>
    </w:p>
    <w:p w14:paraId="7D38AE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3000 - 4</w:t>
      </w:r>
    </w:p>
    <w:p w14:paraId="02934E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5800 - ,5</w:t>
      </w:r>
    </w:p>
    <w:p w14:paraId="683036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 эксплуатируется на бензине 4Б-78 и масле АО-8 М6</w:t>
      </w:r>
    </w:p>
    <w:p w14:paraId="1CB89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Тиняков: управляемость с-та - хорошая, усилия на ручке - не большие (804,4)</w:t>
      </w:r>
    </w:p>
    <w:p w14:paraId="7102DD98" w14:textId="77777777" w:rsidR="00665165" w:rsidRPr="00F90EAE" w:rsidRDefault="00665165" w:rsidP="00F90EAE">
      <w:pPr>
        <w:autoSpaceDE w:val="0"/>
        <w:autoSpaceDN w:val="0"/>
        <w:adjustRightInd w:val="0"/>
        <w:jc w:val="both"/>
        <w:rPr>
          <w:color w:val="000000" w:themeColor="text1"/>
          <w:sz w:val="16"/>
          <w:szCs w:val="16"/>
        </w:rPr>
      </w:pPr>
    </w:p>
    <w:p w14:paraId="15FC0795" w14:textId="77777777" w:rsidR="0061576E" w:rsidRPr="00F90EAE" w:rsidRDefault="0061576E"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 24 февраля 1945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00BBA03F"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38FF3E72"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30B5FAD"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566240FE"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1264459D"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2BCF5CBF"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4D25D484"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закрытые сеткой «Дельбак» в один слой.</w:t>
      </w:r>
    </w:p>
    <w:p w14:paraId="3F56B095"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7BC11BCB" w14:textId="77777777" w:rsidR="0061576E" w:rsidRPr="00F90EAE" w:rsidRDefault="0061576E" w:rsidP="00F90EAE">
      <w:pPr>
        <w:jc w:val="both"/>
        <w:rPr>
          <w:color w:val="000000" w:themeColor="text1"/>
          <w:sz w:val="16"/>
          <w:szCs w:val="16"/>
        </w:rPr>
      </w:pPr>
      <w:r w:rsidRPr="00F90EAE">
        <w:rPr>
          <w:rStyle w:val="107"/>
          <w:rFonts w:eastAsiaTheme="minorHAnsi"/>
          <w:color w:val="000000" w:themeColor="text1"/>
          <w:sz w:val="16"/>
          <w:szCs w:val="16"/>
        </w:rPr>
        <w:lastRenderedPageBreak/>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3A542884" w14:textId="77777777" w:rsidR="0061576E" w:rsidRPr="00F90EAE" w:rsidRDefault="0061576E" w:rsidP="00F90EAE">
      <w:pPr>
        <w:jc w:val="both"/>
        <w:rPr>
          <w:rStyle w:val="107"/>
          <w:rFonts w:eastAsiaTheme="minorHAnsi"/>
          <w:color w:val="000000" w:themeColor="text1"/>
          <w:sz w:val="16"/>
          <w:szCs w:val="16"/>
        </w:rPr>
      </w:pPr>
    </w:p>
    <w:p w14:paraId="49A32D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года начальник штаба ВВС маршал авиации Худяков писал письмо N 626053с Шахурину.</w:t>
      </w:r>
    </w:p>
    <w:p w14:paraId="14225B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N И-32/774.</w:t>
      </w:r>
    </w:p>
    <w:p w14:paraId="051A9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Предоставить в Ваше распоряжение самолет "Либерейтор Б-24Д" не представляется возможным, т.к. этот самолет является у нас единственным и на нем проходит обучение летный и технический состав 18 воздушной армии (1879,140).</w:t>
      </w:r>
    </w:p>
    <w:p w14:paraId="676D8F83" w14:textId="77777777" w:rsidR="00665165" w:rsidRPr="00F90EAE" w:rsidRDefault="00665165" w:rsidP="00F90EAE">
      <w:pPr>
        <w:autoSpaceDE w:val="0"/>
        <w:autoSpaceDN w:val="0"/>
        <w:adjustRightInd w:val="0"/>
        <w:jc w:val="both"/>
        <w:rPr>
          <w:color w:val="000000" w:themeColor="text1"/>
          <w:sz w:val="16"/>
          <w:szCs w:val="16"/>
        </w:rPr>
      </w:pPr>
    </w:p>
    <w:p w14:paraId="71278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закончились заводские испытания в Ла-7Р-1, которые начались с 27 октября 1944. А.В.Давыдов выполнил 15 полетов, включая 5 с включением ЖРД. Всего было 57 огневых пусков ЖРД на земле и 6 в воздухе (2234,6).</w:t>
      </w:r>
    </w:p>
    <w:p w14:paraId="14A6D6E4" w14:textId="77777777" w:rsidR="00665165" w:rsidRPr="00F90EAE" w:rsidRDefault="00665165" w:rsidP="00F90EAE">
      <w:pPr>
        <w:autoSpaceDE w:val="0"/>
        <w:autoSpaceDN w:val="0"/>
        <w:adjustRightInd w:val="0"/>
        <w:jc w:val="both"/>
        <w:rPr>
          <w:color w:val="000000" w:themeColor="text1"/>
          <w:sz w:val="16"/>
          <w:szCs w:val="16"/>
        </w:rPr>
      </w:pPr>
    </w:p>
    <w:p w14:paraId="5F8E95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24 февраля 1945 г. состоялось лишь 15 полётов Ла-7Р-1, из них только пять с включением ЖРД, после чего машине потребовался ремонт. В начале ноября 1944 лётчик А.В. Давыдов выполнил на Ла-7Р-1 первый полёт. В октябре 1944 г. завод № 381 построил первый такой самолёт, Ла-7Р-1. В его хвостовой части находился ЖРД РД-1 с насосной системой подачи компонентов с приводом от основного двигателя АШ-82ФН. Бак окислителя, вмещавший 270 кг азотной кислоты, размещался в центроплане, а бак горючего (на 60 кг керосина) - в правой консоли крыла. Этого хватало на 3 - 3,5 минуты полёта. При этом запас бензина сократили до 210 кг. Управление ЖРД осуществлялось с помощью рычага газа и пускового крана (вентиля). Причин для задержки испытаний было достаточно. Прежде всего, несмотря на использование в силовой установке таких кислотостойких материалов, как чистый алюминий и его сплавы, а также нержавеющей стали, агрессивная кислота, попадая на некоторые агрегаты и узлы, безжалостно их разъедала, приводя в негодность (11986).</w:t>
      </w:r>
    </w:p>
    <w:p w14:paraId="7C06B9E7" w14:textId="77777777" w:rsidR="00665165" w:rsidRPr="00F90EAE" w:rsidRDefault="00665165" w:rsidP="00F90EAE">
      <w:pPr>
        <w:autoSpaceDE w:val="0"/>
        <w:autoSpaceDN w:val="0"/>
        <w:adjustRightInd w:val="0"/>
        <w:jc w:val="both"/>
        <w:rPr>
          <w:color w:val="000000" w:themeColor="text1"/>
          <w:sz w:val="16"/>
          <w:szCs w:val="16"/>
        </w:rPr>
      </w:pPr>
    </w:p>
    <w:p w14:paraId="2916CE2D" w14:textId="77777777" w:rsidR="00010A2F" w:rsidRPr="00F90EAE" w:rsidRDefault="00010A2F"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завершились программные заводские испытания и самолет </w:t>
      </w:r>
      <w:hyperlink r:id="rId46" w:tgtFrame="_blank" w:history="1">
        <w:r w:rsidRPr="00F90EAE">
          <w:rPr>
            <w:color w:val="000000" w:themeColor="text1"/>
            <w:sz w:val="16"/>
            <w:szCs w:val="16"/>
          </w:rPr>
          <w:t xml:space="preserve">«Ла-7Р-1» </w:t>
        </w:r>
      </w:hyperlink>
      <w:r w:rsidRPr="00F90EAE">
        <w:rPr>
          <w:color w:val="000000" w:themeColor="text1"/>
          <w:sz w:val="16"/>
          <w:szCs w:val="16"/>
        </w:rPr>
        <w:t>был поставлен на ремонт. Всего летчик-испытатель А.В.Давыдов произвел 15 полетов, в том числе пять - с включением «РД-1». Общее количество огневых запусков ЖРД составило: пятьдесят семь - на земле и шесть - в воздухе. Заводские испытания «Ла-7Р-1» начались 27 октября 1944 г. В первых числах ноября на нем совершили два полета для опробования винтомоторной группы (ВМГ) без включения ЖРД. При последующих наземных испытаниях «РД-1» обнаружилось, что крутящий момент, создаваемый приводом от «АШ-82ФН» к насосному агрегату ЖРД, недостаточен. После устранения дефекта летные испытания продолжились. С целью отработки «РД-1» на высотах 3000-3200 м произвели 6-8 зажиганий и 4 огневых запуска двигателя «РД-1», причем два огневых запуска - до полной выработки компонентов топлива. Зажигание и огневой запуск проходили нормально. Но по мере выработки топлива, примерно через две с половиной минуты, возникла пульсация в выхлопе «РД-1» и давление в камере сгорания колебалась до 8 атмосфер. Три полета были посвящены отработке повторных огневых запусков ЖРД. В первом из них двигатель отказал полностью; во втором -- после первого запуска он проработал 15 секунд, а при повторном - отказал; в третьем - в двух пусках «РД-1» проработал по 15 секунд, но при еще одной попытке запуска отказал. Установить причину отказов так и не удалось. В трех других полетах определялись максимальные горизонтальные скорости на высоте 3000 метров на номинальном режиме работы «АШ-82ФН» с неработающим и работающим ЖРД. В наиболее удачном третьем полете прирост скорости за счет работы «РД-1» составил 85 км/ч (15050).</w:t>
      </w:r>
    </w:p>
    <w:p w14:paraId="6AF0668B" w14:textId="77777777" w:rsidR="00010A2F" w:rsidRPr="00F90EAE" w:rsidRDefault="00010A2F" w:rsidP="00F90EAE">
      <w:pPr>
        <w:jc w:val="both"/>
        <w:rPr>
          <w:color w:val="000000" w:themeColor="text1"/>
          <w:sz w:val="16"/>
          <w:szCs w:val="16"/>
        </w:rPr>
      </w:pPr>
    </w:p>
    <w:p w14:paraId="239AC64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3B64FB8" w14:textId="77777777" w:rsidR="00665165" w:rsidRPr="00F90EAE" w:rsidRDefault="00665165" w:rsidP="00F90EAE">
      <w:pPr>
        <w:autoSpaceDE w:val="0"/>
        <w:autoSpaceDN w:val="0"/>
        <w:adjustRightInd w:val="0"/>
        <w:jc w:val="both"/>
        <w:rPr>
          <w:iCs/>
          <w:color w:val="000000" w:themeColor="text1"/>
          <w:sz w:val="16"/>
          <w:szCs w:val="16"/>
        </w:rPr>
      </w:pPr>
    </w:p>
    <w:p w14:paraId="041CED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вышло Распоряжение ГКО № 7589. О мерах по обеспечению Златоустовского металлургического завода НКЧМ мазутом для выплавки качественных сталей. РГАНИР, Фонд ГКО, д. 373, лл. 47 (11012).</w:t>
      </w:r>
    </w:p>
    <w:p w14:paraId="64DDC43F" w14:textId="77777777" w:rsidR="00665165" w:rsidRPr="00F90EAE" w:rsidRDefault="00665165" w:rsidP="00F90EAE">
      <w:pPr>
        <w:autoSpaceDE w:val="0"/>
        <w:autoSpaceDN w:val="0"/>
        <w:adjustRightInd w:val="0"/>
        <w:jc w:val="both"/>
        <w:rPr>
          <w:color w:val="000000" w:themeColor="text1"/>
          <w:sz w:val="16"/>
          <w:szCs w:val="16"/>
        </w:rPr>
      </w:pPr>
    </w:p>
    <w:p w14:paraId="2ABE8EF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B803B2D" w14:textId="77777777" w:rsidR="00665165" w:rsidRPr="00F90EAE" w:rsidRDefault="00665165" w:rsidP="00F90EAE">
      <w:pPr>
        <w:autoSpaceDE w:val="0"/>
        <w:autoSpaceDN w:val="0"/>
        <w:adjustRightInd w:val="0"/>
        <w:jc w:val="both"/>
        <w:rPr>
          <w:iCs/>
          <w:color w:val="000000" w:themeColor="text1"/>
          <w:sz w:val="16"/>
          <w:szCs w:val="16"/>
        </w:rPr>
      </w:pPr>
    </w:p>
    <w:p w14:paraId="316B2130" w14:textId="77777777" w:rsidR="002E6E09" w:rsidRPr="00F90EAE" w:rsidRDefault="002E6E09"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оперативная сводка Совинформбюро:</w:t>
      </w:r>
    </w:p>
    <w:p w14:paraId="75E50161" w14:textId="77777777" w:rsidR="002E6E09" w:rsidRPr="00F90EAE" w:rsidRDefault="002E6E09" w:rsidP="00F90EAE">
      <w:pPr>
        <w:jc w:val="both"/>
        <w:rPr>
          <w:color w:val="000000" w:themeColor="text1"/>
          <w:sz w:val="16"/>
          <w:szCs w:val="16"/>
        </w:rPr>
      </w:pPr>
      <w:r w:rsidRPr="00F90EAE">
        <w:rPr>
          <w:color w:val="000000" w:themeColor="text1"/>
          <w:sz w:val="16"/>
          <w:szCs w:val="16"/>
        </w:rPr>
        <w:t>«В течение 24 февраля на Земландском полуострове северо-западнее Кенигсберга наши войска отбивали атаки пехоты и танков противника. Одновременно юго-западнее Кенигсберга наши войска вели бои по уничтожению Восточно-Прусской группировки противника и овладели населёнными пунктами Эккер, Кукенен, Лангендорф, Квишен, Пербанден, Шенеберг, Раушбах, Антикен, Швиллгарбен.</w:t>
      </w:r>
    </w:p>
    <w:p w14:paraId="6D72E95C" w14:textId="77777777" w:rsidR="002E6E09" w:rsidRPr="00F90EAE" w:rsidRDefault="002E6E09" w:rsidP="00F90EAE">
      <w:pPr>
        <w:jc w:val="both"/>
        <w:rPr>
          <w:color w:val="000000" w:themeColor="text1"/>
          <w:sz w:val="16"/>
          <w:szCs w:val="16"/>
        </w:rPr>
      </w:pPr>
      <w:r w:rsidRPr="00F90EAE">
        <w:rPr>
          <w:color w:val="000000" w:themeColor="text1"/>
          <w:sz w:val="16"/>
          <w:szCs w:val="16"/>
        </w:rPr>
        <w:t>Южнее и юго-западнее Данцига наши войска в результате наступательных боёв овладели населёнными пунктами Жеронжно, Максхаузен, Вельбрандово, Оссово, Замосц, Клодня, Гросс-Иенцник, Моссин, Штайнборн, Штретцин. В городе Грудзяндз (Грауденц) продолжались бои по уничтожению окружённого гарнизона противника.</w:t>
      </w:r>
    </w:p>
    <w:p w14:paraId="6C6F69D4" w14:textId="77777777" w:rsidR="002E6E09" w:rsidRPr="00F90EAE" w:rsidRDefault="002E6E09" w:rsidP="00F90EAE">
      <w:pPr>
        <w:jc w:val="both"/>
        <w:rPr>
          <w:color w:val="000000" w:themeColor="text1"/>
          <w:sz w:val="16"/>
          <w:szCs w:val="16"/>
        </w:rPr>
      </w:pPr>
      <w:r w:rsidRPr="00F90EAE">
        <w:rPr>
          <w:color w:val="000000" w:themeColor="text1"/>
          <w:sz w:val="16"/>
          <w:szCs w:val="16"/>
        </w:rPr>
        <w:t>В районе Бреслау наши войска, продолжая бои по уничтожению окружённом в городе группировки противника, овладели пригородом Ольташин и заняли 15 кварталов в южной части города.</w:t>
      </w:r>
    </w:p>
    <w:p w14:paraId="093BCA27" w14:textId="77777777" w:rsidR="002E6E09" w:rsidRPr="00F90EAE" w:rsidRDefault="002E6E09" w:rsidP="00F90EAE">
      <w:pPr>
        <w:jc w:val="both"/>
        <w:rPr>
          <w:color w:val="000000" w:themeColor="text1"/>
          <w:sz w:val="16"/>
          <w:szCs w:val="16"/>
        </w:rPr>
      </w:pPr>
      <w:r w:rsidRPr="00F90EAE">
        <w:rPr>
          <w:color w:val="000000" w:themeColor="text1"/>
          <w:sz w:val="16"/>
          <w:szCs w:val="16"/>
        </w:rPr>
        <w:t>На северном берегу Дуная восточнее Комарно наши войска отбивали атаки крупных сил пехоты и танков противника.</w:t>
      </w:r>
    </w:p>
    <w:p w14:paraId="55C6EF71" w14:textId="77777777" w:rsidR="002E6E09" w:rsidRPr="00F90EAE" w:rsidRDefault="002E6E09"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4BDCA182" w14:textId="77777777" w:rsidR="002E6E09" w:rsidRPr="00F90EAE" w:rsidRDefault="002E6E09" w:rsidP="00F90EAE">
      <w:pPr>
        <w:jc w:val="both"/>
        <w:rPr>
          <w:color w:val="000000" w:themeColor="text1"/>
          <w:sz w:val="16"/>
          <w:szCs w:val="16"/>
        </w:rPr>
      </w:pPr>
      <w:r w:rsidRPr="00F90EAE">
        <w:rPr>
          <w:color w:val="000000" w:themeColor="text1"/>
          <w:sz w:val="16"/>
          <w:szCs w:val="16"/>
        </w:rPr>
        <w:t>За 23 февраля на всех фронтах подбито и уничтожено 116 немецких танков. В воздушных боях и огнём зенитной артиллерии сбито 34 самолёта противника.</w:t>
      </w:r>
    </w:p>
    <w:p w14:paraId="6A2CE1CC" w14:textId="77777777" w:rsidR="002E6E09" w:rsidRPr="00F90EAE" w:rsidRDefault="002E6E09"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бои по ликвидации Восточно-Прусской группировки немцев. Части Н-ского соединения сломили сопротивление противника и полностью очистили шоссе Лихтенфельд — Цинтен. Другие наши части, наступающие с юга на север, выбили немцев из ряда опорных пунктов. Советские танкисты и пехотинцы, наносящие удары с запада на восток, захватили несколько десятков железобетонных дотов и ведут бои за перекрёсток шоссейных дорог в 8 километрах юго-восточнее города Браунсберг. В ходе боёв за день уничтожено свыше 2 тысяч немецких солдат и офицеров. Захвачены трофеи и пленные.</w:t>
      </w:r>
    </w:p>
    <w:p w14:paraId="56DF4CB0" w14:textId="77777777" w:rsidR="002E6E09" w:rsidRPr="00F90EAE" w:rsidRDefault="002E6E09" w:rsidP="00F90EAE">
      <w:pPr>
        <w:jc w:val="both"/>
        <w:rPr>
          <w:color w:val="000000" w:themeColor="text1"/>
          <w:sz w:val="16"/>
          <w:szCs w:val="16"/>
        </w:rPr>
      </w:pPr>
      <w:r w:rsidRPr="00F90EAE">
        <w:rPr>
          <w:color w:val="000000" w:themeColor="text1"/>
          <w:sz w:val="16"/>
          <w:szCs w:val="16"/>
        </w:rPr>
        <w:t>В боях в Восточной Пруссии отважно действуют советские танкисты. Танковая рота капитана Симуткина в короткой схватке подбила 3 немецких танка, орудие, 12 автомашин и захватила 8 исправных танков «Пантера». На другом участке огонь из немецкого дота преградил путь нашей пехоте. Танк лейтенанта Подачина огнём из пушки разбил дверь дота. Оставшиеся в живых 8 гитлеровцев сдались в плен. Танки младших лейтенантов Буянова и Демидова ворвались в населённый пункт, уничтожили свыше роты гитлеровцев и захватили 6 исправных орудий.</w:t>
      </w:r>
    </w:p>
    <w:p w14:paraId="4F8DE643" w14:textId="77777777" w:rsidR="002E6E09" w:rsidRPr="00F90EAE" w:rsidRDefault="002E6E09" w:rsidP="00F90EAE">
      <w:pPr>
        <w:jc w:val="both"/>
        <w:rPr>
          <w:color w:val="000000" w:themeColor="text1"/>
          <w:sz w:val="16"/>
          <w:szCs w:val="16"/>
        </w:rPr>
      </w:pPr>
      <w:r w:rsidRPr="00F90EAE">
        <w:rPr>
          <w:color w:val="000000" w:themeColor="text1"/>
          <w:sz w:val="16"/>
          <w:szCs w:val="16"/>
        </w:rPr>
        <w:t>Южнее города Данциг немцы подтянули свежие силы и пытались контратаками задержать наступающие советские части. Наши войска, действующие вдоль западного берега реки Вислы, отразили вражеские контратаки и, продвигаясь вперёд, выбили немцев из нескольких населённых пунктов. Другие наши части овладели узлом шоссейных дорог Мессин. На одном участке противник бросил в контратаки танки. Встреченные огнём советской артиллерии, немцы потеряли 17 танков и были отброшены.</w:t>
      </w:r>
    </w:p>
    <w:p w14:paraId="11C76884" w14:textId="77777777" w:rsidR="002E6E09" w:rsidRPr="00F90EAE" w:rsidRDefault="002E6E09" w:rsidP="00F90EAE">
      <w:pPr>
        <w:jc w:val="both"/>
        <w:rPr>
          <w:color w:val="000000" w:themeColor="text1"/>
          <w:sz w:val="16"/>
          <w:szCs w:val="16"/>
        </w:rPr>
      </w:pPr>
      <w:r w:rsidRPr="00F90EAE">
        <w:rPr>
          <w:color w:val="000000" w:themeColor="text1"/>
          <w:sz w:val="16"/>
          <w:szCs w:val="16"/>
        </w:rPr>
        <w:t>В городе Грудзяндз (Грауденц) наши войска продолжали вести бои по ликвидации окружённого гарнизона противника. Советская артиллерия и авиация мощным огнём и бомбовыми ударами разрушали крепость, форты и доты. Вражеский гарнизон несёт огромные потери и под ударами советских частей теряет одну позицию за другой. Ночью до батальона немецкой пехоты из состава окружённого гарнизона переправились через Вислу и пытались скрыться в лесах. Гитлеровцы попали в огневой мешок и в большей своей части были уничтожены.</w:t>
      </w:r>
    </w:p>
    <w:p w14:paraId="2A015111" w14:textId="77777777" w:rsidR="002E6E09" w:rsidRPr="00F90EAE" w:rsidRDefault="002E6E09" w:rsidP="00F90EAE">
      <w:pPr>
        <w:jc w:val="both"/>
        <w:rPr>
          <w:color w:val="000000" w:themeColor="text1"/>
          <w:sz w:val="16"/>
          <w:szCs w:val="16"/>
        </w:rPr>
      </w:pPr>
      <w:r w:rsidRPr="00F90EAE">
        <w:rPr>
          <w:color w:val="000000" w:themeColor="text1"/>
          <w:sz w:val="16"/>
          <w:szCs w:val="16"/>
        </w:rPr>
        <w:t>В Бреслау наши войска продолжали сжимать кольцо окружения группировки противника. Советские части, ворвавшиеся в город с юга, настойчиво продвигаются вперёд, подавляя вражеские узлы сопротивления. В результате артиллерийского обстрела и последовавшей затем атаки немцы выбиты из казарм. Занята также водонапорная башня, превращенная в сильно укреплённый опорный пункт обороны. Советские артиллеристы, расчищая путь пехоте огнём, прямой наводкой уничтожают пулемёты и орудия противника, установленные в подвалах и на чердаках домов. На другом участке наши части овладели пригородом Ольташин и заняли железнодорожную станцию. Захвачено много трофеев. Уничтожено 22 танка и 12 бронетранспортёров противника.</w:t>
      </w:r>
    </w:p>
    <w:p w14:paraId="0F8FCD19" w14:textId="77777777" w:rsidR="002E6E09" w:rsidRPr="00F90EAE" w:rsidRDefault="002E6E09" w:rsidP="00F90EAE">
      <w:pPr>
        <w:jc w:val="both"/>
        <w:rPr>
          <w:color w:val="000000" w:themeColor="text1"/>
          <w:sz w:val="16"/>
          <w:szCs w:val="16"/>
        </w:rPr>
      </w:pPr>
      <w:r w:rsidRPr="00F90EAE">
        <w:rPr>
          <w:color w:val="000000" w:themeColor="text1"/>
          <w:sz w:val="16"/>
          <w:szCs w:val="16"/>
        </w:rPr>
        <w:t>Кораблями Краснознамённого Балтийского флота в ночь на 24 февраля в южной части Балтийского моря потоплены два немецких транспорта и сторожевой корабль противника.</w:t>
      </w:r>
    </w:p>
    <w:p w14:paraId="1ABBFC58" w14:textId="77777777" w:rsidR="002E6E09" w:rsidRPr="00F90EAE" w:rsidRDefault="002E6E09" w:rsidP="00F90EAE">
      <w:pPr>
        <w:jc w:val="both"/>
        <w:rPr>
          <w:color w:val="000000" w:themeColor="text1"/>
          <w:sz w:val="16"/>
          <w:szCs w:val="16"/>
        </w:rPr>
      </w:pPr>
      <w:r w:rsidRPr="00F90EAE">
        <w:rPr>
          <w:color w:val="000000" w:themeColor="text1"/>
          <w:sz w:val="16"/>
          <w:szCs w:val="16"/>
        </w:rPr>
        <w:t>С огромным подъёмом встретили советские бойцы, сержанты, офицеры и генералы приказ Верховного Главнокомандующего Маршала Советского Союза товарища Сталина о 27-й годовщине Красной Армии. На фронте, в прифронтовых и тыловых гарнизонах во многих частях и подразделениях состоялись массовые митинги и собрания. Речи выступавших на митингах проникнуты горячей любовью и безграничной преданностью к товарищу Сталину, к нашей могучей Родине. Советские воины непреклонны в своей решимости вместе с армиями наших союзников довершить дело разгрома немецко-фашистской армии, завоевать полную и окончательную победу.</w:t>
      </w:r>
    </w:p>
    <w:p w14:paraId="38CC81A7" w14:textId="77777777" w:rsidR="002E6E09" w:rsidRPr="00F90EAE" w:rsidRDefault="002E6E09" w:rsidP="00F90EAE">
      <w:pPr>
        <w:jc w:val="both"/>
        <w:rPr>
          <w:color w:val="000000" w:themeColor="text1"/>
          <w:sz w:val="16"/>
          <w:szCs w:val="16"/>
        </w:rPr>
      </w:pPr>
      <w:r w:rsidRPr="00F90EAE">
        <w:rPr>
          <w:color w:val="000000" w:themeColor="text1"/>
          <w:sz w:val="16"/>
          <w:szCs w:val="16"/>
        </w:rPr>
        <w:t>Да 1-м Белорусском фронте в части, где командиром майор Белов, на митинге выступил гвардии майор Лобачёв. «Красная Армия, — сказал он, — прошла славный боевой путь. Свою 27-ю годовщину она отмечает на территории Германии. Нам предстоят ещё тяжёлые бои. Чувствуя свою неминуемую гибель, противник яростно сопротивляется. Он прибегает и будет прибегать к самым коварным средствам борьбы. Но ему не остановить наши полки, не избежать гибели. Сметая на своём пути все и всяческие преграды, мы дойдём до Берлина и водрузим над ним наше победное знамя».</w:t>
      </w:r>
    </w:p>
    <w:p w14:paraId="1896BAAA" w14:textId="77777777" w:rsidR="002E6E09" w:rsidRPr="00F90EAE" w:rsidRDefault="002E6E09" w:rsidP="00F90EAE">
      <w:pPr>
        <w:jc w:val="both"/>
        <w:rPr>
          <w:color w:val="000000" w:themeColor="text1"/>
          <w:sz w:val="16"/>
          <w:szCs w:val="16"/>
        </w:rPr>
      </w:pPr>
      <w:r w:rsidRPr="00F90EAE">
        <w:rPr>
          <w:color w:val="000000" w:themeColor="text1"/>
          <w:sz w:val="16"/>
          <w:szCs w:val="16"/>
        </w:rPr>
        <w:lastRenderedPageBreak/>
        <w:t>На 3-м Белорусском фронте на митинге в Н-ской части с речью выступил красноармеец Иванов. Он сказал: «Гитлеровские звери лютовали на нашей земле. Они разорили мою деревню, сожгли мою семью. Красная Армия очистила священную советскую землю от немецко-фашистских захватчиков и вторглась на территорию Германии. Мы навеки отобьём у немцев охоту грабить мирные народы, и издеваться над ними».</w:t>
      </w:r>
    </w:p>
    <w:p w14:paraId="6983BAD0" w14:textId="77777777" w:rsidR="002E6E09" w:rsidRPr="00F90EAE" w:rsidRDefault="002E6E09" w:rsidP="00F90EAE">
      <w:pPr>
        <w:jc w:val="both"/>
        <w:rPr>
          <w:color w:val="000000" w:themeColor="text1"/>
          <w:sz w:val="16"/>
          <w:szCs w:val="16"/>
        </w:rPr>
      </w:pPr>
      <w:r w:rsidRPr="00F90EAE">
        <w:rPr>
          <w:color w:val="000000" w:themeColor="text1"/>
          <w:sz w:val="16"/>
          <w:szCs w:val="16"/>
        </w:rPr>
        <w:t>На митинге в Н-ской авиационной части взволнованную речь произнёс лейтенант Янков. «Мощь Красной Армии крепнет с каждым днём,— говорит т. Янков.— Бойцы и командиры рвутся в бой. У каждого из нас есть свои личные счёты с немецкими извергами. Взять к примеру экипаж моего самолёта. Отца стрелка-радиста Мактусова гитлеровцы убили во время оккупации Смоленщины. Фашистские варвары издевались над моей матерью. Много зла и горя причинили они младшему лейтенанту Просвирову и его родным. Мы не успокоимся до тех пор, пока враг не будет повержен в прах».</w:t>
      </w:r>
    </w:p>
    <w:p w14:paraId="7DA29A18" w14:textId="77777777" w:rsidR="002E6E09" w:rsidRPr="00F90EAE" w:rsidRDefault="002E6E09" w:rsidP="00F90EAE">
      <w:pPr>
        <w:jc w:val="both"/>
        <w:rPr>
          <w:color w:val="000000" w:themeColor="text1"/>
          <w:sz w:val="16"/>
          <w:szCs w:val="16"/>
        </w:rPr>
      </w:pPr>
      <w:r w:rsidRPr="00F90EAE">
        <w:rPr>
          <w:color w:val="000000" w:themeColor="text1"/>
          <w:sz w:val="16"/>
          <w:szCs w:val="16"/>
        </w:rPr>
        <w:t>На митинге в Н-ском противотанковом полку с речью выступил старший сержант Новопотинский. Он сказал: «За 40 дней наступательных боёв Красная Армия вывела из строя свыше миллиона немецких солдат и офицеров и заняла большое количество немецких городов. Красная Армия одержала такие блестящие победы потому, что ею руководит великий полководец—наш родной и любимый товарищ Сталин. В грядущих боях Красная Армия вместе с армиями наших союзников разгромит и развеет в прах немецко-фашистскую армию» (15050).</w:t>
      </w:r>
    </w:p>
    <w:p w14:paraId="61FE976F" w14:textId="77777777" w:rsidR="002E6E09" w:rsidRPr="00F90EAE" w:rsidRDefault="002E6E09" w:rsidP="00F90EAE">
      <w:pPr>
        <w:jc w:val="both"/>
        <w:rPr>
          <w:color w:val="000000" w:themeColor="text1"/>
          <w:sz w:val="16"/>
          <w:szCs w:val="16"/>
        </w:rPr>
      </w:pPr>
    </w:p>
    <w:p w14:paraId="7F045BF5" w14:textId="77777777" w:rsidR="002E6E09" w:rsidRPr="00F90EAE" w:rsidRDefault="002E6E09"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завершилась Нижне-Силезская операция: советские войска продвинулись на запад более чем на 100 км, овладели Нижней Силезией. Завершено строительство самой мощной в Советском Союзе Красногорской ТЭЦ (15050).</w:t>
      </w:r>
    </w:p>
    <w:p w14:paraId="6548AFA7" w14:textId="77777777" w:rsidR="002E6E09" w:rsidRPr="00F90EAE" w:rsidRDefault="002E6E09" w:rsidP="00F90EAE">
      <w:pPr>
        <w:jc w:val="both"/>
        <w:rPr>
          <w:color w:val="000000" w:themeColor="text1"/>
          <w:sz w:val="16"/>
          <w:szCs w:val="16"/>
        </w:rPr>
      </w:pPr>
    </w:p>
    <w:p w14:paraId="30877801" w14:textId="77777777" w:rsidR="002E6E09" w:rsidRPr="00F90EAE" w:rsidRDefault="002E6E09"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первое в истории отечественной авиации уничтожение в воздушном бою реактивного самолета противника. В районе р. Одер летчики 2-й воздушной армии дважды Герой Советского Союза майор И.И.Кожедуб и майор К.Титаренко на самолетах Ла-7 сбили германский реактивный истребитель Ме-262, принятый на вооружение в Германии в 1944 г (15050).</w:t>
      </w:r>
    </w:p>
    <w:p w14:paraId="58138C23" w14:textId="77777777" w:rsidR="002E6E09" w:rsidRPr="00F90EAE" w:rsidRDefault="002E6E09" w:rsidP="00F90EAE">
      <w:pPr>
        <w:jc w:val="both"/>
        <w:rPr>
          <w:color w:val="000000" w:themeColor="text1"/>
          <w:sz w:val="16"/>
          <w:szCs w:val="16"/>
        </w:rPr>
      </w:pPr>
    </w:p>
    <w:p w14:paraId="00F4096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февраля 1945 г. И.Н.Кожедуб на Ла-7 первым сбил реактивный Ме-262 (6395).</w:t>
      </w:r>
    </w:p>
    <w:p w14:paraId="2D18D9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D5563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состоялся первый бой винтового истребителя с реактивным и И.Н.Кожедуб на Ла-7 сбил Ме-262 (237,205).</w:t>
      </w:r>
    </w:p>
    <w:p w14:paraId="3FE91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это было 19 февраля.</w:t>
      </w:r>
    </w:p>
    <w:p w14:paraId="6C07355B" w14:textId="77777777" w:rsidR="00665165" w:rsidRPr="00F90EAE" w:rsidRDefault="00665165" w:rsidP="00F90EAE">
      <w:pPr>
        <w:autoSpaceDE w:val="0"/>
        <w:autoSpaceDN w:val="0"/>
        <w:adjustRightInd w:val="0"/>
        <w:jc w:val="both"/>
        <w:rPr>
          <w:color w:val="000000" w:themeColor="text1"/>
          <w:sz w:val="16"/>
          <w:szCs w:val="16"/>
        </w:rPr>
      </w:pPr>
    </w:p>
    <w:p w14:paraId="6B96CAB5" w14:textId="77777777" w:rsidR="002E6E09" w:rsidRPr="00F90EAE" w:rsidRDefault="002E6E09"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первое в истории отечественной авиации уничтожение в воздушном бою реактивного самолета противника. В районе реки Одер летчики 2-й воздушной армии дважды Герой Советского Союза майор И.И. Кожедуб и майор К.Титаренко на самолетах Ла-7 сбили германский реактивный истребитель Ме-262, принятый на вооружение в Германии в 1944 году. </w:t>
      </w:r>
      <w:hyperlink r:id="rId47" w:tgtFrame="_blank" w:history="1">
        <w:r w:rsidRPr="00F90EAE">
          <w:rPr>
            <w:color w:val="000000" w:themeColor="text1"/>
            <w:sz w:val="16"/>
            <w:szCs w:val="16"/>
          </w:rPr>
          <w:t>www.allaces.ru/cgi-bin/s2.cgi/sssr/publ/05.dat</w:t>
        </w:r>
      </w:hyperlink>
    </w:p>
    <w:p w14:paraId="12EB7C44" w14:textId="77777777" w:rsidR="002E6E09" w:rsidRPr="00F90EAE" w:rsidRDefault="002E6E09" w:rsidP="00F90EAE">
      <w:pPr>
        <w:jc w:val="both"/>
        <w:rPr>
          <w:color w:val="000000" w:themeColor="text1"/>
          <w:sz w:val="16"/>
          <w:szCs w:val="16"/>
          <w:lang w:val="en-US"/>
        </w:rPr>
      </w:pPr>
      <w:r w:rsidRPr="00F90EAE">
        <w:rPr>
          <w:color w:val="000000" w:themeColor="text1"/>
          <w:sz w:val="16"/>
          <w:szCs w:val="16"/>
        </w:rPr>
        <w:t>Немцы скрупулезно фиксировали свои потери. В тот период и в том месте потери Ме-262 не зарегистрировано. Высказывалось мнение: «Сбивая реактивный Мессер, Кожедуб сбил не "немецкого аса", а немецкого инженера-испытателя. Поскольку эта машина еще не пошла в серию и шли просто технические испытания в боевых условиях. Конечно немецкий испытатель был неплохим летчиком, но, увы, не боевым. Да и машина была новая, к которой пилот еще не привык. Сыроватаяеще</w:t>
      </w:r>
      <w:r w:rsidRPr="00F90EAE">
        <w:rPr>
          <w:color w:val="000000" w:themeColor="text1"/>
          <w:sz w:val="16"/>
          <w:szCs w:val="16"/>
          <w:lang w:val="en-US"/>
        </w:rPr>
        <w:t xml:space="preserve">, </w:t>
      </w:r>
      <w:r w:rsidRPr="00F90EAE">
        <w:rPr>
          <w:color w:val="000000" w:themeColor="text1"/>
          <w:sz w:val="16"/>
          <w:szCs w:val="16"/>
        </w:rPr>
        <w:t>требующаяотладкиидоработки</w:t>
      </w:r>
      <w:r w:rsidRPr="00F90EAE">
        <w:rPr>
          <w:color w:val="000000" w:themeColor="text1"/>
          <w:sz w:val="16"/>
          <w:szCs w:val="16"/>
          <w:lang w:val="en-US"/>
        </w:rPr>
        <w:t>.» (15050).</w:t>
      </w:r>
    </w:p>
    <w:p w14:paraId="6F0AEF94" w14:textId="77777777" w:rsidR="002E6E09" w:rsidRPr="00F90EAE" w:rsidRDefault="002E6E09" w:rsidP="00F90EAE">
      <w:pPr>
        <w:jc w:val="both"/>
        <w:rPr>
          <w:color w:val="000000" w:themeColor="text1"/>
          <w:sz w:val="16"/>
          <w:szCs w:val="16"/>
          <w:lang w:val="en-US"/>
        </w:rPr>
      </w:pPr>
    </w:p>
    <w:p w14:paraId="1195E7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February 24, 1945: In the East, the Red Army breaks through the German defenses of the Pommerstellung in Pommerania. Off the northern coast of Norway, German U-boats sink 8 ships and 2 destroyers of a convoy bound for the Soviet port of Murmansk. </w:t>
      </w:r>
      <w:r w:rsidRPr="00F90EAE">
        <w:rPr>
          <w:color w:val="000000" w:themeColor="text1"/>
          <w:sz w:val="16"/>
          <w:szCs w:val="16"/>
        </w:rPr>
        <w:t>Egypt declares war on Germany (3819).</w:t>
      </w:r>
    </w:p>
    <w:p w14:paraId="3EDBC804" w14:textId="77777777" w:rsidR="00665165" w:rsidRPr="00F90EAE" w:rsidRDefault="00665165" w:rsidP="00F90EAE">
      <w:pPr>
        <w:autoSpaceDE w:val="0"/>
        <w:autoSpaceDN w:val="0"/>
        <w:adjustRightInd w:val="0"/>
        <w:jc w:val="both"/>
        <w:rPr>
          <w:color w:val="000000" w:themeColor="text1"/>
          <w:sz w:val="16"/>
          <w:szCs w:val="16"/>
        </w:rPr>
      </w:pPr>
    </w:p>
    <w:p w14:paraId="10951A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КА прорвалась через немецкую оборону в Померании. У северного побережья Норвегии германская подлодки потопили 8 транспортов и 2 эсминца конвоя, направляющегося в Мурманск. Египет объявил войну Германии (3819).</w:t>
      </w:r>
    </w:p>
    <w:p w14:paraId="432AFF15" w14:textId="77777777" w:rsidR="00665165" w:rsidRPr="00F90EAE" w:rsidRDefault="00665165" w:rsidP="00F90EAE">
      <w:pPr>
        <w:autoSpaceDE w:val="0"/>
        <w:autoSpaceDN w:val="0"/>
        <w:adjustRightInd w:val="0"/>
        <w:jc w:val="both"/>
        <w:rPr>
          <w:color w:val="000000" w:themeColor="text1"/>
          <w:sz w:val="16"/>
          <w:szCs w:val="16"/>
        </w:rPr>
      </w:pPr>
    </w:p>
    <w:p w14:paraId="6388A0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 состоянию на 24 февраля 1945 года в ВВС Финляндии оставалось еще шесть самолетов типа И-153. Именно в этот день машины поставили на прикол и более полеты на них не производили (12014). </w:t>
      </w:r>
    </w:p>
    <w:p w14:paraId="0B8B8A3E" w14:textId="77777777" w:rsidR="00665165" w:rsidRPr="00F90EAE" w:rsidRDefault="00665165" w:rsidP="00F90EAE">
      <w:pPr>
        <w:autoSpaceDE w:val="0"/>
        <w:autoSpaceDN w:val="0"/>
        <w:adjustRightInd w:val="0"/>
        <w:jc w:val="both"/>
        <w:rPr>
          <w:color w:val="000000" w:themeColor="text1"/>
          <w:sz w:val="16"/>
          <w:szCs w:val="16"/>
        </w:rPr>
      </w:pPr>
    </w:p>
    <w:p w14:paraId="0343319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3D2F348" w14:textId="77777777" w:rsidR="00665165" w:rsidRPr="00F90EAE" w:rsidRDefault="00665165" w:rsidP="00F90EAE">
      <w:pPr>
        <w:autoSpaceDE w:val="0"/>
        <w:autoSpaceDN w:val="0"/>
        <w:adjustRightInd w:val="0"/>
        <w:jc w:val="both"/>
        <w:rPr>
          <w:iCs/>
          <w:color w:val="000000" w:themeColor="text1"/>
          <w:sz w:val="16"/>
          <w:szCs w:val="16"/>
        </w:rPr>
      </w:pPr>
    </w:p>
    <w:p w14:paraId="0ECBE12F" w14:textId="77777777" w:rsidR="00010A2F" w:rsidRPr="00F90EAE" w:rsidRDefault="00010A2F"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во вpемя бомбовой атаки один из бомбардировщиков </w:t>
      </w:r>
      <w:hyperlink r:id="rId48" w:tgtFrame="_blank" w:history="1">
        <w:r w:rsidRPr="00F90EAE">
          <w:rPr>
            <w:color w:val="000000" w:themeColor="text1"/>
            <w:sz w:val="16"/>
            <w:szCs w:val="16"/>
          </w:rPr>
          <w:t xml:space="preserve">«Аr 234», </w:t>
        </w:r>
      </w:hyperlink>
      <w:r w:rsidRPr="00F90EAE">
        <w:rPr>
          <w:color w:val="000000" w:themeColor="text1"/>
          <w:sz w:val="16"/>
          <w:szCs w:val="16"/>
        </w:rPr>
        <w:t>принадлежащий III./KG 76 был подбит амеpиканским истpебителем «Р-47», упал и союзники полyчили возможность познакомиться с «Аr 234» (15050).</w:t>
      </w:r>
    </w:p>
    <w:p w14:paraId="3E8A9241" w14:textId="77777777" w:rsidR="00010A2F" w:rsidRPr="00F90EAE" w:rsidRDefault="00010A2F" w:rsidP="00F90EAE">
      <w:pPr>
        <w:jc w:val="both"/>
        <w:rPr>
          <w:color w:val="000000" w:themeColor="text1"/>
          <w:sz w:val="16"/>
          <w:szCs w:val="16"/>
        </w:rPr>
      </w:pPr>
    </w:p>
    <w:p w14:paraId="6D08D919" w14:textId="77777777" w:rsidR="00580BC7" w:rsidRPr="00F90EAE" w:rsidRDefault="00580BC7" w:rsidP="00F90EAE">
      <w:pPr>
        <w:jc w:val="both"/>
        <w:rPr>
          <w:color w:val="0070C0"/>
          <w:sz w:val="16"/>
          <w:szCs w:val="16"/>
        </w:rPr>
      </w:pPr>
      <w:r w:rsidRPr="00F90EAE">
        <w:rPr>
          <w:color w:val="0070C0"/>
          <w:sz w:val="16"/>
          <w:szCs w:val="16"/>
        </w:rPr>
        <w:t>24 февраля 1945, не осознавая, что служащая женских вспомогательных сил ВВС Маргарет Хортон все еще сидит на хвостовом оперении Spitfire, чтобы удерживать его, пока он рулит в ветреный день на британском аэродроме, лейтенант авиации Нил Кокс взлетает с ней на хвосте. Ему приказано немедленно приземлиться, не понимая почему, он возвращается на базу и благополучно приземляется, при этом Хортон не пострадала (20371).</w:t>
      </w:r>
    </w:p>
    <w:p w14:paraId="077D9244" w14:textId="77777777" w:rsidR="00580BC7" w:rsidRPr="00F90EAE" w:rsidRDefault="00580BC7" w:rsidP="00F90EAE">
      <w:pPr>
        <w:jc w:val="both"/>
        <w:rPr>
          <w:color w:val="0070C0"/>
          <w:sz w:val="16"/>
          <w:szCs w:val="16"/>
        </w:rPr>
      </w:pPr>
    </w:p>
    <w:p w14:paraId="65199A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февраля 1945 премьер-министр Египта был убит после объявления войны Германии (3907,255).</w:t>
      </w:r>
    </w:p>
    <w:p w14:paraId="2250FC74" w14:textId="77777777" w:rsidR="00665165" w:rsidRPr="00F90EAE" w:rsidRDefault="00665165" w:rsidP="00F90EAE">
      <w:pPr>
        <w:autoSpaceDE w:val="0"/>
        <w:autoSpaceDN w:val="0"/>
        <w:adjustRightInd w:val="0"/>
        <w:jc w:val="both"/>
        <w:rPr>
          <w:color w:val="000000" w:themeColor="text1"/>
          <w:sz w:val="16"/>
          <w:szCs w:val="16"/>
        </w:rPr>
      </w:pPr>
    </w:p>
    <w:p w14:paraId="17F1BAC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февраля 1945 после объявления войны Германии и Японии убит премьер-министр Египта Ахмед Махер-паша (4962).</w:t>
      </w:r>
    </w:p>
    <w:p w14:paraId="2F97D09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2B1330" w14:textId="77777777" w:rsidR="002E6E09" w:rsidRPr="00F90EAE" w:rsidRDefault="002E6E09" w:rsidP="00F90EAE">
      <w:pPr>
        <w:jc w:val="both"/>
        <w:rPr>
          <w:color w:val="000000" w:themeColor="text1"/>
          <w:sz w:val="16"/>
          <w:szCs w:val="16"/>
        </w:rPr>
      </w:pPr>
      <w:r w:rsidRPr="00F90EAE">
        <w:rPr>
          <w:bCs/>
          <w:color w:val="000000" w:themeColor="text1"/>
          <w:sz w:val="16"/>
          <w:szCs w:val="16"/>
        </w:rPr>
        <w:t>24 февраля</w:t>
      </w:r>
      <w:r w:rsidRPr="00F90EAE">
        <w:rPr>
          <w:color w:val="000000" w:themeColor="text1"/>
          <w:sz w:val="16"/>
          <w:szCs w:val="16"/>
        </w:rPr>
        <w:t xml:space="preserve"> в 1945 году американские войска освобождают от японцев столицу Филиппин Манилу (15050).</w:t>
      </w:r>
    </w:p>
    <w:p w14:paraId="058C17D2" w14:textId="77777777" w:rsidR="002E6E09" w:rsidRPr="00F90EAE" w:rsidRDefault="002E6E09" w:rsidP="00F90EAE">
      <w:pPr>
        <w:jc w:val="both"/>
        <w:rPr>
          <w:color w:val="000000" w:themeColor="text1"/>
          <w:sz w:val="16"/>
          <w:szCs w:val="16"/>
        </w:rPr>
      </w:pPr>
    </w:p>
    <w:p w14:paraId="6A7A7EA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85A6CD7" w14:textId="77777777" w:rsidR="00665165" w:rsidRPr="00F90EAE" w:rsidRDefault="00665165" w:rsidP="00F90EAE">
      <w:pPr>
        <w:autoSpaceDE w:val="0"/>
        <w:autoSpaceDN w:val="0"/>
        <w:adjustRightInd w:val="0"/>
        <w:jc w:val="both"/>
        <w:rPr>
          <w:iCs/>
          <w:color w:val="000000" w:themeColor="text1"/>
          <w:sz w:val="16"/>
          <w:szCs w:val="16"/>
        </w:rPr>
      </w:pPr>
    </w:p>
    <w:p w14:paraId="400E6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25 февраля по 4 марта 1945 пассажирский вариант Пе-8 4хАЧ-30Б N 42712 проходил заводские контрольные испытания на 22 заводе в Казани. Выполнил 3 полета и налетал 2 час. 50 мин. Летал В.Ч.Жданов. Дальность - 5600 км (1000,4).</w:t>
      </w:r>
    </w:p>
    <w:p w14:paraId="03352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293D3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C1CD8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69A8C7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B0A1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1C9932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C412D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2B790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5C926D7D" w14:textId="77777777" w:rsidR="00665165" w:rsidRPr="00F90EAE" w:rsidRDefault="00665165" w:rsidP="00F90EAE">
      <w:pPr>
        <w:autoSpaceDE w:val="0"/>
        <w:autoSpaceDN w:val="0"/>
        <w:adjustRightInd w:val="0"/>
        <w:jc w:val="both"/>
        <w:rPr>
          <w:color w:val="000000" w:themeColor="text1"/>
          <w:sz w:val="16"/>
          <w:szCs w:val="16"/>
        </w:rPr>
      </w:pPr>
    </w:p>
    <w:p w14:paraId="787F34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февраля по 4 марта 1945 года по программе заводских контрольных испытаний на втором самолете Пе-8ОН №42612 было выполнено три полета, общей продолжительностью 2 ч. 50 мин. Испытания проводил тот же самый экипаж, что испытывал первую машину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После их окончания второй Пе-8ОН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В этот же день Б.Г.Говоров перегнал машину на аэродром ГК НИИ ВВС (7685).</w:t>
      </w:r>
    </w:p>
    <w:p w14:paraId="431B138B" w14:textId="77777777" w:rsidR="00665165" w:rsidRPr="00F90EAE" w:rsidRDefault="00665165" w:rsidP="00F90EAE">
      <w:pPr>
        <w:autoSpaceDE w:val="0"/>
        <w:autoSpaceDN w:val="0"/>
        <w:adjustRightInd w:val="0"/>
        <w:jc w:val="both"/>
        <w:rPr>
          <w:color w:val="000000" w:themeColor="text1"/>
          <w:sz w:val="16"/>
          <w:szCs w:val="16"/>
        </w:rPr>
      </w:pPr>
    </w:p>
    <w:p w14:paraId="00C98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февраля 1945 начались испытания второго Пе-8ОН, к 4 марта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4DCC7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w:t>
      </w:r>
      <w:r w:rsidRPr="00F90EAE">
        <w:rPr>
          <w:color w:val="000000" w:themeColor="text1"/>
          <w:sz w:val="16"/>
          <w:szCs w:val="16"/>
        </w:rPr>
        <w:lastRenderedPageBreak/>
        <w:t xml:space="preserve">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79BA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6A507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2B2E150A" w14:textId="77777777" w:rsidR="00665165" w:rsidRPr="00F90EAE" w:rsidRDefault="00665165" w:rsidP="00F90EAE">
      <w:pPr>
        <w:autoSpaceDE w:val="0"/>
        <w:autoSpaceDN w:val="0"/>
        <w:adjustRightInd w:val="0"/>
        <w:jc w:val="both"/>
        <w:rPr>
          <w:color w:val="000000" w:themeColor="text1"/>
          <w:sz w:val="16"/>
          <w:szCs w:val="16"/>
        </w:rPr>
      </w:pPr>
    </w:p>
    <w:p w14:paraId="21E9F8FA" w14:textId="77777777" w:rsidR="003A3020" w:rsidRPr="00F90EAE" w:rsidRDefault="003A3020" w:rsidP="00F90EAE">
      <w:pPr>
        <w:jc w:val="both"/>
        <w:rPr>
          <w:color w:val="000000" w:themeColor="text1"/>
          <w:sz w:val="16"/>
          <w:szCs w:val="16"/>
        </w:rPr>
      </w:pPr>
      <w:r w:rsidRPr="00F90EAE">
        <w:rPr>
          <w:bCs/>
          <w:color w:val="000000" w:themeColor="text1"/>
          <w:sz w:val="16"/>
          <w:szCs w:val="16"/>
        </w:rPr>
        <w:t>25 февраля</w:t>
      </w:r>
      <w:r w:rsidRPr="00F90EAE">
        <w:rPr>
          <w:color w:val="000000" w:themeColor="text1"/>
          <w:sz w:val="16"/>
          <w:szCs w:val="16"/>
        </w:rPr>
        <w:t xml:space="preserve"> в 1945 году (по 4 марта) второй самолет </w:t>
      </w:r>
      <w:hyperlink r:id="rId49" w:tgtFrame="_blank" w:history="1">
        <w:r w:rsidRPr="00F90EAE">
          <w:rPr>
            <w:color w:val="000000" w:themeColor="text1"/>
            <w:sz w:val="16"/>
            <w:szCs w:val="16"/>
          </w:rPr>
          <w:t xml:space="preserve">«Пе-8ОН» </w:t>
        </w:r>
      </w:hyperlink>
      <w:r w:rsidRPr="00F90EAE">
        <w:rPr>
          <w:color w:val="000000" w:themeColor="text1"/>
          <w:sz w:val="16"/>
          <w:szCs w:val="16"/>
        </w:rPr>
        <w:t>№42712 начал проходить заводские контрольные испытания. Испытания проводил тот же самый экипаж, что испытывал первую машину. После их окончания второй Пе-8ОН перегнали в Москву на Центральный аэродром, где его осмотрел Нарком Шахурин. Он в основном интересовался оборудованием и отделкой пассажирских кабин, машина произвела на него положительное впечатление, и он приказал перегнать самолет в ГК НИИ ВВС, для передачи военным на государственные испытания (15051).</w:t>
      </w:r>
    </w:p>
    <w:p w14:paraId="28014838" w14:textId="77777777" w:rsidR="003A3020" w:rsidRPr="00F90EAE" w:rsidRDefault="003A3020" w:rsidP="00F90EAE">
      <w:pPr>
        <w:jc w:val="both"/>
        <w:rPr>
          <w:color w:val="000000" w:themeColor="text1"/>
          <w:sz w:val="16"/>
          <w:szCs w:val="16"/>
        </w:rPr>
      </w:pPr>
    </w:p>
    <w:p w14:paraId="543C45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прервались до 20 марта чтобы продолжиться с 8 апреля 1945 гос. испытания модифицированного (управление винтом и мотором "82ФН-ВГ" и скоростным нагнетателем "Э-67", а также автоматическим регулятором температуры "АРТЦ-43") Ла-7 АШ-82ФН-ВГ N 38101356 производства 381 завода, которые начались с 22 февраля 1945 (744,1).</w:t>
      </w:r>
    </w:p>
    <w:p w14:paraId="273263E9" w14:textId="77777777" w:rsidR="00665165" w:rsidRPr="00F90EAE" w:rsidRDefault="00665165" w:rsidP="00F90EAE">
      <w:pPr>
        <w:autoSpaceDE w:val="0"/>
        <w:autoSpaceDN w:val="0"/>
        <w:adjustRightInd w:val="0"/>
        <w:jc w:val="both"/>
        <w:rPr>
          <w:color w:val="000000" w:themeColor="text1"/>
          <w:sz w:val="16"/>
          <w:szCs w:val="16"/>
        </w:rPr>
      </w:pPr>
    </w:p>
    <w:p w14:paraId="532FA7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февраля 1945 были прерваны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 Были возобновлены 20 марта и закончились 8 апреля 1945.</w:t>
      </w:r>
    </w:p>
    <w:p w14:paraId="662A78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выполнено 24 полета с налетом 15:40</w:t>
      </w:r>
    </w:p>
    <w:p w14:paraId="066CCA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Вед. Ии ли и Л.А.Радионов</w:t>
      </w:r>
    </w:p>
    <w:p w14:paraId="16B38D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и-м Д.Г.Пикуленко</w:t>
      </w:r>
    </w:p>
    <w:p w14:paraId="01566E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6BDC80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0530ED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410E2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надежности работы провести войсковые испытания (20 с-тов)</w:t>
      </w:r>
    </w:p>
    <w:p w14:paraId="5665B0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162B5B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1944 испытавался во 2у ГК НИИ ВВС на с-та Ла-5 № 1618 вновь удовлетворительно</w:t>
      </w:r>
    </w:p>
    <w:p w14:paraId="1873E2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Отмечено, что значительно облегчает управление ВМГ</w:t>
      </w:r>
    </w:p>
    <w:p w14:paraId="30C360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524D3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85A9F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АРТЦ-43 - был изготовлен в опытном экз. В 1943 заводом № 194 НКАП согласно плану опытных работ ВВС КА</w:t>
      </w:r>
    </w:p>
    <w:p w14:paraId="47959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51B7E7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7446D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372F72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2528D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240CB3C9" w14:textId="77777777" w:rsidR="00665165" w:rsidRPr="00F90EAE" w:rsidRDefault="00665165" w:rsidP="00F90EAE">
      <w:pPr>
        <w:autoSpaceDE w:val="0"/>
        <w:autoSpaceDN w:val="0"/>
        <w:adjustRightInd w:val="0"/>
        <w:jc w:val="both"/>
        <w:rPr>
          <w:color w:val="000000" w:themeColor="text1"/>
          <w:sz w:val="16"/>
          <w:szCs w:val="16"/>
        </w:rPr>
      </w:pPr>
    </w:p>
    <w:p w14:paraId="1659F8E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4AE18A0" w14:textId="77777777" w:rsidR="00665165" w:rsidRPr="00F90EAE" w:rsidRDefault="00665165" w:rsidP="00F90EAE">
      <w:pPr>
        <w:autoSpaceDE w:val="0"/>
        <w:autoSpaceDN w:val="0"/>
        <w:adjustRightInd w:val="0"/>
        <w:jc w:val="both"/>
        <w:rPr>
          <w:iCs/>
          <w:color w:val="000000" w:themeColor="text1"/>
          <w:sz w:val="16"/>
          <w:szCs w:val="16"/>
        </w:rPr>
      </w:pPr>
    </w:p>
    <w:p w14:paraId="75F364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г. ОКБ-43 НКВ было выдано задание на проектирование 25-мм спаренного зенитного автомата 2М-3.</w:t>
      </w:r>
    </w:p>
    <w:p w14:paraId="156DF8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Сюда в 1953 г. переведена часть освобожденных сотрудников из расформированного артиллерийского ОТБ МВД.</w:t>
      </w:r>
    </w:p>
    <w:p w14:paraId="36D178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1953 г. ОКБ принимало участие в разработке (вместе с ОКБ-172) 130-мм морской артустановки 2М-110. В 1953 г. </w:t>
      </w:r>
      <w:r w:rsidRPr="00F90EAE">
        <w:rPr>
          <w:color w:val="000000" w:themeColor="text1"/>
          <w:sz w:val="16"/>
          <w:szCs w:val="16"/>
          <w:lang w:val="en-US"/>
        </w:rPr>
        <w:t>CKiffa</w:t>
      </w:r>
      <w:r w:rsidRPr="00F90EAE">
        <w:rPr>
          <w:color w:val="000000" w:themeColor="text1"/>
          <w:sz w:val="16"/>
          <w:szCs w:val="16"/>
        </w:rPr>
        <w:t xml:space="preserve"> переданы работы по 25-мм 4-ствольной установке 4М-120.</w:t>
      </w:r>
    </w:p>
    <w:p w14:paraId="1CF7F5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2362-1125сс от 25.11.1954 г. установка 2М-8 пнв.</w:t>
      </w:r>
    </w:p>
    <w:p w14:paraId="6F8860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1954-56 г. спроектированы 100-мм (И-100) и 130-мм башенные установки для укрепрайонов. Велись работы над орудиями с криволинейным стволом для укрепрайонов.</w:t>
      </w:r>
    </w:p>
    <w:p w14:paraId="5DE18C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1953 г. ОКБ-43 - в ведении МОП. В 1961 г. ОКБ-43 ликвидировано, тематика и личный состав переданы в ЦКБ-34.</w:t>
      </w:r>
    </w:p>
    <w:p w14:paraId="30E3A9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(1932-54 г.)- М.Н. Кондаков.</w:t>
      </w:r>
    </w:p>
    <w:p w14:paraId="28FBDD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(1949 г.)- С. Харыкин.</w:t>
      </w:r>
    </w:p>
    <w:p w14:paraId="61787A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Создано: пушки: 37-мм зенитная АКТ-37 (1937), авиационная ААК-37; 45-мм казематная установка ДОТ-4 (1941); 45-мм башенная установка БУР-45 (1941); корабельные зенитные артустановки: У-23, 2-У-23, 4-У-23 (1944), 25-мм спаренная 2М-3 с автоматами 110-ПМ (1945-49), 2М-ЗМ, 25-мм 2М-8 для ПЛ (пнв 25.11.1954 г.), АК-230 с пушкой НН-30 (291П) (1956, пнв в 1962 г.), 30-мм спаренная установка </w:t>
      </w:r>
      <w:r w:rsidRPr="00F90EAE">
        <w:rPr>
          <w:color w:val="000000" w:themeColor="text1"/>
          <w:sz w:val="16"/>
          <w:szCs w:val="16"/>
          <w:lang w:val="en-US"/>
        </w:rPr>
        <w:t>KJI</w:t>
      </w:r>
      <w:r w:rsidRPr="00F90EAE">
        <w:rPr>
          <w:color w:val="000000" w:themeColor="text1"/>
          <w:sz w:val="16"/>
          <w:szCs w:val="16"/>
        </w:rPr>
        <w:t>-302 (1950-е); авиационные ДРП: 37-мм АРКОН (автоматическая реактивная Кондакова, 1936), ГК-37 (1936), 45-мм ГК-45 (1936), 76-мм ДРП-76 (1949) (11982).</w:t>
      </w:r>
    </w:p>
    <w:p w14:paraId="66064490" w14:textId="77777777" w:rsidR="00010A2F" w:rsidRPr="00F90EAE" w:rsidRDefault="00010A2F" w:rsidP="00F90EAE">
      <w:pPr>
        <w:jc w:val="both"/>
        <w:rPr>
          <w:color w:val="000000" w:themeColor="text1"/>
          <w:sz w:val="16"/>
          <w:szCs w:val="16"/>
        </w:rPr>
      </w:pPr>
    </w:p>
    <w:p w14:paraId="198137BC" w14:textId="77777777" w:rsidR="004945E9" w:rsidRPr="00F90EAE" w:rsidRDefault="004945E9" w:rsidP="00F90EAE">
      <w:pPr>
        <w:jc w:val="both"/>
        <w:rPr>
          <w:color w:val="000000" w:themeColor="text1"/>
          <w:sz w:val="16"/>
          <w:szCs w:val="16"/>
        </w:rPr>
      </w:pPr>
      <w:r w:rsidRPr="00F90EAE">
        <w:rPr>
          <w:color w:val="000000" w:themeColor="text1"/>
          <w:sz w:val="16"/>
          <w:szCs w:val="16"/>
        </w:rPr>
        <w:t>25 февраля 1945 г. АНИОЛМИ[74]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замглавкома ВМФ 14 марта 1947 г.</w:t>
      </w:r>
    </w:p>
    <w:p w14:paraId="0D43DE99" w14:textId="77777777" w:rsidR="004945E9" w:rsidRPr="00F90EAE" w:rsidRDefault="004945E9" w:rsidP="00F90EAE">
      <w:pPr>
        <w:jc w:val="both"/>
        <w:rPr>
          <w:color w:val="000000" w:themeColor="text1"/>
          <w:sz w:val="16"/>
          <w:szCs w:val="16"/>
        </w:rPr>
      </w:pPr>
      <w:r w:rsidRPr="00F90EAE">
        <w:rPr>
          <w:color w:val="000000" w:themeColor="text1"/>
          <w:sz w:val="16"/>
          <w:szCs w:val="16"/>
        </w:rPr>
        <w:t>За проектирование установки взялось ОКБ-43, но работы над ее образцом, получившим индекс 2М-3, шли с трудом, и 31 декабря 1949 г. Министерство вооружений направило письма в ОКБ-172 с указанием разработать аналогичную 25-мм спаренную установку, и уже 21 февраля 1950 г. ОКБ-172 представило проект установки БЛ-130. Ведущим конструктором установки был А. Л. Константинов.</w:t>
      </w:r>
    </w:p>
    <w:p w14:paraId="7FBF4901" w14:textId="77777777" w:rsidR="004945E9" w:rsidRPr="00F90EAE" w:rsidRDefault="004945E9" w:rsidP="00F90EAE">
      <w:pPr>
        <w:jc w:val="both"/>
        <w:rPr>
          <w:color w:val="000000" w:themeColor="text1"/>
          <w:sz w:val="16"/>
          <w:szCs w:val="16"/>
        </w:rPr>
      </w:pPr>
      <w:r w:rsidRPr="00F90EAE">
        <w:rPr>
          <w:color w:val="000000" w:themeColor="text1"/>
          <w:sz w:val="16"/>
          <w:szCs w:val="16"/>
        </w:rPr>
        <w:t>К этому времени начальником ОКБ-172 стал инженерподполковник А. В. Андрощук, а ведущим инженером — Л. М. Алавердянц.</w:t>
      </w:r>
    </w:p>
    <w:p w14:paraId="686098C2" w14:textId="77777777" w:rsidR="004945E9" w:rsidRPr="00F90EAE" w:rsidRDefault="004945E9" w:rsidP="00F90EAE">
      <w:pPr>
        <w:jc w:val="both"/>
        <w:rPr>
          <w:color w:val="000000" w:themeColor="text1"/>
          <w:sz w:val="16"/>
          <w:szCs w:val="16"/>
        </w:rPr>
      </w:pPr>
      <w:r w:rsidRPr="00F90EAE">
        <w:rPr>
          <w:color w:val="000000" w:themeColor="text1"/>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5CD12BCF" w14:textId="77777777" w:rsidR="004945E9" w:rsidRPr="00F90EAE" w:rsidRDefault="004945E9" w:rsidP="00F90EAE">
      <w:pPr>
        <w:jc w:val="both"/>
        <w:rPr>
          <w:color w:val="000000" w:themeColor="text1"/>
          <w:sz w:val="16"/>
          <w:szCs w:val="16"/>
        </w:rPr>
      </w:pPr>
      <w:r w:rsidRPr="00F90EAE">
        <w:rPr>
          <w:color w:val="000000" w:themeColor="text1"/>
          <w:sz w:val="16"/>
          <w:szCs w:val="16"/>
        </w:rPr>
        <w:t>Установка имела местное бронирование, броня обтекаемой формы толщиной 3–4 мм. Вес установки без амортизационных устройств — 1200 кг, а с амортизационными устройствами — 1400 кг.</w:t>
      </w:r>
    </w:p>
    <w:p w14:paraId="5F8A7C2A" w14:textId="77777777" w:rsidR="004945E9" w:rsidRPr="00F90EAE" w:rsidRDefault="004945E9" w:rsidP="00F90EAE">
      <w:pPr>
        <w:jc w:val="both"/>
        <w:rPr>
          <w:color w:val="000000" w:themeColor="text1"/>
          <w:sz w:val="16"/>
          <w:szCs w:val="16"/>
        </w:rPr>
      </w:pPr>
      <w:r w:rsidRPr="00F90EAE">
        <w:rPr>
          <w:color w:val="000000" w:themeColor="text1"/>
          <w:sz w:val="16"/>
          <w:szCs w:val="16"/>
        </w:rPr>
        <w:t>По ряду характеристик БЛ-130 превосходила 2М-3, но в конце 1950 г. было решено запустить в серийное производство 2М-3, так как у нее степень готовности была выше, чем у БЛ-130.</w:t>
      </w:r>
    </w:p>
    <w:p w14:paraId="5ECA3A89" w14:textId="77777777" w:rsidR="004945E9" w:rsidRPr="00F90EAE" w:rsidRDefault="004945E9" w:rsidP="00F90EAE">
      <w:pPr>
        <w:jc w:val="both"/>
        <w:rPr>
          <w:color w:val="000000" w:themeColor="text1"/>
          <w:sz w:val="16"/>
          <w:szCs w:val="16"/>
        </w:rPr>
      </w:pPr>
      <w:r w:rsidRPr="00F90EAE">
        <w:rPr>
          <w:color w:val="000000" w:themeColor="text1"/>
          <w:sz w:val="16"/>
          <w:szCs w:val="16"/>
        </w:rPr>
        <w:t>В конце 1940-х годов для вооружения тяжелых крейсеров проекта 82 (по 10 установок на корабль) и эсминцев в ОКБ-172 были разработаны 25-мм счетверенные автоматические установки БЛ-120-I и БЛ-120-II, различающиеся системами электропитания (для постоянного и переменного токов). Первые две установки БЛ-120–1 были изготовлены в 1950 г. на заводе № 535. Приводы наведения установок электрогидравлические. Питание обойменное. В обойме 4 патрона. Охлаждение стволов воздушное (рис. 8.4).</w:t>
      </w:r>
    </w:p>
    <w:p w14:paraId="0F348D76" w14:textId="77777777" w:rsidR="004945E9" w:rsidRPr="00F90EAE" w:rsidRDefault="004945E9" w:rsidP="00F90EAE">
      <w:pPr>
        <w:jc w:val="both"/>
        <w:rPr>
          <w:color w:val="000000" w:themeColor="text1"/>
          <w:sz w:val="16"/>
          <w:szCs w:val="16"/>
        </w:rPr>
      </w:pPr>
      <w:r w:rsidRPr="00F90EAE">
        <w:rPr>
          <w:color w:val="000000" w:themeColor="text1"/>
          <w:sz w:val="16"/>
          <w:szCs w:val="16"/>
        </w:rPr>
        <w:t xml:space="preserve">Данные установок БЛ-120 </w:t>
      </w:r>
    </w:p>
    <w:p w14:paraId="6E23ACB9" w14:textId="77777777" w:rsidR="004945E9" w:rsidRPr="00F90EAE" w:rsidRDefault="004945E9" w:rsidP="00F90EAE">
      <w:pPr>
        <w:jc w:val="both"/>
        <w:rPr>
          <w:color w:val="000000" w:themeColor="text1"/>
          <w:sz w:val="16"/>
          <w:szCs w:val="16"/>
        </w:rPr>
      </w:pPr>
      <w:r w:rsidRPr="00F90EAE">
        <w:rPr>
          <w:color w:val="000000" w:themeColor="text1"/>
          <w:sz w:val="16"/>
          <w:szCs w:val="16"/>
        </w:rPr>
        <w:t>Калибр, мм — 35</w:t>
      </w:r>
    </w:p>
    <w:p w14:paraId="69A632A3" w14:textId="77777777" w:rsidR="004945E9" w:rsidRPr="00F90EAE" w:rsidRDefault="004945E9" w:rsidP="00F90EAE">
      <w:pPr>
        <w:jc w:val="both"/>
        <w:rPr>
          <w:color w:val="000000" w:themeColor="text1"/>
          <w:sz w:val="16"/>
          <w:szCs w:val="16"/>
        </w:rPr>
      </w:pPr>
      <w:r w:rsidRPr="00F90EAE">
        <w:rPr>
          <w:color w:val="000000" w:themeColor="text1"/>
          <w:sz w:val="16"/>
          <w:szCs w:val="16"/>
        </w:rPr>
        <w:t>Длина ствола, клб — 80</w:t>
      </w:r>
    </w:p>
    <w:p w14:paraId="27F173C1" w14:textId="77777777" w:rsidR="004945E9" w:rsidRPr="00F90EAE" w:rsidRDefault="004945E9" w:rsidP="00F90EAE">
      <w:pPr>
        <w:jc w:val="both"/>
        <w:rPr>
          <w:color w:val="000000" w:themeColor="text1"/>
          <w:sz w:val="16"/>
          <w:szCs w:val="16"/>
        </w:rPr>
      </w:pPr>
      <w:r w:rsidRPr="00F90EAE">
        <w:rPr>
          <w:color w:val="000000" w:themeColor="text1"/>
          <w:sz w:val="16"/>
          <w:szCs w:val="16"/>
        </w:rPr>
        <w:t>Угол ВН, град — −5; +90</w:t>
      </w:r>
    </w:p>
    <w:p w14:paraId="74F27319" w14:textId="77777777" w:rsidR="004945E9" w:rsidRPr="00F90EAE" w:rsidRDefault="004945E9" w:rsidP="00F90EAE">
      <w:pPr>
        <w:jc w:val="both"/>
        <w:rPr>
          <w:color w:val="000000" w:themeColor="text1"/>
          <w:sz w:val="16"/>
          <w:szCs w:val="16"/>
        </w:rPr>
      </w:pPr>
      <w:r w:rsidRPr="00F90EAE">
        <w:rPr>
          <w:color w:val="000000" w:themeColor="text1"/>
          <w:sz w:val="16"/>
          <w:szCs w:val="16"/>
        </w:rPr>
        <w:t>Угол ГН, град — 360</w:t>
      </w:r>
    </w:p>
    <w:p w14:paraId="14368AEF" w14:textId="77777777" w:rsidR="004945E9" w:rsidRPr="00F90EAE" w:rsidRDefault="004945E9" w:rsidP="00F90EAE">
      <w:pPr>
        <w:jc w:val="both"/>
        <w:rPr>
          <w:color w:val="000000" w:themeColor="text1"/>
          <w:sz w:val="16"/>
          <w:szCs w:val="16"/>
        </w:rPr>
      </w:pPr>
      <w:r w:rsidRPr="00F90EAE">
        <w:rPr>
          <w:color w:val="000000" w:themeColor="text1"/>
          <w:sz w:val="16"/>
          <w:szCs w:val="16"/>
        </w:rPr>
        <w:t>Скорость ВН, град/с — 30</w:t>
      </w:r>
    </w:p>
    <w:p w14:paraId="0B7CA840" w14:textId="77777777" w:rsidR="004945E9" w:rsidRPr="00F90EAE" w:rsidRDefault="004945E9" w:rsidP="00F90EAE">
      <w:pPr>
        <w:jc w:val="both"/>
        <w:rPr>
          <w:color w:val="000000" w:themeColor="text1"/>
          <w:sz w:val="16"/>
          <w:szCs w:val="16"/>
        </w:rPr>
      </w:pPr>
      <w:r w:rsidRPr="00F90EAE">
        <w:rPr>
          <w:color w:val="000000" w:themeColor="text1"/>
          <w:sz w:val="16"/>
          <w:szCs w:val="16"/>
        </w:rPr>
        <w:t>Скорость ГН, град/с — 40</w:t>
      </w:r>
    </w:p>
    <w:p w14:paraId="484F6648" w14:textId="77777777" w:rsidR="004945E9" w:rsidRPr="00F90EAE" w:rsidRDefault="004945E9" w:rsidP="00F90EAE">
      <w:pPr>
        <w:jc w:val="both"/>
        <w:rPr>
          <w:color w:val="000000" w:themeColor="text1"/>
          <w:sz w:val="16"/>
          <w:szCs w:val="16"/>
        </w:rPr>
      </w:pPr>
      <w:r w:rsidRPr="00F90EAE">
        <w:rPr>
          <w:color w:val="000000" w:themeColor="text1"/>
          <w:sz w:val="16"/>
          <w:szCs w:val="16"/>
        </w:rPr>
        <w:t>Броня, мм — 610</w:t>
      </w:r>
    </w:p>
    <w:p w14:paraId="2913B97D" w14:textId="77777777" w:rsidR="004945E9" w:rsidRPr="00F90EAE" w:rsidRDefault="004945E9" w:rsidP="00F90EAE">
      <w:pPr>
        <w:jc w:val="both"/>
        <w:rPr>
          <w:color w:val="000000" w:themeColor="text1"/>
          <w:sz w:val="16"/>
          <w:szCs w:val="16"/>
        </w:rPr>
      </w:pPr>
      <w:r w:rsidRPr="00F90EAE">
        <w:rPr>
          <w:color w:val="000000" w:themeColor="text1"/>
          <w:sz w:val="16"/>
          <w:szCs w:val="16"/>
        </w:rPr>
        <w:lastRenderedPageBreak/>
        <w:t>Вес башни, т — 4,0</w:t>
      </w:r>
    </w:p>
    <w:p w14:paraId="74BFC860" w14:textId="77777777" w:rsidR="004945E9" w:rsidRPr="00F90EAE" w:rsidRDefault="004945E9" w:rsidP="00F90EAE">
      <w:pPr>
        <w:jc w:val="both"/>
        <w:rPr>
          <w:color w:val="000000" w:themeColor="text1"/>
          <w:sz w:val="16"/>
          <w:szCs w:val="16"/>
        </w:rPr>
      </w:pPr>
      <w:r w:rsidRPr="00F90EAE">
        <w:rPr>
          <w:color w:val="000000" w:themeColor="text1"/>
          <w:sz w:val="16"/>
          <w:szCs w:val="16"/>
        </w:rPr>
        <w:t>Темп стрельбы одного ствола, выстр/мин — 270–300</w:t>
      </w:r>
    </w:p>
    <w:p w14:paraId="7C76EE27" w14:textId="77777777" w:rsidR="004945E9" w:rsidRPr="00F90EAE" w:rsidRDefault="004945E9" w:rsidP="00F90EAE">
      <w:pPr>
        <w:jc w:val="both"/>
        <w:rPr>
          <w:color w:val="000000" w:themeColor="text1"/>
          <w:sz w:val="16"/>
          <w:szCs w:val="16"/>
        </w:rPr>
      </w:pPr>
      <w:r w:rsidRPr="00F90EAE">
        <w:rPr>
          <w:color w:val="000000" w:themeColor="text1"/>
          <w:sz w:val="16"/>
          <w:szCs w:val="16"/>
        </w:rPr>
        <w:t>В 1953 г. установки БЛ-120–1 и БЛ-120-П были по известным причинам переименованы в 4М-120–1 и 4М-120-II. Работы над установкой из расформированного ОКБ-172 передали в ОКБ-43.</w:t>
      </w:r>
    </w:p>
    <w:p w14:paraId="799B41EE" w14:textId="77777777" w:rsidR="004945E9" w:rsidRPr="00F90EAE" w:rsidRDefault="004945E9" w:rsidP="00F90EAE">
      <w:pPr>
        <w:jc w:val="both"/>
        <w:rPr>
          <w:color w:val="000000" w:themeColor="text1"/>
          <w:sz w:val="16"/>
          <w:szCs w:val="16"/>
        </w:rPr>
      </w:pPr>
      <w:r w:rsidRPr="00F90EAE">
        <w:rPr>
          <w:color w:val="000000" w:themeColor="text1"/>
          <w:sz w:val="16"/>
          <w:szCs w:val="16"/>
        </w:rPr>
        <w:t>В 1954 г. две установки 4М-120–1 были смонтированы на эсминце проекта 41 «Неустрашимый» для проведения государственных испытаний. Через несколько лет обе установки сняли с корабля проекта 41 и заменили на 45-мм СМ-20ЗИФ. В серийное производство 4М-120 не поступали (12705).</w:t>
      </w:r>
    </w:p>
    <w:p w14:paraId="543D39BA" w14:textId="77777777" w:rsidR="004945E9" w:rsidRPr="00F90EAE" w:rsidRDefault="004945E9" w:rsidP="00F90EAE">
      <w:pPr>
        <w:jc w:val="both"/>
        <w:rPr>
          <w:color w:val="000000" w:themeColor="text1"/>
          <w:sz w:val="16"/>
          <w:szCs w:val="16"/>
        </w:rPr>
      </w:pPr>
    </w:p>
    <w:p w14:paraId="4BDC6E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628A43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необеспеченностью топливом нарушилась нормальная работа мартеновских печей, кузнечного и термического цехов.</w:t>
      </w:r>
    </w:p>
    <w:p w14:paraId="6D4E96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Обеспечение февральской программой выпуска танков башнями и поковками шло за счет сни</w:t>
      </w:r>
      <w:r w:rsidRPr="00F90EAE">
        <w:rPr>
          <w:color w:val="000000" w:themeColor="text1"/>
          <w:sz w:val="16"/>
          <w:szCs w:val="16"/>
        </w:rPr>
        <w:softHyphen/>
        <w:t>жения заделов.</w:t>
      </w:r>
    </w:p>
    <w:p w14:paraId="7AE10C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этим изделиям завод №183 к марту месяцу оказался без необходимых заделов.</w:t>
      </w:r>
    </w:p>
    <w:p w14:paraId="269860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Он. 11355. Д. 2743. Л. 14. Копия (11420).</w:t>
      </w:r>
    </w:p>
    <w:p w14:paraId="3EB38DD7" w14:textId="77777777" w:rsidR="00665165" w:rsidRPr="00F90EAE" w:rsidRDefault="00665165" w:rsidP="00F90EAE">
      <w:pPr>
        <w:autoSpaceDE w:val="0"/>
        <w:autoSpaceDN w:val="0"/>
        <w:adjustRightInd w:val="0"/>
        <w:jc w:val="both"/>
        <w:rPr>
          <w:color w:val="000000" w:themeColor="text1"/>
          <w:sz w:val="16"/>
          <w:szCs w:val="16"/>
        </w:rPr>
      </w:pPr>
    </w:p>
    <w:p w14:paraId="095554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г. в соотве</w:t>
      </w:r>
      <w:r w:rsidRPr="00F90EAE">
        <w:rPr>
          <w:color w:val="000000" w:themeColor="text1"/>
          <w:sz w:val="16"/>
          <w:szCs w:val="16"/>
        </w:rPr>
        <w:softHyphen/>
        <w:t>тствии с постановлением ГКО № 7590 был создан Особый комитет Государственного Комитета Обороны СССР. Основной задачей новой структу</w:t>
      </w:r>
      <w:r w:rsidRPr="00F90EAE">
        <w:rPr>
          <w:color w:val="000000" w:themeColor="text1"/>
          <w:sz w:val="16"/>
          <w:szCs w:val="16"/>
        </w:rPr>
        <w:softHyphen/>
        <w:t>ры была организация работы по использованию экономического и научно-технического по</w:t>
      </w:r>
      <w:r w:rsidRPr="00F90EAE">
        <w:rPr>
          <w:color w:val="000000" w:themeColor="text1"/>
          <w:sz w:val="16"/>
          <w:szCs w:val="16"/>
        </w:rPr>
        <w:softHyphen/>
        <w:t>тенциала Германии в интересах восстановления и дальнейшего развития народного хозяйства СССР. Это был одновременно высший координирующий орган и высшая инстан</w:t>
      </w:r>
      <w:r w:rsidRPr="00F90EAE">
        <w:rPr>
          <w:color w:val="000000" w:themeColor="text1"/>
          <w:sz w:val="16"/>
          <w:szCs w:val="16"/>
        </w:rPr>
        <w:softHyphen/>
        <w:t>ция по делам, связанным с военно-экономическим разоружением Германии и проведением всех видов демонтажных работ на ее территории. Председателем Особого комитета стал сек</w:t>
      </w:r>
      <w:r w:rsidRPr="00F90EAE">
        <w:rPr>
          <w:color w:val="000000" w:themeColor="text1"/>
          <w:sz w:val="16"/>
          <w:szCs w:val="16"/>
        </w:rPr>
        <w:softHyphen/>
        <w:t>ретарь ЦК ВКП(б) Г.М. Маленков, а постоянными членами — представители Госплана, нар</w:t>
      </w:r>
      <w:r w:rsidRPr="00F90EAE">
        <w:rPr>
          <w:color w:val="000000" w:themeColor="text1"/>
          <w:sz w:val="16"/>
          <w:szCs w:val="16"/>
        </w:rPr>
        <w:softHyphen/>
        <w:t>коматов обороны, иностранных дел, оборонной и тяжелой промышленности (Н.А. Вознесен</w:t>
      </w:r>
      <w:r w:rsidRPr="00F90EAE">
        <w:rPr>
          <w:color w:val="000000" w:themeColor="text1"/>
          <w:sz w:val="16"/>
          <w:szCs w:val="16"/>
        </w:rPr>
        <w:softHyphen/>
        <w:t>ский, Н.А. Булганин, А.В. Хрулев. Ф.И. Вахитов и др.). Вначале Особый комитет по Германии действовал при ГКО СССР. После упразднения этого чрезвычайного органа управления в сентябре 1945 г. Особый комитет работал при СНК (Совете Министров) СССР. На фронтах был создан институт уполномоченных Особого комитета и специальные демонтажные управ</w:t>
      </w:r>
      <w:r w:rsidRPr="00F90EAE">
        <w:rPr>
          <w:color w:val="000000" w:themeColor="text1"/>
          <w:sz w:val="16"/>
          <w:szCs w:val="16"/>
        </w:rPr>
        <w:softHyphen/>
        <w:t>ления. После окончания войны и образования СВАГ был создан аппарат уполномоченного Особого комитета по Германии и его представительства в провинциях и землях Советской зоны оккупации Германии. Демонтажные задания Особого комитета выполняли 23 трофей</w:t>
      </w:r>
      <w:r w:rsidRPr="00F90EAE">
        <w:rPr>
          <w:color w:val="000000" w:themeColor="text1"/>
          <w:sz w:val="16"/>
          <w:szCs w:val="16"/>
        </w:rPr>
        <w:softHyphen/>
        <w:t>ные бригады, дислоцированные на территории зоны. Вначале уполномоченным Особого ко</w:t>
      </w:r>
      <w:r w:rsidRPr="00F90EAE">
        <w:rPr>
          <w:color w:val="000000" w:themeColor="text1"/>
          <w:sz w:val="16"/>
          <w:szCs w:val="16"/>
        </w:rPr>
        <w:softHyphen/>
        <w:t>митета по Германии был М.З. Сабуров, затем его сменил Н.Г. Жуков. Уполномоченными Осо</w:t>
      </w:r>
      <w:r w:rsidRPr="00F90EAE">
        <w:rPr>
          <w:color w:val="000000" w:themeColor="text1"/>
          <w:sz w:val="16"/>
          <w:szCs w:val="16"/>
        </w:rPr>
        <w:softHyphen/>
        <w:t>бого комитета на местах являлись: в Мекленбурге — Н.Н. Колимовский, в Бранденбурге — Ф.С. Белогорлов, в провинции Саксония — С.И. Резников, в земле Саксония — Л.П. Грачев, в Тюрингии — Н.М. Разин. По этому вопросу см.: Горькое Ю.А. Государственный Комитет Обороны постановляет (1941—1945): Цифры, документы. М: Олма-Пресс, 2002. С. 38, 113 (11419).</w:t>
      </w:r>
    </w:p>
    <w:p w14:paraId="2996072A" w14:textId="77777777" w:rsidR="00665165" w:rsidRPr="00F90EAE" w:rsidRDefault="00665165" w:rsidP="00F90EAE">
      <w:pPr>
        <w:autoSpaceDE w:val="0"/>
        <w:autoSpaceDN w:val="0"/>
        <w:adjustRightInd w:val="0"/>
        <w:jc w:val="both"/>
        <w:rPr>
          <w:color w:val="000000" w:themeColor="text1"/>
          <w:sz w:val="16"/>
          <w:szCs w:val="16"/>
        </w:rPr>
      </w:pPr>
    </w:p>
    <w:p w14:paraId="7B9D96F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февраля 1945 вышло Постановление ГКО № 7590 Об Особом комитете при ГОКО, [образованном для организации вывоза с территории Германии и Польши промышленного оборудования, транспортных средств, сырья и готовой продукции.] (7310, 48-51).</w:t>
      </w:r>
    </w:p>
    <w:p w14:paraId="67B68C1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128B434" w14:textId="77777777" w:rsidR="003A3020"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1962008" w14:textId="77777777" w:rsidR="003A3020" w:rsidRPr="00F90EAE" w:rsidRDefault="003A3020" w:rsidP="00F90EAE">
      <w:pPr>
        <w:autoSpaceDE w:val="0"/>
        <w:autoSpaceDN w:val="0"/>
        <w:adjustRightInd w:val="0"/>
        <w:jc w:val="both"/>
        <w:rPr>
          <w:iCs/>
          <w:color w:val="000000" w:themeColor="text1"/>
          <w:sz w:val="16"/>
          <w:szCs w:val="16"/>
        </w:rPr>
      </w:pPr>
    </w:p>
    <w:p w14:paraId="2757B763" w14:textId="77777777" w:rsidR="003A3020" w:rsidRPr="00F90EAE" w:rsidRDefault="003A3020" w:rsidP="00F90EAE">
      <w:pPr>
        <w:jc w:val="both"/>
        <w:rPr>
          <w:color w:val="000000" w:themeColor="text1"/>
          <w:sz w:val="16"/>
          <w:szCs w:val="16"/>
        </w:rPr>
      </w:pPr>
      <w:r w:rsidRPr="00F90EAE">
        <w:rPr>
          <w:bCs/>
          <w:color w:val="000000" w:themeColor="text1"/>
          <w:sz w:val="16"/>
          <w:szCs w:val="16"/>
        </w:rPr>
        <w:t>25 февраля</w:t>
      </w:r>
      <w:r w:rsidRPr="00F90EAE">
        <w:rPr>
          <w:color w:val="000000" w:themeColor="text1"/>
          <w:sz w:val="16"/>
          <w:szCs w:val="16"/>
        </w:rPr>
        <w:t xml:space="preserve"> в 1945 году оперативная сводка Совинформбюро:</w:t>
      </w:r>
    </w:p>
    <w:p w14:paraId="6B231AC4" w14:textId="77777777" w:rsidR="003A3020" w:rsidRPr="00F90EAE" w:rsidRDefault="003A3020" w:rsidP="00F90EAE">
      <w:pPr>
        <w:jc w:val="both"/>
        <w:rPr>
          <w:color w:val="000000" w:themeColor="text1"/>
          <w:sz w:val="16"/>
          <w:szCs w:val="16"/>
        </w:rPr>
      </w:pPr>
      <w:r w:rsidRPr="00F90EAE">
        <w:rPr>
          <w:color w:val="000000" w:themeColor="text1"/>
          <w:sz w:val="16"/>
          <w:szCs w:val="16"/>
        </w:rPr>
        <w:t>«В течение 25 февраля на Земландском полуострове северо-западнее Кенигсберга наши войска отбивали атаки крупных сил пехоты и танков противника и нанесли ему большие потери в живой силе и технике. Одновременно юго-западнее Кенигсберга продолжались бои по уничтожению Восточно-Прусской группировки противника, в ходе которых наши войска овладели населёнными пунктами Амалиенвальде, Плессен, Войдиттен, Тифензее, Мюнген, Гросс Хассельберг. В боях за 24 февраля северо-западнее и юго-западнее Кенигсберга подбито и уничтожено 36 немецких танков.</w:t>
      </w:r>
    </w:p>
    <w:p w14:paraId="3CC6CE2F" w14:textId="77777777" w:rsidR="003A3020" w:rsidRPr="00F90EAE" w:rsidRDefault="003A3020" w:rsidP="00F90EAE">
      <w:pPr>
        <w:jc w:val="both"/>
        <w:rPr>
          <w:color w:val="000000" w:themeColor="text1"/>
          <w:sz w:val="16"/>
          <w:szCs w:val="16"/>
        </w:rPr>
      </w:pPr>
      <w:r w:rsidRPr="00F90EAE">
        <w:rPr>
          <w:color w:val="000000" w:themeColor="text1"/>
          <w:sz w:val="16"/>
          <w:szCs w:val="16"/>
        </w:rPr>
        <w:t>Юго-западнее города Хойнице (Конитц) наши войска в результате наступательных боёв овладели на территории Померании городом Пройсс Фридлакд, а также с боями заняли населённые пункты Дамниц, Клаусфельде, Бишофсвальде, Кристфельде, Баркенфельде, Хайнрихсвальде, Петерсвальде, Прютценбальде.</w:t>
      </w:r>
    </w:p>
    <w:p w14:paraId="31E0BA04" w14:textId="77777777" w:rsidR="003A3020" w:rsidRPr="00F90EAE" w:rsidRDefault="003A3020" w:rsidP="00F90EAE">
      <w:pPr>
        <w:jc w:val="both"/>
        <w:rPr>
          <w:color w:val="000000" w:themeColor="text1"/>
          <w:sz w:val="16"/>
          <w:szCs w:val="16"/>
        </w:rPr>
      </w:pPr>
      <w:r w:rsidRPr="00F90EAE">
        <w:rPr>
          <w:color w:val="000000" w:themeColor="text1"/>
          <w:sz w:val="16"/>
          <w:szCs w:val="16"/>
        </w:rPr>
        <w:t>В районе Бреслау наши войска продолжали бои по уничтожению окружённой в городе группировки противника и заняли несколько кварталов в южной части города.</w:t>
      </w:r>
    </w:p>
    <w:p w14:paraId="154CF63C" w14:textId="77777777" w:rsidR="003A3020" w:rsidRPr="00F90EAE" w:rsidRDefault="003A3020"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w:t>
      </w:r>
    </w:p>
    <w:p w14:paraId="448F19EA" w14:textId="77777777" w:rsidR="003A3020" w:rsidRPr="00F90EAE" w:rsidRDefault="003A3020" w:rsidP="00F90EAE">
      <w:pPr>
        <w:jc w:val="both"/>
        <w:rPr>
          <w:color w:val="000000" w:themeColor="text1"/>
          <w:sz w:val="16"/>
          <w:szCs w:val="16"/>
        </w:rPr>
      </w:pPr>
      <w:r w:rsidRPr="00F90EAE">
        <w:rPr>
          <w:color w:val="000000" w:themeColor="text1"/>
          <w:sz w:val="16"/>
          <w:szCs w:val="16"/>
        </w:rPr>
        <w:t>За 24 февраля на всех фронтах подбито и уничтожено 139 немецких танков. В воздушных боях и огнём зенитной артиллерии сбито 8 самолётов противника.</w:t>
      </w:r>
    </w:p>
    <w:p w14:paraId="40E1EFBD" w14:textId="77777777" w:rsidR="003A3020" w:rsidRPr="00F90EAE" w:rsidRDefault="003A3020" w:rsidP="00F90EAE">
      <w:pPr>
        <w:jc w:val="both"/>
        <w:rPr>
          <w:color w:val="000000" w:themeColor="text1"/>
          <w:sz w:val="16"/>
          <w:szCs w:val="16"/>
        </w:rPr>
      </w:pPr>
      <w:r w:rsidRPr="00F90EAE">
        <w:rPr>
          <w:color w:val="000000" w:themeColor="text1"/>
          <w:sz w:val="16"/>
          <w:szCs w:val="16"/>
        </w:rPr>
        <w:t>В Восточной Пруссии северо-западнее города Кенигсберг противник рано утром атаковал наши позиции. На небольшом участке немцы бросили в бой крупные силы пехоты и танков. Ожесточённые бои продолжались весь день. Отбивая вражеские атаки, наши войска уничтожили до 2 тысяч немецких солдат и офицеров.</w:t>
      </w:r>
    </w:p>
    <w:p w14:paraId="36B6F54F" w14:textId="77777777" w:rsidR="003A3020" w:rsidRPr="00F90EAE" w:rsidRDefault="003A3020"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сжимать кольцо окружения Восточно-Прусской группировки противника. Немцы, опираясь на заранее подготовленные позиции с большим количеством железобетонных сооружений, оказывают упорное сопротивление. Части Н-ского соединения продвинулись вперед и выбили противника из нескольких населённых пунктов, расположенных к северо-западу от города Цинтен. Другие наши части, преодолев сильное огневое сопротивление немцев, овладели железнодорожной станцией Тифензее.</w:t>
      </w:r>
    </w:p>
    <w:p w14:paraId="23EDB4C3" w14:textId="77777777" w:rsidR="003A3020" w:rsidRPr="00F90EAE" w:rsidRDefault="003A3020" w:rsidP="00F90EAE">
      <w:pPr>
        <w:jc w:val="both"/>
        <w:rPr>
          <w:color w:val="000000" w:themeColor="text1"/>
          <w:sz w:val="16"/>
          <w:szCs w:val="16"/>
        </w:rPr>
      </w:pPr>
      <w:r w:rsidRPr="00F90EAE">
        <w:rPr>
          <w:color w:val="000000" w:themeColor="text1"/>
          <w:sz w:val="16"/>
          <w:szCs w:val="16"/>
        </w:rPr>
        <w:t>Экипаж самоходного орудия младшего лейтенанта Григорьева напал на вражескую колонну. Артиллеристы подбили 2 немецких самоходных орудия, уничтожили 9 пулемётов, несколько десятков автомашин и истребили группу гитлеровцев. Семь бойцов во главе со старшиной Дубиндой ночью ворвались в траншею противника. Гранатами и огнём из автоматов гвардейцы уничтожили взвод немецкой пехоты и захватили выгодные позиции. Орудийный расчёт младшего сержанта Логинова за два дня боёв уничтожил 7 немецких танков и самоходных орудий. Группа гвардейцев во главе с капитаном Яковлевым захватила вражеский дот и, отражая контратаку противника, уничтожила свыше 100 немцев.</w:t>
      </w:r>
    </w:p>
    <w:p w14:paraId="713C673E" w14:textId="77777777" w:rsidR="003A3020" w:rsidRPr="00F90EAE" w:rsidRDefault="003A3020" w:rsidP="00F90EAE">
      <w:pPr>
        <w:jc w:val="both"/>
        <w:rPr>
          <w:color w:val="000000" w:themeColor="text1"/>
          <w:sz w:val="16"/>
          <w:szCs w:val="16"/>
        </w:rPr>
      </w:pPr>
      <w:r w:rsidRPr="00F90EAE">
        <w:rPr>
          <w:color w:val="000000" w:themeColor="text1"/>
          <w:sz w:val="16"/>
          <w:szCs w:val="16"/>
        </w:rPr>
        <w:t>Юго-западнее города Хойнице (Конитц) наши войска после артиллерийской подготовки атаковали противника. Прорвав оборону немцев, советские пехотинцы продвинулись вперёд и вышли на подступы к городу Пройсс Фрядланд. Долговременные укрепления, построенные немцами на рубеже озера Зуккау-зее и реки Добринка, прикрывали подступы к городу. Советские части форсировали водную преграду и в результате стремительной атаки овладели городом Пройсс Фридланд—важным узлом шоссейных дорог. Наша пехота, поддержанная танками и самоходными орудиями, продвинулась вперёд на 10 километров и выбила немцев из населённого пункта и железнодорожной станции Бишофсвальде. Противник, отступающий под ударами наших войск, потерял только убитыми до-3 тысяч солдат и офицеров. Уничтожено 23 немецких танка и 47 орудий. Взято в плен более 200 гитлеровцев.</w:t>
      </w:r>
    </w:p>
    <w:p w14:paraId="35519D86" w14:textId="77777777" w:rsidR="003A3020" w:rsidRPr="00F90EAE" w:rsidRDefault="003A3020" w:rsidP="00F90EAE">
      <w:pPr>
        <w:jc w:val="both"/>
        <w:rPr>
          <w:color w:val="000000" w:themeColor="text1"/>
          <w:sz w:val="16"/>
          <w:szCs w:val="16"/>
        </w:rPr>
      </w:pPr>
      <w:r w:rsidRPr="00F90EAE">
        <w:rPr>
          <w:color w:val="000000" w:themeColor="text1"/>
          <w:sz w:val="16"/>
          <w:szCs w:val="16"/>
        </w:rPr>
        <w:t>В Бреслау наши войска продолжали бои по ликвидации окружённой группировки противника. Советские штурмовые отряды при поддержке артиллерии очистили от немцев несколько кварталов в южной части города. Ожесточённые бои завязались, у площади Гинденбурга, где немцы сосредоточили много зенитных орудий. На другом участке наши части преодолели вражескую оборонительную полосу севернее пригорода Ольташин и, развивая успех, овладели районом нефтесклада. На месте боя осталось много вражеских трупов. Взято 340 пленных. Захвачено 8 танков и другие трофеи.</w:t>
      </w:r>
    </w:p>
    <w:p w14:paraId="1714FC04" w14:textId="77777777" w:rsidR="003A3020" w:rsidRPr="00F90EAE" w:rsidRDefault="003A3020" w:rsidP="00F90EAE">
      <w:pPr>
        <w:jc w:val="both"/>
        <w:rPr>
          <w:color w:val="000000" w:themeColor="text1"/>
          <w:sz w:val="16"/>
          <w:szCs w:val="16"/>
        </w:rPr>
      </w:pPr>
      <w:r w:rsidRPr="00F90EAE">
        <w:rPr>
          <w:color w:val="000000" w:themeColor="text1"/>
          <w:sz w:val="16"/>
          <w:szCs w:val="16"/>
        </w:rPr>
        <w:t>В Восточной Пруссии нашими войсками взято в плен много немецких солдат и офицеров. Пленный командир боевой группы 349-й немецкой пехотной дивизии обер-лейтенант Андреас Цухер рассказал: «Война для Германии бесповоротно проиграна. Часть немецких солдат теперь переодевается в гражданскую одежду, и прячется в населённых пунктах. Сотни и тысячи дезертиров бродят по фронтовым дорогам. Считая дальнейшее сопротивление безумием, я решил, сдаться в плен».</w:t>
      </w:r>
    </w:p>
    <w:p w14:paraId="1B14F33B" w14:textId="77777777" w:rsidR="003A3020" w:rsidRPr="00F90EAE" w:rsidRDefault="003A3020" w:rsidP="00F90EAE">
      <w:pPr>
        <w:jc w:val="both"/>
        <w:rPr>
          <w:color w:val="000000" w:themeColor="text1"/>
          <w:sz w:val="16"/>
          <w:szCs w:val="16"/>
        </w:rPr>
      </w:pPr>
      <w:r w:rsidRPr="00F90EAE">
        <w:rPr>
          <w:color w:val="000000" w:themeColor="text1"/>
          <w:sz w:val="16"/>
          <w:szCs w:val="16"/>
        </w:rPr>
        <w:t>Пленные солдаты 117-го немецкого охранного батальона Герберт Брендель и Курт Штольц сообщили: «Наш батальон получил приказ сдержать натиск русских, пока заградительные отряды соберут разбежавшихся солдат 286-й охранной дивизии. Удалось ли задержать бежавших с поля боя солдат, нам неизвестно. Наш батальон был разбит, а мы попали в плен».</w:t>
      </w:r>
    </w:p>
    <w:p w14:paraId="0DC3E6BE" w14:textId="77777777" w:rsidR="003A3020" w:rsidRPr="00F90EAE" w:rsidRDefault="003A3020" w:rsidP="00F90EAE">
      <w:pPr>
        <w:jc w:val="both"/>
        <w:rPr>
          <w:color w:val="000000" w:themeColor="text1"/>
          <w:sz w:val="16"/>
          <w:szCs w:val="16"/>
        </w:rPr>
      </w:pPr>
      <w:r w:rsidRPr="00F90EAE">
        <w:rPr>
          <w:color w:val="000000" w:themeColor="text1"/>
          <w:sz w:val="16"/>
          <w:szCs w:val="16"/>
        </w:rPr>
        <w:t>Пленный солдат 911-го немецкого полка Карл Вебер рассказал: «За два дня боёв наша рота потеряла половину своего личного состава. Раненых пришлось бросить. Паническое отступление войск и бегство населения произвели на солдат потрясающее впечатление. В эти дни многие немецкие солдаты похоронили последнюю надежду на победу Германии. Я бросил оружие и пытался бежать, однако вскоре оказался в русском плену» (15051).</w:t>
      </w:r>
    </w:p>
    <w:p w14:paraId="2F77C55D" w14:textId="77777777" w:rsidR="003A3020" w:rsidRPr="00F90EAE" w:rsidRDefault="003A3020" w:rsidP="00F90EAE">
      <w:pPr>
        <w:jc w:val="both"/>
        <w:rPr>
          <w:color w:val="000000" w:themeColor="text1"/>
          <w:sz w:val="16"/>
          <w:szCs w:val="16"/>
        </w:rPr>
      </w:pPr>
    </w:p>
    <w:p w14:paraId="20DB5F6C" w14:textId="77777777" w:rsidR="003A3020" w:rsidRPr="00F90EAE" w:rsidRDefault="003A3020" w:rsidP="00F90EAE">
      <w:pPr>
        <w:jc w:val="both"/>
        <w:rPr>
          <w:color w:val="000000" w:themeColor="text1"/>
          <w:sz w:val="16"/>
          <w:szCs w:val="16"/>
        </w:rPr>
      </w:pPr>
      <w:r w:rsidRPr="00F90EAE">
        <w:rPr>
          <w:bCs/>
          <w:color w:val="000000" w:themeColor="text1"/>
          <w:sz w:val="16"/>
          <w:szCs w:val="16"/>
        </w:rPr>
        <w:t>25 февраля</w:t>
      </w:r>
      <w:r w:rsidRPr="00F90EAE">
        <w:rPr>
          <w:color w:val="000000" w:themeColor="text1"/>
          <w:sz w:val="16"/>
          <w:szCs w:val="16"/>
        </w:rPr>
        <w:t xml:space="preserve"> в 1945 году приказом Ставки ВГК 1-й Прибалтийский фронт преобразован в Земландскую группу войск (15051).</w:t>
      </w:r>
    </w:p>
    <w:p w14:paraId="1AE87586" w14:textId="77777777" w:rsidR="003A3020" w:rsidRPr="00F90EAE" w:rsidRDefault="003A3020" w:rsidP="00F90EAE">
      <w:pPr>
        <w:jc w:val="both"/>
        <w:rPr>
          <w:color w:val="000000" w:themeColor="text1"/>
          <w:sz w:val="16"/>
          <w:szCs w:val="16"/>
        </w:rPr>
      </w:pPr>
    </w:p>
    <w:p w14:paraId="62F14D8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E370DB3" w14:textId="77777777" w:rsidR="00665165" w:rsidRPr="00F90EAE" w:rsidRDefault="00665165" w:rsidP="00F90EAE">
      <w:pPr>
        <w:autoSpaceDE w:val="0"/>
        <w:autoSpaceDN w:val="0"/>
        <w:adjustRightInd w:val="0"/>
        <w:jc w:val="both"/>
        <w:rPr>
          <w:iCs/>
          <w:color w:val="000000" w:themeColor="text1"/>
          <w:sz w:val="16"/>
          <w:szCs w:val="16"/>
        </w:rPr>
      </w:pPr>
    </w:p>
    <w:p w14:paraId="01158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вышло Постановление ГКО № 7591 О передаче Временному Польскому правительству автомашин, цистерн, самолетов, горючего. РГАНИР, Фонд ГКО, д. 373, лл. 52-54 (11012).</w:t>
      </w:r>
    </w:p>
    <w:p w14:paraId="314D1525" w14:textId="77777777" w:rsidR="00665165" w:rsidRPr="00F90EAE" w:rsidRDefault="00665165" w:rsidP="00F90EAE">
      <w:pPr>
        <w:autoSpaceDE w:val="0"/>
        <w:autoSpaceDN w:val="0"/>
        <w:adjustRightInd w:val="0"/>
        <w:jc w:val="both"/>
        <w:rPr>
          <w:color w:val="000000" w:themeColor="text1"/>
          <w:sz w:val="16"/>
          <w:szCs w:val="16"/>
        </w:rPr>
      </w:pPr>
    </w:p>
    <w:p w14:paraId="7530EBC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0D1431C" w14:textId="77777777" w:rsidR="00665165" w:rsidRPr="00F90EAE" w:rsidRDefault="00665165" w:rsidP="00F90EAE">
      <w:pPr>
        <w:autoSpaceDE w:val="0"/>
        <w:autoSpaceDN w:val="0"/>
        <w:adjustRightInd w:val="0"/>
        <w:jc w:val="both"/>
        <w:rPr>
          <w:iCs/>
          <w:color w:val="000000" w:themeColor="text1"/>
          <w:sz w:val="16"/>
          <w:szCs w:val="16"/>
        </w:rPr>
      </w:pPr>
    </w:p>
    <w:p w14:paraId="2708724C" w14:textId="77777777" w:rsidR="00010A2F" w:rsidRPr="00F90EAE" w:rsidRDefault="00010A2F" w:rsidP="00F90EAE">
      <w:pPr>
        <w:jc w:val="both"/>
        <w:rPr>
          <w:color w:val="000000" w:themeColor="text1"/>
          <w:sz w:val="16"/>
          <w:szCs w:val="16"/>
        </w:rPr>
      </w:pPr>
      <w:r w:rsidRPr="00F90EAE">
        <w:rPr>
          <w:color w:val="000000" w:themeColor="text1"/>
          <w:sz w:val="16"/>
          <w:szCs w:val="16"/>
        </w:rPr>
        <w:t xml:space="preserve">25 февраля 1945 состоялся первый испытательный полет "Наттера" по полной программе. Для первого старта с двигателем "Вальтера" в кабине пилота был установлен манекен. Ва.349 был запущен успению, на заданной высоте носовая часть и двигатель отделились, манекен и двигатель успешно были спасены с помощью парашютов. </w:t>
      </w:r>
      <w:r w:rsidRPr="00F90EAE">
        <w:rPr>
          <w:color w:val="000000" w:themeColor="text1"/>
          <w:sz w:val="16"/>
          <w:szCs w:val="16"/>
        </w:rPr>
        <w:lastRenderedPageBreak/>
        <w:t>28 февраля обер-лейтенант Лотхар Зиберт, добровольно согласившийся на подобные испытания, стартовал на Ва.349. Самолет набрал высоту около 500м,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 Несмотря на инцидент, Зиберта заменили другие добровольцы. Довольно быстро были проведены три успешных пилотируемых полета, и было решено, что Ва.349 уже готов для проведения войсковых испытаний. Всего успели закончить 36 "Hаттеров", а испытать 25, причем только 7 в пилотируемом полете. В апреле 10 "Hаттеров" А-серии были размещены у Кирхейма под Штудтгартом, для отражения налетов американских бомбардировщиков. Но 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0A15A175" w14:textId="77777777" w:rsidR="00010A2F" w:rsidRPr="00F90EAE" w:rsidRDefault="00010A2F" w:rsidP="00F90EAE">
      <w:pPr>
        <w:jc w:val="both"/>
        <w:rPr>
          <w:color w:val="000000" w:themeColor="text1"/>
          <w:sz w:val="16"/>
          <w:szCs w:val="16"/>
        </w:rPr>
      </w:pPr>
    </w:p>
    <w:p w14:paraId="7ADFC2CB" w14:textId="77777777" w:rsidR="003A3020" w:rsidRPr="00F90EAE" w:rsidRDefault="003A3020" w:rsidP="00F90EAE">
      <w:pPr>
        <w:jc w:val="both"/>
        <w:rPr>
          <w:color w:val="000000" w:themeColor="text1"/>
          <w:sz w:val="16"/>
          <w:szCs w:val="16"/>
        </w:rPr>
      </w:pPr>
      <w:r w:rsidRPr="00F90EAE">
        <w:rPr>
          <w:bCs/>
          <w:color w:val="000000" w:themeColor="text1"/>
          <w:sz w:val="16"/>
          <w:szCs w:val="16"/>
        </w:rPr>
        <w:t>25 февраля</w:t>
      </w:r>
      <w:r w:rsidRPr="00F90EAE">
        <w:rPr>
          <w:color w:val="000000" w:themeColor="text1"/>
          <w:sz w:val="16"/>
          <w:szCs w:val="16"/>
        </w:rPr>
        <w:t xml:space="preserve"> в 1945 году с испытательной вышки был произведен испытательный пуск в беспилотном варианте (с манекеном) реактивного истребителя перехватчика </w:t>
      </w:r>
      <w:hyperlink r:id="rId50" w:tgtFrame="_blank" w:history="1">
        <w:r w:rsidRPr="00F90EAE">
          <w:rPr>
            <w:color w:val="000000" w:themeColor="text1"/>
            <w:sz w:val="16"/>
            <w:szCs w:val="16"/>
          </w:rPr>
          <w:t xml:space="preserve">«Bacham» "Ва-349" "Наттера". </w:t>
        </w:r>
      </w:hyperlink>
      <w:r w:rsidRPr="00F90EAE">
        <w:rPr>
          <w:color w:val="000000" w:themeColor="text1"/>
          <w:sz w:val="16"/>
          <w:szCs w:val="16"/>
        </w:rPr>
        <w:t>Работа ускорителей "Шмиддинг" оставляла желать лучшего. Время работы и тяга варьировались. Произошло несколько взрывов на старте. Автопилот "Патин" не обеспечивал устойчивости, и его работу было трудно синхронизировать. Обещания поставок двигателя "Вальтер"-509А так и остались обещаниями. Фактически первый двигатель "Вальтера" поступил Бахему только в феврале 1945 года. В результате первый испытательный полет "Наттера" по полной программе смог состояться только 25 февраля. Когда истребитель достиг заданной высоты, автоматика привела в действие спасательный комплекс позволивший совершить парашютную посадку на землю манекену и спасаемым частям истребителя (15051).</w:t>
      </w:r>
    </w:p>
    <w:p w14:paraId="7540D5E9" w14:textId="77777777" w:rsidR="003A3020" w:rsidRPr="00F90EAE" w:rsidRDefault="003A3020" w:rsidP="00F90EAE">
      <w:pPr>
        <w:jc w:val="both"/>
        <w:rPr>
          <w:color w:val="000000" w:themeColor="text1"/>
          <w:sz w:val="16"/>
          <w:szCs w:val="16"/>
        </w:rPr>
      </w:pPr>
    </w:p>
    <w:p w14:paraId="384ED466" w14:textId="77777777" w:rsidR="00580BC7" w:rsidRPr="00F90EAE" w:rsidRDefault="00580BC7" w:rsidP="00F90EAE">
      <w:pPr>
        <w:jc w:val="both"/>
        <w:rPr>
          <w:color w:val="0070C0"/>
          <w:sz w:val="16"/>
          <w:szCs w:val="16"/>
        </w:rPr>
      </w:pPr>
      <w:r w:rsidRPr="00F90EAE">
        <w:rPr>
          <w:color w:val="0070C0"/>
          <w:sz w:val="16"/>
          <w:szCs w:val="16"/>
        </w:rPr>
        <w:t>25 февраля 1945 первый полет Bell XP-83 (20371).</w:t>
      </w:r>
    </w:p>
    <w:p w14:paraId="43371A88" w14:textId="77777777" w:rsidR="00580BC7" w:rsidRPr="00F90EAE" w:rsidRDefault="00580BC7" w:rsidP="00F90EAE">
      <w:pPr>
        <w:jc w:val="both"/>
        <w:rPr>
          <w:color w:val="0070C0"/>
          <w:sz w:val="16"/>
          <w:szCs w:val="16"/>
        </w:rPr>
      </w:pPr>
    </w:p>
    <w:p w14:paraId="0DBCA3DD" w14:textId="77777777" w:rsidR="00580BC7" w:rsidRPr="00F90EAE" w:rsidRDefault="00580BC7"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первый полет выполнил двухмоторный ХР-83 Белла (3040).</w:t>
      </w:r>
    </w:p>
    <w:p w14:paraId="18E6FBF3" w14:textId="77777777" w:rsidR="00580BC7" w:rsidRPr="00F90EAE" w:rsidRDefault="00580BC7" w:rsidP="00F90EAE">
      <w:pPr>
        <w:autoSpaceDE w:val="0"/>
        <w:autoSpaceDN w:val="0"/>
        <w:adjustRightInd w:val="0"/>
        <w:jc w:val="both"/>
        <w:rPr>
          <w:color w:val="000000" w:themeColor="text1"/>
          <w:sz w:val="16"/>
          <w:szCs w:val="16"/>
        </w:rPr>
      </w:pPr>
    </w:p>
    <w:p w14:paraId="3401A634" w14:textId="77777777" w:rsidR="00580BC7" w:rsidRPr="00F90EAE" w:rsidRDefault="00580BC7" w:rsidP="00F90EAE">
      <w:pPr>
        <w:jc w:val="both"/>
        <w:rPr>
          <w:color w:val="0070C0"/>
          <w:sz w:val="16"/>
          <w:szCs w:val="16"/>
        </w:rPr>
      </w:pPr>
      <w:r w:rsidRPr="00F90EAE">
        <w:rPr>
          <w:color w:val="0070C0"/>
          <w:sz w:val="16"/>
          <w:szCs w:val="16"/>
        </w:rPr>
        <w:t>25 февраля 1945 - Первый полет многоцелевого истребителя Bell ХР-83, Джек Вулэмс.</w:t>
      </w:r>
    </w:p>
    <w:p w14:paraId="2426A9AE" w14:textId="77777777" w:rsidR="00580BC7" w:rsidRPr="00F90EAE" w:rsidRDefault="00580BC7" w:rsidP="00F90EAE">
      <w:pPr>
        <w:jc w:val="both"/>
        <w:rPr>
          <w:color w:val="0070C0"/>
          <w:sz w:val="16"/>
          <w:szCs w:val="16"/>
        </w:rPr>
      </w:pPr>
      <w:r w:rsidRPr="00F90EAE">
        <w:rPr>
          <w:color w:val="0070C0"/>
          <w:sz w:val="16"/>
          <w:szCs w:val="16"/>
        </w:rPr>
        <w:t>Основа конструкции полностью осталась от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пулеметов с боезапасом 300 патронов, однако рассматривалась возможность установки четырех 20-мм или 37-мм пушек.</w:t>
      </w:r>
    </w:p>
    <w:p w14:paraId="3E51E7B7" w14:textId="7A482CE2" w:rsidR="00580BC7" w:rsidRPr="00F90EAE" w:rsidRDefault="00580BC7" w:rsidP="00F90EAE">
      <w:pPr>
        <w:jc w:val="both"/>
        <w:rPr>
          <w:color w:val="0070C0"/>
          <w:sz w:val="16"/>
          <w:szCs w:val="16"/>
        </w:rPr>
      </w:pPr>
      <w:r w:rsidRPr="00F90EAE">
        <w:rPr>
          <w:color w:val="0070C0"/>
          <w:sz w:val="16"/>
          <w:szCs w:val="16"/>
        </w:rPr>
        <w:t>Но ЛТХ самолета уступали конкуренту Lockheed P-80 Shooting Star, это привело к отмене проекта XP-83 в 1947 году (22587).</w:t>
      </w:r>
    </w:p>
    <w:p w14:paraId="6733349D" w14:textId="77777777" w:rsidR="00580BC7" w:rsidRPr="00F90EAE" w:rsidRDefault="00580BC7" w:rsidP="00F90EAE">
      <w:pPr>
        <w:jc w:val="both"/>
        <w:rPr>
          <w:color w:val="0070C0"/>
          <w:sz w:val="16"/>
          <w:szCs w:val="16"/>
        </w:rPr>
      </w:pPr>
    </w:p>
    <w:p w14:paraId="418D4414" w14:textId="77777777" w:rsidR="00580BC7" w:rsidRPr="00F90EAE" w:rsidRDefault="00580BC7" w:rsidP="00F90EAE">
      <w:pPr>
        <w:jc w:val="both"/>
        <w:rPr>
          <w:color w:val="0070C0"/>
          <w:sz w:val="16"/>
          <w:szCs w:val="16"/>
        </w:rPr>
      </w:pPr>
      <w:r w:rsidRPr="00F90EAE">
        <w:rPr>
          <w:color w:val="0070C0"/>
          <w:sz w:val="16"/>
          <w:szCs w:val="16"/>
        </w:rPr>
        <w:t>25 февраля 1945 союзнические войска впервые захватили неповрежденный немецкий реактивный бомбардировщик Arado Ar 234B Blitz (Lightning) (20471).</w:t>
      </w:r>
    </w:p>
    <w:p w14:paraId="637993FF" w14:textId="77777777" w:rsidR="00580BC7" w:rsidRPr="00F90EAE" w:rsidRDefault="00580BC7" w:rsidP="00F90EAE">
      <w:pPr>
        <w:jc w:val="both"/>
        <w:rPr>
          <w:color w:val="0070C0"/>
          <w:sz w:val="16"/>
          <w:szCs w:val="16"/>
        </w:rPr>
      </w:pPr>
    </w:p>
    <w:p w14:paraId="535B48B3" w14:textId="77777777" w:rsidR="003A3020" w:rsidRPr="00F90EAE" w:rsidRDefault="003A3020" w:rsidP="00F90EAE">
      <w:pPr>
        <w:jc w:val="both"/>
        <w:rPr>
          <w:color w:val="000000" w:themeColor="text1"/>
          <w:sz w:val="16"/>
          <w:szCs w:val="16"/>
        </w:rPr>
      </w:pPr>
      <w:r w:rsidRPr="00F90EAE">
        <w:rPr>
          <w:bCs/>
          <w:color w:val="000000" w:themeColor="text1"/>
          <w:sz w:val="16"/>
          <w:szCs w:val="16"/>
        </w:rPr>
        <w:t>25 февраля</w:t>
      </w:r>
      <w:r w:rsidRPr="00F90EAE">
        <w:rPr>
          <w:color w:val="000000" w:themeColor="text1"/>
          <w:sz w:val="16"/>
          <w:szCs w:val="16"/>
        </w:rPr>
        <w:t xml:space="preserve"> в 1945 году считается, что термин "железный занавес" появился после Второй мировой войны и придумал его в 1946-м Уинстон Черчилль. Но это не так. В еженедельнике Das Reich от 25 февраля 1945 немецкий министр пропаганды Йозеф Геббельс предрек, что в случае капитуляции Германии Советский Союз займет большую часть восточной Европы, где опустится "железный занавес". Черчилль, без сомнения, читал эту статью и использовал понравившийся термин. Но автор метафоры не Геббельс. Понятие идет из театра -- это защитный от огня занавес, который опускался за основным, когда представление заканчивалось. Еще в 1918-м русский писатель и философ Василий Розанов в книге "Апокалипсис нашего времени" писал: "С грохотом, треском и скрипом на российскую историю опускается железный занавес. Представление окончено" (15051).</w:t>
      </w:r>
    </w:p>
    <w:p w14:paraId="7000DB02" w14:textId="77777777" w:rsidR="003A3020" w:rsidRPr="00F90EAE" w:rsidRDefault="003A3020" w:rsidP="00F90EAE">
      <w:pPr>
        <w:jc w:val="both"/>
        <w:rPr>
          <w:color w:val="000000" w:themeColor="text1"/>
          <w:sz w:val="16"/>
          <w:szCs w:val="16"/>
        </w:rPr>
      </w:pPr>
    </w:p>
    <w:p w14:paraId="6BDECFB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февраля 1945 в Германии впервые приняли участие в боях американские танки “Першинг” (4962).</w:t>
      </w:r>
    </w:p>
    <w:p w14:paraId="5DD3803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EA84A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25 1945 United States 21st Bomber Command makes first mass incendiary-bomb raid on Tokyo (1037).</w:t>
      </w:r>
    </w:p>
    <w:p w14:paraId="60EF4611" w14:textId="77777777" w:rsidR="00665165" w:rsidRPr="00F90EAE" w:rsidRDefault="00665165" w:rsidP="00F90EAE">
      <w:pPr>
        <w:autoSpaceDE w:val="0"/>
        <w:autoSpaceDN w:val="0"/>
        <w:adjustRightInd w:val="0"/>
        <w:jc w:val="both"/>
        <w:rPr>
          <w:color w:val="000000" w:themeColor="text1"/>
          <w:sz w:val="16"/>
          <w:szCs w:val="16"/>
          <w:lang w:val="en-US"/>
        </w:rPr>
      </w:pPr>
    </w:p>
    <w:p w14:paraId="565FE6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состоялся первый массовый налет бомбардировщиков, снаряженных зажигательными бомбами, на Токио (1037).</w:t>
      </w:r>
    </w:p>
    <w:p w14:paraId="38240ECB" w14:textId="77777777" w:rsidR="00665165" w:rsidRPr="00F90EAE" w:rsidRDefault="00665165" w:rsidP="00F90EAE">
      <w:pPr>
        <w:autoSpaceDE w:val="0"/>
        <w:autoSpaceDN w:val="0"/>
        <w:adjustRightInd w:val="0"/>
        <w:jc w:val="both"/>
        <w:rPr>
          <w:color w:val="000000" w:themeColor="text1"/>
          <w:sz w:val="16"/>
          <w:szCs w:val="16"/>
        </w:rPr>
      </w:pPr>
    </w:p>
    <w:p w14:paraId="49486CCE" w14:textId="77777777" w:rsidR="00580BC7" w:rsidRPr="00F90EAE" w:rsidRDefault="00580BC7" w:rsidP="00F90EAE">
      <w:pPr>
        <w:jc w:val="both"/>
        <w:rPr>
          <w:color w:val="0070C0"/>
          <w:sz w:val="16"/>
          <w:szCs w:val="16"/>
        </w:rPr>
      </w:pPr>
      <w:r w:rsidRPr="00F90EAE">
        <w:rPr>
          <w:color w:val="0070C0"/>
          <w:sz w:val="16"/>
          <w:szCs w:val="16"/>
        </w:rPr>
        <w:t>25 февраля 1945 самолеты с авианосцев оперативной группы 58 ВМС США наносят удары по целям вокруг Токио, но плохая погода вынуждает отменить многие удары (20371).</w:t>
      </w:r>
    </w:p>
    <w:p w14:paraId="7A82F858" w14:textId="77777777" w:rsidR="00580BC7" w:rsidRPr="00F90EAE" w:rsidRDefault="00580BC7" w:rsidP="00F90EAE">
      <w:pPr>
        <w:jc w:val="both"/>
        <w:rPr>
          <w:color w:val="0070C0"/>
          <w:sz w:val="16"/>
          <w:szCs w:val="16"/>
        </w:rPr>
      </w:pPr>
    </w:p>
    <w:p w14:paraId="0D7E3C30" w14:textId="77777777" w:rsidR="00580BC7" w:rsidRPr="00F90EAE" w:rsidRDefault="00580BC7" w:rsidP="00F90EAE">
      <w:pPr>
        <w:jc w:val="both"/>
        <w:rPr>
          <w:color w:val="0070C0"/>
          <w:sz w:val="16"/>
          <w:szCs w:val="16"/>
        </w:rPr>
      </w:pPr>
      <w:r w:rsidRPr="00F90EAE">
        <w:rPr>
          <w:color w:val="0070C0"/>
          <w:sz w:val="16"/>
          <w:szCs w:val="16"/>
        </w:rPr>
        <w:t>25 февраля 1945 - Начало налетов Boeing B-29 "Superfortresses" на Японию. 1667 тонн зажигательных бомб разрушают территорию в 15 квадратных миль в Токио (22587).</w:t>
      </w:r>
    </w:p>
    <w:p w14:paraId="3ED7A66C" w14:textId="77777777" w:rsidR="00580BC7" w:rsidRPr="00F90EAE" w:rsidRDefault="00580BC7" w:rsidP="00F90EAE">
      <w:pPr>
        <w:jc w:val="both"/>
        <w:rPr>
          <w:color w:val="0070C0"/>
          <w:sz w:val="16"/>
          <w:szCs w:val="16"/>
        </w:rPr>
      </w:pPr>
    </w:p>
    <w:p w14:paraId="0E70543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25, 1945: 400 RAF bombers carry out attacks against Dortmund and Rheine. Turkey declares war against Germany (3819).</w:t>
      </w:r>
    </w:p>
    <w:p w14:paraId="065B8352" w14:textId="77777777" w:rsidR="00665165" w:rsidRPr="00F90EAE" w:rsidRDefault="00665165" w:rsidP="00F90EAE">
      <w:pPr>
        <w:autoSpaceDE w:val="0"/>
        <w:autoSpaceDN w:val="0"/>
        <w:adjustRightInd w:val="0"/>
        <w:jc w:val="both"/>
        <w:rPr>
          <w:color w:val="000000" w:themeColor="text1"/>
          <w:sz w:val="16"/>
          <w:szCs w:val="16"/>
          <w:lang w:val="en-US"/>
        </w:rPr>
      </w:pPr>
    </w:p>
    <w:p w14:paraId="7FC9A33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25 </w:t>
      </w:r>
      <w:r w:rsidRPr="00F90EAE">
        <w:rPr>
          <w:color w:val="000000" w:themeColor="text1"/>
          <w:sz w:val="16"/>
          <w:szCs w:val="16"/>
        </w:rPr>
        <w:t>февраля</w:t>
      </w:r>
      <w:r w:rsidRPr="00F90EAE">
        <w:rPr>
          <w:color w:val="000000" w:themeColor="text1"/>
          <w:sz w:val="16"/>
          <w:szCs w:val="16"/>
          <w:lang w:val="en-US"/>
        </w:rPr>
        <w:t xml:space="preserve"> 1945 400 </w:t>
      </w:r>
      <w:r w:rsidRPr="00F90EAE">
        <w:rPr>
          <w:color w:val="000000" w:themeColor="text1"/>
          <w:sz w:val="16"/>
          <w:szCs w:val="16"/>
        </w:rPr>
        <w:t>бомбардировщиковКоролевскихВВСбомбилиДортмундиРейн</w:t>
      </w:r>
      <w:r w:rsidRPr="00F90EAE">
        <w:rPr>
          <w:color w:val="000000" w:themeColor="text1"/>
          <w:sz w:val="16"/>
          <w:szCs w:val="16"/>
          <w:lang w:val="en-US"/>
        </w:rPr>
        <w:t xml:space="preserve">. </w:t>
      </w:r>
      <w:r w:rsidRPr="00F90EAE">
        <w:rPr>
          <w:color w:val="000000" w:themeColor="text1"/>
          <w:sz w:val="16"/>
          <w:szCs w:val="16"/>
        </w:rPr>
        <w:t>Турция</w:t>
      </w:r>
      <w:r w:rsidRPr="00F90EAE">
        <w:rPr>
          <w:color w:val="000000" w:themeColor="text1"/>
          <w:sz w:val="16"/>
          <w:szCs w:val="16"/>
          <w:lang w:val="en-US"/>
        </w:rPr>
        <w:t xml:space="preserve"> </w:t>
      </w:r>
      <w:r w:rsidRPr="00F90EAE">
        <w:rPr>
          <w:color w:val="000000" w:themeColor="text1"/>
          <w:sz w:val="16"/>
          <w:szCs w:val="16"/>
        </w:rPr>
        <w:t>объявила</w:t>
      </w:r>
      <w:r w:rsidRPr="00F90EAE">
        <w:rPr>
          <w:color w:val="000000" w:themeColor="text1"/>
          <w:sz w:val="16"/>
          <w:szCs w:val="16"/>
          <w:lang w:val="en-US"/>
        </w:rPr>
        <w:t xml:space="preserve"> </w:t>
      </w:r>
      <w:r w:rsidRPr="00F90EAE">
        <w:rPr>
          <w:color w:val="000000" w:themeColor="text1"/>
          <w:sz w:val="16"/>
          <w:szCs w:val="16"/>
        </w:rPr>
        <w:t>войну</w:t>
      </w:r>
      <w:r w:rsidRPr="00F90EAE">
        <w:rPr>
          <w:color w:val="000000" w:themeColor="text1"/>
          <w:sz w:val="16"/>
          <w:szCs w:val="16"/>
          <w:lang w:val="en-US"/>
        </w:rPr>
        <w:t xml:space="preserve"> </w:t>
      </w:r>
      <w:r w:rsidRPr="00F90EAE">
        <w:rPr>
          <w:color w:val="000000" w:themeColor="text1"/>
          <w:sz w:val="16"/>
          <w:szCs w:val="16"/>
        </w:rPr>
        <w:t>Германии</w:t>
      </w:r>
      <w:r w:rsidRPr="00F90EAE">
        <w:rPr>
          <w:color w:val="000000" w:themeColor="text1"/>
          <w:sz w:val="16"/>
          <w:szCs w:val="16"/>
          <w:lang w:val="en-US"/>
        </w:rPr>
        <w:t xml:space="preserve"> (3819).</w:t>
      </w:r>
    </w:p>
    <w:p w14:paraId="7588AC82" w14:textId="77777777" w:rsidR="00665165" w:rsidRPr="00F90EAE" w:rsidRDefault="00665165" w:rsidP="00F90EAE">
      <w:pPr>
        <w:autoSpaceDE w:val="0"/>
        <w:autoSpaceDN w:val="0"/>
        <w:adjustRightInd w:val="0"/>
        <w:jc w:val="both"/>
        <w:rPr>
          <w:color w:val="000000" w:themeColor="text1"/>
          <w:sz w:val="16"/>
          <w:szCs w:val="16"/>
          <w:lang w:val="en-US"/>
        </w:rPr>
      </w:pPr>
    </w:p>
    <w:p w14:paraId="174EE48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8A2A94C" w14:textId="77777777" w:rsidR="00665165" w:rsidRPr="00F90EAE" w:rsidRDefault="00665165" w:rsidP="00F90EAE">
      <w:pPr>
        <w:autoSpaceDE w:val="0"/>
        <w:autoSpaceDN w:val="0"/>
        <w:adjustRightInd w:val="0"/>
        <w:jc w:val="both"/>
        <w:rPr>
          <w:iCs/>
          <w:color w:val="000000" w:themeColor="text1"/>
          <w:sz w:val="16"/>
          <w:szCs w:val="16"/>
        </w:rPr>
      </w:pPr>
    </w:p>
    <w:p w14:paraId="2345AB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февраля 1945 приказ НКАП во исполнение постановления ГКО от 21 февраля 1945 г., в соответствии с которым был создан учебно-тренировочный вариант штурмовика Ил-10 - УИл-10. Техничес</w:t>
      </w:r>
      <w:r w:rsidRPr="00F90EAE">
        <w:rPr>
          <w:color w:val="000000" w:themeColor="text1"/>
          <w:sz w:val="16"/>
          <w:szCs w:val="16"/>
        </w:rPr>
        <w:softHyphen/>
        <w:t>кие требования к нему заместитель ко</w:t>
      </w:r>
      <w:r w:rsidRPr="00F90EAE">
        <w:rPr>
          <w:color w:val="000000" w:themeColor="text1"/>
          <w:sz w:val="16"/>
          <w:szCs w:val="16"/>
        </w:rPr>
        <w:softHyphen/>
        <w:t>мандующего ВВС маршал Ф.Я. Фалалеев утвердил 21 апреля. Опытного образца, по-видимому, не было. Сразу начали с небольшой серии, выпущенной на заводе №1. Кабину стрелка переоборудовали для размеще</w:t>
      </w:r>
      <w:r w:rsidRPr="00F90EAE">
        <w:rPr>
          <w:color w:val="000000" w:themeColor="text1"/>
          <w:sz w:val="16"/>
          <w:szCs w:val="16"/>
        </w:rPr>
        <w:softHyphen/>
        <w:t>ния летчика-инструктора; там смонтиро</w:t>
      </w:r>
      <w:r w:rsidRPr="00F90EAE">
        <w:rPr>
          <w:color w:val="000000" w:themeColor="text1"/>
          <w:sz w:val="16"/>
          <w:szCs w:val="16"/>
        </w:rPr>
        <w:softHyphen/>
        <w:t>вали второе управление самолетом, установили приборную доску с указате</w:t>
      </w:r>
      <w:r w:rsidRPr="00F90EAE">
        <w:rPr>
          <w:color w:val="000000" w:themeColor="text1"/>
          <w:sz w:val="16"/>
          <w:szCs w:val="16"/>
        </w:rPr>
        <w:softHyphen/>
        <w:t>лями скорости и поворота, авиагоризон</w:t>
      </w:r>
      <w:r w:rsidRPr="00F90EAE">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F90EAE">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F90EAE">
        <w:rPr>
          <w:color w:val="000000" w:themeColor="text1"/>
          <w:sz w:val="16"/>
          <w:szCs w:val="16"/>
        </w:rPr>
        <w:softHyphen/>
        <w:t>вания бомболюков (10681).</w:t>
      </w:r>
    </w:p>
    <w:p w14:paraId="42D777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F11E0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приказ НКАП № 76 и 21 февраля 1945 г. вышло Постановление ГОКО № 7560, в соответствии с которыми на авиазаводе № 1 строился учебно-тренировочный вариант штурмовика Ил-10 (7489).</w:t>
      </w:r>
    </w:p>
    <w:p w14:paraId="4BE6C8C9" w14:textId="77777777" w:rsidR="00665165" w:rsidRPr="00F90EAE" w:rsidRDefault="00665165" w:rsidP="00F90EAE">
      <w:pPr>
        <w:autoSpaceDE w:val="0"/>
        <w:autoSpaceDN w:val="0"/>
        <w:adjustRightInd w:val="0"/>
        <w:jc w:val="both"/>
        <w:rPr>
          <w:color w:val="000000" w:themeColor="text1"/>
          <w:sz w:val="16"/>
          <w:szCs w:val="16"/>
        </w:rPr>
      </w:pPr>
    </w:p>
    <w:p w14:paraId="6FB1A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СМ утвердил план опытного самолетостроения, где уже был МиГ-9 со сроком предъявления га гос. испытания 1 сентября 1946 (449).</w:t>
      </w:r>
    </w:p>
    <w:p w14:paraId="0E6BF2F7" w14:textId="77777777" w:rsidR="00665165" w:rsidRPr="00F90EAE" w:rsidRDefault="00665165" w:rsidP="00F90EAE">
      <w:pPr>
        <w:autoSpaceDE w:val="0"/>
        <w:autoSpaceDN w:val="0"/>
        <w:adjustRightInd w:val="0"/>
        <w:jc w:val="both"/>
        <w:rPr>
          <w:color w:val="000000" w:themeColor="text1"/>
          <w:sz w:val="16"/>
          <w:szCs w:val="16"/>
        </w:rPr>
      </w:pPr>
    </w:p>
    <w:p w14:paraId="5E54A8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вышел приказ НКАП N 76сс:</w:t>
      </w:r>
    </w:p>
    <w:p w14:paraId="70D2F3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N 7560сс от 21 февраля 1945:</w:t>
      </w:r>
    </w:p>
    <w:p w14:paraId="67CAC9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Зам. наркома - нач. ПГУ Воронину и директорам заводов 82 Алексееву и 301 Смирнову обеспечить с 1 апреля 1945 выпуск ежеквартально учебных самолетов с двойным управлением в след. количествах:</w:t>
      </w:r>
    </w:p>
    <w:p w14:paraId="69AB7D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82 - 50 самолетов Як-9 с ВК-107А</w:t>
      </w:r>
    </w:p>
    <w:p w14:paraId="72FD8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301 - переоборудование 125 самолетов Як-9 ВК105ПФ</w:t>
      </w:r>
    </w:p>
    <w:p w14:paraId="048A25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ГК А.С.Я. разработать и передать заводу 82 чертежи учебного самолета Як-9 ВК-107А с двойным управлением не позднее 1 мая с.г.</w:t>
      </w:r>
    </w:p>
    <w:p w14:paraId="42D8B5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Директору завода 82 Вгурееву к 1 июня изготовить и передать на гос. испытания в ГК НИИ ВВС головной учебный самолет Як-9 ВК-107А.</w:t>
      </w:r>
    </w:p>
    <w:p w14:paraId="0EC4A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ГК С.А.Л.:</w:t>
      </w:r>
    </w:p>
    <w:p w14:paraId="29F283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передать заводу 163 чертежи учебного самолета Ла-7 с двойным управлением не позднее 10 марта с.г.</w:t>
      </w:r>
    </w:p>
    <w:p w14:paraId="57B4DA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изготовленный ОКБ на заводе 21 учебный Ла-7 передать в ГК НИИ ВВС на гос. испытания к 15 марта с.г.</w:t>
      </w:r>
    </w:p>
    <w:p w14:paraId="502F4F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Директору завода 31 Смирнову учебные самолеты Як-9 ВК-105ПФ выпускать по имеющимся на заводе чертежам, утвержденным ГК А.С.Я. 1-й головной учебный Як-9 с ВК-105ПФ передать на гос. испытания к 1 марта с.г.</w:t>
      </w:r>
    </w:p>
    <w:p w14:paraId="420888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Зам. наркома - нач. 10 ГУ А.И.Кузнецову и директорам заводов 18 Белянскому, 30 - Нестерову, 22 Окулову, 23 - Третьякову, 1 - Литвинову обеспечить с 1 апреля 1945 выпуск ежеквартально учебных самолетов с двойным управлением в след.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02E92EC9" w14:textId="77777777">
        <w:tc>
          <w:tcPr>
            <w:tcW w:w="5636" w:type="dxa"/>
          </w:tcPr>
          <w:p w14:paraId="5C753B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18</w:t>
            </w:r>
          </w:p>
        </w:tc>
        <w:tc>
          <w:tcPr>
            <w:tcW w:w="5636" w:type="dxa"/>
          </w:tcPr>
          <w:p w14:paraId="1872B0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- 90 Ил-2</w:t>
            </w:r>
          </w:p>
        </w:tc>
      </w:tr>
      <w:tr w:rsidR="00561F31" w:rsidRPr="00F90EAE" w14:paraId="4A9562DC" w14:textId="77777777">
        <w:tc>
          <w:tcPr>
            <w:tcW w:w="5636" w:type="dxa"/>
          </w:tcPr>
          <w:p w14:paraId="46B48F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5636" w:type="dxa"/>
          </w:tcPr>
          <w:p w14:paraId="17E516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- 30</w:t>
            </w:r>
          </w:p>
        </w:tc>
      </w:tr>
      <w:tr w:rsidR="00561F31" w:rsidRPr="00F90EAE" w14:paraId="0C1F0781" w14:textId="77777777">
        <w:tc>
          <w:tcPr>
            <w:tcW w:w="5636" w:type="dxa"/>
          </w:tcPr>
          <w:p w14:paraId="5FFE78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5636" w:type="dxa"/>
          </w:tcPr>
          <w:p w14:paraId="405EB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- 80</w:t>
            </w:r>
          </w:p>
        </w:tc>
      </w:tr>
      <w:tr w:rsidR="00561F31" w:rsidRPr="00F90EAE" w14:paraId="201517B9" w14:textId="77777777">
        <w:tc>
          <w:tcPr>
            <w:tcW w:w="5636" w:type="dxa"/>
          </w:tcPr>
          <w:p w14:paraId="1D6FA0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5636" w:type="dxa"/>
          </w:tcPr>
          <w:p w14:paraId="5E73EB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- 18</w:t>
            </w:r>
          </w:p>
        </w:tc>
      </w:tr>
      <w:tr w:rsidR="00561F31" w:rsidRPr="00F90EAE" w14:paraId="2117C5E5" w14:textId="77777777">
        <w:tc>
          <w:tcPr>
            <w:tcW w:w="5636" w:type="dxa"/>
          </w:tcPr>
          <w:p w14:paraId="643BD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w:t>
            </w:r>
          </w:p>
        </w:tc>
        <w:tc>
          <w:tcPr>
            <w:tcW w:w="5636" w:type="dxa"/>
          </w:tcPr>
          <w:p w14:paraId="66E959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Ил-10 во 2 кв. - 10, в 3 - 50, в 4 - 75</w:t>
            </w:r>
          </w:p>
        </w:tc>
      </w:tr>
    </w:tbl>
    <w:p w14:paraId="280FB7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ГК С.В.И. разработать и передать заводу 1 чертежи учебного самолета с двойным управлением не позднее 15 марта с.г. Директору завода 1 Литвинову не позднее 1 мая 1045 передать на гос. испытания головной учебный самолет Ил-10.</w:t>
      </w:r>
    </w:p>
    <w:p w14:paraId="7DF55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Директору завода 30 Нестерову учебные самолеты Ил-2 выпускать по серийным чертежам завода 18</w:t>
      </w:r>
    </w:p>
    <w:p w14:paraId="485E9E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Директорам заводов 18, 22, 23 выпускать учебные самолеты Ил-2, Пе-2 и Ту-2 по серийным образцам 1944.</w:t>
      </w:r>
    </w:p>
    <w:p w14:paraId="70E61A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И.о. нач. 6 ГУ Пагину и директору завода 163 Иваненко обеспечить с 1 апреля 1945 переоборудование самолетов ла-7 в учебные самолеты с двойным управлением по 120 самолетов ежеквартально.</w:t>
      </w:r>
    </w:p>
    <w:p w14:paraId="46A111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Нач. 11 ГУ Куликову и директорам заводов 116 Новикову, 168 Бугрову и 447 Наджарян обеспечить выпуск УТ самолетов УТ-2 в 1945 в след. количествах:</w:t>
      </w:r>
    </w:p>
    <w:p w14:paraId="2C2898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 1 кв. - 300, в т.ч.</w:t>
      </w:r>
    </w:p>
    <w:p w14:paraId="2C672B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116 - 186</w:t>
      </w:r>
    </w:p>
    <w:p w14:paraId="0CF6AE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168 - 114</w:t>
      </w:r>
    </w:p>
    <w:p w14:paraId="6E8B9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во 2 кв. - 400, в т.ч.</w:t>
      </w:r>
    </w:p>
    <w:p w14:paraId="7BEB86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116 - 220</w:t>
      </w:r>
    </w:p>
    <w:p w14:paraId="158C6E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168 - 165</w:t>
      </w:r>
    </w:p>
    <w:p w14:paraId="478089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447 - 15</w:t>
      </w:r>
    </w:p>
    <w:p w14:paraId="2938E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 3 кв. - 600. в т.ч.</w:t>
      </w:r>
    </w:p>
    <w:p w14:paraId="062EF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116 - 285</w:t>
      </w:r>
    </w:p>
    <w:p w14:paraId="53390B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168 - 215</w:t>
      </w:r>
    </w:p>
    <w:p w14:paraId="4E721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447 - 15</w:t>
      </w:r>
    </w:p>
    <w:p w14:paraId="0AF2C7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 3 кв. - 700. в т.ч.</w:t>
      </w:r>
    </w:p>
    <w:p w14:paraId="1EEF2C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116 - 300</w:t>
      </w:r>
    </w:p>
    <w:p w14:paraId="58823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168 - 250</w:t>
      </w:r>
    </w:p>
    <w:p w14:paraId="1709DA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447 - 150</w:t>
      </w:r>
    </w:p>
    <w:p w14:paraId="7011F5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Нач. 11 ГУ Куликову и директору завода 499 Москалеву перебазировать завод со станции Заводоуковская в Ленинград на пл. завода 273 для организации на нем производства самолетов УТ-2</w:t>
      </w:r>
    </w:p>
    <w:p w14:paraId="7BFA10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десантных планеров АМ-14 прекратить." (1887,124).</w:t>
      </w:r>
    </w:p>
    <w:p w14:paraId="436495F8" w14:textId="77777777" w:rsidR="00665165" w:rsidRPr="00F90EAE" w:rsidRDefault="00665165" w:rsidP="00F90EAE">
      <w:pPr>
        <w:autoSpaceDE w:val="0"/>
        <w:autoSpaceDN w:val="0"/>
        <w:adjustRightInd w:val="0"/>
        <w:jc w:val="both"/>
        <w:rPr>
          <w:color w:val="000000" w:themeColor="text1"/>
          <w:sz w:val="16"/>
          <w:szCs w:val="16"/>
        </w:rPr>
      </w:pPr>
    </w:p>
    <w:p w14:paraId="04DA15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г. по приказу № 76с в состав завода № 273 (Завод № 273 НКАП, МАП, п/я 936, Завод «Техприбор», ГП, АООТ, ОАО «Техприбор» /г. Ленинград ул. Глиняная (1946 г.); ул. Бассейная, 17/ /196084  г. Санкт-Петербург Корпусной пр., 1А (2002 г.); ул. Варшавская, 5А (2004 г.) тел. 296-97-38/) влит завод № 499 НКАП (Тюменская обл.) (11982).</w:t>
      </w:r>
    </w:p>
    <w:p w14:paraId="3D83109F" w14:textId="77777777" w:rsidR="00665165" w:rsidRPr="00F90EAE" w:rsidRDefault="00665165" w:rsidP="00F90EAE">
      <w:pPr>
        <w:autoSpaceDE w:val="0"/>
        <w:autoSpaceDN w:val="0"/>
        <w:adjustRightInd w:val="0"/>
        <w:jc w:val="both"/>
        <w:rPr>
          <w:color w:val="000000" w:themeColor="text1"/>
          <w:sz w:val="16"/>
          <w:szCs w:val="16"/>
        </w:rPr>
      </w:pPr>
    </w:p>
    <w:p w14:paraId="68217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г. завод № 499 по приказу № 76сс в 04.1945 г. был переведен в Ленинград и влит в состав завода № 273 НКАП. С 1946 г. Москалёв перешёл работать в ОКБ Четверикова, а с 1948 г.- на преподавательской работе. Площади в Заводоуковке, часть кадров и оборудования переданы в ведение НК совхозов для организации мотороремонтного предприятия.</w:t>
      </w:r>
    </w:p>
    <w:p w14:paraId="661063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(-05.1942-05.1945 г.-)- А.С. Москалев.</w:t>
      </w:r>
    </w:p>
    <w:p w14:paraId="1DBEAE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(-05.1942-05.1945 г.-)- А.С. Москалев.</w:t>
      </w:r>
    </w:p>
    <w:p w14:paraId="3730DF2B"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десантные кабины для Ил-4; планеры: тренировочный УС-6 (А-2) (1942-), десантный РФ-8 (А- 7) (-1944), десантный </w:t>
      </w:r>
      <w:r w:rsidRPr="00F90EAE">
        <w:rPr>
          <w:color w:val="000000" w:themeColor="text1"/>
          <w:sz w:val="16"/>
          <w:szCs w:val="16"/>
          <w:lang w:val="en-US"/>
        </w:rPr>
        <w:t>AM</w:t>
      </w:r>
      <w:r w:rsidRPr="00F90EAE">
        <w:rPr>
          <w:color w:val="000000" w:themeColor="text1"/>
          <w:sz w:val="16"/>
          <w:szCs w:val="16"/>
        </w:rPr>
        <w:t>-14 (1944).</w:t>
      </w:r>
    </w:p>
    <w:p w14:paraId="68EE3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завода № 499 НКАП</w:t>
      </w:r>
    </w:p>
    <w:p w14:paraId="155C83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Образовано по приказу № 484с от 12.08.1943 г. для проектирования и постройки опытных десантных планеров легкого и среднего классов. Первым заданием было постройка планера на 15 мест и модификация планера А-7. В 1943-45 г. Москалевым разработаны опытные планеры АМ-14 на базе А-7, САМ-23. Работы по десантным планерам САМ-22 (М14-М), САМ-24, САМ-28; проект самолета РМ-1 с ЖРД Душкина (1944-45 г.).</w:t>
      </w:r>
    </w:p>
    <w:p w14:paraId="192F5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Новозаимовский механический завод, Тюменский завод сельскохозяйственных машин («Тюменьсельмаш»), Заводоуковский машиностроительный завод (ЗМЗ) Минхиммаша, ОАО «ЗМЗ» /627144  г. Заводоуковск Тюменской обл. ул. Заводская, 1А/</w:t>
      </w:r>
    </w:p>
    <w:p w14:paraId="47A5ED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1945 г. площади в Заводоуковке, часть кадров и оборудования реэвакуированного завода № 499 НКАП переданы в ведение НК совхозов, и организован мотороремонтный Новозаимовский механический завод. По распоряжению Тюменского СНХ от 3.06.1958 г. он переименован в Тюменский завод сельскохозяйственных машин («Тюменьсельмаш»).</w:t>
      </w:r>
    </w:p>
    <w:p w14:paraId="438F12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1958-73 г. завод выпуска» передвижные ремонтные мастерские, трактора для буртования торфа, тракторные самосвальные прицепы, сельхозмашины и запчасти для них. До 1992 г. для МО выпускалось до 15 модификаций кузовов-фургонов на атомобильном и прицепном шасси.</w:t>
      </w:r>
    </w:p>
    <w:p w14:paraId="62CA4C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Минхиммаша № 320 от 1.12.1989 г. предприятие переименовано в ЗМЗ.</w:t>
      </w:r>
    </w:p>
    <w:p w14:paraId="05F15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09.1992 г. на базе военного изделия 2603Б налажен выпуск жилых мобильных зданий типа «Кедр». К 2000 г. их выпускалось более 280 модификаций.</w:t>
      </w:r>
    </w:p>
    <w:p w14:paraId="1763F5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(1973 г.)- 29,3 га.</w:t>
      </w:r>
    </w:p>
    <w:p w14:paraId="70DB4A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(1973 г.)- 1840 чел.</w:t>
      </w:r>
    </w:p>
    <w:p w14:paraId="27D8BEDA"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кузова-фургоны: на шасси КамАЗ-4310 (1980-е); навесная жатка ЖН-4, зерноочистительная машина ОВВ-20, разбрасыватель удобрений КСА-3, машина для внесения удобрений МХА-7 (1980-е) (11982).</w:t>
      </w:r>
    </w:p>
    <w:p w14:paraId="411E7D3F" w14:textId="77777777" w:rsidR="00665165" w:rsidRPr="00F90EAE" w:rsidRDefault="00665165" w:rsidP="00F90EAE">
      <w:pPr>
        <w:autoSpaceDE w:val="0"/>
        <w:autoSpaceDN w:val="0"/>
        <w:adjustRightInd w:val="0"/>
        <w:jc w:val="both"/>
        <w:rPr>
          <w:color w:val="000000" w:themeColor="text1"/>
          <w:sz w:val="16"/>
          <w:szCs w:val="16"/>
        </w:rPr>
      </w:pPr>
    </w:p>
    <w:p w14:paraId="49B7C1BD" w14:textId="77777777" w:rsidR="004945E9" w:rsidRPr="00F90EAE" w:rsidRDefault="004945E9" w:rsidP="00F90EAE">
      <w:pPr>
        <w:jc w:val="both"/>
        <w:rPr>
          <w:color w:val="000000" w:themeColor="text1"/>
          <w:sz w:val="16"/>
          <w:szCs w:val="16"/>
        </w:rPr>
      </w:pPr>
      <w:r w:rsidRPr="00F90EAE">
        <w:rPr>
          <w:color w:val="000000" w:themeColor="text1"/>
          <w:sz w:val="16"/>
          <w:szCs w:val="16"/>
        </w:rPr>
        <w:t>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2990400F" w14:textId="77777777" w:rsidR="004945E9" w:rsidRPr="00F90EAE" w:rsidRDefault="004945E9" w:rsidP="00F90EAE">
      <w:pPr>
        <w:jc w:val="both"/>
        <w:rPr>
          <w:color w:val="000000" w:themeColor="text1"/>
          <w:sz w:val="16"/>
          <w:szCs w:val="16"/>
        </w:rPr>
      </w:pPr>
      <w:r w:rsidRPr="00F90EAE">
        <w:rPr>
          <w:color w:val="000000" w:themeColor="text1"/>
          <w:sz w:val="16"/>
          <w:szCs w:val="16"/>
        </w:rPr>
        <w:t>20 марта 1945 года состоялся первый пуск СС „10-Х” с самолета-носителя ПЕ-8.</w:t>
      </w:r>
    </w:p>
    <w:p w14:paraId="1DF65578" w14:textId="77777777" w:rsidR="004945E9" w:rsidRPr="00F90EAE" w:rsidRDefault="004945E9" w:rsidP="00F90EAE">
      <w:pPr>
        <w:jc w:val="both"/>
        <w:rPr>
          <w:color w:val="000000" w:themeColor="text1"/>
          <w:sz w:val="16"/>
          <w:szCs w:val="16"/>
        </w:rPr>
      </w:pPr>
      <w:r w:rsidRPr="00F90EAE">
        <w:rPr>
          <w:color w:val="000000" w:themeColor="text1"/>
          <w:sz w:val="16"/>
          <w:szCs w:val="16"/>
        </w:rPr>
        <w:t>В период с 20 марта по 28 июля, при наличии трех самолетов-носителей ПЕ-8 и самолета ЕР-2, было проведено 70 пусков СС „10-Х”...» (12414).</w:t>
      </w:r>
    </w:p>
    <w:p w14:paraId="0E39A427" w14:textId="77777777" w:rsidR="004945E9" w:rsidRPr="00F90EAE" w:rsidRDefault="004945E9" w:rsidP="00F90EAE">
      <w:pPr>
        <w:jc w:val="both"/>
        <w:rPr>
          <w:color w:val="000000" w:themeColor="text1"/>
          <w:sz w:val="16"/>
          <w:szCs w:val="16"/>
        </w:rPr>
      </w:pPr>
    </w:p>
    <w:p w14:paraId="545B318D" w14:textId="77777777" w:rsidR="00FC3E2B" w:rsidRPr="00F90EAE" w:rsidRDefault="00FC3E2B" w:rsidP="00F90EAE">
      <w:pPr>
        <w:jc w:val="both"/>
        <w:rPr>
          <w:color w:val="000000" w:themeColor="text1"/>
          <w:sz w:val="16"/>
          <w:szCs w:val="16"/>
        </w:rPr>
      </w:pPr>
      <w:r w:rsidRPr="00F90EAE">
        <w:rPr>
          <w:color w:val="000000" w:themeColor="text1"/>
          <w:sz w:val="16"/>
          <w:szCs w:val="16"/>
        </w:rPr>
        <w:t>26 февраля 1945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 (15134).</w:t>
      </w:r>
    </w:p>
    <w:p w14:paraId="4988CFB4" w14:textId="77777777" w:rsidR="00FC3E2B" w:rsidRPr="00F90EAE" w:rsidRDefault="00FC3E2B" w:rsidP="00F90EAE">
      <w:pPr>
        <w:jc w:val="both"/>
        <w:rPr>
          <w:color w:val="000000" w:themeColor="text1"/>
          <w:sz w:val="16"/>
          <w:szCs w:val="16"/>
        </w:rPr>
      </w:pPr>
      <w:r w:rsidRPr="00F90EAE">
        <w:rPr>
          <w:color w:val="000000" w:themeColor="text1"/>
          <w:sz w:val="16"/>
          <w:szCs w:val="16"/>
        </w:rPr>
        <w:t>20 марта 1945 года состоялся первый пуск СС „10-Х” с самолета-носителя ПЕ-8. В период с 20 марта по 28 июля, при наличии трех самолетов-носителей ПЕ-8 и самолета ЕР-2, было проведено 70 пусков СС „10-Х”...» (15134).</w:t>
      </w:r>
    </w:p>
    <w:p w14:paraId="2095124C" w14:textId="77777777" w:rsidR="00FC3E2B" w:rsidRPr="00F90EAE" w:rsidRDefault="00FC3E2B" w:rsidP="00F90EAE">
      <w:pPr>
        <w:pStyle w:val="heading3"/>
        <w:spacing w:before="0" w:after="0"/>
        <w:jc w:val="both"/>
        <w:rPr>
          <w:rFonts w:ascii="Times New Roman" w:hAnsi="Times New Roman" w:cs="Times New Roman"/>
          <w:b w:val="0"/>
          <w:color w:val="000000" w:themeColor="text1"/>
          <w:sz w:val="16"/>
          <w:szCs w:val="16"/>
        </w:rPr>
      </w:pPr>
    </w:p>
    <w:p w14:paraId="11EBA24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7BD9899" w14:textId="77777777" w:rsidR="00665165" w:rsidRPr="00F90EAE" w:rsidRDefault="00665165" w:rsidP="00F90EAE">
      <w:pPr>
        <w:autoSpaceDE w:val="0"/>
        <w:autoSpaceDN w:val="0"/>
        <w:adjustRightInd w:val="0"/>
        <w:jc w:val="both"/>
        <w:rPr>
          <w:iCs/>
          <w:color w:val="000000" w:themeColor="text1"/>
          <w:sz w:val="16"/>
          <w:szCs w:val="16"/>
        </w:rPr>
      </w:pPr>
    </w:p>
    <w:p w14:paraId="5F93E3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февраля 1945 г. была подготовлена ДОКЛАДНАЯ ЗАПИСКА ЗАМЕСТИТЕЛЯ КОМАНДУЮЩЕГО БТ и МВ КА ЗАМЕСТИТЕЛЮ ПРЕДСЕДАТЕЛЯ ГКО Л.П. БЕРИИ О МЕРОПРИЯТИЯХ ПО ОБЕСПЕЧЕНИЮ ВЫПУСКА ТАНКОВ НА ЗАВОДЕ №183</w:t>
      </w:r>
    </w:p>
    <w:p w14:paraId="478794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что на заводе №183 в связи с необеспеченностью топливом создалось тяжелое положение, при котором мартовская программа выпуска танков находится под серьезной угрозой невыполнения.</w:t>
      </w:r>
    </w:p>
    <w:p w14:paraId="375021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февраля 1945 г. районный инженер ГБТУ КА на заводе №183 гвардии инженер-полковник т. Храмцов донес, что в феврале месяце завод №183 недополучил более 500 вагонов торфа, 1111 тонн мазута и систематически недополучает суточной нормы газа с Нижнетагильского металлургического завода.</w:t>
      </w:r>
    </w:p>
    <w:p w14:paraId="18246C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необеспеченностью топливом нарушилась нормальная работа мартеновских печей, кузнечного и термического цехов.</w:t>
      </w:r>
    </w:p>
    <w:p w14:paraId="4871A5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Обеспечение февральской программой выпуска танков башнями и поковками шло за счет сни</w:t>
      </w:r>
      <w:r w:rsidRPr="00F90EAE">
        <w:rPr>
          <w:color w:val="000000" w:themeColor="text1"/>
          <w:sz w:val="16"/>
          <w:szCs w:val="16"/>
        </w:rPr>
        <w:softHyphen/>
        <w:t>жения заделов.</w:t>
      </w:r>
    </w:p>
    <w:p w14:paraId="4AF4FC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этим изделиям завод №183 к марту месяцу оказался без необходимых заделов.</w:t>
      </w:r>
    </w:p>
    <w:p w14:paraId="339A00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Ваших соответствующих указаний директору Нижнетагильского металлургического завода т. Резникову и НКПС по обеспечению завода №183 газом и подвижным составом для подвоза топлива.</w:t>
      </w:r>
    </w:p>
    <w:p w14:paraId="35FFD4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3275CE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Бирюков</w:t>
      </w:r>
    </w:p>
    <w:p w14:paraId="6C917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Он. 11355. Д. 2743. Л. 14. Копия (11420).</w:t>
      </w:r>
    </w:p>
    <w:p w14:paraId="22E689D7" w14:textId="77777777" w:rsidR="00665165" w:rsidRPr="00F90EAE" w:rsidRDefault="00665165" w:rsidP="00F90EAE">
      <w:pPr>
        <w:autoSpaceDE w:val="0"/>
        <w:autoSpaceDN w:val="0"/>
        <w:adjustRightInd w:val="0"/>
        <w:jc w:val="both"/>
        <w:rPr>
          <w:color w:val="000000" w:themeColor="text1"/>
          <w:sz w:val="16"/>
          <w:szCs w:val="16"/>
        </w:rPr>
      </w:pPr>
    </w:p>
    <w:p w14:paraId="0142B5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февраля 1945 г. Главной государственной санитарной инспекцией СССР был объявлен временный стандарт - ПДК паров стойкого ОВ кожно-нарывного действия иприта в воздухе рабочих помещений. К этому времени работы с ипритом в Чапаевске (Куйбышевская область), Волгограде, Березниках (Пермская область), Кирово-Чепецке (Кировская область) уже прекратились, а в Дзержинске (Горьковская область) - резко сократились. Таким образом, всю войну государство держало людей в заведомо отравленной атмосфере (без каких-либо гигиенических норм) и их поражение было неизбежным (9067).</w:t>
      </w:r>
    </w:p>
    <w:p w14:paraId="77350D85" w14:textId="77777777" w:rsidR="00665165" w:rsidRPr="00F90EAE" w:rsidRDefault="00665165" w:rsidP="00F90EAE">
      <w:pPr>
        <w:autoSpaceDE w:val="0"/>
        <w:autoSpaceDN w:val="0"/>
        <w:adjustRightInd w:val="0"/>
        <w:jc w:val="both"/>
        <w:rPr>
          <w:color w:val="000000" w:themeColor="text1"/>
          <w:sz w:val="16"/>
          <w:szCs w:val="16"/>
        </w:rPr>
      </w:pPr>
    </w:p>
    <w:p w14:paraId="4954AB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26-27 февраля 1945 заложены еще два ТЩ. В постройке находилось 12 ТЩ. Сдана флоту баржа-бензовоз (10671).</w:t>
      </w:r>
    </w:p>
    <w:p w14:paraId="50522F1A" w14:textId="77777777" w:rsidR="00665165" w:rsidRPr="00F90EAE" w:rsidRDefault="00665165" w:rsidP="00F90EAE">
      <w:pPr>
        <w:autoSpaceDE w:val="0"/>
        <w:autoSpaceDN w:val="0"/>
        <w:adjustRightInd w:val="0"/>
        <w:jc w:val="both"/>
        <w:rPr>
          <w:color w:val="000000" w:themeColor="text1"/>
          <w:sz w:val="16"/>
          <w:szCs w:val="16"/>
        </w:rPr>
      </w:pPr>
    </w:p>
    <w:p w14:paraId="7BE5CEE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A3FB203" w14:textId="77777777" w:rsidR="00665165" w:rsidRPr="00F90EAE" w:rsidRDefault="00665165" w:rsidP="00F90EAE">
      <w:pPr>
        <w:autoSpaceDE w:val="0"/>
        <w:autoSpaceDN w:val="0"/>
        <w:adjustRightInd w:val="0"/>
        <w:jc w:val="both"/>
        <w:rPr>
          <w:iCs/>
          <w:color w:val="000000" w:themeColor="text1"/>
          <w:sz w:val="16"/>
          <w:szCs w:val="16"/>
        </w:rPr>
      </w:pPr>
    </w:p>
    <w:p w14:paraId="389CF030" w14:textId="77777777" w:rsidR="00FC3E2B" w:rsidRPr="00F90EAE" w:rsidRDefault="00FC3E2B" w:rsidP="00F90EAE">
      <w:pPr>
        <w:jc w:val="both"/>
        <w:rPr>
          <w:color w:val="000000" w:themeColor="text1"/>
          <w:sz w:val="16"/>
          <w:szCs w:val="16"/>
        </w:rPr>
      </w:pPr>
      <w:r w:rsidRPr="00F90EAE">
        <w:rPr>
          <w:bCs/>
          <w:color w:val="000000" w:themeColor="text1"/>
          <w:sz w:val="16"/>
          <w:szCs w:val="16"/>
        </w:rPr>
        <w:t>26 февраля</w:t>
      </w:r>
      <w:r w:rsidRPr="00F90EAE">
        <w:rPr>
          <w:color w:val="000000" w:themeColor="text1"/>
          <w:sz w:val="16"/>
          <w:szCs w:val="16"/>
        </w:rPr>
        <w:t xml:space="preserve"> в 1945 году оперативная сводка Совинформбюро:</w:t>
      </w:r>
    </w:p>
    <w:p w14:paraId="77B725C5" w14:textId="77777777" w:rsidR="00FC3E2B" w:rsidRPr="00F90EAE" w:rsidRDefault="00FC3E2B" w:rsidP="00F90EAE">
      <w:pPr>
        <w:jc w:val="both"/>
        <w:rPr>
          <w:color w:val="000000" w:themeColor="text1"/>
          <w:sz w:val="16"/>
          <w:szCs w:val="16"/>
        </w:rPr>
      </w:pPr>
      <w:r w:rsidRPr="00F90EAE">
        <w:rPr>
          <w:color w:val="000000" w:themeColor="text1"/>
          <w:sz w:val="16"/>
          <w:szCs w:val="16"/>
        </w:rPr>
        <w:t>«В течение 26 февраля на Земландском полуострове северо-западнее Кенигсберга наши войска успешно отбивали атаки пехоты и танков противника. Юго-западнее Кенигсберга наши войска с боем заняли населённые пункты Эрнстфельде, Дюстервальде, Наусседен, Хайлигенхоф, Яннитц. За 25 февраля в районах северо-западнее и юго-западнее Кенигсберга подбито и уничтожено 69 немецких танков и самоходных орудий.</w:t>
      </w:r>
    </w:p>
    <w:p w14:paraId="4830E995" w14:textId="77777777" w:rsidR="00FC3E2B" w:rsidRPr="00F90EAE" w:rsidRDefault="00FC3E2B"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группировки противника, в ходе которых наши войска заняли 15 кварталов.</w:t>
      </w:r>
    </w:p>
    <w:p w14:paraId="177DCC14" w14:textId="77777777" w:rsidR="00FC3E2B" w:rsidRPr="00F90EAE" w:rsidRDefault="00FC3E2B"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500AD1AA" w14:textId="77777777" w:rsidR="00FC3E2B" w:rsidRPr="00F90EAE" w:rsidRDefault="00FC3E2B" w:rsidP="00F90EAE">
      <w:pPr>
        <w:jc w:val="both"/>
        <w:rPr>
          <w:color w:val="000000" w:themeColor="text1"/>
          <w:sz w:val="16"/>
          <w:szCs w:val="16"/>
        </w:rPr>
      </w:pPr>
      <w:r w:rsidRPr="00F90EAE">
        <w:rPr>
          <w:color w:val="000000" w:themeColor="text1"/>
          <w:sz w:val="16"/>
          <w:szCs w:val="16"/>
        </w:rPr>
        <w:t>За 25 февраля на всех фронтах подбито и уничтожено 125 немецких танков. В воздушных боях и огнём зенитной артиллерии сбит 31 самолёт противника.</w:t>
      </w:r>
    </w:p>
    <w:p w14:paraId="4A1A3BA7" w14:textId="77777777" w:rsidR="00FC3E2B" w:rsidRPr="00F90EAE" w:rsidRDefault="00FC3E2B" w:rsidP="00F90EAE">
      <w:pPr>
        <w:jc w:val="both"/>
        <w:rPr>
          <w:color w:val="000000" w:themeColor="text1"/>
          <w:sz w:val="16"/>
          <w:szCs w:val="16"/>
        </w:rPr>
      </w:pPr>
      <w:r w:rsidRPr="00F90EAE">
        <w:rPr>
          <w:color w:val="000000" w:themeColor="text1"/>
          <w:sz w:val="16"/>
          <w:szCs w:val="16"/>
        </w:rPr>
        <w:t>В Восточной Пруссии северо-западнее города Кенигсберг пехота и танки противника неоднократно переходили в атаки. Не добившись успеха на одном участке, немцы предпринимали атаки на другом участке. Мощным огнём и контрударами советские части отбрасывали гитлеровцев. На подступах к нашим позициям осталось много вражеских трупов, разбитой техники и вооружения противника.</w:t>
      </w:r>
    </w:p>
    <w:p w14:paraId="6B6F47C9" w14:textId="77777777" w:rsidR="00FC3E2B" w:rsidRPr="00F90EAE" w:rsidRDefault="00FC3E2B" w:rsidP="00F90EAE">
      <w:pPr>
        <w:jc w:val="both"/>
        <w:rPr>
          <w:color w:val="000000" w:themeColor="text1"/>
          <w:sz w:val="16"/>
          <w:szCs w:val="16"/>
        </w:rPr>
      </w:pPr>
      <w:r w:rsidRPr="00F90EAE">
        <w:rPr>
          <w:color w:val="000000" w:themeColor="text1"/>
          <w:sz w:val="16"/>
          <w:szCs w:val="16"/>
        </w:rPr>
        <w:t>Юго-западнее Кенигсберга наши войска, преодолевая упорное сопротивление немцев, заняли несколько населённых пунктов, в том числе узел шоссейных дорог Эрнстфельде. Северо-западнее города Цинтен взята в плен рота 123-го немецкого пехотного полка, во главе с её командиром. Советские части, наступающие с юга на север, заняли несколько дотов противника. За день уничтожено свыше 2 тысяч гитлеровцев, 33 орудия и более 200 пулемётов. Захвачены трофеи и пленные.</w:t>
      </w:r>
    </w:p>
    <w:p w14:paraId="2721ED39" w14:textId="77777777" w:rsidR="00FC3E2B" w:rsidRPr="00F90EAE" w:rsidRDefault="00FC3E2B" w:rsidP="00F90EAE">
      <w:pPr>
        <w:jc w:val="both"/>
        <w:rPr>
          <w:color w:val="000000" w:themeColor="text1"/>
          <w:sz w:val="16"/>
          <w:szCs w:val="16"/>
        </w:rPr>
      </w:pPr>
      <w:r w:rsidRPr="00F90EAE">
        <w:rPr>
          <w:color w:val="000000" w:themeColor="text1"/>
          <w:sz w:val="16"/>
          <w:szCs w:val="16"/>
        </w:rPr>
        <w:t>В Бреслау наши войска вели бои по ликвидации окружённой в городе группировки противника. Немцы преградили улицы баррикадами и рвами, а многие дома превратили в сильно укреплённые узлы обороны. Советские штурмовые группы, настойчиво продвигаясь вперёд, очищают от немцев один дом за другим. Особенно ожесточённые бои произошли за площадь Гинденбурга. Наши пехотинцы, сапёры и артиллеристы с трёх сторон атаковали противника, укрепившегося на площади. Немцы были зажаты в тиски. В результате упорного боя площадь занята нашими войсками. Другие наши части овладели трамвайным парком. В течение дня уничтожено свыше тысячи солдат и офицеров противника. Захвачено у немцев 6 танков и другие трофеи. Взято в плен более 300 немцев.</w:t>
      </w:r>
    </w:p>
    <w:p w14:paraId="5B965948" w14:textId="77777777" w:rsidR="00FC3E2B" w:rsidRPr="00F90EAE" w:rsidRDefault="00FC3E2B"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14.000 тонн и один сторожевой корабль-противника.</w:t>
      </w:r>
    </w:p>
    <w:p w14:paraId="31EBF420" w14:textId="77777777" w:rsidR="00FC3E2B" w:rsidRPr="00F90EAE" w:rsidRDefault="00FC3E2B" w:rsidP="00F90EAE">
      <w:pPr>
        <w:jc w:val="both"/>
        <w:rPr>
          <w:color w:val="000000" w:themeColor="text1"/>
          <w:sz w:val="16"/>
          <w:szCs w:val="16"/>
        </w:rPr>
      </w:pPr>
      <w:r w:rsidRPr="00F90EAE">
        <w:rPr>
          <w:color w:val="000000" w:themeColor="text1"/>
          <w:sz w:val="16"/>
          <w:szCs w:val="16"/>
        </w:rPr>
        <w:t>Как уже ранее сообщалось, наши войска при ликвидации окружённой группировки противника в городе Шнайдемюль взяли в плен более 5 тысяч вражеских солдат и офицеров. Кроме того, в лесах севернее Шнайдемюля советские части ликвидировали две группировки немцев и взяли большое число пленных. В числе пленных комендант города Шнайдемюль полковник Генрих Ремлингер и его начальник штаба Карл фон Хазе, начальник инженерной службы шнайдемюльского гарнизона полковник Альфред Курхауп и другие немецкие офицеры. Пленный полковник Генрих Ремлингер рассказал: «27-го января я прибыл в город Дойч-Кроне в штаб Гиммлера, командующего группой немецких армий «Висла». Гиммлер объявил мне, что я назначен комендантом Шнайдемюля, и добавил: «Вам предоставляются неограниченные права, и вы должны удержать крепость любой ценой». Вскоре после этого русские окружили город. За несколько дней боёв мы потеряли убитыми и ранеными свыше 4 тысяч солдат и офицеров. В городе царили паника и хаос. Многие офицеры пришли к заключению, что гарнизон обречён на гибель, и высказывались за капитуляцию. Я по радио связался со штабом и доложил, что положение гарнизона критическое. В ответ была получена радиограмма за подписью Гиммлера: «Ваше положение нам известно. Держитесь. К вам идёт помощь». Не дождавшись никакой помощи, я на свой риск и страх решил прорваться из Шнайдемюля на север. Однако мы натолкнулись на русских, понесли чрезвычайно тяжёлые потери и были рассеяны. Меня и моего начальника штаба взяли в плен».</w:t>
      </w:r>
    </w:p>
    <w:p w14:paraId="440148B7" w14:textId="77777777" w:rsidR="00FC3E2B" w:rsidRPr="00F90EAE" w:rsidRDefault="00FC3E2B" w:rsidP="00F90EAE">
      <w:pPr>
        <w:jc w:val="both"/>
        <w:rPr>
          <w:color w:val="000000" w:themeColor="text1"/>
          <w:sz w:val="16"/>
          <w:szCs w:val="16"/>
        </w:rPr>
      </w:pPr>
      <w:r w:rsidRPr="00F90EAE">
        <w:rPr>
          <w:color w:val="000000" w:themeColor="text1"/>
          <w:sz w:val="16"/>
          <w:szCs w:val="16"/>
        </w:rPr>
        <w:t>Пленный полковник Альфред Курхауп сообщил: «Шнайдемюльский «котёл» стал могилой для многих тысяч немецких солдат. Ни одному даже мелкому подразделению не удалось пробиться из окружения. Вырвавшиеся из города группы были настигнуты русскими в лесах и по частям уничтожены. На лесных и просёлочных дорогах я видел тысячи трупов немецких солдат, брошенные танки, самоходные орудия и разбитые автомашины. В плену я встретил многих офицеров шнайдемюльского гарнизона, которые вместе с разрозненными группами солдат сложили оружие и капитулировали» (15052).</w:t>
      </w:r>
    </w:p>
    <w:p w14:paraId="004F6D33" w14:textId="77777777" w:rsidR="00FC3E2B" w:rsidRPr="00F90EAE" w:rsidRDefault="00FC3E2B" w:rsidP="00F90EAE">
      <w:pPr>
        <w:jc w:val="both"/>
        <w:rPr>
          <w:color w:val="000000" w:themeColor="text1"/>
          <w:sz w:val="16"/>
          <w:szCs w:val="16"/>
        </w:rPr>
      </w:pPr>
    </w:p>
    <w:p w14:paraId="021CF368" w14:textId="77777777" w:rsidR="008C396C" w:rsidRPr="00F90EAE" w:rsidRDefault="008C396C" w:rsidP="00F90EAE">
      <w:pPr>
        <w:jc w:val="both"/>
        <w:rPr>
          <w:color w:val="000000" w:themeColor="text1"/>
          <w:sz w:val="16"/>
          <w:szCs w:val="16"/>
        </w:rPr>
      </w:pPr>
      <w:r w:rsidRPr="00F90EAE">
        <w:rPr>
          <w:color w:val="000000" w:themeColor="text1"/>
          <w:sz w:val="16"/>
          <w:szCs w:val="16"/>
        </w:rPr>
        <w:t>26 февраля 1945</w:t>
      </w:r>
    </w:p>
    <w:p w14:paraId="2BB280E6"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СОВЕЩАНИЕ ЛЕТЧИКОВ-ИСТРЕБИТЕЛЕЙ (АСОВ) 16 ВА, СОСТОЯВШЕЕСЯ 26.2.1945 г.</w:t>
      </w:r>
    </w:p>
    <w:p w14:paraId="7A07CE88"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Руководитель совещания Командующий 16 ВА, Генерал-полковник авиации РУДЕНКО.</w:t>
      </w:r>
    </w:p>
    <w:p w14:paraId="188B334E" w14:textId="77777777" w:rsidR="008C396C" w:rsidRPr="00F90EAE" w:rsidRDefault="008C396C" w:rsidP="00F90EAE">
      <w:pPr>
        <w:pStyle w:val="80"/>
        <w:shd w:val="clear" w:color="auto" w:fill="auto"/>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«О БОРЬБЕ СО СКОРОСТНЫМИ САМОЛЕТАМИ ПРОТИВНИКА»</w:t>
      </w:r>
    </w:p>
    <w:p w14:paraId="2F3BE4D2"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ВСТУПИТЕЛЬНОЕ СЛОВО Командую</w:t>
      </w:r>
      <w:r w:rsidRPr="00F90EAE">
        <w:rPr>
          <w:rFonts w:ascii="Times New Roman" w:hAnsi="Times New Roman" w:cs="Times New Roman"/>
          <w:color w:val="000000" w:themeColor="text1"/>
          <w:sz w:val="16"/>
          <w:szCs w:val="16"/>
        </w:rPr>
        <w:softHyphen/>
        <w:t>щего 16 ВА. - На участке нашего фронта имели место несколько случаев встреч наших истребителей с новым типом ско</w:t>
      </w:r>
      <w:r w:rsidRPr="00F90EAE">
        <w:rPr>
          <w:rFonts w:ascii="Times New Roman" w:hAnsi="Times New Roman" w:cs="Times New Roman"/>
          <w:color w:val="000000" w:themeColor="text1"/>
          <w:sz w:val="16"/>
          <w:szCs w:val="16"/>
        </w:rPr>
        <w:softHyphen/>
        <w:t>ростных самолетов противника, снабжен</w:t>
      </w:r>
      <w:r w:rsidRPr="00F90EAE">
        <w:rPr>
          <w:rFonts w:ascii="Times New Roman" w:hAnsi="Times New Roman" w:cs="Times New Roman"/>
          <w:color w:val="000000" w:themeColor="text1"/>
          <w:sz w:val="16"/>
          <w:szCs w:val="16"/>
        </w:rPr>
        <w:softHyphen/>
        <w:t>ных реактивными двигателями. Среди вас, присутствуют летчики, которые участвова</w:t>
      </w:r>
      <w:r w:rsidRPr="00F90EAE">
        <w:rPr>
          <w:rFonts w:ascii="Times New Roman" w:hAnsi="Times New Roman" w:cs="Times New Roman"/>
          <w:color w:val="000000" w:themeColor="text1"/>
          <w:sz w:val="16"/>
          <w:szCs w:val="16"/>
        </w:rPr>
        <w:softHyphen/>
        <w:t>ли в этих встречах. Цель сегодняшнего со</w:t>
      </w:r>
      <w:r w:rsidRPr="00F90EAE">
        <w:rPr>
          <w:rFonts w:ascii="Times New Roman" w:hAnsi="Times New Roman" w:cs="Times New Roman"/>
          <w:color w:val="000000" w:themeColor="text1"/>
          <w:sz w:val="16"/>
          <w:szCs w:val="16"/>
        </w:rPr>
        <w:softHyphen/>
        <w:t>вещания состоит в том, чтобы выработать методы и способы борьбы со скоростны</w:t>
      </w:r>
      <w:r w:rsidRPr="00F90EAE">
        <w:rPr>
          <w:rFonts w:ascii="Times New Roman" w:hAnsi="Times New Roman" w:cs="Times New Roman"/>
          <w:color w:val="000000" w:themeColor="text1"/>
          <w:sz w:val="16"/>
          <w:szCs w:val="16"/>
        </w:rPr>
        <w:softHyphen/>
        <w:t>ми самолетами противника. Прежде всего нужно выработать правильный взгляд на борьбу с этими самолетами, правильно и объективно оценить обстановку, а это бу</w:t>
      </w:r>
      <w:r w:rsidRPr="00F90EAE">
        <w:rPr>
          <w:rFonts w:ascii="Times New Roman" w:hAnsi="Times New Roman" w:cs="Times New Roman"/>
          <w:color w:val="000000" w:themeColor="text1"/>
          <w:sz w:val="16"/>
          <w:szCs w:val="16"/>
        </w:rPr>
        <w:softHyphen/>
        <w:t>дет являться гарантией правильного выбо</w:t>
      </w:r>
      <w:r w:rsidRPr="00F90EAE">
        <w:rPr>
          <w:rFonts w:ascii="Times New Roman" w:hAnsi="Times New Roman" w:cs="Times New Roman"/>
          <w:color w:val="000000" w:themeColor="text1"/>
          <w:sz w:val="16"/>
          <w:szCs w:val="16"/>
        </w:rPr>
        <w:softHyphen/>
        <w:t>ра методов и способов борьбы с ними. В частности, я хочу услышать от вас, нужны ли для этого новые прицелы, или доста</w:t>
      </w:r>
      <w:r w:rsidRPr="00F90EAE">
        <w:rPr>
          <w:rFonts w:ascii="Times New Roman" w:hAnsi="Times New Roman" w:cs="Times New Roman"/>
          <w:color w:val="000000" w:themeColor="text1"/>
          <w:sz w:val="16"/>
          <w:szCs w:val="16"/>
        </w:rPr>
        <w:softHyphen/>
        <w:t>точно тех, которые у нас имеются.</w:t>
      </w:r>
    </w:p>
    <w:p w14:paraId="27C60995"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Перейдем к выступлениям.</w:t>
      </w:r>
    </w:p>
    <w:p w14:paraId="736A62EE"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Подполковник НОВИКОВ. - В составе четверки ЯК-3, в которой был и коман</w:t>
      </w:r>
      <w:r w:rsidRPr="00F90EAE">
        <w:rPr>
          <w:rFonts w:ascii="Times New Roman" w:hAnsi="Times New Roman" w:cs="Times New Roman"/>
          <w:color w:val="000000" w:themeColor="text1"/>
          <w:sz w:val="16"/>
          <w:szCs w:val="16"/>
        </w:rPr>
        <w:softHyphen/>
        <w:t>дир 3 ИАК Генерал-лейтенант авиации САВИЦКИЙ, я выполнял задачу прикры</w:t>
      </w:r>
      <w:r w:rsidRPr="00F90EAE">
        <w:rPr>
          <w:rFonts w:ascii="Times New Roman" w:hAnsi="Times New Roman" w:cs="Times New Roman"/>
          <w:color w:val="000000" w:themeColor="text1"/>
          <w:sz w:val="16"/>
          <w:szCs w:val="16"/>
        </w:rPr>
        <w:softHyphen/>
        <w:t>тия переправы через р. ОДЕР 25.2.45 г. Облачность была 10 баллов, высотой 150-200 метров. Над переправой заметил немецкий самолет на удалении 3-4 кило</w:t>
      </w:r>
      <w:r w:rsidRPr="00F90EAE">
        <w:rPr>
          <w:rFonts w:ascii="Times New Roman" w:hAnsi="Times New Roman" w:cs="Times New Roman"/>
          <w:color w:val="000000" w:themeColor="text1"/>
          <w:sz w:val="16"/>
          <w:szCs w:val="16"/>
        </w:rPr>
        <w:softHyphen/>
        <w:t>метра. Силуэт самолета был необычный, напоминал летающую лодку. Обращали на себя внимание подвески под моторами (сигарообразные). Самолет был двухмо</w:t>
      </w:r>
      <w:r w:rsidRPr="00F90EAE">
        <w:rPr>
          <w:rFonts w:ascii="Times New Roman" w:hAnsi="Times New Roman" w:cs="Times New Roman"/>
          <w:color w:val="000000" w:themeColor="text1"/>
          <w:sz w:val="16"/>
          <w:szCs w:val="16"/>
        </w:rPr>
        <w:softHyphen/>
        <w:t>торный, хвост напоминал раму. Развер</w:t>
      </w:r>
      <w:r w:rsidRPr="00F90EAE">
        <w:rPr>
          <w:rFonts w:ascii="Times New Roman" w:hAnsi="Times New Roman" w:cs="Times New Roman"/>
          <w:color w:val="000000" w:themeColor="text1"/>
          <w:sz w:val="16"/>
          <w:szCs w:val="16"/>
        </w:rPr>
        <w:softHyphen/>
        <w:t>нулся и погнался за ним. Скорость у меня была 570 километров. Хотел с пикирова</w:t>
      </w:r>
      <w:r w:rsidRPr="00F90EAE">
        <w:rPr>
          <w:rFonts w:ascii="Times New Roman" w:hAnsi="Times New Roman" w:cs="Times New Roman"/>
          <w:color w:val="000000" w:themeColor="text1"/>
          <w:sz w:val="16"/>
          <w:szCs w:val="16"/>
        </w:rPr>
        <w:softHyphen/>
        <w:t>ния атаковать его, но он ушел. Удивился, что он уходит от ЯК-3, хоть сам напоминал скорее бомбардировщика.</w:t>
      </w:r>
    </w:p>
    <w:p w14:paraId="53624171"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Генерал-лейтенант САВИЦКИЙ встре</w:t>
      </w:r>
      <w:r w:rsidRPr="00F90EAE">
        <w:rPr>
          <w:rFonts w:ascii="Times New Roman" w:hAnsi="Times New Roman" w:cs="Times New Roman"/>
          <w:color w:val="000000" w:themeColor="text1"/>
          <w:sz w:val="16"/>
          <w:szCs w:val="16"/>
        </w:rPr>
        <w:softHyphen/>
        <w:t>тился с ним на встречных курсах (сам был он немного ниже), атаковал его снизу в лоб, но безрезультатно. По моим наблю</w:t>
      </w:r>
      <w:r w:rsidRPr="00F90EAE">
        <w:rPr>
          <w:rFonts w:ascii="Times New Roman" w:hAnsi="Times New Roman" w:cs="Times New Roman"/>
          <w:color w:val="000000" w:themeColor="text1"/>
          <w:sz w:val="16"/>
          <w:szCs w:val="16"/>
        </w:rPr>
        <w:softHyphen/>
        <w:t>дениям скорость самолета противника достигала 750-800 километров. От ЯКа он уходит так же, как примерно, наш ис</w:t>
      </w:r>
      <w:r w:rsidRPr="00F90EAE">
        <w:rPr>
          <w:rFonts w:ascii="Times New Roman" w:hAnsi="Times New Roman" w:cs="Times New Roman"/>
          <w:color w:val="000000" w:themeColor="text1"/>
          <w:sz w:val="16"/>
          <w:szCs w:val="16"/>
        </w:rPr>
        <w:softHyphen/>
        <w:t>требитель от ПО-2. Полагаю, что не всегда он ходит на такой скорости. Пользуясь по</w:t>
      </w:r>
      <w:r w:rsidRPr="00F90EAE">
        <w:rPr>
          <w:rFonts w:ascii="Times New Roman" w:hAnsi="Times New Roman" w:cs="Times New Roman"/>
          <w:color w:val="000000" w:themeColor="text1"/>
          <w:sz w:val="16"/>
          <w:szCs w:val="16"/>
        </w:rPr>
        <w:softHyphen/>
        <w:t>следней (повышенной скоростью), летчик вражеского самолета за хвостом не смо</w:t>
      </w:r>
      <w:r w:rsidRPr="00F90EAE">
        <w:rPr>
          <w:rFonts w:ascii="Times New Roman" w:hAnsi="Times New Roman" w:cs="Times New Roman"/>
          <w:color w:val="000000" w:themeColor="text1"/>
          <w:sz w:val="16"/>
          <w:szCs w:val="16"/>
        </w:rPr>
        <w:softHyphen/>
        <w:t>трит, в этом нет у него необходимости. Он ходит по прямой.</w:t>
      </w:r>
    </w:p>
    <w:p w14:paraId="7B7564FD"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Как бороться с ним? По-моему, пре</w:t>
      </w:r>
      <w:r w:rsidRPr="00F90EAE">
        <w:rPr>
          <w:rFonts w:ascii="Times New Roman" w:hAnsi="Times New Roman" w:cs="Times New Roman"/>
          <w:color w:val="000000" w:themeColor="text1"/>
          <w:sz w:val="16"/>
          <w:szCs w:val="16"/>
        </w:rPr>
        <w:softHyphen/>
        <w:t>жде всего необходимо применить вне</w:t>
      </w:r>
      <w:r w:rsidRPr="00F90EAE">
        <w:rPr>
          <w:rFonts w:ascii="Times New Roman" w:hAnsi="Times New Roman" w:cs="Times New Roman"/>
          <w:color w:val="000000" w:themeColor="text1"/>
          <w:sz w:val="16"/>
          <w:szCs w:val="16"/>
        </w:rPr>
        <w:softHyphen/>
        <w:t>запность атаки из-за облачности или со стороны солнца. Наиболее подходящим моментом будет, когда самолет противни</w:t>
      </w:r>
      <w:r w:rsidRPr="00F90EAE">
        <w:rPr>
          <w:rFonts w:ascii="Times New Roman" w:hAnsi="Times New Roman" w:cs="Times New Roman"/>
          <w:color w:val="000000" w:themeColor="text1"/>
          <w:sz w:val="16"/>
          <w:szCs w:val="16"/>
        </w:rPr>
        <w:softHyphen/>
        <w:t>ка не пользуется добавочной скоростью. Не следует пренебрегать лобовой атакой. На большой скорости скоростные самоле</w:t>
      </w:r>
      <w:r w:rsidRPr="00F90EAE">
        <w:rPr>
          <w:rFonts w:ascii="Times New Roman" w:hAnsi="Times New Roman" w:cs="Times New Roman"/>
          <w:color w:val="000000" w:themeColor="text1"/>
          <w:sz w:val="16"/>
          <w:szCs w:val="16"/>
        </w:rPr>
        <w:softHyphen/>
        <w:t>ты противника ходят не всегда. Они уязви</w:t>
      </w:r>
      <w:r w:rsidRPr="00F90EAE">
        <w:rPr>
          <w:rFonts w:ascii="Times New Roman" w:hAnsi="Times New Roman" w:cs="Times New Roman"/>
          <w:color w:val="000000" w:themeColor="text1"/>
          <w:sz w:val="16"/>
          <w:szCs w:val="16"/>
        </w:rPr>
        <w:softHyphen/>
        <w:t>мы, нужно только правильно уловить мо</w:t>
      </w:r>
      <w:r w:rsidRPr="00F90EAE">
        <w:rPr>
          <w:rFonts w:ascii="Times New Roman" w:hAnsi="Times New Roman" w:cs="Times New Roman"/>
          <w:color w:val="000000" w:themeColor="text1"/>
          <w:sz w:val="16"/>
          <w:szCs w:val="16"/>
        </w:rPr>
        <w:softHyphen/>
        <w:t>мент атаки. Наш грамотный истребитель всегда сможет это выполнить.</w:t>
      </w:r>
    </w:p>
    <w:p w14:paraId="61B02F0D"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Состоящий на вооружении у нас при</w:t>
      </w:r>
      <w:r w:rsidRPr="00F90EAE">
        <w:rPr>
          <w:rFonts w:ascii="Times New Roman" w:hAnsi="Times New Roman" w:cs="Times New Roman"/>
          <w:color w:val="000000" w:themeColor="text1"/>
          <w:sz w:val="16"/>
          <w:szCs w:val="16"/>
        </w:rPr>
        <w:softHyphen/>
        <w:t>цел отвечает всем требованиям для того, чтобы при пользовании им бить скорост</w:t>
      </w:r>
      <w:r w:rsidRPr="00F90EAE">
        <w:rPr>
          <w:rFonts w:ascii="Times New Roman" w:hAnsi="Times New Roman" w:cs="Times New Roman"/>
          <w:color w:val="000000" w:themeColor="text1"/>
          <w:sz w:val="16"/>
          <w:szCs w:val="16"/>
        </w:rPr>
        <w:softHyphen/>
        <w:t>ные самолеты противника наверняка, нужно только атаковывать их под ракур</w:t>
      </w:r>
      <w:r w:rsidRPr="00F90EAE">
        <w:rPr>
          <w:rFonts w:ascii="Times New Roman" w:hAnsi="Times New Roman" w:cs="Times New Roman"/>
          <w:color w:val="000000" w:themeColor="text1"/>
          <w:sz w:val="16"/>
          <w:szCs w:val="16"/>
        </w:rPr>
        <w:softHyphen/>
        <w:t>сом не более 2/4.</w:t>
      </w:r>
    </w:p>
    <w:p w14:paraId="3F09EA5A"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Дело не только в прицеле, но также в мастерстве летчика. Опытный истребитель прикинет даже на козырек и уничтожит противника. Здесь играет роль навык.</w:t>
      </w:r>
    </w:p>
    <w:p w14:paraId="7A70565C"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Излюбленная тактика немцев - вне</w:t>
      </w:r>
      <w:r w:rsidRPr="00F90EAE">
        <w:rPr>
          <w:rFonts w:ascii="Times New Roman" w:hAnsi="Times New Roman" w:cs="Times New Roman"/>
          <w:color w:val="000000" w:themeColor="text1"/>
          <w:sz w:val="16"/>
          <w:szCs w:val="16"/>
        </w:rPr>
        <w:softHyphen/>
        <w:t>запно атаковать и уйти, в свое время на МЕ-109 логически привела к изобретению скоростного самолета для таких же вне</w:t>
      </w:r>
      <w:r w:rsidRPr="00F90EAE">
        <w:rPr>
          <w:rFonts w:ascii="Times New Roman" w:hAnsi="Times New Roman" w:cs="Times New Roman"/>
          <w:color w:val="000000" w:themeColor="text1"/>
          <w:sz w:val="16"/>
          <w:szCs w:val="16"/>
        </w:rPr>
        <w:softHyphen/>
        <w:t>запных атак с последующим уходом при наличии у нас прекрасной новой матчасти. Несомненно, что тактика действий ско</w:t>
      </w:r>
      <w:r w:rsidRPr="00F90EAE">
        <w:rPr>
          <w:rFonts w:ascii="Times New Roman" w:hAnsi="Times New Roman" w:cs="Times New Roman"/>
          <w:color w:val="000000" w:themeColor="text1"/>
          <w:sz w:val="16"/>
          <w:szCs w:val="16"/>
        </w:rPr>
        <w:softHyphen/>
        <w:t>ростных самолетов противника рассчи</w:t>
      </w:r>
      <w:r w:rsidRPr="00F90EAE">
        <w:rPr>
          <w:rFonts w:ascii="Times New Roman" w:hAnsi="Times New Roman" w:cs="Times New Roman"/>
          <w:color w:val="000000" w:themeColor="text1"/>
          <w:sz w:val="16"/>
          <w:szCs w:val="16"/>
        </w:rPr>
        <w:softHyphen/>
        <w:t>тана на внезапный удар с последующим уходом после атаки.</w:t>
      </w:r>
    </w:p>
    <w:p w14:paraId="42ADF531"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Нужно иметь ввиду, что на скорост</w:t>
      </w:r>
      <w:r w:rsidRPr="00F90EAE">
        <w:rPr>
          <w:rFonts w:ascii="Times New Roman" w:hAnsi="Times New Roman" w:cs="Times New Roman"/>
          <w:color w:val="000000" w:themeColor="text1"/>
          <w:sz w:val="16"/>
          <w:szCs w:val="16"/>
        </w:rPr>
        <w:softHyphen/>
        <w:t>ных машинах у противника летный состав весьма грамотный, и поэтому от нашего летного состава также будут требоваться грамотные и осмотрительные действия.</w:t>
      </w:r>
    </w:p>
    <w:p w14:paraId="26A436B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считаю, что для атаки скоростных самолетов противника необходимо вы</w:t>
      </w:r>
      <w:r w:rsidRPr="00F90EAE">
        <w:rPr>
          <w:rFonts w:ascii="Times New Roman" w:hAnsi="Times New Roman" w:cs="Times New Roman"/>
          <w:color w:val="000000" w:themeColor="text1"/>
          <w:sz w:val="16"/>
          <w:szCs w:val="16"/>
        </w:rPr>
        <w:softHyphen/>
        <w:t>брать боевую дистанцию, не превышаю</w:t>
      </w:r>
      <w:r w:rsidRPr="00F90EAE">
        <w:rPr>
          <w:rFonts w:ascii="Times New Roman" w:hAnsi="Times New Roman" w:cs="Times New Roman"/>
          <w:color w:val="000000" w:themeColor="text1"/>
          <w:sz w:val="16"/>
          <w:szCs w:val="16"/>
        </w:rPr>
        <w:softHyphen/>
        <w:t>щую 700-800 м, атаковать его, при этом энергично отвернуться и поспеть атако</w:t>
      </w:r>
      <w:r w:rsidRPr="00F90EAE">
        <w:rPr>
          <w:rFonts w:ascii="Times New Roman" w:hAnsi="Times New Roman" w:cs="Times New Roman"/>
          <w:color w:val="000000" w:themeColor="text1"/>
          <w:sz w:val="16"/>
          <w:szCs w:val="16"/>
        </w:rPr>
        <w:softHyphen/>
        <w:t>вать вторично, пользуясь маневренностью нашей матчасти. Такой маневренностью противник при повышенной скорости не обладает. При пассивной форме борьбы от скоростного самолета противника уйти весьма легко применением маневра с по</w:t>
      </w:r>
      <w:r w:rsidRPr="00F90EAE">
        <w:rPr>
          <w:rFonts w:ascii="Times New Roman" w:hAnsi="Times New Roman" w:cs="Times New Roman"/>
          <w:color w:val="000000" w:themeColor="text1"/>
          <w:sz w:val="16"/>
          <w:szCs w:val="16"/>
        </w:rPr>
        <w:softHyphen/>
        <w:t>следующим выходом на свою территорию.</w:t>
      </w:r>
    </w:p>
    <w:p w14:paraId="04D2C845"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 Увернуться и уйти - это не все. Нужно сбить противни</w:t>
      </w:r>
      <w:r w:rsidRPr="00F90EAE">
        <w:rPr>
          <w:rFonts w:ascii="Times New Roman" w:hAnsi="Times New Roman" w:cs="Times New Roman"/>
          <w:color w:val="000000" w:themeColor="text1"/>
          <w:sz w:val="16"/>
          <w:szCs w:val="16"/>
        </w:rPr>
        <w:softHyphen/>
        <w:t>ка. Я считаю, что необходимо вначале от</w:t>
      </w:r>
      <w:r w:rsidRPr="00F90EAE">
        <w:rPr>
          <w:rFonts w:ascii="Times New Roman" w:hAnsi="Times New Roman" w:cs="Times New Roman"/>
          <w:color w:val="000000" w:themeColor="text1"/>
          <w:sz w:val="16"/>
          <w:szCs w:val="16"/>
        </w:rPr>
        <w:softHyphen/>
        <w:t>вернуться, а потом довернуть и дать оче</w:t>
      </w:r>
      <w:r w:rsidRPr="00F90EAE">
        <w:rPr>
          <w:rFonts w:ascii="Times New Roman" w:hAnsi="Times New Roman" w:cs="Times New Roman"/>
          <w:color w:val="000000" w:themeColor="text1"/>
          <w:sz w:val="16"/>
          <w:szCs w:val="16"/>
        </w:rPr>
        <w:softHyphen/>
        <w:t>редь из пушек. Как вы находите, могут ли скоростные самолеты противника ходить парами и атаковывать наши самолеты?</w:t>
      </w:r>
    </w:p>
    <w:p w14:paraId="2559B9BD"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НОВИКОВ. - В строю такие самоле</w:t>
      </w:r>
      <w:r w:rsidRPr="00F90EAE">
        <w:rPr>
          <w:rFonts w:ascii="Times New Roman" w:hAnsi="Times New Roman" w:cs="Times New Roman"/>
          <w:color w:val="000000" w:themeColor="text1"/>
          <w:sz w:val="16"/>
          <w:szCs w:val="16"/>
        </w:rPr>
        <w:softHyphen/>
        <w:t>ты ходить не могут. По-моему, они будут действовать, как это мы и наблюдаем, одиночками. Наших истребителей типа ЯК-3 и других новейших типов он сбить не может. Необходимо только его увидеть. После этого с ним легко вести борьбу и сбивать нас на скоростных самолетах про</w:t>
      </w:r>
      <w:r w:rsidRPr="00F90EAE">
        <w:rPr>
          <w:rFonts w:ascii="Times New Roman" w:hAnsi="Times New Roman" w:cs="Times New Roman"/>
          <w:color w:val="000000" w:themeColor="text1"/>
          <w:sz w:val="16"/>
          <w:szCs w:val="16"/>
        </w:rPr>
        <w:softHyphen/>
        <w:t>тивник не может, так как скорость нахо</w:t>
      </w:r>
      <w:r w:rsidRPr="00F90EAE">
        <w:rPr>
          <w:rFonts w:ascii="Times New Roman" w:hAnsi="Times New Roman" w:cs="Times New Roman"/>
          <w:color w:val="000000" w:themeColor="text1"/>
          <w:sz w:val="16"/>
          <w:szCs w:val="16"/>
        </w:rPr>
        <w:softHyphen/>
        <w:t>дится в противоречии с маневром. Мы же можем маневрировать легко и этим гаран</w:t>
      </w:r>
      <w:r w:rsidRPr="00F90EAE">
        <w:rPr>
          <w:rFonts w:ascii="Times New Roman" w:hAnsi="Times New Roman" w:cs="Times New Roman"/>
          <w:color w:val="000000" w:themeColor="text1"/>
          <w:sz w:val="16"/>
          <w:szCs w:val="16"/>
        </w:rPr>
        <w:softHyphen/>
        <w:t>тировать себя от поражения. Каждый из нас знает, как трудно даже сбить ХШ-126, который уступает нашим истребителям по скорости, но легко маневрирует. Даже ма</w:t>
      </w:r>
      <w:r w:rsidRPr="00F90EAE">
        <w:rPr>
          <w:rFonts w:ascii="Times New Roman" w:hAnsi="Times New Roman" w:cs="Times New Roman"/>
          <w:color w:val="000000" w:themeColor="text1"/>
          <w:sz w:val="16"/>
          <w:szCs w:val="16"/>
        </w:rPr>
        <w:softHyphen/>
        <w:t>лограмотный наш истребитель, случайно маневрирующий, тем самым обезопасит себя от поражения.</w:t>
      </w:r>
    </w:p>
    <w:p w14:paraId="7E3743C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КОМАНДУЮЩИЙ. - Немцы нахаль</w:t>
      </w:r>
      <w:r w:rsidRPr="00F90EAE">
        <w:rPr>
          <w:rFonts w:ascii="Times New Roman" w:hAnsi="Times New Roman" w:cs="Times New Roman"/>
          <w:color w:val="000000" w:themeColor="text1"/>
          <w:sz w:val="16"/>
          <w:szCs w:val="16"/>
        </w:rPr>
        <w:softHyphen/>
        <w:t>ны, если они убеждены в превосходстве своего оружия, даже тогда, когда это вы</w:t>
      </w:r>
      <w:r w:rsidRPr="00F90EAE">
        <w:rPr>
          <w:rFonts w:ascii="Times New Roman" w:hAnsi="Times New Roman" w:cs="Times New Roman"/>
          <w:color w:val="000000" w:themeColor="text1"/>
          <w:sz w:val="16"/>
          <w:szCs w:val="16"/>
        </w:rPr>
        <w:softHyphen/>
        <w:t>глядит не так. В данном случае, они могут также поступить, и по-видимому, поступа</w:t>
      </w:r>
      <w:r w:rsidRPr="00F90EAE">
        <w:rPr>
          <w:rFonts w:ascii="Times New Roman" w:hAnsi="Times New Roman" w:cs="Times New Roman"/>
          <w:color w:val="000000" w:themeColor="text1"/>
          <w:sz w:val="16"/>
          <w:szCs w:val="16"/>
        </w:rPr>
        <w:softHyphen/>
        <w:t>ют на своих скоростных самолетах. Ата</w:t>
      </w:r>
      <w:r w:rsidRPr="00F90EAE">
        <w:rPr>
          <w:rFonts w:ascii="Times New Roman" w:hAnsi="Times New Roman" w:cs="Times New Roman"/>
          <w:color w:val="000000" w:themeColor="text1"/>
          <w:sz w:val="16"/>
          <w:szCs w:val="16"/>
        </w:rPr>
        <w:softHyphen/>
        <w:t>ки их будут безусловно внезапными, при помощи скоростей, которыми они будут пользоваться для настижения самолетов и ухода при грозящей им опасности. Мне представляется, что если наши истребите</w:t>
      </w:r>
      <w:r w:rsidRPr="00F90EAE">
        <w:rPr>
          <w:rFonts w:ascii="Times New Roman" w:hAnsi="Times New Roman" w:cs="Times New Roman"/>
          <w:color w:val="000000" w:themeColor="text1"/>
          <w:sz w:val="16"/>
          <w:szCs w:val="16"/>
        </w:rPr>
        <w:softHyphen/>
        <w:t>ли будут находиться в группе, то при появ</w:t>
      </w:r>
      <w:r w:rsidRPr="00F90EAE">
        <w:rPr>
          <w:rFonts w:ascii="Times New Roman" w:hAnsi="Times New Roman" w:cs="Times New Roman"/>
          <w:color w:val="000000" w:themeColor="text1"/>
          <w:sz w:val="16"/>
          <w:szCs w:val="16"/>
        </w:rPr>
        <w:softHyphen/>
        <w:t>лении вражеского скоростного самолета они должны разойтись, не теряя при этом управления со стороны командира. Веро</w:t>
      </w:r>
      <w:r w:rsidRPr="00F90EAE">
        <w:rPr>
          <w:rFonts w:ascii="Times New Roman" w:hAnsi="Times New Roman" w:cs="Times New Roman"/>
          <w:color w:val="000000" w:themeColor="text1"/>
          <w:sz w:val="16"/>
          <w:szCs w:val="16"/>
        </w:rPr>
        <w:softHyphen/>
        <w:t>ятность угрозы для нас в таких случаях будет значительно снижена. Нужно так</w:t>
      </w:r>
      <w:r w:rsidRPr="00F90EAE">
        <w:rPr>
          <w:rFonts w:ascii="Times New Roman" w:hAnsi="Times New Roman" w:cs="Times New Roman"/>
          <w:color w:val="000000" w:themeColor="text1"/>
          <w:sz w:val="16"/>
          <w:szCs w:val="16"/>
        </w:rPr>
        <w:softHyphen/>
        <w:t>же полагать, что вместе со скоростными самолетами в определенных зонах будут находиться и обычные ФВ-190 и МЕ-109 во взаимодействии с ними, а поэтому рас</w:t>
      </w:r>
      <w:r w:rsidRPr="00F90EAE">
        <w:rPr>
          <w:rFonts w:ascii="Times New Roman" w:hAnsi="Times New Roman" w:cs="Times New Roman"/>
          <w:color w:val="000000" w:themeColor="text1"/>
          <w:sz w:val="16"/>
          <w:szCs w:val="16"/>
        </w:rPr>
        <w:softHyphen/>
        <w:t>ходясь при появлении скоростного само</w:t>
      </w:r>
      <w:r w:rsidRPr="00F90EAE">
        <w:rPr>
          <w:rFonts w:ascii="Times New Roman" w:hAnsi="Times New Roman" w:cs="Times New Roman"/>
          <w:color w:val="000000" w:themeColor="text1"/>
          <w:sz w:val="16"/>
          <w:szCs w:val="16"/>
        </w:rPr>
        <w:softHyphen/>
        <w:t>лета, не нужно это делать врассыпную без всякого порядка. Группа или пары должны оставаться парами, только в более рассре</w:t>
      </w:r>
      <w:r w:rsidRPr="00F90EAE">
        <w:rPr>
          <w:rFonts w:ascii="Times New Roman" w:hAnsi="Times New Roman" w:cs="Times New Roman"/>
          <w:color w:val="000000" w:themeColor="text1"/>
          <w:sz w:val="16"/>
          <w:szCs w:val="16"/>
        </w:rPr>
        <w:softHyphen/>
        <w:t>доточенном виде.</w:t>
      </w:r>
    </w:p>
    <w:p w14:paraId="292F1084"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 скоростных самолетах противника безусловно будут наиболее опытные асы- охотники.</w:t>
      </w:r>
    </w:p>
    <w:p w14:paraId="0D9963DC"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НОВИКОВ. - На данном этапе мне из</w:t>
      </w:r>
      <w:r w:rsidRPr="00F90EAE">
        <w:rPr>
          <w:rFonts w:ascii="Times New Roman" w:hAnsi="Times New Roman" w:cs="Times New Roman"/>
          <w:color w:val="000000" w:themeColor="text1"/>
          <w:sz w:val="16"/>
          <w:szCs w:val="16"/>
        </w:rPr>
        <w:softHyphen/>
        <w:t>вестны следующие скоростные самолеты противника: ХЕ-280, МЕ-163, МЕ-262. Я встретился по-видимому с ХЕ-280, но точ</w:t>
      </w:r>
      <w:r w:rsidRPr="00F90EAE">
        <w:rPr>
          <w:rFonts w:ascii="Times New Roman" w:hAnsi="Times New Roman" w:cs="Times New Roman"/>
          <w:color w:val="000000" w:themeColor="text1"/>
          <w:sz w:val="16"/>
          <w:szCs w:val="16"/>
        </w:rPr>
        <w:softHyphen/>
        <w:t>но утверждать не могу, он был в кромке облачности и силуэт его вырисовывался нечетко.</w:t>
      </w:r>
    </w:p>
    <w:p w14:paraId="5098A27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Вполне согласен с Командующим, что при появлении скоростного самолета группа истребителей должна рассредото</w:t>
      </w:r>
      <w:r w:rsidRPr="00F90EAE">
        <w:rPr>
          <w:rFonts w:ascii="Times New Roman" w:hAnsi="Times New Roman" w:cs="Times New Roman"/>
          <w:color w:val="000000" w:themeColor="text1"/>
          <w:sz w:val="16"/>
          <w:szCs w:val="16"/>
        </w:rPr>
        <w:softHyphen/>
        <w:t>читься. Главное - не убегать, от него все равно не уйдешь. Уклоняясь от занесенно</w:t>
      </w:r>
      <w:r w:rsidRPr="00F90EAE">
        <w:rPr>
          <w:rFonts w:ascii="Times New Roman" w:hAnsi="Times New Roman" w:cs="Times New Roman"/>
          <w:color w:val="000000" w:themeColor="text1"/>
          <w:sz w:val="16"/>
          <w:szCs w:val="16"/>
        </w:rPr>
        <w:softHyphen/>
        <w:t>го удара, должен выбирать выгодное по</w:t>
      </w:r>
      <w:r w:rsidRPr="00F90EAE">
        <w:rPr>
          <w:rFonts w:ascii="Times New Roman" w:hAnsi="Times New Roman" w:cs="Times New Roman"/>
          <w:color w:val="000000" w:themeColor="text1"/>
          <w:sz w:val="16"/>
          <w:szCs w:val="16"/>
        </w:rPr>
        <w:softHyphen/>
        <w:t>ложение и позицию для атаки противника. В этом залог победы.</w:t>
      </w:r>
    </w:p>
    <w:p w14:paraId="0A9DD49A"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 Я не случайно собрал здесь и летчиков-истребителей, выполняющих задачу сопровождения бомбардировщиков и штурмовиков. Весь</w:t>
      </w:r>
      <w:r w:rsidRPr="00F90EAE">
        <w:rPr>
          <w:rFonts w:ascii="Times New Roman" w:hAnsi="Times New Roman" w:cs="Times New Roman"/>
          <w:color w:val="000000" w:themeColor="text1"/>
          <w:sz w:val="16"/>
          <w:szCs w:val="16"/>
        </w:rPr>
        <w:softHyphen/>
        <w:t>ма вероятно, что главной задачей скорост</w:t>
      </w:r>
      <w:r w:rsidRPr="00F90EAE">
        <w:rPr>
          <w:rFonts w:ascii="Times New Roman" w:hAnsi="Times New Roman" w:cs="Times New Roman"/>
          <w:color w:val="000000" w:themeColor="text1"/>
          <w:sz w:val="16"/>
          <w:szCs w:val="16"/>
        </w:rPr>
        <w:softHyphen/>
        <w:t>ных самолетов противника будет являться нападение на наших бомбардировщиков и штурмовиков. Поэтому истребителям сопровождения нужно подумать над тем, как оградить бомбардировщиков и штур</w:t>
      </w:r>
      <w:r w:rsidRPr="00F90EAE">
        <w:rPr>
          <w:rFonts w:ascii="Times New Roman" w:hAnsi="Times New Roman" w:cs="Times New Roman"/>
          <w:color w:val="000000" w:themeColor="text1"/>
          <w:sz w:val="16"/>
          <w:szCs w:val="16"/>
        </w:rPr>
        <w:softHyphen/>
        <w:t>мовиков от удара скоростных самолетов противника.</w:t>
      </w:r>
    </w:p>
    <w:p w14:paraId="63F1C6D9" w14:textId="77777777" w:rsidR="008C396C" w:rsidRPr="00F90EAE" w:rsidRDefault="008C396C" w:rsidP="00F90EAE">
      <w:pPr>
        <w:jc w:val="both"/>
        <w:rPr>
          <w:color w:val="000000" w:themeColor="text1"/>
          <w:sz w:val="16"/>
          <w:szCs w:val="16"/>
        </w:rPr>
      </w:pPr>
      <w:r w:rsidRPr="00F90EAE">
        <w:rPr>
          <w:color w:val="000000" w:themeColor="text1"/>
          <w:sz w:val="16"/>
          <w:szCs w:val="16"/>
        </w:rPr>
        <w:t>Подполковник МАКАРОВ. - В составе шестерки ЯК-3, в которой был и генерал- майор авиации СИДНЕВ, я выполнял зада</w:t>
      </w:r>
      <w:r w:rsidRPr="00F90EAE">
        <w:rPr>
          <w:color w:val="000000" w:themeColor="text1"/>
          <w:sz w:val="16"/>
          <w:szCs w:val="16"/>
        </w:rPr>
        <w:softHyphen/>
        <w:t>чу прикрытия наших войск на плацдарме западнее р. ОДЕР. После 30-минутного полета станция наведения «Штык-4» пе</w:t>
      </w:r>
      <w:r w:rsidRPr="00F90EAE">
        <w:rPr>
          <w:color w:val="000000" w:themeColor="text1"/>
          <w:sz w:val="16"/>
          <w:szCs w:val="16"/>
        </w:rPr>
        <w:softHyphen/>
        <w:t>редала в эфир команду - «ЯК»и, справа у вас разведчик противника». Я посмотрел и сразу увидел его. Это был самолет, по</w:t>
      </w:r>
      <w:r w:rsidRPr="00F90EAE">
        <w:rPr>
          <w:color w:val="000000" w:themeColor="text1"/>
          <w:sz w:val="16"/>
          <w:szCs w:val="16"/>
        </w:rPr>
        <w:softHyphen/>
        <w:t>хожий на раму, но только с какой-то под</w:t>
      </w:r>
      <w:r w:rsidRPr="00F90EAE">
        <w:rPr>
          <w:color w:val="000000" w:themeColor="text1"/>
          <w:sz w:val="16"/>
          <w:szCs w:val="16"/>
        </w:rPr>
        <w:softHyphen/>
        <w:t>веской. Начал сближаться и подошел на 300-400 метров. Но, думаю много, нужно подойти ближе. Зашел сверху и на ди</w:t>
      </w:r>
      <w:r w:rsidRPr="00F90EAE">
        <w:rPr>
          <w:color w:val="000000" w:themeColor="text1"/>
          <w:sz w:val="16"/>
          <w:szCs w:val="16"/>
        </w:rPr>
        <w:softHyphen/>
        <w:t>станции 150 метров всадил в этот самолет весь боекомплект. Он задымил и ушел со снижением. Ну, думаю - сбил. Передал ведомому - добивай. Но к моему удивле</w:t>
      </w:r>
      <w:r w:rsidRPr="00F90EAE">
        <w:rPr>
          <w:color w:val="000000" w:themeColor="text1"/>
          <w:sz w:val="16"/>
          <w:szCs w:val="16"/>
        </w:rPr>
        <w:softHyphen/>
        <w:t xml:space="preserve">нию, вслед за черными полосами дыма от обоих моторов показались белые струи. </w:t>
      </w:r>
    </w:p>
    <w:p w14:paraId="4D6667CB" w14:textId="77777777" w:rsidR="008C396C" w:rsidRPr="00F90EAE" w:rsidRDefault="008C396C" w:rsidP="00F90EAE">
      <w:pPr>
        <w:jc w:val="both"/>
        <w:rPr>
          <w:color w:val="000000" w:themeColor="text1"/>
          <w:sz w:val="16"/>
          <w:szCs w:val="16"/>
        </w:rPr>
      </w:pPr>
      <w:r w:rsidRPr="00F90EAE">
        <w:rPr>
          <w:color w:val="000000" w:themeColor="text1"/>
          <w:sz w:val="16"/>
          <w:szCs w:val="16"/>
        </w:rPr>
        <w:t>Уйдя на бреющем, он скрылся за горизон</w:t>
      </w:r>
      <w:r w:rsidRPr="00F90EAE">
        <w:rPr>
          <w:color w:val="000000" w:themeColor="text1"/>
          <w:sz w:val="16"/>
          <w:szCs w:val="16"/>
        </w:rPr>
        <w:softHyphen/>
        <w:t>том на подступах к Берлину. Сбит-ли он был в действительности - не знаю, так как разведать место его посадки или падения на следующий день не удалась из-за погодыI:. Как докладывал здесь НОВИКОВ, этот :самолет очень напоминает скоростной самолета противника с реактивными моторами. Характерное для него то, что ходит он смело, даже там, где много наших ЯК-3 и ЯК-9у; как известно, обычные исбители противника этих самолетов как огня.</w:t>
      </w:r>
    </w:p>
    <w:p w14:paraId="6CA8C556"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 xml:space="preserve">По-моему, борьба с скоростными :самолетами противника должна прежде всего состоять в осмотрительности наших летчиков. Атаковывать нужно его внезапно - от него всегда можно уйти, это ясно истребителю, пользуясь при этом  маневром. Судя по устройству фонаря - обзор у летчика-противника плохой, истребителям это нужно использовать для производства внезапной атаки. </w:t>
      </w:r>
    </w:p>
    <w:p w14:paraId="21A77858"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ее ходе нужно маскироваться фоном местности при атаках снизу, а при атаках сверху - пользоваться облачностью и солцем В бою нужно хитрить, и это гарантирует победу.</w:t>
      </w:r>
    </w:p>
    <w:p w14:paraId="30C0847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убедился, что при выполнении задач по прикрытию наших войск действовать нужно н-ебольшими группами - парами и -четверками. Это облегчает маневр и повышает эффективтивность наших действий. Командиру группы легче работать, не нужно тратить много времени на подсчет своих.</w:t>
      </w:r>
    </w:p>
    <w:p w14:paraId="64A58691"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Капитан ЯШИН. - Со скоростными самолетами противника я встреч не имел, но наблюдал их с земли 25.2 в районе Кюстрин. Он шел вдоль по реке ОДЕР. Там было наших два ЯК-3. Они его заметили и начали преследовать. На моих глазах он ушел и для меня стало ясно, что это скоростной свмолет.</w:t>
      </w:r>
    </w:p>
    <w:p w14:paraId="3D284643"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начале, они не представляют. По всем данным, летный состав на них слабый. Вполне вероятно предположение, что на этих штурмовиках работают летчики с са</w:t>
      </w:r>
      <w:r w:rsidRPr="00F90EAE">
        <w:rPr>
          <w:rFonts w:ascii="Times New Roman" w:hAnsi="Times New Roman" w:cs="Times New Roman"/>
          <w:color w:val="000000" w:themeColor="text1"/>
          <w:sz w:val="16"/>
          <w:szCs w:val="16"/>
        </w:rPr>
        <w:softHyphen/>
        <w:t>молетов типа Ю-87, и даже Ю-88.</w:t>
      </w:r>
    </w:p>
    <w:p w14:paraId="4D1C4D28"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 По-моему, самое главное для летчика-истребителя в борь</w:t>
      </w:r>
      <w:r w:rsidRPr="00F90EAE">
        <w:rPr>
          <w:rFonts w:ascii="Times New Roman" w:hAnsi="Times New Roman" w:cs="Times New Roman"/>
          <w:color w:val="000000" w:themeColor="text1"/>
          <w:sz w:val="16"/>
          <w:szCs w:val="16"/>
        </w:rPr>
        <w:softHyphen/>
        <w:t>бе с любыми самолетами противника, и в первую очередь со скоростными самоле</w:t>
      </w:r>
      <w:r w:rsidRPr="00F90EAE">
        <w:rPr>
          <w:rFonts w:ascii="Times New Roman" w:hAnsi="Times New Roman" w:cs="Times New Roman"/>
          <w:color w:val="000000" w:themeColor="text1"/>
          <w:sz w:val="16"/>
          <w:szCs w:val="16"/>
        </w:rPr>
        <w:softHyphen/>
        <w:t>тами - это увидеть его. После этого летчик всегда сможет оценить обстановку и при</w:t>
      </w:r>
      <w:r w:rsidRPr="00F90EAE">
        <w:rPr>
          <w:rFonts w:ascii="Times New Roman" w:hAnsi="Times New Roman" w:cs="Times New Roman"/>
          <w:color w:val="000000" w:themeColor="text1"/>
          <w:sz w:val="16"/>
          <w:szCs w:val="16"/>
        </w:rPr>
        <w:softHyphen/>
        <w:t>нять правильное решение. Внезапность атак противника при этом всегда будет исключена.</w:t>
      </w:r>
    </w:p>
    <w:p w14:paraId="51C8E90C"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Майор КОЖЕДУБ. - Вопрос борьбы со скоростными самолетами противника весьма важный. Борьба на больших ско</w:t>
      </w:r>
      <w:r w:rsidRPr="00F90EAE">
        <w:rPr>
          <w:rFonts w:ascii="Times New Roman" w:hAnsi="Times New Roman" w:cs="Times New Roman"/>
          <w:color w:val="000000" w:themeColor="text1"/>
          <w:sz w:val="16"/>
          <w:szCs w:val="16"/>
        </w:rPr>
        <w:softHyphen/>
        <w:t>ростях требует опытного летного соста</w:t>
      </w:r>
      <w:r w:rsidRPr="00F90EAE">
        <w:rPr>
          <w:rFonts w:ascii="Times New Roman" w:hAnsi="Times New Roman" w:cs="Times New Roman"/>
          <w:color w:val="000000" w:themeColor="text1"/>
          <w:sz w:val="16"/>
          <w:szCs w:val="16"/>
        </w:rPr>
        <w:softHyphen/>
        <w:t>ва. Большая скорость - трудный маневр, меньшая вероятность попаданий. Наша матчасть тоже скоростная. Надеясь на свою большую скорость, наши летчики иногда забывают за хвост, не наблюдают за ним. Нужно полагать, что скоростной самолет противника имеет отличное пило</w:t>
      </w:r>
      <w:r w:rsidRPr="00F90EAE">
        <w:rPr>
          <w:rFonts w:ascii="Times New Roman" w:hAnsi="Times New Roman" w:cs="Times New Roman"/>
          <w:color w:val="000000" w:themeColor="text1"/>
          <w:sz w:val="16"/>
          <w:szCs w:val="16"/>
        </w:rPr>
        <w:softHyphen/>
        <w:t>тажное оборудование, и такую же рацию. Наводится он, по-видимому, установкой РУС. Скорее всего он может поражать нас сзади, пользуясь повышенной скоростью для того, чтобы настигнуть выбранную цель. Поэтому наблюдение за хвостом - вопрос весьма актуальный. Нужно научить молодняк вести борьбу на больших скоро</w:t>
      </w:r>
      <w:r w:rsidRPr="00F90EAE">
        <w:rPr>
          <w:rFonts w:ascii="Times New Roman" w:hAnsi="Times New Roman" w:cs="Times New Roman"/>
          <w:color w:val="000000" w:themeColor="text1"/>
          <w:sz w:val="16"/>
          <w:szCs w:val="16"/>
        </w:rPr>
        <w:softHyphen/>
        <w:t>стях. Нужно также иметь ввиду, что про</w:t>
      </w:r>
      <w:r w:rsidRPr="00F90EAE">
        <w:rPr>
          <w:rFonts w:ascii="Times New Roman" w:hAnsi="Times New Roman" w:cs="Times New Roman"/>
          <w:color w:val="000000" w:themeColor="text1"/>
          <w:sz w:val="16"/>
          <w:szCs w:val="16"/>
        </w:rPr>
        <w:softHyphen/>
        <w:t>тивник не всегда будет пользоваться боль</w:t>
      </w:r>
      <w:r w:rsidRPr="00F90EAE">
        <w:rPr>
          <w:rFonts w:ascii="Times New Roman" w:hAnsi="Times New Roman" w:cs="Times New Roman"/>
          <w:color w:val="000000" w:themeColor="text1"/>
          <w:sz w:val="16"/>
          <w:szCs w:val="16"/>
        </w:rPr>
        <w:softHyphen/>
        <w:t>шой скоростью и в необходимых случаях будет погашать ее маневром или выклю</w:t>
      </w:r>
      <w:r w:rsidRPr="00F90EAE">
        <w:rPr>
          <w:rFonts w:ascii="Times New Roman" w:hAnsi="Times New Roman" w:cs="Times New Roman"/>
          <w:color w:val="000000" w:themeColor="text1"/>
          <w:sz w:val="16"/>
          <w:szCs w:val="16"/>
        </w:rPr>
        <w:softHyphen/>
        <w:t>чением реактивных моторов, для дости</w:t>
      </w:r>
      <w:r w:rsidRPr="00F90EAE">
        <w:rPr>
          <w:rFonts w:ascii="Times New Roman" w:hAnsi="Times New Roman" w:cs="Times New Roman"/>
          <w:color w:val="000000" w:themeColor="text1"/>
          <w:sz w:val="16"/>
          <w:szCs w:val="16"/>
        </w:rPr>
        <w:softHyphen/>
        <w:t>жения лучшей маневренности. Правильно здесь говорили о том, что успех борьбы со скоростными самолетами противника будет решать быстрота атаки - внезап</w:t>
      </w:r>
      <w:r w:rsidRPr="00F90EAE">
        <w:rPr>
          <w:rFonts w:ascii="Times New Roman" w:hAnsi="Times New Roman" w:cs="Times New Roman"/>
          <w:color w:val="000000" w:themeColor="text1"/>
          <w:sz w:val="16"/>
          <w:szCs w:val="16"/>
        </w:rPr>
        <w:softHyphen/>
        <w:t>ность. Атаковывать противника нужно под малым ракурсом, не более 2/4. Выход из атаки отворотом для захода на повторную атаку. Я тоже при выполнении задачи в районе плацдармов над р. ОДЕР заметил МЕ-109 с какой-то подвеской, нагнал его, а мой ведомый майор ТИТАРЕНКО, зайдя сверху, дал по нему очередь, но промах</w:t>
      </w:r>
      <w:r w:rsidRPr="00F90EAE">
        <w:rPr>
          <w:rFonts w:ascii="Times New Roman" w:hAnsi="Times New Roman" w:cs="Times New Roman"/>
          <w:color w:val="000000" w:themeColor="text1"/>
          <w:sz w:val="16"/>
          <w:szCs w:val="16"/>
        </w:rPr>
        <w:softHyphen/>
        <w:t>нулся. Заметив трассу, противник резко свернул влево и попал в мой прицел. Я тоже дал очередь. «Люлька» отлетела. Самолет сбил, но упал он на территории противника. Судя по этому случаю, ско</w:t>
      </w:r>
      <w:r w:rsidRPr="00F90EAE">
        <w:rPr>
          <w:rFonts w:ascii="Times New Roman" w:hAnsi="Times New Roman" w:cs="Times New Roman"/>
          <w:color w:val="000000" w:themeColor="text1"/>
          <w:sz w:val="16"/>
          <w:szCs w:val="16"/>
        </w:rPr>
        <w:softHyphen/>
        <w:t>ростные самолеты противника сбивать не трудно, применяя внезапность атаки.</w:t>
      </w:r>
    </w:p>
    <w:p w14:paraId="23A15252"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 скоростных самолетах противник ведет также разведку. Над нашим аэро</w:t>
      </w:r>
      <w:r w:rsidRPr="00F90EAE">
        <w:rPr>
          <w:rFonts w:ascii="Times New Roman" w:hAnsi="Times New Roman" w:cs="Times New Roman"/>
          <w:color w:val="000000" w:themeColor="text1"/>
          <w:sz w:val="16"/>
          <w:szCs w:val="16"/>
        </w:rPr>
        <w:softHyphen/>
        <w:t>дромом мы замечали его дважды. Напо</w:t>
      </w:r>
      <w:r w:rsidRPr="00F90EAE">
        <w:rPr>
          <w:rFonts w:ascii="Times New Roman" w:hAnsi="Times New Roman" w:cs="Times New Roman"/>
          <w:color w:val="000000" w:themeColor="text1"/>
          <w:sz w:val="16"/>
          <w:szCs w:val="16"/>
        </w:rPr>
        <w:softHyphen/>
        <w:t>минал он Ю-88, но проходил на большой скорости. Нужно также иметь ввиду, что на таких самолетах есть стрелки, что нужно учитывать при атаках сзади.</w:t>
      </w:r>
    </w:p>
    <w:p w14:paraId="7EDFC8E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Правильно говорил Командующий о том, что истребителю очень важно сво</w:t>
      </w:r>
      <w:r w:rsidRPr="00F90EAE">
        <w:rPr>
          <w:rFonts w:ascii="Times New Roman" w:hAnsi="Times New Roman" w:cs="Times New Roman"/>
          <w:color w:val="000000" w:themeColor="text1"/>
          <w:sz w:val="16"/>
          <w:szCs w:val="16"/>
        </w:rPr>
        <w:softHyphen/>
        <w:t>евременно заметить самолет противника. Если заметил его на большом удалении, то не дай себе попасть в прицел, а то не успе</w:t>
      </w:r>
      <w:r w:rsidRPr="00F90EAE">
        <w:rPr>
          <w:rFonts w:ascii="Times New Roman" w:hAnsi="Times New Roman" w:cs="Times New Roman"/>
          <w:color w:val="000000" w:themeColor="text1"/>
          <w:sz w:val="16"/>
          <w:szCs w:val="16"/>
        </w:rPr>
        <w:softHyphen/>
        <w:t>ешь сманеврировать и станешь жертвой.</w:t>
      </w:r>
    </w:p>
    <w:p w14:paraId="6A2B8A87"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Скоростные самолеты противника не являются грозным оружием, если грамот</w:t>
      </w:r>
      <w:r w:rsidRPr="00F90EAE">
        <w:rPr>
          <w:rFonts w:ascii="Times New Roman" w:hAnsi="Times New Roman" w:cs="Times New Roman"/>
          <w:color w:val="000000" w:themeColor="text1"/>
          <w:sz w:val="16"/>
          <w:szCs w:val="16"/>
        </w:rPr>
        <w:softHyphen/>
        <w:t>но организовать борьбу с ними.</w:t>
      </w:r>
    </w:p>
    <w:p w14:paraId="236E4EDC"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вспоминаю период борьбы наших истребителей на матчасти И-16 с МЕ-109. Они тоже были по отношению к «Ишакам» скоростными. Однако грамотные летчики на «Ишаках» успешно вели борьбу с «Мес</w:t>
      </w:r>
      <w:r w:rsidRPr="00F90EAE">
        <w:rPr>
          <w:rFonts w:ascii="Times New Roman" w:hAnsi="Times New Roman" w:cs="Times New Roman"/>
          <w:color w:val="000000" w:themeColor="text1"/>
          <w:sz w:val="16"/>
          <w:szCs w:val="16"/>
        </w:rPr>
        <w:softHyphen/>
        <w:t>серами».</w:t>
      </w:r>
    </w:p>
    <w:p w14:paraId="59D42463"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Драться со скоростными самолетами противника можно и нужно. Для этого у нас есть все данные.</w:t>
      </w:r>
    </w:p>
    <w:p w14:paraId="3A84DB55"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Майор КОБИЛЕЦКИЙ. - Постановка вопроса о борьбе со скоростными самоле</w:t>
      </w:r>
      <w:r w:rsidRPr="00F90EAE">
        <w:rPr>
          <w:rFonts w:ascii="Times New Roman" w:hAnsi="Times New Roman" w:cs="Times New Roman"/>
          <w:color w:val="000000" w:themeColor="text1"/>
          <w:sz w:val="16"/>
          <w:szCs w:val="16"/>
        </w:rPr>
        <w:softHyphen/>
        <w:t>тами противника напоминает мне случай борьбы с двумя разведчиками противника в свое время в Китае. Они систематически ходили парой на фотографирование на</w:t>
      </w:r>
      <w:r w:rsidRPr="00F90EAE">
        <w:rPr>
          <w:rFonts w:ascii="Times New Roman" w:hAnsi="Times New Roman" w:cs="Times New Roman"/>
          <w:color w:val="000000" w:themeColor="text1"/>
          <w:sz w:val="16"/>
          <w:szCs w:val="16"/>
        </w:rPr>
        <w:softHyphen/>
        <w:t>ших аэродромов, и каждый раз уходили безнаказанно на повышенных скоростях. Появлялись всегда внезапно. Была постав</w:t>
      </w:r>
      <w:r w:rsidRPr="00F90EAE">
        <w:rPr>
          <w:rFonts w:ascii="Times New Roman" w:hAnsi="Times New Roman" w:cs="Times New Roman"/>
          <w:color w:val="000000" w:themeColor="text1"/>
          <w:sz w:val="16"/>
          <w:szCs w:val="16"/>
        </w:rPr>
        <w:softHyphen/>
        <w:t>лена задача сбить их во что бы то ни стало. Для этой цели подняли пять отрядов, зная, примерно, время прихода разведчиков. Эшелонировав пары по высоте от 4.500 до 300 метров, с интервалом между парами 200 метров, подкарауливали врага. Раз</w:t>
      </w:r>
      <w:r w:rsidRPr="00F90EAE">
        <w:rPr>
          <w:rFonts w:ascii="Times New Roman" w:hAnsi="Times New Roman" w:cs="Times New Roman"/>
          <w:color w:val="000000" w:themeColor="text1"/>
          <w:sz w:val="16"/>
          <w:szCs w:val="16"/>
        </w:rPr>
        <w:softHyphen/>
        <w:t>ведчики появились. Несмотря на то, что наши истребители были на И-16, врагу не помогла повышенная скорость. Разведчи</w:t>
      </w:r>
      <w:r w:rsidRPr="00F90EAE">
        <w:rPr>
          <w:rFonts w:ascii="Times New Roman" w:hAnsi="Times New Roman" w:cs="Times New Roman"/>
          <w:color w:val="000000" w:themeColor="text1"/>
          <w:sz w:val="16"/>
          <w:szCs w:val="16"/>
        </w:rPr>
        <w:softHyphen/>
        <w:t>ки были сбиты. Как показали данные при</w:t>
      </w:r>
      <w:r w:rsidRPr="00F90EAE">
        <w:rPr>
          <w:rFonts w:ascii="Times New Roman" w:hAnsi="Times New Roman" w:cs="Times New Roman"/>
          <w:color w:val="000000" w:themeColor="text1"/>
          <w:sz w:val="16"/>
          <w:szCs w:val="16"/>
        </w:rPr>
        <w:softHyphen/>
        <w:t>боров, они обладали скоростью при уходе до 750 километров.</w:t>
      </w:r>
    </w:p>
    <w:p w14:paraId="15DF1EE7"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Важно сбить хоть один скоростной са</w:t>
      </w:r>
      <w:r w:rsidRPr="00F90EAE">
        <w:rPr>
          <w:rFonts w:ascii="Times New Roman" w:hAnsi="Times New Roman" w:cs="Times New Roman"/>
          <w:color w:val="000000" w:themeColor="text1"/>
          <w:sz w:val="16"/>
          <w:szCs w:val="16"/>
        </w:rPr>
        <w:softHyphen/>
        <w:t>молет, и этот опыт немедленно передать всем истребителям Воздушной Армии.</w:t>
      </w:r>
    </w:p>
    <w:p w14:paraId="2BB1414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Гв. лейтенант КОБЯКИН. - В инфор</w:t>
      </w:r>
      <w:r w:rsidRPr="00F90EAE">
        <w:rPr>
          <w:rFonts w:ascii="Times New Roman" w:hAnsi="Times New Roman" w:cs="Times New Roman"/>
          <w:color w:val="000000" w:themeColor="text1"/>
          <w:sz w:val="16"/>
          <w:szCs w:val="16"/>
        </w:rPr>
        <w:softHyphen/>
        <w:t>мбюллетене имеется указание, что МЕ- 109 - «Летающее крыло» имеет поса</w:t>
      </w:r>
      <w:r w:rsidRPr="00F90EAE">
        <w:rPr>
          <w:rFonts w:ascii="Times New Roman" w:hAnsi="Times New Roman" w:cs="Times New Roman"/>
          <w:color w:val="000000" w:themeColor="text1"/>
          <w:sz w:val="16"/>
          <w:szCs w:val="16"/>
        </w:rPr>
        <w:softHyphen/>
        <w:t>дочную скорость 65 километров. Нужно думать, что и скоростные самолеты против</w:t>
      </w:r>
      <w:r w:rsidRPr="00F90EAE">
        <w:rPr>
          <w:rFonts w:ascii="Times New Roman" w:hAnsi="Times New Roman" w:cs="Times New Roman"/>
          <w:color w:val="000000" w:themeColor="text1"/>
          <w:sz w:val="16"/>
          <w:szCs w:val="16"/>
        </w:rPr>
        <w:softHyphen/>
        <w:t>ника имеют большой диапазон скоростей.</w:t>
      </w:r>
    </w:p>
    <w:p w14:paraId="4A225E4B" w14:textId="77777777" w:rsidR="008C396C" w:rsidRPr="00F90EAE" w:rsidRDefault="008C396C" w:rsidP="00F90EAE">
      <w:pPr>
        <w:jc w:val="both"/>
        <w:rPr>
          <w:color w:val="000000" w:themeColor="text1"/>
          <w:sz w:val="16"/>
          <w:szCs w:val="16"/>
        </w:rPr>
      </w:pPr>
      <w:r w:rsidRPr="00F90EAE">
        <w:rPr>
          <w:color w:val="000000" w:themeColor="text1"/>
          <w:sz w:val="16"/>
          <w:szCs w:val="16"/>
        </w:rPr>
        <w:t>Если заметил самолет противника - не упускай его из виду. Не уходи от него, а навязывай ему активный бой - коллек</w:t>
      </w:r>
      <w:r w:rsidRPr="00F90EAE">
        <w:rPr>
          <w:color w:val="000000" w:themeColor="text1"/>
          <w:sz w:val="16"/>
          <w:szCs w:val="16"/>
        </w:rPr>
        <w:softHyphen/>
        <w:t>тивный. Старайся подойти к нему поближе и атакуй внезапно. Стрельба по скорост</w:t>
      </w:r>
      <w:r w:rsidRPr="00F90EAE">
        <w:rPr>
          <w:color w:val="000000" w:themeColor="text1"/>
          <w:sz w:val="16"/>
          <w:szCs w:val="16"/>
        </w:rPr>
        <w:softHyphen/>
        <w:t>ным самолетам противника не должна чем либо особенно отличаться от стрельбы по обычным истребителям противника, если бьешь его с близких дистанций.</w:t>
      </w:r>
    </w:p>
    <w:p w14:paraId="238835BF"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Капитан ЛУКИН. - Успех воздушного боя решает внезапность атаки. Скорост</w:t>
      </w:r>
      <w:r w:rsidRPr="00F90EAE">
        <w:rPr>
          <w:rFonts w:ascii="Times New Roman" w:hAnsi="Times New Roman" w:cs="Times New Roman"/>
          <w:color w:val="000000" w:themeColor="text1"/>
          <w:sz w:val="16"/>
          <w:szCs w:val="16"/>
        </w:rPr>
        <w:softHyphen/>
        <w:t>ные самолеты противника это тип истре</w:t>
      </w:r>
      <w:r w:rsidRPr="00F90EAE">
        <w:rPr>
          <w:rFonts w:ascii="Times New Roman" w:hAnsi="Times New Roman" w:cs="Times New Roman"/>
          <w:color w:val="000000" w:themeColor="text1"/>
          <w:sz w:val="16"/>
          <w:szCs w:val="16"/>
        </w:rPr>
        <w:softHyphen/>
        <w:t>бителя дальнего действия. На мой взгляд наиболее правильный способ атаки их- отход отворотом в сторону с последую</w:t>
      </w:r>
      <w:r w:rsidRPr="00F90EAE">
        <w:rPr>
          <w:rFonts w:ascii="Times New Roman" w:hAnsi="Times New Roman" w:cs="Times New Roman"/>
          <w:color w:val="000000" w:themeColor="text1"/>
          <w:sz w:val="16"/>
          <w:szCs w:val="16"/>
        </w:rPr>
        <w:softHyphen/>
        <w:t>щим доворотом и атакой. По имеющимся данным, угол планирования у скоростных самолетов не превышает 15°. Пользуясь этим, можно уходить вниз, дать возмож</w:t>
      </w:r>
      <w:r w:rsidRPr="00F90EAE">
        <w:rPr>
          <w:rFonts w:ascii="Times New Roman" w:hAnsi="Times New Roman" w:cs="Times New Roman"/>
          <w:color w:val="000000" w:themeColor="text1"/>
          <w:sz w:val="16"/>
          <w:szCs w:val="16"/>
        </w:rPr>
        <w:softHyphen/>
        <w:t>ность противнику проскочить, а затем ата</w:t>
      </w:r>
      <w:r w:rsidRPr="00F90EAE">
        <w:rPr>
          <w:rFonts w:ascii="Times New Roman" w:hAnsi="Times New Roman" w:cs="Times New Roman"/>
          <w:color w:val="000000" w:themeColor="text1"/>
          <w:sz w:val="16"/>
          <w:szCs w:val="16"/>
        </w:rPr>
        <w:softHyphen/>
        <w:t>ковать его самому.</w:t>
      </w:r>
    </w:p>
    <w:p w14:paraId="3B829357"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Несомненно, что основная цель ново</w:t>
      </w:r>
      <w:r w:rsidRPr="00F90EAE">
        <w:rPr>
          <w:rFonts w:ascii="Times New Roman" w:hAnsi="Times New Roman" w:cs="Times New Roman"/>
          <w:color w:val="000000" w:themeColor="text1"/>
          <w:sz w:val="16"/>
          <w:szCs w:val="16"/>
        </w:rPr>
        <w:softHyphen/>
        <w:t>го типа самолета противника - это борьба с нашими бомбардировщиками и штурмо</w:t>
      </w:r>
      <w:r w:rsidRPr="00F90EAE">
        <w:rPr>
          <w:rFonts w:ascii="Times New Roman" w:hAnsi="Times New Roman" w:cs="Times New Roman"/>
          <w:color w:val="000000" w:themeColor="text1"/>
          <w:sz w:val="16"/>
          <w:szCs w:val="16"/>
        </w:rPr>
        <w:softHyphen/>
        <w:t>виками и одиночными разведчиками. С нашими истребителями им драться трудно и невыгодно.</w:t>
      </w:r>
    </w:p>
    <w:p w14:paraId="1B5B37DD"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Майор БАШКИРОВ. - В борьбе со скоростными самолетами противника наш прицел вполне позволяет ведение эффек</w:t>
      </w:r>
      <w:r w:rsidRPr="00F90EAE">
        <w:rPr>
          <w:rFonts w:ascii="Times New Roman" w:hAnsi="Times New Roman" w:cs="Times New Roman"/>
          <w:color w:val="000000" w:themeColor="text1"/>
          <w:sz w:val="16"/>
          <w:szCs w:val="16"/>
        </w:rPr>
        <w:softHyphen/>
        <w:t>тивного огня под ракурсом не более 2/4. Я согласен с утверждением о том, что та</w:t>
      </w:r>
      <w:r w:rsidRPr="00F90EAE">
        <w:rPr>
          <w:rFonts w:ascii="Times New Roman" w:hAnsi="Times New Roman" w:cs="Times New Roman"/>
          <w:color w:val="000000" w:themeColor="text1"/>
          <w:sz w:val="16"/>
          <w:szCs w:val="16"/>
        </w:rPr>
        <w:softHyphen/>
        <w:t>кие самолеты противника не всегда ходят на увеличенной скорости. Поэтому при обычной скорости новые типы самолетов противника нужно бить с обычным расче</w:t>
      </w:r>
      <w:r w:rsidRPr="00F90EAE">
        <w:rPr>
          <w:rFonts w:ascii="Times New Roman" w:hAnsi="Times New Roman" w:cs="Times New Roman"/>
          <w:color w:val="000000" w:themeColor="text1"/>
          <w:sz w:val="16"/>
          <w:szCs w:val="16"/>
        </w:rPr>
        <w:softHyphen/>
        <w:t>том, а на увеличенной скорости с двойной поправкой.</w:t>
      </w:r>
    </w:p>
    <w:p w14:paraId="157AE92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Наш прицел коллиматорный. Нужно всегда помнить, чтобы цель прошла через перекрестие прицела. Иначе попадания не будет. Нужно уметь определить ско</w:t>
      </w:r>
      <w:r w:rsidRPr="00F90EAE">
        <w:rPr>
          <w:rFonts w:ascii="Times New Roman" w:hAnsi="Times New Roman" w:cs="Times New Roman"/>
          <w:color w:val="000000" w:themeColor="text1"/>
          <w:sz w:val="16"/>
          <w:szCs w:val="16"/>
        </w:rPr>
        <w:softHyphen/>
        <w:t>рость самолета противника, тогда легче прицелиться, выбрать визирную точку. Молодняк нужно научить стрельбе с даль</w:t>
      </w:r>
      <w:r w:rsidRPr="00F90EAE">
        <w:rPr>
          <w:rFonts w:ascii="Times New Roman" w:hAnsi="Times New Roman" w:cs="Times New Roman"/>
          <w:color w:val="000000" w:themeColor="text1"/>
          <w:sz w:val="16"/>
          <w:szCs w:val="16"/>
        </w:rPr>
        <w:softHyphen/>
        <w:t>них дистанций, имея ввиду уход самоле</w:t>
      </w:r>
      <w:r w:rsidRPr="00F90EAE">
        <w:rPr>
          <w:rFonts w:ascii="Times New Roman" w:hAnsi="Times New Roman" w:cs="Times New Roman"/>
          <w:color w:val="000000" w:themeColor="text1"/>
          <w:sz w:val="16"/>
          <w:szCs w:val="16"/>
        </w:rPr>
        <w:softHyphen/>
        <w:t>тов противника на повышенной скорости.</w:t>
      </w:r>
    </w:p>
    <w:p w14:paraId="274F958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Нужно научить летный состав приме</w:t>
      </w:r>
      <w:r w:rsidRPr="00F90EAE">
        <w:rPr>
          <w:rFonts w:ascii="Times New Roman" w:hAnsi="Times New Roman" w:cs="Times New Roman"/>
          <w:color w:val="000000" w:themeColor="text1"/>
          <w:sz w:val="16"/>
          <w:szCs w:val="16"/>
        </w:rPr>
        <w:softHyphen/>
        <w:t>нению прямого выстрела (расстояние, на котором снаряд не выходит из пределов размера цели) при атаках скоростных са</w:t>
      </w:r>
      <w:r w:rsidRPr="00F90EAE">
        <w:rPr>
          <w:rFonts w:ascii="Times New Roman" w:hAnsi="Times New Roman" w:cs="Times New Roman"/>
          <w:color w:val="000000" w:themeColor="text1"/>
          <w:sz w:val="16"/>
          <w:szCs w:val="16"/>
        </w:rPr>
        <w:softHyphen/>
        <w:t>молетов.</w:t>
      </w:r>
    </w:p>
    <w:p w14:paraId="33270D8B"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Совершенно правильно, что вместе со скоростными самолетами будут дейст</w:t>
      </w:r>
      <w:r w:rsidRPr="00F90EAE">
        <w:rPr>
          <w:rFonts w:ascii="Times New Roman" w:hAnsi="Times New Roman" w:cs="Times New Roman"/>
          <w:color w:val="000000" w:themeColor="text1"/>
          <w:sz w:val="16"/>
          <w:szCs w:val="16"/>
        </w:rPr>
        <w:softHyphen/>
        <w:t>вовать также обычные ФВ-190 и МЕ-109. Это нужно всегда иметь ввиду в борьбе с новым типом самолета противника.</w:t>
      </w:r>
    </w:p>
    <w:p w14:paraId="7C3F5041"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На мой взгляд, для поиска и уничто</w:t>
      </w:r>
      <w:r w:rsidRPr="00F90EAE">
        <w:rPr>
          <w:rFonts w:ascii="Times New Roman" w:hAnsi="Times New Roman" w:cs="Times New Roman"/>
          <w:color w:val="000000" w:themeColor="text1"/>
          <w:sz w:val="16"/>
          <w:szCs w:val="16"/>
        </w:rPr>
        <w:softHyphen/>
        <w:t>жения скоростных самолетов противника нужно применять: при поиске - рассре</w:t>
      </w:r>
      <w:r w:rsidRPr="00F90EAE">
        <w:rPr>
          <w:rFonts w:ascii="Times New Roman" w:hAnsi="Times New Roman" w:cs="Times New Roman"/>
          <w:color w:val="000000" w:themeColor="text1"/>
          <w:sz w:val="16"/>
          <w:szCs w:val="16"/>
        </w:rPr>
        <w:softHyphen/>
        <w:t>доточенный строй наших истребителей, а при ведении воздушного боя - собираться вместе. Бой со скоростным самолетом - это скоротечная атака. Атаковывать его лучше снизу. Ловить его нужно этажеркой пар. Ограниченность угла пикирования са</w:t>
      </w:r>
      <w:r w:rsidRPr="00F90EAE">
        <w:rPr>
          <w:rFonts w:ascii="Times New Roman" w:hAnsi="Times New Roman" w:cs="Times New Roman"/>
          <w:color w:val="000000" w:themeColor="text1"/>
          <w:sz w:val="16"/>
          <w:szCs w:val="16"/>
        </w:rPr>
        <w:softHyphen/>
        <w:t>молета противника обязательно нужно ис</w:t>
      </w:r>
      <w:r w:rsidRPr="00F90EAE">
        <w:rPr>
          <w:rFonts w:ascii="Times New Roman" w:hAnsi="Times New Roman" w:cs="Times New Roman"/>
          <w:color w:val="000000" w:themeColor="text1"/>
          <w:sz w:val="16"/>
          <w:szCs w:val="16"/>
        </w:rPr>
        <w:softHyphen/>
        <w:t>пользовать для выработки наших приемов в борьбе с ним.</w:t>
      </w:r>
    </w:p>
    <w:p w14:paraId="23F6C7C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КОМАНДУЩИЙ. - Мало выступают истребители сопровождения бомбарди</w:t>
      </w:r>
      <w:r w:rsidRPr="00F90EAE">
        <w:rPr>
          <w:rFonts w:ascii="Times New Roman" w:hAnsi="Times New Roman" w:cs="Times New Roman"/>
          <w:color w:val="000000" w:themeColor="text1"/>
          <w:sz w:val="16"/>
          <w:szCs w:val="16"/>
        </w:rPr>
        <w:softHyphen/>
        <w:t>ровщиков и штурмовиков. Им нужно вы</w:t>
      </w:r>
      <w:r w:rsidRPr="00F90EAE">
        <w:rPr>
          <w:rFonts w:ascii="Times New Roman" w:hAnsi="Times New Roman" w:cs="Times New Roman"/>
          <w:color w:val="000000" w:themeColor="text1"/>
          <w:sz w:val="16"/>
          <w:szCs w:val="16"/>
        </w:rPr>
        <w:softHyphen/>
        <w:t>сказаться, как они думают бороться со скоростными самолетами противника. Не</w:t>
      </w:r>
      <w:r w:rsidRPr="00F90EAE">
        <w:rPr>
          <w:rFonts w:ascii="Times New Roman" w:hAnsi="Times New Roman" w:cs="Times New Roman"/>
          <w:color w:val="000000" w:themeColor="text1"/>
          <w:sz w:val="16"/>
          <w:szCs w:val="16"/>
        </w:rPr>
        <w:softHyphen/>
        <w:t>сомненно, что противник будет применять этот тип самолета прежде всего против бомбардировщиков и штурмовиков. Наши истребители будут для него более редким об"ектом.</w:t>
      </w:r>
    </w:p>
    <w:p w14:paraId="4D59C73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Капитан ХАРИТОНОВ. - Какой ме</w:t>
      </w:r>
      <w:r w:rsidRPr="00F90EAE">
        <w:rPr>
          <w:rFonts w:ascii="Times New Roman" w:hAnsi="Times New Roman" w:cs="Times New Roman"/>
          <w:color w:val="000000" w:themeColor="text1"/>
          <w:sz w:val="16"/>
          <w:szCs w:val="16"/>
        </w:rPr>
        <w:softHyphen/>
        <w:t>тод борьбы со скоростными самолетами противника наиболее эффективен при со</w:t>
      </w:r>
      <w:r w:rsidRPr="00F90EAE">
        <w:rPr>
          <w:rFonts w:ascii="Times New Roman" w:hAnsi="Times New Roman" w:cs="Times New Roman"/>
          <w:color w:val="000000" w:themeColor="text1"/>
          <w:sz w:val="16"/>
          <w:szCs w:val="16"/>
        </w:rPr>
        <w:softHyphen/>
        <w:t>провождении бомбардировщиков и штур</w:t>
      </w:r>
      <w:r w:rsidRPr="00F90EAE">
        <w:rPr>
          <w:rFonts w:ascii="Times New Roman" w:hAnsi="Times New Roman" w:cs="Times New Roman"/>
          <w:color w:val="000000" w:themeColor="text1"/>
          <w:sz w:val="16"/>
          <w:szCs w:val="16"/>
        </w:rPr>
        <w:softHyphen/>
        <w:t>мовиков? Я полагаю, что вполне правиль</w:t>
      </w:r>
      <w:r w:rsidRPr="00F90EAE">
        <w:rPr>
          <w:rFonts w:ascii="Times New Roman" w:hAnsi="Times New Roman" w:cs="Times New Roman"/>
          <w:color w:val="000000" w:themeColor="text1"/>
          <w:sz w:val="16"/>
          <w:szCs w:val="16"/>
        </w:rPr>
        <w:softHyphen/>
        <w:t>но утверждение о том, что целью нового типа самолета противника будет являться уничтожение бомбардировщиков и штур</w:t>
      </w:r>
      <w:r w:rsidRPr="00F90EAE">
        <w:rPr>
          <w:rFonts w:ascii="Times New Roman" w:hAnsi="Times New Roman" w:cs="Times New Roman"/>
          <w:color w:val="000000" w:themeColor="text1"/>
          <w:sz w:val="16"/>
          <w:szCs w:val="16"/>
        </w:rPr>
        <w:softHyphen/>
        <w:t>мовиков. Поэтому ответственность ис</w:t>
      </w:r>
      <w:r w:rsidRPr="00F90EAE">
        <w:rPr>
          <w:rFonts w:ascii="Times New Roman" w:hAnsi="Times New Roman" w:cs="Times New Roman"/>
          <w:color w:val="000000" w:themeColor="text1"/>
          <w:sz w:val="16"/>
          <w:szCs w:val="16"/>
        </w:rPr>
        <w:softHyphen/>
        <w:t>требителей сопровождения значительно возрастает. В бой новые типы самолетов противника ввязываться не будут, атаки их будут внезапными, могут также повто</w:t>
      </w:r>
      <w:r w:rsidRPr="00F90EAE">
        <w:rPr>
          <w:rFonts w:ascii="Times New Roman" w:hAnsi="Times New Roman" w:cs="Times New Roman"/>
          <w:color w:val="000000" w:themeColor="text1"/>
          <w:sz w:val="16"/>
          <w:szCs w:val="16"/>
        </w:rPr>
        <w:softHyphen/>
        <w:t>ряться. Бороться лобовой атакой с ними нельзя. У них слишком мощное вооруже</w:t>
      </w:r>
      <w:r w:rsidRPr="00F90EAE">
        <w:rPr>
          <w:rFonts w:ascii="Times New Roman" w:hAnsi="Times New Roman" w:cs="Times New Roman"/>
          <w:color w:val="000000" w:themeColor="text1"/>
          <w:sz w:val="16"/>
          <w:szCs w:val="16"/>
        </w:rPr>
        <w:softHyphen/>
        <w:t>ние, да и времени для этого на больших скоростях очень мало. Первым мероприя</w:t>
      </w:r>
      <w:r w:rsidRPr="00F90EAE">
        <w:rPr>
          <w:rFonts w:ascii="Times New Roman" w:hAnsi="Times New Roman" w:cs="Times New Roman"/>
          <w:color w:val="000000" w:themeColor="text1"/>
          <w:sz w:val="16"/>
          <w:szCs w:val="16"/>
        </w:rPr>
        <w:softHyphen/>
        <w:t>тием для ограждения бомбардировщиков и штурмовиков от скоростных самолетов противника является оттягивание наших истребителей сопровождения на боль</w:t>
      </w:r>
      <w:r w:rsidRPr="00F90EAE">
        <w:rPr>
          <w:rFonts w:ascii="Times New Roman" w:hAnsi="Times New Roman" w:cs="Times New Roman"/>
          <w:color w:val="000000" w:themeColor="text1"/>
          <w:sz w:val="16"/>
          <w:szCs w:val="16"/>
        </w:rPr>
        <w:softHyphen/>
        <w:t>шее удаление от прикрываемых групп - назад. При таком варианте легче отбить атаки противника с любых направлений. Я считаю наиболее вероятным нападение противника на бомбардировщиков сзади и снизу, и менее вероятно сверху. В соот</w:t>
      </w:r>
      <w:r w:rsidRPr="00F90EAE">
        <w:rPr>
          <w:rFonts w:ascii="Times New Roman" w:hAnsi="Times New Roman" w:cs="Times New Roman"/>
          <w:color w:val="000000" w:themeColor="text1"/>
          <w:sz w:val="16"/>
          <w:szCs w:val="16"/>
        </w:rPr>
        <w:softHyphen/>
        <w:t>ветствии с этим нужно строить и тактику сопровождения штурмовиков и бомбар</w:t>
      </w:r>
      <w:r w:rsidRPr="00F90EAE">
        <w:rPr>
          <w:rFonts w:ascii="Times New Roman" w:hAnsi="Times New Roman" w:cs="Times New Roman"/>
          <w:color w:val="000000" w:themeColor="text1"/>
          <w:sz w:val="16"/>
          <w:szCs w:val="16"/>
        </w:rPr>
        <w:softHyphen/>
        <w:t>дировщиков, и ограждение их от напа</w:t>
      </w:r>
      <w:r w:rsidRPr="00F90EAE">
        <w:rPr>
          <w:rFonts w:ascii="Times New Roman" w:hAnsi="Times New Roman" w:cs="Times New Roman"/>
          <w:color w:val="000000" w:themeColor="text1"/>
          <w:sz w:val="16"/>
          <w:szCs w:val="16"/>
        </w:rPr>
        <w:softHyphen/>
        <w:t>дения противника. Как и прежде, должна быть у истребителей сопровождения груп</w:t>
      </w:r>
      <w:r w:rsidRPr="00F90EAE">
        <w:rPr>
          <w:rFonts w:ascii="Times New Roman" w:hAnsi="Times New Roman" w:cs="Times New Roman"/>
          <w:color w:val="000000" w:themeColor="text1"/>
          <w:sz w:val="16"/>
          <w:szCs w:val="16"/>
        </w:rPr>
        <w:softHyphen/>
        <w:t>па непосредственного прикрытия и удар</w:t>
      </w:r>
      <w:r w:rsidRPr="00F90EAE">
        <w:rPr>
          <w:rFonts w:ascii="Times New Roman" w:hAnsi="Times New Roman" w:cs="Times New Roman"/>
          <w:color w:val="000000" w:themeColor="text1"/>
          <w:sz w:val="16"/>
          <w:szCs w:val="16"/>
        </w:rPr>
        <w:softHyphen/>
        <w:t>ная группа. Последняя должна находиться только на увеличенной дистанции. Особое внимание должно быть уделено осмотри</w:t>
      </w:r>
      <w:r w:rsidRPr="00F90EAE">
        <w:rPr>
          <w:rFonts w:ascii="Times New Roman" w:hAnsi="Times New Roman" w:cs="Times New Roman"/>
          <w:color w:val="000000" w:themeColor="text1"/>
          <w:sz w:val="16"/>
          <w:szCs w:val="16"/>
        </w:rPr>
        <w:softHyphen/>
        <w:t>тельности.</w:t>
      </w:r>
    </w:p>
    <w:p w14:paraId="083CB193"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Гв. капитан ДУБЕНОК. - Вопрос борь</w:t>
      </w:r>
      <w:r w:rsidRPr="00F90EAE">
        <w:rPr>
          <w:rFonts w:ascii="Times New Roman" w:hAnsi="Times New Roman" w:cs="Times New Roman"/>
          <w:color w:val="000000" w:themeColor="text1"/>
          <w:sz w:val="16"/>
          <w:szCs w:val="16"/>
        </w:rPr>
        <w:softHyphen/>
        <w:t>бы с новым типом самолета противника при выполнении задач сопровождения бомбардировщиков мы уже обсуждали, но к общему мнению еще не пришли. Мне кажется, что одним из мероприятий, га</w:t>
      </w:r>
      <w:r w:rsidRPr="00F90EAE">
        <w:rPr>
          <w:rFonts w:ascii="Times New Roman" w:hAnsi="Times New Roman" w:cs="Times New Roman"/>
          <w:color w:val="000000" w:themeColor="text1"/>
          <w:sz w:val="16"/>
          <w:szCs w:val="16"/>
        </w:rPr>
        <w:softHyphen/>
        <w:t>рантирующих от нападения противника, будет усиление прикрытия со стороны ве</w:t>
      </w:r>
      <w:r w:rsidRPr="00F90EAE">
        <w:rPr>
          <w:rFonts w:ascii="Times New Roman" w:hAnsi="Times New Roman" w:cs="Times New Roman"/>
          <w:color w:val="000000" w:themeColor="text1"/>
          <w:sz w:val="16"/>
          <w:szCs w:val="16"/>
        </w:rPr>
        <w:softHyphen/>
        <w:t>роятных атак. Я также думаю, что истреби</w:t>
      </w:r>
      <w:r w:rsidRPr="00F90EAE">
        <w:rPr>
          <w:rFonts w:ascii="Times New Roman" w:hAnsi="Times New Roman" w:cs="Times New Roman"/>
          <w:color w:val="000000" w:themeColor="text1"/>
          <w:sz w:val="16"/>
          <w:szCs w:val="16"/>
        </w:rPr>
        <w:softHyphen/>
        <w:t>тели сопровождения должны прикрывать группы бомбардировщиков и штурмови</w:t>
      </w:r>
      <w:r w:rsidRPr="00F90EAE">
        <w:rPr>
          <w:rFonts w:ascii="Times New Roman" w:hAnsi="Times New Roman" w:cs="Times New Roman"/>
          <w:color w:val="000000" w:themeColor="text1"/>
          <w:sz w:val="16"/>
          <w:szCs w:val="16"/>
        </w:rPr>
        <w:softHyphen/>
        <w:t>ков со всех сторон, имея в наличии и пару истребителей впереди. Она понадобит</w:t>
      </w:r>
      <w:r w:rsidRPr="00F90EAE">
        <w:rPr>
          <w:rFonts w:ascii="Times New Roman" w:hAnsi="Times New Roman" w:cs="Times New Roman"/>
          <w:color w:val="000000" w:themeColor="text1"/>
          <w:sz w:val="16"/>
          <w:szCs w:val="16"/>
        </w:rPr>
        <w:softHyphen/>
        <w:t>ся для того, чтобы отсекать нападение и бить противника при выходе его из атаки. Основная задача истребителей сопрово</w:t>
      </w:r>
      <w:r w:rsidRPr="00F90EAE">
        <w:rPr>
          <w:rFonts w:ascii="Times New Roman" w:hAnsi="Times New Roman" w:cs="Times New Roman"/>
          <w:color w:val="000000" w:themeColor="text1"/>
          <w:sz w:val="16"/>
          <w:szCs w:val="16"/>
        </w:rPr>
        <w:softHyphen/>
        <w:t>ждения - это в первую очередь отсечение вражеских самолетов.</w:t>
      </w:r>
    </w:p>
    <w:p w14:paraId="1B74FC0B"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 Если учитывать тактико-технические данные скоростных самолетов противника, то весьма вероятно, что атаки ими бомбардировщиков и штур</w:t>
      </w:r>
      <w:r w:rsidRPr="00F90EAE">
        <w:rPr>
          <w:rFonts w:ascii="Times New Roman" w:hAnsi="Times New Roman" w:cs="Times New Roman"/>
          <w:color w:val="000000" w:themeColor="text1"/>
          <w:sz w:val="16"/>
          <w:szCs w:val="16"/>
        </w:rPr>
        <w:softHyphen/>
        <w:t>мовиков будут производиться чаще всего снизу сзади. С учетом этой особенности не</w:t>
      </w:r>
      <w:r w:rsidRPr="00F90EAE">
        <w:rPr>
          <w:rFonts w:ascii="Times New Roman" w:hAnsi="Times New Roman" w:cs="Times New Roman"/>
          <w:color w:val="000000" w:themeColor="text1"/>
          <w:sz w:val="16"/>
          <w:szCs w:val="16"/>
        </w:rPr>
        <w:softHyphen/>
        <w:t>обходимо продумать истребителям сопро</w:t>
      </w:r>
      <w:r w:rsidRPr="00F90EAE">
        <w:rPr>
          <w:rFonts w:ascii="Times New Roman" w:hAnsi="Times New Roman" w:cs="Times New Roman"/>
          <w:color w:val="000000" w:themeColor="text1"/>
          <w:sz w:val="16"/>
          <w:szCs w:val="16"/>
        </w:rPr>
        <w:softHyphen/>
        <w:t>вождения свою тактику действий.</w:t>
      </w:r>
    </w:p>
    <w:p w14:paraId="71F5E8D7"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Майор СУНИЛОВ. - Лобовые атаки скоростных самолетов противника невоз</w:t>
      </w:r>
      <w:r w:rsidRPr="00F90EAE">
        <w:rPr>
          <w:rFonts w:ascii="Times New Roman" w:hAnsi="Times New Roman" w:cs="Times New Roman"/>
          <w:color w:val="000000" w:themeColor="text1"/>
          <w:sz w:val="16"/>
          <w:szCs w:val="16"/>
        </w:rPr>
        <w:softHyphen/>
        <w:t>можны по причине больших скоростей. Основным методом борьбы с ними при сопровождении бомбардировщиков и штурмовиков будет отсечение. Стрельба по ним должна вестись с увеличенным упреждением.</w:t>
      </w:r>
    </w:p>
    <w:p w14:paraId="01F27ED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Мне кажется, что для борьбы с новым типом самолета противника нужно выде</w:t>
      </w:r>
      <w:r w:rsidRPr="00F90EAE">
        <w:rPr>
          <w:rFonts w:ascii="Times New Roman" w:hAnsi="Times New Roman" w:cs="Times New Roman"/>
          <w:color w:val="000000" w:themeColor="text1"/>
          <w:sz w:val="16"/>
          <w:szCs w:val="16"/>
        </w:rPr>
        <w:softHyphen/>
        <w:t>лять специальные группы, которые долж</w:t>
      </w:r>
      <w:r w:rsidRPr="00F90EAE">
        <w:rPr>
          <w:rFonts w:ascii="Times New Roman" w:hAnsi="Times New Roman" w:cs="Times New Roman"/>
          <w:color w:val="000000" w:themeColor="text1"/>
          <w:sz w:val="16"/>
          <w:szCs w:val="16"/>
        </w:rPr>
        <w:softHyphen/>
        <w:t>ны ловить их в момент, когда они ходят на обычной скорости без включения реак</w:t>
      </w:r>
      <w:r w:rsidRPr="00F90EAE">
        <w:rPr>
          <w:rFonts w:ascii="Times New Roman" w:hAnsi="Times New Roman" w:cs="Times New Roman"/>
          <w:color w:val="000000" w:themeColor="text1"/>
          <w:sz w:val="16"/>
          <w:szCs w:val="16"/>
        </w:rPr>
        <w:softHyphen/>
        <w:t>тивных двигателей. Такие группы должны состоять из пар, и не более четверки. Воз</w:t>
      </w:r>
      <w:r w:rsidRPr="00F90EAE">
        <w:rPr>
          <w:rFonts w:ascii="Times New Roman" w:hAnsi="Times New Roman" w:cs="Times New Roman"/>
          <w:color w:val="000000" w:themeColor="text1"/>
          <w:sz w:val="16"/>
          <w:szCs w:val="16"/>
        </w:rPr>
        <w:softHyphen/>
        <w:t>ложить эту задачу на наших истребителей, выполняющих задачу свободной охоты, нецелесообразно, так как они должны действовать по массовым целям, а не ис</w:t>
      </w:r>
      <w:r w:rsidRPr="00F90EAE">
        <w:rPr>
          <w:rFonts w:ascii="Times New Roman" w:hAnsi="Times New Roman" w:cs="Times New Roman"/>
          <w:color w:val="000000" w:themeColor="text1"/>
          <w:sz w:val="16"/>
          <w:szCs w:val="16"/>
        </w:rPr>
        <w:softHyphen/>
        <w:t>кать только одиночек. Это приведет к за</w:t>
      </w:r>
      <w:r w:rsidRPr="00F90EAE">
        <w:rPr>
          <w:rFonts w:ascii="Times New Roman" w:hAnsi="Times New Roman" w:cs="Times New Roman"/>
          <w:color w:val="000000" w:themeColor="text1"/>
          <w:sz w:val="16"/>
          <w:szCs w:val="16"/>
        </w:rPr>
        <w:softHyphen/>
        <w:t>трате больших средств и малому эффекту.</w:t>
      </w:r>
    </w:p>
    <w:p w14:paraId="4EF7AB08"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 Нужно иметь ввиду нашему летному составу возмож</w:t>
      </w:r>
      <w:r w:rsidRPr="00F90EAE">
        <w:rPr>
          <w:rFonts w:ascii="Times New Roman" w:hAnsi="Times New Roman" w:cs="Times New Roman"/>
          <w:color w:val="000000" w:themeColor="text1"/>
          <w:sz w:val="16"/>
          <w:szCs w:val="16"/>
        </w:rPr>
        <w:softHyphen/>
        <w:t>ность встреч с вражескими самолетами, буксирующими планеры-снаряды. В райо</w:t>
      </w:r>
      <w:r w:rsidRPr="00F90EAE">
        <w:rPr>
          <w:rFonts w:ascii="Times New Roman" w:hAnsi="Times New Roman" w:cs="Times New Roman"/>
          <w:color w:val="000000" w:themeColor="text1"/>
          <w:sz w:val="16"/>
          <w:szCs w:val="16"/>
        </w:rPr>
        <w:softHyphen/>
        <w:t>не ФРАНКФУРТА на днях наземными вой</w:t>
      </w:r>
      <w:r w:rsidRPr="00F90EAE">
        <w:rPr>
          <w:rFonts w:ascii="Times New Roman" w:hAnsi="Times New Roman" w:cs="Times New Roman"/>
          <w:color w:val="000000" w:themeColor="text1"/>
          <w:sz w:val="16"/>
          <w:szCs w:val="16"/>
        </w:rPr>
        <w:softHyphen/>
        <w:t>сками был замечен один такой случай, но до сих пор точно установить не удалось, что же именно буксировал самолет про</w:t>
      </w:r>
      <w:r w:rsidRPr="00F90EAE">
        <w:rPr>
          <w:rFonts w:ascii="Times New Roman" w:hAnsi="Times New Roman" w:cs="Times New Roman"/>
          <w:color w:val="000000" w:themeColor="text1"/>
          <w:sz w:val="16"/>
          <w:szCs w:val="16"/>
        </w:rPr>
        <w:softHyphen/>
        <w:t>тивника. На случай таких встреч нашим истребителям нужно знать, что он должен бить в первую очередь - самолет или бук</w:t>
      </w:r>
      <w:r w:rsidRPr="00F90EAE">
        <w:rPr>
          <w:rFonts w:ascii="Times New Roman" w:hAnsi="Times New Roman" w:cs="Times New Roman"/>
          <w:color w:val="000000" w:themeColor="text1"/>
          <w:sz w:val="16"/>
          <w:szCs w:val="16"/>
        </w:rPr>
        <w:softHyphen/>
        <w:t>сируемый им планер-снаряд? Думаю, что для каждого из нас ясно, что бить нужно самолет, тогда он и планер отцепит, т.е. сбросит его неприцельно.</w:t>
      </w:r>
    </w:p>
    <w:p w14:paraId="0E6937F7" w14:textId="77777777" w:rsidR="008C396C" w:rsidRPr="00F90EAE" w:rsidRDefault="008C396C" w:rsidP="00F90EAE">
      <w:pPr>
        <w:jc w:val="both"/>
        <w:rPr>
          <w:color w:val="000000" w:themeColor="text1"/>
          <w:sz w:val="16"/>
          <w:szCs w:val="16"/>
        </w:rPr>
      </w:pPr>
      <w:r w:rsidRPr="00F90EAE">
        <w:rPr>
          <w:color w:val="000000" w:themeColor="text1"/>
          <w:sz w:val="16"/>
          <w:szCs w:val="16"/>
        </w:rPr>
        <w:t>Полковник ВЛАСОВ. - Несколько слов о новых типах самолетов противни</w:t>
      </w:r>
      <w:r w:rsidRPr="00F90EAE">
        <w:rPr>
          <w:color w:val="000000" w:themeColor="text1"/>
          <w:sz w:val="16"/>
          <w:szCs w:val="16"/>
        </w:rPr>
        <w:softHyphen/>
        <w:t>ка. В настоящее время нам известны: ХЕ- 280 с максимальной скоростью 795-940 км, ХЕ-Т с максимальной скоростью 850- 900 км, ХЕ-219 со скоростью 725-750, АР- РАДО-234 - скорость 700-800 км, ФВ-10 и МЕ-163 со скоростью 800-850 км. Все они отличаются мощным вооружением. Запас горючего у них составляет до 70% с</w:t>
      </w:r>
      <w:r w:rsidRPr="00F90EAE">
        <w:rPr>
          <w:color w:val="000000" w:themeColor="text1"/>
          <w:sz w:val="16"/>
          <w:szCs w:val="16"/>
          <w:vertAlign w:val="superscript"/>
        </w:rPr>
        <w:t>-</w:t>
      </w:r>
      <w:r w:rsidRPr="00F90EAE">
        <w:rPr>
          <w:color w:val="000000" w:themeColor="text1"/>
          <w:sz w:val="16"/>
          <w:szCs w:val="16"/>
        </w:rPr>
        <w:t xml:space="preserve"> общего веса самолета. Эти самолеты по существу дальние истребители и разведчи ки. Реактивные моторы в работе ограничены, так как расходуют много горючего и снижают радиус действий и время полета. Пользуется им противник для того, чтобы нагнать наши самолеты, а при грозящей опасности быстро уйти от них.</w:t>
      </w:r>
    </w:p>
    <w:p w14:paraId="7594B1FA"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Здесь говорили о лобовой атаке. Применение ее, конечно, весьма сложно, но применять ее все же нужно только с расчетом. Лобовая атака нужна снизу, с прямой - не может быть и речи, учитывая мощно нооружение вражеских самолетов.</w:t>
      </w:r>
    </w:p>
    <w:p w14:paraId="647CCD5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Наш прицел вполне позволяет ведение прицельного огня по скоростным самолетам противника при грамотном пользовании им. В расчетах нужно принимать во внимание скорость (среднюю) наших самолетов, скорость самолета противника и скорость полета снаряда: В соотношении с этими данными нетрудно построить расчет для стрельбы по скоростным самолетам с разных дистанций. Правы те, кто утверждал, -что высшая вероятность попаданий может быть достигнута при атаках под углом, не превышающим 2/4. Для облегчения п'роизводства расчетов привожу таблицу, которой следует пользоваться личному составу. Максимальной дистанцией стрельбы считаю 500 метров. Это не значит, что не нужно бить противника с больших дистанций, но для этого нужно научить летный состав стрелять на дистанции, превышающие 500 метров. Как известно, вероятность попаданий при этом снижается.</w:t>
      </w:r>
    </w:p>
    <w:p w14:paraId="22DD5BE4"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Но главное состоит в том, чтобы состав непрерывно тренировался в применени прицела и стрельбе. Это повышеет меткость и тем самым повышает вероятность поражения и скоростных самолетов противника.</w:t>
      </w:r>
    </w:p>
    <w:p w14:paraId="211B0DE6"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ЗАКЛЮЧИТЕЛЬНОЕ СЛОВО КОМАНДУЮЩЕГО 16 В.А. - Я ставил своей задачей при помощи вас, лучших истребителей Армии, найти эффективные способы и методы борьбы со скоростными самолетами противника. Сегодня еще полностью этого сделать не удалось, и многие вопросы остаются еще нерешенными и наши выводы по ним строятся на предположениях. Причиной этому является малое количество встреч с новыми самолетами самолетов противника и отсутстствие в наших руках сбитого экземпляра.</w:t>
      </w:r>
    </w:p>
    <w:p w14:paraId="25F102C1" w14:textId="77777777" w:rsidR="008C396C" w:rsidRPr="00F90EAE" w:rsidRDefault="008C396C" w:rsidP="00F90EAE">
      <w:pPr>
        <w:pStyle w:val="11b"/>
        <w:shd w:val="clear" w:color="auto" w:fill="auto"/>
        <w:tabs>
          <w:tab w:val="left" w:pos="132"/>
        </w:tabs>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Если собьем хоть один из них, тогда мы смож ем говорить более конкретно. Таким образом, окончательное решение вопроса ект, но его еще нужно найти.</w:t>
      </w:r>
    </w:p>
    <w:p w14:paraId="2A03638E"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Из выступлений видно, что наши истребители над вопросом борьбы со скоростными самолетами противника уже работают. Нужно через вас добиться та</w:t>
      </w:r>
      <w:r w:rsidRPr="00F90EAE">
        <w:rPr>
          <w:rFonts w:ascii="Times New Roman" w:hAnsi="Times New Roman" w:cs="Times New Roman"/>
          <w:color w:val="000000" w:themeColor="text1"/>
          <w:sz w:val="16"/>
          <w:szCs w:val="16"/>
        </w:rPr>
        <w:softHyphen/>
        <w:t>кого положения, чтобы в частях этот вопрос был широко обсужден всем летным составом. Соответствующее указание я дам нашим командирам и возможно, еще с ними проведу совещание и занятие по этому вопросу.</w:t>
      </w:r>
    </w:p>
    <w:p w14:paraId="5F0F1653"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Подытоживая работу совещания, нужно сказать, что большинство выступающих сходится в том, что противник на скоро</w:t>
      </w:r>
      <w:r w:rsidRPr="00F90EAE">
        <w:rPr>
          <w:rFonts w:ascii="Times New Roman" w:hAnsi="Times New Roman" w:cs="Times New Roman"/>
          <w:color w:val="000000" w:themeColor="text1"/>
          <w:sz w:val="16"/>
          <w:szCs w:val="16"/>
        </w:rPr>
        <w:softHyphen/>
        <w:t>стях порядка 750-800 километров ходить постоянно не будет (исходя из тактико- технических данных самолета и характе</w:t>
      </w:r>
      <w:r w:rsidRPr="00F90EAE">
        <w:rPr>
          <w:rFonts w:ascii="Times New Roman" w:hAnsi="Times New Roman" w:cs="Times New Roman"/>
          <w:color w:val="000000" w:themeColor="text1"/>
          <w:sz w:val="16"/>
          <w:szCs w:val="16"/>
        </w:rPr>
        <w:softHyphen/>
        <w:t>ра применения). Ходить он будет часто на скоростях порядка 500-600 километров, что и следует использовать для внезапных атак и уничтожения их.</w:t>
      </w:r>
    </w:p>
    <w:p w14:paraId="60D862E4"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Применение противником самолетов с реактивными двигателями исходит из общего хода воздушной войны на дан</w:t>
      </w:r>
      <w:r w:rsidRPr="00F90EAE">
        <w:rPr>
          <w:rFonts w:ascii="Times New Roman" w:hAnsi="Times New Roman" w:cs="Times New Roman"/>
          <w:color w:val="000000" w:themeColor="text1"/>
          <w:sz w:val="16"/>
          <w:szCs w:val="16"/>
        </w:rPr>
        <w:softHyphen/>
        <w:t>ном этапе. Противник перешел к обороне, он ищет средство, при помощи которого такую оборону можно сделать более эф</w:t>
      </w:r>
      <w:r w:rsidRPr="00F90EAE">
        <w:rPr>
          <w:rFonts w:ascii="Times New Roman" w:hAnsi="Times New Roman" w:cs="Times New Roman"/>
          <w:color w:val="000000" w:themeColor="text1"/>
          <w:sz w:val="16"/>
          <w:szCs w:val="16"/>
        </w:rPr>
        <w:softHyphen/>
        <w:t>фективной. Ясно, что новый тип самолета повышенной скорости будет применяться для быстрого настижения цели в момент атаки, и такого же ухода от нее при грозя</w:t>
      </w:r>
      <w:r w:rsidRPr="00F90EAE">
        <w:rPr>
          <w:rFonts w:ascii="Times New Roman" w:hAnsi="Times New Roman" w:cs="Times New Roman"/>
          <w:color w:val="000000" w:themeColor="text1"/>
          <w:sz w:val="16"/>
          <w:szCs w:val="16"/>
        </w:rPr>
        <w:softHyphen/>
        <w:t>щей опасности.</w:t>
      </w:r>
    </w:p>
    <w:p w14:paraId="68569E84"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Мы находимся на Берлинском на</w:t>
      </w:r>
      <w:r w:rsidRPr="00F90EAE">
        <w:rPr>
          <w:rFonts w:ascii="Times New Roman" w:hAnsi="Times New Roman" w:cs="Times New Roman"/>
          <w:color w:val="000000" w:themeColor="text1"/>
          <w:sz w:val="16"/>
          <w:szCs w:val="16"/>
        </w:rPr>
        <w:softHyphen/>
        <w:t>правлении, и поэтому весьма вероятно, что всё новейшее, чем располагает про</w:t>
      </w:r>
      <w:r w:rsidRPr="00F90EAE">
        <w:rPr>
          <w:rFonts w:ascii="Times New Roman" w:hAnsi="Times New Roman" w:cs="Times New Roman"/>
          <w:color w:val="000000" w:themeColor="text1"/>
          <w:sz w:val="16"/>
          <w:szCs w:val="16"/>
        </w:rPr>
        <w:softHyphen/>
        <w:t>тивник, а в данном случае скоростные са</w:t>
      </w:r>
      <w:r w:rsidRPr="00F90EAE">
        <w:rPr>
          <w:rFonts w:ascii="Times New Roman" w:hAnsi="Times New Roman" w:cs="Times New Roman"/>
          <w:color w:val="000000" w:themeColor="text1"/>
          <w:sz w:val="16"/>
          <w:szCs w:val="16"/>
        </w:rPr>
        <w:softHyphen/>
        <w:t>молеты он применит против нас.</w:t>
      </w:r>
    </w:p>
    <w:p w14:paraId="5E0C180D"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всей видимости, скоростные са</w:t>
      </w:r>
      <w:r w:rsidRPr="00F90EAE">
        <w:rPr>
          <w:rFonts w:ascii="Times New Roman" w:hAnsi="Times New Roman" w:cs="Times New Roman"/>
          <w:color w:val="000000" w:themeColor="text1"/>
          <w:sz w:val="16"/>
          <w:szCs w:val="16"/>
        </w:rPr>
        <w:softHyphen/>
        <w:t>молеты противника предназначены для борьбы главным образом с бомбарди</w:t>
      </w:r>
      <w:r w:rsidRPr="00F90EAE">
        <w:rPr>
          <w:rFonts w:ascii="Times New Roman" w:hAnsi="Times New Roman" w:cs="Times New Roman"/>
          <w:color w:val="000000" w:themeColor="text1"/>
          <w:sz w:val="16"/>
          <w:szCs w:val="16"/>
        </w:rPr>
        <w:softHyphen/>
        <w:t>ровщиками и штурмовиками. Поэтому ис</w:t>
      </w:r>
      <w:r w:rsidRPr="00F90EAE">
        <w:rPr>
          <w:rFonts w:ascii="Times New Roman" w:hAnsi="Times New Roman" w:cs="Times New Roman"/>
          <w:color w:val="000000" w:themeColor="text1"/>
          <w:sz w:val="16"/>
          <w:szCs w:val="16"/>
        </w:rPr>
        <w:softHyphen/>
        <w:t>требители сопровождения должны более тщательно подумать о тактике своих дей</w:t>
      </w:r>
      <w:r w:rsidRPr="00F90EAE">
        <w:rPr>
          <w:rFonts w:ascii="Times New Roman" w:hAnsi="Times New Roman" w:cs="Times New Roman"/>
          <w:color w:val="000000" w:themeColor="text1"/>
          <w:sz w:val="16"/>
          <w:szCs w:val="16"/>
        </w:rPr>
        <w:softHyphen/>
        <w:t>ствий с учетом применения противником скоростных самолетов.</w:t>
      </w:r>
    </w:p>
    <w:p w14:paraId="11038C5B"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Возможно применение групп ско</w:t>
      </w:r>
      <w:r w:rsidRPr="00F90EAE">
        <w:rPr>
          <w:rFonts w:ascii="Times New Roman" w:hAnsi="Times New Roman" w:cs="Times New Roman"/>
          <w:color w:val="000000" w:themeColor="text1"/>
          <w:sz w:val="16"/>
          <w:szCs w:val="16"/>
        </w:rPr>
        <w:softHyphen/>
        <w:t>ростных самолетов, но действовать они будут одиночками.</w:t>
      </w:r>
    </w:p>
    <w:p w14:paraId="502C4C89"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согласен с выдвинутыми предложе</w:t>
      </w:r>
      <w:r w:rsidRPr="00F90EAE">
        <w:rPr>
          <w:rFonts w:ascii="Times New Roman" w:hAnsi="Times New Roman" w:cs="Times New Roman"/>
          <w:color w:val="000000" w:themeColor="text1"/>
          <w:sz w:val="16"/>
          <w:szCs w:val="16"/>
        </w:rPr>
        <w:softHyphen/>
        <w:t>ниями о действиях наших истребителей при сопровождении бомбардировщиков и штурмовиков, а также при выполнении задач свободной охоты. Нужно дать про</w:t>
      </w:r>
      <w:r w:rsidRPr="00F90EAE">
        <w:rPr>
          <w:rFonts w:ascii="Times New Roman" w:hAnsi="Times New Roman" w:cs="Times New Roman"/>
          <w:color w:val="000000" w:themeColor="text1"/>
          <w:sz w:val="16"/>
          <w:szCs w:val="16"/>
        </w:rPr>
        <w:softHyphen/>
        <w:t>тивнику почувствовать, что за ним следят. Тщательно изучать его нужно при каждой встрече, и во всех случаях ставить своей задачей уничтожение скоростных самоле</w:t>
      </w:r>
      <w:r w:rsidRPr="00F90EAE">
        <w:rPr>
          <w:rFonts w:ascii="Times New Roman" w:hAnsi="Times New Roman" w:cs="Times New Roman"/>
          <w:color w:val="000000" w:themeColor="text1"/>
          <w:sz w:val="16"/>
          <w:szCs w:val="16"/>
        </w:rPr>
        <w:softHyphen/>
        <w:t>тов. Это собьет спесь с немцев и не даст им возможности действовать безнаказанно.</w:t>
      </w:r>
    </w:p>
    <w:p w14:paraId="4E80F691"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Не следует думать, что единственным средством борьбы с новыми типами само</w:t>
      </w:r>
      <w:r w:rsidRPr="00F90EAE">
        <w:rPr>
          <w:rFonts w:ascii="Times New Roman" w:hAnsi="Times New Roman" w:cs="Times New Roman"/>
          <w:color w:val="000000" w:themeColor="text1"/>
          <w:sz w:val="16"/>
          <w:szCs w:val="16"/>
        </w:rPr>
        <w:softHyphen/>
        <w:t>летов противника являются только наши истребители. Огонь стрелков ПЕ-2 и ИЛ-2 во взаимодействии с огнем истребителей должны по-прежнему являться могучим средством уничтожения противника. Не следует также думать, что для борьбы с новым типом самолета противника нужен особый наш самолет. Бороться нам нужно будет с противником имеющейся у нас прекрасной матчастью, а не специальны</w:t>
      </w:r>
      <w:r w:rsidRPr="00F90EAE">
        <w:rPr>
          <w:rFonts w:ascii="Times New Roman" w:hAnsi="Times New Roman" w:cs="Times New Roman"/>
          <w:color w:val="000000" w:themeColor="text1"/>
          <w:sz w:val="16"/>
          <w:szCs w:val="16"/>
        </w:rPr>
        <w:softHyphen/>
        <w:t>ми самолетами. В этом пока нет никакой необходимости, ибо скоростные самолеты противника - одиночки, и вряд ли он смо</w:t>
      </w:r>
      <w:r w:rsidRPr="00F90EAE">
        <w:rPr>
          <w:rFonts w:ascii="Times New Roman" w:hAnsi="Times New Roman" w:cs="Times New Roman"/>
          <w:color w:val="000000" w:themeColor="text1"/>
          <w:sz w:val="16"/>
          <w:szCs w:val="16"/>
        </w:rPr>
        <w:softHyphen/>
        <w:t>жет применить их массово.</w:t>
      </w:r>
    </w:p>
    <w:p w14:paraId="447FE780"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Нужно принять за основу все выска</w:t>
      </w:r>
      <w:r w:rsidRPr="00F90EAE">
        <w:rPr>
          <w:rFonts w:ascii="Times New Roman" w:hAnsi="Times New Roman" w:cs="Times New Roman"/>
          <w:color w:val="000000" w:themeColor="text1"/>
          <w:sz w:val="16"/>
          <w:szCs w:val="16"/>
        </w:rPr>
        <w:softHyphen/>
        <w:t>зывания здесь выступающих по вопросам борьбы с новым типом вражеских самоле</w:t>
      </w:r>
      <w:r w:rsidRPr="00F90EAE">
        <w:rPr>
          <w:rFonts w:ascii="Times New Roman" w:hAnsi="Times New Roman" w:cs="Times New Roman"/>
          <w:color w:val="000000" w:themeColor="text1"/>
          <w:sz w:val="16"/>
          <w:szCs w:val="16"/>
        </w:rPr>
        <w:softHyphen/>
        <w:t>тов.</w:t>
      </w:r>
    </w:p>
    <w:p w14:paraId="79E0F6A2"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Нужно также принять к руководству выступление полковника ВЛАСОВА, боль</w:t>
      </w:r>
      <w:r w:rsidRPr="00F90EAE">
        <w:rPr>
          <w:rFonts w:ascii="Times New Roman" w:hAnsi="Times New Roman" w:cs="Times New Roman"/>
          <w:color w:val="000000" w:themeColor="text1"/>
          <w:sz w:val="16"/>
          <w:szCs w:val="16"/>
        </w:rPr>
        <w:softHyphen/>
        <w:t>ше внимания нужно уделить прицелу и умению пользования им. Наше оружие - пушки, очень точного боя, и при гра</w:t>
      </w:r>
      <w:r w:rsidRPr="00F90EAE">
        <w:rPr>
          <w:rFonts w:ascii="Times New Roman" w:hAnsi="Times New Roman" w:cs="Times New Roman"/>
          <w:color w:val="000000" w:themeColor="text1"/>
          <w:sz w:val="16"/>
          <w:szCs w:val="16"/>
        </w:rPr>
        <w:softHyphen/>
        <w:t>мотном пользовании прицелом вы всегда сможете бить противника наверняка. На</w:t>
      </w:r>
      <w:r w:rsidRPr="00F90EAE">
        <w:rPr>
          <w:rFonts w:ascii="Times New Roman" w:hAnsi="Times New Roman" w:cs="Times New Roman"/>
          <w:color w:val="000000" w:themeColor="text1"/>
          <w:sz w:val="16"/>
          <w:szCs w:val="16"/>
        </w:rPr>
        <w:softHyphen/>
        <w:t>ибольшую вероятность попадания обес</w:t>
      </w:r>
      <w:r w:rsidRPr="00F90EAE">
        <w:rPr>
          <w:rFonts w:ascii="Times New Roman" w:hAnsi="Times New Roman" w:cs="Times New Roman"/>
          <w:color w:val="000000" w:themeColor="text1"/>
          <w:sz w:val="16"/>
          <w:szCs w:val="16"/>
        </w:rPr>
        <w:softHyphen/>
        <w:t>печивает ведение огня с дистанции 100- 300 метров, но нужно также вести огонь на дистанции 500-800 метров, особенно в случаях ухода самолета противника (бить вдогонку). На больших дистанциях веро</w:t>
      </w:r>
      <w:r w:rsidRPr="00F90EAE">
        <w:rPr>
          <w:rFonts w:ascii="Times New Roman" w:hAnsi="Times New Roman" w:cs="Times New Roman"/>
          <w:color w:val="000000" w:themeColor="text1"/>
          <w:sz w:val="16"/>
          <w:szCs w:val="16"/>
        </w:rPr>
        <w:softHyphen/>
        <w:t>ятность попадания весьма незначительна, но однако ею не следует пренебрегать, если эта вероятность даже составляет не</w:t>
      </w:r>
      <w:r w:rsidRPr="00F90EAE">
        <w:rPr>
          <w:rFonts w:ascii="Times New Roman" w:hAnsi="Times New Roman" w:cs="Times New Roman"/>
          <w:color w:val="000000" w:themeColor="text1"/>
          <w:sz w:val="16"/>
          <w:szCs w:val="16"/>
        </w:rPr>
        <w:softHyphen/>
        <w:t>значительную долю процента. Натрениро</w:t>
      </w:r>
      <w:r w:rsidRPr="00F90EAE">
        <w:rPr>
          <w:rFonts w:ascii="Times New Roman" w:hAnsi="Times New Roman" w:cs="Times New Roman"/>
          <w:color w:val="000000" w:themeColor="text1"/>
          <w:sz w:val="16"/>
          <w:szCs w:val="16"/>
        </w:rPr>
        <w:softHyphen/>
        <w:t>ванный истребитель нередко может пора</w:t>
      </w:r>
      <w:r w:rsidRPr="00F90EAE">
        <w:rPr>
          <w:rFonts w:ascii="Times New Roman" w:hAnsi="Times New Roman" w:cs="Times New Roman"/>
          <w:color w:val="000000" w:themeColor="text1"/>
          <w:sz w:val="16"/>
          <w:szCs w:val="16"/>
        </w:rPr>
        <w:softHyphen/>
        <w:t>зить цель и в таких случаях.</w:t>
      </w:r>
    </w:p>
    <w:p w14:paraId="46629C96"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вопросе прикрытия бомбардиров</w:t>
      </w:r>
      <w:r w:rsidRPr="00F90EAE">
        <w:rPr>
          <w:rFonts w:ascii="Times New Roman" w:hAnsi="Times New Roman" w:cs="Times New Roman"/>
          <w:color w:val="000000" w:themeColor="text1"/>
          <w:sz w:val="16"/>
          <w:szCs w:val="16"/>
        </w:rPr>
        <w:softHyphen/>
        <w:t>щиков и штурмовиков нашим истребите</w:t>
      </w:r>
      <w:r w:rsidRPr="00F90EAE">
        <w:rPr>
          <w:rFonts w:ascii="Times New Roman" w:hAnsi="Times New Roman" w:cs="Times New Roman"/>
          <w:color w:val="000000" w:themeColor="text1"/>
          <w:sz w:val="16"/>
          <w:szCs w:val="16"/>
        </w:rPr>
        <w:softHyphen/>
        <w:t>лям нужно выработать два варианта: защи</w:t>
      </w:r>
      <w:r w:rsidRPr="00F90EAE">
        <w:rPr>
          <w:rFonts w:ascii="Times New Roman" w:hAnsi="Times New Roman" w:cs="Times New Roman"/>
          <w:color w:val="000000" w:themeColor="text1"/>
          <w:sz w:val="16"/>
          <w:szCs w:val="16"/>
        </w:rPr>
        <w:softHyphen/>
        <w:t>та от обычных истребителей противника, и скоростных самолетов. В последнем слу</w:t>
      </w:r>
      <w:r w:rsidRPr="00F90EAE">
        <w:rPr>
          <w:rFonts w:ascii="Times New Roman" w:hAnsi="Times New Roman" w:cs="Times New Roman"/>
          <w:color w:val="000000" w:themeColor="text1"/>
          <w:sz w:val="16"/>
          <w:szCs w:val="16"/>
        </w:rPr>
        <w:softHyphen/>
        <w:t>чае прикрытие должно быть построено для защиты всей сферы. Пара истребителей впереди группы бомбардировщиков или штурмовиков должна иметь задачу бить противника на выходе из атаки.</w:t>
      </w:r>
    </w:p>
    <w:p w14:paraId="501E0A85"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Пользуясь случаем, обращаю ваше внимание на более тщательное изучение силуэтов самолетов союзников. В нынеш</w:t>
      </w:r>
      <w:r w:rsidRPr="00F90EAE">
        <w:rPr>
          <w:rFonts w:ascii="Times New Roman" w:hAnsi="Times New Roman" w:cs="Times New Roman"/>
          <w:color w:val="000000" w:themeColor="text1"/>
          <w:sz w:val="16"/>
          <w:szCs w:val="16"/>
        </w:rPr>
        <w:softHyphen/>
        <w:t>ней обстановке с ними встречи весьма возможны, так как они очень часто и в большом количестве летают в район БЕР</w:t>
      </w:r>
      <w:r w:rsidRPr="00F90EAE">
        <w:rPr>
          <w:rFonts w:ascii="Times New Roman" w:hAnsi="Times New Roman" w:cs="Times New Roman"/>
          <w:color w:val="000000" w:themeColor="text1"/>
          <w:sz w:val="16"/>
          <w:szCs w:val="16"/>
        </w:rPr>
        <w:softHyphen/>
        <w:t>ЛИНА. Незнание силуэтов может привести к неприятности - наши истребители могут завязать бой союзниками только по незна</w:t>
      </w:r>
      <w:r w:rsidRPr="00F90EAE">
        <w:rPr>
          <w:rFonts w:ascii="Times New Roman" w:hAnsi="Times New Roman" w:cs="Times New Roman"/>
          <w:color w:val="000000" w:themeColor="text1"/>
          <w:sz w:val="16"/>
          <w:szCs w:val="16"/>
        </w:rPr>
        <w:softHyphen/>
        <w:t>нию силуэтов их самолетов.</w:t>
      </w:r>
    </w:p>
    <w:p w14:paraId="2B867CF7"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приму меры к тому, чтобы союзни</w:t>
      </w:r>
      <w:r w:rsidRPr="00F90EAE">
        <w:rPr>
          <w:rFonts w:ascii="Times New Roman" w:hAnsi="Times New Roman" w:cs="Times New Roman"/>
          <w:color w:val="000000" w:themeColor="text1"/>
          <w:sz w:val="16"/>
          <w:szCs w:val="16"/>
        </w:rPr>
        <w:softHyphen/>
        <w:t>ки, выполняющие задачи в районе БЕРЛИ</w:t>
      </w:r>
      <w:r w:rsidRPr="00F90EAE">
        <w:rPr>
          <w:rFonts w:ascii="Times New Roman" w:hAnsi="Times New Roman" w:cs="Times New Roman"/>
          <w:color w:val="000000" w:themeColor="text1"/>
          <w:sz w:val="16"/>
          <w:szCs w:val="16"/>
        </w:rPr>
        <w:softHyphen/>
        <w:t>НА и восточнее его, кроме всего прочего, пользовались каким-то условным знаком «я свой», но это вовсе не означает, что силуэты этих самолетов не должны быть изучены. За последний период у нас про</w:t>
      </w:r>
      <w:r w:rsidRPr="00F90EAE">
        <w:rPr>
          <w:rFonts w:ascii="Times New Roman" w:hAnsi="Times New Roman" w:cs="Times New Roman"/>
          <w:color w:val="000000" w:themeColor="text1"/>
          <w:sz w:val="16"/>
          <w:szCs w:val="16"/>
        </w:rPr>
        <w:softHyphen/>
        <w:t>извели посадку немало подбитых самоле</w:t>
      </w:r>
      <w:r w:rsidRPr="00F90EAE">
        <w:rPr>
          <w:rFonts w:ascii="Times New Roman" w:hAnsi="Times New Roman" w:cs="Times New Roman"/>
          <w:color w:val="000000" w:themeColor="text1"/>
          <w:sz w:val="16"/>
          <w:szCs w:val="16"/>
        </w:rPr>
        <w:softHyphen/>
        <w:t>тов англичан и американцев при действи</w:t>
      </w:r>
      <w:r w:rsidRPr="00F90EAE">
        <w:rPr>
          <w:rFonts w:ascii="Times New Roman" w:hAnsi="Times New Roman" w:cs="Times New Roman"/>
          <w:color w:val="000000" w:themeColor="text1"/>
          <w:sz w:val="16"/>
          <w:szCs w:val="16"/>
        </w:rPr>
        <w:softHyphen/>
        <w:t>ях в районе БЕРЛИНА, и такое положение может иметь место и в будущем.</w:t>
      </w:r>
    </w:p>
    <w:p w14:paraId="6174D1BE"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Я прихожу к выводу, что в результате совещания мы находимся на правильном пути в разрешении вопроса борьбы с вра</w:t>
      </w:r>
      <w:r w:rsidRPr="00F90EAE">
        <w:rPr>
          <w:rFonts w:ascii="Times New Roman" w:hAnsi="Times New Roman" w:cs="Times New Roman"/>
          <w:color w:val="000000" w:themeColor="text1"/>
          <w:sz w:val="16"/>
          <w:szCs w:val="16"/>
        </w:rPr>
        <w:softHyphen/>
        <w:t>жескими скоростными самолетами. Наша матчасть для выполнения этой задачи вполне подходит. Действия скоростных вражеских самолетов не должны застать нас врасплох. Обстановку нужно оцени</w:t>
      </w:r>
      <w:r w:rsidRPr="00F90EAE">
        <w:rPr>
          <w:rFonts w:ascii="Times New Roman" w:hAnsi="Times New Roman" w:cs="Times New Roman"/>
          <w:color w:val="000000" w:themeColor="text1"/>
          <w:sz w:val="16"/>
          <w:szCs w:val="16"/>
        </w:rPr>
        <w:softHyphen/>
        <w:t>вать трезво и правильно. Переоценка этих самолетов противника, так же, как и недо</w:t>
      </w:r>
      <w:r w:rsidRPr="00F90EAE">
        <w:rPr>
          <w:rFonts w:ascii="Times New Roman" w:hAnsi="Times New Roman" w:cs="Times New Roman"/>
          <w:color w:val="000000" w:themeColor="text1"/>
          <w:sz w:val="16"/>
          <w:szCs w:val="16"/>
        </w:rPr>
        <w:softHyphen/>
        <w:t>оценка их будет одинаково вредна.</w:t>
      </w:r>
    </w:p>
    <w:p w14:paraId="599F40D6" w14:textId="77777777" w:rsidR="008C396C" w:rsidRPr="00F90EAE" w:rsidRDefault="008C396C"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Обязываю вас доносить мне немед</w:t>
      </w:r>
      <w:r w:rsidRPr="00F90EAE">
        <w:rPr>
          <w:rFonts w:ascii="Times New Roman" w:hAnsi="Times New Roman" w:cs="Times New Roman"/>
          <w:color w:val="000000" w:themeColor="text1"/>
          <w:sz w:val="16"/>
          <w:szCs w:val="16"/>
        </w:rPr>
        <w:softHyphen/>
        <w:t>ленно о каждой встрече с новыми типами самолетов противника и тем более о сбитии их.</w:t>
      </w:r>
    </w:p>
    <w:p w14:paraId="4D873146" w14:textId="77777777" w:rsidR="008C396C" w:rsidRPr="00F90EAE" w:rsidRDefault="008C396C" w:rsidP="00F90EAE">
      <w:pPr>
        <w:jc w:val="both"/>
        <w:rPr>
          <w:color w:val="000000" w:themeColor="text1"/>
          <w:sz w:val="16"/>
          <w:szCs w:val="16"/>
          <w:lang w:val="en-US"/>
        </w:rPr>
      </w:pPr>
      <w:r w:rsidRPr="00F90EAE">
        <w:rPr>
          <w:color w:val="000000" w:themeColor="text1"/>
          <w:sz w:val="16"/>
          <w:szCs w:val="16"/>
          <w:lang w:val="en-US"/>
        </w:rPr>
        <w:t>/</w:t>
      </w:r>
      <w:r w:rsidRPr="00F90EAE">
        <w:rPr>
          <w:color w:val="000000" w:themeColor="text1"/>
          <w:sz w:val="16"/>
          <w:szCs w:val="16"/>
        </w:rPr>
        <w:t>Записал</w:t>
      </w:r>
      <w:r w:rsidRPr="00F90EAE">
        <w:rPr>
          <w:color w:val="000000" w:themeColor="text1"/>
          <w:sz w:val="16"/>
          <w:szCs w:val="16"/>
          <w:lang w:val="en-US"/>
        </w:rPr>
        <w:t xml:space="preserve"> </w:t>
      </w:r>
      <w:r w:rsidRPr="00F90EAE">
        <w:rPr>
          <w:color w:val="000000" w:themeColor="text1"/>
          <w:sz w:val="16"/>
          <w:szCs w:val="16"/>
        </w:rPr>
        <w:t>Гв</w:t>
      </w:r>
      <w:r w:rsidRPr="00F90EAE">
        <w:rPr>
          <w:color w:val="000000" w:themeColor="text1"/>
          <w:sz w:val="16"/>
          <w:szCs w:val="16"/>
          <w:lang w:val="en-US"/>
        </w:rPr>
        <w:t xml:space="preserve">. </w:t>
      </w:r>
      <w:r w:rsidRPr="00F90EAE">
        <w:rPr>
          <w:color w:val="000000" w:themeColor="text1"/>
          <w:sz w:val="16"/>
          <w:szCs w:val="16"/>
        </w:rPr>
        <w:t>подполковник</w:t>
      </w:r>
      <w:r w:rsidRPr="00F90EAE">
        <w:rPr>
          <w:color w:val="000000" w:themeColor="text1"/>
          <w:sz w:val="16"/>
          <w:szCs w:val="16"/>
          <w:lang w:val="en-US"/>
        </w:rPr>
        <w:t xml:space="preserve"> </w:t>
      </w:r>
      <w:r w:rsidRPr="00F90EAE">
        <w:rPr>
          <w:color w:val="000000" w:themeColor="text1"/>
          <w:sz w:val="16"/>
          <w:szCs w:val="16"/>
        </w:rPr>
        <w:t>РОМАНЕНКО</w:t>
      </w:r>
      <w:r w:rsidRPr="00F90EAE">
        <w:rPr>
          <w:color w:val="000000" w:themeColor="text1"/>
          <w:sz w:val="16"/>
          <w:szCs w:val="16"/>
          <w:lang w:val="en-US"/>
        </w:rPr>
        <w:t xml:space="preserve"> (19082).</w:t>
      </w:r>
    </w:p>
    <w:p w14:paraId="567A3AF9" w14:textId="77777777" w:rsidR="008C396C" w:rsidRPr="00F90EAE" w:rsidRDefault="008C396C" w:rsidP="00F90EAE">
      <w:pPr>
        <w:jc w:val="both"/>
        <w:rPr>
          <w:color w:val="000000" w:themeColor="text1"/>
          <w:sz w:val="16"/>
          <w:szCs w:val="16"/>
          <w:lang w:val="en-US"/>
        </w:rPr>
      </w:pPr>
    </w:p>
    <w:p w14:paraId="2A35358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26, 1945: Heeresgruppe Kurland repulses heavy Soviet attacks in the area of Prekuln. In the West, the attacks by the US Ninth Army into the Hurtgen Forest make little progress (3819).</w:t>
      </w:r>
    </w:p>
    <w:p w14:paraId="56544CEB" w14:textId="77777777" w:rsidR="00665165" w:rsidRPr="00F90EAE" w:rsidRDefault="00665165" w:rsidP="00F90EAE">
      <w:pPr>
        <w:autoSpaceDE w:val="0"/>
        <w:autoSpaceDN w:val="0"/>
        <w:adjustRightInd w:val="0"/>
        <w:jc w:val="both"/>
        <w:rPr>
          <w:color w:val="000000" w:themeColor="text1"/>
          <w:sz w:val="16"/>
          <w:szCs w:val="16"/>
          <w:lang w:val="en-US"/>
        </w:rPr>
      </w:pPr>
    </w:p>
    <w:p w14:paraId="7B17C6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Группа Курляндия отбила атаки КА на Прекульн. На западе 9А в Хуртгенском лесу не смогла добиться удачи (3819).</w:t>
      </w:r>
    </w:p>
    <w:p w14:paraId="5A2296D6" w14:textId="77777777" w:rsidR="00665165" w:rsidRPr="00F90EAE" w:rsidRDefault="00665165" w:rsidP="00F90EAE">
      <w:pPr>
        <w:autoSpaceDE w:val="0"/>
        <w:autoSpaceDN w:val="0"/>
        <w:adjustRightInd w:val="0"/>
        <w:jc w:val="both"/>
        <w:rPr>
          <w:color w:val="000000" w:themeColor="text1"/>
          <w:sz w:val="16"/>
          <w:szCs w:val="16"/>
        </w:rPr>
      </w:pPr>
    </w:p>
    <w:p w14:paraId="7C0165A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CA6D186" w14:textId="77777777" w:rsidR="00665165" w:rsidRPr="00F90EAE" w:rsidRDefault="00665165" w:rsidP="00F90EAE">
      <w:pPr>
        <w:autoSpaceDE w:val="0"/>
        <w:autoSpaceDN w:val="0"/>
        <w:adjustRightInd w:val="0"/>
        <w:jc w:val="both"/>
        <w:rPr>
          <w:iCs/>
          <w:color w:val="000000" w:themeColor="text1"/>
          <w:sz w:val="16"/>
          <w:szCs w:val="16"/>
        </w:rPr>
      </w:pPr>
    </w:p>
    <w:p w14:paraId="06C0F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Берия направил на имя Сталина справку на осужденную Военной коллегией Верховного суда СССР Е. И. Калинину (жену председателя ПВС), где сообщалось:</w:t>
      </w:r>
    </w:p>
    <w:p w14:paraId="33052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“Калинина Екатерина Ивановна, 1882 года рождения, уроженка города Вейсенштейна Эстонской ССР, эстонка, гражданка СССР, бывший член ВКП(б), по состоянию на 24 февраля 1945 года содержалась в Устьвымлаге НКВД (7560).</w:t>
      </w:r>
    </w:p>
    <w:p w14:paraId="67F788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Калинина Е. И. была арестована 25 октября 1938 года 2 отделом ГУГБ НКВД СССР по обвинению в антисоветской деятельности и связях с троцкистами и правыми (7560).</w:t>
      </w:r>
    </w:p>
    <w:p w14:paraId="1E4D29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Следствием установлено, что Калинина с 1929 года была организационно связана с участниками антисоветской вредительской и террористической организации правых и содействовала им в их антисоветской деятельности (7560).</w:t>
      </w:r>
    </w:p>
    <w:p w14:paraId="11330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Сблизившись с рядом враждебных ВКП(б) лиц: бывшим директором института советского права Мишель А. О., бывшим зам. директора Зернотреста Герчиковым М. Г., бывшим работником ГУГФ [Главное управление гражданского воздушного флота] Остроумовой В. П., бывшим работником ЦК ВКП(б) Островской Н. Ф. и другими участниками этой организации, осужденными впоследствии за правотроцкистскую деятельность, Калинина предоставляла им свою квартиру для контрреволюционных сборищ, на которых обсуждались вопросы антисоветской деятельности организации, направленные против политики и руководства ВКП(б) и Советского правительства. Имея тесное общение с Остроумовой В. П., информировала последнюю по вопросам секретного характера, что Остроумовой было использовано в шпионских целях. Работая с 1936 года членом Верховного Суда РСФСР, Калинина поддерживала связи с правыми; бывшими работниками Верхсуда Берман и бывшим работником института советского права Пашуканис (осуждены) (7560).</w:t>
      </w:r>
    </w:p>
    <w:p w14:paraId="6EC037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следствием установлено, что Калинина до 1924 года скрывала о том, что ее брат Лорберг Владимир (осужден) являлся агентом царской охранки (7560).</w:t>
      </w:r>
    </w:p>
    <w:p w14:paraId="5F1BB5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предъявленных обвинениях Калинина Е. И. виновной себя признала (7560).</w:t>
      </w:r>
    </w:p>
    <w:p w14:paraId="45202B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Осуждена Военной Коллегией Верховного Суда СССР 22 апреля 1939 года по статьям 17-58-6, 17-58-8 и 58-11 УК РСФСР к заключению в исправительно-трудовом лагере сроком на 15 лет с поражением в правах на 5 лет (7560).</w:t>
      </w:r>
    </w:p>
    <w:p w14:paraId="7E369F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Справка составлена по архивно-следственному делу” (7560).</w:t>
      </w:r>
    </w:p>
    <w:p w14:paraId="108253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сопроводительном письме Берия также указывал, что “от Калининой Е. И. в НКВД СССР заявления о пересмотре дела не поступало”. Но уже 9 мая последовало ее обращение на имя Сталина:</w:t>
      </w:r>
    </w:p>
    <w:p w14:paraId="72BFC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 Калинина Екатерина Ивановна, была арестована и осуждена по ст. 58 к заключению в ИТЛ в 1938 году сроком на 15 лет. Я совершила тяжелую ошибку, усугубленную тем, что Вы своевременно мне на нее указывали, а я эти указания не учла. Такое несознательное отношение к своему положению и к окружающим людям повлекло за собой тяжкие проступки, за которые я несу суровое наказание. Я полностью сознаю свою вину и глубоко раскаиваюсь. Эти проступки совершены мной не из сознательной враждебности, а из-за непонимания обстановки и некритического отношения к окружавшим меня людям. Уже несколько лет я нахожусь на полной инвалидности. Моя единственная надежда на Ваше великодушие: что Вы простите мне мои ошибки и проступки и дадите возможность провести остаток жизни у своих детей” (7560).</w:t>
      </w:r>
    </w:p>
    <w:p w14:paraId="433AD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датировано еще одно письмо, теперь в адрес первого заместителя председателя ПВС Н. М. Шверника:</w:t>
      </w:r>
    </w:p>
    <w:p w14:paraId="43BF79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 Калинина Екатерина Ивановна, рождения 1882 года, была арестована 25 октября 1938 года и осуждена по ст. 58 на 15 лет ИТЛ. Я совершила тяжкие проступки, за которые понесла суровое наказание. Я сознаю свою вину и глубоко раскаиваюсь. Но я никогда не была враждебна коммунистической партии и советской власти и эти проступки совершены мной несознательно. Сейчас мне 63 года. Уже несколько лет медицинской комиссией я переведена на полную инвалидность. Прошу Вас о снисхождении к моему искреннему раскаянию и тяжелому положению и о помиловании меня” (7560).</w:t>
      </w:r>
    </w:p>
    <w:p w14:paraId="23ADC7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мая нарком госбезопасности СССР В. Н. Меркулов направил это прошение Швернику. Письмо же от 9 мая поступило от Меркулова в ЦК ВКП(б), на имя А. Н. Поскребышева, лишь 5 июня. На нем появилась резолюция: “Т. Горкину. Нужно помиловать и немедля освободить, обеспечив помилованной проезд в Москву. И. Сталин”. Наконец, 11 июня ПВС слушал “ходатайство о помиловании Калининой Екатерины Ивановны, рождения 1882 года, приговоренной 22 апреля 1939 года Военной Коллегией Верховного Суда СССР по ст. ст. 17-58-6, 17-58-8 и 58-11 УК РСФСР к 15 годам исправительно-трудовых лагерей с поражением в избирательных правах на 5 лет”, и постановил “Калинину Екатерину Ивановну помиловать, досрочно освободить от отбывания наказания и снять поражение в правах и судимость”. Выписки из этого постановления были посланы наркому госбезопасности Меркулову и председателю Военной коллегии Верховного суда СССР В. В. Ульриху (7560).</w:t>
      </w:r>
    </w:p>
    <w:p w14:paraId="5CCBB87E" w14:textId="77777777" w:rsidR="00665165" w:rsidRPr="00F90EAE" w:rsidRDefault="00665165" w:rsidP="00F90EAE">
      <w:pPr>
        <w:autoSpaceDE w:val="0"/>
        <w:autoSpaceDN w:val="0"/>
        <w:adjustRightInd w:val="0"/>
        <w:jc w:val="both"/>
        <w:rPr>
          <w:color w:val="000000" w:themeColor="text1"/>
          <w:sz w:val="16"/>
          <w:szCs w:val="16"/>
        </w:rPr>
      </w:pPr>
    </w:p>
    <w:p w14:paraId="0E7193B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63B9F94" w14:textId="77777777" w:rsidR="00665165" w:rsidRPr="00F90EAE" w:rsidRDefault="00665165" w:rsidP="00F90EAE">
      <w:pPr>
        <w:autoSpaceDE w:val="0"/>
        <w:autoSpaceDN w:val="0"/>
        <w:adjustRightInd w:val="0"/>
        <w:jc w:val="both"/>
        <w:rPr>
          <w:iCs/>
          <w:color w:val="000000" w:themeColor="text1"/>
          <w:sz w:val="16"/>
          <w:szCs w:val="16"/>
        </w:rPr>
      </w:pPr>
    </w:p>
    <w:p w14:paraId="785DBCDA" w14:textId="77777777" w:rsidR="00580BC7" w:rsidRPr="00F90EAE" w:rsidRDefault="00580BC7" w:rsidP="00F90EAE">
      <w:pPr>
        <w:jc w:val="both"/>
        <w:rPr>
          <w:color w:val="0070C0"/>
          <w:sz w:val="16"/>
          <w:szCs w:val="16"/>
        </w:rPr>
      </w:pPr>
      <w:r w:rsidRPr="00F90EAE">
        <w:rPr>
          <w:color w:val="0070C0"/>
          <w:sz w:val="16"/>
          <w:szCs w:val="16"/>
        </w:rPr>
        <w:t>26 февраля 1945 года — первый полёт ближнемагистрального пассажирского самолёт Sud-Ouest S.O.30 Bretagne.</w:t>
      </w:r>
    </w:p>
    <w:p w14:paraId="3F22E2B8" w14:textId="77777777" w:rsidR="00580BC7" w:rsidRPr="00F90EAE" w:rsidRDefault="00580BC7" w:rsidP="00F90EAE">
      <w:pPr>
        <w:jc w:val="both"/>
        <w:rPr>
          <w:color w:val="0070C0"/>
          <w:sz w:val="16"/>
          <w:szCs w:val="16"/>
        </w:rPr>
      </w:pPr>
      <w:r w:rsidRPr="00F90EAE">
        <w:rPr>
          <w:color w:val="0070C0"/>
          <w:sz w:val="16"/>
          <w:szCs w:val="16"/>
        </w:rPr>
        <w:t>Работы над проектом начались ещё в 1941 году группой конструкторов Sud-Ouest, основавшей в Каннах новую компанию Groupe Technique de Cannes. Хотя первый прототип был готов уже в ноябре 1942 года, немецкие оккупационные власти запретили проведение испытаний, и проект был заморожен до освобождения Франции.</w:t>
      </w:r>
    </w:p>
    <w:p w14:paraId="3860797F" w14:textId="77777777" w:rsidR="00580BC7" w:rsidRPr="00F90EAE" w:rsidRDefault="00580BC7" w:rsidP="00F90EAE">
      <w:pPr>
        <w:jc w:val="both"/>
        <w:rPr>
          <w:color w:val="0070C0"/>
          <w:sz w:val="16"/>
          <w:szCs w:val="16"/>
        </w:rPr>
      </w:pPr>
      <w:r w:rsidRPr="00F90EAE">
        <w:rPr>
          <w:color w:val="0070C0"/>
          <w:sz w:val="16"/>
          <w:szCs w:val="16"/>
        </w:rPr>
        <w:t>S.O.30 Bretagne представлял собой цельнометаллический моноплан с двухкилевым хвостовым оперением. Мог брать на борт от 30 до 43 пассажиров. Интересно, что на некоторые экземпляры самолёта (в основном, на грузовые) дополнительно ставились 2 турбореактивных двигателя Turbomeca Palas — для облегчения взлёта.</w:t>
      </w:r>
    </w:p>
    <w:p w14:paraId="6821D001" w14:textId="77777777" w:rsidR="00580BC7" w:rsidRPr="00F90EAE" w:rsidRDefault="00580BC7" w:rsidP="00F90EAE">
      <w:pPr>
        <w:jc w:val="both"/>
        <w:rPr>
          <w:color w:val="0070C0"/>
          <w:sz w:val="16"/>
          <w:szCs w:val="16"/>
        </w:rPr>
      </w:pPr>
      <w:r w:rsidRPr="00F90EAE">
        <w:rPr>
          <w:color w:val="0070C0"/>
          <w:sz w:val="16"/>
          <w:szCs w:val="16"/>
        </w:rPr>
        <w:t>Всего выпустили 45 единиц Sud-Ouest S.O.30 Bretagne. Эксплуатировались авиакомпаниями Air France, Air Algérie, Air Maroc и др. Также в роли военного транспортника летал в ВВС и ВМФ Франции (22300).</w:t>
      </w:r>
    </w:p>
    <w:p w14:paraId="7435B284" w14:textId="77777777" w:rsidR="00580BC7" w:rsidRPr="00F90EAE" w:rsidRDefault="00580BC7" w:rsidP="00F90EAE">
      <w:pPr>
        <w:jc w:val="both"/>
        <w:rPr>
          <w:color w:val="0070C0"/>
          <w:sz w:val="16"/>
          <w:szCs w:val="16"/>
        </w:rPr>
      </w:pPr>
    </w:p>
    <w:p w14:paraId="4B0E7155" w14:textId="77777777" w:rsidR="00580BC7" w:rsidRPr="00F90EAE" w:rsidRDefault="00580BC7" w:rsidP="00F90EAE">
      <w:pPr>
        <w:jc w:val="both"/>
        <w:rPr>
          <w:color w:val="0070C0"/>
          <w:sz w:val="16"/>
          <w:szCs w:val="16"/>
        </w:rPr>
      </w:pPr>
      <w:r w:rsidRPr="00F90EAE">
        <w:rPr>
          <w:color w:val="0070C0"/>
          <w:sz w:val="16"/>
          <w:szCs w:val="16"/>
        </w:rPr>
        <w:t>26 февраля 1945 г. в США началась разработка свер</w:t>
      </w:r>
      <w:r w:rsidRPr="00F90EAE">
        <w:rPr>
          <w:color w:val="0070C0"/>
          <w:sz w:val="16"/>
          <w:szCs w:val="16"/>
        </w:rPr>
        <w:softHyphen/>
        <w:t>хтяжелой управляемой бомбы VB-13 TARZON (TAllboy, Range and aZimuth ONly). Это был гибрид свободнопадающей бомбы Т-10 «Толл Бой» калибра 5443 кг, выпускавшейся по английской ли</w:t>
      </w:r>
      <w:r w:rsidRPr="00F90EAE">
        <w:rPr>
          <w:color w:val="0070C0"/>
          <w:sz w:val="16"/>
          <w:szCs w:val="16"/>
        </w:rPr>
        <w:softHyphen/>
        <w:t>цензии, приемника команд наведения AN/URV-2 и автопилота, которые управляли подвижным кольцевым крылом, установ</w:t>
      </w:r>
      <w:r w:rsidRPr="00F90EAE">
        <w:rPr>
          <w:color w:val="0070C0"/>
          <w:sz w:val="16"/>
          <w:szCs w:val="16"/>
        </w:rPr>
        <w:softHyphen/>
        <w:t>ленным у центра масс, и рулями на восьмигранном хвостовом оперении.</w:t>
      </w:r>
    </w:p>
    <w:p w14:paraId="041E9BA1" w14:textId="77777777" w:rsidR="00580BC7" w:rsidRPr="00F90EAE" w:rsidRDefault="00580BC7" w:rsidP="00F90EAE">
      <w:pPr>
        <w:jc w:val="both"/>
        <w:rPr>
          <w:color w:val="0070C0"/>
          <w:sz w:val="16"/>
          <w:szCs w:val="16"/>
        </w:rPr>
      </w:pPr>
      <w:r w:rsidRPr="00F90EAE">
        <w:rPr>
          <w:color w:val="0070C0"/>
          <w:sz w:val="16"/>
          <w:szCs w:val="16"/>
        </w:rPr>
        <w:t>Под новую бомбу было переоборудовано три В-29, бомбоот</w:t>
      </w:r>
      <w:r w:rsidRPr="00F90EAE">
        <w:rPr>
          <w:color w:val="0070C0"/>
          <w:sz w:val="16"/>
          <w:szCs w:val="16"/>
        </w:rPr>
        <w:softHyphen/>
        <w:t>секи которых были объединены - чудовище весом 5942 кг име</w:t>
      </w:r>
      <w:r w:rsidRPr="00F90EAE">
        <w:rPr>
          <w:color w:val="0070C0"/>
          <w:sz w:val="16"/>
          <w:szCs w:val="16"/>
        </w:rPr>
        <w:softHyphen/>
        <w:t>ло длину 6,22 м, а толстый корпус с кольцом крыла выступал наружу. Для наведения УАБ был установлен передатчик команд AN/ARV-38 и ручной пульт.</w:t>
      </w:r>
    </w:p>
    <w:p w14:paraId="2545297C" w14:textId="77777777" w:rsidR="00580BC7" w:rsidRPr="00F90EAE" w:rsidRDefault="00580BC7" w:rsidP="00F90EAE">
      <w:pPr>
        <w:jc w:val="both"/>
        <w:rPr>
          <w:color w:val="0070C0"/>
          <w:sz w:val="16"/>
          <w:szCs w:val="16"/>
        </w:rPr>
      </w:pPr>
      <w:r w:rsidRPr="00F90EAE">
        <w:rPr>
          <w:color w:val="0070C0"/>
          <w:sz w:val="16"/>
          <w:szCs w:val="16"/>
        </w:rPr>
        <w:t>Испытания VB-13 начались в середине 1945 г., но с оконча</w:t>
      </w:r>
      <w:r w:rsidRPr="00F90EAE">
        <w:rPr>
          <w:color w:val="0070C0"/>
          <w:sz w:val="16"/>
          <w:szCs w:val="16"/>
        </w:rPr>
        <w:softHyphen/>
        <w:t>нием II мировой войны проект был закрыт, затем возобновлен, однако получил низкий приоритет. В 1948 г. обозначение бое</w:t>
      </w:r>
      <w:r w:rsidRPr="00F90EAE">
        <w:rPr>
          <w:color w:val="0070C0"/>
          <w:sz w:val="16"/>
          <w:szCs w:val="16"/>
        </w:rPr>
        <w:softHyphen/>
        <w:t>припаса было изменено на ASM A-1A - он теперь именовался не бомбой, а управляемым снарядом, хотя ни двигателей, ни ускорителей не имел. Проект получил шифр MX-674 (23026).</w:t>
      </w:r>
    </w:p>
    <w:p w14:paraId="69554426" w14:textId="77777777" w:rsidR="00580BC7" w:rsidRPr="00F90EAE" w:rsidRDefault="00580BC7" w:rsidP="00F90EAE">
      <w:pPr>
        <w:jc w:val="both"/>
        <w:rPr>
          <w:color w:val="0070C0"/>
          <w:sz w:val="16"/>
          <w:szCs w:val="16"/>
        </w:rPr>
      </w:pPr>
    </w:p>
    <w:p w14:paraId="2865C609"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rStyle w:val="a7"/>
          <w:b w:val="0"/>
          <w:color w:val="000000" w:themeColor="text1"/>
          <w:sz w:val="16"/>
          <w:szCs w:val="16"/>
        </w:rPr>
        <w:t>26 февраля 1945 г</w:t>
      </w:r>
      <w:r w:rsidRPr="00F90EAE">
        <w:rPr>
          <w:color w:val="000000" w:themeColor="text1"/>
          <w:sz w:val="16"/>
          <w:szCs w:val="16"/>
        </w:rPr>
        <w:t xml:space="preserve">. бомбежка Берлина повторилась в ещё больших масштабах —  781 В-17 и 285 В-24, сбросили на город 2796 тонн бомб, практически не имея потерь со своей стороны. Конечно это был не конец – отрабатывая новую тактику, </w:t>
      </w:r>
      <w:r w:rsidRPr="00F90EAE">
        <w:rPr>
          <w:rStyle w:val="a7"/>
          <w:b w:val="0"/>
          <w:color w:val="000000" w:themeColor="text1"/>
          <w:sz w:val="16"/>
          <w:szCs w:val="16"/>
        </w:rPr>
        <w:t>18 марта</w:t>
      </w:r>
      <w:r w:rsidRPr="00F90EAE">
        <w:rPr>
          <w:color w:val="000000" w:themeColor="text1"/>
          <w:sz w:val="16"/>
          <w:szCs w:val="16"/>
        </w:rPr>
        <w:t xml:space="preserve">, </w:t>
      </w:r>
      <w:r w:rsidRPr="00F90EAE">
        <w:rPr>
          <w:rStyle w:val="a7"/>
          <w:b w:val="0"/>
          <w:color w:val="000000" w:themeColor="text1"/>
          <w:sz w:val="16"/>
          <w:szCs w:val="16"/>
        </w:rPr>
        <w:t>24 марта</w:t>
      </w:r>
      <w:r w:rsidRPr="00F90EAE">
        <w:rPr>
          <w:color w:val="000000" w:themeColor="text1"/>
          <w:sz w:val="16"/>
          <w:szCs w:val="16"/>
        </w:rPr>
        <w:t xml:space="preserve">, </w:t>
      </w:r>
      <w:r w:rsidRPr="00F90EAE">
        <w:rPr>
          <w:rStyle w:val="a7"/>
          <w:b w:val="0"/>
          <w:color w:val="000000" w:themeColor="text1"/>
          <w:sz w:val="16"/>
          <w:szCs w:val="16"/>
        </w:rPr>
        <w:t>20 апреля</w:t>
      </w:r>
      <w:r w:rsidRPr="00F90EAE">
        <w:rPr>
          <w:color w:val="000000" w:themeColor="text1"/>
          <w:sz w:val="16"/>
          <w:szCs w:val="16"/>
        </w:rPr>
        <w:t xml:space="preserve"> американцы раз за разом повторяли рейды, в которых участвовали до 1200 бомбардировщиков за раз. Город под ними превратился в руины, а точное число погибших не представлялось возможным установить – по примерным подсчетам оно составляло около 50 000 человек.</w:t>
      </w:r>
    </w:p>
    <w:p w14:paraId="636B15DE" w14:textId="77777777" w:rsidR="00FA59CB" w:rsidRPr="00F90EAE" w:rsidRDefault="00FA59CB" w:rsidP="00F90EAE">
      <w:pPr>
        <w:jc w:val="both"/>
        <w:rPr>
          <w:color w:val="000000" w:themeColor="text1"/>
          <w:sz w:val="16"/>
          <w:szCs w:val="16"/>
        </w:rPr>
      </w:pPr>
      <w:r w:rsidRPr="00F90EAE">
        <w:rPr>
          <w:color w:val="000000" w:themeColor="text1"/>
          <w:sz w:val="16"/>
          <w:szCs w:val="16"/>
        </w:rPr>
        <w:t xml:space="preserve">В Берлине из имевшихся в 1939 году 1 502 383 зданий, к концу войны осталось относительно неповрежденными 976 500. Однако, несмотря на весь ужас ковровых бомбардировок, дух защитников города они не сломили, зато прекрасно справлялись с задачей озлобления как военных, так и гражданского населения. Этот факт, а </w:t>
      </w:r>
      <w:r w:rsidRPr="00F90EAE">
        <w:rPr>
          <w:color w:val="000000" w:themeColor="text1"/>
          <w:sz w:val="16"/>
          <w:szCs w:val="16"/>
        </w:rPr>
        <w:lastRenderedPageBreak/>
        <w:t>также то, что несмотря на все разрушения и постоянную бомбежку, авиации союзников так и не удалось разрушить германскую промышленность, которая продолжала исправно работать до конца войны, ставят под большое сомнение пользу такого способа ведения войны (17416).</w:t>
      </w:r>
    </w:p>
    <w:p w14:paraId="1E32D43F" w14:textId="77777777" w:rsidR="00FA59CB" w:rsidRPr="00F90EAE" w:rsidRDefault="00FA59CB" w:rsidP="00F90EAE">
      <w:pPr>
        <w:jc w:val="both"/>
        <w:rPr>
          <w:color w:val="000000" w:themeColor="text1"/>
          <w:sz w:val="16"/>
          <w:szCs w:val="16"/>
        </w:rPr>
      </w:pPr>
    </w:p>
    <w:p w14:paraId="4E5C6FCE" w14:textId="77777777" w:rsidR="00580BC7" w:rsidRPr="00F90EAE" w:rsidRDefault="00580BC7" w:rsidP="00F90EAE">
      <w:pPr>
        <w:jc w:val="both"/>
        <w:rPr>
          <w:color w:val="0070C0"/>
          <w:sz w:val="16"/>
          <w:szCs w:val="16"/>
        </w:rPr>
      </w:pPr>
      <w:r w:rsidRPr="00F90EAE">
        <w:rPr>
          <w:color w:val="0070C0"/>
          <w:sz w:val="16"/>
          <w:szCs w:val="16"/>
        </w:rPr>
        <w:t>26 февраля 1945 во время полета с атолла Кваджалейн на остров Джонстон пропадает самолет C-87A Liberator Express ВВС США. Погибли все находившиеся на борту, в том числе два генерала ВВС США, генерал-лейтенант Миллард Хармон и бригадный генерал Джеймс Р. Андерсен (20371).</w:t>
      </w:r>
    </w:p>
    <w:p w14:paraId="4B3A08FA" w14:textId="77777777" w:rsidR="00580BC7" w:rsidRPr="00F90EAE" w:rsidRDefault="00580BC7" w:rsidP="00F90EAE">
      <w:pPr>
        <w:jc w:val="both"/>
        <w:rPr>
          <w:color w:val="0070C0"/>
          <w:sz w:val="16"/>
          <w:szCs w:val="16"/>
        </w:rPr>
      </w:pPr>
    </w:p>
    <w:p w14:paraId="1F052C4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февраля 1945 Сирия объявила войну Германии и Японии (4962).</w:t>
      </w:r>
    </w:p>
    <w:p w14:paraId="247FC2B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45E69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февраля 1945 Сирия объявила войну Италии и Германии (2100).</w:t>
      </w:r>
    </w:p>
    <w:p w14:paraId="44F6F7F6" w14:textId="77777777" w:rsidR="00665165" w:rsidRPr="00F90EAE" w:rsidRDefault="00665165" w:rsidP="00F90EAE">
      <w:pPr>
        <w:autoSpaceDE w:val="0"/>
        <w:autoSpaceDN w:val="0"/>
        <w:adjustRightInd w:val="0"/>
        <w:jc w:val="both"/>
        <w:rPr>
          <w:color w:val="000000" w:themeColor="text1"/>
          <w:sz w:val="16"/>
          <w:szCs w:val="16"/>
        </w:rPr>
      </w:pPr>
    </w:p>
    <w:p w14:paraId="51936CD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FC2363D" w14:textId="77777777" w:rsidR="00665165" w:rsidRPr="00F90EAE" w:rsidRDefault="00665165" w:rsidP="00F90EAE">
      <w:pPr>
        <w:autoSpaceDE w:val="0"/>
        <w:autoSpaceDN w:val="0"/>
        <w:adjustRightInd w:val="0"/>
        <w:jc w:val="both"/>
        <w:rPr>
          <w:iCs/>
          <w:color w:val="000000" w:themeColor="text1"/>
          <w:sz w:val="16"/>
          <w:szCs w:val="16"/>
        </w:rPr>
      </w:pPr>
    </w:p>
    <w:p w14:paraId="78A791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года вышел приказ НКАП № 75/А</w:t>
      </w:r>
    </w:p>
    <w:p w14:paraId="4F8050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организацией 17 гл. управления и передачей части заводов 5-го гл. управления в 17 гл. Управление (8961)</w:t>
      </w:r>
    </w:p>
    <w:p w14:paraId="088B4C67" w14:textId="77777777" w:rsidR="00665165" w:rsidRPr="00F90EAE" w:rsidRDefault="00665165" w:rsidP="00F90EAE">
      <w:pPr>
        <w:autoSpaceDE w:val="0"/>
        <w:autoSpaceDN w:val="0"/>
        <w:adjustRightInd w:val="0"/>
        <w:jc w:val="both"/>
        <w:rPr>
          <w:iCs/>
          <w:color w:val="000000" w:themeColor="text1"/>
          <w:sz w:val="16"/>
          <w:szCs w:val="16"/>
        </w:rPr>
      </w:pPr>
    </w:p>
    <w:p w14:paraId="62FECAC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3B7344C" w14:textId="77777777" w:rsidR="00665165" w:rsidRPr="00F90EAE" w:rsidRDefault="00665165" w:rsidP="00F90EAE">
      <w:pPr>
        <w:autoSpaceDE w:val="0"/>
        <w:autoSpaceDN w:val="0"/>
        <w:adjustRightInd w:val="0"/>
        <w:jc w:val="both"/>
        <w:rPr>
          <w:iCs/>
          <w:color w:val="000000" w:themeColor="text1"/>
          <w:sz w:val="16"/>
          <w:szCs w:val="16"/>
        </w:rPr>
      </w:pPr>
    </w:p>
    <w:p w14:paraId="065E4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года АНИОЛМИ (артиллерийский научно-исследовательский опытный Ленинградский морской институт.) выдал промышленности ТТЗ на 25-мм двухорудийную палубную автоматическую установку 2М-3, предназначенную для вооружения торпедных катеров проектов 183 и 184. Уточненное ТТЗ было утверждено замглавкома ГК ВМФ 14.03.1947 г. Проектирование установки было начато по Постановлению СМ № 1523-549сс от 2.04.1949 г. Проектирование велось в ОКБ-43, главный конструктор Харыкин. Технический проект был разработан в 1947 году и утвержден замглавкома ВМС 1.08.1947 г. Рабочие чертежи были утверждены 3.07.1948 г. Завод-изготовитель опытного образца - Государственное Союзное особое КБ № 43.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проектирования. Качающаяся часть установки представляла собой две коробчатые люльки. Для осуществления ВН на нижней люльке имелся зубчатый сектор, входящий в зацепление с шестерней редуктора. Левая и правая связи соединяли задние концы верхней и нижней люлек и вместе с люльками и станинами образовывали параллелограмм. Такая параллелограммная связь люлек обеспечивала равенство углов качания обеих люлек.</w:t>
      </w:r>
    </w:p>
    <w:p w14:paraId="696EAE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56220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ВН, а другой - с редуктором ГН. Перезарядка производилась при помощи двух силовых гидравлических цилиндров. 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водой - не менее 15 секунд. 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 Для установки 2М-3 в ОКБ-16 (главный конструктор Нудельман) на базе автомата 84-КМ был разработан автомат 110-ПМ. При этом баллистика и боеприпасы 84-КМ были оставлены без изменений. Эскизный проект 110-ПМ был закончен в 1945 году, после чего ОКБ-16 приступило к разработке рабочих чертежей и изготовлению опытного образца, минуя стадию технического проектирования. В период с 1946 по 1948 год производилась отработка автомата на последовательно изготовленных трех образцах. Согласно приказу от 15.11.1948 г. в ноябре 1948 года были начаты полигонные испытания третьего образца. При испытаниях на 4521 выстреле произошел разрыв ствольной муфты. ОКБ-16 изготовило четвертый образец 110-ПМ, испытания которого были проведены с 7.09.1949 г. по 19.01.1950 г. в объеме 4789 выстрелов. Испытания автомат выдержал. В 1950 году ОКБ-16 изготовило пятый образец с учетом всех замечаний и представило его на государственные полигонные испытания, которые проходили с 8 августа по 13 декабря 1956 года в объеме 7201 выстрел. Автомат испытания выдержал и был рекомендован к принятию на вооружение. Основной конструктивной особенностью автомата 110-ПМ являлся принудительный откат механизма заряжания в заднем положении, что было особенно важно для обеспечения надежной работы автомата. После окончания совместного отката ствола и механизма запирания, последний (вместе со стреляной гильзой) во время наката ствола принудительно продолжал откат в крайнее заднее положение.</w:t>
      </w:r>
    </w:p>
    <w:p w14:paraId="738C69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Питание автомата 110-ПМ ленточное двухстороннее, но автоматы первых серий допускали и обойменное питание. Емкость обоймы 7 патронов. Лента металлическая рассыпная.</w:t>
      </w:r>
    </w:p>
    <w:p w14:paraId="6CAA15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ленты с 65 патронами 49,4 кг, вес звена 88 грамм. Лента помещалась в магазине. Вес магазина с 65 патронами 55,07 кг.</w:t>
      </w:r>
    </w:p>
    <w:p w14:paraId="53FAE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1949 году было изготовлено три опытных образца: два для катера пр.183 и один для полигона.</w:t>
      </w:r>
    </w:p>
    <w:p w14:paraId="5BA1C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Первые три образца полигонные и корабельные испытания не выдержали и АУ ВМС 14.12.1949 г. приняло решение о переработке чертежей и изготовлении нового образца с соответствующими изменениями в ТТЗ.</w:t>
      </w:r>
    </w:p>
    <w:p w14:paraId="67F761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Новые рабочие чертежи были разработаны ОКБ-43 в феврале-мае 1950 года. Опытный образец 2М-3 был изготовлен заводом № 535 (г. Тула) в октябре 1950 года. Гидропривод был изготовлен заводом № 46 по чертежам ЦНИИ-173.</w:t>
      </w:r>
    </w:p>
    <w:p w14:paraId="1875A7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Опытный образец завода № 535 прошел объединенные заводские и полигонные испытания в ноябре-декабре 1950 года и их выдержал. Комиссия рекомендовала его на корабельные испытания.</w:t>
      </w:r>
    </w:p>
    <w:p w14:paraId="74ACA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том же 1950 году завод № 535 изготовил еще три опытных установки. Опытные образцы прошли государственные корабельные испытания на торпедном катере пр.183 с 26 января по 5 марта 1952 года.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1F2CAF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Повторные государственные корабельные испытания были успешно проведены с 20 октября по 5 ноября 1952 года, отчет о них был утвержден 25.11.1952 г.</w:t>
      </w:r>
    </w:p>
    <w:p w14:paraId="104B39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Установка 2М-3 с автоматом 110-ПМ была принята на вооружение Постановлением СМ № 659-336 от 27.02.1953 г. и приказом ВММ № 00159 от 5.03.1953 г.</w:t>
      </w:r>
    </w:p>
    <w:p w14:paraId="30E915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Позже в ОКБ-43 модернизировали установку 2М-3. В частности, инженер Соколов К.И. переработал конструкцию автомата 110-ПМ, и в результате был получен автомат М-110 с темпом стрельбы 470-480 выстр/мин. (на испытаниях). В автомате 110-ПМ автоматика работает только за счет энергии отката при коротком ходе ствола, а в новом автомате М-110 дополнительно используется и энергия пороховых газов, отводимых из канала ствола. Эта энергия используется при работе газового буфера, предназначенного для увеличения скорости наката подвижных частей. Питание М-110 только правое и только ленточное. Лента, магазин и патроны те же, что и у 110-ПМ.</w:t>
      </w:r>
    </w:p>
    <w:p w14:paraId="78F345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Новая установка получила индекс 2М-3М.</w:t>
      </w:r>
    </w:p>
    <w:p w14:paraId="27C12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Первые три опытные установки были изготовлены ОКБ-43, а с 1950 года производство 2М-3 и 2М-3М велось на заводе № 535.</w:t>
      </w:r>
    </w:p>
    <w:p w14:paraId="378610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2М-3М было прекращено в 1984 году.</w:t>
      </w:r>
    </w:p>
    <w:p w14:paraId="2D3BEF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Отпускная цена одной установки в 1951 году составляла 527 000 рублей, в 1954 году - 206 000 рублей, а в 1955 году - 151780 рублей.</w:t>
      </w:r>
    </w:p>
    <w:p w14:paraId="6F577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Установки 2М-3 предназначались для вооружения катеров пр.183 и 201, гражданских судов и вспомогательных судов ВМФ, в том числе проектов 431, 771, 562, 706, 437, 561, 433, 514, 560, 512, 770 и др. Фактически артсистемы 2М-3 и 2М-3М были установлены более, чем на 30-ти проектах кораблей и судов.</w:t>
      </w:r>
    </w:p>
    <w:p w14:paraId="0A5D1C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Параллельно с 2М-3 для торпедных катеров пр.183 и 184 проектировалась 25-мм спаренная палубная установка БЛ-130. 31 декабря 1949 года Министерство вооружений направило письма в ОКБ-172 с указанием разработать 25-мм спаренную установку, и уже 21 февраля 1950 года ОКБ-172 представило проект установки БЛ-130. Ведущим конструктором установки был Константинов А.Л.</w:t>
      </w:r>
    </w:p>
    <w:p w14:paraId="311081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Установка БЛ-130 тумбовая с горизонтальным расположением стволов. В установке применены антикоррозийные материалы. Подобно 2М-3 в БЛ-130 применены автоматы 110-П, но в их конструкцию введено устройство для пневмозарядки и специальное пневмогидравлическое устройство для амортизации.</w:t>
      </w:r>
    </w:p>
    <w:p w14:paraId="614736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Установка имела местное бронирование, броня обтекаемой формы толщиной 3-4 мм. Вес установки без амортизационных устройств - 1200 кг, а с амортизационными устройствами - 1400 кг.</w:t>
      </w:r>
    </w:p>
    <w:p w14:paraId="03FEAC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ряду характеристик БЛ-130 превосходила 2М-3, но в конце 1950 года было решено запустить в серийное производство 2М-3, так как у нее степень готовности была выше, чем у БЛ-130 (3861).</w:t>
      </w:r>
    </w:p>
    <w:p w14:paraId="5C32C5C8" w14:textId="77777777" w:rsidR="00665165" w:rsidRPr="00F90EAE" w:rsidRDefault="00665165" w:rsidP="00F90EAE">
      <w:pPr>
        <w:autoSpaceDE w:val="0"/>
        <w:autoSpaceDN w:val="0"/>
        <w:adjustRightInd w:val="0"/>
        <w:jc w:val="both"/>
        <w:rPr>
          <w:color w:val="000000" w:themeColor="text1"/>
          <w:sz w:val="16"/>
          <w:szCs w:val="16"/>
        </w:rPr>
      </w:pPr>
    </w:p>
    <w:p w14:paraId="22DA6333" w14:textId="77777777" w:rsidR="004945E9" w:rsidRPr="00F90EAE" w:rsidRDefault="004945E9" w:rsidP="00F90EAE">
      <w:pPr>
        <w:jc w:val="both"/>
        <w:rPr>
          <w:color w:val="000000" w:themeColor="text1"/>
          <w:sz w:val="16"/>
          <w:szCs w:val="16"/>
        </w:rPr>
      </w:pPr>
      <w:r w:rsidRPr="00F90EAE">
        <w:rPr>
          <w:color w:val="000000" w:themeColor="text1"/>
          <w:sz w:val="16"/>
          <w:szCs w:val="16"/>
        </w:rPr>
        <w:t>27 февраля 1945 г. АНИОЛМИ[85] выдал промышленности тактико-техническое задание на 25-мм спаренную палубную автоматическую установку 2М-3, предназначенную для вооружения торпедных катеров проектов 183 и 184. Уточненное тактико-техническое задание было утверждено заместителем Главкома ВМФ 14 марта 1947 г. Проектирование установки началось по постановлению Совмина № 1523–549сс от 2 апреля 1949 г. и велось в ОКБ-43.</w:t>
      </w:r>
    </w:p>
    <w:p w14:paraId="2F1C5154" w14:textId="77777777" w:rsidR="004945E9" w:rsidRPr="00F90EAE" w:rsidRDefault="004945E9" w:rsidP="00F90EAE">
      <w:pPr>
        <w:jc w:val="both"/>
        <w:rPr>
          <w:color w:val="000000" w:themeColor="text1"/>
          <w:sz w:val="16"/>
          <w:szCs w:val="16"/>
        </w:rPr>
      </w:pPr>
      <w:r w:rsidRPr="00F90EAE">
        <w:rPr>
          <w:color w:val="000000" w:themeColor="text1"/>
          <w:sz w:val="16"/>
          <w:szCs w:val="16"/>
        </w:rPr>
        <w:lastRenderedPageBreak/>
        <w:t>Для установки 2М-3 в ОКБ-16 (главный конструктор — А. Э. Нудельман) на базе автомата 84-КМ был разработан автомат 110-ПМ, при этом баллистика и боеприпасы 84КМ остались без изменений. Эскизный проект 110-ПМ был закончен в 1945 г., после чего ОКБ-16 приступило к разработке рабочих чертежей и изготовлению опытного образца, минуя стадию технического проектирования.</w:t>
      </w:r>
    </w:p>
    <w:p w14:paraId="6C68C706" w14:textId="77777777" w:rsidR="004945E9" w:rsidRPr="00F90EAE" w:rsidRDefault="004945E9" w:rsidP="00F90EAE">
      <w:pPr>
        <w:jc w:val="both"/>
        <w:rPr>
          <w:color w:val="000000" w:themeColor="text1"/>
          <w:sz w:val="16"/>
          <w:szCs w:val="16"/>
        </w:rPr>
      </w:pPr>
      <w:r w:rsidRPr="00F90EAE">
        <w:rPr>
          <w:color w:val="000000" w:themeColor="text1"/>
          <w:sz w:val="16"/>
          <w:szCs w:val="16"/>
        </w:rPr>
        <w:t>Вертикальное и горизонтальное наведение производилось гидроприводами. В качестве резервного средства имелось и ручное наведение, осуществляемое одним наводчиком.</w:t>
      </w:r>
    </w:p>
    <w:p w14:paraId="0AA82446" w14:textId="77777777" w:rsidR="004945E9" w:rsidRPr="00F90EAE" w:rsidRDefault="004945E9" w:rsidP="00F90EAE">
      <w:pPr>
        <w:jc w:val="both"/>
        <w:rPr>
          <w:color w:val="000000" w:themeColor="text1"/>
          <w:sz w:val="16"/>
          <w:szCs w:val="16"/>
        </w:rPr>
      </w:pPr>
      <w:r w:rsidRPr="00F90EAE">
        <w:rPr>
          <w:color w:val="000000" w:themeColor="text1"/>
          <w:sz w:val="16"/>
          <w:szCs w:val="16"/>
        </w:rPr>
        <w:t>Гидропривод предназначался для вертикального наведения и перезарядки (взведения подвижных частей) обоих автоматов. Наведение осуществлялось при помощи двух гидромоторов, один из которых связан с редуктором вертикального наведения, а другой — с редуктором горизонтального наведения. Перезарядка производилась при помощи двух силовых гидравлических цилиндров.</w:t>
      </w:r>
    </w:p>
    <w:p w14:paraId="6F8444E7" w14:textId="77777777" w:rsidR="004945E9" w:rsidRPr="00F90EAE" w:rsidRDefault="004945E9" w:rsidP="00F90EAE">
      <w:pPr>
        <w:jc w:val="both"/>
        <w:rPr>
          <w:color w:val="000000" w:themeColor="text1"/>
          <w:sz w:val="16"/>
          <w:szCs w:val="16"/>
        </w:rPr>
      </w:pPr>
      <w:r w:rsidRPr="00F90EAE">
        <w:rPr>
          <w:color w:val="000000" w:themeColor="text1"/>
          <w:sz w:val="16"/>
          <w:szCs w:val="16"/>
        </w:rPr>
        <w:t>Охлаждение стволов при стрельбе воздушное. При замене магазинов в стволы через шланг с насадкой с казенной части подавалась вода для охлаждения. Время охлаждения водой — не менее 15 секунд.</w:t>
      </w:r>
    </w:p>
    <w:p w14:paraId="405449F4" w14:textId="77777777" w:rsidR="004945E9" w:rsidRPr="00F90EAE" w:rsidRDefault="004945E9" w:rsidP="00F90EAE">
      <w:pPr>
        <w:jc w:val="both"/>
        <w:rPr>
          <w:color w:val="000000" w:themeColor="text1"/>
          <w:sz w:val="16"/>
          <w:szCs w:val="16"/>
        </w:rPr>
      </w:pPr>
      <w:r w:rsidRPr="00F90EAE">
        <w:rPr>
          <w:color w:val="000000" w:themeColor="text1"/>
          <w:sz w:val="16"/>
          <w:szCs w:val="16"/>
        </w:rPr>
        <w:t>Прицельное устройство установки 2М-3 состояло из механического кольцевого визира, смонтированного на параллелограммном механизме. Оно обеспечивало ведение стрельбы по зенитным и надводным целям.</w:t>
      </w:r>
    </w:p>
    <w:p w14:paraId="7CA5EF2D" w14:textId="77777777" w:rsidR="004945E9" w:rsidRPr="00F90EAE" w:rsidRDefault="004945E9" w:rsidP="00F90EAE">
      <w:pPr>
        <w:jc w:val="both"/>
        <w:rPr>
          <w:color w:val="000000" w:themeColor="text1"/>
          <w:sz w:val="16"/>
          <w:szCs w:val="16"/>
        </w:rPr>
      </w:pPr>
      <w:r w:rsidRPr="00F90EAE">
        <w:rPr>
          <w:color w:val="000000" w:themeColor="text1"/>
          <w:sz w:val="16"/>
          <w:szCs w:val="16"/>
        </w:rPr>
        <w:t>Вес установки 2М-3 — 1500 кг, а 2М-ЗМ — 1515 кг. Расчет — 2 человека. В 1949 г. было изготовлено три опытных образца: два — для катера проекта 183 и один — для полигона.</w:t>
      </w:r>
    </w:p>
    <w:p w14:paraId="04D593E0" w14:textId="77777777" w:rsidR="004945E9" w:rsidRPr="00F90EAE" w:rsidRDefault="004945E9" w:rsidP="00F90EAE">
      <w:pPr>
        <w:jc w:val="both"/>
        <w:rPr>
          <w:color w:val="000000" w:themeColor="text1"/>
          <w:sz w:val="16"/>
          <w:szCs w:val="16"/>
        </w:rPr>
      </w:pPr>
      <w:r w:rsidRPr="00F90EAE">
        <w:rPr>
          <w:color w:val="000000" w:themeColor="text1"/>
          <w:sz w:val="16"/>
          <w:szCs w:val="16"/>
        </w:rPr>
        <w:t>Первые три образца полигонные и корабельные испытания не выдержали, и Артуправление ВМФ 14 декабря 1949 г. приняло решение о переработке чертежей и изготовлении нового образца с соответствующими изменениями в тактико-техническом задании.</w:t>
      </w:r>
    </w:p>
    <w:p w14:paraId="1096BC0A" w14:textId="77777777" w:rsidR="004945E9" w:rsidRPr="00F90EAE" w:rsidRDefault="004945E9" w:rsidP="00F90EAE">
      <w:pPr>
        <w:jc w:val="both"/>
        <w:rPr>
          <w:color w:val="000000" w:themeColor="text1"/>
          <w:sz w:val="16"/>
          <w:szCs w:val="16"/>
        </w:rPr>
      </w:pPr>
      <w:r w:rsidRPr="00F90EAE">
        <w:rPr>
          <w:color w:val="000000" w:themeColor="text1"/>
          <w:sz w:val="16"/>
          <w:szCs w:val="16"/>
        </w:rPr>
        <w:t>Новые рабочие чертежи в ОКБ-43 разработали в феврале — мае 1950 г., а опытный образец 2М-3 завод № 535 (г. Тула) изготовил в октябре 1950 г. Гидропривод был изготовлен заводом № 46 по чертежам ЦНИИ-173.</w:t>
      </w:r>
    </w:p>
    <w:p w14:paraId="01B87FF0" w14:textId="77777777" w:rsidR="004945E9" w:rsidRPr="00F90EAE" w:rsidRDefault="004945E9" w:rsidP="00F90EAE">
      <w:pPr>
        <w:jc w:val="both"/>
        <w:rPr>
          <w:color w:val="000000" w:themeColor="text1"/>
          <w:sz w:val="16"/>
          <w:szCs w:val="16"/>
        </w:rPr>
      </w:pPr>
      <w:r w:rsidRPr="00F90EAE">
        <w:rPr>
          <w:color w:val="000000" w:themeColor="text1"/>
          <w:sz w:val="16"/>
          <w:szCs w:val="16"/>
        </w:rPr>
        <w:t>Опытный образец завода № 535 прошел объединенные заводские и полигонные испытания в ноябре — декабре 1950 г. и их выдержал. Комиссия рекомендовала его на корабельные испытания.</w:t>
      </w:r>
    </w:p>
    <w:p w14:paraId="1E10C56C" w14:textId="77777777" w:rsidR="004945E9" w:rsidRPr="00F90EAE" w:rsidRDefault="004945E9" w:rsidP="00F90EAE">
      <w:pPr>
        <w:jc w:val="both"/>
        <w:rPr>
          <w:color w:val="000000" w:themeColor="text1"/>
          <w:sz w:val="16"/>
          <w:szCs w:val="16"/>
        </w:rPr>
      </w:pPr>
      <w:r w:rsidRPr="00F90EAE">
        <w:rPr>
          <w:color w:val="000000" w:themeColor="text1"/>
          <w:sz w:val="16"/>
          <w:szCs w:val="16"/>
        </w:rPr>
        <w:t>В том же 1950 г. завод № 535 изготовил еще три опытные установки, которые прошли государственные корабельные испытания на торпедном катере проекта 183 с 26 января по 5 марта 1952 г. Отмечена ненадежность автомата 110-ПМ и ряд других недостатков. По решению комиссии образец следовало доработать и провести повторные государственные корабельные испытания.</w:t>
      </w:r>
    </w:p>
    <w:p w14:paraId="047292A9" w14:textId="77777777" w:rsidR="004945E9" w:rsidRPr="00F90EAE" w:rsidRDefault="004945E9" w:rsidP="00F90EAE">
      <w:pPr>
        <w:jc w:val="both"/>
        <w:rPr>
          <w:color w:val="000000" w:themeColor="text1"/>
          <w:sz w:val="16"/>
          <w:szCs w:val="16"/>
        </w:rPr>
      </w:pPr>
      <w:r w:rsidRPr="00F90EAE">
        <w:rPr>
          <w:color w:val="000000" w:themeColor="text1"/>
          <w:sz w:val="16"/>
          <w:szCs w:val="16"/>
        </w:rPr>
        <w:t>Повторные государственные корабельные испытания были успешно проведены с 20 октября по 5 ноября 1952 г., отчет о них утвержден 25 ноября 1952 г.</w:t>
      </w:r>
    </w:p>
    <w:p w14:paraId="3A712062" w14:textId="77777777" w:rsidR="004945E9" w:rsidRPr="00F90EAE" w:rsidRDefault="004945E9" w:rsidP="00F90EAE">
      <w:pPr>
        <w:jc w:val="both"/>
        <w:rPr>
          <w:color w:val="000000" w:themeColor="text1"/>
          <w:sz w:val="16"/>
          <w:szCs w:val="16"/>
        </w:rPr>
      </w:pPr>
      <w:r w:rsidRPr="00F90EAE">
        <w:rPr>
          <w:color w:val="000000" w:themeColor="text1"/>
          <w:sz w:val="16"/>
          <w:szCs w:val="16"/>
        </w:rPr>
        <w:t>Установка 2М-3 с автоматом 110-ПМ была принята на вооружение постановлением Совмина № 659–336 от 27 февраля 1953 г. и приказом военно-морского министра № 00 159 от 5 марта 1953 г.</w:t>
      </w:r>
    </w:p>
    <w:p w14:paraId="20F411EA" w14:textId="77777777" w:rsidR="004945E9" w:rsidRPr="00F90EAE" w:rsidRDefault="004945E9" w:rsidP="00F90EAE">
      <w:pPr>
        <w:jc w:val="both"/>
        <w:rPr>
          <w:color w:val="000000" w:themeColor="text1"/>
          <w:sz w:val="16"/>
          <w:szCs w:val="16"/>
        </w:rPr>
      </w:pPr>
      <w:r w:rsidRPr="00F90EAE">
        <w:rPr>
          <w:color w:val="000000" w:themeColor="text1"/>
          <w:sz w:val="16"/>
          <w:szCs w:val="16"/>
        </w:rPr>
        <w:t>Позже в ОКБ-43 модернизировали установку 2М-3. В частности, инженер Соколов К. И. переработал конструкцию автомата 110-ПМ, и в результате был получен автомат М-110 с темпом стрельбы 470–480 выстр/мин (на испытаниях).</w:t>
      </w:r>
    </w:p>
    <w:p w14:paraId="4E600E55" w14:textId="77777777" w:rsidR="004945E9" w:rsidRPr="00F90EAE" w:rsidRDefault="004945E9" w:rsidP="00F90EAE">
      <w:pPr>
        <w:jc w:val="both"/>
        <w:rPr>
          <w:color w:val="000000" w:themeColor="text1"/>
          <w:sz w:val="16"/>
          <w:szCs w:val="16"/>
        </w:rPr>
      </w:pPr>
      <w:r w:rsidRPr="00F90EAE">
        <w:rPr>
          <w:color w:val="000000" w:themeColor="text1"/>
          <w:sz w:val="16"/>
          <w:szCs w:val="16"/>
        </w:rPr>
        <w:t>Первые три опытные установки были изготовлены ОКБ-43, а с 1950 г. производство 2М-3 и 2М-ЗМ велось на заводе № 535. В 1949 г. завод сдал 3 установки, в 1950 г. — 4, в 1951 г. — 46, в 1952 г. — 173, в 1953 г. — 177, в 1954 г. — 275, в 1955 г. — 406, в 1956 г. — 305 и в 1957 г. — 252 установки. Производство 2М-ЗМ было прекращено в 1984 г. Отпускная цена одной установки в 1951 г. составляла 527 000 рублей, в 1954 г. — 206 000 рублей, а в 1955 г. — 151 780 рублей.</w:t>
      </w:r>
    </w:p>
    <w:p w14:paraId="5612A1ED" w14:textId="77777777" w:rsidR="004945E9" w:rsidRPr="00F90EAE" w:rsidRDefault="004945E9" w:rsidP="00F90EAE">
      <w:pPr>
        <w:jc w:val="both"/>
        <w:rPr>
          <w:color w:val="000000" w:themeColor="text1"/>
          <w:sz w:val="16"/>
          <w:szCs w:val="16"/>
        </w:rPr>
      </w:pPr>
      <w:r w:rsidRPr="00F90EAE">
        <w:rPr>
          <w:color w:val="000000" w:themeColor="text1"/>
          <w:sz w:val="16"/>
          <w:szCs w:val="16"/>
        </w:rPr>
        <w:t>Установки 2М-3 предназначались для вооружения катеров проектов 183 и 201, гражданских судов и вспомогательных судов ВМФ, в том числе проектов 431, 771, 562, 706, 437, 561,433, 514, 560, 512, 770 и др. Фактически артсистемы 2М-З и 2М-ЗМ были установлены более чем на 30 проектах кораблей и судов, состоявших на вооружении флотов десятков стран мира (12705).</w:t>
      </w:r>
    </w:p>
    <w:p w14:paraId="23DAF324" w14:textId="77777777" w:rsidR="004945E9" w:rsidRPr="00F90EAE" w:rsidRDefault="004945E9" w:rsidP="00F90EAE">
      <w:pPr>
        <w:jc w:val="both"/>
        <w:rPr>
          <w:color w:val="000000" w:themeColor="text1"/>
          <w:sz w:val="16"/>
          <w:szCs w:val="16"/>
        </w:rPr>
      </w:pPr>
    </w:p>
    <w:p w14:paraId="21AE71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7592. О мерах по обеспечению производства кабельного пластиката для военно-полевых проводов. РГАНИР, Фонд ГКО, д. 373, лл. 55 (11012).</w:t>
      </w:r>
    </w:p>
    <w:p w14:paraId="3C353DFF" w14:textId="77777777" w:rsidR="00665165" w:rsidRPr="00F90EAE" w:rsidRDefault="00665165" w:rsidP="00F90EAE">
      <w:pPr>
        <w:autoSpaceDE w:val="0"/>
        <w:autoSpaceDN w:val="0"/>
        <w:adjustRightInd w:val="0"/>
        <w:jc w:val="both"/>
        <w:rPr>
          <w:color w:val="000000" w:themeColor="text1"/>
          <w:sz w:val="16"/>
          <w:szCs w:val="16"/>
        </w:rPr>
      </w:pPr>
    </w:p>
    <w:p w14:paraId="619833C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7593 [Об отгрузке деревообрабатывающих станков и электромоторов для строительства Лаборатории № 2 АН СССР.] (7310, 56,57).</w:t>
      </w:r>
    </w:p>
    <w:p w14:paraId="270758D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E74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7594. О передаче заводу № 79 НКБ примыкающей земельной площади. РГАНИР, Фонд ГКО, д. 373, лл. 58 (11012).</w:t>
      </w:r>
    </w:p>
    <w:p w14:paraId="47F3DB93" w14:textId="77777777" w:rsidR="00665165" w:rsidRPr="00F90EAE" w:rsidRDefault="00665165" w:rsidP="00F90EAE">
      <w:pPr>
        <w:autoSpaceDE w:val="0"/>
        <w:autoSpaceDN w:val="0"/>
        <w:adjustRightInd w:val="0"/>
        <w:jc w:val="both"/>
        <w:rPr>
          <w:color w:val="000000" w:themeColor="text1"/>
          <w:sz w:val="16"/>
          <w:szCs w:val="16"/>
        </w:rPr>
      </w:pPr>
    </w:p>
    <w:p w14:paraId="713B61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7595. О продлении на 1945 г. порядка отпуска нефти Красноусольскому заводу НКПСМ. РГАНИР, Фонд ГКО, д. 373, лл. 59 (11012).</w:t>
      </w:r>
    </w:p>
    <w:p w14:paraId="0E0EE610" w14:textId="77777777" w:rsidR="00665165" w:rsidRPr="00F90EAE" w:rsidRDefault="00665165" w:rsidP="00F90EAE">
      <w:pPr>
        <w:autoSpaceDE w:val="0"/>
        <w:autoSpaceDN w:val="0"/>
        <w:adjustRightInd w:val="0"/>
        <w:jc w:val="both"/>
        <w:rPr>
          <w:color w:val="000000" w:themeColor="text1"/>
          <w:sz w:val="16"/>
          <w:szCs w:val="16"/>
        </w:rPr>
      </w:pPr>
    </w:p>
    <w:p w14:paraId="6C9CB99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7596 [О дополнительном выделении бензина Управлению промкооперации при СНК РСФСР для подвоза живицы к железнодорожным станциям и пристаням.] (7310, 60).</w:t>
      </w:r>
    </w:p>
    <w:p w14:paraId="5387F40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1A875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вышло Распоряжение ГКО № 7597. О перевозках нефтепродуктов для заводов НКВ. РГАНИР, Фонд ГКО, д. 373, лл. 61-62 (11012).</w:t>
      </w:r>
    </w:p>
    <w:p w14:paraId="56AE8143" w14:textId="77777777" w:rsidR="00665165" w:rsidRPr="00F90EAE" w:rsidRDefault="00665165" w:rsidP="00F90EAE">
      <w:pPr>
        <w:autoSpaceDE w:val="0"/>
        <w:autoSpaceDN w:val="0"/>
        <w:adjustRightInd w:val="0"/>
        <w:jc w:val="both"/>
        <w:rPr>
          <w:color w:val="000000" w:themeColor="text1"/>
          <w:sz w:val="16"/>
          <w:szCs w:val="16"/>
        </w:rPr>
      </w:pPr>
    </w:p>
    <w:p w14:paraId="7FA1C1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февраля 1945 вышло Постановление ГКО № 7598 О нанесении знаков и надписей на трофейный железнодорожный подвижной состав. (7310, 63-64).</w:t>
      </w:r>
    </w:p>
    <w:p w14:paraId="7B99921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8652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г. было написано академика А.Н.Несмеянова в "Комитет по премиям имени тов. И.В.Сталина" - представление М.И.Кабачника к награждению этой премией "за исследования в области элементоорганических соединений". М.И.Кабачнику была присуждена Сталинская премия I степени 1946 года за создание новейшего фосфорорганического ОВ - зарина (9067).</w:t>
      </w:r>
    </w:p>
    <w:p w14:paraId="3527139A" w14:textId="77777777" w:rsidR="00665165" w:rsidRPr="00F90EAE" w:rsidRDefault="00665165" w:rsidP="00F90EAE">
      <w:pPr>
        <w:autoSpaceDE w:val="0"/>
        <w:autoSpaceDN w:val="0"/>
        <w:adjustRightInd w:val="0"/>
        <w:jc w:val="both"/>
        <w:rPr>
          <w:color w:val="000000" w:themeColor="text1"/>
          <w:sz w:val="16"/>
          <w:szCs w:val="16"/>
        </w:rPr>
      </w:pPr>
    </w:p>
    <w:p w14:paraId="3727D0D0" w14:textId="77777777" w:rsidR="005903D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D829B8D" w14:textId="77777777" w:rsidR="005903DB" w:rsidRPr="00F90EAE" w:rsidRDefault="005903DB" w:rsidP="00F90EAE">
      <w:pPr>
        <w:autoSpaceDE w:val="0"/>
        <w:autoSpaceDN w:val="0"/>
        <w:adjustRightInd w:val="0"/>
        <w:jc w:val="both"/>
        <w:rPr>
          <w:iCs/>
          <w:color w:val="000000" w:themeColor="text1"/>
          <w:sz w:val="16"/>
          <w:szCs w:val="16"/>
        </w:rPr>
      </w:pPr>
    </w:p>
    <w:p w14:paraId="6696177C" w14:textId="77777777" w:rsidR="005903DB" w:rsidRPr="00F90EAE" w:rsidRDefault="005903DB" w:rsidP="00F90EAE">
      <w:pPr>
        <w:jc w:val="both"/>
        <w:rPr>
          <w:color w:val="000000" w:themeColor="text1"/>
          <w:sz w:val="16"/>
          <w:szCs w:val="16"/>
        </w:rPr>
      </w:pPr>
      <w:r w:rsidRPr="00F90EAE">
        <w:rPr>
          <w:color w:val="000000" w:themeColor="text1"/>
          <w:sz w:val="16"/>
          <w:szCs w:val="16"/>
        </w:rPr>
        <w:t>27 февраля в 1945 году оперативная сводка Совинформбюро:</w:t>
      </w:r>
    </w:p>
    <w:p w14:paraId="270FD0C8" w14:textId="77777777" w:rsidR="005903DB" w:rsidRPr="00F90EAE" w:rsidRDefault="005903DB"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сломили сопротивление противника западнее города Хойнице (Конитц) и за четыре дня наступательных боёв продвинулись вперёд до 70 километров.</w:t>
      </w:r>
    </w:p>
    <w:p w14:paraId="24C94F3E" w14:textId="77777777" w:rsidR="005903DB" w:rsidRPr="00F90EAE" w:rsidRDefault="005903DB" w:rsidP="00F90EAE">
      <w:pPr>
        <w:jc w:val="both"/>
        <w:rPr>
          <w:color w:val="000000" w:themeColor="text1"/>
          <w:sz w:val="16"/>
          <w:szCs w:val="16"/>
        </w:rPr>
      </w:pPr>
      <w:r w:rsidRPr="00F90EAE">
        <w:rPr>
          <w:color w:val="000000" w:themeColor="text1"/>
          <w:sz w:val="16"/>
          <w:szCs w:val="16"/>
        </w:rPr>
        <w:t>В ходе наступления войска фронта на территории Померании овладели городами Шлохау, Штегерс, Хаммерштайн, Бальденберг, Бублиц —важными узлами коммуникаций и сильными опорными пунктами обороны немцев, а также с боями заняли более 100 других населённых пунктов, среди которых крупные населённые пункты Полльнитц, Цехлан, Ферстенау, Дравен, Гросс и Клайн-Кюдде.</w:t>
      </w:r>
    </w:p>
    <w:p w14:paraId="59F1B50B" w14:textId="77777777" w:rsidR="005903DB" w:rsidRPr="00F90EAE" w:rsidRDefault="005903DB" w:rsidP="00F90EAE">
      <w:pPr>
        <w:jc w:val="both"/>
        <w:rPr>
          <w:color w:val="000000" w:themeColor="text1"/>
          <w:sz w:val="16"/>
          <w:szCs w:val="16"/>
        </w:rPr>
      </w:pPr>
      <w:r w:rsidRPr="00F90EAE">
        <w:rPr>
          <w:color w:val="000000" w:themeColor="text1"/>
          <w:sz w:val="16"/>
          <w:szCs w:val="16"/>
        </w:rPr>
        <w:t>В Бреслау наши войска, продолжая бои по уничтожению окружённой в городе группировки противника, заняли 12 кварталов.</w:t>
      </w:r>
    </w:p>
    <w:p w14:paraId="28BB57B1" w14:textId="77777777" w:rsidR="005903DB" w:rsidRPr="00F90EAE" w:rsidRDefault="005903DB" w:rsidP="00F90EAE">
      <w:pPr>
        <w:jc w:val="both"/>
        <w:rPr>
          <w:color w:val="000000" w:themeColor="text1"/>
          <w:sz w:val="16"/>
          <w:szCs w:val="16"/>
        </w:rPr>
      </w:pPr>
      <w:r w:rsidRPr="00F90EAE">
        <w:rPr>
          <w:color w:val="000000" w:themeColor="text1"/>
          <w:sz w:val="16"/>
          <w:szCs w:val="16"/>
        </w:rPr>
        <w:t>На территории Чехословакии северо-западнее и западнее города Лученец наши войска, действуя в трудных условиях горно-лесистой местности в полосе Карпат, с боями заняли населённые пункты Вигляш, Звол Слатина, Боровины, Грабов Грунь, Оремов Лаз, Сеноград, Младонице.</w:t>
      </w:r>
    </w:p>
    <w:p w14:paraId="361FDBF8" w14:textId="77777777" w:rsidR="005903DB" w:rsidRPr="00F90EAE" w:rsidRDefault="005903DB" w:rsidP="00F90EAE">
      <w:pPr>
        <w:jc w:val="both"/>
        <w:rPr>
          <w:color w:val="000000" w:themeColor="text1"/>
          <w:sz w:val="16"/>
          <w:szCs w:val="16"/>
        </w:rPr>
      </w:pPr>
      <w:r w:rsidRPr="00F90EAE">
        <w:rPr>
          <w:color w:val="000000" w:themeColor="text1"/>
          <w:sz w:val="16"/>
          <w:szCs w:val="16"/>
        </w:rPr>
        <w:t>На других участках фронта—поиски разведчиков и в ряде пунктов бои местного значения.</w:t>
      </w:r>
    </w:p>
    <w:p w14:paraId="7F469B8C" w14:textId="77777777" w:rsidR="005903DB" w:rsidRPr="00F90EAE" w:rsidRDefault="005903DB" w:rsidP="00F90EAE">
      <w:pPr>
        <w:jc w:val="both"/>
        <w:rPr>
          <w:color w:val="000000" w:themeColor="text1"/>
          <w:sz w:val="16"/>
          <w:szCs w:val="16"/>
        </w:rPr>
      </w:pPr>
      <w:r w:rsidRPr="00F90EAE">
        <w:rPr>
          <w:color w:val="000000" w:themeColor="text1"/>
          <w:sz w:val="16"/>
          <w:szCs w:val="16"/>
        </w:rPr>
        <w:t>За 26 февраля на всех фронтах подбито и уничтожено 66 немецких танков. В воздушных боях и огнём зенитной артиллерии сбито 6 самолётов противника.</w:t>
      </w:r>
    </w:p>
    <w:p w14:paraId="52CA3D9F" w14:textId="77777777" w:rsidR="005903DB" w:rsidRPr="00F90EAE" w:rsidRDefault="005903DB" w:rsidP="00F90EAE">
      <w:pPr>
        <w:jc w:val="both"/>
        <w:rPr>
          <w:color w:val="000000" w:themeColor="text1"/>
          <w:sz w:val="16"/>
          <w:szCs w:val="16"/>
        </w:rPr>
      </w:pPr>
      <w:r w:rsidRPr="00F90EAE">
        <w:rPr>
          <w:color w:val="000000" w:themeColor="text1"/>
          <w:sz w:val="16"/>
          <w:szCs w:val="16"/>
        </w:rPr>
        <w:t>Войска 2-го Белорусского фронта стремительными ударами сломили сопротивление противника западнее города Хойнице (Конитц). Немцы располагали здесь выгодными, заранее подготовленными позициями. Лесистая местность, изобилующая реками и озёрами, крайне затрудняла действия наших наступающих частей. Советская пехота, поддержанная артиллерией, преодолела несколько оборонительных рубежей противника. Ожесточённые бои произошли за город Шлохау — сильный опорный пункт вражеской обороны. С востока город прикрывают озёра. На северных и южных подступах к нему немцы построили долговременные оборонительные укрепления. Совершив обходный манёвр, наши части обошли озеро и ворвались на улицы Шлохау. В упорных боях вражеский гарнизон был разгромлён. Город Шлохау — важный узел железных и шоссейных дорог — занят нашими войсками. В бреши, образовавшиеся в немецкой обороне, устремились наши подвижные соединения и пехота. Советские пехотинцы и танкисты выбили немцев из городов Хаммерштайн и Штегерс, уничтожив при этом свыше 2 тысяч солдат и офицеров противника, 22 танка, 46 орудий и 7 бронетранспортёров. Захвачено много трофеев и пленных.</w:t>
      </w:r>
    </w:p>
    <w:p w14:paraId="33AAEF07" w14:textId="77777777" w:rsidR="005903DB" w:rsidRPr="00F90EAE" w:rsidRDefault="005903DB" w:rsidP="00F90EAE">
      <w:pPr>
        <w:jc w:val="both"/>
        <w:rPr>
          <w:color w:val="000000" w:themeColor="text1"/>
          <w:sz w:val="16"/>
          <w:szCs w:val="16"/>
        </w:rPr>
      </w:pPr>
      <w:r w:rsidRPr="00F90EAE">
        <w:rPr>
          <w:color w:val="000000" w:themeColor="text1"/>
          <w:sz w:val="16"/>
          <w:szCs w:val="16"/>
        </w:rPr>
        <w:t>Развивая успех, войска фронта стремительно продвинулись вперёд и овладели городом Бублиц— узлом трёх железных и нескольких шоссейных дорог. Город Бублиц находится в 45—50 километрах от побережья Балтийского моря. Противник, отступающий под ударами наших войск, несёт большие потери в живой силе и технике.</w:t>
      </w:r>
    </w:p>
    <w:p w14:paraId="3FA0B975" w14:textId="77777777" w:rsidR="005903DB" w:rsidRPr="00F90EAE" w:rsidRDefault="005903DB" w:rsidP="00F90EAE">
      <w:pPr>
        <w:jc w:val="both"/>
        <w:rPr>
          <w:color w:val="000000" w:themeColor="text1"/>
          <w:sz w:val="16"/>
          <w:szCs w:val="16"/>
        </w:rPr>
      </w:pPr>
      <w:r w:rsidRPr="00F90EAE">
        <w:rPr>
          <w:color w:val="000000" w:themeColor="text1"/>
          <w:sz w:val="16"/>
          <w:szCs w:val="16"/>
        </w:rPr>
        <w:t>В Бреслау наши войска вели бои по ликвидации окружённой в городе группировки противника. Немцы предприняли несколько попыток вернуть потерянные ими вчера позиции. Все вражеские контратаки отбиты с большими для противника потерями. Наши штурмовые отряды, продвигаясь вперед, очистили от гитлеровцев 12 кварталов и район стадиона.</w:t>
      </w:r>
    </w:p>
    <w:p w14:paraId="13F79626" w14:textId="77777777" w:rsidR="005903DB" w:rsidRPr="00F90EAE" w:rsidRDefault="005903DB" w:rsidP="00F90EAE">
      <w:pPr>
        <w:jc w:val="both"/>
        <w:rPr>
          <w:color w:val="000000" w:themeColor="text1"/>
          <w:sz w:val="16"/>
          <w:szCs w:val="16"/>
        </w:rPr>
      </w:pPr>
      <w:r w:rsidRPr="00F90EAE">
        <w:rPr>
          <w:color w:val="000000" w:themeColor="text1"/>
          <w:sz w:val="16"/>
          <w:szCs w:val="16"/>
        </w:rPr>
        <w:t xml:space="preserve">В боях с врагом советские воины проявляют доблесть и геройство. Группа немецкой пехоты, поддержанная шестью танками и бронетранспортёрами, контратаковала подразделение гвардии старшего лейтенанта Воронцова. Советские гвардейцы в ожесточённой схватке истребили 80 гитлеровцев, уничтожили 2 бронетранспортёра </w:t>
      </w:r>
      <w:r w:rsidRPr="00F90EAE">
        <w:rPr>
          <w:color w:val="000000" w:themeColor="text1"/>
          <w:sz w:val="16"/>
          <w:szCs w:val="16"/>
        </w:rPr>
        <w:lastRenderedPageBreak/>
        <w:t>и захватили в плен 50 немецких солдат и офицеров. В этом бою особенно отличился рядовой Филиппов. Он подполз к вражескому бронетранспортёру и бросил в него гранату. Гитлеровцы начали выскакивать из машины. Очередями из автомата т. Филиппов уничтожил 19 немецких солдат и водителя бронетранспортёра.</w:t>
      </w:r>
    </w:p>
    <w:p w14:paraId="1C47DEB6" w14:textId="77777777" w:rsidR="005903DB" w:rsidRPr="00F90EAE" w:rsidRDefault="005903DB" w:rsidP="00F90EAE">
      <w:pPr>
        <w:jc w:val="both"/>
        <w:rPr>
          <w:color w:val="000000" w:themeColor="text1"/>
          <w:sz w:val="16"/>
          <w:szCs w:val="16"/>
        </w:rPr>
      </w:pPr>
      <w:r w:rsidRPr="00F90EAE">
        <w:rPr>
          <w:color w:val="000000" w:themeColor="text1"/>
          <w:sz w:val="16"/>
          <w:szCs w:val="16"/>
        </w:rPr>
        <w:t>На одном участке 4-го Украинского фронта пехота и самоходные орудия противника предприняли разведку боем. Стрелки подразделения капитана Мамонтова и артиллеристы подразделения старшего лейтенанта Зинько встретили перешедших в атаку гитлеровцев артиллерийским и пулемётным огнём. Немцы поспешно отступили, оставив на подступах к нашим позициям десятки трупов своих солдат и два подбитых самоходных орудия.</w:t>
      </w:r>
    </w:p>
    <w:p w14:paraId="0C37BAB8" w14:textId="77777777" w:rsidR="005903DB" w:rsidRPr="00F90EAE" w:rsidRDefault="005903DB" w:rsidP="00F90EAE">
      <w:pPr>
        <w:jc w:val="both"/>
        <w:rPr>
          <w:color w:val="000000" w:themeColor="text1"/>
          <w:sz w:val="16"/>
          <w:szCs w:val="16"/>
        </w:rPr>
      </w:pPr>
      <w:r w:rsidRPr="00F90EAE">
        <w:rPr>
          <w:color w:val="000000" w:themeColor="text1"/>
          <w:sz w:val="16"/>
          <w:szCs w:val="16"/>
        </w:rPr>
        <w:t>Восточнее Франкфурта-на-Одере взят в плен инспектор инженерных сооружений укреплённого района Циленциг немецкий майор Бойн. Пленный рассказал: «Немецкое командование возлагало большие надежды на укреплённый район Циленциг. Предполагалось, что его будут оборонять дивизии, отступавшие от Вислы. Но эти дивизии не пришли, мы так и не дождались их. Они попали в «котлы» и были уничтожены Красной Армией. Тогда командование спешно направило для защиты города свежие кадровые части и много батальонов фольксштурма. Я специалист по строительству укреплений и работаю в этой области много лет. Сознаюсь: я никогда не верил, что русские смогут прорвать нашу оборону. Так думал не я один. Многие специалисты уверяли, что вторжение русских в Германию с Востока невозможно. Даже после страшной сталинградской катастрофы, наконец, после крушения Центрального фронта летом 1944 года мы ещё продолжали верить, что укрепления на Висле и на границе Германии непреодолимы. Однако нас постигло горькое разочарование. Русские прорвали нашу оборону, как на Висле, так и на границах Германии. Удары советских войск деморализовали солдат. Многие из них теперь говорят: «Мы нигде не удержимся, русская пехота и танки сметут нас» (15053).</w:t>
      </w:r>
    </w:p>
    <w:p w14:paraId="5102ED13" w14:textId="77777777" w:rsidR="005903DB" w:rsidRPr="00F90EAE" w:rsidRDefault="005903DB" w:rsidP="00F90EAE">
      <w:pPr>
        <w:jc w:val="both"/>
        <w:rPr>
          <w:color w:val="000000" w:themeColor="text1"/>
          <w:sz w:val="16"/>
          <w:szCs w:val="16"/>
        </w:rPr>
      </w:pPr>
    </w:p>
    <w:p w14:paraId="784DCFA2" w14:textId="77777777" w:rsidR="005903D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C2382F8" w14:textId="77777777" w:rsidR="005903DB" w:rsidRPr="00F90EAE" w:rsidRDefault="005903DB" w:rsidP="00F90EAE">
      <w:pPr>
        <w:autoSpaceDE w:val="0"/>
        <w:autoSpaceDN w:val="0"/>
        <w:adjustRightInd w:val="0"/>
        <w:jc w:val="both"/>
        <w:rPr>
          <w:iCs/>
          <w:color w:val="000000" w:themeColor="text1"/>
          <w:sz w:val="16"/>
          <w:szCs w:val="16"/>
        </w:rPr>
      </w:pPr>
    </w:p>
    <w:p w14:paraId="59644D84" w14:textId="77777777" w:rsidR="005903DB" w:rsidRPr="00F90EAE" w:rsidRDefault="005903DB" w:rsidP="00F90EAE">
      <w:pPr>
        <w:jc w:val="both"/>
        <w:rPr>
          <w:color w:val="000000" w:themeColor="text1"/>
          <w:sz w:val="16"/>
          <w:szCs w:val="16"/>
        </w:rPr>
      </w:pPr>
      <w:r w:rsidRPr="00F90EAE">
        <w:rPr>
          <w:bCs/>
          <w:color w:val="000000" w:themeColor="text1"/>
          <w:sz w:val="16"/>
          <w:szCs w:val="16"/>
        </w:rPr>
        <w:t>27 февраля</w:t>
      </w:r>
      <w:r w:rsidRPr="00F90EAE">
        <w:rPr>
          <w:color w:val="000000" w:themeColor="text1"/>
          <w:sz w:val="16"/>
          <w:szCs w:val="16"/>
        </w:rPr>
        <w:t xml:space="preserve"> в 1945 году заместитель министра иностранных дел СССР А.Я.Вышинский заставил румынского короля назначить коммунистическое правительство Грозы (15053).</w:t>
      </w:r>
    </w:p>
    <w:p w14:paraId="77FEB098" w14:textId="77777777" w:rsidR="005903DB" w:rsidRPr="00F90EAE" w:rsidRDefault="005903DB" w:rsidP="00F90EAE">
      <w:pPr>
        <w:jc w:val="both"/>
        <w:rPr>
          <w:color w:val="000000" w:themeColor="text1"/>
          <w:sz w:val="16"/>
          <w:szCs w:val="16"/>
        </w:rPr>
      </w:pPr>
    </w:p>
    <w:p w14:paraId="00C9A9C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3835385" w14:textId="77777777" w:rsidR="00665165" w:rsidRPr="00F90EAE" w:rsidRDefault="00665165" w:rsidP="00F90EAE">
      <w:pPr>
        <w:autoSpaceDE w:val="0"/>
        <w:autoSpaceDN w:val="0"/>
        <w:adjustRightInd w:val="0"/>
        <w:jc w:val="both"/>
        <w:rPr>
          <w:iCs/>
          <w:color w:val="000000" w:themeColor="text1"/>
          <w:sz w:val="16"/>
          <w:szCs w:val="16"/>
        </w:rPr>
      </w:pPr>
    </w:p>
    <w:p w14:paraId="7027E470" w14:textId="77777777" w:rsidR="005903DB" w:rsidRPr="00F90EAE" w:rsidRDefault="005903DB" w:rsidP="00F90EAE">
      <w:pPr>
        <w:jc w:val="both"/>
        <w:rPr>
          <w:color w:val="000000" w:themeColor="text1"/>
          <w:sz w:val="16"/>
          <w:szCs w:val="16"/>
        </w:rPr>
      </w:pPr>
      <w:r w:rsidRPr="00F90EAE">
        <w:rPr>
          <w:bCs/>
          <w:color w:val="000000" w:themeColor="text1"/>
          <w:sz w:val="16"/>
          <w:szCs w:val="16"/>
        </w:rPr>
        <w:t>27 февраля</w:t>
      </w:r>
      <w:r w:rsidRPr="00F90EAE">
        <w:rPr>
          <w:color w:val="000000" w:themeColor="text1"/>
          <w:sz w:val="16"/>
          <w:szCs w:val="16"/>
        </w:rPr>
        <w:t xml:space="preserve"> в 1945 году полетел «Me.262C-1a» «Heimatschutzer» переоборудованный из </w:t>
      </w:r>
      <w:hyperlink r:id="rId51" w:tgtFrame="_blank" w:history="1">
        <w:r w:rsidRPr="00F90EAE">
          <w:rPr>
            <w:color w:val="000000" w:themeColor="text1"/>
            <w:sz w:val="16"/>
            <w:szCs w:val="16"/>
          </w:rPr>
          <w:t xml:space="preserve">«Me. 262A-1a» </w:t>
        </w:r>
      </w:hyperlink>
      <w:r w:rsidRPr="00F90EAE">
        <w:rPr>
          <w:color w:val="000000" w:themeColor="text1"/>
          <w:sz w:val="16"/>
          <w:szCs w:val="16"/>
        </w:rPr>
        <w:t>(№ 130 186) под управлением Герда Линднера. «Me 262C-1» был оснащен ракетным двигателем «Walter» «R II-211/3» (HWK 509), установленным в хвостовой части фюзеляжа. Т-топливо заливалось в передний 900-л бак, а С-топливо - в задний 600-л. Топливо для «Jumo 004B» заливалось в задний основной 900-л бак и в передний дополнительный на 170 л. Хотя ракетный двигатель существенно снижал дистанцию разбега, на «Me 262С-1а» он в основном использовался для набора высоты. Несмотря на дополнительные 1700 кгc тяги, "Защитник дома" при весе 7800 кг требовал для взлета 600 м "бетонки" - на 20% больше, чем с двумя стартовыми 500-кг ракетами "Борзиг". В результате "Вальтер" запускался уже после начала разбега, для чего пилоту требовалось нажать две кнопки с двухсекундным интервалом. Хотя «R II-211/3» работал всего три минуты, этого было достаточно для набора высоты 8000 м, а высоту 11700 м самолет набирал со старта за 4,5 мин. Линднер успел совершить на «Me 262C-1» только четыре полета, когда работы были переключены на «Me 262С-3». В начале 1945 г. особое внимание уделялось разработке ракетного варианта самолета «Me.262», так называемого Heimatschutzer ("Защитника дома"), способного очень быстро выходить на высоту перехвата (15053).</w:t>
      </w:r>
    </w:p>
    <w:p w14:paraId="4573A129" w14:textId="77777777" w:rsidR="005903DB" w:rsidRPr="00F90EAE" w:rsidRDefault="005903DB" w:rsidP="00F90EAE">
      <w:pPr>
        <w:jc w:val="both"/>
        <w:rPr>
          <w:color w:val="000000" w:themeColor="text1"/>
          <w:sz w:val="16"/>
          <w:szCs w:val="16"/>
        </w:rPr>
      </w:pPr>
    </w:p>
    <w:p w14:paraId="7FFA8120" w14:textId="77777777" w:rsidR="005903DB" w:rsidRPr="00F90EAE" w:rsidRDefault="005903DB" w:rsidP="00F90EAE">
      <w:pPr>
        <w:jc w:val="both"/>
        <w:rPr>
          <w:color w:val="000000" w:themeColor="text1"/>
          <w:sz w:val="16"/>
          <w:szCs w:val="16"/>
        </w:rPr>
      </w:pPr>
      <w:r w:rsidRPr="00F90EAE">
        <w:rPr>
          <w:bCs/>
          <w:color w:val="000000" w:themeColor="text1"/>
          <w:sz w:val="16"/>
          <w:szCs w:val="16"/>
        </w:rPr>
        <w:t>27 февраля</w:t>
      </w:r>
      <w:r w:rsidRPr="00F90EAE">
        <w:rPr>
          <w:color w:val="000000" w:themeColor="text1"/>
          <w:sz w:val="16"/>
          <w:szCs w:val="16"/>
        </w:rPr>
        <w:t xml:space="preserve"> в 1945 году состоялся первый полет французского транспортного самолета </w:t>
      </w:r>
      <w:hyperlink r:id="rId52" w:tgtFrame="_blank" w:history="1">
        <w:r w:rsidRPr="00F90EAE">
          <w:rPr>
            <w:color w:val="000000" w:themeColor="text1"/>
            <w:sz w:val="16"/>
            <w:szCs w:val="16"/>
          </w:rPr>
          <w:t xml:space="preserve">«Breguet» «Br.500» «Colmar». </w:t>
        </w:r>
      </w:hyperlink>
      <w:r w:rsidRPr="00F90EAE">
        <w:rPr>
          <w:color w:val="000000" w:themeColor="text1"/>
          <w:sz w:val="16"/>
          <w:szCs w:val="16"/>
        </w:rPr>
        <w:t>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(15053).</w:t>
      </w:r>
    </w:p>
    <w:p w14:paraId="4838A3A8" w14:textId="77777777" w:rsidR="005903DB" w:rsidRPr="00F90EAE" w:rsidRDefault="005903DB" w:rsidP="00F90EAE">
      <w:pPr>
        <w:jc w:val="both"/>
        <w:rPr>
          <w:color w:val="000000" w:themeColor="text1"/>
          <w:sz w:val="16"/>
          <w:szCs w:val="16"/>
        </w:rPr>
      </w:pPr>
    </w:p>
    <w:p w14:paraId="2F06A1F5" w14:textId="77777777" w:rsidR="00497AEB" w:rsidRPr="00F90EAE" w:rsidRDefault="00497AEB" w:rsidP="00F90EAE">
      <w:pPr>
        <w:jc w:val="both"/>
        <w:rPr>
          <w:color w:val="0070C0"/>
          <w:sz w:val="16"/>
          <w:szCs w:val="16"/>
        </w:rPr>
      </w:pPr>
      <w:r w:rsidRPr="00F90EAE">
        <w:rPr>
          <w:color w:val="0070C0"/>
          <w:sz w:val="16"/>
          <w:szCs w:val="16"/>
        </w:rPr>
        <w:t>27 февраля 1945 - Состоялся первый полет французского транспортного самолета Breguet Br.500 Colmar. Br.500 был крупным самолётом, так как разрабатывался в качестве транспортной модификации тяжелого дальнего бомбардировщика Br.480. В частности, для коренной переработки был предложен вариант Br.483 оставшийся только на чертежной доске. Первые испытания самолёта прошли вполне успешно, но в дальнейшем выявились проблемы в силовой установке на устранение которых понадобилось бы большое количество времени. В октябре 1947 года, из-за многочисленных технических проблем, самолёт оставили на временное хранение на аэродроме Виллакубли и в скором времени списали на слом (22584).</w:t>
      </w:r>
    </w:p>
    <w:p w14:paraId="2C7FFA70" w14:textId="77777777" w:rsidR="00497AEB" w:rsidRPr="00F90EAE" w:rsidRDefault="00497AEB" w:rsidP="00F90EAE">
      <w:pPr>
        <w:jc w:val="both"/>
        <w:rPr>
          <w:color w:val="0070C0"/>
          <w:sz w:val="16"/>
          <w:szCs w:val="16"/>
        </w:rPr>
      </w:pPr>
    </w:p>
    <w:p w14:paraId="538DD17D" w14:textId="77777777" w:rsidR="00497AEB" w:rsidRPr="00F90EAE" w:rsidRDefault="00497AEB" w:rsidP="00F90EAE">
      <w:pPr>
        <w:jc w:val="both"/>
        <w:rPr>
          <w:color w:val="0070C0"/>
          <w:sz w:val="16"/>
          <w:szCs w:val="16"/>
        </w:rPr>
      </w:pPr>
      <w:r w:rsidRPr="00F90EAE">
        <w:rPr>
          <w:color w:val="0070C0"/>
          <w:sz w:val="16"/>
          <w:szCs w:val="16"/>
        </w:rPr>
        <w:t>27 февраля 1945 первый полет Curtiss XF15C (20371).</w:t>
      </w:r>
    </w:p>
    <w:p w14:paraId="02AA8540" w14:textId="77777777" w:rsidR="00497AEB" w:rsidRPr="00F90EAE" w:rsidRDefault="00497AEB" w:rsidP="00F90EAE">
      <w:pPr>
        <w:jc w:val="both"/>
        <w:rPr>
          <w:color w:val="0070C0"/>
          <w:sz w:val="16"/>
          <w:szCs w:val="16"/>
        </w:rPr>
      </w:pPr>
    </w:p>
    <w:p w14:paraId="62C69DBF" w14:textId="77777777" w:rsidR="00497AEB" w:rsidRPr="00F90EAE" w:rsidRDefault="00497AEB" w:rsidP="00F90EAE">
      <w:pPr>
        <w:jc w:val="both"/>
        <w:rPr>
          <w:color w:val="0070C0"/>
          <w:sz w:val="16"/>
          <w:szCs w:val="16"/>
        </w:rPr>
      </w:pPr>
      <w:r w:rsidRPr="00F90EAE">
        <w:rPr>
          <w:color w:val="0070C0"/>
          <w:sz w:val="16"/>
          <w:szCs w:val="16"/>
        </w:rPr>
        <w:t>27 февраля 1945 - Первый полет палубного истребителя Curtiss XF15C. На самолете стояли поршневой мотор Pratt &amp; Whitney R-2800-34W "Twin Wasp" с непосредственным впрыском воды и реактивный de Havilland-Halford "Goblin"I. В горизонтальном полете XF15C-1 развивал скорость до 600 км/ч на высоте 7000 метров, но при включенном реактивном двигателе она возрастала до 755 км/ч на той же высоте. Намеченные ранее результаты были достигнуты, однако серийное производство XF15C решили не начинать (22584).</w:t>
      </w:r>
    </w:p>
    <w:p w14:paraId="789E9CC0" w14:textId="77777777" w:rsidR="00497AEB" w:rsidRPr="00F90EAE" w:rsidRDefault="00497AEB" w:rsidP="00F90EAE">
      <w:pPr>
        <w:jc w:val="both"/>
        <w:rPr>
          <w:color w:val="0070C0"/>
          <w:sz w:val="16"/>
          <w:szCs w:val="16"/>
        </w:rPr>
      </w:pPr>
    </w:p>
    <w:p w14:paraId="3FEB47C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27, 1945: Under Soviet pressure, Rumanian King Michael I is forced to appoint a Communist government. The US 8th Air Force launches another heavy attack against Berlin which devastates the center of the city (3819).</w:t>
      </w:r>
    </w:p>
    <w:p w14:paraId="402CD49D" w14:textId="77777777" w:rsidR="00665165" w:rsidRPr="00F90EAE" w:rsidRDefault="00665165" w:rsidP="00F90EAE">
      <w:pPr>
        <w:autoSpaceDE w:val="0"/>
        <w:autoSpaceDN w:val="0"/>
        <w:adjustRightInd w:val="0"/>
        <w:jc w:val="both"/>
        <w:rPr>
          <w:color w:val="000000" w:themeColor="text1"/>
          <w:sz w:val="16"/>
          <w:szCs w:val="16"/>
          <w:lang w:val="en-US"/>
        </w:rPr>
      </w:pPr>
    </w:p>
    <w:p w14:paraId="12E55D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под давлением СССР король Румынии Михаил назначил коммунистическое правительство. 8ВА США провела налет на Берлин, который уничтожил центр города (3819).</w:t>
      </w:r>
    </w:p>
    <w:p w14:paraId="044203BA" w14:textId="77777777" w:rsidR="00665165" w:rsidRPr="00F90EAE" w:rsidRDefault="00665165" w:rsidP="00F90EAE">
      <w:pPr>
        <w:autoSpaceDE w:val="0"/>
        <w:autoSpaceDN w:val="0"/>
        <w:adjustRightInd w:val="0"/>
        <w:jc w:val="both"/>
        <w:rPr>
          <w:color w:val="000000" w:themeColor="text1"/>
          <w:sz w:val="16"/>
          <w:szCs w:val="16"/>
        </w:rPr>
      </w:pPr>
    </w:p>
    <w:p w14:paraId="72511C4D" w14:textId="77777777" w:rsidR="00497AEB" w:rsidRPr="00F90EAE" w:rsidRDefault="00497AEB" w:rsidP="00F90EAE">
      <w:pPr>
        <w:jc w:val="both"/>
        <w:rPr>
          <w:color w:val="0070C0"/>
          <w:sz w:val="16"/>
          <w:szCs w:val="16"/>
        </w:rPr>
      </w:pPr>
      <w:r w:rsidRPr="00F90EAE">
        <w:rPr>
          <w:color w:val="0070C0"/>
          <w:sz w:val="16"/>
          <w:szCs w:val="16"/>
        </w:rPr>
        <w:t>27 февраля 1945 у Iwo Jima, десантный корабль ВМС США USS LST-776, специально оборудованный стрелами и тросами для запуска легких самолетов, совершает первый успешный запуск самолета-наблюдателя Piper OY-1 Cub (20371).</w:t>
      </w:r>
    </w:p>
    <w:p w14:paraId="2CB79F79" w14:textId="77777777" w:rsidR="00497AEB" w:rsidRPr="00F90EAE" w:rsidRDefault="00497AEB" w:rsidP="00F90EAE">
      <w:pPr>
        <w:jc w:val="both"/>
        <w:rPr>
          <w:color w:val="0070C0"/>
          <w:sz w:val="16"/>
          <w:szCs w:val="16"/>
        </w:rPr>
      </w:pPr>
    </w:p>
    <w:p w14:paraId="7395977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февраля 1945 Ливан объявил войну Германии и Японии (4962).</w:t>
      </w:r>
    </w:p>
    <w:p w14:paraId="4CE0801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B9F57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1945 Ф.Д.Р. провел на борту крейсера совещание, в котором приняли участие хайле Силласие из Эфиопии, король Фарук из Турции и король Ибн Сауд из Саудовской Аравии. Де Голь отказался принять участие (2248,3).</w:t>
      </w:r>
    </w:p>
    <w:p w14:paraId="0AEEFB4B" w14:textId="77777777" w:rsidR="00665165" w:rsidRPr="00F90EAE" w:rsidRDefault="00665165" w:rsidP="00F90EAE">
      <w:pPr>
        <w:autoSpaceDE w:val="0"/>
        <w:autoSpaceDN w:val="0"/>
        <w:adjustRightInd w:val="0"/>
        <w:jc w:val="both"/>
        <w:rPr>
          <w:color w:val="000000" w:themeColor="text1"/>
          <w:sz w:val="16"/>
          <w:szCs w:val="16"/>
        </w:rPr>
      </w:pPr>
    </w:p>
    <w:p w14:paraId="0D2B26C5" w14:textId="77777777" w:rsidR="00E86366" w:rsidRPr="00F90EAE" w:rsidRDefault="00E86366"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B7B01B9" w14:textId="77777777" w:rsidR="00E86366" w:rsidRPr="00F90EAE" w:rsidRDefault="00E86366" w:rsidP="00F90EAE">
      <w:pPr>
        <w:autoSpaceDE w:val="0"/>
        <w:autoSpaceDN w:val="0"/>
        <w:adjustRightInd w:val="0"/>
        <w:jc w:val="both"/>
        <w:rPr>
          <w:iCs/>
          <w:color w:val="000000" w:themeColor="text1"/>
          <w:sz w:val="16"/>
          <w:szCs w:val="16"/>
        </w:rPr>
      </w:pPr>
    </w:p>
    <w:p w14:paraId="48FDEBDA"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28 февраля 1945 года прицел - ПШ-3, который был разработан заводом № 589 НКВ специально для Ил-10, в целом успешно прошел государственные испытания на самолете Ил-2 (зав. № 0944) в ГК НИИ ВВС, которые шли с 22 февраля. Отчет по испытаниям утвержден 12 марта заместителем начальника института генерал-лейтенантом М. В. Гуревичем.</w:t>
      </w:r>
    </w:p>
    <w:p w14:paraId="504DD546"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54FBB86B" w14:textId="77777777" w:rsidR="00E86366" w:rsidRPr="00F90EAE" w:rsidRDefault="00E86366"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57DEC07A"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178AFFD5" w14:textId="77777777" w:rsidR="00E86366" w:rsidRPr="00F90EAE" w:rsidRDefault="00E86366"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4A855D5A"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795B30C4"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lastRenderedPageBreak/>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3A6ABEB2" w14:textId="77777777" w:rsidR="00E86366" w:rsidRPr="00F90EAE" w:rsidRDefault="00E86366"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2C22974B"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4612EFEA"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5F8AAB6A"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5DEDF51" w14:textId="77777777" w:rsidR="00E86366" w:rsidRPr="00F90EAE" w:rsidRDefault="00E86366" w:rsidP="00F90EAE">
      <w:pPr>
        <w:jc w:val="both"/>
        <w:rPr>
          <w:color w:val="000000" w:themeColor="text1"/>
          <w:sz w:val="16"/>
          <w:szCs w:val="16"/>
        </w:rPr>
      </w:pPr>
      <w:r w:rsidRPr="00F90EAE">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322A1027" w14:textId="77777777" w:rsidR="00E86366" w:rsidRPr="00F90EAE" w:rsidRDefault="00E86366"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12BA66F6" w14:textId="77777777" w:rsidR="00E86366" w:rsidRPr="00F90EAE" w:rsidRDefault="00E86366" w:rsidP="00F90EAE">
      <w:pPr>
        <w:jc w:val="both"/>
        <w:rPr>
          <w:rStyle w:val="107"/>
          <w:rFonts w:eastAsiaTheme="minorHAnsi"/>
          <w:color w:val="000000" w:themeColor="text1"/>
          <w:sz w:val="16"/>
          <w:szCs w:val="16"/>
        </w:rPr>
      </w:pPr>
    </w:p>
    <w:p w14:paraId="2A2C5666" w14:textId="77777777" w:rsidR="00DA485C" w:rsidRPr="00F90EAE" w:rsidRDefault="00DA485C" w:rsidP="00F90EAE">
      <w:pPr>
        <w:jc w:val="both"/>
        <w:rPr>
          <w:color w:val="0070C0"/>
          <w:sz w:val="16"/>
          <w:szCs w:val="16"/>
        </w:rPr>
      </w:pPr>
      <w:r w:rsidRPr="00F90EAE">
        <w:rPr>
          <w:color w:val="0070C0"/>
          <w:sz w:val="16"/>
          <w:szCs w:val="16"/>
        </w:rPr>
        <w:t>28 февраля 1945 г. после освобождения А.Г. Костиков получил обратно все свои звания и Звезду Героя, кроме директорского поста в НИИ-3. В том же 1945 г. он устроился на работу в НИИ-24 (Научно-исследовательский машиностроительный институт), где и трудился в должности начальника отдела над хорошо ему знакомой старой темой - разработкой реактивных снарядов (22685).</w:t>
      </w:r>
    </w:p>
    <w:p w14:paraId="01FB51FD" w14:textId="77777777" w:rsidR="00DA485C" w:rsidRPr="00F90EAE" w:rsidRDefault="00DA485C" w:rsidP="00F90EAE">
      <w:pPr>
        <w:jc w:val="both"/>
        <w:rPr>
          <w:color w:val="0070C0"/>
          <w:sz w:val="16"/>
          <w:szCs w:val="16"/>
        </w:rPr>
      </w:pPr>
    </w:p>
    <w:p w14:paraId="140CA71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472C7EA" w14:textId="77777777" w:rsidR="00665165" w:rsidRPr="00F90EAE" w:rsidRDefault="00665165" w:rsidP="00F90EAE">
      <w:pPr>
        <w:autoSpaceDE w:val="0"/>
        <w:autoSpaceDN w:val="0"/>
        <w:adjustRightInd w:val="0"/>
        <w:jc w:val="both"/>
        <w:rPr>
          <w:iCs/>
          <w:color w:val="000000" w:themeColor="text1"/>
          <w:sz w:val="16"/>
          <w:szCs w:val="16"/>
        </w:rPr>
      </w:pPr>
    </w:p>
    <w:p w14:paraId="026C3C72" w14:textId="77777777" w:rsidR="004945E9" w:rsidRPr="00F90EAE" w:rsidRDefault="004945E9" w:rsidP="00F90EAE">
      <w:pPr>
        <w:jc w:val="both"/>
        <w:rPr>
          <w:color w:val="000000" w:themeColor="text1"/>
          <w:sz w:val="16"/>
          <w:szCs w:val="16"/>
        </w:rPr>
      </w:pPr>
      <w:r w:rsidRPr="00F90EAE">
        <w:rPr>
          <w:color w:val="000000" w:themeColor="text1"/>
          <w:sz w:val="16"/>
          <w:szCs w:val="16"/>
        </w:rPr>
        <w:t>С 28 февраля по 2 марта 1944 в Т-34-100 испытывалась стрельбой (1000 выстрелов) и возкой (500 километров пробега) 100-мм пушка ЗИС-100 завода № 92 НКВ. В выводах об испытаниях говорилось:</w:t>
      </w:r>
    </w:p>
    <w:p w14:paraId="0D578C20" w14:textId="77777777" w:rsidR="004945E9" w:rsidRPr="00F90EAE" w:rsidRDefault="004945E9" w:rsidP="00F90EAE">
      <w:pPr>
        <w:jc w:val="both"/>
        <w:rPr>
          <w:color w:val="000000" w:themeColor="text1"/>
          <w:sz w:val="16"/>
          <w:szCs w:val="16"/>
        </w:rPr>
      </w:pPr>
      <w:r w:rsidRPr="00F90EAE">
        <w:rPr>
          <w:color w:val="000000" w:themeColor="text1"/>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72A76FA1" w14:textId="77777777" w:rsidR="004945E9" w:rsidRPr="00F90EAE" w:rsidRDefault="004945E9" w:rsidP="00F90EAE">
      <w:pPr>
        <w:jc w:val="both"/>
        <w:rPr>
          <w:color w:val="000000" w:themeColor="text1"/>
          <w:sz w:val="16"/>
          <w:szCs w:val="16"/>
        </w:rPr>
      </w:pPr>
      <w:r w:rsidRPr="00F90EAE">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1C7279AE" w14:textId="77777777" w:rsidR="004945E9" w:rsidRPr="00F90EAE" w:rsidRDefault="004945E9" w:rsidP="00F90EAE">
      <w:pPr>
        <w:jc w:val="both"/>
        <w:rPr>
          <w:color w:val="000000" w:themeColor="text1"/>
          <w:sz w:val="16"/>
          <w:szCs w:val="16"/>
        </w:rPr>
      </w:pPr>
      <w:r w:rsidRPr="00F90EAE">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6EB2B8B0" w14:textId="77777777" w:rsidR="004945E9" w:rsidRPr="00F90EAE" w:rsidRDefault="004945E9" w:rsidP="00F90EAE">
      <w:pPr>
        <w:jc w:val="both"/>
        <w:rPr>
          <w:color w:val="000000" w:themeColor="text1"/>
          <w:sz w:val="16"/>
          <w:szCs w:val="16"/>
        </w:rPr>
      </w:pPr>
      <w:r w:rsidRPr="00F90EAE">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596425C8" w14:textId="77777777" w:rsidR="004945E9" w:rsidRPr="00F90EAE" w:rsidRDefault="004945E9" w:rsidP="00F90EAE">
      <w:pPr>
        <w:jc w:val="both"/>
        <w:rPr>
          <w:color w:val="000000" w:themeColor="text1"/>
          <w:sz w:val="16"/>
          <w:szCs w:val="16"/>
        </w:rPr>
      </w:pPr>
    </w:p>
    <w:p w14:paraId="720A4E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 февраля 1945 г. вышел ПРИКАЗ НАРОДНОГО КОМИССАРА ТАНКОВОЙ ПРОМЫШЛЕННОСТИ СССР И ЗАМЕСТИТЕЛЯ КОМАНДУЮЩЕГО БТ и МВ КА О ПРОВЕДЕНИИ ПОЛИГОННЫХ ИСПЫТАНИЙ ОПЫТНОГО ОБРАЗЦА ТАНКА Т-54, ИЗГОТОВЛЕННОГО ЗАВОДОМ №183 № 92/021</w:t>
      </w:r>
    </w:p>
    <w:p w14:paraId="10759D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определения тактико-технической характеристики и проверки работоспособности вооружения, целеуказателя со следящей системой и агрегатов опытного образца танка Т-54 ПРИКАЗЫВАЮ:</w:t>
      </w:r>
    </w:p>
    <w:p w14:paraId="0B2E86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Провести испытания на научно-испытательном полигоне ГБТУ КА опытного образца Т-54.</w:t>
      </w:r>
    </w:p>
    <w:p w14:paraId="12ECE2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Для проведения испытания назначить комиссию в следующем составе: председатель -гв. полковник т, Кульчицкий; члены — инженер-капитан т. Захарцев И.Е. (от ТУ ГБТУ КА), инженер-подполковник т. Малявин И.М. (от НИБТ полигона ГБТУ КА), инженер-майор т. Иванов Б.А., инже</w:t>
      </w:r>
      <w:r w:rsidRPr="00F90EAE">
        <w:rPr>
          <w:color w:val="000000" w:themeColor="text1"/>
          <w:sz w:val="16"/>
          <w:szCs w:val="16"/>
        </w:rPr>
        <w:softHyphen/>
        <w:t>нер-капитан т. Кондрашев Н.А., подполковник т. Колпаков М.И. (от ГУФ и БП БТ и МВ КА), инженер-капитан т. Конев С.А. (от УСА ГБТУ КА), инженер-майор т. Толкачев (от ГАУ КА), инженер-майор т. Демусяк А.Г., ст. техник-лейтенант т. Зимин К.Б. (от УЭТ ГБТУ КА), подполковник т. Сергеев И.А. (от НКВ), т. Кучеренко, т. Наумов В.Г., т. Гутник (от НКТП.)</w:t>
      </w:r>
    </w:p>
    <w:p w14:paraId="24C6D8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Испытания танка Т-54 провести по программе, утвержденной начальником ГБТУ КА.</w:t>
      </w:r>
    </w:p>
    <w:p w14:paraId="7B7704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К испытаниям приступить 1 марта и закончить 20 марта с.г.</w:t>
      </w:r>
    </w:p>
    <w:p w14:paraId="1FE695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Заключение по испытаниям представить в НКТП и ГБТУ КА 21 марта, отчет по испытаниям -25 марта с.г.</w:t>
      </w:r>
    </w:p>
    <w:p w14:paraId="6BF866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Директору завода №183 генерал-майору инженерно-танковой службы т. Максареву:</w:t>
      </w:r>
    </w:p>
    <w:p w14:paraId="337A99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представить комиссии полную техническую документацию опытного образца танка Т-54;</w:t>
      </w:r>
    </w:p>
    <w:p w14:paraId="0161AB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выделить бригады для тех. обслуживания на период испытаний танка, обеспечить необходи</w:t>
      </w:r>
      <w:r w:rsidRPr="00F90EAE">
        <w:rPr>
          <w:color w:val="000000" w:themeColor="text1"/>
          <w:sz w:val="16"/>
          <w:szCs w:val="16"/>
        </w:rPr>
        <w:softHyphen/>
        <w:t>мыми запчастями и инструментом.</w:t>
      </w:r>
    </w:p>
    <w:p w14:paraId="1B0DD7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Начальнику НИБТ полигона ГБТУ КА генерал-майору танковых войск т. Романову:</w:t>
      </w:r>
    </w:p>
    <w:p w14:paraId="7D0C58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обеспечить опытный образец танка Т-54 обслуживанием и горюче-смазочными материалами на весь период испытаний;</w:t>
      </w:r>
    </w:p>
    <w:p w14:paraId="5DB622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обеспечить членов комиссии, ремонтные бригады и экипаж танка на время испытаний жил</w:t>
      </w:r>
      <w:r w:rsidRPr="00F90EAE">
        <w:rPr>
          <w:color w:val="000000" w:themeColor="text1"/>
          <w:sz w:val="16"/>
          <w:szCs w:val="16"/>
        </w:rPr>
        <w:softHyphen/>
        <w:t>площадью;</w:t>
      </w:r>
    </w:p>
    <w:p w14:paraId="2F638D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выделить в распоряжение председателя комиссии на время испытаний одну легковую машину и обеспечить ее бензином;</w:t>
      </w:r>
    </w:p>
    <w:p w14:paraId="192D3B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обеспечить питанием на время испытаний военнослужащих — членов комиссии (7 офицеров — представителей управления).</w:t>
      </w:r>
    </w:p>
    <w:p w14:paraId="77439F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Заместителю народного комиссара танковой промышленности т. Мосину на время испытаний с 1 по 25 марта с.г. выделить на 15 человек (представителей НКТП и завода №183) необходимые про</w:t>
      </w:r>
      <w:r w:rsidRPr="00F90EAE">
        <w:rPr>
          <w:color w:val="000000" w:themeColor="text1"/>
          <w:sz w:val="16"/>
          <w:szCs w:val="16"/>
        </w:rPr>
        <w:softHyphen/>
        <w:t>дукты питания и спецодежду.</w:t>
      </w:r>
    </w:p>
    <w:p w14:paraId="784481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Народный комиссар танковой промышленности СССР генерал-лейтенант инженерно-танковой службы Малышев</w:t>
      </w:r>
    </w:p>
    <w:p w14:paraId="772355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2184A6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Он. 11353. Д. 1519. Л. 54-55. Подлинник (11420).</w:t>
      </w:r>
    </w:p>
    <w:p w14:paraId="78F75766" w14:textId="77777777" w:rsidR="00665165" w:rsidRPr="00F90EAE" w:rsidRDefault="00665165" w:rsidP="00F90EAE">
      <w:pPr>
        <w:autoSpaceDE w:val="0"/>
        <w:autoSpaceDN w:val="0"/>
        <w:adjustRightInd w:val="0"/>
        <w:jc w:val="both"/>
        <w:rPr>
          <w:color w:val="000000" w:themeColor="text1"/>
          <w:sz w:val="16"/>
          <w:szCs w:val="16"/>
        </w:rPr>
      </w:pPr>
    </w:p>
    <w:p w14:paraId="43E0E9E0" w14:textId="77777777" w:rsidR="0096198F" w:rsidRPr="00F90EAE" w:rsidRDefault="009619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28 февраля 1945 года был подписан совместный приказ НКТП и БТМВ №92с/021. Согласно ему, испытания Т-54 должны были начаться 1 марта и закончиться 21 числа. 25 марта ожидалось получить от НИБТ Полигона отчёт об испытаниях. 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2679201A" w14:textId="77777777" w:rsidR="0096198F" w:rsidRPr="00F90EAE" w:rsidRDefault="009619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0FD1443D" w14:textId="77777777" w:rsidR="0096198F" w:rsidRPr="00F90EAE" w:rsidRDefault="0096198F" w:rsidP="00F90EAE">
      <w:pPr>
        <w:pStyle w:val="ae"/>
        <w:shd w:val="clear" w:color="auto" w:fill="FFFFFF"/>
        <w:spacing w:before="0" w:after="0"/>
        <w:jc w:val="both"/>
        <w:textAlignment w:val="baseline"/>
        <w:rPr>
          <w:color w:val="000000" w:themeColor="text1"/>
          <w:sz w:val="16"/>
          <w:szCs w:val="16"/>
        </w:rPr>
      </w:pPr>
    </w:p>
    <w:p w14:paraId="6A3393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 февраля 1945 г. вышел приказ наркома танковой промыш</w:t>
      </w:r>
      <w:r w:rsidRPr="00F90EAE">
        <w:rPr>
          <w:color w:val="000000" w:themeColor="text1"/>
          <w:sz w:val="16"/>
          <w:szCs w:val="16"/>
        </w:rPr>
        <w:softHyphen/>
        <w:t>ленности В. Малышева и заместителя командующего тан</w:t>
      </w:r>
      <w:r w:rsidRPr="00F90EAE">
        <w:rPr>
          <w:color w:val="000000" w:themeColor="text1"/>
          <w:sz w:val="16"/>
          <w:szCs w:val="16"/>
        </w:rPr>
        <w:softHyphen/>
        <w:t>ковых войск Коробкова за № 92/С/021, согласно которому в Кубинке с 11 марта по 14 апреля 1945 г. были проведены испытания макетного образца Т-54 (бывш. Т-44В). Вот краткое описание танка:</w:t>
      </w:r>
    </w:p>
    <w:p w14:paraId="57BCEF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«Корпус танка Т-54 сохранен от проекта Т-44-В, но тол</w:t>
      </w:r>
      <w:r w:rsidRPr="00F90EAE">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F90EAE">
        <w:rPr>
          <w:color w:val="000000" w:themeColor="text1"/>
          <w:sz w:val="16"/>
          <w:szCs w:val="16"/>
        </w:rPr>
        <w:softHyphen/>
        <w:t>дости, остальная - высокой. Общая длина корпуса танка от</w:t>
      </w:r>
      <w:r w:rsidRPr="00F90EAE">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F90EAE">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064306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танк установлена 100-мм пушка Д-10ТК обр. 1944 г. изготовления завода № 8, которая в отличие от 100-мм пуш</w:t>
      </w:r>
      <w:r w:rsidRPr="00F90EAE">
        <w:rPr>
          <w:color w:val="000000" w:themeColor="text1"/>
          <w:sz w:val="16"/>
          <w:szCs w:val="16"/>
        </w:rPr>
        <w:softHyphen/>
        <w:t>ки Д-10Т не имеет пружинн. уравновешивающий механизм. Труба ствола имеет более тонкие стенки, ствол уравновешен дополнительными грузами...»</w:t>
      </w:r>
    </w:p>
    <w:p w14:paraId="5469C4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ходе испытаний танк показал неплохую подвижность, но его максимальная скорость составила 43,5-44 км/ч про</w:t>
      </w:r>
      <w:r w:rsidRPr="00F90EAE">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78946E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F90EAE">
        <w:rPr>
          <w:color w:val="000000" w:themeColor="text1"/>
          <w:sz w:val="16"/>
          <w:szCs w:val="16"/>
        </w:rPr>
        <w:softHyphen/>
        <w:t>тование танковых и механизированных соединений...»</w:t>
      </w:r>
    </w:p>
    <w:p w14:paraId="715AAE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3EE9AC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7E3C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 фев</w:t>
      </w:r>
      <w:r w:rsidRPr="00F90EAE">
        <w:rPr>
          <w:color w:val="000000" w:themeColor="text1"/>
          <w:sz w:val="16"/>
          <w:szCs w:val="16"/>
        </w:rPr>
        <w:softHyphen/>
        <w:t>раля 1945 г. для проведения полигонных испы</w:t>
      </w:r>
      <w:r w:rsidRPr="00F90EAE">
        <w:rPr>
          <w:color w:val="000000" w:themeColor="text1"/>
          <w:sz w:val="16"/>
          <w:szCs w:val="16"/>
        </w:rPr>
        <w:softHyphen/>
        <w:t>таний Т-54 приказом НКТП и заместителя коман</w:t>
      </w:r>
      <w:r w:rsidRPr="00F90EAE">
        <w:rPr>
          <w:color w:val="000000" w:themeColor="text1"/>
          <w:sz w:val="16"/>
          <w:szCs w:val="16"/>
        </w:rPr>
        <w:softHyphen/>
        <w:t>дующего БТ и МВ КА №92/с/021 была назначена комиссия во главе с Е.А. Кульчицким.</w:t>
      </w:r>
    </w:p>
    <w:p w14:paraId="76DFBB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результатам полигонных испытаний, прошедшихв периоде 11 марта по 14апре</w:t>
      </w:r>
      <w:r w:rsidRPr="00F90EAE">
        <w:rPr>
          <w:color w:val="000000" w:themeColor="text1"/>
          <w:sz w:val="16"/>
          <w:szCs w:val="16"/>
        </w:rPr>
        <w:softHyphen/>
        <w:t>ля 1945 г., комиссией 14 апреля 1945 г. был представлен отчет, в выводах которого го</w:t>
      </w:r>
      <w:r w:rsidRPr="00F90EAE">
        <w:rPr>
          <w:color w:val="000000" w:themeColor="text1"/>
          <w:sz w:val="16"/>
          <w:szCs w:val="16"/>
        </w:rPr>
        <w:softHyphen/>
        <w:t>ворилось:</w:t>
      </w:r>
    </w:p>
    <w:p w14:paraId="002B91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w:t>
      </w:r>
      <w:r w:rsidRPr="00F90EAE">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F90EAE">
        <w:rPr>
          <w:iCs/>
          <w:color w:val="000000" w:themeColor="text1"/>
          <w:sz w:val="16"/>
          <w:szCs w:val="16"/>
        </w:rPr>
        <w:softHyphen/>
        <w:t>ходит по боевым качествам все современ</w:t>
      </w:r>
      <w:r w:rsidRPr="00F90EAE">
        <w:rPr>
          <w:iCs/>
          <w:color w:val="000000" w:themeColor="text1"/>
          <w:sz w:val="16"/>
          <w:szCs w:val="16"/>
        </w:rPr>
        <w:softHyphen/>
        <w:t>ные средние танки.</w:t>
      </w:r>
    </w:p>
    <w:p w14:paraId="2277D8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2. Опытный образец танка Т-54 испыта</w:t>
      </w:r>
      <w:r w:rsidRPr="00F90EAE">
        <w:rPr>
          <w:iCs/>
          <w:color w:val="000000" w:themeColor="text1"/>
          <w:sz w:val="16"/>
          <w:szCs w:val="16"/>
        </w:rPr>
        <w:softHyphen/>
        <w:t>ния по прочности основных агрегатов в объе</w:t>
      </w:r>
      <w:r w:rsidRPr="00F90EAE">
        <w:rPr>
          <w:iCs/>
          <w:color w:val="000000" w:themeColor="text1"/>
          <w:sz w:val="16"/>
          <w:szCs w:val="16"/>
        </w:rPr>
        <w:softHyphen/>
        <w:t>ме 1553 км пробега в зимних и весенних ус</w:t>
      </w:r>
      <w:r w:rsidRPr="00F90EAE">
        <w:rPr>
          <w:iCs/>
          <w:color w:val="000000" w:themeColor="text1"/>
          <w:sz w:val="16"/>
          <w:szCs w:val="16"/>
        </w:rPr>
        <w:softHyphen/>
        <w:t>ловиях выдержал.</w:t>
      </w:r>
    </w:p>
    <w:p w14:paraId="6ABF13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3. Танк имеет дефекты, обусловленные конструктивной недоработкой отдельных уз</w:t>
      </w:r>
      <w:r w:rsidRPr="00F90EAE">
        <w:rPr>
          <w:iCs/>
          <w:color w:val="000000" w:themeColor="text1"/>
          <w:sz w:val="16"/>
          <w:szCs w:val="16"/>
        </w:rPr>
        <w:softHyphen/>
        <w:t>лов, устранение которых значительно повы</w:t>
      </w:r>
      <w:r w:rsidRPr="00F90EAE">
        <w:rPr>
          <w:iCs/>
          <w:color w:val="000000" w:themeColor="text1"/>
          <w:sz w:val="16"/>
          <w:szCs w:val="16"/>
        </w:rPr>
        <w:softHyphen/>
        <w:t xml:space="preserve">сит тактико-технические качества танка». </w:t>
      </w:r>
      <w:r w:rsidRPr="00F90EAE">
        <w:rPr>
          <w:color w:val="000000" w:themeColor="text1"/>
          <w:sz w:val="16"/>
          <w:szCs w:val="16"/>
        </w:rPr>
        <w:t xml:space="preserve">В заключении комиссия отметила: «...3. </w:t>
      </w:r>
      <w:r w:rsidRPr="00F90EAE">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F90EAE">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F90EAE">
        <w:rPr>
          <w:iCs/>
          <w:color w:val="000000" w:themeColor="text1"/>
          <w:sz w:val="16"/>
          <w:szCs w:val="16"/>
        </w:rPr>
        <w:softHyphen/>
        <w:t>танциях, а трансмиссия и ходовая часть сни</w:t>
      </w:r>
      <w:r w:rsidRPr="00F90EAE">
        <w:rPr>
          <w:iCs/>
          <w:color w:val="000000" w:themeColor="text1"/>
          <w:sz w:val="16"/>
          <w:szCs w:val="16"/>
        </w:rPr>
        <w:softHyphen/>
        <w:t>жают динамические качества танка.</w:t>
      </w:r>
    </w:p>
    <w:p w14:paraId="3F4AAB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F90EAE">
        <w:rPr>
          <w:iCs/>
          <w:color w:val="000000" w:themeColor="text1"/>
          <w:sz w:val="16"/>
          <w:szCs w:val="16"/>
        </w:rPr>
        <w:softHyphen/>
        <w:t>довать танк Т-54 на вооружение Красной Ар</w:t>
      </w:r>
      <w:r w:rsidRPr="00F90EAE">
        <w:rPr>
          <w:iCs/>
          <w:color w:val="000000" w:themeColor="text1"/>
          <w:sz w:val="16"/>
          <w:szCs w:val="16"/>
        </w:rPr>
        <w:softHyphen/>
        <w:t>мии с обязательным устранением отмечен</w:t>
      </w:r>
      <w:r w:rsidRPr="00F90EAE">
        <w:rPr>
          <w:iCs/>
          <w:color w:val="000000" w:themeColor="text1"/>
          <w:sz w:val="16"/>
          <w:szCs w:val="16"/>
        </w:rPr>
        <w:softHyphen/>
        <w:t>ных в отчете недостатков.</w:t>
      </w:r>
    </w:p>
    <w:p w14:paraId="2E957B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5. В связи с тем, что отработка ряда новых узлов может задержать ввод в се</w:t>
      </w:r>
      <w:r w:rsidRPr="00F90EAE">
        <w:rPr>
          <w:iCs/>
          <w:color w:val="000000" w:themeColor="text1"/>
          <w:sz w:val="16"/>
          <w:szCs w:val="16"/>
        </w:rPr>
        <w:softHyphen/>
        <w:t>рийное производство танка Т-54, необхо</w:t>
      </w:r>
      <w:r w:rsidRPr="00F90EAE">
        <w:rPr>
          <w:iCs/>
          <w:color w:val="000000" w:themeColor="text1"/>
          <w:sz w:val="16"/>
          <w:szCs w:val="16"/>
        </w:rPr>
        <w:softHyphen/>
        <w:t>димость в котором в армии весьма вели</w:t>
      </w:r>
      <w:r w:rsidRPr="00F90EAE">
        <w:rPr>
          <w:iCs/>
          <w:color w:val="000000" w:themeColor="text1"/>
          <w:sz w:val="16"/>
          <w:szCs w:val="16"/>
        </w:rPr>
        <w:softHyphen/>
        <w:t>ка, комиссия считает возможным начать производство танков Т-54, не ожидая вве</w:t>
      </w:r>
      <w:r w:rsidRPr="00F90EAE">
        <w:rPr>
          <w:iCs/>
          <w:color w:val="000000" w:themeColor="text1"/>
          <w:sz w:val="16"/>
          <w:szCs w:val="16"/>
        </w:rPr>
        <w:softHyphen/>
        <w:t>дения следующих узлов и механизмов, срочную отработку которых поручить заво</w:t>
      </w:r>
      <w:r w:rsidRPr="00F90EAE">
        <w:rPr>
          <w:iCs/>
          <w:color w:val="000000" w:themeColor="text1"/>
          <w:sz w:val="16"/>
          <w:szCs w:val="16"/>
        </w:rPr>
        <w:softHyphen/>
        <w:t>ду №183 в очередности, устанавливаемой НКГПиГБТУКА:</w:t>
      </w:r>
    </w:p>
    <w:p w14:paraId="37AE85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а) башни по типу танка ИС-3;</w:t>
      </w:r>
    </w:p>
    <w:p w14:paraId="3D3826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б) КПП с синхронизаторами и 2-х ступен</w:t>
      </w:r>
      <w:r w:rsidRPr="00F90EAE">
        <w:rPr>
          <w:iCs/>
          <w:color w:val="000000" w:themeColor="text1"/>
          <w:sz w:val="16"/>
          <w:szCs w:val="16"/>
        </w:rPr>
        <w:softHyphen/>
        <w:t>чатого планетарного механизма поворота танка;</w:t>
      </w:r>
    </w:p>
    <w:p w14:paraId="2E319D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экрана от гранат типа «Фауст»;</w:t>
      </w:r>
    </w:p>
    <w:p w14:paraId="4084AB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г) изменение углов наклона кормовых листов корпуса;</w:t>
      </w:r>
    </w:p>
    <w:p w14:paraId="3CBF800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iCs/>
          <w:color w:val="000000" w:themeColor="text1"/>
          <w:sz w:val="16"/>
          <w:szCs w:val="16"/>
        </w:rPr>
        <w:t>д) вращающегося пола боевого отделе</w:t>
      </w:r>
      <w:r w:rsidRPr="00F90EAE">
        <w:rPr>
          <w:iCs/>
          <w:color w:val="000000" w:themeColor="text1"/>
          <w:sz w:val="16"/>
          <w:szCs w:val="16"/>
        </w:rPr>
        <w:softHyphen/>
        <w:t>ния;</w:t>
      </w:r>
    </w:p>
    <w:p w14:paraId="199EB0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е) смотровых приборов по типу М4А2 в командирской башенке;</w:t>
      </w:r>
    </w:p>
    <w:p w14:paraId="77F2A8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ж) гусениц с цевочным зацеплением;</w:t>
      </w:r>
    </w:p>
    <w:p w14:paraId="333C0C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з) амортизаторов ходовой части (на всех катках).</w:t>
      </w:r>
    </w:p>
    <w:p w14:paraId="21C1B0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По мере отработки, эти механизмы вво</w:t>
      </w:r>
      <w:r w:rsidRPr="00F90EAE">
        <w:rPr>
          <w:iCs/>
          <w:color w:val="000000" w:themeColor="text1"/>
          <w:sz w:val="16"/>
          <w:szCs w:val="16"/>
        </w:rPr>
        <w:softHyphen/>
        <w:t>дить в серийное производство».</w:t>
      </w:r>
    </w:p>
    <w:p w14:paraId="1E97A3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1945 г. начальник ТУ ГЕТУ КА инженер-полковникА.И. Благонравов подпи</w:t>
      </w:r>
      <w:r w:rsidRPr="00F90EAE">
        <w:rPr>
          <w:color w:val="000000" w:themeColor="text1"/>
          <w:sz w:val="16"/>
          <w:szCs w:val="16"/>
        </w:rPr>
        <w:softHyphen/>
        <w:t>сал заключение по отчету об испытаниях опытного образца модернизированного тан</w:t>
      </w:r>
      <w:r w:rsidRPr="00F90EAE">
        <w:rPr>
          <w:color w:val="000000" w:themeColor="text1"/>
          <w:sz w:val="16"/>
          <w:szCs w:val="16"/>
        </w:rPr>
        <w:softHyphen/>
        <w:t>ка Т-44(Т-54).</w:t>
      </w:r>
    </w:p>
    <w:p w14:paraId="3A6347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F90EAE">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F90EAE">
        <w:rPr>
          <w:iCs/>
          <w:color w:val="000000" w:themeColor="text1"/>
          <w:sz w:val="16"/>
          <w:szCs w:val="16"/>
        </w:rPr>
        <w:softHyphen/>
        <w:t>ный образец, наиболее полно отвечающий упомянутым требованиям.</w:t>
      </w:r>
    </w:p>
    <w:p w14:paraId="0DAF91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Отчет комиссии по испытаниям опытно</w:t>
      </w:r>
      <w:r w:rsidRPr="00F90EAE">
        <w:rPr>
          <w:iCs/>
          <w:color w:val="000000" w:themeColor="text1"/>
          <w:sz w:val="16"/>
          <w:szCs w:val="16"/>
        </w:rPr>
        <w:softHyphen/>
        <w:t>го образца модернизированного танка Т-44-100 с замечаниями и предложениями, изло</w:t>
      </w:r>
      <w:r w:rsidRPr="00F90EAE">
        <w:rPr>
          <w:iCs/>
          <w:color w:val="000000" w:themeColor="text1"/>
          <w:sz w:val="16"/>
          <w:szCs w:val="16"/>
        </w:rPr>
        <w:softHyphen/>
        <w:t>женными выше, считаю возможным доло</w:t>
      </w:r>
      <w:r w:rsidRPr="00F90EAE">
        <w:rPr>
          <w:iCs/>
          <w:color w:val="000000" w:themeColor="text1"/>
          <w:sz w:val="16"/>
          <w:szCs w:val="16"/>
        </w:rPr>
        <w:softHyphen/>
        <w:t>жить для утверждения. Благонравов».</w:t>
      </w:r>
    </w:p>
    <w:p w14:paraId="237FCF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проведенных испытаний нарком танковой промышленно</w:t>
      </w:r>
      <w:r w:rsidRPr="00F90EAE">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F90EAE">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F90EAE">
        <w:rPr>
          <w:color w:val="000000" w:themeColor="text1"/>
          <w:sz w:val="16"/>
          <w:szCs w:val="16"/>
        </w:rPr>
        <w:softHyphen/>
        <w:t>миссией, на другом — планетарные механиз</w:t>
      </w:r>
      <w:r w:rsidRPr="00F90EAE">
        <w:rPr>
          <w:color w:val="000000" w:themeColor="text1"/>
          <w:sz w:val="16"/>
          <w:szCs w:val="16"/>
        </w:rPr>
        <w:softHyphen/>
        <w:t>мы поворота (ПМП).</w:t>
      </w:r>
    </w:p>
    <w:p w14:paraId="79485D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w:t>
      </w:r>
      <w:r w:rsidRPr="00F90EAE">
        <w:rPr>
          <w:color w:val="000000" w:themeColor="text1"/>
          <w:sz w:val="16"/>
          <w:szCs w:val="16"/>
        </w:rPr>
        <w:softHyphen/>
        <w:t>бовалось внести 68 изменений. Однако от</w:t>
      </w:r>
      <w:r w:rsidRPr="00F90EAE">
        <w:rPr>
          <w:color w:val="000000" w:themeColor="text1"/>
          <w:sz w:val="16"/>
          <w:szCs w:val="16"/>
        </w:rPr>
        <w:softHyphen/>
        <w:t>работка чертежей и опытного образца по данным предложениям на заводе № 183 дли</w:t>
      </w:r>
      <w:r w:rsidRPr="00F90EAE">
        <w:rPr>
          <w:color w:val="000000" w:themeColor="text1"/>
          <w:sz w:val="16"/>
          <w:szCs w:val="16"/>
        </w:rPr>
        <w:softHyphen/>
        <w:t>тельное время не производилась (11468).</w:t>
      </w:r>
    </w:p>
    <w:p w14:paraId="6840AE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4833B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 февраля 1945 г. начальник 1-го Отдела НКФ СССР А.Силаев в записке в правительство сообшал:</w:t>
      </w:r>
    </w:p>
    <w:p w14:paraId="097E09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насто</w:t>
      </w:r>
      <w:r w:rsidRPr="00F90EAE">
        <w:rPr>
          <w:color w:val="000000" w:themeColor="text1"/>
          <w:sz w:val="16"/>
          <w:szCs w:val="16"/>
        </w:rPr>
        <w:softHyphen/>
        <w:t>ящее время ряд сырьевых отраслей промышленности имеют оптовые цены ниже себестоимости, что влечет искусственное занижение себе</w:t>
      </w:r>
      <w:r w:rsidRPr="00F90EAE">
        <w:rPr>
          <w:color w:val="000000" w:themeColor="text1"/>
          <w:sz w:val="16"/>
          <w:szCs w:val="16"/>
        </w:rPr>
        <w:softHyphen/>
        <w:t>стоимости продукции не только обрабатывающей промышленно</w:t>
      </w:r>
      <w:r w:rsidRPr="00F90EAE">
        <w:rPr>
          <w:color w:val="000000" w:themeColor="text1"/>
          <w:sz w:val="16"/>
          <w:szCs w:val="16"/>
        </w:rPr>
        <w:softHyphen/>
        <w:t>сти, но и других отраслей хозяйства. Например, рентабельность Наркомата танковой промышленности в 1945 установлена в раз</w:t>
      </w:r>
      <w:r w:rsidRPr="00F90EAE">
        <w:rPr>
          <w:color w:val="000000" w:themeColor="text1"/>
          <w:sz w:val="16"/>
          <w:szCs w:val="16"/>
        </w:rPr>
        <w:softHyphen/>
        <w:t>мере 3,4%, при удельном весе сырья, материалов и топлива в стоимости затрат в размере 65%. Таким образом, рентабельность танковой промышленности целиком зависит от низких цен на ме</w:t>
      </w:r>
      <w:r w:rsidRPr="00F90EAE">
        <w:rPr>
          <w:color w:val="000000" w:themeColor="text1"/>
          <w:sz w:val="16"/>
          <w:szCs w:val="16"/>
        </w:rPr>
        <w:softHyphen/>
        <w:t>талл и топливо. Такое же положение наблюдается по НКВ и НКАП, где удельный вес потребляемого сырья и материалов в стоимости затрат составляет не менее 55%» (РГАЭ ф. 7733, оп. 36, д. 1927, л. 35).</w:t>
      </w:r>
    </w:p>
    <w:p w14:paraId="433551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заключении своей записки А.Силаев совершенно справед</w:t>
      </w:r>
      <w:r w:rsidRPr="00F90EAE">
        <w:rPr>
          <w:color w:val="000000" w:themeColor="text1"/>
          <w:sz w:val="16"/>
          <w:szCs w:val="16"/>
        </w:rPr>
        <w:softHyphen/>
        <w:t>ливо заметил, что «с точки зрения единого государственного пла</w:t>
      </w:r>
      <w:r w:rsidRPr="00F90EAE">
        <w:rPr>
          <w:color w:val="000000" w:themeColor="text1"/>
          <w:sz w:val="16"/>
          <w:szCs w:val="16"/>
        </w:rPr>
        <w:softHyphen/>
        <w:t>на развития народного хозяйства не имеет особого значения, в какой его отрасли, в конечном счете, перекрывается разрыв между затратами и отпускными ценами, однако, отсутствие нор</w:t>
      </w:r>
      <w:r w:rsidRPr="00F90EAE">
        <w:rPr>
          <w:color w:val="000000" w:themeColor="text1"/>
          <w:sz w:val="16"/>
          <w:szCs w:val="16"/>
        </w:rPr>
        <w:softHyphen/>
        <w:t>мального накопления и низкая рентабельность или убыточность ряда отраслей промышленности не обеспечивают правильных хо</w:t>
      </w:r>
      <w:r w:rsidRPr="00F90EAE">
        <w:rPr>
          <w:color w:val="000000" w:themeColor="text1"/>
          <w:sz w:val="16"/>
          <w:szCs w:val="16"/>
        </w:rPr>
        <w:softHyphen/>
        <w:t>зяйственных отношений между ними и нормального их участия в расширенном воспроизводстве; устраняется стимул к укрепле</w:t>
      </w:r>
      <w:r w:rsidRPr="00F90EAE">
        <w:rPr>
          <w:color w:val="000000" w:themeColor="text1"/>
          <w:sz w:val="16"/>
          <w:szCs w:val="16"/>
        </w:rPr>
        <w:softHyphen/>
        <w:t>нию хозяйственного расчета, особенно по наркоматам, у которых затраты не покрываются доходами» (РГАЭ ф. 7733, оп. 36, д. 1927, л. 34)(1655).</w:t>
      </w:r>
    </w:p>
    <w:p w14:paraId="6F970E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11FE202"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28 февраля 1945 года Нарком ГБ В.Н. Меркулов направил Л.П. Берия информационную записку о состоянии работ в США по созданию атомной бомбы.</w:t>
      </w:r>
    </w:p>
    <w:p w14:paraId="0F2E333B"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1. Информация была отмечена Л.П. Берией, как важная. В записке отмечается, что проведенные силами ведущих научных работников Англии и США работы по исследованию возможности создания атомной бомбы показали, что этот вид оружия следует считать осуществимым и что проблема сводится в данное время к двум задачам: </w:t>
      </w:r>
    </w:p>
    <w:p w14:paraId="7A70235D"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производству необходимого количества расщепляющихся материалов - урана-235 и плутония; </w:t>
      </w:r>
    </w:p>
    <w:p w14:paraId="3B09AB2F"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конструктивной разработке проведения бомбы в действие (10549).</w:t>
      </w:r>
    </w:p>
    <w:p w14:paraId="7CF90269"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этими задачами в США созданы следующие центры: </w:t>
      </w:r>
    </w:p>
    <w:p w14:paraId="77DE7C43"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лагерь "Х" (Вудс Холл, штат Теннеси) - строительство завода по производству U-235; </w:t>
      </w:r>
    </w:p>
    <w:p w14:paraId="2D521BF0"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лагерь "W" (Хэнфорд, штат Вашингтон) - производство плутония; </w:t>
      </w:r>
    </w:p>
    <w:p w14:paraId="42069AEE"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лагерь "Y" (Лос-Аламос, штат Нью-Мексико) - исследовательские и экспериментальные работы по созданию бомбы (10549).</w:t>
      </w:r>
    </w:p>
    <w:p w14:paraId="12728703"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2. Расчетное энерговыделение бомбы общим весом около 3 тонн эквивалентно энергии от 2 000 до 10 000 тонн ВВ.</w:t>
      </w:r>
    </w:p>
    <w:p w14:paraId="4EB23CCE"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Взрыв атомной бомбы будет сопровождаться не только образованием взрывной волны, но и развитием высокой температуры и мощным радиоактивным эффектом, в результате чего все живое будет уничтожено в радиусе до 1 км (10549).</w:t>
      </w:r>
    </w:p>
    <w:p w14:paraId="26D385F3"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3. Разрабатывается два способа производства взрыва атомной бомбы: </w:t>
      </w:r>
    </w:p>
    <w:p w14:paraId="1BC69053"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 xml:space="preserve">баллистический (то есть сближение); </w:t>
      </w:r>
    </w:p>
    <w:p w14:paraId="2B9B79D9"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методом внутреннего взрыва (то есть имплозия) (10549).</w:t>
      </w:r>
    </w:p>
    <w:p w14:paraId="069E4E6E"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Предполагается, что для изготовления первой бомбы потребуется от одного года до пяти лет (10549).</w:t>
      </w:r>
    </w:p>
    <w:p w14:paraId="02338837"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бомб несколько меньшей мощности, то через несколько недель можно ожидать изготовления одной или двух бомб, для чего американцы уже имеют в наличии необходимое количество активного вещества. Первый опытный взрыв ожидается через два-три месяца (10549).</w:t>
      </w:r>
    </w:p>
    <w:p w14:paraId="0DFD4694" w14:textId="77777777" w:rsidR="005903DB" w:rsidRPr="00F90EAE" w:rsidRDefault="005903DB" w:rsidP="00F90EAE">
      <w:pPr>
        <w:autoSpaceDE w:val="0"/>
        <w:autoSpaceDN w:val="0"/>
        <w:adjustRightInd w:val="0"/>
        <w:jc w:val="both"/>
        <w:rPr>
          <w:color w:val="000000" w:themeColor="text1"/>
          <w:sz w:val="16"/>
          <w:szCs w:val="16"/>
        </w:rPr>
      </w:pPr>
    </w:p>
    <w:p w14:paraId="48894FC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6C6054B" w14:textId="77777777" w:rsidR="00665165" w:rsidRPr="00F90EAE" w:rsidRDefault="00665165" w:rsidP="00F90EAE">
      <w:pPr>
        <w:autoSpaceDE w:val="0"/>
        <w:autoSpaceDN w:val="0"/>
        <w:adjustRightInd w:val="0"/>
        <w:jc w:val="both"/>
        <w:rPr>
          <w:iCs/>
          <w:color w:val="000000" w:themeColor="text1"/>
          <w:sz w:val="16"/>
          <w:szCs w:val="16"/>
        </w:rPr>
      </w:pPr>
    </w:p>
    <w:p w14:paraId="05C5E817"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оперативная сводка Совинформбюро:</w:t>
      </w:r>
    </w:p>
    <w:p w14:paraId="146565AB" w14:textId="77777777" w:rsidR="005903DB" w:rsidRPr="00F90EAE" w:rsidRDefault="005903DB" w:rsidP="00F90EAE">
      <w:pPr>
        <w:jc w:val="both"/>
        <w:rPr>
          <w:color w:val="000000" w:themeColor="text1"/>
          <w:sz w:val="16"/>
          <w:szCs w:val="16"/>
        </w:rPr>
      </w:pPr>
      <w:r w:rsidRPr="00F90EAE">
        <w:rPr>
          <w:color w:val="000000" w:themeColor="text1"/>
          <w:sz w:val="16"/>
          <w:szCs w:val="16"/>
        </w:rPr>
        <w:t>В течение 28 февраля юго-западнее Кенигсберга наши войска в результате наступательных боёв заняли населённые пункты Грюнлинде, Ворвеген, Лемкюнен, Оттен, Готтесгнаде, Фридрихсхоф.</w:t>
      </w:r>
    </w:p>
    <w:p w14:paraId="10FA0427" w14:textId="77777777" w:rsidR="005903DB" w:rsidRPr="00F90EAE" w:rsidRDefault="005903DB" w:rsidP="00F90EAE">
      <w:pPr>
        <w:jc w:val="both"/>
        <w:rPr>
          <w:color w:val="000000" w:themeColor="text1"/>
          <w:sz w:val="16"/>
          <w:szCs w:val="16"/>
        </w:rPr>
      </w:pPr>
      <w:r w:rsidRPr="00F90EAE">
        <w:rPr>
          <w:color w:val="000000" w:themeColor="text1"/>
          <w:sz w:val="16"/>
          <w:szCs w:val="16"/>
        </w:rPr>
        <w:lastRenderedPageBreak/>
        <w:t>Войска 2-го Белорусского фронта, продолжая наступление, 28 февраля овладели городами Нойштеттин и Прехлау — важными узлами коммуникаций и сильными опорными пунктами обороны немцев в Померании, а также с боями заняли более 50 других населённых пунктов и среди них Сворнигац, Гласхютте, Нойгут, Айзенхаммер, Грабау, Гросс-Карценбург, Вурхоф, Шпарзее, Штрайтцих.</w:t>
      </w:r>
    </w:p>
    <w:p w14:paraId="627DF407" w14:textId="77777777" w:rsidR="005903DB" w:rsidRPr="00F90EAE" w:rsidRDefault="005903DB" w:rsidP="00F90EAE">
      <w:pPr>
        <w:jc w:val="both"/>
        <w:rPr>
          <w:color w:val="000000" w:themeColor="text1"/>
          <w:sz w:val="16"/>
          <w:szCs w:val="16"/>
        </w:rPr>
      </w:pPr>
      <w:r w:rsidRPr="00F90EAE">
        <w:rPr>
          <w:color w:val="000000" w:themeColor="text1"/>
          <w:sz w:val="16"/>
          <w:szCs w:val="16"/>
        </w:rPr>
        <w:t>В районе Бреслау наши войска вели бои по уничтожению окруженной в городе группировки противника, в ходе которых овладели пригородом Клейнечанш, металлургическим заводом «Шварц», газовым заводом и заняли 10 кварталов.</w:t>
      </w:r>
    </w:p>
    <w:p w14:paraId="1507A2A9" w14:textId="77777777" w:rsidR="005903DB" w:rsidRPr="00F90EAE" w:rsidRDefault="005903DB"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0F7F95F" w14:textId="77777777" w:rsidR="005903DB" w:rsidRPr="00F90EAE" w:rsidRDefault="005903DB" w:rsidP="00F90EAE">
      <w:pPr>
        <w:jc w:val="both"/>
        <w:rPr>
          <w:color w:val="000000" w:themeColor="text1"/>
          <w:sz w:val="16"/>
          <w:szCs w:val="16"/>
        </w:rPr>
      </w:pPr>
      <w:r w:rsidRPr="00F90EAE">
        <w:rPr>
          <w:color w:val="000000" w:themeColor="text1"/>
          <w:sz w:val="16"/>
          <w:szCs w:val="16"/>
        </w:rPr>
        <w:t>За 27 февраля на всех фронтах подбито и уничтожено 29 немецких танков. В воздушных боях и огнём зенитной артиллерии сбито 6 самолётов противника.</w:t>
      </w:r>
    </w:p>
    <w:p w14:paraId="24269265" w14:textId="77777777" w:rsidR="005903DB" w:rsidRPr="00F90EAE" w:rsidRDefault="005903DB" w:rsidP="00F90EAE">
      <w:pPr>
        <w:jc w:val="both"/>
        <w:rPr>
          <w:color w:val="000000" w:themeColor="text1"/>
          <w:sz w:val="16"/>
          <w:szCs w:val="16"/>
        </w:rPr>
      </w:pPr>
      <w:r w:rsidRPr="00F90EAE">
        <w:rPr>
          <w:color w:val="000000" w:themeColor="text1"/>
          <w:sz w:val="16"/>
          <w:szCs w:val="16"/>
        </w:rPr>
        <w:t>Юго-западнее города Кенигсберг наши войска продолжали сжимать кольцо вокруг Восточно-Прусской группировки противника. В результате упорного боя части Н-ского соединения заняли несколько сильно укреплённых опорных пунктов. Захвачены трофеи. Противник, пытаясь вернуть потерянные накануне позиции, за ночь предпринял шестнадцать контратак. Советские части успешно отбили все вражеские контратаки. Рано утром наши подразделения вновь продвинулись вперёд и улучшили свои позиции.</w:t>
      </w:r>
    </w:p>
    <w:p w14:paraId="76CB0135" w14:textId="77777777" w:rsidR="005903DB" w:rsidRPr="00F90EAE" w:rsidRDefault="005903DB" w:rsidP="00F90EAE">
      <w:pPr>
        <w:jc w:val="both"/>
        <w:rPr>
          <w:color w:val="000000" w:themeColor="text1"/>
          <w:sz w:val="16"/>
          <w:szCs w:val="16"/>
        </w:rPr>
      </w:pPr>
      <w:r w:rsidRPr="00F90EAE">
        <w:rPr>
          <w:color w:val="000000" w:themeColor="text1"/>
          <w:sz w:val="16"/>
          <w:szCs w:val="16"/>
        </w:rPr>
        <w:t>На одном участке мощный железобетонный дот преграждал путь нашей пехоте.</w:t>
      </w:r>
    </w:p>
    <w:p w14:paraId="64FA4A42" w14:textId="77777777" w:rsidR="005903DB" w:rsidRPr="00F90EAE" w:rsidRDefault="005903DB" w:rsidP="00F90EAE">
      <w:pPr>
        <w:jc w:val="both"/>
        <w:rPr>
          <w:color w:val="000000" w:themeColor="text1"/>
          <w:sz w:val="16"/>
          <w:szCs w:val="16"/>
        </w:rPr>
      </w:pPr>
      <w:r w:rsidRPr="00F90EAE">
        <w:rPr>
          <w:color w:val="000000" w:themeColor="text1"/>
          <w:sz w:val="16"/>
          <w:szCs w:val="16"/>
        </w:rPr>
        <w:t>Шесть сапёров из подразделения гвардии старшего лейтенанта Долговязова ночью подползли к доту и заложили 14 противотанковых мин. В результате взрыва дот был уничтожен вместе с находившимися в нём гитлеровцами. Отражая вражескую контратаку, орудийный расчёт сержанта Молочкова поджёг два немецких самоходных орудия. Пулемётчики рядовые Данильчев и Бычков метким огнём рассеяли роту пехоты противника, уничтожив при этом группу немцев.</w:t>
      </w:r>
    </w:p>
    <w:p w14:paraId="70FFB77E" w14:textId="77777777" w:rsidR="005903DB" w:rsidRPr="00F90EAE" w:rsidRDefault="005903DB" w:rsidP="00F90EAE">
      <w:pPr>
        <w:jc w:val="both"/>
        <w:rPr>
          <w:color w:val="000000" w:themeColor="text1"/>
          <w:sz w:val="16"/>
          <w:szCs w:val="16"/>
        </w:rPr>
      </w:pPr>
      <w:r w:rsidRPr="00F90EAE">
        <w:rPr>
          <w:color w:val="000000" w:themeColor="text1"/>
          <w:sz w:val="16"/>
          <w:szCs w:val="16"/>
        </w:rPr>
        <w:t>Войска 2-го Белорусского фронта продолжали развивать наступление. Советские пехотинцы, танкисты и конники наносят противнику сильные удары и при поддержке артиллерии и авиации громят его узлы сопротивления. Продвигаясь вперёд, части гвардейского кавалерийского соединения вышли на подступы к городу Нойштеттин. Подразделения конников атаковали немцев, укрепившихся на южной окраине города, и отвлекли на себя основные силы гарнизона. В это время другие наши части совершили обходный манёвр и ворвались в город с севера. Зажатый с двух сторон, вражеский гарнизон был разгромлён. Город Нойштеттин— важный опорный пункт обороны немцев, узел пяти железных и нескольких шоссейных дорог — занят нашими войсками. За день боёв уничтожено до 3 тысяч солдат и офицеров противника. Нашими частями захвачено 5 паровозов, 200 вагонов с грузами, 9 складов с боеприпасами и другие трофеи. Взято в плен более 600 немцев.</w:t>
      </w:r>
    </w:p>
    <w:p w14:paraId="1D2F3DBC" w14:textId="77777777" w:rsidR="005903DB" w:rsidRPr="00F90EAE" w:rsidRDefault="005903DB" w:rsidP="00F90EAE">
      <w:pPr>
        <w:jc w:val="both"/>
        <w:rPr>
          <w:color w:val="000000" w:themeColor="text1"/>
          <w:sz w:val="16"/>
          <w:szCs w:val="16"/>
        </w:rPr>
      </w:pPr>
      <w:r w:rsidRPr="00F90EAE">
        <w:rPr>
          <w:color w:val="000000" w:themeColor="text1"/>
          <w:sz w:val="16"/>
          <w:szCs w:val="16"/>
        </w:rPr>
        <w:t>В городе Нойштеттин освобождено 1.500 советских граждан, угнанных немцами на каторжные работы.</w:t>
      </w:r>
    </w:p>
    <w:p w14:paraId="38600A92" w14:textId="77777777" w:rsidR="005903DB" w:rsidRPr="00F90EAE" w:rsidRDefault="005903DB" w:rsidP="00F90EAE">
      <w:pPr>
        <w:jc w:val="both"/>
        <w:rPr>
          <w:color w:val="000000" w:themeColor="text1"/>
          <w:sz w:val="16"/>
          <w:szCs w:val="16"/>
        </w:rPr>
      </w:pPr>
      <w:r w:rsidRPr="00F90EAE">
        <w:rPr>
          <w:color w:val="000000" w:themeColor="text1"/>
          <w:sz w:val="16"/>
          <w:szCs w:val="16"/>
        </w:rPr>
        <w:t>Бойцы и офицеры 2-го Белорусского фронта успешно громят противника. Рота лейтенанта Савина, совершив умелый обходный манёвр, заняла один опорный пункт, уничтожив при этом несколько десятков гитлеровцев. Бойцы роты захватили у немцев самоходное орудие и 12 полевых орудий. На другом участке старший сержант Пустоваров в рукопашной схватке истребил 5 немцев и захватил два пулемёта. Рядовой Осюкевич вступил в бой с группой вражеских солдат и огнём из ручного пулемёта уничтожил 17 гитлеровцев. Разведчик красноармеец Карнаухов, выполняя боевое задание, убил четырёх немецких солдат и одного офицера.</w:t>
      </w:r>
    </w:p>
    <w:p w14:paraId="5782627F" w14:textId="77777777" w:rsidR="005903DB" w:rsidRPr="00F90EAE" w:rsidRDefault="005903DB" w:rsidP="00F90EAE">
      <w:pPr>
        <w:jc w:val="both"/>
        <w:rPr>
          <w:color w:val="000000" w:themeColor="text1"/>
          <w:sz w:val="16"/>
          <w:szCs w:val="16"/>
        </w:rPr>
      </w:pPr>
      <w:r w:rsidRPr="00F90EAE">
        <w:rPr>
          <w:color w:val="000000" w:themeColor="text1"/>
          <w:sz w:val="16"/>
          <w:szCs w:val="16"/>
        </w:rPr>
        <w:t>В районе Бреслау наши войска продолжали вести бои по ликвидации окружённой группировки противника. Продвигаясь вдоль железной дороги Оппельн — Бреслау, советские части заняли пригород Клейне-Чанш и ворвались в юго-восточную часть города. После упорных боёв наши штурмовые группы очистили от немцев металлургический завод «Шварц», превращенный гитлеровцами в узел сопротивления. Наши подразделения ворвались также на металлургический завод «Вольф» и ведут бои с противником. На одном участке группа немецких солдат численностью в 70 человек с поднятыми руками направилась к нашим позициям. Со стороны противника был открыт сильный пулемётный и миномётный огонь. Часть немецких солдат была убита. Остальные достигли советских позиций и сдались в плен.</w:t>
      </w:r>
    </w:p>
    <w:p w14:paraId="40098BB6" w14:textId="77777777" w:rsidR="005903DB" w:rsidRPr="00F90EAE" w:rsidRDefault="005903DB" w:rsidP="00F90EAE">
      <w:pPr>
        <w:jc w:val="both"/>
        <w:rPr>
          <w:color w:val="000000" w:themeColor="text1"/>
          <w:sz w:val="16"/>
          <w:szCs w:val="16"/>
        </w:rPr>
      </w:pPr>
      <w:r w:rsidRPr="00F90EAE">
        <w:rPr>
          <w:color w:val="000000" w:themeColor="text1"/>
          <w:sz w:val="16"/>
          <w:szCs w:val="16"/>
        </w:rPr>
        <w:t>Взятый в плен в Восточной Пруссии командир 1092-го полка 547-й немецкой пехотной дивизии подполковник Франц Беллер рассказал: «Десятидневные непрерывные бои обескровили мой полк. За это время мы потеряли убитыми и ранеными свыше 600 солдат и 20 офицеров. После того как солдаты узнали, что Восточная Пруссия полностью отрезана, они потеряли всякую веру в свои силы. С каждым днём увеличивается количество «отставших» солдат. Многие из них, стремясь увильнуть от участия в бою, умышленно отстают от своего подразделения и шатаются в тылу. Боеспособность немецких солдат невиданно пала. У офицеров также очень подавленное состояние. Они потеряли всякую надежду на какой-либо выход из тупика» (15054).</w:t>
      </w:r>
    </w:p>
    <w:p w14:paraId="49419C55" w14:textId="77777777" w:rsidR="005903DB" w:rsidRPr="00F90EAE" w:rsidRDefault="005903DB" w:rsidP="00F90EAE">
      <w:pPr>
        <w:jc w:val="both"/>
        <w:rPr>
          <w:color w:val="000000" w:themeColor="text1"/>
          <w:sz w:val="16"/>
          <w:szCs w:val="16"/>
        </w:rPr>
      </w:pPr>
    </w:p>
    <w:p w14:paraId="7517533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February 28, 1945: In the East, the Red Army suspends all offensive operations against the lines of Heeresgruppe Kurland. In the West, the US Ninth Army achieves a breakthrough near Erkelenz 30 miles W of Cologne, but losing 100 tanks in the process (3819).</w:t>
      </w:r>
    </w:p>
    <w:p w14:paraId="1ADFC211" w14:textId="77777777" w:rsidR="00665165" w:rsidRPr="00F90EAE" w:rsidRDefault="00665165" w:rsidP="00F90EAE">
      <w:pPr>
        <w:autoSpaceDE w:val="0"/>
        <w:autoSpaceDN w:val="0"/>
        <w:adjustRightInd w:val="0"/>
        <w:jc w:val="both"/>
        <w:rPr>
          <w:color w:val="000000" w:themeColor="text1"/>
          <w:sz w:val="16"/>
          <w:szCs w:val="16"/>
          <w:lang w:val="en-US"/>
        </w:rPr>
      </w:pPr>
    </w:p>
    <w:p w14:paraId="1524C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февраля 1945 КА приостановила наступление против Группы Курляндия. 9А США прорвалась на Эркеленц в 30 милях от Кельно, потеряв 100 танков (3819).</w:t>
      </w:r>
    </w:p>
    <w:p w14:paraId="3F03F58B" w14:textId="77777777" w:rsidR="00665165" w:rsidRPr="00F90EAE" w:rsidRDefault="00665165" w:rsidP="00F90EAE">
      <w:pPr>
        <w:autoSpaceDE w:val="0"/>
        <w:autoSpaceDN w:val="0"/>
        <w:adjustRightInd w:val="0"/>
        <w:jc w:val="both"/>
        <w:rPr>
          <w:color w:val="000000" w:themeColor="text1"/>
          <w:sz w:val="16"/>
          <w:szCs w:val="16"/>
        </w:rPr>
      </w:pPr>
    </w:p>
    <w:p w14:paraId="15EFB7E1"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28 февраля 1945 г. был подписан акт готовности 571-й штурмового авиаполка подполковника М. И. Безуха к убытию на фронт,  согласно которому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286DF92C" w14:textId="77777777" w:rsidR="00D44763" w:rsidRPr="00F90EAE" w:rsidRDefault="00D44763" w:rsidP="00F90EAE">
      <w:pPr>
        <w:jc w:val="both"/>
        <w:rPr>
          <w:rStyle w:val="107"/>
          <w:rFonts w:eastAsiaTheme="minorHAnsi"/>
          <w:color w:val="000000" w:themeColor="text1"/>
          <w:sz w:val="16"/>
          <w:szCs w:val="16"/>
        </w:rPr>
      </w:pPr>
    </w:p>
    <w:p w14:paraId="1DFCDC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февраля 1945 г. вышел ПРИКАЗ № 039 С ОБЪЯВЛЕНИЕМ ПОЛОЖЕНИЯ И ШТАТОВ ТРОФЕЙНЫХ ОРГАНОВ КРАСНОЙ АРМИИ</w:t>
      </w:r>
    </w:p>
    <w:p w14:paraId="08B48F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Одобрен Народным комиссаром обороны СССР</w:t>
      </w:r>
    </w:p>
    <w:p w14:paraId="11EDF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 7563 от 21 февраля 1945 года приказываю:</w:t>
      </w:r>
    </w:p>
    <w:p w14:paraId="71023A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Главное трофейное управление Красной Армии подчинить начальнику тыла Красной Армии, а трофейные управления фронтов и трофейные отделы армий — начальникам тылов фронтов и армий.</w:t>
      </w:r>
    </w:p>
    <w:p w14:paraId="7D9C99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Ввести в действие объявляемые:</w:t>
      </w:r>
    </w:p>
    <w:p w14:paraId="7BB01A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Положение о трофейных органах, трофейных частях и учреждениях Красной Армии (приложение № 1);</w:t>
      </w:r>
    </w:p>
    <w:p w14:paraId="2DFFCE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штаты Главного трофейного управления Красной Армии (приложение № 2");</w:t>
      </w:r>
    </w:p>
    <w:p w14:paraId="499E59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штаты трофейного управления фронта и трофейного отдела армии для 1-го Прибалтийского, 1, 2, 3-го Белорусских, 1, 2, 3 и 4-го Украинских фронтов (приложения № 3" и 4").</w:t>
      </w:r>
    </w:p>
    <w:p w14:paraId="5AE41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Расформировать отделы по учету и использованию трофейного народнохозяйственного имущества при штабах начальника тыла Красной Армии, тылов фронтов и армий и личный состав обратить на укомплектование трофейных органов по новым штатам.</w:t>
      </w:r>
    </w:p>
    <w:p w14:paraId="7AD774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Оставить в штатах начальника тыла Красной Армии, тыла фронтов и армий должности заместителей начальников тыла для руководства работой трофейных органов фронтов и армий.</w:t>
      </w:r>
    </w:p>
    <w:p w14:paraId="3699C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Включить в состав частей Главного трофейного управления Красной Армии сформированные 80 рабочих батальонов, 8 отдельных автобатов, 20 армейских баз с ротами обслуживания и авторотами и 5 центральных баз с авторотами.</w:t>
      </w:r>
    </w:p>
    <w:p w14:paraId="444F9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Запретить использование трофейных частей не по прямому назначению и изъятие из трофейных частей и учреждений личного состава, транспорта и технических средств.</w:t>
      </w:r>
    </w:p>
    <w:p w14:paraId="3C2338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Предоставить начальникам трофейных управлений фронтов и отделов армий право подачи шифрованных телеграмм.</w:t>
      </w:r>
    </w:p>
    <w:p w14:paraId="2E2D2E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Приказ НКО № 0109 от 28 апреля 1944 года* отменить.</w:t>
      </w:r>
    </w:p>
    <w:p w14:paraId="1650FBD8"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 xml:space="preserve">Заместитель Народного комиссара обороны СССР генерал армии БУЛГАНИН </w:t>
      </w:r>
      <w:r w:rsidRPr="00F90EAE">
        <w:rPr>
          <w:color w:val="000000" w:themeColor="text1"/>
          <w:sz w:val="16"/>
          <w:szCs w:val="16"/>
        </w:rPr>
        <w:t>(9844).</w:t>
      </w:r>
    </w:p>
    <w:p w14:paraId="3BDA47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Приложение № 1</w:t>
      </w:r>
    </w:p>
    <w:p w14:paraId="3FEBC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28 февраля 1945 г. Заместитель Народного комиссара обороны СССР генерал армии </w:t>
      </w:r>
      <w:r w:rsidRPr="00F90EAE">
        <w:rPr>
          <w:iCs/>
          <w:color w:val="000000" w:themeColor="text1"/>
          <w:sz w:val="16"/>
          <w:szCs w:val="16"/>
        </w:rPr>
        <w:t xml:space="preserve">БУЛГАНИН </w:t>
      </w:r>
      <w:r w:rsidRPr="00F90EAE">
        <w:rPr>
          <w:color w:val="000000" w:themeColor="text1"/>
          <w:sz w:val="16"/>
          <w:szCs w:val="16"/>
        </w:rPr>
        <w:t>утвердил:</w:t>
      </w:r>
    </w:p>
    <w:p w14:paraId="53CCF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ПОЛОЖЕНИЕ О ТРОФЕЙНЫХ ОРГАНАХ, ЧАСТЯХ И УЧРЕЖДЕНИЯХ КРАСНОЙ АРМИИ</w:t>
      </w:r>
    </w:p>
    <w:p w14:paraId="78ADE1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 Общие положения</w:t>
      </w:r>
    </w:p>
    <w:p w14:paraId="41AB5D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Трофейные органы, части и учреждения Красной Армии обеспечивают:</w:t>
      </w:r>
    </w:p>
    <w:p w14:paraId="6625C1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выявление, учет и демонтаж по решению Правительства предприятий, погрузку, транспортировку с охраной в пути оборудования, материалов, готовой продукции, захваченных нашими войсками в городах, населенных пунктах и промышленных центрах на территории противника;</w:t>
      </w:r>
    </w:p>
    <w:p w14:paraId="5173EC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передачу по решениям военных советов фронтов, армий продовольствия, фуража, горючего и интендантского имущества довольствующим службам фронтов (армий);</w:t>
      </w:r>
    </w:p>
    <w:p w14:paraId="674D56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сбор, учет, охрану и передачу довольствующим службам во фронтах и армиях трофейного вооружения, боеприпасов, боевой техники и военно-технического имущества;</w:t>
      </w:r>
    </w:p>
    <w:p w14:paraId="1D0383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сбор в прифронтовой полосе металлического лома и отгрузку на заводы и предприятия промышленности;</w:t>
      </w:r>
    </w:p>
    <w:p w14:paraId="2AE5AA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учет собранного, вывезенного и переданного довольствующим службам Красной Армии и наркоматам трофейного имущества и вооружения. 2. Трофейными органами в Красной Армии являются:</w:t>
      </w:r>
    </w:p>
    <w:p w14:paraId="47BD1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 центре — Главное трофейное управление Красной Армии;</w:t>
      </w:r>
    </w:p>
    <w:p w14:paraId="3CD57B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во фронте — трофейное управление;</w:t>
      </w:r>
    </w:p>
    <w:p w14:paraId="64E19B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 армии — трофейный отдел;</w:t>
      </w:r>
    </w:p>
    <w:p w14:paraId="3E1A10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г) в войсковых соединениях действующей армии — трофейные отделения корпуса и дивизии;</w:t>
      </w:r>
    </w:p>
    <w:p w14:paraId="08EB43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помощники комендантов городов и населенных пунктов по хозяйственным вопросам.</w:t>
      </w:r>
    </w:p>
    <w:p w14:paraId="448B2A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В состав трофейных частей Красной Армии входят:</w:t>
      </w:r>
    </w:p>
    <w:p w14:paraId="29E486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фронтовые трофейные бригады;</w:t>
      </w:r>
    </w:p>
    <w:p w14:paraId="3EF691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армейские трофейные батальоны;</w:t>
      </w:r>
    </w:p>
    <w:p w14:paraId="14344A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рабочие батальоны;</w:t>
      </w:r>
    </w:p>
    <w:p w14:paraId="3518DC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отдельные демонтажные батальоны;</w:t>
      </w:r>
    </w:p>
    <w:p w14:paraId="15C429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эвакопоезда;</w:t>
      </w:r>
    </w:p>
    <w:p w14:paraId="217539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автополки;</w:t>
      </w:r>
    </w:p>
    <w:p w14:paraId="293CD7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автобатальоны;</w:t>
      </w:r>
    </w:p>
    <w:p w14:paraId="1E231F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армейские базы;</w:t>
      </w:r>
    </w:p>
    <w:p w14:paraId="448192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перевалочные базы;</w:t>
      </w:r>
    </w:p>
    <w:p w14:paraId="39DEDE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армейские трофейные роты;</w:t>
      </w:r>
    </w:p>
    <w:p w14:paraId="35FD0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эвакороты;</w:t>
      </w:r>
    </w:p>
    <w:p w14:paraId="46C944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эвако-подъемно-такелажные взводы;</w:t>
      </w:r>
    </w:p>
    <w:p w14:paraId="3260B6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демонтажные взводы;</w:t>
      </w:r>
    </w:p>
    <w:p w14:paraId="435294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армейские трофейные склады;</w:t>
      </w:r>
    </w:p>
    <w:p w14:paraId="5213B5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разделочные базы.</w:t>
      </w:r>
    </w:p>
    <w:p w14:paraId="591626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Сбор, учет и передача трофейного и оставленного отечественного вооружения и поенного имущества на поле боя в войсковом тылу производится трофейными командами, создаваемыми командирами войсковых соединений и частей всех родов войск, в соответствии с Постановлением ГОКО № 4329 от 15 октября 1943 г.</w:t>
      </w:r>
    </w:p>
    <w:p w14:paraId="41DDD6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 Главное трофейное управление Красной Армии</w:t>
      </w:r>
    </w:p>
    <w:p w14:paraId="76764F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Главное трофейное управление Красной Армии возлагается:</w:t>
      </w:r>
    </w:p>
    <w:p w14:paraId="33CA7E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Организация демонтажа трофейных предприятий, погрузка и охрана в пути вывозимого трофейного оборудования, материалов и готовой продукции.</w:t>
      </w:r>
    </w:p>
    <w:p w14:paraId="7A5B1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 соответствии с решениями Правительства составление планов демонтажа, вывоза и сдачи оборудования трофейных промышленных предприятий и народнохозяйственного имущества.</w:t>
      </w:r>
    </w:p>
    <w:p w14:paraId="13763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Руководство учетом и сбором трофейного вооружения и военного имущества.</w:t>
      </w:r>
    </w:p>
    <w:p w14:paraId="3A276B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Учет собранного и переданного довольствующим службам Красной Армии и наркоматам трофейного народнохозяйственного имущества, вооружения, боеприпасов, боевой техники и другого военного имущества.</w:t>
      </w:r>
    </w:p>
    <w:p w14:paraId="154AA3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Организация сбора и вывоза из прифронтовой полосы металлолома.</w:t>
      </w:r>
    </w:p>
    <w:p w14:paraId="6B5D64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Руководство трофейными частями и учреждениями и их материально-техническим обеспечением.</w:t>
      </w:r>
    </w:p>
    <w:p w14:paraId="78F34E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Разработка вопросов по формированию трофейных частей и учреждений.</w:t>
      </w:r>
    </w:p>
    <w:p w14:paraId="292694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Издание наставлений, инструкций по работам и программ по боевой и специальной подготовке частей и учреждений трофейной службы.</w:t>
      </w:r>
    </w:p>
    <w:p w14:paraId="481C40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Руководство боевой и специальной подготовкой подчиненных частей и соединений.</w:t>
      </w:r>
    </w:p>
    <w:p w14:paraId="7ED12F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Составление смет, производственно-финансовых планов и производство денежных расчетов.</w:t>
      </w:r>
    </w:p>
    <w:p w14:paraId="3A1BDF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Начальник Главного трофейного управления Красной Армии по кругу возложенных на него обязанностей:</w:t>
      </w:r>
    </w:p>
    <w:p w14:paraId="5A54EA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издает приказы и распоряжения трофейным частям и соединениям;</w:t>
      </w:r>
    </w:p>
    <w:p w14:paraId="06B2F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издает приказы по личному составу трофейных частей, соединений и учреждений о назначении и перемещении на должности.</w:t>
      </w:r>
    </w:p>
    <w:p w14:paraId="1A53F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В непосредственном подчинении начальника Главного трофейного управления состоят:</w:t>
      </w:r>
    </w:p>
    <w:p w14:paraId="2236EB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трофейные управления фронтов;</w:t>
      </w:r>
    </w:p>
    <w:p w14:paraId="2FF29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фронтовые трофейные бригады;</w:t>
      </w:r>
    </w:p>
    <w:p w14:paraId="07DEE9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трофейные, демонтажные и рабочие батальоны;</w:t>
      </w:r>
    </w:p>
    <w:p w14:paraId="0DBFC1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эвакопоезда и эвакороты;</w:t>
      </w:r>
    </w:p>
    <w:p w14:paraId="10692D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перевалочные базы; е) разделочные базы.</w:t>
      </w:r>
    </w:p>
    <w:p w14:paraId="2E13B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III. Трофейное управление фронта и трофейный отдел армии</w:t>
      </w:r>
    </w:p>
    <w:p w14:paraId="459D24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трофейные управления фронтов и трофейные отделы армий возлагается:</w:t>
      </w:r>
    </w:p>
    <w:p w14:paraId="387B7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Демонтаж трофейных предприятий и отгрузка оборудования, материалов и готовой продукции в тыл страны в соответствии с решениями Правительства Союза ССР.</w:t>
      </w:r>
    </w:p>
    <w:p w14:paraId="73DA32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Обеспечение транспортировки и охраны в пути трофейного оборудования, материалов и готовой продукции.</w:t>
      </w:r>
    </w:p>
    <w:p w14:paraId="14D9BA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Учет и сбор трофейного вооружения, боеприпасов и военного имущества.</w:t>
      </w:r>
    </w:p>
    <w:p w14:paraId="7FDE5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Передача довольствующим службам вооружения, боеприпасов, боевой техники, продовольствия, фуража, горючего.</w:t>
      </w:r>
    </w:p>
    <w:p w14:paraId="0EDE48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Привлечение местной рабочей силы и гуже-автотранспорта для сбора и вывоза трофеев.</w:t>
      </w:r>
    </w:p>
    <w:p w14:paraId="00A18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Учет всего собранного, переданного довольствующим службам и наркоматам трофейного народнохозяйственного имущества, вооружения, боеприпасов, боевой техники и другого военного имущества.</w:t>
      </w:r>
    </w:p>
    <w:p w14:paraId="4F836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Выдача нарядов на передачу и транспортировку народнохозяйственного имущества, вооружения, боеприпасов, боевой техники и другого военного имущества по состоявшимся решениям,</w:t>
      </w:r>
    </w:p>
    <w:p w14:paraId="7E3191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Руководство работами трофейных частей и учреждений, а также проверка всех отчетов по кругу их деятельности.</w:t>
      </w:r>
    </w:p>
    <w:p w14:paraId="4EAF17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Сбор металлического лома и отгрузка на заводы и предприятия промышленности.</w:t>
      </w:r>
    </w:p>
    <w:p w14:paraId="2E301D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Руководство боевой и специальной подготовкой, комплектование личным составом и обеспечение гуже-автотракторным транспортом, специальным подъемно-такелажным оборудованием и другим табельным имуществом трофейных частей и учреждений.</w:t>
      </w:r>
    </w:p>
    <w:p w14:paraId="06E70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Руководство и контроль за эксплуатацией и ремонтом автотракторного парка трофейных частей.</w:t>
      </w:r>
    </w:p>
    <w:p w14:paraId="692383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Руководство обеспечением взрывобезопасности на работах и при транспортировке трофеев.</w:t>
      </w:r>
    </w:p>
    <w:p w14:paraId="128B4B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Начальнику трофейного управления фронта подчиняются: трофейные отделы армий и трофейные части фронта.</w:t>
      </w:r>
    </w:p>
    <w:p w14:paraId="04E38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Начальнику трофейного отдела армии подчиняются армейские трофейные части, трофейные отделения корпусов и дивизий и помощники комендантов городов и населенных пунктов по хозяйственным вопросам.</w:t>
      </w:r>
    </w:p>
    <w:p w14:paraId="273569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Начальники трофейных управлений фронтов и отделов армий издают приказы подчиненным частям.</w:t>
      </w:r>
    </w:p>
    <w:p w14:paraId="472108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IV. Трофейное отделение корпуса и дивизии</w:t>
      </w:r>
    </w:p>
    <w:p w14:paraId="59538C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трофейное отделение корпуса (дивизии) возлагается:</w:t>
      </w:r>
    </w:p>
    <w:p w14:paraId="753970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Руководство корпусными, дивизионными и полковыми нештатными трофейными командами по сбору, охране, учету трофейного и отечественного вооружения, боеприпасов и военного имущества.</w:t>
      </w:r>
    </w:p>
    <w:p w14:paraId="37A005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Передача начальникам служб полков и дивизий собранного в войсковом тылу табельного вооружения и другого военного имущества на восстановление убыли, а излишков — на армейские трофейные склады и сборные пункты.</w:t>
      </w:r>
    </w:p>
    <w:p w14:paraId="111119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Ведение трофейной карты (схемы).</w:t>
      </w:r>
    </w:p>
    <w:p w14:paraId="581069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Обеспечение взрывобезопасности при сборе и перевозках вооружения, боеприпасов и другого военного имущества.</w:t>
      </w:r>
    </w:p>
    <w:p w14:paraId="08B818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 Помощники комендантов городов и населенных пунктов по хозяйственным вопросам</w:t>
      </w:r>
    </w:p>
    <w:p w14:paraId="199EE1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Помощники комендантов городов и населенных пунктов по хозяйственным вопросам руководствуются в работе Положением о помощниках комендантов по хозяйственным вопросам, объявленным приказом НКО от 19 января 1945 г. № 04*.</w:t>
      </w:r>
    </w:p>
    <w:p w14:paraId="7F381854"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 xml:space="preserve">Начальник тыла Красной Армии генерал армии А. ХРУЛЕВ </w:t>
      </w:r>
      <w:r w:rsidRPr="00F90EAE">
        <w:rPr>
          <w:color w:val="000000" w:themeColor="text1"/>
          <w:sz w:val="16"/>
          <w:szCs w:val="16"/>
        </w:rPr>
        <w:t>(9844).</w:t>
      </w:r>
    </w:p>
    <w:p w14:paraId="260A382B" w14:textId="77777777" w:rsidR="00665165" w:rsidRPr="00F90EAE" w:rsidRDefault="00665165" w:rsidP="00F90EAE">
      <w:pPr>
        <w:autoSpaceDE w:val="0"/>
        <w:autoSpaceDN w:val="0"/>
        <w:adjustRightInd w:val="0"/>
        <w:jc w:val="both"/>
        <w:rPr>
          <w:color w:val="000000" w:themeColor="text1"/>
          <w:sz w:val="16"/>
          <w:szCs w:val="16"/>
        </w:rPr>
      </w:pPr>
    </w:p>
    <w:p w14:paraId="7119819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A8D71FE" w14:textId="77777777" w:rsidR="00665165" w:rsidRPr="00F90EAE" w:rsidRDefault="00665165" w:rsidP="00F90EAE">
      <w:pPr>
        <w:autoSpaceDE w:val="0"/>
        <w:autoSpaceDN w:val="0"/>
        <w:adjustRightInd w:val="0"/>
        <w:jc w:val="both"/>
        <w:rPr>
          <w:iCs/>
          <w:color w:val="000000" w:themeColor="text1"/>
          <w:sz w:val="16"/>
          <w:szCs w:val="16"/>
        </w:rPr>
      </w:pPr>
    </w:p>
    <w:p w14:paraId="1F5B0C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февраля 1945 совместным приказом заместителя наркома внутренних дел А. П. Завенягина и наркома цветной металлургии СССР П. Ф. Ломако № 00153/44сс был утвержден акт приема-сдачи урановых месторождений от НКЦМ к НКВД (сам этот акт еще 19 января подписали: от НКВД - начальник ГУЛГМП П. А. Захаров, от НКЦМ - заместитель начальника Главного управления промышленности новых и редких металлов А. В. Никитин и заместитель начальника Главного управления вольфрамо-молибденовой промышленности И. К. Егоров) (7560).</w:t>
      </w:r>
    </w:p>
    <w:p w14:paraId="02EBC113" w14:textId="77777777" w:rsidR="00665165" w:rsidRPr="00F90EAE" w:rsidRDefault="00665165" w:rsidP="00F90EAE">
      <w:pPr>
        <w:autoSpaceDE w:val="0"/>
        <w:autoSpaceDN w:val="0"/>
        <w:adjustRightInd w:val="0"/>
        <w:jc w:val="both"/>
        <w:rPr>
          <w:color w:val="000000" w:themeColor="text1"/>
          <w:sz w:val="16"/>
          <w:szCs w:val="16"/>
        </w:rPr>
      </w:pPr>
    </w:p>
    <w:p w14:paraId="295AACE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За рубежом:</w:t>
      </w:r>
    </w:p>
    <w:p w14:paraId="16A7D9D6" w14:textId="77777777" w:rsidR="00665165" w:rsidRPr="00F90EAE" w:rsidRDefault="00665165" w:rsidP="00F90EAE">
      <w:pPr>
        <w:autoSpaceDE w:val="0"/>
        <w:autoSpaceDN w:val="0"/>
        <w:adjustRightInd w:val="0"/>
        <w:jc w:val="both"/>
        <w:rPr>
          <w:iCs/>
          <w:color w:val="000000" w:themeColor="text1"/>
          <w:sz w:val="16"/>
          <w:szCs w:val="16"/>
        </w:rPr>
      </w:pPr>
    </w:p>
    <w:p w14:paraId="405CAEE6"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первый полёт прототипа палубного истребителя </w:t>
      </w:r>
      <w:hyperlink r:id="rId53" w:tgtFrame="_blank" w:history="1">
        <w:r w:rsidRPr="00F90EAE">
          <w:rPr>
            <w:color w:val="000000" w:themeColor="text1"/>
            <w:sz w:val="16"/>
            <w:szCs w:val="16"/>
          </w:rPr>
          <w:t xml:space="preserve">«XF15C-1» </w:t>
        </w:r>
      </w:hyperlink>
      <w:r w:rsidRPr="00F90EAE">
        <w:rPr>
          <w:color w:val="000000" w:themeColor="text1"/>
          <w:sz w:val="16"/>
          <w:szCs w:val="16"/>
        </w:rPr>
        <w:t>(компания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(15054).</w:t>
      </w:r>
    </w:p>
    <w:p w14:paraId="3EAE8452" w14:textId="77777777" w:rsidR="005903DB" w:rsidRPr="00F90EAE" w:rsidRDefault="005903DB" w:rsidP="00F90EAE">
      <w:pPr>
        <w:jc w:val="both"/>
        <w:rPr>
          <w:color w:val="000000" w:themeColor="text1"/>
          <w:sz w:val="16"/>
          <w:szCs w:val="16"/>
        </w:rPr>
      </w:pPr>
    </w:p>
    <w:p w14:paraId="12DD8EA9" w14:textId="77777777" w:rsidR="00DA485C" w:rsidRPr="00F90EAE" w:rsidRDefault="00DA485C" w:rsidP="00F90EAE">
      <w:pPr>
        <w:jc w:val="both"/>
        <w:rPr>
          <w:color w:val="0070C0"/>
          <w:sz w:val="16"/>
          <w:szCs w:val="16"/>
        </w:rPr>
      </w:pPr>
      <w:r w:rsidRPr="00F90EAE">
        <w:rPr>
          <w:color w:val="0070C0"/>
          <w:sz w:val="16"/>
          <w:szCs w:val="16"/>
        </w:rPr>
        <w:t>28 февраля 1945 - Первый полёт прототипа палубного истребителя XF15C-1(компания Curtiss, США). При проектировании и постройке самолёта фирма Curtiss выбрала поршневой мотор Pratt &amp; Whitney R-2800-34W "Twin Wasp" с непосредственным впрыском воды и реактивного de Havilland-Halford "Goblin"I. Оба двигателя можно было использовать и поочередно, и одновременно, в зависимости от ситуации. Первый полёт выполнялся без запуска реактивного двигателя (22583).</w:t>
      </w:r>
    </w:p>
    <w:p w14:paraId="58B692AE" w14:textId="77777777" w:rsidR="00DA485C" w:rsidRPr="00F90EAE" w:rsidRDefault="00DA485C" w:rsidP="00F90EAE">
      <w:pPr>
        <w:jc w:val="both"/>
        <w:rPr>
          <w:color w:val="0070C0"/>
          <w:sz w:val="16"/>
          <w:szCs w:val="16"/>
        </w:rPr>
      </w:pPr>
    </w:p>
    <w:p w14:paraId="481724AA"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обер-лейтенант Лотхар Зиберт, добровольно согласившийся на подобные испытания, стартовал на </w:t>
      </w:r>
      <w:hyperlink r:id="rId54" w:tgtFrame="_blank" w:history="1">
        <w:r w:rsidRPr="00F90EAE">
          <w:rPr>
            <w:color w:val="000000" w:themeColor="text1"/>
            <w:sz w:val="16"/>
            <w:szCs w:val="16"/>
          </w:rPr>
          <w:t xml:space="preserve">«Bachem» «Ba.349 Natter». </w:t>
        </w:r>
      </w:hyperlink>
      <w:r w:rsidRPr="00F90EAE">
        <w:rPr>
          <w:color w:val="000000" w:themeColor="text1"/>
          <w:sz w:val="16"/>
          <w:szCs w:val="16"/>
        </w:rPr>
        <w:t>Самолет набрал высоту около 500 м, после чего фонарь кабины самопроизвольно открылся. Самолет перевернулся через хвост приблизительно на высоте 1500м,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 (15054).</w:t>
      </w:r>
    </w:p>
    <w:p w14:paraId="3AE676A8" w14:textId="77777777" w:rsidR="005903DB" w:rsidRPr="00F90EAE" w:rsidRDefault="005903DB" w:rsidP="00F90EAE">
      <w:pPr>
        <w:jc w:val="both"/>
        <w:rPr>
          <w:color w:val="000000" w:themeColor="text1"/>
          <w:sz w:val="16"/>
          <w:szCs w:val="16"/>
        </w:rPr>
      </w:pPr>
    </w:p>
    <w:p w14:paraId="613F42FB" w14:textId="77777777" w:rsidR="00DA485C" w:rsidRPr="00F90EAE" w:rsidRDefault="00DA485C" w:rsidP="00F90EAE">
      <w:pPr>
        <w:jc w:val="both"/>
        <w:rPr>
          <w:color w:val="0070C0"/>
          <w:sz w:val="16"/>
          <w:szCs w:val="16"/>
        </w:rPr>
      </w:pPr>
      <w:r w:rsidRPr="00F90EAE">
        <w:rPr>
          <w:color w:val="0070C0"/>
          <w:sz w:val="16"/>
          <w:szCs w:val="16"/>
        </w:rPr>
        <w:t>28 февраля 1945 - Обер-лейтенант Лотхар Зиберт, добровольно согласившийся на подобные испытания, стартовал на Bachem Ba.349 Natter. Самолет набрал высоту около 500 м, после чего фонарь кабины самопроизвольно открылся. Самолет перевернулся через хвост приблизительно на высоте 1500 м, после чего опустил нос и спикировал к земле. Последовал взрыв. Последующие исследования не установили причины аварии. Было только предположено, что фонарь кабины не был закрыт на старте, а после его открытия пилот потерял сознание.</w:t>
      </w:r>
    </w:p>
    <w:p w14:paraId="52F9942A" w14:textId="77777777" w:rsidR="00DA485C" w:rsidRPr="00F90EAE" w:rsidRDefault="00DA485C" w:rsidP="00F90EAE">
      <w:pPr>
        <w:jc w:val="both"/>
        <w:rPr>
          <w:color w:val="0070C0"/>
          <w:sz w:val="16"/>
          <w:szCs w:val="16"/>
        </w:rPr>
      </w:pPr>
      <w:r w:rsidRPr="00F90EAE">
        <w:rPr>
          <w:color w:val="0070C0"/>
          <w:sz w:val="16"/>
          <w:szCs w:val="16"/>
        </w:rPr>
        <w:t>Ba.349 - вертикально стартующий ракетный перехватчик для борьбы с бомбардировщиками антигитлеровской коалиции. Самолёт был оснащён одним ЖРД Walter HWK 509A (тяга 16,7 кН, время работы 4 минуты) и, поскольку тяги последнего не хватало, для вертикального взлёта использовали четыре сбрасываемых после взлёта твердотопливных ускорителя Schmidding 109—533 (тяга 11,768 кН, время работы 10 сек.). Старт производился с вертикальной направляющей мачты высотой 15 метров (22583). </w:t>
      </w:r>
    </w:p>
    <w:p w14:paraId="4BB5E833" w14:textId="77777777" w:rsidR="00DA485C" w:rsidRPr="00F90EAE" w:rsidRDefault="00DA485C" w:rsidP="00F90EAE">
      <w:pPr>
        <w:jc w:val="both"/>
        <w:rPr>
          <w:color w:val="0070C0"/>
          <w:sz w:val="16"/>
          <w:szCs w:val="16"/>
        </w:rPr>
      </w:pPr>
    </w:p>
    <w:p w14:paraId="3662F043"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28 февраля 1945 состоялся пилотируемый старт вертикально взлетающего реактивного перехватчика Наттер Бахема. Неудачно, так как фонарь открылся на 500 м и пилот погиб. Успели сделать 36 и 25 были испытаны, включая 7 в пилотируемом виде. Использовать так и не успели (1118,27).</w:t>
      </w:r>
    </w:p>
    <w:p w14:paraId="0CA7FD08" w14:textId="77777777" w:rsidR="005903DB" w:rsidRPr="00F90EAE" w:rsidRDefault="005903DB" w:rsidP="00F90EAE">
      <w:pPr>
        <w:autoSpaceDE w:val="0"/>
        <w:autoSpaceDN w:val="0"/>
        <w:adjustRightInd w:val="0"/>
        <w:jc w:val="both"/>
        <w:rPr>
          <w:color w:val="000000" w:themeColor="text1"/>
          <w:sz w:val="16"/>
          <w:szCs w:val="16"/>
        </w:rPr>
      </w:pPr>
    </w:p>
    <w:p w14:paraId="23A2C259"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первый полёт опытного экземпляра многоцелевого истребителя </w:t>
      </w:r>
      <w:hyperlink r:id="rId55" w:tgtFrame="_blank" w:history="1">
        <w:r w:rsidRPr="00F90EAE">
          <w:rPr>
            <w:color w:val="000000" w:themeColor="text1"/>
            <w:sz w:val="16"/>
            <w:szCs w:val="16"/>
          </w:rPr>
          <w:t xml:space="preserve">«ХР-83» </w:t>
        </w:r>
      </w:hyperlink>
      <w:r w:rsidRPr="00F90EAE">
        <w:rPr>
          <w:color w:val="000000" w:themeColor="text1"/>
          <w:sz w:val="16"/>
          <w:szCs w:val="16"/>
        </w:rPr>
        <w:t>(серийный номер 44-84990) (компания Bell, США). 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(15054).</w:t>
      </w:r>
    </w:p>
    <w:p w14:paraId="36068AC7" w14:textId="77777777" w:rsidR="005903DB" w:rsidRPr="00F90EAE" w:rsidRDefault="005903DB" w:rsidP="00F90EAE">
      <w:pPr>
        <w:jc w:val="both"/>
        <w:rPr>
          <w:color w:val="000000" w:themeColor="text1"/>
          <w:sz w:val="16"/>
          <w:szCs w:val="16"/>
        </w:rPr>
      </w:pPr>
    </w:p>
    <w:p w14:paraId="4B92230D" w14:textId="77777777" w:rsidR="00DA485C" w:rsidRPr="00F90EAE" w:rsidRDefault="00DA485C" w:rsidP="00F90EAE">
      <w:pPr>
        <w:jc w:val="both"/>
        <w:rPr>
          <w:color w:val="0070C0"/>
          <w:sz w:val="16"/>
          <w:szCs w:val="16"/>
        </w:rPr>
      </w:pPr>
      <w:r w:rsidRPr="00F90EAE">
        <w:rPr>
          <w:color w:val="0070C0"/>
          <w:sz w:val="16"/>
          <w:szCs w:val="16"/>
        </w:rPr>
        <w:t>28 февраля 1945 - Первый полёт опытного экземпляра многоцелевого истребителя ХР-83 (серийный номер 44-84990) (компания Bell, США).</w:t>
      </w:r>
    </w:p>
    <w:p w14:paraId="40577553" w14:textId="77777777" w:rsidR="00DA485C" w:rsidRPr="00F90EAE" w:rsidRDefault="00DA485C" w:rsidP="00F90EAE">
      <w:pPr>
        <w:jc w:val="both"/>
        <w:rPr>
          <w:color w:val="0070C0"/>
          <w:sz w:val="16"/>
          <w:szCs w:val="16"/>
        </w:rPr>
      </w:pPr>
      <w:r w:rsidRPr="00F90EAE">
        <w:rPr>
          <w:color w:val="0070C0"/>
          <w:sz w:val="16"/>
          <w:szCs w:val="16"/>
        </w:rPr>
        <w:t>Поднял в воздух лётчик фирмы Bell Джеймс Вулэмс. Основа конструкции полностью осталась от истребителя Р-59, с некоторыми изменениями, касавшимися установки новых двигателей и увеличенного до 1500 галлонов объёма внутренних топливных баков (ещё два ПТБ на 250 галлонов можно было подвесить под крылом). Стандартный состав вооружения включал шесть 12,7-мм пулемётов с боезапасом 300 патронов, однако рассматривалась возможность установки четырёх 20-мм или 37-мм пушек. Один из проектов вообще включал батарею из 20 (!) пушек калибра 20-мм, но так и остался на бумаге. Оказалось, что доработки на пользу не пошли. Истребитель был по-прежнему тяжёлым в управлении, вяло набирал скорость и имел посредственные взлётно-посадочные характеристики. К тому же, из-за близкого расположения двигателей возникала угроза пожара в хвостовой части, поэтому на аэродроме постоянно дежурили несколько пожарных машин (22583).</w:t>
      </w:r>
    </w:p>
    <w:p w14:paraId="763CD58E" w14:textId="77777777" w:rsidR="00DA485C" w:rsidRPr="00F90EAE" w:rsidRDefault="00DA485C" w:rsidP="00F90EAE">
      <w:pPr>
        <w:jc w:val="both"/>
        <w:rPr>
          <w:color w:val="0070C0"/>
          <w:sz w:val="16"/>
          <w:szCs w:val="16"/>
        </w:rPr>
      </w:pPr>
    </w:p>
    <w:p w14:paraId="3406C1D8"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восстание 822-го грузинского пехотного батальона вермахта на голландском острове Тексель. Под руководством лейтенанта Шалвы Лоладзе легионеры перебили 200 военнослужащих немецкого персонала и несколько легионеров-грузин. Немецкие войска взяли остров штурмом, потеряв при этом 200 человек и уничтожив не менее 500 легионеров (15054).</w:t>
      </w:r>
    </w:p>
    <w:p w14:paraId="0247553D" w14:textId="77777777" w:rsidR="005903DB" w:rsidRPr="00F90EAE" w:rsidRDefault="005903DB" w:rsidP="00F90EAE">
      <w:pPr>
        <w:jc w:val="both"/>
        <w:rPr>
          <w:color w:val="000000" w:themeColor="text1"/>
          <w:sz w:val="16"/>
          <w:szCs w:val="16"/>
        </w:rPr>
      </w:pPr>
    </w:p>
    <w:p w14:paraId="059DA981"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901/2 батарея германской армии после длительного отсутствия на испытательных полигонах, начала обстрел Антверпена баллистическими ракетами "A-4"/SS-1/Scunner" со стартовых позиций около города Кирбург (немецкое название - Kirburg) (15054).</w:t>
      </w:r>
    </w:p>
    <w:p w14:paraId="0C7C7104" w14:textId="77777777" w:rsidR="005903DB" w:rsidRPr="00F90EAE" w:rsidRDefault="005903DB" w:rsidP="00F90EAE">
      <w:pPr>
        <w:jc w:val="both"/>
        <w:rPr>
          <w:color w:val="000000" w:themeColor="text1"/>
          <w:sz w:val="16"/>
          <w:szCs w:val="16"/>
        </w:rPr>
      </w:pPr>
    </w:p>
    <w:p w14:paraId="1D0864F0"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1-я казачья дивизия была перегруппирована в 15-й Казачий кавалерийский корпус и передана в подчинение войск СС (15054).</w:t>
      </w:r>
    </w:p>
    <w:p w14:paraId="66150223" w14:textId="77777777" w:rsidR="005903DB" w:rsidRPr="00F90EAE" w:rsidRDefault="005903DB" w:rsidP="00F90EAE">
      <w:pPr>
        <w:jc w:val="both"/>
        <w:rPr>
          <w:color w:val="000000" w:themeColor="text1"/>
          <w:sz w:val="16"/>
          <w:szCs w:val="16"/>
        </w:rPr>
      </w:pPr>
    </w:p>
    <w:p w14:paraId="4EFFDF71" w14:textId="77777777" w:rsidR="005903DB" w:rsidRPr="00F90EAE" w:rsidRDefault="005903DB" w:rsidP="00F90EAE">
      <w:pPr>
        <w:jc w:val="both"/>
        <w:rPr>
          <w:color w:val="000000" w:themeColor="text1"/>
          <w:sz w:val="16"/>
          <w:szCs w:val="16"/>
        </w:rPr>
      </w:pPr>
      <w:r w:rsidRPr="00F90EAE">
        <w:rPr>
          <w:bCs/>
          <w:color w:val="000000" w:themeColor="text1"/>
          <w:sz w:val="16"/>
          <w:szCs w:val="16"/>
        </w:rPr>
        <w:t>28 февраля</w:t>
      </w:r>
      <w:r w:rsidRPr="00F90EAE">
        <w:rPr>
          <w:color w:val="000000" w:themeColor="text1"/>
          <w:sz w:val="16"/>
          <w:szCs w:val="16"/>
        </w:rPr>
        <w:t xml:space="preserve"> в 1945 году всемирная конференция профсоюзов в Лондоне (15054).</w:t>
      </w:r>
    </w:p>
    <w:p w14:paraId="492BCD03" w14:textId="77777777" w:rsidR="005903DB" w:rsidRPr="00F90EAE" w:rsidRDefault="005903DB" w:rsidP="00F90EAE">
      <w:pPr>
        <w:jc w:val="both"/>
        <w:rPr>
          <w:color w:val="000000" w:themeColor="text1"/>
          <w:sz w:val="16"/>
          <w:szCs w:val="16"/>
        </w:rPr>
      </w:pPr>
    </w:p>
    <w:p w14:paraId="3064D99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февраля 1945 Саудовская Аравия объявила войну Германии и Японии (4962).</w:t>
      </w:r>
    </w:p>
    <w:p w14:paraId="27FB2B4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B70A1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E0B1E60" w14:textId="77777777" w:rsidR="00665165" w:rsidRPr="00F90EAE" w:rsidRDefault="00665165" w:rsidP="00F90EAE">
      <w:pPr>
        <w:autoSpaceDE w:val="0"/>
        <w:autoSpaceDN w:val="0"/>
        <w:adjustRightInd w:val="0"/>
        <w:jc w:val="both"/>
        <w:rPr>
          <w:iCs/>
          <w:color w:val="000000" w:themeColor="text1"/>
          <w:sz w:val="16"/>
          <w:szCs w:val="16"/>
        </w:rPr>
      </w:pPr>
    </w:p>
    <w:p w14:paraId="7B991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февраля 1945 вышел приказ НКАП и ГУЗ ВВС N 82ас/04 "О запуске в серийное производство авиаколес 800х260 мм к самолету Ил-10":</w:t>
      </w:r>
    </w:p>
    <w:p w14:paraId="3A6E73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основании проведенных ГК НИИ ВВС гос. испытаний опытных авиационных тормозных колес размером 800х260мм с колодочными тормозами к самолету Ил-10, с полетным весом 6540 кг, показавших положительные результаты:</w:t>
      </w:r>
    </w:p>
    <w:p w14:paraId="3A5E64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Запустить в серийное производство и допустить к монтажу на самолеты Ил-10 тормозные авиаколеса размером 800х260мм, изготовленных по единым чертежам ОКБ ГК Флорова.</w:t>
      </w:r>
    </w:p>
    <w:p w14:paraId="5253D5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Запуск в серийное производство указанных авиаколес осуществить с 1 марта с.г.</w:t>
      </w:r>
    </w:p>
    <w:p w14:paraId="753D3E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Директору завода 1 Литвинову и 18 Белянскому в течение марта выпустить по 5 самолетов, оборудованных колесами 800х260 мм с колодочными тормозами, для проверки и отладки монтажа новых колес. В апреле выпустить по 50 самолетов, в мае по 100 самолетов и с июня по заданной программе." (1884,32).</w:t>
      </w:r>
    </w:p>
    <w:p w14:paraId="49858E72" w14:textId="77777777" w:rsidR="00665165" w:rsidRPr="00F90EAE" w:rsidRDefault="00665165" w:rsidP="00F90EAE">
      <w:pPr>
        <w:autoSpaceDE w:val="0"/>
        <w:autoSpaceDN w:val="0"/>
        <w:adjustRightInd w:val="0"/>
        <w:jc w:val="both"/>
        <w:rPr>
          <w:color w:val="000000" w:themeColor="text1"/>
          <w:sz w:val="16"/>
          <w:szCs w:val="16"/>
        </w:rPr>
      </w:pPr>
    </w:p>
    <w:p w14:paraId="23B67B11"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29 февраля 1945 вышел совместный приказ НКАП и ВВС № 82с/04 «О запуске в серийное производство авиаколес 800x260 мм к самолету Ил-10».</w:t>
      </w:r>
    </w:p>
    <w:p w14:paraId="2A9BF1E0"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К этому времени в ГК НИИ ВВС в целом удовлетворительно прошли государственные испытания авиационные колеса размерами 800x260 мм с колодочными тормозами к самолету Ил-10 (полетный вес 6540 кг). В этой связи уже с 1 марта 1945 года колеса запускались в массовое серийное производство. При этом директора заводов № 1 и № 18 должны были «для проверки и отладки монтажа новых колес» выпустить в течение марта по 5 самолетов с такими колесами. В апреле следовало сдать военной приемке по 50 самолетов, в мае - по 100 машин и с июня - обеспечить выпуск всех Ил-10 с новыми колесами по заданной программе (17490).</w:t>
      </w:r>
    </w:p>
    <w:p w14:paraId="3B9AE8C8" w14:textId="77777777" w:rsidR="00D44763" w:rsidRPr="00F90EAE" w:rsidRDefault="00D44763" w:rsidP="00F90EAE">
      <w:pPr>
        <w:jc w:val="both"/>
        <w:rPr>
          <w:color w:val="000000" w:themeColor="text1"/>
          <w:sz w:val="16"/>
          <w:szCs w:val="16"/>
        </w:rPr>
      </w:pPr>
    </w:p>
    <w:p w14:paraId="40E1024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321D595" w14:textId="77777777" w:rsidR="00665165" w:rsidRPr="00F90EAE" w:rsidRDefault="00665165" w:rsidP="00F90EAE">
      <w:pPr>
        <w:autoSpaceDE w:val="0"/>
        <w:autoSpaceDN w:val="0"/>
        <w:adjustRightInd w:val="0"/>
        <w:jc w:val="both"/>
        <w:rPr>
          <w:iCs/>
          <w:color w:val="000000" w:themeColor="text1"/>
          <w:sz w:val="16"/>
          <w:szCs w:val="16"/>
        </w:rPr>
      </w:pPr>
    </w:p>
    <w:p w14:paraId="140B8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февраля 1945 был готов первый серийный Пе-2И, хотя хотели с 15 января по 10 февраля выпустить 5 машин малой серии для войсковых испытаний (2471,39).</w:t>
      </w:r>
    </w:p>
    <w:p w14:paraId="18A9C697" w14:textId="77777777" w:rsidR="00665165" w:rsidRPr="00F90EAE" w:rsidRDefault="00665165" w:rsidP="00F90EAE">
      <w:pPr>
        <w:autoSpaceDE w:val="0"/>
        <w:autoSpaceDN w:val="0"/>
        <w:adjustRightInd w:val="0"/>
        <w:jc w:val="both"/>
        <w:rPr>
          <w:color w:val="000000" w:themeColor="text1"/>
          <w:sz w:val="16"/>
          <w:szCs w:val="16"/>
        </w:rPr>
      </w:pPr>
    </w:p>
    <w:p w14:paraId="44344D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февраля 1945 был готов первый серийный Пе-2И, а четыре других выходили с темпом один самолет в десять дней (в то время как обычные “пешки” сдавали по 7-9 единиц ежедневно). Слишком ограниченными оказались возможности опытного цеха завода, а директор предприятия В.А. Окулов не захотел снимать специалистов и оборудование с конвейера. Камнем преткновения при отладке Пе-2И стала ДЭУ, которую так и не удалось довести до требуемого уровня надежности. Достаточно сказать, что на второй серийной машине (зав. № 2/1001) пришлось семь раз менять подвижную часть установки (4476).</w:t>
      </w:r>
    </w:p>
    <w:p w14:paraId="258255CD" w14:textId="77777777" w:rsidR="00665165" w:rsidRPr="00F90EAE" w:rsidRDefault="00665165" w:rsidP="00F90EAE">
      <w:pPr>
        <w:autoSpaceDE w:val="0"/>
        <w:autoSpaceDN w:val="0"/>
        <w:adjustRightInd w:val="0"/>
        <w:jc w:val="both"/>
        <w:rPr>
          <w:color w:val="000000" w:themeColor="text1"/>
          <w:sz w:val="16"/>
          <w:szCs w:val="16"/>
        </w:rPr>
      </w:pPr>
    </w:p>
    <w:p w14:paraId="14225CC3" w14:textId="77777777" w:rsidR="005903DB" w:rsidRPr="00F90EAE" w:rsidRDefault="005903DB"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Style w:val="90pt"/>
          <w:rFonts w:ascii="Times New Roman" w:hAnsi="Times New Roman" w:cs="Times New Roman"/>
          <w:color w:val="000000" w:themeColor="text1"/>
          <w:sz w:val="16"/>
          <w:szCs w:val="16"/>
        </w:rPr>
        <w:t>В конце февраля</w:t>
      </w:r>
      <w:r w:rsidRPr="00F90EAE">
        <w:rPr>
          <w:rFonts w:ascii="Times New Roman" w:hAnsi="Times New Roman" w:cs="Times New Roman"/>
          <w:color w:val="000000" w:themeColor="text1"/>
          <w:sz w:val="16"/>
          <w:szCs w:val="16"/>
        </w:rPr>
        <w:t xml:space="preserve"> 1945 был собран первый Пе- </w:t>
      </w:r>
      <w:r w:rsidRPr="00F90EAE">
        <w:rPr>
          <w:rStyle w:val="90pt"/>
          <w:rFonts w:ascii="Times New Roman" w:hAnsi="Times New Roman" w:cs="Times New Roman"/>
          <w:color w:val="000000" w:themeColor="text1"/>
          <w:sz w:val="16"/>
          <w:szCs w:val="16"/>
        </w:rPr>
        <w:t>2И войсковой</w:t>
      </w:r>
      <w:r w:rsidRPr="00F90EAE">
        <w:rPr>
          <w:rFonts w:ascii="Times New Roman" w:hAnsi="Times New Roman" w:cs="Times New Roman"/>
          <w:color w:val="000000" w:themeColor="text1"/>
          <w:sz w:val="16"/>
          <w:szCs w:val="16"/>
        </w:rPr>
        <w:t xml:space="preserve"> серии</w:t>
      </w:r>
      <w:r w:rsidRPr="00F90EAE">
        <w:rPr>
          <w:rStyle w:val="90pt"/>
          <w:rFonts w:ascii="Times New Roman" w:hAnsi="Times New Roman" w:cs="Times New Roman"/>
          <w:color w:val="000000" w:themeColor="text1"/>
          <w:sz w:val="16"/>
          <w:szCs w:val="16"/>
        </w:rPr>
        <w:t>,</w:t>
      </w:r>
      <w:r w:rsidRPr="00F90EAE">
        <w:rPr>
          <w:rFonts w:ascii="Times New Roman" w:hAnsi="Times New Roman" w:cs="Times New Roman"/>
          <w:color w:val="000000" w:themeColor="text1"/>
          <w:sz w:val="16"/>
          <w:szCs w:val="16"/>
        </w:rPr>
        <w:t xml:space="preserve"> а последний - в апреле </w:t>
      </w:r>
      <w:r w:rsidRPr="00F90EAE">
        <w:rPr>
          <w:rStyle w:val="90pt"/>
          <w:rFonts w:ascii="Times New Roman" w:hAnsi="Times New Roman" w:cs="Times New Roman"/>
          <w:color w:val="000000" w:themeColor="text1"/>
          <w:sz w:val="16"/>
          <w:szCs w:val="16"/>
        </w:rPr>
        <w:t>1945 г. Ни один из</w:t>
      </w:r>
      <w:r w:rsidRPr="00F90EAE">
        <w:rPr>
          <w:rFonts w:ascii="Times New Roman" w:hAnsi="Times New Roman" w:cs="Times New Roman"/>
          <w:color w:val="000000" w:themeColor="text1"/>
          <w:sz w:val="16"/>
          <w:szCs w:val="16"/>
        </w:rPr>
        <w:t xml:space="preserve"> них довести до лет</w:t>
      </w:r>
      <w:r w:rsidRPr="00F90EAE">
        <w:rPr>
          <w:rFonts w:ascii="Times New Roman" w:hAnsi="Times New Roman" w:cs="Times New Roman"/>
          <w:color w:val="000000" w:themeColor="text1"/>
          <w:sz w:val="16"/>
          <w:szCs w:val="16"/>
        </w:rPr>
        <w:softHyphen/>
      </w:r>
      <w:r w:rsidRPr="00F90EAE">
        <w:rPr>
          <w:rStyle w:val="90pt"/>
          <w:rFonts w:ascii="Times New Roman" w:hAnsi="Times New Roman" w:cs="Times New Roman"/>
          <w:color w:val="000000" w:themeColor="text1"/>
          <w:sz w:val="16"/>
          <w:szCs w:val="16"/>
        </w:rPr>
        <w:t>ного состояния не</w:t>
      </w:r>
      <w:r w:rsidRPr="00F90EAE">
        <w:rPr>
          <w:rFonts w:ascii="Times New Roman" w:hAnsi="Times New Roman" w:cs="Times New Roman"/>
          <w:color w:val="000000" w:themeColor="text1"/>
          <w:sz w:val="16"/>
          <w:szCs w:val="16"/>
        </w:rPr>
        <w:t xml:space="preserve"> удалось. В этих усло</w:t>
      </w:r>
      <w:r w:rsidRPr="00F90EAE">
        <w:rPr>
          <w:rFonts w:ascii="Times New Roman" w:hAnsi="Times New Roman" w:cs="Times New Roman"/>
          <w:color w:val="000000" w:themeColor="text1"/>
          <w:sz w:val="16"/>
          <w:szCs w:val="16"/>
        </w:rPr>
        <w:softHyphen/>
      </w:r>
      <w:r w:rsidRPr="00F90EAE">
        <w:rPr>
          <w:rStyle w:val="90pt"/>
          <w:rFonts w:ascii="Times New Roman" w:hAnsi="Times New Roman" w:cs="Times New Roman"/>
          <w:color w:val="000000" w:themeColor="text1"/>
          <w:sz w:val="16"/>
          <w:szCs w:val="16"/>
        </w:rPr>
        <w:t>виях все</w:t>
      </w:r>
      <w:r w:rsidRPr="00F90EAE">
        <w:rPr>
          <w:rFonts w:ascii="Times New Roman" w:hAnsi="Times New Roman" w:cs="Times New Roman"/>
          <w:color w:val="000000" w:themeColor="text1"/>
          <w:sz w:val="16"/>
          <w:szCs w:val="16"/>
        </w:rPr>
        <w:t xml:space="preserve"> запланированные работы</w:t>
      </w:r>
      <w:r w:rsidRPr="00F90EAE">
        <w:rPr>
          <w:rStyle w:val="90pt"/>
          <w:rFonts w:ascii="Times New Roman" w:hAnsi="Times New Roman" w:cs="Times New Roman"/>
          <w:color w:val="000000" w:themeColor="text1"/>
          <w:sz w:val="16"/>
          <w:szCs w:val="16"/>
        </w:rPr>
        <w:t xml:space="preserve"> по созданию на базе</w:t>
      </w:r>
      <w:r w:rsidRPr="00F90EAE">
        <w:rPr>
          <w:rFonts w:ascii="Times New Roman" w:hAnsi="Times New Roman" w:cs="Times New Roman"/>
          <w:color w:val="000000" w:themeColor="text1"/>
          <w:sz w:val="16"/>
          <w:szCs w:val="16"/>
        </w:rPr>
        <w:t xml:space="preserve"> Пе-2И дальнего ис</w:t>
      </w:r>
      <w:r w:rsidRPr="00F90EAE">
        <w:rPr>
          <w:rFonts w:ascii="Times New Roman" w:hAnsi="Times New Roman" w:cs="Times New Roman"/>
          <w:color w:val="000000" w:themeColor="text1"/>
          <w:sz w:val="16"/>
          <w:szCs w:val="16"/>
        </w:rPr>
        <w:softHyphen/>
      </w:r>
      <w:r w:rsidRPr="00F90EAE">
        <w:rPr>
          <w:rStyle w:val="90pt"/>
          <w:rFonts w:ascii="Times New Roman" w:hAnsi="Times New Roman" w:cs="Times New Roman"/>
          <w:color w:val="000000" w:themeColor="text1"/>
          <w:sz w:val="16"/>
          <w:szCs w:val="16"/>
        </w:rPr>
        <w:t>требителя постепенно</w:t>
      </w:r>
      <w:r w:rsidRPr="00F90EAE">
        <w:rPr>
          <w:rFonts w:ascii="Times New Roman" w:hAnsi="Times New Roman" w:cs="Times New Roman"/>
          <w:color w:val="000000" w:themeColor="text1"/>
          <w:sz w:val="16"/>
          <w:szCs w:val="16"/>
        </w:rPr>
        <w:t xml:space="preserve"> заглохли. Максимальная скорость машины по расчетам должна </w:t>
      </w:r>
      <w:r w:rsidRPr="00F90EAE">
        <w:rPr>
          <w:rFonts w:ascii="Times New Roman" w:hAnsi="Times New Roman" w:cs="Times New Roman"/>
          <w:color w:val="000000" w:themeColor="text1"/>
          <w:sz w:val="16"/>
          <w:szCs w:val="16"/>
        </w:rPr>
        <w:lastRenderedPageBreak/>
        <w:t>была достигать 700 км/ч - на высоте 6000 м и 584 км/ч - у зем</w:t>
      </w:r>
      <w:r w:rsidRPr="00F90EAE">
        <w:rPr>
          <w:rFonts w:ascii="Times New Roman" w:hAnsi="Times New Roman" w:cs="Times New Roman"/>
          <w:color w:val="000000" w:themeColor="text1"/>
          <w:sz w:val="16"/>
          <w:szCs w:val="16"/>
        </w:rPr>
        <w:softHyphen/>
        <w:t>ли. Время подъема на высоту 5000 м не превышало 5 мин. Дальность полета с 1000 кг бомб достигала 2500 км (15758).</w:t>
      </w:r>
    </w:p>
    <w:p w14:paraId="054D5CAA" w14:textId="77777777" w:rsidR="005903DB" w:rsidRPr="00F90EAE" w:rsidRDefault="005903DB" w:rsidP="00F90EAE">
      <w:pPr>
        <w:pStyle w:val="90"/>
        <w:shd w:val="clear" w:color="auto" w:fill="auto"/>
        <w:spacing w:line="240" w:lineRule="auto"/>
        <w:jc w:val="both"/>
        <w:rPr>
          <w:rStyle w:val="90pt"/>
          <w:rFonts w:ascii="Times New Roman" w:hAnsi="Times New Roman" w:cs="Times New Roman"/>
          <w:color w:val="000000" w:themeColor="text1"/>
          <w:sz w:val="16"/>
          <w:szCs w:val="16"/>
        </w:rPr>
      </w:pPr>
    </w:p>
    <w:p w14:paraId="03E8A5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февраля 1945 закончились заводские испытания Пе-8ОН с 4хАЧ-30Б, которые проходили на заводе 22. Летали В.Говоров и Н.Аржанов. всего сделали 6 полетов. Скорость - до 420 км/час на 6000 м. Расход топлива - 1.5-1.6 кг/км. Параллельно достроили дублер и начались его полеты. Над 4-мя машинами работали весь 1945 и перешли на 1946. В эксплуатацию по прямому назначению машины не передавались (4832,9).</w:t>
      </w:r>
    </w:p>
    <w:p w14:paraId="0F25AF22" w14:textId="77777777" w:rsidR="00665165" w:rsidRPr="00F90EAE" w:rsidRDefault="00665165" w:rsidP="00F90EAE">
      <w:pPr>
        <w:autoSpaceDE w:val="0"/>
        <w:autoSpaceDN w:val="0"/>
        <w:adjustRightInd w:val="0"/>
        <w:jc w:val="both"/>
        <w:rPr>
          <w:color w:val="000000" w:themeColor="text1"/>
          <w:sz w:val="16"/>
          <w:szCs w:val="16"/>
        </w:rPr>
      </w:pPr>
    </w:p>
    <w:p w14:paraId="33BC68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февраля 1945 года на заводе №22 закончились испытания Пе-8ОН №42612, которые проходили с января 1945. Испытания проводил экипаж в составе ведущего летчика-испытателя Б. Г. Говорова, второго летчика Н.Н.Аржанова, ведущего инженера А.А.Янукьяна, ведущего бортмеханика А.П.Беспалова, второго бортмеханика И.С.Рязанова, инженера ОКО Пе-8 И.С.Курдюмова, радиотехника С.В.Блинова, представителя ВВС КА Смирнова, контрольного бортмеханика Г.Гордеева. В испытаниях участвовали представители двигательного и винтовых заводов №500, №25 и №28.</w:t>
      </w:r>
    </w:p>
    <w:p w14:paraId="5E12CB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заводских испытаний было отмечено, что новое вертикальное оперение увеличенной площади придало самолету большую устойчивость в полете по сравнению с серийными машинами и что это дает возможность выполнять нормальный полет с двумя отказавшими на одной плоскости крыла двигателями. Были претензии к остеклению фонарей пилотов.</w:t>
      </w:r>
    </w:p>
    <w:p w14:paraId="120B5C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Отмечалось, что АЧ-ЗОБ работали в полетах удовлетворительно. Наблюдалось выбивание масла через суфлер двигателя, уплотнение ротора ТК и другие соединения. Масло попадало на выхлопные коллекторы и начинало гореть, в результате продукты горения масла через плоскости попадали прямо в кабину пилотов и в пассажирские салоны. В результате заводских испытаний первой машины Пе-8ОН подтвердилось, что ее летные данные соответствуют в основном данным, заявленным ОКБ в эскизном проекте. Давался целый ряд рекомендаций по самолету и силовой установке, а также по пассажирским кабинам.</w:t>
      </w:r>
    </w:p>
    <w:p w14:paraId="58EB01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двигателями АЧ-30Б со взлетной мощностью 15000 л.с., оборудованными ТК-82 и ПЦН-ЗВ с флюгерными винтами УФ-61В, в ходе заводских испытаний получили при полетной массе 30000 кг максимальную скорость на высоте 6000 м 420 км/ч, у земли максимальная скорость равнялась 355 км/ч. Практический потолок равнялся 8800 м. Эту высоту самолет набирал за 45 минут. Высоту 5000 м - за 18 минут. Полетов на максимальную дальность не проводили, ограничившись только определением километровых расходов. После окончания заводских испытаний Пе-80Н №42612 поставили в цех №9 завода №22 для выполнения доработок по выявленным дефектам во время заводских испытаний (7685).</w:t>
      </w:r>
    </w:p>
    <w:p w14:paraId="4A969897" w14:textId="77777777" w:rsidR="00665165" w:rsidRPr="00F90EAE" w:rsidRDefault="00665165" w:rsidP="00F90EAE">
      <w:pPr>
        <w:autoSpaceDE w:val="0"/>
        <w:autoSpaceDN w:val="0"/>
        <w:adjustRightInd w:val="0"/>
        <w:jc w:val="both"/>
        <w:rPr>
          <w:color w:val="000000" w:themeColor="text1"/>
          <w:sz w:val="16"/>
          <w:szCs w:val="16"/>
        </w:rPr>
      </w:pPr>
    </w:p>
    <w:p w14:paraId="0E68B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февраля 1945 г. экипажем Б.Г. Говорова закончились заводские испытания первого Пе-8ОН, которые проходили с января. Новое вертикальное оперение улучшило устойчивость в полёте, по сравнению с серийными машинами. Теперь стало возможным лететь с двумя отказавшими на одной плоскости двигателями. Дизели АЧ-30Б работали удовлетворительно, хотя наблюдались выбивание масла через суфлёр и уплотнение ротора турбокомпрессора ТК-82. Масло попадало на выхлопные коллекторы и начинало гореть, чад проникал в кабины. Лётные данные в основном соответствовали расчётным. Получили максимальную скорость 420 км/ч, практический потолок-8800 м. Полётов на максимальную дальность не проводили. После окончания заводских испытаний Пе-80Н был возвращён на доработку (11996).</w:t>
      </w:r>
    </w:p>
    <w:p w14:paraId="6259DFCC" w14:textId="77777777" w:rsidR="00665165" w:rsidRPr="00F90EAE" w:rsidRDefault="00665165" w:rsidP="00F90EAE">
      <w:pPr>
        <w:autoSpaceDE w:val="0"/>
        <w:autoSpaceDN w:val="0"/>
        <w:adjustRightInd w:val="0"/>
        <w:jc w:val="both"/>
        <w:rPr>
          <w:color w:val="000000" w:themeColor="text1"/>
          <w:sz w:val="16"/>
          <w:szCs w:val="16"/>
        </w:rPr>
      </w:pPr>
    </w:p>
    <w:p w14:paraId="2CEB916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4367675" w14:textId="77777777" w:rsidR="00665165" w:rsidRPr="00F90EAE" w:rsidRDefault="00665165" w:rsidP="00F90EAE">
      <w:pPr>
        <w:autoSpaceDE w:val="0"/>
        <w:autoSpaceDN w:val="0"/>
        <w:adjustRightInd w:val="0"/>
        <w:jc w:val="both"/>
        <w:rPr>
          <w:iCs/>
          <w:color w:val="000000" w:themeColor="text1"/>
          <w:sz w:val="16"/>
          <w:szCs w:val="16"/>
        </w:rPr>
      </w:pPr>
    </w:p>
    <w:p w14:paraId="186B5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w:t>
      </w:r>
      <w:r w:rsidRPr="00F90EAE">
        <w:rPr>
          <w:color w:val="000000" w:themeColor="text1"/>
          <w:sz w:val="16"/>
          <w:szCs w:val="16"/>
        </w:rPr>
        <w:softHyphen/>
        <w:t>чальник ГУЗ ВВС КА генерал Н.П.Селез</w:t>
      </w:r>
      <w:r w:rsidRPr="00F90EAE">
        <w:rPr>
          <w:color w:val="000000" w:themeColor="text1"/>
          <w:sz w:val="16"/>
          <w:szCs w:val="16"/>
        </w:rPr>
        <w:softHyphen/>
        <w:t>нев в письме на имя Н.С.Шиманова пи</w:t>
      </w:r>
      <w:r w:rsidRPr="00F90EAE">
        <w:rPr>
          <w:color w:val="000000" w:themeColor="text1"/>
          <w:sz w:val="16"/>
          <w:szCs w:val="16"/>
        </w:rPr>
        <w:softHyphen/>
        <w:t xml:space="preserve">сал, что </w:t>
      </w:r>
      <w:r w:rsidRPr="00F90EAE">
        <w:rPr>
          <w:iCs/>
          <w:color w:val="000000" w:themeColor="text1"/>
          <w:sz w:val="16"/>
          <w:szCs w:val="16"/>
        </w:rPr>
        <w:t>"...массовый выпуск Ил-2 с уд</w:t>
      </w:r>
      <w:r w:rsidRPr="00F90EAE">
        <w:rPr>
          <w:iCs/>
          <w:color w:val="000000" w:themeColor="text1"/>
          <w:sz w:val="16"/>
          <w:szCs w:val="16"/>
        </w:rPr>
        <w:softHyphen/>
        <w:t>линенным бронекорпусом задерживает</w:t>
      </w:r>
      <w:r w:rsidRPr="00F90EAE">
        <w:rPr>
          <w:iCs/>
          <w:color w:val="000000" w:themeColor="text1"/>
          <w:sz w:val="16"/>
          <w:szCs w:val="16"/>
        </w:rPr>
        <w:softHyphen/>
        <w:t>ся исключительно из-за отсутствия со</w:t>
      </w:r>
      <w:r w:rsidRPr="00F90EAE">
        <w:rPr>
          <w:iCs/>
          <w:color w:val="000000" w:themeColor="text1"/>
          <w:sz w:val="16"/>
          <w:szCs w:val="16"/>
        </w:rPr>
        <w:softHyphen/>
        <w:t>ответствующего приказа по НКАП... от</w:t>
      </w:r>
      <w:r w:rsidRPr="00F90EAE">
        <w:rPr>
          <w:iCs/>
          <w:color w:val="000000" w:themeColor="text1"/>
          <w:sz w:val="16"/>
          <w:szCs w:val="16"/>
        </w:rPr>
        <w:softHyphen/>
        <w:t>правка ремонтного варианта бронекор</w:t>
      </w:r>
      <w:r w:rsidRPr="00F90EAE">
        <w:rPr>
          <w:iCs/>
          <w:color w:val="000000" w:themeColor="text1"/>
          <w:sz w:val="16"/>
          <w:szCs w:val="16"/>
        </w:rPr>
        <w:softHyphen/>
        <w:t>пуса в части по железной дороге явля</w:t>
      </w:r>
      <w:r w:rsidRPr="00F90EAE">
        <w:rPr>
          <w:iCs/>
          <w:color w:val="000000" w:themeColor="text1"/>
          <w:sz w:val="16"/>
          <w:szCs w:val="16"/>
        </w:rPr>
        <w:softHyphen/>
        <w:t xml:space="preserve">ется недопустимой... " </w:t>
      </w:r>
      <w:r w:rsidRPr="00F90EAE">
        <w:rPr>
          <w:color w:val="000000" w:themeColor="text1"/>
          <w:sz w:val="16"/>
          <w:szCs w:val="16"/>
        </w:rPr>
        <w:t>(6467).</w:t>
      </w:r>
    </w:p>
    <w:p w14:paraId="68DD5B9E" w14:textId="77777777" w:rsidR="00665165" w:rsidRPr="00F90EAE" w:rsidRDefault="00665165" w:rsidP="00F90EAE">
      <w:pPr>
        <w:autoSpaceDE w:val="0"/>
        <w:autoSpaceDN w:val="0"/>
        <w:adjustRightInd w:val="0"/>
        <w:jc w:val="both"/>
        <w:rPr>
          <w:color w:val="000000" w:themeColor="text1"/>
          <w:sz w:val="16"/>
          <w:szCs w:val="16"/>
        </w:rPr>
      </w:pPr>
    </w:p>
    <w:p w14:paraId="0F10A5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 Ил-2 были установлены две пушки 45 мм НС-45. Машина прошла испытания, но в серию не попала (3846,20).</w:t>
      </w:r>
    </w:p>
    <w:p w14:paraId="0CB658F0" w14:textId="77777777" w:rsidR="00665165" w:rsidRPr="00F90EAE" w:rsidRDefault="00665165" w:rsidP="00F90EAE">
      <w:pPr>
        <w:autoSpaceDE w:val="0"/>
        <w:autoSpaceDN w:val="0"/>
        <w:adjustRightInd w:val="0"/>
        <w:jc w:val="both"/>
        <w:rPr>
          <w:color w:val="000000" w:themeColor="text1"/>
          <w:sz w:val="16"/>
          <w:szCs w:val="16"/>
        </w:rPr>
      </w:pPr>
    </w:p>
    <w:p w14:paraId="4A7E95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ГКО принял решение о создании учебно-тренировочного варианта штурмовика Ил-10.</w:t>
      </w:r>
    </w:p>
    <w:p w14:paraId="7527FC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Хотя самолет Ил-10 был достаточно прост в пилотировании, он имел определенные особенности, связанные с применением в аэродинамической компоновке крыла профиля серии НАКА-230. Летчик-испытатель И.И.Марков вспоминал: “Характерной особенностью самолетов “Ил” является их “терпимость” к ошибкам летчика, особенно на малых скоростях. Самолет Ил-2, прежде чем сорваться в штопор, долго “мучается”, переваливается с крыла на крыло, спокойно относится к таким ошибкам на посадке как высокое выравнивание или высокое выдерживание. Исключением из ряда “терпеливых” самолетов “Ил” был скоростной штурмовик Ил-10. Красив, быстр, приятно управляем, но... строг! Ил-10 не прощал ошибок в пилотировании, в штопор срывался резко, в основном в правую сторону. На посадке высота выдерживания должна была быть не более 0,5 м. Если выше, Ил-10 стремился приземлиться на правое колесо”.</w:t>
      </w:r>
    </w:p>
    <w:p w14:paraId="1A207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одной из серийных машин переделали кабину экипажа: сняли бронеперегородку между кабинами пилота и стрелка, кабину стрелка переоборудовали в кабину летчика-инструктора, в ней поставили второе управление и минимум необходимого пилотажно-навигацион-ного оборудования. Вооружение У Ил-10 состояло из двух пушек, двух ракетных направляющих для пуска РСов, бомб (9528).</w:t>
      </w:r>
    </w:p>
    <w:p w14:paraId="6B983417" w14:textId="77777777" w:rsidR="00665165" w:rsidRPr="00F90EAE" w:rsidRDefault="00665165" w:rsidP="00F90EAE">
      <w:pPr>
        <w:autoSpaceDE w:val="0"/>
        <w:autoSpaceDN w:val="0"/>
        <w:adjustRightInd w:val="0"/>
        <w:jc w:val="both"/>
        <w:rPr>
          <w:color w:val="000000" w:themeColor="text1"/>
          <w:sz w:val="16"/>
          <w:szCs w:val="16"/>
        </w:rPr>
      </w:pPr>
    </w:p>
    <w:p w14:paraId="49134433"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феврале 1945 г. в ОКБ разработали учебно-трениро</w:t>
      </w:r>
      <w:r w:rsidRPr="00F90EAE">
        <w:rPr>
          <w:rFonts w:ascii="Times New Roman" w:hAnsi="Times New Roman" w:cs="Times New Roman"/>
          <w:color w:val="000000" w:themeColor="text1"/>
          <w:sz w:val="16"/>
          <w:szCs w:val="16"/>
        </w:rPr>
        <w:softHyphen/>
        <w:t>вочный вариант нового штурмовика УИл-10, который сразу же был запущен в серийное производство. Боевая эффективность Ил- 10 особенно ярко проявилась на последнем этапе военных действий, позволив ему не только принимать активное участие в штур</w:t>
      </w:r>
      <w:r w:rsidRPr="00F90EAE">
        <w:rPr>
          <w:rFonts w:ascii="Times New Roman" w:hAnsi="Times New Roman" w:cs="Times New Roman"/>
          <w:color w:val="000000" w:themeColor="text1"/>
          <w:sz w:val="16"/>
          <w:szCs w:val="16"/>
        </w:rPr>
        <w:softHyphen/>
        <w:t>мовых операциях советской авиации, но и при необходимости на равных вести бои с самолетами врага. Последние серийные штурмовики Ил-10 вышли из цехов заво</w:t>
      </w:r>
      <w:r w:rsidRPr="00F90EAE">
        <w:rPr>
          <w:rFonts w:ascii="Times New Roman" w:hAnsi="Times New Roman" w:cs="Times New Roman"/>
          <w:color w:val="000000" w:themeColor="text1"/>
          <w:sz w:val="16"/>
          <w:szCs w:val="16"/>
        </w:rPr>
        <w:softHyphen/>
        <w:t>дов в самом конце 1948 г. За четырехлетний период военно-воздушные силы получили 4600 боевых и 280 учебно-тренировочных машин, по праву ставших основным оружи</w:t>
      </w:r>
      <w:r w:rsidRPr="00F90EAE">
        <w:rPr>
          <w:rFonts w:ascii="Times New Roman" w:hAnsi="Times New Roman" w:cs="Times New Roman"/>
          <w:color w:val="000000" w:themeColor="text1"/>
          <w:sz w:val="16"/>
          <w:szCs w:val="16"/>
        </w:rPr>
        <w:softHyphen/>
        <w:t>ем штурмовой авиации страны.</w:t>
      </w:r>
    </w:p>
    <w:p w14:paraId="032C3D76" w14:textId="77777777" w:rsidR="00A96EA6" w:rsidRPr="00F90EAE" w:rsidRDefault="00A96EA6" w:rsidP="00F90EAE">
      <w:pPr>
        <w:pStyle w:val="aff1"/>
        <w:shd w:val="clear" w:color="auto" w:fill="auto"/>
        <w:spacing w:line="240" w:lineRule="auto"/>
        <w:rPr>
          <w:rFonts w:ascii="Times New Roman" w:hAnsi="Times New Roman" w:cs="Times New Roman"/>
          <w:i w:val="0"/>
          <w:color w:val="000000" w:themeColor="text1"/>
          <w:sz w:val="16"/>
          <w:szCs w:val="16"/>
          <w:lang w:val="ru-RU"/>
        </w:rPr>
      </w:pPr>
      <w:r w:rsidRPr="00F90EAE">
        <w:rPr>
          <w:rFonts w:ascii="Times New Roman" w:hAnsi="Times New Roman" w:cs="Times New Roman"/>
          <w:i w:val="0"/>
          <w:color w:val="000000" w:themeColor="text1"/>
          <w:sz w:val="16"/>
          <w:szCs w:val="16"/>
          <w:lang w:val="ru-RU"/>
        </w:rPr>
        <w:t>Динамика производства серийных штурмовиков семейства «Ил» в 1941 -1947 гг.</w:t>
      </w:r>
    </w:p>
    <w:tbl>
      <w:tblPr>
        <w:tblW w:w="0" w:type="auto"/>
        <w:tblLayout w:type="fixed"/>
        <w:tblCellMar>
          <w:left w:w="10" w:type="dxa"/>
          <w:right w:w="10" w:type="dxa"/>
        </w:tblCellMar>
        <w:tblLook w:val="04A0" w:firstRow="1" w:lastRow="0" w:firstColumn="1" w:lastColumn="0" w:noHBand="0" w:noVBand="1"/>
      </w:tblPr>
      <w:tblGrid>
        <w:gridCol w:w="614"/>
        <w:gridCol w:w="893"/>
        <w:gridCol w:w="643"/>
        <w:gridCol w:w="566"/>
        <w:gridCol w:w="571"/>
        <w:gridCol w:w="600"/>
        <w:gridCol w:w="754"/>
        <w:gridCol w:w="686"/>
        <w:gridCol w:w="552"/>
        <w:gridCol w:w="792"/>
      </w:tblGrid>
      <w:tr w:rsidR="00561F31" w:rsidRPr="00F90EAE" w14:paraId="75B7489D" w14:textId="77777777" w:rsidTr="007C0C62">
        <w:trPr>
          <w:trHeight w:val="197"/>
        </w:trPr>
        <w:tc>
          <w:tcPr>
            <w:tcW w:w="614" w:type="dxa"/>
            <w:vMerge w:val="restart"/>
            <w:tcBorders>
              <w:top w:val="single" w:sz="4" w:space="0" w:color="auto"/>
              <w:left w:val="single" w:sz="4" w:space="0" w:color="auto"/>
              <w:right w:val="single" w:sz="4" w:space="0" w:color="auto"/>
            </w:tcBorders>
            <w:shd w:val="clear" w:color="auto" w:fill="FFFFFF"/>
          </w:tcPr>
          <w:p w14:paraId="533E7EAE"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Номер завода</w:t>
            </w:r>
          </w:p>
        </w:tc>
        <w:tc>
          <w:tcPr>
            <w:tcW w:w="893" w:type="dxa"/>
            <w:vMerge w:val="restart"/>
            <w:tcBorders>
              <w:top w:val="single" w:sz="4" w:space="0" w:color="auto"/>
              <w:left w:val="single" w:sz="4" w:space="0" w:color="auto"/>
              <w:right w:val="single" w:sz="4" w:space="0" w:color="auto"/>
            </w:tcBorders>
            <w:shd w:val="clear" w:color="auto" w:fill="FFFFFF"/>
          </w:tcPr>
          <w:p w14:paraId="1F8EB680"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Тип самолета</w:t>
            </w:r>
          </w:p>
        </w:tc>
        <w:tc>
          <w:tcPr>
            <w:tcW w:w="4372" w:type="dxa"/>
            <w:gridSpan w:val="7"/>
            <w:tcBorders>
              <w:top w:val="single" w:sz="4" w:space="0" w:color="auto"/>
              <w:left w:val="single" w:sz="4" w:space="0" w:color="auto"/>
              <w:bottom w:val="single" w:sz="4" w:space="0" w:color="auto"/>
              <w:right w:val="single" w:sz="4" w:space="0" w:color="auto"/>
            </w:tcBorders>
            <w:shd w:val="clear" w:color="auto" w:fill="FFFFFF"/>
          </w:tcPr>
          <w:p w14:paraId="40FC1C73"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Годы</w:t>
            </w:r>
          </w:p>
        </w:tc>
        <w:tc>
          <w:tcPr>
            <w:tcW w:w="792" w:type="dxa"/>
            <w:vMerge w:val="restart"/>
            <w:tcBorders>
              <w:top w:val="single" w:sz="4" w:space="0" w:color="auto"/>
              <w:left w:val="single" w:sz="4" w:space="0" w:color="auto"/>
              <w:right w:val="single" w:sz="4" w:space="0" w:color="auto"/>
            </w:tcBorders>
            <w:shd w:val="clear" w:color="auto" w:fill="FFFFFF"/>
          </w:tcPr>
          <w:p w14:paraId="22DC3A5A"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Всего</w:t>
            </w:r>
          </w:p>
        </w:tc>
      </w:tr>
      <w:tr w:rsidR="00561F31" w:rsidRPr="00F90EAE" w14:paraId="65C4B8FE" w14:textId="77777777" w:rsidTr="007C0C62">
        <w:trPr>
          <w:trHeight w:val="197"/>
        </w:trPr>
        <w:tc>
          <w:tcPr>
            <w:tcW w:w="614" w:type="dxa"/>
            <w:vMerge/>
            <w:tcBorders>
              <w:left w:val="single" w:sz="4" w:space="0" w:color="auto"/>
              <w:bottom w:val="single" w:sz="4" w:space="0" w:color="auto"/>
              <w:right w:val="single" w:sz="4" w:space="0" w:color="auto"/>
            </w:tcBorders>
            <w:shd w:val="clear" w:color="auto" w:fill="FFFFFF"/>
          </w:tcPr>
          <w:p w14:paraId="1369988A" w14:textId="77777777" w:rsidR="00A96EA6" w:rsidRPr="00F90EAE" w:rsidRDefault="00A96EA6" w:rsidP="00F90EAE">
            <w:pPr>
              <w:jc w:val="both"/>
              <w:rPr>
                <w:color w:val="000000" w:themeColor="text1"/>
                <w:sz w:val="16"/>
                <w:szCs w:val="16"/>
              </w:rPr>
            </w:pPr>
          </w:p>
        </w:tc>
        <w:tc>
          <w:tcPr>
            <w:tcW w:w="893" w:type="dxa"/>
            <w:vMerge/>
            <w:tcBorders>
              <w:left w:val="single" w:sz="4" w:space="0" w:color="auto"/>
              <w:bottom w:val="single" w:sz="4" w:space="0" w:color="auto"/>
              <w:right w:val="single" w:sz="4" w:space="0" w:color="auto"/>
            </w:tcBorders>
            <w:shd w:val="clear" w:color="auto" w:fill="FFFFFF"/>
          </w:tcPr>
          <w:p w14:paraId="550D9004" w14:textId="77777777" w:rsidR="00A96EA6" w:rsidRPr="00F90EAE" w:rsidRDefault="00A96EA6" w:rsidP="00F90EAE">
            <w:pPr>
              <w:jc w:val="both"/>
              <w:rPr>
                <w:color w:val="000000" w:themeColor="text1"/>
                <w:sz w:val="16"/>
                <w:szCs w:val="16"/>
              </w:rPr>
            </w:pP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045AD7E7"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1941</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C19625B"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4DF01B1"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A50CBD3"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8A84666"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1945</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AA1B4B6"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1946</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89E750C"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1947</w:t>
            </w:r>
          </w:p>
        </w:tc>
        <w:tc>
          <w:tcPr>
            <w:tcW w:w="792" w:type="dxa"/>
            <w:vMerge/>
            <w:tcBorders>
              <w:left w:val="single" w:sz="4" w:space="0" w:color="auto"/>
              <w:bottom w:val="single" w:sz="4" w:space="0" w:color="auto"/>
              <w:right w:val="single" w:sz="4" w:space="0" w:color="auto"/>
            </w:tcBorders>
            <w:shd w:val="clear" w:color="auto" w:fill="FFFFFF"/>
          </w:tcPr>
          <w:p w14:paraId="01FD196A" w14:textId="77777777" w:rsidR="00A96EA6" w:rsidRPr="00F90EAE" w:rsidRDefault="00A96EA6" w:rsidP="00F90EAE">
            <w:pPr>
              <w:jc w:val="both"/>
              <w:rPr>
                <w:color w:val="000000" w:themeColor="text1"/>
                <w:sz w:val="16"/>
                <w:szCs w:val="16"/>
              </w:rPr>
            </w:pPr>
          </w:p>
        </w:tc>
      </w:tr>
      <w:tr w:rsidR="00561F31" w:rsidRPr="00F90EAE" w14:paraId="28F59DCB" w14:textId="77777777" w:rsidTr="007C0C62">
        <w:trPr>
          <w:trHeight w:val="187"/>
        </w:trPr>
        <w:tc>
          <w:tcPr>
            <w:tcW w:w="614" w:type="dxa"/>
            <w:vMerge w:val="restart"/>
            <w:tcBorders>
              <w:top w:val="single" w:sz="4" w:space="0" w:color="auto"/>
              <w:left w:val="single" w:sz="4" w:space="0" w:color="auto"/>
              <w:right w:val="single" w:sz="4" w:space="0" w:color="auto"/>
            </w:tcBorders>
            <w:shd w:val="clear" w:color="auto" w:fill="FFFFFF"/>
          </w:tcPr>
          <w:p w14:paraId="46F9DF09"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AEE4949"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227E80BD"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5</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6A1D990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2991</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0C841DCD"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4257</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4377F1CD"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3710</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842561"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957</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79AE742"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1CA6B3E8"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2509875"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11920</w:t>
            </w:r>
          </w:p>
        </w:tc>
      </w:tr>
      <w:tr w:rsidR="00561F31" w:rsidRPr="00F90EAE" w14:paraId="66AA2FD0"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71B32DB0" w14:textId="77777777" w:rsidR="00A96EA6" w:rsidRPr="00F90EAE" w:rsidRDefault="00A96EA6" w:rsidP="00F90EAE">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1ECBAF1"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71CC68B8" w14:textId="77777777" w:rsidR="00A96EA6" w:rsidRPr="00F90EAE" w:rsidRDefault="00A96EA6" w:rsidP="00F90EAE">
            <w:pPr>
              <w:pStyle w:val="67"/>
              <w:shd w:val="clear" w:color="auto" w:fill="auto"/>
              <w:spacing w:before="0" w:line="240" w:lineRule="auto"/>
              <w:rPr>
                <w:color w:val="000000" w:themeColor="text1"/>
                <w:sz w:val="16"/>
                <w:szCs w:val="16"/>
              </w:rPr>
            </w:pPr>
            <w:r w:rsidRPr="00F90EAE">
              <w:rPr>
                <w:color w:val="000000" w:themeColor="text1"/>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9DA4B63"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568AFF23"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6ACA51"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4E04EC7"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893/228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5C3B21D3"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2/41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38D8D77"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8790B10"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695/269</w:t>
            </w:r>
          </w:p>
        </w:tc>
      </w:tr>
      <w:tr w:rsidR="00561F31" w:rsidRPr="00F90EAE" w14:paraId="257E9951"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29F937F3"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18</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E422A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Ил-2(2У)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4311E4B7"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1510</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208012FB"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3942</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6C64DA22"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4702</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1137F8"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4014</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539D1B68"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931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D31376D"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42837D9"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45F36536"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15099</w:t>
            </w:r>
          </w:p>
        </w:tc>
      </w:tr>
      <w:tr w:rsidR="00561F31" w:rsidRPr="00F90EAE" w14:paraId="38726CA1" w14:textId="77777777" w:rsidTr="007C0C62">
        <w:trPr>
          <w:trHeight w:val="192"/>
        </w:trPr>
        <w:tc>
          <w:tcPr>
            <w:tcW w:w="614" w:type="dxa"/>
            <w:vMerge/>
            <w:tcBorders>
              <w:left w:val="single" w:sz="4" w:space="0" w:color="auto"/>
              <w:bottom w:val="single" w:sz="4" w:space="0" w:color="auto"/>
              <w:right w:val="single" w:sz="4" w:space="0" w:color="auto"/>
            </w:tcBorders>
            <w:shd w:val="clear" w:color="auto" w:fill="FFFFFF"/>
          </w:tcPr>
          <w:p w14:paraId="04CC83F5" w14:textId="77777777" w:rsidR="00A96EA6" w:rsidRPr="00F90EAE" w:rsidRDefault="00A96EA6" w:rsidP="00F90EAE">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34EF051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0A29726"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88D6034"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32B064BD"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341562D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337D3363"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1362</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652924AB"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1006/11</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670ADCD"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BC89113"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3300/11</w:t>
            </w:r>
          </w:p>
        </w:tc>
      </w:tr>
      <w:tr w:rsidR="00561F31" w:rsidRPr="00F90EAE" w14:paraId="2D8DFEAE" w14:textId="77777777" w:rsidTr="007C0C62">
        <w:trPr>
          <w:trHeight w:val="192"/>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18BE377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30</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462243F"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4156D30"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550A9E48"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1053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136713D0"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2234</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746FDC5D"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3377</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0265D8C5"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2201</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1839B025"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78274638"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15BDCDD4"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8865</w:t>
            </w:r>
          </w:p>
        </w:tc>
      </w:tr>
      <w:tr w:rsidR="00561F31" w:rsidRPr="00F90EAE" w14:paraId="2309864B" w14:textId="77777777" w:rsidTr="007C0C62">
        <w:trPr>
          <w:trHeight w:val="19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B7029AF"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381</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58FBFB8F"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Ил-2</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5EE86BF"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27</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3AB43982"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243</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F0E30" w14:textId="77777777" w:rsidR="00A96EA6" w:rsidRPr="00F90EAE" w:rsidRDefault="00A96EA6" w:rsidP="00F90EAE">
            <w:pPr>
              <w:pStyle w:val="67"/>
              <w:shd w:val="clear" w:color="auto" w:fill="auto"/>
              <w:spacing w:before="0" w:line="240" w:lineRule="auto"/>
              <w:rPr>
                <w:color w:val="000000" w:themeColor="text1"/>
                <w:sz w:val="16"/>
                <w:szCs w:val="16"/>
              </w:rPr>
            </w:pPr>
            <w:r w:rsidRPr="00F90EAE">
              <w:rPr>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FA018BB"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BE1C135" w14:textId="77777777" w:rsidR="00A96EA6" w:rsidRPr="00F90EAE" w:rsidRDefault="00A96EA6" w:rsidP="00F90EAE">
            <w:pPr>
              <w:pStyle w:val="103"/>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EBDF115"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67D6A2F2"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30360278"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270</w:t>
            </w:r>
          </w:p>
        </w:tc>
      </w:tr>
      <w:tr w:rsidR="00561F31" w:rsidRPr="00F90EAE" w14:paraId="66C2720E" w14:textId="77777777" w:rsidTr="007C0C62">
        <w:trPr>
          <w:trHeight w:val="187"/>
        </w:trPr>
        <w:tc>
          <w:tcPr>
            <w:tcW w:w="614" w:type="dxa"/>
            <w:tcBorders>
              <w:top w:val="single" w:sz="4" w:space="0" w:color="auto"/>
              <w:left w:val="single" w:sz="4" w:space="0" w:color="auto"/>
              <w:bottom w:val="single" w:sz="4" w:space="0" w:color="auto"/>
              <w:right w:val="single" w:sz="4" w:space="0" w:color="auto"/>
            </w:tcBorders>
            <w:shd w:val="clear" w:color="auto" w:fill="FFFFFF"/>
          </w:tcPr>
          <w:p w14:paraId="3F71B6C6"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64</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87DA75E"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Ил-10</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78A8808" w14:textId="77777777" w:rsidR="00A96EA6" w:rsidRPr="00F90EAE" w:rsidRDefault="00A96EA6" w:rsidP="00F90EAE">
            <w:pPr>
              <w:pStyle w:val="67"/>
              <w:shd w:val="clear" w:color="auto" w:fill="auto"/>
              <w:spacing w:before="0" w:line="240" w:lineRule="auto"/>
              <w:rPr>
                <w:color w:val="000000" w:themeColor="text1"/>
                <w:sz w:val="16"/>
                <w:szCs w:val="16"/>
              </w:rPr>
            </w:pPr>
            <w:r w:rsidRPr="00F90EAE">
              <w:rPr>
                <w:color w:val="000000" w:themeColor="text1"/>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78916E4C"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7E41602D"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2D13A73E" w14:textId="77777777" w:rsidR="00A96EA6" w:rsidRPr="00F90EAE" w:rsidRDefault="00A96EA6" w:rsidP="00F90EAE">
            <w:pPr>
              <w:pStyle w:val="90"/>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603C9F7"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3A67FDC5"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427F3DC4" w14:textId="77777777" w:rsidR="00A96EA6" w:rsidRPr="00F90EAE" w:rsidRDefault="00A96EA6"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12</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267161D2"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12</w:t>
            </w:r>
          </w:p>
        </w:tc>
      </w:tr>
      <w:tr w:rsidR="00561F31" w:rsidRPr="00F90EAE" w14:paraId="0C68A706" w14:textId="77777777" w:rsidTr="007C0C62">
        <w:trPr>
          <w:trHeight w:val="192"/>
        </w:trPr>
        <w:tc>
          <w:tcPr>
            <w:tcW w:w="614" w:type="dxa"/>
            <w:vMerge w:val="restart"/>
            <w:tcBorders>
              <w:top w:val="single" w:sz="4" w:space="0" w:color="auto"/>
              <w:left w:val="single" w:sz="4" w:space="0" w:color="auto"/>
              <w:right w:val="single" w:sz="4" w:space="0" w:color="auto"/>
            </w:tcBorders>
            <w:shd w:val="clear" w:color="auto" w:fill="FFFFFF"/>
          </w:tcPr>
          <w:p w14:paraId="4C9E68D7"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Итого</w:t>
            </w: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7428CD34"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Ил-2 (2У)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5C554092"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1542</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4D9B0478"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8229</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4F074ADB"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11193</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65CF9689"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11101</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67CF03F2"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4089</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0BD756A0" w14:textId="77777777" w:rsidR="00A96EA6" w:rsidRPr="00F90EAE" w:rsidRDefault="00A96EA6" w:rsidP="00F90EAE">
            <w:pPr>
              <w:pStyle w:val="67"/>
              <w:shd w:val="clear" w:color="auto" w:fill="auto"/>
              <w:spacing w:before="0" w:line="240" w:lineRule="auto"/>
              <w:rPr>
                <w:color w:val="000000" w:themeColor="text1"/>
                <w:sz w:val="16"/>
                <w:szCs w:val="16"/>
              </w:rPr>
            </w:pPr>
            <w:r w:rsidRPr="00F90EAE">
              <w:rPr>
                <w:color w:val="000000" w:themeColor="text1"/>
                <w:sz w:val="16"/>
                <w:szCs w:val="16"/>
              </w:rPr>
              <w:t>-</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5F22E754" w14:textId="77777777" w:rsidR="00A96EA6" w:rsidRPr="00F90EAE" w:rsidRDefault="00A96EA6" w:rsidP="00F90EAE">
            <w:pPr>
              <w:pStyle w:val="67"/>
              <w:shd w:val="clear" w:color="auto" w:fill="auto"/>
              <w:spacing w:before="0" w:line="240" w:lineRule="auto"/>
              <w:rPr>
                <w:color w:val="000000" w:themeColor="text1"/>
                <w:sz w:val="16"/>
                <w:szCs w:val="16"/>
              </w:rPr>
            </w:pPr>
            <w:r w:rsidRPr="00F90EAE">
              <w:rPr>
                <w:color w:val="000000" w:themeColor="text1"/>
                <w:sz w:val="16"/>
                <w:szCs w:val="16"/>
              </w:rPr>
              <w:t>-</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59116BFD"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36154</w:t>
            </w:r>
          </w:p>
        </w:tc>
      </w:tr>
      <w:tr w:rsidR="00561F31" w:rsidRPr="00F90EAE" w14:paraId="5B57F42F" w14:textId="77777777" w:rsidTr="007C0C62">
        <w:trPr>
          <w:trHeight w:val="202"/>
        </w:trPr>
        <w:tc>
          <w:tcPr>
            <w:tcW w:w="614" w:type="dxa"/>
            <w:vMerge/>
            <w:tcBorders>
              <w:left w:val="single" w:sz="4" w:space="0" w:color="auto"/>
              <w:bottom w:val="single" w:sz="4" w:space="0" w:color="auto"/>
              <w:right w:val="single" w:sz="4" w:space="0" w:color="auto"/>
            </w:tcBorders>
            <w:shd w:val="clear" w:color="auto" w:fill="FFFFFF"/>
          </w:tcPr>
          <w:p w14:paraId="25DC4A0D" w14:textId="77777777" w:rsidR="00A96EA6" w:rsidRPr="00F90EAE" w:rsidRDefault="00A96EA6" w:rsidP="00F90EAE">
            <w:pPr>
              <w:jc w:val="both"/>
              <w:rPr>
                <w:color w:val="000000" w:themeColor="text1"/>
                <w:sz w:val="16"/>
                <w:szCs w:val="16"/>
              </w:rPr>
            </w:pPr>
          </w:p>
        </w:tc>
        <w:tc>
          <w:tcPr>
            <w:tcW w:w="893" w:type="dxa"/>
            <w:tcBorders>
              <w:top w:val="single" w:sz="4" w:space="0" w:color="auto"/>
              <w:left w:val="single" w:sz="4" w:space="0" w:color="auto"/>
              <w:bottom w:val="single" w:sz="4" w:space="0" w:color="auto"/>
              <w:right w:val="single" w:sz="4" w:space="0" w:color="auto"/>
            </w:tcBorders>
            <w:shd w:val="clear" w:color="auto" w:fill="FFFFFF"/>
          </w:tcPr>
          <w:p w14:paraId="0F11A965"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Ил-10/ЮУ</w:t>
            </w:r>
          </w:p>
        </w:tc>
        <w:tc>
          <w:tcPr>
            <w:tcW w:w="643" w:type="dxa"/>
            <w:tcBorders>
              <w:top w:val="single" w:sz="4" w:space="0" w:color="auto"/>
              <w:left w:val="single" w:sz="4" w:space="0" w:color="auto"/>
              <w:bottom w:val="single" w:sz="4" w:space="0" w:color="auto"/>
              <w:right w:val="single" w:sz="4" w:space="0" w:color="auto"/>
            </w:tcBorders>
            <w:shd w:val="clear" w:color="auto" w:fill="FFFFFF"/>
          </w:tcPr>
          <w:p w14:paraId="339C44E9" w14:textId="77777777" w:rsidR="00A96EA6" w:rsidRPr="00F90EAE" w:rsidRDefault="00A96EA6" w:rsidP="00F90EAE">
            <w:pPr>
              <w:pStyle w:val="7"/>
              <w:shd w:val="clear" w:color="auto" w:fill="auto"/>
              <w:spacing w:line="240" w:lineRule="auto"/>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w:t>
            </w:r>
          </w:p>
        </w:tc>
        <w:tc>
          <w:tcPr>
            <w:tcW w:w="566" w:type="dxa"/>
            <w:tcBorders>
              <w:top w:val="single" w:sz="4" w:space="0" w:color="auto"/>
              <w:left w:val="single" w:sz="4" w:space="0" w:color="auto"/>
              <w:bottom w:val="single" w:sz="4" w:space="0" w:color="auto"/>
              <w:right w:val="single" w:sz="4" w:space="0" w:color="auto"/>
            </w:tcBorders>
            <w:shd w:val="clear" w:color="auto" w:fill="FFFFFF"/>
          </w:tcPr>
          <w:p w14:paraId="0D0C617C" w14:textId="77777777" w:rsidR="00A96EA6" w:rsidRPr="00F90EAE" w:rsidRDefault="00A96EA6" w:rsidP="00F90EAE">
            <w:pPr>
              <w:pStyle w:val="80"/>
              <w:shd w:val="clear" w:color="auto" w:fill="auto"/>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w:t>
            </w:r>
          </w:p>
        </w:tc>
        <w:tc>
          <w:tcPr>
            <w:tcW w:w="571" w:type="dxa"/>
            <w:tcBorders>
              <w:top w:val="single" w:sz="4" w:space="0" w:color="auto"/>
              <w:left w:val="single" w:sz="4" w:space="0" w:color="auto"/>
              <w:bottom w:val="single" w:sz="4" w:space="0" w:color="auto"/>
              <w:right w:val="single" w:sz="4" w:space="0" w:color="auto"/>
            </w:tcBorders>
            <w:shd w:val="clear" w:color="auto" w:fill="FFFFFF"/>
          </w:tcPr>
          <w:p w14:paraId="2F04866C" w14:textId="77777777" w:rsidR="00A96EA6" w:rsidRPr="00F90EAE" w:rsidRDefault="00A96EA6" w:rsidP="00F90EAE">
            <w:pPr>
              <w:pStyle w:val="59"/>
              <w:shd w:val="clear" w:color="auto" w:fill="auto"/>
              <w:spacing w:line="240" w:lineRule="auto"/>
              <w:ind w:firstLine="0"/>
              <w:jc w:val="both"/>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w:t>
            </w:r>
          </w:p>
        </w:tc>
        <w:tc>
          <w:tcPr>
            <w:tcW w:w="600" w:type="dxa"/>
            <w:tcBorders>
              <w:top w:val="single" w:sz="4" w:space="0" w:color="auto"/>
              <w:left w:val="single" w:sz="4" w:space="0" w:color="auto"/>
              <w:bottom w:val="single" w:sz="4" w:space="0" w:color="auto"/>
              <w:right w:val="single" w:sz="4" w:space="0" w:color="auto"/>
            </w:tcBorders>
            <w:shd w:val="clear" w:color="auto" w:fill="FFFFFF"/>
          </w:tcPr>
          <w:p w14:paraId="5BA5B5CC"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73</w:t>
            </w:r>
          </w:p>
        </w:tc>
        <w:tc>
          <w:tcPr>
            <w:tcW w:w="754" w:type="dxa"/>
            <w:tcBorders>
              <w:top w:val="single" w:sz="4" w:space="0" w:color="auto"/>
              <w:left w:val="single" w:sz="4" w:space="0" w:color="auto"/>
              <w:bottom w:val="single" w:sz="4" w:space="0" w:color="auto"/>
              <w:right w:val="single" w:sz="4" w:space="0" w:color="auto"/>
            </w:tcBorders>
            <w:shd w:val="clear" w:color="auto" w:fill="FFFFFF"/>
          </w:tcPr>
          <w:p w14:paraId="7F3C47C5"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2255/228</w:t>
            </w:r>
          </w:p>
        </w:tc>
        <w:tc>
          <w:tcPr>
            <w:tcW w:w="686" w:type="dxa"/>
            <w:tcBorders>
              <w:top w:val="single" w:sz="4" w:space="0" w:color="auto"/>
              <w:left w:val="single" w:sz="4" w:space="0" w:color="auto"/>
              <w:bottom w:val="single" w:sz="4" w:space="0" w:color="auto"/>
              <w:right w:val="single" w:sz="4" w:space="0" w:color="auto"/>
            </w:tcBorders>
            <w:shd w:val="clear" w:color="auto" w:fill="FFFFFF"/>
          </w:tcPr>
          <w:p w14:paraId="469A49A7"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1008/52</w:t>
            </w:r>
          </w:p>
        </w:tc>
        <w:tc>
          <w:tcPr>
            <w:tcW w:w="552" w:type="dxa"/>
            <w:tcBorders>
              <w:top w:val="single" w:sz="4" w:space="0" w:color="auto"/>
              <w:left w:val="single" w:sz="4" w:space="0" w:color="auto"/>
              <w:bottom w:val="single" w:sz="4" w:space="0" w:color="auto"/>
              <w:right w:val="single" w:sz="4" w:space="0" w:color="auto"/>
            </w:tcBorders>
            <w:shd w:val="clear" w:color="auto" w:fill="FFFFFF"/>
          </w:tcPr>
          <w:p w14:paraId="28085387"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859</w:t>
            </w:r>
          </w:p>
        </w:tc>
        <w:tc>
          <w:tcPr>
            <w:tcW w:w="792" w:type="dxa"/>
            <w:tcBorders>
              <w:top w:val="single" w:sz="4" w:space="0" w:color="auto"/>
              <w:left w:val="single" w:sz="4" w:space="0" w:color="auto"/>
              <w:bottom w:val="single" w:sz="4" w:space="0" w:color="auto"/>
              <w:right w:val="single" w:sz="4" w:space="0" w:color="auto"/>
            </w:tcBorders>
            <w:shd w:val="clear" w:color="auto" w:fill="FFFFFF"/>
          </w:tcPr>
          <w:p w14:paraId="62791CEF" w14:textId="77777777" w:rsidR="00A96EA6" w:rsidRPr="00F90EAE" w:rsidRDefault="00A96EA6"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4007/280</w:t>
            </w:r>
          </w:p>
        </w:tc>
      </w:tr>
    </w:tbl>
    <w:p w14:paraId="583F9679"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(12734).</w:t>
      </w:r>
    </w:p>
    <w:p w14:paraId="1A7C9346" w14:textId="77777777" w:rsidR="00A96EA6" w:rsidRPr="00F90EAE" w:rsidRDefault="00A96EA6"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82AAC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начался выпуск модернизированного самолета Ил-10, на котором была установлена пушка Березина калибра 20 мм для стрелка. В остальном вооружении штурмовик Ил-10 не отличался от своего предшественника. Тем не менее, некоторые партии самолетом вместо пушек ВЯ калибра 23 мм укомплектовывались пушками НС-23 калибра 23 мм. Все самолеты Ил-10 имели десять оборонительных авиационных гранат АГ-2 (ГАСО. Ф. Р-3454. Оп. 1. Д. 50. Л. 3.) (11714).</w:t>
      </w:r>
    </w:p>
    <w:p w14:paraId="58346CDF" w14:textId="77777777" w:rsidR="00665165" w:rsidRPr="00F90EAE" w:rsidRDefault="00665165" w:rsidP="00F90EAE">
      <w:pPr>
        <w:autoSpaceDE w:val="0"/>
        <w:autoSpaceDN w:val="0"/>
        <w:adjustRightInd w:val="0"/>
        <w:jc w:val="both"/>
        <w:rPr>
          <w:color w:val="000000" w:themeColor="text1"/>
          <w:sz w:val="16"/>
          <w:szCs w:val="16"/>
        </w:rPr>
      </w:pPr>
    </w:p>
    <w:p w14:paraId="6E418186"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феврале 1945 года планировалось переучить на Ил-10 уже пять маршевых авиаполков (571, 723 и 809 шап, 118 и 132 гшап) и 120 отдельных экипажей. Однако если январский план по переучиванию на Ил-10 бригада выполнила на 91 %, то февральский был провален полностью - 48 %.</w:t>
      </w:r>
    </w:p>
    <w:p w14:paraId="6212DBB4"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Качество стрельб и бомбометания на полигоне было оценено как неудовлетворительное. Процент выполнения заданий по боевому применению на полигоне составил: с оценкой «отлично» - 12 %, «хорошо» - 42 %, «посредственно» - 46 % и «невыполнение заданий» - 18,7 %.</w:t>
      </w:r>
    </w:p>
    <w:p w14:paraId="08836322"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При этом количество летных происшествий возросло почти в два раза - 21 летное происшествие против 10 в январе. Из этого числа на долю Ил-10 пришлись 2 аварии и 6 поломок самолета, что с учетом общего налета составило 57 ч 50 мин летного времени (209 посадок) на одно происшествие.</w:t>
      </w:r>
    </w:p>
    <w:p w14:paraId="337EC18E"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то же время средний уровень летно-боевой подготовки вновь прибывших маршевых авиаполков оказался не ниже уровня лидерных полков, а даже несколько выше. Так, боевой налет на одного летчика в 571 шап составил в среднем 53 вылета, в 809 шап - 77 вылетов, в 132-м и 118-м гвардейских - около 55 и 38 вылетов соответственно.</w:t>
      </w:r>
    </w:p>
    <w:p w14:paraId="20D432E3"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lastRenderedPageBreak/>
        <w:t>Командование бригады объяснило срыв подготовки отсутствием в течение 7 дней горючего и в течение 5 дней (в среднем по бригаде) летной погоды, а также опозданием 132 гшап с прибытием для переучивания. Однако думается, что причина состояла в известной неорганизованности учебно-боевой работы в 1 заб, неоднократно отмечавшейся в различных руководящих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подготовки бригады в год обновлялся в полном составе три раза». Как правило, должности помощника командира полка по воздушно-стрелковой службе, штурмана полка, начальника штаба полка занимали наиболее подготовленные офицеры, которые, как правило, тяготились штабной работой, стремились на фронт и своего добивались. Должность становилась вакантной, и пока кадровики подыскивали достойного кандидата, решение текущих вопросов по конкретному направлению учебно-боевой работы поручалось одному из офицеров звена управления в качестве дополнительной нагрузки к его прямым обязанностям или же «временно» назначался первый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должность боевой офицер с большим опытом войны, как никто другой понимающий, что нужно на войне, по указанным выше причинам в течение двух-трех месяцев пробивал себе отправку на фронт. Считалось, что на фронте он нужнее. И все возвращалось «на круги своя». Как следствие частой ротации кадров, организация учебно-боевой работы в запасных полках всегда «хромала на обе ноги».</w:t>
      </w:r>
    </w:p>
    <w:p w14:paraId="07B10130"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Кроме того, далеко не самым последним фактором, несколько тормозившим процесс переучивания на новую матчасть, являлось осознание каждым летчиком, и особенно «стариками», прошедшими горнило настоящей войны, того факта, что война подходит к концу и что они все же выжили. Вслух об этом говорить не решались, но «про себя», несомненно, думали. В силу этого, попав в глубокий тыл, боевые летчики позволили себе несколько расслабиться. Конечно же, молодежь из нового пополнения рвалась и торопилась в бой, но опыта и летных навыков у нее было маловато. Проявления таких «мыслей» в той или иной форме прослеживаются при анализе материалов отчетных и других документов 1 заб и маршевых полков.</w:t>
      </w:r>
    </w:p>
    <w:p w14:paraId="2C87564C"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Необходимо также отметить, что процесс переучивания летного состава сильно осложнялся рядом серьезных конструктивных и производственных дефектов, как самолета, так и мотора АМ-42, порожденных «скоростными» методами проектирования и внедрения в массовое производство в условиях военного времени. Это вызывало определенную нервозность и неуверенность как среди летчиков, так и их инструкторов.</w:t>
      </w:r>
    </w:p>
    <w:p w14:paraId="5F065C80"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Почти на всех самолетах датчики бензиномеров верхних бензобаков показывали все, что угодно, но не количество оставшегося в баках топлива. Тарировка зонда масломера, как оказалось, была проведена на заводах неточно. Вследствие этого и заливка масла в маслосистему проводилась техническим составом неверно: моторы выходили из строя по причине масляного «голодания».</w:t>
      </w:r>
    </w:p>
    <w:p w14:paraId="121791DD"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На нескольких самолетах были зарегистрированы случаи отказов в работе моторчиков управления заслонкой туннеля водорадиатора. После налета 10-15 ч на самолетах появлялись люфты в соединении рычагов проводки управления шторками тоннелей водяного и масляного радиаторов.</w:t>
      </w:r>
    </w:p>
    <w:p w14:paraId="2D438C53"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результате отклонений при изготовлении бронекорпусов маслобаки на некоторых машинах были смещены в сторону мотора. По этой причине отмечались случаи повреждения обечайки баков во время работы мотора.</w:t>
      </w:r>
    </w:p>
    <w:p w14:paraId="136B191B"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Амортизационная смесь в амортизационных стойках шасси при температурах наружного воздуха ниже минус 8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xml:space="preserve"> кристаллизовалась. Как следствие, шток поршня амортизатора свободно висящей стойки не полностью выходил из цилиндра. Из -за этого при уборке шасси колесо, будучи приподнято (из-за невыхода поршня), заходило в вырез крыла с напряжением, упираясь в переднюю часть окантовки выреза, деформировало и разрушало его. При этом довольно часто обтекатель колеса (так называемый «лопух») заскакивал за окантовку выреза и там его заклинивало. Были и другие причины поломок и срыва «лопухов», например неправильный монтаж на стойке. Дело в том, что при подъеме шасси и повороте стойки вокруг своей оси на 86° «лопух» подходил к вырезу в крыле сначала одной стороной, а затем к крылу прижималась другая его стор она. При этом если «лопух» был установлен на стойке неверно, то он опять -таки заходил в вырез крыла и там заклинивался.</w:t>
      </w:r>
    </w:p>
    <w:p w14:paraId="0EAEE931"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При уборке шасси складывающийся подкос цеплял или за трубку подвода воздуха тормозной системы, проложенной по переднему лонжерону крыла, или за колодку ее крепления к лонжерону, что в обоих случаях приводило к обрыву трубки тормозов или к попаданию трубки в замок шасси. Замок при этом заклинивало. От этого дефекта удалось избавиться только в марте 1945 года.</w:t>
      </w:r>
    </w:p>
    <w:p w14:paraId="6734C21B"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Вследствие недостаточной жесткости листов куполов ниш шасси (грязевых щитков), а также производственными дефектами их изготовления купола повсеместно деформировались и трескались. С той же 5-й серии их стали изготавливать из более толстого листа. Трещины обнаруживались и в ушках рычагов складывающихся подкосов, к которым подсоединялись штоки цилиндров подъема шасси. Это в основном вызывалось нарушением технологии при сварке.</w:t>
      </w:r>
    </w:p>
    <w:p w14:paraId="6E0786AF"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После 70-80 посадок проявлялся значительный износ болтов крепления костыля к узлам на 12-й раме фюзеляжа. На отдельных самолетах выработка этих болтов за 90 посадок превышала 0,5 мм. Лабораторная проверка показала, что они изготовлены в полном соответствии с чертежами. С апреля 1945 года оба завода стали применять болты большего диаметра.</w:t>
      </w:r>
    </w:p>
    <w:p w14:paraId="31C6D199"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При сбрасывании бомб из бомбовых отсеков встречались случаи обрыва тросов управления створками отсеков, а также деформации створок в местах крепления к ним петель. На некоторых самолетах были зарегистрированы случаи обрыва траверсы углового ролика, через который проходил трос от створки бомболюка к компенсатору. Результат был один и тот же - створки не закрывались, создавая в полете дополнительное аэродинамическое сопротивление.</w:t>
      </w:r>
    </w:p>
    <w:p w14:paraId="3363B552"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Столкнулись и с нарушением поперечной балансировки самолета, заключающийся в том, что самолет приобретал произвольный крен в одну сторону. Причиной дефекта, как выяснилось, являлось изменение угла установки (отгибание) «ножа» -компенсатора, приклепанного к элерону.</w:t>
      </w:r>
    </w:p>
    <w:p w14:paraId="132FE35B"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Оказалось, что «ножи» элеронов отгибаются струбцинами при неверной их постановке техническим составом полков в процессе обслуживания самолетов.</w:t>
      </w:r>
    </w:p>
    <w:p w14:paraId="2F31E85C"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Моторы АМ-42 в своем большинстве запускались с трудом, а иногда и вовсе не хотели заводиться. Осмотр наиболее «упорных» моторов показал, что причиной отказов являлось засорение бензиновых штуцеров насосов ПН-1 скатавшимися в шарик фибровыми прокладками, устанавливаемыми под переходники бензиновых штуцеров ПН-1.</w:t>
      </w:r>
    </w:p>
    <w:p w14:paraId="28ABE425"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 xml:space="preserve">Помимо этого, моторы показывали плохую приемистость на малом газу и особенно при запуске горячих моторов, часто происходило разрушение вкладышей и обрыв шатунов, постоянно текли масло - и водорадиаторы по причине плохой пайки и т. д. </w:t>
      </w:r>
    </w:p>
    <w:p w14:paraId="655C274C"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Следует отметить, что, судя по документам, недостатки и дефекты мотора АМ -42 обуславливались не только объективными трудностями, но также и «особым» отношением мотористов к вопросу выяснения истинных причин «летных происшествий, происходящих по причине отказа моторов». В письме командира 1-й запасной штурмовой авиабригады генерал-майора А. И. Подольского директору завода № 24 М. С. Жезлову от 14 июня 1945 года отмечалось, что «/./представители завода запутывают расследования причин отказов моторов, а значит, стремятся замазать их. Расследования затягиваются на полгода и более. Такое «расследование» не может предупредить вовремя повторение летных происшествий по тем же причинам. Завязывается бессмысленная переписка, в результате которой все же Вам приходится признавать вину за заводом. Нелогичность «особых» мнений и отсутствие в них обоснования говорит о чрезвычайно низкой технической грамотности представителей завода, работающих в бригаде.».</w:t>
      </w:r>
    </w:p>
    <w:p w14:paraId="1B5C6FDE"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общем, проблем с матчастью хватало в избытке. Однако, по абсолютным показателям официальной статистики, «десятка» выглядела не так уж и плохо. Начальник штаба 1-й заб полковник Журавлев докладывал командующему ВВС ПриВО, что за 1-й квартал 1945 года в бригаде произошло 46 летных происшествий, из них на Ил-10 - 19, на Ил-2 - 20, на УИл-2 - 4, на УТ-2 - 1, на По-2 - 1. Кроме этого, управление бригады имело два летных происшествия: одно - на Ил-10 и одно - на УТ-2. Если же взять за основу для анализа удельные параметры, то Ил-10 серьезно уступал Ил-2. Средний налет «десятки» на одно летное происшествие в 1-м квартале составил 85 ч 28 мин (или 280 посадок), тогда как у «двойки» - 389 ч 10 мин (или 510 посадок). При этом по недоученности летного состава произошло 17,3 % летных происшествий, по недисциплинированности (главным образом нарушение наставления по производству полетов) - 46 % и по вине материальной части (конструктивно-производственные дефекты) - 36,7 %. Для сравнения: в июле - августе 1941 года при переучивании в 1 заб маршевых авиаполков на самолете Ил-2 налет на одно летное происшествие составил 157 ч 03 мин при среднем налете на одного летчика перед убытием на фронт 4 ч 20 мин.</w:t>
      </w:r>
    </w:p>
    <w:p w14:paraId="443C68A5"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С целью лучшего освоения самолета Ил-10 в феврале силами 1 заб была закончена опытная отработка боевого применения Ил-10, по результатам которой подготовлены методические указания и разосланы в части. Кроме этого, были проведены методические совещания штурманов полков и помощников командиров полков по воздушно -стрелковой службе по обобщению опыта бомбометания и воздушной стрельбы с Ил-10 и методике обучения летного состава боевому применению на «десятке».</w:t>
      </w:r>
    </w:p>
    <w:p w14:paraId="5C876957" w14:textId="77777777" w:rsidR="00D44763" w:rsidRPr="00F90EAE" w:rsidRDefault="00D4476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готовности полка к убытию на фронт от 28 февраля 1945 г. полк имел в своем составе 42 летчика, прошедших программу переучивания на Ил-10. Из этого числа 38 летчиков имели боевой опыт на самолете Ил -2. В ходе переучивания полк получил из 5 зап на пополнение двух летчиков, переучившихся на самолете Ил-10. Налет на одного летчика полка на Ил-10 составил 3 ч 7 мин (17 посадок), в том числе 2 ч 44 мин (13 посадок) на боевое применение (17490).</w:t>
      </w:r>
    </w:p>
    <w:p w14:paraId="51E121EB" w14:textId="77777777" w:rsidR="00D44763" w:rsidRPr="00F90EAE" w:rsidRDefault="00D44763" w:rsidP="00F90EAE">
      <w:pPr>
        <w:jc w:val="both"/>
        <w:rPr>
          <w:color w:val="000000" w:themeColor="text1"/>
          <w:sz w:val="16"/>
          <w:szCs w:val="16"/>
        </w:rPr>
      </w:pPr>
    </w:p>
    <w:p w14:paraId="44DF231D"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феврале 1945 1 запасная бригада приняла 83 «десятки», в следующем месяце - 145, в апреле - 265 и в мае - 257 Ил-10. В общей сложности к 1 июля 1945 года 1 заб получила 1077 самолетов Ил-10 и 3 учебно-тренировочных УИл-10.</w:t>
      </w:r>
    </w:p>
    <w:p w14:paraId="3F52FB35"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Еще в середине сентября весь летный и технический состав 2-й эскадрильи 5-го запасного авиаполка бригады был направлен на авиазаводы № 1 и № 24 для изучения материальной части Ил-10 и мотора АМ-42, а также особенностей эксплуатации и конструктивных недостатков самолета и мотора. Остальные эскадрильи полка продолжали работать по плану боевой подготовки переменного состава (летчиков для действующей армии). При этом летному и техническому составу эскадрилий дополнительно было выделено по 82 ч занятий для изучения самолета Ил-10 и мотора АМ-42.</w:t>
      </w:r>
    </w:p>
    <w:p w14:paraId="6D7BFAC4"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lastRenderedPageBreak/>
        <w:t>Выбор 2-й эскадрильи в качестве лидерной обуславливался высоким средним уровнем летной подготовки инструкторского состава эскадрильи. Обучение успешно закончилось сдачей зачетов 15 октября, и к концу месяца на Ил-10 вылетело самостоятельно 7 летчиков инструкторского состава эскадрильи и управление 5 зап во главе с командиром полка подполковником Беляковым. Суммарный налет составил 5 ч 53 мин - 17 посадок.</w:t>
      </w:r>
    </w:p>
    <w:p w14:paraId="48501B3A"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К 31 октября 1944 года 5 зап получил 5 серийных Ил-10 производства авиазавода № 1. Еще 5 машин этого же завода поступили в 178 атб бригады (17490).</w:t>
      </w:r>
    </w:p>
    <w:p w14:paraId="44315ACF" w14:textId="77777777" w:rsidR="00D44763" w:rsidRPr="00F90EAE" w:rsidRDefault="00D44763" w:rsidP="00F90EAE">
      <w:pPr>
        <w:jc w:val="both"/>
        <w:rPr>
          <w:color w:val="000000" w:themeColor="text1"/>
          <w:sz w:val="16"/>
          <w:szCs w:val="16"/>
        </w:rPr>
      </w:pPr>
    </w:p>
    <w:p w14:paraId="4823B665" w14:textId="77777777" w:rsidR="008E7477" w:rsidRPr="00F90EAE" w:rsidRDefault="008E7477" w:rsidP="00F90EAE">
      <w:pPr>
        <w:jc w:val="both"/>
        <w:rPr>
          <w:color w:val="0070C0"/>
          <w:sz w:val="16"/>
          <w:szCs w:val="16"/>
        </w:rPr>
      </w:pPr>
      <w:r w:rsidRPr="00F90EAE">
        <w:rPr>
          <w:color w:val="0070C0"/>
          <w:sz w:val="16"/>
          <w:szCs w:val="16"/>
        </w:rPr>
        <w:t xml:space="preserve">В феврале 1945 г. на </w:t>
      </w:r>
      <w:r w:rsidRPr="00F90EAE">
        <w:rPr>
          <w:color w:val="0070C0"/>
          <w:sz w:val="16"/>
          <w:szCs w:val="16"/>
          <w:lang w:val="en-US"/>
        </w:rPr>
        <w:t>Bf</w:t>
      </w:r>
      <w:r w:rsidRPr="00F90EAE">
        <w:rPr>
          <w:color w:val="0070C0"/>
          <w:sz w:val="16"/>
          <w:szCs w:val="16"/>
        </w:rPr>
        <w:t xml:space="preserve"> 109</w:t>
      </w:r>
      <w:r w:rsidRPr="00F90EAE">
        <w:rPr>
          <w:color w:val="0070C0"/>
          <w:sz w:val="16"/>
          <w:szCs w:val="16"/>
          <w:lang w:val="en-US"/>
        </w:rPr>
        <w:t>G</w:t>
      </w:r>
      <w:r w:rsidRPr="00F90EAE">
        <w:rPr>
          <w:color w:val="0070C0"/>
          <w:sz w:val="16"/>
          <w:szCs w:val="16"/>
        </w:rPr>
        <w:t>-6 проводили учебные атаки на бомбардировщики Ту-2 (23186).</w:t>
      </w:r>
    </w:p>
    <w:p w14:paraId="1D192CF7" w14:textId="77777777" w:rsidR="008E7477" w:rsidRPr="00F90EAE" w:rsidRDefault="008E7477" w:rsidP="00F90EAE">
      <w:pPr>
        <w:jc w:val="both"/>
        <w:rPr>
          <w:color w:val="0070C0"/>
          <w:sz w:val="16"/>
          <w:szCs w:val="16"/>
        </w:rPr>
      </w:pPr>
    </w:p>
    <w:p w14:paraId="34758F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АМ-39Б с двумя турбокомпрессорами ТК-2Б конструкции ЦИАМ был снят с И-222 (изд. 3А) - высотного истребителя А.И.М. с гермокабиной для переборки. После ремонта двигатель работал заметно хуже, отмечалось падение давления масла. Одной из основных причин выхода из строя моторов АМ-39 на самолетах ОКБ А.И. Микояна являлось разрушение трущихся поверхностей мотора из-за несовершенства самолетных маслосистем (9032).</w:t>
      </w:r>
    </w:p>
    <w:p w14:paraId="1D192081" w14:textId="77777777" w:rsidR="00665165" w:rsidRPr="00F90EAE" w:rsidRDefault="00665165" w:rsidP="00F90EAE">
      <w:pPr>
        <w:autoSpaceDE w:val="0"/>
        <w:autoSpaceDN w:val="0"/>
        <w:adjustRightInd w:val="0"/>
        <w:jc w:val="both"/>
        <w:rPr>
          <w:color w:val="000000" w:themeColor="text1"/>
          <w:sz w:val="16"/>
          <w:szCs w:val="16"/>
        </w:rPr>
      </w:pPr>
    </w:p>
    <w:p w14:paraId="6800C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двигатель АМ-39ФНВ удовлетворительно прошел 50-часовые специальные заводские испытания (9030).</w:t>
      </w:r>
    </w:p>
    <w:p w14:paraId="00F58D5A" w14:textId="77777777" w:rsidR="00665165" w:rsidRPr="00F90EAE" w:rsidRDefault="00665165" w:rsidP="00F90EAE">
      <w:pPr>
        <w:autoSpaceDE w:val="0"/>
        <w:autoSpaceDN w:val="0"/>
        <w:adjustRightInd w:val="0"/>
        <w:jc w:val="both"/>
        <w:rPr>
          <w:color w:val="000000" w:themeColor="text1"/>
          <w:sz w:val="16"/>
          <w:szCs w:val="16"/>
        </w:rPr>
      </w:pPr>
    </w:p>
    <w:p w14:paraId="673C7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на И-224 был заменен мотор из-за появления металлической стружки в маслофильтре (5852,40).</w:t>
      </w:r>
    </w:p>
    <w:p w14:paraId="14B821DB" w14:textId="77777777" w:rsidR="00665165" w:rsidRPr="00F90EAE" w:rsidRDefault="00665165" w:rsidP="00F90EAE">
      <w:pPr>
        <w:autoSpaceDE w:val="0"/>
        <w:autoSpaceDN w:val="0"/>
        <w:adjustRightInd w:val="0"/>
        <w:jc w:val="both"/>
        <w:rPr>
          <w:color w:val="000000" w:themeColor="text1"/>
          <w:sz w:val="16"/>
          <w:szCs w:val="16"/>
        </w:rPr>
      </w:pPr>
    </w:p>
    <w:p w14:paraId="76F79B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 на И-224 пришлось вновь заменить мотор из-за появления ме</w:t>
      </w:r>
      <w:r w:rsidRPr="00F90EAE">
        <w:rPr>
          <w:color w:val="000000" w:themeColor="text1"/>
          <w:sz w:val="16"/>
          <w:szCs w:val="16"/>
        </w:rPr>
        <w:softHyphen/>
        <w:t>таллической стружки в маслофильтре (9984).</w:t>
      </w:r>
    </w:p>
    <w:p w14:paraId="140479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BF72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был готов И-250 А.И.Микояна (5,253).</w:t>
      </w:r>
    </w:p>
    <w:p w14:paraId="6D95717F" w14:textId="77777777" w:rsidR="00665165" w:rsidRPr="00F90EAE" w:rsidRDefault="00665165" w:rsidP="00F90EAE">
      <w:pPr>
        <w:autoSpaceDE w:val="0"/>
        <w:autoSpaceDN w:val="0"/>
        <w:adjustRightInd w:val="0"/>
        <w:jc w:val="both"/>
        <w:rPr>
          <w:color w:val="000000" w:themeColor="text1"/>
          <w:sz w:val="16"/>
          <w:szCs w:val="16"/>
        </w:rPr>
      </w:pPr>
    </w:p>
    <w:p w14:paraId="19301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был сдан по сборке с макетной силовой установкой первый из двух И-250, находившихся в опытном производстве (6000).</w:t>
      </w:r>
    </w:p>
    <w:p w14:paraId="64873E29" w14:textId="77777777" w:rsidR="00665165" w:rsidRPr="00F90EAE" w:rsidRDefault="00665165" w:rsidP="00F90EAE">
      <w:pPr>
        <w:autoSpaceDE w:val="0"/>
        <w:autoSpaceDN w:val="0"/>
        <w:adjustRightInd w:val="0"/>
        <w:jc w:val="both"/>
        <w:rPr>
          <w:color w:val="000000" w:themeColor="text1"/>
          <w:sz w:val="16"/>
          <w:szCs w:val="16"/>
        </w:rPr>
      </w:pPr>
    </w:p>
    <w:p w14:paraId="33689E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проходили контрольные испытания Ла-7 производства 381 завода, вооруженных 3 пушками Б-20 (741,5).</w:t>
      </w:r>
    </w:p>
    <w:p w14:paraId="4F98A55A" w14:textId="77777777" w:rsidR="00665165" w:rsidRPr="00F90EAE" w:rsidRDefault="00665165" w:rsidP="00F90EAE">
      <w:pPr>
        <w:autoSpaceDE w:val="0"/>
        <w:autoSpaceDN w:val="0"/>
        <w:adjustRightInd w:val="0"/>
        <w:jc w:val="both"/>
        <w:rPr>
          <w:color w:val="000000" w:themeColor="text1"/>
          <w:sz w:val="16"/>
          <w:szCs w:val="16"/>
        </w:rPr>
      </w:pPr>
    </w:p>
    <w:p w14:paraId="2E0C44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в ходе летных испытаний самолета Як-3 с ВК-105П и двухступенчатым нагнетателем, проведенных до высоты 12000 метров, выявили дефекты: перегрев масла на выходе из мотора - 115 градусов С и испарение воды из расширительного бачка (2592,223).</w:t>
      </w:r>
    </w:p>
    <w:p w14:paraId="27B6C93A" w14:textId="77777777" w:rsidR="00665165" w:rsidRPr="00F90EAE" w:rsidRDefault="00665165" w:rsidP="00F90EAE">
      <w:pPr>
        <w:autoSpaceDE w:val="0"/>
        <w:autoSpaceDN w:val="0"/>
        <w:adjustRightInd w:val="0"/>
        <w:jc w:val="both"/>
        <w:rPr>
          <w:color w:val="000000" w:themeColor="text1"/>
          <w:sz w:val="16"/>
          <w:szCs w:val="16"/>
        </w:rPr>
      </w:pPr>
    </w:p>
    <w:p w14:paraId="2A528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был готов Як-9УТ (65,152).</w:t>
      </w:r>
    </w:p>
    <w:p w14:paraId="3C3111C6" w14:textId="77777777" w:rsidR="00665165" w:rsidRPr="00F90EAE" w:rsidRDefault="00665165" w:rsidP="00F90EAE">
      <w:pPr>
        <w:autoSpaceDE w:val="0"/>
        <w:autoSpaceDN w:val="0"/>
        <w:adjustRightInd w:val="0"/>
        <w:jc w:val="both"/>
        <w:rPr>
          <w:color w:val="000000" w:themeColor="text1"/>
          <w:sz w:val="16"/>
          <w:szCs w:val="16"/>
        </w:rPr>
      </w:pPr>
    </w:p>
    <w:p w14:paraId="4183B3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самолет Як-9У с ВК-107А контрольные испытания в НИИ ВВС прошел неудовлетворительно (4108) (3573).</w:t>
      </w:r>
    </w:p>
    <w:p w14:paraId="74991F4C" w14:textId="77777777" w:rsidR="00665165" w:rsidRPr="00F90EAE" w:rsidRDefault="00665165" w:rsidP="00F90EAE">
      <w:pPr>
        <w:autoSpaceDE w:val="0"/>
        <w:autoSpaceDN w:val="0"/>
        <w:adjustRightInd w:val="0"/>
        <w:jc w:val="both"/>
        <w:rPr>
          <w:color w:val="000000" w:themeColor="text1"/>
          <w:sz w:val="16"/>
          <w:szCs w:val="16"/>
        </w:rPr>
      </w:pPr>
    </w:p>
    <w:p w14:paraId="31528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месяце 1945 на контрольные испытания поступил Як-9У с BK-I07A (№ 06-16 завода № 82), вооруженный пушкой МП-20 (120 патронов) и двумя пулеметами УБС (300 патронов). По сравнению с серийной машиной № 25-021 на московской машине установили механизм аварийного сбрасывания фонаря, 5-миллиметровый бронезаголовник, дополнительные щитки шасси, сепаратор в расширительном бачке и диффузор в трубопроводе перед помпой в месте выхода компенсаторной трубы. Сняли из под зализов оперения груз весом 20 кг, отполировали переднюю кромку крыла. Приемник РСИ-4 перенесли с панели рации на площадку (плато) за задним бронестеклом. Но дефектов в машине оказалось еще больше чем на Як-9У омского завода № 166.</w:t>
      </w:r>
    </w:p>
    <w:p w14:paraId="47415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частности, на самолете был невозможен горизонтальный полет на номинальной мощности работы двигателя при заслонке водорадиатора по потоку из-за перегрева охлаждающей жидкости. По-прежнему были велики нагрузки на ручку управления от элеронов и руля высоты. Отмечены случаи самопроизвольного срыва подвижной части фонаря кабины летчика, растрескивание хвостовой части зализов стабилизатора и трещины кока винта. Отсутствовали проти- вопыльный фильтр во всасывающем патрубке и термометр входящего в мотор масла. Неправильная регулировка стопора костыля, отсутствие надежного фиксатора сектора газа, искажение сферическим козырьком видимых через него предметов и многое другое сильно снижали боевые качества истребителя.</w:t>
      </w:r>
    </w:p>
    <w:p w14:paraId="305323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Максимальные скорости горизонтального полета были на 19-34 км/ч меньше заданных постановлением ГКО № 4849 от 27 декабря 1943 г. Одним словом Я к-9У завода № 82 испытания не выдержал (12046).</w:t>
      </w:r>
    </w:p>
    <w:p w14:paraId="00750CFC" w14:textId="77777777" w:rsidR="00665165" w:rsidRPr="00F90EAE" w:rsidRDefault="00665165" w:rsidP="00F90EAE">
      <w:pPr>
        <w:autoSpaceDE w:val="0"/>
        <w:autoSpaceDN w:val="0"/>
        <w:adjustRightInd w:val="0"/>
        <w:jc w:val="both"/>
        <w:rPr>
          <w:color w:val="000000" w:themeColor="text1"/>
          <w:sz w:val="16"/>
          <w:szCs w:val="16"/>
        </w:rPr>
      </w:pPr>
    </w:p>
    <w:p w14:paraId="257FCFCD" w14:textId="77777777" w:rsidR="00630DDD" w:rsidRPr="00F90EAE" w:rsidRDefault="00630DDD" w:rsidP="00F90EAE">
      <w:pPr>
        <w:jc w:val="both"/>
        <w:rPr>
          <w:color w:val="000000" w:themeColor="text1"/>
          <w:sz w:val="16"/>
          <w:szCs w:val="16"/>
        </w:rPr>
      </w:pPr>
      <w:r w:rsidRPr="00F90EAE">
        <w:rPr>
          <w:color w:val="000000" w:themeColor="text1"/>
          <w:sz w:val="16"/>
          <w:szCs w:val="16"/>
        </w:rPr>
        <w:t>В феврале 1945 на контрольные испытания поступил Як-9У № 06-16 завода № 82 - и их не выдержал. В апреле 1945 г. это же предприятие предъявило ещё один истребитель, № 10-10. На нём улучшили герметизацию, изменили передаточные числа качалок управления рулём высоты и элеронами, улучшили аэродинамическую компенсацию элеронов, обрезав задние кромки. Сферический козырёк заменили гранёным. Усилили крепление обшивки крыла к нервюрам. Установили мотор с до</w:t>
      </w:r>
      <w:r w:rsidRPr="00F90EAE">
        <w:rPr>
          <w:color w:val="000000" w:themeColor="text1"/>
          <w:sz w:val="16"/>
          <w:szCs w:val="16"/>
        </w:rPr>
        <w:softHyphen/>
        <w:t>полнительной маслопомпой и новый водя</w:t>
      </w:r>
      <w:r w:rsidRPr="00F90EAE">
        <w:rPr>
          <w:color w:val="000000" w:themeColor="text1"/>
          <w:sz w:val="16"/>
          <w:szCs w:val="16"/>
        </w:rPr>
        <w:softHyphen/>
        <w:t>ной радиатор, допускавший больший расход охлаждающей жидкости. Передатчик РСИ-3 заменили на РСИ-ЗМ-1.</w:t>
      </w:r>
    </w:p>
    <w:p w14:paraId="3353C46A"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Но перечень дефектов по-прежнему оставался большим. Сохранялись большие нагрузки на ручку управления самолётом от элеронов и руля высоты, отсутствовали переднее бронестекло и бронеподлокотник, при наборе высоты температуры охлаждаю</w:t>
      </w:r>
      <w:r w:rsidRPr="00F90EAE">
        <w:rPr>
          <w:rFonts w:ascii="Times New Roman" w:cs="Times New Roman"/>
          <w:color w:val="000000" w:themeColor="text1"/>
          <w:spacing w:val="0"/>
        </w:rPr>
        <w:softHyphen/>
        <w:t>щей жидкости и выходящего масла превы</w:t>
      </w:r>
      <w:r w:rsidRPr="00F90EAE">
        <w:rPr>
          <w:rFonts w:ascii="Times New Roman" w:cs="Times New Roman"/>
          <w:color w:val="000000" w:themeColor="text1"/>
          <w:spacing w:val="0"/>
        </w:rPr>
        <w:softHyphen/>
        <w:t>шали максимально допустимые значения, пулемёты самопроизвольно переходили со стрельбы очередями на одиночные вы</w:t>
      </w:r>
      <w:r w:rsidRPr="00F90EAE">
        <w:rPr>
          <w:rFonts w:ascii="Times New Roman" w:cs="Times New Roman"/>
          <w:color w:val="000000" w:themeColor="text1"/>
          <w:spacing w:val="0"/>
        </w:rPr>
        <w:softHyphen/>
        <w:t>стрелы. Максимальная скорость горизон</w:t>
      </w:r>
      <w:r w:rsidRPr="00F90EAE">
        <w:rPr>
          <w:rFonts w:ascii="Times New Roman" w:cs="Times New Roman"/>
          <w:color w:val="000000" w:themeColor="text1"/>
          <w:spacing w:val="0"/>
        </w:rPr>
        <w:softHyphen/>
        <w:t>тального полёта из-за поверхности крыла, испорченной установкой специальных бол</w:t>
      </w:r>
      <w:r w:rsidRPr="00F90EAE">
        <w:rPr>
          <w:rFonts w:ascii="Times New Roman" w:cs="Times New Roman"/>
          <w:color w:val="000000" w:themeColor="text1"/>
          <w:spacing w:val="0"/>
        </w:rPr>
        <w:softHyphen/>
        <w:t>тов ремонтного варианта (выступавших в поток), и усиления крепления обшивки к полкам нервюр снизилась на 12 - 16 км/ч. Отмечались и другие недостатки (19103).</w:t>
      </w:r>
    </w:p>
    <w:p w14:paraId="2FA2ECCA"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июле 1945 закончились госиспытания Як-9У № 41-038 и выявили большое количество дефектов. В частности, критиковали отсутствие пе</w:t>
      </w:r>
      <w:r w:rsidRPr="00F90EAE">
        <w:rPr>
          <w:rFonts w:ascii="Times New Roman" w:cs="Times New Roman"/>
          <w:color w:val="000000" w:themeColor="text1"/>
          <w:spacing w:val="0"/>
        </w:rPr>
        <w:softHyphen/>
        <w:t>реднего бронестекла, перегрев масла при наборе высоты и охлаждающей жидкости в горизонтальном полёте, нарушение нижнего уплотнения блоков двигателя и разруше</w:t>
      </w:r>
      <w:r w:rsidRPr="00F90EAE">
        <w:rPr>
          <w:rFonts w:ascii="Times New Roman" w:cs="Times New Roman"/>
          <w:color w:val="000000" w:themeColor="text1"/>
          <w:spacing w:val="0"/>
        </w:rPr>
        <w:softHyphen/>
        <w:t>ние коренных подшипников, недостаточ</w:t>
      </w:r>
      <w:r w:rsidRPr="00F90EAE">
        <w:rPr>
          <w:rFonts w:ascii="Times New Roman" w:cs="Times New Roman"/>
          <w:color w:val="000000" w:themeColor="text1"/>
          <w:spacing w:val="0"/>
        </w:rPr>
        <w:softHyphen/>
        <w:t>ную прочность кока винта и труб системы охлаждения. А.С. Яковлев попросил пре</w:t>
      </w:r>
      <w:r w:rsidRPr="00F90EAE">
        <w:rPr>
          <w:rFonts w:ascii="Times New Roman" w:cs="Times New Roman"/>
          <w:color w:val="000000" w:themeColor="text1"/>
          <w:spacing w:val="0"/>
        </w:rPr>
        <w:softHyphen/>
        <w:t>рвать испытания и направить самолёт в Москву для доводки.</w:t>
      </w:r>
    </w:p>
    <w:p w14:paraId="1862CE26"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Як-9У № 41-038 был построен совместными усилиями заводов № 166 и № 115. Он вооружался двумя синхронными пушками Б-20С (общий боекомплект 240 патронов) и мотор-пушкой Б-20М (120 пат</w:t>
      </w:r>
      <w:r w:rsidRPr="00F90EAE">
        <w:rPr>
          <w:rFonts w:ascii="Times New Roman" w:cs="Times New Roman"/>
          <w:color w:val="000000" w:themeColor="text1"/>
          <w:spacing w:val="0"/>
        </w:rPr>
        <w:softHyphen/>
        <w:t>ронов). При этом предусматривалась аль</w:t>
      </w:r>
      <w:r w:rsidRPr="00F90EAE">
        <w:rPr>
          <w:rFonts w:ascii="Times New Roman" w:cs="Times New Roman"/>
          <w:color w:val="000000" w:themeColor="text1"/>
          <w:spacing w:val="0"/>
        </w:rPr>
        <w:softHyphen/>
        <w:t>тернативная установка на двигателе НС-23 или Н-37 с боезапасом 60 и 30 патронов соответственно. Управление огнём из пуш</w:t>
      </w:r>
      <w:r w:rsidRPr="00F90EAE">
        <w:rPr>
          <w:rFonts w:ascii="Times New Roman" w:cs="Times New Roman"/>
          <w:color w:val="000000" w:themeColor="text1"/>
          <w:spacing w:val="0"/>
        </w:rPr>
        <w:softHyphen/>
        <w:t>ки Б-20М производилось с помощью элек</w:t>
      </w:r>
      <w:r w:rsidRPr="00F90EAE">
        <w:rPr>
          <w:rFonts w:ascii="Times New Roman" w:cs="Times New Roman"/>
          <w:color w:val="000000" w:themeColor="text1"/>
          <w:spacing w:val="0"/>
        </w:rPr>
        <w:softHyphen/>
        <w:t>троспуска ЭЛС-1 пневматикой, а из Н-37 или НС-23 - электроспуском. Перезарядка орудий - пневмомеханическая.</w:t>
      </w:r>
    </w:p>
    <w:p w14:paraId="218B51F3"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Гранёный козырёк заменили гнутым из органического стекла. С самолёта сняли броненадголовник, на нижний централь</w:t>
      </w:r>
      <w:r w:rsidRPr="00F90EAE">
        <w:rPr>
          <w:rFonts w:ascii="Times New Roman" w:cs="Times New Roman"/>
          <w:color w:val="000000" w:themeColor="text1"/>
          <w:spacing w:val="0"/>
        </w:rPr>
        <w:softHyphen/>
        <w:t>ный люк поставили замки типа «Дзус». На каждом посадочном щитке установили по три замка, сняв замок с цилиндра убор</w:t>
      </w:r>
      <w:r w:rsidRPr="00F90EAE">
        <w:rPr>
          <w:rFonts w:ascii="Times New Roman" w:cs="Times New Roman"/>
          <w:color w:val="000000" w:themeColor="text1"/>
          <w:spacing w:val="0"/>
        </w:rPr>
        <w:softHyphen/>
        <w:t>ки шасси. Полотняную обшивку элеронов заменили металлической. Появилась вен</w:t>
      </w:r>
      <w:r w:rsidRPr="00F90EAE">
        <w:rPr>
          <w:rFonts w:ascii="Times New Roman" w:cs="Times New Roman"/>
          <w:color w:val="000000" w:themeColor="text1"/>
          <w:spacing w:val="0"/>
        </w:rPr>
        <w:softHyphen/>
        <w:t>тиляция кабины через отверстие в нижней части козырька фонаря. Маслорадиатор ОП-555 заменили увеличенным ОП-622, а расходный бачок с обратными клапана</w:t>
      </w:r>
      <w:r w:rsidRPr="00F90EAE">
        <w:rPr>
          <w:rFonts w:ascii="Times New Roman" w:cs="Times New Roman"/>
          <w:color w:val="000000" w:themeColor="text1"/>
          <w:spacing w:val="0"/>
        </w:rPr>
        <w:softHyphen/>
        <w:t>ми - бензофильтром с пожарными кранами. Установили дополнительную нагнетающую маслопомпу. Во всасывающем патрубке мо</w:t>
      </w:r>
      <w:r w:rsidRPr="00F90EAE">
        <w:rPr>
          <w:rFonts w:ascii="Times New Roman" w:cs="Times New Roman"/>
          <w:color w:val="000000" w:themeColor="text1"/>
          <w:spacing w:val="0"/>
        </w:rPr>
        <w:softHyphen/>
        <w:t>тора разместили противопыльный фильтр и изменили систему обдувки внутренних выхлопных коллекторов. Установили винт ВИШ-Ю7ЛО (диаметром 3,1 м) с полирован</w:t>
      </w:r>
      <w:r w:rsidRPr="00F90EAE">
        <w:rPr>
          <w:rFonts w:ascii="Times New Roman" w:cs="Times New Roman"/>
          <w:color w:val="000000" w:themeColor="text1"/>
          <w:spacing w:val="0"/>
        </w:rPr>
        <w:softHyphen/>
        <w:t>ными передними кромками лопастей, одно- лучевую антенну с мачтой и кислородный прибор КП-12 вместо КПА-Збис.</w:t>
      </w:r>
    </w:p>
    <w:p w14:paraId="78D393B4"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заключении НИИ ВВС отметили, что истребитель необходимо предъявить на повторные испытания. А вот новшества, применённые на этой машине, рекомендо</w:t>
      </w:r>
      <w:r w:rsidRPr="00F90EAE">
        <w:rPr>
          <w:rFonts w:ascii="Times New Roman" w:cs="Times New Roman"/>
          <w:color w:val="000000" w:themeColor="text1"/>
          <w:spacing w:val="0"/>
        </w:rPr>
        <w:softHyphen/>
        <w:t>вали внедрить в серию.</w:t>
      </w:r>
    </w:p>
    <w:p w14:paraId="67D66054"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ходе доводки на самолёте установи</w:t>
      </w:r>
      <w:r w:rsidRPr="00F90EAE">
        <w:rPr>
          <w:rFonts w:ascii="Times New Roman" w:cs="Times New Roman"/>
          <w:color w:val="000000" w:themeColor="text1"/>
          <w:spacing w:val="0"/>
        </w:rPr>
        <w:softHyphen/>
        <w:t>ли водорадиатор № 700 с увеличенными входными и выходными тоннелями. Тогда же трубку Вентури, питавшую гироскопи</w:t>
      </w:r>
      <w:r w:rsidRPr="00F90EAE">
        <w:rPr>
          <w:rFonts w:ascii="Times New Roman" w:cs="Times New Roman"/>
          <w:color w:val="000000" w:themeColor="text1"/>
          <w:spacing w:val="0"/>
        </w:rPr>
        <w:softHyphen/>
        <w:t>ческие приборы, перенесли в зализ кры</w:t>
      </w:r>
      <w:r w:rsidRPr="00F90EAE">
        <w:rPr>
          <w:rFonts w:ascii="Times New Roman" w:cs="Times New Roman"/>
          <w:color w:val="000000" w:themeColor="text1"/>
          <w:spacing w:val="0"/>
        </w:rPr>
        <w:softHyphen/>
        <w:t>ла. Но заводские испытания показали, что температурный режим двигателя по-пре- жнему не соответствует техническим усло</w:t>
      </w:r>
      <w:r w:rsidRPr="00F90EAE">
        <w:rPr>
          <w:rFonts w:ascii="Times New Roman" w:cs="Times New Roman"/>
          <w:color w:val="000000" w:themeColor="text1"/>
          <w:spacing w:val="0"/>
        </w:rPr>
        <w:softHyphen/>
        <w:t>виям изготовителя. Тогда на истребителе смонтировали водяной радиатор № 728 с вдвое большей площадью, а маслорадиа</w:t>
      </w:r>
      <w:r w:rsidRPr="00F90EAE">
        <w:rPr>
          <w:rFonts w:ascii="Times New Roman" w:cs="Times New Roman"/>
          <w:color w:val="000000" w:themeColor="text1"/>
          <w:spacing w:val="0"/>
        </w:rPr>
        <w:softHyphen/>
        <w:t>тор ОП-622 заменили типом 726, имевшим большую охлаждающую поверхность. С ни</w:t>
      </w:r>
      <w:r w:rsidRPr="00F90EAE">
        <w:rPr>
          <w:rFonts w:ascii="Times New Roman" w:cs="Times New Roman"/>
          <w:color w:val="000000" w:themeColor="text1"/>
          <w:spacing w:val="0"/>
        </w:rPr>
        <w:softHyphen/>
        <w:t>ми машину, впоследствии ставшую этало</w:t>
      </w:r>
      <w:r w:rsidRPr="00F90EAE">
        <w:rPr>
          <w:rFonts w:ascii="Times New Roman" w:cs="Times New Roman"/>
          <w:color w:val="000000" w:themeColor="text1"/>
          <w:spacing w:val="0"/>
        </w:rPr>
        <w:softHyphen/>
        <w:t xml:space="preserve"> ном 1945 г., в октябре 1945 г. передали в НИИ ВВС. Вслед за ней туда же поступил Як-9У завода № 166 № 52-082 с изменённой системой охлаждения. На нём вооружение оставалось стандартным для серии - два пулемёта УБС и пушка МП-20.</w:t>
      </w:r>
    </w:p>
    <w:p w14:paraId="263A6962" w14:textId="77777777" w:rsidR="00630DDD" w:rsidRPr="00F90EAE" w:rsidRDefault="00630DDD" w:rsidP="00F90EAE">
      <w:pPr>
        <w:jc w:val="both"/>
        <w:rPr>
          <w:color w:val="000000" w:themeColor="text1"/>
          <w:sz w:val="16"/>
          <w:szCs w:val="16"/>
        </w:rPr>
      </w:pPr>
      <w:r w:rsidRPr="00F90EAE">
        <w:rPr>
          <w:color w:val="000000" w:themeColor="text1"/>
          <w:sz w:val="16"/>
          <w:szCs w:val="16"/>
        </w:rPr>
        <w:t>Температурный режим двигателя улуч</w:t>
      </w:r>
      <w:r w:rsidRPr="00F90EAE">
        <w:rPr>
          <w:color w:val="000000" w:themeColor="text1"/>
          <w:sz w:val="16"/>
          <w:szCs w:val="16"/>
        </w:rPr>
        <w:softHyphen/>
        <w:t>шился, но уменьшилось расстояние (до 70 мм) от земли до заслонки всасывающего патрубка при полном её открытии и возрос</w:t>
      </w:r>
      <w:r w:rsidRPr="00F90EAE">
        <w:rPr>
          <w:color w:val="000000" w:themeColor="text1"/>
          <w:sz w:val="16"/>
          <w:szCs w:val="16"/>
        </w:rPr>
        <w:softHyphen/>
        <w:t>ли усилия, необходимые для её закрытия в полёте. Дело дошло до того, что при скоро</w:t>
      </w:r>
      <w:r w:rsidRPr="00F90EAE">
        <w:rPr>
          <w:color w:val="000000" w:themeColor="text1"/>
          <w:sz w:val="16"/>
          <w:szCs w:val="16"/>
        </w:rPr>
        <w:softHyphen/>
        <w:t>сти более 450 км/ч сделать это стало просто невозможно</w:t>
      </w:r>
    </w:p>
    <w:p w14:paraId="29E9998A"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заключении по результатам испытаний отметили: «Температурные режимы винто</w:t>
      </w:r>
      <w:r w:rsidRPr="00F90EAE">
        <w:rPr>
          <w:rFonts w:ascii="Times New Roman" w:cs="Times New Roman"/>
          <w:color w:val="000000" w:themeColor="text1"/>
          <w:spacing w:val="0"/>
        </w:rPr>
        <w:softHyphen/>
        <w:t>моторной группы... значительно снизились и на всех режимах работы мотора... практи</w:t>
      </w:r>
      <w:r w:rsidRPr="00F90EAE">
        <w:rPr>
          <w:rFonts w:ascii="Times New Roman" w:cs="Times New Roman"/>
          <w:color w:val="000000" w:themeColor="text1"/>
          <w:spacing w:val="0"/>
        </w:rPr>
        <w:softHyphen/>
        <w:t>чески находятся в допустимых пределах.</w:t>
      </w:r>
    </w:p>
    <w:p w14:paraId="01B3FACF" w14:textId="77777777" w:rsidR="00630DDD" w:rsidRPr="00F90EAE" w:rsidRDefault="00630DDD" w:rsidP="00F90EAE">
      <w:pPr>
        <w:jc w:val="both"/>
        <w:rPr>
          <w:color w:val="000000" w:themeColor="text1"/>
          <w:sz w:val="16"/>
          <w:szCs w:val="16"/>
        </w:rPr>
      </w:pPr>
      <w:r w:rsidRPr="00F90EAE">
        <w:rPr>
          <w:color w:val="000000" w:themeColor="text1"/>
          <w:sz w:val="16"/>
          <w:szCs w:val="16"/>
        </w:rPr>
        <w:t>В связи с тем, что на различных экзем</w:t>
      </w:r>
      <w:r w:rsidRPr="00F90EAE">
        <w:rPr>
          <w:color w:val="000000" w:themeColor="text1"/>
          <w:sz w:val="16"/>
          <w:szCs w:val="16"/>
        </w:rPr>
        <w:softHyphen/>
        <w:t>плярах серийных самолётов с ВК-107А температурные режимы винтомоторной группы колеблются в больших пределах, вопрос о пригодности радиаторных уста</w:t>
      </w:r>
      <w:r w:rsidRPr="00F90EAE">
        <w:rPr>
          <w:color w:val="000000" w:themeColor="text1"/>
          <w:sz w:val="16"/>
          <w:szCs w:val="16"/>
        </w:rPr>
        <w:softHyphen/>
        <w:t>новок испытанных на... Як-9У № 52-082, решить после:</w:t>
      </w:r>
    </w:p>
    <w:p w14:paraId="70A98919"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а) испытания 3-х Як-9У с ВК-107А, кото</w:t>
      </w:r>
      <w:r w:rsidRPr="00F90EAE">
        <w:rPr>
          <w:rFonts w:ascii="Times New Roman" w:cs="Times New Roman"/>
          <w:color w:val="000000" w:themeColor="text1"/>
          <w:spacing w:val="0"/>
        </w:rPr>
        <w:softHyphen/>
        <w:t>рые НКАП (т. Яковлев, Климов) обязан был предъявить на госиспытания ещё 1.10.45 г., согласно постановлению ГОКО (ГКО</w:t>
      </w:r>
      <w:r w:rsidRPr="00F90EAE">
        <w:rPr>
          <w:rStyle w:val="aff6"/>
          <w:rFonts w:ascii="Times New Roman" w:hAnsi="Times New Roman" w:cs="Times New Roman"/>
          <w:i w:val="0"/>
          <w:color w:val="000000" w:themeColor="text1"/>
          <w:spacing w:val="0"/>
        </w:rPr>
        <w:t>)</w:t>
      </w:r>
      <w:r w:rsidRPr="00F90EAE">
        <w:rPr>
          <w:rFonts w:ascii="Times New Roman" w:cs="Times New Roman"/>
          <w:color w:val="000000" w:themeColor="text1"/>
          <w:spacing w:val="0"/>
        </w:rPr>
        <w:t xml:space="preserve"> № 9899 от 24 августа 1945 г., с устранением всех дефектов самолёта и мотора;</w:t>
      </w:r>
    </w:p>
    <w:p w14:paraId="32FD833D"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б) проведения войсковых испытаний 30 самолётов Як-9У с ВК-107А согласно тому же постановлению» (19103).</w:t>
      </w:r>
    </w:p>
    <w:p w14:paraId="42A08F01" w14:textId="77777777" w:rsidR="00630DDD" w:rsidRPr="00F90EAE" w:rsidRDefault="00630DDD" w:rsidP="00F90EAE">
      <w:pPr>
        <w:pStyle w:val="27"/>
        <w:shd w:val="clear" w:color="auto" w:fill="auto"/>
        <w:spacing w:after="0" w:line="240" w:lineRule="auto"/>
        <w:ind w:firstLine="0"/>
        <w:rPr>
          <w:rFonts w:ascii="Times New Roman" w:cs="Times New Roman"/>
          <w:color w:val="000000" w:themeColor="text1"/>
          <w:spacing w:val="0"/>
        </w:rPr>
      </w:pPr>
    </w:p>
    <w:p w14:paraId="249AFD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феврале 1945 ОКБ А.С.Я. был выпущен Як-9УТ со сменными пушками: от Н-23 к Н-37 и Н-45 и 2хБ-20С. При очереди в 4-5 снарядов прицеливание не сбивалось (65,152).</w:t>
      </w:r>
    </w:p>
    <w:p w14:paraId="68E9729E" w14:textId="77777777" w:rsidR="00665165" w:rsidRPr="00F90EAE" w:rsidRDefault="00665165" w:rsidP="00F90EAE">
      <w:pPr>
        <w:autoSpaceDE w:val="0"/>
        <w:autoSpaceDN w:val="0"/>
        <w:adjustRightInd w:val="0"/>
        <w:jc w:val="both"/>
        <w:rPr>
          <w:color w:val="000000" w:themeColor="text1"/>
          <w:sz w:val="16"/>
          <w:szCs w:val="16"/>
        </w:rPr>
      </w:pPr>
    </w:p>
    <w:p w14:paraId="5EDF14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при полетах Як-9 с мотором ВК-105ПД наблюдались дефекты. Для устранения перегрева масла на больших высотах на трубе суфлера был установлен клапан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 (2592,223).</w:t>
      </w:r>
    </w:p>
    <w:p w14:paraId="2F1DA62E" w14:textId="77777777" w:rsidR="00665165" w:rsidRPr="00F90EAE" w:rsidRDefault="00665165" w:rsidP="00F90EAE">
      <w:pPr>
        <w:autoSpaceDE w:val="0"/>
        <w:autoSpaceDN w:val="0"/>
        <w:adjustRightInd w:val="0"/>
        <w:jc w:val="both"/>
        <w:rPr>
          <w:color w:val="000000" w:themeColor="text1"/>
          <w:sz w:val="16"/>
          <w:szCs w:val="16"/>
        </w:rPr>
      </w:pPr>
    </w:p>
    <w:p w14:paraId="1F7CFD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 КБ Яковлева выпусти</w:t>
      </w:r>
      <w:r w:rsidRPr="00F90EAE">
        <w:rPr>
          <w:color w:val="000000" w:themeColor="text1"/>
          <w:sz w:val="16"/>
          <w:szCs w:val="16"/>
        </w:rPr>
        <w:softHyphen/>
        <w:t>ло модификацию Як-9У с более мощным вооружением, которое составляли три пуш</w:t>
      </w:r>
      <w:r w:rsidRPr="00F90EAE">
        <w:rPr>
          <w:color w:val="000000" w:themeColor="text1"/>
          <w:sz w:val="16"/>
          <w:szCs w:val="16"/>
        </w:rPr>
        <w:softHyphen/>
        <w:t>ки: центральная Н-37 калибром 37 мм и две синхронные Б-20С калибром 20 мм. Самолет, названный Як-9УТ, имел рекор</w:t>
      </w:r>
      <w:r w:rsidRPr="00F90EAE">
        <w:rPr>
          <w:color w:val="000000" w:themeColor="text1"/>
          <w:sz w:val="16"/>
          <w:szCs w:val="16"/>
        </w:rPr>
        <w:softHyphen/>
        <w:t>дную для советских истребителей массу секундного залпа — 6,0 кг. Еще одна осо</w:t>
      </w:r>
      <w:r w:rsidRPr="00F90EAE">
        <w:rPr>
          <w:color w:val="000000" w:themeColor="text1"/>
          <w:sz w:val="16"/>
          <w:szCs w:val="16"/>
        </w:rPr>
        <w:softHyphen/>
        <w:t>бенность Як-9УТ состояла в унифицирован</w:t>
      </w:r>
      <w:r w:rsidRPr="00F90EAE">
        <w:rPr>
          <w:color w:val="000000" w:themeColor="text1"/>
          <w:sz w:val="16"/>
          <w:szCs w:val="16"/>
        </w:rPr>
        <w:softHyphen/>
        <w:t>ной установке центральной пушки. Вместо Н-37 можно было ставить пушки калибром 20, 23 или 45 мм. В последнем случае вес секундного залпа возрастал до 9,3 кг. Без особых осложнений Як-9УТ прошел все необходимые испытания, и его начали строить серийно. Выпускаемые самолеты имели вооружение, состоявшее из цен</w:t>
      </w:r>
      <w:r w:rsidRPr="00F90EAE">
        <w:rPr>
          <w:color w:val="000000" w:themeColor="text1"/>
          <w:sz w:val="16"/>
          <w:szCs w:val="16"/>
        </w:rPr>
        <w:softHyphen/>
        <w:t>тральной пушки НС-23 калибром 23 мм и двух синхронных Б-20С. По своим пилотаж</w:t>
      </w:r>
      <w:r w:rsidRPr="00F90EAE">
        <w:rPr>
          <w:color w:val="000000" w:themeColor="text1"/>
          <w:sz w:val="16"/>
          <w:szCs w:val="16"/>
        </w:rPr>
        <w:softHyphen/>
        <w:t>ным свойствам и летным характеристикам Як-9УТ практически не отличался от Як-9У. За три месяца серийного производства бы</w:t>
      </w:r>
      <w:r w:rsidRPr="00F90EAE">
        <w:rPr>
          <w:color w:val="000000" w:themeColor="text1"/>
          <w:sz w:val="16"/>
          <w:szCs w:val="16"/>
        </w:rPr>
        <w:softHyphen/>
        <w:t>ло построено 282 истребителя Як-9УТ. Не</w:t>
      </w:r>
      <w:r w:rsidRPr="00F90EAE">
        <w:rPr>
          <w:color w:val="000000" w:themeColor="text1"/>
          <w:sz w:val="16"/>
          <w:szCs w:val="16"/>
        </w:rPr>
        <w:softHyphen/>
        <w:t>значительное их количество прибыло на фронт в последние недели войны (10712).</w:t>
      </w:r>
    </w:p>
    <w:p w14:paraId="191588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315C8E" w14:textId="77777777" w:rsidR="005903DB" w:rsidRPr="00F90EAE" w:rsidRDefault="005903DB" w:rsidP="00F90EAE">
      <w:pPr>
        <w:jc w:val="both"/>
        <w:rPr>
          <w:color w:val="000000" w:themeColor="text1"/>
          <w:sz w:val="16"/>
          <w:szCs w:val="16"/>
        </w:rPr>
      </w:pPr>
      <w:r w:rsidRPr="00F90EAE">
        <w:rPr>
          <w:color w:val="000000" w:themeColor="text1"/>
          <w:sz w:val="16"/>
          <w:szCs w:val="16"/>
        </w:rPr>
        <w:t>В феврале 1945 г. состоялся второй предварительный осмотр макета самолета 64 после доработок, и снова последовали замечания заказчика по обшей компоновке, оборудованию, вооружению и т. д. Можно сказать, что ВВС, постепенно знакомясь с реальными образцами западной авиационной техники, все выше и выше поднимали планку требований к новому бомбардировщику, и в какой-то момент эти требования превысили практические возможности советской авиационной промышленности того периода, особенно в части оборудования и вооружения (15568).</w:t>
      </w:r>
    </w:p>
    <w:p w14:paraId="02B8A99A" w14:textId="77777777" w:rsidR="005903DB" w:rsidRPr="00F90EAE" w:rsidRDefault="005903DB" w:rsidP="00F90EAE">
      <w:pPr>
        <w:jc w:val="both"/>
        <w:rPr>
          <w:color w:val="000000" w:themeColor="text1"/>
          <w:sz w:val="16"/>
          <w:szCs w:val="16"/>
        </w:rPr>
      </w:pPr>
    </w:p>
    <w:p w14:paraId="014F2F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начались заводские испытания Ер-2ОН. Машина "особого назначения" (отсюда индекс ОН в названии) представляла собой пассажирский вариант бомбардировщика с повышенной комфортабельностью, заданный приказом НКАП N 351 от 23 мая 1944 г. Одновременно аналогичные заказы были выданы на переделку Пе-8 и В-25С. Все эти самолеты предназначались для высшего руководства страны и поэтому изготавливались с особой тщательностью. Несмотря на "чрезвычайность" указаний, постройка машин затянулась т.к. выявились опасные дефекты серийных дизелей АЧ-ЗОБ производства завода N 500, требовавшие безусловного устранения. Ведущим инженером по Ер-20Н был назначен Н.В.Синельщиков. С самолета сняли все вооружение, а на месте бомбоотсека и фюзеляжных баков оборудовали пассажирский салон на девять кресел плюс место для стюарда. Было построено 4 машины (3322,44).</w:t>
      </w:r>
    </w:p>
    <w:p w14:paraId="55E39759" w14:textId="77777777" w:rsidR="00665165" w:rsidRPr="00F90EAE" w:rsidRDefault="00665165" w:rsidP="00F90EAE">
      <w:pPr>
        <w:autoSpaceDE w:val="0"/>
        <w:autoSpaceDN w:val="0"/>
        <w:adjustRightInd w:val="0"/>
        <w:jc w:val="both"/>
        <w:rPr>
          <w:color w:val="000000" w:themeColor="text1"/>
          <w:sz w:val="16"/>
          <w:szCs w:val="16"/>
        </w:rPr>
      </w:pPr>
    </w:p>
    <w:p w14:paraId="173209F8" w14:textId="77777777" w:rsidR="005903DB" w:rsidRPr="00F90EAE" w:rsidRDefault="005903DB" w:rsidP="00F90EAE">
      <w:pPr>
        <w:shd w:val="clear" w:color="auto" w:fill="FFFFFF"/>
        <w:jc w:val="both"/>
        <w:rPr>
          <w:color w:val="000000" w:themeColor="text1"/>
          <w:sz w:val="16"/>
          <w:szCs w:val="16"/>
        </w:rPr>
      </w:pPr>
      <w:r w:rsidRPr="00F90EAE">
        <w:rPr>
          <w:color w:val="000000" w:themeColor="text1"/>
          <w:sz w:val="16"/>
          <w:szCs w:val="16"/>
        </w:rPr>
        <w:t>В феврале 1945 под руководством Сухого был проведен анализ наиболее существенных недостатков бомбардировщика, для устранения которых конструкторы приступили к разработке рабочих проектов двух вариантов модернизации: малая модернизация (проект Ер-2ММ); большая модернизация (проект Ер-2БМ) (15223).</w:t>
      </w:r>
    </w:p>
    <w:p w14:paraId="75B53141" w14:textId="77777777" w:rsidR="005903DB" w:rsidRPr="00F90EAE" w:rsidRDefault="005903DB" w:rsidP="00F90EAE">
      <w:pPr>
        <w:shd w:val="clear" w:color="auto" w:fill="FFFFFF"/>
        <w:jc w:val="both"/>
        <w:rPr>
          <w:color w:val="000000" w:themeColor="text1"/>
          <w:sz w:val="16"/>
          <w:szCs w:val="16"/>
        </w:rPr>
      </w:pPr>
    </w:p>
    <w:p w14:paraId="432F735D" w14:textId="77777777" w:rsidR="005903DB" w:rsidRPr="00F90EAE" w:rsidRDefault="005903DB" w:rsidP="00F90EAE">
      <w:pPr>
        <w:shd w:val="clear" w:color="auto" w:fill="FFFFFF"/>
        <w:jc w:val="both"/>
        <w:rPr>
          <w:color w:val="000000" w:themeColor="text1"/>
          <w:sz w:val="16"/>
          <w:szCs w:val="16"/>
        </w:rPr>
      </w:pPr>
      <w:r w:rsidRPr="00F90EAE">
        <w:rPr>
          <w:color w:val="000000" w:themeColor="text1"/>
          <w:sz w:val="16"/>
          <w:szCs w:val="16"/>
        </w:rPr>
        <w:t>В феврале месяце 1945 на собранных на заводе № 39 машинах Ер-2 стояли 37 забракованных и требующих замены двигателей, в марте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0E698E3B" w14:textId="77777777" w:rsidR="005903DB" w:rsidRPr="00F90EAE" w:rsidRDefault="005903DB" w:rsidP="00F90EAE">
      <w:pPr>
        <w:shd w:val="clear" w:color="auto" w:fill="FFFFFF"/>
        <w:jc w:val="both"/>
        <w:rPr>
          <w:color w:val="000000" w:themeColor="text1"/>
          <w:sz w:val="16"/>
          <w:szCs w:val="16"/>
        </w:rPr>
      </w:pPr>
    </w:p>
    <w:p w14:paraId="02821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завод № 22, взяв за прототип проект Пе-2М, заложил серию суперпешек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4 машины.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(4476).</w:t>
      </w:r>
    </w:p>
    <w:p w14:paraId="550FFDFF" w14:textId="77777777" w:rsidR="00665165" w:rsidRPr="00F90EAE" w:rsidRDefault="00665165" w:rsidP="00F90EAE">
      <w:pPr>
        <w:autoSpaceDE w:val="0"/>
        <w:autoSpaceDN w:val="0"/>
        <w:adjustRightInd w:val="0"/>
        <w:jc w:val="both"/>
        <w:rPr>
          <w:color w:val="000000" w:themeColor="text1"/>
          <w:sz w:val="16"/>
          <w:szCs w:val="16"/>
        </w:rPr>
      </w:pPr>
    </w:p>
    <w:p w14:paraId="619008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на заводе № 22 заложили вторую серию "суперпешек", взяв за прототип проект Пе-2М. Однако вскоре перспективы развертывания массового производства этого варианта заметно поблекли. С огромными трудностями 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6D98E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1EB67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89D1F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1ECBDB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0DA1AF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0EDDF0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734FA3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512F129F" w14:textId="77777777" w:rsidR="00665165" w:rsidRPr="00F90EAE" w:rsidRDefault="00665165" w:rsidP="00F90EAE">
      <w:pPr>
        <w:autoSpaceDE w:val="0"/>
        <w:autoSpaceDN w:val="0"/>
        <w:adjustRightInd w:val="0"/>
        <w:jc w:val="both"/>
        <w:rPr>
          <w:color w:val="000000" w:themeColor="text1"/>
          <w:sz w:val="16"/>
          <w:szCs w:val="16"/>
        </w:rPr>
      </w:pPr>
    </w:p>
    <w:p w14:paraId="15EA42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состоялась макетная комиссия по ВБ-109. Позднее, по мере развития событий с Пе-2И, Пе-2М и ДБ-108, пришлось неоднократно пересматривать конструкцию винтомоторной группы и вооружения самолета. Передача ВБ-109 на государственные испытания планировалась на апрель 1945 г.. но к этому сроку не было закончено даже рабочее проектирование (4476).</w:t>
      </w:r>
    </w:p>
    <w:p w14:paraId="5718CCF5" w14:textId="77777777" w:rsidR="00665165" w:rsidRPr="00F90EAE" w:rsidRDefault="00665165" w:rsidP="00F90EAE">
      <w:pPr>
        <w:autoSpaceDE w:val="0"/>
        <w:autoSpaceDN w:val="0"/>
        <w:adjustRightInd w:val="0"/>
        <w:jc w:val="both"/>
        <w:rPr>
          <w:color w:val="000000" w:themeColor="text1"/>
          <w:sz w:val="16"/>
          <w:szCs w:val="16"/>
        </w:rPr>
      </w:pPr>
    </w:p>
    <w:p w14:paraId="6D7BC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года второй самолет Пе-8ОН №42612 начал проходить заводские контрольные испытания (7685).</w:t>
      </w:r>
    </w:p>
    <w:p w14:paraId="406E406E" w14:textId="77777777" w:rsidR="00665165" w:rsidRPr="00F90EAE" w:rsidRDefault="00665165" w:rsidP="00F90EAE">
      <w:pPr>
        <w:autoSpaceDE w:val="0"/>
        <w:autoSpaceDN w:val="0"/>
        <w:adjustRightInd w:val="0"/>
        <w:jc w:val="both"/>
        <w:rPr>
          <w:color w:val="000000" w:themeColor="text1"/>
          <w:sz w:val="16"/>
          <w:szCs w:val="16"/>
        </w:rPr>
      </w:pPr>
    </w:p>
    <w:p w14:paraId="60AA89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завод 22 заложил серию суперпешек, взяв за прототип Пе-2М (2471,40).</w:t>
      </w:r>
    </w:p>
    <w:p w14:paraId="096A405C" w14:textId="77777777" w:rsidR="00665165" w:rsidRPr="00F90EAE" w:rsidRDefault="00665165" w:rsidP="00F90EAE">
      <w:pPr>
        <w:autoSpaceDE w:val="0"/>
        <w:autoSpaceDN w:val="0"/>
        <w:adjustRightInd w:val="0"/>
        <w:jc w:val="both"/>
        <w:rPr>
          <w:color w:val="000000" w:themeColor="text1"/>
          <w:sz w:val="16"/>
          <w:szCs w:val="16"/>
        </w:rPr>
      </w:pPr>
    </w:p>
    <w:p w14:paraId="4C33A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энергичный Мясищев добился приказа по заводу о запуске войсковой серии Пе-2И (первые две по пять машин, третья десять и последующие по двадцать.). А на второй квартал планировалось выпустить целых 16 машин. В марте завод должен был предоставить на государственные испытания Пе-2И, а в апреле Пе-2 с ВК-108 и увеличенным бомбовым отсеком. В связи с этим завод № 26 обязался передать Мясищеву четыре двигателя ВК-108 и три ВК-107А. Летчиком-испытателем Пе-2 с ВК-108 (ДБ) на первый заводской вылет назначался Васильченко.</w:t>
      </w:r>
    </w:p>
    <w:p w14:paraId="759DEF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под Москвой на заводе № 482 готовились к мартовским испытаниям Пе-2 с ВК-107А под управлением пилота Опадчего Ф.Ф.</w:t>
      </w:r>
    </w:p>
    <w:p w14:paraId="46F41D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Казани же испытания подобного самолета проводил Пальчиков А.С., который за испытательный полет 25 апреля смог заработать и благодарность и премию. На высоте 4,5 км загорелся левый двигатель, но летчик сумел посадить машину на аэродром и с ведущим инженером Лашкевичем Е.В. потушить пожар (12049).</w:t>
      </w:r>
    </w:p>
    <w:p w14:paraId="1E1E5336" w14:textId="77777777" w:rsidR="00665165" w:rsidRPr="00F90EAE" w:rsidRDefault="00665165" w:rsidP="00F90EAE">
      <w:pPr>
        <w:autoSpaceDE w:val="0"/>
        <w:autoSpaceDN w:val="0"/>
        <w:adjustRightInd w:val="0"/>
        <w:jc w:val="both"/>
        <w:rPr>
          <w:color w:val="000000" w:themeColor="text1"/>
          <w:sz w:val="16"/>
          <w:szCs w:val="16"/>
        </w:rPr>
      </w:pPr>
    </w:p>
    <w:p w14:paraId="0C6AF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состоялась макетная комиссия по ВБ-108 В.М.М. с высотной ГК и впервые в СССР с установкой по обогреву ГК (2471,43).</w:t>
      </w:r>
    </w:p>
    <w:p w14:paraId="7FE45CB8" w14:textId="77777777" w:rsidR="00665165" w:rsidRPr="00F90EAE" w:rsidRDefault="00665165" w:rsidP="00F90EAE">
      <w:pPr>
        <w:autoSpaceDE w:val="0"/>
        <w:autoSpaceDN w:val="0"/>
        <w:adjustRightInd w:val="0"/>
        <w:jc w:val="both"/>
        <w:rPr>
          <w:color w:val="000000" w:themeColor="text1"/>
          <w:sz w:val="16"/>
          <w:szCs w:val="16"/>
        </w:rPr>
      </w:pPr>
    </w:p>
    <w:p w14:paraId="76C60B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феврале 1945 ли И.Е.Голофастов на Bf 109G-6 определял незащищенные зоны Ту-2 и писал: “Атаки возможны спереди под углами к продольной оси самолета от до 60 гр. и снизу с кабрирования под углом 30-50 гр. Прицельные атаки возможны только одной очередью, при этом уход от и возможен без поражения. Атакис спереди-сбоку для и вполне возможны, но несколько сложнее, чем атака на одной высоте сбоку. При атаках снизу-сбоку под углами кабрирования 30 гр. и более экипажу б трудно заметить атакующего.</w:t>
      </w:r>
    </w:p>
    <w:p w14:paraId="26BC0B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сзади снизу возможны под углом 20-50 гр. Относительно продольной оси б. При всех атаках огонь открывается с дистанции 200-600 м.</w:t>
      </w:r>
    </w:p>
    <w:p w14:paraId="17059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Ту-2 в задней полусфере лучше всего вести сзади-сбоку с кабрирования, учитывая расположение оружия на б.” В заключении НИИ ВВС отмечалось, что несмотря на многократное выявление одних и тех же дефектов при испытаниях и в ходе эксплуатации Ту-2 в строевых частях, большая часть дефектов до сих пор не устранена (4407,5).</w:t>
      </w:r>
    </w:p>
    <w:p w14:paraId="4B9468F9" w14:textId="77777777" w:rsidR="00665165" w:rsidRPr="00F90EAE" w:rsidRDefault="00665165" w:rsidP="00F90EAE">
      <w:pPr>
        <w:autoSpaceDE w:val="0"/>
        <w:autoSpaceDN w:val="0"/>
        <w:adjustRightInd w:val="0"/>
        <w:jc w:val="both"/>
        <w:rPr>
          <w:color w:val="000000" w:themeColor="text1"/>
          <w:sz w:val="16"/>
          <w:szCs w:val="16"/>
        </w:rPr>
      </w:pPr>
    </w:p>
    <w:p w14:paraId="178BF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года летчик-испытатель И.Е. Голофастов, летавший на истребителе Bf 109G-6, провел воздушный бой с Ту-2С № 16/7. К тому времени опыт боевого применения Ту-2 показал, что бомбардировщик был уязвим от атак истребителей противника снизу передней полусферы. В связи с этим Туполев принял решение установить дополнительную огневую точку для нижней полусферы самолета и попросил командование НИИ ВВС определить наиболее незащищенные зоны передней полусферы, необходимые для установки дополнительного оборонительного вооружения. Голофастов отмечал:</w:t>
      </w:r>
    </w:p>
    <w:p w14:paraId="6EEC5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Ме-109Г-6 возможны спереди под углами к продольной оси самолета от 20 до 60 градусов и снизу с кабрирования под углами 30-50 градусов. Прицельные атаки возможны только одной очередью, при этом уход истребителя возможен без поражения. Атаки спереди-сбоку для истребителя вполне возможны, но несколько сложнее, чем атака на одной высоте сбоку. При атаках снизу-сбоку под углами кабрирования 30 градусов и более экипажу бомбардировщика трудно заметить атакующего.</w:t>
      </w:r>
    </w:p>
    <w:p w14:paraId="7CF261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сзади, снизу возможны под углами 20-50 градусов относительно продольной оси бомбардировщика. При всех атаках огонь открывался с дистанции 200-600 м.</w:t>
      </w:r>
    </w:p>
    <w:p w14:paraId="79A238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Ту-2 в задней полусфере лучше всего вести сзади-сбоку с кабрирования, учитывая расположение оружия на самолете".</w:t>
      </w:r>
    </w:p>
    <w:p w14:paraId="5F599E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Акта по результатам государственных испытаний, завершившихся 23 февраля 1945 года, рекомендовалось конструктивные изменения внедрить в серию за исключением воздушных винтов АВ-5В-21А, увеличивавших разбег. Там же отмечалось, что "несмотря на многократное выявление одних и тех же дефектов по самолету Ту-2 &lt;...&gt; при испытаниях &lt;...&gt; в ГКНИИ ВВС и эксплуатации в строевых частях &lt;...&gt; большинство дефектов остается до сих пор неустраненным".</w:t>
      </w:r>
    </w:p>
    <w:p w14:paraId="0C31F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этим 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72E98C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04C220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НИИ ВВС по результатам испытаний десяти самолетов отмечалось, в частности:</w:t>
      </w:r>
    </w:p>
    <w:p w14:paraId="266B13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характеристики модифицированных Ту-2 соответствуют техническим условиям на их поставку ВВС.</w:t>
      </w:r>
    </w:p>
    <w:p w14:paraId="74DA48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52CFFEB" w14:textId="77777777" w:rsidR="00665165" w:rsidRPr="00F90EAE" w:rsidRDefault="00665165" w:rsidP="00F90EAE">
      <w:pPr>
        <w:autoSpaceDE w:val="0"/>
        <w:autoSpaceDN w:val="0"/>
        <w:adjustRightInd w:val="0"/>
        <w:jc w:val="both"/>
        <w:rPr>
          <w:color w:val="000000" w:themeColor="text1"/>
          <w:sz w:val="16"/>
          <w:szCs w:val="16"/>
        </w:rPr>
      </w:pPr>
    </w:p>
    <w:p w14:paraId="5A62C7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 испытания вышел Ту-2Т (561,30) и совместные испытания шли до марта (4,187).</w:t>
      </w:r>
    </w:p>
    <w:p w14:paraId="1A882C42" w14:textId="77777777" w:rsidR="00665165" w:rsidRPr="00F90EAE" w:rsidRDefault="00665165" w:rsidP="00F90EAE">
      <w:pPr>
        <w:autoSpaceDE w:val="0"/>
        <w:autoSpaceDN w:val="0"/>
        <w:adjustRightInd w:val="0"/>
        <w:jc w:val="both"/>
        <w:rPr>
          <w:color w:val="000000" w:themeColor="text1"/>
          <w:sz w:val="16"/>
          <w:szCs w:val="16"/>
        </w:rPr>
      </w:pPr>
    </w:p>
    <w:p w14:paraId="7516AD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вы</w:t>
      </w:r>
      <w:r w:rsidRPr="00F90EAE">
        <w:rPr>
          <w:color w:val="000000" w:themeColor="text1"/>
          <w:sz w:val="16"/>
          <w:szCs w:val="16"/>
        </w:rPr>
        <w:softHyphen/>
        <w:t>яснилось, что фанерная обшивка НВ (Т) начала ветшать - кое-где трескалась и коробилась. По указанию НКАП испытания прекратили. Самолет хотели передать в МАИ для учебных целей, но наркомат не разрешил это</w:t>
      </w:r>
      <w:r w:rsidRPr="00F90EAE">
        <w:rPr>
          <w:color w:val="000000" w:themeColor="text1"/>
          <w:sz w:val="16"/>
          <w:szCs w:val="16"/>
        </w:rPr>
        <w:softHyphen/>
        <w:t>го сделать по причине секретности машины и в марте 1945 г. НБ разобрали (10667).</w:t>
      </w:r>
    </w:p>
    <w:p w14:paraId="01FD8E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74ED7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1945-го, проанализировав ситуацию, ОКБ А.С.Яковлева выпустило в инициативном порядке связной Як-13, имевший первоначально обозначение Як-12, которое впоследствии носил совершенно другой аппарат. Следуя уже сложившейся доброй традиции, ОКБ разработало машину многоцелевую: война явно шла к концу, и хороший лимузин мог потребоваться во многих случаях.</w:t>
      </w:r>
    </w:p>
    <w:p w14:paraId="26AF12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Як-13 представлял собой связной пассажирский моноплан, имеющий комфортабельную кабину с мягкими креслами и отделением для багажа. Он снабжен убирающимся шасси, ориентирующимся и стопорящимся хвостовым колесом, посадочным щитком, тормозами, воздушным самопуском двигателя.</w:t>
      </w:r>
    </w:p>
    <w:p w14:paraId="255D6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Як-13, благодаря высокой скорости и надежному двигателю, можно было использовать и для воздушных сообщений на линиях, ще применение больших двухмоторных самолетов неэкономично, а порой и невозможно.</w:t>
      </w:r>
    </w:p>
    <w:p w14:paraId="0C28F4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Як-13 проектировался в 1944-м под руководством ведущего инженера К.Синельщикова. Вначале предполагался двигатель М.Коссова М-12 мощностью 190 л.с., но пришлось установить обычный М-11ФМ в 145 л.с. с винтом ВИШ-327, так как М-12 был еще не готов (6411).</w:t>
      </w:r>
    </w:p>
    <w:p w14:paraId="1A3F6140" w14:textId="77777777" w:rsidR="00665165" w:rsidRPr="00F90EAE" w:rsidRDefault="00665165" w:rsidP="00F90EAE">
      <w:pPr>
        <w:autoSpaceDE w:val="0"/>
        <w:autoSpaceDN w:val="0"/>
        <w:adjustRightInd w:val="0"/>
        <w:jc w:val="both"/>
        <w:rPr>
          <w:color w:val="000000" w:themeColor="text1"/>
          <w:sz w:val="16"/>
          <w:szCs w:val="16"/>
        </w:rPr>
      </w:pPr>
    </w:p>
    <w:p w14:paraId="0C828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1945-го Яковлев докладывал в Наркомат авиационной промышленности о готовности Як-13 к первому полету. В это время самолет все еще называли "Як-12" или "пассажирский низкоплан №12" (6411).</w:t>
      </w:r>
    </w:p>
    <w:p w14:paraId="060B22D7" w14:textId="77777777" w:rsidR="00665165" w:rsidRPr="00F90EAE" w:rsidRDefault="00665165" w:rsidP="00F90EAE">
      <w:pPr>
        <w:autoSpaceDE w:val="0"/>
        <w:autoSpaceDN w:val="0"/>
        <w:adjustRightInd w:val="0"/>
        <w:jc w:val="both"/>
        <w:rPr>
          <w:color w:val="000000" w:themeColor="text1"/>
          <w:sz w:val="16"/>
          <w:szCs w:val="16"/>
        </w:rPr>
      </w:pPr>
    </w:p>
    <w:p w14:paraId="7444577C" w14:textId="77777777" w:rsidR="00327D90" w:rsidRPr="00F90EAE" w:rsidRDefault="00327D90" w:rsidP="00F90EAE">
      <w:pPr>
        <w:pStyle w:val="rtejustify"/>
        <w:shd w:val="clear" w:color="auto" w:fill="FFFFFF"/>
        <w:spacing w:before="0" w:after="0"/>
        <w:rPr>
          <w:color w:val="000000" w:themeColor="text1"/>
          <w:sz w:val="16"/>
          <w:szCs w:val="16"/>
        </w:rPr>
      </w:pPr>
      <w:r w:rsidRPr="00F90EAE">
        <w:rPr>
          <w:color w:val="000000" w:themeColor="text1"/>
          <w:sz w:val="16"/>
          <w:szCs w:val="16"/>
        </w:rPr>
        <w:t>В феврале 1945 был испытан ФВ-190Д-9. Несомненный интерес вызвало знакомство с отдельными узлами и агрегатами. На этом “фоккере” вместо обычного БМВ-801Д воздушного охлаждения стоял новый ЮМО-213А жидкостного охлаждения. Замена мотора удлинила самолет (с 8950 мм до 10 380 мм), за что наши летчики называли его “длинноносым”.</w:t>
      </w:r>
    </w:p>
    <w:p w14:paraId="7CDD37E3" w14:textId="77777777" w:rsidR="00327D90" w:rsidRPr="00F90EAE" w:rsidRDefault="00327D90" w:rsidP="00F90EAE">
      <w:pPr>
        <w:pStyle w:val="rtejustify"/>
        <w:shd w:val="clear" w:color="auto" w:fill="FFFFFF"/>
        <w:spacing w:before="0" w:after="0"/>
        <w:rPr>
          <w:color w:val="000000" w:themeColor="text1"/>
          <w:sz w:val="16"/>
          <w:szCs w:val="16"/>
        </w:rPr>
      </w:pPr>
      <w:r w:rsidRPr="00F90EAE">
        <w:rPr>
          <w:color w:val="000000" w:themeColor="text1"/>
          <w:sz w:val="16"/>
          <w:szCs w:val="16"/>
        </w:rPr>
        <w:t>Представляли интерес навигационная приставка к радиостанции, деревянный винт с малой относительной толщиной, электротермическое антиобледенительное устройство.</w:t>
      </w:r>
    </w:p>
    <w:p w14:paraId="4DB60BCE" w14:textId="77777777" w:rsidR="00327D90" w:rsidRPr="00F90EAE" w:rsidRDefault="00327D90" w:rsidP="00F90EAE">
      <w:pPr>
        <w:pStyle w:val="rtejustify"/>
        <w:shd w:val="clear" w:color="auto" w:fill="FFFFFF"/>
        <w:spacing w:before="0" w:after="0"/>
        <w:rPr>
          <w:color w:val="000000" w:themeColor="text1"/>
          <w:sz w:val="16"/>
          <w:szCs w:val="16"/>
        </w:rPr>
      </w:pPr>
      <w:r w:rsidRPr="00F90EAE">
        <w:rPr>
          <w:color w:val="000000" w:themeColor="text1"/>
          <w:sz w:val="16"/>
          <w:szCs w:val="16"/>
        </w:rPr>
        <w:t>Летчик В. Голофастов при весе самолета 4197 кг за 5,6 мин достиг высоты 5000 м; на ней максимальная скорость составляла 624 км/ч. До высоты 5500 м серийный Як-3 имел ощутимый перевес в скорости и скороподъемности (19179).</w:t>
      </w:r>
    </w:p>
    <w:p w14:paraId="5BEFBFEA" w14:textId="77777777" w:rsidR="00327D90" w:rsidRPr="00F90EAE" w:rsidRDefault="00327D90" w:rsidP="00F90EAE">
      <w:pPr>
        <w:pStyle w:val="rtejustify"/>
        <w:shd w:val="clear" w:color="auto" w:fill="FFFFFF"/>
        <w:spacing w:before="0" w:after="0"/>
        <w:rPr>
          <w:color w:val="000000" w:themeColor="text1"/>
          <w:sz w:val="16"/>
          <w:szCs w:val="16"/>
        </w:rPr>
      </w:pPr>
    </w:p>
    <w:p w14:paraId="17A26B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в ОКБ-155 в инициативном порядке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с проработки компоновки начались работы над экспериментальной машиной начали. В проектировании "Утки" активное участие принимали Н.И.Андрианов, Н.З.Матюк, К.В.Пеленберг, Я.И.Селецкий и А.А.Чумаченко. По расчетам МиГ-8 должен был иметь максимальную скорость 240 км/ч, что подтвердила продувка его модели з аэродинамической трубе Т-102 ЦАГИ. Однако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провордить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№1 ЦАГИ В.Н.Матвеевым,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Расчет 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(6000).</w:t>
      </w:r>
    </w:p>
    <w:p w14:paraId="4CFAFCAE" w14:textId="77777777" w:rsidR="00665165" w:rsidRPr="00F90EAE" w:rsidRDefault="00665165" w:rsidP="00F90EAE">
      <w:pPr>
        <w:autoSpaceDE w:val="0"/>
        <w:autoSpaceDN w:val="0"/>
        <w:adjustRightInd w:val="0"/>
        <w:jc w:val="both"/>
        <w:rPr>
          <w:color w:val="000000" w:themeColor="text1"/>
          <w:sz w:val="16"/>
          <w:szCs w:val="16"/>
        </w:rPr>
      </w:pPr>
    </w:p>
    <w:p w14:paraId="53BC7048" w14:textId="77777777" w:rsidR="00327D90" w:rsidRPr="00F90EAE" w:rsidRDefault="00327D90" w:rsidP="00F90EAE">
      <w:pPr>
        <w:jc w:val="both"/>
        <w:rPr>
          <w:color w:val="000000" w:themeColor="text1"/>
          <w:sz w:val="16"/>
          <w:szCs w:val="16"/>
        </w:rPr>
      </w:pPr>
      <w:r w:rsidRPr="00F90EAE">
        <w:rPr>
          <w:color w:val="000000" w:themeColor="text1"/>
          <w:sz w:val="16"/>
          <w:szCs w:val="16"/>
        </w:rPr>
        <w:t>В феврале 1945 г. в ОКБ А. И. Микояна в инициативном порядке приступило к проектированию экспериментального самолета МиГ-8 с целью проверки устойчивости и управляемости аэродинамической схемы «утка» в воздухе, изучения работы крыла большой стреловидности и отработки трехколесного шасси с передней опорой. По расчетам самолет должен был иметь максимальную скорость 240 км/ч, что подтвердила продувка его модели в аэродинамической трубе Т-102 Однако вследствие невозможности получения в трубе Т-102 точных характеристик самолета в отношении его поведения на околокритических режимах, специалисты ЦАГИ рекомендовали первые полеты проводить с установленными концевыми фиксированными предкрылками, имеющими размах не менее размаха элеронов. В заключении о возможности первого вылета (в части аэродинамики), составленным инженером лаборатории № 1 ЦАГИ В. Н. Мат веевым, было отмечено, что выход на критические режимы в процессе испытаний самолета следует избегать, так как в отношении штопорных свойств схема «утка», по его мнению, была очень неблагополучной. Расчет проведенный по результатам частотных испытаний дал значение критической скорости равной 328 км/ч, после чего была разрешена эксплуатация самолета МиГ-8 до скорости 270 км/ч по прибору. Статические испытания самолета провели до эксплуатационной нагрузки, составляющей 67% от разрушающей (19727).</w:t>
      </w:r>
    </w:p>
    <w:p w14:paraId="7F2C6886" w14:textId="77777777" w:rsidR="00327D90" w:rsidRPr="00F90EAE" w:rsidRDefault="00327D90" w:rsidP="00F90EAE">
      <w:pPr>
        <w:jc w:val="both"/>
        <w:rPr>
          <w:color w:val="000000" w:themeColor="text1"/>
          <w:sz w:val="16"/>
          <w:szCs w:val="16"/>
        </w:rPr>
      </w:pPr>
    </w:p>
    <w:p w14:paraId="65B2CBDF" w14:textId="77777777" w:rsidR="005903DB" w:rsidRPr="00F90EAE" w:rsidRDefault="005903DB" w:rsidP="00F90EAE">
      <w:pPr>
        <w:jc w:val="both"/>
        <w:rPr>
          <w:color w:val="000000" w:themeColor="text1"/>
          <w:sz w:val="16"/>
          <w:szCs w:val="16"/>
        </w:rPr>
      </w:pPr>
      <w:r w:rsidRPr="00F90EAE">
        <w:rPr>
          <w:color w:val="000000" w:themeColor="text1"/>
          <w:sz w:val="16"/>
          <w:szCs w:val="16"/>
        </w:rPr>
        <w:t xml:space="preserve">В феврале 1945 по инициативе главного конструктора в бригаде проектов, возглавляемой Н.З. Матюком, началась проработка компоновки самолёта «У». Заниматься этим поручили Н.И. Андрианову и К.В. Пеленбергу. На них же возложили проработку общего вида машины. Аэродинамический расчёт, а также расчёты продольной статической устойчивости, взлётной дистанции и посадочной скорости поручили провести] М.Е. Житомирскому. Активное участие в разработке экспериментального самолёта приняли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Блок, Т.А. Малькова, Я.И. Селецкий и А.А. Чумаченко.</w:t>
      </w:r>
    </w:p>
    <w:p w14:paraId="17441922" w14:textId="77777777" w:rsidR="005903DB" w:rsidRPr="00F90EAE" w:rsidRDefault="005903DB" w:rsidP="00F90EAE">
      <w:pPr>
        <w:jc w:val="both"/>
        <w:rPr>
          <w:color w:val="000000" w:themeColor="text1"/>
          <w:sz w:val="16"/>
          <w:szCs w:val="16"/>
        </w:rPr>
      </w:pPr>
      <w:r w:rsidRPr="00F90EAE">
        <w:rPr>
          <w:color w:val="000000" w:themeColor="text1"/>
          <w:sz w:val="16"/>
          <w:szCs w:val="16"/>
        </w:rPr>
        <w:lastRenderedPageBreak/>
        <w:t>Основным назначением «Утки» была оценка устойчивости и управляемости машин данной аэродинамической схемы в воздухе и проверка работы крыла большой стреловидности. Для более удобного изучения поставленных задач «Утку» запроектировали трёхместной: одно место пилота и два пассажирских. Чтобы упростить постройку самолёта в качестве силовой установки выбрали мотор воздушного охлаждения М-11ФМ с толкающим винтом постоянного шага. В свою очередь, применение на машине такой силовой установки по</w:t>
      </w:r>
      <w:r w:rsidRPr="00F90EAE">
        <w:rPr>
          <w:color w:val="000000" w:themeColor="text1"/>
          <w:sz w:val="16"/>
          <w:szCs w:val="16"/>
        </w:rPr>
        <w:softHyphen/>
        <w:t>зволяло проверить её управляемость на малых скоростях при отсутствии обдува крыла вин</w:t>
      </w:r>
      <w:r w:rsidRPr="00F90EAE">
        <w:rPr>
          <w:color w:val="000000" w:themeColor="text1"/>
          <w:sz w:val="16"/>
          <w:szCs w:val="16"/>
        </w:rPr>
        <w:softHyphen/>
        <w:t>том. Как отметили в пояснительной записке А.И. Микоян и М.И. Гуревич:</w:t>
      </w:r>
      <w:r w:rsidRPr="00F90EAE">
        <w:rPr>
          <w:rStyle w:val="aff6"/>
          <w:rFonts w:ascii="Times New Roman" w:eastAsia="Arial Narrow" w:hAnsi="Times New Roman" w:cs="Times New Roman"/>
          <w:i w:val="0"/>
          <w:color w:val="000000" w:themeColor="text1"/>
        </w:rPr>
        <w:t xml:space="preserve"> «Это представляет </w:t>
      </w:r>
      <w:r w:rsidRPr="00F90EAE">
        <w:rPr>
          <w:color w:val="000000" w:themeColor="text1"/>
          <w:sz w:val="16"/>
          <w:szCs w:val="16"/>
        </w:rPr>
        <w:t>интерес для самолётов с чисто реактивными дви</w:t>
      </w:r>
      <w:r w:rsidRPr="00F90EAE">
        <w:rPr>
          <w:color w:val="000000" w:themeColor="text1"/>
          <w:sz w:val="16"/>
          <w:szCs w:val="16"/>
        </w:rPr>
        <w:softHyphen/>
        <w:t>гателями. Эксплуатация этого самолёта позволит изучить вопросы, связан</w:t>
      </w:r>
      <w:r w:rsidRPr="00F90EAE">
        <w:rPr>
          <w:color w:val="000000" w:themeColor="text1"/>
          <w:sz w:val="16"/>
          <w:szCs w:val="16"/>
        </w:rPr>
        <w:softHyphen/>
        <w:t>ные с управляемостью самолёта на земле и во</w:t>
      </w:r>
      <w:r w:rsidRPr="00F90EAE">
        <w:rPr>
          <w:color w:val="000000" w:themeColor="text1"/>
          <w:sz w:val="16"/>
          <w:szCs w:val="16"/>
        </w:rPr>
        <w:softHyphen/>
        <w:t>просы взлёта и посадки (заход на второй круг) в условиях отсутствия об</w:t>
      </w:r>
      <w:r w:rsidRPr="00F90EAE">
        <w:rPr>
          <w:color w:val="000000" w:themeColor="text1"/>
          <w:sz w:val="16"/>
          <w:szCs w:val="16"/>
        </w:rPr>
        <w:softHyphen/>
        <w:t>дувки винтом органов управления» (15848).</w:t>
      </w:r>
    </w:p>
    <w:p w14:paraId="2A84EF24" w14:textId="77777777" w:rsidR="005903DB" w:rsidRPr="00F90EAE" w:rsidRDefault="005903DB" w:rsidP="00F90EAE">
      <w:pPr>
        <w:jc w:val="both"/>
        <w:rPr>
          <w:color w:val="000000" w:themeColor="text1"/>
          <w:sz w:val="16"/>
          <w:szCs w:val="16"/>
        </w:rPr>
      </w:pPr>
    </w:p>
    <w:p w14:paraId="48D6FD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Боровков в составе комиссии авиаспециалистов, возглавляемой генералом П.И.Федоровым, был откомандирован в прифронтовую полосу для осмотра останков сбитых немецких реактивных самолетов. Под Киевом самолет комиссии потерпел катастрофу. Экипаж и все пассажиры, среди которых находился Алексей Андреевич Боровков, погибли (3453).</w:t>
      </w:r>
    </w:p>
    <w:p w14:paraId="7ADA9871" w14:textId="77777777" w:rsidR="00665165" w:rsidRPr="00F90EAE" w:rsidRDefault="00665165" w:rsidP="00F90EAE">
      <w:pPr>
        <w:autoSpaceDE w:val="0"/>
        <w:autoSpaceDN w:val="0"/>
        <w:adjustRightInd w:val="0"/>
        <w:jc w:val="both"/>
        <w:rPr>
          <w:color w:val="000000" w:themeColor="text1"/>
          <w:sz w:val="16"/>
          <w:szCs w:val="16"/>
        </w:rPr>
      </w:pPr>
    </w:p>
    <w:p w14:paraId="2F171678" w14:textId="77777777" w:rsidR="005903DB" w:rsidRPr="00F90EAE" w:rsidRDefault="005903DB"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был создан 18-цилиндровый двигатель АШ-73ТК мощностью 2400 hp (384,165).</w:t>
      </w:r>
    </w:p>
    <w:p w14:paraId="23C5D755" w14:textId="77777777" w:rsidR="005903DB" w:rsidRPr="00F90EAE" w:rsidRDefault="005903DB" w:rsidP="00F90EAE">
      <w:pPr>
        <w:autoSpaceDE w:val="0"/>
        <w:autoSpaceDN w:val="0"/>
        <w:adjustRightInd w:val="0"/>
        <w:jc w:val="both"/>
        <w:rPr>
          <w:color w:val="000000" w:themeColor="text1"/>
          <w:sz w:val="16"/>
          <w:szCs w:val="16"/>
        </w:rPr>
      </w:pPr>
    </w:p>
    <w:p w14:paraId="77E29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А.И.М. на завод 155 был представлен макет двухкамерного РД (2928,79).</w:t>
      </w:r>
    </w:p>
    <w:p w14:paraId="4A5F0457" w14:textId="77777777" w:rsidR="00665165" w:rsidRPr="00F90EAE" w:rsidRDefault="00665165" w:rsidP="00F90EAE">
      <w:pPr>
        <w:autoSpaceDE w:val="0"/>
        <w:autoSpaceDN w:val="0"/>
        <w:adjustRightInd w:val="0"/>
        <w:jc w:val="both"/>
        <w:rPr>
          <w:color w:val="000000" w:themeColor="text1"/>
          <w:sz w:val="16"/>
          <w:szCs w:val="16"/>
        </w:rPr>
      </w:pPr>
    </w:p>
    <w:p w14:paraId="3A365F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все ОКБ по истребителям получили задания на разработку реактивных (4,365).</w:t>
      </w:r>
    </w:p>
    <w:p w14:paraId="52F63460" w14:textId="77777777" w:rsidR="00665165" w:rsidRPr="00F90EAE" w:rsidRDefault="00665165" w:rsidP="00F90EAE">
      <w:pPr>
        <w:autoSpaceDE w:val="0"/>
        <w:autoSpaceDN w:val="0"/>
        <w:adjustRightInd w:val="0"/>
        <w:jc w:val="both"/>
        <w:rPr>
          <w:color w:val="000000" w:themeColor="text1"/>
          <w:sz w:val="16"/>
          <w:szCs w:val="16"/>
        </w:rPr>
      </w:pPr>
    </w:p>
    <w:p w14:paraId="4A4437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вышло постановление СНК, формировавшее работу над МиГ-9 и предусмотрело установку 2 РД-20 (538).</w:t>
      </w:r>
    </w:p>
    <w:p w14:paraId="361D3652" w14:textId="77777777" w:rsidR="00665165" w:rsidRPr="00F90EAE" w:rsidRDefault="00665165" w:rsidP="00F90EAE">
      <w:pPr>
        <w:autoSpaceDE w:val="0"/>
        <w:autoSpaceDN w:val="0"/>
        <w:adjustRightInd w:val="0"/>
        <w:jc w:val="both"/>
        <w:rPr>
          <w:color w:val="000000" w:themeColor="text1"/>
          <w:sz w:val="16"/>
          <w:szCs w:val="16"/>
        </w:rPr>
      </w:pPr>
    </w:p>
    <w:p w14:paraId="19B9BD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февраля 1945 года завод № 483 был переведен из 2-го гл. управления в 17 гл. управление. В 1946 году завод освоил выпуск первой серии полуавтоматических радиорегистраторов для Гл. управления Гидрометеослужбы при СМ.</w:t>
      </w:r>
    </w:p>
    <w:p w14:paraId="05B655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 И. Погорелов</w:t>
      </w:r>
    </w:p>
    <w:p w14:paraId="3EFFC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Киев, ул. Владимиро-Лыбедская, д. 3</w:t>
      </w:r>
    </w:p>
    <w:p w14:paraId="74DF2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приборный радиолокационный завод (9855).</w:t>
      </w:r>
    </w:p>
    <w:p w14:paraId="2F1919B1" w14:textId="77777777" w:rsidR="00665165" w:rsidRPr="00F90EAE" w:rsidRDefault="00665165" w:rsidP="00F90EAE">
      <w:pPr>
        <w:autoSpaceDE w:val="0"/>
        <w:autoSpaceDN w:val="0"/>
        <w:adjustRightInd w:val="0"/>
        <w:jc w:val="both"/>
        <w:rPr>
          <w:color w:val="000000" w:themeColor="text1"/>
          <w:sz w:val="16"/>
          <w:szCs w:val="16"/>
        </w:rPr>
      </w:pPr>
    </w:p>
    <w:p w14:paraId="70FB61CE" w14:textId="77777777" w:rsidR="004945E9" w:rsidRPr="00F90EAE" w:rsidRDefault="004945E9" w:rsidP="00F90EAE">
      <w:pPr>
        <w:jc w:val="both"/>
        <w:rPr>
          <w:color w:val="000000" w:themeColor="text1"/>
          <w:sz w:val="16"/>
          <w:szCs w:val="16"/>
        </w:rPr>
      </w:pPr>
      <w:r w:rsidRPr="00F90EAE">
        <w:rPr>
          <w:color w:val="000000" w:themeColor="text1"/>
          <w:sz w:val="16"/>
          <w:szCs w:val="16"/>
        </w:rPr>
        <w:t>В феврале 1945 года началась подготовка к проведению предварительных летных испытаний самолетов-снарядов „10-Х” в Джизаке Узбекской ССР. Такие испытания в стране проводились впервые. Не было опыта их проведения ни у коллектива завода №51, ни у смежных организаций. Не было и специального полигона для проведения таких испытаний...</w:t>
      </w:r>
    </w:p>
    <w:p w14:paraId="76E4191D" w14:textId="77777777" w:rsidR="004945E9" w:rsidRPr="00F90EAE" w:rsidRDefault="004945E9" w:rsidP="00F90EAE">
      <w:pPr>
        <w:jc w:val="both"/>
        <w:rPr>
          <w:color w:val="000000" w:themeColor="text1"/>
          <w:sz w:val="16"/>
          <w:szCs w:val="16"/>
        </w:rPr>
      </w:pPr>
      <w:r w:rsidRPr="00F90EAE">
        <w:rPr>
          <w:color w:val="000000" w:themeColor="text1"/>
          <w:sz w:val="16"/>
          <w:szCs w:val="16"/>
        </w:rPr>
        <w:t>Почему руководство ВВС предложило проводить испытания в Джизаке, сейчас установить трудно. Здесь кругом были пески, барханы, дули сильные ветры.</w:t>
      </w:r>
    </w:p>
    <w:p w14:paraId="27A4625A" w14:textId="77777777" w:rsidR="004945E9" w:rsidRPr="00F90EAE" w:rsidRDefault="004945E9" w:rsidP="00F90EAE">
      <w:pPr>
        <w:jc w:val="both"/>
        <w:rPr>
          <w:color w:val="000000" w:themeColor="text1"/>
          <w:sz w:val="16"/>
          <w:szCs w:val="16"/>
        </w:rPr>
      </w:pPr>
      <w:r w:rsidRPr="00F90EAE">
        <w:rPr>
          <w:color w:val="000000" w:themeColor="text1"/>
          <w:sz w:val="16"/>
          <w:szCs w:val="16"/>
        </w:rPr>
        <w:t>26 февраля экспедиция с первыми шестью СС „10-Х” выехала в Джизак. В составе экспедиции были главный конструктор завода № 51 В. Н. Челомей, главный конструктор системы управления завода №118 В.Э.Сорокин, начальник экспедиции полковник А. А. Курбан, летчики-испытатели М. А. Котырев, П. И. Бурдонов, инженеры, механики, представители военно-воздушных сил...</w:t>
      </w:r>
    </w:p>
    <w:p w14:paraId="685DD110" w14:textId="77777777" w:rsidR="004945E9" w:rsidRPr="00F90EAE" w:rsidRDefault="004945E9" w:rsidP="00F90EAE">
      <w:pPr>
        <w:jc w:val="both"/>
        <w:rPr>
          <w:color w:val="000000" w:themeColor="text1"/>
          <w:sz w:val="16"/>
          <w:szCs w:val="16"/>
        </w:rPr>
      </w:pPr>
      <w:r w:rsidRPr="00F90EAE">
        <w:rPr>
          <w:color w:val="000000" w:themeColor="text1"/>
          <w:sz w:val="16"/>
          <w:szCs w:val="16"/>
        </w:rPr>
        <w:t>20 марта 1945 года состоялся первый пуск СС „10-Х” с самолета-носителя ПЕ-8.</w:t>
      </w:r>
    </w:p>
    <w:p w14:paraId="722A3FC1" w14:textId="77777777" w:rsidR="004945E9" w:rsidRPr="00F90EAE" w:rsidRDefault="004945E9" w:rsidP="00F90EAE">
      <w:pPr>
        <w:jc w:val="both"/>
        <w:rPr>
          <w:color w:val="000000" w:themeColor="text1"/>
          <w:sz w:val="16"/>
          <w:szCs w:val="16"/>
        </w:rPr>
      </w:pPr>
      <w:r w:rsidRPr="00F90EAE">
        <w:rPr>
          <w:color w:val="000000" w:themeColor="text1"/>
          <w:sz w:val="16"/>
          <w:szCs w:val="16"/>
        </w:rPr>
        <w:t>В период с 20 марта по 28 июля, при наличии трех самолетов-носителей ПЕ-8 и самолета ЕР-2, было проведено 70 пусков СС „10-Х”...» (12414).</w:t>
      </w:r>
    </w:p>
    <w:p w14:paraId="59DCD35C" w14:textId="77777777" w:rsidR="004945E9" w:rsidRPr="00F90EAE" w:rsidRDefault="004945E9" w:rsidP="00F90EAE">
      <w:pPr>
        <w:jc w:val="both"/>
        <w:rPr>
          <w:color w:val="000000" w:themeColor="text1"/>
          <w:sz w:val="16"/>
          <w:szCs w:val="16"/>
        </w:rPr>
      </w:pPr>
    </w:p>
    <w:p w14:paraId="07A56131" w14:textId="77777777" w:rsidR="006F43F1" w:rsidRPr="00F90EAE" w:rsidRDefault="006F43F1" w:rsidP="00F90EAE">
      <w:pPr>
        <w:pStyle w:val="a8"/>
        <w:jc w:val="both"/>
        <w:rPr>
          <w:rFonts w:ascii="Times New Roman" w:hAnsi="Times New Roman" w:cs="Times New Roman"/>
          <w:color w:val="000000" w:themeColor="text1"/>
        </w:rPr>
      </w:pPr>
      <w:r w:rsidRPr="00F90EAE">
        <w:rPr>
          <w:rFonts w:ascii="Times New Roman" w:hAnsi="Times New Roman" w:cs="Times New Roman"/>
          <w:color w:val="000000" w:themeColor="text1"/>
        </w:rPr>
        <w:t>В феврале 1945-го подследственного Костикова освободили из-под ареста с реабилитирующей и даже почетной формулировкой: «В результате проведенных оперативных мероприятий и тщательного расследования по делу вражеского умысла в действиях Костикова, являющегося крупным специалистом своего дела, не установлено».</w:t>
      </w:r>
    </w:p>
    <w:p w14:paraId="6E8E566F" w14:textId="77777777" w:rsidR="006F43F1" w:rsidRPr="00F90EAE" w:rsidRDefault="006F43F1" w:rsidP="00F90EAE">
      <w:pPr>
        <w:pStyle w:val="a8"/>
        <w:jc w:val="both"/>
        <w:rPr>
          <w:rFonts w:ascii="Times New Roman" w:hAnsi="Times New Roman" w:cs="Times New Roman"/>
          <w:color w:val="000000" w:themeColor="text1"/>
        </w:rPr>
      </w:pPr>
      <w:r w:rsidRPr="00F90EAE">
        <w:rPr>
          <w:rFonts w:ascii="Times New Roman" w:hAnsi="Times New Roman" w:cs="Times New Roman"/>
          <w:color w:val="000000" w:themeColor="text1"/>
        </w:rPr>
        <w:t>Костикову вернули воинское звание, Золотую Звезду Героя, ордена, партийный билет и поручили руководство специально созданным конструкторским бюро в НИИ-24 — институте, занимавшемся разработкой артиллерийского вооружения. Его задачей стало создание активно-реактивных снарядов (АРС, подробнее об этом рассказано в статье Л. Смирнова «Гром» после победы создавался», «ТМ», №4 за 1999 г). Пятилетний период работы Костикова в НИИ-24 увенчался достижениями, позднее (в 1951 г) отмеченными Сталинской премией, которую он, однако, получить не успел. Но работа над АРС была не единственным его делом в то время. В 1947 г он исполнил еще одну миссию — в течение полугода руководил в оккупированной зоне Германии представительством Академии Наук СССР (членом-корреспондентом которой его избрали в 1943 г). А с 1949 г был председателем важнейшей в то время Комиссии АН СССР по газовым турбинам, плодотворно работал в Энергетическом институте АН СССР, сотрудничал с его бессменным директором Г.М. Кржижановским.</w:t>
      </w:r>
    </w:p>
    <w:p w14:paraId="6596E505" w14:textId="77777777" w:rsidR="006F43F1" w:rsidRPr="00F90EAE" w:rsidRDefault="006F43F1" w:rsidP="00F90EAE">
      <w:pPr>
        <w:pStyle w:val="a8"/>
        <w:jc w:val="both"/>
        <w:rPr>
          <w:rFonts w:ascii="Times New Roman" w:hAnsi="Times New Roman" w:cs="Times New Roman"/>
          <w:color w:val="000000" w:themeColor="text1"/>
        </w:rPr>
      </w:pPr>
      <w:r w:rsidRPr="00F90EAE">
        <w:rPr>
          <w:rFonts w:ascii="Times New Roman" w:hAnsi="Times New Roman" w:cs="Times New Roman"/>
          <w:color w:val="000000" w:themeColor="text1"/>
        </w:rPr>
        <w:t>Андрей Григорьевич Костиков умер от острого сердечного приступа 5 декабря 1950 г. Некролог в «Правде», прощание в Доме ученых, траурные речи соратников и учеников... Мраморный памятник на Новодевичьем кладбище работы выдающегося скульптора С.Т. Коненкова, казалось, достойно увенчал его драматичную, рано оборвавшуюся жизнь. Но... невидимо тлевшие при жизни искры ненависти к нему, возникшие в свое время на почве слухов, игры воображения, личностной неприязни, вспыхнули после его смерти свирепым огнем дискредитации, горевшим много десятилетий. Не до конца угасли его всполохи и сегодня (19117).</w:t>
      </w:r>
    </w:p>
    <w:p w14:paraId="68DCE507" w14:textId="77777777" w:rsidR="006F43F1" w:rsidRPr="00F90EAE" w:rsidRDefault="006F43F1" w:rsidP="00F90EAE">
      <w:pPr>
        <w:pStyle w:val="a8"/>
        <w:jc w:val="both"/>
        <w:rPr>
          <w:rFonts w:ascii="Times New Roman" w:hAnsi="Times New Roman" w:cs="Times New Roman"/>
          <w:color w:val="000000" w:themeColor="text1"/>
        </w:rPr>
      </w:pPr>
    </w:p>
    <w:p w14:paraId="7D4B332D" w14:textId="77777777" w:rsidR="006F43F1" w:rsidRPr="00F90EAE" w:rsidRDefault="006F43F1"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феврале 1945 г. под Киевом произошла катастрофа самолета, в которой погибла комиссия авиаспециалистов, воз главляемая генералом П.И. Федоровым, в составе которой был и А.А. Боровков (19586).</w:t>
      </w:r>
    </w:p>
    <w:p w14:paraId="48F74C4B" w14:textId="77777777" w:rsidR="006F43F1" w:rsidRPr="00F90EAE" w:rsidRDefault="006F43F1" w:rsidP="00F90EAE">
      <w:pPr>
        <w:pStyle w:val="ae"/>
        <w:shd w:val="clear" w:color="auto" w:fill="FFFFFF"/>
        <w:spacing w:before="0" w:after="0"/>
        <w:jc w:val="both"/>
        <w:rPr>
          <w:color w:val="000000" w:themeColor="text1"/>
          <w:sz w:val="16"/>
          <w:szCs w:val="16"/>
        </w:rPr>
      </w:pPr>
    </w:p>
    <w:p w14:paraId="590197D0" w14:textId="77777777" w:rsidR="00BF18D8" w:rsidRPr="00F90EAE" w:rsidRDefault="00BF18D8" w:rsidP="00F90EAE">
      <w:pPr>
        <w:jc w:val="both"/>
        <w:rPr>
          <w:color w:val="0070C0"/>
          <w:sz w:val="16"/>
          <w:szCs w:val="16"/>
        </w:rPr>
      </w:pPr>
      <w:r w:rsidRPr="00F90EAE">
        <w:rPr>
          <w:color w:val="0070C0"/>
          <w:sz w:val="16"/>
          <w:szCs w:val="16"/>
        </w:rPr>
        <w:t>В феврале 1945 г. началась подготовка к проведению предварительных летных испытаний самолетов-снарядов 10Х в Голодной степи вблизи г. Джизак Узбекской ССР. Такие испытания в стране проводились впервые. Не было опыта их проведения ни у коллектива завода № 51, ни у смежных организаций. Не было и специального полигона для проведения таких испытаний, кругом были пески, барханы, дули сильные ветры. 20 марта 1945 г. состоялся первый пуск 10Х с самолета-носителя Пе-8. В период с 20 марта по 22 июля 1945 г., при наличии трех самолетов-носителей Пе-8, было проведено 63 пуска самолетов-снарядов 10Х (19823)</w:t>
      </w:r>
    </w:p>
    <w:p w14:paraId="2D29E499" w14:textId="77777777" w:rsidR="00BF18D8" w:rsidRPr="00F90EAE" w:rsidRDefault="00BF18D8" w:rsidP="00F90EAE">
      <w:pPr>
        <w:jc w:val="both"/>
        <w:rPr>
          <w:color w:val="0070C0"/>
          <w:sz w:val="16"/>
          <w:szCs w:val="16"/>
        </w:rPr>
      </w:pPr>
    </w:p>
    <w:p w14:paraId="5236B85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84A5B9D" w14:textId="77777777" w:rsidR="00665165" w:rsidRPr="00F90EAE" w:rsidRDefault="00665165" w:rsidP="00F90EAE">
      <w:pPr>
        <w:autoSpaceDE w:val="0"/>
        <w:autoSpaceDN w:val="0"/>
        <w:adjustRightInd w:val="0"/>
        <w:jc w:val="both"/>
        <w:rPr>
          <w:iCs/>
          <w:color w:val="000000" w:themeColor="text1"/>
          <w:sz w:val="16"/>
          <w:szCs w:val="16"/>
        </w:rPr>
      </w:pPr>
    </w:p>
    <w:p w14:paraId="77A95B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 восемь опытных образцов установочной партии ИС-3 были изготовлены на ЧКЗ и в период с 23 марта по 11 апреля 1945 г. один опытный образец танка успешно прошел полигонные испытания, по результатам которых было принято решение о принятии танка на вооружение Крас</w:t>
      </w:r>
      <w:r w:rsidRPr="00F90EAE">
        <w:rPr>
          <w:color w:val="000000" w:themeColor="text1"/>
          <w:sz w:val="16"/>
          <w:szCs w:val="16"/>
        </w:rPr>
        <w:softHyphen/>
        <w:t>ной Армии и организации на ЧКЗ его серийного производства (10703).</w:t>
      </w:r>
    </w:p>
    <w:p w14:paraId="3727D9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EC541A4" w14:textId="77777777" w:rsidR="00193FD5" w:rsidRPr="00F90EAE" w:rsidRDefault="00193FD5" w:rsidP="00F90EAE">
      <w:pPr>
        <w:jc w:val="both"/>
        <w:rPr>
          <w:color w:val="000000" w:themeColor="text1"/>
          <w:sz w:val="16"/>
          <w:szCs w:val="16"/>
        </w:rPr>
      </w:pPr>
      <w:r w:rsidRPr="00F90EAE">
        <w:rPr>
          <w:color w:val="000000" w:themeColor="text1"/>
          <w:sz w:val="16"/>
          <w:szCs w:val="16"/>
        </w:rPr>
        <w:t>С февраля 1945 на ЧКЗ начались работы по подготовке к серийному производству тяжёлого танка «Кировец-1», позже принятому на вооружение как ИС-3. За февраль удалось собрать 8 таких машин, правда, официально они по ведомостям не проходили, поскольку их пришлось существенно дорабатывать. Это не помешало продолжению опытных работ. В феврале 1945 года были испытаны литые и штампованные траки новой конструкции. Их изготовили из стали ТВМ и ДВЛВТ, причём из последней сделали «облегчённый» трак. Выяснилось, что лучше всего себя ведут штампованные траки из стали ТВМ. При этом литые траки из стали КДЛВТ также обеспечивали ресурс в 1600 километров. Для сравнения, при пробеге 1600 километров вышло из строя 32,4% серийных штампованных траков из стали 35ХГ2.</w:t>
      </w:r>
    </w:p>
    <w:p w14:paraId="4073F390" w14:textId="77777777" w:rsidR="00193FD5" w:rsidRPr="00F90EAE" w:rsidRDefault="00193FD5" w:rsidP="00F90EAE">
      <w:pPr>
        <w:jc w:val="both"/>
        <w:rPr>
          <w:color w:val="000000" w:themeColor="text1"/>
          <w:sz w:val="16"/>
          <w:szCs w:val="16"/>
        </w:rPr>
      </w:pPr>
      <w:r w:rsidRPr="00F90EAE">
        <w:rPr>
          <w:color w:val="000000" w:themeColor="text1"/>
          <w:sz w:val="16"/>
          <w:szCs w:val="16"/>
        </w:rPr>
        <w:t>Внедрение новых траков, впрочем, затянулось, зато с 1 февраля появилось другое важное нововведение. На верхней кормовой плите корпуса установили морские дымовые шашки (МДШ). Именно в феврале 1945 года облик ИС-2 сформировался окончательно (18099).</w:t>
      </w:r>
    </w:p>
    <w:p w14:paraId="3B53C3FD" w14:textId="77777777" w:rsidR="00193FD5" w:rsidRPr="00F90EAE" w:rsidRDefault="00193FD5" w:rsidP="00F90EAE">
      <w:pPr>
        <w:jc w:val="both"/>
        <w:rPr>
          <w:color w:val="000000" w:themeColor="text1"/>
          <w:sz w:val="16"/>
          <w:szCs w:val="16"/>
        </w:rPr>
      </w:pPr>
    </w:p>
    <w:p w14:paraId="1792913C"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феврале 1945 года происходила доводка модернизированного ИС-2, получившего заводской индекс Кировец-1, а также чертежный индекс 703 (Объект 703). Месяц спустя, 29 марта 1945 года, 703-й приняли на вооружение как ИС-3, что еще сильнее отдалило перспективу запуска Объекта 701 в серию (17209).</w:t>
      </w:r>
    </w:p>
    <w:p w14:paraId="6CDA79D8" w14:textId="77777777" w:rsidR="00FA59CB" w:rsidRPr="00F90EAE" w:rsidRDefault="00FA59CB" w:rsidP="00F90EAE">
      <w:pPr>
        <w:pStyle w:val="ae"/>
        <w:shd w:val="clear" w:color="auto" w:fill="FFFFFF"/>
        <w:spacing w:before="0" w:after="0"/>
        <w:jc w:val="both"/>
        <w:rPr>
          <w:color w:val="000000" w:themeColor="text1"/>
          <w:sz w:val="16"/>
          <w:szCs w:val="16"/>
        </w:rPr>
      </w:pPr>
    </w:p>
    <w:p w14:paraId="345D1074" w14:textId="77777777" w:rsidR="00BF18D8" w:rsidRPr="00F90EAE" w:rsidRDefault="00BF18D8" w:rsidP="00F90EAE">
      <w:pPr>
        <w:pStyle w:val="1131"/>
        <w:shd w:val="clear" w:color="auto" w:fill="auto"/>
        <w:spacing w:line="240" w:lineRule="auto"/>
        <w:ind w:firstLine="0"/>
        <w:rPr>
          <w:rFonts w:ascii="Times New Roman" w:hAnsi="Times New Roman" w:cs="Times New Roman"/>
          <w:color w:val="0070C0"/>
          <w:sz w:val="16"/>
          <w:szCs w:val="16"/>
        </w:rPr>
      </w:pPr>
      <w:r w:rsidRPr="00F90EAE">
        <w:rPr>
          <w:rStyle w:val="700"/>
          <w:rFonts w:ascii="Times New Roman" w:hAnsi="Times New Roman" w:cs="Times New Roman"/>
          <w:color w:val="0070C0"/>
          <w:sz w:val="16"/>
          <w:szCs w:val="16"/>
          <w:lang w:val="ru-RU"/>
        </w:rPr>
        <w:t>Ф</w:t>
      </w:r>
      <w:r w:rsidRPr="00F90EAE">
        <w:rPr>
          <w:rStyle w:val="700"/>
          <w:rFonts w:ascii="Times New Roman" w:hAnsi="Times New Roman" w:cs="Times New Roman"/>
          <w:color w:val="0070C0"/>
          <w:sz w:val="16"/>
          <w:szCs w:val="16"/>
        </w:rPr>
        <w:t xml:space="preserve">евраль 1945 года </w:t>
      </w:r>
      <w:r w:rsidRPr="00F90EAE">
        <w:rPr>
          <w:rStyle w:val="700"/>
          <w:rFonts w:ascii="Times New Roman" w:hAnsi="Times New Roman" w:cs="Times New Roman"/>
          <w:color w:val="0070C0"/>
          <w:sz w:val="16"/>
          <w:szCs w:val="16"/>
          <w:lang w:val="ru-RU"/>
        </w:rPr>
        <w:t>стал п</w:t>
      </w:r>
      <w:r w:rsidRPr="00F90EAE">
        <w:rPr>
          <w:rStyle w:val="700"/>
          <w:rFonts w:ascii="Times New Roman" w:hAnsi="Times New Roman" w:cs="Times New Roman"/>
          <w:color w:val="0070C0"/>
          <w:sz w:val="16"/>
          <w:szCs w:val="16"/>
        </w:rPr>
        <w:t>оследним месяцем, в котором происхо</w:t>
      </w:r>
      <w:r w:rsidRPr="00F90EAE">
        <w:rPr>
          <w:rStyle w:val="700"/>
          <w:rFonts w:ascii="Times New Roman" w:hAnsi="Times New Roman" w:cs="Times New Roman"/>
          <w:color w:val="0070C0"/>
          <w:sz w:val="16"/>
          <w:szCs w:val="16"/>
        </w:rPr>
        <w:softHyphen/>
        <w:t>дила существенная эволюция внешнего вида ИС-2. С первого числа были введены морские дымовые шашки (МДШ), которые крепились на верх</w:t>
      </w:r>
      <w:r w:rsidRPr="00F90EAE">
        <w:rPr>
          <w:rStyle w:val="700"/>
          <w:rFonts w:ascii="Times New Roman" w:hAnsi="Times New Roman" w:cs="Times New Roman"/>
          <w:color w:val="0070C0"/>
          <w:sz w:val="16"/>
          <w:szCs w:val="16"/>
        </w:rPr>
        <w:softHyphen/>
        <w:t>ней кормовой плите корпуса. Установка МДШ на танки планировалась еще в 1941 году, но начавшаяся война не позволила закончить опыты. С 1944 года дымовые шашки начали ставить на Т-34 и разработанные на его базе САУ, а опытные работы по установке их на ИС- 2 начались осенью 1944 года. В феврале 1945 года завод № 200 все еще испытывал пробле</w:t>
      </w:r>
      <w:r w:rsidRPr="00F90EAE">
        <w:rPr>
          <w:rStyle w:val="700"/>
          <w:rFonts w:ascii="Times New Roman" w:hAnsi="Times New Roman" w:cs="Times New Roman"/>
          <w:color w:val="0070C0"/>
          <w:sz w:val="16"/>
          <w:szCs w:val="16"/>
        </w:rPr>
        <w:softHyphen/>
        <w:t>мы с выпуском башен, поэтому, как уже гово</w:t>
      </w:r>
      <w:r w:rsidRPr="00F90EAE">
        <w:rPr>
          <w:rStyle w:val="700"/>
          <w:rFonts w:ascii="Times New Roman" w:hAnsi="Times New Roman" w:cs="Times New Roman"/>
          <w:color w:val="0070C0"/>
          <w:sz w:val="16"/>
          <w:szCs w:val="16"/>
        </w:rPr>
        <w:softHyphen/>
        <w:t>рилось, частым явлением была установка башен УЗТМ. Таковая конфигурация, напри</w:t>
      </w:r>
      <w:r w:rsidRPr="00F90EAE">
        <w:rPr>
          <w:rStyle w:val="700"/>
          <w:rFonts w:ascii="Times New Roman" w:hAnsi="Times New Roman" w:cs="Times New Roman"/>
          <w:color w:val="0070C0"/>
          <w:sz w:val="16"/>
          <w:szCs w:val="16"/>
        </w:rPr>
        <w:softHyphen/>
        <w:t>мер, у танка 240-412540, ныне находящегося в Музее отечественной военной истории и послужившего прототипом для чертежей в данной статье. Последние же изменения случились в апреле 1945 года. Всего внесли изменения по семи пунктам, правда, носили они незначительный характер. Касались они ЗИП, установки ДШК и маслобаков, все они не несли существенного изменения облика ма</w:t>
      </w:r>
      <w:r w:rsidRPr="00F90EAE">
        <w:rPr>
          <w:rStyle w:val="700"/>
          <w:rFonts w:ascii="Times New Roman" w:hAnsi="Times New Roman" w:cs="Times New Roman"/>
          <w:color w:val="0070C0"/>
          <w:sz w:val="16"/>
          <w:szCs w:val="16"/>
        </w:rPr>
        <w:softHyphen/>
        <w:t>шины.</w:t>
      </w:r>
    </w:p>
    <w:p w14:paraId="714CFB31" w14:textId="77777777" w:rsidR="00BF18D8" w:rsidRPr="00F90EAE" w:rsidRDefault="00BF18D8" w:rsidP="00F90EAE">
      <w:pPr>
        <w:pStyle w:val="1131"/>
        <w:shd w:val="clear" w:color="auto" w:fill="auto"/>
        <w:spacing w:line="240" w:lineRule="auto"/>
        <w:ind w:firstLine="0"/>
        <w:rPr>
          <w:rStyle w:val="700"/>
          <w:rFonts w:ascii="Times New Roman" w:hAnsi="Times New Roman" w:cs="Times New Roman"/>
          <w:color w:val="0070C0"/>
          <w:sz w:val="16"/>
          <w:szCs w:val="16"/>
        </w:rPr>
      </w:pPr>
      <w:r w:rsidRPr="00F90EAE">
        <w:rPr>
          <w:rStyle w:val="700"/>
          <w:rFonts w:ascii="Times New Roman" w:hAnsi="Times New Roman" w:cs="Times New Roman"/>
          <w:color w:val="0070C0"/>
          <w:sz w:val="16"/>
          <w:szCs w:val="16"/>
        </w:rPr>
        <w:t>В заключение стоит отметить, что к на</w:t>
      </w:r>
      <w:r w:rsidRPr="00F90EAE">
        <w:rPr>
          <w:rStyle w:val="700"/>
          <w:rFonts w:ascii="Times New Roman" w:hAnsi="Times New Roman" w:cs="Times New Roman"/>
          <w:color w:val="0070C0"/>
          <w:sz w:val="16"/>
          <w:szCs w:val="16"/>
        </w:rPr>
        <w:softHyphen/>
        <w:t>стоящему времени сохранилось около десят</w:t>
      </w:r>
      <w:r w:rsidRPr="00F90EAE">
        <w:rPr>
          <w:rStyle w:val="700"/>
          <w:rFonts w:ascii="Times New Roman" w:hAnsi="Times New Roman" w:cs="Times New Roman"/>
          <w:color w:val="0070C0"/>
          <w:sz w:val="16"/>
          <w:szCs w:val="16"/>
        </w:rPr>
        <w:softHyphen/>
        <w:t xml:space="preserve">ка ИС-2 со спрямленной лобовой деталью корпуса, не прошедших модернизации до уровня ИС-2М. В основном они находятся на территории Польши и Чехии - это те танки, которые были переданы во время Великой Отечественной войны. Вместе </w:t>
      </w:r>
      <w:r w:rsidRPr="00F90EAE">
        <w:rPr>
          <w:rStyle w:val="700"/>
          <w:rFonts w:ascii="Times New Roman" w:hAnsi="Times New Roman" w:cs="Times New Roman"/>
          <w:color w:val="0070C0"/>
          <w:sz w:val="16"/>
          <w:szCs w:val="16"/>
        </w:rPr>
        <w:lastRenderedPageBreak/>
        <w:t>с тем к этим машинам следует относиться с осторож</w:t>
      </w:r>
      <w:r w:rsidRPr="00F90EAE">
        <w:rPr>
          <w:rStyle w:val="700"/>
          <w:rFonts w:ascii="Times New Roman" w:hAnsi="Times New Roman" w:cs="Times New Roman"/>
          <w:color w:val="0070C0"/>
          <w:sz w:val="16"/>
          <w:szCs w:val="16"/>
        </w:rPr>
        <w:softHyphen/>
        <w:t>ностью. Они довольно долго эксплуатирова</w:t>
      </w:r>
      <w:r w:rsidRPr="00F90EAE">
        <w:rPr>
          <w:rStyle w:val="700"/>
          <w:rFonts w:ascii="Times New Roman" w:hAnsi="Times New Roman" w:cs="Times New Roman"/>
          <w:color w:val="0070C0"/>
          <w:sz w:val="16"/>
          <w:szCs w:val="16"/>
        </w:rPr>
        <w:softHyphen/>
        <w:t>лись и поэтому проходили ремонт, который повлиял на их внешний вид. Это касается крыльев (особенно передних брызговиков), часто менялись траки, имелись и другие из</w:t>
      </w:r>
      <w:r w:rsidRPr="00F90EAE">
        <w:rPr>
          <w:rStyle w:val="700"/>
          <w:rFonts w:ascii="Times New Roman" w:hAnsi="Times New Roman" w:cs="Times New Roman"/>
          <w:color w:val="0070C0"/>
          <w:sz w:val="16"/>
          <w:szCs w:val="16"/>
        </w:rPr>
        <w:softHyphen/>
        <w:t>менения</w:t>
      </w:r>
      <w:r w:rsidRPr="00F90EAE">
        <w:rPr>
          <w:rStyle w:val="700"/>
          <w:rFonts w:ascii="Times New Roman" w:hAnsi="Times New Roman" w:cs="Times New Roman"/>
          <w:color w:val="0070C0"/>
          <w:sz w:val="16"/>
          <w:szCs w:val="16"/>
          <w:lang w:val="ru-RU"/>
        </w:rPr>
        <w:t xml:space="preserve"> (19880)</w:t>
      </w:r>
      <w:r w:rsidRPr="00F90EAE">
        <w:rPr>
          <w:rStyle w:val="700"/>
          <w:rFonts w:ascii="Times New Roman" w:hAnsi="Times New Roman" w:cs="Times New Roman"/>
          <w:color w:val="0070C0"/>
          <w:sz w:val="16"/>
          <w:szCs w:val="16"/>
        </w:rPr>
        <w:t>.</w:t>
      </w:r>
    </w:p>
    <w:p w14:paraId="314D8AD3" w14:textId="77777777" w:rsidR="00BF18D8" w:rsidRPr="00F90EAE" w:rsidRDefault="00BF18D8" w:rsidP="00F90EAE">
      <w:pPr>
        <w:pStyle w:val="1131"/>
        <w:shd w:val="clear" w:color="auto" w:fill="auto"/>
        <w:spacing w:line="240" w:lineRule="auto"/>
        <w:ind w:firstLine="0"/>
        <w:rPr>
          <w:rStyle w:val="700"/>
          <w:rFonts w:ascii="Times New Roman" w:hAnsi="Times New Roman" w:cs="Times New Roman"/>
          <w:color w:val="0070C0"/>
          <w:sz w:val="16"/>
          <w:szCs w:val="16"/>
        </w:rPr>
      </w:pPr>
    </w:p>
    <w:p w14:paraId="14814583" w14:textId="77777777" w:rsidR="00193FD5" w:rsidRPr="00F90EAE" w:rsidRDefault="00193FD5" w:rsidP="00F90EAE">
      <w:pPr>
        <w:jc w:val="both"/>
        <w:rPr>
          <w:color w:val="000000" w:themeColor="text1"/>
          <w:sz w:val="16"/>
          <w:szCs w:val="16"/>
        </w:rPr>
      </w:pPr>
      <w:r w:rsidRPr="00F90EAE">
        <w:rPr>
          <w:color w:val="000000" w:themeColor="text1"/>
          <w:sz w:val="16"/>
          <w:szCs w:val="16"/>
        </w:rPr>
        <w:t>В феврале 1945 года обозначение «Кировец-2» впервые появился в переписке. О разработке новой самоходной установки ЧКЗ сообщил в своём докладе С.П. Гуренко, главный конструктор завода №172. Он возглавил ту самую комиссию, которую ждали в Челябинске ещё с декабря 1944 года. Командировка конструкторов завода №172 состоялась в период с 14 по 20 февраля 1945 года. К тому времени СКБ-2 ЧКЗ не просто подготовило рабочие чертежи «Кировца-2», но и спустило их на завод №200 (18636).</w:t>
      </w:r>
    </w:p>
    <w:p w14:paraId="3E5477C0" w14:textId="77777777" w:rsidR="00193FD5" w:rsidRPr="00F90EAE" w:rsidRDefault="00193FD5" w:rsidP="00F90EAE">
      <w:pPr>
        <w:jc w:val="both"/>
        <w:rPr>
          <w:color w:val="000000" w:themeColor="text1"/>
          <w:sz w:val="16"/>
          <w:szCs w:val="16"/>
        </w:rPr>
      </w:pPr>
    </w:p>
    <w:p w14:paraId="4982CD54" w14:textId="77777777" w:rsidR="00193FD5" w:rsidRPr="00F90EAE" w:rsidRDefault="00193FD5" w:rsidP="00F90EAE">
      <w:pPr>
        <w:jc w:val="both"/>
        <w:rPr>
          <w:color w:val="000000" w:themeColor="text1"/>
          <w:sz w:val="16"/>
          <w:szCs w:val="16"/>
        </w:rPr>
      </w:pPr>
      <w:r w:rsidRPr="00F90EAE">
        <w:rPr>
          <w:color w:val="000000" w:themeColor="text1"/>
          <w:sz w:val="16"/>
          <w:szCs w:val="16"/>
        </w:rPr>
        <w:t>В феврале 1945 года на ЧКЗ было принято разумное решение собирать лоб корпуса ИСУ также с помощью сварки. Испытания показали, что стойкость изменённой лобовой части увеличилась. Верхняя часть носовой детали пробивалась 88-мм пушкой Pak 43L/71 с дистанции не более 250 метров. Уже с конца февраля – начала марта 1945 года лобовая часть ИСУ-152 стала сварной. Это изменение оказалось последней крупной метаморфозой машины (18171).</w:t>
      </w:r>
    </w:p>
    <w:p w14:paraId="3A0BDB6B" w14:textId="77777777" w:rsidR="00193FD5" w:rsidRPr="00F90EAE" w:rsidRDefault="00193FD5" w:rsidP="00F90EAE">
      <w:pPr>
        <w:jc w:val="both"/>
        <w:rPr>
          <w:color w:val="000000" w:themeColor="text1"/>
          <w:sz w:val="16"/>
          <w:szCs w:val="16"/>
        </w:rPr>
      </w:pPr>
    </w:p>
    <w:p w14:paraId="73ED71C8"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феврале 1945 года, когда появился приказ №66, начались работы по новому танку в КБ опытного завода №100. Точной информации по этому поводу нет, поскольку Котин снова прибегнул к тактике строгой секретности. Новый акт производственной драмы «Военпред Вовк и тайная комната» приключился 28 марта 1945 года, когда старший военпред завода №100 отправил в ГБТУ КА письмо с жалобой на происходящее:</w:t>
      </w:r>
    </w:p>
    <w:p w14:paraId="773304A8"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B469CBC"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5EF7D44D"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64987F7D"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495FBF5E" w14:textId="77777777" w:rsidR="00FA59CB" w:rsidRPr="00F90EAE" w:rsidRDefault="00FA59CB" w:rsidP="00F90EAE">
      <w:pPr>
        <w:pStyle w:val="ae"/>
        <w:shd w:val="clear" w:color="auto" w:fill="FFFFFF"/>
        <w:spacing w:before="0" w:after="0"/>
        <w:jc w:val="both"/>
        <w:rPr>
          <w:color w:val="000000" w:themeColor="text1"/>
          <w:sz w:val="16"/>
          <w:szCs w:val="16"/>
        </w:rPr>
      </w:pPr>
    </w:p>
    <w:p w14:paraId="793D54A2" w14:textId="77777777" w:rsidR="00193FD5" w:rsidRPr="00F90EAE" w:rsidRDefault="00193FD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феврале 1945 года военный совет БТ и МВ КА выходил на Берия с предложением принять Объект 701 на вооружение Красной армии. Т.О. принятия ИС-3 на вооружение Красной армии могло и не состояться. Дело в том, что параллельно шли доводочные работы по другому тяжёлому танку — Объект 701. Эту машину в ГБТУ КА считали едва ли не главным претендентом на роль сменщика ИС-2. Против этой идеи выступил Малышев, предлагавший провести дополнительные испытания. Время шло, а пока проводились испытания, на вооружение Красной армии приняли ИС-3. Кстати, на запуске в серию Объекта 701 настаивал и ЧКЗ. Тем не менее, Малышев настоял на том, чтобы именно ИС-3 стал новым тяжёлым танком, пошедшим в крупную серию.</w:t>
      </w:r>
    </w:p>
    <w:p w14:paraId="40E4C2BD" w14:textId="77777777" w:rsidR="00193FD5" w:rsidRPr="00F90EAE" w:rsidRDefault="00193FD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Причины тому надо искать по целому ряду направлений. Во-первых, ИС-3 отчасти заимствовал узлы и агрегаты ИС-2, так что его постановка в серию не вызывала больших проблем. Совсем иная ситуация складывалась с Объектом 701. Предстояла существенная перенастройка производства, а это означало и резкое снижение выпуска. Во-вторых, даже на фоне всех проблем «Кировца-1» они выглядели не столь и существенными, если сравнивать этот танк с Объектом 701. Кроме того, правота Малышева подтвердилась уже позже, когда ИС-3 всё же сняли с производства. Нарком танковой промышленности явно о чём-то догадывался (19731).</w:t>
      </w:r>
    </w:p>
    <w:p w14:paraId="230F981D" w14:textId="77777777" w:rsidR="00193FD5" w:rsidRPr="00F90EAE" w:rsidRDefault="00193FD5" w:rsidP="00F90EAE">
      <w:pPr>
        <w:pStyle w:val="ae"/>
        <w:shd w:val="clear" w:color="auto" w:fill="FFFFFF"/>
        <w:spacing w:before="0" w:after="0"/>
        <w:jc w:val="both"/>
        <w:textAlignment w:val="baseline"/>
        <w:rPr>
          <w:color w:val="000000" w:themeColor="text1"/>
          <w:sz w:val="16"/>
          <w:szCs w:val="16"/>
        </w:rPr>
      </w:pPr>
    </w:p>
    <w:p w14:paraId="284B67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w:t>
      </w:r>
      <w:r w:rsidRPr="00F90EAE">
        <w:rPr>
          <w:color w:val="000000" w:themeColor="text1"/>
          <w:sz w:val="16"/>
          <w:szCs w:val="16"/>
        </w:rPr>
        <w:softHyphen/>
        <w:t>рале 1945 г. завод № 9 спроектировал и изготовил 100-мм нарезную пушку Д- 100Т, которая в марте того же года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F90EAE">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6FBB5C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1D355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года Т-34 с ЗИС-1 прошел полигонные испытания на Гороховецком артиолигоне ГАУ РВ Танк отличался от серийного танка Т-34, прежде всего, установк 85-мм пушки ЗИС-1 (конструкции завода № 92) в башне с увели ным диаметром опоры. Гладкая надставка ствола длиной 1620 мм пр назначалась для увеличения начальной скорости бронебойного снаряда. Для проведения испытания было изготовлено три ствола, им различную крутизну длины нарезов (30, 35 и 25 калибров) и число нарезов (32, 34 и 24 соответственно). Ствол длиной 5420 мм (641 имел вертикальный клиновой затвор, тормоз отката без ком накатник и подъемный механизм со сдающим звеном. Боекомп пушке состоял из 35 вметрелов с осколочно-фугасными, бронебой и бронебойно-подкалиберными снарядами, которые имели : скорость 689, 900 и 1000 м/с соответственно. Во время проведения испытаний вз-за одностороннего удара ведущим пояском снаряда о торец надставки бьли получены неудвлетворительные резуяьтаты по кучности стрельбы и дальнейшие работы по установке в танк Т-34 этой пушки были остановлены (10703).</w:t>
      </w:r>
    </w:p>
    <w:p w14:paraId="237736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6CEB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февраля 1945 г. начались работы по освоению в серии танка с безбалочным носом, что значительно усилило бро</w:t>
      </w:r>
      <w:r w:rsidRPr="00F90EAE">
        <w:rPr>
          <w:color w:val="000000" w:themeColor="text1"/>
          <w:sz w:val="16"/>
          <w:szCs w:val="16"/>
        </w:rPr>
        <w:softHyphen/>
        <w:t>невую защиту Т-34, но в серию машины указанного типа пошли только в конце марта 1945 г. (11135)</w:t>
      </w:r>
    </w:p>
    <w:p w14:paraId="009244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64B1CF9" w14:textId="77777777" w:rsidR="00193FD5" w:rsidRPr="00F90EAE" w:rsidRDefault="00193FD5" w:rsidP="00F90EAE">
      <w:pPr>
        <w:jc w:val="both"/>
        <w:rPr>
          <w:color w:val="000000" w:themeColor="text1"/>
          <w:sz w:val="16"/>
          <w:szCs w:val="16"/>
        </w:rPr>
      </w:pPr>
      <w:r w:rsidRPr="00F90EAE">
        <w:rPr>
          <w:color w:val="000000" w:themeColor="text1"/>
          <w:sz w:val="16"/>
          <w:szCs w:val="16"/>
        </w:rPr>
        <w:t>С февраля 1945 года отменили вторую створку люка рубки СУ-100, хотя бо́льшая часть февральских машин всё ещё оснащалась старыми люками. Такие машины нередко называют СУ-100 второй производственной серии, но на самом деле никаких серий не было и в помине. Примерно в это же время ящик ЗИП на левой надгусеничной полке сместили немного назад. Окончательно новые корпуса запустили в серию с марта 1945 года, при этом с люка механика-водителя исчезла литера «Р» (равнопрочный с верхним лобовым листом корпуса люк толщиной 75 мм).</w:t>
      </w:r>
    </w:p>
    <w:p w14:paraId="0AA31E2E" w14:textId="77777777" w:rsidR="00193FD5" w:rsidRPr="00F90EAE" w:rsidRDefault="00193FD5" w:rsidP="00F90EAE">
      <w:pPr>
        <w:jc w:val="both"/>
        <w:rPr>
          <w:color w:val="000000" w:themeColor="text1"/>
          <w:sz w:val="16"/>
          <w:szCs w:val="16"/>
        </w:rPr>
      </w:pPr>
      <w:r w:rsidRPr="00F90EAE">
        <w:rPr>
          <w:color w:val="000000" w:themeColor="text1"/>
          <w:sz w:val="16"/>
          <w:szCs w:val="16"/>
        </w:rPr>
        <w:t>Доработки СУ-100 продолжались и в апреле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EC97FA5" w14:textId="77777777" w:rsidR="00193FD5" w:rsidRPr="00F90EAE" w:rsidRDefault="00193FD5" w:rsidP="00F90EAE">
      <w:pPr>
        <w:pStyle w:val="rtejustify"/>
        <w:shd w:val="clear" w:color="auto" w:fill="FFFFFF"/>
        <w:spacing w:before="0" w:after="0"/>
        <w:rPr>
          <w:color w:val="000000" w:themeColor="text1"/>
          <w:sz w:val="16"/>
          <w:szCs w:val="16"/>
        </w:rPr>
      </w:pPr>
    </w:p>
    <w:p w14:paraId="64B3A276" w14:textId="77777777" w:rsidR="00BF18D8" w:rsidRPr="00F90EAE" w:rsidRDefault="00BF18D8" w:rsidP="00F90EAE">
      <w:pPr>
        <w:jc w:val="both"/>
        <w:rPr>
          <w:color w:val="0070C0"/>
          <w:sz w:val="16"/>
          <w:szCs w:val="16"/>
        </w:rPr>
      </w:pPr>
      <w:r w:rsidRPr="00F90EAE">
        <w:rPr>
          <w:color w:val="0070C0"/>
          <w:sz w:val="16"/>
          <w:szCs w:val="16"/>
        </w:rPr>
        <w:t>Февраль 1945 г. ознаменовался разра</w:t>
      </w:r>
      <w:r w:rsidRPr="00F90EAE">
        <w:rPr>
          <w:color w:val="0070C0"/>
          <w:sz w:val="16"/>
          <w:szCs w:val="16"/>
        </w:rPr>
        <w:softHyphen/>
        <w:t>боткой новых чертежей бронекорпуса Су-100 - ради все той же борьбы с трещи</w:t>
      </w:r>
      <w:r w:rsidRPr="00F90EAE">
        <w:rPr>
          <w:color w:val="0070C0"/>
          <w:sz w:val="16"/>
          <w:szCs w:val="16"/>
        </w:rPr>
        <w:softHyphen/>
        <w:t>нами брони, которые образовывались от углов любых вырезов. Первые опытные семь бронекорпусов новой конструкции сварили тогда же в феврале: на них исчезла створка люка заряжающего на задней вертикальной стенке рубки.</w:t>
      </w:r>
    </w:p>
    <w:p w14:paraId="5A6C6C5F" w14:textId="77777777" w:rsidR="00BF18D8" w:rsidRPr="00F90EAE" w:rsidRDefault="00BF18D8" w:rsidP="00F90EAE">
      <w:pPr>
        <w:jc w:val="both"/>
        <w:rPr>
          <w:color w:val="0070C0"/>
          <w:sz w:val="16"/>
          <w:szCs w:val="16"/>
        </w:rPr>
      </w:pPr>
      <w:r w:rsidRPr="00F90EAE">
        <w:rPr>
          <w:color w:val="0070C0"/>
          <w:sz w:val="16"/>
          <w:szCs w:val="16"/>
        </w:rPr>
        <w:t>Желобки на правой стенке литой непо</w:t>
      </w:r>
      <w:r w:rsidRPr="00F90EAE">
        <w:rPr>
          <w:color w:val="0070C0"/>
          <w:sz w:val="16"/>
          <w:szCs w:val="16"/>
        </w:rPr>
        <w:softHyphen/>
        <w:t>движной бронировки орудия над головками болтов, по всей видимости, из-за введения в эксплуатацию новой литейной модели, с фев</w:t>
      </w:r>
      <w:r w:rsidRPr="00F90EAE">
        <w:rPr>
          <w:color w:val="0070C0"/>
          <w:sz w:val="16"/>
          <w:szCs w:val="16"/>
        </w:rPr>
        <w:softHyphen/>
        <w:t>раля приобретают четкие границы - такой вид они будут иметь по июль 1945 г. включительно.</w:t>
      </w:r>
    </w:p>
    <w:p w14:paraId="0C865ABF" w14:textId="77777777" w:rsidR="00BF18D8" w:rsidRPr="00F90EAE" w:rsidRDefault="00BF18D8" w:rsidP="00F90EAE">
      <w:pPr>
        <w:jc w:val="both"/>
        <w:rPr>
          <w:color w:val="0070C0"/>
          <w:sz w:val="16"/>
          <w:szCs w:val="16"/>
        </w:rPr>
      </w:pPr>
      <w:r w:rsidRPr="00F90EAE">
        <w:rPr>
          <w:color w:val="0070C0"/>
          <w:sz w:val="16"/>
          <w:szCs w:val="16"/>
        </w:rPr>
        <w:t>Несмотря на совершенно другую пушку самоходки, на СУ-85 и СУ-100 для укладки орудийного ЗИП использовали стандартный «тридцатьчетверочный» ящик с размерами 1260x200x200 мм от танковой пушки Ф-34. Однако изначально он крепился на левой надгусеничной полке ближе к носу машины, а потом был смещен назад (точная дата неизвестна, но определенно это изменение произошло не ранееянваря 1945 г.) (19927).</w:t>
      </w:r>
    </w:p>
    <w:p w14:paraId="195409E3" w14:textId="77777777" w:rsidR="00BF18D8" w:rsidRPr="00F90EAE" w:rsidRDefault="00BF18D8" w:rsidP="00F90EAE">
      <w:pPr>
        <w:jc w:val="both"/>
        <w:rPr>
          <w:color w:val="0070C0"/>
          <w:sz w:val="16"/>
          <w:szCs w:val="16"/>
        </w:rPr>
      </w:pPr>
    </w:p>
    <w:p w14:paraId="0332A8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завод 235 предъявил ГАУ проект двух вариантов пушек В-10 и В-11 для ОСУ-76 - прототипа первой специализированной авиадесантной АСУ-76, но ГАУ их отклонил (1151,72).</w:t>
      </w:r>
    </w:p>
    <w:p w14:paraId="497AE8D2" w14:textId="77777777" w:rsidR="00665165" w:rsidRPr="00F90EAE" w:rsidRDefault="00665165" w:rsidP="00F90EAE">
      <w:pPr>
        <w:autoSpaceDE w:val="0"/>
        <w:autoSpaceDN w:val="0"/>
        <w:adjustRightInd w:val="0"/>
        <w:jc w:val="both"/>
        <w:rPr>
          <w:color w:val="000000" w:themeColor="text1"/>
          <w:sz w:val="16"/>
          <w:szCs w:val="16"/>
        </w:rPr>
      </w:pPr>
    </w:p>
    <w:p w14:paraId="0B42A8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мытищинский завод начал готовиться к серийному производству САУ, однако до окончания войны было изго</w:t>
      </w:r>
      <w:r w:rsidRPr="00F90EAE">
        <w:rPr>
          <w:color w:val="000000" w:themeColor="text1"/>
          <w:sz w:val="16"/>
          <w:szCs w:val="16"/>
        </w:rPr>
        <w:softHyphen/>
        <w:t>товлено лишь несколько машин, получивших индекс ЗСУ-37, по временной технологии. Считается, что до кон</w:t>
      </w:r>
      <w:r w:rsidRPr="00F90EAE">
        <w:rPr>
          <w:color w:val="000000" w:themeColor="text1"/>
          <w:sz w:val="16"/>
          <w:szCs w:val="16"/>
        </w:rPr>
        <w:softHyphen/>
        <w:t>ца 1945 г. в строй вступил самоходный зентный дивизион ЗСУ-37 в количестве или 12, или 16 машин (11417).</w:t>
      </w:r>
    </w:p>
    <w:p w14:paraId="1736749C" w14:textId="77777777" w:rsidR="00665165" w:rsidRPr="00F90EAE" w:rsidRDefault="00665165" w:rsidP="00F90EAE">
      <w:pPr>
        <w:autoSpaceDE w:val="0"/>
        <w:autoSpaceDN w:val="0"/>
        <w:adjustRightInd w:val="0"/>
        <w:jc w:val="both"/>
        <w:rPr>
          <w:color w:val="000000" w:themeColor="text1"/>
          <w:sz w:val="16"/>
          <w:szCs w:val="16"/>
        </w:rPr>
      </w:pPr>
    </w:p>
    <w:p w14:paraId="1F2455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феврале 1945 г. орудие ЛБ-2 было установлено в дора</w:t>
      </w:r>
      <w:r w:rsidRPr="00F90EAE">
        <w:rPr>
          <w:color w:val="000000" w:themeColor="text1"/>
          <w:sz w:val="16"/>
          <w:szCs w:val="16"/>
        </w:rPr>
        <w:softHyphen/>
        <w:t>ботанный вариант САУ, получившей индекс СУ-85Б. Она внешне отличалась от СУ-76 конфигурацией повышенных бортов боевой рубки, имевших увеличенную на 2-7 мм толщину брони, форсированным до 158 л.с. двигательным агрегатом ГАЗ-203Ф (ГАЗ-15Б), который уже был доведен до уровня, но потяжелела до 12 460 кг и могла разогнаться лишь до 41 км/ч на шоссе. Будучи неоднократно испытанной на Гороховецком полигоне, СУ-85Б неизменно показывала хорошие резуль</w:t>
      </w:r>
      <w:r w:rsidRPr="00F90EAE">
        <w:rPr>
          <w:color w:val="000000" w:themeColor="text1"/>
          <w:sz w:val="16"/>
          <w:szCs w:val="16"/>
        </w:rPr>
        <w:softHyphen/>
        <w:t>таты, но на вооружение принята не была, так как война шла к концу и перенастраивать производство на ГАЗ сочли нецелесообразным (11417).</w:t>
      </w:r>
    </w:p>
    <w:p w14:paraId="4FFA48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FB813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 заводе им. А. А. Жданова в разной стадии готовности находилось 11 ТЩ типа МТ-2. На Петрозаводе велась постройка пяти ТЩ, на Усть-Ижорской верфи - трех, на Адмиралтейском заводе - восьми МБК (10671).</w:t>
      </w:r>
    </w:p>
    <w:p w14:paraId="63D1C46F" w14:textId="77777777" w:rsidR="00665165" w:rsidRPr="00F90EAE" w:rsidRDefault="00665165" w:rsidP="00F90EAE">
      <w:pPr>
        <w:autoSpaceDE w:val="0"/>
        <w:autoSpaceDN w:val="0"/>
        <w:adjustRightInd w:val="0"/>
        <w:jc w:val="both"/>
        <w:rPr>
          <w:color w:val="000000" w:themeColor="text1"/>
          <w:sz w:val="16"/>
          <w:szCs w:val="16"/>
        </w:rPr>
      </w:pPr>
    </w:p>
    <w:p w14:paraId="0169BE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0BD143A" w14:textId="77777777" w:rsidR="00665165" w:rsidRPr="00F90EAE" w:rsidRDefault="00665165" w:rsidP="00F90EAE">
      <w:pPr>
        <w:autoSpaceDE w:val="0"/>
        <w:autoSpaceDN w:val="0"/>
        <w:adjustRightInd w:val="0"/>
        <w:jc w:val="both"/>
        <w:rPr>
          <w:iCs/>
          <w:color w:val="000000" w:themeColor="text1"/>
          <w:sz w:val="16"/>
          <w:szCs w:val="16"/>
        </w:rPr>
      </w:pPr>
    </w:p>
    <w:p w14:paraId="00BDE0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 планировалось пе</w:t>
      </w:r>
      <w:r w:rsidRPr="00F90EAE">
        <w:rPr>
          <w:color w:val="000000" w:themeColor="text1"/>
          <w:sz w:val="16"/>
          <w:szCs w:val="16"/>
        </w:rPr>
        <w:softHyphen/>
        <w:t>реучить на Ил-10 уже пять полков (571, 809, 723-й шап и 118-й и 132-й гшап) и 120 отдельных экипажей. Прибывшие части по своей подготовке и боевому опыту даже несколько превосходили две первые. Однако, если январский план бригада выполнила на 91%, то фев</w:t>
      </w:r>
      <w:r w:rsidRPr="00F90EAE">
        <w:rPr>
          <w:color w:val="000000" w:themeColor="text1"/>
          <w:sz w:val="16"/>
          <w:szCs w:val="16"/>
        </w:rPr>
        <w:softHyphen/>
        <w:t>ральский был провален полностью - 48%. Качество стрельб и бомбометания на полигоне оценили как неудовлетво</w:t>
      </w:r>
      <w:r w:rsidRPr="00F90EAE">
        <w:rPr>
          <w:color w:val="000000" w:themeColor="text1"/>
          <w:sz w:val="16"/>
          <w:szCs w:val="16"/>
        </w:rPr>
        <w:softHyphen/>
        <w:t>рительное. При этом число летных про</w:t>
      </w:r>
      <w:r w:rsidRPr="00F90EAE">
        <w:rPr>
          <w:color w:val="000000" w:themeColor="text1"/>
          <w:sz w:val="16"/>
          <w:szCs w:val="16"/>
        </w:rPr>
        <w:softHyphen/>
        <w:t>исшествий возросло почти в два раза -21 против 10 в январе. Несмотря на оби</w:t>
      </w:r>
      <w:r w:rsidRPr="00F90EAE">
        <w:rPr>
          <w:color w:val="000000" w:themeColor="text1"/>
          <w:sz w:val="16"/>
          <w:szCs w:val="16"/>
        </w:rPr>
        <w:softHyphen/>
        <w:t>лие недостатков у Ил-10, летных проис</w:t>
      </w:r>
      <w:r w:rsidRPr="00F90EAE">
        <w:rPr>
          <w:color w:val="000000" w:themeColor="text1"/>
          <w:sz w:val="16"/>
          <w:szCs w:val="16"/>
        </w:rPr>
        <w:softHyphen/>
        <w:t>шествий по вине техники было все же немного и в сравнении с уже освоенным и проверенным Ил-2 «десятка» по абсо</w:t>
      </w:r>
      <w:r w:rsidRPr="00F90EAE">
        <w:rPr>
          <w:color w:val="000000" w:themeColor="text1"/>
          <w:sz w:val="16"/>
          <w:szCs w:val="16"/>
        </w:rPr>
        <w:softHyphen/>
        <w:t>лютным показателям официальной ста</w:t>
      </w:r>
      <w:r w:rsidRPr="00F90EAE">
        <w:rPr>
          <w:color w:val="000000" w:themeColor="text1"/>
          <w:sz w:val="16"/>
          <w:szCs w:val="16"/>
        </w:rPr>
        <w:softHyphen/>
        <w:t>тистики выглядела не так уж и плохо. Командование бригады объяснило срыв подготовки перебоями с горючим и плохой погодой. Однако думается, что причина состояла в неорганизованности учебно-боевой работы, неоднократно отмечавшейся в различных документах штаба ВВС ПриВО и отчетах самой бри</w:t>
      </w:r>
      <w:r w:rsidRPr="00F90EAE">
        <w:rPr>
          <w:color w:val="000000" w:themeColor="text1"/>
          <w:sz w:val="16"/>
          <w:szCs w:val="16"/>
        </w:rPr>
        <w:softHyphen/>
        <w:t>гады. Она объяснялась высокой текуче</w:t>
      </w:r>
      <w:r w:rsidRPr="00F90EAE">
        <w:rPr>
          <w:color w:val="000000" w:themeColor="text1"/>
          <w:sz w:val="16"/>
          <w:szCs w:val="16"/>
        </w:rPr>
        <w:softHyphen/>
        <w:t>стью кадров. Наиболее подготовленные офицеры, как правило, тяготились штабной работой, стремились на фронт и своего добивались (10681).</w:t>
      </w:r>
    </w:p>
    <w:p w14:paraId="0F6C5E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7682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на Ил-10 удалось переучить только один полк - 571-й под</w:t>
      </w:r>
      <w:r w:rsidRPr="00F90EAE">
        <w:rPr>
          <w:color w:val="000000" w:themeColor="text1"/>
          <w:sz w:val="16"/>
          <w:szCs w:val="16"/>
        </w:rPr>
        <w:softHyphen/>
        <w:t>полковника М.И. Безуха. Следующим достиг готовности 118-й гшап подпол</w:t>
      </w:r>
      <w:r w:rsidRPr="00F90EAE">
        <w:rPr>
          <w:color w:val="000000" w:themeColor="text1"/>
          <w:sz w:val="16"/>
          <w:szCs w:val="16"/>
        </w:rPr>
        <w:softHyphen/>
        <w:t>ковника Верещинского. Он закончил программу переподготовки 2 марта. Но получение недостающих самолетов за</w:t>
      </w:r>
      <w:r w:rsidRPr="00F90EAE">
        <w:rPr>
          <w:color w:val="000000" w:themeColor="text1"/>
          <w:sz w:val="16"/>
          <w:szCs w:val="16"/>
        </w:rPr>
        <w:softHyphen/>
        <w:t>тянулось до середины марта. В резуль</w:t>
      </w:r>
      <w:r w:rsidRPr="00F90EAE">
        <w:rPr>
          <w:color w:val="000000" w:themeColor="text1"/>
          <w:sz w:val="16"/>
          <w:szCs w:val="16"/>
        </w:rPr>
        <w:softHyphen/>
        <w:t>тате оба полка убыли на фронт одно-временно, двумя группами: 19 марта вылетели 42 экипажа 118-го гшап и 41 -из 571-го шап, а 20 марта - четыре из 118-го гшап (один на Ил-10 и три - поез</w:t>
      </w:r>
      <w:r w:rsidRPr="00F90EAE">
        <w:rPr>
          <w:color w:val="000000" w:themeColor="text1"/>
          <w:sz w:val="16"/>
          <w:szCs w:val="16"/>
        </w:rPr>
        <w:softHyphen/>
        <w:t>дом) и один экипаж 571-го шап (летом). В следующем месяце на фронт на</w:t>
      </w:r>
      <w:r w:rsidRPr="00F90EAE">
        <w:rPr>
          <w:color w:val="000000" w:themeColor="text1"/>
          <w:sz w:val="16"/>
          <w:szCs w:val="16"/>
        </w:rPr>
        <w:softHyphen/>
        <w:t>правили сразу семь полков на новых штурмовиках (7, 59, 75-й и 132-й гшап и 723, 899-й и 995-й шап) - в общей слож</w:t>
      </w:r>
      <w:r w:rsidRPr="00F90EAE">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F90EAE">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F90EAE">
        <w:rPr>
          <w:color w:val="000000" w:themeColor="text1"/>
          <w:sz w:val="16"/>
          <w:szCs w:val="16"/>
        </w:rPr>
        <w:softHyphen/>
        <w:t>кументам полки этого корпуса проходи</w:t>
      </w:r>
      <w:r w:rsidRPr="00F90EAE">
        <w:rPr>
          <w:color w:val="000000" w:themeColor="text1"/>
          <w:sz w:val="16"/>
          <w:szCs w:val="16"/>
        </w:rPr>
        <w:softHyphen/>
        <w:t>ли тренировку для участия в параде на Красной площади по случаю победы над Германией (10681).</w:t>
      </w:r>
    </w:p>
    <w:p w14:paraId="1C8023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AE9E4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г. планировалось переучить на Ил-10 уже пять марше</w:t>
      </w:r>
      <w:r w:rsidRPr="00F90EAE">
        <w:rPr>
          <w:color w:val="000000" w:themeColor="text1"/>
          <w:sz w:val="16"/>
          <w:szCs w:val="16"/>
        </w:rPr>
        <w:softHyphen/>
        <w:t>вых авиаполков (571-й, 809-й, 118-й гвардейский, 723-й и 132-й гвардей</w:t>
      </w:r>
      <w:r w:rsidRPr="00F90EAE">
        <w:rPr>
          <w:color w:val="000000" w:themeColor="text1"/>
          <w:sz w:val="16"/>
          <w:szCs w:val="16"/>
        </w:rPr>
        <w:softHyphen/>
        <w:t>ский шап) и 120 отдельных экипажей. Однако если январский план по пере</w:t>
      </w:r>
      <w:r w:rsidRPr="00F90EAE">
        <w:rPr>
          <w:color w:val="000000" w:themeColor="text1"/>
          <w:sz w:val="16"/>
          <w:szCs w:val="16"/>
        </w:rPr>
        <w:softHyphen/>
        <w:t>учиванию на Ил-10 бригада выполни</w:t>
      </w:r>
      <w:r w:rsidRPr="00F90EAE">
        <w:rPr>
          <w:color w:val="000000" w:themeColor="text1"/>
          <w:sz w:val="16"/>
          <w:szCs w:val="16"/>
        </w:rPr>
        <w:softHyphen/>
        <w:t>ла на 91%, то февральский был про</w:t>
      </w:r>
      <w:r w:rsidRPr="00F90EAE">
        <w:rPr>
          <w:color w:val="000000" w:themeColor="text1"/>
          <w:sz w:val="16"/>
          <w:szCs w:val="16"/>
        </w:rPr>
        <w:softHyphen/>
        <w:t>вален полностью - 48%.</w:t>
      </w:r>
    </w:p>
    <w:p w14:paraId="7A0260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Качество стрельб и бомбометания на полигоне было оценено как не</w:t>
      </w:r>
      <w:r w:rsidRPr="00F90EAE">
        <w:rPr>
          <w:color w:val="000000" w:themeColor="text1"/>
          <w:sz w:val="16"/>
          <w:szCs w:val="16"/>
        </w:rPr>
        <w:softHyphen/>
        <w:t>удовлетворительное. Процент выпол</w:t>
      </w:r>
      <w:r w:rsidRPr="00F90EAE">
        <w:rPr>
          <w:color w:val="000000" w:themeColor="text1"/>
          <w:sz w:val="16"/>
          <w:szCs w:val="16"/>
        </w:rPr>
        <w:softHyphen/>
        <w:t>нения заданий по боевому примене</w:t>
      </w:r>
      <w:r w:rsidRPr="00F90EAE">
        <w:rPr>
          <w:color w:val="000000" w:themeColor="text1"/>
          <w:sz w:val="16"/>
          <w:szCs w:val="16"/>
        </w:rPr>
        <w:softHyphen/>
        <w:t>нию на полигоне составил: с оцен</w:t>
      </w:r>
      <w:r w:rsidRPr="00F90EAE">
        <w:rPr>
          <w:color w:val="000000" w:themeColor="text1"/>
          <w:sz w:val="16"/>
          <w:szCs w:val="16"/>
        </w:rPr>
        <w:softHyphen/>
        <w:t>кой отлично- 12%, хорошо-42%, по</w:t>
      </w:r>
      <w:r w:rsidRPr="00F90EAE">
        <w:rPr>
          <w:color w:val="000000" w:themeColor="text1"/>
          <w:sz w:val="16"/>
          <w:szCs w:val="16"/>
        </w:rPr>
        <w:softHyphen/>
        <w:t>средственно - 46% и не выполнение заданий - 18,7%. При этом количество летных про</w:t>
      </w:r>
      <w:r w:rsidRPr="00F90EAE">
        <w:rPr>
          <w:color w:val="000000" w:themeColor="text1"/>
          <w:sz w:val="16"/>
          <w:szCs w:val="16"/>
        </w:rPr>
        <w:softHyphen/>
        <w:t>исшествий возросло почти в два раза - 21 летное происшествие против 10 в январе месяце. Из этого числа на долю Ил-10 пришлись 2 аварии и 6 поломок самолета, что с учетом обще</w:t>
      </w:r>
      <w:r w:rsidRPr="00F90EAE">
        <w:rPr>
          <w:color w:val="000000" w:themeColor="text1"/>
          <w:sz w:val="16"/>
          <w:szCs w:val="16"/>
        </w:rPr>
        <w:softHyphen/>
        <w:t>го налета составило 57 ч 50 мин лет</w:t>
      </w:r>
      <w:r w:rsidRPr="00F90EAE">
        <w:rPr>
          <w:color w:val="000000" w:themeColor="text1"/>
          <w:sz w:val="16"/>
          <w:szCs w:val="16"/>
        </w:rPr>
        <w:softHyphen/>
        <w:t>ного времени (209 посадок) на одно происшествие. В то же время средний уровень лет-но-боевой подготовки вновь прибыв</w:t>
      </w:r>
      <w:r w:rsidRPr="00F90EAE">
        <w:rPr>
          <w:color w:val="000000" w:themeColor="text1"/>
          <w:sz w:val="16"/>
          <w:szCs w:val="16"/>
        </w:rPr>
        <w:softHyphen/>
        <w:t>ших маршевых авиаполков оказался не ниже уровня лидерных полков, а даже несколько выше. Так, боевой на</w:t>
      </w:r>
      <w:r w:rsidRPr="00F90EAE">
        <w:rPr>
          <w:color w:val="000000" w:themeColor="text1"/>
          <w:sz w:val="16"/>
          <w:szCs w:val="16"/>
        </w:rPr>
        <w:softHyphen/>
        <w:t>лет на одного летчика в 571-м шап со</w:t>
      </w:r>
      <w:r w:rsidRPr="00F90EAE">
        <w:rPr>
          <w:color w:val="000000" w:themeColor="text1"/>
          <w:sz w:val="16"/>
          <w:szCs w:val="16"/>
        </w:rPr>
        <w:softHyphen/>
        <w:t>ставил в среднем 53 вылета, в 809-м -77 вылетов, в 132-м и 118-м гвардейс</w:t>
      </w:r>
      <w:r w:rsidRPr="00F90EAE">
        <w:rPr>
          <w:color w:val="000000" w:themeColor="text1"/>
          <w:sz w:val="16"/>
          <w:szCs w:val="16"/>
        </w:rPr>
        <w:softHyphen/>
        <w:t>ких - около 55 и 38 вылетов, соответ</w:t>
      </w:r>
      <w:r w:rsidRPr="00F90EAE">
        <w:rPr>
          <w:color w:val="000000" w:themeColor="text1"/>
          <w:sz w:val="16"/>
          <w:szCs w:val="16"/>
        </w:rPr>
        <w:softHyphen/>
        <w:t>ственно. Командование бригады объяснило срыв подготовки отсутствием в тече</w:t>
      </w:r>
      <w:r w:rsidRPr="00F90EAE">
        <w:rPr>
          <w:color w:val="000000" w:themeColor="text1"/>
          <w:sz w:val="16"/>
          <w:szCs w:val="16"/>
        </w:rPr>
        <w:softHyphen/>
        <w:t xml:space="preserve">ние 7 дней горючего и в течение 5 дней </w:t>
      </w:r>
      <w:r w:rsidRPr="00F90EAE">
        <w:rPr>
          <w:iCs/>
          <w:color w:val="000000" w:themeColor="text1"/>
          <w:sz w:val="16"/>
          <w:szCs w:val="16"/>
        </w:rPr>
        <w:t xml:space="preserve">(в </w:t>
      </w:r>
      <w:r w:rsidRPr="00F90EAE">
        <w:rPr>
          <w:color w:val="000000" w:themeColor="text1"/>
          <w:sz w:val="16"/>
          <w:szCs w:val="16"/>
        </w:rPr>
        <w:t>среднем по бригаде) летной пого</w:t>
      </w:r>
      <w:r w:rsidRPr="00F90EAE">
        <w:rPr>
          <w:color w:val="000000" w:themeColor="text1"/>
          <w:sz w:val="16"/>
          <w:szCs w:val="16"/>
        </w:rPr>
        <w:softHyphen/>
        <w:t>ды, а также опозданием 132-го гшап с прибытием для переучивания. Однако думается, что причина состояла в из</w:t>
      </w:r>
      <w:r w:rsidRPr="00F90EAE">
        <w:rPr>
          <w:color w:val="000000" w:themeColor="text1"/>
          <w:sz w:val="16"/>
          <w:szCs w:val="16"/>
        </w:rPr>
        <w:softHyphen/>
        <w:t>вестной неорганизованности учебно-боевой работы в 1-й заб, неоднократ</w:t>
      </w:r>
      <w:r w:rsidRPr="00F90EAE">
        <w:rPr>
          <w:color w:val="000000" w:themeColor="text1"/>
          <w:sz w:val="16"/>
          <w:szCs w:val="16"/>
        </w:rPr>
        <w:softHyphen/>
        <w:t>но отмечавшейся в различных руково</w:t>
      </w:r>
      <w:r w:rsidRPr="00F90EAE">
        <w:rPr>
          <w:color w:val="000000" w:themeColor="text1"/>
          <w:sz w:val="16"/>
          <w:szCs w:val="16"/>
        </w:rPr>
        <w:softHyphen/>
        <w:t>дящих документах штаба ВВС ПриВО и отчетных документах самой бригады. Она объяснялась высокой текучестью кадров в звене управления полков и бригады: «...командиры и их штабы в зап обновлялись в течение года по од-ному-два раза», а «отдел боевой под</w:t>
      </w:r>
      <w:r w:rsidRPr="00F90EAE">
        <w:rPr>
          <w:color w:val="000000" w:themeColor="text1"/>
          <w:sz w:val="16"/>
          <w:szCs w:val="16"/>
        </w:rPr>
        <w:softHyphen/>
        <w:t>готовки бригады в год обновлялся в полном составе три раза». Как прави</w:t>
      </w:r>
      <w:r w:rsidRPr="00F90EAE">
        <w:rPr>
          <w:color w:val="000000" w:themeColor="text1"/>
          <w:sz w:val="16"/>
          <w:szCs w:val="16"/>
        </w:rPr>
        <w:softHyphen/>
        <w:t>ло, должности помощника командира полка по воздушно-стрелковой служ</w:t>
      </w:r>
      <w:r w:rsidRPr="00F90EAE">
        <w:rPr>
          <w:color w:val="000000" w:themeColor="text1"/>
          <w:sz w:val="16"/>
          <w:szCs w:val="16"/>
        </w:rPr>
        <w:softHyphen/>
        <w:t>бе, штурмана полка, начальника штаба полка занимали наиболее подготов</w:t>
      </w:r>
      <w:r w:rsidRPr="00F90EAE">
        <w:rPr>
          <w:color w:val="000000" w:themeColor="text1"/>
          <w:sz w:val="16"/>
          <w:szCs w:val="16"/>
        </w:rPr>
        <w:softHyphen/>
        <w:t>ленные офицеры, которые, как прави</w:t>
      </w:r>
      <w:r w:rsidRPr="00F90EAE">
        <w:rPr>
          <w:color w:val="000000" w:themeColor="text1"/>
          <w:sz w:val="16"/>
          <w:szCs w:val="16"/>
        </w:rPr>
        <w:softHyphen/>
        <w:t>ло, тяготились штабной работой, стре</w:t>
      </w:r>
      <w:r w:rsidRPr="00F90EAE">
        <w:rPr>
          <w:color w:val="000000" w:themeColor="text1"/>
          <w:sz w:val="16"/>
          <w:szCs w:val="16"/>
        </w:rPr>
        <w:softHyphen/>
        <w:t>мились на фронт и своего добивались. Должность становилась вакантной и, пока кадровики подыскивали достой</w:t>
      </w:r>
      <w:r w:rsidRPr="00F90EAE">
        <w:rPr>
          <w:color w:val="000000" w:themeColor="text1"/>
          <w:sz w:val="16"/>
          <w:szCs w:val="16"/>
        </w:rPr>
        <w:softHyphen/>
        <w:t>ного кандидата, решение текущих вопросов по конкретному направле</w:t>
      </w:r>
      <w:r w:rsidRPr="00F90EAE">
        <w:rPr>
          <w:color w:val="000000" w:themeColor="text1"/>
          <w:sz w:val="16"/>
          <w:szCs w:val="16"/>
        </w:rPr>
        <w:softHyphen/>
        <w:t>нию учебно-боевой работы поруча</w:t>
      </w:r>
      <w:r w:rsidRPr="00F90EAE">
        <w:rPr>
          <w:color w:val="000000" w:themeColor="text1"/>
          <w:sz w:val="16"/>
          <w:szCs w:val="16"/>
        </w:rPr>
        <w:softHyphen/>
        <w:t>лось одному из офицеров звена уп</w:t>
      </w:r>
      <w:r w:rsidRPr="00F90EAE">
        <w:rPr>
          <w:color w:val="000000" w:themeColor="text1"/>
          <w:sz w:val="16"/>
          <w:szCs w:val="16"/>
        </w:rPr>
        <w:softHyphen/>
        <w:t>равления в качестве дополнительной нагрузки к его прямым обязанностям или же «временно» назначался пер</w:t>
      </w:r>
      <w:r w:rsidRPr="00F90EAE">
        <w:rPr>
          <w:color w:val="000000" w:themeColor="text1"/>
          <w:sz w:val="16"/>
          <w:szCs w:val="16"/>
        </w:rPr>
        <w:softHyphen/>
        <w:t>вый более или менее подходящий офицер из другого подразделения. Вполне естественно, что ни тот, ни другой, что называется, были «не в курсе дела». Назначенный же на дол</w:t>
      </w:r>
      <w:r w:rsidRPr="00F90EAE">
        <w:rPr>
          <w:color w:val="000000" w:themeColor="text1"/>
          <w:sz w:val="16"/>
          <w:szCs w:val="16"/>
        </w:rPr>
        <w:softHyphen/>
        <w:t>жность боевой офицер с большим опытом войны, как никто другой по</w:t>
      </w:r>
      <w:r w:rsidRPr="00F90EAE">
        <w:rPr>
          <w:color w:val="000000" w:themeColor="text1"/>
          <w:sz w:val="16"/>
          <w:szCs w:val="16"/>
        </w:rPr>
        <w:softHyphen/>
        <w:t>нимающий, что нужно на войне, по указанным выше причинам в течение двух-трех месяцев пробивал себе от</w:t>
      </w:r>
      <w:r w:rsidRPr="00F90EAE">
        <w:rPr>
          <w:color w:val="000000" w:themeColor="text1"/>
          <w:sz w:val="16"/>
          <w:szCs w:val="16"/>
        </w:rPr>
        <w:softHyphen/>
        <w:t>правку на фронт. Считалось, что на фронте он нужнее. И все возвраща</w:t>
      </w:r>
      <w:r w:rsidRPr="00F90EAE">
        <w:rPr>
          <w:color w:val="000000" w:themeColor="text1"/>
          <w:sz w:val="16"/>
          <w:szCs w:val="16"/>
        </w:rPr>
        <w:softHyphen/>
        <w:t>лось «на круги своя». В результате ча</w:t>
      </w:r>
      <w:r w:rsidRPr="00F90EAE">
        <w:rPr>
          <w:color w:val="000000" w:themeColor="text1"/>
          <w:sz w:val="16"/>
          <w:szCs w:val="16"/>
        </w:rPr>
        <w:softHyphen/>
        <w:t>стой ротации кадров организация учебно-боевой работы в запасных полках всегда «хромала на обе ноги» (11132).</w:t>
      </w:r>
    </w:p>
    <w:p w14:paraId="484C51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D28A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1945 с целью лучшего освоения са</w:t>
      </w:r>
      <w:r w:rsidRPr="00F90EAE">
        <w:rPr>
          <w:color w:val="000000" w:themeColor="text1"/>
          <w:sz w:val="16"/>
          <w:szCs w:val="16"/>
        </w:rPr>
        <w:softHyphen/>
        <w:t>молета Ил-10 силами 1-й заб была закончена опытная отра</w:t>
      </w:r>
      <w:r w:rsidRPr="00F90EAE">
        <w:rPr>
          <w:color w:val="000000" w:themeColor="text1"/>
          <w:sz w:val="16"/>
          <w:szCs w:val="16"/>
        </w:rPr>
        <w:softHyphen/>
        <w:t>ботка боевого применения Ил-10, по результатам которой подготовле</w:t>
      </w:r>
      <w:r w:rsidRPr="00F90EAE">
        <w:rPr>
          <w:color w:val="000000" w:themeColor="text1"/>
          <w:sz w:val="16"/>
          <w:szCs w:val="16"/>
        </w:rPr>
        <w:softHyphen/>
        <w:t>ны методические указания и разос</w:t>
      </w:r>
      <w:r w:rsidRPr="00F90EAE">
        <w:rPr>
          <w:color w:val="000000" w:themeColor="text1"/>
          <w:sz w:val="16"/>
          <w:szCs w:val="16"/>
        </w:rPr>
        <w:softHyphen/>
        <w:t>ланы в части. Кроме этого, были про-ведены методические совещания штурманов полков и помощников командиров полков по воздушно-стрелковой службе по обобщению опыта бомбометания и воздушной стрельбы с Ил-10 и методике обу</w:t>
      </w:r>
      <w:r w:rsidRPr="00F90EAE">
        <w:rPr>
          <w:color w:val="000000" w:themeColor="text1"/>
          <w:sz w:val="16"/>
          <w:szCs w:val="16"/>
        </w:rPr>
        <w:softHyphen/>
        <w:t>чения летного состава боевому при</w:t>
      </w:r>
      <w:r w:rsidRPr="00F90EAE">
        <w:rPr>
          <w:color w:val="000000" w:themeColor="text1"/>
          <w:sz w:val="16"/>
          <w:szCs w:val="16"/>
        </w:rPr>
        <w:softHyphen/>
        <w:t>менению на «десятке».</w:t>
      </w:r>
    </w:p>
    <w:p w14:paraId="521C27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Реально в феврале на самолете Ил-10 удалось переучить только один маршевый авиаполк - 571-й штурмовой авиаполк подполковника М. И. Безуха. Согласно Акту готовно</w:t>
      </w:r>
      <w:r w:rsidRPr="00F90EAE">
        <w:rPr>
          <w:color w:val="000000" w:themeColor="text1"/>
          <w:sz w:val="16"/>
          <w:szCs w:val="16"/>
        </w:rPr>
        <w:softHyphen/>
        <w:t>сти полка к убытию на фронт от 28 февраля 1945 г. полк имел в своем составе 42 летчика, прошедших про</w:t>
      </w:r>
      <w:r w:rsidRPr="00F90EAE">
        <w:rPr>
          <w:color w:val="000000" w:themeColor="text1"/>
          <w:sz w:val="16"/>
          <w:szCs w:val="16"/>
        </w:rPr>
        <w:softHyphen/>
        <w:t>грамму переучивания на Ил-10. Из этого числа 38 летчиков имели бое</w:t>
      </w:r>
      <w:r w:rsidRPr="00F90EAE">
        <w:rPr>
          <w:color w:val="000000" w:themeColor="text1"/>
          <w:sz w:val="16"/>
          <w:szCs w:val="16"/>
        </w:rPr>
        <w:softHyphen/>
        <w:t>вой опыт на самолете Ил-2. В ходе переучивания полк получил из 5-го зал на пополнение двух летчиков, переучившихся на самолете Ил-10. Налет на одного летчика полка на Ил-10 составил 3 ч 7 мин (17 поса</w:t>
      </w:r>
      <w:r w:rsidRPr="00F90EAE">
        <w:rPr>
          <w:color w:val="000000" w:themeColor="text1"/>
          <w:sz w:val="16"/>
          <w:szCs w:val="16"/>
        </w:rPr>
        <w:softHyphen/>
        <w:t>док), в том числе 2 ч 44 мин (13 поса</w:t>
      </w:r>
      <w:r w:rsidRPr="00F90EAE">
        <w:rPr>
          <w:color w:val="000000" w:themeColor="text1"/>
          <w:sz w:val="16"/>
          <w:szCs w:val="16"/>
        </w:rPr>
        <w:softHyphen/>
        <w:t>док) на боевое применение.</w:t>
      </w:r>
    </w:p>
    <w:p w14:paraId="1D2B5A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Следующим авиаполком, достиг</w:t>
      </w:r>
      <w:r w:rsidRPr="00F90EAE">
        <w:rPr>
          <w:color w:val="000000" w:themeColor="text1"/>
          <w:sz w:val="16"/>
          <w:szCs w:val="16"/>
        </w:rPr>
        <w:softHyphen/>
        <w:t>нувшим готовности на Ил-10, стал 118-й гвардейский шап п-п-ка Ве-рещинского. Согласно Акту готов</w:t>
      </w:r>
      <w:r w:rsidRPr="00F90EAE">
        <w:rPr>
          <w:color w:val="000000" w:themeColor="text1"/>
          <w:sz w:val="16"/>
          <w:szCs w:val="16"/>
        </w:rPr>
        <w:softHyphen/>
        <w:t>ности к убытию на фронт полк 2 мар</w:t>
      </w:r>
      <w:r w:rsidRPr="00F90EAE">
        <w:rPr>
          <w:color w:val="000000" w:themeColor="text1"/>
          <w:sz w:val="16"/>
          <w:szCs w:val="16"/>
        </w:rPr>
        <w:softHyphen/>
        <w:t>та полностью закончил программу переучивания на самолете Ил-10 в составе 44 экипажей. Полк получил из 12-го зал 9 летчиков пополне</w:t>
      </w:r>
      <w:r w:rsidRPr="00F90EAE">
        <w:rPr>
          <w:color w:val="000000" w:themeColor="text1"/>
          <w:sz w:val="16"/>
          <w:szCs w:val="16"/>
        </w:rPr>
        <w:softHyphen/>
        <w:t>ния, прошедших переучивание на Ил-10. Каждый летчик выполнил на самолете Ил-10 три полета по маршруту, по одному полету на бомбометание и стрельбу по назем</w:t>
      </w:r>
      <w:r w:rsidRPr="00F90EAE">
        <w:rPr>
          <w:color w:val="000000" w:themeColor="text1"/>
          <w:sz w:val="16"/>
          <w:szCs w:val="16"/>
        </w:rPr>
        <w:softHyphen/>
        <w:t>ной цели, 2-4 полета на групповую слетанность и два полета на при</w:t>
      </w:r>
      <w:r w:rsidRPr="00F90EAE">
        <w:rPr>
          <w:color w:val="000000" w:themeColor="text1"/>
          <w:sz w:val="16"/>
          <w:szCs w:val="16"/>
        </w:rPr>
        <w:softHyphen/>
        <w:t>менение РПК-10. Средний налет на Ил-10 составил 3 ч 35 мин.</w:t>
      </w:r>
    </w:p>
    <w:p w14:paraId="233949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Получение полками недостаю</w:t>
      </w:r>
      <w:r w:rsidRPr="00F90EAE">
        <w:rPr>
          <w:color w:val="000000" w:themeColor="text1"/>
          <w:sz w:val="16"/>
          <w:szCs w:val="16"/>
        </w:rPr>
        <w:softHyphen/>
        <w:t>щей до полного штата матчасти за</w:t>
      </w:r>
      <w:r w:rsidRPr="00F90EAE">
        <w:rPr>
          <w:color w:val="000000" w:themeColor="text1"/>
          <w:sz w:val="16"/>
          <w:szCs w:val="16"/>
        </w:rPr>
        <w:softHyphen/>
        <w:t>тянулось до середины марта. В ре</w:t>
      </w:r>
      <w:r w:rsidRPr="00F90EAE">
        <w:rPr>
          <w:color w:val="000000" w:themeColor="text1"/>
          <w:sz w:val="16"/>
          <w:szCs w:val="16"/>
        </w:rPr>
        <w:softHyphen/>
        <w:t>зультате оба полка убыли на фронт одновременно двумя группами: 19 марта на Ил-10 вылетели 42 экипа</w:t>
      </w:r>
      <w:r w:rsidRPr="00F90EAE">
        <w:rPr>
          <w:color w:val="000000" w:themeColor="text1"/>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67D183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BA36F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над Германией и на западном направлении было сбито 533 немецких истребителя, а на восточном - 446. В марте соответственно - 567 и 431 (3573).</w:t>
      </w:r>
    </w:p>
    <w:p w14:paraId="77F98D3D" w14:textId="77777777" w:rsidR="00665165" w:rsidRPr="00F90EAE" w:rsidRDefault="00665165" w:rsidP="00F90EAE">
      <w:pPr>
        <w:autoSpaceDE w:val="0"/>
        <w:autoSpaceDN w:val="0"/>
        <w:adjustRightInd w:val="0"/>
        <w:jc w:val="both"/>
        <w:rPr>
          <w:color w:val="000000" w:themeColor="text1"/>
          <w:sz w:val="16"/>
          <w:szCs w:val="16"/>
        </w:rPr>
      </w:pPr>
    </w:p>
    <w:p w14:paraId="3BAC5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польские Ил-2 приняли участие в боях в Померании (Поморье) и атаковали цели в Chojnice, Szczecinek, Barwice, Zlocienice, Czaplinek Kamienice, а затем переместились в районы Pila и Poznan (241,37).</w:t>
      </w:r>
    </w:p>
    <w:p w14:paraId="5D27DA4F" w14:textId="77777777" w:rsidR="00665165" w:rsidRPr="00F90EAE" w:rsidRDefault="00665165" w:rsidP="00F90EAE">
      <w:pPr>
        <w:autoSpaceDE w:val="0"/>
        <w:autoSpaceDN w:val="0"/>
        <w:adjustRightInd w:val="0"/>
        <w:jc w:val="both"/>
        <w:rPr>
          <w:color w:val="000000" w:themeColor="text1"/>
          <w:sz w:val="16"/>
          <w:szCs w:val="16"/>
        </w:rPr>
      </w:pPr>
    </w:p>
    <w:p w14:paraId="5CEEED1A" w14:textId="77777777" w:rsidR="005903DB" w:rsidRPr="00F90EAE" w:rsidRDefault="005903DB" w:rsidP="00F90EAE">
      <w:pPr>
        <w:jc w:val="both"/>
        <w:rPr>
          <w:color w:val="000000" w:themeColor="text1"/>
          <w:sz w:val="16"/>
          <w:szCs w:val="16"/>
        </w:rPr>
      </w:pPr>
      <w:r w:rsidRPr="00F90EAE">
        <w:rPr>
          <w:color w:val="000000" w:themeColor="text1"/>
          <w:sz w:val="16"/>
          <w:szCs w:val="16"/>
        </w:rPr>
        <w:t xml:space="preserve">В феврале 1945 года бывший польский бронепоезд </w:t>
      </w:r>
      <w:r w:rsidRPr="00F90EAE">
        <w:rPr>
          <w:color w:val="000000" w:themeColor="text1"/>
          <w:sz w:val="16"/>
          <w:szCs w:val="16"/>
          <w:lang w:val="en-US"/>
        </w:rPr>
        <w:t>PanzerZug</w:t>
      </w:r>
      <w:r w:rsidRPr="00F90EAE">
        <w:rPr>
          <w:color w:val="000000" w:themeColor="text1"/>
          <w:sz w:val="16"/>
          <w:szCs w:val="16"/>
        </w:rPr>
        <w:t xml:space="preserve"> №22 – был уничтожен советскими штурмовиками в польской Шпротаве (15218).</w:t>
      </w:r>
    </w:p>
    <w:p w14:paraId="550AE792" w14:textId="77777777" w:rsidR="005903DB" w:rsidRPr="00F90EAE" w:rsidRDefault="005903DB" w:rsidP="00F90EAE">
      <w:pPr>
        <w:jc w:val="both"/>
        <w:rPr>
          <w:color w:val="000000" w:themeColor="text1"/>
          <w:sz w:val="16"/>
          <w:szCs w:val="16"/>
        </w:rPr>
      </w:pPr>
    </w:p>
    <w:p w14:paraId="1E629F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года в Советский Союз перелетели последние машины из Ирана - три P-47D - (3457,57).</w:t>
      </w:r>
    </w:p>
    <w:p w14:paraId="4899A4E3" w14:textId="77777777" w:rsidR="00665165" w:rsidRPr="00F90EAE" w:rsidRDefault="00665165" w:rsidP="00F90EAE">
      <w:pPr>
        <w:autoSpaceDE w:val="0"/>
        <w:autoSpaceDN w:val="0"/>
        <w:adjustRightInd w:val="0"/>
        <w:jc w:val="both"/>
        <w:rPr>
          <w:color w:val="000000" w:themeColor="text1"/>
          <w:sz w:val="16"/>
          <w:szCs w:val="16"/>
        </w:rPr>
      </w:pPr>
    </w:p>
    <w:p w14:paraId="49576664" w14:textId="77777777" w:rsidR="00327D90" w:rsidRPr="00F90EAE" w:rsidRDefault="00327D90"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8FFE092" w14:textId="77777777" w:rsidR="00327D90" w:rsidRPr="00F90EAE" w:rsidRDefault="00327D90" w:rsidP="00F90EAE">
      <w:pPr>
        <w:autoSpaceDE w:val="0"/>
        <w:autoSpaceDN w:val="0"/>
        <w:adjustRightInd w:val="0"/>
        <w:jc w:val="both"/>
        <w:rPr>
          <w:iCs/>
          <w:color w:val="000000" w:themeColor="text1"/>
          <w:sz w:val="16"/>
          <w:szCs w:val="16"/>
        </w:rPr>
      </w:pPr>
    </w:p>
    <w:p w14:paraId="4B571D80" w14:textId="77777777" w:rsidR="00327D90" w:rsidRPr="00F90EAE" w:rsidRDefault="00327D90" w:rsidP="00F90EAE">
      <w:pPr>
        <w:pStyle w:val="rtejustify"/>
        <w:shd w:val="clear" w:color="auto" w:fill="FFFFFF"/>
        <w:spacing w:before="0" w:after="0"/>
        <w:rPr>
          <w:color w:val="000000" w:themeColor="text1"/>
          <w:sz w:val="16"/>
          <w:szCs w:val="16"/>
        </w:rPr>
      </w:pPr>
      <w:r w:rsidRPr="00F90EAE">
        <w:rPr>
          <w:color w:val="000000" w:themeColor="text1"/>
          <w:sz w:val="16"/>
          <w:szCs w:val="16"/>
        </w:rPr>
        <w:t>С  февраля 1945 г. в целях предотвращения терактов и диверсий в тылу продвигавшейся Советской Армии по приказу И.В. Сталина было интернировано 208 239 человек, «годных к физическому труду и способных носить оружие», а также 61 573 арестованных функционеров низовых нацистских партийных и административных органов. В плен попало 200 тыс. бывших советских граждан, служивших на стороне Германии, а также 14 100 выявленных военных преступников (19847).</w:t>
      </w:r>
    </w:p>
    <w:p w14:paraId="681396E2" w14:textId="77777777" w:rsidR="00327D90" w:rsidRPr="00F90EAE" w:rsidRDefault="00327D90" w:rsidP="00F90EAE">
      <w:pPr>
        <w:pStyle w:val="rtejustify"/>
        <w:shd w:val="clear" w:color="auto" w:fill="FFFFFF"/>
        <w:spacing w:before="0" w:after="0"/>
        <w:rPr>
          <w:color w:val="000000" w:themeColor="text1"/>
          <w:sz w:val="16"/>
          <w:szCs w:val="16"/>
        </w:rPr>
      </w:pPr>
    </w:p>
    <w:p w14:paraId="52903EB5" w14:textId="77777777" w:rsidR="00327D90" w:rsidRPr="00F90EAE" w:rsidRDefault="00327D90" w:rsidP="00F90EAE">
      <w:pPr>
        <w:pStyle w:val="rtejustify"/>
        <w:shd w:val="clear" w:color="auto" w:fill="FFFFFF"/>
        <w:spacing w:before="0" w:after="0"/>
        <w:rPr>
          <w:color w:val="000000" w:themeColor="text1"/>
          <w:sz w:val="16"/>
          <w:szCs w:val="16"/>
        </w:rPr>
      </w:pPr>
      <w:r w:rsidRPr="00F90EAE">
        <w:rPr>
          <w:color w:val="000000" w:themeColor="text1"/>
          <w:sz w:val="16"/>
          <w:szCs w:val="16"/>
        </w:rPr>
        <w:t xml:space="preserve">В феврале 1945 г. было создано Главное трофейное управление наркомата обороны, затем был учрежден Особый комитет при Государственном комитете обороны во главе с Г.М. Маленковым. В состав Особого комитета входили Н.А. Булганин, Н.А. Вознесенский, А.В. Хрулев, Ф.И. Вахитов, его задачи сводились к координации деятельности по демонтажу предприятий на территории Германии, занятой советскими войсками. На первом заседании Особого комитета в начале мая 1945 г. </w:t>
      </w:r>
      <w:r w:rsidRPr="00F90EAE">
        <w:rPr>
          <w:color w:val="000000" w:themeColor="text1"/>
          <w:sz w:val="16"/>
          <w:szCs w:val="16"/>
        </w:rPr>
        <w:lastRenderedPageBreak/>
        <w:t>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02C28118" w14:textId="77777777" w:rsidR="00327D90" w:rsidRPr="00F90EAE" w:rsidRDefault="00327D90" w:rsidP="00F90EAE">
      <w:pPr>
        <w:pStyle w:val="rtejustify"/>
        <w:shd w:val="clear" w:color="auto" w:fill="FFFFFF"/>
        <w:spacing w:before="0" w:after="0"/>
        <w:rPr>
          <w:color w:val="000000" w:themeColor="text1"/>
          <w:sz w:val="16"/>
          <w:szCs w:val="16"/>
        </w:rPr>
      </w:pPr>
    </w:p>
    <w:p w14:paraId="7ADF394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0A63908" w14:textId="77777777" w:rsidR="00665165" w:rsidRPr="00F90EAE" w:rsidRDefault="00665165" w:rsidP="00F90EAE">
      <w:pPr>
        <w:autoSpaceDE w:val="0"/>
        <w:autoSpaceDN w:val="0"/>
        <w:adjustRightInd w:val="0"/>
        <w:jc w:val="both"/>
        <w:rPr>
          <w:iCs/>
          <w:color w:val="000000" w:themeColor="text1"/>
          <w:sz w:val="16"/>
          <w:szCs w:val="16"/>
        </w:rPr>
      </w:pPr>
    </w:p>
    <w:p w14:paraId="63E6D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года заместитель резидента по линии научно-технической разведки Л. Квасников с полным правом сообщал в Центр, что агентурная сеть их резидентуры «является в основном довольно работоспособной, а по своей технической квалификации стоит на высоком уровне. Большая часть агентов работает с нами не из корыстных побуждений, а на основе дружеского отношения к нашей стране».</w:t>
      </w:r>
    </w:p>
    <w:p w14:paraId="2977ED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Поэтому, когда 24 июля 1945 года Г. Трумэн сообщил Сталину о создании в США нового оружия большой разрушительной силы и своем намерении применить его против Японии, Сталин не проявил никаких эмоций. Он уже имел необходимую информацию от советской внешней разведки.</w:t>
      </w:r>
    </w:p>
    <w:p w14:paraId="78DDEB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конечно, был большой успех отечественной разведки в США. Но несмотря на то, что Трумэн предупредил Сталина о предстоящих бомбардировках Хиросимы и Нагасаки, резидентуре не удалось получить упреждающей информации на этот счет. О бомбардировках она узнала не от своей агентуры, а из пресс-конференции генерала Д. Маршалла 7 августа 1945 года.</w:t>
      </w:r>
    </w:p>
    <w:p w14:paraId="74982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Руководитель внешней разведки генерал П. Фитин писал в рапорте на имя В. Меркулова: «Практическое применение американцами атомной бомбы… открывает новую эпоху в науке и технике и несомненно повлечет за собой быстрое развитие всей проблемы „Энормоз“… Все это ставит „Энормоз“ на ведущее место в нашей разведывательной работе и требует немедленных мероприятий по усилению технической разведки».</w:t>
      </w:r>
    </w:p>
    <w:p w14:paraId="0D6055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Начиная с 1943 года, когда только разворачивалась широкомасштабная работа научно-технической разведки по «Энормозу» и до испытания в 1945 году первой американской атомной бомбы, советская внешняя разведка получила несколько тысяч листов секретной документальной информации.</w:t>
      </w:r>
    </w:p>
    <w:p w14:paraId="43C173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Выдающийся советский ученый-атомщик И. В. Курчатов, которому направлялись добытые внешней разведкой материалы по «Энормозу», неоднократно давал им высокую оценку. Так, в заключении по материалам к препроводительной записке (№ 1/3/22500) от 25 декабря 1944 года он пишет: «Очень богатый и в разных отношениях поучительный материал. Он содержит теоретически важные указания…».</w:t>
      </w:r>
    </w:p>
    <w:p w14:paraId="6F722A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И. Курчатов, оценивая очередной материал по атомной бомбе, полученный разведкой, пишет: «Материал представляет большой интерес. В нем, наряду с разрабатываемыми нами методами и схемами, указаны возможности, которые до сих пор у нас не рассматривались».</w:t>
      </w:r>
    </w:p>
    <w:p w14:paraId="09DCA5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рукописной записке на имя министра госбезопасности В.Абакумова от 31 декабря 1946 года И. Курчатов отмечает «Материалы, с которыми меня сегодня ознакомил т. Василевский, по вопросам:</w:t>
      </w:r>
    </w:p>
    <w:p w14:paraId="70C94A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американские работы по сверх-бомбе;</w:t>
      </w:r>
    </w:p>
    <w:p w14:paraId="754A5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некоторые особенности в работе атомных котлов в Хенфорде, — по-моему, правдоподобны и представляют большой интерес для наших отечественных работ».</w:t>
      </w:r>
    </w:p>
    <w:p w14:paraId="3FD159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Внешняя разведка не только привлекла внимание руководства страны к проблеме создания на Западе атомного оружия, но и таким образом инициировала проведение подобных работ в СССР. Благодаря информации внешней разведки, </w:t>
      </w:r>
      <w:r w:rsidRPr="00F90EAE">
        <w:rPr>
          <w:iCs/>
          <w:color w:val="000000" w:themeColor="text1"/>
          <w:sz w:val="16"/>
          <w:szCs w:val="16"/>
        </w:rPr>
        <w:t>по</w:t>
      </w:r>
      <w:r w:rsidRPr="00F90EAE">
        <w:rPr>
          <w:color w:val="000000" w:themeColor="text1"/>
          <w:sz w:val="16"/>
          <w:szCs w:val="16"/>
        </w:rPr>
        <w:t xml:space="preserve"> признанию академиков А. Александрова, Ю. Харитона и других, И. Курчатов не сделал больших ошибок, ученым удалось избежать тупиковых направлений в разработке атомного оружия и создать атомную бомбу в СССР в более короткие сроки, (всего за три года), чем в США. Там на это потратили четыре года, израсходовав пять миллиардов долларов.</w:t>
      </w:r>
    </w:p>
    <w:p w14:paraId="5D642D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отметил академик Ю. Харитон в интервью газете «Известия» от 8 декабря 1992 года, первый советский атомный заряд был изготовлен по американскому образцу с помощью сведений, полученных от К. Фукса. По словам академика, когда вручались правительственные награды участникам советского атомного проекта, И. В. Сталин, удовлетворенный тем, что американской монополии в этой области не существует, заметил: «Если бы мы опоздали на один-полтора года, то, наверное, испробовали бы этот заряд на себе» (Таратута Ж. В., Зданович А. А. Таинственный шеф Мата Хари. Секретное досье КГБ № 21152. — М.: Детектив-Пресс, 2000. — 352 с.) (11765).</w:t>
      </w:r>
    </w:p>
    <w:p w14:paraId="672C3D44" w14:textId="77777777" w:rsidR="00665165" w:rsidRPr="00F90EAE" w:rsidRDefault="00665165" w:rsidP="00F90EAE">
      <w:pPr>
        <w:autoSpaceDE w:val="0"/>
        <w:autoSpaceDN w:val="0"/>
        <w:adjustRightInd w:val="0"/>
        <w:jc w:val="both"/>
        <w:rPr>
          <w:iCs/>
          <w:color w:val="000000" w:themeColor="text1"/>
          <w:sz w:val="16"/>
          <w:szCs w:val="16"/>
        </w:rPr>
      </w:pPr>
    </w:p>
    <w:p w14:paraId="273751AA"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феврале 1945 г. доктора исторических наук В.Д. Бонч-Бруевич, который с начала века работал в зарубежных архивах, а в 1931 г. был назначен директором Литературного музея, подготовил записка Бонч-Бруевича Сталину. В записке излагалась программа полной экспроприации русского и славянского из всех музеев и архивов европейских стран.</w:t>
      </w:r>
    </w:p>
    <w:p w14:paraId="1044B92F"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«Я полагаю, что именно теперь наступило время, когда возможно будет эти архивы целиком и полностью изъять из-за границы и приобщить к нашим советским фондам для тщательного изучения их и, главное, для хорошего издания в научной обработке.</w:t>
      </w:r>
    </w:p>
    <w:p w14:paraId="3780EC0F"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Все эти архивы и музеи надо разделить на два разряда:</w:t>
      </w:r>
    </w:p>
    <w:p w14:paraId="67ECC6D3"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1. Находящиеся в странах агрессора и его сателлитов, т.е. в Германии, в Австрии, в Румынии, в Венгрии, в Финляндии, в Италии и в Болгарии.</w:t>
      </w:r>
    </w:p>
    <w:p w14:paraId="01948285"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Я полагаю, что из этих стран эти архивы должны быть изъяты целиком и полностью: русские рукописи, документы, эпистолярии, портреты, гравюры, картины, ценные редкие книги из библиотек, вещественные предметы и пр. и т.п., а также все славянские рукописи.</w:t>
      </w:r>
    </w:p>
    <w:p w14:paraId="395FD114"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Главным образом, из Германии должно быть изъято все русское, все славянское, без остатка.</w:t>
      </w:r>
    </w:p>
    <w:p w14:paraId="2BE4BEEA"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Надо иметь в виду, что, например, в Королевской библиотеке в Берлине, в ее рукописном отделении, где я занимался, хранится огромное количество и русских и славянских рукописей. Я изучал там рукописный каталог этого отделения: он огромен. Это книга в переплете, форматом в писчий лист и толщиной в два вершка, где были только кратко записаны названия русских и славянских рукописных материалов. Там, между прочим, имелись подлинные рукописи А.С. Пушкина, проданные туда в былое время петербургскими немцами. Все в каталоге перечисленное очень ценно и крайне важно для нашей науки. Русско-славянский раздел имеется почти в каждой фундаментальной и в университетской библиотеках по всей Германии. В Мюнхене была собрана великолепная коллекция рукописей по истории Византии, имеющая непосредственный интерес и связь с древней историей России. Находились русские и славянские рукописи в Лейпциге, в Гейдельберге, в Дрездене, в Кенигсберге, в Гамбурге и во многих других городах.</w:t>
      </w:r>
    </w:p>
    <w:p w14:paraId="017CE35D"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2. В Румынии должны быть отысканы архивы русской южной армии (Щербачева), которые он увел туда во время Октябрьской революции с южного фронта. В Бухаресте были частные архивы старых русских эмигрантов. Некоторые из них мне удалось до войны извлечь оттуда через наше посольство. Но многое там еще осталось. Целый ряд подобных архивов, за смертью, наследниками были сданы в основную Бухарестскую библиотеку.</w:t>
      </w:r>
    </w:p>
    <w:p w14:paraId="2F2B1DC9"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Вене в Королевской библиотеке были большие собрания славянских рукописей.</w:t>
      </w:r>
    </w:p>
    <w:p w14:paraId="242267F0"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Из Болгарии, через покойного т. Бакалова, мне удалось получить часть архивов русских старых эмигрантов и болгар социал-демократов и коммунистов, находившихся в былое время в оживленной переписке с Г.В. Плехановым, В.И. Засулич, П.Б. Аксельродом и др. Но многое, очень многое там осталось, и в том числе в Софии весь богатейший архив Драгомарова, в котором находилась главнейшая часть архива А.И. Герцена, Огарева, Бакунина и др. архив "Колокола". Отчасти он сам издал — очень плохо и искаженно — эти материалы в восьмидесятых годах в Женеве, но это — незначительная частица. Весь этот архив находился под наблюдением зятя Драгомарова, Шиханова, крайнего черносотенца, ненавистника советской России. Самый же архив находился в последнее время до войны в Софийской библиотеке. Там же сохранились материалы по Л.Н. Толстому и др.</w:t>
      </w:r>
    </w:p>
    <w:p w14:paraId="56FA1ED7"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Италии надо во что бы то ни стало отыскать и спасти архив кн. Волконской — бабушка ее современница А.С. Пушкина, имевшая знаменитый литературный салон. В этом изумительном архиве много рукописей Пушкина, его современников, Лермонтова и др. Я совершенно сторговал его до войны (в 1939 г.), но мне отказали в деньгах. В Риме в Королевской библиотеке много русских и славянских рукописей. И еще больше в Ватикане — как бы хорошо было бы, если бы удалось извлечь оттуда весь русский и славянский отделы — это непревзойденное богатство исторических документов. Небольшую часть оттуда опубликовал профес. Шмурло, напечатав несколько томов своих исследований в Праге. Эти книги, к сожалению, у нас до сих пор не переизданы, но опубликованное им является каплей в море, хотя и очень драгоценной.</w:t>
      </w:r>
    </w:p>
    <w:p w14:paraId="547E0C96"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Финляндии. Большой отдел славянских рукописей находится при гельсингфорской университетской библиотеке. Фонд этот должен знать, если он жив, Смирнов — сотрудник НКИД. Он в Финляндии в годы старой эмиграции был библиотекарем русского отдела в этой библиотеке.</w:t>
      </w:r>
    </w:p>
    <w:p w14:paraId="02B5BD00"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Во всех этих странах надо разыскивать выкраденные из нашего государственного центрального архива ГАУ (ранее он назывался ЦАУ): подлинники огромной переписки императрицы Александры Федоровны; архив Учредительного Собрания (у нас остались несчастные крохи); часть архива первых лет ВЦИКа; некоторые документы Совнаркома, например, архив 75-й комнаты, сданный мной по распоряжению Владимира Ильича в Наркомюст, а оттуда в ЦАУ, — весь исчез.</w:t>
      </w:r>
    </w:p>
    <w:p w14:paraId="112048B3"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Полное невежество, отвратительное хранение, разгильдяйство, при внешнем виде кажущейся дисциплины в этом учреждении, — дало возможность ловким жуликам-белогвардейцам многое оттуда повыкрасть. Часть этих выкраденных документов была опубликована за границей (например, 4 тома переписки Александры Федоровны), а многое где-то хранится. Надо искать по преимуществу в Германии. Необходимо также из Германии вернуть все документы империалистической войны, которые так ловко сосватал им вредитель Крестинский, якобы для издания на русском языке и которые почти не издавались и остались в распоряжении "Исторической комиссии немецкого генерального штаба". В Германию, несомненно, вывезены многие архивы от нас, из бывших, оккупированных местностей, из Польши, из Чехии и др. стран. Все это надо отыскать во что бы то ни стало и возвратить нам.</w:t>
      </w:r>
    </w:p>
    <w:p w14:paraId="1E91A824"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 xml:space="preserve">Я не буду утруждать Вас многочисленными сведениями громадного числа архивов с русскими и славянскими документами, находящимися в Чехословакии, во Франции, в Норвегии, в Дании (Петр 1-й), в Бельгии, в Голландии (Петр 1-й и Пушкин), в Польше, в Сербии, где можно было бы заполучить эти документы в другом, дружественном порядке, а у частных лиц скупить дешево чрезвычайно ценные архивы. Например, в Париже архив И.С. Тургенева находится у наследников Виардо, где были подлинники и черновые рукописи большинства произведений Тургенева, где 2500 его писем к Виардо и другим лицам, никогда не опубликованных и пр. </w:t>
      </w:r>
      <w:r w:rsidRPr="00F90EAE">
        <w:rPr>
          <w:color w:val="000000" w:themeColor="text1"/>
          <w:sz w:val="16"/>
          <w:szCs w:val="16"/>
        </w:rPr>
        <w:lastRenderedPageBreak/>
        <w:t>Этот архив мною изучен. Я его, в бытность мою директором Гослитмузея, совсем приторговал, но тогда, к сожалению, все это дело разошлось с наследниками Виардо в 25 тысяч фунтов, которые не хотели накинуть наши представители из полпредства. Ужасно будет жаль, если все это теперь погибло.</w:t>
      </w:r>
    </w:p>
    <w:p w14:paraId="54EC1E88"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Во Франции есть и другие очень нужные русские архивы. В свое время я вывез оттуда много ценных материалов, например, архив первого русского гагелианца Сухово-Кобылина, трудами которого весьма интересовался Владимир Ильич.</w:t>
      </w:r>
    </w:p>
    <w:p w14:paraId="015C1CC1"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Польше, в главном архиве, находился весь фонд Раперсвильского польского музея, который ранее, в годы старой эмиграции, был в Швейцарии на Цюрихском озере и в г. Раперсвиль. В этом фонде было множество русских документов. Там же находилась вторая часть Герценского архива, хранившаяся при его жизни в Париже у графини Салиас-де-Турнемид. Именно она-то, после смерти Герцена, передала полякам этот архив Герцена на хранение. Это был как бы конспиративный архив Герцена. Там переписка Герцена, его жены, Огарева, Бакунина, Сатиных и др. Я заснял оттуда тысячи 1,5—2 фотографий, но далеко не все. Очень желательно получить его весь к нам в подлинниках. Немцы могли все это вывезти, почему и надо отыскивать в Германии.</w:t>
      </w:r>
    </w:p>
    <w:p w14:paraId="45C7C751"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Не могу не упомянуть, что в Чехии, где нами обследовано было 57 музеев и архивов, обнаружено огромное число русских рукописей, в том числе неопубликованная рукопись Н.В. Гоголя. Большая часть этих частных архивов принадлежит немцам, давно жившим в Чехословакии, наследникам феодалов, имевшим огромные исторические архивы, среди которых мы обнаружили редчайшие документы эпохи Бориса Годунова, Петра 1-го и первой отечественной войны. Архивы эти хранились в замках, в очень хорошем порядке, в которые мы все-таки проникли, изучили их, и даже кое-что засняли из этих фондов. Эти фото находились у меня в Гослитмузее.</w:t>
      </w:r>
    </w:p>
    <w:p w14:paraId="1C3658E7"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Кроме того, в Праге в библиотеке "Клементинум" (на 3-м ее этаже) помещался до войны белоэмигрантский огромный архив, в котором собраны были богатейшие ценности по истории и литературе XIX века. Этот архив находится при чешском министерстве иностранных дел и содержался на деньги, которые широко отпускал им Бенеш. Я как-то до войны говорил с Бенешем на приеме в ВОКСе об этом архиве, и тогда он обещал мне все представить в копиях. Кое-что я успел оттуда выхватить, но огромное большинство осталось там. Если это уцелело, Бенеш должен все это теперь нам подарить. Кроме того, мы должны извлечь из чешского архива и музея, посвященного пребыванию в России и походу через Сибирь в 1918—1919 гг., много ценных документов по истории этого похода и чешской интервенции того времени вообще, а также и все наши знамена, которые чехам удалось тогда, начиная с Пензы, у нас захватить. Мне больно было смотреть на это пленение.</w:t>
      </w:r>
    </w:p>
    <w:p w14:paraId="6BFD5920"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самой библиотеке "Клементинум", в рукописном ее фонде, хранятся подлинных 36 писем Л.Н. Толстого и есть другие русские рукописи. Письма Толстого я фотографировал.</w:t>
      </w:r>
    </w:p>
    <w:p w14:paraId="71511E34"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"Национальной чешской библиотеке" (в Праге) находится подлинник стихотворения А.С. Пушкина "О, Делия, драгая...", подаренная туда академиком Гротом».</w:t>
      </w:r>
    </w:p>
    <w:p w14:paraId="50009B37" w14:textId="77777777" w:rsidR="005903DB" w:rsidRPr="00F90EAE" w:rsidRDefault="005903DB" w:rsidP="00F90EAE">
      <w:pPr>
        <w:pStyle w:val="book"/>
        <w:ind w:firstLine="0"/>
        <w:jc w:val="both"/>
        <w:rPr>
          <w:color w:val="000000" w:themeColor="text1"/>
          <w:sz w:val="16"/>
          <w:szCs w:val="16"/>
        </w:rPr>
      </w:pPr>
      <w:r w:rsidRPr="00F90EAE">
        <w:rPr>
          <w:color w:val="000000" w:themeColor="text1"/>
          <w:sz w:val="16"/>
          <w:szCs w:val="16"/>
        </w:rPr>
        <w:t>В странах "второй группы", кроме "извлечения" и "изъятия", Бонч-Бруевич допускал "заполучение" путем дешевой покупки (15225).</w:t>
      </w:r>
    </w:p>
    <w:p w14:paraId="424F5D3B" w14:textId="77777777" w:rsidR="005903DB" w:rsidRPr="00F90EAE" w:rsidRDefault="005903DB" w:rsidP="00F90EAE">
      <w:pPr>
        <w:pStyle w:val="book"/>
        <w:ind w:firstLine="0"/>
        <w:jc w:val="both"/>
        <w:rPr>
          <w:color w:val="000000" w:themeColor="text1"/>
          <w:sz w:val="16"/>
          <w:szCs w:val="16"/>
        </w:rPr>
      </w:pPr>
    </w:p>
    <w:p w14:paraId="79B8688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28E5FC1" w14:textId="77777777" w:rsidR="00665165" w:rsidRPr="00F90EAE" w:rsidRDefault="00665165" w:rsidP="00F90EAE">
      <w:pPr>
        <w:autoSpaceDE w:val="0"/>
        <w:autoSpaceDN w:val="0"/>
        <w:adjustRightInd w:val="0"/>
        <w:jc w:val="both"/>
        <w:rPr>
          <w:iCs/>
          <w:color w:val="000000" w:themeColor="text1"/>
          <w:sz w:val="16"/>
          <w:szCs w:val="16"/>
        </w:rPr>
      </w:pPr>
    </w:p>
    <w:p w14:paraId="779854A1"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rPr>
      </w:pPr>
      <w:r w:rsidRPr="00F90EAE">
        <w:rPr>
          <w:rFonts w:ascii="Times New Roman" w:hAnsi="Times New Roman" w:cs="Times New Roman"/>
          <w:color w:val="0070C0"/>
          <w:sz w:val="16"/>
          <w:szCs w:val="16"/>
        </w:rPr>
        <w:t>В феврале 1945 года состоялась презентация самолета представителям ВВС. Военным новая машина понравилась, и поступил заказ на 25 предсерийных образцов YP-84А и 75 серийных P-84A. Немного позднее количество заказанных серийных самолетов увеличили на 10 машин, уменьшив количество предсерийных. После проведения наземных испытаний нового самолета опытный образец с заводским номером 45-59475 погрузили в транспортный самолет С-97 и перевезли на авиационную базу Мюрок в Калифорнии. Там в первые послевоенные годы в обстановке строгой секретности проходили испытания всех американских первых реактивных самолетов (Р-59 Airacomet и Р-80 Shooting Star). В последний день февраля 1946 года Thunderjet впервые поднялся в воздух. В кабине истребителя находился летчик-испытатель майор Уоллак Лэйн. Для ускорения выполнения программы летных испытаний в августе 1946 года в Мюрок прибывает второй XP-84. На обоих машинах устанавливался двигатель фирмы Дженерал Электрик J35-GE-7 c максимальной тягой 1700 кг. 7 сентября на втором самолете устанавливают рекорд скорости для США — 977,6 км/ч, в то время мировой рекорд принадлежал английскому Meteor, который разогнался до 985,7 км/ч</w:t>
      </w:r>
      <w:r w:rsidRPr="00F90EAE">
        <w:rPr>
          <w:rFonts w:ascii="Times New Roman" w:hAnsi="Times New Roman" w:cs="Times New Roman"/>
          <w:color w:val="0070C0"/>
          <w:sz w:val="16"/>
          <w:szCs w:val="16"/>
          <w:lang w:val="ru-RU"/>
        </w:rPr>
        <w:t xml:space="preserve"> (22849)</w:t>
      </w:r>
      <w:r w:rsidRPr="00F90EAE">
        <w:rPr>
          <w:rFonts w:ascii="Times New Roman" w:hAnsi="Times New Roman" w:cs="Times New Roman"/>
          <w:color w:val="0070C0"/>
          <w:sz w:val="16"/>
          <w:szCs w:val="16"/>
        </w:rPr>
        <w:t>.</w:t>
      </w:r>
    </w:p>
    <w:p w14:paraId="29F3AECF"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rPr>
      </w:pPr>
    </w:p>
    <w:p w14:paraId="0485FAAB"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rPr>
      </w:pPr>
      <w:r w:rsidRPr="00F90EAE">
        <w:rPr>
          <w:rFonts w:ascii="Times New Roman" w:hAnsi="Times New Roman" w:cs="Times New Roman"/>
          <w:color w:val="0070C0"/>
          <w:sz w:val="16"/>
          <w:szCs w:val="16"/>
          <w:lang w:val="ru-RU"/>
        </w:rPr>
        <w:t>В</w:t>
      </w:r>
      <w:r w:rsidRPr="00F90EAE">
        <w:rPr>
          <w:rFonts w:ascii="Times New Roman" w:hAnsi="Times New Roman" w:cs="Times New Roman"/>
          <w:color w:val="0070C0"/>
          <w:sz w:val="16"/>
          <w:szCs w:val="16"/>
        </w:rPr>
        <w:t xml:space="preserve"> феврале 1945 г. завод «Белл» в Атланте сдал </w:t>
      </w:r>
      <w:r w:rsidRPr="00F90EAE">
        <w:rPr>
          <w:rFonts w:ascii="Times New Roman" w:hAnsi="Times New Roman" w:cs="Times New Roman"/>
          <w:color w:val="0070C0"/>
          <w:sz w:val="16"/>
          <w:szCs w:val="16"/>
          <w:lang w:val="ru-RU"/>
        </w:rPr>
        <w:t>п</w:t>
      </w:r>
      <w:r w:rsidRPr="00F90EAE">
        <w:rPr>
          <w:rFonts w:ascii="Times New Roman" w:hAnsi="Times New Roman" w:cs="Times New Roman"/>
          <w:color w:val="0070C0"/>
          <w:sz w:val="16"/>
          <w:szCs w:val="16"/>
        </w:rPr>
        <w:t>ервый B-29B С него сняли всю броню, верхние и нижние огневые точки, оставив только спаренную кормовою с тремя крупнокалиберными пулеметами и радиолокационным прицелом AN/APG-15 (на части самолетов там ставили еще и подвижный прожектор). «Пошли за борт» противообледенители крыла и оперения, фотоаппарат для перспективной съемки, койки для отдыха экипажа, ремни безопасности на резервных рабочих местах, столик штурмана-бомбардира, оптический измеритель сноса, ящик для схем бортовых электросетей и многое другое. Вместо панорамной РЛС AN/APQ-13 с вращающейся параболической антенной применили упрощенную AN/APQ-7 с неподвижной дипольной антенной с полем зрения 60°. Первые В-29В были сданы заводом без части вооружения и оборудования, и вместо строевых частей пошли на рембазу в Оклахома-Сити, где ожидали комплектации. Лишь к 1 апреля 1945 г. первые две авиагруппы ВВС США освоили В 29В и были готовы к отправке в зону боевых действий, где «сверхкрепости» уже давно и активно применялись</w:t>
      </w:r>
      <w:r w:rsidRPr="00F90EAE">
        <w:rPr>
          <w:rFonts w:ascii="Times New Roman" w:hAnsi="Times New Roman" w:cs="Times New Roman"/>
          <w:color w:val="0070C0"/>
          <w:sz w:val="16"/>
          <w:szCs w:val="16"/>
          <w:lang w:val="ru-RU"/>
        </w:rPr>
        <w:t xml:space="preserve"> (23005)</w:t>
      </w:r>
      <w:r w:rsidRPr="00F90EAE">
        <w:rPr>
          <w:rFonts w:ascii="Times New Roman" w:hAnsi="Times New Roman" w:cs="Times New Roman"/>
          <w:color w:val="0070C0"/>
          <w:sz w:val="16"/>
          <w:szCs w:val="16"/>
        </w:rPr>
        <w:t>.</w:t>
      </w:r>
    </w:p>
    <w:p w14:paraId="22EE1FD4"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rPr>
      </w:pPr>
    </w:p>
    <w:p w14:paraId="2447DA37"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В</w:t>
      </w:r>
      <w:r w:rsidRPr="00F90EAE">
        <w:rPr>
          <w:rFonts w:ascii="Times New Roman" w:hAnsi="Times New Roman" w:cs="Times New Roman"/>
          <w:color w:val="0070C0"/>
          <w:sz w:val="16"/>
          <w:szCs w:val="16"/>
        </w:rPr>
        <w:t xml:space="preserve"> феврале 1945 г. серийный завод «Авро» в Чаддертоне сдал </w:t>
      </w:r>
      <w:r w:rsidRPr="00F90EAE">
        <w:rPr>
          <w:rFonts w:ascii="Times New Roman" w:hAnsi="Times New Roman" w:cs="Times New Roman"/>
          <w:color w:val="0070C0"/>
          <w:sz w:val="16"/>
          <w:szCs w:val="16"/>
          <w:lang w:val="ru-RU"/>
        </w:rPr>
        <w:t>г</w:t>
      </w:r>
      <w:r w:rsidRPr="00F90EAE">
        <w:rPr>
          <w:rFonts w:ascii="Times New Roman" w:hAnsi="Times New Roman" w:cs="Times New Roman"/>
          <w:color w:val="0070C0"/>
          <w:sz w:val="16"/>
          <w:szCs w:val="16"/>
        </w:rPr>
        <w:t>оловной «Линкольн» В Mk. I</w:t>
      </w:r>
      <w:r w:rsidRPr="00F90EAE">
        <w:rPr>
          <w:rFonts w:ascii="Times New Roman" w:hAnsi="Times New Roman" w:cs="Times New Roman"/>
          <w:color w:val="0070C0"/>
          <w:sz w:val="16"/>
          <w:szCs w:val="16"/>
          <w:lang w:val="ru-RU"/>
        </w:rPr>
        <w:t>.</w:t>
      </w:r>
      <w:r w:rsidRPr="00F90EAE">
        <w:rPr>
          <w:rFonts w:ascii="Times New Roman" w:hAnsi="Times New Roman" w:cs="Times New Roman"/>
          <w:color w:val="0070C0"/>
          <w:sz w:val="16"/>
          <w:szCs w:val="16"/>
        </w:rPr>
        <w:t xml:space="preserve"> Он не мог нести бомбы «Толбой» и «Гранд Слэм», оборонительное вооружение составляли 6 крупнокалиберных пулеметов, затем поставки пушечных турелей В. 17 все же начались, но «кончились» кормовые установки БолтонПол D — и вместо них стали ставить устаревшие Фрэйзер и Нэш FN 121 (4 пулемета 7,69 мм). Большинство дефектов фирма устранить не успела, и ни один из 50-ти самолетов этой партии в строевую часть не попал. Часть из них переоборудовали в летающие лаборатории, остальные сдали на хранение до модернизации силовой установки. Этого так и не сделали — и в 1949 г. их признали устаревшими. К тому времени на многих самолетах была найдена массовая коррозия, и в ноябре-декабре весь парк списали. Заводы «Авро» в Йедоне и «Армстронг-Уитворт» в Бэгинтоне смогли сдать лишь по два таких самолета, «Метрополитен-Виккерс» в Тэффорд-Парке к концу лета сдал 28, но производство было остановлено в связи с окончанием войны с Японией. Фирма «Виктори Эйркрафт» в Канаде должна была выпустить 100 «Линкольн» B. XV с моторами «Мерлин» 68 и заложила установочную серию из 6-ти машин. Но головной был облетан только 25 октября 1945 г., и контракт был аннулирован в связи с окончанием войны. Лучше обстояли дела с выпуском модификации В Mk. II с моторами Паккард «Мерлин» 68. Завод «Авро-Чаддертон» в 1945-1947 гг. сдал 112 «двоек», а «Метрополитен-Виккерс» в г. Тэффорд-Парк строил их до 1951 г., дав 279 самолетов плюс 18 на экспорт в Аргентину. Еще 12 машин выпуска 1945 г. для поставки в эту страну было взято с консервации. Самолеты отличались упрощенной комплектацией, в частности, не имели РЛС. По ходу выпуска часть машин, предназначенных для английской авиации, получила усовершенствованные локаторы H2S Mk. IIIG и Mk. IVA. Они были условно обозначены Mk.2/3G и Mk.2/4A. Часть строевых «линкольнов» была переоснащена моторами «Мерлин» 300 мощностью по 1685 л.с.</w:t>
      </w:r>
      <w:r w:rsidRPr="00F90EAE">
        <w:rPr>
          <w:rFonts w:ascii="Times New Roman" w:hAnsi="Times New Roman" w:cs="Times New Roman"/>
          <w:color w:val="0070C0"/>
          <w:sz w:val="16"/>
          <w:szCs w:val="16"/>
          <w:lang w:val="ru-RU"/>
        </w:rPr>
        <w:t xml:space="preserve"> (23008).</w:t>
      </w:r>
    </w:p>
    <w:p w14:paraId="738B2D6B" w14:textId="77777777" w:rsidR="00EF1DB3" w:rsidRPr="00F90EAE" w:rsidRDefault="00EF1DB3" w:rsidP="00F90EAE">
      <w:pPr>
        <w:pStyle w:val="1131"/>
        <w:shd w:val="clear" w:color="auto" w:fill="auto"/>
        <w:spacing w:line="240" w:lineRule="auto"/>
        <w:ind w:firstLine="0"/>
        <w:rPr>
          <w:rFonts w:ascii="Times New Roman" w:hAnsi="Times New Roman" w:cs="Times New Roman"/>
          <w:color w:val="0070C0"/>
          <w:sz w:val="16"/>
          <w:szCs w:val="16"/>
        </w:rPr>
      </w:pPr>
    </w:p>
    <w:p w14:paraId="1AFC33D3" w14:textId="77777777" w:rsidR="00327D90" w:rsidRPr="00F90EAE" w:rsidRDefault="00327D90" w:rsidP="00F90EAE">
      <w:pPr>
        <w:jc w:val="both"/>
        <w:rPr>
          <w:color w:val="000000" w:themeColor="text1"/>
          <w:sz w:val="16"/>
          <w:szCs w:val="16"/>
        </w:rPr>
      </w:pPr>
      <w:r w:rsidRPr="00F90EAE">
        <w:rPr>
          <w:color w:val="000000" w:themeColor="text1"/>
          <w:sz w:val="16"/>
          <w:szCs w:val="16"/>
        </w:rPr>
        <w:t>В феврале 1945 г. по мере приближения советских войск основные разработчики «Фау-2» были переведены из Пенемюнде в расположенную в 30 км от Нордаузена деревушку Бляй-хероде. В ее окрестностях началось строительство подземного исследовательского и конструкторского центра, объем помещений которого должен был многократно превзойти «Мит-тельверке». Поблизости, возле выработанного карьера, успели построить два стенда для отработки двигателей (19629).</w:t>
      </w:r>
    </w:p>
    <w:p w14:paraId="585CEEC8" w14:textId="77777777" w:rsidR="00327D90" w:rsidRPr="00F90EAE" w:rsidRDefault="00327D90" w:rsidP="00F90EAE">
      <w:pPr>
        <w:jc w:val="both"/>
        <w:rPr>
          <w:color w:val="000000" w:themeColor="text1"/>
          <w:sz w:val="16"/>
          <w:szCs w:val="16"/>
        </w:rPr>
      </w:pPr>
    </w:p>
    <w:p w14:paraId="0041534A" w14:textId="77777777" w:rsidR="005903DB" w:rsidRPr="00F90EAE" w:rsidRDefault="005903DB" w:rsidP="00F90EAE">
      <w:pPr>
        <w:jc w:val="both"/>
        <w:rPr>
          <w:color w:val="000000" w:themeColor="text1"/>
          <w:sz w:val="16"/>
          <w:szCs w:val="16"/>
        </w:rPr>
      </w:pPr>
      <w:r w:rsidRPr="00F90EAE">
        <w:rPr>
          <w:color w:val="000000" w:themeColor="text1"/>
          <w:sz w:val="16"/>
          <w:szCs w:val="16"/>
        </w:rPr>
        <w:t>В феврале 1945-го на истребительном конкурсе, проводимом верховным командованием "Люфтваффе", была решена Судьба нового "Фокке-Вульфа". Самолет Курта Танка победил своих конкурентов, включая небезызвестный "Мессершмитт" Р.1101 с крылом переменной стреловидности, и получил официальное имя Та.183. Было заказано к строительству 16 опытных самолетов. Ta.183V1-V3 должны были оснащаться двигателями Jumo 004В. Первый полет истребителя планировался в мае-июне 1945-го, а начало серийного производства - на октябрь этого же года. Однако эти планы так и не сбылись. Немецкая страница истории Ta.183 закончилась 8 апреля 1945-го, когда британская пехота захватила заводы "Фокке-Вульф". Достоверно известно, что комплект крыльев для этого самолета обнаружили советские войска в Берлине в здании имперского министерства авиации. В то время во всех союзнических странах уже работали специальные, конкурирующие между собой комиссии по захвату трофейных образцов авиационной техники и научной документации (15139).</w:t>
      </w:r>
    </w:p>
    <w:p w14:paraId="6524EF2F" w14:textId="77777777" w:rsidR="005903DB" w:rsidRPr="00F90EAE" w:rsidRDefault="005903DB" w:rsidP="00F90EAE">
      <w:pPr>
        <w:jc w:val="both"/>
        <w:rPr>
          <w:color w:val="000000" w:themeColor="text1"/>
          <w:sz w:val="16"/>
          <w:szCs w:val="16"/>
        </w:rPr>
      </w:pPr>
    </w:p>
    <w:p w14:paraId="54F8CBD8" w14:textId="77777777" w:rsidR="005903DB" w:rsidRPr="00F90EAE" w:rsidRDefault="005903DB"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С февраля 1945 г. Рех</w:t>
      </w:r>
      <w:r w:rsidRPr="00F90EAE">
        <w:rPr>
          <w:rFonts w:ascii="Times New Roman" w:cs="Times New Roman"/>
          <w:color w:val="000000" w:themeColor="text1"/>
          <w:spacing w:val="0"/>
          <w:sz w:val="16"/>
          <w:szCs w:val="16"/>
        </w:rPr>
        <w:softHyphen/>
        <w:t>лин же фактически вывели из строя (15791).</w:t>
      </w:r>
    </w:p>
    <w:p w14:paraId="67B109AA" w14:textId="77777777" w:rsidR="005903DB" w:rsidRPr="00F90EAE" w:rsidRDefault="005903DB" w:rsidP="00F90EAE">
      <w:pPr>
        <w:pStyle w:val="36"/>
        <w:shd w:val="clear" w:color="auto" w:fill="auto"/>
        <w:spacing w:after="0" w:line="240" w:lineRule="auto"/>
        <w:jc w:val="both"/>
        <w:rPr>
          <w:rFonts w:ascii="Times New Roman" w:cs="Times New Roman"/>
          <w:color w:val="000000" w:themeColor="text1"/>
          <w:spacing w:val="0"/>
          <w:sz w:val="16"/>
          <w:szCs w:val="16"/>
        </w:rPr>
      </w:pPr>
    </w:p>
    <w:p w14:paraId="0DCCA3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немцы неудачно испытали несколько зенитных ракет (Вассерфаль, Рейнтохтер, Шметтерлинк, Тайфун) и для доработки требовалось не более 4 месяцев (1566,230).</w:t>
      </w:r>
    </w:p>
    <w:p w14:paraId="7EB0641C" w14:textId="77777777" w:rsidR="00665165" w:rsidRPr="00F90EAE" w:rsidRDefault="00665165" w:rsidP="00F90EAE">
      <w:pPr>
        <w:autoSpaceDE w:val="0"/>
        <w:autoSpaceDN w:val="0"/>
        <w:adjustRightInd w:val="0"/>
        <w:jc w:val="both"/>
        <w:rPr>
          <w:color w:val="000000" w:themeColor="text1"/>
          <w:sz w:val="16"/>
          <w:szCs w:val="16"/>
        </w:rPr>
      </w:pPr>
    </w:p>
    <w:p w14:paraId="4FFD89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был сделан V-1 повышенной до 370 км дальности. А.Гитлер заявил, что секретное оружие может в последний момент изменить обстановку (1608,23).</w:t>
      </w:r>
    </w:p>
    <w:p w14:paraId="4C9D1CAC" w14:textId="77777777" w:rsidR="00665165" w:rsidRPr="00F90EAE" w:rsidRDefault="00665165" w:rsidP="00F90EAE">
      <w:pPr>
        <w:autoSpaceDE w:val="0"/>
        <w:autoSpaceDN w:val="0"/>
        <w:adjustRightInd w:val="0"/>
        <w:jc w:val="both"/>
        <w:rPr>
          <w:color w:val="000000" w:themeColor="text1"/>
          <w:sz w:val="16"/>
          <w:szCs w:val="16"/>
        </w:rPr>
      </w:pPr>
    </w:p>
    <w:p w14:paraId="1785E78A" w14:textId="77777777" w:rsidR="008E7477" w:rsidRPr="00F90EAE" w:rsidRDefault="008E7477" w:rsidP="00F90EAE">
      <w:pPr>
        <w:jc w:val="both"/>
        <w:rPr>
          <w:color w:val="0070C0"/>
          <w:sz w:val="16"/>
          <w:szCs w:val="16"/>
        </w:rPr>
      </w:pPr>
      <w:r w:rsidRPr="00F90EAE">
        <w:rPr>
          <w:color w:val="0070C0"/>
          <w:sz w:val="16"/>
          <w:szCs w:val="16"/>
        </w:rPr>
        <w:t>В феврале 1945 два разведывательных самолета Mitsubishi Ki-46-IV ВВС Императорской армии Японии (союзное название «Дина») пролетят 2 301 км (1430 статутных миль ) со средней скоростью 700 км / ч (435 миль в час), что является заметным сочетанием скорости и дальности за время (20371).</w:t>
      </w:r>
    </w:p>
    <w:p w14:paraId="0710566E" w14:textId="77777777" w:rsidR="008E7477" w:rsidRPr="00F90EAE" w:rsidRDefault="008E7477" w:rsidP="00F90EAE">
      <w:pPr>
        <w:jc w:val="both"/>
        <w:rPr>
          <w:color w:val="0070C0"/>
          <w:sz w:val="16"/>
          <w:szCs w:val="16"/>
        </w:rPr>
      </w:pPr>
    </w:p>
    <w:p w14:paraId="59F9A535" w14:textId="77777777" w:rsidR="008E7477" w:rsidRPr="00F90EAE" w:rsidRDefault="008E7477" w:rsidP="00F90EAE">
      <w:pPr>
        <w:jc w:val="both"/>
        <w:rPr>
          <w:color w:val="0070C0"/>
          <w:sz w:val="16"/>
          <w:szCs w:val="16"/>
        </w:rPr>
      </w:pPr>
      <w:r w:rsidRPr="00F90EAE">
        <w:rPr>
          <w:color w:val="0070C0"/>
          <w:sz w:val="16"/>
          <w:szCs w:val="16"/>
        </w:rPr>
        <w:t>В феврале 1945 ВМС США впервые использует пороховые ускорители (JATO ) для взлета PBM-5 Mariner офф на участке реки Колорадо недалеко от Юма, штат Аризона, где был Mariner сел на вынужденную (20371).</w:t>
      </w:r>
    </w:p>
    <w:p w14:paraId="5943D365" w14:textId="77777777" w:rsidR="008E7477" w:rsidRPr="00F90EAE" w:rsidRDefault="008E7477" w:rsidP="00F90EAE">
      <w:pPr>
        <w:jc w:val="both"/>
        <w:rPr>
          <w:color w:val="0070C0"/>
          <w:sz w:val="16"/>
          <w:szCs w:val="16"/>
        </w:rPr>
      </w:pPr>
    </w:p>
    <w:p w14:paraId="5800B8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японцы начали готовить бомбардировку Панамского канала бомбардировщиками, запускаемыми с п/л и планировали на 25 августа (3961, 111).</w:t>
      </w:r>
    </w:p>
    <w:p w14:paraId="2EC3F1A2" w14:textId="77777777" w:rsidR="00665165" w:rsidRPr="00F90EAE" w:rsidRDefault="00665165" w:rsidP="00F90EAE">
      <w:pPr>
        <w:autoSpaceDE w:val="0"/>
        <w:autoSpaceDN w:val="0"/>
        <w:adjustRightInd w:val="0"/>
        <w:jc w:val="both"/>
        <w:rPr>
          <w:color w:val="000000" w:themeColor="text1"/>
          <w:sz w:val="16"/>
          <w:szCs w:val="16"/>
        </w:rPr>
      </w:pPr>
    </w:p>
    <w:p w14:paraId="2E19A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феврале 1945 года, когда город Осака подвергся бомбардировке, склад и почти готовый прототип специального упрощенного штурмовика "Та-Го", предназначенного для подразделений камикадзе, который можно было бы как можно быстрее пустить в дело для решения тактической, по сути. задачи - обороны побережья от вражеских десантов в районе городов Осака и Кобе, сгорел.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(4800).</w:t>
      </w:r>
    </w:p>
    <w:p w14:paraId="28FE3E6D" w14:textId="77777777" w:rsidR="00665165" w:rsidRPr="00F90EAE" w:rsidRDefault="00665165" w:rsidP="00F90EAE">
      <w:pPr>
        <w:autoSpaceDE w:val="0"/>
        <w:autoSpaceDN w:val="0"/>
        <w:adjustRightInd w:val="0"/>
        <w:jc w:val="both"/>
        <w:rPr>
          <w:color w:val="000000" w:themeColor="text1"/>
          <w:sz w:val="16"/>
          <w:szCs w:val="16"/>
        </w:rPr>
      </w:pPr>
    </w:p>
    <w:p w14:paraId="3CAD95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в западной части ТО линкор Нью-Йорк и эскортные суда открыли огонь по серебристому объекту, который потом был объявлен Венерой (3712).</w:t>
      </w:r>
    </w:p>
    <w:p w14:paraId="6A4252F8" w14:textId="77777777" w:rsidR="00665165" w:rsidRPr="00F90EAE" w:rsidRDefault="00665165" w:rsidP="00F90EAE">
      <w:pPr>
        <w:autoSpaceDE w:val="0"/>
        <w:autoSpaceDN w:val="0"/>
        <w:adjustRightInd w:val="0"/>
        <w:jc w:val="both"/>
        <w:rPr>
          <w:color w:val="000000" w:themeColor="text1"/>
          <w:sz w:val="16"/>
          <w:szCs w:val="16"/>
        </w:rPr>
      </w:pPr>
    </w:p>
    <w:p w14:paraId="0D75D4D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C728F98" w14:textId="77777777" w:rsidR="00665165" w:rsidRPr="00F90EAE" w:rsidRDefault="00665165" w:rsidP="00F90EAE">
      <w:pPr>
        <w:autoSpaceDE w:val="0"/>
        <w:autoSpaceDN w:val="0"/>
        <w:adjustRightInd w:val="0"/>
        <w:jc w:val="both"/>
        <w:rPr>
          <w:iCs/>
          <w:color w:val="000000" w:themeColor="text1"/>
          <w:sz w:val="16"/>
          <w:szCs w:val="16"/>
        </w:rPr>
      </w:pPr>
    </w:p>
    <w:p w14:paraId="51FBBE77"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течение февраля - апреля 1945 на заводе № 18 проходил испытания на выносливость серийный самолет Ил-10 зав. № 1892002.</w:t>
      </w:r>
    </w:p>
    <w:p w14:paraId="41C6CBFF"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По состоянию на 20 апреля самолет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028CDDA4"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711F948C"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6392B300"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DE9E663"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61382035"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41386C97" w14:textId="77777777" w:rsidR="00D44763" w:rsidRPr="00F90EAE" w:rsidRDefault="00D44763" w:rsidP="00F90EAE">
      <w:pPr>
        <w:jc w:val="both"/>
        <w:rPr>
          <w:color w:val="000000" w:themeColor="text1"/>
          <w:sz w:val="16"/>
          <w:szCs w:val="16"/>
        </w:rPr>
      </w:pPr>
      <w:r w:rsidRPr="00F90EAE">
        <w:rPr>
          <w:rStyle w:val="107"/>
          <w:rFonts w:eastAsiaTheme="minorHAnsi"/>
          <w:color w:val="000000" w:themeColor="text1"/>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2CAAC6CE" w14:textId="77777777" w:rsidR="00D44763" w:rsidRPr="00F90EAE" w:rsidRDefault="00D44763" w:rsidP="00F90EAE">
      <w:pPr>
        <w:jc w:val="both"/>
        <w:rPr>
          <w:color w:val="000000" w:themeColor="text1"/>
          <w:sz w:val="16"/>
          <w:szCs w:val="16"/>
        </w:rPr>
      </w:pPr>
    </w:p>
    <w:p w14:paraId="2E99A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феврале-марте 1945 проводились совместные испытаний первого Ту-2Т - 62Т низкого торпедоносца под две торпеды (4,187).</w:t>
      </w:r>
    </w:p>
    <w:p w14:paraId="56B05720" w14:textId="77777777" w:rsidR="00665165" w:rsidRPr="00F90EAE" w:rsidRDefault="00665165" w:rsidP="00F90EAE">
      <w:pPr>
        <w:autoSpaceDE w:val="0"/>
        <w:autoSpaceDN w:val="0"/>
        <w:adjustRightInd w:val="0"/>
        <w:jc w:val="both"/>
        <w:rPr>
          <w:color w:val="000000" w:themeColor="text1"/>
          <w:sz w:val="16"/>
          <w:szCs w:val="16"/>
        </w:rPr>
      </w:pPr>
    </w:p>
    <w:p w14:paraId="460B3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февраля по март 1945 серийно строили Як-9УТ с ВК-107А с НС-23 и 2хБ-20с (65,153).</w:t>
      </w:r>
    </w:p>
    <w:p w14:paraId="3789F45A" w14:textId="77777777" w:rsidR="00665165" w:rsidRPr="00F90EAE" w:rsidRDefault="00665165" w:rsidP="00F90EAE">
      <w:pPr>
        <w:autoSpaceDE w:val="0"/>
        <w:autoSpaceDN w:val="0"/>
        <w:adjustRightInd w:val="0"/>
        <w:jc w:val="both"/>
        <w:rPr>
          <w:color w:val="000000" w:themeColor="text1"/>
          <w:sz w:val="16"/>
          <w:szCs w:val="16"/>
        </w:rPr>
      </w:pPr>
    </w:p>
    <w:p w14:paraId="427000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февраля по июнь 1945-го ведущими на этапе заводских летных испытаний Як-13 были инженер А.Дружинин, летчик М.Павлов и механик О.Яницкий.</w:t>
      </w:r>
    </w:p>
    <w:p w14:paraId="5DD6E0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177C52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1774D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78B1F3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5DE2F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6245C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1BF565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Триммером легко балансируется на режимах горизонтального полета.</w:t>
      </w:r>
    </w:p>
    <w:p w14:paraId="303D88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439780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262B9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71D43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7448B6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Обслуживание винто-моторной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248EB8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123B6DB0" w14:textId="77777777" w:rsidR="00665165" w:rsidRPr="00F90EAE" w:rsidRDefault="00665165" w:rsidP="00F90EAE">
      <w:pPr>
        <w:autoSpaceDE w:val="0"/>
        <w:autoSpaceDN w:val="0"/>
        <w:adjustRightInd w:val="0"/>
        <w:jc w:val="both"/>
        <w:rPr>
          <w:color w:val="000000" w:themeColor="text1"/>
          <w:sz w:val="16"/>
          <w:szCs w:val="16"/>
        </w:rPr>
      </w:pPr>
    </w:p>
    <w:p w14:paraId="0CEBB1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1945 г. и в марте 1945 г. Серийные с-ты Ла-7 з-да № 381, вооруженные синхронными пушками Б-20, проходили контрольные испытания в ГК НИИ ВВС. Не выдержали.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48FD0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них были в маре 1945 предъявлены 2 с-та с модернизированными пушками Б-20с (с “гусями”) и доведенной синхронизирующей установкой, которые проходили госиспытания с 26 марта по 4 апреля 1945 (741,4).</w:t>
      </w:r>
    </w:p>
    <w:p w14:paraId="2E2010FF" w14:textId="77777777" w:rsidR="00665165" w:rsidRPr="00F90EAE" w:rsidRDefault="00665165" w:rsidP="00F90EAE">
      <w:pPr>
        <w:autoSpaceDE w:val="0"/>
        <w:autoSpaceDN w:val="0"/>
        <w:adjustRightInd w:val="0"/>
        <w:jc w:val="both"/>
        <w:rPr>
          <w:color w:val="000000" w:themeColor="text1"/>
          <w:sz w:val="16"/>
          <w:szCs w:val="16"/>
        </w:rPr>
      </w:pPr>
    </w:p>
    <w:p w14:paraId="1F38C6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 марте 1945 г. в ОКБ С.А. Лавочкина началось проектирование реактивных самолетов под немецкие двигатели. К этому времени ОКБ С.А. Лавочкина уже полностью переехало в Москву и разместилось на заводе № 81. Весной 1945 г.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60316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622B68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643C8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6174F01A" w14:textId="77777777" w:rsidR="00665165" w:rsidRPr="00F90EAE" w:rsidRDefault="00665165" w:rsidP="00F90EAE">
      <w:pPr>
        <w:autoSpaceDE w:val="0"/>
        <w:autoSpaceDN w:val="0"/>
        <w:adjustRightInd w:val="0"/>
        <w:jc w:val="both"/>
        <w:rPr>
          <w:color w:val="000000" w:themeColor="text1"/>
          <w:sz w:val="16"/>
          <w:szCs w:val="16"/>
        </w:rPr>
      </w:pPr>
    </w:p>
    <w:p w14:paraId="5E2BFBF2" w14:textId="77777777" w:rsidR="0006634D" w:rsidRPr="00F90EAE" w:rsidRDefault="0006634D"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феврале-марте 1945 г. началось проектирование новых реактивных самолетов под немецкие двигатели в ОКБ С.А. Ла вочкина, которое к этому времени уже полностью переехало в Москву и разместилось на заводе № 81. В объединенном кол лективе темп работ ускорился, и в апреле 1945 г. был выпущен проект легкого однодвигательного реактивного истребителя «150» под один Jumo-004.</w:t>
      </w:r>
    </w:p>
    <w:p w14:paraId="586D5F56" w14:textId="77777777" w:rsidR="0006634D" w:rsidRPr="00F90EAE" w:rsidRDefault="0006634D"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Компоновка легкого истребителя «150» оказалась гораз до более трудной задачей. Впрочем, можно заметить некото рую преемственность с проектом Ла-ВРД: это высокоплан с фюзеляжем полугондольного типа, с эшелонированным раз мещением кабины пилота и двигателя. Но тяга немецкого Jumo-004 меньше, чем у отечественного С-18, и это застави ло искать способы уменьшения веса конструкции и лобового сопротивления. Следовало учесть и рекомендации ЦАГИ, ко торые были выработаны на основании тщательного изучения зарубежного опыта создания скоростных реактивных само летов, а также собственных исследований. Главными небла гоприятными факторами полета самолета на высокой скоро сти, когда начинает сказываться явление сжимаемости воз духа, были резкое возрастание аэродинамического сопротивления и изменение устойчивости и управляемости самолета вследствие изменения распределения давления по крылу и оперению. Для отдаления момента возникновения этих явлений, получивших название «волнового кризиса», предлагалось использовать новые скоростные так называемые «махоустойчивые» профили и рациональную компоновку их по размеру крыла. В концевой части крыла, где располага лись элероны, собирались установить профили с большей не сущей способностью с целью сохранения поперечной управ ляемости на критических углах атаки. Этому же способство вало применение геометрической крутки крыла. Концевые участки крыла относительно корневых имели меньший установочный угол. С точки зрения общей компоновки скорост ного самолета отмечалось, что схема низкоплана, широко при менявшаяся для истребителей, является малопригодной вслед ствие более раннего роста сопротивления из-за плохой ин терференции крыла и фюзеляжа. Выгодны схемы среднеплана и высокоплана. Поскольку крыло в перспективе должно иметь меньшую относительную толщину, желательно шасси и топ ливные баки убрать из него в фюзеляж. При больших чис лах Маха могло возникнуть явление «скоростного бафтин га», т.е. вибрации горизонтального оперения, связанного с неустойчивостью обтекания крыла при волновом кризисе и, как следствие, колебаниями струи за крылом. Поэтому реко мендовалось возможно более высокое, не ниже 30 % хорды крыла, расположение горизонтального оперения с целью вы носа его из возмущенного крылом потока.</w:t>
      </w:r>
    </w:p>
    <w:p w14:paraId="76EF39B6" w14:textId="77777777" w:rsidR="0006634D" w:rsidRPr="00F90EAE" w:rsidRDefault="0006634D"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Все требования и рекомендации нашли свое отражение в компоновке самолета «150». По сравнению с проектом Ла-ВРД при сохранении схемы высокоплана двухбалочная конструк ция хвостовой части была заменена однобалочной, применено относительно высокорасположенное горизонтальное оперение; боковые воздухозаборники превратились в два всасывающих канала, огибающих по бортам кабину пилота, с входным от верстием в носовой части фюзеляжа; вооружение и основные стойки шасси перенесены в фюзеляж. Расположение основно го шасси в фюзеляже стало с этого времени традиционным для всех реактивных самолетов Лавочкина. Особенно пришлось повозиться с размещением топливных баков. В результате по лучилась довольно сложная система, включавшая в себя кро ме двух баков в центроплане, еще пять фюзеляжных баков своеобразной конфигурации, которые со всех сторон облепили двигатель. Конечно, это усложнило конструкцию, но позволи ло максимально обжать фюзеляж и при ограниченной тяге двигателя получить приемлемые скоростные характеристики (19586).</w:t>
      </w:r>
    </w:p>
    <w:p w14:paraId="5285E24B" w14:textId="77777777" w:rsidR="0006634D" w:rsidRPr="00F90EAE" w:rsidRDefault="0006634D" w:rsidP="00F90EAE">
      <w:pPr>
        <w:pStyle w:val="ae"/>
        <w:shd w:val="clear" w:color="auto" w:fill="FFFFFF"/>
        <w:spacing w:before="0" w:after="0"/>
        <w:jc w:val="both"/>
        <w:rPr>
          <w:color w:val="000000" w:themeColor="text1"/>
          <w:sz w:val="16"/>
          <w:szCs w:val="16"/>
        </w:rPr>
      </w:pPr>
    </w:p>
    <w:p w14:paraId="754735B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7E522A5" w14:textId="77777777" w:rsidR="00665165" w:rsidRPr="00F90EAE" w:rsidRDefault="00665165" w:rsidP="00F90EAE">
      <w:pPr>
        <w:autoSpaceDE w:val="0"/>
        <w:autoSpaceDN w:val="0"/>
        <w:adjustRightInd w:val="0"/>
        <w:jc w:val="both"/>
        <w:rPr>
          <w:iCs/>
          <w:color w:val="000000" w:themeColor="text1"/>
          <w:sz w:val="16"/>
          <w:szCs w:val="16"/>
        </w:rPr>
      </w:pPr>
    </w:p>
    <w:p w14:paraId="3C6EFA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 марте 1945 г. был изгоготовлен опытный образец танка Т-34 со 100-мм иушкой Д-1 установленной в башне с увеличенным диаметром опоры до 1700 мм. Завод № 92 НКВ по своей инициативе спроектировал и изготовил 100-мм пушку ЛБ-1, предъявив ее для сравнительных испытаний в-танке Т-34 параллельно с пушкой Д-10Т (10703).</w:t>
      </w:r>
    </w:p>
    <w:p w14:paraId="0887CD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E76489" w14:textId="77777777" w:rsidR="0006634D" w:rsidRPr="00F90EAE" w:rsidRDefault="0006634D" w:rsidP="00F90EAE">
      <w:pPr>
        <w:pStyle w:val="ae"/>
        <w:spacing w:before="0" w:after="0"/>
        <w:jc w:val="both"/>
        <w:textAlignment w:val="baseline"/>
        <w:rPr>
          <w:color w:val="000000" w:themeColor="text1"/>
          <w:sz w:val="16"/>
          <w:szCs w:val="16"/>
        </w:rPr>
      </w:pPr>
      <w:r w:rsidRPr="00F90EAE">
        <w:rPr>
          <w:color w:val="000000" w:themeColor="text1"/>
          <w:sz w:val="16"/>
          <w:szCs w:val="16"/>
        </w:rPr>
        <w:t>В период с февраля по май 1945 года из шести Т-44 пробег в 300 км выдержало два танка – немного, но не так и мало. К тому же проблемы с бандажами опорных катков, один из частых дефектов, были типовыми и для Т-34-85. Кроме того, в период с января по октябрь 1945 года 9 танков проходили испытания на 300 км. Дистанцию выдержали четыре машины – кажется мало, но из восемнадцати СУ-100 тот же пробег выдержали четыре. Наибольший процент (21 из 22 машин) выдержавших испытания пришёлся на самоходные установки ИСУ, но тут интересен другой факт. Испытания на 1000 км не выдержала ни одна из ИСУ и ни один Т-44, при этом две из четырёх СУ-100 этот пробег выдержали. Одним словом, говорить о дефектном танке можно с некоторыми оговорками (19047).</w:t>
      </w:r>
    </w:p>
    <w:p w14:paraId="3408C292" w14:textId="77777777" w:rsidR="0006634D" w:rsidRPr="00F90EAE" w:rsidRDefault="0006634D" w:rsidP="00F90EAE">
      <w:pPr>
        <w:pStyle w:val="ae"/>
        <w:spacing w:before="0" w:after="0"/>
        <w:jc w:val="both"/>
        <w:textAlignment w:val="baseline"/>
        <w:rPr>
          <w:color w:val="000000" w:themeColor="text1"/>
          <w:sz w:val="16"/>
          <w:szCs w:val="16"/>
        </w:rPr>
      </w:pPr>
    </w:p>
    <w:p w14:paraId="4F1D3CF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FB8DF72" w14:textId="77777777" w:rsidR="00665165" w:rsidRPr="00F90EAE" w:rsidRDefault="00665165" w:rsidP="00F90EAE">
      <w:pPr>
        <w:autoSpaceDE w:val="0"/>
        <w:autoSpaceDN w:val="0"/>
        <w:adjustRightInd w:val="0"/>
        <w:jc w:val="both"/>
        <w:rPr>
          <w:iCs/>
          <w:color w:val="000000" w:themeColor="text1"/>
          <w:sz w:val="16"/>
          <w:szCs w:val="16"/>
        </w:rPr>
      </w:pPr>
    </w:p>
    <w:p w14:paraId="5CBDE47F" w14:textId="77777777" w:rsidR="00BF18D8" w:rsidRPr="00F90EAE" w:rsidRDefault="00BF18D8"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С февраля по май 1945 года самолеты В-29 сначала поступа</w:t>
      </w:r>
      <w:r w:rsidRPr="00F90EAE">
        <w:rPr>
          <w:color w:val="000000" w:themeColor="text1"/>
          <w:sz w:val="16"/>
          <w:szCs w:val="16"/>
        </w:rPr>
        <w:softHyphen/>
        <w:t>ли в арсенал в Оклахоме, где на них устанав</w:t>
      </w:r>
      <w:r w:rsidRPr="00F90EAE">
        <w:rPr>
          <w:color w:val="000000" w:themeColor="text1"/>
          <w:sz w:val="16"/>
          <w:szCs w:val="16"/>
        </w:rPr>
        <w:softHyphen/>
        <w:t>ливалось электронное оборудование. С мая 1945 года завод в Мариетте поставлял уже полностью укомплектованные бомбарди</w:t>
      </w:r>
      <w:r w:rsidRPr="00F90EAE">
        <w:rPr>
          <w:color w:val="000000" w:themeColor="text1"/>
          <w:sz w:val="16"/>
          <w:szCs w:val="16"/>
        </w:rPr>
        <w:softHyphen/>
        <w:t>ровщики.</w:t>
      </w:r>
    </w:p>
    <w:p w14:paraId="7BF3C4F5" w14:textId="77777777" w:rsidR="00BF18D8" w:rsidRPr="00F90EAE" w:rsidRDefault="00BF18D8"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Поскольку потребность в В-29В была очень высокой, первые машины поступили в стро</w:t>
      </w:r>
      <w:r w:rsidRPr="00F90EAE">
        <w:rPr>
          <w:color w:val="000000" w:themeColor="text1"/>
          <w:sz w:val="16"/>
          <w:szCs w:val="16"/>
        </w:rPr>
        <w:softHyphen/>
        <w:t>евые части без радиодальномера А1^/АРО-15, запросчика «свой-чужой», вычислителя уп</w:t>
      </w:r>
      <w:r w:rsidRPr="00F90EAE">
        <w:rPr>
          <w:color w:val="000000" w:themeColor="text1"/>
          <w:sz w:val="16"/>
          <w:szCs w:val="16"/>
        </w:rPr>
        <w:softHyphen/>
        <w:t>реждения для стрельбы из бортового оружия. Эти машины состояли на вооружении 16-й и 501-й бомбардировочных групп 315-го кры</w:t>
      </w:r>
      <w:r w:rsidRPr="00F90EAE">
        <w:rPr>
          <w:color w:val="000000" w:themeColor="text1"/>
          <w:sz w:val="16"/>
          <w:szCs w:val="16"/>
        </w:rPr>
        <w:softHyphen/>
        <w:t>ла, достигших боеготовности к 1 апреля 1945 года. Еще две группы - 502-я и 331-я - при</w:t>
      </w:r>
      <w:r w:rsidRPr="00F90EAE">
        <w:rPr>
          <w:color w:val="000000" w:themeColor="text1"/>
          <w:sz w:val="16"/>
          <w:szCs w:val="16"/>
        </w:rPr>
        <w:softHyphen/>
        <w:t>ступили к боевым вылетам 1 мая. Лишь по</w:t>
      </w:r>
      <w:r w:rsidRPr="00F90EAE">
        <w:rPr>
          <w:color w:val="000000" w:themeColor="text1"/>
          <w:sz w:val="16"/>
          <w:szCs w:val="16"/>
        </w:rPr>
        <w:softHyphen/>
        <w:t>сле окончания войны все выпушенные В-29В полностью укомплектовали штатным обору</w:t>
      </w:r>
      <w:r w:rsidRPr="00F90EAE">
        <w:rPr>
          <w:color w:val="000000" w:themeColor="text1"/>
          <w:sz w:val="16"/>
          <w:szCs w:val="16"/>
        </w:rPr>
        <w:softHyphen/>
        <w:t>дованием (12292).</w:t>
      </w:r>
    </w:p>
    <w:p w14:paraId="51D7EFA0" w14:textId="77777777" w:rsidR="00BF18D8" w:rsidRPr="00F90EAE" w:rsidRDefault="00BF18D8" w:rsidP="00F90EAE">
      <w:pPr>
        <w:pStyle w:val="92"/>
        <w:shd w:val="clear" w:color="auto" w:fill="auto"/>
        <w:spacing w:after="0" w:line="240" w:lineRule="auto"/>
        <w:ind w:firstLine="0"/>
        <w:jc w:val="both"/>
        <w:rPr>
          <w:color w:val="000000" w:themeColor="text1"/>
          <w:sz w:val="16"/>
          <w:szCs w:val="16"/>
        </w:rPr>
      </w:pPr>
    </w:p>
    <w:p w14:paraId="6260D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феврале-марте 1945 г. на конференции в Чапультепеке (Мексика) страны региона приступили к обсуждению вопросов послевоенного урегулирования и переустройства мира. Здесь произошло окончательное структурно-организационное оформление межамериканских отношений. Чапультепекским актом о взаимной помощи и солидарности было установлено, что панамериканские конференции будут проводиться раз в четыре года, а консультативные совещания министров иностранных дел - ежегодно. Руководящий совет наделялся политическими правами и отныне мог созывать конференции и контролировать работу всех панамериканских учреждений. В Акте было впервые указано, что всякое покушение на суверенитет, независимость и территориальную целостность одного из американских государств будет рассматриваться как агрессия против всех стран, подписавших чапультепекский документ. Принятие этого документа, бесспорно, способствовало обеспечению мира и безопасности в Западном полушарии. Но оно и закрепляло характер панамериканского военно-политического сотрудничества как построенного на идее сохранения силового лидерства США.</w:t>
      </w:r>
    </w:p>
    <w:p w14:paraId="38B3E1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Чапультепеке делегации стран-участниц приняли также Экономическую хартию американских стран, предусматривавшую отмену таможенных барьеров, утверждение в экономических отношениях принципа "равных возможностей" и устранение "экономического национализма в любых его проявлениях" (3871).</w:t>
      </w:r>
    </w:p>
    <w:p w14:paraId="67EDDD3D" w14:textId="77777777" w:rsidR="00665165" w:rsidRPr="00F90EAE" w:rsidRDefault="00665165" w:rsidP="00F90EAE">
      <w:pPr>
        <w:autoSpaceDE w:val="0"/>
        <w:autoSpaceDN w:val="0"/>
        <w:adjustRightInd w:val="0"/>
        <w:jc w:val="both"/>
        <w:rPr>
          <w:color w:val="000000" w:themeColor="text1"/>
          <w:sz w:val="16"/>
          <w:szCs w:val="16"/>
        </w:rPr>
      </w:pPr>
    </w:p>
    <w:p w14:paraId="2B4D5F34" w14:textId="77777777" w:rsidR="00BA15C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24A12E6" w14:textId="77777777" w:rsidR="00BA15CA" w:rsidRPr="00F90EAE" w:rsidRDefault="00BA15CA" w:rsidP="00F90EAE">
      <w:pPr>
        <w:autoSpaceDE w:val="0"/>
        <w:autoSpaceDN w:val="0"/>
        <w:adjustRightInd w:val="0"/>
        <w:jc w:val="both"/>
        <w:rPr>
          <w:iCs/>
          <w:color w:val="000000" w:themeColor="text1"/>
          <w:sz w:val="16"/>
          <w:szCs w:val="16"/>
        </w:rPr>
      </w:pPr>
    </w:p>
    <w:p w14:paraId="7EC3E68E" w14:textId="77777777" w:rsidR="00BA15CA" w:rsidRPr="00F90EAE" w:rsidRDefault="00BA15CA" w:rsidP="00F90EAE">
      <w:pPr>
        <w:shd w:val="clear" w:color="auto" w:fill="FFFFFF"/>
        <w:jc w:val="both"/>
        <w:rPr>
          <w:color w:val="000000" w:themeColor="text1"/>
          <w:sz w:val="16"/>
          <w:szCs w:val="16"/>
        </w:rPr>
      </w:pPr>
      <w:r w:rsidRPr="00F90EAE">
        <w:rPr>
          <w:color w:val="000000" w:themeColor="text1"/>
          <w:sz w:val="16"/>
          <w:szCs w:val="16"/>
        </w:rPr>
        <w:t>Зимой 1945 года танк Кромвель с регистрационным номером T.187866 был частично разобран и подвергнут обстрелу. Выяснилось, что советские пушки ЗИС-3 и Ф-34 лобовую часть корпуса и башни не пробивают, но при этом борта пробиваются с дистанции более двух километров. Впрочем, вероятность встречи Т-34 с «Кромвелем» была крайне низка, чего не скажешь о «Пантере», орудием которой также обстреляли английский танк. И здесь всё оказалось гораздо печальнее – 7.5 cm KwK 42 L/70 пробивала броню английской машины со всех дистанций (15737).</w:t>
      </w:r>
    </w:p>
    <w:p w14:paraId="3C70D018" w14:textId="77777777" w:rsidR="00BA15CA" w:rsidRPr="00F90EAE" w:rsidRDefault="00BA15CA" w:rsidP="00F90EAE">
      <w:pPr>
        <w:pStyle w:val="28"/>
        <w:shd w:val="clear" w:color="auto" w:fill="auto"/>
        <w:spacing w:before="0" w:line="240" w:lineRule="auto"/>
        <w:jc w:val="both"/>
        <w:rPr>
          <w:rFonts w:ascii="Times New Roman" w:hAnsi="Times New Roman" w:cs="Times New Roman"/>
          <w:color w:val="000000" w:themeColor="text1"/>
          <w:sz w:val="16"/>
          <w:szCs w:val="16"/>
        </w:rPr>
      </w:pPr>
    </w:p>
    <w:p w14:paraId="4EEC01F5" w14:textId="77777777" w:rsidR="0006634D" w:rsidRPr="00F90EAE" w:rsidRDefault="0006634D"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F13FAA8" w14:textId="77777777" w:rsidR="0006634D" w:rsidRPr="00F90EAE" w:rsidRDefault="0006634D" w:rsidP="00F90EAE">
      <w:pPr>
        <w:autoSpaceDE w:val="0"/>
        <w:autoSpaceDN w:val="0"/>
        <w:adjustRightInd w:val="0"/>
        <w:jc w:val="both"/>
        <w:rPr>
          <w:iCs/>
          <w:color w:val="000000" w:themeColor="text1"/>
          <w:sz w:val="16"/>
          <w:szCs w:val="16"/>
        </w:rPr>
      </w:pPr>
    </w:p>
    <w:p w14:paraId="4C83D307" w14:textId="77777777" w:rsidR="0006634D" w:rsidRPr="00F90EAE" w:rsidRDefault="0006634D"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Зимой-весной 1945 года на ИС-6 отрабатывали гидро-сервопривод планетарного механизма поворота. Продолжались и работы по модернизированным опорным каткам — их увеличили в диаметре до 800 мм, и теперь конструкция больше напоминала опорный каток ИС-2. Первые образцы таких катков поставили на Объект 244 в декабре 1944 года, он прошёл на них 305 км, ещё 393 км удалось преодолеть в январе 1945 года. Наконец, никуда не делась 122-мм пушка БЛ-13 — работы по ней продолжались, в 1945 году орудие вышло на испытания. Правда, испытывали эти элементы на Объекте 244 и ИС-2, а работы по ИС-6 велись скорее как прелюдия к новому танку. 19 февраля 1945 года Вовк снова пожаловался на «тайные комнаты», которые появились на заводе №100. С одобрения Котина ОКБ завода №100 втайне начало разработку танка, который позже получил обозначение Объект 257. Он также стал первым танком, получившим обозначение </w:t>
      </w:r>
      <w:hyperlink r:id="rId56" w:history="1">
        <w:r w:rsidRPr="00F90EAE">
          <w:rPr>
            <w:rStyle w:val="a5"/>
            <w:bCs/>
            <w:iCs/>
            <w:color w:val="000000" w:themeColor="text1"/>
            <w:sz w:val="16"/>
            <w:szCs w:val="16"/>
            <w:bdr w:val="none" w:sz="0" w:space="0" w:color="auto" w:frame="1"/>
          </w:rPr>
          <w:t>ИС-7</w:t>
        </w:r>
      </w:hyperlink>
      <w:r w:rsidRPr="00F90EAE">
        <w:rPr>
          <w:color w:val="000000" w:themeColor="text1"/>
          <w:sz w:val="16"/>
          <w:szCs w:val="16"/>
        </w:rPr>
        <w:t xml:space="preserve"> (19150).</w:t>
      </w:r>
    </w:p>
    <w:p w14:paraId="78437EC5" w14:textId="77777777" w:rsidR="0006634D" w:rsidRPr="00F90EAE" w:rsidRDefault="0006634D" w:rsidP="00F90EAE">
      <w:pPr>
        <w:shd w:val="clear" w:color="auto" w:fill="FFFFFF"/>
        <w:jc w:val="both"/>
        <w:textAlignment w:val="baseline"/>
        <w:rPr>
          <w:color w:val="000000" w:themeColor="text1"/>
          <w:sz w:val="16"/>
          <w:szCs w:val="16"/>
        </w:rPr>
      </w:pPr>
    </w:p>
    <w:p w14:paraId="5063337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8BB4038" w14:textId="77777777" w:rsidR="00665165" w:rsidRPr="00F90EAE" w:rsidRDefault="00665165" w:rsidP="00F90EAE">
      <w:pPr>
        <w:autoSpaceDE w:val="0"/>
        <w:autoSpaceDN w:val="0"/>
        <w:adjustRightInd w:val="0"/>
        <w:jc w:val="both"/>
        <w:rPr>
          <w:iCs/>
          <w:color w:val="000000" w:themeColor="text1"/>
          <w:sz w:val="16"/>
          <w:szCs w:val="16"/>
        </w:rPr>
      </w:pPr>
    </w:p>
    <w:p w14:paraId="129B56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марту 1945 г. был разработан эскизный проект тральщика (главный конструк</w:t>
      </w:r>
      <w:r w:rsidRPr="00F90EAE">
        <w:rPr>
          <w:color w:val="000000" w:themeColor="text1"/>
          <w:sz w:val="16"/>
          <w:szCs w:val="16"/>
        </w:rPr>
        <w:softHyphen/>
        <w:t>тор Г. М. Вераксо), который предусматривал полубачную архитек</w:t>
      </w:r>
      <w:r w:rsidRPr="00F90EAE">
        <w:rPr>
          <w:color w:val="000000" w:themeColor="text1"/>
          <w:sz w:val="16"/>
          <w:szCs w:val="16"/>
        </w:rPr>
        <w:softHyphen/>
        <w:t>туру и сварную конструкцию корпуса, стандартное водоизмещение 400 т и вооружение всеми типами тралов, а также минами, 100- и 37-мм орудиями. В дальнейшем проект прошел еще несколько ста</w:t>
      </w:r>
      <w:r w:rsidRPr="00F90EAE">
        <w:rPr>
          <w:color w:val="000000" w:themeColor="text1"/>
          <w:sz w:val="16"/>
          <w:szCs w:val="16"/>
        </w:rPr>
        <w:softHyphen/>
        <w:t>дий доработки и был воплощен в большой послевоенной серии тральщиков (3898).</w:t>
      </w:r>
    </w:p>
    <w:p w14:paraId="6C5F86A4" w14:textId="77777777" w:rsidR="00665165" w:rsidRPr="00F90EAE" w:rsidRDefault="00665165" w:rsidP="00F90EAE">
      <w:pPr>
        <w:autoSpaceDE w:val="0"/>
        <w:autoSpaceDN w:val="0"/>
        <w:adjustRightInd w:val="0"/>
        <w:jc w:val="both"/>
        <w:rPr>
          <w:color w:val="000000" w:themeColor="text1"/>
          <w:sz w:val="16"/>
          <w:szCs w:val="16"/>
        </w:rPr>
      </w:pPr>
    </w:p>
    <w:p w14:paraId="27BD2A2E" w14:textId="77777777" w:rsidR="00BA15C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F07F011" w14:textId="77777777" w:rsidR="00BA15CA" w:rsidRPr="00F90EAE" w:rsidRDefault="00BA15CA" w:rsidP="00F90EAE">
      <w:pPr>
        <w:autoSpaceDE w:val="0"/>
        <w:autoSpaceDN w:val="0"/>
        <w:adjustRightInd w:val="0"/>
        <w:jc w:val="both"/>
        <w:rPr>
          <w:iCs/>
          <w:color w:val="000000" w:themeColor="text1"/>
          <w:sz w:val="16"/>
          <w:szCs w:val="16"/>
        </w:rPr>
      </w:pPr>
    </w:p>
    <w:p w14:paraId="0E918F59" w14:textId="77777777" w:rsidR="00BA15CA" w:rsidRPr="00F90EAE" w:rsidRDefault="00BA15CA" w:rsidP="00F90EAE">
      <w:pPr>
        <w:jc w:val="both"/>
        <w:rPr>
          <w:color w:val="000000" w:themeColor="text1"/>
          <w:sz w:val="16"/>
          <w:szCs w:val="16"/>
        </w:rPr>
      </w:pPr>
      <w:r w:rsidRPr="00F90EAE">
        <w:rPr>
          <w:color w:val="000000" w:themeColor="text1"/>
          <w:sz w:val="16"/>
          <w:szCs w:val="16"/>
        </w:rPr>
        <w:t>К марту 1945 года ракета достигала высот 18-20 км и скорости 760 км/ч. Старт производился вертикально вверх со специального пускового станка, и уже в воздухе поворачивалась на цель. К концу войны "Вассерфаль" была настолько готова, что могла быть развернута для боевого дежурства, но война закончилась поражением Третьего Рейха. После капитуляции Рейха значительное количество готовых и полуготовых ракет, а также документации и техперсонала попали в США и в СССР. Американцы на ее базе создали и испытали экспериментальную зенитную ракету А-1 "Гермес". В Советском Союзе ЗУР "Вассерфаль" получила обозначение Р-101. Вместо азота на ней применили сильно сжатый атмосферный воздух. Позже ракета была модернизирована под обозначением Р-102. Испытания ракет дали обнадеживающие результаты, но и выявили серьезные недостатки, в основном, в системе ручного управления ракетой. Проекты были закрыты (15139).</w:t>
      </w:r>
    </w:p>
    <w:p w14:paraId="013514A4" w14:textId="77777777" w:rsidR="00BA15CA" w:rsidRPr="00F90EAE" w:rsidRDefault="00BA15CA" w:rsidP="00F90EAE">
      <w:pPr>
        <w:jc w:val="both"/>
        <w:rPr>
          <w:color w:val="000000" w:themeColor="text1"/>
          <w:sz w:val="16"/>
          <w:szCs w:val="16"/>
        </w:rPr>
      </w:pPr>
    </w:p>
    <w:p w14:paraId="6C6579BE" w14:textId="77777777" w:rsidR="00BA15CA" w:rsidRPr="00F90EAE" w:rsidRDefault="00BA15CA" w:rsidP="00F90EAE">
      <w:pPr>
        <w:jc w:val="both"/>
        <w:rPr>
          <w:color w:val="000000" w:themeColor="text1"/>
          <w:sz w:val="16"/>
          <w:szCs w:val="16"/>
        </w:rPr>
      </w:pPr>
      <w:r w:rsidRPr="00F90EAE">
        <w:rPr>
          <w:color w:val="000000" w:themeColor="text1"/>
          <w:sz w:val="16"/>
          <w:szCs w:val="16"/>
        </w:rPr>
        <w:t>К марту 1945 г., до прекращения работ ЗУР «Энциан», фирме «Мессершмитт» удалось разработать до 15 вариантов ЗУР «Энциан» (FR-1 - FR-6, Е-1 - Е-6), изготовлено же было лишь примерно 60 опытных образцов, главным образом варианта Е-1. Имеются сведения о запуске 24-38 ракет этого типа, причем 16 из таких ракет имели полный комплект аппаратуры наведения. Число удачных запусков было относительно велико - 30-35%.</w:t>
      </w:r>
    </w:p>
    <w:p w14:paraId="0BFC67A3" w14:textId="77777777" w:rsidR="00BA15CA" w:rsidRPr="00F90EAE" w:rsidRDefault="00BA15CA" w:rsidP="00F90EAE">
      <w:pPr>
        <w:jc w:val="both"/>
        <w:rPr>
          <w:color w:val="000000" w:themeColor="text1"/>
          <w:sz w:val="16"/>
          <w:szCs w:val="16"/>
        </w:rPr>
      </w:pPr>
      <w:r w:rsidRPr="00F90EAE">
        <w:rPr>
          <w:color w:val="000000" w:themeColor="text1"/>
          <w:sz w:val="16"/>
          <w:szCs w:val="16"/>
        </w:rPr>
        <w:t>ЗУР «Энциан» (использовалось также обозначение FR - «Flakrakete» - зенитная ракета) разрабатывалась с 1943 г. конструкторским бюро, входившим в состав самолетостроительной фирмы «Мессершмитт». Это в определенной степени повлияло на выбор конструктивной схемы «Энциана»: беспилотный самолет «бесхвостка», по внешнему виду очень сходный с реактивным истребителем-перехватчиком Me-163. Ракета была снабжена стреловидным крылом, на задней кромке которого имелись элероны управления по крену и тангажу. На хвостовой части фюзеляжа под углом 90 град к плоскости крыла были установлены два киля со стреловидной передней кромкой и прямой задней. Для обеспечения высокой технологичности (и низкой стоимости) ракеты ее корпус монтировался из штампованных панелей из малоуглеродистой листовой стали, соединяемых методом сварки или клепки. Крылья и кили имели деревянную конструкцию, состоявшую из соснового каркаса из реек и обшивки из буковой фанеры в несколько слоев. Крыло имело стреловидность по передней кромке 30 град, его размах составлял 4,08 м. Общая длина ракеты варианта Е-1 достигала 3,5 м, диаметр корпуса равнялся 0,915 м.</w:t>
      </w:r>
    </w:p>
    <w:p w14:paraId="6D208FBC" w14:textId="77777777" w:rsidR="00BA15CA" w:rsidRPr="00F90EAE" w:rsidRDefault="00BA15CA" w:rsidP="00F90EAE">
      <w:pPr>
        <w:jc w:val="both"/>
        <w:rPr>
          <w:color w:val="000000" w:themeColor="text1"/>
          <w:sz w:val="16"/>
          <w:szCs w:val="16"/>
        </w:rPr>
      </w:pPr>
      <w:r w:rsidRPr="00F90EAE">
        <w:rPr>
          <w:color w:val="000000" w:themeColor="text1"/>
          <w:sz w:val="16"/>
          <w:szCs w:val="16"/>
        </w:rPr>
        <w:t>В передней части корпуса размещалась боевая часть с рекордным для зенитных ракет весом - 500 кг. Для подрыва взрывчатого вещества боевой части предполагалось использовать неконтактный взрыватель. Силовая установка состояла из маршевого жидкостного ракетного двигателя и четырех твердотопливных стартовых ускорителей. Подача компонентов в камеру сгорания осуществлялась под давлением сжатого воздуха. Максимальная тяга, развиваемая двигателем, составляла 2000 кгс. Каждый из этих двигателей весил 85 кг и вмещал 40 кг твердого топлива. В течение 4 секунд работы стартовые двигатели развивали тягу порядка 1750 кгс и разгоняли ракету до скорости 250 м/с, достаточной для ее запуска с пусковой установки.</w:t>
      </w:r>
    </w:p>
    <w:p w14:paraId="15370FFE" w14:textId="77777777" w:rsidR="00BA15CA" w:rsidRPr="00F90EAE" w:rsidRDefault="00BA15CA" w:rsidP="00F90EAE">
      <w:pPr>
        <w:jc w:val="both"/>
        <w:rPr>
          <w:color w:val="000000" w:themeColor="text1"/>
          <w:sz w:val="16"/>
          <w:szCs w:val="16"/>
        </w:rPr>
      </w:pPr>
      <w:r w:rsidRPr="00F90EAE">
        <w:rPr>
          <w:color w:val="000000" w:themeColor="text1"/>
          <w:sz w:val="16"/>
          <w:szCs w:val="16"/>
        </w:rPr>
        <w:t>В качестве пусковой установки использовалась стальная ферма, смонтированная на лафете 88-мм зенитной пушки. С помощью поворотных механизмов обеспечивалось круговое вращение фермы и грубое наведение установленной на ней ракеты на цель. Управление ракетой в полете осуществлялось радиокомандной системой, работающей по методу совмещения. На обнаруженную с помощью РЛС воздушную цель наводилась оптическая труба, посредством которой оператор сопровождения следил за целью. Движение этой трубы автоматически повторяла оптическая труба оператора наведения, который, наблюдая в окуляре неподвижную цель, с помощью ручки управления должен был удержать ракету на одной линии с целью.</w:t>
      </w:r>
    </w:p>
    <w:p w14:paraId="7C6D3DF0" w14:textId="77777777" w:rsidR="00BA15CA" w:rsidRPr="00F90EAE" w:rsidRDefault="00BA15CA" w:rsidP="00F90EAE">
      <w:pPr>
        <w:jc w:val="both"/>
        <w:rPr>
          <w:color w:val="000000" w:themeColor="text1"/>
          <w:sz w:val="16"/>
          <w:szCs w:val="16"/>
        </w:rPr>
      </w:pPr>
      <w:r w:rsidRPr="00F90EAE">
        <w:rPr>
          <w:color w:val="000000" w:themeColor="text1"/>
          <w:sz w:val="16"/>
          <w:szCs w:val="16"/>
        </w:rPr>
        <w:t>По имеющимся сведениям, один из вариантов ЗУР «Энциан» предназначался для использования в качестве противотанковой и противокорабельной ракеты, а также для постановки дымовых завес и выполнения других задач. Эта ракета имела систему управления по проводам, основанную на методе трех точек (15139).</w:t>
      </w:r>
    </w:p>
    <w:p w14:paraId="05EE2903" w14:textId="77777777" w:rsidR="00BA15CA" w:rsidRPr="00F90EAE" w:rsidRDefault="00BA15CA" w:rsidP="00F90EAE">
      <w:pPr>
        <w:jc w:val="both"/>
        <w:rPr>
          <w:color w:val="000000" w:themeColor="text1"/>
          <w:sz w:val="16"/>
          <w:szCs w:val="16"/>
        </w:rPr>
      </w:pPr>
    </w:p>
    <w:p w14:paraId="1CA7FF48" w14:textId="77777777" w:rsidR="00193FD5" w:rsidRPr="00F90EAE" w:rsidRDefault="00193FD5" w:rsidP="00F90EAE">
      <w:pPr>
        <w:shd w:val="clear" w:color="auto" w:fill="FFFFFF"/>
        <w:jc w:val="both"/>
        <w:textAlignment w:val="baseline"/>
        <w:rPr>
          <w:color w:val="000000" w:themeColor="text1"/>
          <w:sz w:val="16"/>
          <w:szCs w:val="16"/>
        </w:rPr>
      </w:pPr>
      <w:r w:rsidRPr="00F90EAE">
        <w:rPr>
          <w:color w:val="000000" w:themeColor="text1"/>
          <w:sz w:val="16"/>
          <w:szCs w:val="16"/>
        </w:rPr>
        <w:t>К марту 1945 года денежная масса нацистской тотальной военной экономики-таки прорвалась. Тем не менее, после войны рейхсмарка продолжала обращаться во всех зонах до лета 1948 года наравне с маркой Союзного военного командования (19844).</w:t>
      </w:r>
    </w:p>
    <w:p w14:paraId="73F9208E" w14:textId="77777777" w:rsidR="00193FD5" w:rsidRPr="00F90EAE" w:rsidRDefault="00193FD5" w:rsidP="00F90EAE">
      <w:pPr>
        <w:shd w:val="clear" w:color="auto" w:fill="FFFFFF"/>
        <w:jc w:val="both"/>
        <w:textAlignment w:val="baseline"/>
        <w:rPr>
          <w:color w:val="000000" w:themeColor="text1"/>
          <w:sz w:val="16"/>
          <w:szCs w:val="16"/>
        </w:rPr>
      </w:pPr>
    </w:p>
    <w:p w14:paraId="3762D8A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1E5C40" w14:textId="77777777" w:rsidR="00665165" w:rsidRPr="00F90EAE" w:rsidRDefault="00665165" w:rsidP="00F90EAE">
      <w:pPr>
        <w:autoSpaceDE w:val="0"/>
        <w:autoSpaceDN w:val="0"/>
        <w:adjustRightInd w:val="0"/>
        <w:jc w:val="both"/>
        <w:rPr>
          <w:iCs/>
          <w:color w:val="000000" w:themeColor="text1"/>
          <w:sz w:val="16"/>
          <w:szCs w:val="16"/>
        </w:rPr>
      </w:pPr>
    </w:p>
    <w:p w14:paraId="35C5FE6F" w14:textId="77777777" w:rsidR="000B23E5" w:rsidRPr="00F90EAE" w:rsidRDefault="000B23E5" w:rsidP="00F90EAE">
      <w:pPr>
        <w:jc w:val="both"/>
        <w:rPr>
          <w:color w:val="000000" w:themeColor="text1"/>
          <w:sz w:val="16"/>
          <w:szCs w:val="16"/>
        </w:rPr>
      </w:pPr>
      <w:r w:rsidRPr="00F90EAE">
        <w:rPr>
          <w:color w:val="000000" w:themeColor="text1"/>
          <w:sz w:val="16"/>
          <w:szCs w:val="16"/>
        </w:rPr>
        <w:t>К весне 1945 г. прекращение в сентябре 1944 г. се</w:t>
      </w:r>
      <w:r w:rsidRPr="00F90EAE">
        <w:rPr>
          <w:color w:val="000000" w:themeColor="text1"/>
          <w:sz w:val="16"/>
          <w:szCs w:val="16"/>
        </w:rPr>
        <w:softHyphen/>
        <w:t>рийного выпуска Нз129 привело к тому, что на «хеншелях» летали только две эскадрильи. Остальные из-за потерь были расформированы.</w:t>
      </w:r>
    </w:p>
    <w:p w14:paraId="07BEB37B" w14:textId="77777777" w:rsidR="000B23E5" w:rsidRPr="00F90EAE" w:rsidRDefault="000B23E5" w:rsidP="00F90EAE">
      <w:pPr>
        <w:jc w:val="both"/>
        <w:rPr>
          <w:color w:val="000000" w:themeColor="text1"/>
          <w:sz w:val="16"/>
          <w:szCs w:val="16"/>
        </w:rPr>
      </w:pPr>
      <w:r w:rsidRPr="00F90EAE">
        <w:rPr>
          <w:color w:val="000000" w:themeColor="text1"/>
          <w:sz w:val="16"/>
          <w:szCs w:val="16"/>
        </w:rPr>
        <w:t>Отметим, что на невысокую эффектив</w:t>
      </w:r>
      <w:r w:rsidRPr="00F90EAE">
        <w:rPr>
          <w:color w:val="000000" w:themeColor="text1"/>
          <w:sz w:val="16"/>
          <w:szCs w:val="16"/>
        </w:rPr>
        <w:softHyphen/>
        <w:t>ность непосредственной авиационной поддержки войск вермахта немалую роль сыграло завоевание ВВС КА с лета 1943 г. стратегического господства в воздухе, в результате чего штурмовики люфтваффе утратили всякую инициативу действий в воздухе над полем боя.</w:t>
      </w:r>
    </w:p>
    <w:p w14:paraId="39F83047" w14:textId="77777777" w:rsidR="000B23E5" w:rsidRPr="00F90EAE" w:rsidRDefault="000B23E5" w:rsidP="00F90EAE">
      <w:pPr>
        <w:jc w:val="both"/>
        <w:rPr>
          <w:color w:val="000000" w:themeColor="text1"/>
          <w:sz w:val="16"/>
          <w:szCs w:val="16"/>
        </w:rPr>
      </w:pPr>
      <w:r w:rsidRPr="00F90EAE">
        <w:rPr>
          <w:color w:val="000000" w:themeColor="text1"/>
          <w:sz w:val="16"/>
          <w:szCs w:val="16"/>
        </w:rPr>
        <w:t>Таким образом, весь ход боевых дей</w:t>
      </w:r>
      <w:r w:rsidRPr="00F90EAE">
        <w:rPr>
          <w:color w:val="000000" w:themeColor="text1"/>
          <w:sz w:val="16"/>
          <w:szCs w:val="16"/>
        </w:rPr>
        <w:softHyphen/>
        <w:t>ствий на восточном фронте показывает, что люфтваффе ни к началу войны, ни в ходе во</w:t>
      </w:r>
      <w:r w:rsidRPr="00F90EAE">
        <w:rPr>
          <w:color w:val="000000" w:themeColor="text1"/>
          <w:sz w:val="16"/>
          <w:szCs w:val="16"/>
        </w:rPr>
        <w:softHyphen/>
        <w:t>йны не имели хорошего противотанкового самолета. Немецкая концепция построения боевых сил авиации непосредственной поддержки войск в условиях затяжной во</w:t>
      </w:r>
      <w:r w:rsidRPr="00F90EAE">
        <w:rPr>
          <w:color w:val="000000" w:themeColor="text1"/>
          <w:sz w:val="16"/>
          <w:szCs w:val="16"/>
        </w:rPr>
        <w:softHyphen/>
        <w:t>йны оказалась несостоятельной..(12728).</w:t>
      </w:r>
    </w:p>
    <w:p w14:paraId="0160EF49" w14:textId="77777777" w:rsidR="000B23E5" w:rsidRPr="00F90EAE" w:rsidRDefault="000B23E5" w:rsidP="00F90EAE">
      <w:pPr>
        <w:jc w:val="both"/>
        <w:rPr>
          <w:color w:val="000000" w:themeColor="text1"/>
          <w:sz w:val="16"/>
          <w:szCs w:val="16"/>
        </w:rPr>
      </w:pPr>
    </w:p>
    <w:p w14:paraId="7EC86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весне 1945 г. на Ту-2 перевооружили три полка 113-й отдельной бад. В декабре 1944 г. ей предписали покинуть Карельский фронт и сдать самолеты Ил-4 ВВС Северного флота. В дивизию входили 55-й, 815-й и 836-й бап. Их перебазировали в Тулу, Малино и Луховицы, куда стали перегонять бомбардировщики с завода № 23. Весь 815-й бап укомплектовали самолетами, подаренными Туркменией. Их было 34. На фюзеляжах машин была надпись "Имени 20-летия Туркменской ССР". В состав 836-го бап входила эскадрилья "Мещовский колхозник" с соответствующими надписями.</w:t>
      </w:r>
    </w:p>
    <w:p w14:paraId="6A4AD4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Первоначальную подготовку командиры прошли в Москве, их обучали на заводском аэродроме заводские испытатели. Основная же часть летчиков переучивалась на месте. Пройдя курс боевого применения с бомбометанием и воздушной стрельбой, в марте 113-я бад под командованием</w:t>
      </w:r>
    </w:p>
    <w:p w14:paraId="53CD5F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том же месяце 334,113-ю и 326-ю дивизии объединили в 6-й бомбардировочный корпус, командиром которого стал Скок, получивший звание генерал-майора. Его место во главе 334-й дивизии занял полковник Ф.Д. Белый. Этот корпус принял участие в завершающих операциях Великой Отечественной войны в Прибалтике, Польше и Германии.</w:t>
      </w:r>
    </w:p>
    <w:p w14:paraId="08E28C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частности, он привлекался к массированным налетам на Кенигсберг в начале апреля 1945 г. В ударах по осажденному городу участвовали более 1000 бомбардировщиков разных типов. Ту-2 делали до трех вылетов день. Немцы ожесточенно сопротивлялись. Немало самолетов было сбито истребителями и зенитчиками противника. 11 марта 1945 г. центр Кенигсберга бомбила группа машин 840-го бап. Один Ту-2 был подожжен вражеским истребителем. Экипаж выбросился на парашютах, но немецкие истребители расстреляли парашютистов в воздухе. Лишь стрелок, старший сержант Х.Х. Хали- лов, приземлился на городской улице. Он попал в плен, вместе с другими пленными его вывезли морем и, в конце концов Халилов был освобожден американскими войсками.</w:t>
      </w:r>
    </w:p>
    <w:p w14:paraId="7622C8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К середине весны 1945 г. все части корпуса уже дислоцировались на аэродромах Польши и Германии, само же соединение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Берлин. Дожди размягчили полевые аэродромы. Поэтому в Германии под взлетные полосы приспособили отрезки автобанов. Берлинская операция началась 16 апреля. С первого дня бомбардировщики наносили удары по обороне противника. Так, 20 апреля 18 Ту-2 6-го бап, вылетевшие с прикрытием из 24 истребителей, бомбили внутренний обвод обороны германской столицы. </w:t>
      </w:r>
    </w:p>
    <w:p w14:paraId="2F84E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зависимости от характера цели количество самолетов варьировалось. Могли поднять в воздух целую дивизию. Так, 113-я бад неоднократно вылетала в составе 90 - 120 машин. Но могли отправить на задание полк, эскадрилью или звено, а иногда и один самолет. Ту-2 работали по целям на глубину 250 - 300 км от линии фронта. Использовались разнообразные типы бомб: фугасные, осколочные, зажигательные и противотанковые. Нередко брали по максимуму - до 3000 кг на самолет. Чаще всего бомбометание осуществлялось с высот 1000 - 3000 м, но при бомбежке мостов и опорных пунктов обороны самолеты иногда снижались до 300 - 500 м. Практиковался сброс бомб залпом или серией по ведущему группы, а также с индивидуальным прицеливанием. Кроме бомб, сбрасывались листовки, предлагавшие немцам прекратить бессмысленное сопротивление. В среднем каждый Ту-2 совершал 1,5 боевого вылета в день.</w:t>
      </w:r>
    </w:p>
    <w:p w14:paraId="19F3EC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Группы Ту-2 сопровождались истребителями - по одному на каждые два-три бомбардировщика. Но они и сами неплохо могли постоять за себя. При появлении немецких истребителей бомбардировщики смыкались в плотный строй, поддерживая друг друга огнем. Чем больше группа, тем эффективнее была оборона.</w:t>
      </w:r>
    </w:p>
    <w:p w14:paraId="3DBEE9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 апреля началось окружение Берлина и завязались бои в городе. В тот же день шесть девяток Ту-2 сбросили 97 т бомб на центр столицы. Летчикам пришлось отыскивать цели в мешанине улиц. Зато на путь от базовых аэродромов 113-й дивизии до цели уходило не более 20 минут. Поэтому нередко делали до трех вылетов в день. 6-й бап летал из Польши, с аэродрома Заган. 25 апреля был запланирован массированный налет на окрестности Имперской канцелярии. Но из-за плохой погоды из шести полков на цель вышел лишь один - 6-й. 18 самолетов обрушили бомбы на последний оплот обороны противника. Последний боевой вылет в Европе Ту-2 совершили 2 мая в окрестностях Берлина (11988).</w:t>
      </w:r>
    </w:p>
    <w:p w14:paraId="60014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Все это время Ту-2 использовались и в качестве разведчиков. Их эксплуатировали в упоминавшемся ранее 47-м гв. орап. Поскольку приоритет в поставке новой техники в 1944 г. отдали бомбардировочным полкам, у воздушных разведчиков их оставалось все меньше и меньше. Так, в июне 1944 г. самолет майора А. Дрыгина, летавший на разведку Барановичей, перед самым фотографированием был атакован парой... Як-9. Несмотря на усилия стрелков, один из истребителей поджег мотор </w:t>
      </w:r>
      <w:r w:rsidRPr="00F90EAE">
        <w:rPr>
          <w:color w:val="000000" w:themeColor="text1"/>
          <w:sz w:val="16"/>
          <w:szCs w:val="16"/>
        </w:rPr>
        <w:lastRenderedPageBreak/>
        <w:t>разведчика. Дры- гин сумел скрыться от преследователей, а затем совершил вынужденную посадку на "пузо" на своей территории. Приземлившись в чистом поле, летчики забрали отснятые кассеты и пошли дальше пешком. Предполагают, что на трофейных Як-9 летали немецкие "охотники".</w:t>
      </w:r>
    </w:p>
    <w:p w14:paraId="2CA581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августа 1944 г. Ту-2, пилотируемый тем же Дрыгиным, впервые прошел над Берлином. "На память" остались прекрасные снимки, сделанные при свете дня с высоты 8000 м. Таким образом, этот самолет стал первой советской машиной, появившейся над германской столицей после 1941 г., и первой, пролетевшей над ней днем.</w:t>
      </w:r>
    </w:p>
    <w:p w14:paraId="64756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 в 1-й эскадрилье 47-го гв. орап насчитывалось всего два Ту-2. Поэтому самолеты берегли и посылали только на самые ответственные задания. Туполевс- кая машина могла забраться дальше, чем Пе-2, и отличалась более высокой обороноспособностью. Так, 20 марта экипаж старшего лейтенанта К. Дунаевского фотографировал немецкий ракетный полигон в Свинемюнде после налета авиации союзников. При подготовке к Берлинской операции Ту-2 неоднократно проводили съемку города и его окрестностей.</w:t>
      </w:r>
    </w:p>
    <w:p w14:paraId="05F654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не вернулась из полета над Берлином машина Дунаевского. Весь экипаж погиб. Предполагают, что самолет сбили немецкие зенитчики. Это была последняя военная потеря полка.</w:t>
      </w:r>
    </w:p>
    <w:p w14:paraId="56143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Германия капитулировала. Известие было радостно встречено всеми. Но на самом деле война не кончилась - это была лишь короткая передышка (11988).</w:t>
      </w:r>
    </w:p>
    <w:p w14:paraId="5FE51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Ту-2 в частях и соединениях ВВС (исправных/неисправных)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561F31" w:rsidRPr="00F90EAE" w14:paraId="510C6B5F" w14:textId="77777777">
        <w:tc>
          <w:tcPr>
            <w:tcW w:w="2802" w:type="dxa"/>
            <w:tcBorders>
              <w:top w:val="single" w:sz="12" w:space="0" w:color="auto"/>
            </w:tcBorders>
          </w:tcPr>
          <w:p w14:paraId="71F86F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19.11.42</w:t>
            </w:r>
          </w:p>
        </w:tc>
        <w:tc>
          <w:tcPr>
            <w:tcW w:w="2802" w:type="dxa"/>
            <w:tcBorders>
              <w:top w:val="single" w:sz="12" w:space="0" w:color="auto"/>
            </w:tcBorders>
          </w:tcPr>
          <w:p w14:paraId="62CD9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3-я воздушная армия (Калининский фронт) </w:t>
            </w:r>
          </w:p>
        </w:tc>
        <w:tc>
          <w:tcPr>
            <w:tcW w:w="2802" w:type="dxa"/>
            <w:tcBorders>
              <w:top w:val="single" w:sz="12" w:space="0" w:color="auto"/>
            </w:tcBorders>
          </w:tcPr>
          <w:p w14:paraId="05420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- 17/2</w:t>
            </w:r>
          </w:p>
        </w:tc>
      </w:tr>
      <w:tr w:rsidR="00561F31" w:rsidRPr="00F90EAE" w14:paraId="53AD276D" w14:textId="77777777">
        <w:tc>
          <w:tcPr>
            <w:tcW w:w="2802" w:type="dxa"/>
          </w:tcPr>
          <w:p w14:paraId="648007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01.01.45</w:t>
            </w:r>
          </w:p>
        </w:tc>
        <w:tc>
          <w:tcPr>
            <w:tcW w:w="2802" w:type="dxa"/>
          </w:tcPr>
          <w:p w14:paraId="1EABF0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3-я воздушная армия (1-й Прибалтийский фронт)</w:t>
            </w:r>
          </w:p>
        </w:tc>
        <w:tc>
          <w:tcPr>
            <w:tcW w:w="2802" w:type="dxa"/>
          </w:tcPr>
          <w:p w14:paraId="4525BC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- 112/12</w:t>
            </w:r>
          </w:p>
        </w:tc>
      </w:tr>
      <w:tr w:rsidR="00561F31" w:rsidRPr="00F90EAE" w14:paraId="20F78B42" w14:textId="77777777">
        <w:tc>
          <w:tcPr>
            <w:tcW w:w="2802" w:type="dxa"/>
          </w:tcPr>
          <w:p w14:paraId="34CE6A79"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DD770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4-я воздушная армия (3-й Белорусский фронт)</w:t>
            </w:r>
          </w:p>
        </w:tc>
        <w:tc>
          <w:tcPr>
            <w:tcW w:w="2802" w:type="dxa"/>
          </w:tcPr>
          <w:p w14:paraId="7D0AC3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- 94/2 </w:t>
            </w:r>
          </w:p>
        </w:tc>
      </w:tr>
      <w:tr w:rsidR="00561F31" w:rsidRPr="00F90EAE" w14:paraId="4DCDDDB5" w14:textId="77777777">
        <w:tc>
          <w:tcPr>
            <w:tcW w:w="2802" w:type="dxa"/>
          </w:tcPr>
          <w:p w14:paraId="53A61D0C"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26B526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7-я воздушная армия (резерв)</w:t>
            </w:r>
          </w:p>
        </w:tc>
        <w:tc>
          <w:tcPr>
            <w:tcW w:w="2802" w:type="dxa"/>
          </w:tcPr>
          <w:p w14:paraId="0E9038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- 72/0</w:t>
            </w:r>
          </w:p>
        </w:tc>
      </w:tr>
      <w:tr w:rsidR="00561F31" w:rsidRPr="00F90EAE" w14:paraId="12E701E6" w14:textId="77777777">
        <w:tc>
          <w:tcPr>
            <w:tcW w:w="2802" w:type="dxa"/>
          </w:tcPr>
          <w:p w14:paraId="6DBF57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10.05.45</w:t>
            </w:r>
          </w:p>
        </w:tc>
        <w:tc>
          <w:tcPr>
            <w:tcW w:w="2802" w:type="dxa"/>
          </w:tcPr>
          <w:p w14:paraId="609AEE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1-я воздушная армия (Белорусский фронт) </w:t>
            </w:r>
          </w:p>
        </w:tc>
        <w:tc>
          <w:tcPr>
            <w:tcW w:w="2802" w:type="dxa"/>
          </w:tcPr>
          <w:p w14:paraId="32AF8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- 146/33</w:t>
            </w:r>
          </w:p>
        </w:tc>
      </w:tr>
      <w:tr w:rsidR="00561F31" w:rsidRPr="00F90EAE" w14:paraId="5A5DE7D9" w14:textId="77777777">
        <w:tc>
          <w:tcPr>
            <w:tcW w:w="2802" w:type="dxa"/>
            <w:tcBorders>
              <w:bottom w:val="single" w:sz="12" w:space="0" w:color="auto"/>
            </w:tcBorders>
          </w:tcPr>
          <w:p w14:paraId="434095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9.08.45 (против Японии)</w:t>
            </w:r>
          </w:p>
        </w:tc>
        <w:tc>
          <w:tcPr>
            <w:tcW w:w="2802" w:type="dxa"/>
            <w:tcBorders>
              <w:bottom w:val="single" w:sz="12" w:space="0" w:color="auto"/>
            </w:tcBorders>
          </w:tcPr>
          <w:p w14:paraId="1FAF15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12-я воздушная армия (Забайкальский фронт) </w:t>
            </w:r>
          </w:p>
        </w:tc>
        <w:tc>
          <w:tcPr>
            <w:tcW w:w="2802" w:type="dxa"/>
            <w:tcBorders>
              <w:bottom w:val="single" w:sz="12" w:space="0" w:color="auto"/>
            </w:tcBorders>
          </w:tcPr>
          <w:p w14:paraId="1ADAE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- 269/18</w:t>
            </w:r>
          </w:p>
        </w:tc>
      </w:tr>
    </w:tbl>
    <w:p w14:paraId="5F945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(11988).</w:t>
      </w:r>
    </w:p>
    <w:p w14:paraId="588A49C2" w14:textId="77777777" w:rsidR="00665165" w:rsidRPr="00F90EAE" w:rsidRDefault="00665165" w:rsidP="00F90EAE">
      <w:pPr>
        <w:autoSpaceDE w:val="0"/>
        <w:autoSpaceDN w:val="0"/>
        <w:adjustRightInd w:val="0"/>
        <w:jc w:val="both"/>
        <w:rPr>
          <w:color w:val="000000" w:themeColor="text1"/>
          <w:sz w:val="16"/>
          <w:szCs w:val="16"/>
        </w:rPr>
      </w:pPr>
    </w:p>
    <w:p w14:paraId="423A5C2D" w14:textId="77777777" w:rsidR="00BF18D8" w:rsidRPr="00F90EAE" w:rsidRDefault="00BF18D8" w:rsidP="00F90EAE">
      <w:pPr>
        <w:jc w:val="both"/>
        <w:rPr>
          <w:color w:val="0070C0"/>
          <w:sz w:val="16"/>
          <w:szCs w:val="16"/>
        </w:rPr>
      </w:pPr>
      <w:r w:rsidRPr="00F90EAE">
        <w:rPr>
          <w:color w:val="0070C0"/>
          <w:sz w:val="16"/>
          <w:szCs w:val="16"/>
          <w:lang w:bidi="ru-RU"/>
        </w:rPr>
        <w:t>К весне 1945 г. на Ту-2 перевоору</w:t>
      </w:r>
      <w:r w:rsidRPr="00F90EAE">
        <w:rPr>
          <w:color w:val="0070C0"/>
          <w:sz w:val="16"/>
          <w:szCs w:val="16"/>
          <w:lang w:bidi="ru-RU"/>
        </w:rPr>
        <w:softHyphen/>
        <w:t>жили три полка 115-й отдельной бад. В декабре 1944 г. ей предписали покинуть Карельский фронт и сдать самолеты Ил-4 ВВС Северного флота. В дивизию вхо</w:t>
      </w:r>
      <w:r w:rsidRPr="00F90EAE">
        <w:rPr>
          <w:color w:val="0070C0"/>
          <w:sz w:val="16"/>
          <w:szCs w:val="16"/>
          <w:lang w:bidi="ru-RU"/>
        </w:rPr>
        <w:softHyphen/>
        <w:t>дили 55-й, 815-й и 856-й бап. Их переба</w:t>
      </w:r>
      <w:r w:rsidRPr="00F90EAE">
        <w:rPr>
          <w:color w:val="0070C0"/>
          <w:sz w:val="16"/>
          <w:szCs w:val="16"/>
          <w:lang w:bidi="ru-RU"/>
        </w:rPr>
        <w:softHyphen/>
        <w:t>зировали в Тулу, Малино и Луховицы, куда стали перегонять бомбардировщики с завода №22. Весь 815-й бап укомплекто</w:t>
      </w:r>
      <w:r w:rsidRPr="00F90EAE">
        <w:rPr>
          <w:color w:val="0070C0"/>
          <w:sz w:val="16"/>
          <w:szCs w:val="16"/>
          <w:lang w:bidi="ru-RU"/>
        </w:rPr>
        <w:softHyphen/>
        <w:t>вали самолетами, подаренными Туркме</w:t>
      </w:r>
      <w:r w:rsidRPr="00F90EAE">
        <w:rPr>
          <w:color w:val="0070C0"/>
          <w:sz w:val="16"/>
          <w:szCs w:val="16"/>
          <w:lang w:bidi="ru-RU"/>
        </w:rPr>
        <w:softHyphen/>
        <w:t>нией. Их было 54. На фюзеляжах машин была надпись «Имени 20-летия Туркмен</w:t>
      </w:r>
      <w:r w:rsidRPr="00F90EAE">
        <w:rPr>
          <w:color w:val="0070C0"/>
          <w:sz w:val="16"/>
          <w:szCs w:val="16"/>
          <w:lang w:bidi="ru-RU"/>
        </w:rPr>
        <w:softHyphen/>
        <w:t>ской ССР». В состав 856-го бап входила эскадрилья «Мещовский колхозник» с со</w:t>
      </w:r>
      <w:r w:rsidRPr="00F90EAE">
        <w:rPr>
          <w:color w:val="0070C0"/>
          <w:sz w:val="16"/>
          <w:szCs w:val="16"/>
          <w:lang w:bidi="ru-RU"/>
        </w:rPr>
        <w:softHyphen/>
        <w:t>ответствующими надписями.</w:t>
      </w:r>
    </w:p>
    <w:p w14:paraId="53EF0862" w14:textId="77777777" w:rsidR="00BF18D8" w:rsidRPr="00F90EAE" w:rsidRDefault="00BF18D8" w:rsidP="00F90EAE">
      <w:pPr>
        <w:jc w:val="both"/>
        <w:rPr>
          <w:color w:val="0070C0"/>
          <w:sz w:val="16"/>
          <w:szCs w:val="16"/>
        </w:rPr>
      </w:pPr>
      <w:r w:rsidRPr="00F90EAE">
        <w:rPr>
          <w:color w:val="0070C0"/>
          <w:sz w:val="16"/>
          <w:szCs w:val="16"/>
          <w:lang w:bidi="ru-RU"/>
        </w:rPr>
        <w:t>Первоначальную подготовку коман</w:t>
      </w:r>
      <w:r w:rsidRPr="00F90EAE">
        <w:rPr>
          <w:color w:val="0070C0"/>
          <w:sz w:val="16"/>
          <w:szCs w:val="16"/>
          <w:lang w:bidi="ru-RU"/>
        </w:rPr>
        <w:softHyphen/>
        <w:t>диры прошли в Москве, их обучали на заводском аэродроме заводские испыта</w:t>
      </w:r>
      <w:r w:rsidRPr="00F90EAE">
        <w:rPr>
          <w:color w:val="0070C0"/>
          <w:sz w:val="16"/>
          <w:szCs w:val="16"/>
          <w:lang w:bidi="ru-RU"/>
        </w:rPr>
        <w:softHyphen/>
        <w:t>тели. Основная же часть летного состава переучивалась на месте. Пройдя курс боевого применения с бомбометанием и воздушной стрельбой, в марте 115-я бад под командованием М.С. Финогенова была переброшена в Польшу, в окрест</w:t>
      </w:r>
      <w:r w:rsidRPr="00F90EAE">
        <w:rPr>
          <w:color w:val="0070C0"/>
          <w:sz w:val="16"/>
          <w:szCs w:val="16"/>
          <w:lang w:bidi="ru-RU"/>
        </w:rPr>
        <w:softHyphen/>
        <w:t>ности Познани.</w:t>
      </w:r>
    </w:p>
    <w:p w14:paraId="14216FDF" w14:textId="77777777" w:rsidR="00BF18D8" w:rsidRPr="00F90EAE" w:rsidRDefault="00BF18D8" w:rsidP="00F90EAE">
      <w:pPr>
        <w:jc w:val="both"/>
        <w:rPr>
          <w:color w:val="0070C0"/>
          <w:sz w:val="16"/>
          <w:szCs w:val="16"/>
        </w:rPr>
      </w:pPr>
      <w:r w:rsidRPr="00F90EAE">
        <w:rPr>
          <w:color w:val="0070C0"/>
          <w:sz w:val="16"/>
          <w:szCs w:val="16"/>
          <w:lang w:bidi="ru-RU"/>
        </w:rPr>
        <w:t>В том же месяце 554-ю, 115-ю и 526-ю дивизии объединили в 6-й бом</w:t>
      </w:r>
      <w:r w:rsidRPr="00F90EAE">
        <w:rPr>
          <w:color w:val="0070C0"/>
          <w:sz w:val="16"/>
          <w:szCs w:val="16"/>
          <w:lang w:bidi="ru-RU"/>
        </w:rPr>
        <w:softHyphen/>
        <w:t>бардировочный корпус, командиром ко</w:t>
      </w:r>
      <w:r w:rsidRPr="00F90EAE">
        <w:rPr>
          <w:color w:val="0070C0"/>
          <w:sz w:val="16"/>
          <w:szCs w:val="16"/>
          <w:lang w:bidi="ru-RU"/>
        </w:rPr>
        <w:softHyphen/>
        <w:t>торого стал И.П. Скок, получивший зва</w:t>
      </w:r>
      <w:r w:rsidRPr="00F90EAE">
        <w:rPr>
          <w:color w:val="0070C0"/>
          <w:sz w:val="16"/>
          <w:szCs w:val="16"/>
          <w:lang w:bidi="ru-RU"/>
        </w:rPr>
        <w:softHyphen/>
        <w:t>ние генерал-майора. Его место во главе 554-й дивизии занял полковник Ф.Д. Бе</w:t>
      </w:r>
      <w:r w:rsidRPr="00F90EAE">
        <w:rPr>
          <w:color w:val="0070C0"/>
          <w:sz w:val="16"/>
          <w:szCs w:val="16"/>
          <w:lang w:bidi="ru-RU"/>
        </w:rPr>
        <w:softHyphen/>
        <w:t>лый. Этот корпус принял участие в за</w:t>
      </w:r>
      <w:r w:rsidRPr="00F90EAE">
        <w:rPr>
          <w:color w:val="0070C0"/>
          <w:sz w:val="16"/>
          <w:szCs w:val="16"/>
          <w:lang w:bidi="ru-RU"/>
        </w:rPr>
        <w:softHyphen/>
        <w:t>вершающих операциях Великой Отече</w:t>
      </w:r>
      <w:r w:rsidRPr="00F90EAE">
        <w:rPr>
          <w:color w:val="0070C0"/>
          <w:sz w:val="16"/>
          <w:szCs w:val="16"/>
          <w:lang w:bidi="ru-RU"/>
        </w:rPr>
        <w:softHyphen/>
        <w:t>ственной войны в Прибалтике, Польше и Германии.</w:t>
      </w:r>
    </w:p>
    <w:p w14:paraId="61CD7070" w14:textId="77777777" w:rsidR="00BF18D8" w:rsidRPr="00F90EAE" w:rsidRDefault="00BF18D8" w:rsidP="00F90EAE">
      <w:pPr>
        <w:jc w:val="both"/>
        <w:rPr>
          <w:color w:val="0070C0"/>
          <w:sz w:val="16"/>
          <w:szCs w:val="16"/>
          <w:lang w:bidi="ru-RU"/>
        </w:rPr>
      </w:pPr>
      <w:r w:rsidRPr="00F90EAE">
        <w:rPr>
          <w:color w:val="0070C0"/>
          <w:sz w:val="16"/>
          <w:szCs w:val="16"/>
          <w:lang w:bidi="ru-RU"/>
        </w:rPr>
        <w:t>В частности, он привлекался к масси</w:t>
      </w:r>
      <w:r w:rsidRPr="00F90EAE">
        <w:rPr>
          <w:color w:val="0070C0"/>
          <w:sz w:val="16"/>
          <w:szCs w:val="16"/>
          <w:lang w:bidi="ru-RU"/>
        </w:rPr>
        <w:softHyphen/>
        <w:t>рованным налетам на Кенигсберг в на</w:t>
      </w:r>
      <w:r w:rsidRPr="00F90EAE">
        <w:rPr>
          <w:color w:val="0070C0"/>
          <w:sz w:val="16"/>
          <w:szCs w:val="16"/>
          <w:lang w:bidi="ru-RU"/>
        </w:rPr>
        <w:softHyphen/>
        <w:t>чале апреля 1945 г. В ударах по осажден</w:t>
      </w:r>
      <w:r w:rsidRPr="00F90EAE">
        <w:rPr>
          <w:color w:val="0070C0"/>
          <w:sz w:val="16"/>
          <w:szCs w:val="16"/>
          <w:lang w:bidi="ru-RU"/>
        </w:rPr>
        <w:softHyphen/>
        <w:t>ному городу участвовали более 1000 бом</w:t>
      </w:r>
      <w:r w:rsidRPr="00F90EAE">
        <w:rPr>
          <w:color w:val="0070C0"/>
          <w:sz w:val="16"/>
          <w:szCs w:val="16"/>
          <w:lang w:bidi="ru-RU"/>
        </w:rPr>
        <w:softHyphen/>
        <w:t>бардировщиков разных типов. Ту-2 делали до трех вылетов день. Немцы оже</w:t>
      </w:r>
      <w:r w:rsidRPr="00F90EAE">
        <w:rPr>
          <w:color w:val="0070C0"/>
          <w:sz w:val="16"/>
          <w:szCs w:val="16"/>
          <w:lang w:bidi="ru-RU"/>
        </w:rPr>
        <w:softHyphen/>
        <w:t>сточенно сопротивлялись. Немало само</w:t>
      </w:r>
      <w:r w:rsidRPr="00F90EAE">
        <w:rPr>
          <w:color w:val="0070C0"/>
          <w:sz w:val="16"/>
          <w:szCs w:val="16"/>
          <w:lang w:bidi="ru-RU"/>
        </w:rPr>
        <w:softHyphen/>
        <w:t>летов было сбито истребителями и зе</w:t>
      </w:r>
      <w:r w:rsidRPr="00F90EAE">
        <w:rPr>
          <w:color w:val="0070C0"/>
          <w:sz w:val="16"/>
          <w:szCs w:val="16"/>
          <w:lang w:bidi="ru-RU"/>
        </w:rPr>
        <w:softHyphen/>
        <w:t>нитчиками противника. 11 марта 1945 г. центр Кенигсберга бомбила группа ма</w:t>
      </w:r>
      <w:r w:rsidRPr="00F90EAE">
        <w:rPr>
          <w:color w:val="0070C0"/>
          <w:sz w:val="16"/>
          <w:szCs w:val="16"/>
          <w:lang w:bidi="ru-RU"/>
        </w:rPr>
        <w:softHyphen/>
        <w:t>шин 840-го бап. Один Ту-2 был подожжен вражеским истребителем. Экипаж выбро</w:t>
      </w:r>
      <w:r w:rsidRPr="00F90EAE">
        <w:rPr>
          <w:color w:val="0070C0"/>
          <w:sz w:val="16"/>
          <w:szCs w:val="16"/>
          <w:lang w:bidi="ru-RU"/>
        </w:rPr>
        <w:softHyphen/>
        <w:t>сился на парашютах, но немецкие истре</w:t>
      </w:r>
      <w:r w:rsidRPr="00F90EAE">
        <w:rPr>
          <w:color w:val="0070C0"/>
          <w:sz w:val="16"/>
          <w:szCs w:val="16"/>
          <w:lang w:bidi="ru-RU"/>
        </w:rPr>
        <w:softHyphen/>
        <w:t>бители расстреляли парашютистов в воз</w:t>
      </w:r>
      <w:r w:rsidRPr="00F90EAE">
        <w:rPr>
          <w:color w:val="0070C0"/>
          <w:sz w:val="16"/>
          <w:szCs w:val="16"/>
          <w:lang w:bidi="ru-RU"/>
        </w:rPr>
        <w:softHyphen/>
        <w:t>духе. Лишь стрелок, старший сержант Х.Х. Халилов, приземлился на городской улице. Он попал в плен, вместе с другими пленными его вывезли морем, и в конце концов Халилов был освобожден амери</w:t>
      </w:r>
      <w:r w:rsidRPr="00F90EAE">
        <w:rPr>
          <w:color w:val="0070C0"/>
          <w:sz w:val="16"/>
          <w:szCs w:val="16"/>
          <w:lang w:bidi="ru-RU"/>
        </w:rPr>
        <w:softHyphen/>
        <w:t>канскими войсками (21060).</w:t>
      </w:r>
    </w:p>
    <w:p w14:paraId="215F5BE5" w14:textId="77777777" w:rsidR="00BF18D8" w:rsidRPr="00F90EAE" w:rsidRDefault="00BF18D8" w:rsidP="00F90EAE">
      <w:pPr>
        <w:jc w:val="both"/>
        <w:rPr>
          <w:color w:val="0070C0"/>
          <w:sz w:val="16"/>
          <w:szCs w:val="16"/>
        </w:rPr>
      </w:pPr>
    </w:p>
    <w:p w14:paraId="4C3C6C8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51C0A60" w14:textId="77777777" w:rsidR="00665165" w:rsidRPr="00F90EAE" w:rsidRDefault="00665165" w:rsidP="00F90EAE">
      <w:pPr>
        <w:autoSpaceDE w:val="0"/>
        <w:autoSpaceDN w:val="0"/>
        <w:adjustRightInd w:val="0"/>
        <w:jc w:val="both"/>
        <w:rPr>
          <w:iCs/>
          <w:color w:val="000000" w:themeColor="text1"/>
          <w:sz w:val="16"/>
          <w:szCs w:val="16"/>
        </w:rPr>
      </w:pPr>
    </w:p>
    <w:p w14:paraId="5FC6D9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закончились контрольные испытания Пе-2 N 6/424 с ВИШ-105СВ 22 завода выпуска января 1945 с моторами 16 завода, которые проводились с 17 февраля 1945 (806,8).</w:t>
      </w:r>
    </w:p>
    <w:p w14:paraId="6A91A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Лапин утвердил Акт по контрольным испытаниям Пе-2 винт ВИШ-105СВ с регулятором Р-7А</w:t>
      </w:r>
    </w:p>
    <w:p w14:paraId="71AE9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N 6/424 с ВИШ-105СВ 22 завода выпуска января 1945 с моторами пр-ва завода № 16</w:t>
      </w:r>
    </w:p>
    <w:p w14:paraId="51059E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 проходили с 17 февраля по 1 марта 1945</w:t>
      </w:r>
    </w:p>
    <w:p w14:paraId="5FB0DF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полета продолжительностью 17 час. 5 мин. (806,8).</w:t>
      </w:r>
    </w:p>
    <w:p w14:paraId="1F77FC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Ви и/к-н М.В.Самочетов</w:t>
      </w:r>
    </w:p>
    <w:p w14:paraId="5926C1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В.М.Шульгин.</w:t>
      </w:r>
    </w:p>
    <w:p w14:paraId="3ECA43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предыдущих испытаний.</w:t>
      </w:r>
    </w:p>
    <w:p w14:paraId="708116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октябре 1944 в НИИ ВВС испытывался серийный Пе-2 № 14/350 пр-ва з-да 22, выпуска июля 1944 с мотором з-да № 16.</w:t>
      </w:r>
    </w:p>
    <w:p w14:paraId="23455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6382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2A28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500262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068A0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с-та № 14/350, испытанного в октябре 1944 в ГК НИИ ВВС, с-т № 6/424 отличается:</w:t>
      </w:r>
    </w:p>
    <w:p w14:paraId="77377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с-ту</w:t>
      </w:r>
    </w:p>
    <w:p w14:paraId="254C8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улучшена аэродинамика с-та</w:t>
      </w:r>
    </w:p>
    <w:p w14:paraId="03EAED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улучшена заделка обшивки на стыках агрегатов, ленты перекрытия сняты, а обшивка соединена встык</w:t>
      </w:r>
    </w:p>
    <w:p w14:paraId="66A6B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установлена металлическая перегородка герметизации в Ф-3</w:t>
      </w:r>
    </w:p>
    <w:p w14:paraId="253371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Подшпаклеваны носки крыла, ЦП, Ф-1, стабилизатора и килей</w:t>
      </w:r>
    </w:p>
    <w:p w14:paraId="4186B4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67CE66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установлены форточки на амбразуры для бортового пулемета и т.п.</w:t>
      </w:r>
    </w:p>
    <w:p w14:paraId="744F8B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2AAC91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39497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агрегат газового запуска мотора</w:t>
      </w:r>
    </w:p>
    <w:p w14:paraId="51F93C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w:t>
      </w:r>
    </w:p>
    <w:p w14:paraId="61A34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однолучевая антенна для РСБ-3бис и РПК-10 по образцу, испытанному в 1944</w:t>
      </w:r>
    </w:p>
    <w:p w14:paraId="4F8BFF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кислородный прибор КП-12 вместо КПА-3бис</w:t>
      </w:r>
    </w:p>
    <w:p w14:paraId="48E1E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1E1015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6047, цт 23.1%</w:t>
      </w:r>
    </w:p>
    <w:p w14:paraId="6A149A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 8405 26,5%</w:t>
      </w:r>
    </w:p>
    <w:p w14:paraId="338B12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 8805 26,2%</w:t>
      </w:r>
    </w:p>
    <w:p w14:paraId="796057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Нагрузки нормального полетного веса:</w:t>
      </w:r>
    </w:p>
    <w:p w14:paraId="001026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- 270</w:t>
      </w:r>
    </w:p>
    <w:p w14:paraId="06AA34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- 1100</w:t>
      </w:r>
    </w:p>
    <w:p w14:paraId="4AA8A8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- 120</w:t>
      </w:r>
    </w:p>
    <w:p w14:paraId="434622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пулеметы - 84</w:t>
      </w:r>
    </w:p>
    <w:p w14:paraId="7497A8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б/запас - 112</w:t>
      </w:r>
    </w:p>
    <w:p w14:paraId="792420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бомбы с замками (внешняя подвеска) - 607</w:t>
      </w:r>
    </w:p>
    <w:p w14:paraId="79F357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- 65</w:t>
      </w:r>
    </w:p>
    <w:p w14:paraId="076B25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2358</w:t>
      </w:r>
    </w:p>
    <w:p w14:paraId="34860D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- 4хФАБ-100 = 400</w:t>
      </w:r>
    </w:p>
    <w:p w14:paraId="15AE72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w:t>
      </w:r>
    </w:p>
    <w:p w14:paraId="60713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- 468 км/час</w:t>
      </w:r>
    </w:p>
    <w:p w14:paraId="71841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гр. высотности - 513 км/час</w:t>
      </w:r>
    </w:p>
    <w:p w14:paraId="73E9DF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 гр. высотности - 527 км/час</w:t>
      </w:r>
    </w:p>
    <w:p w14:paraId="6E2E9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- 9,7, 8200 м - 34</w:t>
      </w:r>
    </w:p>
    <w:p w14:paraId="0D365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1000 м на наивыгоднейшей скорости 310 км/час, 1750 оборотах - 1220 км</w:t>
      </w:r>
    </w:p>
    <w:p w14:paraId="782F66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 - 490, пробег - 565</w:t>
      </w:r>
    </w:p>
    <w:p w14:paraId="4D79D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561F31" w:rsidRPr="00F90EAE" w14:paraId="10297080" w14:textId="77777777">
        <w:tc>
          <w:tcPr>
            <w:tcW w:w="2802" w:type="dxa"/>
            <w:tcBorders>
              <w:top w:val="single" w:sz="12" w:space="0" w:color="auto"/>
            </w:tcBorders>
          </w:tcPr>
          <w:p w14:paraId="55F95D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5A7FA9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2802" w:type="dxa"/>
            <w:tcBorders>
              <w:top w:val="single" w:sz="12" w:space="0" w:color="auto"/>
            </w:tcBorders>
          </w:tcPr>
          <w:p w14:paraId="6EA6CD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r>
      <w:tr w:rsidR="00561F31" w:rsidRPr="00F90EAE" w14:paraId="5CBFC9E8" w14:textId="77777777">
        <w:tc>
          <w:tcPr>
            <w:tcW w:w="2802" w:type="dxa"/>
          </w:tcPr>
          <w:p w14:paraId="20CD8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07DF07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802" w:type="dxa"/>
          </w:tcPr>
          <w:p w14:paraId="121F7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r>
      <w:tr w:rsidR="00561F31" w:rsidRPr="00F90EAE" w14:paraId="21856F73" w14:textId="77777777">
        <w:tc>
          <w:tcPr>
            <w:tcW w:w="2802" w:type="dxa"/>
          </w:tcPr>
          <w:p w14:paraId="44B1A7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2050</w:t>
            </w:r>
          </w:p>
        </w:tc>
        <w:tc>
          <w:tcPr>
            <w:tcW w:w="2802" w:type="dxa"/>
          </w:tcPr>
          <w:p w14:paraId="6E782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w:t>
            </w:r>
          </w:p>
        </w:tc>
        <w:tc>
          <w:tcPr>
            <w:tcW w:w="2802" w:type="dxa"/>
          </w:tcPr>
          <w:p w14:paraId="125D5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1080</w:t>
            </w:r>
          </w:p>
        </w:tc>
      </w:tr>
      <w:tr w:rsidR="00561F31" w:rsidRPr="00F90EAE" w14:paraId="72A67EB4" w14:textId="77777777">
        <w:tc>
          <w:tcPr>
            <w:tcW w:w="2802" w:type="dxa"/>
          </w:tcPr>
          <w:p w14:paraId="17114E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w:t>
            </w:r>
          </w:p>
        </w:tc>
        <w:tc>
          <w:tcPr>
            <w:tcW w:w="2802" w:type="dxa"/>
          </w:tcPr>
          <w:p w14:paraId="0DEAD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504</w:t>
            </w:r>
          </w:p>
        </w:tc>
        <w:tc>
          <w:tcPr>
            <w:tcW w:w="2802" w:type="dxa"/>
          </w:tcPr>
          <w:p w14:paraId="04F97F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970</w:t>
            </w:r>
          </w:p>
        </w:tc>
      </w:tr>
      <w:tr w:rsidR="00561F31" w:rsidRPr="00F90EAE" w14:paraId="23EC988A" w14:textId="77777777">
        <w:tc>
          <w:tcPr>
            <w:tcW w:w="2802" w:type="dxa"/>
          </w:tcPr>
          <w:p w14:paraId="7857A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3060</w:t>
            </w:r>
          </w:p>
        </w:tc>
        <w:tc>
          <w:tcPr>
            <w:tcW w:w="2802" w:type="dxa"/>
          </w:tcPr>
          <w:p w14:paraId="54E30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w:t>
            </w:r>
          </w:p>
        </w:tc>
        <w:tc>
          <w:tcPr>
            <w:tcW w:w="2802" w:type="dxa"/>
          </w:tcPr>
          <w:p w14:paraId="25D628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r>
      <w:tr w:rsidR="00561F31" w:rsidRPr="00F90EAE" w14:paraId="3C3A8B77" w14:textId="77777777">
        <w:tc>
          <w:tcPr>
            <w:tcW w:w="2802" w:type="dxa"/>
          </w:tcPr>
          <w:p w14:paraId="46A49F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3485FD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512,5</w:t>
            </w:r>
          </w:p>
        </w:tc>
        <w:tc>
          <w:tcPr>
            <w:tcW w:w="2802" w:type="dxa"/>
          </w:tcPr>
          <w:p w14:paraId="135197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r>
      <w:tr w:rsidR="00561F31" w:rsidRPr="00F90EAE" w14:paraId="199E9B35" w14:textId="77777777">
        <w:tc>
          <w:tcPr>
            <w:tcW w:w="2802" w:type="dxa"/>
          </w:tcPr>
          <w:p w14:paraId="2D0519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2802" w:type="dxa"/>
          </w:tcPr>
          <w:p w14:paraId="37BD1D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w:t>
            </w:r>
          </w:p>
        </w:tc>
        <w:tc>
          <w:tcPr>
            <w:tcW w:w="2802" w:type="dxa"/>
          </w:tcPr>
          <w:p w14:paraId="6D1354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r>
      <w:tr w:rsidR="00561F31" w:rsidRPr="00F90EAE" w14:paraId="6BAA81CA" w14:textId="77777777">
        <w:tc>
          <w:tcPr>
            <w:tcW w:w="2802" w:type="dxa"/>
            <w:tcBorders>
              <w:bottom w:val="single" w:sz="12" w:space="0" w:color="auto"/>
            </w:tcBorders>
          </w:tcPr>
          <w:p w14:paraId="74B503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5F6402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c>
          <w:tcPr>
            <w:tcW w:w="2802" w:type="dxa"/>
            <w:tcBorders>
              <w:bottom w:val="single" w:sz="12" w:space="0" w:color="auto"/>
            </w:tcBorders>
          </w:tcPr>
          <w:p w14:paraId="1AC752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r>
    </w:tbl>
    <w:p w14:paraId="07421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0CDA0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61F31" w:rsidRPr="00F90EAE" w14:paraId="6EB0EB5D" w14:textId="77777777">
        <w:tc>
          <w:tcPr>
            <w:tcW w:w="2802" w:type="dxa"/>
            <w:tcBorders>
              <w:top w:val="single" w:sz="12" w:space="0" w:color="auto"/>
            </w:tcBorders>
          </w:tcPr>
          <w:p w14:paraId="22747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68CBB7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Верт. Скорость </w:t>
            </w:r>
          </w:p>
        </w:tc>
        <w:tc>
          <w:tcPr>
            <w:tcW w:w="2802" w:type="dxa"/>
            <w:tcBorders>
              <w:top w:val="single" w:sz="12" w:space="0" w:color="auto"/>
            </w:tcBorders>
          </w:tcPr>
          <w:p w14:paraId="6A588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c>
          <w:tcPr>
            <w:tcW w:w="2802" w:type="dxa"/>
            <w:tcBorders>
              <w:top w:val="single" w:sz="12" w:space="0" w:color="auto"/>
            </w:tcBorders>
          </w:tcPr>
          <w:p w14:paraId="61AE16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 скорость</w:t>
            </w:r>
          </w:p>
        </w:tc>
      </w:tr>
      <w:tr w:rsidR="00561F31" w:rsidRPr="00F90EAE" w14:paraId="1F7C09B1" w14:textId="77777777">
        <w:tc>
          <w:tcPr>
            <w:tcW w:w="2802" w:type="dxa"/>
          </w:tcPr>
          <w:p w14:paraId="144234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4AD240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2802" w:type="dxa"/>
          </w:tcPr>
          <w:p w14:paraId="7EF651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w:t>
            </w:r>
          </w:p>
        </w:tc>
        <w:tc>
          <w:tcPr>
            <w:tcW w:w="2802" w:type="dxa"/>
          </w:tcPr>
          <w:p w14:paraId="4AAB0F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4AF625CF" w14:textId="77777777">
        <w:tc>
          <w:tcPr>
            <w:tcW w:w="2802" w:type="dxa"/>
          </w:tcPr>
          <w:p w14:paraId="748C82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2100</w:t>
            </w:r>
          </w:p>
        </w:tc>
        <w:tc>
          <w:tcPr>
            <w:tcW w:w="2802" w:type="dxa"/>
          </w:tcPr>
          <w:p w14:paraId="4D69C4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tcPr>
          <w:p w14:paraId="6D969F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960</w:t>
            </w:r>
          </w:p>
        </w:tc>
        <w:tc>
          <w:tcPr>
            <w:tcW w:w="2802" w:type="dxa"/>
          </w:tcPr>
          <w:p w14:paraId="4669267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24A87FA" w14:textId="77777777">
        <w:tc>
          <w:tcPr>
            <w:tcW w:w="2802" w:type="dxa"/>
          </w:tcPr>
          <w:p w14:paraId="601549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3400</w:t>
            </w:r>
          </w:p>
        </w:tc>
        <w:tc>
          <w:tcPr>
            <w:tcW w:w="2802" w:type="dxa"/>
          </w:tcPr>
          <w:p w14:paraId="2BC38B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2802" w:type="dxa"/>
          </w:tcPr>
          <w:p w14:paraId="07D64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c>
          <w:tcPr>
            <w:tcW w:w="2802" w:type="dxa"/>
          </w:tcPr>
          <w:p w14:paraId="42383B5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FB301A2" w14:textId="77777777">
        <w:tc>
          <w:tcPr>
            <w:tcW w:w="2802" w:type="dxa"/>
          </w:tcPr>
          <w:p w14:paraId="004F3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7A912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2802" w:type="dxa"/>
          </w:tcPr>
          <w:p w14:paraId="2E6D34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w:t>
            </w:r>
          </w:p>
        </w:tc>
        <w:tc>
          <w:tcPr>
            <w:tcW w:w="2802" w:type="dxa"/>
          </w:tcPr>
          <w:p w14:paraId="2E8216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6A0A64C8" w14:textId="77777777">
        <w:tc>
          <w:tcPr>
            <w:tcW w:w="2802" w:type="dxa"/>
            <w:tcBorders>
              <w:bottom w:val="single" w:sz="12" w:space="0" w:color="auto"/>
            </w:tcBorders>
          </w:tcPr>
          <w:p w14:paraId="215281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7536BA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2802" w:type="dxa"/>
            <w:tcBorders>
              <w:bottom w:val="single" w:sz="12" w:space="0" w:color="auto"/>
            </w:tcBorders>
          </w:tcPr>
          <w:p w14:paraId="4FA7C499"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Borders>
              <w:bottom w:val="single" w:sz="12" w:space="0" w:color="auto"/>
            </w:tcBorders>
          </w:tcPr>
          <w:p w14:paraId="722E01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r>
    </w:tbl>
    <w:p w14:paraId="2BC94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632676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Посадка с тормозами на 50 гр. посадочная скорость 140 км/час при полетном весе 7200 кг, дистанция - 1160 м</w:t>
      </w:r>
    </w:p>
    <w:p w14:paraId="558F5F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785381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Носовой ШКАС и УБК неподвижные + УБТ на ВУБ-1 и УБТ на ЛУ + бортовые ШКАС</w:t>
      </w:r>
    </w:p>
    <w:p w14:paraId="36ACE3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21903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двусторонней радиосвязи с наземной р/с РАФ-КВ-3 на 1000 м - телефон 360, телеграф - 400</w:t>
      </w:r>
    </w:p>
    <w:p w14:paraId="34DD1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производственного выполнения:</w:t>
      </w:r>
    </w:p>
    <w:p w14:paraId="209B53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01D324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волнистость обшивки, низкое качество покраски, отставание и неравномерное нанесение краски</w:t>
      </w:r>
    </w:p>
    <w:p w14:paraId="1C3A16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створки бомборлюка плотно не закрываются, остаются щели</w:t>
      </w:r>
    </w:p>
    <w:p w14:paraId="7B8267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боковые форточки фонаря кабины л плохо подогнаны, открываются и закрываются с большим усилием</w:t>
      </w:r>
    </w:p>
    <w:p w14:paraId="54BDB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монтаж трубопроводов на моторе выполнен плохо, течи воды, масла, бензина</w:t>
      </w:r>
    </w:p>
    <w:p w14:paraId="0C56C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78FFD8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0A3173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дышать стало трудновстречается большое сопротивление на вдохе</w:t>
      </w:r>
    </w:p>
    <w:p w14:paraId="26339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23A8B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шланг тяжелый и жесткий, что затрудняет движение в кабине</w:t>
      </w:r>
    </w:p>
    <w:p w14:paraId="1ADDE9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E55C2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 в существующем виде прибор КП-12 не может быть рекомендован для установки на серийные Пе-2</w:t>
      </w:r>
    </w:p>
    <w:p w14:paraId="4B11BC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 подписали 6 марта 1945</w:t>
      </w:r>
    </w:p>
    <w:p w14:paraId="026AE5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561F31" w:rsidRPr="00F90EAE" w14:paraId="7E33A8FF" w14:textId="77777777">
        <w:tc>
          <w:tcPr>
            <w:tcW w:w="3936" w:type="dxa"/>
            <w:tcBorders>
              <w:top w:val="single" w:sz="12" w:space="0" w:color="auto"/>
            </w:tcBorders>
          </w:tcPr>
          <w:p w14:paraId="59E9A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2236" w:type="dxa"/>
            <w:tcBorders>
              <w:top w:val="single" w:sz="12" w:space="0" w:color="auto"/>
            </w:tcBorders>
          </w:tcPr>
          <w:p w14:paraId="740492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6E66F0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14/350 2ВК-105ПФ с полетным весом 8400 кг, испытанным в НИИ ВВС в октябре 1944</w:t>
            </w:r>
          </w:p>
        </w:tc>
      </w:tr>
      <w:tr w:rsidR="00561F31" w:rsidRPr="00F90EAE" w14:paraId="22EE495B" w14:textId="77777777">
        <w:tc>
          <w:tcPr>
            <w:tcW w:w="3936" w:type="dxa"/>
          </w:tcPr>
          <w:p w14:paraId="1EE746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номинальном режиме а) у земли</w:t>
            </w:r>
          </w:p>
          <w:p w14:paraId="299901E3" w14:textId="77777777" w:rsidR="00665165" w:rsidRPr="00F90EAE" w:rsidRDefault="00665165" w:rsidP="00F90EAE">
            <w:pPr>
              <w:autoSpaceDE w:val="0"/>
              <w:autoSpaceDN w:val="0"/>
              <w:adjustRightInd w:val="0"/>
              <w:jc w:val="both"/>
              <w:rPr>
                <w:color w:val="000000" w:themeColor="text1"/>
                <w:sz w:val="16"/>
                <w:szCs w:val="16"/>
              </w:rPr>
            </w:pPr>
          </w:p>
        </w:tc>
        <w:tc>
          <w:tcPr>
            <w:tcW w:w="2236" w:type="dxa"/>
          </w:tcPr>
          <w:p w14:paraId="6DEA2A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236" w:type="dxa"/>
          </w:tcPr>
          <w:p w14:paraId="4B76AD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457</w:t>
            </w:r>
          </w:p>
        </w:tc>
      </w:tr>
      <w:tr w:rsidR="00561F31" w:rsidRPr="00F90EAE" w14:paraId="751F2818" w14:textId="77777777">
        <w:tc>
          <w:tcPr>
            <w:tcW w:w="3936" w:type="dxa"/>
          </w:tcPr>
          <w:p w14:paraId="2A80F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 1 гр. высотности</w:t>
            </w:r>
          </w:p>
        </w:tc>
        <w:tc>
          <w:tcPr>
            <w:tcW w:w="2236" w:type="dxa"/>
          </w:tcPr>
          <w:p w14:paraId="309798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513/2500</w:t>
            </w:r>
          </w:p>
        </w:tc>
        <w:tc>
          <w:tcPr>
            <w:tcW w:w="2236" w:type="dxa"/>
          </w:tcPr>
          <w:p w14:paraId="42CAB2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499/1850</w:t>
            </w:r>
          </w:p>
        </w:tc>
      </w:tr>
      <w:tr w:rsidR="00561F31" w:rsidRPr="00F90EAE" w14:paraId="0159B746" w14:textId="77777777">
        <w:tc>
          <w:tcPr>
            <w:tcW w:w="3936" w:type="dxa"/>
          </w:tcPr>
          <w:p w14:paraId="47521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 2 гр. высотности</w:t>
            </w:r>
          </w:p>
        </w:tc>
        <w:tc>
          <w:tcPr>
            <w:tcW w:w="2236" w:type="dxa"/>
          </w:tcPr>
          <w:p w14:paraId="33643F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527/3900</w:t>
            </w:r>
          </w:p>
        </w:tc>
        <w:tc>
          <w:tcPr>
            <w:tcW w:w="2236" w:type="dxa"/>
          </w:tcPr>
          <w:p w14:paraId="27DDC1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513/3700</w:t>
            </w:r>
          </w:p>
        </w:tc>
      </w:tr>
      <w:tr w:rsidR="00561F31" w:rsidRPr="00F90EAE" w14:paraId="3F056B70" w14:textId="77777777">
        <w:tc>
          <w:tcPr>
            <w:tcW w:w="3936" w:type="dxa"/>
          </w:tcPr>
          <w:p w14:paraId="69D8A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5000 м</w:t>
            </w:r>
          </w:p>
        </w:tc>
        <w:tc>
          <w:tcPr>
            <w:tcW w:w="2236" w:type="dxa"/>
          </w:tcPr>
          <w:p w14:paraId="37D79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2236" w:type="dxa"/>
          </w:tcPr>
          <w:p w14:paraId="653BB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r>
      <w:tr w:rsidR="00561F31" w:rsidRPr="00F90EAE" w14:paraId="577D841F" w14:textId="77777777">
        <w:tc>
          <w:tcPr>
            <w:tcW w:w="3936" w:type="dxa"/>
          </w:tcPr>
          <w:p w14:paraId="4DF77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2236" w:type="dxa"/>
          </w:tcPr>
          <w:p w14:paraId="29E93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236" w:type="dxa"/>
          </w:tcPr>
          <w:p w14:paraId="7327C3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7500</w:t>
            </w:r>
          </w:p>
        </w:tc>
      </w:tr>
      <w:tr w:rsidR="00561F31" w:rsidRPr="00F90EAE" w14:paraId="1C5415A8" w14:textId="77777777">
        <w:tc>
          <w:tcPr>
            <w:tcW w:w="3936" w:type="dxa"/>
          </w:tcPr>
          <w:p w14:paraId="05427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Время набора 8000 м </w:t>
            </w:r>
          </w:p>
        </w:tc>
        <w:tc>
          <w:tcPr>
            <w:tcW w:w="2236" w:type="dxa"/>
          </w:tcPr>
          <w:p w14:paraId="61DBF7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236" w:type="dxa"/>
          </w:tcPr>
          <w:p w14:paraId="4EAEA0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r>
      <w:tr w:rsidR="00561F31" w:rsidRPr="00F90EAE" w14:paraId="4017C48A" w14:textId="77777777">
        <w:tc>
          <w:tcPr>
            <w:tcW w:w="3936" w:type="dxa"/>
          </w:tcPr>
          <w:p w14:paraId="60CF7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236" w:type="dxa"/>
          </w:tcPr>
          <w:p w14:paraId="12D93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c>
          <w:tcPr>
            <w:tcW w:w="2236" w:type="dxa"/>
          </w:tcPr>
          <w:p w14:paraId="318E6D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r>
      <w:tr w:rsidR="00561F31" w:rsidRPr="00F90EAE" w14:paraId="4A8A0859" w14:textId="77777777">
        <w:tc>
          <w:tcPr>
            <w:tcW w:w="3936" w:type="dxa"/>
          </w:tcPr>
          <w:p w14:paraId="6ADBC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236" w:type="dxa"/>
          </w:tcPr>
          <w:p w14:paraId="0C2B81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w:t>
            </w:r>
          </w:p>
        </w:tc>
        <w:tc>
          <w:tcPr>
            <w:tcW w:w="2236" w:type="dxa"/>
          </w:tcPr>
          <w:p w14:paraId="7C0442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3D755884" w14:textId="77777777">
        <w:tc>
          <w:tcPr>
            <w:tcW w:w="3936" w:type="dxa"/>
            <w:tcBorders>
              <w:bottom w:val="single" w:sz="12" w:space="0" w:color="auto"/>
            </w:tcBorders>
          </w:tcPr>
          <w:p w14:paraId="2C6F19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w:t>
            </w:r>
          </w:p>
        </w:tc>
        <w:tc>
          <w:tcPr>
            <w:tcW w:w="2236" w:type="dxa"/>
            <w:tcBorders>
              <w:bottom w:val="single" w:sz="12" w:space="0" w:color="auto"/>
            </w:tcBorders>
          </w:tcPr>
          <w:p w14:paraId="3D389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2236" w:type="dxa"/>
            <w:tcBorders>
              <w:bottom w:val="single" w:sz="12" w:space="0" w:color="auto"/>
            </w:tcBorders>
          </w:tcPr>
          <w:p w14:paraId="403B49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r>
    </w:tbl>
    <w:p w14:paraId="59D192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57DADF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02CB27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6BC3F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Невозможно окрыть входной люк из кабины пилота</w:t>
      </w:r>
    </w:p>
    <w:p w14:paraId="3EDC0C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Отсутствует противокапотажная рама</w:t>
      </w:r>
    </w:p>
    <w:p w14:paraId="1AC75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Обшивка с-та имеет вмятины, покраска - плохая</w:t>
      </w:r>
    </w:p>
    <w:p w14:paraId="6BBB65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Нач. 1 У м/п/п Паукер 6 марта, Нач. 1 У гмиас Сафонов 7 марта и Зам. Нач. ГУ ИАС Лосюков 10 марта 1945 (806,8).</w:t>
      </w:r>
    </w:p>
    <w:p w14:paraId="0F2A2C7E" w14:textId="77777777" w:rsidR="00665165" w:rsidRPr="00F90EAE" w:rsidRDefault="00665165" w:rsidP="00F90EAE">
      <w:pPr>
        <w:autoSpaceDE w:val="0"/>
        <w:autoSpaceDN w:val="0"/>
        <w:adjustRightInd w:val="0"/>
        <w:jc w:val="both"/>
        <w:rPr>
          <w:color w:val="000000" w:themeColor="text1"/>
          <w:sz w:val="16"/>
          <w:szCs w:val="16"/>
        </w:rPr>
      </w:pPr>
    </w:p>
    <w:p w14:paraId="5FF99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построили Пе-2М В.М.М. (3337).</w:t>
      </w:r>
    </w:p>
    <w:p w14:paraId="055A0983" w14:textId="77777777" w:rsidR="00665165" w:rsidRPr="00F90EAE" w:rsidRDefault="00665165" w:rsidP="00F90EAE">
      <w:pPr>
        <w:autoSpaceDE w:val="0"/>
        <w:autoSpaceDN w:val="0"/>
        <w:adjustRightInd w:val="0"/>
        <w:jc w:val="both"/>
        <w:rPr>
          <w:color w:val="000000" w:themeColor="text1"/>
          <w:sz w:val="16"/>
          <w:szCs w:val="16"/>
        </w:rPr>
      </w:pPr>
    </w:p>
    <w:p w14:paraId="6A2B8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закончились гос. испытания Ту-2Д (62) с крылом большего размаха, которые начались 20 октября 1944 (660,424).</w:t>
      </w:r>
    </w:p>
    <w:p w14:paraId="23E52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испытания закончились 31 октября 1944</w:t>
      </w:r>
    </w:p>
    <w:p w14:paraId="28D567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самом деле 1 марта 1945 закончились не гос., а заводские испытания и летал А.Д.Перелет, а ви был М.М.Егоров. Гос. испытания начались 18 июля 1945 (1835,61).</w:t>
      </w:r>
    </w:p>
    <w:p w14:paraId="1DEB8446" w14:textId="77777777" w:rsidR="00665165" w:rsidRPr="00F90EAE" w:rsidRDefault="00665165" w:rsidP="00F90EAE">
      <w:pPr>
        <w:autoSpaceDE w:val="0"/>
        <w:autoSpaceDN w:val="0"/>
        <w:adjustRightInd w:val="0"/>
        <w:jc w:val="both"/>
        <w:rPr>
          <w:color w:val="000000" w:themeColor="text1"/>
          <w:sz w:val="16"/>
          <w:szCs w:val="16"/>
        </w:rPr>
      </w:pPr>
    </w:p>
    <w:p w14:paraId="6F3E4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C 1 по 12 марта 1945 проводились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Участие приняли Як-3, Як-9У и Ла-7. На ФВ летали В.И.Хомяков, Ю.А.Антипов, Дзыба, А.Г.Кубышкин. ФВ на форсаже уходил от Як-3 на преследовании (746,1).</w:t>
      </w:r>
    </w:p>
    <w:p w14:paraId="431CB0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3EA34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Проводились с 1 по 12 марта 1945</w:t>
      </w:r>
    </w:p>
    <w:p w14:paraId="1964EE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 вед. И и-м Рабин</w:t>
      </w:r>
    </w:p>
    <w:p w14:paraId="5020F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 Нач. 1 отд. 1У и М.Д.Васильев</w:t>
      </w:r>
    </w:p>
    <w:p w14:paraId="1CD710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л облета: Хомяков (ФВ), Антипов (ФВ), Дзюба (Ла-5), Кубышкин (Ла-7), Прошаков (Як-3), Кувшинов (Як-9У).</w:t>
      </w:r>
    </w:p>
    <w:p w14:paraId="018FE7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ФВ-190А-8 № 68201 - серийный, выпуска сентября 1944.</w:t>
      </w:r>
    </w:p>
    <w:p w14:paraId="08BC1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Основное назначение с-та - борьба с тяжелыми бомб. с-тами.</w:t>
      </w:r>
    </w:p>
    <w:p w14:paraId="31C414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Советско-германском фронте применяется в качестве истребителя и штурмовика.</w:t>
      </w:r>
    </w:p>
    <w:p w14:paraId="4A466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16F2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 горючего - 642 л, размещается в 2-х основных и одном дополнительном б/б.</w:t>
      </w:r>
    </w:p>
    <w:p w14:paraId="50708A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 УДМ диаметром 3,3</w:t>
      </w:r>
    </w:p>
    <w:p w14:paraId="088374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3616F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 фюзеляжем предусмотрена подвеска б/д для бом весом до 250 кг (или подвесного б/б)</w:t>
      </w:r>
    </w:p>
    <w:p w14:paraId="2AD23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С-т оборудован модифицированной УКВ р/с </w:t>
      </w:r>
      <w:r w:rsidRPr="00F90EAE">
        <w:rPr>
          <w:color w:val="000000" w:themeColor="text1"/>
          <w:sz w:val="16"/>
          <w:szCs w:val="16"/>
          <w:lang w:val="en-US"/>
        </w:rPr>
        <w:t>F</w:t>
      </w:r>
      <w:r w:rsidRPr="00F90EAE">
        <w:rPr>
          <w:color w:val="000000" w:themeColor="text1"/>
          <w:sz w:val="16"/>
          <w:szCs w:val="16"/>
        </w:rPr>
        <w:t xml:space="preserve"> и </w:t>
      </w:r>
      <w:r w:rsidRPr="00F90EAE">
        <w:rPr>
          <w:color w:val="000000" w:themeColor="text1"/>
          <w:sz w:val="16"/>
          <w:szCs w:val="16"/>
          <w:lang w:val="en-US"/>
        </w:rPr>
        <w:t>G</w:t>
      </w:r>
      <w:r w:rsidRPr="00F90EAE">
        <w:rPr>
          <w:color w:val="000000" w:themeColor="text1"/>
          <w:sz w:val="16"/>
          <w:szCs w:val="16"/>
        </w:rPr>
        <w:t>-25А, представляющей собой радиоопознавательс “свой-чужой”.</w:t>
      </w:r>
    </w:p>
    <w:p w14:paraId="5EAAD7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приземлился на советской территории в октябре 1944.</w:t>
      </w:r>
    </w:p>
    <w:p w14:paraId="5B2195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326638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169BC2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200-300 м на форсаже уходит от Як-3 на преследовании</w:t>
      </w:r>
    </w:p>
    <w:p w14:paraId="7071C9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585A177F" w14:textId="77777777" w:rsidR="00665165" w:rsidRPr="00F90EAE" w:rsidRDefault="00665165" w:rsidP="00F90EAE">
      <w:pPr>
        <w:autoSpaceDE w:val="0"/>
        <w:autoSpaceDN w:val="0"/>
        <w:adjustRightInd w:val="0"/>
        <w:jc w:val="both"/>
        <w:rPr>
          <w:color w:val="000000" w:themeColor="text1"/>
          <w:sz w:val="16"/>
          <w:szCs w:val="16"/>
        </w:rPr>
      </w:pPr>
    </w:p>
    <w:p w14:paraId="134458DA" w14:textId="77777777" w:rsidR="003751D3" w:rsidRPr="00F90EAE" w:rsidRDefault="003751D3" w:rsidP="00F90EAE">
      <w:pPr>
        <w:jc w:val="both"/>
        <w:rPr>
          <w:color w:val="000000" w:themeColor="text1"/>
          <w:sz w:val="16"/>
          <w:szCs w:val="16"/>
        </w:rPr>
      </w:pPr>
      <w:r w:rsidRPr="00F90EAE">
        <w:rPr>
          <w:color w:val="000000" w:themeColor="text1"/>
          <w:sz w:val="16"/>
          <w:szCs w:val="16"/>
        </w:rPr>
        <w:t>1 марта 1945 г. провели следующие два полёта на высотном Ла-7. Оба пришлось преждевременно прекратить: первый — на 10-й минуте из-за выбивания ма</w:t>
      </w:r>
      <w:r w:rsidRPr="00F90EAE">
        <w:rPr>
          <w:color w:val="000000" w:themeColor="text1"/>
          <w:sz w:val="16"/>
          <w:szCs w:val="16"/>
        </w:rPr>
        <w:softHyphen/>
        <w:t>сла из горловины маслобака, а во втором на высоте 400 м вследствие переобогащения смеси на конце выхлопа образовался факел. Для устранения факеления с мотора сняли насос БН-Зу, форсунки непосредственного впрыска топлива в мотор и РС-2 с управле</w:t>
      </w:r>
      <w:r w:rsidRPr="00F90EAE">
        <w:rPr>
          <w:color w:val="000000" w:themeColor="text1"/>
          <w:sz w:val="16"/>
          <w:szCs w:val="16"/>
        </w:rPr>
        <w:softHyphen/>
        <w:t>нием и отправили в ЦИАМ. Кронштейн установки РС-2 заменили новым конструкции ЦИАМ. Как показали испытания в институте, насос на номинальном режиме увеличивал расход на 12%, а на малом газе — на 18%, форсунки подтекали. Для РС-2 пришлось из</w:t>
      </w:r>
      <w:r w:rsidRPr="00F90EAE">
        <w:rPr>
          <w:color w:val="000000" w:themeColor="text1"/>
          <w:sz w:val="16"/>
          <w:szCs w:val="16"/>
        </w:rPr>
        <w:softHyphen/>
        <w:t>готовить новое управление.</w:t>
      </w:r>
    </w:p>
    <w:p w14:paraId="40116462" w14:textId="77777777" w:rsidR="003751D3" w:rsidRPr="00F90EAE" w:rsidRDefault="003751D3" w:rsidP="00F90EAE">
      <w:pPr>
        <w:jc w:val="both"/>
        <w:rPr>
          <w:color w:val="000000" w:themeColor="text1"/>
          <w:sz w:val="16"/>
          <w:szCs w:val="16"/>
        </w:rPr>
      </w:pPr>
      <w:r w:rsidRPr="00F90EAE">
        <w:rPr>
          <w:color w:val="000000" w:themeColor="text1"/>
          <w:sz w:val="16"/>
          <w:szCs w:val="16"/>
        </w:rPr>
        <w:t>Назад из ЦИАМ агрегаты получили лишь в мае. На</w:t>
      </w:r>
      <w:r w:rsidRPr="00F90EAE">
        <w:rPr>
          <w:color w:val="000000" w:themeColor="text1"/>
          <w:sz w:val="16"/>
          <w:szCs w:val="16"/>
        </w:rPr>
        <w:softHyphen/>
        <w:t>конец, 14 июня состоялся контрольный полёт до вы</w:t>
      </w:r>
      <w:r w:rsidRPr="00F90EAE">
        <w:rPr>
          <w:color w:val="000000" w:themeColor="text1"/>
          <w:sz w:val="16"/>
          <w:szCs w:val="16"/>
        </w:rPr>
        <w:softHyphen/>
        <w:t>соты 1000 м без включения турбокомпрессора, факел образовался только при посадке, для его устране</w:t>
      </w:r>
      <w:r w:rsidRPr="00F90EAE">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F90EAE">
        <w:rPr>
          <w:color w:val="000000" w:themeColor="text1"/>
          <w:sz w:val="16"/>
          <w:szCs w:val="16"/>
        </w:rPr>
        <w:softHyphen/>
        <w:t>явился факел, его длина достигала 2 м, тогда как в предыдущий раз — 80 см. Снова про</w:t>
      </w:r>
      <w:r w:rsidRPr="00F90EAE">
        <w:rPr>
          <w:color w:val="000000" w:themeColor="text1"/>
          <w:sz w:val="16"/>
          <w:szCs w:val="16"/>
        </w:rPr>
        <w:softHyphen/>
        <w:t xml:space="preserve">извели регулировку мотора. После нескольких дней нелётной погоды для высотных </w:t>
      </w:r>
      <w:r w:rsidRPr="00F90EAE">
        <w:rPr>
          <w:rStyle w:val="aff6"/>
          <w:rFonts w:ascii="Times New Roman" w:eastAsia="Arial Unicode MS" w:hAnsi="Times New Roman" w:cs="Times New Roman"/>
          <w:i w:val="0"/>
          <w:color w:val="000000" w:themeColor="text1"/>
        </w:rPr>
        <w:t>полётов,</w:t>
      </w:r>
      <w:r w:rsidRPr="00F90EAE">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F90EAE">
        <w:rPr>
          <w:color w:val="000000" w:themeColor="text1"/>
          <w:sz w:val="16"/>
          <w:szCs w:val="16"/>
        </w:rPr>
        <w:softHyphen/>
        <w:t>вом полёте задание выполнить не удалось. В повторном полёте, после устранения это</w:t>
      </w:r>
      <w:r w:rsidRPr="00F90EAE">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F90EAE">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90EAE">
        <w:rPr>
          <w:color w:val="000000" w:themeColor="text1"/>
          <w:sz w:val="16"/>
          <w:szCs w:val="16"/>
        </w:rPr>
        <w:softHyphen/>
        <w:t>рофы послужила потеря лётчиком сознания на высоте.</w:t>
      </w:r>
    </w:p>
    <w:p w14:paraId="7644DE7D" w14:textId="77777777" w:rsidR="003751D3" w:rsidRPr="00F90EAE" w:rsidRDefault="003751D3" w:rsidP="00F90EAE">
      <w:pPr>
        <w:jc w:val="both"/>
        <w:rPr>
          <w:color w:val="000000" w:themeColor="text1"/>
          <w:sz w:val="16"/>
          <w:szCs w:val="16"/>
        </w:rPr>
      </w:pPr>
      <w:r w:rsidRPr="00F90EAE">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90EAE">
        <w:rPr>
          <w:color w:val="000000" w:themeColor="text1"/>
          <w:sz w:val="16"/>
          <w:szCs w:val="16"/>
        </w:rPr>
        <w:softHyphen/>
        <w:t>требителям. На этом закончилось развитие опытных самолётов С.А. Лавочкина с ТК (15830).</w:t>
      </w:r>
    </w:p>
    <w:p w14:paraId="4B1847E9" w14:textId="77777777" w:rsidR="003751D3" w:rsidRPr="00F90EAE" w:rsidRDefault="003751D3" w:rsidP="00F90EAE">
      <w:pPr>
        <w:jc w:val="both"/>
        <w:rPr>
          <w:color w:val="000000" w:themeColor="text1"/>
          <w:sz w:val="16"/>
          <w:szCs w:val="16"/>
        </w:rPr>
      </w:pPr>
    </w:p>
    <w:p w14:paraId="7D8BA21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0D539A5" w14:textId="77777777" w:rsidR="00665165" w:rsidRPr="00F90EAE" w:rsidRDefault="00665165" w:rsidP="00F90EAE">
      <w:pPr>
        <w:autoSpaceDE w:val="0"/>
        <w:autoSpaceDN w:val="0"/>
        <w:adjustRightInd w:val="0"/>
        <w:jc w:val="both"/>
        <w:rPr>
          <w:iCs/>
          <w:color w:val="000000" w:themeColor="text1"/>
          <w:sz w:val="16"/>
          <w:szCs w:val="16"/>
        </w:rPr>
      </w:pPr>
    </w:p>
    <w:p w14:paraId="3F1156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мар</w:t>
      </w:r>
      <w:r w:rsidRPr="00F90EAE">
        <w:rPr>
          <w:color w:val="000000" w:themeColor="text1"/>
          <w:sz w:val="16"/>
          <w:szCs w:val="16"/>
        </w:rPr>
        <w:softHyphen/>
        <w:t>та 1945 распоряжением по НКТП на заводе № 75 (г. Харьков) на</w:t>
      </w:r>
      <w:r w:rsidRPr="00F90EAE">
        <w:rPr>
          <w:color w:val="000000" w:themeColor="text1"/>
          <w:sz w:val="16"/>
          <w:szCs w:val="16"/>
        </w:rPr>
        <w:softHyphen/>
        <w:t>чалось серийное производство танка Т-44 «валовой серии» (Т-44Б). Согласно планов НКТП до конца 1945 г. должно бы ло быть изготовлено 850 шт. Т-44Б при общем заказе 1200 боевых машин. Но первые танки, сдаваемые заводом еще считались «ограниченно годными», так как некоторые но</w:t>
      </w:r>
      <w:r w:rsidRPr="00F90EAE">
        <w:rPr>
          <w:color w:val="000000" w:themeColor="text1"/>
          <w:sz w:val="16"/>
          <w:szCs w:val="16"/>
        </w:rPr>
        <w:softHyphen/>
        <w:t>винки в серии еще не обеспечивали надежной работы танка (МП, торсионные валы, бортовые передачи). И потому вплоть до конца мая Т-44 сдавались лишь в учебные подраз</w:t>
      </w:r>
      <w:r w:rsidRPr="00F90EAE">
        <w:rPr>
          <w:color w:val="000000" w:themeColor="text1"/>
          <w:sz w:val="16"/>
          <w:szCs w:val="16"/>
        </w:rPr>
        <w:softHyphen/>
        <w:t>деления, тогда как завод продолжал «вылизывать» их в про</w:t>
      </w:r>
      <w:r w:rsidRPr="00F90EAE">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F90EAE">
        <w:rPr>
          <w:color w:val="000000" w:themeColor="text1"/>
          <w:sz w:val="16"/>
          <w:szCs w:val="16"/>
        </w:rPr>
        <w:softHyphen/>
        <w:t>жена в войска, а в августе танковая часть, оснащенная новы</w:t>
      </w:r>
      <w:r w:rsidRPr="00F90EAE">
        <w:rPr>
          <w:color w:val="000000" w:themeColor="text1"/>
          <w:sz w:val="16"/>
          <w:szCs w:val="16"/>
        </w:rPr>
        <w:softHyphen/>
        <w:t>ми машинами, отправилась на Дальний Восток в действую</w:t>
      </w:r>
      <w:r w:rsidRPr="00F90EAE">
        <w:rPr>
          <w:color w:val="000000" w:themeColor="text1"/>
          <w:sz w:val="16"/>
          <w:szCs w:val="16"/>
        </w:rPr>
        <w:softHyphen/>
        <w:t>щую армию. Но в боях они участия не принимали (11135).</w:t>
      </w:r>
    </w:p>
    <w:p w14:paraId="17275B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BDFAE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вышло Постановление ГКО № 7599 Об увеличении выпуска особо дефицитных деталей для ремонта и восстановления тракторов в сельском хозяйстве. РГАНИР, Фонд ГКО, д. 373, лл. 65-69, 70-76 (11012).</w:t>
      </w:r>
    </w:p>
    <w:p w14:paraId="2F26B5E5" w14:textId="77777777" w:rsidR="00665165" w:rsidRPr="00F90EAE" w:rsidRDefault="00665165" w:rsidP="00F90EAE">
      <w:pPr>
        <w:autoSpaceDE w:val="0"/>
        <w:autoSpaceDN w:val="0"/>
        <w:adjustRightInd w:val="0"/>
        <w:jc w:val="both"/>
        <w:rPr>
          <w:color w:val="000000" w:themeColor="text1"/>
          <w:sz w:val="16"/>
          <w:szCs w:val="16"/>
        </w:rPr>
      </w:pPr>
    </w:p>
    <w:p w14:paraId="7B1CF09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марта 1945 вышло Распоряжение ГКО № 7600 [О дополнительном выделении бензина Белорусской ССР.] (7310, 77).</w:t>
      </w:r>
    </w:p>
    <w:p w14:paraId="204718B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8B028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9EE1400" w14:textId="77777777" w:rsidR="00665165" w:rsidRPr="00F90EAE" w:rsidRDefault="00665165" w:rsidP="00F90EAE">
      <w:pPr>
        <w:autoSpaceDE w:val="0"/>
        <w:autoSpaceDN w:val="0"/>
        <w:adjustRightInd w:val="0"/>
        <w:jc w:val="both"/>
        <w:rPr>
          <w:iCs/>
          <w:color w:val="000000" w:themeColor="text1"/>
          <w:sz w:val="16"/>
          <w:szCs w:val="16"/>
        </w:rPr>
      </w:pPr>
    </w:p>
    <w:p w14:paraId="0D81F4A2" w14:textId="77777777" w:rsidR="003751D3" w:rsidRPr="00F90EAE" w:rsidRDefault="003751D3" w:rsidP="00F90EAE">
      <w:pPr>
        <w:jc w:val="both"/>
        <w:rPr>
          <w:color w:val="000000" w:themeColor="text1"/>
          <w:sz w:val="16"/>
          <w:szCs w:val="16"/>
        </w:rPr>
      </w:pPr>
      <w:r w:rsidRPr="00F90EAE">
        <w:rPr>
          <w:bCs/>
          <w:color w:val="000000" w:themeColor="text1"/>
          <w:sz w:val="16"/>
          <w:szCs w:val="16"/>
        </w:rPr>
        <w:t>1 марта</w:t>
      </w:r>
      <w:r w:rsidRPr="00F90EAE">
        <w:rPr>
          <w:color w:val="000000" w:themeColor="text1"/>
          <w:sz w:val="16"/>
          <w:szCs w:val="16"/>
        </w:rPr>
        <w:t xml:space="preserve"> в 1945 году оперативная сводка Совинформбюро:</w:t>
      </w:r>
    </w:p>
    <w:p w14:paraId="4D9299E8" w14:textId="77777777" w:rsidR="003751D3" w:rsidRPr="00F90EAE" w:rsidRDefault="003751D3" w:rsidP="00F90EAE">
      <w:pPr>
        <w:jc w:val="both"/>
        <w:rPr>
          <w:color w:val="000000" w:themeColor="text1"/>
          <w:sz w:val="16"/>
          <w:szCs w:val="16"/>
        </w:rPr>
      </w:pPr>
      <w:r w:rsidRPr="00F90EAE">
        <w:rPr>
          <w:color w:val="000000" w:themeColor="text1"/>
          <w:sz w:val="16"/>
          <w:szCs w:val="16"/>
        </w:rPr>
        <w:t>«В течение 1 марта на территории Померании, северо-восточнее и севернее города Нойштеттин, наши войска в результате наступательных боёв овладели населёнными пунктами Флеммингсорт, Флетенштайн, Фалькенхаген, Хелькевизе, Нойдорф, Цехендорф, Бухвальд, Эшенриге.</w:t>
      </w:r>
    </w:p>
    <w:p w14:paraId="0C2735D2" w14:textId="77777777" w:rsidR="003751D3" w:rsidRPr="00F90EAE" w:rsidRDefault="003751D3" w:rsidP="00F90EAE">
      <w:pPr>
        <w:jc w:val="both"/>
        <w:rPr>
          <w:color w:val="000000" w:themeColor="text1"/>
          <w:sz w:val="16"/>
          <w:szCs w:val="16"/>
        </w:rPr>
      </w:pPr>
      <w:r w:rsidRPr="00F90EAE">
        <w:rPr>
          <w:color w:val="000000" w:themeColor="text1"/>
          <w:sz w:val="16"/>
          <w:szCs w:val="16"/>
        </w:rPr>
        <w:t>В районе Бреслау наши войска, продолжая бои по уничтожению окружённой в городе группировки противника, овладели пригородами Альтхофнасс, Гроссечанш и заняли 10 кварталов.</w:t>
      </w:r>
    </w:p>
    <w:p w14:paraId="57487947" w14:textId="77777777" w:rsidR="003751D3" w:rsidRPr="00F90EAE" w:rsidRDefault="003751D3" w:rsidP="00F90EAE">
      <w:pPr>
        <w:jc w:val="both"/>
        <w:rPr>
          <w:color w:val="000000" w:themeColor="text1"/>
          <w:sz w:val="16"/>
          <w:szCs w:val="16"/>
        </w:rPr>
      </w:pPr>
      <w:r w:rsidRPr="00F90EAE">
        <w:rPr>
          <w:color w:val="000000" w:themeColor="text1"/>
          <w:sz w:val="16"/>
          <w:szCs w:val="16"/>
        </w:rPr>
        <w:t>В Чехословакии, западнее города Лученец, наши войска, действуя в трудных условиях горно-лесистой местности, овладели населёнными пунктами Заежова, Нересница, Забава, Бзовик, Стара Гора, Кластава, Бадан.</w:t>
      </w:r>
    </w:p>
    <w:p w14:paraId="12617748" w14:textId="77777777" w:rsidR="003751D3" w:rsidRPr="00F90EAE" w:rsidRDefault="003751D3"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029BA81" w14:textId="77777777" w:rsidR="003751D3" w:rsidRPr="00F90EAE" w:rsidRDefault="003751D3" w:rsidP="00F90EAE">
      <w:pPr>
        <w:jc w:val="both"/>
        <w:rPr>
          <w:color w:val="000000" w:themeColor="text1"/>
          <w:sz w:val="16"/>
          <w:szCs w:val="16"/>
        </w:rPr>
      </w:pPr>
      <w:r w:rsidRPr="00F90EAE">
        <w:rPr>
          <w:color w:val="000000" w:themeColor="text1"/>
          <w:sz w:val="16"/>
          <w:szCs w:val="16"/>
        </w:rPr>
        <w:t>За 28 февраля на всех фронтах подбито и уничтожено 48 немецких танков. В воздушных боях и огнём зенитной артиллерии сбито 28 самолётов противника.</w:t>
      </w:r>
    </w:p>
    <w:p w14:paraId="1BE4CD4B" w14:textId="77777777" w:rsidR="003751D3" w:rsidRPr="00F90EAE" w:rsidRDefault="003751D3" w:rsidP="00F90EAE">
      <w:pPr>
        <w:jc w:val="both"/>
        <w:rPr>
          <w:color w:val="000000" w:themeColor="text1"/>
          <w:sz w:val="16"/>
          <w:szCs w:val="16"/>
        </w:rPr>
      </w:pPr>
      <w:r w:rsidRPr="00F90EAE">
        <w:rPr>
          <w:color w:val="000000" w:themeColor="text1"/>
          <w:sz w:val="16"/>
          <w:szCs w:val="16"/>
        </w:rPr>
        <w:t>В Померании, северо-восточнее города Нойштеттин, части Н-ского соединения, преодолевая сопротивление противника, с боями продвигались вперёд. Очищена от немцев крупная железнодорожная станция Флетенштайн. Занят также узел шоссейных дорог Фалькенхаген, находящийся в пяти километрах к югу от города Руммельсбург. Немцы подводят резервы и с хода бросают их в бой. Советские части отбили все вражеские контратаки и нанесли противнику большие потери. Севернее города Нойштеттин наши войска преодолели озёрный район и заняли несколько населённых пунктов, заранее подготовленных немцами к круговой обороне. За день советские части уничтожили более 2 тысяч солдат и офицеров противника и взяли 400 пленных. Сожжено и подбито 9 танков и самоходных орудий. Захвачено у немцев 16 исправных самолётов, 18 орудий, 6 складов и другие трофеи.</w:t>
      </w:r>
    </w:p>
    <w:p w14:paraId="33A47556" w14:textId="77777777" w:rsidR="003751D3" w:rsidRPr="00F90EAE" w:rsidRDefault="003751D3" w:rsidP="00F90EAE">
      <w:pPr>
        <w:jc w:val="both"/>
        <w:rPr>
          <w:color w:val="000000" w:themeColor="text1"/>
          <w:sz w:val="16"/>
          <w:szCs w:val="16"/>
        </w:rPr>
      </w:pPr>
      <w:r w:rsidRPr="00F90EAE">
        <w:rPr>
          <w:color w:val="000000" w:themeColor="text1"/>
          <w:sz w:val="16"/>
          <w:szCs w:val="16"/>
        </w:rPr>
        <w:t>В Бреслау наши войска продолжали сжимать кольцо окружённой в городе группировки противника. Ожесточённые схватки происходят за каждую улицу, за каждый дом. Бойцы Н-ской части очистили от немцев пригород Гроссе-Чанш. Другие наши части, сломив сопротивление противника, укрепившегося на высотах, овладели пригородом Альтхофнасс. На улицах пригородов валяются сотни трупов немецких солдат и офицеров. Советские артиллеристы, следуя вместе со штурмовыми группами, подавили более 90 огневых точек немцев. Наши подразделения продолжали бои на территории крупного металлургического завода «Вольф». Прикрываясь стенами цехов, гитлеровцы оказывают яростное сопротивление. Бои часто переходят в рукопашные схватки. Стремительной атакой советские бойцы очистили от противника половину заводской территории. Захвачено 10 орудий, 32 пулемёта и другие трофеи. Взято более 200 пленных.</w:t>
      </w:r>
    </w:p>
    <w:p w14:paraId="47363BD5" w14:textId="77777777" w:rsidR="003751D3" w:rsidRPr="00F90EAE" w:rsidRDefault="003751D3" w:rsidP="00F90EAE">
      <w:pPr>
        <w:jc w:val="both"/>
        <w:rPr>
          <w:color w:val="000000" w:themeColor="text1"/>
          <w:sz w:val="16"/>
          <w:szCs w:val="16"/>
        </w:rPr>
      </w:pPr>
      <w:r w:rsidRPr="00F90EAE">
        <w:rPr>
          <w:color w:val="000000" w:themeColor="text1"/>
          <w:sz w:val="16"/>
          <w:szCs w:val="16"/>
        </w:rPr>
        <w:lastRenderedPageBreak/>
        <w:t>На одном участке 4-го Украинского фронта противник, пытаясь улучшить свои позиции, перешёл в атаку. Немцы бросили в бой до полка пехоты. Гвардейцы Н-ской части нанесли гитлеровцам удар с фланга и отбросили их на прежний рубеж. В ходе боя уничтожено до 200 немцев.</w:t>
      </w:r>
    </w:p>
    <w:p w14:paraId="06A2412F"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2-го Белорусского фронта захватили приказ командующего 2-й немецкой армией генерал-полковника Вейса от 3-го февраля 1945 года. В приказе говорится: «В тыловом районе армии слоняются группы трусов и дезертиров, не желающих участвовать в борьбе за империю, которая подвергается тяжёлым испытаниям. Дезертиры пристраиваются к колоннам гражданского населения, эвакуируемого в глубь страны. Любой солдат или офицер, который не сообщит о каждом известном ему дезертире и не задержит его, будет привлечён к ответственности как соучастник в измене.</w:t>
      </w:r>
    </w:p>
    <w:p w14:paraId="19AB63A5" w14:textId="77777777" w:rsidR="003751D3" w:rsidRPr="00F90EAE" w:rsidRDefault="003751D3" w:rsidP="00F90EAE">
      <w:pPr>
        <w:jc w:val="both"/>
        <w:rPr>
          <w:color w:val="000000" w:themeColor="text1"/>
          <w:sz w:val="16"/>
          <w:szCs w:val="16"/>
        </w:rPr>
      </w:pPr>
      <w:r w:rsidRPr="00F90EAE">
        <w:rPr>
          <w:color w:val="000000" w:themeColor="text1"/>
          <w:sz w:val="16"/>
          <w:szCs w:val="16"/>
        </w:rPr>
        <w:t>При аресте шатающихся трусов и саботажников надо применять все средства насилия, обезвредить их любыми средствами. Под определение «дезертир» и «саботажник» попадает каждый, кто сегодня осмеливается говорить, что «борьба безнадёжна», или что «скоро ворота захлопнутся и мы окажемся в «котле». Далее генерал-полковник Вейс приказывает «в каждом корпусе немедленно учредить летучий полевой суд».</w:t>
      </w:r>
    </w:p>
    <w:p w14:paraId="5F1A73ED" w14:textId="77777777" w:rsidR="003751D3" w:rsidRPr="00F90EAE" w:rsidRDefault="003751D3" w:rsidP="00F90EAE">
      <w:pPr>
        <w:jc w:val="both"/>
        <w:rPr>
          <w:color w:val="000000" w:themeColor="text1"/>
          <w:sz w:val="16"/>
          <w:szCs w:val="16"/>
        </w:rPr>
      </w:pPr>
      <w:r w:rsidRPr="00F90EAE">
        <w:rPr>
          <w:color w:val="000000" w:themeColor="text1"/>
          <w:sz w:val="16"/>
          <w:szCs w:val="16"/>
        </w:rPr>
        <w:t>Приказ командующего 2-й немецкой армией представляет определённый интерес. Немецкий генерал Вейс вынужден признать, что не одиночки, а целые группы солдат убегают с поля боя и слоняются в тылу. Приспосабливаясь к новым условиям, немецкие солдаты переодеваются в гражданское платье и уходят в тыл вместе с колоннами беженцев. Генерал Вейс также обрушивается на солдат, которые считают, что «борьба немцев безнадёжна». Очевидно, в армии Вейса довольно много таких солдат.</w:t>
      </w:r>
    </w:p>
    <w:p w14:paraId="14DE33C7" w14:textId="77777777" w:rsidR="003751D3" w:rsidRPr="00F90EAE" w:rsidRDefault="003751D3" w:rsidP="00F90EAE">
      <w:pPr>
        <w:jc w:val="both"/>
        <w:rPr>
          <w:color w:val="000000" w:themeColor="text1"/>
          <w:sz w:val="16"/>
          <w:szCs w:val="16"/>
        </w:rPr>
      </w:pPr>
      <w:r w:rsidRPr="00F90EAE">
        <w:rPr>
          <w:color w:val="000000" w:themeColor="text1"/>
          <w:sz w:val="16"/>
          <w:szCs w:val="16"/>
        </w:rPr>
        <w:t>Гитлеровцы пытаются свирепыми мерами принудить немецких солдат продолжать уже проигранную Германией войну. Однако не помогли им обычные полевые суды, не помогут и летучие. Приближаются дни полного разгрома фашистской Германии.» (15055).</w:t>
      </w:r>
    </w:p>
    <w:p w14:paraId="2B750341" w14:textId="77777777" w:rsidR="003751D3" w:rsidRPr="00F90EAE" w:rsidRDefault="003751D3" w:rsidP="00F90EAE">
      <w:pPr>
        <w:jc w:val="both"/>
        <w:rPr>
          <w:color w:val="000000" w:themeColor="text1"/>
          <w:sz w:val="16"/>
          <w:szCs w:val="16"/>
        </w:rPr>
      </w:pPr>
    </w:p>
    <w:p w14:paraId="430AA3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И.Травкин на К-52 потопил транспорт в 6000 т (355,25).</w:t>
      </w:r>
    </w:p>
    <w:p w14:paraId="0A357C70" w14:textId="77777777" w:rsidR="00665165" w:rsidRPr="00F90EAE" w:rsidRDefault="00665165" w:rsidP="00F90EAE">
      <w:pPr>
        <w:autoSpaceDE w:val="0"/>
        <w:autoSpaceDN w:val="0"/>
        <w:adjustRightInd w:val="0"/>
        <w:jc w:val="both"/>
        <w:rPr>
          <w:color w:val="000000" w:themeColor="text1"/>
          <w:sz w:val="16"/>
          <w:szCs w:val="16"/>
        </w:rPr>
      </w:pPr>
    </w:p>
    <w:p w14:paraId="40F399B2" w14:textId="77777777" w:rsidR="00193FD5" w:rsidRPr="00F90EAE" w:rsidRDefault="00193FD5" w:rsidP="00F90EAE">
      <w:pPr>
        <w:jc w:val="both"/>
        <w:rPr>
          <w:color w:val="000000" w:themeColor="text1"/>
          <w:sz w:val="16"/>
          <w:szCs w:val="16"/>
        </w:rPr>
      </w:pPr>
      <w:r w:rsidRPr="00F90EAE">
        <w:rPr>
          <w:color w:val="000000" w:themeColor="text1"/>
          <w:sz w:val="16"/>
          <w:szCs w:val="16"/>
        </w:rPr>
        <w:t>На 1 марта 1945 г. в ВВС СССР находилось 7876 бомбардировщиков, 18 081 истребитель, 8370 штурмовиков и 13 353 транспортных самолета (19727).</w:t>
      </w:r>
    </w:p>
    <w:p w14:paraId="5C5C26AA" w14:textId="77777777" w:rsidR="00193FD5" w:rsidRPr="00F90EAE" w:rsidRDefault="00193FD5" w:rsidP="00F90EAE">
      <w:pPr>
        <w:jc w:val="both"/>
        <w:rPr>
          <w:color w:val="000000" w:themeColor="text1"/>
          <w:sz w:val="16"/>
          <w:szCs w:val="16"/>
        </w:rPr>
      </w:pPr>
    </w:p>
    <w:p w14:paraId="56444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марта 1945:</w:t>
      </w:r>
    </w:p>
    <w:p w14:paraId="13AF03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Ил-4 и А-20 в ВВС СФ, КБФ и ЧФ на 1.3.1945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561F31" w:rsidRPr="00F90EAE" w14:paraId="3F75F7CB" w14:textId="77777777">
        <w:tc>
          <w:tcPr>
            <w:tcW w:w="1245" w:type="dxa"/>
            <w:tcBorders>
              <w:top w:val="single" w:sz="12" w:space="0" w:color="auto"/>
            </w:tcBorders>
          </w:tcPr>
          <w:p w14:paraId="3C343B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Флот</w:t>
            </w:r>
          </w:p>
        </w:tc>
        <w:tc>
          <w:tcPr>
            <w:tcW w:w="1245" w:type="dxa"/>
            <w:tcBorders>
              <w:top w:val="single" w:sz="12" w:space="0" w:color="auto"/>
            </w:tcBorders>
          </w:tcPr>
          <w:p w14:paraId="3AD503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МТА</w:t>
            </w:r>
          </w:p>
        </w:tc>
        <w:tc>
          <w:tcPr>
            <w:tcW w:w="1245" w:type="dxa"/>
            <w:tcBorders>
              <w:top w:val="single" w:sz="12" w:space="0" w:color="auto"/>
            </w:tcBorders>
          </w:tcPr>
          <w:p w14:paraId="190718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БА</w:t>
            </w:r>
          </w:p>
        </w:tc>
        <w:tc>
          <w:tcPr>
            <w:tcW w:w="1245" w:type="dxa"/>
            <w:tcBorders>
              <w:top w:val="single" w:sz="12" w:space="0" w:color="auto"/>
            </w:tcBorders>
          </w:tcPr>
          <w:p w14:paraId="40435E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w:t>
            </w:r>
          </w:p>
        </w:tc>
        <w:tc>
          <w:tcPr>
            <w:tcW w:w="1245" w:type="dxa"/>
            <w:tcBorders>
              <w:top w:val="single" w:sz="12" w:space="0" w:color="auto"/>
            </w:tcBorders>
          </w:tcPr>
          <w:p w14:paraId="739AE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Авиация ПВО</w:t>
            </w:r>
          </w:p>
        </w:tc>
        <w:tc>
          <w:tcPr>
            <w:tcW w:w="1245" w:type="dxa"/>
            <w:tcBorders>
              <w:top w:val="single" w:sz="12" w:space="0" w:color="auto"/>
            </w:tcBorders>
          </w:tcPr>
          <w:p w14:paraId="1817A8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УАП</w:t>
            </w:r>
          </w:p>
        </w:tc>
        <w:tc>
          <w:tcPr>
            <w:tcW w:w="1245" w:type="dxa"/>
            <w:tcBorders>
              <w:top w:val="single" w:sz="12" w:space="0" w:color="auto"/>
            </w:tcBorders>
          </w:tcPr>
          <w:p w14:paraId="5EA55D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w:t>
            </w:r>
          </w:p>
        </w:tc>
        <w:tc>
          <w:tcPr>
            <w:tcW w:w="1245" w:type="dxa"/>
            <w:tcBorders>
              <w:top w:val="single" w:sz="12" w:space="0" w:color="auto"/>
            </w:tcBorders>
          </w:tcPr>
          <w:p w14:paraId="0900D3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Резерв ВВС флота</w:t>
            </w:r>
          </w:p>
        </w:tc>
        <w:tc>
          <w:tcPr>
            <w:tcW w:w="1245" w:type="dxa"/>
            <w:tcBorders>
              <w:top w:val="single" w:sz="12" w:space="0" w:color="auto"/>
            </w:tcBorders>
          </w:tcPr>
          <w:p w14:paraId="7FC4E4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6059ADEB" w14:textId="77777777">
        <w:tc>
          <w:tcPr>
            <w:tcW w:w="1245" w:type="dxa"/>
          </w:tcPr>
          <w:p w14:paraId="2BB00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А-20</w:t>
            </w:r>
          </w:p>
        </w:tc>
        <w:tc>
          <w:tcPr>
            <w:tcW w:w="1245" w:type="dxa"/>
          </w:tcPr>
          <w:p w14:paraId="1A134C2B"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715DC0A5"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34B46E88"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0901232A"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0BAEA7E0"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466AF6E5"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108E83B7"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465FB2C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D6A49B2" w14:textId="77777777">
        <w:tc>
          <w:tcPr>
            <w:tcW w:w="1245" w:type="dxa"/>
          </w:tcPr>
          <w:p w14:paraId="6B71E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СФ</w:t>
            </w:r>
          </w:p>
        </w:tc>
        <w:tc>
          <w:tcPr>
            <w:tcW w:w="1245" w:type="dxa"/>
          </w:tcPr>
          <w:p w14:paraId="0C38A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37/27</w:t>
            </w:r>
          </w:p>
        </w:tc>
        <w:tc>
          <w:tcPr>
            <w:tcW w:w="1245" w:type="dxa"/>
          </w:tcPr>
          <w:p w14:paraId="750623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077B9F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w:t>
            </w:r>
          </w:p>
        </w:tc>
        <w:tc>
          <w:tcPr>
            <w:tcW w:w="1245" w:type="dxa"/>
          </w:tcPr>
          <w:p w14:paraId="2C91ED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7557B6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245" w:type="dxa"/>
          </w:tcPr>
          <w:p w14:paraId="41031B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245" w:type="dxa"/>
          </w:tcPr>
          <w:p w14:paraId="2F470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245" w:type="dxa"/>
          </w:tcPr>
          <w:p w14:paraId="5310FA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54/40</w:t>
            </w:r>
          </w:p>
        </w:tc>
      </w:tr>
      <w:tr w:rsidR="00561F31" w:rsidRPr="00F90EAE" w14:paraId="653E7548" w14:textId="77777777">
        <w:tc>
          <w:tcPr>
            <w:tcW w:w="1245" w:type="dxa"/>
          </w:tcPr>
          <w:p w14:paraId="019A1F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КБФ</w:t>
            </w:r>
          </w:p>
        </w:tc>
        <w:tc>
          <w:tcPr>
            <w:tcW w:w="1245" w:type="dxa"/>
          </w:tcPr>
          <w:p w14:paraId="10B7A3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55/29</w:t>
            </w:r>
          </w:p>
        </w:tc>
        <w:tc>
          <w:tcPr>
            <w:tcW w:w="1245" w:type="dxa"/>
          </w:tcPr>
          <w:p w14:paraId="6FF542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2F16EE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245" w:type="dxa"/>
          </w:tcPr>
          <w:p w14:paraId="1DD275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2DFDE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1/11</w:t>
            </w:r>
          </w:p>
        </w:tc>
        <w:tc>
          <w:tcPr>
            <w:tcW w:w="1245" w:type="dxa"/>
          </w:tcPr>
          <w:p w14:paraId="018C17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1245" w:type="dxa"/>
          </w:tcPr>
          <w:p w14:paraId="765CE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245" w:type="dxa"/>
          </w:tcPr>
          <w:p w14:paraId="649FE5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77/49</w:t>
            </w:r>
          </w:p>
        </w:tc>
      </w:tr>
      <w:tr w:rsidR="00561F31" w:rsidRPr="00F90EAE" w14:paraId="35E9A42D" w14:textId="77777777">
        <w:tc>
          <w:tcPr>
            <w:tcW w:w="1245" w:type="dxa"/>
          </w:tcPr>
          <w:p w14:paraId="282626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ЧФ</w:t>
            </w:r>
          </w:p>
        </w:tc>
        <w:tc>
          <w:tcPr>
            <w:tcW w:w="1245" w:type="dxa"/>
          </w:tcPr>
          <w:p w14:paraId="5A96FA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13/13</w:t>
            </w:r>
          </w:p>
        </w:tc>
        <w:tc>
          <w:tcPr>
            <w:tcW w:w="1245" w:type="dxa"/>
          </w:tcPr>
          <w:p w14:paraId="6D05E4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20/17</w:t>
            </w:r>
          </w:p>
        </w:tc>
        <w:tc>
          <w:tcPr>
            <w:tcW w:w="1245" w:type="dxa"/>
          </w:tcPr>
          <w:p w14:paraId="16118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24/24</w:t>
            </w:r>
          </w:p>
        </w:tc>
        <w:tc>
          <w:tcPr>
            <w:tcW w:w="1245" w:type="dxa"/>
          </w:tcPr>
          <w:p w14:paraId="386969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10/10</w:t>
            </w:r>
          </w:p>
        </w:tc>
        <w:tc>
          <w:tcPr>
            <w:tcW w:w="1245" w:type="dxa"/>
          </w:tcPr>
          <w:p w14:paraId="3EF6C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1CBE01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w:t>
            </w:r>
          </w:p>
        </w:tc>
        <w:tc>
          <w:tcPr>
            <w:tcW w:w="1245" w:type="dxa"/>
          </w:tcPr>
          <w:p w14:paraId="4052B3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FB24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75/72</w:t>
            </w:r>
          </w:p>
        </w:tc>
      </w:tr>
      <w:tr w:rsidR="00561F31" w:rsidRPr="00F90EAE" w14:paraId="77C8619E" w14:textId="77777777">
        <w:tc>
          <w:tcPr>
            <w:tcW w:w="1245" w:type="dxa"/>
          </w:tcPr>
          <w:p w14:paraId="5F4C2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45" w:type="dxa"/>
          </w:tcPr>
          <w:p w14:paraId="08817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105/69</w:t>
            </w:r>
          </w:p>
        </w:tc>
        <w:tc>
          <w:tcPr>
            <w:tcW w:w="1245" w:type="dxa"/>
          </w:tcPr>
          <w:p w14:paraId="6A92F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20/17</w:t>
            </w:r>
          </w:p>
        </w:tc>
        <w:tc>
          <w:tcPr>
            <w:tcW w:w="1245" w:type="dxa"/>
          </w:tcPr>
          <w:p w14:paraId="22B5D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35/30</w:t>
            </w:r>
          </w:p>
        </w:tc>
        <w:tc>
          <w:tcPr>
            <w:tcW w:w="1245" w:type="dxa"/>
          </w:tcPr>
          <w:p w14:paraId="35DC85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10/10</w:t>
            </w:r>
          </w:p>
        </w:tc>
        <w:tc>
          <w:tcPr>
            <w:tcW w:w="1245" w:type="dxa"/>
          </w:tcPr>
          <w:p w14:paraId="67F157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15/15</w:t>
            </w:r>
          </w:p>
        </w:tc>
        <w:tc>
          <w:tcPr>
            <w:tcW w:w="1245" w:type="dxa"/>
          </w:tcPr>
          <w:p w14:paraId="30B95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15/14</w:t>
            </w:r>
          </w:p>
        </w:tc>
        <w:tc>
          <w:tcPr>
            <w:tcW w:w="1245" w:type="dxa"/>
          </w:tcPr>
          <w:p w14:paraId="520C1F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w:t>
            </w:r>
          </w:p>
        </w:tc>
        <w:tc>
          <w:tcPr>
            <w:tcW w:w="1245" w:type="dxa"/>
          </w:tcPr>
          <w:p w14:paraId="362D0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206/161</w:t>
            </w:r>
          </w:p>
        </w:tc>
      </w:tr>
      <w:tr w:rsidR="00561F31" w:rsidRPr="00F90EAE" w14:paraId="4C79E7F3" w14:textId="77777777">
        <w:tc>
          <w:tcPr>
            <w:tcW w:w="1245" w:type="dxa"/>
          </w:tcPr>
          <w:p w14:paraId="5D55E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245" w:type="dxa"/>
          </w:tcPr>
          <w:p w14:paraId="44B120B5"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5A40A7C1"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7D707572"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5E568A8D"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390E320B"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70A29C45"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2951FFD3"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49D005C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F9E0266" w14:textId="77777777">
        <w:tc>
          <w:tcPr>
            <w:tcW w:w="1245" w:type="dxa"/>
          </w:tcPr>
          <w:p w14:paraId="7BC43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СФ</w:t>
            </w:r>
          </w:p>
        </w:tc>
        <w:tc>
          <w:tcPr>
            <w:tcW w:w="1245" w:type="dxa"/>
          </w:tcPr>
          <w:p w14:paraId="311F5A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32/30*</w:t>
            </w:r>
          </w:p>
        </w:tc>
        <w:tc>
          <w:tcPr>
            <w:tcW w:w="1245" w:type="dxa"/>
          </w:tcPr>
          <w:p w14:paraId="1AD679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107E5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245" w:type="dxa"/>
          </w:tcPr>
          <w:p w14:paraId="16FD3E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0C550D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245" w:type="dxa"/>
          </w:tcPr>
          <w:p w14:paraId="35F1BC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245" w:type="dxa"/>
          </w:tcPr>
          <w:p w14:paraId="15C77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26/26</w:t>
            </w:r>
          </w:p>
        </w:tc>
        <w:tc>
          <w:tcPr>
            <w:tcW w:w="1245" w:type="dxa"/>
          </w:tcPr>
          <w:p w14:paraId="1FE5D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68/62</w:t>
            </w:r>
          </w:p>
        </w:tc>
      </w:tr>
      <w:tr w:rsidR="00561F31" w:rsidRPr="00F90EAE" w14:paraId="55F1F922" w14:textId="77777777">
        <w:tc>
          <w:tcPr>
            <w:tcW w:w="1245" w:type="dxa"/>
          </w:tcPr>
          <w:p w14:paraId="7BCEEC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КБФ</w:t>
            </w:r>
          </w:p>
        </w:tc>
        <w:tc>
          <w:tcPr>
            <w:tcW w:w="1245" w:type="dxa"/>
          </w:tcPr>
          <w:p w14:paraId="4C477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1245" w:type="dxa"/>
          </w:tcPr>
          <w:p w14:paraId="6C4C6F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4B5F1D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1AEF3B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66D852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13D14C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245" w:type="dxa"/>
          </w:tcPr>
          <w:p w14:paraId="5F75E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1245" w:type="dxa"/>
          </w:tcPr>
          <w:p w14:paraId="49943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19/17</w:t>
            </w:r>
          </w:p>
        </w:tc>
      </w:tr>
      <w:tr w:rsidR="00561F31" w:rsidRPr="00F90EAE" w14:paraId="6A273136" w14:textId="77777777">
        <w:tc>
          <w:tcPr>
            <w:tcW w:w="1245" w:type="dxa"/>
          </w:tcPr>
          <w:p w14:paraId="3EEF7C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ЧФ</w:t>
            </w:r>
          </w:p>
        </w:tc>
        <w:tc>
          <w:tcPr>
            <w:tcW w:w="1245" w:type="dxa"/>
          </w:tcPr>
          <w:p w14:paraId="04982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33/24</w:t>
            </w:r>
          </w:p>
        </w:tc>
        <w:tc>
          <w:tcPr>
            <w:tcW w:w="1245" w:type="dxa"/>
          </w:tcPr>
          <w:p w14:paraId="5D4EB3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2F4E6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6D203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08EC44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6B0298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245" w:type="dxa"/>
          </w:tcPr>
          <w:p w14:paraId="5DADA7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69F153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35/26</w:t>
            </w:r>
          </w:p>
        </w:tc>
      </w:tr>
      <w:tr w:rsidR="00561F31" w:rsidRPr="00F90EAE" w14:paraId="6AA401C2" w14:textId="77777777">
        <w:tc>
          <w:tcPr>
            <w:tcW w:w="1245" w:type="dxa"/>
            <w:tcBorders>
              <w:bottom w:val="single" w:sz="12" w:space="0" w:color="auto"/>
            </w:tcBorders>
          </w:tcPr>
          <w:p w14:paraId="7C97C8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245" w:type="dxa"/>
            <w:tcBorders>
              <w:bottom w:val="single" w:sz="12" w:space="0" w:color="auto"/>
            </w:tcBorders>
          </w:tcPr>
          <w:p w14:paraId="65F38E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74/61</w:t>
            </w:r>
          </w:p>
        </w:tc>
        <w:tc>
          <w:tcPr>
            <w:tcW w:w="1245" w:type="dxa"/>
            <w:tcBorders>
              <w:bottom w:val="single" w:sz="12" w:space="0" w:color="auto"/>
            </w:tcBorders>
          </w:tcPr>
          <w:p w14:paraId="4BBBE5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Borders>
              <w:bottom w:val="single" w:sz="12" w:space="0" w:color="auto"/>
            </w:tcBorders>
          </w:tcPr>
          <w:p w14:paraId="025057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Borders>
              <w:bottom w:val="single" w:sz="12" w:space="0" w:color="auto"/>
            </w:tcBorders>
          </w:tcPr>
          <w:p w14:paraId="5F289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Borders>
              <w:bottom w:val="single" w:sz="12" w:space="0" w:color="auto"/>
            </w:tcBorders>
          </w:tcPr>
          <w:p w14:paraId="33C23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245" w:type="dxa"/>
            <w:tcBorders>
              <w:bottom w:val="single" w:sz="12" w:space="0" w:color="auto"/>
            </w:tcBorders>
          </w:tcPr>
          <w:p w14:paraId="3D095D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245" w:type="dxa"/>
            <w:tcBorders>
              <w:bottom w:val="single" w:sz="12" w:space="0" w:color="auto"/>
            </w:tcBorders>
          </w:tcPr>
          <w:p w14:paraId="2B4FE3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35/35</w:t>
            </w:r>
          </w:p>
        </w:tc>
        <w:tc>
          <w:tcPr>
            <w:tcW w:w="1245" w:type="dxa"/>
            <w:tcBorders>
              <w:bottom w:val="single" w:sz="12" w:space="0" w:color="auto"/>
            </w:tcBorders>
          </w:tcPr>
          <w:p w14:paraId="32EA89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122/105</w:t>
            </w:r>
          </w:p>
        </w:tc>
      </w:tr>
    </w:tbl>
    <w:p w14:paraId="30E45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Примечание. Следует отметить, что все 32 Ил-4 9-го гмтап ВВС СФ были закреплены за одной эскадрильей, имевшей 12 экипажей, т.е. 20 машин фактически находились в полковом резерве.</w:t>
      </w:r>
    </w:p>
    <w:p w14:paraId="429B06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 самолетов А-20 в СССР осуществлялись в столь большом объеме, что полностью покрывали и потребности ВВС РККА и ВВС ВМФ. Достаточно сказать, что за время боевых действий только ВВС СФ получили 139, ВВС КБФ - 226 А-20, а вся авиация ВМФ до момента прекращения поставок по ленд-лизу - 643 самолета из почти 2800, поставленных в СССР. Эта цифра примерно в три раза превышала поставки Ил-4 морской авиации в военное время. Реальное соотношение отечественных и импортных самолетов в составе ВВС "западных" флотов на момент окончания Великой Отечественной войны можно почерпнуть из нижеприводимой таблицы. С учетом этого не покажется преувеличением заявление, что появление "Бостона" дало второе дыхание нашей минно-торпедной авиации, предоставило ей возможность действовать вплоть до конца войны, не снижая, а, наоборот, наращивая эффективность своих ударов (12002).</w:t>
      </w:r>
    </w:p>
    <w:p w14:paraId="50440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Тактико-технические характеристики торпедоносцев, находившихся на вооружении МТА ВМФ в 1932-1945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561F31" w:rsidRPr="00F90EAE" w14:paraId="75740C1C" w14:textId="77777777">
        <w:tc>
          <w:tcPr>
            <w:tcW w:w="1245" w:type="dxa"/>
            <w:tcBorders>
              <w:top w:val="single" w:sz="12" w:space="0" w:color="auto"/>
            </w:tcBorders>
          </w:tcPr>
          <w:p w14:paraId="5CE18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(год Габариты: размах</w:t>
            </w:r>
          </w:p>
        </w:tc>
        <w:tc>
          <w:tcPr>
            <w:tcW w:w="1245" w:type="dxa"/>
            <w:tcBorders>
              <w:top w:val="single" w:sz="12" w:space="0" w:color="auto"/>
            </w:tcBorders>
          </w:tcPr>
          <w:p w14:paraId="523627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Моторы:</w:t>
            </w:r>
          </w:p>
        </w:tc>
        <w:tc>
          <w:tcPr>
            <w:tcW w:w="1245" w:type="dxa"/>
            <w:tcBorders>
              <w:top w:val="single" w:sz="12" w:space="0" w:color="auto"/>
            </w:tcBorders>
          </w:tcPr>
          <w:p w14:paraId="0283D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w:t>
            </w:r>
          </w:p>
        </w:tc>
        <w:tc>
          <w:tcPr>
            <w:tcW w:w="1245" w:type="dxa"/>
            <w:tcBorders>
              <w:top w:val="single" w:sz="12" w:space="0" w:color="auto"/>
            </w:tcBorders>
          </w:tcPr>
          <w:p w14:paraId="165559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w:t>
            </w:r>
          </w:p>
        </w:tc>
        <w:tc>
          <w:tcPr>
            <w:tcW w:w="1245" w:type="dxa"/>
            <w:tcBorders>
              <w:top w:val="single" w:sz="12" w:space="0" w:color="auto"/>
            </w:tcBorders>
          </w:tcPr>
          <w:p w14:paraId="6347E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1245" w:type="dxa"/>
            <w:tcBorders>
              <w:top w:val="single" w:sz="12" w:space="0" w:color="auto"/>
            </w:tcBorders>
          </w:tcPr>
          <w:p w14:paraId="57E172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1245" w:type="dxa"/>
            <w:tcBorders>
              <w:top w:val="single" w:sz="12" w:space="0" w:color="auto"/>
            </w:tcBorders>
          </w:tcPr>
          <w:p w14:paraId="7EE07F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w:t>
            </w:r>
          </w:p>
        </w:tc>
        <w:tc>
          <w:tcPr>
            <w:tcW w:w="1245" w:type="dxa"/>
            <w:tcBorders>
              <w:top w:val="single" w:sz="12" w:space="0" w:color="auto"/>
            </w:tcBorders>
          </w:tcPr>
          <w:p w14:paraId="057D20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w:t>
            </w:r>
          </w:p>
        </w:tc>
        <w:tc>
          <w:tcPr>
            <w:tcW w:w="1245" w:type="dxa"/>
            <w:tcBorders>
              <w:top w:val="single" w:sz="12" w:space="0" w:color="auto"/>
            </w:tcBorders>
          </w:tcPr>
          <w:p w14:paraId="2C52898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72452E5" w14:textId="77777777">
        <w:tc>
          <w:tcPr>
            <w:tcW w:w="1245" w:type="dxa"/>
          </w:tcPr>
          <w:p w14:paraId="00019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принятия на крыльев х длина,</w:t>
            </w:r>
          </w:p>
        </w:tc>
        <w:tc>
          <w:tcPr>
            <w:tcW w:w="1245" w:type="dxa"/>
          </w:tcPr>
          <w:p w14:paraId="57A000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кол-во х л.с.</w:t>
            </w:r>
          </w:p>
        </w:tc>
        <w:tc>
          <w:tcPr>
            <w:tcW w:w="1245" w:type="dxa"/>
          </w:tcPr>
          <w:p w14:paraId="304159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w:t>
            </w:r>
          </w:p>
        </w:tc>
        <w:tc>
          <w:tcPr>
            <w:tcW w:w="1245" w:type="dxa"/>
          </w:tcPr>
          <w:p w14:paraId="5616EB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245" w:type="dxa"/>
          </w:tcPr>
          <w:p w14:paraId="4843E2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w:t>
            </w:r>
          </w:p>
        </w:tc>
        <w:tc>
          <w:tcPr>
            <w:tcW w:w="1245" w:type="dxa"/>
          </w:tcPr>
          <w:p w14:paraId="6F4703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км</w:t>
            </w:r>
          </w:p>
        </w:tc>
        <w:tc>
          <w:tcPr>
            <w:tcW w:w="1245" w:type="dxa"/>
          </w:tcPr>
          <w:p w14:paraId="1266B4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1245" w:type="dxa"/>
          </w:tcPr>
          <w:p w14:paraId="09178E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нормальной</w:t>
            </w:r>
          </w:p>
        </w:tc>
        <w:tc>
          <w:tcPr>
            <w:tcW w:w="1245" w:type="dxa"/>
          </w:tcPr>
          <w:p w14:paraId="67CD398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295AADC" w14:textId="77777777">
        <w:tc>
          <w:tcPr>
            <w:tcW w:w="1245" w:type="dxa"/>
          </w:tcPr>
          <w:p w14:paraId="578D0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1245" w:type="dxa"/>
          </w:tcPr>
          <w:p w14:paraId="57980E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w:t>
            </w:r>
          </w:p>
        </w:tc>
        <w:tc>
          <w:tcPr>
            <w:tcW w:w="1245" w:type="dxa"/>
          </w:tcPr>
          <w:p w14:paraId="7F823B04"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421F1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кг</w:t>
            </w:r>
          </w:p>
        </w:tc>
        <w:tc>
          <w:tcPr>
            <w:tcW w:w="1245" w:type="dxa"/>
          </w:tcPr>
          <w:p w14:paraId="3DF1C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км/ч</w:t>
            </w:r>
          </w:p>
        </w:tc>
        <w:tc>
          <w:tcPr>
            <w:tcW w:w="1245" w:type="dxa"/>
          </w:tcPr>
          <w:p w14:paraId="002749EA"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7E4B3AF2"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272144D0" w14:textId="77777777" w:rsidR="00665165" w:rsidRPr="00F90EAE" w:rsidRDefault="00665165" w:rsidP="00F90EAE">
            <w:pPr>
              <w:autoSpaceDE w:val="0"/>
              <w:autoSpaceDN w:val="0"/>
              <w:adjustRightInd w:val="0"/>
              <w:jc w:val="both"/>
              <w:rPr>
                <w:color w:val="000000" w:themeColor="text1"/>
                <w:sz w:val="16"/>
                <w:szCs w:val="16"/>
              </w:rPr>
            </w:pPr>
          </w:p>
        </w:tc>
        <w:tc>
          <w:tcPr>
            <w:tcW w:w="1245" w:type="dxa"/>
          </w:tcPr>
          <w:p w14:paraId="42599A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боевой нагрузки, кг (число торпед)</w:t>
            </w:r>
          </w:p>
        </w:tc>
      </w:tr>
      <w:tr w:rsidR="00561F31" w:rsidRPr="00F90EAE" w14:paraId="1BA1667A" w14:textId="77777777">
        <w:tc>
          <w:tcPr>
            <w:tcW w:w="1245" w:type="dxa"/>
          </w:tcPr>
          <w:p w14:paraId="42C866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ТБ-1П (1932)</w:t>
            </w:r>
          </w:p>
        </w:tc>
        <w:tc>
          <w:tcPr>
            <w:tcW w:w="1245" w:type="dxa"/>
          </w:tcPr>
          <w:p w14:paraId="1D0B7F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28,7x18,9</w:t>
            </w:r>
          </w:p>
        </w:tc>
        <w:tc>
          <w:tcPr>
            <w:tcW w:w="1245" w:type="dxa"/>
          </w:tcPr>
          <w:p w14:paraId="5D35F5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2x680</w:t>
            </w:r>
          </w:p>
        </w:tc>
        <w:tc>
          <w:tcPr>
            <w:tcW w:w="1245" w:type="dxa"/>
          </w:tcPr>
          <w:p w14:paraId="7A0E1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7500</w:t>
            </w:r>
          </w:p>
        </w:tc>
        <w:tc>
          <w:tcPr>
            <w:tcW w:w="1245" w:type="dxa"/>
          </w:tcPr>
          <w:p w14:paraId="091B90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w:t>
            </w:r>
          </w:p>
        </w:tc>
        <w:tc>
          <w:tcPr>
            <w:tcW w:w="1245" w:type="dxa"/>
          </w:tcPr>
          <w:p w14:paraId="018BC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3620</w:t>
            </w:r>
          </w:p>
        </w:tc>
        <w:tc>
          <w:tcPr>
            <w:tcW w:w="1245" w:type="dxa"/>
          </w:tcPr>
          <w:p w14:paraId="698A4E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245" w:type="dxa"/>
          </w:tcPr>
          <w:p w14:paraId="7A045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6x7,62</w:t>
            </w:r>
          </w:p>
        </w:tc>
        <w:tc>
          <w:tcPr>
            <w:tcW w:w="1245" w:type="dxa"/>
          </w:tcPr>
          <w:p w14:paraId="14A1B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(1)</w:t>
            </w:r>
          </w:p>
        </w:tc>
      </w:tr>
      <w:tr w:rsidR="00561F31" w:rsidRPr="00F90EAE" w14:paraId="6AA42316" w14:textId="77777777">
        <w:tc>
          <w:tcPr>
            <w:tcW w:w="1245" w:type="dxa"/>
          </w:tcPr>
          <w:p w14:paraId="19E50A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Р-5Т (1935)</w:t>
            </w:r>
          </w:p>
        </w:tc>
        <w:tc>
          <w:tcPr>
            <w:tcW w:w="1245" w:type="dxa"/>
          </w:tcPr>
          <w:p w14:paraId="02C40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15,5x10,6</w:t>
            </w:r>
          </w:p>
        </w:tc>
        <w:tc>
          <w:tcPr>
            <w:tcW w:w="1245" w:type="dxa"/>
          </w:tcPr>
          <w:p w14:paraId="3578EB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1x715</w:t>
            </w:r>
          </w:p>
        </w:tc>
        <w:tc>
          <w:tcPr>
            <w:tcW w:w="1245" w:type="dxa"/>
          </w:tcPr>
          <w:p w14:paraId="7AEF5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3800</w:t>
            </w:r>
          </w:p>
        </w:tc>
        <w:tc>
          <w:tcPr>
            <w:tcW w:w="1245" w:type="dxa"/>
          </w:tcPr>
          <w:p w14:paraId="4BE6AE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w:t>
            </w:r>
          </w:p>
        </w:tc>
        <w:tc>
          <w:tcPr>
            <w:tcW w:w="1245" w:type="dxa"/>
          </w:tcPr>
          <w:p w14:paraId="6BB19D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6400</w:t>
            </w:r>
          </w:p>
        </w:tc>
        <w:tc>
          <w:tcPr>
            <w:tcW w:w="1245" w:type="dxa"/>
          </w:tcPr>
          <w:p w14:paraId="17FE5A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245" w:type="dxa"/>
          </w:tcPr>
          <w:p w14:paraId="13D8E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1x7,62</w:t>
            </w:r>
          </w:p>
        </w:tc>
        <w:tc>
          <w:tcPr>
            <w:tcW w:w="1245" w:type="dxa"/>
          </w:tcPr>
          <w:p w14:paraId="034AE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 (1)</w:t>
            </w:r>
          </w:p>
        </w:tc>
      </w:tr>
      <w:tr w:rsidR="00561F31" w:rsidRPr="00F90EAE" w14:paraId="5466CBDE" w14:textId="77777777">
        <w:tc>
          <w:tcPr>
            <w:tcW w:w="1245" w:type="dxa"/>
          </w:tcPr>
          <w:p w14:paraId="35E30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Р-6Т (1935)</w:t>
            </w:r>
          </w:p>
        </w:tc>
        <w:tc>
          <w:tcPr>
            <w:tcW w:w="1245" w:type="dxa"/>
          </w:tcPr>
          <w:p w14:paraId="61015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23,2x16,0</w:t>
            </w:r>
          </w:p>
        </w:tc>
        <w:tc>
          <w:tcPr>
            <w:tcW w:w="1245" w:type="dxa"/>
          </w:tcPr>
          <w:p w14:paraId="0C74D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2x680</w:t>
            </w:r>
          </w:p>
        </w:tc>
        <w:tc>
          <w:tcPr>
            <w:tcW w:w="1245" w:type="dxa"/>
          </w:tcPr>
          <w:p w14:paraId="7A0EA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5400</w:t>
            </w:r>
          </w:p>
        </w:tc>
        <w:tc>
          <w:tcPr>
            <w:tcW w:w="1245" w:type="dxa"/>
          </w:tcPr>
          <w:p w14:paraId="1F580E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w:t>
            </w:r>
          </w:p>
        </w:tc>
        <w:tc>
          <w:tcPr>
            <w:tcW w:w="1245" w:type="dxa"/>
          </w:tcPr>
          <w:p w14:paraId="10232B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3850</w:t>
            </w:r>
          </w:p>
        </w:tc>
        <w:tc>
          <w:tcPr>
            <w:tcW w:w="1245" w:type="dxa"/>
          </w:tcPr>
          <w:p w14:paraId="304AD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w:t>
            </w:r>
          </w:p>
        </w:tc>
        <w:tc>
          <w:tcPr>
            <w:tcW w:w="1245" w:type="dxa"/>
          </w:tcPr>
          <w:p w14:paraId="41C46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6x7,62</w:t>
            </w:r>
          </w:p>
        </w:tc>
        <w:tc>
          <w:tcPr>
            <w:tcW w:w="1245" w:type="dxa"/>
          </w:tcPr>
          <w:p w14:paraId="26598C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 (1)</w:t>
            </w:r>
          </w:p>
        </w:tc>
      </w:tr>
      <w:tr w:rsidR="00561F31" w:rsidRPr="00F90EAE" w14:paraId="63CE04CF" w14:textId="77777777">
        <w:tc>
          <w:tcPr>
            <w:tcW w:w="1245" w:type="dxa"/>
          </w:tcPr>
          <w:p w14:paraId="06A7E2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ДБ-ЗТ (1938)</w:t>
            </w:r>
          </w:p>
        </w:tc>
        <w:tc>
          <w:tcPr>
            <w:tcW w:w="1245" w:type="dxa"/>
          </w:tcPr>
          <w:p w14:paraId="719DED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21,44x14,22</w:t>
            </w:r>
          </w:p>
        </w:tc>
        <w:tc>
          <w:tcPr>
            <w:tcW w:w="1245" w:type="dxa"/>
          </w:tcPr>
          <w:p w14:paraId="52BDC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2x920</w:t>
            </w:r>
          </w:p>
        </w:tc>
        <w:tc>
          <w:tcPr>
            <w:tcW w:w="1245" w:type="dxa"/>
          </w:tcPr>
          <w:p w14:paraId="564CF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1245" w:type="dxa"/>
          </w:tcPr>
          <w:p w14:paraId="61326C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435</w:t>
            </w:r>
          </w:p>
        </w:tc>
        <w:tc>
          <w:tcPr>
            <w:tcW w:w="1245" w:type="dxa"/>
          </w:tcPr>
          <w:p w14:paraId="668C44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9000</w:t>
            </w:r>
          </w:p>
        </w:tc>
        <w:tc>
          <w:tcPr>
            <w:tcW w:w="1245" w:type="dxa"/>
          </w:tcPr>
          <w:p w14:paraId="2E398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3500</w:t>
            </w:r>
          </w:p>
        </w:tc>
        <w:tc>
          <w:tcPr>
            <w:tcW w:w="1245" w:type="dxa"/>
          </w:tcPr>
          <w:p w14:paraId="6F6A79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3x7,62</w:t>
            </w:r>
          </w:p>
        </w:tc>
        <w:tc>
          <w:tcPr>
            <w:tcW w:w="1245" w:type="dxa"/>
          </w:tcPr>
          <w:p w14:paraId="62D015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(1)</w:t>
            </w:r>
          </w:p>
        </w:tc>
      </w:tr>
      <w:tr w:rsidR="00561F31" w:rsidRPr="00F90EAE" w14:paraId="30BAB768" w14:textId="77777777">
        <w:tc>
          <w:tcPr>
            <w:tcW w:w="1245" w:type="dxa"/>
          </w:tcPr>
          <w:p w14:paraId="719B71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ДБ-ЗФ (1940)</w:t>
            </w:r>
          </w:p>
        </w:tc>
        <w:tc>
          <w:tcPr>
            <w:tcW w:w="1245" w:type="dxa"/>
          </w:tcPr>
          <w:p w14:paraId="7353E4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21,44x14,76</w:t>
            </w:r>
          </w:p>
        </w:tc>
        <w:tc>
          <w:tcPr>
            <w:tcW w:w="1245" w:type="dxa"/>
          </w:tcPr>
          <w:p w14:paraId="7465D3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2x950</w:t>
            </w:r>
          </w:p>
        </w:tc>
        <w:tc>
          <w:tcPr>
            <w:tcW w:w="1245" w:type="dxa"/>
          </w:tcPr>
          <w:p w14:paraId="0178CC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7638</w:t>
            </w:r>
          </w:p>
        </w:tc>
        <w:tc>
          <w:tcPr>
            <w:tcW w:w="1245" w:type="dxa"/>
          </w:tcPr>
          <w:p w14:paraId="124873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445</w:t>
            </w:r>
          </w:p>
        </w:tc>
        <w:tc>
          <w:tcPr>
            <w:tcW w:w="1245" w:type="dxa"/>
          </w:tcPr>
          <w:p w14:paraId="00801A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9000</w:t>
            </w:r>
          </w:p>
        </w:tc>
        <w:tc>
          <w:tcPr>
            <w:tcW w:w="1245" w:type="dxa"/>
          </w:tcPr>
          <w:p w14:paraId="4D865F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3300</w:t>
            </w:r>
          </w:p>
        </w:tc>
        <w:tc>
          <w:tcPr>
            <w:tcW w:w="1245" w:type="dxa"/>
          </w:tcPr>
          <w:p w14:paraId="3707F1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3x7,62</w:t>
            </w:r>
          </w:p>
        </w:tc>
        <w:tc>
          <w:tcPr>
            <w:tcW w:w="1245" w:type="dxa"/>
          </w:tcPr>
          <w:p w14:paraId="46D692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(1)</w:t>
            </w:r>
          </w:p>
        </w:tc>
      </w:tr>
      <w:tr w:rsidR="00561F31" w:rsidRPr="00F90EAE" w14:paraId="457FCA01" w14:textId="77777777">
        <w:tc>
          <w:tcPr>
            <w:tcW w:w="1245" w:type="dxa"/>
          </w:tcPr>
          <w:p w14:paraId="061AE9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 (1942)</w:t>
            </w:r>
          </w:p>
        </w:tc>
        <w:tc>
          <w:tcPr>
            <w:tcW w:w="1245" w:type="dxa"/>
          </w:tcPr>
          <w:p w14:paraId="518249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21,44x14,76</w:t>
            </w:r>
          </w:p>
        </w:tc>
        <w:tc>
          <w:tcPr>
            <w:tcW w:w="1245" w:type="dxa"/>
          </w:tcPr>
          <w:p w14:paraId="0E3BC6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2x1100</w:t>
            </w:r>
          </w:p>
        </w:tc>
        <w:tc>
          <w:tcPr>
            <w:tcW w:w="1245" w:type="dxa"/>
          </w:tcPr>
          <w:p w14:paraId="262CF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10055</w:t>
            </w:r>
          </w:p>
        </w:tc>
        <w:tc>
          <w:tcPr>
            <w:tcW w:w="1245" w:type="dxa"/>
          </w:tcPr>
          <w:p w14:paraId="25E8E3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398</w:t>
            </w:r>
          </w:p>
        </w:tc>
        <w:tc>
          <w:tcPr>
            <w:tcW w:w="1245" w:type="dxa"/>
          </w:tcPr>
          <w:p w14:paraId="727488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8300</w:t>
            </w:r>
          </w:p>
        </w:tc>
        <w:tc>
          <w:tcPr>
            <w:tcW w:w="1245" w:type="dxa"/>
          </w:tcPr>
          <w:p w14:paraId="7BA25F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3585</w:t>
            </w:r>
          </w:p>
        </w:tc>
        <w:tc>
          <w:tcPr>
            <w:tcW w:w="1245" w:type="dxa"/>
          </w:tcPr>
          <w:p w14:paraId="1F40B5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1x12,7 2x7,62</w:t>
            </w:r>
          </w:p>
        </w:tc>
        <w:tc>
          <w:tcPr>
            <w:tcW w:w="1245" w:type="dxa"/>
          </w:tcPr>
          <w:p w14:paraId="107DCF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(1)</w:t>
            </w:r>
          </w:p>
        </w:tc>
      </w:tr>
      <w:tr w:rsidR="00561F31" w:rsidRPr="00F90EAE" w14:paraId="3D92AE9D" w14:textId="77777777">
        <w:tc>
          <w:tcPr>
            <w:tcW w:w="1245" w:type="dxa"/>
          </w:tcPr>
          <w:p w14:paraId="527557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"Хэмпден" (1942)</w:t>
            </w:r>
          </w:p>
        </w:tc>
        <w:tc>
          <w:tcPr>
            <w:tcW w:w="1245" w:type="dxa"/>
          </w:tcPr>
          <w:p w14:paraId="7AB888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21,01x16,28</w:t>
            </w:r>
          </w:p>
        </w:tc>
        <w:tc>
          <w:tcPr>
            <w:tcW w:w="1245" w:type="dxa"/>
          </w:tcPr>
          <w:p w14:paraId="1455F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2x1015</w:t>
            </w:r>
          </w:p>
        </w:tc>
        <w:tc>
          <w:tcPr>
            <w:tcW w:w="1245" w:type="dxa"/>
          </w:tcPr>
          <w:p w14:paraId="40E98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10660</w:t>
            </w:r>
          </w:p>
        </w:tc>
        <w:tc>
          <w:tcPr>
            <w:tcW w:w="1245" w:type="dxa"/>
          </w:tcPr>
          <w:p w14:paraId="5A7B2E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w:t>
            </w:r>
          </w:p>
        </w:tc>
        <w:tc>
          <w:tcPr>
            <w:tcW w:w="1245" w:type="dxa"/>
          </w:tcPr>
          <w:p w14:paraId="42A46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6920</w:t>
            </w:r>
          </w:p>
        </w:tc>
        <w:tc>
          <w:tcPr>
            <w:tcW w:w="1245" w:type="dxa"/>
          </w:tcPr>
          <w:p w14:paraId="38349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1920</w:t>
            </w:r>
          </w:p>
        </w:tc>
        <w:tc>
          <w:tcPr>
            <w:tcW w:w="1245" w:type="dxa"/>
          </w:tcPr>
          <w:p w14:paraId="550CE7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1x12,7 4x7,62</w:t>
            </w:r>
          </w:p>
        </w:tc>
        <w:tc>
          <w:tcPr>
            <w:tcW w:w="1245" w:type="dxa"/>
          </w:tcPr>
          <w:p w14:paraId="6B1FC9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1250 (1)</w:t>
            </w:r>
          </w:p>
        </w:tc>
      </w:tr>
      <w:tr w:rsidR="00561F31" w:rsidRPr="00F90EAE" w14:paraId="2C88A3F4" w14:textId="77777777">
        <w:tc>
          <w:tcPr>
            <w:tcW w:w="1245" w:type="dxa"/>
          </w:tcPr>
          <w:p w14:paraId="3F41A0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А-20В (1943)</w:t>
            </w:r>
          </w:p>
        </w:tc>
        <w:tc>
          <w:tcPr>
            <w:tcW w:w="1245" w:type="dxa"/>
          </w:tcPr>
          <w:p w14:paraId="53B010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18,69x14,4</w:t>
            </w:r>
          </w:p>
        </w:tc>
        <w:tc>
          <w:tcPr>
            <w:tcW w:w="1245" w:type="dxa"/>
          </w:tcPr>
          <w:p w14:paraId="247F8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2x1600</w:t>
            </w:r>
          </w:p>
        </w:tc>
        <w:tc>
          <w:tcPr>
            <w:tcW w:w="1245" w:type="dxa"/>
          </w:tcPr>
          <w:p w14:paraId="4A83A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9475*</w:t>
            </w:r>
          </w:p>
        </w:tc>
        <w:tc>
          <w:tcPr>
            <w:tcW w:w="1245" w:type="dxa"/>
          </w:tcPr>
          <w:p w14:paraId="37BE9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413*</w:t>
            </w:r>
          </w:p>
        </w:tc>
        <w:tc>
          <w:tcPr>
            <w:tcW w:w="1245" w:type="dxa"/>
          </w:tcPr>
          <w:p w14:paraId="267610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6800</w:t>
            </w:r>
          </w:p>
        </w:tc>
        <w:tc>
          <w:tcPr>
            <w:tcW w:w="1245" w:type="dxa"/>
          </w:tcPr>
          <w:p w14:paraId="1A6757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734**</w:t>
            </w:r>
          </w:p>
        </w:tc>
        <w:tc>
          <w:tcPr>
            <w:tcW w:w="1245" w:type="dxa"/>
          </w:tcPr>
          <w:p w14:paraId="0997CA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4x12,7</w:t>
            </w:r>
          </w:p>
        </w:tc>
        <w:tc>
          <w:tcPr>
            <w:tcW w:w="1245" w:type="dxa"/>
          </w:tcPr>
          <w:p w14:paraId="1F30C1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(2)</w:t>
            </w:r>
          </w:p>
        </w:tc>
      </w:tr>
      <w:tr w:rsidR="00561F31" w:rsidRPr="00F90EAE" w14:paraId="29154FB4" w14:textId="77777777">
        <w:tc>
          <w:tcPr>
            <w:tcW w:w="1245" w:type="dxa"/>
          </w:tcPr>
          <w:p w14:paraId="11069B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A-20G*** (1944)</w:t>
            </w:r>
          </w:p>
        </w:tc>
        <w:tc>
          <w:tcPr>
            <w:tcW w:w="1245" w:type="dxa"/>
          </w:tcPr>
          <w:p w14:paraId="4587C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18,69x14,63</w:t>
            </w:r>
          </w:p>
        </w:tc>
        <w:tc>
          <w:tcPr>
            <w:tcW w:w="1245" w:type="dxa"/>
          </w:tcPr>
          <w:p w14:paraId="05050E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2x1600</w:t>
            </w:r>
          </w:p>
        </w:tc>
        <w:tc>
          <w:tcPr>
            <w:tcW w:w="1245" w:type="dxa"/>
          </w:tcPr>
          <w:p w14:paraId="2DFE6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10850</w:t>
            </w:r>
          </w:p>
        </w:tc>
        <w:tc>
          <w:tcPr>
            <w:tcW w:w="1245" w:type="dxa"/>
          </w:tcPr>
          <w:p w14:paraId="145353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506</w:t>
            </w:r>
          </w:p>
        </w:tc>
        <w:tc>
          <w:tcPr>
            <w:tcW w:w="1245" w:type="dxa"/>
          </w:tcPr>
          <w:p w14:paraId="5BBADF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1245" w:type="dxa"/>
          </w:tcPr>
          <w:p w14:paraId="2B17B0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1740</w:t>
            </w:r>
          </w:p>
        </w:tc>
        <w:tc>
          <w:tcPr>
            <w:tcW w:w="1245" w:type="dxa"/>
          </w:tcPr>
          <w:p w14:paraId="46EA57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8x12,7 1x7,62</w:t>
            </w:r>
          </w:p>
        </w:tc>
        <w:tc>
          <w:tcPr>
            <w:tcW w:w="1245" w:type="dxa"/>
          </w:tcPr>
          <w:p w14:paraId="27314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(2)</w:t>
            </w:r>
          </w:p>
        </w:tc>
      </w:tr>
      <w:tr w:rsidR="00561F31" w:rsidRPr="00F90EAE" w14:paraId="59A05D8C" w14:textId="77777777">
        <w:tc>
          <w:tcPr>
            <w:tcW w:w="1245" w:type="dxa"/>
            <w:tcBorders>
              <w:bottom w:val="single" w:sz="12" w:space="0" w:color="auto"/>
            </w:tcBorders>
          </w:tcPr>
          <w:p w14:paraId="319F76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 (1945)</w:t>
            </w:r>
          </w:p>
        </w:tc>
        <w:tc>
          <w:tcPr>
            <w:tcW w:w="1245" w:type="dxa"/>
            <w:tcBorders>
              <w:bottom w:val="single" w:sz="12" w:space="0" w:color="auto"/>
            </w:tcBorders>
          </w:tcPr>
          <w:p w14:paraId="4D9D31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18,86x13,8</w:t>
            </w:r>
          </w:p>
        </w:tc>
        <w:tc>
          <w:tcPr>
            <w:tcW w:w="1245" w:type="dxa"/>
            <w:tcBorders>
              <w:bottom w:val="single" w:sz="12" w:space="0" w:color="auto"/>
            </w:tcBorders>
          </w:tcPr>
          <w:p w14:paraId="228A4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2x1850</w:t>
            </w:r>
          </w:p>
        </w:tc>
        <w:tc>
          <w:tcPr>
            <w:tcW w:w="1245" w:type="dxa"/>
            <w:tcBorders>
              <w:bottom w:val="single" w:sz="12" w:space="0" w:color="auto"/>
            </w:tcBorders>
          </w:tcPr>
          <w:p w14:paraId="2E616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11423</w:t>
            </w:r>
          </w:p>
        </w:tc>
        <w:tc>
          <w:tcPr>
            <w:tcW w:w="1245" w:type="dxa"/>
            <w:tcBorders>
              <w:bottom w:val="single" w:sz="12" w:space="0" w:color="auto"/>
            </w:tcBorders>
          </w:tcPr>
          <w:p w14:paraId="6A0553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505* (493**)</w:t>
            </w:r>
          </w:p>
        </w:tc>
        <w:tc>
          <w:tcPr>
            <w:tcW w:w="1245" w:type="dxa"/>
            <w:tcBorders>
              <w:bottom w:val="single" w:sz="12" w:space="0" w:color="auto"/>
            </w:tcBorders>
          </w:tcPr>
          <w:p w14:paraId="696EB6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7750</w:t>
            </w:r>
          </w:p>
        </w:tc>
        <w:tc>
          <w:tcPr>
            <w:tcW w:w="1245" w:type="dxa"/>
            <w:tcBorders>
              <w:bottom w:val="single" w:sz="12" w:space="0" w:color="auto"/>
            </w:tcBorders>
          </w:tcPr>
          <w:p w14:paraId="576B74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(1800**)</w:t>
            </w:r>
          </w:p>
        </w:tc>
        <w:tc>
          <w:tcPr>
            <w:tcW w:w="1245" w:type="dxa"/>
            <w:tcBorders>
              <w:bottom w:val="single" w:sz="12" w:space="0" w:color="auto"/>
            </w:tcBorders>
          </w:tcPr>
          <w:p w14:paraId="50553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 3x12,7</w:t>
            </w:r>
          </w:p>
        </w:tc>
        <w:tc>
          <w:tcPr>
            <w:tcW w:w="1245" w:type="dxa"/>
            <w:tcBorders>
              <w:bottom w:val="single" w:sz="12" w:space="0" w:color="auto"/>
            </w:tcBorders>
          </w:tcPr>
          <w:p w14:paraId="71620D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 (2)</w:t>
            </w:r>
          </w:p>
        </w:tc>
      </w:tr>
    </w:tbl>
    <w:p w14:paraId="7831BA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Примечания: * С одной торпедой. " С двумя торпедами. *** Поздних серий с непереоборудованной кабиной (12002).</w:t>
      </w:r>
    </w:p>
    <w:p w14:paraId="26D6FB86" w14:textId="77777777" w:rsidR="00665165" w:rsidRPr="00F90EAE" w:rsidRDefault="00665165" w:rsidP="00F90EAE">
      <w:pPr>
        <w:autoSpaceDE w:val="0"/>
        <w:autoSpaceDN w:val="0"/>
        <w:adjustRightInd w:val="0"/>
        <w:jc w:val="both"/>
        <w:rPr>
          <w:iCs/>
          <w:color w:val="000000" w:themeColor="text1"/>
          <w:sz w:val="16"/>
          <w:szCs w:val="16"/>
        </w:rPr>
      </w:pPr>
    </w:p>
    <w:p w14:paraId="6C969BD8" w14:textId="77777777" w:rsidR="00F85807" w:rsidRPr="00F90EAE" w:rsidRDefault="00F85807" w:rsidP="00F90EAE">
      <w:pPr>
        <w:jc w:val="both"/>
        <w:rPr>
          <w:color w:val="0070C0"/>
          <w:sz w:val="16"/>
          <w:szCs w:val="16"/>
        </w:rPr>
      </w:pPr>
      <w:r w:rsidRPr="00F90EAE">
        <w:rPr>
          <w:color w:val="0070C0"/>
          <w:sz w:val="16"/>
          <w:szCs w:val="16"/>
        </w:rPr>
        <w:t>1 МАРТА 1945 г.</w:t>
      </w:r>
    </w:p>
    <w:p w14:paraId="68E599E3" w14:textId="77777777" w:rsidR="00F85807" w:rsidRPr="00F90EAE" w:rsidRDefault="00F85807" w:rsidP="00F90EAE">
      <w:pPr>
        <w:jc w:val="both"/>
        <w:rPr>
          <w:color w:val="0070C0"/>
          <w:sz w:val="16"/>
          <w:szCs w:val="16"/>
        </w:rPr>
      </w:pPr>
      <w:r w:rsidRPr="00F90EAE">
        <w:rPr>
          <w:color w:val="0070C0"/>
          <w:sz w:val="16"/>
          <w:szCs w:val="16"/>
        </w:rPr>
        <w:t>УКАЗАНИЯ КОМАНДУЮЩЕГО ВОЕННО-ВОЗДУШНЫМИ СИЛАМИ КРАСНОЙ АРМИИ № 076483с ОТ 1 МАРТА 1945 г. О ПОРЯДКЕ ИСПОЛЬЗОВАНИЯ ТРОФЕЙНОЙ АВИАЦИОННОЙ ТЕХНИКИ</w:t>
      </w:r>
    </w:p>
    <w:p w14:paraId="4B4D935F" w14:textId="77777777" w:rsidR="00F85807" w:rsidRPr="00F90EAE" w:rsidRDefault="00F85807" w:rsidP="00F90EAE">
      <w:pPr>
        <w:jc w:val="both"/>
        <w:rPr>
          <w:color w:val="0070C0"/>
          <w:sz w:val="16"/>
          <w:szCs w:val="16"/>
        </w:rPr>
      </w:pPr>
      <w:r w:rsidRPr="00F90EAE">
        <w:rPr>
          <w:color w:val="0070C0"/>
          <w:sz w:val="16"/>
          <w:szCs w:val="16"/>
        </w:rPr>
        <w:t>Секретно</w:t>
      </w:r>
    </w:p>
    <w:p w14:paraId="7A1B91A7" w14:textId="77777777" w:rsidR="00F85807" w:rsidRPr="00F90EAE" w:rsidRDefault="00F85807" w:rsidP="00F90EAE">
      <w:pPr>
        <w:jc w:val="both"/>
        <w:rPr>
          <w:color w:val="0070C0"/>
          <w:sz w:val="16"/>
          <w:szCs w:val="16"/>
        </w:rPr>
      </w:pPr>
      <w:r w:rsidRPr="00F90EAE">
        <w:rPr>
          <w:color w:val="0070C0"/>
          <w:sz w:val="16"/>
          <w:szCs w:val="16"/>
        </w:rPr>
        <w:t>Командующим воздушными армиями,</w:t>
      </w:r>
    </w:p>
    <w:p w14:paraId="0EAFB453" w14:textId="77777777" w:rsidR="00F85807" w:rsidRPr="00F90EAE" w:rsidRDefault="00F85807" w:rsidP="00F90EAE">
      <w:pPr>
        <w:jc w:val="both"/>
        <w:rPr>
          <w:color w:val="0070C0"/>
          <w:sz w:val="16"/>
          <w:szCs w:val="16"/>
        </w:rPr>
      </w:pPr>
      <w:r w:rsidRPr="00F90EAE">
        <w:rPr>
          <w:color w:val="0070C0"/>
          <w:sz w:val="16"/>
          <w:szCs w:val="16"/>
        </w:rPr>
        <w:t>начальникам главных управлений ВВС КА</w:t>
      </w:r>
    </w:p>
    <w:p w14:paraId="05A582FD" w14:textId="77777777" w:rsidR="00F85807" w:rsidRPr="00F90EAE" w:rsidRDefault="00F85807" w:rsidP="00F90EAE">
      <w:pPr>
        <w:jc w:val="both"/>
        <w:rPr>
          <w:color w:val="0070C0"/>
          <w:sz w:val="16"/>
          <w:szCs w:val="16"/>
        </w:rPr>
      </w:pPr>
      <w:r w:rsidRPr="00F90EAE">
        <w:rPr>
          <w:color w:val="0070C0"/>
          <w:sz w:val="16"/>
          <w:szCs w:val="16"/>
        </w:rPr>
        <w:t>Начальнику тыла ВВС Красной Армии</w:t>
      </w:r>
    </w:p>
    <w:p w14:paraId="399EC52E" w14:textId="77777777" w:rsidR="00F85807" w:rsidRPr="00F90EAE" w:rsidRDefault="00F85807" w:rsidP="00F90EAE">
      <w:pPr>
        <w:jc w:val="both"/>
        <w:rPr>
          <w:color w:val="0070C0"/>
          <w:sz w:val="16"/>
          <w:szCs w:val="16"/>
        </w:rPr>
      </w:pPr>
      <w:r w:rsidRPr="00F90EAE">
        <w:rPr>
          <w:color w:val="0070C0"/>
          <w:sz w:val="16"/>
          <w:szCs w:val="16"/>
        </w:rPr>
        <w:t>Только: по разнарядке.</w:t>
      </w:r>
    </w:p>
    <w:p w14:paraId="1AFF4211" w14:textId="77777777" w:rsidR="00F85807" w:rsidRPr="00F90EAE" w:rsidRDefault="00F85807" w:rsidP="00F90EAE">
      <w:pPr>
        <w:jc w:val="both"/>
        <w:rPr>
          <w:color w:val="0070C0"/>
          <w:sz w:val="16"/>
          <w:szCs w:val="16"/>
        </w:rPr>
      </w:pPr>
      <w:r w:rsidRPr="00F90EAE">
        <w:rPr>
          <w:color w:val="0070C0"/>
          <w:sz w:val="16"/>
          <w:szCs w:val="16"/>
        </w:rPr>
        <w:t>УКАЗАНИЯ О ПОРЯДКЕ ИСПОЛЬЗОВАНИЯ ТРОФЕЙНОЙ АВИАЦИОННОЙ ТЕХНИКИ И ТРОФЕЙНОГО ИМУЩЕСТВА</w:t>
      </w:r>
    </w:p>
    <w:p w14:paraId="4D963D2C" w14:textId="77777777" w:rsidR="00F85807" w:rsidRPr="00F90EAE" w:rsidRDefault="00F85807" w:rsidP="00F90EAE">
      <w:pPr>
        <w:jc w:val="both"/>
        <w:rPr>
          <w:color w:val="0070C0"/>
          <w:sz w:val="16"/>
          <w:szCs w:val="16"/>
        </w:rPr>
      </w:pPr>
      <w:r w:rsidRPr="00F90EAE">
        <w:rPr>
          <w:color w:val="0070C0"/>
          <w:sz w:val="16"/>
          <w:szCs w:val="16"/>
        </w:rPr>
        <w:t>1. Ответственность за выявление, организацию сбора, учет, охрану, эвакуацию и распределение трофейного имущества в системе ВВС КА несет начальник тыла ВВС КА, а в воздушных армиях — зам. командующих ВА по тылу.'</w:t>
      </w:r>
    </w:p>
    <w:p w14:paraId="17B5A744" w14:textId="77777777" w:rsidR="00F85807" w:rsidRPr="00F90EAE" w:rsidRDefault="00F85807" w:rsidP="00F90EAE">
      <w:pPr>
        <w:jc w:val="both"/>
        <w:rPr>
          <w:color w:val="0070C0"/>
          <w:sz w:val="16"/>
          <w:szCs w:val="16"/>
        </w:rPr>
      </w:pPr>
      <w:r w:rsidRPr="00F90EAE">
        <w:rPr>
          <w:color w:val="0070C0"/>
          <w:sz w:val="16"/>
          <w:szCs w:val="16"/>
        </w:rPr>
        <w:t>2. Командиры соединений и авиачастей, особенно начальники районов авиационного базирования и батальонов аэродромного обслуживания, обязаны принимать все необходимые меры к сохранению обнаруженного годного и ценного трофейного авиаимущества с немедленным донесением о нем по команде.</w:t>
      </w:r>
    </w:p>
    <w:p w14:paraId="2EDE8CDC" w14:textId="77777777" w:rsidR="00F85807" w:rsidRPr="00F90EAE" w:rsidRDefault="00F85807" w:rsidP="00F90EAE">
      <w:pPr>
        <w:jc w:val="both"/>
        <w:rPr>
          <w:color w:val="0070C0"/>
          <w:sz w:val="16"/>
          <w:szCs w:val="16"/>
        </w:rPr>
      </w:pPr>
      <w:r w:rsidRPr="00F90EAE">
        <w:rPr>
          <w:color w:val="0070C0"/>
          <w:sz w:val="16"/>
          <w:szCs w:val="16"/>
        </w:rPr>
        <w:t>3. Учет трофейного имущества, непосредственно собранного или полученного для использования во всех частях ВВС КА, производится наравне с учетом отечественного имущества, под рубрикой «трофейное».</w:t>
      </w:r>
    </w:p>
    <w:p w14:paraId="2ACE8D65" w14:textId="77777777" w:rsidR="00F85807" w:rsidRPr="00F90EAE" w:rsidRDefault="00F85807" w:rsidP="00F90EAE">
      <w:pPr>
        <w:jc w:val="both"/>
        <w:rPr>
          <w:color w:val="0070C0"/>
          <w:sz w:val="16"/>
          <w:szCs w:val="16"/>
        </w:rPr>
      </w:pPr>
      <w:r w:rsidRPr="00F90EAE">
        <w:rPr>
          <w:color w:val="0070C0"/>
          <w:sz w:val="16"/>
          <w:szCs w:val="16"/>
        </w:rPr>
        <w:t>4. Годное для использования трофейное имущество в первую очередь передается частям воздушных армий на пополнение табельной потребности.</w:t>
      </w:r>
    </w:p>
    <w:p w14:paraId="51131B61" w14:textId="77777777" w:rsidR="00F85807" w:rsidRPr="00F90EAE" w:rsidRDefault="00F85807" w:rsidP="00F90EAE">
      <w:pPr>
        <w:jc w:val="both"/>
        <w:rPr>
          <w:color w:val="0070C0"/>
          <w:sz w:val="16"/>
          <w:szCs w:val="16"/>
        </w:rPr>
      </w:pPr>
      <w:r w:rsidRPr="00F90EAE">
        <w:rPr>
          <w:color w:val="0070C0"/>
          <w:sz w:val="16"/>
          <w:szCs w:val="16"/>
        </w:rPr>
        <w:lastRenderedPageBreak/>
        <w:t>5. Определение годности трофейного авиаимущества на предмет его использования производится специалистами тыла ВА, а при необходимости для консультации используются специалисты главного инженера ВА или вызываются представители из центра.</w:t>
      </w:r>
    </w:p>
    <w:p w14:paraId="650E4136" w14:textId="77777777" w:rsidR="00F85807" w:rsidRPr="00F90EAE" w:rsidRDefault="00F85807" w:rsidP="00F90EAE">
      <w:pPr>
        <w:jc w:val="both"/>
        <w:rPr>
          <w:color w:val="0070C0"/>
          <w:sz w:val="16"/>
          <w:szCs w:val="16"/>
        </w:rPr>
      </w:pPr>
      <w:r w:rsidRPr="00F90EAE">
        <w:rPr>
          <w:color w:val="0070C0"/>
          <w:sz w:val="16"/>
          <w:szCs w:val="16"/>
        </w:rPr>
        <w:t>6. Все новые и исправные самолеты распределяются начальником тыла ВВС КА по заявкам заинтересованных организаций.</w:t>
      </w:r>
    </w:p>
    <w:p w14:paraId="6EE8A0D0" w14:textId="77777777" w:rsidR="00F85807" w:rsidRPr="00F90EAE" w:rsidRDefault="00F85807" w:rsidP="00F90EAE">
      <w:pPr>
        <w:jc w:val="both"/>
        <w:rPr>
          <w:color w:val="0070C0"/>
          <w:sz w:val="16"/>
          <w:szCs w:val="16"/>
        </w:rPr>
      </w:pPr>
      <w:r w:rsidRPr="00F90EAE">
        <w:rPr>
          <w:color w:val="0070C0"/>
          <w:sz w:val="16"/>
          <w:szCs w:val="16"/>
        </w:rPr>
        <w:t>7. Трофейные транспортные самолеты и моторы, а также запчасти к ним передаются на месте представителям ГВФ по нарядам начальника тыла ВВС КА. В случае отказа ГВФ от приемки транспортных самолетов, моторов и запчастей к ним, последние направляются в металлолом.</w:t>
      </w:r>
    </w:p>
    <w:p w14:paraId="6D6E307D" w14:textId="77777777" w:rsidR="00F85807" w:rsidRPr="00F90EAE" w:rsidRDefault="00F85807" w:rsidP="00F90EAE">
      <w:pPr>
        <w:jc w:val="both"/>
        <w:rPr>
          <w:color w:val="0070C0"/>
          <w:sz w:val="16"/>
          <w:szCs w:val="16"/>
        </w:rPr>
      </w:pPr>
      <w:r w:rsidRPr="00F90EAE">
        <w:rPr>
          <w:color w:val="0070C0"/>
          <w:sz w:val="16"/>
          <w:szCs w:val="16"/>
        </w:rPr>
        <w:t>8. Все новые и исправные моторы, годные запчасти и агрегаты к ним направляются на трофейные склады для их хранения, откуда они по нарядам начальника тыла ВВС КА распределяются по заинтересованным организациям.</w:t>
      </w:r>
    </w:p>
    <w:p w14:paraId="37471F06" w14:textId="77777777" w:rsidR="00F85807" w:rsidRPr="00F90EAE" w:rsidRDefault="00F85807" w:rsidP="00F90EAE">
      <w:pPr>
        <w:jc w:val="both"/>
        <w:rPr>
          <w:color w:val="0070C0"/>
          <w:sz w:val="16"/>
          <w:szCs w:val="16"/>
        </w:rPr>
      </w:pPr>
      <w:r w:rsidRPr="00F90EAE">
        <w:rPr>
          <w:color w:val="0070C0"/>
          <w:sz w:val="16"/>
          <w:szCs w:val="16"/>
        </w:rPr>
        <w:t>9. Вся трофейная неисправная [авиационная техника]: самолеты, моторы и запасные части к ни1й — передается на разделочные базы в металлолом таким же порядком, как это установлено для отечественных самолетов.</w:t>
      </w:r>
    </w:p>
    <w:p w14:paraId="3E7E0D82" w14:textId="77777777" w:rsidR="00F85807" w:rsidRPr="00F90EAE" w:rsidRDefault="00F85807" w:rsidP="00F90EAE">
      <w:pPr>
        <w:jc w:val="both"/>
        <w:rPr>
          <w:color w:val="0070C0"/>
          <w:sz w:val="16"/>
          <w:szCs w:val="16"/>
        </w:rPr>
      </w:pPr>
      <w:r w:rsidRPr="00F90EAE">
        <w:rPr>
          <w:color w:val="0070C0"/>
          <w:sz w:val="16"/>
          <w:szCs w:val="16"/>
        </w:rPr>
        <w:t>10. Трофейные авиабоеприпасы в первую очередь используются для боевого применения в ВА в соответствии с инструкциями главного инженера ВВС КА и указаниями по трофейным боеприпасам.</w:t>
      </w:r>
    </w:p>
    <w:p w14:paraId="04D91663" w14:textId="77777777" w:rsidR="00F85807" w:rsidRPr="00F90EAE" w:rsidRDefault="00F85807" w:rsidP="00F90EAE">
      <w:pPr>
        <w:jc w:val="both"/>
        <w:rPr>
          <w:color w:val="0070C0"/>
          <w:sz w:val="16"/>
          <w:szCs w:val="16"/>
        </w:rPr>
      </w:pPr>
      <w:r w:rsidRPr="00F90EAE">
        <w:rPr>
          <w:color w:val="0070C0"/>
          <w:sz w:val="16"/>
          <w:szCs w:val="16"/>
        </w:rPr>
        <w:t>11. Все исправные самолетные и моторные приборы, электро, радио, фото и другое ценное оборудование направлять в трофейные склады для хранения и использования в ВВС КА.</w:t>
      </w:r>
    </w:p>
    <w:p w14:paraId="173C857F" w14:textId="77777777" w:rsidR="00F85807" w:rsidRPr="00F90EAE" w:rsidRDefault="00F85807" w:rsidP="00F90EAE">
      <w:pPr>
        <w:jc w:val="both"/>
        <w:rPr>
          <w:color w:val="0070C0"/>
          <w:sz w:val="16"/>
          <w:szCs w:val="16"/>
        </w:rPr>
      </w:pPr>
      <w:r w:rsidRPr="00F90EAE">
        <w:rPr>
          <w:color w:val="0070C0"/>
          <w:sz w:val="16"/>
          <w:szCs w:val="16"/>
        </w:rPr>
        <w:t>12. Весь исправный инструмент и станочное оборудование используются для нужд ВА, а излишки направляются на трофейные склады для использования в реморганах ВВС КА.</w:t>
      </w:r>
    </w:p>
    <w:p w14:paraId="07DA0F17" w14:textId="77777777" w:rsidR="00F85807" w:rsidRPr="00F90EAE" w:rsidRDefault="00F85807" w:rsidP="00F90EAE">
      <w:pPr>
        <w:jc w:val="both"/>
        <w:rPr>
          <w:color w:val="0070C0"/>
          <w:sz w:val="16"/>
          <w:szCs w:val="16"/>
        </w:rPr>
      </w:pPr>
      <w:r w:rsidRPr="00F90EAE">
        <w:rPr>
          <w:color w:val="0070C0"/>
          <w:sz w:val="16"/>
          <w:szCs w:val="16"/>
        </w:rPr>
        <w:t>13. Все исправное имущество связи, средств ЗОС, реактивной техники, радиолокации и радионавигации подлежит особо внимательному учету, хранению и сбережению. Возможность его использования определяется специальными комиссиями из заинтересованных организаций.</w:t>
      </w:r>
    </w:p>
    <w:p w14:paraId="53819070" w14:textId="77777777" w:rsidR="00F85807" w:rsidRPr="00F90EAE" w:rsidRDefault="00F85807" w:rsidP="00F90EAE">
      <w:pPr>
        <w:jc w:val="both"/>
        <w:rPr>
          <w:color w:val="0070C0"/>
          <w:sz w:val="16"/>
          <w:szCs w:val="16"/>
        </w:rPr>
      </w:pPr>
      <w:r w:rsidRPr="00F90EAE">
        <w:rPr>
          <w:color w:val="0070C0"/>
          <w:sz w:val="16"/>
          <w:szCs w:val="16"/>
        </w:rPr>
        <w:t>14. Аэродромная техника используется в первую очередь для нужд ВА, излишествующая техника, как исправная, так и требующая незначительного ремонта, направляется начальником тыла ВВС КА в тыловые округа.</w:t>
      </w:r>
    </w:p>
    <w:p w14:paraId="2C8F0389" w14:textId="77777777" w:rsidR="00F85807" w:rsidRPr="00F90EAE" w:rsidRDefault="00F85807" w:rsidP="00F90EAE">
      <w:pPr>
        <w:jc w:val="both"/>
        <w:rPr>
          <w:color w:val="0070C0"/>
          <w:sz w:val="16"/>
          <w:szCs w:val="16"/>
        </w:rPr>
      </w:pPr>
      <w:r w:rsidRPr="00F90EAE">
        <w:rPr>
          <w:color w:val="0070C0"/>
          <w:sz w:val="16"/>
          <w:szCs w:val="16"/>
        </w:rPr>
        <w:t>15. Все авиационные материалы обращаются на удовлетворение потребностей ВА, излишествующие направляются на центральные склады ВВС КА. Передачу авиационных материалов другим наркоматам и организациям производить только с разрешения начальника тыла ВВС КА.</w:t>
      </w:r>
    </w:p>
    <w:p w14:paraId="0587795D" w14:textId="77777777" w:rsidR="00F85807" w:rsidRPr="00F90EAE" w:rsidRDefault="00F85807" w:rsidP="00F90EAE">
      <w:pPr>
        <w:jc w:val="both"/>
        <w:rPr>
          <w:color w:val="0070C0"/>
          <w:sz w:val="16"/>
          <w:szCs w:val="16"/>
        </w:rPr>
      </w:pPr>
      <w:r w:rsidRPr="00F90EAE">
        <w:rPr>
          <w:color w:val="0070C0"/>
          <w:sz w:val="16"/>
          <w:szCs w:val="16"/>
        </w:rPr>
        <w:t>16. Горюче-смазочные материалы используются на потребности воздушных армий, в соответствии с инструкциями главного инженера</w:t>
      </w:r>
    </w:p>
    <w:p w14:paraId="3947890D" w14:textId="77777777" w:rsidR="00F85807" w:rsidRPr="00F90EAE" w:rsidRDefault="00F85807" w:rsidP="00F90EAE">
      <w:pPr>
        <w:jc w:val="both"/>
        <w:rPr>
          <w:color w:val="0070C0"/>
          <w:sz w:val="16"/>
          <w:szCs w:val="16"/>
        </w:rPr>
      </w:pPr>
      <w:r w:rsidRPr="00F90EAE">
        <w:rPr>
          <w:color w:val="0070C0"/>
          <w:sz w:val="16"/>
          <w:szCs w:val="16"/>
        </w:rPr>
        <w:t>ВВС КА.</w:t>
      </w:r>
    </w:p>
    <w:p w14:paraId="08618E45" w14:textId="77777777" w:rsidR="00F85807" w:rsidRPr="00F90EAE" w:rsidRDefault="00F85807" w:rsidP="00F90EAE">
      <w:pPr>
        <w:jc w:val="both"/>
        <w:rPr>
          <w:color w:val="0070C0"/>
          <w:sz w:val="16"/>
          <w:szCs w:val="16"/>
        </w:rPr>
      </w:pPr>
      <w:r w:rsidRPr="00F90EAE">
        <w:rPr>
          <w:color w:val="0070C0"/>
          <w:sz w:val="16"/>
          <w:szCs w:val="16"/>
        </w:rPr>
        <w:t>17. Специальное парашютно-десантное имущество и спецобмундирование направлять на центральные склады.</w:t>
      </w:r>
    </w:p>
    <w:p w14:paraId="219B98AD" w14:textId="77777777" w:rsidR="00F85807" w:rsidRPr="00F90EAE" w:rsidRDefault="00F85807" w:rsidP="00F90EAE">
      <w:pPr>
        <w:jc w:val="both"/>
        <w:rPr>
          <w:color w:val="0070C0"/>
          <w:sz w:val="16"/>
          <w:szCs w:val="16"/>
        </w:rPr>
      </w:pPr>
      <w:r w:rsidRPr="00F90EAE">
        <w:rPr>
          <w:color w:val="0070C0"/>
          <w:sz w:val="16"/>
          <w:szCs w:val="16"/>
        </w:rPr>
        <w:t>18. Спецавтотранспорт, специальные силовые, компрессорные и кислородно-добывающие установки использовать для нужд воздушных армий, а излишествующие направлять на центральные склады ВВС КА для дальнейшего их использования.</w:t>
      </w:r>
    </w:p>
    <w:p w14:paraId="693CF3BF" w14:textId="77777777" w:rsidR="00F85807" w:rsidRPr="00F90EAE" w:rsidRDefault="00F85807" w:rsidP="00F90EAE">
      <w:pPr>
        <w:jc w:val="both"/>
        <w:rPr>
          <w:color w:val="0070C0"/>
          <w:sz w:val="16"/>
          <w:szCs w:val="16"/>
        </w:rPr>
      </w:pPr>
      <w:r w:rsidRPr="00F90EAE">
        <w:rPr>
          <w:color w:val="0070C0"/>
          <w:sz w:val="16"/>
          <w:szCs w:val="16"/>
        </w:rPr>
        <w:t>19. Ремонтные органы (подвижные и стационарные) использовать для нужд воздушных армий, все излишнее оборудование направлять на центральные склады ВВС КА.</w:t>
      </w:r>
    </w:p>
    <w:p w14:paraId="625FCA7D" w14:textId="77777777" w:rsidR="00F85807" w:rsidRPr="00F90EAE" w:rsidRDefault="00F85807" w:rsidP="00F90EAE">
      <w:pPr>
        <w:jc w:val="both"/>
        <w:rPr>
          <w:color w:val="0070C0"/>
          <w:sz w:val="16"/>
          <w:szCs w:val="16"/>
        </w:rPr>
      </w:pPr>
      <w:r w:rsidRPr="00F90EAE">
        <w:rPr>
          <w:color w:val="0070C0"/>
          <w:sz w:val="16"/>
          <w:szCs w:val="16"/>
        </w:rPr>
        <w:t>20. Строительные материалы использовать для нужд ВА, все излишки направлять на трофейные склады для использования по нарядам</w:t>
      </w:r>
    </w:p>
    <w:p w14:paraId="0FE81107" w14:textId="77777777" w:rsidR="00F85807" w:rsidRPr="00F90EAE" w:rsidRDefault="00F85807" w:rsidP="00F90EAE">
      <w:pPr>
        <w:jc w:val="both"/>
        <w:rPr>
          <w:color w:val="0070C0"/>
          <w:sz w:val="16"/>
          <w:szCs w:val="16"/>
        </w:rPr>
      </w:pPr>
      <w:r w:rsidRPr="00F90EAE">
        <w:rPr>
          <w:color w:val="0070C0"/>
          <w:sz w:val="16"/>
          <w:szCs w:val="16"/>
        </w:rPr>
        <w:t>начальника тыла ВВС КА.</w:t>
      </w:r>
    </w:p>
    <w:p w14:paraId="54E1F76F" w14:textId="77777777" w:rsidR="00F85807" w:rsidRPr="00F90EAE" w:rsidRDefault="00F85807" w:rsidP="00F90EAE">
      <w:pPr>
        <w:jc w:val="both"/>
        <w:rPr>
          <w:color w:val="0070C0"/>
          <w:sz w:val="16"/>
          <w:szCs w:val="16"/>
        </w:rPr>
      </w:pPr>
      <w:r w:rsidRPr="00F90EAE">
        <w:rPr>
          <w:color w:val="0070C0"/>
          <w:sz w:val="16"/>
          <w:szCs w:val="16"/>
        </w:rPr>
        <w:t>21. Начальнику тыла ВВС КА выделить от передовых авиационных баз филиалы на территории обслуживаемых воздушных армий в составе 20 человек и 4 автомашин на каждый филиал.</w:t>
      </w:r>
    </w:p>
    <w:p w14:paraId="7BDE3882" w14:textId="77777777" w:rsidR="00F85807" w:rsidRPr="00F90EAE" w:rsidRDefault="00F85807" w:rsidP="00F90EAE">
      <w:pPr>
        <w:jc w:val="both"/>
        <w:rPr>
          <w:color w:val="0070C0"/>
          <w:sz w:val="16"/>
          <w:szCs w:val="16"/>
        </w:rPr>
      </w:pPr>
      <w:r w:rsidRPr="00F90EAE">
        <w:rPr>
          <w:color w:val="0070C0"/>
          <w:sz w:val="16"/>
          <w:szCs w:val="16"/>
        </w:rPr>
        <w:t>22. Командующим ВА для хранения трофейного имущества организовать филиалы при фронтовых (армейских) складах авиаимущества.</w:t>
      </w:r>
    </w:p>
    <w:p w14:paraId="172AD59B" w14:textId="77777777" w:rsidR="00F85807" w:rsidRPr="00F90EAE" w:rsidRDefault="00F85807" w:rsidP="00F90EAE">
      <w:pPr>
        <w:jc w:val="both"/>
        <w:rPr>
          <w:color w:val="0070C0"/>
          <w:sz w:val="16"/>
          <w:szCs w:val="16"/>
        </w:rPr>
      </w:pPr>
      <w:r w:rsidRPr="00F90EAE">
        <w:rPr>
          <w:color w:val="0070C0"/>
          <w:sz w:val="16"/>
          <w:szCs w:val="16"/>
        </w:rPr>
        <w:t>Для непосредственного выполнения работ по приему, сортировке, учету, хранению и отгрузке трофейного имущества выделить: 10 человек личного состава из фронтового (армейского) склада, 5 автомашин и по 5 человек от каждой отэр.</w:t>
      </w:r>
    </w:p>
    <w:p w14:paraId="615150E1" w14:textId="77777777" w:rsidR="00F85807" w:rsidRPr="00F90EAE" w:rsidRDefault="00F85807" w:rsidP="00F90EAE">
      <w:pPr>
        <w:jc w:val="both"/>
        <w:rPr>
          <w:color w:val="0070C0"/>
          <w:sz w:val="16"/>
          <w:szCs w:val="16"/>
        </w:rPr>
      </w:pPr>
      <w:r w:rsidRPr="00F90EAE">
        <w:rPr>
          <w:color w:val="0070C0"/>
          <w:sz w:val="16"/>
          <w:szCs w:val="16"/>
        </w:rPr>
        <w:t xml:space="preserve">23. Трофейные органы воздушных армий обязаны особое внимание уделять выявлению новой техники противника, наличию научно-исследовательских организаций и опытных станций, а также авиационных заводов. </w:t>
      </w:r>
    </w:p>
    <w:p w14:paraId="0798C313" w14:textId="77777777" w:rsidR="00F85807" w:rsidRPr="00F90EAE" w:rsidRDefault="00F85807" w:rsidP="00F90EAE">
      <w:pPr>
        <w:jc w:val="both"/>
        <w:rPr>
          <w:color w:val="0070C0"/>
          <w:sz w:val="16"/>
          <w:szCs w:val="16"/>
        </w:rPr>
      </w:pPr>
      <w:r w:rsidRPr="00F90EAE">
        <w:rPr>
          <w:color w:val="0070C0"/>
          <w:sz w:val="16"/>
          <w:szCs w:val="16"/>
        </w:rPr>
        <w:t>По выявлении существования указанных организаций или новинок авиатехники воздушные армии доносят немедленно начальнику тыла</w:t>
      </w:r>
    </w:p>
    <w:p w14:paraId="0A8062A2" w14:textId="77777777" w:rsidR="00F85807" w:rsidRPr="00F90EAE" w:rsidRDefault="00F85807" w:rsidP="00F90EAE">
      <w:pPr>
        <w:jc w:val="both"/>
        <w:rPr>
          <w:color w:val="0070C0"/>
          <w:sz w:val="16"/>
          <w:szCs w:val="16"/>
        </w:rPr>
      </w:pPr>
      <w:r w:rsidRPr="00F90EAE">
        <w:rPr>
          <w:color w:val="0070C0"/>
          <w:sz w:val="16"/>
          <w:szCs w:val="16"/>
        </w:rPr>
        <w:t>и главному инженеру ВВС КА.</w:t>
      </w:r>
    </w:p>
    <w:p w14:paraId="7A549333" w14:textId="77777777" w:rsidR="00F85807" w:rsidRPr="00F90EAE" w:rsidRDefault="00F85807" w:rsidP="00F90EAE">
      <w:pPr>
        <w:jc w:val="both"/>
        <w:rPr>
          <w:color w:val="0070C0"/>
          <w:sz w:val="16"/>
          <w:szCs w:val="16"/>
        </w:rPr>
      </w:pPr>
      <w:r w:rsidRPr="00F90EAE">
        <w:rPr>
          <w:color w:val="0070C0"/>
          <w:sz w:val="16"/>
          <w:szCs w:val="16"/>
        </w:rPr>
        <w:t>Врид. командующего ВВС Красной Армии Маршал авиации ФАЛАЛЕЕВ</w:t>
      </w:r>
    </w:p>
    <w:p w14:paraId="19A00E21" w14:textId="77777777" w:rsidR="00F85807" w:rsidRPr="00F90EAE" w:rsidRDefault="00F85807" w:rsidP="00F90EAE">
      <w:pPr>
        <w:jc w:val="both"/>
        <w:rPr>
          <w:color w:val="0070C0"/>
          <w:sz w:val="16"/>
          <w:szCs w:val="16"/>
        </w:rPr>
      </w:pPr>
      <w:r w:rsidRPr="00F90EAE">
        <w:rPr>
          <w:color w:val="0070C0"/>
          <w:sz w:val="16"/>
          <w:szCs w:val="16"/>
        </w:rPr>
        <w:t>Член Военного совета генерал-полковник авиации ШИМАНОВ</w:t>
      </w:r>
    </w:p>
    <w:p w14:paraId="2C4AD28B" w14:textId="77777777" w:rsidR="00F85807" w:rsidRPr="00F90EAE" w:rsidRDefault="00F85807" w:rsidP="00F90EAE">
      <w:pPr>
        <w:jc w:val="both"/>
        <w:rPr>
          <w:color w:val="0070C0"/>
          <w:sz w:val="16"/>
          <w:szCs w:val="16"/>
        </w:rPr>
      </w:pPr>
      <w:r w:rsidRPr="00F90EAE">
        <w:rPr>
          <w:color w:val="0070C0"/>
          <w:sz w:val="16"/>
          <w:szCs w:val="16"/>
        </w:rPr>
        <w:t>Начальник штаба ВВС Красной Армии Маршал авиации ХУДЯКОВ</w:t>
      </w:r>
    </w:p>
    <w:p w14:paraId="4D7BEE12" w14:textId="77777777" w:rsidR="00F85807" w:rsidRPr="00F90EAE" w:rsidRDefault="00F85807" w:rsidP="00F90EAE">
      <w:pPr>
        <w:jc w:val="both"/>
        <w:rPr>
          <w:color w:val="0070C0"/>
          <w:sz w:val="16"/>
          <w:szCs w:val="16"/>
        </w:rPr>
      </w:pPr>
      <w:r w:rsidRPr="00F90EAE">
        <w:rPr>
          <w:color w:val="0070C0"/>
          <w:sz w:val="16"/>
          <w:szCs w:val="16"/>
        </w:rPr>
        <w:t>№ 676483с</w:t>
      </w:r>
    </w:p>
    <w:p w14:paraId="2668FEA2" w14:textId="77777777" w:rsidR="00F85807" w:rsidRPr="00F90EAE" w:rsidRDefault="00F85807" w:rsidP="00F90EAE">
      <w:pPr>
        <w:jc w:val="both"/>
        <w:rPr>
          <w:color w:val="0070C0"/>
          <w:sz w:val="16"/>
          <w:szCs w:val="16"/>
        </w:rPr>
      </w:pPr>
      <w:r w:rsidRPr="00F90EAE">
        <w:rPr>
          <w:color w:val="0070C0"/>
          <w:sz w:val="16"/>
          <w:szCs w:val="16"/>
        </w:rPr>
        <w:t>1 марта 1945 г.</w:t>
      </w:r>
    </w:p>
    <w:p w14:paraId="24FD5B61" w14:textId="77777777" w:rsidR="00F85807" w:rsidRPr="00F90EAE" w:rsidRDefault="00F85807" w:rsidP="00F90EAE">
      <w:pPr>
        <w:jc w:val="both"/>
        <w:rPr>
          <w:color w:val="0070C0"/>
          <w:sz w:val="16"/>
          <w:szCs w:val="16"/>
        </w:rPr>
      </w:pPr>
      <w:r w:rsidRPr="00F90EAE">
        <w:rPr>
          <w:color w:val="0070C0"/>
          <w:sz w:val="16"/>
          <w:szCs w:val="16"/>
        </w:rPr>
        <w:t>Ф. 35, оп. 21582сс, д. 2, лл. 1—3. Подлинник (20601).</w:t>
      </w:r>
    </w:p>
    <w:p w14:paraId="26A75981" w14:textId="77777777" w:rsidR="00F85807" w:rsidRPr="00F90EAE" w:rsidRDefault="00F85807" w:rsidP="00F90EAE">
      <w:pPr>
        <w:jc w:val="both"/>
        <w:rPr>
          <w:color w:val="0070C0"/>
          <w:sz w:val="16"/>
          <w:szCs w:val="16"/>
        </w:rPr>
      </w:pPr>
    </w:p>
    <w:p w14:paraId="207C032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0917683" w14:textId="77777777" w:rsidR="00665165" w:rsidRPr="00F90EAE" w:rsidRDefault="00665165" w:rsidP="00F90EAE">
      <w:pPr>
        <w:autoSpaceDE w:val="0"/>
        <w:autoSpaceDN w:val="0"/>
        <w:adjustRightInd w:val="0"/>
        <w:jc w:val="both"/>
        <w:rPr>
          <w:iCs/>
          <w:color w:val="000000" w:themeColor="text1"/>
          <w:sz w:val="16"/>
          <w:szCs w:val="16"/>
        </w:rPr>
      </w:pPr>
    </w:p>
    <w:p w14:paraId="777C51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года был произведен запуск «Ва-349М23» в полностью готовом варианте, но почти сразу же после старта от перегрузок отвалилось остекление кабины и машина рухнула на землю. При ударе произошел сильный взрыв, и пилот, старший лейтенант Лютер Зиберт, погиб. До апреля 1945 года состоялось еще 34 полета, из которых 7 пилотируемых прошли удачно. Всего фирма Бахэма изготовила 34 машины «Ва-349» серий «А» («Anton») и «В» («Berta») и начала постройку еще трех машин серии «С» с более мощным двухкамерным двигателем «Walter HWK 509C» тягой 2 т. В апреле 1945 года несколько машин были даже полностью подготовлены к реальному боевому применению, но достаточно квалифицированных пилотов уже не нашлось, и новый ракетоплан «Ba-349» («Natter») так и не получил боевого крещения. К тому времени фронты окончательно развалились и то, что не удалось вывезти из-под оккупации, было уничтожено (11688).</w:t>
      </w:r>
    </w:p>
    <w:p w14:paraId="775A6FD2" w14:textId="77777777" w:rsidR="00665165" w:rsidRPr="00F90EAE" w:rsidRDefault="00665165" w:rsidP="00F90EAE">
      <w:pPr>
        <w:autoSpaceDE w:val="0"/>
        <w:autoSpaceDN w:val="0"/>
        <w:adjustRightInd w:val="0"/>
        <w:jc w:val="both"/>
        <w:rPr>
          <w:color w:val="000000" w:themeColor="text1"/>
          <w:sz w:val="16"/>
          <w:szCs w:val="16"/>
        </w:rPr>
      </w:pPr>
    </w:p>
    <w:p w14:paraId="6380C964" w14:textId="77777777" w:rsidR="00A776CB" w:rsidRPr="00F90EAE" w:rsidRDefault="00A776CB" w:rsidP="00F90EAE">
      <w:pPr>
        <w:pStyle w:val="a3"/>
        <w:rPr>
          <w:color w:val="000000" w:themeColor="text1"/>
          <w:lang w:val="ru-RU"/>
        </w:rPr>
      </w:pPr>
      <w:r w:rsidRPr="00F90EAE">
        <w:rPr>
          <w:color w:val="000000" w:themeColor="text1"/>
          <w:lang w:val="ru-RU"/>
        </w:rPr>
        <w:t xml:space="preserve">1 марта 1945 года первый пилотируемый полет Наттера оказался неудачным - на высоте 500 м самопроизвольно открылся фонарь. Центровка самолёта нарушилась, а пилот, вероятно, потерял сознание. На высоте около 1500 м самолёт перевернулся, перешёл в пикирование и врезался в землю. Пилот </w:t>
      </w:r>
      <w:r w:rsidRPr="00F90EAE">
        <w:rPr>
          <w:color w:val="000000" w:themeColor="text1"/>
        </w:rPr>
        <w:t>LotharSieber</w:t>
      </w:r>
      <w:r w:rsidRPr="00F90EAE">
        <w:rPr>
          <w:color w:val="000000" w:themeColor="text1"/>
          <w:lang w:val="ru-RU"/>
        </w:rPr>
        <w:t xml:space="preserve"> погиб. Несмотря на катастрофу, началось серийное строительство перехватчиков. До конца войны успели построить 37 «гадюк» в трёх вариантах и испытать 25 из них - правда, в пилотируемом полёте только 7 машин, остальные запуски были беспилотными только для отработки старта (15841).</w:t>
      </w:r>
    </w:p>
    <w:p w14:paraId="5EBAF624" w14:textId="77777777" w:rsidR="00A776CB" w:rsidRPr="00F90EAE" w:rsidRDefault="00A776CB" w:rsidP="00F90EAE">
      <w:pPr>
        <w:pStyle w:val="a3"/>
        <w:rPr>
          <w:color w:val="000000" w:themeColor="text1"/>
          <w:lang w:val="ru-RU"/>
        </w:rPr>
      </w:pPr>
    </w:p>
    <w:p w14:paraId="4581A3BC" w14:textId="77777777" w:rsidR="003751D3" w:rsidRPr="00F90EAE" w:rsidRDefault="003751D3" w:rsidP="00F90EAE">
      <w:pPr>
        <w:jc w:val="both"/>
        <w:rPr>
          <w:color w:val="000000" w:themeColor="text1"/>
          <w:sz w:val="16"/>
          <w:szCs w:val="16"/>
        </w:rPr>
      </w:pPr>
      <w:r w:rsidRPr="00F90EAE">
        <w:rPr>
          <w:bCs/>
          <w:color w:val="000000" w:themeColor="text1"/>
          <w:sz w:val="16"/>
          <w:szCs w:val="16"/>
        </w:rPr>
        <w:t>1 марта</w:t>
      </w:r>
      <w:r w:rsidRPr="00F90EAE">
        <w:rPr>
          <w:color w:val="000000" w:themeColor="text1"/>
          <w:sz w:val="16"/>
          <w:szCs w:val="16"/>
        </w:rPr>
        <w:t xml:space="preserve"> в 1945 году при первом пилотируемом пуске реактивного истребителя перехватчика «Bacham» "Ва-349М23" в готовом варианте, произошла авария. От перегрузок отвалилось остекление кабины, и машина рухнула на землю. При ударе произошел сильный взрыв и пилот, старший лейтенант Лютер Зиберт погиб (15055).</w:t>
      </w:r>
    </w:p>
    <w:p w14:paraId="19734947" w14:textId="77777777" w:rsidR="003751D3" w:rsidRPr="00F90EAE" w:rsidRDefault="003751D3" w:rsidP="00F90EAE">
      <w:pPr>
        <w:jc w:val="both"/>
        <w:rPr>
          <w:color w:val="000000" w:themeColor="text1"/>
          <w:sz w:val="16"/>
          <w:szCs w:val="16"/>
        </w:rPr>
      </w:pPr>
    </w:p>
    <w:p w14:paraId="5B50F79D" w14:textId="77777777" w:rsidR="00473C5C" w:rsidRPr="00F90EAE" w:rsidRDefault="00473C5C" w:rsidP="00F90EAE">
      <w:pPr>
        <w:jc w:val="both"/>
        <w:rPr>
          <w:color w:val="0070C0"/>
          <w:sz w:val="16"/>
          <w:szCs w:val="16"/>
        </w:rPr>
      </w:pPr>
      <w:r w:rsidRPr="00F90EAE">
        <w:rPr>
          <w:color w:val="0070C0"/>
          <w:sz w:val="16"/>
          <w:szCs w:val="16"/>
        </w:rPr>
        <w:t>1 марта 1945 состоялся первый вертикального запуск пилотируемой ракеты, когда ракетный истребитель Bachem Ba 349 Natter взлетает в 55-секундный полет, который закончился трагедией - самолет разбился, в результате чего погиб пилот, летчик- испытатель Люфтваффе Лотар Зибер (20371).</w:t>
      </w:r>
    </w:p>
    <w:p w14:paraId="4C383BA5" w14:textId="77777777" w:rsidR="00473C5C" w:rsidRPr="00F90EAE" w:rsidRDefault="00473C5C" w:rsidP="00F90EAE">
      <w:pPr>
        <w:jc w:val="both"/>
        <w:rPr>
          <w:color w:val="0070C0"/>
          <w:sz w:val="16"/>
          <w:szCs w:val="16"/>
        </w:rPr>
      </w:pPr>
    </w:p>
    <w:p w14:paraId="3E40D0DD" w14:textId="77777777" w:rsidR="00473C5C" w:rsidRPr="00F90EAE" w:rsidRDefault="00473C5C" w:rsidP="00F90EAE">
      <w:pPr>
        <w:jc w:val="both"/>
        <w:rPr>
          <w:color w:val="0070C0"/>
          <w:sz w:val="16"/>
          <w:szCs w:val="16"/>
        </w:rPr>
      </w:pPr>
      <w:r w:rsidRPr="00F90EAE">
        <w:rPr>
          <w:color w:val="0070C0"/>
          <w:sz w:val="16"/>
          <w:szCs w:val="16"/>
        </w:rPr>
        <w:t>1 марта 1945 первый полет Bachem Ba 349 (первый пилотируемый вертикальный ракетый старт) (20371).</w:t>
      </w:r>
    </w:p>
    <w:p w14:paraId="579977A4" w14:textId="77777777" w:rsidR="00473C5C" w:rsidRPr="00F90EAE" w:rsidRDefault="00473C5C" w:rsidP="00F90EAE">
      <w:pPr>
        <w:jc w:val="both"/>
        <w:rPr>
          <w:color w:val="0070C0"/>
          <w:sz w:val="16"/>
          <w:szCs w:val="16"/>
        </w:rPr>
      </w:pPr>
    </w:p>
    <w:p w14:paraId="76CEE46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1st, 1945: In the West, the US Ninth Army (Simpson) captures Munchen-Gladbach and Rheydt west of the Rhine. In the East, units of Heeresgruppe Mitte (Schorner) recapture Lauban in Lower Silesia (3819).</w:t>
      </w:r>
    </w:p>
    <w:p w14:paraId="7A1E66A3" w14:textId="77777777" w:rsidR="00665165" w:rsidRPr="00F90EAE" w:rsidRDefault="00665165" w:rsidP="00F90EAE">
      <w:pPr>
        <w:autoSpaceDE w:val="0"/>
        <w:autoSpaceDN w:val="0"/>
        <w:adjustRightInd w:val="0"/>
        <w:jc w:val="both"/>
        <w:rPr>
          <w:color w:val="000000" w:themeColor="text1"/>
          <w:sz w:val="16"/>
          <w:szCs w:val="16"/>
          <w:lang w:val="en-US"/>
        </w:rPr>
      </w:pPr>
    </w:p>
    <w:p w14:paraId="7B548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 1945 9А США (Симпсон) заняла Мюнхен-Гладбах и Рейдт на Рейне. Группа Центр отбила Лаубан в Нижней Силезии (3819).</w:t>
      </w:r>
    </w:p>
    <w:p w14:paraId="74AD76FE" w14:textId="77777777" w:rsidR="00665165" w:rsidRPr="00F90EAE" w:rsidRDefault="00665165" w:rsidP="00F90EAE">
      <w:pPr>
        <w:autoSpaceDE w:val="0"/>
        <w:autoSpaceDN w:val="0"/>
        <w:adjustRightInd w:val="0"/>
        <w:jc w:val="both"/>
        <w:rPr>
          <w:color w:val="000000" w:themeColor="text1"/>
          <w:sz w:val="16"/>
          <w:szCs w:val="16"/>
        </w:rPr>
      </w:pPr>
    </w:p>
    <w:p w14:paraId="3DBAE316" w14:textId="77777777" w:rsidR="003751D3" w:rsidRPr="00F90EAE" w:rsidRDefault="003751D3" w:rsidP="00F90EAE">
      <w:pPr>
        <w:jc w:val="both"/>
        <w:rPr>
          <w:color w:val="000000" w:themeColor="text1"/>
          <w:sz w:val="16"/>
          <w:szCs w:val="16"/>
        </w:rPr>
      </w:pPr>
      <w:r w:rsidRPr="00F90EAE">
        <w:rPr>
          <w:bCs/>
          <w:color w:val="000000" w:themeColor="text1"/>
          <w:sz w:val="16"/>
          <w:szCs w:val="16"/>
        </w:rPr>
        <w:t>1 марта</w:t>
      </w:r>
      <w:r w:rsidRPr="00F90EAE">
        <w:rPr>
          <w:color w:val="000000" w:themeColor="text1"/>
          <w:sz w:val="16"/>
          <w:szCs w:val="16"/>
        </w:rPr>
        <w:t xml:space="preserve"> в 1945 году немецкий генерал-фельдмаршал Альберт Кессельринг становится главнокомандующим вместо Герда фон Рундштедта (15055).</w:t>
      </w:r>
    </w:p>
    <w:p w14:paraId="45A6A3B9" w14:textId="77777777" w:rsidR="003751D3" w:rsidRPr="00F90EAE" w:rsidRDefault="003751D3" w:rsidP="00F90EAE">
      <w:pPr>
        <w:jc w:val="both"/>
        <w:rPr>
          <w:color w:val="000000" w:themeColor="text1"/>
          <w:sz w:val="16"/>
          <w:szCs w:val="16"/>
        </w:rPr>
      </w:pPr>
    </w:p>
    <w:p w14:paraId="24E3DD28" w14:textId="77777777" w:rsidR="003751D3" w:rsidRPr="00F90EAE" w:rsidRDefault="003751D3" w:rsidP="00F90EAE">
      <w:pPr>
        <w:jc w:val="both"/>
        <w:rPr>
          <w:color w:val="000000" w:themeColor="text1"/>
          <w:sz w:val="16"/>
          <w:szCs w:val="16"/>
        </w:rPr>
      </w:pPr>
      <w:r w:rsidRPr="00F90EAE">
        <w:rPr>
          <w:bCs/>
          <w:color w:val="000000" w:themeColor="text1"/>
          <w:sz w:val="16"/>
          <w:szCs w:val="16"/>
        </w:rPr>
        <w:t>1 марта</w:t>
      </w:r>
      <w:r w:rsidRPr="00F90EAE">
        <w:rPr>
          <w:color w:val="000000" w:themeColor="text1"/>
          <w:sz w:val="16"/>
          <w:szCs w:val="16"/>
        </w:rPr>
        <w:t xml:space="preserve"> в 1945 году американо-английские войска заняли город Трир, вышли к Рейну близ Дюссельдорфа (15055).</w:t>
      </w:r>
    </w:p>
    <w:p w14:paraId="54A7FF0D" w14:textId="77777777" w:rsidR="003751D3" w:rsidRPr="00F90EAE" w:rsidRDefault="003751D3" w:rsidP="00F90EAE">
      <w:pPr>
        <w:jc w:val="both"/>
        <w:rPr>
          <w:color w:val="000000" w:themeColor="text1"/>
          <w:sz w:val="16"/>
          <w:szCs w:val="16"/>
        </w:rPr>
      </w:pPr>
    </w:p>
    <w:p w14:paraId="19119CF3" w14:textId="77777777" w:rsidR="00473C5C" w:rsidRPr="00F90EAE" w:rsidRDefault="00473C5C" w:rsidP="00F90EAE">
      <w:pPr>
        <w:jc w:val="both"/>
        <w:rPr>
          <w:color w:val="0070C0"/>
          <w:sz w:val="16"/>
          <w:szCs w:val="16"/>
        </w:rPr>
      </w:pPr>
      <w:r w:rsidRPr="00F90EAE">
        <w:rPr>
          <w:color w:val="0070C0"/>
          <w:sz w:val="16"/>
          <w:szCs w:val="16"/>
        </w:rPr>
        <w:t>1 марта 1945 авианосцы оперативной группы 58 ВМС США наносят удар по Окинаве и проводят фоторазведку над Окинавой, Керама Ретто, Минами Дайто и Амами О Шима (20371).</w:t>
      </w:r>
    </w:p>
    <w:p w14:paraId="53BEE507" w14:textId="77777777" w:rsidR="00473C5C" w:rsidRPr="00F90EAE" w:rsidRDefault="00473C5C" w:rsidP="00F90EAE">
      <w:pPr>
        <w:jc w:val="both"/>
        <w:rPr>
          <w:color w:val="0070C0"/>
          <w:sz w:val="16"/>
          <w:szCs w:val="16"/>
        </w:rPr>
      </w:pPr>
    </w:p>
    <w:p w14:paraId="4BF0866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561718A" w14:textId="77777777" w:rsidR="00665165" w:rsidRPr="00F90EAE" w:rsidRDefault="00665165" w:rsidP="00F90EAE">
      <w:pPr>
        <w:autoSpaceDE w:val="0"/>
        <w:autoSpaceDN w:val="0"/>
        <w:adjustRightInd w:val="0"/>
        <w:jc w:val="both"/>
        <w:rPr>
          <w:iCs/>
          <w:color w:val="000000" w:themeColor="text1"/>
          <w:sz w:val="16"/>
          <w:szCs w:val="16"/>
        </w:rPr>
      </w:pPr>
    </w:p>
    <w:p w14:paraId="664D9D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Зам. ГИ ВВС глиас Лапин утвердил Акт по гос. испытаниям Ил-2 N 18840122 с АМ-38Ф-1945 и винтом АВ-5Л-158 производства 18 завода, изготовленного в ноябре 1944, которые состоялись с 25 января по 19 февраля 1945 в НИИ ВВС.</w:t>
      </w:r>
    </w:p>
    <w:p w14:paraId="4AA37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Вед. и ип/п П.Т.Аброщенко</w:t>
      </w:r>
    </w:p>
    <w:p w14:paraId="7C22E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л-к 5 отд. 1У ГК НИИ ВВС к-н Г.А.Тиняков, подписал 22 февраля</w:t>
      </w:r>
    </w:p>
    <w:p w14:paraId="6296B3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гм-р Стефановский - подписал 23 февраля</w:t>
      </w:r>
    </w:p>
    <w:p w14:paraId="4A7BD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5 отд. по л/ч п/п Долгов</w:t>
      </w:r>
    </w:p>
    <w:p w14:paraId="0CC6A9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Установлены кнопки управления передатчиком на ручке сектора нормального газа</w:t>
      </w:r>
    </w:p>
    <w:p w14:paraId="3C66A0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система газового запуска холодного мотора</w:t>
      </w:r>
    </w:p>
    <w:p w14:paraId="481D3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на испытания 23 января</w:t>
      </w:r>
    </w:p>
    <w:p w14:paraId="24749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января по 19 февраля - 16 полетов, налет 10:50</w:t>
      </w:r>
    </w:p>
    <w:p w14:paraId="290A0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4644 кг, загруженного с-та с нормальной нагрузкой - 6325, ц/т 27,5%</w:t>
      </w:r>
    </w:p>
    <w:p w14:paraId="00DB7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Угол капотирования при торможении 30:20</w:t>
      </w:r>
    </w:p>
    <w:p w14:paraId="7F2A3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состоит из:</w:t>
      </w:r>
    </w:p>
    <w:p w14:paraId="121C9D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- 190 кг</w:t>
      </w:r>
    </w:p>
    <w:p w14:paraId="6EC7EE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- 545 кг (0,747)</w:t>
      </w:r>
    </w:p>
    <w:p w14:paraId="070E81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- 65 кг</w:t>
      </w:r>
    </w:p>
    <w:p w14:paraId="527C91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- 400 кг</w:t>
      </w:r>
    </w:p>
    <w:p w14:paraId="0FE4C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2хВЯ - 132 кг, патроны к пушке (300) - 168 кг</w:t>
      </w:r>
    </w:p>
    <w:p w14:paraId="56B49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УБТ - 21 кг, патроны (150) - 27</w:t>
      </w:r>
    </w:p>
    <w:p w14:paraId="683C68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2хШКАС - 21 кг, патронов ШКАС (1500) - 51 кг</w:t>
      </w:r>
    </w:p>
    <w:p w14:paraId="7080F4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снарядов РС (4хРС-82) - 27 кг</w:t>
      </w:r>
    </w:p>
    <w:p w14:paraId="1E366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w:t>
      </w:r>
    </w:p>
    <w:p w14:paraId="28059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- 15</w:t>
      </w:r>
    </w:p>
    <w:p w14:paraId="792E7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вооружения - 29</w:t>
      </w:r>
    </w:p>
    <w:p w14:paraId="05EC9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- 1681 кг</w:t>
      </w:r>
    </w:p>
    <w:p w14:paraId="600E10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ЛТД</w:t>
      </w:r>
    </w:p>
    <w:p w14:paraId="1695DA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405 км/час на 1200 м</w:t>
      </w:r>
    </w:p>
    <w:p w14:paraId="0DEB8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1000 м - 2,6 мин., на 3000 м - 8,8 мин.</w:t>
      </w:r>
    </w:p>
    <w:p w14:paraId="20351C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5800 м, набор за 38 мин.</w:t>
      </w:r>
    </w:p>
    <w:p w14:paraId="30900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мерилась при закрытых фонарях кабины л и стрелка, окрытых полностью заслонках водо и маслорадиатора</w:t>
      </w:r>
    </w:p>
    <w:p w14:paraId="2054FC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при весе 6325 и 2050 оборотах и Ра 1220</w:t>
      </w:r>
    </w:p>
    <w:p w14:paraId="7754F7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0 - 6,3</w:t>
      </w:r>
    </w:p>
    <w:p w14:paraId="11B33E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850 - 6,8</w:t>
      </w:r>
    </w:p>
    <w:p w14:paraId="247F0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3000 - 4</w:t>
      </w:r>
    </w:p>
    <w:p w14:paraId="37503B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5800 - ,5</w:t>
      </w:r>
    </w:p>
    <w:p w14:paraId="1C089A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 эксплуатируется на бензине 4Б-78 и масле АО-8 М6</w:t>
      </w:r>
    </w:p>
    <w:p w14:paraId="1127DF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Тиняков: управляемость с-та - хорошая, усилия на ручке - не большие, особенно легкие элероны, что делает с-т приятным в пилотировании.</w:t>
      </w:r>
    </w:p>
    <w:p w14:paraId="41AA85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 подписали вед. л и 5 отд. 1 У ГК НИИ ВВС к Тиняков 22 февраля, Зам. Нач. НИИ ВВС глиас Лосюков 26 февраля 1945 и нач. 1У НИИ ВВС гмиас Сафонов 24 февраля 1945 (804,4)</w:t>
      </w:r>
    </w:p>
    <w:p w14:paraId="45DE3D10" w14:textId="77777777" w:rsidR="00665165" w:rsidRPr="00F90EAE" w:rsidRDefault="00665165" w:rsidP="00F90EAE">
      <w:pPr>
        <w:autoSpaceDE w:val="0"/>
        <w:autoSpaceDN w:val="0"/>
        <w:adjustRightInd w:val="0"/>
        <w:jc w:val="both"/>
        <w:rPr>
          <w:color w:val="000000" w:themeColor="text1"/>
          <w:sz w:val="16"/>
          <w:szCs w:val="16"/>
        </w:rPr>
      </w:pPr>
    </w:p>
    <w:p w14:paraId="79D957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года гл. инженер ВВС генерал-полковник ИАС Репин писал письмо N 741196с зам. наркома Авиапрома.</w:t>
      </w:r>
    </w:p>
    <w:p w14:paraId="21EFFE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Контрольными испытаниями, проведенными ГК НИИ ВВС в феврале 1945 года, серийного самолета ЯК-9У N 06-16 с ВК-107А, производства завода N 82 выпуска ноября 1944 года установлено:</w:t>
      </w:r>
    </w:p>
    <w:p w14:paraId="0F073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максимальные горизонтальные скорости самолета</w:t>
      </w:r>
    </w:p>
    <w:p w14:paraId="23126F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19-34 км/час меньше установленных Постановлением</w:t>
      </w:r>
    </w:p>
    <w:p w14:paraId="15491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ГОКО N 4849сс от 27 декабря 1943 года для самолета</w:t>
      </w:r>
    </w:p>
    <w:p w14:paraId="2F855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 с ВК-107А;</w:t>
      </w:r>
    </w:p>
    <w:p w14:paraId="28E14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горизонтальный полет на номинальной мощности мотора</w:t>
      </w:r>
    </w:p>
    <w:p w14:paraId="663D3C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заслонкой водорадиатора, установленной по потоку</w:t>
      </w:r>
    </w:p>
    <w:p w14:paraId="563770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невозможен, из-за перегрева воды;</w:t>
      </w:r>
    </w:p>
    <w:p w14:paraId="27EDA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чрезмерно велики нагрузки на ручку управления</w:t>
      </w:r>
    </w:p>
    <w:p w14:paraId="645E6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самолетом от элеронов и руля высоты;</w:t>
      </w:r>
    </w:p>
    <w:p w14:paraId="13B81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мала дальность уверенной двухсторонней радиосвязи.</w:t>
      </w:r>
    </w:p>
    <w:p w14:paraId="17ED93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сравнению с серийным самолетом ЯК-9У N 39-083 с ВК-107А, производства завода N 166, проходившим контрольные испытания в ГК НИИ ВВС в январе 1945 года, этот самолет имеет максимальные горизонтальные скорости от земли до второй границы высотности меньше на 14-26 км/час.</w:t>
      </w:r>
    </w:p>
    <w:p w14:paraId="1046FE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Преимущество в максимальной скорости самолета ЯК-9У завода N 166 перед самолетом ЯК-9У завода N 82 объясняется главным образом улучшенным туннелем водорадиатора, позволяющим к тому же производить горизонтальный полет на номинальной мощности, при положении заслонки водорадиатора "по потоку", без перегрева мотора.</w:t>
      </w:r>
    </w:p>
    <w:p w14:paraId="0EA63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распоряжений о принятии необходимых мер (1879).</w:t>
      </w:r>
    </w:p>
    <w:p w14:paraId="1A4D029E" w14:textId="77777777" w:rsidR="00665165" w:rsidRPr="00F90EAE" w:rsidRDefault="00665165" w:rsidP="00F90EAE">
      <w:pPr>
        <w:autoSpaceDE w:val="0"/>
        <w:autoSpaceDN w:val="0"/>
        <w:adjustRightInd w:val="0"/>
        <w:jc w:val="both"/>
        <w:rPr>
          <w:color w:val="000000" w:themeColor="text1"/>
          <w:sz w:val="16"/>
          <w:szCs w:val="16"/>
        </w:rPr>
      </w:pPr>
    </w:p>
    <w:p w14:paraId="176A30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7620 О производстве корпусов светящихся авиационных бомб в марте и во II квартале 1945 года. РГАНИР, Фонд ГКО, д. 373, лл. 163-165 (11012).</w:t>
      </w:r>
    </w:p>
    <w:p w14:paraId="5FE2EF06" w14:textId="77777777" w:rsidR="00665165" w:rsidRPr="00F90EAE" w:rsidRDefault="00665165" w:rsidP="00F90EAE">
      <w:pPr>
        <w:autoSpaceDE w:val="0"/>
        <w:autoSpaceDN w:val="0"/>
        <w:adjustRightInd w:val="0"/>
        <w:jc w:val="both"/>
        <w:rPr>
          <w:color w:val="000000" w:themeColor="text1"/>
          <w:sz w:val="16"/>
          <w:szCs w:val="16"/>
        </w:rPr>
      </w:pPr>
    </w:p>
    <w:p w14:paraId="1FF8A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7621 О расширении производства авиационных компрессорных станций АКС-2 и АКС-7 заводами Наркомминвооружения. РГАНИР, Фонд ГКО, д. 373, лл. 166-168, 169-171 (11012).</w:t>
      </w:r>
    </w:p>
    <w:p w14:paraId="2082DD97" w14:textId="77777777" w:rsidR="00665165" w:rsidRPr="00F90EAE" w:rsidRDefault="00665165" w:rsidP="00F90EAE">
      <w:pPr>
        <w:autoSpaceDE w:val="0"/>
        <w:autoSpaceDN w:val="0"/>
        <w:adjustRightInd w:val="0"/>
        <w:jc w:val="both"/>
        <w:rPr>
          <w:color w:val="000000" w:themeColor="text1"/>
          <w:sz w:val="16"/>
          <w:szCs w:val="16"/>
        </w:rPr>
      </w:pPr>
    </w:p>
    <w:p w14:paraId="577BB60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0042CE0" w14:textId="77777777" w:rsidR="00665165" w:rsidRPr="00F90EAE" w:rsidRDefault="00665165" w:rsidP="00F90EAE">
      <w:pPr>
        <w:autoSpaceDE w:val="0"/>
        <w:autoSpaceDN w:val="0"/>
        <w:adjustRightInd w:val="0"/>
        <w:jc w:val="both"/>
        <w:rPr>
          <w:iCs/>
          <w:color w:val="000000" w:themeColor="text1"/>
          <w:sz w:val="16"/>
          <w:szCs w:val="16"/>
        </w:rPr>
      </w:pPr>
    </w:p>
    <w:p w14:paraId="7B3A5587" w14:textId="77777777" w:rsidR="004945E9" w:rsidRPr="00F90EAE" w:rsidRDefault="004945E9" w:rsidP="00F90EAE">
      <w:pPr>
        <w:jc w:val="both"/>
        <w:rPr>
          <w:color w:val="000000" w:themeColor="text1"/>
          <w:sz w:val="16"/>
          <w:szCs w:val="16"/>
        </w:rPr>
      </w:pPr>
      <w:r w:rsidRPr="00F90EAE">
        <w:rPr>
          <w:color w:val="000000" w:themeColor="text1"/>
          <w:sz w:val="16"/>
          <w:szCs w:val="16"/>
        </w:rPr>
        <w:t>2 марта 1944 в Т-34-100 закончил испытания стрельбой (1000 выстрелов) и возкой (500 километров пробега) 100-мм пушка ЗИС-100 завода № 92 НКВ, которые шли с 28 февраля. В выводах об испытаниях говорилось:</w:t>
      </w:r>
    </w:p>
    <w:p w14:paraId="07F0192D" w14:textId="77777777" w:rsidR="004945E9" w:rsidRPr="00F90EAE" w:rsidRDefault="004945E9" w:rsidP="00F90EAE">
      <w:pPr>
        <w:jc w:val="both"/>
        <w:rPr>
          <w:color w:val="000000" w:themeColor="text1"/>
          <w:sz w:val="16"/>
          <w:szCs w:val="16"/>
        </w:rPr>
      </w:pPr>
      <w:r w:rsidRPr="00F90EAE">
        <w:rPr>
          <w:color w:val="000000" w:themeColor="text1"/>
          <w:sz w:val="16"/>
          <w:szCs w:val="16"/>
        </w:rPr>
        <w:t>«Пушка испытания выдержала. После доработки в отношении улучшения работы тормоза отката и надежности в работе подъемного механизма ЗИС-100 может быть допущена к полигонным испытаниям».</w:t>
      </w:r>
    </w:p>
    <w:p w14:paraId="21029403" w14:textId="77777777" w:rsidR="004945E9" w:rsidRPr="00F90EAE" w:rsidRDefault="004945E9" w:rsidP="00F90EAE">
      <w:pPr>
        <w:jc w:val="both"/>
        <w:rPr>
          <w:color w:val="000000" w:themeColor="text1"/>
          <w:sz w:val="16"/>
          <w:szCs w:val="16"/>
        </w:rPr>
      </w:pPr>
      <w:r w:rsidRPr="00F90EAE">
        <w:rPr>
          <w:color w:val="000000" w:themeColor="text1"/>
          <w:sz w:val="16"/>
          <w:szCs w:val="16"/>
        </w:rPr>
        <w:t>Т-34-100 стал своеобразной ездящей лабораторией. С 6 по 12 апреля в нем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7AF5078F" w14:textId="77777777" w:rsidR="004945E9" w:rsidRPr="00F90EAE" w:rsidRDefault="004945E9" w:rsidP="00F90EAE">
      <w:pPr>
        <w:jc w:val="both"/>
        <w:rPr>
          <w:color w:val="000000" w:themeColor="text1"/>
          <w:sz w:val="16"/>
          <w:szCs w:val="16"/>
        </w:rPr>
      </w:pPr>
      <w:r w:rsidRPr="00F90EAE">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252FFC4D" w14:textId="77777777" w:rsidR="004945E9" w:rsidRPr="00F90EAE" w:rsidRDefault="004945E9" w:rsidP="00F90EAE">
      <w:pPr>
        <w:jc w:val="both"/>
        <w:rPr>
          <w:color w:val="000000" w:themeColor="text1"/>
          <w:sz w:val="16"/>
          <w:szCs w:val="16"/>
        </w:rPr>
      </w:pPr>
      <w:r w:rsidRPr="00F90EAE">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3CEED97C" w14:textId="77777777" w:rsidR="004945E9" w:rsidRPr="00F90EAE" w:rsidRDefault="004945E9" w:rsidP="00F90EAE">
      <w:pPr>
        <w:jc w:val="both"/>
        <w:rPr>
          <w:color w:val="000000" w:themeColor="text1"/>
          <w:sz w:val="16"/>
          <w:szCs w:val="16"/>
        </w:rPr>
      </w:pPr>
    </w:p>
    <w:p w14:paraId="321A36C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марта 1945 вышло Распоряжение ГКО № 7601 [О выделении горючего для войск и строек НКВД и сельского хозяйства.] (7310, 78).</w:t>
      </w:r>
    </w:p>
    <w:p w14:paraId="32B423C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3CD0E3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7602 О производстве и распределении думпкар в I квартале 1945 г. (7310, 79).</w:t>
      </w:r>
    </w:p>
    <w:p w14:paraId="2CA8138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702D6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марта 1945 вышло Постановление ГКО № 7603 О поставке листового металла заводам Наркомсредмаша для производства металлических звеньев в I квартале 1945 года. РГАНИР, Фонд ГКО, д. 373, лл. 80-81, 82 (11012).</w:t>
      </w:r>
    </w:p>
    <w:p w14:paraId="52E9C587" w14:textId="77777777" w:rsidR="00665165" w:rsidRPr="00F90EAE" w:rsidRDefault="00665165" w:rsidP="00F90EAE">
      <w:pPr>
        <w:autoSpaceDE w:val="0"/>
        <w:autoSpaceDN w:val="0"/>
        <w:adjustRightInd w:val="0"/>
        <w:jc w:val="both"/>
        <w:rPr>
          <w:color w:val="000000" w:themeColor="text1"/>
          <w:sz w:val="16"/>
          <w:szCs w:val="16"/>
        </w:rPr>
      </w:pPr>
    </w:p>
    <w:p w14:paraId="6D4BB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Распоряжение ГКО № 7604. Об уменьшении плана выпуска корпусов некоторых снарядов и мин на заводах НКНП с марта 1945 г. РГАНИР, Фонд ГКО, д. 373, лл. 83 (11012).</w:t>
      </w:r>
    </w:p>
    <w:p w14:paraId="0DD3967D" w14:textId="77777777" w:rsidR="00665165" w:rsidRPr="00F90EAE" w:rsidRDefault="00665165" w:rsidP="00F90EAE">
      <w:pPr>
        <w:autoSpaceDE w:val="0"/>
        <w:autoSpaceDN w:val="0"/>
        <w:adjustRightInd w:val="0"/>
        <w:jc w:val="both"/>
        <w:rPr>
          <w:color w:val="000000" w:themeColor="text1"/>
          <w:sz w:val="16"/>
          <w:szCs w:val="16"/>
        </w:rPr>
      </w:pPr>
    </w:p>
    <w:p w14:paraId="0940E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Распоряжение ГКО № 7605. О поставке стройматериалов на строительство завода №850 НКБ. РГАНИР, Фонд ГКО, д. 373, лл. 84 (11012).</w:t>
      </w:r>
    </w:p>
    <w:p w14:paraId="1A035B31" w14:textId="77777777" w:rsidR="00665165" w:rsidRPr="00F90EAE" w:rsidRDefault="00665165" w:rsidP="00F90EAE">
      <w:pPr>
        <w:autoSpaceDE w:val="0"/>
        <w:autoSpaceDN w:val="0"/>
        <w:adjustRightInd w:val="0"/>
        <w:jc w:val="both"/>
        <w:rPr>
          <w:color w:val="000000" w:themeColor="text1"/>
          <w:sz w:val="16"/>
          <w:szCs w:val="16"/>
        </w:rPr>
      </w:pPr>
    </w:p>
    <w:p w14:paraId="0DCE2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Распоряжение ГКО № 7606. О мерах по бесперебойной поставке легированного металлопроката заводам НКТП. РГАНИР, Фонд ГКО, д. 373, лл. 85, 86-90 (11012).</w:t>
      </w:r>
    </w:p>
    <w:p w14:paraId="39BE45D7" w14:textId="77777777" w:rsidR="00665165" w:rsidRPr="00F90EAE" w:rsidRDefault="00665165" w:rsidP="00F90EAE">
      <w:pPr>
        <w:autoSpaceDE w:val="0"/>
        <w:autoSpaceDN w:val="0"/>
        <w:adjustRightInd w:val="0"/>
        <w:jc w:val="both"/>
        <w:rPr>
          <w:color w:val="000000" w:themeColor="text1"/>
          <w:sz w:val="16"/>
          <w:szCs w:val="16"/>
        </w:rPr>
      </w:pPr>
    </w:p>
    <w:p w14:paraId="538A25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Распоряжение ГКО № 7607. О срочной поставке стройматериалов строительству корпуса №2 на заводе №257 НКБ. РГАНИР, Фонд ГКО, д. 373, лл. 91-93 (11012).</w:t>
      </w:r>
    </w:p>
    <w:p w14:paraId="75C1ABB4" w14:textId="77777777" w:rsidR="00665165" w:rsidRPr="00F90EAE" w:rsidRDefault="00665165" w:rsidP="00F90EAE">
      <w:pPr>
        <w:autoSpaceDE w:val="0"/>
        <w:autoSpaceDN w:val="0"/>
        <w:adjustRightInd w:val="0"/>
        <w:jc w:val="both"/>
        <w:rPr>
          <w:color w:val="000000" w:themeColor="text1"/>
          <w:sz w:val="16"/>
          <w:szCs w:val="16"/>
        </w:rPr>
      </w:pPr>
    </w:p>
    <w:p w14:paraId="21E50F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7608 О вывозе трубопрокатного оборудования с трубопрокатного завода акционерного общества "Оберхюттен Штальрорверке" в г. Глейвиц. РГАНИР, Фонд ГКО, д. 373, лл. 94-95 (11012).</w:t>
      </w:r>
    </w:p>
    <w:p w14:paraId="6B94607B" w14:textId="77777777" w:rsidR="00665165" w:rsidRPr="00F90EAE" w:rsidRDefault="00665165" w:rsidP="00F90EAE">
      <w:pPr>
        <w:autoSpaceDE w:val="0"/>
        <w:autoSpaceDN w:val="0"/>
        <w:adjustRightInd w:val="0"/>
        <w:jc w:val="both"/>
        <w:rPr>
          <w:color w:val="000000" w:themeColor="text1"/>
          <w:sz w:val="16"/>
          <w:szCs w:val="16"/>
        </w:rPr>
      </w:pPr>
    </w:p>
    <w:p w14:paraId="36465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7609 О вывозе блюминга с завода "Юлиенхютте" в г. Бобрек. РГАНИР, Фонд ГКО, д. 373, лл. 96-97 (11012).</w:t>
      </w:r>
    </w:p>
    <w:p w14:paraId="42A64847" w14:textId="77777777" w:rsidR="00665165" w:rsidRPr="00F90EAE" w:rsidRDefault="00665165" w:rsidP="00F90EAE">
      <w:pPr>
        <w:autoSpaceDE w:val="0"/>
        <w:autoSpaceDN w:val="0"/>
        <w:adjustRightInd w:val="0"/>
        <w:jc w:val="both"/>
        <w:rPr>
          <w:color w:val="000000" w:themeColor="text1"/>
          <w:sz w:val="16"/>
          <w:szCs w:val="16"/>
        </w:rPr>
      </w:pPr>
    </w:p>
    <w:p w14:paraId="002FA6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7610 О вывозе прокатных станов и электропечей с немецких заводов "Герминенхютте" и "Прессверке" в г. ЛабанРГАНИР, Фонд ГКО, д. РГАНИР, Фонд ГКО, д. 373, лл. 98-99 (11012).</w:t>
      </w:r>
    </w:p>
    <w:p w14:paraId="3F11A81A" w14:textId="77777777" w:rsidR="00665165" w:rsidRPr="00F90EAE" w:rsidRDefault="00665165" w:rsidP="00F90EAE">
      <w:pPr>
        <w:autoSpaceDE w:val="0"/>
        <w:autoSpaceDN w:val="0"/>
        <w:adjustRightInd w:val="0"/>
        <w:jc w:val="both"/>
        <w:rPr>
          <w:color w:val="000000" w:themeColor="text1"/>
          <w:sz w:val="16"/>
          <w:szCs w:val="16"/>
        </w:rPr>
      </w:pPr>
    </w:p>
    <w:p w14:paraId="236ABF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7611 О вывозе металла с немецких заводов Верхней Силезии. РГАНИР, Фонд ГКО, д. 373, лл. 100-101, 102 (11012).</w:t>
      </w:r>
    </w:p>
    <w:p w14:paraId="514F8861" w14:textId="77777777" w:rsidR="00665165" w:rsidRPr="00F90EAE" w:rsidRDefault="00665165" w:rsidP="00F90EAE">
      <w:pPr>
        <w:autoSpaceDE w:val="0"/>
        <w:autoSpaceDN w:val="0"/>
        <w:adjustRightInd w:val="0"/>
        <w:jc w:val="both"/>
        <w:rPr>
          <w:color w:val="000000" w:themeColor="text1"/>
          <w:sz w:val="16"/>
          <w:szCs w:val="16"/>
        </w:rPr>
      </w:pPr>
    </w:p>
    <w:p w14:paraId="732FD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года вышло:</w:t>
      </w:r>
    </w:p>
    <w:p w14:paraId="0E6B8EF6" w14:textId="77777777" w:rsidR="00665165" w:rsidRPr="00F90EAE" w:rsidRDefault="00665165" w:rsidP="00F90EAE">
      <w:pPr>
        <w:jc w:val="both"/>
        <w:rPr>
          <w:color w:val="000000" w:themeColor="text1"/>
          <w:sz w:val="16"/>
          <w:szCs w:val="16"/>
        </w:rPr>
      </w:pPr>
      <w:r w:rsidRPr="00F90EAE">
        <w:rPr>
          <w:color w:val="000000" w:themeColor="text1"/>
          <w:sz w:val="16"/>
          <w:szCs w:val="16"/>
        </w:rPr>
        <w:t>ПОСТАНОВЛЕНИЕ ГОСУДАРСТВЕННОГО КОМИТЕТА ОБОРОНЫ № 7611с</w:t>
      </w:r>
    </w:p>
    <w:p w14:paraId="4F583DC5" w14:textId="77777777" w:rsidR="00665165" w:rsidRPr="00F90EAE" w:rsidRDefault="00665165" w:rsidP="00F90EAE">
      <w:pPr>
        <w:jc w:val="both"/>
        <w:rPr>
          <w:color w:val="000000" w:themeColor="text1"/>
          <w:sz w:val="16"/>
          <w:szCs w:val="16"/>
        </w:rPr>
      </w:pPr>
      <w:r w:rsidRPr="00F90EAE">
        <w:rPr>
          <w:color w:val="000000" w:themeColor="text1"/>
          <w:sz w:val="16"/>
          <w:szCs w:val="16"/>
        </w:rPr>
        <w:t>О вывозе металла с немецких заводов Верхней Силезии</w:t>
      </w:r>
    </w:p>
    <w:p w14:paraId="074696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3A0B17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Обязать Наркомчермет (т. Тевосяна) вывезти с немецких заводов Верхней Силезии, перечисленных в приложении:</w:t>
      </w:r>
    </w:p>
    <w:p w14:paraId="567E9B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готового проката 26 тыс. тонн</w:t>
      </w:r>
    </w:p>
    <w:p w14:paraId="522E5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труб 2 " "</w:t>
      </w:r>
    </w:p>
    <w:p w14:paraId="578A84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метизов 4 " " стальных канатов 560 " "</w:t>
      </w:r>
    </w:p>
    <w:p w14:paraId="780402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Назначить уполномоченным Наркомчермета по отгрузке металла начальника Московской конторы Главметаллосбыта НКЧМ т. Субоч В. К.</w:t>
      </w:r>
    </w:p>
    <w:p w14:paraId="4CE4B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Обязать начальника Главного трофейного управления НКО т. Вахитова:</w:t>
      </w:r>
    </w:p>
    <w:p w14:paraId="7D6420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обеспечить в марте-апреле 1945 г. Погрузку металла и метизов в количествах, указанных в п. 1 настоящего постановления;</w:t>
      </w:r>
    </w:p>
    <w:p w14:paraId="0541B5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выделить для погрузки металла и метизов 300 человек рабочих.</w:t>
      </w:r>
    </w:p>
    <w:p w14:paraId="44D779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Обязать т. Ковалева (НКПС) и т. Дмитриева (ВОСО) выделить по заявке уполномоченного Особого Комитета т. Сабурова необходимое количество вагонов для погрузки металла и метизов, указанных в п. 1 настоящего постановления.</w:t>
      </w:r>
    </w:p>
    <w:p w14:paraId="19530B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Отгрузку металла и метизов произвести в пункты по указанию Наркомчермета.</w:t>
      </w:r>
    </w:p>
    <w:p w14:paraId="21F88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ПРЕДСЕДАТЕЛЬ ГОСУДАРСТВЕННОГО КОМИТЕТА ОБОРОНЫ И. СТАЛИН </w:t>
      </w:r>
    </w:p>
    <w:p w14:paraId="57674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2F4FA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Приложение</w:t>
      </w:r>
    </w:p>
    <w:p w14:paraId="1EC82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Постановлению ГОКО № 7611с</w:t>
      </w:r>
    </w:p>
    <w:p w14:paraId="7FD36E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"2" марта 1945 г.</w:t>
      </w:r>
    </w:p>
    <w:p w14:paraId="6D3136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СПИСОК</w:t>
      </w:r>
    </w:p>
    <w:p w14:paraId="13FFB1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заводов Верхней Силезии, с которых вывозится металл в СССР.</w:t>
      </w:r>
    </w:p>
    <w:p w14:paraId="535AB6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тоннах)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885"/>
        <w:gridCol w:w="1620"/>
        <w:gridCol w:w="900"/>
        <w:gridCol w:w="1080"/>
        <w:gridCol w:w="1080"/>
        <w:gridCol w:w="1005"/>
      </w:tblGrid>
      <w:tr w:rsidR="00561F31" w:rsidRPr="00F90EAE" w14:paraId="1AC4146C" w14:textId="77777777">
        <w:trPr>
          <w:jc w:val="center"/>
        </w:trPr>
        <w:tc>
          <w:tcPr>
            <w:tcW w:w="3885" w:type="dxa"/>
            <w:tcBorders>
              <w:top w:val="single" w:sz="12" w:space="0" w:color="auto"/>
            </w:tcBorders>
          </w:tcPr>
          <w:p w14:paraId="5A1B3C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предприятий</w:t>
            </w:r>
          </w:p>
        </w:tc>
        <w:tc>
          <w:tcPr>
            <w:tcW w:w="1620" w:type="dxa"/>
            <w:tcBorders>
              <w:top w:val="single" w:sz="12" w:space="0" w:color="auto"/>
            </w:tcBorders>
          </w:tcPr>
          <w:p w14:paraId="61FC74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Профильный прокат</w:t>
            </w:r>
          </w:p>
        </w:tc>
        <w:tc>
          <w:tcPr>
            <w:tcW w:w="900" w:type="dxa"/>
            <w:tcBorders>
              <w:top w:val="single" w:sz="12" w:space="0" w:color="auto"/>
            </w:tcBorders>
          </w:tcPr>
          <w:p w14:paraId="2D1826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Лист</w:t>
            </w:r>
          </w:p>
        </w:tc>
        <w:tc>
          <w:tcPr>
            <w:tcW w:w="1080" w:type="dxa"/>
            <w:tcBorders>
              <w:top w:val="single" w:sz="12" w:space="0" w:color="auto"/>
            </w:tcBorders>
          </w:tcPr>
          <w:p w14:paraId="128C7E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Трубы</w:t>
            </w:r>
          </w:p>
        </w:tc>
        <w:tc>
          <w:tcPr>
            <w:tcW w:w="1080" w:type="dxa"/>
            <w:tcBorders>
              <w:top w:val="single" w:sz="12" w:space="0" w:color="auto"/>
            </w:tcBorders>
          </w:tcPr>
          <w:p w14:paraId="32E50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Метизы</w:t>
            </w:r>
          </w:p>
        </w:tc>
        <w:tc>
          <w:tcPr>
            <w:tcW w:w="1005" w:type="dxa"/>
            <w:tcBorders>
              <w:top w:val="single" w:sz="12" w:space="0" w:color="auto"/>
            </w:tcBorders>
          </w:tcPr>
          <w:p w14:paraId="16B0E1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Канаты</w:t>
            </w:r>
          </w:p>
        </w:tc>
      </w:tr>
      <w:tr w:rsidR="00561F31" w:rsidRPr="00F90EAE" w14:paraId="679248C6" w14:textId="77777777">
        <w:trPr>
          <w:jc w:val="center"/>
        </w:trPr>
        <w:tc>
          <w:tcPr>
            <w:tcW w:w="3885" w:type="dxa"/>
          </w:tcPr>
          <w:p w14:paraId="6F502B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Трубопрокатный завод </w:t>
            </w:r>
          </w:p>
          <w:p w14:paraId="71965E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Штальрорверке в г. Глейвиц</w:t>
            </w:r>
          </w:p>
        </w:tc>
        <w:tc>
          <w:tcPr>
            <w:tcW w:w="1620" w:type="dxa"/>
          </w:tcPr>
          <w:p w14:paraId="30A221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00" w:type="dxa"/>
          </w:tcPr>
          <w:p w14:paraId="56E6B9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C5951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80" w:type="dxa"/>
          </w:tcPr>
          <w:p w14:paraId="39882C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3813B8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65DB312" w14:textId="77777777">
        <w:trPr>
          <w:jc w:val="center"/>
        </w:trPr>
        <w:tc>
          <w:tcPr>
            <w:tcW w:w="3885" w:type="dxa"/>
          </w:tcPr>
          <w:p w14:paraId="71FEB5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Реденхютте в</w:t>
            </w:r>
          </w:p>
          <w:p w14:paraId="5393A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Гинденбург</w:t>
            </w:r>
          </w:p>
        </w:tc>
        <w:tc>
          <w:tcPr>
            <w:tcW w:w="1620" w:type="dxa"/>
          </w:tcPr>
          <w:p w14:paraId="61C519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2800</w:t>
            </w:r>
          </w:p>
        </w:tc>
        <w:tc>
          <w:tcPr>
            <w:tcW w:w="900" w:type="dxa"/>
          </w:tcPr>
          <w:p w14:paraId="617F1E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4B21F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0625A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783DCF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98BD54D" w14:textId="77777777">
        <w:trPr>
          <w:jc w:val="center"/>
        </w:trPr>
        <w:tc>
          <w:tcPr>
            <w:tcW w:w="3885" w:type="dxa"/>
          </w:tcPr>
          <w:p w14:paraId="03ABB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Дратверке в г. Глейвиц</w:t>
            </w:r>
          </w:p>
        </w:tc>
        <w:tc>
          <w:tcPr>
            <w:tcW w:w="1620" w:type="dxa"/>
          </w:tcPr>
          <w:p w14:paraId="6DBC82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2800</w:t>
            </w:r>
          </w:p>
        </w:tc>
        <w:tc>
          <w:tcPr>
            <w:tcW w:w="900" w:type="dxa"/>
          </w:tcPr>
          <w:p w14:paraId="73F59B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305D31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024043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05" w:type="dxa"/>
          </w:tcPr>
          <w:p w14:paraId="767CB7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AEC9BE3" w14:textId="77777777">
        <w:trPr>
          <w:jc w:val="center"/>
        </w:trPr>
        <w:tc>
          <w:tcPr>
            <w:tcW w:w="3885" w:type="dxa"/>
          </w:tcPr>
          <w:p w14:paraId="7482AB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Штальпрессверке в г. Глейвиц</w:t>
            </w:r>
          </w:p>
        </w:tc>
        <w:tc>
          <w:tcPr>
            <w:tcW w:w="1620" w:type="dxa"/>
          </w:tcPr>
          <w:p w14:paraId="540ADC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900" w:type="dxa"/>
          </w:tcPr>
          <w:p w14:paraId="3FAD50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2300</w:t>
            </w:r>
          </w:p>
        </w:tc>
        <w:tc>
          <w:tcPr>
            <w:tcW w:w="1080" w:type="dxa"/>
          </w:tcPr>
          <w:p w14:paraId="76FB5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23C31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7A4EC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A64B9AD" w14:textId="77777777">
        <w:trPr>
          <w:jc w:val="center"/>
        </w:trPr>
        <w:tc>
          <w:tcPr>
            <w:tcW w:w="3885" w:type="dxa"/>
          </w:tcPr>
          <w:p w14:paraId="22252F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Проволочно-канатный завод фирмы Дайксель в г. Гинденбург</w:t>
            </w:r>
          </w:p>
        </w:tc>
        <w:tc>
          <w:tcPr>
            <w:tcW w:w="1620" w:type="dxa"/>
          </w:tcPr>
          <w:p w14:paraId="07A3D6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1200</w:t>
            </w:r>
          </w:p>
        </w:tc>
        <w:tc>
          <w:tcPr>
            <w:tcW w:w="900" w:type="dxa"/>
          </w:tcPr>
          <w:p w14:paraId="3376F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75201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6AC399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6CD88B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r>
      <w:tr w:rsidR="00561F31" w:rsidRPr="00F90EAE" w14:paraId="4BC0A1FE" w14:textId="77777777">
        <w:trPr>
          <w:jc w:val="center"/>
        </w:trPr>
        <w:tc>
          <w:tcPr>
            <w:tcW w:w="3885" w:type="dxa"/>
          </w:tcPr>
          <w:p w14:paraId="1533FE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Герминенхютте в г. Лабанд</w:t>
            </w:r>
          </w:p>
        </w:tc>
        <w:tc>
          <w:tcPr>
            <w:tcW w:w="1620" w:type="dxa"/>
          </w:tcPr>
          <w:p w14:paraId="06B2DB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13000</w:t>
            </w:r>
          </w:p>
        </w:tc>
        <w:tc>
          <w:tcPr>
            <w:tcW w:w="900" w:type="dxa"/>
          </w:tcPr>
          <w:p w14:paraId="16ACFE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080" w:type="dxa"/>
          </w:tcPr>
          <w:p w14:paraId="059DED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16A6E2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1B529F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49684CC" w14:textId="77777777">
        <w:trPr>
          <w:jc w:val="center"/>
        </w:trPr>
        <w:tc>
          <w:tcPr>
            <w:tcW w:w="3885" w:type="dxa"/>
          </w:tcPr>
          <w:p w14:paraId="381374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Андреасхютте в г. Андреасхютте</w:t>
            </w:r>
          </w:p>
        </w:tc>
        <w:tc>
          <w:tcPr>
            <w:tcW w:w="1620" w:type="dxa"/>
          </w:tcPr>
          <w:p w14:paraId="5D58D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w:t>
            </w:r>
          </w:p>
        </w:tc>
        <w:tc>
          <w:tcPr>
            <w:tcW w:w="900" w:type="dxa"/>
          </w:tcPr>
          <w:p w14:paraId="35697A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2A961A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80" w:type="dxa"/>
          </w:tcPr>
          <w:p w14:paraId="5B79B3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05" w:type="dxa"/>
          </w:tcPr>
          <w:p w14:paraId="66DCED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8117B1E" w14:textId="77777777">
        <w:trPr>
          <w:jc w:val="center"/>
        </w:trPr>
        <w:tc>
          <w:tcPr>
            <w:tcW w:w="3885" w:type="dxa"/>
            <w:tcBorders>
              <w:bottom w:val="single" w:sz="12" w:space="0" w:color="auto"/>
            </w:tcBorders>
          </w:tcPr>
          <w:p w14:paraId="5D717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620" w:type="dxa"/>
            <w:tcBorders>
              <w:bottom w:val="single" w:sz="12" w:space="0" w:color="auto"/>
            </w:tcBorders>
          </w:tcPr>
          <w:p w14:paraId="641B60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23000</w:t>
            </w:r>
          </w:p>
        </w:tc>
        <w:tc>
          <w:tcPr>
            <w:tcW w:w="900" w:type="dxa"/>
            <w:tcBorders>
              <w:bottom w:val="single" w:sz="12" w:space="0" w:color="auto"/>
            </w:tcBorders>
          </w:tcPr>
          <w:p w14:paraId="09591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80" w:type="dxa"/>
            <w:tcBorders>
              <w:bottom w:val="single" w:sz="12" w:space="0" w:color="auto"/>
            </w:tcBorders>
          </w:tcPr>
          <w:p w14:paraId="396442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80" w:type="dxa"/>
            <w:tcBorders>
              <w:bottom w:val="single" w:sz="12" w:space="0" w:color="auto"/>
            </w:tcBorders>
          </w:tcPr>
          <w:p w14:paraId="56634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05" w:type="dxa"/>
            <w:tcBorders>
              <w:bottom w:val="single" w:sz="12" w:space="0" w:color="auto"/>
            </w:tcBorders>
          </w:tcPr>
          <w:p w14:paraId="396B65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r>
    </w:tbl>
    <w:p w14:paraId="01AD19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(11813).</w:t>
      </w:r>
    </w:p>
    <w:p w14:paraId="68B230F0" w14:textId="77777777" w:rsidR="00665165" w:rsidRPr="00F90EAE" w:rsidRDefault="00665165" w:rsidP="00F90EAE">
      <w:pPr>
        <w:autoSpaceDE w:val="0"/>
        <w:autoSpaceDN w:val="0"/>
        <w:adjustRightInd w:val="0"/>
        <w:jc w:val="both"/>
        <w:rPr>
          <w:color w:val="000000" w:themeColor="text1"/>
          <w:sz w:val="16"/>
          <w:szCs w:val="16"/>
        </w:rPr>
      </w:pPr>
    </w:p>
    <w:p w14:paraId="170C5D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7612 О вывозе 87 тонн ртути из гор. Хшанув. РГАНИР, Фонд ГКО, д. 373, лл. 103 (11012).</w:t>
      </w:r>
    </w:p>
    <w:p w14:paraId="506EC0F2" w14:textId="77777777" w:rsidR="00665165" w:rsidRPr="00F90EAE" w:rsidRDefault="00665165" w:rsidP="00F90EAE">
      <w:pPr>
        <w:autoSpaceDE w:val="0"/>
        <w:autoSpaceDN w:val="0"/>
        <w:adjustRightInd w:val="0"/>
        <w:jc w:val="both"/>
        <w:rPr>
          <w:color w:val="000000" w:themeColor="text1"/>
          <w:sz w:val="16"/>
          <w:szCs w:val="16"/>
        </w:rPr>
      </w:pPr>
    </w:p>
    <w:p w14:paraId="43ECD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7613 О вывозе оборудования радиостанции из Восточной Пруссии. РГАНИР, Фонд ГКО, д. 373, лл. 104-105 (11012).</w:t>
      </w:r>
    </w:p>
    <w:p w14:paraId="7001526C" w14:textId="77777777" w:rsidR="00665165" w:rsidRPr="00F90EAE" w:rsidRDefault="00665165" w:rsidP="00F90EAE">
      <w:pPr>
        <w:autoSpaceDE w:val="0"/>
        <w:autoSpaceDN w:val="0"/>
        <w:adjustRightInd w:val="0"/>
        <w:jc w:val="both"/>
        <w:rPr>
          <w:color w:val="000000" w:themeColor="text1"/>
          <w:sz w:val="16"/>
          <w:szCs w:val="16"/>
        </w:rPr>
      </w:pPr>
    </w:p>
    <w:p w14:paraId="7DC3E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7614 О демонтаже 19 турбин на мощность 507 тыс. киловатт и 32 котлов высокого давления с электростанций немецкой Силезии. РГАНИР, Фонд ГКО, д. 373, лл. 106-107, 108-111 (11012).</w:t>
      </w:r>
    </w:p>
    <w:p w14:paraId="604B2632" w14:textId="77777777" w:rsidR="00665165" w:rsidRPr="00F90EAE" w:rsidRDefault="00665165" w:rsidP="00F90EAE">
      <w:pPr>
        <w:autoSpaceDE w:val="0"/>
        <w:autoSpaceDN w:val="0"/>
        <w:adjustRightInd w:val="0"/>
        <w:jc w:val="both"/>
        <w:rPr>
          <w:color w:val="000000" w:themeColor="text1"/>
          <w:sz w:val="16"/>
          <w:szCs w:val="16"/>
        </w:rPr>
      </w:pPr>
    </w:p>
    <w:p w14:paraId="3E0529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7615 О введении военного положения на взрывоопасных заводах №129, 388, 502 и 503 Наркомата боеприпасов. РГАНИР, Фонд ГКО, д. 373, лл. 112 (11012).</w:t>
      </w:r>
    </w:p>
    <w:p w14:paraId="6702C0DC" w14:textId="77777777" w:rsidR="00665165" w:rsidRPr="00F90EAE" w:rsidRDefault="00665165" w:rsidP="00F90EAE">
      <w:pPr>
        <w:autoSpaceDE w:val="0"/>
        <w:autoSpaceDN w:val="0"/>
        <w:adjustRightInd w:val="0"/>
        <w:jc w:val="both"/>
        <w:rPr>
          <w:color w:val="000000" w:themeColor="text1"/>
          <w:sz w:val="16"/>
          <w:szCs w:val="16"/>
        </w:rPr>
      </w:pPr>
    </w:p>
    <w:p w14:paraId="6FADAC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7616 О плане распределения электроэнергии на март 1945 г. РГАНИР, Фонд ГКО, д. 373, лл. 113-114, 115-122 (11012).</w:t>
      </w:r>
    </w:p>
    <w:p w14:paraId="74B749BA" w14:textId="77777777" w:rsidR="00665165" w:rsidRPr="00F90EAE" w:rsidRDefault="00665165" w:rsidP="00F90EAE">
      <w:pPr>
        <w:autoSpaceDE w:val="0"/>
        <w:autoSpaceDN w:val="0"/>
        <w:adjustRightInd w:val="0"/>
        <w:jc w:val="both"/>
        <w:rPr>
          <w:color w:val="000000" w:themeColor="text1"/>
          <w:sz w:val="16"/>
          <w:szCs w:val="16"/>
        </w:rPr>
      </w:pPr>
    </w:p>
    <w:p w14:paraId="36946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7617 О мероприятиях по обеспечению заводов Наркомнефти нефтесырьем в марте 1945 года. РГАНИР, Фонд ГКО, д. 373, лл. 123-127, 128-129 (11012).</w:t>
      </w:r>
    </w:p>
    <w:p w14:paraId="75B15443" w14:textId="77777777" w:rsidR="00665165" w:rsidRPr="00F90EAE" w:rsidRDefault="00665165" w:rsidP="00F90EAE">
      <w:pPr>
        <w:autoSpaceDE w:val="0"/>
        <w:autoSpaceDN w:val="0"/>
        <w:adjustRightInd w:val="0"/>
        <w:jc w:val="both"/>
        <w:rPr>
          <w:color w:val="000000" w:themeColor="text1"/>
          <w:sz w:val="16"/>
          <w:szCs w:val="16"/>
        </w:rPr>
      </w:pPr>
    </w:p>
    <w:p w14:paraId="2EFA746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7618 Об обеспечении речного флота топливом к открытию навигации 1945 г. (7310, 130-132,133-137).</w:t>
      </w:r>
    </w:p>
    <w:p w14:paraId="5950097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877A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7619 Об увеличении производства и поставки НКО СССР ручных гранат Ф-1 и РГ-42 в I квартале 1945 г. РГАНИР, Фонд ГКО, д. 373, лл. 138-143, 144-162 (11012).</w:t>
      </w:r>
    </w:p>
    <w:p w14:paraId="5E831954" w14:textId="77777777" w:rsidR="00665165" w:rsidRPr="00F90EAE" w:rsidRDefault="00665165" w:rsidP="00F90EAE">
      <w:pPr>
        <w:autoSpaceDE w:val="0"/>
        <w:autoSpaceDN w:val="0"/>
        <w:adjustRightInd w:val="0"/>
        <w:jc w:val="both"/>
        <w:rPr>
          <w:color w:val="000000" w:themeColor="text1"/>
          <w:sz w:val="16"/>
          <w:szCs w:val="16"/>
        </w:rPr>
      </w:pPr>
    </w:p>
    <w:p w14:paraId="666F9F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7622 О восстановлении паровозоремонтных, вагоноремонтных и машиностроительных заводов НКПС в 1945 году. РГАНИР, Фонд ГКО, д. 373, лл. 172-180, 181-186 (11012).</w:t>
      </w:r>
    </w:p>
    <w:p w14:paraId="635557F2" w14:textId="77777777" w:rsidR="00665165" w:rsidRPr="00F90EAE" w:rsidRDefault="00665165" w:rsidP="00F90EAE">
      <w:pPr>
        <w:autoSpaceDE w:val="0"/>
        <w:autoSpaceDN w:val="0"/>
        <w:adjustRightInd w:val="0"/>
        <w:jc w:val="both"/>
        <w:rPr>
          <w:color w:val="000000" w:themeColor="text1"/>
          <w:sz w:val="16"/>
          <w:szCs w:val="16"/>
        </w:rPr>
      </w:pPr>
    </w:p>
    <w:p w14:paraId="5C1BDD9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2 марта 1945 вышло Постановление ГКО № 7623 О производстве на заводах Наркомтяжмаша шахтных подъемных машин в 1945 г. для восстанавливаемых и строящихся шахт Наркомугля, Наркомчермета, Наркомцветмата и НКВД СССР. (7310, 187-197,198-209).</w:t>
      </w:r>
    </w:p>
    <w:p w14:paraId="3411D62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B519B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вышло Постановление ГКО № 7624 О плане производства гражданской продукции Уралмашзавода Наркомтанкопрома на I квартал 1945 года. РГАНИР, Фонд ГКО, д. 373, лл. 210-211, 212-217 (11012).</w:t>
      </w:r>
    </w:p>
    <w:p w14:paraId="74CBC321" w14:textId="77777777" w:rsidR="00665165" w:rsidRPr="00F90EAE" w:rsidRDefault="00665165" w:rsidP="00F90EAE">
      <w:pPr>
        <w:autoSpaceDE w:val="0"/>
        <w:autoSpaceDN w:val="0"/>
        <w:adjustRightInd w:val="0"/>
        <w:jc w:val="both"/>
        <w:rPr>
          <w:color w:val="000000" w:themeColor="text1"/>
          <w:sz w:val="16"/>
          <w:szCs w:val="16"/>
        </w:rPr>
      </w:pPr>
    </w:p>
    <w:p w14:paraId="4809B4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 марта 1945 года, М.Г.Первухин докладывал члену ГОКО СССР Г.М.Маленкову детали о нахождение военно-химического завода Германии крупного масштаба в полной сохранности. В письме сообщалось, в частности, об обнаружении цеха для промышленного выпуска табуна, опытного производства зарина, а также крупномасштабного цеха по снаряжению ФОВ в химические боеприпасы. Сообщалось, далее, что анализ проб, срочно выполненный в лаборатории АН СССР (академик А.Н.Несмеянов) и других лабораториях (НИХИ РККА, ГСНИИ-42 и ВХА им.К.Е.Ворошилова), подтвердил факт производства на заводе в Дихернфурте-на-Одере табуна - ФОВ, вызывающего поражение центральной нервной системы и действующего через органы дыхания и через незащищенную кожу. Впрочем, удивляться скорости анализа не приходится, поскольку табун и зарин уже были хорошо известны упомянутым советским организациям. В заключение письма от 2 марта 1945 года нарком М.Г.Первухин испрашивал у члена ГОКО СССР Г.М.Маленкова разрешение на транспортировку оборудования завода "Аноргана Верк ГМБХ" в Советский Союз с последующим восстановлением цехов в Сталинграде на химическом заводе No 91. Имелось в виду использование готовой строительной площадки, которая еще в 1937 года была подготовлена для сооружения снаряжательного завода. Это был тот редкий случай, когда времени даром не теряли.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376A51BA" w14:textId="77777777" w:rsidR="00665165" w:rsidRPr="00F90EAE" w:rsidRDefault="00665165" w:rsidP="00F90EAE">
      <w:pPr>
        <w:autoSpaceDE w:val="0"/>
        <w:autoSpaceDN w:val="0"/>
        <w:adjustRightInd w:val="0"/>
        <w:jc w:val="both"/>
        <w:rPr>
          <w:color w:val="000000" w:themeColor="text1"/>
          <w:sz w:val="16"/>
          <w:szCs w:val="16"/>
        </w:rPr>
      </w:pPr>
    </w:p>
    <w:p w14:paraId="04CE0EF6" w14:textId="77777777" w:rsidR="003751D3" w:rsidRPr="00F90EAE" w:rsidRDefault="003751D3" w:rsidP="00F90EAE">
      <w:pPr>
        <w:shd w:val="clear" w:color="auto" w:fill="FFFFFF"/>
        <w:jc w:val="both"/>
        <w:rPr>
          <w:color w:val="000000" w:themeColor="text1"/>
          <w:sz w:val="16"/>
          <w:szCs w:val="16"/>
        </w:rPr>
      </w:pPr>
      <w:r w:rsidRPr="00F90EAE">
        <w:rPr>
          <w:bCs/>
          <w:iCs/>
          <w:color w:val="000000" w:themeColor="text1"/>
          <w:sz w:val="16"/>
          <w:szCs w:val="16"/>
        </w:rPr>
        <w:t>2 марта 1945 г.</w:t>
      </w:r>
      <w:r w:rsidRPr="00F90EAE">
        <w:rPr>
          <w:color w:val="000000" w:themeColor="text1"/>
          <w:sz w:val="16"/>
          <w:szCs w:val="16"/>
        </w:rPr>
        <w:t xml:space="preserve"> Письмо наркома НКХП СССР М.Г.Первухина члену ГОКО СССР Г.М.Маленкову об обнаружении в полосе 1-го Украинского фронта на станции Дихернфурт-на-Одере военно-химического завода Германии крупного масштаба. Найдены цеха для промышленного выпуска фосфорорганического ОВ табуна, опытного выпуска зарина, а также снаряжения химических боеприпасов. Анализ проб в спецлаборатории АН СССР (академик А.Н.Несмеянов) и других лабораториях подтвердил факт выпуска на заводе табуна — ОВ, вызывающего поражение центральной нервной системы и действующего через органы дыхания и через незащищенную кожу. Испрошено разрешение на перевоз трофейного оборудования завода «Аноргана Верк ГМБХ» в Советский Союз с последующим восстановлением на химическом заводе № 91 (Сталинград) (17133).</w:t>
      </w:r>
    </w:p>
    <w:p w14:paraId="7020A44B" w14:textId="77777777" w:rsidR="003751D3" w:rsidRPr="00F90EAE" w:rsidRDefault="003751D3" w:rsidP="00F90EAE">
      <w:pPr>
        <w:shd w:val="clear" w:color="auto" w:fill="FFFFFF"/>
        <w:jc w:val="both"/>
        <w:rPr>
          <w:color w:val="000000" w:themeColor="text1"/>
          <w:sz w:val="16"/>
          <w:szCs w:val="16"/>
        </w:rPr>
      </w:pPr>
    </w:p>
    <w:p w14:paraId="2F4BC28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872F430" w14:textId="77777777" w:rsidR="00665165" w:rsidRPr="00F90EAE" w:rsidRDefault="00665165" w:rsidP="00F90EAE">
      <w:pPr>
        <w:autoSpaceDE w:val="0"/>
        <w:autoSpaceDN w:val="0"/>
        <w:adjustRightInd w:val="0"/>
        <w:jc w:val="both"/>
        <w:rPr>
          <w:iCs/>
          <w:color w:val="000000" w:themeColor="text1"/>
          <w:sz w:val="16"/>
          <w:szCs w:val="16"/>
        </w:rPr>
      </w:pPr>
    </w:p>
    <w:p w14:paraId="3D0E96ED" w14:textId="77777777" w:rsidR="003751D3" w:rsidRPr="00F90EAE" w:rsidRDefault="003751D3" w:rsidP="00F90EAE">
      <w:pPr>
        <w:jc w:val="both"/>
        <w:rPr>
          <w:color w:val="000000" w:themeColor="text1"/>
          <w:sz w:val="16"/>
          <w:szCs w:val="16"/>
        </w:rPr>
      </w:pPr>
      <w:r w:rsidRPr="00F90EAE">
        <w:rPr>
          <w:bCs/>
          <w:color w:val="000000" w:themeColor="text1"/>
          <w:sz w:val="16"/>
          <w:szCs w:val="16"/>
        </w:rPr>
        <w:t>2 марта</w:t>
      </w:r>
      <w:r w:rsidRPr="00F90EAE">
        <w:rPr>
          <w:color w:val="000000" w:themeColor="text1"/>
          <w:sz w:val="16"/>
          <w:szCs w:val="16"/>
        </w:rPr>
        <w:t xml:space="preserve"> в 1945 году оперативная сводка Совинформбюро:</w:t>
      </w:r>
    </w:p>
    <w:p w14:paraId="73C0D27E" w14:textId="77777777" w:rsidR="003751D3" w:rsidRPr="00F90EAE" w:rsidRDefault="003751D3" w:rsidP="00F90EAE">
      <w:pPr>
        <w:jc w:val="both"/>
        <w:rPr>
          <w:color w:val="000000" w:themeColor="text1"/>
          <w:sz w:val="16"/>
          <w:szCs w:val="16"/>
        </w:rPr>
      </w:pPr>
      <w:r w:rsidRPr="00F90EAE">
        <w:rPr>
          <w:color w:val="000000" w:themeColor="text1"/>
          <w:sz w:val="16"/>
          <w:szCs w:val="16"/>
        </w:rPr>
        <w:t>«В течение 2 марта юго-западнее Кенигсберга наши войска в результате наступательных боёв овладели населёнными пунктами Розен, Рентенгютер, Шенвальде, Шенау, Мертенсдорф и железнодорожной станцией Шенау.</w:t>
      </w:r>
    </w:p>
    <w:p w14:paraId="47582827" w14:textId="77777777" w:rsidR="003751D3" w:rsidRPr="00F90EAE" w:rsidRDefault="003751D3" w:rsidP="00F90EAE">
      <w:pPr>
        <w:jc w:val="both"/>
        <w:rPr>
          <w:color w:val="000000" w:themeColor="text1"/>
          <w:sz w:val="16"/>
          <w:szCs w:val="16"/>
        </w:rPr>
      </w:pPr>
      <w:r w:rsidRPr="00F90EAE">
        <w:rPr>
          <w:color w:val="000000" w:themeColor="text1"/>
          <w:sz w:val="16"/>
          <w:szCs w:val="16"/>
        </w:rPr>
        <w:t>В районе Грудзяндз (Грауденц) наши войска вели бои по уничтожению окружённого гарнизона противника, в ходе которых очистили от немцев южную половину города.</w:t>
      </w:r>
    </w:p>
    <w:p w14:paraId="1C094E17" w14:textId="77777777" w:rsidR="003751D3" w:rsidRPr="00F90EAE" w:rsidRDefault="003751D3" w:rsidP="00F90EAE">
      <w:pPr>
        <w:jc w:val="both"/>
        <w:rPr>
          <w:color w:val="000000" w:themeColor="text1"/>
          <w:sz w:val="16"/>
          <w:szCs w:val="16"/>
        </w:rPr>
      </w:pPr>
      <w:r w:rsidRPr="00F90EAE">
        <w:rPr>
          <w:color w:val="000000" w:themeColor="text1"/>
          <w:sz w:val="16"/>
          <w:szCs w:val="16"/>
        </w:rPr>
        <w:t>На территории Померании, северо-западнее и западнее города Нойштеттин, наши войска, продолжая наступление, с боями заняли более 30 населённых пунктов и среди них Гольдовк, Дуббертех, Клингбек, Перзанцих, Гиссольк, Иухов.</w:t>
      </w:r>
    </w:p>
    <w:p w14:paraId="2C058DBE" w14:textId="77777777" w:rsidR="003751D3" w:rsidRPr="00F90EAE" w:rsidRDefault="003751D3" w:rsidP="00F90EAE">
      <w:pPr>
        <w:jc w:val="both"/>
        <w:rPr>
          <w:color w:val="000000" w:themeColor="text1"/>
          <w:sz w:val="16"/>
          <w:szCs w:val="16"/>
        </w:rPr>
      </w:pPr>
      <w:r w:rsidRPr="00F90EAE">
        <w:rPr>
          <w:color w:val="000000" w:themeColor="text1"/>
          <w:sz w:val="16"/>
          <w:szCs w:val="16"/>
        </w:rPr>
        <w:t>В Бреслау продолжались бои по уничтожению окружённой группировки противника.</w:t>
      </w:r>
    </w:p>
    <w:p w14:paraId="6C1B6D24" w14:textId="77777777" w:rsidR="003751D3" w:rsidRPr="00F90EAE" w:rsidRDefault="003751D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7336E3FA" w14:textId="77777777" w:rsidR="003751D3" w:rsidRPr="00F90EAE" w:rsidRDefault="003751D3" w:rsidP="00F90EAE">
      <w:pPr>
        <w:jc w:val="both"/>
        <w:rPr>
          <w:color w:val="000000" w:themeColor="text1"/>
          <w:sz w:val="16"/>
          <w:szCs w:val="16"/>
        </w:rPr>
      </w:pPr>
      <w:r w:rsidRPr="00F90EAE">
        <w:rPr>
          <w:color w:val="000000" w:themeColor="text1"/>
          <w:sz w:val="16"/>
          <w:szCs w:val="16"/>
        </w:rPr>
        <w:t>За 1 марта на всех фронтах подбито и уничтожено 62 немецких танка. В воздушных боях и огнём зенитной артиллерии сбито 39 самолётов противника.</w:t>
      </w:r>
    </w:p>
    <w:p w14:paraId="1BD4EF39" w14:textId="77777777" w:rsidR="003751D3" w:rsidRPr="00F90EAE" w:rsidRDefault="003751D3" w:rsidP="00F90EAE">
      <w:pPr>
        <w:jc w:val="both"/>
        <w:rPr>
          <w:color w:val="000000" w:themeColor="text1"/>
          <w:sz w:val="16"/>
          <w:szCs w:val="16"/>
        </w:rPr>
      </w:pPr>
      <w:r w:rsidRPr="00F90EAE">
        <w:rPr>
          <w:color w:val="000000" w:themeColor="text1"/>
          <w:sz w:val="16"/>
          <w:szCs w:val="16"/>
        </w:rPr>
        <w:t>Юго-западнее города Кенигсберг наши войска вели бои по ликвидации Восточно-Прусской группировки противника. Крупные силы немцев, зажатые на небольшой территории, упорно сопротивляются. Не считаясь с потерями, противник бросает в контратаки пехотные части, усиленные танками и самоходными орудиями. В течение дня наши войска на различных участках отбили свыше шестидесяти контратак. Взламывая оборону противника, советские части обходят его опорные пункты, а затем уничтожают вражеские гарнизоны. Части Н-ского соединения в результате ожесточённого боя овладели сильно укреплённым селением Шенвальде. Другие наши части выбили немцев из населённого пункта и железнодорожной станции Шенау. Противник потерял только убитыми свыше 3 тысяч солдат и офицеров. Уничтожено 34 немецких танка, 45 полевых орудий, 7 бронетранспортёров и до 200 пулемётов. За последние два дня взято в плен более 800 немецких солдат и офицеров.</w:t>
      </w:r>
    </w:p>
    <w:p w14:paraId="52EA2BDB" w14:textId="77777777" w:rsidR="003751D3" w:rsidRPr="00F90EAE" w:rsidRDefault="003751D3" w:rsidP="00F90EAE">
      <w:pPr>
        <w:jc w:val="both"/>
        <w:rPr>
          <w:color w:val="000000" w:themeColor="text1"/>
          <w:sz w:val="16"/>
          <w:szCs w:val="16"/>
        </w:rPr>
      </w:pPr>
      <w:r w:rsidRPr="00F90EAE">
        <w:rPr>
          <w:color w:val="000000" w:themeColor="text1"/>
          <w:sz w:val="16"/>
          <w:szCs w:val="16"/>
        </w:rPr>
        <w:t>В Померании, северо-западнее и западнее города Нойштеттин, наши войска продолжали наступление. Преодолевая сопротивление противника, части Н-ского соединения с боями продвинулись вперёд на 10 километров. Занят населённый пункт Дуббертех, находящийся в 28 километрах к юго-востоку от города Кезлин. На другом участке наши танкисты и кавалеристы окружили и разгромили колонну немецкой пехоты. Захвачены трофеи и взято в плен 250 немцев.</w:t>
      </w:r>
    </w:p>
    <w:p w14:paraId="7CA15BB4" w14:textId="77777777" w:rsidR="003751D3" w:rsidRPr="00F90EAE" w:rsidRDefault="003751D3" w:rsidP="00F90EAE">
      <w:pPr>
        <w:jc w:val="both"/>
        <w:rPr>
          <w:color w:val="000000" w:themeColor="text1"/>
          <w:sz w:val="16"/>
          <w:szCs w:val="16"/>
        </w:rPr>
      </w:pPr>
      <w:r w:rsidRPr="00F90EAE">
        <w:rPr>
          <w:color w:val="000000" w:themeColor="text1"/>
          <w:sz w:val="16"/>
          <w:szCs w:val="16"/>
        </w:rPr>
        <w:t>В Бреслау наши войска продолжали вести бои по ликвидации окружённой в городе группировки противника. Немцы приспособили дома к круговой обороне, а на улицах и дворах установили тысячи мин. Советские сапёры, расчищая путь пехоте, не только обезвреживают мины, но и взрывают узлы сопротивления противника. Группа сапёров подобралась к большому зданию, в котором укрепились немцы. Сделав глубокий подкоп, наши бойцы взорвали дом.</w:t>
      </w:r>
    </w:p>
    <w:p w14:paraId="5547FEDA" w14:textId="77777777" w:rsidR="003751D3" w:rsidRPr="00F90EAE" w:rsidRDefault="003751D3" w:rsidP="00F90EAE">
      <w:pPr>
        <w:jc w:val="both"/>
        <w:rPr>
          <w:color w:val="000000" w:themeColor="text1"/>
          <w:sz w:val="16"/>
          <w:szCs w:val="16"/>
        </w:rPr>
      </w:pPr>
      <w:r w:rsidRPr="00F90EAE">
        <w:rPr>
          <w:color w:val="000000" w:themeColor="text1"/>
          <w:sz w:val="16"/>
          <w:szCs w:val="16"/>
        </w:rPr>
        <w:t>Гитлеровцы, засевшие в этом доме, погибли под развалинами здания. С боями продвигаясь вперёд, наши штурмовые отряды очистили от немцев несколько улиц. Уничтожено 1.200 гитлеровцев. Захвачены трофеи, среди которых 3 тысячи авиабомб и много боеприпасов. Нашим подразделениям сдалась в плен рота фольксштурма. Солдаты во главе со своим командиром пришли с поднятыми вверх руками в расположение советских войск.</w:t>
      </w:r>
    </w:p>
    <w:p w14:paraId="4608D1C7" w14:textId="77777777" w:rsidR="003751D3" w:rsidRPr="00F90EAE" w:rsidRDefault="003751D3" w:rsidP="00F90EAE">
      <w:pPr>
        <w:jc w:val="both"/>
        <w:rPr>
          <w:color w:val="000000" w:themeColor="text1"/>
          <w:sz w:val="16"/>
          <w:szCs w:val="16"/>
        </w:rPr>
      </w:pPr>
      <w:r w:rsidRPr="00F90EAE">
        <w:rPr>
          <w:color w:val="000000" w:themeColor="text1"/>
          <w:sz w:val="16"/>
          <w:szCs w:val="16"/>
        </w:rPr>
        <w:t>На одном участке младший лейтенант Лукашевский захватил немецкую пушку и открыл из неё огонь. Советский офицер уничтожил три пулемётных точки и большую группу немцев. Взвод младшего лейтенанта Гарипова в ожесточённой схватке истребил более 60 гитлеровцев. Стрелковый взвод сержанта Малюги в течение дня отбил три контратаки численно превосходящих сил противника. Гитлеровцы в беспорядке отступили. В этом бою сержант Малюга уничтожил 15 немецких солдат.</w:t>
      </w:r>
    </w:p>
    <w:p w14:paraId="5B649E4D" w14:textId="77777777" w:rsidR="003751D3" w:rsidRPr="00F90EAE" w:rsidRDefault="003751D3" w:rsidP="00F90EAE">
      <w:pPr>
        <w:jc w:val="both"/>
        <w:rPr>
          <w:color w:val="000000" w:themeColor="text1"/>
          <w:sz w:val="16"/>
          <w:szCs w:val="16"/>
        </w:rPr>
      </w:pPr>
      <w:r w:rsidRPr="00F90EAE">
        <w:rPr>
          <w:color w:val="000000" w:themeColor="text1"/>
          <w:sz w:val="16"/>
          <w:szCs w:val="16"/>
        </w:rPr>
        <w:t>Взятый в плен комендант города и крепости Познань немецкий генерал-майор Эрнст Маттерн рассказал: «Гитлер приказал нам любой ценой удержать город и крепость Познань. Два раза я по радио докладывал командующему группой армии «Висла» Гиммлеру, что положение гарнизона отчаянное. В обоих случаях он ответил, что город необходимо оборонять, невзирая ни на какие жертвы. 22-го февраля мы послали следующую радиограмму: «Держаться дальше невозможно. Русские бомбардировщики беспрерывно атакуют нас. Тяжёлая артиллерия, миномёты, пулемёты день и ночь обстреливают наши позиции. У нас громадные потери. Просим дать гарнизону приказ прорваться из города». Вечером того же дня был получен следующий ответ Гиммлера: «Приказываю держаться, не считаясь ни с чем. Прорываться бессмысленно. Об этом говорит печальный опыт Шнайдемюля. Шнайдемюльский гарнизон также пытался прорваться, но был уничтожен».</w:t>
      </w:r>
    </w:p>
    <w:p w14:paraId="3E19D61A" w14:textId="77777777" w:rsidR="003751D3" w:rsidRPr="00F90EAE" w:rsidRDefault="003751D3" w:rsidP="00F90EAE">
      <w:pPr>
        <w:jc w:val="both"/>
        <w:rPr>
          <w:color w:val="000000" w:themeColor="text1"/>
          <w:sz w:val="16"/>
          <w:szCs w:val="16"/>
        </w:rPr>
      </w:pPr>
      <w:r w:rsidRPr="00F90EAE">
        <w:rPr>
          <w:color w:val="000000" w:themeColor="text1"/>
          <w:sz w:val="16"/>
          <w:szCs w:val="16"/>
        </w:rPr>
        <w:t>Пленный начальник штаба комендатуры города и крепости Познань полковник Эрвин Детбарн заявил: «После телеграммы Гиммлера мы собрались на совещание для обсуждения создавшегося положения. В это время прибежал дежурный офицер и заявил, что русские прорвались в цитадель. Он сказал также, что солдаты и многие офицеры группами сдаются в плен. Стало ясно, что пришёл конец» (15056).</w:t>
      </w:r>
    </w:p>
    <w:p w14:paraId="00376D07" w14:textId="77777777" w:rsidR="003751D3" w:rsidRPr="00F90EAE" w:rsidRDefault="003751D3" w:rsidP="00F90EAE">
      <w:pPr>
        <w:jc w:val="both"/>
        <w:rPr>
          <w:color w:val="000000" w:themeColor="text1"/>
          <w:sz w:val="16"/>
          <w:szCs w:val="16"/>
        </w:rPr>
      </w:pPr>
    </w:p>
    <w:p w14:paraId="695E67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марта 1945 118 гшап достиг готовности, но получение недостающих самолетов за</w:t>
      </w:r>
      <w:r w:rsidRPr="00F90EAE">
        <w:rPr>
          <w:color w:val="000000" w:themeColor="text1"/>
          <w:sz w:val="16"/>
          <w:szCs w:val="16"/>
        </w:rPr>
        <w:softHyphen/>
        <w:t>тянулось до середины марта. В резуль</w:t>
      </w:r>
      <w:r w:rsidRPr="00F90EAE">
        <w:rPr>
          <w:color w:val="000000" w:themeColor="text1"/>
          <w:sz w:val="16"/>
          <w:szCs w:val="16"/>
        </w:rPr>
        <w:softHyphen/>
        <w:t>тате оба полка убыли на фронт одно-временно, двумя группами: 19 марта вылетели 42 экипажа 118-го гшап и 41 -из 571-го шап, а 20 марта - четыре из 118-го гшап (один на Ил-10 и три - поез</w:t>
      </w:r>
      <w:r w:rsidRPr="00F90EAE">
        <w:rPr>
          <w:color w:val="000000" w:themeColor="text1"/>
          <w:sz w:val="16"/>
          <w:szCs w:val="16"/>
        </w:rPr>
        <w:softHyphen/>
        <w:t>дом) и один экипаж 571-го шап (летом). В следующем месяце на фронт на</w:t>
      </w:r>
      <w:r w:rsidRPr="00F90EAE">
        <w:rPr>
          <w:color w:val="000000" w:themeColor="text1"/>
          <w:sz w:val="16"/>
          <w:szCs w:val="16"/>
        </w:rPr>
        <w:softHyphen/>
        <w:t>правили сразу семь полков на новых штурмовиках (7, 59, 75-й и 132-й гшап и 723, 899-й и 995-й шап) - в общей слож</w:t>
      </w:r>
      <w:r w:rsidRPr="00F90EAE">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F90EAE">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F90EAE">
        <w:rPr>
          <w:color w:val="000000" w:themeColor="text1"/>
          <w:sz w:val="16"/>
          <w:szCs w:val="16"/>
        </w:rPr>
        <w:softHyphen/>
        <w:t>кументам полки этого корпуса проходи</w:t>
      </w:r>
      <w:r w:rsidRPr="00F90EAE">
        <w:rPr>
          <w:color w:val="000000" w:themeColor="text1"/>
          <w:sz w:val="16"/>
          <w:szCs w:val="16"/>
        </w:rPr>
        <w:softHyphen/>
        <w:t>ли тренировку для участия в параде на Красной площади по случаю победы над Германией (10681).</w:t>
      </w:r>
    </w:p>
    <w:p w14:paraId="65AC0D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49EC86A" w14:textId="77777777" w:rsidR="00FC6CDA" w:rsidRPr="00F90EAE" w:rsidRDefault="00FC6CDA" w:rsidP="00F90EAE">
      <w:pPr>
        <w:jc w:val="both"/>
        <w:rPr>
          <w:color w:val="000000" w:themeColor="text1"/>
          <w:sz w:val="16"/>
          <w:szCs w:val="16"/>
        </w:rPr>
      </w:pPr>
      <w:r w:rsidRPr="00F90EAE">
        <w:rPr>
          <w:rStyle w:val="107"/>
          <w:rFonts w:eastAsiaTheme="minorHAnsi"/>
          <w:color w:val="000000" w:themeColor="text1"/>
          <w:sz w:val="16"/>
          <w:szCs w:val="16"/>
        </w:rPr>
        <w:t>2 марта 1945 Согласно Акту готовности к убытию на фронт следующим авиаполком, достигнувшим готовности на Ил-10, стал 118 гшап подполковника Верещинского. Полк полностью закончил программу переучивания на самолете Ил-10 в составе 44 экипажей. Полк получил из 12-го зап 9 летчиков пополнения, прошедших переучивание на Ил-10. Каждый летчик выполнил на самолете Ил-10 три полета по маршруту, по одному полету на бомбометание и стрельбу по наземной цели, 2-4 полета на групповую слетанность и два полета на применение РПК-10. Средний налет на Ил-10 составил 3 ч 35 мин.</w:t>
      </w:r>
    </w:p>
    <w:p w14:paraId="2A7B4E65" w14:textId="77777777" w:rsidR="00FC6CDA" w:rsidRPr="00F90EAE" w:rsidRDefault="00FC6CDA" w:rsidP="00F90EAE">
      <w:pPr>
        <w:jc w:val="both"/>
        <w:rPr>
          <w:color w:val="000000" w:themeColor="text1"/>
          <w:sz w:val="16"/>
          <w:szCs w:val="16"/>
        </w:rPr>
      </w:pPr>
      <w:r w:rsidRPr="00F90EAE">
        <w:rPr>
          <w:rStyle w:val="107"/>
          <w:rFonts w:eastAsiaTheme="minorHAnsi"/>
          <w:color w:val="000000" w:themeColor="text1"/>
          <w:sz w:val="16"/>
          <w:szCs w:val="16"/>
        </w:rPr>
        <w:t>Получение полками недостающих до полного штата самолетов затянулось до середины марта. В результате оба полка убыли на фронт одновременно двумя группами: 19 марта на Ил-10 вылетели 42 экипажа 118 гшап и 41 экипаж 571 шап, а 20 марта - четыре экипажа 118 гшап (один летом на Ил-10 и три - поездом) и один экипаж 571 шап летом на Ил-10 (17490).</w:t>
      </w:r>
    </w:p>
    <w:p w14:paraId="577B41E5" w14:textId="77777777" w:rsidR="00FC6CDA" w:rsidRPr="00F90EAE" w:rsidRDefault="00FC6CDA" w:rsidP="00F90EAE">
      <w:pPr>
        <w:jc w:val="both"/>
        <w:rPr>
          <w:color w:val="000000" w:themeColor="text1"/>
          <w:sz w:val="16"/>
          <w:szCs w:val="16"/>
        </w:rPr>
      </w:pPr>
    </w:p>
    <w:p w14:paraId="2E9BD9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марта 1945 Шуайбу в Иране прибыл Стирлинг, предназначавшийся для СССР. Закрасили английские знаки звездами и перегнали в Мебхарат под Тегераном. Потребовался ремонт, который шел до 30 апреля 1945 (4835,26).</w:t>
      </w:r>
    </w:p>
    <w:p w14:paraId="2BFEEDEE" w14:textId="77777777" w:rsidR="00665165" w:rsidRPr="00F90EAE" w:rsidRDefault="00665165" w:rsidP="00F90EAE">
      <w:pPr>
        <w:autoSpaceDE w:val="0"/>
        <w:autoSpaceDN w:val="0"/>
        <w:adjustRightInd w:val="0"/>
        <w:jc w:val="both"/>
        <w:rPr>
          <w:color w:val="000000" w:themeColor="text1"/>
          <w:sz w:val="16"/>
          <w:szCs w:val="16"/>
        </w:rPr>
      </w:pPr>
    </w:p>
    <w:p w14:paraId="6DFA8B3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FBCA3D0" w14:textId="77777777" w:rsidR="00665165" w:rsidRPr="00F90EAE" w:rsidRDefault="00665165" w:rsidP="00F90EAE">
      <w:pPr>
        <w:autoSpaceDE w:val="0"/>
        <w:autoSpaceDN w:val="0"/>
        <w:adjustRightInd w:val="0"/>
        <w:jc w:val="both"/>
        <w:rPr>
          <w:iCs/>
          <w:color w:val="000000" w:themeColor="text1"/>
          <w:sz w:val="16"/>
          <w:szCs w:val="16"/>
        </w:rPr>
      </w:pPr>
    </w:p>
    <w:p w14:paraId="42E537C2" w14:textId="77777777" w:rsidR="003751D3" w:rsidRPr="00F90EAE" w:rsidRDefault="003751D3" w:rsidP="00F90EAE">
      <w:pPr>
        <w:jc w:val="both"/>
        <w:rPr>
          <w:color w:val="000000" w:themeColor="text1"/>
          <w:sz w:val="16"/>
          <w:szCs w:val="16"/>
        </w:rPr>
      </w:pPr>
      <w:r w:rsidRPr="00F90EAE">
        <w:rPr>
          <w:bCs/>
          <w:color w:val="000000" w:themeColor="text1"/>
          <w:sz w:val="16"/>
          <w:szCs w:val="16"/>
        </w:rPr>
        <w:t>2 марта</w:t>
      </w:r>
      <w:r w:rsidRPr="00F90EAE">
        <w:rPr>
          <w:color w:val="000000" w:themeColor="text1"/>
          <w:sz w:val="16"/>
          <w:szCs w:val="16"/>
        </w:rPr>
        <w:t xml:space="preserve"> в 1945 году совершил первый полет прототип испанского истребителя </w:t>
      </w:r>
      <w:hyperlink r:id="rId57" w:tgtFrame="_blank" w:history="1">
        <w:r w:rsidRPr="00F90EAE">
          <w:rPr>
            <w:color w:val="000000" w:themeColor="text1"/>
            <w:sz w:val="16"/>
            <w:szCs w:val="16"/>
          </w:rPr>
          <w:t xml:space="preserve">«HA-1109/1112» «Buchon». </w:t>
        </w:r>
      </w:hyperlink>
    </w:p>
    <w:p w14:paraId="6E98D51B" w14:textId="77777777" w:rsidR="003751D3" w:rsidRPr="00F90EAE" w:rsidRDefault="003751D3" w:rsidP="00F90EAE">
      <w:pPr>
        <w:jc w:val="both"/>
        <w:rPr>
          <w:color w:val="000000" w:themeColor="text1"/>
          <w:sz w:val="16"/>
          <w:szCs w:val="16"/>
        </w:rPr>
      </w:pPr>
    </w:p>
    <w:p w14:paraId="0FA7DEBC" w14:textId="77777777" w:rsidR="001A5F95" w:rsidRPr="00F90EAE" w:rsidRDefault="001A5F95" w:rsidP="00F90EAE">
      <w:pPr>
        <w:jc w:val="both"/>
        <w:rPr>
          <w:color w:val="0070C0"/>
          <w:sz w:val="16"/>
          <w:szCs w:val="16"/>
        </w:rPr>
      </w:pPr>
      <w:r w:rsidRPr="00F90EAE">
        <w:rPr>
          <w:color w:val="0070C0"/>
          <w:sz w:val="16"/>
          <w:szCs w:val="16"/>
        </w:rPr>
        <w:t>2 марта 1945 первый полет Hispano Aviación HA-1109 -J1L (20371).</w:t>
      </w:r>
    </w:p>
    <w:p w14:paraId="361889F8" w14:textId="77777777" w:rsidR="001A5F95" w:rsidRPr="00F90EAE" w:rsidRDefault="001A5F95" w:rsidP="00F90EAE">
      <w:pPr>
        <w:jc w:val="both"/>
        <w:rPr>
          <w:color w:val="0070C0"/>
          <w:sz w:val="16"/>
          <w:szCs w:val="16"/>
        </w:rPr>
      </w:pPr>
    </w:p>
    <w:p w14:paraId="6671C75B" w14:textId="77777777" w:rsidR="001A5F95" w:rsidRPr="00F90EAE" w:rsidRDefault="001A5F95" w:rsidP="00F90EAE">
      <w:pPr>
        <w:jc w:val="both"/>
        <w:rPr>
          <w:color w:val="0070C0"/>
          <w:sz w:val="16"/>
          <w:szCs w:val="16"/>
        </w:rPr>
      </w:pPr>
      <w:r w:rsidRPr="00F90EAE">
        <w:rPr>
          <w:color w:val="0070C0"/>
          <w:sz w:val="16"/>
          <w:szCs w:val="16"/>
        </w:rPr>
        <w:t>2 марта 1945 - Совершил первый полет прототип испанского истребителя HA-1109/1112 Buchon - лицензионный немецкий Bf.109G, оснащенный испанским двигателем "Испано-Сюиза" 122-89, впоследствии на серийные машины ставились Роллс-Ройс "Мерлин" 500-45 (22581).</w:t>
      </w:r>
    </w:p>
    <w:p w14:paraId="35F9ED36" w14:textId="77777777" w:rsidR="001A5F95" w:rsidRPr="00F90EAE" w:rsidRDefault="001A5F95" w:rsidP="00F90EAE">
      <w:pPr>
        <w:jc w:val="both"/>
        <w:rPr>
          <w:color w:val="0070C0"/>
          <w:sz w:val="16"/>
          <w:szCs w:val="16"/>
        </w:rPr>
      </w:pPr>
    </w:p>
    <w:p w14:paraId="500E13D2" w14:textId="77777777" w:rsidR="001A5F95" w:rsidRPr="00F90EAE" w:rsidRDefault="001A5F95" w:rsidP="00F90EAE">
      <w:pPr>
        <w:jc w:val="both"/>
        <w:rPr>
          <w:color w:val="0070C0"/>
          <w:sz w:val="16"/>
          <w:szCs w:val="16"/>
        </w:rPr>
      </w:pPr>
      <w:r w:rsidRPr="00F90EAE">
        <w:rPr>
          <w:color w:val="0070C0"/>
          <w:sz w:val="16"/>
          <w:szCs w:val="16"/>
        </w:rPr>
        <w:t>2 марта 1945 немецкие войска впервые применяют зенитную ракетную систему Henschel Hs 297, обстреливая истребители-бомбардировщики союзников в окрестностях Ремагена, Германия (20371).</w:t>
      </w:r>
    </w:p>
    <w:p w14:paraId="471B4C03" w14:textId="77777777" w:rsidR="001A5F95" w:rsidRPr="00F90EAE" w:rsidRDefault="001A5F95" w:rsidP="00F90EAE">
      <w:pPr>
        <w:jc w:val="both"/>
        <w:rPr>
          <w:color w:val="0070C0"/>
          <w:sz w:val="16"/>
          <w:szCs w:val="16"/>
        </w:rPr>
      </w:pPr>
    </w:p>
    <w:p w14:paraId="78345F8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2nd, 1945: Armored spearheads of the US Ninth Army reach the Rhine near Neuss. The US Third Army (Patton) captures Trier on the Moselle river. The RAF launches a heavy attack (300 bombers) against Mannheim, causing a devastating firestorm (3819).</w:t>
      </w:r>
    </w:p>
    <w:p w14:paraId="0C41751E" w14:textId="77777777" w:rsidR="00665165" w:rsidRPr="00F90EAE" w:rsidRDefault="00665165" w:rsidP="00F90EAE">
      <w:pPr>
        <w:autoSpaceDE w:val="0"/>
        <w:autoSpaceDN w:val="0"/>
        <w:adjustRightInd w:val="0"/>
        <w:jc w:val="both"/>
        <w:rPr>
          <w:color w:val="000000" w:themeColor="text1"/>
          <w:sz w:val="16"/>
          <w:szCs w:val="16"/>
          <w:lang w:val="en-US"/>
        </w:rPr>
      </w:pPr>
    </w:p>
    <w:p w14:paraId="4636C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передовые части 9А США достигла Рейна у Неуса. 3А США (Паттон) заняла Триер на р. Мозель. Королевские ВВС силами 300 б атаковали Менхейн, вызвав огненный шторм (3819).</w:t>
      </w:r>
    </w:p>
    <w:p w14:paraId="3E7799EC" w14:textId="77777777" w:rsidR="00665165" w:rsidRPr="00F90EAE" w:rsidRDefault="00665165" w:rsidP="00F90EAE">
      <w:pPr>
        <w:autoSpaceDE w:val="0"/>
        <w:autoSpaceDN w:val="0"/>
        <w:adjustRightInd w:val="0"/>
        <w:jc w:val="both"/>
        <w:rPr>
          <w:color w:val="000000" w:themeColor="text1"/>
          <w:sz w:val="16"/>
          <w:szCs w:val="16"/>
        </w:rPr>
      </w:pPr>
    </w:p>
    <w:p w14:paraId="0D58CED3" w14:textId="77777777" w:rsidR="003751D3" w:rsidRPr="00F90EAE" w:rsidRDefault="003751D3" w:rsidP="00F90EAE">
      <w:pPr>
        <w:jc w:val="both"/>
        <w:rPr>
          <w:color w:val="000000" w:themeColor="text1"/>
          <w:sz w:val="16"/>
          <w:szCs w:val="16"/>
        </w:rPr>
      </w:pPr>
      <w:r w:rsidRPr="00F90EAE">
        <w:rPr>
          <w:bCs/>
          <w:color w:val="000000" w:themeColor="text1"/>
          <w:sz w:val="16"/>
          <w:szCs w:val="16"/>
        </w:rPr>
        <w:t>2 марта</w:t>
      </w:r>
      <w:r w:rsidRPr="00F90EAE">
        <w:rPr>
          <w:color w:val="000000" w:themeColor="text1"/>
          <w:sz w:val="16"/>
          <w:szCs w:val="16"/>
        </w:rPr>
        <w:t xml:space="preserve"> в 1945 году выход американских войск к реке Рейн в районах городов Нёйс и Крефельд (15056).</w:t>
      </w:r>
    </w:p>
    <w:p w14:paraId="23033132" w14:textId="77777777" w:rsidR="003751D3" w:rsidRPr="00F90EAE" w:rsidRDefault="003751D3" w:rsidP="00F90EAE">
      <w:pPr>
        <w:jc w:val="both"/>
        <w:rPr>
          <w:color w:val="000000" w:themeColor="text1"/>
          <w:sz w:val="16"/>
          <w:szCs w:val="16"/>
        </w:rPr>
      </w:pPr>
    </w:p>
    <w:p w14:paraId="4C831C03" w14:textId="77777777" w:rsidR="003751D3" w:rsidRPr="00F90EAE" w:rsidRDefault="003751D3" w:rsidP="00F90EAE">
      <w:pPr>
        <w:jc w:val="both"/>
        <w:rPr>
          <w:color w:val="000000" w:themeColor="text1"/>
          <w:sz w:val="16"/>
          <w:szCs w:val="16"/>
        </w:rPr>
      </w:pPr>
      <w:r w:rsidRPr="00F90EAE">
        <w:rPr>
          <w:bCs/>
          <w:color w:val="000000" w:themeColor="text1"/>
          <w:sz w:val="16"/>
          <w:szCs w:val="16"/>
        </w:rPr>
        <w:t>2 марта</w:t>
      </w:r>
      <w:r w:rsidRPr="00F90EAE">
        <w:rPr>
          <w:color w:val="000000" w:themeColor="text1"/>
          <w:sz w:val="16"/>
          <w:szCs w:val="16"/>
        </w:rPr>
        <w:t xml:space="preserve"> в 1945 году на заседании английского парламента обсуждалась резолюция о недоверии правительству Черчилля в связи с подписанными им на Ялтинской конференции соглашениями о будущем Европы. Некоторые депутаты даже заявили о том, что «Черчилль уготовил Англии политический Дюнкерк». 403 депутата проголосовали в поддержку Черчилля, но при этом 200 депутатов воздержались (15056).</w:t>
      </w:r>
    </w:p>
    <w:p w14:paraId="5CD6788E" w14:textId="77777777" w:rsidR="003751D3" w:rsidRPr="00F90EAE" w:rsidRDefault="003751D3" w:rsidP="00F90EAE">
      <w:pPr>
        <w:jc w:val="both"/>
        <w:rPr>
          <w:color w:val="000000" w:themeColor="text1"/>
          <w:sz w:val="16"/>
          <w:szCs w:val="16"/>
        </w:rPr>
      </w:pPr>
    </w:p>
    <w:p w14:paraId="2ADBB4C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 1945 Tito sets up Communist government in Romania (1050).</w:t>
      </w:r>
    </w:p>
    <w:p w14:paraId="49B3244A" w14:textId="77777777" w:rsidR="00665165" w:rsidRPr="00F90EAE" w:rsidRDefault="00665165" w:rsidP="00F90EAE">
      <w:pPr>
        <w:autoSpaceDE w:val="0"/>
        <w:autoSpaceDN w:val="0"/>
        <w:adjustRightInd w:val="0"/>
        <w:jc w:val="both"/>
        <w:rPr>
          <w:color w:val="000000" w:themeColor="text1"/>
          <w:sz w:val="16"/>
          <w:szCs w:val="16"/>
          <w:lang w:val="en-US"/>
        </w:rPr>
      </w:pPr>
    </w:p>
    <w:p w14:paraId="7883F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марта 1945 И.Б.Тито основал коммунистическое правительство в Румынии (1050) и премьер-министром стал Петру Гроза (3907,255).</w:t>
      </w:r>
    </w:p>
    <w:p w14:paraId="79B09628" w14:textId="77777777" w:rsidR="00665165" w:rsidRPr="00F90EAE" w:rsidRDefault="00665165" w:rsidP="00F90EAE">
      <w:pPr>
        <w:autoSpaceDE w:val="0"/>
        <w:autoSpaceDN w:val="0"/>
        <w:adjustRightInd w:val="0"/>
        <w:jc w:val="both"/>
        <w:rPr>
          <w:color w:val="000000" w:themeColor="text1"/>
          <w:sz w:val="16"/>
          <w:szCs w:val="16"/>
        </w:rPr>
      </w:pPr>
    </w:p>
    <w:p w14:paraId="067D62F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34A3689" w14:textId="77777777" w:rsidR="00665165" w:rsidRPr="00F90EAE" w:rsidRDefault="00665165" w:rsidP="00F90EAE">
      <w:pPr>
        <w:autoSpaceDE w:val="0"/>
        <w:autoSpaceDN w:val="0"/>
        <w:adjustRightInd w:val="0"/>
        <w:jc w:val="both"/>
        <w:rPr>
          <w:iCs/>
          <w:color w:val="000000" w:themeColor="text1"/>
          <w:sz w:val="16"/>
          <w:szCs w:val="16"/>
        </w:rPr>
      </w:pPr>
    </w:p>
    <w:p w14:paraId="211ADD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марта 1945 года заместитель главного конструк</w:t>
      </w:r>
      <w:r w:rsidRPr="00F90EAE">
        <w:rPr>
          <w:color w:val="000000" w:themeColor="text1"/>
          <w:sz w:val="16"/>
          <w:szCs w:val="16"/>
        </w:rPr>
        <w:softHyphen/>
        <w:t>тора Нуров в докладе заместителю наркома авиацион</w:t>
      </w:r>
      <w:r w:rsidRPr="00F90EAE">
        <w:rPr>
          <w:color w:val="000000" w:themeColor="text1"/>
          <w:sz w:val="16"/>
          <w:szCs w:val="16"/>
        </w:rPr>
        <w:softHyphen/>
        <w:t>ной промышленности А.С. Яковлеву сообщал, в част</w:t>
      </w:r>
      <w:r w:rsidRPr="00F90EAE">
        <w:rPr>
          <w:color w:val="000000" w:themeColor="text1"/>
          <w:sz w:val="16"/>
          <w:szCs w:val="16"/>
        </w:rPr>
        <w:softHyphen/>
        <w:t>ности: «В настоящее время на самолете (Пе-2И) закончены все производственные работы по модификации, и машина подготовлена к проведению наземных и летных испыта</w:t>
      </w:r>
      <w:r w:rsidRPr="00F90EAE">
        <w:rPr>
          <w:color w:val="000000" w:themeColor="text1"/>
          <w:sz w:val="16"/>
          <w:szCs w:val="16"/>
        </w:rPr>
        <w:softHyphen/>
        <w:t>ний.</w:t>
      </w:r>
    </w:p>
    <w:p w14:paraId="1EC22F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Докладывая об изложенном, прошу Вашего разреше</w:t>
      </w:r>
      <w:r w:rsidRPr="00F90EAE">
        <w:rPr>
          <w:color w:val="000000" w:themeColor="text1"/>
          <w:sz w:val="16"/>
          <w:szCs w:val="16"/>
        </w:rPr>
        <w:softHyphen/>
        <w:t>ния на проведение заводских испытаний по утвержденной программе на Центральном аэродроме имени Фрунзе...» (11446).</w:t>
      </w:r>
    </w:p>
    <w:p w14:paraId="1AA1B1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8216E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л-и А.П.Деев поднял в воздух И-250 А.И.Микояна (197,31) и программа испытаний продолжалась до мая 1945. Была построена малая серия и проведены войсковые испытания в ВВС Северного и Балтийского флотов до 1950 (5,253). Строили на 381 заводе (1084,52). ВРД был К.В.Холщевникова (2408).</w:t>
      </w:r>
    </w:p>
    <w:p w14:paraId="459D0461" w14:textId="77777777" w:rsidR="00665165" w:rsidRPr="00F90EAE" w:rsidRDefault="00665165" w:rsidP="00F90EAE">
      <w:pPr>
        <w:autoSpaceDE w:val="0"/>
        <w:autoSpaceDN w:val="0"/>
        <w:adjustRightInd w:val="0"/>
        <w:jc w:val="both"/>
        <w:rPr>
          <w:color w:val="000000" w:themeColor="text1"/>
          <w:sz w:val="16"/>
          <w:szCs w:val="16"/>
        </w:rPr>
      </w:pPr>
    </w:p>
    <w:p w14:paraId="33BDCF7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г. совершил первый полет самолета с мотокомпрессорной силовой установкой И-250 (МиГ-13) (6395).</w:t>
      </w:r>
    </w:p>
    <w:p w14:paraId="13CBB9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989FEBC" w14:textId="77777777" w:rsidR="003751D3" w:rsidRPr="00F90EAE" w:rsidRDefault="003751D3" w:rsidP="00F90EAE">
      <w:pPr>
        <w:jc w:val="both"/>
        <w:rPr>
          <w:color w:val="000000" w:themeColor="text1"/>
          <w:sz w:val="16"/>
          <w:szCs w:val="16"/>
        </w:rPr>
      </w:pPr>
      <w:r w:rsidRPr="00F90EAE">
        <w:rPr>
          <w:bCs/>
          <w:color w:val="000000" w:themeColor="text1"/>
          <w:sz w:val="16"/>
          <w:szCs w:val="16"/>
        </w:rPr>
        <w:t>3 марта</w:t>
      </w:r>
      <w:r w:rsidRPr="00F90EAE">
        <w:rPr>
          <w:color w:val="000000" w:themeColor="text1"/>
          <w:sz w:val="16"/>
          <w:szCs w:val="16"/>
        </w:rPr>
        <w:t xml:space="preserve"> в 1945 году состоялся первый полет экспериментального истребителя с комбинированной силовой установкой «И-250» («МиГ-13») конструкции ОКБ А.И.Микояна, лётчик-испытатель А.П.Деев. Комбинированная силовая установка «И-250» состояла из двигателя «ВК-107А» мощностью 1650 л. с. и ускорителя ВРДК, созданного в ЦИАМ К.В. Холщевниковым. Вооружение состояло из трех 20 мм пушек «Б-20» (боезапас по 100 патронов) (15057).</w:t>
      </w:r>
    </w:p>
    <w:p w14:paraId="0DFE1A50" w14:textId="77777777" w:rsidR="003751D3" w:rsidRPr="00F90EAE" w:rsidRDefault="003751D3" w:rsidP="00F90EAE">
      <w:pPr>
        <w:jc w:val="both"/>
        <w:rPr>
          <w:color w:val="000000" w:themeColor="text1"/>
          <w:sz w:val="16"/>
          <w:szCs w:val="16"/>
        </w:rPr>
      </w:pPr>
    </w:p>
    <w:p w14:paraId="684422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С.П.К. участвовал в работе комиссии по определению причин аварии 12 мая 1945 г. двигателя РД-1 на самолете "Ла-7Р" № 02 (Там же, № 123) (10676).</w:t>
      </w:r>
    </w:p>
    <w:p w14:paraId="18E81A11" w14:textId="77777777" w:rsidR="00665165" w:rsidRPr="00F90EAE" w:rsidRDefault="00665165" w:rsidP="00F90EAE">
      <w:pPr>
        <w:autoSpaceDE w:val="0"/>
        <w:autoSpaceDN w:val="0"/>
        <w:adjustRightInd w:val="0"/>
        <w:jc w:val="both"/>
        <w:rPr>
          <w:color w:val="000000" w:themeColor="text1"/>
          <w:sz w:val="16"/>
          <w:szCs w:val="16"/>
        </w:rPr>
      </w:pPr>
    </w:p>
    <w:p w14:paraId="1B3CB9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С.П.К наметил подготовку двух статей: "Опыт применения жидкостного ракетного двигателя для полета человека (РП-1)" и "Опыт установки вспомогательного жидкостного реактивного двигателя на винтомоторном самолете (РУ-1)". Для первой статьи был подготовлен подробный план, сделаны выписки из технических отчетов и написан предварительный вариант (Там же, № 138, л. 1-117) (10676).</w:t>
      </w:r>
    </w:p>
    <w:p w14:paraId="03A317E5" w14:textId="77777777" w:rsidR="00665165" w:rsidRPr="00F90EAE" w:rsidRDefault="00665165" w:rsidP="00F90EAE">
      <w:pPr>
        <w:autoSpaceDE w:val="0"/>
        <w:autoSpaceDN w:val="0"/>
        <w:adjustRightInd w:val="0"/>
        <w:jc w:val="both"/>
        <w:rPr>
          <w:color w:val="000000" w:themeColor="text1"/>
          <w:sz w:val="16"/>
          <w:szCs w:val="16"/>
        </w:rPr>
      </w:pPr>
    </w:p>
    <w:p w14:paraId="22D85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7642 Об изготовлении опытной партии металлизированной бумаги для Военно-воздушных сил Красной Армии. РГАНИР, Фонд ГКО, д. 376, лл. 147-148, 149-151 (11012).</w:t>
      </w:r>
    </w:p>
    <w:p w14:paraId="60CCC0F3" w14:textId="77777777" w:rsidR="00665165" w:rsidRPr="00F90EAE" w:rsidRDefault="00665165" w:rsidP="00F90EAE">
      <w:pPr>
        <w:autoSpaceDE w:val="0"/>
        <w:autoSpaceDN w:val="0"/>
        <w:adjustRightInd w:val="0"/>
        <w:jc w:val="both"/>
        <w:rPr>
          <w:color w:val="000000" w:themeColor="text1"/>
          <w:sz w:val="16"/>
          <w:szCs w:val="16"/>
        </w:rPr>
      </w:pPr>
    </w:p>
    <w:p w14:paraId="2A13076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7103EE1" w14:textId="77777777" w:rsidR="00665165" w:rsidRPr="00F90EAE" w:rsidRDefault="00665165" w:rsidP="00F90EAE">
      <w:pPr>
        <w:autoSpaceDE w:val="0"/>
        <w:autoSpaceDN w:val="0"/>
        <w:adjustRightInd w:val="0"/>
        <w:jc w:val="both"/>
        <w:rPr>
          <w:iCs/>
          <w:color w:val="000000" w:themeColor="text1"/>
          <w:sz w:val="16"/>
          <w:szCs w:val="16"/>
        </w:rPr>
      </w:pPr>
    </w:p>
    <w:p w14:paraId="0549219F" w14:textId="77777777" w:rsidR="00193FD5" w:rsidRPr="00F90EAE" w:rsidRDefault="00193FD5" w:rsidP="00F90EAE">
      <w:pPr>
        <w:jc w:val="both"/>
        <w:rPr>
          <w:color w:val="000000" w:themeColor="text1"/>
          <w:sz w:val="16"/>
          <w:szCs w:val="16"/>
        </w:rPr>
      </w:pPr>
      <w:r w:rsidRPr="00F90EAE">
        <w:rPr>
          <w:color w:val="000000" w:themeColor="text1"/>
          <w:sz w:val="16"/>
          <w:szCs w:val="16"/>
        </w:rPr>
        <w:t>3 марта 1945 на ЧКЗ прошло техническое совещание, где обсуждалась установка МЛ-20см в «Кировец-2». Было решено поставить бронировку системы улучшенной формы и утолщённой до 100-150 мм. Вместо панорамного прицела 52-ЦМ-504А решили ставить панораму от 76-мм полковой пушки образца 1943 года как более простую и компактную. Менялся и телескопический прицел: вместо громоздкого СТ-10 решили ставить более компактный и удобный ТШ-17. Помимо этого, «Кировец-2» становился первой советской тяжёлой САУ, имевшей спаренный пулемёт. Было решено сделать установку спаренного с орудием крупнокалиберного пулемёта ДШКМ, ставили его справа от орудия. Наконец, изменялся поворотный механизм орудия.</w:t>
      </w:r>
    </w:p>
    <w:p w14:paraId="619B891B" w14:textId="77777777" w:rsidR="00193FD5" w:rsidRPr="00F90EAE" w:rsidRDefault="00193FD5" w:rsidP="00F90EAE">
      <w:pPr>
        <w:jc w:val="both"/>
        <w:rPr>
          <w:color w:val="000000" w:themeColor="text1"/>
          <w:sz w:val="16"/>
          <w:szCs w:val="16"/>
        </w:rPr>
      </w:pPr>
      <w:r w:rsidRPr="00F90EAE">
        <w:rPr>
          <w:color w:val="000000" w:themeColor="text1"/>
          <w:sz w:val="16"/>
          <w:szCs w:val="16"/>
        </w:rPr>
        <w:t>Тонкость момента заключалась в том, что переделывать планировалось серийную МЛ-20см. Об этом договорились на Кировском заводе и заводе №172, но у руководства ГАУ КА имелось своё мнение по этому поводу. Между ГАУ, ГБТУ КА и НКВ развернулась переписка, которая растянулась на несколько месяцев. В результате было потеряно время, на «Кировец-2» орудие установили только в середине июня 1945 года, при этом само шасси было готово ещё весной. Несмотря на то что основой для САУ являлся «Кировец-1», полной его копией шасси «Кировца-2» называть некорректно. Отличалась конструкция надмоторной плиты, а выхлопные патрубки сделали по типу Объекта 701.</w:t>
      </w:r>
    </w:p>
    <w:p w14:paraId="26E7C16D" w14:textId="77777777" w:rsidR="00193FD5" w:rsidRPr="00F90EAE" w:rsidRDefault="00193FD5" w:rsidP="00F90EAE">
      <w:pPr>
        <w:jc w:val="both"/>
        <w:rPr>
          <w:color w:val="000000" w:themeColor="text1"/>
          <w:sz w:val="16"/>
          <w:szCs w:val="16"/>
        </w:rPr>
      </w:pPr>
      <w:r w:rsidRPr="00F90EAE">
        <w:rPr>
          <w:color w:val="000000" w:themeColor="text1"/>
          <w:sz w:val="16"/>
          <w:szCs w:val="16"/>
        </w:rPr>
        <w:t>Самым важным изменением стало боевое отделение. Главной задачей при его проектировании являлось доведение защиты до уровня ИС-3, с чем конструкторы успешно справились. Толщина лба рубки достигла 120 мм, в результате обеспечивалась надёжная защита от 88-мм пушки Pak 43 L/71. Толщина бортов рубки достигала 90 мм, при этом листы расположили под рациональными углами наклона. Существенно усилили и бронировку системы. Толщина подвижной бронировки выросла до 160 мм, то есть стала почти втрое толще бронировки МЛ-20с.</w:t>
      </w:r>
    </w:p>
    <w:p w14:paraId="23F44CAA" w14:textId="77777777" w:rsidR="00193FD5" w:rsidRPr="00F90EAE" w:rsidRDefault="00193FD5" w:rsidP="00F90EAE">
      <w:pPr>
        <w:jc w:val="both"/>
        <w:rPr>
          <w:color w:val="000000" w:themeColor="text1"/>
          <w:sz w:val="16"/>
          <w:szCs w:val="16"/>
        </w:rPr>
      </w:pPr>
      <w:r w:rsidRPr="00F90EAE">
        <w:rPr>
          <w:color w:val="000000" w:themeColor="text1"/>
          <w:sz w:val="16"/>
          <w:szCs w:val="16"/>
        </w:rPr>
        <w:t>Отличалась не только форма рубки, но и её общая концепция. Прежде всего, механик-водитель теперь размещался так, что не имел смотровых приборов в лобовом листе рубки. Его рабочее место вынесли максимально вверх, благодаря чему в походном положении он ехал, высунувшись из люка на крыше, — это существенно повысило обзорность. В боевом положении механик-водитель пользовался перископическим прибором в люке, имевшим круговое вращение. Такой же люк имел и командир. Всего же число люков на крыше рубке выросло до пяти, из них один предназначался для панорамного прицела орудия. За счёт расширения бортовых листов рубки боевое отделение стало немного просторнее, при этом общая высота машины по сравнению с ИСУ-152 стала ниже на 5 см. Несмотря на существенный рост уровня защиты, боевая масса увеличилась не столь значительно, достигнув 47-48 т (18636).</w:t>
      </w:r>
    </w:p>
    <w:p w14:paraId="6E2DD5F8" w14:textId="77777777" w:rsidR="00193FD5" w:rsidRPr="00F90EAE" w:rsidRDefault="00193FD5" w:rsidP="00F90EAE">
      <w:pPr>
        <w:jc w:val="both"/>
        <w:rPr>
          <w:color w:val="000000" w:themeColor="text1"/>
          <w:sz w:val="16"/>
          <w:szCs w:val="16"/>
        </w:rPr>
      </w:pPr>
    </w:p>
    <w:p w14:paraId="6F767E7B"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3 марта 1945 года был издан приказ №178 по заводу №75. В нём резко подвергалась критике работа в цехах, а также прозвучало требование обеспечить их нормальную работу. Танки снова стали сдавать в самом конце месяца, но хотя бы не все скопом утром 1 апреля. Уже 30 марта завод сдал 40 танков, а остальные на следующий день. Ещё лучше ситуация стала складываться в апреле. По плану на 2-й квартал 1945 года в апреле сдавалось 65 танков, в мае – 75, а в июне – 85. К 10 апреля завод №75 сдал уже 10 танков, к 20 апреля их число выросло до 18, а на 29-е завод сдал 37 машин, то есть больше половины. Таким образом, уже к 1 мая требовалось сдать 28 машин, что завод и сделал. Качество машин было всё ещё низким, но военная приёмка уже наблюдала некоторое снижение количества дефектов.</w:t>
      </w:r>
    </w:p>
    <w:p w14:paraId="2FDF2A66"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lastRenderedPageBreak/>
        <w:t>Существенным тормозом сдачи апрельских машин являлись проблемы с торсионными валами. Приёмка отмечала, что завод смог сделать задел для дальнейшего выполнения майской программы. Уже в мае военная приёмка не ставила столь резко вопросы по качеству, хотя они, естественно, всё ещё возникали. Улучшение ситуации было видно и по темпам выпуска: к 10 мая завод сдал 11 танков, к 21 мая их число выросло до 33, по состоянию на 27 мая количество сданных Т-44 выросло до 60 штук, так что план в 75 танков выполнили без напряжения. В июне, даже несмотря на проблемы с подшипниками, сдача также шла равномерно. На 10 июня сдали 18 танков, по состоянию на 20 июня их уже была 51 штука, а к 30 июня завод №75 сдал 80 танков из планировавшихся 85.</w:t>
      </w:r>
    </w:p>
    <w:p w14:paraId="1F6A4C52"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Улучшившаяся ситуация с выпуском позволила постепенно поднимать планку производства Т-44. На июль завод №75 получил задание сдать 100 танков, за август – 120, и за сентябрь – 135. При этом цена выросла до 290 000 рублей (для сравнения, ИС-3 стоил в то же время 295 000). Причиной тому была высокая трудоёмкость танка. Июльскую программу завод сдал в полном объёме, но не без проблем. Выявились большие проблемы с коробками передач, а именно разрушение и заедание игольчатых шестерён 2-й и 3-й передач. Потребовалась массовая переборка КПП, что цепной реакцией ударило по темпам выполнения плана. К 1 сентября план завод не выполнил, 120 танков ему засчитали со сроком выполнения к 10 числу. Понимая, какие проблемы испытывает завод, программу на сентябрь 1945 года снизили до 85 танков, но на деле проблемы продолжались. В результате план на октябрь снизили ещё сильнее – до 50 штук, но и его завод выполнить не смог. Удалось сдать всего 35 танков, а в ноябре при плане в 85 танков их сдали 45 штук. Отчасти это было результатом указания ГБТУ КА прекратить приёмку танков, явно имеющих серьёзные дефекты.</w:t>
      </w:r>
    </w:p>
    <w:p w14:paraId="4BFEA148"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Декабрь оказался рекордным: при плане в 135 танков их сдали 170 штук. Фактически речь шла о досборке уже имевшихся танков. Итого за 1945 год завод №75 сдал 880 танков – с учётом всех свалившихся на него проблем дела обстояли не так уж и плохо. Для сравнения следует вспомнить Кировский завод в Ленинграде, который фактически завалил выпуск тяжёлых танков ИС-2, а число выпущенных самоходок ИСУ-152 за 1945 год составило всего 100 штук.</w:t>
      </w:r>
    </w:p>
    <w:p w14:paraId="027E298B"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План по выпуску Т-44 на январь 1946 года составил всего 30 машин, что завод №75 довольно легко выполнил. Впрочем, общий план на первый квартал 1946 года был куда большим – 250 машин. Между тем, за февраль вместо 90 танков удалось сдать всего 50 штук. Причиной тому стал срыв обеспечения завода подшипниками, также имели место перерывы в обеспечении электроэнергией и паром. Министерство транспортного машиностроения (образовано 15 марта 1946 года) полагало, что за первый квартал завод не сдаст больше 170 танков, но в марте всё же удалось перевыполнить план и сдать 130 танков. В апреле план был более щадящим – 50 танков, и с ним завод №75 справился. К тому времени выпуск Т-34-85 постепенно снижался. Завод №183 и вовсе прекратил выпуск этих машин, постепенно готовясь к производству более совершенного танка – Т-54. Что же касается завода №75, то его постепенно загружали мирной продукцией, в частности производством локомотивов. Мирная продукция, наряду с проблемами по поставкам подшипников и других деталей, сделала своё дело. Вместо 350 танков за 2-й квартал 1946 года завод смог сдать 189 машин (из них 90 в мае, и 49 – в июне), то есть едва перевалил за половину нормы.</w:t>
      </w:r>
    </w:p>
    <w:p w14:paraId="3D0C5991"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План на 3-й квартал был более щадящим: всего предполагалось сдать 270 машин, из них 50 – в июле, в – 110 августе, и ещё 110 – в сентябре. Ситуация повторилась: если в июле план удалось выполнить полностью, то в августе выпуск составил 85 танков. Причиной стали дефекты, а также плохая работа смежников. Траки, которые поставлял завод №183, оказались бракованными, а СТЗ сильно задержал поставку двигателей. В сентябре просадка выпуска оказалась ещё сильнее: сдали всего 40 танков. Впрочем, другие заводы справились с планом ненамного лучше, а внедрение Т-54 и ИС-4 сильно затянулось. 4-й квартал в Харькове также оказался не самым успешным. При плане в 90 танков за октябрь завод сдал всего 14 танков – причиной тому стали проблемы с подшипниками. По наличию моторов, корпусов и других узлов завод мог сдать 63 танка. Проблема с подшипниками прямым образом сказалась и на ноябрьском плане, кроме того, образовался дефицит башен. В результате вместо 90 танков завод сдал 50 штук. За последний месяц 1946 года удалось сдать ещё 80 танков, в общей же сложности их за первый послевоенный год сдали 718 штук.</w:t>
      </w:r>
    </w:p>
    <w:p w14:paraId="1DD4DFA1" w14:textId="77777777" w:rsidR="00193FD5" w:rsidRPr="00F90EAE" w:rsidRDefault="00193FD5" w:rsidP="00F90EAE">
      <w:pPr>
        <w:pStyle w:val="ae"/>
        <w:spacing w:before="0" w:after="0"/>
        <w:jc w:val="both"/>
        <w:textAlignment w:val="baseline"/>
        <w:rPr>
          <w:color w:val="000000" w:themeColor="text1"/>
          <w:sz w:val="16"/>
          <w:szCs w:val="16"/>
        </w:rPr>
      </w:pPr>
      <w:r w:rsidRPr="00F90EAE">
        <w:rPr>
          <w:color w:val="000000" w:themeColor="text1"/>
          <w:sz w:val="16"/>
          <w:szCs w:val="16"/>
        </w:rPr>
        <w:t>К началу 1947 года стало ясно, что время Т-44 подходит к концу. Несмотря на то, что завод №183 так и не смог освоить выпуск Т-54 в 1946 году, было ясно, что за этой машиной будущее, поэтому в планах на 1947 год оговаривался выпуск всего 200 Т-44. Проблемы, имевшиеся на заводе, всё ещё мешали выполнению плана. Даже небольшой объём выпуска (120 машин) давался заводу с трудом. За январь было сдано 28 танков, за февраль – 19, а за март – 44. Ситуация во втором квартале также была непростой: за апрель удалось сдать 23 танка (при плане в 20), при этом отмечалось, что на май завод не обеспечен башнями. Впрочем, в мае также сдали 23 машины (19047).</w:t>
      </w:r>
    </w:p>
    <w:p w14:paraId="0A93E6B4" w14:textId="77777777" w:rsidR="00193FD5" w:rsidRPr="00F90EAE" w:rsidRDefault="00193FD5" w:rsidP="00F90EAE">
      <w:pPr>
        <w:pStyle w:val="ae"/>
        <w:spacing w:before="0" w:after="0"/>
        <w:jc w:val="both"/>
        <w:textAlignment w:val="baseline"/>
        <w:rPr>
          <w:color w:val="000000" w:themeColor="text1"/>
          <w:sz w:val="16"/>
          <w:szCs w:val="16"/>
        </w:rPr>
      </w:pPr>
    </w:p>
    <w:p w14:paraId="67063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г. Приказом Наркомата угольной промышленности СССР Государственная союзная экспериментально-конструкторская контора угольного машиностроения "Углемашпроект" была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74A88CD8" w14:textId="77777777" w:rsidR="003751D3" w:rsidRPr="00F90EAE" w:rsidRDefault="003751D3" w:rsidP="00F90EAE">
      <w:pPr>
        <w:tabs>
          <w:tab w:val="left" w:pos="11199"/>
        </w:tabs>
        <w:autoSpaceDE w:val="0"/>
        <w:autoSpaceDN w:val="0"/>
        <w:adjustRightInd w:val="0"/>
        <w:jc w:val="both"/>
        <w:rPr>
          <w:color w:val="000000" w:themeColor="text1"/>
          <w:sz w:val="16"/>
          <w:szCs w:val="16"/>
        </w:rPr>
      </w:pPr>
    </w:p>
    <w:p w14:paraId="0130310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7625 Об общем плане перевозок по железнодорожному и морскому транспорту на март 1945 г. (7310, 218).</w:t>
      </w:r>
    </w:p>
    <w:p w14:paraId="30D4DA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E1FD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7626 О плане и мерах по обеспечению перевозок народнохозяйственных грузов по железнодорожному и морскому транспорту на март 1945 года. РГАНИР, Фонд ГКО, д. 374, лл. 1-11, 12-149 (11012).</w:t>
      </w:r>
    </w:p>
    <w:p w14:paraId="28D13616" w14:textId="77777777" w:rsidR="00665165" w:rsidRPr="00F90EAE" w:rsidRDefault="00665165" w:rsidP="00F90EAE">
      <w:pPr>
        <w:autoSpaceDE w:val="0"/>
        <w:autoSpaceDN w:val="0"/>
        <w:adjustRightInd w:val="0"/>
        <w:jc w:val="both"/>
        <w:rPr>
          <w:color w:val="000000" w:themeColor="text1"/>
          <w:sz w:val="16"/>
          <w:szCs w:val="16"/>
        </w:rPr>
      </w:pPr>
    </w:p>
    <w:p w14:paraId="7D14BF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7627 О плане снабжения горюче-смазочными материалами Красной Армии и Военно-Морского Флота на март 1945 года. РГАНИР, Фонд ГКО, д. 376, лл. 1-4, 5-30 (11012).</w:t>
      </w:r>
    </w:p>
    <w:p w14:paraId="1FF75C12" w14:textId="77777777" w:rsidR="00665165" w:rsidRPr="00F90EAE" w:rsidRDefault="00665165" w:rsidP="00F90EAE">
      <w:pPr>
        <w:autoSpaceDE w:val="0"/>
        <w:autoSpaceDN w:val="0"/>
        <w:adjustRightInd w:val="0"/>
        <w:jc w:val="both"/>
        <w:rPr>
          <w:color w:val="000000" w:themeColor="text1"/>
          <w:sz w:val="16"/>
          <w:szCs w:val="16"/>
        </w:rPr>
      </w:pPr>
    </w:p>
    <w:p w14:paraId="6F93EA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7628 О строительстве газовых сетей в г. Москве в 1945 г. для приема природного газа саратовских месторождений. РГАНИР, Фонд ГКО, д. 376, лл. 31-42, 43-53 (11012).</w:t>
      </w:r>
    </w:p>
    <w:p w14:paraId="18A70A31" w14:textId="77777777" w:rsidR="00665165" w:rsidRPr="00F90EAE" w:rsidRDefault="00665165" w:rsidP="00F90EAE">
      <w:pPr>
        <w:autoSpaceDE w:val="0"/>
        <w:autoSpaceDN w:val="0"/>
        <w:adjustRightInd w:val="0"/>
        <w:jc w:val="both"/>
        <w:rPr>
          <w:color w:val="000000" w:themeColor="text1"/>
          <w:sz w:val="16"/>
          <w:szCs w:val="16"/>
        </w:rPr>
      </w:pPr>
    </w:p>
    <w:p w14:paraId="5B3EB9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7629 Об организации производства газовой аппаратуры на предприятиях гор. Москвы. РГАНИР, Фонд ГКО, д. 376, лл. 54-59, 60-69 (11012).</w:t>
      </w:r>
    </w:p>
    <w:p w14:paraId="106D38BE" w14:textId="77777777" w:rsidR="00665165" w:rsidRPr="00F90EAE" w:rsidRDefault="00665165" w:rsidP="00F90EAE">
      <w:pPr>
        <w:autoSpaceDE w:val="0"/>
        <w:autoSpaceDN w:val="0"/>
        <w:adjustRightInd w:val="0"/>
        <w:jc w:val="both"/>
        <w:rPr>
          <w:color w:val="000000" w:themeColor="text1"/>
          <w:sz w:val="16"/>
          <w:szCs w:val="16"/>
        </w:rPr>
      </w:pPr>
    </w:p>
    <w:p w14:paraId="492682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7630 О проведении испытаний и изготовлении опытной серии 100 штук 37 мм спаренных автоматических зенитных пушек конструкции завода № 4 НКВ. РГАНИР, Фонд ГКО, д. 376, лл. 70-71 (11012).</w:t>
      </w:r>
    </w:p>
    <w:p w14:paraId="655FB80D" w14:textId="77777777" w:rsidR="00665165" w:rsidRPr="00F90EAE" w:rsidRDefault="00665165" w:rsidP="00F90EAE">
      <w:pPr>
        <w:autoSpaceDE w:val="0"/>
        <w:autoSpaceDN w:val="0"/>
        <w:adjustRightInd w:val="0"/>
        <w:jc w:val="both"/>
        <w:rPr>
          <w:color w:val="000000" w:themeColor="text1"/>
          <w:sz w:val="16"/>
          <w:szCs w:val="16"/>
        </w:rPr>
      </w:pPr>
    </w:p>
    <w:p w14:paraId="2424A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7631 Об установке трубопрокатного стана "Штифель", вывозимого из Румынии. РГАНИР, Фонд ГКО, д. 376, лл. 72-73 (11012).</w:t>
      </w:r>
    </w:p>
    <w:p w14:paraId="2E006C05" w14:textId="77777777" w:rsidR="00665165" w:rsidRPr="00F90EAE" w:rsidRDefault="00665165" w:rsidP="00F90EAE">
      <w:pPr>
        <w:autoSpaceDE w:val="0"/>
        <w:autoSpaceDN w:val="0"/>
        <w:adjustRightInd w:val="0"/>
        <w:jc w:val="both"/>
        <w:rPr>
          <w:color w:val="000000" w:themeColor="text1"/>
          <w:sz w:val="16"/>
          <w:szCs w:val="16"/>
        </w:rPr>
      </w:pPr>
    </w:p>
    <w:p w14:paraId="613CBE2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вышло Распоряжение ГКО № 7632 [Об освобождении НКТМ от поставки НКПС 2 молотов и их замене.] (7311, 74).</w:t>
      </w:r>
    </w:p>
    <w:p w14:paraId="7256C8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64F741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7633 О мероприятиях по обеспечению газом г. Ленинграда. (7311, 75-76).</w:t>
      </w:r>
    </w:p>
    <w:p w14:paraId="3126484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4B00A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7634 О восстановлении сланцедобывающей и сланцеперерабатывающей промышленности Эстонской ССР. РГАНИР, Фонд ГКО, д. 376, лл. 77-78 (11012).</w:t>
      </w:r>
    </w:p>
    <w:p w14:paraId="109D7ACF" w14:textId="77777777" w:rsidR="00665165" w:rsidRPr="00F90EAE" w:rsidRDefault="00665165" w:rsidP="00F90EAE">
      <w:pPr>
        <w:autoSpaceDE w:val="0"/>
        <w:autoSpaceDN w:val="0"/>
        <w:adjustRightInd w:val="0"/>
        <w:jc w:val="both"/>
        <w:rPr>
          <w:color w:val="000000" w:themeColor="text1"/>
          <w:sz w:val="16"/>
          <w:szCs w:val="16"/>
        </w:rPr>
      </w:pPr>
    </w:p>
    <w:p w14:paraId="047D055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7635 Об обеспечении эскалаторами строительства четвертой очереди Московского метрополитена. (7311, 79-87,88-120).</w:t>
      </w:r>
    </w:p>
    <w:p w14:paraId="4B4349B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F6F49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7636 О мероприятиях по расширению производства оптических измерительных приборов на заводах Наркомата вооружения. РГАНИР, Фонд ГКО, д. 376, лл. 121-123, 124-127 (11012).</w:t>
      </w:r>
    </w:p>
    <w:p w14:paraId="1B625A96" w14:textId="77777777" w:rsidR="00665165" w:rsidRPr="00F90EAE" w:rsidRDefault="00665165" w:rsidP="00F90EAE">
      <w:pPr>
        <w:autoSpaceDE w:val="0"/>
        <w:autoSpaceDN w:val="0"/>
        <w:adjustRightInd w:val="0"/>
        <w:jc w:val="both"/>
        <w:rPr>
          <w:color w:val="000000" w:themeColor="text1"/>
          <w:sz w:val="16"/>
          <w:szCs w:val="16"/>
        </w:rPr>
      </w:pPr>
    </w:p>
    <w:p w14:paraId="2739E5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7637 Об обеспечении пуска 4-го агрегата по производству аммиака на Чирчикском электрохимическом комбинате Наркомхимпрома. РГАНИР, Фонд ГКО, д. 376, лл. 128-130, 131 (11012).</w:t>
      </w:r>
    </w:p>
    <w:p w14:paraId="733234AD" w14:textId="77777777" w:rsidR="00665165" w:rsidRPr="00F90EAE" w:rsidRDefault="00665165" w:rsidP="00F90EAE">
      <w:pPr>
        <w:autoSpaceDE w:val="0"/>
        <w:autoSpaceDN w:val="0"/>
        <w:adjustRightInd w:val="0"/>
        <w:jc w:val="both"/>
        <w:rPr>
          <w:color w:val="000000" w:themeColor="text1"/>
          <w:sz w:val="16"/>
          <w:szCs w:val="16"/>
        </w:rPr>
      </w:pPr>
    </w:p>
    <w:p w14:paraId="681BC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7638 Об организации производства оптико-механических приборов на заводе №784 Наркомата вооружения в г. Киеве. РГАНИР, Фонд ГКО, д. 376, лл. 132-135, 136-141 (11012).</w:t>
      </w:r>
    </w:p>
    <w:p w14:paraId="0BF0CB57" w14:textId="77777777" w:rsidR="00665165" w:rsidRPr="00F90EAE" w:rsidRDefault="00665165" w:rsidP="00F90EAE">
      <w:pPr>
        <w:autoSpaceDE w:val="0"/>
        <w:autoSpaceDN w:val="0"/>
        <w:adjustRightInd w:val="0"/>
        <w:jc w:val="both"/>
        <w:rPr>
          <w:color w:val="000000" w:themeColor="text1"/>
          <w:sz w:val="16"/>
          <w:szCs w:val="16"/>
        </w:rPr>
      </w:pPr>
    </w:p>
    <w:p w14:paraId="2FB56E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г. в соответствии с пост. ГКО № 7638 на заводе № 784 (Завод № 784 НКВ, МОП, Завод «Арсенал», ПО «Завод «Арсенал» /Украина 01010  г. Киев ул. Московская, 8/), который был создан после освобождения Киева на месте эвакуированного завода № 393. (возможно, ранее это- завод № 483 НКАП), была начата организация производства оптико- механических приборов.</w:t>
      </w:r>
    </w:p>
    <w:p w14:paraId="5E693A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1979-86 г. - ПО «Завод «Арсенал». В ПО входил Уманский завод «Вега».</w:t>
      </w:r>
    </w:p>
    <w:p w14:paraId="05EA43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1979-82г, совместно с МИТ проведена НИР «Марс» по созданию СУ БР на новых физических принципах.</w:t>
      </w:r>
    </w:p>
    <w:p w14:paraId="07349C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Разработана система прицеливания для БР: «Темп-2С», Р-36, РСД-10 «Пионер», РС-12М «Тополь», самолета ЗМ; ИК ГСН «Маяк» для К-73.</w:t>
      </w:r>
    </w:p>
    <w:p w14:paraId="085626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оптические и оптико-электронные приборы (системы ориентирования, приборы прицеливания, самонаведения, наблюдения, измерения, анализа и фотографирования).</w:t>
      </w:r>
    </w:p>
    <w:p w14:paraId="6C10FE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(1960-70-е)- С.П. Парняков,</w:t>
      </w:r>
      <w:r w:rsidRPr="00F90EAE">
        <w:rPr>
          <w:color w:val="000000" w:themeColor="text1"/>
          <w:sz w:val="16"/>
          <w:szCs w:val="16"/>
          <w:vertAlign w:val="superscript"/>
        </w:rPr>
        <w:t>58</w:t>
      </w:r>
      <w:r w:rsidRPr="00F90EAE">
        <w:rPr>
          <w:color w:val="000000" w:themeColor="text1"/>
          <w:sz w:val="16"/>
          <w:szCs w:val="16"/>
        </w:rPr>
        <w:t xml:space="preserve"> А.В. Молодык («Маяк»).</w:t>
      </w:r>
    </w:p>
    <w:p w14:paraId="62ED5AF5"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оптико-электронная система точной ориентации для КА С-3.</w:t>
      </w:r>
    </w:p>
    <w:p w14:paraId="46C746BD"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нашлемный прицел Щ-ЗУМ-1; углоизмерительная система ГС-1Л;</w:t>
      </w:r>
      <w:r w:rsidRPr="00F90EAE">
        <w:rPr>
          <w:iCs/>
          <w:color w:val="000000" w:themeColor="text1"/>
          <w:sz w:val="16"/>
          <w:szCs w:val="16"/>
        </w:rPr>
        <w:t xml:space="preserve"> фотоаппараты:</w:t>
      </w:r>
      <w:r w:rsidRPr="00F90EAE">
        <w:rPr>
          <w:color w:val="000000" w:themeColor="text1"/>
          <w:sz w:val="16"/>
          <w:szCs w:val="16"/>
        </w:rPr>
        <w:t xml:space="preserve"> «Киев-2 (1949-), -19М, -60ТТЛ, -88ТТЛ, -88СМ» (2001-); светофоры на светоизлучающих диодах (2000-е); телевизионный анализатор крови АК-11.</w:t>
      </w:r>
    </w:p>
    <w:p w14:paraId="65F1A3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ЦКБ «Арсенал» /г. Киев/</w:t>
      </w:r>
    </w:p>
    <w:p w14:paraId="021702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 2000-е  г. (возможно, ранее это- ОКБ-483 НКАП).</w:t>
      </w:r>
    </w:p>
    <w:p w14:paraId="47D2945D"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авиационные прицелы: «Сазан» и «Сом» для торпедометания с Ил-28Т, «Налим» для Ту-16Т (1950- е), телевизионный «Чайка» для Су-24; НСЦ «Щель» для МиГ-29 и Су-27 (1980-е); автоматические астровизиры АВ-1С, АВ-1СМ для Ту-160; ГСН для УР Р-27, Р-73.</w:t>
      </w:r>
    </w:p>
    <w:p w14:paraId="749288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Уманскин завод «Вега» Украина 258900  г. Умань Черкасской обл. ул. Мануильского, 8/</w:t>
      </w:r>
    </w:p>
    <w:p w14:paraId="34812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1986 г. входил в ПО «Завод «Арсенал». Производство оптики (11982).</w:t>
      </w:r>
    </w:p>
    <w:p w14:paraId="59798FBE" w14:textId="77777777" w:rsidR="00665165" w:rsidRPr="00F90EAE" w:rsidRDefault="00665165" w:rsidP="00F90EAE">
      <w:pPr>
        <w:autoSpaceDE w:val="0"/>
        <w:autoSpaceDN w:val="0"/>
        <w:adjustRightInd w:val="0"/>
        <w:jc w:val="both"/>
        <w:rPr>
          <w:color w:val="000000" w:themeColor="text1"/>
          <w:sz w:val="16"/>
          <w:szCs w:val="16"/>
        </w:rPr>
      </w:pPr>
    </w:p>
    <w:p w14:paraId="278C4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7640 Об уменьшении отпуска продовольствия из отечественных ресурсов в I квартале 1945 г. для контингентов Главоборонстроя Красной Армии, работающих вне территории СССР. РГАНИР, Фонд ГКО, д. 376, лл. 143-144 (11012).</w:t>
      </w:r>
    </w:p>
    <w:p w14:paraId="4C8353E5" w14:textId="77777777" w:rsidR="00665165" w:rsidRPr="00F90EAE" w:rsidRDefault="00665165" w:rsidP="00F90EAE">
      <w:pPr>
        <w:autoSpaceDE w:val="0"/>
        <w:autoSpaceDN w:val="0"/>
        <w:adjustRightInd w:val="0"/>
        <w:jc w:val="both"/>
        <w:rPr>
          <w:color w:val="000000" w:themeColor="text1"/>
          <w:sz w:val="16"/>
          <w:szCs w:val="16"/>
        </w:rPr>
      </w:pPr>
    </w:p>
    <w:p w14:paraId="65365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7643 О плане производства золота и олова по Дальстрою НКВД СССР на 1945 гоРГАНИР, Фонд ГКО, д. РГАНИР, Фонд ГКО, д. 376, лл. 152 (11012).</w:t>
      </w:r>
    </w:p>
    <w:p w14:paraId="70C1E565" w14:textId="77777777" w:rsidR="00665165" w:rsidRPr="00F90EAE" w:rsidRDefault="00665165" w:rsidP="00F90EAE">
      <w:pPr>
        <w:autoSpaceDE w:val="0"/>
        <w:autoSpaceDN w:val="0"/>
        <w:adjustRightInd w:val="0"/>
        <w:jc w:val="both"/>
        <w:rPr>
          <w:color w:val="000000" w:themeColor="text1"/>
          <w:sz w:val="16"/>
          <w:szCs w:val="16"/>
        </w:rPr>
      </w:pPr>
    </w:p>
    <w:p w14:paraId="598A3B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7644 О мероприятиях по обеспечению добычи золота и олова Дальстроем НКВД СССР в 1945 году. РГАНИР, Фонд ГКО, д. 376, лл. 153-164, 165-203 (11012).</w:t>
      </w:r>
    </w:p>
    <w:p w14:paraId="27155428" w14:textId="77777777" w:rsidR="00665165" w:rsidRPr="00F90EAE" w:rsidRDefault="00665165" w:rsidP="00F90EAE">
      <w:pPr>
        <w:autoSpaceDE w:val="0"/>
        <w:autoSpaceDN w:val="0"/>
        <w:adjustRightInd w:val="0"/>
        <w:jc w:val="both"/>
        <w:rPr>
          <w:color w:val="000000" w:themeColor="text1"/>
          <w:sz w:val="16"/>
          <w:szCs w:val="16"/>
        </w:rPr>
      </w:pPr>
    </w:p>
    <w:p w14:paraId="784A3A6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2B054C4" w14:textId="77777777" w:rsidR="00665165" w:rsidRPr="00F90EAE" w:rsidRDefault="00665165" w:rsidP="00F90EAE">
      <w:pPr>
        <w:autoSpaceDE w:val="0"/>
        <w:autoSpaceDN w:val="0"/>
        <w:adjustRightInd w:val="0"/>
        <w:jc w:val="both"/>
        <w:rPr>
          <w:iCs/>
          <w:color w:val="000000" w:themeColor="text1"/>
          <w:sz w:val="16"/>
          <w:szCs w:val="16"/>
        </w:rPr>
      </w:pPr>
    </w:p>
    <w:p w14:paraId="51B0D611" w14:textId="77777777" w:rsidR="003751D3" w:rsidRPr="00F90EAE" w:rsidRDefault="003751D3" w:rsidP="00F90EAE">
      <w:pPr>
        <w:jc w:val="both"/>
        <w:rPr>
          <w:color w:val="000000" w:themeColor="text1"/>
          <w:sz w:val="16"/>
          <w:szCs w:val="16"/>
        </w:rPr>
      </w:pPr>
      <w:r w:rsidRPr="00F90EAE">
        <w:rPr>
          <w:bCs/>
          <w:color w:val="000000" w:themeColor="text1"/>
          <w:sz w:val="16"/>
          <w:szCs w:val="16"/>
        </w:rPr>
        <w:t>3 марта</w:t>
      </w:r>
      <w:r w:rsidRPr="00F90EAE">
        <w:rPr>
          <w:color w:val="000000" w:themeColor="text1"/>
          <w:sz w:val="16"/>
          <w:szCs w:val="16"/>
        </w:rPr>
        <w:t xml:space="preserve"> в 1945 году оперативная сводка Совинформбюро:</w:t>
      </w:r>
    </w:p>
    <w:p w14:paraId="0811357A"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3 марта с боем овладели городами Руммельсбург и Поллнов — важными узлами коммуникаций и сильными опорными пунктами обороны немцев в Померании, а также с боями заняли более 80 других населённых пунктов, среди которых крупные населённые пункты Гросс Петеркау, Штарзен, Гросс Швирзен, Куров, Дарген.</w:t>
      </w:r>
    </w:p>
    <w:p w14:paraId="173D40FF" w14:textId="77777777" w:rsidR="003751D3" w:rsidRPr="00F90EAE" w:rsidRDefault="003751D3" w:rsidP="00F90EAE">
      <w:pPr>
        <w:jc w:val="both"/>
        <w:rPr>
          <w:color w:val="000000" w:themeColor="text1"/>
          <w:sz w:val="16"/>
          <w:szCs w:val="16"/>
        </w:rPr>
      </w:pPr>
      <w:r w:rsidRPr="00F90EAE">
        <w:rPr>
          <w:color w:val="000000" w:themeColor="text1"/>
          <w:sz w:val="16"/>
          <w:szCs w:val="16"/>
        </w:rPr>
        <w:t>На территории Чехословакии северо-западнее и западнее города Лученец наши войска с боями заняли населённые пункты Очова, Калинка, Кралевце, Пренчов, Белуй, Почувадло, Углиска, Бреги.</w:t>
      </w:r>
    </w:p>
    <w:p w14:paraId="23F3288A" w14:textId="77777777" w:rsidR="003751D3" w:rsidRPr="00F90EAE" w:rsidRDefault="003751D3"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2670EEC" w14:textId="77777777" w:rsidR="003751D3" w:rsidRPr="00F90EAE" w:rsidRDefault="003751D3" w:rsidP="00F90EAE">
      <w:pPr>
        <w:jc w:val="both"/>
        <w:rPr>
          <w:color w:val="000000" w:themeColor="text1"/>
          <w:sz w:val="16"/>
          <w:szCs w:val="16"/>
        </w:rPr>
      </w:pPr>
      <w:r w:rsidRPr="00F90EAE">
        <w:rPr>
          <w:color w:val="000000" w:themeColor="text1"/>
          <w:sz w:val="16"/>
          <w:szCs w:val="16"/>
        </w:rPr>
        <w:t>За 2 марта на всех фронтах подбито и уничтожено 39 немецких танков.</w:t>
      </w:r>
    </w:p>
    <w:p w14:paraId="06B456F1"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Противник, стремясь задержать продвижение советских частей, бросает в бой резервы. Отмечено появление свежих эсэсовских соединений, танковых частей и подразделений самоходной артиллерии. Пленные сообщают, что немецкое командование отдало своим войскам приказ любой ценой не допустить выхода советских войск к Балтийскому морю. Ожесточённые бои происходили сегодня на подступах к городу Руммельсбург. Немцы сосредоточили здесь крупные силы и предприняли контратаку в западном направлении. Они рассчитывали одним ударом отбросить наши войска и прорваться на коммуникации советских частей, угрожающих городу Кезлин. Однако этот замысел гитлеровцев был сорван. Советские артиллеристы и пехотинцы отбили вражескую контратаку. Затем наши войска нанесли противнику стремительный удар и после упорного боя овладели городом Руммельсбург. Этот город являлся сильно укреплённым пунктом обороны немцев в Померании и важным узлом коммуникаций. К нему сходятся три железные и несколько шоссейных дорог. Развивая успех, наши войска продвинулись вперёд на 15 километров и штурмом заняли город Поллнов. В ходе боев противник несёт большие потери. За день уничтожено свыше 2 тысяч немецких солдат и офицеров. Подбито и сожжено 20 танков противника. Захвачено много трофеев и пленные.</w:t>
      </w:r>
    </w:p>
    <w:p w14:paraId="4F7821E8" w14:textId="77777777" w:rsidR="003751D3" w:rsidRPr="00F90EAE" w:rsidRDefault="003751D3" w:rsidP="00F90EAE">
      <w:pPr>
        <w:jc w:val="both"/>
        <w:rPr>
          <w:color w:val="000000" w:themeColor="text1"/>
          <w:sz w:val="16"/>
          <w:szCs w:val="16"/>
        </w:rPr>
      </w:pPr>
      <w:r w:rsidRPr="00F90EAE">
        <w:rPr>
          <w:color w:val="000000" w:themeColor="text1"/>
          <w:sz w:val="16"/>
          <w:szCs w:val="16"/>
        </w:rPr>
        <w:t>В Бреслау наши войска продолжали вести бои по ликвидации окружённой в городе группировки противника. Наши штурмовые группы очистили от немцев район крематория на юго-западной окраине города. На месте боя остались сотни вражеских трупов. Взято в плен 200 гитлеровцев.</w:t>
      </w:r>
    </w:p>
    <w:p w14:paraId="4EB9B0A0" w14:textId="77777777" w:rsidR="003751D3" w:rsidRPr="00F90EAE" w:rsidRDefault="003751D3" w:rsidP="00F90EAE">
      <w:pPr>
        <w:jc w:val="both"/>
        <w:rPr>
          <w:color w:val="000000" w:themeColor="text1"/>
          <w:sz w:val="16"/>
          <w:szCs w:val="16"/>
        </w:rPr>
      </w:pPr>
      <w:r w:rsidRPr="00F90EAE">
        <w:rPr>
          <w:color w:val="000000" w:themeColor="text1"/>
          <w:sz w:val="16"/>
          <w:szCs w:val="16"/>
        </w:rPr>
        <w:t>Северо-западнее города Лученец наши войска с боями продвигались вперёд. Противник, опираясь на оборонительные рубежи, сооружённые в горно-лесистой местности, оказывал упорное сопротивление. Советские части совершают обходные манёвры и ударами с тыла и флангов ликвидируют вражеские опорные пункты. Подразделения Н-ской части выбили гитлеровцев из сильно укреплённого населённого пункта Пренчов и ведут бои за гору Ситно. В течение дня на этом участке уничтожено до батальона вражеской пехоты. Захвачены у немцев артиллерийская батарея, 29 пулемётов и другие трофеи.</w:t>
      </w:r>
    </w:p>
    <w:p w14:paraId="44B9C0D1" w14:textId="77777777" w:rsidR="003751D3" w:rsidRPr="00F90EAE" w:rsidRDefault="003751D3" w:rsidP="00F90EAE">
      <w:pPr>
        <w:jc w:val="both"/>
        <w:rPr>
          <w:color w:val="000000" w:themeColor="text1"/>
          <w:sz w:val="16"/>
          <w:szCs w:val="16"/>
        </w:rPr>
      </w:pPr>
      <w:r w:rsidRPr="00F90EAE">
        <w:rPr>
          <w:color w:val="000000" w:themeColor="text1"/>
          <w:sz w:val="16"/>
          <w:szCs w:val="16"/>
        </w:rPr>
        <w:t>Кораблями Краснознамённого Балтийского флота потоплен в южной части Балтийского моря немецкий транспорт водоизмещением в 6 тысяч тонн.</w:t>
      </w:r>
    </w:p>
    <w:p w14:paraId="2526F1D6" w14:textId="77777777" w:rsidR="003751D3" w:rsidRPr="00F90EAE" w:rsidRDefault="003751D3" w:rsidP="00F90EAE">
      <w:pPr>
        <w:jc w:val="both"/>
        <w:rPr>
          <w:color w:val="000000" w:themeColor="text1"/>
          <w:sz w:val="16"/>
          <w:szCs w:val="16"/>
        </w:rPr>
      </w:pPr>
      <w:r w:rsidRPr="00F90EAE">
        <w:rPr>
          <w:color w:val="000000" w:themeColor="text1"/>
          <w:sz w:val="16"/>
          <w:szCs w:val="16"/>
        </w:rPr>
        <w:t>Взятый в плен командир 304-й немецкой пехотной дивизии генерал-майор Ульрих Лисс длительное время работал в 3-м отделе немецкого генерального штаба (отдел западных армий). В январе 1945 года Лисс был назначен командиром дивизии и направлен на советско-германский фронт. Пленный рассказал: «Германское командование со дня на день ожидало зимнего наступления русских. В высших военных кругах господствовала уверенность, что немецкой армии удастся удержаться на оборонительных рубежах на Висле. Через несколько дней после начала русского наступления от этой уверенности и следа не осталось. Прежде чем генеральный штаб успел принять какие-либо меры, русские на обширном фронте смяли и сокрушили немецкую оборону. Немецкое командование приказало приостановить все наступательные операции на западном фронте и перейти там к обороне. Началась спешная переброска войск с западного фронта на восточный. Однако было уже поздно».</w:t>
      </w:r>
    </w:p>
    <w:p w14:paraId="62186566" w14:textId="77777777" w:rsidR="003751D3" w:rsidRPr="00F90EAE" w:rsidRDefault="003751D3" w:rsidP="00F90EAE">
      <w:pPr>
        <w:jc w:val="both"/>
        <w:rPr>
          <w:color w:val="000000" w:themeColor="text1"/>
          <w:sz w:val="16"/>
          <w:szCs w:val="16"/>
        </w:rPr>
      </w:pPr>
      <w:r w:rsidRPr="00F90EAE">
        <w:rPr>
          <w:color w:val="000000" w:themeColor="text1"/>
          <w:sz w:val="16"/>
          <w:szCs w:val="16"/>
        </w:rPr>
        <w:t>Пленный командир 433-й немецкой пехотной дивизии генерал-лейтенант Люббе сообщил: «За четыре дня моя дивизия была разбита и перестала существовать как боевая единица. Ещё задолго до январского наступления русских я весьма пессимистически оценивал положение немецкой армии. Доводы разума говорили о том, что у Германии уже нет никаких шансов на победу. И всё же чрезвычайно быстрый разгром немецкой обороны явился для меня полной неожиданностью. Я не допускал мысли, что продвижение русских будет таким стремительным и глубоким» (15057).</w:t>
      </w:r>
    </w:p>
    <w:p w14:paraId="5CF6DEE8" w14:textId="77777777" w:rsidR="003751D3" w:rsidRPr="00F90EAE" w:rsidRDefault="003751D3" w:rsidP="00F90EAE">
      <w:pPr>
        <w:jc w:val="both"/>
        <w:rPr>
          <w:color w:val="000000" w:themeColor="text1"/>
          <w:sz w:val="16"/>
          <w:szCs w:val="16"/>
        </w:rPr>
      </w:pPr>
    </w:p>
    <w:p w14:paraId="05D256D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7641 О передаче в госрезерв зерна и сена, ранее заготовленных на территории СССР для 1-го и 4-го Украинских и 2-го Белорусского фронтов. (7311, 145-146).</w:t>
      </w:r>
    </w:p>
    <w:p w14:paraId="715ACA9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31B54E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A941AFA" w14:textId="77777777" w:rsidR="00665165" w:rsidRPr="00F90EAE" w:rsidRDefault="00665165" w:rsidP="00F90EAE">
      <w:pPr>
        <w:autoSpaceDE w:val="0"/>
        <w:autoSpaceDN w:val="0"/>
        <w:adjustRightInd w:val="0"/>
        <w:jc w:val="both"/>
        <w:rPr>
          <w:iCs/>
          <w:color w:val="000000" w:themeColor="text1"/>
          <w:sz w:val="16"/>
          <w:szCs w:val="16"/>
        </w:rPr>
      </w:pPr>
    </w:p>
    <w:p w14:paraId="6EDB972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марта 1945 открыта Львовская областная картинная галерея (4962).</w:t>
      </w:r>
    </w:p>
    <w:p w14:paraId="79418A3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5FD62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1A7EB0B" w14:textId="77777777" w:rsidR="00665165" w:rsidRPr="00F90EAE" w:rsidRDefault="00665165" w:rsidP="00F90EAE">
      <w:pPr>
        <w:autoSpaceDE w:val="0"/>
        <w:autoSpaceDN w:val="0"/>
        <w:adjustRightInd w:val="0"/>
        <w:jc w:val="both"/>
        <w:rPr>
          <w:iCs/>
          <w:color w:val="000000" w:themeColor="text1"/>
          <w:sz w:val="16"/>
          <w:szCs w:val="16"/>
        </w:rPr>
      </w:pPr>
    </w:p>
    <w:p w14:paraId="71F0BA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марта 1945 вышло Постановление ГКО № 7639 О разрешении прямых договоров Управления по заготовкам в Польше при начальнике Тыла КА с государственными и частными предприятиями. РГАНИР, Фонд ГКО, д. 376, лл. 142 (11012).</w:t>
      </w:r>
    </w:p>
    <w:p w14:paraId="3B1E28EA" w14:textId="77777777" w:rsidR="00665165" w:rsidRPr="00F90EAE" w:rsidRDefault="00665165" w:rsidP="00F90EAE">
      <w:pPr>
        <w:autoSpaceDE w:val="0"/>
        <w:autoSpaceDN w:val="0"/>
        <w:adjustRightInd w:val="0"/>
        <w:jc w:val="both"/>
        <w:rPr>
          <w:color w:val="000000" w:themeColor="text1"/>
          <w:sz w:val="16"/>
          <w:szCs w:val="16"/>
        </w:rPr>
      </w:pPr>
    </w:p>
    <w:p w14:paraId="0F1468A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CFFD218" w14:textId="77777777" w:rsidR="00665165" w:rsidRPr="00F90EAE" w:rsidRDefault="00665165" w:rsidP="00F90EAE">
      <w:pPr>
        <w:autoSpaceDE w:val="0"/>
        <w:autoSpaceDN w:val="0"/>
        <w:adjustRightInd w:val="0"/>
        <w:jc w:val="both"/>
        <w:rPr>
          <w:iCs/>
          <w:color w:val="000000" w:themeColor="text1"/>
          <w:sz w:val="16"/>
          <w:szCs w:val="16"/>
        </w:rPr>
      </w:pPr>
    </w:p>
    <w:p w14:paraId="1D2BAD20" w14:textId="77777777" w:rsidR="003751D3" w:rsidRPr="00F90EAE" w:rsidRDefault="003751D3" w:rsidP="00F90EAE">
      <w:pPr>
        <w:jc w:val="both"/>
        <w:rPr>
          <w:color w:val="000000" w:themeColor="text1"/>
          <w:sz w:val="16"/>
          <w:szCs w:val="16"/>
        </w:rPr>
      </w:pPr>
      <w:r w:rsidRPr="00F90EAE">
        <w:rPr>
          <w:bCs/>
          <w:color w:val="000000" w:themeColor="text1"/>
          <w:sz w:val="16"/>
          <w:szCs w:val="16"/>
        </w:rPr>
        <w:t>3 марта</w:t>
      </w:r>
      <w:r w:rsidRPr="00F90EAE">
        <w:rPr>
          <w:color w:val="000000" w:themeColor="text1"/>
          <w:sz w:val="16"/>
          <w:szCs w:val="16"/>
        </w:rPr>
        <w:t xml:space="preserve"> в 1945 году 56 бомбардировщиков "В-25 Mitchell" провели атаку на позицию германских БР "A-4"/SS-1/Scunner/ (Фау-2) Marlot и западной части Haagse Bos. Из-за ошибки в навигации бомбы были брошены юго-восточнее Haagse Bos вместо северо-запада. В результате погибло более 500 голландских мирных граждан. Вечером того же дня Немцы продолжили стрельбу ракетами, чтобы показать Союзникам, что их бомбардировки не достигли цели (15057).</w:t>
      </w:r>
    </w:p>
    <w:p w14:paraId="2F9D6643" w14:textId="77777777" w:rsidR="003751D3" w:rsidRPr="00F90EAE" w:rsidRDefault="003751D3" w:rsidP="00F90EAE">
      <w:pPr>
        <w:jc w:val="both"/>
        <w:rPr>
          <w:color w:val="000000" w:themeColor="text1"/>
          <w:sz w:val="16"/>
          <w:szCs w:val="16"/>
        </w:rPr>
      </w:pPr>
    </w:p>
    <w:p w14:paraId="4468F6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(4 - 2248,3) марта 1945 Финляндия объявила войну странам оси (2100).</w:t>
      </w:r>
    </w:p>
    <w:p w14:paraId="09CC18A0" w14:textId="77777777" w:rsidR="00665165" w:rsidRPr="00F90EAE" w:rsidRDefault="00665165" w:rsidP="00F90EAE">
      <w:pPr>
        <w:autoSpaceDE w:val="0"/>
        <w:autoSpaceDN w:val="0"/>
        <w:adjustRightInd w:val="0"/>
        <w:jc w:val="both"/>
        <w:rPr>
          <w:color w:val="000000" w:themeColor="text1"/>
          <w:sz w:val="16"/>
          <w:szCs w:val="16"/>
        </w:rPr>
      </w:pPr>
    </w:p>
    <w:p w14:paraId="75D97A6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3rd, 1945: Units of the Canadian First Army (Crerar) capture Xanten on the lower Rhine in the battle of the Reichswald. The US First Army (Hodge) captures Krefeld (3819).</w:t>
      </w:r>
    </w:p>
    <w:p w14:paraId="333AB2AA" w14:textId="77777777" w:rsidR="00665165" w:rsidRPr="00F90EAE" w:rsidRDefault="00665165" w:rsidP="00F90EAE">
      <w:pPr>
        <w:autoSpaceDE w:val="0"/>
        <w:autoSpaceDN w:val="0"/>
        <w:adjustRightInd w:val="0"/>
        <w:jc w:val="both"/>
        <w:rPr>
          <w:color w:val="000000" w:themeColor="text1"/>
          <w:sz w:val="16"/>
          <w:szCs w:val="16"/>
          <w:lang w:val="en-US"/>
        </w:rPr>
      </w:pPr>
    </w:p>
    <w:p w14:paraId="6DE502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3 </w:t>
      </w:r>
      <w:r w:rsidRPr="00F90EAE">
        <w:rPr>
          <w:color w:val="000000" w:themeColor="text1"/>
          <w:sz w:val="16"/>
          <w:szCs w:val="16"/>
        </w:rPr>
        <w:t>марта</w:t>
      </w:r>
      <w:r w:rsidRPr="00F90EAE">
        <w:rPr>
          <w:color w:val="000000" w:themeColor="text1"/>
          <w:sz w:val="16"/>
          <w:szCs w:val="16"/>
          <w:lang w:val="en-US"/>
        </w:rPr>
        <w:t xml:space="preserve"> 1945 </w:t>
      </w:r>
      <w:r w:rsidRPr="00F90EAE">
        <w:rPr>
          <w:color w:val="000000" w:themeColor="text1"/>
          <w:sz w:val="16"/>
          <w:szCs w:val="16"/>
        </w:rPr>
        <w:t>частиканадской</w:t>
      </w:r>
      <w:r w:rsidRPr="00F90EAE">
        <w:rPr>
          <w:color w:val="000000" w:themeColor="text1"/>
          <w:sz w:val="16"/>
          <w:szCs w:val="16"/>
          <w:lang w:val="en-US"/>
        </w:rPr>
        <w:t xml:space="preserve"> 1</w:t>
      </w:r>
      <w:r w:rsidRPr="00F90EAE">
        <w:rPr>
          <w:color w:val="000000" w:themeColor="text1"/>
          <w:sz w:val="16"/>
          <w:szCs w:val="16"/>
        </w:rPr>
        <w:t>АзанялиКсантенвнижнемРейне</w:t>
      </w:r>
      <w:r w:rsidRPr="00F90EAE">
        <w:rPr>
          <w:color w:val="000000" w:themeColor="text1"/>
          <w:sz w:val="16"/>
          <w:szCs w:val="16"/>
          <w:lang w:val="en-US"/>
        </w:rPr>
        <w:t xml:space="preserve">. </w:t>
      </w:r>
      <w:r w:rsidRPr="00F90EAE">
        <w:rPr>
          <w:color w:val="000000" w:themeColor="text1"/>
          <w:sz w:val="16"/>
          <w:szCs w:val="16"/>
        </w:rPr>
        <w:t>1А США (Ходж) заняла Крефельд (3819).</w:t>
      </w:r>
    </w:p>
    <w:p w14:paraId="05999FFB" w14:textId="77777777" w:rsidR="00665165" w:rsidRPr="00F90EAE" w:rsidRDefault="00665165" w:rsidP="00F90EAE">
      <w:pPr>
        <w:autoSpaceDE w:val="0"/>
        <w:autoSpaceDN w:val="0"/>
        <w:adjustRightInd w:val="0"/>
        <w:jc w:val="both"/>
        <w:rPr>
          <w:color w:val="000000" w:themeColor="text1"/>
          <w:sz w:val="16"/>
          <w:szCs w:val="16"/>
        </w:rPr>
      </w:pPr>
    </w:p>
    <w:p w14:paraId="719B1827" w14:textId="77777777" w:rsidR="003751D3" w:rsidRPr="00F90EAE" w:rsidRDefault="003751D3" w:rsidP="00F90EAE">
      <w:pPr>
        <w:jc w:val="both"/>
        <w:rPr>
          <w:color w:val="000000" w:themeColor="text1"/>
          <w:sz w:val="16"/>
          <w:szCs w:val="16"/>
        </w:rPr>
      </w:pPr>
      <w:r w:rsidRPr="00F90EAE">
        <w:rPr>
          <w:bCs/>
          <w:color w:val="000000" w:themeColor="text1"/>
          <w:sz w:val="16"/>
          <w:szCs w:val="16"/>
        </w:rPr>
        <w:t>3 марта</w:t>
      </w:r>
      <w:r w:rsidRPr="00F90EAE">
        <w:rPr>
          <w:color w:val="000000" w:themeColor="text1"/>
          <w:sz w:val="16"/>
          <w:szCs w:val="16"/>
        </w:rPr>
        <w:t xml:space="preserve"> в 1945 году американские войска заняли Манилу. В ходе боев за город погибло 100 тысяч мирных жителей, 16 тысяч японских и 1 тысяча американских солдат (15057).</w:t>
      </w:r>
    </w:p>
    <w:p w14:paraId="65FA844E" w14:textId="77777777" w:rsidR="003751D3" w:rsidRPr="00F90EAE" w:rsidRDefault="003751D3" w:rsidP="00F90EAE">
      <w:pPr>
        <w:jc w:val="both"/>
        <w:rPr>
          <w:color w:val="000000" w:themeColor="text1"/>
          <w:sz w:val="16"/>
          <w:szCs w:val="16"/>
        </w:rPr>
      </w:pPr>
    </w:p>
    <w:p w14:paraId="56B29327" w14:textId="77777777" w:rsidR="003751D3" w:rsidRPr="00F90EAE" w:rsidRDefault="003751D3" w:rsidP="00F90EAE">
      <w:pPr>
        <w:jc w:val="both"/>
        <w:rPr>
          <w:color w:val="000000" w:themeColor="text1"/>
          <w:sz w:val="16"/>
          <w:szCs w:val="16"/>
        </w:rPr>
      </w:pPr>
      <w:r w:rsidRPr="00F90EAE">
        <w:rPr>
          <w:bCs/>
          <w:color w:val="000000" w:themeColor="text1"/>
          <w:sz w:val="16"/>
          <w:szCs w:val="16"/>
        </w:rPr>
        <w:t>3 марта</w:t>
      </w:r>
      <w:r w:rsidRPr="00F90EAE">
        <w:rPr>
          <w:color w:val="000000" w:themeColor="text1"/>
          <w:sz w:val="16"/>
          <w:szCs w:val="16"/>
        </w:rPr>
        <w:t xml:space="preserve"> в 1945 году министр иностранных дел Великобритании А.Иден заявил о непризнании польского просоветского правительства (15057).</w:t>
      </w:r>
    </w:p>
    <w:p w14:paraId="1BC431D0" w14:textId="77777777" w:rsidR="003751D3" w:rsidRPr="00F90EAE" w:rsidRDefault="003751D3" w:rsidP="00F90EAE">
      <w:pPr>
        <w:jc w:val="both"/>
        <w:rPr>
          <w:color w:val="000000" w:themeColor="text1"/>
          <w:sz w:val="16"/>
          <w:szCs w:val="16"/>
        </w:rPr>
      </w:pPr>
    </w:p>
    <w:p w14:paraId="50B7A89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0CB9341" w14:textId="77777777" w:rsidR="00665165" w:rsidRPr="00F90EAE" w:rsidRDefault="00665165" w:rsidP="00F90EAE">
      <w:pPr>
        <w:autoSpaceDE w:val="0"/>
        <w:autoSpaceDN w:val="0"/>
        <w:adjustRightInd w:val="0"/>
        <w:jc w:val="both"/>
        <w:rPr>
          <w:iCs/>
          <w:color w:val="000000" w:themeColor="text1"/>
          <w:sz w:val="16"/>
          <w:szCs w:val="16"/>
        </w:rPr>
      </w:pPr>
    </w:p>
    <w:p w14:paraId="0CDCF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4 марта 1945 на втором Пе-8ОН испытания которого начались с 25 февраля 1945, удалось выполнили три полёта. Летал тот же экипаж, что и на первой машине. Затем второй Пе-8ОН перегнали в Москву, где его осмотрел Шахурин. В основном нарком интересовался оборудованием и отделкой пассажирских кабин. Самолет произвёл на него положительное впечатление, и он приказал передать его в НИИ ВВС на госиспытания.</w:t>
      </w:r>
    </w:p>
    <w:p w14:paraId="14B2FE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этот же день Говоров перегнал машину на аэродром Чкаловская, где экипаж В.И. Жданова проводил её испытания до конца мая.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АЧ-ЗОБ. Отмечались наличие металлической стружки в маслосистеме, выбросы масла, недостаточная эффективность системы охлаждения на больших высотах. </w:t>
      </w:r>
    </w:p>
    <w:p w14:paraId="31D915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w:t>
      </w:r>
    </w:p>
    <w:p w14:paraId="70298C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позже стало с этими машинами - установить трудно. Главный конструктор Незваль утверждал, что ему об этом ничего не известно (11996).</w:t>
      </w:r>
    </w:p>
    <w:p w14:paraId="05026E1F" w14:textId="77777777" w:rsidR="00665165" w:rsidRPr="00F90EAE" w:rsidRDefault="00665165" w:rsidP="00F90EAE">
      <w:pPr>
        <w:autoSpaceDE w:val="0"/>
        <w:autoSpaceDN w:val="0"/>
        <w:adjustRightInd w:val="0"/>
        <w:jc w:val="both"/>
        <w:rPr>
          <w:color w:val="000000" w:themeColor="text1"/>
          <w:sz w:val="16"/>
          <w:szCs w:val="16"/>
        </w:rPr>
      </w:pPr>
    </w:p>
    <w:p w14:paraId="49474DD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F81FBE2" w14:textId="77777777" w:rsidR="00665165" w:rsidRPr="00F90EAE" w:rsidRDefault="00665165" w:rsidP="00F90EAE">
      <w:pPr>
        <w:autoSpaceDE w:val="0"/>
        <w:autoSpaceDN w:val="0"/>
        <w:adjustRightInd w:val="0"/>
        <w:jc w:val="both"/>
        <w:rPr>
          <w:iCs/>
          <w:color w:val="000000" w:themeColor="text1"/>
          <w:sz w:val="16"/>
          <w:szCs w:val="16"/>
        </w:rPr>
      </w:pPr>
    </w:p>
    <w:p w14:paraId="48A8F195" w14:textId="77777777" w:rsidR="003751D3" w:rsidRPr="00F90EAE" w:rsidRDefault="003751D3" w:rsidP="00F90EAE">
      <w:pPr>
        <w:jc w:val="both"/>
        <w:rPr>
          <w:color w:val="000000" w:themeColor="text1"/>
          <w:sz w:val="16"/>
          <w:szCs w:val="16"/>
        </w:rPr>
      </w:pPr>
      <w:r w:rsidRPr="00F90EAE">
        <w:rPr>
          <w:rStyle w:val="ucoz-forum-post"/>
          <w:color w:val="000000" w:themeColor="text1"/>
          <w:sz w:val="16"/>
          <w:szCs w:val="16"/>
        </w:rPr>
        <w:t xml:space="preserve">4 марта </w:t>
      </w:r>
      <w:r w:rsidRPr="00F90EAE">
        <w:rPr>
          <w:color w:val="000000" w:themeColor="text1"/>
          <w:sz w:val="16"/>
          <w:szCs w:val="16"/>
        </w:rPr>
        <w:t>в 1945 году оперативная сводка Совинформбюро:</w:t>
      </w:r>
    </w:p>
    <w:p w14:paraId="1448AADD" w14:textId="77777777" w:rsidR="003751D3" w:rsidRPr="00F90EAE" w:rsidRDefault="003751D3" w:rsidP="00F90EAE">
      <w:pPr>
        <w:jc w:val="both"/>
        <w:rPr>
          <w:color w:val="000000" w:themeColor="text1"/>
          <w:sz w:val="16"/>
          <w:szCs w:val="16"/>
        </w:rPr>
      </w:pPr>
      <w:r w:rsidRPr="00F90EAE">
        <w:rPr>
          <w:color w:val="000000" w:themeColor="text1"/>
          <w:sz w:val="16"/>
          <w:szCs w:val="16"/>
        </w:rPr>
        <w:t>«В течение 4 марта юго-западнее Кенигсберга наши войска вели бои по уничтожению Восточно-Прусской группировки противника, в ходе которых овладели населёнными пунктами Конрадсвальде, Вессельсхефен, Шпервинен, Пеллен, Хассельпуш, Клайн Людткенфюрст, Хоенфюрст, Блюмберг, Киршдорф, Клопхен.</w:t>
      </w:r>
    </w:p>
    <w:p w14:paraId="42CF8992" w14:textId="77777777" w:rsidR="003751D3" w:rsidRPr="00F90EAE" w:rsidRDefault="003751D3" w:rsidP="00F90EAE">
      <w:pPr>
        <w:jc w:val="both"/>
        <w:rPr>
          <w:color w:val="000000" w:themeColor="text1"/>
          <w:sz w:val="16"/>
          <w:szCs w:val="16"/>
        </w:rPr>
      </w:pPr>
      <w:r w:rsidRPr="00F90EAE">
        <w:rPr>
          <w:color w:val="000000" w:themeColor="text1"/>
          <w:sz w:val="16"/>
          <w:szCs w:val="16"/>
        </w:rPr>
        <w:t>Северо-западнее города Грудзяндз (Грауденц) наши войска в результате наступательных боёв овладели городом Скурц и заняли населённые пункты Грабау, Бобау, Одри, Любня, Брусс.</w:t>
      </w:r>
    </w:p>
    <w:p w14:paraId="2EDD831A"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4 марта вышли на побережье Балтийского моря и овладели городом Кезлин — важным узлом коммуникаций и мощным опорным пунктом обороны немцев на путях из Данцига в Штеттин, отрезав, таким образом, войска противника в восточной Померании от его войск в западной Померании, а также с боями заняли более 50 населённых пунктов, среди которых крупные населённые пункты Райнвассер, Притциг, Феллин, Буссин, Крампе, Грюневальд.</w:t>
      </w:r>
    </w:p>
    <w:p w14:paraId="02FB46DA"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1-го Белорусского фронта, прорвав сильно укреплённую оборону немцев восточнее города Штаргард, за четыре дня наступательных боёв продвинулись вперёд до 100 километров и вышли на побережье Балтийского моря в районе города Кольберг.</w:t>
      </w:r>
    </w:p>
    <w:p w14:paraId="7CD9DAD4" w14:textId="77777777" w:rsidR="003751D3" w:rsidRPr="00F90EAE" w:rsidRDefault="003751D3" w:rsidP="00F90EAE">
      <w:pPr>
        <w:jc w:val="both"/>
        <w:rPr>
          <w:color w:val="000000" w:themeColor="text1"/>
          <w:sz w:val="16"/>
          <w:szCs w:val="16"/>
        </w:rPr>
      </w:pPr>
      <w:r w:rsidRPr="00F90EAE">
        <w:rPr>
          <w:color w:val="000000" w:themeColor="text1"/>
          <w:sz w:val="16"/>
          <w:szCs w:val="16"/>
        </w:rPr>
        <w:t>В ходе наступления войска фронта овладели городами Бервальде, Темпельбург, Фалькенбург, Драмбург, Вангерин, Лабес, Фрайенвальде, Шифельбайн, Регенвальде и Керлин — важными узлами коммуникаций и сильными опорными пунктами обороны немцев в Померании, а также с боями заняли более 600 других населённых пунктов, в том числе крупные населённые пункты Шенвальде, Леков, Штаргордт, Гросс Раддов, Дабер, Ухтенхаген, Далов, Вульнов (5 километров восточнее города Штаргард), Шенеберг, Швендт. Одновременно войска фронта южнее и юго-западнее города Штаргард с боями заняли город и железнодорожный узел Пиритц и более 50 других населённых пунктов, среди которых крупные населённые пункты Крюссов, Дамнитц, Вербен, Гизенталь, Баббин, Либенов, Ниппервизе, Нидеркрэниг, Пеетциг.</w:t>
      </w:r>
    </w:p>
    <w:p w14:paraId="4CACFBB7" w14:textId="77777777" w:rsidR="003751D3" w:rsidRPr="00F90EAE" w:rsidRDefault="003751D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3418043" w14:textId="77777777" w:rsidR="003751D3" w:rsidRPr="00F90EAE" w:rsidRDefault="003751D3" w:rsidP="00F90EAE">
      <w:pPr>
        <w:jc w:val="both"/>
        <w:rPr>
          <w:color w:val="000000" w:themeColor="text1"/>
          <w:sz w:val="16"/>
          <w:szCs w:val="16"/>
        </w:rPr>
      </w:pPr>
      <w:r w:rsidRPr="00F90EAE">
        <w:rPr>
          <w:color w:val="000000" w:themeColor="text1"/>
          <w:sz w:val="16"/>
          <w:szCs w:val="16"/>
        </w:rPr>
        <w:t>За 3 марта на всех фронтах подбито и уничтожено 90 немецких танков. В воздушных боях и огнём зенитной артиллерии сбито 49 самолётов противника.</w:t>
      </w:r>
    </w:p>
    <w:p w14:paraId="22E24995" w14:textId="77777777" w:rsidR="003751D3" w:rsidRPr="00F90EAE" w:rsidRDefault="003751D3" w:rsidP="00F90EAE">
      <w:pPr>
        <w:jc w:val="both"/>
        <w:rPr>
          <w:color w:val="000000" w:themeColor="text1"/>
          <w:sz w:val="16"/>
          <w:szCs w:val="16"/>
        </w:rPr>
      </w:pPr>
      <w:r w:rsidRPr="00F90EAE">
        <w:rPr>
          <w:color w:val="000000" w:themeColor="text1"/>
          <w:sz w:val="16"/>
          <w:szCs w:val="16"/>
        </w:rPr>
        <w:t>В Восточной Пруссии юго-западнее Кенигсберга наши войска продолжали бои по ликвидации окружённой группировки противника. Немцы, опираясь на долговременные укрепления, оказывают упорное сопротивление. Части Н-ского соединения, атаковав противника, заняли несколько населенных пунктов и укреплённых высот в районе автострады Кенигсберг — Эльбинг. Захвачено более 20 железобетонных дотов. На другом участке советские пехотинцы после ожесточённых боёв, переходивших в рукопашные схватки, овладели сильно укреплённым опорным пунктом и узлом шоссейных дорог Пеллен. Противник потерял только убитыми более 2.000 солдат и офицеров. Сожжено и подбито 16 немецких танков и самоходных орудий. Захвачено 4 самоходных и 28 полевых орудий, 126 пулемётов и другие трофеи. За два дня взято в плен 740 немецких солдат и офицеров. Пленные сообщили, что немецкое командование, пытаясь предотвратить сдачу, в плен немецких солдат, издало приказ, в котором говорится: «По каждому солдату, который сделает без команды три шага в сторону русских, офицеры должны открывать огонь».</w:t>
      </w:r>
    </w:p>
    <w:p w14:paraId="5E2D984B"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Противник предпринимал отчаянные попытки остановить наступающие советские части и не допустить их к побережью Балтийского моря. В район прорыва немцы спешно перебросили крупные подкрепления, в том числе моторизованную дивизию СС «Полицай» и танковую дивизию СС «Гольштейн». Танки и пехота противника много раз бросались в контратаки, в ходе которых понесли огромные потери. Так, западнее города Бублиц два полка пехоты и 30 танков пытались нанести удар во фланг нашим войскам. Танкисты и артиллеристы Н-ского соединения в коротком бою наголову разгромили эту вражескую группу. Остатки разбитых немецких полков взяты в плен. Ожесточённые бои происходили и на других участках фронта.</w:t>
      </w:r>
    </w:p>
    <w:p w14:paraId="163853CF" w14:textId="77777777" w:rsidR="003751D3" w:rsidRPr="00F90EAE" w:rsidRDefault="003751D3" w:rsidP="00F90EAE">
      <w:pPr>
        <w:jc w:val="both"/>
        <w:rPr>
          <w:color w:val="000000" w:themeColor="text1"/>
          <w:sz w:val="16"/>
          <w:szCs w:val="16"/>
        </w:rPr>
      </w:pPr>
      <w:r w:rsidRPr="00F90EAE">
        <w:rPr>
          <w:color w:val="000000" w:themeColor="text1"/>
          <w:sz w:val="16"/>
          <w:szCs w:val="16"/>
        </w:rPr>
        <w:t>Наши войска, расчленяя на части и уничтожая дивизии противника, продвинулись вперёд на 35 километров и вышли на побережье Балтийского моря. Одновременно войска фронта прорвались к городу Кезлин. Наши пехотинцы завязали бои на южной окраине города. Тем временем подвижные отряды, совершив обходный манёвр, отрезали крупному вражескому гарнизону все пути отхода. Гитлеровцы подготовили город к длительной обороне. Они превратили каменные здания в доты и устроили на улицах завалы. Советские части предприняли одновременно атаку с востока, запада, юга и севера. Гитлеровцы метались с одного участка на другой, но не смогли сдержать мощного натиска частей Красной Армии. Во второй половине дня наши войска ликвидировали вражеский гарнизон и полностью овладели городом Кезлин. Только на подступах к городу уничтожено 2.500 немецких солдат и офицеров и 27 танков противника. Захвачены большие трофеи и много пленных. Город Кезлин является важным узлом коммуникаций, а также крупным административным и промышленным центром Померании.</w:t>
      </w:r>
    </w:p>
    <w:p w14:paraId="09F3E885"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1-го Белорусского фронта перешли в наступление на участке восточнее города Штаргард. Немцы сосредоточили в этом районе крупные силы и в феврале неоднократно пытались отбросить наши части на юг. Войска фронта в ходе боёв измотали противника и утром 1-го марта сами перешли в решительное наступление. После мощной артиллерийской и авиационной подготовки советские пехотинцы атаковали противника и в ожесточённом бою прорвали сильно укреплённую оборону немцев. Ожесточённые бои развернулись в полосе лесных массивов и озёр. Оттепель, а также прошедшие в последние дни дожди испортили грунтовые дороги. Многочисленные ручьи и речки также явились серьёзной помехой для наступающих войск. Советские части, преодолевая на своём пути всевозможные препятствия, разгромили противника, засевшего в укреплениях между озёрами, и устремились на север. Наши подвижные соединения, прорвавшись в тылы врага, опрокинули и рассеяли подходившие резервы немцев. Овладев важными узлами коммуникаций и городами Фрайенвальде, Вангерин, Лабес, Регенвальде, Шифельбайн, Керлин и другими, наши войска вышли на побережье Балтийского моря в районе города Кольберг. В ходе наступления нанесено тяжёлое поражение двум моторизованным и трём пехотным дивизиям СС и другим соединениям противника. Многие немецкие части были разбиты в первых же боях. Их остатки, потеряв управление, бродят в лесах и вылавливаются советскими бойцами. Все попытки немецкого командования задержать наши войска на промежуточных рубежах были сорваны стремительными ударами частей Красной Армии. Захвачены огромные трофеи и большое число пленных.» (15058).</w:t>
      </w:r>
    </w:p>
    <w:p w14:paraId="6D2BF242" w14:textId="77777777" w:rsidR="003751D3" w:rsidRPr="00F90EAE" w:rsidRDefault="003751D3" w:rsidP="00F90EAE">
      <w:pPr>
        <w:jc w:val="both"/>
        <w:rPr>
          <w:color w:val="000000" w:themeColor="text1"/>
          <w:sz w:val="16"/>
          <w:szCs w:val="16"/>
        </w:rPr>
      </w:pPr>
    </w:p>
    <w:p w14:paraId="013E29F4" w14:textId="77777777" w:rsidR="00A87480" w:rsidRPr="00F90EAE" w:rsidRDefault="00A87480" w:rsidP="00F90EAE">
      <w:pPr>
        <w:jc w:val="both"/>
        <w:rPr>
          <w:color w:val="0070C0"/>
          <w:sz w:val="16"/>
          <w:szCs w:val="16"/>
        </w:rPr>
      </w:pPr>
      <w:r w:rsidRPr="00F90EAE">
        <w:rPr>
          <w:color w:val="0070C0"/>
          <w:sz w:val="16"/>
          <w:szCs w:val="16"/>
        </w:rPr>
        <w:t>4 марта 1945 - Экипаж на Douglas C-47 с бортовым номером СССР-Л915 (заводской — 13350) выполнил рейс из Ленинграда в Вормдитт, в ходе которого доставил личный состав 227-й штурмовой авиадивизии. В Вормдитте представитель данной авиадивизии пригласил экипаж на обед. Во время обеда среди прочего члены экипажа также пили алкоголь — водку и спирт, хотя им ещё предстоял обратный рейс на аэродром базирования в Инстербурге. Затем экипаж приехал на аэродром, где, согласно показаниям свидетелей, нетрезвый командир корабля Мазо начал хвастаться своим мастерством перед лётчиками штурмовой авиации. Наконец в 17:25 «Дуглас» поднялся в воздух, после чего на высоте 70 метров сделал над аэродромом полный круг, затем снизился до высоты 20—30 метров и, увеличив режим двигателей до максимального, совершил боевой разворот с выходом около 180° со снижением, и только после этого направился в Инстербург.</w:t>
      </w:r>
    </w:p>
    <w:p w14:paraId="48DC2E36" w14:textId="77777777" w:rsidR="00A87480" w:rsidRPr="00F90EAE" w:rsidRDefault="00A87480" w:rsidP="00F90EAE">
      <w:pPr>
        <w:jc w:val="both"/>
        <w:rPr>
          <w:color w:val="0070C0"/>
          <w:sz w:val="16"/>
          <w:szCs w:val="16"/>
        </w:rPr>
      </w:pPr>
      <w:r w:rsidRPr="00F90EAE">
        <w:rPr>
          <w:color w:val="0070C0"/>
          <w:sz w:val="16"/>
          <w:szCs w:val="16"/>
        </w:rPr>
        <w:t xml:space="preserve">В Инстербурге в это время шёл сильный снегопад, при этом видимость упала до 100—150 метров. Тогда командир полка передал на борт Л915 радиограмму: «Возвращайтесь Вормдитт, в Инстербурге шторм». Однако командир корабля возвращаться не стал. Второе сообщение на борт гласило «Возвращайтесь Вормдитт, запрещаю лететь в Инстербург», но и оно не изменило намерений экипажа следовать в Инстербург. Третья радиограмма гласила: «Категорически запрещаю идти в Инстербург, идите в Вормдитт». Лишь после этого с борта Л915 доложили о возвращении в Вормдитт. Но во время полёта в Вормдитт летящий по курсу 320° C-47 влетел в сильный снегопад, после чего, следуя на низкой высоте, он неожиданно оказался над лесом. Правая плоскость врезалась в верхушки двух елей и отделилась. </w:t>
      </w:r>
      <w:r w:rsidRPr="00F90EAE">
        <w:rPr>
          <w:color w:val="0070C0"/>
          <w:sz w:val="16"/>
          <w:szCs w:val="16"/>
        </w:rPr>
        <w:lastRenderedPageBreak/>
        <w:t>Пролетев от места первого удара 740 метров, авиалайнер в 3 километрах севернее Мульдена под углом 45° упал на штабеля дров, находящихся в расположенной на поляне лесосеке, разрушился и загорелся. Через 3 дня, 7 марта разбившийся самолёт был обнаружен с воздуха. Все 5 человек на борту погибли.</w:t>
      </w:r>
    </w:p>
    <w:p w14:paraId="41E5ACC7" w14:textId="77777777" w:rsidR="00A87480" w:rsidRPr="00F90EAE" w:rsidRDefault="00A87480" w:rsidP="00F90EAE">
      <w:pPr>
        <w:jc w:val="both"/>
        <w:rPr>
          <w:color w:val="0070C0"/>
          <w:sz w:val="16"/>
          <w:szCs w:val="16"/>
        </w:rPr>
      </w:pPr>
      <w:r w:rsidRPr="00F90EAE">
        <w:rPr>
          <w:color w:val="0070C0"/>
          <w:sz w:val="16"/>
          <w:szCs w:val="16"/>
        </w:rPr>
        <w:t>Причиной катастрофы была названа недисциплинированность экипажа, который следовал на опасно малой высоте в сильный снегопад, да ещё и в нетрезвом состоянии, при этом не выполнив два приказания возвращаться на аэродром вылета. При расследовании была вскрыта недостаточная организация лётной работы на оперативной точке, плохо проводилась воспитательная работа среди личного состава, а командиры были недостаточно требовательны к подчинённым по части беспрекословного выполнения инструкций и наставлений по летной службе. Также было установлено, что командир корабля Мазо и до этого происшествия имел случаи употребления алкоголя перед полётами (22580).</w:t>
      </w:r>
    </w:p>
    <w:p w14:paraId="23222776" w14:textId="77777777" w:rsidR="00A87480" w:rsidRPr="00F90EAE" w:rsidRDefault="00A87480" w:rsidP="00F90EAE">
      <w:pPr>
        <w:jc w:val="both"/>
        <w:rPr>
          <w:color w:val="0070C0"/>
          <w:sz w:val="16"/>
          <w:szCs w:val="16"/>
        </w:rPr>
      </w:pPr>
    </w:p>
    <w:p w14:paraId="49F9B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4 марта по 17 апреля 1944 была Проскуровско-Черновицкая операция и продвинулись на 80-350 км, выйдя к предгорьям Карпат. Стратегический фронт был рассечен на 2 части (2443,57).</w:t>
      </w:r>
    </w:p>
    <w:p w14:paraId="0B73B9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71B2AB58" w14:textId="77777777" w:rsidR="00665165" w:rsidRPr="00F90EAE" w:rsidRDefault="00665165" w:rsidP="00F90EAE">
      <w:pPr>
        <w:autoSpaceDE w:val="0"/>
        <w:autoSpaceDN w:val="0"/>
        <w:adjustRightInd w:val="0"/>
        <w:jc w:val="both"/>
        <w:rPr>
          <w:color w:val="000000" w:themeColor="text1"/>
          <w:sz w:val="16"/>
          <w:szCs w:val="16"/>
        </w:rPr>
      </w:pPr>
    </w:p>
    <w:p w14:paraId="6E64550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4th, 1945: Units of the Soviet 1st Belorussian Front (Zhukov) establish a new bridgehead across the Oder south of Frankfurt (3819).</w:t>
      </w:r>
    </w:p>
    <w:p w14:paraId="1A1E52A5" w14:textId="77777777" w:rsidR="00665165" w:rsidRPr="00F90EAE" w:rsidRDefault="00665165" w:rsidP="00F90EAE">
      <w:pPr>
        <w:autoSpaceDE w:val="0"/>
        <w:autoSpaceDN w:val="0"/>
        <w:adjustRightInd w:val="0"/>
        <w:jc w:val="both"/>
        <w:rPr>
          <w:color w:val="000000" w:themeColor="text1"/>
          <w:sz w:val="16"/>
          <w:szCs w:val="16"/>
          <w:lang w:val="en-US"/>
        </w:rPr>
      </w:pPr>
    </w:p>
    <w:p w14:paraId="18555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марта 1945 части 1БФ (Жуков) захватили новый плацдарм на Одере на юг от Франкфурта (3819).</w:t>
      </w:r>
    </w:p>
    <w:p w14:paraId="1CCAE10A" w14:textId="77777777" w:rsidR="00665165" w:rsidRPr="00F90EAE" w:rsidRDefault="00665165" w:rsidP="00F90EAE">
      <w:pPr>
        <w:autoSpaceDE w:val="0"/>
        <w:autoSpaceDN w:val="0"/>
        <w:adjustRightInd w:val="0"/>
        <w:jc w:val="both"/>
        <w:rPr>
          <w:color w:val="000000" w:themeColor="text1"/>
          <w:sz w:val="16"/>
          <w:szCs w:val="16"/>
        </w:rPr>
      </w:pPr>
    </w:p>
    <w:p w14:paraId="2E27FE7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F5B1B03" w14:textId="77777777" w:rsidR="00665165" w:rsidRPr="00F90EAE" w:rsidRDefault="00665165" w:rsidP="00F90EAE">
      <w:pPr>
        <w:autoSpaceDE w:val="0"/>
        <w:autoSpaceDN w:val="0"/>
        <w:adjustRightInd w:val="0"/>
        <w:jc w:val="both"/>
        <w:rPr>
          <w:iCs/>
          <w:color w:val="000000" w:themeColor="text1"/>
          <w:sz w:val="16"/>
          <w:szCs w:val="16"/>
        </w:rPr>
      </w:pPr>
    </w:p>
    <w:p w14:paraId="752829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марта 1945 года было получено:</w:t>
      </w:r>
    </w:p>
    <w:p w14:paraId="20DAF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ЛИЧНО И СЕКРЕТНО ДЛЯ МАРШАЛА СТАЛИНА ОТ ПРЕЗИДЕНТА РУЗВЕЛЬТА</w:t>
      </w:r>
    </w:p>
    <w:p w14:paraId="0AAC20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Я располагаю достоверной информацией относительно трудностей, с которыми приходится сталкиваться при сборе, организации снабжения и вывоза бывших американских военнопленных и экипажей американских самолетов, сделавших вынужденную посадку к востоку от линии русского фронта. Крайне необходимо, чтобы были даны указания разрешить десяти американским самолетам с американскими экипажами совершать рейсы между Полтавой </w:t>
      </w:r>
      <w:r w:rsidRPr="00F90EAE">
        <w:rPr>
          <w:color w:val="000000" w:themeColor="text1"/>
          <w:sz w:val="16"/>
          <w:szCs w:val="16"/>
          <w:vertAlign w:val="superscript"/>
        </w:rPr>
        <w:t>80</w:t>
      </w:r>
      <w:r w:rsidRPr="00F90EAE">
        <w:rPr>
          <w:color w:val="000000" w:themeColor="text1"/>
          <w:sz w:val="16"/>
          <w:szCs w:val="16"/>
        </w:rPr>
        <w:t xml:space="preserve"> и теми пунктами в Польше, в которых могут находиться бывшие американские военнопленные и летчики, совершившие вынужденную посадку. Это разрешение испрашивается в целях снабжения дополнительным количеством одежды, медикаментов и продовольствия всех американских военнослужащих и для того, чтобы вывезти экипажи самолетов, совершивших вынужденную посадку, и освобожденных военнопленных, в особенности в целях отправки раненых и больных в американский госпиталь в Полтаве. Я придаю этой просьбе величайшее значение не только из соображений гуманности, но и в силу глубокой заинтересованности американского народа в благополучии наших бывших военнопленных и экипажей потерпевших бедствие самолетов.</w:t>
      </w:r>
    </w:p>
    <w:p w14:paraId="0863FC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Во-вторых, в том, что касается общего вопроса о военнопленных, находящихся еще у немцев, я считаю, что мы должны быстро предпринять что-либо. Количество этих военнопленных — русских, британских и американских — весьма велико. Ввиду того, что Вы не одобрили представленный нами план, что Вы предлагаете вместо него? (7430).</w:t>
      </w:r>
    </w:p>
    <w:p w14:paraId="7EEC58A2" w14:textId="77777777" w:rsidR="00665165" w:rsidRPr="00F90EAE" w:rsidRDefault="00665165" w:rsidP="00F90EAE">
      <w:pPr>
        <w:autoSpaceDE w:val="0"/>
        <w:autoSpaceDN w:val="0"/>
        <w:adjustRightInd w:val="0"/>
        <w:jc w:val="both"/>
        <w:rPr>
          <w:color w:val="000000" w:themeColor="text1"/>
          <w:sz w:val="16"/>
          <w:szCs w:val="16"/>
        </w:rPr>
      </w:pPr>
    </w:p>
    <w:p w14:paraId="4C1134F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B28BF37" w14:textId="77777777" w:rsidR="00665165" w:rsidRPr="00F90EAE" w:rsidRDefault="00665165" w:rsidP="00F90EAE">
      <w:pPr>
        <w:autoSpaceDE w:val="0"/>
        <w:autoSpaceDN w:val="0"/>
        <w:adjustRightInd w:val="0"/>
        <w:jc w:val="both"/>
        <w:rPr>
          <w:iCs/>
          <w:color w:val="000000" w:themeColor="text1"/>
          <w:sz w:val="16"/>
          <w:szCs w:val="16"/>
        </w:rPr>
      </w:pPr>
    </w:p>
    <w:p w14:paraId="753C8DA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марта 1945 Финляндия объявила войну Германии (4962).</w:t>
      </w:r>
    </w:p>
    <w:p w14:paraId="2F121B8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B5D863" w14:textId="77777777" w:rsidR="003751D3" w:rsidRPr="00F90EAE" w:rsidRDefault="003751D3" w:rsidP="00F90EAE">
      <w:pPr>
        <w:jc w:val="both"/>
        <w:rPr>
          <w:color w:val="000000" w:themeColor="text1"/>
          <w:sz w:val="16"/>
          <w:szCs w:val="16"/>
        </w:rPr>
      </w:pPr>
      <w:r w:rsidRPr="00F90EAE">
        <w:rPr>
          <w:rStyle w:val="ucoz-forum-post"/>
          <w:color w:val="000000" w:themeColor="text1"/>
          <w:sz w:val="16"/>
          <w:szCs w:val="16"/>
        </w:rPr>
        <w:t xml:space="preserve">4 марта </w:t>
      </w:r>
      <w:r w:rsidRPr="00F90EAE">
        <w:rPr>
          <w:color w:val="000000" w:themeColor="text1"/>
          <w:sz w:val="16"/>
          <w:szCs w:val="16"/>
        </w:rPr>
        <w:t>в 1945 году правительство Бельгии потребовало от англо-американского командования выделения судов для снабжения населения продовольствием (15058).</w:t>
      </w:r>
    </w:p>
    <w:p w14:paraId="2F3B3478" w14:textId="77777777" w:rsidR="003751D3" w:rsidRPr="00F90EAE" w:rsidRDefault="003751D3" w:rsidP="00F90EAE">
      <w:pPr>
        <w:jc w:val="both"/>
        <w:rPr>
          <w:color w:val="000000" w:themeColor="text1"/>
          <w:sz w:val="16"/>
          <w:szCs w:val="16"/>
        </w:rPr>
      </w:pPr>
    </w:p>
    <w:p w14:paraId="0D58A5A8" w14:textId="77777777" w:rsidR="003751D3" w:rsidRPr="00F90EAE" w:rsidRDefault="003751D3" w:rsidP="00F90EAE">
      <w:pPr>
        <w:jc w:val="both"/>
        <w:rPr>
          <w:color w:val="000000" w:themeColor="text1"/>
          <w:sz w:val="16"/>
          <w:szCs w:val="16"/>
        </w:rPr>
      </w:pPr>
      <w:r w:rsidRPr="00F90EAE">
        <w:rPr>
          <w:rStyle w:val="ucoz-forum-post"/>
          <w:color w:val="000000" w:themeColor="text1"/>
          <w:sz w:val="16"/>
          <w:szCs w:val="16"/>
        </w:rPr>
        <w:t xml:space="preserve">4 марта </w:t>
      </w:r>
      <w:r w:rsidRPr="00F90EAE">
        <w:rPr>
          <w:color w:val="000000" w:themeColor="text1"/>
          <w:sz w:val="16"/>
          <w:szCs w:val="16"/>
        </w:rPr>
        <w:t>в 1945 году американцы взяли Манилу (15058).</w:t>
      </w:r>
    </w:p>
    <w:p w14:paraId="1CD7CB24" w14:textId="77777777" w:rsidR="003751D3" w:rsidRPr="00F90EAE" w:rsidRDefault="003751D3" w:rsidP="00F90EAE">
      <w:pPr>
        <w:jc w:val="both"/>
        <w:rPr>
          <w:color w:val="000000" w:themeColor="text1"/>
          <w:sz w:val="16"/>
          <w:szCs w:val="16"/>
        </w:rPr>
      </w:pPr>
    </w:p>
    <w:p w14:paraId="1D98E4E5" w14:textId="77777777" w:rsidR="003751D3" w:rsidRPr="00F90EAE" w:rsidRDefault="003751D3" w:rsidP="00F90EAE">
      <w:pPr>
        <w:jc w:val="both"/>
        <w:rPr>
          <w:color w:val="000000" w:themeColor="text1"/>
          <w:sz w:val="16"/>
          <w:szCs w:val="16"/>
        </w:rPr>
      </w:pPr>
      <w:r w:rsidRPr="00F90EAE">
        <w:rPr>
          <w:rStyle w:val="ucoz-forum-post"/>
          <w:color w:val="000000" w:themeColor="text1"/>
          <w:sz w:val="16"/>
          <w:szCs w:val="16"/>
        </w:rPr>
        <w:t xml:space="preserve">4 марта </w:t>
      </w:r>
      <w:r w:rsidRPr="00F90EAE">
        <w:rPr>
          <w:color w:val="000000" w:themeColor="text1"/>
          <w:sz w:val="16"/>
          <w:szCs w:val="16"/>
        </w:rPr>
        <w:t>в 1945 году британские войска овладели Мейтхилой в Бирме (15058).</w:t>
      </w:r>
    </w:p>
    <w:p w14:paraId="0D91DD3E" w14:textId="77777777" w:rsidR="003751D3" w:rsidRPr="00F90EAE" w:rsidRDefault="003751D3" w:rsidP="00F90EAE">
      <w:pPr>
        <w:jc w:val="both"/>
        <w:rPr>
          <w:color w:val="000000" w:themeColor="text1"/>
          <w:sz w:val="16"/>
          <w:szCs w:val="16"/>
        </w:rPr>
      </w:pPr>
    </w:p>
    <w:p w14:paraId="3FDECCDF" w14:textId="77777777" w:rsidR="00920EF0" w:rsidRPr="00F90EAE" w:rsidRDefault="00920EF0" w:rsidP="00F90EAE">
      <w:pPr>
        <w:jc w:val="both"/>
        <w:rPr>
          <w:color w:val="0070C0"/>
          <w:sz w:val="16"/>
          <w:szCs w:val="16"/>
        </w:rPr>
      </w:pPr>
      <w:r w:rsidRPr="00F90EAE">
        <w:rPr>
          <w:color w:val="0070C0"/>
          <w:sz w:val="16"/>
          <w:szCs w:val="16"/>
        </w:rPr>
        <w:t>4 марта 1945 Оперативная группа 58 возвращается на базу на атолле Улити. Во время двухнедельного круиза в районе Токио и Окинавы пилоты заявили, что 393 японских самолета были сбиты и 250 уничтожены на земле, в обмен на потерю 84 самолетов, 60 пилотов и 21 летного экипажа в бою и 59 самолетов, восемь пилоты и шесть членов экипажа в небоевых происшествиях (20371).</w:t>
      </w:r>
    </w:p>
    <w:p w14:paraId="61664F9E" w14:textId="77777777" w:rsidR="00920EF0" w:rsidRPr="00F90EAE" w:rsidRDefault="00920EF0" w:rsidP="00F90EAE">
      <w:pPr>
        <w:jc w:val="both"/>
        <w:rPr>
          <w:color w:val="0070C0"/>
          <w:sz w:val="16"/>
          <w:szCs w:val="16"/>
        </w:rPr>
      </w:pPr>
    </w:p>
    <w:p w14:paraId="2D093A9D" w14:textId="77777777" w:rsidR="00920EF0" w:rsidRPr="00F90EAE" w:rsidRDefault="00920EF0" w:rsidP="00F90EAE">
      <w:pPr>
        <w:jc w:val="both"/>
        <w:rPr>
          <w:color w:val="0070C0"/>
          <w:sz w:val="16"/>
          <w:szCs w:val="16"/>
        </w:rPr>
      </w:pPr>
      <w:r w:rsidRPr="00F90EAE">
        <w:rPr>
          <w:color w:val="0070C0"/>
          <w:sz w:val="16"/>
          <w:szCs w:val="16"/>
        </w:rPr>
        <w:t>4 марта 1945 после налета на Японию B-29 Superfortress приземлился на Иводзиме, став первым из примерно 2400 B-29, совершивших это до окончания Второй мировой войны в августе (20371).</w:t>
      </w:r>
    </w:p>
    <w:p w14:paraId="561A672F" w14:textId="77777777" w:rsidR="00920EF0" w:rsidRPr="00F90EAE" w:rsidRDefault="00920EF0" w:rsidP="00F90EAE">
      <w:pPr>
        <w:jc w:val="both"/>
        <w:rPr>
          <w:color w:val="0070C0"/>
          <w:sz w:val="16"/>
          <w:szCs w:val="16"/>
        </w:rPr>
      </w:pPr>
    </w:p>
    <w:p w14:paraId="2FE141E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марта 1945 в Югославии создан футбольный клуб “Црвена Звезда” (4962).</w:t>
      </w:r>
    </w:p>
    <w:p w14:paraId="6FAA257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D6C2B4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9C650E2" w14:textId="77777777" w:rsidR="00665165" w:rsidRPr="00F90EAE" w:rsidRDefault="00665165" w:rsidP="00F90EAE">
      <w:pPr>
        <w:autoSpaceDE w:val="0"/>
        <w:autoSpaceDN w:val="0"/>
        <w:adjustRightInd w:val="0"/>
        <w:jc w:val="both"/>
        <w:rPr>
          <w:iCs/>
          <w:color w:val="000000" w:themeColor="text1"/>
          <w:sz w:val="16"/>
          <w:szCs w:val="16"/>
        </w:rPr>
      </w:pPr>
    </w:p>
    <w:p w14:paraId="7819F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г. утвердили макет высотного бомбардировщика "ВБ" с гермокабиной, рассчитанного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(3337).</w:t>
      </w:r>
    </w:p>
    <w:p w14:paraId="162E3422" w14:textId="77777777" w:rsidR="00665165" w:rsidRPr="00F90EAE" w:rsidRDefault="00665165" w:rsidP="00F90EAE">
      <w:pPr>
        <w:autoSpaceDE w:val="0"/>
        <w:autoSpaceDN w:val="0"/>
        <w:adjustRightInd w:val="0"/>
        <w:jc w:val="both"/>
        <w:rPr>
          <w:color w:val="000000" w:themeColor="text1"/>
          <w:sz w:val="16"/>
          <w:szCs w:val="16"/>
        </w:rPr>
      </w:pPr>
    </w:p>
    <w:p w14:paraId="0592A6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марта 1945 года утвердили макет самолета «ВБ» с гермокабиной, рассчитанный под про</w:t>
      </w:r>
      <w:r w:rsidRPr="00F90EAE">
        <w:rPr>
          <w:color w:val="000000" w:themeColor="text1"/>
          <w:sz w:val="16"/>
          <w:szCs w:val="16"/>
        </w:rPr>
        <w:softHyphen/>
        <w:t>ектировавшиеся двигатели ВК-109. Оснащенные двух</w:t>
      </w:r>
      <w:r w:rsidRPr="00F90EAE">
        <w:rPr>
          <w:color w:val="000000" w:themeColor="text1"/>
          <w:sz w:val="16"/>
          <w:szCs w:val="16"/>
        </w:rPr>
        <w:softHyphen/>
        <w:t>ступенчатыми центробежными нагнетателями, в ап</w:t>
      </w:r>
      <w:r w:rsidRPr="00F90EAE">
        <w:rPr>
          <w:color w:val="000000" w:themeColor="text1"/>
          <w:sz w:val="16"/>
          <w:szCs w:val="16"/>
        </w:rPr>
        <w:softHyphen/>
        <w:t>реле завод собрал опытную машину. Но в связи с от</w:t>
      </w:r>
      <w:r w:rsidRPr="00F90EAE">
        <w:rPr>
          <w:color w:val="000000" w:themeColor="text1"/>
          <w:sz w:val="16"/>
          <w:szCs w:val="16"/>
        </w:rPr>
        <w:softHyphen/>
        <w:t>сутствием двигателей ВК-109, которые, в соответст</w:t>
      </w:r>
      <w:r w:rsidRPr="00F90EAE">
        <w:rPr>
          <w:color w:val="000000" w:themeColor="text1"/>
          <w:sz w:val="16"/>
          <w:szCs w:val="16"/>
        </w:rPr>
        <w:softHyphen/>
        <w:t>вии с приказом НКАП № 358 от 27 мая 1944 года, должны были поставить в ОКБ 1 января 1945-го, уста</w:t>
      </w:r>
      <w:r w:rsidRPr="00F90EAE">
        <w:rPr>
          <w:color w:val="000000" w:themeColor="text1"/>
          <w:sz w:val="16"/>
          <w:szCs w:val="16"/>
        </w:rPr>
        <w:softHyphen/>
        <w:t>новили менее мощные ВК-108. Казалось, что эта за</w:t>
      </w:r>
      <w:r w:rsidRPr="00F90EAE">
        <w:rPr>
          <w:color w:val="000000" w:themeColor="text1"/>
          <w:sz w:val="16"/>
          <w:szCs w:val="16"/>
        </w:rPr>
        <w:softHyphen/>
        <w:t>мена все же позволит, хотя и не в полном объеме, оп</w:t>
      </w:r>
      <w:r w:rsidRPr="00F90EAE">
        <w:rPr>
          <w:color w:val="000000" w:themeColor="text1"/>
          <w:sz w:val="16"/>
          <w:szCs w:val="16"/>
        </w:rPr>
        <w:softHyphen/>
        <w:t>ределить летные характеристики машины, испытать высотное оборудование и гермокабину. Но и на этом пути встретилось препятствие: задержалась поставка в ОКБ-482 с завода № 26 кабинных нагнетателей. В итоге наземные заводские испытания начались лишь в декабре 1945 года. В следующем году на эту машину назначили ведущего летчика-испытателя Л.А. Юнгмейстера (11446).</w:t>
      </w:r>
    </w:p>
    <w:p w14:paraId="661739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3FA7B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г. выполнили первый полет на ДБ-108, построенного еще в последнюю декаду декабря 1944 (4476).</w:t>
      </w:r>
    </w:p>
    <w:p w14:paraId="5B5EB268" w14:textId="77777777" w:rsidR="00665165" w:rsidRPr="00F90EAE" w:rsidRDefault="00665165" w:rsidP="00F90EAE">
      <w:pPr>
        <w:autoSpaceDE w:val="0"/>
        <w:autoSpaceDN w:val="0"/>
        <w:adjustRightInd w:val="0"/>
        <w:jc w:val="both"/>
        <w:rPr>
          <w:color w:val="000000" w:themeColor="text1"/>
          <w:sz w:val="16"/>
          <w:szCs w:val="16"/>
        </w:rPr>
      </w:pPr>
    </w:p>
    <w:p w14:paraId="5AEF32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г. ДБ-2ВК-108 (другие применявшиеся названия - ДБ-108 и ДСБ-2ВК-108) впервые поднялся лишь Для постройки этой машины использовали центроплан третьего опытного Пе-2И, поэтому по бомбовой нагрузке он не соответствовал утвержденному макету (12042).</w:t>
      </w:r>
    </w:p>
    <w:p w14:paraId="25710F80" w14:textId="77777777" w:rsidR="00665165" w:rsidRPr="00F90EAE" w:rsidRDefault="00665165" w:rsidP="00F90EAE">
      <w:pPr>
        <w:autoSpaceDE w:val="0"/>
        <w:autoSpaceDN w:val="0"/>
        <w:adjustRightInd w:val="0"/>
        <w:jc w:val="both"/>
        <w:rPr>
          <w:color w:val="000000" w:themeColor="text1"/>
          <w:sz w:val="16"/>
          <w:szCs w:val="16"/>
        </w:rPr>
      </w:pPr>
    </w:p>
    <w:p w14:paraId="7D6C6169" w14:textId="77777777" w:rsidR="003751D3" w:rsidRPr="00F90EAE" w:rsidRDefault="003751D3"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5 марта 1945 г. первый экземпляр ДБ 2ВК-108 на</w:t>
      </w:r>
      <w:r w:rsidRPr="00F90EAE">
        <w:rPr>
          <w:rFonts w:ascii="Times New Roman" w:cs="Times New Roman"/>
          <w:color w:val="000000" w:themeColor="text1"/>
          <w:spacing w:val="0"/>
        </w:rPr>
        <w:softHyphen/>
        <w:t>чал летать по программе заводских ис</w:t>
      </w:r>
      <w:r w:rsidRPr="00F90EAE">
        <w:rPr>
          <w:rFonts w:ascii="Times New Roman" w:cs="Times New Roman"/>
          <w:color w:val="000000" w:themeColor="text1"/>
          <w:spacing w:val="0"/>
        </w:rPr>
        <w:softHyphen/>
        <w:t>пытаний. По причине не</w:t>
      </w:r>
      <w:r w:rsidRPr="00F90EAE">
        <w:rPr>
          <w:rFonts w:ascii="Times New Roman" w:cs="Times New Roman"/>
          <w:color w:val="000000" w:themeColor="text1"/>
          <w:spacing w:val="0"/>
        </w:rPr>
        <w:softHyphen/>
        <w:t>удовлетворительной работы моторов испытания самолета затянулись, всех летных данных снять не удалось. Уже в первом же полете обнаружился пере</w:t>
      </w:r>
      <w:r w:rsidRPr="00F90EAE">
        <w:rPr>
          <w:rFonts w:ascii="Times New Roman" w:cs="Times New Roman"/>
          <w:color w:val="000000" w:themeColor="text1"/>
          <w:spacing w:val="0"/>
        </w:rPr>
        <w:softHyphen/>
        <w:t>грев масла. Во втором полете 15 мар</w:t>
      </w:r>
      <w:r w:rsidRPr="00F90EAE">
        <w:rPr>
          <w:rFonts w:ascii="Times New Roman" w:cs="Times New Roman"/>
          <w:color w:val="000000" w:themeColor="text1"/>
          <w:spacing w:val="0"/>
        </w:rPr>
        <w:softHyphen/>
        <w:t>та масло опять грелось. Переделали маслосистему и заменили маслорадиаторы и лучше не стало. 27 апреля про</w:t>
      </w:r>
      <w:r w:rsidRPr="00F90EAE">
        <w:rPr>
          <w:rFonts w:ascii="Times New Roman" w:cs="Times New Roman"/>
          <w:color w:val="000000" w:themeColor="text1"/>
          <w:spacing w:val="0"/>
        </w:rPr>
        <w:softHyphen/>
        <w:t>изошла авария мотора - обрыв шейки главного шатуна, а 5 июня самолет по</w:t>
      </w:r>
      <w:r w:rsidRPr="00F90EAE">
        <w:rPr>
          <w:rFonts w:ascii="Times New Roman" w:cs="Times New Roman"/>
          <w:color w:val="000000" w:themeColor="text1"/>
          <w:spacing w:val="0"/>
        </w:rPr>
        <w:softHyphen/>
        <w:t>терпел катастрофу. На высоте 1500 м «по причине плохой герметизации со</w:t>
      </w:r>
      <w:r w:rsidRPr="00F90EAE">
        <w:rPr>
          <w:rFonts w:ascii="Times New Roman" w:cs="Times New Roman"/>
          <w:color w:val="000000" w:themeColor="text1"/>
          <w:spacing w:val="0"/>
        </w:rPr>
        <w:softHyphen/>
        <w:t>единения самолетной бензопроводки с карбюратором правого блока право</w:t>
      </w:r>
      <w:r w:rsidRPr="00F90EAE">
        <w:rPr>
          <w:rFonts w:ascii="Times New Roman" w:cs="Times New Roman"/>
          <w:color w:val="000000" w:themeColor="text1"/>
          <w:spacing w:val="0"/>
        </w:rPr>
        <w:softHyphen/>
        <w:t>го мотора» на самолете загорелся пра</w:t>
      </w:r>
      <w:r w:rsidRPr="00F90EAE">
        <w:rPr>
          <w:rFonts w:ascii="Times New Roman" w:cs="Times New Roman"/>
          <w:color w:val="000000" w:themeColor="text1"/>
          <w:spacing w:val="0"/>
        </w:rPr>
        <w:softHyphen/>
        <w:t>вый мотор. При посадке при одном ра</w:t>
      </w:r>
      <w:r w:rsidRPr="00F90EAE">
        <w:rPr>
          <w:rFonts w:ascii="Times New Roman" w:cs="Times New Roman"/>
          <w:color w:val="000000" w:themeColor="text1"/>
          <w:spacing w:val="0"/>
        </w:rPr>
        <w:softHyphen/>
        <w:t>ботающем моторе летчик-испытатель завода №22 капитан Васильченко «сде</w:t>
      </w:r>
      <w:r w:rsidRPr="00F90EAE">
        <w:rPr>
          <w:rFonts w:ascii="Times New Roman" w:cs="Times New Roman"/>
          <w:color w:val="000000" w:themeColor="text1"/>
          <w:spacing w:val="0"/>
        </w:rPr>
        <w:softHyphen/>
        <w:t>лал змейку, чтобы пропустить садящий</w:t>
      </w:r>
      <w:r w:rsidRPr="00F90EAE">
        <w:rPr>
          <w:rFonts w:ascii="Times New Roman" w:cs="Times New Roman"/>
          <w:color w:val="000000" w:themeColor="text1"/>
          <w:spacing w:val="0"/>
        </w:rPr>
        <w:softHyphen/>
        <w:t>ся Пе-2, и задел за дом». Погибли веду</w:t>
      </w:r>
      <w:r w:rsidRPr="00F90EAE">
        <w:rPr>
          <w:rFonts w:ascii="Times New Roman" w:cs="Times New Roman"/>
          <w:color w:val="000000" w:themeColor="text1"/>
          <w:spacing w:val="0"/>
        </w:rPr>
        <w:softHyphen/>
        <w:t>щий инженер по самолету Дьяконов и трое жителей, а Васильченко - получил тяжелые ранения (15758).</w:t>
      </w:r>
    </w:p>
    <w:p w14:paraId="41E1F706" w14:textId="77777777" w:rsidR="003751D3" w:rsidRPr="00F90EAE" w:rsidRDefault="003751D3" w:rsidP="00F90EAE">
      <w:pPr>
        <w:pStyle w:val="27"/>
        <w:shd w:val="clear" w:color="auto" w:fill="auto"/>
        <w:spacing w:after="0" w:line="240" w:lineRule="auto"/>
        <w:ind w:firstLine="0"/>
        <w:rPr>
          <w:rFonts w:ascii="Times New Roman" w:cs="Times New Roman"/>
          <w:color w:val="000000" w:themeColor="text1"/>
          <w:spacing w:val="0"/>
        </w:rPr>
      </w:pPr>
    </w:p>
    <w:p w14:paraId="260159C7" w14:textId="77777777" w:rsidR="008E5220" w:rsidRPr="00F90EAE" w:rsidRDefault="008E5220" w:rsidP="00F90EAE">
      <w:pPr>
        <w:jc w:val="both"/>
        <w:rPr>
          <w:color w:val="0070C0"/>
          <w:sz w:val="16"/>
          <w:szCs w:val="16"/>
        </w:rPr>
      </w:pPr>
      <w:r w:rsidRPr="00F90EAE">
        <w:rPr>
          <w:color w:val="0070C0"/>
          <w:sz w:val="16"/>
          <w:szCs w:val="16"/>
        </w:rPr>
        <w:t>5 марта 1945 г. было письмо главного конструктора ОКБ-РД при заводе № 16 В.П. Глушко № 320с секретарю ЦК ВЮ1(б) Г.М. Маленкову и удостаивается необычайного внимания. В этом письме он просит не забирать 25 его ведущих сотрудников в 4 спецотдел НКВД «для других нужд», так как все они являются опытными инженерами и конструкторами. На этом письме появляется резолюция Г.М, Маленкова: «Срочно! Примите меры. Надо помочь Глушко» (22685).</w:t>
      </w:r>
    </w:p>
    <w:p w14:paraId="1CDDFAD7" w14:textId="77777777" w:rsidR="008E5220" w:rsidRPr="00F90EAE" w:rsidRDefault="008E5220" w:rsidP="00F90EAE">
      <w:pPr>
        <w:jc w:val="both"/>
        <w:rPr>
          <w:color w:val="0070C0"/>
          <w:sz w:val="16"/>
          <w:szCs w:val="16"/>
        </w:rPr>
      </w:pPr>
    </w:p>
    <w:p w14:paraId="14CE810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1383624" w14:textId="77777777" w:rsidR="00665165" w:rsidRPr="00F90EAE" w:rsidRDefault="00665165" w:rsidP="00F90EAE">
      <w:pPr>
        <w:autoSpaceDE w:val="0"/>
        <w:autoSpaceDN w:val="0"/>
        <w:adjustRightInd w:val="0"/>
        <w:jc w:val="both"/>
        <w:rPr>
          <w:iCs/>
          <w:color w:val="000000" w:themeColor="text1"/>
          <w:sz w:val="16"/>
          <w:szCs w:val="16"/>
        </w:rPr>
      </w:pPr>
    </w:p>
    <w:p w14:paraId="7481EC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вышло Постановление ГКО № 7645 О добыче торфа торфопредприятиями наркоматов и ведомств в 1945 году. РГАНИР, Фонд ГКО, д. 377, лл. 1-12, 13-83 (11012).</w:t>
      </w:r>
    </w:p>
    <w:p w14:paraId="37499AEC" w14:textId="77777777" w:rsidR="00665165" w:rsidRPr="00F90EAE" w:rsidRDefault="00665165" w:rsidP="00F90EAE">
      <w:pPr>
        <w:autoSpaceDE w:val="0"/>
        <w:autoSpaceDN w:val="0"/>
        <w:adjustRightInd w:val="0"/>
        <w:jc w:val="both"/>
        <w:rPr>
          <w:color w:val="000000" w:themeColor="text1"/>
          <w:sz w:val="16"/>
          <w:szCs w:val="16"/>
        </w:rPr>
      </w:pPr>
    </w:p>
    <w:p w14:paraId="1DC90E4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5 марта 1945 года вышел Приказ НКБ № 93</w:t>
      </w:r>
    </w:p>
    <w:p w14:paraId="45366D2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Правительства № 7615сс от 2 марта 1945 года распространить приказ НКБ № 601 сс от 21 июня 1943 года изданный во исполнение постановления Правительства № 3613сс от 19 июня 1943 года “О введении военного положения на взрывоопасных предприятиях НКБ” на заводы №№ 129, 388, 502 и 503, выделенные из комбината № 392 и из заводов №№ 15 и 80 НКБ (5704, 73).</w:t>
      </w:r>
    </w:p>
    <w:p w14:paraId="5406281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3CD9A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8772A65" w14:textId="77777777" w:rsidR="00665165" w:rsidRPr="00F90EAE" w:rsidRDefault="00665165" w:rsidP="00F90EAE">
      <w:pPr>
        <w:autoSpaceDE w:val="0"/>
        <w:autoSpaceDN w:val="0"/>
        <w:adjustRightInd w:val="0"/>
        <w:jc w:val="both"/>
        <w:rPr>
          <w:iCs/>
          <w:color w:val="000000" w:themeColor="text1"/>
          <w:sz w:val="16"/>
          <w:szCs w:val="16"/>
        </w:rPr>
      </w:pPr>
    </w:p>
    <w:p w14:paraId="4EA24426" w14:textId="77777777" w:rsidR="003751D3" w:rsidRPr="00F90EAE" w:rsidRDefault="003751D3" w:rsidP="00F90EAE">
      <w:pPr>
        <w:jc w:val="both"/>
        <w:rPr>
          <w:color w:val="000000" w:themeColor="text1"/>
          <w:sz w:val="16"/>
          <w:szCs w:val="16"/>
        </w:rPr>
      </w:pPr>
      <w:r w:rsidRPr="00F90EAE">
        <w:rPr>
          <w:bCs/>
          <w:color w:val="000000" w:themeColor="text1"/>
          <w:sz w:val="16"/>
          <w:szCs w:val="16"/>
        </w:rPr>
        <w:t>5 марта</w:t>
      </w:r>
      <w:r w:rsidRPr="00F90EAE">
        <w:rPr>
          <w:color w:val="000000" w:themeColor="text1"/>
          <w:sz w:val="16"/>
          <w:szCs w:val="16"/>
        </w:rPr>
        <w:t xml:space="preserve"> в 1945 году оперативная сводка Совинформбюро:</w:t>
      </w:r>
    </w:p>
    <w:p w14:paraId="421D4F61" w14:textId="77777777" w:rsidR="003751D3" w:rsidRPr="00F90EAE" w:rsidRDefault="003751D3" w:rsidP="00F90EAE">
      <w:pPr>
        <w:jc w:val="both"/>
        <w:rPr>
          <w:color w:val="000000" w:themeColor="text1"/>
          <w:sz w:val="16"/>
          <w:szCs w:val="16"/>
        </w:rPr>
      </w:pPr>
      <w:r w:rsidRPr="00F90EAE">
        <w:rPr>
          <w:color w:val="000000" w:themeColor="text1"/>
          <w:sz w:val="16"/>
          <w:szCs w:val="16"/>
        </w:rPr>
        <w:t>«В течение 5 марта юго-западнее Кенигсберга наши войска в результате наступательных боёв овладели населёнными пунктами Коршелькен, Кумгарбен, Бенкенвальде, Штраубен, Хиршфельд.</w:t>
      </w:r>
    </w:p>
    <w:p w14:paraId="797B1374" w14:textId="77777777" w:rsidR="003751D3" w:rsidRPr="00F90EAE" w:rsidRDefault="003751D3" w:rsidP="00F90EAE">
      <w:pPr>
        <w:jc w:val="both"/>
        <w:rPr>
          <w:color w:val="000000" w:themeColor="text1"/>
          <w:sz w:val="16"/>
          <w:szCs w:val="16"/>
        </w:rPr>
      </w:pPr>
      <w:r w:rsidRPr="00F90EAE">
        <w:rPr>
          <w:color w:val="000000" w:themeColor="text1"/>
          <w:sz w:val="16"/>
          <w:szCs w:val="16"/>
        </w:rPr>
        <w:t>Южнее и юго-западнее Данцига наши войска с боями заняли населённые пункты Визенвальд, Любихов, Штудзениц, Гурки, Лесно, Крушин, Липниц, Ворцисково.</w:t>
      </w:r>
    </w:p>
    <w:p w14:paraId="01A63378" w14:textId="77777777" w:rsidR="003751D3" w:rsidRPr="00F90EAE" w:rsidRDefault="003751D3" w:rsidP="00F90EAE">
      <w:pPr>
        <w:jc w:val="both"/>
        <w:rPr>
          <w:color w:val="000000" w:themeColor="text1"/>
          <w:sz w:val="16"/>
          <w:szCs w:val="16"/>
        </w:rPr>
      </w:pPr>
      <w:r w:rsidRPr="00F90EAE">
        <w:rPr>
          <w:color w:val="000000" w:themeColor="text1"/>
          <w:sz w:val="16"/>
          <w:szCs w:val="16"/>
        </w:rPr>
        <w:t>В Померании северо-восточнее и южнее города Кезлин наши войска, продолжая наступление, с боями заняли более 80 населённых пунктов, среди которых крупные населённые пункты Визенталь, Дамеров, Цухен, Латциг, Недлин, Гросс Тихов, Гросскрессин.</w:t>
      </w:r>
    </w:p>
    <w:p w14:paraId="60112C7A"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1-го Белорусского фронта, продолжая наступление, 5 марта овладели городами Штаргард, Наугард, Польцин — важными узлами коммуникаций и мощными опорными пунктами обороны немцев на Штеттинском направлении, а также с боями заняли более 150 других населённых пунктов, в том числе крупные населённые пункты Клотцен, Коллатц, Ной Вуров, Тешендорф, Бризен, Зимматциг.</w:t>
      </w:r>
    </w:p>
    <w:p w14:paraId="0DE432C5" w14:textId="77777777" w:rsidR="003751D3" w:rsidRPr="00F90EAE" w:rsidRDefault="003751D3" w:rsidP="00F90EAE">
      <w:pPr>
        <w:jc w:val="both"/>
        <w:rPr>
          <w:color w:val="000000" w:themeColor="text1"/>
          <w:sz w:val="16"/>
          <w:szCs w:val="16"/>
        </w:rPr>
      </w:pPr>
      <w:r w:rsidRPr="00F90EAE">
        <w:rPr>
          <w:color w:val="000000" w:themeColor="text1"/>
          <w:sz w:val="16"/>
          <w:szCs w:val="16"/>
        </w:rPr>
        <w:t>На территории Чехословакии западнее города Лученец наши войска, наступая в полосе Карпат, с боем овладели населёнными пунктами Плешовце, Бзовска Леготка, Крупина, Антол, Илия, Висока, Рудно на Грон.</w:t>
      </w:r>
    </w:p>
    <w:p w14:paraId="067C6478" w14:textId="77777777" w:rsidR="003751D3" w:rsidRPr="00F90EAE" w:rsidRDefault="003751D3"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D270C35" w14:textId="77777777" w:rsidR="003751D3" w:rsidRPr="00F90EAE" w:rsidRDefault="003751D3" w:rsidP="00F90EAE">
      <w:pPr>
        <w:jc w:val="both"/>
        <w:rPr>
          <w:color w:val="000000" w:themeColor="text1"/>
          <w:sz w:val="16"/>
          <w:szCs w:val="16"/>
        </w:rPr>
      </w:pPr>
      <w:r w:rsidRPr="00F90EAE">
        <w:rPr>
          <w:color w:val="000000" w:themeColor="text1"/>
          <w:sz w:val="16"/>
          <w:szCs w:val="16"/>
        </w:rPr>
        <w:t>За 4 марта на всех фронтах подбито и уничтожено 70 немецких танков. В воздушных боях и огнём зенитной артиллерии сбито 15 самолётов противника.</w:t>
      </w:r>
    </w:p>
    <w:p w14:paraId="0E0C4B70" w14:textId="77777777" w:rsidR="003751D3" w:rsidRPr="00F90EAE" w:rsidRDefault="003751D3" w:rsidP="00F90EAE">
      <w:pPr>
        <w:jc w:val="both"/>
        <w:rPr>
          <w:color w:val="000000" w:themeColor="text1"/>
          <w:sz w:val="16"/>
          <w:szCs w:val="16"/>
        </w:rPr>
      </w:pPr>
      <w:r w:rsidRPr="00F90EAE">
        <w:rPr>
          <w:color w:val="000000" w:themeColor="text1"/>
          <w:sz w:val="16"/>
          <w:szCs w:val="16"/>
        </w:rPr>
        <w:t>В Восточной Пруссии юго-западнее Кенигсберга части Н-ского соединения, сломив упорное сопротивление противника, в ночном бою овладели сильно укреплённым опорным пунктом Коршелькен. Немцы, пытаясь восстановить положение, предприняли одиннадцать контратак, но были отброшены. Другие наши части, преодолев минные поля, стремительной атакой вывили гитлеровцев из населённого пункта Штраубен, находящегося в 11 километрах юго-восточнее города Браунсберг. Захвачено у противника 8 орудий, 40 пулемётов и другие трофеи, взято в плен более 250 немцев.</w:t>
      </w:r>
    </w:p>
    <w:p w14:paraId="08B6B6AC" w14:textId="77777777" w:rsidR="003751D3" w:rsidRPr="00F90EAE" w:rsidRDefault="003751D3" w:rsidP="00F90EAE">
      <w:pPr>
        <w:jc w:val="both"/>
        <w:rPr>
          <w:color w:val="000000" w:themeColor="text1"/>
          <w:sz w:val="16"/>
          <w:szCs w:val="16"/>
        </w:rPr>
      </w:pPr>
      <w:r w:rsidRPr="00F90EAE">
        <w:rPr>
          <w:color w:val="000000" w:themeColor="text1"/>
          <w:sz w:val="16"/>
          <w:szCs w:val="16"/>
        </w:rPr>
        <w:t>Наша авиация наносила бомбоштурмовые удары по боевым порядкам и тылам Восточно-Прусской группировки противника. В воздушных боях советские лётчики сбили 5 немецких самолётов.</w:t>
      </w:r>
    </w:p>
    <w:p w14:paraId="648A93B0" w14:textId="77777777" w:rsidR="003751D3" w:rsidRPr="00F90EAE" w:rsidRDefault="003751D3" w:rsidP="00F90EAE">
      <w:pPr>
        <w:jc w:val="both"/>
        <w:rPr>
          <w:color w:val="000000" w:themeColor="text1"/>
          <w:sz w:val="16"/>
          <w:szCs w:val="16"/>
        </w:rPr>
      </w:pPr>
      <w:r w:rsidRPr="00F90EAE">
        <w:rPr>
          <w:color w:val="000000" w:themeColor="text1"/>
          <w:sz w:val="16"/>
          <w:szCs w:val="16"/>
        </w:rPr>
        <w:t>Южнее и юго-западнее Данцига наши войска с боями продвигались вперёд. Части Н-ского соединения заняли несколько населённых пунктов, в том числе крупный опорный пункт противника Любихов. Севернее города Хойнице наши войска вели бои в трудных условиях лесисто-озёрной местности. Немцы, опираясь на полевые укрепления, построенные между озёрами, пытались задержать советские части. Совершая обходные манёвры, наши бойцы ликвидируют вражеские укрепления и настойчиво продвигаются вперёд. Занят населённый пункт Липниц, находящийся в 19 километрах к югу от города Бютов. Отступая под ударами советских войск, противник несёт тяжёлые потери в живой силе и технике. За день боёв уничтожено до 2 тысяч немецких солдат и офицеров. Захвачено 25 орудий и другие трофеи.</w:t>
      </w:r>
    </w:p>
    <w:p w14:paraId="3350B169" w14:textId="77777777" w:rsidR="003751D3" w:rsidRPr="00F90EAE" w:rsidRDefault="003751D3" w:rsidP="00F90EAE">
      <w:pPr>
        <w:jc w:val="both"/>
        <w:rPr>
          <w:color w:val="000000" w:themeColor="text1"/>
          <w:sz w:val="16"/>
          <w:szCs w:val="16"/>
        </w:rPr>
      </w:pPr>
      <w:r w:rsidRPr="00F90EAE">
        <w:rPr>
          <w:color w:val="000000" w:themeColor="text1"/>
          <w:sz w:val="16"/>
          <w:szCs w:val="16"/>
        </w:rPr>
        <w:t>Войска 1-го Белорусского фронта продолжали успешное наступление. Советские пехотинцы, танкисты и кавалеристы, поддержанные артиллерией и авиацией, наносят противнику стремительные удары. Многие немецкие соединения разобщены и уничтожаются по частям. Советские кавалеристы в результате атаки овладели городом Польцин — важным узлом шоссейных и железных дорог. Другие наши части выбили немцев из сильно укреплённого опорного пункта обороны — города Наугард. Ожесточённые бои происходили за город Штаргард. Немцы придавала огромное значение атому городу, являющемуся важным узлом коммуникаций и мощным опорным пунктом на подступах к Штеттину. Противник спешно перебросил в район Штаргарда свежие части и предпринял ряд яростных контратак. Отбив вражеские контратаки, советские войска продвинулись вдоль озера Мадю-Зее. Немецкий гарнизон Штаргарда очутился перед угрозой окружения. Наши танкисты и пехотинцы пошли на штурм и в результате ожесточённых уличных схваток овладели городом Штаргард — узлом 5 железных и многих шоссейных дорог. Немцы потеряли только убитыми свыше 4 тысяч солдат и офицеров. Уничтожено 35 танков и самоходных орудий, 17 бронетранспортёров и другая техника противника. Нашими частями захвачено много трофеев, в том числе крупные склады боеприпасов и военного имущества.</w:t>
      </w:r>
    </w:p>
    <w:p w14:paraId="39B2E741" w14:textId="77777777" w:rsidR="003751D3" w:rsidRPr="00F90EAE" w:rsidRDefault="003751D3" w:rsidP="00F90EAE">
      <w:pPr>
        <w:jc w:val="both"/>
        <w:rPr>
          <w:color w:val="000000" w:themeColor="text1"/>
          <w:sz w:val="16"/>
          <w:szCs w:val="16"/>
        </w:rPr>
      </w:pPr>
      <w:r w:rsidRPr="00F90EAE">
        <w:rPr>
          <w:color w:val="000000" w:themeColor="text1"/>
          <w:sz w:val="16"/>
          <w:szCs w:val="16"/>
        </w:rPr>
        <w:t>В Чехословакии западнее города Лученец наши войска вели наступательные бои. Продвигаясь по скатам горных высот, советские части обошли с северо-запада и юго-запада крупный опорный пункт обороны немцев Плешовце. Ударами с трёх сторон наши войска разгромили вражеский гарнизон и заняли Плешовце. Части 8-й немецкой лёгкой пехотной дивизии понесли большие потери и в беспорядке отступили за реку Крупина. Наши бойцы захватили два танка, самоходное орудие и 4 склада боеприпасов. На другом участке занята железнодорожная станция и крупный населённый пункт Крупина. Советские подразделения штурмом овладели горой Ситно, господствующей над районом боёв, и вышли на ближние подступы к городу Банска Штявница.</w:t>
      </w:r>
    </w:p>
    <w:p w14:paraId="1F5E87D9" w14:textId="77777777" w:rsidR="003751D3" w:rsidRPr="00F90EAE" w:rsidRDefault="003751D3" w:rsidP="00F90EAE">
      <w:pPr>
        <w:jc w:val="both"/>
        <w:rPr>
          <w:color w:val="000000" w:themeColor="text1"/>
          <w:sz w:val="16"/>
          <w:szCs w:val="16"/>
        </w:rPr>
      </w:pPr>
      <w:r w:rsidRPr="00F90EAE">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5 тысяч тонн.» (15059).</w:t>
      </w:r>
    </w:p>
    <w:p w14:paraId="088E6481" w14:textId="77777777" w:rsidR="003751D3" w:rsidRPr="00F90EAE" w:rsidRDefault="003751D3" w:rsidP="00F90EAE">
      <w:pPr>
        <w:jc w:val="both"/>
        <w:rPr>
          <w:color w:val="000000" w:themeColor="text1"/>
          <w:sz w:val="16"/>
          <w:szCs w:val="16"/>
        </w:rPr>
      </w:pPr>
    </w:p>
    <w:p w14:paraId="59B26614" w14:textId="77777777" w:rsidR="003751D3" w:rsidRPr="00F90EAE" w:rsidRDefault="003751D3" w:rsidP="00F90EAE">
      <w:pPr>
        <w:jc w:val="both"/>
        <w:rPr>
          <w:color w:val="000000" w:themeColor="text1"/>
          <w:sz w:val="16"/>
          <w:szCs w:val="16"/>
        </w:rPr>
      </w:pPr>
      <w:r w:rsidRPr="00F90EAE">
        <w:rPr>
          <w:bCs/>
          <w:color w:val="000000" w:themeColor="text1"/>
          <w:sz w:val="16"/>
          <w:szCs w:val="16"/>
        </w:rPr>
        <w:t>5 марта</w:t>
      </w:r>
      <w:r w:rsidRPr="00F90EAE">
        <w:rPr>
          <w:color w:val="000000" w:themeColor="text1"/>
          <w:sz w:val="16"/>
          <w:szCs w:val="16"/>
        </w:rPr>
        <w:t xml:space="preserve"> в 1945 году войска 2-го Белорусского фронта вышли на побережье Балтийского моря в районе Кольберга (Колобжега) и отсекли 2-ю армию вермахта от основных вооруженных сил гитлеровской Германии (15059).</w:t>
      </w:r>
    </w:p>
    <w:p w14:paraId="2C02F677" w14:textId="77777777" w:rsidR="003751D3" w:rsidRPr="00F90EAE" w:rsidRDefault="003751D3" w:rsidP="00F90EAE">
      <w:pPr>
        <w:jc w:val="both"/>
        <w:rPr>
          <w:color w:val="000000" w:themeColor="text1"/>
          <w:sz w:val="16"/>
          <w:szCs w:val="16"/>
        </w:rPr>
      </w:pPr>
    </w:p>
    <w:p w14:paraId="08B60DF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5th, 1945: The fortress city of Graudenz on the Vistula surrenders to troops of the 2nd Belorussian Front (Rokossovsky), while Konigsberg, Breslau, Kustrin, Frankfurt/Oder and Kolberg are still holding out (3819).</w:t>
      </w:r>
    </w:p>
    <w:p w14:paraId="4B42BBA9" w14:textId="77777777" w:rsidR="00665165" w:rsidRPr="00F90EAE" w:rsidRDefault="00665165" w:rsidP="00F90EAE">
      <w:pPr>
        <w:autoSpaceDE w:val="0"/>
        <w:autoSpaceDN w:val="0"/>
        <w:adjustRightInd w:val="0"/>
        <w:jc w:val="both"/>
        <w:rPr>
          <w:color w:val="000000" w:themeColor="text1"/>
          <w:sz w:val="16"/>
          <w:szCs w:val="16"/>
          <w:lang w:val="en-US"/>
        </w:rPr>
      </w:pPr>
    </w:p>
    <w:p w14:paraId="5A2610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город-крепость Грауденц на Висле сдалась 2БФ (Рокосовский) (3819).</w:t>
      </w:r>
    </w:p>
    <w:p w14:paraId="015B4F64" w14:textId="77777777" w:rsidR="00665165" w:rsidRPr="00F90EAE" w:rsidRDefault="00665165" w:rsidP="00F90EAE">
      <w:pPr>
        <w:autoSpaceDE w:val="0"/>
        <w:autoSpaceDN w:val="0"/>
        <w:adjustRightInd w:val="0"/>
        <w:jc w:val="both"/>
        <w:rPr>
          <w:color w:val="000000" w:themeColor="text1"/>
          <w:sz w:val="16"/>
          <w:szCs w:val="16"/>
        </w:rPr>
      </w:pPr>
    </w:p>
    <w:p w14:paraId="270150D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7646 [Удостоверение уполномоченного Особого комитета при ГКО Ивановского Г.И. на 3-й БФ.] (7312, 84).</w:t>
      </w:r>
    </w:p>
    <w:p w14:paraId="788669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78BFC5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7647 [Удостоверение уполномоченного Особого комитета при ГКО Кучумова П.С. на 2-й БФ.] (7312, 84).</w:t>
      </w:r>
    </w:p>
    <w:p w14:paraId="305D253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069C05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7648 [Удостоверение уполномоченного Особого комитета при ГКО Сабурова М.З. на 1-й УФ.] (7312, 84).</w:t>
      </w:r>
    </w:p>
    <w:p w14:paraId="7404B22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33284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7649 [Удостоверение уполномоченного Особого комитета при ГКО Зернова П.М. на 1-й БФ.] (7312, 84).</w:t>
      </w:r>
    </w:p>
    <w:p w14:paraId="741B2C5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80CBD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7650 [Удостоверение зам. уполномоченного Особого комитета при ГКО Кожевникова Ю.Н. на 1-й УФ.] (7312, 85).</w:t>
      </w:r>
    </w:p>
    <w:p w14:paraId="5517CC0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CFBA7E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7651 [Удостоверение зам. уполномоченного Особого комитета при ГКО Дмитриева И.И. на 1-й УФ.] (7312, 85).</w:t>
      </w:r>
    </w:p>
    <w:p w14:paraId="2D64FD9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617E4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7652 [Удостоверение уполномоченного Особого комитета при ГКО Добровольского А.Е. на 2-й БФ.] (7312, 85).</w:t>
      </w:r>
    </w:p>
    <w:p w14:paraId="3536E76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5914D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7653 [Удостоверение зам. уполномоченного Особого комитета при ГКО Носовского Н.Э. на 1-й БФ.] (7312, 85).</w:t>
      </w:r>
    </w:p>
    <w:p w14:paraId="728076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3DF90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7654 [Удостоверение зам. уполномоченного Особого комитета при ГКО Баранова А.Н. на 1-й БФ.] (7312, 85).</w:t>
      </w:r>
    </w:p>
    <w:p w14:paraId="7586C0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9C9B3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7655 [Удостоверение зам. уполномоченного Особого комитета при ГКО Разина Н.М. на 2-й БФ.] (7312, 85).</w:t>
      </w:r>
    </w:p>
    <w:p w14:paraId="0BFAE8A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BBB1B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7656 [Удостоверение зам. уполномоченного Особого комитета при ГКО Яковлева В.Н. на 3-й БФ.] (7312, 85).</w:t>
      </w:r>
    </w:p>
    <w:p w14:paraId="429EC1E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80B83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7657 [Удостоверение зам. уполномоченного Особого комитета при ГКО Елисеева В.И. на 3-й БФ.] (7312, 85).</w:t>
      </w:r>
    </w:p>
    <w:p w14:paraId="682904C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8A83EF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7658 [Удостоверение уполномоченного Особого комитета при ГКО Старцева Е.М. В армии* 1-го УФ.] (7312, 86).</w:t>
      </w:r>
    </w:p>
    <w:p w14:paraId="3984AEA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22CE82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7659 [Удостоверение уполномоченного Особого комитета при ГКО Холодова М.Л. в..армии 1-го УФ.] (7312, 86).</w:t>
      </w:r>
    </w:p>
    <w:p w14:paraId="7FD1FAF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59528A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7660 [Удостоверение уполномоченного Особого комитета при ГКО Блохина С.И. в..армии 1-го УФ.] (7312, 86).</w:t>
      </w:r>
    </w:p>
    <w:p w14:paraId="36444EC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8EFB2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5 марта 1945 вышло № 7661 [Удостоверение уполномоченного Особого комитета при ГКО Кацинского Н.П. в..армии 1-го УФ.] (7312, 86).</w:t>
      </w:r>
    </w:p>
    <w:p w14:paraId="094650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79DBC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7662 [Удостоверение уполномоченного Особого комитета при ГКО Карташева И.П. в..армии 1-го УФ.] (7312, 86).</w:t>
      </w:r>
    </w:p>
    <w:p w14:paraId="02F2934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F08E70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7663 [Удостоверение уполномоченного Особого комитета при ГКО Комарова А.М. в..армии 1-го УФ.] (7312, 86).</w:t>
      </w:r>
    </w:p>
    <w:p w14:paraId="0393E86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C46FD9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7664 [Удостоверение уполномоченного Особого комитета при ГКО Мойкина Б.Н. в..армии 1-го УФ.] (7312, 86).</w:t>
      </w:r>
    </w:p>
    <w:p w14:paraId="2A7AC18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2600D3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7665 [Удостоверение уполномоченного Особого комитета при ГКО Земскова М.Г. в..армии 1-го УФ.] (7312, 87).</w:t>
      </w:r>
    </w:p>
    <w:p w14:paraId="79E7223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19474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7666 [Удостоверение уполномоченного Особого комитета при ГКО Свистунова А.П. в..армии 1-го БФ.] (7312, 87).</w:t>
      </w:r>
    </w:p>
    <w:p w14:paraId="6BD0C68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35C67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7667 [Удостоверение уполномоченного Особого комитета при ГКО Еськова В.С. в..армии 1-го БФ.] (7312, 87).</w:t>
      </w:r>
    </w:p>
    <w:p w14:paraId="4AF2168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574B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7668 [Удостоверение уполномоченного Особого комитета при ГКО Шевякова Г.Н. в..армии 1-го БФ.] (7312, 87).</w:t>
      </w:r>
    </w:p>
    <w:p w14:paraId="63EAF8A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51DE3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7669 [Удостоверение уполномоченного Особого комитета при ГКО Колычева В.А. в..армии 1-го БФ.] (7312, 87).</w:t>
      </w:r>
    </w:p>
    <w:p w14:paraId="07C6724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31B755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7670 [Удостоверение уполномоченного Особого комитета при ГКО Чикиша П.А. в..армии 1-го БФ.] (7312, 87).</w:t>
      </w:r>
    </w:p>
    <w:p w14:paraId="2F70AEF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F5345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7671 [Удостоверение уполномоченного Особого комитета при ГКО Левши В.А. в..армии 1-го БФ.] (7312, 87).</w:t>
      </w:r>
    </w:p>
    <w:p w14:paraId="29E4C13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7D476B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7672 [Удостоверение уполномоченного Особого комитета при ГКО Баранова Н.Г. в..армии 1-го БФ.] (7312, 87).</w:t>
      </w:r>
    </w:p>
    <w:p w14:paraId="3CDB961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F18AB2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7673 [Удостоверение уполномоченного Особого комитета при ГКО Пекшева А.А. в..армии 1-го БФ.] (7312, 87).</w:t>
      </w:r>
    </w:p>
    <w:p w14:paraId="006A814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EE950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7674 [Удостоверение уполномоченного Особого комитета при ГКО Крупчатникова Н.Н. в..армии 2-го БФ.] (7312, 87).</w:t>
      </w:r>
    </w:p>
    <w:p w14:paraId="2BD705C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305946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7675 [Удостоверение уполномоченного Особого комитета при ГКО Дыгая Н.А. в..армии 2-го БФ.] (7312, 87).</w:t>
      </w:r>
    </w:p>
    <w:p w14:paraId="381ADAD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94B55B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7676 [Удостоверение уполномоченного Особого комитета при ГКО Живописцева И.А. в..армии 2-го БФ.] (7312, 87).</w:t>
      </w:r>
    </w:p>
    <w:p w14:paraId="5A24D40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E6FC5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7677 [Удостоверение уполномоченного Особого комитета при ГКО Тарасова А.М. в..армии 2-го БФ.] (7312, 87).</w:t>
      </w:r>
    </w:p>
    <w:p w14:paraId="256C643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A4E339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7678 [Удостоверение уполномоченного Особого комитета при ГКО Краснова л. А (7312, 87).</w:t>
      </w:r>
    </w:p>
    <w:p w14:paraId="351D902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A30FF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7679 [Удостоверение уполномоченного Особого комитета при ГКО Щербаненко В.Н. в..армии 3-го БФ.] (7312, 87).</w:t>
      </w:r>
    </w:p>
    <w:p w14:paraId="54BDA34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2DB0E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7680 [Удостоверение уполномоченного Особого комитета при ГКО Говора И.Л. в..армии 3-го БФ.] (7312, 87).</w:t>
      </w:r>
    </w:p>
    <w:p w14:paraId="15E7C2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7304B8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7681 [Удостоверение уполномоченного Особого комитета при ГКО Толмачева М.Д. в..армии 3-го БФ.] (7312, 87).</w:t>
      </w:r>
    </w:p>
    <w:p w14:paraId="12CEA8A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D27E4A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7682 [Удостоверение уполномоченного Особого комитета при ГКО Голубева Н.Н. в..армии 3-го БФ.] (7312, 88).</w:t>
      </w:r>
    </w:p>
    <w:p w14:paraId="1E7BD56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B6982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7683 [Удостоверение уполномоченного Особого комитета при ГКО Левшина Ф.П. в..армии 3-го БФ.] (7312, 88).</w:t>
      </w:r>
    </w:p>
    <w:p w14:paraId="6AF6D6F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A0DB2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7684 [Удостоверение уполномоченного Особого комитета при ГКО Мхитаряна С.Г. в..армии 3-го БФ.] (7312, 88).</w:t>
      </w:r>
    </w:p>
    <w:p w14:paraId="28044DE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2D2527" w14:textId="77777777" w:rsidR="0032140A"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вышло № 7685 [Удостоверение уполномоченного Особого комитета при ГКО Демченко В.Ф, в..армии 3-го БФ.] (7312, 88).</w:t>
      </w:r>
    </w:p>
    <w:p w14:paraId="06F736A4" w14:textId="77777777" w:rsidR="0032140A" w:rsidRPr="00F90EAE" w:rsidRDefault="0032140A" w:rsidP="00F90EAE">
      <w:pPr>
        <w:tabs>
          <w:tab w:val="left" w:pos="11199"/>
        </w:tabs>
        <w:autoSpaceDE w:val="0"/>
        <w:autoSpaceDN w:val="0"/>
        <w:adjustRightInd w:val="0"/>
        <w:jc w:val="both"/>
        <w:rPr>
          <w:color w:val="000000" w:themeColor="text1"/>
          <w:sz w:val="16"/>
          <w:szCs w:val="16"/>
        </w:rPr>
      </w:pPr>
    </w:p>
    <w:p w14:paraId="54F7F38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года Приказ Народного Комиссара Обороны СССР</w:t>
      </w:r>
    </w:p>
    <w:p w14:paraId="4745E2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Журнал «Военная мысль» по своему содержанию не отвечает поставленным перед ним задачам по разработке вопросов военной теории и идеологии, совершенствования военных знаний офицерского состава и генералов Красной Армии.</w:t>
      </w:r>
    </w:p>
    <w:p w14:paraId="5F1A8F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журнале «Военная мысль» недостаточно разрабатываются проблемы ведения войны, стратегии и оперативного искусства, военно-теоретического и практического наследства выдающихся русских полководцев, т. е. упускаются как раз те вопросы, которые должны быть основными для этого журнала.</w:t>
      </w:r>
    </w:p>
    <w:p w14:paraId="190A1C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Иностранный отдел в журнале либо отсутствует вовсе, либо преподносит читателям статьи иностранных авторов без критики встречающихся в них неверных и даже вредных положений. Отдела критики и библиографии в журнале нет. Редколлегия журнала «Военная мысль» не справляется с возложенными на нее задачами, тем более что ряд ее членов находится на фронтах и по существу в редакции не работает.</w:t>
      </w:r>
    </w:p>
    <w:p w14:paraId="33E14F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Редколлегия журнала не обеспечила должного руководства журналом и не организовала авторский коллектив, способный создать авторитетный руководящий журнал Красной Армии.</w:t>
      </w:r>
    </w:p>
    <w:p w14:paraId="65ADBB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Журнал «Военный вестник» недостаточно уделяет внимания вопросам теории и практики современного боя на основе опыта Великой Отечественной войны. В журнале «Военный вестник» мало освещаются вопросы тактики и техники иностранных армий.</w:t>
      </w:r>
    </w:p>
    <w:p w14:paraId="550EA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улучшения содержания журналов «Военная мысль» и «Военный вестник», повышения их роли в деле разработки военной теории, совершенствования военных знаний и воспитания офицерского состава Красной Армии, –</w:t>
      </w:r>
    </w:p>
    <w:p w14:paraId="2DC6A7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Приказываю:</w:t>
      </w:r>
    </w:p>
    <w:p w14:paraId="391CE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Журнал «Военная мысль» выпускать, как орган народного комиссариата обороны СССР, 1 раз в месяц, объемом 6 печатных листов, тиражом 15 000 экземпляров.</w:t>
      </w:r>
    </w:p>
    <w:p w14:paraId="23F8A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Общее руководство журналом возложить на начальника Генерального штаба.</w:t>
      </w:r>
    </w:p>
    <w:p w14:paraId="14C2A1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Основными задачами журнала «Военная мысль» поставить:</w:t>
      </w:r>
    </w:p>
    <w:p w14:paraId="09C4A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разработку вопросов военной теории и идеологии; разработку основных проблем войны, строительства вооруженных сил, стратегии и оперативного искусства;</w:t>
      </w:r>
    </w:p>
    <w:p w14:paraId="583870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разработку вопросов взаимодействия родов войск и подготовки общевойсковых командиров;</w:t>
      </w:r>
    </w:p>
    <w:p w14:paraId="083965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разработку теоретического и практического наследства выдающихся русских полководцев и военных деятелей;</w:t>
      </w:r>
    </w:p>
    <w:p w14:paraId="1CE5D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освещение и критику взглядов зарубежных военных авторитетов;</w:t>
      </w:r>
    </w:p>
    <w:p w14:paraId="389E0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изучение иностранных армий и их боевого опыта.</w:t>
      </w:r>
    </w:p>
    <w:p w14:paraId="2258B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журнале иметь постоянные отделы: военно-исторический, иностранной военной информации, критики и библиографии.</w:t>
      </w:r>
    </w:p>
    <w:p w14:paraId="40F61F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Содержание журнала рассчитывать на руководящие кадры от дивизии и выше.</w:t>
      </w:r>
    </w:p>
    <w:p w14:paraId="3D235B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Журнал «Военный вестник» выпускать, как общевойсковой журнал народного комиссариата обороны СССР, 2 раза в месяц объемом 3 печатных листа, тиражом 50 000 экземпляров.</w:t>
      </w:r>
    </w:p>
    <w:p w14:paraId="106C9E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Общее руководство журналом возложить на главного инспектора пехоты Красной Армии.</w:t>
      </w:r>
    </w:p>
    <w:p w14:paraId="321C36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Основными задачами журнала «Военный вестник» поставить:</w:t>
      </w:r>
    </w:p>
    <w:p w14:paraId="7F54C7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освещение на основе опыта Великой Отечественной войны теории и практики современного боя, взаимодействия родов войск, тактической и огневой подготовки и вопросов воинского воспитания;</w:t>
      </w:r>
    </w:p>
    <w:p w14:paraId="726654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ознакомление с организацией, тактикой, техникой и боевым опытом зарубежных армий.</w:t>
      </w:r>
    </w:p>
    <w:p w14:paraId="5AC7B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журнале иметь постоянные отделы: критики и библиографии; культуры и быта офицерского состава, справок и консультаций.</w:t>
      </w:r>
    </w:p>
    <w:p w14:paraId="3BCF34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Содержание журнала рассчитывать на офицерский состав до командира полка включительно.</w:t>
      </w:r>
    </w:p>
    <w:p w14:paraId="17106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Народный Комиссар Обороны Союза ССР</w:t>
      </w:r>
    </w:p>
    <w:p w14:paraId="6C7DFF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Маршал Советского Союза</w:t>
      </w:r>
    </w:p>
    <w:p w14:paraId="38CA4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 Сталин.</w:t>
      </w:r>
    </w:p>
    <w:p w14:paraId="44087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Военный вестник. 1945. № 3–4. С. 47–48 (11659).</w:t>
      </w:r>
    </w:p>
    <w:p w14:paraId="15234516" w14:textId="77777777" w:rsidR="0032140A" w:rsidRPr="00F90EAE" w:rsidRDefault="0032140A" w:rsidP="00F90EAE">
      <w:pPr>
        <w:autoSpaceDE w:val="0"/>
        <w:autoSpaceDN w:val="0"/>
        <w:adjustRightInd w:val="0"/>
        <w:jc w:val="both"/>
        <w:rPr>
          <w:iCs/>
          <w:color w:val="000000" w:themeColor="text1"/>
          <w:sz w:val="16"/>
          <w:szCs w:val="16"/>
        </w:rPr>
      </w:pPr>
    </w:p>
    <w:p w14:paraId="051E229B" w14:textId="77777777" w:rsidR="00950F76" w:rsidRPr="00F90EAE" w:rsidRDefault="00950F76"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0223DF7" w14:textId="77777777" w:rsidR="00950F76" w:rsidRPr="00F90EAE" w:rsidRDefault="00950F76" w:rsidP="00F90EAE">
      <w:pPr>
        <w:autoSpaceDE w:val="0"/>
        <w:autoSpaceDN w:val="0"/>
        <w:adjustRightInd w:val="0"/>
        <w:jc w:val="both"/>
        <w:rPr>
          <w:iCs/>
          <w:color w:val="000000" w:themeColor="text1"/>
          <w:sz w:val="16"/>
          <w:szCs w:val="16"/>
        </w:rPr>
      </w:pPr>
    </w:p>
    <w:p w14:paraId="6CB02CA1" w14:textId="77777777" w:rsidR="00950F76" w:rsidRPr="00F90EAE" w:rsidRDefault="00950F76" w:rsidP="00F90EAE">
      <w:pPr>
        <w:jc w:val="both"/>
        <w:rPr>
          <w:bCs/>
          <w:color w:val="000000" w:themeColor="text1"/>
          <w:sz w:val="16"/>
          <w:szCs w:val="16"/>
        </w:rPr>
      </w:pPr>
      <w:r w:rsidRPr="00F90EAE">
        <w:rPr>
          <w:color w:val="000000" w:themeColor="text1"/>
          <w:sz w:val="16"/>
          <w:szCs w:val="16"/>
        </w:rPr>
        <w:t>5 марта 1945 г.</w:t>
      </w:r>
    </w:p>
    <w:p w14:paraId="3DAD1F17" w14:textId="77777777" w:rsidR="00950F76" w:rsidRPr="00F90EAE" w:rsidRDefault="00950F76" w:rsidP="00F90EAE">
      <w:pPr>
        <w:jc w:val="both"/>
        <w:rPr>
          <w:bCs/>
          <w:color w:val="000000" w:themeColor="text1"/>
          <w:sz w:val="16"/>
          <w:szCs w:val="16"/>
        </w:rPr>
      </w:pPr>
      <w:r w:rsidRPr="00F90EAE">
        <w:rPr>
          <w:color w:val="000000" w:themeColor="text1"/>
          <w:sz w:val="16"/>
          <w:szCs w:val="16"/>
        </w:rPr>
        <w:t>Зверев А.Г. «Готовьте окончательную записку и предложения». Стенограмма совещания у Народного комиссара финансов Союза ССР.</w:t>
      </w:r>
    </w:p>
    <w:p w14:paraId="358E7FE9" w14:textId="77777777" w:rsidR="00950F76" w:rsidRPr="00F90EAE" w:rsidRDefault="00950F76" w:rsidP="00F90EAE">
      <w:pPr>
        <w:jc w:val="both"/>
        <w:rPr>
          <w:bCs/>
          <w:color w:val="000000" w:themeColor="text1"/>
          <w:sz w:val="16"/>
          <w:szCs w:val="16"/>
        </w:rPr>
      </w:pPr>
      <w:r w:rsidRPr="00F90EAE">
        <w:rPr>
          <w:bCs/>
          <w:color w:val="000000" w:themeColor="text1"/>
          <w:sz w:val="16"/>
          <w:szCs w:val="16"/>
        </w:rPr>
        <w:t>Источник: </w:t>
      </w:r>
    </w:p>
    <w:p w14:paraId="36CDDD38" w14:textId="77777777" w:rsidR="00950F76" w:rsidRPr="00F90EAE" w:rsidRDefault="00950F76" w:rsidP="00F90EAE">
      <w:pPr>
        <w:jc w:val="both"/>
        <w:rPr>
          <w:color w:val="000000" w:themeColor="text1"/>
          <w:sz w:val="16"/>
          <w:szCs w:val="16"/>
        </w:rPr>
      </w:pPr>
      <w:r w:rsidRPr="00F90EAE">
        <w:rPr>
          <w:color w:val="000000" w:themeColor="text1"/>
          <w:sz w:val="16"/>
          <w:szCs w:val="16"/>
        </w:rPr>
        <w:t>Денежная реформа в СССР 1947 года. Документы и материалы. М.: Российская политическая энциклопедия (РОССПЭН), 2010. С. 133 - 148</w:t>
      </w:r>
    </w:p>
    <w:p w14:paraId="12AC8370" w14:textId="77777777" w:rsidR="00950F76" w:rsidRPr="00F90EAE" w:rsidRDefault="00950F76" w:rsidP="00F90EAE">
      <w:pPr>
        <w:jc w:val="both"/>
        <w:rPr>
          <w:bCs/>
          <w:color w:val="000000" w:themeColor="text1"/>
          <w:sz w:val="16"/>
          <w:szCs w:val="16"/>
        </w:rPr>
      </w:pPr>
      <w:r w:rsidRPr="00F90EAE">
        <w:rPr>
          <w:bCs/>
          <w:color w:val="000000" w:themeColor="text1"/>
          <w:sz w:val="16"/>
          <w:szCs w:val="16"/>
        </w:rPr>
        <w:t>Архив: </w:t>
      </w:r>
    </w:p>
    <w:p w14:paraId="7F3B2E35" w14:textId="77777777" w:rsidR="00950F76" w:rsidRPr="00F90EAE" w:rsidRDefault="00950F76" w:rsidP="00F90EAE">
      <w:pPr>
        <w:jc w:val="both"/>
        <w:rPr>
          <w:color w:val="000000" w:themeColor="text1"/>
          <w:sz w:val="16"/>
          <w:szCs w:val="16"/>
        </w:rPr>
      </w:pPr>
      <w:r w:rsidRPr="00F90EAE">
        <w:rPr>
          <w:color w:val="000000" w:themeColor="text1"/>
          <w:sz w:val="16"/>
          <w:szCs w:val="16"/>
        </w:rPr>
        <w:t>РГАЭ. Ф. 7733. Оп. 36. Д 1869. Л. 20-50. Машинописная копия.</w:t>
      </w:r>
    </w:p>
    <w:p w14:paraId="1C68B53F" w14:textId="77777777" w:rsidR="00950F76" w:rsidRPr="00F90EAE" w:rsidRDefault="00950F76" w:rsidP="00F90EAE">
      <w:pPr>
        <w:pStyle w:val="rtecenter"/>
        <w:spacing w:before="0" w:after="0"/>
        <w:jc w:val="both"/>
        <w:rPr>
          <w:color w:val="000000" w:themeColor="text1"/>
          <w:sz w:val="16"/>
          <w:szCs w:val="16"/>
        </w:rPr>
      </w:pPr>
      <w:r w:rsidRPr="00F90EAE">
        <w:rPr>
          <w:rStyle w:val="a7"/>
          <w:b w:val="0"/>
          <w:color w:val="000000" w:themeColor="text1"/>
          <w:sz w:val="16"/>
          <w:szCs w:val="16"/>
        </w:rPr>
        <w:t>СТЕНОГРАММА СОВЕЩАНИЯ </w:t>
      </w:r>
    </w:p>
    <w:p w14:paraId="77FDED74" w14:textId="77777777" w:rsidR="00950F76" w:rsidRPr="00F90EAE" w:rsidRDefault="00950F76" w:rsidP="00F90EAE">
      <w:pPr>
        <w:pStyle w:val="rtecenter"/>
        <w:spacing w:before="0" w:after="0"/>
        <w:jc w:val="both"/>
        <w:rPr>
          <w:color w:val="000000" w:themeColor="text1"/>
          <w:sz w:val="16"/>
          <w:szCs w:val="16"/>
        </w:rPr>
      </w:pPr>
      <w:r w:rsidRPr="00F90EAE">
        <w:rPr>
          <w:rStyle w:val="a7"/>
          <w:b w:val="0"/>
          <w:color w:val="000000" w:themeColor="text1"/>
          <w:sz w:val="16"/>
          <w:szCs w:val="16"/>
        </w:rPr>
        <w:t>У НАРОДНОГО КОМИССАРА ФИНАНСОВ СОЮЗА ССР</w:t>
      </w:r>
      <w:hyperlink r:id="rId58" w:anchor="bookmark1" w:history="1">
        <w:r w:rsidRPr="00F90EAE">
          <w:rPr>
            <w:rStyle w:val="a5"/>
            <w:rFonts w:eastAsiaTheme="majorEastAsia"/>
            <w:bCs/>
            <w:color w:val="000000" w:themeColor="text1"/>
            <w:sz w:val="16"/>
            <w:szCs w:val="16"/>
            <w:vertAlign w:val="superscript"/>
          </w:rPr>
          <w:t>*</w:t>
        </w:r>
      </w:hyperlink>
    </w:p>
    <w:p w14:paraId="638B647D" w14:textId="77777777" w:rsidR="00950F76" w:rsidRPr="00F90EAE" w:rsidRDefault="00950F76" w:rsidP="00F90EAE">
      <w:pPr>
        <w:pStyle w:val="rteright"/>
        <w:spacing w:before="0" w:after="0"/>
        <w:jc w:val="both"/>
        <w:rPr>
          <w:color w:val="000000" w:themeColor="text1"/>
          <w:sz w:val="16"/>
          <w:szCs w:val="16"/>
        </w:rPr>
      </w:pPr>
      <w:r w:rsidRPr="00F90EAE">
        <w:rPr>
          <w:rStyle w:val="a7"/>
          <w:b w:val="0"/>
          <w:color w:val="000000" w:themeColor="text1"/>
          <w:sz w:val="16"/>
          <w:szCs w:val="16"/>
        </w:rPr>
        <w:t>5 марта 1945 г.</w:t>
      </w:r>
    </w:p>
    <w:p w14:paraId="759AF83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ДЬЯЧЕНКО</w:t>
      </w:r>
      <w:r w:rsidRPr="00F90EAE">
        <w:rPr>
          <w:color w:val="000000" w:themeColor="text1"/>
          <w:sz w:val="16"/>
          <w:szCs w:val="16"/>
        </w:rPr>
        <w:t>.</w:t>
      </w:r>
    </w:p>
    <w:p w14:paraId="5531F40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(Начало сообщения не стенографировалось).</w:t>
      </w:r>
    </w:p>
    <w:p w14:paraId="786CAA6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Поэтому мы предлагаем обменный курс установить на уровне 1:10. Это несколько выше, чем теперешнее соотношение цен, но зато это будет более ощутительно, зато это окажет большее влияние на тех, кто накопил крупные суммы.</w:t>
      </w:r>
    </w:p>
    <w:p w14:paraId="7BD2322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Этот обменный курс 1:10 затронет всех лиц, не только тех, кто накопил крупные суммы спекулятивным путем, но и тех, кто имеет небольшие запасы денег. Мы считаем, что для широких масс населения здесь убыток будет небольшой, т. е. кто имеет в запасе 300-400 руб., [тот] не будет иметь большой материальной потери, и эта потеря с лихвой покроется возможностью покупать в любом магазине любой товар. Что касается тех лиц, которые имеют большие запасы денег, накопленные легальным путем, то можно ввести некоторое исключение, установив особый курс по сравнению с общим единым обменным курсом.</w:t>
      </w:r>
    </w:p>
    <w:p w14:paraId="49DA91A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При этом обменном курсе —1:10 создается огромнейший эмиссионный резерв. При этом обменном курсе количество новой валюты, которая будет выпускаться в обмен, будет раз в пять меньше, чем то количество денег, которое необходимо [сегодня] для обращения.</w:t>
      </w:r>
    </w:p>
    <w:p w14:paraId="61138AC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Наш расчет носит оперативный характер. Что будет через год, когда будет проводиться реформа, сейчас нет нужды говорить. Важно то, что обменный курс 1:10 даст возможность полностью рассчитаться между бюджетом и Госбанком, погасить ту задолженность, которая возникла во время войны.</w:t>
      </w:r>
    </w:p>
    <w:p w14:paraId="45BF50C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И наконец, последняя задача — необходимо ввести в обменный курс элемент снижения масштаба цен. Общий обменный курс получается 1:10, один рубль новой валюты принимается в размере 100</w:t>
      </w:r>
      <w:hyperlink r:id="rId59" w:anchor="bookmark2" w:history="1">
        <w:r w:rsidRPr="00F90EAE">
          <w:rPr>
            <w:rStyle w:val="a5"/>
            <w:rFonts w:eastAsiaTheme="majorEastAsia"/>
            <w:color w:val="000000" w:themeColor="text1"/>
            <w:sz w:val="16"/>
            <w:szCs w:val="16"/>
            <w:vertAlign w:val="superscript"/>
          </w:rPr>
          <w:t>*</w:t>
        </w:r>
      </w:hyperlink>
      <w:r w:rsidRPr="00F90EAE">
        <w:rPr>
          <w:color w:val="000000" w:themeColor="text1"/>
          <w:sz w:val="16"/>
          <w:szCs w:val="16"/>
          <w:vertAlign w:val="superscript"/>
        </w:rPr>
        <w:t>*</w:t>
      </w:r>
      <w:r w:rsidRPr="00F90EAE">
        <w:rPr>
          <w:color w:val="000000" w:themeColor="text1"/>
          <w:sz w:val="16"/>
          <w:szCs w:val="16"/>
        </w:rPr>
        <w:t> руб. в старой валюте. Причем зарплата тоже понижается в 10 раз, [так] как реальная ценность старых денег понижается в 10 раз.</w:t>
      </w:r>
    </w:p>
    <w:p w14:paraId="578AB86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Дальше, предполагается провести ряд мероприятий, относящихся к организации обмена. Предполагается, что цены открытой торговли при выпуске новой валюты будут установлены на уровне цен нормированного снабжения, пониженных в 10 раз. Если костюм сейчас стоит 1000 руб., он будет стоить 100 руб., если рабочий получает 1500 руб., он будет получать 150 руб. в новой валюте.</w:t>
      </w:r>
    </w:p>
    <w:p w14:paraId="7FD07C7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 расчету изменения масштаба цен производится пересчет касс предприятий, пересчет текущих расчетов и других счетов предприятий и организаций, по этому расчету производится пересчет по обязательствам и государственным займам в новой валюте и т. д.</w:t>
      </w:r>
    </w:p>
    <w:p w14:paraId="7C44AF08"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Что касается наличных вкладов в сберегательные кассы, то они должны обмениваться по полному курсу 1:100. Нужно сказать, что в связи с этим при выпуске новой валюты в обращение можно было бы освободиться от двух вещей: во-первых, от блокированных вкладов (спецвкладов), это принудительные сбережения. Совершенно очевидно, что если мы сохраним их до выпуска новой валюты, то они будут забраны в новой валюте. Поэтому мы предлагаем от них освободиться до выпуска новой валюты за год или за полгода. Они переводятся на общие вклады населения.</w:t>
      </w:r>
    </w:p>
    <w:p w14:paraId="71FBCE3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То же в отношении займа 1938 г. Правда, сумма займа небольшая, но этот заем имеет специфический характер. Это не такой заем, как Военный заем, облигации которого нельзя свободно покупать и продавать. Заем 1938 г. есть заем рыночного типа. Мне кажется, что от этого займа надо будет освободиться и его погасить до введения новой валюты.</w:t>
      </w:r>
    </w:p>
    <w:p w14:paraId="642263F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Затем организация самого обмена. Во-первых, необходимо установить срок обмена, т. е. срок, в течение которого лица, имеющие деньги, имеют право предъявить их для обмена на новую валюту.</w:t>
      </w:r>
    </w:p>
    <w:p w14:paraId="1661510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Реформа 1922-1924 гг. установила срок для обмена, примерно в 2-3 месяца, после чего непредъявленные к обмену деньги были аннулированы.</w:t>
      </w:r>
    </w:p>
    <w:p w14:paraId="2E6D19C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Мне думается, что теперешняя организация этого дела даст нам возможность провести обмен значительно быстрее для того, чтобы эта реформа была более эффективной, исходя из того курса, который мы установим.</w:t>
      </w:r>
    </w:p>
    <w:p w14:paraId="2A83E58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Во-вторых, для того, чтобы воспрепятствовать лицам, имеющим крупные суммы денег, произвести обмен всех имеющихся денег на новую валюту, необходимо провести организационные мероприятия. Во-первых, провести обмен таким образом, чтобы это носило единовременный характер, и чтобы, во-вторых, это проводилось под общественным контролем.</w:t>
      </w:r>
    </w:p>
    <w:p w14:paraId="21084E6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Нам кажется, что эти два момента отвечают той организации обмена, которая нами будет установлена. Это значит, что обмен надо будет проводить через колхозы, сельсоветы, предприятия, домоуправления и т. д. Надо будет составить списки или ввести обменные квитанции, которые при обмене денег отбираются с тем, чтобы лишить возможности одному и тому же лицу несколько раз приходить на обменный пункт.</w:t>
      </w:r>
    </w:p>
    <w:p w14:paraId="56B44BF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Для чего это нужно? Это нужно для того, чтобы уловить незаконно накопленные крупные суммы. Может оказаться, что некоторые лица предъявят к обмену сотни тысяч руб., а по занимаемой должности они получают зарплату в 500 руб. и никак не могут накопить такие средства. Спрашивается, откуда они взяли эти деньги, значит, каким-то обманным путем.</w:t>
      </w:r>
    </w:p>
    <w:p w14:paraId="5DD2087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Мы предлагаем установить беспрепятственный обмен в пределах определенной суммы, скажем 10 т[ыс]. руб.</w:t>
      </w:r>
    </w:p>
    <w:p w14:paraId="5D9B5B4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Сумма денег, предъявленная для обмена, [и] превышающая этот размер, обменивается не на данном обменном пункте, а обменивается в филиале Государственного банка, там будет аппарат, который сможет разобраться, как накоплена такая крупная сумма и следует ли ее обменивать. Втягивать широкий аппарат</w:t>
      </w:r>
      <w:r w:rsidRPr="00F90EAE">
        <w:rPr>
          <w:color w:val="000000" w:themeColor="text1"/>
          <w:sz w:val="16"/>
          <w:szCs w:val="16"/>
          <w:vertAlign w:val="superscript"/>
        </w:rPr>
        <w:t>***</w:t>
      </w:r>
      <w:r w:rsidRPr="00F90EAE">
        <w:rPr>
          <w:color w:val="000000" w:themeColor="text1"/>
          <w:sz w:val="16"/>
          <w:szCs w:val="16"/>
        </w:rPr>
        <w:t> в это дело, конечно, нельзя.</w:t>
      </w:r>
    </w:p>
    <w:p w14:paraId="2C09866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Нам думается, что, может быть, такие ограничения обмена можно было [бы] провести и в отношении займов. Нам думается, что, возможно, было бы целесообразным ввести некоторые ограничения при замене облигаций нынешних займов на новый заем. Это предложение выдвинул т. Рубинштейн исходя из того, что за это время произошли изменения в размещении займов. Факты показывают, что существует нелегальная спекуляция облигациями по пониженным ценам. Человек, испытывающий нужду, продает облигации другому за бесценок. Поэтому может оказаться, что наши нынешние займы могут предъявляться к обмену в крупных суммах. Может быть, тут следовало [бы] установить определенную сумму, сверх которой обмен производится по специальным решениям, через какой-то специальный орган.</w:t>
      </w:r>
    </w:p>
    <w:p w14:paraId="04765F4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Затем, при проведении обмена предполагается провести и конверсию государственных займов[</w:t>
      </w:r>
      <w:bookmarkStart w:id="2" w:name="_ftn1"/>
      <w:r w:rsidR="00A371FF" w:rsidRPr="00F90EAE">
        <w:rPr>
          <w:color w:val="000000" w:themeColor="text1"/>
          <w:sz w:val="16"/>
          <w:szCs w:val="16"/>
        </w:rPr>
        <w:fldChar w:fldCharType="begin"/>
      </w:r>
      <w:r w:rsidRPr="00F90EAE">
        <w:rPr>
          <w:color w:val="000000" w:themeColor="text1"/>
          <w:sz w:val="16"/>
          <w:szCs w:val="16"/>
        </w:rPr>
        <w:instrText xml:space="preserve"> HYPERLINK "http://istmat.info/node/62476" \l "_ftn1.1" </w:instrText>
      </w:r>
      <w:r w:rsidR="00A371FF" w:rsidRPr="00F90EAE">
        <w:rPr>
          <w:color w:val="000000" w:themeColor="text1"/>
          <w:sz w:val="16"/>
          <w:szCs w:val="16"/>
        </w:rPr>
        <w:fldChar w:fldCharType="separate"/>
      </w:r>
      <w:r w:rsidRPr="00F90EAE">
        <w:rPr>
          <w:rStyle w:val="a5"/>
          <w:rFonts w:eastAsiaTheme="majorEastAsia"/>
          <w:color w:val="000000" w:themeColor="text1"/>
          <w:sz w:val="16"/>
          <w:szCs w:val="16"/>
          <w:vertAlign w:val="superscript"/>
        </w:rPr>
        <w:t>18</w:t>
      </w:r>
      <w:r w:rsidR="00A371FF" w:rsidRPr="00F90EAE">
        <w:rPr>
          <w:color w:val="000000" w:themeColor="text1"/>
          <w:sz w:val="16"/>
          <w:szCs w:val="16"/>
        </w:rPr>
        <w:fldChar w:fldCharType="end"/>
      </w:r>
      <w:bookmarkEnd w:id="2"/>
      <w:r w:rsidRPr="00F90EAE">
        <w:rPr>
          <w:color w:val="000000" w:themeColor="text1"/>
          <w:sz w:val="16"/>
          <w:szCs w:val="16"/>
        </w:rPr>
        <w:t>]. Нужно будет заменить все облигации нынешних займов на новые облигации займа в новой валюте.</w:t>
      </w:r>
    </w:p>
    <w:p w14:paraId="4C313D2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Что же касается страхования, то учитывая, что оно еще не получило достаточного распространения, мы считаем, что здесь можно произвести пересчеты по масштабу цен, а не по обменному курсу.</w:t>
      </w:r>
    </w:p>
    <w:p w14:paraId="180389F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И последний вопрос, относительно того, какие вопросы необходимо разработать. Здесь мы выдвигаем два вопроса, которые должны подвергнуться специальной разработке. Первый вопрос — это об эмиссии</w:t>
      </w:r>
      <w:r w:rsidRPr="00F90EAE">
        <w:rPr>
          <w:color w:val="000000" w:themeColor="text1"/>
          <w:sz w:val="16"/>
          <w:szCs w:val="16"/>
          <w:vertAlign w:val="superscript"/>
        </w:rPr>
        <w:t>****</w:t>
      </w:r>
      <w:r w:rsidRPr="00F90EAE">
        <w:rPr>
          <w:color w:val="000000" w:themeColor="text1"/>
          <w:sz w:val="16"/>
          <w:szCs w:val="16"/>
        </w:rPr>
        <w:t>.</w:t>
      </w:r>
    </w:p>
    <w:p w14:paraId="5ACF795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 части реплики тов. Зверева о том, что уборщица получает 90 руб. Мы это учитываем. Конечно, дифференциация заработной платы необходима, но мы подсчитали, что 90 руб. не хватит для того, чтобы отоварить карточку. Оказывается, что для того, чтобы отоварить карточку для средней семьи 1,5 человека, человек, который получает 100-120 руб., у него не хватит денег для того, чтобы оплатить продовольственные карточки свои и своих иждивенцев. Это положение ненормальное. Если мы переходим на ненормированное снабжение, и если мы должны установить механический обменный курс, то необходимо изменить систему зарплаты, т. е. некоторую зарплату подтянуть, но, повторяю, дифференциация зарплаты необходима.</w:t>
      </w:r>
    </w:p>
    <w:p w14:paraId="646E6DB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7B75173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А не возникал у Вас такой момент, что при обмене производить обложение тех, кто имеет большие суммы денег.</w:t>
      </w:r>
    </w:p>
    <w:p w14:paraId="5609A41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ДЬЯЧЕНКО</w:t>
      </w:r>
      <w:r w:rsidRPr="00F90EAE">
        <w:rPr>
          <w:color w:val="000000" w:themeColor="text1"/>
          <w:sz w:val="16"/>
          <w:szCs w:val="16"/>
        </w:rPr>
        <w:t>.</w:t>
      </w:r>
    </w:p>
    <w:p w14:paraId="4AE86529"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Это совершенно самостоятельная задача.</w:t>
      </w:r>
    </w:p>
    <w:p w14:paraId="507DC43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Скажем, человек предъявляет к обмену несколько сот тысяч руб., а мы знаем, что тот заработок, который он имеет, не дает ему возможности накопить такую сумму денег.</w:t>
      </w:r>
    </w:p>
    <w:p w14:paraId="03DC4DA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МАЛЕТИН</w:t>
      </w:r>
      <w:r w:rsidRPr="00F90EAE">
        <w:rPr>
          <w:color w:val="000000" w:themeColor="text1"/>
          <w:sz w:val="16"/>
          <w:szCs w:val="16"/>
        </w:rPr>
        <w:t>.</w:t>
      </w:r>
    </w:p>
    <w:p w14:paraId="359C3FA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Сейчас намечается другое. До того как начнется сам факт обмена старых денег на новые, несколько упорядочится соотношение денежной массы и товаров, т. е. идет процесс снижения цен, а не повышения.</w:t>
      </w:r>
    </w:p>
    <w:p w14:paraId="464211A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lastRenderedPageBreak/>
        <w:t>Мне кажется, что действительно создастся затруднение такого рода, во-первых, за то время пока мы готовимся к реформе, товары будут расти, и мы будем или выбрасывать [их] в продажу, или задерживать. Будем часть промтоваров задерживать с продажей, а на находящиеся в продаже держать высокие цены. Дело, видимо, будет иначе. Значит, пойдет другое, что снижение цен до момента обмена пойдет более быстро.</w:t>
      </w:r>
    </w:p>
    <w:p w14:paraId="6FAB16E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Мне кажется, что в принципе такая система подготовки денежной реформы неправильна. Надо было бы начать с обратного, а именно превратить сам обмен денег, т. е. ликвидацию больших запасов денег, которые сосредоточены у небольшого количества людей, до того, как мы приступим к упорядочению товарных фондов. Если мы деньги изымем, то покупательная способность будет ниже. У меня никак не укладывается — желаем ликвидировать денежные запасы, но до того, как их ликвидировать, стараемся насытить рынки товарами.</w:t>
      </w:r>
    </w:p>
    <w:p w14:paraId="119B0F8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Мне кажется, что это неправильно, и с точки зрения финансового ведомства — дважды неправильно. Мне кажется, что надо начать с обратного. Именно, саму деноминацию или обменный курс и ограничения обмена нужно начать, а все последующие мероприятия должны происходить после того, как будут нормальные хозяйственные отношения в стране.</w:t>
      </w:r>
    </w:p>
    <w:p w14:paraId="04AEDBD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Нужно принять следующее, что первым мероприятием, направленным на упорядочение цен и приведение в порядок денежной системы, должно явиться приведение в порядок самой денежной системы. Сам факт обмена денег и будет являться фактором отмены нормированного снабжения. Надо начать с денежной реформы, произвести обмен, изъять большие денежные запасы и на этой основе создать нормальное положение.</w:t>
      </w:r>
    </w:p>
    <w:p w14:paraId="4334E3B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5F10625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Вы считаете, что деньги надо обменять, а торговля пусть останется такой, какой она есть сейчас.</w:t>
      </w:r>
    </w:p>
    <w:p w14:paraId="129A217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МАЛЕТИН</w:t>
      </w:r>
      <w:r w:rsidRPr="00F90EAE">
        <w:rPr>
          <w:color w:val="000000" w:themeColor="text1"/>
          <w:sz w:val="16"/>
          <w:szCs w:val="16"/>
        </w:rPr>
        <w:t>.</w:t>
      </w:r>
    </w:p>
    <w:p w14:paraId="3E0294F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Это диаметрально противоположное предложение, которое выдвигалось в прошлый раз.</w:t>
      </w:r>
    </w:p>
    <w:p w14:paraId="041AA80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ГОРДИН</w:t>
      </w:r>
      <w:r w:rsidRPr="00F90EAE">
        <w:rPr>
          <w:color w:val="000000" w:themeColor="text1"/>
          <w:sz w:val="16"/>
          <w:szCs w:val="16"/>
        </w:rPr>
        <w:t>.</w:t>
      </w:r>
    </w:p>
    <w:p w14:paraId="0DAD8AB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Несколько слов по поводу того, что предлагал т. Малетин. Мне кажется, что в прошлый раз предлагали цены повышать, сейчас предлагают цены понижать. В прошлый раз предлагалось повышать цены на нормированные товары и понижать коммерческие цены и найти какую-то середину, какое-то сближение и на этой основе произвести денежную реформу.</w:t>
      </w:r>
    </w:p>
    <w:p w14:paraId="55AE298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Сейчас предлагается понижать цены коммерческой торговли, причем понижение коммерческих цен [произвести] в очень незначительном размере, т. е. то же, что предлагалось прошлый раз и разницы здесь нет. Но разница заключается в том, что в прошлый раз предлагалось цены коммерческие снизить в 3-4 раза для того, чтобы найти среднее между коммерческой ценой и ценой нормированного снабжения, а сейчас предлагается снижение на 15-20%. По предыдущему варианту мы предлагали снизить цены в 3-4 раза, а теперь предлагается только на 15-20%. Следовательно, отличие этого варианта от предыдущего заключается, помимо того, что мы устраняем необходимость шатания собственно в зарплате и всех затруднений в хозяйственной деятельности, мы устраняем возможность обогащения тех лиц, которые имеют крупные суммы денег, так как мы снижаем коммерческие цены не в 3-4 раза, а только на 15-20%.</w:t>
      </w:r>
    </w:p>
    <w:p w14:paraId="157AE9B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Речь идет о том, что по мере появления товаров будет увеличено несколько карточное снабжение. Значит, никаких экономических противоречий нет. Мы обеспечиваем устойчивое положение до момента проведения реформы. Во всех хозяйственных расчетах обеспечивается такое положение, что люди, обладающие крупными денежными суммами, никакого обогащения получать не могут. Речь идет об очень скромном снижении товарного производства. Мне думается, что это в интересах широких слоев населения и в интересах всей экономики. В чем Вы правы, П.А. Мне лично представляется, что мы не можем отмахиваться вот от какого вопроса, что после окончания войны мы подходить будем к довоенному уровню товарооборота. Здесь вопрос о темпах проведения реформы, один из очень трудных вопросов. Товарооборот у нас развертывается довольно медленно. У нас прирост товаров в 1945 г., если посмотреть по областям, как он ложится, то мы убедимся, что прирост товаров скромный. Какие возможности после окончания войны. Я пытался подсчитать. Тут не получается большой величины, которая могла бы решить дело. Вопрос относительно того, когда мы сможем подойти к довоенному уровню товарооборота, это очень сложный вопрос. Сейчас у нас примерно половины довоенного уровня не достигает товарооборот. Если бы мы могли достигнуть 80-90% довоенного уровня. А если этот процесс затянется года на два, тогда имело бы смысл начать реформу несколько раньше. Это значит — начать выпуск новой валюты, не переходя целиком на новую валюту, выдавать заработную плату в новой валюте, т. е. мы могли бы осуществлять денежную реформу частично. Часть зарплаты давать в новой валюте, часть оборота перевести на новую валюту. Это дало бы нам возможность по мере роста товарных запасов направлять их целиком на удовлетворение нужд широких слоев населения в наиболее правильной форме открытой торговли.</w:t>
      </w:r>
    </w:p>
    <w:p w14:paraId="2765FA7D"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Но это чрезвычайно сложно. Повторяю, я лично не считаю, что это новшество. Я просто думаю, если исходить из того, что для достижения довоенного товарооборота потребуется год или два, то имеет смысл провести частичный обмен. Повторяю, основную позицию это нисколько не меняет.</w:t>
      </w:r>
    </w:p>
    <w:p w14:paraId="0E47466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5F65CC9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Если ввести другую валюту параллельно со старой валютой, то где ее реализовать, получится неудобно.</w:t>
      </w:r>
    </w:p>
    <w:p w14:paraId="5F65B20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ГОРДИН</w:t>
      </w:r>
      <w:r w:rsidRPr="00F90EAE">
        <w:rPr>
          <w:color w:val="000000" w:themeColor="text1"/>
          <w:sz w:val="16"/>
          <w:szCs w:val="16"/>
        </w:rPr>
        <w:t>.</w:t>
      </w:r>
    </w:p>
    <w:p w14:paraId="5B6B0709"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Новую валюту можно реализовать, скажем, только в коммерческих магазинах, или в уплату за квартиру и т. д. Но я на этом не настаиваю, я думаю, что когда мы этим вопросом будем заниматься вплотную, то мы к этому подойдем.</w:t>
      </w:r>
    </w:p>
    <w:p w14:paraId="33F9DE5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Второй вопрос относительно курса. Мне кажется, что курс, который предлагает т. Дьяченко, — 1:10 не решает основной позиции. Мне лично кажется, если равняться не только на промышленные товары, а учитывать и продовольственные товары и учесть обогащение, которое могут иметь люди, имеющие большие средства, то можно было бы поднять этот курс значительно. Это надо будет уточнить, но сделать это возможно.</w:t>
      </w:r>
    </w:p>
    <w:p w14:paraId="13D3123D"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Третий момент — это вопрос ограничения обмена. Мне лично кажется, что мы этот момент слишком переоцениваем по очень простой причине. Значительные денежные суммы, которые получают спекулятивные элементы, превращаются ими в материальные ценности, и этого нельзя забывать. Мы ведь не можем перед проведением реформы закрыть рынок. Не следует забывать, что мы можем серьезно воздействовать на тех, кто располагает крупными денежными суммами, только обменом, что мы ограничим обмен. Мне лично кажется, что мы здесь достигнем весьма скромной цели. Я этим вовсе не хочу сказать, что надо отказаться от ограничения, но если мы хотим серьезно ударить по спекулянтам, то тут нужны другие меры.</w:t>
      </w:r>
    </w:p>
    <w:p w14:paraId="236F59D8"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01D6895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Крупных денег у населения нет, они все равномерно распределены у определенных лиц.</w:t>
      </w:r>
    </w:p>
    <w:p w14:paraId="1E5F883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ГОРДИН</w:t>
      </w:r>
      <w:r w:rsidRPr="00F90EAE">
        <w:rPr>
          <w:color w:val="000000" w:themeColor="text1"/>
          <w:sz w:val="16"/>
          <w:szCs w:val="16"/>
        </w:rPr>
        <w:t>.</w:t>
      </w:r>
    </w:p>
    <w:p w14:paraId="51F9E6B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думаю, что у нас добрая половина денег находится на руках у владельцев, половина размещена у небольшого количества держателей денег, а у крупных держателей денег последние находятся все время в движении, они их размещают в материальные ценности.</w:t>
      </w:r>
    </w:p>
    <w:p w14:paraId="7B14326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Тов.УРЮПИН.</w:t>
      </w:r>
    </w:p>
    <w:p w14:paraId="50DE56E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лично считаю, что предложение товарищей о проведении денежной реформы в тех конкретных соображениях является правильным. О том, что денежную реформу нужно проводить, я понял на прошлом совещании; этот вопрос мы считаем предрешенным. Я сначала долго не мог уловить соображения товарищей о двух вариантах. При одном варианте они предлагают обменивать по курсу 1:10, при другом 1:100. Тов. Дьяченко разъясняет, что это вопрос счетного порядка. Но тут можно как сделать. Если проводить денежную реформу на уровне существующих цен нормированного снабжения и оставить эти цены без пересмотра, оставить уровень заработной платы, то они предлагают обменный курс 1:10. Конечно, можно и при этом предложении проводить реформу не меняя существующего масштаба цен. Но мне казалось бы, что если проводить денежную реформу, то не следовало бы отсекать решения и таких вопросов, как масштаб цен, уровень заработной платы. Надо признать, что с уровнем заработной платы, с уровнем масштаба цен у нас положение далеко ненормальное.</w:t>
      </w:r>
    </w:p>
    <w:p w14:paraId="7CB9ED9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Поэтому мне казалось бы, что следует это дело связать с пересмотром уровня заработной платы и с пересмотром масштаба цен.</w:t>
      </w:r>
    </w:p>
    <w:p w14:paraId="03DD4AE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не понял т. Дьяченко, когда он ведет речь относительно пересмотра заработной платы, что этот пересмотр должен быть механический. Снизить — и точка.</w:t>
      </w:r>
    </w:p>
    <w:p w14:paraId="5B8F092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Здесь должна быть проделана довольно серьезная предварительная работа. Кстати орган, который бы этим мог заняться (Штатная комиссия) имеется, он капитально его подработает в отношении служащих и в отношении рабочих. Если нужно увеличить аппарат и создать какой-то специальный орган, это другой вопрос, но, мне думается, от этих мероприятий побочного порядка для денежной реформы не следовало бы отказываться.</w:t>
      </w:r>
    </w:p>
    <w:p w14:paraId="195E444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Следующее соображение я хотел бы высказать в отношении того, что товарищи предлагают в части цен на товары. Они ничего нового не предлагают. Они не предлагают снизить цены нормированного снабжения, они не предлагают повышать цены. Прошлый раз они предлагали цены нормированного снабжения повысить, а цены Особторга понижать и найти золотую середину, и [затем] понизить заработную плату.</w:t>
      </w:r>
    </w:p>
    <w:p w14:paraId="506F2DD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Сейчас предлагается цены нормированного снабжения ни повышать, ни понижать, следовательно, уровень заработной платы, который есть, — остается. Вопрос идет о снижении цен Особторга. Нового здесь ничего не придумано.</w:t>
      </w:r>
    </w:p>
    <w:p w14:paraId="543E723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себе не представляю, чтобы можно было денежную реформу провести таким порядком, как предлагает т. Малетин, т. е. произвести обмен, и на этом поставить точку.</w:t>
      </w:r>
    </w:p>
    <w:p w14:paraId="7AB06B0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Возьмите любую денежную реформу из истории и вы увидите, что всегда этому предшествовали определенные подготовительные мероприятия. Нельзя приостановить экономическую жизнь, нельзя приостановить торговлю, да это и не нужно. Возьмите 1944 г., в течение которого Особторг дал бюджету 8 млрд руб. из 10 млрд руб. Таким образом, мы в течение года изымаем 8 млрд руб., и от этого мы отказываться не можем, и для этого нет никаких оснований.</w:t>
      </w:r>
    </w:p>
    <w:p w14:paraId="5D074E4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Что происходит сейчас в Особторге? Если бы мы пустили торговлю текстилем и швейными изделиями без лимитных книжек, то не хватило бы никаких фондов. А поэтому и цены, вполне естественно, на промтовары установлены с таким расчетом, чтобы сдерживать предложение.</w:t>
      </w:r>
    </w:p>
    <w:p w14:paraId="7C52C62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lastRenderedPageBreak/>
        <w:t>Следующий момент. Тов. Малетин ставит так вопрос о создании материальных фондов. Возьмите Особторг, при данной денежной системе постановлением правительства установлено, что запасы должны быть до 6 месяцев, а иногда и больше, а в области нормированного снабжения, видимо, запасы должны составлять квартальный запас, так как иначе немыслима нормальная торговля, особенно при нашей разбросанной территории.</w:t>
      </w:r>
    </w:p>
    <w:p w14:paraId="0E8856C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Таким образом, тот разворот производства, который будет иметь место и который неизбежно будет, он найдет себя, во-первых, по линии Особторга, который будет расширяться, и во-вторых, нормированное снабжение должно с течением времени улучшаться, и поэтому можно перейти к довоенным материальным фондам для того, чтобы перейти на ненормированное снабжение. Кроме того, не секрет, что у нас по ряду продуктов запасы очень большие. Есть товарные запасы, которые составляют запасы на год, на два года. Почему мы боимся создания некоторых товарных запасов.</w:t>
      </w:r>
    </w:p>
    <w:p w14:paraId="1F76DCE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Поэтому те предложения, которые внес т. Дьяченко, не беря их в цифрах, в принципе правильны, но отдельные моменты следует уточнить.</w:t>
      </w:r>
    </w:p>
    <w:p w14:paraId="2E05490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Теперь товарищи ставят вопрос относительно некоторого ограничения обмена даже при том курсе, который будет установлен 1:100. Я [тоже] склоняюсь к этому. Я думаю, ничего страшного не произойдет, если будут установлены ограничения. Причем они довольно эластично ставят вопрос, что [надо] не просто отказывать в обмене, а следует разобраться в этом, выявить лиц, которые незаконно обогатились. Вы, А[рсений Григорьевич], говорите, что их можно обложить налогом. Это можно сделать, не меняя нашего налогового законодательства. Срок обложения за прошлое время у нас ограничен. Что касается спекулянтов и других лиц, которые незаконно накопили деньги и под налоговое обложение не подходят, так ведь это элементы спекулятивного порядка, их вылавливают, судят, конфискуют имущество, ценности и высылают. Я лично думаю, что эти случаи не будут массовыми. Скорее всего, что такой тип не пойдет с деньгами, а положит их в печку.</w:t>
      </w:r>
    </w:p>
    <w:p w14:paraId="1BCEA95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Таким образом, я считаю, что товарищи правильно намечают это дело.</w:t>
      </w:r>
    </w:p>
    <w:p w14:paraId="62426F3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Остается вопрос — когда эту реформу проводить. Тов. Гордин считает, что то, что сейчас существует, и после войны некоторый промежуток продлится. Так ведь мы же здесь не определяем ни числа, ни месяца. Это покажет жизнь. Но те принципы, которые товарищи намечают, с жизнью не расходятся и вполне ясны.</w:t>
      </w:r>
    </w:p>
    <w:p w14:paraId="29B1E60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Последнее замечание. Бесспорно, что если встать на последний курс 1:100, проводя денежную реформу, то нам нужно заранее работать над вопросом налогового обложения как в части налога с оборота, так и в части обложения населения.</w:t>
      </w:r>
    </w:p>
    <w:p w14:paraId="28D1775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РУБИНШТЕЙН</w:t>
      </w:r>
      <w:r w:rsidRPr="00F90EAE">
        <w:rPr>
          <w:color w:val="000000" w:themeColor="text1"/>
          <w:sz w:val="16"/>
          <w:szCs w:val="16"/>
        </w:rPr>
        <w:t>.</w:t>
      </w:r>
    </w:p>
    <w:p w14:paraId="06DC7A0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хотел начать с того вопроса, что сейчас начать: с денежной реформы или с отмены карточек Здесь дело не только в товарных запасах, но и в ряде других экономических предпосылок. Если взять опыт 1922-1924 гг., то надо сказать, что несмотря на то, что были и товарные резервы, и другие экономические условия, однако несомненно, что уже в 1926 г. у нас начались ненормальные явления в области товарооборота. С 1926 г., по существу, курс червонца начинает снижаться. Я думаю, что этот опыт надо будет учесть, и учесть очень серьезно. Если вы проводите реформу до того, как у вас будут товарные запасы, то кто вам поверит, что у вас через полгода, через год появятся товары. У вас сейчас же начнется ненормальное явление на рынке, немедленно начнется спекуляция и курс рубля не будет устойчивым.</w:t>
      </w:r>
    </w:p>
    <w:p w14:paraId="53416F0D"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Когда в 1935 г. мы отменили карточную систему, у нас запасы в московском универмаге составляли 120 дней, и это не только в московском универмаге, а во всех универсальных магазинах были такие запасы для того, чтобы можно было беспрепятственно удовлетворять спрос. Мы подойдем к реформе тогда, когда промышленность перейдет на мирные рельсы для того, чтобы обеспечить полное удовлетворение спроса населения. Без этого реформу проводить нельзя.</w:t>
      </w:r>
    </w:p>
    <w:p w14:paraId="104E14C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Теперь разрешите перейти к вопросу об обмене. Мне лично кажется, что Ваша мысль насчет введения налога представляется заманчивой. Меня смущает наше предложение об ограничении обмена, так как тут могут быть крупные недоразумения и здесь есть некоторая доля опасности. Если мы это будем проводить через Госбанк, то даже и при этом условии это будет связано с большими сложностями и неприятностями. Может быть, в самом деле ввести такой налог; это имело бы определенную форму.</w:t>
      </w:r>
    </w:p>
    <w:p w14:paraId="1E7FBB9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Очень многие спекулянты превращают свои накопления в материальные ценности, но все деньги вложить в товарные ценности невозможно. Тем, что мы будем ограничивать, нам не удастся достигнуть преследуемой нами цели.</w:t>
      </w:r>
    </w:p>
    <w:p w14:paraId="254D14A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согласен с предложением т. Гордина установить еще более повышенный курс, чем 100. В этом случае мы сможем добиться больших результатов.</w:t>
      </w:r>
    </w:p>
    <w:p w14:paraId="191F3C38"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Для того, чтобы готовиться к реформе, нужно не только иметь достаточные товарные запасы, но нужно провести ряд серьезных мероприятий по укреплению хозрасчета. Я здесь имею в виду три момента. Во-первых, система материального снабжения, так называемая децентрализованная система снабжения, которая существует при каждом заводе. Нам нужно от нее избавиться. Второй момент, имеющий большое значение, — это система оплаты труда наших руководящих хозяйственных работников. Здесь нам нужно готовиться к тому, чтобы создать новые штаты, новые ставки для оплаты этого контингента работников. Третий момент, это вопрос кредитования, так как все те моменты, которые существуют в этом отношении в настоящее время, они будут очень тяжело ощущаться при проведении реформы. Вы, Арсений Григорьевич, на днях подписали приказ, обязывающий фин-органы требовать, чтобы поставщики выписывали счета за товары, вот до чего мы дошли. Этот третий момент имеет огромное значение во всей нашей работе. Мне кажется, что одновременно с подготовкой к реформе было бы целесообразно и рационально проводить реформу и в этом отношении, так как без этого денежную реформу проводить будет преждевременно.</w:t>
      </w:r>
    </w:p>
    <w:p w14:paraId="5E55DE2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СЛАВНЫЙ.</w:t>
      </w:r>
    </w:p>
    <w:p w14:paraId="1F374AC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Мне кажется, что тезисы тов. Дьяченко слабо оттенили или совсем не оттенили два положения. Первое положение связано с размещением денежной массы, находящейся в обращении среди отдельных групп населения. Конечно, правилен тот тезис, что сейчас особенно деньги будут притекать к наиболее состоятельным торгово-спекулятивным элементам. Но все же отрицать, что деньги не находятся у трудящихся масс, нельзя. Если вы проанализируете денежное обращение за годы войны, вы убедитесь, что первое время до середины 1941 г. деньги располагаются у широких слоев населения. Бюджет рабочих и служащих за последние месяцы показывает, что в городе сейчас растут денежные остатки. В тезисах сказано, что деньги размещаются у торгово-скупочных элементов. Это не так. Деньги в наших условиях находятся у большой массы широких слоев населения. Трудно отделить трудовые деньги от нетрудовых. 4-5 млрд руб. будут вклады военнослужащих, имеются вклады довоенные. Нам при сдельно-премиальной оплате труда инженерно-технических работников не так просто решить этот вопрос. Здесь имеется немало социальных причин.</w:t>
      </w:r>
    </w:p>
    <w:p w14:paraId="273D071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Второе замечание — это вопрос по поводу использования системы Особторга. На том совещании получилось такое мнение, что Особторг не играет роли по изъятию денег из обращения. А скажите, что это из 116 млрд руб., которые мы получили в 1944 г., около 50 млрд руб. — это ценовые надбавки. А в 1945 г. мы будем иметь в этих 140 млрд руб. около 65 млрд руб. ценовых надбавок. Кроме того, учтите, что в 1945 г. были изъяты деньги из обращения. Дальше как будет происходить дело. В ближайшее время Ленд-лиз</w:t>
      </w:r>
      <w:hyperlink r:id="rId60" w:anchor="bookmark3" w:history="1">
        <w:r w:rsidRPr="00F90EAE">
          <w:rPr>
            <w:rStyle w:val="a5"/>
            <w:rFonts w:eastAsiaTheme="majorEastAsia"/>
            <w:color w:val="000000" w:themeColor="text1"/>
            <w:sz w:val="16"/>
            <w:szCs w:val="16"/>
            <w:vertAlign w:val="superscript"/>
          </w:rPr>
          <w:t>*</w:t>
        </w:r>
      </w:hyperlink>
      <w:r w:rsidRPr="00F90EAE">
        <w:rPr>
          <w:color w:val="000000" w:themeColor="text1"/>
          <w:sz w:val="16"/>
          <w:szCs w:val="16"/>
          <w:vertAlign w:val="superscript"/>
        </w:rPr>
        <w:t>****</w:t>
      </w:r>
      <w:r w:rsidRPr="00F90EAE">
        <w:rPr>
          <w:color w:val="000000" w:themeColor="text1"/>
          <w:sz w:val="16"/>
          <w:szCs w:val="16"/>
        </w:rPr>
        <w:t> окажет влияние. Мне кажется, что нам придется использовать систему Особторга не только через продтовары, а и через систему промтоваров. Придется снижать цены.</w:t>
      </w:r>
    </w:p>
    <w:p w14:paraId="6B44EF4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Не может быть такого перехода, такого курса, как 1:10. Это затронет, прежде всего, трудящихся нашей страны. Поэтому нужно будет взять курс не 1:10, а будет хорошо, если мы возьмем 1:3 или 1:4 и больше нам не потребуется. Это — во-первых.</w:t>
      </w:r>
    </w:p>
    <w:p w14:paraId="4E9CDB19"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Во-вторых, вот здесь все время говорят о капиталистических элементах. Я не знаю почему, но забывают другие группы трудящихся, которые имеют накопления и которые при обмене будут иметь десятки тысяч руб., сюда надо включить лауреатов, военнослужащих и др.</w:t>
      </w:r>
    </w:p>
    <w:p w14:paraId="728E399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Затем надо внести поправку в проект группы в том, что расширение торговли Особторга может быть ограничено только одними продовольственными товарами. Мне кажется, что не совсем правильно показано соотношение цен 1:18 по продовольственным товарам и 1:8 по промтоварам. Это взяты колхозные цены. Если взять колхозные цены по отношению к госторговле, то соотношение будет другое.</w:t>
      </w:r>
    </w:p>
    <w:p w14:paraId="5544BBE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Нам придется очень широко использовать систему Особторга, и тогда мы придем к такому соотношению. В конце концов спекулятивный элемент свои свободные деньги вкладывает в материальные ценности, это происходило, происходит и будет происходить в разных формах.</w:t>
      </w:r>
    </w:p>
    <w:p w14:paraId="48E8BF8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p>
    <w:p w14:paraId="240812C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Мы все еще ищем принципы, методы, как проводить денежную реформу. Мне кажется, что последний вариант в основном дает возможность искать базу проведения денежной реформы. Этот вариант исключает то, что предлагали прошлый раз, когда нужно было поднять цены, поднять заработную плату и тем самым обесценить наличные деньги у населения.</w:t>
      </w:r>
    </w:p>
    <w:p w14:paraId="64C6393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Положение у нас такое, что тот вариант не подходит, имея в виду, что бюджет у нас бездефицитный за 1944 г., в 1945 г. предполагается, что не будет эмиссии, дело идет к концу войны и не следует вводить такой ломки. Поэтому то, что сейчас предлагается, оно исключает такое положение. Базы для спора тут нет. Конечно, к каждой реформе необходимо подготовиться. Я рассматриваю денежную реформу как самоцель того периода, когда она проводится, безотносительно того, что будет в дальнейшем. Конечно, можно и то, что вы предлагаете, т. Малетин, но денежная реформа предполагает порядочное будущее в экономике, в денежном обращении и проч. А если мы хотим обеспечить порядочное будущее в смысле товарооборота, в смысле денежного обращения не только инструкциями и письмами, но и товарами, [то] безусловно, необходима отмена карточной системы, [а] это значит наличие запаса товаров.</w:t>
      </w:r>
    </w:p>
    <w:p w14:paraId="238E88D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Тут вопрос о соотношении 1:10 в ценах и в зарплате, 1:100 в обмене, вопросы сугубо принципиальные и большие. Что здесь у нас такого острого. Можно ли просто подойти ко всему населению с курсом 1:100 или нет. Я беру в принципе. У населения денег больше, чем было раньше, но деньги расположены у всего населения неравномерно. Во всяком случае, у меньшего количества населения большинство денег находится. Это ясно. Поэтому какой-то группе населения, в основном из рабочих, может быть, следует установить льготу при обмене. Это еще нужно продумать. Потом, если допускается предложение т. Дьяченко: «обменять или не обменять», и это предоставляется на решение каким-то комиссиям, то, может быть, поскольку эти комиссии будут повсеместно, каждая комиссия будет делать по-своему. Тут нужно дать что-то централизованное, может быть, в форме налога. Но мне кажется, что ограничения следовало бы ввести. Налог в этом отношении вреда никакого не принесет. Нужно ли это давать в форме административной репрессии? Но ведь был же у нас налог на сверхприбыль. Во всяком случае, по существу, необходимо, чтобы какие-то меры ограничения были приняты.</w:t>
      </w:r>
    </w:p>
    <w:p w14:paraId="2E23817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lastRenderedPageBreak/>
        <w:t>Я думаю, что на основе того, что здесь предложено, можно будет разработать первый вариант записки и предложения. Причем здесь надо более конкретно сказать, если вы ставите определенный порядок обмена, надо по группам населения выделить, где и как будет. Здесь надо будет решить вопрос по займу, по вкладам.</w:t>
      </w:r>
    </w:p>
    <w:p w14:paraId="232B376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думаю так, давайте первый вариант записки попробуем составить на базе этого варианта. В этой записке нужно сказать, какие вы знаете примеры из истории нашей советской действительности по упорядочению денежного хозяйства, какие могут быть варианты, какие отрицательные, какие положительные и дать последний вариант и обосновать его соответствующими мотивами.</w:t>
      </w:r>
    </w:p>
    <w:p w14:paraId="4BFA5871"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ГОЛЕВ</w:t>
      </w:r>
      <w:r w:rsidRPr="00F90EAE">
        <w:rPr>
          <w:color w:val="000000" w:themeColor="text1"/>
          <w:sz w:val="16"/>
          <w:szCs w:val="16"/>
        </w:rPr>
        <w:t>.</w:t>
      </w:r>
    </w:p>
    <w:p w14:paraId="5E1FCCF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У меня есть сомнение такого порядка. Этот проект предусматривает проведение денежной реформы, когда будет отменена карточная система. Мне кажется, что [и] при наличии карточной системы и более высоком уровне снабжения по карточкам мыслимо проведение денежной реформы. Мне кажется, что мыслимо и такое положение, что с отменой карточной системы не нужно торопиться. Будем улучшать снабжение по карточкам, а отменять карточную систему не будем.</w:t>
      </w:r>
    </w:p>
    <w:p w14:paraId="050687A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Я считаю, что формулировать нужно не так. Карточная система у нас может быть еще долго, но ничего не будет страшного, если у нас будут двойные цены на хлеб и т. д.</w:t>
      </w:r>
    </w:p>
    <w:p w14:paraId="668FEC49"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3A6890B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Проводить денежную реформу при наличии нормированной торговли — это бессмысленное дело потому, что все наше народное хозяйство, за исключением колхозного сектора и разных частных сапожников, основано на ценах, на которые не влияет эта рыночная цена. Значит, хозяйство основано на твердых ценах.</w:t>
      </w:r>
    </w:p>
    <w:p w14:paraId="5883F73F"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ГОРДИН</w:t>
      </w:r>
      <w:r w:rsidRPr="00F90EAE">
        <w:rPr>
          <w:color w:val="000000" w:themeColor="text1"/>
          <w:sz w:val="16"/>
          <w:szCs w:val="16"/>
        </w:rPr>
        <w:t>.</w:t>
      </w:r>
    </w:p>
    <w:p w14:paraId="59B10C05"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Должно быть ясно вот что, что окончится война, и у нас на протяжении года или двух лет не будет тех товарных фондов, которые были до войны.</w:t>
      </w:r>
    </w:p>
    <w:p w14:paraId="7826F760"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09ED1CB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Предложение т. Малетина неправильно, так как, для того, чтобы провести денежную реформу, нужно готовиться год-полтора с точки зрения техники. Если же у нас фонды будут расти, то мы будем давать больше товаров по карточкам. Готовиться к денежной реформе во время войны нельзя, к этому надо готовиться после окончания войны. Конечно, у нас после войны должно быть увеличено снабжение населения и после окончания войны сократится ажиотаж спекулянтов, а деньги у населения будут.</w:t>
      </w:r>
    </w:p>
    <w:p w14:paraId="6873F957"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МАЛЕТИН</w:t>
      </w:r>
      <w:r w:rsidRPr="00F90EAE">
        <w:rPr>
          <w:color w:val="000000" w:themeColor="text1"/>
          <w:sz w:val="16"/>
          <w:szCs w:val="16"/>
        </w:rPr>
        <w:t>.</w:t>
      </w:r>
    </w:p>
    <w:p w14:paraId="44315C6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Резкое увеличение спроса резко понизит коммерческие цены, хотите вы этого или не хотите, и тот, кто располагает большими средствами, сумеет использовать их.</w:t>
      </w:r>
    </w:p>
    <w:p w14:paraId="34B3383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5A81149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Надо цены держать на соответствующем уровне.</w:t>
      </w:r>
    </w:p>
    <w:p w14:paraId="24FFA093"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ГОРДИН</w:t>
      </w:r>
      <w:r w:rsidRPr="00F90EAE">
        <w:rPr>
          <w:color w:val="000000" w:themeColor="text1"/>
          <w:sz w:val="16"/>
          <w:szCs w:val="16"/>
        </w:rPr>
        <w:t>.</w:t>
      </w:r>
    </w:p>
    <w:p w14:paraId="7DBFF852"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Допустим, что мы будем проводить денежную реформу через два года после окончания войны. К этому времени мы придем к довоенному уровню оборота и сможем завершить процесс обмена. Значит, у нас два года будет проходить на подготовку, у нас будут условия для того, чтобы из квартала в квартал увеличивать товарные массы. Как только будет отменена карточная система, цены в Особторге надо будет резко снижать, и мы тогда не сможем обеспечить экономические предпосылки для высокого курса.</w:t>
      </w:r>
    </w:p>
    <w:p w14:paraId="48A6689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Мне лично думается, что мы сможем после окончания войны, спустя некоторое время, выпускать новые деньги, не производя никакого обмена, скажем, во время выплаты зарплаты 20% выдавать в новой валюте.</w:t>
      </w:r>
    </w:p>
    <w:p w14:paraId="330713A4"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Сейчас на эту тему спорить не стоит, но я думаю, что мы к ней вернемся, когда будем обсуждать вопрос об улучшении снабжения товарами.</w:t>
      </w:r>
    </w:p>
    <w:p w14:paraId="3189498E"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ДЬЯЧЕНКО</w:t>
      </w:r>
      <w:r w:rsidRPr="00F90EAE">
        <w:rPr>
          <w:color w:val="000000" w:themeColor="text1"/>
          <w:sz w:val="16"/>
          <w:szCs w:val="16"/>
        </w:rPr>
        <w:t>.</w:t>
      </w:r>
    </w:p>
    <w:p w14:paraId="7AD7914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Для того, чтобы выпустить новые деньги в обращение и определить их достоинство, нужно, чтобы текущие доходы населения отоваривались. Мы должны иметь такой товарооборот, чтобы новые текущие доходы населения в новой валюте отоваривались. Это значит создать условия для отмены карточной системы. Но отмена карточной системы предполагает два момента: во-первых, нужно соответствующее увеличение размера товарной массы, во-вторых, нужно изъять лишние деньги из обращения. Денежная реформа изымает лишние деньги из обращения, этим способствует отмене карточной системы.</w:t>
      </w:r>
    </w:p>
    <w:p w14:paraId="3AEDD9BD"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u w:val="single"/>
        </w:rPr>
        <w:t>Тов. ЗВЕРЕВ</w:t>
      </w:r>
      <w:r w:rsidRPr="00F90EAE">
        <w:rPr>
          <w:color w:val="000000" w:themeColor="text1"/>
          <w:sz w:val="16"/>
          <w:szCs w:val="16"/>
        </w:rPr>
        <w:t>.</w:t>
      </w:r>
    </w:p>
    <w:p w14:paraId="51C70C4A"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Вот давайте готовьте окончательную записку и предложения, а потом соберемся и посмотрим.</w:t>
      </w:r>
    </w:p>
    <w:p w14:paraId="5C2F4A8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 </w:t>
      </w:r>
    </w:p>
    <w:p w14:paraId="1D4BCAA2" w14:textId="77777777" w:rsidR="00950F76" w:rsidRPr="00F90EAE" w:rsidRDefault="00F90EAE" w:rsidP="00F90EAE">
      <w:pPr>
        <w:pStyle w:val="rtejustify"/>
        <w:spacing w:before="0" w:after="0"/>
        <w:rPr>
          <w:color w:val="000000" w:themeColor="text1"/>
          <w:sz w:val="16"/>
          <w:szCs w:val="16"/>
        </w:rPr>
      </w:pPr>
      <w:hyperlink r:id="rId61" w:anchor="footnote2" w:history="1">
        <w:r w:rsidR="00950F76" w:rsidRPr="00F90EAE">
          <w:rPr>
            <w:rStyle w:val="a5"/>
            <w:rFonts w:eastAsiaTheme="majorEastAsia"/>
            <w:color w:val="000000" w:themeColor="text1"/>
            <w:sz w:val="16"/>
            <w:szCs w:val="16"/>
            <w:vertAlign w:val="superscript"/>
          </w:rPr>
          <w:t>*</w:t>
        </w:r>
      </w:hyperlink>
      <w:r w:rsidR="00950F76" w:rsidRPr="00F90EAE">
        <w:rPr>
          <w:color w:val="000000" w:themeColor="text1"/>
          <w:sz w:val="16"/>
          <w:szCs w:val="16"/>
          <w:vertAlign w:val="superscript"/>
        </w:rPr>
        <w:t> </w:t>
      </w:r>
      <w:r w:rsidR="00950F76" w:rsidRPr="00F90EAE">
        <w:rPr>
          <w:color w:val="000000" w:themeColor="text1"/>
          <w:sz w:val="16"/>
          <w:szCs w:val="16"/>
        </w:rPr>
        <w:t>Вследствие неудачной стенографической записи часть текста документа потребовала существенной редакторской правки.</w:t>
      </w:r>
    </w:p>
    <w:p w14:paraId="7FA9604C"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vertAlign w:val="superscript"/>
        </w:rPr>
        <w:t>**</w:t>
      </w:r>
      <w:r w:rsidRPr="00F90EAE">
        <w:rPr>
          <w:color w:val="000000" w:themeColor="text1"/>
          <w:sz w:val="16"/>
          <w:szCs w:val="16"/>
        </w:rPr>
        <w:t>Так в тексте документа. Видимо, правильно: 10.</w:t>
      </w:r>
    </w:p>
    <w:p w14:paraId="1FE02D56"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vertAlign w:val="superscript"/>
        </w:rPr>
        <w:t>***</w:t>
      </w:r>
      <w:r w:rsidRPr="00F90EAE">
        <w:rPr>
          <w:color w:val="000000" w:themeColor="text1"/>
          <w:sz w:val="16"/>
          <w:szCs w:val="16"/>
        </w:rPr>
        <w:t>Выступающий имеет в виду участие сотрудников обменных пунктов в проверке законности получения клиентами крупных сумм денег.</w:t>
      </w:r>
    </w:p>
    <w:p w14:paraId="7637FB1B" w14:textId="77777777" w:rsidR="00950F76" w:rsidRPr="00F90EAE" w:rsidRDefault="00950F76" w:rsidP="00F90EAE">
      <w:pPr>
        <w:pStyle w:val="rtejustify"/>
        <w:spacing w:before="0" w:after="0"/>
        <w:rPr>
          <w:color w:val="000000" w:themeColor="text1"/>
          <w:sz w:val="16"/>
          <w:szCs w:val="16"/>
        </w:rPr>
      </w:pPr>
      <w:r w:rsidRPr="00F90EAE">
        <w:rPr>
          <w:color w:val="000000" w:themeColor="text1"/>
          <w:sz w:val="16"/>
          <w:szCs w:val="16"/>
        </w:rPr>
        <w:t>****Видимо, ввиду неудачной стенографической записи, поднятый В.П. Дьяченко вопрос об эмиссии не получил отражения в стенограмме совещания.</w:t>
      </w:r>
    </w:p>
    <w:p w14:paraId="5CA923DB" w14:textId="77777777" w:rsidR="00950F76" w:rsidRPr="00F90EAE" w:rsidRDefault="00F90EAE" w:rsidP="00F90EAE">
      <w:pPr>
        <w:pStyle w:val="rtejustify"/>
        <w:spacing w:before="0" w:after="0"/>
        <w:rPr>
          <w:color w:val="000000" w:themeColor="text1"/>
          <w:sz w:val="16"/>
          <w:szCs w:val="16"/>
        </w:rPr>
      </w:pPr>
      <w:hyperlink r:id="rId62" w:anchor="footnote4" w:history="1">
        <w:r w:rsidR="00950F76" w:rsidRPr="00F90EAE">
          <w:rPr>
            <w:rStyle w:val="a5"/>
            <w:rFonts w:eastAsiaTheme="majorEastAsia"/>
            <w:color w:val="000000" w:themeColor="text1"/>
            <w:sz w:val="16"/>
            <w:szCs w:val="16"/>
          </w:rPr>
          <w:t>*</w:t>
        </w:r>
      </w:hyperlink>
      <w:r w:rsidR="00950F76" w:rsidRPr="00F90EAE">
        <w:rPr>
          <w:color w:val="000000" w:themeColor="text1"/>
          <w:sz w:val="16"/>
          <w:szCs w:val="16"/>
        </w:rPr>
        <w:t>**** Ленд-лиз — программа поставок взаймы Соединенными Штатами Америки вооружений, промышленного оборудования, сырья, продовольствия и проч. союзным с ними государствам в годы Второй мировой войны. Официально поставки по Ленд-лизу были прекращены с 12 мая 1945 г.</w:t>
      </w:r>
    </w:p>
    <w:bookmarkStart w:id="3" w:name="_ftn1.1"/>
    <w:p w14:paraId="5FD17BDF" w14:textId="77777777" w:rsidR="00950F76" w:rsidRPr="00F90EAE" w:rsidRDefault="00A371FF" w:rsidP="00F90EAE">
      <w:pPr>
        <w:pStyle w:val="rtejustify"/>
        <w:spacing w:before="0" w:after="0"/>
        <w:rPr>
          <w:color w:val="000000" w:themeColor="text1"/>
          <w:sz w:val="16"/>
          <w:szCs w:val="16"/>
        </w:rPr>
      </w:pPr>
      <w:r w:rsidRPr="00F90EAE">
        <w:rPr>
          <w:color w:val="000000" w:themeColor="text1"/>
          <w:sz w:val="16"/>
          <w:szCs w:val="16"/>
        </w:rPr>
        <w:fldChar w:fldCharType="begin"/>
      </w:r>
      <w:r w:rsidR="00950F76" w:rsidRPr="00F90EAE">
        <w:rPr>
          <w:color w:val="000000" w:themeColor="text1"/>
          <w:sz w:val="16"/>
          <w:szCs w:val="16"/>
        </w:rPr>
        <w:instrText xml:space="preserve"> HYPERLINK "http://istmat.info/node/62476" \l "_ftn1" </w:instrText>
      </w:r>
      <w:r w:rsidRPr="00F90EAE">
        <w:rPr>
          <w:color w:val="000000" w:themeColor="text1"/>
          <w:sz w:val="16"/>
          <w:szCs w:val="16"/>
        </w:rPr>
        <w:fldChar w:fldCharType="separate"/>
      </w:r>
      <w:r w:rsidR="00950F76" w:rsidRPr="00F90EAE">
        <w:rPr>
          <w:rStyle w:val="a5"/>
          <w:rFonts w:eastAsiaTheme="majorEastAsia"/>
          <w:color w:val="000000" w:themeColor="text1"/>
          <w:sz w:val="16"/>
          <w:szCs w:val="16"/>
          <w:vertAlign w:val="superscript"/>
        </w:rPr>
        <w:t>18 </w:t>
      </w:r>
      <w:r w:rsidRPr="00F90EAE">
        <w:rPr>
          <w:color w:val="000000" w:themeColor="text1"/>
          <w:sz w:val="16"/>
          <w:szCs w:val="16"/>
        </w:rPr>
        <w:fldChar w:fldCharType="end"/>
      </w:r>
      <w:bookmarkEnd w:id="3"/>
      <w:r w:rsidR="00950F76" w:rsidRPr="00F90EAE">
        <w:rPr>
          <w:color w:val="000000" w:themeColor="text1"/>
          <w:sz w:val="16"/>
          <w:szCs w:val="16"/>
        </w:rPr>
        <w:t>Конверсия займов — замена выпущенных ранее займов на новые с целью удлинения сроков кредита и изменения размера заемного процента, как прави</w:t>
      </w:r>
      <w:r w:rsidR="00950F76" w:rsidRPr="00F90EAE">
        <w:rPr>
          <w:color w:val="000000" w:themeColor="text1"/>
          <w:sz w:val="16"/>
          <w:szCs w:val="16"/>
        </w:rPr>
        <w:softHyphen/>
        <w:t>ло, в сторону его понижения. В 1936 г. конверсия была проведена одновремен</w:t>
      </w:r>
      <w:r w:rsidR="00950F76" w:rsidRPr="00F90EAE">
        <w:rPr>
          <w:color w:val="000000" w:themeColor="text1"/>
          <w:sz w:val="16"/>
          <w:szCs w:val="16"/>
        </w:rPr>
        <w:softHyphen/>
        <w:t>но с выпуском Государственного внутреннего займа второй пятилетки (выпуск четвертого года). На облигации этого займа были обменены облигации ранее размещенных по подписке государственных займов. В результате конверсии срок займов был удлинен с 10 до 20 лет и размер процента снижен до 4. В связи с тем что в годы Великой Отечественной войны значительно увеличился государственный долг, в 1947 г. после проведения денежной реформы была осущест</w:t>
      </w:r>
      <w:r w:rsidR="00950F76" w:rsidRPr="00F90EAE">
        <w:rPr>
          <w:color w:val="000000" w:themeColor="text1"/>
          <w:sz w:val="16"/>
          <w:szCs w:val="16"/>
        </w:rPr>
        <w:softHyphen/>
        <w:t>влена следующая конверсия займов. Облигации одиннадцати конверсируемых займов обменивались на облигации нового Государственного 2 %-ного займа 1948 г., выпущенного на 20 лег, по соотношению: 3 руб. в облигациях ранее вы</w:t>
      </w:r>
      <w:r w:rsidR="00950F76" w:rsidRPr="00F90EAE">
        <w:rPr>
          <w:color w:val="000000" w:themeColor="text1"/>
          <w:sz w:val="16"/>
          <w:szCs w:val="16"/>
        </w:rPr>
        <w:softHyphen/>
        <w:t>пущенных займов на 1 руб. в облигациях нового займа (при том, что обмен наличных старых денег на новые производился по соотношению 10:1). Одновре</w:t>
      </w:r>
      <w:r w:rsidR="00950F76" w:rsidRPr="00F90EAE">
        <w:rPr>
          <w:color w:val="000000" w:themeColor="text1"/>
          <w:sz w:val="16"/>
          <w:szCs w:val="16"/>
        </w:rPr>
        <w:softHyphen/>
        <w:t>менно была проведена конверсия свободно обращавшегося Государственного внутреннего выигрышного займа 1938 г. Облигации этого займа обменивались в сроки, установленные для обмена наличных денег, на облигации нового сво</w:t>
      </w:r>
      <w:r w:rsidR="00950F76" w:rsidRPr="00F90EAE">
        <w:rPr>
          <w:color w:val="000000" w:themeColor="text1"/>
          <w:sz w:val="16"/>
          <w:szCs w:val="16"/>
        </w:rPr>
        <w:softHyphen/>
        <w:t>бодно обращающегося Государственного 3 %-ного внутреннего выигрышного займа по соотношению: 5 руб. в облигациях Государственного займа 1938 г. на 1 руб. в облигациях Государственного 3 %-ного займа (19780).</w:t>
      </w:r>
    </w:p>
    <w:p w14:paraId="028A08C3" w14:textId="77777777" w:rsidR="00950F76" w:rsidRPr="00F90EAE" w:rsidRDefault="00950F76" w:rsidP="00F90EAE">
      <w:pPr>
        <w:pStyle w:val="ae"/>
        <w:spacing w:before="0" w:after="0"/>
        <w:jc w:val="both"/>
        <w:rPr>
          <w:color w:val="000000" w:themeColor="text1"/>
          <w:sz w:val="16"/>
          <w:szCs w:val="16"/>
        </w:rPr>
      </w:pPr>
    </w:p>
    <w:p w14:paraId="047EBFC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D905C8A" w14:textId="77777777" w:rsidR="00665165" w:rsidRPr="00F90EAE" w:rsidRDefault="00665165" w:rsidP="00F90EAE">
      <w:pPr>
        <w:autoSpaceDE w:val="0"/>
        <w:autoSpaceDN w:val="0"/>
        <w:adjustRightInd w:val="0"/>
        <w:jc w:val="both"/>
        <w:rPr>
          <w:iCs/>
          <w:color w:val="000000" w:themeColor="text1"/>
          <w:sz w:val="16"/>
          <w:szCs w:val="16"/>
        </w:rPr>
      </w:pPr>
    </w:p>
    <w:p w14:paraId="763AC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марта 1945 года</w:t>
      </w:r>
    </w:p>
    <w:p w14:paraId="490DE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ЛИЧНО И СЕКРЕТНО ОТ ПРЕМЬЕРА И. В. СТАЛИНА ПРЕЗИДЕНТУ г-ну Ф. РУЗВЕЛЬТУ</w:t>
      </w:r>
    </w:p>
    <w:p w14:paraId="366E43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Получил Ваше послание от 4 марта по вопросу о военнопленных. Я еще раз посоветовался с нашими местными представителями, занимающимися этими вопросами, и должен сообщить Вам следующее.</w:t>
      </w:r>
    </w:p>
    <w:p w14:paraId="3F3145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Трудности, с которыми приходилось встречаться на первых этапах в деле быстрой эвакуации американских военнопленных, когда они находились в зонах непосредственных военных действий, сейчас значительно уменьшились. В настоящее время специально созданный Советским Правительством аппарат по делам иностранных военнопленных располагает соответствующим количеством людей, транспортных средств и продовольствия, и каждый раз, когда обнаруживаются новые партии американских военнопленных, незамедлительно принимаются меры к оказанию помощи этим военнопленным и к их эвакуации в сборные пункты для последующей репатриации. По сведениям, которыми располагает Советское Правительство на сегодняшний день, на территории Польши и в других местах, освобожденных Красной Армией, нет скопления американских военнопленных, так как все они, за исключением одиночных больных, которые находятся в госпиталях, направлены в сборный пункт в Одессе, куда уже прибыло 1200 американских военнопленных и в ближайшее время ожидается прибытие остальных. В силу этого при данных обстоятельствах отпадает необходимость совершать рейсы американских самолетов из Полтавы на территорию Польши по делам американских военнопленных. Вы можете быть уверены, что соответствующие меры будут немедленно приниматься и в отношении экипажей американских самолетов, совершивших вынужденную посадку. Это, однако, не исключает случаев, когда помощь американских самолетов может оказаться необходимой. В этих случаях советские военные власти обратятся к американским военным представителям в Москве на предмет посылки американских самолетов из Полтавы.</w:t>
      </w:r>
    </w:p>
    <w:p w14:paraId="6031D4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 имея в данный момент каких-либо предложений по вопросу о положении союзных военнопленных, находящихся в руках у немцев, я хочу Вас заверить, что с нашей стороны будет сделано все возможное для создания им благоприятных условий, как только они окажутся на территории, которой овладеют советские войска (7430).</w:t>
      </w:r>
    </w:p>
    <w:p w14:paraId="72A5390E" w14:textId="77777777" w:rsidR="00665165" w:rsidRPr="00F90EAE" w:rsidRDefault="00665165" w:rsidP="00F90EAE">
      <w:pPr>
        <w:autoSpaceDE w:val="0"/>
        <w:autoSpaceDN w:val="0"/>
        <w:adjustRightInd w:val="0"/>
        <w:jc w:val="both"/>
        <w:rPr>
          <w:color w:val="000000" w:themeColor="text1"/>
          <w:sz w:val="16"/>
          <w:szCs w:val="16"/>
        </w:rPr>
      </w:pPr>
    </w:p>
    <w:p w14:paraId="478ABA35" w14:textId="77777777" w:rsidR="003751D3" w:rsidRPr="00F90EAE" w:rsidRDefault="003751D3" w:rsidP="00F90EAE">
      <w:pPr>
        <w:jc w:val="both"/>
        <w:rPr>
          <w:color w:val="000000" w:themeColor="text1"/>
          <w:sz w:val="16"/>
          <w:szCs w:val="16"/>
        </w:rPr>
      </w:pPr>
      <w:r w:rsidRPr="00F90EAE">
        <w:rPr>
          <w:bCs/>
          <w:color w:val="000000" w:themeColor="text1"/>
          <w:sz w:val="16"/>
          <w:szCs w:val="16"/>
        </w:rPr>
        <w:t>5 марта</w:t>
      </w:r>
      <w:r w:rsidRPr="00F90EAE">
        <w:rPr>
          <w:color w:val="000000" w:themeColor="text1"/>
          <w:sz w:val="16"/>
          <w:szCs w:val="16"/>
        </w:rPr>
        <w:t xml:space="preserve"> в 1945 году Госдепартамент США сделал заявление, что США по-прежнему признают независимость Прибалтийских государств и предоставляет их представителям экстерриториальные права (15059).</w:t>
      </w:r>
    </w:p>
    <w:p w14:paraId="3016614A" w14:textId="77777777" w:rsidR="003751D3" w:rsidRPr="00F90EAE" w:rsidRDefault="003751D3" w:rsidP="00F90EAE">
      <w:pPr>
        <w:jc w:val="both"/>
        <w:rPr>
          <w:color w:val="000000" w:themeColor="text1"/>
          <w:sz w:val="16"/>
          <w:szCs w:val="16"/>
        </w:rPr>
      </w:pPr>
    </w:p>
    <w:p w14:paraId="659F2C25" w14:textId="77777777" w:rsidR="003751D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66D8699" w14:textId="77777777" w:rsidR="003751D3" w:rsidRPr="00F90EAE" w:rsidRDefault="003751D3" w:rsidP="00F90EAE">
      <w:pPr>
        <w:autoSpaceDE w:val="0"/>
        <w:autoSpaceDN w:val="0"/>
        <w:adjustRightInd w:val="0"/>
        <w:jc w:val="both"/>
        <w:rPr>
          <w:iCs/>
          <w:color w:val="000000" w:themeColor="text1"/>
          <w:sz w:val="16"/>
          <w:szCs w:val="16"/>
        </w:rPr>
      </w:pPr>
    </w:p>
    <w:p w14:paraId="52D1586C" w14:textId="77777777" w:rsidR="003751D3" w:rsidRPr="00F90EAE" w:rsidRDefault="003751D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марта 1945 американские войска вступили в Кельн (4962).</w:t>
      </w:r>
    </w:p>
    <w:p w14:paraId="443A13F5" w14:textId="77777777" w:rsidR="003751D3" w:rsidRPr="00F90EAE" w:rsidRDefault="003751D3" w:rsidP="00F90EAE">
      <w:pPr>
        <w:tabs>
          <w:tab w:val="left" w:pos="11199"/>
        </w:tabs>
        <w:autoSpaceDE w:val="0"/>
        <w:autoSpaceDN w:val="0"/>
        <w:adjustRightInd w:val="0"/>
        <w:jc w:val="both"/>
        <w:rPr>
          <w:color w:val="000000" w:themeColor="text1"/>
          <w:sz w:val="16"/>
          <w:szCs w:val="16"/>
        </w:rPr>
      </w:pPr>
    </w:p>
    <w:p w14:paraId="031C66FD" w14:textId="77777777" w:rsidR="003751D3" w:rsidRPr="00F90EAE" w:rsidRDefault="003751D3" w:rsidP="00F90EAE">
      <w:pPr>
        <w:jc w:val="both"/>
        <w:rPr>
          <w:color w:val="000000" w:themeColor="text1"/>
          <w:sz w:val="16"/>
          <w:szCs w:val="16"/>
        </w:rPr>
      </w:pPr>
      <w:r w:rsidRPr="00F90EAE">
        <w:rPr>
          <w:bCs/>
          <w:color w:val="000000" w:themeColor="text1"/>
          <w:sz w:val="16"/>
          <w:szCs w:val="16"/>
        </w:rPr>
        <w:t>5 марта</w:t>
      </w:r>
      <w:r w:rsidRPr="00F90EAE">
        <w:rPr>
          <w:color w:val="000000" w:themeColor="text1"/>
          <w:sz w:val="16"/>
          <w:szCs w:val="16"/>
        </w:rPr>
        <w:t xml:space="preserve"> в 1945 году в Германии принято решение о призыве на военную службу контингента рождения 1929 года (15059).</w:t>
      </w:r>
    </w:p>
    <w:p w14:paraId="73A7A83C" w14:textId="77777777" w:rsidR="003751D3" w:rsidRPr="00F90EAE" w:rsidRDefault="003751D3" w:rsidP="00F90EAE">
      <w:pPr>
        <w:jc w:val="both"/>
        <w:rPr>
          <w:color w:val="000000" w:themeColor="text1"/>
          <w:sz w:val="16"/>
          <w:szCs w:val="16"/>
        </w:rPr>
      </w:pPr>
    </w:p>
    <w:p w14:paraId="01EE0C1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451EC47" w14:textId="77777777" w:rsidR="00665165" w:rsidRPr="00F90EAE" w:rsidRDefault="00665165" w:rsidP="00F90EAE">
      <w:pPr>
        <w:autoSpaceDE w:val="0"/>
        <w:autoSpaceDN w:val="0"/>
        <w:adjustRightInd w:val="0"/>
        <w:jc w:val="both"/>
        <w:rPr>
          <w:iCs/>
          <w:color w:val="000000" w:themeColor="text1"/>
          <w:sz w:val="16"/>
          <w:szCs w:val="16"/>
        </w:rPr>
      </w:pPr>
    </w:p>
    <w:p w14:paraId="75E21C2F"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6 марта 1945 года начались официальные заводские испытания Ил-8 № 1, а «плохая погода», препятствующая передаче самолета на госиспытания, продлилась в ОКБ -240 до 14 мая 1945 года.</w:t>
      </w:r>
    </w:p>
    <w:p w14:paraId="7E603759"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Все это время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 (17490).</w:t>
      </w:r>
    </w:p>
    <w:p w14:paraId="4C385056" w14:textId="77777777" w:rsidR="00DD401F" w:rsidRPr="00F90EAE" w:rsidRDefault="00DD401F" w:rsidP="00F90EAE">
      <w:pPr>
        <w:jc w:val="both"/>
        <w:rPr>
          <w:color w:val="000000" w:themeColor="text1"/>
          <w:sz w:val="16"/>
          <w:szCs w:val="16"/>
        </w:rPr>
      </w:pPr>
    </w:p>
    <w:p w14:paraId="276EC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Нач. 1 У и/п/п Паукер, Нач. 1 У гмиас Сафонов 7 марта и Зам. Нач. ГУ ИАС Лосюков 10 марта 1945 подписали заключение по контрольным испытаниям Пе-2 винт ВИШ-105СВ с регулятором Р-7А</w:t>
      </w:r>
    </w:p>
    <w:p w14:paraId="6011F8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Лапин утвердил Акт по контрольным испытаниям Пе-2 винт ВИШ-105СВ с регулятором Р-7А</w:t>
      </w:r>
    </w:p>
    <w:p w14:paraId="2C6641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N 6/424 с ВИШ-105СВ 22 завода выпуска января 1945 с моторами пр-ва завода № 16</w:t>
      </w:r>
    </w:p>
    <w:p w14:paraId="69FBD8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 проходили с 17 февраля по 1 марта 1945</w:t>
      </w:r>
    </w:p>
    <w:p w14:paraId="7DBAB5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полета продолжительностью 17 час. 5 мин. (806,8).</w:t>
      </w:r>
    </w:p>
    <w:p w14:paraId="7ED98F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Ви и/к-н М.В.Самочетов</w:t>
      </w:r>
    </w:p>
    <w:p w14:paraId="7B521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В.М.Шульгин.</w:t>
      </w:r>
    </w:p>
    <w:p w14:paraId="1729B3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предыдущих испытаний.</w:t>
      </w:r>
    </w:p>
    <w:p w14:paraId="35DA4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октябре 1944 в НИИ ВВС испытывался серийный Пе-2 № 14/350 пр-ва з-да 22, выпуска июля 1944 с мотором з-да № 16.</w:t>
      </w:r>
    </w:p>
    <w:p w14:paraId="1301ED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4C03E3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4C4B5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00FE8A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400632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с-та № 14/350, испытанного в октябре 1944 в ГК НИИ ВВС, с-т № 6/424 отличается:</w:t>
      </w:r>
    </w:p>
    <w:p w14:paraId="48C7D9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с-ту</w:t>
      </w:r>
    </w:p>
    <w:p w14:paraId="35EA51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улучшена аэродинамика с-та</w:t>
      </w:r>
    </w:p>
    <w:p w14:paraId="794EF6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улучшена заделка обшивки на стыках агрегатов, ленты перекрытия сняты, а обшивка соединена встык</w:t>
      </w:r>
    </w:p>
    <w:p w14:paraId="6552D4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установлена металлическая перегородка герметизации в Ф-3</w:t>
      </w:r>
    </w:p>
    <w:p w14:paraId="35B5E4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Подшпаклеваны носки крыла, ЦП, Ф-1, стабилизатора и килей</w:t>
      </w:r>
    </w:p>
    <w:p w14:paraId="1E15E6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493C9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установлены форточки на амбразуры для бортового пулемета и т.п.</w:t>
      </w:r>
    </w:p>
    <w:p w14:paraId="33E0B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4EF05C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624CD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агрегат газового запуска мотора</w:t>
      </w:r>
    </w:p>
    <w:p w14:paraId="7CE809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w:t>
      </w:r>
    </w:p>
    <w:p w14:paraId="6CB52F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однолучевая антенна для РСБ-3бис и РПК-10 по образцу, испытанному в 1944</w:t>
      </w:r>
    </w:p>
    <w:p w14:paraId="7DDEFE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кислородный прибор КП-12 вместо КПА-3бис</w:t>
      </w:r>
    </w:p>
    <w:p w14:paraId="6EDE0B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577B15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6047, цт 23.1%</w:t>
      </w:r>
    </w:p>
    <w:p w14:paraId="27E92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 8405 26,5%</w:t>
      </w:r>
    </w:p>
    <w:p w14:paraId="371457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 8805 26,2%</w:t>
      </w:r>
    </w:p>
    <w:p w14:paraId="226A9F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Нагрузки нормального полетного веса:</w:t>
      </w:r>
    </w:p>
    <w:p w14:paraId="6F6D46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- 270</w:t>
      </w:r>
    </w:p>
    <w:p w14:paraId="4E43ED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- 1100</w:t>
      </w:r>
    </w:p>
    <w:p w14:paraId="1F063B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- 120</w:t>
      </w:r>
    </w:p>
    <w:p w14:paraId="4D14EF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пулеметы - 84</w:t>
      </w:r>
    </w:p>
    <w:p w14:paraId="37337E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б/запас - 112</w:t>
      </w:r>
    </w:p>
    <w:p w14:paraId="4D87C4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с замками (внешняя подвеска) - 607</w:t>
      </w:r>
    </w:p>
    <w:p w14:paraId="6C871C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- 65</w:t>
      </w:r>
    </w:p>
    <w:p w14:paraId="1653CC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2358</w:t>
      </w:r>
    </w:p>
    <w:p w14:paraId="27CE5B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- 4хФАБ-100 = 400</w:t>
      </w:r>
    </w:p>
    <w:p w14:paraId="32A00C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w:t>
      </w:r>
    </w:p>
    <w:p w14:paraId="40FF5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- 468 км/час</w:t>
      </w:r>
    </w:p>
    <w:p w14:paraId="1E5CFA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гр. высотности - 513 км/час</w:t>
      </w:r>
    </w:p>
    <w:p w14:paraId="7005AB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 гр. высотности - 527 км/час</w:t>
      </w:r>
    </w:p>
    <w:p w14:paraId="248F3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- 9,7, 8200 м - 34</w:t>
      </w:r>
    </w:p>
    <w:p w14:paraId="244A0A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1000 м на наивыгоднейшей скорости 310 км/час, 1750 оборотах - 1220 км</w:t>
      </w:r>
    </w:p>
    <w:p w14:paraId="47715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 - 490, пробег - 565</w:t>
      </w:r>
    </w:p>
    <w:p w14:paraId="620EE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561F31" w:rsidRPr="00F90EAE" w14:paraId="13D9D3A0" w14:textId="77777777">
        <w:tc>
          <w:tcPr>
            <w:tcW w:w="2802" w:type="dxa"/>
            <w:tcBorders>
              <w:top w:val="single" w:sz="12" w:space="0" w:color="auto"/>
            </w:tcBorders>
          </w:tcPr>
          <w:p w14:paraId="7175D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520D8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2802" w:type="dxa"/>
            <w:tcBorders>
              <w:top w:val="single" w:sz="12" w:space="0" w:color="auto"/>
            </w:tcBorders>
          </w:tcPr>
          <w:p w14:paraId="6C264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r>
      <w:tr w:rsidR="00561F31" w:rsidRPr="00F90EAE" w14:paraId="632DC7B2" w14:textId="77777777">
        <w:tc>
          <w:tcPr>
            <w:tcW w:w="2802" w:type="dxa"/>
          </w:tcPr>
          <w:p w14:paraId="26985C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3E1D5C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802" w:type="dxa"/>
          </w:tcPr>
          <w:p w14:paraId="0765B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r>
      <w:tr w:rsidR="00561F31" w:rsidRPr="00F90EAE" w14:paraId="7BEEA3DB" w14:textId="77777777">
        <w:tc>
          <w:tcPr>
            <w:tcW w:w="2802" w:type="dxa"/>
          </w:tcPr>
          <w:p w14:paraId="6E52D4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2050</w:t>
            </w:r>
          </w:p>
        </w:tc>
        <w:tc>
          <w:tcPr>
            <w:tcW w:w="2802" w:type="dxa"/>
          </w:tcPr>
          <w:p w14:paraId="7ABA8D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w:t>
            </w:r>
          </w:p>
        </w:tc>
        <w:tc>
          <w:tcPr>
            <w:tcW w:w="2802" w:type="dxa"/>
          </w:tcPr>
          <w:p w14:paraId="61E07B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1080</w:t>
            </w:r>
          </w:p>
        </w:tc>
      </w:tr>
      <w:tr w:rsidR="00561F31" w:rsidRPr="00F90EAE" w14:paraId="398E1591" w14:textId="77777777">
        <w:tc>
          <w:tcPr>
            <w:tcW w:w="2802" w:type="dxa"/>
          </w:tcPr>
          <w:p w14:paraId="0D10F7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w:t>
            </w:r>
          </w:p>
        </w:tc>
        <w:tc>
          <w:tcPr>
            <w:tcW w:w="2802" w:type="dxa"/>
          </w:tcPr>
          <w:p w14:paraId="5F032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504</w:t>
            </w:r>
          </w:p>
        </w:tc>
        <w:tc>
          <w:tcPr>
            <w:tcW w:w="2802" w:type="dxa"/>
          </w:tcPr>
          <w:p w14:paraId="184C13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970</w:t>
            </w:r>
          </w:p>
        </w:tc>
      </w:tr>
      <w:tr w:rsidR="00561F31" w:rsidRPr="00F90EAE" w14:paraId="47EC9703" w14:textId="77777777">
        <w:tc>
          <w:tcPr>
            <w:tcW w:w="2802" w:type="dxa"/>
          </w:tcPr>
          <w:p w14:paraId="1ADE4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3060</w:t>
            </w:r>
          </w:p>
        </w:tc>
        <w:tc>
          <w:tcPr>
            <w:tcW w:w="2802" w:type="dxa"/>
          </w:tcPr>
          <w:p w14:paraId="5B7B2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w:t>
            </w:r>
          </w:p>
        </w:tc>
        <w:tc>
          <w:tcPr>
            <w:tcW w:w="2802" w:type="dxa"/>
          </w:tcPr>
          <w:p w14:paraId="1E79F6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r>
      <w:tr w:rsidR="00561F31" w:rsidRPr="00F90EAE" w14:paraId="0F4B5A2A" w14:textId="77777777">
        <w:tc>
          <w:tcPr>
            <w:tcW w:w="2802" w:type="dxa"/>
          </w:tcPr>
          <w:p w14:paraId="5A6A30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36CF7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512,5</w:t>
            </w:r>
          </w:p>
        </w:tc>
        <w:tc>
          <w:tcPr>
            <w:tcW w:w="2802" w:type="dxa"/>
          </w:tcPr>
          <w:p w14:paraId="504F5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r>
      <w:tr w:rsidR="00561F31" w:rsidRPr="00F90EAE" w14:paraId="3DE33A3E" w14:textId="77777777">
        <w:tc>
          <w:tcPr>
            <w:tcW w:w="2802" w:type="dxa"/>
          </w:tcPr>
          <w:p w14:paraId="58CEBA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2802" w:type="dxa"/>
          </w:tcPr>
          <w:p w14:paraId="0DDD3C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w:t>
            </w:r>
          </w:p>
        </w:tc>
        <w:tc>
          <w:tcPr>
            <w:tcW w:w="2802" w:type="dxa"/>
          </w:tcPr>
          <w:p w14:paraId="7B711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r>
      <w:tr w:rsidR="00561F31" w:rsidRPr="00F90EAE" w14:paraId="67DFD7CD" w14:textId="77777777">
        <w:tc>
          <w:tcPr>
            <w:tcW w:w="2802" w:type="dxa"/>
            <w:tcBorders>
              <w:bottom w:val="single" w:sz="12" w:space="0" w:color="auto"/>
            </w:tcBorders>
          </w:tcPr>
          <w:p w14:paraId="513E20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576B45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c>
          <w:tcPr>
            <w:tcW w:w="2802" w:type="dxa"/>
            <w:tcBorders>
              <w:bottom w:val="single" w:sz="12" w:space="0" w:color="auto"/>
            </w:tcBorders>
          </w:tcPr>
          <w:p w14:paraId="495549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r>
    </w:tbl>
    <w:p w14:paraId="1166C5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2EA5BE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61F31" w:rsidRPr="00F90EAE" w14:paraId="7A01A62C" w14:textId="77777777">
        <w:tc>
          <w:tcPr>
            <w:tcW w:w="2802" w:type="dxa"/>
            <w:tcBorders>
              <w:top w:val="single" w:sz="12" w:space="0" w:color="auto"/>
            </w:tcBorders>
          </w:tcPr>
          <w:p w14:paraId="278E3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1650B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Верт. Скорость </w:t>
            </w:r>
          </w:p>
        </w:tc>
        <w:tc>
          <w:tcPr>
            <w:tcW w:w="2802" w:type="dxa"/>
            <w:tcBorders>
              <w:top w:val="single" w:sz="12" w:space="0" w:color="auto"/>
            </w:tcBorders>
          </w:tcPr>
          <w:p w14:paraId="32AE84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c>
          <w:tcPr>
            <w:tcW w:w="2802" w:type="dxa"/>
            <w:tcBorders>
              <w:top w:val="single" w:sz="12" w:space="0" w:color="auto"/>
            </w:tcBorders>
          </w:tcPr>
          <w:p w14:paraId="6C184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 скорость</w:t>
            </w:r>
          </w:p>
        </w:tc>
      </w:tr>
      <w:tr w:rsidR="00561F31" w:rsidRPr="00F90EAE" w14:paraId="7E217A5F" w14:textId="77777777">
        <w:tc>
          <w:tcPr>
            <w:tcW w:w="2802" w:type="dxa"/>
          </w:tcPr>
          <w:p w14:paraId="2C50E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361197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2802" w:type="dxa"/>
          </w:tcPr>
          <w:p w14:paraId="5BE9B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w:t>
            </w:r>
          </w:p>
        </w:tc>
        <w:tc>
          <w:tcPr>
            <w:tcW w:w="2802" w:type="dxa"/>
          </w:tcPr>
          <w:p w14:paraId="311E9A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74CE194B" w14:textId="77777777">
        <w:tc>
          <w:tcPr>
            <w:tcW w:w="2802" w:type="dxa"/>
          </w:tcPr>
          <w:p w14:paraId="65609B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2100</w:t>
            </w:r>
          </w:p>
        </w:tc>
        <w:tc>
          <w:tcPr>
            <w:tcW w:w="2802" w:type="dxa"/>
          </w:tcPr>
          <w:p w14:paraId="4632B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tcPr>
          <w:p w14:paraId="23C31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960</w:t>
            </w:r>
          </w:p>
        </w:tc>
        <w:tc>
          <w:tcPr>
            <w:tcW w:w="2802" w:type="dxa"/>
          </w:tcPr>
          <w:p w14:paraId="0DBF092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10511E7" w14:textId="77777777">
        <w:tc>
          <w:tcPr>
            <w:tcW w:w="2802" w:type="dxa"/>
          </w:tcPr>
          <w:p w14:paraId="21AD38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3400</w:t>
            </w:r>
          </w:p>
        </w:tc>
        <w:tc>
          <w:tcPr>
            <w:tcW w:w="2802" w:type="dxa"/>
          </w:tcPr>
          <w:p w14:paraId="0D4D05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2802" w:type="dxa"/>
          </w:tcPr>
          <w:p w14:paraId="5EC776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c>
          <w:tcPr>
            <w:tcW w:w="2802" w:type="dxa"/>
          </w:tcPr>
          <w:p w14:paraId="251AD25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F089D48" w14:textId="77777777">
        <w:tc>
          <w:tcPr>
            <w:tcW w:w="2802" w:type="dxa"/>
          </w:tcPr>
          <w:p w14:paraId="0A8C9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4E5A92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2802" w:type="dxa"/>
          </w:tcPr>
          <w:p w14:paraId="03A069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w:t>
            </w:r>
          </w:p>
        </w:tc>
        <w:tc>
          <w:tcPr>
            <w:tcW w:w="2802" w:type="dxa"/>
          </w:tcPr>
          <w:p w14:paraId="3BEB5A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2ABC4F53" w14:textId="77777777">
        <w:tc>
          <w:tcPr>
            <w:tcW w:w="2802" w:type="dxa"/>
            <w:tcBorders>
              <w:bottom w:val="single" w:sz="12" w:space="0" w:color="auto"/>
            </w:tcBorders>
          </w:tcPr>
          <w:p w14:paraId="1886AF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8000</w:t>
            </w:r>
          </w:p>
        </w:tc>
        <w:tc>
          <w:tcPr>
            <w:tcW w:w="2802" w:type="dxa"/>
            <w:tcBorders>
              <w:bottom w:val="single" w:sz="12" w:space="0" w:color="auto"/>
            </w:tcBorders>
          </w:tcPr>
          <w:p w14:paraId="0200A0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2802" w:type="dxa"/>
            <w:tcBorders>
              <w:bottom w:val="single" w:sz="12" w:space="0" w:color="auto"/>
            </w:tcBorders>
          </w:tcPr>
          <w:p w14:paraId="6D1276B2"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Borders>
              <w:bottom w:val="single" w:sz="12" w:space="0" w:color="auto"/>
            </w:tcBorders>
          </w:tcPr>
          <w:p w14:paraId="78608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r>
    </w:tbl>
    <w:p w14:paraId="153BF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37FB3E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Посадка с тормозами на 50 гр. посадочная скорость 140 км/час при полетном весе 7200 кг, дистанция - 1160 м</w:t>
      </w:r>
    </w:p>
    <w:p w14:paraId="3C8F9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6BCA2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Носовой ШКАС и УБК неподвижные + УБТ на ВУБ-1 и УБТ на ЛУ + бортовые ШКАС</w:t>
      </w:r>
    </w:p>
    <w:p w14:paraId="44AE0B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63FEC6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двусторонней радиосвязи с наземной р/с РАФ-КВ-3 на 1000 м - телефон 360, телеграф - 400</w:t>
      </w:r>
    </w:p>
    <w:p w14:paraId="3FFF6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производственного выполнения:</w:t>
      </w:r>
    </w:p>
    <w:p w14:paraId="447D9D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221C6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волнистость обшивки, низкое качество покраски, отставание и неравномерное нанесение краски</w:t>
      </w:r>
    </w:p>
    <w:p w14:paraId="367BE0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створки бомборлюка плотно не закрываются, остаются щели</w:t>
      </w:r>
    </w:p>
    <w:p w14:paraId="49539D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боковые форточки фонаря кабины л плохо подогнаны, открываются и закрываются с большим усилием</w:t>
      </w:r>
    </w:p>
    <w:p w14:paraId="27C09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монтаж трубопроводов на моторе выполнен плохо, течи воды, масла, бензина</w:t>
      </w:r>
    </w:p>
    <w:p w14:paraId="229D49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0715E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6F5F14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дышать стало трудновстречается большое сопротивление на вдохе</w:t>
      </w:r>
    </w:p>
    <w:p w14:paraId="2DA46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182149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шланг тяжелый и жесткий, что затрудняет движение в кабине</w:t>
      </w:r>
    </w:p>
    <w:p w14:paraId="500783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4B5220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 в существующем виде прибор КП-12 не может быть рекомендован для установки на серийные Пе-2</w:t>
      </w:r>
    </w:p>
    <w:p w14:paraId="28A7DE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 подписали 6 марта 1945</w:t>
      </w:r>
    </w:p>
    <w:p w14:paraId="4B170F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561F31" w:rsidRPr="00F90EAE" w14:paraId="1E011FD9" w14:textId="77777777">
        <w:tc>
          <w:tcPr>
            <w:tcW w:w="3936" w:type="dxa"/>
            <w:tcBorders>
              <w:top w:val="single" w:sz="12" w:space="0" w:color="auto"/>
            </w:tcBorders>
          </w:tcPr>
          <w:p w14:paraId="4EB7D4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2236" w:type="dxa"/>
            <w:tcBorders>
              <w:top w:val="single" w:sz="12" w:space="0" w:color="auto"/>
            </w:tcBorders>
          </w:tcPr>
          <w:p w14:paraId="7D683D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230F5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14/350 2ВК-105ПФ с полетным весом 8400 кг, испытанным в НИИ ВВС в октябре 1944</w:t>
            </w:r>
          </w:p>
        </w:tc>
      </w:tr>
      <w:tr w:rsidR="00561F31" w:rsidRPr="00F90EAE" w14:paraId="4504BF34" w14:textId="77777777">
        <w:tc>
          <w:tcPr>
            <w:tcW w:w="3936" w:type="dxa"/>
          </w:tcPr>
          <w:p w14:paraId="2C2F7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номинальном режиме а) у земли</w:t>
            </w:r>
          </w:p>
          <w:p w14:paraId="34D0F4EA" w14:textId="77777777" w:rsidR="00665165" w:rsidRPr="00F90EAE" w:rsidRDefault="00665165" w:rsidP="00F90EAE">
            <w:pPr>
              <w:autoSpaceDE w:val="0"/>
              <w:autoSpaceDN w:val="0"/>
              <w:adjustRightInd w:val="0"/>
              <w:jc w:val="both"/>
              <w:rPr>
                <w:color w:val="000000" w:themeColor="text1"/>
                <w:sz w:val="16"/>
                <w:szCs w:val="16"/>
              </w:rPr>
            </w:pPr>
          </w:p>
        </w:tc>
        <w:tc>
          <w:tcPr>
            <w:tcW w:w="2236" w:type="dxa"/>
          </w:tcPr>
          <w:p w14:paraId="4F508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236" w:type="dxa"/>
          </w:tcPr>
          <w:p w14:paraId="60374F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457</w:t>
            </w:r>
          </w:p>
        </w:tc>
      </w:tr>
      <w:tr w:rsidR="00561F31" w:rsidRPr="00F90EAE" w14:paraId="064E0745" w14:textId="77777777">
        <w:tc>
          <w:tcPr>
            <w:tcW w:w="3936" w:type="dxa"/>
          </w:tcPr>
          <w:p w14:paraId="62281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 1 гр. высотности</w:t>
            </w:r>
          </w:p>
        </w:tc>
        <w:tc>
          <w:tcPr>
            <w:tcW w:w="2236" w:type="dxa"/>
          </w:tcPr>
          <w:p w14:paraId="373B8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513/2500</w:t>
            </w:r>
          </w:p>
        </w:tc>
        <w:tc>
          <w:tcPr>
            <w:tcW w:w="2236" w:type="dxa"/>
          </w:tcPr>
          <w:p w14:paraId="018C81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499/1850</w:t>
            </w:r>
          </w:p>
        </w:tc>
      </w:tr>
      <w:tr w:rsidR="00561F31" w:rsidRPr="00F90EAE" w14:paraId="4208773C" w14:textId="77777777">
        <w:tc>
          <w:tcPr>
            <w:tcW w:w="3936" w:type="dxa"/>
          </w:tcPr>
          <w:p w14:paraId="7A799F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 2 гр. высотности</w:t>
            </w:r>
          </w:p>
        </w:tc>
        <w:tc>
          <w:tcPr>
            <w:tcW w:w="2236" w:type="dxa"/>
          </w:tcPr>
          <w:p w14:paraId="26E08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527/3900</w:t>
            </w:r>
          </w:p>
        </w:tc>
        <w:tc>
          <w:tcPr>
            <w:tcW w:w="2236" w:type="dxa"/>
          </w:tcPr>
          <w:p w14:paraId="0DE269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513/3700</w:t>
            </w:r>
          </w:p>
        </w:tc>
      </w:tr>
      <w:tr w:rsidR="00561F31" w:rsidRPr="00F90EAE" w14:paraId="5D65076B" w14:textId="77777777">
        <w:tc>
          <w:tcPr>
            <w:tcW w:w="3936" w:type="dxa"/>
          </w:tcPr>
          <w:p w14:paraId="59D303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5000 м</w:t>
            </w:r>
          </w:p>
        </w:tc>
        <w:tc>
          <w:tcPr>
            <w:tcW w:w="2236" w:type="dxa"/>
          </w:tcPr>
          <w:p w14:paraId="0F346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2236" w:type="dxa"/>
          </w:tcPr>
          <w:p w14:paraId="67D124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r>
      <w:tr w:rsidR="00561F31" w:rsidRPr="00F90EAE" w14:paraId="77033576" w14:textId="77777777">
        <w:tc>
          <w:tcPr>
            <w:tcW w:w="3936" w:type="dxa"/>
          </w:tcPr>
          <w:p w14:paraId="07DA7B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2236" w:type="dxa"/>
          </w:tcPr>
          <w:p w14:paraId="63C098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236" w:type="dxa"/>
          </w:tcPr>
          <w:p w14:paraId="6EBA2A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7500</w:t>
            </w:r>
          </w:p>
        </w:tc>
      </w:tr>
      <w:tr w:rsidR="00561F31" w:rsidRPr="00F90EAE" w14:paraId="49410B14" w14:textId="77777777">
        <w:tc>
          <w:tcPr>
            <w:tcW w:w="3936" w:type="dxa"/>
          </w:tcPr>
          <w:p w14:paraId="5126E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Время набора 8000 м </w:t>
            </w:r>
          </w:p>
        </w:tc>
        <w:tc>
          <w:tcPr>
            <w:tcW w:w="2236" w:type="dxa"/>
          </w:tcPr>
          <w:p w14:paraId="5C594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236" w:type="dxa"/>
          </w:tcPr>
          <w:p w14:paraId="67C69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r>
      <w:tr w:rsidR="00561F31" w:rsidRPr="00F90EAE" w14:paraId="38370330" w14:textId="77777777">
        <w:tc>
          <w:tcPr>
            <w:tcW w:w="3936" w:type="dxa"/>
          </w:tcPr>
          <w:p w14:paraId="5F52CE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236" w:type="dxa"/>
          </w:tcPr>
          <w:p w14:paraId="06D7C5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c>
          <w:tcPr>
            <w:tcW w:w="2236" w:type="dxa"/>
          </w:tcPr>
          <w:p w14:paraId="1EBC48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r>
      <w:tr w:rsidR="00561F31" w:rsidRPr="00F90EAE" w14:paraId="0C642715" w14:textId="77777777">
        <w:tc>
          <w:tcPr>
            <w:tcW w:w="3936" w:type="dxa"/>
          </w:tcPr>
          <w:p w14:paraId="31821F5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Разбег</w:t>
            </w:r>
          </w:p>
        </w:tc>
        <w:tc>
          <w:tcPr>
            <w:tcW w:w="2236" w:type="dxa"/>
          </w:tcPr>
          <w:p w14:paraId="67F9B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w:t>
            </w:r>
          </w:p>
        </w:tc>
        <w:tc>
          <w:tcPr>
            <w:tcW w:w="2236" w:type="dxa"/>
          </w:tcPr>
          <w:p w14:paraId="718EB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2899DE6F" w14:textId="77777777">
        <w:tc>
          <w:tcPr>
            <w:tcW w:w="3936" w:type="dxa"/>
            <w:tcBorders>
              <w:bottom w:val="single" w:sz="12" w:space="0" w:color="auto"/>
            </w:tcBorders>
          </w:tcPr>
          <w:p w14:paraId="793C0C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w:t>
            </w:r>
          </w:p>
        </w:tc>
        <w:tc>
          <w:tcPr>
            <w:tcW w:w="2236" w:type="dxa"/>
            <w:tcBorders>
              <w:bottom w:val="single" w:sz="12" w:space="0" w:color="auto"/>
            </w:tcBorders>
          </w:tcPr>
          <w:p w14:paraId="0FB28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2236" w:type="dxa"/>
            <w:tcBorders>
              <w:bottom w:val="single" w:sz="12" w:space="0" w:color="auto"/>
            </w:tcBorders>
          </w:tcPr>
          <w:p w14:paraId="4E623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r>
    </w:tbl>
    <w:p w14:paraId="31F710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E3A5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EF6EF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725D26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Невозможно окрыть входной люк из кабины пилота</w:t>
      </w:r>
    </w:p>
    <w:p w14:paraId="7A90BF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Отсутствует противокапотажная рама</w:t>
      </w:r>
    </w:p>
    <w:p w14:paraId="1DFDA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Обшивка с-та имеет вмятины, покраска - плохая (806,8).</w:t>
      </w:r>
    </w:p>
    <w:p w14:paraId="2690E99B" w14:textId="77777777" w:rsidR="00665165" w:rsidRPr="00F90EAE" w:rsidRDefault="00665165" w:rsidP="00F90EAE">
      <w:pPr>
        <w:autoSpaceDE w:val="0"/>
        <w:autoSpaceDN w:val="0"/>
        <w:adjustRightInd w:val="0"/>
        <w:jc w:val="both"/>
        <w:rPr>
          <w:color w:val="000000" w:themeColor="text1"/>
          <w:sz w:val="16"/>
          <w:szCs w:val="16"/>
        </w:rPr>
      </w:pPr>
    </w:p>
    <w:p w14:paraId="205EB8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марта 1945 НКАП А.И.Ш. писал НК ВМФ а Н.Г.Кузнецову письмо № Н-35/1271:</w:t>
      </w:r>
    </w:p>
    <w:p w14:paraId="6CCC5A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выстать ТТТ ВВС ВМФ ко всем типам самолетов, указанным в Вашем письме от 25 января с.г. за № 109сс (2595,29).</w:t>
      </w:r>
    </w:p>
    <w:p w14:paraId="76AB99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01E76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ГОКО N 7691с о демонтаже и вывозу оборудования с завода Берто Верке в г. Ланге на 150 в Ступино (1874,11).</w:t>
      </w:r>
    </w:p>
    <w:p w14:paraId="1BBCD100" w14:textId="77777777" w:rsidR="00665165" w:rsidRPr="00F90EAE" w:rsidRDefault="00665165" w:rsidP="00F90EAE">
      <w:pPr>
        <w:autoSpaceDE w:val="0"/>
        <w:autoSpaceDN w:val="0"/>
        <w:adjustRightInd w:val="0"/>
        <w:jc w:val="both"/>
        <w:rPr>
          <w:color w:val="000000" w:themeColor="text1"/>
          <w:sz w:val="16"/>
          <w:szCs w:val="16"/>
        </w:rPr>
      </w:pPr>
    </w:p>
    <w:p w14:paraId="35AABF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вышло Постановление ГКО № 7695 «О вывозе оборудования с немецких авиационных заводов» (Д. 457. Л. 114–116).</w:t>
      </w:r>
    </w:p>
    <w:p w14:paraId="7278A4D6" w14:textId="77777777" w:rsidR="00665165" w:rsidRPr="00F90EAE" w:rsidRDefault="00665165" w:rsidP="00F90EAE">
      <w:pPr>
        <w:autoSpaceDE w:val="0"/>
        <w:autoSpaceDN w:val="0"/>
        <w:adjustRightInd w:val="0"/>
        <w:jc w:val="both"/>
        <w:rPr>
          <w:color w:val="000000" w:themeColor="text1"/>
          <w:sz w:val="16"/>
          <w:szCs w:val="16"/>
        </w:rPr>
      </w:pPr>
    </w:p>
    <w:p w14:paraId="19589FBA" w14:textId="77777777" w:rsidR="001D045B" w:rsidRPr="00F90EAE" w:rsidRDefault="001D045B" w:rsidP="00F90EAE">
      <w:pPr>
        <w:jc w:val="both"/>
        <w:rPr>
          <w:color w:val="000000" w:themeColor="text1"/>
          <w:sz w:val="16"/>
          <w:szCs w:val="16"/>
        </w:rPr>
      </w:pPr>
      <w:r w:rsidRPr="00F90EAE">
        <w:rPr>
          <w:color w:val="000000" w:themeColor="text1"/>
          <w:sz w:val="16"/>
          <w:szCs w:val="16"/>
        </w:rPr>
        <w:t>6 марта 1945 г. вышло Постановление ГКО № 7695 «О вывозе оборудования с немецких авиационных заводов»</w:t>
      </w:r>
    </w:p>
    <w:p w14:paraId="77F47151" w14:textId="77777777" w:rsidR="001D045B" w:rsidRPr="00F90EAE" w:rsidRDefault="001D045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Государственна Комитет Обороны постановляет:</w:t>
      </w:r>
    </w:p>
    <w:p w14:paraId="77AC2CF4" w14:textId="77777777" w:rsidR="001D045B" w:rsidRPr="00F90EAE" w:rsidRDefault="001D045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1. Обязать НарУсмавнапром - т</w:t>
      </w:r>
      <w:r w:rsidR="009D60E7" w:rsidRPr="00F90EAE">
        <w:rPr>
          <w:rFonts w:ascii="Times New Roman" w:cs="Times New Roman"/>
          <w:color w:val="000000" w:themeColor="text1"/>
          <w:spacing w:val="0"/>
        </w:rPr>
        <w:t>.</w:t>
      </w:r>
      <w:r w:rsidRPr="00F90EAE">
        <w:rPr>
          <w:rFonts w:ascii="Times New Roman" w:cs="Times New Roman"/>
          <w:color w:val="000000" w:themeColor="text1"/>
          <w:spacing w:val="0"/>
        </w:rPr>
        <w:t>Шахури</w:t>
      </w:r>
      <w:r w:rsidR="009D60E7" w:rsidRPr="00F90EAE">
        <w:rPr>
          <w:rFonts w:ascii="Times New Roman" w:cs="Times New Roman"/>
          <w:color w:val="000000" w:themeColor="text1"/>
          <w:spacing w:val="0"/>
        </w:rPr>
        <w:t>н</w:t>
      </w:r>
      <w:r w:rsidRPr="00F90EAE">
        <w:rPr>
          <w:rFonts w:ascii="Times New Roman" w:cs="Times New Roman"/>
          <w:color w:val="000000" w:themeColor="text1"/>
          <w:spacing w:val="0"/>
        </w:rPr>
        <w:t>а вывевти на свои заводы оборудование н. материалы немецких авиационных заводов, расположенных на терри</w:t>
      </w:r>
      <w:r w:rsidRPr="00F90EAE">
        <w:rPr>
          <w:rFonts w:ascii="Times New Roman" w:cs="Times New Roman"/>
          <w:color w:val="000000" w:themeColor="text1"/>
          <w:spacing w:val="0"/>
        </w:rPr>
        <w:softHyphen/>
        <w:t>тории Германии и Польши:</w:t>
      </w:r>
    </w:p>
    <w:p w14:paraId="234588A6" w14:textId="77777777" w:rsidR="001D045B" w:rsidRPr="00F90EAE" w:rsidRDefault="001D045B" w:rsidP="00F90EAE">
      <w:pPr>
        <w:pStyle w:val="27"/>
        <w:shd w:val="clear" w:color="auto" w:fill="auto"/>
        <w:tabs>
          <w:tab w:val="left" w:pos="1384"/>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а) с моторно-агрегатчого зачода "Даймлер-Бенц" в районе г.Мезеритц 1500 станков, кузнечно-прессовое энергетическое, лабораторное оборудование и инструмент на завод В 265 в г.Воронен для организация произвотва моторных агрегатов;</w:t>
      </w:r>
    </w:p>
    <w:p w14:paraId="3D981375" w14:textId="77777777" w:rsidR="001D045B" w:rsidRPr="00F90EAE" w:rsidRDefault="001D045B" w:rsidP="00F90EAE">
      <w:pPr>
        <w:pStyle w:val="27"/>
        <w:shd w:val="clear" w:color="auto" w:fill="auto"/>
        <w:tabs>
          <w:tab w:val="left" w:pos="1607"/>
        </w:tabs>
        <w:spacing w:after="0" w:line="240" w:lineRule="auto"/>
        <w:ind w:firstLine="0"/>
        <w:rPr>
          <w:rFonts w:ascii="Times New Roman" w:cs="Times New Roman"/>
          <w:color w:val="000000" w:themeColor="text1"/>
          <w:spacing w:val="0"/>
        </w:rPr>
      </w:pPr>
      <w:r w:rsidRPr="00F90EAE">
        <w:rPr>
          <w:rStyle w:val="Garamond7pt"/>
          <w:rFonts w:ascii="Times New Roman" w:hAnsi="Times New Roman" w:cs="Times New Roman"/>
          <w:color w:val="000000" w:themeColor="text1"/>
          <w:spacing w:val="0"/>
          <w:sz w:val="16"/>
          <w:szCs w:val="16"/>
        </w:rPr>
        <w:t xml:space="preserve">б) </w:t>
      </w:r>
      <w:r w:rsidRPr="00F90EAE">
        <w:rPr>
          <w:rFonts w:ascii="Times New Roman" w:cs="Times New Roman"/>
          <w:color w:val="000000" w:themeColor="text1"/>
          <w:spacing w:val="0"/>
        </w:rPr>
        <w:t>завода</w:t>
      </w:r>
      <w:r w:rsidRPr="00F90EAE">
        <w:rPr>
          <w:rStyle w:val="Garamond7pt"/>
          <w:rFonts w:ascii="Times New Roman" w:hAnsi="Times New Roman" w:cs="Times New Roman"/>
          <w:color w:val="000000" w:themeColor="text1"/>
          <w:spacing w:val="0"/>
          <w:sz w:val="16"/>
          <w:szCs w:val="16"/>
        </w:rPr>
        <w:t xml:space="preserve"> авиационных винтов в Ха</w:t>
      </w:r>
      <w:r w:rsidRPr="00F90EAE">
        <w:rPr>
          <w:rFonts w:ascii="Times New Roman" w:cs="Times New Roman"/>
          <w:color w:val="000000" w:themeColor="text1"/>
          <w:spacing w:val="0"/>
        </w:rPr>
        <w:t>альбау, в райо</w:t>
      </w:r>
      <w:r w:rsidRPr="00F90EAE">
        <w:rPr>
          <w:rFonts w:ascii="Times New Roman" w:cs="Times New Roman"/>
          <w:color w:val="000000" w:themeColor="text1"/>
          <w:spacing w:val="0"/>
        </w:rPr>
        <w:softHyphen/>
        <w:t>не г.Заган З00 станков, кузнечно-прессовое, лабора</w:t>
      </w:r>
      <w:r w:rsidRPr="00F90EAE">
        <w:rPr>
          <w:rFonts w:ascii="Times New Roman" w:cs="Times New Roman"/>
          <w:color w:val="000000" w:themeColor="text1"/>
          <w:spacing w:val="0"/>
        </w:rPr>
        <w:softHyphen/>
        <w:t>торное и другое оборудование, инструмент и материалы на завод № 150 в г.Ступино для организации производст</w:t>
      </w:r>
      <w:r w:rsidRPr="00F90EAE">
        <w:rPr>
          <w:rFonts w:ascii="Times New Roman" w:cs="Times New Roman"/>
          <w:color w:val="000000" w:themeColor="text1"/>
          <w:spacing w:val="0"/>
        </w:rPr>
        <w:softHyphen/>
        <w:t>ва авиационных винтов;</w:t>
      </w:r>
    </w:p>
    <w:p w14:paraId="0E2F5077" w14:textId="77777777" w:rsidR="001D045B" w:rsidRPr="00F90EAE" w:rsidRDefault="001D045B" w:rsidP="00F90EAE">
      <w:pPr>
        <w:pStyle w:val="27"/>
        <w:shd w:val="clear" w:color="auto" w:fill="auto"/>
        <w:tabs>
          <w:tab w:val="left" w:pos="1391"/>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с самолетно-агрегатных заводов "Фокке-Вульф", расположенных в районе г.,г.Познань, Бирнбаум к Андрыхув, станки, кузнечно-гпрессовое, энергетическое и ла</w:t>
      </w:r>
      <w:r w:rsidRPr="00F90EAE">
        <w:rPr>
          <w:rFonts w:ascii="Times New Roman" w:cs="Times New Roman"/>
          <w:color w:val="000000" w:themeColor="text1"/>
          <w:spacing w:val="0"/>
        </w:rPr>
        <w:softHyphen/>
        <w:t>бораторное оборудование, инструмент и материалы - на завод № 272 в г.Ленинград для органивации производства истребителей;</w:t>
      </w:r>
    </w:p>
    <w:p w14:paraId="482E9A5B" w14:textId="77777777" w:rsidR="001D045B" w:rsidRPr="00F90EAE" w:rsidRDefault="001D045B" w:rsidP="00F90EAE">
      <w:pPr>
        <w:jc w:val="both"/>
        <w:rPr>
          <w:color w:val="000000" w:themeColor="text1"/>
          <w:sz w:val="16"/>
          <w:szCs w:val="16"/>
        </w:rPr>
      </w:pPr>
      <w:r w:rsidRPr="00F90EAE">
        <w:rPr>
          <w:color w:val="000000" w:themeColor="text1"/>
          <w:sz w:val="16"/>
          <w:szCs w:val="16"/>
        </w:rPr>
        <w:t>г) с завода по производству самолетных крыльев в районе г.Бунцлау 150 станков и другое оборудование, инструмент и материалы - на завод № 82 в г,Тушино для организации крыльевого цеха.</w:t>
      </w:r>
    </w:p>
    <w:p w14:paraId="3EE46695" w14:textId="77777777" w:rsidR="001D045B" w:rsidRPr="00F90EAE" w:rsidRDefault="001D045B" w:rsidP="00F90EAE">
      <w:pPr>
        <w:tabs>
          <w:tab w:val="left" w:pos="1385"/>
        </w:tabs>
        <w:jc w:val="both"/>
        <w:rPr>
          <w:color w:val="000000" w:themeColor="text1"/>
          <w:sz w:val="16"/>
          <w:szCs w:val="16"/>
        </w:rPr>
      </w:pPr>
      <w:r w:rsidRPr="00F90EAE">
        <w:rPr>
          <w:color w:val="000000" w:themeColor="text1"/>
          <w:sz w:val="16"/>
          <w:szCs w:val="16"/>
        </w:rPr>
        <w:t>2. Назначить руководителями демонтажа оборудова</w:t>
      </w:r>
      <w:r w:rsidRPr="00F90EAE">
        <w:rPr>
          <w:color w:val="000000" w:themeColor="text1"/>
          <w:sz w:val="16"/>
          <w:szCs w:val="16"/>
        </w:rPr>
        <w:softHyphen/>
        <w:t>ния:</w:t>
      </w:r>
    </w:p>
    <w:p w14:paraId="5B402D95" w14:textId="77777777" w:rsidR="001D045B" w:rsidRPr="00F90EAE" w:rsidRDefault="001D045B" w:rsidP="00F90EAE">
      <w:pPr>
        <w:jc w:val="both"/>
        <w:rPr>
          <w:color w:val="000000" w:themeColor="text1"/>
          <w:sz w:val="16"/>
          <w:szCs w:val="16"/>
        </w:rPr>
      </w:pPr>
      <w:r w:rsidRPr="00F90EAE">
        <w:rPr>
          <w:color w:val="000000" w:themeColor="text1"/>
          <w:sz w:val="16"/>
          <w:szCs w:val="16"/>
        </w:rPr>
        <w:t>по моторо-агрегатнсму заводу "Даймлер-Бенц" в районе г.Мезеритц - главного инженера завода № 500 т.Куинджи;</w:t>
      </w:r>
    </w:p>
    <w:p w14:paraId="48218399" w14:textId="77777777" w:rsidR="001D045B" w:rsidRPr="00F90EAE" w:rsidRDefault="001D045B" w:rsidP="00F90EAE">
      <w:pPr>
        <w:jc w:val="both"/>
        <w:rPr>
          <w:color w:val="000000" w:themeColor="text1"/>
          <w:sz w:val="16"/>
          <w:szCs w:val="16"/>
        </w:rPr>
      </w:pPr>
      <w:r w:rsidRPr="00F90EAE">
        <w:rPr>
          <w:color w:val="000000" w:themeColor="text1"/>
          <w:sz w:val="16"/>
          <w:szCs w:val="16"/>
        </w:rPr>
        <w:t>по заводу авиационных винтов в г.Хальбау - зам. начальника 14 Главного Управления НКАП т.Лоханова;</w:t>
      </w:r>
    </w:p>
    <w:p w14:paraId="48C24F96" w14:textId="77777777" w:rsidR="001D045B" w:rsidRPr="00F90EAE" w:rsidRDefault="001D045B" w:rsidP="00F90EAE">
      <w:pPr>
        <w:jc w:val="both"/>
        <w:rPr>
          <w:color w:val="000000" w:themeColor="text1"/>
          <w:sz w:val="16"/>
          <w:szCs w:val="16"/>
        </w:rPr>
      </w:pPr>
      <w:r w:rsidRPr="00F90EAE">
        <w:rPr>
          <w:color w:val="000000" w:themeColor="text1"/>
          <w:sz w:val="16"/>
          <w:szCs w:val="16"/>
        </w:rPr>
        <w:t>по самолетно-агрегатному заводу "Фокке-Вульф"' в районе г.Повнань - директора завода № 273 НКАП т.Еськова;</w:t>
      </w:r>
    </w:p>
    <w:p w14:paraId="61740083" w14:textId="77777777" w:rsidR="001D045B" w:rsidRPr="00F90EAE" w:rsidRDefault="001D045B" w:rsidP="00F90EAE">
      <w:pPr>
        <w:jc w:val="both"/>
        <w:rPr>
          <w:color w:val="000000" w:themeColor="text1"/>
          <w:sz w:val="16"/>
          <w:szCs w:val="16"/>
        </w:rPr>
      </w:pPr>
      <w:r w:rsidRPr="00F90EAE">
        <w:rPr>
          <w:color w:val="000000" w:themeColor="text1"/>
          <w:sz w:val="16"/>
          <w:szCs w:val="16"/>
        </w:rPr>
        <w:t>по самолетно-агрегатному эаводу "Фокке-Вульф</w:t>
      </w:r>
      <w:r w:rsidRPr="00F90EAE">
        <w:rPr>
          <w:color w:val="000000" w:themeColor="text1"/>
          <w:sz w:val="16"/>
          <w:szCs w:val="16"/>
          <w:vertAlign w:val="superscript"/>
        </w:rPr>
        <w:t>н</w:t>
      </w:r>
      <w:r w:rsidRPr="00F90EAE">
        <w:rPr>
          <w:color w:val="000000" w:themeColor="text1"/>
          <w:sz w:val="16"/>
          <w:szCs w:val="16"/>
        </w:rPr>
        <w:t xml:space="preserve"> в. г. Бирнбаум - директора з</w:t>
      </w:r>
      <w:r w:rsidRPr="00F90EAE">
        <w:rPr>
          <w:rStyle w:val="1pt"/>
          <w:rFonts w:ascii="Times New Roman" w:cs="Times New Roman"/>
          <w:color w:val="000000" w:themeColor="text1"/>
          <w:spacing w:val="0"/>
          <w:sz w:val="16"/>
          <w:szCs w:val="16"/>
        </w:rPr>
        <w:t>авода т.Озимкова;</w:t>
      </w:r>
    </w:p>
    <w:p w14:paraId="3A448552" w14:textId="77777777" w:rsidR="001D045B" w:rsidRPr="00F90EAE" w:rsidRDefault="001D045B" w:rsidP="00F90EAE">
      <w:pPr>
        <w:jc w:val="both"/>
        <w:rPr>
          <w:color w:val="000000" w:themeColor="text1"/>
          <w:sz w:val="16"/>
          <w:szCs w:val="16"/>
        </w:rPr>
      </w:pPr>
      <w:r w:rsidRPr="00F90EAE">
        <w:rPr>
          <w:color w:val="000000" w:themeColor="text1"/>
          <w:sz w:val="16"/>
          <w:szCs w:val="16"/>
        </w:rPr>
        <w:t>по самолетно-агрегатному заводу "Фокке-Вульф" в районе г.Андрнхув - замначальника 1 Главного управле</w:t>
      </w:r>
      <w:r w:rsidRPr="00F90EAE">
        <w:rPr>
          <w:color w:val="000000" w:themeColor="text1"/>
          <w:sz w:val="16"/>
          <w:szCs w:val="16"/>
        </w:rPr>
        <w:softHyphen/>
        <w:t>ния НКАП т.Зорина;</w:t>
      </w:r>
    </w:p>
    <w:p w14:paraId="71BB6B8F" w14:textId="77777777" w:rsidR="001D045B" w:rsidRPr="00F90EAE" w:rsidRDefault="001D045B" w:rsidP="00F90EAE">
      <w:pPr>
        <w:jc w:val="both"/>
        <w:rPr>
          <w:color w:val="000000" w:themeColor="text1"/>
          <w:sz w:val="16"/>
          <w:szCs w:val="16"/>
        </w:rPr>
      </w:pPr>
      <w:r w:rsidRPr="00F90EAE">
        <w:rPr>
          <w:color w:val="000000" w:themeColor="text1"/>
          <w:sz w:val="16"/>
          <w:szCs w:val="16"/>
        </w:rPr>
        <w:t>по заводу самолетных крыльев в г.Бунцлау - глав</w:t>
      </w:r>
      <w:r w:rsidRPr="00F90EAE">
        <w:rPr>
          <w:color w:val="000000" w:themeColor="text1"/>
          <w:sz w:val="16"/>
          <w:szCs w:val="16"/>
        </w:rPr>
        <w:softHyphen/>
        <w:t>ного инженера завода № 62 т.Хвостюка.</w:t>
      </w:r>
    </w:p>
    <w:p w14:paraId="3E1A45CF" w14:textId="77777777" w:rsidR="001D045B" w:rsidRPr="00F90EAE" w:rsidRDefault="001D045B" w:rsidP="00F90EAE">
      <w:pPr>
        <w:tabs>
          <w:tab w:val="left" w:pos="803"/>
        </w:tabs>
        <w:jc w:val="both"/>
        <w:rPr>
          <w:color w:val="000000" w:themeColor="text1"/>
          <w:sz w:val="16"/>
          <w:szCs w:val="16"/>
        </w:rPr>
      </w:pPr>
      <w:r w:rsidRPr="00F90EAE">
        <w:rPr>
          <w:color w:val="000000" w:themeColor="text1"/>
          <w:sz w:val="16"/>
          <w:szCs w:val="16"/>
        </w:rPr>
        <w:t>3. Обязать Наркомавиапром - т.Шахурина командиро</w:t>
      </w:r>
      <w:r w:rsidRPr="00F90EAE">
        <w:rPr>
          <w:color w:val="000000" w:themeColor="text1"/>
          <w:sz w:val="16"/>
          <w:szCs w:val="16"/>
        </w:rPr>
        <w:softHyphen/>
        <w:t>вать 80 человек инженерно-технических работников и квалифицированных рабочих для руководства демонтажом оборудования, в том числе в г.Познань - 20 человек, Бирнбаум - 10 человек, Андрыхув - 10 человек, Мезеритц - 20 человек, Бунцлау - 10 человек и Хальбау - 10 человек.</w:t>
      </w:r>
    </w:p>
    <w:p w14:paraId="10F4EF98" w14:textId="77777777" w:rsidR="001D045B" w:rsidRPr="00F90EAE" w:rsidRDefault="001D045B" w:rsidP="00F90EAE">
      <w:pPr>
        <w:tabs>
          <w:tab w:val="left" w:pos="803"/>
        </w:tabs>
        <w:jc w:val="both"/>
        <w:rPr>
          <w:color w:val="000000" w:themeColor="text1"/>
          <w:sz w:val="16"/>
          <w:szCs w:val="16"/>
        </w:rPr>
      </w:pPr>
      <w:r w:rsidRPr="00F90EAE">
        <w:rPr>
          <w:color w:val="000000" w:themeColor="text1"/>
          <w:sz w:val="16"/>
          <w:szCs w:val="16"/>
        </w:rPr>
        <w:t>4. Обязать начальника Главного Трофейного Управ</w:t>
      </w:r>
      <w:r w:rsidRPr="00F90EAE">
        <w:rPr>
          <w:color w:val="000000" w:themeColor="text1"/>
          <w:sz w:val="16"/>
          <w:szCs w:val="16"/>
        </w:rPr>
        <w:softHyphen/>
        <w:t>ления НКО - т.Вахитова:</w:t>
      </w:r>
    </w:p>
    <w:p w14:paraId="1F984215" w14:textId="77777777" w:rsidR="001D045B" w:rsidRPr="00F90EAE" w:rsidRDefault="001D045B" w:rsidP="00F90EAE">
      <w:pPr>
        <w:pStyle w:val="28"/>
        <w:framePr w:h="220" w:wrap="notBeside" w:hAnchor="margin" w:x="5465" w:y="2"/>
        <w:shd w:val="clear" w:color="auto" w:fill="auto"/>
        <w:spacing w:before="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II</w:t>
      </w:r>
      <w:r w:rsidRPr="00F90EAE">
        <w:rPr>
          <w:rStyle w:val="2Batang85pt0pt"/>
          <w:rFonts w:ascii="Times New Roman" w:hAnsi="Times New Roman" w:cs="Times New Roman"/>
          <w:i w:val="0"/>
          <w:color w:val="000000" w:themeColor="text1"/>
          <w:sz w:val="16"/>
          <w:szCs w:val="16"/>
        </w:rPr>
        <w:t>3</w:t>
      </w:r>
    </w:p>
    <w:p w14:paraId="2F2BEB62" w14:textId="77777777" w:rsidR="001D045B" w:rsidRPr="00F90EAE" w:rsidRDefault="001D045B"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а) до 15 апреля </w:t>
      </w:r>
      <w:r w:rsidRPr="00F90EAE">
        <w:rPr>
          <w:rStyle w:val="1pt"/>
          <w:rFonts w:ascii="Times New Roman" w:cs="Times New Roman"/>
          <w:color w:val="000000" w:themeColor="text1"/>
          <w:spacing w:val="0"/>
          <w:sz w:val="16"/>
          <w:szCs w:val="16"/>
        </w:rPr>
        <w:t>о.г.</w:t>
      </w:r>
      <w:r w:rsidRPr="00F90EAE">
        <w:rPr>
          <w:rFonts w:ascii="Times New Roman" w:cs="Times New Roman"/>
          <w:color w:val="000000" w:themeColor="text1"/>
          <w:spacing w:val="0"/>
          <w:sz w:val="16"/>
          <w:szCs w:val="16"/>
        </w:rPr>
        <w:t xml:space="preserve"> произвести все работы по </w:t>
      </w:r>
      <w:r w:rsidRPr="00F90EAE">
        <w:rPr>
          <w:rStyle w:val="-1pt"/>
          <w:rFonts w:ascii="Times New Roman" w:hAnsi="Times New Roman" w:cs="Times New Roman"/>
          <w:color w:val="000000" w:themeColor="text1"/>
          <w:spacing w:val="0"/>
          <w:sz w:val="16"/>
          <w:szCs w:val="16"/>
        </w:rPr>
        <w:t>де</w:t>
      </w:r>
      <w:r w:rsidRPr="00F90EAE">
        <w:rPr>
          <w:rStyle w:val="-1pt"/>
          <w:rFonts w:ascii="Times New Roman" w:hAnsi="Times New Roman" w:cs="Times New Roman"/>
          <w:color w:val="000000" w:themeColor="text1"/>
          <w:spacing w:val="0"/>
          <w:sz w:val="16"/>
          <w:szCs w:val="16"/>
        </w:rPr>
        <w:softHyphen/>
      </w:r>
      <w:r w:rsidRPr="00F90EAE">
        <w:rPr>
          <w:rFonts w:ascii="Times New Roman" w:cs="Times New Roman"/>
          <w:color w:val="000000" w:themeColor="text1"/>
          <w:spacing w:val="0"/>
          <w:sz w:val="16"/>
          <w:szCs w:val="16"/>
        </w:rPr>
        <w:t>монтажу и отгрузке на заводы Наркомавиапрома оборудова ния и материалов, перечисленных в пункте 1 настояще</w:t>
      </w:r>
      <w:r w:rsidRPr="00F90EAE">
        <w:rPr>
          <w:rFonts w:ascii="Times New Roman" w:cs="Times New Roman"/>
          <w:color w:val="000000" w:themeColor="text1"/>
          <w:spacing w:val="0"/>
          <w:sz w:val="16"/>
          <w:szCs w:val="16"/>
        </w:rPr>
        <w:softHyphen/>
        <w:t xml:space="preserve">го постановления, начав. работы с 10 марта </w:t>
      </w:r>
      <w:r w:rsidRPr="00F90EAE">
        <w:rPr>
          <w:rStyle w:val="1pt"/>
          <w:rFonts w:ascii="Times New Roman" w:cs="Times New Roman"/>
          <w:color w:val="000000" w:themeColor="text1"/>
          <w:spacing w:val="0"/>
          <w:sz w:val="16"/>
          <w:szCs w:val="16"/>
        </w:rPr>
        <w:t>с.г.;</w:t>
      </w:r>
    </w:p>
    <w:p w14:paraId="42F1DA94" w14:textId="77777777" w:rsidR="001D045B" w:rsidRPr="00F90EAE" w:rsidRDefault="001D045B"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б) выделить .для демоктажа и отгрузки указанного оборудования 1000 человек, из них по 1 Украинскому фронту - 400 человек и по 1 Белорусскому - 600 чело</w:t>
      </w:r>
      <w:r w:rsidRPr="00F90EAE">
        <w:rPr>
          <w:rFonts w:ascii="Times New Roman" w:cs="Times New Roman"/>
          <w:color w:val="000000" w:themeColor="text1"/>
          <w:spacing w:val="0"/>
          <w:sz w:val="16"/>
          <w:szCs w:val="16"/>
        </w:rPr>
        <w:softHyphen/>
        <w:t>век.</w:t>
      </w:r>
    </w:p>
    <w:p w14:paraId="535B40A6" w14:textId="77777777" w:rsidR="001D045B" w:rsidRPr="00F90EAE" w:rsidRDefault="001D045B"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lastRenderedPageBreak/>
        <w:t>5. Обязать ВВ КА - т.Новикова и командующих 2 и 16 Воздушными армиями - т.т.Красовскогс и Руденко оказать Наркомавиапрому необходимую помощь людьми и транспортом в демонтаже и отгрузке оборудования с перечисленных в пункте 1 немеиких авиационных заво</w:t>
      </w:r>
      <w:r w:rsidRPr="00F90EAE">
        <w:rPr>
          <w:rFonts w:ascii="Times New Roman" w:cs="Times New Roman"/>
          <w:color w:val="000000" w:themeColor="text1"/>
          <w:spacing w:val="0"/>
          <w:sz w:val="16"/>
          <w:szCs w:val="16"/>
        </w:rPr>
        <w:softHyphen/>
        <w:t>дов.</w:t>
      </w:r>
    </w:p>
    <w:p w14:paraId="6ECBF4D2" w14:textId="77777777" w:rsidR="001D045B" w:rsidRPr="00F90EAE" w:rsidRDefault="001D045B"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6. Обязать НКПС - т.Ковалева и ВОСО - т.Дмитриева выделить по заявке уполномоченных Особого Комитета - т.т.Сабурова и Зернова необходимое количество вагонов для отгрузки оборудования </w:t>
      </w:r>
      <w:r w:rsidRPr="00F90EAE">
        <w:rPr>
          <w:rStyle w:val="-1pt"/>
          <w:rFonts w:ascii="Times New Roman" w:hAnsi="Times New Roman" w:cs="Times New Roman"/>
          <w:color w:val="000000" w:themeColor="text1"/>
          <w:spacing w:val="0"/>
          <w:sz w:val="16"/>
          <w:szCs w:val="16"/>
        </w:rPr>
        <w:t>,-ма</w:t>
      </w:r>
      <w:r w:rsidRPr="00F90EAE">
        <w:rPr>
          <w:rFonts w:ascii="Times New Roman" w:cs="Times New Roman"/>
          <w:color w:val="000000" w:themeColor="text1"/>
          <w:spacing w:val="0"/>
          <w:sz w:val="16"/>
          <w:szCs w:val="16"/>
        </w:rPr>
        <w:t xml:space="preserve">териалов, перечисленных в пункте 1 настоящего </w:t>
      </w:r>
      <w:r w:rsidRPr="00F90EAE">
        <w:rPr>
          <w:rStyle w:val="1pt"/>
          <w:rFonts w:ascii="Times New Roman" w:cs="Times New Roman"/>
          <w:color w:val="000000" w:themeColor="text1"/>
          <w:spacing w:val="0"/>
          <w:sz w:val="16"/>
          <w:szCs w:val="16"/>
        </w:rPr>
        <w:t xml:space="preserve">постановления </w:t>
      </w:r>
      <w:r w:rsidRPr="00F90EAE">
        <w:rPr>
          <w:rFonts w:ascii="Times New Roman" w:cs="Times New Roman"/>
          <w:color w:val="000000" w:themeColor="text1"/>
          <w:spacing w:val="0"/>
          <w:sz w:val="16"/>
          <w:szCs w:val="16"/>
        </w:rPr>
        <w:t>(19518).</w:t>
      </w:r>
    </w:p>
    <w:p w14:paraId="217C184C" w14:textId="77777777" w:rsidR="00D86C3E" w:rsidRPr="00F90EAE" w:rsidRDefault="00D86C3E" w:rsidP="00F90EAE">
      <w:pPr>
        <w:autoSpaceDE w:val="0"/>
        <w:autoSpaceDN w:val="0"/>
        <w:adjustRightInd w:val="0"/>
        <w:jc w:val="both"/>
        <w:rPr>
          <w:color w:val="000000" w:themeColor="text1"/>
          <w:sz w:val="16"/>
          <w:szCs w:val="16"/>
        </w:rPr>
      </w:pPr>
    </w:p>
    <w:p w14:paraId="30BCE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ГОКО N 7695с о демонтаже и вывозу оборудования с заводов: самолетно-агрегатного Фокке-Вульф в гг. Бирнбаум и Познань на 272 в Ленинграде, моторно-агрегатного Даймлер-Бенц в Мезеритц на 265 в Воронеже, винтовому в Хольбау в Ступино на 150, крыльевого в Бунцлау на 82 в Москве, Фокке-Вульф в Андрыхуве на 272 в Ленинград (1874,10).</w:t>
      </w:r>
    </w:p>
    <w:p w14:paraId="59EDA7CC" w14:textId="77777777" w:rsidR="00665165" w:rsidRPr="00F90EAE" w:rsidRDefault="00665165" w:rsidP="00F90EAE">
      <w:pPr>
        <w:autoSpaceDE w:val="0"/>
        <w:autoSpaceDN w:val="0"/>
        <w:adjustRightInd w:val="0"/>
        <w:jc w:val="both"/>
        <w:rPr>
          <w:color w:val="000000" w:themeColor="text1"/>
          <w:sz w:val="16"/>
          <w:szCs w:val="16"/>
        </w:rPr>
      </w:pPr>
    </w:p>
    <w:p w14:paraId="0D4B189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4FB771B" w14:textId="77777777" w:rsidR="00665165" w:rsidRPr="00F90EAE" w:rsidRDefault="00665165" w:rsidP="00F90EAE">
      <w:pPr>
        <w:autoSpaceDE w:val="0"/>
        <w:autoSpaceDN w:val="0"/>
        <w:adjustRightInd w:val="0"/>
        <w:jc w:val="both"/>
        <w:rPr>
          <w:iCs/>
          <w:color w:val="000000" w:themeColor="text1"/>
          <w:sz w:val="16"/>
          <w:szCs w:val="16"/>
        </w:rPr>
      </w:pPr>
    </w:p>
    <w:p w14:paraId="0E151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7686 О вывозе оборудования заводов карбид-кальция и синтетического каучука с химического комбината в г. Освенцим. РГАНИР, Фонд ГКО, д. 377, лл. 89-90 (11012).</w:t>
      </w:r>
    </w:p>
    <w:p w14:paraId="596A6ACE" w14:textId="77777777" w:rsidR="00665165" w:rsidRPr="00F90EAE" w:rsidRDefault="00665165" w:rsidP="00F90EAE">
      <w:pPr>
        <w:autoSpaceDE w:val="0"/>
        <w:autoSpaceDN w:val="0"/>
        <w:adjustRightInd w:val="0"/>
        <w:jc w:val="both"/>
        <w:rPr>
          <w:color w:val="000000" w:themeColor="text1"/>
          <w:sz w:val="16"/>
          <w:szCs w:val="16"/>
        </w:rPr>
      </w:pPr>
    </w:p>
    <w:p w14:paraId="629052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7687 О вывозе оборудования с немецкого завода нитроглицериновых порохов фирмы "Альфред Нобель и К'" - г. Бромберг (Быгдощ). РГАНИР, Фонд ГКО, д. 377, лл. 91-92 (11012).</w:t>
      </w:r>
    </w:p>
    <w:p w14:paraId="55AE67E9" w14:textId="77777777" w:rsidR="00665165" w:rsidRPr="00F90EAE" w:rsidRDefault="00665165" w:rsidP="00F90EAE">
      <w:pPr>
        <w:autoSpaceDE w:val="0"/>
        <w:autoSpaceDN w:val="0"/>
        <w:adjustRightInd w:val="0"/>
        <w:jc w:val="both"/>
        <w:rPr>
          <w:color w:val="000000" w:themeColor="text1"/>
          <w:sz w:val="16"/>
          <w:szCs w:val="16"/>
        </w:rPr>
      </w:pPr>
    </w:p>
    <w:p w14:paraId="1ED53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7688 О разборке железнодорожных линий на территории Германии. РГАНИР, Фонд ГКО, д. 377, лл. 93-94, 95-97 (11012).</w:t>
      </w:r>
    </w:p>
    <w:p w14:paraId="7506E8A5" w14:textId="77777777" w:rsidR="00665165" w:rsidRPr="00F90EAE" w:rsidRDefault="00665165" w:rsidP="00F90EAE">
      <w:pPr>
        <w:autoSpaceDE w:val="0"/>
        <w:autoSpaceDN w:val="0"/>
        <w:adjustRightInd w:val="0"/>
        <w:jc w:val="both"/>
        <w:rPr>
          <w:color w:val="000000" w:themeColor="text1"/>
          <w:sz w:val="16"/>
          <w:szCs w:val="16"/>
        </w:rPr>
      </w:pPr>
    </w:p>
    <w:p w14:paraId="2517F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7689 О вывозе немецкого оборудования по производству корпусов артснарядов с завода "Остхютте" (г. Сосновец) и с завода "Граф Ренард" (г. Сосновец). РГАНИР, Фонд ГКО, д. 377, лл. 98-99 (11012).</w:t>
      </w:r>
    </w:p>
    <w:p w14:paraId="23FD63DD" w14:textId="77777777" w:rsidR="00665165" w:rsidRPr="00F90EAE" w:rsidRDefault="00665165" w:rsidP="00F90EAE">
      <w:pPr>
        <w:autoSpaceDE w:val="0"/>
        <w:autoSpaceDN w:val="0"/>
        <w:adjustRightInd w:val="0"/>
        <w:jc w:val="both"/>
        <w:rPr>
          <w:color w:val="000000" w:themeColor="text1"/>
          <w:sz w:val="16"/>
          <w:szCs w:val="16"/>
        </w:rPr>
      </w:pPr>
    </w:p>
    <w:p w14:paraId="4AECE3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7690 О вывозе оборудования немецкого завода "Альт Глейвиц Хютте" по производству корпусов артснарядов (г. Глейвиц). РГАНИР, Фонд ГКО, д. 377, лл. 100-101 (11012).</w:t>
      </w:r>
    </w:p>
    <w:p w14:paraId="7CE0E457" w14:textId="77777777" w:rsidR="00665165" w:rsidRPr="00F90EAE" w:rsidRDefault="00665165" w:rsidP="00F90EAE">
      <w:pPr>
        <w:autoSpaceDE w:val="0"/>
        <w:autoSpaceDN w:val="0"/>
        <w:adjustRightInd w:val="0"/>
        <w:jc w:val="both"/>
        <w:rPr>
          <w:color w:val="000000" w:themeColor="text1"/>
          <w:sz w:val="16"/>
          <w:szCs w:val="16"/>
        </w:rPr>
      </w:pPr>
    </w:p>
    <w:p w14:paraId="5AA4C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7691 О вывозе с немецких заводов Верхней Силезии оборудования по производству артиллерии и патронов. РГАНИР, Фонд ГКО, д. 377, лл. 102-105 (11012).</w:t>
      </w:r>
    </w:p>
    <w:p w14:paraId="7FCA57F1" w14:textId="77777777" w:rsidR="00665165" w:rsidRPr="00F90EAE" w:rsidRDefault="00665165" w:rsidP="00F90EAE">
      <w:pPr>
        <w:autoSpaceDE w:val="0"/>
        <w:autoSpaceDN w:val="0"/>
        <w:adjustRightInd w:val="0"/>
        <w:jc w:val="both"/>
        <w:rPr>
          <w:color w:val="000000" w:themeColor="text1"/>
          <w:sz w:val="16"/>
          <w:szCs w:val="16"/>
        </w:rPr>
      </w:pPr>
    </w:p>
    <w:p w14:paraId="109CC1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вышло Постановление ГКО № 7692 «О вывозе оборудования и материалов военно-химического завода “Аноргана Верк”, расположенного в г. Дихернфурте (Германия, Силезия)» (Д. 457. Л. 105–106).</w:t>
      </w:r>
    </w:p>
    <w:p w14:paraId="68B3270F" w14:textId="77777777" w:rsidR="00665165" w:rsidRPr="00F90EAE" w:rsidRDefault="00665165" w:rsidP="00F90EAE">
      <w:pPr>
        <w:autoSpaceDE w:val="0"/>
        <w:autoSpaceDN w:val="0"/>
        <w:adjustRightInd w:val="0"/>
        <w:jc w:val="both"/>
        <w:rPr>
          <w:color w:val="000000" w:themeColor="text1"/>
          <w:sz w:val="16"/>
          <w:szCs w:val="16"/>
        </w:rPr>
      </w:pPr>
    </w:p>
    <w:p w14:paraId="3BEE6A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Постановление ГКО № 7693 «О вывозе оборудования бронекорпусного производства с завода “Хута Банкова” в г. Домброва Гурна на завод № 264 Наркомтанкопрома в г. Сталинград» (Д. 457. Л. 108–109).</w:t>
      </w:r>
    </w:p>
    <w:p w14:paraId="447B7A78" w14:textId="77777777" w:rsidR="00665165" w:rsidRPr="00F90EAE" w:rsidRDefault="00665165" w:rsidP="00F90EAE">
      <w:pPr>
        <w:autoSpaceDE w:val="0"/>
        <w:autoSpaceDN w:val="0"/>
        <w:adjustRightInd w:val="0"/>
        <w:jc w:val="both"/>
        <w:rPr>
          <w:color w:val="000000" w:themeColor="text1"/>
          <w:sz w:val="16"/>
          <w:szCs w:val="16"/>
        </w:rPr>
      </w:pPr>
    </w:p>
    <w:p w14:paraId="50162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вышло Постановление ГКО № 7694 «О вывозе оборудования бронекорпусного производства с заводов “Бисмарк-Хута Батория” (г. Великие Гайдуки) и “Гутнер” (местечко Хохенлинде близ г. Беутен) на Ижорский завод Наркомтанкопрома в гор. Ленинград» (Д. 457. Л. 111–112).</w:t>
      </w:r>
    </w:p>
    <w:p w14:paraId="7D8078A8" w14:textId="77777777" w:rsidR="00665165" w:rsidRPr="00F90EAE" w:rsidRDefault="00665165" w:rsidP="00F90EAE">
      <w:pPr>
        <w:autoSpaceDE w:val="0"/>
        <w:autoSpaceDN w:val="0"/>
        <w:adjustRightInd w:val="0"/>
        <w:jc w:val="both"/>
        <w:rPr>
          <w:color w:val="000000" w:themeColor="text1"/>
          <w:sz w:val="16"/>
          <w:szCs w:val="16"/>
        </w:rPr>
      </w:pPr>
    </w:p>
    <w:p w14:paraId="44A1BA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Постановление ГКО № 7696 «О вывозе оборудования с немецких машиностроительных заводов “Оберхютте Шталь унд Прессверке” г. Глейвиц, “Донасмаркверке” концерна “Оберхютте” г. Гинденбург и “Обершлезише Кессельверке” г. Глейвиц» (Д. 457. 118–119).</w:t>
      </w:r>
    </w:p>
    <w:p w14:paraId="0B8312DB" w14:textId="77777777" w:rsidR="00665165" w:rsidRPr="00F90EAE" w:rsidRDefault="00665165" w:rsidP="00F90EAE">
      <w:pPr>
        <w:autoSpaceDE w:val="0"/>
        <w:autoSpaceDN w:val="0"/>
        <w:adjustRightInd w:val="0"/>
        <w:jc w:val="both"/>
        <w:rPr>
          <w:color w:val="000000" w:themeColor="text1"/>
          <w:sz w:val="16"/>
          <w:szCs w:val="16"/>
        </w:rPr>
      </w:pPr>
    </w:p>
    <w:p w14:paraId="3E772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7697 О вывозе цветных металлов, концентратов и химикатов с предприятий свинцово-цинковой промышленности Верхней Силезии. РГАНИР, Фонд ГКО, д. 377, лл. 118-119, 120-123 (11012).</w:t>
      </w:r>
    </w:p>
    <w:p w14:paraId="7B659CF6" w14:textId="77777777" w:rsidR="00665165" w:rsidRPr="00F90EAE" w:rsidRDefault="00665165" w:rsidP="00F90EAE">
      <w:pPr>
        <w:autoSpaceDE w:val="0"/>
        <w:autoSpaceDN w:val="0"/>
        <w:adjustRightInd w:val="0"/>
        <w:jc w:val="both"/>
        <w:rPr>
          <w:color w:val="000000" w:themeColor="text1"/>
          <w:sz w:val="16"/>
          <w:szCs w:val="16"/>
        </w:rPr>
      </w:pPr>
    </w:p>
    <w:p w14:paraId="04437A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7698 О вывозе оборудования с немецкого кабельного завода фирмы "Ганс и Альвире Пресцамм" в городе Дзедзице. РГАНИР, Фонд ГКО, д. 377, лл. 124-125 (11012).</w:t>
      </w:r>
    </w:p>
    <w:p w14:paraId="2BAE727C" w14:textId="77777777" w:rsidR="00665165" w:rsidRPr="00F90EAE" w:rsidRDefault="00665165" w:rsidP="00F90EAE">
      <w:pPr>
        <w:autoSpaceDE w:val="0"/>
        <w:autoSpaceDN w:val="0"/>
        <w:adjustRightInd w:val="0"/>
        <w:jc w:val="both"/>
        <w:rPr>
          <w:color w:val="000000" w:themeColor="text1"/>
          <w:sz w:val="16"/>
          <w:szCs w:val="16"/>
        </w:rPr>
      </w:pPr>
    </w:p>
    <w:p w14:paraId="5E6ABB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7699 О вывозе оборудования с радиозавода фирмы "Телефункен" и завода свинцовых аккумуляторов фирмы АФА в гор. Познань. РГАНИР, Фонд ГКО, д. 377, лл. 126-127 (11012).</w:t>
      </w:r>
    </w:p>
    <w:p w14:paraId="3F9A217B" w14:textId="77777777" w:rsidR="00665165" w:rsidRPr="00F90EAE" w:rsidRDefault="00665165" w:rsidP="00F90EAE">
      <w:pPr>
        <w:autoSpaceDE w:val="0"/>
        <w:autoSpaceDN w:val="0"/>
        <w:adjustRightInd w:val="0"/>
        <w:jc w:val="both"/>
        <w:rPr>
          <w:color w:val="000000" w:themeColor="text1"/>
          <w:sz w:val="16"/>
          <w:szCs w:val="16"/>
        </w:rPr>
      </w:pPr>
    </w:p>
    <w:p w14:paraId="170337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7700 О вывозе оборудования с немецких тормозных заводов фирмы "Кнорр-Бремзе" в гор. Сосновец и гор. Мишков. РГАНИР, Фонд ГКО, д. 377, лл. 128-129 (11012).</w:t>
      </w:r>
    </w:p>
    <w:p w14:paraId="71756F88" w14:textId="77777777" w:rsidR="00665165" w:rsidRPr="00F90EAE" w:rsidRDefault="00665165" w:rsidP="00F90EAE">
      <w:pPr>
        <w:autoSpaceDE w:val="0"/>
        <w:autoSpaceDN w:val="0"/>
        <w:adjustRightInd w:val="0"/>
        <w:jc w:val="both"/>
        <w:rPr>
          <w:color w:val="000000" w:themeColor="text1"/>
          <w:sz w:val="16"/>
          <w:szCs w:val="16"/>
        </w:rPr>
      </w:pPr>
    </w:p>
    <w:p w14:paraId="4144B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7701 О вывозе оборудования с немецкого вагоностроительного завода фирмы "Остдейтше Машинен унд Вагонфабрик" в г. Кенигсхютте. РГАНИР, Фонд ГКО, д. 377, лл. 130-131 (11012).</w:t>
      </w:r>
    </w:p>
    <w:p w14:paraId="0441B174" w14:textId="77777777" w:rsidR="00665165" w:rsidRPr="00F90EAE" w:rsidRDefault="00665165" w:rsidP="00F90EAE">
      <w:pPr>
        <w:autoSpaceDE w:val="0"/>
        <w:autoSpaceDN w:val="0"/>
        <w:adjustRightInd w:val="0"/>
        <w:jc w:val="both"/>
        <w:rPr>
          <w:color w:val="000000" w:themeColor="text1"/>
          <w:sz w:val="16"/>
          <w:szCs w:val="16"/>
        </w:rPr>
      </w:pPr>
    </w:p>
    <w:p w14:paraId="674168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7702 О вывозе оборудования с проволочно-канатного завода акционерного общества "Адольф Дайхсель" в г. Гинденбург. РГАНИР, Фонд ГКО, д. 377, лл. 132-133 (11012).</w:t>
      </w:r>
    </w:p>
    <w:p w14:paraId="535FAE56" w14:textId="77777777" w:rsidR="00665165" w:rsidRPr="00F90EAE" w:rsidRDefault="00665165" w:rsidP="00F90EAE">
      <w:pPr>
        <w:autoSpaceDE w:val="0"/>
        <w:autoSpaceDN w:val="0"/>
        <w:adjustRightInd w:val="0"/>
        <w:jc w:val="both"/>
        <w:rPr>
          <w:color w:val="000000" w:themeColor="text1"/>
          <w:sz w:val="16"/>
          <w:szCs w:val="16"/>
        </w:rPr>
      </w:pPr>
    </w:p>
    <w:p w14:paraId="18AFF5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7703 О вывозе оборудования с завода по переработке металлолома акционерного общества "Ферайнихте Обершлезише Хюттенверке" в г. Глейвиц. РГАНИР, Фонд ГКО, д. 377, лл. 134-135 (11012).</w:t>
      </w:r>
    </w:p>
    <w:p w14:paraId="31779984" w14:textId="77777777" w:rsidR="00665165" w:rsidRPr="00F90EAE" w:rsidRDefault="00665165" w:rsidP="00F90EAE">
      <w:pPr>
        <w:autoSpaceDE w:val="0"/>
        <w:autoSpaceDN w:val="0"/>
        <w:adjustRightInd w:val="0"/>
        <w:jc w:val="both"/>
        <w:rPr>
          <w:color w:val="000000" w:themeColor="text1"/>
          <w:sz w:val="16"/>
          <w:szCs w:val="16"/>
        </w:rPr>
      </w:pPr>
    </w:p>
    <w:p w14:paraId="54493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7704 О вывозе оборудования с завода "Дратверке" в г. Глейвиц. РГАНИР, Фонд ГКО, д. 377, лл. 136-137 (11012).</w:t>
      </w:r>
    </w:p>
    <w:p w14:paraId="17DBFA84" w14:textId="77777777" w:rsidR="00665165" w:rsidRPr="00F90EAE" w:rsidRDefault="00665165" w:rsidP="00F90EAE">
      <w:pPr>
        <w:autoSpaceDE w:val="0"/>
        <w:autoSpaceDN w:val="0"/>
        <w:adjustRightInd w:val="0"/>
        <w:jc w:val="both"/>
        <w:rPr>
          <w:color w:val="000000" w:themeColor="text1"/>
          <w:sz w:val="16"/>
          <w:szCs w:val="16"/>
        </w:rPr>
      </w:pPr>
    </w:p>
    <w:p w14:paraId="6D2656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7705 О вывозе оборудования и материалов химического комбината "И.Г. Фарбениндустри" в гор. Хайдебрек (близ г. Козель). РГАНИР, Фонд ГКО, д. 377, лл. 138-139 (11012).</w:t>
      </w:r>
    </w:p>
    <w:p w14:paraId="72D116FB" w14:textId="77777777" w:rsidR="00665165" w:rsidRPr="00F90EAE" w:rsidRDefault="00665165" w:rsidP="00F90EAE">
      <w:pPr>
        <w:autoSpaceDE w:val="0"/>
        <w:autoSpaceDN w:val="0"/>
        <w:adjustRightInd w:val="0"/>
        <w:jc w:val="both"/>
        <w:rPr>
          <w:color w:val="000000" w:themeColor="text1"/>
          <w:sz w:val="16"/>
          <w:szCs w:val="16"/>
        </w:rPr>
      </w:pPr>
    </w:p>
    <w:p w14:paraId="5A6B9B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7706 О вывозе оборудования и материалов химического комбината "И.Г.Фарбениндустри" в г. Освенцим. РГАНИР, Фонд ГКО, д. 377, лл. 140-141 (11012).</w:t>
      </w:r>
    </w:p>
    <w:p w14:paraId="6D29773A" w14:textId="77777777" w:rsidR="00665165" w:rsidRPr="00F90EAE" w:rsidRDefault="00665165" w:rsidP="00F90EAE">
      <w:pPr>
        <w:autoSpaceDE w:val="0"/>
        <w:autoSpaceDN w:val="0"/>
        <w:adjustRightInd w:val="0"/>
        <w:jc w:val="both"/>
        <w:rPr>
          <w:color w:val="000000" w:themeColor="text1"/>
          <w:sz w:val="16"/>
          <w:szCs w:val="16"/>
        </w:rPr>
      </w:pPr>
    </w:p>
    <w:p w14:paraId="6ACFD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7707 О передаче Временному Польскому правительству некоторой части продовольственных товаров для снабжения городского населения о поставке сырья для текстильной промышленности Лодзи. РГАНИР, Фонд ГКО, д. 377, лл. 142-144 (11012).</w:t>
      </w:r>
    </w:p>
    <w:p w14:paraId="435AC5C3" w14:textId="77777777" w:rsidR="00665165" w:rsidRPr="00F90EAE" w:rsidRDefault="00665165" w:rsidP="00F90EAE">
      <w:pPr>
        <w:autoSpaceDE w:val="0"/>
        <w:autoSpaceDN w:val="0"/>
        <w:adjustRightInd w:val="0"/>
        <w:jc w:val="both"/>
        <w:rPr>
          <w:color w:val="000000" w:themeColor="text1"/>
          <w:sz w:val="16"/>
          <w:szCs w:val="16"/>
        </w:rPr>
      </w:pPr>
    </w:p>
    <w:p w14:paraId="0C61B2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7708 Об организации при Начальнике Тыла Красной Армии Управления по использованию угольных ресурсов Домбровского и Силезского угольных бассейнов для обеспечения углем фронтовых и прифронтовых железных дорог. РГАНИР, Фонд ГКО, д. 377, лл. 145-146 (11012).</w:t>
      </w:r>
    </w:p>
    <w:p w14:paraId="1AF9030E" w14:textId="77777777" w:rsidR="00665165" w:rsidRPr="00F90EAE" w:rsidRDefault="00665165" w:rsidP="00F90EAE">
      <w:pPr>
        <w:autoSpaceDE w:val="0"/>
        <w:autoSpaceDN w:val="0"/>
        <w:adjustRightInd w:val="0"/>
        <w:jc w:val="both"/>
        <w:rPr>
          <w:color w:val="000000" w:themeColor="text1"/>
          <w:sz w:val="16"/>
          <w:szCs w:val="16"/>
        </w:rPr>
      </w:pPr>
    </w:p>
    <w:p w14:paraId="5DF6F17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7709 О развитии разведочных работ в тресте "Грузнефть". (7312, 147-150,151).</w:t>
      </w:r>
    </w:p>
    <w:p w14:paraId="659B84E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47789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7710 [О принятии под охрану войск НКВД наиболее важных предприятий объединения "Уралнефть" и треста "Укрнефтезаводы".] (7312, 152-153).</w:t>
      </w:r>
    </w:p>
    <w:p w14:paraId="42EA732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74F81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7711. О принятии под охрану войск НКВД строящихся импортных заводов Наркомнефти. РГАНИР, Фонд ГКО, д. 377, лл. 154 (11012).</w:t>
      </w:r>
    </w:p>
    <w:p w14:paraId="0036FDEB" w14:textId="77777777" w:rsidR="00665165" w:rsidRPr="00F90EAE" w:rsidRDefault="00665165" w:rsidP="00F90EAE">
      <w:pPr>
        <w:autoSpaceDE w:val="0"/>
        <w:autoSpaceDN w:val="0"/>
        <w:adjustRightInd w:val="0"/>
        <w:jc w:val="both"/>
        <w:rPr>
          <w:color w:val="000000" w:themeColor="text1"/>
          <w:sz w:val="16"/>
          <w:szCs w:val="16"/>
        </w:rPr>
      </w:pPr>
    </w:p>
    <w:p w14:paraId="58B7DE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7712 О перенесении строительства заводов газовой сажи из района г. Саратова на газовое месторождение Дашава Дрогобычской области. РГАНИР, Фонд ГКО, д. 377, лл. 155-159, 160-161 (11012).</w:t>
      </w:r>
    </w:p>
    <w:p w14:paraId="20CDEBEB" w14:textId="77777777" w:rsidR="00665165" w:rsidRPr="00F90EAE" w:rsidRDefault="00665165" w:rsidP="00F90EAE">
      <w:pPr>
        <w:autoSpaceDE w:val="0"/>
        <w:autoSpaceDN w:val="0"/>
        <w:adjustRightInd w:val="0"/>
        <w:jc w:val="both"/>
        <w:rPr>
          <w:color w:val="000000" w:themeColor="text1"/>
          <w:sz w:val="16"/>
          <w:szCs w:val="16"/>
        </w:rPr>
      </w:pPr>
    </w:p>
    <w:p w14:paraId="16E066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7713. О выделении 10 машин "Студебеккер" заводу №19 НКАП. РГАНИР, Фонд ГКО, д. 377, лл. 162 (11012).</w:t>
      </w:r>
    </w:p>
    <w:p w14:paraId="39D36996" w14:textId="77777777" w:rsidR="00665165" w:rsidRPr="00F90EAE" w:rsidRDefault="00665165" w:rsidP="00F90EAE">
      <w:pPr>
        <w:autoSpaceDE w:val="0"/>
        <w:autoSpaceDN w:val="0"/>
        <w:adjustRightInd w:val="0"/>
        <w:jc w:val="both"/>
        <w:rPr>
          <w:color w:val="000000" w:themeColor="text1"/>
          <w:sz w:val="16"/>
          <w:szCs w:val="16"/>
        </w:rPr>
      </w:pPr>
    </w:p>
    <w:p w14:paraId="7E8667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Постановление ГКО № 7714 О мероприятиях по обеспечению производства полевых геологоразведочных работ Комитета по делам геологии при Совнаркоме СССР в 1945 году. РГАНИР, Фонд ГКО, д. 377, лл. 163-167, 168-175 (11012).</w:t>
      </w:r>
    </w:p>
    <w:p w14:paraId="052C231C" w14:textId="77777777" w:rsidR="00665165" w:rsidRPr="00F90EAE" w:rsidRDefault="00665165" w:rsidP="00F90EAE">
      <w:pPr>
        <w:autoSpaceDE w:val="0"/>
        <w:autoSpaceDN w:val="0"/>
        <w:adjustRightInd w:val="0"/>
        <w:jc w:val="both"/>
        <w:rPr>
          <w:color w:val="000000" w:themeColor="text1"/>
          <w:sz w:val="16"/>
          <w:szCs w:val="16"/>
        </w:rPr>
      </w:pPr>
    </w:p>
    <w:p w14:paraId="094BA47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7715 [О передаче НКПС с завода №112 НКТП запасных частей для дизеля ЦЭС на Амуре.] (7312, 176).</w:t>
      </w:r>
    </w:p>
    <w:p w14:paraId="35F0508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4E1DD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7716 [О передаче 200 грузовых машин НКАТ РСФСР для НКВД на апрель-май 1945 г.] (7312, 177).</w:t>
      </w:r>
    </w:p>
    <w:p w14:paraId="52DB8FE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C2D7A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7717. О дополнительном выделении нефтебитума заводам НКБ. РГАНИР, Фонд ГКО, д. 377, лл. 178 (11012).</w:t>
      </w:r>
    </w:p>
    <w:p w14:paraId="07C510F5" w14:textId="77777777" w:rsidR="00665165" w:rsidRPr="00F90EAE" w:rsidRDefault="00665165" w:rsidP="00F90EAE">
      <w:pPr>
        <w:autoSpaceDE w:val="0"/>
        <w:autoSpaceDN w:val="0"/>
        <w:adjustRightInd w:val="0"/>
        <w:jc w:val="both"/>
        <w:rPr>
          <w:color w:val="000000" w:themeColor="text1"/>
          <w:sz w:val="16"/>
          <w:szCs w:val="16"/>
        </w:rPr>
      </w:pPr>
    </w:p>
    <w:p w14:paraId="2E28448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7718 [О мерах по обеспечению производства спецукупорки в Латвийской и Литовской ССР.] (7312, 179-180).</w:t>
      </w:r>
    </w:p>
    <w:p w14:paraId="59D9810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837B3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7719. О поставках сырья аккумуляторным заводам НКЭП для производства танковых аккумуляторных батарей в марте 1945 г. РГАНИР, Фонд ГКО, д. 377, лл. 181-183 (11012).</w:t>
      </w:r>
    </w:p>
    <w:p w14:paraId="5BF9732C" w14:textId="77777777" w:rsidR="00665165" w:rsidRPr="00F90EAE" w:rsidRDefault="00665165" w:rsidP="00F90EAE">
      <w:pPr>
        <w:autoSpaceDE w:val="0"/>
        <w:autoSpaceDN w:val="0"/>
        <w:adjustRightInd w:val="0"/>
        <w:jc w:val="both"/>
        <w:rPr>
          <w:color w:val="000000" w:themeColor="text1"/>
          <w:sz w:val="16"/>
          <w:szCs w:val="16"/>
        </w:rPr>
      </w:pPr>
    </w:p>
    <w:p w14:paraId="0BC445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7720. О поставках сырья для производства корпусов 82 мм и 120 мм мин на Ташкентских заводах НКМВ и предприятиях НКВРГАНИР, Фонд ГКО, д. РГАНИР, Фонд ГКО, д. 377, лл. 184-185, 186-187 (11012).</w:t>
      </w:r>
    </w:p>
    <w:p w14:paraId="03AD7258" w14:textId="77777777" w:rsidR="00665165" w:rsidRPr="00F90EAE" w:rsidRDefault="00665165" w:rsidP="00F90EAE">
      <w:pPr>
        <w:autoSpaceDE w:val="0"/>
        <w:autoSpaceDN w:val="0"/>
        <w:adjustRightInd w:val="0"/>
        <w:jc w:val="both"/>
        <w:rPr>
          <w:color w:val="000000" w:themeColor="text1"/>
          <w:sz w:val="16"/>
          <w:szCs w:val="16"/>
        </w:rPr>
      </w:pPr>
    </w:p>
    <w:p w14:paraId="300842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7721. О поставке спецукупорки 160 мм мин заводам НКМВ. РГАНИР, Фонд ГКО, д. 377, лл. 188-191, 192-196 (11012).</w:t>
      </w:r>
    </w:p>
    <w:p w14:paraId="47FD7231" w14:textId="77777777" w:rsidR="00665165" w:rsidRPr="00F90EAE" w:rsidRDefault="00665165" w:rsidP="00F90EAE">
      <w:pPr>
        <w:autoSpaceDE w:val="0"/>
        <w:autoSpaceDN w:val="0"/>
        <w:adjustRightInd w:val="0"/>
        <w:jc w:val="both"/>
        <w:rPr>
          <w:color w:val="000000" w:themeColor="text1"/>
          <w:sz w:val="16"/>
          <w:szCs w:val="16"/>
        </w:rPr>
      </w:pPr>
    </w:p>
    <w:p w14:paraId="61129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7722. О мерах по обеспечению снаряжательных заводов НКБ корпусами снарядов и мин в марте 1945 г. РГАНИР, Фонд ГКО, д. 377, лл. 197-201, 202-214 (11012).</w:t>
      </w:r>
    </w:p>
    <w:p w14:paraId="2211F271" w14:textId="77777777" w:rsidR="00665165" w:rsidRPr="00F90EAE" w:rsidRDefault="00665165" w:rsidP="00F90EAE">
      <w:pPr>
        <w:autoSpaceDE w:val="0"/>
        <w:autoSpaceDN w:val="0"/>
        <w:adjustRightInd w:val="0"/>
        <w:jc w:val="both"/>
        <w:rPr>
          <w:color w:val="000000" w:themeColor="text1"/>
          <w:sz w:val="16"/>
          <w:szCs w:val="16"/>
        </w:rPr>
      </w:pPr>
    </w:p>
    <w:p w14:paraId="258E9F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вышло Распоряжение ГКО № 7723. О выделении сушеного картофеля предприятиям НКАП за счет уменьшения поставок КА. РГАНИР, Фонд ГКО, д. 377, лл. 215 (11012).</w:t>
      </w:r>
    </w:p>
    <w:p w14:paraId="6B7AC8A4" w14:textId="77777777" w:rsidR="00665165" w:rsidRPr="00F90EAE" w:rsidRDefault="00665165" w:rsidP="00F90EAE">
      <w:pPr>
        <w:autoSpaceDE w:val="0"/>
        <w:autoSpaceDN w:val="0"/>
        <w:adjustRightInd w:val="0"/>
        <w:jc w:val="both"/>
        <w:rPr>
          <w:color w:val="000000" w:themeColor="text1"/>
          <w:sz w:val="16"/>
          <w:szCs w:val="16"/>
        </w:rPr>
      </w:pPr>
    </w:p>
    <w:p w14:paraId="60702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вышло Постановление Государственного комитета обороны СССР о перевозке в Советский Союз оборудования для производств фосфорорганических ОВ - табуна и зарина,- которое было найдено на заводе "Аноргана Верк ГМБХ" в Дихернфурте-на-Одере (Силезия). Летом 1945 г. оборудование было складировано на промплощадке "М" завода № 91 в г.Сталинграде (ныне - г. Волгоград) (9067).</w:t>
      </w:r>
    </w:p>
    <w:p w14:paraId="48F22499" w14:textId="77777777" w:rsidR="00665165" w:rsidRPr="00F90EAE" w:rsidRDefault="00665165" w:rsidP="00F90EAE">
      <w:pPr>
        <w:autoSpaceDE w:val="0"/>
        <w:autoSpaceDN w:val="0"/>
        <w:adjustRightInd w:val="0"/>
        <w:jc w:val="both"/>
        <w:rPr>
          <w:color w:val="000000" w:themeColor="text1"/>
          <w:sz w:val="16"/>
          <w:szCs w:val="16"/>
        </w:rPr>
      </w:pPr>
    </w:p>
    <w:p w14:paraId="0C72DD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г. вышло решение ГОКО о перевозе в Советский Союз завода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из Дихернфурта на Одере (Силезия) (9066)</w:t>
      </w:r>
    </w:p>
    <w:p w14:paraId="2DA06CAD" w14:textId="77777777" w:rsidR="00665165" w:rsidRPr="00F90EAE" w:rsidRDefault="00665165" w:rsidP="00F90EAE">
      <w:pPr>
        <w:autoSpaceDE w:val="0"/>
        <w:autoSpaceDN w:val="0"/>
        <w:adjustRightInd w:val="0"/>
        <w:jc w:val="both"/>
        <w:rPr>
          <w:iCs/>
          <w:color w:val="000000" w:themeColor="text1"/>
          <w:sz w:val="16"/>
          <w:szCs w:val="16"/>
        </w:rPr>
      </w:pPr>
    </w:p>
    <w:p w14:paraId="7E75E7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6 марта 1945 уже через три дня после доклада наркома Г.М.Маленкову вышло постановление ГОКО СССР о перевозке в Советский Союз найденного на заводе "Аноргана Верк ГМБХ" в Дихернфурте-на-Одере оборудования для производств табуна и зарина. Оборудование для производств табуна (цеха 112,144,130-133 и 150) и зарина (цеха 116,117 и 149) было перевезено в Советский Союз летом 1945 года под руководством директора завода No 91 в Сталинграде А.И.Уфлянда и складировано там, где планировалось, - на промплощадке "М". А трофейная опытная установка по выпуску зарина была отгружена прямо в Москву в НИИ-42, то есть в головной институт по разработке химоружия (11298). </w:t>
      </w:r>
    </w:p>
    <w:p w14:paraId="0C4FB9C8" w14:textId="77777777" w:rsidR="00665165" w:rsidRPr="00F90EAE" w:rsidRDefault="00665165" w:rsidP="00F90EAE">
      <w:pPr>
        <w:autoSpaceDE w:val="0"/>
        <w:autoSpaceDN w:val="0"/>
        <w:adjustRightInd w:val="0"/>
        <w:jc w:val="both"/>
        <w:rPr>
          <w:color w:val="000000" w:themeColor="text1"/>
          <w:sz w:val="16"/>
          <w:szCs w:val="16"/>
        </w:rPr>
      </w:pPr>
    </w:p>
    <w:p w14:paraId="6996EE2B" w14:textId="77777777" w:rsidR="00094C32" w:rsidRPr="00F90EAE" w:rsidRDefault="00094C32" w:rsidP="00F90EAE">
      <w:pPr>
        <w:shd w:val="clear" w:color="auto" w:fill="FFFFFF"/>
        <w:jc w:val="both"/>
        <w:rPr>
          <w:color w:val="000000" w:themeColor="text1"/>
          <w:sz w:val="16"/>
          <w:szCs w:val="16"/>
        </w:rPr>
      </w:pPr>
      <w:r w:rsidRPr="00F90EAE">
        <w:rPr>
          <w:bCs/>
          <w:iCs/>
          <w:color w:val="000000" w:themeColor="text1"/>
          <w:sz w:val="16"/>
          <w:szCs w:val="16"/>
        </w:rPr>
        <w:t>6 марта 1945 г.</w:t>
      </w:r>
      <w:r w:rsidRPr="00F90EAE">
        <w:rPr>
          <w:color w:val="000000" w:themeColor="text1"/>
          <w:sz w:val="16"/>
          <w:szCs w:val="16"/>
        </w:rPr>
        <w:t xml:space="preserve"> Постановление ГОКО СССР о перевозке в Советский Союз из Гемании оборудования для производств фосфорорганических ОВ — табуна и зарина, которое было захвачено на заводе «Аноргана Верк ГМБХ» в Дихернфурте-на-Одере (Силезия). Предписан также вывоз в СССР трофейного оборудования по производству синильной кислоты и цехов снаряжения боеприпасов и приготовления рецептур. Летом1945 г. оборудование было складировано на химическом заводе № 91 в Сталинграде (ныне — г.Волгоград) (17133).</w:t>
      </w:r>
    </w:p>
    <w:p w14:paraId="5E3BD085" w14:textId="77777777" w:rsidR="00094C32" w:rsidRPr="00F90EAE" w:rsidRDefault="00094C32" w:rsidP="00F90EAE">
      <w:pPr>
        <w:shd w:val="clear" w:color="auto" w:fill="FFFFFF"/>
        <w:jc w:val="both"/>
        <w:rPr>
          <w:color w:val="000000" w:themeColor="text1"/>
          <w:sz w:val="16"/>
          <w:szCs w:val="16"/>
        </w:rPr>
      </w:pPr>
    </w:p>
    <w:p w14:paraId="37BB638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AE6B48C" w14:textId="77777777" w:rsidR="00665165" w:rsidRPr="00F90EAE" w:rsidRDefault="00665165" w:rsidP="00F90EAE">
      <w:pPr>
        <w:autoSpaceDE w:val="0"/>
        <w:autoSpaceDN w:val="0"/>
        <w:adjustRightInd w:val="0"/>
        <w:jc w:val="both"/>
        <w:rPr>
          <w:iCs/>
          <w:color w:val="000000" w:themeColor="text1"/>
          <w:sz w:val="16"/>
          <w:szCs w:val="16"/>
        </w:rPr>
      </w:pPr>
    </w:p>
    <w:p w14:paraId="6FA92BA9" w14:textId="77777777" w:rsidR="00094C32" w:rsidRPr="00F90EAE" w:rsidRDefault="00094C32" w:rsidP="00F90EAE">
      <w:pPr>
        <w:jc w:val="both"/>
        <w:rPr>
          <w:color w:val="000000" w:themeColor="text1"/>
          <w:sz w:val="16"/>
          <w:szCs w:val="16"/>
        </w:rPr>
      </w:pPr>
      <w:r w:rsidRPr="00F90EAE">
        <w:rPr>
          <w:bCs/>
          <w:color w:val="000000" w:themeColor="text1"/>
          <w:sz w:val="16"/>
          <w:szCs w:val="16"/>
        </w:rPr>
        <w:t>6 марта</w:t>
      </w:r>
      <w:r w:rsidRPr="00F90EAE">
        <w:rPr>
          <w:color w:val="000000" w:themeColor="text1"/>
          <w:sz w:val="16"/>
          <w:szCs w:val="16"/>
        </w:rPr>
        <w:t xml:space="preserve"> в 1945 году оперативная сводка Совинформбюро:</w:t>
      </w:r>
    </w:p>
    <w:p w14:paraId="47FCD334" w14:textId="77777777" w:rsidR="00094C32" w:rsidRPr="00F90EAE" w:rsidRDefault="00094C32" w:rsidP="00F90EAE">
      <w:pPr>
        <w:jc w:val="both"/>
        <w:rPr>
          <w:color w:val="000000" w:themeColor="text1"/>
          <w:sz w:val="16"/>
          <w:szCs w:val="16"/>
        </w:rPr>
      </w:pPr>
      <w:r w:rsidRPr="00F90EAE">
        <w:rPr>
          <w:color w:val="000000" w:themeColor="text1"/>
          <w:sz w:val="16"/>
          <w:szCs w:val="16"/>
        </w:rPr>
        <w:t>«Войска 2-го Белорусского фронта после двухнедельной осады и упорных боёв завершили разгром окружённой группировки противника и 6 марта овладели городом и крепостью Грудзяндз (Грауденц) — мощным узлом обороны немцев на нижнем течении реки Висла.</w:t>
      </w:r>
    </w:p>
    <w:p w14:paraId="493F3F71" w14:textId="77777777" w:rsidR="00094C32" w:rsidRPr="00F90EAE" w:rsidRDefault="00094C32" w:rsidP="00F90EAE">
      <w:pPr>
        <w:jc w:val="both"/>
        <w:rPr>
          <w:color w:val="000000" w:themeColor="text1"/>
          <w:sz w:val="16"/>
          <w:szCs w:val="16"/>
        </w:rPr>
      </w:pPr>
      <w:r w:rsidRPr="00F90EAE">
        <w:rPr>
          <w:color w:val="000000" w:themeColor="text1"/>
          <w:sz w:val="16"/>
          <w:szCs w:val="16"/>
        </w:rPr>
        <w:t>В ходе боёв в Грудзяндзе войска фронта взяли в плен более 5.000 немецких солдат и офицеров во главе с комендантом крепости генерал-майором Фрикке и его штабом, а также захватили большое количество вооружения и военного имущества.</w:t>
      </w:r>
    </w:p>
    <w:p w14:paraId="1A71ABD1" w14:textId="77777777" w:rsidR="00094C32" w:rsidRPr="00F90EAE" w:rsidRDefault="00094C32" w:rsidP="00F90EAE">
      <w:pPr>
        <w:jc w:val="both"/>
        <w:rPr>
          <w:color w:val="000000" w:themeColor="text1"/>
          <w:sz w:val="16"/>
          <w:szCs w:val="16"/>
        </w:rPr>
      </w:pPr>
      <w:r w:rsidRPr="00F90EAE">
        <w:rPr>
          <w:color w:val="000000" w:themeColor="text1"/>
          <w:sz w:val="16"/>
          <w:szCs w:val="16"/>
        </w:rPr>
        <w:t>Одновременно юго-западнее и западнее Данцига войска фронта в результате наступательных боёв овладели городами Третен, Мальхов и заняли более 60 других населённых пунктов, среди которых крупные населённые пункты Альт Кишау, Вилле, Любон, Гросс Тухен, Фридрихсхульд, Фарцин, Сегентин, Абтсхаген, Альтштайнорт, Лазе, Гроссмеллен.</w:t>
      </w:r>
    </w:p>
    <w:p w14:paraId="15D93BA2" w14:textId="77777777" w:rsidR="00094C32" w:rsidRPr="00F90EAE" w:rsidRDefault="00094C32" w:rsidP="00F90EAE">
      <w:pPr>
        <w:jc w:val="both"/>
        <w:rPr>
          <w:color w:val="000000" w:themeColor="text1"/>
          <w:sz w:val="16"/>
          <w:szCs w:val="16"/>
        </w:rPr>
      </w:pPr>
      <w:r w:rsidRPr="00F90EAE">
        <w:rPr>
          <w:color w:val="000000" w:themeColor="text1"/>
          <w:sz w:val="16"/>
          <w:szCs w:val="16"/>
        </w:rPr>
        <w:t>Юго-западнее города Кезлин войска 2-го Белорусского фронта ликвидировали окружённую группу противника и при этом взяли в плен командующего Кезлинским округом генерал-лейтенанта фон Цилова вместе с его штабом и более 1.000 немецких солдат и офицеров.</w:t>
      </w:r>
    </w:p>
    <w:p w14:paraId="49D16D00" w14:textId="77777777" w:rsidR="00094C32" w:rsidRPr="00F90EAE" w:rsidRDefault="00094C32" w:rsidP="00F90EAE">
      <w:pPr>
        <w:jc w:val="both"/>
        <w:rPr>
          <w:color w:val="000000" w:themeColor="text1"/>
          <w:sz w:val="16"/>
          <w:szCs w:val="16"/>
        </w:rPr>
      </w:pPr>
      <w:r w:rsidRPr="00F90EAE">
        <w:rPr>
          <w:color w:val="000000" w:themeColor="text1"/>
          <w:sz w:val="16"/>
          <w:szCs w:val="16"/>
        </w:rPr>
        <w:t>Войска 1-го Белорусского фронта, развивая успешное наступление, 6 марта овладели городами Бельгард, Трептов, Грайфенберг, Каммин, Гюльцов, Плате — важными узлами коммуникаций и сильными опорными пунктами обороны немцев в западной Померании, а также с боями заняли более 500 других населённых пунктов, в том числе крупные населённые пункты Гросс Естин, Гаррин, Тессин, Приббернов, Кантрен, Хоеншенау, Ленц, Морицфельде. Южнее города Шифельбайн войска фронта окружили значительную группу войск противника и вели успешные бои по её уничтожению. За 4 и 5 марта войска фронта взяли в плен более 2.500 немецких солдат и офицеров.</w:t>
      </w:r>
    </w:p>
    <w:p w14:paraId="024F66DB" w14:textId="77777777" w:rsidR="00094C32" w:rsidRPr="00F90EAE" w:rsidRDefault="00094C32" w:rsidP="00F90EAE">
      <w:pPr>
        <w:jc w:val="both"/>
        <w:rPr>
          <w:color w:val="000000" w:themeColor="text1"/>
          <w:sz w:val="16"/>
          <w:szCs w:val="16"/>
        </w:rPr>
      </w:pPr>
      <w:r w:rsidRPr="00F90EAE">
        <w:rPr>
          <w:color w:val="000000" w:themeColor="text1"/>
          <w:sz w:val="16"/>
          <w:szCs w:val="16"/>
        </w:rPr>
        <w:t>В Венгрии северо-восточнее и южнее озера Балатон наши войска отбивали атаки крупных сил пехоты и танков противника.</w:t>
      </w:r>
    </w:p>
    <w:p w14:paraId="3B298878" w14:textId="77777777" w:rsidR="00094C32" w:rsidRPr="00F90EAE" w:rsidRDefault="00094C32"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365442E" w14:textId="77777777" w:rsidR="00094C32" w:rsidRPr="00F90EAE" w:rsidRDefault="00094C32" w:rsidP="00F90EAE">
      <w:pPr>
        <w:jc w:val="both"/>
        <w:rPr>
          <w:color w:val="000000" w:themeColor="text1"/>
          <w:sz w:val="16"/>
          <w:szCs w:val="16"/>
        </w:rPr>
      </w:pPr>
      <w:r w:rsidRPr="00F90EAE">
        <w:rPr>
          <w:color w:val="000000" w:themeColor="text1"/>
          <w:sz w:val="16"/>
          <w:szCs w:val="16"/>
        </w:rPr>
        <w:t>За 5 марта на всех фронтах подбито и уничтожено 33 немецких танка. В воздушных боях и огнём зенитной артиллерии сбито 57 самолётов противника; кроме этого, 43 самолёта уничтожено на аэродроме в районе города Штаргард.</w:t>
      </w:r>
    </w:p>
    <w:p w14:paraId="1EF5685D" w14:textId="77777777" w:rsidR="00094C32" w:rsidRPr="00F90EAE" w:rsidRDefault="00094C32" w:rsidP="00F90EAE">
      <w:pPr>
        <w:jc w:val="both"/>
        <w:rPr>
          <w:color w:val="000000" w:themeColor="text1"/>
          <w:sz w:val="16"/>
          <w:szCs w:val="16"/>
        </w:rPr>
      </w:pPr>
      <w:r w:rsidRPr="00F90EAE">
        <w:rPr>
          <w:color w:val="000000" w:themeColor="text1"/>
          <w:sz w:val="16"/>
          <w:szCs w:val="16"/>
        </w:rPr>
        <w:t>Налёты нашей авиации на военные объекты в городах Штеттин и Кенигсберг</w:t>
      </w:r>
    </w:p>
    <w:p w14:paraId="47B16E7C" w14:textId="77777777" w:rsidR="00094C32" w:rsidRPr="00F90EAE" w:rsidRDefault="00094C32" w:rsidP="00F90EAE">
      <w:pPr>
        <w:jc w:val="both"/>
        <w:rPr>
          <w:color w:val="000000" w:themeColor="text1"/>
          <w:sz w:val="16"/>
          <w:szCs w:val="16"/>
        </w:rPr>
      </w:pPr>
      <w:r w:rsidRPr="00F90EAE">
        <w:rPr>
          <w:color w:val="000000" w:themeColor="text1"/>
          <w:sz w:val="16"/>
          <w:szCs w:val="16"/>
        </w:rPr>
        <w:t>В ночь на 6 марта наши тяжёлые бомбардировщики нанесли удар по военным объектам немцев в городах Штеттин и Кенигсберг.</w:t>
      </w:r>
    </w:p>
    <w:p w14:paraId="7CE85573" w14:textId="77777777" w:rsidR="00094C32" w:rsidRPr="00F90EAE" w:rsidRDefault="00094C32" w:rsidP="00F90EAE">
      <w:pPr>
        <w:jc w:val="both"/>
        <w:rPr>
          <w:color w:val="000000" w:themeColor="text1"/>
          <w:sz w:val="16"/>
          <w:szCs w:val="16"/>
        </w:rPr>
      </w:pPr>
      <w:r w:rsidRPr="00F90EAE">
        <w:rPr>
          <w:color w:val="000000" w:themeColor="text1"/>
          <w:sz w:val="16"/>
          <w:szCs w:val="16"/>
        </w:rPr>
        <w:t>В результате бомбардировки в Штеттине возникло много пожаров, которые сопровождались взрывами, особенно сильными на территории товарной станции.</w:t>
      </w:r>
    </w:p>
    <w:p w14:paraId="782304C6" w14:textId="77777777" w:rsidR="00094C32" w:rsidRPr="00F90EAE" w:rsidRDefault="00094C32" w:rsidP="00F90EAE">
      <w:pPr>
        <w:jc w:val="both"/>
        <w:rPr>
          <w:color w:val="000000" w:themeColor="text1"/>
          <w:sz w:val="16"/>
          <w:szCs w:val="16"/>
        </w:rPr>
      </w:pPr>
      <w:r w:rsidRPr="00F90EAE">
        <w:rPr>
          <w:color w:val="000000" w:themeColor="text1"/>
          <w:sz w:val="16"/>
          <w:szCs w:val="16"/>
        </w:rPr>
        <w:t>В Кенигсберге прямым попаданием бомб взорван склад боеприпасов, а также отмечено несколько больших пожаров.</w:t>
      </w:r>
    </w:p>
    <w:p w14:paraId="727B24A0" w14:textId="77777777" w:rsidR="00094C32" w:rsidRPr="00F90EAE" w:rsidRDefault="00094C32" w:rsidP="00F90EAE">
      <w:pPr>
        <w:jc w:val="both"/>
        <w:rPr>
          <w:color w:val="000000" w:themeColor="text1"/>
          <w:sz w:val="16"/>
          <w:szCs w:val="16"/>
        </w:rPr>
      </w:pPr>
      <w:r w:rsidRPr="00F90EAE">
        <w:rPr>
          <w:color w:val="000000" w:themeColor="text1"/>
          <w:sz w:val="16"/>
          <w:szCs w:val="16"/>
        </w:rPr>
        <w:t>Войска 2-го Белорусского фронта сегодня овладели городом и крепостью Грудзяндз (Грауденц). Как уже сообщалось, две недели тому назад наши войска, развивая наступление вдоль реки Вислы, окружили немецкий гарнизон в Грудзяндзе. Подступы к городу прикрывали старинные форты, усиленные двумя поясами современных долговременных укреплений. Вражеский гарнизон состоял из большого числа пехотных и артиллерийских частей, а также танковых подразделений.</w:t>
      </w:r>
    </w:p>
    <w:p w14:paraId="79390256" w14:textId="77777777" w:rsidR="00094C32" w:rsidRPr="00F90EAE" w:rsidRDefault="00094C32" w:rsidP="00F90EAE">
      <w:pPr>
        <w:jc w:val="both"/>
        <w:rPr>
          <w:color w:val="000000" w:themeColor="text1"/>
          <w:sz w:val="16"/>
          <w:szCs w:val="16"/>
        </w:rPr>
      </w:pPr>
      <w:r w:rsidRPr="00F90EAE">
        <w:rPr>
          <w:color w:val="000000" w:themeColor="text1"/>
          <w:sz w:val="16"/>
          <w:szCs w:val="16"/>
        </w:rPr>
        <w:t>Зажав противника в железное кольцо, советские войска развернули бои за город. Артиллерия большой мощности и гвардейские миномёты разрушали укрепления противника. Наши бомбардировщики, подавившие в первые же дни осады зенитные батареи, наносили врагу непрерывные удары. В результате мощного огневого воздействия немцы были выбиты из дотов и фортов и загнаны в город. В ожесточённых уличных боях наши штурмовые группы очищали от гитлеровцев один квартал за другим. Часть окружённых вражеских сил переправилась на западный берег Вислы в районе железнодорожного моста и пыталась скрыться в лесах. Наша пехота и самоходная артиллерия атаковали немцев, прижали их к реке и уничтожили. В ходе упорных боёв наши войска овладели южной частью города и начали штурм последнего оплота немцев — крепости, военного городка и полигонов, расположенных в северной части Грудзяндза. Вслед за огневым валом артиллерии в крепость ворвались советские подразделения. Упорный бой, длившийся несколько часов, решил судьбу немецкого гарнизона. Загнанные в казематы и погреба, гитлеровцы стали сдаваться в плен. Немецкие солдаты и офицеры складывали оружие и группами по 200—300 человек выходили из укрытий. Взято в плен более 5 тысяч солдат и офицеров противника вместе с комендантом крепости генерал-майором Фрикке.</w:t>
      </w:r>
    </w:p>
    <w:p w14:paraId="1B1B92F5" w14:textId="77777777" w:rsidR="00094C32" w:rsidRPr="00F90EAE" w:rsidRDefault="00094C32" w:rsidP="00F90EAE">
      <w:pPr>
        <w:jc w:val="both"/>
        <w:rPr>
          <w:color w:val="000000" w:themeColor="text1"/>
          <w:sz w:val="16"/>
          <w:szCs w:val="16"/>
        </w:rPr>
      </w:pPr>
      <w:r w:rsidRPr="00F90EAE">
        <w:rPr>
          <w:color w:val="000000" w:themeColor="text1"/>
          <w:sz w:val="16"/>
          <w:szCs w:val="16"/>
        </w:rPr>
        <w:t xml:space="preserve">Юго-западнее и западнее Данцига войска 2-го Белорусского фронта с боями продвигались вперёд. Советские части, действующие в лесной местности, овладели городами Третен и Мальхов. Немцы выбиты также из населённого пункта и железнодорожной станции Гросс Тухен, находящейся в 10 километрах к юго-западу от </w:t>
      </w:r>
      <w:r w:rsidRPr="00F90EAE">
        <w:rPr>
          <w:color w:val="000000" w:themeColor="text1"/>
          <w:sz w:val="16"/>
          <w:szCs w:val="16"/>
        </w:rPr>
        <w:lastRenderedPageBreak/>
        <w:t>города Бютов. Противник предпринял ряд контратак, но был отброшен с большими для него потерями. За день боёв уничтожено более 2 тысяч немецких солдат и офицеров. Захвачено много трофеев и 350 пленных.</w:t>
      </w:r>
    </w:p>
    <w:p w14:paraId="0BE18245" w14:textId="77777777" w:rsidR="00094C32" w:rsidRPr="00F90EAE" w:rsidRDefault="00094C32" w:rsidP="00F90EAE">
      <w:pPr>
        <w:jc w:val="both"/>
        <w:rPr>
          <w:color w:val="000000" w:themeColor="text1"/>
          <w:sz w:val="16"/>
          <w:szCs w:val="16"/>
        </w:rPr>
      </w:pPr>
      <w:r w:rsidRPr="00F90EAE">
        <w:rPr>
          <w:color w:val="000000" w:themeColor="text1"/>
          <w:sz w:val="16"/>
          <w:szCs w:val="16"/>
        </w:rPr>
        <w:t>Войска 1-го Белорусского фронта в западной Померании продолжали успешное наступление. Наши танкисты и пехотинцы овладели городом Бельгард — сильным опорным пунктом обороны немцев. Остатки разбитых и рассеянных по лесам частей противника вылавливаются и уничтожаются нашими подразделениями. В районе Бельгарда истреблено 1.300 и взято в плен более 500 гитлеровцев. Подбито и сожжено 14 немецких танков и 16 бронетранспортёров. На другом участке наши подвижные соединения и пехота сломили сопротивление противника и устремились на запад. Советские части продвинулись вперёд до 25 километров, заняли города Трептов, Грайфенберг, Плате, Гюльцов. Немцы пытались закрепиться на подступах к городу Каммин, но были разгромлены стремительными ударами наших танковых и пехотных частей. После непродолжительного, но ожесточённого уличного боя город Каммин очищен от немецких войск. Противник несёт огромные потери. Советские кавалеристы, овладевшие вчера городом Польцин, захватили 64 паровоза, 1.200 вагонов, 700 платформ, 25 танков, 5 самоходных орудий «Фердинанд», 28 полевых орудий, 8 больших складов, 2 тысячи лошадей, 400 повозок с грузами, 4 тысячи голов крупного рогатого скота и много других трофеев.</w:t>
      </w:r>
    </w:p>
    <w:p w14:paraId="654F4C8F" w14:textId="77777777" w:rsidR="00094C32" w:rsidRPr="00F90EAE" w:rsidRDefault="00094C32" w:rsidP="00F90EAE">
      <w:pPr>
        <w:jc w:val="both"/>
        <w:rPr>
          <w:color w:val="000000" w:themeColor="text1"/>
          <w:sz w:val="16"/>
          <w:szCs w:val="16"/>
        </w:rPr>
      </w:pPr>
      <w:r w:rsidRPr="00F90EAE">
        <w:rPr>
          <w:color w:val="000000" w:themeColor="text1"/>
          <w:sz w:val="16"/>
          <w:szCs w:val="16"/>
        </w:rPr>
        <w:t>Наша авиация наносила бомбоштурмовые удары по отступающим колоннам немецких войск. Взорвано несколько воинских эшелонов противника, сожжено и разбито много паровозов и вагонов. В воздушных боях советские лётчики сбили 19 немецких самолётов.</w:t>
      </w:r>
    </w:p>
    <w:p w14:paraId="2E38EC55" w14:textId="77777777" w:rsidR="00094C32" w:rsidRPr="00F90EAE" w:rsidRDefault="00094C32" w:rsidP="00F90EAE">
      <w:pPr>
        <w:jc w:val="both"/>
        <w:rPr>
          <w:color w:val="000000" w:themeColor="text1"/>
          <w:sz w:val="16"/>
          <w:szCs w:val="16"/>
        </w:rPr>
      </w:pPr>
      <w:r w:rsidRPr="00F90EAE">
        <w:rPr>
          <w:color w:val="000000" w:themeColor="text1"/>
          <w:sz w:val="16"/>
          <w:szCs w:val="16"/>
        </w:rPr>
        <w:t>Самолёты Краснознамённого Балтийского флота прямым попаданием двух бомб потопили в Балтийском море транспорт противника водоизмещением в 5 тысяч тонн.</w:t>
      </w:r>
    </w:p>
    <w:p w14:paraId="58CF3F4F" w14:textId="77777777" w:rsidR="00094C32" w:rsidRPr="00F90EAE" w:rsidRDefault="00094C32" w:rsidP="00F90EAE">
      <w:pPr>
        <w:jc w:val="both"/>
        <w:rPr>
          <w:color w:val="000000" w:themeColor="text1"/>
          <w:sz w:val="16"/>
          <w:szCs w:val="16"/>
        </w:rPr>
      </w:pPr>
      <w:r w:rsidRPr="00F90EAE">
        <w:rPr>
          <w:color w:val="000000" w:themeColor="text1"/>
          <w:sz w:val="16"/>
          <w:szCs w:val="16"/>
        </w:rPr>
        <w:t>Лётчики флота в воздушных боях за день сбили 10 немецких самолётов.» (15060).</w:t>
      </w:r>
    </w:p>
    <w:p w14:paraId="21BCB003" w14:textId="77777777" w:rsidR="00094C32" w:rsidRPr="00F90EAE" w:rsidRDefault="00094C32" w:rsidP="00F90EAE">
      <w:pPr>
        <w:jc w:val="both"/>
        <w:rPr>
          <w:color w:val="000000" w:themeColor="text1"/>
          <w:sz w:val="16"/>
          <w:szCs w:val="16"/>
        </w:rPr>
      </w:pPr>
    </w:p>
    <w:p w14:paraId="5EB935A9" w14:textId="77777777" w:rsidR="00094C32" w:rsidRPr="00F90EAE" w:rsidRDefault="00094C32" w:rsidP="00F90EAE">
      <w:pPr>
        <w:jc w:val="both"/>
        <w:rPr>
          <w:color w:val="000000" w:themeColor="text1"/>
          <w:sz w:val="16"/>
          <w:szCs w:val="16"/>
        </w:rPr>
      </w:pPr>
      <w:r w:rsidRPr="00F90EAE">
        <w:rPr>
          <w:bCs/>
          <w:color w:val="000000" w:themeColor="text1"/>
          <w:sz w:val="16"/>
          <w:szCs w:val="16"/>
        </w:rPr>
        <w:t>6 марта</w:t>
      </w:r>
      <w:r w:rsidRPr="00F90EAE">
        <w:rPr>
          <w:color w:val="000000" w:themeColor="text1"/>
          <w:sz w:val="16"/>
          <w:szCs w:val="16"/>
        </w:rPr>
        <w:t xml:space="preserve"> в 1945 году началась последняя в ходе Великой Отечественной войны оборонительная операция – Балатонская (6-15 марта) войск 3-го Украинского фронта (Ф.И.Толбухин) совместно с частями 1-й болгарской и 3-й югославской армий по отражению контрнаступления фашистских войск в районе озера Балатон (Венгрия). Войска фронта отразили наступление немецких армий - 6-й и 6-й танковой СС - и нанесли им поражение, сорвав план выхода к Дунаю с целью восстановить оборону по его берегу (15060).</w:t>
      </w:r>
    </w:p>
    <w:p w14:paraId="024C74AE" w14:textId="77777777" w:rsidR="00094C32" w:rsidRPr="00F90EAE" w:rsidRDefault="00094C32" w:rsidP="00F90EAE">
      <w:pPr>
        <w:jc w:val="both"/>
        <w:rPr>
          <w:color w:val="000000" w:themeColor="text1"/>
          <w:sz w:val="16"/>
          <w:szCs w:val="16"/>
        </w:rPr>
      </w:pPr>
    </w:p>
    <w:p w14:paraId="4961803B" w14:textId="77777777" w:rsidR="008E5220" w:rsidRPr="00F90EAE" w:rsidRDefault="008E5220" w:rsidP="00F90EAE">
      <w:pPr>
        <w:jc w:val="both"/>
        <w:rPr>
          <w:color w:val="0070C0"/>
          <w:sz w:val="16"/>
          <w:szCs w:val="16"/>
        </w:rPr>
      </w:pPr>
      <w:r w:rsidRPr="00F90EAE">
        <w:rPr>
          <w:color w:val="0070C0"/>
          <w:sz w:val="16"/>
          <w:szCs w:val="16"/>
        </w:rPr>
        <w:t>6 марта 1945 в Венгрии начинается операция «Весеннее пробуждение», последнее крупное немецкое наступление во Второй мировой войне. Люфтваффе совершает около 900 самолето-вылетов в в поддержке наступления, в то время как 965 самолетов советской 17 воздушной армии поддерживают советские и болгарские части (20371).</w:t>
      </w:r>
    </w:p>
    <w:p w14:paraId="3C813E76" w14:textId="77777777" w:rsidR="008E5220" w:rsidRPr="00F90EAE" w:rsidRDefault="008E5220" w:rsidP="00F90EAE">
      <w:pPr>
        <w:jc w:val="both"/>
        <w:rPr>
          <w:color w:val="0070C0"/>
          <w:sz w:val="16"/>
          <w:szCs w:val="16"/>
        </w:rPr>
      </w:pPr>
    </w:p>
    <w:p w14:paraId="4A24FA5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6 1945 Last Germans offensive of the war to defend oil fields in Hungary (1050).</w:t>
      </w:r>
    </w:p>
    <w:p w14:paraId="07A4F896" w14:textId="77777777" w:rsidR="00665165" w:rsidRPr="00F90EAE" w:rsidRDefault="00665165" w:rsidP="00F90EAE">
      <w:pPr>
        <w:autoSpaceDE w:val="0"/>
        <w:autoSpaceDN w:val="0"/>
        <w:adjustRightInd w:val="0"/>
        <w:jc w:val="both"/>
        <w:rPr>
          <w:color w:val="000000" w:themeColor="text1"/>
          <w:sz w:val="16"/>
          <w:szCs w:val="16"/>
          <w:lang w:val="en-US"/>
        </w:rPr>
      </w:pPr>
    </w:p>
    <w:p w14:paraId="5EE14B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в Венгрии прекратилось немецкое сопротивление (1050).</w:t>
      </w:r>
    </w:p>
    <w:p w14:paraId="040F43B7" w14:textId="77777777" w:rsidR="00665165" w:rsidRPr="00F90EAE" w:rsidRDefault="00665165" w:rsidP="00F90EAE">
      <w:pPr>
        <w:autoSpaceDE w:val="0"/>
        <w:autoSpaceDN w:val="0"/>
        <w:adjustRightInd w:val="0"/>
        <w:jc w:val="both"/>
        <w:rPr>
          <w:color w:val="000000" w:themeColor="text1"/>
          <w:sz w:val="16"/>
          <w:szCs w:val="16"/>
        </w:rPr>
      </w:pPr>
    </w:p>
    <w:p w14:paraId="58A588F0" w14:textId="77777777" w:rsidR="00001948" w:rsidRPr="00F90EAE" w:rsidRDefault="00001948" w:rsidP="00F90EAE">
      <w:pPr>
        <w:jc w:val="both"/>
        <w:rPr>
          <w:color w:val="000000" w:themeColor="text1"/>
          <w:sz w:val="16"/>
          <w:szCs w:val="16"/>
        </w:rPr>
      </w:pPr>
      <w:r w:rsidRPr="00F90EAE">
        <w:rPr>
          <w:bCs/>
          <w:color w:val="000000" w:themeColor="text1"/>
          <w:sz w:val="16"/>
          <w:szCs w:val="16"/>
        </w:rPr>
        <w:t>6 марта</w:t>
      </w:r>
      <w:r w:rsidRPr="00F90EAE">
        <w:rPr>
          <w:color w:val="000000" w:themeColor="text1"/>
          <w:sz w:val="16"/>
          <w:szCs w:val="16"/>
        </w:rPr>
        <w:t xml:space="preserve"> в 1945 году начало наступления венгерских и немецких войск в районе озера Балатон. На немецких танках впервые были кстановлены приборы ночного видения, что позволило продолжать наступление в ночное время (15060).</w:t>
      </w:r>
    </w:p>
    <w:p w14:paraId="618347A3" w14:textId="77777777" w:rsidR="00001948" w:rsidRPr="00F90EAE" w:rsidRDefault="00001948" w:rsidP="00F90EAE">
      <w:pPr>
        <w:jc w:val="both"/>
        <w:rPr>
          <w:color w:val="000000" w:themeColor="text1"/>
          <w:sz w:val="16"/>
          <w:szCs w:val="16"/>
        </w:rPr>
      </w:pPr>
    </w:p>
    <w:p w14:paraId="04601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6 по 21 марта 1945 были бои на Драве - правом притоке Дуная в ходе Балатонской операции. Участвовали 3УФ (Ф.И.Толбухин) и болгарские 1А и югославские 3А части (2438,218). По другим данным завершилась 15 марта 1945. Это была последняя оборонительная операция (3398,104).</w:t>
      </w:r>
    </w:p>
    <w:p w14:paraId="75D2270C" w14:textId="77777777" w:rsidR="00665165" w:rsidRPr="00F90EAE" w:rsidRDefault="00665165" w:rsidP="00F90EAE">
      <w:pPr>
        <w:autoSpaceDE w:val="0"/>
        <w:autoSpaceDN w:val="0"/>
        <w:adjustRightInd w:val="0"/>
        <w:jc w:val="both"/>
        <w:rPr>
          <w:color w:val="000000" w:themeColor="text1"/>
          <w:sz w:val="16"/>
          <w:szCs w:val="16"/>
        </w:rPr>
      </w:pPr>
    </w:p>
    <w:p w14:paraId="1A30E84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14BBB71" w14:textId="77777777" w:rsidR="00665165" w:rsidRPr="00F90EAE" w:rsidRDefault="00665165" w:rsidP="00F90EAE">
      <w:pPr>
        <w:autoSpaceDE w:val="0"/>
        <w:autoSpaceDN w:val="0"/>
        <w:adjustRightInd w:val="0"/>
        <w:jc w:val="both"/>
        <w:rPr>
          <w:iCs/>
          <w:color w:val="000000" w:themeColor="text1"/>
          <w:sz w:val="16"/>
          <w:szCs w:val="16"/>
        </w:rPr>
      </w:pPr>
    </w:p>
    <w:p w14:paraId="3162BB1D" w14:textId="77777777" w:rsidR="00094C32" w:rsidRPr="00F90EAE" w:rsidRDefault="00094C32" w:rsidP="00F90EAE">
      <w:pPr>
        <w:jc w:val="both"/>
        <w:rPr>
          <w:color w:val="000000" w:themeColor="text1"/>
          <w:sz w:val="16"/>
          <w:szCs w:val="16"/>
          <w:lang w:val="en-US"/>
        </w:rPr>
      </w:pPr>
      <w:r w:rsidRPr="00F90EAE">
        <w:rPr>
          <w:bCs/>
          <w:color w:val="000000" w:themeColor="text1"/>
          <w:sz w:val="16"/>
          <w:szCs w:val="16"/>
        </w:rPr>
        <w:t>6 марта</w:t>
      </w:r>
      <w:r w:rsidRPr="00F90EAE">
        <w:rPr>
          <w:color w:val="000000" w:themeColor="text1"/>
          <w:sz w:val="16"/>
          <w:szCs w:val="16"/>
        </w:rPr>
        <w:t xml:space="preserve"> в 1945 году очередная немецкая ракета "A-4"/SS-1/Scunner/ (Фау-2) пущенная по Антверпену полетела в другую сторону и угодила в в военный госпиталь на станции Tozefotraat. Врезультатебылоубито</w:t>
      </w:r>
      <w:r w:rsidRPr="00F90EAE">
        <w:rPr>
          <w:color w:val="000000" w:themeColor="text1"/>
          <w:sz w:val="16"/>
          <w:szCs w:val="16"/>
          <w:lang w:val="en-US"/>
        </w:rPr>
        <w:t xml:space="preserve"> 17 </w:t>
      </w:r>
      <w:r w:rsidRPr="00F90EAE">
        <w:rPr>
          <w:color w:val="000000" w:themeColor="text1"/>
          <w:sz w:val="16"/>
          <w:szCs w:val="16"/>
        </w:rPr>
        <w:t>солдати</w:t>
      </w:r>
      <w:r w:rsidRPr="00F90EAE">
        <w:rPr>
          <w:color w:val="000000" w:themeColor="text1"/>
          <w:sz w:val="16"/>
          <w:szCs w:val="16"/>
          <w:lang w:val="en-US"/>
        </w:rPr>
        <w:t xml:space="preserve"> 43 </w:t>
      </w:r>
      <w:r w:rsidRPr="00F90EAE">
        <w:rPr>
          <w:color w:val="000000" w:themeColor="text1"/>
          <w:sz w:val="16"/>
          <w:szCs w:val="16"/>
        </w:rPr>
        <w:t>ранено</w:t>
      </w:r>
      <w:r w:rsidRPr="00F90EAE">
        <w:rPr>
          <w:color w:val="000000" w:themeColor="text1"/>
          <w:sz w:val="16"/>
          <w:szCs w:val="16"/>
          <w:lang w:val="en-US"/>
        </w:rPr>
        <w:t xml:space="preserve"> (15060).</w:t>
      </w:r>
    </w:p>
    <w:p w14:paraId="33B111F1" w14:textId="77777777" w:rsidR="00094C32" w:rsidRPr="00F90EAE" w:rsidRDefault="00094C32" w:rsidP="00F90EAE">
      <w:pPr>
        <w:jc w:val="both"/>
        <w:rPr>
          <w:color w:val="000000" w:themeColor="text1"/>
          <w:sz w:val="16"/>
          <w:szCs w:val="16"/>
          <w:lang w:val="en-US"/>
        </w:rPr>
      </w:pPr>
    </w:p>
    <w:p w14:paraId="2B0A0C3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6th, 1945: Beginning of a German counter offensive toward the Drau river in Hungary. The US 8th Air Force launches a heavy attack against Chemnitz in Saxony. The US First Army captures Cologne on the west bank of the Rhine (3819).</w:t>
      </w:r>
    </w:p>
    <w:p w14:paraId="3B826BC6" w14:textId="77777777" w:rsidR="00665165" w:rsidRPr="00F90EAE" w:rsidRDefault="00665165" w:rsidP="00F90EAE">
      <w:pPr>
        <w:autoSpaceDE w:val="0"/>
        <w:autoSpaceDN w:val="0"/>
        <w:adjustRightInd w:val="0"/>
        <w:jc w:val="both"/>
        <w:rPr>
          <w:color w:val="000000" w:themeColor="text1"/>
          <w:sz w:val="16"/>
          <w:szCs w:val="16"/>
          <w:lang w:val="en-US"/>
        </w:rPr>
      </w:pPr>
    </w:p>
    <w:p w14:paraId="156D5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марта 1945 началось немецкое контрнаступление на Дунай в Венгрии. 8ВА США совершила налет на Чемниц в Саксонии. 1А США захватила Кельн (3819).</w:t>
      </w:r>
    </w:p>
    <w:p w14:paraId="1EF0E010" w14:textId="77777777" w:rsidR="00665165" w:rsidRPr="00F90EAE" w:rsidRDefault="00665165" w:rsidP="00F90EAE">
      <w:pPr>
        <w:autoSpaceDE w:val="0"/>
        <w:autoSpaceDN w:val="0"/>
        <w:adjustRightInd w:val="0"/>
        <w:jc w:val="both"/>
        <w:rPr>
          <w:color w:val="000000" w:themeColor="text1"/>
          <w:sz w:val="16"/>
          <w:szCs w:val="16"/>
        </w:rPr>
      </w:pPr>
    </w:p>
    <w:p w14:paraId="19D08428" w14:textId="77777777" w:rsidR="00094C32" w:rsidRPr="00F90EAE" w:rsidRDefault="00094C32" w:rsidP="00F90EAE">
      <w:pPr>
        <w:jc w:val="both"/>
        <w:rPr>
          <w:color w:val="000000" w:themeColor="text1"/>
          <w:sz w:val="16"/>
          <w:szCs w:val="16"/>
        </w:rPr>
      </w:pPr>
      <w:r w:rsidRPr="00F90EAE">
        <w:rPr>
          <w:bCs/>
          <w:color w:val="000000" w:themeColor="text1"/>
          <w:sz w:val="16"/>
          <w:szCs w:val="16"/>
        </w:rPr>
        <w:t>6 марта</w:t>
      </w:r>
      <w:r w:rsidRPr="00F90EAE">
        <w:rPr>
          <w:color w:val="000000" w:themeColor="text1"/>
          <w:sz w:val="16"/>
          <w:szCs w:val="16"/>
        </w:rPr>
        <w:t xml:space="preserve"> в 1945 году американские войска заняли город Кёльн (15060).</w:t>
      </w:r>
    </w:p>
    <w:p w14:paraId="6F6AAACD" w14:textId="77777777" w:rsidR="00094C32" w:rsidRPr="00F90EAE" w:rsidRDefault="00094C32" w:rsidP="00F90EAE">
      <w:pPr>
        <w:jc w:val="both"/>
        <w:rPr>
          <w:color w:val="000000" w:themeColor="text1"/>
          <w:sz w:val="16"/>
          <w:szCs w:val="16"/>
        </w:rPr>
      </w:pPr>
    </w:p>
    <w:p w14:paraId="6A27641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в Цюрихе тайно встретились личный помощник Гиммлера Карл Вольф и Аллен Даллас (4962).</w:t>
      </w:r>
    </w:p>
    <w:p w14:paraId="0438D79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3B3D65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марта 1945 голландскими бойцами Сопротивления совершена попытка убить генерального прокурора Голландии генерала СС Ханса Раутера (4962).</w:t>
      </w:r>
    </w:p>
    <w:p w14:paraId="75334F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C867746" w14:textId="77777777" w:rsidR="00094C32" w:rsidRPr="00F90EAE" w:rsidRDefault="00094C32" w:rsidP="00F90EAE">
      <w:pPr>
        <w:jc w:val="both"/>
        <w:rPr>
          <w:color w:val="000000" w:themeColor="text1"/>
          <w:sz w:val="16"/>
          <w:szCs w:val="16"/>
        </w:rPr>
      </w:pPr>
      <w:r w:rsidRPr="00F90EAE">
        <w:rPr>
          <w:bCs/>
          <w:color w:val="000000" w:themeColor="text1"/>
          <w:sz w:val="16"/>
          <w:szCs w:val="16"/>
        </w:rPr>
        <w:t>6 марта</w:t>
      </w:r>
      <w:r w:rsidRPr="00F90EAE">
        <w:rPr>
          <w:color w:val="000000" w:themeColor="text1"/>
          <w:sz w:val="16"/>
          <w:szCs w:val="16"/>
        </w:rPr>
        <w:t xml:space="preserve"> в 1945 году близ городка Апельдоорн, на севере Нидерландов, подпольщики попытались захватить немецкий грузовик с продовольствием. Совершенно случайно в атакованном грузовике оказался командующий силами СС в Нидерландах группенфюрер Ганс Раутер (Hanns Rauter), который был тяжело ранен в ходе нападения. В отместку немцы казнили 263 голандских заложника. После окончания войны, взятый в плен американцами Раутер, был выдан Нидерландам. В ходе суда в Гааге Раутер был признан виновным в военных преступлениях и приговорён к смертной казни. Приговор был приведён в исполнение в январе 1949-го (15060).</w:t>
      </w:r>
    </w:p>
    <w:p w14:paraId="5D9A9710" w14:textId="77777777" w:rsidR="00094C32" w:rsidRPr="00F90EAE" w:rsidRDefault="00094C32" w:rsidP="00F90EAE">
      <w:pPr>
        <w:jc w:val="both"/>
        <w:rPr>
          <w:color w:val="000000" w:themeColor="text1"/>
          <w:sz w:val="16"/>
          <w:szCs w:val="16"/>
        </w:rPr>
      </w:pPr>
    </w:p>
    <w:p w14:paraId="0EA22A7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E43CF0C" w14:textId="77777777" w:rsidR="00665165" w:rsidRPr="00F90EAE" w:rsidRDefault="00665165" w:rsidP="00F90EAE">
      <w:pPr>
        <w:autoSpaceDE w:val="0"/>
        <w:autoSpaceDN w:val="0"/>
        <w:adjustRightInd w:val="0"/>
        <w:jc w:val="both"/>
        <w:rPr>
          <w:iCs/>
          <w:color w:val="000000" w:themeColor="text1"/>
          <w:sz w:val="16"/>
          <w:szCs w:val="16"/>
        </w:rPr>
      </w:pPr>
    </w:p>
    <w:p w14:paraId="0A6B0B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марта 1945 Ильюшин до</w:t>
      </w:r>
      <w:r w:rsidRPr="00F90EAE">
        <w:rPr>
          <w:color w:val="000000" w:themeColor="text1"/>
          <w:sz w:val="16"/>
          <w:szCs w:val="16"/>
        </w:rPr>
        <w:softHyphen/>
        <w:t>ложил о завершении работ и гарантировал выпуск Ил-10 с уси</w:t>
      </w:r>
      <w:r w:rsidRPr="00F90EAE">
        <w:rPr>
          <w:color w:val="000000" w:themeColor="text1"/>
          <w:sz w:val="16"/>
          <w:szCs w:val="16"/>
        </w:rPr>
        <w:softHyphen/>
        <w:t>ленной конструкцией, начиная с первого самолета 7-й серии. Серьезную тревогу вызвала у военных выявленная в январе 1945 г. недостаточная прочность отдельных агрегатов Ил-10. При статиспытаниях в ЦАГИ произошло разрушение центро</w:t>
      </w:r>
      <w:r w:rsidRPr="00F90EAE">
        <w:rPr>
          <w:color w:val="000000" w:themeColor="text1"/>
          <w:sz w:val="16"/>
          <w:szCs w:val="16"/>
        </w:rPr>
        <w:softHyphen/>
        <w:t>плана самолета при 97% от расчетной нагрузки, а при нагрузке 99% от расчетной обнаружилась потеря устойчивости рам хво</w:t>
      </w:r>
      <w:r w:rsidRPr="00F90EAE">
        <w:rPr>
          <w:color w:val="000000" w:themeColor="text1"/>
          <w:sz w:val="16"/>
          <w:szCs w:val="16"/>
        </w:rPr>
        <w:softHyphen/>
        <w:t>стовой части фюзеляжа (№№ 12, 13, 14 и 13а). Очевидно, этот дефект был связан с «истребительным» про</w:t>
      </w:r>
      <w:r w:rsidRPr="00F90EAE">
        <w:rPr>
          <w:color w:val="000000" w:themeColor="text1"/>
          <w:sz w:val="16"/>
          <w:szCs w:val="16"/>
        </w:rPr>
        <w:softHyphen/>
        <w:t>шлым Ил-10. При переделке Ил-1 в штурмовик вес самолета уве</w:t>
      </w:r>
      <w:r w:rsidRPr="00F90EAE">
        <w:rPr>
          <w:color w:val="000000" w:themeColor="text1"/>
          <w:sz w:val="16"/>
          <w:szCs w:val="16"/>
        </w:rPr>
        <w:softHyphen/>
        <w:t>личился и, кроме этого, в центроплане сделали вырезы под бом-болюки. В результате прочность крыла снизилась. ОКБ в авраль</w:t>
      </w:r>
      <w:r w:rsidRPr="00F90EAE">
        <w:rPr>
          <w:color w:val="000000" w:themeColor="text1"/>
          <w:sz w:val="16"/>
          <w:szCs w:val="16"/>
        </w:rPr>
        <w:softHyphen/>
        <w:t>ном порядке занялось разработкой комплекса мероприятий по усилению конструкции самолета (11474,510).</w:t>
      </w:r>
    </w:p>
    <w:p w14:paraId="47B553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56C4E6"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К началу марта 1945 удалось завершить первый наземный этап заводских испытаний ВУ-9 с БТ-20 на самолете Ил-10.</w:t>
      </w:r>
    </w:p>
    <w:p w14:paraId="25CC6ADF"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Оказалось, что поставленные на завод 172 пушки БТ -20 «на установке ВУ-9 без дополнительного подтяга ленты не работают». Все эти пушки имели большое количество задержек - переброс патрона через нижний фиксатор затвора (на газогенераторе с диаметром 5,4, 4,5 и 4 мм) и недоход с шептала подвижных частей в переднее положение.</w:t>
      </w:r>
    </w:p>
    <w:p w14:paraId="2E2CB325"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Задержку переброс патрона представители завода № 74 НКВ устранили довольно быстро - поставили дополнительную пружину фиксатора, а вот с недоходом возились долго, но справиться так и не удалось. Применение «возвратной пружины с максимальным весом 69 кг» привело к положительному результату, но только для пушек «с тягой ленты в 45 патронов». На заводе таких пушек имелось всего четыре штуки. Остальные были приняты «военным представителем завода № 74 НКВ с тягой ленты в 25 патронов», и «жесткости новой пружины» уже не хватало для обеспечения автоматической стрельбы.</w:t>
      </w:r>
    </w:p>
    <w:p w14:paraId="03E16CE2" w14:textId="77777777" w:rsidR="00DD401F" w:rsidRPr="00F90EAE" w:rsidRDefault="00DD401F"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Подвижная установка ВУ-9 также не отличалась надежностью и живучестью в работе. Имели место заклинения звеньев в звеньеотводе («на 2000 выстрелов из 4 пушек было 17 задержек по заклинению звеньев в звеньеотводе»). Для нормальной работы фиксирующих пальцев приемника пушки в ходе испытаний потребовалось переделать перемычку горловины рукава питания, но после этого горловина рукава на одной пушке разрушилась уже на 500-м выстреле, а на другой - на 2520-м выстреле. Кроме этого, при стрельбе выскочил горизонтальный шарикоподшипник (над стопором), поломалась шестерня механизма стабилизации, постоянно выворачивался так называемый полюсный болт (или осевой болт), установка от тряски срывалась со стопора уже после одной-двух очередей средней длины.</w:t>
      </w:r>
    </w:p>
    <w:p w14:paraId="7A1AD6CA"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Одна доработанная пушка (при диаметре газового регулятора 3,5 мм) была отстреляна в воздухе 750 выстрелами. По вине пушки была только одна задержка (пропуск в подаче ленты), а по вине установки - 17 задержек (все по причине заклинения звеньев в звеньеотводе). После постановки в звеньеотводе пружинящей пластинки из нержавеющей стали толщиной 3 мм и размерами 50^30 мм заклинения звеньев в звеньеотводе прекратились.</w:t>
      </w:r>
    </w:p>
    <w:p w14:paraId="72AF0887"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Поступившие в марте на завод № 18 пушки БТ-20 выпуска февраля 1945 года завода № 74 НКВ при отстрелах на установке ВУ-9 давали сплошные задержки по причине переброса патрона через фиксатор и потери патрона извлекателем.</w:t>
      </w:r>
    </w:p>
    <w:p w14:paraId="3FE71AB4"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Несмотря на полученные в ходе испытаний вполне обнадеживающие результаты, пушку БТ-20 и установку ВУ-9 все же признали «подлежащими специальной доводке на заводе № 74 НКВ и заводе № 454».</w:t>
      </w:r>
    </w:p>
    <w:p w14:paraId="1FF84861"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lastRenderedPageBreak/>
        <w:t>«Пушки требуют дополнительных испытаний, так как безотказной стрельбы на них можно добиться лишь при газорегуляторе 4 и 3,5 мм, что не обеспечивает их регулировки при эксплуатации», - отмечалось в докладе от 5 апреля помощника военпреда на заводе № 18 инженер-капитана Никулина районному инженеру 1-го отдела ГУ ИАС ВВС инженер-полковнику Трекину (17481).</w:t>
      </w:r>
    </w:p>
    <w:p w14:paraId="12FD74AD" w14:textId="77777777" w:rsidR="00DD401F" w:rsidRPr="00F90EAE" w:rsidRDefault="00DD401F" w:rsidP="00F90EAE">
      <w:pPr>
        <w:jc w:val="both"/>
        <w:rPr>
          <w:color w:val="000000" w:themeColor="text1"/>
          <w:sz w:val="16"/>
          <w:szCs w:val="16"/>
        </w:rPr>
      </w:pPr>
    </w:p>
    <w:p w14:paraId="2071D69C"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начале марта 1945 г. в части 1-й и 4-й ВА направили инженера-подполковника А.К. Огилько. Его задачей являлось ознакомить</w:t>
      </w:r>
      <w:r w:rsidRPr="00F90EAE">
        <w:rPr>
          <w:rFonts w:ascii="Times New Roman" w:cs="Times New Roman"/>
          <w:color w:val="000000" w:themeColor="text1"/>
          <w:spacing w:val="0"/>
        </w:rPr>
        <w:softHyphen/>
        <w:t>ся с результатами боевой работы самолетов Ил-2 с дополнительным бронированием воз</w:t>
      </w:r>
      <w:r w:rsidRPr="00F90EAE">
        <w:rPr>
          <w:rFonts w:ascii="Times New Roman" w:cs="Times New Roman"/>
          <w:color w:val="000000" w:themeColor="text1"/>
          <w:spacing w:val="0"/>
        </w:rPr>
        <w:softHyphen/>
        <w:t>душного стрелка по полевому варианту завода N"30 с целью решения вопроса о целесообраз</w:t>
      </w:r>
      <w:r w:rsidRPr="00F90EAE">
        <w:rPr>
          <w:rFonts w:ascii="Times New Roman" w:cs="Times New Roman"/>
          <w:color w:val="000000" w:themeColor="text1"/>
          <w:spacing w:val="0"/>
        </w:rPr>
        <w:softHyphen/>
        <w:t>ности установки дополнительной брони на все штурмовики этого типа в строевых частях (17478).</w:t>
      </w:r>
    </w:p>
    <w:p w14:paraId="4A42D645"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p>
    <w:p w14:paraId="0122E6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марта 1945 года Начальник УТЭ ВВС КА генерал-лейтенант ИАС Ф.Н. Шульговский докладывал статистику по дефектам самолетов и моторов ВВС КА за 1944 год:</w:t>
      </w:r>
    </w:p>
    <w:p w14:paraId="32EC5A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мотору АШ-82Ф и ФН:</w:t>
      </w:r>
    </w:p>
    <w:p w14:paraId="306041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Выработка и поломка поршне</w:t>
      </w:r>
      <w:r w:rsidRPr="00F90EAE">
        <w:rPr>
          <w:color w:val="000000" w:themeColor="text1"/>
          <w:sz w:val="16"/>
          <w:szCs w:val="16"/>
        </w:rPr>
        <w:softHyphen/>
        <w:t>вых колец и ступенчатая выработка цилиндров.</w:t>
      </w:r>
    </w:p>
    <w:p w14:paraId="77BD7A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было 882 случая, в резуль</w:t>
      </w:r>
      <w:r w:rsidRPr="00F90EAE">
        <w:rPr>
          <w:color w:val="000000" w:themeColor="text1"/>
          <w:sz w:val="16"/>
          <w:szCs w:val="16"/>
        </w:rPr>
        <w:softHyphen/>
        <w:t>тате чего произошло:</w:t>
      </w:r>
    </w:p>
    <w:p w14:paraId="3B1206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аварий самолетов - 5,</w:t>
      </w:r>
    </w:p>
    <w:p w14:paraId="3D8434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аварий моторов - 188,</w:t>
      </w:r>
    </w:p>
    <w:p w14:paraId="13E9B2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поломок и вынужденных посадок самолетов - 17,</w:t>
      </w:r>
    </w:p>
    <w:p w14:paraId="07671F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простои и потери боеготовности - 672.</w:t>
      </w:r>
    </w:p>
    <w:p w14:paraId="1A2405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заводам этот дефект распре</w:t>
      </w:r>
      <w:r w:rsidRPr="00F90EAE">
        <w:rPr>
          <w:color w:val="000000" w:themeColor="text1"/>
          <w:sz w:val="16"/>
          <w:szCs w:val="16"/>
        </w:rPr>
        <w:softHyphen/>
        <w:t>деляется следующим образом:</w:t>
      </w:r>
    </w:p>
    <w:p w14:paraId="730028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№19-845,</w:t>
      </w:r>
    </w:p>
    <w:p w14:paraId="681F71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№29 - 37.</w:t>
      </w:r>
    </w:p>
    <w:p w14:paraId="194C47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количество случаев этого дефекта в течение года всё увеличивалось. Так, напри</w:t>
      </w:r>
      <w:r w:rsidRPr="00F90EAE">
        <w:rPr>
          <w:color w:val="000000" w:themeColor="text1"/>
          <w:sz w:val="16"/>
          <w:szCs w:val="16"/>
        </w:rPr>
        <w:softHyphen/>
        <w:t>мер:</w:t>
      </w:r>
    </w:p>
    <w:p w14:paraId="1E4F01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январе было 13 случаев</w:t>
      </w:r>
    </w:p>
    <w:p w14:paraId="57FCA9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феврале 7</w:t>
      </w:r>
    </w:p>
    <w:p w14:paraId="131228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10</w:t>
      </w:r>
    </w:p>
    <w:p w14:paraId="3A9E00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12</w:t>
      </w:r>
    </w:p>
    <w:p w14:paraId="5A7F66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40</w:t>
      </w:r>
    </w:p>
    <w:p w14:paraId="6487D5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24</w:t>
      </w:r>
    </w:p>
    <w:p w14:paraId="4A26EF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июле 132</w:t>
      </w:r>
    </w:p>
    <w:p w14:paraId="52CCDA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августе 77</w:t>
      </w:r>
    </w:p>
    <w:p w14:paraId="17E3C1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сентябре 99</w:t>
      </w:r>
    </w:p>
    <w:p w14:paraId="17930A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октябре 174</w:t>
      </w:r>
    </w:p>
    <w:p w14:paraId="7F0E1C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ноябре 112</w:t>
      </w:r>
    </w:p>
    <w:p w14:paraId="5B6BA3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декабре 190</w:t>
      </w:r>
    </w:p>
    <w:p w14:paraId="4B5CD2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Дефект этот является следствием грубых нарушений технологии про</w:t>
      </w:r>
      <w:r w:rsidRPr="00F90EAE">
        <w:rPr>
          <w:color w:val="000000" w:themeColor="text1"/>
          <w:sz w:val="16"/>
          <w:szCs w:val="16"/>
        </w:rPr>
        <w:softHyphen/>
        <w:t>изводства гильз цилиндров (нерав</w:t>
      </w:r>
      <w:r w:rsidRPr="00F90EAE">
        <w:rPr>
          <w:color w:val="000000" w:themeColor="text1"/>
          <w:sz w:val="16"/>
          <w:szCs w:val="16"/>
        </w:rPr>
        <w:softHyphen/>
        <w:t>номерный и недостаточный слой азотации, пониженная твердость, сер</w:t>
      </w:r>
      <w:r w:rsidRPr="00F90EAE">
        <w:rPr>
          <w:color w:val="000000" w:themeColor="text1"/>
          <w:sz w:val="16"/>
          <w:szCs w:val="16"/>
        </w:rPr>
        <w:softHyphen/>
        <w:t>нистые включения) и плохого устрой</w:t>
      </w:r>
      <w:r w:rsidRPr="00F90EAE">
        <w:rPr>
          <w:color w:val="000000" w:themeColor="text1"/>
          <w:sz w:val="16"/>
          <w:szCs w:val="16"/>
        </w:rPr>
        <w:softHyphen/>
        <w:t>ства фильтра и воздухоприемника на самолете Ла-7» (10730).</w:t>
      </w:r>
    </w:p>
    <w:p w14:paraId="4308DD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Других дефектов на моторах АШ-82ФН было гораздо меньше:</w:t>
      </w:r>
    </w:p>
    <w:p w14:paraId="462FED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прогар, обрыв и заедание клапа</w:t>
      </w:r>
      <w:r w:rsidRPr="00F90EAE">
        <w:rPr>
          <w:color w:val="000000" w:themeColor="text1"/>
          <w:sz w:val="16"/>
          <w:szCs w:val="16"/>
        </w:rPr>
        <w:softHyphen/>
        <w:t>нов - 172 случая,</w:t>
      </w:r>
    </w:p>
    <w:p w14:paraId="37ACF2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поломка клапанных пружин - 75 случаев,</w:t>
      </w:r>
    </w:p>
    <w:p w14:paraId="00E04B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износ и разрушение направляю</w:t>
      </w:r>
      <w:r w:rsidRPr="00F90EAE">
        <w:rPr>
          <w:color w:val="000000" w:themeColor="text1"/>
          <w:sz w:val="16"/>
          <w:szCs w:val="16"/>
        </w:rPr>
        <w:softHyphen/>
        <w:t>щих втулок клапанов, разрушение седел клапанов - 82 случая,</w:t>
      </w:r>
    </w:p>
    <w:p w14:paraId="37C32B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обрывы шатунов - 67 случаев,</w:t>
      </w:r>
    </w:p>
    <w:p w14:paraId="555A1B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поломки валиков: переходников привода агрегата НБ-ЗУ, привода к масло- и бензопомпам, привода к ге</w:t>
      </w:r>
      <w:r w:rsidRPr="00F90EAE">
        <w:rPr>
          <w:color w:val="000000" w:themeColor="text1"/>
          <w:sz w:val="16"/>
          <w:szCs w:val="16"/>
        </w:rPr>
        <w:softHyphen/>
        <w:t>нератору - 188 случаев (10730).</w:t>
      </w:r>
    </w:p>
    <w:p w14:paraId="7CEB6C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ACC4C7" w14:textId="77777777" w:rsidR="00001948" w:rsidRPr="00F90EAE" w:rsidRDefault="00001948" w:rsidP="00F90EAE">
      <w:pPr>
        <w:jc w:val="both"/>
        <w:rPr>
          <w:color w:val="000000" w:themeColor="text1"/>
          <w:sz w:val="16"/>
          <w:szCs w:val="16"/>
        </w:rPr>
      </w:pPr>
      <w:r w:rsidRPr="00F90EAE">
        <w:rPr>
          <w:color w:val="000000" w:themeColor="text1"/>
          <w:sz w:val="16"/>
          <w:szCs w:val="16"/>
        </w:rPr>
        <w:t>В начале марта 1945 г. докладывал статистику по дефектам самолётов и моторов ВВС КА за 1944 год:</w:t>
      </w:r>
    </w:p>
    <w:p w14:paraId="7506054B" w14:textId="77777777" w:rsidR="00001948" w:rsidRPr="00F90EAE" w:rsidRDefault="00001948" w:rsidP="00F90EAE">
      <w:pPr>
        <w:jc w:val="both"/>
        <w:rPr>
          <w:color w:val="000000" w:themeColor="text1"/>
          <w:sz w:val="16"/>
          <w:szCs w:val="16"/>
        </w:rPr>
      </w:pPr>
      <w:r w:rsidRPr="00F90EAE">
        <w:rPr>
          <w:color w:val="000000" w:themeColor="text1"/>
          <w:sz w:val="16"/>
          <w:szCs w:val="16"/>
        </w:rPr>
        <w:t>«По мотору АШ-82Ф и ФН:</w:t>
      </w:r>
    </w:p>
    <w:p w14:paraId="030609F5" w14:textId="77777777" w:rsidR="00001948" w:rsidRPr="00F90EAE" w:rsidRDefault="00001948" w:rsidP="00F90EAE">
      <w:pPr>
        <w:tabs>
          <w:tab w:val="left" w:pos="5146"/>
        </w:tabs>
        <w:jc w:val="both"/>
        <w:rPr>
          <w:color w:val="000000" w:themeColor="text1"/>
          <w:sz w:val="16"/>
          <w:szCs w:val="16"/>
        </w:rPr>
      </w:pPr>
      <w:r w:rsidRPr="00F90EAE">
        <w:rPr>
          <w:color w:val="000000" w:themeColor="text1"/>
          <w:sz w:val="16"/>
          <w:szCs w:val="16"/>
        </w:rPr>
        <w:t>1. Выработка и поломка поршневых колец и ступенчатая выработка цилиндров. Все</w:t>
      </w:r>
      <w:r w:rsidRPr="00F90EAE">
        <w:rPr>
          <w:color w:val="000000" w:themeColor="text1"/>
          <w:sz w:val="16"/>
          <w:szCs w:val="16"/>
        </w:rPr>
        <w:softHyphen/>
        <w:t>го было 882 случая, в результате чего произошло:</w:t>
      </w:r>
    </w:p>
    <w:p w14:paraId="19B8AB49" w14:textId="77777777" w:rsidR="00001948" w:rsidRPr="00F90EAE" w:rsidRDefault="00001948" w:rsidP="00F90EAE">
      <w:pPr>
        <w:tabs>
          <w:tab w:val="left" w:pos="5146"/>
        </w:tabs>
        <w:jc w:val="both"/>
        <w:rPr>
          <w:color w:val="000000" w:themeColor="text1"/>
          <w:sz w:val="16"/>
          <w:szCs w:val="16"/>
        </w:rPr>
      </w:pPr>
      <w:r w:rsidRPr="00F90EAE">
        <w:rPr>
          <w:color w:val="000000" w:themeColor="text1"/>
          <w:sz w:val="16"/>
          <w:szCs w:val="16"/>
        </w:rPr>
        <w:t>аварий самолётов</w:t>
      </w:r>
      <w:r w:rsidRPr="00F90EAE">
        <w:rPr>
          <w:color w:val="000000" w:themeColor="text1"/>
          <w:sz w:val="16"/>
          <w:szCs w:val="16"/>
        </w:rPr>
        <w:tab/>
        <w:t>— 5,</w:t>
      </w:r>
    </w:p>
    <w:p w14:paraId="5C8FDA99" w14:textId="77777777" w:rsidR="00001948" w:rsidRPr="00F90EAE" w:rsidRDefault="00001948" w:rsidP="00F90EAE">
      <w:pPr>
        <w:tabs>
          <w:tab w:val="left" w:pos="4983"/>
        </w:tabs>
        <w:jc w:val="both"/>
        <w:rPr>
          <w:color w:val="000000" w:themeColor="text1"/>
          <w:sz w:val="16"/>
          <w:szCs w:val="16"/>
        </w:rPr>
      </w:pPr>
      <w:r w:rsidRPr="00F90EAE">
        <w:rPr>
          <w:color w:val="000000" w:themeColor="text1"/>
          <w:sz w:val="16"/>
          <w:szCs w:val="16"/>
        </w:rPr>
        <w:t>аварий моторов</w:t>
      </w:r>
      <w:r w:rsidRPr="00F90EAE">
        <w:rPr>
          <w:color w:val="000000" w:themeColor="text1"/>
          <w:sz w:val="16"/>
          <w:szCs w:val="16"/>
        </w:rPr>
        <w:tab/>
        <w:t>— 188,</w:t>
      </w:r>
    </w:p>
    <w:p w14:paraId="15C21094" w14:textId="77777777" w:rsidR="00001948" w:rsidRPr="00F90EAE" w:rsidRDefault="00001948" w:rsidP="00F90EAE">
      <w:pPr>
        <w:tabs>
          <w:tab w:val="left" w:pos="4974"/>
        </w:tabs>
        <w:jc w:val="both"/>
        <w:rPr>
          <w:color w:val="000000" w:themeColor="text1"/>
          <w:sz w:val="16"/>
          <w:szCs w:val="16"/>
        </w:rPr>
      </w:pPr>
      <w:r w:rsidRPr="00F90EAE">
        <w:rPr>
          <w:color w:val="000000" w:themeColor="text1"/>
          <w:sz w:val="16"/>
          <w:szCs w:val="16"/>
        </w:rPr>
        <w:t>поломок и вынужденных посадок самолётов</w:t>
      </w:r>
      <w:r w:rsidRPr="00F90EAE">
        <w:rPr>
          <w:color w:val="000000" w:themeColor="text1"/>
          <w:sz w:val="16"/>
          <w:szCs w:val="16"/>
        </w:rPr>
        <w:tab/>
        <w:t>— 17,</w:t>
      </w:r>
    </w:p>
    <w:p w14:paraId="5102ADF2" w14:textId="77777777" w:rsidR="00001948" w:rsidRPr="00F90EAE" w:rsidRDefault="00001948" w:rsidP="00F90EAE">
      <w:pPr>
        <w:tabs>
          <w:tab w:val="left" w:pos="4978"/>
        </w:tabs>
        <w:jc w:val="both"/>
        <w:rPr>
          <w:color w:val="000000" w:themeColor="text1"/>
          <w:sz w:val="16"/>
          <w:szCs w:val="16"/>
        </w:rPr>
      </w:pPr>
      <w:r w:rsidRPr="00F90EAE">
        <w:rPr>
          <w:color w:val="000000" w:themeColor="text1"/>
          <w:sz w:val="16"/>
          <w:szCs w:val="16"/>
        </w:rPr>
        <w:t>простои и потери боеготовности</w:t>
      </w:r>
      <w:r w:rsidRPr="00F90EAE">
        <w:rPr>
          <w:color w:val="000000" w:themeColor="text1"/>
          <w:sz w:val="16"/>
          <w:szCs w:val="16"/>
        </w:rPr>
        <w:tab/>
        <w:t>— 672.</w:t>
      </w:r>
    </w:p>
    <w:p w14:paraId="6ED7EEE2" w14:textId="77777777" w:rsidR="00001948" w:rsidRPr="00F90EAE" w:rsidRDefault="00001948" w:rsidP="00F90EAE">
      <w:pPr>
        <w:tabs>
          <w:tab w:val="left" w:pos="4983"/>
        </w:tabs>
        <w:jc w:val="both"/>
        <w:rPr>
          <w:color w:val="000000" w:themeColor="text1"/>
          <w:sz w:val="16"/>
          <w:szCs w:val="16"/>
        </w:rPr>
      </w:pPr>
      <w:r w:rsidRPr="00F90EAE">
        <w:rPr>
          <w:color w:val="000000" w:themeColor="text1"/>
          <w:sz w:val="16"/>
          <w:szCs w:val="16"/>
        </w:rPr>
        <w:t>По заводам этот дефект распределяется следующим образом:</w:t>
      </w:r>
    </w:p>
    <w:p w14:paraId="6CF4495D" w14:textId="77777777" w:rsidR="00001948" w:rsidRPr="00F90EAE" w:rsidRDefault="00001948" w:rsidP="00F90EAE">
      <w:pPr>
        <w:tabs>
          <w:tab w:val="left" w:pos="4983"/>
        </w:tabs>
        <w:jc w:val="both"/>
        <w:rPr>
          <w:color w:val="000000" w:themeColor="text1"/>
          <w:sz w:val="16"/>
          <w:szCs w:val="16"/>
        </w:rPr>
      </w:pPr>
      <w:r w:rsidRPr="00F90EAE">
        <w:rPr>
          <w:color w:val="000000" w:themeColor="text1"/>
          <w:sz w:val="16"/>
          <w:szCs w:val="16"/>
        </w:rPr>
        <w:t>завод № 19</w:t>
      </w:r>
      <w:r w:rsidRPr="00F90EAE">
        <w:rPr>
          <w:color w:val="000000" w:themeColor="text1"/>
          <w:sz w:val="16"/>
          <w:szCs w:val="16"/>
        </w:rPr>
        <w:tab/>
        <w:t>—845,</w:t>
      </w:r>
    </w:p>
    <w:p w14:paraId="72AF58F6" w14:textId="77777777" w:rsidR="00001948" w:rsidRPr="00F90EAE" w:rsidRDefault="00001948" w:rsidP="00F90EAE">
      <w:pPr>
        <w:tabs>
          <w:tab w:val="left" w:pos="4983"/>
        </w:tabs>
        <w:jc w:val="both"/>
        <w:rPr>
          <w:color w:val="000000" w:themeColor="text1"/>
          <w:sz w:val="16"/>
          <w:szCs w:val="16"/>
        </w:rPr>
      </w:pPr>
      <w:r w:rsidRPr="00F90EAE">
        <w:rPr>
          <w:color w:val="000000" w:themeColor="text1"/>
          <w:sz w:val="16"/>
          <w:szCs w:val="16"/>
        </w:rPr>
        <w:t>завод N° 29</w:t>
      </w:r>
      <w:r w:rsidRPr="00F90EAE">
        <w:rPr>
          <w:color w:val="000000" w:themeColor="text1"/>
          <w:sz w:val="16"/>
          <w:szCs w:val="16"/>
        </w:rPr>
        <w:tab/>
        <w:t>— 37.</w:t>
      </w:r>
    </w:p>
    <w:p w14:paraId="4BF4D006" w14:textId="77777777" w:rsidR="00001948" w:rsidRPr="00F90EAE" w:rsidRDefault="00001948" w:rsidP="00F90EAE">
      <w:pPr>
        <w:tabs>
          <w:tab w:val="left" w:pos="6615"/>
        </w:tabs>
        <w:jc w:val="both"/>
        <w:rPr>
          <w:color w:val="000000" w:themeColor="text1"/>
          <w:sz w:val="16"/>
          <w:szCs w:val="16"/>
        </w:rPr>
      </w:pPr>
      <w:r w:rsidRPr="00F90EAE">
        <w:rPr>
          <w:color w:val="000000" w:themeColor="text1"/>
          <w:sz w:val="16"/>
          <w:szCs w:val="16"/>
        </w:rPr>
        <w:t>Следует отметить, что количество случаев этого дефекта в течение года всё увели</w:t>
      </w:r>
      <w:r w:rsidRPr="00F90EAE">
        <w:rPr>
          <w:color w:val="000000" w:themeColor="text1"/>
          <w:sz w:val="16"/>
          <w:szCs w:val="16"/>
        </w:rPr>
        <w:softHyphen/>
        <w:t>чивалось. Так, например:</w:t>
      </w:r>
    </w:p>
    <w:p w14:paraId="09DD5D5C" w14:textId="77777777" w:rsidR="00001948" w:rsidRPr="00F90EAE" w:rsidRDefault="00001948" w:rsidP="00F90EAE">
      <w:pPr>
        <w:tabs>
          <w:tab w:val="left" w:pos="6615"/>
        </w:tabs>
        <w:jc w:val="both"/>
        <w:rPr>
          <w:color w:val="000000" w:themeColor="text1"/>
          <w:sz w:val="16"/>
          <w:szCs w:val="16"/>
        </w:rPr>
      </w:pPr>
      <w:r w:rsidRPr="00F90EAE">
        <w:rPr>
          <w:color w:val="000000" w:themeColor="text1"/>
          <w:sz w:val="16"/>
          <w:szCs w:val="16"/>
        </w:rPr>
        <w:t xml:space="preserve">в январе было </w:t>
      </w:r>
      <w:r w:rsidRPr="00F90EAE">
        <w:rPr>
          <w:color w:val="000000" w:themeColor="text1"/>
          <w:sz w:val="16"/>
          <w:szCs w:val="16"/>
        </w:rPr>
        <w:tab/>
        <w:t>13 случаев</w:t>
      </w:r>
    </w:p>
    <w:p w14:paraId="0C534A79" w14:textId="77777777" w:rsidR="00001948" w:rsidRPr="00F90EAE" w:rsidRDefault="00001948" w:rsidP="00F90EAE">
      <w:pPr>
        <w:tabs>
          <w:tab w:val="left" w:pos="6615"/>
        </w:tabs>
        <w:jc w:val="both"/>
        <w:rPr>
          <w:color w:val="000000" w:themeColor="text1"/>
          <w:sz w:val="16"/>
          <w:szCs w:val="16"/>
        </w:rPr>
      </w:pPr>
      <w:r w:rsidRPr="00F90EAE">
        <w:rPr>
          <w:color w:val="000000" w:themeColor="text1"/>
          <w:sz w:val="16"/>
          <w:szCs w:val="16"/>
        </w:rPr>
        <w:t>в феврале</w:t>
      </w:r>
      <w:r w:rsidRPr="00F90EAE">
        <w:rPr>
          <w:color w:val="000000" w:themeColor="text1"/>
          <w:sz w:val="16"/>
          <w:szCs w:val="16"/>
        </w:rPr>
        <w:tab/>
        <w:t xml:space="preserve">7 </w:t>
      </w:r>
    </w:p>
    <w:p w14:paraId="725CB256" w14:textId="77777777" w:rsidR="00001948" w:rsidRPr="00F90EAE" w:rsidRDefault="00001948" w:rsidP="00F90EAE">
      <w:pPr>
        <w:tabs>
          <w:tab w:val="left" w:pos="6615"/>
        </w:tabs>
        <w:jc w:val="both"/>
        <w:rPr>
          <w:color w:val="000000" w:themeColor="text1"/>
          <w:sz w:val="16"/>
          <w:szCs w:val="16"/>
        </w:rPr>
      </w:pPr>
      <w:r w:rsidRPr="00F90EAE">
        <w:rPr>
          <w:color w:val="000000" w:themeColor="text1"/>
          <w:sz w:val="16"/>
          <w:szCs w:val="16"/>
        </w:rPr>
        <w:t>в марте</w:t>
      </w:r>
      <w:r w:rsidRPr="00F90EAE">
        <w:rPr>
          <w:color w:val="000000" w:themeColor="text1"/>
          <w:sz w:val="16"/>
          <w:szCs w:val="16"/>
        </w:rPr>
        <w:tab/>
        <w:t>10</w:t>
      </w:r>
    </w:p>
    <w:p w14:paraId="693277CA" w14:textId="77777777" w:rsidR="00001948" w:rsidRPr="00F90EAE" w:rsidRDefault="00001948" w:rsidP="00F90EAE">
      <w:pPr>
        <w:tabs>
          <w:tab w:val="left" w:pos="1676"/>
          <w:tab w:val="left" w:pos="2838"/>
          <w:tab w:val="left" w:pos="4268"/>
          <w:tab w:val="left" w:pos="6428"/>
        </w:tabs>
        <w:jc w:val="both"/>
        <w:rPr>
          <w:color w:val="000000" w:themeColor="text1"/>
          <w:sz w:val="16"/>
          <w:szCs w:val="16"/>
        </w:rPr>
      </w:pPr>
      <w:r w:rsidRPr="00F90EAE">
        <w:rPr>
          <w:color w:val="000000" w:themeColor="text1"/>
          <w:sz w:val="16"/>
          <w:szCs w:val="16"/>
        </w:rPr>
        <w:t>в апреле</w:t>
      </w:r>
      <w:r w:rsidRPr="00F90EAE">
        <w:rPr>
          <w:color w:val="000000" w:themeColor="text1"/>
          <w:sz w:val="16"/>
          <w:szCs w:val="16"/>
        </w:rPr>
        <w:tab/>
        <w:t>12</w:t>
      </w:r>
    </w:p>
    <w:p w14:paraId="502A659C" w14:textId="77777777" w:rsidR="00001948" w:rsidRPr="00F90EAE" w:rsidRDefault="00001948" w:rsidP="00F90EAE">
      <w:pPr>
        <w:tabs>
          <w:tab w:val="left" w:pos="1676"/>
          <w:tab w:val="left" w:pos="2838"/>
          <w:tab w:val="left" w:pos="4268"/>
          <w:tab w:val="left" w:pos="6428"/>
        </w:tabs>
        <w:jc w:val="both"/>
        <w:rPr>
          <w:color w:val="000000" w:themeColor="text1"/>
          <w:sz w:val="16"/>
          <w:szCs w:val="16"/>
        </w:rPr>
      </w:pPr>
      <w:r w:rsidRPr="00F90EAE">
        <w:rPr>
          <w:color w:val="000000" w:themeColor="text1"/>
          <w:sz w:val="16"/>
          <w:szCs w:val="16"/>
        </w:rPr>
        <w:t>в мае</w:t>
      </w:r>
      <w:r w:rsidRPr="00F90EAE">
        <w:rPr>
          <w:color w:val="000000" w:themeColor="text1"/>
          <w:sz w:val="16"/>
          <w:szCs w:val="16"/>
        </w:rPr>
        <w:tab/>
        <w:t xml:space="preserve">40 </w:t>
      </w:r>
    </w:p>
    <w:p w14:paraId="0588FABA" w14:textId="77777777" w:rsidR="00001948" w:rsidRPr="00F90EAE" w:rsidRDefault="00001948" w:rsidP="00F90EAE">
      <w:pPr>
        <w:tabs>
          <w:tab w:val="left" w:pos="1676"/>
          <w:tab w:val="left" w:pos="2838"/>
          <w:tab w:val="left" w:pos="4268"/>
          <w:tab w:val="left" w:pos="6428"/>
        </w:tabs>
        <w:jc w:val="both"/>
        <w:rPr>
          <w:color w:val="000000" w:themeColor="text1"/>
          <w:sz w:val="16"/>
          <w:szCs w:val="16"/>
        </w:rPr>
      </w:pPr>
      <w:r w:rsidRPr="00F90EAE">
        <w:rPr>
          <w:color w:val="000000" w:themeColor="text1"/>
          <w:sz w:val="16"/>
          <w:szCs w:val="16"/>
        </w:rPr>
        <w:t>в июне</w:t>
      </w:r>
      <w:r w:rsidRPr="00F90EAE">
        <w:rPr>
          <w:color w:val="000000" w:themeColor="text1"/>
          <w:sz w:val="16"/>
          <w:szCs w:val="16"/>
        </w:rPr>
        <w:tab/>
        <w:t>24</w:t>
      </w:r>
    </w:p>
    <w:p w14:paraId="73075801" w14:textId="77777777" w:rsidR="00001948" w:rsidRPr="00F90EAE" w:rsidRDefault="00001948" w:rsidP="00F90EAE">
      <w:pPr>
        <w:tabs>
          <w:tab w:val="left" w:pos="1676"/>
          <w:tab w:val="left" w:pos="2838"/>
        </w:tabs>
        <w:jc w:val="both"/>
        <w:rPr>
          <w:color w:val="000000" w:themeColor="text1"/>
          <w:sz w:val="16"/>
          <w:szCs w:val="16"/>
        </w:rPr>
      </w:pPr>
      <w:r w:rsidRPr="00F90EAE">
        <w:rPr>
          <w:color w:val="000000" w:themeColor="text1"/>
          <w:sz w:val="16"/>
          <w:szCs w:val="16"/>
        </w:rPr>
        <w:t>в июле</w:t>
      </w:r>
      <w:r w:rsidRPr="00F90EAE">
        <w:rPr>
          <w:color w:val="000000" w:themeColor="text1"/>
          <w:sz w:val="16"/>
          <w:szCs w:val="16"/>
        </w:rPr>
        <w:tab/>
        <w:t>132</w:t>
      </w:r>
    </w:p>
    <w:p w14:paraId="7BC82588" w14:textId="77777777" w:rsidR="00001948" w:rsidRPr="00F90EAE" w:rsidRDefault="00001948" w:rsidP="00F90EAE">
      <w:pPr>
        <w:tabs>
          <w:tab w:val="left" w:pos="1676"/>
          <w:tab w:val="left" w:pos="2838"/>
        </w:tabs>
        <w:jc w:val="both"/>
        <w:rPr>
          <w:color w:val="000000" w:themeColor="text1"/>
          <w:sz w:val="16"/>
          <w:szCs w:val="16"/>
        </w:rPr>
      </w:pPr>
      <w:r w:rsidRPr="00F90EAE">
        <w:rPr>
          <w:color w:val="000000" w:themeColor="text1"/>
          <w:sz w:val="16"/>
          <w:szCs w:val="16"/>
        </w:rPr>
        <w:t>в августе</w:t>
      </w:r>
      <w:r w:rsidRPr="00F90EAE">
        <w:rPr>
          <w:color w:val="000000" w:themeColor="text1"/>
          <w:sz w:val="16"/>
          <w:szCs w:val="16"/>
        </w:rPr>
        <w:tab/>
        <w:t xml:space="preserve">77 </w:t>
      </w:r>
    </w:p>
    <w:p w14:paraId="4854C652" w14:textId="77777777" w:rsidR="00001948" w:rsidRPr="00F90EAE" w:rsidRDefault="00001948" w:rsidP="00F90EAE">
      <w:pPr>
        <w:tabs>
          <w:tab w:val="left" w:pos="1676"/>
          <w:tab w:val="left" w:pos="2838"/>
        </w:tabs>
        <w:jc w:val="both"/>
        <w:rPr>
          <w:color w:val="000000" w:themeColor="text1"/>
          <w:sz w:val="16"/>
          <w:szCs w:val="16"/>
        </w:rPr>
      </w:pPr>
      <w:r w:rsidRPr="00F90EAE">
        <w:rPr>
          <w:color w:val="000000" w:themeColor="text1"/>
          <w:sz w:val="16"/>
          <w:szCs w:val="16"/>
        </w:rPr>
        <w:t>в сентябре</w:t>
      </w:r>
      <w:r w:rsidRPr="00F90EAE">
        <w:rPr>
          <w:color w:val="000000" w:themeColor="text1"/>
          <w:sz w:val="16"/>
          <w:szCs w:val="16"/>
        </w:rPr>
        <w:tab/>
        <w:t>99</w:t>
      </w:r>
    </w:p>
    <w:p w14:paraId="774911A0" w14:textId="77777777" w:rsidR="00001948" w:rsidRPr="00F90EAE" w:rsidRDefault="00001948" w:rsidP="00F90EAE">
      <w:pPr>
        <w:tabs>
          <w:tab w:val="left" w:pos="2838"/>
        </w:tabs>
        <w:jc w:val="both"/>
        <w:rPr>
          <w:color w:val="000000" w:themeColor="text1"/>
          <w:sz w:val="16"/>
          <w:szCs w:val="16"/>
        </w:rPr>
      </w:pPr>
      <w:r w:rsidRPr="00F90EAE">
        <w:rPr>
          <w:color w:val="000000" w:themeColor="text1"/>
          <w:sz w:val="16"/>
          <w:szCs w:val="16"/>
        </w:rPr>
        <w:t>в октябре</w:t>
      </w:r>
      <w:r w:rsidRPr="00F90EAE">
        <w:rPr>
          <w:color w:val="000000" w:themeColor="text1"/>
          <w:sz w:val="16"/>
          <w:szCs w:val="16"/>
        </w:rPr>
        <w:tab/>
        <w:t>174</w:t>
      </w:r>
    </w:p>
    <w:p w14:paraId="49361F29" w14:textId="77777777" w:rsidR="00001948" w:rsidRPr="00F90EAE" w:rsidRDefault="00001948" w:rsidP="00F90EAE">
      <w:pPr>
        <w:tabs>
          <w:tab w:val="left" w:pos="2838"/>
        </w:tabs>
        <w:jc w:val="both"/>
        <w:rPr>
          <w:color w:val="000000" w:themeColor="text1"/>
          <w:sz w:val="16"/>
          <w:szCs w:val="16"/>
        </w:rPr>
      </w:pPr>
      <w:r w:rsidRPr="00F90EAE">
        <w:rPr>
          <w:color w:val="000000" w:themeColor="text1"/>
          <w:sz w:val="16"/>
          <w:szCs w:val="16"/>
        </w:rPr>
        <w:t>в ноябре</w:t>
      </w:r>
      <w:r w:rsidRPr="00F90EAE">
        <w:rPr>
          <w:color w:val="000000" w:themeColor="text1"/>
          <w:sz w:val="16"/>
          <w:szCs w:val="16"/>
        </w:rPr>
        <w:tab/>
        <w:t>112</w:t>
      </w:r>
    </w:p>
    <w:p w14:paraId="3C56416F" w14:textId="77777777" w:rsidR="00001948" w:rsidRPr="00F90EAE" w:rsidRDefault="00001948" w:rsidP="00F90EAE">
      <w:pPr>
        <w:tabs>
          <w:tab w:val="left" w:pos="2838"/>
        </w:tabs>
        <w:jc w:val="both"/>
        <w:rPr>
          <w:color w:val="000000" w:themeColor="text1"/>
          <w:sz w:val="16"/>
          <w:szCs w:val="16"/>
        </w:rPr>
      </w:pPr>
      <w:r w:rsidRPr="00F90EAE">
        <w:rPr>
          <w:color w:val="000000" w:themeColor="text1"/>
          <w:sz w:val="16"/>
          <w:szCs w:val="16"/>
        </w:rPr>
        <w:t>в декабре</w:t>
      </w:r>
      <w:r w:rsidRPr="00F90EAE">
        <w:rPr>
          <w:color w:val="000000" w:themeColor="text1"/>
          <w:sz w:val="16"/>
          <w:szCs w:val="16"/>
        </w:rPr>
        <w:tab/>
        <w:t>190</w:t>
      </w:r>
    </w:p>
    <w:p w14:paraId="54191B7C" w14:textId="77777777" w:rsidR="00001948" w:rsidRPr="00F90EAE" w:rsidRDefault="00001948" w:rsidP="00F90EAE">
      <w:pPr>
        <w:tabs>
          <w:tab w:val="left" w:pos="5871"/>
        </w:tabs>
        <w:jc w:val="both"/>
        <w:rPr>
          <w:color w:val="000000" w:themeColor="text1"/>
          <w:sz w:val="16"/>
          <w:szCs w:val="16"/>
        </w:rPr>
      </w:pPr>
      <w:r w:rsidRPr="00F90EAE">
        <w:rPr>
          <w:color w:val="000000" w:themeColor="text1"/>
          <w:sz w:val="16"/>
          <w:szCs w:val="16"/>
        </w:rPr>
        <w:t>Дефект этот является следствием грубых нарушений технологии производства гильз ци</w:t>
      </w:r>
      <w:r w:rsidRPr="00F90EAE">
        <w:rPr>
          <w:color w:val="000000" w:themeColor="text1"/>
          <w:sz w:val="16"/>
          <w:szCs w:val="16"/>
        </w:rPr>
        <w:softHyphen/>
        <w:t>линдров (неравномерный и недостаточный слой азотации, пониженная твёрдость, серни</w:t>
      </w:r>
      <w:r w:rsidRPr="00F90EAE">
        <w:rPr>
          <w:color w:val="000000" w:themeColor="text1"/>
          <w:sz w:val="16"/>
          <w:szCs w:val="16"/>
        </w:rPr>
        <w:softHyphen/>
        <w:t>стые включения) и плохого устройства фильтра и воздухоприемника на самолёте Ла-7». Других дефектов на моторах АШ-82ФН выявилось гораздо меньше:</w:t>
      </w:r>
    </w:p>
    <w:p w14:paraId="62404DEB" w14:textId="77777777" w:rsidR="00001948" w:rsidRPr="00F90EAE" w:rsidRDefault="00001948" w:rsidP="00F90EAE">
      <w:pPr>
        <w:tabs>
          <w:tab w:val="left" w:pos="5871"/>
        </w:tabs>
        <w:jc w:val="both"/>
        <w:rPr>
          <w:color w:val="000000" w:themeColor="text1"/>
          <w:sz w:val="16"/>
          <w:szCs w:val="16"/>
        </w:rPr>
      </w:pPr>
      <w:r w:rsidRPr="00F90EAE">
        <w:rPr>
          <w:color w:val="000000" w:themeColor="text1"/>
          <w:sz w:val="16"/>
          <w:szCs w:val="16"/>
        </w:rPr>
        <w:t>прогар, обрыв и заедание клапанов</w:t>
      </w:r>
      <w:r w:rsidRPr="00F90EAE">
        <w:rPr>
          <w:color w:val="000000" w:themeColor="text1"/>
          <w:sz w:val="16"/>
          <w:szCs w:val="16"/>
        </w:rPr>
        <w:tab/>
        <w:t>— 172 случая,</w:t>
      </w:r>
    </w:p>
    <w:p w14:paraId="57FA2376" w14:textId="77777777" w:rsidR="00001948" w:rsidRPr="00F90EAE" w:rsidRDefault="00001948" w:rsidP="00F90EAE">
      <w:pPr>
        <w:tabs>
          <w:tab w:val="left" w:pos="5694"/>
        </w:tabs>
        <w:jc w:val="both"/>
        <w:rPr>
          <w:color w:val="000000" w:themeColor="text1"/>
          <w:sz w:val="16"/>
          <w:szCs w:val="16"/>
        </w:rPr>
      </w:pPr>
      <w:r w:rsidRPr="00F90EAE">
        <w:rPr>
          <w:color w:val="000000" w:themeColor="text1"/>
          <w:sz w:val="16"/>
          <w:szCs w:val="16"/>
        </w:rPr>
        <w:t>поломка клапанных пружин</w:t>
      </w:r>
      <w:r w:rsidRPr="00F90EAE">
        <w:rPr>
          <w:color w:val="000000" w:themeColor="text1"/>
          <w:sz w:val="16"/>
          <w:szCs w:val="16"/>
        </w:rPr>
        <w:tab/>
        <w:t>— 75 случаев,</w:t>
      </w:r>
    </w:p>
    <w:p w14:paraId="322F3FB5" w14:textId="77777777" w:rsidR="00001948" w:rsidRPr="00F90EAE" w:rsidRDefault="00001948" w:rsidP="00F90EAE">
      <w:pPr>
        <w:jc w:val="both"/>
        <w:rPr>
          <w:color w:val="000000" w:themeColor="text1"/>
          <w:sz w:val="16"/>
          <w:szCs w:val="16"/>
        </w:rPr>
      </w:pPr>
      <w:r w:rsidRPr="00F90EAE">
        <w:rPr>
          <w:color w:val="000000" w:themeColor="text1"/>
          <w:sz w:val="16"/>
          <w:szCs w:val="16"/>
        </w:rPr>
        <w:t>износ и разрушение направляющих втулок клапанов, разрушение седел клапанов</w:t>
      </w:r>
      <w:r w:rsidRPr="00F90EAE">
        <w:rPr>
          <w:color w:val="000000" w:themeColor="text1"/>
          <w:sz w:val="16"/>
          <w:szCs w:val="16"/>
        </w:rPr>
        <w:tab/>
        <w:t>— 82 случая,</w:t>
      </w:r>
    </w:p>
    <w:p w14:paraId="59ABD46D" w14:textId="77777777" w:rsidR="00001948" w:rsidRPr="00F90EAE" w:rsidRDefault="00001948" w:rsidP="00F90EAE">
      <w:pPr>
        <w:tabs>
          <w:tab w:val="left" w:pos="5698"/>
        </w:tabs>
        <w:jc w:val="both"/>
        <w:rPr>
          <w:color w:val="000000" w:themeColor="text1"/>
          <w:sz w:val="16"/>
          <w:szCs w:val="16"/>
        </w:rPr>
      </w:pPr>
      <w:r w:rsidRPr="00F90EAE">
        <w:rPr>
          <w:color w:val="000000" w:themeColor="text1"/>
          <w:sz w:val="16"/>
          <w:szCs w:val="16"/>
        </w:rPr>
        <w:t>обрывы шатунов</w:t>
      </w:r>
      <w:r w:rsidRPr="00F90EAE">
        <w:rPr>
          <w:color w:val="000000" w:themeColor="text1"/>
          <w:sz w:val="16"/>
          <w:szCs w:val="16"/>
        </w:rPr>
        <w:tab/>
        <w:t>— 67 случаев,</w:t>
      </w:r>
    </w:p>
    <w:p w14:paraId="300132FD" w14:textId="77777777" w:rsidR="00001948" w:rsidRPr="00F90EAE" w:rsidRDefault="00001948" w:rsidP="00F90EAE">
      <w:pPr>
        <w:jc w:val="both"/>
        <w:rPr>
          <w:color w:val="000000" w:themeColor="text1"/>
          <w:sz w:val="16"/>
          <w:szCs w:val="16"/>
        </w:rPr>
      </w:pPr>
      <w:r w:rsidRPr="00F90EAE">
        <w:rPr>
          <w:color w:val="000000" w:themeColor="text1"/>
          <w:sz w:val="16"/>
          <w:szCs w:val="16"/>
        </w:rPr>
        <w:t>поломки валиков: переходников привода агрегата НБ-ЗУ, привода к масло- и бензопомпам, привода к генератору — 188 случаев.</w:t>
      </w:r>
    </w:p>
    <w:p w14:paraId="390DE223" w14:textId="77777777" w:rsidR="00001948" w:rsidRPr="00F90EAE" w:rsidRDefault="00001948" w:rsidP="00F90EAE">
      <w:pPr>
        <w:jc w:val="both"/>
        <w:rPr>
          <w:color w:val="000000" w:themeColor="text1"/>
          <w:sz w:val="16"/>
          <w:szCs w:val="16"/>
        </w:rPr>
      </w:pPr>
      <w:r w:rsidRPr="00F90EAE">
        <w:rPr>
          <w:color w:val="000000" w:themeColor="text1"/>
          <w:sz w:val="16"/>
          <w:szCs w:val="16"/>
        </w:rPr>
        <w:t>Надо сказать, что завод № 19 в течение 1944 г. не предпринимал каких-либо серьёз</w:t>
      </w:r>
      <w:r w:rsidRPr="00F90EAE">
        <w:rPr>
          <w:color w:val="000000" w:themeColor="text1"/>
          <w:sz w:val="16"/>
          <w:szCs w:val="16"/>
        </w:rPr>
        <w:softHyphen/>
        <w:t>ных усилий по совершенствованию мотора АШ-82ФН. Хотя внедрили в серию моторы ФН 2-й, 3-й, а затем и 4-й серий, их отличия от моторов 1-й серии оказались невелики.</w:t>
      </w:r>
    </w:p>
    <w:p w14:paraId="64A92477" w14:textId="77777777" w:rsidR="00001948" w:rsidRPr="00F90EAE" w:rsidRDefault="00001948" w:rsidP="00F90EAE">
      <w:pPr>
        <w:tabs>
          <w:tab w:val="left" w:pos="5146"/>
        </w:tabs>
        <w:jc w:val="both"/>
        <w:rPr>
          <w:color w:val="000000" w:themeColor="text1"/>
          <w:sz w:val="16"/>
          <w:szCs w:val="16"/>
        </w:rPr>
      </w:pPr>
      <w:r w:rsidRPr="00F90EAE">
        <w:rPr>
          <w:color w:val="000000" w:themeColor="text1"/>
          <w:sz w:val="16"/>
          <w:szCs w:val="16"/>
        </w:rPr>
        <w:t>В отсутствие каких-либо реальных мероприятий по устранению износа цилиндров ВВС вынуждены были принимать меры, так сказать, «экстенсивного» плана: организовывать замену дефектных цилиндров и моторов с последующим восстановлением их в ремонт</w:t>
      </w:r>
      <w:r w:rsidRPr="00F90EAE">
        <w:rPr>
          <w:color w:val="000000" w:themeColor="text1"/>
          <w:sz w:val="16"/>
          <w:szCs w:val="16"/>
        </w:rPr>
        <w:softHyphen/>
        <w:t>ных мастерских (15829).</w:t>
      </w:r>
    </w:p>
    <w:p w14:paraId="47E8DB92" w14:textId="77777777" w:rsidR="00001948" w:rsidRPr="00F90EAE" w:rsidRDefault="00001948" w:rsidP="00F90EAE">
      <w:pPr>
        <w:tabs>
          <w:tab w:val="left" w:pos="5146"/>
        </w:tabs>
        <w:jc w:val="both"/>
        <w:rPr>
          <w:color w:val="000000" w:themeColor="text1"/>
          <w:sz w:val="16"/>
          <w:szCs w:val="16"/>
        </w:rPr>
      </w:pPr>
    </w:p>
    <w:p w14:paraId="4B3C5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марта 1945 г. первые образцы двигателей ЮМО-004 - вернее их обломки - поступили в ЦИАМ Через некоторое время были найдены двигатели БМВ-003 и ЮМО-004 (к Ме-262) (9033).</w:t>
      </w:r>
    </w:p>
    <w:p w14:paraId="63F94240" w14:textId="77777777" w:rsidR="00665165" w:rsidRPr="00F90EAE" w:rsidRDefault="00665165" w:rsidP="00F90EAE">
      <w:pPr>
        <w:autoSpaceDE w:val="0"/>
        <w:autoSpaceDN w:val="0"/>
        <w:adjustRightInd w:val="0"/>
        <w:jc w:val="both"/>
        <w:rPr>
          <w:color w:val="000000" w:themeColor="text1"/>
          <w:sz w:val="16"/>
          <w:szCs w:val="16"/>
        </w:rPr>
      </w:pPr>
    </w:p>
    <w:p w14:paraId="6C6F8D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марта 1945 в НИИ ГВФ вернулись к вопросу применения десантных планеров в интересах народного хозяйства и решили возить грузы в Туркмении на линии Ашхабад - пос. Дарваза в Каракумах, где добывалась сера, а назад - воду. Летали почти 2 месяца на Г-11 за Ю-52. При взлете песок и камешки портили планер. Также летали по маршруту Ашхабад-Ташауз за 450 км (94,128).</w:t>
      </w:r>
    </w:p>
    <w:p w14:paraId="0E8AE80F" w14:textId="77777777" w:rsidR="00665165" w:rsidRPr="00F90EAE" w:rsidRDefault="00665165" w:rsidP="00F90EAE">
      <w:pPr>
        <w:autoSpaceDE w:val="0"/>
        <w:autoSpaceDN w:val="0"/>
        <w:adjustRightInd w:val="0"/>
        <w:jc w:val="both"/>
        <w:rPr>
          <w:color w:val="000000" w:themeColor="text1"/>
          <w:sz w:val="16"/>
          <w:szCs w:val="16"/>
        </w:rPr>
      </w:pPr>
    </w:p>
    <w:p w14:paraId="01F53B3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Другие оборонные отрасли:</w:t>
      </w:r>
    </w:p>
    <w:p w14:paraId="37EDE741" w14:textId="77777777" w:rsidR="00665165" w:rsidRPr="00F90EAE" w:rsidRDefault="00665165" w:rsidP="00F90EAE">
      <w:pPr>
        <w:autoSpaceDE w:val="0"/>
        <w:autoSpaceDN w:val="0"/>
        <w:adjustRightInd w:val="0"/>
        <w:jc w:val="both"/>
        <w:rPr>
          <w:iCs/>
          <w:color w:val="000000" w:themeColor="text1"/>
          <w:sz w:val="16"/>
          <w:szCs w:val="16"/>
        </w:rPr>
      </w:pPr>
    </w:p>
    <w:p w14:paraId="3CCD71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марта 1945 было письмо Кирпичников - зампред Госплана, Борисов - начальник отдела боеприпасов по письму ВРИО НАЧАЛЬНИКА УНКГБ по ХАБАРОВСКОМУ КРАЮ КОМИССАР ГОСБЕЗОПАСНОСТИ 2-го РАНГА - С.ГОГЛИДЗЕ от 18 декабря 1944 г. № 100902:</w:t>
      </w:r>
    </w:p>
    <w:p w14:paraId="3088E2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0E549A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Товарищу Берия Л.П.</w:t>
      </w:r>
    </w:p>
    <w:p w14:paraId="5EC99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Вашему поручению, в связи со спецдонесением ВРИО начальника УНКГБ по Хабаровскому краю тов. Гоглидзе - о ненормальностях с выпуском боеприпасов на Хабаровском заводе № 106 Наркомвооружения, докладываем:</w:t>
      </w:r>
    </w:p>
    <w:p w14:paraId="769E8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Приведенные в письме тов Гоглидзе факты невыполнения программы по минам 120мм, выпуска мин с дефектами и другие недостатки имевшие место на заводе № 106 НКВ в 1944 г. подтвердились.</w:t>
      </w:r>
    </w:p>
    <w:p w14:paraId="3ADE1F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выправления работы завода № 106 Наркомвооружения и ГАУ КА приняты следующие меры:</w:t>
      </w:r>
    </w:p>
    <w:p w14:paraId="76779F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 завода № 106 т. Третьяков от руководства заводом отстранен;</w:t>
      </w:r>
    </w:p>
    <w:p w14:paraId="661C53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Главному инженеру заводу тов. Пьянкову об"явлен строгий выговор с предупреждением;</w:t>
      </w:r>
    </w:p>
    <w:p w14:paraId="67BF9A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начальник ОТК завода освобожден от работы;</w:t>
      </w:r>
    </w:p>
    <w:p w14:paraId="3C970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районный военный инженер полковник Посашков понижен в должности и переведен на работу военным представителем в г. Горький;</w:t>
      </w:r>
    </w:p>
    <w:p w14:paraId="091136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все ранее забракованные корпуса мин 120 мм вновь пересмотрены и сданы на снаряжение, отход в брак составил около 6,5%;</w:t>
      </w:r>
    </w:p>
    <w:p w14:paraId="74566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для оказания технической помощи и улучшения хозяйственной деятельности на завод командированы специалисты Наркомвооружения (металлург, нач. технического сектора и диспетчер наркомата);</w:t>
      </w:r>
    </w:p>
    <w:p w14:paraId="30C52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пересмотрен заново технологический процесс и пересмотрена цепочка по изготовлению корпусов. Заменен контрольно-измерительный инструмент.</w:t>
      </w:r>
    </w:p>
    <w:p w14:paraId="172647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принятых мер работа завода № 106 в январе-феврале с.г. улучшилась. План производства боеприпасов выполняется, качество выпускаемой продукции улучшилось.</w:t>
      </w:r>
    </w:p>
    <w:p w14:paraId="329F43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В.Рябиков</w:t>
      </w:r>
    </w:p>
    <w:p w14:paraId="22F3F0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Н.Борисов</w:t>
      </w:r>
    </w:p>
    <w:p w14:paraId="0355C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П.Кирпичников</w:t>
      </w:r>
    </w:p>
    <w:p w14:paraId="0D0C2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фонд Госплана 1945 года в делах отдела боеприпасов РГАЭ ф. 4372, д. 307. - л. л. 160 (11747).</w:t>
      </w:r>
    </w:p>
    <w:p w14:paraId="258D752A" w14:textId="77777777" w:rsidR="00665165" w:rsidRPr="00F90EAE" w:rsidRDefault="00665165" w:rsidP="00F90EAE">
      <w:pPr>
        <w:autoSpaceDE w:val="0"/>
        <w:autoSpaceDN w:val="0"/>
        <w:adjustRightInd w:val="0"/>
        <w:jc w:val="both"/>
        <w:rPr>
          <w:color w:val="000000" w:themeColor="text1"/>
          <w:sz w:val="16"/>
          <w:szCs w:val="16"/>
        </w:rPr>
      </w:pPr>
    </w:p>
    <w:p w14:paraId="3ED489C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AB64FA3" w14:textId="77777777" w:rsidR="00665165" w:rsidRPr="00F90EAE" w:rsidRDefault="00665165" w:rsidP="00F90EAE">
      <w:pPr>
        <w:autoSpaceDE w:val="0"/>
        <w:autoSpaceDN w:val="0"/>
        <w:adjustRightInd w:val="0"/>
        <w:jc w:val="both"/>
        <w:rPr>
          <w:iCs/>
          <w:color w:val="000000" w:themeColor="text1"/>
          <w:sz w:val="16"/>
          <w:szCs w:val="16"/>
        </w:rPr>
      </w:pPr>
    </w:p>
    <w:p w14:paraId="3F1A1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вышел приказ НКАП N 92сс, согласно которому для проведения заводских летных испытаний Пе-2М назначили ведущим летчиком-испытателем Ф.Ф.Опадчего. В состав испытательной бригады входили также ведущий инженер К.Попов, инженер летно-испытательной станции А.Никонов, техник В.Белоусов и бортмеханик А.Артамошин (3337).</w:t>
      </w:r>
    </w:p>
    <w:p w14:paraId="66049584" w14:textId="77777777" w:rsidR="00665165" w:rsidRPr="00F90EAE" w:rsidRDefault="00665165" w:rsidP="00F90EAE">
      <w:pPr>
        <w:autoSpaceDE w:val="0"/>
        <w:autoSpaceDN w:val="0"/>
        <w:adjustRightInd w:val="0"/>
        <w:jc w:val="both"/>
        <w:rPr>
          <w:color w:val="000000" w:themeColor="text1"/>
          <w:sz w:val="16"/>
          <w:szCs w:val="16"/>
        </w:rPr>
      </w:pPr>
    </w:p>
    <w:p w14:paraId="58E8D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на Як-9 с мотором ВК-105ПД был произведен полет до высоты 12350 м, полет был прекращен из-за перегрева масла - 115 градусов С. С целью устранения дефекта с 8 марта начаты работы по переделке маслосистемы самолета под двойной контур. Это мероприятие должно было снизить температуру масла (2592,223).</w:t>
      </w:r>
    </w:p>
    <w:p w14:paraId="7779B567" w14:textId="77777777" w:rsidR="00665165" w:rsidRPr="00F90EAE" w:rsidRDefault="00665165" w:rsidP="00F90EAE">
      <w:pPr>
        <w:autoSpaceDE w:val="0"/>
        <w:autoSpaceDN w:val="0"/>
        <w:adjustRightInd w:val="0"/>
        <w:jc w:val="both"/>
        <w:rPr>
          <w:color w:val="000000" w:themeColor="text1"/>
          <w:sz w:val="16"/>
          <w:szCs w:val="16"/>
        </w:rPr>
      </w:pPr>
    </w:p>
    <w:p w14:paraId="133126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на Як-3 с ВК-105П и двухступенчатым нагнетателем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 марта 1945 стружки в фильтре не обнаружено (2592,223).</w:t>
      </w:r>
    </w:p>
    <w:p w14:paraId="5F9F06E4" w14:textId="77777777" w:rsidR="00665165" w:rsidRPr="00F90EAE" w:rsidRDefault="00665165" w:rsidP="00F90EAE">
      <w:pPr>
        <w:autoSpaceDE w:val="0"/>
        <w:autoSpaceDN w:val="0"/>
        <w:adjustRightInd w:val="0"/>
        <w:jc w:val="both"/>
        <w:rPr>
          <w:color w:val="000000" w:themeColor="text1"/>
          <w:sz w:val="16"/>
          <w:szCs w:val="16"/>
        </w:rPr>
      </w:pPr>
    </w:p>
    <w:p w14:paraId="72D845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вышел приказ НКАП N 94сс о создании Особого ГУ в целях быстрейшего вывоза оборудования германской авиапромышленности, учета и распределения этого оборудования среди ГУ и заводов (1647,52).</w:t>
      </w:r>
    </w:p>
    <w:p w14:paraId="6DEE1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быстрейшей реализации постановления ГОКО о вывозе оборудования германской АП, учета и распределения этого оборудования среди заводов авиапрома:</w:t>
      </w:r>
    </w:p>
    <w:p w14:paraId="629B6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Создать в системе НКАП Особое ГУ с задачами:</w:t>
      </w:r>
    </w:p>
    <w:p w14:paraId="7EC253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изучения дислокации, мощности и характера производства немецких авиаприборов</w:t>
      </w:r>
    </w:p>
    <w:p w14:paraId="0014E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подготовки предложений по использованию оборудования, подлежащего вывозу из Германии</w:t>
      </w:r>
    </w:p>
    <w:p w14:paraId="3DC8C4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организации демонтажа и вывоза этого оборудования с посылкой людей для демонтажа оборудования, обеспечения транспортными средствами, контроль за следованием оборудования в пути</w:t>
      </w:r>
    </w:p>
    <w:p w14:paraId="5A3779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инструктажа по демонтажу, упаковке, учету и использованию трофейного оборудования в пути." (1832,51).</w:t>
      </w:r>
    </w:p>
    <w:p w14:paraId="1D34CE0C" w14:textId="77777777" w:rsidR="00665165" w:rsidRPr="00F90EAE" w:rsidRDefault="00665165" w:rsidP="00F90EAE">
      <w:pPr>
        <w:autoSpaceDE w:val="0"/>
        <w:autoSpaceDN w:val="0"/>
        <w:adjustRightInd w:val="0"/>
        <w:jc w:val="both"/>
        <w:rPr>
          <w:color w:val="000000" w:themeColor="text1"/>
          <w:sz w:val="16"/>
          <w:szCs w:val="16"/>
        </w:rPr>
      </w:pPr>
    </w:p>
    <w:p w14:paraId="0DD164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По указанию Г.М. Маленкова уже 8 марта в 17 часов 15 минут самолет С-47 доставил в столицу образец секретного оружия Третьего рейха.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3512CA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CF640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E077120" w14:textId="77777777" w:rsidR="00665165" w:rsidRPr="00F90EAE" w:rsidRDefault="00665165" w:rsidP="00F90EAE">
      <w:pPr>
        <w:autoSpaceDE w:val="0"/>
        <w:autoSpaceDN w:val="0"/>
        <w:adjustRightInd w:val="0"/>
        <w:jc w:val="both"/>
        <w:rPr>
          <w:color w:val="000000" w:themeColor="text1"/>
          <w:sz w:val="16"/>
          <w:szCs w:val="16"/>
        </w:rPr>
      </w:pPr>
    </w:p>
    <w:p w14:paraId="7E8BE6D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2396A7" w14:textId="77777777" w:rsidR="00665165" w:rsidRPr="00F90EAE" w:rsidRDefault="00665165" w:rsidP="00F90EAE">
      <w:pPr>
        <w:autoSpaceDE w:val="0"/>
        <w:autoSpaceDN w:val="0"/>
        <w:adjustRightInd w:val="0"/>
        <w:jc w:val="both"/>
        <w:rPr>
          <w:iCs/>
          <w:color w:val="000000" w:themeColor="text1"/>
          <w:sz w:val="16"/>
          <w:szCs w:val="16"/>
        </w:rPr>
      </w:pPr>
    </w:p>
    <w:p w14:paraId="685768B2"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w:t>
      </w:r>
    </w:p>
    <w:p w14:paraId="7C58614F"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Согласно плану УСА ГБТУ КА на второй квартал 1945 года, проектирование и изготовление двух опытных образцов «Уралмаш-1» обходилось в 1 500 000 рублей (по 750 000 на каждый образец). Впрочем, работы по реализации проекта начались уже в марте.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 (19525).</w:t>
      </w:r>
    </w:p>
    <w:p w14:paraId="6599FC13"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p>
    <w:p w14:paraId="5F683F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года И.В. Курчатов составил заключение по новым поступившим разведывательным данным. В заключении И.В. Курчатов оценивает информацию по использованию "метода взрыва во внутрь" (то есть имплозии) для создания атомной бомбы. Он отмечает, что сейчас трудно дать окончательную оценку заключения анализируемых материалов (и то, "что этот метод следует предпочесть методу сближения"), но несомненно, что метод "взрыва во внутрь" представляет большой интерес, принципиально правилен и должен быть подвергнут серьезному теоретическому и опытному анализу. И.В. Курчатов отмечает, что в материале содержатся интересные замечания о веществе изоляции для атомной бомбы (речь идет об отражателе нейтронов вокруг делящегося материала). Они соответствуют тем взглядам, которые были развиты и у нас в последнее время. В наших конструкциях также намечено использовать бериллий для изоляции, правда, в виде металла, а не его окиси, как в рассматриваемых материалах (10549).</w:t>
      </w:r>
    </w:p>
    <w:p w14:paraId="3D640EE3" w14:textId="77777777" w:rsidR="00665165" w:rsidRPr="00F90EAE" w:rsidRDefault="00665165" w:rsidP="00F90EAE">
      <w:pPr>
        <w:autoSpaceDE w:val="0"/>
        <w:autoSpaceDN w:val="0"/>
        <w:adjustRightInd w:val="0"/>
        <w:jc w:val="both"/>
        <w:rPr>
          <w:color w:val="000000" w:themeColor="text1"/>
          <w:sz w:val="16"/>
          <w:szCs w:val="16"/>
        </w:rPr>
      </w:pPr>
    </w:p>
    <w:p w14:paraId="429BE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вышло Распоряжение ГКО № 7724. О передаче трофейного угля СНК Литовской ССР и НКВМФ. РГАНИР, Фонд ГКО, д. 378, лл. (11012).</w:t>
      </w:r>
    </w:p>
    <w:p w14:paraId="71014826" w14:textId="77777777" w:rsidR="00665165" w:rsidRPr="00F90EAE" w:rsidRDefault="00665165" w:rsidP="00F90EAE">
      <w:pPr>
        <w:autoSpaceDE w:val="0"/>
        <w:autoSpaceDN w:val="0"/>
        <w:adjustRightInd w:val="0"/>
        <w:jc w:val="both"/>
        <w:rPr>
          <w:color w:val="000000" w:themeColor="text1"/>
          <w:sz w:val="16"/>
          <w:szCs w:val="16"/>
        </w:rPr>
      </w:pPr>
    </w:p>
    <w:p w14:paraId="5939C0F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7AD3BAC" w14:textId="77777777" w:rsidR="00665165" w:rsidRPr="00F90EAE" w:rsidRDefault="00665165" w:rsidP="00F90EAE">
      <w:pPr>
        <w:autoSpaceDE w:val="0"/>
        <w:autoSpaceDN w:val="0"/>
        <w:adjustRightInd w:val="0"/>
        <w:jc w:val="both"/>
        <w:rPr>
          <w:iCs/>
          <w:color w:val="000000" w:themeColor="text1"/>
          <w:sz w:val="16"/>
          <w:szCs w:val="16"/>
        </w:rPr>
      </w:pPr>
    </w:p>
    <w:p w14:paraId="6BD6EAD5" w14:textId="77777777" w:rsidR="00001948" w:rsidRPr="00F90EAE" w:rsidRDefault="00001948" w:rsidP="00F90EAE">
      <w:pPr>
        <w:jc w:val="both"/>
        <w:rPr>
          <w:color w:val="000000" w:themeColor="text1"/>
          <w:sz w:val="16"/>
          <w:szCs w:val="16"/>
        </w:rPr>
      </w:pPr>
      <w:r w:rsidRPr="00F90EAE">
        <w:rPr>
          <w:bCs/>
          <w:color w:val="000000" w:themeColor="text1"/>
          <w:sz w:val="16"/>
          <w:szCs w:val="16"/>
        </w:rPr>
        <w:t>7 марта</w:t>
      </w:r>
      <w:r w:rsidRPr="00F90EAE">
        <w:rPr>
          <w:color w:val="000000" w:themeColor="text1"/>
          <w:sz w:val="16"/>
          <w:szCs w:val="16"/>
        </w:rPr>
        <w:t xml:space="preserve"> в 1945 году оперативная сводка Совинформбюро:</w:t>
      </w:r>
    </w:p>
    <w:p w14:paraId="2EFBD3CF"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Белорусского фронта 7 марта с боем овладели городами Гнев (Меве), Старогард (Прейсиш Старгард) — важными опорными пунктами обороны немцев на подступах к Данцигу, а также с боями заняли более 200 других населённых пунктов, среди которых крупные населённые пункты Заабен, Пиншин, Гох Штюбляу, Кошмин, Логуткен, Линево, Ольпух, Дзимянен, Зоммин, Реков, Луббен, Треблин, Бартин, Цоллбрюк, Альт-Беверсдорф, Альт-Шлавин, Дамсхаген, Нойвассер.</w:t>
      </w:r>
    </w:p>
    <w:p w14:paraId="0DF96B5E"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1-го Белорусского фронта, продолжая наступление, 7 марта штурмом овладели городами Голлнов, Штепенитц и Массов — важными опорными пунктами обороны немцев на подступах к Штеттину, а также с боями заняли более 50 других населённых пунктов и среди них Вальддивенов, Фритцов, Яссов, Лаатциг, Загер, Паульсдорф, Шюцендорф, Амалиенхоф.</w:t>
      </w:r>
    </w:p>
    <w:p w14:paraId="3498AD58"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фронта завершили ликвидацию окружённой группировки противника южнее города Шифельбайн. По предварительным данным, в этом районе взято в плен более 8.000 немецких солдат и офицеров и захвачено большое количество вооружения и военного имущества. В числе пленных командир 10-го немецкого армейского корпуса генерал-лейтенант Краппе вместе со своим штабом.</w:t>
      </w:r>
    </w:p>
    <w:p w14:paraId="603EEBA6"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Украинского фронта, преодолевая сопротивление противника в трудных условиях горно-лесистой местности в полосе Карпат, 7 марта овладели на территории Чехословакии городом Банска Штявница — сильным опорным пунктом обороны немцев, а также с боями заняли населённые пункты Саса, Бабина, Колпахи, Годруша, Гвоздница.</w:t>
      </w:r>
    </w:p>
    <w:p w14:paraId="68E3219C" w14:textId="77777777" w:rsidR="00001948" w:rsidRPr="00F90EAE" w:rsidRDefault="00001948" w:rsidP="00F90EAE">
      <w:pPr>
        <w:jc w:val="both"/>
        <w:rPr>
          <w:color w:val="000000" w:themeColor="text1"/>
          <w:sz w:val="16"/>
          <w:szCs w:val="16"/>
        </w:rPr>
      </w:pPr>
      <w:r w:rsidRPr="00F90EAE">
        <w:rPr>
          <w:color w:val="000000" w:themeColor="text1"/>
          <w:sz w:val="16"/>
          <w:szCs w:val="16"/>
        </w:rPr>
        <w:t>В Венгрии, северо-восточнее и южнее озера Балатон, атаки крупных сил пехоты и танков противника отбивались нашими войсками.</w:t>
      </w:r>
    </w:p>
    <w:p w14:paraId="6C8D437F" w14:textId="77777777" w:rsidR="00001948" w:rsidRPr="00F90EAE" w:rsidRDefault="00001948" w:rsidP="00F90EAE">
      <w:pPr>
        <w:jc w:val="both"/>
        <w:rPr>
          <w:color w:val="000000" w:themeColor="text1"/>
          <w:sz w:val="16"/>
          <w:szCs w:val="16"/>
        </w:rPr>
      </w:pPr>
      <w:r w:rsidRPr="00F90EAE">
        <w:rPr>
          <w:color w:val="000000" w:themeColor="text1"/>
          <w:sz w:val="16"/>
          <w:szCs w:val="16"/>
        </w:rPr>
        <w:t>На других участках фронта поиски разведчиков и в ряде пунктов бои местного значения.</w:t>
      </w:r>
    </w:p>
    <w:p w14:paraId="02635993" w14:textId="77777777" w:rsidR="00001948" w:rsidRPr="00F90EAE" w:rsidRDefault="00001948" w:rsidP="00F90EAE">
      <w:pPr>
        <w:jc w:val="both"/>
        <w:rPr>
          <w:color w:val="000000" w:themeColor="text1"/>
          <w:sz w:val="16"/>
          <w:szCs w:val="16"/>
        </w:rPr>
      </w:pPr>
      <w:r w:rsidRPr="00F90EAE">
        <w:rPr>
          <w:color w:val="000000" w:themeColor="text1"/>
          <w:sz w:val="16"/>
          <w:szCs w:val="16"/>
        </w:rPr>
        <w:t>За 6 марта на всех фронтах подбито и уничтожено 149 немецких танков. В воздушных боях и огнём зенитной артиллерии сбито 29 самолётов противника.</w:t>
      </w:r>
    </w:p>
    <w:p w14:paraId="38700863"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Советские части под огнём противника переправились через разлившуюся реку Ферзе и после ожесточённых боёв овладели городом Гнев (Меве) — важным опорным пунктом обороны немцев в нижнем течении реки Вислы. Другие наши части, продвинувшись вперёд на 10 километров, выбили немцев из города Старогард (Прейсиш Старгард) — опорного пункта вражеской обороны на подступах к Данцигу. Старогард является важным узлом путей сообщений. К нему сходятся четыре железные дороги. Советские пехотинцы и танкисты, с боями продвигаясь вперед, северо-западнее Старогарда заняли крупный населённый пункт Линево, находящийся в 40 километрах от Данцига. Отступая под ударами наших войск, противник несёт тяжёлые потери. В течение дня войсками фронта захвачены трофеи, в числе которых 44 орудия, 80 миномётов, 14 железнодорожных эшелонов и 500 автомашин.</w:t>
      </w:r>
    </w:p>
    <w:p w14:paraId="3CFE8958"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1-го Белорусского фронта развивали успешное наступление. Советские части, занявшие вчера город Каммин, сегодня нанесли удар в северном направлении и заняли населённый пункт Вальддивенов на побережье Балтийского моря. Другие наши части на широком фронте вышли на восточный берег пролива Дивенов и Штеттинской гавани. Советские танки и пехота, продвинувшись вперёд на 15 километров, вышли к городу Голлнов — важному опорному пункту немцев, прикрывавшему подступы к городу Штеттин. Противник, стремясь удержать плацдарм на восточном берегу Одера, упорно сопротивлялся. На окраинах города немцы зарыли в землю танки и использовали их как огневые точки. Наши войска пошли на штурм, сломили вражеское сопротивление и овладели городом Голлнов. Советскими частями заняты города Массов и Штепенитц.</w:t>
      </w:r>
    </w:p>
    <w:p w14:paraId="0BE7DB79" w14:textId="77777777" w:rsidR="00001948" w:rsidRPr="00F90EAE" w:rsidRDefault="00001948" w:rsidP="00F90EAE">
      <w:pPr>
        <w:jc w:val="both"/>
        <w:rPr>
          <w:color w:val="000000" w:themeColor="text1"/>
          <w:sz w:val="16"/>
          <w:szCs w:val="16"/>
        </w:rPr>
      </w:pPr>
      <w:r w:rsidRPr="00F90EAE">
        <w:rPr>
          <w:color w:val="000000" w:themeColor="text1"/>
          <w:sz w:val="16"/>
          <w:szCs w:val="16"/>
        </w:rPr>
        <w:t>Нашими войсками ликвидирована группировка противника, окружённая южнее города Шифельбайн. Немецкие части, попавшие в «котёл», предпринимали отчаянные попытки прорвать кольцо советских войск. Особенно ожесточённые бои произошли в районе дорог, ведущих на запад. Стремительными ударами со всех сторон наши пехотинцы, танкисты и кавалеристы расчленили немецкие войска на изолированные друг от друга группы. Части Польского войска за день истребили свыше 1.500 гитлеровцев. Наши кавалеристы уничтожили 1.200 немецких солдат и офицеров. Советские танкисты в боях за ликвидацию окружённой группировки противника истребили до 4 тысяч гитлеровцев. Район боёв усеян разбитой техникой, вооружением и трупами солдат и офицеров противника. Наши войска взяли богатые трофеи. Только на одном участке бойцами Н-ского соединения захвачено у немцев 28 танков и самоходных орудий, 167 полевых орудий, 54 миномёта, около 700 грузовых и легковых автомашин, 800 повозок и 2 тысячи лошадей.</w:t>
      </w:r>
    </w:p>
    <w:p w14:paraId="58DB7704"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Украинского фронта, с боями продвигаясь вперёд, вышли на подступы к городу Банска Штявница. Стремясь восстановить положение, немецкая пехота, усиленная самоходными орудиями, предприняла контратаку. В результате упорного боя советские части опрокинули гитлеровцев и на плечах отступающего противника ворвались в город с юга и юго-востока. Всю ночь шли уличные бои. Сегодня наши войска разгромили вражеский гарнизон и овладели городом Банска Штявница — узлом шоссейных дорог и сильным опорным пунктом обороны немцев в полосе Карпат.</w:t>
      </w:r>
    </w:p>
    <w:p w14:paraId="7671A7EC" w14:textId="77777777" w:rsidR="00001948" w:rsidRPr="00F90EAE" w:rsidRDefault="00001948" w:rsidP="00F90EAE">
      <w:pPr>
        <w:jc w:val="both"/>
        <w:rPr>
          <w:color w:val="000000" w:themeColor="text1"/>
          <w:sz w:val="16"/>
          <w:szCs w:val="16"/>
        </w:rPr>
      </w:pPr>
      <w:r w:rsidRPr="00F90EAE">
        <w:rPr>
          <w:color w:val="000000" w:themeColor="text1"/>
          <w:sz w:val="16"/>
          <w:szCs w:val="16"/>
        </w:rPr>
        <w:t>В Венгрии, северо-восточнее и южнее озера Балатон, противник рано утром, после сильной артиллерийской подготовки, атаковал наши позиции. На одном участке немцы бросили в бой крупные силы пехоты, а также танки и бронетранспортёры с автоматчиками. Бой с самого начала принял напряжённый характер. Советские пехотинцы и артиллеристы, отбивая вражеские атаки, нанесли немцам большие потери. В течение дня уничтожено свыше тысячи гитлеровцев, сожжено и подбито 52 танка и самоходных орудия противника.</w:t>
      </w:r>
    </w:p>
    <w:p w14:paraId="0143EFEA" w14:textId="77777777" w:rsidR="00001948" w:rsidRPr="00F90EAE" w:rsidRDefault="00001948"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в результате бомбово-штурмового удара, потопила три немецких транспорта. Кроме того, одному транспорту и эсминцу противника нанесены серьёзные повреждения. Огнём береговых артиллерийских батарей потоплен немецкий катер.» (15061).</w:t>
      </w:r>
    </w:p>
    <w:p w14:paraId="26579C22" w14:textId="77777777" w:rsidR="00001948" w:rsidRPr="00F90EAE" w:rsidRDefault="00001948" w:rsidP="00F90EAE">
      <w:pPr>
        <w:jc w:val="both"/>
        <w:rPr>
          <w:color w:val="000000" w:themeColor="text1"/>
          <w:sz w:val="16"/>
          <w:szCs w:val="16"/>
        </w:rPr>
      </w:pPr>
    </w:p>
    <w:p w14:paraId="0A0D79B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марта 1945 на озере Балатон немецкие войска начали наступательную операцию (4962).</w:t>
      </w:r>
    </w:p>
    <w:p w14:paraId="4202B9F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DA4B9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марта 1945 советские войска маршала Жукова осадили Щецин (4962).</w:t>
      </w:r>
    </w:p>
    <w:p w14:paraId="337685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FF1E5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A3BCADF" w14:textId="77777777" w:rsidR="00665165" w:rsidRPr="00F90EAE" w:rsidRDefault="00665165" w:rsidP="00F90EAE">
      <w:pPr>
        <w:autoSpaceDE w:val="0"/>
        <w:autoSpaceDN w:val="0"/>
        <w:adjustRightInd w:val="0"/>
        <w:jc w:val="both"/>
        <w:rPr>
          <w:iCs/>
          <w:color w:val="000000" w:themeColor="text1"/>
          <w:sz w:val="16"/>
          <w:szCs w:val="16"/>
        </w:rPr>
      </w:pPr>
    </w:p>
    <w:p w14:paraId="52E289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вышло Постановление ГКО № 7725 По вопросам Венгрии (о проведении в Венгрии земельной реформы, предоставлении заема, о помощи продовольствием и др. вопросы). РГАНИР, Фонд ГКО, д. 378, лл. 2-4 (11012).</w:t>
      </w:r>
    </w:p>
    <w:p w14:paraId="57C6BD4E" w14:textId="77777777" w:rsidR="00665165" w:rsidRPr="00F90EAE" w:rsidRDefault="00665165" w:rsidP="00F90EAE">
      <w:pPr>
        <w:autoSpaceDE w:val="0"/>
        <w:autoSpaceDN w:val="0"/>
        <w:adjustRightInd w:val="0"/>
        <w:jc w:val="both"/>
        <w:rPr>
          <w:color w:val="000000" w:themeColor="text1"/>
          <w:sz w:val="16"/>
          <w:szCs w:val="16"/>
        </w:rPr>
      </w:pPr>
    </w:p>
    <w:p w14:paraId="7E592EA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E609EC8" w14:textId="77777777" w:rsidR="00665165" w:rsidRPr="00F90EAE" w:rsidRDefault="00665165" w:rsidP="00F90EAE">
      <w:pPr>
        <w:autoSpaceDE w:val="0"/>
        <w:autoSpaceDN w:val="0"/>
        <w:adjustRightInd w:val="0"/>
        <w:jc w:val="both"/>
        <w:rPr>
          <w:iCs/>
          <w:color w:val="000000" w:themeColor="text1"/>
          <w:sz w:val="16"/>
          <w:szCs w:val="16"/>
        </w:rPr>
      </w:pPr>
    </w:p>
    <w:p w14:paraId="1BB822EB" w14:textId="77777777" w:rsidR="00001948" w:rsidRPr="00F90EAE" w:rsidRDefault="00001948" w:rsidP="00F90EAE">
      <w:pPr>
        <w:autoSpaceDE w:val="0"/>
        <w:autoSpaceDN w:val="0"/>
        <w:adjustRightInd w:val="0"/>
        <w:jc w:val="both"/>
        <w:rPr>
          <w:color w:val="000000" w:themeColor="text1"/>
          <w:sz w:val="16"/>
          <w:szCs w:val="16"/>
        </w:rPr>
      </w:pPr>
      <w:r w:rsidRPr="00F90EAE">
        <w:rPr>
          <w:color w:val="000000" w:themeColor="text1"/>
          <w:sz w:val="16"/>
          <w:szCs w:val="16"/>
        </w:rPr>
        <w:t>7 марта 1945 первый полет выполнил транспортный вертолет XHRP-X с тандемным расположением винтов (1090).</w:t>
      </w:r>
    </w:p>
    <w:p w14:paraId="0220570F" w14:textId="77777777" w:rsidR="00001948" w:rsidRPr="00F90EAE" w:rsidRDefault="00001948" w:rsidP="00F90EAE">
      <w:pPr>
        <w:autoSpaceDE w:val="0"/>
        <w:autoSpaceDN w:val="0"/>
        <w:adjustRightInd w:val="0"/>
        <w:jc w:val="both"/>
        <w:rPr>
          <w:color w:val="000000" w:themeColor="text1"/>
          <w:sz w:val="16"/>
          <w:szCs w:val="16"/>
        </w:rPr>
      </w:pPr>
    </w:p>
    <w:p w14:paraId="2DB88B14" w14:textId="77777777" w:rsidR="00001948" w:rsidRPr="00F90EAE" w:rsidRDefault="00001948" w:rsidP="00F90EAE">
      <w:pPr>
        <w:jc w:val="both"/>
        <w:rPr>
          <w:color w:val="000000" w:themeColor="text1"/>
          <w:sz w:val="16"/>
          <w:szCs w:val="16"/>
        </w:rPr>
      </w:pPr>
      <w:r w:rsidRPr="00F90EAE">
        <w:rPr>
          <w:bCs/>
          <w:color w:val="000000" w:themeColor="text1"/>
          <w:sz w:val="16"/>
          <w:szCs w:val="16"/>
        </w:rPr>
        <w:t>7 марта</w:t>
      </w:r>
      <w:r w:rsidRPr="00F90EAE">
        <w:rPr>
          <w:color w:val="000000" w:themeColor="text1"/>
          <w:sz w:val="16"/>
          <w:szCs w:val="16"/>
        </w:rPr>
        <w:t xml:space="preserve"> в 1945 году первый полёт поисково-спасательного вертолёта «PV-3» конструктора Фрэнка Пясецкого (другое наименование «XHRP-X» "Dogship") (разработчик: «Piasecki», США). В историю мирового вертолетостроения этот аппарат вошел как первый серийный двухвинтовой вертолет продольной схемы. Оснащенный двигателем «Pratt&amp;Whitney» «R-1340» «Wasp» мощностью 600 л.с, вертолет развивал скорость до 193 км/ч. PV-3 был предназначен для транспортировки шести носилок с ранеными или груза. Вертолеты этого типа поступали в экспериментальные эскадрильи «VX-3» и «HMX-1» ВМС США и морской пехоты. 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w:t>
      </w:r>
      <w:hyperlink r:id="rId63" w:tgtFrame="_blank" w:history="1">
        <w:r w:rsidRPr="00F90EAE">
          <w:rPr>
            <w:color w:val="000000" w:themeColor="text1"/>
            <w:sz w:val="16"/>
            <w:szCs w:val="16"/>
          </w:rPr>
          <w:t xml:space="preserve">«HRP-1» «Rescuer» </w:t>
        </w:r>
      </w:hyperlink>
      <w:r w:rsidRPr="00F90EAE">
        <w:rPr>
          <w:color w:val="000000" w:themeColor="text1"/>
          <w:sz w:val="16"/>
          <w:szCs w:val="16"/>
        </w:rPr>
        <w:t>(спасатель) (15061).</w:t>
      </w:r>
    </w:p>
    <w:p w14:paraId="1BBC53B0" w14:textId="77777777" w:rsidR="00001948" w:rsidRPr="00F90EAE" w:rsidRDefault="00001948" w:rsidP="00F90EAE">
      <w:pPr>
        <w:jc w:val="both"/>
        <w:rPr>
          <w:color w:val="000000" w:themeColor="text1"/>
          <w:sz w:val="16"/>
          <w:szCs w:val="16"/>
        </w:rPr>
      </w:pPr>
    </w:p>
    <w:p w14:paraId="28B26F00" w14:textId="77777777" w:rsidR="005A6AF3" w:rsidRPr="00F90EAE" w:rsidRDefault="005A6AF3" w:rsidP="00F90EAE">
      <w:pPr>
        <w:jc w:val="both"/>
        <w:rPr>
          <w:color w:val="0070C0"/>
          <w:sz w:val="16"/>
          <w:szCs w:val="16"/>
        </w:rPr>
      </w:pPr>
      <w:r w:rsidRPr="00F90EAE">
        <w:rPr>
          <w:color w:val="0070C0"/>
          <w:sz w:val="16"/>
          <w:szCs w:val="16"/>
        </w:rPr>
        <w:t>7 марта 1945 первый полет вертолета Спасатель Пясецкого HRP (20371).</w:t>
      </w:r>
    </w:p>
    <w:p w14:paraId="60592040" w14:textId="77777777" w:rsidR="005A6AF3" w:rsidRPr="00F90EAE" w:rsidRDefault="005A6AF3" w:rsidP="00F90EAE">
      <w:pPr>
        <w:jc w:val="both"/>
        <w:rPr>
          <w:color w:val="0070C0"/>
          <w:sz w:val="16"/>
          <w:szCs w:val="16"/>
        </w:rPr>
      </w:pPr>
    </w:p>
    <w:p w14:paraId="56371B81" w14:textId="77777777" w:rsidR="005A6AF3" w:rsidRPr="00F90EAE" w:rsidRDefault="005A6AF3" w:rsidP="00F90EAE">
      <w:pPr>
        <w:jc w:val="both"/>
        <w:rPr>
          <w:color w:val="0070C0"/>
          <w:sz w:val="16"/>
          <w:szCs w:val="16"/>
        </w:rPr>
      </w:pPr>
      <w:r w:rsidRPr="00F90EAE">
        <w:rPr>
          <w:color w:val="0070C0"/>
          <w:sz w:val="16"/>
          <w:szCs w:val="16"/>
        </w:rPr>
        <w:t>7 марта 1945 - Первый полёт поисково-спасательного вертолёта PV-3 (другое наименование XHRP-X "Dogship") (разработчик: Piasecki, США).hrp1-1.jpgВсего было построено три прототипа (два летных и один для статических испытаний) XHRP-1 и 20 серийных машин. В вооруженных силах вертолет получил наименование HRP-1 Rescuer (спасатель) (22577).</w:t>
      </w:r>
    </w:p>
    <w:p w14:paraId="1B26FF0E" w14:textId="77777777" w:rsidR="005A6AF3" w:rsidRPr="00F90EAE" w:rsidRDefault="005A6AF3" w:rsidP="00F90EAE">
      <w:pPr>
        <w:jc w:val="both"/>
        <w:rPr>
          <w:color w:val="0070C0"/>
          <w:sz w:val="16"/>
          <w:szCs w:val="16"/>
        </w:rPr>
      </w:pPr>
    </w:p>
    <w:p w14:paraId="22E3541E" w14:textId="77777777" w:rsidR="00001948" w:rsidRPr="00F90EAE" w:rsidRDefault="00001948"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7 марта 1945 союзники освободили Кельн (2248,3).</w:t>
      </w:r>
    </w:p>
    <w:p w14:paraId="061EB9D3" w14:textId="77777777" w:rsidR="00001948" w:rsidRPr="00F90EAE" w:rsidRDefault="00001948" w:rsidP="00F90EAE">
      <w:pPr>
        <w:autoSpaceDE w:val="0"/>
        <w:autoSpaceDN w:val="0"/>
        <w:adjustRightInd w:val="0"/>
        <w:jc w:val="both"/>
        <w:rPr>
          <w:color w:val="000000" w:themeColor="text1"/>
          <w:sz w:val="16"/>
          <w:szCs w:val="16"/>
        </w:rPr>
      </w:pPr>
    </w:p>
    <w:p w14:paraId="1ADE73C5" w14:textId="77777777" w:rsidR="005A6AF3" w:rsidRPr="00F90EAE" w:rsidRDefault="005A6AF3" w:rsidP="00F90EAE">
      <w:pPr>
        <w:jc w:val="both"/>
        <w:rPr>
          <w:color w:val="0070C0"/>
          <w:sz w:val="16"/>
          <w:szCs w:val="16"/>
        </w:rPr>
      </w:pPr>
      <w:r w:rsidRPr="00F90EAE">
        <w:rPr>
          <w:color w:val="0070C0"/>
          <w:sz w:val="16"/>
          <w:szCs w:val="16"/>
        </w:rPr>
        <w:t>7 марта 1945 г. в районе Ремагена Ar 234В-2 вели бомбардировку захваченной американцами переправы через Рейн. Самолет Аг 234 имел большой потенциал. Высокие характеристики позволяли использовать его в программе Mistell. В этом случае под фюзеляж подвешивался беспилотный самолет-снаряд большой мощности Ar Е377. Фашисты даже мечтали дотянуться до США, используя Ar 234 в качестве носителя ракет «Фау-1». Всего было построено 214 экземпляров Ar 234. После ряда успехов их стали отправлять на самоубийственные задания без всякого прикрытия. За короткий промежуток времени погибли три пилота, еще четверо были ранены (22776).</w:t>
      </w:r>
    </w:p>
    <w:p w14:paraId="630BFF71" w14:textId="77777777" w:rsidR="005A6AF3" w:rsidRPr="00F90EAE" w:rsidRDefault="005A6AF3" w:rsidP="00F90EAE">
      <w:pPr>
        <w:jc w:val="both"/>
        <w:rPr>
          <w:color w:val="0070C0"/>
          <w:sz w:val="16"/>
          <w:szCs w:val="16"/>
        </w:rPr>
      </w:pPr>
    </w:p>
    <w:p w14:paraId="63CB8C99" w14:textId="77777777" w:rsidR="00001948" w:rsidRPr="00F90EAE" w:rsidRDefault="00001948" w:rsidP="00F90EAE">
      <w:pPr>
        <w:jc w:val="both"/>
        <w:rPr>
          <w:color w:val="000000" w:themeColor="text1"/>
          <w:sz w:val="16"/>
          <w:szCs w:val="16"/>
        </w:rPr>
      </w:pPr>
      <w:r w:rsidRPr="00F90EAE">
        <w:rPr>
          <w:bCs/>
          <w:color w:val="000000" w:themeColor="text1"/>
          <w:sz w:val="16"/>
          <w:szCs w:val="16"/>
        </w:rPr>
        <w:t>7 марта</w:t>
      </w:r>
      <w:r w:rsidRPr="00F90EAE">
        <w:rPr>
          <w:color w:val="000000" w:themeColor="text1"/>
          <w:sz w:val="16"/>
          <w:szCs w:val="16"/>
        </w:rPr>
        <w:t xml:space="preserve"> в 1945 году американские войска заняли город Бонн (15061).</w:t>
      </w:r>
    </w:p>
    <w:p w14:paraId="12DDA539" w14:textId="77777777" w:rsidR="00001948" w:rsidRPr="00F90EAE" w:rsidRDefault="00001948" w:rsidP="00F90EAE">
      <w:pPr>
        <w:jc w:val="both"/>
        <w:rPr>
          <w:color w:val="000000" w:themeColor="text1"/>
          <w:sz w:val="16"/>
          <w:szCs w:val="16"/>
        </w:rPr>
      </w:pPr>
    </w:p>
    <w:p w14:paraId="5C1834C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марта 1945 войска союзников форсировали Рейн (4962).</w:t>
      </w:r>
    </w:p>
    <w:p w14:paraId="27AE860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D59519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7 March 1945 First bridge-head established over the Rhine at Remagen (270).</w:t>
      </w:r>
    </w:p>
    <w:p w14:paraId="169B5EBA" w14:textId="77777777" w:rsidR="00665165" w:rsidRPr="00F90EAE" w:rsidRDefault="00665165" w:rsidP="00F90EAE">
      <w:pPr>
        <w:autoSpaceDE w:val="0"/>
        <w:autoSpaceDN w:val="0"/>
        <w:adjustRightInd w:val="0"/>
        <w:jc w:val="both"/>
        <w:rPr>
          <w:color w:val="000000" w:themeColor="text1"/>
          <w:sz w:val="16"/>
          <w:szCs w:val="16"/>
          <w:lang w:val="en-US"/>
        </w:rPr>
      </w:pPr>
    </w:p>
    <w:p w14:paraId="618DD5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началась подготовка союзников к форсированию Рейна (270) и танковая колонна Першингов пересекла реку по железнодорожному мосту (2248,3).</w:t>
      </w:r>
    </w:p>
    <w:p w14:paraId="1950A15F" w14:textId="77777777" w:rsidR="00665165" w:rsidRPr="00F90EAE" w:rsidRDefault="00665165" w:rsidP="00F90EAE">
      <w:pPr>
        <w:autoSpaceDE w:val="0"/>
        <w:autoSpaceDN w:val="0"/>
        <w:adjustRightInd w:val="0"/>
        <w:jc w:val="both"/>
        <w:rPr>
          <w:color w:val="000000" w:themeColor="text1"/>
          <w:sz w:val="16"/>
          <w:szCs w:val="16"/>
        </w:rPr>
      </w:pPr>
    </w:p>
    <w:p w14:paraId="454B894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7 1945 The tandem rotor XHRP-X transport helicopter, built under Navy contract by P-V Engineering Forum made its first flight at the contractor's plant at Sharon Hill, Pennsylvania with Frank N. Piasecki as pilot and George N. Towson as copilot (1090).</w:t>
      </w:r>
    </w:p>
    <w:p w14:paraId="7DDF86B2" w14:textId="77777777" w:rsidR="00665165" w:rsidRPr="00F90EAE" w:rsidRDefault="00665165" w:rsidP="00F90EAE">
      <w:pPr>
        <w:autoSpaceDE w:val="0"/>
        <w:autoSpaceDN w:val="0"/>
        <w:adjustRightInd w:val="0"/>
        <w:jc w:val="both"/>
        <w:rPr>
          <w:color w:val="000000" w:themeColor="text1"/>
          <w:sz w:val="16"/>
          <w:szCs w:val="16"/>
          <w:lang w:val="en-US"/>
        </w:rPr>
      </w:pPr>
    </w:p>
    <w:p w14:paraId="033F433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7th, 1945: German engineers having failed to blow it, advance units of the US First Army capture the Ludendorff railway bridge at Remagen, the last remaining bridge across the Rhine, allowing US troops to gain a first foothold on the east bank of the river (3819).</w:t>
      </w:r>
    </w:p>
    <w:p w14:paraId="2D017143" w14:textId="77777777" w:rsidR="00665165" w:rsidRPr="00F90EAE" w:rsidRDefault="00665165" w:rsidP="00F90EAE">
      <w:pPr>
        <w:autoSpaceDE w:val="0"/>
        <w:autoSpaceDN w:val="0"/>
        <w:adjustRightInd w:val="0"/>
        <w:jc w:val="both"/>
        <w:rPr>
          <w:color w:val="000000" w:themeColor="text1"/>
          <w:sz w:val="16"/>
          <w:szCs w:val="16"/>
          <w:lang w:val="en-US"/>
        </w:rPr>
      </w:pPr>
    </w:p>
    <w:p w14:paraId="2B62F5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части США захватили ж/д мост через Рейн - последний целый мост, который немцы не успели взорвать (3819).</w:t>
      </w:r>
    </w:p>
    <w:p w14:paraId="0E74F2C2" w14:textId="77777777" w:rsidR="00665165" w:rsidRPr="00F90EAE" w:rsidRDefault="00665165" w:rsidP="00F90EAE">
      <w:pPr>
        <w:autoSpaceDE w:val="0"/>
        <w:autoSpaceDN w:val="0"/>
        <w:adjustRightInd w:val="0"/>
        <w:jc w:val="both"/>
        <w:rPr>
          <w:color w:val="000000" w:themeColor="text1"/>
          <w:sz w:val="16"/>
          <w:szCs w:val="16"/>
        </w:rPr>
      </w:pPr>
    </w:p>
    <w:p w14:paraId="3791BFD7" w14:textId="77777777" w:rsidR="00001948" w:rsidRPr="00F90EAE" w:rsidRDefault="00001948" w:rsidP="00F90EAE">
      <w:pPr>
        <w:jc w:val="both"/>
        <w:rPr>
          <w:color w:val="000000" w:themeColor="text1"/>
          <w:sz w:val="16"/>
          <w:szCs w:val="16"/>
        </w:rPr>
      </w:pPr>
      <w:r w:rsidRPr="00F90EAE">
        <w:rPr>
          <w:bCs/>
          <w:color w:val="000000" w:themeColor="text1"/>
          <w:sz w:val="16"/>
          <w:szCs w:val="16"/>
        </w:rPr>
        <w:t>7 марта</w:t>
      </w:r>
      <w:r w:rsidRPr="00F90EAE">
        <w:rPr>
          <w:color w:val="000000" w:themeColor="text1"/>
          <w:sz w:val="16"/>
          <w:szCs w:val="16"/>
        </w:rPr>
        <w:t xml:space="preserve"> в 1945 году в Германии американские войска подходят к железнодорожному мосту Люддендорф в Римегене (южнее Бонна), вступают в бой и захватывают его. Вечером через Рейн переправляются 100 американских боевых частей (в течение следующих двух недель союзники наведут шесть мостов через Рейн; 17 марта мост в Римегене будет разрушен) (15061).</w:t>
      </w:r>
    </w:p>
    <w:p w14:paraId="6D7959E5" w14:textId="77777777" w:rsidR="00001948" w:rsidRPr="00F90EAE" w:rsidRDefault="00001948" w:rsidP="00F90EAE">
      <w:pPr>
        <w:jc w:val="both"/>
        <w:rPr>
          <w:color w:val="000000" w:themeColor="text1"/>
          <w:sz w:val="16"/>
          <w:szCs w:val="16"/>
        </w:rPr>
      </w:pPr>
    </w:p>
    <w:p w14:paraId="637A88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1945 Тито возглавил правительство Югославии, в которое также вошли роялисты (2248,3).</w:t>
      </w:r>
    </w:p>
    <w:p w14:paraId="6ECAB66D" w14:textId="77777777" w:rsidR="00665165" w:rsidRPr="00F90EAE" w:rsidRDefault="00665165" w:rsidP="00F90EAE">
      <w:pPr>
        <w:autoSpaceDE w:val="0"/>
        <w:autoSpaceDN w:val="0"/>
        <w:adjustRightInd w:val="0"/>
        <w:jc w:val="both"/>
        <w:rPr>
          <w:color w:val="000000" w:themeColor="text1"/>
          <w:sz w:val="16"/>
          <w:szCs w:val="16"/>
        </w:rPr>
      </w:pPr>
    </w:p>
    <w:p w14:paraId="71C55AF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B40DBF4" w14:textId="77777777" w:rsidR="00665165" w:rsidRPr="00F90EAE" w:rsidRDefault="00665165" w:rsidP="00F90EAE">
      <w:pPr>
        <w:autoSpaceDE w:val="0"/>
        <w:autoSpaceDN w:val="0"/>
        <w:adjustRightInd w:val="0"/>
        <w:jc w:val="both"/>
        <w:rPr>
          <w:iCs/>
          <w:color w:val="000000" w:themeColor="text1"/>
          <w:sz w:val="16"/>
          <w:szCs w:val="16"/>
        </w:rPr>
      </w:pPr>
    </w:p>
    <w:p w14:paraId="4242E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8 по 29 марта 1945 л А.А.Манчуаров и и Г.А.Седов проводили гос. испытания Як-9УТ со сменными пушками (65,152).</w:t>
      </w:r>
    </w:p>
    <w:p w14:paraId="1BCED35D" w14:textId="77777777" w:rsidR="00665165" w:rsidRPr="00F90EAE" w:rsidRDefault="00665165" w:rsidP="00F90EAE">
      <w:pPr>
        <w:autoSpaceDE w:val="0"/>
        <w:autoSpaceDN w:val="0"/>
        <w:adjustRightInd w:val="0"/>
        <w:jc w:val="both"/>
        <w:rPr>
          <w:color w:val="000000" w:themeColor="text1"/>
          <w:sz w:val="16"/>
          <w:szCs w:val="16"/>
        </w:rPr>
      </w:pPr>
    </w:p>
    <w:p w14:paraId="688F4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В.Л.Расторгуев закончил заводские испытания Як-3 ВК108, которые проводились с 7 октября 1944, хотя первый вылет был сделан 18 декабря 1944. Всего было 5 полетов продолжительностью 1:47. На самом деле 8 марта 1945 был первый полет с замененным после рекордного полета 21 декабря 1944 двигателем и он работал неудовлетворительно, так что дальнейшие полеты не проводились (65,196).</w:t>
      </w:r>
    </w:p>
    <w:p w14:paraId="5B9C83F6" w14:textId="77777777" w:rsidR="00665165" w:rsidRPr="00F90EAE" w:rsidRDefault="00665165" w:rsidP="00F90EAE">
      <w:pPr>
        <w:autoSpaceDE w:val="0"/>
        <w:autoSpaceDN w:val="0"/>
        <w:adjustRightInd w:val="0"/>
        <w:jc w:val="both"/>
        <w:rPr>
          <w:color w:val="000000" w:themeColor="text1"/>
          <w:sz w:val="16"/>
          <w:szCs w:val="16"/>
        </w:rPr>
      </w:pPr>
    </w:p>
    <w:p w14:paraId="1E7F4B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года Як-3 ВК-108 совершил последний полет, после чего работы по нему прекратили, но ненадолго. 21 декабря 1944 летчик-испытатель В.Л. Расторгуев (ведущий инженер А.Н. Конуков) на пока еще безоружной машине Як-3 с ВК-108 достиг скорости 745 км/ч на высоте 6290 метров. Время набора высоты 5000 метров составило 3,5 минуты. За счет большой тяговооруженности существенно сократился разбег, при этом самолет отрывался от земли даже без поднятия хвостового колеса.</w:t>
      </w:r>
    </w:p>
    <w:p w14:paraId="14809D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Летом того же года ВК-108 установили на головной серийный самолет тбилисского завода №7003 с металлическим крылом и двумя пушками Б-20С. В дальнейшем планировалось перейти к цельнометаллической конструкции планера и вооружению из трех орудий. Но этим планам не суждено было сбыться. На машине №7003 успели лишь испытать маслорадиатор №700 с большей площадью охлаждаемой поверхности (12047).</w:t>
      </w:r>
    </w:p>
    <w:p w14:paraId="252A316D" w14:textId="77777777" w:rsidR="00665165" w:rsidRPr="00F90EAE" w:rsidRDefault="00665165" w:rsidP="00F90EAE">
      <w:pPr>
        <w:autoSpaceDE w:val="0"/>
        <w:autoSpaceDN w:val="0"/>
        <w:adjustRightInd w:val="0"/>
        <w:jc w:val="both"/>
        <w:rPr>
          <w:color w:val="000000" w:themeColor="text1"/>
          <w:sz w:val="16"/>
          <w:szCs w:val="16"/>
        </w:rPr>
      </w:pPr>
    </w:p>
    <w:p w14:paraId="5EB6E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вышел приказ НКАП N 91с:</w:t>
      </w:r>
    </w:p>
    <w:p w14:paraId="293C3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проверки применения геликоптера и выявления эксплуатационных данных этого типа самолета:</w:t>
      </w:r>
    </w:p>
    <w:p w14:paraId="054AD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Зам. нач. 6 ГУ Пагину и директору завода 473 Дуднику организовать производство малой серии геликоптеров конструкции Братухина и обеспечить выпуск к 1 августа 1945 - 1-го экз., к 1 сентября - 2-х экз., к 1 октября - 3-х и к 1 ноября 1945 - 4-х геликоптеров." (1832,3).</w:t>
      </w:r>
    </w:p>
    <w:p w14:paraId="246AB5DD" w14:textId="77777777" w:rsidR="00665165" w:rsidRPr="00F90EAE" w:rsidRDefault="00665165" w:rsidP="00F90EAE">
      <w:pPr>
        <w:autoSpaceDE w:val="0"/>
        <w:autoSpaceDN w:val="0"/>
        <w:adjustRightInd w:val="0"/>
        <w:jc w:val="both"/>
        <w:rPr>
          <w:color w:val="000000" w:themeColor="text1"/>
          <w:sz w:val="16"/>
          <w:szCs w:val="16"/>
        </w:rPr>
      </w:pPr>
    </w:p>
    <w:p w14:paraId="2CCFA1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марта 1945 года вышел приказ Наркома А. И. Шахурина о стро</w:t>
      </w:r>
      <w:r w:rsidRPr="00F90EAE">
        <w:rPr>
          <w:color w:val="000000" w:themeColor="text1"/>
          <w:sz w:val="16"/>
          <w:szCs w:val="16"/>
        </w:rPr>
        <w:softHyphen/>
        <w:t>ительстве серии из шести вертолетов «Омега» на киевском авиаза</w:t>
      </w:r>
      <w:r w:rsidRPr="00F90EAE">
        <w:rPr>
          <w:color w:val="000000" w:themeColor="text1"/>
          <w:sz w:val="16"/>
          <w:szCs w:val="16"/>
        </w:rPr>
        <w:softHyphen/>
        <w:t>воде № 473. Однако в серийное производство «Омега-П» не по</w:t>
      </w:r>
      <w:r w:rsidRPr="00F90EAE">
        <w:rPr>
          <w:color w:val="000000" w:themeColor="text1"/>
          <w:sz w:val="16"/>
          <w:szCs w:val="16"/>
        </w:rPr>
        <w:softHyphen/>
        <w:t>шел, поскольку не осталось двигателей МГ-31-Ф — их выпуск во время войны был прекращен. Вертолет «Омега-Ц» остался только в опытном экземпляре, который после дооборудования вторым комплектом рычагов уп</w:t>
      </w:r>
      <w:r w:rsidRPr="00F90EAE">
        <w:rPr>
          <w:color w:val="000000" w:themeColor="text1"/>
          <w:sz w:val="16"/>
          <w:szCs w:val="16"/>
        </w:rPr>
        <w:softHyphen/>
        <w:t>равления и проведения дополнительных испытаний использовал</w:t>
      </w:r>
      <w:r w:rsidRPr="00F90EAE">
        <w:rPr>
          <w:color w:val="000000" w:themeColor="text1"/>
          <w:sz w:val="16"/>
          <w:szCs w:val="16"/>
        </w:rPr>
        <w:softHyphen/>
        <w:t>ся для обучения и тренировки летного состава. В том же 1945 году вертолет должен был участвовать в воздушном параде по случаю Дня авиации, но накануне праздника потерпел аварию из-за ошиб</w:t>
      </w:r>
      <w:r w:rsidRPr="00F90EAE">
        <w:rPr>
          <w:color w:val="000000" w:themeColor="text1"/>
          <w:sz w:val="16"/>
          <w:szCs w:val="16"/>
        </w:rPr>
        <w:softHyphen/>
        <w:t>ки пилота. Через год восстановленный вертолет «Омега-П» впер</w:t>
      </w:r>
      <w:r w:rsidRPr="00F90EAE">
        <w:rPr>
          <w:color w:val="000000" w:themeColor="text1"/>
          <w:sz w:val="16"/>
          <w:szCs w:val="16"/>
        </w:rPr>
        <w:softHyphen/>
        <w:t>вые принял участие в воздушном параде на Тушинском аэродро</w:t>
      </w:r>
      <w:r w:rsidRPr="00F90EAE">
        <w:rPr>
          <w:color w:val="000000" w:themeColor="text1"/>
          <w:sz w:val="16"/>
          <w:szCs w:val="16"/>
        </w:rPr>
        <w:softHyphen/>
        <w:t>ме, пилотировал его летчик М. К. Байкалов. Но вскоре эксплуата</w:t>
      </w:r>
      <w:r w:rsidRPr="00F90EAE">
        <w:rPr>
          <w:color w:val="000000" w:themeColor="text1"/>
          <w:sz w:val="16"/>
          <w:szCs w:val="16"/>
        </w:rPr>
        <w:softHyphen/>
        <w:t>ция вертолета была прекращена в связи с выходом из строя двига</w:t>
      </w:r>
      <w:r w:rsidRPr="00F90EAE">
        <w:rPr>
          <w:color w:val="000000" w:themeColor="text1"/>
          <w:sz w:val="16"/>
          <w:szCs w:val="16"/>
        </w:rPr>
        <w:softHyphen/>
        <w:t>телей и отсутствием запасных (10736).</w:t>
      </w:r>
    </w:p>
    <w:p w14:paraId="34745B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D53B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был подготовлен:</w:t>
      </w:r>
    </w:p>
    <w:p w14:paraId="05562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557D5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Ответ на запрос заместителя начальника ГУУЗ'а НКАП Н.С. Аржаникова в Отдел транспортной авиации НКАП т. Лебединскому с перечнем уникального германского оборудования, которое может быть использовано для учебных заведений Наркомавиапрома (8993).</w:t>
      </w:r>
    </w:p>
    <w:p w14:paraId="438C63F9" w14:textId="77777777" w:rsidR="00665165" w:rsidRPr="00F90EAE" w:rsidRDefault="00665165" w:rsidP="00F90EAE">
      <w:pPr>
        <w:autoSpaceDE w:val="0"/>
        <w:autoSpaceDN w:val="0"/>
        <w:adjustRightInd w:val="0"/>
        <w:jc w:val="both"/>
        <w:rPr>
          <w:color w:val="000000" w:themeColor="text1"/>
          <w:sz w:val="16"/>
          <w:szCs w:val="16"/>
        </w:rPr>
      </w:pPr>
    </w:p>
    <w:p w14:paraId="7BE415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по указанию Г.М. Маленкова в 17 часов 15 минут самолет С-47 доставил в столицу образец секретного оружия Третьего рейха. 7 марта 1945 И.Н. Петров сообщил по телефону в Москву, что им осмотрены немецкие склады в г. Китлицтребен, на которых найдено около 90 радиоуправляемых воздушных торпед и 20 комплектов радиоаппаратуры к ним. В районе города Лигниц группа обнаружила еще 36 управляемых авиабомб, из них две - в исправном состоянии. В Москве в качестве эксперта немецкую технику изучал один из создателей отечественного ракетного оружия Ю.А. Победоносцев. Доставленный образец, как стало известно впоследствии, был немецкой радиоуправляемой авиабомбой FX 1400 "Фриц-Х". К немецкому чудо-оружию бомбу отнесли из-за ее маркировки - 2989V3. Присутствие в маркировке буквы V (по-немецки фау) и послужило поводом для столь смелых предположений. Но и немецкая управляемая бомба массой в 1570 кг была не так заурядна, как может показаться на первый взгляд.</w:t>
      </w:r>
    </w:p>
    <w:p w14:paraId="781DC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Две такие бомбы, сброшенные 9 сентября 1943 года с высоты 4 - 5 км штурманами бомбардировщиков Do 217К-2 III/KG100 майора Бернарда Йопе, отправили на дно новейший итальянский линкор "Рома", шедший под флагом адмирала Бергамини, и 1250 членов экипажа, в течение получаса отчаянно боровшихся за спасение обреченного корабля. Еще одна управляемая бомба, пробив две броневые палубы и обшивку противоположного борта однотипного линкора "Италия", взорвалась уже в воде и впустила несколько тысяч тонн средиземноморской воды в отсеки поврежденного корабля. Линкор сумел своим ходом добраться до рейда Ла-Валеты вместе с итальянской эскадрой, выполнившей условия перемирия, заключенного накануне между Италией и союзным командованием. Применение немецкой авиацией управляемых бомб против итальянского флота - самая удачная операция Люфтваффе на море во Второй мировой войне и одновременно одна из самых трагических страниц в истории итальянского флота. Всего с июля 1943 года по апрель 1944 года немецкая авиация использовала 108 авиабомб FX 1400, из которых 60 удалось применить по назначению. В цель, по немецким данным, попали 44 управляемые авиабомбы. В результате был уничтожен один линкор, а также повреждены два линкора и три крейсера. Союзники, для которых применение первых управляемых авиабомб оказалось полной неожиданностью, все же смогли быстро найти эффективное противодействие и свести ущерб от нового оружия до приемлемого уровня. В литературе встречаются упоминания об отдельных случаях применения авиабомб FX 1400 по переправам и наземным целям.</w:t>
      </w:r>
    </w:p>
    <w:p w14:paraId="29534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Обнаруженные в Германии управляемые авиабомбы впоследствии направили на завод № 12 Наркомата боеприпасов для изучения советскими специалистами. Одна из авиабомб FX 1400 детально изучалась в 1946 году В. Мельцером в лаборатории бомбардировочного вооружения Летно-исследовательского института. В 1950 - 1951 годах на Ахтубинском испытательном полигоне ВВС (НИП-4) провели летные и полигонные испытания серии трофейных авиабомб FX 1400. Некоторые </w:t>
      </w:r>
      <w:r w:rsidRPr="00F90EAE">
        <w:rPr>
          <w:color w:val="000000" w:themeColor="text1"/>
          <w:sz w:val="16"/>
          <w:szCs w:val="16"/>
        </w:rPr>
        <w:lastRenderedPageBreak/>
        <w:t>технические решения немецких конструкторов были использованы нашими конструкторами при разработке опытных образцов отечественного управляемого оружия (11618).</w:t>
      </w:r>
    </w:p>
    <w:p w14:paraId="7ACE2244" w14:textId="77777777" w:rsidR="00665165" w:rsidRPr="00F90EAE" w:rsidRDefault="00665165" w:rsidP="00F90EAE">
      <w:pPr>
        <w:autoSpaceDE w:val="0"/>
        <w:autoSpaceDN w:val="0"/>
        <w:adjustRightInd w:val="0"/>
        <w:jc w:val="both"/>
        <w:rPr>
          <w:color w:val="000000" w:themeColor="text1"/>
          <w:sz w:val="16"/>
          <w:szCs w:val="16"/>
        </w:rPr>
      </w:pPr>
    </w:p>
    <w:p w14:paraId="510587D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C38DD67" w14:textId="77777777" w:rsidR="00665165" w:rsidRPr="00F90EAE" w:rsidRDefault="00665165" w:rsidP="00F90EAE">
      <w:pPr>
        <w:autoSpaceDE w:val="0"/>
        <w:autoSpaceDN w:val="0"/>
        <w:adjustRightInd w:val="0"/>
        <w:jc w:val="both"/>
        <w:rPr>
          <w:iCs/>
          <w:color w:val="000000" w:themeColor="text1"/>
          <w:sz w:val="16"/>
          <w:szCs w:val="16"/>
        </w:rPr>
      </w:pPr>
    </w:p>
    <w:p w14:paraId="0C92AF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8 марта 1945 г. на базе ЛФ ЦАКБ был создан ЦКБ-34 Для ЦКБ-34 характерна марка "СМ". </w:t>
      </w:r>
    </w:p>
    <w:p w14:paraId="725A2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1956 г. создана пушка СМ-54 (2А3) на самоходном шасси для стрельбы ядерными боеприпасами «Конденсатор» (калибр-406 мм, масса- 570 кг, макс. дальность стрельбы- 25,6 км).</w:t>
      </w:r>
    </w:p>
    <w:p w14:paraId="089430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1965 г. ЦКБ-34 ГКОТ передано в ведение 4ГУ МОМ и по приказу от 6.03.1966 г. преобразовано в КБСМ (средств механизации).77 В 1970-80-е г. КБ специального машиностроения вновь вошло в МОМ (в ведении 4ГУ). Затем называлось МаЦКБ. Головное предприятие по наземному оборудованию для РКТ. По решению правительства № 22-р от 9.01.2004 г. и Указу Президента РФ № 1009 от 4.08.2004 г. ОАО вошло в число стратегических оборонных предприятий.</w:t>
      </w:r>
    </w:p>
    <w:p w14:paraId="3810E5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на 2002 г.: разработка наземного оборудования ракетно-космических комплексов наземного и мобильного базирования, антенные установки, прецизионные опорно-поворотные установки, оборудование для тепловакуумных камер для наземных испытаний РКТ, монтажно-стыковочное оборудование большой грузоподъемности, транспортные средства.</w:t>
      </w:r>
    </w:p>
    <w:p w14:paraId="7B3BD8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Имело филиал в КБОМ (г. Москва). </w:t>
      </w:r>
    </w:p>
    <w:p w14:paraId="41E8F8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(2002 г.) ~1900 чел.</w:t>
      </w:r>
    </w:p>
    <w:p w14:paraId="21A16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(1950-60-е)- В.Г. Рудяк,58 (1970-е г.)- В. Степанов, Г.А. Белов.</w:t>
      </w:r>
    </w:p>
    <w:p w14:paraId="48CDD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гл. конструктор (2002 г.)- Н.А. Трофимов.</w:t>
      </w:r>
    </w:p>
    <w:p w14:paraId="1B483D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1-й зам. Начальника/ гл. инженер (2002 г.)- В.Г. Долбенков. Зам. Начальника по экономике (2002 г.)- И.В. Маркелов.69 </w:t>
      </w:r>
    </w:p>
    <w:p w14:paraId="3D6F5B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Работали: (1958 г.-)- Е.А. Угрюмов (нач. лаборатории).</w:t>
      </w:r>
    </w:p>
    <w:p w14:paraId="740652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Создано: палубная артустановка СМ-5 (конец 1940-х); СМ-2-1 (1950-е), СМ-6, СМ-33, СМ-31, СМ-59 (ПУ с «КСЩ» для эсминца пр. 56Э). ПУ: для БРПЛ: СМ-60 для Р-11ФМ и Р-13, СМ-87 для Р-21, для Р-27; СМ-64 для ЗРК «Волхов» М-2 (1957); СМ-44 (2П5) для РСЗО «Коршун» на шасси ЯАЗ-214, КрАЗ-214 (1955); для ККР КСЩ, «Аметист», «Малахит», «Оникс».58 </w:t>
      </w:r>
    </w:p>
    <w:p w14:paraId="319DAD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ЦКБ-34 МОП, МО, ГКОТ, КБ средств механизации (КБСМ) МОМ, МаЦКБ МОМ, ФГУП, ОАО «КБ Специального машиностроения» (КБСМ) </w:t>
      </w:r>
    </w:p>
    <w:p w14:paraId="0918E9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194100 г. Ленинград, Санкт-Петербург Лесной пр., 64 тел. 245-51-13 (10776).</w:t>
      </w:r>
    </w:p>
    <w:p w14:paraId="1BC65C77" w14:textId="77777777" w:rsidR="00665165" w:rsidRPr="00F90EAE" w:rsidRDefault="00665165" w:rsidP="00F90EAE">
      <w:pPr>
        <w:autoSpaceDE w:val="0"/>
        <w:autoSpaceDN w:val="0"/>
        <w:adjustRightInd w:val="0"/>
        <w:jc w:val="both"/>
        <w:rPr>
          <w:color w:val="000000" w:themeColor="text1"/>
          <w:sz w:val="16"/>
          <w:szCs w:val="16"/>
        </w:rPr>
      </w:pPr>
    </w:p>
    <w:p w14:paraId="23D5F8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7726. О разбронировании 8 тыс. т. мазута НКВМФ для нужд оборонной промышленности в марте 1945 г. РГАНИР, Фонд ГКО, д. 378 Л.5 (11012).</w:t>
      </w:r>
    </w:p>
    <w:p w14:paraId="62A94EF5" w14:textId="77777777" w:rsidR="00665165" w:rsidRPr="00F90EAE" w:rsidRDefault="00665165" w:rsidP="00F90EAE">
      <w:pPr>
        <w:autoSpaceDE w:val="0"/>
        <w:autoSpaceDN w:val="0"/>
        <w:adjustRightInd w:val="0"/>
        <w:jc w:val="both"/>
        <w:rPr>
          <w:color w:val="000000" w:themeColor="text1"/>
          <w:sz w:val="16"/>
          <w:szCs w:val="16"/>
        </w:rPr>
      </w:pPr>
    </w:p>
    <w:p w14:paraId="1446FE8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7727 [О поставках 50 одноосных 1,5-тонных автоприцепов для лесозаготовительных работ НКВД на строительстве Беломорско-Балтийского канала.] (7313, 6).</w:t>
      </w:r>
    </w:p>
    <w:p w14:paraId="029F154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BFFF9E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7728 [О железнодорожных перевозках на пусковых объектах строек черной металлургии (НКВД).] (7313, 7).</w:t>
      </w:r>
    </w:p>
    <w:p w14:paraId="16237DE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AA19CA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7729 [Об обеспечении строительными материалами строек и предприятий НКЧМ, НКЦМ, НКЭС, НКПС, НКУП и НКНП.] (7313, 8-9,10-16).</w:t>
      </w:r>
    </w:p>
    <w:p w14:paraId="550359B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C95409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7730 О мерах по усилению выгрузки и ликвидации накопления груженых вагонов с воинскими грузами для 3, 2, 1-го Белорусских и 1-го Украинского фронтов. (7313, 17-22).</w:t>
      </w:r>
    </w:p>
    <w:p w14:paraId="04DB671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0E20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7731. О нормах расхода строительного леса на жилищное строительство по угольным бассейнам. РГАНИР, Фонд ГКО, д. 378, лл. 23-24 (11012).</w:t>
      </w:r>
    </w:p>
    <w:p w14:paraId="690ACE85" w14:textId="77777777" w:rsidR="00665165" w:rsidRPr="00F90EAE" w:rsidRDefault="00665165" w:rsidP="00F90EAE">
      <w:pPr>
        <w:autoSpaceDE w:val="0"/>
        <w:autoSpaceDN w:val="0"/>
        <w:adjustRightInd w:val="0"/>
        <w:jc w:val="both"/>
        <w:rPr>
          <w:color w:val="000000" w:themeColor="text1"/>
          <w:sz w:val="16"/>
          <w:szCs w:val="16"/>
        </w:rPr>
      </w:pPr>
    </w:p>
    <w:p w14:paraId="5EA1B8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7732 О поставке Наркомату боеприпасов импортного металла для производства свертных артиллерийских гильз. РГАНИР, Фонд ГКО, д. 378 Л.25 (11012).</w:t>
      </w:r>
    </w:p>
    <w:p w14:paraId="7D3C8829" w14:textId="77777777" w:rsidR="00665165" w:rsidRPr="00F90EAE" w:rsidRDefault="00665165" w:rsidP="00F90EAE">
      <w:pPr>
        <w:autoSpaceDE w:val="0"/>
        <w:autoSpaceDN w:val="0"/>
        <w:adjustRightInd w:val="0"/>
        <w:jc w:val="both"/>
        <w:rPr>
          <w:color w:val="000000" w:themeColor="text1"/>
          <w:sz w:val="16"/>
          <w:szCs w:val="16"/>
        </w:rPr>
      </w:pPr>
    </w:p>
    <w:p w14:paraId="1640835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7733 О передаче Наркомуглю для шахт Донбасса узкоколейных рельс трофейной железнодорожной ветки, вывезенной из Финляндии в Ленинград. (7313, 26).</w:t>
      </w:r>
    </w:p>
    <w:p w14:paraId="43FC1AA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96E49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7734 [Об организации в Риге речного училища.] (7313, 27).</w:t>
      </w:r>
    </w:p>
    <w:p w14:paraId="6CCC349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10B815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7735 [Об организации подвижных радиостанций НКГБ в прифронтовой зоне.] (7313, 28).</w:t>
      </w:r>
    </w:p>
    <w:p w14:paraId="616DCED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CA48E5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7737 О мероприятиях по обеспечению геологоразведочных работ по урану в 1945 г. (Д. 378, 30-37, 38-53).</w:t>
      </w:r>
    </w:p>
    <w:p w14:paraId="5FF51B4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9239E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7736. О досрочном освобождении 4 тыс. осужденных за самовольный уход с предприятий и бытовые преступления и направлении их на заводы НКСС и НКАП. РГАНИР, Фонд ГКО, д. 378 Л.29 (11012).</w:t>
      </w:r>
    </w:p>
    <w:p w14:paraId="468A20D1" w14:textId="77777777" w:rsidR="00665165" w:rsidRPr="00F90EAE" w:rsidRDefault="00665165" w:rsidP="00F90EAE">
      <w:pPr>
        <w:autoSpaceDE w:val="0"/>
        <w:autoSpaceDN w:val="0"/>
        <w:adjustRightInd w:val="0"/>
        <w:jc w:val="both"/>
        <w:rPr>
          <w:color w:val="000000" w:themeColor="text1"/>
          <w:sz w:val="16"/>
          <w:szCs w:val="16"/>
        </w:rPr>
      </w:pPr>
    </w:p>
    <w:p w14:paraId="3C19DB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7738 Об организации производства антифриза и диэтиленгликоля на заводе №96 Наркомхимпрома. РГАНИР, Фонд ГКО, д. 378, лл. 54-56, 57-59 (11012).</w:t>
      </w:r>
    </w:p>
    <w:p w14:paraId="4717D3F1" w14:textId="77777777" w:rsidR="00665165" w:rsidRPr="00F90EAE" w:rsidRDefault="00665165" w:rsidP="00F90EAE">
      <w:pPr>
        <w:autoSpaceDE w:val="0"/>
        <w:autoSpaceDN w:val="0"/>
        <w:adjustRightInd w:val="0"/>
        <w:jc w:val="both"/>
        <w:rPr>
          <w:color w:val="000000" w:themeColor="text1"/>
          <w:sz w:val="16"/>
          <w:szCs w:val="16"/>
        </w:rPr>
      </w:pPr>
    </w:p>
    <w:p w14:paraId="782A96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7739 О создании в системе Наркомвооружения морского артиллерийского конструкторского бюро на базе Ленинградского филиала Центрального артиллерийского конструкторского бюро. РГАНИР, Фонд ГКО, д. 378, лл. 60-62 (11012).</w:t>
      </w:r>
    </w:p>
    <w:p w14:paraId="14CF023B" w14:textId="77777777" w:rsidR="00665165" w:rsidRPr="00F90EAE" w:rsidRDefault="00665165" w:rsidP="00F90EAE">
      <w:pPr>
        <w:autoSpaceDE w:val="0"/>
        <w:autoSpaceDN w:val="0"/>
        <w:adjustRightInd w:val="0"/>
        <w:jc w:val="both"/>
        <w:rPr>
          <w:color w:val="000000" w:themeColor="text1"/>
          <w:sz w:val="16"/>
          <w:szCs w:val="16"/>
        </w:rPr>
      </w:pPr>
    </w:p>
    <w:p w14:paraId="64953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Распоряжение ГКО № 7740. О мерах по обеспечению выполнения заводами НКРП в марте 1945 г. плана производства синтетического каучука, шин и других резинотехнических и асбестовых изделий. РГАНИР, Фонд ГКО, д. 378, лл. 63-67 (11012).</w:t>
      </w:r>
    </w:p>
    <w:p w14:paraId="4C61FD40" w14:textId="77777777" w:rsidR="00665165" w:rsidRPr="00F90EAE" w:rsidRDefault="00665165" w:rsidP="00F90EAE">
      <w:pPr>
        <w:autoSpaceDE w:val="0"/>
        <w:autoSpaceDN w:val="0"/>
        <w:adjustRightInd w:val="0"/>
        <w:jc w:val="both"/>
        <w:rPr>
          <w:color w:val="000000" w:themeColor="text1"/>
          <w:sz w:val="16"/>
          <w:szCs w:val="16"/>
        </w:rPr>
      </w:pPr>
    </w:p>
    <w:p w14:paraId="663D4F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вышло Постановление ГКО № 7741 О неотложных мерах по снабжению хлопком, шерстью, льняным и пеньковым волокном предприятий текстильной промышленности. РГАНИР, Фонд ГКО, д. 378, лл. 68-69 (11012).</w:t>
      </w:r>
    </w:p>
    <w:p w14:paraId="592947E0" w14:textId="77777777" w:rsidR="00665165" w:rsidRPr="00F90EAE" w:rsidRDefault="00665165" w:rsidP="00F90EAE">
      <w:pPr>
        <w:autoSpaceDE w:val="0"/>
        <w:autoSpaceDN w:val="0"/>
        <w:adjustRightInd w:val="0"/>
        <w:jc w:val="both"/>
        <w:rPr>
          <w:color w:val="000000" w:themeColor="text1"/>
          <w:sz w:val="16"/>
          <w:szCs w:val="16"/>
        </w:rPr>
      </w:pPr>
    </w:p>
    <w:p w14:paraId="1FB72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года в связи с острой нехваткой урана в СССР было выпущено Постановление ГКО "О мероприятиях по обеспечению геологоразведочных работ по урану в 1945 году". Это постановление обязало Комитет по делам геологии интенсифицировать поиск богатых урановых месторождений в СССР. К началу целенаправленных поисков в СССР было известно пять месторождений с общим запасом около 500 тонн урана. Эти месторождения и послужили базой, с которой начала свое развитие урановая промышленность Советского Союза. Для сравнения отметим, что в это время общие мировые запасы урана оценивались в 12000-15000 тонн, в том числе в Европе - 1000 тонн (Рудные горы в Чехословакии, Корнуэлл в Англии), в Африке - 3000 тонн (Шинколобве в Бельгийском Конго), в Северной Америке 9000 тонн (6000 тонн - Медвежье озеро в Канаде и 3000 тонн - Плато Колорадо в США) (10549).</w:t>
      </w:r>
    </w:p>
    <w:p w14:paraId="5193BA11" w14:textId="77777777" w:rsidR="00665165" w:rsidRPr="00F90EAE" w:rsidRDefault="00665165" w:rsidP="00F90EAE">
      <w:pPr>
        <w:autoSpaceDE w:val="0"/>
        <w:autoSpaceDN w:val="0"/>
        <w:adjustRightInd w:val="0"/>
        <w:jc w:val="both"/>
        <w:rPr>
          <w:color w:val="000000" w:themeColor="text1"/>
          <w:sz w:val="16"/>
          <w:szCs w:val="16"/>
        </w:rPr>
      </w:pPr>
    </w:p>
    <w:p w14:paraId="2B56038E" w14:textId="77777777" w:rsidR="0000194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DD32F36" w14:textId="77777777" w:rsidR="00001948" w:rsidRPr="00F90EAE" w:rsidRDefault="00001948" w:rsidP="00F90EAE">
      <w:pPr>
        <w:autoSpaceDE w:val="0"/>
        <w:autoSpaceDN w:val="0"/>
        <w:adjustRightInd w:val="0"/>
        <w:jc w:val="both"/>
        <w:rPr>
          <w:iCs/>
          <w:color w:val="000000" w:themeColor="text1"/>
          <w:sz w:val="16"/>
          <w:szCs w:val="16"/>
        </w:rPr>
      </w:pPr>
    </w:p>
    <w:p w14:paraId="49C6EF2D" w14:textId="77777777" w:rsidR="00001948" w:rsidRPr="00F90EAE" w:rsidRDefault="00001948"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оперативная сводка Совинформбюро:.</w:t>
      </w:r>
    </w:p>
    <w:p w14:paraId="6FD272E7"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8 марта овладели городами Бытув (Бютов) и Косьцежина (Берент) — важными узлами железных и шоссейных дорог и сильными опорными пунктами обороны немцев на путях к Данцигу, а также заняли более 300 других населённых пунктов, среди которых: крупные населённые пункты Адлих Либенау, Перплин, Райкау, Сварошин, Шадрау, Майстерсвальде, Штангенвальде, Эггертсхютте, Грабувко, Калиска, Корнен, Накель, Борнтухен, Альт-Кольциглов, Клайн И Гросс Ганзен, Клайн Зильков, Квакенбург, Францен. За 7 марта войска фронта взяли в плен более 2.000 немецких солдат и офицеров.</w:t>
      </w:r>
    </w:p>
    <w:p w14:paraId="778EF4C9" w14:textId="77777777" w:rsidR="00001948" w:rsidRPr="00F90EAE" w:rsidRDefault="00001948" w:rsidP="00F90EAE">
      <w:pPr>
        <w:jc w:val="both"/>
        <w:rPr>
          <w:color w:val="000000" w:themeColor="text1"/>
          <w:sz w:val="16"/>
          <w:szCs w:val="16"/>
        </w:rPr>
      </w:pPr>
      <w:r w:rsidRPr="00F90EAE">
        <w:rPr>
          <w:color w:val="000000" w:themeColor="text1"/>
          <w:sz w:val="16"/>
          <w:szCs w:val="16"/>
        </w:rPr>
        <w:lastRenderedPageBreak/>
        <w:t>На Штеттинском направлении, северо-западнее и западнее города Штаргард, наши войска вели бои по очищению от противника восточного берега реки Одер и заняли более 60 населённых пунктов, в том числе крупные населённые пункты Любцин, Христиненберг, Августвальде, Баренбрух, Кубланк, Реков, Колов, Зинцлов, Бремерхайде.</w:t>
      </w:r>
    </w:p>
    <w:p w14:paraId="4251C060" w14:textId="77777777" w:rsidR="00001948" w:rsidRPr="00F90EAE" w:rsidRDefault="00001948" w:rsidP="00F90EAE">
      <w:pPr>
        <w:jc w:val="both"/>
        <w:rPr>
          <w:color w:val="000000" w:themeColor="text1"/>
          <w:sz w:val="16"/>
          <w:szCs w:val="16"/>
        </w:rPr>
      </w:pPr>
      <w:r w:rsidRPr="00F90EAE">
        <w:rPr>
          <w:color w:val="000000" w:themeColor="text1"/>
          <w:sz w:val="16"/>
          <w:szCs w:val="16"/>
        </w:rPr>
        <w:t>В боях за 7 марта войска 1-го Белорусского фронта взяли в плен свыше 3.000 немецких солдат и офицеров.</w:t>
      </w:r>
    </w:p>
    <w:p w14:paraId="554DF85E" w14:textId="77777777" w:rsidR="00001948" w:rsidRPr="00F90EAE" w:rsidRDefault="00001948" w:rsidP="00F90EAE">
      <w:pPr>
        <w:jc w:val="both"/>
        <w:rPr>
          <w:color w:val="000000" w:themeColor="text1"/>
          <w:sz w:val="16"/>
          <w:szCs w:val="16"/>
        </w:rPr>
      </w:pPr>
      <w:r w:rsidRPr="00F90EAE">
        <w:rPr>
          <w:color w:val="000000" w:themeColor="text1"/>
          <w:sz w:val="16"/>
          <w:szCs w:val="16"/>
        </w:rPr>
        <w:t>В Венгрии северо-восточнее и южнее озера Балатон наши войска продолжали отбивать атаки крупных сил пехоты и танков противника.</w:t>
      </w:r>
    </w:p>
    <w:p w14:paraId="2B3E11A8" w14:textId="77777777" w:rsidR="00001948" w:rsidRPr="00F90EAE" w:rsidRDefault="00001948"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073815E7" w14:textId="77777777" w:rsidR="00001948" w:rsidRPr="00F90EAE" w:rsidRDefault="00001948" w:rsidP="00F90EAE">
      <w:pPr>
        <w:jc w:val="both"/>
        <w:rPr>
          <w:color w:val="000000" w:themeColor="text1"/>
          <w:sz w:val="16"/>
          <w:szCs w:val="16"/>
        </w:rPr>
      </w:pPr>
      <w:r w:rsidRPr="00F90EAE">
        <w:rPr>
          <w:color w:val="000000" w:themeColor="text1"/>
          <w:sz w:val="16"/>
          <w:szCs w:val="16"/>
        </w:rPr>
        <w:t>За 7 марта на всех фронтах подбито и уничтожено 116 немецких танков. В воздушных боях и огнём зенитной артиллерии сбито 39 самолётов противника.</w:t>
      </w:r>
    </w:p>
    <w:p w14:paraId="0DACF76B"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2-го Белорусского фронта развивали успешное наступление. Советские пехотинцы при поддержке танков и артиллерии атаковали город Косьцежина (Берент)— сильный опорный пункт обороны немцев на подступах к Данцигу. Наши бойцы ворвались в город и после ожесточённых уличных схваток овладели им. Упорные бои происходили также на подступах к городу Бытув (Бютов). Этот город является важным узлом коммуникаций в восточной Померании. К нему сходятся три железные и несколько шоссейных дорог. Удерживая Бытув, немцы имели возможность маневрировать своими войсками. Бойцы Н-ского соединения, подошедшие к городу, отразили следовавшие одна за другой десять контратак противника. Тем временем наши подвижные части совершили обходный манёвр и нанесли врагу удар с северо-запада. В результате ожесточённого боя сопротивление немцев было сломлено. Остатки разбитого вражеского гарнизона в беспорядке отступили.</w:t>
      </w:r>
    </w:p>
    <w:p w14:paraId="3F9C75B3" w14:textId="77777777" w:rsidR="00001948" w:rsidRPr="00F90EAE" w:rsidRDefault="00001948" w:rsidP="00F90EAE">
      <w:pPr>
        <w:jc w:val="both"/>
        <w:rPr>
          <w:color w:val="000000" w:themeColor="text1"/>
          <w:sz w:val="16"/>
          <w:szCs w:val="16"/>
        </w:rPr>
      </w:pPr>
      <w:r w:rsidRPr="00F90EAE">
        <w:rPr>
          <w:color w:val="000000" w:themeColor="text1"/>
          <w:sz w:val="16"/>
          <w:szCs w:val="16"/>
        </w:rPr>
        <w:t>Войска фронта, преодолевая лесные завалы, минные поля и ломая оборону противника, построенную между озёрами, продвинулись вперёд на 20 километров. В районе населённого пункта Штангенвальде немцы бросили в контратаку танки. Наши танкисты уничтожили 13 вражеских танков и выбили немцев из Штангенвальде, находящегося в 20 километрах к юго-западу от Данцига. За день боёв наши войска истребили свыше 3 тысяч немецких солдат и офицеров. Уничтожено 42 танка и самоходных орудия противника. Захвачено у немцев 6 самолётов, 3 железнодорожных эшелона с военным имуществом и большое количество вооружения. Взят в плен командир немецкой запасной бригады «Герман Геринг» полковник Майер со своим штабом.</w:t>
      </w:r>
    </w:p>
    <w:p w14:paraId="705C25D9" w14:textId="77777777" w:rsidR="00001948" w:rsidRPr="00F90EAE" w:rsidRDefault="00001948" w:rsidP="00F90EAE">
      <w:pPr>
        <w:jc w:val="both"/>
        <w:rPr>
          <w:color w:val="000000" w:themeColor="text1"/>
          <w:sz w:val="16"/>
          <w:szCs w:val="16"/>
        </w:rPr>
      </w:pPr>
      <w:r w:rsidRPr="00F90EAE">
        <w:rPr>
          <w:color w:val="000000" w:themeColor="text1"/>
          <w:sz w:val="16"/>
          <w:szCs w:val="16"/>
        </w:rPr>
        <w:t>На Штеттинском направлении наши войска продолжали наступление. Советские танки и пехота, продвигаясь вдоль шоссейных и железных дорог, идущих к городу Альтдамм, выбили немцев из ряда населённых пунктов. Ожесточённые бои идут в 5 километрах к востоку от Альтдамма. Немцы стремятся удержать в своих руках этот город, прикрывающий Штеттин с востока. Советские войска, наступающие в северном направлении между озером Мадю-Зее и рекой Одер, продвинулись вперёд на 15 километров. Занят ряд сильно укреплённых опорных пунктов. Отступая под ударами наших войск, противник несёт большие потери в живой силе и технике. По неполным данным, захвачено у немцев 5 самоходных орудий, 74 полевых орудия, более 100 миномётов, 300 пулемётов и другие трофеи.</w:t>
      </w:r>
    </w:p>
    <w:p w14:paraId="1A24DD29" w14:textId="77777777" w:rsidR="00001948" w:rsidRPr="00F90EAE" w:rsidRDefault="00001948" w:rsidP="00F90EAE">
      <w:pPr>
        <w:jc w:val="both"/>
        <w:rPr>
          <w:color w:val="000000" w:themeColor="text1"/>
          <w:sz w:val="16"/>
          <w:szCs w:val="16"/>
        </w:rPr>
      </w:pPr>
      <w:r w:rsidRPr="00F90EAE">
        <w:rPr>
          <w:color w:val="000000" w:themeColor="text1"/>
          <w:sz w:val="16"/>
          <w:szCs w:val="16"/>
        </w:rPr>
        <w:t>В городе Штепенитц, занятом вчера нашими войсками, захвачено 23 паровоза, более 500 железнодорожных вагонов и цистерн, пароход с баржей и несколько складов с боеприпасами, продовольствием и военными материалами.</w:t>
      </w:r>
    </w:p>
    <w:p w14:paraId="134533F5" w14:textId="77777777" w:rsidR="00001948" w:rsidRPr="00F90EAE" w:rsidRDefault="00001948" w:rsidP="00F90EAE">
      <w:pPr>
        <w:jc w:val="both"/>
        <w:rPr>
          <w:color w:val="000000" w:themeColor="text1"/>
          <w:sz w:val="16"/>
          <w:szCs w:val="16"/>
        </w:rPr>
      </w:pPr>
      <w:r w:rsidRPr="00F90EAE">
        <w:rPr>
          <w:color w:val="000000" w:themeColor="text1"/>
          <w:sz w:val="16"/>
          <w:szCs w:val="16"/>
        </w:rPr>
        <w:t>В Венгрии северо-восточнее и южнее озера Балатон противник на рассвете возобновил атаки. На узком участке немцы бросили в бой крупные силы пехоты и танков. Мощным огнём из всех видов оружия и контрударами советские части отбивают атаки гитлеровцев. В ходе ожесточённого боя уничтожено свыше 2 тысяч немецких солдат и офицеров. Сожжено, подбито и подорвалось на минах 26 бронетранспортёров и 48 танков и самоходных орудий противника.</w:t>
      </w:r>
    </w:p>
    <w:p w14:paraId="60E6EB1C" w14:textId="77777777" w:rsidR="00001948" w:rsidRPr="00F90EAE" w:rsidRDefault="00001948" w:rsidP="00F90EAE">
      <w:pPr>
        <w:jc w:val="both"/>
        <w:rPr>
          <w:color w:val="000000" w:themeColor="text1"/>
          <w:sz w:val="16"/>
          <w:szCs w:val="16"/>
        </w:rPr>
      </w:pPr>
      <w:r w:rsidRPr="00F90EAE">
        <w:rPr>
          <w:color w:val="000000" w:themeColor="text1"/>
          <w:sz w:val="16"/>
          <w:szCs w:val="16"/>
        </w:rPr>
        <w:t>Отражая вражеские атаки, советские бойцы, сержанты и офицеры проявляют непоколебимую стойкость и героизм. Орудийный расчёт сержанта Нанешева в одном бою подбил три немецких танка. Бронебойщики Воронин и Емельянов вместе с группой автоматчиков истребили взвод вражеской пехоты и сожгли самоходное орудие. Пулемётчик Басаранов уничтожил 13 немцев. Два немецких танка атаковали пулемётный взвод лейтенанта Кропачёва. Лейтенант Кропачёв противотанковыми гранатами подбил один немецкий танк. Другой танк пулемётчики забросали бутылками с горючей смесью. Вражеская машина сгорела. Три немецких танка подорвались на минах, установленных сапёром Василенко.</w:t>
      </w:r>
    </w:p>
    <w:p w14:paraId="15D6785A" w14:textId="77777777" w:rsidR="00001948" w:rsidRPr="00F90EAE" w:rsidRDefault="00001948" w:rsidP="00F90EAE">
      <w:pPr>
        <w:jc w:val="both"/>
        <w:rPr>
          <w:color w:val="000000" w:themeColor="text1"/>
          <w:sz w:val="16"/>
          <w:szCs w:val="16"/>
        </w:rPr>
      </w:pPr>
      <w:r w:rsidRPr="00F90EAE">
        <w:rPr>
          <w:color w:val="000000" w:themeColor="text1"/>
          <w:sz w:val="16"/>
          <w:szCs w:val="16"/>
        </w:rPr>
        <w:t>Нашими кораблями в Балтийском море потоплен транспорт противника водоизмещением в 4 тысячи тонн.» (15062).</w:t>
      </w:r>
    </w:p>
    <w:p w14:paraId="5FD3CCBD" w14:textId="77777777" w:rsidR="00001948" w:rsidRPr="00F90EAE" w:rsidRDefault="00001948" w:rsidP="00F90EAE">
      <w:pPr>
        <w:jc w:val="both"/>
        <w:rPr>
          <w:color w:val="000000" w:themeColor="text1"/>
          <w:sz w:val="16"/>
          <w:szCs w:val="16"/>
        </w:rPr>
      </w:pPr>
    </w:p>
    <w:p w14:paraId="5B6269C4" w14:textId="77777777" w:rsidR="00001948" w:rsidRPr="00F90EAE" w:rsidRDefault="00001948"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под Ленинградом летчики В.Рыбин и А.Федотов (из 11-го и 102-го гвардейских полков) на «Spitfire» «LF IX» перехватили и сбили шедший на большой высоте немецкий разведчик «Ju88». Сбитый самолет относился к одной из последних модификаций (S или Т), имевшей на моторах устройства для форсирования мощности. Для других типов истребителей этот «Юнкерс» был неуязвим (15062).</w:t>
      </w:r>
    </w:p>
    <w:p w14:paraId="69806EC0" w14:textId="77777777" w:rsidR="00001948" w:rsidRPr="00F90EAE" w:rsidRDefault="00001948" w:rsidP="00F90EAE">
      <w:pPr>
        <w:jc w:val="both"/>
        <w:rPr>
          <w:color w:val="000000" w:themeColor="text1"/>
          <w:sz w:val="16"/>
          <w:szCs w:val="16"/>
        </w:rPr>
      </w:pPr>
    </w:p>
    <w:p w14:paraId="372CB579" w14:textId="77777777" w:rsidR="00202AFD" w:rsidRPr="00F90EAE" w:rsidRDefault="00202AFD" w:rsidP="00F90EAE">
      <w:pPr>
        <w:jc w:val="both"/>
        <w:rPr>
          <w:color w:val="0070C0"/>
          <w:sz w:val="16"/>
          <w:szCs w:val="16"/>
        </w:rPr>
      </w:pPr>
      <w:r w:rsidRPr="00F90EAE">
        <w:rPr>
          <w:color w:val="0070C0"/>
          <w:sz w:val="16"/>
          <w:szCs w:val="16"/>
        </w:rPr>
        <w:t>8 марта 1945 г. «Мистели» разрушили несколько переправ через Одер и 30 апреля 1945 г. совершили свой последний боевой вылет. Четыре сцепки вылетели из Пенемюнде для атаки моста через Одер в районе Тантова. Однако они не смогли долететь до цели, а из четырех пилотов выжил только один, приземлившийся в Ростоке (22758).</w:t>
      </w:r>
    </w:p>
    <w:p w14:paraId="493AA68B" w14:textId="77777777" w:rsidR="00202AFD" w:rsidRPr="00F90EAE" w:rsidRDefault="00202AFD" w:rsidP="00F90EAE">
      <w:pPr>
        <w:jc w:val="both"/>
        <w:rPr>
          <w:color w:val="0070C0"/>
          <w:sz w:val="16"/>
          <w:szCs w:val="16"/>
        </w:rPr>
      </w:pPr>
    </w:p>
    <w:p w14:paraId="7F25A0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197C020" w14:textId="77777777" w:rsidR="00665165" w:rsidRPr="00F90EAE" w:rsidRDefault="00665165" w:rsidP="00F90EAE">
      <w:pPr>
        <w:autoSpaceDE w:val="0"/>
        <w:autoSpaceDN w:val="0"/>
        <w:adjustRightInd w:val="0"/>
        <w:jc w:val="both"/>
        <w:rPr>
          <w:iCs/>
          <w:color w:val="000000" w:themeColor="text1"/>
          <w:sz w:val="16"/>
          <w:szCs w:val="16"/>
        </w:rPr>
      </w:pPr>
    </w:p>
    <w:p w14:paraId="15B28709" w14:textId="77777777" w:rsidR="00C1740F" w:rsidRPr="00F90EAE" w:rsidRDefault="00C1740F"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последний, из заказанных 66 палубных истребителей </w:t>
      </w:r>
      <w:hyperlink r:id="rId64" w:tgtFrame="_blank" w:history="1">
        <w:r w:rsidRPr="00F90EAE">
          <w:rPr>
            <w:color w:val="000000" w:themeColor="text1"/>
            <w:sz w:val="16"/>
            <w:szCs w:val="16"/>
          </w:rPr>
          <w:t xml:space="preserve">«F7F-2» «Tigercat» </w:t>
        </w:r>
      </w:hyperlink>
      <w:r w:rsidRPr="00F90EAE">
        <w:rPr>
          <w:color w:val="000000" w:themeColor="text1"/>
          <w:sz w:val="16"/>
          <w:szCs w:val="16"/>
        </w:rPr>
        <w:t>(разработчик: Grumman, США), передали флоту. Главными отличиями "двойки" («F7F-2») от своего предшественника стала установка радара AN/APS-6 в носовой части фюзеляжа, для чего потребовалось демонтировать оттуда 12,7 мм пулеметы (хотя "посадочные места" под них сохранили) и установка второй кабины для оператора РЛС. Ее разместили непосредственно за кабиной пилота, для чего пришлось уменьшить объем фюзеляжного топливного бака (15062).</w:t>
      </w:r>
    </w:p>
    <w:p w14:paraId="7CF31DF6" w14:textId="77777777" w:rsidR="00C1740F" w:rsidRPr="00F90EAE" w:rsidRDefault="00C1740F" w:rsidP="00F90EAE">
      <w:pPr>
        <w:jc w:val="both"/>
        <w:rPr>
          <w:color w:val="000000" w:themeColor="text1"/>
          <w:sz w:val="16"/>
          <w:szCs w:val="16"/>
        </w:rPr>
      </w:pPr>
    </w:p>
    <w:p w14:paraId="15D16154" w14:textId="77777777" w:rsidR="00C1740F" w:rsidRPr="00F90EAE" w:rsidRDefault="00C1740F"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8 1945 A rocket powered Gorgon air-to-air missile was launched from a PBY-5A and achieved an estimated speed of 550 m.p.h. in its first powered test flight, conducted off Cape May, N.J. under the direction of Lieutenant Commander M. B. Taylor (1090).</w:t>
      </w:r>
    </w:p>
    <w:p w14:paraId="1C8F89D7" w14:textId="77777777" w:rsidR="00C1740F" w:rsidRPr="00F90EAE" w:rsidRDefault="00C1740F" w:rsidP="00F90EAE">
      <w:pPr>
        <w:autoSpaceDE w:val="0"/>
        <w:autoSpaceDN w:val="0"/>
        <w:adjustRightInd w:val="0"/>
        <w:jc w:val="both"/>
        <w:rPr>
          <w:color w:val="000000" w:themeColor="text1"/>
          <w:sz w:val="16"/>
          <w:szCs w:val="16"/>
          <w:lang w:val="en-US"/>
        </w:rPr>
      </w:pPr>
    </w:p>
    <w:p w14:paraId="49A7CB08" w14:textId="77777777" w:rsidR="00C1740F" w:rsidRPr="00F90EAE" w:rsidRDefault="00C1740F" w:rsidP="00F90EAE">
      <w:pPr>
        <w:autoSpaceDE w:val="0"/>
        <w:autoSpaceDN w:val="0"/>
        <w:adjustRightInd w:val="0"/>
        <w:jc w:val="both"/>
        <w:rPr>
          <w:color w:val="000000" w:themeColor="text1"/>
          <w:sz w:val="16"/>
          <w:szCs w:val="16"/>
        </w:rPr>
      </w:pPr>
      <w:r w:rsidRPr="00F90EAE">
        <w:rPr>
          <w:color w:val="000000" w:themeColor="text1"/>
          <w:sz w:val="16"/>
          <w:szCs w:val="16"/>
        </w:rPr>
        <w:t>8 марта 1945 состоялось испытание американской ракеты воздух-воздух Гордон (1090).</w:t>
      </w:r>
    </w:p>
    <w:p w14:paraId="4524C826" w14:textId="77777777" w:rsidR="00C1740F" w:rsidRPr="00F90EAE" w:rsidRDefault="00C1740F" w:rsidP="00F90EAE">
      <w:pPr>
        <w:autoSpaceDE w:val="0"/>
        <w:autoSpaceDN w:val="0"/>
        <w:adjustRightInd w:val="0"/>
        <w:jc w:val="both"/>
        <w:rPr>
          <w:color w:val="000000" w:themeColor="text1"/>
          <w:sz w:val="16"/>
          <w:szCs w:val="16"/>
        </w:rPr>
      </w:pPr>
    </w:p>
    <w:p w14:paraId="2F1F36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немецкая ракета ФАУ-2 попала в оживленный рынок в Лондоне, убив 110 человек (4962).</w:t>
      </w:r>
    </w:p>
    <w:p w14:paraId="5B71AE1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306499" w14:textId="77777777" w:rsidR="00C1740F" w:rsidRPr="00F90EAE" w:rsidRDefault="00C1740F"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американские войска заняли Бонн (15062).</w:t>
      </w:r>
    </w:p>
    <w:p w14:paraId="62901CEB" w14:textId="77777777" w:rsidR="00C1740F" w:rsidRPr="00F90EAE" w:rsidRDefault="00C1740F" w:rsidP="00F90EAE">
      <w:pPr>
        <w:jc w:val="both"/>
        <w:rPr>
          <w:color w:val="000000" w:themeColor="text1"/>
          <w:sz w:val="16"/>
          <w:szCs w:val="16"/>
        </w:rPr>
      </w:pPr>
    </w:p>
    <w:p w14:paraId="4DB24D5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марта 1945 фашистами уничтожено 117 голландцев Амстердама за убийство генерала СС Ханса Раутера (4962).</w:t>
      </w:r>
    </w:p>
    <w:p w14:paraId="4C4D167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6468C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8th, 1945: Beginning of secret negotiations at Bern, Switzerland, between representatives of the American OSS (Allan Dulles) and the German High Command in Italy (General von Vietinghoff and SS General Wolff) for an early surrender of German forces in Italy. In the East, the Red Army penetrates into the southern suburbs of Breslau (3819).</w:t>
      </w:r>
    </w:p>
    <w:p w14:paraId="5B13F940" w14:textId="77777777" w:rsidR="00665165" w:rsidRPr="00F90EAE" w:rsidRDefault="00665165" w:rsidP="00F90EAE">
      <w:pPr>
        <w:autoSpaceDE w:val="0"/>
        <w:autoSpaceDN w:val="0"/>
        <w:adjustRightInd w:val="0"/>
        <w:jc w:val="both"/>
        <w:rPr>
          <w:color w:val="000000" w:themeColor="text1"/>
          <w:sz w:val="16"/>
          <w:szCs w:val="16"/>
          <w:lang w:val="en-US"/>
        </w:rPr>
      </w:pPr>
    </w:p>
    <w:p w14:paraId="284DE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марта 1945 начались секретные переговоры в Берне, Швейцарии между Аленом Даллесом м г фон Витенгхоффом и г СС Вольфом. КА подошла к восточным предместьям Бреслау (3819).</w:t>
      </w:r>
    </w:p>
    <w:p w14:paraId="4EE878E2" w14:textId="77777777" w:rsidR="00665165" w:rsidRPr="00F90EAE" w:rsidRDefault="00665165" w:rsidP="00F90EAE">
      <w:pPr>
        <w:autoSpaceDE w:val="0"/>
        <w:autoSpaceDN w:val="0"/>
        <w:adjustRightInd w:val="0"/>
        <w:jc w:val="both"/>
        <w:rPr>
          <w:color w:val="000000" w:themeColor="text1"/>
          <w:sz w:val="16"/>
          <w:szCs w:val="16"/>
        </w:rPr>
      </w:pPr>
    </w:p>
    <w:p w14:paraId="477243BA" w14:textId="77777777" w:rsidR="00C1740F" w:rsidRPr="00F90EAE" w:rsidRDefault="00C1740F"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генерал СС Вольф начинает в Швейцарии секретные переговоры с американскими представителями об условиях сдачи германских войск в Италии (15062).</w:t>
      </w:r>
    </w:p>
    <w:p w14:paraId="059D174E" w14:textId="77777777" w:rsidR="00C1740F" w:rsidRPr="00F90EAE" w:rsidRDefault="00C1740F" w:rsidP="00F90EAE">
      <w:pPr>
        <w:jc w:val="both"/>
        <w:rPr>
          <w:color w:val="000000" w:themeColor="text1"/>
          <w:sz w:val="16"/>
          <w:szCs w:val="16"/>
        </w:rPr>
      </w:pPr>
    </w:p>
    <w:p w14:paraId="7693D1EA" w14:textId="77777777" w:rsidR="00C1740F" w:rsidRPr="00F90EAE" w:rsidRDefault="00C1740F" w:rsidP="00F90EAE">
      <w:pPr>
        <w:jc w:val="both"/>
        <w:rPr>
          <w:color w:val="000000" w:themeColor="text1"/>
          <w:sz w:val="16"/>
          <w:szCs w:val="16"/>
        </w:rPr>
      </w:pPr>
      <w:r w:rsidRPr="00F90EAE">
        <w:rPr>
          <w:bCs/>
          <w:color w:val="000000" w:themeColor="text1"/>
          <w:sz w:val="16"/>
          <w:szCs w:val="16"/>
        </w:rPr>
        <w:t>8 марта</w:t>
      </w:r>
      <w:r w:rsidRPr="00F90EAE">
        <w:rPr>
          <w:color w:val="000000" w:themeColor="text1"/>
          <w:sz w:val="16"/>
          <w:szCs w:val="16"/>
        </w:rPr>
        <w:t xml:space="preserve"> в 1945 году визит Черчилля в Аахен – в расположение британских оккупационных войск в Германии (15062).</w:t>
      </w:r>
    </w:p>
    <w:p w14:paraId="1FE90242" w14:textId="77777777" w:rsidR="00C1740F" w:rsidRPr="00F90EAE" w:rsidRDefault="00C1740F" w:rsidP="00F90EAE">
      <w:pPr>
        <w:jc w:val="both"/>
        <w:rPr>
          <w:color w:val="000000" w:themeColor="text1"/>
          <w:sz w:val="16"/>
          <w:szCs w:val="16"/>
        </w:rPr>
      </w:pPr>
    </w:p>
    <w:p w14:paraId="490868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299393D" w14:textId="77777777" w:rsidR="00665165" w:rsidRPr="00F90EAE" w:rsidRDefault="00665165" w:rsidP="00F90EAE">
      <w:pPr>
        <w:autoSpaceDE w:val="0"/>
        <w:autoSpaceDN w:val="0"/>
        <w:adjustRightInd w:val="0"/>
        <w:jc w:val="both"/>
        <w:rPr>
          <w:iCs/>
          <w:color w:val="000000" w:themeColor="text1"/>
          <w:sz w:val="16"/>
          <w:szCs w:val="16"/>
        </w:rPr>
      </w:pPr>
    </w:p>
    <w:p w14:paraId="2B35B7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9 марта по 5 апреля 1945 проходили войсковые испытания 40 Як-9ДД 1-й и 2-й серий в 386иап 6бак (бомбардировочного авиакорпуса) 3ВА в Восточной Пруссии (65,138).</w:t>
      </w:r>
    </w:p>
    <w:p w14:paraId="46CD50EA" w14:textId="77777777" w:rsidR="00665165" w:rsidRPr="00F90EAE" w:rsidRDefault="00665165" w:rsidP="00F90EAE">
      <w:pPr>
        <w:autoSpaceDE w:val="0"/>
        <w:autoSpaceDN w:val="0"/>
        <w:adjustRightInd w:val="0"/>
        <w:jc w:val="both"/>
        <w:rPr>
          <w:color w:val="000000" w:themeColor="text1"/>
          <w:sz w:val="16"/>
          <w:szCs w:val="16"/>
        </w:rPr>
      </w:pPr>
    </w:p>
    <w:p w14:paraId="4DA5E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9 марта по 25 апреля 1945 года сорок машин Як-9ДД первых двух серий участвовали в войсковых испытаниях, проходивших в 368-м иап (командир М.К. Жулин) 334-й иад 6-го бомбардировочного авиакорпуса.</w:t>
      </w:r>
    </w:p>
    <w:p w14:paraId="70F486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6FE2EB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F7E5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Заниженная скороподъемность и недостаточная маневренность, особенно при полной полетной массе.</w:t>
      </w:r>
    </w:p>
    <w:p w14:paraId="5D616C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7D8AA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C33CD42" w14:textId="77777777" w:rsidR="00665165" w:rsidRPr="00F90EAE" w:rsidRDefault="00665165" w:rsidP="00F90EAE">
      <w:pPr>
        <w:autoSpaceDE w:val="0"/>
        <w:autoSpaceDN w:val="0"/>
        <w:adjustRightInd w:val="0"/>
        <w:jc w:val="both"/>
        <w:rPr>
          <w:color w:val="000000" w:themeColor="text1"/>
          <w:sz w:val="16"/>
          <w:szCs w:val="16"/>
        </w:rPr>
      </w:pPr>
    </w:p>
    <w:p w14:paraId="7A5639CF"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С 9 марта по 25 апреля 1945 г., провели войсковые ис</w:t>
      </w:r>
      <w:r w:rsidRPr="00F90EAE">
        <w:rPr>
          <w:rFonts w:ascii="Times New Roman" w:cs="Times New Roman"/>
          <w:color w:val="000000" w:themeColor="text1"/>
          <w:spacing w:val="0"/>
        </w:rPr>
        <w:softHyphen/>
        <w:t xml:space="preserve">пытания Як-9ДД. 40 машин первых двух серий в период проведения наступления на Штеттин и Берлин передали в 368-й иап 334-й иад. Воздушные бои приходилось вести преимущественно с </w:t>
      </w:r>
      <w:r w:rsidRPr="00F90EAE">
        <w:rPr>
          <w:rFonts w:ascii="Times New Roman" w:cs="Times New Roman"/>
          <w:color w:val="000000" w:themeColor="text1"/>
          <w:spacing w:val="0"/>
          <w:lang w:val="en-US"/>
        </w:rPr>
        <w:t>FW</w:t>
      </w:r>
      <w:r w:rsidRPr="00F90EAE">
        <w:rPr>
          <w:rFonts w:ascii="Times New Roman" w:cs="Times New Roman"/>
          <w:color w:val="000000" w:themeColor="text1"/>
          <w:spacing w:val="0"/>
        </w:rPr>
        <w:t xml:space="preserve"> 190. Як-9- ДД использовались в основном для сопро</w:t>
      </w:r>
      <w:r w:rsidRPr="00F90EAE">
        <w:rPr>
          <w:rFonts w:ascii="Times New Roman" w:cs="Times New Roman"/>
          <w:color w:val="000000" w:themeColor="text1"/>
          <w:spacing w:val="0"/>
        </w:rPr>
        <w:softHyphen/>
        <w:t>вождения бомбардировщиков Пе-2 и Ту-2. Но при полёте последних на максимальной скорости Як-9ДД не имели необходимого преимущества для совместных действий.</w:t>
      </w:r>
    </w:p>
    <w:p w14:paraId="58F4BC6C"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Отмечались низкая скороподъёмность и недостаточная маневрённость дальнего ис</w:t>
      </w:r>
      <w:r w:rsidRPr="00F90EAE">
        <w:rPr>
          <w:rFonts w:ascii="Times New Roman" w:cs="Times New Roman"/>
          <w:color w:val="000000" w:themeColor="text1"/>
          <w:spacing w:val="0"/>
        </w:rPr>
        <w:softHyphen/>
        <w:t>требителя, особенно при полной полётной массе. Боевая живучесть ухудшилась из-за установки центропланного бензобака под ногами у лётчика и отсутствия протекторов на крайних консольных баках. Сказывалась и большая площадь поражения восьми ба</w:t>
      </w:r>
      <w:r w:rsidRPr="00F90EAE">
        <w:rPr>
          <w:rFonts w:ascii="Times New Roman" w:cs="Times New Roman"/>
          <w:color w:val="000000" w:themeColor="text1"/>
          <w:spacing w:val="0"/>
        </w:rPr>
        <w:softHyphen/>
        <w:t>ков в крыле. Большая масса и недостаточ</w:t>
      </w:r>
      <w:r w:rsidRPr="00F90EAE">
        <w:rPr>
          <w:rFonts w:ascii="Times New Roman" w:cs="Times New Roman"/>
          <w:color w:val="000000" w:themeColor="text1"/>
          <w:spacing w:val="0"/>
        </w:rPr>
        <w:softHyphen/>
        <w:t>ная мощность двигателя являлись главными причинами ухудшения лётно-пилотажных и манёвренных качеств. Поэтому лётчики от</w:t>
      </w:r>
      <w:r w:rsidRPr="00F90EAE">
        <w:rPr>
          <w:rFonts w:ascii="Times New Roman" w:cs="Times New Roman"/>
          <w:color w:val="000000" w:themeColor="text1"/>
          <w:spacing w:val="0"/>
        </w:rPr>
        <w:softHyphen/>
        <w:t>носились к Як-9ДД сдержанно, называя его между собой «летающей цистерной».</w:t>
      </w:r>
    </w:p>
    <w:p w14:paraId="3FED6FC0"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К этому времени Як-9ДД уже не являлись новинкой. Для оказания помощи Народно- освободительной армии Югославии, в ита</w:t>
      </w:r>
      <w:r w:rsidRPr="00F90EAE">
        <w:rPr>
          <w:rFonts w:ascii="Times New Roman" w:cs="Times New Roman"/>
          <w:color w:val="000000" w:themeColor="text1"/>
          <w:spacing w:val="0"/>
        </w:rPr>
        <w:softHyphen/>
        <w:t>льянском местечке Бари создали советскую авиабазу. В Авиагруппу особого назначения (АГОН), кроме самолётов С-47 и У-2, вклю</w:t>
      </w:r>
      <w:r w:rsidRPr="00F90EAE">
        <w:rPr>
          <w:rFonts w:ascii="Times New Roman" w:cs="Times New Roman"/>
          <w:color w:val="000000" w:themeColor="text1"/>
          <w:spacing w:val="0"/>
        </w:rPr>
        <w:softHyphen/>
        <w:t>чили 12 Як-9ДД 22-го иап. В последний со всех фронтов собрали наиболее опытных лётчиков. Истребители, лидируемые бом</w:t>
      </w:r>
      <w:r w:rsidRPr="00F90EAE">
        <w:rPr>
          <w:rFonts w:ascii="Times New Roman" w:cs="Times New Roman"/>
          <w:color w:val="000000" w:themeColor="text1"/>
          <w:spacing w:val="0"/>
        </w:rPr>
        <w:softHyphen/>
        <w:t>бардировщиком «Бостон», прибыли в Бари 25 августа. Большая часть полёта протя</w:t>
      </w:r>
      <w:r w:rsidRPr="00F90EAE">
        <w:rPr>
          <w:rFonts w:ascii="Times New Roman" w:cs="Times New Roman"/>
          <w:color w:val="000000" w:themeColor="text1"/>
          <w:spacing w:val="0"/>
        </w:rPr>
        <w:softHyphen/>
        <w:t>женностью свыше 2000 км проходила на большой высоте и частично за облаками.</w:t>
      </w:r>
    </w:p>
    <w:p w14:paraId="12E4DD8A"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большинстве случаев в дневных опера</w:t>
      </w:r>
      <w:r w:rsidRPr="00F90EAE">
        <w:rPr>
          <w:rFonts w:ascii="Times New Roman" w:cs="Times New Roman"/>
          <w:color w:val="000000" w:themeColor="text1"/>
          <w:spacing w:val="0"/>
        </w:rPr>
        <w:softHyphen/>
        <w:t>циях участвовали по два С-47, прикрывав</w:t>
      </w:r>
      <w:r w:rsidRPr="00F90EAE">
        <w:rPr>
          <w:rFonts w:ascii="Times New Roman" w:cs="Times New Roman"/>
          <w:color w:val="000000" w:themeColor="text1"/>
          <w:spacing w:val="0"/>
        </w:rPr>
        <w:softHyphen/>
        <w:t>шихся четырьмя-шестью Як-9ДД, и только один раз в воздух подняли девять транспор</w:t>
      </w:r>
      <w:r w:rsidRPr="00F90EAE">
        <w:rPr>
          <w:rFonts w:ascii="Times New Roman" w:cs="Times New Roman"/>
          <w:color w:val="000000" w:themeColor="text1"/>
          <w:spacing w:val="0"/>
        </w:rPr>
        <w:softHyphen/>
        <w:t>тных машин, сопровождавшихся всей дюжи</w:t>
      </w:r>
      <w:r w:rsidRPr="00F90EAE">
        <w:rPr>
          <w:rFonts w:ascii="Times New Roman" w:cs="Times New Roman"/>
          <w:color w:val="000000" w:themeColor="text1"/>
          <w:spacing w:val="0"/>
        </w:rPr>
        <w:softHyphen/>
        <w:t>ной истребителей. До 9 декабря 1944 г. лёт</w:t>
      </w:r>
      <w:r w:rsidRPr="00F90EAE">
        <w:rPr>
          <w:rFonts w:ascii="Times New Roman" w:cs="Times New Roman"/>
          <w:color w:val="000000" w:themeColor="text1"/>
          <w:spacing w:val="0"/>
        </w:rPr>
        <w:softHyphen/>
        <w:t>чики Як-9ДД выполнили 155 вылетов днём, включая разведку. При этом не вернулся с боевого задания один истребитель - либо разбился в горах Югославии из-за плохой погоды, либо утонул в Адриатическом море после отказа мотора.</w:t>
      </w:r>
    </w:p>
    <w:p w14:paraId="7113A0DD"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Командир АГОН Щелкунов докладывал в Москву: «Очень хорошее впечатление... о нашем истребителе Як-9ДД, так как на высотах до 3000 м с ним не может конкури</w:t>
      </w:r>
      <w:r w:rsidRPr="00F90EAE">
        <w:rPr>
          <w:rFonts w:ascii="Times New Roman" w:cs="Times New Roman"/>
          <w:color w:val="000000" w:themeColor="text1"/>
          <w:spacing w:val="0"/>
        </w:rPr>
        <w:softHyphen/>
        <w:t>ровать ни один самолёт, ни в скорости, ни в манёвре, что проверено нами практически. Почти все американские самолёты являют</w:t>
      </w:r>
      <w:r w:rsidRPr="00F90EAE">
        <w:rPr>
          <w:rFonts w:ascii="Times New Roman" w:cs="Times New Roman"/>
          <w:color w:val="000000" w:themeColor="text1"/>
          <w:spacing w:val="0"/>
        </w:rPr>
        <w:softHyphen/>
        <w:t>ся высотными и до высот 3000 - 4000 м не блещут своими качествами» (19103).</w:t>
      </w:r>
    </w:p>
    <w:p w14:paraId="190F4529" w14:textId="77777777" w:rsidR="00FD716B" w:rsidRPr="00F90EAE" w:rsidRDefault="00FD716B" w:rsidP="00F90EAE">
      <w:pPr>
        <w:pStyle w:val="27"/>
        <w:shd w:val="clear" w:color="auto" w:fill="auto"/>
        <w:spacing w:after="0" w:line="240" w:lineRule="auto"/>
        <w:ind w:firstLine="0"/>
        <w:rPr>
          <w:rFonts w:ascii="Times New Roman" w:cs="Times New Roman"/>
          <w:color w:val="000000" w:themeColor="text1"/>
          <w:spacing w:val="0"/>
        </w:rPr>
      </w:pPr>
    </w:p>
    <w:p w14:paraId="79DCE792" w14:textId="77777777" w:rsidR="00C1740F" w:rsidRPr="00F90EAE" w:rsidRDefault="00C1740F" w:rsidP="00F90EAE">
      <w:pPr>
        <w:jc w:val="both"/>
        <w:rPr>
          <w:color w:val="000000" w:themeColor="text1"/>
          <w:sz w:val="16"/>
          <w:szCs w:val="16"/>
        </w:rPr>
      </w:pPr>
      <w:r w:rsidRPr="00F90EAE">
        <w:rPr>
          <w:bCs/>
          <w:color w:val="000000" w:themeColor="text1"/>
          <w:sz w:val="16"/>
          <w:szCs w:val="16"/>
        </w:rPr>
        <w:t>9 марта</w:t>
      </w:r>
      <w:r w:rsidRPr="00F90EAE">
        <w:rPr>
          <w:color w:val="000000" w:themeColor="text1"/>
          <w:sz w:val="16"/>
          <w:szCs w:val="16"/>
        </w:rPr>
        <w:t xml:space="preserve"> в 1945 году начались (по 25 апреля) войсковые испытания на боевое применение дальнего истребителя </w:t>
      </w:r>
      <w:hyperlink r:id="rId65" w:tgtFrame="_blank" w:history="1">
        <w:r w:rsidRPr="00F90EAE">
          <w:rPr>
            <w:color w:val="000000" w:themeColor="text1"/>
            <w:sz w:val="16"/>
            <w:szCs w:val="16"/>
          </w:rPr>
          <w:t xml:space="preserve">«Як-9ДД», </w:t>
        </w:r>
      </w:hyperlink>
      <w:r w:rsidRPr="00F90EAE">
        <w:rPr>
          <w:color w:val="000000" w:themeColor="text1"/>
          <w:sz w:val="16"/>
          <w:szCs w:val="16"/>
        </w:rPr>
        <w:t>ОКБ Яковлева. Проводились в 368 истребительного авиационного полка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истребителей «Як-9ДД» 1-й и 2-й серий выпуска мая - августа 1944 г. Испытания показали, что истребители «Як-9ДД» не вполне удовлетворяли требованиям, предъявляемым к истребителям сопровождения такого скоростного бомбардировщика, как «Ту-2» по следующим причинам: Относительно малая максимальная скорость. При полёте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«Як-З» и установить на нем более мощный двигатель, например «М-105ПФ2», но этот двигатель обладал недостаточной по сравнению с двигателями «Ту-2» высотностью. Заниженная скороподъемность и недостаточная маневренность, особенно при полной полётной массе. Ухудшившаяся живучесть из-за установки центропланного бензобака (90 л) под ногами лётчика и отсутствия протекторов на крайних консольных бензобаках. Живучесть самолёта ухудшилась и вследствие большой площади поражения восьми бензобаков в крыле. Большая полётная масса, большой разнос масс, а также малая мощность двигателя являлись главными причинами ухудшения лётно-пилотажных и маневренных качеств «Як-9ДД». Поэтому лётчики относились к «Як-9ДД» сдержанно, называя его между собой "летающая цистерна" (15063).</w:t>
      </w:r>
    </w:p>
    <w:p w14:paraId="2AACB64A" w14:textId="77777777" w:rsidR="00C1740F" w:rsidRPr="00F90EAE" w:rsidRDefault="00C1740F" w:rsidP="00F90EAE">
      <w:pPr>
        <w:jc w:val="both"/>
        <w:rPr>
          <w:color w:val="000000" w:themeColor="text1"/>
          <w:sz w:val="16"/>
          <w:szCs w:val="16"/>
        </w:rPr>
      </w:pPr>
    </w:p>
    <w:p w14:paraId="3ED9FE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А.E.Репин утвердил Акт о гос. испытаниях Ту-2 М-82ФН N 16/7 23 завода с винтом АВ-5В-21А, которые состоялись с 18 октября 1944 по 23 февраля 1945. 50 полетов 44:22 налет.</w:t>
      </w:r>
    </w:p>
    <w:p w14:paraId="4BFB3D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 и Шубратов</w:t>
      </w:r>
    </w:p>
    <w:p w14:paraId="006CB1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Нюхтиков</w:t>
      </w:r>
    </w:p>
    <w:p w14:paraId="64D620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7603, нормальный полетный - 10500, перегрузочный 11520 кг</w:t>
      </w:r>
    </w:p>
    <w:p w14:paraId="05ADA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p w14:paraId="72E7FE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(4 чел.) - 360</w:t>
      </w:r>
    </w:p>
    <w:p w14:paraId="491472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- 980</w:t>
      </w:r>
    </w:p>
    <w:p w14:paraId="307B2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- 140</w:t>
      </w:r>
    </w:p>
    <w:p w14:paraId="7FB752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пушечно-пулеметное вооружение - 140</w:t>
      </w:r>
    </w:p>
    <w:p w14:paraId="36D22F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- 202</w:t>
      </w:r>
    </w:p>
    <w:p w14:paraId="387B0F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- 1000 кг</w:t>
      </w:r>
    </w:p>
    <w:p w14:paraId="640FA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- 75</w:t>
      </w:r>
    </w:p>
    <w:p w14:paraId="47016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2897 кг</w:t>
      </w:r>
    </w:p>
    <w:p w14:paraId="1C74B8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 горючее 980, масло 40</w:t>
      </w:r>
    </w:p>
    <w:p w14:paraId="44E90D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летные данные:</w:t>
      </w:r>
    </w:p>
    <w:p w14:paraId="3BC49B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число оборотов - 2400, наддув - 1010</w:t>
      </w:r>
    </w:p>
    <w:p w14:paraId="008929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- 482 км/час, на форсаже - 508</w:t>
      </w:r>
    </w:p>
    <w:p w14:paraId="2911E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высотности 2600 - 508, на форсаже 1600 - 538</w:t>
      </w:r>
    </w:p>
    <w:p w14:paraId="2EBD51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 высотности 5700 м - 549 км/час</w:t>
      </w:r>
    </w:p>
    <w:p w14:paraId="2FEF3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- 9,3</w:t>
      </w:r>
    </w:p>
    <w:p w14:paraId="0622D5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- 9600</w:t>
      </w:r>
    </w:p>
    <w:p w14:paraId="016956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 - 425 м</w:t>
      </w:r>
    </w:p>
    <w:p w14:paraId="4115A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 - 150 км/час</w:t>
      </w:r>
    </w:p>
    <w:p w14:paraId="772FB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 - 510 м</w:t>
      </w:r>
    </w:p>
    <w:p w14:paraId="7CB81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 Скорость на 0 - 10, на 1 гр. 2050 - 11,6, на 2 гр. 4850 - 7,6</w:t>
      </w:r>
    </w:p>
    <w:p w14:paraId="3CFAE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техн. Дальность на 1000 м на скорости 330 при 1800 оборотах при весе 11520 (горючее 1960 + 1000 бомб) - 2050 км (824).</w:t>
      </w:r>
    </w:p>
    <w:p w14:paraId="011837DB" w14:textId="77777777" w:rsidR="00665165" w:rsidRPr="00F90EAE" w:rsidRDefault="00665165" w:rsidP="00F90EAE">
      <w:pPr>
        <w:autoSpaceDE w:val="0"/>
        <w:autoSpaceDN w:val="0"/>
        <w:adjustRightInd w:val="0"/>
        <w:jc w:val="both"/>
        <w:rPr>
          <w:color w:val="000000" w:themeColor="text1"/>
          <w:sz w:val="16"/>
          <w:szCs w:val="16"/>
        </w:rPr>
      </w:pPr>
    </w:p>
    <w:p w14:paraId="19236F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л Б.Н.Кудрин на БИ-7 с РД-1 Исаева вместо Д-1-А-1100 Л.С.Душкина выполнил 2-й полет, а 1-й был 24 января 1945. существенных отличий от БИ-2 и Би-3 не было, но вес вырос до 1757 кг, а баки - до 555 кг. Задание: ознакомительный полет на тяге 1100 кг. На разбеге машину поворачивало вправо. Шасси убралось нормально. Набор высоты был на 550-600 км/час. на 3500 м двигатель кончил работать. После падения скорости до 350-400 км/час почувствовались сильные рывки на управлении и продолжались до 280 км/час. Посадка была нормальной. летали 8 мин. 16 сек. и двигатель работал 73 сек. (2928,21).</w:t>
      </w:r>
    </w:p>
    <w:p w14:paraId="7F83E701" w14:textId="77777777" w:rsidR="00665165" w:rsidRPr="00F90EAE" w:rsidRDefault="00665165" w:rsidP="00F90EAE">
      <w:pPr>
        <w:autoSpaceDE w:val="0"/>
        <w:autoSpaceDN w:val="0"/>
        <w:adjustRightInd w:val="0"/>
        <w:jc w:val="both"/>
        <w:rPr>
          <w:color w:val="000000" w:themeColor="text1"/>
          <w:sz w:val="16"/>
          <w:szCs w:val="16"/>
        </w:rPr>
      </w:pPr>
    </w:p>
    <w:p w14:paraId="024202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ГОКО N 7755с о вывозе крыльев самолетов со склада в г. Китлицтребен на 456 в Москву (1874,11).</w:t>
      </w:r>
    </w:p>
    <w:p w14:paraId="395A03F6" w14:textId="77777777" w:rsidR="00665165" w:rsidRPr="00F90EAE" w:rsidRDefault="00665165" w:rsidP="00F90EAE">
      <w:pPr>
        <w:autoSpaceDE w:val="0"/>
        <w:autoSpaceDN w:val="0"/>
        <w:adjustRightInd w:val="0"/>
        <w:jc w:val="both"/>
        <w:rPr>
          <w:color w:val="000000" w:themeColor="text1"/>
          <w:sz w:val="16"/>
          <w:szCs w:val="16"/>
        </w:rPr>
      </w:pPr>
    </w:p>
    <w:p w14:paraId="4D56D42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714C5B7" w14:textId="77777777" w:rsidR="00665165" w:rsidRPr="00F90EAE" w:rsidRDefault="00665165" w:rsidP="00F90EAE">
      <w:pPr>
        <w:autoSpaceDE w:val="0"/>
        <w:autoSpaceDN w:val="0"/>
        <w:adjustRightInd w:val="0"/>
        <w:jc w:val="both"/>
        <w:rPr>
          <w:iCs/>
          <w:color w:val="000000" w:themeColor="text1"/>
          <w:sz w:val="16"/>
          <w:szCs w:val="16"/>
        </w:rPr>
      </w:pPr>
    </w:p>
    <w:p w14:paraId="12F1BB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марта 1945 г. в письме нар</w:t>
      </w:r>
      <w:r w:rsidRPr="00F90EAE">
        <w:rPr>
          <w:color w:val="000000" w:themeColor="text1"/>
          <w:sz w:val="16"/>
          <w:szCs w:val="16"/>
        </w:rPr>
        <w:softHyphen/>
        <w:t>кому танковой промышленности В. Малышеву И. Зальц</w:t>
      </w:r>
      <w:r w:rsidRPr="00F90EAE">
        <w:rPr>
          <w:color w:val="000000" w:themeColor="text1"/>
          <w:sz w:val="16"/>
          <w:szCs w:val="16"/>
        </w:rPr>
        <w:softHyphen/>
        <w:t>ман и С. Махонин просили утвердить следующую програм</w:t>
      </w:r>
      <w:r w:rsidRPr="00F90EAE">
        <w:rPr>
          <w:color w:val="000000" w:themeColor="text1"/>
          <w:sz w:val="16"/>
          <w:szCs w:val="16"/>
        </w:rPr>
        <w:softHyphen/>
        <w:t>му производства новой машины: в мае — 10, в июне — 30, в июле — 60 и начиная с августа по 100 в месяц. Однако в это время в серию запускался ИС-3 («Объект 703»), поэтому сил и средств для «Объекта 701» уже не оставалось (11153).</w:t>
      </w:r>
    </w:p>
    <w:p w14:paraId="5EA567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709F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7742. О выделении угля для коммунально-бытовых нужд Иркутска. РГАНИР, Фонд ГКО, д. 378 Л.70 (11012).</w:t>
      </w:r>
    </w:p>
    <w:p w14:paraId="1D9EB3F7" w14:textId="77777777" w:rsidR="00665165" w:rsidRPr="00F90EAE" w:rsidRDefault="00665165" w:rsidP="00F90EAE">
      <w:pPr>
        <w:autoSpaceDE w:val="0"/>
        <w:autoSpaceDN w:val="0"/>
        <w:adjustRightInd w:val="0"/>
        <w:jc w:val="both"/>
        <w:rPr>
          <w:color w:val="000000" w:themeColor="text1"/>
          <w:sz w:val="16"/>
          <w:szCs w:val="16"/>
        </w:rPr>
      </w:pPr>
    </w:p>
    <w:p w14:paraId="6C6AC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9 марта 1945 вышло Распоряжение ГКО № 7743. О мерах по обеспечению ввода в действие Кум-Курганской ГЭС Узбекской ССР. РГАНИР, Фонд ГКО, д. 378 Л.71 (11012).</w:t>
      </w:r>
    </w:p>
    <w:p w14:paraId="56EA3F19" w14:textId="77777777" w:rsidR="00665165" w:rsidRPr="00F90EAE" w:rsidRDefault="00665165" w:rsidP="00F90EAE">
      <w:pPr>
        <w:autoSpaceDE w:val="0"/>
        <w:autoSpaceDN w:val="0"/>
        <w:adjustRightInd w:val="0"/>
        <w:jc w:val="both"/>
        <w:rPr>
          <w:color w:val="000000" w:themeColor="text1"/>
          <w:sz w:val="16"/>
          <w:szCs w:val="16"/>
        </w:rPr>
      </w:pPr>
    </w:p>
    <w:p w14:paraId="738375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7744. Об обеспечении оборудованием строительства ТЭЦ при заводе №75 НКВ. РГАНИР, Фонд ГКО, д. 378, лл. 72 (11012).</w:t>
      </w:r>
    </w:p>
    <w:p w14:paraId="1538E9CA" w14:textId="77777777" w:rsidR="00665165" w:rsidRPr="00F90EAE" w:rsidRDefault="00665165" w:rsidP="00F90EAE">
      <w:pPr>
        <w:autoSpaceDE w:val="0"/>
        <w:autoSpaceDN w:val="0"/>
        <w:adjustRightInd w:val="0"/>
        <w:jc w:val="both"/>
        <w:rPr>
          <w:color w:val="000000" w:themeColor="text1"/>
          <w:sz w:val="16"/>
          <w:szCs w:val="16"/>
        </w:rPr>
      </w:pPr>
    </w:p>
    <w:p w14:paraId="436DAE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7745 Об отгрузке угля стекольным и цементным заводам Наркомстройматериалов СССР в 1-й половине марта 1945 года. РГАНИР, Фонд ГКО, д. 378, лл. 73-74 (11012).</w:t>
      </w:r>
    </w:p>
    <w:p w14:paraId="61DD351B" w14:textId="77777777" w:rsidR="00665165" w:rsidRPr="00F90EAE" w:rsidRDefault="00665165" w:rsidP="00F90EAE">
      <w:pPr>
        <w:autoSpaceDE w:val="0"/>
        <w:autoSpaceDN w:val="0"/>
        <w:adjustRightInd w:val="0"/>
        <w:jc w:val="both"/>
        <w:rPr>
          <w:color w:val="000000" w:themeColor="text1"/>
          <w:sz w:val="16"/>
          <w:szCs w:val="16"/>
        </w:rPr>
      </w:pPr>
    </w:p>
    <w:p w14:paraId="7E4B3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7746. О поставках текстиля и пряжи для пороховых заводов НКБ. РГАНИР, Фонд ГКО, д. 378, лл. 75-76, 77 (11012).</w:t>
      </w:r>
    </w:p>
    <w:p w14:paraId="26F09F21" w14:textId="77777777" w:rsidR="00665165" w:rsidRPr="00F90EAE" w:rsidRDefault="00665165" w:rsidP="00F90EAE">
      <w:pPr>
        <w:autoSpaceDE w:val="0"/>
        <w:autoSpaceDN w:val="0"/>
        <w:adjustRightInd w:val="0"/>
        <w:jc w:val="both"/>
        <w:rPr>
          <w:color w:val="000000" w:themeColor="text1"/>
          <w:sz w:val="16"/>
          <w:szCs w:val="16"/>
        </w:rPr>
      </w:pPr>
    </w:p>
    <w:p w14:paraId="78158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7747 О вывозе оборудования по производству корпусов артиллерийских снарядов с немецкого завода "Оберхютте Стальроренверк" в г. Глейвиц. РГАНИР, Фонд ГКО, д. 378, лл. 78-70 (11012).</w:t>
      </w:r>
    </w:p>
    <w:p w14:paraId="6C604058" w14:textId="77777777" w:rsidR="00665165" w:rsidRPr="00F90EAE" w:rsidRDefault="00665165" w:rsidP="00F90EAE">
      <w:pPr>
        <w:autoSpaceDE w:val="0"/>
        <w:autoSpaceDN w:val="0"/>
        <w:adjustRightInd w:val="0"/>
        <w:jc w:val="both"/>
        <w:rPr>
          <w:color w:val="000000" w:themeColor="text1"/>
          <w:sz w:val="16"/>
          <w:szCs w:val="16"/>
        </w:rPr>
      </w:pPr>
    </w:p>
    <w:p w14:paraId="439156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7748 О вывозе металлообрабатывающего, подъемно-транспортного, энергетического и специального оборудования с немецкой судостроительной верфи фирмы "Шихау" в г. Эльбинг. РГАНИР, Фонд ГКО, д. 378, лл. 80-81, 82-83 (11012).</w:t>
      </w:r>
    </w:p>
    <w:p w14:paraId="39A0C6BD" w14:textId="77777777" w:rsidR="00665165" w:rsidRPr="00F90EAE" w:rsidRDefault="00665165" w:rsidP="00F90EAE">
      <w:pPr>
        <w:autoSpaceDE w:val="0"/>
        <w:autoSpaceDN w:val="0"/>
        <w:adjustRightInd w:val="0"/>
        <w:jc w:val="both"/>
        <w:rPr>
          <w:color w:val="000000" w:themeColor="text1"/>
          <w:sz w:val="16"/>
          <w:szCs w:val="16"/>
        </w:rPr>
      </w:pPr>
    </w:p>
    <w:p w14:paraId="67F509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г. вышло Постановление ГКО № 7749 «О вывозе гироскопических компасов фирмы “Аншютц” с немецких складов в г. Сольц» (Д. 458. Л. 164).</w:t>
      </w:r>
    </w:p>
    <w:p w14:paraId="3E742FCA" w14:textId="77777777" w:rsidR="00665165" w:rsidRPr="00F90EAE" w:rsidRDefault="00665165" w:rsidP="00F90EAE">
      <w:pPr>
        <w:autoSpaceDE w:val="0"/>
        <w:autoSpaceDN w:val="0"/>
        <w:adjustRightInd w:val="0"/>
        <w:jc w:val="both"/>
        <w:rPr>
          <w:color w:val="000000" w:themeColor="text1"/>
          <w:sz w:val="16"/>
          <w:szCs w:val="16"/>
        </w:rPr>
      </w:pPr>
    </w:p>
    <w:p w14:paraId="0A5A22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7750 О вывозе оборудования по производству цветного проката с немецких заводов Верхней Силезии. РГАНИР, Фонд ГКО, д. 378, лл. 85-87 (11012).</w:t>
      </w:r>
    </w:p>
    <w:p w14:paraId="3EE701AB" w14:textId="77777777" w:rsidR="00665165" w:rsidRPr="00F90EAE" w:rsidRDefault="00665165" w:rsidP="00F90EAE">
      <w:pPr>
        <w:autoSpaceDE w:val="0"/>
        <w:autoSpaceDN w:val="0"/>
        <w:adjustRightInd w:val="0"/>
        <w:jc w:val="both"/>
        <w:rPr>
          <w:color w:val="000000" w:themeColor="text1"/>
          <w:sz w:val="16"/>
          <w:szCs w:val="16"/>
        </w:rPr>
      </w:pPr>
    </w:p>
    <w:p w14:paraId="3F37C9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7751 О вывозе оборудования и аппаратуры c завода гидрирования угля фирмы "Обершлезише гидрирерверке" в Блехгаммер. РГАНИР, Фонд ГКО, д. 378, лл. 88-89 (11012).</w:t>
      </w:r>
    </w:p>
    <w:p w14:paraId="5A41A3EE" w14:textId="77777777" w:rsidR="00665165" w:rsidRPr="00F90EAE" w:rsidRDefault="00665165" w:rsidP="00F90EAE">
      <w:pPr>
        <w:autoSpaceDE w:val="0"/>
        <w:autoSpaceDN w:val="0"/>
        <w:adjustRightInd w:val="0"/>
        <w:jc w:val="both"/>
        <w:rPr>
          <w:color w:val="000000" w:themeColor="text1"/>
          <w:sz w:val="16"/>
          <w:szCs w:val="16"/>
        </w:rPr>
      </w:pPr>
    </w:p>
    <w:p w14:paraId="233ABB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7752 О вывозе оборудования и аппаратуры с немецкого завода синтеза бензина фирмы "Шаффготш-бензин" в г. Одерталь. РГАНИР, Фонд ГКО, д. 378, лл. 90-91 (11012).</w:t>
      </w:r>
    </w:p>
    <w:p w14:paraId="1F332A84" w14:textId="77777777" w:rsidR="00665165" w:rsidRPr="00F90EAE" w:rsidRDefault="00665165" w:rsidP="00F90EAE">
      <w:pPr>
        <w:autoSpaceDE w:val="0"/>
        <w:autoSpaceDN w:val="0"/>
        <w:adjustRightInd w:val="0"/>
        <w:jc w:val="both"/>
        <w:rPr>
          <w:color w:val="000000" w:themeColor="text1"/>
          <w:sz w:val="16"/>
          <w:szCs w:val="16"/>
        </w:rPr>
      </w:pPr>
    </w:p>
    <w:p w14:paraId="08F2DF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7753 О вывозе оборудования немецких оксидных заводов "Кристин Крафт" и "Рудольф Грубе". РГАНИР, Фонд ГКО, д. 378, лл. 92-93 (11012).</w:t>
      </w:r>
    </w:p>
    <w:p w14:paraId="686A5C4E" w14:textId="77777777" w:rsidR="00665165" w:rsidRPr="00F90EAE" w:rsidRDefault="00665165" w:rsidP="00F90EAE">
      <w:pPr>
        <w:autoSpaceDE w:val="0"/>
        <w:autoSpaceDN w:val="0"/>
        <w:adjustRightInd w:val="0"/>
        <w:jc w:val="both"/>
        <w:rPr>
          <w:color w:val="000000" w:themeColor="text1"/>
          <w:sz w:val="16"/>
          <w:szCs w:val="16"/>
        </w:rPr>
      </w:pPr>
    </w:p>
    <w:p w14:paraId="53640A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7754 О вывозе оборудования с предприятий Верхней Силезии "Ное Бляйшарлей" и "Альте Бляйшарлей" фирмы "Гишес Эрбен" в г. Беутен. РГАНИР, Фонд ГКО, д. 378, лл. 94-96 (11012).</w:t>
      </w:r>
    </w:p>
    <w:p w14:paraId="40042A32" w14:textId="77777777" w:rsidR="00665165" w:rsidRPr="00F90EAE" w:rsidRDefault="00665165" w:rsidP="00F90EAE">
      <w:pPr>
        <w:autoSpaceDE w:val="0"/>
        <w:autoSpaceDN w:val="0"/>
        <w:adjustRightInd w:val="0"/>
        <w:jc w:val="both"/>
        <w:rPr>
          <w:color w:val="000000" w:themeColor="text1"/>
          <w:sz w:val="16"/>
          <w:szCs w:val="16"/>
        </w:rPr>
      </w:pPr>
    </w:p>
    <w:p w14:paraId="7AD3A2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г. вышло Постановление ГКО № 7755 «О вывозе воздушных торпед и крыльев к самолетам-снарядам» (Д. 458. Л. 182).</w:t>
      </w:r>
    </w:p>
    <w:p w14:paraId="241DFAA6" w14:textId="77777777" w:rsidR="00665165" w:rsidRPr="00F90EAE" w:rsidRDefault="00665165" w:rsidP="00F90EAE">
      <w:pPr>
        <w:autoSpaceDE w:val="0"/>
        <w:autoSpaceDN w:val="0"/>
        <w:adjustRightInd w:val="0"/>
        <w:jc w:val="both"/>
        <w:rPr>
          <w:color w:val="000000" w:themeColor="text1"/>
          <w:sz w:val="16"/>
          <w:szCs w:val="16"/>
        </w:rPr>
      </w:pPr>
    </w:p>
    <w:p w14:paraId="2D256D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7756 О вывозе горнорудного и обогатительного оборудования цинковой промышленности с рудников "Фидлерсглюкгрубе" и "Ное-Виктория" и обогатительной фабрики "Нойхоф" в г. Беутен. РГАНИР, Фонд ГКО, д. 378, лл. 98-100 (11012).</w:t>
      </w:r>
    </w:p>
    <w:p w14:paraId="0FEF2D9F" w14:textId="77777777" w:rsidR="00665165" w:rsidRPr="00F90EAE" w:rsidRDefault="00665165" w:rsidP="00F90EAE">
      <w:pPr>
        <w:autoSpaceDE w:val="0"/>
        <w:autoSpaceDN w:val="0"/>
        <w:adjustRightInd w:val="0"/>
        <w:jc w:val="both"/>
        <w:rPr>
          <w:color w:val="000000" w:themeColor="text1"/>
          <w:sz w:val="16"/>
          <w:szCs w:val="16"/>
        </w:rPr>
      </w:pPr>
    </w:p>
    <w:p w14:paraId="65B5F7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7757 О вывозе дизель-генератора с электростанции в г. Инстербург. РГАНИР, Фонд ГКО, д. 378, лл. 101 (11012).</w:t>
      </w:r>
    </w:p>
    <w:p w14:paraId="10DDAE01" w14:textId="77777777" w:rsidR="00665165" w:rsidRPr="00F90EAE" w:rsidRDefault="00665165" w:rsidP="00F90EAE">
      <w:pPr>
        <w:autoSpaceDE w:val="0"/>
        <w:autoSpaceDN w:val="0"/>
        <w:adjustRightInd w:val="0"/>
        <w:jc w:val="both"/>
        <w:rPr>
          <w:color w:val="000000" w:themeColor="text1"/>
          <w:sz w:val="16"/>
          <w:szCs w:val="16"/>
        </w:rPr>
      </w:pPr>
    </w:p>
    <w:p w14:paraId="23690C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7758 О вывозе оборудования с немецкого паровозоремонтного завода фирмы "Бетридсгеминсшафт Рав Доброс" в г. Ельс. РГАНИР, Фонд ГКО, д. 378, лл. 102-103 (11012).</w:t>
      </w:r>
    </w:p>
    <w:p w14:paraId="1001C33F" w14:textId="77777777" w:rsidR="00665165" w:rsidRPr="00F90EAE" w:rsidRDefault="00665165" w:rsidP="00F90EAE">
      <w:pPr>
        <w:autoSpaceDE w:val="0"/>
        <w:autoSpaceDN w:val="0"/>
        <w:adjustRightInd w:val="0"/>
        <w:jc w:val="both"/>
        <w:rPr>
          <w:color w:val="000000" w:themeColor="text1"/>
          <w:sz w:val="16"/>
          <w:szCs w:val="16"/>
        </w:rPr>
      </w:pPr>
    </w:p>
    <w:p w14:paraId="2EAC09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7759 О вывозе оборудования с немецкого паровозоремонтного завода в г. Глейвиц. РГАНИР, Фонд ГКО, д. 378, лл. 104 (11012).</w:t>
      </w:r>
    </w:p>
    <w:p w14:paraId="18E7D8AA" w14:textId="77777777" w:rsidR="00665165" w:rsidRPr="00F90EAE" w:rsidRDefault="00665165" w:rsidP="00F90EAE">
      <w:pPr>
        <w:autoSpaceDE w:val="0"/>
        <w:autoSpaceDN w:val="0"/>
        <w:adjustRightInd w:val="0"/>
        <w:jc w:val="both"/>
        <w:rPr>
          <w:color w:val="000000" w:themeColor="text1"/>
          <w:sz w:val="16"/>
          <w:szCs w:val="16"/>
        </w:rPr>
      </w:pPr>
    </w:p>
    <w:p w14:paraId="116FAD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7760 О вывозе телефонного оборудования из Восточной Пруссии. РГАНИР, Фонд ГКО, д. 378, лл. 105 (11012).</w:t>
      </w:r>
    </w:p>
    <w:p w14:paraId="046A71BB" w14:textId="77777777" w:rsidR="00665165" w:rsidRPr="00F90EAE" w:rsidRDefault="00665165" w:rsidP="00F90EAE">
      <w:pPr>
        <w:autoSpaceDE w:val="0"/>
        <w:autoSpaceDN w:val="0"/>
        <w:adjustRightInd w:val="0"/>
        <w:jc w:val="both"/>
        <w:rPr>
          <w:color w:val="000000" w:themeColor="text1"/>
          <w:sz w:val="16"/>
          <w:szCs w:val="16"/>
        </w:rPr>
      </w:pPr>
    </w:p>
    <w:p w14:paraId="0299BC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7761 О вывозе полиграфического оборудования немецких типографий в г. г. Беутен, Глейвиц, Кенигсхютте и Нойдамм. РГАНИР, Фонд ГКО, д. 378, лл. 106-107 (11012).</w:t>
      </w:r>
    </w:p>
    <w:p w14:paraId="5EE20CE3" w14:textId="77777777" w:rsidR="00665165" w:rsidRPr="00F90EAE" w:rsidRDefault="00665165" w:rsidP="00F90EAE">
      <w:pPr>
        <w:autoSpaceDE w:val="0"/>
        <w:autoSpaceDN w:val="0"/>
        <w:adjustRightInd w:val="0"/>
        <w:jc w:val="both"/>
        <w:rPr>
          <w:color w:val="000000" w:themeColor="text1"/>
          <w:sz w:val="16"/>
          <w:szCs w:val="16"/>
        </w:rPr>
      </w:pPr>
    </w:p>
    <w:p w14:paraId="21154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7762 О вывозе запасных частей к тракторам и сельхозмашинам отечественных марок из г. Сосновец. РГАНИР, Фонд ГКО, д. 378, лл. 109-110 (11012).</w:t>
      </w:r>
    </w:p>
    <w:p w14:paraId="4761DFE3" w14:textId="77777777" w:rsidR="00665165" w:rsidRPr="00F90EAE" w:rsidRDefault="00665165" w:rsidP="00F90EAE">
      <w:pPr>
        <w:autoSpaceDE w:val="0"/>
        <w:autoSpaceDN w:val="0"/>
        <w:adjustRightInd w:val="0"/>
        <w:jc w:val="both"/>
        <w:rPr>
          <w:color w:val="000000" w:themeColor="text1"/>
          <w:sz w:val="16"/>
          <w:szCs w:val="16"/>
        </w:rPr>
      </w:pPr>
    </w:p>
    <w:p w14:paraId="10D6F5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7763 О вывозе электромоторов и каучука-сырца с перевалочной базы в городе Демблин. РГАНИР, Фонд ГКО, д. 378, лл. 111 (11012).</w:t>
      </w:r>
    </w:p>
    <w:p w14:paraId="21823CFF" w14:textId="77777777" w:rsidR="00665165" w:rsidRPr="00F90EAE" w:rsidRDefault="00665165" w:rsidP="00F90EAE">
      <w:pPr>
        <w:autoSpaceDE w:val="0"/>
        <w:autoSpaceDN w:val="0"/>
        <w:adjustRightInd w:val="0"/>
        <w:jc w:val="both"/>
        <w:rPr>
          <w:color w:val="000000" w:themeColor="text1"/>
          <w:sz w:val="16"/>
          <w:szCs w:val="16"/>
        </w:rPr>
      </w:pPr>
    </w:p>
    <w:p w14:paraId="1C6AD2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7764 О вывозе оборудования и материальных средств с территории Венгрии. РГАНИР, Фонд ГКО, д. 378, лл. 112 (11012).</w:t>
      </w:r>
    </w:p>
    <w:p w14:paraId="4914F773" w14:textId="77777777" w:rsidR="00665165" w:rsidRPr="00F90EAE" w:rsidRDefault="00665165" w:rsidP="00F90EAE">
      <w:pPr>
        <w:autoSpaceDE w:val="0"/>
        <w:autoSpaceDN w:val="0"/>
        <w:adjustRightInd w:val="0"/>
        <w:jc w:val="both"/>
        <w:rPr>
          <w:color w:val="000000" w:themeColor="text1"/>
          <w:sz w:val="16"/>
          <w:szCs w:val="16"/>
        </w:rPr>
      </w:pPr>
    </w:p>
    <w:p w14:paraId="4465E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7765 О вывозе цветных и черных металлов из района Будапешта. РГАНИР, Фонд ГКО, д. 378, лл. 113-114 (11012).</w:t>
      </w:r>
    </w:p>
    <w:p w14:paraId="13D28E9D" w14:textId="77777777" w:rsidR="00665165" w:rsidRPr="00F90EAE" w:rsidRDefault="00665165" w:rsidP="00F90EAE">
      <w:pPr>
        <w:autoSpaceDE w:val="0"/>
        <w:autoSpaceDN w:val="0"/>
        <w:adjustRightInd w:val="0"/>
        <w:jc w:val="both"/>
        <w:rPr>
          <w:color w:val="000000" w:themeColor="text1"/>
          <w:sz w:val="16"/>
          <w:szCs w:val="16"/>
        </w:rPr>
      </w:pPr>
    </w:p>
    <w:p w14:paraId="0FB5D1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7766 О вывозе двух прокатных станов с немецкого завода "Андреасхютте" акционерного общества "Ферейнихте Обершлезише Хюттенверке" в г. Андреасхютте. РГАНИР, Фонд ГКО, д. 378, лл. 115-116 (11012).</w:t>
      </w:r>
    </w:p>
    <w:p w14:paraId="4D326194" w14:textId="77777777" w:rsidR="00665165" w:rsidRPr="00F90EAE" w:rsidRDefault="00665165" w:rsidP="00F90EAE">
      <w:pPr>
        <w:autoSpaceDE w:val="0"/>
        <w:autoSpaceDN w:val="0"/>
        <w:adjustRightInd w:val="0"/>
        <w:jc w:val="both"/>
        <w:rPr>
          <w:color w:val="000000" w:themeColor="text1"/>
          <w:sz w:val="16"/>
          <w:szCs w:val="16"/>
        </w:rPr>
      </w:pPr>
    </w:p>
    <w:p w14:paraId="20D65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7767 Об использовании оборудования, вывозимого с завода "Хорти-Легет" (остров Чепель, Венгрия). РГАНИР, Фонд ГКО, д. 378, лл. 117 (11012).</w:t>
      </w:r>
    </w:p>
    <w:p w14:paraId="5A79B8CB" w14:textId="77777777" w:rsidR="00665165" w:rsidRPr="00F90EAE" w:rsidRDefault="00665165" w:rsidP="00F90EAE">
      <w:pPr>
        <w:autoSpaceDE w:val="0"/>
        <w:autoSpaceDN w:val="0"/>
        <w:adjustRightInd w:val="0"/>
        <w:jc w:val="both"/>
        <w:rPr>
          <w:color w:val="000000" w:themeColor="text1"/>
          <w:sz w:val="16"/>
          <w:szCs w:val="16"/>
        </w:rPr>
      </w:pPr>
    </w:p>
    <w:p w14:paraId="0AB32E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7768 О перегоне трофейного немецкого скота с территории Германии и Польши в районы Советского Союза, освобожденные от немецкой оккупации, для передачи этого скота колхозам и совхозам и семьям воинов Красной Армии. РГАНИР, Фонд ГКО, д. 378, лл. 118-122, 123-124 (11012).</w:t>
      </w:r>
    </w:p>
    <w:p w14:paraId="17099812" w14:textId="77777777" w:rsidR="00665165" w:rsidRPr="00F90EAE" w:rsidRDefault="00665165" w:rsidP="00F90EAE">
      <w:pPr>
        <w:autoSpaceDE w:val="0"/>
        <w:autoSpaceDN w:val="0"/>
        <w:adjustRightInd w:val="0"/>
        <w:jc w:val="both"/>
        <w:rPr>
          <w:color w:val="000000" w:themeColor="text1"/>
          <w:sz w:val="16"/>
          <w:szCs w:val="16"/>
        </w:rPr>
      </w:pPr>
    </w:p>
    <w:p w14:paraId="661B9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7769. О дополнительном выделении бензина для НКМВ. РГАНИР, Фонд ГКО, д. 378 Л.125 (11012).</w:t>
      </w:r>
    </w:p>
    <w:p w14:paraId="4B7E7D27" w14:textId="77777777" w:rsidR="00665165" w:rsidRPr="00F90EAE" w:rsidRDefault="00665165" w:rsidP="00F90EAE">
      <w:pPr>
        <w:autoSpaceDE w:val="0"/>
        <w:autoSpaceDN w:val="0"/>
        <w:adjustRightInd w:val="0"/>
        <w:jc w:val="both"/>
        <w:rPr>
          <w:color w:val="000000" w:themeColor="text1"/>
          <w:sz w:val="16"/>
          <w:szCs w:val="16"/>
        </w:rPr>
      </w:pPr>
    </w:p>
    <w:p w14:paraId="4E941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7770 Об обеспечении в марте 1945 года мазутом Горьковского автозавода. РГАНИР, Фонд ГКО, д. 378, лл. 126-127 (11012).</w:t>
      </w:r>
    </w:p>
    <w:p w14:paraId="22BD4ED3" w14:textId="77777777" w:rsidR="00665165" w:rsidRPr="00F90EAE" w:rsidRDefault="00665165" w:rsidP="00F90EAE">
      <w:pPr>
        <w:autoSpaceDE w:val="0"/>
        <w:autoSpaceDN w:val="0"/>
        <w:adjustRightInd w:val="0"/>
        <w:jc w:val="both"/>
        <w:rPr>
          <w:color w:val="000000" w:themeColor="text1"/>
          <w:sz w:val="16"/>
          <w:szCs w:val="16"/>
        </w:rPr>
      </w:pPr>
    </w:p>
    <w:p w14:paraId="5385A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7771 О мероприятиях по обеспечению донецким углем Днепродзержинской ГРЭС марте 1945 г. РГАНИР, Фонд ГКО, д. 378, лл. 128-129 (11012).</w:t>
      </w:r>
    </w:p>
    <w:p w14:paraId="4A89E069" w14:textId="77777777" w:rsidR="00665165" w:rsidRPr="00F90EAE" w:rsidRDefault="00665165" w:rsidP="00F90EAE">
      <w:pPr>
        <w:autoSpaceDE w:val="0"/>
        <w:autoSpaceDN w:val="0"/>
        <w:adjustRightInd w:val="0"/>
        <w:jc w:val="both"/>
        <w:rPr>
          <w:color w:val="000000" w:themeColor="text1"/>
          <w:sz w:val="16"/>
          <w:szCs w:val="16"/>
        </w:rPr>
      </w:pPr>
    </w:p>
    <w:p w14:paraId="2672E8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7772 О мероприятиях по обеспечению отгрузки мазута важнейшим заводам Наркомбоеприпасов в марте 1945 года. РГАНИР, Фонд ГКО, д. 378, лл. 130-132 (11012).</w:t>
      </w:r>
    </w:p>
    <w:p w14:paraId="21458DE3" w14:textId="77777777" w:rsidR="00665165" w:rsidRPr="00F90EAE" w:rsidRDefault="00665165" w:rsidP="00F90EAE">
      <w:pPr>
        <w:autoSpaceDE w:val="0"/>
        <w:autoSpaceDN w:val="0"/>
        <w:adjustRightInd w:val="0"/>
        <w:jc w:val="both"/>
        <w:rPr>
          <w:color w:val="000000" w:themeColor="text1"/>
          <w:sz w:val="16"/>
          <w:szCs w:val="16"/>
        </w:rPr>
      </w:pPr>
    </w:p>
    <w:p w14:paraId="04610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вышло Постановление ГКО № 7773 О мероприятиях по обеспечению углем важнейших заводов Наркомбоеприпасов в марте 1945 г. РГАНИР, Фонд ГКО, д. 378, лл. 133-136 (11012).</w:t>
      </w:r>
    </w:p>
    <w:p w14:paraId="19BF946B" w14:textId="77777777" w:rsidR="00665165" w:rsidRPr="00F90EAE" w:rsidRDefault="00665165" w:rsidP="00F90EAE">
      <w:pPr>
        <w:autoSpaceDE w:val="0"/>
        <w:autoSpaceDN w:val="0"/>
        <w:adjustRightInd w:val="0"/>
        <w:jc w:val="both"/>
        <w:rPr>
          <w:color w:val="000000" w:themeColor="text1"/>
          <w:sz w:val="16"/>
          <w:szCs w:val="16"/>
        </w:rPr>
      </w:pPr>
    </w:p>
    <w:p w14:paraId="65AD90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9 марта 1945 вышло Постановление ГКО № 7774 О неотложных мерах помощи углем заводам № 3, 71, 235, 92 и 232 Наркомвооружения в марте 1945 года. РГАНИР, Фонд ГКО, д. 378, лл. 137-140 (11012).</w:t>
      </w:r>
    </w:p>
    <w:p w14:paraId="4E9CEB6C" w14:textId="77777777" w:rsidR="00665165" w:rsidRPr="00F90EAE" w:rsidRDefault="00665165" w:rsidP="00F90EAE">
      <w:pPr>
        <w:autoSpaceDE w:val="0"/>
        <w:autoSpaceDN w:val="0"/>
        <w:adjustRightInd w:val="0"/>
        <w:jc w:val="both"/>
        <w:rPr>
          <w:color w:val="000000" w:themeColor="text1"/>
          <w:sz w:val="16"/>
          <w:szCs w:val="16"/>
        </w:rPr>
      </w:pPr>
    </w:p>
    <w:p w14:paraId="7500719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7776 [О поставке Спецметуправлению НКВД оборудования, строительных материалов, горючего для строительства лаборатории № 2 АН СССР.] (7313, 143-144,145-147).</w:t>
      </w:r>
    </w:p>
    <w:p w14:paraId="2D12822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A17D2F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F05C598" w14:textId="77777777" w:rsidR="00665165" w:rsidRPr="00F90EAE" w:rsidRDefault="00665165" w:rsidP="00F90EAE">
      <w:pPr>
        <w:autoSpaceDE w:val="0"/>
        <w:autoSpaceDN w:val="0"/>
        <w:adjustRightInd w:val="0"/>
        <w:jc w:val="both"/>
        <w:rPr>
          <w:iCs/>
          <w:color w:val="000000" w:themeColor="text1"/>
          <w:sz w:val="16"/>
          <w:szCs w:val="16"/>
        </w:rPr>
      </w:pPr>
    </w:p>
    <w:p w14:paraId="5B7A2CF6" w14:textId="77777777" w:rsidR="00C1740F" w:rsidRPr="00F90EAE" w:rsidRDefault="00C1740F" w:rsidP="00F90EAE">
      <w:pPr>
        <w:jc w:val="both"/>
        <w:rPr>
          <w:color w:val="000000" w:themeColor="text1"/>
          <w:sz w:val="16"/>
          <w:szCs w:val="16"/>
        </w:rPr>
      </w:pPr>
      <w:r w:rsidRPr="00F90EAE">
        <w:rPr>
          <w:bCs/>
          <w:color w:val="000000" w:themeColor="text1"/>
          <w:sz w:val="16"/>
          <w:szCs w:val="16"/>
        </w:rPr>
        <w:t>9 марта</w:t>
      </w:r>
      <w:r w:rsidRPr="00F90EAE">
        <w:rPr>
          <w:color w:val="000000" w:themeColor="text1"/>
          <w:sz w:val="16"/>
          <w:szCs w:val="16"/>
        </w:rPr>
        <w:t xml:space="preserve"> в 1945 году оперативная сводка Совинформбюро:</w:t>
      </w:r>
    </w:p>
    <w:p w14:paraId="791BC3E9"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овладели городом Штольп — важным узлом железных и шоссейных дорог и мощным опорным пунктом обороны немцев в северной Померании, а также заняли города Шлаве, Рюгенвальде, Штольпмюнде и более 200 других населённых пунктов, в том числе крупные населённые пункты Райнфельд, Кельпин, Шенберг, Сулленшин, Гросс-Носсин, Лупов, Дарсин, Гроссглушен, Даммен, Зорхов, Карцин, Вайтенхаген, Залеске, Пустамин, Иерсхефт, Рюценхаген. За 8 марта войска фронта взяли в плен более 1.500 немецких солдат и офицеров.</w:t>
      </w:r>
    </w:p>
    <w:p w14:paraId="3937CD16" w14:textId="77777777" w:rsidR="00C1740F" w:rsidRPr="00F90EAE" w:rsidRDefault="00C1740F" w:rsidP="00F90EAE">
      <w:pPr>
        <w:jc w:val="both"/>
        <w:rPr>
          <w:color w:val="000000" w:themeColor="text1"/>
          <w:sz w:val="16"/>
          <w:szCs w:val="16"/>
        </w:rPr>
      </w:pPr>
      <w:r w:rsidRPr="00F90EAE">
        <w:rPr>
          <w:color w:val="000000" w:themeColor="text1"/>
          <w:sz w:val="16"/>
          <w:szCs w:val="16"/>
        </w:rPr>
        <w:t>На Штеттинском направлении каши войска продолжали бои по очищению от противника восточного берега реки Одер и заняли населённые пункты Вольфсхорст, Хакенвальде, Грюнхорст, Карлсгоф, Мюленбек, Бинов, Вольтин, Виров, Туехойзер.</w:t>
      </w:r>
    </w:p>
    <w:p w14:paraId="2CC3A02E" w14:textId="77777777" w:rsidR="00C1740F" w:rsidRPr="00F90EAE" w:rsidRDefault="00C1740F" w:rsidP="00F90EAE">
      <w:pPr>
        <w:jc w:val="both"/>
        <w:rPr>
          <w:color w:val="000000" w:themeColor="text1"/>
          <w:sz w:val="16"/>
          <w:szCs w:val="16"/>
        </w:rPr>
      </w:pPr>
      <w:r w:rsidRPr="00F90EAE">
        <w:rPr>
          <w:color w:val="000000" w:themeColor="text1"/>
          <w:sz w:val="16"/>
          <w:szCs w:val="16"/>
        </w:rPr>
        <w:t>В боях за 8 марта войска 1-го Белорусского фронта взяли в плен свыше 3.000 немецких солдат и офицеров. В числе пленных командир немецкой пехотной дивизии «Бервальде» генерал-лейтенант Райтель.</w:t>
      </w:r>
    </w:p>
    <w:p w14:paraId="67E4E0B9" w14:textId="77777777" w:rsidR="00C1740F" w:rsidRPr="00F90EAE" w:rsidRDefault="00C1740F" w:rsidP="00F90EAE">
      <w:pPr>
        <w:jc w:val="both"/>
        <w:rPr>
          <w:color w:val="000000" w:themeColor="text1"/>
          <w:sz w:val="16"/>
          <w:szCs w:val="16"/>
        </w:rPr>
      </w:pPr>
      <w:r w:rsidRPr="00F90EAE">
        <w:rPr>
          <w:color w:val="000000" w:themeColor="text1"/>
          <w:sz w:val="16"/>
          <w:szCs w:val="16"/>
        </w:rPr>
        <w:t>В Венгрии северо-восточнее озера Балатон немцы продолжали атаки крупными силами танков, стремясь прорваться к Дунаю. В боях за 8 марта в этом районе подбито и уничтожено 70 немецких танков.</w:t>
      </w:r>
    </w:p>
    <w:p w14:paraId="528DF525" w14:textId="77777777" w:rsidR="00C1740F" w:rsidRPr="00F90EAE" w:rsidRDefault="00C1740F"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B026169" w14:textId="77777777" w:rsidR="00C1740F" w:rsidRPr="00F90EAE" w:rsidRDefault="00C1740F" w:rsidP="00F90EAE">
      <w:pPr>
        <w:jc w:val="both"/>
        <w:rPr>
          <w:color w:val="000000" w:themeColor="text1"/>
          <w:sz w:val="16"/>
          <w:szCs w:val="16"/>
        </w:rPr>
      </w:pPr>
      <w:r w:rsidRPr="00F90EAE">
        <w:rPr>
          <w:color w:val="000000" w:themeColor="text1"/>
          <w:sz w:val="16"/>
          <w:szCs w:val="16"/>
        </w:rPr>
        <w:t>За 8 марта на всех фронтах подбито и уничтожено 128 немецких танков. В воздушных боях и огнём зенитной артиллерии сбит 61 самолёт противника.</w:t>
      </w:r>
    </w:p>
    <w:p w14:paraId="155FD23D" w14:textId="77777777" w:rsidR="00C1740F" w:rsidRPr="00F90EAE" w:rsidRDefault="00C1740F" w:rsidP="00F90EAE">
      <w:pPr>
        <w:jc w:val="both"/>
        <w:rPr>
          <w:color w:val="000000" w:themeColor="text1"/>
          <w:sz w:val="16"/>
          <w:szCs w:val="16"/>
        </w:rPr>
      </w:pPr>
      <w:r w:rsidRPr="00F90EAE">
        <w:rPr>
          <w:color w:val="000000" w:themeColor="text1"/>
          <w:sz w:val="16"/>
          <w:szCs w:val="16"/>
        </w:rPr>
        <w:t>Удары нашей авиации по железнодорожному узлу Веспрем в Венгрии.</w:t>
      </w:r>
    </w:p>
    <w:p w14:paraId="18112084" w14:textId="77777777" w:rsidR="00C1740F" w:rsidRPr="00F90EAE" w:rsidRDefault="00C1740F" w:rsidP="00F90EAE">
      <w:pPr>
        <w:jc w:val="both"/>
        <w:rPr>
          <w:color w:val="000000" w:themeColor="text1"/>
          <w:sz w:val="16"/>
          <w:szCs w:val="16"/>
        </w:rPr>
      </w:pPr>
      <w:r w:rsidRPr="00F90EAE">
        <w:rPr>
          <w:color w:val="000000" w:themeColor="text1"/>
          <w:sz w:val="16"/>
          <w:szCs w:val="16"/>
        </w:rPr>
        <w:t>В ночь на 9 марта наши тяжёлые бомбардировщики нанесли удар по железнодорожному узлу Веспрем в Венгрии. Во время бомбардировки на железнодорожном узле находилось большое количество эшелонов. В результате бомбардировки на железнодорожном узле возникли пожары, сопровождавшиеся взрывами большой силы.</w:t>
      </w:r>
    </w:p>
    <w:p w14:paraId="64191DD3"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Советские подвижные соединения и пехота стремительным ударом заняли город Шлаве. Вражеский гарнизон города, пытавшийся спастись бегством, был настигнут на шоссейной дороге и уничтожен огнём и гусеницами советских танков. Развивая успех, наши войска устремились к городу Штольпу. Этот город является важным узлом путей сообщения в северной Померании. К нему сходятся шесть железных и несколько шоссейных дорог. На обочинах дорог, ведущих к Штольпу, лежит много цемента, стальных плит, брёвен. Повсюду видны отрытые гнёзда для дотов. Противник пытался построить в этом районе долговременную оборону. Гитлеровцы согнали сюда десятки тысяч людей с лопатами, ломами и кирками. Работа по строительству шла день и ночь. Однако быстрое продвижение Красной Армии сорвало планы немцев. Укрепления так и остались недостроенными. К исходу дня наши войска достигли западной окраины Штольпа. Советская пехота завязала бои с упорно оборонявшимся противником, а танки, самоходная артиллерия и гвардейские миномёты обошли город с севера и юга. Вечером, под прикрытием артиллерийского огня, в город Штольп с трёх сторон ворвались советские стрелки. Начался ночной штурм. Самоходные орудия следовали в боевых порядках пехоты и подавляли вражеские огневые точки. Сапёры подбирались к зданиям, из которых немцы вели огонь, закладывали взрывчатые вещества и взрывали их. В результате упорного боя наши войска полностью овладели городом Штольп — мощным опорным пунктом обороны противника. В течение дня уничтожено до 4 тысяч немецких солдат и офицеров, подбито и сожжено 35 танков и самоходных орудий. Нашими частями захвачены трофеи, в числе которых 4 танка, 5 бронетранспортёров, 44 орудия, 30 паровозов, 500 вагонов и 25 разных складов.</w:t>
      </w:r>
    </w:p>
    <w:p w14:paraId="329A187F" w14:textId="77777777" w:rsidR="00C1740F" w:rsidRPr="00F90EAE" w:rsidRDefault="00C1740F" w:rsidP="00F90EAE">
      <w:pPr>
        <w:jc w:val="both"/>
        <w:rPr>
          <w:color w:val="000000" w:themeColor="text1"/>
          <w:sz w:val="16"/>
          <w:szCs w:val="16"/>
        </w:rPr>
      </w:pPr>
      <w:r w:rsidRPr="00F90EAE">
        <w:rPr>
          <w:color w:val="000000" w:themeColor="text1"/>
          <w:sz w:val="16"/>
          <w:szCs w:val="16"/>
        </w:rPr>
        <w:t>На Штеттинском направлении наши войска очищали от противника восточный берег реки Одер. Нанося немцам удары с севера, востока и юга, советские части продвигаются к городу Альтдамм — опорному пункту противника, прикрывающему Штеттин с востока. Пехотинцы и танкисты, поддержанные артиллерией, выбивают немцев из укреплений, построенных в населённых пунктах и у дорог. Только на одном участке наши войска истребили до полка пехоты противника. Захвачено у немцев 2 самоходных и 132 полевых орудия, много миномётов, пулемётов и другие трофеи. Взят в плен командир полка немецкой дивизии «Меркиш-Фридланд» полковник Янус.</w:t>
      </w:r>
    </w:p>
    <w:p w14:paraId="5CAA88BE" w14:textId="77777777" w:rsidR="00C1740F" w:rsidRPr="00F90EAE" w:rsidRDefault="00C1740F" w:rsidP="00F90EAE">
      <w:pPr>
        <w:jc w:val="both"/>
        <w:rPr>
          <w:color w:val="000000" w:themeColor="text1"/>
          <w:sz w:val="16"/>
          <w:szCs w:val="16"/>
        </w:rPr>
      </w:pPr>
      <w:r w:rsidRPr="00F90EAE">
        <w:rPr>
          <w:color w:val="000000" w:themeColor="text1"/>
          <w:sz w:val="16"/>
          <w:szCs w:val="16"/>
        </w:rPr>
        <w:t>Советские лётчики наносили удары по войскам противника, скопившимся у переправ через реку Одер. В воздушных боях и огнём зенитной артиллерии за день сбито 36 немецких самолётов.</w:t>
      </w:r>
    </w:p>
    <w:p w14:paraId="154CBB3D" w14:textId="77777777" w:rsidR="00C1740F" w:rsidRPr="00F90EAE" w:rsidRDefault="00C1740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Балтийском море немецкий транспорт водоизмещением в 6 тысяч тонн.</w:t>
      </w:r>
    </w:p>
    <w:p w14:paraId="3BB7E150" w14:textId="77777777" w:rsidR="00C1740F" w:rsidRPr="00F90EAE" w:rsidRDefault="00C1740F" w:rsidP="00F90EAE">
      <w:pPr>
        <w:jc w:val="both"/>
        <w:rPr>
          <w:color w:val="000000" w:themeColor="text1"/>
          <w:sz w:val="16"/>
          <w:szCs w:val="16"/>
        </w:rPr>
      </w:pPr>
      <w:r w:rsidRPr="00F90EAE">
        <w:rPr>
          <w:color w:val="000000" w:themeColor="text1"/>
          <w:sz w:val="16"/>
          <w:szCs w:val="16"/>
        </w:rPr>
        <w:t>На 2-м Украинском фронте нашими бойцами взяты в плен два солдата 102-й роты испанского легиона Хесус Сайнс Балса и Энрике Марота Эрнандес. Пленный Хесус Сайнс Балса рассказал: «В 1943 году я служил в испанской «Голубой дивизии» санитаром. В конце года меня демобилизовали, и я вернулся в Испанию. В июне 1944 года я добровольно вступил в испанскую армию. Однако меня не оставили в Испании, а отправили в Иннсбрук (Австрия), где формировался новый испанский легион. Центром вербовки испанских солдат для участия в войне на стороне немцев является город Логроньо (Испания). Вербовкой руководил подполковник из военного министерства, фамилии которого я не помню. Другой вербовочный пункт находится в городе Сан-Себастьян. Начальником пункта был один из руководителей испанских фалангистов лейтенант испанской армии Каррерас, ранее служивший в «Голубой дивизии». С августа легион пополнялся также испанцами, завербованными для работ на промышленных предприятиях Германии.</w:t>
      </w:r>
    </w:p>
    <w:p w14:paraId="184B7ED9" w14:textId="77777777" w:rsidR="00C1740F" w:rsidRPr="00F90EAE" w:rsidRDefault="00C1740F" w:rsidP="00F90EAE">
      <w:pPr>
        <w:jc w:val="both"/>
        <w:rPr>
          <w:color w:val="000000" w:themeColor="text1"/>
          <w:sz w:val="16"/>
          <w:szCs w:val="16"/>
        </w:rPr>
      </w:pPr>
      <w:r w:rsidRPr="00F90EAE">
        <w:rPr>
          <w:color w:val="000000" w:themeColor="text1"/>
          <w:sz w:val="16"/>
          <w:szCs w:val="16"/>
        </w:rPr>
        <w:t>В августе легион был полностью укомплектован. Первую роту в полном составе направили в Карпаты для участия в боях. Две роты легиона были переброшены в Югославию, в район Целье (юго-западнее Марибор), для борьбы против югославских партизан. В конце октября обе роты были переведены из Югославии в Штоккерау (Австрия). Сюда же прибыли остатки первой роты, разбитой в Карпатах. В Штоккерау легион получил пополнение из Испании и 7 февраля 1945 года в полном составе был переброшен по железной дороге через Братиславу — Нитру в район Врабле. После прибытия на место две роты легиона получили новую нумерацию, а именно: 1-я рота стала именоваться 101-й отдельной испанской ротой, а 2-я рота — 102-й отдельной испанской ротой. Обе роты 19 февраля заняли оборону в районе восточнее Врабле, сменив немецкие подразделения, отведённые на отдых».</w:t>
      </w:r>
    </w:p>
    <w:p w14:paraId="234E1AEF" w14:textId="77777777" w:rsidR="00C1740F" w:rsidRPr="00F90EAE" w:rsidRDefault="00C1740F" w:rsidP="00F90EAE">
      <w:pPr>
        <w:jc w:val="both"/>
        <w:rPr>
          <w:color w:val="000000" w:themeColor="text1"/>
          <w:sz w:val="16"/>
          <w:szCs w:val="16"/>
        </w:rPr>
      </w:pPr>
      <w:r w:rsidRPr="00F90EAE">
        <w:rPr>
          <w:color w:val="000000" w:themeColor="text1"/>
          <w:sz w:val="16"/>
          <w:szCs w:val="16"/>
        </w:rPr>
        <w:t>Правящая клика Испании из кожи лезет вон, стараясь уверить всех и вся в нейтралитете Испании. В то же время под аккомпанемент лживых речей о своём миролюбии правительство Франко формирует воинские части и посылает их на подмогу Гитлеру, попавшему в беду. Пока испанские газеты и радиостанции на все лады расписывают нейтралитет Испании, испанский легион сражается против югославских патриотов и против Красной Армии, с боями освобождающей территорию Чехословакии, Испанские дипломаты, не жалея сил, пытаются убедить всех, будто бы правительство Франко не имеет ничего общего с фашистской Германией, а представители испанского военного министерства и фаланги вербуют среди солдат «добровольцев» и отправляют их в Германию, а оттуда на советско-германский фронт. В Испании также усиленно вербуют рабочих для работы на предприятиях Германии. Однако многие из этих рабочих попадают в испанский легион, где их одевают в военную форму, дают оружие и гонят в бой. Так выглядит нейтралитет франкистской Испании на деле. Трудно представить более подлую и двурушническую политику, чем та, которую изо дня в день проводят испанские подручные Гитлера.</w:t>
      </w:r>
    </w:p>
    <w:p w14:paraId="066BFCF9" w14:textId="77777777" w:rsidR="00C1740F" w:rsidRPr="00F90EAE" w:rsidRDefault="00C1740F" w:rsidP="00F90EAE">
      <w:pPr>
        <w:jc w:val="both"/>
        <w:rPr>
          <w:color w:val="000000" w:themeColor="text1"/>
          <w:sz w:val="16"/>
          <w:szCs w:val="16"/>
        </w:rPr>
      </w:pPr>
      <w:r w:rsidRPr="00F90EAE">
        <w:rPr>
          <w:color w:val="000000" w:themeColor="text1"/>
          <w:sz w:val="16"/>
          <w:szCs w:val="16"/>
        </w:rPr>
        <w:t>Показания испанцев, взятых в плен на советско-германском фронте, снова разоблачают мадридских «нейтралов», помогающих фашистской Германии вести войну против Объединённых наций.» (15063).</w:t>
      </w:r>
    </w:p>
    <w:p w14:paraId="77D48E22" w14:textId="77777777" w:rsidR="00C1740F" w:rsidRPr="00F90EAE" w:rsidRDefault="00C1740F" w:rsidP="00F90EAE">
      <w:pPr>
        <w:jc w:val="both"/>
        <w:rPr>
          <w:color w:val="000000" w:themeColor="text1"/>
          <w:sz w:val="16"/>
          <w:szCs w:val="16"/>
        </w:rPr>
      </w:pPr>
    </w:p>
    <w:p w14:paraId="305D9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года советская авиация повредила подводную лодку U-351 и потопила или сильно повредила 6 транспортов, дозорный корабль и пассажирский корабль "Метеор". А на следующий день в ходе воздушного налета получили повреждения и сели на мель три морских охотника: N 302, 303 и 305 (2691).</w:t>
      </w:r>
    </w:p>
    <w:p w14:paraId="11B4154E" w14:textId="77777777" w:rsidR="00665165" w:rsidRPr="00F90EAE" w:rsidRDefault="00665165" w:rsidP="00F90EAE">
      <w:pPr>
        <w:autoSpaceDE w:val="0"/>
        <w:autoSpaceDN w:val="0"/>
        <w:adjustRightInd w:val="0"/>
        <w:jc w:val="both"/>
        <w:rPr>
          <w:color w:val="000000" w:themeColor="text1"/>
          <w:sz w:val="16"/>
          <w:szCs w:val="16"/>
        </w:rPr>
      </w:pPr>
    </w:p>
    <w:p w14:paraId="44A1FE2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59F9CBF" w14:textId="77777777" w:rsidR="00665165" w:rsidRPr="00F90EAE" w:rsidRDefault="00665165" w:rsidP="00F90EAE">
      <w:pPr>
        <w:autoSpaceDE w:val="0"/>
        <w:autoSpaceDN w:val="0"/>
        <w:adjustRightInd w:val="0"/>
        <w:jc w:val="both"/>
        <w:rPr>
          <w:iCs/>
          <w:color w:val="000000" w:themeColor="text1"/>
          <w:sz w:val="16"/>
          <w:szCs w:val="16"/>
        </w:rPr>
      </w:pPr>
    </w:p>
    <w:p w14:paraId="274D13E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марта 1945 вышло Распоряжение ГКО № 7775 [О передаче личного состава, освободившегося после реорганизации городских частей МПВО, в Распоряжение ГКО Главного управления по делам военнопленных и интернированных НКВД.] (7313, 141,142).</w:t>
      </w:r>
    </w:p>
    <w:p w14:paraId="5301F19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C9F0CA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CB5E6E5" w14:textId="77777777" w:rsidR="00665165" w:rsidRPr="00F90EAE" w:rsidRDefault="00665165" w:rsidP="00F90EAE">
      <w:pPr>
        <w:autoSpaceDE w:val="0"/>
        <w:autoSpaceDN w:val="0"/>
        <w:adjustRightInd w:val="0"/>
        <w:jc w:val="both"/>
        <w:rPr>
          <w:iCs/>
          <w:color w:val="000000" w:themeColor="text1"/>
          <w:sz w:val="16"/>
          <w:szCs w:val="16"/>
        </w:rPr>
      </w:pPr>
    </w:p>
    <w:p w14:paraId="7967B2C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марта 1945 американские войска захватили Бонн (4962).</w:t>
      </w:r>
    </w:p>
    <w:p w14:paraId="1A43A45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003674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марта 1945 немцы неожиданно предприняли попытку высадки десанта глубоко в тылу союзников - в Гранвилле (Нормандия) (4962).</w:t>
      </w:r>
    </w:p>
    <w:p w14:paraId="0D9EF7C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97B1C1" w14:textId="49C695BF" w:rsidR="006D7A23" w:rsidRPr="00F90EAE" w:rsidRDefault="006D7A23" w:rsidP="00F90EAE">
      <w:pPr>
        <w:jc w:val="both"/>
        <w:rPr>
          <w:color w:val="0070C0"/>
          <w:sz w:val="16"/>
          <w:szCs w:val="16"/>
        </w:rPr>
      </w:pPr>
      <w:r w:rsidRPr="00F90EAE">
        <w:rPr>
          <w:color w:val="0070C0"/>
          <w:sz w:val="16"/>
          <w:szCs w:val="16"/>
        </w:rPr>
        <w:t>9 марта 1945, разочаровавшись в результатах стратегических бомбовых ударов против Японии с использованием B-29 СуперФортресом в дневное время, ВВС США переключаются на низковысотную ночную бомбардировку Японии с использованием зажигательных бомб (20371).</w:t>
      </w:r>
    </w:p>
    <w:p w14:paraId="7E8B1E43" w14:textId="77777777" w:rsidR="006D7A23" w:rsidRPr="00F90EAE" w:rsidRDefault="006D7A23" w:rsidP="00F90EAE">
      <w:pPr>
        <w:jc w:val="both"/>
        <w:rPr>
          <w:color w:val="0070C0"/>
          <w:sz w:val="16"/>
          <w:szCs w:val="16"/>
        </w:rPr>
      </w:pPr>
    </w:p>
    <w:p w14:paraId="3A14F8C9" w14:textId="77777777" w:rsidR="006D7A23" w:rsidRPr="00F90EAE" w:rsidRDefault="006D7A23" w:rsidP="00F90EAE">
      <w:pPr>
        <w:jc w:val="both"/>
        <w:rPr>
          <w:color w:val="0070C0"/>
          <w:sz w:val="16"/>
          <w:szCs w:val="16"/>
        </w:rPr>
      </w:pPr>
      <w:r w:rsidRPr="00F90EAE">
        <w:rPr>
          <w:color w:val="0070C0"/>
          <w:sz w:val="16"/>
          <w:szCs w:val="16"/>
        </w:rPr>
        <w:lastRenderedPageBreak/>
        <w:t>9–10 марта 1945 состоялся авианалёт в Токио (кодовое название USAAF Operation Meetinghouse ) - ночной налет бомбардировщиков B-29 Superfortress на Токио - самый разрушительный воздушный налет за время Второй мировой войны, даже с учетом атомных бомбардировок Хиросимы и Нагасаки. Налет создал пожар, который разрушает 41 квадратный километр (16 квадратных миль) города, убивая примерно от 88 000 до 125 000 человек, раня как минимум 41 000, а возможно, и до миллиона человек, и оставив, вероятно, миллион человек без крова.</w:t>
      </w:r>
    </w:p>
    <w:p w14:paraId="51990804" w14:textId="77777777" w:rsidR="006D7A23" w:rsidRPr="00F90EAE" w:rsidRDefault="006D7A23" w:rsidP="00F90EAE">
      <w:pPr>
        <w:jc w:val="both"/>
        <w:rPr>
          <w:color w:val="0070C0"/>
          <w:sz w:val="16"/>
          <w:szCs w:val="16"/>
        </w:rPr>
      </w:pPr>
    </w:p>
    <w:p w14:paraId="76D568DA" w14:textId="77777777" w:rsidR="006D7A23" w:rsidRPr="00F90EAE" w:rsidRDefault="006D7A23" w:rsidP="00F90EAE">
      <w:pPr>
        <w:jc w:val="both"/>
        <w:rPr>
          <w:color w:val="0070C0"/>
          <w:sz w:val="16"/>
          <w:szCs w:val="16"/>
        </w:rPr>
      </w:pPr>
      <w:r w:rsidRPr="00F90EAE">
        <w:rPr>
          <w:color w:val="0070C0"/>
          <w:sz w:val="16"/>
          <w:szCs w:val="16"/>
        </w:rPr>
        <w:t>9 марта 1945 - 300 бомбардировщиков Boeing B-29 "Superfortresses" совершили ночной налет на Токио. Разрушена приблизительно одна четверть города. Убито, по разным оценкам, от 88000 до 125000 человек (22575).</w:t>
      </w:r>
    </w:p>
    <w:p w14:paraId="74246682" w14:textId="77777777" w:rsidR="006D7A23" w:rsidRPr="00F90EAE" w:rsidRDefault="006D7A23" w:rsidP="00F90EAE">
      <w:pPr>
        <w:jc w:val="both"/>
        <w:rPr>
          <w:color w:val="0070C0"/>
          <w:sz w:val="16"/>
          <w:szCs w:val="16"/>
        </w:rPr>
      </w:pPr>
    </w:p>
    <w:p w14:paraId="26952C7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марта 1945 в ходе американского налета разрушена четверть Токио, погибло более 80 тысяч человек (4962).</w:t>
      </w:r>
    </w:p>
    <w:p w14:paraId="43D8C06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C4DE0D7" w14:textId="77777777" w:rsidR="006D7A23" w:rsidRPr="00F90EAE" w:rsidRDefault="006D7A2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9 1945. B-29s begin mass incendiary raids (1287).</w:t>
      </w:r>
    </w:p>
    <w:p w14:paraId="22B73E53" w14:textId="77777777" w:rsidR="006D7A23" w:rsidRPr="00F90EAE" w:rsidRDefault="006D7A23" w:rsidP="00F90EAE">
      <w:pPr>
        <w:autoSpaceDE w:val="0"/>
        <w:autoSpaceDN w:val="0"/>
        <w:adjustRightInd w:val="0"/>
        <w:jc w:val="both"/>
        <w:rPr>
          <w:color w:val="000000" w:themeColor="text1"/>
          <w:sz w:val="16"/>
          <w:szCs w:val="16"/>
          <w:lang w:val="en-US"/>
        </w:rPr>
      </w:pPr>
    </w:p>
    <w:p w14:paraId="6ADEB2AF" w14:textId="77777777" w:rsidR="006D7A23" w:rsidRPr="00F90EAE" w:rsidRDefault="006D7A2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09 1945 General Curtis Le May, defying conventional techniques, sends 325 B-29 Superfortresses to individually and sequentially bomb Tokyo with napalm bombs so as to create a massive conflagration. That night, over 80,000 people die (1769).</w:t>
      </w:r>
    </w:p>
    <w:p w14:paraId="7C79CB89" w14:textId="77777777" w:rsidR="006D7A23" w:rsidRPr="00F90EAE" w:rsidRDefault="006D7A23" w:rsidP="00F90EAE">
      <w:pPr>
        <w:autoSpaceDE w:val="0"/>
        <w:autoSpaceDN w:val="0"/>
        <w:adjustRightInd w:val="0"/>
        <w:jc w:val="both"/>
        <w:rPr>
          <w:color w:val="000000" w:themeColor="text1"/>
          <w:sz w:val="16"/>
          <w:szCs w:val="16"/>
          <w:lang w:val="en-US"/>
        </w:rPr>
      </w:pPr>
    </w:p>
    <w:p w14:paraId="678234D6" w14:textId="77777777" w:rsidR="006D7A23" w:rsidRPr="00F90EAE" w:rsidRDefault="006D7A2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9-10, 1945 - LeMay launches an all-out low altitude fire bomb raid on Tokyo with 334 B-29s, stripped of guns for greater bomb load, carrying 2000 tons of incendiaries. 15.8 square miles of Tokyo burn, killing at least 100,000 people, injuring 1,000,000 (41,000 seriously) (1039).</w:t>
      </w:r>
    </w:p>
    <w:p w14:paraId="0931EF81" w14:textId="77777777" w:rsidR="006D7A23" w:rsidRPr="00F90EAE" w:rsidRDefault="006D7A23" w:rsidP="00F90EAE">
      <w:pPr>
        <w:autoSpaceDE w:val="0"/>
        <w:autoSpaceDN w:val="0"/>
        <w:adjustRightInd w:val="0"/>
        <w:jc w:val="both"/>
        <w:rPr>
          <w:color w:val="000000" w:themeColor="text1"/>
          <w:sz w:val="16"/>
          <w:szCs w:val="16"/>
          <w:lang w:val="en-US"/>
        </w:rPr>
      </w:pPr>
    </w:p>
    <w:p w14:paraId="5BBDE1B5" w14:textId="77777777" w:rsidR="006D7A23" w:rsidRPr="00F90EAE" w:rsidRDefault="006D7A23" w:rsidP="00F90EAE">
      <w:pPr>
        <w:autoSpaceDE w:val="0"/>
        <w:autoSpaceDN w:val="0"/>
        <w:adjustRightInd w:val="0"/>
        <w:jc w:val="both"/>
        <w:rPr>
          <w:color w:val="000000" w:themeColor="text1"/>
          <w:sz w:val="16"/>
          <w:szCs w:val="16"/>
        </w:rPr>
      </w:pPr>
      <w:r w:rsidRPr="00F90EAE">
        <w:rPr>
          <w:color w:val="000000" w:themeColor="text1"/>
          <w:sz w:val="16"/>
          <w:szCs w:val="16"/>
        </w:rPr>
        <w:t>9/10 марта 1945 334 из-за бомбежки зажигательными бомбами с В-29 с небольшой высоты в Токио погибло 100 тыс. чел., 1 млн. были ранены (1287;1769;1039;2248,3).</w:t>
      </w:r>
    </w:p>
    <w:p w14:paraId="1E88BF49" w14:textId="77777777" w:rsidR="006D7A23" w:rsidRPr="00F90EAE" w:rsidRDefault="006D7A23"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По другим данным - 279 В-29 сбросили 1555 т зажигательных и напалмовых бомб и погибло 84 тыс. </w:t>
      </w:r>
      <w:r w:rsidRPr="00F90EAE">
        <w:rPr>
          <w:color w:val="000000" w:themeColor="text1"/>
          <w:sz w:val="16"/>
          <w:szCs w:val="16"/>
          <w:lang w:val="en-US"/>
        </w:rPr>
        <w:t>(1051,28).</w:t>
      </w:r>
    </w:p>
    <w:p w14:paraId="7F1F27E3" w14:textId="77777777" w:rsidR="006D7A23" w:rsidRPr="00F90EAE" w:rsidRDefault="006D7A23" w:rsidP="00F90EAE">
      <w:pPr>
        <w:autoSpaceDE w:val="0"/>
        <w:autoSpaceDN w:val="0"/>
        <w:adjustRightInd w:val="0"/>
        <w:jc w:val="both"/>
        <w:rPr>
          <w:color w:val="000000" w:themeColor="text1"/>
          <w:sz w:val="16"/>
          <w:szCs w:val="16"/>
          <w:lang w:val="en-US"/>
        </w:rPr>
      </w:pPr>
    </w:p>
    <w:p w14:paraId="6D59249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9th, 1945: German light naval vessels from the still German-ocupied British Channel Islands enter the Allied supply port of Granville in Bretagne, sinking five ships. Units of the US Third Army capture Andernach on the Rhine. on the Oder front in the East, troops of the Soviet 1st Belorussian Front are fighting inside the fortress of Kustrin (3819).</w:t>
      </w:r>
    </w:p>
    <w:p w14:paraId="0FDD055B" w14:textId="77777777" w:rsidR="00665165" w:rsidRPr="00F90EAE" w:rsidRDefault="00665165" w:rsidP="00F90EAE">
      <w:pPr>
        <w:autoSpaceDE w:val="0"/>
        <w:autoSpaceDN w:val="0"/>
        <w:adjustRightInd w:val="0"/>
        <w:jc w:val="both"/>
        <w:rPr>
          <w:color w:val="000000" w:themeColor="text1"/>
          <w:sz w:val="16"/>
          <w:szCs w:val="16"/>
          <w:lang w:val="en-US"/>
        </w:rPr>
      </w:pPr>
    </w:p>
    <w:p w14:paraId="2D2321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легкий немецкий корабль из сил Английского Канала вошел в порт Гранвиль в Бретани и потопил 5 судов. Части 3А США заняли Андернах на Рейне. 1БФ сражался в Кюстрине (3819).</w:t>
      </w:r>
    </w:p>
    <w:p w14:paraId="37CA8ECA" w14:textId="77777777" w:rsidR="00665165" w:rsidRPr="00F90EAE" w:rsidRDefault="00665165" w:rsidP="00F90EAE">
      <w:pPr>
        <w:autoSpaceDE w:val="0"/>
        <w:autoSpaceDN w:val="0"/>
        <w:adjustRightInd w:val="0"/>
        <w:jc w:val="both"/>
        <w:rPr>
          <w:color w:val="000000" w:themeColor="text1"/>
          <w:sz w:val="16"/>
          <w:szCs w:val="16"/>
        </w:rPr>
      </w:pPr>
    </w:p>
    <w:p w14:paraId="554BC0AC" w14:textId="77777777" w:rsidR="00C1740F" w:rsidRPr="00F90EAE" w:rsidRDefault="00C1740F" w:rsidP="00F90EAE">
      <w:pPr>
        <w:jc w:val="both"/>
        <w:rPr>
          <w:color w:val="000000" w:themeColor="text1"/>
          <w:sz w:val="16"/>
          <w:szCs w:val="16"/>
        </w:rPr>
      </w:pPr>
      <w:r w:rsidRPr="00F90EAE">
        <w:rPr>
          <w:bCs/>
          <w:color w:val="000000" w:themeColor="text1"/>
          <w:sz w:val="16"/>
          <w:szCs w:val="16"/>
        </w:rPr>
        <w:t>9 марта</w:t>
      </w:r>
      <w:r w:rsidRPr="00F90EAE">
        <w:rPr>
          <w:color w:val="000000" w:themeColor="text1"/>
          <w:sz w:val="16"/>
          <w:szCs w:val="16"/>
        </w:rPr>
        <w:t xml:space="preserve"> в 1945 году (по 21 марта) бои британских войск за Мандалай (15063).</w:t>
      </w:r>
    </w:p>
    <w:p w14:paraId="562B700F" w14:textId="77777777" w:rsidR="00C1740F" w:rsidRPr="00F90EAE" w:rsidRDefault="00C1740F" w:rsidP="00F90EAE">
      <w:pPr>
        <w:jc w:val="both"/>
        <w:rPr>
          <w:color w:val="000000" w:themeColor="text1"/>
          <w:sz w:val="16"/>
          <w:szCs w:val="16"/>
        </w:rPr>
      </w:pPr>
    </w:p>
    <w:p w14:paraId="5B76C6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марта 1945 японские военные власти ликвидировали французскую кололниальную администрацию во Вьетнаме, Камбодже, Лаосе и создали марионеточные правительства (3960, 96).</w:t>
      </w:r>
    </w:p>
    <w:p w14:paraId="76B05214" w14:textId="77777777" w:rsidR="00665165" w:rsidRPr="00F90EAE" w:rsidRDefault="00665165" w:rsidP="00F90EAE">
      <w:pPr>
        <w:autoSpaceDE w:val="0"/>
        <w:autoSpaceDN w:val="0"/>
        <w:adjustRightInd w:val="0"/>
        <w:jc w:val="both"/>
        <w:rPr>
          <w:color w:val="000000" w:themeColor="text1"/>
          <w:sz w:val="16"/>
          <w:szCs w:val="16"/>
        </w:rPr>
      </w:pPr>
    </w:p>
    <w:p w14:paraId="6549BFC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9500319" w14:textId="77777777" w:rsidR="00665165" w:rsidRPr="00F90EAE" w:rsidRDefault="00665165" w:rsidP="00F90EAE">
      <w:pPr>
        <w:autoSpaceDE w:val="0"/>
        <w:autoSpaceDN w:val="0"/>
        <w:adjustRightInd w:val="0"/>
        <w:jc w:val="both"/>
        <w:rPr>
          <w:iCs/>
          <w:color w:val="000000" w:themeColor="text1"/>
          <w:sz w:val="16"/>
          <w:szCs w:val="16"/>
        </w:rPr>
      </w:pPr>
    </w:p>
    <w:p w14:paraId="6D93B7F0"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w:t>
      </w:r>
    </w:p>
    <w:p w14:paraId="57045491" w14:textId="77777777" w:rsidR="00DD401F" w:rsidRPr="00F90EAE" w:rsidRDefault="00DD401F" w:rsidP="00F90EAE">
      <w:pPr>
        <w:jc w:val="both"/>
        <w:rPr>
          <w:color w:val="000000" w:themeColor="text1"/>
          <w:sz w:val="16"/>
          <w:szCs w:val="16"/>
        </w:rPr>
      </w:pPr>
      <w:r w:rsidRPr="00F90EAE">
        <w:rPr>
          <w:rStyle w:val="107"/>
          <w:rFonts w:eastAsiaTheme="minorHAnsi"/>
          <w:color w:val="000000" w:themeColor="text1"/>
          <w:sz w:val="16"/>
          <w:szCs w:val="16"/>
        </w:rPr>
        <w:t>Такое крыло, установленное на серийном самолете Ил-10 зав. № 1899008, при испытаниях в мае 1945 года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 (17490).</w:t>
      </w:r>
    </w:p>
    <w:p w14:paraId="5C2D2B8C" w14:textId="77777777" w:rsidR="00DD401F" w:rsidRPr="00F90EAE" w:rsidRDefault="00DD401F" w:rsidP="00F90EAE">
      <w:pPr>
        <w:jc w:val="both"/>
        <w:rPr>
          <w:color w:val="000000" w:themeColor="text1"/>
          <w:sz w:val="16"/>
          <w:szCs w:val="16"/>
        </w:rPr>
      </w:pPr>
    </w:p>
    <w:p w14:paraId="4BEC70C7" w14:textId="77777777" w:rsidR="00DD401F" w:rsidRPr="00F90EAE" w:rsidRDefault="00DD401F"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По состоянию на 10 марта 1945 года завод № 30 получил «от Главного конструктора все чертежи самолета Ил-16». Технологическим отделом завода проведен технологический контроль чертежей, и по его замечаниям СКО завода было выпущено около 450 листков изменений («главным образом исправление ошибок и постановка недостающих размеров»). В цеха была спущена вся техническая документация. Из Куйбышева были получены «все детали, сходные с Ил-10 (за исключением бронекорпуса)». К 10 мая планировалось изготовить лонжероны и нервюры центроплана и крыла, щитки центроплана и крыла, центроплан, крыло и фюзеляж (17490).</w:t>
      </w:r>
    </w:p>
    <w:p w14:paraId="48AF50BE" w14:textId="77777777" w:rsidR="00DD401F" w:rsidRPr="00F90EAE" w:rsidRDefault="00DD401F" w:rsidP="00F90EAE">
      <w:pPr>
        <w:jc w:val="both"/>
        <w:rPr>
          <w:color w:val="000000" w:themeColor="text1"/>
          <w:sz w:val="16"/>
          <w:szCs w:val="16"/>
        </w:rPr>
      </w:pPr>
    </w:p>
    <w:p w14:paraId="08B969AF"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состоянию на 10 марта 1945 г. завод №30 получил от Главного кон</w:t>
      </w:r>
      <w:r w:rsidRPr="00F90EAE">
        <w:rPr>
          <w:rFonts w:ascii="Times New Roman" w:hAnsi="Times New Roman" w:cs="Times New Roman"/>
          <w:color w:val="000000" w:themeColor="text1"/>
          <w:sz w:val="16"/>
          <w:szCs w:val="16"/>
        </w:rPr>
        <w:softHyphen/>
        <w:t>структора все чертежи самолета Ил-16. Технологическим отделом завода про</w:t>
      </w:r>
      <w:r w:rsidRPr="00F90EAE">
        <w:rPr>
          <w:rFonts w:ascii="Times New Roman" w:hAnsi="Times New Roman" w:cs="Times New Roman"/>
          <w:color w:val="000000" w:themeColor="text1"/>
          <w:sz w:val="16"/>
          <w:szCs w:val="16"/>
        </w:rPr>
        <w:softHyphen/>
        <w:t>веден технологический контроль чер</w:t>
      </w:r>
      <w:r w:rsidRPr="00F90EAE">
        <w:rPr>
          <w:rFonts w:ascii="Times New Roman" w:hAnsi="Times New Roman" w:cs="Times New Roman"/>
          <w:color w:val="000000" w:themeColor="text1"/>
          <w:sz w:val="16"/>
          <w:szCs w:val="16"/>
        </w:rPr>
        <w:softHyphen/>
        <w:t>тежей и по его замечаниям СКО завода было выпущено около 450 листков из</w:t>
      </w:r>
      <w:r w:rsidRPr="00F90EAE">
        <w:rPr>
          <w:rFonts w:ascii="Times New Roman" w:hAnsi="Times New Roman" w:cs="Times New Roman"/>
          <w:color w:val="000000" w:themeColor="text1"/>
          <w:sz w:val="16"/>
          <w:szCs w:val="16"/>
        </w:rPr>
        <w:softHyphen/>
        <w:t>менений («главным образом исправ</w:t>
      </w:r>
      <w:r w:rsidRPr="00F90EAE">
        <w:rPr>
          <w:rFonts w:ascii="Times New Roman" w:hAnsi="Times New Roman" w:cs="Times New Roman"/>
          <w:color w:val="000000" w:themeColor="text1"/>
          <w:sz w:val="16"/>
          <w:szCs w:val="16"/>
        </w:rPr>
        <w:softHyphen/>
        <w:t>ление ошибок и постановка недоста</w:t>
      </w:r>
      <w:r w:rsidRPr="00F90EAE">
        <w:rPr>
          <w:rFonts w:ascii="Times New Roman" w:hAnsi="Times New Roman" w:cs="Times New Roman"/>
          <w:color w:val="000000" w:themeColor="text1"/>
          <w:sz w:val="16"/>
          <w:szCs w:val="16"/>
        </w:rPr>
        <w:softHyphen/>
        <w:t>ющих размеров»). В цеха была спу</w:t>
      </w:r>
      <w:r w:rsidRPr="00F90EAE">
        <w:rPr>
          <w:rFonts w:ascii="Times New Roman" w:hAnsi="Times New Roman" w:cs="Times New Roman"/>
          <w:color w:val="000000" w:themeColor="text1"/>
          <w:sz w:val="16"/>
          <w:szCs w:val="16"/>
        </w:rPr>
        <w:softHyphen/>
        <w:t>щена вся техническая документация. Из Куйбышева были получены «все де</w:t>
      </w:r>
      <w:r w:rsidRPr="00F90EAE">
        <w:rPr>
          <w:rFonts w:ascii="Times New Roman" w:hAnsi="Times New Roman" w:cs="Times New Roman"/>
          <w:color w:val="000000" w:themeColor="text1"/>
          <w:sz w:val="16"/>
          <w:szCs w:val="16"/>
        </w:rPr>
        <w:softHyphen/>
        <w:t>тали сходные с Ил-10 (за исключением бронекорпуса)». К 10 мая планировалось изготовить лонжероны и нервюры цент</w:t>
      </w:r>
      <w:r w:rsidRPr="00F90EAE">
        <w:rPr>
          <w:rFonts w:ascii="Times New Roman" w:hAnsi="Times New Roman" w:cs="Times New Roman"/>
          <w:color w:val="000000" w:themeColor="text1"/>
          <w:sz w:val="16"/>
          <w:szCs w:val="16"/>
        </w:rPr>
        <w:softHyphen/>
        <w:t>роплана и крыла, щитки центроплана и крыла, центроплан, крыло и фюзеляж (17469).</w:t>
      </w:r>
    </w:p>
    <w:p w14:paraId="4C181E30" w14:textId="77777777" w:rsidR="0032140A" w:rsidRPr="00F90EAE" w:rsidRDefault="0032140A"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44AF971" w14:textId="77777777" w:rsidR="004945E9" w:rsidRPr="00F90EAE" w:rsidRDefault="004945E9" w:rsidP="00F90EAE">
      <w:pPr>
        <w:jc w:val="both"/>
        <w:rPr>
          <w:color w:val="000000" w:themeColor="text1"/>
          <w:sz w:val="16"/>
          <w:szCs w:val="16"/>
        </w:rPr>
      </w:pPr>
      <w:r w:rsidRPr="00F90EAE">
        <w:rPr>
          <w:color w:val="000000" w:themeColor="text1"/>
          <w:sz w:val="16"/>
          <w:szCs w:val="16"/>
        </w:rPr>
        <w:t>С 10 марта по 28 июля 1945 года под руководством В.Н. Челомея в период на полигоне Джизак было проведено около 70 пусков самолетов-снарядов «10Х». Индекс «Х» (икс) обозначал необычность и секретность самолёта-снаряда (12415).</w:t>
      </w:r>
    </w:p>
    <w:p w14:paraId="5B50545E" w14:textId="77777777" w:rsidR="004945E9" w:rsidRPr="00F90EAE" w:rsidRDefault="004945E9" w:rsidP="00F90EAE">
      <w:pPr>
        <w:jc w:val="both"/>
        <w:rPr>
          <w:color w:val="000000" w:themeColor="text1"/>
          <w:sz w:val="16"/>
          <w:szCs w:val="16"/>
        </w:rPr>
      </w:pPr>
    </w:p>
    <w:p w14:paraId="33C17E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марта 1945 войска Второго Белорусского фронта вступили на территорию ракетного исследовательского центра Penemunde (2990).</w:t>
      </w:r>
    </w:p>
    <w:p w14:paraId="21269017" w14:textId="77777777" w:rsidR="00665165" w:rsidRPr="00F90EAE" w:rsidRDefault="00665165" w:rsidP="00F90EAE">
      <w:pPr>
        <w:autoSpaceDE w:val="0"/>
        <w:autoSpaceDN w:val="0"/>
        <w:adjustRightInd w:val="0"/>
        <w:jc w:val="both"/>
        <w:rPr>
          <w:color w:val="000000" w:themeColor="text1"/>
          <w:sz w:val="16"/>
          <w:szCs w:val="16"/>
        </w:rPr>
      </w:pPr>
    </w:p>
    <w:p w14:paraId="5F728DE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8B9F489" w14:textId="77777777" w:rsidR="00665165" w:rsidRPr="00F90EAE" w:rsidRDefault="00665165" w:rsidP="00F90EAE">
      <w:pPr>
        <w:autoSpaceDE w:val="0"/>
        <w:autoSpaceDN w:val="0"/>
        <w:adjustRightInd w:val="0"/>
        <w:jc w:val="both"/>
        <w:rPr>
          <w:iCs/>
          <w:color w:val="000000" w:themeColor="text1"/>
          <w:sz w:val="16"/>
          <w:szCs w:val="16"/>
        </w:rPr>
      </w:pPr>
    </w:p>
    <w:p w14:paraId="20E719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марта 1945 г. после показа танк Т-54 с завода №37 был направлен в Кубин</w:t>
      </w:r>
      <w:r w:rsidRPr="00F90EAE">
        <w:rPr>
          <w:color w:val="000000" w:themeColor="text1"/>
          <w:sz w:val="16"/>
          <w:szCs w:val="16"/>
        </w:rPr>
        <w:softHyphen/>
        <w:t>ку на НИБТ полигон для дальнейших испы</w:t>
      </w:r>
      <w:r w:rsidRPr="00F90EAE">
        <w:rPr>
          <w:color w:val="000000" w:themeColor="text1"/>
          <w:sz w:val="16"/>
          <w:szCs w:val="16"/>
        </w:rPr>
        <w:softHyphen/>
        <w:t>таний. Для проведения полигонных испы</w:t>
      </w:r>
      <w:r w:rsidRPr="00F90EAE">
        <w:rPr>
          <w:color w:val="000000" w:themeColor="text1"/>
          <w:sz w:val="16"/>
          <w:szCs w:val="16"/>
        </w:rPr>
        <w:softHyphen/>
        <w:t>таний приказом НКТП и заместителя коман</w:t>
      </w:r>
      <w:r w:rsidRPr="00F90EAE">
        <w:rPr>
          <w:color w:val="000000" w:themeColor="text1"/>
          <w:sz w:val="16"/>
          <w:szCs w:val="16"/>
        </w:rPr>
        <w:softHyphen/>
        <w:t>дующего БТ и МВ КА №92/с/021 от 28 фев</w:t>
      </w:r>
      <w:r w:rsidRPr="00F90EAE">
        <w:rPr>
          <w:color w:val="000000" w:themeColor="text1"/>
          <w:sz w:val="16"/>
          <w:szCs w:val="16"/>
        </w:rPr>
        <w:softHyphen/>
        <w:t>раля 1945 г. была назначена комиссия во главе с Е.А. Кульчицким.</w:t>
      </w:r>
    </w:p>
    <w:p w14:paraId="5CB781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результатам полигонных испытаний, прошедшихв периоде 11 марта по 14апре</w:t>
      </w:r>
      <w:r w:rsidRPr="00F90EAE">
        <w:rPr>
          <w:color w:val="000000" w:themeColor="text1"/>
          <w:sz w:val="16"/>
          <w:szCs w:val="16"/>
        </w:rPr>
        <w:softHyphen/>
        <w:t>ля 1945 г., комиссией 14 апреля 1945 г. был представлен отчет, в выводах которого го</w:t>
      </w:r>
      <w:r w:rsidRPr="00F90EAE">
        <w:rPr>
          <w:color w:val="000000" w:themeColor="text1"/>
          <w:sz w:val="16"/>
          <w:szCs w:val="16"/>
        </w:rPr>
        <w:softHyphen/>
        <w:t>ворилось:</w:t>
      </w:r>
    </w:p>
    <w:p w14:paraId="06FD42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w:t>
      </w:r>
      <w:r w:rsidRPr="00F90EAE">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F90EAE">
        <w:rPr>
          <w:iCs/>
          <w:color w:val="000000" w:themeColor="text1"/>
          <w:sz w:val="16"/>
          <w:szCs w:val="16"/>
        </w:rPr>
        <w:softHyphen/>
        <w:t>ходит по боевым качествам все современ</w:t>
      </w:r>
      <w:r w:rsidRPr="00F90EAE">
        <w:rPr>
          <w:iCs/>
          <w:color w:val="000000" w:themeColor="text1"/>
          <w:sz w:val="16"/>
          <w:szCs w:val="16"/>
        </w:rPr>
        <w:softHyphen/>
        <w:t>ные средние танки.</w:t>
      </w:r>
    </w:p>
    <w:p w14:paraId="3CDB5C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2. Опытный образец танка Т-54 испыта</w:t>
      </w:r>
      <w:r w:rsidRPr="00F90EAE">
        <w:rPr>
          <w:iCs/>
          <w:color w:val="000000" w:themeColor="text1"/>
          <w:sz w:val="16"/>
          <w:szCs w:val="16"/>
        </w:rPr>
        <w:softHyphen/>
        <w:t>ния по прочности основных агрегатов в объе</w:t>
      </w:r>
      <w:r w:rsidRPr="00F90EAE">
        <w:rPr>
          <w:iCs/>
          <w:color w:val="000000" w:themeColor="text1"/>
          <w:sz w:val="16"/>
          <w:szCs w:val="16"/>
        </w:rPr>
        <w:softHyphen/>
        <w:t>ме 1553 км пробега в зимних и весенних ус</w:t>
      </w:r>
      <w:r w:rsidRPr="00F90EAE">
        <w:rPr>
          <w:iCs/>
          <w:color w:val="000000" w:themeColor="text1"/>
          <w:sz w:val="16"/>
          <w:szCs w:val="16"/>
        </w:rPr>
        <w:softHyphen/>
        <w:t>ловиях выдержал.</w:t>
      </w:r>
    </w:p>
    <w:p w14:paraId="466B8B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3. Танк имеет дефекты, обусловленные конструктивной недоработкой отдельных уз</w:t>
      </w:r>
      <w:r w:rsidRPr="00F90EAE">
        <w:rPr>
          <w:iCs/>
          <w:color w:val="000000" w:themeColor="text1"/>
          <w:sz w:val="16"/>
          <w:szCs w:val="16"/>
        </w:rPr>
        <w:softHyphen/>
        <w:t>лов, устранение которых значительно повы</w:t>
      </w:r>
      <w:r w:rsidRPr="00F90EAE">
        <w:rPr>
          <w:iCs/>
          <w:color w:val="000000" w:themeColor="text1"/>
          <w:sz w:val="16"/>
          <w:szCs w:val="16"/>
        </w:rPr>
        <w:softHyphen/>
        <w:t xml:space="preserve">сит тактико-технические качества танка». </w:t>
      </w:r>
      <w:r w:rsidRPr="00F90EAE">
        <w:rPr>
          <w:color w:val="000000" w:themeColor="text1"/>
          <w:sz w:val="16"/>
          <w:szCs w:val="16"/>
        </w:rPr>
        <w:t xml:space="preserve">В заключении комиссия отметила: «...3. </w:t>
      </w:r>
      <w:r w:rsidRPr="00F90EAE">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F90EAE">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F90EAE">
        <w:rPr>
          <w:iCs/>
          <w:color w:val="000000" w:themeColor="text1"/>
          <w:sz w:val="16"/>
          <w:szCs w:val="16"/>
        </w:rPr>
        <w:softHyphen/>
        <w:t>танциях, а трансмиссия и ходовая часть сни</w:t>
      </w:r>
      <w:r w:rsidRPr="00F90EAE">
        <w:rPr>
          <w:iCs/>
          <w:color w:val="000000" w:themeColor="text1"/>
          <w:sz w:val="16"/>
          <w:szCs w:val="16"/>
        </w:rPr>
        <w:softHyphen/>
        <w:t>жают динамические качества танка.</w:t>
      </w:r>
    </w:p>
    <w:p w14:paraId="26D867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F90EAE">
        <w:rPr>
          <w:iCs/>
          <w:color w:val="000000" w:themeColor="text1"/>
          <w:sz w:val="16"/>
          <w:szCs w:val="16"/>
        </w:rPr>
        <w:softHyphen/>
        <w:t>довать танк Т-54 на вооружение Красной Ар</w:t>
      </w:r>
      <w:r w:rsidRPr="00F90EAE">
        <w:rPr>
          <w:iCs/>
          <w:color w:val="000000" w:themeColor="text1"/>
          <w:sz w:val="16"/>
          <w:szCs w:val="16"/>
        </w:rPr>
        <w:softHyphen/>
        <w:t>мии с обязательным устранением отмечен</w:t>
      </w:r>
      <w:r w:rsidRPr="00F90EAE">
        <w:rPr>
          <w:iCs/>
          <w:color w:val="000000" w:themeColor="text1"/>
          <w:sz w:val="16"/>
          <w:szCs w:val="16"/>
        </w:rPr>
        <w:softHyphen/>
        <w:t>ных в отчете недостатков.</w:t>
      </w:r>
    </w:p>
    <w:p w14:paraId="56FBB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5. В связи с тем, что отработка ряда новых узлов может задержать ввод в се</w:t>
      </w:r>
      <w:r w:rsidRPr="00F90EAE">
        <w:rPr>
          <w:iCs/>
          <w:color w:val="000000" w:themeColor="text1"/>
          <w:sz w:val="16"/>
          <w:szCs w:val="16"/>
        </w:rPr>
        <w:softHyphen/>
        <w:t>рийное производство танка Т-54, необхо</w:t>
      </w:r>
      <w:r w:rsidRPr="00F90EAE">
        <w:rPr>
          <w:iCs/>
          <w:color w:val="000000" w:themeColor="text1"/>
          <w:sz w:val="16"/>
          <w:szCs w:val="16"/>
        </w:rPr>
        <w:softHyphen/>
        <w:t>димость в котором в армии весьма вели</w:t>
      </w:r>
      <w:r w:rsidRPr="00F90EAE">
        <w:rPr>
          <w:iCs/>
          <w:color w:val="000000" w:themeColor="text1"/>
          <w:sz w:val="16"/>
          <w:szCs w:val="16"/>
        </w:rPr>
        <w:softHyphen/>
        <w:t>ка, комиссия считает возможным начать производство танков Т-54, не ожидая вве</w:t>
      </w:r>
      <w:r w:rsidRPr="00F90EAE">
        <w:rPr>
          <w:iCs/>
          <w:color w:val="000000" w:themeColor="text1"/>
          <w:sz w:val="16"/>
          <w:szCs w:val="16"/>
        </w:rPr>
        <w:softHyphen/>
        <w:t>дения следующих узлов и механизмов, срочную отработку которых поручить заво</w:t>
      </w:r>
      <w:r w:rsidRPr="00F90EAE">
        <w:rPr>
          <w:iCs/>
          <w:color w:val="000000" w:themeColor="text1"/>
          <w:sz w:val="16"/>
          <w:szCs w:val="16"/>
        </w:rPr>
        <w:softHyphen/>
        <w:t>ду №183 в очередности, устанавливаемой НКГПиГБТУКА:</w:t>
      </w:r>
    </w:p>
    <w:p w14:paraId="127ABA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а) башни по типу танка ИС-3;</w:t>
      </w:r>
    </w:p>
    <w:p w14:paraId="094969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б) КПП с синхронизаторами и 2-х ступен</w:t>
      </w:r>
      <w:r w:rsidRPr="00F90EAE">
        <w:rPr>
          <w:iCs/>
          <w:color w:val="000000" w:themeColor="text1"/>
          <w:sz w:val="16"/>
          <w:szCs w:val="16"/>
        </w:rPr>
        <w:softHyphen/>
        <w:t>чатого планетарного механизма поворота танка;</w:t>
      </w:r>
    </w:p>
    <w:p w14:paraId="605490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экрана от гранат типа «Фауст»;</w:t>
      </w:r>
    </w:p>
    <w:p w14:paraId="274AB8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г) изменение углов наклона кормовых листов корпуса;</w:t>
      </w:r>
    </w:p>
    <w:p w14:paraId="78917C1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iCs/>
          <w:color w:val="000000" w:themeColor="text1"/>
          <w:sz w:val="16"/>
          <w:szCs w:val="16"/>
        </w:rPr>
        <w:t>д) вращающегося пола боевого отделе</w:t>
      </w:r>
      <w:r w:rsidRPr="00F90EAE">
        <w:rPr>
          <w:iCs/>
          <w:color w:val="000000" w:themeColor="text1"/>
          <w:sz w:val="16"/>
          <w:szCs w:val="16"/>
        </w:rPr>
        <w:softHyphen/>
        <w:t>ния;</w:t>
      </w:r>
    </w:p>
    <w:p w14:paraId="005195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е) смотровых приборов по типу М4А2 в командирской башенке;</w:t>
      </w:r>
    </w:p>
    <w:p w14:paraId="54F0B7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ж) гусениц с цевочным зацеплением;</w:t>
      </w:r>
    </w:p>
    <w:p w14:paraId="31B5E7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з) амортизаторов ходовой части (на всех катках).</w:t>
      </w:r>
    </w:p>
    <w:p w14:paraId="2A7A88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lastRenderedPageBreak/>
        <w:t>По мере отработки, эти механизмы вво</w:t>
      </w:r>
      <w:r w:rsidRPr="00F90EAE">
        <w:rPr>
          <w:iCs/>
          <w:color w:val="000000" w:themeColor="text1"/>
          <w:sz w:val="16"/>
          <w:szCs w:val="16"/>
        </w:rPr>
        <w:softHyphen/>
        <w:t>дить в серийное производство».</w:t>
      </w:r>
    </w:p>
    <w:p w14:paraId="39E581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1945 г. начальник ТУ ГЕТУ КА инженер-полковникА.И. Благонравов подпи</w:t>
      </w:r>
      <w:r w:rsidRPr="00F90EAE">
        <w:rPr>
          <w:color w:val="000000" w:themeColor="text1"/>
          <w:sz w:val="16"/>
          <w:szCs w:val="16"/>
        </w:rPr>
        <w:softHyphen/>
        <w:t>сал заключение по отчету об испытаниях опытного образца модернизированного тан</w:t>
      </w:r>
      <w:r w:rsidRPr="00F90EAE">
        <w:rPr>
          <w:color w:val="000000" w:themeColor="text1"/>
          <w:sz w:val="16"/>
          <w:szCs w:val="16"/>
        </w:rPr>
        <w:softHyphen/>
        <w:t>ка Т-44(Т-54).</w:t>
      </w:r>
    </w:p>
    <w:p w14:paraId="349DBC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F90EAE">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F90EAE">
        <w:rPr>
          <w:iCs/>
          <w:color w:val="000000" w:themeColor="text1"/>
          <w:sz w:val="16"/>
          <w:szCs w:val="16"/>
        </w:rPr>
        <w:softHyphen/>
        <w:t>ный образец, наиболее полно отвечающий упомянутым требованиям.</w:t>
      </w:r>
    </w:p>
    <w:p w14:paraId="225AA1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Отчет комиссии по испытаниям опытно</w:t>
      </w:r>
      <w:r w:rsidRPr="00F90EAE">
        <w:rPr>
          <w:iCs/>
          <w:color w:val="000000" w:themeColor="text1"/>
          <w:sz w:val="16"/>
          <w:szCs w:val="16"/>
        </w:rPr>
        <w:softHyphen/>
        <w:t>го образца модернизированного танка Т-44-100 с замечаниями и предложениями, изло</w:t>
      </w:r>
      <w:r w:rsidRPr="00F90EAE">
        <w:rPr>
          <w:iCs/>
          <w:color w:val="000000" w:themeColor="text1"/>
          <w:sz w:val="16"/>
          <w:szCs w:val="16"/>
        </w:rPr>
        <w:softHyphen/>
        <w:t>женными выше, считаю возможным доло</w:t>
      </w:r>
      <w:r w:rsidRPr="00F90EAE">
        <w:rPr>
          <w:iCs/>
          <w:color w:val="000000" w:themeColor="text1"/>
          <w:sz w:val="16"/>
          <w:szCs w:val="16"/>
        </w:rPr>
        <w:softHyphen/>
        <w:t>жить для утверждения. Благонравов».</w:t>
      </w:r>
    </w:p>
    <w:p w14:paraId="09ED59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проведенных испытаний нарком танковой промышленно</w:t>
      </w:r>
      <w:r w:rsidRPr="00F90EAE">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F90EAE">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F90EAE">
        <w:rPr>
          <w:color w:val="000000" w:themeColor="text1"/>
          <w:sz w:val="16"/>
          <w:szCs w:val="16"/>
        </w:rPr>
        <w:softHyphen/>
        <w:t>миссией, на другом — планетарные механиз</w:t>
      </w:r>
      <w:r w:rsidRPr="00F90EAE">
        <w:rPr>
          <w:color w:val="000000" w:themeColor="text1"/>
          <w:sz w:val="16"/>
          <w:szCs w:val="16"/>
        </w:rPr>
        <w:softHyphen/>
        <w:t>мы поворота (ПМП).</w:t>
      </w:r>
    </w:p>
    <w:p w14:paraId="717E59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w:t>
      </w:r>
      <w:r w:rsidRPr="00F90EAE">
        <w:rPr>
          <w:color w:val="000000" w:themeColor="text1"/>
          <w:sz w:val="16"/>
          <w:szCs w:val="16"/>
        </w:rPr>
        <w:softHyphen/>
        <w:t>бовалось внести 68 изменений. Однако от</w:t>
      </w:r>
      <w:r w:rsidRPr="00F90EAE">
        <w:rPr>
          <w:color w:val="000000" w:themeColor="text1"/>
          <w:sz w:val="16"/>
          <w:szCs w:val="16"/>
        </w:rPr>
        <w:softHyphen/>
        <w:t>работка чертежей и опытного образца по данным предложениям на заводе № 183 дли</w:t>
      </w:r>
      <w:r w:rsidRPr="00F90EAE">
        <w:rPr>
          <w:color w:val="000000" w:themeColor="text1"/>
          <w:sz w:val="16"/>
          <w:szCs w:val="16"/>
        </w:rPr>
        <w:softHyphen/>
        <w:t>тельное время не производилась (11468).</w:t>
      </w:r>
    </w:p>
    <w:p w14:paraId="174EE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831AEAE"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10 марта 1945 опытный образец Т-54 добрался до Кубинки, причём до поступления на полигон успел ещё поездить. Согласно показаниям спидометра, он прошёл 227 км (впрочем, по другим данным пробег составил 193 км). Пока танк ехал из Нижнего Тагила, был подписан совместный приказ НКТП и БТМВ №92с/021 от 28 февраля 1945 года. Согласно ему, испытания должны были начаться 1 марта и закончиться 21 числа. 25 марта ожидалось получить от НИБТ Полигона отчёт об испытаниях. Столь жёсткие сроки объяснялись тем, что танк выглядел ещё более перспективным, чем Т-44, а потому постановка его в серийное производство являлась отнюдь не вопросом на перспективу.</w:t>
      </w:r>
    </w:p>
    <w:p w14:paraId="35072BF8"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На практике к испытаниям удалось приступить только 11 марта.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 (19090).</w:t>
      </w:r>
    </w:p>
    <w:p w14:paraId="6F2E8C01" w14:textId="77777777" w:rsidR="00FD716B" w:rsidRPr="00F90EAE" w:rsidRDefault="00FD716B" w:rsidP="00F90EAE">
      <w:pPr>
        <w:pStyle w:val="ae"/>
        <w:shd w:val="clear" w:color="auto" w:fill="FFFFFF"/>
        <w:spacing w:before="0" w:after="0"/>
        <w:jc w:val="both"/>
        <w:textAlignment w:val="baseline"/>
        <w:rPr>
          <w:color w:val="000000" w:themeColor="text1"/>
          <w:sz w:val="16"/>
          <w:szCs w:val="16"/>
        </w:rPr>
      </w:pPr>
    </w:p>
    <w:p w14:paraId="67BDE4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марта 1945 г. была подготовлена СПРАВКА ТУ ГБТУ КА О ПОСТУПЛЕНИИ ИМПОРТНОГО БРОНЕТАНКОВОГО ВООРУЖЕНИЯ В СССР ЗА ПЕРИОД с 1941 по ЯНВАРЬ 1945 г.</w:t>
      </w:r>
    </w:p>
    <w:tbl>
      <w:tblPr>
        <w:tblW w:w="0" w:type="auto"/>
        <w:tblInd w:w="40" w:type="dxa"/>
        <w:tblLayout w:type="fixed"/>
        <w:tblCellMar>
          <w:left w:w="40" w:type="dxa"/>
          <w:right w:w="40" w:type="dxa"/>
        </w:tblCellMar>
        <w:tblLook w:val="0000" w:firstRow="0" w:lastRow="0" w:firstColumn="0" w:lastColumn="0" w:noHBand="0" w:noVBand="0"/>
      </w:tblPr>
      <w:tblGrid>
        <w:gridCol w:w="864"/>
        <w:gridCol w:w="614"/>
        <w:gridCol w:w="614"/>
        <w:gridCol w:w="614"/>
        <w:gridCol w:w="605"/>
        <w:gridCol w:w="614"/>
        <w:gridCol w:w="614"/>
        <w:gridCol w:w="614"/>
        <w:gridCol w:w="614"/>
        <w:gridCol w:w="605"/>
        <w:gridCol w:w="614"/>
        <w:gridCol w:w="614"/>
        <w:gridCol w:w="605"/>
        <w:gridCol w:w="730"/>
        <w:gridCol w:w="682"/>
      </w:tblGrid>
      <w:tr w:rsidR="00561F31" w:rsidRPr="00F90EAE" w14:paraId="58AD74BA" w14:textId="77777777">
        <w:trPr>
          <w:trHeight w:val="595"/>
        </w:trPr>
        <w:tc>
          <w:tcPr>
            <w:tcW w:w="864" w:type="dxa"/>
            <w:tcBorders>
              <w:top w:val="single" w:sz="6" w:space="0" w:color="auto"/>
              <w:left w:val="single" w:sz="6" w:space="0" w:color="auto"/>
              <w:bottom w:val="single" w:sz="6" w:space="0" w:color="auto"/>
              <w:right w:val="single" w:sz="6" w:space="0" w:color="auto"/>
            </w:tcBorders>
          </w:tcPr>
          <w:p w14:paraId="7AE35A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2644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140E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w:t>
            </w:r>
            <w:r w:rsidRPr="00F90EAE">
              <w:rPr>
                <w:color w:val="000000" w:themeColor="text1"/>
                <w:sz w:val="16"/>
                <w:szCs w:val="16"/>
              </w:rPr>
              <w:softHyphen/>
              <w:t>вель</w:t>
            </w:r>
          </w:p>
          <w:p w14:paraId="6E6C16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B026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МК-4</w:t>
            </w:r>
          </w:p>
          <w:p w14:paraId="57B083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9BC7F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МК-2</w:t>
            </w:r>
          </w:p>
          <w:p w14:paraId="3F6C79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F7182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Вален</w:t>
            </w:r>
            <w:r w:rsidRPr="00F90EAE">
              <w:rPr>
                <w:color w:val="000000" w:themeColor="text1"/>
                <w:sz w:val="16"/>
                <w:szCs w:val="16"/>
              </w:rPr>
              <w:softHyphen/>
              <w:t>тин 3-5</w:t>
            </w:r>
          </w:p>
          <w:p w14:paraId="00B2AE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1CD58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Вален</w:t>
            </w:r>
            <w:r w:rsidRPr="00F90EAE">
              <w:rPr>
                <w:color w:val="000000" w:themeColor="text1"/>
                <w:sz w:val="16"/>
                <w:szCs w:val="16"/>
              </w:rPr>
              <w:softHyphen/>
              <w:t>тин?</w:t>
            </w:r>
          </w:p>
          <w:p w14:paraId="1DD2F1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081FE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Вален</w:t>
            </w:r>
            <w:r w:rsidRPr="00F90EAE">
              <w:rPr>
                <w:color w:val="000000" w:themeColor="text1"/>
                <w:sz w:val="16"/>
                <w:szCs w:val="16"/>
              </w:rPr>
              <w:softHyphen/>
              <w:t>тин 9-10</w:t>
            </w:r>
          </w:p>
          <w:p w14:paraId="55FC62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E61C5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М4-А2</w:t>
            </w:r>
          </w:p>
          <w:p w14:paraId="17EB9D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4F501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М4-А4</w:t>
            </w:r>
          </w:p>
          <w:p w14:paraId="063ABB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64047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М-3 сред</w:t>
            </w:r>
            <w:r w:rsidRPr="00F90EAE">
              <w:rPr>
                <w:color w:val="000000" w:themeColor="text1"/>
                <w:sz w:val="16"/>
                <w:szCs w:val="16"/>
              </w:rPr>
              <w:softHyphen/>
              <w:t>ний</w:t>
            </w:r>
          </w:p>
          <w:p w14:paraId="3AFC3D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9CD3A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М-3</w:t>
            </w:r>
          </w:p>
          <w:p w14:paraId="513786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легкий</w:t>
            </w:r>
          </w:p>
          <w:p w14:paraId="5A3DBD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D9043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М5-А1</w:t>
            </w:r>
          </w:p>
          <w:p w14:paraId="72790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75AF8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Мосто</w:t>
            </w:r>
            <w:r w:rsidRPr="00F90EAE">
              <w:rPr>
                <w:color w:val="000000" w:themeColor="text1"/>
                <w:sz w:val="16"/>
                <w:szCs w:val="16"/>
              </w:rPr>
              <w:softHyphen/>
              <w:t>вые танки</w:t>
            </w:r>
          </w:p>
          <w:p w14:paraId="6802EC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5336BF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Тетрарх</w:t>
            </w:r>
          </w:p>
          <w:p w14:paraId="766970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61EBA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танков</w:t>
            </w:r>
          </w:p>
          <w:p w14:paraId="23DFB8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E68494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1163E3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w:t>
            </w:r>
          </w:p>
          <w:p w14:paraId="40290B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1B27B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74888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99AA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219C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70FD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145</w:t>
            </w:r>
          </w:p>
          <w:p w14:paraId="13ACB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32A66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216</w:t>
            </w:r>
          </w:p>
          <w:p w14:paraId="6CA010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39EC0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C3B92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464FE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17FA4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8C87E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EA8C4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927B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D9CDD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5F6AC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34214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2443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F3F6A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D5A8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5BCA6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425E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A334D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D34CD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DCC29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65D1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361</w:t>
            </w:r>
          </w:p>
          <w:p w14:paraId="3935C2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1DBF8E4"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61D074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p w14:paraId="1504AE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FAAE0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707B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B502F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w:t>
            </w:r>
          </w:p>
          <w:p w14:paraId="0E2A30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3847D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626</w:t>
            </w:r>
          </w:p>
          <w:p w14:paraId="0CE10D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CBE3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636</w:t>
            </w:r>
          </w:p>
          <w:p w14:paraId="18DF24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398A1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323</w:t>
            </w:r>
          </w:p>
          <w:p w14:paraId="5181C3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3018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22AD6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79A1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w:t>
            </w:r>
          </w:p>
          <w:p w14:paraId="352A2E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E3CDF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0442B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434E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812</w:t>
            </w:r>
          </w:p>
          <w:p w14:paraId="6B1894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8F508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977</w:t>
            </w:r>
          </w:p>
          <w:p w14:paraId="5B4F1E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5491D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0F4E8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E99F9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40E8F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D9EDC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727CC0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36FE92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3514</w:t>
            </w:r>
          </w:p>
          <w:p w14:paraId="5F3511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99CA35A"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3EE7FC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64C115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72C9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AC6A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58F65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174</w:t>
            </w:r>
          </w:p>
          <w:p w14:paraId="3928A5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774E1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147</w:t>
            </w:r>
          </w:p>
          <w:p w14:paraId="0A068D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876CF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430</w:t>
            </w:r>
          </w:p>
          <w:p w14:paraId="41130D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2EEBC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709</w:t>
            </w:r>
          </w:p>
          <w:p w14:paraId="6BB75D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48BCB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637</w:t>
            </w:r>
          </w:p>
          <w:p w14:paraId="321738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CFAD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469</w:t>
            </w:r>
          </w:p>
          <w:p w14:paraId="1D3F53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17EAC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13AF59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11CB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164</w:t>
            </w:r>
          </w:p>
          <w:p w14:paraId="4AB017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089C4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255</w:t>
            </w:r>
          </w:p>
          <w:p w14:paraId="203BD5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28C86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541C3C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A3836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98087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12EB21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1750B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625959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2992</w:t>
            </w:r>
          </w:p>
          <w:p w14:paraId="18C787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A38CB91"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49338C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5998B4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256CA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669BB3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E4EAD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B5A27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CA768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D5074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9E86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w:t>
            </w:r>
          </w:p>
          <w:p w14:paraId="66AA84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6B431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39CEE9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E2C9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290</w:t>
            </w:r>
          </w:p>
          <w:p w14:paraId="0458EF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62FAC6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2345</w:t>
            </w:r>
          </w:p>
          <w:p w14:paraId="49B01C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430A6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97C6B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524BF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DC8C9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ADB54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B4CAF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7F165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2DB0E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B941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2614C8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06559C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D5623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0C8A76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2757</w:t>
            </w:r>
          </w:p>
          <w:p w14:paraId="36F0AD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4E0B086" w14:textId="77777777">
        <w:trPr>
          <w:trHeight w:val="422"/>
        </w:trPr>
        <w:tc>
          <w:tcPr>
            <w:tcW w:w="864" w:type="dxa"/>
            <w:tcBorders>
              <w:top w:val="single" w:sz="6" w:space="0" w:color="auto"/>
              <w:left w:val="single" w:sz="6" w:space="0" w:color="auto"/>
              <w:bottom w:val="single" w:sz="6" w:space="0" w:color="auto"/>
              <w:right w:val="single" w:sz="6" w:space="0" w:color="auto"/>
            </w:tcBorders>
          </w:tcPr>
          <w:p w14:paraId="7FE645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январь 1945 г.</w:t>
            </w:r>
          </w:p>
          <w:p w14:paraId="3FFC99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88DFC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A1476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E18C1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BE8D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59D2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BF86B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450FC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1FC23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F219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2B66E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BBAA3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1BA4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198377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289</w:t>
            </w:r>
          </w:p>
          <w:p w14:paraId="637B2D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797EF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AB9C1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334A8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63D79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F68FF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A2573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9DE24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3A23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360B7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078A8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6FF5DB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5E42F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5E02B3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289</w:t>
            </w:r>
          </w:p>
          <w:p w14:paraId="28AB76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309ECE4" w14:textId="77777777">
        <w:trPr>
          <w:trHeight w:val="442"/>
        </w:trPr>
        <w:tc>
          <w:tcPr>
            <w:tcW w:w="864" w:type="dxa"/>
            <w:tcBorders>
              <w:top w:val="single" w:sz="6" w:space="0" w:color="auto"/>
              <w:left w:val="single" w:sz="6" w:space="0" w:color="auto"/>
              <w:bottom w:val="single" w:sz="6" w:space="0" w:color="auto"/>
              <w:right w:val="single" w:sz="6" w:space="0" w:color="auto"/>
            </w:tcBorders>
          </w:tcPr>
          <w:p w14:paraId="4AE0F6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33549C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01793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3387CC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BBC2C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258</w:t>
            </w:r>
          </w:p>
          <w:p w14:paraId="7CFA7B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305FC4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918</w:t>
            </w:r>
          </w:p>
          <w:p w14:paraId="64F979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C5C5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1364</w:t>
            </w:r>
          </w:p>
          <w:p w14:paraId="2B3FE0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C912C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1041</w:t>
            </w:r>
          </w:p>
          <w:p w14:paraId="787497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2BE1ED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927</w:t>
            </w:r>
          </w:p>
          <w:p w14:paraId="15648E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4DB3EE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3139</w:t>
            </w:r>
          </w:p>
          <w:p w14:paraId="0AD725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7AC69F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30E0EE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2897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976</w:t>
            </w:r>
          </w:p>
          <w:p w14:paraId="704CE9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51A200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1232</w:t>
            </w:r>
          </w:p>
          <w:p w14:paraId="4EF786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4" w:type="dxa"/>
            <w:tcBorders>
              <w:top w:val="single" w:sz="6" w:space="0" w:color="auto"/>
              <w:left w:val="single" w:sz="6" w:space="0" w:color="auto"/>
              <w:bottom w:val="single" w:sz="6" w:space="0" w:color="auto"/>
              <w:right w:val="single" w:sz="6" w:space="0" w:color="auto"/>
            </w:tcBorders>
          </w:tcPr>
          <w:p w14:paraId="08E457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3B0179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9373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2DC64E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BBBC5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5D8EDD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82" w:type="dxa"/>
            <w:tcBorders>
              <w:top w:val="single" w:sz="6" w:space="0" w:color="auto"/>
              <w:left w:val="single" w:sz="6" w:space="0" w:color="auto"/>
              <w:bottom w:val="single" w:sz="6" w:space="0" w:color="auto"/>
              <w:right w:val="single" w:sz="6" w:space="0" w:color="auto"/>
            </w:tcBorders>
          </w:tcPr>
          <w:p w14:paraId="4CC2D6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9913</w:t>
            </w:r>
          </w:p>
          <w:p w14:paraId="69AD93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6ED1ACE2" w14:textId="77777777" w:rsidR="00665165" w:rsidRPr="00F90EAE" w:rsidRDefault="00665165" w:rsidP="00F90EAE">
      <w:pPr>
        <w:autoSpaceDE w:val="0"/>
        <w:autoSpaceDN w:val="0"/>
        <w:adjustRightInd w:val="0"/>
        <w:jc w:val="both"/>
        <w:rPr>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912"/>
        <w:gridCol w:w="960"/>
        <w:gridCol w:w="970"/>
        <w:gridCol w:w="979"/>
        <w:gridCol w:w="970"/>
        <w:gridCol w:w="970"/>
        <w:gridCol w:w="979"/>
        <w:gridCol w:w="970"/>
        <w:gridCol w:w="922"/>
        <w:gridCol w:w="931"/>
      </w:tblGrid>
      <w:tr w:rsidR="00561F31" w:rsidRPr="00F90EAE" w14:paraId="7274FE5D"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CE253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1BADF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90FA1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МК-1</w:t>
            </w:r>
          </w:p>
          <w:p w14:paraId="77A901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9ACF2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МЗА1</w:t>
            </w:r>
          </w:p>
          <w:p w14:paraId="6AD89F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35FA9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М-2</w:t>
            </w:r>
          </w:p>
          <w:p w14:paraId="58016A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95D7C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СУ-57(Т-48)</w:t>
            </w:r>
          </w:p>
          <w:p w14:paraId="228C28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5F092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СУ-76(Т-70)</w:t>
            </w:r>
          </w:p>
          <w:p w14:paraId="2942C9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023152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СУ-76 (М-10)</w:t>
            </w:r>
          </w:p>
          <w:p w14:paraId="3924EC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5893A9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Су-М-17</w:t>
            </w:r>
          </w:p>
          <w:p w14:paraId="33D7A1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24948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СУ-37 (М-15)</w:t>
            </w:r>
          </w:p>
          <w:p w14:paraId="007446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BF43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Ремонтные танки</w:t>
            </w:r>
          </w:p>
          <w:p w14:paraId="4F9DC3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26216EF" w14:textId="77777777">
        <w:trPr>
          <w:trHeight w:val="413"/>
        </w:trPr>
        <w:tc>
          <w:tcPr>
            <w:tcW w:w="912" w:type="dxa"/>
            <w:tcBorders>
              <w:top w:val="single" w:sz="6" w:space="0" w:color="auto"/>
              <w:left w:val="single" w:sz="6" w:space="0" w:color="auto"/>
              <w:bottom w:val="single" w:sz="6" w:space="0" w:color="auto"/>
              <w:right w:val="single" w:sz="6" w:space="0" w:color="auto"/>
            </w:tcBorders>
          </w:tcPr>
          <w:p w14:paraId="0D4F2D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w:t>
            </w:r>
          </w:p>
          <w:p w14:paraId="31922B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4F95BB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w:t>
            </w:r>
          </w:p>
          <w:p w14:paraId="3E4B5E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71BC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26AE2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98192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AD9BA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DC285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A79C3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6C45BD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A7967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2E9709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3578D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0DED7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0BC0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F252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44C10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523C3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81E02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22842C8" w14:textId="77777777">
        <w:trPr>
          <w:trHeight w:val="432"/>
        </w:trPr>
        <w:tc>
          <w:tcPr>
            <w:tcW w:w="912" w:type="dxa"/>
            <w:tcBorders>
              <w:top w:val="single" w:sz="6" w:space="0" w:color="auto"/>
              <w:left w:val="single" w:sz="6" w:space="0" w:color="auto"/>
              <w:bottom w:val="single" w:sz="6" w:space="0" w:color="auto"/>
              <w:right w:val="single" w:sz="6" w:space="0" w:color="auto"/>
            </w:tcBorders>
          </w:tcPr>
          <w:p w14:paraId="28169F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p w14:paraId="06EFC3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37259B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903</w:t>
            </w:r>
          </w:p>
          <w:p w14:paraId="38D6CD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3A8ED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261</w:t>
            </w:r>
          </w:p>
          <w:p w14:paraId="229CCC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46D4D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w:t>
            </w:r>
          </w:p>
          <w:p w14:paraId="205063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711DE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38941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3927C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5C6B0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25E9D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2CB34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89880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D7689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78BDE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BEA7B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4D8BD4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85AE5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8C73AEB"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7D96BE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1B1F0D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159C3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403</w:t>
            </w:r>
          </w:p>
          <w:p w14:paraId="3BBB8C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50A63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608</w:t>
            </w:r>
          </w:p>
          <w:p w14:paraId="1A8F14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7E06C2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647260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F7DD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241</w:t>
            </w:r>
          </w:p>
          <w:p w14:paraId="4A0AB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8605E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409A5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12613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C30E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20900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5ACA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C0FB0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1029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B405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74E0F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CBF05B6"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2E2C08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6A3F0F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03353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351</w:t>
            </w:r>
          </w:p>
          <w:p w14:paraId="1C24B2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6D73C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1954</w:t>
            </w:r>
          </w:p>
          <w:p w14:paraId="4A2D99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274A0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F4234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9EB86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409</w:t>
            </w:r>
          </w:p>
          <w:p w14:paraId="2B9671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59E21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5E820F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E91F8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p w14:paraId="00F841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E3E8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186DE8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8CFE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7AF9FB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633911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w:t>
            </w:r>
          </w:p>
          <w:p w14:paraId="1F5AE2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C9CFE03" w14:textId="77777777">
        <w:trPr>
          <w:trHeight w:val="422"/>
        </w:trPr>
        <w:tc>
          <w:tcPr>
            <w:tcW w:w="912" w:type="dxa"/>
            <w:tcBorders>
              <w:top w:val="single" w:sz="6" w:space="0" w:color="auto"/>
              <w:left w:val="single" w:sz="6" w:space="0" w:color="auto"/>
              <w:bottom w:val="single" w:sz="6" w:space="0" w:color="auto"/>
              <w:right w:val="single" w:sz="6" w:space="0" w:color="auto"/>
            </w:tcBorders>
          </w:tcPr>
          <w:p w14:paraId="474B22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январь 1945 г.</w:t>
            </w:r>
          </w:p>
          <w:p w14:paraId="288522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68DF9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w:t>
            </w:r>
          </w:p>
          <w:p w14:paraId="5FA169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4E5235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w:t>
            </w:r>
          </w:p>
          <w:p w14:paraId="42E1DA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6D96C9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CCE2B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1C6588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E402E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F4872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683C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EDFE6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8CDB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CD46B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C2F6C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2726C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AA92D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073355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7546B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6DE8262" w14:textId="77777777">
        <w:trPr>
          <w:trHeight w:val="442"/>
        </w:trPr>
        <w:tc>
          <w:tcPr>
            <w:tcW w:w="912" w:type="dxa"/>
            <w:tcBorders>
              <w:top w:val="single" w:sz="6" w:space="0" w:color="auto"/>
              <w:left w:val="single" w:sz="6" w:space="0" w:color="auto"/>
              <w:bottom w:val="single" w:sz="6" w:space="0" w:color="auto"/>
              <w:right w:val="single" w:sz="6" w:space="0" w:color="auto"/>
            </w:tcBorders>
          </w:tcPr>
          <w:p w14:paraId="0DC99C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A91F5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60" w:type="dxa"/>
            <w:tcBorders>
              <w:top w:val="single" w:sz="6" w:space="0" w:color="auto"/>
              <w:left w:val="single" w:sz="6" w:space="0" w:color="auto"/>
              <w:bottom w:val="single" w:sz="6" w:space="0" w:color="auto"/>
              <w:right w:val="single" w:sz="6" w:space="0" w:color="auto"/>
            </w:tcBorders>
          </w:tcPr>
          <w:p w14:paraId="1C7339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2003</w:t>
            </w:r>
          </w:p>
          <w:p w14:paraId="0B6A65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0BB21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3003</w:t>
            </w:r>
          </w:p>
          <w:p w14:paraId="495E42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3CD5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113</w:t>
            </w:r>
          </w:p>
          <w:p w14:paraId="78E5D6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46D79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650</w:t>
            </w:r>
          </w:p>
          <w:p w14:paraId="16D7D1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70953D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285731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341392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p w14:paraId="6DD536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70" w:type="dxa"/>
            <w:tcBorders>
              <w:top w:val="single" w:sz="6" w:space="0" w:color="auto"/>
              <w:left w:val="single" w:sz="6" w:space="0" w:color="auto"/>
              <w:bottom w:val="single" w:sz="6" w:space="0" w:color="auto"/>
              <w:right w:val="single" w:sz="6" w:space="0" w:color="auto"/>
            </w:tcBorders>
          </w:tcPr>
          <w:p w14:paraId="279DD1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6C893C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7F3B6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0BB5DB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A9FA2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w:t>
            </w:r>
          </w:p>
          <w:p w14:paraId="392E0E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113CCC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ТУ ГБТУ КА инженер-полковник Муравич</w:t>
      </w:r>
    </w:p>
    <w:p w14:paraId="647008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5 отдела ТУ ГБТУ КА инженер-майор Билеткин</w:t>
      </w:r>
    </w:p>
    <w:p w14:paraId="390B68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3016. Л. 118. Подлинник (11420).</w:t>
      </w:r>
    </w:p>
    <w:p w14:paraId="05C4AC55" w14:textId="77777777" w:rsidR="00665165" w:rsidRPr="00F90EAE" w:rsidRDefault="00665165" w:rsidP="00F90EAE">
      <w:pPr>
        <w:autoSpaceDE w:val="0"/>
        <w:autoSpaceDN w:val="0"/>
        <w:adjustRightInd w:val="0"/>
        <w:jc w:val="both"/>
        <w:rPr>
          <w:color w:val="000000" w:themeColor="text1"/>
          <w:sz w:val="16"/>
          <w:szCs w:val="16"/>
        </w:rPr>
      </w:pPr>
    </w:p>
    <w:p w14:paraId="6513EBC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марта 1945 вышло Постановление ГКО № 7778 [О снабжении углем железных дорог НКПС и сахарных заводов НКПП.] (7313, 155).</w:t>
      </w:r>
    </w:p>
    <w:p w14:paraId="484831C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4AA003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8D66FC1" w14:textId="77777777" w:rsidR="00665165" w:rsidRPr="00F90EAE" w:rsidRDefault="00665165" w:rsidP="00F90EAE">
      <w:pPr>
        <w:autoSpaceDE w:val="0"/>
        <w:autoSpaceDN w:val="0"/>
        <w:adjustRightInd w:val="0"/>
        <w:jc w:val="both"/>
        <w:rPr>
          <w:iCs/>
          <w:color w:val="000000" w:themeColor="text1"/>
          <w:sz w:val="16"/>
          <w:szCs w:val="16"/>
        </w:rPr>
      </w:pPr>
    </w:p>
    <w:p w14:paraId="358A270A"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оперативная сводка Совинформбюро:</w:t>
      </w:r>
    </w:p>
    <w:p w14:paraId="10088201" w14:textId="77777777" w:rsidR="00C1740F" w:rsidRPr="00F90EAE" w:rsidRDefault="00C1740F" w:rsidP="00F90EAE">
      <w:pPr>
        <w:jc w:val="both"/>
        <w:rPr>
          <w:color w:val="000000" w:themeColor="text1"/>
          <w:sz w:val="16"/>
          <w:szCs w:val="16"/>
        </w:rPr>
      </w:pPr>
      <w:r w:rsidRPr="00F90EAE">
        <w:rPr>
          <w:color w:val="000000" w:themeColor="text1"/>
          <w:sz w:val="16"/>
          <w:szCs w:val="16"/>
        </w:rPr>
        <w:t>«В течение 10 марта юго-восточнее Данцига наши войска в результате наступательных боёв заняли город Тигенхоф и населённые пункты Йюнгфер, Нойштэд-Тервальд, Ладекопп, Тиге, Мариенау, Нидау, Хальбштадт, Миленц, Гросс Монтау.</w:t>
      </w:r>
    </w:p>
    <w:p w14:paraId="31700BE6"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развивая успешное наступление на Данциг-ском направлении, 10 марта овладели важными узлами железных и шоссейных дорог — городами Лауенбург и Картузы (Картхауз), а также заняли более 300 других населённых пунктов, в том числе крупные населённые пункты Бальдау, Дальвин, Шенек, Гросс Гольмкау, Гренцдорф, Кобиссау, Михуцин, Сираковитц, Вутцков, Цевитц, Нойендорф, Ландехоф, Витциг, Цеценов, Гизебитц, Шмользин.</w:t>
      </w:r>
    </w:p>
    <w:p w14:paraId="32853E7D" w14:textId="77777777" w:rsidR="00C1740F" w:rsidRPr="00F90EAE" w:rsidRDefault="00C1740F" w:rsidP="00F90EAE">
      <w:pPr>
        <w:jc w:val="both"/>
        <w:rPr>
          <w:color w:val="000000" w:themeColor="text1"/>
          <w:sz w:val="16"/>
          <w:szCs w:val="16"/>
        </w:rPr>
      </w:pPr>
      <w:r w:rsidRPr="00F90EAE">
        <w:rPr>
          <w:color w:val="000000" w:themeColor="text1"/>
          <w:sz w:val="16"/>
          <w:szCs w:val="16"/>
        </w:rPr>
        <w:t>На Штеттинском направлении наши войска заняли населённые пункты Егерсвайль, Францхаузен, Буххольц, Клебов.</w:t>
      </w:r>
    </w:p>
    <w:p w14:paraId="3CBB0346" w14:textId="77777777" w:rsidR="00C1740F" w:rsidRPr="00F90EAE" w:rsidRDefault="00C1740F" w:rsidP="00F90EAE">
      <w:pPr>
        <w:jc w:val="both"/>
        <w:rPr>
          <w:color w:val="000000" w:themeColor="text1"/>
          <w:sz w:val="16"/>
          <w:szCs w:val="16"/>
        </w:rPr>
      </w:pPr>
      <w:r w:rsidRPr="00F90EAE">
        <w:rPr>
          <w:color w:val="000000" w:themeColor="text1"/>
          <w:sz w:val="16"/>
          <w:szCs w:val="16"/>
        </w:rPr>
        <w:t>В боях за 9 марта войска 1-го Белорусского фронта взяли в плен более 2.000 немецких солдат и офицеров.</w:t>
      </w:r>
    </w:p>
    <w:p w14:paraId="6D79614E" w14:textId="77777777" w:rsidR="00C1740F" w:rsidRPr="00F90EAE" w:rsidRDefault="00C1740F" w:rsidP="00F90EAE">
      <w:pPr>
        <w:jc w:val="both"/>
        <w:rPr>
          <w:color w:val="000000" w:themeColor="text1"/>
          <w:sz w:val="16"/>
          <w:szCs w:val="16"/>
        </w:rPr>
      </w:pPr>
      <w:r w:rsidRPr="00F90EAE">
        <w:rPr>
          <w:color w:val="000000" w:themeColor="text1"/>
          <w:sz w:val="16"/>
          <w:szCs w:val="16"/>
        </w:rPr>
        <w:t>В Венгрии северо-восточнее озера Балатон наши войска отбивали атаки крупных сил пехоты и танков противника, стремящегося прорваться к Дунаю. Ценой больших потерь противнику удалось на отдельных участках незначительно вклиниться в оборону наших войск. За 9 марта в этом районе подбито и уничтожено 72 немецких танка и самоходных орудия.</w:t>
      </w:r>
    </w:p>
    <w:p w14:paraId="6496D51C" w14:textId="77777777" w:rsidR="00C1740F" w:rsidRPr="00F90EAE" w:rsidRDefault="00C1740F"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097A830B" w14:textId="77777777" w:rsidR="00C1740F" w:rsidRPr="00F90EAE" w:rsidRDefault="00C1740F" w:rsidP="00F90EAE">
      <w:pPr>
        <w:jc w:val="both"/>
        <w:rPr>
          <w:color w:val="000000" w:themeColor="text1"/>
          <w:sz w:val="16"/>
          <w:szCs w:val="16"/>
        </w:rPr>
      </w:pPr>
      <w:r w:rsidRPr="00F90EAE">
        <w:rPr>
          <w:color w:val="000000" w:themeColor="text1"/>
          <w:sz w:val="16"/>
          <w:szCs w:val="16"/>
        </w:rPr>
        <w:lastRenderedPageBreak/>
        <w:t>За 9 марта на всех фронтах подбито и уничтожено 113 немецких танков и самоходных, орудий. В воздушных боях и огнём зенитной артиллерии сбито 83 самолёта противника.</w:t>
      </w:r>
    </w:p>
    <w:p w14:paraId="3C01F7BE" w14:textId="77777777" w:rsidR="00C1740F" w:rsidRPr="00F90EAE" w:rsidRDefault="00C1740F" w:rsidP="00F90EAE">
      <w:pPr>
        <w:jc w:val="both"/>
        <w:rPr>
          <w:color w:val="000000" w:themeColor="text1"/>
          <w:sz w:val="16"/>
          <w:szCs w:val="16"/>
        </w:rPr>
      </w:pPr>
      <w:r w:rsidRPr="00F90EAE">
        <w:rPr>
          <w:color w:val="000000" w:themeColor="text1"/>
          <w:sz w:val="16"/>
          <w:szCs w:val="16"/>
        </w:rPr>
        <w:t>Налёты нашей авиации на Данциг и Кенигсберг</w:t>
      </w:r>
    </w:p>
    <w:p w14:paraId="3289F716" w14:textId="77777777" w:rsidR="00C1740F" w:rsidRPr="00F90EAE" w:rsidRDefault="00C1740F" w:rsidP="00F90EAE">
      <w:pPr>
        <w:jc w:val="both"/>
        <w:rPr>
          <w:color w:val="000000" w:themeColor="text1"/>
          <w:sz w:val="16"/>
          <w:szCs w:val="16"/>
        </w:rPr>
      </w:pPr>
      <w:r w:rsidRPr="00F90EAE">
        <w:rPr>
          <w:color w:val="000000" w:themeColor="text1"/>
          <w:sz w:val="16"/>
          <w:szCs w:val="16"/>
        </w:rPr>
        <w:t>В ночь на 10 марта наши тяжёлые бомбардировщики совершили налёты на Данциг и Кенигсберг и подвергли бомбардировке находящиеся в этих городах военно-промышленные объекты.</w:t>
      </w:r>
    </w:p>
    <w:p w14:paraId="71D8D045" w14:textId="77777777" w:rsidR="00C1740F" w:rsidRPr="00F90EAE" w:rsidRDefault="00C1740F" w:rsidP="00F90EAE">
      <w:pPr>
        <w:jc w:val="both"/>
        <w:rPr>
          <w:color w:val="000000" w:themeColor="text1"/>
          <w:sz w:val="16"/>
          <w:szCs w:val="16"/>
        </w:rPr>
      </w:pPr>
      <w:r w:rsidRPr="00F90EAE">
        <w:rPr>
          <w:color w:val="000000" w:themeColor="text1"/>
          <w:sz w:val="16"/>
          <w:szCs w:val="16"/>
        </w:rPr>
        <w:t>В результате бомбардировки в Данциге возникло много пожаров. Особенно крупные пожары отмечены в порту и на территории железнодорожного узла.</w:t>
      </w:r>
    </w:p>
    <w:p w14:paraId="25BAD9A2" w14:textId="77777777" w:rsidR="00C1740F" w:rsidRPr="00F90EAE" w:rsidRDefault="00C1740F" w:rsidP="00F90EAE">
      <w:pPr>
        <w:jc w:val="both"/>
        <w:rPr>
          <w:color w:val="000000" w:themeColor="text1"/>
          <w:sz w:val="16"/>
          <w:szCs w:val="16"/>
        </w:rPr>
      </w:pPr>
      <w:r w:rsidRPr="00F90EAE">
        <w:rPr>
          <w:color w:val="000000" w:themeColor="text1"/>
          <w:sz w:val="16"/>
          <w:szCs w:val="16"/>
        </w:rPr>
        <w:t>В Кенигсберге возникло несколько пожаров, сопровождавшихся сильными взрывами.</w:t>
      </w:r>
    </w:p>
    <w:p w14:paraId="0C3BEB5B" w14:textId="77777777" w:rsidR="00C1740F" w:rsidRPr="00F90EAE" w:rsidRDefault="00C1740F" w:rsidP="00F90EAE">
      <w:pPr>
        <w:jc w:val="both"/>
        <w:rPr>
          <w:color w:val="000000" w:themeColor="text1"/>
          <w:sz w:val="16"/>
          <w:szCs w:val="16"/>
        </w:rPr>
      </w:pPr>
      <w:r w:rsidRPr="00F90EAE">
        <w:rPr>
          <w:color w:val="000000" w:themeColor="text1"/>
          <w:sz w:val="16"/>
          <w:szCs w:val="16"/>
        </w:rPr>
        <w:t>Юго-восточнее Данцига наши отряды переправились через реку Ногат и захватили плацдарм на её западном берегу. Противник контратаками пытался отбросить советские отряды за реку, но успеха не добился. Тем временем на плацдарм переправились пехотные и артиллерийские части. В результате наступательных боёв наши войска выбили немцев из ряда опорных пунктов и штурмом заняли город Тигенхоф. Захвачены трофеи и пленные.</w:t>
      </w:r>
    </w:p>
    <w:p w14:paraId="71C0AAD1"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Наши подвижные соединения и пехота на широком фронте форсировали реку Лупов и устремились на восток. Отступая под ударами советских войск, немцы минируют дороги, взрывают мосты и переправы. С боями продвигаясь вперёд, наши части вышли к городу Лауенбург и с хода ворвались на его улицы. Гарнизон противника оказывал упорное сопротивление, но был разгромлен и в беспорядке отступил. Занятый нашими войсками город Лауенбург является узлом пяти железных и нескольких шоссейных дорог. Другие наши части, преодолев заминированные лесные завалы, продвинулись вперед и овладели городом и железнодорожным узлом Картузы (Картхауз). За день боёв уничтожено более 3 тысяч немецких солдат и офицеров, подбито и сожжено 22 танка и самоходных орудия. Нашими войсками захвачено много вооружения, 5 железнодорожных составов и крупные склады с боеприпасами и военным имуществом.</w:t>
      </w:r>
    </w:p>
    <w:p w14:paraId="07660CF0" w14:textId="77777777" w:rsidR="00C1740F" w:rsidRPr="00F90EAE" w:rsidRDefault="00C1740F" w:rsidP="00F90EAE">
      <w:pPr>
        <w:jc w:val="both"/>
        <w:rPr>
          <w:color w:val="000000" w:themeColor="text1"/>
          <w:sz w:val="16"/>
          <w:szCs w:val="16"/>
        </w:rPr>
      </w:pPr>
      <w:r w:rsidRPr="00F90EAE">
        <w:rPr>
          <w:color w:val="000000" w:themeColor="text1"/>
          <w:sz w:val="16"/>
          <w:szCs w:val="16"/>
        </w:rPr>
        <w:t>На Штеттинском направлении наши войска, преодолевая упорное сопротивление и отражая контратаки противника, заняли несколько сильно укреплённых населённых пунктов. Советские артиллеристы ведут огонь по укреплениям немцев, построенным на окраинах города Альгдамм. В течение дня наши бойцы захватили 32 орудия, 44 пулемёта и другие трофеи.</w:t>
      </w:r>
    </w:p>
    <w:p w14:paraId="710B1426" w14:textId="77777777" w:rsidR="00C1740F" w:rsidRPr="00F90EAE" w:rsidRDefault="00C1740F" w:rsidP="00F90EAE">
      <w:pPr>
        <w:jc w:val="both"/>
        <w:rPr>
          <w:color w:val="000000" w:themeColor="text1"/>
          <w:sz w:val="16"/>
          <w:szCs w:val="16"/>
        </w:rPr>
      </w:pPr>
      <w:r w:rsidRPr="00F90EAE">
        <w:rPr>
          <w:color w:val="000000" w:themeColor="text1"/>
          <w:sz w:val="16"/>
          <w:szCs w:val="16"/>
        </w:rPr>
        <w:t>В Венгрии северо-восточнее озера Балатон противник усилил свою группировку эсэсовскими танковыми дивизиями и продолжал атаковать наши позиции. Ожесточённые бои продолжались и днём и ночью. Советские пехотинцы, артиллеристы и бронебойщики огнём из всех видов оружия и контрударами отражают вражеские атаки. Только на одном участке отбито двадцать атак. Места боёв усеяны трупами гитлеровцев и разбитым вооружением противника.</w:t>
      </w:r>
    </w:p>
    <w:p w14:paraId="5110E226" w14:textId="77777777" w:rsidR="00C1740F" w:rsidRPr="00F90EAE" w:rsidRDefault="00C1740F" w:rsidP="00F90EAE">
      <w:pPr>
        <w:jc w:val="both"/>
        <w:rPr>
          <w:color w:val="000000" w:themeColor="text1"/>
          <w:sz w:val="16"/>
          <w:szCs w:val="16"/>
        </w:rPr>
      </w:pPr>
      <w:r w:rsidRPr="00F90EAE">
        <w:rPr>
          <w:color w:val="000000" w:themeColor="text1"/>
          <w:sz w:val="16"/>
          <w:szCs w:val="16"/>
        </w:rPr>
        <w:t>Советские воины, отбивая атаки крупных сил танков и пехоты противника, проявляют непоколебимую стойкость и мужество. Бессмертный подвиг совершил командир взвода младший лейтенант Киселёв. Когда вражеский танк ворвался в расположение нашей части, лейтенант с противотанковой гранатой бросился под гусеницы танка и подорвал его. Товарищ Киселёв погиб смертью героя. Пулемётчики братья Василий и Андрей Черных, пропустив немецкий танк через свой окоп, открыли огонь из пулемёта по следовавшей за танком пехоте и истребили группу гитлеровцев. Танк повернул обратно и стал утюжить окоп, в котором находились пулемётчики. Выбрав удачный момент, братья Черных подорвали танк гранатой и уничтожили немецких танкистов, пытавшихся спастись бегством. Четырнадцать немецких танков атаковали позиции одной нашей артиллерийской батареи. Командир огневого взвода гвардии лейтенант Сергеев встал за орудие и меткими выстрелами подбил два вражеских танка. Орудийный расчёт сержанта Лазарева подбил танк и сжёг два бронетранспортёра противника. Орудийный расчёт противотанковой пушки сержанта Коняшина сжёг и подбил три немецких танка.</w:t>
      </w:r>
    </w:p>
    <w:p w14:paraId="0FC0BED3" w14:textId="77777777" w:rsidR="00C1740F" w:rsidRPr="00F90EAE" w:rsidRDefault="00C1740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наносила торпедные и бомбоштурмовые удары по кораблям противника, находящимся в море и в порту Пиллау. Потоплены три немецких транспорта общим водоизмещением в 20 тысяч тонн, сторожевой корабль и быстроходная десантная баржа.» (15064).</w:t>
      </w:r>
    </w:p>
    <w:p w14:paraId="70655128" w14:textId="77777777" w:rsidR="00C1740F" w:rsidRPr="00F90EAE" w:rsidRDefault="00C1740F" w:rsidP="00F90EAE">
      <w:pPr>
        <w:jc w:val="both"/>
        <w:rPr>
          <w:color w:val="000000" w:themeColor="text1"/>
          <w:sz w:val="16"/>
          <w:szCs w:val="16"/>
        </w:rPr>
      </w:pPr>
    </w:p>
    <w:p w14:paraId="79E767AF"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войска Второго Белорусского фронта вступили на территорию ракетного исследовательского центра нацистской Германии Пенемюнде (Penemunde) (15064).</w:t>
      </w:r>
    </w:p>
    <w:p w14:paraId="3D81A407" w14:textId="77777777" w:rsidR="00C1740F" w:rsidRPr="00F90EAE" w:rsidRDefault="00C1740F" w:rsidP="00F90EAE">
      <w:pPr>
        <w:jc w:val="both"/>
        <w:rPr>
          <w:color w:val="000000" w:themeColor="text1"/>
          <w:sz w:val="16"/>
          <w:szCs w:val="16"/>
        </w:rPr>
      </w:pPr>
    </w:p>
    <w:p w14:paraId="317E795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марта 1945 советские войска форсировали Одер (4962).</w:t>
      </w:r>
    </w:p>
    <w:p w14:paraId="5C01951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3C1335A"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войска 1-го Белорусского фронта в основном очистили от немецко-фашистских войск побережье Балтийского моря (район Кольберга — устье реки Одер) (15064).</w:t>
      </w:r>
    </w:p>
    <w:p w14:paraId="65DBCCAC" w14:textId="77777777" w:rsidR="00C1740F" w:rsidRPr="00F90EAE" w:rsidRDefault="00C1740F" w:rsidP="00F90EAE">
      <w:pPr>
        <w:jc w:val="both"/>
        <w:rPr>
          <w:color w:val="000000" w:themeColor="text1"/>
          <w:sz w:val="16"/>
          <w:szCs w:val="16"/>
        </w:rPr>
      </w:pPr>
    </w:p>
    <w:p w14:paraId="3C47DF8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марта 1945 советские войска 4-го Украинского фронта начали Моравска-Остравскую наступательную операцию (4962).</w:t>
      </w:r>
    </w:p>
    <w:p w14:paraId="2C57910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66419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10 марта по 5 мая 1945 состоялась Моравско-Остравская операция - наступали по труднопроходимой горно-лесистой местности (2438,418) силами 4УФ (И.Е.Петров) (3398,107).</w:t>
      </w:r>
    </w:p>
    <w:p w14:paraId="39390086" w14:textId="77777777" w:rsidR="00665165" w:rsidRPr="00F90EAE" w:rsidRDefault="00665165" w:rsidP="00F90EAE">
      <w:pPr>
        <w:autoSpaceDE w:val="0"/>
        <w:autoSpaceDN w:val="0"/>
        <w:adjustRightInd w:val="0"/>
        <w:jc w:val="both"/>
        <w:rPr>
          <w:color w:val="000000" w:themeColor="text1"/>
          <w:sz w:val="16"/>
          <w:szCs w:val="16"/>
        </w:rPr>
      </w:pPr>
    </w:p>
    <w:p w14:paraId="5AD5DAE3"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началась Моравско-Остравская наступательная операция войск 4-го Украинского фронта (командующий генерал армии И.Е.Петров, с 25 марта - Еременко). Завершилась 5 мая. В результате операции были созданы условия для дальнейшего продвижения войск фронта в центральную часть Чехословакии</w:t>
      </w:r>
    </w:p>
    <w:p w14:paraId="593B17DF" w14:textId="77777777" w:rsidR="00C1740F" w:rsidRPr="00F90EAE" w:rsidRDefault="00C1740F" w:rsidP="00F90EAE">
      <w:pPr>
        <w:jc w:val="both"/>
        <w:rPr>
          <w:color w:val="000000" w:themeColor="text1"/>
          <w:sz w:val="16"/>
          <w:szCs w:val="16"/>
        </w:rPr>
      </w:pPr>
    </w:p>
    <w:p w14:paraId="4B0FA4F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10th, 1945: FM Kesselring replaces FM von Rundstedt as C-i-C of German forces in the West. German troops evacuate Wesel on the lower Rhine. The US Third Army captures Bonn. In the East, the Kriegsmarine evacuates 25,000 civilian refugees from the besieged Baltic fortress of Kolberg in Pommerania. In the battle for Danzig, the Soviet 2nd Belorussian Front captures Zoppot (3819).</w:t>
      </w:r>
    </w:p>
    <w:p w14:paraId="3237B713" w14:textId="77777777" w:rsidR="00665165" w:rsidRPr="00F90EAE" w:rsidRDefault="00665165" w:rsidP="00F90EAE">
      <w:pPr>
        <w:autoSpaceDE w:val="0"/>
        <w:autoSpaceDN w:val="0"/>
        <w:adjustRightInd w:val="0"/>
        <w:jc w:val="both"/>
        <w:rPr>
          <w:color w:val="000000" w:themeColor="text1"/>
          <w:sz w:val="16"/>
          <w:szCs w:val="16"/>
          <w:lang w:val="en-US"/>
        </w:rPr>
      </w:pPr>
    </w:p>
    <w:p w14:paraId="1E772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марта 1945 вышло Постановление ГКО № 7777 О мерах по приему и доставке в СССР посылок от бойцов и офицеров фронта. РГАНИР, Фонд ГКО, д. 378, лл. 148-153, 154 (11012).</w:t>
      </w:r>
    </w:p>
    <w:p w14:paraId="5B50F8A5" w14:textId="77777777" w:rsidR="00665165" w:rsidRPr="00F90EAE" w:rsidRDefault="00665165" w:rsidP="00F90EAE">
      <w:pPr>
        <w:autoSpaceDE w:val="0"/>
        <w:autoSpaceDN w:val="0"/>
        <w:adjustRightInd w:val="0"/>
        <w:jc w:val="both"/>
        <w:rPr>
          <w:color w:val="000000" w:themeColor="text1"/>
          <w:sz w:val="16"/>
          <w:szCs w:val="16"/>
        </w:rPr>
      </w:pPr>
    </w:p>
    <w:p w14:paraId="4C5FBAC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F8CCF77" w14:textId="77777777" w:rsidR="00665165" w:rsidRPr="00F90EAE" w:rsidRDefault="00665165" w:rsidP="00F90EAE">
      <w:pPr>
        <w:autoSpaceDE w:val="0"/>
        <w:autoSpaceDN w:val="0"/>
        <w:adjustRightInd w:val="0"/>
        <w:jc w:val="both"/>
        <w:rPr>
          <w:iCs/>
          <w:color w:val="000000" w:themeColor="text1"/>
          <w:sz w:val="16"/>
          <w:szCs w:val="16"/>
        </w:rPr>
      </w:pPr>
    </w:p>
    <w:p w14:paraId="27FFCF0A"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состоялся первый полет американского серийного палубного истребителя </w:t>
      </w:r>
      <w:hyperlink r:id="rId66" w:tgtFrame="_blank" w:history="1">
        <w:r w:rsidRPr="00F90EAE">
          <w:rPr>
            <w:color w:val="000000" w:themeColor="text1"/>
            <w:sz w:val="16"/>
            <w:szCs w:val="16"/>
          </w:rPr>
          <w:t xml:space="preserve">«F7F-3» «Tigercat». </w:t>
        </w:r>
      </w:hyperlink>
    </w:p>
    <w:p w14:paraId="1BB67F10" w14:textId="77777777" w:rsidR="00C1740F" w:rsidRPr="00F90EAE" w:rsidRDefault="00C1740F" w:rsidP="00F90EAE">
      <w:pPr>
        <w:jc w:val="both"/>
        <w:rPr>
          <w:color w:val="000000" w:themeColor="text1"/>
          <w:sz w:val="16"/>
          <w:szCs w:val="16"/>
        </w:rPr>
      </w:pPr>
    </w:p>
    <w:p w14:paraId="6CEB2A2D" w14:textId="77777777" w:rsidR="00AC061A" w:rsidRPr="00F90EAE" w:rsidRDefault="00AC061A" w:rsidP="00F90EAE">
      <w:pPr>
        <w:jc w:val="both"/>
        <w:rPr>
          <w:color w:val="0070C0"/>
          <w:sz w:val="16"/>
          <w:szCs w:val="16"/>
        </w:rPr>
      </w:pPr>
      <w:r w:rsidRPr="00F90EAE">
        <w:rPr>
          <w:color w:val="0070C0"/>
          <w:sz w:val="16"/>
          <w:szCs w:val="16"/>
        </w:rPr>
        <w:t>10 марта 1945 - Состоялся первый полет американского серийного палубного истребителя F7F-3 Tigercat. Внешне от своих предшественников самолет отличался лишь увеличенным по высоте и площади вертикальным оперением, гораздо более серьезные изменения коснулись конструкции. На истребителе установили моторы Пратт-Уитни R-2800-34W мощностью 2100 л.с., с улучшенными высотными характеристиками, усилили конструкцию планера, а на месте кабины оператора установили дополнительный 300-литровый топливный бак, доведя суммарную вместимость топливной системы до 1720 л. Увеличен вес боевой нагрузки - теперь самолет мог нести под крылом 453-кг бомбы, а под фюзеляжем - 907-кг бомбу (22572).</w:t>
      </w:r>
    </w:p>
    <w:p w14:paraId="14BE008E" w14:textId="77777777" w:rsidR="00AC061A" w:rsidRPr="00F90EAE" w:rsidRDefault="00AC061A" w:rsidP="00F90EAE">
      <w:pPr>
        <w:jc w:val="both"/>
        <w:rPr>
          <w:color w:val="0070C0"/>
          <w:sz w:val="16"/>
          <w:szCs w:val="16"/>
        </w:rPr>
      </w:pPr>
    </w:p>
    <w:p w14:paraId="433546C7" w14:textId="77777777" w:rsidR="00C1740F" w:rsidRPr="00F90EAE" w:rsidRDefault="00C1740F" w:rsidP="00F90EAE">
      <w:pPr>
        <w:jc w:val="both"/>
        <w:rPr>
          <w:color w:val="000000" w:themeColor="text1"/>
          <w:sz w:val="16"/>
          <w:szCs w:val="16"/>
        </w:rPr>
      </w:pPr>
      <w:r w:rsidRPr="00F90EAE">
        <w:rPr>
          <w:bCs/>
          <w:color w:val="000000" w:themeColor="text1"/>
          <w:sz w:val="16"/>
          <w:szCs w:val="16"/>
        </w:rPr>
        <w:t>10 марта</w:t>
      </w:r>
      <w:r w:rsidRPr="00F90EAE">
        <w:rPr>
          <w:color w:val="000000" w:themeColor="text1"/>
          <w:sz w:val="16"/>
          <w:szCs w:val="16"/>
        </w:rPr>
        <w:t xml:space="preserve"> в 1945 году от налета 334 американских бомбардировщиков Б-29 был уничтожен целый район Токио. «Летающие крепости» были специально переоборудованы, чтобы нести максимальную бомбовую нагрузку - 7 тонн зажигательных бомб. В пламени пожара погибло свыше 100 тысяч человек. (Это больше, чем при атомной бомбёжке Хиросимы. Люди пытались спастись от огня в реке, но варились в ней заживо.) В столице Японии были закрыты все вузы и школы и каждый житель старше шести лет привлечен к работам (15064).</w:t>
      </w:r>
    </w:p>
    <w:p w14:paraId="6DE92272" w14:textId="77777777" w:rsidR="00C1740F" w:rsidRPr="00F90EAE" w:rsidRDefault="00C1740F" w:rsidP="00F90EAE">
      <w:pPr>
        <w:jc w:val="both"/>
        <w:rPr>
          <w:color w:val="000000" w:themeColor="text1"/>
          <w:sz w:val="16"/>
          <w:szCs w:val="16"/>
        </w:rPr>
      </w:pPr>
    </w:p>
    <w:p w14:paraId="355F52E1" w14:textId="77777777" w:rsidR="00AC061A" w:rsidRPr="00F90EAE" w:rsidRDefault="00AC061A" w:rsidP="00F90EAE">
      <w:pPr>
        <w:jc w:val="both"/>
        <w:rPr>
          <w:color w:val="0070C0"/>
          <w:sz w:val="16"/>
          <w:szCs w:val="16"/>
        </w:rPr>
      </w:pPr>
      <w:r w:rsidRPr="00F90EAE">
        <w:rPr>
          <w:color w:val="0070C0"/>
          <w:sz w:val="16"/>
          <w:szCs w:val="16"/>
        </w:rPr>
        <w:t>10 марта 1945 – Бомбардировка японской столицы, проведённая Военно-воздушными силами США. В авианалёте участвовало 334 стратегических бомбардировщика B-29, каждый из которых сбросил несколько тонн зажигательных бомб и напалма. В результате образовавшегося огненного смерча пожары быстро распространились в жилых кварталах, застроенных деревянными зданиями. Погибло не менее 80 тысяч жителей, более вероятное число погибших — свыше 100 тысяч человек. Было потеряно 14 бомбардировщиков (22572).</w:t>
      </w:r>
    </w:p>
    <w:p w14:paraId="24FB4D6B" w14:textId="77777777" w:rsidR="00AC061A" w:rsidRPr="00F90EAE" w:rsidRDefault="00AC061A" w:rsidP="00F90EAE">
      <w:pPr>
        <w:jc w:val="both"/>
        <w:rPr>
          <w:color w:val="0070C0"/>
          <w:sz w:val="16"/>
          <w:szCs w:val="16"/>
        </w:rPr>
      </w:pPr>
    </w:p>
    <w:p w14:paraId="57D5C6E1" w14:textId="77777777" w:rsidR="00AC061A" w:rsidRPr="00F90EAE" w:rsidRDefault="00AC061A" w:rsidP="00F90EAE">
      <w:pPr>
        <w:jc w:val="both"/>
        <w:rPr>
          <w:color w:val="0070C0"/>
          <w:sz w:val="16"/>
          <w:szCs w:val="16"/>
        </w:rPr>
      </w:pPr>
      <w:r w:rsidRPr="00F90EAE">
        <w:rPr>
          <w:color w:val="0070C0"/>
          <w:sz w:val="16"/>
          <w:szCs w:val="16"/>
        </w:rPr>
        <w:t>10 марта 1945 г. один из последних японских бумажных шаров достиг района Хэнфорда (около Вашингтона), где находилось предприятие, задействованное в рамках ядерного проекта «Манхэттен». Шар упал на линию электропередач, снабжавшую электроэнергией здание с ядерным реактором, который нарабатывал плутоний для атомной бомбы, которую позже американцы сбросили на Нагасаки. Работа реактора была остановлена.</w:t>
      </w:r>
    </w:p>
    <w:p w14:paraId="3F3B8ABE" w14:textId="77777777" w:rsidR="00AC061A" w:rsidRPr="00F90EAE" w:rsidRDefault="00AC061A" w:rsidP="00F90EAE">
      <w:pPr>
        <w:jc w:val="both"/>
        <w:rPr>
          <w:color w:val="0070C0"/>
          <w:sz w:val="16"/>
          <w:szCs w:val="16"/>
        </w:rPr>
      </w:pPr>
      <w:r w:rsidRPr="00F90EAE">
        <w:rPr>
          <w:color w:val="0070C0"/>
          <w:sz w:val="16"/>
          <w:szCs w:val="16"/>
        </w:rPr>
        <w:t>Как стало известно после окончания войны из рассекреченных материалов, порядка 900 воздушных шаров достигли территории США (это менее 1 % от общего количества запущенных шаров). (22860).</w:t>
      </w:r>
    </w:p>
    <w:p w14:paraId="6A466F2A" w14:textId="77777777" w:rsidR="00AC061A" w:rsidRPr="00F90EAE" w:rsidRDefault="00AC061A" w:rsidP="00F90EAE">
      <w:pPr>
        <w:jc w:val="both"/>
        <w:rPr>
          <w:color w:val="0070C0"/>
          <w:sz w:val="16"/>
          <w:szCs w:val="16"/>
        </w:rPr>
      </w:pPr>
    </w:p>
    <w:p w14:paraId="23DB6D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марта 1945 фельдмаршал Киссельринг заменил фельдмаршала Рундштеда на посту ГК на Западе. Немецкие войска оставили Весел в нижнем Рейне. 3А США захватила бонн. ВМФ Германии эвакуировал 25 тыс. чел. из Колберга в Померании. В битве за Данциг 2БФ занял Заппот (3819).</w:t>
      </w:r>
    </w:p>
    <w:p w14:paraId="340B1582" w14:textId="77777777" w:rsidR="00665165" w:rsidRPr="00F90EAE" w:rsidRDefault="00665165" w:rsidP="00F90EAE">
      <w:pPr>
        <w:autoSpaceDE w:val="0"/>
        <w:autoSpaceDN w:val="0"/>
        <w:adjustRightInd w:val="0"/>
        <w:jc w:val="both"/>
        <w:rPr>
          <w:color w:val="000000" w:themeColor="text1"/>
          <w:sz w:val="16"/>
          <w:szCs w:val="16"/>
        </w:rPr>
      </w:pPr>
    </w:p>
    <w:p w14:paraId="2844F4A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марта 1945 американские войска высадились на о. Миндано (Филиппины) (4962).</w:t>
      </w:r>
    </w:p>
    <w:p w14:paraId="786A1E4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A0A061" w14:textId="77777777" w:rsidR="00AC061A" w:rsidRPr="00F90EAE" w:rsidRDefault="00AC061A" w:rsidP="00F90EAE">
      <w:pPr>
        <w:jc w:val="both"/>
        <w:rPr>
          <w:color w:val="0070C0"/>
          <w:sz w:val="16"/>
          <w:szCs w:val="16"/>
        </w:rPr>
      </w:pPr>
      <w:r w:rsidRPr="00F90EAE">
        <w:rPr>
          <w:color w:val="0070C0"/>
          <w:sz w:val="16"/>
          <w:szCs w:val="16"/>
        </w:rPr>
        <w:t>10 марта 1945 Правительство Польши воссоздает LOT Polish Airlines, которая не работала с 1939 года. Она возобновит работу в 1946 году.</w:t>
      </w:r>
    </w:p>
    <w:p w14:paraId="5F3582C7" w14:textId="77777777" w:rsidR="00AC061A" w:rsidRPr="00F90EAE" w:rsidRDefault="00AC061A" w:rsidP="00F90EAE">
      <w:pPr>
        <w:jc w:val="both"/>
        <w:rPr>
          <w:color w:val="0070C0"/>
          <w:sz w:val="16"/>
          <w:szCs w:val="16"/>
        </w:rPr>
      </w:pPr>
    </w:p>
    <w:p w14:paraId="1A19714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D1C5E3A" w14:textId="77777777" w:rsidR="00665165" w:rsidRPr="00F90EAE" w:rsidRDefault="00665165" w:rsidP="00F90EAE">
      <w:pPr>
        <w:autoSpaceDE w:val="0"/>
        <w:autoSpaceDN w:val="0"/>
        <w:adjustRightInd w:val="0"/>
        <w:jc w:val="both"/>
        <w:rPr>
          <w:iCs/>
          <w:color w:val="000000" w:themeColor="text1"/>
          <w:sz w:val="16"/>
          <w:szCs w:val="16"/>
        </w:rPr>
      </w:pPr>
    </w:p>
    <w:p w14:paraId="2457C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11 по 19 марта 1945 состоялись контрольные испытания трофейного облегченного ФВ-190 А-8 N 580967 c BMW-801. В.И.Хомяков выполнил 8 полетов и налетал 6 час. 5 мин. Отв. исп. и-м Рабкин. На форсаже имел преимущества перед Як-3 и Як-9у, но уступал Ла-7 по маневренности и горизонтальной и вертикальной скорости (747,4).</w:t>
      </w:r>
    </w:p>
    <w:p w14:paraId="576C1B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9603D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Рабкин</w:t>
      </w:r>
    </w:p>
    <w:p w14:paraId="2C1F75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п/п В.И.Хомяков</w:t>
      </w:r>
    </w:p>
    <w:p w14:paraId="4DD854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Рабкин</w:t>
      </w:r>
    </w:p>
    <w:p w14:paraId="7F38E6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рез-та предварительных испытаний</w:t>
      </w:r>
    </w:p>
    <w:p w14:paraId="44E61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4A6E9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времчя войны немцы произвели несколько модификаций с-та ФВ-190 с мотором возд. Охлаждения БМВ-801</w:t>
      </w:r>
    </w:p>
    <w:p w14:paraId="0FFED4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а) истребительный вариант - </w:t>
      </w:r>
      <w:r w:rsidRPr="00F90EAE">
        <w:rPr>
          <w:color w:val="000000" w:themeColor="text1"/>
          <w:sz w:val="16"/>
          <w:szCs w:val="16"/>
          <w:lang w:val="en-US"/>
        </w:rPr>
        <w:t>Jager</w:t>
      </w:r>
      <w:r w:rsidRPr="00F90EAE">
        <w:rPr>
          <w:color w:val="000000" w:themeColor="text1"/>
          <w:sz w:val="16"/>
          <w:szCs w:val="16"/>
        </w:rPr>
        <w:t xml:space="preserve"> - ФВ-190А-1, А-2, А-3, А-4, А-6, А-7, А-8, А-9</w:t>
      </w:r>
    </w:p>
    <w:p w14:paraId="3E24C6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б) штурмовой вариант - </w:t>
      </w:r>
      <w:r w:rsidRPr="00F90EAE">
        <w:rPr>
          <w:color w:val="000000" w:themeColor="text1"/>
          <w:sz w:val="16"/>
          <w:szCs w:val="16"/>
          <w:lang w:val="en-US"/>
        </w:rPr>
        <w:t>Schlachtsjager</w:t>
      </w:r>
      <w:r w:rsidRPr="00F90EAE">
        <w:rPr>
          <w:color w:val="000000" w:themeColor="text1"/>
          <w:sz w:val="16"/>
          <w:szCs w:val="16"/>
        </w:rPr>
        <w:t xml:space="preserve"> - ФВ </w:t>
      </w:r>
      <w:r w:rsidRPr="00F90EAE">
        <w:rPr>
          <w:color w:val="000000" w:themeColor="text1"/>
          <w:sz w:val="16"/>
          <w:szCs w:val="16"/>
          <w:lang w:val="en-US"/>
        </w:rPr>
        <w:t>F</w:t>
      </w:r>
      <w:r w:rsidRPr="00F90EAE">
        <w:rPr>
          <w:color w:val="000000" w:themeColor="text1"/>
          <w:sz w:val="16"/>
          <w:szCs w:val="16"/>
        </w:rPr>
        <w:t xml:space="preserve">-1, </w:t>
      </w:r>
      <w:r w:rsidRPr="00F90EAE">
        <w:rPr>
          <w:color w:val="000000" w:themeColor="text1"/>
          <w:sz w:val="16"/>
          <w:szCs w:val="16"/>
          <w:lang w:val="en-US"/>
        </w:rPr>
        <w:t>F</w:t>
      </w:r>
      <w:r w:rsidRPr="00F90EAE">
        <w:rPr>
          <w:color w:val="000000" w:themeColor="text1"/>
          <w:sz w:val="16"/>
          <w:szCs w:val="16"/>
        </w:rPr>
        <w:t xml:space="preserve">-2, </w:t>
      </w:r>
      <w:r w:rsidRPr="00F90EAE">
        <w:rPr>
          <w:color w:val="000000" w:themeColor="text1"/>
          <w:sz w:val="16"/>
          <w:szCs w:val="16"/>
          <w:lang w:val="en-US"/>
        </w:rPr>
        <w:t>F</w:t>
      </w:r>
      <w:r w:rsidRPr="00F90EAE">
        <w:rPr>
          <w:color w:val="000000" w:themeColor="text1"/>
          <w:sz w:val="16"/>
          <w:szCs w:val="16"/>
        </w:rPr>
        <w:t xml:space="preserve">-3, </w:t>
      </w:r>
      <w:r w:rsidRPr="00F90EAE">
        <w:rPr>
          <w:color w:val="000000" w:themeColor="text1"/>
          <w:sz w:val="16"/>
          <w:szCs w:val="16"/>
          <w:lang w:val="en-US"/>
        </w:rPr>
        <w:t>F</w:t>
      </w:r>
      <w:r w:rsidRPr="00F90EAE">
        <w:rPr>
          <w:color w:val="000000" w:themeColor="text1"/>
          <w:sz w:val="16"/>
          <w:szCs w:val="16"/>
        </w:rPr>
        <w:t xml:space="preserve">-8, </w:t>
      </w:r>
      <w:r w:rsidRPr="00F90EAE">
        <w:rPr>
          <w:color w:val="000000" w:themeColor="text1"/>
          <w:sz w:val="16"/>
          <w:szCs w:val="16"/>
          <w:lang w:val="en-US"/>
        </w:rPr>
        <w:t>F</w:t>
      </w:r>
      <w:r w:rsidRPr="00F90EAE">
        <w:rPr>
          <w:color w:val="000000" w:themeColor="text1"/>
          <w:sz w:val="16"/>
          <w:szCs w:val="16"/>
        </w:rPr>
        <w:t xml:space="preserve">-9, </w:t>
      </w:r>
      <w:r w:rsidRPr="00F90EAE">
        <w:rPr>
          <w:color w:val="000000" w:themeColor="text1"/>
          <w:sz w:val="16"/>
          <w:szCs w:val="16"/>
          <w:lang w:val="en-US"/>
        </w:rPr>
        <w:t>A</w:t>
      </w:r>
      <w:r w:rsidRPr="00F90EAE">
        <w:rPr>
          <w:color w:val="000000" w:themeColor="text1"/>
          <w:sz w:val="16"/>
          <w:szCs w:val="16"/>
        </w:rPr>
        <w:t>-5</w:t>
      </w:r>
    </w:p>
    <w:p w14:paraId="23E4CA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дальний истребительно-бомбардировочный вариант - </w:t>
      </w:r>
      <w:r w:rsidRPr="00F90EAE">
        <w:rPr>
          <w:color w:val="000000" w:themeColor="text1"/>
          <w:sz w:val="16"/>
          <w:szCs w:val="16"/>
          <w:lang w:val="en-US"/>
        </w:rPr>
        <w:t>Jaborei</w:t>
      </w:r>
      <w:r w:rsidRPr="00F90EAE">
        <w:rPr>
          <w:color w:val="000000" w:themeColor="text1"/>
          <w:sz w:val="16"/>
          <w:szCs w:val="16"/>
        </w:rPr>
        <w:t xml:space="preserve"> - ФВ-190</w:t>
      </w:r>
      <w:r w:rsidRPr="00F90EAE">
        <w:rPr>
          <w:color w:val="000000" w:themeColor="text1"/>
          <w:sz w:val="16"/>
          <w:szCs w:val="16"/>
          <w:lang w:val="en-US"/>
        </w:rPr>
        <w:t>G</w:t>
      </w:r>
      <w:r w:rsidRPr="00F90EAE">
        <w:rPr>
          <w:color w:val="000000" w:themeColor="text1"/>
          <w:sz w:val="16"/>
          <w:szCs w:val="16"/>
        </w:rPr>
        <w:t xml:space="preserve">-1, </w:t>
      </w:r>
      <w:r w:rsidRPr="00F90EAE">
        <w:rPr>
          <w:color w:val="000000" w:themeColor="text1"/>
          <w:sz w:val="16"/>
          <w:szCs w:val="16"/>
          <w:lang w:val="en-US"/>
        </w:rPr>
        <w:t>G</w:t>
      </w:r>
      <w:r w:rsidRPr="00F90EAE">
        <w:rPr>
          <w:color w:val="000000" w:themeColor="text1"/>
          <w:sz w:val="16"/>
          <w:szCs w:val="16"/>
        </w:rPr>
        <w:t xml:space="preserve">-2, </w:t>
      </w:r>
      <w:r w:rsidRPr="00F90EAE">
        <w:rPr>
          <w:color w:val="000000" w:themeColor="text1"/>
          <w:sz w:val="16"/>
          <w:szCs w:val="16"/>
          <w:lang w:val="en-US"/>
        </w:rPr>
        <w:t>G</w:t>
      </w:r>
      <w:r w:rsidRPr="00F90EAE">
        <w:rPr>
          <w:color w:val="000000" w:themeColor="text1"/>
          <w:sz w:val="16"/>
          <w:szCs w:val="16"/>
        </w:rPr>
        <w:t xml:space="preserve">-3, </w:t>
      </w:r>
      <w:r w:rsidRPr="00F90EAE">
        <w:rPr>
          <w:color w:val="000000" w:themeColor="text1"/>
          <w:sz w:val="16"/>
          <w:szCs w:val="16"/>
          <w:lang w:val="en-US"/>
        </w:rPr>
        <w:t>G</w:t>
      </w:r>
      <w:r w:rsidRPr="00F90EAE">
        <w:rPr>
          <w:color w:val="000000" w:themeColor="text1"/>
          <w:sz w:val="16"/>
          <w:szCs w:val="16"/>
        </w:rPr>
        <w:t xml:space="preserve">-8, </w:t>
      </w:r>
      <w:r w:rsidRPr="00F90EAE">
        <w:rPr>
          <w:color w:val="000000" w:themeColor="text1"/>
          <w:sz w:val="16"/>
          <w:szCs w:val="16"/>
          <w:lang w:val="en-US"/>
        </w:rPr>
        <w:t>G</w:t>
      </w:r>
      <w:r w:rsidRPr="00F90EAE">
        <w:rPr>
          <w:color w:val="000000" w:themeColor="text1"/>
          <w:sz w:val="16"/>
          <w:szCs w:val="16"/>
        </w:rPr>
        <w:t>-9</w:t>
      </w:r>
    </w:p>
    <w:p w14:paraId="1B424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последнее время немцы используют для штурмовки наземных войск и объектов с-ты ФВ-190 всех модификаций.</w:t>
      </w:r>
    </w:p>
    <w:p w14:paraId="581B9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ГК НИИ ВВС КА проходили испытания с-ты ФВ-190А-4 в июле 1943, ФВ-190А-5 в сентябре 1943 и ФВ 190А-8 в декабре 1944.</w:t>
      </w:r>
    </w:p>
    <w:p w14:paraId="35A3A5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Цель испытаний - определить ЛТД</w:t>
      </w:r>
    </w:p>
    <w:p w14:paraId="62037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3A337E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64917B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C395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Вооружени с-та изменено за счет снятия 2=х крыльевых пушек МК-108А-3 калибра 30 мм и б/припасов к ним.</w:t>
      </w:r>
    </w:p>
    <w:p w14:paraId="7EE52F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Сняты две бронеплиты под патронными ящиками крыльевых пушек.</w:t>
      </w:r>
    </w:p>
    <w:p w14:paraId="394D2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Уменьшен запас горючего с 642 л до 524 л за счет снятия дополнительного фюзеляжного бака емкостью 118 л</w:t>
      </w:r>
    </w:p>
    <w:p w14:paraId="5FB3FB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5) Установлен винт </w:t>
      </w:r>
      <w:r w:rsidRPr="00F90EAE">
        <w:rPr>
          <w:color w:val="000000" w:themeColor="text1"/>
          <w:sz w:val="16"/>
          <w:szCs w:val="16"/>
          <w:lang w:val="en-US"/>
        </w:rPr>
        <w:t>VDM</w:t>
      </w:r>
      <w:r w:rsidRPr="00F90EAE">
        <w:rPr>
          <w:color w:val="000000" w:themeColor="text1"/>
          <w:sz w:val="16"/>
          <w:szCs w:val="16"/>
        </w:rPr>
        <w:t xml:space="preserve"> Д-3,3, не имеет на комлевых частях лопастей симмертричных грузов - противовесов.</w:t>
      </w:r>
    </w:p>
    <w:p w14:paraId="16D50B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06156B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3111, полетный - 3986</w:t>
      </w:r>
    </w:p>
    <w:p w14:paraId="7EBE8B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p w14:paraId="6EF2C1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с парашютом - 90</w:t>
      </w:r>
    </w:p>
    <w:p w14:paraId="71F7D0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уд. Вес 0,75) - на 524 л - 393 кг</w:t>
      </w:r>
    </w:p>
    <w:p w14:paraId="4B0F6A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- 49</w:t>
      </w:r>
    </w:p>
    <w:p w14:paraId="297C5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Стрелково-пушечное вооружение - 127,5 (2хМГ-151 - 84 + 2хМГ-131 - 43,5)</w:t>
      </w:r>
    </w:p>
    <w:p w14:paraId="22813C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 182 кг</w:t>
      </w:r>
    </w:p>
    <w:p w14:paraId="530036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- 33,5</w:t>
      </w:r>
    </w:p>
    <w:p w14:paraId="4A3A54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875</w:t>
      </w:r>
    </w:p>
    <w:p w14:paraId="3AC6E9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Макс. Скорость у земли - 522 при 1,35 (995-998) и 2450</w:t>
      </w:r>
    </w:p>
    <w:p w14:paraId="7BE70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1400 - 555, на 2 гр. 6150 - 614</w:t>
      </w:r>
    </w:p>
    <w:p w14:paraId="699D44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 Скорость у земли на форсаже - 542 при 1,42 (1045) и 2700</w:t>
      </w:r>
    </w:p>
    <w:p w14:paraId="5147C2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1250 - 569, на 2 гр. 6500 - 642</w:t>
      </w:r>
    </w:p>
    <w:p w14:paraId="4904ED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включенной кнопкой - 582 при 1,65 (1215) на 2700</w:t>
      </w:r>
    </w:p>
    <w:p w14:paraId="5D1FA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5000 - 6,1 и 5,4 при форсаже</w:t>
      </w:r>
    </w:p>
    <w:p w14:paraId="22565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1000 м 21-22</w:t>
      </w:r>
    </w:p>
    <w:p w14:paraId="662B63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 боевой работы - 1100 - 1200</w:t>
      </w:r>
    </w:p>
    <w:p w14:paraId="298A7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управлении самолет тяжелый (по-прежнему)</w:t>
      </w:r>
    </w:p>
    <w:p w14:paraId="3FC68E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Устойчивость в продольном отношении улучшена за счет смещения вперед цт</w:t>
      </w:r>
    </w:p>
    <w:p w14:paraId="3F657E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33A27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маневренности в гор. и верт. плоскостях с-т уступает всем отечественным истребителям с высоты 250-500 м.</w:t>
      </w:r>
    </w:p>
    <w:p w14:paraId="7B609E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Хомяков</w:t>
      </w:r>
    </w:p>
    <w:p w14:paraId="44A5B0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36AAE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4EACC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23 марта 1945 (747,4).</w:t>
      </w:r>
    </w:p>
    <w:p w14:paraId="5670919D" w14:textId="77777777" w:rsidR="00665165" w:rsidRPr="00F90EAE" w:rsidRDefault="00665165" w:rsidP="00F90EAE">
      <w:pPr>
        <w:autoSpaceDE w:val="0"/>
        <w:autoSpaceDN w:val="0"/>
        <w:adjustRightInd w:val="0"/>
        <w:jc w:val="both"/>
        <w:rPr>
          <w:color w:val="000000" w:themeColor="text1"/>
          <w:sz w:val="16"/>
          <w:szCs w:val="16"/>
        </w:rPr>
      </w:pPr>
    </w:p>
    <w:p w14:paraId="378F084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53C85C0" w14:textId="77777777" w:rsidR="00665165" w:rsidRPr="00F90EAE" w:rsidRDefault="00665165" w:rsidP="00F90EAE">
      <w:pPr>
        <w:autoSpaceDE w:val="0"/>
        <w:autoSpaceDN w:val="0"/>
        <w:adjustRightInd w:val="0"/>
        <w:jc w:val="both"/>
        <w:rPr>
          <w:iCs/>
          <w:color w:val="000000" w:themeColor="text1"/>
          <w:sz w:val="16"/>
          <w:szCs w:val="16"/>
        </w:rPr>
      </w:pPr>
    </w:p>
    <w:p w14:paraId="7DE3CB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марта по 14 апреля 1945 проходили мспытания Т-54 на Кубинке под председательством Кульчицкого Е. А (приказ № 092/021 от 28.02.45) (11075).</w:t>
      </w:r>
    </w:p>
    <w:p w14:paraId="271401C5" w14:textId="77777777" w:rsidR="00665165" w:rsidRPr="00F90EAE" w:rsidRDefault="00665165" w:rsidP="00F90EAE">
      <w:pPr>
        <w:autoSpaceDE w:val="0"/>
        <w:autoSpaceDN w:val="0"/>
        <w:adjustRightInd w:val="0"/>
        <w:jc w:val="both"/>
        <w:rPr>
          <w:color w:val="000000" w:themeColor="text1"/>
          <w:sz w:val="16"/>
          <w:szCs w:val="16"/>
        </w:rPr>
      </w:pPr>
    </w:p>
    <w:p w14:paraId="4594A9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11 марта по 14 апреля 1945 г. в Кубинке были проведены испытания макетного образца Т-54 (бывш. Т-44В). Вот краткое описание танка:</w:t>
      </w:r>
    </w:p>
    <w:p w14:paraId="734993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«Корпус танка Т-54 сохранен от проекта Т-44-В, но тол</w:t>
      </w:r>
      <w:r w:rsidRPr="00F90EAE">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F90EAE">
        <w:rPr>
          <w:color w:val="000000" w:themeColor="text1"/>
          <w:sz w:val="16"/>
          <w:szCs w:val="16"/>
        </w:rPr>
        <w:softHyphen/>
        <w:t>дости, остальная - высокой. Общая длина корпуса танка от</w:t>
      </w:r>
      <w:r w:rsidRPr="00F90EAE">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F90EAE">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68A381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танк установлена 100-мм пушка Д-10ТК обр. 1944 г. изготовления завода № 8, которая в отличие от 100-мм пуш</w:t>
      </w:r>
      <w:r w:rsidRPr="00F90EAE">
        <w:rPr>
          <w:color w:val="000000" w:themeColor="text1"/>
          <w:sz w:val="16"/>
          <w:szCs w:val="16"/>
        </w:rPr>
        <w:softHyphen/>
        <w:t>ки Д-10Т не имеет пружинн. уравновешивающий механизм. Труба ствола имеет более тонкие стенки, ствол уравновешен дополнительными грузами...»</w:t>
      </w:r>
    </w:p>
    <w:p w14:paraId="63A917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ходе испытаний танк показал неплохую подвижность, но его максимальная скорость составила 43,5-44 км/ч про</w:t>
      </w:r>
      <w:r w:rsidRPr="00F90EAE">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6903E2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F90EAE">
        <w:rPr>
          <w:color w:val="000000" w:themeColor="text1"/>
          <w:sz w:val="16"/>
          <w:szCs w:val="16"/>
        </w:rPr>
        <w:softHyphen/>
        <w:t>тование танковых и механизированных соединений...»</w:t>
      </w:r>
    </w:p>
    <w:p w14:paraId="551CE0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4FD198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C3585D2" w14:textId="77777777" w:rsidR="00CE1517" w:rsidRPr="00F90EAE" w:rsidRDefault="00CE1517" w:rsidP="00F90EAE">
      <w:pPr>
        <w:jc w:val="both"/>
        <w:rPr>
          <w:color w:val="0070C0"/>
          <w:sz w:val="16"/>
          <w:szCs w:val="16"/>
        </w:rPr>
      </w:pPr>
      <w:r w:rsidRPr="00F90EAE">
        <w:rPr>
          <w:color w:val="0070C0"/>
          <w:sz w:val="16"/>
          <w:szCs w:val="16"/>
        </w:rPr>
        <w:lastRenderedPageBreak/>
        <w:t>В период с 11 марта по 14 апреля 1945 г. на НИБТ Полигоне прошли полигонные испытания первого опытного образца танка Т-54, изготовленного заводом № 183. Председателем комиссии, согласно совместному приказу НКТП и командующего БТ и МВ КА № 092/021 от 28 февраля 1945 г., был назначен Е.А. Кульчицкий. Позднее он так опишет свою первую встречу с «пятьдесятчетверкой»:</w:t>
      </w:r>
    </w:p>
    <w:p w14:paraId="6C5BAD9E" w14:textId="77777777" w:rsidR="00CE1517" w:rsidRPr="00F90EAE" w:rsidRDefault="00CE1517" w:rsidP="00F90EAE">
      <w:pPr>
        <w:jc w:val="both"/>
        <w:rPr>
          <w:color w:val="0070C0"/>
          <w:sz w:val="16"/>
          <w:szCs w:val="16"/>
        </w:rPr>
      </w:pPr>
      <w:r w:rsidRPr="00F90EAE">
        <w:rPr>
          <w:color w:val="0070C0"/>
          <w:sz w:val="16"/>
          <w:szCs w:val="16"/>
        </w:rPr>
        <w:t>Танк производил впечатление. Его внешние формы учитывали необходимые углы встречи с будущими снарядами противника, что придавало ему соответствующую обтекаемость и красоту. Более совершенной формы корпус, приплюснутая башня с новой пушкой покоились на десяти больших опорных катках. Эта, на первый взгляд, просто красота форм и силуэта говорила специалистам о некоторых высоких технических параметрах машины, а именно: обтекаемые формы корпуса и башни – о повышенной стойкости броневой защиты и меньшей поражаемости его, длинный ствол пушки – о высокой начальной скорости снаряда, что является основным положительным качеством танковой пушки, десять больших, с внешней обрезинкой, опорных катков говорили о возможностях движения на больших скоростях.</w:t>
      </w:r>
    </w:p>
    <w:p w14:paraId="1420688F" w14:textId="77777777" w:rsidR="00CE1517" w:rsidRPr="00F90EAE" w:rsidRDefault="00CE1517" w:rsidP="00F90EAE">
      <w:pPr>
        <w:jc w:val="both"/>
        <w:rPr>
          <w:color w:val="0070C0"/>
          <w:sz w:val="16"/>
          <w:szCs w:val="16"/>
        </w:rPr>
      </w:pPr>
      <w:r w:rsidRPr="00F90EAE">
        <w:rPr>
          <w:color w:val="0070C0"/>
          <w:sz w:val="16"/>
          <w:szCs w:val="16"/>
        </w:rPr>
        <w:t>В первый же день испытаний, 11 марта 1945 г., Е.А. Кульчицкий направил своему непосредственному начальнику – начальнику ТУ ГБТУ КА инженер-полковнику А.И. Благонравову Сводку № 1 о ходе испытаний первого опытного образца танка Т-54 для последующего доклада генерал-полковнику танковых войск тов. Коробкову и генерал-лейтенанту инженерно-танковой службы тов. Малышеву. В этой сводке он сообщил, что:</w:t>
      </w:r>
    </w:p>
    <w:p w14:paraId="3A57E7A1" w14:textId="77777777" w:rsidR="00CE1517" w:rsidRPr="00F90EAE" w:rsidRDefault="00CE1517" w:rsidP="00F90EAE">
      <w:pPr>
        <w:jc w:val="both"/>
        <w:rPr>
          <w:color w:val="0070C0"/>
          <w:sz w:val="16"/>
          <w:szCs w:val="16"/>
        </w:rPr>
      </w:pPr>
      <w:r w:rsidRPr="00F90EAE">
        <w:rPr>
          <w:color w:val="0070C0"/>
          <w:sz w:val="16"/>
          <w:szCs w:val="16"/>
        </w:rPr>
        <w:t>«1. Машина прибыла на НИБТ Полигон ГБТУ КА 10 марта с/г.</w:t>
      </w:r>
    </w:p>
    <w:p w14:paraId="595DCF5F" w14:textId="77777777" w:rsidR="00CE1517" w:rsidRPr="00F90EAE" w:rsidRDefault="00CE1517" w:rsidP="00F90EAE">
      <w:pPr>
        <w:jc w:val="both"/>
        <w:rPr>
          <w:color w:val="0070C0"/>
          <w:sz w:val="16"/>
          <w:szCs w:val="16"/>
        </w:rPr>
      </w:pPr>
      <w:r w:rsidRPr="00F90EAE">
        <w:rPr>
          <w:color w:val="0070C0"/>
          <w:sz w:val="16"/>
          <w:szCs w:val="16"/>
        </w:rPr>
        <w:t>2. Сегодня производились следующие работы:</w:t>
      </w:r>
    </w:p>
    <w:p w14:paraId="7EE95F14" w14:textId="77777777" w:rsidR="00CE1517" w:rsidRPr="00F90EAE" w:rsidRDefault="00CE1517" w:rsidP="00F90EAE">
      <w:pPr>
        <w:jc w:val="both"/>
        <w:rPr>
          <w:color w:val="0070C0"/>
          <w:sz w:val="16"/>
          <w:szCs w:val="16"/>
        </w:rPr>
      </w:pPr>
      <w:r w:rsidRPr="00F90EAE">
        <w:rPr>
          <w:color w:val="0070C0"/>
          <w:sz w:val="16"/>
          <w:szCs w:val="16"/>
        </w:rPr>
        <w:t>а) определение габаритных размеров танка;</w:t>
      </w:r>
    </w:p>
    <w:p w14:paraId="59F16DDD" w14:textId="77777777" w:rsidR="00CE1517" w:rsidRPr="00F90EAE" w:rsidRDefault="00CE1517" w:rsidP="00F90EAE">
      <w:pPr>
        <w:jc w:val="both"/>
        <w:rPr>
          <w:color w:val="0070C0"/>
          <w:sz w:val="16"/>
          <w:szCs w:val="16"/>
        </w:rPr>
      </w:pPr>
      <w:r w:rsidRPr="00F90EAE">
        <w:rPr>
          <w:color w:val="0070C0"/>
          <w:sz w:val="16"/>
          <w:szCs w:val="16"/>
        </w:rPr>
        <w:t>б) определение завала и эллипсности опорных катков.</w:t>
      </w:r>
    </w:p>
    <w:p w14:paraId="1E108AD5" w14:textId="77777777" w:rsidR="00CE1517" w:rsidRPr="00F90EAE" w:rsidRDefault="00CE1517" w:rsidP="00F90EAE">
      <w:pPr>
        <w:jc w:val="both"/>
        <w:rPr>
          <w:color w:val="0070C0"/>
          <w:sz w:val="16"/>
          <w:szCs w:val="16"/>
        </w:rPr>
      </w:pPr>
      <w:r w:rsidRPr="00F90EAE">
        <w:rPr>
          <w:color w:val="0070C0"/>
          <w:sz w:val="16"/>
          <w:szCs w:val="16"/>
        </w:rPr>
        <w:t>3. Проверка регулировки приводов бортовых и главного фрикционов и коробки перемены передач.</w:t>
      </w:r>
    </w:p>
    <w:p w14:paraId="7BAAD528" w14:textId="77777777" w:rsidR="00CE1517" w:rsidRPr="00F90EAE" w:rsidRDefault="00CE1517" w:rsidP="00F90EAE">
      <w:pPr>
        <w:jc w:val="both"/>
        <w:rPr>
          <w:color w:val="0070C0"/>
          <w:sz w:val="16"/>
          <w:szCs w:val="16"/>
        </w:rPr>
      </w:pPr>
      <w:r w:rsidRPr="00F90EAE">
        <w:rPr>
          <w:color w:val="0070C0"/>
          <w:sz w:val="16"/>
          <w:szCs w:val="16"/>
        </w:rPr>
        <w:t>4. Проверка качества смазки КПП и мотора и ходовой части».</w:t>
      </w:r>
    </w:p>
    <w:p w14:paraId="63C0602E" w14:textId="77777777" w:rsidR="00CE1517" w:rsidRPr="00F90EAE" w:rsidRDefault="00CE1517" w:rsidP="00F90EAE">
      <w:pPr>
        <w:jc w:val="both"/>
        <w:rPr>
          <w:color w:val="0070C0"/>
          <w:sz w:val="16"/>
          <w:szCs w:val="16"/>
        </w:rPr>
      </w:pPr>
      <w:r w:rsidRPr="00F90EAE">
        <w:rPr>
          <w:color w:val="0070C0"/>
          <w:sz w:val="16"/>
          <w:szCs w:val="16"/>
        </w:rPr>
        <w:t>[ЦАМО. Ф. 38. Оп. 11355. Д. 3013. Л. 18] (21209).</w:t>
      </w:r>
    </w:p>
    <w:p w14:paraId="6636C044" w14:textId="77777777" w:rsidR="00CE1517" w:rsidRPr="00F90EAE" w:rsidRDefault="00CE1517" w:rsidP="00F90EAE">
      <w:pPr>
        <w:jc w:val="both"/>
        <w:rPr>
          <w:color w:val="0070C0"/>
          <w:sz w:val="16"/>
          <w:szCs w:val="16"/>
        </w:rPr>
      </w:pPr>
    </w:p>
    <w:p w14:paraId="36D866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11 марта по 14апре</w:t>
      </w:r>
      <w:r w:rsidRPr="00F90EAE">
        <w:rPr>
          <w:color w:val="000000" w:themeColor="text1"/>
          <w:sz w:val="16"/>
          <w:szCs w:val="16"/>
        </w:rPr>
        <w:softHyphen/>
        <w:t>ля 1945 г. прошли полигонные испытания Т-54, по результатам которых комиссией 14 апреля 1945 г. был представлен отчет, в выводах которого го</w:t>
      </w:r>
      <w:r w:rsidRPr="00F90EAE">
        <w:rPr>
          <w:color w:val="000000" w:themeColor="text1"/>
          <w:sz w:val="16"/>
          <w:szCs w:val="16"/>
        </w:rPr>
        <w:softHyphen/>
        <w:t>ворилось:</w:t>
      </w:r>
    </w:p>
    <w:p w14:paraId="26D672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w:t>
      </w:r>
      <w:r w:rsidRPr="00F90EAE">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F90EAE">
        <w:rPr>
          <w:iCs/>
          <w:color w:val="000000" w:themeColor="text1"/>
          <w:sz w:val="16"/>
          <w:szCs w:val="16"/>
        </w:rPr>
        <w:softHyphen/>
        <w:t>ходит по боевым качествам все современ</w:t>
      </w:r>
      <w:r w:rsidRPr="00F90EAE">
        <w:rPr>
          <w:iCs/>
          <w:color w:val="000000" w:themeColor="text1"/>
          <w:sz w:val="16"/>
          <w:szCs w:val="16"/>
        </w:rPr>
        <w:softHyphen/>
        <w:t>ные средние танки.</w:t>
      </w:r>
    </w:p>
    <w:p w14:paraId="0BF256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2. Опытный образец танка Т-54 испыта</w:t>
      </w:r>
      <w:r w:rsidRPr="00F90EAE">
        <w:rPr>
          <w:iCs/>
          <w:color w:val="000000" w:themeColor="text1"/>
          <w:sz w:val="16"/>
          <w:szCs w:val="16"/>
        </w:rPr>
        <w:softHyphen/>
        <w:t>ния по прочности основных агрегатов в объе</w:t>
      </w:r>
      <w:r w:rsidRPr="00F90EAE">
        <w:rPr>
          <w:iCs/>
          <w:color w:val="000000" w:themeColor="text1"/>
          <w:sz w:val="16"/>
          <w:szCs w:val="16"/>
        </w:rPr>
        <w:softHyphen/>
        <w:t>ме 1553 км пробега в зимних и весенних ус</w:t>
      </w:r>
      <w:r w:rsidRPr="00F90EAE">
        <w:rPr>
          <w:iCs/>
          <w:color w:val="000000" w:themeColor="text1"/>
          <w:sz w:val="16"/>
          <w:szCs w:val="16"/>
        </w:rPr>
        <w:softHyphen/>
        <w:t>ловиях выдержал.</w:t>
      </w:r>
    </w:p>
    <w:p w14:paraId="6AF36E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3. Танк имеет дефекты, обусловленные конструктивной недоработкой отдельных уз</w:t>
      </w:r>
      <w:r w:rsidRPr="00F90EAE">
        <w:rPr>
          <w:iCs/>
          <w:color w:val="000000" w:themeColor="text1"/>
          <w:sz w:val="16"/>
          <w:szCs w:val="16"/>
        </w:rPr>
        <w:softHyphen/>
        <w:t>лов, устранение которых значительно повы</w:t>
      </w:r>
      <w:r w:rsidRPr="00F90EAE">
        <w:rPr>
          <w:iCs/>
          <w:color w:val="000000" w:themeColor="text1"/>
          <w:sz w:val="16"/>
          <w:szCs w:val="16"/>
        </w:rPr>
        <w:softHyphen/>
        <w:t xml:space="preserve">сит тактико-технические качества танка». </w:t>
      </w:r>
      <w:r w:rsidRPr="00F90EAE">
        <w:rPr>
          <w:color w:val="000000" w:themeColor="text1"/>
          <w:sz w:val="16"/>
          <w:szCs w:val="16"/>
        </w:rPr>
        <w:t xml:space="preserve">В заключении комиссия отметила: «...3. </w:t>
      </w:r>
      <w:r w:rsidRPr="00F90EAE">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F90EAE">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F90EAE">
        <w:rPr>
          <w:iCs/>
          <w:color w:val="000000" w:themeColor="text1"/>
          <w:sz w:val="16"/>
          <w:szCs w:val="16"/>
        </w:rPr>
        <w:softHyphen/>
        <w:t>танциях, а трансмиссия и ходовая часть сни</w:t>
      </w:r>
      <w:r w:rsidRPr="00F90EAE">
        <w:rPr>
          <w:iCs/>
          <w:color w:val="000000" w:themeColor="text1"/>
          <w:sz w:val="16"/>
          <w:szCs w:val="16"/>
        </w:rPr>
        <w:softHyphen/>
        <w:t>жают динамические качества танка.</w:t>
      </w:r>
    </w:p>
    <w:p w14:paraId="17F288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F90EAE">
        <w:rPr>
          <w:iCs/>
          <w:color w:val="000000" w:themeColor="text1"/>
          <w:sz w:val="16"/>
          <w:szCs w:val="16"/>
        </w:rPr>
        <w:softHyphen/>
        <w:t>довать танк Т-54 на вооружение Красной Ар</w:t>
      </w:r>
      <w:r w:rsidRPr="00F90EAE">
        <w:rPr>
          <w:iCs/>
          <w:color w:val="000000" w:themeColor="text1"/>
          <w:sz w:val="16"/>
          <w:szCs w:val="16"/>
        </w:rPr>
        <w:softHyphen/>
        <w:t>мии с обязательным устранением отмечен</w:t>
      </w:r>
      <w:r w:rsidRPr="00F90EAE">
        <w:rPr>
          <w:iCs/>
          <w:color w:val="000000" w:themeColor="text1"/>
          <w:sz w:val="16"/>
          <w:szCs w:val="16"/>
        </w:rPr>
        <w:softHyphen/>
        <w:t>ных в отчете недостатков.</w:t>
      </w:r>
    </w:p>
    <w:p w14:paraId="4E5D4F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5. В связи с тем, что отработка ряда новых узлов может задержать ввод в се</w:t>
      </w:r>
      <w:r w:rsidRPr="00F90EAE">
        <w:rPr>
          <w:iCs/>
          <w:color w:val="000000" w:themeColor="text1"/>
          <w:sz w:val="16"/>
          <w:szCs w:val="16"/>
        </w:rPr>
        <w:softHyphen/>
        <w:t>рийное производство танка Т-54, необхо</w:t>
      </w:r>
      <w:r w:rsidRPr="00F90EAE">
        <w:rPr>
          <w:iCs/>
          <w:color w:val="000000" w:themeColor="text1"/>
          <w:sz w:val="16"/>
          <w:szCs w:val="16"/>
        </w:rPr>
        <w:softHyphen/>
        <w:t>димость в котором в армии весьма вели</w:t>
      </w:r>
      <w:r w:rsidRPr="00F90EAE">
        <w:rPr>
          <w:iCs/>
          <w:color w:val="000000" w:themeColor="text1"/>
          <w:sz w:val="16"/>
          <w:szCs w:val="16"/>
        </w:rPr>
        <w:softHyphen/>
        <w:t>ка, комиссия считает возможным начать производство танков Т-54, не ожидая вве</w:t>
      </w:r>
      <w:r w:rsidRPr="00F90EAE">
        <w:rPr>
          <w:iCs/>
          <w:color w:val="000000" w:themeColor="text1"/>
          <w:sz w:val="16"/>
          <w:szCs w:val="16"/>
        </w:rPr>
        <w:softHyphen/>
        <w:t>дения следующих узлов и механизмов, срочную отработку которых поручить заво</w:t>
      </w:r>
      <w:r w:rsidRPr="00F90EAE">
        <w:rPr>
          <w:iCs/>
          <w:color w:val="000000" w:themeColor="text1"/>
          <w:sz w:val="16"/>
          <w:szCs w:val="16"/>
        </w:rPr>
        <w:softHyphen/>
        <w:t>ду №183 в очередности, устанавливаемой НКГПиГБТУКА:</w:t>
      </w:r>
    </w:p>
    <w:p w14:paraId="6CC76D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а) башни по типу танка ИС-3;</w:t>
      </w:r>
    </w:p>
    <w:p w14:paraId="39C3A1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б) КПП с синхронизаторами и 2-х ступен</w:t>
      </w:r>
      <w:r w:rsidRPr="00F90EAE">
        <w:rPr>
          <w:iCs/>
          <w:color w:val="000000" w:themeColor="text1"/>
          <w:sz w:val="16"/>
          <w:szCs w:val="16"/>
        </w:rPr>
        <w:softHyphen/>
        <w:t>чатого планетарного механизма поворота танка;</w:t>
      </w:r>
    </w:p>
    <w:p w14:paraId="211D6A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экрана от гранат типа «Фауст»;</w:t>
      </w:r>
    </w:p>
    <w:p w14:paraId="0081BF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г) изменение углов наклона кормовых листов корпуса;</w:t>
      </w:r>
    </w:p>
    <w:p w14:paraId="0CAC435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iCs/>
          <w:color w:val="000000" w:themeColor="text1"/>
          <w:sz w:val="16"/>
          <w:szCs w:val="16"/>
        </w:rPr>
        <w:t>д) вращающегося пола боевого отделе</w:t>
      </w:r>
      <w:r w:rsidRPr="00F90EAE">
        <w:rPr>
          <w:iCs/>
          <w:color w:val="000000" w:themeColor="text1"/>
          <w:sz w:val="16"/>
          <w:szCs w:val="16"/>
        </w:rPr>
        <w:softHyphen/>
        <w:t>ния;</w:t>
      </w:r>
    </w:p>
    <w:p w14:paraId="47A0E1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е) смотровых приборов по типу М4А2 в командирской башенке;</w:t>
      </w:r>
    </w:p>
    <w:p w14:paraId="01FC04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ж) гусениц с цевочным зацеплением;</w:t>
      </w:r>
    </w:p>
    <w:p w14:paraId="3C34A8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з) амортизаторов ходовой части (на всех катках).</w:t>
      </w:r>
    </w:p>
    <w:p w14:paraId="4B3652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По мере отработки, эти механизмы вво</w:t>
      </w:r>
      <w:r w:rsidRPr="00F90EAE">
        <w:rPr>
          <w:iCs/>
          <w:color w:val="000000" w:themeColor="text1"/>
          <w:sz w:val="16"/>
          <w:szCs w:val="16"/>
        </w:rPr>
        <w:softHyphen/>
        <w:t>дить в серийное производство».</w:t>
      </w:r>
    </w:p>
    <w:p w14:paraId="7E022F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1945 г. начальник ТУ ГЕТУ КА инженер-полковникА.И. Благонравов подпи</w:t>
      </w:r>
      <w:r w:rsidRPr="00F90EAE">
        <w:rPr>
          <w:color w:val="000000" w:themeColor="text1"/>
          <w:sz w:val="16"/>
          <w:szCs w:val="16"/>
        </w:rPr>
        <w:softHyphen/>
        <w:t>сал заключение по отчету об испытаниях опытного образца модернизированного тан</w:t>
      </w:r>
      <w:r w:rsidRPr="00F90EAE">
        <w:rPr>
          <w:color w:val="000000" w:themeColor="text1"/>
          <w:sz w:val="16"/>
          <w:szCs w:val="16"/>
        </w:rPr>
        <w:softHyphen/>
        <w:t>ка Т-44(Т-54).</w:t>
      </w:r>
    </w:p>
    <w:p w14:paraId="34D4A0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F90EAE">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F90EAE">
        <w:rPr>
          <w:iCs/>
          <w:color w:val="000000" w:themeColor="text1"/>
          <w:sz w:val="16"/>
          <w:szCs w:val="16"/>
        </w:rPr>
        <w:softHyphen/>
        <w:t>ный образец, наиболее полно отвечающий упомянутым требованиям.</w:t>
      </w:r>
    </w:p>
    <w:p w14:paraId="5C187C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Отчет комиссии по испытаниям опытно</w:t>
      </w:r>
      <w:r w:rsidRPr="00F90EAE">
        <w:rPr>
          <w:iCs/>
          <w:color w:val="000000" w:themeColor="text1"/>
          <w:sz w:val="16"/>
          <w:szCs w:val="16"/>
        </w:rPr>
        <w:softHyphen/>
        <w:t>го образца модернизированного танка Т-44-100 с замечаниями и предложениями, изло</w:t>
      </w:r>
      <w:r w:rsidRPr="00F90EAE">
        <w:rPr>
          <w:iCs/>
          <w:color w:val="000000" w:themeColor="text1"/>
          <w:sz w:val="16"/>
          <w:szCs w:val="16"/>
        </w:rPr>
        <w:softHyphen/>
        <w:t>женными выше, считаю возможным доло</w:t>
      </w:r>
      <w:r w:rsidRPr="00F90EAE">
        <w:rPr>
          <w:iCs/>
          <w:color w:val="000000" w:themeColor="text1"/>
          <w:sz w:val="16"/>
          <w:szCs w:val="16"/>
        </w:rPr>
        <w:softHyphen/>
        <w:t>жить для утверждения. Благонравов».</w:t>
      </w:r>
    </w:p>
    <w:p w14:paraId="3262AD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проведенных испытаний нарком танковой промышленно</w:t>
      </w:r>
      <w:r w:rsidRPr="00F90EAE">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F90EAE">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F90EAE">
        <w:rPr>
          <w:color w:val="000000" w:themeColor="text1"/>
          <w:sz w:val="16"/>
          <w:szCs w:val="16"/>
        </w:rPr>
        <w:softHyphen/>
        <w:t>миссией, на другом — планетарные механиз</w:t>
      </w:r>
      <w:r w:rsidRPr="00F90EAE">
        <w:rPr>
          <w:color w:val="000000" w:themeColor="text1"/>
          <w:sz w:val="16"/>
          <w:szCs w:val="16"/>
        </w:rPr>
        <w:softHyphen/>
        <w:t>мы поворота (ПМП).</w:t>
      </w:r>
    </w:p>
    <w:p w14:paraId="0EAB33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w:t>
      </w:r>
      <w:r w:rsidRPr="00F90EAE">
        <w:rPr>
          <w:color w:val="000000" w:themeColor="text1"/>
          <w:sz w:val="16"/>
          <w:szCs w:val="16"/>
        </w:rPr>
        <w:softHyphen/>
        <w:t>бовалось внести 68 изменений. Однако от</w:t>
      </w:r>
      <w:r w:rsidRPr="00F90EAE">
        <w:rPr>
          <w:color w:val="000000" w:themeColor="text1"/>
          <w:sz w:val="16"/>
          <w:szCs w:val="16"/>
        </w:rPr>
        <w:softHyphen/>
        <w:t>работка чертежей и опытного образца по данным предложениям на заводе № 183 дли</w:t>
      </w:r>
      <w:r w:rsidRPr="00F90EAE">
        <w:rPr>
          <w:color w:val="000000" w:themeColor="text1"/>
          <w:sz w:val="16"/>
          <w:szCs w:val="16"/>
        </w:rPr>
        <w:softHyphen/>
        <w:t>тельное время не производилась (11468).</w:t>
      </w:r>
    </w:p>
    <w:p w14:paraId="58D563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5E2398"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11 марта 1945 начались испытания Т-54 на НИИБТ. Первым делом на полигоне провели изучение машины, а также подготовку её к ходовым и огневым испытаниям. Пробег предполагался стандартный — 1000 км, из них по шоссе — 400, по просёлку — 530, и по бездорожью — 70 км. Как это часто бывает, реальность оказалась несколько иной. В пробег машина отправилась 13 марта, а закончились ходовые испытания 9 апреля. Полностью же испытания на НИБТ Полигоне завершились 14 апреля, то есть почти на месяц позже срока, назначенного в приказе.</w:t>
      </w:r>
    </w:p>
    <w:p w14:paraId="6F882AB9"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За время испытаний танк прошёл 1553 км, из них 450 — по заснеженной грунтовой дороге, 475 — по грязной разбитой грунтовой дороге при распутице, 416 — по асфальтовому шоссе, 141 — по целине, и 71 — в ходе испытаний стрельбой. Шоссе было покрыто слоем укатанного снега толщиной 5-8 см, последние 100 км проходили уже по чистому асфальту. При этом замеры максимальной скорости произвели ещё в момент, когда асфальт был покрыт снегом. Результаты оказались далеки от расчётных: максимальная скорость составила 43,5 км/ч, то есть на 10 км/ч меньше предполагавшейся. В ходе езды по асфальту, в различных дорожных условиях, скорость варьировалась от 23,1 до 41,2 км/ч. Последний показатель был получен уже при езде по чистому асфальту. Отчасти средняя скорость, составившая 34 км/ч, оказалась заниженной, поскольку танк часто останавливали для замера температуры бандажей опорных катков. Вместе с тем дальнейшие испытания показали, что расчётная скорость машины явно преувеличена. Даже 50 км/ч являлись недостижимыми для нового танка, причём это касалось и образцов, которые строили позднее. Такой была плата за рост броневой защиты и вооружения. Расход топлива при этом составил 153 л на 100 км, что позволяло пройти 320 км на одной заправке.Несмотря на бо́льшую, чем у Т-34-85, массу, показатели при езде Т-54 в зимних условиях оказались близкими.</w:t>
      </w:r>
    </w:p>
    <w:p w14:paraId="55DBF75D"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Как и в случае с опытными образцами Т-44, условия езды по просёлку оказались близкими к экстремальным. Просёлок был либо засыпан глубоким (40-60 см) снегом, либо полон грязи. Неудивительно, что в таких условиях средняя скорость составила 15,2 км/ч. В тех же условиях средняя скорость Т-34-85 составила 17,7 км/ч. По той же причине завышенным оказался расход топлива. В условиях заснеженного просёлка расход составил 305 л на 100 км, а по раскисшей весенней грунтовке — 268 л на 100 км. При езде в таких условиях при закрытых люках было необходимо периодически очищать смотровой прибор механика-водителя от снега. Больших проблем это не вызвало — требовалось лишь приоткрыть крышку люка и очистить прибор рукой. Сделать это можно было прямо во время движения.</w:t>
      </w:r>
    </w:p>
    <w:p w14:paraId="72AD83DF"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ходе специспытаний выяснилось, что в зимних условиях максимально преодолеваемый подъём не превышает 13-15 градусов — причиной тому стало недостаточное сцепление с грунтом. Уже упомянутый Т-34-85, имевший такие же гусеничные ленты, в тех же условиях показал ничуть не лучшие результаты. После установки шпор машина смогла преодолеть подъём крутизной 25 градусов. При езде по косогорам максимально допустимый крен составил 15-16 градусов. С учётом сложных условий, это вполне нормальные результаты. На испытаниях валкой деревьев удалось повалить сосну диаметром 530 мм. При езде отмечались сравнительно небольшие усилия на рычагах: 14-15 кг для обычных поворотов и 18-20 кг для поворотов на месте.</w:t>
      </w:r>
    </w:p>
    <w:p w14:paraId="05A90118"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Одним из важнейших результатов ходовых испытаний стало то, что среди дефектов не оказалось традиционного пункта «разрушение бандажей опорного катка и его замена». Ни одного катка менять не пришлось, а какие-то проблемы обнаружились только с 3-м правым катком. Обнаруженные дефекты не помешали полностью пройти всю программу испытаний, даже с повреждениями каток признали пригодным к дальнейшей эксплуатации. Естественно, у опытной машины набралось немало дефектов ходовой части (например, погнутые и сломанные балансиры, разбитые ограничители хода балансиров), но удалось победить едва ли не главную головную боль советских средних танков.</w:t>
      </w:r>
    </w:p>
    <w:p w14:paraId="3F9BAB98"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Крайне занятными оказались испытания стрельбой. Как уже говорилось, на танк установили 100-мм орудие Д-10Т, но пострелять из него так и не удалось. 23-24 марта это орудие заменили на другую систему — Д-10ТК. От Д-10Т она отличалась рядом изменений. Убрали пружинный уравновешивающий механизм, изменили </w:t>
      </w:r>
      <w:r w:rsidRPr="00F90EAE">
        <w:rPr>
          <w:color w:val="000000" w:themeColor="text1"/>
          <w:sz w:val="16"/>
          <w:szCs w:val="16"/>
        </w:rPr>
        <w:lastRenderedPageBreak/>
        <w:t>конструкцию трубы и ограждения орудия, появился электроспуск пушки и пулемёта, а также пружинный компенсатор. Именно эта система и испытывалась стрельбой. Как показали испытания, кучность была в пределах нормы, максимальная прицельная скорострельность составила, в зависимости от укладки, 4,5-5,4 выстрела в минуту.</w:t>
      </w:r>
    </w:p>
    <w:p w14:paraId="5212B0B2"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Также испытывались механизмы наведения орудия. Благодаря электрическому мотору поворота башни полный оборот производился за 10 секунд (для сравнения, вручную башня делала полный оборот за 2 минуты 30 секунд). А вот с вертикальной наводкой дела явно не задались. Наведение в диапазоне 26 градусов вручную производилось 50 секунд, причём наводчик вращал рукоятку двумя руками. Электропривод помог, но не сильно — 15 секунд для подъёма на 20 градусов. Неважная работа механизмов вертикальной наводки сказалась на результатах стрельбы с хода — её признали неудовлетворительной. Впрочем, и у механизмов горизонтальной наводки было не всё гладко. Отмечались люфты, а электропривод не обеспечивал точной наводки. Не лучшими результаты оказались и с точки зрения загазованности боевого отделения. НИБТ Полигон предлагал улучшить вентилятор, а также разработать механизм продувки канала ствола.</w:t>
      </w:r>
    </w:p>
    <w:p w14:paraId="32118BA2"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Немало нареканий вызвали рабочие места экипажа. Требование сделать место командира с оглядкой на ИС-6 привело к тому, что обзорность ухудшилась. Также имелись нарекания на недостаточное уплотнение крыши люка командирской башенки. Сиденье не регулировалось по высоте, имелись и другие претензии по удобству работы командира. Введение кнопки управления поворотом башни признали хорошей идеей, но конструкцию требовалось доработать. Неидеальным оказалось и место наводчика. Ввиду проблем с механизмами поворота удачным место назвать не могли, но выявились и другие недостатки — неудобное сиденье, слишком близкое расположение к щиту орудия прицела ТШ-19, не очень удачное размещение электроспуска, который мешал заряжающему. У места заряжающего также хватало недостатков. Например, коробка с патронами располагалась у виска бойца, когда тот использовал смотровой прибор МК-IV. Общим недостатком боевого отделения назвали отсутствие «вращающегося пола» (полика). Рабочее место механика-водителя было не хуже, чем на Т-44, вместе с тем набралось претензий и по нему. Требовалось сделать сиденье более прочным, изменить расположение рычагов и педалей по типу серийного Т-44, а также снабдить механика-водителя съёмным ветровым щитком. В целом же обзорность Т-54 признали худшей, чем обзорность Т-44. Весьма неприятный вывод, ведь до того обзорность каждого нового танка КБ-520 была лучше, чем у предшественника.</w:t>
      </w:r>
    </w:p>
    <w:p w14:paraId="6626A010"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Ещё один неприятный вывод был сделан по поводу конструкции корпуса и, в особенности, башни. Наличие мелких деталей на лбу корпуса, особенно крепление ленивца, признали плохим решением. Также признали непрочным соединения лба корпуса с его бортами (как показали более поздние испытания обстрелом корпуса Т-44, вывод был верным). Неудачной оказалась и конструкция соединения бортов с днищем — теоретически в эту зону машину можно было поразить даже противотанковым ружьём. Масса нареканий набралась по конструкции жалюзи надмоторной плиты. Наконец, конструкцию башни признали неудачной и неравнопрочной по сравнению с корпусом — это касалось и формы башни, и подвижной бронировки. НИБТ Полигон предложил изменить конструкцию башни, взяв за основу башню ИС-3.</w:t>
      </w:r>
    </w:p>
    <w:p w14:paraId="72D77A53"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Общий вердикт оказался двояким. С одной стороны, танк превосходил Т-44 по защите и вооружению, а также выдержал ходовые испытания. С другой стороны, недостатков набралось очень много. Одним словом, машина получилась хорошей, но для принятия её на вооружение требовалась большая работа над ошибками. В любом случае, в заключении комиссия рекомендовала Т-54 на вооружение Красной армии, но не в том виде, в каком он поступил на испытания (19090)</w:t>
      </w:r>
    </w:p>
    <w:p w14:paraId="4F7CAD4D" w14:textId="77777777" w:rsidR="00F8392F" w:rsidRPr="00F90EAE" w:rsidRDefault="00F8392F" w:rsidP="00F90EAE">
      <w:pPr>
        <w:pStyle w:val="ae"/>
        <w:shd w:val="clear" w:color="auto" w:fill="FFFFFF"/>
        <w:spacing w:before="0" w:after="0"/>
        <w:jc w:val="both"/>
        <w:textAlignment w:val="baseline"/>
        <w:rPr>
          <w:color w:val="000000" w:themeColor="text1"/>
          <w:sz w:val="16"/>
          <w:szCs w:val="16"/>
        </w:rPr>
      </w:pPr>
    </w:p>
    <w:p w14:paraId="7D113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11 марта по 14 апреля 1945 г. после заводс</w:t>
      </w:r>
      <w:r w:rsidRPr="00F90EAE">
        <w:rPr>
          <w:color w:val="000000" w:themeColor="text1"/>
          <w:sz w:val="16"/>
          <w:szCs w:val="16"/>
        </w:rPr>
        <w:softHyphen/>
        <w:t>кого пробега и показа командованию БТ и МВ КА и членам прави</w:t>
      </w:r>
      <w:r w:rsidRPr="00F90EAE">
        <w:rPr>
          <w:color w:val="000000" w:themeColor="text1"/>
          <w:sz w:val="16"/>
          <w:szCs w:val="16"/>
        </w:rPr>
        <w:softHyphen/>
        <w:t>тельства Т-54, изготовленный 30 января 1945, г. прошел испы</w:t>
      </w:r>
      <w:r w:rsidRPr="00F90EAE">
        <w:rPr>
          <w:color w:val="000000" w:themeColor="text1"/>
          <w:sz w:val="16"/>
          <w:szCs w:val="16"/>
        </w:rPr>
        <w:softHyphen/>
        <w:t>тания на НИБТ полигоне в Кубинке под руководством комиссии, воз</w:t>
      </w:r>
      <w:r w:rsidRPr="00F90EAE">
        <w:rPr>
          <w:color w:val="000000" w:themeColor="text1"/>
          <w:sz w:val="16"/>
          <w:szCs w:val="16"/>
        </w:rPr>
        <w:softHyphen/>
        <w:t>главляемой заместителем начальника Технического управления ГЕГГУ КАгв. полковником Е.А. Кульчицким.</w:t>
      </w:r>
    </w:p>
    <w:p w14:paraId="17E6D9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испытаний нарком танковой промыш</w:t>
      </w:r>
      <w:r w:rsidRPr="00F90EAE">
        <w:rPr>
          <w:color w:val="000000" w:themeColor="text1"/>
          <w:sz w:val="16"/>
          <w:szCs w:val="16"/>
        </w:rPr>
        <w:softHyphen/>
        <w:t>ленности В.А. Малышев дал указания директору завода №183 гене</w:t>
      </w:r>
      <w:r w:rsidRPr="00F90EAE">
        <w:rPr>
          <w:color w:val="000000" w:themeColor="text1"/>
          <w:sz w:val="16"/>
          <w:szCs w:val="16"/>
        </w:rPr>
        <w:softHyphen/>
        <w:t>рал-майору ИТС Ю.Е. Максареву об изготовлении двух опытных об</w:t>
      </w:r>
      <w:r w:rsidRPr="00F90EAE">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0E3DEA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требовалось внести 68 изме</w:t>
      </w:r>
      <w:r w:rsidRPr="00F90EAE">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F90EAE">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F90EAE">
        <w:rPr>
          <w:color w:val="000000" w:themeColor="text1"/>
          <w:sz w:val="16"/>
          <w:szCs w:val="16"/>
        </w:rPr>
        <w:softHyphen/>
        <w:t>чием стальных бортовых экранов, а на одном из них на крыше баш</w:t>
      </w:r>
      <w:r w:rsidRPr="00F90EAE">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F90EAE">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85391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F90EAE">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38FFC9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испытаний выявилось большое количество дефек</w:t>
      </w:r>
      <w:r w:rsidRPr="00F90EAE">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F90EAE">
        <w:rPr>
          <w:color w:val="000000" w:themeColor="text1"/>
          <w:sz w:val="16"/>
          <w:szCs w:val="16"/>
        </w:rPr>
        <w:softHyphen/>
        <w:t>ботали без дефектов. Синхронизаторы коробки передач ожидае</w:t>
      </w:r>
      <w:r w:rsidRPr="00F90EAE">
        <w:rPr>
          <w:color w:val="000000" w:themeColor="text1"/>
          <w:sz w:val="16"/>
          <w:szCs w:val="16"/>
        </w:rPr>
        <w:softHyphen/>
        <w:t>мого эффекта не дали, так как время переключения передач со</w:t>
      </w:r>
      <w:r w:rsidRPr="00F90EAE">
        <w:rPr>
          <w:color w:val="000000" w:themeColor="text1"/>
          <w:sz w:val="16"/>
          <w:szCs w:val="16"/>
        </w:rPr>
        <w:softHyphen/>
        <w:t>ставляло 5 с. По результатам ходовых испытаний в конструкцию танка внесли еще 98 изменений (11770).</w:t>
      </w:r>
    </w:p>
    <w:p w14:paraId="47D12E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EDF7366" w14:textId="77777777" w:rsidR="00F270A5" w:rsidRPr="00F90EAE" w:rsidRDefault="00F270A5" w:rsidP="00F90EAE">
      <w:pPr>
        <w:shd w:val="clear" w:color="auto" w:fill="FFFFFF"/>
        <w:jc w:val="both"/>
        <w:rPr>
          <w:color w:val="000000" w:themeColor="text1"/>
          <w:sz w:val="16"/>
          <w:szCs w:val="16"/>
        </w:rPr>
      </w:pPr>
      <w:r w:rsidRPr="00F90EAE">
        <w:rPr>
          <w:color w:val="000000" w:themeColor="text1"/>
          <w:sz w:val="16"/>
          <w:szCs w:val="16"/>
        </w:rPr>
        <w:t>11 марта 1945 года в сторону Мурманска отправился конвой JW 65, состоявший из 26 транспортов. Из этого числа 20 марта один транспорт, SS Horace Bushnell, был серьезно поврежден подводной лодкой U-995, а второй, Thomas Donaldson, был потоплен подводной лодкой U-968. Произошло это неподалеку от Мурманска. На следующий день конвой прибыл в Мурманск, в числе прибывших грузов оказались и те самые два легких танка M24. 25 марта они были погружены на железнодорожную платформу и отправились в Кубинку (17684).</w:t>
      </w:r>
    </w:p>
    <w:p w14:paraId="1D5AD404" w14:textId="77777777" w:rsidR="00F270A5" w:rsidRPr="00F90EAE" w:rsidRDefault="00F270A5" w:rsidP="00F90EAE">
      <w:pPr>
        <w:jc w:val="both"/>
        <w:rPr>
          <w:color w:val="000000" w:themeColor="text1"/>
          <w:sz w:val="16"/>
          <w:szCs w:val="16"/>
        </w:rPr>
      </w:pPr>
    </w:p>
    <w:p w14:paraId="40846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Распоряжение ГКО № 7779. О подготовке дноуглубительного флота к навигации 1945 года и обеспечении нормальных судоходных глубин в морских каналах и портах. РГАНИР, Фонд ГКО, д. 379, лл. 1-4, 5-12 (11012).</w:t>
      </w:r>
    </w:p>
    <w:p w14:paraId="336E7A9A" w14:textId="77777777" w:rsidR="00665165" w:rsidRPr="00F90EAE" w:rsidRDefault="00665165" w:rsidP="00F90EAE">
      <w:pPr>
        <w:autoSpaceDE w:val="0"/>
        <w:autoSpaceDN w:val="0"/>
        <w:adjustRightInd w:val="0"/>
        <w:jc w:val="both"/>
        <w:rPr>
          <w:color w:val="000000" w:themeColor="text1"/>
          <w:sz w:val="16"/>
          <w:szCs w:val="16"/>
        </w:rPr>
      </w:pPr>
    </w:p>
    <w:p w14:paraId="306239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7780 О плане военного судостроения на 1945 год и I квартал 1945 года. РГАНИР, Фонд ГКО, д. 379, лл. 13-29, 30-85 (11012).</w:t>
      </w:r>
    </w:p>
    <w:p w14:paraId="4352BDE9" w14:textId="77777777" w:rsidR="00665165" w:rsidRPr="00F90EAE" w:rsidRDefault="00665165" w:rsidP="00F90EAE">
      <w:pPr>
        <w:autoSpaceDE w:val="0"/>
        <w:autoSpaceDN w:val="0"/>
        <w:adjustRightInd w:val="0"/>
        <w:jc w:val="both"/>
        <w:rPr>
          <w:color w:val="000000" w:themeColor="text1"/>
          <w:sz w:val="16"/>
          <w:szCs w:val="16"/>
        </w:rPr>
      </w:pPr>
    </w:p>
    <w:p w14:paraId="584C5954" w14:textId="77777777" w:rsidR="00D26E96" w:rsidRPr="00F90EAE" w:rsidRDefault="00D26E96" w:rsidP="00F90EAE">
      <w:pPr>
        <w:jc w:val="both"/>
        <w:rPr>
          <w:color w:val="000000" w:themeColor="text1"/>
          <w:sz w:val="16"/>
          <w:szCs w:val="16"/>
        </w:rPr>
      </w:pPr>
      <w:r w:rsidRPr="00F90EAE">
        <w:rPr>
          <w:color w:val="000000" w:themeColor="text1"/>
          <w:sz w:val="16"/>
          <w:szCs w:val="16"/>
        </w:rPr>
        <w:t>11 марта 1945 г. постановление ГКО № 7780сс «О плане военного судостроения в 1945 и 1 квартале 1945 г.» предусматривало восстановление на заводе им. Козицкого производства радиотрансляционных судовых установок. А постановление ГКО № 9692сс от 29 июля 1945 г. «О плане судостроения, производства минно-торпедного вооружения, трально-сетевого вооружения и морских приборов на 3 квартал 1945 г.» требовало от завода им. Козицкого в первую очередь восстановить производство морских радиопередатчиков «Ураган-М», «Шквал-М», «Шторм-М», «Скат» и «Бриз-М» (18297).</w:t>
      </w:r>
    </w:p>
    <w:p w14:paraId="040BC283" w14:textId="77777777" w:rsidR="00D26E96" w:rsidRPr="00F90EAE" w:rsidRDefault="00D26E96" w:rsidP="00F90EAE">
      <w:pPr>
        <w:jc w:val="both"/>
        <w:rPr>
          <w:color w:val="000000" w:themeColor="text1"/>
          <w:sz w:val="16"/>
          <w:szCs w:val="16"/>
        </w:rPr>
      </w:pPr>
    </w:p>
    <w:p w14:paraId="5231CA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7781 Об изготовлении опытной партии неконтактных оптических взрывателей для торпед РГАНИР, Фонд ГКО, д. РГАНИР, Фонд ГКО, д. 379, лл. 86-87, 88-89 (11012).</w:t>
      </w:r>
    </w:p>
    <w:p w14:paraId="5B37F87A" w14:textId="77777777" w:rsidR="00665165" w:rsidRPr="00F90EAE" w:rsidRDefault="00665165" w:rsidP="00F90EAE">
      <w:pPr>
        <w:autoSpaceDE w:val="0"/>
        <w:autoSpaceDN w:val="0"/>
        <w:adjustRightInd w:val="0"/>
        <w:jc w:val="both"/>
        <w:rPr>
          <w:color w:val="000000" w:themeColor="text1"/>
          <w:sz w:val="16"/>
          <w:szCs w:val="16"/>
        </w:rPr>
      </w:pPr>
    </w:p>
    <w:p w14:paraId="0D4446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7782 О поставках импортных моторов и дизельгенераторов для Наркомвоенморфлота. РГАНИР, Фонд ГКО, д. 379, лл. 90-91 (11012).</w:t>
      </w:r>
    </w:p>
    <w:p w14:paraId="0F5812F9" w14:textId="77777777" w:rsidR="00665165" w:rsidRPr="00F90EAE" w:rsidRDefault="00665165" w:rsidP="00F90EAE">
      <w:pPr>
        <w:autoSpaceDE w:val="0"/>
        <w:autoSpaceDN w:val="0"/>
        <w:adjustRightInd w:val="0"/>
        <w:jc w:val="both"/>
        <w:rPr>
          <w:color w:val="000000" w:themeColor="text1"/>
          <w:sz w:val="16"/>
          <w:szCs w:val="16"/>
        </w:rPr>
      </w:pPr>
    </w:p>
    <w:p w14:paraId="40DC8F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7783 О восстановлении и строительстве главной военно-морской базы Черноморского флота в Севастополе. РГАНИР, Фонд ГКО, д. 379, лл. 92-94 (11012).</w:t>
      </w:r>
    </w:p>
    <w:p w14:paraId="6885B843" w14:textId="77777777" w:rsidR="00665165" w:rsidRPr="00F90EAE" w:rsidRDefault="00665165" w:rsidP="00F90EAE">
      <w:pPr>
        <w:autoSpaceDE w:val="0"/>
        <w:autoSpaceDN w:val="0"/>
        <w:adjustRightInd w:val="0"/>
        <w:jc w:val="both"/>
        <w:rPr>
          <w:color w:val="000000" w:themeColor="text1"/>
          <w:sz w:val="16"/>
          <w:szCs w:val="16"/>
        </w:rPr>
      </w:pPr>
    </w:p>
    <w:p w14:paraId="6CFAC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7784 О ходе восстановления судостроительных заводов № 444 и 445 Наркомсудпрома в г. Николаеве. РГАНИР, Фонд ГКО, д. 379, лл. 95-96 (11012).</w:t>
      </w:r>
    </w:p>
    <w:p w14:paraId="6BCF8E56" w14:textId="77777777" w:rsidR="00665165" w:rsidRPr="00F90EAE" w:rsidRDefault="00665165" w:rsidP="00F90EAE">
      <w:pPr>
        <w:autoSpaceDE w:val="0"/>
        <w:autoSpaceDN w:val="0"/>
        <w:adjustRightInd w:val="0"/>
        <w:jc w:val="both"/>
        <w:rPr>
          <w:color w:val="000000" w:themeColor="text1"/>
          <w:sz w:val="16"/>
          <w:szCs w:val="16"/>
        </w:rPr>
      </w:pPr>
    </w:p>
    <w:p w14:paraId="149460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7785 О строительстве в 1945 году на Дальнем Востоке взлетно-посадочных полос из металлических звеньев на аэродромах ВВС Военно-Морского Флота. РГАНИР, Фонд ГКО, д. 379, лл. 97-102, 103-104 (11012).</w:t>
      </w:r>
    </w:p>
    <w:p w14:paraId="1B3847E0" w14:textId="77777777" w:rsidR="00665165" w:rsidRPr="00F90EAE" w:rsidRDefault="00665165" w:rsidP="00F90EAE">
      <w:pPr>
        <w:autoSpaceDE w:val="0"/>
        <w:autoSpaceDN w:val="0"/>
        <w:adjustRightInd w:val="0"/>
        <w:jc w:val="both"/>
        <w:rPr>
          <w:color w:val="000000" w:themeColor="text1"/>
          <w:sz w:val="16"/>
          <w:szCs w:val="16"/>
        </w:rPr>
      </w:pPr>
    </w:p>
    <w:p w14:paraId="592A2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7786 Об организации производства судовых дизелей М-50 для боевых катеров ВМФ на заводе № 800 Наркомтанкопрома (быв. завод №174 в гор. Ленинграде). РГАНИР, Фонд ГКО, д. 379, лл. 105-110, 111-112 (11012).</w:t>
      </w:r>
    </w:p>
    <w:p w14:paraId="406F302F" w14:textId="77777777" w:rsidR="00665165" w:rsidRPr="00F90EAE" w:rsidRDefault="00665165" w:rsidP="00F90EAE">
      <w:pPr>
        <w:autoSpaceDE w:val="0"/>
        <w:autoSpaceDN w:val="0"/>
        <w:adjustRightInd w:val="0"/>
        <w:jc w:val="both"/>
        <w:rPr>
          <w:color w:val="000000" w:themeColor="text1"/>
          <w:sz w:val="16"/>
          <w:szCs w:val="16"/>
        </w:rPr>
      </w:pPr>
    </w:p>
    <w:p w14:paraId="04984841" w14:textId="77777777" w:rsidR="004945E9" w:rsidRPr="00F90EAE" w:rsidRDefault="004945E9" w:rsidP="00F90EAE">
      <w:pPr>
        <w:pStyle w:val="ae"/>
        <w:spacing w:before="0" w:after="0"/>
        <w:jc w:val="both"/>
        <w:rPr>
          <w:color w:val="000000" w:themeColor="text1"/>
          <w:sz w:val="16"/>
          <w:szCs w:val="16"/>
        </w:rPr>
      </w:pPr>
      <w:r w:rsidRPr="00F90EAE">
        <w:rPr>
          <w:iCs/>
          <w:color w:val="000000" w:themeColor="text1"/>
          <w:sz w:val="16"/>
          <w:szCs w:val="16"/>
        </w:rPr>
        <w:t>11 марта 1945</w:t>
      </w:r>
      <w:r w:rsidRPr="00F90EAE">
        <w:rPr>
          <w:color w:val="000000" w:themeColor="text1"/>
          <w:sz w:val="16"/>
          <w:szCs w:val="16"/>
        </w:rPr>
        <w:t> </w:t>
      </w:r>
      <w:r w:rsidRPr="00F90EAE">
        <w:rPr>
          <w:iCs/>
          <w:color w:val="000000" w:themeColor="text1"/>
          <w:sz w:val="16"/>
          <w:szCs w:val="16"/>
        </w:rPr>
        <w:t>г. Государственный Комитет Обороны по докладной записке Л.П.</w:t>
      </w:r>
      <w:r w:rsidRPr="00F90EAE">
        <w:rPr>
          <w:color w:val="000000" w:themeColor="text1"/>
          <w:sz w:val="16"/>
          <w:szCs w:val="16"/>
        </w:rPr>
        <w:t> </w:t>
      </w:r>
      <w:r w:rsidRPr="00F90EAE">
        <w:rPr>
          <w:iCs/>
          <w:color w:val="000000" w:themeColor="text1"/>
          <w:sz w:val="16"/>
          <w:szCs w:val="16"/>
        </w:rPr>
        <w:t>Берии от 9 марта принял решение о производстве на заводе № 174 судовых дизелей М50 мощностью 1000</w:t>
      </w:r>
      <w:r w:rsidRPr="00F90EAE">
        <w:rPr>
          <w:color w:val="000000" w:themeColor="text1"/>
          <w:sz w:val="16"/>
          <w:szCs w:val="16"/>
        </w:rPr>
        <w:t> </w:t>
      </w:r>
      <w:r w:rsidRPr="00F90EAE">
        <w:rPr>
          <w:iCs/>
          <w:color w:val="000000" w:themeColor="text1"/>
          <w:sz w:val="16"/>
          <w:szCs w:val="16"/>
        </w:rPr>
        <w:t>л.</w:t>
      </w:r>
      <w:r w:rsidRPr="00F90EAE">
        <w:rPr>
          <w:iCs/>
          <w:color w:val="000000" w:themeColor="text1"/>
          <w:sz w:val="16"/>
          <w:szCs w:val="16"/>
        </w:rPr>
        <w:t> </w:t>
      </w:r>
      <w:r w:rsidRPr="00F90EAE">
        <w:rPr>
          <w:iCs/>
          <w:color w:val="000000" w:themeColor="text1"/>
          <w:sz w:val="16"/>
          <w:szCs w:val="16"/>
        </w:rPr>
        <w:t>с. для боевых катеров Военно-морского флота. Тогда же заводу присвоили новый номер 800. Директором был назначен С.А.</w:t>
      </w:r>
      <w:r w:rsidRPr="00F90EAE">
        <w:rPr>
          <w:color w:val="000000" w:themeColor="text1"/>
          <w:sz w:val="16"/>
          <w:szCs w:val="16"/>
        </w:rPr>
        <w:t> </w:t>
      </w:r>
      <w:r w:rsidRPr="00F90EAE">
        <w:rPr>
          <w:iCs/>
          <w:color w:val="000000" w:themeColor="text1"/>
          <w:sz w:val="16"/>
          <w:szCs w:val="16"/>
        </w:rPr>
        <w:t>Скачков, в 1946</w:t>
      </w:r>
      <w:r w:rsidRPr="00F90EAE">
        <w:rPr>
          <w:color w:val="000000" w:themeColor="text1"/>
          <w:sz w:val="16"/>
          <w:szCs w:val="16"/>
        </w:rPr>
        <w:t> </w:t>
      </w:r>
      <w:r w:rsidRPr="00F90EAE">
        <w:rPr>
          <w:iCs/>
          <w:color w:val="000000" w:themeColor="text1"/>
          <w:sz w:val="16"/>
          <w:szCs w:val="16"/>
        </w:rPr>
        <w:t>г. его сменил Т.В.</w:t>
      </w:r>
      <w:r w:rsidRPr="00F90EAE">
        <w:rPr>
          <w:color w:val="000000" w:themeColor="text1"/>
          <w:sz w:val="16"/>
          <w:szCs w:val="16"/>
        </w:rPr>
        <w:t> </w:t>
      </w:r>
      <w:r w:rsidRPr="00F90EAE">
        <w:rPr>
          <w:iCs/>
          <w:color w:val="000000" w:themeColor="text1"/>
          <w:sz w:val="16"/>
          <w:szCs w:val="16"/>
        </w:rPr>
        <w:t>Филатов (12635.</w:t>
      </w:r>
    </w:p>
    <w:p w14:paraId="61189C89" w14:textId="77777777" w:rsidR="004945E9" w:rsidRPr="00F90EAE" w:rsidRDefault="004945E9" w:rsidP="00F90EAE">
      <w:pPr>
        <w:jc w:val="both"/>
        <w:rPr>
          <w:color w:val="000000" w:themeColor="text1"/>
          <w:sz w:val="16"/>
          <w:szCs w:val="16"/>
        </w:rPr>
      </w:pPr>
    </w:p>
    <w:p w14:paraId="083A1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11 марта 1945 г. в соответствии с пост. ГКО № 7786 на заводе № 800 (Завод № 800 НКТП, МТМ, МТиТМ, п/я 853, Ленинградский машиностроительный завод «Звезда» им. К.Е. Ворошилова, ОАО «Звезда» /192012(193012)  г. Ленинград,  г. Санкт-Петербург ул. Бабушкина, 123 тел. 262-81-42/) была начата организация производства судового дизеля М-50 для торпедных катеров, для чего из ЦИАМ на завод передана техдокументация. 26.04.1945 г. вышло постановление ГКО № 8282 об укомплектовании завода оборудованием для производства дизеля М-50.</w:t>
      </w:r>
    </w:p>
    <w:p w14:paraId="36FAC1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Позднее строились дизели для судов ВМФ: ТД-200, «Шмель», «Бурундук», тральщиков типа «Сокол», сторожевых катеров «Москит», «Гриф». В начале 1960-х  г. освоено производство принципиально новых сверхлегких звездообразных дизелей ЧН16/17 (что послужило поводом для присвоения предприятию открытого названия «Звезда»). Выпускались дизели для почти всех отечественных СПК («Ракета», «Метеор», «Полесье», «Комета», «Восход»).</w:t>
      </w:r>
    </w:p>
    <w:p w14:paraId="4CED9A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(2005 г.): главные судовые дизели и реверс-редукторные агрегаты. В 2005 г.- создание реверс- ре дукторной передачи для корвета пр. 20382 «Тигр».</w:t>
      </w:r>
    </w:p>
    <w:p w14:paraId="52483E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Входило в ФПГ «Скоростной флот» (2007 г.).</w:t>
      </w:r>
    </w:p>
    <w:p w14:paraId="389098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отдела международных продаж (2006 г.)- А.А. Гуменный.</w:t>
      </w:r>
    </w:p>
    <w:p w14:paraId="1E4A3299"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w:t>
      </w:r>
      <w:r w:rsidRPr="00F90EAE">
        <w:rPr>
          <w:iCs/>
          <w:color w:val="000000" w:themeColor="text1"/>
          <w:sz w:val="16"/>
          <w:szCs w:val="16"/>
        </w:rPr>
        <w:t xml:space="preserve"> судовые дизели:</w:t>
      </w:r>
      <w:r w:rsidRPr="00F90EAE">
        <w:rPr>
          <w:color w:val="000000" w:themeColor="text1"/>
          <w:sz w:val="16"/>
          <w:szCs w:val="16"/>
        </w:rPr>
        <w:t xml:space="preserve"> М-50 (1945-), М503Б и М504А для пр. 205 (1950-е), М470М (1990-е), М507А, М521ТМ5, М532А, М533, М534 (2005), ЧН16/17 (1960-е), 12ЧН18/20 для СПК (2005); реверс-редукторные передачи.</w:t>
      </w:r>
    </w:p>
    <w:p w14:paraId="1F83E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ОКБ-800</w:t>
      </w:r>
    </w:p>
    <w:p w14:paraId="225EBE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599-302 от 23.02.1953 г. на территории завода № 800 (завод «Звезда» им. К.Е. Ворошилова) было создано ОКБ-800, гл. конструктором которого назначен В.М. Яковлев (до этого- гл. конструктор ОКБ-500).</w:t>
      </w:r>
    </w:p>
    <w:p w14:paraId="27C27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(1953 г.-)- В.М. Яковлев {9.06.1903-05.1983 г.}.</w:t>
      </w:r>
    </w:p>
    <w:p w14:paraId="6AECE8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(1954-56 г.)- А.С. Мевиус.</w:t>
      </w:r>
    </w:p>
    <w:p w14:paraId="1DA25546"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дизельные двигатели М-500, М-503, М-504, М-507.</w:t>
      </w:r>
    </w:p>
    <w:p w14:paraId="77AE0F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«Звезда»</w:t>
      </w:r>
    </w:p>
    <w:p w14:paraId="6B8A4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1970 г. на базе завода «Звезда» как головного предприятия создано ПО «Звезда».</w:t>
      </w:r>
      <w:r w:rsidRPr="00F90EAE">
        <w:rPr>
          <w:color w:val="000000" w:themeColor="text1"/>
          <w:sz w:val="16"/>
          <w:szCs w:val="16"/>
          <w:vertAlign w:val="superscript"/>
        </w:rPr>
        <w:t>131</w:t>
      </w:r>
      <w:r w:rsidRPr="00F90EAE">
        <w:rPr>
          <w:color w:val="000000" w:themeColor="text1"/>
          <w:sz w:val="16"/>
          <w:szCs w:val="16"/>
        </w:rPr>
        <w:t xml:space="preserve"> В состав ПО в 1977-86 г. входил завод «Русский дизель» (11982).</w:t>
      </w:r>
    </w:p>
    <w:p w14:paraId="32EA001E" w14:textId="77777777" w:rsidR="00665165" w:rsidRPr="00F90EAE" w:rsidRDefault="00665165" w:rsidP="00F90EAE">
      <w:pPr>
        <w:autoSpaceDE w:val="0"/>
        <w:autoSpaceDN w:val="0"/>
        <w:adjustRightInd w:val="0"/>
        <w:jc w:val="both"/>
        <w:rPr>
          <w:color w:val="000000" w:themeColor="text1"/>
          <w:sz w:val="16"/>
          <w:szCs w:val="16"/>
        </w:rPr>
      </w:pPr>
    </w:p>
    <w:p w14:paraId="56134D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7787 О принятии на вооружение и производстве электроакустических взрывателей "Краб" для морских якорных мин. РГАНИР, Фонд ГКО, д. 379, лл. 113-115, 116-121 (11012).</w:t>
      </w:r>
    </w:p>
    <w:p w14:paraId="3D96AF79" w14:textId="77777777" w:rsidR="00665165" w:rsidRPr="00F90EAE" w:rsidRDefault="00665165" w:rsidP="00F90EAE">
      <w:pPr>
        <w:autoSpaceDE w:val="0"/>
        <w:autoSpaceDN w:val="0"/>
        <w:adjustRightInd w:val="0"/>
        <w:jc w:val="both"/>
        <w:rPr>
          <w:color w:val="000000" w:themeColor="text1"/>
          <w:sz w:val="16"/>
          <w:szCs w:val="16"/>
        </w:rPr>
      </w:pPr>
    </w:p>
    <w:p w14:paraId="58D68A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7788 Об организации производства железнодорожных цистерн на Мариупольском заводе им. Ильича Наркомтанкопрома. РГАНИР, Фонд ГКО, д. 379, лл. 122-129, 130-145 (11012).</w:t>
      </w:r>
    </w:p>
    <w:p w14:paraId="398A4148" w14:textId="77777777" w:rsidR="00665165" w:rsidRPr="00F90EAE" w:rsidRDefault="00665165" w:rsidP="00F90EAE">
      <w:pPr>
        <w:autoSpaceDE w:val="0"/>
        <w:autoSpaceDN w:val="0"/>
        <w:adjustRightInd w:val="0"/>
        <w:jc w:val="both"/>
        <w:rPr>
          <w:color w:val="000000" w:themeColor="text1"/>
          <w:sz w:val="16"/>
          <w:szCs w:val="16"/>
        </w:rPr>
      </w:pPr>
    </w:p>
    <w:p w14:paraId="07F7496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марта 1945 вышло Постановление ГКО № 7789 О мероприятиях по восстановлению Днепро-Бугского канала. (7314, 146-150,151-156).</w:t>
      </w:r>
    </w:p>
    <w:p w14:paraId="34C739D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022B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г. и 29 октября 1944 г. ГКО возложил на ленинград</w:t>
      </w:r>
      <w:r w:rsidRPr="00F90EAE">
        <w:rPr>
          <w:color w:val="000000" w:themeColor="text1"/>
          <w:sz w:val="16"/>
          <w:szCs w:val="16"/>
        </w:rPr>
        <w:softHyphen/>
        <w:t>ские заводы Наркомсудпрома строительство 60 малых морских тральщиков (3898).</w:t>
      </w:r>
    </w:p>
    <w:p w14:paraId="2058CF4B" w14:textId="77777777" w:rsidR="00665165" w:rsidRPr="00F90EAE" w:rsidRDefault="00665165" w:rsidP="00F90EAE">
      <w:pPr>
        <w:autoSpaceDE w:val="0"/>
        <w:autoSpaceDN w:val="0"/>
        <w:adjustRightInd w:val="0"/>
        <w:jc w:val="both"/>
        <w:rPr>
          <w:color w:val="000000" w:themeColor="text1"/>
          <w:sz w:val="16"/>
          <w:szCs w:val="16"/>
        </w:rPr>
      </w:pPr>
    </w:p>
    <w:p w14:paraId="0A153136" w14:textId="77777777" w:rsidR="00F8392F" w:rsidRPr="00F90EAE" w:rsidRDefault="00F8392F" w:rsidP="00F90EAE">
      <w:pPr>
        <w:jc w:val="both"/>
        <w:rPr>
          <w:color w:val="000000" w:themeColor="text1"/>
          <w:sz w:val="16"/>
          <w:szCs w:val="16"/>
        </w:rPr>
      </w:pPr>
      <w:r w:rsidRPr="00F90EAE">
        <w:rPr>
          <w:color w:val="000000" w:themeColor="text1"/>
          <w:sz w:val="16"/>
          <w:szCs w:val="16"/>
        </w:rPr>
        <w:t>11 марта 1945 г. Государственный Комитет Обороны по докладной записке Л.П. Берии от 9 марта принял решение о производстве на заводе № 174 судовых дизелей М50 мощностью 1000 с. для боевых катеров Военно-морского флота. Тогда же заводу присвоили новый номер 800. Директором был назначен С.А.Скачков, в 1946 г. его сменил Т.В. Филатов (19567).</w:t>
      </w:r>
    </w:p>
    <w:p w14:paraId="6A0DAA99" w14:textId="77777777" w:rsidR="00F8392F" w:rsidRPr="00F90EAE" w:rsidRDefault="00F8392F" w:rsidP="00F90EAE">
      <w:pPr>
        <w:jc w:val="both"/>
        <w:rPr>
          <w:color w:val="000000" w:themeColor="text1"/>
          <w:sz w:val="16"/>
          <w:szCs w:val="16"/>
        </w:rPr>
      </w:pPr>
    </w:p>
    <w:p w14:paraId="2956A27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BA2DAB5" w14:textId="77777777" w:rsidR="00665165" w:rsidRPr="00F90EAE" w:rsidRDefault="00665165" w:rsidP="00F90EAE">
      <w:pPr>
        <w:autoSpaceDE w:val="0"/>
        <w:autoSpaceDN w:val="0"/>
        <w:adjustRightInd w:val="0"/>
        <w:jc w:val="both"/>
        <w:rPr>
          <w:iCs/>
          <w:color w:val="000000" w:themeColor="text1"/>
          <w:sz w:val="16"/>
          <w:szCs w:val="16"/>
        </w:rPr>
      </w:pPr>
    </w:p>
    <w:p w14:paraId="31AD5627" w14:textId="77777777" w:rsidR="00C1740F" w:rsidRPr="00F90EAE" w:rsidRDefault="00C1740F" w:rsidP="00F90EAE">
      <w:pPr>
        <w:jc w:val="both"/>
        <w:rPr>
          <w:color w:val="000000" w:themeColor="text1"/>
          <w:sz w:val="16"/>
          <w:szCs w:val="16"/>
        </w:rPr>
      </w:pPr>
      <w:r w:rsidRPr="00F90EAE">
        <w:rPr>
          <w:bCs/>
          <w:color w:val="000000" w:themeColor="text1"/>
          <w:sz w:val="16"/>
          <w:szCs w:val="16"/>
        </w:rPr>
        <w:t>11 марта</w:t>
      </w:r>
      <w:r w:rsidRPr="00F90EAE">
        <w:rPr>
          <w:color w:val="000000" w:themeColor="text1"/>
          <w:sz w:val="16"/>
          <w:szCs w:val="16"/>
        </w:rPr>
        <w:t xml:space="preserve"> в 1945 году оперативная сводка Совинформбюро:</w:t>
      </w:r>
    </w:p>
    <w:p w14:paraId="61CEEE82" w14:textId="77777777" w:rsidR="00C1740F" w:rsidRPr="00F90EAE" w:rsidRDefault="00C1740F" w:rsidP="00F90EAE">
      <w:pPr>
        <w:jc w:val="both"/>
        <w:rPr>
          <w:color w:val="000000" w:themeColor="text1"/>
          <w:sz w:val="16"/>
          <w:szCs w:val="16"/>
        </w:rPr>
      </w:pPr>
      <w:r w:rsidRPr="00F90EAE">
        <w:rPr>
          <w:color w:val="000000" w:themeColor="text1"/>
          <w:sz w:val="16"/>
          <w:szCs w:val="16"/>
        </w:rPr>
        <w:t>«В течение 11 марта юго-восточнее Данцига наши войска, наступая на север вдоль восточного берега Вислы, заняли более 40 населённых пунктов и среди них: Бреске, Нойтайх, Айхвальде, Тралау, Гросс и Клайн-Лихтенау, Лиссау.</w:t>
      </w:r>
    </w:p>
    <w:p w14:paraId="5AA0D0FC"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на Данцигском направлении, заняли город Леба и более 200 других населённых пунктов, в том числе крупные населённые пункты Келлн, Помичин, Старахутта, Лебно, Вишетцин, Гросс и Клайн Бошполь, Лузин, Зеелау, Гневин, Люблов. В боях за 10 марта войска фронта взяли в плен более 1.000 немецких солдат и офицеров.</w:t>
      </w:r>
    </w:p>
    <w:p w14:paraId="667E32A1" w14:textId="77777777" w:rsidR="00C1740F" w:rsidRPr="00F90EAE" w:rsidRDefault="00C1740F" w:rsidP="00F90EAE">
      <w:pPr>
        <w:jc w:val="both"/>
        <w:rPr>
          <w:color w:val="000000" w:themeColor="text1"/>
          <w:sz w:val="16"/>
          <w:szCs w:val="16"/>
        </w:rPr>
      </w:pPr>
      <w:r w:rsidRPr="00F90EAE">
        <w:rPr>
          <w:color w:val="000000" w:themeColor="text1"/>
          <w:sz w:val="16"/>
          <w:szCs w:val="16"/>
        </w:rPr>
        <w:t>В районе Кольберга наши войска вели бои по уничтожению гарнизона противника, блокированного в восточной части города. В боях за 10 марта в этом районе взято в плен свыше 1.600 немецких солдат и офицеров.</w:t>
      </w:r>
    </w:p>
    <w:p w14:paraId="12693796" w14:textId="77777777" w:rsidR="00C1740F" w:rsidRPr="00F90EAE" w:rsidRDefault="00C1740F"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наши войска вели бои, отбивая атаки крупных сил танков и пехоты противника. За 10 марта в этом районе огнём нашей артиллерии уничтожено 95 немецких танков и, кроме этого, подбито и подорвалось на наших минных полях 57 танков противника.</w:t>
      </w:r>
    </w:p>
    <w:p w14:paraId="69863AF3" w14:textId="77777777" w:rsidR="00C1740F" w:rsidRPr="00F90EAE" w:rsidRDefault="00C1740F"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5D9064BA" w14:textId="77777777" w:rsidR="00C1740F" w:rsidRPr="00F90EAE" w:rsidRDefault="00C1740F" w:rsidP="00F90EAE">
      <w:pPr>
        <w:jc w:val="both"/>
        <w:rPr>
          <w:color w:val="000000" w:themeColor="text1"/>
          <w:sz w:val="16"/>
          <w:szCs w:val="16"/>
        </w:rPr>
      </w:pPr>
      <w:r w:rsidRPr="00F90EAE">
        <w:rPr>
          <w:color w:val="000000" w:themeColor="text1"/>
          <w:sz w:val="16"/>
          <w:szCs w:val="16"/>
        </w:rPr>
        <w:t>За 10 марта на всех фронтах подбито и уничтожено 187 немецких танков и самоходных орудий.</w:t>
      </w:r>
    </w:p>
    <w:p w14:paraId="0775155B" w14:textId="77777777" w:rsidR="00C1740F" w:rsidRPr="00F90EAE" w:rsidRDefault="00C1740F" w:rsidP="00F90EAE">
      <w:pPr>
        <w:jc w:val="both"/>
        <w:rPr>
          <w:color w:val="000000" w:themeColor="text1"/>
          <w:sz w:val="16"/>
          <w:szCs w:val="16"/>
        </w:rPr>
      </w:pPr>
      <w:r w:rsidRPr="00F90EAE">
        <w:rPr>
          <w:color w:val="000000" w:themeColor="text1"/>
          <w:sz w:val="16"/>
          <w:szCs w:val="16"/>
        </w:rPr>
        <w:t>Юго-восточнее Данцига наши войска с боями продвигались на север, вдоль восточного берега реки Вислы. Противник, используя для обороны трудно проходимую местность, изрезанную густой сетью каналов, оказывал упорное сопротивление. Минируя дороги и часто переходя в контратаки, немцы пытались задержать продвижение советских частей. Ожесточённые бои произошли на подступах к Нойтайх — узлу железных дорог и важному опорному пункту обороны немцев. Одна наша стрелковая часть обошла этот населённый пункт с сервера. Другие части нанесли врагу удар с юга и востока. После упорного боя Нойтайх очищен от противника. Уничтожено свыше батальона немецкой пехоты. Захвачено 18 орудий, 41 пулемёт, много винтовок, автоматов и боеприпасов.</w:t>
      </w:r>
    </w:p>
    <w:p w14:paraId="31C0F91C" w14:textId="77777777" w:rsidR="00C1740F" w:rsidRPr="00F90EAE" w:rsidRDefault="00C1740F"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на Данцигском направлении. Наши подвижные соединения и пехота, переправившись через канал Бренкенхоф, устремились на север. Противник сосредоточил в районе города Леба крупные силы и пытался удержать в своих руках этот важный опорный пункт, расположенный на побережье Балтийского моря. Советские части отразили ряд вражеских контратак, а затем нанесли немцам мощный удар и овладели городом Леба. Другие наши части, наступающие в восточном направлении, продвинулись вперёд на 20 километров и ведут бои на подступах к городу Нойштадт. Отступая под ударами наших войск, противник несёт тяжёлые потери. По неполным данным, за день боев истреблено свыше 2.500 немецких солдат и офицеров. Захвачены трофеи, в числе которых 23 танка, 51 паровоз, 12 железнодорожных эшелонов, 1.700 повозок с грузами и 21 склад с военным имуществом.</w:t>
      </w:r>
    </w:p>
    <w:p w14:paraId="532171BA" w14:textId="77777777" w:rsidR="00C1740F" w:rsidRPr="00F90EAE" w:rsidRDefault="00C1740F" w:rsidP="00F90EAE">
      <w:pPr>
        <w:jc w:val="both"/>
        <w:rPr>
          <w:color w:val="000000" w:themeColor="text1"/>
          <w:sz w:val="16"/>
          <w:szCs w:val="16"/>
        </w:rPr>
      </w:pPr>
      <w:r w:rsidRPr="00F90EAE">
        <w:rPr>
          <w:color w:val="000000" w:themeColor="text1"/>
          <w:sz w:val="16"/>
          <w:szCs w:val="16"/>
        </w:rPr>
        <w:t>В боях с немецкими захватчиками советские бойцы проявляют доблесть и геройство. Старшина Дмитриев во главе группы разведчиков прорвался в тыл противника к мосту, который охраняли немецкие сапёры. Наши разведчики внезапно напали на гитлеровцев, часть из них уничтожили, а остальных взяли в плен. Подразделение сапёров под командованием старшего сержанта Резвых сопровождало группу танков. Дорогу советским танкам преградил противотанковый ров. Под сильным огнём противника сапёры засыпали ров и расчистили путь танкам. Продвигаясь вперёд, бойцы подразделения встретили группу гитлеровцев и вступили с ними в бой. Огнём из автоматов сапёры уничтожили 30 немцев.</w:t>
      </w:r>
    </w:p>
    <w:p w14:paraId="4514BC25" w14:textId="77777777" w:rsidR="00C1740F" w:rsidRPr="00F90EAE" w:rsidRDefault="00C1740F" w:rsidP="00F90EAE">
      <w:pPr>
        <w:jc w:val="both"/>
        <w:rPr>
          <w:color w:val="000000" w:themeColor="text1"/>
          <w:sz w:val="16"/>
          <w:szCs w:val="16"/>
        </w:rPr>
      </w:pPr>
      <w:r w:rsidRPr="00F90EAE">
        <w:rPr>
          <w:color w:val="000000" w:themeColor="text1"/>
          <w:sz w:val="16"/>
          <w:szCs w:val="16"/>
        </w:rPr>
        <w:t>В районе города Кольберг наши войска вели бои по ликвидации окружённого гарнизона противника. Стремительно продвигаясь вперёд, части Н-ского соединения вышли на побережье Балтийского моря западнее Кольберга и отрезали вражескому гарнизону пути отхода. Стремительными ударами наши бойцы очистили от противника западную часть города. Другие наши подразделения ночью ворвались на восточную окраину Кольберта. Многочисленный немецкий гарнизон, зажатый в тиски, яростно сопротивляется. Наши штурмовые группы очищают от врага улицу за улицей. Захвачено у немцев много вооружения и склады боеприпасов.</w:t>
      </w:r>
    </w:p>
    <w:p w14:paraId="4782AD89" w14:textId="77777777" w:rsidR="00C1740F" w:rsidRPr="00F90EAE" w:rsidRDefault="00C1740F"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наши войска отбивали атаки крупных сил танков и пехоты противника. Взятые в плен немцы показывают, что они имеют приказ любой ценой выйти к Дунаю. Немецкие танки и бронетранспортёры с автоматчиками, отбрасываемые мощным огнём советской артиллерии, снова и снова на больших скоростях устремляются в атаку, стремясь прорваться через боевые порядки наших войск. Советские пехотинцы, артиллеристы и бронебойщики мужественно отражают вражеские атаки. За день боёв уничтожено свыше 2.000 немецких солдат и офицеров. На подступах к нашим позициям осталось много подбитых и сожжённых танков, самоходных орудий и бронетранспортёров противника.» (15065).</w:t>
      </w:r>
    </w:p>
    <w:p w14:paraId="7B482F4B" w14:textId="77777777" w:rsidR="00C1740F" w:rsidRPr="00F90EAE" w:rsidRDefault="00C1740F" w:rsidP="00F90EAE">
      <w:pPr>
        <w:jc w:val="both"/>
        <w:rPr>
          <w:color w:val="000000" w:themeColor="text1"/>
          <w:sz w:val="16"/>
          <w:szCs w:val="16"/>
        </w:rPr>
      </w:pPr>
    </w:p>
    <w:p w14:paraId="1B4B37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возле Бреслау был организован ложный аэродром, на который до 25 апреля немецкие л сбросили 388 парашютов с грузами для осажденного гарнизона, посадили 65 Ю-52 и 4 планера. всего получили 140 т. Плюс 16 Ю-52 было сбито (438,935).</w:t>
      </w:r>
    </w:p>
    <w:p w14:paraId="2FAB47F2" w14:textId="77777777" w:rsidR="00665165" w:rsidRPr="00F90EAE" w:rsidRDefault="00665165" w:rsidP="00F90EAE">
      <w:pPr>
        <w:autoSpaceDE w:val="0"/>
        <w:autoSpaceDN w:val="0"/>
        <w:adjustRightInd w:val="0"/>
        <w:jc w:val="both"/>
        <w:rPr>
          <w:color w:val="000000" w:themeColor="text1"/>
          <w:sz w:val="16"/>
          <w:szCs w:val="16"/>
        </w:rPr>
      </w:pPr>
    </w:p>
    <w:p w14:paraId="58F3D1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февраля до 5 мая 1945 г. на город, превращенный нацистами в мощную крепость, было направлено 1786 вылетов самолетов Пе-2, сброшено 1569,7 т бомб, преимущественно крупных калибров. Здесь 11 февраля при выполнении 157 боевого вылета в кабине "петлякова" погиб командир корпуса генерал-майор И.С. Полбин, самолет которого был сбит при пикировании прямым попаданием зенитного снаряда и упал на окраине Бреслау; судьбу летчика разделил главный штурман 6-го гв. бак подполковник М.К.Зарукин.</w:t>
      </w:r>
    </w:p>
    <w:p w14:paraId="1CC84D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Погиб командир-новатор, сыгравший особую роль в судьбе самолета Пе-2. Генерал Полбин, которого посмертно вторично удостоили звания Героя Советского Союза, "был храбрым, я бы даже сказал - безумно храбрым человеком, - вспоминал маршал И.С. Конев. - Причем эта храбрость сочеталась у него с высокими командирскими </w:t>
      </w:r>
      <w:r w:rsidRPr="00F90EAE">
        <w:rPr>
          <w:color w:val="000000" w:themeColor="text1"/>
          <w:sz w:val="16"/>
          <w:szCs w:val="16"/>
        </w:rPr>
        <w:lastRenderedPageBreak/>
        <w:t>и организаторскими качествами. Всю войну он продолжал летать на выполнение боевых задач, особенно когда это были задачи крупные, ответственные или особо опасные...".</w:t>
      </w:r>
    </w:p>
    <w:p w14:paraId="4B47A0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Многие ветераны корпуса с исключительной теплотой отзывались об Иване Семеновиче. Герой Советского Союза Н.И. Га- пеенок вспоминал, как в их 81-гв бап, стоящий на аэродроме Бабки, 29 апреля 1943 г. неожиданно прилетел командир корпуса, приказав построить личный состав. "На этом построении, - рассказывал Николай Иванович, - полковник Полбин после приветствия объявил, что с полком он знакомиться будет не в строю, а примет его в бою", после чего поставил командиру части боевую задачу. Командир корпуса внимательно наблюдал за ходом подготовки к вылету, возглавил группу из 18 Пе-2, а после приземления провел тщательный разбор полета, отметив удачные действия и указав на допущенные ошибки, уделив особое внимание экипажам, впервые выполнявшим в тот день боевое задание.</w:t>
      </w:r>
    </w:p>
    <w:p w14:paraId="15EF01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 Полбин настойчиво внедрял среди подчиненных убеждение, что на "пешках" необходимо уничтожать врага именно с пикирования, многие рекомендации и заключения сделал на основе собственного опыта.</w:t>
      </w:r>
    </w:p>
    <w:p w14:paraId="0D1A63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Он считал бомбардировщик В.М. Петлякова не только лучшим самолетом такого класса в Советском Союзе, но и среди зарубежных аналогов. В выводах отчета он указывал: "Самолет Пе-2 очень удачен как пикирующий бомбардировщик, с большим запасом прочности конструкции самолета. При пикировании до приборной скорости 600 км/ч вибраций консолей не наблюдается, в пикировании устойчив. Это качество особенно важно при нанесении удара группой и при поражении малоразмерных целей. Выделяется в лучшую сторону по сравнению с Ту-2, который неустойчиво пикирует и неохотно входит в пикирование..."</w:t>
      </w:r>
    </w:p>
    <w:p w14:paraId="487075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Воспитанный генералом Полбиным личный состав корпуса сильно отличался от экипажей, начавших воевать в корпусе в 1942-1943 гг. Прежде всего они хорошо освоили боевую машину Пе-2, знали ее сильные и слабые стороны. Средняя бомбовая нагрузка самолета возросла с 680 кг до 826 кг в 1944 г. и 880 кг в 1945 г. Поскольку бомбометание с пикирования стало основным способом боевых действий, на всех самолетах авиакорпуса кнопка бомбосбрасывателя была переставлена на штурвал пилота, а на большинстве машин демонтированы внутренние бомбовые замки. Практически все полеты (если быть точным, то 97% на заключительном этапе войны) выполнялись с включенным радиополукомпасом. В Берлинской операции 6-й гв. бак, которым стал командовать полковник Д.Т. Никишин, выполнил 3479 боевых вылетов, сбросил на го- Дежурство на земле ловы врага 3580 т бомб, потеряв всего 18 "пе шек", 13 из которых от огня с земли (12042).</w:t>
      </w:r>
    </w:p>
    <w:p w14:paraId="1D4DA3FC" w14:textId="77777777" w:rsidR="00665165" w:rsidRPr="00F90EAE" w:rsidRDefault="00665165" w:rsidP="00F90EAE">
      <w:pPr>
        <w:autoSpaceDE w:val="0"/>
        <w:autoSpaceDN w:val="0"/>
        <w:adjustRightInd w:val="0"/>
        <w:jc w:val="both"/>
        <w:rPr>
          <w:color w:val="000000" w:themeColor="text1"/>
          <w:sz w:val="16"/>
          <w:szCs w:val="16"/>
        </w:rPr>
      </w:pPr>
    </w:p>
    <w:p w14:paraId="4698CEB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F3E3577" w14:textId="77777777" w:rsidR="00665165" w:rsidRPr="00F90EAE" w:rsidRDefault="00665165" w:rsidP="00F90EAE">
      <w:pPr>
        <w:autoSpaceDE w:val="0"/>
        <w:autoSpaceDN w:val="0"/>
        <w:adjustRightInd w:val="0"/>
        <w:jc w:val="both"/>
        <w:rPr>
          <w:iCs/>
          <w:color w:val="000000" w:themeColor="text1"/>
          <w:sz w:val="16"/>
          <w:szCs w:val="16"/>
        </w:rPr>
      </w:pPr>
    </w:p>
    <w:p w14:paraId="1A604F5A" w14:textId="77777777" w:rsidR="00CE1517" w:rsidRPr="00F90EAE" w:rsidRDefault="00CE1517" w:rsidP="00F90EAE">
      <w:pPr>
        <w:jc w:val="both"/>
        <w:rPr>
          <w:color w:val="0070C0"/>
          <w:sz w:val="16"/>
          <w:szCs w:val="16"/>
        </w:rPr>
      </w:pPr>
      <w:r w:rsidRPr="00F90EAE">
        <w:rPr>
          <w:color w:val="0070C0"/>
          <w:sz w:val="16"/>
          <w:szCs w:val="16"/>
        </w:rPr>
        <w:t>11 марта 1945 пилот Люфтваффе Гельмут Герстенхауэр и два вторых пилота прибывают в Вердер, Германия, завершая полет на вертолете Focke-Achgelis Fa 223, начатый из аэропорта Темпельхоф в Берлине 26 февраля, нНаправляясь в Данциг. Проблемы с навигацией и плохая погода вынуждают их остановиться в Крайльсхайме, Вюрцбурге и Майнингене 26 февраля, в Вердере 27 февраля (до которого они достигают после 315-километрового (196-мильного) полета из Майнингена), Пренцлау 28 февраля. 1 марта 1945, прежде чем окончательно покинуть Штольп 5 марта и прибыть в Данциг позже в тот же день после полета над территорией наступающей Советской Армией, Получив приказ вернуться в Вердер, они совершают длительный перелет из Данцига в Вердер через Гарц . Всего за 13 дней путешествия было преодолено 1675 километров (1041 миль) - неофициальный рекорд для вертолетов на то время - при времени полета 16 часов 25 минут (20371).</w:t>
      </w:r>
    </w:p>
    <w:p w14:paraId="7BD0EEA2" w14:textId="77777777" w:rsidR="00CE1517" w:rsidRPr="00F90EAE" w:rsidRDefault="00CE1517" w:rsidP="00F90EAE">
      <w:pPr>
        <w:jc w:val="both"/>
        <w:rPr>
          <w:color w:val="0070C0"/>
          <w:sz w:val="16"/>
          <w:szCs w:val="16"/>
        </w:rPr>
      </w:pPr>
    </w:p>
    <w:p w14:paraId="4095F5E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марта 1945 авиация союзников разбомбила заводы Круппа в Эссене (4962).</w:t>
      </w:r>
    </w:p>
    <w:p w14:paraId="5407EA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EB078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в ходе одной операции на одну цель, Эссен, 1079 бомбардировщиков сбросили 4738 т бомб (2255).</w:t>
      </w:r>
    </w:p>
    <w:p w14:paraId="6305D5A8" w14:textId="77777777" w:rsidR="00665165" w:rsidRPr="00F90EAE" w:rsidRDefault="00665165" w:rsidP="00F90EAE">
      <w:pPr>
        <w:autoSpaceDE w:val="0"/>
        <w:autoSpaceDN w:val="0"/>
        <w:adjustRightInd w:val="0"/>
        <w:jc w:val="both"/>
        <w:rPr>
          <w:color w:val="000000" w:themeColor="text1"/>
          <w:sz w:val="16"/>
          <w:szCs w:val="16"/>
        </w:rPr>
      </w:pPr>
    </w:p>
    <w:p w14:paraId="71E27A6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11th, 1945: The US third Army captures Kochem on the lower Moselle river. In the East, the Red Army approaches Gotenhafen, closing a vital port of embarkation for tens of thousands of refugees from East Prussia who are now heading for the Hela peninsula (3819).</w:t>
      </w:r>
    </w:p>
    <w:p w14:paraId="187DA7BE" w14:textId="77777777" w:rsidR="00665165" w:rsidRPr="00F90EAE" w:rsidRDefault="00665165" w:rsidP="00F90EAE">
      <w:pPr>
        <w:autoSpaceDE w:val="0"/>
        <w:autoSpaceDN w:val="0"/>
        <w:adjustRightInd w:val="0"/>
        <w:jc w:val="both"/>
        <w:rPr>
          <w:color w:val="000000" w:themeColor="text1"/>
          <w:sz w:val="16"/>
          <w:szCs w:val="16"/>
          <w:lang w:val="en-US"/>
        </w:rPr>
      </w:pPr>
    </w:p>
    <w:p w14:paraId="2798E9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3А США захватила Кочем в нижнем течении Мозуля. КА подошла к Готенхаффену, отрезав десятки тысяч беженцев из Восточной Пруссии (3819).</w:t>
      </w:r>
    </w:p>
    <w:p w14:paraId="3030BCE9" w14:textId="77777777" w:rsidR="00665165" w:rsidRPr="00F90EAE" w:rsidRDefault="00665165" w:rsidP="00F90EAE">
      <w:pPr>
        <w:autoSpaceDE w:val="0"/>
        <w:autoSpaceDN w:val="0"/>
        <w:adjustRightInd w:val="0"/>
        <w:jc w:val="both"/>
        <w:rPr>
          <w:color w:val="000000" w:themeColor="text1"/>
          <w:sz w:val="16"/>
          <w:szCs w:val="16"/>
        </w:rPr>
      </w:pPr>
    </w:p>
    <w:p w14:paraId="58CC0ACA" w14:textId="77777777" w:rsidR="00C1740F" w:rsidRPr="00F90EAE" w:rsidRDefault="00C1740F" w:rsidP="00F90EAE">
      <w:pPr>
        <w:jc w:val="both"/>
        <w:rPr>
          <w:color w:val="000000" w:themeColor="text1"/>
          <w:sz w:val="16"/>
          <w:szCs w:val="16"/>
        </w:rPr>
      </w:pPr>
      <w:r w:rsidRPr="00F90EAE">
        <w:rPr>
          <w:bCs/>
          <w:color w:val="000000" w:themeColor="text1"/>
          <w:sz w:val="16"/>
          <w:szCs w:val="16"/>
        </w:rPr>
        <w:t>11 марта</w:t>
      </w:r>
      <w:r w:rsidRPr="00F90EAE">
        <w:rPr>
          <w:color w:val="000000" w:themeColor="text1"/>
          <w:sz w:val="16"/>
          <w:szCs w:val="16"/>
        </w:rPr>
        <w:t xml:space="preserve"> в 1945 году Швейцария прекратила транзитное сообщение с Германией, поставки электроэнергии и ряда стратегических товаров, а также заморозила германские активы в швейцарских банках. Однако, последняя мера не коснулась «номерных счетов» - анонимных вкладов германских руководителей (15065).</w:t>
      </w:r>
    </w:p>
    <w:p w14:paraId="26C6C08D" w14:textId="77777777" w:rsidR="00C1740F" w:rsidRPr="00F90EAE" w:rsidRDefault="00C1740F" w:rsidP="00F90EAE">
      <w:pPr>
        <w:jc w:val="both"/>
        <w:rPr>
          <w:color w:val="000000" w:themeColor="text1"/>
          <w:sz w:val="16"/>
          <w:szCs w:val="16"/>
        </w:rPr>
      </w:pPr>
    </w:p>
    <w:p w14:paraId="31D59A8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11-18, 1945 - During these eight days fire raids with similar tactics are launched on Nagoya, Osaka, and Kobe; the second, third, and fourth largest cities in Japan. An additional 16 square miles of city are burned, killing more than 50,000 people (1039).</w:t>
      </w:r>
    </w:p>
    <w:p w14:paraId="6A969E9C" w14:textId="77777777" w:rsidR="00665165" w:rsidRPr="00F90EAE" w:rsidRDefault="00665165" w:rsidP="00F90EAE">
      <w:pPr>
        <w:autoSpaceDE w:val="0"/>
        <w:autoSpaceDN w:val="0"/>
        <w:adjustRightInd w:val="0"/>
        <w:jc w:val="both"/>
        <w:rPr>
          <w:color w:val="000000" w:themeColor="text1"/>
          <w:sz w:val="16"/>
          <w:szCs w:val="16"/>
          <w:lang w:val="en-US"/>
        </w:rPr>
      </w:pPr>
    </w:p>
    <w:p w14:paraId="2F4FB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11-18 марта 1945 бомбардировкам зажигательными бомбами подверглись Нагоя, Окинава, Кобе. Погибло 50 тыс. чел. (1039).</w:t>
      </w:r>
    </w:p>
    <w:p w14:paraId="204E6AEA" w14:textId="77777777" w:rsidR="00665165" w:rsidRPr="00F90EAE" w:rsidRDefault="00665165" w:rsidP="00F90EAE">
      <w:pPr>
        <w:autoSpaceDE w:val="0"/>
        <w:autoSpaceDN w:val="0"/>
        <w:adjustRightInd w:val="0"/>
        <w:jc w:val="both"/>
        <w:rPr>
          <w:color w:val="000000" w:themeColor="text1"/>
          <w:sz w:val="16"/>
          <w:szCs w:val="16"/>
        </w:rPr>
      </w:pPr>
    </w:p>
    <w:p w14:paraId="7B68589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1C756B" w14:textId="77777777" w:rsidR="00665165" w:rsidRPr="00F90EAE" w:rsidRDefault="00665165" w:rsidP="00F90EAE">
      <w:pPr>
        <w:autoSpaceDE w:val="0"/>
        <w:autoSpaceDN w:val="0"/>
        <w:adjustRightInd w:val="0"/>
        <w:jc w:val="both"/>
        <w:rPr>
          <w:iCs/>
          <w:color w:val="000000" w:themeColor="text1"/>
          <w:sz w:val="16"/>
          <w:szCs w:val="16"/>
        </w:rPr>
      </w:pPr>
    </w:p>
    <w:p w14:paraId="77D189C5" w14:textId="77777777" w:rsidR="00C1740F" w:rsidRPr="00F90EAE" w:rsidRDefault="00C1740F" w:rsidP="00F90EAE">
      <w:pPr>
        <w:pStyle w:val="a3"/>
        <w:rPr>
          <w:color w:val="000000" w:themeColor="text1"/>
          <w:lang w:val="ru-RU"/>
        </w:rPr>
      </w:pPr>
      <w:r w:rsidRPr="00F90EAE">
        <w:rPr>
          <w:color w:val="000000" w:themeColor="text1"/>
          <w:lang w:val="ru-RU"/>
        </w:rPr>
        <w:t>12 марта 1945 заместитель начальника института генерал- лейтенант М.В. Гуревич утвердил Отчёт по госиспытаниям прицела ПШ-3 (перископический стрелково-бомбардировочноный прицел, который позволял</w:t>
      </w:r>
      <w:r w:rsidRPr="00F90EAE">
        <w:rPr>
          <w:rStyle w:val="284"/>
          <w:rFonts w:ascii="Times New Roman" w:hAnsi="Times New Roman" w:cs="Times New Roman"/>
          <w:i w:val="0"/>
          <w:color w:val="000000" w:themeColor="text1"/>
          <w:sz w:val="16"/>
          <w:szCs w:val="16"/>
          <w:lang w:val="ru-RU"/>
        </w:rPr>
        <w:t xml:space="preserve"> «заглянуть под себя и наблюдать цель в</w:t>
      </w:r>
      <w:r w:rsidRPr="00F90EAE">
        <w:rPr>
          <w:color w:val="000000" w:themeColor="text1"/>
          <w:lang w:val="ru-RU"/>
        </w:rPr>
        <w:t xml:space="preserve"> момент</w:t>
      </w:r>
      <w:r w:rsidRPr="00F90EAE">
        <w:rPr>
          <w:rStyle w:val="284"/>
          <w:rFonts w:ascii="Times New Roman" w:hAnsi="Times New Roman" w:cs="Times New Roman"/>
          <w:i w:val="0"/>
          <w:color w:val="000000" w:themeColor="text1"/>
          <w:sz w:val="16"/>
          <w:szCs w:val="16"/>
          <w:lang w:val="ru-RU"/>
        </w:rPr>
        <w:t xml:space="preserve"> атаки»</w:t>
      </w:r>
      <w:r w:rsidRPr="00F90EAE">
        <w:rPr>
          <w:color w:val="000000" w:themeColor="text1"/>
          <w:lang w:val="ru-RU"/>
        </w:rPr>
        <w:t>), разработанного заводом № 589 НКВ.</w:t>
      </w:r>
    </w:p>
    <w:p w14:paraId="3C9F4D2B" w14:textId="77777777" w:rsidR="00C1740F" w:rsidRPr="00F90EAE" w:rsidRDefault="00C1740F" w:rsidP="00F90EAE">
      <w:pPr>
        <w:pStyle w:val="a3"/>
        <w:rPr>
          <w:color w:val="000000" w:themeColor="text1"/>
          <w:lang w:val="ru-RU"/>
        </w:rPr>
      </w:pPr>
      <w:r w:rsidRPr="00F90EAE">
        <w:rPr>
          <w:color w:val="000000" w:themeColor="text1"/>
          <w:lang w:val="ru-RU"/>
        </w:rPr>
        <w:t>Прицела ПШ-3 в целом успешно прошёл государственные испытания на самолёте Ил-2 (зав. № 0944) в ГК НИИ ВВС.</w:t>
      </w:r>
    </w:p>
    <w:p w14:paraId="4660352D" w14:textId="77777777" w:rsidR="00C1740F" w:rsidRPr="00F90EAE" w:rsidRDefault="00C1740F" w:rsidP="00F90EAE">
      <w:pPr>
        <w:pStyle w:val="a3"/>
        <w:rPr>
          <w:color w:val="000000" w:themeColor="text1"/>
          <w:lang w:val="ru-RU"/>
        </w:rPr>
      </w:pPr>
      <w:r w:rsidRPr="00F90EAE">
        <w:rPr>
          <w:color w:val="000000" w:themeColor="text1"/>
          <w:lang w:val="ru-RU"/>
        </w:rPr>
        <w:t>В состав испытательной бригады входили: ведущий инженер по испытаниям - инженер-май</w:t>
      </w:r>
      <w:r w:rsidRPr="00F90EAE">
        <w:rPr>
          <w:color w:val="000000" w:themeColor="text1"/>
          <w:lang w:val="ru-RU"/>
        </w:rPr>
        <w:softHyphen/>
        <w:t>ор С.М. Лавров, его помощник старший техник-лейтенант А.Г. Гречишников, ведущий лётчик - подполковник Н.И. Звонарёв. От завода № 589 НКВ в испытаниях участвовал техник-инженер Н.И. Чижов.</w:t>
      </w:r>
    </w:p>
    <w:p w14:paraId="73E4CEEB" w14:textId="77777777" w:rsidR="00C1740F" w:rsidRPr="00F90EAE" w:rsidRDefault="00C1740F" w:rsidP="00F90EAE">
      <w:pPr>
        <w:pStyle w:val="a3"/>
        <w:rPr>
          <w:color w:val="000000" w:themeColor="text1"/>
          <w:lang w:val="ru-RU"/>
        </w:rPr>
      </w:pPr>
      <w:r w:rsidRPr="00F90EAE">
        <w:rPr>
          <w:color w:val="000000" w:themeColor="text1"/>
          <w:lang w:val="ru-RU"/>
        </w:rPr>
        <w:t>Прицел опробовали лётчики Управления авиавооружения ГК НИИ ВВС: майор А.В. Куса- кин, майор И.А. Доброскокин, старший лейтенант П.В. Романов и техник-испытатель старший техник-лейтенант Д.Г. Винокуров.</w:t>
      </w:r>
    </w:p>
    <w:p w14:paraId="2BE309D4" w14:textId="77777777" w:rsidR="00C1740F" w:rsidRPr="00F90EAE" w:rsidRDefault="00C1740F" w:rsidP="00F90EAE">
      <w:pPr>
        <w:pStyle w:val="a3"/>
        <w:rPr>
          <w:color w:val="000000" w:themeColor="text1"/>
          <w:lang w:val="ru-RU"/>
        </w:rPr>
      </w:pPr>
      <w:r w:rsidRPr="00F90EAE">
        <w:rPr>
          <w:color w:val="000000" w:themeColor="text1"/>
          <w:lang w:val="ru-RU"/>
        </w:rPr>
        <w:t>Прицел ПШ-3 рассчитывался для применения на штурмовом самолёте Ил-10. Но для уско</w:t>
      </w:r>
      <w:r w:rsidRPr="00F90EAE">
        <w:rPr>
          <w:color w:val="000000" w:themeColor="text1"/>
          <w:lang w:val="ru-RU"/>
        </w:rPr>
        <w:softHyphen/>
        <w:t>рения доводки и постановки прицела на вооружение решили его испытать на Ил-2.</w:t>
      </w:r>
    </w:p>
    <w:p w14:paraId="3FFCD89E" w14:textId="77777777" w:rsidR="00C1740F" w:rsidRPr="00F90EAE" w:rsidRDefault="00C1740F" w:rsidP="00F90EAE">
      <w:pPr>
        <w:pStyle w:val="a3"/>
        <w:rPr>
          <w:color w:val="000000" w:themeColor="text1"/>
          <w:lang w:val="ru-RU"/>
        </w:rPr>
      </w:pPr>
      <w:r w:rsidRPr="00F90EAE">
        <w:rPr>
          <w:color w:val="000000" w:themeColor="text1"/>
          <w:lang w:val="ru-RU"/>
        </w:rPr>
        <w:t>ПШ-3 обеспечивал прицельное бомбометание с горизонтального и пикирующего (пла</w:t>
      </w:r>
      <w:r w:rsidRPr="00F90EAE">
        <w:rPr>
          <w:color w:val="000000" w:themeColor="text1"/>
          <w:lang w:val="ru-RU"/>
        </w:rPr>
        <w:softHyphen/>
        <w:t>нирующего) полётов. Прицельные данные вырабатывались автоматически в зависимости от установки лётчиком исходных данных - высоты и путевой скорости полёта при бомбометании с горизонтального полёта, высоты ввода в пикирование при бомбометании с пикирования (ско</w:t>
      </w:r>
      <w:r w:rsidRPr="00F90EAE">
        <w:rPr>
          <w:color w:val="000000" w:themeColor="text1"/>
          <w:lang w:val="ru-RU"/>
        </w:rPr>
        <w:softHyphen/>
        <w:t>рость ввода в пикирование постоянная). Кроме бомбометания, прицел ПШ-3 использовался для стрельбы из стрелково-пушечного и ракетного оружия.</w:t>
      </w:r>
    </w:p>
    <w:p w14:paraId="620EEDA1" w14:textId="77777777" w:rsidR="00C1740F" w:rsidRPr="00F90EAE" w:rsidRDefault="00C1740F" w:rsidP="00F90EAE">
      <w:pPr>
        <w:pStyle w:val="a3"/>
        <w:rPr>
          <w:color w:val="000000" w:themeColor="text1"/>
          <w:lang w:val="ru-RU"/>
        </w:rPr>
      </w:pPr>
      <w:r w:rsidRPr="00F90EAE">
        <w:rPr>
          <w:color w:val="000000" w:themeColor="text1"/>
          <w:lang w:val="ru-RU"/>
        </w:rPr>
        <w:t>Прицел представлял собой телескопическую зрительную трубу в виде бокового перископа, в котором система зеркал была связана механизмом автоматики, обеспечивавшим наклон линии визирования от 0 до 43 ° от линии го</w:t>
      </w:r>
      <w:r w:rsidRPr="00F90EAE">
        <w:rPr>
          <w:color w:val="000000" w:themeColor="text1"/>
          <w:lang w:val="ru-RU"/>
        </w:rPr>
        <w:softHyphen/>
        <w:t>ризонта. Угол поля зрения при удале</w:t>
      </w:r>
      <w:r w:rsidRPr="00F90EAE">
        <w:rPr>
          <w:color w:val="000000" w:themeColor="text1"/>
          <w:lang w:val="ru-RU"/>
        </w:rPr>
        <w:softHyphen/>
        <w:t>нии глаза лётчика от окуляра 30 мм равнялся 23°, увеличения не было, диаметр объектива - 40 мм, вынос плоскости визирования относительно центра окуляра - 680 мм. Ветровой снос не учитывался: предлагалось за</w:t>
      </w:r>
      <w:r w:rsidRPr="00F90EAE">
        <w:rPr>
          <w:color w:val="000000" w:themeColor="text1"/>
          <w:lang w:val="ru-RU"/>
        </w:rPr>
        <w:softHyphen/>
        <w:t>ходить на цель по или против направ</w:t>
      </w:r>
      <w:r w:rsidRPr="00F90EAE">
        <w:rPr>
          <w:color w:val="000000" w:themeColor="text1"/>
          <w:lang w:val="ru-RU"/>
        </w:rPr>
        <w:softHyphen/>
        <w:t>ления ветра.</w:t>
      </w:r>
    </w:p>
    <w:p w14:paraId="71BF1739" w14:textId="77777777" w:rsidR="00C1740F" w:rsidRPr="00F90EAE" w:rsidRDefault="00C1740F" w:rsidP="00F90EAE">
      <w:pPr>
        <w:pStyle w:val="a3"/>
        <w:rPr>
          <w:color w:val="000000" w:themeColor="text1"/>
          <w:lang w:val="ru-RU"/>
        </w:rPr>
      </w:pPr>
      <w:r w:rsidRPr="00F90EAE">
        <w:rPr>
          <w:color w:val="000000" w:themeColor="text1"/>
          <w:lang w:val="ru-RU"/>
        </w:rPr>
        <w:t>Габариты прицела с выдвину</w:t>
      </w:r>
      <w:r w:rsidRPr="00F90EAE">
        <w:rPr>
          <w:color w:val="000000" w:themeColor="text1"/>
          <w:lang w:val="ru-RU"/>
        </w:rPr>
        <w:softHyphen/>
        <w:t>той окулярной частью составляли 750</w:t>
      </w:r>
      <w:r w:rsidRPr="00F90EAE">
        <w:rPr>
          <w:color w:val="000000" w:themeColor="text1"/>
        </w:rPr>
        <w:t>x</w:t>
      </w:r>
      <w:r w:rsidRPr="00F90EAE">
        <w:rPr>
          <w:color w:val="000000" w:themeColor="text1"/>
          <w:lang w:val="ru-RU"/>
        </w:rPr>
        <w:t>152</w:t>
      </w:r>
      <w:r w:rsidRPr="00F90EAE">
        <w:rPr>
          <w:color w:val="000000" w:themeColor="text1"/>
        </w:rPr>
        <w:t>x</w:t>
      </w:r>
      <w:r w:rsidRPr="00F90EAE">
        <w:rPr>
          <w:color w:val="000000" w:themeColor="text1"/>
          <w:lang w:val="ru-RU"/>
        </w:rPr>
        <w:t>120 мм, с убранной - 640</w:t>
      </w:r>
      <w:r w:rsidRPr="00F90EAE">
        <w:rPr>
          <w:color w:val="000000" w:themeColor="text1"/>
        </w:rPr>
        <w:t>x</w:t>
      </w:r>
      <w:r w:rsidRPr="00F90EAE">
        <w:rPr>
          <w:color w:val="000000" w:themeColor="text1"/>
          <w:lang w:val="ru-RU"/>
        </w:rPr>
        <w:t>152</w:t>
      </w:r>
      <w:r w:rsidRPr="00F90EAE">
        <w:rPr>
          <w:color w:val="000000" w:themeColor="text1"/>
        </w:rPr>
        <w:t>x</w:t>
      </w:r>
      <w:r w:rsidRPr="00F90EAE">
        <w:rPr>
          <w:color w:val="000000" w:themeColor="text1"/>
          <w:lang w:val="ru-RU"/>
        </w:rPr>
        <w:t>120 мм. Вес прицела - всего 4,5 кг.</w:t>
      </w:r>
    </w:p>
    <w:p w14:paraId="4AEAC876" w14:textId="77777777" w:rsidR="00C1740F" w:rsidRPr="00F90EAE" w:rsidRDefault="00C1740F" w:rsidP="00F90EAE">
      <w:pPr>
        <w:pStyle w:val="a3"/>
        <w:rPr>
          <w:color w:val="000000" w:themeColor="text1"/>
          <w:lang w:val="ru-RU"/>
        </w:rPr>
      </w:pPr>
      <w:r w:rsidRPr="00F90EAE">
        <w:rPr>
          <w:color w:val="000000" w:themeColor="text1"/>
          <w:lang w:val="ru-RU"/>
        </w:rPr>
        <w:t>Рабочий диапазон при бомбо</w:t>
      </w:r>
      <w:r w:rsidRPr="00F90EAE">
        <w:rPr>
          <w:color w:val="000000" w:themeColor="text1"/>
          <w:lang w:val="ru-RU"/>
        </w:rPr>
        <w:softHyphen/>
        <w:t>метании с горизонтального полёта составлял: высота 100-1400 м, ско</w:t>
      </w:r>
      <w:r w:rsidRPr="00F90EAE">
        <w:rPr>
          <w:color w:val="000000" w:themeColor="text1"/>
          <w:lang w:val="ru-RU"/>
        </w:rPr>
        <w:softHyphen/>
        <w:t>рость полёта 350-550 км/ч. Приня</w:t>
      </w:r>
      <w:r w:rsidRPr="00F90EAE">
        <w:rPr>
          <w:color w:val="000000" w:themeColor="text1"/>
          <w:lang w:val="ru-RU"/>
        </w:rPr>
        <w:softHyphen/>
        <w:t>тое в расчётах характеристическое время падения бомбы - 20,37 сек.</w:t>
      </w:r>
    </w:p>
    <w:p w14:paraId="2C19404B" w14:textId="77777777" w:rsidR="00C1740F" w:rsidRPr="00F90EAE" w:rsidRDefault="00C1740F" w:rsidP="00F90EAE">
      <w:pPr>
        <w:pStyle w:val="a3"/>
        <w:rPr>
          <w:color w:val="000000" w:themeColor="text1"/>
          <w:lang w:val="ru-RU"/>
        </w:rPr>
      </w:pPr>
      <w:r w:rsidRPr="00F90EAE">
        <w:rPr>
          <w:color w:val="000000" w:themeColor="text1"/>
          <w:lang w:val="ru-RU"/>
        </w:rPr>
        <w:t>При бомбометании с пикиро</w:t>
      </w:r>
      <w:r w:rsidRPr="00F90EAE">
        <w:rPr>
          <w:color w:val="000000" w:themeColor="text1"/>
          <w:lang w:val="ru-RU"/>
        </w:rPr>
        <w:softHyphen/>
        <w:t>вания на самолёте Ил-10 скорость ввода в пикирование была постоян</w:t>
      </w:r>
      <w:r w:rsidRPr="00F90EAE">
        <w:rPr>
          <w:color w:val="000000" w:themeColor="text1"/>
          <w:lang w:val="ru-RU"/>
        </w:rPr>
        <w:softHyphen/>
        <w:t>ной - 340 км/ч. Высота ввода в пики</w:t>
      </w:r>
      <w:r w:rsidRPr="00F90EAE">
        <w:rPr>
          <w:color w:val="000000" w:themeColor="text1"/>
          <w:lang w:val="ru-RU"/>
        </w:rPr>
        <w:softHyphen/>
        <w:t>рование изменялась в зависимости от угла пикирования: при угле пики</w:t>
      </w:r>
      <w:r w:rsidRPr="00F90EAE">
        <w:rPr>
          <w:color w:val="000000" w:themeColor="text1"/>
          <w:lang w:val="ru-RU"/>
        </w:rPr>
        <w:softHyphen/>
        <w:t>рования 25° - 800 м, 30° - 1000 м, 35° - 1200 м, 40° - 1400 м.</w:t>
      </w:r>
    </w:p>
    <w:p w14:paraId="5FC44686" w14:textId="77777777" w:rsidR="00C1740F" w:rsidRPr="00F90EAE" w:rsidRDefault="00C1740F" w:rsidP="00F90EAE">
      <w:pPr>
        <w:pStyle w:val="a3"/>
        <w:rPr>
          <w:color w:val="000000" w:themeColor="text1"/>
          <w:lang w:val="ru-RU"/>
        </w:rPr>
      </w:pPr>
      <w:r w:rsidRPr="00F90EAE">
        <w:rPr>
          <w:color w:val="000000" w:themeColor="text1"/>
          <w:lang w:val="ru-RU"/>
        </w:rPr>
        <w:t>Применительно к Ил-2 бомбоме</w:t>
      </w:r>
      <w:r w:rsidRPr="00F90EAE">
        <w:rPr>
          <w:color w:val="000000" w:themeColor="text1"/>
          <w:lang w:val="ru-RU"/>
        </w:rPr>
        <w:softHyphen/>
        <w:t>тание с горизонтального полёта при помощи ПШ-3 можно было выпол</w:t>
      </w:r>
      <w:r w:rsidRPr="00F90EAE">
        <w:rPr>
          <w:color w:val="000000" w:themeColor="text1"/>
          <w:lang w:val="ru-RU"/>
        </w:rPr>
        <w:softHyphen/>
        <w:t>нять на всех высотах при путевой скорости не менее 350 км/ч. Бомбометание с пикирования допускалось только при высоте ввода 800 м и скорости около 320 км/ч.</w:t>
      </w:r>
    </w:p>
    <w:p w14:paraId="07D27540" w14:textId="77777777" w:rsidR="00C1740F" w:rsidRPr="00F90EAE" w:rsidRDefault="00C1740F" w:rsidP="00F90EAE">
      <w:pPr>
        <w:pStyle w:val="a3"/>
        <w:rPr>
          <w:color w:val="000000" w:themeColor="text1"/>
          <w:lang w:val="ru-RU"/>
        </w:rPr>
      </w:pPr>
      <w:r w:rsidRPr="00F90EAE">
        <w:rPr>
          <w:color w:val="000000" w:themeColor="text1"/>
          <w:lang w:val="ru-RU"/>
        </w:rPr>
        <w:t>При бомбометании с горизонтального полёта от лётчика требовалось установить высо</w:t>
      </w:r>
      <w:r w:rsidRPr="00F90EAE">
        <w:rPr>
          <w:color w:val="000000" w:themeColor="text1"/>
          <w:lang w:val="ru-RU"/>
        </w:rPr>
        <w:softHyphen/>
        <w:t>ту, совместить шкалу прицела со скоростью, развернуть самолёт на цель. Наблюдая цель в окуляр прицела в момент её прихода в перекрестие следовало нажать кнопку пуска счётно- решающего устройства, который в течение 6-8 сек вырабатывал прицельные данные соответ</w:t>
      </w:r>
      <w:r w:rsidRPr="00F90EAE">
        <w:rPr>
          <w:color w:val="000000" w:themeColor="text1"/>
          <w:lang w:val="ru-RU"/>
        </w:rPr>
        <w:softHyphen/>
        <w:t>ствующие заданным условиям полёта (высота и скорость) и автоматически удерживал линию визирования на цели или вблизи неё. В момент построения счетно-решающим механизмом угла прицеливания (или упреждения) в поле зрения прицела появлялся световой сигнал. При</w:t>
      </w:r>
      <w:r w:rsidRPr="00F90EAE">
        <w:rPr>
          <w:color w:val="000000" w:themeColor="text1"/>
          <w:lang w:val="ru-RU"/>
        </w:rPr>
        <w:softHyphen/>
        <w:t>цел наводился в упреждающую точку. С этого момента цель быстро «подходила» к перекре</w:t>
      </w:r>
      <w:r w:rsidRPr="00F90EAE">
        <w:rPr>
          <w:color w:val="000000" w:themeColor="text1"/>
          <w:lang w:val="ru-RU"/>
        </w:rPr>
        <w:softHyphen/>
        <w:t>стию прицела. При совмещении цели с перекрестием сетки прицела автоматически сбра</w:t>
      </w:r>
      <w:r w:rsidRPr="00F90EAE">
        <w:rPr>
          <w:color w:val="000000" w:themeColor="text1"/>
          <w:lang w:val="ru-RU"/>
        </w:rPr>
        <w:softHyphen/>
        <w:t>сывались бомбы. Сброс бомб можно было выполнить и без автоматики прицела, вручную, нажав боевую кнопку.</w:t>
      </w:r>
    </w:p>
    <w:p w14:paraId="2FE8C150" w14:textId="77777777" w:rsidR="00C1740F" w:rsidRPr="00F90EAE" w:rsidRDefault="00C1740F" w:rsidP="00F90EAE">
      <w:pPr>
        <w:pStyle w:val="a3"/>
        <w:rPr>
          <w:color w:val="000000" w:themeColor="text1"/>
          <w:lang w:val="ru-RU"/>
        </w:rPr>
      </w:pPr>
      <w:r w:rsidRPr="00F90EAE">
        <w:rPr>
          <w:color w:val="000000" w:themeColor="text1"/>
          <w:lang w:val="ru-RU"/>
        </w:rPr>
        <w:t>В алгоритме работы прицела была заложена следующая схема. Считалось, что самолёт пикирует «с</w:t>
      </w:r>
      <w:r w:rsidRPr="00F90EAE">
        <w:rPr>
          <w:rStyle w:val="277"/>
          <w:rFonts w:ascii="Times New Roman" w:hAnsi="Times New Roman" w:cs="Times New Roman"/>
          <w:i w:val="0"/>
          <w:color w:val="000000" w:themeColor="text1"/>
          <w:sz w:val="16"/>
          <w:szCs w:val="16"/>
          <w:lang w:val="ru-RU"/>
        </w:rPr>
        <w:t xml:space="preserve"> некоторой наперёд заданной траекторией, состоящей из трёх участков</w:t>
      </w:r>
      <w:r w:rsidRPr="00F90EAE">
        <w:rPr>
          <w:color w:val="000000" w:themeColor="text1"/>
          <w:lang w:val="ru-RU"/>
        </w:rPr>
        <w:t>»: ввод в пикирование (продолжительность около 6 сек), боевой курс (3 сек), участок бросания бомбы (3 сек). При этом в любой точке траектории участка бросания бомбы</w:t>
      </w:r>
      <w:r w:rsidRPr="00F90EAE">
        <w:rPr>
          <w:rStyle w:val="277"/>
          <w:rFonts w:ascii="Times New Roman" w:hAnsi="Times New Roman" w:cs="Times New Roman"/>
          <w:i w:val="0"/>
          <w:color w:val="000000" w:themeColor="text1"/>
          <w:sz w:val="16"/>
          <w:szCs w:val="16"/>
          <w:lang w:val="ru-RU"/>
        </w:rPr>
        <w:t xml:space="preserve"> «лётчик может сбросить бомбы при условии непрерывного совмещения перекрестия сетки прицела с целью».</w:t>
      </w:r>
    </w:p>
    <w:p w14:paraId="0F4CE239" w14:textId="77777777" w:rsidR="00C1740F" w:rsidRPr="00F90EAE" w:rsidRDefault="00C1740F" w:rsidP="00F90EAE">
      <w:pPr>
        <w:pStyle w:val="a3"/>
        <w:rPr>
          <w:color w:val="000000" w:themeColor="text1"/>
          <w:lang w:val="ru-RU"/>
        </w:rPr>
      </w:pPr>
      <w:r w:rsidRPr="00F90EAE">
        <w:rPr>
          <w:color w:val="000000" w:themeColor="text1"/>
          <w:lang w:val="ru-RU"/>
        </w:rPr>
        <w:t>Перед вводом в пикирование лётчик должен был выставить на прицеле высоту ввода в пикирование. Визирное зеркало прицела устанавливалось под углом предварительного визирования цели. Затем лётчик выполнял разворот самолёта на цель и находил её через окуляр прицела.</w:t>
      </w:r>
    </w:p>
    <w:p w14:paraId="138F551D" w14:textId="77777777" w:rsidR="00C1740F" w:rsidRPr="00F90EAE" w:rsidRDefault="00C1740F" w:rsidP="00F90EAE">
      <w:pPr>
        <w:pStyle w:val="a3"/>
        <w:rPr>
          <w:color w:val="000000" w:themeColor="text1"/>
          <w:lang w:val="ru-RU"/>
        </w:rPr>
      </w:pPr>
      <w:r w:rsidRPr="00F90EAE">
        <w:rPr>
          <w:color w:val="000000" w:themeColor="text1"/>
          <w:lang w:val="ru-RU"/>
        </w:rPr>
        <w:t xml:space="preserve">В момент прихода цели к перекрестию сетки прицела лётчик одновременно нажимал пуска счетно-решающего механизма прицела и начинал ввод самолёта в </w:t>
      </w:r>
      <w:r w:rsidRPr="00F90EAE">
        <w:rPr>
          <w:color w:val="000000" w:themeColor="text1"/>
          <w:lang w:val="ru-RU"/>
        </w:rPr>
        <w:lastRenderedPageBreak/>
        <w:t>пикирование. Во время ввода самолёта в пикирование необходимо было удерживать цель на перекрестии сетки прицела. Непосредственно в ходе пикирования от лётчика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3 сек с момента по</w:t>
      </w:r>
      <w:r w:rsidRPr="00F90EAE">
        <w:rPr>
          <w:color w:val="000000" w:themeColor="text1"/>
          <w:lang w:val="ru-RU"/>
        </w:rPr>
        <w:softHyphen/>
        <w:t>явления светового сигнала и до его исчезновения. Всё это время цель следовало удерживать в перекрестии сетки прицела.</w:t>
      </w:r>
    </w:p>
    <w:p w14:paraId="7CC0FA0C" w14:textId="77777777" w:rsidR="00C1740F" w:rsidRPr="00F90EAE" w:rsidRDefault="00C1740F"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221"/>
          <w:rFonts w:ascii="Times New Roman" w:eastAsia="Arial Unicode MS" w:hAnsi="Times New Roman" w:cs="Times New Roman"/>
          <w:i w:val="0"/>
          <w:iCs w:val="0"/>
          <w:color w:val="000000" w:themeColor="text1"/>
        </w:rPr>
        <w:t>В отчёте по результатам испытаний отмечалось, что прицел ПШ-3 на самолёте Ил-2 «обеспечивает</w:t>
      </w:r>
      <w:r w:rsidRPr="00F90EAE">
        <w:rPr>
          <w:rFonts w:ascii="Times New Roman" w:hAnsi="Times New Roman" w:cs="Times New Roman"/>
          <w:i w:val="0"/>
          <w:color w:val="000000" w:themeColor="text1"/>
          <w:sz w:val="16"/>
          <w:szCs w:val="16"/>
        </w:rPr>
        <w:t xml:space="preserve"> достаточные удобства наводки, наблюдения</w:t>
      </w:r>
      <w:r w:rsidRPr="00F90EAE">
        <w:rPr>
          <w:rStyle w:val="2221"/>
          <w:rFonts w:ascii="Times New Roman" w:eastAsia="Arial Unicode MS" w:hAnsi="Times New Roman" w:cs="Times New Roman"/>
          <w:i w:val="0"/>
          <w:iCs w:val="0"/>
          <w:color w:val="000000" w:themeColor="text1"/>
        </w:rPr>
        <w:t xml:space="preserve"> за</w:t>
      </w:r>
      <w:r w:rsidRPr="00F90EAE">
        <w:rPr>
          <w:rFonts w:ascii="Times New Roman" w:hAnsi="Times New Roman" w:cs="Times New Roman"/>
          <w:i w:val="0"/>
          <w:color w:val="000000" w:themeColor="text1"/>
          <w:sz w:val="16"/>
          <w:szCs w:val="16"/>
        </w:rPr>
        <w:t xml:space="preserve"> целью и бомбометания с го</w:t>
      </w:r>
      <w:r w:rsidRPr="00F90EAE">
        <w:rPr>
          <w:rFonts w:ascii="Times New Roman" w:hAnsi="Times New Roman" w:cs="Times New Roman"/>
          <w:i w:val="0"/>
          <w:color w:val="000000" w:themeColor="text1"/>
          <w:sz w:val="16"/>
          <w:szCs w:val="16"/>
        </w:rPr>
        <w:softHyphen/>
        <w:t>ризонтального полёта и с планирования».</w:t>
      </w:r>
      <w:r w:rsidRPr="00F90EAE">
        <w:rPr>
          <w:rStyle w:val="2221"/>
          <w:rFonts w:ascii="Times New Roman" w:eastAsia="Arial Unicode MS" w:hAnsi="Times New Roman" w:cs="Times New Roman"/>
          <w:i w:val="0"/>
          <w:iCs w:val="0"/>
          <w:color w:val="000000" w:themeColor="text1"/>
        </w:rPr>
        <w:t xml:space="preserve"> При этом</w:t>
      </w:r>
      <w:r w:rsidRPr="00F90EAE">
        <w:rPr>
          <w:rFonts w:ascii="Times New Roman" w:hAnsi="Times New Roman" w:cs="Times New Roman"/>
          <w:i w:val="0"/>
          <w:color w:val="000000" w:themeColor="text1"/>
          <w:sz w:val="16"/>
          <w:szCs w:val="16"/>
        </w:rPr>
        <w:t xml:space="preserve"> «удаление глаз лётчика от окуляра, при котором используется всё поле зрения (23°), должно быть не более 80 мм».</w:t>
      </w:r>
      <w:r w:rsidRPr="00F90EAE">
        <w:rPr>
          <w:rStyle w:val="2221"/>
          <w:rFonts w:ascii="Times New Roman" w:eastAsia="Arial Unicode MS" w:hAnsi="Times New Roman" w:cs="Times New Roman"/>
          <w:i w:val="0"/>
          <w:iCs w:val="0"/>
          <w:color w:val="000000" w:themeColor="text1"/>
        </w:rPr>
        <w:t xml:space="preserve"> В этих условиях полёта - корпус лётчика наклонен вперёд, пилотирование самолётом было возможно, «но </w:t>
      </w:r>
      <w:r w:rsidRPr="00F90EAE">
        <w:rPr>
          <w:rFonts w:ascii="Times New Roman" w:hAnsi="Times New Roman" w:cs="Times New Roman"/>
          <w:i w:val="0"/>
          <w:color w:val="000000" w:themeColor="text1"/>
          <w:sz w:val="16"/>
          <w:szCs w:val="16"/>
        </w:rPr>
        <w:t>голова лётчика в меньшей мере защищена бронёй</w:t>
      </w:r>
      <w:r w:rsidRPr="00F90EAE">
        <w:rPr>
          <w:rStyle w:val="2221"/>
          <w:rFonts w:ascii="Times New Roman" w:eastAsia="Arial Unicode MS" w:hAnsi="Times New Roman" w:cs="Times New Roman"/>
          <w:i w:val="0"/>
          <w:iCs w:val="0"/>
          <w:color w:val="000000" w:themeColor="text1"/>
        </w:rPr>
        <w:t xml:space="preserve">». Синхронно-временной механизм ПШ-3 </w:t>
      </w:r>
      <w:r w:rsidRPr="00F90EAE">
        <w:rPr>
          <w:rFonts w:ascii="Times New Roman" w:hAnsi="Times New Roman" w:cs="Times New Roman"/>
          <w:i w:val="0"/>
          <w:color w:val="000000" w:themeColor="text1"/>
          <w:sz w:val="16"/>
          <w:szCs w:val="16"/>
        </w:rPr>
        <w:t>«уравнивает скорости</w:t>
      </w:r>
      <w:r w:rsidRPr="00F90EAE">
        <w:rPr>
          <w:rStyle w:val="2221"/>
          <w:rFonts w:ascii="Times New Roman" w:eastAsia="Arial Unicode MS" w:hAnsi="Times New Roman" w:cs="Times New Roman"/>
          <w:i w:val="0"/>
          <w:iCs w:val="0"/>
          <w:color w:val="000000" w:themeColor="text1"/>
        </w:rPr>
        <w:t xml:space="preserve"> движения</w:t>
      </w:r>
      <w:r w:rsidRPr="00F90EAE">
        <w:rPr>
          <w:rFonts w:ascii="Times New Roman" w:hAnsi="Times New Roman" w:cs="Times New Roman"/>
          <w:i w:val="0"/>
          <w:color w:val="000000" w:themeColor="text1"/>
          <w:sz w:val="16"/>
          <w:szCs w:val="16"/>
        </w:rPr>
        <w:t xml:space="preserve"> визирного луча и цели относительно самолёта, улучшает ус</w:t>
      </w:r>
      <w:r w:rsidRPr="00F90EAE">
        <w:rPr>
          <w:rFonts w:ascii="Times New Roman" w:hAnsi="Times New Roman" w:cs="Times New Roman"/>
          <w:i w:val="0"/>
          <w:color w:val="000000" w:themeColor="text1"/>
          <w:sz w:val="16"/>
          <w:szCs w:val="16"/>
        </w:rPr>
        <w:softHyphen/>
        <w:t>ловия прицеливания, особенно при бомбометании с малых высот при большой скорости по</w:t>
      </w:r>
      <w:r w:rsidRPr="00F90EAE">
        <w:rPr>
          <w:rFonts w:ascii="Times New Roman" w:hAnsi="Times New Roman" w:cs="Times New Roman"/>
          <w:i w:val="0"/>
          <w:color w:val="000000" w:themeColor="text1"/>
          <w:sz w:val="16"/>
          <w:szCs w:val="16"/>
        </w:rPr>
        <w:softHyphen/>
        <w:t>лёта».</w:t>
      </w:r>
      <w:r w:rsidRPr="00F90EAE">
        <w:rPr>
          <w:rStyle w:val="2221"/>
          <w:rFonts w:ascii="Times New Roman" w:eastAsia="Arial Unicode MS" w:hAnsi="Times New Roman" w:cs="Times New Roman"/>
          <w:i w:val="0"/>
          <w:iCs w:val="0"/>
          <w:color w:val="000000" w:themeColor="text1"/>
        </w:rPr>
        <w:t xml:space="preserve"> И главное,</w:t>
      </w:r>
      <w:r w:rsidRPr="00F90EAE">
        <w:rPr>
          <w:rFonts w:ascii="Times New Roman" w:hAnsi="Times New Roman" w:cs="Times New Roman"/>
          <w:i w:val="0"/>
          <w:color w:val="000000" w:themeColor="text1"/>
          <w:sz w:val="16"/>
          <w:szCs w:val="16"/>
        </w:rPr>
        <w:t xml:space="preserve"> «точность бомбометания с горизонтального полёта и планирования с ПШ-3 выше, чем с ВМШ-2».</w:t>
      </w:r>
    </w:p>
    <w:p w14:paraId="12458743" w14:textId="77777777" w:rsidR="00C1740F" w:rsidRPr="00F90EAE" w:rsidRDefault="00C1740F" w:rsidP="00F90EAE">
      <w:pPr>
        <w:pStyle w:val="a3"/>
        <w:rPr>
          <w:color w:val="000000" w:themeColor="text1"/>
          <w:lang w:val="ru-RU"/>
        </w:rPr>
      </w:pPr>
      <w:r w:rsidRPr="00F90EAE">
        <w:rPr>
          <w:color w:val="000000" w:themeColor="text1"/>
          <w:lang w:val="ru-RU"/>
        </w:rPr>
        <w:t>Время нахождения на боевом курсе, как при бомбометании с горизонта, так и с пикирова</w:t>
      </w:r>
      <w:r w:rsidRPr="00F90EAE">
        <w:rPr>
          <w:color w:val="000000" w:themeColor="text1"/>
          <w:lang w:val="ru-RU"/>
        </w:rPr>
        <w:softHyphen/>
        <w:t>ния, было сравнительно невелико и не превышало 10-12 сек.</w:t>
      </w:r>
    </w:p>
    <w:p w14:paraId="1062D435" w14:textId="77777777" w:rsidR="00C1740F" w:rsidRPr="00F90EAE" w:rsidRDefault="00C1740F" w:rsidP="00F90EAE">
      <w:pPr>
        <w:pStyle w:val="a3"/>
        <w:rPr>
          <w:color w:val="000000" w:themeColor="text1"/>
          <w:lang w:val="ru-RU"/>
        </w:rPr>
      </w:pPr>
      <w:r w:rsidRPr="00F90EAE">
        <w:rPr>
          <w:color w:val="000000" w:themeColor="text1"/>
          <w:lang w:val="ru-RU"/>
        </w:rPr>
        <w:t>При горизонтальном бомбометании боковая наводка считалась простой, наводка по даль</w:t>
      </w:r>
      <w:r w:rsidRPr="00F90EAE">
        <w:rPr>
          <w:color w:val="000000" w:themeColor="text1"/>
          <w:lang w:val="ru-RU"/>
        </w:rPr>
        <w:softHyphen/>
        <w:t>ности - «</w:t>
      </w:r>
      <w:r w:rsidRPr="00F90EAE">
        <w:rPr>
          <w:rStyle w:val="263"/>
          <w:rFonts w:ascii="Times New Roman" w:hAnsi="Times New Roman" w:cs="Times New Roman"/>
          <w:i w:val="0"/>
          <w:color w:val="000000" w:themeColor="text1"/>
          <w:sz w:val="16"/>
          <w:szCs w:val="16"/>
          <w:lang w:val="ru-RU"/>
        </w:rPr>
        <w:t>зависит от точного выдерживания лётчиком путевой скорости и высоты бросания, уста</w:t>
      </w:r>
      <w:r w:rsidRPr="00F90EAE">
        <w:rPr>
          <w:rStyle w:val="263"/>
          <w:rFonts w:ascii="Times New Roman" w:hAnsi="Times New Roman" w:cs="Times New Roman"/>
          <w:i w:val="0"/>
          <w:color w:val="000000" w:themeColor="text1"/>
          <w:sz w:val="16"/>
          <w:szCs w:val="16"/>
          <w:lang w:val="ru-RU"/>
        </w:rPr>
        <w:softHyphen/>
        <w:t>новленной на прицеле»,</w:t>
      </w:r>
      <w:r w:rsidRPr="00F90EAE">
        <w:rPr>
          <w:color w:val="000000" w:themeColor="text1"/>
          <w:lang w:val="ru-RU"/>
        </w:rPr>
        <w:t xml:space="preserve"> но также была несложной. Выход на цель (высота полёта 100-800 м) можно было выполнять как с разворота, так и с прямой.</w:t>
      </w:r>
    </w:p>
    <w:p w14:paraId="3A73B7F1" w14:textId="77777777" w:rsidR="00C1740F" w:rsidRPr="00F90EAE" w:rsidRDefault="00C1740F" w:rsidP="00F90EAE">
      <w:pPr>
        <w:pStyle w:val="a3"/>
        <w:rPr>
          <w:color w:val="000000" w:themeColor="text1"/>
          <w:lang w:val="ru-RU"/>
        </w:rPr>
      </w:pPr>
      <w:r w:rsidRPr="00F90EAE">
        <w:rPr>
          <w:color w:val="000000" w:themeColor="text1"/>
          <w:lang w:val="ru-RU"/>
        </w:rPr>
        <w:t>Некоторую трудность представлял ввод самолёта в планирование. От лётчиков требовался энергичный маневр самолётом. Все остальные элементы затруднений не вызывали. Было доста</w:t>
      </w:r>
      <w:r w:rsidRPr="00F90EAE">
        <w:rPr>
          <w:color w:val="000000" w:themeColor="text1"/>
          <w:lang w:val="ru-RU"/>
        </w:rPr>
        <w:softHyphen/>
        <w:t>точно небольшой тренировки - всего 2-3 полёта.</w:t>
      </w:r>
    </w:p>
    <w:p w14:paraId="0464655B" w14:textId="77777777" w:rsidR="00C1740F" w:rsidRPr="00F90EAE" w:rsidRDefault="00C1740F" w:rsidP="00F90EAE">
      <w:pPr>
        <w:pStyle w:val="a3"/>
        <w:rPr>
          <w:color w:val="000000" w:themeColor="text1"/>
          <w:lang w:val="ru-RU"/>
        </w:rPr>
      </w:pPr>
      <w:r w:rsidRPr="00F90EAE">
        <w:rPr>
          <w:color w:val="000000" w:themeColor="text1"/>
          <w:lang w:val="ru-RU"/>
        </w:rPr>
        <w:t>В ходе испытаний бомбы сбрасывались с высоты 400 м на скорости 350 км/ч при горизон</w:t>
      </w:r>
      <w:r w:rsidRPr="00F90EAE">
        <w:rPr>
          <w:color w:val="000000" w:themeColor="text1"/>
          <w:lang w:val="ru-RU"/>
        </w:rPr>
        <w:softHyphen/>
        <w:t>тальном бомбометании и 420 км/ч при сбросе бомб с пикирования (угол 30°). Во всех случаях кучность бомбометания была выше, чем при использовании ВМШ-2. Причём все точки падения бомб находились в пределах отличной оценки по «Руководству по бомбометанию 1944 г.».</w:t>
      </w:r>
    </w:p>
    <w:p w14:paraId="1A910E81" w14:textId="77777777" w:rsidR="00C1740F" w:rsidRPr="00F90EAE" w:rsidRDefault="00C1740F"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211"/>
          <w:rFonts w:ascii="Times New Roman" w:eastAsia="Arial Unicode MS" w:hAnsi="Times New Roman" w:cs="Times New Roman"/>
          <w:i w:val="0"/>
          <w:iCs w:val="0"/>
          <w:color w:val="000000" w:themeColor="text1"/>
        </w:rPr>
        <w:t>Отмечалось, что</w:t>
      </w:r>
      <w:r w:rsidRPr="00F90EAE">
        <w:rPr>
          <w:rFonts w:ascii="Times New Roman" w:hAnsi="Times New Roman" w:cs="Times New Roman"/>
          <w:i w:val="0"/>
          <w:color w:val="000000" w:themeColor="text1"/>
          <w:sz w:val="16"/>
          <w:szCs w:val="16"/>
        </w:rPr>
        <w:t xml:space="preserve"> «красный сигнал, указывающий момент построения угла прицеливания (упреждения, ви</w:t>
      </w:r>
      <w:r w:rsidRPr="00F90EAE">
        <w:rPr>
          <w:rFonts w:ascii="Times New Roman" w:hAnsi="Times New Roman" w:cs="Times New Roman"/>
          <w:i w:val="0"/>
          <w:color w:val="000000" w:themeColor="text1"/>
          <w:sz w:val="16"/>
          <w:szCs w:val="16"/>
        </w:rPr>
        <w:softHyphen/>
        <w:t>ден плохо, ...пользоваться неудоб</w:t>
      </w:r>
      <w:r w:rsidRPr="00F90EAE">
        <w:rPr>
          <w:rFonts w:ascii="Times New Roman" w:hAnsi="Times New Roman" w:cs="Times New Roman"/>
          <w:i w:val="0"/>
          <w:color w:val="000000" w:themeColor="text1"/>
          <w:sz w:val="16"/>
          <w:szCs w:val="16"/>
        </w:rPr>
        <w:softHyphen/>
        <w:t>но».</w:t>
      </w:r>
      <w:r w:rsidRPr="00F90EAE">
        <w:rPr>
          <w:rStyle w:val="2211"/>
          <w:rFonts w:ascii="Times New Roman" w:eastAsia="Arial Unicode MS" w:hAnsi="Times New Roman" w:cs="Times New Roman"/>
          <w:i w:val="0"/>
          <w:iCs w:val="0"/>
          <w:color w:val="000000" w:themeColor="text1"/>
        </w:rPr>
        <w:t xml:space="preserve"> Предлагалось увеличить (на 1-2 сек) время ввода самолёта в пикиро</w:t>
      </w:r>
      <w:r w:rsidRPr="00F90EAE">
        <w:rPr>
          <w:rStyle w:val="2211"/>
          <w:rFonts w:ascii="Times New Roman" w:eastAsia="Arial Unicode MS" w:hAnsi="Times New Roman" w:cs="Times New Roman"/>
          <w:i w:val="0"/>
          <w:iCs w:val="0"/>
          <w:color w:val="000000" w:themeColor="text1"/>
        </w:rPr>
        <w:softHyphen/>
        <w:t>вание.</w:t>
      </w:r>
    </w:p>
    <w:p w14:paraId="49E6386A" w14:textId="77777777" w:rsidR="00C1740F" w:rsidRPr="00F90EAE" w:rsidRDefault="00C1740F" w:rsidP="00F90EAE">
      <w:pPr>
        <w:pStyle w:val="a3"/>
        <w:rPr>
          <w:color w:val="000000" w:themeColor="text1"/>
          <w:lang w:val="ru-RU"/>
        </w:rPr>
      </w:pPr>
      <w:r w:rsidRPr="00F90EAE">
        <w:rPr>
          <w:color w:val="000000" w:themeColor="text1"/>
          <w:lang w:val="ru-RU"/>
        </w:rPr>
        <w:t xml:space="preserve">В заключении делался вывод, что </w:t>
      </w:r>
      <w:r w:rsidRPr="00F90EAE">
        <w:rPr>
          <w:rStyle w:val="254"/>
          <w:rFonts w:ascii="Times New Roman" w:hAnsi="Times New Roman" w:cs="Times New Roman"/>
          <w:i w:val="0"/>
          <w:color w:val="000000" w:themeColor="text1"/>
          <w:sz w:val="16"/>
          <w:szCs w:val="16"/>
          <w:lang w:val="ru-RU"/>
        </w:rPr>
        <w:t>«государственные испытания ПШ-3 выдержал».</w:t>
      </w:r>
      <w:r w:rsidRPr="00F90EAE">
        <w:rPr>
          <w:color w:val="000000" w:themeColor="text1"/>
          <w:lang w:val="ru-RU"/>
        </w:rPr>
        <w:t xml:space="preserve"> Рекомендовалось</w:t>
      </w:r>
      <w:r w:rsidRPr="00F90EAE">
        <w:rPr>
          <w:rStyle w:val="254"/>
          <w:rFonts w:ascii="Times New Roman" w:hAnsi="Times New Roman" w:cs="Times New Roman"/>
          <w:i w:val="0"/>
          <w:color w:val="000000" w:themeColor="text1"/>
          <w:sz w:val="16"/>
          <w:szCs w:val="16"/>
          <w:lang w:val="ru-RU"/>
        </w:rPr>
        <w:t xml:space="preserve"> «про</w:t>
      </w:r>
      <w:r w:rsidRPr="00F90EAE">
        <w:rPr>
          <w:rStyle w:val="254"/>
          <w:rFonts w:ascii="Times New Roman" w:hAnsi="Times New Roman" w:cs="Times New Roman"/>
          <w:i w:val="0"/>
          <w:color w:val="000000" w:themeColor="text1"/>
          <w:sz w:val="16"/>
          <w:szCs w:val="16"/>
          <w:lang w:val="ru-RU"/>
        </w:rPr>
        <w:softHyphen/>
        <w:t>сить 2-е ГУ НКВ обязать завод № 589</w:t>
      </w:r>
      <w:r w:rsidRPr="00F90EAE">
        <w:rPr>
          <w:color w:val="000000" w:themeColor="text1"/>
          <w:lang w:val="ru-RU"/>
        </w:rPr>
        <w:t>» срочно пересчитать ПШ-3 для самолёта Ил-2, а также</w:t>
      </w:r>
      <w:r w:rsidRPr="00F90EAE">
        <w:rPr>
          <w:rStyle w:val="254"/>
          <w:rFonts w:ascii="Times New Roman" w:hAnsi="Times New Roman" w:cs="Times New Roman"/>
          <w:i w:val="0"/>
          <w:color w:val="000000" w:themeColor="text1"/>
          <w:sz w:val="16"/>
          <w:szCs w:val="16"/>
          <w:lang w:val="ru-RU"/>
        </w:rPr>
        <w:t xml:space="preserve"> «изготовить</w:t>
      </w:r>
      <w:r w:rsidRPr="00F90EAE">
        <w:rPr>
          <w:color w:val="000000" w:themeColor="text1"/>
          <w:lang w:val="ru-RU"/>
        </w:rPr>
        <w:t xml:space="preserve"> опытную</w:t>
      </w:r>
      <w:r w:rsidRPr="00F90EAE">
        <w:rPr>
          <w:rStyle w:val="254"/>
          <w:rFonts w:ascii="Times New Roman" w:hAnsi="Times New Roman" w:cs="Times New Roman"/>
          <w:i w:val="0"/>
          <w:color w:val="000000" w:themeColor="text1"/>
          <w:sz w:val="16"/>
          <w:szCs w:val="16"/>
          <w:lang w:val="ru-RU"/>
        </w:rPr>
        <w:t xml:space="preserve"> партию в 30</w:t>
      </w:r>
      <w:r w:rsidRPr="00F90EAE">
        <w:rPr>
          <w:color w:val="000000" w:themeColor="text1"/>
          <w:lang w:val="ru-RU"/>
        </w:rPr>
        <w:t xml:space="preserve"> шт. для</w:t>
      </w:r>
      <w:r w:rsidRPr="00F90EAE">
        <w:rPr>
          <w:rStyle w:val="254"/>
          <w:rFonts w:ascii="Times New Roman" w:hAnsi="Times New Roman" w:cs="Times New Roman"/>
          <w:i w:val="0"/>
          <w:color w:val="000000" w:themeColor="text1"/>
          <w:sz w:val="16"/>
          <w:szCs w:val="16"/>
          <w:lang w:val="ru-RU"/>
        </w:rPr>
        <w:t xml:space="preserve"> войсковых испытаний на Ил-2 в июне-июле 1945</w:t>
      </w:r>
      <w:r w:rsidRPr="00F90EAE">
        <w:rPr>
          <w:color w:val="000000" w:themeColor="text1"/>
          <w:lang w:val="ru-RU"/>
        </w:rPr>
        <w:t xml:space="preserve"> г.». Два образца требовалось к 1 мая 1 945 г. подать на контрольные испытания в Управление АВ ГК НИИ ВВС. Одновременно предлагалось «</w:t>
      </w:r>
      <w:r w:rsidRPr="00F90EAE">
        <w:rPr>
          <w:rStyle w:val="254"/>
          <w:rFonts w:ascii="Times New Roman" w:hAnsi="Times New Roman" w:cs="Times New Roman"/>
          <w:i w:val="0"/>
          <w:color w:val="000000" w:themeColor="text1"/>
          <w:sz w:val="16"/>
          <w:szCs w:val="16"/>
          <w:lang w:val="ru-RU"/>
        </w:rPr>
        <w:t>просить Главного конструктора т.</w:t>
      </w:r>
      <w:r w:rsidRPr="00F90EAE">
        <w:rPr>
          <w:color w:val="000000" w:themeColor="text1"/>
          <w:lang w:val="ru-RU"/>
        </w:rPr>
        <w:t xml:space="preserve"> Ильюшина</w:t>
      </w:r>
      <w:r w:rsidRPr="00F90EAE">
        <w:rPr>
          <w:rStyle w:val="254"/>
          <w:rFonts w:ascii="Times New Roman" w:hAnsi="Times New Roman" w:cs="Times New Roman"/>
          <w:i w:val="0"/>
          <w:color w:val="000000" w:themeColor="text1"/>
          <w:sz w:val="16"/>
          <w:szCs w:val="16"/>
          <w:lang w:val="ru-RU"/>
        </w:rPr>
        <w:t xml:space="preserve"> С.В. ускорить монтаж ПШ-3 на самолёт</w:t>
      </w:r>
      <w:r w:rsidRPr="00F90EAE">
        <w:rPr>
          <w:color w:val="000000" w:themeColor="text1"/>
          <w:lang w:val="ru-RU"/>
        </w:rPr>
        <w:t xml:space="preserve"> Ил-10 для</w:t>
      </w:r>
      <w:r w:rsidRPr="00F90EAE">
        <w:rPr>
          <w:rStyle w:val="254"/>
          <w:rFonts w:ascii="Times New Roman" w:hAnsi="Times New Roman" w:cs="Times New Roman"/>
          <w:i w:val="0"/>
          <w:color w:val="000000" w:themeColor="text1"/>
          <w:sz w:val="16"/>
          <w:szCs w:val="16"/>
          <w:lang w:val="ru-RU"/>
        </w:rPr>
        <w:t xml:space="preserve"> государствен</w:t>
      </w:r>
      <w:r w:rsidRPr="00F90EAE">
        <w:rPr>
          <w:rStyle w:val="254"/>
          <w:rFonts w:ascii="Times New Roman" w:hAnsi="Times New Roman" w:cs="Times New Roman"/>
          <w:i w:val="0"/>
          <w:color w:val="000000" w:themeColor="text1"/>
          <w:sz w:val="16"/>
          <w:szCs w:val="16"/>
          <w:lang w:val="ru-RU"/>
        </w:rPr>
        <w:softHyphen/>
        <w:t>ных испытаний» (15978).</w:t>
      </w:r>
    </w:p>
    <w:p w14:paraId="200F1446" w14:textId="77777777" w:rsidR="00C1740F" w:rsidRPr="00F90EAE" w:rsidRDefault="00C1740F" w:rsidP="00F90EAE">
      <w:pPr>
        <w:pStyle w:val="a3"/>
        <w:rPr>
          <w:color w:val="000000" w:themeColor="text1"/>
          <w:lang w:val="ru-RU"/>
        </w:rPr>
      </w:pPr>
    </w:p>
    <w:p w14:paraId="7D898C21"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12 марта 1945 заместителем начальника НИИ ВВС генерал-лейтенантом М. В. Гуревичем был утвержден Отчет по испытаниям прицела ПШ-3, который был разработан заводом № 589 НКВ специально для Ил-10 и с 22 по 28 февраля 1945 на самолете Ил-2 (зав. № 0944) в ГК НИИ ВВС.</w:t>
      </w:r>
    </w:p>
    <w:p w14:paraId="20D1D1DD"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Проведение испытаний ПШ-3 на самолете Ил-2 обуславливалось желанием как можно скорее довести прицел и поставить его на вооружение штурмовой авиации.</w:t>
      </w:r>
    </w:p>
    <w:p w14:paraId="2C6CD923" w14:textId="77777777" w:rsidR="00BD4B69" w:rsidRPr="00F90EAE" w:rsidRDefault="00BD4B6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ПШ-3 обеспечивал прицельное бомбометание с горизонтального и пикирующего полетов. Прицельные данные вырабатывались автоматически в зависимости от установки летчиком исходных данных - высоты и путевой скорости полета при бомбометании с горизонтального полета, высоты ввода в пикирование при бомбометании с пикирования. Кроме бомбометания, прицел ПШ-3 использовался для стрельбы из стрелково -пушечного и ракетного оружия.</w:t>
      </w:r>
    </w:p>
    <w:p w14:paraId="66D2E2FD"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Расчет условий бомбометания выполнялся для бомбометания в плоскости ветра. Рабочий диапазон при бомбометании с горизонтального полета составлял: высота - 100-1400 м, скорость полета - 350-550 км/ч. Принятое в расчетах характеристическое время падения бомбы - 20,37 с.</w:t>
      </w:r>
    </w:p>
    <w:p w14:paraId="435AE47E" w14:textId="77777777" w:rsidR="00BD4B69" w:rsidRPr="00F90EAE" w:rsidRDefault="00BD4B6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При бомбометании с пикирования скорость ввода в пикирование была постоянной - 340 км/ч. Высота ввода в пикирование изменялась в зависимости от угла пикирования: при угле пикирования 25° - 800 м, 30° - 1000 м, 35° - 1200 м, 40° - 1400 м.</w:t>
      </w:r>
    </w:p>
    <w:p w14:paraId="10FC94C9"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При бомбометании с горизонтального полета от летчика требовалось установить высоту, совместить шкалу прицела со скоростью, развернуть самолет на цель. Наблюдая цель в окуляр прицела, в момент ее прихода в перекрестие следовало нажать кнопку пуска счетно-решающего устройства, который в течение 6-8 с вырабатывал прицельные данные, соответствующие заданным условиям полета (высота и скорость), и автоматически удерживал линию визирования на цели до момента отработки прицельных данных. В момент построения счетно-решающим механизмом угла прицеливания (или упреждения) в поле зрения прицела появлялся световой сигнал. Прицел наводился в упреждающую точку. При совмещении цели с перекрестием сетки прицела автоматически осуществлялся сброс бомб. Сброс бомб можно было выполнить и без автоматики прицела, вручную, путем нажатия боевой кнопки.</w:t>
      </w:r>
    </w:p>
    <w:p w14:paraId="44E4A2C9"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В основу алгоритма работы прицела при бомбометании с пикирования была заложена следующая схема. Считалось, что самолет пикирует «с некоторой наперед заданной траекторией, состоящей из трех участков»: ввод в пикирование (продолжительность около 6 с), боевой курс (3 с), участок бросания бомбы (3 с). При этом в любой точке траектории участка бросания бомбы «летчик может сбросить бомбы при условии непрерывного совмещения перекрестия сетки прицела с целью».</w:t>
      </w:r>
    </w:p>
    <w:p w14:paraId="1245C29A" w14:textId="77777777" w:rsidR="00BD4B69" w:rsidRPr="00F90EAE" w:rsidRDefault="00BD4B6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Перед вводом в пикирование летчик должен был выставить на прицеле высоту ввода в пикирование. Визирное зеркало прицела устанавливается под углом предварительного визирования цели. Затем летчик выполняет разворот самолета на цель и находит ее через окуляр в поле зрения прицела. В момент прихода цели к перекрестию сетки прицела требовалось нажать кнопку пуска счетно -решающего механизма прицела и одновременно начать ввод самолета в пикирование. Во время ввода самолета в пикирование и непосредственно в ходе пикирования от летчика требовалось удерживать цель на перекрестии сетки и ожидать появления в поле зрения прицела светового сигнала, указывающего на момент построения угла упреждения. Сброс бомбы можно выполнить в течение трех секунд с момента появления светового сигнала и до его исчезновения. Все это время следовало удерживать цель в перекрестии сетки прицела.</w:t>
      </w:r>
    </w:p>
    <w:p w14:paraId="19474FA9"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В ходе испытаний бомбы сбрасывались с высоты 400 м на скорости 350 км/ч при горизонтальном бомбометании и 420 км/ч при сбросе бомб с пикирования (угол 30°). Во всех случаях «кучность бомбометания» была выше, чем при использовании ВМШ -2. Причем все точки падения бомб находились в пределах отличной оценки по «Руководству по бомбометанию 1944 г.».</w:t>
      </w:r>
    </w:p>
    <w:p w14:paraId="5FC7C555"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Государственные испытания на самолете Ил-10 прицел ПШ-3 проходил в Управлении испытаний авиавооружения ГК НИИ ВВС в период с 16 по 23 июля 1945 года.</w:t>
      </w:r>
    </w:p>
    <w:p w14:paraId="0DEA3DE6"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Ведущим инженером по испытаниям был назначен начальник 2-го отделения 2-го отдела Управления испытаний авиавооружений ГК НИИ ВВС инженер-майор С. М Лавров.</w:t>
      </w:r>
    </w:p>
    <w:p w14:paraId="6E55693C" w14:textId="77777777" w:rsidR="00BD4B69" w:rsidRPr="00F90EAE" w:rsidRDefault="00BD4B69" w:rsidP="00F90EAE">
      <w:pPr>
        <w:jc w:val="both"/>
        <w:rPr>
          <w:color w:val="000000" w:themeColor="text1"/>
          <w:sz w:val="16"/>
          <w:szCs w:val="16"/>
        </w:rPr>
      </w:pPr>
      <w:r w:rsidRPr="00F90EAE">
        <w:rPr>
          <w:rStyle w:val="107"/>
          <w:rFonts w:eastAsiaTheme="minorHAnsi"/>
          <w:color w:val="000000" w:themeColor="text1"/>
          <w:sz w:val="16"/>
          <w:szCs w:val="16"/>
        </w:rPr>
        <w:t>Результаты оказались неудовлетворительными. Вследствие значительных вибраций визирного зеркала и оптической трубы прицела кач ество изображения наблюдаемых объектов было плохим. Кроме того, имели место систематические недолеты бомб при их сбросе как с пикирования, так и с горизонтального полета.</w:t>
      </w:r>
    </w:p>
    <w:p w14:paraId="5DB303FA" w14:textId="77777777" w:rsidR="00BD4B69" w:rsidRPr="00F90EAE" w:rsidRDefault="00BD4B6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следствие, испытательной бригадой было сделано заключение, что «ПШ-3 № 4110001 конструкции и изготовления завода № 589 НКВ государственных испытаний на самолете Ил-10 не выдержал». Требовалось «просить Главного конструктора самолета Ил-10 генерал-лейтенанта Ильюшина С. В. дать указания 0КБ-240 об улучшении амортизации кронштейна для крепления ПШ-3 на самолете Ил-10», а также «внести изменения, исключающие систематический недолет бомб, нанести штрихи на сетку для поправки на ветер...» (17490).</w:t>
      </w:r>
    </w:p>
    <w:p w14:paraId="37AC7E4A" w14:textId="77777777" w:rsidR="00BD4B69" w:rsidRPr="00F90EAE" w:rsidRDefault="00BD4B69" w:rsidP="00F90EAE">
      <w:pPr>
        <w:jc w:val="both"/>
        <w:rPr>
          <w:rStyle w:val="107"/>
          <w:rFonts w:eastAsiaTheme="minorHAnsi"/>
          <w:color w:val="000000" w:themeColor="text1"/>
          <w:sz w:val="16"/>
          <w:szCs w:val="16"/>
        </w:rPr>
      </w:pPr>
    </w:p>
    <w:p w14:paraId="6F75A9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закончились специальные летные испытания по отработке методов борьбы Як и Ла с немецкими истребителями-штурмовиками ФВ-190 А-8 с БМВ-801 N 68201 и облегченным N 580967 выпуска сентября 1944, которые проводились с 1 марта 1945 (746,1).</w:t>
      </w:r>
    </w:p>
    <w:p w14:paraId="0FE1A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DD8E7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Проводились с 1 по 12 марта 1945</w:t>
      </w:r>
    </w:p>
    <w:p w14:paraId="652ADF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 вед. И и-м Рабин</w:t>
      </w:r>
    </w:p>
    <w:p w14:paraId="38DF60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 Нач. 1 отд. 1У и М.Д.Васильев</w:t>
      </w:r>
    </w:p>
    <w:p w14:paraId="6C767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л облета: Хомяков (ФВ), Антипов (ФВ), Дзюба (Ла-5), Кубышкин (Ла-7), Прошаков (Як-3), Кувшинов (Як-9У).</w:t>
      </w:r>
    </w:p>
    <w:p w14:paraId="17B0AB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ФВ-190А-8 № 68201 - серийный, выпуска сентября 1944.</w:t>
      </w:r>
    </w:p>
    <w:p w14:paraId="6FACE7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Основное назначение с-та - борьба с тяжелыми бомб. с-тами.</w:t>
      </w:r>
    </w:p>
    <w:p w14:paraId="573F21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Советско-германском фронте применяется в качестве истребителя и штурмовика.</w:t>
      </w:r>
    </w:p>
    <w:p w14:paraId="2C005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232F2D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 горючего - 642 л, размещается в 2-х основных и одном дополнительном б/б.</w:t>
      </w:r>
    </w:p>
    <w:p w14:paraId="63EAF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 УДМ диаметром 3,3</w:t>
      </w:r>
    </w:p>
    <w:p w14:paraId="4911DF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4DB68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 фюзеляжем предусмотрена подвеска б/д для бом весом до 250 кг (или подвесного б/б)</w:t>
      </w:r>
    </w:p>
    <w:p w14:paraId="6F25E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С-т оборудован модифицированной УКВ р/с </w:t>
      </w:r>
      <w:r w:rsidRPr="00F90EAE">
        <w:rPr>
          <w:color w:val="000000" w:themeColor="text1"/>
          <w:sz w:val="16"/>
          <w:szCs w:val="16"/>
          <w:lang w:val="en-US"/>
        </w:rPr>
        <w:t>F</w:t>
      </w:r>
      <w:r w:rsidRPr="00F90EAE">
        <w:rPr>
          <w:color w:val="000000" w:themeColor="text1"/>
          <w:sz w:val="16"/>
          <w:szCs w:val="16"/>
        </w:rPr>
        <w:t xml:space="preserve"> и </w:t>
      </w:r>
      <w:r w:rsidRPr="00F90EAE">
        <w:rPr>
          <w:color w:val="000000" w:themeColor="text1"/>
          <w:sz w:val="16"/>
          <w:szCs w:val="16"/>
          <w:lang w:val="en-US"/>
        </w:rPr>
        <w:t>G</w:t>
      </w:r>
      <w:r w:rsidRPr="00F90EAE">
        <w:rPr>
          <w:color w:val="000000" w:themeColor="text1"/>
          <w:sz w:val="16"/>
          <w:szCs w:val="16"/>
        </w:rPr>
        <w:t>-25А, представляющей собой радиоопознавательс “свой-чужой”.</w:t>
      </w:r>
    </w:p>
    <w:p w14:paraId="1D718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приземлился на советской территории в октябре 1944.</w:t>
      </w:r>
    </w:p>
    <w:p w14:paraId="27439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68386D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57D9AD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200-300 м на форсаже уходит от Як-3 на преследовании</w:t>
      </w:r>
    </w:p>
    <w:p w14:paraId="54D20D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19660951" w14:textId="77777777" w:rsidR="00665165" w:rsidRPr="00F90EAE" w:rsidRDefault="00665165" w:rsidP="00F90EAE">
      <w:pPr>
        <w:autoSpaceDE w:val="0"/>
        <w:autoSpaceDN w:val="0"/>
        <w:adjustRightInd w:val="0"/>
        <w:jc w:val="both"/>
        <w:rPr>
          <w:color w:val="000000" w:themeColor="text1"/>
          <w:sz w:val="16"/>
          <w:szCs w:val="16"/>
        </w:rPr>
      </w:pPr>
    </w:p>
    <w:p w14:paraId="7A803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1942 по приказу НКАП №192 в связи с частичным возвращением (к .4.42 г.) и возобновлением деятельности ЦИАМ на прежнем месте завод №41 был размещен на площадях бывшего опытного завода ЦИАМ по ул.Авиамоторная (10777).</w:t>
      </w:r>
    </w:p>
    <w:p w14:paraId="233EF6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Осуществлял ремонт моторов М-25, М-62, М-63, М-11, производство моторов М-11 (42 г.) и его модификаций. </w:t>
      </w:r>
    </w:p>
    <w:p w14:paraId="41747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Для более целесообразного использования площадей и создания нормальной работы в соответствии с приказом №424 от 7.6.42 г.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w:t>
      </w:r>
    </w:p>
    <w:p w14:paraId="2C302E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F72C3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00C98B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4F043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701F70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011FFB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42EE96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 и гл.к. назначен В.В.Уваров (приказ №546 от 15.8.46 г.). Штат формировался в основном за счет опытного и серийного КБ завода. </w:t>
      </w:r>
    </w:p>
    <w:p w14:paraId="5612C3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28DBD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 .7.48 г. завод передан из 8ГУ в 4ГУ (моторные агрегаты), с 1.7.49 г. - во 2ГУ МАП (самолетные агрегаты). </w:t>
      </w:r>
    </w:p>
    <w:p w14:paraId="14F220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А.Т.Завитаев (1946-48гг). Далее дир. - Ю.А.Мизюров (до 1950 г.), И.А.Лихачев (в 1950-53гг.). </w:t>
      </w:r>
    </w:p>
    <w:p w14:paraId="27CDDB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гл.инж.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1F5C3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03B80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75BFB0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55E54A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Авангард, Московский машиностроительный завод, ОАО (ОАО "ММЗ "Авангард") </w:t>
      </w:r>
    </w:p>
    <w:p w14:paraId="585A5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1C16D3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- 125130 г.Москва ул.Цеткин К., 33 (10777).</w:t>
      </w:r>
    </w:p>
    <w:p w14:paraId="32C3E439" w14:textId="77777777" w:rsidR="00665165" w:rsidRPr="00F90EAE" w:rsidRDefault="00665165" w:rsidP="00F90EAE">
      <w:pPr>
        <w:autoSpaceDE w:val="0"/>
        <w:autoSpaceDN w:val="0"/>
        <w:adjustRightInd w:val="0"/>
        <w:jc w:val="both"/>
        <w:rPr>
          <w:color w:val="000000" w:themeColor="text1"/>
          <w:sz w:val="16"/>
          <w:szCs w:val="16"/>
        </w:rPr>
      </w:pPr>
    </w:p>
    <w:p w14:paraId="20173E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вышло постановление ГОКО N 7755с по отгрузке крыльев и пусковых устройств самолетов-снарядов (1874,11).</w:t>
      </w:r>
    </w:p>
    <w:p w14:paraId="36B2FB17" w14:textId="77777777" w:rsidR="00665165" w:rsidRPr="00F90EAE" w:rsidRDefault="00665165" w:rsidP="00F90EAE">
      <w:pPr>
        <w:autoSpaceDE w:val="0"/>
        <w:autoSpaceDN w:val="0"/>
        <w:adjustRightInd w:val="0"/>
        <w:jc w:val="both"/>
        <w:rPr>
          <w:color w:val="000000" w:themeColor="text1"/>
          <w:sz w:val="16"/>
          <w:szCs w:val="16"/>
        </w:rPr>
      </w:pPr>
    </w:p>
    <w:p w14:paraId="0B5780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6F59523" w14:textId="77777777" w:rsidR="00665165" w:rsidRPr="00F90EAE" w:rsidRDefault="00665165" w:rsidP="00F90EAE">
      <w:pPr>
        <w:autoSpaceDE w:val="0"/>
        <w:autoSpaceDN w:val="0"/>
        <w:adjustRightInd w:val="0"/>
        <w:jc w:val="both"/>
        <w:rPr>
          <w:iCs/>
          <w:color w:val="000000" w:themeColor="text1"/>
          <w:sz w:val="16"/>
          <w:szCs w:val="16"/>
        </w:rPr>
      </w:pPr>
    </w:p>
    <w:p w14:paraId="066736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марта 1945 г. наркомом танковой промышленности В.А. Малыше</w:t>
      </w:r>
      <w:r w:rsidRPr="00F90EAE">
        <w:rPr>
          <w:color w:val="000000" w:themeColor="text1"/>
          <w:sz w:val="16"/>
          <w:szCs w:val="16"/>
        </w:rPr>
        <w:softHyphen/>
        <w:t>вым и заместителем командующего БТ и МВ РККА Б.М. Коробковым был подписан совместный приказ о проведении полигонных испытаний танка ИС-3 ("Объект 703") на НИБТ полигоне с 23 марта по 11 апреля 1945 г. комиссией под председательством инженер-полковника А.И. Благонравова (10703).</w:t>
      </w:r>
    </w:p>
    <w:p w14:paraId="40B332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5B01932" w14:textId="77777777" w:rsidR="00F76B9F" w:rsidRPr="00F90EAE" w:rsidRDefault="00F76B9F" w:rsidP="00F90EAE">
      <w:pPr>
        <w:jc w:val="both"/>
        <w:rPr>
          <w:color w:val="000000" w:themeColor="text1"/>
          <w:sz w:val="16"/>
          <w:szCs w:val="16"/>
        </w:rPr>
      </w:pPr>
      <w:r w:rsidRPr="00F90EAE">
        <w:rPr>
          <w:color w:val="000000" w:themeColor="text1"/>
          <w:sz w:val="16"/>
          <w:szCs w:val="16"/>
        </w:rPr>
        <w:t>С 12 марта по 15 апреля 1945 года проходили испытания канадского снегохода. Ввиду того, что они начались довольно поздно, программу испытаний пришлось корректировать, поскольку к их концу снег практически растаял. Тем не менее даже тот объём испытаний, который удалось провести, наглядно показал очевидные преимущества конструкции чисто гусеничного снегохода над аэросанями. Всего машина прошла 881 км, из них по заснеженной целине — 737 км, по заснеженной просёлочной дороге — 73 км и по асфальтовому шоссе — 7 км. В местах, где проходил снегоход, толщина снежного покрова достигала 70 см, что же касается грунтовых дорог, то это были разбитые просёлки с наезженными танковыми колеями.</w:t>
      </w:r>
    </w:p>
    <w:p w14:paraId="3FC35447" w14:textId="77777777" w:rsidR="00F76B9F" w:rsidRPr="00F90EAE" w:rsidRDefault="00F76B9F" w:rsidP="00F90EAE">
      <w:pPr>
        <w:jc w:val="both"/>
        <w:rPr>
          <w:color w:val="000000" w:themeColor="text1"/>
          <w:sz w:val="16"/>
          <w:szCs w:val="16"/>
        </w:rPr>
      </w:pPr>
      <w:r w:rsidRPr="00F90EAE">
        <w:rPr>
          <w:color w:val="000000" w:themeColor="text1"/>
          <w:sz w:val="16"/>
          <w:szCs w:val="16"/>
        </w:rPr>
        <w:t>На ровных заснеженных участках у НКЛ-38 наблюдалось определённое преимущество: средняя техническая скорость достигала 14,6 км/ч, в то время как у канадского снегохода она составляла 11–12,5 км/ч (в зависимости от плотности снега). Благодаря широким гусеницам канадская машина могла проходить участки, которые до того могли преодолевать лишь аэросани. Канадский снегоход, почти втрое более тяжёлый, чем НКЛ-38, проваливался в рыхлом снегу на глубину до 40 см, при этом продолжая уверенно двигаться вперёд. При езде по просёлочным дорогам канадская машина и вовсе вышла вперёд: у НКЛ-38 техническая скорость на накатанной дороге составляла 16,2 км/ч, а Armoured Snowmobile Mk.I шёл по разбитой танками дороге со скоростью 20,3 км/ч. Испытателями отмечалась хорошая приёмистость и лёгкость управления снегоходом.</w:t>
      </w:r>
    </w:p>
    <w:p w14:paraId="4384FBB6" w14:textId="77777777" w:rsidR="00F76B9F" w:rsidRPr="00F90EAE" w:rsidRDefault="00F76B9F" w:rsidP="00F90EAE">
      <w:pPr>
        <w:jc w:val="both"/>
        <w:rPr>
          <w:color w:val="000000" w:themeColor="text1"/>
          <w:sz w:val="16"/>
          <w:szCs w:val="16"/>
        </w:rPr>
      </w:pPr>
      <w:r w:rsidRPr="00F90EAE">
        <w:rPr>
          <w:color w:val="000000" w:themeColor="text1"/>
          <w:sz w:val="16"/>
          <w:szCs w:val="16"/>
        </w:rPr>
        <w:t>Снегоход легко преодолевал снежные валы высотой 170 см, кустарник для него не был проблемой, на испытаниях машина повалила дерево с диаметром ствола 15 см — всё это было для аэросаней абсолютно нереальными показателями. Аэросани не могли подняться на косогор углом более 15 градусов, а для снегохода и 20 градусов не были проблемой (на более крутые склоны машина не могла подняться из-за недостаточного сцепления гусениц со снегом).</w:t>
      </w:r>
    </w:p>
    <w:p w14:paraId="5FB95FBD" w14:textId="77777777" w:rsidR="00F76B9F" w:rsidRPr="00F90EAE" w:rsidRDefault="00F76B9F" w:rsidP="00F90EAE">
      <w:pPr>
        <w:jc w:val="both"/>
        <w:rPr>
          <w:color w:val="000000" w:themeColor="text1"/>
          <w:sz w:val="16"/>
          <w:szCs w:val="16"/>
        </w:rPr>
      </w:pPr>
      <w:r w:rsidRPr="00F90EAE">
        <w:rPr>
          <w:color w:val="000000" w:themeColor="text1"/>
          <w:sz w:val="16"/>
          <w:szCs w:val="16"/>
        </w:rPr>
        <w:t>Можно с уверенностью говорить о том, что на тот момент не было ни одной машины, которая могла сравниться с Armoured Snowmobile Mk.I по проходимости. Наличие у машины буксирного крюка не осталось незамеченным: одним из пунктов испытаний стала буксировка 76-мм полковой пушки образца 1943 года (ОБ-25). Снегоход без проблем тащил за собой пушку по всем участкам местности, при этом средняя скорость движения по просёлочной дороге составила 18–20 км/ч. Этого испытателям показалось мало, и в довесок к пушке за Armoured Snowmobile Mk.I потащили его оппонента НКЛ-38. Машина справилась и с этой задачей, уверенно потащив невероятный для снегохода груз за собой. Более того, канадский снегоход дополнительно испытали на подъём с НКЛ-38 в качестве прицепа — в таком виде был преодолён косогор с углом 12 градусов.</w:t>
      </w:r>
    </w:p>
    <w:p w14:paraId="659AC1B4" w14:textId="77777777" w:rsidR="00F76B9F" w:rsidRPr="00F90EAE" w:rsidRDefault="00F76B9F" w:rsidP="00F90EAE">
      <w:pPr>
        <w:jc w:val="both"/>
        <w:rPr>
          <w:color w:val="000000" w:themeColor="text1"/>
          <w:sz w:val="16"/>
          <w:szCs w:val="16"/>
        </w:rPr>
      </w:pPr>
      <w:r w:rsidRPr="00F90EAE">
        <w:rPr>
          <w:color w:val="000000" w:themeColor="text1"/>
          <w:sz w:val="16"/>
          <w:szCs w:val="16"/>
        </w:rPr>
        <w:t xml:space="preserve">Положительные отзывы вызвало и расположение экипажа. Как уже говорилось, кабина была сделана открытой сверху, и головы экипажа защищали лишь откидывающиеся ветровые щитки, зато имелась эффективная система обогрева. Отмечалось удобство пользования радиостанцией, удобное расположение рычагов управления и информативность приборной панели. Была высоко оценена и установка вооружения, позволявшая по-разному распределять оружие между членами </w:t>
      </w:r>
      <w:r w:rsidRPr="00F90EAE">
        <w:rPr>
          <w:color w:val="000000" w:themeColor="text1"/>
          <w:sz w:val="16"/>
          <w:szCs w:val="16"/>
        </w:rPr>
        <w:lastRenderedPageBreak/>
        <w:t>экипажа. Вертлюги, доступные стрелку-радисту, позволяли вести огонь как по наземным, так и по воздушным целям. Единственным серьёзным недостатком боевого отделения было расположение смотрового прибора в лобовом листе корпуса. Конструкторы установили его слишком низко, и смотровой прибор выполнял, по сути, декоративную функцию, поскольку пользоваться им было почти невозможно.</w:t>
      </w:r>
    </w:p>
    <w:p w14:paraId="7D0613BE" w14:textId="77777777" w:rsidR="00F76B9F" w:rsidRPr="00F90EAE" w:rsidRDefault="00F76B9F" w:rsidP="00F90EAE">
      <w:pPr>
        <w:jc w:val="both"/>
        <w:rPr>
          <w:color w:val="000000" w:themeColor="text1"/>
          <w:sz w:val="16"/>
          <w:szCs w:val="16"/>
        </w:rPr>
      </w:pPr>
      <w:r w:rsidRPr="00F90EAE">
        <w:rPr>
          <w:color w:val="000000" w:themeColor="text1"/>
          <w:sz w:val="16"/>
          <w:szCs w:val="16"/>
        </w:rPr>
        <w:t>По итогам испытаний канадская машина удостоилась похвалы. Конструкцию ходовой части признали удачной, также отмечали высокие данные по проходимости, которая оказалась выше, чем у Bombardier B2 (улучшенную версию B1 также прислали на испытания в СССР). Благодаря применению автоматической коробки передач отмечалась лёгкость управления. Удачным решением назвали и использование тёплого воздуха от двигателя в качестве средства обогрева боевого отделения. В целом машина представляла большой интерес для советской промышленности:</w:t>
      </w:r>
    </w:p>
    <w:p w14:paraId="6D305BCD" w14:textId="77777777" w:rsidR="00F76B9F" w:rsidRPr="00F90EAE" w:rsidRDefault="00F76B9F" w:rsidP="00F90EAE">
      <w:pPr>
        <w:jc w:val="both"/>
        <w:rPr>
          <w:color w:val="000000" w:themeColor="text1"/>
          <w:sz w:val="16"/>
          <w:szCs w:val="16"/>
        </w:rPr>
      </w:pPr>
      <w:r w:rsidRPr="00F90EAE">
        <w:rPr>
          <w:color w:val="000000" w:themeColor="text1"/>
          <w:sz w:val="16"/>
          <w:szCs w:val="16"/>
        </w:rPr>
        <w:t>«1. Канадский бронированный снегоход Б-3 (Мк-1) обладает удовлетворительными динамическими качествами и высокой проходимостью в условиях зимнего бездорожья.</w:t>
      </w:r>
    </w:p>
    <w:p w14:paraId="733ECA5F" w14:textId="77777777" w:rsidR="00F76B9F" w:rsidRPr="00F90EAE" w:rsidRDefault="00F76B9F" w:rsidP="00F90EAE">
      <w:pPr>
        <w:jc w:val="both"/>
        <w:rPr>
          <w:color w:val="000000" w:themeColor="text1"/>
          <w:sz w:val="16"/>
          <w:szCs w:val="16"/>
        </w:rPr>
      </w:pPr>
      <w:r w:rsidRPr="00F90EAE">
        <w:rPr>
          <w:color w:val="000000" w:themeColor="text1"/>
          <w:sz w:val="16"/>
          <w:szCs w:val="16"/>
        </w:rPr>
        <w:t>Малое количество мест для пассажиров и груза на снегоходе затрудняет использование его как транспортёра или лёгкого</w:t>
      </w:r>
      <w:hyperlink r:id="rId67" w:history="1">
        <w:r w:rsidRPr="00F90EAE">
          <w:rPr>
            <w:rStyle w:val="a5"/>
            <w:color w:val="000000" w:themeColor="text1"/>
            <w:sz w:val="16"/>
            <w:szCs w:val="16"/>
          </w:rPr>
          <w:t>артиллерийского тягача</w:t>
        </w:r>
      </w:hyperlink>
      <w:r w:rsidRPr="00F90EAE">
        <w:rPr>
          <w:color w:val="000000" w:themeColor="text1"/>
          <w:sz w:val="16"/>
          <w:szCs w:val="16"/>
        </w:rPr>
        <w:t>.</w:t>
      </w:r>
    </w:p>
    <w:p w14:paraId="4AE684F0" w14:textId="77777777" w:rsidR="00F76B9F" w:rsidRPr="00F90EAE" w:rsidRDefault="00F76B9F" w:rsidP="00F90EAE">
      <w:pPr>
        <w:jc w:val="both"/>
        <w:rPr>
          <w:color w:val="000000" w:themeColor="text1"/>
          <w:sz w:val="16"/>
          <w:szCs w:val="16"/>
        </w:rPr>
      </w:pPr>
      <w:r w:rsidRPr="00F90EAE">
        <w:rPr>
          <w:color w:val="000000" w:themeColor="text1"/>
          <w:sz w:val="16"/>
          <w:szCs w:val="16"/>
        </w:rPr>
        <w:t>В настоящем виде снегоход может быть использован как разведывательная или связная машина.</w:t>
      </w:r>
    </w:p>
    <w:p w14:paraId="0886D0B8" w14:textId="77777777" w:rsidR="00F76B9F" w:rsidRPr="00F90EAE" w:rsidRDefault="00F76B9F" w:rsidP="00F90EAE">
      <w:pPr>
        <w:jc w:val="both"/>
        <w:rPr>
          <w:color w:val="000000" w:themeColor="text1"/>
          <w:sz w:val="16"/>
          <w:szCs w:val="16"/>
        </w:rPr>
      </w:pPr>
      <w:r w:rsidRPr="00F90EAE">
        <w:rPr>
          <w:color w:val="000000" w:themeColor="text1"/>
          <w:sz w:val="16"/>
          <w:szCs w:val="16"/>
        </w:rPr>
        <w:t>2. Базу снегохода Б-3 (Мк-1) целесообразно использовать для создания отечественного вездехода в качестве транспортёра и лёгкого тягача».</w:t>
      </w:r>
    </w:p>
    <w:p w14:paraId="3701DB0A" w14:textId="77777777" w:rsidR="00F76B9F" w:rsidRPr="00F90EAE" w:rsidRDefault="00F76B9F" w:rsidP="00F90EAE">
      <w:pPr>
        <w:jc w:val="both"/>
        <w:rPr>
          <w:color w:val="000000" w:themeColor="text1"/>
          <w:sz w:val="16"/>
          <w:szCs w:val="16"/>
        </w:rPr>
      </w:pPr>
      <w:r w:rsidRPr="00F90EAE">
        <w:rPr>
          <w:color w:val="000000" w:themeColor="text1"/>
          <w:sz w:val="16"/>
          <w:szCs w:val="16"/>
        </w:rPr>
        <w:t>Вряд ли на НИБТ Полигоне знали, для чего разрабатывался Armoured Snowmobile Mk.I, так что комментарии насчёт «плохого тягача» можно опустить. Как уже говорилось, данная машина фактически являлась аналогом НКЛ-26. Она показала главное: гусеничная система Бомбардье выглядела более удачной, чем аэросани. Даже небольшого объёма испытаний оказалось достаточно, чтобы сделать выводы о перспективах аэросаней. НКЛ-38 в серию не пошли, а после войны боевые аэросани уже не строили. Впрочем, для канадской машины испытания на этом не закончились (18251).</w:t>
      </w:r>
    </w:p>
    <w:p w14:paraId="5D3CF150" w14:textId="77777777" w:rsidR="00F76B9F" w:rsidRPr="00F90EAE" w:rsidRDefault="00F76B9F" w:rsidP="00F90EAE">
      <w:pPr>
        <w:jc w:val="both"/>
        <w:rPr>
          <w:color w:val="000000" w:themeColor="text1"/>
          <w:sz w:val="16"/>
          <w:szCs w:val="16"/>
        </w:rPr>
      </w:pPr>
    </w:p>
    <w:p w14:paraId="06026C5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марта 1945 вышло Распоряжение ГКО № 7791 [О мерах по разгрузке Уфимского, Грозненских и Бакинских нефтезаводов от скопившихся светлых нефтепродуктов.] (7315, 2-3).</w:t>
      </w:r>
    </w:p>
    <w:p w14:paraId="260437F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E44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вышло Постановление ГКО № 7790 О мерах неотложной помощи углем Мосгорисполкому в марте 1945 года. РГАНИР, Фонд ГКО, д. 380 Л.1 (11012).</w:t>
      </w:r>
    </w:p>
    <w:p w14:paraId="725A0E06" w14:textId="77777777" w:rsidR="00665165" w:rsidRPr="00F90EAE" w:rsidRDefault="00665165" w:rsidP="00F90EAE">
      <w:pPr>
        <w:autoSpaceDE w:val="0"/>
        <w:autoSpaceDN w:val="0"/>
        <w:adjustRightInd w:val="0"/>
        <w:jc w:val="both"/>
        <w:rPr>
          <w:color w:val="000000" w:themeColor="text1"/>
          <w:sz w:val="16"/>
          <w:szCs w:val="16"/>
        </w:rPr>
      </w:pPr>
    </w:p>
    <w:p w14:paraId="03D8DF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вышло Распоряжение ГКО № 7792. Об обеспечении предприятий НКЧМ марганцевой рудой. РГАНИР, Фонд ГКО, д. 380 Л.4 (11012).</w:t>
      </w:r>
    </w:p>
    <w:p w14:paraId="32159E4A" w14:textId="77777777" w:rsidR="00665165" w:rsidRPr="00F90EAE" w:rsidRDefault="00665165" w:rsidP="00F90EAE">
      <w:pPr>
        <w:autoSpaceDE w:val="0"/>
        <w:autoSpaceDN w:val="0"/>
        <w:adjustRightInd w:val="0"/>
        <w:jc w:val="both"/>
        <w:rPr>
          <w:color w:val="000000" w:themeColor="text1"/>
          <w:sz w:val="16"/>
          <w:szCs w:val="16"/>
        </w:rPr>
      </w:pPr>
    </w:p>
    <w:p w14:paraId="02664B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вышло Постановление ГКО № 7793 Об обеспечении куйбышевских электростанций углем на период весеннего разлива реки Волги. РГАНИР, Фонд ГКО, д. 380, лл. 5-7 (11012).</w:t>
      </w:r>
    </w:p>
    <w:p w14:paraId="2961FCAB" w14:textId="77777777" w:rsidR="00665165" w:rsidRPr="00F90EAE" w:rsidRDefault="00665165" w:rsidP="00F90EAE">
      <w:pPr>
        <w:autoSpaceDE w:val="0"/>
        <w:autoSpaceDN w:val="0"/>
        <w:adjustRightInd w:val="0"/>
        <w:jc w:val="both"/>
        <w:rPr>
          <w:color w:val="000000" w:themeColor="text1"/>
          <w:sz w:val="16"/>
          <w:szCs w:val="16"/>
        </w:rPr>
      </w:pPr>
    </w:p>
    <w:p w14:paraId="2F26EF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вышло Постановление ГКО № 7794 О мероприятиях по обеспечению мазутом заводов Наркомвооружения в марте 1945 г. РГАНИР, Фонд ГКО, д. 380, лл. 8-10 (11012).</w:t>
      </w:r>
    </w:p>
    <w:p w14:paraId="03CC9D32" w14:textId="77777777" w:rsidR="00665165" w:rsidRPr="00F90EAE" w:rsidRDefault="00665165" w:rsidP="00F90EAE">
      <w:pPr>
        <w:autoSpaceDE w:val="0"/>
        <w:autoSpaceDN w:val="0"/>
        <w:adjustRightInd w:val="0"/>
        <w:jc w:val="both"/>
        <w:rPr>
          <w:color w:val="000000" w:themeColor="text1"/>
          <w:sz w:val="16"/>
          <w:szCs w:val="16"/>
        </w:rPr>
      </w:pPr>
    </w:p>
    <w:p w14:paraId="5BB74B9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1DB1A06" w14:textId="77777777" w:rsidR="00665165" w:rsidRPr="00F90EAE" w:rsidRDefault="00665165" w:rsidP="00F90EAE">
      <w:pPr>
        <w:autoSpaceDE w:val="0"/>
        <w:autoSpaceDN w:val="0"/>
        <w:adjustRightInd w:val="0"/>
        <w:jc w:val="both"/>
        <w:rPr>
          <w:iCs/>
          <w:color w:val="000000" w:themeColor="text1"/>
          <w:sz w:val="16"/>
          <w:szCs w:val="16"/>
        </w:rPr>
      </w:pPr>
    </w:p>
    <w:p w14:paraId="6D8226ED" w14:textId="77777777" w:rsidR="00070AF2" w:rsidRPr="00F90EAE" w:rsidRDefault="00070AF2" w:rsidP="00F90EAE">
      <w:pPr>
        <w:jc w:val="both"/>
        <w:rPr>
          <w:color w:val="000000" w:themeColor="text1"/>
          <w:sz w:val="16"/>
          <w:szCs w:val="16"/>
        </w:rPr>
      </w:pPr>
      <w:r w:rsidRPr="00F90EAE">
        <w:rPr>
          <w:bCs/>
          <w:color w:val="000000" w:themeColor="text1"/>
          <w:sz w:val="16"/>
          <w:szCs w:val="16"/>
        </w:rPr>
        <w:t>12 марта</w:t>
      </w:r>
      <w:r w:rsidRPr="00F90EAE">
        <w:rPr>
          <w:color w:val="000000" w:themeColor="text1"/>
          <w:sz w:val="16"/>
          <w:szCs w:val="16"/>
        </w:rPr>
        <w:t xml:space="preserve"> в 1945 году оперативная сводка Совинформбюро:</w:t>
      </w:r>
    </w:p>
    <w:p w14:paraId="351C4EA1" w14:textId="77777777" w:rsidR="00070AF2" w:rsidRPr="00F90EAE" w:rsidRDefault="00070AF2"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овладели важными опорными пунктами обороны немцев на подступах к Данцигу и Гдыне городами Тчев (Диршау), Вейхарово (Нойштадт) и вышли на побережье Данцигской бухты севернее Гдыни, заняв город Пуцк (Путциг). Одновременно войска фронта заняли более 100 других населённых пунктов и среди них Квашин, Коллетцкау, Решке, Гневау, Гросс Шлатау, Зеллистрау, Польцин, Верблин, Шлавошин, Карвен. За 11 марта в этом районе взято в плен более 2.000 немецких солдат и офицеров.</w:t>
      </w:r>
    </w:p>
    <w:p w14:paraId="1A014C22" w14:textId="77777777" w:rsidR="00070AF2" w:rsidRPr="00F90EAE" w:rsidRDefault="00070AF2" w:rsidP="00F90EAE">
      <w:pPr>
        <w:jc w:val="both"/>
        <w:rPr>
          <w:color w:val="000000" w:themeColor="text1"/>
          <w:sz w:val="16"/>
          <w:szCs w:val="16"/>
        </w:rPr>
      </w:pPr>
      <w:r w:rsidRPr="00F90EAE">
        <w:rPr>
          <w:color w:val="000000" w:themeColor="text1"/>
          <w:sz w:val="16"/>
          <w:szCs w:val="16"/>
        </w:rPr>
        <w:t>Войска 1-го Белорусского фронта после упорных боёв 12 марта штурмом овладели городом и крепостью Кистжинь (Кюстрин) — важным узлом путей сообщения и мощным опорным пунктом обороны немцев на реке Одер, прикрывающим подступы к Берлину.</w:t>
      </w:r>
    </w:p>
    <w:p w14:paraId="3ED27F6E" w14:textId="77777777" w:rsidR="00070AF2" w:rsidRPr="00F90EAE" w:rsidRDefault="00070AF2"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наши войска отбивали атаки крупных сил пехоты и танков противника и нанесли ему большие потери. В боях за 11 марта в этом районе огнём нашей артиллерии уничтожено 54 немецких танка и самоходных орудия. Кроме того, подбито и подорвалось на наших минных полях 27 танков и самоходных орудий противника.</w:t>
      </w:r>
    </w:p>
    <w:p w14:paraId="2C6F78F4" w14:textId="77777777" w:rsidR="00070AF2" w:rsidRPr="00F90EAE" w:rsidRDefault="00070AF2"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B7FE1E3" w14:textId="77777777" w:rsidR="00070AF2" w:rsidRPr="00F90EAE" w:rsidRDefault="00070AF2" w:rsidP="00F90EAE">
      <w:pPr>
        <w:jc w:val="both"/>
        <w:rPr>
          <w:color w:val="000000" w:themeColor="text1"/>
          <w:sz w:val="16"/>
          <w:szCs w:val="16"/>
        </w:rPr>
      </w:pPr>
      <w:r w:rsidRPr="00F90EAE">
        <w:rPr>
          <w:color w:val="000000" w:themeColor="text1"/>
          <w:sz w:val="16"/>
          <w:szCs w:val="16"/>
        </w:rPr>
        <w:t>За 11 марта на всех фронтах подбито и уничтожено 168 немецких танков и самоходных орудий. В воздушных боях и огнём зенитной артиллерии сбито 102 самолёта противника.</w:t>
      </w:r>
    </w:p>
    <w:p w14:paraId="0409929E" w14:textId="77777777" w:rsidR="00070AF2" w:rsidRPr="00F90EAE" w:rsidRDefault="00070AF2" w:rsidP="00F90EAE">
      <w:pPr>
        <w:jc w:val="both"/>
        <w:rPr>
          <w:color w:val="000000" w:themeColor="text1"/>
          <w:sz w:val="16"/>
          <w:szCs w:val="16"/>
        </w:rPr>
      </w:pPr>
      <w:r w:rsidRPr="00F90EAE">
        <w:rPr>
          <w:color w:val="000000" w:themeColor="text1"/>
          <w:sz w:val="16"/>
          <w:szCs w:val="16"/>
        </w:rPr>
        <w:t>Налёты нашей авиации на Данциг, Гдыню и Кенигсберг</w:t>
      </w:r>
    </w:p>
    <w:p w14:paraId="7E4A6002" w14:textId="77777777" w:rsidR="00070AF2" w:rsidRPr="00F90EAE" w:rsidRDefault="00070AF2" w:rsidP="00F90EAE">
      <w:pPr>
        <w:jc w:val="both"/>
        <w:rPr>
          <w:color w:val="000000" w:themeColor="text1"/>
          <w:sz w:val="16"/>
          <w:szCs w:val="16"/>
        </w:rPr>
      </w:pPr>
      <w:r w:rsidRPr="00F90EAE">
        <w:rPr>
          <w:color w:val="000000" w:themeColor="text1"/>
          <w:sz w:val="16"/>
          <w:szCs w:val="16"/>
        </w:rPr>
        <w:t>В ночь на 12 марта ваши тяжёлые бомбардировщики нанесли удар по военно-промышленным объектам в городах Данциге, Гдыне и Кенигсберге. В результате бомбардировки в указанных городах возникли пожары, сопровождавшиеся взрывами. Особенно сильные взрывы отмечены в Гдыне на территории военных складов и в порту.</w:t>
      </w:r>
    </w:p>
    <w:p w14:paraId="065217CE" w14:textId="77777777" w:rsidR="00070AF2" w:rsidRPr="00F90EAE" w:rsidRDefault="00070AF2"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На подступах к Данцигу с юга советские части овладели городом Тчев (Диршау) — крупным узлом железных дорог и сильным опорным пунктом обороны немцев. Противник сосредоточил в этом районе крупные силы пехоты и предпринимал контратаки. Наши передовые подразделения отражали вражеские контратаки, а основные силы совершили обходный манёвр и нанесли противнику внезапный удар с фланга. Над вражеской группировкой нависла опасность окружения. Немцы в беспорядке отступили, бросая оружие и боеприпасы. На другом участке наши подвижные соединения и пехота, преследуя разбитые немецкие части, быстро продвинулись вперёд и достигли западной окраины города Вейхарово (Нойштадт). Немцы, используя баррикады и каменные здания, оказывали упорное сопротивление. Наши пехотинцы и танкисты подавили узлы сопротивления противника и заняли город Вейхарово. Развивая успех, войска фронта продвинулись вперед на 25 километров и стремительной атакой заняли город Луцк (Путциг), расположенный на побережье Данцигской бухты. За день наступления занято более 100 других населённых пунктов, в том числе узел шоссейных дорог Квашин, находящийся в 10 километрах от Гдыни. В руках немцев остаётся узкая прибрежная полоса вдоль Данциг-ской бухты. Отступая под ударами наших войск, противник несёт огромные потери. На улицах населённых пунктов и на дорогах лежат тысячи вражеских трупов. Наши части захватили 34 танка и самоходных орудия, 11 бронетранспортёров, 127 полевых орудий, 6 самолётов, 1.800 повозок, 2.600 лошадей, 15 железнодорожных эшелонов и много других трофеев.</w:t>
      </w:r>
    </w:p>
    <w:p w14:paraId="1667DCAE" w14:textId="77777777" w:rsidR="00070AF2" w:rsidRPr="00F90EAE" w:rsidRDefault="00070AF2" w:rsidP="00F90EAE">
      <w:pPr>
        <w:jc w:val="both"/>
        <w:rPr>
          <w:color w:val="000000" w:themeColor="text1"/>
          <w:sz w:val="16"/>
          <w:szCs w:val="16"/>
        </w:rPr>
      </w:pPr>
      <w:r w:rsidRPr="00F90EAE">
        <w:rPr>
          <w:color w:val="000000" w:themeColor="text1"/>
          <w:sz w:val="16"/>
          <w:szCs w:val="16"/>
        </w:rPr>
        <w:t>Войска 1-го Белорусского фронта сегодня штурмом овладели городом и крепостью Кистжинь (Кюстрин). Этот город, расположенный при впадении реки Варты в Одер, являлся мощным опорным пунктом, прикрывающим подступы к Берлину. За последние годы форты крепости были усилены современными железобетонными оборонительными сооружениями. Несколько дней назад наши войска начали бои за Кистжинь. После мощной артиллерийской подготовки советские танки и пехота стремительным ударом заняли Нойштадт — северное предместье города и ворвались на его окраины. Завязались ожесточённые уличные бои. Немцы превратили все каменные здания в доты, а улицы преградили минными полями, баррикадами и противотанковыми рвами. Наши артиллеристы разрушали вражеские узлы сопротивления и расчищали путь пехоте. Противник, устилая улицы города трупами своих солдат, был вынужден оставлять один квартал за другим. Советские части выбили гитлеровцев из района железнодорожной станции, военных заводов и захватили 150 полевых орудий и большие склады боеприпасов. Сегодня наши войска завершили разгром крупного гарнизона противника и полностью овладели городом и крепостью. Захвачено много пленных. Наша авиация активно поддерживала действия наземных войск. Советские лётчики в воздушных боях сбили 32 самолёта противника. Кроме того, 8 немецких самолётов уничтожено огнём нашей зенитной артиллерии.</w:t>
      </w:r>
    </w:p>
    <w:p w14:paraId="2989C472" w14:textId="77777777" w:rsidR="00070AF2" w:rsidRPr="00F90EAE" w:rsidRDefault="00070AF2" w:rsidP="00F90EAE">
      <w:pPr>
        <w:jc w:val="both"/>
        <w:rPr>
          <w:color w:val="000000" w:themeColor="text1"/>
          <w:sz w:val="16"/>
          <w:szCs w:val="16"/>
        </w:rPr>
      </w:pPr>
      <w:r w:rsidRPr="00F90EAE">
        <w:rPr>
          <w:color w:val="000000" w:themeColor="text1"/>
          <w:sz w:val="16"/>
          <w:szCs w:val="16"/>
        </w:rPr>
        <w:t>Юго-западнее города Кольберг наши подразделения при прочёске леса встретили группу гитлеровцев. Немцы оказали сопротивление. В результате боя 27 немецких солдат и офицеров было убито, а 11 человек взято в плен. Среди убитых обнаружен труп командира 163-й немецкой пехотной дивизии генерал-лейтенанта Рубель.</w:t>
      </w:r>
    </w:p>
    <w:p w14:paraId="25421CF6" w14:textId="77777777" w:rsidR="00070AF2" w:rsidRPr="00F90EAE" w:rsidRDefault="00070AF2"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противник рано утром, после сильной артиллерийской подготовки, возобновил атаки наших позиций. Не добившись за истекшие дни успеха, немцы ввели в бой ещё две танковые дивизии. Пленные сообщают, что перед началом наступления Гитлер издал приказ, в котором предлагал, не считаясь ни с какими потерями, к 10 марта выйти к Дунаю. Немцы уже потеряли сотни танков, но не добились успеха. Советские пехотинцы, артиллеристы и танкисты мужественно защищают свои рубежи и наносят врагу огромный урон. За день боёв уничтожено свыше 3 тысяч немецких солдат и офицеров.</w:t>
      </w:r>
    </w:p>
    <w:p w14:paraId="745DD125" w14:textId="77777777" w:rsidR="00070AF2" w:rsidRPr="00F90EAE" w:rsidRDefault="00070AF2" w:rsidP="00F90EAE">
      <w:pPr>
        <w:jc w:val="both"/>
        <w:rPr>
          <w:color w:val="000000" w:themeColor="text1"/>
          <w:sz w:val="16"/>
          <w:szCs w:val="16"/>
        </w:rPr>
      </w:pPr>
      <w:r w:rsidRPr="00F90EAE">
        <w:rPr>
          <w:color w:val="000000" w:themeColor="text1"/>
          <w:sz w:val="16"/>
          <w:szCs w:val="16"/>
        </w:rPr>
        <w:t>Наша авиация наносила массированные бомбоштурмовые удары по боевым порядкам и подходящим резервам противника. Уничтожено большое число немецких танков, самоходных орудий, бронетранспортёров и автомашин. В воздушных боях сбито 25 самолётов противника.» (15066).</w:t>
      </w:r>
    </w:p>
    <w:p w14:paraId="4E2D7918" w14:textId="77777777" w:rsidR="00070AF2" w:rsidRPr="00F90EAE" w:rsidRDefault="00070AF2" w:rsidP="00F90EAE">
      <w:pPr>
        <w:jc w:val="both"/>
        <w:rPr>
          <w:color w:val="000000" w:themeColor="text1"/>
          <w:sz w:val="16"/>
          <w:szCs w:val="16"/>
        </w:rPr>
      </w:pPr>
    </w:p>
    <w:p w14:paraId="418B62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марта 1945 года имел место первый налет на конвой в Поморском заливе. 25 бомбардировщиков, 26 торпедоносцев и 56 штурмовиков в сопровождении 85 истребителей потопили тральщик N 3137, тральный катер N 249, транспорты "Андрос", "Хильде Ясмунд", "Карслберг", а также большой армейский транспорт "Руссельхайм" (9338 тонн) (2691).</w:t>
      </w:r>
    </w:p>
    <w:p w14:paraId="1B5E72A4" w14:textId="77777777" w:rsidR="00665165" w:rsidRPr="00F90EAE" w:rsidRDefault="00665165" w:rsidP="00F90EAE">
      <w:pPr>
        <w:autoSpaceDE w:val="0"/>
        <w:autoSpaceDN w:val="0"/>
        <w:adjustRightInd w:val="0"/>
        <w:jc w:val="both"/>
        <w:rPr>
          <w:color w:val="000000" w:themeColor="text1"/>
          <w:sz w:val="16"/>
          <w:szCs w:val="16"/>
        </w:rPr>
      </w:pPr>
    </w:p>
    <w:p w14:paraId="1160C9EF" w14:textId="77777777" w:rsidR="00BA2B8F" w:rsidRPr="00F90EAE" w:rsidRDefault="00BA2B8F" w:rsidP="00F90EAE">
      <w:pPr>
        <w:jc w:val="both"/>
        <w:rPr>
          <w:color w:val="000000" w:themeColor="text1"/>
          <w:sz w:val="16"/>
          <w:szCs w:val="16"/>
        </w:rPr>
      </w:pPr>
      <w:r w:rsidRPr="00F90EAE">
        <w:rPr>
          <w:color w:val="000000" w:themeColor="text1"/>
          <w:sz w:val="16"/>
          <w:szCs w:val="16"/>
        </w:rPr>
        <w:t>К 12 марта 1945 года, части армии, понесшие в ходе Силезской и Одер- ской операций тяжелые потери, были выведены во второй эшелон 1-го Украинского фронта на отдых и доукомплектование.</w:t>
      </w:r>
    </w:p>
    <w:p w14:paraId="492F8CD2" w14:textId="77777777" w:rsidR="00BA2B8F" w:rsidRPr="00F90EAE" w:rsidRDefault="00BA2B8F" w:rsidP="00F90EAE">
      <w:pPr>
        <w:jc w:val="both"/>
        <w:rPr>
          <w:color w:val="000000" w:themeColor="text1"/>
          <w:sz w:val="16"/>
          <w:szCs w:val="16"/>
        </w:rPr>
      </w:pPr>
      <w:r w:rsidRPr="00F90EAE">
        <w:rPr>
          <w:color w:val="000000" w:themeColor="text1"/>
          <w:sz w:val="16"/>
          <w:szCs w:val="16"/>
        </w:rPr>
        <w:lastRenderedPageBreak/>
        <w:t>К этому моменту в составе 3-й гвардейской танковой армии имелось всего 223 танка, из них 206 Т-34-85, 13 Т-34-76 (с тралами ПТ-3 из состава 90-го отдельного инженерно-танкового полка) и 4 ИС-2. Из Т-34-85 60 машин требовали капитального, 21 среднего и 5 текущего ремонта, а у 91 тридцатьчетверки был полностью израсходован моторесурс:</w:t>
      </w:r>
    </w:p>
    <w:p w14:paraId="403A3A91" w14:textId="77777777" w:rsidR="00BA2B8F" w:rsidRPr="00F90EAE" w:rsidRDefault="00BA2B8F" w:rsidP="00F90EAE">
      <w:pPr>
        <w:jc w:val="both"/>
        <w:rPr>
          <w:color w:val="000000" w:themeColor="text1"/>
          <w:sz w:val="16"/>
          <w:szCs w:val="16"/>
        </w:rPr>
      </w:pPr>
      <w:r w:rsidRPr="00F90EAE">
        <w:rPr>
          <w:color w:val="000000" w:themeColor="text1"/>
          <w:sz w:val="16"/>
          <w:szCs w:val="16"/>
        </w:rPr>
        <w:t>«Большинство танков и СУ из числа исправных, оставшихся от предыдущей операции, отработали по 250—400 моточасов и прошли 1709-1850 км, вследствие чего ходовая часть, двигатели, узлы и агрегаты трансмиссии были сильно изношены и требовали замены. Перед Управлением бронетанкового снабжения и ремонта была поставлена задача полностью подготовить и восстановить боевые машины к предстоящим операциям».</w:t>
      </w:r>
    </w:p>
    <w:p w14:paraId="14E5A432" w14:textId="77777777" w:rsidR="00BA2B8F" w:rsidRPr="00F90EAE" w:rsidRDefault="00BA2B8F" w:rsidP="00F90EAE">
      <w:pPr>
        <w:jc w:val="both"/>
        <w:rPr>
          <w:color w:val="000000" w:themeColor="text1"/>
          <w:sz w:val="16"/>
          <w:szCs w:val="16"/>
        </w:rPr>
      </w:pPr>
      <w:r w:rsidRPr="00F90EAE">
        <w:rPr>
          <w:color w:val="000000" w:themeColor="text1"/>
          <w:sz w:val="16"/>
          <w:szCs w:val="16"/>
        </w:rPr>
        <w:t>В течение месяца армия готовилась к предстоящим боям, восстанавливала технику и получала новую. В результате к 13 апреля 1945 года в ее составе имелось уже 456 танков, из которых 433 составляли тридцатьчетверки (420 Т-34-85 и 13 Т-34-76 с тралами). Правда при этом отмечалось, что 104 Т-34-85 «не имели запаса хода по ходовой части», а 26 Т-34-85 и 5 Т-34-76 переработали свой гарантийный срок (12217).</w:t>
      </w:r>
    </w:p>
    <w:p w14:paraId="48D8CBA2" w14:textId="77777777" w:rsidR="00BA2B8F" w:rsidRPr="00F90EAE" w:rsidRDefault="00BA2B8F" w:rsidP="00F90EAE">
      <w:pPr>
        <w:jc w:val="both"/>
        <w:rPr>
          <w:color w:val="000000" w:themeColor="text1"/>
          <w:sz w:val="16"/>
          <w:szCs w:val="16"/>
        </w:rPr>
      </w:pPr>
    </w:p>
    <w:p w14:paraId="4008EBE7"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14EE5E5" w14:textId="77777777" w:rsidR="00524C9D" w:rsidRPr="00F90EAE" w:rsidRDefault="00524C9D" w:rsidP="00F90EAE">
      <w:pPr>
        <w:autoSpaceDE w:val="0"/>
        <w:autoSpaceDN w:val="0"/>
        <w:adjustRightInd w:val="0"/>
        <w:jc w:val="both"/>
        <w:rPr>
          <w:iCs/>
          <w:color w:val="000000" w:themeColor="text1"/>
          <w:sz w:val="16"/>
          <w:szCs w:val="16"/>
        </w:rPr>
      </w:pPr>
    </w:p>
    <w:p w14:paraId="3AD64806" w14:textId="77777777" w:rsidR="00524C9D" w:rsidRPr="00F90EAE" w:rsidRDefault="00524C9D" w:rsidP="00F90EAE">
      <w:pPr>
        <w:jc w:val="both"/>
        <w:rPr>
          <w:color w:val="000000" w:themeColor="text1"/>
          <w:sz w:val="16"/>
          <w:szCs w:val="16"/>
        </w:rPr>
      </w:pPr>
      <w:r w:rsidRPr="00F90EAE">
        <w:rPr>
          <w:bCs/>
          <w:color w:val="000000" w:themeColor="text1"/>
          <w:sz w:val="16"/>
          <w:szCs w:val="16"/>
        </w:rPr>
        <w:t>12 марта</w:t>
      </w:r>
      <w:r w:rsidRPr="00F90EAE">
        <w:rPr>
          <w:color w:val="000000" w:themeColor="text1"/>
          <w:sz w:val="16"/>
          <w:szCs w:val="16"/>
        </w:rPr>
        <w:t xml:space="preserve"> в 1945 году СССР передал Трансильванию Румынии (15066).</w:t>
      </w:r>
    </w:p>
    <w:p w14:paraId="4995F31C" w14:textId="77777777" w:rsidR="00524C9D" w:rsidRPr="00F90EAE" w:rsidRDefault="00524C9D" w:rsidP="00F90EAE">
      <w:pPr>
        <w:jc w:val="both"/>
        <w:rPr>
          <w:color w:val="000000" w:themeColor="text1"/>
          <w:sz w:val="16"/>
          <w:szCs w:val="16"/>
        </w:rPr>
      </w:pPr>
    </w:p>
    <w:p w14:paraId="189C465A" w14:textId="77777777" w:rsidR="00524C9D" w:rsidRPr="00F90EAE" w:rsidRDefault="00524C9D" w:rsidP="00F90EAE">
      <w:pPr>
        <w:jc w:val="both"/>
        <w:rPr>
          <w:color w:val="000000" w:themeColor="text1"/>
          <w:sz w:val="16"/>
          <w:szCs w:val="16"/>
        </w:rPr>
      </w:pPr>
      <w:r w:rsidRPr="00F90EAE">
        <w:rPr>
          <w:bCs/>
          <w:color w:val="000000" w:themeColor="text1"/>
          <w:sz w:val="16"/>
          <w:szCs w:val="16"/>
        </w:rPr>
        <w:t>12 марта</w:t>
      </w:r>
      <w:r w:rsidRPr="00F90EAE">
        <w:rPr>
          <w:color w:val="000000" w:themeColor="text1"/>
          <w:sz w:val="16"/>
          <w:szCs w:val="16"/>
        </w:rPr>
        <w:t xml:space="preserve"> в 1945 году советское руководство, получив сведения о предстоящей встрече англо-американских представителей с представителями немецких войск в Северной Италии для обсуждения вопроса о прекращении военных действий, потребовало включения советского представителя в состав союзной делегации, но англо-американское руководство ответило отказом (15066).</w:t>
      </w:r>
    </w:p>
    <w:p w14:paraId="3E43A19E" w14:textId="77777777" w:rsidR="00524C9D" w:rsidRPr="00F90EAE" w:rsidRDefault="00524C9D" w:rsidP="00F90EAE">
      <w:pPr>
        <w:jc w:val="both"/>
        <w:rPr>
          <w:color w:val="000000" w:themeColor="text1"/>
          <w:sz w:val="16"/>
          <w:szCs w:val="16"/>
        </w:rPr>
      </w:pPr>
    </w:p>
    <w:p w14:paraId="439C09B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42D4064" w14:textId="77777777" w:rsidR="00665165" w:rsidRPr="00F90EAE" w:rsidRDefault="00665165" w:rsidP="00F90EAE">
      <w:pPr>
        <w:autoSpaceDE w:val="0"/>
        <w:autoSpaceDN w:val="0"/>
        <w:adjustRightInd w:val="0"/>
        <w:jc w:val="both"/>
        <w:rPr>
          <w:iCs/>
          <w:color w:val="000000" w:themeColor="text1"/>
          <w:sz w:val="16"/>
          <w:szCs w:val="16"/>
        </w:rPr>
      </w:pPr>
    </w:p>
    <w:p w14:paraId="412B9AF8" w14:textId="77777777" w:rsidR="00CE1517" w:rsidRPr="00F90EAE" w:rsidRDefault="00CE1517" w:rsidP="00F90EAE">
      <w:pPr>
        <w:jc w:val="both"/>
        <w:rPr>
          <w:color w:val="0070C0"/>
          <w:sz w:val="16"/>
          <w:szCs w:val="16"/>
        </w:rPr>
      </w:pPr>
      <w:r w:rsidRPr="00F90EAE">
        <w:rPr>
          <w:color w:val="0070C0"/>
          <w:sz w:val="16"/>
          <w:szCs w:val="16"/>
        </w:rPr>
        <w:t>12 марта 1945 - Первый полёт скоростного бомбардировщика Mosquito B.35 (разработчик: de Havilland, Великобритания).</w:t>
      </w:r>
    </w:p>
    <w:p w14:paraId="40E4E1A1" w14:textId="77777777" w:rsidR="00CE1517" w:rsidRPr="00F90EAE" w:rsidRDefault="00CE1517" w:rsidP="00F90EAE">
      <w:pPr>
        <w:jc w:val="both"/>
        <w:rPr>
          <w:color w:val="0070C0"/>
          <w:sz w:val="16"/>
          <w:szCs w:val="16"/>
        </w:rPr>
      </w:pPr>
      <w:r w:rsidRPr="00F90EAE">
        <w:rPr>
          <w:color w:val="0070C0"/>
          <w:sz w:val="16"/>
          <w:szCs w:val="16"/>
        </w:rPr>
        <w:t>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(22570).</w:t>
      </w:r>
    </w:p>
    <w:p w14:paraId="27B0A68C" w14:textId="77777777" w:rsidR="00CE1517" w:rsidRPr="00F90EAE" w:rsidRDefault="00CE1517" w:rsidP="00F90EAE">
      <w:pPr>
        <w:jc w:val="both"/>
        <w:rPr>
          <w:color w:val="0070C0"/>
          <w:sz w:val="16"/>
          <w:szCs w:val="16"/>
        </w:rPr>
      </w:pPr>
    </w:p>
    <w:p w14:paraId="670C1BC9" w14:textId="77777777" w:rsidR="00070AF2" w:rsidRPr="00F90EAE" w:rsidRDefault="00070AF2" w:rsidP="00F90EAE">
      <w:pPr>
        <w:jc w:val="both"/>
        <w:rPr>
          <w:color w:val="000000" w:themeColor="text1"/>
          <w:sz w:val="16"/>
          <w:szCs w:val="16"/>
        </w:rPr>
      </w:pPr>
      <w:r w:rsidRPr="00F90EAE">
        <w:rPr>
          <w:color w:val="000000" w:themeColor="text1"/>
          <w:sz w:val="16"/>
          <w:szCs w:val="16"/>
        </w:rPr>
        <w:t>12 марта 1945г. на совещании у Геринга Go.229 был включен в "срочную истребительную программу", но через два месяца американцы захватили завод в Фридрихсроде. VЗ был уже подготовлен для испытаний, V4 и V6 были почти готовы, были готовы и узлы для 20 предсерийных Go.229a-0.</w:t>
      </w:r>
    </w:p>
    <w:p w14:paraId="5692D798" w14:textId="77777777" w:rsidR="00070AF2" w:rsidRPr="00F90EAE" w:rsidRDefault="00070AF2" w:rsidP="00F90EAE">
      <w:pPr>
        <w:jc w:val="both"/>
        <w:rPr>
          <w:color w:val="000000" w:themeColor="text1"/>
          <w:sz w:val="16"/>
          <w:szCs w:val="16"/>
        </w:rPr>
      </w:pPr>
      <w:r w:rsidRPr="00F90EAE">
        <w:rPr>
          <w:color w:val="000000" w:themeColor="text1"/>
          <w:sz w:val="16"/>
          <w:szCs w:val="16"/>
        </w:rPr>
        <w:t>Go.229 - первый турбореактивный самолет - "летающее крыло" – стал одним из самых нестандартных боевых самолетов, построенных в течении 2-й мировой войны, стал. Он представлял собой итог более чем десятилетней конструкторской деятельности братьев Реймара и Вальтера Хортенов, главной целью которых было создание самолета с минимальным сопротивлением. В результате Go.229 не имел фюзеляжа как такового. Толщина центроплана была достаточной для размещения в нем пилота и двигателя. Вертикальное оперение отсутствовало. Управление по курсу осуществлялось спойлерами, установленными на крыле. Точно так же создан и современный американский B-2. Участие "Готаер вагонфабрик" свелось к подготовке серийного производства с некоторыми соответствующими изменениями в конструкции. Основную же работу провели братья Хортены по собственной инициативе за два года до присоединения к их работам концерна в Готе. В 1942 г. майор Вальтер Хортен и его брат обер-лейтенант Реймар были отозваны из строевых частей специально для работы в "зондеркоманде 9", созданной под эгидой люфтваффе исключительно для реализации проекта "летающего крыла". Основная идея заключалась в том, что чистое крыло будет иметь значительно меньшее аэродинамическое сопротивление. Первый планер "Хортен-I" полетел еще в 1931г, когда Вальтеру Хортену только исполнилось 16 лет. Деревянный планер с тканевым покрытием управлялся элевонами и рулевыми тормозами на концах крыла. Опыт, полученный в работе над ним, отразился в создании в 1934г. нового "Хортен-II", имевшего большее удлинение крыла и стреловидную заднюю кромку. Внутренние элевоны использовались как рули высоты, а внешние - как элероны. В течении 1935г. "Хортен" был оснащен 80-сильным двигателем воздушного охлаждения "Хирт" НМ-60R, расположенным внутри крыла и работающим на толкающий винт через удлиненный вал. Оба брата поступили в люфтваффе в 1936г, но продолжили свою конструкторскую деятельность. В 1936-37 гг были построены три "Хортена-II", участвовавшие в состязаниях в Роне в 1937г. В 1938г. Хортены ушли из люфтваффе и построили еще ряд самолетов. К этому времени работы братьев получили заметную официальную и неофициальную известность. В 1939 ими интересовался Эрнст Хейнкель, но переговоры зашли в тупик из-за его желания зарегистрировать все последующие патенты на свое имя. Еще одни переговоры прошли с Вилли Мессершмиттом, но опять же безрезультатно. Действенное участие министерства авиации и создание "зондеркоманды-9" на базе ремонтного завода в Геттингене помогло им. Кроме того, братья могли использовать фурнитурную фабрику "Пешке" для вспомогательных работ. К моменту передачи завода братья спроектировали и построили планер Но-IV, в котором пилот располагался лежа. Удлинение крыла было 21.66 вместо 10.66 на Но-III. Первым спроектированным с самого начала самолетом Хортенов стал двухместный Ho-V с двумя 80-сильными моторами "Хирт" НМ-60R. Двигатели располагались в крыле и приводили толкающие винты через удлиненные валы. Братья довольно быстро осознали перспективы сочетания прекрасной аэродинамики летающего крыла с турбореактивным двигателем. Однако они понимали, что несмотря на хорошие связи в РЛМ, консерватизм последнего пересилит. К счастью, разведка добыла сведения, что подобные работы проводятся в США на фирме "Нортроп". Это подхлестнуло РЛМ в финансировании работ "зондеркоманды 9", предоставив ей особый статус, выводящий из-под непосредственного руководства Технического департамента. Перед проработкой проекта реактивного истребителя "летающее крыло" Хортены создали двухместный учебный Но-VII, главной задачей которого было обучение пилотов на самолете столь необычной схемы. Одновременно самолет должен был послужить для проверки проработок по реактивному истребителю. В результате Но-VII официально предназначался на роль опытного самолета для аэродинамических исследований и в качестве связного. Контракт на 20 Но-VII был передан на завод "Пешке" в Миндене. В целом похожий по конфигурации на Но-V, новый самолет был оснащен двумя двигателями "Аргус" Аs-10С мощностью 240л.с, и имел убираемое четырехстоечное шасси. Два передних колеса на отдельных стойках крепились у самой линии симметрии и убирались назад. Две задние стойки под валами двигателей убирались вперед с поворотом на 90. Хортены продолжили работу над реактивным истребителем, который они назвали Но-IX - его сборка уже началась в Геттингене. Необычная компоновка самолета захватила воображение Геринга, который оказал проекту персональную поддержку и потребовал начать летные испытания в моторном варианте в кратчайший срок. Весной 1944г. были проведены первые успешные испытания безмоторного прототипа. Начались работы над второй машиной. Из-за неготовности к этому времени турбореактивных двигателей ВМW-003 на втором опытном самолете было решено установить Jumo-004, что потребовало внести в конструкцию некоторые изменения. Но-IX-V2 был спроектирован из расчета на перегрузку 7, что с запасом прочности 1.8 давало разрушающую перегрузку 12.6. Центроплан сварной из стальных труб с фанерной обшивкой (за исключением района выхлопных сопел моторов, обшитого стальным листом). Консоли цельнодеревянной конструкции с металлическими законцовками. Передняя кромка выполнялась из так называемого литого дерева, представлявшего собой прессованый с резиной опилки. Остальная поверхность крыла обшивалась фанерой. Крыло с одним основным лонжероном и одним вспомогательным, к которому крепились рулевые поверхности. Баков в каждом крыле было четыре - по два за и перед лонжероном. Два ТРД Jumo-004В монтировались близко к линии симметрии. Шасси трехстоечное; носовое колесо убиралось назад, основные стойки - к линии симметрии. Для сокращения пробега был предусмотрен тормозной парашют. Продольная и поперечная управляемость обеспечивалась элевонами, которые вместе с закрылками занимали всю заднюю кромку крыла. Закрылки были связаны со спойлерами, расположенными сразу за стойками шасси. Управление по курсу осуществлялось спойлерами на консолях сразу за главным лонжероном. При этом использовалась пара спойлеров разной длины на верхней и нижней поверхности крыла. Таким образом обеспечивалось нормальное управление самолета на малых и больших скоростях. На стадии полного производства работ и подключилась "Готаер вагонфабрик", получившая задание довести конструкцию до серийного производства. Дальнейшие работы по самолету были переданы конструкторскому бюро ГВФ. Самолет получил обозначение Go.229, и в начале лета 1944г. был выдан контракт на семь опытных и 20 предсерийных самолетов. Конструктора "Готы" практически не изменили конструкции, но переделали кабину, оснастив ее простейшим катапультируемым сиденьем. Была введена система обдува холодным воздухом обшивки в районе сопел двигателей. Предусматривалась установка четырех пушек МК-103 или МК-108 рядом с двигателями. Под центроплан можно было подвесить две 1000кг бомбы или два 1250л бака. Была спроектирована и двухместная всепогодная версия Go.229b под локатор сантиметрового диапазона FuG-244 "Бремен" в удлиненном носовом обтекателе. Второй и третий самолеты постройки ГВФ - V4 и V5 были прототипами этой серии. Пока на ГВФ разворачивалось серийное производство, в Геттингене в январе 1945г. был закончен Но-IХ-V2, перевезенный в Ораниенберг для летных испытаний. На первые полеты носовая стойка шасси была заблокирована в выпущенном положении. При нормальном взлетном весе скорость отрыва была 150км/ч при разбеге в 500 м. Управляемость оправдала самые оптимистичные предположения. В марте носовое колесо стали убирать в полете. Была достигнута скорость 795км/ч, но во время посадки правый двигатель заглох. Пилот лейтенант Циллер катапультировался, самолет перевернулся, упал на землю и сгорел. Всего опытный самолет налетал два часа. Сборка следующего опытного самолета в Фридрихсроде уже заканчивалась. Go.229-VЗ должен был стать первым прототипом серийного Go.229a. V4 и V5 были прототипами Go.229b - двухместного всепогодного истребителя. V6 был вторым опытным самолетом серии А с пушками МК-103 вместо МК-108. V7 должен был стать учебным двухместным вариантом (15139).</w:t>
      </w:r>
    </w:p>
    <w:p w14:paraId="5A65B96F" w14:textId="77777777" w:rsidR="00070AF2" w:rsidRPr="00F90EAE" w:rsidRDefault="00070AF2" w:rsidP="00F90EAE">
      <w:pPr>
        <w:jc w:val="both"/>
        <w:rPr>
          <w:color w:val="000000" w:themeColor="text1"/>
          <w:sz w:val="16"/>
          <w:szCs w:val="16"/>
        </w:rPr>
      </w:pPr>
    </w:p>
    <w:p w14:paraId="0B87C1A7" w14:textId="77777777" w:rsidR="00524C9D" w:rsidRPr="00F90EAE" w:rsidRDefault="00524C9D" w:rsidP="00F90EAE">
      <w:pPr>
        <w:jc w:val="both"/>
        <w:rPr>
          <w:color w:val="000000" w:themeColor="text1"/>
          <w:sz w:val="16"/>
          <w:szCs w:val="16"/>
        </w:rPr>
      </w:pPr>
      <w:r w:rsidRPr="00F90EAE">
        <w:rPr>
          <w:bCs/>
          <w:color w:val="000000" w:themeColor="text1"/>
          <w:sz w:val="16"/>
          <w:szCs w:val="16"/>
        </w:rPr>
        <w:t>12 марта</w:t>
      </w:r>
      <w:r w:rsidRPr="00F90EAE">
        <w:rPr>
          <w:color w:val="000000" w:themeColor="text1"/>
          <w:sz w:val="16"/>
          <w:szCs w:val="16"/>
        </w:rPr>
        <w:t xml:space="preserve"> в 1945 году первый полёт скоростного бомбардировщика </w:t>
      </w:r>
      <w:hyperlink r:id="rId68" w:tgtFrame="_blank" w:history="1">
        <w:r w:rsidRPr="00F90EAE">
          <w:rPr>
            <w:color w:val="000000" w:themeColor="text1"/>
            <w:sz w:val="16"/>
            <w:szCs w:val="16"/>
          </w:rPr>
          <w:t xml:space="preserve">«Mosquito» «B.35» </w:t>
        </w:r>
      </w:hyperlink>
      <w:r w:rsidRPr="00F90EAE">
        <w:rPr>
          <w:color w:val="000000" w:themeColor="text1"/>
          <w:sz w:val="16"/>
          <w:szCs w:val="16"/>
        </w:rPr>
        <w:t xml:space="preserve">(разработчик: «de Havilland», Великобритания). Эта модификация отличалась от предшественников новыми, более совершенными моторами "Мерлин" 113 (114) мощностью по 1710 л.с. Максимальная скорость В.35 на высоте 9000 м достигала </w:t>
      </w:r>
      <w:r w:rsidRPr="00F90EAE">
        <w:rPr>
          <w:color w:val="000000" w:themeColor="text1"/>
          <w:sz w:val="16"/>
          <w:szCs w:val="16"/>
        </w:rPr>
        <w:lastRenderedPageBreak/>
        <w:t>679 км/ч. К концу мая "Де Хевиллснд" смогла выпустить 57 самолётов, но принять участие в войне они не успели. Всего было построено 274 бомбардировщика этой модификации. Часть из них впоследствии переоборудовали в буксировщики мишеней ТТ.35 (не менее 75 единиц) и разведчики «PR.35» (не менее 9 машин) (15066).</w:t>
      </w:r>
    </w:p>
    <w:p w14:paraId="721CCD7A" w14:textId="77777777" w:rsidR="00524C9D" w:rsidRPr="00F90EAE" w:rsidRDefault="00524C9D" w:rsidP="00F90EAE">
      <w:pPr>
        <w:jc w:val="both"/>
        <w:rPr>
          <w:color w:val="000000" w:themeColor="text1"/>
          <w:sz w:val="16"/>
          <w:szCs w:val="16"/>
        </w:rPr>
      </w:pPr>
    </w:p>
    <w:p w14:paraId="5603A8C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марта 1945 в Берлине под покровительством фашистов создан Украинский национальный комитет, пытавшийся создать из остатков дивизии “СС-Галичина” “украинскую армию” (4962).</w:t>
      </w:r>
    </w:p>
    <w:p w14:paraId="656F6E1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DFCD0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марта 1945 в нацистском концлагере умерла 16-летняя голландская писательница Анна Франк (4962).</w:t>
      </w:r>
    </w:p>
    <w:p w14:paraId="6AC9BA3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7F8E79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2D9FE41" w14:textId="77777777" w:rsidR="00665165" w:rsidRPr="00F90EAE" w:rsidRDefault="00665165" w:rsidP="00F90EAE">
      <w:pPr>
        <w:autoSpaceDE w:val="0"/>
        <w:autoSpaceDN w:val="0"/>
        <w:adjustRightInd w:val="0"/>
        <w:jc w:val="both"/>
        <w:rPr>
          <w:iCs/>
          <w:color w:val="000000" w:themeColor="text1"/>
          <w:sz w:val="16"/>
          <w:szCs w:val="16"/>
        </w:rPr>
      </w:pPr>
    </w:p>
    <w:p w14:paraId="7FFBA8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года заводом № 64 был подписан договором № 1219 с ВВС, в соответствии с которым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7469F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1946 и 1947 гг. заводом освоены следующие агрегаты:</w:t>
      </w:r>
    </w:p>
    <w:p w14:paraId="20833B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хвостовая часть фюзеляжа;</w:t>
      </w:r>
    </w:p>
    <w:p w14:paraId="659E46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оперение;</w:t>
      </w:r>
    </w:p>
    <w:p w14:paraId="0409CC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шасси.</w:t>
      </w:r>
    </w:p>
    <w:p w14:paraId="06FB69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760150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2B8A99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7F2B96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4649D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19C100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 Белявский</w:t>
      </w:r>
    </w:p>
    <w:p w14:paraId="1C4DA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самолет Ан-10 конструкции Антонова</w:t>
      </w:r>
    </w:p>
    <w:p w14:paraId="693D3D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Характеристика аэродрома завода</w:t>
      </w:r>
    </w:p>
    <w:p w14:paraId="6D5D01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24127863" w14:textId="77777777" w:rsidR="00665165" w:rsidRPr="00F90EAE" w:rsidRDefault="00665165" w:rsidP="00F90EAE">
      <w:pPr>
        <w:autoSpaceDE w:val="0"/>
        <w:autoSpaceDN w:val="0"/>
        <w:adjustRightInd w:val="0"/>
        <w:jc w:val="both"/>
        <w:rPr>
          <w:color w:val="000000" w:themeColor="text1"/>
          <w:sz w:val="16"/>
          <w:szCs w:val="16"/>
        </w:rPr>
      </w:pPr>
    </w:p>
    <w:p w14:paraId="73A13DE9" w14:textId="77777777" w:rsidR="00C52CB1" w:rsidRPr="00F90EAE" w:rsidRDefault="00C52CB1" w:rsidP="00F90EAE">
      <w:pPr>
        <w:pStyle w:val="ae"/>
        <w:shd w:val="clear" w:color="auto" w:fill="FFFFFF"/>
        <w:spacing w:before="0" w:after="0"/>
        <w:jc w:val="both"/>
        <w:rPr>
          <w:color w:val="000000" w:themeColor="text1"/>
          <w:sz w:val="16"/>
          <w:szCs w:val="16"/>
        </w:rPr>
      </w:pPr>
      <w:r w:rsidRPr="00F90EAE">
        <w:rPr>
          <w:color w:val="000000" w:themeColor="text1"/>
          <w:sz w:val="16"/>
          <w:szCs w:val="16"/>
        </w:rPr>
        <w:t>13 марта 1945 года подписан договор №1219 между заводом №64 и командованием ВВС об организации сборки самолетов Ил-4 из готовых агрегатов, получаемых с завода №126 (19822).</w:t>
      </w:r>
    </w:p>
    <w:p w14:paraId="0BD10C95" w14:textId="77777777" w:rsidR="00C52CB1" w:rsidRPr="00F90EAE" w:rsidRDefault="00C52CB1" w:rsidP="00F90EAE">
      <w:pPr>
        <w:pStyle w:val="ae"/>
        <w:shd w:val="clear" w:color="auto" w:fill="FFFFFF"/>
        <w:spacing w:before="0" w:after="0"/>
        <w:jc w:val="both"/>
        <w:rPr>
          <w:color w:val="000000" w:themeColor="text1"/>
          <w:sz w:val="16"/>
          <w:szCs w:val="16"/>
        </w:rPr>
      </w:pPr>
    </w:p>
    <w:p w14:paraId="6DDC6A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13—17 марта 1945 г. НКАП и ВВС согласовали отпускные цены на 2-й квартал 1945 г. — последний квартал Великой Отечественной войны.</w:t>
      </w:r>
    </w:p>
    <w:p w14:paraId="3BE2F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Отпускные цены на авиатехнику, согласованные в марте 1945 г. между НКАП и ВВС (тыс. руб.) (РГАЭ. Ф. 8044. </w:t>
      </w:r>
      <w:r w:rsidRPr="00F90EAE">
        <w:rPr>
          <w:color w:val="000000" w:themeColor="text1"/>
          <w:sz w:val="16"/>
          <w:szCs w:val="16"/>
          <w:lang w:val="en-US"/>
        </w:rPr>
        <w:t xml:space="preserve">On. </w:t>
      </w:r>
      <w:r w:rsidRPr="00F90EAE">
        <w:rPr>
          <w:color w:val="000000" w:themeColor="text1"/>
          <w:sz w:val="16"/>
          <w:szCs w:val="16"/>
        </w:rPr>
        <w:t>1. Д. 2973. Л. 22)</w:t>
      </w:r>
    </w:p>
    <w:tbl>
      <w:tblPr>
        <w:tblW w:w="0" w:type="auto"/>
        <w:tblInd w:w="8" w:type="dxa"/>
        <w:tblLayout w:type="fixed"/>
        <w:tblCellMar>
          <w:left w:w="0" w:type="dxa"/>
          <w:right w:w="0" w:type="dxa"/>
        </w:tblCellMar>
        <w:tblLook w:val="0000" w:firstRow="0" w:lastRow="0" w:firstColumn="0" w:lastColumn="0" w:noHBand="0" w:noVBand="0"/>
      </w:tblPr>
      <w:tblGrid>
        <w:gridCol w:w="806"/>
        <w:gridCol w:w="2554"/>
        <w:gridCol w:w="2592"/>
      </w:tblGrid>
      <w:tr w:rsidR="00561F31" w:rsidRPr="00F90EAE" w14:paraId="63A39FAC" w14:textId="77777777">
        <w:trPr>
          <w:trHeight w:val="235"/>
        </w:trPr>
        <w:tc>
          <w:tcPr>
            <w:tcW w:w="806" w:type="dxa"/>
            <w:tcBorders>
              <w:top w:val="single" w:sz="6" w:space="0" w:color="auto"/>
              <w:left w:val="single" w:sz="6" w:space="0" w:color="auto"/>
              <w:bottom w:val="single" w:sz="6" w:space="0" w:color="auto"/>
              <w:right w:val="nil"/>
            </w:tcBorders>
            <w:shd w:val="clear" w:color="auto" w:fill="FFFFFF"/>
          </w:tcPr>
          <w:p w14:paraId="0D419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завода</w:t>
            </w:r>
          </w:p>
        </w:tc>
        <w:tc>
          <w:tcPr>
            <w:tcW w:w="2554" w:type="dxa"/>
            <w:tcBorders>
              <w:top w:val="single" w:sz="6" w:space="0" w:color="auto"/>
              <w:left w:val="nil"/>
              <w:bottom w:val="single" w:sz="6" w:space="0" w:color="auto"/>
              <w:right w:val="nil"/>
            </w:tcBorders>
            <w:shd w:val="clear" w:color="auto" w:fill="FFFFFF"/>
          </w:tcPr>
          <w:p w14:paraId="284E97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Тип </w:t>
            </w:r>
            <w:r w:rsidRPr="00F90EAE">
              <w:rPr>
                <w:color w:val="000000" w:themeColor="text1"/>
                <w:sz w:val="16"/>
                <w:szCs w:val="16"/>
                <w:lang w:val="en-US"/>
              </w:rPr>
              <w:t>,</w:t>
            </w:r>
            <w:r w:rsidRPr="00F90EAE">
              <w:rPr>
                <w:color w:val="000000" w:themeColor="text1"/>
                <w:sz w:val="16"/>
                <w:szCs w:val="16"/>
              </w:rPr>
              <w:t xml:space="preserve"> модель авиатехники</w:t>
            </w:r>
          </w:p>
        </w:tc>
        <w:tc>
          <w:tcPr>
            <w:tcW w:w="2592" w:type="dxa"/>
            <w:tcBorders>
              <w:top w:val="single" w:sz="6" w:space="0" w:color="auto"/>
              <w:left w:val="nil"/>
              <w:bottom w:val="single" w:sz="6" w:space="0" w:color="auto"/>
              <w:right w:val="single" w:sz="6" w:space="0" w:color="auto"/>
            </w:tcBorders>
            <w:shd w:val="clear" w:color="auto" w:fill="FFFFFF"/>
          </w:tcPr>
          <w:p w14:paraId="6A0BD9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Отпускная цена во П квартале 1945 г.</w:t>
            </w:r>
          </w:p>
        </w:tc>
      </w:tr>
      <w:tr w:rsidR="00561F31" w:rsidRPr="00F90EAE" w14:paraId="5E71252A" w14:textId="77777777">
        <w:trPr>
          <w:trHeight w:val="221"/>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7316EB7"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Самолёты (без моторов)</w:t>
            </w:r>
          </w:p>
        </w:tc>
      </w:tr>
      <w:tr w:rsidR="00561F31" w:rsidRPr="00F90EAE" w14:paraId="2D2796A0"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5ABAF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1675A3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(ВК-105ПФ)</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9FCAA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r>
      <w:tr w:rsidR="00561F31" w:rsidRPr="00F90EAE" w14:paraId="5C878477"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2CA4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4729C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3BEBB4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r>
      <w:tr w:rsidR="00561F31" w:rsidRPr="00F90EAE" w14:paraId="33F5AD34"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5F1A9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30C6F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JIa-7 </w:t>
            </w:r>
            <w:r w:rsidRPr="00F90EAE">
              <w:rPr>
                <w:color w:val="000000" w:themeColor="text1"/>
                <w:sz w:val="16"/>
                <w:szCs w:val="16"/>
              </w:rPr>
              <w:t>(АШ-82ФН)</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F211A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w:t>
            </w:r>
          </w:p>
        </w:tc>
      </w:tr>
      <w:tr w:rsidR="00561F31" w:rsidRPr="00F90EAE" w14:paraId="4D36471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73026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3E066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 (ВК-107А)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71CF6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w:t>
            </w:r>
          </w:p>
        </w:tc>
      </w:tr>
      <w:tr w:rsidR="00561F31" w:rsidRPr="00F90EAE" w14:paraId="1BA5912B" w14:textId="77777777">
        <w:trPr>
          <w:trHeight w:val="226"/>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52C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1DEA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Ще-2(2М-11Д)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76B1BC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r>
      <w:tr w:rsidR="00561F31" w:rsidRPr="00F90EAE" w14:paraId="4DB0C435"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9BEE0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AAB42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 (2АЧ-30Б)</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4720BA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w:t>
            </w:r>
          </w:p>
        </w:tc>
      </w:tr>
      <w:tr w:rsidR="00561F31" w:rsidRPr="00F90EAE" w14:paraId="26701E00"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11640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665F4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5063F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44,5</w:t>
            </w:r>
          </w:p>
        </w:tc>
      </w:tr>
      <w:tr w:rsidR="00561F31" w:rsidRPr="00F90EAE" w14:paraId="529E339C"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363BC0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494</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2D46EC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По-2с(М-11Д)</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E28F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r>
      <w:tr w:rsidR="00561F31" w:rsidRPr="00F90EAE" w14:paraId="10497EAD" w14:textId="77777777">
        <w:trPr>
          <w:trHeight w:val="226"/>
        </w:trPr>
        <w:tc>
          <w:tcPr>
            <w:tcW w:w="5952" w:type="dxa"/>
            <w:gridSpan w:val="3"/>
            <w:tcBorders>
              <w:top w:val="single" w:sz="6" w:space="0" w:color="auto"/>
              <w:left w:val="single" w:sz="6" w:space="0" w:color="auto"/>
              <w:bottom w:val="single" w:sz="6" w:space="0" w:color="auto"/>
              <w:right w:val="single" w:sz="6" w:space="0" w:color="auto"/>
            </w:tcBorders>
            <w:shd w:val="clear" w:color="auto" w:fill="FFFFFF"/>
          </w:tcPr>
          <w:p w14:paraId="1A2ECBB4"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Авиамоторы</w:t>
            </w:r>
          </w:p>
        </w:tc>
      </w:tr>
      <w:tr w:rsidR="00561F31" w:rsidRPr="00F90EAE" w14:paraId="311EDA8F"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6E8D74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43C8F6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АШ-83</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0FAE69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r>
      <w:tr w:rsidR="00561F31" w:rsidRPr="00F90EAE" w14:paraId="647E3A4B" w14:textId="77777777">
        <w:trPr>
          <w:trHeight w:val="221"/>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07B37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0A515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6D9E1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w:t>
            </w:r>
          </w:p>
        </w:tc>
      </w:tr>
      <w:tr w:rsidR="00561F31" w:rsidRPr="00F90EAE" w14:paraId="4054564D" w14:textId="77777777">
        <w:trPr>
          <w:trHeight w:val="240"/>
        </w:trPr>
        <w:tc>
          <w:tcPr>
            <w:tcW w:w="806" w:type="dxa"/>
            <w:tcBorders>
              <w:top w:val="single" w:sz="6" w:space="0" w:color="auto"/>
              <w:left w:val="single" w:sz="6" w:space="0" w:color="auto"/>
              <w:bottom w:val="single" w:sz="6" w:space="0" w:color="auto"/>
              <w:right w:val="single" w:sz="6" w:space="0" w:color="auto"/>
            </w:tcBorders>
            <w:shd w:val="clear" w:color="auto" w:fill="FFFFFF"/>
          </w:tcPr>
          <w:p w14:paraId="598F4B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2554" w:type="dxa"/>
            <w:tcBorders>
              <w:top w:val="single" w:sz="6" w:space="0" w:color="auto"/>
              <w:left w:val="single" w:sz="6" w:space="0" w:color="auto"/>
              <w:bottom w:val="single" w:sz="6" w:space="0" w:color="auto"/>
              <w:right w:val="single" w:sz="6" w:space="0" w:color="auto"/>
            </w:tcBorders>
            <w:shd w:val="clear" w:color="auto" w:fill="FFFFFF"/>
          </w:tcPr>
          <w:p w14:paraId="695247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АШ-62ИР</w:t>
            </w:r>
          </w:p>
        </w:tc>
        <w:tc>
          <w:tcPr>
            <w:tcW w:w="2592" w:type="dxa"/>
            <w:tcBorders>
              <w:top w:val="single" w:sz="6" w:space="0" w:color="auto"/>
              <w:left w:val="single" w:sz="6" w:space="0" w:color="auto"/>
              <w:bottom w:val="single" w:sz="6" w:space="0" w:color="auto"/>
              <w:right w:val="single" w:sz="6" w:space="0" w:color="auto"/>
            </w:tcBorders>
            <w:shd w:val="clear" w:color="auto" w:fill="FFFFFF"/>
          </w:tcPr>
          <w:p w14:paraId="14815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w:t>
            </w:r>
          </w:p>
        </w:tc>
      </w:tr>
    </w:tbl>
    <w:p w14:paraId="7E7FB1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(12011).</w:t>
      </w:r>
    </w:p>
    <w:p w14:paraId="03C55F57" w14:textId="77777777" w:rsidR="00665165" w:rsidRPr="00F90EAE" w:rsidRDefault="00665165" w:rsidP="00F90EAE">
      <w:pPr>
        <w:autoSpaceDE w:val="0"/>
        <w:autoSpaceDN w:val="0"/>
        <w:adjustRightInd w:val="0"/>
        <w:jc w:val="both"/>
        <w:rPr>
          <w:color w:val="000000" w:themeColor="text1"/>
          <w:sz w:val="16"/>
          <w:szCs w:val="16"/>
        </w:rPr>
      </w:pPr>
    </w:p>
    <w:p w14:paraId="305D25C6" w14:textId="77777777" w:rsidR="00CE1517" w:rsidRPr="00F90EAE" w:rsidRDefault="00CE1517" w:rsidP="00F90EAE">
      <w:pPr>
        <w:jc w:val="both"/>
        <w:rPr>
          <w:color w:val="0070C0"/>
          <w:sz w:val="16"/>
          <w:szCs w:val="16"/>
          <w:lang w:bidi="ru-RU"/>
        </w:rPr>
      </w:pPr>
      <w:r w:rsidRPr="00F90EAE">
        <w:rPr>
          <w:color w:val="0070C0"/>
          <w:sz w:val="16"/>
          <w:szCs w:val="16"/>
          <w:lang w:bidi="ru-RU"/>
        </w:rPr>
        <w:t xml:space="preserve">13-17 марта 1945 г. НКАП и ВВС согласовали отпускные иены на </w:t>
      </w:r>
      <w:r w:rsidRPr="00F90EAE">
        <w:rPr>
          <w:color w:val="0070C0"/>
          <w:sz w:val="16"/>
          <w:szCs w:val="16"/>
          <w:lang w:val="en-US" w:bidi="en-US"/>
        </w:rPr>
        <w:t>II</w:t>
      </w:r>
      <w:r w:rsidRPr="00F90EAE">
        <w:rPr>
          <w:color w:val="0070C0"/>
          <w:sz w:val="16"/>
          <w:szCs w:val="16"/>
          <w:lang w:bidi="en-US"/>
        </w:rPr>
        <w:t xml:space="preserve"> </w:t>
      </w:r>
      <w:r w:rsidRPr="00F90EAE">
        <w:rPr>
          <w:color w:val="0070C0"/>
          <w:sz w:val="16"/>
          <w:szCs w:val="16"/>
          <w:lang w:bidi="ru-RU"/>
        </w:rPr>
        <w:t>квартал года - последний в период Великой Отечественной войны (см. табл.).</w:t>
      </w:r>
    </w:p>
    <w:p w14:paraId="007EE4DD" w14:textId="77777777" w:rsidR="00CE1517" w:rsidRPr="00F90EAE" w:rsidRDefault="00CE1517" w:rsidP="00F90EAE">
      <w:pPr>
        <w:pStyle w:val="aff1"/>
        <w:spacing w:line="240" w:lineRule="auto"/>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bidi="ru-RU"/>
        </w:rPr>
        <w:t>Отпускные цены на авиатехнику, согласованные между НКАП и ВВС в марте 1945 г.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02"/>
        <w:gridCol w:w="3096"/>
      </w:tblGrid>
      <w:tr w:rsidR="00CE1517" w:rsidRPr="00F90EAE" w14:paraId="21F5339A" w14:textId="77777777" w:rsidTr="00076D96">
        <w:trPr>
          <w:trHeight w:val="283"/>
        </w:trPr>
        <w:tc>
          <w:tcPr>
            <w:tcW w:w="988" w:type="dxa"/>
            <w:shd w:val="clear" w:color="auto" w:fill="auto"/>
          </w:tcPr>
          <w:p w14:paraId="1F1EB426"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завода</w:t>
            </w:r>
          </w:p>
        </w:tc>
        <w:tc>
          <w:tcPr>
            <w:tcW w:w="2502" w:type="dxa"/>
            <w:shd w:val="clear" w:color="auto" w:fill="auto"/>
          </w:tcPr>
          <w:p w14:paraId="77F1E2A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Тип и модель авиатехники</w:t>
            </w:r>
          </w:p>
        </w:tc>
        <w:tc>
          <w:tcPr>
            <w:tcW w:w="3096" w:type="dxa"/>
            <w:shd w:val="clear" w:color="auto" w:fill="auto"/>
          </w:tcPr>
          <w:p w14:paraId="1592207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Отпускная цена на II квартал 1945 г.</w:t>
            </w:r>
          </w:p>
        </w:tc>
      </w:tr>
      <w:tr w:rsidR="00CE1517" w:rsidRPr="00F90EAE" w14:paraId="2CC26164" w14:textId="77777777" w:rsidTr="00076D96">
        <w:trPr>
          <w:trHeight w:val="346"/>
        </w:trPr>
        <w:tc>
          <w:tcPr>
            <w:tcW w:w="988" w:type="dxa"/>
            <w:shd w:val="clear" w:color="auto" w:fill="auto"/>
          </w:tcPr>
          <w:p w14:paraId="56C96CC4" w14:textId="77777777" w:rsidR="00CE1517" w:rsidRPr="00F90EAE" w:rsidRDefault="00CE1517" w:rsidP="00F90EAE">
            <w:pPr>
              <w:jc w:val="both"/>
              <w:rPr>
                <w:color w:val="0070C0"/>
                <w:sz w:val="16"/>
                <w:szCs w:val="16"/>
              </w:rPr>
            </w:pPr>
          </w:p>
        </w:tc>
        <w:tc>
          <w:tcPr>
            <w:tcW w:w="5598" w:type="dxa"/>
            <w:gridSpan w:val="2"/>
            <w:shd w:val="clear" w:color="auto" w:fill="auto"/>
            <w:vAlign w:val="center"/>
          </w:tcPr>
          <w:p w14:paraId="085E8288"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Самолёты (без моторов)</w:t>
            </w:r>
          </w:p>
        </w:tc>
      </w:tr>
      <w:tr w:rsidR="00CE1517" w:rsidRPr="00F90EAE" w14:paraId="3B236F59" w14:textId="77777777" w:rsidTr="00076D96">
        <w:trPr>
          <w:trHeight w:val="250"/>
        </w:trPr>
        <w:tc>
          <w:tcPr>
            <w:tcW w:w="988" w:type="dxa"/>
            <w:shd w:val="clear" w:color="auto" w:fill="auto"/>
            <w:vAlign w:val="bottom"/>
          </w:tcPr>
          <w:p w14:paraId="381F05D5"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31</w:t>
            </w:r>
          </w:p>
        </w:tc>
        <w:tc>
          <w:tcPr>
            <w:tcW w:w="2502" w:type="dxa"/>
            <w:shd w:val="clear" w:color="auto" w:fill="auto"/>
            <w:vAlign w:val="bottom"/>
          </w:tcPr>
          <w:p w14:paraId="192F815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Як-3 (ВК-105ПФ)</w:t>
            </w:r>
          </w:p>
        </w:tc>
        <w:tc>
          <w:tcPr>
            <w:tcW w:w="3096" w:type="dxa"/>
            <w:shd w:val="clear" w:color="auto" w:fill="auto"/>
            <w:vAlign w:val="bottom"/>
          </w:tcPr>
          <w:p w14:paraId="4E80B81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200</w:t>
            </w:r>
          </w:p>
        </w:tc>
      </w:tr>
      <w:tr w:rsidR="00CE1517" w:rsidRPr="00F90EAE" w14:paraId="5300C89F" w14:textId="77777777" w:rsidTr="00076D96">
        <w:trPr>
          <w:trHeight w:val="197"/>
        </w:trPr>
        <w:tc>
          <w:tcPr>
            <w:tcW w:w="988" w:type="dxa"/>
            <w:shd w:val="clear" w:color="auto" w:fill="auto"/>
          </w:tcPr>
          <w:p w14:paraId="5973821F"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31</w:t>
            </w:r>
          </w:p>
        </w:tc>
        <w:tc>
          <w:tcPr>
            <w:tcW w:w="2502" w:type="dxa"/>
            <w:shd w:val="clear" w:color="auto" w:fill="auto"/>
          </w:tcPr>
          <w:p w14:paraId="3F53C278"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Як-3 (ВК-107А)</w:t>
            </w:r>
          </w:p>
        </w:tc>
        <w:tc>
          <w:tcPr>
            <w:tcW w:w="3096" w:type="dxa"/>
            <w:shd w:val="clear" w:color="auto" w:fill="auto"/>
          </w:tcPr>
          <w:p w14:paraId="0B583BF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250</w:t>
            </w:r>
          </w:p>
        </w:tc>
      </w:tr>
      <w:tr w:rsidR="00CE1517" w:rsidRPr="00F90EAE" w14:paraId="5D090F17" w14:textId="77777777" w:rsidTr="00076D96">
        <w:trPr>
          <w:trHeight w:val="202"/>
        </w:trPr>
        <w:tc>
          <w:tcPr>
            <w:tcW w:w="988" w:type="dxa"/>
            <w:shd w:val="clear" w:color="auto" w:fill="auto"/>
          </w:tcPr>
          <w:p w14:paraId="601D527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99</w:t>
            </w:r>
          </w:p>
        </w:tc>
        <w:tc>
          <w:tcPr>
            <w:tcW w:w="2502" w:type="dxa"/>
            <w:shd w:val="clear" w:color="auto" w:fill="auto"/>
          </w:tcPr>
          <w:p w14:paraId="5FF10C0C"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Ла-7 (АШ-82ФН)</w:t>
            </w:r>
          </w:p>
        </w:tc>
        <w:tc>
          <w:tcPr>
            <w:tcW w:w="3096" w:type="dxa"/>
            <w:shd w:val="clear" w:color="auto" w:fill="auto"/>
          </w:tcPr>
          <w:p w14:paraId="3D68156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310</w:t>
            </w:r>
          </w:p>
        </w:tc>
      </w:tr>
      <w:tr w:rsidR="00CE1517" w:rsidRPr="00F90EAE" w14:paraId="70305A44" w14:textId="77777777" w:rsidTr="00076D96">
        <w:trPr>
          <w:trHeight w:val="202"/>
        </w:trPr>
        <w:tc>
          <w:tcPr>
            <w:tcW w:w="988" w:type="dxa"/>
            <w:shd w:val="clear" w:color="auto" w:fill="auto"/>
          </w:tcPr>
          <w:p w14:paraId="3F94D1E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153</w:t>
            </w:r>
          </w:p>
        </w:tc>
        <w:tc>
          <w:tcPr>
            <w:tcW w:w="2502" w:type="dxa"/>
            <w:shd w:val="clear" w:color="auto" w:fill="auto"/>
          </w:tcPr>
          <w:p w14:paraId="4B46528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Як-9 (ВК-107А)</w:t>
            </w:r>
          </w:p>
        </w:tc>
        <w:tc>
          <w:tcPr>
            <w:tcW w:w="3096" w:type="dxa"/>
            <w:shd w:val="clear" w:color="auto" w:fill="auto"/>
          </w:tcPr>
          <w:p w14:paraId="63D7FDCC"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135</w:t>
            </w:r>
          </w:p>
        </w:tc>
      </w:tr>
      <w:tr w:rsidR="00CE1517" w:rsidRPr="00F90EAE" w14:paraId="4EB9932C" w14:textId="77777777" w:rsidTr="00076D96">
        <w:trPr>
          <w:trHeight w:val="197"/>
        </w:trPr>
        <w:tc>
          <w:tcPr>
            <w:tcW w:w="988" w:type="dxa"/>
            <w:shd w:val="clear" w:color="auto" w:fill="auto"/>
          </w:tcPr>
          <w:p w14:paraId="0A03D6C5"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47</w:t>
            </w:r>
          </w:p>
        </w:tc>
        <w:tc>
          <w:tcPr>
            <w:tcW w:w="2502" w:type="dxa"/>
            <w:shd w:val="clear" w:color="auto" w:fill="auto"/>
          </w:tcPr>
          <w:p w14:paraId="505304FA"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Ще-2 (2М-11Д)</w:t>
            </w:r>
          </w:p>
        </w:tc>
        <w:tc>
          <w:tcPr>
            <w:tcW w:w="3096" w:type="dxa"/>
            <w:shd w:val="clear" w:color="auto" w:fill="auto"/>
          </w:tcPr>
          <w:p w14:paraId="1BF2DA9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180</w:t>
            </w:r>
          </w:p>
        </w:tc>
      </w:tr>
      <w:tr w:rsidR="00CE1517" w:rsidRPr="00F90EAE" w14:paraId="7670B50C" w14:textId="77777777" w:rsidTr="00076D96">
        <w:trPr>
          <w:trHeight w:val="202"/>
        </w:trPr>
        <w:tc>
          <w:tcPr>
            <w:tcW w:w="988" w:type="dxa"/>
            <w:shd w:val="clear" w:color="auto" w:fill="auto"/>
          </w:tcPr>
          <w:p w14:paraId="404FEC88"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lastRenderedPageBreak/>
              <w:t>39</w:t>
            </w:r>
          </w:p>
        </w:tc>
        <w:tc>
          <w:tcPr>
            <w:tcW w:w="2502" w:type="dxa"/>
            <w:shd w:val="clear" w:color="auto" w:fill="auto"/>
          </w:tcPr>
          <w:p w14:paraId="5531E64F"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Ер-2 (2АЧ-30Б)</w:t>
            </w:r>
          </w:p>
        </w:tc>
        <w:tc>
          <w:tcPr>
            <w:tcW w:w="3096" w:type="dxa"/>
            <w:shd w:val="clear" w:color="auto" w:fill="auto"/>
          </w:tcPr>
          <w:p w14:paraId="765D5AC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875</w:t>
            </w:r>
          </w:p>
        </w:tc>
      </w:tr>
      <w:tr w:rsidR="00CE1517" w:rsidRPr="00F90EAE" w14:paraId="07937496" w14:textId="77777777" w:rsidTr="00076D96">
        <w:trPr>
          <w:trHeight w:val="197"/>
        </w:trPr>
        <w:tc>
          <w:tcPr>
            <w:tcW w:w="988" w:type="dxa"/>
            <w:shd w:val="clear" w:color="auto" w:fill="auto"/>
          </w:tcPr>
          <w:p w14:paraId="5CDE7A1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464</w:t>
            </w:r>
          </w:p>
        </w:tc>
        <w:tc>
          <w:tcPr>
            <w:tcW w:w="2502" w:type="dxa"/>
            <w:shd w:val="clear" w:color="auto" w:fill="auto"/>
          </w:tcPr>
          <w:p w14:paraId="5DFE40AF"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По-2 (М-11Д)</w:t>
            </w:r>
          </w:p>
        </w:tc>
        <w:tc>
          <w:tcPr>
            <w:tcW w:w="3096" w:type="dxa"/>
            <w:shd w:val="clear" w:color="auto" w:fill="auto"/>
          </w:tcPr>
          <w:p w14:paraId="7E04573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44.5</w:t>
            </w:r>
          </w:p>
        </w:tc>
      </w:tr>
      <w:tr w:rsidR="00CE1517" w:rsidRPr="00F90EAE" w14:paraId="4056AA92" w14:textId="77777777" w:rsidTr="00076D96">
        <w:trPr>
          <w:trHeight w:val="206"/>
        </w:trPr>
        <w:tc>
          <w:tcPr>
            <w:tcW w:w="988" w:type="dxa"/>
            <w:shd w:val="clear" w:color="auto" w:fill="auto"/>
          </w:tcPr>
          <w:p w14:paraId="3EEC659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494</w:t>
            </w:r>
          </w:p>
        </w:tc>
        <w:tc>
          <w:tcPr>
            <w:tcW w:w="2502" w:type="dxa"/>
            <w:shd w:val="clear" w:color="auto" w:fill="auto"/>
          </w:tcPr>
          <w:p w14:paraId="0E0286E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По-2с (М-11Д)</w:t>
            </w:r>
          </w:p>
        </w:tc>
        <w:tc>
          <w:tcPr>
            <w:tcW w:w="3096" w:type="dxa"/>
            <w:shd w:val="clear" w:color="auto" w:fill="auto"/>
          </w:tcPr>
          <w:p w14:paraId="11FD5FF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42</w:t>
            </w:r>
          </w:p>
        </w:tc>
      </w:tr>
    </w:tbl>
    <w:p w14:paraId="57DA6CD8" w14:textId="77777777" w:rsidR="00CE1517" w:rsidRPr="00F90EAE" w:rsidRDefault="00CE1517" w:rsidP="00F90EAE">
      <w:pPr>
        <w:jc w:val="both"/>
        <w:rPr>
          <w:color w:val="0070C0"/>
          <w:sz w:val="16"/>
          <w:szCs w:val="16"/>
          <w:lang w:bidi="ru-RU"/>
        </w:rPr>
      </w:pPr>
      <w:r w:rsidRPr="00F90EAE">
        <w:rPr>
          <w:color w:val="0070C0"/>
          <w:sz w:val="16"/>
          <w:szCs w:val="16"/>
          <w:lang w:bidi="ru-RU"/>
        </w:rPr>
        <w:t>Там же, ф. 4372, оп. 43, д. 240, л. 2</w:t>
      </w:r>
    </w:p>
    <w:p w14:paraId="718E7115" w14:textId="77777777" w:rsidR="00CE1517" w:rsidRPr="00F90EAE" w:rsidRDefault="00CE1517" w:rsidP="00F90EAE">
      <w:pPr>
        <w:pStyle w:val="aff1"/>
        <w:spacing w:line="240" w:lineRule="auto"/>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Авиамоторы</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88"/>
        <w:gridCol w:w="2551"/>
        <w:gridCol w:w="3119"/>
      </w:tblGrid>
      <w:tr w:rsidR="00CE1517" w:rsidRPr="00F90EAE" w14:paraId="110F54C3" w14:textId="77777777" w:rsidTr="00076D96">
        <w:trPr>
          <w:trHeight w:val="254"/>
        </w:trPr>
        <w:tc>
          <w:tcPr>
            <w:tcW w:w="988" w:type="dxa"/>
            <w:shd w:val="clear" w:color="auto" w:fill="auto"/>
            <w:vAlign w:val="bottom"/>
          </w:tcPr>
          <w:p w14:paraId="009531F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w:t>
            </w:r>
          </w:p>
        </w:tc>
        <w:tc>
          <w:tcPr>
            <w:tcW w:w="2551" w:type="dxa"/>
            <w:shd w:val="clear" w:color="auto" w:fill="auto"/>
            <w:vAlign w:val="bottom"/>
          </w:tcPr>
          <w:p w14:paraId="76A968A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АШ-83</w:t>
            </w:r>
          </w:p>
        </w:tc>
        <w:tc>
          <w:tcPr>
            <w:tcW w:w="3119" w:type="dxa"/>
            <w:shd w:val="clear" w:color="auto" w:fill="auto"/>
            <w:vAlign w:val="bottom"/>
          </w:tcPr>
          <w:p w14:paraId="5C21A04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125</w:t>
            </w:r>
          </w:p>
        </w:tc>
      </w:tr>
      <w:tr w:rsidR="00CE1517" w:rsidRPr="00F90EAE" w14:paraId="6B7747C7" w14:textId="77777777" w:rsidTr="00076D96">
        <w:trPr>
          <w:trHeight w:val="202"/>
        </w:trPr>
        <w:tc>
          <w:tcPr>
            <w:tcW w:w="988" w:type="dxa"/>
            <w:shd w:val="clear" w:color="auto" w:fill="auto"/>
          </w:tcPr>
          <w:p w14:paraId="1433657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26</w:t>
            </w:r>
          </w:p>
        </w:tc>
        <w:tc>
          <w:tcPr>
            <w:tcW w:w="2551" w:type="dxa"/>
            <w:shd w:val="clear" w:color="auto" w:fill="auto"/>
          </w:tcPr>
          <w:p w14:paraId="12C7D7DA"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ВК-107А</w:t>
            </w:r>
          </w:p>
        </w:tc>
        <w:tc>
          <w:tcPr>
            <w:tcW w:w="3119" w:type="dxa"/>
            <w:shd w:val="clear" w:color="auto" w:fill="auto"/>
          </w:tcPr>
          <w:p w14:paraId="17B08F5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86</w:t>
            </w:r>
          </w:p>
        </w:tc>
      </w:tr>
      <w:tr w:rsidR="00CE1517" w:rsidRPr="00F90EAE" w14:paraId="5BFD44FB" w14:textId="77777777" w:rsidTr="00076D96">
        <w:trPr>
          <w:trHeight w:val="307"/>
        </w:trPr>
        <w:tc>
          <w:tcPr>
            <w:tcW w:w="988" w:type="dxa"/>
            <w:shd w:val="clear" w:color="auto" w:fill="auto"/>
          </w:tcPr>
          <w:p w14:paraId="5A099B52"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36</w:t>
            </w:r>
          </w:p>
        </w:tc>
        <w:tc>
          <w:tcPr>
            <w:tcW w:w="2551" w:type="dxa"/>
            <w:shd w:val="clear" w:color="auto" w:fill="auto"/>
          </w:tcPr>
          <w:p w14:paraId="3D9886B6"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АШ-62ИР</w:t>
            </w:r>
          </w:p>
        </w:tc>
        <w:tc>
          <w:tcPr>
            <w:tcW w:w="3119" w:type="dxa"/>
            <w:shd w:val="clear" w:color="auto" w:fill="auto"/>
          </w:tcPr>
          <w:p w14:paraId="1F74B98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68</w:t>
            </w:r>
          </w:p>
        </w:tc>
      </w:tr>
    </w:tbl>
    <w:p w14:paraId="1E4C3717" w14:textId="77777777" w:rsidR="00CE1517" w:rsidRPr="00F90EAE" w:rsidRDefault="00CE1517" w:rsidP="00F90EAE">
      <w:pPr>
        <w:jc w:val="both"/>
        <w:rPr>
          <w:color w:val="0070C0"/>
          <w:sz w:val="16"/>
          <w:szCs w:val="16"/>
          <w:lang w:bidi="ru-RU"/>
        </w:rPr>
      </w:pPr>
      <w:r w:rsidRPr="00F90EAE">
        <w:rPr>
          <w:color w:val="0070C0"/>
          <w:sz w:val="16"/>
          <w:szCs w:val="16"/>
          <w:lang w:bidi="ru-RU"/>
        </w:rPr>
        <w:t xml:space="preserve">Составлено по: РГАЭ, ф. 8044, </w:t>
      </w:r>
      <w:r w:rsidRPr="00F90EAE">
        <w:rPr>
          <w:smallCaps/>
          <w:color w:val="0070C0"/>
          <w:sz w:val="16"/>
          <w:szCs w:val="16"/>
          <w:lang w:bidi="ru-RU"/>
        </w:rPr>
        <w:t>оп.</w:t>
      </w:r>
      <w:r w:rsidRPr="00F90EAE">
        <w:rPr>
          <w:color w:val="0070C0"/>
          <w:sz w:val="16"/>
          <w:szCs w:val="16"/>
          <w:lang w:bidi="ru-RU"/>
        </w:rPr>
        <w:t xml:space="preserve"> 1, д. 2973, л. 22</w:t>
      </w:r>
    </w:p>
    <w:p w14:paraId="6CEA2207" w14:textId="77777777" w:rsidR="00CE1517" w:rsidRPr="00F90EAE" w:rsidRDefault="00CE1517" w:rsidP="00F90EAE">
      <w:pPr>
        <w:jc w:val="both"/>
        <w:rPr>
          <w:color w:val="0070C0"/>
          <w:sz w:val="16"/>
          <w:szCs w:val="16"/>
        </w:rPr>
      </w:pPr>
      <w:r w:rsidRPr="00F90EAE">
        <w:rPr>
          <w:color w:val="0070C0"/>
          <w:sz w:val="16"/>
          <w:szCs w:val="16"/>
          <w:lang w:bidi="ru-RU"/>
        </w:rPr>
        <w:t>Однако по ряду типов и моделей стороны не пришли к соглашению, поэтому 17 апреля 1945 г. итоговые отпускные цены на них установил СНК СССР, заняв равноудалённую позицию, в одних случаях приняв аргументы военных, в дру</w:t>
      </w:r>
      <w:r w:rsidRPr="00F90EAE">
        <w:rPr>
          <w:color w:val="0070C0"/>
          <w:sz w:val="16"/>
          <w:szCs w:val="16"/>
          <w:lang w:bidi="ru-RU"/>
        </w:rPr>
        <w:softHyphen/>
        <w:t>гих - авиастроителей (см. табл.).</w:t>
      </w:r>
    </w:p>
    <w:p w14:paraId="6D285AFB" w14:textId="77777777" w:rsidR="00CE1517" w:rsidRPr="00F90EAE" w:rsidRDefault="00CE1517" w:rsidP="00F90EAE">
      <w:pPr>
        <w:pStyle w:val="28"/>
        <w:spacing w:before="0"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CE1517" w:rsidRPr="00F90EAE" w14:paraId="592EDCD4" w14:textId="77777777" w:rsidTr="00076D96">
        <w:trPr>
          <w:trHeight w:val="283"/>
        </w:trPr>
        <w:tc>
          <w:tcPr>
            <w:tcW w:w="888" w:type="dxa"/>
            <w:shd w:val="clear" w:color="auto" w:fill="auto"/>
          </w:tcPr>
          <w:p w14:paraId="4037338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 завода</w:t>
            </w:r>
          </w:p>
        </w:tc>
        <w:tc>
          <w:tcPr>
            <w:tcW w:w="1704" w:type="dxa"/>
            <w:shd w:val="clear" w:color="auto" w:fill="auto"/>
          </w:tcPr>
          <w:p w14:paraId="20C00AD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Модель</w:t>
            </w:r>
          </w:p>
        </w:tc>
        <w:tc>
          <w:tcPr>
            <w:tcW w:w="1627" w:type="dxa"/>
            <w:shd w:val="clear" w:color="auto" w:fill="auto"/>
          </w:tcPr>
          <w:p w14:paraId="026BF92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Предложения ВВС</w:t>
            </w:r>
          </w:p>
        </w:tc>
        <w:tc>
          <w:tcPr>
            <w:tcW w:w="1637" w:type="dxa"/>
            <w:shd w:val="clear" w:color="auto" w:fill="auto"/>
          </w:tcPr>
          <w:p w14:paraId="0341FF0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Предложения НКАП</w:t>
            </w:r>
          </w:p>
        </w:tc>
        <w:tc>
          <w:tcPr>
            <w:tcW w:w="1608" w:type="dxa"/>
            <w:shd w:val="clear" w:color="auto" w:fill="auto"/>
          </w:tcPr>
          <w:p w14:paraId="15E04E7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Постановление СНК</w:t>
            </w:r>
          </w:p>
        </w:tc>
      </w:tr>
      <w:tr w:rsidR="00CE1517" w:rsidRPr="00F90EAE" w14:paraId="4FD546AB" w14:textId="77777777" w:rsidTr="00076D96">
        <w:trPr>
          <w:trHeight w:val="278"/>
        </w:trPr>
        <w:tc>
          <w:tcPr>
            <w:tcW w:w="888" w:type="dxa"/>
            <w:shd w:val="clear" w:color="auto" w:fill="auto"/>
            <w:vAlign w:val="bottom"/>
          </w:tcPr>
          <w:p w14:paraId="75DA8CA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21</w:t>
            </w:r>
          </w:p>
        </w:tc>
        <w:tc>
          <w:tcPr>
            <w:tcW w:w="1704" w:type="dxa"/>
            <w:shd w:val="clear" w:color="auto" w:fill="auto"/>
            <w:vAlign w:val="bottom"/>
          </w:tcPr>
          <w:p w14:paraId="5C537A1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Ла-7</w:t>
            </w:r>
          </w:p>
        </w:tc>
        <w:tc>
          <w:tcPr>
            <w:tcW w:w="1627" w:type="dxa"/>
            <w:shd w:val="clear" w:color="auto" w:fill="auto"/>
            <w:vAlign w:val="bottom"/>
          </w:tcPr>
          <w:p w14:paraId="097F11C8"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118</w:t>
            </w:r>
          </w:p>
        </w:tc>
        <w:tc>
          <w:tcPr>
            <w:tcW w:w="1637" w:type="dxa"/>
            <w:shd w:val="clear" w:color="auto" w:fill="auto"/>
            <w:vAlign w:val="bottom"/>
          </w:tcPr>
          <w:p w14:paraId="6AD9E83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125</w:t>
            </w:r>
          </w:p>
        </w:tc>
        <w:tc>
          <w:tcPr>
            <w:tcW w:w="1608" w:type="dxa"/>
            <w:shd w:val="clear" w:color="auto" w:fill="auto"/>
            <w:vAlign w:val="bottom"/>
          </w:tcPr>
          <w:p w14:paraId="44AD850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120</w:t>
            </w:r>
          </w:p>
        </w:tc>
      </w:tr>
      <w:tr w:rsidR="00CE1517" w:rsidRPr="00F90EAE" w14:paraId="6602C2C2" w14:textId="77777777" w:rsidTr="00076D96">
        <w:trPr>
          <w:trHeight w:val="379"/>
        </w:trPr>
        <w:tc>
          <w:tcPr>
            <w:tcW w:w="888" w:type="dxa"/>
            <w:shd w:val="clear" w:color="auto" w:fill="auto"/>
            <w:vAlign w:val="bottom"/>
          </w:tcPr>
          <w:p w14:paraId="4404E1E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82</w:t>
            </w:r>
          </w:p>
        </w:tc>
        <w:tc>
          <w:tcPr>
            <w:tcW w:w="1704" w:type="dxa"/>
            <w:shd w:val="clear" w:color="auto" w:fill="auto"/>
          </w:tcPr>
          <w:p w14:paraId="0A5AC485"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(АШ-82ФН)</w:t>
            </w:r>
          </w:p>
          <w:p w14:paraId="5731C9E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Як-9</w:t>
            </w:r>
          </w:p>
        </w:tc>
        <w:tc>
          <w:tcPr>
            <w:tcW w:w="1627" w:type="dxa"/>
            <w:shd w:val="clear" w:color="auto" w:fill="auto"/>
            <w:vAlign w:val="bottom"/>
          </w:tcPr>
          <w:p w14:paraId="2C1A92F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171</w:t>
            </w:r>
          </w:p>
        </w:tc>
        <w:tc>
          <w:tcPr>
            <w:tcW w:w="1637" w:type="dxa"/>
            <w:shd w:val="clear" w:color="auto" w:fill="auto"/>
            <w:vAlign w:val="bottom"/>
          </w:tcPr>
          <w:p w14:paraId="128583A6"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200</w:t>
            </w:r>
          </w:p>
        </w:tc>
        <w:tc>
          <w:tcPr>
            <w:tcW w:w="1608" w:type="dxa"/>
            <w:shd w:val="clear" w:color="auto" w:fill="auto"/>
            <w:vAlign w:val="bottom"/>
          </w:tcPr>
          <w:p w14:paraId="2718305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185</w:t>
            </w:r>
          </w:p>
        </w:tc>
      </w:tr>
      <w:tr w:rsidR="00CE1517" w:rsidRPr="00F90EAE" w14:paraId="0AB8D940" w14:textId="77777777" w:rsidTr="00076D96">
        <w:trPr>
          <w:trHeight w:val="379"/>
        </w:trPr>
        <w:tc>
          <w:tcPr>
            <w:tcW w:w="888" w:type="dxa"/>
            <w:shd w:val="clear" w:color="auto" w:fill="auto"/>
            <w:vAlign w:val="bottom"/>
          </w:tcPr>
          <w:p w14:paraId="12F667D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166</w:t>
            </w:r>
          </w:p>
        </w:tc>
        <w:tc>
          <w:tcPr>
            <w:tcW w:w="1704" w:type="dxa"/>
            <w:shd w:val="clear" w:color="auto" w:fill="auto"/>
          </w:tcPr>
          <w:p w14:paraId="11F9808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en-US" w:bidi="en-US"/>
              </w:rPr>
              <w:t>(BK-107A)</w:t>
            </w:r>
          </w:p>
          <w:p w14:paraId="2BC3F54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Як-9</w:t>
            </w:r>
          </w:p>
        </w:tc>
        <w:tc>
          <w:tcPr>
            <w:tcW w:w="1627" w:type="dxa"/>
            <w:shd w:val="clear" w:color="auto" w:fill="auto"/>
            <w:vAlign w:val="bottom"/>
          </w:tcPr>
          <w:p w14:paraId="17A5C73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138</w:t>
            </w:r>
          </w:p>
        </w:tc>
        <w:tc>
          <w:tcPr>
            <w:tcW w:w="1637" w:type="dxa"/>
            <w:shd w:val="clear" w:color="auto" w:fill="auto"/>
            <w:vAlign w:val="bottom"/>
          </w:tcPr>
          <w:p w14:paraId="4DD94135"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142</w:t>
            </w:r>
          </w:p>
        </w:tc>
        <w:tc>
          <w:tcPr>
            <w:tcW w:w="1608" w:type="dxa"/>
            <w:shd w:val="clear" w:color="auto" w:fill="auto"/>
            <w:vAlign w:val="bottom"/>
          </w:tcPr>
          <w:p w14:paraId="22A7642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138</w:t>
            </w:r>
          </w:p>
        </w:tc>
      </w:tr>
      <w:tr w:rsidR="00CE1517" w:rsidRPr="00F90EAE" w14:paraId="0CE4BF9B" w14:textId="77777777" w:rsidTr="00076D96">
        <w:trPr>
          <w:trHeight w:val="379"/>
        </w:trPr>
        <w:tc>
          <w:tcPr>
            <w:tcW w:w="888" w:type="dxa"/>
            <w:shd w:val="clear" w:color="auto" w:fill="auto"/>
            <w:vAlign w:val="bottom"/>
          </w:tcPr>
          <w:p w14:paraId="7073138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292</w:t>
            </w:r>
          </w:p>
        </w:tc>
        <w:tc>
          <w:tcPr>
            <w:tcW w:w="1704" w:type="dxa"/>
            <w:shd w:val="clear" w:color="auto" w:fill="auto"/>
            <w:vAlign w:val="bottom"/>
          </w:tcPr>
          <w:p w14:paraId="09C0695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en-US" w:bidi="en-US"/>
              </w:rPr>
              <w:t>(BK-J07A)</w:t>
            </w:r>
          </w:p>
          <w:p w14:paraId="35955BD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Як-3</w:t>
            </w:r>
          </w:p>
        </w:tc>
        <w:tc>
          <w:tcPr>
            <w:tcW w:w="1627" w:type="dxa"/>
            <w:shd w:val="clear" w:color="auto" w:fill="auto"/>
            <w:vAlign w:val="bottom"/>
          </w:tcPr>
          <w:p w14:paraId="3DEFF90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122</w:t>
            </w:r>
          </w:p>
        </w:tc>
        <w:tc>
          <w:tcPr>
            <w:tcW w:w="1637" w:type="dxa"/>
            <w:shd w:val="clear" w:color="auto" w:fill="auto"/>
            <w:vAlign w:val="bottom"/>
          </w:tcPr>
          <w:p w14:paraId="3A32544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130</w:t>
            </w:r>
          </w:p>
        </w:tc>
        <w:tc>
          <w:tcPr>
            <w:tcW w:w="1608" w:type="dxa"/>
            <w:shd w:val="clear" w:color="auto" w:fill="auto"/>
            <w:vAlign w:val="bottom"/>
          </w:tcPr>
          <w:p w14:paraId="37D8A2A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127</w:t>
            </w:r>
          </w:p>
        </w:tc>
      </w:tr>
      <w:tr w:rsidR="00CE1517" w:rsidRPr="00F90EAE" w14:paraId="6FB1F0BB" w14:textId="77777777" w:rsidTr="00076D96">
        <w:trPr>
          <w:trHeight w:val="379"/>
        </w:trPr>
        <w:tc>
          <w:tcPr>
            <w:tcW w:w="888" w:type="dxa"/>
            <w:shd w:val="clear" w:color="auto" w:fill="auto"/>
            <w:vAlign w:val="bottom"/>
          </w:tcPr>
          <w:p w14:paraId="3E97561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381</w:t>
            </w:r>
          </w:p>
        </w:tc>
        <w:tc>
          <w:tcPr>
            <w:tcW w:w="1704" w:type="dxa"/>
            <w:shd w:val="clear" w:color="auto" w:fill="auto"/>
            <w:vAlign w:val="bottom"/>
          </w:tcPr>
          <w:p w14:paraId="4ECF1782"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(ВК-105ПФ)</w:t>
            </w:r>
          </w:p>
          <w:p w14:paraId="79C5BDE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Ла-7</w:t>
            </w:r>
          </w:p>
        </w:tc>
        <w:tc>
          <w:tcPr>
            <w:tcW w:w="1627" w:type="dxa"/>
            <w:shd w:val="clear" w:color="auto" w:fill="auto"/>
            <w:vAlign w:val="bottom"/>
          </w:tcPr>
          <w:p w14:paraId="321415EC"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180</w:t>
            </w:r>
          </w:p>
        </w:tc>
        <w:tc>
          <w:tcPr>
            <w:tcW w:w="1637" w:type="dxa"/>
            <w:shd w:val="clear" w:color="auto" w:fill="auto"/>
            <w:vAlign w:val="bottom"/>
          </w:tcPr>
          <w:p w14:paraId="4799DD12"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195</w:t>
            </w:r>
          </w:p>
        </w:tc>
        <w:tc>
          <w:tcPr>
            <w:tcW w:w="1608" w:type="dxa"/>
            <w:shd w:val="clear" w:color="auto" w:fill="auto"/>
            <w:vAlign w:val="bottom"/>
          </w:tcPr>
          <w:p w14:paraId="74C2C95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180</w:t>
            </w:r>
          </w:p>
        </w:tc>
      </w:tr>
      <w:tr w:rsidR="00CE1517" w:rsidRPr="00F90EAE" w14:paraId="616FF704" w14:textId="77777777" w:rsidTr="00076D96">
        <w:trPr>
          <w:trHeight w:val="384"/>
        </w:trPr>
        <w:tc>
          <w:tcPr>
            <w:tcW w:w="888" w:type="dxa"/>
            <w:shd w:val="clear" w:color="auto" w:fill="auto"/>
            <w:vAlign w:val="bottom"/>
          </w:tcPr>
          <w:p w14:paraId="186D1AB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23</w:t>
            </w:r>
          </w:p>
        </w:tc>
        <w:tc>
          <w:tcPr>
            <w:tcW w:w="1704" w:type="dxa"/>
            <w:shd w:val="clear" w:color="auto" w:fill="auto"/>
            <w:vAlign w:val="bottom"/>
          </w:tcPr>
          <w:p w14:paraId="2CA69DCC"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(АШ-82ФН) Ту-2</w:t>
            </w:r>
          </w:p>
        </w:tc>
        <w:tc>
          <w:tcPr>
            <w:tcW w:w="1627" w:type="dxa"/>
            <w:shd w:val="clear" w:color="auto" w:fill="auto"/>
            <w:vAlign w:val="bottom"/>
          </w:tcPr>
          <w:p w14:paraId="0F00613F"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570</w:t>
            </w:r>
          </w:p>
        </w:tc>
        <w:tc>
          <w:tcPr>
            <w:tcW w:w="1637" w:type="dxa"/>
            <w:shd w:val="clear" w:color="auto" w:fill="auto"/>
            <w:vAlign w:val="bottom"/>
          </w:tcPr>
          <w:p w14:paraId="1C9F61F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590</w:t>
            </w:r>
          </w:p>
        </w:tc>
        <w:tc>
          <w:tcPr>
            <w:tcW w:w="1608" w:type="dxa"/>
            <w:shd w:val="clear" w:color="auto" w:fill="auto"/>
            <w:vAlign w:val="bottom"/>
          </w:tcPr>
          <w:p w14:paraId="297DFD6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570</w:t>
            </w:r>
          </w:p>
        </w:tc>
      </w:tr>
      <w:tr w:rsidR="00CE1517" w:rsidRPr="00F90EAE" w14:paraId="40A3F03F" w14:textId="77777777" w:rsidTr="00076D96">
        <w:trPr>
          <w:trHeight w:val="389"/>
        </w:trPr>
        <w:tc>
          <w:tcPr>
            <w:tcW w:w="888" w:type="dxa"/>
            <w:shd w:val="clear" w:color="auto" w:fill="auto"/>
            <w:vAlign w:val="bottom"/>
          </w:tcPr>
          <w:p w14:paraId="1F644C0A"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471</w:t>
            </w:r>
          </w:p>
        </w:tc>
        <w:tc>
          <w:tcPr>
            <w:tcW w:w="1704" w:type="dxa"/>
            <w:shd w:val="clear" w:color="auto" w:fill="auto"/>
          </w:tcPr>
          <w:p w14:paraId="65C5F193"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(2АЩ-82ФН)</w:t>
            </w:r>
          </w:p>
          <w:p w14:paraId="75D17B5A"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По-2 (М-11Д)</w:t>
            </w:r>
          </w:p>
        </w:tc>
        <w:tc>
          <w:tcPr>
            <w:tcW w:w="1627" w:type="dxa"/>
            <w:shd w:val="clear" w:color="auto" w:fill="auto"/>
            <w:vAlign w:val="bottom"/>
          </w:tcPr>
          <w:p w14:paraId="00761B91"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42</w:t>
            </w:r>
          </w:p>
        </w:tc>
        <w:tc>
          <w:tcPr>
            <w:tcW w:w="1637" w:type="dxa"/>
            <w:shd w:val="clear" w:color="auto" w:fill="auto"/>
            <w:vAlign w:val="bottom"/>
          </w:tcPr>
          <w:p w14:paraId="4E0C447E"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44</w:t>
            </w:r>
          </w:p>
        </w:tc>
        <w:tc>
          <w:tcPr>
            <w:tcW w:w="1608" w:type="dxa"/>
            <w:shd w:val="clear" w:color="auto" w:fill="auto"/>
            <w:vAlign w:val="bottom"/>
          </w:tcPr>
          <w:p w14:paraId="47AC862B"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p>
        </w:tc>
      </w:tr>
      <w:tr w:rsidR="00CE1517" w:rsidRPr="00F90EAE" w14:paraId="5F18A748" w14:textId="77777777" w:rsidTr="00076D96">
        <w:trPr>
          <w:trHeight w:val="408"/>
        </w:trPr>
        <w:tc>
          <w:tcPr>
            <w:tcW w:w="888" w:type="dxa"/>
            <w:shd w:val="clear" w:color="auto" w:fill="auto"/>
          </w:tcPr>
          <w:p w14:paraId="6C446572"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 18</w:t>
            </w:r>
          </w:p>
        </w:tc>
        <w:tc>
          <w:tcPr>
            <w:tcW w:w="1704" w:type="dxa"/>
            <w:shd w:val="clear" w:color="auto" w:fill="auto"/>
            <w:vAlign w:val="bottom"/>
          </w:tcPr>
          <w:p w14:paraId="16F4A7F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Ил-10</w:t>
            </w:r>
          </w:p>
          <w:p w14:paraId="42DCC21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(АМ-38Ф)</w:t>
            </w:r>
          </w:p>
        </w:tc>
        <w:tc>
          <w:tcPr>
            <w:tcW w:w="1627" w:type="dxa"/>
            <w:shd w:val="clear" w:color="auto" w:fill="auto"/>
          </w:tcPr>
          <w:p w14:paraId="2A0FB764"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250</w:t>
            </w:r>
          </w:p>
        </w:tc>
        <w:tc>
          <w:tcPr>
            <w:tcW w:w="1637" w:type="dxa"/>
            <w:shd w:val="clear" w:color="auto" w:fill="auto"/>
          </w:tcPr>
          <w:p w14:paraId="37FB3D89"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275</w:t>
            </w:r>
          </w:p>
        </w:tc>
        <w:tc>
          <w:tcPr>
            <w:tcW w:w="1608" w:type="dxa"/>
            <w:shd w:val="clear" w:color="auto" w:fill="auto"/>
          </w:tcPr>
          <w:p w14:paraId="3C74922D"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271</w:t>
            </w:r>
          </w:p>
        </w:tc>
      </w:tr>
    </w:tbl>
    <w:p w14:paraId="4FD65451" w14:textId="77777777" w:rsidR="00CE1517" w:rsidRPr="00F90EAE" w:rsidRDefault="00CE1517" w:rsidP="00F90EAE">
      <w:pPr>
        <w:pStyle w:val="aff1"/>
        <w:spacing w:line="240" w:lineRule="auto"/>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bidi="ru-RU"/>
        </w:rPr>
        <w:t>Составлено по: РГАЭ ф. 8044, оп. 1, д. 2973, л. 22, 29-30.</w:t>
      </w:r>
    </w:p>
    <w:p w14:paraId="6C6D7520" w14:textId="77777777" w:rsidR="00CE1517" w:rsidRPr="00F90EAE" w:rsidRDefault="00CE1517" w:rsidP="00F90EAE">
      <w:pPr>
        <w:jc w:val="both"/>
        <w:rPr>
          <w:color w:val="0070C0"/>
          <w:sz w:val="16"/>
          <w:szCs w:val="16"/>
        </w:rPr>
      </w:pPr>
      <w:r w:rsidRPr="00F90EAE">
        <w:rPr>
          <w:color w:val="0070C0"/>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F90EAE">
        <w:rPr>
          <w:color w:val="0070C0"/>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CE1517" w:rsidRPr="00F90EAE" w14:paraId="2D74E970" w14:textId="77777777" w:rsidTr="00076D96">
        <w:trPr>
          <w:trHeight w:val="547"/>
        </w:trPr>
        <w:tc>
          <w:tcPr>
            <w:tcW w:w="878" w:type="dxa"/>
            <w:shd w:val="clear" w:color="auto" w:fill="auto"/>
          </w:tcPr>
          <w:p w14:paraId="3E333454" w14:textId="77777777" w:rsidR="00CE1517" w:rsidRPr="00F90EAE" w:rsidRDefault="00CE1517" w:rsidP="00F90EAE">
            <w:pPr>
              <w:jc w:val="both"/>
              <w:rPr>
                <w:color w:val="0070C0"/>
                <w:sz w:val="16"/>
                <w:szCs w:val="16"/>
              </w:rPr>
            </w:pPr>
          </w:p>
        </w:tc>
        <w:tc>
          <w:tcPr>
            <w:tcW w:w="5174" w:type="dxa"/>
            <w:gridSpan w:val="2"/>
            <w:shd w:val="clear" w:color="auto" w:fill="auto"/>
            <w:vAlign w:val="center"/>
          </w:tcPr>
          <w:p w14:paraId="4D6B3CFA"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Динамика рентабельности авиапромышленности в 1941-1945 гг. (%)</w:t>
            </w:r>
          </w:p>
        </w:tc>
        <w:tc>
          <w:tcPr>
            <w:tcW w:w="1214" w:type="dxa"/>
            <w:shd w:val="clear" w:color="auto" w:fill="auto"/>
          </w:tcPr>
          <w:p w14:paraId="260F2115" w14:textId="77777777" w:rsidR="00CE1517" w:rsidRPr="00F90EAE" w:rsidRDefault="00CE1517" w:rsidP="00F90EAE">
            <w:pPr>
              <w:jc w:val="both"/>
              <w:rPr>
                <w:color w:val="0070C0"/>
                <w:sz w:val="16"/>
                <w:szCs w:val="16"/>
              </w:rPr>
            </w:pPr>
          </w:p>
        </w:tc>
      </w:tr>
      <w:tr w:rsidR="00CE1517" w:rsidRPr="00F90EAE" w14:paraId="0671D7C2" w14:textId="77777777" w:rsidTr="00076D96">
        <w:trPr>
          <w:trHeight w:val="370"/>
        </w:trPr>
        <w:tc>
          <w:tcPr>
            <w:tcW w:w="878" w:type="dxa"/>
            <w:shd w:val="clear" w:color="auto" w:fill="auto"/>
            <w:vAlign w:val="center"/>
          </w:tcPr>
          <w:p w14:paraId="792C3A1C"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1940 г.</w:t>
            </w:r>
          </w:p>
        </w:tc>
        <w:tc>
          <w:tcPr>
            <w:tcW w:w="3907" w:type="dxa"/>
            <w:shd w:val="clear" w:color="auto" w:fill="auto"/>
            <w:vAlign w:val="center"/>
          </w:tcPr>
          <w:p w14:paraId="30BE4EDE" w14:textId="77777777" w:rsidR="00CE1517" w:rsidRPr="00F90EAE" w:rsidRDefault="00CE1517" w:rsidP="00F90EAE">
            <w:pPr>
              <w:pStyle w:val="afff8"/>
              <w:tabs>
                <w:tab w:val="left" w:pos="1296"/>
                <w:tab w:val="left" w:pos="2597"/>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1941 г.</w:t>
            </w:r>
            <w:r w:rsidRPr="00F90EAE">
              <w:rPr>
                <w:rFonts w:ascii="Times New Roman" w:hAnsi="Times New Roman" w:cs="Times New Roman"/>
                <w:color w:val="0070C0"/>
                <w:sz w:val="16"/>
                <w:szCs w:val="16"/>
                <w:lang w:bidi="ru-RU"/>
              </w:rPr>
              <w:tab/>
              <w:t>1942 г.</w:t>
            </w:r>
            <w:r w:rsidRPr="00F90EAE">
              <w:rPr>
                <w:rFonts w:ascii="Times New Roman" w:hAnsi="Times New Roman" w:cs="Times New Roman"/>
                <w:color w:val="0070C0"/>
                <w:sz w:val="16"/>
                <w:szCs w:val="16"/>
                <w:lang w:bidi="ru-RU"/>
              </w:rPr>
              <w:tab/>
              <w:t>1943 г.</w:t>
            </w:r>
          </w:p>
        </w:tc>
        <w:tc>
          <w:tcPr>
            <w:tcW w:w="1267" w:type="dxa"/>
            <w:shd w:val="clear" w:color="auto" w:fill="auto"/>
            <w:vAlign w:val="center"/>
          </w:tcPr>
          <w:p w14:paraId="0FE45685"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1944 г.</w:t>
            </w:r>
          </w:p>
        </w:tc>
        <w:tc>
          <w:tcPr>
            <w:tcW w:w="1214" w:type="dxa"/>
            <w:shd w:val="clear" w:color="auto" w:fill="auto"/>
            <w:vAlign w:val="center"/>
          </w:tcPr>
          <w:p w14:paraId="45D7E4D0"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1945 г.</w:t>
            </w:r>
          </w:p>
        </w:tc>
      </w:tr>
      <w:tr w:rsidR="00CE1517" w:rsidRPr="00F90EAE" w14:paraId="22A21D6C" w14:textId="77777777" w:rsidTr="00076D96">
        <w:trPr>
          <w:trHeight w:val="389"/>
        </w:trPr>
        <w:tc>
          <w:tcPr>
            <w:tcW w:w="878" w:type="dxa"/>
            <w:shd w:val="clear" w:color="auto" w:fill="auto"/>
            <w:vAlign w:val="center"/>
          </w:tcPr>
          <w:p w14:paraId="586ED8EF"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+7.32</w:t>
            </w:r>
          </w:p>
        </w:tc>
        <w:tc>
          <w:tcPr>
            <w:tcW w:w="3907" w:type="dxa"/>
            <w:shd w:val="clear" w:color="auto" w:fill="auto"/>
          </w:tcPr>
          <w:p w14:paraId="2F853027" w14:textId="77777777" w:rsidR="00CE1517" w:rsidRPr="00F90EAE" w:rsidRDefault="00CE1517" w:rsidP="00F90EAE">
            <w:pPr>
              <w:pStyle w:val="afff8"/>
              <w:tabs>
                <w:tab w:val="left" w:pos="432"/>
                <w:tab w:val="left" w:pos="1291"/>
                <w:tab w:val="left" w:pos="1771"/>
                <w:tab w:val="left" w:pos="2592"/>
                <w:tab w:val="left" w:pos="3110"/>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r w:rsidRPr="00F90EAE">
              <w:rPr>
                <w:rFonts w:ascii="Times New Roman" w:hAnsi="Times New Roman" w:cs="Times New Roman"/>
                <w:color w:val="0070C0"/>
                <w:sz w:val="16"/>
                <w:szCs w:val="16"/>
                <w:lang w:bidi="ru-RU"/>
              </w:rPr>
              <w:tab/>
              <w:t>+13.53</w:t>
            </w:r>
            <w:r w:rsidRPr="00F90EAE">
              <w:rPr>
                <w:rFonts w:ascii="Times New Roman" w:hAnsi="Times New Roman" w:cs="Times New Roman"/>
                <w:color w:val="0070C0"/>
                <w:sz w:val="16"/>
                <w:szCs w:val="16"/>
                <w:lang w:bidi="ru-RU"/>
              </w:rPr>
              <w:tab/>
              <w:t>|</w:t>
            </w:r>
            <w:r w:rsidRPr="00F90EAE">
              <w:rPr>
                <w:rFonts w:ascii="Times New Roman" w:hAnsi="Times New Roman" w:cs="Times New Roman"/>
                <w:color w:val="0070C0"/>
                <w:sz w:val="16"/>
                <w:szCs w:val="16"/>
                <w:lang w:bidi="ru-RU"/>
              </w:rPr>
              <w:tab/>
              <w:t>-0.98</w:t>
            </w:r>
            <w:r w:rsidRPr="00F90EAE">
              <w:rPr>
                <w:rFonts w:ascii="Times New Roman" w:hAnsi="Times New Roman" w:cs="Times New Roman"/>
                <w:color w:val="0070C0"/>
                <w:sz w:val="16"/>
                <w:szCs w:val="16"/>
                <w:lang w:bidi="ru-RU"/>
              </w:rPr>
              <w:tab/>
              <w:t>|</w:t>
            </w:r>
            <w:r w:rsidRPr="00F90EAE">
              <w:rPr>
                <w:rFonts w:ascii="Times New Roman" w:hAnsi="Times New Roman" w:cs="Times New Roman"/>
                <w:color w:val="0070C0"/>
                <w:sz w:val="16"/>
                <w:szCs w:val="16"/>
                <w:lang w:bidi="ru-RU"/>
              </w:rPr>
              <w:tab/>
              <w:t>+7.7</w:t>
            </w:r>
          </w:p>
        </w:tc>
        <w:tc>
          <w:tcPr>
            <w:tcW w:w="1267" w:type="dxa"/>
            <w:shd w:val="clear" w:color="auto" w:fill="auto"/>
            <w:vAlign w:val="center"/>
          </w:tcPr>
          <w:p w14:paraId="23950E27" w14:textId="77777777" w:rsidR="00CE1517" w:rsidRPr="00F90EAE" w:rsidRDefault="00CE1517"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+5.52</w:t>
            </w:r>
          </w:p>
        </w:tc>
        <w:tc>
          <w:tcPr>
            <w:tcW w:w="1214" w:type="dxa"/>
            <w:shd w:val="clear" w:color="auto" w:fill="auto"/>
          </w:tcPr>
          <w:p w14:paraId="284CBAAC" w14:textId="77777777" w:rsidR="00CE1517" w:rsidRPr="00F90EAE" w:rsidRDefault="00CE1517" w:rsidP="00F90EAE">
            <w:pPr>
              <w:pStyle w:val="afff8"/>
              <w:tabs>
                <w:tab w:val="left" w:pos="466"/>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r w:rsidRPr="00F90EAE">
              <w:rPr>
                <w:rFonts w:ascii="Times New Roman" w:hAnsi="Times New Roman" w:cs="Times New Roman"/>
                <w:color w:val="0070C0"/>
                <w:sz w:val="16"/>
                <w:szCs w:val="16"/>
                <w:lang w:bidi="ru-RU"/>
              </w:rPr>
              <w:tab/>
              <w:t>+5.2</w:t>
            </w:r>
          </w:p>
        </w:tc>
      </w:tr>
    </w:tbl>
    <w:p w14:paraId="404F6FE8" w14:textId="77777777" w:rsidR="00CE1517" w:rsidRPr="00F90EAE" w:rsidRDefault="00CE1517" w:rsidP="00F90EAE">
      <w:pPr>
        <w:pStyle w:val="aff1"/>
        <w:spacing w:line="240" w:lineRule="auto"/>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bidi="ru-RU"/>
        </w:rPr>
        <w:t>Составлено по: Симонов Н.С. Указ. соч. С. 177 (22646).</w:t>
      </w:r>
    </w:p>
    <w:p w14:paraId="4284EF8C" w14:textId="77777777" w:rsidR="00CE1517" w:rsidRPr="00F90EAE" w:rsidRDefault="00CE1517" w:rsidP="00F90EAE">
      <w:pPr>
        <w:jc w:val="both"/>
        <w:rPr>
          <w:color w:val="0070C0"/>
          <w:sz w:val="16"/>
          <w:szCs w:val="16"/>
        </w:rPr>
      </w:pPr>
      <w:r w:rsidRPr="00F90EAE">
        <w:rPr>
          <w:color w:val="0070C0"/>
          <w:sz w:val="16"/>
          <w:szCs w:val="16"/>
          <w:lang w:bidi="ru-RU"/>
        </w:rPr>
        <w:t>Таким образом, в советской экономике военных лет монетарные инстру</w:t>
      </w:r>
      <w:r w:rsidRPr="00F90EAE">
        <w:rPr>
          <w:color w:val="0070C0"/>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F90EAE">
        <w:rPr>
          <w:color w:val="0070C0"/>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F90EAE">
        <w:rPr>
          <w:color w:val="0070C0"/>
          <w:sz w:val="16"/>
          <w:szCs w:val="16"/>
          <w:lang w:bidi="ru-RU"/>
        </w:rPr>
        <w:softHyphen/>
        <w:t>дукцию, а НКО пытался их снизить. В подобных спорах советское правитель</w:t>
      </w:r>
      <w:r w:rsidRPr="00F90EAE">
        <w:rPr>
          <w:color w:val="0070C0"/>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00E6A6A7" w14:textId="77777777" w:rsidR="00CE1517" w:rsidRPr="00F90EAE" w:rsidRDefault="00CE1517" w:rsidP="00F90EAE">
      <w:pPr>
        <w:jc w:val="both"/>
        <w:rPr>
          <w:color w:val="0070C0"/>
          <w:sz w:val="16"/>
          <w:szCs w:val="16"/>
        </w:rPr>
      </w:pPr>
    </w:p>
    <w:p w14:paraId="45E7329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18CCE94" w14:textId="77777777" w:rsidR="00665165" w:rsidRPr="00F90EAE" w:rsidRDefault="00665165" w:rsidP="00F90EAE">
      <w:pPr>
        <w:autoSpaceDE w:val="0"/>
        <w:autoSpaceDN w:val="0"/>
        <w:adjustRightInd w:val="0"/>
        <w:jc w:val="both"/>
        <w:rPr>
          <w:iCs/>
          <w:color w:val="000000" w:themeColor="text1"/>
          <w:sz w:val="16"/>
          <w:szCs w:val="16"/>
        </w:rPr>
      </w:pPr>
    </w:p>
    <w:p w14:paraId="21DDEA0B" w14:textId="77777777" w:rsidR="00524C9D" w:rsidRPr="00F90EAE" w:rsidRDefault="00524C9D" w:rsidP="00F90EAE">
      <w:pPr>
        <w:pStyle w:val="book"/>
        <w:ind w:firstLine="0"/>
        <w:jc w:val="both"/>
        <w:rPr>
          <w:color w:val="000000" w:themeColor="text1"/>
          <w:sz w:val="16"/>
          <w:szCs w:val="16"/>
        </w:rPr>
      </w:pPr>
      <w:r w:rsidRPr="00F90EAE">
        <w:rPr>
          <w:color w:val="000000" w:themeColor="text1"/>
          <w:sz w:val="16"/>
          <w:szCs w:val="16"/>
        </w:rPr>
        <w:t>13 марта 1945 г. в Германию был отправлен заместитель начальника научно-исследовательского отдела Артиллерийского исторического музея полковник Н.Т. Сорокин. По заданию работы должны были производиться в следующих пунктах: Берлин — Шпандау — Потстдам — Ораниенбург; Кенигсберг — Пилау; Бреславль; Дрезден; Прага; Вена. Группа старинных крепостей: Кюстрин, Глагау, Нейсе, Котгбус, Франкфурт-на-Одере и т.д. В конце мая 1945 г.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59687F83" w14:textId="77777777" w:rsidR="00524C9D" w:rsidRPr="00F90EAE" w:rsidRDefault="00524C9D" w:rsidP="00F90EAE">
      <w:pPr>
        <w:pStyle w:val="book"/>
        <w:ind w:firstLine="0"/>
        <w:jc w:val="both"/>
        <w:rPr>
          <w:color w:val="000000" w:themeColor="text1"/>
          <w:sz w:val="16"/>
          <w:szCs w:val="16"/>
        </w:rPr>
      </w:pPr>
    </w:p>
    <w:p w14:paraId="18F0A46D" w14:textId="77777777" w:rsidR="006B4C87" w:rsidRPr="00F90EAE" w:rsidRDefault="006B4C87" w:rsidP="00F90EAE">
      <w:pPr>
        <w:pStyle w:val="ae"/>
        <w:shd w:val="clear" w:color="auto" w:fill="FFFFFF"/>
        <w:spacing w:before="0" w:after="0"/>
        <w:jc w:val="both"/>
        <w:rPr>
          <w:color w:val="000000" w:themeColor="text1"/>
          <w:sz w:val="16"/>
          <w:szCs w:val="16"/>
        </w:rPr>
      </w:pPr>
      <w:r w:rsidRPr="00F90EAE">
        <w:rPr>
          <w:color w:val="000000" w:themeColor="text1"/>
          <w:sz w:val="16"/>
          <w:szCs w:val="16"/>
        </w:rPr>
        <w:t>13 марта 1945 года появилась гораздо более подробная информация о «горизонтальной подвеске танка M2A2». Сводку подготовил начальник танкового отдела Советской правительственной закупочной комиссии (СПЗК) в США подполковник Пульников. В соответствии с этим документом, одной из причин появления подвески HVSS стали многочисленные жалобы со стороны американских союзников. Пульников подчёркивал, что жалобы на ходовую часть VVSS неоднократно отправляла и советская сторона.</w:t>
      </w:r>
    </w:p>
    <w:p w14:paraId="62E0A949" w14:textId="77777777" w:rsidR="006B4C87" w:rsidRPr="00F90EAE" w:rsidRDefault="006B4C8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слову, по данным Пульникова, траки T66 танки получали только с января по март 1945 года, с марта 1945 года в серию пошли траки T80.</w:t>
      </w:r>
    </w:p>
    <w:p w14:paraId="5FCB3E7E" w14:textId="77777777" w:rsidR="006B4C87" w:rsidRPr="00F90EAE" w:rsidRDefault="006B4C8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сводке Пульникова нашлось место и для описания достаточно специфичной особенности подвески. Тележки в ней использовались трёх типов: 7067329 (левая передняя и правая задняя), 7067330 (правая передняя и левая задняя) и 7067331 (центральные). Друг от друга они отличались наличием упоров, ограничивающих ход балансира. По данным американского Танко-автомобильного центра ресурс опорных катков составлял 6400 километров, поддерживающих катков — 8000 километров, ленивцев — 6400 километров, амортизаторов 2400 километров. Ресурс трака T66 составил 4000 километров. Американцами испытывался и трак T88, который М4 получили уже после окончания войны. Его ресурс оказался ещё больше — 6800 километров.</w:t>
      </w:r>
    </w:p>
    <w:p w14:paraId="132953F9" w14:textId="77777777" w:rsidR="006B4C87" w:rsidRPr="00F90EAE" w:rsidRDefault="006B4C8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Пульников сообщал и о других изменениях M4A2E8. С марта 1945 года (с машины под номером 64741) прекращалась установка миномёта в крыше башни, а начиная с машины 64724 у танков появился чехол, который ставился на орудийную маску (17725).</w:t>
      </w:r>
    </w:p>
    <w:p w14:paraId="33873606" w14:textId="77777777" w:rsidR="006B4C87" w:rsidRPr="00F90EAE" w:rsidRDefault="006B4C87" w:rsidP="00F90EAE">
      <w:pPr>
        <w:jc w:val="both"/>
        <w:rPr>
          <w:rStyle w:val="107"/>
          <w:rFonts w:eastAsiaTheme="minorHAnsi"/>
          <w:color w:val="000000" w:themeColor="text1"/>
          <w:sz w:val="16"/>
          <w:szCs w:val="16"/>
        </w:rPr>
      </w:pPr>
    </w:p>
    <w:p w14:paraId="653051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Распоряжение ГКО № 7795. О поставке строительных материалов для восстановления заводов № 444 и 445 НКСП. РГАНИР, Фонд ГКО, д. 380, лл. 11-13 (11012).</w:t>
      </w:r>
    </w:p>
    <w:p w14:paraId="09ADED59" w14:textId="77777777" w:rsidR="00665165" w:rsidRPr="00F90EAE" w:rsidRDefault="00665165" w:rsidP="00F90EAE">
      <w:pPr>
        <w:autoSpaceDE w:val="0"/>
        <w:autoSpaceDN w:val="0"/>
        <w:adjustRightInd w:val="0"/>
        <w:jc w:val="both"/>
        <w:rPr>
          <w:color w:val="000000" w:themeColor="text1"/>
          <w:sz w:val="16"/>
          <w:szCs w:val="16"/>
        </w:rPr>
      </w:pPr>
    </w:p>
    <w:p w14:paraId="707728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Постановление ГКО № 7796 О мерах неотложной помощи углем Магнитогорскому металлургическому комбинату Наркомчермета. РГАНИР, Фонд ГКО, д. 380, лл. 14-16 (11012).</w:t>
      </w:r>
    </w:p>
    <w:p w14:paraId="2651076F" w14:textId="77777777" w:rsidR="00665165" w:rsidRPr="00F90EAE" w:rsidRDefault="00665165" w:rsidP="00F90EAE">
      <w:pPr>
        <w:autoSpaceDE w:val="0"/>
        <w:autoSpaceDN w:val="0"/>
        <w:adjustRightInd w:val="0"/>
        <w:jc w:val="both"/>
        <w:rPr>
          <w:color w:val="000000" w:themeColor="text1"/>
          <w:sz w:val="16"/>
          <w:szCs w:val="16"/>
        </w:rPr>
      </w:pPr>
    </w:p>
    <w:p w14:paraId="0D96E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Постановление ГКО № 7797 Об обеспечении топочным мазутом предприятий Наркомчермета в марте 1945 г. РГАНИР, Фонд ГКО, д. 380, лл. 17-18, 19-22 (11012).</w:t>
      </w:r>
    </w:p>
    <w:p w14:paraId="71156050" w14:textId="77777777" w:rsidR="00665165" w:rsidRPr="00F90EAE" w:rsidRDefault="00665165" w:rsidP="00F90EAE">
      <w:pPr>
        <w:autoSpaceDE w:val="0"/>
        <w:autoSpaceDN w:val="0"/>
        <w:adjustRightInd w:val="0"/>
        <w:jc w:val="both"/>
        <w:rPr>
          <w:color w:val="000000" w:themeColor="text1"/>
          <w:sz w:val="16"/>
          <w:szCs w:val="16"/>
        </w:rPr>
      </w:pPr>
    </w:p>
    <w:p w14:paraId="5C1CD6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Распоряжение ГКО № 7798. О продлении до 20 марта 1945 г. второй очереди графика ограничений отпуска электроэнергии на Московской энергосистеме. РГАНИР, Фонд ГКО, д. 380, лл. 23 (11012).</w:t>
      </w:r>
    </w:p>
    <w:p w14:paraId="595E9717" w14:textId="77777777" w:rsidR="00665165" w:rsidRPr="00F90EAE" w:rsidRDefault="00665165" w:rsidP="00F90EAE">
      <w:pPr>
        <w:autoSpaceDE w:val="0"/>
        <w:autoSpaceDN w:val="0"/>
        <w:adjustRightInd w:val="0"/>
        <w:jc w:val="both"/>
        <w:rPr>
          <w:color w:val="000000" w:themeColor="text1"/>
          <w:sz w:val="16"/>
          <w:szCs w:val="16"/>
        </w:rPr>
      </w:pPr>
    </w:p>
    <w:p w14:paraId="1CD720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13 марта 1945 вышло Распоряжение ГКО № 7799. Об обеспечении заводов НКТП чугунами и огнеупорами. РГАНИР, Фонд ГКО, д. 380, лл. 24-25, 26-29 (11012).</w:t>
      </w:r>
    </w:p>
    <w:p w14:paraId="0418E593" w14:textId="77777777" w:rsidR="00665165" w:rsidRPr="00F90EAE" w:rsidRDefault="00665165" w:rsidP="00F90EAE">
      <w:pPr>
        <w:autoSpaceDE w:val="0"/>
        <w:autoSpaceDN w:val="0"/>
        <w:adjustRightInd w:val="0"/>
        <w:jc w:val="both"/>
        <w:rPr>
          <w:color w:val="000000" w:themeColor="text1"/>
          <w:sz w:val="16"/>
          <w:szCs w:val="16"/>
        </w:rPr>
      </w:pPr>
    </w:p>
    <w:p w14:paraId="4A2BE8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Распоряжение ГКО № 7800. О мерах по обеспечению производства катков к танкам ИС на Ворошиловградском и Брянском заводах НКТМ чугунами, ферросплавами, углем, мазутом и формовочными песками. РГАНИР, Фонд ГКО, д. 380, лл. 30-31 (11012).</w:t>
      </w:r>
    </w:p>
    <w:p w14:paraId="11780EC0" w14:textId="77777777" w:rsidR="00665165" w:rsidRPr="00F90EAE" w:rsidRDefault="00665165" w:rsidP="00F90EAE">
      <w:pPr>
        <w:autoSpaceDE w:val="0"/>
        <w:autoSpaceDN w:val="0"/>
        <w:adjustRightInd w:val="0"/>
        <w:jc w:val="both"/>
        <w:rPr>
          <w:color w:val="000000" w:themeColor="text1"/>
          <w:sz w:val="16"/>
          <w:szCs w:val="16"/>
        </w:rPr>
      </w:pPr>
    </w:p>
    <w:p w14:paraId="45DA9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Распоряжение ГКО № 7801. О перевозке формовочных песков для НКМВ в марте 1945 г. РГАНИР, Фонд ГКО, д. 380 Л.32 (11012).</w:t>
      </w:r>
    </w:p>
    <w:p w14:paraId="6E28450E" w14:textId="77777777" w:rsidR="00665165" w:rsidRPr="00F90EAE" w:rsidRDefault="00665165" w:rsidP="00F90EAE">
      <w:pPr>
        <w:autoSpaceDE w:val="0"/>
        <w:autoSpaceDN w:val="0"/>
        <w:adjustRightInd w:val="0"/>
        <w:jc w:val="both"/>
        <w:rPr>
          <w:color w:val="000000" w:themeColor="text1"/>
          <w:sz w:val="16"/>
          <w:szCs w:val="16"/>
        </w:rPr>
      </w:pPr>
    </w:p>
    <w:p w14:paraId="19EE2F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вышло Постановление ГКО № 7802 Об оказании помощи в организации энергоснабжения г. Варшава. РГАНИР, Фонд ГКО, д. 380, лл. 33-34 (11012).</w:t>
      </w:r>
    </w:p>
    <w:p w14:paraId="6199C20A" w14:textId="77777777" w:rsidR="00665165" w:rsidRPr="00F90EAE" w:rsidRDefault="00665165" w:rsidP="00F90EAE">
      <w:pPr>
        <w:autoSpaceDE w:val="0"/>
        <w:autoSpaceDN w:val="0"/>
        <w:adjustRightInd w:val="0"/>
        <w:jc w:val="both"/>
        <w:rPr>
          <w:color w:val="000000" w:themeColor="text1"/>
          <w:sz w:val="16"/>
          <w:szCs w:val="16"/>
        </w:rPr>
      </w:pPr>
    </w:p>
    <w:p w14:paraId="62B5D96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марта 1945 вышло Постановление ГКО № 7803 О кругобайкальском железнодорожном участке (телеграмма т. Ковалева). (7315, 35-41).</w:t>
      </w:r>
    </w:p>
    <w:p w14:paraId="7561B06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FB9993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E38A4FB" w14:textId="77777777" w:rsidR="00665165" w:rsidRPr="00F90EAE" w:rsidRDefault="00665165" w:rsidP="00F90EAE">
      <w:pPr>
        <w:autoSpaceDE w:val="0"/>
        <w:autoSpaceDN w:val="0"/>
        <w:adjustRightInd w:val="0"/>
        <w:jc w:val="both"/>
        <w:rPr>
          <w:iCs/>
          <w:color w:val="000000" w:themeColor="text1"/>
          <w:sz w:val="16"/>
          <w:szCs w:val="16"/>
        </w:rPr>
      </w:pPr>
    </w:p>
    <w:p w14:paraId="6E1E19A2" w14:textId="77777777" w:rsidR="00524C9D" w:rsidRPr="00F90EAE" w:rsidRDefault="00524C9D" w:rsidP="00F90EAE">
      <w:pPr>
        <w:jc w:val="both"/>
        <w:rPr>
          <w:color w:val="000000" w:themeColor="text1"/>
          <w:sz w:val="16"/>
          <w:szCs w:val="16"/>
        </w:rPr>
      </w:pPr>
      <w:r w:rsidRPr="00F90EAE">
        <w:rPr>
          <w:bCs/>
          <w:color w:val="000000" w:themeColor="text1"/>
          <w:sz w:val="16"/>
          <w:szCs w:val="16"/>
        </w:rPr>
        <w:t>13 марта</w:t>
      </w:r>
      <w:r w:rsidRPr="00F90EAE">
        <w:rPr>
          <w:color w:val="000000" w:themeColor="text1"/>
          <w:sz w:val="16"/>
          <w:szCs w:val="16"/>
        </w:rPr>
        <w:t xml:space="preserve"> в 1945 году оперативная сводка Совинформбюро:.</w:t>
      </w:r>
    </w:p>
    <w:p w14:paraId="13CA3DA3" w14:textId="77777777" w:rsidR="00524C9D" w:rsidRPr="00F90EAE" w:rsidRDefault="00524C9D" w:rsidP="00F90EAE">
      <w:pPr>
        <w:jc w:val="both"/>
        <w:rPr>
          <w:color w:val="000000" w:themeColor="text1"/>
          <w:sz w:val="16"/>
          <w:szCs w:val="16"/>
        </w:rPr>
      </w:pPr>
      <w:r w:rsidRPr="00F90EAE">
        <w:rPr>
          <w:color w:val="000000" w:themeColor="text1"/>
          <w:sz w:val="16"/>
          <w:szCs w:val="16"/>
        </w:rPr>
        <w:t>«В течение 13 марта юго-восточнее Данцига наши войска, наступая на север вдоль восточного берега Вислы, заняли населённые пункты Раймерсвальде, Ной-Тайхервальде, Фирценхубен, Брескерфельд, Прангенау, Нойкирх, Пальшау.</w:t>
      </w:r>
    </w:p>
    <w:p w14:paraId="50AB4B57" w14:textId="77777777" w:rsidR="00524C9D" w:rsidRPr="00F90EAE" w:rsidRDefault="00524C9D" w:rsidP="00F90EAE">
      <w:pPr>
        <w:jc w:val="both"/>
        <w:rPr>
          <w:color w:val="000000" w:themeColor="text1"/>
          <w:sz w:val="16"/>
          <w:szCs w:val="16"/>
        </w:rPr>
      </w:pPr>
      <w:r w:rsidRPr="00F90EAE">
        <w:rPr>
          <w:color w:val="000000" w:themeColor="text1"/>
          <w:sz w:val="16"/>
          <w:szCs w:val="16"/>
        </w:rPr>
        <w:t>Северо-западнее города Гдыня наши войска заняли населённые пункты Реда, Полхау, Брезин, Осланин, Рутцау, Гнездау, Шварцау, Халлерово, Хлапау. За 12 марта в этом районе взято в плен более 1.000 немецких солдат и офицеров.</w:t>
      </w:r>
    </w:p>
    <w:p w14:paraId="56761A20" w14:textId="77777777" w:rsidR="00524C9D" w:rsidRPr="00F90EAE" w:rsidRDefault="00524C9D" w:rsidP="00F90EAE">
      <w:pPr>
        <w:jc w:val="both"/>
        <w:rPr>
          <w:color w:val="000000" w:themeColor="text1"/>
          <w:sz w:val="16"/>
          <w:szCs w:val="16"/>
        </w:rPr>
      </w:pPr>
      <w:r w:rsidRPr="00F90EAE">
        <w:rPr>
          <w:color w:val="000000" w:themeColor="text1"/>
          <w:sz w:val="16"/>
          <w:szCs w:val="16"/>
        </w:rPr>
        <w:t>На 1-м Белорусском фронте, в боях за город и крепость Нистжинь (Люстрин), взято в плен более 3.000 немецких солдат и офицеров. В числе пленных комендант крепости Кистжинь — полковник Крюгер.</w:t>
      </w:r>
    </w:p>
    <w:p w14:paraId="0BD52F72"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немцы, несмотря на большие потери, продолжали атаки крупными силами танков и пехоты. В боях за 12 марта в этом районе огнём нашей артиллерии уничтожено 45 немецких танков и самоходных орудий и, кроме того, подбито и подорвалось на наших минных полях 50 танков и самоходных орудий противника.</w:t>
      </w:r>
    </w:p>
    <w:p w14:paraId="0C89D886" w14:textId="77777777" w:rsidR="00524C9D" w:rsidRPr="00F90EAE" w:rsidRDefault="00524C9D"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1F443152" w14:textId="77777777" w:rsidR="00524C9D" w:rsidRPr="00F90EAE" w:rsidRDefault="00524C9D" w:rsidP="00F90EAE">
      <w:pPr>
        <w:jc w:val="both"/>
        <w:rPr>
          <w:color w:val="000000" w:themeColor="text1"/>
          <w:sz w:val="16"/>
          <w:szCs w:val="16"/>
        </w:rPr>
      </w:pPr>
      <w:r w:rsidRPr="00F90EAE">
        <w:rPr>
          <w:color w:val="000000" w:themeColor="text1"/>
          <w:sz w:val="16"/>
          <w:szCs w:val="16"/>
        </w:rPr>
        <w:t>За 12 марта на всех фронтах подбито и уничтожено 134 немецких танка и самоходных орудия. В воздушных боях и огнём зенитной артиллерии сбито 9 самолётов противника.</w:t>
      </w:r>
    </w:p>
    <w:p w14:paraId="1624E9D0" w14:textId="77777777" w:rsidR="00524C9D" w:rsidRPr="00F90EAE" w:rsidRDefault="00524C9D" w:rsidP="00F90EAE">
      <w:pPr>
        <w:jc w:val="both"/>
        <w:rPr>
          <w:color w:val="000000" w:themeColor="text1"/>
          <w:sz w:val="16"/>
          <w:szCs w:val="16"/>
        </w:rPr>
      </w:pPr>
      <w:r w:rsidRPr="00F90EAE">
        <w:rPr>
          <w:color w:val="000000" w:themeColor="text1"/>
          <w:sz w:val="16"/>
          <w:szCs w:val="16"/>
        </w:rPr>
        <w:t>Юго-восточнее Данцига наши войска с боями продвигались на север вдоль восточного берега реки Вислы. Изрезанная каналами местность затрудняет наступательные действия советских частей. Опираясь на заранее подготовленные оборонительные рубежи и сильно укрепленные пункты, противник оказывает упорное сопротивление. Немцы часто предпринимают контратаки. Отбивая вражеские контратаки, наши войска нанесли противнику большие потери. Части Н-ского соединения переправились через раку Линау и выбили немцев из нескольких населённых пунктов.</w:t>
      </w:r>
    </w:p>
    <w:p w14:paraId="212A8DEE" w14:textId="77777777" w:rsidR="00524C9D" w:rsidRPr="00F90EAE" w:rsidRDefault="00524C9D" w:rsidP="00F90EAE">
      <w:pPr>
        <w:jc w:val="both"/>
        <w:rPr>
          <w:color w:val="000000" w:themeColor="text1"/>
          <w:sz w:val="16"/>
          <w:szCs w:val="16"/>
        </w:rPr>
      </w:pPr>
      <w:r w:rsidRPr="00F90EAE">
        <w:rPr>
          <w:color w:val="000000" w:themeColor="text1"/>
          <w:sz w:val="16"/>
          <w:szCs w:val="16"/>
        </w:rPr>
        <w:t>Северо-западнее Гдыни наши войска заняли ряд населенных пунктов. Противник, прижатый к Данцигской бухте, отчаянно сопротивляется. Советские пехотинцы, танкисты и артиллеристы наносят врагу непрерывные удары и настойчиво продвигаются вперёд. Занят железнодорожный узел Реда, находящийся в 13 километрах от Гдыни. Ожесточённые бои идут у внешнего обвода данцигско-гдынского укреплённого района. За день уничтожено до 3 тысяч солдат и офицеров противника. Подбито и сожжено 30 немецких танков и самоходных орудий, уничтожено 86 полевых орудий и свыше 700 автомашин. Нашими частями захвачено у немцев 22 танка и самоходных орудия, 68 полевых орудий, 15 шестиствольных минометов и много других трофеев.</w:t>
      </w:r>
    </w:p>
    <w:p w14:paraId="7893B43B"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крупные силы танков и пехоты противника продолжали атаковать наши позиции. Бои принимают всё более ожесточённый характер и часто переходят в рукопашные схватки. Не добившись успеха на одном участке, немцы меняют направление удара, пытаясь найти слабое место в советской обороне. Однако противник, на всех участках встречает упорное сопротивление наших войск и несёт огромные потери.</w:t>
      </w:r>
    </w:p>
    <w:p w14:paraId="5576344B" w14:textId="77777777" w:rsidR="00524C9D" w:rsidRPr="00F90EAE" w:rsidRDefault="00524C9D" w:rsidP="00F90EAE">
      <w:pPr>
        <w:jc w:val="both"/>
        <w:rPr>
          <w:color w:val="000000" w:themeColor="text1"/>
          <w:sz w:val="16"/>
          <w:szCs w:val="16"/>
        </w:rPr>
      </w:pPr>
      <w:r w:rsidRPr="00F90EAE">
        <w:rPr>
          <w:color w:val="000000" w:themeColor="text1"/>
          <w:sz w:val="16"/>
          <w:szCs w:val="16"/>
        </w:rPr>
        <w:t>Советские воины, отражая вражеские атаки, проявляют непоколебимую стойкость и беззаветную храбрость. Крупные силы пехоты и 20 танков противника атаковали позиции, которые оборонял стрелковый батальон капитана Агаметова. Гитлеровцам удалось ворваться в наши траншеи. Капитан Агаметов перегруппировал свои силы и поднял бойцов в контратаку. Потеряв 200 солдат убитыми и 6 танков, немцы отошли на исходный рубеж. На другом участке 14 вражеских бронетранспортёров с автоматчиками приближались к советским позициям. Находившаяся в засаде батарея самоходных орудий старшего лейтенанта Киктина открыла огонь и подбила два немецких бронетранспортера. Гитлеровцы повернули обратно. Преследуя отступающего противника, наши самоходные орудия уничтожили ещё 11 бронетранспортёров. Разведчики сержанты Банков, Ерёмин и Крукусин проникли в расположение противника и заметили танк, укрытый в засаде. Немецкие танкисты стояли возле танка. Отважные разведчики меткими выстрелами уничтожили гитлеровцев. Сержант Ерёмин завёл немецкий танк и совместно со своими товарищами доставил его в расположение своей части.</w:t>
      </w:r>
    </w:p>
    <w:p w14:paraId="32C0FAA3" w14:textId="77777777" w:rsidR="00524C9D" w:rsidRPr="00F90EAE" w:rsidRDefault="00524C9D" w:rsidP="00F90EAE">
      <w:pPr>
        <w:jc w:val="both"/>
        <w:rPr>
          <w:color w:val="000000" w:themeColor="text1"/>
          <w:sz w:val="16"/>
          <w:szCs w:val="16"/>
        </w:rPr>
      </w:pPr>
      <w:r w:rsidRPr="00F90EAE">
        <w:rPr>
          <w:color w:val="000000" w:themeColor="text1"/>
          <w:sz w:val="16"/>
          <w:szCs w:val="16"/>
        </w:rPr>
        <w:t>Авиацией Краснознамённого Балтийского флота потоплены в Балтийском море транспорт водоизмещением в 12 тысяч тонн и сторожевой корабль противника.</w:t>
      </w:r>
    </w:p>
    <w:p w14:paraId="305C0D71" w14:textId="77777777" w:rsidR="00524C9D" w:rsidRPr="00F90EAE" w:rsidRDefault="00524C9D" w:rsidP="00F90EAE">
      <w:pPr>
        <w:jc w:val="both"/>
        <w:rPr>
          <w:color w:val="000000" w:themeColor="text1"/>
          <w:sz w:val="16"/>
          <w:szCs w:val="16"/>
        </w:rPr>
      </w:pPr>
      <w:r w:rsidRPr="00F90EAE">
        <w:rPr>
          <w:color w:val="000000" w:themeColor="text1"/>
          <w:sz w:val="16"/>
          <w:szCs w:val="16"/>
        </w:rPr>
        <w:t>Взятый в плен на 1-м Украинском франте унтер-офицер боевой группы 408-й немецкой пехотной дивизии Бруно Вибер сообщил: «Наш полк понёс большие потери. Часть солдат разбежалась. Командир полка майор Майер-Шоллер объединил остатки разбитых подразделений в боевую группу. Командиром боевой группы был назначен майор Герольд. После отъезда командира полка в штаб дивизии майор Герольд передал командование боевой группой обер-лейтенанту, бывшему лётчику, который только накануне прибыл в полк, а сам уехал. Через час обер-лейтенант также заявил, что он едет в штаб дивизии просить помощи, и передал командование группой одному унтер-офицеру. Было ясно, что офицеры убегают, чтобы спасти свою жизнь, а нас бросают на произвол судьбы. Я собрал группу солдат. Мы пришли к заключению, что если будем дальше воевать, то непременно погибнем, и решили сдаться в плен» (15067).</w:t>
      </w:r>
    </w:p>
    <w:p w14:paraId="567C73CD" w14:textId="77777777" w:rsidR="00524C9D" w:rsidRPr="00F90EAE" w:rsidRDefault="00524C9D" w:rsidP="00F90EAE">
      <w:pPr>
        <w:jc w:val="both"/>
        <w:rPr>
          <w:color w:val="000000" w:themeColor="text1"/>
          <w:sz w:val="16"/>
          <w:szCs w:val="16"/>
        </w:rPr>
      </w:pPr>
    </w:p>
    <w:p w14:paraId="7F7371C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13th, 1945: The Soviet 1st Belorussian Front (Zhukov) captures the Oder fortress of Kustrin, 70 miles east of Berlin, while the 2nd Belorussian Front (Rokossovsky) launches an offensive against the Braunsberg pocket south of Konigsberg. Following a 600-bomber raid by the US 8th Air Force, the RAF (with 800 bombers) attacks Swinemunde north of Stettin, a major port of disembarkation for German escapees from the East, causing heavy damage to the docks and killing hundreds of refugees (3819).</w:t>
      </w:r>
    </w:p>
    <w:p w14:paraId="0AE21973" w14:textId="77777777" w:rsidR="00665165" w:rsidRPr="00F90EAE" w:rsidRDefault="00665165" w:rsidP="00F90EAE">
      <w:pPr>
        <w:autoSpaceDE w:val="0"/>
        <w:autoSpaceDN w:val="0"/>
        <w:adjustRightInd w:val="0"/>
        <w:jc w:val="both"/>
        <w:rPr>
          <w:color w:val="000000" w:themeColor="text1"/>
          <w:sz w:val="16"/>
          <w:szCs w:val="16"/>
          <w:lang w:val="en-US"/>
        </w:rPr>
      </w:pPr>
    </w:p>
    <w:p w14:paraId="1EF6FF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1БФ (Жуков) занял крепость Кюстрин в 70 милях от Берлина, а 2БФ (Рокосовский) начал наступление против Браунсберга на юг от Кенигсберга. После рейда 8ВА США численностью 600 самолетов Королевские ВВС повторили налет на Швиннемюнде, порт разгрузки беженцев из Восточной Пруссии (3819).</w:t>
      </w:r>
    </w:p>
    <w:p w14:paraId="04A1CC58" w14:textId="77777777" w:rsidR="00665165" w:rsidRPr="00F90EAE" w:rsidRDefault="00665165" w:rsidP="00F90EAE">
      <w:pPr>
        <w:autoSpaceDE w:val="0"/>
        <w:autoSpaceDN w:val="0"/>
        <w:adjustRightInd w:val="0"/>
        <w:jc w:val="both"/>
        <w:rPr>
          <w:color w:val="000000" w:themeColor="text1"/>
          <w:sz w:val="16"/>
          <w:szCs w:val="16"/>
        </w:rPr>
      </w:pPr>
    </w:p>
    <w:p w14:paraId="4E28EC9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3082AAE" w14:textId="77777777" w:rsidR="00665165" w:rsidRPr="00F90EAE" w:rsidRDefault="00665165" w:rsidP="00F90EAE">
      <w:pPr>
        <w:autoSpaceDE w:val="0"/>
        <w:autoSpaceDN w:val="0"/>
        <w:adjustRightInd w:val="0"/>
        <w:jc w:val="both"/>
        <w:rPr>
          <w:iCs/>
          <w:color w:val="000000" w:themeColor="text1"/>
          <w:sz w:val="16"/>
          <w:szCs w:val="16"/>
        </w:rPr>
      </w:pPr>
    </w:p>
    <w:p w14:paraId="3B5A0A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заместитель наркома Чернышов подписал приказ № 047 “О строительстве в 1945 году образцовых исправительно-трудовых лагерей и колоний НКВД”, которым к 1 ноября предписывалось ввести в эксплуатацию следующие “образцовые лагеря и колонии”:</w:t>
      </w:r>
    </w:p>
    <w:p w14:paraId="086255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 ГУЛЖДС - Свияжский отдельный лагерный пункт при Ремзаводе № 1 ГУЛЖДС (поселок Нижние Вязовые);</w:t>
      </w:r>
    </w:p>
    <w:p w14:paraId="3F7FB7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 Главпромстрою - ИТЛ при Закавказметаллургстрое НКВД (Тбилиси);</w:t>
      </w:r>
    </w:p>
    <w:p w14:paraId="21BA4D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 ГУЛГМП - ИТЛ в западном районе Воркутлага;</w:t>
      </w:r>
    </w:p>
    <w:p w14:paraId="032D7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 Управлению лагерей лесной промышленности - лагерный пункт в Унженском ИТЛ;</w:t>
      </w:r>
    </w:p>
    <w:p w14:paraId="01B31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 Управлению исправительно-трудовых колоний ГУЛАГа - Крюковскую ИТК УИТЛК УНКВД по Московской области (7560).</w:t>
      </w:r>
    </w:p>
    <w:p w14:paraId="4E8B6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Уже в хрущевские времена именно в образцово-показательную Крюковскую ИТК под Москвой станут возить все делегации иностранцев, интересовавшихся пенитенциарной политикой в СССР (7560).</w:t>
      </w:r>
    </w:p>
    <w:p w14:paraId="54D78E89" w14:textId="77777777" w:rsidR="00665165" w:rsidRPr="00F90EAE" w:rsidRDefault="00665165" w:rsidP="00F90EAE">
      <w:pPr>
        <w:autoSpaceDE w:val="0"/>
        <w:autoSpaceDN w:val="0"/>
        <w:adjustRightInd w:val="0"/>
        <w:jc w:val="both"/>
        <w:rPr>
          <w:color w:val="000000" w:themeColor="text1"/>
          <w:sz w:val="16"/>
          <w:szCs w:val="16"/>
        </w:rPr>
      </w:pPr>
    </w:p>
    <w:p w14:paraId="6C83F35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D1B14B8" w14:textId="77777777" w:rsidR="00665165" w:rsidRPr="00F90EAE" w:rsidRDefault="00665165" w:rsidP="00F90EAE">
      <w:pPr>
        <w:autoSpaceDE w:val="0"/>
        <w:autoSpaceDN w:val="0"/>
        <w:adjustRightInd w:val="0"/>
        <w:jc w:val="both"/>
        <w:rPr>
          <w:iCs/>
          <w:color w:val="000000" w:themeColor="text1"/>
          <w:sz w:val="16"/>
          <w:szCs w:val="16"/>
        </w:rPr>
      </w:pPr>
    </w:p>
    <w:p w14:paraId="32F68EAB" w14:textId="77777777" w:rsidR="00524C9D" w:rsidRPr="00F90EAE" w:rsidRDefault="00524C9D" w:rsidP="00F90EAE">
      <w:pPr>
        <w:jc w:val="both"/>
        <w:rPr>
          <w:color w:val="000000" w:themeColor="text1"/>
          <w:sz w:val="16"/>
          <w:szCs w:val="16"/>
        </w:rPr>
      </w:pPr>
      <w:r w:rsidRPr="00F90EAE">
        <w:rPr>
          <w:bCs/>
          <w:color w:val="000000" w:themeColor="text1"/>
          <w:sz w:val="16"/>
          <w:szCs w:val="16"/>
        </w:rPr>
        <w:t>13 марта</w:t>
      </w:r>
      <w:r w:rsidRPr="00F90EAE">
        <w:rPr>
          <w:color w:val="000000" w:themeColor="text1"/>
          <w:sz w:val="16"/>
          <w:szCs w:val="16"/>
        </w:rPr>
        <w:t xml:space="preserve"> в 1945 году поднялся в воздух первый прототип </w:t>
      </w:r>
      <w:hyperlink r:id="rId69" w:tgtFrame="_blank" w:history="1">
        <w:r w:rsidRPr="00F90EAE">
          <w:rPr>
            <w:color w:val="000000" w:themeColor="text1"/>
            <w:sz w:val="16"/>
            <w:szCs w:val="16"/>
          </w:rPr>
          <w:t xml:space="preserve">«XTB2D-1». </w:t>
        </w:r>
      </w:hyperlink>
      <w:r w:rsidRPr="00F90EAE">
        <w:rPr>
          <w:color w:val="000000" w:themeColor="text1"/>
          <w:sz w:val="16"/>
          <w:szCs w:val="16"/>
        </w:rPr>
        <w:t>Летом этого же года был облетан и второй экземпляр, который отличался увеличенной на 58 см длиной фюзеляжа. Ни один из самолетов не был вооружен. К началу 1945 года необходимость в новых самолетах «XTB2D» отпала, поэтому заказ на 23 серийные машины отменили, а летные испытания двух прототипов приостановили. В конце 1948 года оба самолета были отправлены на слом (15067).</w:t>
      </w:r>
    </w:p>
    <w:p w14:paraId="37CBF5F6" w14:textId="77777777" w:rsidR="00524C9D" w:rsidRPr="00F90EAE" w:rsidRDefault="00524C9D" w:rsidP="00F90EAE">
      <w:pPr>
        <w:jc w:val="both"/>
        <w:rPr>
          <w:color w:val="000000" w:themeColor="text1"/>
          <w:sz w:val="16"/>
          <w:szCs w:val="16"/>
        </w:rPr>
      </w:pPr>
    </w:p>
    <w:p w14:paraId="26A7AE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состоялся испытательный сброс с Ланкастера сверхмощную бомбу Грэнд Слэм весом 9988 кг на виадук у Билефельда. Разбили три пролета и потом было 40 сбросов (1144,29).</w:t>
      </w:r>
    </w:p>
    <w:p w14:paraId="09EE2AF7" w14:textId="77777777" w:rsidR="00665165" w:rsidRPr="00F90EAE" w:rsidRDefault="00665165" w:rsidP="00F90EAE">
      <w:pPr>
        <w:autoSpaceDE w:val="0"/>
        <w:autoSpaceDN w:val="0"/>
        <w:adjustRightInd w:val="0"/>
        <w:jc w:val="both"/>
        <w:rPr>
          <w:color w:val="000000" w:themeColor="text1"/>
          <w:sz w:val="16"/>
          <w:szCs w:val="16"/>
        </w:rPr>
      </w:pPr>
    </w:p>
    <w:p w14:paraId="10F30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13 марта 1945 г. состоялся первый испытательный сброс новой сверхмощной десятитонной «Грэнд Слэм» (9988 кг). А уже на следующий день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w:t>
      </w:r>
      <w:r w:rsidRPr="00F90EAE">
        <w:rPr>
          <w:color w:val="000000" w:themeColor="text1"/>
          <w:sz w:val="16"/>
          <w:szCs w:val="16"/>
        </w:rPr>
        <w:lastRenderedPageBreak/>
        <w:t>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5615637E" w14:textId="77777777" w:rsidR="00665165" w:rsidRPr="00F90EAE" w:rsidRDefault="00665165" w:rsidP="00F90EAE">
      <w:pPr>
        <w:autoSpaceDE w:val="0"/>
        <w:autoSpaceDN w:val="0"/>
        <w:adjustRightInd w:val="0"/>
        <w:jc w:val="both"/>
        <w:rPr>
          <w:color w:val="000000" w:themeColor="text1"/>
          <w:sz w:val="16"/>
          <w:szCs w:val="16"/>
        </w:rPr>
      </w:pPr>
    </w:p>
    <w:p w14:paraId="0D96B337" w14:textId="77777777" w:rsidR="00524C9D" w:rsidRPr="00F90EAE" w:rsidRDefault="00524C9D" w:rsidP="00F90EAE">
      <w:pPr>
        <w:jc w:val="both"/>
        <w:rPr>
          <w:bCs/>
          <w:color w:val="000000" w:themeColor="text1"/>
          <w:sz w:val="16"/>
          <w:szCs w:val="16"/>
        </w:rPr>
      </w:pPr>
      <w:r w:rsidRPr="00F90EAE">
        <w:rPr>
          <w:bCs/>
          <w:color w:val="000000" w:themeColor="text1"/>
          <w:sz w:val="16"/>
          <w:szCs w:val="16"/>
        </w:rPr>
        <w:t>13 марта</w:t>
      </w:r>
      <w:r w:rsidRPr="00F90EAE">
        <w:rPr>
          <w:color w:val="000000" w:themeColor="text1"/>
          <w:sz w:val="16"/>
          <w:szCs w:val="16"/>
        </w:rPr>
        <w:t xml:space="preserve"> в 1945 году произошел первый реальный сброс 9988 килограммовой бомбы "Грэнд Слэм" со стратегического бомбардировщика </w:t>
      </w:r>
      <w:hyperlink r:id="rId70" w:tgtFrame="_blank" w:history="1">
        <w:r w:rsidRPr="00F90EAE">
          <w:rPr>
            <w:color w:val="000000" w:themeColor="text1"/>
            <w:sz w:val="16"/>
            <w:szCs w:val="16"/>
          </w:rPr>
          <w:t>"Ланкастер" I "Спешиэл".</w:t>
        </w:r>
      </w:hyperlink>
    </w:p>
    <w:p w14:paraId="696601AC" w14:textId="77777777" w:rsidR="00524C9D" w:rsidRPr="00F90EAE" w:rsidRDefault="00524C9D" w:rsidP="00F90EAE">
      <w:pPr>
        <w:jc w:val="both"/>
        <w:rPr>
          <w:bCs/>
          <w:color w:val="000000" w:themeColor="text1"/>
          <w:sz w:val="16"/>
          <w:szCs w:val="16"/>
        </w:rPr>
      </w:pPr>
    </w:p>
    <w:p w14:paraId="7BEBB5EB" w14:textId="77777777" w:rsidR="00CE1517" w:rsidRPr="00F90EAE" w:rsidRDefault="00CE1517" w:rsidP="00F90EAE">
      <w:pPr>
        <w:jc w:val="both"/>
        <w:rPr>
          <w:color w:val="0070C0"/>
          <w:sz w:val="16"/>
          <w:szCs w:val="16"/>
        </w:rPr>
      </w:pPr>
      <w:r w:rsidRPr="00F90EAE">
        <w:rPr>
          <w:color w:val="0070C0"/>
          <w:sz w:val="16"/>
          <w:szCs w:val="16"/>
        </w:rPr>
        <w:t>13–14 марта 1945 Авро Ланкастер из 617-й эскадрильи Королевских ВВС бомбят виадук Билефельд в Германии, впервые применив бомбу Большого шлема массой 22 000 фунтов (9 980 кг) (20371).</w:t>
      </w:r>
    </w:p>
    <w:p w14:paraId="1CAEF2BB" w14:textId="77777777" w:rsidR="00CE1517" w:rsidRPr="00F90EAE" w:rsidRDefault="00CE1517" w:rsidP="00F90EAE">
      <w:pPr>
        <w:jc w:val="both"/>
        <w:rPr>
          <w:color w:val="0070C0"/>
          <w:sz w:val="16"/>
          <w:szCs w:val="16"/>
        </w:rPr>
      </w:pPr>
    </w:p>
    <w:p w14:paraId="7EA2BB3C" w14:textId="77777777" w:rsidR="00CE1517" w:rsidRPr="00F90EAE" w:rsidRDefault="00CE1517" w:rsidP="00F90EAE">
      <w:pPr>
        <w:jc w:val="both"/>
        <w:rPr>
          <w:color w:val="0070C0"/>
          <w:sz w:val="16"/>
          <w:szCs w:val="16"/>
        </w:rPr>
      </w:pPr>
      <w:r w:rsidRPr="00F90EAE">
        <w:rPr>
          <w:color w:val="0070C0"/>
          <w:sz w:val="16"/>
          <w:szCs w:val="16"/>
        </w:rPr>
        <w:t>13–14 марта 1945 - Бомбардировка виадука Билефельд самолетами Авро Ланкастер.</w:t>
      </w:r>
    </w:p>
    <w:p w14:paraId="43F5DBB1" w14:textId="77777777" w:rsidR="00CE1517" w:rsidRPr="00F90EAE" w:rsidRDefault="00CE1517" w:rsidP="00F90EAE">
      <w:pPr>
        <w:jc w:val="both"/>
        <w:rPr>
          <w:color w:val="0070C0"/>
          <w:sz w:val="16"/>
          <w:szCs w:val="16"/>
        </w:rPr>
      </w:pPr>
      <w:r w:rsidRPr="00F90EAE">
        <w:rPr>
          <w:color w:val="0070C0"/>
          <w:sz w:val="16"/>
          <w:szCs w:val="16"/>
        </w:rPr>
        <w:t>Знаменитая сверхтяжёлая сейсмическая бомба "Гранд слэм" инженера Барнса Уоллеса была доставлена до цели специально модифицированным Авро Ланкастером 617-й эскадрильи Королевских ВВС. Это было первое её боевое применение. Окончательно виадук добили другими не менее культовыми бомбами Уоллса "Толл бой", которые к тому моменту уже давно хорошо себя зарекомендовали, разрушив в итоге около 30 метров его длины</w:t>
      </w:r>
    </w:p>
    <w:p w14:paraId="49F9E88C" w14:textId="77777777" w:rsidR="00CE1517" w:rsidRPr="00F90EAE" w:rsidRDefault="00CE1517" w:rsidP="00F90EAE">
      <w:pPr>
        <w:jc w:val="both"/>
        <w:rPr>
          <w:color w:val="0070C0"/>
          <w:sz w:val="16"/>
          <w:szCs w:val="16"/>
        </w:rPr>
      </w:pPr>
      <w:r w:rsidRPr="00F90EAE">
        <w:rPr>
          <w:color w:val="0070C0"/>
          <w:sz w:val="16"/>
          <w:szCs w:val="16"/>
        </w:rPr>
        <w:t>Особенностью бомбы "Гранд слэм" были её огромный вес - 9980 кг (22000 lbs), из них масса взрывчатого вещества (торпекс: 42 % тринитротолуола, 40 % гексогена и 18 % алюминиевой пудры; в два раза ядрёнее тротила) - 4144 кг; а также стабилизаторы как у "Толлбоя", заставлявшие её быстро вращаться и падать строго вертикально вниз. Бомба набирала сверхзвуковую скорость и зарывалась в грунт аж на 40 м (при сбросе её с 8 км). Взрыв мощностью в 6,5 тонн в тротиловом эквиваленте устраивал мини-землетрясение, разрушая инфраструктуру врага. На Билефельд бомба была сброшена с высоты 5 км (22568).</w:t>
      </w:r>
    </w:p>
    <w:p w14:paraId="135B1522" w14:textId="77777777" w:rsidR="00CE1517" w:rsidRPr="00F90EAE" w:rsidRDefault="00CE1517" w:rsidP="00F90EAE">
      <w:pPr>
        <w:jc w:val="both"/>
        <w:rPr>
          <w:color w:val="0070C0"/>
          <w:sz w:val="16"/>
          <w:szCs w:val="16"/>
        </w:rPr>
      </w:pPr>
    </w:p>
    <w:p w14:paraId="095B02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марта 1945 Перу объявила войну Германии (2100).</w:t>
      </w:r>
    </w:p>
    <w:p w14:paraId="0372E24B" w14:textId="77777777" w:rsidR="00665165" w:rsidRPr="00F90EAE" w:rsidRDefault="00665165" w:rsidP="00F90EAE">
      <w:pPr>
        <w:autoSpaceDE w:val="0"/>
        <w:autoSpaceDN w:val="0"/>
        <w:adjustRightInd w:val="0"/>
        <w:jc w:val="both"/>
        <w:rPr>
          <w:color w:val="000000" w:themeColor="text1"/>
          <w:sz w:val="16"/>
          <w:szCs w:val="16"/>
        </w:rPr>
      </w:pPr>
    </w:p>
    <w:p w14:paraId="696006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3F2B39B" w14:textId="77777777" w:rsidR="00665165" w:rsidRPr="00F90EAE" w:rsidRDefault="00665165" w:rsidP="00F90EAE">
      <w:pPr>
        <w:autoSpaceDE w:val="0"/>
        <w:autoSpaceDN w:val="0"/>
        <w:adjustRightInd w:val="0"/>
        <w:jc w:val="both"/>
        <w:rPr>
          <w:iCs/>
          <w:color w:val="000000" w:themeColor="text1"/>
          <w:sz w:val="16"/>
          <w:szCs w:val="16"/>
        </w:rPr>
      </w:pPr>
    </w:p>
    <w:p w14:paraId="30E10A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 самолет И-223 выполнил первый вылет (5852,40).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(5852,40).</w:t>
      </w:r>
    </w:p>
    <w:p w14:paraId="4468AEAB" w14:textId="77777777" w:rsidR="00665165" w:rsidRPr="00F90EAE" w:rsidRDefault="00665165" w:rsidP="00F90EAE">
      <w:pPr>
        <w:autoSpaceDE w:val="0"/>
        <w:autoSpaceDN w:val="0"/>
        <w:adjustRightInd w:val="0"/>
        <w:jc w:val="both"/>
        <w:rPr>
          <w:color w:val="000000" w:themeColor="text1"/>
          <w:sz w:val="16"/>
          <w:szCs w:val="16"/>
        </w:rPr>
      </w:pPr>
    </w:p>
    <w:p w14:paraId="7F01BF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состоялся первый полет второго экземпляра И-225 МиГ (4,252).</w:t>
      </w:r>
    </w:p>
    <w:p w14:paraId="011E27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было не до того, так как все занимались машиной с мотор-компрессором (1084,48).</w:t>
      </w:r>
    </w:p>
    <w:p w14:paraId="7CD05C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МиГ-13 был на вооружении ВМФ до 1950 (173,435).</w:t>
      </w:r>
    </w:p>
    <w:p w14:paraId="6076C552" w14:textId="77777777" w:rsidR="00665165" w:rsidRPr="00F90EAE" w:rsidRDefault="00665165" w:rsidP="00F90EAE">
      <w:pPr>
        <w:autoSpaceDE w:val="0"/>
        <w:autoSpaceDN w:val="0"/>
        <w:adjustRightInd w:val="0"/>
        <w:jc w:val="both"/>
        <w:rPr>
          <w:color w:val="000000" w:themeColor="text1"/>
          <w:sz w:val="16"/>
          <w:szCs w:val="16"/>
        </w:rPr>
      </w:pPr>
    </w:p>
    <w:p w14:paraId="477CCC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марта 1945 г. в первый полет отправился второй экземпляр истребителя И—225. Первоначально на самолет планиро</w:t>
      </w:r>
      <w:r w:rsidRPr="00F90EAE">
        <w:rPr>
          <w:color w:val="000000" w:themeColor="text1"/>
          <w:sz w:val="16"/>
          <w:szCs w:val="16"/>
        </w:rPr>
        <w:softHyphen/>
        <w:t>вали установить мотор АМ—43, однако из-за его от</w:t>
      </w:r>
      <w:r w:rsidRPr="00F90EAE">
        <w:rPr>
          <w:color w:val="000000" w:themeColor="text1"/>
          <w:sz w:val="16"/>
          <w:szCs w:val="16"/>
        </w:rPr>
        <w:softHyphen/>
        <w:t>сутствия смонтировали АМ—42ФБ и турбокомпрес</w:t>
      </w:r>
      <w:r w:rsidRPr="00F90EAE">
        <w:rPr>
          <w:color w:val="000000" w:themeColor="text1"/>
          <w:sz w:val="16"/>
          <w:szCs w:val="16"/>
        </w:rPr>
        <w:softHyphen/>
        <w:t>сор АМТК—1А. Был применен трехлопастный воздушный винт АВ—5Л—22В диаметром 3,6 м. Пилот размещался в гермокабине. Вооружение И—225 состояло из четырех синхронных 20-мм пушек СШ—20 с боекомплектом по 100 патронов на ствол. Проведение заводских летных испытаний второго экземпляра И—225 поручили ведущему инженеру АТ.Брунову и летчику-испытателю А.П.Дееву (9984).</w:t>
      </w:r>
    </w:p>
    <w:p w14:paraId="19C22C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93C99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 второй экземпляр истребителя И-225 поднялся в воздух. Первоначально на самолет планировали установить мотор AM-43, однако из-за его отсутствия смонтировали АМ-42ФБ с турбокомпрессором АМТК-1А. Самолет был оборудован гермокабиной. Вооружение второго И-225 состояло из четырех синхронных 20-мм пушек СШ-20 с боекомплектом по 100 патронов на ствол. Для проведения заводских летных испытаний назначили ведущего инженера А.Г. Брунова и летчика-испытателя А.П. Деева. И вновь, 26 апреля 1945 г. в шестнадцатом полете самолет потерпел аварию. В июне 1945 г. истребитель отремонтировали. В ходе заводских испытаний была достигнута максимальная скорость 560 км/ч у земли и 726 км/ч на высоте 10 000 м, которую И-225 набирал всего за 8,8 мин. Время подъема на высоту 5000 м было рекордно малым - всего 4 мин. По предложению Микулина позднее на этом самолете были проведены заводские испытания мотора AM-44 с турбокомпрессором АМТК-1А. Однако в ходе них вновь выявились существенные дефекты мотора. В соответствии с постановлением Совмина СССР от 11 марта 1947 г. работы по И-225 прекратили (12045).</w:t>
      </w:r>
    </w:p>
    <w:p w14:paraId="34D1CBA2" w14:textId="77777777" w:rsidR="00665165" w:rsidRPr="00F90EAE" w:rsidRDefault="00665165" w:rsidP="00F90EAE">
      <w:pPr>
        <w:autoSpaceDE w:val="0"/>
        <w:autoSpaceDN w:val="0"/>
        <w:adjustRightInd w:val="0"/>
        <w:jc w:val="both"/>
        <w:rPr>
          <w:color w:val="000000" w:themeColor="text1"/>
          <w:sz w:val="16"/>
          <w:szCs w:val="16"/>
        </w:rPr>
      </w:pPr>
    </w:p>
    <w:p w14:paraId="6F7DC337" w14:textId="77777777" w:rsidR="00524C9D" w:rsidRPr="00F90EAE" w:rsidRDefault="00524C9D" w:rsidP="00F90EAE">
      <w:pPr>
        <w:jc w:val="both"/>
        <w:rPr>
          <w:bCs/>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состоялся первый полет истребитель И-225 конструкции ОКБ А.И.Микояна, А.П.Деев</w:t>
      </w:r>
    </w:p>
    <w:p w14:paraId="46B70C1E" w14:textId="77777777" w:rsidR="00524C9D" w:rsidRPr="00F90EAE" w:rsidRDefault="00524C9D" w:rsidP="00F90EAE">
      <w:pPr>
        <w:jc w:val="both"/>
        <w:rPr>
          <w:bCs/>
          <w:color w:val="000000" w:themeColor="text1"/>
          <w:sz w:val="16"/>
          <w:szCs w:val="16"/>
        </w:rPr>
      </w:pPr>
    </w:p>
    <w:p w14:paraId="7758AD8B" w14:textId="77777777" w:rsidR="00524C9D" w:rsidRPr="00F90EAE" w:rsidRDefault="00524C9D" w:rsidP="00F90EAE">
      <w:pPr>
        <w:jc w:val="both"/>
        <w:rPr>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состоялся первый полет истребитель </w:t>
      </w:r>
      <w:hyperlink r:id="rId71" w:tgtFrame="_blank" w:history="1">
        <w:r w:rsidRPr="00F90EAE">
          <w:rPr>
            <w:color w:val="000000" w:themeColor="text1"/>
            <w:sz w:val="16"/>
            <w:szCs w:val="16"/>
          </w:rPr>
          <w:t xml:space="preserve">«И-225» </w:t>
        </w:r>
      </w:hyperlink>
      <w:r w:rsidRPr="00F90EAE">
        <w:rPr>
          <w:color w:val="000000" w:themeColor="text1"/>
          <w:sz w:val="16"/>
          <w:szCs w:val="16"/>
        </w:rPr>
        <w:t>конструкции ОКБ А.И.Микояна, пилот А.П.Деев. Первоначально на самолет планировали установить мотор «АМ-43», однако из-за его отсутствия на него поставили «АМ-42ФБ» №01. Кроме того, самолет оснастили турбокомпрессором «АМТК-1А», воздухо-воздушным радиатором, трехлопастным воздушным винтом 2АВ-5Л-22В» диаметром 3,6 м, а также гермокабиной. Вооружение состояло из четырех синхронных 20-мм пушек «СШ-20» с боекомплектом по 100 патронов. Опытные пушки «СШ-20» в дальнейшем планировали заменить на серийные «Б-20» (15068).</w:t>
      </w:r>
    </w:p>
    <w:p w14:paraId="200694C0" w14:textId="77777777" w:rsidR="00524C9D" w:rsidRPr="00F90EAE" w:rsidRDefault="00524C9D" w:rsidP="00F90EAE">
      <w:pPr>
        <w:jc w:val="both"/>
        <w:rPr>
          <w:color w:val="000000" w:themeColor="text1"/>
          <w:sz w:val="16"/>
          <w:szCs w:val="16"/>
        </w:rPr>
      </w:pPr>
    </w:p>
    <w:p w14:paraId="378548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года Яковлев писал письмо N Н-35/1189 зам. наркома ВМФ адмиралу Галлеру.</w:t>
      </w:r>
    </w:p>
    <w:p w14:paraId="0F4B17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Ваш N 151642с.</w:t>
      </w:r>
    </w:p>
    <w:p w14:paraId="4ED3F8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Сообщаю, что продувки модели самолета Ли-2 (ПС-84) с тральным кольцом, с целью аэродинамической проверки этого самолета в варианте минного тральщика, в настоящее время закончены.</w:t>
      </w:r>
    </w:p>
    <w:p w14:paraId="34EB9D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Постройка самолета Ли-2 в указанном варианте, разработанном конструктором Голубковым, предусматривается проектом тематического плана по опытному самолетостроению на 1945 год, представляемым Наркомавиапромом на утверждение в ГКО (2595,5).</w:t>
      </w:r>
    </w:p>
    <w:p w14:paraId="4E00DE9D" w14:textId="77777777" w:rsidR="00665165" w:rsidRPr="00F90EAE" w:rsidRDefault="00665165" w:rsidP="00F90EAE">
      <w:pPr>
        <w:autoSpaceDE w:val="0"/>
        <w:autoSpaceDN w:val="0"/>
        <w:adjustRightInd w:val="0"/>
        <w:jc w:val="both"/>
        <w:rPr>
          <w:color w:val="000000" w:themeColor="text1"/>
          <w:sz w:val="16"/>
          <w:szCs w:val="16"/>
        </w:rPr>
      </w:pPr>
    </w:p>
    <w:p w14:paraId="1269011C" w14:textId="77777777" w:rsidR="00BA2B8F" w:rsidRPr="00F90EAE" w:rsidRDefault="00BA2B8F" w:rsidP="00F90EAE">
      <w:pPr>
        <w:jc w:val="both"/>
        <w:rPr>
          <w:color w:val="000000" w:themeColor="text1"/>
          <w:sz w:val="16"/>
          <w:szCs w:val="16"/>
        </w:rPr>
      </w:pPr>
      <w:r w:rsidRPr="00F90EAE">
        <w:rPr>
          <w:color w:val="000000" w:themeColor="text1"/>
          <w:sz w:val="16"/>
          <w:szCs w:val="16"/>
        </w:rPr>
        <w:t>14 марта 1945 г. из СООБЩЕНИЯ ДИРЕКТОРА ЗАВОДА ИМЕНИ В.П. ЧКАЛОВА ГЕНЕРАЛ-МАЙОРА В.Н. ЛИСИЦЫНА СЕКРЕТАРЮ НОВОСИБИРСКОГО ОБКОМА ВКП(б) М.В. КУЛАГИНУ</w:t>
      </w:r>
    </w:p>
    <w:p w14:paraId="615C3B01" w14:textId="77777777" w:rsidR="00BA2B8F" w:rsidRPr="00F90EAE" w:rsidRDefault="00BA2B8F" w:rsidP="00F90EAE">
      <w:pPr>
        <w:jc w:val="both"/>
        <w:rPr>
          <w:color w:val="000000" w:themeColor="text1"/>
          <w:sz w:val="16"/>
          <w:szCs w:val="16"/>
        </w:rPr>
      </w:pPr>
      <w:r w:rsidRPr="00F90EAE">
        <w:rPr>
          <w:color w:val="000000" w:themeColor="text1"/>
          <w:sz w:val="16"/>
          <w:szCs w:val="16"/>
        </w:rPr>
        <w:t>Секретарю Новосибирского обкома ВКП(б) тов. Кулагину М.В.</w:t>
      </w:r>
    </w:p>
    <w:p w14:paraId="2A50792B" w14:textId="77777777" w:rsidR="00BA2B8F" w:rsidRPr="00F90EAE" w:rsidRDefault="00BA2B8F" w:rsidP="00F90EAE">
      <w:pPr>
        <w:jc w:val="both"/>
        <w:rPr>
          <w:color w:val="000000" w:themeColor="text1"/>
          <w:sz w:val="16"/>
          <w:szCs w:val="16"/>
        </w:rPr>
      </w:pPr>
      <w:r w:rsidRPr="00F90EAE">
        <w:rPr>
          <w:color w:val="000000" w:themeColor="text1"/>
          <w:sz w:val="16"/>
          <w:szCs w:val="16"/>
        </w:rPr>
        <w:t>За 13 дней марта месяца завод, в среднем, отгружает 16 самолетов в сутки. В результате этого скопление готовой продукции увеличивается и по состоянию на 13 марта с.г. достигло 235 машин. Самолетами заставлены все пожарные проезды; вынуждены прекратить расстыковку самолетов, а, следовательно, и сдачу их к бою из-за отсутствия места. Для того чтобы расшить это скопление, необходимо в течение месяца ежесуточно получать минимум 35 платформ. Убедительно прошу Вашего энергичного вмешательства и соответствующего указания управлению Томской железной дороги.</w:t>
      </w:r>
    </w:p>
    <w:p w14:paraId="6C453E5C" w14:textId="77777777" w:rsidR="00BA2B8F" w:rsidRPr="00F90EAE" w:rsidRDefault="00BA2B8F" w:rsidP="00F90EAE">
      <w:pPr>
        <w:jc w:val="both"/>
        <w:rPr>
          <w:color w:val="000000" w:themeColor="text1"/>
          <w:sz w:val="16"/>
          <w:szCs w:val="16"/>
        </w:rPr>
      </w:pPr>
      <w:r w:rsidRPr="00F90EAE">
        <w:rPr>
          <w:color w:val="000000" w:themeColor="text1"/>
          <w:sz w:val="16"/>
          <w:szCs w:val="16"/>
        </w:rPr>
        <w:t>Директор завода генерал-майор НАС Лисицын</w:t>
      </w:r>
    </w:p>
    <w:p w14:paraId="37764429" w14:textId="77777777" w:rsidR="00BA2B8F" w:rsidRPr="00F90EAE" w:rsidRDefault="00BA2B8F" w:rsidP="00F90EAE">
      <w:pPr>
        <w:jc w:val="both"/>
        <w:rPr>
          <w:color w:val="000000" w:themeColor="text1"/>
          <w:sz w:val="16"/>
          <w:szCs w:val="16"/>
        </w:rPr>
      </w:pPr>
      <w:r w:rsidRPr="00F90EAE">
        <w:rPr>
          <w:color w:val="000000" w:themeColor="text1"/>
          <w:sz w:val="16"/>
          <w:szCs w:val="16"/>
        </w:rPr>
        <w:t>ГАНО. Ф. П-4. Оп. 9. Д. 353. Л. 42. Подлинник.</w:t>
      </w:r>
    </w:p>
    <w:p w14:paraId="4F21B2BC" w14:textId="77777777" w:rsidR="00BA2B8F" w:rsidRPr="00F90EAE" w:rsidRDefault="00BA2B8F" w:rsidP="00F90EAE">
      <w:pPr>
        <w:jc w:val="both"/>
        <w:rPr>
          <w:color w:val="000000" w:themeColor="text1"/>
          <w:sz w:val="16"/>
          <w:szCs w:val="16"/>
        </w:rPr>
      </w:pPr>
      <w:r w:rsidRPr="00F90EAE">
        <w:rPr>
          <w:color w:val="000000" w:themeColor="text1"/>
          <w:sz w:val="16"/>
          <w:szCs w:val="16"/>
        </w:rPr>
        <w:t>Подпись-автограф Лисицына. Документ составлен на фирменном бланке завода имени В.П. Чкалова Народного комиссариата авиационной промышленности СССР в 2 экз. В верхнем левом углу резолюция с росчерком Кулагина, датированная 23 марта: «тон. Замчев-окиЙ, даны категорические указания о подаче ежесуточно не менее 40 платформ. Следите за исполнением» (12194).</w:t>
      </w:r>
    </w:p>
    <w:p w14:paraId="5AD2A7F8" w14:textId="77777777" w:rsidR="00BA2B8F" w:rsidRPr="00F90EAE" w:rsidRDefault="00BA2B8F" w:rsidP="00F90EAE">
      <w:pPr>
        <w:jc w:val="both"/>
        <w:rPr>
          <w:color w:val="000000" w:themeColor="text1"/>
          <w:sz w:val="16"/>
          <w:szCs w:val="16"/>
        </w:rPr>
      </w:pPr>
    </w:p>
    <w:p w14:paraId="5E82AE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 Постановление ГКО № 7809 «О вывозе оборудования по производству авиационных бомб с немецкого завода “Стальбау Хандлер зоне” в г. Глейвиц» (Д. 460. Л. 102).</w:t>
      </w:r>
    </w:p>
    <w:p w14:paraId="566C9945" w14:textId="77777777" w:rsidR="00665165" w:rsidRPr="00F90EAE" w:rsidRDefault="00665165" w:rsidP="00F90EAE">
      <w:pPr>
        <w:autoSpaceDE w:val="0"/>
        <w:autoSpaceDN w:val="0"/>
        <w:adjustRightInd w:val="0"/>
        <w:jc w:val="both"/>
        <w:rPr>
          <w:color w:val="000000" w:themeColor="text1"/>
          <w:sz w:val="16"/>
          <w:szCs w:val="16"/>
        </w:rPr>
      </w:pPr>
    </w:p>
    <w:p w14:paraId="1F40DE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14(15) марта 1946 г. (вероятно, на месте эвакуированного НИИ-9) для разработки аппаратуры для телевещания в соответствии с пост, правительства был основан ВНИИТ (НИИ-380) (НИИ-380, ВНИИ-380 ГКРЭ, А-1772, ВНИИ телевидения (ВНИИТ) «Электрон» МПСС, МРП, ФГУП «НИИТ» / г. Ленинград К-64/ /194021  г. Санкт-Петербург ул. Политехническая, 22 тел. 247-41-67/).</w:t>
      </w:r>
    </w:p>
    <w:p w14:paraId="16987D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радиотехнических систем (конец 1940-х  г. ).</w:t>
      </w:r>
      <w:r w:rsidRPr="00F90EAE">
        <w:rPr>
          <w:color w:val="000000" w:themeColor="text1"/>
          <w:sz w:val="16"/>
          <w:szCs w:val="16"/>
          <w:vertAlign w:val="superscript"/>
        </w:rPr>
        <w:t>60</w:t>
      </w:r>
      <w:r w:rsidRPr="00F90EAE">
        <w:rPr>
          <w:color w:val="000000" w:themeColor="text1"/>
          <w:sz w:val="16"/>
          <w:szCs w:val="16"/>
        </w:rPr>
        <w:t xml:space="preserve"> В 1946-49 г. создана ТВ аппаратура на новый в мире стандарт изображения на 625 строк, внедренная на Московском телецентре. Впервые в стране создана и передана в эксплуатацию самолетная телевизионная аппаратура изображения подстилающей поверхности Земли. В 1956- 59 г. впервые в мире создана система космического телевидения «Енисей».</w:t>
      </w:r>
    </w:p>
    <w:p w14:paraId="73023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Головной институт: по разработке телевизионной аппаратуры для космической техники (1957-65 г.); по ИК системам пассивной оптической локации в интересах СПРН и ККП (1960-2001 г.).</w:t>
      </w:r>
    </w:p>
    <w:p w14:paraId="37DBDA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Разработка, изготовление и поставка профессиональной аппаратуры для телевещания (цветные ТВ-камеры, студийное оборудование, передвижные ТВ-станции); исследования, разработка и изготовление авиационной ТВ- аппаратуры высокого разрешения, космических ТВ-систем; создание сети наземных пунктов для приема </w:t>
      </w:r>
      <w:r w:rsidRPr="00F90EAE">
        <w:rPr>
          <w:color w:val="000000" w:themeColor="text1"/>
          <w:sz w:val="16"/>
          <w:szCs w:val="16"/>
        </w:rPr>
        <w:lastRenderedPageBreak/>
        <w:t>и обработки ТВ-информации; ТВ-аппаратура для наблюдений под водой; медицинская ТВ-аппаратура; телевизионные измерительные приборы; исследования и внедрение цифровых методов в телевидении.</w:t>
      </w:r>
    </w:p>
    <w:p w14:paraId="0866C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создано типовое профессиональное оборудование для телецентров: 1-го поколения (1958 г.), 2-го поколения (1960-е), 3-го поколения (1975-78 г.). Разработан проект (1960-е) Государственного стандарта на параметры телевизионного вещания СССР (И.М. Завгороднев).</w:t>
      </w:r>
    </w:p>
    <w:p w14:paraId="6AC63A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1970 г. велась разработка телевизионной аппаратуры для космической системы обнаружения стартов БР УС- К. В 1973 г. ОКР «Малахит-ЦТ» (совместно с КБ «Орбита») по разработке видеомагнитофона.</w:t>
      </w:r>
    </w:p>
    <w:p w14:paraId="51BE0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Существовали отделы: вакуумный (в 1955 г. преобразован в ОКБ ЭВП); синхронизации и импульсной техники. Имелась производственная площадка К-2 с опытным производством (1960-е).</w:t>
      </w:r>
    </w:p>
    <w:p w14:paraId="0329D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1966 г. НИИ-380 переименован во ВНИИТ. Имел наименование «предприятие- п/я А-1772». При институте действовал завод «п/я В-2307».</w:t>
      </w:r>
    </w:p>
    <w:p w14:paraId="7800B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и выпуск аппаратуры для цифрового телевидения, для пилотируемых КК, в т.ч. МКС; многоспектральная ТВ-аппаратура для геостационарных ИСЗ; комплексы ТВ-оборудования для морского флота; оборудование для автоматизированных трехмерных измерений в производстве; цифровая аппаратура для программного обеспечения для обработки ТВ-информации; телевизионные навигационные системы ближней зоны; ОЭС различного назначения.</w:t>
      </w:r>
    </w:p>
    <w:p w14:paraId="4DADE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составе НИИ- научно-технический комплекс (НТК) № 57, принимавший участие в создании комплекса контроля космического пространства «Окно».</w:t>
      </w:r>
    </w:p>
    <w:p w14:paraId="2418B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Указу Президента РФ № 1009 от 4.08.2004 г. вошел в число стратегических оборонных предприятий.</w:t>
      </w:r>
    </w:p>
    <w:p w14:paraId="63F86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(2002 г.)- 900 чел.</w:t>
      </w:r>
    </w:p>
    <w:p w14:paraId="4A94E0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И.О. директора (1946 г.)- А. Г. Громов. Директор (1946 г.-)- П.В. Шмаков, А.А. Селезнев, (1950-54 г.)- Н. Г. Моисеев, (1954-83 г.)- И.А. Росселевич, (1983-2004 г.)- М.А. Грудзинский,</w:t>
      </w:r>
      <w:r w:rsidRPr="00F90EAE">
        <w:rPr>
          <w:color w:val="000000" w:themeColor="text1"/>
          <w:sz w:val="16"/>
          <w:szCs w:val="16"/>
          <w:vertAlign w:val="superscript"/>
        </w:rPr>
        <w:t>101</w:t>
      </w:r>
      <w:r w:rsidRPr="00F90EAE">
        <w:rPr>
          <w:color w:val="000000" w:themeColor="text1"/>
          <w:sz w:val="16"/>
          <w:szCs w:val="16"/>
        </w:rPr>
        <w:t xml:space="preserve"> (2004-07 г.-)- А.А. Умбиталиев.</w:t>
      </w:r>
    </w:p>
    <w:p w14:paraId="4C818B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директора (2002 г.)- В.В. Кованько.</w:t>
      </w:r>
      <w:r w:rsidRPr="00F90EAE">
        <w:rPr>
          <w:color w:val="000000" w:themeColor="text1"/>
          <w:sz w:val="16"/>
          <w:szCs w:val="16"/>
          <w:vertAlign w:val="superscript"/>
        </w:rPr>
        <w:t>69</w:t>
      </w:r>
      <w:r w:rsidRPr="00F90EAE">
        <w:rPr>
          <w:color w:val="000000" w:themeColor="text1"/>
          <w:sz w:val="16"/>
          <w:szCs w:val="16"/>
        </w:rPr>
        <w:t xml:space="preserve"> Зам. директора: по науке (-1953 г.)- А.В. Дубинин; (-1952 г.)- А. Г. Громов.</w:t>
      </w:r>
    </w:p>
    <w:p w14:paraId="20CD5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(1960-е  г.)- И.А. Росселевич, (1970 г.)- П.Ф. Брацлавец.</w:t>
      </w:r>
    </w:p>
    <w:p w14:paraId="7F96EC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И.О. гл. инженера (1950 г.)- Н. Г. Моисеев. Гл. инженер (-1953 г.)- А.В. Дубинин.</w:t>
      </w:r>
    </w:p>
    <w:p w14:paraId="5BF485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(-1996 г.)- Б.И. Баранов.</w:t>
      </w:r>
    </w:p>
    <w:p w14:paraId="4EAF1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НТК № 57 (2005 г.)- А. Верешкин.</w:t>
      </w:r>
    </w:p>
    <w:p w14:paraId="2D29DA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И.О. гл. инженера ОП на площадке К-2 (1966-68 г.)- А. Г. Громов.</w:t>
      </w:r>
    </w:p>
    <w:p w14:paraId="39BB97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(1953 г.-)- Б.И. Баранов («Енисей», Н-400, И-400М), (-1959-87 г.)- И.Л. Валик («Енисей»), (- 2001 г.)- М.А. Грудзинский («Иртыш»), П.Ф. Брацлавец («Селигер», «Ястреб», «Кречет», МБТ, МБТА), А.В. Воронов (аппаратура «И-400», Ленинградского телецентра), А. Г. Козлова («Клест»), Н. Г. Моисеев, И.А. Росселевич («Метеор»).</w:t>
      </w:r>
    </w:p>
    <w:p w14:paraId="6CB010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конструкторов: (-1952-62 г.-)- А. Г. Козлова («И-400, -400М», «Байкал»), К.К. Деркач («И-400»), (1987- 93 г.)- И.Л. Валик, Б.В. Долгодров, П.Н. Заботкин, И.М. Завгороднев (ранцевая репортажная ТВ установка), С.Н. Зайцев, Н.Ф. Курчев.</w:t>
      </w:r>
    </w:p>
    <w:p w14:paraId="396565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Б.И. Баранов, (-1999 г.)- П.Ф. Брацлавец, (-1987 г.)- И.Л. Валик, (1968-83 г.)- М.А. Грудзинский, (-1993 г.)- К.К. Деркач, (1948 г.-)- А.В. Дубинин, (1948-; 1954-56 г.)- Н. Г. Моисеев.</w:t>
      </w:r>
    </w:p>
    <w:p w14:paraId="01E33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отдела: (-1983 г.)- В.В. Никитин.</w:t>
      </w:r>
    </w:p>
    <w:p w14:paraId="04E78D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лабораторий: антенной (1948-69 г.)- П.П. Кузнецов; физико-технологической (-1967 г.)- С.И. Кочергин; (1947 г.-)- Б.И. Баранов, П.Ф. Брацлавец, И.Л. Валик, (-1974 г.)- А.В. Воронов, К.К. Деркач, (-1980 г.)- С.Н. Зайцев, (-2000 г.)- А. Г. Козлова, (-1998 г.)- Л.И. Хромов.</w:t>
      </w:r>
    </w:p>
    <w:p w14:paraId="422192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групп: НИГ (-1956 г.)- Д.П. Лютоев, П.Ф. Брацлавец, С.И. Кочергин; конструкторской (1948-; - 1980 г.)- Б.В. Долгодров.</w:t>
      </w:r>
    </w:p>
    <w:p w14:paraId="1D0DBE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Ученый секретарь (1983-91 г.)- И.А. Росселевич.</w:t>
      </w:r>
    </w:p>
    <w:p w14:paraId="3360FB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Научные руководители НИР: (1962-87 г.)- И.Л. Валик, В.В. Никитин («Снегирь»).</w:t>
      </w:r>
    </w:p>
    <w:p w14:paraId="2AA14D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научного руководителя НИР: В.В. Никитин («Барий»),</w:t>
      </w:r>
    </w:p>
    <w:p w14:paraId="0932081E"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Московский телевизионный центр (1949); бортовое фототелевизионное устройство «Енисей» панорамного обзора Луны для КА «Луна-3» (1959);</w:t>
      </w:r>
      <w:r w:rsidRPr="00F90EAE">
        <w:rPr>
          <w:iCs/>
          <w:color w:val="000000" w:themeColor="text1"/>
          <w:sz w:val="16"/>
          <w:szCs w:val="16"/>
        </w:rPr>
        <w:t xml:space="preserve"> телевизионные системы:</w:t>
      </w:r>
      <w:r w:rsidRPr="00F90EAE">
        <w:rPr>
          <w:color w:val="000000" w:themeColor="text1"/>
          <w:sz w:val="16"/>
          <w:szCs w:val="16"/>
        </w:rPr>
        <w:t xml:space="preserve"> космической связи «Селигер» для КК «Восток» (1960), «Топаз-10» для КК «Восток-2», «Топаз-25» для КК «Восток-3»; «Ястреб», «Кречет» для КА «Союз» и «Салют», «Байкал» (1962), «Метеор», многоцелевой комплекс «Клест», «Беркут» для КА «Молния»; «Калий», «Преобразователь», «Соловей», «Шторм», «Прибой», «Валун», «Буревестник», «Барий», «Снегирь», ТНС, 18Ц6; «Стандарт ТВ»; оповещения и управления войсками ПВО «И-400», «И-400М» (1959); для обнаружения ракет из космоса МБТ, МБТА, «Иртыш» (2001); ТВ аппаратура: Московского, Ленинградского телецентров, приемного комплекса для Всемирной выставки в Брюсселе (1958); автономные пункты приема информации системы «Метеор» (2) (1970-е); наземная станция «Фобос-Кречет»; система цветного космического телевидения «Арктур» (1975);</w:t>
      </w:r>
      <w:r w:rsidRPr="00F90EAE">
        <w:rPr>
          <w:color w:val="000000" w:themeColor="text1"/>
          <w:sz w:val="16"/>
          <w:szCs w:val="16"/>
          <w:vertAlign w:val="superscript"/>
        </w:rPr>
        <w:t>77</w:t>
      </w:r>
      <w:r w:rsidRPr="00F90EAE">
        <w:rPr>
          <w:color w:val="000000" w:themeColor="text1"/>
          <w:sz w:val="16"/>
          <w:szCs w:val="16"/>
        </w:rPr>
        <w:t xml:space="preserve"> ранцевая репортажная ТВ установка; ТВ приемники: «Свет», ТМ-1; телевизор КВН-49; видеомагнитофоны: «Кадр-3, -5, -103»; реле ТКЕ.</w:t>
      </w:r>
    </w:p>
    <w:p w14:paraId="5F6E10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электровакуумных приборов (ОКБ ЭВП), п/я 367, Специальное КБ (СКБ) ЭВП, ВНИИ электронно-лучевых приборов (ВНИИЭЛП), НПО, ЦНИИ «Электрон», ОАО «ЦНИИ «Электрон» /194223  г. Санкт-Петербург пр. Мориса Тореза, 68 тел. 552-36-00, -31-97/</w:t>
      </w:r>
    </w:p>
    <w:p w14:paraId="1C6FB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ЭВП создано в 1955 г. из вакуумного отдела НИИ-380. В 1956 г.- СКБ электровакуумных приборов. Имело наименование «п/я 367» (1956 г.).</w:t>
      </w:r>
      <w:r w:rsidRPr="00F90EAE">
        <w:rPr>
          <w:color w:val="000000" w:themeColor="text1"/>
          <w:sz w:val="16"/>
          <w:szCs w:val="16"/>
          <w:vertAlign w:val="superscript"/>
        </w:rPr>
        <w:t>130</w:t>
      </w:r>
    </w:p>
    <w:p w14:paraId="04F7E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вакуумных фотоприемных устройств (ФПУ), фотоэлектронных умножителей (ФЭУ), спецкинескопов (супериконоскопов, суперортиконов) для МО, науки и народного хозяйства.</w:t>
      </w:r>
    </w:p>
    <w:p w14:paraId="34842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1963 г. СКБ ЭВП преобразовано во ВНИИЭЛП, перед которым поставлена задача создания единой технологии изготовления массовых черно-белых кинескопов для телевизоров и проведения НИОКР по всем типам ФПУ, ФЭУ и спецкинескопов, в т.ч. для цветного телевидения.</w:t>
      </w:r>
    </w:p>
    <w:p w14:paraId="4C620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1971(0) г. на базе ВНИИЭЛП создано НПО «Электрон», в состав которого вошли также заводы в Новгороде, Нальчике и Орджоникидзе.</w:t>
      </w:r>
    </w:p>
    <w:p w14:paraId="689554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1970-х  г. НПО поручено создание специальных телевизионных трубок для ОЭК «Окно». Созданы специальные телевизионные системы для всех видов ВС, для космических исследований, различные ФПУ (радиационно-стойкие видиконы, супервидиконы, кремниконы, пировидиконы). В начале 1980-х  г. созданы твердотельные ФПУ.</w:t>
      </w:r>
    </w:p>
    <w:p w14:paraId="43DB86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и производство (2002 г.): телевизионные передающие приборы (матричные фоточувствительные приборы с переносом заряда (ФППЗ), датчики изображения, линейные ФППЗ, видиконы, телевизионные передающие трубки, диссекторы); фоточувствительные приборы (усилители яркости, фотоэлектронные умножители, фотодиоды, специальные ЭЛТ); системы ночного видения, цифровые системы регистрации изображения; дактилоскопическая электронная система.</w:t>
      </w:r>
    </w:p>
    <w:p w14:paraId="57C81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Имеет филиалы (2002 г.)- ГУП «НПП «Электрон», ШШ «Электрон-Луч», НПП «Электрон-Оптроник», НПП Электронного машиностроения.</w:t>
      </w:r>
    </w:p>
    <w:p w14:paraId="329046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1992 г. НПО преобразовано в ЦНИИ «Электрон». В 2000 г. предприятие акционировано и преобразовано в ОАО. По решению правительства № 22-р от 9.01.2004 г. вошло в перечень стратегических предприятий.</w:t>
      </w:r>
    </w:p>
    <w:p w14:paraId="63E594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(2002 г.)- 790 чел.</w:t>
      </w:r>
    </w:p>
    <w:p w14:paraId="798DF3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Гендиректор (1971 г.-)-  Г.С. Вильдгрубе, (1985 г.-)- Ю.С. Сергеев, (2002 г.)- И.С. Васильев.</w:t>
      </w:r>
    </w:p>
    <w:p w14:paraId="55BE90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по производству (1956-63 г.)- А. Г. Громов.</w:t>
      </w:r>
    </w:p>
    <w:p w14:paraId="0AAA1F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(2002 г.)- Р.М. Степанов.</w:t>
      </w:r>
    </w:p>
    <w:p w14:paraId="3B9352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гендиректора: по маркетингу (2002 г.)- С.С. Татаурщиков; по производству (2002 г.)- В.В. Крылов.</w:t>
      </w:r>
    </w:p>
    <w:p w14:paraId="1DD177A2"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фотоэлектронные приборы: дня спускаемых КА «Луна», «Венера», «Луноход»; КА «Метеор», «Вега», «Фобос», «Комета Галлея»; РН «Союз», ОК «Буран»;</w:t>
      </w:r>
      <w:r w:rsidRPr="00F90EAE">
        <w:rPr>
          <w:color w:val="000000" w:themeColor="text1"/>
          <w:sz w:val="16"/>
          <w:szCs w:val="16"/>
          <w:vertAlign w:val="superscript"/>
        </w:rPr>
        <w:t>69</w:t>
      </w:r>
      <w:r w:rsidRPr="00F90EAE">
        <w:rPr>
          <w:color w:val="000000" w:themeColor="text1"/>
          <w:sz w:val="16"/>
          <w:szCs w:val="16"/>
        </w:rPr>
        <w:t xml:space="preserve"> ФЭУ для медицинских приборов (РИК-01, РИГ- 04П) (11982).</w:t>
      </w:r>
    </w:p>
    <w:p w14:paraId="07E747FD" w14:textId="77777777" w:rsidR="00665165" w:rsidRPr="00F90EAE" w:rsidRDefault="00665165" w:rsidP="00F90EAE">
      <w:pPr>
        <w:autoSpaceDE w:val="0"/>
        <w:autoSpaceDN w:val="0"/>
        <w:adjustRightInd w:val="0"/>
        <w:jc w:val="both"/>
        <w:rPr>
          <w:color w:val="000000" w:themeColor="text1"/>
          <w:sz w:val="16"/>
          <w:szCs w:val="16"/>
        </w:rPr>
      </w:pPr>
    </w:p>
    <w:p w14:paraId="4EC168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CE56E9A" w14:textId="77777777" w:rsidR="00665165" w:rsidRPr="00F90EAE" w:rsidRDefault="00665165" w:rsidP="00F90EAE">
      <w:pPr>
        <w:autoSpaceDE w:val="0"/>
        <w:autoSpaceDN w:val="0"/>
        <w:adjustRightInd w:val="0"/>
        <w:jc w:val="both"/>
        <w:rPr>
          <w:iCs/>
          <w:color w:val="000000" w:themeColor="text1"/>
          <w:sz w:val="16"/>
          <w:szCs w:val="16"/>
        </w:rPr>
      </w:pPr>
    </w:p>
    <w:p w14:paraId="38D0E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Распоряжение ГКО № 7804. О продлении до 1 мая 1945 г. срока работы военных автомашин и шоферов на дровозаготовках для Москвы. РГАНИР, Фонд ГКО, д. 380 Л.42 (11012).</w:t>
      </w:r>
    </w:p>
    <w:p w14:paraId="417D1F3B" w14:textId="77777777" w:rsidR="00665165" w:rsidRPr="00F90EAE" w:rsidRDefault="00665165" w:rsidP="00F90EAE">
      <w:pPr>
        <w:autoSpaceDE w:val="0"/>
        <w:autoSpaceDN w:val="0"/>
        <w:adjustRightInd w:val="0"/>
        <w:jc w:val="both"/>
        <w:rPr>
          <w:color w:val="000000" w:themeColor="text1"/>
          <w:sz w:val="16"/>
          <w:szCs w:val="16"/>
        </w:rPr>
      </w:pPr>
    </w:p>
    <w:p w14:paraId="7823F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Распоряжение ГКО № 7805. О мерах по обеспечению электроэнергией промышленности Саранска. РГАНИР, Фонд ГКО, д. 380 Л.43 (11012).</w:t>
      </w:r>
    </w:p>
    <w:p w14:paraId="16D4CDCD" w14:textId="77777777" w:rsidR="00665165" w:rsidRPr="00F90EAE" w:rsidRDefault="00665165" w:rsidP="00F90EAE">
      <w:pPr>
        <w:autoSpaceDE w:val="0"/>
        <w:autoSpaceDN w:val="0"/>
        <w:adjustRightInd w:val="0"/>
        <w:jc w:val="both"/>
        <w:rPr>
          <w:color w:val="000000" w:themeColor="text1"/>
          <w:sz w:val="16"/>
          <w:szCs w:val="16"/>
        </w:rPr>
      </w:pPr>
    </w:p>
    <w:p w14:paraId="7CE7FB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7806 О вывозе оборудования кузнечно-прессового, термического цехов и штамповочно-инструментальной мастерской завода "Андреасхютте" концерна "Оберхютте" в г. Андреасхютте. РГАНИР, Фонд ГКО, д. 380, лл. 44-45 (11012).</w:t>
      </w:r>
    </w:p>
    <w:p w14:paraId="6AA56926" w14:textId="77777777" w:rsidR="00665165" w:rsidRPr="00F90EAE" w:rsidRDefault="00665165" w:rsidP="00F90EAE">
      <w:pPr>
        <w:autoSpaceDE w:val="0"/>
        <w:autoSpaceDN w:val="0"/>
        <w:adjustRightInd w:val="0"/>
        <w:jc w:val="both"/>
        <w:rPr>
          <w:color w:val="000000" w:themeColor="text1"/>
          <w:sz w:val="16"/>
          <w:szCs w:val="16"/>
        </w:rPr>
      </w:pPr>
    </w:p>
    <w:p w14:paraId="66BFCE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7807 О вывозе оборудования литейно-механического завода концерна "Оберхютте" в местечке Малопан Хютендорф. РГАНИР, Фонд ГКО, д. 380, лл. 46-47 (11012).</w:t>
      </w:r>
    </w:p>
    <w:p w14:paraId="674F48EA" w14:textId="77777777" w:rsidR="00665165" w:rsidRPr="00F90EAE" w:rsidRDefault="00665165" w:rsidP="00F90EAE">
      <w:pPr>
        <w:autoSpaceDE w:val="0"/>
        <w:autoSpaceDN w:val="0"/>
        <w:adjustRightInd w:val="0"/>
        <w:jc w:val="both"/>
        <w:rPr>
          <w:color w:val="000000" w:themeColor="text1"/>
          <w:sz w:val="16"/>
          <w:szCs w:val="16"/>
        </w:rPr>
      </w:pPr>
    </w:p>
    <w:p w14:paraId="67AD3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 вышло Постановление ГКО № 7808 «О вывозе оборудования по производству точных танковых деталей с завода “Хемшайт” в г. Антониенхютте» (Д. 460. Л. 101).</w:t>
      </w:r>
    </w:p>
    <w:p w14:paraId="7AC6664E" w14:textId="77777777" w:rsidR="00665165" w:rsidRPr="00F90EAE" w:rsidRDefault="00665165" w:rsidP="00F90EAE">
      <w:pPr>
        <w:autoSpaceDE w:val="0"/>
        <w:autoSpaceDN w:val="0"/>
        <w:adjustRightInd w:val="0"/>
        <w:jc w:val="both"/>
        <w:rPr>
          <w:color w:val="000000" w:themeColor="text1"/>
          <w:sz w:val="16"/>
          <w:szCs w:val="16"/>
        </w:rPr>
      </w:pPr>
    </w:p>
    <w:p w14:paraId="284FB1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7810 О вывозе металлообрабатывающего, подъемно-транспортного, энергетического и специального оборудования с немецкого машиностроительного завода фирмы "Шихау" в г. Эльбинг. РГАНИР, Фонд ГКО, д. 380, лл. 52-52, 54-55 (11012).</w:t>
      </w:r>
    </w:p>
    <w:p w14:paraId="14481D29" w14:textId="77777777" w:rsidR="00665165" w:rsidRPr="00F90EAE" w:rsidRDefault="00665165" w:rsidP="00F90EAE">
      <w:pPr>
        <w:autoSpaceDE w:val="0"/>
        <w:autoSpaceDN w:val="0"/>
        <w:adjustRightInd w:val="0"/>
        <w:jc w:val="both"/>
        <w:rPr>
          <w:color w:val="000000" w:themeColor="text1"/>
          <w:sz w:val="16"/>
          <w:szCs w:val="16"/>
        </w:rPr>
      </w:pPr>
    </w:p>
    <w:p w14:paraId="2D9374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7811 О вывозе оборудования по производству зубчатых колес с завода "Мартин" в г. Швентоховицы на завод №75 Наркомтанкопрома для производства танков Т-44. РГАНИР, Фонд ГКО, д. 380, лл. 56-57 (11012).</w:t>
      </w:r>
    </w:p>
    <w:p w14:paraId="0CF3C9B1" w14:textId="77777777" w:rsidR="00665165" w:rsidRPr="00F90EAE" w:rsidRDefault="00665165" w:rsidP="00F90EAE">
      <w:pPr>
        <w:autoSpaceDE w:val="0"/>
        <w:autoSpaceDN w:val="0"/>
        <w:adjustRightInd w:val="0"/>
        <w:jc w:val="both"/>
        <w:rPr>
          <w:color w:val="000000" w:themeColor="text1"/>
          <w:sz w:val="16"/>
          <w:szCs w:val="16"/>
        </w:rPr>
      </w:pPr>
    </w:p>
    <w:p w14:paraId="7F8D45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7812 О вывозе оборудования и материалов с карбидного завода в г. Бейтен. РГАНИР, Фонд ГКО, д. 380, лл. 58-59 (11012).</w:t>
      </w:r>
    </w:p>
    <w:p w14:paraId="69A27EF8" w14:textId="77777777" w:rsidR="00665165" w:rsidRPr="00F90EAE" w:rsidRDefault="00665165" w:rsidP="00F90EAE">
      <w:pPr>
        <w:autoSpaceDE w:val="0"/>
        <w:autoSpaceDN w:val="0"/>
        <w:adjustRightInd w:val="0"/>
        <w:jc w:val="both"/>
        <w:rPr>
          <w:color w:val="000000" w:themeColor="text1"/>
          <w:sz w:val="16"/>
          <w:szCs w:val="16"/>
        </w:rPr>
      </w:pPr>
    </w:p>
    <w:p w14:paraId="19EDEA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7813 О вывозе оборудования по производству цинковых полюсов к анодным батареям с завода фирмы "Силезия Хютте" в селении Липин (Верхняя Силезия). РГАНИР, Фонд ГКО, д. 380, лл. 60-61 (11012).</w:t>
      </w:r>
    </w:p>
    <w:p w14:paraId="57596E97" w14:textId="77777777" w:rsidR="00665165" w:rsidRPr="00F90EAE" w:rsidRDefault="00665165" w:rsidP="00F90EAE">
      <w:pPr>
        <w:autoSpaceDE w:val="0"/>
        <w:autoSpaceDN w:val="0"/>
        <w:adjustRightInd w:val="0"/>
        <w:jc w:val="both"/>
        <w:rPr>
          <w:color w:val="000000" w:themeColor="text1"/>
          <w:sz w:val="16"/>
          <w:szCs w:val="16"/>
        </w:rPr>
      </w:pPr>
    </w:p>
    <w:p w14:paraId="1CF48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7814 О вывозе оборудования и материалов с завода по ремонту тракторов в м. Вайсенбург (15 км к северу от г. Познань). РГАНИР, Фонд ГКО, д. 380, лл. 62-63 (11012).</w:t>
      </w:r>
    </w:p>
    <w:p w14:paraId="6CBBBE7C" w14:textId="77777777" w:rsidR="00665165" w:rsidRPr="00F90EAE" w:rsidRDefault="00665165" w:rsidP="00F90EAE">
      <w:pPr>
        <w:autoSpaceDE w:val="0"/>
        <w:autoSpaceDN w:val="0"/>
        <w:adjustRightInd w:val="0"/>
        <w:jc w:val="both"/>
        <w:rPr>
          <w:color w:val="000000" w:themeColor="text1"/>
          <w:sz w:val="16"/>
          <w:szCs w:val="16"/>
        </w:rPr>
      </w:pPr>
    </w:p>
    <w:p w14:paraId="79877E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7815 О перегоне неиспользуемых фронтами трофейных лошадей с территории Германии и Польши в районы Советского Союза, освобожденные от немецкой оккупации и передаче этих лошадей колхозам. РГАНИР, Фонд ГКО, д. 380, лл. 64-66, 67-68 (11012).</w:t>
      </w:r>
    </w:p>
    <w:p w14:paraId="5E006A2C" w14:textId="77777777" w:rsidR="00665165" w:rsidRPr="00F90EAE" w:rsidRDefault="00665165" w:rsidP="00F90EAE">
      <w:pPr>
        <w:autoSpaceDE w:val="0"/>
        <w:autoSpaceDN w:val="0"/>
        <w:adjustRightInd w:val="0"/>
        <w:jc w:val="both"/>
        <w:rPr>
          <w:color w:val="000000" w:themeColor="text1"/>
          <w:sz w:val="16"/>
          <w:szCs w:val="16"/>
        </w:rPr>
      </w:pPr>
    </w:p>
    <w:p w14:paraId="50F61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7816 О вывозе оборудования, металлоконструкций и материалов линий электропередач и понизительных подстанций на напряжение 110 киловольт из Верхней Силезии. РГАНИР, Фонд ГКО, д. 380, лл. 69-70 (11012).</w:t>
      </w:r>
    </w:p>
    <w:p w14:paraId="0B7CFEF1" w14:textId="77777777" w:rsidR="00665165" w:rsidRPr="00F90EAE" w:rsidRDefault="00665165" w:rsidP="00F90EAE">
      <w:pPr>
        <w:autoSpaceDE w:val="0"/>
        <w:autoSpaceDN w:val="0"/>
        <w:adjustRightInd w:val="0"/>
        <w:jc w:val="both"/>
        <w:rPr>
          <w:color w:val="000000" w:themeColor="text1"/>
          <w:sz w:val="16"/>
          <w:szCs w:val="16"/>
        </w:rPr>
      </w:pPr>
    </w:p>
    <w:p w14:paraId="554D1C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7817 О вывозе немецких дорожно-строительных машин, собранных в районе г. Будапешт. РГАНИР, Фонд ГКО, д. 380, лл. 71, 72 (11012).</w:t>
      </w:r>
    </w:p>
    <w:p w14:paraId="0A596F22" w14:textId="77777777" w:rsidR="00665165" w:rsidRPr="00F90EAE" w:rsidRDefault="00665165" w:rsidP="00F90EAE">
      <w:pPr>
        <w:autoSpaceDE w:val="0"/>
        <w:autoSpaceDN w:val="0"/>
        <w:adjustRightInd w:val="0"/>
        <w:jc w:val="both"/>
        <w:rPr>
          <w:color w:val="000000" w:themeColor="text1"/>
          <w:sz w:val="16"/>
          <w:szCs w:val="16"/>
        </w:rPr>
      </w:pPr>
    </w:p>
    <w:p w14:paraId="24090F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7818 О вывозе оборудования с немецких металлообрабатывающих заводов в г. г. Гинденбург и Беутен. РГАНИР, Фонд ГКО, д. 380, лл. 73-74 (11012).</w:t>
      </w:r>
    </w:p>
    <w:p w14:paraId="0AB1968E" w14:textId="77777777" w:rsidR="00665165" w:rsidRPr="00F90EAE" w:rsidRDefault="00665165" w:rsidP="00F90EAE">
      <w:pPr>
        <w:autoSpaceDE w:val="0"/>
        <w:autoSpaceDN w:val="0"/>
        <w:adjustRightInd w:val="0"/>
        <w:jc w:val="both"/>
        <w:rPr>
          <w:color w:val="000000" w:themeColor="text1"/>
          <w:sz w:val="16"/>
          <w:szCs w:val="16"/>
        </w:rPr>
      </w:pPr>
    </w:p>
    <w:p w14:paraId="59E98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7819 О создании монтажной организации Наркомрезинпрома. РГАНИР, Фонд ГКО, д. 380, лл. 75-76 (11012).</w:t>
      </w:r>
    </w:p>
    <w:p w14:paraId="6F8DCD2F" w14:textId="77777777" w:rsidR="00665165" w:rsidRPr="00F90EAE" w:rsidRDefault="00665165" w:rsidP="00F90EAE">
      <w:pPr>
        <w:autoSpaceDE w:val="0"/>
        <w:autoSpaceDN w:val="0"/>
        <w:adjustRightInd w:val="0"/>
        <w:jc w:val="both"/>
        <w:rPr>
          <w:color w:val="000000" w:themeColor="text1"/>
          <w:sz w:val="16"/>
          <w:szCs w:val="16"/>
        </w:rPr>
      </w:pPr>
    </w:p>
    <w:p w14:paraId="2E0583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7820 О вывозе электромоторов и электротехнических материалов с электромоторного завода в г. Дроссен. РГАНИР, Фонд ГКО, д. 380, лл. 77 (11012).</w:t>
      </w:r>
    </w:p>
    <w:p w14:paraId="24A4EA0F" w14:textId="77777777" w:rsidR="00665165" w:rsidRPr="00F90EAE" w:rsidRDefault="00665165" w:rsidP="00F90EAE">
      <w:pPr>
        <w:autoSpaceDE w:val="0"/>
        <w:autoSpaceDN w:val="0"/>
        <w:adjustRightInd w:val="0"/>
        <w:jc w:val="both"/>
        <w:rPr>
          <w:color w:val="000000" w:themeColor="text1"/>
          <w:sz w:val="16"/>
          <w:szCs w:val="16"/>
        </w:rPr>
      </w:pPr>
    </w:p>
    <w:p w14:paraId="65B40B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7821 О вывозе 200 километров телефонного 112-парного подземного кабеля, проложенного на трассе Люблин-Замостье-госграница СССР. РГАНИР, Фонд ГКО, д. 380, лл. 78-79 (11012).</w:t>
      </w:r>
    </w:p>
    <w:p w14:paraId="473A7211" w14:textId="77777777" w:rsidR="00665165" w:rsidRPr="00F90EAE" w:rsidRDefault="00665165" w:rsidP="00F90EAE">
      <w:pPr>
        <w:autoSpaceDE w:val="0"/>
        <w:autoSpaceDN w:val="0"/>
        <w:adjustRightInd w:val="0"/>
        <w:jc w:val="both"/>
        <w:rPr>
          <w:color w:val="000000" w:themeColor="text1"/>
          <w:sz w:val="16"/>
          <w:szCs w:val="16"/>
        </w:rPr>
      </w:pPr>
    </w:p>
    <w:p w14:paraId="2836D0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7822 О вывозе 450 километров телефонного 10-парного кабеля со складов в г. Фридеберг. РГАНИР, Фонд ГКО, д. 380, лл. 80 (11012).</w:t>
      </w:r>
    </w:p>
    <w:p w14:paraId="59E55A7A" w14:textId="77777777" w:rsidR="00665165" w:rsidRPr="00F90EAE" w:rsidRDefault="00665165" w:rsidP="00F90EAE">
      <w:pPr>
        <w:autoSpaceDE w:val="0"/>
        <w:autoSpaceDN w:val="0"/>
        <w:adjustRightInd w:val="0"/>
        <w:jc w:val="both"/>
        <w:rPr>
          <w:color w:val="000000" w:themeColor="text1"/>
          <w:sz w:val="16"/>
          <w:szCs w:val="16"/>
        </w:rPr>
      </w:pPr>
    </w:p>
    <w:p w14:paraId="4ECCE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7823 О вывозе 600 тонн трофейной железной катанки из г. Бельско (Польша). РГАНИР, Фонд ГКО, д. 380, лл. 81 (11012).</w:t>
      </w:r>
    </w:p>
    <w:p w14:paraId="258BFCB2" w14:textId="77777777" w:rsidR="00665165" w:rsidRPr="00F90EAE" w:rsidRDefault="00665165" w:rsidP="00F90EAE">
      <w:pPr>
        <w:autoSpaceDE w:val="0"/>
        <w:autoSpaceDN w:val="0"/>
        <w:adjustRightInd w:val="0"/>
        <w:jc w:val="both"/>
        <w:rPr>
          <w:color w:val="000000" w:themeColor="text1"/>
          <w:sz w:val="16"/>
          <w:szCs w:val="16"/>
        </w:rPr>
      </w:pPr>
    </w:p>
    <w:p w14:paraId="0669F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7824 О вывозе с трофейных складов 3-го Украинского фронта картона, бумаги и меховых шкурок. РГАНИР, Фонд ГКО, д. 380, лл. 82-83 (11012).</w:t>
      </w:r>
    </w:p>
    <w:p w14:paraId="2994C73E" w14:textId="77777777" w:rsidR="00665165" w:rsidRPr="00F90EAE" w:rsidRDefault="00665165" w:rsidP="00F90EAE">
      <w:pPr>
        <w:autoSpaceDE w:val="0"/>
        <w:autoSpaceDN w:val="0"/>
        <w:adjustRightInd w:val="0"/>
        <w:jc w:val="both"/>
        <w:rPr>
          <w:color w:val="000000" w:themeColor="text1"/>
          <w:sz w:val="16"/>
          <w:szCs w:val="16"/>
        </w:rPr>
      </w:pPr>
    </w:p>
    <w:p w14:paraId="4BAC59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7825 О вывозе трофейного интендантского имущества со складов 4-го Украинского фронта. РГАНИР, Фонд ГКО, д. 380, лл. 84 (11012).</w:t>
      </w:r>
    </w:p>
    <w:p w14:paraId="2DEEDA5A" w14:textId="77777777" w:rsidR="00665165" w:rsidRPr="00F90EAE" w:rsidRDefault="00665165" w:rsidP="00F90EAE">
      <w:pPr>
        <w:autoSpaceDE w:val="0"/>
        <w:autoSpaceDN w:val="0"/>
        <w:adjustRightInd w:val="0"/>
        <w:jc w:val="both"/>
        <w:rPr>
          <w:color w:val="000000" w:themeColor="text1"/>
          <w:sz w:val="16"/>
          <w:szCs w:val="16"/>
        </w:rPr>
      </w:pPr>
    </w:p>
    <w:p w14:paraId="3F3B7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7826 Об обеспечении углем промышленных предприятий Польши. РГАНИР, Фонд ГКО, д. 380, лл. 85-87 (11012).</w:t>
      </w:r>
    </w:p>
    <w:p w14:paraId="66DB4501" w14:textId="77777777" w:rsidR="00665165" w:rsidRPr="00F90EAE" w:rsidRDefault="00665165" w:rsidP="00F90EAE">
      <w:pPr>
        <w:autoSpaceDE w:val="0"/>
        <w:autoSpaceDN w:val="0"/>
        <w:adjustRightInd w:val="0"/>
        <w:jc w:val="both"/>
        <w:rPr>
          <w:color w:val="000000" w:themeColor="text1"/>
          <w:sz w:val="16"/>
          <w:szCs w:val="16"/>
        </w:rPr>
      </w:pPr>
    </w:p>
    <w:p w14:paraId="04F3258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7828 Об усилении противовоздушной обороны Дальнего Востока и Забайкалья. (7315, 100-102,103-106).</w:t>
      </w:r>
    </w:p>
    <w:p w14:paraId="7EF2C68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2B68B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7829 О плане добычи угля на март 1945 года по Наркомуглю. РГАНИР, Фонд ГКО, д. 380, лл. 107-108 (11012).</w:t>
      </w:r>
    </w:p>
    <w:p w14:paraId="70021890" w14:textId="77777777" w:rsidR="00665165" w:rsidRPr="00F90EAE" w:rsidRDefault="00665165" w:rsidP="00F90EAE">
      <w:pPr>
        <w:autoSpaceDE w:val="0"/>
        <w:autoSpaceDN w:val="0"/>
        <w:adjustRightInd w:val="0"/>
        <w:jc w:val="both"/>
        <w:rPr>
          <w:color w:val="000000" w:themeColor="text1"/>
          <w:sz w:val="16"/>
          <w:szCs w:val="16"/>
        </w:rPr>
      </w:pPr>
    </w:p>
    <w:p w14:paraId="1B7543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7830 О мероприятиях по дальнейшему развитию добычи угля на шахтах комбината "Москвауголь". (7315, 109-134,135-165).</w:t>
      </w:r>
    </w:p>
    <w:p w14:paraId="7C9DE5F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8B1FE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7831 Об улучшении работы Карагандинской железной дороги. (7315, 166-172,173-187).</w:t>
      </w:r>
    </w:p>
    <w:p w14:paraId="045484C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76197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7832 О мероприятиях по дальнейшему увеличению добычи угля на шахтах комбината "Тулауголь". (7316, 1-25,26-41).</w:t>
      </w:r>
    </w:p>
    <w:p w14:paraId="02BC926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4A140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7833 О мерах помощи речному транспорту по подготовке к навигации 1945 г. (7316, 42-59,60-109).</w:t>
      </w:r>
    </w:p>
    <w:p w14:paraId="0FEFEFE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2D3056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года вышел приказ № 120с НКТП</w:t>
      </w:r>
    </w:p>
    <w:p w14:paraId="7481FDE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Об организации производства судовых дизелей М-50 для боевых катеров ВМФ на заводе № 800 НКТП (бывший завод № 174 в Ленинграде) (6213, 98).</w:t>
      </w:r>
    </w:p>
    <w:p w14:paraId="39F6727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E913CA2"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4CFD5B0" w14:textId="77777777" w:rsidR="00524C9D" w:rsidRPr="00F90EAE" w:rsidRDefault="00524C9D" w:rsidP="00F90EAE">
      <w:pPr>
        <w:autoSpaceDE w:val="0"/>
        <w:autoSpaceDN w:val="0"/>
        <w:adjustRightInd w:val="0"/>
        <w:jc w:val="both"/>
        <w:rPr>
          <w:iCs/>
          <w:color w:val="000000" w:themeColor="text1"/>
          <w:sz w:val="16"/>
          <w:szCs w:val="16"/>
        </w:rPr>
      </w:pPr>
    </w:p>
    <w:p w14:paraId="14459BAE" w14:textId="77777777" w:rsidR="00524C9D" w:rsidRPr="00F90EAE" w:rsidRDefault="00524C9D" w:rsidP="00F90EAE">
      <w:pPr>
        <w:jc w:val="both"/>
        <w:rPr>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оперативная сводка Совинформбюро:</w:t>
      </w:r>
    </w:p>
    <w:p w14:paraId="4D72146A" w14:textId="77777777" w:rsidR="00524C9D" w:rsidRPr="00F90EAE" w:rsidRDefault="00524C9D" w:rsidP="00F90EAE">
      <w:pPr>
        <w:jc w:val="both"/>
        <w:rPr>
          <w:color w:val="000000" w:themeColor="text1"/>
          <w:sz w:val="16"/>
          <w:szCs w:val="16"/>
        </w:rPr>
      </w:pPr>
      <w:r w:rsidRPr="00F90EAE">
        <w:rPr>
          <w:color w:val="000000" w:themeColor="text1"/>
          <w:sz w:val="16"/>
          <w:szCs w:val="16"/>
        </w:rPr>
        <w:t>«В течение 14 марта юго-западнее Кенигсберга войска 3-го Белорусского фронта вели наступательные бои по уничтожению Восточно-Прусской группы войск противника и заняли населённые пункты Гросс Клингбекк, Грюнвизе, Ланк, Бартланген, Хиршкен, Хансвальде, Гросс Людткенфюрст, Шенлинде, Нениглих Редерсдорф, Хоенвальде, Брайтлинде, Линденау и железнодорожную станцию Фогельзанг. Войсками фронта взято в плен более 2.000 немецких солдат и офицеров.</w:t>
      </w:r>
    </w:p>
    <w:p w14:paraId="2C85F4CF" w14:textId="77777777" w:rsidR="00524C9D" w:rsidRPr="00F90EAE" w:rsidRDefault="00524C9D" w:rsidP="00F90EAE">
      <w:pPr>
        <w:jc w:val="both"/>
        <w:rPr>
          <w:color w:val="000000" w:themeColor="text1"/>
          <w:sz w:val="16"/>
          <w:szCs w:val="16"/>
        </w:rPr>
      </w:pPr>
      <w:r w:rsidRPr="00F90EAE">
        <w:rPr>
          <w:color w:val="000000" w:themeColor="text1"/>
          <w:sz w:val="16"/>
          <w:szCs w:val="16"/>
        </w:rPr>
        <w:t>Войска 2-го Украинского фронта, преодолевая сопротивление противника в горне-лесистой местности в полосе Карпат, 14 марта овладели городом и важным железнодорожным узлом Зволен — сильным опорным пунктом обороны немцев на реке Грон; заняты также населённые пункты: Лесковец, Муотева, Мозолевци, Добра Нива, Банска Бела, Тепла, Репиште, Поважан.</w:t>
      </w:r>
    </w:p>
    <w:p w14:paraId="2A0D7BEC"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атаки танков и пехоты противника успешно отбивались нашими войсками. В боях за 13 марта в этом районе огнём нашей артиллерии уничтожено 39 немецких танков и самоходных орудий и, кроме того, подбито и подорвалось на наших минных полях 46 танков и самоходных орудий противника.</w:t>
      </w:r>
    </w:p>
    <w:p w14:paraId="6257D497" w14:textId="77777777" w:rsidR="00524C9D" w:rsidRPr="00F90EAE" w:rsidRDefault="00524C9D"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5E83861C" w14:textId="77777777" w:rsidR="00524C9D" w:rsidRPr="00F90EAE" w:rsidRDefault="00524C9D" w:rsidP="00F90EAE">
      <w:pPr>
        <w:jc w:val="both"/>
        <w:rPr>
          <w:color w:val="000000" w:themeColor="text1"/>
          <w:sz w:val="16"/>
          <w:szCs w:val="16"/>
        </w:rPr>
      </w:pPr>
      <w:r w:rsidRPr="00F90EAE">
        <w:rPr>
          <w:color w:val="000000" w:themeColor="text1"/>
          <w:sz w:val="16"/>
          <w:szCs w:val="16"/>
        </w:rPr>
        <w:t>За 13 марта на всех фронтах подбито и уничтожено 137 немецких танков и самоходных орудий. В воздушных боях и огнем зенитной артиллерии сбито 37 самолетов противника.».</w:t>
      </w:r>
    </w:p>
    <w:p w14:paraId="76BCD788" w14:textId="77777777" w:rsidR="00524C9D" w:rsidRPr="00F90EAE" w:rsidRDefault="00524C9D" w:rsidP="00F90EAE">
      <w:pPr>
        <w:jc w:val="both"/>
        <w:rPr>
          <w:color w:val="000000" w:themeColor="text1"/>
          <w:sz w:val="16"/>
          <w:szCs w:val="16"/>
        </w:rPr>
      </w:pPr>
      <w:r w:rsidRPr="00F90EAE">
        <w:rPr>
          <w:color w:val="000000" w:themeColor="text1"/>
          <w:sz w:val="16"/>
          <w:szCs w:val="16"/>
        </w:rPr>
        <w:t>Налет нашей авиации на железнодорожный узел Веспрем в Венгрии.</w:t>
      </w:r>
    </w:p>
    <w:p w14:paraId="45A563CF" w14:textId="77777777" w:rsidR="00524C9D" w:rsidRPr="00F90EAE" w:rsidRDefault="00524C9D" w:rsidP="00F90EAE">
      <w:pPr>
        <w:jc w:val="both"/>
        <w:rPr>
          <w:color w:val="000000" w:themeColor="text1"/>
          <w:sz w:val="16"/>
          <w:szCs w:val="16"/>
        </w:rPr>
      </w:pPr>
      <w:r w:rsidRPr="00F90EAE">
        <w:rPr>
          <w:color w:val="000000" w:themeColor="text1"/>
          <w:sz w:val="16"/>
          <w:szCs w:val="16"/>
        </w:rPr>
        <w:t>«В ночь на 14 марта наши тяжелые бомбардировщики нанесли удар по железнодорожному узлу Веспрем в Венгрии. В результате бомбардировки на территории железнодорожного узла возникли пожары, сопровождавшиеся сильными взрывами.</w:t>
      </w:r>
    </w:p>
    <w:p w14:paraId="74F2C926" w14:textId="77777777" w:rsidR="00524C9D" w:rsidRPr="00F90EAE" w:rsidRDefault="00524C9D" w:rsidP="00F90EAE">
      <w:pPr>
        <w:jc w:val="both"/>
        <w:rPr>
          <w:color w:val="000000" w:themeColor="text1"/>
          <w:sz w:val="16"/>
          <w:szCs w:val="16"/>
        </w:rPr>
      </w:pPr>
      <w:r w:rsidRPr="00F90EAE">
        <w:rPr>
          <w:color w:val="000000" w:themeColor="text1"/>
          <w:sz w:val="16"/>
          <w:szCs w:val="16"/>
        </w:rPr>
        <w:t xml:space="preserve">Юго-западнее Кенигсберга войска 3-го Белорусского фронта вели наступательные бои. Прижатые к морю, немецкие войска предпринимают отчаянные усилия, чтобы удержать оставшийся у них участок территории Восточной Пруссии. Немцы роют дополнительные линии траншей, укрепили все населенные пункты и почти сплошь заминировали подступы к своему переднему краю. Прошедший дождь и начавшаяся оттепель вызвали сильное таяние снега. Вода затопила все низины. Советские </w:t>
      </w:r>
      <w:r w:rsidRPr="00F90EAE">
        <w:rPr>
          <w:color w:val="000000" w:themeColor="text1"/>
          <w:sz w:val="16"/>
          <w:szCs w:val="16"/>
        </w:rPr>
        <w:lastRenderedPageBreak/>
        <w:t>части, поддерживаемые мощным огнем артиллерии, в результате ожесточенного боя продвинулись вперед и выбили немцев из населенного пункта Ланк – важного узла сопротивления. На другом участке наши пехотинцы заняли железнодорожную станцию Фонельзанг, находящуюся в 9 километрах к юго-востоку от города Барунсберга. За день боев уничтожено свыше 4 тысяч солдат и офицеров противника. Войсками фронта захвачено у немцев 50 орудий, 23 миномета, 160 пулеметов и другие трофеи.</w:t>
      </w:r>
    </w:p>
    <w:p w14:paraId="211BA58D" w14:textId="77777777" w:rsidR="00524C9D" w:rsidRPr="00F90EAE" w:rsidRDefault="00524C9D" w:rsidP="00F90EAE">
      <w:pPr>
        <w:jc w:val="both"/>
        <w:rPr>
          <w:color w:val="000000" w:themeColor="text1"/>
          <w:sz w:val="16"/>
          <w:szCs w:val="16"/>
        </w:rPr>
      </w:pPr>
      <w:r w:rsidRPr="00F90EAE">
        <w:rPr>
          <w:color w:val="000000" w:themeColor="text1"/>
          <w:sz w:val="16"/>
          <w:szCs w:val="16"/>
        </w:rPr>
        <w:t>Войска 2-го Украинского фронта, действуя в полосе Карпат, с боями продвигаются вперед. Сегодня наши войска овладели городом Зволен – сильным опорным пунктом обороны немцев на реке Грон. На дальних и ближних подступах к городу противник построил прочную оборону. На склонах гор немцы оборудовали артиллерийские позиции и пулеметные гнезда, откуда простреливали подступы к городу. Все дороги преграждали широкие противотанковые рвы. Противник сосредоточил в этом районе крупные силы пехоты и много самоходной артиллерии. После упорного боя советские части сломили вражеское сопротивление и, овладев селением Муотева, прорвались к железнодорожной станции Зволен. Бои переместились на улицы города. Немцы, пытаясь восстановить положение, предприняли ряд контратак, но успеха не добились. Наращивая удары, наши войска отбросили противника за реку Грон и овладели городом Зволен. На подступах к городу и его улицах осталось много вражеских трупов. Захвачены трофеи и пленные.</w:t>
      </w:r>
    </w:p>
    <w:p w14:paraId="3CAAD7AF" w14:textId="77777777" w:rsidR="00524C9D" w:rsidRPr="00F90EAE" w:rsidRDefault="00524C9D" w:rsidP="00F90EAE">
      <w:pPr>
        <w:jc w:val="both"/>
        <w:rPr>
          <w:color w:val="000000" w:themeColor="text1"/>
          <w:sz w:val="16"/>
          <w:szCs w:val="16"/>
        </w:rPr>
      </w:pPr>
      <w:r w:rsidRPr="00F90EAE">
        <w:rPr>
          <w:color w:val="000000" w:themeColor="text1"/>
          <w:sz w:val="16"/>
          <w:szCs w:val="16"/>
        </w:rPr>
        <w:t>Зволен – узел четырех железных и нескольких шоссейных дорог. В городе имеются промышленные предприятия по переработке железной руды, залежами которой богат этот район.</w:t>
      </w:r>
    </w:p>
    <w:p w14:paraId="012116AA"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наши войска успешно отбивали атаки немцев. Противник, не считаясь с потерями, бросает в бой танки и пехоту. Наши части мужественно отражают вражеский натиск и огнем из всех видов оружия происходят опустошение в рядах атакующих немцев. Сегодня ожесточенные бои происходили за один населенный пункт. Немецким танкам и пехоте ценою тяжелых жертв удалось ворваться в селение. В завязавшемся уличном бою советские артиллеристы, бронебойщики и стрелки истребили свыше 600 гитлеровцев, сожгли и подбили 24 танка и 3 самоходных орудия. К исходу дня наши части контрударом выбили немцев из населенного пункта и восстановили положение. На другом участке двадцать три советских бойца, во главе с гвардии младшим лейтенантом Мыльниковым, находились в боевом охранении. Противник, пытаясь овладеть этим рубежом, три раза переходил в атаку. Немцы окружили советских бойцов, но они и в окружении продолжали драться с прежним упорством. Советские воины отстояли свой рубеж до подхода подкрепления. Перед позициями гвардейцев подсчитано свыше 100 вражеских трупов. В одном районе небольшая группа наших бойцов охраняла переправу через водный рубеж. Немецкий танк и два самоходных орудия пытались прорваться к этой переправе. Старший лейтенант Иваницкий противотанковой гранатой подорвал вражеский танк. Сержант Бессараб огнем из противотанкового ружья сжег самоходное орудие, а красноармеец Фалюнов удачно брошенной гранатой подорвал и второе орудие противника.</w:t>
      </w:r>
    </w:p>
    <w:p w14:paraId="6D6F332C" w14:textId="77777777" w:rsidR="00524C9D" w:rsidRPr="00F90EAE" w:rsidRDefault="00524C9D" w:rsidP="00F90EAE">
      <w:pPr>
        <w:jc w:val="both"/>
        <w:rPr>
          <w:color w:val="000000" w:themeColor="text1"/>
          <w:sz w:val="16"/>
          <w:szCs w:val="16"/>
        </w:rPr>
      </w:pPr>
      <w:r w:rsidRPr="00F90EAE">
        <w:rPr>
          <w:color w:val="000000" w:themeColor="text1"/>
          <w:sz w:val="16"/>
          <w:szCs w:val="16"/>
        </w:rPr>
        <w:t>На 1-м Белорусском фронте наша авиация наносила удары по войскам противника и его путям сообщения. Воздушной разведкой в нижнем течении Одера было обнаружено несколько больших барж. Вскоре над целью появились наши штурмовики во главе с капитаном Прониным. Советские лётчики потопили баржу, на которой находилось более 200 немецких солдат и офицеров, 30 автомашин и 7 орудий.» (15068).</w:t>
      </w:r>
    </w:p>
    <w:p w14:paraId="5E0B20C3" w14:textId="77777777" w:rsidR="00524C9D" w:rsidRPr="00F90EAE" w:rsidRDefault="00524C9D" w:rsidP="00F90EAE">
      <w:pPr>
        <w:jc w:val="both"/>
        <w:rPr>
          <w:color w:val="000000" w:themeColor="text1"/>
          <w:sz w:val="16"/>
          <w:szCs w:val="16"/>
        </w:rPr>
      </w:pPr>
    </w:p>
    <w:p w14:paraId="6BF4AEEE"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4E7D55A" w14:textId="77777777" w:rsidR="00524C9D" w:rsidRPr="00F90EAE" w:rsidRDefault="00524C9D" w:rsidP="00F90EAE">
      <w:pPr>
        <w:autoSpaceDE w:val="0"/>
        <w:autoSpaceDN w:val="0"/>
        <w:adjustRightInd w:val="0"/>
        <w:jc w:val="both"/>
        <w:rPr>
          <w:iCs/>
          <w:color w:val="000000" w:themeColor="text1"/>
          <w:sz w:val="16"/>
          <w:szCs w:val="16"/>
        </w:rPr>
      </w:pPr>
    </w:p>
    <w:p w14:paraId="6CF09EF5" w14:textId="77777777" w:rsidR="00524C9D" w:rsidRPr="00F90EAE" w:rsidRDefault="00524C9D" w:rsidP="00F90EAE">
      <w:pPr>
        <w:jc w:val="both"/>
        <w:rPr>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СНК СССР принял решение о возвращении населению, учреждениям и организациям радиоприемников, сданных ими органам Наркомсвязи на хранение в начале войны (15068).</w:t>
      </w:r>
    </w:p>
    <w:p w14:paraId="660EFEDC" w14:textId="77777777" w:rsidR="00524C9D" w:rsidRPr="00F90EAE" w:rsidRDefault="00524C9D" w:rsidP="00F90EAE">
      <w:pPr>
        <w:jc w:val="both"/>
        <w:rPr>
          <w:color w:val="000000" w:themeColor="text1"/>
          <w:sz w:val="16"/>
          <w:szCs w:val="16"/>
        </w:rPr>
      </w:pPr>
    </w:p>
    <w:p w14:paraId="6854207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E6DD682" w14:textId="77777777" w:rsidR="00665165" w:rsidRPr="00F90EAE" w:rsidRDefault="00665165" w:rsidP="00F90EAE">
      <w:pPr>
        <w:autoSpaceDE w:val="0"/>
        <w:autoSpaceDN w:val="0"/>
        <w:adjustRightInd w:val="0"/>
        <w:jc w:val="both"/>
        <w:rPr>
          <w:iCs/>
          <w:color w:val="000000" w:themeColor="text1"/>
          <w:sz w:val="16"/>
          <w:szCs w:val="16"/>
        </w:rPr>
      </w:pPr>
    </w:p>
    <w:p w14:paraId="56CB27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было подписано соглашение о перестройке болгарских ВВС при советском содействии. Программа предусматривала поставку 69 Ил-2 и 3 Ил-2УТ, которые были поставлены в апреле 1945. В дальнейшем поступило еще 7 Ил-2УТ. Все машины базировались в Пловдиве (241,40).</w:t>
      </w:r>
    </w:p>
    <w:p w14:paraId="4AAF6201" w14:textId="77777777" w:rsidR="00665165" w:rsidRPr="00F90EAE" w:rsidRDefault="00665165" w:rsidP="00F90EAE">
      <w:pPr>
        <w:autoSpaceDE w:val="0"/>
        <w:autoSpaceDN w:val="0"/>
        <w:adjustRightInd w:val="0"/>
        <w:jc w:val="both"/>
        <w:rPr>
          <w:color w:val="000000" w:themeColor="text1"/>
          <w:sz w:val="16"/>
          <w:szCs w:val="16"/>
        </w:rPr>
      </w:pPr>
    </w:p>
    <w:p w14:paraId="454FA0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вышло Постановление ГКО № 7827 О мерах помощи Болгарии в создании воинских частей. РГАНИР, Фонд ГКО, д. 380, лл. 88-89, 90-99 (11012).</w:t>
      </w:r>
    </w:p>
    <w:p w14:paraId="1ACFE393" w14:textId="77777777" w:rsidR="00665165" w:rsidRPr="00F90EAE" w:rsidRDefault="00665165" w:rsidP="00F90EAE">
      <w:pPr>
        <w:autoSpaceDE w:val="0"/>
        <w:autoSpaceDN w:val="0"/>
        <w:adjustRightInd w:val="0"/>
        <w:jc w:val="both"/>
        <w:rPr>
          <w:color w:val="000000" w:themeColor="text1"/>
          <w:sz w:val="16"/>
          <w:szCs w:val="16"/>
        </w:rPr>
      </w:pPr>
    </w:p>
    <w:p w14:paraId="345A2C6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2667FDB" w14:textId="77777777" w:rsidR="00665165" w:rsidRPr="00F90EAE" w:rsidRDefault="00665165" w:rsidP="00F90EAE">
      <w:pPr>
        <w:autoSpaceDE w:val="0"/>
        <w:autoSpaceDN w:val="0"/>
        <w:adjustRightInd w:val="0"/>
        <w:jc w:val="both"/>
        <w:rPr>
          <w:iCs/>
          <w:color w:val="000000" w:themeColor="text1"/>
          <w:sz w:val="16"/>
          <w:szCs w:val="16"/>
        </w:rPr>
      </w:pPr>
    </w:p>
    <w:p w14:paraId="3143A18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3-я американская армия форсировала реку Мозель у Кобленца (Германия).</w:t>
      </w:r>
    </w:p>
    <w:p w14:paraId="0A981E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8CB3B7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марта 1945 англичане сбросили на Германию самую тяжелую в мире бомбу “Грэнд Слэм” (9980 кг) (4962).</w:t>
      </w:r>
    </w:p>
    <w:p w14:paraId="77B4C26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C93E8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англичане с Ланкастера сбросили 22000 фунтовую бомбу Grand Slam (9980 кг, 7.74 м в длину) и уничтожили 2 пролета виадука в Германии (2255).</w:t>
      </w:r>
    </w:p>
    <w:p w14:paraId="014692CE" w14:textId="77777777" w:rsidR="00665165" w:rsidRPr="00F90EAE" w:rsidRDefault="00665165" w:rsidP="00F90EAE">
      <w:pPr>
        <w:autoSpaceDE w:val="0"/>
        <w:autoSpaceDN w:val="0"/>
        <w:adjustRightInd w:val="0"/>
        <w:jc w:val="both"/>
        <w:rPr>
          <w:color w:val="000000" w:themeColor="text1"/>
          <w:sz w:val="16"/>
          <w:szCs w:val="16"/>
        </w:rPr>
      </w:pPr>
    </w:p>
    <w:p w14:paraId="0B7A9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г. на следующий день после первого испытательного сброса новой сверхмощной десятитонной «Грэнд Слэм» (9988 кг) четырнадцать «Ланкастеров», из которых 13 несли «Таллбой» и один «Грэнд Слэм», отправились на атаку виадука у Билефельда, по которому проходили основные коммуникации из Рура по всей Германии. «Де-сятитонка» разрушила два пролета моста, а тринадцать «Таллбоев» разметали обходной путь, который немцы построили еще после первых налетов на виадук. До конца войны прогремело 40 разрушительных взрывов «Большого шлема», наводящих самый настоящий ужас на немецкие войска (11860).</w:t>
      </w:r>
    </w:p>
    <w:p w14:paraId="796F7EDF" w14:textId="77777777" w:rsidR="00665165" w:rsidRPr="00F90EAE" w:rsidRDefault="00665165" w:rsidP="00F90EAE">
      <w:pPr>
        <w:autoSpaceDE w:val="0"/>
        <w:autoSpaceDN w:val="0"/>
        <w:adjustRightInd w:val="0"/>
        <w:jc w:val="both"/>
        <w:rPr>
          <w:color w:val="000000" w:themeColor="text1"/>
          <w:sz w:val="16"/>
          <w:szCs w:val="16"/>
        </w:rPr>
      </w:pPr>
    </w:p>
    <w:p w14:paraId="456326B0" w14:textId="77777777" w:rsidR="00524C9D" w:rsidRPr="00F90EAE" w:rsidRDefault="00524C9D" w:rsidP="00F90EAE">
      <w:pPr>
        <w:jc w:val="both"/>
        <w:rPr>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на Германию сброшена самая большая британская бомба «Грэнд Слэм» (весила 9980 кг и была 7,74 м в длину) (15068).</w:t>
      </w:r>
    </w:p>
    <w:p w14:paraId="07CFFEF0" w14:textId="77777777" w:rsidR="00524C9D" w:rsidRPr="00F90EAE" w:rsidRDefault="00524C9D" w:rsidP="00F90EAE">
      <w:pPr>
        <w:jc w:val="both"/>
        <w:rPr>
          <w:color w:val="000000" w:themeColor="text1"/>
          <w:sz w:val="16"/>
          <w:szCs w:val="16"/>
        </w:rPr>
      </w:pPr>
    </w:p>
    <w:p w14:paraId="5173FE39" w14:textId="77777777" w:rsidR="00524C9D" w:rsidRPr="00F90EAE" w:rsidRDefault="00524C9D" w:rsidP="00F90EAE">
      <w:pPr>
        <w:jc w:val="both"/>
        <w:rPr>
          <w:color w:val="000000" w:themeColor="text1"/>
          <w:sz w:val="16"/>
          <w:szCs w:val="16"/>
        </w:rPr>
      </w:pPr>
      <w:r w:rsidRPr="00F90EAE">
        <w:rPr>
          <w:bCs/>
          <w:color w:val="000000" w:themeColor="text1"/>
          <w:sz w:val="16"/>
          <w:szCs w:val="16"/>
        </w:rPr>
        <w:t>14 марта</w:t>
      </w:r>
      <w:r w:rsidRPr="00F90EAE">
        <w:rPr>
          <w:color w:val="000000" w:themeColor="text1"/>
          <w:sz w:val="16"/>
          <w:szCs w:val="16"/>
        </w:rPr>
        <w:t xml:space="preserve"> в 1945 году первый боевой вылет 617-й эскадрильи ВВС ОК, когда 14 "Ланкастеров" с "Тэллбой" и один с "Грэнд Слэм" уничтожили Билефельдский виадук. Это была первая из 41 "Грэнд Слэм", сброшенных эскадрильей до конца войны. 15-я эскадрилья, единственная другая часть, летавшая на "Ланкастер" I "Спешиэл" (15068).</w:t>
      </w:r>
    </w:p>
    <w:p w14:paraId="69ECC405" w14:textId="77777777" w:rsidR="00524C9D" w:rsidRPr="00F90EAE" w:rsidRDefault="00524C9D" w:rsidP="00F90EAE">
      <w:pPr>
        <w:jc w:val="both"/>
        <w:rPr>
          <w:color w:val="000000" w:themeColor="text1"/>
          <w:sz w:val="16"/>
          <w:szCs w:val="16"/>
        </w:rPr>
      </w:pPr>
    </w:p>
    <w:p w14:paraId="3B28E29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14th, 1945: The US Third Army crosses the Moselle river near Koblenz. In Hungary, the German counterattack to recapture the oilfields near Lake Balaton comes to an end. In East Prussia, the Red Army cuts all communications between Konigsberg and the German forces fighting in the Braunsberg pocket. The US 15th Air Force, taking off from Italian airfields, launches a heavy raid (500 bombers) against Regensburg, while the RAF attacks Wuppertal with 400 aircraft (3819).</w:t>
      </w:r>
    </w:p>
    <w:p w14:paraId="2A88739F" w14:textId="77777777" w:rsidR="00665165" w:rsidRPr="00F90EAE" w:rsidRDefault="00665165" w:rsidP="00F90EAE">
      <w:pPr>
        <w:autoSpaceDE w:val="0"/>
        <w:autoSpaceDN w:val="0"/>
        <w:adjustRightInd w:val="0"/>
        <w:jc w:val="both"/>
        <w:rPr>
          <w:color w:val="000000" w:themeColor="text1"/>
          <w:sz w:val="16"/>
          <w:szCs w:val="16"/>
          <w:lang w:val="en-US"/>
        </w:rPr>
      </w:pPr>
    </w:p>
    <w:p w14:paraId="4FC875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3А США форсировала р Мозель у Кобленца. В Венгрии закончилось немецкое наступление для возврата нефтяных промыслов у Балатона. В Восточной Пруссии КА перерезала все коммуникации между Кенигсбергом и немецкими войсками в Браунсбергском котле. 15ВА США, взлетев с аэродромов в Италии , выполнила массированный налет (500 бомбардировщиков) на Регенсбург, а Королевские ВВС бомбили Вуппертал силами 400 самолетов (3819).</w:t>
      </w:r>
    </w:p>
    <w:p w14:paraId="5847E874" w14:textId="77777777" w:rsidR="00665165" w:rsidRPr="00F90EAE" w:rsidRDefault="00665165" w:rsidP="00F90EAE">
      <w:pPr>
        <w:autoSpaceDE w:val="0"/>
        <w:autoSpaceDN w:val="0"/>
        <w:adjustRightInd w:val="0"/>
        <w:jc w:val="both"/>
        <w:rPr>
          <w:color w:val="000000" w:themeColor="text1"/>
          <w:sz w:val="16"/>
          <w:szCs w:val="16"/>
        </w:rPr>
      </w:pPr>
    </w:p>
    <w:p w14:paraId="29664EE8" w14:textId="77777777" w:rsidR="00934A89" w:rsidRPr="00F90EAE" w:rsidRDefault="00934A89" w:rsidP="00F90EAE">
      <w:pPr>
        <w:jc w:val="both"/>
        <w:rPr>
          <w:color w:val="0070C0"/>
          <w:sz w:val="16"/>
          <w:szCs w:val="16"/>
        </w:rPr>
      </w:pPr>
      <w:r w:rsidRPr="00F90EAE">
        <w:rPr>
          <w:color w:val="0070C0"/>
          <w:sz w:val="16"/>
          <w:szCs w:val="16"/>
        </w:rPr>
        <w:t>14 марта 1945 основана компания Transportes Aéreos Portugueses, будущая компания TAP Portugal. Он начнет полеты в сентябре 1946 года (20371).</w:t>
      </w:r>
    </w:p>
    <w:p w14:paraId="54EDDC5E" w14:textId="77777777" w:rsidR="00934A89" w:rsidRPr="00F90EAE" w:rsidRDefault="00934A89" w:rsidP="00F90EAE">
      <w:pPr>
        <w:jc w:val="both"/>
        <w:rPr>
          <w:color w:val="0070C0"/>
          <w:sz w:val="16"/>
          <w:szCs w:val="16"/>
        </w:rPr>
      </w:pPr>
    </w:p>
    <w:p w14:paraId="59AD84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марта 1945 Чили объявила войну Германии (2100).</w:t>
      </w:r>
    </w:p>
    <w:p w14:paraId="70CCA46E" w14:textId="77777777" w:rsidR="00665165" w:rsidRPr="00F90EAE" w:rsidRDefault="00665165" w:rsidP="00F90EAE">
      <w:pPr>
        <w:autoSpaceDE w:val="0"/>
        <w:autoSpaceDN w:val="0"/>
        <w:adjustRightInd w:val="0"/>
        <w:jc w:val="both"/>
        <w:rPr>
          <w:color w:val="000000" w:themeColor="text1"/>
          <w:sz w:val="16"/>
          <w:szCs w:val="16"/>
        </w:rPr>
      </w:pPr>
    </w:p>
    <w:p w14:paraId="75CD08B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5D559BB" w14:textId="77777777" w:rsidR="00665165" w:rsidRPr="00F90EAE" w:rsidRDefault="00665165" w:rsidP="00F90EAE">
      <w:pPr>
        <w:autoSpaceDE w:val="0"/>
        <w:autoSpaceDN w:val="0"/>
        <w:adjustRightInd w:val="0"/>
        <w:jc w:val="both"/>
        <w:rPr>
          <w:iCs/>
          <w:color w:val="000000" w:themeColor="text1"/>
          <w:sz w:val="16"/>
          <w:szCs w:val="16"/>
        </w:rPr>
      </w:pPr>
    </w:p>
    <w:p w14:paraId="74E04C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Лапин утвердил Акт по контрольным испытаниям Пе-2 винт ВИШ-105СВ с регулятором Р-7А</w:t>
      </w:r>
    </w:p>
    <w:p w14:paraId="5BED38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Пе-2 N 6/424 с ВИШ-105СВ 22 завода выпуска января 1945 с моторами пр-ва завода № 16</w:t>
      </w:r>
    </w:p>
    <w:p w14:paraId="369287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 проходили с 17 февраля по 1 марта 1945</w:t>
      </w:r>
    </w:p>
    <w:p w14:paraId="2E64F4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полета продолжительностью 17 час. 5 мин. (806,8).</w:t>
      </w:r>
    </w:p>
    <w:p w14:paraId="71F51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Ви и/к-н М.В.Самочетов</w:t>
      </w:r>
    </w:p>
    <w:p w14:paraId="62AE7A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В.М.Шульгин.</w:t>
      </w:r>
    </w:p>
    <w:p w14:paraId="5AA8EF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предыдущих испытаний.</w:t>
      </w:r>
    </w:p>
    <w:p w14:paraId="1E0248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октябре 1944 в НИИ ВВС испытывался серийный Пе-2 № 14/350 пр-ва з-да 22, выпуска июля 1944 с мотором з-да № 16.</w:t>
      </w:r>
    </w:p>
    <w:p w14:paraId="58B1C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Контрольные испытания не выдержал вследствие дефектов моторов АК-105ПФ, приведших к выходу из строя во время испытаний 21-х моторов и худших летных данных, чем у с-та Пе-2 № 12/206 с улучшенной аэродинамикой, испытанного в ГК НИИ ВВС в сентябре 1943 и рекомендованого в серийное производство</w:t>
      </w:r>
    </w:p>
    <w:p w14:paraId="36CE9B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з-м № 22 на серийных самолетах Пе-2 были произведены работы по улучшению аэродинамики, а з-м № 16 на моторах М-105ПФ доведены крыльчатки нагнетателя и улучшена форма патрубка, подающего воздух к крыльчатке с целью повышения высотности моторов.</w:t>
      </w:r>
    </w:p>
    <w:p w14:paraId="2F29E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Серийный Пе-2 № 6/424, улучшенный по аэродинамике, производства з-да № 22, выпуска января 1945 с доведенными моторами пр-ва завода № 16, предъявлен на контрольные испытания в феврале 1945.</w:t>
      </w:r>
    </w:p>
    <w:p w14:paraId="76DA0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24E95B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с-та № 14/350, испытанного в октябре 1944 в ГК НИИ ВВС, с-т № 6/424 отличается:</w:t>
      </w:r>
    </w:p>
    <w:p w14:paraId="2777D3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с-ту</w:t>
      </w:r>
    </w:p>
    <w:p w14:paraId="3AE7C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улучшена аэродинамика с-та</w:t>
      </w:r>
    </w:p>
    <w:p w14:paraId="69E9A9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улучшена заделка обшивки на стыках агрегатов, ленты перекрытия сняты, а обшивка соединена встык</w:t>
      </w:r>
    </w:p>
    <w:p w14:paraId="44275B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установлена металлическая перегородка герметизации в Ф-3</w:t>
      </w:r>
    </w:p>
    <w:p w14:paraId="34F9CE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Подшпаклеваны носки крыла, ЦП, Ф-1, стабилизатора и килей</w:t>
      </w:r>
    </w:p>
    <w:p w14:paraId="6E7C3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установлены зализы, перекрывающие щели между неподвижным зализом Ф-3 и стабилизатором, улучшены подвижные зализы между стабилизатором и Ф-3</w:t>
      </w:r>
    </w:p>
    <w:p w14:paraId="2F4AEE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установлены форточки на амбразуры для бортового пулемета и т.п.</w:t>
      </w:r>
    </w:p>
    <w:p w14:paraId="68A9BD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52C8E2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Установленные усиленные по варианту Томашевича подмоторные рамы (ремонтный вариант усиления при наличии дополнительных накладок на дугу моторамы</w:t>
      </w:r>
    </w:p>
    <w:p w14:paraId="7FA5D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агрегат газового запуска мотора</w:t>
      </w:r>
    </w:p>
    <w:p w14:paraId="183FF6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w:t>
      </w:r>
    </w:p>
    <w:p w14:paraId="68EE47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Установлена однолучевая антенна для РСБ-3бис и РПК-10 по образцу, испытанному в 1944</w:t>
      </w:r>
    </w:p>
    <w:p w14:paraId="1842F4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Установлен кислородный прибор КП-12 вместо КПА-3бис</w:t>
      </w:r>
    </w:p>
    <w:p w14:paraId="5B9C60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1941C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6047, цт 23.1%</w:t>
      </w:r>
    </w:p>
    <w:p w14:paraId="0AEDF7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 8405 26,5%</w:t>
      </w:r>
    </w:p>
    <w:p w14:paraId="664F0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 8805 26,2%</w:t>
      </w:r>
    </w:p>
    <w:p w14:paraId="002353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Нагрузки нормального полетного веса:</w:t>
      </w:r>
    </w:p>
    <w:p w14:paraId="664F6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- 270</w:t>
      </w:r>
    </w:p>
    <w:p w14:paraId="100D9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- 1100</w:t>
      </w:r>
    </w:p>
    <w:p w14:paraId="74281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- 120</w:t>
      </w:r>
    </w:p>
    <w:p w14:paraId="40CA23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пулеметы - 84</w:t>
      </w:r>
    </w:p>
    <w:p w14:paraId="25D214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б/запас - 112</w:t>
      </w:r>
    </w:p>
    <w:p w14:paraId="075B94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бомбы с замками (внешняя подвеска) - 607</w:t>
      </w:r>
    </w:p>
    <w:p w14:paraId="5F580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спецоборудование - 65</w:t>
      </w:r>
    </w:p>
    <w:p w14:paraId="4EC136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2358</w:t>
      </w:r>
    </w:p>
    <w:p w14:paraId="65646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- 4хФАБ-100 = 400</w:t>
      </w:r>
    </w:p>
    <w:p w14:paraId="56FAC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w:t>
      </w:r>
    </w:p>
    <w:p w14:paraId="6D05A1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- 468 км/час</w:t>
      </w:r>
    </w:p>
    <w:p w14:paraId="0C1BA5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гр. высотности - 513 км/час</w:t>
      </w:r>
    </w:p>
    <w:p w14:paraId="1B9CD2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 гр. высотности - 527 км/час</w:t>
      </w:r>
    </w:p>
    <w:p w14:paraId="6A544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- 9,7, 8200 м - 34</w:t>
      </w:r>
    </w:p>
    <w:p w14:paraId="3E7BB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1000 м на наивыгоднейшей скорости 310 км/час, 1750 оборотах - 1220 км</w:t>
      </w:r>
    </w:p>
    <w:p w14:paraId="2B4DB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 - 490, пробег - 565</w:t>
      </w:r>
    </w:p>
    <w:p w14:paraId="5E8E71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гор. скорости по высотам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561F31" w:rsidRPr="00F90EAE" w14:paraId="0600D4AE" w14:textId="77777777">
        <w:tc>
          <w:tcPr>
            <w:tcW w:w="2802" w:type="dxa"/>
            <w:tcBorders>
              <w:top w:val="single" w:sz="12" w:space="0" w:color="auto"/>
            </w:tcBorders>
          </w:tcPr>
          <w:p w14:paraId="19B76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2B4605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2802" w:type="dxa"/>
            <w:tcBorders>
              <w:top w:val="single" w:sz="12" w:space="0" w:color="auto"/>
            </w:tcBorders>
          </w:tcPr>
          <w:p w14:paraId="385DEA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r>
      <w:tr w:rsidR="00561F31" w:rsidRPr="00F90EAE" w14:paraId="6A3D916C" w14:textId="77777777">
        <w:tc>
          <w:tcPr>
            <w:tcW w:w="2802" w:type="dxa"/>
          </w:tcPr>
          <w:p w14:paraId="68EBC4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37EE3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w:t>
            </w:r>
          </w:p>
        </w:tc>
        <w:tc>
          <w:tcPr>
            <w:tcW w:w="2802" w:type="dxa"/>
          </w:tcPr>
          <w:p w14:paraId="49BCC7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r>
      <w:tr w:rsidR="00561F31" w:rsidRPr="00F90EAE" w14:paraId="2D1D1AC4" w14:textId="77777777">
        <w:tc>
          <w:tcPr>
            <w:tcW w:w="2802" w:type="dxa"/>
          </w:tcPr>
          <w:p w14:paraId="5700D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2050</w:t>
            </w:r>
          </w:p>
        </w:tc>
        <w:tc>
          <w:tcPr>
            <w:tcW w:w="2802" w:type="dxa"/>
          </w:tcPr>
          <w:p w14:paraId="555DBA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w:t>
            </w:r>
          </w:p>
        </w:tc>
        <w:tc>
          <w:tcPr>
            <w:tcW w:w="2802" w:type="dxa"/>
          </w:tcPr>
          <w:p w14:paraId="07BB07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1080</w:t>
            </w:r>
          </w:p>
        </w:tc>
      </w:tr>
      <w:tr w:rsidR="00561F31" w:rsidRPr="00F90EAE" w14:paraId="0CAA795D" w14:textId="77777777">
        <w:tc>
          <w:tcPr>
            <w:tcW w:w="2802" w:type="dxa"/>
          </w:tcPr>
          <w:p w14:paraId="50989E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w:t>
            </w:r>
          </w:p>
        </w:tc>
        <w:tc>
          <w:tcPr>
            <w:tcW w:w="2802" w:type="dxa"/>
          </w:tcPr>
          <w:p w14:paraId="0A0C4C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504</w:t>
            </w:r>
          </w:p>
        </w:tc>
        <w:tc>
          <w:tcPr>
            <w:tcW w:w="2802" w:type="dxa"/>
          </w:tcPr>
          <w:p w14:paraId="14CCB7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970</w:t>
            </w:r>
          </w:p>
        </w:tc>
      </w:tr>
      <w:tr w:rsidR="00561F31" w:rsidRPr="00F90EAE" w14:paraId="7AA43D12" w14:textId="77777777">
        <w:tc>
          <w:tcPr>
            <w:tcW w:w="2802" w:type="dxa"/>
          </w:tcPr>
          <w:p w14:paraId="02FE8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3060</w:t>
            </w:r>
          </w:p>
        </w:tc>
        <w:tc>
          <w:tcPr>
            <w:tcW w:w="2802" w:type="dxa"/>
          </w:tcPr>
          <w:p w14:paraId="7ADF42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w:t>
            </w:r>
          </w:p>
        </w:tc>
        <w:tc>
          <w:tcPr>
            <w:tcW w:w="2802" w:type="dxa"/>
          </w:tcPr>
          <w:p w14:paraId="620BD2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r>
      <w:tr w:rsidR="00561F31" w:rsidRPr="00F90EAE" w14:paraId="3A73F506" w14:textId="77777777">
        <w:tc>
          <w:tcPr>
            <w:tcW w:w="2802" w:type="dxa"/>
          </w:tcPr>
          <w:p w14:paraId="09C7D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52FDF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512,5</w:t>
            </w:r>
          </w:p>
        </w:tc>
        <w:tc>
          <w:tcPr>
            <w:tcW w:w="2802" w:type="dxa"/>
          </w:tcPr>
          <w:p w14:paraId="74E2C3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r>
      <w:tr w:rsidR="00561F31" w:rsidRPr="00F90EAE" w14:paraId="4612C36D" w14:textId="77777777">
        <w:tc>
          <w:tcPr>
            <w:tcW w:w="2802" w:type="dxa"/>
          </w:tcPr>
          <w:p w14:paraId="0D8BBF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2802" w:type="dxa"/>
          </w:tcPr>
          <w:p w14:paraId="452DF1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w:t>
            </w:r>
          </w:p>
        </w:tc>
        <w:tc>
          <w:tcPr>
            <w:tcW w:w="2802" w:type="dxa"/>
          </w:tcPr>
          <w:p w14:paraId="0EA409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r>
      <w:tr w:rsidR="00561F31" w:rsidRPr="00F90EAE" w14:paraId="46DFFDD1" w14:textId="77777777">
        <w:tc>
          <w:tcPr>
            <w:tcW w:w="2802" w:type="dxa"/>
            <w:tcBorders>
              <w:bottom w:val="single" w:sz="12" w:space="0" w:color="auto"/>
            </w:tcBorders>
          </w:tcPr>
          <w:p w14:paraId="58E00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25808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c>
          <w:tcPr>
            <w:tcW w:w="2802" w:type="dxa"/>
            <w:tcBorders>
              <w:bottom w:val="single" w:sz="12" w:space="0" w:color="auto"/>
            </w:tcBorders>
          </w:tcPr>
          <w:p w14:paraId="4ECA6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r>
    </w:tbl>
    <w:p w14:paraId="1A1909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Скорости замерены при полдностью открытых жалюзи водорадиаторов и всасявающих патрубков. Замки и ухваты наружных бомб сняты и отверстия заклеены. Оружие в боевом положении</w:t>
      </w:r>
    </w:p>
    <w:p w14:paraId="4D9AC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61F31" w:rsidRPr="00F90EAE" w14:paraId="6123B8D5" w14:textId="77777777">
        <w:tc>
          <w:tcPr>
            <w:tcW w:w="2802" w:type="dxa"/>
            <w:tcBorders>
              <w:top w:val="single" w:sz="12" w:space="0" w:color="auto"/>
            </w:tcBorders>
          </w:tcPr>
          <w:p w14:paraId="45EE2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2802" w:type="dxa"/>
            <w:tcBorders>
              <w:top w:val="single" w:sz="12" w:space="0" w:color="auto"/>
            </w:tcBorders>
          </w:tcPr>
          <w:p w14:paraId="5CEA05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Верт. Скорость </w:t>
            </w:r>
          </w:p>
        </w:tc>
        <w:tc>
          <w:tcPr>
            <w:tcW w:w="2802" w:type="dxa"/>
            <w:tcBorders>
              <w:top w:val="single" w:sz="12" w:space="0" w:color="auto"/>
            </w:tcBorders>
          </w:tcPr>
          <w:p w14:paraId="18EE4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Рк</w:t>
            </w:r>
          </w:p>
        </w:tc>
        <w:tc>
          <w:tcPr>
            <w:tcW w:w="2802" w:type="dxa"/>
            <w:tcBorders>
              <w:top w:val="single" w:sz="12" w:space="0" w:color="auto"/>
            </w:tcBorders>
          </w:tcPr>
          <w:p w14:paraId="08B9F6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 скорость</w:t>
            </w:r>
          </w:p>
        </w:tc>
      </w:tr>
      <w:tr w:rsidR="00561F31" w:rsidRPr="00F90EAE" w14:paraId="22443F6F" w14:textId="77777777">
        <w:tc>
          <w:tcPr>
            <w:tcW w:w="2802" w:type="dxa"/>
          </w:tcPr>
          <w:p w14:paraId="3276BE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2802" w:type="dxa"/>
          </w:tcPr>
          <w:p w14:paraId="107F25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2802" w:type="dxa"/>
          </w:tcPr>
          <w:p w14:paraId="78C33A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w:t>
            </w:r>
          </w:p>
        </w:tc>
        <w:tc>
          <w:tcPr>
            <w:tcW w:w="2802" w:type="dxa"/>
          </w:tcPr>
          <w:p w14:paraId="74BA1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4E9B7BCE" w14:textId="77777777">
        <w:tc>
          <w:tcPr>
            <w:tcW w:w="2802" w:type="dxa"/>
          </w:tcPr>
          <w:p w14:paraId="2F425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2100</w:t>
            </w:r>
          </w:p>
        </w:tc>
        <w:tc>
          <w:tcPr>
            <w:tcW w:w="2802" w:type="dxa"/>
          </w:tcPr>
          <w:p w14:paraId="1EC2B1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tcPr>
          <w:p w14:paraId="2E2105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960</w:t>
            </w:r>
          </w:p>
        </w:tc>
        <w:tc>
          <w:tcPr>
            <w:tcW w:w="2802" w:type="dxa"/>
          </w:tcPr>
          <w:p w14:paraId="43E54BD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911B86" w14:textId="77777777">
        <w:tc>
          <w:tcPr>
            <w:tcW w:w="2802" w:type="dxa"/>
          </w:tcPr>
          <w:p w14:paraId="3DE95B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гр. 3400</w:t>
            </w:r>
          </w:p>
        </w:tc>
        <w:tc>
          <w:tcPr>
            <w:tcW w:w="2802" w:type="dxa"/>
          </w:tcPr>
          <w:p w14:paraId="3C6C5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2802" w:type="dxa"/>
          </w:tcPr>
          <w:p w14:paraId="246C1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1075</w:t>
            </w:r>
          </w:p>
        </w:tc>
        <w:tc>
          <w:tcPr>
            <w:tcW w:w="2802" w:type="dxa"/>
          </w:tcPr>
          <w:p w14:paraId="6153F95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E2ACDB4" w14:textId="77777777">
        <w:tc>
          <w:tcPr>
            <w:tcW w:w="2802" w:type="dxa"/>
          </w:tcPr>
          <w:p w14:paraId="72D9E8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2802" w:type="dxa"/>
          </w:tcPr>
          <w:p w14:paraId="2CAEDF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2802" w:type="dxa"/>
          </w:tcPr>
          <w:p w14:paraId="4BBB3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w:t>
            </w:r>
          </w:p>
        </w:tc>
        <w:tc>
          <w:tcPr>
            <w:tcW w:w="2802" w:type="dxa"/>
          </w:tcPr>
          <w:p w14:paraId="6750B4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19861A37" w14:textId="77777777">
        <w:tc>
          <w:tcPr>
            <w:tcW w:w="2802" w:type="dxa"/>
            <w:tcBorders>
              <w:bottom w:val="single" w:sz="12" w:space="0" w:color="auto"/>
            </w:tcBorders>
          </w:tcPr>
          <w:p w14:paraId="6B223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2802" w:type="dxa"/>
            <w:tcBorders>
              <w:bottom w:val="single" w:sz="12" w:space="0" w:color="auto"/>
            </w:tcBorders>
          </w:tcPr>
          <w:p w14:paraId="1A668C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2802" w:type="dxa"/>
            <w:tcBorders>
              <w:bottom w:val="single" w:sz="12" w:space="0" w:color="auto"/>
            </w:tcBorders>
          </w:tcPr>
          <w:p w14:paraId="6B2ACD9E"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Borders>
              <w:bottom w:val="single" w:sz="12" w:space="0" w:color="auto"/>
            </w:tcBorders>
          </w:tcPr>
          <w:p w14:paraId="641F22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r>
    </w:tbl>
    <w:p w14:paraId="48A875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 при 8450 кг, числе оборотов 2700, Рк 1050 - 490 м, при весе 8805 - 565 м, скорость отрыва 156 км/час и 161 км/час на укатанном снеге</w:t>
      </w:r>
    </w:p>
    <w:p w14:paraId="01AB5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Посадка с тормозами на 50 гр. посадочная скорость 140 км/час при полетном весе 7200 кг, дистанция - 1160 м</w:t>
      </w:r>
    </w:p>
    <w:p w14:paraId="247FE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наивыгоднейшем режиме - на 1000 м, скорости 310, 1750 оборотахРк 860 - 1220, время 4:0</w:t>
      </w:r>
    </w:p>
    <w:p w14:paraId="58D875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Носовой ШКАС и УБК неподвижные + УБТ на ВУБ-1 и УБТ на ЛУ + бортовые ШКАС</w:t>
      </w:r>
    </w:p>
    <w:p w14:paraId="031AB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действия РПКО-10 по назначенной станции РАП на 1000 м по каналу рации - 230 км, р/ответчика - 180 км, что соответствует ТУ</w:t>
      </w:r>
    </w:p>
    <w:p w14:paraId="33BAE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двусторонней радиосвязи с наземной р/с РАФ-КВ-3 на 1000 м - телефон 360, телеграф - 400</w:t>
      </w:r>
    </w:p>
    <w:p w14:paraId="23AD30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Оценка производственного выполнения:</w:t>
      </w:r>
    </w:p>
    <w:p w14:paraId="461826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Качество производственного выполнения с-та № 6/424 по сравненимю с № 14/350 улучшено, но все еще остается неудовлетворительным:</w:t>
      </w:r>
    </w:p>
    <w:p w14:paraId="279851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волнистость обшивки, низкое качество покраски, отставание и неравномерное нанесение краски</w:t>
      </w:r>
    </w:p>
    <w:p w14:paraId="19727B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створки бомборлюка плотно не закрываются, остаются щели</w:t>
      </w:r>
    </w:p>
    <w:p w14:paraId="57EADA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боковые форточки фонаря кабины л плохо подогнаны, открываются и закрываются с большим усилием</w:t>
      </w:r>
    </w:p>
    <w:p w14:paraId="67DEE2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монтаж трубопроводов на моторе выполнен плохо, течи воды, масла, бензина</w:t>
      </w:r>
    </w:p>
    <w:p w14:paraId="6CAE3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71E935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технике пилотирования с-т Пе-2 № 6/424 ничем не отличается от ранее испытанных с-тов Пе-2. Замечания касаются перехода с КПА-3бис на КП-12, что ухудшило условия работы л, а именно:</w:t>
      </w:r>
    </w:p>
    <w:p w14:paraId="1AC540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дышать стало трудновстречается большое сопротивление на вдохе</w:t>
      </w:r>
    </w:p>
    <w:p w14:paraId="1C3F8C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маска требует весьма плотной подгонки, что вызывает стягивание мускулов и возникают неприятные ощущения</w:t>
      </w:r>
    </w:p>
    <w:p w14:paraId="4CF196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шланг тяжелый и жесткий, что затрудняет движение в кабине</w:t>
      </w:r>
    </w:p>
    <w:p w14:paraId="6B360B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при поворотах голорвы плотность прилегания маски к лицу нарушается и наступает кислородное голодание, понижается работоспособность, в глазах темнеет</w:t>
      </w:r>
    </w:p>
    <w:p w14:paraId="1359B9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 в существующем виде прибор КП-12 не может быть рекомендован для установки на серийные Пе-2</w:t>
      </w:r>
    </w:p>
    <w:p w14:paraId="743F0E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 подписали 6 марта 1945</w:t>
      </w:r>
    </w:p>
    <w:p w14:paraId="3218FD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Таблица сравнительных летных данных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2236"/>
        <w:gridCol w:w="2236"/>
      </w:tblGrid>
      <w:tr w:rsidR="00561F31" w:rsidRPr="00F90EAE" w14:paraId="57399369" w14:textId="77777777">
        <w:tc>
          <w:tcPr>
            <w:tcW w:w="3936" w:type="dxa"/>
            <w:tcBorders>
              <w:top w:val="single" w:sz="12" w:space="0" w:color="auto"/>
            </w:tcBorders>
          </w:tcPr>
          <w:p w14:paraId="03CAC7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2236" w:type="dxa"/>
            <w:tcBorders>
              <w:top w:val="single" w:sz="12" w:space="0" w:color="auto"/>
            </w:tcBorders>
          </w:tcPr>
          <w:p w14:paraId="154BA8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6/424 2ВК-105ПФ с полетным весом 8405 кг, испытанным в НИИ ВВС в феврале-марте 1945</w:t>
            </w:r>
          </w:p>
        </w:tc>
        <w:tc>
          <w:tcPr>
            <w:tcW w:w="2236" w:type="dxa"/>
            <w:tcBorders>
              <w:top w:val="single" w:sz="12" w:space="0" w:color="auto"/>
            </w:tcBorders>
          </w:tcPr>
          <w:p w14:paraId="128018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 14/350 2ВК-105ПФ с полетным весом 8400 кг, испытанным в НИИ ВВС в октябре 1944</w:t>
            </w:r>
          </w:p>
        </w:tc>
      </w:tr>
      <w:tr w:rsidR="00561F31" w:rsidRPr="00F90EAE" w14:paraId="498E24FE" w14:textId="77777777">
        <w:tc>
          <w:tcPr>
            <w:tcW w:w="3936" w:type="dxa"/>
          </w:tcPr>
          <w:p w14:paraId="56D90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номинальном режиме а) у земли</w:t>
            </w:r>
          </w:p>
          <w:p w14:paraId="6020022E" w14:textId="77777777" w:rsidR="00665165" w:rsidRPr="00F90EAE" w:rsidRDefault="00665165" w:rsidP="00F90EAE">
            <w:pPr>
              <w:autoSpaceDE w:val="0"/>
              <w:autoSpaceDN w:val="0"/>
              <w:adjustRightInd w:val="0"/>
              <w:jc w:val="both"/>
              <w:rPr>
                <w:color w:val="000000" w:themeColor="text1"/>
                <w:sz w:val="16"/>
                <w:szCs w:val="16"/>
              </w:rPr>
            </w:pPr>
          </w:p>
        </w:tc>
        <w:tc>
          <w:tcPr>
            <w:tcW w:w="2236" w:type="dxa"/>
          </w:tcPr>
          <w:p w14:paraId="47008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468</w:t>
            </w:r>
          </w:p>
        </w:tc>
        <w:tc>
          <w:tcPr>
            <w:tcW w:w="2236" w:type="dxa"/>
          </w:tcPr>
          <w:p w14:paraId="794E3D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457</w:t>
            </w:r>
          </w:p>
        </w:tc>
      </w:tr>
      <w:tr w:rsidR="00561F31" w:rsidRPr="00F90EAE" w14:paraId="73FBFE54" w14:textId="77777777">
        <w:tc>
          <w:tcPr>
            <w:tcW w:w="3936" w:type="dxa"/>
          </w:tcPr>
          <w:p w14:paraId="6D2DF3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 1 гр. высотности</w:t>
            </w:r>
          </w:p>
        </w:tc>
        <w:tc>
          <w:tcPr>
            <w:tcW w:w="2236" w:type="dxa"/>
          </w:tcPr>
          <w:p w14:paraId="16F381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513/2500</w:t>
            </w:r>
          </w:p>
        </w:tc>
        <w:tc>
          <w:tcPr>
            <w:tcW w:w="2236" w:type="dxa"/>
          </w:tcPr>
          <w:p w14:paraId="16C739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499/1850</w:t>
            </w:r>
          </w:p>
        </w:tc>
      </w:tr>
      <w:tr w:rsidR="00561F31" w:rsidRPr="00F90EAE" w14:paraId="52600AF2" w14:textId="77777777">
        <w:tc>
          <w:tcPr>
            <w:tcW w:w="3936" w:type="dxa"/>
          </w:tcPr>
          <w:p w14:paraId="2558D8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 2 гр. высотности</w:t>
            </w:r>
          </w:p>
        </w:tc>
        <w:tc>
          <w:tcPr>
            <w:tcW w:w="2236" w:type="dxa"/>
          </w:tcPr>
          <w:p w14:paraId="5C8897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527/3900</w:t>
            </w:r>
          </w:p>
        </w:tc>
        <w:tc>
          <w:tcPr>
            <w:tcW w:w="2236" w:type="dxa"/>
          </w:tcPr>
          <w:p w14:paraId="7F17E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513/3700</w:t>
            </w:r>
          </w:p>
        </w:tc>
      </w:tr>
      <w:tr w:rsidR="00561F31" w:rsidRPr="00F90EAE" w14:paraId="7FA85AB3" w14:textId="77777777">
        <w:tc>
          <w:tcPr>
            <w:tcW w:w="3936" w:type="dxa"/>
          </w:tcPr>
          <w:p w14:paraId="4990C8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подъема на 5000 м</w:t>
            </w:r>
          </w:p>
        </w:tc>
        <w:tc>
          <w:tcPr>
            <w:tcW w:w="2236" w:type="dxa"/>
          </w:tcPr>
          <w:p w14:paraId="52721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2236" w:type="dxa"/>
          </w:tcPr>
          <w:p w14:paraId="7D0D3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r>
      <w:tr w:rsidR="00561F31" w:rsidRPr="00F90EAE" w14:paraId="751ECFC5" w14:textId="77777777">
        <w:tc>
          <w:tcPr>
            <w:tcW w:w="3936" w:type="dxa"/>
          </w:tcPr>
          <w:p w14:paraId="78AC7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2236" w:type="dxa"/>
          </w:tcPr>
          <w:p w14:paraId="0B4C93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236" w:type="dxa"/>
          </w:tcPr>
          <w:p w14:paraId="13C484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7500</w:t>
            </w:r>
          </w:p>
        </w:tc>
      </w:tr>
      <w:tr w:rsidR="00561F31" w:rsidRPr="00F90EAE" w14:paraId="47755845" w14:textId="77777777">
        <w:tc>
          <w:tcPr>
            <w:tcW w:w="3936" w:type="dxa"/>
          </w:tcPr>
          <w:p w14:paraId="3A15A6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Время набора 8000 м </w:t>
            </w:r>
          </w:p>
        </w:tc>
        <w:tc>
          <w:tcPr>
            <w:tcW w:w="2236" w:type="dxa"/>
          </w:tcPr>
          <w:p w14:paraId="6BA68E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236" w:type="dxa"/>
          </w:tcPr>
          <w:p w14:paraId="6FB9D6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r>
      <w:tr w:rsidR="00561F31" w:rsidRPr="00F90EAE" w14:paraId="4AD27946" w14:textId="77777777">
        <w:tc>
          <w:tcPr>
            <w:tcW w:w="3936" w:type="dxa"/>
          </w:tcPr>
          <w:p w14:paraId="7BC82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236" w:type="dxa"/>
          </w:tcPr>
          <w:p w14:paraId="480727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c>
          <w:tcPr>
            <w:tcW w:w="2236" w:type="dxa"/>
          </w:tcPr>
          <w:p w14:paraId="557A2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r>
      <w:tr w:rsidR="00561F31" w:rsidRPr="00F90EAE" w14:paraId="565F03C9" w14:textId="77777777">
        <w:tc>
          <w:tcPr>
            <w:tcW w:w="3936" w:type="dxa"/>
          </w:tcPr>
          <w:p w14:paraId="07834D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236" w:type="dxa"/>
          </w:tcPr>
          <w:p w14:paraId="533A02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w:t>
            </w:r>
          </w:p>
        </w:tc>
        <w:tc>
          <w:tcPr>
            <w:tcW w:w="2236" w:type="dxa"/>
          </w:tcPr>
          <w:p w14:paraId="738F2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4D32CF65" w14:textId="77777777">
        <w:tc>
          <w:tcPr>
            <w:tcW w:w="3936" w:type="dxa"/>
            <w:tcBorders>
              <w:bottom w:val="single" w:sz="12" w:space="0" w:color="auto"/>
            </w:tcBorders>
          </w:tcPr>
          <w:p w14:paraId="16211D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w:t>
            </w:r>
          </w:p>
        </w:tc>
        <w:tc>
          <w:tcPr>
            <w:tcW w:w="2236" w:type="dxa"/>
            <w:tcBorders>
              <w:bottom w:val="single" w:sz="12" w:space="0" w:color="auto"/>
            </w:tcBorders>
          </w:tcPr>
          <w:p w14:paraId="0F6FA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2236" w:type="dxa"/>
            <w:tcBorders>
              <w:bottom w:val="single" w:sz="12" w:space="0" w:color="auto"/>
            </w:tcBorders>
          </w:tcPr>
          <w:p w14:paraId="4925E0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r>
    </w:tbl>
    <w:p w14:paraId="314B3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D0C3E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Пе-2 № 6/424, выпущенный в январе 1945, показал лучшие данные по сравнению с Пе-2 № 14/350, проходившим испытания в октябре 1944, но он все еще имеет большое количество дефектов по стрелковому вооружению и неустраненных дефектов, неоднократно отмечаемых соответствующими испытаниями</w:t>
      </w:r>
    </w:p>
    <w:p w14:paraId="49D37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Верхняя стрелковая установка ш ВУБ-1 под УБТ-12,7мм не обеспечивает удобство и безопасность работы пулемет, вследствие большого количества задержек в системе питания</w:t>
      </w:r>
    </w:p>
    <w:p w14:paraId="4F90F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Невозможно окрыть входной люк из кабины пилота</w:t>
      </w:r>
    </w:p>
    <w:p w14:paraId="0704F1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Отсутствует противокапотажная рама</w:t>
      </w:r>
    </w:p>
    <w:p w14:paraId="63AD7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Обшивка с-та имеет вмятины, покраска - плохая</w:t>
      </w:r>
    </w:p>
    <w:p w14:paraId="10FB3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Нач. 1 У м/п/п Паукер 6 марта, Нач. 1 У гмиас Сафонов 7 марта и Зам. Нач. ГУ ИАС Лосюков 10 марта 1945 (806,8).</w:t>
      </w:r>
    </w:p>
    <w:p w14:paraId="1033DF42" w14:textId="77777777" w:rsidR="00665165" w:rsidRPr="00F90EAE" w:rsidRDefault="00665165" w:rsidP="00F90EAE">
      <w:pPr>
        <w:autoSpaceDE w:val="0"/>
        <w:autoSpaceDN w:val="0"/>
        <w:adjustRightInd w:val="0"/>
        <w:jc w:val="both"/>
        <w:rPr>
          <w:color w:val="000000" w:themeColor="text1"/>
          <w:sz w:val="16"/>
          <w:szCs w:val="16"/>
        </w:rPr>
      </w:pPr>
    </w:p>
    <w:p w14:paraId="3108A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года вышел приказ НКАП № 95</w:t>
      </w:r>
    </w:p>
    <w:p w14:paraId="34FA04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проведения второго этапа летных испытаний на заводе № 22 на продолжительность и выявления надежности самолета Пе-8 с моторами АЧ-30Б в пассажирском варианте, назначить летчиком-испытателем майора Говорова Б.Г. (8962).</w:t>
      </w:r>
    </w:p>
    <w:p w14:paraId="769359F5" w14:textId="77777777" w:rsidR="00665165" w:rsidRPr="00F90EAE" w:rsidRDefault="00665165" w:rsidP="00F90EAE">
      <w:pPr>
        <w:autoSpaceDE w:val="0"/>
        <w:autoSpaceDN w:val="0"/>
        <w:adjustRightInd w:val="0"/>
        <w:jc w:val="both"/>
        <w:rPr>
          <w:color w:val="000000" w:themeColor="text1"/>
          <w:sz w:val="16"/>
          <w:szCs w:val="16"/>
        </w:rPr>
      </w:pPr>
    </w:p>
    <w:p w14:paraId="0DEF13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после получения летного мотора первый опытный экземпляр самолета И-250 передали на заводские испытания (6000).</w:t>
      </w:r>
    </w:p>
    <w:p w14:paraId="27D671DE" w14:textId="77777777" w:rsidR="00665165" w:rsidRPr="00F90EAE" w:rsidRDefault="00665165" w:rsidP="00F90EAE">
      <w:pPr>
        <w:autoSpaceDE w:val="0"/>
        <w:autoSpaceDN w:val="0"/>
        <w:adjustRightInd w:val="0"/>
        <w:jc w:val="both"/>
        <w:rPr>
          <w:color w:val="000000" w:themeColor="text1"/>
          <w:sz w:val="16"/>
          <w:szCs w:val="16"/>
        </w:rPr>
      </w:pPr>
    </w:p>
    <w:p w14:paraId="68DB0A7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62C851E" w14:textId="77777777" w:rsidR="00665165" w:rsidRPr="00F90EAE" w:rsidRDefault="00665165" w:rsidP="00F90EAE">
      <w:pPr>
        <w:autoSpaceDE w:val="0"/>
        <w:autoSpaceDN w:val="0"/>
        <w:adjustRightInd w:val="0"/>
        <w:jc w:val="both"/>
        <w:rPr>
          <w:iCs/>
          <w:color w:val="000000" w:themeColor="text1"/>
          <w:sz w:val="16"/>
          <w:szCs w:val="16"/>
        </w:rPr>
      </w:pPr>
    </w:p>
    <w:p w14:paraId="7998E7ED" w14:textId="77777777" w:rsidR="00934A89" w:rsidRPr="00F90EAE" w:rsidRDefault="00934A89" w:rsidP="00F90EAE">
      <w:pPr>
        <w:jc w:val="both"/>
        <w:rPr>
          <w:color w:val="0070C0"/>
          <w:sz w:val="16"/>
          <w:szCs w:val="16"/>
        </w:rPr>
      </w:pPr>
      <w:r w:rsidRPr="00F90EAE">
        <w:rPr>
          <w:color w:val="0070C0"/>
          <w:sz w:val="16"/>
          <w:szCs w:val="16"/>
        </w:rPr>
        <w:t>С 15 марта 1945 на СУ-100 устанавливаются телескопические прицелы ТШ-19 с обогревом (19927).</w:t>
      </w:r>
    </w:p>
    <w:p w14:paraId="7A066508" w14:textId="77777777" w:rsidR="00934A89" w:rsidRPr="00F90EAE" w:rsidRDefault="00934A89" w:rsidP="00F90EAE">
      <w:pPr>
        <w:jc w:val="both"/>
        <w:rPr>
          <w:color w:val="0070C0"/>
          <w:sz w:val="16"/>
          <w:szCs w:val="16"/>
        </w:rPr>
      </w:pPr>
    </w:p>
    <w:p w14:paraId="64FB91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Распоряжение ГКО № 7834. Об обеспечении поставками литья производства корпусов 82 мм мин на заводе "Красная Этна" НКСМ. РГАНИР, Фонд ГКО, д. 381, лл. 110-111 (11012).</w:t>
      </w:r>
    </w:p>
    <w:p w14:paraId="21FF93A0" w14:textId="77777777" w:rsidR="00665165" w:rsidRPr="00F90EAE" w:rsidRDefault="00665165" w:rsidP="00F90EAE">
      <w:pPr>
        <w:autoSpaceDE w:val="0"/>
        <w:autoSpaceDN w:val="0"/>
        <w:adjustRightInd w:val="0"/>
        <w:jc w:val="both"/>
        <w:rPr>
          <w:color w:val="000000" w:themeColor="text1"/>
          <w:sz w:val="16"/>
          <w:szCs w:val="16"/>
        </w:rPr>
      </w:pPr>
    </w:p>
    <w:p w14:paraId="64CF1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Распоряжение ГКО № 7835. О выделении Главному управлению ремонта танков КА 50 дизелей В-2. РГАНИР, Фонд ГКО, д. 381, лл. 112 (11012).</w:t>
      </w:r>
    </w:p>
    <w:p w14:paraId="77FFC1FC" w14:textId="77777777" w:rsidR="00665165" w:rsidRPr="00F90EAE" w:rsidRDefault="00665165" w:rsidP="00F90EAE">
      <w:pPr>
        <w:autoSpaceDE w:val="0"/>
        <w:autoSpaceDN w:val="0"/>
        <w:adjustRightInd w:val="0"/>
        <w:jc w:val="both"/>
        <w:rPr>
          <w:color w:val="000000" w:themeColor="text1"/>
          <w:sz w:val="16"/>
          <w:szCs w:val="16"/>
        </w:rPr>
      </w:pPr>
    </w:p>
    <w:p w14:paraId="29C1D3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Постановление ГКО № 7836 Об оказании неотложной помощи металлом заводам, изготовляющим взрыватели. РГАНИР, Фонд ГКО, д. 381, лл. 113-115, 116-126 (11012).</w:t>
      </w:r>
    </w:p>
    <w:p w14:paraId="0BD56E93" w14:textId="77777777" w:rsidR="00665165" w:rsidRPr="00F90EAE" w:rsidRDefault="00665165" w:rsidP="00F90EAE">
      <w:pPr>
        <w:autoSpaceDE w:val="0"/>
        <w:autoSpaceDN w:val="0"/>
        <w:adjustRightInd w:val="0"/>
        <w:jc w:val="both"/>
        <w:rPr>
          <w:color w:val="000000" w:themeColor="text1"/>
          <w:sz w:val="16"/>
          <w:szCs w:val="16"/>
        </w:rPr>
      </w:pPr>
    </w:p>
    <w:p w14:paraId="15FFB9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Постановление ГКО № 7837 О проведении противопаводковых мероприятий на Нижне-Свирской ГЭС. РГАНИР, Фонд ГКО, д. 381, лл. 127 (11012).</w:t>
      </w:r>
    </w:p>
    <w:p w14:paraId="0E708B0F" w14:textId="77777777" w:rsidR="00665165" w:rsidRPr="00F90EAE" w:rsidRDefault="00665165" w:rsidP="00F90EAE">
      <w:pPr>
        <w:autoSpaceDE w:val="0"/>
        <w:autoSpaceDN w:val="0"/>
        <w:adjustRightInd w:val="0"/>
        <w:jc w:val="both"/>
        <w:rPr>
          <w:color w:val="000000" w:themeColor="text1"/>
          <w:sz w:val="16"/>
          <w:szCs w:val="16"/>
        </w:rPr>
      </w:pPr>
    </w:p>
    <w:p w14:paraId="0E937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Постановление ГКО № 7838 О проведении противопаводковых мероприятий на Дзауджикауской гидроэлектростанции. РГАНИР, Фонд ГКО, д. 381, лл. 128-129 (11012).</w:t>
      </w:r>
    </w:p>
    <w:p w14:paraId="49E53E80" w14:textId="77777777" w:rsidR="00665165" w:rsidRPr="00F90EAE" w:rsidRDefault="00665165" w:rsidP="00F90EAE">
      <w:pPr>
        <w:autoSpaceDE w:val="0"/>
        <w:autoSpaceDN w:val="0"/>
        <w:adjustRightInd w:val="0"/>
        <w:jc w:val="both"/>
        <w:rPr>
          <w:color w:val="000000" w:themeColor="text1"/>
          <w:sz w:val="16"/>
          <w:szCs w:val="16"/>
        </w:rPr>
      </w:pPr>
    </w:p>
    <w:p w14:paraId="7A9B9F5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марта 1945 вышло Распоряжение ГКО № 7839 [О дополнительном выделении НКВД угля в марте 1945 г.] (7316, 130).</w:t>
      </w:r>
    </w:p>
    <w:p w14:paraId="3F3CF3E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0666F7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марта 1945 вышло Распоряжение ГКО № 7840 [О мерах по обеспечению бункеровки судов, отправляемых за импортом.] (7316, 131).</w:t>
      </w:r>
    </w:p>
    <w:p w14:paraId="14CDF9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CDDE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вышло Распоряжение ГКО № 7841. О мерах по разгрузке комбината №179 НКБ от скопившихся готовых корпусов 122 мм снарядов. РГАНИР, Фонд ГКО, д. 381, лл. 132-134 (11012).</w:t>
      </w:r>
    </w:p>
    <w:p w14:paraId="28024384" w14:textId="77777777" w:rsidR="00665165" w:rsidRPr="00F90EAE" w:rsidRDefault="00665165" w:rsidP="00F90EAE">
      <w:pPr>
        <w:autoSpaceDE w:val="0"/>
        <w:autoSpaceDN w:val="0"/>
        <w:adjustRightInd w:val="0"/>
        <w:jc w:val="both"/>
        <w:rPr>
          <w:color w:val="000000" w:themeColor="text1"/>
          <w:sz w:val="16"/>
          <w:szCs w:val="16"/>
        </w:rPr>
      </w:pPr>
    </w:p>
    <w:p w14:paraId="79E4D92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марта 1945 И-250 № 1 передали на заводские испытания (6471, 6).</w:t>
      </w:r>
    </w:p>
    <w:p w14:paraId="5B6C4B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AC3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Ждановцы спустили на воду 10-й ТЩ типа МТ-2 (10671).</w:t>
      </w:r>
    </w:p>
    <w:p w14:paraId="3D8979FF" w14:textId="77777777" w:rsidR="00665165" w:rsidRPr="00F90EAE" w:rsidRDefault="00665165" w:rsidP="00F90EAE">
      <w:pPr>
        <w:autoSpaceDE w:val="0"/>
        <w:autoSpaceDN w:val="0"/>
        <w:adjustRightInd w:val="0"/>
        <w:jc w:val="both"/>
        <w:rPr>
          <w:color w:val="000000" w:themeColor="text1"/>
          <w:sz w:val="16"/>
          <w:szCs w:val="16"/>
        </w:rPr>
      </w:pPr>
    </w:p>
    <w:p w14:paraId="5E1A13B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973126C" w14:textId="77777777" w:rsidR="00665165" w:rsidRPr="00F90EAE" w:rsidRDefault="00665165" w:rsidP="00F90EAE">
      <w:pPr>
        <w:autoSpaceDE w:val="0"/>
        <w:autoSpaceDN w:val="0"/>
        <w:adjustRightInd w:val="0"/>
        <w:jc w:val="both"/>
        <w:rPr>
          <w:iCs/>
          <w:color w:val="000000" w:themeColor="text1"/>
          <w:sz w:val="16"/>
          <w:szCs w:val="16"/>
        </w:rPr>
      </w:pPr>
    </w:p>
    <w:p w14:paraId="3E9682E4" w14:textId="77777777" w:rsidR="00524C9D" w:rsidRPr="00F90EAE" w:rsidRDefault="00524C9D" w:rsidP="00F90EAE">
      <w:pPr>
        <w:jc w:val="both"/>
        <w:rPr>
          <w:color w:val="000000" w:themeColor="text1"/>
          <w:sz w:val="16"/>
          <w:szCs w:val="16"/>
        </w:rPr>
      </w:pPr>
      <w:r w:rsidRPr="00F90EAE">
        <w:rPr>
          <w:bCs/>
          <w:color w:val="000000" w:themeColor="text1"/>
          <w:sz w:val="16"/>
          <w:szCs w:val="16"/>
        </w:rPr>
        <w:t>15 марта</w:t>
      </w:r>
      <w:r w:rsidRPr="00F90EAE">
        <w:rPr>
          <w:color w:val="000000" w:themeColor="text1"/>
          <w:sz w:val="16"/>
          <w:szCs w:val="16"/>
        </w:rPr>
        <w:t xml:space="preserve"> в 1945 году оперативная сводка Совинформбюро:</w:t>
      </w:r>
    </w:p>
    <w:p w14:paraId="2F282D83" w14:textId="77777777" w:rsidR="00524C9D" w:rsidRPr="00F90EAE" w:rsidRDefault="00524C9D" w:rsidP="00F90EAE">
      <w:pPr>
        <w:jc w:val="both"/>
        <w:rPr>
          <w:color w:val="000000" w:themeColor="text1"/>
          <w:sz w:val="16"/>
          <w:szCs w:val="16"/>
        </w:rPr>
      </w:pPr>
      <w:r w:rsidRPr="00F90EAE">
        <w:rPr>
          <w:color w:val="000000" w:themeColor="text1"/>
          <w:sz w:val="16"/>
          <w:szCs w:val="16"/>
        </w:rPr>
        <w:t>«В течение 15 марта юго-западнее Кенигсберга войска 3-го Белорусского фронта, продолжая наступление, вышли на побережье залива Фриш-Гаф и заняли населённые пункты Вангитт, Дюмпелькруг, Пиннау, Албенен, Айнзам. Населённый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с выходом на побережье залива Фриш-Гаф наши войска расчленили восточно-прусскую группу войск немцев на две части. Одновременно войска фронта заняли населённые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Фридрихсруз, Фридхевхен, Фогельзанг и железнодорожную станцию Коббельбуде. В боях за 14 марта в этом районе взято в плен более 1.000 немецких солдат и офицеров.</w:t>
      </w:r>
    </w:p>
    <w:p w14:paraId="3366B569" w14:textId="77777777" w:rsidR="00524C9D" w:rsidRPr="00F90EAE" w:rsidRDefault="00524C9D" w:rsidP="00F90EAE">
      <w:pPr>
        <w:jc w:val="both"/>
        <w:rPr>
          <w:color w:val="000000" w:themeColor="text1"/>
          <w:sz w:val="16"/>
          <w:szCs w:val="16"/>
        </w:rPr>
      </w:pPr>
      <w:r w:rsidRPr="00F90EAE">
        <w:rPr>
          <w:color w:val="000000" w:themeColor="text1"/>
          <w:sz w:val="16"/>
          <w:szCs w:val="16"/>
        </w:rPr>
        <w:t>В Кольберге продолжались бои по уничтожению гарнизона противника, блокированного в восточной части города.</w:t>
      </w:r>
    </w:p>
    <w:p w14:paraId="064A472D"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и восточнее озера Балатон, каши войска отбили атаки пехоты и танков противника. В боях за 14 марта в этом районе огнём нашей артиллерии уничтожено и подбито 50 немецких танков и самоходных орудий.</w:t>
      </w:r>
    </w:p>
    <w:p w14:paraId="6A994E81" w14:textId="77777777" w:rsidR="00524C9D" w:rsidRPr="00F90EAE" w:rsidRDefault="00524C9D"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16659DCE" w14:textId="77777777" w:rsidR="00524C9D" w:rsidRPr="00F90EAE" w:rsidRDefault="00524C9D" w:rsidP="00F90EAE">
      <w:pPr>
        <w:jc w:val="both"/>
        <w:rPr>
          <w:color w:val="000000" w:themeColor="text1"/>
          <w:sz w:val="16"/>
          <w:szCs w:val="16"/>
        </w:rPr>
      </w:pPr>
      <w:r w:rsidRPr="00F90EAE">
        <w:rPr>
          <w:color w:val="000000" w:themeColor="text1"/>
          <w:sz w:val="16"/>
          <w:szCs w:val="16"/>
        </w:rPr>
        <w:t>За 14 марта на всех фронтах подбито и уничтожено 90 немецких танков и самоходных орудий. В воздушных боях и огнём зенитной артиллерии сбито 18 самолётов противника.</w:t>
      </w:r>
    </w:p>
    <w:p w14:paraId="5363B3BD" w14:textId="77777777" w:rsidR="00524C9D" w:rsidRPr="00F90EAE" w:rsidRDefault="00524C9D" w:rsidP="00F90EAE">
      <w:pPr>
        <w:jc w:val="both"/>
        <w:rPr>
          <w:color w:val="000000" w:themeColor="text1"/>
          <w:sz w:val="16"/>
          <w:szCs w:val="16"/>
        </w:rPr>
      </w:pPr>
      <w:r w:rsidRPr="00F90EAE">
        <w:rPr>
          <w:color w:val="000000" w:themeColor="text1"/>
          <w:sz w:val="16"/>
          <w:szCs w:val="16"/>
        </w:rPr>
        <w:t>Удар нашей авиации по железнодорожному узлу и аэродрому Веспрем в Венгрии</w:t>
      </w:r>
    </w:p>
    <w:p w14:paraId="32F33393" w14:textId="77777777" w:rsidR="00524C9D" w:rsidRPr="00F90EAE" w:rsidRDefault="00524C9D" w:rsidP="00F90EAE">
      <w:pPr>
        <w:jc w:val="both"/>
        <w:rPr>
          <w:color w:val="000000" w:themeColor="text1"/>
          <w:sz w:val="16"/>
          <w:szCs w:val="16"/>
        </w:rPr>
      </w:pPr>
      <w:r w:rsidRPr="00F90EAE">
        <w:rPr>
          <w:color w:val="000000" w:themeColor="text1"/>
          <w:sz w:val="16"/>
          <w:szCs w:val="16"/>
        </w:rPr>
        <w:t>В ночь на 15 марта наши тяжёлые бомбардировщики нанесли удар по железнодорожному узлу и аэродрому Веспрем в Венгрии. В результате бомбардировки на железнодорожном узле и аэродроме возникли пожары, сопровождавшиеся взрывами.</w:t>
      </w:r>
    </w:p>
    <w:p w14:paraId="370E670B" w14:textId="77777777" w:rsidR="00524C9D" w:rsidRPr="00F90EAE" w:rsidRDefault="00524C9D" w:rsidP="00F90EAE">
      <w:pPr>
        <w:jc w:val="both"/>
        <w:rPr>
          <w:color w:val="000000" w:themeColor="text1"/>
          <w:sz w:val="16"/>
          <w:szCs w:val="16"/>
        </w:rPr>
      </w:pPr>
      <w:r w:rsidRPr="00F90EAE">
        <w:rPr>
          <w:color w:val="000000" w:themeColor="text1"/>
          <w:sz w:val="16"/>
          <w:szCs w:val="16"/>
        </w:rPr>
        <w:t>В Восточной Пруссии, юго-западнее Кенигсберга, наши войска продолжали наступление. Упорные бои произошли в районе опорного пункта немецкой обороны Хайде Вальдбург, расположенного на побережье залива Фриш-Гаф. Противник, стремясь восстановить связь между Кенигсбергским гарнизоном и группой своих войск, действующей юго-западнее Кенигсберга, предпринял ряд ожесточенных контратак. Населённый пункт Хайде Вальдбург несколько раз переходил из рук в руки. Сегодня наши войска стремительным ударом сломили вражеское сопротивление и на значительном участке вышли к заливу Фриш-Гаф. Отдельные группы немцев, прижатые к заливу, сложили оружие и сдались в плен. На другом участке советские части в результате упорных боёв, переходивших в рукопашные схватки, заняли ряд населенных пунктов. За день боёв уничтожено свыше 4.500 солдат и офицеров противника. Подбито и сожжено 29 немецких танков и самоходных орудий, уничтожено 108 полевых орудий, 50 миномётов и 280 пулемётов. Нашими бойцами захвачено у немцев много вооружения и военного имущества.</w:t>
      </w:r>
    </w:p>
    <w:p w14:paraId="3E93E644" w14:textId="77777777" w:rsidR="00524C9D" w:rsidRPr="00F90EAE" w:rsidRDefault="00524C9D" w:rsidP="00F90EAE">
      <w:pPr>
        <w:jc w:val="both"/>
        <w:rPr>
          <w:color w:val="000000" w:themeColor="text1"/>
          <w:sz w:val="16"/>
          <w:szCs w:val="16"/>
        </w:rPr>
      </w:pPr>
      <w:r w:rsidRPr="00F90EAE">
        <w:rPr>
          <w:color w:val="000000" w:themeColor="text1"/>
          <w:sz w:val="16"/>
          <w:szCs w:val="16"/>
        </w:rPr>
        <w:t>В Кольберге наши войска вели бои по ликвидации немецкого гарнизона, блокированного в восточной части города. Противник контратаками пытается удержать подступы к гавани, в которой находится несколько судов. Советские артиллеристы потопили немецкий транспорт, пытавшийся выйти из гавани. Кроме того, четыре баржи подожжены зажигательными снарядами и потонули. Штурмуя здания, превращенные в узлы сопротивления, наши части очищают от гитлеровцев один квартал за другим. Противник несёт тяжёлые потери. В результате стремительной атаки занято железнодорожное депо. Захвачено 10 паровозов и 400 вагонов с различными грузами. Огнём пехотного оружия сбито 2 немецких гидросамолёта. Взято в плен свыше 600 немцев.</w:t>
      </w:r>
    </w:p>
    <w:p w14:paraId="4AF58D4D" w14:textId="77777777" w:rsidR="00524C9D" w:rsidRPr="00F90EAE" w:rsidRDefault="00524C9D" w:rsidP="00F90EAE">
      <w:pPr>
        <w:jc w:val="both"/>
        <w:rPr>
          <w:color w:val="000000" w:themeColor="text1"/>
          <w:sz w:val="16"/>
          <w:szCs w:val="16"/>
        </w:rPr>
      </w:pPr>
      <w:r w:rsidRPr="00F90EAE">
        <w:rPr>
          <w:color w:val="000000" w:themeColor="text1"/>
          <w:sz w:val="16"/>
          <w:szCs w:val="16"/>
        </w:rPr>
        <w:lastRenderedPageBreak/>
        <w:t>В Венгрии северо-восточнее и восточнее озера Балатон наши войска отбили вражеские атаки. На одном участке немцы ввели в бой до сотни танков и мотопехоту. После многочасового боя противник был отброшен на исходный рубеж. На других участках гитлеровцы, встреченные сильным артиллерийским огнём, повернули обратно, не достигнув наших позиций. Стрелковая рота старшего лейтенанта Краснослободцева, отражая вражеские атаки, уничтожила 3 немецких танка и до роты гитлеровцев. Орудийный расчёт гвардии, старшего сержанта Милованова подбил 3 вражеских танка. Рядовой Борис Яхонтов противотанковыми гранатами подорвал 2 немецких танка. Связист гвардии сержант Григорий Максименко, исправив обрыв на линии связи, возвращался в своё подразделение. Он заметил, что разорвавшийся вражеский снаряд вывел из строя расчёт нашего орудия. Максименко подбежал к орудию и открыл огонь по противнику. Меткими выстрелами он подбил два немецких самоходных орудия.</w:t>
      </w:r>
    </w:p>
    <w:p w14:paraId="493AB191" w14:textId="77777777" w:rsidR="00524C9D" w:rsidRPr="00F90EAE" w:rsidRDefault="00524C9D" w:rsidP="00F90EAE">
      <w:pPr>
        <w:jc w:val="both"/>
        <w:rPr>
          <w:color w:val="000000" w:themeColor="text1"/>
          <w:sz w:val="16"/>
          <w:szCs w:val="16"/>
        </w:rPr>
      </w:pPr>
      <w:r w:rsidRPr="00F90EAE">
        <w:rPr>
          <w:color w:val="000000" w:themeColor="text1"/>
          <w:sz w:val="16"/>
          <w:szCs w:val="16"/>
        </w:rPr>
        <w:t>Авиации Краснознамённого Балтийского флота атаковала суда противника в южной части Балтийского моря. Прямыми попаданиями бомб потоплены пять немецких транспортов общим водоизмещением более 30 тысяч тонн.</w:t>
      </w:r>
    </w:p>
    <w:p w14:paraId="6BBAE569" w14:textId="77777777" w:rsidR="00524C9D" w:rsidRPr="00F90EAE" w:rsidRDefault="00524C9D" w:rsidP="00F90EAE">
      <w:pPr>
        <w:jc w:val="both"/>
        <w:rPr>
          <w:color w:val="000000" w:themeColor="text1"/>
          <w:sz w:val="16"/>
          <w:szCs w:val="16"/>
        </w:rPr>
      </w:pPr>
      <w:r w:rsidRPr="00F90EAE">
        <w:rPr>
          <w:color w:val="000000" w:themeColor="text1"/>
          <w:sz w:val="16"/>
          <w:szCs w:val="16"/>
        </w:rPr>
        <w:t>Советское Информбюро 1 марта опубликовало приказ командующего 2-й немецкой армией генерал-полковника Вейса о мерах борьбы против трусов, дезертиров и пораженцев. Ростом дезертирства обеспокоен не только командующий 2-й немецкой армией. Подобные же заботы одолевают и других немецких генералов. На днях наши войска захватили приказ нового командующего северной группой немецких армий генерал-полковника Рендулица. В приказе говорится: «Всякий солдат, который в ходе боевых действий отбился от своего подразделения, должен немедленно примкнуть к ближайшей части в зоне боёв. Такую часть легко найти во всякое время по шуму боя. Солдат, не сделавший этого, является дезертиром. Солдаты всех родов войск, задержанные в населённых пунктах, в обозах или среди беженцев и заявляющие, что они якобы ищут свою часть, подлежат расстрелу. Для немедленного рассмотрения дел и безотлагательного приведения приговора в исполнение учреждаются «летучие военно-полевые суды».</w:t>
      </w:r>
    </w:p>
    <w:p w14:paraId="7BFFCFE6" w14:textId="77777777" w:rsidR="00524C9D" w:rsidRPr="00F90EAE" w:rsidRDefault="00524C9D" w:rsidP="00F90EAE">
      <w:pPr>
        <w:jc w:val="both"/>
        <w:rPr>
          <w:color w:val="000000" w:themeColor="text1"/>
          <w:sz w:val="16"/>
          <w:szCs w:val="16"/>
        </w:rPr>
      </w:pPr>
      <w:r w:rsidRPr="00F90EAE">
        <w:rPr>
          <w:color w:val="000000" w:themeColor="text1"/>
          <w:sz w:val="16"/>
          <w:szCs w:val="16"/>
        </w:rPr>
        <w:t>Немецкие «летучие военно-полевые суды» заседают день и ночь и пачками выносят смертные приговоры. И все же они не успевают рассматривать все дела о дезертирстве. Поэтому нацистские офицеры зачастую расстреливают солдат без всякого суда и следствия. Пленный солдат 234-го полка 56-й немецкой пехотной дивизии Иозеф Дуллинг рассказал: «22-го февраля в нашем батальоне были расстреляны без суда 15 немецких солдат за то, что они оставили позиции» (15069).</w:t>
      </w:r>
    </w:p>
    <w:p w14:paraId="1FD793FB" w14:textId="77777777" w:rsidR="00524C9D" w:rsidRPr="00F90EAE" w:rsidRDefault="00524C9D" w:rsidP="00F90EAE">
      <w:pPr>
        <w:jc w:val="both"/>
        <w:rPr>
          <w:color w:val="000000" w:themeColor="text1"/>
          <w:sz w:val="16"/>
          <w:szCs w:val="16"/>
        </w:rPr>
      </w:pPr>
    </w:p>
    <w:p w14:paraId="2C54CD8A" w14:textId="77777777" w:rsidR="00524C9D" w:rsidRPr="00F90EAE" w:rsidRDefault="00524C9D" w:rsidP="00F90EAE">
      <w:pPr>
        <w:jc w:val="both"/>
        <w:rPr>
          <w:color w:val="000000" w:themeColor="text1"/>
          <w:sz w:val="16"/>
          <w:szCs w:val="16"/>
        </w:rPr>
      </w:pPr>
      <w:r w:rsidRPr="00F90EAE">
        <w:rPr>
          <w:bCs/>
          <w:color w:val="000000" w:themeColor="text1"/>
          <w:sz w:val="16"/>
          <w:szCs w:val="16"/>
        </w:rPr>
        <w:t>15 марта</w:t>
      </w:r>
      <w:r w:rsidRPr="00F90EAE">
        <w:rPr>
          <w:color w:val="000000" w:themeColor="text1"/>
          <w:sz w:val="16"/>
          <w:szCs w:val="16"/>
        </w:rPr>
        <w:t xml:space="preserve"> в 1945 году юго-западнее Кенигсберга войска 3-го Белорусского фронта вышли на побережье залива Фриш-Гаф и заняли населенные пункты Вангитт, Дюмпелькруг, Пиннау, Албенен, Айнзам. Населенный пункт Хайде Вальдбург, расположенный в восьми километрах юго-западнее Кенигсберга, несколько раз переходил из рук в руки и вновь занят нашими войсками. Таким образом, наши войска расчленили восточно-прусскую группу войск немцев на две части. Одновременно войска фронта заняли населенные пункты Коббельбуде, Золлэкен, Первильтен, Варгиттен, Кеммерсхофен, Альбенорт, Грюнвер, Альбенек, Бладиау, Гросс Редерсдорф, Шенраде, Маринхеэ, Хермсдорф, Кальвальде, Айзенберг, Фридрихсруэ, Фридхевхен, Фогельзанг и железнодорожную станцию Коббельбуде (15069).</w:t>
      </w:r>
    </w:p>
    <w:p w14:paraId="4C5DFA4E" w14:textId="77777777" w:rsidR="00524C9D" w:rsidRPr="00F90EAE" w:rsidRDefault="00524C9D" w:rsidP="00F90EAE">
      <w:pPr>
        <w:jc w:val="both"/>
        <w:rPr>
          <w:color w:val="000000" w:themeColor="text1"/>
          <w:sz w:val="16"/>
          <w:szCs w:val="16"/>
        </w:rPr>
      </w:pPr>
    </w:p>
    <w:p w14:paraId="4C584D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марта 1945 Советские (4-я гвардейская, 26-я, 27-я, 57-я и 17-я воздушная армии) и болгарские (1-я армия) войска под общим командованием маршала Ф. И. Толбухина полностью остановили продвижение 6-й немецкой танковой армии СС под командованием обергруппенфюрера СС ''Зеппа'' Дитриха в районе озера Балатон в Венгрии. Последняя крупная оборонительная операция советских войск во Второй Мировой войне (4963 ).</w:t>
      </w:r>
    </w:p>
    <w:p w14:paraId="72A7551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878E6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15 по 31 марта 1945 1УФ (И.С.Конев) проводил Верхнесилезскую наступательную операцию - вышли в предгорья Судет (3398,112).</w:t>
      </w:r>
    </w:p>
    <w:p w14:paraId="712C6937" w14:textId="77777777" w:rsidR="00665165" w:rsidRPr="00F90EAE" w:rsidRDefault="00665165" w:rsidP="00F90EAE">
      <w:pPr>
        <w:autoSpaceDE w:val="0"/>
        <w:autoSpaceDN w:val="0"/>
        <w:adjustRightInd w:val="0"/>
        <w:jc w:val="both"/>
        <w:rPr>
          <w:color w:val="000000" w:themeColor="text1"/>
          <w:sz w:val="16"/>
          <w:szCs w:val="16"/>
        </w:rPr>
      </w:pPr>
    </w:p>
    <w:p w14:paraId="4FCD54B9" w14:textId="77777777" w:rsidR="00524C9D" w:rsidRPr="00F90EAE" w:rsidRDefault="00524C9D" w:rsidP="00F90EAE">
      <w:pPr>
        <w:jc w:val="both"/>
        <w:rPr>
          <w:color w:val="000000" w:themeColor="text1"/>
          <w:sz w:val="16"/>
          <w:szCs w:val="16"/>
        </w:rPr>
      </w:pPr>
      <w:r w:rsidRPr="00F90EAE">
        <w:rPr>
          <w:bCs/>
          <w:color w:val="000000" w:themeColor="text1"/>
          <w:sz w:val="16"/>
          <w:szCs w:val="16"/>
        </w:rPr>
        <w:t>15 марта</w:t>
      </w:r>
      <w:r w:rsidRPr="00F90EAE">
        <w:rPr>
          <w:color w:val="000000" w:themeColor="text1"/>
          <w:sz w:val="16"/>
          <w:szCs w:val="16"/>
        </w:rPr>
        <w:t xml:space="preserve"> в 1945 году началась Верхне-Силезская операция советских войск. В январе - первой половине апреля 1945 года советскими войсками были осуществлены Восточно-Прусская, Висло-Одерская, Венская, Восточно-Померанская, Нижне-Силезская и Верхне-Силезская наступательные операции. Их результатом стал разгром главных военных группировок немецко-фашистских войск и освобождение почти всей Польши, значительной части Чехословакии, всей Венгрии, восточной части Австрии с ее столицей Веной. Советские войска вышли к Одеру.Верхне-Силезская наступательная операция (15-31 марта) завершилась полным разгромом оппельнско-ратиборской группировки гитлеровцев. Противник потерял только убитыми около 30 тысяч солдат, унтер-офицеров и офицеров. 15 тысяч гитлеровцев советские войска взяли в плен, и преимущественно в оппельнском котле. Окруженная в районе Оппельна группировка гитлеровцев была разгромлена в рекордно короткий срок (15069).</w:t>
      </w:r>
    </w:p>
    <w:p w14:paraId="13380CDC" w14:textId="77777777" w:rsidR="00524C9D" w:rsidRPr="00F90EAE" w:rsidRDefault="00524C9D" w:rsidP="00F90EAE">
      <w:pPr>
        <w:jc w:val="both"/>
        <w:rPr>
          <w:color w:val="000000" w:themeColor="text1"/>
          <w:sz w:val="16"/>
          <w:szCs w:val="16"/>
        </w:rPr>
      </w:pPr>
    </w:p>
    <w:p w14:paraId="68520A9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15th, 1945: The Soviet 1st Ukrainian Front begins an offensive in the Ratibor area of Upper Silesia. In the West, attacks by troops of the US First Army to expand the Remagen bridgehead meet with little success (3819).</w:t>
      </w:r>
    </w:p>
    <w:p w14:paraId="2E6E402B" w14:textId="77777777" w:rsidR="00665165" w:rsidRPr="00F90EAE" w:rsidRDefault="00665165" w:rsidP="00F90EAE">
      <w:pPr>
        <w:autoSpaceDE w:val="0"/>
        <w:autoSpaceDN w:val="0"/>
        <w:adjustRightInd w:val="0"/>
        <w:jc w:val="both"/>
        <w:rPr>
          <w:color w:val="000000" w:themeColor="text1"/>
          <w:sz w:val="16"/>
          <w:szCs w:val="16"/>
          <w:lang w:val="en-US"/>
        </w:rPr>
      </w:pPr>
    </w:p>
    <w:p w14:paraId="56A07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марта 1945 1УФ начал наступление в районе Ратибора в Верхней Силезии (3819).</w:t>
      </w:r>
    </w:p>
    <w:p w14:paraId="6472894F" w14:textId="77777777" w:rsidR="00665165" w:rsidRPr="00F90EAE" w:rsidRDefault="00665165" w:rsidP="00F90EAE">
      <w:pPr>
        <w:autoSpaceDE w:val="0"/>
        <w:autoSpaceDN w:val="0"/>
        <w:adjustRightInd w:val="0"/>
        <w:jc w:val="both"/>
        <w:rPr>
          <w:color w:val="000000" w:themeColor="text1"/>
          <w:sz w:val="16"/>
          <w:szCs w:val="16"/>
        </w:rPr>
      </w:pPr>
    </w:p>
    <w:p w14:paraId="190A8FD7"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53CF369" w14:textId="77777777" w:rsidR="00524C9D" w:rsidRPr="00F90EAE" w:rsidRDefault="00524C9D" w:rsidP="00F90EAE">
      <w:pPr>
        <w:autoSpaceDE w:val="0"/>
        <w:autoSpaceDN w:val="0"/>
        <w:adjustRightInd w:val="0"/>
        <w:jc w:val="both"/>
        <w:rPr>
          <w:iCs/>
          <w:color w:val="000000" w:themeColor="text1"/>
          <w:sz w:val="16"/>
          <w:szCs w:val="16"/>
        </w:rPr>
      </w:pPr>
    </w:p>
    <w:p w14:paraId="4E52E7D9" w14:textId="77777777" w:rsidR="00524C9D" w:rsidRPr="00F90EAE" w:rsidRDefault="00524C9D" w:rsidP="00F90EAE">
      <w:pPr>
        <w:jc w:val="both"/>
        <w:rPr>
          <w:color w:val="000000" w:themeColor="text1"/>
          <w:sz w:val="16"/>
          <w:szCs w:val="16"/>
        </w:rPr>
      </w:pPr>
      <w:r w:rsidRPr="00F90EAE">
        <w:rPr>
          <w:bCs/>
          <w:color w:val="000000" w:themeColor="text1"/>
          <w:sz w:val="16"/>
          <w:szCs w:val="16"/>
        </w:rPr>
        <w:t>15 марта</w:t>
      </w:r>
      <w:r w:rsidRPr="00F90EAE">
        <w:rPr>
          <w:color w:val="000000" w:themeColor="text1"/>
          <w:sz w:val="16"/>
          <w:szCs w:val="16"/>
        </w:rPr>
        <w:t xml:space="preserve"> в 1945 году очередная немецкая ракета "A-4"/SS-1/Scunner/ (Фау-2) пущенная по Антверпену угодила в населенный пункт Brasschaat. В результате 7 человек было убито, 74 ранено и разрушено 10 домов (15069).</w:t>
      </w:r>
    </w:p>
    <w:p w14:paraId="5D954E77" w14:textId="77777777" w:rsidR="00524C9D" w:rsidRPr="00F90EAE" w:rsidRDefault="00524C9D" w:rsidP="00F90EAE">
      <w:pPr>
        <w:jc w:val="both"/>
        <w:rPr>
          <w:color w:val="000000" w:themeColor="text1"/>
          <w:sz w:val="16"/>
          <w:szCs w:val="16"/>
        </w:rPr>
      </w:pPr>
    </w:p>
    <w:p w14:paraId="43F014E1" w14:textId="77777777" w:rsidR="00816E1B" w:rsidRPr="00F90EAE" w:rsidRDefault="00816E1B" w:rsidP="00F90EAE">
      <w:pPr>
        <w:jc w:val="both"/>
        <w:rPr>
          <w:color w:val="000000" w:themeColor="text1"/>
          <w:sz w:val="16"/>
          <w:szCs w:val="16"/>
        </w:rPr>
      </w:pPr>
      <w:r w:rsidRPr="00F90EAE">
        <w:rPr>
          <w:color w:val="000000" w:themeColor="text1"/>
          <w:sz w:val="16"/>
          <w:szCs w:val="16"/>
        </w:rPr>
        <w:t>15 </w:t>
      </w:r>
      <w:bookmarkStart w:id="4" w:name="YANDEX_23"/>
      <w:bookmarkEnd w:id="4"/>
      <w:r w:rsidRPr="00F90EAE">
        <w:rPr>
          <w:rStyle w:val="highlight"/>
          <w:color w:val="000000" w:themeColor="text1"/>
          <w:sz w:val="16"/>
          <w:szCs w:val="16"/>
        </w:rPr>
        <w:t> марта </w:t>
      </w:r>
      <w:bookmarkStart w:id="5" w:name="YANDEX_24"/>
      <w:bookmarkEnd w:id="5"/>
      <w:r w:rsidRPr="00F90EAE">
        <w:rPr>
          <w:rStyle w:val="highlight"/>
          <w:color w:val="000000" w:themeColor="text1"/>
          <w:sz w:val="16"/>
          <w:szCs w:val="16"/>
        </w:rPr>
        <w:t> 1945 </w:t>
      </w:r>
      <w:r w:rsidRPr="00F90EAE">
        <w:rPr>
          <w:color w:val="000000" w:themeColor="text1"/>
          <w:sz w:val="16"/>
          <w:szCs w:val="16"/>
        </w:rPr>
        <w:t xml:space="preserve"> г. американцы разбомбили </w:t>
      </w:r>
      <w:bookmarkStart w:id="6" w:name="YANDEX_25"/>
      <w:bookmarkEnd w:id="6"/>
      <w:r w:rsidRPr="00F90EAE">
        <w:rPr>
          <w:rStyle w:val="highlight"/>
          <w:color w:val="000000" w:themeColor="text1"/>
          <w:sz w:val="16"/>
          <w:szCs w:val="16"/>
        </w:rPr>
        <w:t> завод </w:t>
      </w:r>
      <w:r w:rsidRPr="00F90EAE">
        <w:rPr>
          <w:color w:val="000000" w:themeColor="text1"/>
          <w:sz w:val="16"/>
          <w:szCs w:val="16"/>
        </w:rPr>
        <w:t xml:space="preserve"> компании «Ауэр» в Ораниенбурге, к северу от Берлина (советская зона), производивший торий и уран для германского атомного проекта. Глава американского «Манхэттенского проекта» генерал Гроувз вспоминал: «Цель нашей бомбардировки Ораниенбурга была закамуфлирована от русских и немцев одновременной бомбовой атакой на Цоссен, месторасположение штаб-квартиры германской армии». Руководитель исследований компании «Ауэр» Н. Риль просветил советские власти о причине американского налета на небольшой немецкий городок. После окончания боевых действий Гроувз сумел вывести из соляной шахты близ Штасфурта, находившегося в советской зоне оккупации, 1200 т урановой руды (17449).</w:t>
      </w:r>
    </w:p>
    <w:p w14:paraId="6C5DD9EC" w14:textId="77777777" w:rsidR="00816E1B" w:rsidRPr="00F90EAE" w:rsidRDefault="00816E1B" w:rsidP="00F90EAE">
      <w:pPr>
        <w:jc w:val="both"/>
        <w:rPr>
          <w:color w:val="000000" w:themeColor="text1"/>
          <w:sz w:val="16"/>
          <w:szCs w:val="16"/>
        </w:rPr>
      </w:pPr>
    </w:p>
    <w:p w14:paraId="677E18EF" w14:textId="77777777" w:rsidR="00C52CB1" w:rsidRPr="00F90EAE" w:rsidRDefault="00C52CB1" w:rsidP="00F90EAE">
      <w:pPr>
        <w:jc w:val="both"/>
        <w:rPr>
          <w:color w:val="000000" w:themeColor="text1"/>
          <w:sz w:val="16"/>
          <w:szCs w:val="16"/>
        </w:rPr>
      </w:pPr>
      <w:r w:rsidRPr="00F90EAE">
        <w:rPr>
          <w:color w:val="000000" w:themeColor="text1"/>
          <w:sz w:val="16"/>
          <w:szCs w:val="16"/>
        </w:rPr>
        <w:t>По настоянию генерала Гровза американские ВВС 15 марта 1945 г. разбомбили завод компании «Ауэр» по производству тория и урана в Ораниенбурге к северу от Берлина (советская зона). В апреле по его приказу было вывезено 1200 т урановых окисей (почти весь немецкий запас) из соляных копей в Штасфурте, попадавших в советскую зону (19847).</w:t>
      </w:r>
    </w:p>
    <w:p w14:paraId="6B8F7FBC" w14:textId="77777777" w:rsidR="00C52CB1" w:rsidRPr="00F90EAE" w:rsidRDefault="00C52CB1" w:rsidP="00F90EAE">
      <w:pPr>
        <w:jc w:val="both"/>
        <w:rPr>
          <w:color w:val="000000" w:themeColor="text1"/>
          <w:sz w:val="16"/>
          <w:szCs w:val="16"/>
        </w:rPr>
      </w:pPr>
    </w:p>
    <w:p w14:paraId="307157FA" w14:textId="77777777" w:rsidR="00934A89" w:rsidRPr="00F90EAE" w:rsidRDefault="00934A89" w:rsidP="00F90EAE">
      <w:pPr>
        <w:jc w:val="both"/>
        <w:rPr>
          <w:color w:val="0070C0"/>
          <w:sz w:val="16"/>
          <w:szCs w:val="16"/>
        </w:rPr>
      </w:pPr>
      <w:r w:rsidRPr="00F90EAE">
        <w:rPr>
          <w:color w:val="0070C0"/>
          <w:sz w:val="16"/>
          <w:szCs w:val="16"/>
        </w:rPr>
        <w:t>15 марта 1945 ВМС США возлагают ответственность за эвакуацию раненых на Службу воздушного транспорта ВМС (20371).</w:t>
      </w:r>
    </w:p>
    <w:p w14:paraId="0748F075" w14:textId="77777777" w:rsidR="00934A89" w:rsidRPr="00F90EAE" w:rsidRDefault="00934A89" w:rsidP="00F90EAE">
      <w:pPr>
        <w:jc w:val="both"/>
        <w:rPr>
          <w:color w:val="0070C0"/>
          <w:sz w:val="16"/>
          <w:szCs w:val="16"/>
        </w:rPr>
      </w:pPr>
    </w:p>
    <w:p w14:paraId="602BED40" w14:textId="77777777" w:rsidR="00934A89" w:rsidRPr="00F90EAE" w:rsidRDefault="00934A89"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0398B71" w14:textId="77777777" w:rsidR="00934A89" w:rsidRPr="00F90EAE" w:rsidRDefault="00934A89" w:rsidP="00F90EAE">
      <w:pPr>
        <w:autoSpaceDE w:val="0"/>
        <w:autoSpaceDN w:val="0"/>
        <w:adjustRightInd w:val="0"/>
        <w:jc w:val="both"/>
        <w:rPr>
          <w:iCs/>
          <w:color w:val="000000" w:themeColor="text1"/>
          <w:sz w:val="16"/>
          <w:szCs w:val="16"/>
        </w:rPr>
      </w:pPr>
    </w:p>
    <w:p w14:paraId="33838A4A" w14:textId="77777777" w:rsidR="00934A89" w:rsidRPr="00F90EAE" w:rsidRDefault="00934A89" w:rsidP="00F90EAE">
      <w:pPr>
        <w:jc w:val="both"/>
        <w:rPr>
          <w:color w:val="0070C0"/>
          <w:sz w:val="16"/>
          <w:szCs w:val="16"/>
        </w:rPr>
      </w:pPr>
      <w:r w:rsidRPr="00F90EAE">
        <w:rPr>
          <w:color w:val="0070C0"/>
          <w:sz w:val="16"/>
          <w:szCs w:val="16"/>
        </w:rPr>
        <w:t>С середины марта 1945 новые бронекорпуса пошли в серийное производство - на СУ-100 с этого момента нет больше вертикальной створки люка заряжающего.</w:t>
      </w:r>
    </w:p>
    <w:p w14:paraId="585CF68C" w14:textId="77777777" w:rsidR="00934A89" w:rsidRPr="00F90EAE" w:rsidRDefault="00934A89" w:rsidP="00F90EAE">
      <w:pPr>
        <w:pStyle w:val="260"/>
        <w:shd w:val="clear" w:color="auto" w:fill="auto"/>
        <w:spacing w:line="240" w:lineRule="auto"/>
        <w:jc w:val="both"/>
        <w:rPr>
          <w:rFonts w:ascii="Times New Roman" w:hAnsi="Times New Roman"/>
          <w:color w:val="0070C0"/>
          <w:sz w:val="16"/>
          <w:szCs w:val="16"/>
        </w:rPr>
      </w:pPr>
      <w:r w:rsidRPr="00F90EAE">
        <w:rPr>
          <w:rFonts w:ascii="Times New Roman" w:hAnsi="Times New Roman"/>
          <w:color w:val="0070C0"/>
          <w:sz w:val="16"/>
          <w:szCs w:val="16"/>
        </w:rPr>
        <w:t>Еще одно изменение, произошедшее в марте - исчезает литера «Р.», отлитая прежде на крышке люка механика-водителя. В апре</w:t>
      </w:r>
      <w:r w:rsidRPr="00F90EAE">
        <w:rPr>
          <w:rFonts w:ascii="Times New Roman" w:hAnsi="Times New Roman"/>
          <w:color w:val="0070C0"/>
          <w:sz w:val="16"/>
          <w:szCs w:val="16"/>
        </w:rPr>
        <w:softHyphen/>
        <w:t>ле крышки люков с буквой уже не встречают</w:t>
      </w:r>
      <w:r w:rsidRPr="00F90EAE">
        <w:rPr>
          <w:rFonts w:ascii="Times New Roman" w:hAnsi="Times New Roman"/>
          <w:color w:val="0070C0"/>
          <w:sz w:val="16"/>
          <w:szCs w:val="16"/>
        </w:rPr>
        <w:softHyphen/>
        <w:t>ся на СУ-100. Любопытно, что на самоходках СУ-85 эту крышку украшала литера «С.» с точ</w:t>
      </w:r>
      <w:r w:rsidRPr="00F90EAE">
        <w:rPr>
          <w:rFonts w:ascii="Times New Roman" w:hAnsi="Times New Roman"/>
          <w:color w:val="0070C0"/>
          <w:sz w:val="16"/>
          <w:szCs w:val="16"/>
        </w:rPr>
        <w:softHyphen/>
        <w:t>кой. Документов о значении этих букв пока найти не удалось, но конструкторская логика прослеживается такая: завод УЗТМ отливал броневые детали для многих боевых машин, в том числе и поставлял их другим заводам. У самоходок СУ-122 люк механика-водителя был намного уже «тридчатьчетверочного», так что перепутать эти крышки с танковыми было невозможно. А вот крышка люка СУ-85 внешне была очень похожа на крышку для люка Т-34, отличаясь лишь в деталях, поэтому ее маркировали литерой «С.» - «самоход» (так именовались машины в заводских доку</w:t>
      </w:r>
      <w:r w:rsidRPr="00F90EAE">
        <w:rPr>
          <w:rFonts w:ascii="Times New Roman" w:hAnsi="Times New Roman"/>
          <w:color w:val="0070C0"/>
          <w:sz w:val="16"/>
          <w:szCs w:val="16"/>
        </w:rPr>
        <w:softHyphen/>
        <w:t>ментах 1940-х годов). В свою очередь, новая аналогичная деталь СУ-100 уже не нуждалась в спе</w:t>
      </w:r>
      <w:r w:rsidRPr="00F90EAE">
        <w:rPr>
          <w:rFonts w:ascii="Times New Roman" w:hAnsi="Times New Roman"/>
          <w:color w:val="0070C0"/>
          <w:sz w:val="16"/>
          <w:szCs w:val="16"/>
        </w:rPr>
        <w:softHyphen/>
        <w:t>циальной маркировке, но литера «Р.» («рав</w:t>
      </w:r>
      <w:r w:rsidRPr="00F90EAE">
        <w:rPr>
          <w:rFonts w:ascii="Times New Roman" w:hAnsi="Times New Roman"/>
          <w:color w:val="0070C0"/>
          <w:sz w:val="16"/>
          <w:szCs w:val="16"/>
        </w:rPr>
        <w:softHyphen/>
        <w:t>нопрочная») исчезла лишь при изготовлении новой литьевой оснастки - понятно, что толь</w:t>
      </w:r>
      <w:r w:rsidRPr="00F90EAE">
        <w:rPr>
          <w:rFonts w:ascii="Times New Roman" w:hAnsi="Times New Roman"/>
          <w:color w:val="0070C0"/>
          <w:sz w:val="16"/>
          <w:szCs w:val="16"/>
        </w:rPr>
        <w:softHyphen/>
        <w:t>ко ради ликвидации буквы никто бы ее менять не стал, это делалось лишь по износу или при необходимости изменить конструк</w:t>
      </w:r>
      <w:r w:rsidRPr="00F90EAE">
        <w:rPr>
          <w:rFonts w:ascii="Times New Roman" w:hAnsi="Times New Roman"/>
          <w:color w:val="0070C0"/>
          <w:sz w:val="16"/>
          <w:szCs w:val="16"/>
        </w:rPr>
        <w:softHyphen/>
        <w:t>цию. Применительно к крышке люка мехвода СУ-100 термин «равнопрочность» приме</w:t>
      </w:r>
      <w:r w:rsidRPr="00F90EAE">
        <w:rPr>
          <w:rFonts w:ascii="Times New Roman" w:hAnsi="Times New Roman"/>
          <w:color w:val="0070C0"/>
          <w:sz w:val="16"/>
          <w:szCs w:val="16"/>
        </w:rPr>
        <w:softHyphen/>
        <w:t>няется в рукописном «Кратком техническом описании головного образца» (ЦАМО фонд 38 опись 11369 дело 460), составленном в июне 1944 г. на УЗТМ, что и дает возможность предложить именно такую расшифровку загадочной буквы «Р.» на нем (19927).</w:t>
      </w:r>
    </w:p>
    <w:p w14:paraId="016B4582" w14:textId="77777777" w:rsidR="00934A89" w:rsidRPr="00F90EAE" w:rsidRDefault="00934A89" w:rsidP="00F90EAE">
      <w:pPr>
        <w:pStyle w:val="260"/>
        <w:shd w:val="clear" w:color="auto" w:fill="auto"/>
        <w:spacing w:line="240" w:lineRule="auto"/>
        <w:jc w:val="both"/>
        <w:rPr>
          <w:rFonts w:ascii="Times New Roman" w:hAnsi="Times New Roman"/>
          <w:color w:val="0070C0"/>
          <w:sz w:val="16"/>
          <w:szCs w:val="16"/>
        </w:rPr>
      </w:pPr>
    </w:p>
    <w:p w14:paraId="7B24333F"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6CF0414" w14:textId="77777777" w:rsidR="00524C9D" w:rsidRPr="00F90EAE" w:rsidRDefault="00524C9D" w:rsidP="00F90EAE">
      <w:pPr>
        <w:autoSpaceDE w:val="0"/>
        <w:autoSpaceDN w:val="0"/>
        <w:adjustRightInd w:val="0"/>
        <w:jc w:val="both"/>
        <w:rPr>
          <w:iCs/>
          <w:color w:val="000000" w:themeColor="text1"/>
          <w:sz w:val="16"/>
          <w:szCs w:val="16"/>
        </w:rPr>
      </w:pPr>
    </w:p>
    <w:p w14:paraId="3EDC47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начальник инспекции при наркоме Волоконский и ст. инженер инспекции Калмыков писали письмо N 1463 Шахурину.</w:t>
      </w:r>
    </w:p>
    <w:p w14:paraId="23AC6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Докладная записка</w:t>
      </w:r>
    </w:p>
    <w:p w14:paraId="26F796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вопросу выполнения приказа N 382сс от 6/VI-44 г.</w:t>
      </w:r>
    </w:p>
    <w:p w14:paraId="035105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 отработке высотных самолетов.</w:t>
      </w:r>
    </w:p>
    <w:p w14:paraId="56552E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самолету гл. конструктора Лавочкина.</w:t>
      </w:r>
    </w:p>
    <w:p w14:paraId="1CED4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Самолет Ла-7 с АШ-82ФН и 2ТК-3 должен быть сдан на летные испытания к 1/Х-44 г. Самолет производством закончен в январе с.г. и передан на заводские летные испытания. В первом контрольном полете 12/I наблюдалось сильное факеление из ТК, для выяснения причин было произведено изменение регулировки смеси. При полетах 25/I и 1/III факеление имело место на конце выхлопа мотора из-за переобогащения смеси.</w:t>
      </w:r>
    </w:p>
    <w:p w14:paraId="56DA8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производится регулировка винтомоторной группы. С мотора снят насос НВ и отправлен в ЦИАМ для тарировки.</w:t>
      </w:r>
    </w:p>
    <w:p w14:paraId="1918F7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 По самолетам гл. конструктора Яковлева.</w:t>
      </w:r>
    </w:p>
    <w:p w14:paraId="6DE5CE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Летные испытания самолета Як-9 с мотором ВК-105ПД должны быть окончены к 15/VII-44 г. Летные испытания самолета начаты с 27/IV-44 г. и до сих пор не закончены.</w:t>
      </w:r>
    </w:p>
    <w:p w14:paraId="24247C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полетах в январе выявлена неудовлетворительная работа винтомоторной группы (перебои в работе мотора на высотах 12800 м и 13000 м), высокая температура масла на выходе из мотора - 115 градусов С и падение давления масла до нижнего предела - 3,5 атм.</w:t>
      </w:r>
    </w:p>
    <w:p w14:paraId="26DB65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полетах проведенных в феврале наблюдались также дефекты. Для устранения перегрева масла на больших высотах на трубе суфлера был установлен клапан создающий избыточное давление в картере до 0,1 кг/см кв. При гонке мотора на земле установка клапана вызвала недопустимый выброс масла через лабиринт вала винта. клапан был снят.</w:t>
      </w:r>
    </w:p>
    <w:p w14:paraId="49DD41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был произведен полет до высоты 12350 м, полет был прекращен из-за перегрева масла - 115 градусов С.</w:t>
      </w:r>
    </w:p>
    <w:p w14:paraId="481E89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целью устранения дефекта с 8 марта начаты работы по переделке маслосистемы самолета под двойной контур. Это мероприятие должно снизить температуру масла.</w:t>
      </w:r>
    </w:p>
    <w:p w14:paraId="56834B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Летные испытания самолета Як-3 с ВК-105П и двухступенчатым нагнетателем, проведенные в феврале до высоты 12000 метров выявили дефекты: перегрев масла на выходе из мотора - 115 градусов С и испарение воды из расширительного бачка.</w:t>
      </w:r>
    </w:p>
    <w:p w14:paraId="05F996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марта был произведен полет на определение максимальных скоростей на границе высотности. Полет был прекращен из-за окончания смеси впрыска в цилиндры и испарения воды из расходного бачка. После посадки были обнаружены: сильный выброс масла из суфлерной трубы, течь через сальники впрыска и незначительное количество блесток стружки в фильтре Куно. В результате гонки мотора на земле 9/III-с.г. стружки в фильтре не обнаружено.</w:t>
      </w:r>
    </w:p>
    <w:p w14:paraId="5316BC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к летным испытаниям подготовлен.</w:t>
      </w:r>
    </w:p>
    <w:p w14:paraId="2A38F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III. По самолетам гл. конструктора Микояна.</w:t>
      </w:r>
    </w:p>
    <w:p w14:paraId="667F56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Летные испытания самолета Миг с АМ-39Б и 2ТК-2Б должны быть по приказу окончены к 15/VIII-44 г.</w:t>
      </w:r>
    </w:p>
    <w:p w14:paraId="3E352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 не выполнен. Летные испытания самолета, начатые 7/V-44 г. до сих пор не закончены. 24/I-45 г. самолет передан в ЛИИ.</w:t>
      </w:r>
    </w:p>
    <w:p w14:paraId="18015D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испытания не начаты из-за отсутствия мотора АМ-39Б, который должен поставить завод N 300 взамен выбывшего из строя мотора на самолете. Сроки подачи нового мотора гл. конструктор Микулин не указывает.</w:t>
      </w:r>
    </w:p>
    <w:p w14:paraId="076121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Самолет Миг с АМ-39Б и ТК-300Б в настоящее время находится на заводе N 155. На самолете производятся монтажные работы по установке ТК-300Б, поданного заводом N 300 только 13/III-с.г. По состоянию работ самолет может быть оборудован ТК-300Б - к 19/III-45 г.</w:t>
      </w:r>
    </w:p>
    <w:p w14:paraId="345E7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Выполнение приказа Наркомавиапрома N 382сс, по отработке высотных истребителей, затянулось вследствие больших доработок, проводимых в процессе летных испытаний по винтомоторной группе, особенно по самолетам гл. конструктора Микояна (2592,223).</w:t>
      </w:r>
    </w:p>
    <w:p w14:paraId="26812A59" w14:textId="77777777" w:rsidR="00665165" w:rsidRPr="00F90EAE" w:rsidRDefault="00665165" w:rsidP="00F90EAE">
      <w:pPr>
        <w:autoSpaceDE w:val="0"/>
        <w:autoSpaceDN w:val="0"/>
        <w:adjustRightInd w:val="0"/>
        <w:jc w:val="both"/>
        <w:rPr>
          <w:color w:val="000000" w:themeColor="text1"/>
          <w:sz w:val="16"/>
          <w:szCs w:val="16"/>
        </w:rPr>
      </w:pPr>
    </w:p>
    <w:p w14:paraId="44426B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Шахурин писал письмо N Н-35/1271 наркому ВМФ адмиралу флота Кузнецову Н.Г.</w:t>
      </w:r>
    </w:p>
    <w:p w14:paraId="4311BF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рассмотрения вопроса о проектировании новых типов палубных самолетов, предназначенных для кораблей-авианосцев, и установления возможности применения в этих целях существующих самолетов, прошу Вас дать указание выслать тактико-технические требования ВВС ВМФ ко всем типам самолетов, указанным в Вашем письме от 25 января с.г. за N 109сс (2595).</w:t>
      </w:r>
    </w:p>
    <w:p w14:paraId="1AFD61CF" w14:textId="77777777" w:rsidR="00665165" w:rsidRPr="00F90EAE" w:rsidRDefault="00665165" w:rsidP="00F90EAE">
      <w:pPr>
        <w:autoSpaceDE w:val="0"/>
        <w:autoSpaceDN w:val="0"/>
        <w:adjustRightInd w:val="0"/>
        <w:jc w:val="both"/>
        <w:rPr>
          <w:color w:val="000000" w:themeColor="text1"/>
          <w:sz w:val="16"/>
          <w:szCs w:val="16"/>
        </w:rPr>
      </w:pPr>
    </w:p>
    <w:p w14:paraId="059E13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А. Шахурин писал письмо зам. председателя СНК Микояну А.И.:</w:t>
      </w:r>
    </w:p>
    <w:p w14:paraId="1C534C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площадях бывш. Лианозовского кирпичного завода организован завод № 3 треста № 41 НКАП, выпускающий оборудование, боеприпасы, сложное литье и имеющий в своем составе уникальные производства – светосоставов (связанное с переработкой радия) и трубчатых электрических нагревателей.</w:t>
      </w:r>
    </w:p>
    <w:p w14:paraId="42AD2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Бывш. завод металлоконструкций в Стаханове реконструирован в завод № 11 треста № 41, изготовляющий для заводов НКАП тяжелое нестандартное оборудование (моечные машины, вагранки, механизмы для внутризаводского транспорта) и литье (8959).</w:t>
      </w:r>
    </w:p>
    <w:p w14:paraId="073C9FDF" w14:textId="77777777" w:rsidR="00665165" w:rsidRPr="00F90EAE" w:rsidRDefault="00665165" w:rsidP="00F90EAE">
      <w:pPr>
        <w:autoSpaceDE w:val="0"/>
        <w:autoSpaceDN w:val="0"/>
        <w:adjustRightInd w:val="0"/>
        <w:jc w:val="both"/>
        <w:rPr>
          <w:color w:val="000000" w:themeColor="text1"/>
          <w:sz w:val="16"/>
          <w:szCs w:val="16"/>
        </w:rPr>
      </w:pPr>
    </w:p>
    <w:p w14:paraId="3BCDF3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А. Шахурин писал письмо зам. председателя СНК Вознесенскому Н.А.</w:t>
      </w:r>
    </w:p>
    <w:p w14:paraId="66FC6B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ГКО от 14 марта 1944 года № 5398сс, завод № 487 ликвидирован как уставная организация, изготовляющая авиационное вооружение.</w:t>
      </w:r>
    </w:p>
    <w:p w14:paraId="7CAD52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(гл. конструктор Шебанов И.П.), состоявшее при заводе № 487, имеющий утвержденный НКАП отдельный, не связанный с заводом план работ по проектированию и изготовлению опытных образцов установок авиавооружения продолжает свою деятельность на прежних площадях.</w:t>
      </w:r>
    </w:p>
    <w:p w14:paraId="2055DB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разрешения на реорганизацию ОКБ при бывш. заводе № 487 в самостоятельное уставное ОКБ с подчинением его непосредственно 7-му гл. управлению НКАП и с присвоением ему наименования “ОКБ № 4 НКАП” (8959).</w:t>
      </w:r>
    </w:p>
    <w:p w14:paraId="18CAEAB9" w14:textId="77777777" w:rsidR="00665165" w:rsidRPr="00F90EAE" w:rsidRDefault="00665165" w:rsidP="00F90EAE">
      <w:pPr>
        <w:autoSpaceDE w:val="0"/>
        <w:autoSpaceDN w:val="0"/>
        <w:adjustRightInd w:val="0"/>
        <w:jc w:val="both"/>
        <w:rPr>
          <w:color w:val="000000" w:themeColor="text1"/>
          <w:sz w:val="16"/>
          <w:szCs w:val="16"/>
        </w:rPr>
      </w:pPr>
    </w:p>
    <w:p w14:paraId="3B9B75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вышел приказ НКАП:</w:t>
      </w:r>
    </w:p>
    <w:p w14:paraId="55EC15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Бибикова Я.Л. начальником НИИ-1 НКАП</w:t>
      </w:r>
    </w:p>
    <w:p w14:paraId="5D14A3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Пережогина Б.А. директором завода № 28 (8958)</w:t>
      </w:r>
    </w:p>
    <w:p w14:paraId="7BDB5E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Б.Л.Ванников обратился к зам. ГОКО Л.П.Б. с предложением о создании новой проектно-конструкторской организации ЦКБ по РС № 1, мотивируя необходимостью совершенствования М-13, М-13дд, М-31, М-31УК. Предполагал разместить в Люберцах на заводе НКБ, а на первых порах - на заводе 67 (8633,9).</w:t>
      </w:r>
    </w:p>
    <w:p w14:paraId="29CB45AC" w14:textId="77777777" w:rsidR="00665165" w:rsidRPr="00F90EAE" w:rsidRDefault="00665165" w:rsidP="00F90EAE">
      <w:pPr>
        <w:autoSpaceDE w:val="0"/>
        <w:autoSpaceDN w:val="0"/>
        <w:adjustRightInd w:val="0"/>
        <w:jc w:val="both"/>
        <w:rPr>
          <w:color w:val="000000" w:themeColor="text1"/>
          <w:sz w:val="16"/>
          <w:szCs w:val="16"/>
        </w:rPr>
      </w:pPr>
    </w:p>
    <w:p w14:paraId="763CAE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марта 1945 г. нарком боеприпасов Б.Л. Ванников обратился к заместителю предсе</w:t>
      </w:r>
      <w:r w:rsidRPr="00F90EAE">
        <w:rPr>
          <w:color w:val="000000" w:themeColor="text1"/>
          <w:sz w:val="16"/>
          <w:szCs w:val="16"/>
        </w:rPr>
        <w:softHyphen/>
        <w:t>дателя ГКО Л.П. Берии с предложения</w:t>
      </w:r>
      <w:r w:rsidRPr="00F90EAE">
        <w:rPr>
          <w:color w:val="000000" w:themeColor="text1"/>
          <w:sz w:val="16"/>
          <w:szCs w:val="16"/>
        </w:rPr>
        <w:softHyphen/>
        <w:t>ми о создании новой проектно-конст-рукторской организации — Централь</w:t>
      </w:r>
      <w:r w:rsidRPr="00F90EAE">
        <w:rPr>
          <w:color w:val="000000" w:themeColor="text1"/>
          <w:sz w:val="16"/>
          <w:szCs w:val="16"/>
        </w:rPr>
        <w:softHyphen/>
        <w:t>ного конструкторского бюро по реак</w:t>
      </w:r>
      <w:r w:rsidRPr="00F90EAE">
        <w:rPr>
          <w:color w:val="000000" w:themeColor="text1"/>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10ED14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238DB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года Решением ГКО от образован "Военаэропроект" (10515).</w:t>
      </w:r>
    </w:p>
    <w:p w14:paraId="0A36810B" w14:textId="77777777" w:rsidR="00665165" w:rsidRPr="00F90EAE" w:rsidRDefault="00665165" w:rsidP="00F90EAE">
      <w:pPr>
        <w:autoSpaceDE w:val="0"/>
        <w:autoSpaceDN w:val="0"/>
        <w:adjustRightInd w:val="0"/>
        <w:jc w:val="both"/>
        <w:rPr>
          <w:color w:val="000000" w:themeColor="text1"/>
          <w:sz w:val="16"/>
          <w:szCs w:val="16"/>
        </w:rPr>
      </w:pPr>
    </w:p>
    <w:p w14:paraId="680148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7850 О неотложных мерах по обеспечению отгрузки авиафанерной березы и авиационной сосны. РГАНИР, Фонд ГКО, д. 382, лл. 1-4, 5-8 (11012).</w:t>
      </w:r>
    </w:p>
    <w:p w14:paraId="1439F31C" w14:textId="77777777" w:rsidR="00665165" w:rsidRPr="00F90EAE" w:rsidRDefault="00665165" w:rsidP="00F90EAE">
      <w:pPr>
        <w:autoSpaceDE w:val="0"/>
        <w:autoSpaceDN w:val="0"/>
        <w:adjustRightInd w:val="0"/>
        <w:jc w:val="both"/>
        <w:rPr>
          <w:color w:val="000000" w:themeColor="text1"/>
          <w:sz w:val="16"/>
          <w:szCs w:val="16"/>
        </w:rPr>
      </w:pPr>
    </w:p>
    <w:p w14:paraId="0E30451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CD6C3D0" w14:textId="77777777" w:rsidR="00665165" w:rsidRPr="00F90EAE" w:rsidRDefault="00665165" w:rsidP="00F90EAE">
      <w:pPr>
        <w:autoSpaceDE w:val="0"/>
        <w:autoSpaceDN w:val="0"/>
        <w:adjustRightInd w:val="0"/>
        <w:jc w:val="both"/>
        <w:rPr>
          <w:iCs/>
          <w:color w:val="000000" w:themeColor="text1"/>
          <w:sz w:val="16"/>
          <w:szCs w:val="16"/>
        </w:rPr>
      </w:pPr>
    </w:p>
    <w:p w14:paraId="062301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Государственного Комитета Обороны, согласно которому изготовление серии 180/57-мм одноорудийной щитовой установки МУ-1 было произведено без предварительной постройки и испытания головного образца. Завод "Баррикады" изготовил серию в 12 качающихся частей МУ-1 в 1947 году. Двенадцать установок МУ-1 изготовил ЛМЗ. Причем клепаный стол был заменен на сварной. Головной образец МУ-1 (ствол №3, станок №2) был испытан на полигоне в два этапа: с 26.10.1947 г. по 3.12.1947 г. и с 19.02.1948 г. по 20.03.1948 г. Всего сделано 352 выстрела. Результаты признаны удовлетворительными и МУ-1 рекомендована к принятию на вооружение. Первые четыре установки МУ-1(№№ 5, 6, 7 и 8) в соответствии с Постановлением СМ от 30.12.1949 г. в 1952 году были смонтированы на батарее № 127 в Порт-Артуре. Строилась батарея с 1950 года по 1953 год. Государственные испытания батареи были проведены с ноября 1953 года по январь 1954 года. Приказом Главкома ВМС от 9.04.1954 г. 180-мм четырехорудийная батарея МУ-1 с ПУС "Москва-2с-ЦМ" была принята в состав береговой обороны Порт-Артура. В 1953 году на Камчатке у мыса Безымянный было начато строительство батареи №41 в составе 4-х установок МУ-1. Батарея была введена в строй в 1957 году. Директивой Главного штаба ВМФ от 12.03.1974 г. батарея была расформирована. В палубном варианте МУ-1 предполагалось устанавливать на кораблях, а в береговом варианте в одноорудийных башнях. Кроме того, качающаяся часть МУ-1 могла быть установлена на ТМ-1-180, МО-1-180 и МБ-2-180 (3861).</w:t>
      </w:r>
    </w:p>
    <w:p w14:paraId="07FFED06" w14:textId="77777777" w:rsidR="00665165" w:rsidRPr="00F90EAE" w:rsidRDefault="00665165" w:rsidP="00F90EAE">
      <w:pPr>
        <w:autoSpaceDE w:val="0"/>
        <w:autoSpaceDN w:val="0"/>
        <w:adjustRightInd w:val="0"/>
        <w:jc w:val="both"/>
        <w:rPr>
          <w:color w:val="000000" w:themeColor="text1"/>
          <w:sz w:val="16"/>
          <w:szCs w:val="16"/>
        </w:rPr>
      </w:pPr>
    </w:p>
    <w:p w14:paraId="0034AE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марта 1945 г. опытный образец танка ИС-3 № 2 поступил на НИБТ полигон для испытаний, которые продолжались до середины апреля 1945 г. 14 апреля 1945 г. комиссия представила отчет по испытаниям танка, в котором рекомендовала танк ИС-3 ("Объект 703") для приня</w:t>
      </w:r>
      <w:r w:rsidRPr="00F90EAE">
        <w:rPr>
          <w:color w:val="000000" w:themeColor="text1"/>
          <w:sz w:val="16"/>
          <w:szCs w:val="16"/>
        </w:rPr>
        <w:softHyphen/>
        <w:t>тия в серийное производство, с устранением недостатков, отмеченных в отчете (10703).</w:t>
      </w:r>
    </w:p>
    <w:p w14:paraId="0012D0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C5470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вышло Распоряжение ГКО № 7842 [Об увеличении нормы вагонов для отгрузки крепежного леса на март 1945 г.] (7316, 135).</w:t>
      </w:r>
    </w:p>
    <w:p w14:paraId="67422BB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933BA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7844 Об усилении погрузки угля по железным дорогам во второй половине марта 1945 г. (7316, 138-140).</w:t>
      </w:r>
    </w:p>
    <w:p w14:paraId="5B65714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DB6AB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16 марта 1945 вышло Постановление ГКО № 7845 Об обеспечении завоза руды для Кузнецкого металлургического комбината Наркомчермета в марте и II квартале 1945 года. РГАНИР, Фонд ГКО, д. 381, лл. 141-143 (11012).</w:t>
      </w:r>
    </w:p>
    <w:p w14:paraId="43EF3AE1" w14:textId="77777777" w:rsidR="00665165" w:rsidRPr="00F90EAE" w:rsidRDefault="00665165" w:rsidP="00F90EAE">
      <w:pPr>
        <w:autoSpaceDE w:val="0"/>
        <w:autoSpaceDN w:val="0"/>
        <w:adjustRightInd w:val="0"/>
        <w:jc w:val="both"/>
        <w:rPr>
          <w:color w:val="000000" w:themeColor="text1"/>
          <w:sz w:val="16"/>
          <w:szCs w:val="16"/>
        </w:rPr>
      </w:pPr>
    </w:p>
    <w:p w14:paraId="4BB2AD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7846 Об увеличении производства и поставки НКО ССР 100 мм снарядов. РГАНИР, Фонд ГКО, д. 381, лл. 144-146, 147-158 (11012).</w:t>
      </w:r>
    </w:p>
    <w:p w14:paraId="20A46625" w14:textId="77777777" w:rsidR="00665165" w:rsidRPr="00F90EAE" w:rsidRDefault="00665165" w:rsidP="00F90EAE">
      <w:pPr>
        <w:autoSpaceDE w:val="0"/>
        <w:autoSpaceDN w:val="0"/>
        <w:adjustRightInd w:val="0"/>
        <w:jc w:val="both"/>
        <w:rPr>
          <w:color w:val="000000" w:themeColor="text1"/>
          <w:sz w:val="16"/>
          <w:szCs w:val="16"/>
        </w:rPr>
      </w:pPr>
    </w:p>
    <w:p w14:paraId="5DEF5E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7847 О восстановлении Таллинского энергетического узла и обеспечении электроэнергией оборонительных сооружений и военно-морских баз, расположенных на территории Эстонской ССР. РГАНИР, Фонд ГКО, д. 381, лл. 159-163, 164-165 (11012).</w:t>
      </w:r>
    </w:p>
    <w:p w14:paraId="4301870A" w14:textId="77777777" w:rsidR="00665165" w:rsidRPr="00F90EAE" w:rsidRDefault="00665165" w:rsidP="00F90EAE">
      <w:pPr>
        <w:autoSpaceDE w:val="0"/>
        <w:autoSpaceDN w:val="0"/>
        <w:adjustRightInd w:val="0"/>
        <w:jc w:val="both"/>
        <w:rPr>
          <w:color w:val="000000" w:themeColor="text1"/>
          <w:sz w:val="16"/>
          <w:szCs w:val="16"/>
        </w:rPr>
      </w:pPr>
    </w:p>
    <w:p w14:paraId="2CA667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7848 О производстве новых радиопередатчиков, радиоприемников и радиовысотомеров для истребительной, штурмовой, бомбардировочной и транспортной авиации. РГАНИР, Фонд ГКО, д. 381, лл. 166-168, 169-172 (11012).</w:t>
      </w:r>
    </w:p>
    <w:p w14:paraId="06CB033C" w14:textId="77777777" w:rsidR="00665165" w:rsidRPr="00F90EAE" w:rsidRDefault="00665165" w:rsidP="00F90EAE">
      <w:pPr>
        <w:autoSpaceDE w:val="0"/>
        <w:autoSpaceDN w:val="0"/>
        <w:adjustRightInd w:val="0"/>
        <w:jc w:val="both"/>
        <w:rPr>
          <w:color w:val="000000" w:themeColor="text1"/>
          <w:sz w:val="16"/>
          <w:szCs w:val="16"/>
        </w:rPr>
      </w:pPr>
    </w:p>
    <w:p w14:paraId="3547D5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7849 О производстве башенных и открытых артиллерийских установок для Военно-Морского Флота на Ленинградском Металлическом заводе им. Сталина Наркомтяжмаша. РГАНИР, Фонд ГКО, д. 381, лл. 173-176, 177-193 (11012).</w:t>
      </w:r>
    </w:p>
    <w:p w14:paraId="1FC960DC" w14:textId="77777777" w:rsidR="00665165" w:rsidRPr="00F90EAE" w:rsidRDefault="00665165" w:rsidP="00F90EAE">
      <w:pPr>
        <w:autoSpaceDE w:val="0"/>
        <w:autoSpaceDN w:val="0"/>
        <w:adjustRightInd w:val="0"/>
        <w:jc w:val="both"/>
        <w:rPr>
          <w:color w:val="000000" w:themeColor="text1"/>
          <w:sz w:val="16"/>
          <w:szCs w:val="16"/>
        </w:rPr>
      </w:pPr>
    </w:p>
    <w:p w14:paraId="0B959F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 вышло постановление ГКО № 7849 о производстве башенных и открытых артустановок на заводе (Завод № 371 ИМ. Сталина НКВ, Компания Санкт-Петербургского металлического завода, Петроградский металлический завод, Ленинградский металлический завод (</w:t>
      </w:r>
      <w:r w:rsidRPr="00F90EAE">
        <w:rPr>
          <w:color w:val="000000" w:themeColor="text1"/>
          <w:sz w:val="16"/>
          <w:szCs w:val="16"/>
          <w:lang w:val="en-US"/>
        </w:rPr>
        <w:t>JIM</w:t>
      </w:r>
      <w:r w:rsidRPr="00F90EAE">
        <w:rPr>
          <w:color w:val="000000" w:themeColor="text1"/>
          <w:sz w:val="16"/>
          <w:szCs w:val="16"/>
        </w:rPr>
        <w:t>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  г. Петроград,  г. Ленинград/ /195009  г. Санкт-Петербург Свердловская наб., д. 18 тел. 593-70-01/).</w:t>
      </w:r>
    </w:p>
    <w:p w14:paraId="0602B7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3153A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F90EAE">
        <w:rPr>
          <w:color w:val="000000" w:themeColor="text1"/>
          <w:sz w:val="16"/>
          <w:szCs w:val="16"/>
          <w:vertAlign w:val="superscript"/>
        </w:rPr>
        <w:t>142</w:t>
      </w:r>
    </w:p>
    <w:p w14:paraId="722CB9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38DD91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F90EAE">
        <w:rPr>
          <w:color w:val="000000" w:themeColor="text1"/>
          <w:sz w:val="16"/>
          <w:szCs w:val="16"/>
          <w:vertAlign w:val="superscript"/>
        </w:rPr>
        <w:t>77</w:t>
      </w:r>
    </w:p>
    <w:p w14:paraId="272964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1956 г. начат выпуск газовых турбин. Всего на ЛМЗ изготовлено (на начало 2000-х  г.) 2750 турбин. В 1958 г. начат выпуск газотурбинных установок.</w:t>
      </w:r>
    </w:p>
    <w:p w14:paraId="79EE0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1970 г. спроектирована гидротурбина для Саянской ГЭС мощностью 815 МВт.</w:t>
      </w:r>
    </w:p>
    <w:p w14:paraId="3C8A7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25.11.1992 г. завод акционирован и преобразован в АООТ, затем - ОАО ЛМЗ.</w:t>
      </w:r>
      <w:r w:rsidRPr="00F90EAE">
        <w:rPr>
          <w:color w:val="000000" w:themeColor="text1"/>
          <w:sz w:val="16"/>
          <w:szCs w:val="16"/>
          <w:vertAlign w:val="superscript"/>
        </w:rPr>
        <w:t>131</w:t>
      </w:r>
    </w:p>
    <w:p w14:paraId="278AFE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2000-х  г. часть площадей завода передана ЗАО «Яровит моторе», организовано производство грузовиков собственной конструкции.</w:t>
      </w:r>
    </w:p>
    <w:p w14:paraId="1A60F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(2000-е  г.): газотурбинные установки; паровые турбины для ТЭЦ, АЭС.</w:t>
      </w:r>
    </w:p>
    <w:p w14:paraId="14150E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ЛМЗ являлся филиалом концерна «Силовые машины» (2002 г.).</w:t>
      </w:r>
    </w:p>
    <w:p w14:paraId="06C9F4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(1996 г.)- 9970 чел., (1998 г.)- около 5 тыс. чел.</w:t>
      </w:r>
    </w:p>
    <w:p w14:paraId="0CB88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(12.1937 г.)- Тылочкин, (-09-11.1938 г.-)- Н. Г. Никитин, (02.1942 г.)- Седов.</w:t>
      </w:r>
      <w:r w:rsidRPr="00F90EAE">
        <w:rPr>
          <w:color w:val="000000" w:themeColor="text1"/>
          <w:sz w:val="16"/>
          <w:szCs w:val="16"/>
          <w:vertAlign w:val="superscript"/>
        </w:rPr>
        <w:t>65</w:t>
      </w:r>
      <w:r w:rsidRPr="00F90EAE">
        <w:rPr>
          <w:color w:val="000000" w:themeColor="text1"/>
          <w:sz w:val="16"/>
          <w:szCs w:val="16"/>
        </w:rPr>
        <w:t xml:space="preserve"> Гендиректор (-1998-99 г.- )- В. Чернышев, (-2003-02.2004 г.)- В. Шевченко, (02.2004 г.-)- И. Сорочан.</w:t>
      </w:r>
    </w:p>
    <w:p w14:paraId="1E216A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Гендиректора (-1990 г.)- В.К. Глухих. Зам. гендиректора (-02.2004 г.)- И. Сорочан.</w:t>
      </w:r>
      <w:r w:rsidRPr="00F90EAE">
        <w:rPr>
          <w:color w:val="000000" w:themeColor="text1"/>
          <w:sz w:val="16"/>
          <w:szCs w:val="16"/>
          <w:vertAlign w:val="superscript"/>
        </w:rPr>
        <w:t>1ш</w:t>
      </w:r>
      <w:r w:rsidRPr="00F90EAE">
        <w:rPr>
          <w:color w:val="000000" w:themeColor="text1"/>
          <w:sz w:val="16"/>
          <w:szCs w:val="16"/>
        </w:rPr>
        <w:t>*</w:t>
      </w:r>
      <w:r w:rsidRPr="00F90EAE">
        <w:rPr>
          <w:color w:val="000000" w:themeColor="text1"/>
          <w:sz w:val="16"/>
          <w:szCs w:val="16"/>
          <w:vertAlign w:val="superscript"/>
        </w:rPr>
        <w:t>йпмоГ8</w:t>
      </w:r>
    </w:p>
    <w:p w14:paraId="02EFDD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Технический директор (04.1937 г.)-проф. М.И. Гринбер г.</w:t>
      </w:r>
    </w:p>
    <w:p w14:paraId="4721CA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(11.1938 г.)- Н. Г. Шанцев, (-1990 г.)- В.К. Глухих.</w:t>
      </w:r>
      <w:r w:rsidRPr="00F90EAE">
        <w:rPr>
          <w:color w:val="000000" w:themeColor="text1"/>
          <w:sz w:val="16"/>
          <w:szCs w:val="16"/>
          <w:vertAlign w:val="superscript"/>
        </w:rPr>
        <w:t>49</w:t>
      </w:r>
    </w:p>
    <w:p w14:paraId="76693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Помощник гл. инженера (-1912-14 г.-)- В. Смыслов.</w:t>
      </w:r>
    </w:p>
    <w:p w14:paraId="3DC334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(1938 г.)- Захаров.</w:t>
      </w:r>
    </w:p>
    <w:p w14:paraId="04B4E7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котельного (1912 г.)- Ф.К. Тихонов; (1946 г.)- В.А. Носанов.</w:t>
      </w:r>
    </w:p>
    <w:p w14:paraId="2B1D4F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1E9103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строитель (1913 г.-)- В.Н. Корнилович.</w:t>
      </w:r>
    </w:p>
    <w:p w14:paraId="3C47F5D8"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ПЛ С.К. Джевецкого «Почтовый» (1906-), эсминец типа «Орфей» (1917)- 8, тральщик типа «Ударник» (1917-, не достроены)- 8;</w:t>
      </w:r>
      <w:r w:rsidRPr="00F90EAE">
        <w:rPr>
          <w:iCs/>
          <w:color w:val="000000" w:themeColor="text1"/>
          <w:sz w:val="16"/>
          <w:szCs w:val="16"/>
        </w:rPr>
        <w:t xml:space="preserve"> артиллерийские башни:</w:t>
      </w:r>
      <w:r w:rsidRPr="00F90EAE">
        <w:rPr>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F90EAE">
        <w:rPr>
          <w:iCs/>
          <w:color w:val="000000" w:themeColor="text1"/>
          <w:sz w:val="16"/>
          <w:szCs w:val="16"/>
        </w:rPr>
        <w:t xml:space="preserve"> турбины:</w:t>
      </w:r>
      <w:r w:rsidRPr="00F90EAE">
        <w:rPr>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2FAF3710" w14:textId="77777777" w:rsidR="00665165" w:rsidRPr="00F90EAE" w:rsidRDefault="00665165" w:rsidP="00F90EAE">
      <w:pPr>
        <w:jc w:val="both"/>
        <w:rPr>
          <w:color w:val="000000" w:themeColor="text1"/>
          <w:sz w:val="16"/>
          <w:szCs w:val="16"/>
        </w:rPr>
      </w:pPr>
      <w:r w:rsidRPr="00F90EAE">
        <w:rPr>
          <w:color w:val="000000" w:themeColor="text1"/>
          <w:sz w:val="16"/>
          <w:szCs w:val="16"/>
        </w:rPr>
        <w:t>КБ-1 ЛМЗ</w:t>
      </w:r>
    </w:p>
    <w:p w14:paraId="6FE02140" w14:textId="77777777" w:rsidR="00665165" w:rsidRPr="00F90EAE" w:rsidRDefault="00665165" w:rsidP="00F90EAE">
      <w:pPr>
        <w:jc w:val="both"/>
        <w:rPr>
          <w:color w:val="000000" w:themeColor="text1"/>
          <w:sz w:val="16"/>
          <w:szCs w:val="16"/>
        </w:rPr>
      </w:pPr>
      <w:r w:rsidRPr="00F90EAE">
        <w:rPr>
          <w:color w:val="000000" w:themeColor="text1"/>
          <w:sz w:val="16"/>
          <w:szCs w:val="16"/>
        </w:rPr>
        <w:t>До ВОВ - разработка корабельных артиллерийских башен.61 В 1920-е  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0468762F" w14:textId="77777777" w:rsidR="00665165" w:rsidRPr="00F90EAE" w:rsidRDefault="00665165" w:rsidP="00F90EAE">
      <w:pPr>
        <w:jc w:val="both"/>
        <w:rPr>
          <w:color w:val="000000" w:themeColor="text1"/>
          <w:sz w:val="16"/>
          <w:szCs w:val="16"/>
        </w:rPr>
      </w:pPr>
      <w:r w:rsidRPr="00F90EAE">
        <w:rPr>
          <w:color w:val="000000" w:themeColor="text1"/>
          <w:sz w:val="16"/>
          <w:szCs w:val="16"/>
        </w:rPr>
        <w:t>В конце 1940-х  г. начата разработка 3-орудийной башенной установки СМ-31 для 305-мм пушек СМ-33 (совместно с ЦКБ-34), в 1953 г. работы прекращены.</w:t>
      </w:r>
    </w:p>
    <w:p w14:paraId="368AAC23" w14:textId="77777777" w:rsidR="00665165" w:rsidRPr="00F90EAE" w:rsidRDefault="00665165" w:rsidP="00F90EAE">
      <w:pPr>
        <w:jc w:val="both"/>
        <w:rPr>
          <w:color w:val="000000" w:themeColor="text1"/>
          <w:sz w:val="16"/>
          <w:szCs w:val="16"/>
        </w:rPr>
      </w:pPr>
      <w:r w:rsidRPr="00F90EAE">
        <w:rPr>
          <w:color w:val="000000" w:themeColor="text1"/>
          <w:sz w:val="16"/>
          <w:szCs w:val="16"/>
        </w:rPr>
        <w:t>Заведующий (1920-е)- Р.Н. Вульф. Начальник (-1941 г.)- Т.Д. Вылкост.</w:t>
      </w:r>
    </w:p>
    <w:p w14:paraId="00FA8400" w14:textId="77777777" w:rsidR="00665165" w:rsidRPr="00F90EAE" w:rsidRDefault="00665165" w:rsidP="00F90EAE">
      <w:pPr>
        <w:jc w:val="both"/>
        <w:rPr>
          <w:color w:val="000000" w:themeColor="text1"/>
          <w:sz w:val="16"/>
          <w:szCs w:val="16"/>
        </w:rPr>
      </w:pPr>
      <w:r w:rsidRPr="00F90EAE">
        <w:rPr>
          <w:color w:val="000000" w:themeColor="text1"/>
          <w:sz w:val="16"/>
          <w:szCs w:val="16"/>
        </w:rPr>
        <w:t>ОАО «Силовые машины»</w:t>
      </w:r>
    </w:p>
    <w:p w14:paraId="25A699D7" w14:textId="77777777" w:rsidR="00665165" w:rsidRPr="00F90EAE" w:rsidRDefault="00665165" w:rsidP="00F90EAE">
      <w:pPr>
        <w:jc w:val="both"/>
        <w:rPr>
          <w:color w:val="000000" w:themeColor="text1"/>
          <w:sz w:val="16"/>
          <w:szCs w:val="16"/>
        </w:rPr>
      </w:pPr>
      <w:r w:rsidRPr="00F90EAE">
        <w:rPr>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03689C89" w14:textId="77777777" w:rsidR="00665165" w:rsidRPr="00F90EAE" w:rsidRDefault="00665165" w:rsidP="00F90EAE">
      <w:pPr>
        <w:jc w:val="both"/>
        <w:rPr>
          <w:color w:val="000000" w:themeColor="text1"/>
          <w:sz w:val="16"/>
          <w:szCs w:val="16"/>
        </w:rPr>
      </w:pPr>
      <w:r w:rsidRPr="00F90EAE">
        <w:rPr>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5F49E110" w14:textId="77777777" w:rsidR="00665165" w:rsidRPr="00F90EAE" w:rsidRDefault="00665165" w:rsidP="00F90EAE">
      <w:pPr>
        <w:jc w:val="both"/>
        <w:rPr>
          <w:color w:val="000000" w:themeColor="text1"/>
          <w:sz w:val="16"/>
          <w:szCs w:val="16"/>
        </w:rPr>
      </w:pPr>
      <w:r w:rsidRPr="00F90EAE">
        <w:rPr>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04C083B" w14:textId="77777777" w:rsidR="00665165" w:rsidRPr="00F90EAE" w:rsidRDefault="00665165" w:rsidP="00F90EAE">
      <w:pPr>
        <w:jc w:val="both"/>
        <w:rPr>
          <w:color w:val="000000" w:themeColor="text1"/>
          <w:sz w:val="16"/>
          <w:szCs w:val="16"/>
        </w:rPr>
      </w:pPr>
      <w:r w:rsidRPr="00F90EAE">
        <w:rPr>
          <w:color w:val="000000" w:themeColor="text1"/>
          <w:sz w:val="16"/>
          <w:szCs w:val="16"/>
        </w:rPr>
        <w:t>Начальники управлений: информационных технологий (2007 г.)- А.Л. Банкевич.</w:t>
      </w:r>
    </w:p>
    <w:p w14:paraId="6FE48052" w14:textId="77777777" w:rsidR="00665165" w:rsidRPr="00F90EAE" w:rsidRDefault="00665165" w:rsidP="00F90EAE">
      <w:pPr>
        <w:jc w:val="both"/>
        <w:rPr>
          <w:color w:val="000000" w:themeColor="text1"/>
          <w:sz w:val="16"/>
          <w:szCs w:val="16"/>
        </w:rPr>
      </w:pPr>
      <w:r w:rsidRPr="00F90EAE">
        <w:rPr>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2C1BAF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Глухоозерский механический завод основан в 1914 г.</w:t>
      </w:r>
    </w:p>
    <w:p w14:paraId="3D1BD5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FD37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18.12.1992 г. завод преобразован в АООТ, затем - ОАО «ЗТЛ».</w:t>
      </w:r>
      <w:r w:rsidRPr="00F90EAE">
        <w:rPr>
          <w:color w:val="000000" w:themeColor="text1"/>
          <w:sz w:val="16"/>
          <w:szCs w:val="16"/>
          <w:vertAlign w:val="superscript"/>
        </w:rPr>
        <w:t>131</w:t>
      </w:r>
    </w:p>
    <w:p w14:paraId="1E6EDE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Гендиректор (-2003-04 г.-)- А.П. Балашов. Директор филиала (2005 г.)- А.П. Балашов (11982).</w:t>
      </w:r>
    </w:p>
    <w:p w14:paraId="1E688B3F" w14:textId="77777777" w:rsidR="00524C9D" w:rsidRPr="00F90EAE" w:rsidRDefault="00524C9D" w:rsidP="00F90EAE">
      <w:pPr>
        <w:autoSpaceDE w:val="0"/>
        <w:autoSpaceDN w:val="0"/>
        <w:adjustRightInd w:val="0"/>
        <w:jc w:val="both"/>
        <w:rPr>
          <w:color w:val="000000" w:themeColor="text1"/>
          <w:sz w:val="16"/>
          <w:szCs w:val="16"/>
        </w:rPr>
      </w:pPr>
    </w:p>
    <w:p w14:paraId="2BB2A3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7851 Об организации производства высоконапорных насосов на заводе имени Фрунзе Наркомминвооружения. РГАНИР, Фонд ГКО, д. 382, лл. 9-11, 12-13 (11012).</w:t>
      </w:r>
    </w:p>
    <w:p w14:paraId="7F46178C" w14:textId="77777777" w:rsidR="00665165" w:rsidRPr="00F90EAE" w:rsidRDefault="00665165" w:rsidP="00F90EAE">
      <w:pPr>
        <w:autoSpaceDE w:val="0"/>
        <w:autoSpaceDN w:val="0"/>
        <w:adjustRightInd w:val="0"/>
        <w:jc w:val="both"/>
        <w:rPr>
          <w:color w:val="000000" w:themeColor="text1"/>
          <w:sz w:val="16"/>
          <w:szCs w:val="16"/>
        </w:rPr>
      </w:pPr>
    </w:p>
    <w:p w14:paraId="3F025F2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7852 О мероприятиях по обеспечению лесными материалами предприятий НКВД СССР Печорского угольного бассейна. (7317, 14-16,17).</w:t>
      </w:r>
    </w:p>
    <w:p w14:paraId="590845D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D6BFC3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7853 О развитии добычи и переработки нефти, производства сажи и радия по Ухтинскому комбинату НКВД СССР. (7317, 18-25,26-46).</w:t>
      </w:r>
    </w:p>
    <w:p w14:paraId="22B7527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DE2C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г. вышло постановление ГКО № 7853 о развитии добычи и переработки нефти, производстве сажи и радия на комбинате (Завод № 226 ММП, МСМ, МЭП, п/я 3179, Ухтинский комбинат МСМ, Завод «Комиэлектростеатит», ОАО «Ухтинский электрокерамический завод «Прогресс», ООО «Электрокерамический завод «Прогресс» /Коми  г. Ухта р/п Водный/).</w:t>
      </w:r>
    </w:p>
    <w:p w14:paraId="30EF01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1953 г. завод № 226 передан из ММП в МСМ, распоряжением СМ № 6964-рс от 29.11.1956 г. завод с 1957 г. передан из МСМ в МЭТП.</w:t>
      </w:r>
    </w:p>
    <w:p w14:paraId="5C194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радия (к 1952  г. - 271 гр., в 1956 - 114 гр.).</w:t>
      </w:r>
    </w:p>
    <w:p w14:paraId="501BC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комбинате действовало ОПБ-4. Комбинат находился в ведении предприятия «п/я 979».</w:t>
      </w:r>
      <w:r w:rsidRPr="00F90EAE">
        <w:rPr>
          <w:color w:val="000000" w:themeColor="text1"/>
          <w:sz w:val="16"/>
          <w:szCs w:val="16"/>
          <w:vertAlign w:val="superscript"/>
        </w:rPr>
        <w:t>78</w:t>
      </w:r>
    </w:p>
    <w:p w14:paraId="54DF6B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«Комиэлектростеатит» основан в 1957 г. на дезактивированной площадке ликвидированного завода № 226. В 1966 г. его переименовали в завод «Прогресс». В 1997 г. завод преобразован в ОАО «Ухтинский электрокерамический завод «Прогресс», далее - ООО «Электрокерамический завод «Прогресс».</w:t>
      </w:r>
    </w:p>
    <w:p w14:paraId="1A3BD0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1958 г. освоен выпуск электрокерамических, радиокерамических материалов, изоляторов, электроустановочных изделий и пьезокерамики, керамических высоковольтных конденсаторов. В 1980 г. освоено производство оксидноцинковых варисторов. С 1996 г. предприятие производит броневые плиты из ударовязкой корундовой керамики для изготовления бронежилетов высших классов защиты и оснащения бронетехники. С 1998 г. выпускаются усилители искры УИ-01 для повышения эффективности работы двигателей внутреннего сгорания. Производство ТЕП (электроустановочные изделия, замочно-скобяные и металлоизделия, изделия из пластмасс).</w:t>
      </w:r>
    </w:p>
    <w:p w14:paraId="03AFB0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(1957-87 г.)- Н.Е.Волков. Гендиректор (2007 г.)- В.К.Кудрявцев.</w:t>
      </w:r>
    </w:p>
    <w:p w14:paraId="061365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(1956 г.)- И.В.Дахно (11982).</w:t>
      </w:r>
    </w:p>
    <w:p w14:paraId="313B5613" w14:textId="77777777" w:rsidR="00665165" w:rsidRPr="00F90EAE" w:rsidRDefault="00665165" w:rsidP="00F90EAE">
      <w:pPr>
        <w:autoSpaceDE w:val="0"/>
        <w:autoSpaceDN w:val="0"/>
        <w:adjustRightInd w:val="0"/>
        <w:jc w:val="both"/>
        <w:rPr>
          <w:color w:val="000000" w:themeColor="text1"/>
          <w:sz w:val="16"/>
          <w:szCs w:val="16"/>
        </w:rPr>
      </w:pPr>
    </w:p>
    <w:p w14:paraId="4C61EA3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вышло Распоряжение ГКО № 7854 [О выделении 10 т бензина для перевозки жидкого кислорода предприятиям Москвы и области.] (7317, 47).</w:t>
      </w:r>
    </w:p>
    <w:p w14:paraId="636365F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74ADB9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DD61DAC" w14:textId="77777777" w:rsidR="00665165" w:rsidRPr="00F90EAE" w:rsidRDefault="00665165" w:rsidP="00F90EAE">
      <w:pPr>
        <w:autoSpaceDE w:val="0"/>
        <w:autoSpaceDN w:val="0"/>
        <w:adjustRightInd w:val="0"/>
        <w:jc w:val="both"/>
        <w:rPr>
          <w:iCs/>
          <w:color w:val="000000" w:themeColor="text1"/>
          <w:sz w:val="16"/>
          <w:szCs w:val="16"/>
        </w:rPr>
      </w:pPr>
    </w:p>
    <w:p w14:paraId="6A3D1AC9"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оперативная сводка Совинформбюро:</w:t>
      </w:r>
    </w:p>
    <w:p w14:paraId="45397FEA" w14:textId="77777777" w:rsidR="00524C9D" w:rsidRPr="00F90EAE" w:rsidRDefault="00524C9D" w:rsidP="00F90EAE">
      <w:pPr>
        <w:jc w:val="both"/>
        <w:rPr>
          <w:color w:val="000000" w:themeColor="text1"/>
          <w:sz w:val="16"/>
          <w:szCs w:val="16"/>
        </w:rPr>
      </w:pPr>
      <w:r w:rsidRPr="00F90EAE">
        <w:rPr>
          <w:color w:val="000000" w:themeColor="text1"/>
          <w:sz w:val="16"/>
          <w:szCs w:val="16"/>
        </w:rPr>
        <w:t>«В течение 16 марта юго-западнее Кенигсберга наши войска, продолжая наступление, заняли населённые пункты Покарбен, Тенген, Шойшен, Весделен, Кранцберг, Штобекен, Фуксберг, Йарфтталь, Фройденталь, Лаутербах, Френзельсвальде, Герцогсвальде. За 15 марта в этом районе взято в плен более 600 немецких солдат и офицеров.</w:t>
      </w:r>
    </w:p>
    <w:p w14:paraId="49ED0741" w14:textId="77777777" w:rsidR="00524C9D" w:rsidRPr="00F90EAE" w:rsidRDefault="00524C9D" w:rsidP="00F90EAE">
      <w:pPr>
        <w:jc w:val="both"/>
        <w:rPr>
          <w:color w:val="000000" w:themeColor="text1"/>
          <w:sz w:val="16"/>
          <w:szCs w:val="16"/>
        </w:rPr>
      </w:pPr>
      <w:r w:rsidRPr="00F90EAE">
        <w:rPr>
          <w:color w:val="000000" w:themeColor="text1"/>
          <w:sz w:val="16"/>
          <w:szCs w:val="16"/>
        </w:rPr>
        <w:t>Западнее и северо-западнее Данцига наши войска в результате наступательных боёв заняли населённые пункты Жуково (Цукау), Пемпау, Банин, Рамкау, Эспенкруг. За 15 марта в этом районе наши войска взяли в плен более 700 немецких солдат и офицеров.</w:t>
      </w:r>
    </w:p>
    <w:p w14:paraId="253C1AE3" w14:textId="77777777" w:rsidR="00524C9D" w:rsidRPr="00F90EAE" w:rsidRDefault="00524C9D" w:rsidP="00F90EAE">
      <w:pPr>
        <w:jc w:val="both"/>
        <w:rPr>
          <w:color w:val="000000" w:themeColor="text1"/>
          <w:sz w:val="16"/>
          <w:szCs w:val="16"/>
        </w:rPr>
      </w:pPr>
      <w:r w:rsidRPr="00F90EAE">
        <w:rPr>
          <w:color w:val="000000" w:themeColor="text1"/>
          <w:sz w:val="16"/>
          <w:szCs w:val="16"/>
        </w:rPr>
        <w:t>На Штеттинском направлении наши войска вели бои по ликвидации плацдарма немцев на восточном берегу Одера, заняв при этом город Грайфенхаген и населённые пункты Розенгартен, Брюнкен, Ной Брюнкен, Винтерсфельде.</w:t>
      </w:r>
    </w:p>
    <w:p w14:paraId="0DE03AE1" w14:textId="77777777" w:rsidR="00524C9D" w:rsidRPr="00F90EAE" w:rsidRDefault="00524C9D" w:rsidP="00F90EAE">
      <w:pPr>
        <w:jc w:val="both"/>
        <w:rPr>
          <w:color w:val="000000" w:themeColor="text1"/>
          <w:sz w:val="16"/>
          <w:szCs w:val="16"/>
        </w:rPr>
      </w:pPr>
      <w:r w:rsidRPr="00F90EAE">
        <w:rPr>
          <w:color w:val="000000" w:themeColor="text1"/>
          <w:sz w:val="16"/>
          <w:szCs w:val="16"/>
        </w:rPr>
        <w:t>В Венгрии северо-восточнее озера Балатон атаки танковых частей немцев, понесших в предыдущих боях большие потери, значительно ослабели.</w:t>
      </w:r>
    </w:p>
    <w:p w14:paraId="6E3F76FE" w14:textId="77777777" w:rsidR="00524C9D" w:rsidRPr="00F90EAE" w:rsidRDefault="00524C9D"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13C4E364" w14:textId="77777777" w:rsidR="00524C9D" w:rsidRPr="00F90EAE" w:rsidRDefault="00524C9D" w:rsidP="00F90EAE">
      <w:pPr>
        <w:jc w:val="both"/>
        <w:rPr>
          <w:color w:val="000000" w:themeColor="text1"/>
          <w:sz w:val="16"/>
          <w:szCs w:val="16"/>
        </w:rPr>
      </w:pPr>
      <w:r w:rsidRPr="00F90EAE">
        <w:rPr>
          <w:color w:val="000000" w:themeColor="text1"/>
          <w:sz w:val="16"/>
          <w:szCs w:val="16"/>
        </w:rPr>
        <w:t>За 15 марта на всех фронтах подбито и уничтожено 63 немецких танка и самоходных орудия. В воздушных боях и огнём зенитной артиллерии сбито 33 самолёта противника.</w:t>
      </w:r>
    </w:p>
    <w:p w14:paraId="03542336" w14:textId="77777777" w:rsidR="00524C9D" w:rsidRPr="00F90EAE" w:rsidRDefault="00524C9D" w:rsidP="00F90EAE">
      <w:pPr>
        <w:jc w:val="both"/>
        <w:rPr>
          <w:color w:val="000000" w:themeColor="text1"/>
          <w:sz w:val="16"/>
          <w:szCs w:val="16"/>
        </w:rPr>
      </w:pPr>
      <w:r w:rsidRPr="00F90EAE">
        <w:rPr>
          <w:color w:val="000000" w:themeColor="text1"/>
          <w:sz w:val="16"/>
          <w:szCs w:val="16"/>
        </w:rPr>
        <w:t>Налёт нашей авиации на железнодорожный узел Веспрем в Венгрии</w:t>
      </w:r>
    </w:p>
    <w:p w14:paraId="4DD784B7" w14:textId="77777777" w:rsidR="00524C9D" w:rsidRPr="00F90EAE" w:rsidRDefault="00524C9D" w:rsidP="00F90EAE">
      <w:pPr>
        <w:jc w:val="both"/>
        <w:rPr>
          <w:color w:val="000000" w:themeColor="text1"/>
          <w:sz w:val="16"/>
          <w:szCs w:val="16"/>
        </w:rPr>
      </w:pPr>
      <w:r w:rsidRPr="00F90EAE">
        <w:rPr>
          <w:color w:val="000000" w:themeColor="text1"/>
          <w:sz w:val="16"/>
          <w:szCs w:val="16"/>
        </w:rPr>
        <w:t>В ночь на 16 марта наши тяжёлые бомбардировщики вновь нанесли удар по железнодорожному узлу Веспрем в Венгрии.</w:t>
      </w:r>
    </w:p>
    <w:p w14:paraId="600B3FDD" w14:textId="77777777" w:rsidR="00524C9D" w:rsidRPr="00F90EAE" w:rsidRDefault="00524C9D" w:rsidP="00F90EAE">
      <w:pPr>
        <w:jc w:val="both"/>
        <w:rPr>
          <w:color w:val="000000" w:themeColor="text1"/>
          <w:sz w:val="16"/>
          <w:szCs w:val="16"/>
        </w:rPr>
      </w:pPr>
      <w:r w:rsidRPr="00F90EAE">
        <w:rPr>
          <w:color w:val="000000" w:themeColor="text1"/>
          <w:sz w:val="16"/>
          <w:szCs w:val="16"/>
        </w:rPr>
        <w:t>В результате бомбардировки на железнодорожном узле возникли пожары, сопровождавшиеся взрывами.</w:t>
      </w:r>
    </w:p>
    <w:p w14:paraId="2A9DFAE5" w14:textId="77777777" w:rsidR="00524C9D" w:rsidRPr="00F90EAE" w:rsidRDefault="00524C9D"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сжимать кольцо окружения Восточно-Прусской группы войск противника. Немцы, зажатые на узкой прибрежной полосе, оказывают отчаянное сопротивление. Особенно ожесточённые бои происходили к западу от населённого пункта Бладиау, занятого вчера нашими войсками. Бладиау — узел шоссейных дорог. Овладев им, советские части перерезали последнюю, находившуюся в руках немцев, шоссейную магистраль, идущую вдоль линии фронта. Противник пытался восстановить положение и предпринял ряд атак, но успеха не добился. Советские части отбили вражеские атаки и, продвинувшись вперёд, захватили выгодные позиции. Другие наши части переправились через реку Лаутер и стремительной атакой заняли опорный пункт обороны немцев Фройденталь. В боях за день противник потерял только убитыми свыше 4 тысяч солдат и офицеров. Захвачено у немцев 6 танков, 50 орудий, 33 миномета и 128 пулемётов.</w:t>
      </w:r>
    </w:p>
    <w:p w14:paraId="09AEF577" w14:textId="77777777" w:rsidR="00524C9D" w:rsidRPr="00F90EAE" w:rsidRDefault="00524C9D" w:rsidP="00F90EAE">
      <w:pPr>
        <w:jc w:val="both"/>
        <w:rPr>
          <w:color w:val="000000" w:themeColor="text1"/>
          <w:sz w:val="16"/>
          <w:szCs w:val="16"/>
        </w:rPr>
      </w:pPr>
      <w:r w:rsidRPr="00F90EAE">
        <w:rPr>
          <w:color w:val="000000" w:themeColor="text1"/>
          <w:sz w:val="16"/>
          <w:szCs w:val="16"/>
        </w:rPr>
        <w:t>Западнее и северо-западнее Данцига наши войска вели бои на внешнем оборонительном обводе данцигско-гдынского укреплённого района. Этот обвод состоит из глубокого противотанкового рва, нескольких линий траншей и большого количества дотов и дзотов. На узком участке немцы сосредоточили много артиллерийских и миномётных батарей. Все оборонительные сооружения прикрыты густой сетью проволочных заграждений и минными полями. Особенно сильно укреплены населённые пункты, прикрывающие дороги к Данцигу и Гдыне. Советские части, с боями продвигаясь вперёд, вышли на южные, западные и северные окраины населённого пункта Жувово (Цукау). Крупный гарнизон противника засел в дотах, каменных знаниях и сильным огнём пытался преградить путь нашим частям. Советские пехотинцы и артиллеристы подавили очаги вражеского сопротивления и овладели Жуково (Цукау). На другом участке наши войска отразили несколько контратак пехоты и танков противника, поддержанных огнём артиллерии военных кораблей. Перед нашими позициями остались сотни вражеских трупов. Захвачены трофеи, в числе которых 5 танков, 7 паровозов, 120 вагонов и 5 складов с военным имуществом.</w:t>
      </w:r>
    </w:p>
    <w:p w14:paraId="180B9AA5" w14:textId="77777777" w:rsidR="00524C9D" w:rsidRPr="00F90EAE" w:rsidRDefault="00524C9D" w:rsidP="00F90EAE">
      <w:pPr>
        <w:jc w:val="both"/>
        <w:rPr>
          <w:color w:val="000000" w:themeColor="text1"/>
          <w:sz w:val="16"/>
          <w:szCs w:val="16"/>
        </w:rPr>
      </w:pPr>
      <w:r w:rsidRPr="00F90EAE">
        <w:rPr>
          <w:color w:val="000000" w:themeColor="text1"/>
          <w:sz w:val="16"/>
          <w:szCs w:val="16"/>
        </w:rPr>
        <w:t>На Штеттинском направлении наши войска вели бои по ликвидации плацдарма противника на восточном берегу Одера. Немцы, пытаясь любой ценой удержать плацдарм в своих руках, сосредоточили здесь крупные силы танков, артиллерии и пехоты. Опираясь на заранее подготовленные укрепления, противник оказывает упорное сопротивление. После ожесточённых боёв советские части, продвигающиеся вдоль Одера на север, с трёх сторон вышли в городу Грайфенхаген. Гарнизон противника был прижат в реке и разгромлен. Овладев городом Грайфенхаген, важным опорным пунктом обороны немцев на восточном берегу Одера, наши бойцы захватили много оружия и военных материалов. На другом участке наши войска заняли селение Розенгартен и перекрёсток шоссейных дорог в 3 километрах к юго-востоку от города Альтдамм. Взято в плен более 500 немцев.</w:t>
      </w:r>
    </w:p>
    <w:p w14:paraId="10385934" w14:textId="77777777" w:rsidR="00524C9D" w:rsidRPr="00F90EAE" w:rsidRDefault="00524C9D" w:rsidP="00F90EAE">
      <w:pPr>
        <w:jc w:val="both"/>
        <w:rPr>
          <w:color w:val="000000" w:themeColor="text1"/>
          <w:sz w:val="16"/>
          <w:szCs w:val="16"/>
        </w:rPr>
      </w:pPr>
      <w:r w:rsidRPr="00F90EAE">
        <w:rPr>
          <w:color w:val="000000" w:themeColor="text1"/>
          <w:sz w:val="16"/>
          <w:szCs w:val="16"/>
        </w:rPr>
        <w:t>За последнее время поступают сообщения о росте дезертирства в немецкой армии. Солдаты разгромленных немецких частей и подразделений в одиночку и мелкими группами уходят в тыл, бродят в лесах, переодеваются в гражданское платье и укрываются в населённых пунктах. Немецкое командование жестоко расправляется с дезертирами. Пленные сообщают, что в ряде немецких городов повешены и расстреляны группы солдат, бежавших с фронта и пойманных в тылу.</w:t>
      </w:r>
    </w:p>
    <w:p w14:paraId="5CC2C847" w14:textId="77777777" w:rsidR="00524C9D" w:rsidRPr="00F90EAE" w:rsidRDefault="00524C9D" w:rsidP="00F90EAE">
      <w:pPr>
        <w:jc w:val="both"/>
        <w:rPr>
          <w:color w:val="000000" w:themeColor="text1"/>
          <w:sz w:val="16"/>
          <w:szCs w:val="16"/>
        </w:rPr>
      </w:pPr>
      <w:r w:rsidRPr="00F90EAE">
        <w:rPr>
          <w:color w:val="000000" w:themeColor="text1"/>
          <w:sz w:val="16"/>
          <w:szCs w:val="16"/>
        </w:rPr>
        <w:t>Пленный солдат 171 полка 56 немец-вой пехотной дивизии Людвиг Гайзлер рассказал: «В Кенигсберге укрывается очень много солдат, покинувших свои подразделения. Несколько дней назад в городе было расстреляно 80 дезертиров». По заявлению солдат 690-го полка 337-й немецкой пехот--ной дивизии в Данциге были публично повешены 28 солдат. Пленные солдаты 550-го немецкого штрафного батальона Отто Балдер и Роберт Брюкнер рассказали: «В городе Пиллау военные власти почти ежедневно производят казни. За один день было расстреляно 14 солдат. Кроме того, в порту у маяка были повешены семь солдат и один офицер».</w:t>
      </w:r>
    </w:p>
    <w:p w14:paraId="378A21F6" w14:textId="77777777" w:rsidR="00524C9D" w:rsidRPr="00F90EAE" w:rsidRDefault="00524C9D" w:rsidP="00F90EAE">
      <w:pPr>
        <w:jc w:val="both"/>
        <w:rPr>
          <w:color w:val="000000" w:themeColor="text1"/>
          <w:sz w:val="16"/>
          <w:szCs w:val="16"/>
        </w:rPr>
      </w:pPr>
      <w:r w:rsidRPr="00F90EAE">
        <w:rPr>
          <w:color w:val="000000" w:themeColor="text1"/>
          <w:sz w:val="16"/>
          <w:szCs w:val="16"/>
        </w:rPr>
        <w:t>Перешедший на сторону Красной Армии мобилизованный в немецкую армию поляк Тадеуш Кеповский рассказал: «Недавно я был в Штеттине. В городе висели большие объявления о том, что за бегство с поля боя и дезертирство расстреляно 150 солдат и офицеров. В объявлениях были перечислены фамилии и адреса казнённых» (15070).</w:t>
      </w:r>
    </w:p>
    <w:p w14:paraId="4945AFDC" w14:textId="77777777" w:rsidR="00524C9D" w:rsidRPr="00F90EAE" w:rsidRDefault="00524C9D" w:rsidP="00F90EAE">
      <w:pPr>
        <w:jc w:val="both"/>
        <w:rPr>
          <w:color w:val="000000" w:themeColor="text1"/>
          <w:sz w:val="16"/>
          <w:szCs w:val="16"/>
        </w:rPr>
      </w:pPr>
    </w:p>
    <w:p w14:paraId="11786E6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марта 1945 советские войска начали Венскую наступательную операцию (4962) , стратегическая наступательная операция войск 3-го и лев. крыла 2-го Украинского фр.,проведённая 16 марта - 15 апреля с целью завершения разгрома немецко-фашистских войск в зап. части Венгрии и освобождения столицы Австрии - Вены (4963 ).</w:t>
      </w:r>
    </w:p>
    <w:p w14:paraId="54312DD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DB7FCD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16 1945 Russians begin offensive against Vienna (1037).</w:t>
      </w:r>
    </w:p>
    <w:p w14:paraId="166CF592" w14:textId="77777777" w:rsidR="00665165" w:rsidRPr="00F90EAE" w:rsidRDefault="00665165" w:rsidP="00F90EAE">
      <w:pPr>
        <w:autoSpaceDE w:val="0"/>
        <w:autoSpaceDN w:val="0"/>
        <w:adjustRightInd w:val="0"/>
        <w:jc w:val="both"/>
        <w:rPr>
          <w:color w:val="000000" w:themeColor="text1"/>
          <w:sz w:val="16"/>
          <w:szCs w:val="16"/>
          <w:lang w:val="en-US"/>
        </w:rPr>
      </w:pPr>
    </w:p>
    <w:p w14:paraId="6D158D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началось наступление СА (3УФ Ф.И.Толбухина) на Вену (1037) и операция шла до 15 апреля 1945. Разбили 32 дивизии и в плен взяли 130 тыс. балканская группировка оказалась изолированной (2438,135).</w:t>
      </w:r>
    </w:p>
    <w:p w14:paraId="6EE508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подготовке Венской операции на воздушную разведку ВА затрачивалось до 25-30% всех самолетовылетов (518,121).</w:t>
      </w:r>
    </w:p>
    <w:p w14:paraId="637D8D1A" w14:textId="77777777" w:rsidR="00665165" w:rsidRPr="00F90EAE" w:rsidRDefault="00665165" w:rsidP="00F90EAE">
      <w:pPr>
        <w:autoSpaceDE w:val="0"/>
        <w:autoSpaceDN w:val="0"/>
        <w:adjustRightInd w:val="0"/>
        <w:jc w:val="both"/>
        <w:rPr>
          <w:color w:val="000000" w:themeColor="text1"/>
          <w:sz w:val="16"/>
          <w:szCs w:val="16"/>
        </w:rPr>
      </w:pPr>
    </w:p>
    <w:p w14:paraId="629B11C2"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началась Венская стратегическая наступательная операция советских войск 3-го, левого крыла 2-го Украинских фронтов (маршалы Советского Союза Ф.И.Толбухин и Р.Я.Малиновский), Дунайской военной флотилии при участии болгарских и югославских войск. Завершилась 15 апреля. В результате операции была освобождена Венгрия и полностью очищена от врага восточная часть Австрии с ее столицей Веной. Советские войска начали Венскую наступательную операцию непосредственно после успешного завершения Балатонской оборонительной операции 1945 года. Войска 2-го и 3-го Украинских фронтов (маршалы Р.Я.Малиновский и Ф.И.Толбухин) разгромили немецкую группу армий «Юг» (генерал пехоты О.Велер) и освободили Вену (13 апреля). Продолжая преследование разбитых вражеских </w:t>
      </w:r>
      <w:r w:rsidRPr="00F90EAE">
        <w:rPr>
          <w:color w:val="000000" w:themeColor="text1"/>
          <w:sz w:val="16"/>
          <w:szCs w:val="16"/>
        </w:rPr>
        <w:lastRenderedPageBreak/>
        <w:t>соединений, советские войска 15 апреля вышли на линию Штоккерау, Санкт-Пёльтен, Марибор и далее по северному берегу реки Дравы. Только в период боев за Вену и преследования советские войска взяли в плен 130 000 человек, захватили и уничтожили 1345 танков и штурмовых орудий, свыше 2250 орудий и минометов; было полностью разбито 11 немецких дивизий, в том числе вся 6-я танковая армия СС. В результате Венской операции завершилось освобождение Венгрии, была полностью очищена от врага восточная часть Австрии. В память боев за Вену советское правительство учредило медаль "За взятие Вены" (15070).</w:t>
      </w:r>
    </w:p>
    <w:p w14:paraId="72052E38" w14:textId="77777777" w:rsidR="00524C9D" w:rsidRPr="00F90EAE" w:rsidRDefault="00524C9D" w:rsidP="00F90EAE">
      <w:pPr>
        <w:jc w:val="both"/>
        <w:rPr>
          <w:color w:val="000000" w:themeColor="text1"/>
          <w:sz w:val="16"/>
          <w:szCs w:val="16"/>
        </w:rPr>
      </w:pPr>
    </w:p>
    <w:p w14:paraId="4BCB060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16th, 1945: In Hungary, the Soviet 2nd Ukrainian Front (Tolbukhin) begins an offensive toward Lake Balaton. In the East, the German heavy vessels Schlesien and Prinz Eugen support the forces of Heeresgruppe Kurland in their defense against heavy Soviet attacks to break up the Kessel. The US 8th Air Force launches a massive attack (675 bombers) against the HQ complex of the OKH at Zossen 20 miles south of Berlin, but with minimal effect (3819).</w:t>
      </w:r>
    </w:p>
    <w:p w14:paraId="46B2A20B" w14:textId="77777777" w:rsidR="00665165" w:rsidRPr="00F90EAE" w:rsidRDefault="00665165" w:rsidP="00F90EAE">
      <w:pPr>
        <w:autoSpaceDE w:val="0"/>
        <w:autoSpaceDN w:val="0"/>
        <w:adjustRightInd w:val="0"/>
        <w:jc w:val="both"/>
        <w:rPr>
          <w:color w:val="000000" w:themeColor="text1"/>
          <w:sz w:val="16"/>
          <w:szCs w:val="16"/>
          <w:lang w:val="en-US"/>
        </w:rPr>
      </w:pPr>
    </w:p>
    <w:p w14:paraId="4DFF4A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 Венгрии 2УФ (Толбухин) начал наступление на о Балатон. Тяжелые крейсера Шлезиен и Принц Йоген поддерживали огнем силы Группы Курляндия в попытках прорваться к Кесселю. 8ВА США выполнила массированный налет (675 бомбардировщиков) на комплекс штаба Верховного ГК в Цоссене в 20 милях на юг от Берлина, но с минимальными результатами (3819).</w:t>
      </w:r>
    </w:p>
    <w:p w14:paraId="55DEB2AB" w14:textId="77777777" w:rsidR="00665165" w:rsidRPr="00F90EAE" w:rsidRDefault="00665165" w:rsidP="00F90EAE">
      <w:pPr>
        <w:autoSpaceDE w:val="0"/>
        <w:autoSpaceDN w:val="0"/>
        <w:adjustRightInd w:val="0"/>
        <w:jc w:val="both"/>
        <w:rPr>
          <w:color w:val="000000" w:themeColor="text1"/>
          <w:sz w:val="16"/>
          <w:szCs w:val="16"/>
        </w:rPr>
      </w:pPr>
    </w:p>
    <w:p w14:paraId="5B791C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7855 О восстановлении и строительстве в 1945 году аэродромов и аэродромных сооружений для ВВС Красной Армии, ВВС Военно-Морского Флота и ГУГВФ. РГАНИР, Фонд ГКО, д. 382, лл. 48-57, 58-105 (11012).</w:t>
      </w:r>
    </w:p>
    <w:p w14:paraId="5037939E" w14:textId="77777777" w:rsidR="00665165" w:rsidRPr="00F90EAE" w:rsidRDefault="00665165" w:rsidP="00F90EAE">
      <w:pPr>
        <w:autoSpaceDE w:val="0"/>
        <w:autoSpaceDN w:val="0"/>
        <w:adjustRightInd w:val="0"/>
        <w:jc w:val="both"/>
        <w:rPr>
          <w:color w:val="000000" w:themeColor="text1"/>
          <w:sz w:val="16"/>
          <w:szCs w:val="16"/>
        </w:rPr>
      </w:pPr>
    </w:p>
    <w:p w14:paraId="7F26F88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5183A1E" w14:textId="77777777" w:rsidR="00665165" w:rsidRPr="00F90EAE" w:rsidRDefault="00665165" w:rsidP="00F90EAE">
      <w:pPr>
        <w:autoSpaceDE w:val="0"/>
        <w:autoSpaceDN w:val="0"/>
        <w:adjustRightInd w:val="0"/>
        <w:jc w:val="both"/>
        <w:rPr>
          <w:iCs/>
          <w:color w:val="000000" w:themeColor="text1"/>
          <w:sz w:val="16"/>
          <w:szCs w:val="16"/>
        </w:rPr>
      </w:pPr>
    </w:p>
    <w:p w14:paraId="5D7A4E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марта 1945 вышло Постановление ГКО № 7843 Об оказании помощи населению Закарпатской Украины продовольствием, семенами и промышленными товарами. РГАНИР, Фонд ГКО, д. 381, лл. 136-137 (11012).</w:t>
      </w:r>
    </w:p>
    <w:p w14:paraId="38305671" w14:textId="77777777" w:rsidR="00665165" w:rsidRPr="00F90EAE" w:rsidRDefault="00665165" w:rsidP="00F90EAE">
      <w:pPr>
        <w:autoSpaceDE w:val="0"/>
        <w:autoSpaceDN w:val="0"/>
        <w:adjustRightInd w:val="0"/>
        <w:jc w:val="both"/>
        <w:rPr>
          <w:color w:val="000000" w:themeColor="text1"/>
          <w:sz w:val="16"/>
          <w:szCs w:val="16"/>
        </w:rPr>
      </w:pPr>
    </w:p>
    <w:p w14:paraId="317104F1"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7D76DDC" w14:textId="77777777" w:rsidR="00524C9D" w:rsidRPr="00F90EAE" w:rsidRDefault="00524C9D" w:rsidP="00F90EAE">
      <w:pPr>
        <w:autoSpaceDE w:val="0"/>
        <w:autoSpaceDN w:val="0"/>
        <w:adjustRightInd w:val="0"/>
        <w:jc w:val="both"/>
        <w:rPr>
          <w:iCs/>
          <w:color w:val="000000" w:themeColor="text1"/>
          <w:sz w:val="16"/>
          <w:szCs w:val="16"/>
        </w:rPr>
      </w:pPr>
    </w:p>
    <w:p w14:paraId="7E9E88BB"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НКИД СССР В.М.Молотов направил послам США и Великобритании А.Гарриману и А.Керру послание с требованием включить советского представителя в состав союзной делегации на переговорах с немецким командованием в Северной Италии (15070).</w:t>
      </w:r>
    </w:p>
    <w:p w14:paraId="22F058C9" w14:textId="77777777" w:rsidR="00524C9D" w:rsidRPr="00F90EAE" w:rsidRDefault="00524C9D" w:rsidP="00F90EAE">
      <w:pPr>
        <w:jc w:val="both"/>
        <w:rPr>
          <w:color w:val="000000" w:themeColor="text1"/>
          <w:sz w:val="16"/>
          <w:szCs w:val="16"/>
        </w:rPr>
      </w:pPr>
    </w:p>
    <w:p w14:paraId="798ACB64" w14:textId="77777777" w:rsidR="00524C9D"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CA9BA41" w14:textId="77777777" w:rsidR="00524C9D" w:rsidRPr="00F90EAE" w:rsidRDefault="00524C9D" w:rsidP="00F90EAE">
      <w:pPr>
        <w:autoSpaceDE w:val="0"/>
        <w:autoSpaceDN w:val="0"/>
        <w:adjustRightInd w:val="0"/>
        <w:jc w:val="both"/>
        <w:rPr>
          <w:iCs/>
          <w:color w:val="000000" w:themeColor="text1"/>
          <w:sz w:val="16"/>
          <w:szCs w:val="16"/>
        </w:rPr>
      </w:pPr>
    </w:p>
    <w:p w14:paraId="765B446C"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в 15:48 UTC батарея 901/2 провела свой последний пуск ракеты "A-4"/SS-1/Scunner" по Антверпену (15070).</w:t>
      </w:r>
    </w:p>
    <w:p w14:paraId="265CEA42" w14:textId="77777777" w:rsidR="00524C9D" w:rsidRPr="00F90EAE" w:rsidRDefault="00524C9D" w:rsidP="00F90EAE">
      <w:pPr>
        <w:jc w:val="both"/>
        <w:rPr>
          <w:color w:val="000000" w:themeColor="text1"/>
          <w:sz w:val="16"/>
          <w:szCs w:val="16"/>
        </w:rPr>
      </w:pPr>
    </w:p>
    <w:p w14:paraId="5593A5BD"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последний 199-й пуск ракеты "A-4"/SS-1/Scunner/ (Фау-2) по Антверпену сделала 901/3 батарея (15070).</w:t>
      </w:r>
    </w:p>
    <w:p w14:paraId="1C4A339B" w14:textId="77777777" w:rsidR="00524C9D" w:rsidRPr="00F90EAE" w:rsidRDefault="00524C9D" w:rsidP="00F90EAE">
      <w:pPr>
        <w:jc w:val="both"/>
        <w:rPr>
          <w:color w:val="000000" w:themeColor="text1"/>
          <w:sz w:val="16"/>
          <w:szCs w:val="16"/>
        </w:rPr>
      </w:pPr>
    </w:p>
    <w:p w14:paraId="65AA8305"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фирме «Bell» заказали третий экспериментальный самолет «Х-1». Самолеты «XS-1» получили регистрационные номера: №1 - 46-062, №2 - 46-063, и №3 - 46-064 (15070).</w:t>
      </w:r>
    </w:p>
    <w:p w14:paraId="59713C1E" w14:textId="77777777" w:rsidR="00524C9D" w:rsidRPr="00F90EAE" w:rsidRDefault="00524C9D" w:rsidP="00F90EAE">
      <w:pPr>
        <w:jc w:val="both"/>
        <w:rPr>
          <w:color w:val="000000" w:themeColor="text1"/>
          <w:sz w:val="16"/>
          <w:szCs w:val="16"/>
        </w:rPr>
      </w:pPr>
    </w:p>
    <w:p w14:paraId="681C3AEA" w14:textId="77777777" w:rsidR="00524C9D" w:rsidRPr="00F90EAE" w:rsidRDefault="00524C9D" w:rsidP="00F90EAE">
      <w:pPr>
        <w:jc w:val="both"/>
        <w:rPr>
          <w:color w:val="000000" w:themeColor="text1"/>
          <w:sz w:val="16"/>
          <w:szCs w:val="16"/>
        </w:rPr>
      </w:pPr>
      <w:r w:rsidRPr="00F90EAE">
        <w:rPr>
          <w:bCs/>
          <w:color w:val="000000" w:themeColor="text1"/>
          <w:sz w:val="16"/>
          <w:szCs w:val="16"/>
        </w:rPr>
        <w:t>16 марта</w:t>
      </w:r>
      <w:r w:rsidRPr="00F90EAE">
        <w:rPr>
          <w:color w:val="000000" w:themeColor="text1"/>
          <w:sz w:val="16"/>
          <w:szCs w:val="16"/>
        </w:rPr>
        <w:t xml:space="preserve"> в 1945 году американские войска полностью овладели островом Иводзима (15070).</w:t>
      </w:r>
    </w:p>
    <w:p w14:paraId="1E0D120E" w14:textId="77777777" w:rsidR="00524C9D" w:rsidRPr="00F90EAE" w:rsidRDefault="00524C9D" w:rsidP="00F90EAE">
      <w:pPr>
        <w:jc w:val="both"/>
        <w:rPr>
          <w:color w:val="000000" w:themeColor="text1"/>
          <w:sz w:val="16"/>
          <w:szCs w:val="16"/>
        </w:rPr>
      </w:pPr>
    </w:p>
    <w:p w14:paraId="767A5DE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F71574F" w14:textId="77777777" w:rsidR="00665165" w:rsidRPr="00F90EAE" w:rsidRDefault="00665165" w:rsidP="00F90EAE">
      <w:pPr>
        <w:autoSpaceDE w:val="0"/>
        <w:autoSpaceDN w:val="0"/>
        <w:adjustRightInd w:val="0"/>
        <w:jc w:val="both"/>
        <w:rPr>
          <w:iCs/>
          <w:color w:val="000000" w:themeColor="text1"/>
          <w:sz w:val="16"/>
          <w:szCs w:val="16"/>
        </w:rPr>
      </w:pPr>
    </w:p>
    <w:p w14:paraId="4A2F5D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17 марта по 9 июля 1945 в НИИ ВВС испытывался эталон Як-9УТ. Рекомендовали в серию (65,152).</w:t>
      </w:r>
    </w:p>
    <w:p w14:paraId="16182049" w14:textId="77777777" w:rsidR="00665165" w:rsidRPr="00F90EAE" w:rsidRDefault="00665165" w:rsidP="00F90EAE">
      <w:pPr>
        <w:autoSpaceDE w:val="0"/>
        <w:autoSpaceDN w:val="0"/>
        <w:adjustRightInd w:val="0"/>
        <w:jc w:val="both"/>
        <w:rPr>
          <w:color w:val="000000" w:themeColor="text1"/>
          <w:sz w:val="16"/>
          <w:szCs w:val="16"/>
        </w:rPr>
      </w:pPr>
    </w:p>
    <w:p w14:paraId="369B5C6C"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начались (по 9 июля 1945 года) Госиспытания эталона ударного истребителя </w:t>
      </w:r>
      <w:hyperlink r:id="rId72" w:tgtFrame="_blank" w:history="1">
        <w:r w:rsidRPr="00F90EAE">
          <w:rPr>
            <w:color w:val="000000" w:themeColor="text1"/>
            <w:sz w:val="16"/>
            <w:szCs w:val="16"/>
          </w:rPr>
          <w:t xml:space="preserve">«Як-9УТ», </w:t>
        </w:r>
      </w:hyperlink>
      <w:r w:rsidRPr="00F90EAE">
        <w:rPr>
          <w:color w:val="000000" w:themeColor="text1"/>
          <w:sz w:val="16"/>
          <w:szCs w:val="16"/>
        </w:rPr>
        <w:t>ОКБ Яковлева. В заключении HИИ ВВС по результатам госиспытаний эталона отмечалось, что «Як-9УТ» с данным вооружением является нужным для ВВС СА самолётом и может быть рекомендован для запуска в серийное производство. «Як-9УТ» с двигателем «ВК-107А» и винтом «ВИШ-107ЛО» - это модификация серийного «Як-9У» №39-083 с теми же двигателем и винтом, отличающаяся более мощным пушечным вооружением. Взамен мотор-пушки «ШВАК» калибра 20 мм с боезапасом 120 снарядов и двух синхронных пулеметов «УБС» калибра 12,7 мм с боезапасом по 150 патронов на «Як-9УТ» были установлены легкая 37-мм мотор-пушка «H-37» с боезапасом 30 снарядов и две синхронные пушки «Б-20» («Б-20С») калибра 20 мм с боезапасом по 120 снарядов. Внешне самолет отличался от «Як-9У» выступающим из кока винта дульным тормозом пушки «H-37». Была предусмотрена возможность замены (в заводских условиях) мотор-пушки «H-37» калибра 37 мм на мотор-пушки «Б-20М» калибра 20 мм, «HС-23» калибра 23 мм, «H-45» калибра 45 мм. В последнем случае одна (правая) пушка «Б-20С» должна была сниматься (15071).</w:t>
      </w:r>
    </w:p>
    <w:p w14:paraId="01357527" w14:textId="77777777" w:rsidR="00F36DAA" w:rsidRPr="00F90EAE" w:rsidRDefault="00F36DAA" w:rsidP="00F90EAE">
      <w:pPr>
        <w:jc w:val="both"/>
        <w:rPr>
          <w:color w:val="000000" w:themeColor="text1"/>
          <w:sz w:val="16"/>
          <w:szCs w:val="16"/>
        </w:rPr>
      </w:pPr>
    </w:p>
    <w:p w14:paraId="71DFC2FB" w14:textId="77777777" w:rsidR="0081738B" w:rsidRPr="00F90EAE" w:rsidRDefault="0081738B" w:rsidP="00F90EAE">
      <w:pPr>
        <w:pStyle w:val="260"/>
        <w:shd w:val="clear" w:color="auto" w:fill="auto"/>
        <w:spacing w:line="240" w:lineRule="auto"/>
        <w:jc w:val="both"/>
        <w:rPr>
          <w:rFonts w:ascii="Times New Roman" w:hAnsi="Times New Roman"/>
          <w:color w:val="0070C0"/>
          <w:sz w:val="16"/>
          <w:szCs w:val="16"/>
        </w:rPr>
      </w:pPr>
      <w:r w:rsidRPr="00F90EAE">
        <w:rPr>
          <w:rFonts w:ascii="Times New Roman" w:hAnsi="Times New Roman"/>
          <w:color w:val="0070C0"/>
          <w:sz w:val="16"/>
          <w:szCs w:val="16"/>
        </w:rPr>
        <w:t>17 марта 1945 г. и. о. начальника управления заказов ВВС инженер-полковник Кувенев своим письмом № 702113 сообщал заместителю наркома авиапромышленности генерал-майору ИАС Воронину список самолетов, подлежащих отправке в части ВВС по железной дороге, что для истребителей было основным способом их доставки в строевые части. В этом месяце завод № 21 должен был отгрузить по 50 самолетов 2-й Воздушной Армии 1-го Украинского фронта (база назначения Разводув), 4-й ВА 1-го Белорусского фронта (Белосток), 8-й ВА 4-го Украинского фронта (на Львов), а также 5-й (2-й Украинский фронт) и 17-й ВА (3-й Украинский фронт, оба получали матчасть в Черновцах). Завод № 381 поставлял 80 самолетов Ла-7 в запасной полк 1-й ВА 3-го Белорусского фронта на аэродром Истенбург. Новые истребители начали получать и «невоюющие» военные округа — 80 «семерок» отправлялось в Хабаровск для ВВС Дальневосточного фронта и 40 машин — в Читу дислоцированной в Забайкальском военном округе 12-й ВА. Итого за март подлежало отправке в строевые части 410 штук Ла-7, в то время как Як-3 отгружалось 210, а Як-9У — 160 (22772).</w:t>
      </w:r>
    </w:p>
    <w:p w14:paraId="30480D1F" w14:textId="77777777" w:rsidR="0081738B" w:rsidRPr="00F90EAE" w:rsidRDefault="0081738B" w:rsidP="00F90EAE">
      <w:pPr>
        <w:pStyle w:val="260"/>
        <w:shd w:val="clear" w:color="auto" w:fill="auto"/>
        <w:spacing w:line="240" w:lineRule="auto"/>
        <w:jc w:val="both"/>
        <w:rPr>
          <w:rFonts w:ascii="Times New Roman" w:hAnsi="Times New Roman"/>
          <w:color w:val="0070C0"/>
          <w:sz w:val="16"/>
          <w:szCs w:val="16"/>
        </w:rPr>
      </w:pPr>
    </w:p>
    <w:p w14:paraId="7ADC0B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года ГОКО утвердил Положением, в соответствии с которым на гос. испытания самолеты и другие образцы авиационной техники должны предъявляться в НИИ ВВС гл. конструкторами через соответствующие министерства, после успешных заводских испытаний (2078,267).</w:t>
      </w:r>
    </w:p>
    <w:p w14:paraId="66AFE9AE" w14:textId="77777777" w:rsidR="00665165" w:rsidRPr="00F90EAE" w:rsidRDefault="00665165" w:rsidP="00F90EAE">
      <w:pPr>
        <w:autoSpaceDE w:val="0"/>
        <w:autoSpaceDN w:val="0"/>
        <w:adjustRightInd w:val="0"/>
        <w:jc w:val="both"/>
        <w:rPr>
          <w:color w:val="000000" w:themeColor="text1"/>
          <w:sz w:val="16"/>
          <w:szCs w:val="16"/>
        </w:rPr>
      </w:pPr>
    </w:p>
    <w:p w14:paraId="1B7B2110" w14:textId="77777777" w:rsidR="007B38E4" w:rsidRPr="00F90EAE" w:rsidRDefault="007B38E4" w:rsidP="00F90EAE">
      <w:pPr>
        <w:jc w:val="both"/>
        <w:rPr>
          <w:rStyle w:val="731"/>
          <w:rFonts w:ascii="Times New Roman" w:hAnsi="Times New Roman" w:cs="Times New Roman"/>
          <w:color w:val="0070C0"/>
          <w:sz w:val="16"/>
          <w:szCs w:val="16"/>
        </w:rPr>
      </w:pPr>
      <w:r w:rsidRPr="00F90EAE">
        <w:rPr>
          <w:rStyle w:val="731"/>
          <w:rFonts w:ascii="Times New Roman" w:hAnsi="Times New Roman" w:cs="Times New Roman"/>
          <w:color w:val="0070C0"/>
          <w:sz w:val="16"/>
          <w:szCs w:val="16"/>
        </w:rPr>
        <w:t>17 марта 1945 года Государственный Комитет Обороны постановлением ГОКО № 7860с утвердил новое положение о ГК НИИ ВВС. Во втором пункте второго раздела этого документа было написано, что на госиспыта</w:t>
      </w:r>
      <w:r w:rsidRPr="00F90EAE">
        <w:rPr>
          <w:rStyle w:val="731"/>
          <w:rFonts w:ascii="Times New Roman" w:hAnsi="Times New Roman" w:cs="Times New Roman"/>
          <w:color w:val="0070C0"/>
          <w:sz w:val="16"/>
          <w:szCs w:val="16"/>
        </w:rPr>
        <w:softHyphen/>
        <w:t>ния в ГК НИИ ВВС самолеты передаются Глав</w:t>
      </w:r>
      <w:r w:rsidRPr="00F90EAE">
        <w:rPr>
          <w:rStyle w:val="731"/>
          <w:rFonts w:ascii="Times New Roman" w:hAnsi="Times New Roman" w:cs="Times New Roman"/>
          <w:color w:val="0070C0"/>
          <w:sz w:val="16"/>
          <w:szCs w:val="16"/>
        </w:rPr>
        <w:softHyphen/>
        <w:t>ным конструктором через соответствующие министерства. А К.А. Вигант попытался «про</w:t>
      </w:r>
      <w:r w:rsidRPr="00F90EAE">
        <w:rPr>
          <w:rStyle w:val="731"/>
          <w:rFonts w:ascii="Times New Roman" w:hAnsi="Times New Roman" w:cs="Times New Roman"/>
          <w:color w:val="0070C0"/>
          <w:sz w:val="16"/>
          <w:szCs w:val="16"/>
        </w:rPr>
        <w:softHyphen/>
        <w:t>сунуть» 310015 и 310002 12 и 15 декабря «от себя», что вызвало гнев командования НИИ и Главкома. В итоге обе машины передали на испытания только 23 декабря 1946 года. До этого борт № 12 достаточно успешно отстре</w:t>
      </w:r>
      <w:r w:rsidRPr="00F90EAE">
        <w:rPr>
          <w:rStyle w:val="731"/>
          <w:rFonts w:ascii="Times New Roman" w:hAnsi="Times New Roman" w:cs="Times New Roman"/>
          <w:color w:val="0070C0"/>
          <w:sz w:val="16"/>
          <w:szCs w:val="16"/>
        </w:rPr>
        <w:softHyphen/>
        <w:t>ляли в тире. При расходе на испытания более шести боекомплектов были всего три задержки по вине установки. Борт № 12, в отличие от 310015, имел еще особенность - «жабры» на задней части капота двигателя. Дело в том, что при подготовке к параду лет</w:t>
      </w:r>
      <w:r w:rsidRPr="00F90EAE">
        <w:rPr>
          <w:rStyle w:val="731"/>
          <w:rFonts w:ascii="Times New Roman" w:hAnsi="Times New Roman" w:cs="Times New Roman"/>
          <w:color w:val="0070C0"/>
          <w:sz w:val="16"/>
          <w:szCs w:val="16"/>
        </w:rPr>
        <w:softHyphen/>
        <w:t>чики жаловались на дым в кабине, поэтому на некоторых машинах были добавлены эти «жабры» для улучшения продува отсека дви</w:t>
      </w:r>
      <w:r w:rsidRPr="00F90EAE">
        <w:rPr>
          <w:rStyle w:val="731"/>
          <w:rFonts w:ascii="Times New Roman" w:hAnsi="Times New Roman" w:cs="Times New Roman"/>
          <w:color w:val="0070C0"/>
          <w:sz w:val="16"/>
          <w:szCs w:val="16"/>
        </w:rPr>
        <w:softHyphen/>
        <w:t>гателя (19920).</w:t>
      </w:r>
    </w:p>
    <w:p w14:paraId="5DB01829" w14:textId="77777777" w:rsidR="007B38E4" w:rsidRPr="00F90EAE" w:rsidRDefault="007B38E4" w:rsidP="00F90EAE">
      <w:pPr>
        <w:jc w:val="both"/>
        <w:rPr>
          <w:color w:val="0070C0"/>
          <w:sz w:val="16"/>
          <w:szCs w:val="16"/>
        </w:rPr>
      </w:pPr>
    </w:p>
    <w:p w14:paraId="05A4B8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распоряжение ГОКО N 7861сс, по которому НИИ-1 проводит срочную работу для ВМФ по торпеде РАТ (2595,36).</w:t>
      </w:r>
    </w:p>
    <w:p w14:paraId="1B4F0BAA" w14:textId="77777777" w:rsidR="00665165" w:rsidRPr="00F90EAE" w:rsidRDefault="00665165" w:rsidP="00F90EAE">
      <w:pPr>
        <w:autoSpaceDE w:val="0"/>
        <w:autoSpaceDN w:val="0"/>
        <w:adjustRightInd w:val="0"/>
        <w:jc w:val="both"/>
        <w:rPr>
          <w:color w:val="000000" w:themeColor="text1"/>
          <w:sz w:val="16"/>
          <w:szCs w:val="16"/>
        </w:rPr>
      </w:pPr>
    </w:p>
    <w:p w14:paraId="427F41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года врид начальника УЗСМ ГУЗ ВВС инженер-полковник Кувенев писал письмо N 702113 зам. наркома Авиапрома генерал-майору ИАС Воронину.</w:t>
      </w:r>
    </w:p>
    <w:p w14:paraId="2706E6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исполнение плана формирований сообщаю список самолетов, подлежащих отправке с заводов НКАП по железной дороге в марте 1945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561F31" w:rsidRPr="00F90EAE" w14:paraId="10CEEC3B" w14:textId="77777777">
        <w:tc>
          <w:tcPr>
            <w:tcW w:w="1409" w:type="dxa"/>
          </w:tcPr>
          <w:p w14:paraId="4EC4E0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NN заводов</w:t>
            </w:r>
          </w:p>
        </w:tc>
        <w:tc>
          <w:tcPr>
            <w:tcW w:w="1409" w:type="dxa"/>
          </w:tcPr>
          <w:p w14:paraId="71ED92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самолетов</w:t>
            </w:r>
          </w:p>
        </w:tc>
        <w:tc>
          <w:tcPr>
            <w:tcW w:w="1409" w:type="dxa"/>
          </w:tcPr>
          <w:p w14:paraId="42242B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Кол-во</w:t>
            </w:r>
          </w:p>
        </w:tc>
        <w:tc>
          <w:tcPr>
            <w:tcW w:w="1409" w:type="dxa"/>
          </w:tcPr>
          <w:p w14:paraId="009AB7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Кому</w:t>
            </w:r>
          </w:p>
        </w:tc>
        <w:tc>
          <w:tcPr>
            <w:tcW w:w="1409" w:type="dxa"/>
          </w:tcPr>
          <w:p w14:paraId="4A8CA6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Куда</w:t>
            </w:r>
          </w:p>
        </w:tc>
      </w:tr>
      <w:tr w:rsidR="00561F31" w:rsidRPr="00F90EAE" w14:paraId="776BDC92" w14:textId="77777777">
        <w:tc>
          <w:tcPr>
            <w:tcW w:w="1409" w:type="dxa"/>
          </w:tcPr>
          <w:p w14:paraId="6D494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1409" w:type="dxa"/>
          </w:tcPr>
          <w:p w14:paraId="2FF5A1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w:t>
            </w:r>
          </w:p>
        </w:tc>
        <w:tc>
          <w:tcPr>
            <w:tcW w:w="1409" w:type="dxa"/>
          </w:tcPr>
          <w:p w14:paraId="7D425F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7657B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ВА</w:t>
            </w:r>
          </w:p>
        </w:tc>
        <w:tc>
          <w:tcPr>
            <w:tcW w:w="1409" w:type="dxa"/>
          </w:tcPr>
          <w:p w14:paraId="1D94F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Познань</w:t>
            </w:r>
          </w:p>
        </w:tc>
      </w:tr>
      <w:tr w:rsidR="00561F31" w:rsidRPr="00F90EAE" w14:paraId="5F3D197E" w14:textId="77777777">
        <w:tc>
          <w:tcPr>
            <w:tcW w:w="1409" w:type="dxa"/>
          </w:tcPr>
          <w:p w14:paraId="7FF9B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92A6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A603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394207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w:t>
            </w:r>
          </w:p>
        </w:tc>
        <w:tc>
          <w:tcPr>
            <w:tcW w:w="1409" w:type="dxa"/>
          </w:tcPr>
          <w:p w14:paraId="3524C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Разводув</w:t>
            </w:r>
          </w:p>
        </w:tc>
      </w:tr>
      <w:tr w:rsidR="00561F31" w:rsidRPr="00F90EAE" w14:paraId="5F7384FF" w14:textId="77777777">
        <w:tc>
          <w:tcPr>
            <w:tcW w:w="1409" w:type="dxa"/>
          </w:tcPr>
          <w:p w14:paraId="4607D8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5FA5B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609F9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66854A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w:t>
            </w:r>
          </w:p>
        </w:tc>
        <w:tc>
          <w:tcPr>
            <w:tcW w:w="1409" w:type="dxa"/>
          </w:tcPr>
          <w:p w14:paraId="2298EA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Белосток</w:t>
            </w:r>
          </w:p>
        </w:tc>
      </w:tr>
      <w:tr w:rsidR="00561F31" w:rsidRPr="00F90EAE" w14:paraId="17C494C6" w14:textId="77777777">
        <w:tc>
          <w:tcPr>
            <w:tcW w:w="1409" w:type="dxa"/>
          </w:tcPr>
          <w:p w14:paraId="6DC207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79449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ED83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409" w:type="dxa"/>
          </w:tcPr>
          <w:p w14:paraId="672748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ДВФ</w:t>
            </w:r>
          </w:p>
        </w:tc>
        <w:tc>
          <w:tcPr>
            <w:tcW w:w="1409" w:type="dxa"/>
          </w:tcPr>
          <w:p w14:paraId="6923A6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Хабаровск</w:t>
            </w:r>
          </w:p>
        </w:tc>
      </w:tr>
      <w:tr w:rsidR="00561F31" w:rsidRPr="00F90EAE" w14:paraId="25B33E38" w14:textId="77777777">
        <w:tc>
          <w:tcPr>
            <w:tcW w:w="1409" w:type="dxa"/>
          </w:tcPr>
          <w:p w14:paraId="6B8C1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795128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9970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7277DC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ВА</w:t>
            </w:r>
          </w:p>
        </w:tc>
        <w:tc>
          <w:tcPr>
            <w:tcW w:w="1409" w:type="dxa"/>
          </w:tcPr>
          <w:p w14:paraId="7B487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Чита</w:t>
            </w:r>
          </w:p>
        </w:tc>
      </w:tr>
      <w:tr w:rsidR="00561F31" w:rsidRPr="00F90EAE" w14:paraId="56DD01F7" w14:textId="77777777">
        <w:tc>
          <w:tcPr>
            <w:tcW w:w="1409" w:type="dxa"/>
          </w:tcPr>
          <w:p w14:paraId="6866A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6733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C9BC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0F1B91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ВМФ</w:t>
            </w:r>
          </w:p>
        </w:tc>
        <w:tc>
          <w:tcPr>
            <w:tcW w:w="1409" w:type="dxa"/>
          </w:tcPr>
          <w:p w14:paraId="2FA48D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доп. адресу</w:t>
            </w:r>
          </w:p>
        </w:tc>
      </w:tr>
      <w:tr w:rsidR="00561F31" w:rsidRPr="00F90EAE" w14:paraId="302BBEBD" w14:textId="77777777">
        <w:tc>
          <w:tcPr>
            <w:tcW w:w="1409" w:type="dxa"/>
          </w:tcPr>
          <w:p w14:paraId="77A13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7EC10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ED6A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1409" w:type="dxa"/>
          </w:tcPr>
          <w:p w14:paraId="1B83C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БЛВО</w:t>
            </w:r>
          </w:p>
        </w:tc>
        <w:tc>
          <w:tcPr>
            <w:tcW w:w="1409" w:type="dxa"/>
          </w:tcPr>
          <w:p w14:paraId="295EA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Бобруйск</w:t>
            </w:r>
          </w:p>
        </w:tc>
      </w:tr>
      <w:tr w:rsidR="00561F31" w:rsidRPr="00F90EAE" w14:paraId="649F582B" w14:textId="77777777">
        <w:tc>
          <w:tcPr>
            <w:tcW w:w="1409" w:type="dxa"/>
          </w:tcPr>
          <w:p w14:paraId="19412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73CE1A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4DF2B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408B6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З-ду 301</w:t>
            </w:r>
          </w:p>
        </w:tc>
        <w:tc>
          <w:tcPr>
            <w:tcW w:w="1409" w:type="dxa"/>
          </w:tcPr>
          <w:p w14:paraId="401AF1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Химки</w:t>
            </w:r>
          </w:p>
        </w:tc>
      </w:tr>
      <w:tr w:rsidR="00561F31" w:rsidRPr="00F90EAE" w14:paraId="254D5428" w14:textId="77777777">
        <w:tc>
          <w:tcPr>
            <w:tcW w:w="1409" w:type="dxa"/>
          </w:tcPr>
          <w:p w14:paraId="50064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B59B7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BDE0C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409" w:type="dxa"/>
          </w:tcPr>
          <w:p w14:paraId="708F0D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ВА</w:t>
            </w:r>
          </w:p>
        </w:tc>
        <w:tc>
          <w:tcPr>
            <w:tcW w:w="1409" w:type="dxa"/>
          </w:tcPr>
          <w:p w14:paraId="3AF6B3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Ленинград</w:t>
            </w:r>
          </w:p>
        </w:tc>
      </w:tr>
      <w:tr w:rsidR="00561F31" w:rsidRPr="00F90EAE" w14:paraId="6C1686B8" w14:textId="77777777">
        <w:tc>
          <w:tcPr>
            <w:tcW w:w="1409" w:type="dxa"/>
          </w:tcPr>
          <w:p w14:paraId="22A23E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166</w:t>
            </w:r>
          </w:p>
        </w:tc>
        <w:tc>
          <w:tcPr>
            <w:tcW w:w="1409" w:type="dxa"/>
          </w:tcPr>
          <w:p w14:paraId="4554CD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c>
          <w:tcPr>
            <w:tcW w:w="1409" w:type="dxa"/>
          </w:tcPr>
          <w:p w14:paraId="6149A7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61A921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ВА</w:t>
            </w:r>
          </w:p>
        </w:tc>
        <w:tc>
          <w:tcPr>
            <w:tcW w:w="1409" w:type="dxa"/>
          </w:tcPr>
          <w:p w14:paraId="30815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Истербург</w:t>
            </w:r>
          </w:p>
        </w:tc>
      </w:tr>
      <w:tr w:rsidR="00561F31" w:rsidRPr="00F90EAE" w14:paraId="4880E80C" w14:textId="77777777">
        <w:tc>
          <w:tcPr>
            <w:tcW w:w="1409" w:type="dxa"/>
          </w:tcPr>
          <w:p w14:paraId="373B4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77329B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6B813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5825F0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ВА</w:t>
            </w:r>
          </w:p>
        </w:tc>
        <w:tc>
          <w:tcPr>
            <w:tcW w:w="1409" w:type="dxa"/>
          </w:tcPr>
          <w:p w14:paraId="428377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Белосток</w:t>
            </w:r>
          </w:p>
        </w:tc>
      </w:tr>
      <w:tr w:rsidR="00561F31" w:rsidRPr="00F90EAE" w14:paraId="145722A8" w14:textId="77777777">
        <w:tc>
          <w:tcPr>
            <w:tcW w:w="1409" w:type="dxa"/>
          </w:tcPr>
          <w:p w14:paraId="1452EC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C3E2F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08B378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682C95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w:t>
            </w:r>
          </w:p>
        </w:tc>
        <w:tc>
          <w:tcPr>
            <w:tcW w:w="1409" w:type="dxa"/>
          </w:tcPr>
          <w:p w14:paraId="11696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Познань</w:t>
            </w:r>
          </w:p>
        </w:tc>
      </w:tr>
      <w:tr w:rsidR="00561F31" w:rsidRPr="00F90EAE" w14:paraId="71CFB7F3" w14:textId="77777777">
        <w:tc>
          <w:tcPr>
            <w:tcW w:w="1409" w:type="dxa"/>
          </w:tcPr>
          <w:p w14:paraId="6DD937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127E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2794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712EE6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w:t>
            </w:r>
          </w:p>
        </w:tc>
        <w:tc>
          <w:tcPr>
            <w:tcW w:w="1409" w:type="dxa"/>
          </w:tcPr>
          <w:p w14:paraId="2F5F30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Разводув</w:t>
            </w:r>
          </w:p>
        </w:tc>
      </w:tr>
      <w:tr w:rsidR="00561F31" w:rsidRPr="00F90EAE" w14:paraId="32AB2D49" w14:textId="77777777">
        <w:tc>
          <w:tcPr>
            <w:tcW w:w="1409" w:type="dxa"/>
          </w:tcPr>
          <w:p w14:paraId="48D0E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1409" w:type="dxa"/>
          </w:tcPr>
          <w:p w14:paraId="11314F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1409" w:type="dxa"/>
          </w:tcPr>
          <w:p w14:paraId="2BB691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15FC22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w:t>
            </w:r>
          </w:p>
        </w:tc>
        <w:tc>
          <w:tcPr>
            <w:tcW w:w="1409" w:type="dxa"/>
          </w:tcPr>
          <w:p w14:paraId="04C27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Инстербург</w:t>
            </w:r>
          </w:p>
        </w:tc>
      </w:tr>
      <w:tr w:rsidR="00561F31" w:rsidRPr="00F90EAE" w14:paraId="37E565BA" w14:textId="77777777">
        <w:tc>
          <w:tcPr>
            <w:tcW w:w="1409" w:type="dxa"/>
          </w:tcPr>
          <w:p w14:paraId="6BF523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66E71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5F92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0183DD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w:t>
            </w:r>
          </w:p>
        </w:tc>
        <w:tc>
          <w:tcPr>
            <w:tcW w:w="1409" w:type="dxa"/>
          </w:tcPr>
          <w:p w14:paraId="3ADC7E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Белосток</w:t>
            </w:r>
          </w:p>
        </w:tc>
      </w:tr>
      <w:tr w:rsidR="00561F31" w:rsidRPr="00F90EAE" w14:paraId="2DA0163C" w14:textId="77777777">
        <w:tc>
          <w:tcPr>
            <w:tcW w:w="1409" w:type="dxa"/>
          </w:tcPr>
          <w:p w14:paraId="767C60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C8141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5BBF3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36744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w:t>
            </w:r>
          </w:p>
        </w:tc>
        <w:tc>
          <w:tcPr>
            <w:tcW w:w="1409" w:type="dxa"/>
          </w:tcPr>
          <w:p w14:paraId="268A95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Познань</w:t>
            </w:r>
          </w:p>
        </w:tc>
      </w:tr>
      <w:tr w:rsidR="00561F31" w:rsidRPr="00F90EAE" w14:paraId="59007789" w14:textId="77777777">
        <w:tc>
          <w:tcPr>
            <w:tcW w:w="1409" w:type="dxa"/>
          </w:tcPr>
          <w:p w14:paraId="7181BE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97E07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2F10E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44BEE1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w:t>
            </w:r>
          </w:p>
        </w:tc>
        <w:tc>
          <w:tcPr>
            <w:tcW w:w="1409" w:type="dxa"/>
          </w:tcPr>
          <w:p w14:paraId="69E6DE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Разводув</w:t>
            </w:r>
          </w:p>
        </w:tc>
      </w:tr>
      <w:tr w:rsidR="00561F31" w:rsidRPr="00F90EAE" w14:paraId="27AEE643" w14:textId="77777777">
        <w:tc>
          <w:tcPr>
            <w:tcW w:w="1409" w:type="dxa"/>
          </w:tcPr>
          <w:p w14:paraId="01F6A5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1409" w:type="dxa"/>
          </w:tcPr>
          <w:p w14:paraId="6E474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093F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07E31A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409" w:type="dxa"/>
          </w:tcPr>
          <w:p w14:paraId="2E87B8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Бузэу</w:t>
            </w:r>
          </w:p>
        </w:tc>
      </w:tr>
      <w:tr w:rsidR="00561F31" w:rsidRPr="00F90EAE" w14:paraId="6E739173" w14:textId="77777777">
        <w:tc>
          <w:tcPr>
            <w:tcW w:w="1409" w:type="dxa"/>
          </w:tcPr>
          <w:p w14:paraId="7BC454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409" w:type="dxa"/>
          </w:tcPr>
          <w:p w14:paraId="35F93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1409" w:type="dxa"/>
          </w:tcPr>
          <w:p w14:paraId="34246D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7495C7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ВА</w:t>
            </w:r>
          </w:p>
        </w:tc>
        <w:tc>
          <w:tcPr>
            <w:tcW w:w="1409" w:type="dxa"/>
          </w:tcPr>
          <w:p w14:paraId="31038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Черновицы</w:t>
            </w:r>
          </w:p>
        </w:tc>
      </w:tr>
      <w:tr w:rsidR="00561F31" w:rsidRPr="00F90EAE" w14:paraId="30B97794" w14:textId="77777777">
        <w:tc>
          <w:tcPr>
            <w:tcW w:w="1409" w:type="dxa"/>
          </w:tcPr>
          <w:p w14:paraId="629FC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7054D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16978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164A9B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w:t>
            </w:r>
          </w:p>
        </w:tc>
        <w:tc>
          <w:tcPr>
            <w:tcW w:w="1409" w:type="dxa"/>
          </w:tcPr>
          <w:p w14:paraId="473E01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Белосток</w:t>
            </w:r>
          </w:p>
        </w:tc>
      </w:tr>
      <w:tr w:rsidR="00561F31" w:rsidRPr="00F90EAE" w14:paraId="223398B2" w14:textId="77777777">
        <w:tc>
          <w:tcPr>
            <w:tcW w:w="1409" w:type="dxa"/>
          </w:tcPr>
          <w:p w14:paraId="562D38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FCBB8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6566F4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39D174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w:t>
            </w:r>
          </w:p>
        </w:tc>
        <w:tc>
          <w:tcPr>
            <w:tcW w:w="1409" w:type="dxa"/>
          </w:tcPr>
          <w:p w14:paraId="335D6D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Разводув</w:t>
            </w:r>
          </w:p>
        </w:tc>
      </w:tr>
      <w:tr w:rsidR="00561F31" w:rsidRPr="00F90EAE" w14:paraId="678A3B04" w14:textId="77777777">
        <w:tc>
          <w:tcPr>
            <w:tcW w:w="1409" w:type="dxa"/>
          </w:tcPr>
          <w:p w14:paraId="3075A3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C123A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26CDE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359D43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w:t>
            </w:r>
          </w:p>
        </w:tc>
        <w:tc>
          <w:tcPr>
            <w:tcW w:w="1409" w:type="dxa"/>
          </w:tcPr>
          <w:p w14:paraId="6D2CB7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Львов</w:t>
            </w:r>
          </w:p>
        </w:tc>
      </w:tr>
      <w:tr w:rsidR="00561F31" w:rsidRPr="00F90EAE" w14:paraId="4B1C5901" w14:textId="77777777">
        <w:tc>
          <w:tcPr>
            <w:tcW w:w="1409" w:type="dxa"/>
          </w:tcPr>
          <w:p w14:paraId="3D06F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FE9FD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EAD94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409" w:type="dxa"/>
          </w:tcPr>
          <w:p w14:paraId="441483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w:t>
            </w:r>
          </w:p>
        </w:tc>
        <w:tc>
          <w:tcPr>
            <w:tcW w:w="1409" w:type="dxa"/>
          </w:tcPr>
          <w:p w14:paraId="61F9E6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Черновицы</w:t>
            </w:r>
          </w:p>
        </w:tc>
      </w:tr>
      <w:tr w:rsidR="00561F31" w:rsidRPr="00F90EAE" w14:paraId="031523CC" w14:textId="77777777">
        <w:tc>
          <w:tcPr>
            <w:tcW w:w="1409" w:type="dxa"/>
          </w:tcPr>
          <w:p w14:paraId="198F4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868D8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94EF9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409" w:type="dxa"/>
          </w:tcPr>
          <w:p w14:paraId="45CCB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ДВФ</w:t>
            </w:r>
          </w:p>
        </w:tc>
        <w:tc>
          <w:tcPr>
            <w:tcW w:w="1409" w:type="dxa"/>
          </w:tcPr>
          <w:p w14:paraId="5A301E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Хабаровск</w:t>
            </w:r>
          </w:p>
        </w:tc>
      </w:tr>
      <w:tr w:rsidR="00561F31" w:rsidRPr="00F90EAE" w14:paraId="1C1CB97E" w14:textId="77777777">
        <w:tc>
          <w:tcPr>
            <w:tcW w:w="1409" w:type="dxa"/>
          </w:tcPr>
          <w:p w14:paraId="5D0AF9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09215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FF2CF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01128B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ВА</w:t>
            </w:r>
          </w:p>
        </w:tc>
        <w:tc>
          <w:tcPr>
            <w:tcW w:w="1409" w:type="dxa"/>
          </w:tcPr>
          <w:p w14:paraId="3F7F92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Чита</w:t>
            </w:r>
          </w:p>
        </w:tc>
      </w:tr>
      <w:tr w:rsidR="00561F31" w:rsidRPr="00F90EAE" w14:paraId="1C254423" w14:textId="77777777">
        <w:tc>
          <w:tcPr>
            <w:tcW w:w="1409" w:type="dxa"/>
          </w:tcPr>
          <w:p w14:paraId="1504DF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381</w:t>
            </w:r>
          </w:p>
        </w:tc>
        <w:tc>
          <w:tcPr>
            <w:tcW w:w="1409" w:type="dxa"/>
          </w:tcPr>
          <w:p w14:paraId="76EEE6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61F96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44E647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ВА</w:t>
            </w:r>
          </w:p>
        </w:tc>
        <w:tc>
          <w:tcPr>
            <w:tcW w:w="1409" w:type="dxa"/>
          </w:tcPr>
          <w:p w14:paraId="5149ED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Инстербург</w:t>
            </w:r>
          </w:p>
        </w:tc>
      </w:tr>
      <w:tr w:rsidR="00561F31" w:rsidRPr="00F90EAE" w14:paraId="05933641" w14:textId="77777777">
        <w:tc>
          <w:tcPr>
            <w:tcW w:w="1409" w:type="dxa"/>
          </w:tcPr>
          <w:p w14:paraId="5CB3C3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409" w:type="dxa"/>
          </w:tcPr>
          <w:p w14:paraId="77652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1409" w:type="dxa"/>
          </w:tcPr>
          <w:p w14:paraId="7E3BC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409" w:type="dxa"/>
          </w:tcPr>
          <w:p w14:paraId="560FE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ДВФ</w:t>
            </w:r>
          </w:p>
        </w:tc>
        <w:tc>
          <w:tcPr>
            <w:tcW w:w="1409" w:type="dxa"/>
          </w:tcPr>
          <w:p w14:paraId="3A6D1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Хабаровск</w:t>
            </w:r>
          </w:p>
        </w:tc>
      </w:tr>
      <w:tr w:rsidR="00561F31" w:rsidRPr="00F90EAE" w14:paraId="206410A5" w14:textId="77777777">
        <w:tc>
          <w:tcPr>
            <w:tcW w:w="1409" w:type="dxa"/>
          </w:tcPr>
          <w:p w14:paraId="7B951A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409" w:type="dxa"/>
          </w:tcPr>
          <w:p w14:paraId="221464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1409" w:type="dxa"/>
          </w:tcPr>
          <w:p w14:paraId="0352C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409" w:type="dxa"/>
          </w:tcPr>
          <w:p w14:paraId="195B3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ЛьВО</w:t>
            </w:r>
          </w:p>
        </w:tc>
        <w:tc>
          <w:tcPr>
            <w:tcW w:w="1409" w:type="dxa"/>
          </w:tcPr>
          <w:p w14:paraId="5C32B5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Львов</w:t>
            </w:r>
          </w:p>
        </w:tc>
      </w:tr>
      <w:tr w:rsidR="00561F31" w:rsidRPr="00F90EAE" w14:paraId="5370966A" w14:textId="77777777">
        <w:tc>
          <w:tcPr>
            <w:tcW w:w="1409" w:type="dxa"/>
          </w:tcPr>
          <w:p w14:paraId="39DF4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4B41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D02E6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409" w:type="dxa"/>
          </w:tcPr>
          <w:p w14:paraId="03563E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ШАК</w:t>
            </w:r>
          </w:p>
        </w:tc>
        <w:tc>
          <w:tcPr>
            <w:tcW w:w="1409" w:type="dxa"/>
          </w:tcPr>
          <w:p w14:paraId="1EAC4F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Шауляй</w:t>
            </w:r>
          </w:p>
        </w:tc>
      </w:tr>
      <w:tr w:rsidR="00561F31" w:rsidRPr="00F90EAE" w14:paraId="769E1830" w14:textId="77777777">
        <w:tc>
          <w:tcPr>
            <w:tcW w:w="1409" w:type="dxa"/>
          </w:tcPr>
          <w:p w14:paraId="21473D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409" w:type="dxa"/>
          </w:tcPr>
          <w:p w14:paraId="451794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49CA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409" w:type="dxa"/>
          </w:tcPr>
          <w:p w14:paraId="79EC00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ДВФ</w:t>
            </w:r>
          </w:p>
        </w:tc>
        <w:tc>
          <w:tcPr>
            <w:tcW w:w="1409" w:type="dxa"/>
          </w:tcPr>
          <w:p w14:paraId="6DDA9B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Хабаровск</w:t>
            </w:r>
          </w:p>
        </w:tc>
      </w:tr>
      <w:tr w:rsidR="00561F31" w:rsidRPr="00F90EAE" w14:paraId="4E50F2C4" w14:textId="77777777">
        <w:tc>
          <w:tcPr>
            <w:tcW w:w="1409" w:type="dxa"/>
          </w:tcPr>
          <w:p w14:paraId="2A12D1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F0DB3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BA03D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409" w:type="dxa"/>
          </w:tcPr>
          <w:p w14:paraId="0D535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ШАК</w:t>
            </w:r>
          </w:p>
        </w:tc>
        <w:tc>
          <w:tcPr>
            <w:tcW w:w="1409" w:type="dxa"/>
          </w:tcPr>
          <w:p w14:paraId="510881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Шауляй</w:t>
            </w:r>
          </w:p>
        </w:tc>
      </w:tr>
      <w:tr w:rsidR="00561F31" w:rsidRPr="00F90EAE" w14:paraId="1EAF7CCE" w14:textId="77777777">
        <w:tc>
          <w:tcPr>
            <w:tcW w:w="1409" w:type="dxa"/>
          </w:tcPr>
          <w:p w14:paraId="127E2B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409" w:type="dxa"/>
          </w:tcPr>
          <w:p w14:paraId="0D5240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корр.</w:t>
            </w:r>
          </w:p>
        </w:tc>
        <w:tc>
          <w:tcPr>
            <w:tcW w:w="1409" w:type="dxa"/>
          </w:tcPr>
          <w:p w14:paraId="277A1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409" w:type="dxa"/>
          </w:tcPr>
          <w:p w14:paraId="122C4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ДВФ</w:t>
            </w:r>
          </w:p>
        </w:tc>
        <w:tc>
          <w:tcPr>
            <w:tcW w:w="1409" w:type="dxa"/>
          </w:tcPr>
          <w:p w14:paraId="4805B9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Хабаровск</w:t>
            </w:r>
          </w:p>
        </w:tc>
      </w:tr>
      <w:tr w:rsidR="00561F31" w:rsidRPr="00F90EAE" w14:paraId="29D70729" w14:textId="77777777">
        <w:tc>
          <w:tcPr>
            <w:tcW w:w="1409" w:type="dxa"/>
          </w:tcPr>
          <w:p w14:paraId="4D53B5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409" w:type="dxa"/>
          </w:tcPr>
          <w:p w14:paraId="1F656C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1409" w:type="dxa"/>
          </w:tcPr>
          <w:p w14:paraId="110AB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1409" w:type="dxa"/>
          </w:tcPr>
          <w:p w14:paraId="638AA1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86EB3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27C0BF3" w14:textId="77777777">
        <w:tc>
          <w:tcPr>
            <w:tcW w:w="1409" w:type="dxa"/>
          </w:tcPr>
          <w:p w14:paraId="393A6D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1409" w:type="dxa"/>
          </w:tcPr>
          <w:p w14:paraId="119293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409" w:type="dxa"/>
          </w:tcPr>
          <w:p w14:paraId="3F2634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1409" w:type="dxa"/>
          </w:tcPr>
          <w:p w14:paraId="37AFF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64</w:t>
            </w:r>
          </w:p>
        </w:tc>
        <w:tc>
          <w:tcPr>
            <w:tcW w:w="1409" w:type="dxa"/>
          </w:tcPr>
          <w:p w14:paraId="73AF98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Воронеж</w:t>
            </w:r>
          </w:p>
        </w:tc>
      </w:tr>
      <w:tr w:rsidR="00561F31" w:rsidRPr="00F90EAE" w14:paraId="1AD77717" w14:textId="77777777">
        <w:tc>
          <w:tcPr>
            <w:tcW w:w="1409" w:type="dxa"/>
          </w:tcPr>
          <w:p w14:paraId="5BE342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w:t>
            </w:r>
          </w:p>
        </w:tc>
        <w:tc>
          <w:tcPr>
            <w:tcW w:w="1409" w:type="dxa"/>
          </w:tcPr>
          <w:p w14:paraId="386A69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УТ-2</w:t>
            </w:r>
          </w:p>
        </w:tc>
        <w:tc>
          <w:tcPr>
            <w:tcW w:w="1409" w:type="dxa"/>
          </w:tcPr>
          <w:p w14:paraId="65599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409" w:type="dxa"/>
          </w:tcPr>
          <w:p w14:paraId="399A98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Рустав. ав. шк.</w:t>
            </w:r>
          </w:p>
        </w:tc>
        <w:tc>
          <w:tcPr>
            <w:tcW w:w="1409" w:type="dxa"/>
          </w:tcPr>
          <w:p w14:paraId="7AD36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Вазиани</w:t>
            </w:r>
          </w:p>
        </w:tc>
      </w:tr>
      <w:tr w:rsidR="00561F31" w:rsidRPr="00F90EAE" w14:paraId="7BDAEE51" w14:textId="77777777">
        <w:tc>
          <w:tcPr>
            <w:tcW w:w="1409" w:type="dxa"/>
          </w:tcPr>
          <w:p w14:paraId="57007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476F7B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AF2B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409" w:type="dxa"/>
          </w:tcPr>
          <w:p w14:paraId="6CB4B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3-й ав. шк.</w:t>
            </w:r>
          </w:p>
        </w:tc>
        <w:tc>
          <w:tcPr>
            <w:tcW w:w="1409" w:type="dxa"/>
          </w:tcPr>
          <w:p w14:paraId="6C906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Сасово</w:t>
            </w:r>
          </w:p>
        </w:tc>
      </w:tr>
      <w:tr w:rsidR="00561F31" w:rsidRPr="00F90EAE" w14:paraId="6D727CC9" w14:textId="77777777">
        <w:tc>
          <w:tcPr>
            <w:tcW w:w="1409" w:type="dxa"/>
          </w:tcPr>
          <w:p w14:paraId="18F594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0501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3A83C8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409" w:type="dxa"/>
          </w:tcPr>
          <w:p w14:paraId="6CB31F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9-й -"-</w:t>
            </w:r>
          </w:p>
        </w:tc>
        <w:tc>
          <w:tcPr>
            <w:tcW w:w="1409" w:type="dxa"/>
          </w:tcPr>
          <w:p w14:paraId="2ED99D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Бугуруслан</w:t>
            </w:r>
          </w:p>
        </w:tc>
      </w:tr>
      <w:tr w:rsidR="00561F31" w:rsidRPr="00F90EAE" w14:paraId="7D5358C9" w14:textId="77777777">
        <w:tc>
          <w:tcPr>
            <w:tcW w:w="1409" w:type="dxa"/>
          </w:tcPr>
          <w:p w14:paraId="5C2A1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54E948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14819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409" w:type="dxa"/>
          </w:tcPr>
          <w:p w14:paraId="4B745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11-й -"-</w:t>
            </w:r>
          </w:p>
        </w:tc>
        <w:tc>
          <w:tcPr>
            <w:tcW w:w="1409" w:type="dxa"/>
          </w:tcPr>
          <w:p w14:paraId="499BE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Джизак</w:t>
            </w:r>
          </w:p>
        </w:tc>
      </w:tr>
      <w:tr w:rsidR="00561F31" w:rsidRPr="00F90EAE" w14:paraId="1F21FB0C" w14:textId="77777777">
        <w:tc>
          <w:tcPr>
            <w:tcW w:w="1409" w:type="dxa"/>
          </w:tcPr>
          <w:p w14:paraId="018221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7845C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9" w:type="dxa"/>
          </w:tcPr>
          <w:p w14:paraId="27CC7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409" w:type="dxa"/>
          </w:tcPr>
          <w:p w14:paraId="69A262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21-й -"-</w:t>
            </w:r>
          </w:p>
        </w:tc>
        <w:tc>
          <w:tcPr>
            <w:tcW w:w="1409" w:type="dxa"/>
          </w:tcPr>
          <w:p w14:paraId="15A61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Телави</w:t>
            </w:r>
          </w:p>
        </w:tc>
      </w:tr>
      <w:tr w:rsidR="00561F31" w:rsidRPr="00F90EAE" w14:paraId="0B9CBA81" w14:textId="77777777">
        <w:tc>
          <w:tcPr>
            <w:tcW w:w="1409" w:type="dxa"/>
          </w:tcPr>
          <w:p w14:paraId="75A8B6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387</w:t>
            </w:r>
          </w:p>
        </w:tc>
        <w:tc>
          <w:tcPr>
            <w:tcW w:w="1409" w:type="dxa"/>
          </w:tcPr>
          <w:p w14:paraId="6475E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1409" w:type="dxa"/>
          </w:tcPr>
          <w:p w14:paraId="1AE53F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409" w:type="dxa"/>
          </w:tcPr>
          <w:p w14:paraId="67C19A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11-й -"-</w:t>
            </w:r>
          </w:p>
        </w:tc>
        <w:tc>
          <w:tcPr>
            <w:tcW w:w="1409" w:type="dxa"/>
          </w:tcPr>
          <w:p w14:paraId="0961E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Джизак</w:t>
            </w:r>
          </w:p>
        </w:tc>
      </w:tr>
    </w:tbl>
    <w:p w14:paraId="16ABA2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указаний директорам заводов по обеспечению погрузки и отправки указанных самолетов (1879,90).</w:t>
      </w:r>
    </w:p>
    <w:p w14:paraId="518EBECB" w14:textId="77777777" w:rsidR="00665165" w:rsidRPr="00F90EAE" w:rsidRDefault="00665165" w:rsidP="00F90EAE">
      <w:pPr>
        <w:autoSpaceDE w:val="0"/>
        <w:autoSpaceDN w:val="0"/>
        <w:adjustRightInd w:val="0"/>
        <w:jc w:val="both"/>
        <w:rPr>
          <w:color w:val="000000" w:themeColor="text1"/>
          <w:sz w:val="16"/>
          <w:szCs w:val="16"/>
        </w:rPr>
      </w:pPr>
    </w:p>
    <w:p w14:paraId="6C3A49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года гл. инженер ВВС генерал-полковник ИАС Репин писал письмо N 741243 Шахурину.</w:t>
      </w:r>
    </w:p>
    <w:p w14:paraId="13334E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ГК НИИ ВВС в феврале 1945 года проведены с положительным результатом полигонные испытания опытного образца самолетного обнаружителя локаторов "Сол-3", изготовленного 9 ремесленным училищем связи.</w:t>
      </w:r>
    </w:p>
    <w:p w14:paraId="32448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Самолетный обнаружитель локаторов "Сол-3" предназначен для обнаружения облучения наших самолетов немецкими самолетными локационными установками "ФУГ-202" и "ФУГ-220".</w:t>
      </w:r>
    </w:p>
    <w:p w14:paraId="0A7101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Прибор "Сол-3" должен устанавливаться на всех ночных бомбардировщиках и разведчиках ВВС.</w:t>
      </w:r>
    </w:p>
    <w:p w14:paraId="2C42DC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Прибор по схеме и конструкции прост и легко осуществим в серийном производстве.</w:t>
      </w:r>
    </w:p>
    <w:p w14:paraId="1C0056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об изготовлении во II квартале 1945 года 300 штук приборов "Сол-3", 30 штук имитаторов сигнала локаторов и 100 штук дополнительных усилительно-релейных установок, необходимых для проведения войсковых испытаний (1879).</w:t>
      </w:r>
    </w:p>
    <w:p w14:paraId="5413C67F" w14:textId="77777777" w:rsidR="00665165" w:rsidRPr="00F90EAE" w:rsidRDefault="00665165" w:rsidP="00F90EAE">
      <w:pPr>
        <w:autoSpaceDE w:val="0"/>
        <w:autoSpaceDN w:val="0"/>
        <w:adjustRightInd w:val="0"/>
        <w:jc w:val="both"/>
        <w:rPr>
          <w:color w:val="000000" w:themeColor="text1"/>
          <w:sz w:val="16"/>
          <w:szCs w:val="16"/>
        </w:rPr>
      </w:pPr>
    </w:p>
    <w:p w14:paraId="15B2CE68" w14:textId="77777777" w:rsidR="00F36DAA" w:rsidRPr="00F90EAE" w:rsidRDefault="00F36DAA" w:rsidP="00F90EAE">
      <w:pPr>
        <w:jc w:val="both"/>
        <w:rPr>
          <w:color w:val="000000" w:themeColor="text1"/>
          <w:sz w:val="16"/>
          <w:szCs w:val="16"/>
        </w:rPr>
      </w:pPr>
      <w:r w:rsidRPr="00F90EAE">
        <w:rPr>
          <w:color w:val="000000" w:themeColor="text1"/>
          <w:sz w:val="16"/>
          <w:szCs w:val="16"/>
        </w:rPr>
        <w:t>17 марта 1945 г. ГОСУДАРСТВЕННЫЙ КОМИТЕТ ОБОРОНЫ</w:t>
      </w:r>
    </w:p>
    <w:p w14:paraId="07A51E36" w14:textId="77777777" w:rsidR="00F36DAA" w:rsidRPr="00F90EAE" w:rsidRDefault="00F36DAA" w:rsidP="00F90EAE">
      <w:pPr>
        <w:jc w:val="both"/>
        <w:rPr>
          <w:color w:val="000000" w:themeColor="text1"/>
          <w:sz w:val="16"/>
          <w:szCs w:val="16"/>
        </w:rPr>
      </w:pPr>
      <w:r w:rsidRPr="00F90EAE">
        <w:rPr>
          <w:color w:val="000000" w:themeColor="text1"/>
          <w:sz w:val="16"/>
          <w:szCs w:val="16"/>
        </w:rPr>
        <w:t>РАСПОРЯЖЕНИЕ № ГКО-7861сс</w:t>
      </w:r>
    </w:p>
    <w:p w14:paraId="6484BA75" w14:textId="77777777" w:rsidR="00F36DAA" w:rsidRPr="00F90EAE" w:rsidRDefault="00F36DAA" w:rsidP="00F90EAE">
      <w:pPr>
        <w:jc w:val="both"/>
        <w:rPr>
          <w:color w:val="000000" w:themeColor="text1"/>
          <w:sz w:val="16"/>
          <w:szCs w:val="16"/>
        </w:rPr>
      </w:pPr>
      <w:r w:rsidRPr="00F90EAE">
        <w:rPr>
          <w:color w:val="000000" w:themeColor="text1"/>
          <w:sz w:val="16"/>
          <w:szCs w:val="16"/>
        </w:rPr>
        <w:t>Москва, Кремль</w:t>
      </w:r>
    </w:p>
    <w:p w14:paraId="52F20739" w14:textId="77777777" w:rsidR="00F36DAA" w:rsidRPr="00F90EAE" w:rsidRDefault="00F36DAA" w:rsidP="00F90EAE">
      <w:pPr>
        <w:jc w:val="both"/>
        <w:rPr>
          <w:color w:val="000000" w:themeColor="text1"/>
          <w:sz w:val="16"/>
          <w:szCs w:val="16"/>
        </w:rPr>
      </w:pPr>
      <w:r w:rsidRPr="00F90EAE">
        <w:rPr>
          <w:color w:val="000000" w:themeColor="text1"/>
          <w:sz w:val="16"/>
          <w:szCs w:val="16"/>
        </w:rPr>
        <w:t>Для решения вопроса об изготовлении опытной партии реактивных авиационных торпед "РАТ", разрабатываемых НИИ-1 НКАП, обязать:</w:t>
      </w:r>
    </w:p>
    <w:p w14:paraId="2A0C050D" w14:textId="77777777" w:rsidR="00F36DAA" w:rsidRPr="00F90EAE" w:rsidRDefault="00F36DAA" w:rsidP="00F90EAE">
      <w:pPr>
        <w:jc w:val="both"/>
        <w:rPr>
          <w:color w:val="000000" w:themeColor="text1"/>
          <w:sz w:val="16"/>
          <w:szCs w:val="16"/>
        </w:rPr>
      </w:pPr>
      <w:r w:rsidRPr="00F90EAE">
        <w:rPr>
          <w:color w:val="000000" w:themeColor="text1"/>
          <w:sz w:val="16"/>
          <w:szCs w:val="16"/>
        </w:rPr>
        <w:t>1. Наркомавиапром (т. Шахурина) закончить разработку технического проекта реактивной авиационной торпеды “РАТ” в НИИ-1 НКАП к 1.VII.1945 года с учётом последующего изготовления опытных образцов на торпедостроительных заводах Наркомсудпрома.</w:t>
      </w:r>
    </w:p>
    <w:p w14:paraId="2A2A9A6B" w14:textId="77777777" w:rsidR="00F36DAA" w:rsidRPr="00F90EAE" w:rsidRDefault="00F36DAA" w:rsidP="00F90EAE">
      <w:pPr>
        <w:jc w:val="both"/>
        <w:rPr>
          <w:color w:val="000000" w:themeColor="text1"/>
          <w:sz w:val="16"/>
          <w:szCs w:val="16"/>
        </w:rPr>
      </w:pPr>
      <w:r w:rsidRPr="00F90EAE">
        <w:rPr>
          <w:color w:val="000000" w:themeColor="text1"/>
          <w:sz w:val="16"/>
          <w:szCs w:val="16"/>
        </w:rPr>
        <w:t>2. Наркомсудпром (т. Носенко), Наркомавиапром (т. Шахурину) обеспечить проведение необходимых исследовательских работ по отработке отдельных узлов реактивной авиационной торпеды до 1.VII.1945 года, для чего:</w:t>
      </w:r>
    </w:p>
    <w:p w14:paraId="3F72B46B" w14:textId="77777777" w:rsidR="00F36DAA" w:rsidRPr="00F90EAE" w:rsidRDefault="00F36DAA" w:rsidP="00F90EAE">
      <w:pPr>
        <w:jc w:val="both"/>
        <w:rPr>
          <w:color w:val="000000" w:themeColor="text1"/>
          <w:sz w:val="16"/>
          <w:szCs w:val="16"/>
        </w:rPr>
      </w:pPr>
      <w:r w:rsidRPr="00F90EAE">
        <w:rPr>
          <w:color w:val="000000" w:themeColor="text1"/>
          <w:sz w:val="16"/>
          <w:szCs w:val="16"/>
        </w:rPr>
        <w:t>а) Наркомсудпрому (т. Носенко) изготовить и испытать на своих заводах безмаятниковый гиростат;</w:t>
      </w:r>
    </w:p>
    <w:p w14:paraId="2E803388" w14:textId="77777777" w:rsidR="00F36DAA" w:rsidRPr="00F90EAE" w:rsidRDefault="00F36DAA" w:rsidP="00F90EAE">
      <w:pPr>
        <w:jc w:val="both"/>
        <w:rPr>
          <w:color w:val="000000" w:themeColor="text1"/>
          <w:sz w:val="16"/>
          <w:szCs w:val="16"/>
        </w:rPr>
      </w:pPr>
      <w:r w:rsidRPr="00F90EAE">
        <w:rPr>
          <w:color w:val="000000" w:themeColor="text1"/>
          <w:sz w:val="16"/>
          <w:szCs w:val="16"/>
        </w:rPr>
        <w:t>б) Наркомбоеприпасов (т. Ванникову) изготовить по техническим условиям НИИ-1 НКАП пороховые шашки в количествах, необходимых для окончания исследований;</w:t>
      </w:r>
    </w:p>
    <w:p w14:paraId="0745A6E6" w14:textId="77777777" w:rsidR="00F36DAA" w:rsidRPr="00F90EAE" w:rsidRDefault="00F36DAA" w:rsidP="00F90EAE">
      <w:pPr>
        <w:jc w:val="both"/>
        <w:rPr>
          <w:color w:val="000000" w:themeColor="text1"/>
          <w:sz w:val="16"/>
          <w:szCs w:val="16"/>
        </w:rPr>
      </w:pPr>
      <w:r w:rsidRPr="00F90EAE">
        <w:rPr>
          <w:color w:val="000000" w:themeColor="text1"/>
          <w:sz w:val="16"/>
          <w:szCs w:val="16"/>
        </w:rPr>
        <w:t>в) Наркомавиапром (т. Шахурину) закончить исследовательские работы по реактивному двигателю и базисные торпеды.</w:t>
      </w:r>
    </w:p>
    <w:p w14:paraId="16208BC4" w14:textId="77777777" w:rsidR="00F36DAA" w:rsidRPr="00F90EAE" w:rsidRDefault="00F36DAA" w:rsidP="00F90EAE">
      <w:pPr>
        <w:jc w:val="both"/>
        <w:rPr>
          <w:color w:val="000000" w:themeColor="text1"/>
          <w:sz w:val="16"/>
          <w:szCs w:val="16"/>
        </w:rPr>
      </w:pPr>
      <w:r w:rsidRPr="00F90EAE">
        <w:rPr>
          <w:color w:val="000000" w:themeColor="text1"/>
          <w:sz w:val="16"/>
          <w:szCs w:val="16"/>
        </w:rPr>
        <w:t>3. Наркомвоенморфлот (т. Кузнецова), ВВС КА (т. Новикова), Наркомавиапром (т. Шахурина), Наркомсудпром (т. Носенко) и Наркомбоеприпасов (т. Ванникова) рассмотреть технический проект реактивной авиационной торпеды и результаты окончания экспериментальных работ и представить совместные предложения в ГОКО по изготовлению опытной партии реактивных торпед к 1.VIII.1945 года.</w:t>
      </w:r>
    </w:p>
    <w:p w14:paraId="799E993E" w14:textId="77777777" w:rsidR="00F36DAA" w:rsidRPr="00F90EAE" w:rsidRDefault="00F36DAA" w:rsidP="00F90EAE">
      <w:pPr>
        <w:jc w:val="both"/>
        <w:rPr>
          <w:color w:val="000000" w:themeColor="text1"/>
          <w:sz w:val="16"/>
          <w:szCs w:val="16"/>
        </w:rPr>
      </w:pPr>
      <w:r w:rsidRPr="00F90EAE">
        <w:rPr>
          <w:color w:val="000000" w:themeColor="text1"/>
          <w:sz w:val="16"/>
          <w:szCs w:val="16"/>
        </w:rPr>
        <w:t>ЗАМ. ПРЕДСЕДАТЕЛЯ ГОСУДАРСТВЕННОГО КОМИТЕТА ОБОРОНЫ Л. БЕРИЯ (15501).</w:t>
      </w:r>
    </w:p>
    <w:p w14:paraId="5469E4D2" w14:textId="77777777" w:rsidR="00F36DAA" w:rsidRPr="00F90EAE" w:rsidRDefault="00F36DAA" w:rsidP="00F90EAE">
      <w:pPr>
        <w:jc w:val="both"/>
        <w:rPr>
          <w:color w:val="000000" w:themeColor="text1"/>
          <w:sz w:val="16"/>
          <w:szCs w:val="16"/>
        </w:rPr>
      </w:pPr>
    </w:p>
    <w:p w14:paraId="7D7C2B8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F9E885A" w14:textId="77777777" w:rsidR="00665165" w:rsidRPr="00F90EAE" w:rsidRDefault="00665165" w:rsidP="00F90EAE">
      <w:pPr>
        <w:autoSpaceDE w:val="0"/>
        <w:autoSpaceDN w:val="0"/>
        <w:adjustRightInd w:val="0"/>
        <w:jc w:val="both"/>
        <w:rPr>
          <w:iCs/>
          <w:color w:val="000000" w:themeColor="text1"/>
          <w:sz w:val="16"/>
          <w:szCs w:val="16"/>
        </w:rPr>
      </w:pPr>
    </w:p>
    <w:p w14:paraId="1FE1A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Распоряжение ГКО № 7856. О выделении 6,5 тыс. военнообязанных, негодных к строевой службе, на период массового лова рыбы в Каспийском бассейне. РГАНИР, Фонд ГКО, д. 382, лл. 106 (11012).</w:t>
      </w:r>
    </w:p>
    <w:p w14:paraId="2E131096" w14:textId="77777777" w:rsidR="00665165" w:rsidRPr="00F90EAE" w:rsidRDefault="00665165" w:rsidP="00F90EAE">
      <w:pPr>
        <w:autoSpaceDE w:val="0"/>
        <w:autoSpaceDN w:val="0"/>
        <w:adjustRightInd w:val="0"/>
        <w:jc w:val="both"/>
        <w:rPr>
          <w:color w:val="000000" w:themeColor="text1"/>
          <w:sz w:val="16"/>
          <w:szCs w:val="16"/>
        </w:rPr>
      </w:pPr>
    </w:p>
    <w:p w14:paraId="2C701CF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марта 1945 вышло Распоряжение ГКО № 7857 [О мерах по укреплению искусственных сооружений и подготовке их к пропуску весеннего паводка.] (7317, 107-109).</w:t>
      </w:r>
    </w:p>
    <w:p w14:paraId="6414EF3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22A4B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Постановление ГКО № 7858 О неотложной помощи мазутом Березниковским азотному и содовому заводам Наркомхимпрома. РГАНИР, Фонд ГКО, д. 382, лл. 110 (11012).</w:t>
      </w:r>
    </w:p>
    <w:p w14:paraId="7B98A563" w14:textId="77777777" w:rsidR="00665165" w:rsidRPr="00F90EAE" w:rsidRDefault="00665165" w:rsidP="00F90EAE">
      <w:pPr>
        <w:autoSpaceDE w:val="0"/>
        <w:autoSpaceDN w:val="0"/>
        <w:adjustRightInd w:val="0"/>
        <w:jc w:val="both"/>
        <w:rPr>
          <w:color w:val="000000" w:themeColor="text1"/>
          <w:sz w:val="16"/>
          <w:szCs w:val="16"/>
        </w:rPr>
      </w:pPr>
    </w:p>
    <w:p w14:paraId="2A0DB8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Распоряжение ГКО № 7859. О дополнительном выделении дизельного топлива строительству Закавказского металлургического комбината. РГАНИР, Фонд ГКО, д. 382, лл. 111 (11012).</w:t>
      </w:r>
    </w:p>
    <w:p w14:paraId="6B7C66F0" w14:textId="77777777" w:rsidR="00665165" w:rsidRPr="00F90EAE" w:rsidRDefault="00665165" w:rsidP="00F90EAE">
      <w:pPr>
        <w:autoSpaceDE w:val="0"/>
        <w:autoSpaceDN w:val="0"/>
        <w:adjustRightInd w:val="0"/>
        <w:jc w:val="both"/>
        <w:rPr>
          <w:color w:val="000000" w:themeColor="text1"/>
          <w:sz w:val="16"/>
          <w:szCs w:val="16"/>
        </w:rPr>
      </w:pPr>
    </w:p>
    <w:p w14:paraId="1E85F54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марта 1945 вышло Постановление ГКО № 7860 О Государственном Краснознаменном научно-исследовательском институте ВВС Красной Армии. (7317, 112,113-122).</w:t>
      </w:r>
    </w:p>
    <w:p w14:paraId="141F9AC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B82AD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Распоряжение ГКО № 7861. Об изготовлении опытной партии реактивных авиационных торпед, разрабатываемых НИИ-1 НКАП. РГАНИР, Фонд ГКО, д. 382, лл. 123-124 (11012).</w:t>
      </w:r>
    </w:p>
    <w:p w14:paraId="7F561AF4" w14:textId="77777777" w:rsidR="00665165" w:rsidRPr="00F90EAE" w:rsidRDefault="00665165" w:rsidP="00F90EAE">
      <w:pPr>
        <w:autoSpaceDE w:val="0"/>
        <w:autoSpaceDN w:val="0"/>
        <w:adjustRightInd w:val="0"/>
        <w:jc w:val="both"/>
        <w:rPr>
          <w:color w:val="000000" w:themeColor="text1"/>
          <w:sz w:val="16"/>
          <w:szCs w:val="16"/>
        </w:rPr>
      </w:pPr>
    </w:p>
    <w:p w14:paraId="255511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Постановление ГКО № 7864 Об отгрузке Наркомчермету карагандинских коксующихся и энергетических углей в марте 1945 года. РГАНИР, Фонд ГКО, д. 382 Л.135-136 (11012).</w:t>
      </w:r>
    </w:p>
    <w:p w14:paraId="4B7A31B3" w14:textId="77777777" w:rsidR="00665165" w:rsidRPr="00F90EAE" w:rsidRDefault="00665165" w:rsidP="00F90EAE">
      <w:pPr>
        <w:autoSpaceDE w:val="0"/>
        <w:autoSpaceDN w:val="0"/>
        <w:adjustRightInd w:val="0"/>
        <w:jc w:val="both"/>
        <w:rPr>
          <w:color w:val="000000" w:themeColor="text1"/>
          <w:sz w:val="16"/>
          <w:szCs w:val="16"/>
        </w:rPr>
      </w:pPr>
    </w:p>
    <w:p w14:paraId="29D16DCE" w14:textId="77777777" w:rsidR="00F36DAA" w:rsidRPr="00F90EAE" w:rsidRDefault="00F36DAA" w:rsidP="00F90EAE">
      <w:pPr>
        <w:jc w:val="both"/>
        <w:rPr>
          <w:color w:val="000000" w:themeColor="text1"/>
          <w:sz w:val="16"/>
          <w:szCs w:val="16"/>
        </w:rPr>
      </w:pPr>
      <w:r w:rsidRPr="00F90EAE">
        <w:rPr>
          <w:color w:val="000000" w:themeColor="text1"/>
          <w:sz w:val="16"/>
          <w:szCs w:val="16"/>
        </w:rPr>
        <w:t>17 марта 1945 г. Ведомость оптических и штурманских приборов, подлежащих поставке Наркомсудпрому для военного судостроения в 1945 г.</w:t>
      </w:r>
    </w:p>
    <w:tbl>
      <w:tblPr>
        <w:tblW w:w="67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40"/>
        <w:gridCol w:w="2380"/>
        <w:gridCol w:w="850"/>
        <w:gridCol w:w="851"/>
        <w:gridCol w:w="1275"/>
      </w:tblGrid>
      <w:tr w:rsidR="00561F31" w:rsidRPr="00F90EAE" w14:paraId="145CBB9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26E4024" w14:textId="77777777" w:rsidR="00F36DAA" w:rsidRPr="00F90EAE" w:rsidRDefault="00F36DAA" w:rsidP="00F90EAE">
            <w:pPr>
              <w:jc w:val="both"/>
              <w:rPr>
                <w:color w:val="000000" w:themeColor="text1"/>
                <w:sz w:val="16"/>
                <w:szCs w:val="16"/>
              </w:rPr>
            </w:pPr>
            <w:r w:rsidRPr="00F90EAE">
              <w:rPr>
                <w:color w:val="000000" w:themeColor="text1"/>
                <w:sz w:val="16"/>
                <w:szCs w:val="16"/>
              </w:rPr>
              <w:t>Наименование приборов</w:t>
            </w:r>
          </w:p>
        </w:tc>
        <w:tc>
          <w:tcPr>
            <w:tcW w:w="850" w:type="dxa"/>
            <w:tcBorders>
              <w:top w:val="outset" w:sz="6" w:space="0" w:color="auto"/>
              <w:left w:val="outset" w:sz="6" w:space="0" w:color="auto"/>
              <w:bottom w:val="outset" w:sz="6" w:space="0" w:color="auto"/>
              <w:right w:val="outset" w:sz="6" w:space="0" w:color="auto"/>
            </w:tcBorders>
            <w:hideMark/>
          </w:tcPr>
          <w:p w14:paraId="3A9F89C8" w14:textId="77777777" w:rsidR="00F36DAA" w:rsidRPr="00F90EAE" w:rsidRDefault="00F36DAA" w:rsidP="00F90EAE">
            <w:pPr>
              <w:jc w:val="both"/>
              <w:rPr>
                <w:color w:val="000000" w:themeColor="text1"/>
                <w:sz w:val="16"/>
                <w:szCs w:val="16"/>
              </w:rPr>
            </w:pPr>
            <w:r w:rsidRPr="00F90EAE">
              <w:rPr>
                <w:color w:val="000000" w:themeColor="text1"/>
                <w:sz w:val="16"/>
                <w:szCs w:val="16"/>
              </w:rPr>
              <w:t>Един. измер.</w:t>
            </w:r>
          </w:p>
        </w:tc>
        <w:tc>
          <w:tcPr>
            <w:tcW w:w="851" w:type="dxa"/>
            <w:tcBorders>
              <w:top w:val="outset" w:sz="6" w:space="0" w:color="auto"/>
              <w:left w:val="outset" w:sz="6" w:space="0" w:color="auto"/>
              <w:bottom w:val="outset" w:sz="6" w:space="0" w:color="auto"/>
              <w:right w:val="outset" w:sz="6" w:space="0" w:color="auto"/>
            </w:tcBorders>
            <w:hideMark/>
          </w:tcPr>
          <w:p w14:paraId="15759C4B" w14:textId="77777777" w:rsidR="00F36DAA" w:rsidRPr="00F90EAE" w:rsidRDefault="00F36DAA" w:rsidP="00F90EAE">
            <w:pPr>
              <w:jc w:val="both"/>
              <w:rPr>
                <w:color w:val="000000" w:themeColor="text1"/>
                <w:sz w:val="16"/>
                <w:szCs w:val="16"/>
              </w:rPr>
            </w:pPr>
            <w:r w:rsidRPr="00F90EAE">
              <w:rPr>
                <w:color w:val="000000" w:themeColor="text1"/>
                <w:sz w:val="16"/>
                <w:szCs w:val="16"/>
              </w:rPr>
              <w:t>Подлежит поставке в 1945 г.</w:t>
            </w:r>
          </w:p>
        </w:tc>
        <w:tc>
          <w:tcPr>
            <w:tcW w:w="1275" w:type="dxa"/>
            <w:tcBorders>
              <w:top w:val="outset" w:sz="6" w:space="0" w:color="auto"/>
              <w:left w:val="outset" w:sz="6" w:space="0" w:color="auto"/>
              <w:bottom w:val="outset" w:sz="6" w:space="0" w:color="auto"/>
              <w:right w:val="outset" w:sz="6" w:space="0" w:color="auto"/>
            </w:tcBorders>
            <w:hideMark/>
          </w:tcPr>
          <w:p w14:paraId="5BF9AC88" w14:textId="77777777" w:rsidR="00F36DAA" w:rsidRPr="00F90EAE" w:rsidRDefault="00F36DAA" w:rsidP="00F90EAE">
            <w:pPr>
              <w:jc w:val="both"/>
              <w:rPr>
                <w:color w:val="000000" w:themeColor="text1"/>
                <w:sz w:val="16"/>
                <w:szCs w:val="16"/>
              </w:rPr>
            </w:pPr>
            <w:r w:rsidRPr="00F90EAE">
              <w:rPr>
                <w:color w:val="000000" w:themeColor="text1"/>
                <w:sz w:val="16"/>
                <w:szCs w:val="16"/>
              </w:rPr>
              <w:t>Завод-поставщик</w:t>
            </w:r>
          </w:p>
        </w:tc>
      </w:tr>
      <w:tr w:rsidR="00561F31" w:rsidRPr="00F90EAE" w14:paraId="40C106E7"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495760F" w14:textId="77777777" w:rsidR="00F36DAA" w:rsidRPr="00F90EAE" w:rsidRDefault="00F36DAA" w:rsidP="00F90EAE">
            <w:pPr>
              <w:jc w:val="both"/>
              <w:rPr>
                <w:color w:val="000000" w:themeColor="text1"/>
                <w:sz w:val="16"/>
                <w:szCs w:val="16"/>
              </w:rPr>
            </w:pPr>
            <w:r w:rsidRPr="00F90EAE">
              <w:rPr>
                <w:color w:val="000000" w:themeColor="text1"/>
                <w:sz w:val="16"/>
                <w:szCs w:val="16"/>
              </w:rPr>
              <w:t>Стереодальномеры ДМ-4 без тумбы</w:t>
            </w:r>
          </w:p>
        </w:tc>
        <w:tc>
          <w:tcPr>
            <w:tcW w:w="850" w:type="dxa"/>
            <w:tcBorders>
              <w:top w:val="outset" w:sz="6" w:space="0" w:color="auto"/>
              <w:left w:val="outset" w:sz="6" w:space="0" w:color="auto"/>
              <w:bottom w:val="outset" w:sz="6" w:space="0" w:color="auto"/>
              <w:right w:val="outset" w:sz="6" w:space="0" w:color="auto"/>
            </w:tcBorders>
            <w:hideMark/>
          </w:tcPr>
          <w:p w14:paraId="34DEEE00"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5D3397"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D910D88"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70A56B08"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832A65B" w14:textId="77777777" w:rsidR="00F36DAA" w:rsidRPr="00F90EAE" w:rsidRDefault="00F36DAA" w:rsidP="00F90EAE">
            <w:pPr>
              <w:jc w:val="both"/>
              <w:rPr>
                <w:color w:val="000000" w:themeColor="text1"/>
                <w:sz w:val="16"/>
                <w:szCs w:val="16"/>
              </w:rPr>
            </w:pPr>
            <w:r w:rsidRPr="00F90EAE">
              <w:rPr>
                <w:color w:val="000000" w:themeColor="text1"/>
                <w:sz w:val="16"/>
                <w:szCs w:val="16"/>
              </w:rPr>
              <w:t>Антивибрационные подцапфенники А-4Б-43</w:t>
            </w:r>
          </w:p>
        </w:tc>
        <w:tc>
          <w:tcPr>
            <w:tcW w:w="850" w:type="dxa"/>
            <w:tcBorders>
              <w:top w:val="outset" w:sz="6" w:space="0" w:color="auto"/>
              <w:left w:val="outset" w:sz="6" w:space="0" w:color="auto"/>
              <w:bottom w:val="outset" w:sz="6" w:space="0" w:color="auto"/>
              <w:right w:val="outset" w:sz="6" w:space="0" w:color="auto"/>
            </w:tcBorders>
            <w:hideMark/>
          </w:tcPr>
          <w:p w14:paraId="5A24D41D"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1EA3B52"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21F28A03"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4997385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507F8DC" w14:textId="77777777" w:rsidR="00F36DAA" w:rsidRPr="00F90EAE" w:rsidRDefault="00F36DAA" w:rsidP="00F90EAE">
            <w:pPr>
              <w:jc w:val="both"/>
              <w:rPr>
                <w:color w:val="000000" w:themeColor="text1"/>
                <w:sz w:val="16"/>
                <w:szCs w:val="16"/>
              </w:rPr>
            </w:pPr>
            <w:r w:rsidRPr="00F90EAE">
              <w:rPr>
                <w:color w:val="000000" w:themeColor="text1"/>
                <w:sz w:val="16"/>
                <w:szCs w:val="16"/>
              </w:rPr>
              <w:t>Стереодальномеры ДМ-2 без тумбы</w:t>
            </w:r>
          </w:p>
        </w:tc>
        <w:tc>
          <w:tcPr>
            <w:tcW w:w="850" w:type="dxa"/>
            <w:tcBorders>
              <w:top w:val="outset" w:sz="6" w:space="0" w:color="auto"/>
              <w:left w:val="outset" w:sz="6" w:space="0" w:color="auto"/>
              <w:bottom w:val="outset" w:sz="6" w:space="0" w:color="auto"/>
              <w:right w:val="outset" w:sz="6" w:space="0" w:color="auto"/>
            </w:tcBorders>
            <w:hideMark/>
          </w:tcPr>
          <w:p w14:paraId="6DE2D993"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C1CB72" w14:textId="77777777" w:rsidR="00F36DAA" w:rsidRPr="00F90EAE" w:rsidRDefault="00F36DAA" w:rsidP="00F90EAE">
            <w:pPr>
              <w:jc w:val="both"/>
              <w:rPr>
                <w:color w:val="000000" w:themeColor="text1"/>
                <w:sz w:val="16"/>
                <w:szCs w:val="16"/>
              </w:rPr>
            </w:pPr>
            <w:r w:rsidRPr="00F90EAE">
              <w:rPr>
                <w:color w:val="000000" w:themeColor="text1"/>
                <w:sz w:val="16"/>
                <w:szCs w:val="16"/>
              </w:rPr>
              <w:t>3</w:t>
            </w:r>
          </w:p>
        </w:tc>
        <w:tc>
          <w:tcPr>
            <w:tcW w:w="1275" w:type="dxa"/>
            <w:tcBorders>
              <w:top w:val="outset" w:sz="6" w:space="0" w:color="auto"/>
              <w:left w:val="outset" w:sz="6" w:space="0" w:color="auto"/>
              <w:bottom w:val="outset" w:sz="6" w:space="0" w:color="auto"/>
              <w:right w:val="outset" w:sz="6" w:space="0" w:color="auto"/>
            </w:tcBorders>
            <w:hideMark/>
          </w:tcPr>
          <w:p w14:paraId="4FA6B5BF"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488EEC0A"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4959B7FA" w14:textId="77777777" w:rsidR="00F36DAA" w:rsidRPr="00F90EAE" w:rsidRDefault="00F36DAA" w:rsidP="00F90EAE">
            <w:pPr>
              <w:jc w:val="both"/>
              <w:rPr>
                <w:color w:val="000000" w:themeColor="text1"/>
                <w:sz w:val="16"/>
                <w:szCs w:val="16"/>
              </w:rPr>
            </w:pPr>
            <w:r w:rsidRPr="00F90EAE">
              <w:rPr>
                <w:color w:val="000000" w:themeColor="text1"/>
                <w:sz w:val="16"/>
                <w:szCs w:val="16"/>
              </w:rPr>
              <w:t>Стереодальномеры ДМ-1,5 с конвертером</w:t>
            </w:r>
          </w:p>
        </w:tc>
        <w:tc>
          <w:tcPr>
            <w:tcW w:w="850" w:type="dxa"/>
            <w:tcBorders>
              <w:top w:val="outset" w:sz="6" w:space="0" w:color="auto"/>
              <w:left w:val="outset" w:sz="6" w:space="0" w:color="auto"/>
              <w:bottom w:val="outset" w:sz="6" w:space="0" w:color="auto"/>
              <w:right w:val="outset" w:sz="6" w:space="0" w:color="auto"/>
            </w:tcBorders>
            <w:hideMark/>
          </w:tcPr>
          <w:p w14:paraId="11F3BF26"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EF8D9AA"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3BC325D3"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4C5B8979"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2E02140D" w14:textId="77777777" w:rsidR="00F36DAA" w:rsidRPr="00F90EAE" w:rsidRDefault="00F36DAA" w:rsidP="00F90EAE">
            <w:pPr>
              <w:jc w:val="both"/>
              <w:rPr>
                <w:color w:val="000000" w:themeColor="text1"/>
                <w:sz w:val="16"/>
                <w:szCs w:val="16"/>
              </w:rPr>
            </w:pPr>
            <w:r w:rsidRPr="00F90EAE">
              <w:rPr>
                <w:color w:val="000000" w:themeColor="text1"/>
                <w:sz w:val="16"/>
                <w:szCs w:val="16"/>
              </w:rPr>
              <w:t>Стереодальномеры ДМ-1,5 на АВТ</w:t>
            </w:r>
          </w:p>
        </w:tc>
        <w:tc>
          <w:tcPr>
            <w:tcW w:w="850" w:type="dxa"/>
            <w:tcBorders>
              <w:top w:val="outset" w:sz="6" w:space="0" w:color="auto"/>
              <w:left w:val="outset" w:sz="6" w:space="0" w:color="auto"/>
              <w:bottom w:val="outset" w:sz="6" w:space="0" w:color="auto"/>
              <w:right w:val="outset" w:sz="6" w:space="0" w:color="auto"/>
            </w:tcBorders>
            <w:hideMark/>
          </w:tcPr>
          <w:p w14:paraId="20C7F717"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25EE1F5" w14:textId="77777777" w:rsidR="00F36DAA" w:rsidRPr="00F90EAE" w:rsidRDefault="00F36DAA" w:rsidP="00F90EAE">
            <w:pPr>
              <w:jc w:val="both"/>
              <w:rPr>
                <w:color w:val="000000" w:themeColor="text1"/>
                <w:sz w:val="16"/>
                <w:szCs w:val="16"/>
              </w:rPr>
            </w:pPr>
            <w:r w:rsidRPr="00F90EAE">
              <w:rPr>
                <w:color w:val="000000" w:themeColor="text1"/>
                <w:sz w:val="16"/>
                <w:szCs w:val="16"/>
              </w:rPr>
              <w:t>21</w:t>
            </w:r>
          </w:p>
        </w:tc>
        <w:tc>
          <w:tcPr>
            <w:tcW w:w="1275" w:type="dxa"/>
            <w:tcBorders>
              <w:top w:val="outset" w:sz="6" w:space="0" w:color="auto"/>
              <w:left w:val="outset" w:sz="6" w:space="0" w:color="auto"/>
              <w:bottom w:val="outset" w:sz="6" w:space="0" w:color="auto"/>
              <w:right w:val="outset" w:sz="6" w:space="0" w:color="auto"/>
            </w:tcBorders>
            <w:hideMark/>
          </w:tcPr>
          <w:p w14:paraId="7D0F3B1C"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0D124F83"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6EB5BACD" w14:textId="77777777" w:rsidR="00F36DAA" w:rsidRPr="00F90EAE" w:rsidRDefault="00F36DAA" w:rsidP="00F90EAE">
            <w:pPr>
              <w:jc w:val="both"/>
              <w:rPr>
                <w:color w:val="000000" w:themeColor="text1"/>
                <w:sz w:val="16"/>
                <w:szCs w:val="16"/>
              </w:rPr>
            </w:pPr>
            <w:r w:rsidRPr="00F90EAE">
              <w:rPr>
                <w:color w:val="000000" w:themeColor="text1"/>
                <w:sz w:val="16"/>
                <w:szCs w:val="16"/>
              </w:rPr>
              <w:t>Визир центральной наводки ВМЦ-2</w:t>
            </w:r>
          </w:p>
        </w:tc>
        <w:tc>
          <w:tcPr>
            <w:tcW w:w="850" w:type="dxa"/>
            <w:tcBorders>
              <w:top w:val="outset" w:sz="6" w:space="0" w:color="auto"/>
              <w:left w:val="outset" w:sz="6" w:space="0" w:color="auto"/>
              <w:bottom w:val="outset" w:sz="6" w:space="0" w:color="auto"/>
              <w:right w:val="outset" w:sz="6" w:space="0" w:color="auto"/>
            </w:tcBorders>
            <w:hideMark/>
          </w:tcPr>
          <w:p w14:paraId="4CCC2E20"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501271F1" w14:textId="77777777" w:rsidR="00F36DAA" w:rsidRPr="00F90EAE" w:rsidRDefault="00F36DAA" w:rsidP="00F90EAE">
            <w:pPr>
              <w:jc w:val="both"/>
              <w:rPr>
                <w:color w:val="000000" w:themeColor="text1"/>
                <w:sz w:val="16"/>
                <w:szCs w:val="16"/>
              </w:rPr>
            </w:pPr>
            <w:r w:rsidRPr="00F90EAE">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6EAA0F1A"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5D2DC356"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80F9D5" w14:textId="77777777" w:rsidR="00F36DAA" w:rsidRPr="00F90EAE" w:rsidRDefault="00F36DAA" w:rsidP="00F90EAE">
            <w:pPr>
              <w:jc w:val="both"/>
              <w:rPr>
                <w:color w:val="000000" w:themeColor="text1"/>
                <w:sz w:val="16"/>
                <w:szCs w:val="16"/>
              </w:rPr>
            </w:pPr>
            <w:r w:rsidRPr="00F90EAE">
              <w:rPr>
                <w:color w:val="000000" w:themeColor="text1"/>
                <w:sz w:val="16"/>
                <w:szCs w:val="16"/>
              </w:rPr>
              <w:t>Торпедные инклинометры ПМР-21</w:t>
            </w:r>
          </w:p>
        </w:tc>
        <w:tc>
          <w:tcPr>
            <w:tcW w:w="850" w:type="dxa"/>
            <w:tcBorders>
              <w:top w:val="outset" w:sz="6" w:space="0" w:color="auto"/>
              <w:left w:val="outset" w:sz="6" w:space="0" w:color="auto"/>
              <w:bottom w:val="outset" w:sz="6" w:space="0" w:color="auto"/>
              <w:right w:val="outset" w:sz="6" w:space="0" w:color="auto"/>
            </w:tcBorders>
            <w:hideMark/>
          </w:tcPr>
          <w:p w14:paraId="78FD1E6B"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2184D7FF"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005F257C"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599381BC"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3FABAA69" w14:textId="77777777" w:rsidR="00F36DAA" w:rsidRPr="00F90EAE" w:rsidRDefault="00F36DAA" w:rsidP="00F90EAE">
            <w:pPr>
              <w:jc w:val="both"/>
              <w:rPr>
                <w:color w:val="000000" w:themeColor="text1"/>
                <w:sz w:val="16"/>
                <w:szCs w:val="16"/>
              </w:rPr>
            </w:pPr>
            <w:r w:rsidRPr="00F90EAE">
              <w:rPr>
                <w:color w:val="000000" w:themeColor="text1"/>
                <w:sz w:val="16"/>
                <w:szCs w:val="16"/>
              </w:rPr>
              <w:t>Машинки осушки оптики ТОБ</w:t>
            </w:r>
          </w:p>
        </w:tc>
        <w:tc>
          <w:tcPr>
            <w:tcW w:w="850" w:type="dxa"/>
            <w:tcBorders>
              <w:top w:val="outset" w:sz="6" w:space="0" w:color="auto"/>
              <w:left w:val="outset" w:sz="6" w:space="0" w:color="auto"/>
              <w:bottom w:val="outset" w:sz="6" w:space="0" w:color="auto"/>
              <w:right w:val="outset" w:sz="6" w:space="0" w:color="auto"/>
            </w:tcBorders>
            <w:hideMark/>
          </w:tcPr>
          <w:p w14:paraId="37B56326"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44A97CF3" w14:textId="77777777" w:rsidR="00F36DAA" w:rsidRPr="00F90EAE" w:rsidRDefault="00F36DAA" w:rsidP="00F90EAE">
            <w:pPr>
              <w:jc w:val="both"/>
              <w:rPr>
                <w:color w:val="000000" w:themeColor="text1"/>
                <w:sz w:val="16"/>
                <w:szCs w:val="16"/>
              </w:rPr>
            </w:pPr>
            <w:r w:rsidRPr="00F90EAE">
              <w:rPr>
                <w:color w:val="000000" w:themeColor="text1"/>
                <w:sz w:val="16"/>
                <w:szCs w:val="16"/>
              </w:rPr>
              <w:t>8</w:t>
            </w:r>
          </w:p>
        </w:tc>
        <w:tc>
          <w:tcPr>
            <w:tcW w:w="1275" w:type="dxa"/>
            <w:tcBorders>
              <w:top w:val="outset" w:sz="6" w:space="0" w:color="auto"/>
              <w:left w:val="outset" w:sz="6" w:space="0" w:color="auto"/>
              <w:bottom w:val="outset" w:sz="6" w:space="0" w:color="auto"/>
              <w:right w:val="outset" w:sz="6" w:space="0" w:color="auto"/>
            </w:tcBorders>
            <w:hideMark/>
          </w:tcPr>
          <w:p w14:paraId="352B4F71"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4DA9ED8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AE4E16B" w14:textId="77777777" w:rsidR="00F36DAA" w:rsidRPr="00F90EAE" w:rsidRDefault="00F36DAA" w:rsidP="00F90EAE">
            <w:pPr>
              <w:jc w:val="both"/>
              <w:rPr>
                <w:color w:val="000000" w:themeColor="text1"/>
                <w:sz w:val="16"/>
                <w:szCs w:val="16"/>
              </w:rPr>
            </w:pPr>
            <w:r w:rsidRPr="00F90EAE">
              <w:rPr>
                <w:color w:val="000000" w:themeColor="text1"/>
                <w:sz w:val="16"/>
                <w:szCs w:val="16"/>
              </w:rPr>
              <w:t>Перископы:</w:t>
            </w:r>
          </w:p>
        </w:tc>
        <w:tc>
          <w:tcPr>
            <w:tcW w:w="2380" w:type="dxa"/>
            <w:tcBorders>
              <w:top w:val="outset" w:sz="6" w:space="0" w:color="auto"/>
              <w:left w:val="outset" w:sz="6" w:space="0" w:color="auto"/>
              <w:bottom w:val="outset" w:sz="6" w:space="0" w:color="auto"/>
              <w:right w:val="outset" w:sz="6" w:space="0" w:color="auto"/>
            </w:tcBorders>
            <w:hideMark/>
          </w:tcPr>
          <w:p w14:paraId="09A86A5D" w14:textId="77777777" w:rsidR="00F36DAA" w:rsidRPr="00F90EAE" w:rsidRDefault="00F36DAA" w:rsidP="00F90EAE">
            <w:pPr>
              <w:jc w:val="both"/>
              <w:rPr>
                <w:color w:val="000000" w:themeColor="text1"/>
                <w:sz w:val="16"/>
                <w:szCs w:val="16"/>
              </w:rPr>
            </w:pPr>
            <w:r w:rsidRPr="00F90EAE">
              <w:rPr>
                <w:color w:val="000000" w:themeColor="text1"/>
                <w:sz w:val="16"/>
                <w:szCs w:val="16"/>
              </w:rPr>
              <w:t>ПА-9</w:t>
            </w:r>
          </w:p>
        </w:tc>
        <w:tc>
          <w:tcPr>
            <w:tcW w:w="850" w:type="dxa"/>
            <w:tcBorders>
              <w:top w:val="outset" w:sz="6" w:space="0" w:color="auto"/>
              <w:left w:val="outset" w:sz="6" w:space="0" w:color="auto"/>
              <w:bottom w:val="outset" w:sz="6" w:space="0" w:color="auto"/>
              <w:right w:val="outset" w:sz="6" w:space="0" w:color="auto"/>
            </w:tcBorders>
            <w:hideMark/>
          </w:tcPr>
          <w:p w14:paraId="1D0536DF"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C16CE9E"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420179C9"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49A9E1FC"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0B0B631D" w14:textId="77777777" w:rsidR="00F36DAA" w:rsidRPr="00F90EAE" w:rsidRDefault="00F36DAA" w:rsidP="00F90EAE">
            <w:pPr>
              <w:jc w:val="both"/>
              <w:rPr>
                <w:color w:val="000000" w:themeColor="text1"/>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4EE6130C" w14:textId="77777777" w:rsidR="00F36DAA" w:rsidRPr="00F90EAE" w:rsidRDefault="00F36DAA" w:rsidP="00F90EAE">
            <w:pPr>
              <w:jc w:val="both"/>
              <w:rPr>
                <w:color w:val="000000" w:themeColor="text1"/>
                <w:sz w:val="16"/>
                <w:szCs w:val="16"/>
              </w:rPr>
            </w:pPr>
            <w:r w:rsidRPr="00F90EAE">
              <w:rPr>
                <w:color w:val="000000" w:themeColor="text1"/>
                <w:sz w:val="16"/>
                <w:szCs w:val="16"/>
              </w:rPr>
              <w:t>ПЗ-9</w:t>
            </w:r>
          </w:p>
        </w:tc>
        <w:tc>
          <w:tcPr>
            <w:tcW w:w="850" w:type="dxa"/>
            <w:tcBorders>
              <w:top w:val="outset" w:sz="6" w:space="0" w:color="auto"/>
              <w:left w:val="outset" w:sz="6" w:space="0" w:color="auto"/>
              <w:bottom w:val="outset" w:sz="6" w:space="0" w:color="auto"/>
              <w:right w:val="outset" w:sz="6" w:space="0" w:color="auto"/>
            </w:tcBorders>
            <w:hideMark/>
          </w:tcPr>
          <w:p w14:paraId="6B758015"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15BFA5D6" w14:textId="77777777" w:rsidR="00F36DAA" w:rsidRPr="00F90EAE" w:rsidRDefault="00F36DAA" w:rsidP="00F90EAE">
            <w:pPr>
              <w:jc w:val="both"/>
              <w:rPr>
                <w:color w:val="000000" w:themeColor="text1"/>
                <w:sz w:val="16"/>
                <w:szCs w:val="16"/>
              </w:rPr>
            </w:pPr>
            <w:r w:rsidRPr="00F90EAE">
              <w:rPr>
                <w:color w:val="000000" w:themeColor="text1"/>
                <w:sz w:val="16"/>
                <w:szCs w:val="16"/>
              </w:rPr>
              <w:t>2</w:t>
            </w:r>
          </w:p>
        </w:tc>
        <w:tc>
          <w:tcPr>
            <w:tcW w:w="1275" w:type="dxa"/>
            <w:tcBorders>
              <w:top w:val="outset" w:sz="6" w:space="0" w:color="auto"/>
              <w:left w:val="outset" w:sz="6" w:space="0" w:color="auto"/>
              <w:bottom w:val="outset" w:sz="6" w:space="0" w:color="auto"/>
              <w:right w:val="outset" w:sz="6" w:space="0" w:color="auto"/>
            </w:tcBorders>
            <w:hideMark/>
          </w:tcPr>
          <w:p w14:paraId="7449AE1F"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1D66FA1F" w14:textId="77777777" w:rsidTr="0053208B">
        <w:trPr>
          <w:tblCellSpacing w:w="0" w:type="dxa"/>
        </w:trPr>
        <w:tc>
          <w:tcPr>
            <w:tcW w:w="1440" w:type="dxa"/>
            <w:tcBorders>
              <w:top w:val="outset" w:sz="6" w:space="0" w:color="auto"/>
              <w:left w:val="outset" w:sz="6" w:space="0" w:color="auto"/>
              <w:bottom w:val="outset" w:sz="6" w:space="0" w:color="auto"/>
              <w:right w:val="outset" w:sz="6" w:space="0" w:color="auto"/>
            </w:tcBorders>
            <w:hideMark/>
          </w:tcPr>
          <w:p w14:paraId="154F4ACE" w14:textId="77777777" w:rsidR="00F36DAA" w:rsidRPr="00F90EAE" w:rsidRDefault="00F36DAA" w:rsidP="00F90EAE">
            <w:pPr>
              <w:jc w:val="both"/>
              <w:rPr>
                <w:color w:val="000000" w:themeColor="text1"/>
                <w:sz w:val="16"/>
                <w:szCs w:val="16"/>
              </w:rPr>
            </w:pPr>
          </w:p>
        </w:tc>
        <w:tc>
          <w:tcPr>
            <w:tcW w:w="2380" w:type="dxa"/>
            <w:tcBorders>
              <w:top w:val="outset" w:sz="6" w:space="0" w:color="auto"/>
              <w:left w:val="outset" w:sz="6" w:space="0" w:color="auto"/>
              <w:bottom w:val="outset" w:sz="6" w:space="0" w:color="auto"/>
              <w:right w:val="outset" w:sz="6" w:space="0" w:color="auto"/>
            </w:tcBorders>
            <w:hideMark/>
          </w:tcPr>
          <w:p w14:paraId="1DF5748A" w14:textId="77777777" w:rsidR="00F36DAA" w:rsidRPr="00F90EAE" w:rsidRDefault="00F36DAA" w:rsidP="00F90EAE">
            <w:pPr>
              <w:jc w:val="both"/>
              <w:rPr>
                <w:color w:val="000000" w:themeColor="text1"/>
                <w:sz w:val="16"/>
                <w:szCs w:val="16"/>
              </w:rPr>
            </w:pPr>
            <w:r w:rsidRPr="00F90EAE">
              <w:rPr>
                <w:color w:val="000000" w:themeColor="text1"/>
                <w:sz w:val="16"/>
                <w:szCs w:val="16"/>
              </w:rPr>
              <w:t>ПА-7,5</w:t>
            </w:r>
          </w:p>
        </w:tc>
        <w:tc>
          <w:tcPr>
            <w:tcW w:w="850" w:type="dxa"/>
            <w:tcBorders>
              <w:top w:val="outset" w:sz="6" w:space="0" w:color="auto"/>
              <w:left w:val="outset" w:sz="6" w:space="0" w:color="auto"/>
              <w:bottom w:val="outset" w:sz="6" w:space="0" w:color="auto"/>
              <w:right w:val="outset" w:sz="6" w:space="0" w:color="auto"/>
            </w:tcBorders>
            <w:hideMark/>
          </w:tcPr>
          <w:p w14:paraId="6C849258"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34EF2D5C" w14:textId="77777777" w:rsidR="00F36DAA" w:rsidRPr="00F90EAE" w:rsidRDefault="00F36DAA" w:rsidP="00F90EAE">
            <w:pPr>
              <w:jc w:val="both"/>
              <w:rPr>
                <w:color w:val="000000" w:themeColor="text1"/>
                <w:sz w:val="16"/>
                <w:szCs w:val="16"/>
              </w:rPr>
            </w:pPr>
            <w:r w:rsidRPr="00F90EAE">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56ABF1C5"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r w:rsidR="00561F31" w:rsidRPr="00F90EAE" w14:paraId="030B052B" w14:textId="77777777" w:rsidTr="0053208B">
        <w:trPr>
          <w:tblCellSpacing w:w="0" w:type="dxa"/>
        </w:trPr>
        <w:tc>
          <w:tcPr>
            <w:tcW w:w="3820" w:type="dxa"/>
            <w:gridSpan w:val="2"/>
            <w:tcBorders>
              <w:top w:val="outset" w:sz="6" w:space="0" w:color="auto"/>
              <w:left w:val="outset" w:sz="6" w:space="0" w:color="auto"/>
              <w:bottom w:val="outset" w:sz="6" w:space="0" w:color="auto"/>
              <w:right w:val="outset" w:sz="6" w:space="0" w:color="auto"/>
            </w:tcBorders>
            <w:hideMark/>
          </w:tcPr>
          <w:p w14:paraId="12962BCA" w14:textId="77777777" w:rsidR="00F36DAA" w:rsidRPr="00F90EAE" w:rsidRDefault="00F36DAA" w:rsidP="00F90EAE">
            <w:pPr>
              <w:jc w:val="both"/>
              <w:rPr>
                <w:color w:val="000000" w:themeColor="text1"/>
                <w:sz w:val="16"/>
                <w:szCs w:val="16"/>
              </w:rPr>
            </w:pPr>
            <w:r w:rsidRPr="00F90EAE">
              <w:rPr>
                <w:color w:val="000000" w:themeColor="text1"/>
                <w:sz w:val="16"/>
                <w:szCs w:val="16"/>
              </w:rPr>
              <w:t>Оптическая передача магнитного компаса ГОН-23</w:t>
            </w:r>
          </w:p>
        </w:tc>
        <w:tc>
          <w:tcPr>
            <w:tcW w:w="850" w:type="dxa"/>
            <w:tcBorders>
              <w:top w:val="outset" w:sz="6" w:space="0" w:color="auto"/>
              <w:left w:val="outset" w:sz="6" w:space="0" w:color="auto"/>
              <w:bottom w:val="outset" w:sz="6" w:space="0" w:color="auto"/>
              <w:right w:val="outset" w:sz="6" w:space="0" w:color="auto"/>
            </w:tcBorders>
            <w:hideMark/>
          </w:tcPr>
          <w:p w14:paraId="261AA486" w14:textId="77777777" w:rsidR="00F36DAA" w:rsidRPr="00F90EAE" w:rsidRDefault="00F36DAA" w:rsidP="00F90EAE">
            <w:pPr>
              <w:jc w:val="both"/>
              <w:rPr>
                <w:color w:val="000000" w:themeColor="text1"/>
                <w:sz w:val="16"/>
                <w:szCs w:val="16"/>
              </w:rPr>
            </w:pPr>
            <w:r w:rsidRPr="00F90EAE">
              <w:rPr>
                <w:color w:val="000000" w:themeColor="text1"/>
                <w:sz w:val="16"/>
                <w:szCs w:val="16"/>
              </w:rPr>
              <w:t>компл.</w:t>
            </w:r>
          </w:p>
        </w:tc>
        <w:tc>
          <w:tcPr>
            <w:tcW w:w="851" w:type="dxa"/>
            <w:tcBorders>
              <w:top w:val="outset" w:sz="6" w:space="0" w:color="auto"/>
              <w:left w:val="outset" w:sz="6" w:space="0" w:color="auto"/>
              <w:bottom w:val="outset" w:sz="6" w:space="0" w:color="auto"/>
              <w:right w:val="outset" w:sz="6" w:space="0" w:color="auto"/>
            </w:tcBorders>
            <w:hideMark/>
          </w:tcPr>
          <w:p w14:paraId="67266EBC" w14:textId="77777777" w:rsidR="00F36DAA" w:rsidRPr="00F90EAE" w:rsidRDefault="00F36DAA" w:rsidP="00F90EAE">
            <w:pPr>
              <w:jc w:val="both"/>
              <w:rPr>
                <w:color w:val="000000" w:themeColor="text1"/>
                <w:sz w:val="16"/>
                <w:szCs w:val="16"/>
              </w:rPr>
            </w:pPr>
            <w:r w:rsidRPr="00F90EAE">
              <w:rPr>
                <w:color w:val="000000" w:themeColor="text1"/>
                <w:sz w:val="16"/>
                <w:szCs w:val="16"/>
              </w:rPr>
              <w:t>1</w:t>
            </w:r>
          </w:p>
        </w:tc>
        <w:tc>
          <w:tcPr>
            <w:tcW w:w="1275" w:type="dxa"/>
            <w:tcBorders>
              <w:top w:val="outset" w:sz="6" w:space="0" w:color="auto"/>
              <w:left w:val="outset" w:sz="6" w:space="0" w:color="auto"/>
              <w:bottom w:val="outset" w:sz="6" w:space="0" w:color="auto"/>
              <w:right w:val="outset" w:sz="6" w:space="0" w:color="auto"/>
            </w:tcBorders>
            <w:hideMark/>
          </w:tcPr>
          <w:p w14:paraId="48731C21" w14:textId="77777777" w:rsidR="00F36DAA" w:rsidRPr="00F90EAE" w:rsidRDefault="00F36DAA" w:rsidP="00F90EAE">
            <w:pPr>
              <w:jc w:val="both"/>
              <w:rPr>
                <w:color w:val="000000" w:themeColor="text1"/>
                <w:sz w:val="16"/>
                <w:szCs w:val="16"/>
              </w:rPr>
            </w:pPr>
            <w:r w:rsidRPr="00F90EAE">
              <w:rPr>
                <w:color w:val="000000" w:themeColor="text1"/>
                <w:sz w:val="16"/>
                <w:szCs w:val="16"/>
              </w:rPr>
              <w:t>№ 237</w:t>
            </w:r>
          </w:p>
        </w:tc>
      </w:tr>
    </w:tbl>
    <w:p w14:paraId="58D1FAAB" w14:textId="77777777" w:rsidR="00F36DAA" w:rsidRPr="00F90EAE" w:rsidRDefault="00F36DAA" w:rsidP="00F90EAE">
      <w:pPr>
        <w:jc w:val="both"/>
        <w:rPr>
          <w:color w:val="000000" w:themeColor="text1"/>
          <w:sz w:val="16"/>
          <w:szCs w:val="16"/>
        </w:rPr>
      </w:pPr>
      <w:r w:rsidRPr="00F90EAE">
        <w:rPr>
          <w:color w:val="000000" w:themeColor="text1"/>
          <w:sz w:val="16"/>
          <w:szCs w:val="16"/>
        </w:rPr>
        <w:t>НА РТ. Ф. Р-6600. Оп. 1. Д. 82. Л. 30. Заверенная копия (15494).</w:t>
      </w:r>
    </w:p>
    <w:p w14:paraId="0A8A46DF" w14:textId="77777777" w:rsidR="00F36DAA" w:rsidRPr="00F90EAE" w:rsidRDefault="00F36DAA" w:rsidP="00F90EAE">
      <w:pPr>
        <w:jc w:val="both"/>
        <w:rPr>
          <w:color w:val="000000" w:themeColor="text1"/>
          <w:sz w:val="16"/>
          <w:szCs w:val="16"/>
        </w:rPr>
      </w:pPr>
    </w:p>
    <w:p w14:paraId="75CD8DD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9C726C0" w14:textId="77777777" w:rsidR="00665165" w:rsidRPr="00F90EAE" w:rsidRDefault="00665165" w:rsidP="00F90EAE">
      <w:pPr>
        <w:autoSpaceDE w:val="0"/>
        <w:autoSpaceDN w:val="0"/>
        <w:adjustRightInd w:val="0"/>
        <w:jc w:val="both"/>
        <w:rPr>
          <w:iCs/>
          <w:color w:val="000000" w:themeColor="text1"/>
          <w:sz w:val="16"/>
          <w:szCs w:val="16"/>
        </w:rPr>
      </w:pPr>
    </w:p>
    <w:p w14:paraId="1826960E"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оперативная сводка Совинформбюро:</w:t>
      </w:r>
    </w:p>
    <w:p w14:paraId="1B5745B2" w14:textId="77777777" w:rsidR="00F36DAA" w:rsidRPr="00F90EAE" w:rsidRDefault="00F36DAA" w:rsidP="00F90EAE">
      <w:pPr>
        <w:jc w:val="both"/>
        <w:rPr>
          <w:color w:val="000000" w:themeColor="text1"/>
          <w:sz w:val="16"/>
          <w:szCs w:val="16"/>
        </w:rPr>
      </w:pPr>
      <w:r w:rsidRPr="00F90EAE">
        <w:rPr>
          <w:color w:val="000000" w:themeColor="text1"/>
          <w:sz w:val="16"/>
          <w:szCs w:val="16"/>
        </w:rPr>
        <w:t>«В течение 17 марта юго-западнее Кенигсберга наши войска, продолжая бои по уничтожению Восточно-Прусской группы немцев, заняли населённые пункты Бранденбург, Поплиттен, Першкен, Легниттен, Прауссен, Паннвиц, Ворникам, Фордер-Фройденталь, Дойч Тирау, Бильсхефен. За 16 марта в этом районе взято в плен более 700 немецких солдат и офицеров.</w:t>
      </w:r>
    </w:p>
    <w:p w14:paraId="7E197063" w14:textId="77777777" w:rsidR="00F36DAA" w:rsidRPr="00F90EAE" w:rsidRDefault="00F36DAA" w:rsidP="00F90EAE">
      <w:pPr>
        <w:jc w:val="both"/>
        <w:rPr>
          <w:color w:val="000000" w:themeColor="text1"/>
          <w:sz w:val="16"/>
          <w:szCs w:val="16"/>
        </w:rPr>
      </w:pPr>
      <w:r w:rsidRPr="00F90EAE">
        <w:rPr>
          <w:color w:val="000000" w:themeColor="text1"/>
          <w:sz w:val="16"/>
          <w:szCs w:val="16"/>
        </w:rPr>
        <w:t>На Штеттинском направлении наши войска, продолжая бои по ликвидации плацдарма немцев на восточном берегу Одера, заняли населённые пункты Альтхоф, Берглянд, Вильхельмсфельде, Фрауенхоф, Ретцовсфельде, Фердинанд-Штайн. В боях за 15 и 16 марта войска 1-го Белорусского фронта взяли в плен более 2.000 немецких солдат и офицеров. В числе пленных командир 402-й немецкой пехотной дивизии генерал-лейтенант Шлейниц.</w:t>
      </w:r>
    </w:p>
    <w:p w14:paraId="30F9850B" w14:textId="77777777" w:rsidR="00F36DAA" w:rsidRPr="00F90EAE" w:rsidRDefault="00F36DAA"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в городе группы войск противника.</w:t>
      </w:r>
    </w:p>
    <w:p w14:paraId="6F71D33B" w14:textId="77777777" w:rsidR="00F36DAA" w:rsidRPr="00F90EAE" w:rsidRDefault="00F36DAA"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7CC16F46" w14:textId="77777777" w:rsidR="00F36DAA" w:rsidRPr="00F90EAE" w:rsidRDefault="00F36DAA" w:rsidP="00F90EAE">
      <w:pPr>
        <w:jc w:val="both"/>
        <w:rPr>
          <w:color w:val="000000" w:themeColor="text1"/>
          <w:sz w:val="16"/>
          <w:szCs w:val="16"/>
        </w:rPr>
      </w:pPr>
      <w:r w:rsidRPr="00F90EAE">
        <w:rPr>
          <w:color w:val="000000" w:themeColor="text1"/>
          <w:sz w:val="16"/>
          <w:szCs w:val="16"/>
        </w:rPr>
        <w:t>За 16 марта на всех фронтах подбито и уничтожено 113 немецких танков. В воздушных боях и огнём зенитной артиллерии сбито 65 самолётов противника.</w:t>
      </w:r>
    </w:p>
    <w:p w14:paraId="23D6BF8D" w14:textId="77777777" w:rsidR="00F36DAA" w:rsidRPr="00F90EAE" w:rsidRDefault="00F36DAA" w:rsidP="00F90EAE">
      <w:pPr>
        <w:jc w:val="both"/>
        <w:rPr>
          <w:color w:val="000000" w:themeColor="text1"/>
          <w:sz w:val="16"/>
          <w:szCs w:val="16"/>
        </w:rPr>
      </w:pPr>
      <w:r w:rsidRPr="00F90EAE">
        <w:rPr>
          <w:color w:val="000000" w:themeColor="text1"/>
          <w:sz w:val="16"/>
          <w:szCs w:val="16"/>
        </w:rPr>
        <w:t>Налёт нашей авиации на железнодорожный узел Моравска Острава в Чехословакии</w:t>
      </w:r>
    </w:p>
    <w:p w14:paraId="007F4617" w14:textId="77777777" w:rsidR="00F36DAA" w:rsidRPr="00F90EAE" w:rsidRDefault="00F36DAA" w:rsidP="00F90EAE">
      <w:pPr>
        <w:jc w:val="both"/>
        <w:rPr>
          <w:color w:val="000000" w:themeColor="text1"/>
          <w:sz w:val="16"/>
          <w:szCs w:val="16"/>
        </w:rPr>
      </w:pPr>
      <w:r w:rsidRPr="00F90EAE">
        <w:rPr>
          <w:color w:val="000000" w:themeColor="text1"/>
          <w:sz w:val="16"/>
          <w:szCs w:val="16"/>
        </w:rPr>
        <w:t>В ночь на 17 марта наши тяжёлые бомбардировщики нанесли удар по железнодорожному узлу Моравска Острава в Чехословакии. В результате бомбардировки на территории железнодорожного узла возникли пожары, сопровождавшиеся сильными взрывами.</w:t>
      </w:r>
    </w:p>
    <w:p w14:paraId="2DB086DF" w14:textId="77777777" w:rsidR="00F36DAA" w:rsidRPr="00F90EAE" w:rsidRDefault="00F36DAA"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наступление. Весенняя распутица и неблагоприятные условия погоды затрудняют действия советских частей. Преодолевая ожесточённое сопротивление противника, советские пехотинцы, продвигаясь вдоль железной дороги Кенигсберг — Браунсберг, заняли несколько сильно укреплённых населённых пунктов. Другие наши части, преодолев полосу долговременных укреплений, овладели узлом дорог Дойч Тирау. Отступая, немцы оставили на поле боя тысячи убитых и раненых своих солдат и офицеров. Захвачено и уничтожено 11 танков, 106 полевых орудий, 9 бронетранспортеров и другое вооружение противника.</w:t>
      </w:r>
    </w:p>
    <w:p w14:paraId="6832DA6C" w14:textId="77777777" w:rsidR="00F36DAA" w:rsidRPr="00F90EAE" w:rsidRDefault="00F36DAA" w:rsidP="00F90EAE">
      <w:pPr>
        <w:jc w:val="both"/>
        <w:rPr>
          <w:color w:val="000000" w:themeColor="text1"/>
          <w:sz w:val="16"/>
          <w:szCs w:val="16"/>
        </w:rPr>
      </w:pPr>
      <w:r w:rsidRPr="00F90EAE">
        <w:rPr>
          <w:color w:val="000000" w:themeColor="text1"/>
          <w:sz w:val="16"/>
          <w:szCs w:val="16"/>
        </w:rPr>
        <w:t>Пленные сообщают, что немецкое командование выделило специальные отряды эсэсовцев, которым поручено расстреливать на месте солдат и офицеров, самовольно оставляющих позиции или пытающиеся сдаться в плен. Тем не менее, отмечен ряд случаев, когда группы немцев прекращают сопротивление, бросают оружие и сдаются в плен.</w:t>
      </w:r>
    </w:p>
    <w:p w14:paraId="01F25C88" w14:textId="77777777" w:rsidR="00F36DAA" w:rsidRPr="00F90EAE" w:rsidRDefault="00F36DAA" w:rsidP="00F90EAE">
      <w:pPr>
        <w:jc w:val="both"/>
        <w:rPr>
          <w:color w:val="000000" w:themeColor="text1"/>
          <w:sz w:val="16"/>
          <w:szCs w:val="16"/>
        </w:rPr>
      </w:pPr>
      <w:r w:rsidRPr="00F90EAE">
        <w:rPr>
          <w:color w:val="000000" w:themeColor="text1"/>
          <w:sz w:val="16"/>
          <w:szCs w:val="16"/>
        </w:rPr>
        <w:t>На Штеттинском направлении наши войска продолжали бои по ликвидации плацдарма противника на восточном берегу Одера. Немцы сосредоточили на плацдарме большое количество артиллерии, в том числе тяжёлые зенитные орудия. Сильным огнём и контратаками гитлеровцы стремятся удержать свои позиции. Наши войска, наступающие с севера, заняли несколько населённых пунктов, расположенных на восточном побережье озера Даммшер-Зее. Немцы выбиты го селения Вильхельмсфельде (7 километров северо-восточнее города Альтдамм). Другие наши части, наступающие с юга вдоль восточного берега Одера, сломили упорное сопротивление противника и заняли населённый пункт Фрауенхоф, находящийся в 8 километрах от Штеттина. За день боёв уничтожено более 3 тысяч немецких солдат и офицеров.</w:t>
      </w:r>
    </w:p>
    <w:p w14:paraId="49D48FCB" w14:textId="77777777" w:rsidR="00F36DAA" w:rsidRPr="00F90EAE" w:rsidRDefault="00F36DAA" w:rsidP="00F90EAE">
      <w:pPr>
        <w:jc w:val="both"/>
        <w:rPr>
          <w:color w:val="000000" w:themeColor="text1"/>
          <w:sz w:val="16"/>
          <w:szCs w:val="16"/>
        </w:rPr>
      </w:pPr>
      <w:r w:rsidRPr="00F90EAE">
        <w:rPr>
          <w:color w:val="000000" w:themeColor="text1"/>
          <w:sz w:val="16"/>
          <w:szCs w:val="16"/>
        </w:rPr>
        <w:t>В Бреслау наши войска вели бои по ликвидации окружённого гарнизона противника. Советские штурмовые группы, преодолевая минные заграждения и баррикады, выбивают немцев из дотов и приспособленных для обороны домов. Наши подразделения заняли пригород Лобрюкк (восточный) и вышли к реке Лое. Противник, опираясь на заранее подготовленный рубеж обороны, оказывал упорное сопротивление. Под прикрытием артиллерийского огня советская пехота с хода переправилась через реку Лое и с двух сторон начала штурм крупного авторемонтного завода. В результате упорных боёв, переходивших в рукопашные схватки, очищена от гитлеровцев южная и центральная часть территории завода. На другом участке наши подразделения овладели трамвайным парком и несколькими кварталами. В течение дня противник потерял только убитыми 1.200 солдат и офицеров.</w:t>
      </w:r>
    </w:p>
    <w:p w14:paraId="7A9D3609" w14:textId="77777777" w:rsidR="00F36DAA" w:rsidRPr="00F90EAE" w:rsidRDefault="00F36DAA" w:rsidP="00F90EAE">
      <w:pPr>
        <w:jc w:val="both"/>
        <w:rPr>
          <w:color w:val="000000" w:themeColor="text1"/>
          <w:sz w:val="16"/>
          <w:szCs w:val="16"/>
        </w:rPr>
      </w:pPr>
      <w:r w:rsidRPr="00F90EAE">
        <w:rPr>
          <w:color w:val="000000" w:themeColor="text1"/>
          <w:sz w:val="16"/>
          <w:szCs w:val="16"/>
        </w:rPr>
        <w:t>Окружённому в Бреслау гарнизону немцы пытаются сбрасывать грузы с транспортных самолётов. За последние два дня огнём зенитной артиллерии сбито 10 немецких транспортных самолётов.</w:t>
      </w:r>
    </w:p>
    <w:p w14:paraId="7C2EFF90" w14:textId="77777777" w:rsidR="00F36DAA" w:rsidRPr="00F90EAE" w:rsidRDefault="00F36DAA" w:rsidP="00F90EAE">
      <w:pPr>
        <w:jc w:val="both"/>
        <w:rPr>
          <w:color w:val="000000" w:themeColor="text1"/>
          <w:sz w:val="16"/>
          <w:szCs w:val="16"/>
        </w:rPr>
      </w:pPr>
      <w:r w:rsidRPr="00F90EAE">
        <w:rPr>
          <w:color w:val="000000" w:themeColor="text1"/>
          <w:sz w:val="16"/>
          <w:szCs w:val="16"/>
        </w:rPr>
        <w:t>Наши тяжёлые бомбардировщики вчера нанесли удар по военным объектам противника в городе Бреслау. В результате бомбардировки возникли пожары, среди которых наблюдением отмечено 12 сильных взрывов.</w:t>
      </w:r>
    </w:p>
    <w:p w14:paraId="320F20BD" w14:textId="77777777" w:rsidR="00F36DAA" w:rsidRPr="00F90EAE" w:rsidRDefault="00F36DAA" w:rsidP="00F90EAE">
      <w:pPr>
        <w:jc w:val="both"/>
        <w:rPr>
          <w:color w:val="000000" w:themeColor="text1"/>
          <w:sz w:val="16"/>
          <w:szCs w:val="16"/>
        </w:rPr>
      </w:pPr>
      <w:r w:rsidRPr="00F90EAE">
        <w:rPr>
          <w:color w:val="000000" w:themeColor="text1"/>
          <w:sz w:val="16"/>
          <w:szCs w:val="16"/>
        </w:rPr>
        <w:t>Взятый в плен на 1-м Белорусском фронте командир 1-го немецкого сапёрного полка полковник Генлейн рассказал: «Мой полк подчинялся непосредственно командующему Берлинским военным округом. В последнее время подразделения полка рыли окопы и строили промежуточные оборонительные рубежи. Солдаты работали день и ночь, но все наши труды пропали даром. Окопов и траншей мы накопали очень много, но они нам не понадобились. Советские танки прорвались в наши тылы. Мы очутились в окружении вместе с теми немецкими частями, для которых строили укрепления. Началась безумная паника. Сапёрные подразделения перемешались с пехотой и обозами. Все бежали, бросая вооружение, имущество и личные вещи. Каждый думал лишь о спасении собственной жизни. Я растерял не только полк, но и штаб. Вместе с группой офицеров несколько дней отсиживался в лесу. Потом мы направились на запад, пытаясь пробраться через линию фронта, но эта затея не удалась. Из создавшегося положения был только один выход— сложить оружие. Вместе с сопровождавшими меня майором Дикманом и лейтенантом Ваплером я сдался в плен».</w:t>
      </w:r>
    </w:p>
    <w:p w14:paraId="0967BC05" w14:textId="77777777" w:rsidR="00F36DAA" w:rsidRPr="00F90EAE" w:rsidRDefault="00F36DAA" w:rsidP="00F90EAE">
      <w:pPr>
        <w:jc w:val="both"/>
        <w:rPr>
          <w:color w:val="000000" w:themeColor="text1"/>
          <w:sz w:val="16"/>
          <w:szCs w:val="16"/>
        </w:rPr>
      </w:pPr>
      <w:r w:rsidRPr="00F90EAE">
        <w:rPr>
          <w:color w:val="000000" w:themeColor="text1"/>
          <w:sz w:val="16"/>
          <w:szCs w:val="16"/>
        </w:rPr>
        <w:t>Полковник Генлейн в заключение заявил: «Мне 57 лет. Я профессиональный офицер и в начале войны был уверен, что Германия победит. Катастрофа немецкой армии под Сталинградом поколебала мою веру, а последовавшие затем события разрушили её до основания. Для меня стало ясно, что Германия бесповоротно проиграла войну. Но, признаюсь, такого поражения, какое немецкая армия потерпела за последние месяцы на Восточном фронте, я всё-таки не ожидал. Германия вела много войн и не раз имела неудачи. Однако такого невиданного поражения, такого банкротства немецкой стратегии история Германии ещё не знала» (15071).</w:t>
      </w:r>
    </w:p>
    <w:p w14:paraId="6BA4B89F" w14:textId="77777777" w:rsidR="00F36DAA" w:rsidRPr="00F90EAE" w:rsidRDefault="00F36DAA" w:rsidP="00F90EAE">
      <w:pPr>
        <w:jc w:val="both"/>
        <w:rPr>
          <w:color w:val="000000" w:themeColor="text1"/>
          <w:sz w:val="16"/>
          <w:szCs w:val="16"/>
        </w:rPr>
      </w:pPr>
    </w:p>
    <w:p w14:paraId="294B9D6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марта 1945 6-й советский гвардейский механизированный корпус прорвал немецкую оборону и овладел населенным пунктом Штефансдорф. 10-й советский гвардейский танковый корпус форсировал реку Нейсе у Ротхауса и развил наступление на немецкий город Нойштадт (4963 ).</w:t>
      </w:r>
    </w:p>
    <w:p w14:paraId="54E34D9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F238DE4"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марта 1945 г. вышло РАСПОРЯЖЕНИЕ НАЧАЛЬНИКА ШТАБА БТ и МВ КА НАЧАЛЬНИКАМ ШТАБОВ БТ и МВ ФРОНТОВ ПО ВОПРОСУ ИСПОЛЬЗОВАНИЯ ТРОФЕЙНЫХ «ФАУСТПАТРОНОВ» №0792134</w:t>
      </w:r>
    </w:p>
    <w:p w14:paraId="020731FC" w14:textId="77777777" w:rsidR="00324FA8" w:rsidRPr="00F90EAE" w:rsidRDefault="00324FA8" w:rsidP="00F90EAE">
      <w:pPr>
        <w:autoSpaceDE w:val="0"/>
        <w:autoSpaceDN w:val="0"/>
        <w:adjustRightInd w:val="0"/>
        <w:jc w:val="both"/>
        <w:rPr>
          <w:color w:val="000000" w:themeColor="text1"/>
          <w:sz w:val="16"/>
          <w:szCs w:val="16"/>
        </w:rPr>
      </w:pPr>
      <w:r w:rsidRPr="00F90EAE">
        <w:rPr>
          <w:color w:val="000000" w:themeColor="text1"/>
          <w:sz w:val="16"/>
          <w:szCs w:val="16"/>
        </w:rPr>
        <w:t>Для борьбы с танками противника при помощи трофейных «фаустпатронов» в частях и соедине</w:t>
      </w:r>
      <w:r w:rsidRPr="00F90EAE">
        <w:rPr>
          <w:color w:val="000000" w:themeColor="text1"/>
          <w:sz w:val="16"/>
          <w:szCs w:val="16"/>
        </w:rPr>
        <w:softHyphen/>
        <w:t>ниях 1-й гвардейской ТА созданы специальные отделения (по одному на мотострелковую роту). Для подготовки людей были проведены практические занятия по стрельбе «фаустпатроном».</w:t>
      </w:r>
    </w:p>
    <w:p w14:paraId="69152EF7"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Каждому из состава этого отделения была выдана инструкция (перевод с немецкой инструкции) по правилам использования «фаустпатрона».</w:t>
      </w:r>
    </w:p>
    <w:p w14:paraId="6CB7B031"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Учитывая опыт 1 гв. ТА, Вам необходимо дать соответствующие указания бронетанковым и механизированным войскам по вопросу использования трофейных «фаустпатронов».</w:t>
      </w:r>
    </w:p>
    <w:p w14:paraId="5DEF3F4F"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 опыте использования «фаустпатронов» нашими войсками, а также об опыте борьбы с «фаус</w:t>
      </w:r>
      <w:r w:rsidRPr="00F90EAE">
        <w:rPr>
          <w:color w:val="000000" w:themeColor="text1"/>
          <w:sz w:val="16"/>
          <w:szCs w:val="16"/>
        </w:rPr>
        <w:softHyphen/>
        <w:t>тпатронами», применяемыми против наших танков, доносить в штаб БТ и МВ КА.</w:t>
      </w:r>
    </w:p>
    <w:p w14:paraId="3E5CAF1D"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Приложение</w:t>
      </w:r>
      <w:r w:rsidRPr="00F90EAE">
        <w:rPr>
          <w:color w:val="000000" w:themeColor="text1"/>
          <w:sz w:val="16"/>
          <w:szCs w:val="16"/>
          <w:vertAlign w:val="superscript"/>
        </w:rPr>
        <w:t>1</w:t>
      </w:r>
      <w:r w:rsidRPr="00F90EAE">
        <w:rPr>
          <w:color w:val="000000" w:themeColor="text1"/>
          <w:sz w:val="16"/>
          <w:szCs w:val="16"/>
        </w:rPr>
        <w:t>: 1. Инструкция по использованию «фаустпатрона» (перевод с немецкого на 2 лис</w:t>
      </w:r>
      <w:r w:rsidRPr="00F90EAE">
        <w:rPr>
          <w:color w:val="000000" w:themeColor="text1"/>
          <w:sz w:val="16"/>
          <w:szCs w:val="16"/>
        </w:rPr>
        <w:softHyphen/>
        <w:t>тах).</w:t>
      </w:r>
    </w:p>
    <w:p w14:paraId="04B6B737"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Чертеж устройства фаустпатрона на 1 листе.</w:t>
      </w:r>
    </w:p>
    <w:p w14:paraId="709F7DFD"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штаба БТ и МВ КА генерал-полковник танковых войск М. Соломатин</w:t>
      </w:r>
    </w:p>
    <w:p w14:paraId="31B137EA" w14:textId="77777777" w:rsidR="00324FA8" w:rsidRPr="00F90EAE" w:rsidRDefault="00324FA8"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w:t>
      </w:r>
    </w:p>
    <w:p w14:paraId="76BAE026" w14:textId="77777777" w:rsidR="00324FA8" w:rsidRPr="00F90EAE" w:rsidRDefault="00324FA8"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11360. Д. 591. Л. 9. Подлинник (11420).</w:t>
      </w:r>
    </w:p>
    <w:p w14:paraId="7A361154" w14:textId="77777777" w:rsidR="00324FA8" w:rsidRPr="00F90EAE" w:rsidRDefault="00324FA8" w:rsidP="00F90EAE">
      <w:pPr>
        <w:autoSpaceDE w:val="0"/>
        <w:autoSpaceDN w:val="0"/>
        <w:adjustRightInd w:val="0"/>
        <w:jc w:val="both"/>
        <w:rPr>
          <w:color w:val="000000" w:themeColor="text1"/>
          <w:sz w:val="16"/>
          <w:szCs w:val="16"/>
        </w:rPr>
      </w:pPr>
    </w:p>
    <w:p w14:paraId="0743C9B7" w14:textId="77777777" w:rsidR="00E31C44" w:rsidRPr="00F90EAE" w:rsidRDefault="00E31C44" w:rsidP="00F90EAE">
      <w:pPr>
        <w:autoSpaceDE w:val="0"/>
        <w:autoSpaceDN w:val="0"/>
        <w:adjustRightInd w:val="0"/>
        <w:jc w:val="both"/>
        <w:rPr>
          <w:color w:val="000000" w:themeColor="text1"/>
          <w:sz w:val="16"/>
          <w:szCs w:val="16"/>
        </w:rPr>
      </w:pPr>
      <w:r w:rsidRPr="00F90EAE">
        <w:rPr>
          <w:color w:val="000000" w:themeColor="text1"/>
          <w:sz w:val="16"/>
          <w:szCs w:val="16"/>
        </w:rPr>
        <w:t>17 марта 1945 г. с согласия президента «Украинской республики» Андрея Ливицкого командующим УНА — «Украинской народной армии» назначен генерал Шандрук. Он предпринял попытку собрать украинские части, даже 25 апреля 1945 г. в воссозданной дивизии «Галичина» провел принятие присяги на верность Украине (17459).</w:t>
      </w:r>
    </w:p>
    <w:p w14:paraId="4E9E313E" w14:textId="77777777" w:rsidR="00E31C44" w:rsidRPr="00F90EAE" w:rsidRDefault="00E31C44" w:rsidP="00F90EAE">
      <w:pPr>
        <w:autoSpaceDE w:val="0"/>
        <w:autoSpaceDN w:val="0"/>
        <w:adjustRightInd w:val="0"/>
        <w:jc w:val="both"/>
        <w:rPr>
          <w:color w:val="000000" w:themeColor="text1"/>
          <w:sz w:val="16"/>
          <w:szCs w:val="16"/>
        </w:rPr>
      </w:pPr>
    </w:p>
    <w:p w14:paraId="25D4077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22F484E" w14:textId="77777777" w:rsidR="00665165" w:rsidRPr="00F90EAE" w:rsidRDefault="00665165" w:rsidP="00F90EAE">
      <w:pPr>
        <w:autoSpaceDE w:val="0"/>
        <w:autoSpaceDN w:val="0"/>
        <w:adjustRightInd w:val="0"/>
        <w:jc w:val="both"/>
        <w:rPr>
          <w:iCs/>
          <w:color w:val="000000" w:themeColor="text1"/>
          <w:sz w:val="16"/>
          <w:szCs w:val="16"/>
        </w:rPr>
      </w:pPr>
    </w:p>
    <w:p w14:paraId="7AF5B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Постановление ГКО № 7862 Об оказании помощи по восстановлению г. Варшавы. РГАНИР, Фонд ГКО, д. 382, лл. 125-132 (11012).</w:t>
      </w:r>
    </w:p>
    <w:p w14:paraId="4079063C" w14:textId="77777777" w:rsidR="00665165" w:rsidRPr="00F90EAE" w:rsidRDefault="00665165" w:rsidP="00F90EAE">
      <w:pPr>
        <w:autoSpaceDE w:val="0"/>
        <w:autoSpaceDN w:val="0"/>
        <w:adjustRightInd w:val="0"/>
        <w:jc w:val="both"/>
        <w:rPr>
          <w:color w:val="000000" w:themeColor="text1"/>
          <w:sz w:val="16"/>
          <w:szCs w:val="16"/>
        </w:rPr>
      </w:pPr>
    </w:p>
    <w:p w14:paraId="7DF0F4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1945 вышло Постановление ГКО № 7863 Об экономической миссии при Временном Польском правительстве. РГАНИР, Фонд ГКО, д. 382, лл. 133-134 (11012).</w:t>
      </w:r>
    </w:p>
    <w:p w14:paraId="1FE2AD60" w14:textId="77777777" w:rsidR="00665165" w:rsidRPr="00F90EAE" w:rsidRDefault="00665165" w:rsidP="00F90EAE">
      <w:pPr>
        <w:autoSpaceDE w:val="0"/>
        <w:autoSpaceDN w:val="0"/>
        <w:adjustRightInd w:val="0"/>
        <w:jc w:val="both"/>
        <w:rPr>
          <w:color w:val="000000" w:themeColor="text1"/>
          <w:sz w:val="16"/>
          <w:szCs w:val="16"/>
        </w:rPr>
      </w:pPr>
    </w:p>
    <w:p w14:paraId="562201E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1B1014B" w14:textId="77777777" w:rsidR="00665165" w:rsidRPr="00F90EAE" w:rsidRDefault="00665165" w:rsidP="00F90EAE">
      <w:pPr>
        <w:autoSpaceDE w:val="0"/>
        <w:autoSpaceDN w:val="0"/>
        <w:adjustRightInd w:val="0"/>
        <w:jc w:val="both"/>
        <w:rPr>
          <w:iCs/>
          <w:color w:val="000000" w:themeColor="text1"/>
          <w:sz w:val="16"/>
          <w:szCs w:val="16"/>
        </w:rPr>
      </w:pPr>
    </w:p>
    <w:p w14:paraId="2E8B816C"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ракетная часть SS О. 500 расположенная в Нидерландах начала обстрел ракетами "A-4"/SS-1/Scunner/ (Фау-2) Ремагенского моста, захваченного союзниками. По мосту было пущено 11 ракет, самое близкое попадание к мосту составило 300 метров, в результате попадания в здание около моста было убито 3 и ранено 15 американских солдат. От сотрясения, вызванными ракетными бомбардировками, сильно поврежденный до этого, мост все-таки рухнул. Единственны известный случай, в истории применения ракеты "А-4" по точечному объекту (15071).</w:t>
      </w:r>
    </w:p>
    <w:p w14:paraId="38F0EAB8" w14:textId="77777777" w:rsidR="00F36DAA" w:rsidRPr="00F90EAE" w:rsidRDefault="00F36DAA" w:rsidP="00F90EAE">
      <w:pPr>
        <w:jc w:val="both"/>
        <w:rPr>
          <w:color w:val="000000" w:themeColor="text1"/>
          <w:sz w:val="16"/>
          <w:szCs w:val="16"/>
        </w:rPr>
      </w:pPr>
    </w:p>
    <w:p w14:paraId="0D69708F"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попытки рейхсминистра иностранных дел Германии фон Риббентропа начать мирные переговоры с западными союзниками через своего представителя в Стокгольме (15071).</w:t>
      </w:r>
    </w:p>
    <w:p w14:paraId="210FDE04" w14:textId="77777777" w:rsidR="00F36DAA" w:rsidRPr="00F90EAE" w:rsidRDefault="00F36DAA" w:rsidP="00F90EAE">
      <w:pPr>
        <w:jc w:val="both"/>
        <w:rPr>
          <w:color w:val="000000" w:themeColor="text1"/>
          <w:sz w:val="16"/>
          <w:szCs w:val="16"/>
        </w:rPr>
      </w:pPr>
    </w:p>
    <w:p w14:paraId="78C4FE8A" w14:textId="77777777" w:rsidR="00E31C44" w:rsidRPr="00F90EAE" w:rsidRDefault="00E31C44" w:rsidP="00F90EAE">
      <w:pPr>
        <w:jc w:val="both"/>
        <w:rPr>
          <w:color w:val="000000" w:themeColor="text1"/>
          <w:sz w:val="16"/>
          <w:szCs w:val="16"/>
        </w:rPr>
      </w:pPr>
      <w:r w:rsidRPr="00F90EAE">
        <w:rPr>
          <w:color w:val="000000" w:themeColor="text1"/>
          <w:sz w:val="16"/>
          <w:szCs w:val="16"/>
        </w:rPr>
        <w:t>17 марта</w:t>
      </w:r>
      <w:r w:rsidRPr="00F90EAE">
        <w:rPr>
          <w:bCs/>
          <w:color w:val="000000" w:themeColor="text1"/>
          <w:sz w:val="16"/>
          <w:szCs w:val="16"/>
        </w:rPr>
        <w:t xml:space="preserve"> 1945 в Швейцарию прибыл Парилли, уведомивший о том, что Вольф со свитой прибудет на границу рано утром 19-го. Он сообщил также, что вместо Кессельринга на посту командующего немецкими войсками в Италии стал генерал фон Фитингоф, которого Вольф считает своим другом. Были приняты все меры предосторожности, чтобы оградить прибывающих на тайные переговоры нацистов от опасности. Было решено, что с границы группу Вольфа доставят в автомобиле в частный дом в Лугано. Нацисты войдут в дом, машина уедет, а они через черный ход покинут его и на машинах, принадлежащих УСС, отправятся в Аскону. </w:t>
      </w:r>
      <w:r w:rsidRPr="00F90EAE">
        <w:rPr>
          <w:color w:val="000000" w:themeColor="text1"/>
          <w:sz w:val="16"/>
          <w:szCs w:val="16"/>
        </w:rPr>
        <w:t>19 марта</w:t>
      </w:r>
      <w:r w:rsidRPr="00F90EAE">
        <w:rPr>
          <w:bCs/>
          <w:color w:val="000000" w:themeColor="text1"/>
          <w:sz w:val="16"/>
          <w:szCs w:val="16"/>
        </w:rPr>
        <w:t xml:space="preserve">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3865F217" w14:textId="77777777" w:rsidR="00E31C44" w:rsidRPr="00F90EAE" w:rsidRDefault="00E31C44" w:rsidP="00F90EAE">
      <w:pPr>
        <w:jc w:val="both"/>
        <w:rPr>
          <w:color w:val="000000" w:themeColor="text1"/>
          <w:sz w:val="16"/>
          <w:szCs w:val="16"/>
        </w:rPr>
      </w:pPr>
    </w:p>
    <w:p w14:paraId="3A051CD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17th, 1945: The US Third Army (Patton) captures Koblenz on the Rhine. The Ludendorff bridge at Remagen, seized by US troops on March 7, suddenly collapses, killing dozens of US Army engineers working to reenforce it (3819).</w:t>
      </w:r>
    </w:p>
    <w:p w14:paraId="7131598C" w14:textId="77777777" w:rsidR="00665165" w:rsidRPr="00F90EAE" w:rsidRDefault="00665165" w:rsidP="00F90EAE">
      <w:pPr>
        <w:autoSpaceDE w:val="0"/>
        <w:autoSpaceDN w:val="0"/>
        <w:adjustRightInd w:val="0"/>
        <w:jc w:val="both"/>
        <w:rPr>
          <w:color w:val="000000" w:themeColor="text1"/>
          <w:sz w:val="16"/>
          <w:szCs w:val="16"/>
          <w:lang w:val="en-US"/>
        </w:rPr>
      </w:pPr>
    </w:p>
    <w:p w14:paraId="0D4535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марта 3А США (Паттон) захватила Кобленц на Рейне. Войска Мост Людендорфа у Ремагена, захваченный 7 марта, неожиданно сломался, убив десятки рабочих и инженеров, работающих над его укреплением (3819).</w:t>
      </w:r>
    </w:p>
    <w:p w14:paraId="3312761E" w14:textId="77777777" w:rsidR="00665165" w:rsidRPr="00F90EAE" w:rsidRDefault="00665165" w:rsidP="00F90EAE">
      <w:pPr>
        <w:autoSpaceDE w:val="0"/>
        <w:autoSpaceDN w:val="0"/>
        <w:adjustRightInd w:val="0"/>
        <w:jc w:val="both"/>
        <w:rPr>
          <w:color w:val="000000" w:themeColor="text1"/>
          <w:sz w:val="16"/>
          <w:szCs w:val="16"/>
        </w:rPr>
      </w:pPr>
    </w:p>
    <w:p w14:paraId="664A30AB" w14:textId="77777777" w:rsidR="00E31C44" w:rsidRPr="00F90EAE" w:rsidRDefault="00E31C44" w:rsidP="00F90EAE">
      <w:pPr>
        <w:shd w:val="clear" w:color="auto" w:fill="FFFFFF"/>
        <w:jc w:val="both"/>
        <w:rPr>
          <w:color w:val="000000" w:themeColor="text1"/>
          <w:sz w:val="16"/>
          <w:szCs w:val="16"/>
        </w:rPr>
      </w:pPr>
      <w:r w:rsidRPr="00F90EAE">
        <w:rPr>
          <w:color w:val="000000" w:themeColor="text1"/>
          <w:sz w:val="16"/>
          <w:szCs w:val="16"/>
        </w:rPr>
        <w:t>17 — 18 марта 1945 г. была неудачная немецких саперов при подрыве моста через Рейн (</w:t>
      </w:r>
      <w:r w:rsidRPr="00F90EAE">
        <w:rPr>
          <w:bCs/>
          <w:iCs/>
          <w:color w:val="000000" w:themeColor="text1"/>
          <w:sz w:val="16"/>
          <w:szCs w:val="16"/>
        </w:rPr>
        <w:t>К.Типпельскирх «История Второй мировой войны», М., «АСТ», 1999):</w:t>
      </w:r>
    </w:p>
    <w:p w14:paraId="4739ECCF" w14:textId="77777777" w:rsidR="00E31C44" w:rsidRPr="00F90EAE" w:rsidRDefault="00E31C44" w:rsidP="00F90EAE">
      <w:pPr>
        <w:shd w:val="clear" w:color="auto" w:fill="FFFFFF"/>
        <w:jc w:val="both"/>
        <w:rPr>
          <w:color w:val="000000" w:themeColor="text1"/>
          <w:sz w:val="16"/>
          <w:szCs w:val="16"/>
        </w:rPr>
      </w:pPr>
      <w:r w:rsidRPr="00F90EAE">
        <w:rPr>
          <w:bCs/>
          <w:color w:val="000000" w:themeColor="text1"/>
          <w:sz w:val="16"/>
          <w:szCs w:val="16"/>
        </w:rPr>
        <w:t>«Немецкие саперные группы и командовавшие ими офицеры должны были решать явно нелегкую задачу. В интересах переброски возможно большего количества живой силы и техники мосты через Рейн необходимо было взрывать лишь в последнюю минуту. Но и подрывные заряды приходилось помещать как можно позже, чтобы они не детонировали преждевременно из-за непрерывных разрывов бомб противника. В районе Ремагена немецкие саперы-ландштурмовцы именно во время этих действий подверглись внезапному нападению танков противника и вынуждены были уйти в укрытие. Несмотря на всевозможные предупредительные меры, это была одна из тех неувязок, с которыми всегда приходится считаться на войне, а в подобной хаотической обстановке – больше чем когда бы то ни было. К несчастью, такая неувязка произошла с одним из рейнских мостов.</w:t>
      </w:r>
    </w:p>
    <w:p w14:paraId="143E8F21" w14:textId="77777777" w:rsidR="00E31C44" w:rsidRPr="00F90EAE" w:rsidRDefault="00E31C44" w:rsidP="00F90EAE">
      <w:pPr>
        <w:shd w:val="clear" w:color="auto" w:fill="FFFFFF"/>
        <w:jc w:val="both"/>
        <w:rPr>
          <w:color w:val="000000" w:themeColor="text1"/>
          <w:sz w:val="16"/>
          <w:szCs w:val="16"/>
        </w:rPr>
      </w:pPr>
      <w:r w:rsidRPr="00F90EAE">
        <w:rPr>
          <w:bCs/>
          <w:color w:val="000000" w:themeColor="text1"/>
          <w:sz w:val="16"/>
          <w:szCs w:val="16"/>
        </w:rPr>
        <w:t xml:space="preserve">Это событие произвело в лагере обоих противников эффект разорвавшейся бомбы. Американский командующий армией, которому было еще не ясно, входил ли несомненно предстоящий на этом участке бой в расчеты высшего командования, запросил Эйзенхауэра, как действовать дальше. В ответ он немедленно получил приказ ввести несколько дивизий в направлении на Ремаген и любыми средствами удерживать и расширять захваченный между тем небольшой плацдарм. Катастрофическое положение немцев усугубилось еще тем, что нигде под рукой не было достаточных сил, чтобы, предприняв контратаку, отбросить американцев за реку. Прошло много драгоценных часов, прежде чем к плацдарму подошло первое сильное немецкое соединение – 11-я танковая дивизия, только что переправившаяся через Рейн у Кёльна. За это время американцы успели уже настолько закрепиться, что все попытки ликвидировать плацдарм провалились. Не большим успехом увенчались и предпринятые в последующие решающие дни попытки разрушить мост дальнобойной артиллерией и налетами авиации. Когда в результате всего этого </w:t>
      </w:r>
      <w:r w:rsidRPr="00F90EAE">
        <w:rPr>
          <w:color w:val="000000" w:themeColor="text1"/>
          <w:sz w:val="16"/>
          <w:szCs w:val="16"/>
        </w:rPr>
        <w:t>17 марта (1945)</w:t>
      </w:r>
      <w:r w:rsidRPr="00F90EAE">
        <w:rPr>
          <w:bCs/>
          <w:color w:val="000000" w:themeColor="text1"/>
          <w:sz w:val="16"/>
          <w:szCs w:val="16"/>
        </w:rPr>
        <w:t xml:space="preserve"> поврежденный бык рухнул, увлекая за собой полотно моста, американцы уже навели через Рейн временный мост. Ярость Гитлера по поводу потери моста не знала границ. Все, на кого только можно было возложить хоть какую-нибудь ответственность за опоздание с подрывом или за непринятие немедленных решительных контрмер против захвата противником плацдарма, предстали перед специально для этой цели назначенным военно-полевым судом под председательством некоего генерала Хюбнера, обладавшего неограниченными полномочиями. Этот суд предназначался исключительно для утоления жажды мести Гитлера, причем исключалось всякое упорядоченное, соответствующее законоположению разбирательство, и многие офицеры были приговорены к расстрелу за якобы проявленные перед лицом противника бездействие и трусость (17459).</w:t>
      </w:r>
    </w:p>
    <w:p w14:paraId="3F0594DE" w14:textId="77777777" w:rsidR="00E31C44" w:rsidRPr="00F90EAE" w:rsidRDefault="00E31C44" w:rsidP="00F90EAE">
      <w:pPr>
        <w:autoSpaceDE w:val="0"/>
        <w:autoSpaceDN w:val="0"/>
        <w:adjustRightInd w:val="0"/>
        <w:jc w:val="both"/>
        <w:rPr>
          <w:color w:val="000000" w:themeColor="text1"/>
          <w:sz w:val="16"/>
          <w:szCs w:val="16"/>
        </w:rPr>
      </w:pPr>
    </w:p>
    <w:p w14:paraId="542CE51C" w14:textId="77777777" w:rsidR="00AB62EF" w:rsidRPr="00F90EAE" w:rsidRDefault="00AB62EF" w:rsidP="00F90EAE">
      <w:pPr>
        <w:autoSpaceDE w:val="0"/>
        <w:autoSpaceDN w:val="0"/>
        <w:adjustRightInd w:val="0"/>
        <w:jc w:val="both"/>
        <w:rPr>
          <w:color w:val="000000" w:themeColor="text1"/>
          <w:sz w:val="16"/>
          <w:szCs w:val="16"/>
        </w:rPr>
      </w:pPr>
      <w:r w:rsidRPr="00F90EAE">
        <w:rPr>
          <w:color w:val="000000" w:themeColor="text1"/>
          <w:sz w:val="16"/>
          <w:szCs w:val="16"/>
        </w:rPr>
        <w:t>17 марта 1945 г. в политических целях временное просоветское национальное правительство Венгрии декретом от отменило в Венгрии помещичье землевладение, и отдала более половины изъятой земли в пользование 600 тыс. крестьян (17459).</w:t>
      </w:r>
    </w:p>
    <w:p w14:paraId="595E428E" w14:textId="77777777" w:rsidR="00AB62EF" w:rsidRPr="00F90EAE" w:rsidRDefault="00AB62EF" w:rsidP="00F90EAE">
      <w:pPr>
        <w:autoSpaceDE w:val="0"/>
        <w:autoSpaceDN w:val="0"/>
        <w:adjustRightInd w:val="0"/>
        <w:jc w:val="both"/>
        <w:rPr>
          <w:color w:val="000000" w:themeColor="text1"/>
          <w:sz w:val="16"/>
          <w:szCs w:val="16"/>
        </w:rPr>
      </w:pPr>
    </w:p>
    <w:p w14:paraId="102C2432"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331 американский сверхмощный бомбардировщик "Летающие крепости" совершают налет на японский город Кобе. Сбрасывается 2 500 тонн зажигательных бомб. 331 бомбардировщик «В-29» выжгли 8 квадратных километров городских кварталов (15071).</w:t>
      </w:r>
    </w:p>
    <w:p w14:paraId="08754724" w14:textId="77777777" w:rsidR="00F36DAA" w:rsidRPr="00F90EAE" w:rsidRDefault="00F36DAA" w:rsidP="00F90EAE">
      <w:pPr>
        <w:jc w:val="both"/>
        <w:rPr>
          <w:color w:val="000000" w:themeColor="text1"/>
          <w:sz w:val="16"/>
          <w:szCs w:val="16"/>
        </w:rPr>
      </w:pPr>
    </w:p>
    <w:p w14:paraId="1636F3AB" w14:textId="77777777" w:rsidR="00F36DAA" w:rsidRPr="00F90EAE" w:rsidRDefault="00F36DAA" w:rsidP="00F90EAE">
      <w:pPr>
        <w:jc w:val="both"/>
        <w:rPr>
          <w:color w:val="000000" w:themeColor="text1"/>
          <w:sz w:val="16"/>
          <w:szCs w:val="16"/>
        </w:rPr>
      </w:pPr>
      <w:r w:rsidRPr="00F90EAE">
        <w:rPr>
          <w:bCs/>
          <w:color w:val="000000" w:themeColor="text1"/>
          <w:sz w:val="16"/>
          <w:szCs w:val="16"/>
        </w:rPr>
        <w:t>17 марта</w:t>
      </w:r>
      <w:r w:rsidRPr="00F90EAE">
        <w:rPr>
          <w:color w:val="000000" w:themeColor="text1"/>
          <w:sz w:val="16"/>
          <w:szCs w:val="16"/>
        </w:rPr>
        <w:t xml:space="preserve"> в 1945 году представитель Чан Кай-ши Мяо Бин прибыл в Токио и передал принцу Хигасикуни лично для императора Хирохито послание Чан Кай-ши, в котором лидер Китая выражал пожелание заключить мир с Японией. Условием мира должен был стать вывод японских войск из Китая и начало переговоров о Маньчжурии (15071).</w:t>
      </w:r>
    </w:p>
    <w:p w14:paraId="552E9474" w14:textId="77777777" w:rsidR="00F36DAA" w:rsidRPr="00F90EAE" w:rsidRDefault="00F36DAA" w:rsidP="00F90EAE">
      <w:pPr>
        <w:jc w:val="both"/>
        <w:rPr>
          <w:color w:val="000000" w:themeColor="text1"/>
          <w:sz w:val="16"/>
          <w:szCs w:val="16"/>
        </w:rPr>
      </w:pPr>
    </w:p>
    <w:p w14:paraId="248D34B5" w14:textId="77777777" w:rsidR="007B38E4" w:rsidRPr="00F90EAE" w:rsidRDefault="007B38E4" w:rsidP="00F90EAE">
      <w:pPr>
        <w:jc w:val="both"/>
        <w:rPr>
          <w:color w:val="0070C0"/>
          <w:sz w:val="16"/>
          <w:szCs w:val="16"/>
        </w:rPr>
      </w:pPr>
      <w:r w:rsidRPr="00F90EAE">
        <w:rPr>
          <w:color w:val="0070C0"/>
          <w:sz w:val="16"/>
          <w:szCs w:val="16"/>
        </w:rPr>
        <w:t>17 марта 1945 американский актер Бобби Хатчинс, проходящий военную службу в ВВС США, погиб в результате столкновения в воздухе двух тренировочных самолетов AT-6 Texan на аэродроме армии Мерсед в Мерседе, Калифорния. Другой пилот выживает (20371).</w:t>
      </w:r>
    </w:p>
    <w:p w14:paraId="582BBD73" w14:textId="77777777" w:rsidR="007B38E4" w:rsidRPr="00F90EAE" w:rsidRDefault="007B38E4" w:rsidP="00F90EAE">
      <w:pPr>
        <w:jc w:val="both"/>
        <w:rPr>
          <w:color w:val="0070C0"/>
          <w:sz w:val="16"/>
          <w:szCs w:val="16"/>
        </w:rPr>
      </w:pPr>
    </w:p>
    <w:p w14:paraId="7701FBDB" w14:textId="77777777" w:rsidR="00E31C44" w:rsidRPr="00F90EAE" w:rsidRDefault="00E31C44" w:rsidP="00F90EAE">
      <w:pPr>
        <w:jc w:val="both"/>
        <w:rPr>
          <w:color w:val="000000" w:themeColor="text1"/>
          <w:sz w:val="16"/>
          <w:szCs w:val="16"/>
        </w:rPr>
      </w:pPr>
      <w:r w:rsidRPr="00F90EAE">
        <w:rPr>
          <w:color w:val="000000" w:themeColor="text1"/>
          <w:sz w:val="16"/>
          <w:szCs w:val="16"/>
        </w:rPr>
        <w:t>17 марта 1945 г. Аргентина объявила войну Германии и Японии. Решение едва ли не последнее среди стран мира. Причина в прогерманской ориентации правящих кругов Аргентины (17459).</w:t>
      </w:r>
    </w:p>
    <w:p w14:paraId="2227F8F8" w14:textId="77777777" w:rsidR="00E31C44" w:rsidRPr="00F90EAE" w:rsidRDefault="00E31C44" w:rsidP="00F90EAE">
      <w:pPr>
        <w:jc w:val="both"/>
        <w:rPr>
          <w:color w:val="000000" w:themeColor="text1"/>
          <w:sz w:val="16"/>
          <w:szCs w:val="16"/>
        </w:rPr>
      </w:pPr>
    </w:p>
    <w:p w14:paraId="7287180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3B1F839" w14:textId="77777777" w:rsidR="00665165" w:rsidRPr="00F90EAE" w:rsidRDefault="00665165" w:rsidP="00F90EAE">
      <w:pPr>
        <w:autoSpaceDE w:val="0"/>
        <w:autoSpaceDN w:val="0"/>
        <w:adjustRightInd w:val="0"/>
        <w:jc w:val="both"/>
        <w:rPr>
          <w:iCs/>
          <w:color w:val="000000" w:themeColor="text1"/>
          <w:sz w:val="16"/>
          <w:szCs w:val="16"/>
        </w:rPr>
      </w:pPr>
    </w:p>
    <w:p w14:paraId="1D8C6C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марта 1945 года Шахурин писал письмо N Н-32/1487 командующему ВВС гл. маршалу авиации Новикову А.А.</w:t>
      </w:r>
    </w:p>
    <w:p w14:paraId="2F25F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Выпускаемые заводом N 500 опытные и серийные авиационные дизели, снабженные турбокомпрессорами, требуют проверки в полете основных данных и надежности работы их в высотных условиях, так как стендовые испытания не могут дать исчерпывающих данных.</w:t>
      </w:r>
    </w:p>
    <w:p w14:paraId="5E205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этой цели необходимо использовать самолет Пе-8 с установкой на его крайних моторамах проверенных серийных моторов и опытных на средних для безопасности на случай отказа в работе последних.</w:t>
      </w:r>
    </w:p>
    <w:p w14:paraId="1A395E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45-й авиационный дивизии находится в законсервированном состоянии самолет Пе-8 N 42029 - ходатайствую о передаче его заводу N 500 для проведения указанных испытаний, ввиду отсутствия такового типа самолета с авиадизелями в системе НКАП (1879,96).</w:t>
      </w:r>
    </w:p>
    <w:p w14:paraId="25EC994B" w14:textId="77777777" w:rsidR="00665165" w:rsidRPr="00F90EAE" w:rsidRDefault="00665165" w:rsidP="00F90EAE">
      <w:pPr>
        <w:autoSpaceDE w:val="0"/>
        <w:autoSpaceDN w:val="0"/>
        <w:adjustRightInd w:val="0"/>
        <w:jc w:val="both"/>
        <w:rPr>
          <w:color w:val="000000" w:themeColor="text1"/>
          <w:sz w:val="16"/>
          <w:szCs w:val="16"/>
        </w:rPr>
      </w:pPr>
    </w:p>
    <w:p w14:paraId="00C19ED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EF6D08F" w14:textId="77777777" w:rsidR="00665165" w:rsidRPr="00F90EAE" w:rsidRDefault="00665165" w:rsidP="00F90EAE">
      <w:pPr>
        <w:autoSpaceDE w:val="0"/>
        <w:autoSpaceDN w:val="0"/>
        <w:adjustRightInd w:val="0"/>
        <w:jc w:val="both"/>
        <w:rPr>
          <w:iCs/>
          <w:color w:val="000000" w:themeColor="text1"/>
          <w:sz w:val="16"/>
          <w:szCs w:val="16"/>
        </w:rPr>
      </w:pPr>
    </w:p>
    <w:p w14:paraId="7DABB1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марта 1945 г. вышел ПРИКАЗ КОМАНДУЮЩЕГО БТ и МВ КА О ПРОВЕДЕНИИ РАБОТ ПО СОЗДАНИЮ ТАНКОВЫХ ДУПЛЕКСНЫХ РАДИОСТАНЦИЙ №028</w:t>
      </w:r>
    </w:p>
    <w:p w14:paraId="3EC55F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Симплексные радиостанции, принятые на вооружение бронетанковых и механизированных войск Красной Армии, неудобны в эксплуатации вследствие необходимости при осуществлении связи переходить с приема на передачу.</w:t>
      </w:r>
    </w:p>
    <w:p w14:paraId="34F2FA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создания танковых дуплексных радиостанций, в которых устранена необходимость перехода с приема на передачу, ПРИКАЗЫВАЮ:</w:t>
      </w:r>
    </w:p>
    <w:p w14:paraId="6884F8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504F91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Военной ордена Ленина академии бронетанковых и механизированных войск Красной Армии им. Сталина в 3-месячный срок провести следующие работы:</w:t>
      </w:r>
    </w:p>
    <w:p w14:paraId="177B21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Изготовить на базе радиостанции 9-РС действующий лабораторный макет радиостанции, допускающей осуществление дуплексной радиосвязи.</w:t>
      </w:r>
    </w:p>
    <w:p w14:paraId="69B80D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Проверить возможность использования радиостанции 10-РК для осуществления дуплексной радиосвязи и одновременной симплексной радиосвязи в двух направлениях.</w:t>
      </w:r>
    </w:p>
    <w:p w14:paraId="54E0A7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498087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Начальнику школы радиоспециалистов БТ и МВ КА инженер-подполковнику т. Равдонику выделить в распоряжение академии БТ и МВ КА им. Сталина сроком на 3 месяца рабочую бригаду в составе 5 радиотехников.</w:t>
      </w:r>
    </w:p>
    <w:p w14:paraId="62E2C8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13B54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Начальнику управления кадров БТ и МВ КА генерал-майору танковых войск т. Сафонову прико</w:t>
      </w:r>
      <w:r w:rsidRPr="00F90EAE">
        <w:rPr>
          <w:color w:val="000000" w:themeColor="text1"/>
          <w:sz w:val="16"/>
          <w:szCs w:val="16"/>
        </w:rPr>
        <w:softHyphen/>
        <w:t>мандировать академии БТ и МВ им. Сталина сроком на 3 месяца находящегося в резерве БТ и МВ КА инженер-капитана Гольдберга А.В.</w:t>
      </w:r>
    </w:p>
    <w:p w14:paraId="4C1AE1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3E4CC0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Начальнику Главного управления ремонта танков генерал-лейтенанту инженерно-танковой службы т. Сосенкову выдать академии БТ и МВ КА радиостанции, измерительную аппаратуру и материалы, необходимые для проведения указанных работ по прилагаемой ведомости.</w:t>
      </w:r>
    </w:p>
    <w:p w14:paraId="218406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610C03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Член военного совета БТ и МВ КА генерал-полковник танковых войск Бирюков</w:t>
      </w:r>
    </w:p>
    <w:p w14:paraId="24EE3F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штаба БТ и МВ КА генерал-полковник танковых войск Соломатин</w:t>
      </w:r>
    </w:p>
    <w:p w14:paraId="630DC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11353. Д. 1519. Л. 70. Подлинник (11420).</w:t>
      </w:r>
    </w:p>
    <w:p w14:paraId="2197AF8E" w14:textId="77777777" w:rsidR="00665165" w:rsidRPr="00F90EAE" w:rsidRDefault="00665165" w:rsidP="00F90EAE">
      <w:pPr>
        <w:autoSpaceDE w:val="0"/>
        <w:autoSpaceDN w:val="0"/>
        <w:adjustRightInd w:val="0"/>
        <w:jc w:val="both"/>
        <w:rPr>
          <w:color w:val="000000" w:themeColor="text1"/>
          <w:sz w:val="16"/>
          <w:szCs w:val="16"/>
        </w:rPr>
      </w:pPr>
    </w:p>
    <w:p w14:paraId="5336A3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марта 1945 спустили на воду 11-й ТЩ (10671).</w:t>
      </w:r>
    </w:p>
    <w:p w14:paraId="7219A945" w14:textId="77777777" w:rsidR="00665165" w:rsidRPr="00F90EAE" w:rsidRDefault="00665165" w:rsidP="00F90EAE">
      <w:pPr>
        <w:autoSpaceDE w:val="0"/>
        <w:autoSpaceDN w:val="0"/>
        <w:adjustRightInd w:val="0"/>
        <w:jc w:val="both"/>
        <w:rPr>
          <w:color w:val="000000" w:themeColor="text1"/>
          <w:sz w:val="16"/>
          <w:szCs w:val="16"/>
        </w:rPr>
      </w:pPr>
    </w:p>
    <w:p w14:paraId="5D7FB8D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7E23AC4" w14:textId="77777777" w:rsidR="00665165" w:rsidRPr="00F90EAE" w:rsidRDefault="00665165" w:rsidP="00F90EAE">
      <w:pPr>
        <w:autoSpaceDE w:val="0"/>
        <w:autoSpaceDN w:val="0"/>
        <w:adjustRightInd w:val="0"/>
        <w:jc w:val="both"/>
        <w:rPr>
          <w:iCs/>
          <w:color w:val="000000" w:themeColor="text1"/>
          <w:sz w:val="16"/>
          <w:szCs w:val="16"/>
        </w:rPr>
      </w:pPr>
    </w:p>
    <w:p w14:paraId="0CF528F4" w14:textId="77777777" w:rsidR="00324FA8" w:rsidRPr="00F90EAE" w:rsidRDefault="00324FA8" w:rsidP="00F90EAE">
      <w:pPr>
        <w:jc w:val="both"/>
        <w:rPr>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оперативная сводка Совинформбюро:</w:t>
      </w:r>
    </w:p>
    <w:p w14:paraId="3430D183" w14:textId="77777777" w:rsidR="00324FA8" w:rsidRPr="00F90EAE" w:rsidRDefault="00324FA8" w:rsidP="00F90EAE">
      <w:pPr>
        <w:jc w:val="both"/>
        <w:rPr>
          <w:color w:val="000000" w:themeColor="text1"/>
          <w:sz w:val="16"/>
          <w:szCs w:val="16"/>
        </w:rPr>
      </w:pPr>
      <w:r w:rsidRPr="00F90EAE">
        <w:rPr>
          <w:color w:val="000000" w:themeColor="text1"/>
          <w:sz w:val="16"/>
          <w:szCs w:val="16"/>
        </w:rPr>
        <w:t>«В течение 18 марта юго-западнее Кенигсберга наши войска вели бои по уничтожению Восточно-Прусской группы немцев и, сжимая кольцо окружения, заняли более 40 населённых пунктов, в том числе Коршенру, Патерсорт, Людвигсорт, Шванис, Риппен, Лаукиттен, Прейсиш Тирау, Ленхефен, Малендорф, Рефельд, Грюненфельд. В боях за 17 марта в этом районе взято в плен более 800 немецких солдат и офицеров.</w:t>
      </w:r>
    </w:p>
    <w:p w14:paraId="4FE26342" w14:textId="77777777" w:rsidR="00324FA8" w:rsidRPr="00F90EAE" w:rsidRDefault="00324FA8" w:rsidP="00F90EAE">
      <w:pPr>
        <w:jc w:val="both"/>
        <w:rPr>
          <w:color w:val="000000" w:themeColor="text1"/>
          <w:sz w:val="16"/>
          <w:szCs w:val="16"/>
        </w:rPr>
      </w:pPr>
      <w:r w:rsidRPr="00F90EAE">
        <w:rPr>
          <w:color w:val="000000" w:themeColor="text1"/>
          <w:sz w:val="16"/>
          <w:szCs w:val="16"/>
        </w:rPr>
        <w:t>Войска 1-го Белорусского фронта, сломив сопротивление окружённого гарнизона немцев, 18 марта овладели городом и портом на Балтийском море Кольберг.</w:t>
      </w:r>
    </w:p>
    <w:p w14:paraId="3B06BE8F" w14:textId="77777777" w:rsidR="00324FA8" w:rsidRPr="00F90EAE" w:rsidRDefault="00324FA8" w:rsidP="00F90EAE">
      <w:pPr>
        <w:jc w:val="both"/>
        <w:rPr>
          <w:color w:val="000000" w:themeColor="text1"/>
          <w:sz w:val="16"/>
          <w:szCs w:val="16"/>
        </w:rPr>
      </w:pPr>
      <w:r w:rsidRPr="00F90EAE">
        <w:rPr>
          <w:color w:val="000000" w:themeColor="text1"/>
          <w:sz w:val="16"/>
          <w:szCs w:val="16"/>
        </w:rPr>
        <w:t>В Чехословакии западнее и юго-западнее города Зволена наши войска в результате наступательных боёв заняли населённые пункты Остра Лука, Шашовске Подгродье, Горне Опатовце, Глиник на Грон, Вигне.</w:t>
      </w:r>
    </w:p>
    <w:p w14:paraId="0CC936CA" w14:textId="77777777" w:rsidR="00324FA8" w:rsidRPr="00F90EAE" w:rsidRDefault="00324FA8"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1E4797C3" w14:textId="77777777" w:rsidR="00324FA8" w:rsidRPr="00F90EAE" w:rsidRDefault="00324FA8" w:rsidP="00F90EAE">
      <w:pPr>
        <w:jc w:val="both"/>
        <w:rPr>
          <w:color w:val="000000" w:themeColor="text1"/>
          <w:sz w:val="16"/>
          <w:szCs w:val="16"/>
        </w:rPr>
      </w:pPr>
      <w:r w:rsidRPr="00F90EAE">
        <w:rPr>
          <w:color w:val="000000" w:themeColor="text1"/>
          <w:sz w:val="16"/>
          <w:szCs w:val="16"/>
        </w:rPr>
        <w:t>За 17 марта на всех фронтах подбито и уничтожено 136 немецких танков и самоходных орудий. В воздушных боях и огнём зенитной артиллерии сбито 26 самолётов противника.</w:t>
      </w:r>
    </w:p>
    <w:p w14:paraId="3B95C60B" w14:textId="77777777" w:rsidR="00324FA8" w:rsidRPr="00F90EAE" w:rsidRDefault="00324FA8"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сжимать с востока и юга окружённую Восточно-Прусскую группировку противника. Немцы, опираясь на сильно укреплённые населённые пункты, высоты и водные рубежи, оказывают упорное сопротивление. Однако в результате ударов наших войск территория, занимаемая противником, сокращается с каждым днём. Гитлеровцы загнаны на незначительный по своим размерам прибрежный участок. Наши войска, занявшие вчера важный опорный пункт немцев Бранденбург, в результате ночных боёв очистили от противника левый берег реки Фришинг в ее нижнем течении. Сегодня утром гитлеровцы выбиты из лесного массива, прикрывающего с северо-востока подступы к Людвигсорту — железнодорожной станции и узлу шоссейных дорог. Затем наша пехота стремительной атакой овладела населённым пунктом Людвигсорт. Одновременно советские части, наступающие вдоль побережья залива Фриш-Гаф, продвинулись вперед на 4 километра и заняли несколько прибрежных селений. Юго-восточнее города Браунсберг ожесточённые бои происходили в полосе автострады Кенигсберг — Эльбинг. Немцы построили на этом участке полосу обороны с дотами и дзотами. Наши войска, после артиллерийского обстрела вражеских позиций прорвали оборону немцев и заняли населённый пункт Грюненфельд, находящийся в 8 километрах к юго-востоку от города Браунсберга. За день боёв уничтожено более 3 тысяч немецких солдат и офицеров, 19 танков, 39 полевых орудий и 170 пулемётов противника. Захвачены трофеи, в числе которых 11 танков, 4 бронетранспортёра, 16 орудий и 3 склада с боеприпасами.</w:t>
      </w:r>
    </w:p>
    <w:p w14:paraId="7BDB624B" w14:textId="77777777" w:rsidR="00324FA8" w:rsidRPr="00F90EAE" w:rsidRDefault="00324FA8" w:rsidP="00F90EAE">
      <w:pPr>
        <w:jc w:val="both"/>
        <w:rPr>
          <w:color w:val="000000" w:themeColor="text1"/>
          <w:sz w:val="16"/>
          <w:szCs w:val="16"/>
        </w:rPr>
      </w:pPr>
      <w:r w:rsidRPr="00F90EAE">
        <w:rPr>
          <w:color w:val="000000" w:themeColor="text1"/>
          <w:sz w:val="16"/>
          <w:szCs w:val="16"/>
        </w:rPr>
        <w:t>Пленные сообщают об огромных потерях немецких войск. Так, 7-я рота 432-го полка за три дня боёв потеряла убитыми 80 процентов своего личного состава. Остатки 50-й немецкой пехотной дивизии сведены в один полк неполного состава. 302-я бригада штурмовых орудий потеряла всю материальную часть и действует сейчас как пехотный батальон. Гренадерский полк танковой дивизии СС «Великая Германия» в последних боях полностью уничтожен.</w:t>
      </w:r>
    </w:p>
    <w:p w14:paraId="2A56D055" w14:textId="77777777" w:rsidR="00324FA8" w:rsidRPr="00F90EAE" w:rsidRDefault="00324FA8" w:rsidP="00F90EAE">
      <w:pPr>
        <w:jc w:val="both"/>
        <w:rPr>
          <w:color w:val="000000" w:themeColor="text1"/>
          <w:sz w:val="16"/>
          <w:szCs w:val="16"/>
        </w:rPr>
      </w:pPr>
      <w:r w:rsidRPr="00F90EAE">
        <w:rPr>
          <w:color w:val="000000" w:themeColor="text1"/>
          <w:sz w:val="16"/>
          <w:szCs w:val="16"/>
        </w:rPr>
        <w:t>Войска 1-го Белорусского фронта сегодня овладели городом Кольберг. Этот город и порт на Балтийском море оборонял крупный вражеский гарнизон, усиленный остатками немецких дивизий, разгромленных в Померании. Противник оказывал упорное сопротивление и пытался выиграть время для того, чтобы вывезти из Кольберга морским путём войска, вооружение я военные материалы. Эти намерения немцев были сорваны умелыми действиями наших войск. Советские части стремительным ударом овладели западной частью города по реке Перзанте и взяли порт под артиллерийский обстрел. Несколько судов противника, пытавшихся пройти в порт, было потоплено. Бои переместились в восточную часть города. Вчера наши части очистили от гитлеровцев улицы Кольберга южнее линии железной дороги. Затем был предпринят решительный штурм. После ожесточённых уличных боёв войска фронта, действующие совместно с Польским войском, сломили сопротивление немецкого гарнизона и полностью овладели городом и портом Кольберг. На улицах города остались тысячи вражеских трупов. Захвачены большие трофеи и много пленных.</w:t>
      </w:r>
    </w:p>
    <w:p w14:paraId="5F8314BC" w14:textId="77777777" w:rsidR="00324FA8" w:rsidRPr="00F90EAE" w:rsidRDefault="00324FA8" w:rsidP="00F90EAE">
      <w:pPr>
        <w:jc w:val="both"/>
        <w:rPr>
          <w:color w:val="000000" w:themeColor="text1"/>
          <w:sz w:val="16"/>
          <w:szCs w:val="16"/>
        </w:rPr>
      </w:pPr>
      <w:r w:rsidRPr="00F90EAE">
        <w:rPr>
          <w:color w:val="000000" w:themeColor="text1"/>
          <w:sz w:val="16"/>
          <w:szCs w:val="16"/>
        </w:rPr>
        <w:t>В Чехословакии западнее и юго-западнее города Зволен наши войска в трудных условиях горно-лесистой местности с боями продвигались вперёд. Противник создал на высотах и склонах гор опорные пункты и пытался удержать в своих руках плацдарм на левом берегу реки Грон. Наши пехотинцы выбили немцев из населённого пункта Остра Лука и, продвигаясь по шоссе, вышли к реке Грон. В этом районе разгромлены два батальона пехоты противника. Захвачено 180 пленных и много трофеев. На другом участке советские части выбили гитлеровцев из крупного опорного пункта Горне Опатовце, а также заняли пять горных высот. Развивая успех, наши войска полностью очистили от немцев левый берег реки Грон к западу от города Зволен. Отдельные группы солдат противника были прижаты к реке и ликвидированы.» (15072).</w:t>
      </w:r>
    </w:p>
    <w:p w14:paraId="42BF518E" w14:textId="77777777" w:rsidR="00324FA8" w:rsidRPr="00F90EAE" w:rsidRDefault="00324FA8" w:rsidP="00F90EAE">
      <w:pPr>
        <w:jc w:val="both"/>
        <w:rPr>
          <w:color w:val="000000" w:themeColor="text1"/>
          <w:sz w:val="16"/>
          <w:szCs w:val="16"/>
        </w:rPr>
      </w:pPr>
    </w:p>
    <w:p w14:paraId="40A88595" w14:textId="77777777" w:rsidR="00324FA8" w:rsidRPr="00F90EAE" w:rsidRDefault="00324FA8" w:rsidP="00F90EAE">
      <w:pPr>
        <w:jc w:val="both"/>
        <w:rPr>
          <w:bCs/>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последний налёт на Берлин самолетов 8-й воздушной армии. В налёте принимало участие 1327 тяжелых бомбардировщиков..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w:t>
      </w:r>
    </w:p>
    <w:p w14:paraId="1C198C88" w14:textId="77777777" w:rsidR="00324FA8" w:rsidRPr="00F90EAE" w:rsidRDefault="00324FA8" w:rsidP="00F90EAE">
      <w:pPr>
        <w:jc w:val="both"/>
        <w:rPr>
          <w:color w:val="000000" w:themeColor="text1"/>
          <w:sz w:val="16"/>
          <w:szCs w:val="16"/>
        </w:rPr>
      </w:pPr>
      <w:r w:rsidRPr="00F90EAE">
        <w:rPr>
          <w:color w:val="000000" w:themeColor="text1"/>
          <w:sz w:val="16"/>
          <w:szCs w:val="16"/>
        </w:rPr>
        <w:t>"R4M"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Зенитки сбили еще 16 самолетов и повредили еще 16, которые совершили вынужденные посадки на занятой советскими войсками территории (15072).</w:t>
      </w:r>
    </w:p>
    <w:p w14:paraId="1B310A5C" w14:textId="77777777" w:rsidR="00324FA8" w:rsidRPr="00F90EAE" w:rsidRDefault="00324FA8" w:rsidP="00F90EAE">
      <w:pPr>
        <w:jc w:val="both"/>
        <w:rPr>
          <w:color w:val="000000" w:themeColor="text1"/>
          <w:sz w:val="16"/>
          <w:szCs w:val="16"/>
        </w:rPr>
      </w:pPr>
    </w:p>
    <w:p w14:paraId="7CF2CB10" w14:textId="77777777" w:rsidR="00A8589E" w:rsidRPr="00F90EAE" w:rsidRDefault="00A8589E" w:rsidP="00F90EAE">
      <w:pPr>
        <w:jc w:val="both"/>
        <w:rPr>
          <w:color w:val="0070C0"/>
          <w:sz w:val="16"/>
          <w:szCs w:val="16"/>
        </w:rPr>
      </w:pPr>
      <w:r w:rsidRPr="00F90EAE">
        <w:rPr>
          <w:color w:val="0070C0"/>
          <w:sz w:val="16"/>
          <w:szCs w:val="16"/>
        </w:rPr>
        <w:t>18 марта 1945 - Последний налёт на Берлин самолетов 8-й воздушной армии. В налёте принимало участие 1327 тяжелых бомбардировщиков. Превосходство союзников в воздухе было подавляющим и, несмотря на участие в бою 50 реактивных истребителей Ме-262, Люфтваффе сбили лишь 8 самолётов. Зенитки сбили еще 16 самолетов и повредили еще 16, которые совершили вынужденные посадки на занятой советскими войсками территории (22564).</w:t>
      </w:r>
    </w:p>
    <w:p w14:paraId="0965211F" w14:textId="77777777" w:rsidR="00A8589E" w:rsidRPr="00F90EAE" w:rsidRDefault="00A8589E" w:rsidP="00F90EAE">
      <w:pPr>
        <w:jc w:val="both"/>
        <w:rPr>
          <w:color w:val="0070C0"/>
          <w:sz w:val="16"/>
          <w:szCs w:val="16"/>
        </w:rPr>
      </w:pPr>
    </w:p>
    <w:p w14:paraId="436733CD" w14:textId="77777777" w:rsidR="00324FA8" w:rsidRPr="00F90EAE" w:rsidRDefault="00324FA8" w:rsidP="00F90EAE">
      <w:pPr>
        <w:jc w:val="both"/>
        <w:rPr>
          <w:color w:val="000000" w:themeColor="text1"/>
          <w:sz w:val="16"/>
          <w:szCs w:val="16"/>
        </w:rPr>
      </w:pPr>
      <w:r w:rsidRPr="00F90EAE">
        <w:rPr>
          <w:bCs/>
          <w:color w:val="000000" w:themeColor="text1"/>
          <w:sz w:val="16"/>
          <w:szCs w:val="16"/>
        </w:rPr>
        <w:lastRenderedPageBreak/>
        <w:t xml:space="preserve">18 марта </w:t>
      </w:r>
      <w:r w:rsidRPr="00F90EAE">
        <w:rPr>
          <w:color w:val="000000" w:themeColor="text1"/>
          <w:sz w:val="16"/>
          <w:szCs w:val="16"/>
        </w:rPr>
        <w:t>в 1945 году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(15072).</w:t>
      </w:r>
    </w:p>
    <w:p w14:paraId="693B2B24" w14:textId="77777777" w:rsidR="00324FA8" w:rsidRPr="00F90EAE" w:rsidRDefault="00324FA8" w:rsidP="00F90EAE">
      <w:pPr>
        <w:jc w:val="both"/>
        <w:rPr>
          <w:color w:val="000000" w:themeColor="text1"/>
          <w:sz w:val="16"/>
          <w:szCs w:val="16"/>
        </w:rPr>
      </w:pPr>
    </w:p>
    <w:p w14:paraId="1DF304F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марта 1945 cоветские войска вышли к Южному Бугу на юге Правобережной Украины. 93-я советская танковая бригада на восточном берегу Нейсе прорвала оборону 20-й немецкой пехотной дивизии СС. 61-я советская гвардейская танковая бригада овладела немецким городом Нойштадт. Контрнаступление 4 немецких танковых (16-я, 17-я, 20-я и ''Герман Геринг''), 45-й пехотной дивизий и 184-й бригады самоходной артиллерии в направлении городов Нейсе и Ротхаус на позиции 6-го советского гвардейского корпуса (4963 ).</w:t>
      </w:r>
    </w:p>
    <w:p w14:paraId="0F11EEA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FDCA6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марта 1945 году 1-я армия Войска Польского овладела Кольбергом (4963 ).</w:t>
      </w:r>
    </w:p>
    <w:p w14:paraId="4C4B62D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31B57CE" w14:textId="77777777" w:rsidR="00324FA8" w:rsidRPr="00F90EAE" w:rsidRDefault="00324FA8" w:rsidP="00F90EAE">
      <w:pPr>
        <w:jc w:val="both"/>
        <w:rPr>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1-я армия Войска Польского и соединения советских войск завершили разгром немецкого гарнизона Кольберга и заняли город (15072).</w:t>
      </w:r>
    </w:p>
    <w:p w14:paraId="4B0425D2" w14:textId="77777777" w:rsidR="00324FA8" w:rsidRPr="00F90EAE" w:rsidRDefault="00324FA8" w:rsidP="00F90EAE">
      <w:pPr>
        <w:jc w:val="both"/>
        <w:rPr>
          <w:color w:val="000000" w:themeColor="text1"/>
          <w:sz w:val="16"/>
          <w:szCs w:val="16"/>
        </w:rPr>
      </w:pPr>
    </w:p>
    <w:p w14:paraId="792BB4A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18th, 1945: In the East, the Soviet 2nd Belorussian Front (Rokossovsky) captures the fortress city of Kolberg after 68,000 civilian refugees have been evacuated by sea. The US Third Army captures Boppard on the Rhine (3819).</w:t>
      </w:r>
    </w:p>
    <w:p w14:paraId="1CBEEAA0" w14:textId="77777777" w:rsidR="00665165" w:rsidRPr="00F90EAE" w:rsidRDefault="00665165" w:rsidP="00F90EAE">
      <w:pPr>
        <w:autoSpaceDE w:val="0"/>
        <w:autoSpaceDN w:val="0"/>
        <w:adjustRightInd w:val="0"/>
        <w:jc w:val="both"/>
        <w:rPr>
          <w:color w:val="000000" w:themeColor="text1"/>
          <w:sz w:val="16"/>
          <w:szCs w:val="16"/>
          <w:lang w:val="en-US"/>
        </w:rPr>
      </w:pPr>
    </w:p>
    <w:p w14:paraId="633BC2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18 </w:t>
      </w:r>
      <w:r w:rsidRPr="00F90EAE">
        <w:rPr>
          <w:color w:val="000000" w:themeColor="text1"/>
          <w:sz w:val="16"/>
          <w:szCs w:val="16"/>
        </w:rPr>
        <w:t>марта</w:t>
      </w:r>
      <w:r w:rsidRPr="00F90EAE">
        <w:rPr>
          <w:color w:val="000000" w:themeColor="text1"/>
          <w:sz w:val="16"/>
          <w:szCs w:val="16"/>
          <w:lang w:val="en-US"/>
        </w:rPr>
        <w:t xml:space="preserve"> 1945 2</w:t>
      </w:r>
      <w:r w:rsidRPr="00F90EAE">
        <w:rPr>
          <w:color w:val="000000" w:themeColor="text1"/>
          <w:sz w:val="16"/>
          <w:szCs w:val="16"/>
        </w:rPr>
        <w:t>БФ</w:t>
      </w:r>
      <w:r w:rsidRPr="00F90EAE">
        <w:rPr>
          <w:color w:val="000000" w:themeColor="text1"/>
          <w:sz w:val="16"/>
          <w:szCs w:val="16"/>
          <w:lang w:val="en-US"/>
        </w:rPr>
        <w:t xml:space="preserve"> (</w:t>
      </w:r>
      <w:r w:rsidRPr="00F90EAE">
        <w:rPr>
          <w:color w:val="000000" w:themeColor="text1"/>
          <w:sz w:val="16"/>
          <w:szCs w:val="16"/>
        </w:rPr>
        <w:t>Рокосовский</w:t>
      </w:r>
      <w:r w:rsidRPr="00F90EAE">
        <w:rPr>
          <w:color w:val="000000" w:themeColor="text1"/>
          <w:sz w:val="16"/>
          <w:szCs w:val="16"/>
          <w:lang w:val="en-US"/>
        </w:rPr>
        <w:t xml:space="preserve">) </w:t>
      </w:r>
      <w:r w:rsidRPr="00F90EAE">
        <w:rPr>
          <w:color w:val="000000" w:themeColor="text1"/>
          <w:sz w:val="16"/>
          <w:szCs w:val="16"/>
        </w:rPr>
        <w:t>захватилкрепостьКольберг</w:t>
      </w:r>
      <w:r w:rsidRPr="00F90EAE">
        <w:rPr>
          <w:color w:val="000000" w:themeColor="text1"/>
          <w:sz w:val="16"/>
          <w:szCs w:val="16"/>
          <w:lang w:val="en-US"/>
        </w:rPr>
        <w:t xml:space="preserve">, </w:t>
      </w:r>
      <w:r w:rsidRPr="00F90EAE">
        <w:rPr>
          <w:color w:val="000000" w:themeColor="text1"/>
          <w:sz w:val="16"/>
          <w:szCs w:val="16"/>
        </w:rPr>
        <w:t>но</w:t>
      </w:r>
      <w:r w:rsidRPr="00F90EAE">
        <w:rPr>
          <w:color w:val="000000" w:themeColor="text1"/>
          <w:sz w:val="16"/>
          <w:szCs w:val="16"/>
          <w:lang w:val="en-US"/>
        </w:rPr>
        <w:t xml:space="preserve"> 68 </w:t>
      </w:r>
      <w:r w:rsidRPr="00F90EAE">
        <w:rPr>
          <w:color w:val="000000" w:themeColor="text1"/>
          <w:sz w:val="16"/>
          <w:szCs w:val="16"/>
        </w:rPr>
        <w:t>тыс</w:t>
      </w:r>
      <w:r w:rsidRPr="00F90EAE">
        <w:rPr>
          <w:color w:val="000000" w:themeColor="text1"/>
          <w:sz w:val="16"/>
          <w:szCs w:val="16"/>
          <w:lang w:val="en-US"/>
        </w:rPr>
        <w:t xml:space="preserve">. </w:t>
      </w:r>
      <w:r w:rsidRPr="00F90EAE">
        <w:rPr>
          <w:color w:val="000000" w:themeColor="text1"/>
          <w:sz w:val="16"/>
          <w:szCs w:val="16"/>
        </w:rPr>
        <w:t>беженцевуспелиэвакуироваться</w:t>
      </w:r>
      <w:r w:rsidRPr="00F90EAE">
        <w:rPr>
          <w:color w:val="000000" w:themeColor="text1"/>
          <w:sz w:val="16"/>
          <w:szCs w:val="16"/>
          <w:lang w:val="en-US"/>
        </w:rPr>
        <w:t xml:space="preserve">. </w:t>
      </w:r>
      <w:r w:rsidRPr="00F90EAE">
        <w:rPr>
          <w:color w:val="000000" w:themeColor="text1"/>
          <w:sz w:val="16"/>
          <w:szCs w:val="16"/>
        </w:rPr>
        <w:t>3А США захватила Боппард на Рейне (3819).</w:t>
      </w:r>
    </w:p>
    <w:p w14:paraId="0695588C" w14:textId="77777777" w:rsidR="00665165" w:rsidRPr="00F90EAE" w:rsidRDefault="00665165" w:rsidP="00F90EAE">
      <w:pPr>
        <w:autoSpaceDE w:val="0"/>
        <w:autoSpaceDN w:val="0"/>
        <w:adjustRightInd w:val="0"/>
        <w:jc w:val="both"/>
        <w:rPr>
          <w:color w:val="000000" w:themeColor="text1"/>
          <w:sz w:val="16"/>
          <w:szCs w:val="16"/>
        </w:rPr>
      </w:pPr>
    </w:p>
    <w:p w14:paraId="2A72B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марта 1945 вышло Постановление ГКО № 7865 О переводе войск ДВФ и ЗабФ на довольствие по норме № 2 приказа НКО № 312 - 1941 г. РГАНИР, Фонд ГКО, д. 382, лл. 137 (11012).</w:t>
      </w:r>
    </w:p>
    <w:p w14:paraId="0D63ABE6" w14:textId="77777777" w:rsidR="00665165" w:rsidRPr="00F90EAE" w:rsidRDefault="00665165" w:rsidP="00F90EAE">
      <w:pPr>
        <w:autoSpaceDE w:val="0"/>
        <w:autoSpaceDN w:val="0"/>
        <w:adjustRightInd w:val="0"/>
        <w:jc w:val="both"/>
        <w:rPr>
          <w:color w:val="000000" w:themeColor="text1"/>
          <w:sz w:val="16"/>
          <w:szCs w:val="16"/>
        </w:rPr>
      </w:pPr>
    </w:p>
    <w:p w14:paraId="43C644E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84F6F60" w14:textId="77777777" w:rsidR="00665165" w:rsidRPr="00F90EAE" w:rsidRDefault="00665165" w:rsidP="00F90EAE">
      <w:pPr>
        <w:autoSpaceDE w:val="0"/>
        <w:autoSpaceDN w:val="0"/>
        <w:adjustRightInd w:val="0"/>
        <w:jc w:val="both"/>
        <w:rPr>
          <w:iCs/>
          <w:color w:val="000000" w:themeColor="text1"/>
          <w:sz w:val="16"/>
          <w:szCs w:val="16"/>
        </w:rPr>
      </w:pPr>
    </w:p>
    <w:p w14:paraId="0A7074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марта 1945 года было получено:</w:t>
      </w:r>
    </w:p>
    <w:p w14:paraId="17359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ЛИЧНО И СЕКРЕТНО ДЛЯ МАРШАЛА СТАЛИНА ОТ ПРЕЗИДЕНТА РУЗВЕЛЬТА</w:t>
      </w:r>
    </w:p>
    <w:p w14:paraId="7F46C2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отправки из Польши бывших американских военнопленных, то мне сообщают, что согласие на поездку генерала Дина с целью знакомства с положением американских военнопленных в Польше взято обратно. В Вашем последнем послании Вы сообщили мне, что нет нужды удовлетворять мою просьбу о разрешении американским самолетам доставлять грузы в Польшу и вывозить оттуда больных. Я располагаю сведениями, которые я считаю достоверными и надежными, что в госпиталях в Польше по-прежнему находится значительное число больных и раненых американцев, а также о том, что там находилось, наверняка несколько дней тому назад, и, возможно, все еще находится большое количество других освобожденных американских военнопленных, или сконцентрированных в советских сборных пунктах и ожидающих отправки в Одессу, или не установивших контакта с советскими властями и бродящих небольшими группами в поисках американских офицеров связи. Говоря со всей откровенностью, я не могу понять Вашего нежелания разрешить американским офицерам связи, имеющим необходимые средства, помочь их соотечественникам в этом деле. Американское Правительство делало все, чтобы удовлетворить любую Вашу просьбу. Сейчас я прошу Вас удовлетворить мою просьбу в этом особом деле. Пожалуйста, пригласите к себе Посла Гарримана, чтобы он смог подробно объяснить Вам все мои пожелания (7430).</w:t>
      </w:r>
    </w:p>
    <w:p w14:paraId="589298C6" w14:textId="77777777" w:rsidR="00665165" w:rsidRPr="00F90EAE" w:rsidRDefault="00665165" w:rsidP="00F90EAE">
      <w:pPr>
        <w:autoSpaceDE w:val="0"/>
        <w:autoSpaceDN w:val="0"/>
        <w:adjustRightInd w:val="0"/>
        <w:jc w:val="both"/>
        <w:rPr>
          <w:color w:val="000000" w:themeColor="text1"/>
          <w:sz w:val="16"/>
          <w:szCs w:val="16"/>
        </w:rPr>
      </w:pPr>
    </w:p>
    <w:p w14:paraId="0AFBB8A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5E88908" w14:textId="77777777" w:rsidR="00665165" w:rsidRPr="00F90EAE" w:rsidRDefault="00665165" w:rsidP="00F90EAE">
      <w:pPr>
        <w:autoSpaceDE w:val="0"/>
        <w:autoSpaceDN w:val="0"/>
        <w:adjustRightInd w:val="0"/>
        <w:jc w:val="both"/>
        <w:rPr>
          <w:iCs/>
          <w:color w:val="000000" w:themeColor="text1"/>
          <w:sz w:val="16"/>
          <w:szCs w:val="16"/>
        </w:rPr>
      </w:pPr>
    </w:p>
    <w:p w14:paraId="342C7F52" w14:textId="77777777" w:rsidR="00A8589E" w:rsidRPr="00F90EAE" w:rsidRDefault="00A8589E" w:rsidP="00F90EAE">
      <w:pPr>
        <w:jc w:val="both"/>
        <w:rPr>
          <w:color w:val="0070C0"/>
          <w:sz w:val="16"/>
          <w:szCs w:val="16"/>
        </w:rPr>
      </w:pPr>
      <w:r w:rsidRPr="00F90EAE">
        <w:rPr>
          <w:color w:val="0070C0"/>
          <w:sz w:val="16"/>
          <w:szCs w:val="16"/>
        </w:rPr>
        <w:t>18 марта 1945 - Первый полет палубного бомбардировщика XBT2D-1 Dauntless II на аэродроме ВМФ США в Калифорнии (22564).</w:t>
      </w:r>
    </w:p>
    <w:p w14:paraId="2A1D33AC" w14:textId="77777777" w:rsidR="00A8589E" w:rsidRPr="00F90EAE" w:rsidRDefault="00A8589E" w:rsidP="00F90EAE">
      <w:pPr>
        <w:jc w:val="both"/>
        <w:rPr>
          <w:color w:val="0070C0"/>
          <w:sz w:val="16"/>
          <w:szCs w:val="16"/>
        </w:rPr>
      </w:pPr>
    </w:p>
    <w:p w14:paraId="08352173" w14:textId="77777777" w:rsidR="00A8589E" w:rsidRPr="00F90EAE" w:rsidRDefault="00A8589E" w:rsidP="00F90EAE">
      <w:pPr>
        <w:jc w:val="both"/>
        <w:rPr>
          <w:color w:val="0070C0"/>
          <w:sz w:val="16"/>
          <w:szCs w:val="16"/>
        </w:rPr>
      </w:pPr>
      <w:r w:rsidRPr="00F90EAE">
        <w:rPr>
          <w:color w:val="0070C0"/>
          <w:sz w:val="16"/>
          <w:szCs w:val="16"/>
        </w:rPr>
        <w:t>18 марта 1945 первый полет Douglas XB2D-1, прототипа AD Skyraider (20371).</w:t>
      </w:r>
    </w:p>
    <w:p w14:paraId="7950E6C8" w14:textId="77777777" w:rsidR="00A8589E" w:rsidRPr="00F90EAE" w:rsidRDefault="00A8589E" w:rsidP="00F90EAE">
      <w:pPr>
        <w:jc w:val="both"/>
        <w:rPr>
          <w:color w:val="0070C0"/>
          <w:sz w:val="16"/>
          <w:szCs w:val="16"/>
        </w:rPr>
      </w:pPr>
    </w:p>
    <w:p w14:paraId="60620493" w14:textId="77777777" w:rsidR="00A8589E" w:rsidRPr="00F90EAE" w:rsidRDefault="00A8589E" w:rsidP="00F90EAE">
      <w:pPr>
        <w:jc w:val="both"/>
        <w:rPr>
          <w:color w:val="0070C0"/>
          <w:sz w:val="16"/>
          <w:szCs w:val="16"/>
        </w:rPr>
      </w:pPr>
      <w:r w:rsidRPr="00F90EAE">
        <w:rPr>
          <w:color w:val="0070C0"/>
          <w:sz w:val="16"/>
          <w:szCs w:val="16"/>
        </w:rPr>
        <w:t>18 марта 1945 - Шесть реактивных истребителей Люфтваффе "Me-262" вооруженных неуправляемыми ракетами "R4M" калибра 55 мм одним залпом с 400 метров сбили сразу 8 бомбардировщиков союзников "В-17". Первое применение ракет "R4M", класса воздух-воздух, в бою. "R4M" - твердотопливная ракета конструкции Курта Хебера, длина - 814 мм, масса - 4 кг, БЧ ракеты имела 520 г гексогена, теоретическая дальность полета - 2500 м, максимальная скорость полета - 540 м/с. Подвешивались по 12 штук на двух деревянных направляющих под плоскостями истребителя, все 24 ракеты выпускались залпом с интервалом 0.03 сек (22564).</w:t>
      </w:r>
    </w:p>
    <w:p w14:paraId="2B566787" w14:textId="77777777" w:rsidR="00A8589E" w:rsidRPr="00F90EAE" w:rsidRDefault="00A8589E" w:rsidP="00F90EAE">
      <w:pPr>
        <w:jc w:val="both"/>
        <w:rPr>
          <w:color w:val="0070C0"/>
          <w:sz w:val="16"/>
          <w:szCs w:val="16"/>
        </w:rPr>
      </w:pPr>
    </w:p>
    <w:p w14:paraId="74DDDCFB" w14:textId="77777777" w:rsidR="0049679F" w:rsidRPr="00F90EAE" w:rsidRDefault="0049679F" w:rsidP="00F90EAE">
      <w:pPr>
        <w:jc w:val="both"/>
        <w:rPr>
          <w:bCs/>
          <w:color w:val="000000" w:themeColor="text1"/>
          <w:sz w:val="16"/>
          <w:szCs w:val="16"/>
        </w:rPr>
      </w:pPr>
      <w:r w:rsidRPr="00F90EAE">
        <w:rPr>
          <w:color w:val="000000" w:themeColor="text1"/>
          <w:sz w:val="16"/>
          <w:szCs w:val="16"/>
        </w:rPr>
        <w:t>18 марта 1945 г. министр Альберт Шпеер подал Гитлеру записку, в которой просил в случае начала военных действий в Германии никого не наделять правом разрушать мосты, рудники, электростанции и т.п. Эта записка привела к обратному эффекту – 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7E738ABB" w14:textId="77777777" w:rsidR="0049679F" w:rsidRPr="00F90EAE" w:rsidRDefault="0049679F" w:rsidP="00F90EAE">
      <w:pPr>
        <w:jc w:val="both"/>
        <w:rPr>
          <w:bCs/>
          <w:color w:val="000000" w:themeColor="text1"/>
          <w:sz w:val="16"/>
          <w:szCs w:val="16"/>
        </w:rPr>
      </w:pPr>
    </w:p>
    <w:p w14:paraId="319E2A63" w14:textId="77777777" w:rsidR="00324FA8" w:rsidRPr="00F90EAE" w:rsidRDefault="00324FA8" w:rsidP="00F90EAE">
      <w:pPr>
        <w:jc w:val="both"/>
        <w:rPr>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в беседе с А.Шпеером Адольф Гитлер заявил: «Если война будет проиграна, то погибнет и народ. Эта судьба неотвратима. Поэтому не следует обращать внимание на то, что будут уничтожены материальные основы, которые в будущем могут обеспечить народу самое примитивное существование. Напротив, даже лучше самим уничтожить эти основы, ибо народ наш оказался слабым, и будущее будет принадлежать исключительно более сильному восточному народу. Кроме того, после борьбы останутся в живых лишь неполноценные люди, так как лучшие пали в борьбе» (15072).</w:t>
      </w:r>
    </w:p>
    <w:p w14:paraId="1BCCD496" w14:textId="77777777" w:rsidR="00324FA8" w:rsidRPr="00F90EAE" w:rsidRDefault="00324FA8" w:rsidP="00F90EAE">
      <w:pPr>
        <w:jc w:val="both"/>
        <w:rPr>
          <w:color w:val="000000" w:themeColor="text1"/>
          <w:sz w:val="16"/>
          <w:szCs w:val="16"/>
        </w:rPr>
      </w:pPr>
    </w:p>
    <w:p w14:paraId="1C042FF3" w14:textId="77777777" w:rsidR="00E31C44" w:rsidRPr="00F90EAE" w:rsidRDefault="00E31C44" w:rsidP="00F90EAE">
      <w:pPr>
        <w:jc w:val="both"/>
        <w:rPr>
          <w:color w:val="000000" w:themeColor="text1"/>
          <w:sz w:val="16"/>
          <w:szCs w:val="16"/>
        </w:rPr>
      </w:pPr>
      <w:r w:rsidRPr="00F90EAE">
        <w:rPr>
          <w:color w:val="000000" w:themeColor="text1"/>
          <w:sz w:val="16"/>
          <w:szCs w:val="16"/>
        </w:rPr>
        <w:t>19 марта</w:t>
      </w:r>
      <w:r w:rsidRPr="00F90EAE">
        <w:rPr>
          <w:bCs/>
          <w:color w:val="000000" w:themeColor="text1"/>
          <w:sz w:val="16"/>
          <w:szCs w:val="16"/>
        </w:rPr>
        <w:t xml:space="preserve"> 1945 группа сотрудников УСС, разбившись на двойки и тройки, на разных поездах направилась из Берна в Аскону. Вольф и сопровождающие его лица прибыли из Лугано вскоре после одиннадцати (17459).</w:t>
      </w:r>
    </w:p>
    <w:p w14:paraId="67B02C41" w14:textId="77777777" w:rsidR="00E31C44" w:rsidRPr="00F90EAE" w:rsidRDefault="00E31C44" w:rsidP="00F90EAE">
      <w:pPr>
        <w:jc w:val="both"/>
        <w:rPr>
          <w:color w:val="000000" w:themeColor="text1"/>
          <w:sz w:val="16"/>
          <w:szCs w:val="16"/>
        </w:rPr>
      </w:pPr>
    </w:p>
    <w:p w14:paraId="6C9EB58B" w14:textId="77777777" w:rsidR="00324FA8" w:rsidRPr="00F90EAE" w:rsidRDefault="00324FA8" w:rsidP="00F90EAE">
      <w:pPr>
        <w:jc w:val="both"/>
        <w:rPr>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(18-21 марта) американское соединение «Task Force-38» проводит рейд на острова Кюсю и Хонсю. В результате контратак японских бомбардировщиков и камикадзе повреждены 5 торпедоносцев. Первое применение японцами управляемой человеком бомбы оказывается неудачным (15072).</w:t>
      </w:r>
    </w:p>
    <w:p w14:paraId="1FA77FF9" w14:textId="77777777" w:rsidR="00324FA8" w:rsidRPr="00F90EAE" w:rsidRDefault="00324FA8" w:rsidP="00F90EAE">
      <w:pPr>
        <w:jc w:val="both"/>
        <w:rPr>
          <w:color w:val="000000" w:themeColor="text1"/>
          <w:sz w:val="16"/>
          <w:szCs w:val="16"/>
        </w:rPr>
      </w:pPr>
    </w:p>
    <w:p w14:paraId="4227A1F0" w14:textId="77777777" w:rsidR="00A8589E" w:rsidRPr="00F90EAE" w:rsidRDefault="00A8589E" w:rsidP="00F90EAE">
      <w:pPr>
        <w:jc w:val="both"/>
        <w:rPr>
          <w:color w:val="0070C0"/>
          <w:sz w:val="16"/>
          <w:szCs w:val="16"/>
        </w:rPr>
      </w:pPr>
      <w:r w:rsidRPr="00F90EAE">
        <w:rPr>
          <w:color w:val="0070C0"/>
          <w:sz w:val="16"/>
          <w:szCs w:val="16"/>
        </w:rPr>
        <w:t>18 марта 1945 авианосец ВМС США Task Force 58 на носит удар по Кюсю (20371).</w:t>
      </w:r>
    </w:p>
    <w:p w14:paraId="057C56B9" w14:textId="77777777" w:rsidR="00A8589E" w:rsidRPr="00F90EAE" w:rsidRDefault="00A8589E" w:rsidP="00F90EAE">
      <w:pPr>
        <w:jc w:val="both"/>
        <w:rPr>
          <w:color w:val="0070C0"/>
          <w:sz w:val="16"/>
          <w:szCs w:val="16"/>
        </w:rPr>
      </w:pPr>
    </w:p>
    <w:p w14:paraId="77E52B47" w14:textId="77777777" w:rsidR="00324FA8" w:rsidRPr="00F90EAE" w:rsidRDefault="00324FA8" w:rsidP="00F90EAE">
      <w:pPr>
        <w:jc w:val="both"/>
        <w:rPr>
          <w:color w:val="000000" w:themeColor="text1"/>
          <w:sz w:val="16"/>
          <w:szCs w:val="16"/>
        </w:rPr>
      </w:pPr>
      <w:r w:rsidRPr="00F90EAE">
        <w:rPr>
          <w:bCs/>
          <w:color w:val="000000" w:themeColor="text1"/>
          <w:sz w:val="16"/>
          <w:szCs w:val="16"/>
        </w:rPr>
        <w:t xml:space="preserve">18 марта </w:t>
      </w:r>
      <w:r w:rsidRPr="00F90EAE">
        <w:rPr>
          <w:color w:val="000000" w:themeColor="text1"/>
          <w:sz w:val="16"/>
          <w:szCs w:val="16"/>
        </w:rPr>
        <w:t>в 1945 году правительство Японии закрывает школы, призывая на военную службу всех детей старше шести лет (15072).</w:t>
      </w:r>
    </w:p>
    <w:p w14:paraId="2DBA28FF" w14:textId="77777777" w:rsidR="00324FA8" w:rsidRPr="00F90EAE" w:rsidRDefault="00324FA8" w:rsidP="00F90EAE">
      <w:pPr>
        <w:jc w:val="both"/>
        <w:rPr>
          <w:color w:val="000000" w:themeColor="text1"/>
          <w:sz w:val="16"/>
          <w:szCs w:val="16"/>
        </w:rPr>
      </w:pPr>
    </w:p>
    <w:p w14:paraId="59C38F2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марта 1945 правительство Японии закрыло школы, призвав на военную службу всех детей старше шести лет (4962).</w:t>
      </w:r>
    </w:p>
    <w:p w14:paraId="3E58E20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2E40C3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18 March - 21 June 1945 The Okinawa Campaign 1945 The last, and for naval forces the most violent of the major amphibious campaigns of World War II, was supported by three separately operating carrier forces, by tender-based patrol squadrons, by Marine and Army air units based in the immediate area and by Army and Navy air units based in other areas. On 28 May a change in overall command from the Fifth Fleet (Admiral R. A. Spruance) to the Third Fleet (Admiral W. F. Hasley) took place, which changed all task number designations from the 50's to the 30's. (In this account, first designations are used throughout.) The fast carriers of Task Force 58 (Vice Admiral M. A. Mitscher) began the attack. With an original strength of 10 heavy and six light carriers, this force launched neutralization strikes on Kyushu, Japan (18-22 Mar), destroying 482 enemy aircraft by air attack and another 46 by ship's gunfire and began pre-assault strikes on Okinawa (23 Mar). During these preliminaries, Kamikaze pilots, employing conventional aircraft, bombs, and Baka flying bombs (first observed on 21 Mar) retaliated with attacks which seriously damaged the carrier Franklin and scored hits on four others (1090). For the next 3 months the fast carrier force operated continuously in a 60-mile-square area northeast of Okinawa and within 350 miles of Japan, from which position it neutralized Amami Gunto airfields, furnished close air support for ground operations, intercepted enemy air raids, and on occasion moved northward to hit airfields on Kyushu. Task Group 52.1 (Rear Admiral C. T. Durgin), originally 18 escort carriers strong, conducted pre-assault strikes and supported the occupation of Kerama Retto (25-26 Mar), joined in the pre-assault strikes on Okinawa (27-29 Mar) and, from a fairly restricted operating area southeast of the island, supported the landings and flew daily close support for operations ashore until the island was secure (21 June). The arrival in May of two CVE's with Marine Carrier Air Groups on board marked the combat debut in Marine Air Support carriers. Task Force 57 (Vice Admiral H. B. Rawlings, RN), a British task force built around four carriers, operated south of Okinawa (26 Mar-20 Apr and 3-25 of May), from which position it neutralized airfields on Sakishima Gunto and Formosa, and intercepted air raids headed for the assault area. Subject to frequent suicide attacks, all four carriers took hits in the course of their action, but all remained operational. Patrol squadrons of Fleet Air Wing 1, based on seaplane tenders at Kerama Retto, conducted long-range antishipping search over the East China Sea to protect assault forces from enemy surface force interference, flew antisubmarine patrols in the immediate area, and provided air-sea rescue services for carrier operations from D minus 1 day to the end of the campaign. Army and Marine Corps troops landed on the western shores (1 Apr) against light opposition, established a firm beachhead, and captured Yontan airfield the same day. Supporting shore based air moved in behind the landings led by the OY-1 spotting planes (3 Apr). As </w:t>
      </w:r>
      <w:r w:rsidRPr="00F90EAE">
        <w:rPr>
          <w:color w:val="000000" w:themeColor="text1"/>
          <w:sz w:val="16"/>
          <w:szCs w:val="16"/>
          <w:lang w:val="en-US"/>
        </w:rPr>
        <w:lastRenderedPageBreak/>
        <w:t>Ground opposition stiffened, Marine Corps elements of the Tactical Air Force began local air defense patrols (7 Apr) and shortly started their close air support mission. A Navy landplane patrol squadron joined forces ashore (22 Apr) and extended the range of seaplane search operations, and an Army fighter squadron began operations from Ie Shima (13 May). Strong Japanese air opposition developed (6 Apr) in the first of a series of mass suicide attacks involving some 400 aircraft. In seven mass raids, interspersed with smaller scattered ones, during the critical period (6 Apr-28 May), the Japanese expended some 1,500 aircraft, principally against naval forces supporting the campaign. In the 3 month's struggle against the humanly guided missiles of the Kamikaze force, the U.S. Navy took the heaviest punishment in its history. Although Task Force 58 lost no ship during the campaign, eight heavy and one light carriers were hit: Enterprise, Intrepid, Yorktown (18 Mar), Franklin, Wasp (19 Mar), San Jacinto (6 Apr), Hancock (7 Apr) Enterprise, Essex (11 Apr) Intrepid (16 Apr) Bunker Hill (11 May), and the Enterprise (14 May). Three escort carriers of Task Force 52, Wake Island (3 Apr), Sangamon (4 May), and Natoma Bay (6 June), were hit. Opposition from Japanese naval forces was brief and ineffective. A task force of one light cruiser, eight destroyers, and Yamato, the world's largest battleship, made what was to be the last sortie of the Japanese Navy and was decisively beaten by carrier aircraft in the Battle of the East China Sea (7 Apr), in which only four Japanese destroyers survived. Carrier air support was on a larger and more extensive scale than any previous amphibious campaign. Fast and escort carrier planes flew over 40,000 action sorties, destroyed 2,516 enemy aircraft, and blasted enemy positions with 8,500 tons of bombs and 50,000 rockets. Marine Corps squadrons ashore destroyed another 506 Japanese aircraft and expended 1,800 tons of bombs and 15,865 rockets on close air support missions. Task Force 58's time on the line (18 Mar-10 June) was surpassed by the escort carriers (24 Mar-21 June), but of several records for continuous operations in an active combat area that were marked up by the carriers during the campaign, the most outstanding was logged by the Essex with 79 consecutive days (1090).</w:t>
      </w:r>
    </w:p>
    <w:p w14:paraId="31B5ACD7" w14:textId="77777777" w:rsidR="00665165" w:rsidRPr="00F90EAE" w:rsidRDefault="00665165" w:rsidP="00F90EAE">
      <w:pPr>
        <w:autoSpaceDE w:val="0"/>
        <w:autoSpaceDN w:val="0"/>
        <w:adjustRightInd w:val="0"/>
        <w:jc w:val="both"/>
        <w:rPr>
          <w:color w:val="000000" w:themeColor="text1"/>
          <w:sz w:val="16"/>
          <w:szCs w:val="16"/>
          <w:lang w:val="en-US"/>
        </w:rPr>
      </w:pPr>
    </w:p>
    <w:p w14:paraId="21B48E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18 марта по 21 июня 1945 были бои за Окинаву (1090).</w:t>
      </w:r>
    </w:p>
    <w:p w14:paraId="26CD4D8E" w14:textId="77777777" w:rsidR="00665165" w:rsidRPr="00F90EAE" w:rsidRDefault="00665165" w:rsidP="00F90EAE">
      <w:pPr>
        <w:autoSpaceDE w:val="0"/>
        <w:autoSpaceDN w:val="0"/>
        <w:adjustRightInd w:val="0"/>
        <w:jc w:val="both"/>
        <w:rPr>
          <w:color w:val="000000" w:themeColor="text1"/>
          <w:sz w:val="16"/>
          <w:szCs w:val="16"/>
        </w:rPr>
      </w:pPr>
    </w:p>
    <w:p w14:paraId="2D24F90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E7192F2" w14:textId="77777777" w:rsidR="00665165" w:rsidRPr="00F90EAE" w:rsidRDefault="00665165" w:rsidP="00F90EAE">
      <w:pPr>
        <w:autoSpaceDE w:val="0"/>
        <w:autoSpaceDN w:val="0"/>
        <w:adjustRightInd w:val="0"/>
        <w:jc w:val="both"/>
        <w:rPr>
          <w:iCs/>
          <w:color w:val="000000" w:themeColor="text1"/>
          <w:sz w:val="16"/>
          <w:szCs w:val="16"/>
        </w:rPr>
      </w:pPr>
    </w:p>
    <w:p w14:paraId="661F4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19 по 23 марта 1945 состоялись специальные испытания серийного Ла-7 N 38102158 с улучшенной герметизацией вентиляции кабины. Вед. и В.П.Алексеенко, вед. л Д.Г.Тикуленко. 10 полетов, 5 час. 34 мин. Проблема в том, что летчики угорали (740,1).</w:t>
      </w:r>
    </w:p>
    <w:p w14:paraId="596F2D5E" w14:textId="77777777" w:rsidR="00665165" w:rsidRPr="00F90EAE" w:rsidRDefault="00665165" w:rsidP="00F90EAE">
      <w:pPr>
        <w:autoSpaceDE w:val="0"/>
        <w:autoSpaceDN w:val="0"/>
        <w:adjustRightInd w:val="0"/>
        <w:jc w:val="both"/>
        <w:rPr>
          <w:color w:val="000000" w:themeColor="text1"/>
          <w:sz w:val="16"/>
          <w:szCs w:val="16"/>
        </w:rPr>
      </w:pPr>
    </w:p>
    <w:p w14:paraId="192C65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закончились контрольные испытания трофейного облегченного ФВ-190 А-8 N 580967 c BMW-801, которые проводились с 11 марта 1945 (747,4).</w:t>
      </w:r>
    </w:p>
    <w:p w14:paraId="575151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65B1B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Рабкин</w:t>
      </w:r>
    </w:p>
    <w:p w14:paraId="6DF48F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п/п В.И.Хомяков</w:t>
      </w:r>
    </w:p>
    <w:p w14:paraId="5A1F44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Рабкин</w:t>
      </w:r>
    </w:p>
    <w:p w14:paraId="7C8278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рез-та предварительных испытаний</w:t>
      </w:r>
    </w:p>
    <w:p w14:paraId="3448F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6DD77A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времчя войны немцы произвели несколько модификаций с-та ФВ-190 с мотором возд. Охлаждения БМВ-801</w:t>
      </w:r>
    </w:p>
    <w:p w14:paraId="7E7CE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а) истребительный вариант - </w:t>
      </w:r>
      <w:r w:rsidRPr="00F90EAE">
        <w:rPr>
          <w:color w:val="000000" w:themeColor="text1"/>
          <w:sz w:val="16"/>
          <w:szCs w:val="16"/>
          <w:lang w:val="en-US"/>
        </w:rPr>
        <w:t>Jager</w:t>
      </w:r>
      <w:r w:rsidRPr="00F90EAE">
        <w:rPr>
          <w:color w:val="000000" w:themeColor="text1"/>
          <w:sz w:val="16"/>
          <w:szCs w:val="16"/>
        </w:rPr>
        <w:t xml:space="preserve"> - ФВ-190А-1, А-2, А-3, А-4, А-6, А-7, А-8, А-9</w:t>
      </w:r>
    </w:p>
    <w:p w14:paraId="18C7CE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б) штурмовой вариант - </w:t>
      </w:r>
      <w:r w:rsidRPr="00F90EAE">
        <w:rPr>
          <w:color w:val="000000" w:themeColor="text1"/>
          <w:sz w:val="16"/>
          <w:szCs w:val="16"/>
          <w:lang w:val="en-US"/>
        </w:rPr>
        <w:t>Schlachtsjager</w:t>
      </w:r>
      <w:r w:rsidRPr="00F90EAE">
        <w:rPr>
          <w:color w:val="000000" w:themeColor="text1"/>
          <w:sz w:val="16"/>
          <w:szCs w:val="16"/>
        </w:rPr>
        <w:t xml:space="preserve"> - ФВ </w:t>
      </w:r>
      <w:r w:rsidRPr="00F90EAE">
        <w:rPr>
          <w:color w:val="000000" w:themeColor="text1"/>
          <w:sz w:val="16"/>
          <w:szCs w:val="16"/>
          <w:lang w:val="en-US"/>
        </w:rPr>
        <w:t>F</w:t>
      </w:r>
      <w:r w:rsidRPr="00F90EAE">
        <w:rPr>
          <w:color w:val="000000" w:themeColor="text1"/>
          <w:sz w:val="16"/>
          <w:szCs w:val="16"/>
        </w:rPr>
        <w:t xml:space="preserve">-1, </w:t>
      </w:r>
      <w:r w:rsidRPr="00F90EAE">
        <w:rPr>
          <w:color w:val="000000" w:themeColor="text1"/>
          <w:sz w:val="16"/>
          <w:szCs w:val="16"/>
          <w:lang w:val="en-US"/>
        </w:rPr>
        <w:t>F</w:t>
      </w:r>
      <w:r w:rsidRPr="00F90EAE">
        <w:rPr>
          <w:color w:val="000000" w:themeColor="text1"/>
          <w:sz w:val="16"/>
          <w:szCs w:val="16"/>
        </w:rPr>
        <w:t xml:space="preserve">-2, </w:t>
      </w:r>
      <w:r w:rsidRPr="00F90EAE">
        <w:rPr>
          <w:color w:val="000000" w:themeColor="text1"/>
          <w:sz w:val="16"/>
          <w:szCs w:val="16"/>
          <w:lang w:val="en-US"/>
        </w:rPr>
        <w:t>F</w:t>
      </w:r>
      <w:r w:rsidRPr="00F90EAE">
        <w:rPr>
          <w:color w:val="000000" w:themeColor="text1"/>
          <w:sz w:val="16"/>
          <w:szCs w:val="16"/>
        </w:rPr>
        <w:t xml:space="preserve">-3, </w:t>
      </w:r>
      <w:r w:rsidRPr="00F90EAE">
        <w:rPr>
          <w:color w:val="000000" w:themeColor="text1"/>
          <w:sz w:val="16"/>
          <w:szCs w:val="16"/>
          <w:lang w:val="en-US"/>
        </w:rPr>
        <w:t>F</w:t>
      </w:r>
      <w:r w:rsidRPr="00F90EAE">
        <w:rPr>
          <w:color w:val="000000" w:themeColor="text1"/>
          <w:sz w:val="16"/>
          <w:szCs w:val="16"/>
        </w:rPr>
        <w:t xml:space="preserve">-8, </w:t>
      </w:r>
      <w:r w:rsidRPr="00F90EAE">
        <w:rPr>
          <w:color w:val="000000" w:themeColor="text1"/>
          <w:sz w:val="16"/>
          <w:szCs w:val="16"/>
          <w:lang w:val="en-US"/>
        </w:rPr>
        <w:t>F</w:t>
      </w:r>
      <w:r w:rsidRPr="00F90EAE">
        <w:rPr>
          <w:color w:val="000000" w:themeColor="text1"/>
          <w:sz w:val="16"/>
          <w:szCs w:val="16"/>
        </w:rPr>
        <w:t xml:space="preserve">-9, </w:t>
      </w:r>
      <w:r w:rsidRPr="00F90EAE">
        <w:rPr>
          <w:color w:val="000000" w:themeColor="text1"/>
          <w:sz w:val="16"/>
          <w:szCs w:val="16"/>
          <w:lang w:val="en-US"/>
        </w:rPr>
        <w:t>A</w:t>
      </w:r>
      <w:r w:rsidRPr="00F90EAE">
        <w:rPr>
          <w:color w:val="000000" w:themeColor="text1"/>
          <w:sz w:val="16"/>
          <w:szCs w:val="16"/>
        </w:rPr>
        <w:t>-5</w:t>
      </w:r>
    </w:p>
    <w:p w14:paraId="4457D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дальний истребительно-бомбардировочный вариант - </w:t>
      </w:r>
      <w:r w:rsidRPr="00F90EAE">
        <w:rPr>
          <w:color w:val="000000" w:themeColor="text1"/>
          <w:sz w:val="16"/>
          <w:szCs w:val="16"/>
          <w:lang w:val="en-US"/>
        </w:rPr>
        <w:t>Jaborei</w:t>
      </w:r>
      <w:r w:rsidRPr="00F90EAE">
        <w:rPr>
          <w:color w:val="000000" w:themeColor="text1"/>
          <w:sz w:val="16"/>
          <w:szCs w:val="16"/>
        </w:rPr>
        <w:t xml:space="preserve"> - ФВ-190</w:t>
      </w:r>
      <w:r w:rsidRPr="00F90EAE">
        <w:rPr>
          <w:color w:val="000000" w:themeColor="text1"/>
          <w:sz w:val="16"/>
          <w:szCs w:val="16"/>
          <w:lang w:val="en-US"/>
        </w:rPr>
        <w:t>G</w:t>
      </w:r>
      <w:r w:rsidRPr="00F90EAE">
        <w:rPr>
          <w:color w:val="000000" w:themeColor="text1"/>
          <w:sz w:val="16"/>
          <w:szCs w:val="16"/>
        </w:rPr>
        <w:t xml:space="preserve">-1, </w:t>
      </w:r>
      <w:r w:rsidRPr="00F90EAE">
        <w:rPr>
          <w:color w:val="000000" w:themeColor="text1"/>
          <w:sz w:val="16"/>
          <w:szCs w:val="16"/>
          <w:lang w:val="en-US"/>
        </w:rPr>
        <w:t>G</w:t>
      </w:r>
      <w:r w:rsidRPr="00F90EAE">
        <w:rPr>
          <w:color w:val="000000" w:themeColor="text1"/>
          <w:sz w:val="16"/>
          <w:szCs w:val="16"/>
        </w:rPr>
        <w:t xml:space="preserve">-2, </w:t>
      </w:r>
      <w:r w:rsidRPr="00F90EAE">
        <w:rPr>
          <w:color w:val="000000" w:themeColor="text1"/>
          <w:sz w:val="16"/>
          <w:szCs w:val="16"/>
          <w:lang w:val="en-US"/>
        </w:rPr>
        <w:t>G</w:t>
      </w:r>
      <w:r w:rsidRPr="00F90EAE">
        <w:rPr>
          <w:color w:val="000000" w:themeColor="text1"/>
          <w:sz w:val="16"/>
          <w:szCs w:val="16"/>
        </w:rPr>
        <w:t xml:space="preserve">-3, </w:t>
      </w:r>
      <w:r w:rsidRPr="00F90EAE">
        <w:rPr>
          <w:color w:val="000000" w:themeColor="text1"/>
          <w:sz w:val="16"/>
          <w:szCs w:val="16"/>
          <w:lang w:val="en-US"/>
        </w:rPr>
        <w:t>G</w:t>
      </w:r>
      <w:r w:rsidRPr="00F90EAE">
        <w:rPr>
          <w:color w:val="000000" w:themeColor="text1"/>
          <w:sz w:val="16"/>
          <w:szCs w:val="16"/>
        </w:rPr>
        <w:t xml:space="preserve">-8, </w:t>
      </w:r>
      <w:r w:rsidRPr="00F90EAE">
        <w:rPr>
          <w:color w:val="000000" w:themeColor="text1"/>
          <w:sz w:val="16"/>
          <w:szCs w:val="16"/>
          <w:lang w:val="en-US"/>
        </w:rPr>
        <w:t>G</w:t>
      </w:r>
      <w:r w:rsidRPr="00F90EAE">
        <w:rPr>
          <w:color w:val="000000" w:themeColor="text1"/>
          <w:sz w:val="16"/>
          <w:szCs w:val="16"/>
        </w:rPr>
        <w:t>-9</w:t>
      </w:r>
    </w:p>
    <w:p w14:paraId="7893E7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последнее время немцы используют для штурмовки наземных войск и объектов с-ты ФВ-190 всех модификаций.</w:t>
      </w:r>
    </w:p>
    <w:p w14:paraId="5D2111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ГК НИИ ВВС КА проходили испытания с-ты ФВ-190А-4 в июле 1943, ФВ-190А-5 в сентябре 1943 и ФВ 190А-8 в декабре 1944.</w:t>
      </w:r>
    </w:p>
    <w:p w14:paraId="58BA1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Цель испытаний - определить ЛТД</w:t>
      </w:r>
    </w:p>
    <w:p w14:paraId="75C2BC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4ACBB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054187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3E05D2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Вооружени с-та изменено за счет снятия 2=х крыльевых пушек МК-108А-3 калибра 30 мм и б/припасов к ним.</w:t>
      </w:r>
    </w:p>
    <w:p w14:paraId="005DA8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Сняты две бронеплиты под патронными ящиками крыльевых пушек.</w:t>
      </w:r>
    </w:p>
    <w:p w14:paraId="241F8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Уменьшен запас горючего с 642 л до 524 л за счет снятия дополнительного фюзеляжного бака емкостью 118 л</w:t>
      </w:r>
    </w:p>
    <w:p w14:paraId="6873B6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5) Установлен винт </w:t>
      </w:r>
      <w:r w:rsidRPr="00F90EAE">
        <w:rPr>
          <w:color w:val="000000" w:themeColor="text1"/>
          <w:sz w:val="16"/>
          <w:szCs w:val="16"/>
          <w:lang w:val="en-US"/>
        </w:rPr>
        <w:t>VDM</w:t>
      </w:r>
      <w:r w:rsidRPr="00F90EAE">
        <w:rPr>
          <w:color w:val="000000" w:themeColor="text1"/>
          <w:sz w:val="16"/>
          <w:szCs w:val="16"/>
        </w:rPr>
        <w:t xml:space="preserve"> Д-3,3, не имеет на комлевых частях лопастей симмертричных грузов - противовесов.</w:t>
      </w:r>
    </w:p>
    <w:p w14:paraId="3A396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484796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3111, полетный - 3986</w:t>
      </w:r>
    </w:p>
    <w:p w14:paraId="7D749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p w14:paraId="7DA55F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с парашютом - 90</w:t>
      </w:r>
    </w:p>
    <w:p w14:paraId="4C411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уд. Вес 0,75) - на 524 л - 393 кг</w:t>
      </w:r>
    </w:p>
    <w:p w14:paraId="78555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- 49</w:t>
      </w:r>
    </w:p>
    <w:p w14:paraId="7CF151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Стрелково-пушечное вооружение - 127,5 (2хМГ-151 - 84 + 2хМГ-131 - 43,5)</w:t>
      </w:r>
    </w:p>
    <w:p w14:paraId="50CB6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 182 кг</w:t>
      </w:r>
    </w:p>
    <w:p w14:paraId="261F9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- 33,5</w:t>
      </w:r>
    </w:p>
    <w:p w14:paraId="250882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875</w:t>
      </w:r>
    </w:p>
    <w:p w14:paraId="528FF7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Макс. Скорость у земли - 522 при 1,35 (995-998) и 2450</w:t>
      </w:r>
    </w:p>
    <w:p w14:paraId="7819A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1400 - 555, на 2 гр. 6150 - 614</w:t>
      </w:r>
    </w:p>
    <w:p w14:paraId="0B0A1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 Скорость у земли на форсаже - 542 при 1,42 (1045) и 2700</w:t>
      </w:r>
    </w:p>
    <w:p w14:paraId="1D2103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1250 - 569, на 2 гр. 6500 - 642</w:t>
      </w:r>
    </w:p>
    <w:p w14:paraId="16804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включенной кнопкой - 582 при 1,65 (1215) на 2700</w:t>
      </w:r>
    </w:p>
    <w:p w14:paraId="51B01D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5000 - 6,1 и 5,4 при форсаже</w:t>
      </w:r>
    </w:p>
    <w:p w14:paraId="6C6035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1000 м 21-22</w:t>
      </w:r>
    </w:p>
    <w:p w14:paraId="41E456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 боевой работы - 1100 - 1200</w:t>
      </w:r>
    </w:p>
    <w:p w14:paraId="6FCC3A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управлении самолет тяжелый (по-прежнему)</w:t>
      </w:r>
    </w:p>
    <w:p w14:paraId="08E35A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Устойчивость в продольном отношении улучшена за счет смещения вперед цт</w:t>
      </w:r>
    </w:p>
    <w:p w14:paraId="1515C1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7E9F6D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маневренности в гор. и верт. плоскостях с-т уступает всем отечественным истребителям с высоты 250-500 м.</w:t>
      </w:r>
    </w:p>
    <w:p w14:paraId="454519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Хомяков</w:t>
      </w:r>
    </w:p>
    <w:p w14:paraId="06E213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A0C5F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37B961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23 марта 1945 (747,4).</w:t>
      </w:r>
    </w:p>
    <w:p w14:paraId="5DE36867" w14:textId="77777777" w:rsidR="00665165" w:rsidRPr="00F90EAE" w:rsidRDefault="00665165" w:rsidP="00F90EAE">
      <w:pPr>
        <w:autoSpaceDE w:val="0"/>
        <w:autoSpaceDN w:val="0"/>
        <w:adjustRightInd w:val="0"/>
        <w:jc w:val="both"/>
        <w:rPr>
          <w:color w:val="000000" w:themeColor="text1"/>
          <w:sz w:val="16"/>
          <w:szCs w:val="16"/>
        </w:rPr>
      </w:pPr>
    </w:p>
    <w:p w14:paraId="78292E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вышло постановление Правительства об организации в рамках НКБ ГЦКБ-1 по РС как конкурента филиала 1 НИИ-1 (2393,24).</w:t>
      </w:r>
    </w:p>
    <w:p w14:paraId="5EE8F036" w14:textId="77777777" w:rsidR="00665165" w:rsidRPr="00F90EAE" w:rsidRDefault="00665165" w:rsidP="00F90EAE">
      <w:pPr>
        <w:autoSpaceDE w:val="0"/>
        <w:autoSpaceDN w:val="0"/>
        <w:adjustRightInd w:val="0"/>
        <w:jc w:val="both"/>
        <w:rPr>
          <w:color w:val="000000" w:themeColor="text1"/>
          <w:sz w:val="16"/>
          <w:szCs w:val="16"/>
        </w:rPr>
      </w:pPr>
    </w:p>
    <w:p w14:paraId="29542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создано Государственное ЦКБ № 1 для создания пороховых РС. В последние годы ВОВ в его состав вошло КБ-2 вместе с основными работниками: Е.А. Печерский, З.Ю. Бродский, М.А. Ляпунов. С 1.04.1947 г. ГЦКБ № 1 преобразовано в НИИ-1 МСХМ. В 1947-51 г.- в подчинении МСХМ.</w:t>
      </w:r>
    </w:p>
    <w:p w14:paraId="1C1E5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1951 г., после преобразования КБ-2 МСХМ, тематику по НУРС вместе с сотрудниками передали в НИИ-1, где образовался отдел под руководством Э.Н. Кашерининова (перешедшего из НИИ-2 МСХМ) для работ по УРВВ. </w:t>
      </w:r>
    </w:p>
    <w:p w14:paraId="52150D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1952-53 г.- в подчинении ММ, с 1954 г. НИИ-1 – в ведении 6ГУ МОП,А-1/00 в 1959 г.- в ГКОТ. С 1967 г.- МИТ. В 1990 г. МИТ- в ведении МОП. В 1991 г. на базе МИТ образовался НТЦ "Комплекс". По Указу Президента РФ № 1009 от 4.08.2004 г. ФГУП МИТ вошел в число стратегических оборонных предприятий.</w:t>
      </w:r>
    </w:p>
    <w:p w14:paraId="0CB354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Разработка АРС-212 (тема О-21, шифр «Овод»; ведущий инженер Е.Н. Сухов) велась в соответствии с постановлением СМ СССР № 5119-2226 от 15.12.1951 г. и приказом МАП № 1264 от 26.12.1951 г. АРС-212 пнв как С-21 с электровзрывателем В-21 в 1953 г. Разработан АРС-140-150 (1953 г.), на вооружение не принят. А- 1/00 </w:t>
      </w:r>
    </w:p>
    <w:p w14:paraId="56C21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144-85 от 4.02.1956 г. началась разработка МД-24Ф. Приказом МО № 0071 от 20.06.1962 г. он принят на вооружение вместе с химическим вариантом МС-24УД.</w:t>
      </w:r>
    </w:p>
    <w:p w14:paraId="6E8365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АРС-160 «Пика» и АРС-280 «Буран» (на его базе создан и принят на вооружение (1960 г.) С-24 с механическим взрывателем В-24А) в соответствии с постановлением СМ СССР № 2469-1022 от 19.09.1953 г.</w:t>
      </w:r>
    </w:p>
    <w:p w14:paraId="41E66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13.10.1960 г. вышло постановление СМ СССР о создании корабельного ракетного противолодочного комплекса «Вихрь».</w:t>
      </w:r>
    </w:p>
    <w:p w14:paraId="3E9A73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на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Р-30 «Булава».</w:t>
      </w:r>
    </w:p>
    <w:p w14:paraId="46497D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 (середина 1950-х г.)- С.Я. Бодров (до этого- начальник ГУ по взрывателям в НКБ и директор взрывательного завода). Директор (1961-87 г.)- А.Д. Надирадзе, (1987-93 г.-)- Б.Н. Лагутин, (-1993-2005 г.-)- Ю.С. Соломонов. </w:t>
      </w:r>
    </w:p>
    <w:p w14:paraId="0C53E3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конструктор (1961-87 г.)- А.Д. Надирадзе. Ген. Конструктор (1987-93 г.-)- Б.Н. Лагутин, (-1993-2005 г.-)- Ю.С. Соломонов. </w:t>
      </w:r>
    </w:p>
    <w:p w14:paraId="094C13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1-й зам. Директора (2002 г.)- А.А. Дорофеев. </w:t>
      </w:r>
    </w:p>
    <w:p w14:paraId="468E1E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1-й зам. Ген. Конструктора (2002 г.)- А.А. Дорофеев. Зам. ген. конструктора (1990-е)- Л. Соломонов.63 </w:t>
      </w:r>
    </w:p>
    <w:p w14:paraId="5542B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совета директоров «НТЦ «Комплекс-МИТ» (2002 г.)- Б.Н. Лагутин.</w:t>
      </w:r>
    </w:p>
    <w:p w14:paraId="7A9670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Председателя совета директоров (2002 г.)- Ю.С. Соломонов.</w:t>
      </w:r>
    </w:p>
    <w:p w14:paraId="7870C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Работали: А. Лифшиц (БМ-14), Громов (1951 г.), Н. Жуков (БМД-20Ф), Н. Горбачев (БМ-24), Соркин, Победоносцев, М.В. Орлов (перешедший из НИИ-642, в начале 1960-х был начальником СКБ-1 института), З. Бродский (С-3К), Н. Лобанов (С-21), М. Ляпунов (С-24); (1971 г.-)- Ю.С. Соломонов. </w:t>
      </w:r>
    </w:p>
    <w:p w14:paraId="1AD4E8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НИИ-1 МОП работала (независимо) группа под руководством гл. конструктора Н.П. Мазурова (ОТРК «Нептун», «Марс», «Филин», «Луна»; ПКР «Вихрь», «Ливень», «Медведка»).</w:t>
      </w:r>
    </w:p>
    <w:p w14:paraId="74F858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НУРС: ТРС-85, ТРС-122, ТРС "339", АРС-212-ОФ (С-21, пнв в 1953 г.), АРС-140-150; С-1, С-2, С-3 (пнв в 1950-х г., но серийно не строились); С-3К (пнв в 1961 г.); С-24 (пнв в середине 1960-х); РСЗО: БМ-14 (8У32, М-14ОФ, пнв в 1952 г.), БМ-14-17 (8У36, М-14ОФ, пнв в 1952 г.), БМД-20Ф (8У33, МД-20, пнв в 1952 г.), БМ-24 (М-24Ф, пнв в 1951 г., М-24ФУД, пнв в 1955 г., МД-24Ф, пнв в 1962 г.); ПТУР: «Кобра» (проект, 1957 г.); ПКР: «Вихрь» РПК-1 (82Р, пнв в 1968 г.), «Ливень» РПК-5 (89Р, пнв в 1980 г.), «Медведка» (опытная, 1980-е); МБР: «Темп», «Темп-2С» 15Ж42 (РС-14, пнв в 1976 г.); «Тополь» РТ-2ПМ (15Ж58, РС-12М, пнв в 1988 г.), конверсионная РН «Старт», «Тополь-М» РТ-2ПМ (РС-12М2, пнв в 1998 г.); «Курьер» (опытная, 1990 г.); БРСД: «Пионер» (15Ж45, РСД-10, пнв в 1976 г.), «Пионер УТТХ» (15Ж53, пнв в 1981 г.); ОТРК: «Нептун» (опытная, 1948 г.); «Марс» 2П2 (3Р1, пнв в 1958 г.), «Филин» 2П4 (3Р2, пнв в 1958 г.); «Луна» 2К6 (3Р9, 3Р10, пнв в 1961 г.), «Луна-М» 9К52 (9М21, пнв в 1967 г.); "Темп" (9М71, опытный, 1959), «Темп-С» 9К76 (ОТР-22, 9М76, пнв в 1965 г.).</w:t>
      </w:r>
    </w:p>
    <w:p w14:paraId="766C3F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ГЦКБ –1 МСХМ, НИИ-1 МСХМ, ММ, МОП, МОМ, ГКОТ, п/я-2227, Московский институт теплотехники (МИТ) ГКОТ, МОП, ФГУП «МИТ» РКА, ЗАО «НТЦ «Комплекс-МИТ»</w:t>
      </w:r>
    </w:p>
    <w:p w14:paraId="31C627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127276 г. Москва, Березовая аллея, 10/1 тел. 907-15-00 (10776).</w:t>
      </w:r>
    </w:p>
    <w:p w14:paraId="19DE67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ГП «НТЦ "Комплекс"»</w:t>
      </w:r>
    </w:p>
    <w:p w14:paraId="0442D6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127276 г. Москва Березовая аллея, 10/1 тел. 402-58-53</w:t>
      </w:r>
    </w:p>
    <w:p w14:paraId="132B2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Основан в 1991 г. на базе МИТ.</w:t>
      </w:r>
    </w:p>
    <w:p w14:paraId="79859C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Разработаны конверсионные транспортабельные РН «Старт».</w:t>
      </w:r>
    </w:p>
    <w:p w14:paraId="15C71E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Президент (2002 г.)- Б.Н. Лагутин.</w:t>
      </w:r>
    </w:p>
    <w:p w14:paraId="12EF0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(2002 г.)- Ю.С. Соломонов.</w:t>
      </w:r>
    </w:p>
    <w:p w14:paraId="76848A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(2002 г.)- В.И. Андрюшин (10776).</w:t>
      </w:r>
    </w:p>
    <w:p w14:paraId="55B33E58" w14:textId="77777777" w:rsidR="00665165" w:rsidRPr="00F90EAE" w:rsidRDefault="00665165" w:rsidP="00F90EAE">
      <w:pPr>
        <w:autoSpaceDE w:val="0"/>
        <w:autoSpaceDN w:val="0"/>
        <w:adjustRightInd w:val="0"/>
        <w:jc w:val="both"/>
        <w:rPr>
          <w:color w:val="000000" w:themeColor="text1"/>
          <w:sz w:val="16"/>
          <w:szCs w:val="16"/>
        </w:rPr>
      </w:pPr>
    </w:p>
    <w:p w14:paraId="586B9E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года вышло распоряжение СНК № 4445-р:</w:t>
      </w:r>
    </w:p>
    <w:p w14:paraId="33B1F044"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4C5B2FC1"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6143CA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года в соответствии с приказом МАП за № 139сс были значительно увеличены штаты, производственные площади и количество оборудования ОКБ-250 Добрынина, что позволило довести двигатель М-250 до 50 часового ресурса в первом полугодии 1946 года.</w:t>
      </w:r>
    </w:p>
    <w:p w14:paraId="00C79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решением СМ за № 2418-1025с от 3 ноября 1946 года ОКБ занималось с конца 1946 года созданием на базе двигателя М-250 более мощного двигателя М-251ТК. Работы по двигателю М-250 во втором полугодии 1946 года были прекращены.</w:t>
      </w:r>
    </w:p>
    <w:p w14:paraId="0355DB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двигатель имел максимальную мощность равную 3500 л.с. ………….</w:t>
      </w:r>
    </w:p>
    <w:p w14:paraId="0FC3E2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был построен и доведен в сравнительно короткие сроки.</w:t>
      </w:r>
    </w:p>
    <w:p w14:paraId="68C3A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декабре 1947 года были проведены совместные 100-часовые заводские испытания, а в октябре 1949 года – государственные 100-часовые стендовые испытания, после госиспытаний постановлением СМ № 356-122сс от 28 января 1949 года и приказом МАП № 99сс от 7 февраля 1949 года двигателю присвоен индекс ВД-3ТК.</w:t>
      </w:r>
    </w:p>
    <w:p w14:paraId="3490A7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ВД-3ТК успешно прошел летные испытания на самолете ТУ-4. Для обеспечения летных испытаний была изготовлена совместно с заводом № 36 малая серия двигателей в количестве 20 шт. (постановление СМ № 131-29сс от 10 января 1949 года и приказ МАП № 25сс от 13 января 1949 года).</w:t>
      </w:r>
    </w:p>
    <w:p w14:paraId="2C7FE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решением СМ № 3929-1608 от 16 сентября 1949 года ОКБ занималось с сентября 1949 года созданием на базе двигателя ВД-3ТК еще более мощного комбинированного двигателя М-253К для дальнего высотного бомбардировщика ТУ-85 конструкции гл. конструктора Туполева А.Н.</w:t>
      </w:r>
    </w:p>
    <w:p w14:paraId="40D40B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Первый образец двигателя был собран в январе 1950 года.</w:t>
      </w:r>
    </w:p>
    <w:p w14:paraId="21CFE3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феврале 1951 года двигатель прошел государственные 100 часовые стендовые испытания и был рекомендован для запуска в малую серию.</w:t>
      </w:r>
    </w:p>
    <w:p w14:paraId="3F4E09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госиспытаний двигателю М-253К был присвоен индекс ВД-4К.</w:t>
      </w:r>
    </w:p>
    <w:p w14:paraId="2FCCB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 доводкой двигателя на стенде производились испытания двигателя на летающей лаборатории и на самолете ТУ-85. В процессе летных испытаний самолет ТУ-85 с двигателями ВД-4К показал рекордные по тому времени дальность и высоту полета. Двигатели показали высокие эксплуатационные качества и надежность, обеспечили длительный беспосадочный полет продолжительностью 22 часа.</w:t>
      </w:r>
    </w:p>
    <w:p w14:paraId="5AE7D3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1549-542сс от 29 марта 1952 года и приказом МАП № 356сс/ОВ от 1 апреля 1952 года ОКБ с апреля 1952 года занималось созданием мощного турбореактивного двигателя ВД-5 для дальнего высотного бомбардировщика конструкции гл. конструктора Мясищева В.М.</w:t>
      </w:r>
    </w:p>
    <w:p w14:paraId="0AA12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период с марта 1952 года по июнь 1954 года была разработана конструкция двигателя, выпущены чертежи ………….. и проведена доводка его до наработки отдельных двигателей до 100 часов.</w:t>
      </w:r>
    </w:p>
    <w:p w14:paraId="63466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июне 1954 года работы по двигателю ВД-5 были прекращены в виду прекращения работ по самолету, для которого он проектировался.</w:t>
      </w:r>
    </w:p>
    <w:p w14:paraId="1F510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1954 года ОКБ занималось созданием следующих двигателей:</w:t>
      </w:r>
    </w:p>
    <w:p w14:paraId="02066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1428-642сс от 6 июля 1954 года и приказом МАП № 438 от 17 июля 1954 года ОКБ с июня 1954 года занималось созданием на базе двигателя ВД-5, нового турбореактивного двигателя ВД-7 для дальнего бомбардировщика конструкции Мясищева В.М.</w:t>
      </w:r>
    </w:p>
    <w:p w14:paraId="4AB2E7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1957 года двигатель прошел государственные 100-часовые стендовые испытания (акт комиссии от 22 июля 1957 года) и передан в серийное производство заводу № 36.</w:t>
      </w:r>
    </w:p>
    <w:p w14:paraId="4C5796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1605-726сс от 30 июля 1954 года и приказом МАП № 489сс/ов от 10 августа 1954 года было проведено в конце 1954 года форсирование турбореактивного двигателя ВД-5 с изменением его индекса на ВД-5Ф.</w:t>
      </w:r>
    </w:p>
    <w:p w14:paraId="5745D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1606-727сс от 30 июля 1954 года и приказом МАП № 490сс/ов от 10 августа 1954 года был произведен в конце 1954 года газодинамический расчет и разработан технический проект турбореактивного двигателя ВД-5М.</w:t>
      </w:r>
    </w:p>
    <w:p w14:paraId="2D4181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двигателям ВД-5Ф и ВД-5М в связи с получением нового более актуального задания по созданию двигателя ВД-7М в соответствии с приказом МАП № 478сс от 25 июля 1955 года были прекращены.</w:t>
      </w:r>
    </w:p>
    <w:p w14:paraId="450A3A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 16007-728сс от 30 июля 1954 года и приказом МАП № 468сс/ов от 10 августа 1954 года был произведен газодинамический расчет турбореактивного двигателя ВД-9.</w:t>
      </w:r>
    </w:p>
    <w:p w14:paraId="346B2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 1317-752сс от 19 июля 1955 года и приказом МАП № 476сс/ов от 25 июля 1955 года ОКБ было поручено создание, на базе двигателя ВД-7, мощного форсированного турбореактивного двигателя ВД-7М для самолета гл. конструктора Туполева А.Н.</w:t>
      </w:r>
    </w:p>
    <w:p w14:paraId="0DFD03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1955 году была разработана конструкция, выпущены чертежи, изготовлен первый образец и начата доводка на прочность.</w:t>
      </w:r>
    </w:p>
    <w:p w14:paraId="3E83BE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настоящее время продолжается доводка двигателя на прочность на стендах ОКБ и проводятся летные испытания на летающей лаборатории и на самолете ТУ-105.</w:t>
      </w:r>
    </w:p>
    <w:p w14:paraId="5F1DB7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СМ № 713-342 от 26 июля 1957 года ОКБ при заводе № 36 реорганизовано в самостоятельную уставную организацию и наименовано: Государственное союзное ОКБ № 36 (9382).</w:t>
      </w:r>
    </w:p>
    <w:p w14:paraId="1211F8B6" w14:textId="77777777" w:rsidR="00665165" w:rsidRPr="00F90EAE" w:rsidRDefault="00665165" w:rsidP="00F90EAE">
      <w:pPr>
        <w:autoSpaceDE w:val="0"/>
        <w:autoSpaceDN w:val="0"/>
        <w:adjustRightInd w:val="0"/>
        <w:jc w:val="both"/>
        <w:rPr>
          <w:color w:val="000000" w:themeColor="text1"/>
          <w:sz w:val="16"/>
          <w:szCs w:val="16"/>
        </w:rPr>
      </w:pPr>
    </w:p>
    <w:p w14:paraId="567F0F1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373EA28" w14:textId="77777777" w:rsidR="00665165" w:rsidRPr="00F90EAE" w:rsidRDefault="00665165" w:rsidP="00F90EAE">
      <w:pPr>
        <w:autoSpaceDE w:val="0"/>
        <w:autoSpaceDN w:val="0"/>
        <w:adjustRightInd w:val="0"/>
        <w:jc w:val="both"/>
        <w:rPr>
          <w:iCs/>
          <w:color w:val="000000" w:themeColor="text1"/>
          <w:sz w:val="16"/>
          <w:szCs w:val="16"/>
        </w:rPr>
      </w:pPr>
    </w:p>
    <w:p w14:paraId="70EAEED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марта 1945 года вышел приказ № 129с НКТП</w:t>
      </w:r>
    </w:p>
    <w:p w14:paraId="7FD8FCE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 7786-с от 11 марта 1945 года и в дополнение к приказу № 120с от 14 марта 1945 года:</w:t>
      </w:r>
    </w:p>
    <w:p w14:paraId="426A10B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Бывшему заводу № 174 присвоить № 800 и включить его в состав 2 ГЛ. управления НКТП (6214, 16).</w:t>
      </w:r>
    </w:p>
    <w:p w14:paraId="7A0F1EC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11BC4C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157F6A9" w14:textId="77777777" w:rsidR="00665165" w:rsidRPr="00F90EAE" w:rsidRDefault="00665165" w:rsidP="00F90EAE">
      <w:pPr>
        <w:autoSpaceDE w:val="0"/>
        <w:autoSpaceDN w:val="0"/>
        <w:adjustRightInd w:val="0"/>
        <w:jc w:val="both"/>
        <w:rPr>
          <w:iCs/>
          <w:color w:val="000000" w:themeColor="text1"/>
          <w:sz w:val="16"/>
          <w:szCs w:val="16"/>
        </w:rPr>
      </w:pPr>
    </w:p>
    <w:p w14:paraId="769E5D00" w14:textId="77777777" w:rsidR="00324FA8" w:rsidRPr="00F90EAE" w:rsidRDefault="00324FA8" w:rsidP="00F90EAE">
      <w:pPr>
        <w:jc w:val="both"/>
        <w:rPr>
          <w:color w:val="000000" w:themeColor="text1"/>
          <w:sz w:val="16"/>
          <w:szCs w:val="16"/>
        </w:rPr>
      </w:pPr>
      <w:r w:rsidRPr="00F90EAE">
        <w:rPr>
          <w:bCs/>
          <w:color w:val="000000" w:themeColor="text1"/>
          <w:sz w:val="16"/>
          <w:szCs w:val="16"/>
        </w:rPr>
        <w:t>19 марта</w:t>
      </w:r>
      <w:r w:rsidRPr="00F90EAE">
        <w:rPr>
          <w:color w:val="000000" w:themeColor="text1"/>
          <w:sz w:val="16"/>
          <w:szCs w:val="16"/>
        </w:rPr>
        <w:t xml:space="preserve"> в 1945 году оперативная сводка Совинформбюро:</w:t>
      </w:r>
    </w:p>
    <w:p w14:paraId="3462BE44" w14:textId="77777777" w:rsidR="00324FA8" w:rsidRPr="00F90EAE" w:rsidRDefault="00324FA8" w:rsidP="00F90EAE">
      <w:pPr>
        <w:jc w:val="both"/>
        <w:rPr>
          <w:color w:val="000000" w:themeColor="text1"/>
          <w:sz w:val="16"/>
          <w:szCs w:val="16"/>
        </w:rPr>
      </w:pPr>
      <w:r w:rsidRPr="00F90EAE">
        <w:rPr>
          <w:color w:val="000000" w:themeColor="text1"/>
          <w:sz w:val="16"/>
          <w:szCs w:val="16"/>
        </w:rPr>
        <w:t>«В течение 19 марта юго-западнее Кенигсберга наши войска вели успешные бои по уничтожению Восточно-Прусской группы немцев и, продвигаясь к побережью залива ФРИШТАФ, заняли более 30 населённых пунктов, в том числе Шелен, Виндкайм, Поттлиттен, Киршайтен, Шрайнен, Квилиттен, Нойвальд, Фрайхуфен, Галлинген, Грюнвальде, Вальтерсдорф, Биркенау, Ной Банду, Пагендорф, Шиллгенен, Клайн Амстмюле, Загерн, Мариенфельде, Вилленберг, Штангендорф, Кальберхаус. В боях за 18 марта в этом районе маши войска взяли в плен 2.138 немецких солдат и офицеров и захватили следующие трофеи: танков и самоходных орудий — 47, орудий — 236, миномётов — 57, пулемётов — 350, автомашин — 530, паровозов — 59, железнодорожных вагонов — 550 и складов с различным военным имуществом — 50.</w:t>
      </w:r>
    </w:p>
    <w:p w14:paraId="4B29F485" w14:textId="77777777" w:rsidR="00324FA8" w:rsidRPr="00F90EAE" w:rsidRDefault="00324FA8" w:rsidP="00F90EAE">
      <w:pPr>
        <w:jc w:val="both"/>
        <w:rPr>
          <w:color w:val="000000" w:themeColor="text1"/>
          <w:sz w:val="16"/>
          <w:szCs w:val="16"/>
        </w:rPr>
      </w:pPr>
      <w:r w:rsidRPr="00F90EAE">
        <w:rPr>
          <w:color w:val="000000" w:themeColor="text1"/>
          <w:sz w:val="16"/>
          <w:szCs w:val="16"/>
        </w:rPr>
        <w:t>По уточнённым данным, в боях за город Кольберг войска 1-го Белорусского фронта взяли в плен более 6.000 немецких солдат и офицеров и захватили следующие трофеи: танков и самоходных орудий — 40, орудий — 100, железнодорожных эшелонов—22, паровозов 48, складов с различным военным имуществом—15. Противник потерял только убитыми до 8.000 солдат и офицеров.</w:t>
      </w:r>
    </w:p>
    <w:p w14:paraId="2396668A" w14:textId="77777777" w:rsidR="00324FA8" w:rsidRPr="00F90EAE" w:rsidRDefault="00324FA8" w:rsidP="00F90EAE">
      <w:pPr>
        <w:jc w:val="both"/>
        <w:rPr>
          <w:color w:val="000000" w:themeColor="text1"/>
          <w:sz w:val="16"/>
          <w:szCs w:val="16"/>
        </w:rPr>
      </w:pPr>
      <w:r w:rsidRPr="00F90EAE">
        <w:rPr>
          <w:color w:val="000000" w:themeColor="text1"/>
          <w:sz w:val="16"/>
          <w:szCs w:val="16"/>
        </w:rPr>
        <w:t>В районе Бреслау наши войска продолжали бои по уничтожению окружённой в городе группировки противника.</w:t>
      </w:r>
    </w:p>
    <w:p w14:paraId="5BE875E7" w14:textId="77777777" w:rsidR="00324FA8" w:rsidRPr="00F90EAE" w:rsidRDefault="00324FA8"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7FFFFA7A" w14:textId="77777777" w:rsidR="00324FA8" w:rsidRPr="00F90EAE" w:rsidRDefault="00324FA8" w:rsidP="00F90EAE">
      <w:pPr>
        <w:jc w:val="both"/>
        <w:rPr>
          <w:color w:val="000000" w:themeColor="text1"/>
          <w:sz w:val="16"/>
          <w:szCs w:val="16"/>
        </w:rPr>
      </w:pPr>
      <w:r w:rsidRPr="00F90EAE">
        <w:rPr>
          <w:color w:val="000000" w:themeColor="text1"/>
          <w:sz w:val="16"/>
          <w:szCs w:val="16"/>
        </w:rPr>
        <w:t>За 18 марта на всех фронтах подбито и уничтожено 126 немецких танков и самоходных орудий. В воздушных боях и огнём зенитной артиллерии сбито 117 самолётов противника.».</w:t>
      </w:r>
    </w:p>
    <w:p w14:paraId="1A39192D" w14:textId="77777777" w:rsidR="00324FA8" w:rsidRPr="00F90EAE" w:rsidRDefault="00324FA8" w:rsidP="00F90EAE">
      <w:pPr>
        <w:jc w:val="both"/>
        <w:rPr>
          <w:color w:val="000000" w:themeColor="text1"/>
          <w:sz w:val="16"/>
          <w:szCs w:val="16"/>
        </w:rPr>
      </w:pPr>
      <w:r w:rsidRPr="00F90EAE">
        <w:rPr>
          <w:color w:val="000000" w:themeColor="text1"/>
          <w:sz w:val="16"/>
          <w:szCs w:val="16"/>
        </w:rPr>
        <w:t>Налёт нашей авиации на Данциг.</w:t>
      </w:r>
    </w:p>
    <w:p w14:paraId="1B879AC2" w14:textId="77777777" w:rsidR="00324FA8" w:rsidRPr="00F90EAE" w:rsidRDefault="00324FA8" w:rsidP="00F90EAE">
      <w:pPr>
        <w:jc w:val="both"/>
        <w:rPr>
          <w:color w:val="000000" w:themeColor="text1"/>
          <w:sz w:val="16"/>
          <w:szCs w:val="16"/>
        </w:rPr>
      </w:pPr>
      <w:r w:rsidRPr="00F90EAE">
        <w:rPr>
          <w:color w:val="000000" w:themeColor="text1"/>
          <w:sz w:val="16"/>
          <w:szCs w:val="16"/>
        </w:rPr>
        <w:t>«В ночь на 19 марта наши тяжёлые бомбардировщики нанесли удар по военно-промышленным объектам немцев в Данциге.</w:t>
      </w:r>
    </w:p>
    <w:p w14:paraId="3C48BBED" w14:textId="77777777" w:rsidR="00324FA8" w:rsidRPr="00F90EAE" w:rsidRDefault="00324FA8" w:rsidP="00F90EAE">
      <w:pPr>
        <w:jc w:val="both"/>
        <w:rPr>
          <w:color w:val="000000" w:themeColor="text1"/>
          <w:sz w:val="16"/>
          <w:szCs w:val="16"/>
        </w:rPr>
      </w:pPr>
      <w:r w:rsidRPr="00F90EAE">
        <w:rPr>
          <w:color w:val="000000" w:themeColor="text1"/>
          <w:sz w:val="16"/>
          <w:szCs w:val="16"/>
        </w:rPr>
        <w:t>В результате бомбардировки в порту Данциг возникли большие пожары, сопровождавшиеся сильными взрывами.</w:t>
      </w:r>
    </w:p>
    <w:p w14:paraId="4D5E3675" w14:textId="77777777" w:rsidR="00324FA8" w:rsidRPr="00F90EAE" w:rsidRDefault="00324FA8"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вести успешные бои по ликвидации Восточно-Прусской группировки противника. Немцы оказывают сильное огневое сопротивление и с отчаянием обречённых бросаются в контратаки. Наши войска с востока, юга и запада сжимают кольцо окружения и наносят противнику непрерывные удары. Советские гвардейские части, наступающие вдоль побережья залива Фриш-Гаф, выбили немцев из опорного пункта Шелена. В результате ночной атаки занято село Виндкайм. Ожесточённая борьба происходила за укреплённый пункт Грюн-вальде. Этот населённый пункт, несколько раз переходивший из рук в руки, занят нашими подразделениями. Советские части окружили и уничтожили вражеский гарнизон в опорном пункте Вальтерсдорфе. Юго-западнее города Браунсберга наша пехота при поддержке артиллерии атаковала сильно укреплённые позиции немцев на восточном берегу реки Бауде. Под огнём противника советские бойцы переправились через реку и заняли опорные пункты Вилленберг, Штангендорф и Мариенфедьде (2 километра южнее города Браунсберга). За день боёв уничтожено несколько тысяч солдат и офицеров противника.</w:t>
      </w:r>
    </w:p>
    <w:p w14:paraId="325C0BA9" w14:textId="77777777" w:rsidR="00324FA8" w:rsidRPr="00F90EAE" w:rsidRDefault="00324FA8" w:rsidP="00F90EAE">
      <w:pPr>
        <w:jc w:val="both"/>
        <w:rPr>
          <w:color w:val="000000" w:themeColor="text1"/>
          <w:sz w:val="16"/>
          <w:szCs w:val="16"/>
        </w:rPr>
      </w:pPr>
      <w:r w:rsidRPr="00F90EAE">
        <w:rPr>
          <w:color w:val="000000" w:themeColor="text1"/>
          <w:sz w:val="16"/>
          <w:szCs w:val="16"/>
        </w:rPr>
        <w:t>Советские бомбардировщики, штурмовики и истребители наносили удары по опорным пунктам и огневым позициям немцев, а также по пристаням и причалам в заливе Фриш-Гаф. Территория, занимаемая немецкими войсками, окутана дымом от пожаров, вызванных действиями советской авиации. В воздушных боях за день наши лётчики сбили 29 самолётов противника.</w:t>
      </w:r>
    </w:p>
    <w:p w14:paraId="10380E1E" w14:textId="77777777" w:rsidR="00324FA8" w:rsidRPr="00F90EAE" w:rsidRDefault="00324FA8" w:rsidP="00F90EAE">
      <w:pPr>
        <w:jc w:val="both"/>
        <w:rPr>
          <w:color w:val="000000" w:themeColor="text1"/>
          <w:sz w:val="16"/>
          <w:szCs w:val="16"/>
        </w:rPr>
      </w:pPr>
      <w:r w:rsidRPr="00F90EAE">
        <w:rPr>
          <w:color w:val="000000" w:themeColor="text1"/>
          <w:sz w:val="16"/>
          <w:szCs w:val="16"/>
        </w:rPr>
        <w:t>В боях в Восточной Пруссии советские воины показывают образцы доблести и геройства. Подразделения капитана Серёжникова, завершив смелый обходный манёвр, с тыла атаковали опорный пункт обороны противника. Вражеский гарнизон был разгромлен и в беспорядке отступил, оставив миномёты и склад мин. Наши бойцы повернули трофейное оружие против немцев и выпустили по ним более тысячи мин. Капитан Поединцев, старший сержант Саленов, рядовые Пущенко и Закладный ворвались в дом, из которого немцы вели сильный огонь. Отважные воины гранатами уничтожили 10 гитлеровцев. Остальные находившиеся в доме 23 немецких солдата сдались в плен. Красноармеец Петеалис обнаружил замаскированный пулемёт противника. Тов. Петелис незаметно подобрался к пулемёту и захватил немецких пулемётчиков в плен.</w:t>
      </w:r>
    </w:p>
    <w:p w14:paraId="51823F75" w14:textId="77777777" w:rsidR="00324FA8" w:rsidRPr="00F90EAE" w:rsidRDefault="00324FA8" w:rsidP="00F90EAE">
      <w:pPr>
        <w:jc w:val="both"/>
        <w:rPr>
          <w:color w:val="000000" w:themeColor="text1"/>
          <w:sz w:val="16"/>
          <w:szCs w:val="16"/>
        </w:rPr>
      </w:pPr>
      <w:r w:rsidRPr="00F90EAE">
        <w:rPr>
          <w:color w:val="000000" w:themeColor="text1"/>
          <w:sz w:val="16"/>
          <w:szCs w:val="16"/>
        </w:rPr>
        <w:t>Авиация 2-го Белорусского фронта совершила налёт на аэродром противника в районе Данцига. Советские лётчики бомбардировочно-штурмовым ударом уничтожили 17 и повредили 12 немецких самолётов. На территории аэродрома возникли пожары, среди которых произошло несколько сильных взрывов.</w:t>
      </w:r>
    </w:p>
    <w:p w14:paraId="0CC94BF1" w14:textId="77777777" w:rsidR="00324FA8" w:rsidRPr="00F90EAE" w:rsidRDefault="00324FA8" w:rsidP="00F90EAE">
      <w:pPr>
        <w:jc w:val="both"/>
        <w:rPr>
          <w:color w:val="000000" w:themeColor="text1"/>
          <w:sz w:val="16"/>
          <w:szCs w:val="16"/>
        </w:rPr>
      </w:pPr>
      <w:r w:rsidRPr="00F90EAE">
        <w:rPr>
          <w:color w:val="000000" w:themeColor="text1"/>
          <w:sz w:val="16"/>
          <w:szCs w:val="16"/>
        </w:rPr>
        <w:t>В Бреслау наши войска продолжали бои по ликвидации окружённого гарнизона противника. Преодолевая на своём пути завалы, баррикады и минные заграждения, советские штурмовые группы шаг за шагом продвигаются вперёд. Упорные бои вчера происходили в районе крупного автомобильном завода «Фамо Юнкерс». Наши подразделения сломили сопротивление немцев и заняли юго-западную часть завода. Севернее площади Гинденбурга советские пехотинцы отбили пять контратак противника и в результате боя, неоднократно переходившего в рукопашные сшивки, овладели четырьмя вражескими узлами сопротивления. Другие наши части ведут бои на подступах к главной товарной станции и железнодорожным мастерским.</w:t>
      </w:r>
    </w:p>
    <w:p w14:paraId="21730743" w14:textId="77777777" w:rsidR="00324FA8" w:rsidRPr="00F90EAE" w:rsidRDefault="00324FA8" w:rsidP="00F90EAE">
      <w:pPr>
        <w:jc w:val="both"/>
        <w:rPr>
          <w:color w:val="000000" w:themeColor="text1"/>
          <w:sz w:val="16"/>
          <w:szCs w:val="16"/>
        </w:rPr>
      </w:pPr>
      <w:r w:rsidRPr="00F90EAE">
        <w:rPr>
          <w:color w:val="000000" w:themeColor="text1"/>
          <w:sz w:val="16"/>
          <w:szCs w:val="16"/>
        </w:rPr>
        <w:t>На одной улице немецкая пехота перешла в контратаку. Старшина Пархоменко подпустил гитлеровцев на близкое расстояние и открыл огонь из станкового пулемёта. Часть немцев была уничтожена, а остальные залегли. Противник направил самоходное орудие на помощь своей пехоте. Пархоменко удачно метнул противотанковую гранату и разбил гусеницу орудия. Продолжая вести огонь из пулемёта, старшина Пархоменко истребил ещё несколько десятков немецких солдат и офицеров. Сапёры Кадыров и Соколов взорвали опорный пункт обороны, оборудованный немцами в большом каменном здании. Под развалинами дома погибло много гитлеровцев. Противник пытается на транспортных самолётах доставлять грузы осаждённому гарнизону города Бреслау. Только за одну ночь наши лётчики и зенитчики сбили 7 немецких транспортных самолётов.</w:t>
      </w:r>
    </w:p>
    <w:p w14:paraId="54EA5D58" w14:textId="77777777" w:rsidR="00324FA8" w:rsidRPr="00F90EAE" w:rsidRDefault="00324FA8"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Балтийском море четыре немецких транспорта общим водоизмещением в 21 тысяч тонн.» (15073).</w:t>
      </w:r>
    </w:p>
    <w:p w14:paraId="3E0BE82A" w14:textId="77777777" w:rsidR="00324FA8" w:rsidRPr="00F90EAE" w:rsidRDefault="00324FA8" w:rsidP="00F90EAE">
      <w:pPr>
        <w:jc w:val="both"/>
        <w:rPr>
          <w:color w:val="000000" w:themeColor="text1"/>
          <w:sz w:val="16"/>
          <w:szCs w:val="16"/>
        </w:rPr>
      </w:pPr>
    </w:p>
    <w:p w14:paraId="69D65C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к К.Иванов при штурмовке аэродрома Хайлигенбайле (Восточная Пруссия) направил горящий Ил-2 на скопление самолетов на земле (455,163).</w:t>
      </w:r>
    </w:p>
    <w:p w14:paraId="5F94C73D" w14:textId="77777777" w:rsidR="00665165" w:rsidRPr="00F90EAE" w:rsidRDefault="00665165" w:rsidP="00F90EAE">
      <w:pPr>
        <w:autoSpaceDE w:val="0"/>
        <w:autoSpaceDN w:val="0"/>
        <w:adjustRightInd w:val="0"/>
        <w:jc w:val="both"/>
        <w:rPr>
          <w:color w:val="000000" w:themeColor="text1"/>
          <w:sz w:val="16"/>
          <w:szCs w:val="16"/>
        </w:rPr>
      </w:pPr>
    </w:p>
    <w:p w14:paraId="69AC5B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 марта по 8 апреля 1945 польские Ил-2 выполнили ряд разведывательных полетов над Балтийским морем и атаковывали случайные цели, в том числе пусковые площадки ракет V-2 в районе Kamien Pomorski (241,37).</w:t>
      </w:r>
    </w:p>
    <w:p w14:paraId="143C76DC" w14:textId="77777777" w:rsidR="00665165" w:rsidRPr="00F90EAE" w:rsidRDefault="00665165" w:rsidP="00F90EAE">
      <w:pPr>
        <w:autoSpaceDE w:val="0"/>
        <w:autoSpaceDN w:val="0"/>
        <w:adjustRightInd w:val="0"/>
        <w:jc w:val="both"/>
        <w:rPr>
          <w:color w:val="000000" w:themeColor="text1"/>
          <w:sz w:val="16"/>
          <w:szCs w:val="16"/>
        </w:rPr>
      </w:pPr>
    </w:p>
    <w:p w14:paraId="6EA89E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марта 1945 на Ил-10 вылетели 42 экипа</w:t>
      </w:r>
      <w:r w:rsidRPr="00F90EAE">
        <w:rPr>
          <w:color w:val="000000" w:themeColor="text1"/>
          <w:sz w:val="16"/>
          <w:szCs w:val="16"/>
        </w:rPr>
        <w:softHyphen/>
        <w:t>жа 118-го гшап и 41 экипаж 571-го шап, а 20 марта - четыре экипажа 118-го гшап (один летом на Ил-10 и три - поездом) и один экипаж 571-го шап летом на Ил-10 (11132).</w:t>
      </w:r>
    </w:p>
    <w:p w14:paraId="55E7BA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5E9DC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марта 1945 из Куйбышева вылетели 42 экипажа 118-го гшап и 41 -из 571-го шап, а 20 марта - четыре из 118-го гшап (один на Ил-10 и три - поез</w:t>
      </w:r>
      <w:r w:rsidRPr="00F90EAE">
        <w:rPr>
          <w:color w:val="000000" w:themeColor="text1"/>
          <w:sz w:val="16"/>
          <w:szCs w:val="16"/>
        </w:rPr>
        <w:softHyphen/>
        <w:t>дом) и один экипаж 571-го шап (летом). В следующем месяце на фронт на</w:t>
      </w:r>
      <w:r w:rsidRPr="00F90EAE">
        <w:rPr>
          <w:color w:val="000000" w:themeColor="text1"/>
          <w:sz w:val="16"/>
          <w:szCs w:val="16"/>
        </w:rPr>
        <w:softHyphen/>
        <w:t>правили сразу семь полков на новых штурмовиках (7, 59, 75-й и 132-й гшап и 723, 899-й и 995-й шап) - в общей слож</w:t>
      </w:r>
      <w:r w:rsidRPr="00F90EAE">
        <w:rPr>
          <w:color w:val="000000" w:themeColor="text1"/>
          <w:sz w:val="16"/>
          <w:szCs w:val="16"/>
        </w:rPr>
        <w:softHyphen/>
        <w:t>ности 192 летчика. В апреле началась подготовка полков для 7-го штурмового авиакорпуса (шак) резерва Верховного Главного Командования. С 5 по 24 ап</w:t>
      </w:r>
      <w:r w:rsidRPr="00F90EAE">
        <w:rPr>
          <w:color w:val="000000" w:themeColor="text1"/>
          <w:sz w:val="16"/>
          <w:szCs w:val="16"/>
        </w:rPr>
        <w:softHyphen/>
        <w:t>реля к переучиванию приступили 686, 947-й и 232-й шап из 289-й шад и 503, 806-й и 807-й шап из 206-й шад. Четыре из них завершили подготовку в мае, но на фронт их не отправили. Согласно до</w:t>
      </w:r>
      <w:r w:rsidRPr="00F90EAE">
        <w:rPr>
          <w:color w:val="000000" w:themeColor="text1"/>
          <w:sz w:val="16"/>
          <w:szCs w:val="16"/>
        </w:rPr>
        <w:softHyphen/>
        <w:t>кументам полки этого корпуса проходи</w:t>
      </w:r>
      <w:r w:rsidRPr="00F90EAE">
        <w:rPr>
          <w:color w:val="000000" w:themeColor="text1"/>
          <w:sz w:val="16"/>
          <w:szCs w:val="16"/>
        </w:rPr>
        <w:softHyphen/>
        <w:t>ли тренировку для участия в параде на Красной площади по случаю победы над Германией (10681).</w:t>
      </w:r>
    </w:p>
    <w:p w14:paraId="67C194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873A307" w14:textId="77777777" w:rsidR="0049679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741F5E5" w14:textId="77777777" w:rsidR="0049679F" w:rsidRPr="00F90EAE" w:rsidRDefault="0049679F" w:rsidP="00F90EAE">
      <w:pPr>
        <w:shd w:val="clear" w:color="auto" w:fill="FFFFFF"/>
        <w:autoSpaceDE w:val="0"/>
        <w:autoSpaceDN w:val="0"/>
        <w:adjustRightInd w:val="0"/>
        <w:jc w:val="both"/>
        <w:rPr>
          <w:color w:val="000000" w:themeColor="text1"/>
          <w:sz w:val="16"/>
          <w:szCs w:val="16"/>
        </w:rPr>
      </w:pPr>
    </w:p>
    <w:p w14:paraId="18832E6E" w14:textId="77777777" w:rsidR="0049679F" w:rsidRPr="00F90EAE" w:rsidRDefault="0049679F" w:rsidP="00F90EAE">
      <w:pPr>
        <w:autoSpaceDE w:val="0"/>
        <w:autoSpaceDN w:val="0"/>
        <w:adjustRightInd w:val="0"/>
        <w:jc w:val="both"/>
        <w:rPr>
          <w:iCs/>
          <w:color w:val="000000" w:themeColor="text1"/>
          <w:sz w:val="16"/>
          <w:szCs w:val="16"/>
        </w:rPr>
      </w:pPr>
      <w:r w:rsidRPr="00F90EAE">
        <w:rPr>
          <w:color w:val="000000" w:themeColor="text1"/>
          <w:sz w:val="16"/>
          <w:szCs w:val="16"/>
        </w:rPr>
        <w:t>19 марта 1945 г.</w:t>
      </w:r>
      <w:r w:rsidRPr="00F90EAE">
        <w:rPr>
          <w:bCs/>
          <w:color w:val="000000" w:themeColor="text1"/>
          <w:sz w:val="16"/>
          <w:szCs w:val="16"/>
        </w:rPr>
        <w:t xml:space="preserve"> В.М. Молотов, пригласив в МИД турецкого посла Селима Сарпера, официально заявил ему, что Советское правительство денонсирует договор 1925 г. со всеми относящимися к нему протоколами и актами как утративший своё значение и нуждающийся в серьёзных изменениях. Кстати, срок его действия, согласно последнему продлению, истекал 7 ноября 1945 г. По поводу советской ноты в Анкаре состоялось заседание правительства Турции, на нём был обсуждён и затем утверждён проект ответной турецкой ноты. В нём сообщалось о готовности заключить новый документ, более соответствующий времени, И предлагалось советской стороне как инициатору предложения об отмене договора 1925 г. представить советский вариант основных положений будущего договора (17459).</w:t>
      </w:r>
    </w:p>
    <w:p w14:paraId="7B98FC70" w14:textId="77777777" w:rsidR="0049679F" w:rsidRPr="00F90EAE" w:rsidRDefault="0049679F" w:rsidP="00F90EAE">
      <w:pPr>
        <w:autoSpaceDE w:val="0"/>
        <w:autoSpaceDN w:val="0"/>
        <w:adjustRightInd w:val="0"/>
        <w:jc w:val="both"/>
        <w:rPr>
          <w:iCs/>
          <w:color w:val="000000" w:themeColor="text1"/>
          <w:sz w:val="16"/>
          <w:szCs w:val="16"/>
        </w:rPr>
      </w:pPr>
    </w:p>
    <w:p w14:paraId="371943A8" w14:textId="77777777" w:rsidR="00DB3663" w:rsidRPr="00F90EAE" w:rsidRDefault="00DB3663" w:rsidP="00F90EAE">
      <w:pPr>
        <w:jc w:val="both"/>
        <w:rPr>
          <w:color w:val="000000" w:themeColor="text1"/>
          <w:sz w:val="16"/>
          <w:szCs w:val="16"/>
        </w:rPr>
      </w:pPr>
      <w:r w:rsidRPr="00F90EAE">
        <w:rPr>
          <w:color w:val="000000" w:themeColor="text1"/>
          <w:sz w:val="16"/>
          <w:szCs w:val="16"/>
        </w:rPr>
        <w:t xml:space="preserve">19 марта 1945 г. был денонсирован Договор о дружбе и нейтралитете 1925 г., 7 и 18 июня 1945 г. состоялись исторические встречи главы советского внешнеполитического ведомства В. М. Молотова и посла Турции в СССР С. Сарпера, на которых были выдвинуты три основных требования: совместный контроль </w:t>
      </w:r>
      <w:r w:rsidRPr="00F90EAE">
        <w:rPr>
          <w:color w:val="000000" w:themeColor="text1"/>
          <w:sz w:val="16"/>
          <w:szCs w:val="16"/>
        </w:rPr>
        <w:lastRenderedPageBreak/>
        <w:t>над Проливами, предоставление СССР военных баз в Проливах и удовлетворение территориальных претензий, в число которых входил вопрос передачи под юрисдикцию СССР округов Карс и Ардаган19. Турецкая сторона соглашалась лишь на заключение с СССР союзного договора против возможной агрессии со стороны европейских и средиземноморских стран, а также предлагала заключить договор о покупке оружия у СССР для того, чтобы обеспечить оборону Проливов20. Посол Турции в СССР предлагал условия, на которых впоследствии можно было выстроить новую базу дружественных советско-турецких отношений, по крайней мере предупредить развертывание американских баз, в том числе с ядерным оружием, на границах с СССР, что произошло в 1950-е годы. Однако В.М. Молотов не отступил ни от одного из своих требований и отказался заключать договор21, что негативным образом отразилось на дальнейших отношениях между нашими странами. Советское правительство считало свои жесткие требования обоснованными по двум причинам: недостаточно дружественный нейтралитет Турции во время Великой Отечественной войны (в том числе нарушения конвенции о режиме Проливов), а также несправедливость договора 1921 г., по которому к Республике Турция отошли территории Карса и Ардагана, присоединенные к Российской империи по Берлинскому трактату 1878 г. (18513).</w:t>
      </w:r>
    </w:p>
    <w:p w14:paraId="5F455E51" w14:textId="77777777" w:rsidR="00DB3663" w:rsidRPr="00F90EAE" w:rsidRDefault="00DB3663" w:rsidP="00F90EAE">
      <w:pPr>
        <w:jc w:val="both"/>
        <w:rPr>
          <w:color w:val="000000" w:themeColor="text1"/>
          <w:sz w:val="16"/>
          <w:szCs w:val="16"/>
        </w:rPr>
      </w:pPr>
    </w:p>
    <w:p w14:paraId="034044E9" w14:textId="77777777" w:rsidR="0049679F" w:rsidRPr="00F90EAE" w:rsidRDefault="0049679F" w:rsidP="00F90EAE">
      <w:pPr>
        <w:autoSpaceDE w:val="0"/>
        <w:autoSpaceDN w:val="0"/>
        <w:adjustRightInd w:val="0"/>
        <w:jc w:val="both"/>
        <w:rPr>
          <w:iCs/>
          <w:color w:val="000000" w:themeColor="text1"/>
          <w:sz w:val="16"/>
          <w:szCs w:val="16"/>
        </w:rPr>
      </w:pPr>
      <w:r w:rsidRPr="00F90EAE">
        <w:rPr>
          <w:color w:val="000000" w:themeColor="text1"/>
          <w:sz w:val="16"/>
          <w:szCs w:val="16"/>
        </w:rPr>
        <w:t>19 марта 1945 г.</w:t>
      </w:r>
      <w:r w:rsidRPr="00F90EAE">
        <w:rPr>
          <w:bCs/>
          <w:color w:val="000000" w:themeColor="text1"/>
          <w:sz w:val="16"/>
          <w:szCs w:val="16"/>
        </w:rPr>
        <w:t xml:space="preserve"> во время переговоров с Молотовым в Москве Бенеш, будучи заинтересованным, в поддержке СССР в вопросе выселения судетских немцев из Чехословакии, вновь подтвердил готовность чехов уступить Подкарпатскую Русь (Карпатскую Украину) Советскому Союзу, предложив заключить договор о передаче Карпатской Украины СССР и отметив, что в течение 20 лет он никогда не считал вопрос Карпатской Украины «окончательно решенным» (17459).</w:t>
      </w:r>
    </w:p>
    <w:p w14:paraId="53A05F4F" w14:textId="77777777" w:rsidR="0049679F" w:rsidRPr="00F90EAE" w:rsidRDefault="0049679F" w:rsidP="00F90EAE">
      <w:pPr>
        <w:autoSpaceDE w:val="0"/>
        <w:autoSpaceDN w:val="0"/>
        <w:adjustRightInd w:val="0"/>
        <w:jc w:val="both"/>
        <w:rPr>
          <w:iCs/>
          <w:color w:val="000000" w:themeColor="text1"/>
          <w:sz w:val="16"/>
          <w:szCs w:val="16"/>
        </w:rPr>
      </w:pPr>
    </w:p>
    <w:p w14:paraId="4A752A2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BDFCDFA" w14:textId="77777777" w:rsidR="00665165" w:rsidRPr="00F90EAE" w:rsidRDefault="00665165" w:rsidP="00F90EAE">
      <w:pPr>
        <w:autoSpaceDE w:val="0"/>
        <w:autoSpaceDN w:val="0"/>
        <w:adjustRightInd w:val="0"/>
        <w:jc w:val="both"/>
        <w:rPr>
          <w:iCs/>
          <w:color w:val="000000" w:themeColor="text1"/>
          <w:sz w:val="16"/>
          <w:szCs w:val="16"/>
        </w:rPr>
      </w:pPr>
    </w:p>
    <w:p w14:paraId="23EDAA31" w14:textId="77777777" w:rsidR="00324FA8" w:rsidRPr="00F90EAE" w:rsidRDefault="00324FA8" w:rsidP="00F90EAE">
      <w:pPr>
        <w:jc w:val="both"/>
        <w:rPr>
          <w:color w:val="000000" w:themeColor="text1"/>
          <w:sz w:val="16"/>
          <w:szCs w:val="16"/>
        </w:rPr>
      </w:pPr>
      <w:r w:rsidRPr="00F90EAE">
        <w:rPr>
          <w:bCs/>
          <w:color w:val="000000" w:themeColor="text1"/>
          <w:sz w:val="16"/>
          <w:szCs w:val="16"/>
        </w:rPr>
        <w:t>19 марта</w:t>
      </w:r>
      <w:r w:rsidRPr="00F90EAE">
        <w:rPr>
          <w:color w:val="000000" w:themeColor="text1"/>
          <w:sz w:val="16"/>
          <w:szCs w:val="16"/>
        </w:rPr>
        <w:t xml:space="preserve"> в 1945 году во время передислокации 901/2 батареи, стреляющей БР "A-4"/SS-1/Scunner/ (Фау-2), из Kirburg в Marienberg авиация союзников разбомбила всю колонну, остановившуюся из-за поломки головной машины (15073).</w:t>
      </w:r>
    </w:p>
    <w:p w14:paraId="6FA6E061" w14:textId="77777777" w:rsidR="00324FA8" w:rsidRPr="00F90EAE" w:rsidRDefault="00324FA8" w:rsidP="00F90EAE">
      <w:pPr>
        <w:jc w:val="both"/>
        <w:rPr>
          <w:color w:val="000000" w:themeColor="text1"/>
          <w:sz w:val="16"/>
          <w:szCs w:val="16"/>
        </w:rPr>
      </w:pPr>
    </w:p>
    <w:p w14:paraId="6FFAED7C" w14:textId="77777777" w:rsidR="00324FA8" w:rsidRPr="00F90EAE" w:rsidRDefault="00324FA8" w:rsidP="00F90EAE">
      <w:pPr>
        <w:jc w:val="both"/>
        <w:rPr>
          <w:color w:val="000000" w:themeColor="text1"/>
          <w:sz w:val="16"/>
          <w:szCs w:val="16"/>
        </w:rPr>
      </w:pPr>
      <w:r w:rsidRPr="00F90EAE">
        <w:rPr>
          <w:bCs/>
          <w:color w:val="000000" w:themeColor="text1"/>
          <w:sz w:val="16"/>
          <w:szCs w:val="16"/>
        </w:rPr>
        <w:t>19 марта</w:t>
      </w:r>
      <w:r w:rsidRPr="00F90EAE">
        <w:rPr>
          <w:color w:val="000000" w:themeColor="text1"/>
          <w:sz w:val="16"/>
          <w:szCs w:val="16"/>
        </w:rPr>
        <w:t xml:space="preserve"> в 1945 году на перехват 978 самолётов союзников поднялись 40 немецких истребителей, в том числе реактивные «Ме-262» и «Ме-163». Пилоты «Me-262» заявили об уничтожении трех «В-17», а от летчиков «Ме-163» удача в тот день отвернулась. Союзники отмечали появление «Ме-163» 24, 30 и 31 марта, причём 24 марта один из реактивных "мессеров" был сбит (15073).</w:t>
      </w:r>
    </w:p>
    <w:p w14:paraId="08759ED1" w14:textId="77777777" w:rsidR="00324FA8" w:rsidRPr="00F90EAE" w:rsidRDefault="00324FA8" w:rsidP="00F90EAE">
      <w:pPr>
        <w:jc w:val="both"/>
        <w:rPr>
          <w:color w:val="000000" w:themeColor="text1"/>
          <w:sz w:val="16"/>
          <w:szCs w:val="16"/>
        </w:rPr>
      </w:pPr>
    </w:p>
    <w:p w14:paraId="235A79A4" w14:textId="77777777" w:rsidR="0049679F" w:rsidRPr="00F90EAE" w:rsidRDefault="0049679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марта</w:t>
      </w:r>
      <w:r w:rsidRPr="00F90EAE">
        <w:rPr>
          <w:bCs/>
          <w:color w:val="000000" w:themeColor="text1"/>
          <w:sz w:val="16"/>
          <w:szCs w:val="16"/>
        </w:rPr>
        <w:t xml:space="preserve"> 1945 неподалеку от итало-швейцарской границы, на берегу озера Маджоре состоялась встреча Вольфа с военными представителями союзников: английским генералом Эйри и американским генералом Лемницером, на которой обсуждались условия будущей капитуляции. Но по возвращении в Италию Вольф вновь столкнулся с неприятностями. На этот раз из Берлина позвонил Гиммлер и сообщил, что отныне семья Вольфа, а также фрау Дольман будут находиться под особым наблюдением гестапо. Кроме того, Вольфу впредь запрещалось выезжать за пределы Италии. Гиммлер звонил неоднократно, каждый раз интересуясь здоровьем Вольфа и передавая привет от семьи. Вольф не на шутку встревожился (17459).</w:t>
      </w:r>
    </w:p>
    <w:p w14:paraId="60F94784" w14:textId="77777777" w:rsidR="0049679F" w:rsidRPr="00F90EAE" w:rsidRDefault="0049679F" w:rsidP="00F90EAE">
      <w:pPr>
        <w:tabs>
          <w:tab w:val="left" w:pos="11199"/>
        </w:tabs>
        <w:autoSpaceDE w:val="0"/>
        <w:autoSpaceDN w:val="0"/>
        <w:adjustRightInd w:val="0"/>
        <w:jc w:val="both"/>
        <w:rPr>
          <w:color w:val="000000" w:themeColor="text1"/>
          <w:sz w:val="16"/>
          <w:szCs w:val="16"/>
        </w:rPr>
      </w:pPr>
    </w:p>
    <w:p w14:paraId="563982F8" w14:textId="77777777" w:rsidR="0049679F" w:rsidRPr="00F90EAE" w:rsidRDefault="0049679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марта 1945 г. тайные контакты немцев с союзниками в Швейцарии стали явными, это привело к невозможности заключения тайного соглашения о капитуляции в Северной Италии. Все это отголоски остановки советских войск на Одере 17 февраля 1945 г.. Союзники нарушали соглашение, заключенное в Москве (19 октября 1943 г.), но проблема в том, что американские спецслужбы по традиции действовали самостоятельно и не спешили подавать информацию наверх (17459).</w:t>
      </w:r>
    </w:p>
    <w:p w14:paraId="77625322" w14:textId="77777777" w:rsidR="0049679F" w:rsidRPr="00F90EAE" w:rsidRDefault="0049679F" w:rsidP="00F90EAE">
      <w:pPr>
        <w:tabs>
          <w:tab w:val="left" w:pos="11199"/>
        </w:tabs>
        <w:autoSpaceDE w:val="0"/>
        <w:autoSpaceDN w:val="0"/>
        <w:adjustRightInd w:val="0"/>
        <w:jc w:val="both"/>
        <w:rPr>
          <w:color w:val="000000" w:themeColor="text1"/>
          <w:sz w:val="16"/>
          <w:szCs w:val="16"/>
        </w:rPr>
      </w:pPr>
    </w:p>
    <w:p w14:paraId="121C46E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марта 1945 Гитлер объявил о начале тактики выжженной земли, заявив: “Если война проиграна, нация тоже должна исчезнуть” (4962), вышел приказ Гитлера,на основании которого следовало уничтожать при отходе все, что в какой-то мере прямо или косвенно,немедленно или в будущем может быть использовано противником (4963 ).</w:t>
      </w:r>
    </w:p>
    <w:p w14:paraId="61D8AFA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D7B285" w14:textId="77777777" w:rsidR="00324FA8" w:rsidRPr="00F90EAE" w:rsidRDefault="00324FA8" w:rsidP="00F90EAE">
      <w:pPr>
        <w:jc w:val="both"/>
        <w:rPr>
          <w:color w:val="000000" w:themeColor="text1"/>
          <w:sz w:val="16"/>
          <w:szCs w:val="16"/>
        </w:rPr>
      </w:pPr>
      <w:r w:rsidRPr="00F90EAE">
        <w:rPr>
          <w:bCs/>
          <w:color w:val="000000" w:themeColor="text1"/>
          <w:sz w:val="16"/>
          <w:szCs w:val="16"/>
        </w:rPr>
        <w:t>19 марта</w:t>
      </w:r>
      <w:r w:rsidRPr="00F90EAE">
        <w:rPr>
          <w:color w:val="000000" w:themeColor="text1"/>
          <w:sz w:val="16"/>
          <w:szCs w:val="16"/>
        </w:rPr>
        <w:t xml:space="preserve"> в 1945 году Адольф Гитлер объявил о начале тактики выжженной земли, подписав директиву о том, что все военные, промышленные, транспортные объекты и объекты связи, равно как и все материальные ресурсы Германии, должны быть уничтожены, дабы не попасть в руки врага. "Если война проиграна, нация тоже должна исчезнуть" (15073).</w:t>
      </w:r>
    </w:p>
    <w:p w14:paraId="7DE88722" w14:textId="77777777" w:rsidR="00324FA8" w:rsidRPr="00F90EAE" w:rsidRDefault="00324FA8" w:rsidP="00F90EAE">
      <w:pPr>
        <w:jc w:val="both"/>
        <w:rPr>
          <w:color w:val="000000" w:themeColor="text1"/>
          <w:sz w:val="16"/>
          <w:szCs w:val="16"/>
        </w:rPr>
      </w:pPr>
    </w:p>
    <w:p w14:paraId="5C9515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А.Гитлер приказал проводить тактику выжженной земли (2100).</w:t>
      </w:r>
    </w:p>
    <w:p w14:paraId="5E7987D0" w14:textId="77777777" w:rsidR="00665165" w:rsidRPr="00F90EAE" w:rsidRDefault="00665165" w:rsidP="00F90EAE">
      <w:pPr>
        <w:autoSpaceDE w:val="0"/>
        <w:autoSpaceDN w:val="0"/>
        <w:adjustRightInd w:val="0"/>
        <w:jc w:val="both"/>
        <w:rPr>
          <w:color w:val="000000" w:themeColor="text1"/>
          <w:sz w:val="16"/>
          <w:szCs w:val="16"/>
        </w:rPr>
      </w:pPr>
    </w:p>
    <w:p w14:paraId="775C2EE5" w14:textId="77777777" w:rsidR="0049679F" w:rsidRPr="00F90EAE" w:rsidRDefault="0049679F" w:rsidP="00F90EAE">
      <w:pPr>
        <w:jc w:val="both"/>
        <w:rPr>
          <w:bCs/>
          <w:color w:val="000000" w:themeColor="text1"/>
          <w:sz w:val="16"/>
          <w:szCs w:val="16"/>
        </w:rPr>
      </w:pPr>
      <w:r w:rsidRPr="00F90EAE">
        <w:rPr>
          <w:color w:val="000000" w:themeColor="text1"/>
          <w:sz w:val="16"/>
          <w:szCs w:val="16"/>
        </w:rPr>
        <w:t>19 марта 1945 г. Гитлер отдал приказ о всеобщем разрушении, 23 марта Мартин Борман назначил ответственных за полное разрушение инфраструктуры – это были партийные вожди территорий – гауляйтеры (17459).</w:t>
      </w:r>
    </w:p>
    <w:p w14:paraId="267FFC75" w14:textId="77777777" w:rsidR="0049679F" w:rsidRPr="00F90EAE" w:rsidRDefault="0049679F" w:rsidP="00F90EAE">
      <w:pPr>
        <w:autoSpaceDE w:val="0"/>
        <w:autoSpaceDN w:val="0"/>
        <w:adjustRightInd w:val="0"/>
        <w:jc w:val="both"/>
        <w:rPr>
          <w:color w:val="000000" w:themeColor="text1"/>
          <w:sz w:val="16"/>
          <w:szCs w:val="16"/>
        </w:rPr>
      </w:pPr>
    </w:p>
    <w:p w14:paraId="1704D253" w14:textId="77777777" w:rsidR="00324FA8" w:rsidRPr="00F90EAE" w:rsidRDefault="00324FA8" w:rsidP="00F90EAE">
      <w:pPr>
        <w:autoSpaceDE w:val="0"/>
        <w:autoSpaceDN w:val="0"/>
        <w:adjustRightInd w:val="0"/>
        <w:jc w:val="both"/>
        <w:rPr>
          <w:color w:val="000000" w:themeColor="text1"/>
          <w:sz w:val="16"/>
          <w:szCs w:val="16"/>
        </w:rPr>
      </w:pPr>
      <w:r w:rsidRPr="00F90EAE">
        <w:rPr>
          <w:color w:val="000000" w:themeColor="text1"/>
          <w:sz w:val="16"/>
          <w:szCs w:val="16"/>
        </w:rPr>
        <w:t>19 марта 1945 7А США (Патч) захватила Вормс на Рейне. 8ВА США выполнила налет силами 200 б и 700 и на Берлин. А.Г. приказал разрушать все промышленные и транспортные сооружения, чтобы они не попали в руки врага. Приказ не выполнялся (3819).</w:t>
      </w:r>
    </w:p>
    <w:p w14:paraId="2F056803" w14:textId="77777777" w:rsidR="00324FA8" w:rsidRPr="00F90EAE" w:rsidRDefault="00324FA8" w:rsidP="00F90EAE">
      <w:pPr>
        <w:autoSpaceDE w:val="0"/>
        <w:autoSpaceDN w:val="0"/>
        <w:adjustRightInd w:val="0"/>
        <w:jc w:val="both"/>
        <w:rPr>
          <w:color w:val="000000" w:themeColor="text1"/>
          <w:sz w:val="16"/>
          <w:szCs w:val="16"/>
        </w:rPr>
      </w:pPr>
    </w:p>
    <w:p w14:paraId="7D73F4DB" w14:textId="77777777" w:rsidR="00324FA8" w:rsidRPr="00F90EAE" w:rsidRDefault="00324FA8" w:rsidP="00F90EAE">
      <w:pPr>
        <w:jc w:val="both"/>
        <w:rPr>
          <w:color w:val="000000" w:themeColor="text1"/>
          <w:sz w:val="16"/>
          <w:szCs w:val="16"/>
        </w:rPr>
      </w:pPr>
      <w:r w:rsidRPr="00F90EAE">
        <w:rPr>
          <w:bCs/>
          <w:color w:val="000000" w:themeColor="text1"/>
          <w:sz w:val="16"/>
          <w:szCs w:val="16"/>
        </w:rPr>
        <w:t>19 марта</w:t>
      </w:r>
      <w:r w:rsidRPr="00F90EAE">
        <w:rPr>
          <w:color w:val="000000" w:themeColor="text1"/>
          <w:sz w:val="16"/>
          <w:szCs w:val="16"/>
        </w:rPr>
        <w:t xml:space="preserve"> в 1945 году в Швейцарии состоялась встреча генерала СС К.Вольфа с представителями английского командования в Италии (15073).</w:t>
      </w:r>
    </w:p>
    <w:p w14:paraId="6485777B" w14:textId="77777777" w:rsidR="00324FA8" w:rsidRPr="00F90EAE" w:rsidRDefault="00324FA8" w:rsidP="00F90EAE">
      <w:pPr>
        <w:jc w:val="both"/>
        <w:rPr>
          <w:color w:val="000000" w:themeColor="text1"/>
          <w:sz w:val="16"/>
          <w:szCs w:val="16"/>
        </w:rPr>
      </w:pPr>
    </w:p>
    <w:p w14:paraId="6F45A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марта 1945 на совещании представителей чехословацкого эмигрантского правительства, компартии и Словацкого национального совета была достигнута договоренность о создании правительства Чехословакии (3186).</w:t>
      </w:r>
    </w:p>
    <w:p w14:paraId="5E653D34" w14:textId="77777777" w:rsidR="00665165" w:rsidRPr="00F90EAE" w:rsidRDefault="00665165" w:rsidP="00F90EAE">
      <w:pPr>
        <w:autoSpaceDE w:val="0"/>
        <w:autoSpaceDN w:val="0"/>
        <w:adjustRightInd w:val="0"/>
        <w:jc w:val="both"/>
        <w:rPr>
          <w:color w:val="000000" w:themeColor="text1"/>
          <w:sz w:val="16"/>
          <w:szCs w:val="16"/>
        </w:rPr>
      </w:pPr>
    </w:p>
    <w:p w14:paraId="6CE9E90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19th, 1945: The US Seventh Army (Patch) captures Worms on the Rhine. In the East, heavy fighting in Hungary and East Prussia. The US 8th Air Force carries out another heavy attack (200 bombers and 700 fighters) against Berlin. Hitler orders the demolition of all German industrial, utility and transport facilities in danger of falling into enemy hands; this order (Verbrannte Erde Scorched Earth) is sabotaged by armaments minister Speer and most local commanders (3819).</w:t>
      </w:r>
    </w:p>
    <w:p w14:paraId="649CA187" w14:textId="77777777" w:rsidR="00665165" w:rsidRPr="00F90EAE" w:rsidRDefault="00665165" w:rsidP="00F90EAE">
      <w:pPr>
        <w:autoSpaceDE w:val="0"/>
        <w:autoSpaceDN w:val="0"/>
        <w:adjustRightInd w:val="0"/>
        <w:jc w:val="both"/>
        <w:rPr>
          <w:color w:val="000000" w:themeColor="text1"/>
          <w:sz w:val="16"/>
          <w:szCs w:val="16"/>
          <w:lang w:val="en-US"/>
        </w:rPr>
      </w:pPr>
    </w:p>
    <w:p w14:paraId="67EDB40C" w14:textId="77777777" w:rsidR="0049679F" w:rsidRPr="00F90EAE" w:rsidRDefault="0049679F" w:rsidP="00F90EAE">
      <w:pPr>
        <w:autoSpaceDE w:val="0"/>
        <w:autoSpaceDN w:val="0"/>
        <w:adjustRightInd w:val="0"/>
        <w:jc w:val="both"/>
        <w:rPr>
          <w:iCs/>
          <w:color w:val="000000" w:themeColor="text1"/>
          <w:sz w:val="16"/>
          <w:szCs w:val="16"/>
        </w:rPr>
      </w:pPr>
      <w:r w:rsidRPr="00F90EAE">
        <w:rPr>
          <w:color w:val="000000" w:themeColor="text1"/>
          <w:sz w:val="16"/>
          <w:szCs w:val="16"/>
        </w:rPr>
        <w:t>19 марта (1945)</w:t>
      </w:r>
      <w:r w:rsidRPr="00F90EAE">
        <w:rPr>
          <w:bCs/>
          <w:color w:val="000000" w:themeColor="text1"/>
          <w:sz w:val="16"/>
          <w:szCs w:val="16"/>
        </w:rPr>
        <w:t xml:space="preserve"> мощное соединение американских авианосцев приблизилось к берегам Японии и выпустило сотни самолетов для удара по остаткам японского флота в Куре и Кобе. Ни одного корабля потоплено не было, но семнадцать боевых кораблей получили повреждения. В их число вошли шесть авианосцев и три линкора, включая «Изе» и «Хьюга», которые уцелели в Лейте только для того, чтобы получить бомбовые попадания в доках военно-морской базы Куре (17459).</w:t>
      </w:r>
    </w:p>
    <w:p w14:paraId="252121CE" w14:textId="77777777" w:rsidR="0049679F" w:rsidRPr="00F90EAE" w:rsidRDefault="0049679F" w:rsidP="00F90EAE">
      <w:pPr>
        <w:autoSpaceDE w:val="0"/>
        <w:autoSpaceDN w:val="0"/>
        <w:adjustRightInd w:val="0"/>
        <w:jc w:val="both"/>
        <w:rPr>
          <w:iCs/>
          <w:color w:val="000000" w:themeColor="text1"/>
          <w:sz w:val="16"/>
          <w:szCs w:val="16"/>
        </w:rPr>
      </w:pPr>
    </w:p>
    <w:p w14:paraId="30E99142" w14:textId="77777777" w:rsidR="00A8589E" w:rsidRPr="00F90EAE" w:rsidRDefault="00A8589E" w:rsidP="00F90EAE">
      <w:pPr>
        <w:jc w:val="both"/>
        <w:rPr>
          <w:color w:val="0070C0"/>
          <w:sz w:val="16"/>
          <w:szCs w:val="16"/>
        </w:rPr>
      </w:pPr>
      <w:r w:rsidRPr="00F90EAE">
        <w:rPr>
          <w:color w:val="0070C0"/>
          <w:sz w:val="16"/>
          <w:szCs w:val="16"/>
        </w:rPr>
        <w:t>19 марта 1945 Целевая группа 58 повреждает линкор Ямато, авианосцы Amagi и Ryuho и 14 других кораблей, а затем истребители проводят зачистку над Кюсю. Контратаки японской авиации повредили авианосец USS Wasp (CV-18) , у которого 101 человек убит и 269 раненых, но лн продолжает действовать еще несколько дней, а также USS Franklin (CV-13) , у которого 724 человека убиты или пропали без вести и 265 ранены. Авианосец Франклин выжил и добрался в Соединенные Штаты, несмотря на почти смертельные повреждения - вероятно, самый серьезно поврежденный авианосец за все время, когда он вернулся в порт - и никогда не возвращается в строй (20371).</w:t>
      </w:r>
    </w:p>
    <w:p w14:paraId="0B766A38" w14:textId="77777777" w:rsidR="00A8589E" w:rsidRPr="00F90EAE" w:rsidRDefault="00A8589E" w:rsidP="00F90EAE">
      <w:pPr>
        <w:jc w:val="both"/>
        <w:rPr>
          <w:color w:val="0070C0"/>
          <w:sz w:val="16"/>
          <w:szCs w:val="16"/>
        </w:rPr>
      </w:pPr>
    </w:p>
    <w:p w14:paraId="031A8F7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CFE817A" w14:textId="77777777" w:rsidR="00665165" w:rsidRPr="00F90EAE" w:rsidRDefault="00665165" w:rsidP="00F90EAE">
      <w:pPr>
        <w:autoSpaceDE w:val="0"/>
        <w:autoSpaceDN w:val="0"/>
        <w:adjustRightInd w:val="0"/>
        <w:jc w:val="both"/>
        <w:rPr>
          <w:iCs/>
          <w:color w:val="000000" w:themeColor="text1"/>
          <w:sz w:val="16"/>
          <w:szCs w:val="16"/>
        </w:rPr>
      </w:pPr>
    </w:p>
    <w:p w14:paraId="3AB9F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20 марта по 8 апреля 1945 после перерыва после 25 февраля проходили гос. испытания модифицированного (управление винтом и мотором) Ла-7 АШ-82ФН-ВГ N 38101356 производства 381 завода (744,1).</w:t>
      </w:r>
    </w:p>
    <w:p w14:paraId="0B313F93" w14:textId="77777777" w:rsidR="00665165" w:rsidRPr="00F90EAE" w:rsidRDefault="00665165" w:rsidP="00F90EAE">
      <w:pPr>
        <w:autoSpaceDE w:val="0"/>
        <w:autoSpaceDN w:val="0"/>
        <w:adjustRightInd w:val="0"/>
        <w:jc w:val="both"/>
        <w:rPr>
          <w:color w:val="000000" w:themeColor="text1"/>
          <w:sz w:val="16"/>
          <w:szCs w:val="16"/>
        </w:rPr>
      </w:pPr>
    </w:p>
    <w:p w14:paraId="7B60A6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были возобновлены и закончились 8 апреля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45CEE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выполнено 24 полета с налетом 15:40</w:t>
      </w:r>
    </w:p>
    <w:p w14:paraId="2D19B5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Вед. Ии ли и Л.А.Радионов</w:t>
      </w:r>
    </w:p>
    <w:p w14:paraId="4E5C1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и-м Д.Г.Пикуленко</w:t>
      </w:r>
    </w:p>
    <w:p w14:paraId="3F1CD7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08427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78E4EB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012873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надежности работы провести войсковые испытания (20 с-тов)</w:t>
      </w:r>
    </w:p>
    <w:p w14:paraId="07DF7F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241F80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1944 испытавался во 2у ГК НИИ ВВС на с-та Ла-5 № 1618 вновь удовлетворительно</w:t>
      </w:r>
    </w:p>
    <w:p w14:paraId="677F4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Отмечено, что значительно облегчает управление ВМГ</w:t>
      </w:r>
    </w:p>
    <w:p w14:paraId="1941D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0CE7E6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77E2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АРТЦ-43 - был изготовлен в опытном экз. В 1943 заводом № 194 НКАП согласно плану опытных работ ВВС КА</w:t>
      </w:r>
    </w:p>
    <w:p w14:paraId="7D950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58751B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1FB5A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15FF0A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744753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6F66915F" w14:textId="77777777" w:rsidR="00665165" w:rsidRPr="00F90EAE" w:rsidRDefault="00665165" w:rsidP="00F90EAE">
      <w:pPr>
        <w:autoSpaceDE w:val="0"/>
        <w:autoSpaceDN w:val="0"/>
        <w:adjustRightInd w:val="0"/>
        <w:jc w:val="both"/>
        <w:rPr>
          <w:color w:val="000000" w:themeColor="text1"/>
          <w:sz w:val="16"/>
          <w:szCs w:val="16"/>
        </w:rPr>
      </w:pPr>
    </w:p>
    <w:p w14:paraId="4CE3E8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ГИ ВВС г-п иас Репиным был утвержден акт по специальным летным испытаниям по отработке приемов и методов борьбы с-тов истребителей Як и Ла с немецкими истребителями-штурмовиками ФВ-190</w:t>
      </w:r>
    </w:p>
    <w:p w14:paraId="5E6764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Проводились с 1 по 12 марта 1945</w:t>
      </w:r>
    </w:p>
    <w:p w14:paraId="3F9211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 вед. И и-м Рабин</w:t>
      </w:r>
    </w:p>
    <w:p w14:paraId="61BF6B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 Нач. 1 отд. 1У и М.Д.Васильев</w:t>
      </w:r>
    </w:p>
    <w:p w14:paraId="0790F5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л облета: Хомяков (ФВ), Антипов (ФВ), Дзюба (Ла-5), Кубышкин (Ла-7), Прошаков (Як-3), Кувшинов (Як-9У).</w:t>
      </w:r>
    </w:p>
    <w:p w14:paraId="5F356B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ФВ-190А-8 № 68201 - серийный, выпуска сентября 1944.</w:t>
      </w:r>
    </w:p>
    <w:p w14:paraId="1F79CC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Основное назначение с-та - борьба с тяжелыми бомб. с-тами.</w:t>
      </w:r>
    </w:p>
    <w:p w14:paraId="1E9A77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Советско-германском фронте применяется в качестве истребителя и штурмовика.</w:t>
      </w:r>
    </w:p>
    <w:p w14:paraId="26E70F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с-те уст. Мотор возд. Охл. БМВ-801, допускающий использование форсированным режимом общим временем 10 мин. (непрерывная продолжительность) на 2700 оборотах., давление наддува 1,58 ам. На мм2 и на 2-й скорости нагнетателя - 1,65.</w:t>
      </w:r>
    </w:p>
    <w:p w14:paraId="09586B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 горючего - 642 л, размещается в 2-х основных и одном дополнительном б/б.</w:t>
      </w:r>
    </w:p>
    <w:p w14:paraId="20127C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 УДМ диаметром 3,3</w:t>
      </w:r>
    </w:p>
    <w:p w14:paraId="003749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2хсинхронных пулеметы МГ-131 калибра 13мм с б/з по 450 патронов и 2хсинхронные пушки кал. 20мм МГ-151 с б/з по 250 снарядов, а т. 2хкрыльевые пушки МК-108-А-3 с ленточным питанием калибра 30 мм с б/з по 50 снарядов.</w:t>
      </w:r>
    </w:p>
    <w:p w14:paraId="63F853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 фюзеляжем предусмотрена подвеска б/д для бом весом до 250 кг (или подвесного б/б)</w:t>
      </w:r>
    </w:p>
    <w:p w14:paraId="489DA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С-т оборудован модифицированной УКВ р/с </w:t>
      </w:r>
      <w:r w:rsidRPr="00F90EAE">
        <w:rPr>
          <w:color w:val="000000" w:themeColor="text1"/>
          <w:sz w:val="16"/>
          <w:szCs w:val="16"/>
          <w:lang w:val="en-US"/>
        </w:rPr>
        <w:t>F</w:t>
      </w:r>
      <w:r w:rsidRPr="00F90EAE">
        <w:rPr>
          <w:color w:val="000000" w:themeColor="text1"/>
          <w:sz w:val="16"/>
          <w:szCs w:val="16"/>
        </w:rPr>
        <w:t xml:space="preserve"> и </w:t>
      </w:r>
      <w:r w:rsidRPr="00F90EAE">
        <w:rPr>
          <w:color w:val="000000" w:themeColor="text1"/>
          <w:sz w:val="16"/>
          <w:szCs w:val="16"/>
          <w:lang w:val="en-US"/>
        </w:rPr>
        <w:t>G</w:t>
      </w:r>
      <w:r w:rsidRPr="00F90EAE">
        <w:rPr>
          <w:color w:val="000000" w:themeColor="text1"/>
          <w:sz w:val="16"/>
          <w:szCs w:val="16"/>
        </w:rPr>
        <w:t>-25А, представляющей собой радиоопознавательс “свой-чужой”.</w:t>
      </w:r>
    </w:p>
    <w:p w14:paraId="62A2B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приземлился на советской территории в октябре 1944.</w:t>
      </w:r>
    </w:p>
    <w:p w14:paraId="16476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восстановительного ремонта на опытном заводе ГК НИИ ВВС к началу наст. Испытаний на нем совершено 18 полетов прод. 15:00.</w:t>
      </w:r>
    </w:p>
    <w:p w14:paraId="4C0F42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ФВ-190А-8 № 580967 - представляет собой облегченный нормальный с-т ФВ-190А-8 за счет снятия 2-х крыльевых пушек и дополнительного бюзеляжного б/б емкостью 118 л</w:t>
      </w:r>
    </w:p>
    <w:p w14:paraId="00654A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200-300 м на форсаже уходит от Як-3 на преследовании</w:t>
      </w:r>
    </w:p>
    <w:p w14:paraId="48E72A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Наши л преджлагают 2 эшелона патрулирования (500 м и 1300 м), т.к. ФВ может идти и на бреющем полете и их плохо видно на фоне местности или на 1000-1500 м/, где с-ты Як-3 и Ла-7 имеют преимущество. На малой высоте большой расход горючего, а ходить на малой скорости - опасно (746,1).</w:t>
      </w:r>
    </w:p>
    <w:p w14:paraId="6748C8FF" w14:textId="77777777" w:rsidR="00665165" w:rsidRPr="00F90EAE" w:rsidRDefault="00665165" w:rsidP="00F90EAE">
      <w:pPr>
        <w:autoSpaceDE w:val="0"/>
        <w:autoSpaceDN w:val="0"/>
        <w:adjustRightInd w:val="0"/>
        <w:jc w:val="both"/>
        <w:rPr>
          <w:color w:val="000000" w:themeColor="text1"/>
          <w:sz w:val="16"/>
          <w:szCs w:val="16"/>
        </w:rPr>
      </w:pPr>
    </w:p>
    <w:p w14:paraId="6E53D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марта по конец августа 1945 в Средней Азии в Голодной степи между Ташкентом и Сыр-Дарьей в зоне шириной 50 км и длинной 270 км с Севера на Юр от Арыси до Джезказгана начались испытания нашего V-1 Х-10 В.Н.Челомея. Пускали с 3 Пе-8, дооборудованных на 51 заводе. Получилось не более 30% успешных из 63 пусков (1087,30). Бросали с 2000 м и до выхода на горизонтальный полет снаряд терял 100-200 м. Из 22 сброшенных нормально в самостоятельный полет перешли 6. На втором этапе - 12, на третьем из 4 - 3 и сила взрыва была эквивалентна ФАБ-2000. Из 18 пущенных для определения точности до цели долетело 6 и 5 попали в квадрат 20х20 км за 170 км. Испытания закончились 25 июля (1800,4).</w:t>
      </w:r>
    </w:p>
    <w:p w14:paraId="22061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в апреле (1087,30).</w:t>
      </w:r>
    </w:p>
    <w:p w14:paraId="5E952655" w14:textId="77777777" w:rsidR="00665165" w:rsidRPr="00F90EAE" w:rsidRDefault="00665165" w:rsidP="00F90EAE">
      <w:pPr>
        <w:autoSpaceDE w:val="0"/>
        <w:autoSpaceDN w:val="0"/>
        <w:adjustRightInd w:val="0"/>
        <w:jc w:val="both"/>
        <w:rPr>
          <w:color w:val="000000" w:themeColor="text1"/>
          <w:sz w:val="16"/>
          <w:szCs w:val="16"/>
        </w:rPr>
      </w:pPr>
    </w:p>
    <w:p w14:paraId="1AEC73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завод № 124 получил письмо от заместителя командира 45-й авиадивизии дальнего действия Анурова, который сообщал, что «на самолете Пе-8 № 42611 4 М-82, при выполнении боевого задания 26.02.1944, в полете лопнул нижний пояс переднего лонжерона центроплана в бомболюке. Разрушение произошло на 40 часу эксплуатации самолета при гарантийных 500 часах.</w:t>
      </w:r>
    </w:p>
    <w:p w14:paraId="7C113F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Обрывы нижних поясов лонжеронов центроплана являются массовыми, имели место в восьми случаях» (12049).</w:t>
      </w:r>
    </w:p>
    <w:p w14:paraId="3CB62206" w14:textId="77777777" w:rsidR="00665165" w:rsidRPr="00F90EAE" w:rsidRDefault="00665165" w:rsidP="00F90EAE">
      <w:pPr>
        <w:autoSpaceDE w:val="0"/>
        <w:autoSpaceDN w:val="0"/>
        <w:adjustRightInd w:val="0"/>
        <w:jc w:val="both"/>
        <w:rPr>
          <w:color w:val="000000" w:themeColor="text1"/>
          <w:sz w:val="16"/>
          <w:szCs w:val="16"/>
        </w:rPr>
      </w:pPr>
    </w:p>
    <w:p w14:paraId="32440A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выполнили первый сброс самолета-снаряда на высоте 700 м. устойчиво прошел 22 км при заданных 30, хорошо сохраняя курс (1873,291).</w:t>
      </w:r>
    </w:p>
    <w:p w14:paraId="775C9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18 апреля 1945 был только один Пе-8 (1873,234).</w:t>
      </w:r>
    </w:p>
    <w:p w14:paraId="37214A1B" w14:textId="77777777" w:rsidR="00665165" w:rsidRPr="00F90EAE" w:rsidRDefault="00665165" w:rsidP="00F90EAE">
      <w:pPr>
        <w:autoSpaceDE w:val="0"/>
        <w:autoSpaceDN w:val="0"/>
        <w:adjustRightInd w:val="0"/>
        <w:jc w:val="both"/>
        <w:rPr>
          <w:color w:val="000000" w:themeColor="text1"/>
          <w:sz w:val="16"/>
          <w:szCs w:val="16"/>
        </w:rPr>
      </w:pPr>
    </w:p>
    <w:p w14:paraId="1324BC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марта 1945 г. начались летные испытания 10Х. По их результатам рекомендо</w:t>
      </w:r>
      <w:r w:rsidRPr="00F90EAE">
        <w:rPr>
          <w:color w:val="000000" w:themeColor="text1"/>
          <w:sz w:val="16"/>
          <w:szCs w:val="16"/>
        </w:rPr>
        <w:softHyphen/>
        <w:t>вали принять 10Х на вооружение. Затем последовали крылатые ракеты 14Х, 16Х и другие (10667).</w:t>
      </w:r>
    </w:p>
    <w:p w14:paraId="035CD0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AB2D0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г. крылатая ракета 10Х конструкции Челомея совершила первый полет с борта Пе8 – советской «летающей крепости». Сброс КР 10Х производился на высоте 2000 м. После сброса КР 10Х провалилась на 100–200 м, а затем вышла в горизонтальный полет. Дальше полет проходил на заданной высоте и по установленному на земле курсу. Из 22 сброшенных самолетов-снарядов нормально в самостоятельный полет перешли только шесть.</w:t>
      </w:r>
    </w:p>
    <w:p w14:paraId="58F9D3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этапе определялись основные характеристики КР 10Х, проверялась работа их агрегатов и механизмов. Было сброшено также 22 самолета-снаряда. Из них в самостоятельный полет ушло уже 12 самолетов-снарядов. Полученные скорость полета 600–620 км/ч и дальность полета до 240 км соответствовали расчетным данным.</w:t>
      </w:r>
    </w:p>
    <w:p w14:paraId="0330E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первом и втором этапах проводились заводские испытания.</w:t>
      </w:r>
    </w:p>
    <w:p w14:paraId="05EF7D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третьем, заключительном этапе проводились полигонные испытания. В их задачу входила проверка точности попадания самолета-снаряда и эффективности действия боевого заряда. Из четырех снабженных взрывчатым веществом самолетов-снарядов 10Х три выполнили поставленную задачу удовлетворительно. Сила взрыва оказалась эквивалентной силе взрыва авиационной бомбы весом 2000 кг.</w:t>
      </w:r>
    </w:p>
    <w:p w14:paraId="4FB6D0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определения точности стрельбы было запущено 18 самолетов-снарядов. Для проведения испытаний были выбраны тяжелые климатические условия. Температура воздуха достигала 60–65оС выше нуля. Пыль и песок забивали воздухопроводы, попадая в автопилоты, выводили их из строя. До цели долетели только шесть КР, пять из них попали в заданный квадрат 20 х 20 км, расположенный на расстоянии 170 км от точки сброса (11686).</w:t>
      </w:r>
    </w:p>
    <w:p w14:paraId="33618C8D" w14:textId="77777777" w:rsidR="00665165" w:rsidRPr="00F90EAE" w:rsidRDefault="00665165" w:rsidP="00F90EAE">
      <w:pPr>
        <w:autoSpaceDE w:val="0"/>
        <w:autoSpaceDN w:val="0"/>
        <w:adjustRightInd w:val="0"/>
        <w:jc w:val="both"/>
        <w:rPr>
          <w:color w:val="000000" w:themeColor="text1"/>
          <w:sz w:val="16"/>
          <w:szCs w:val="16"/>
        </w:rPr>
      </w:pPr>
    </w:p>
    <w:p w14:paraId="4059DA6F" w14:textId="77777777" w:rsidR="00BA2B8F" w:rsidRPr="00F90EAE" w:rsidRDefault="00BA2B8F" w:rsidP="00F90EAE">
      <w:pPr>
        <w:jc w:val="both"/>
        <w:rPr>
          <w:color w:val="000000" w:themeColor="text1"/>
          <w:sz w:val="16"/>
          <w:szCs w:val="16"/>
        </w:rPr>
      </w:pPr>
      <w:r w:rsidRPr="00F90EAE">
        <w:rPr>
          <w:color w:val="000000" w:themeColor="text1"/>
          <w:sz w:val="16"/>
          <w:szCs w:val="16"/>
        </w:rPr>
        <w:t>20 марта 1945 г. в районе г. Джизак Узбекской СССР начались летные испытания самолетов-снарядов, которые подвешивались под переоборудованные серийные бомбардировщики. Коллектив и его руководитель работали с большим энтузиазмом и напряжением. В сентябре 1945 г. Челомей был награжден первым (и сразу высшим!) орденом Ленина, как он написал в автобиографии - «за особую НИР по авиадвигателям» (12415).</w:t>
      </w:r>
    </w:p>
    <w:p w14:paraId="521DACAA" w14:textId="77777777" w:rsidR="00BA2B8F" w:rsidRPr="00F90EAE" w:rsidRDefault="00BA2B8F" w:rsidP="00F90EAE">
      <w:pPr>
        <w:jc w:val="both"/>
        <w:rPr>
          <w:color w:val="000000" w:themeColor="text1"/>
          <w:sz w:val="16"/>
          <w:szCs w:val="16"/>
        </w:rPr>
      </w:pPr>
    </w:p>
    <w:p w14:paraId="5775D584" w14:textId="77777777" w:rsidR="00D76EE0" w:rsidRPr="00F90EAE" w:rsidRDefault="00D76EE0"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20 марта 1945 г. в Средней Азии начались Испытания самолетов-снарядов и продолжа</w:t>
      </w:r>
      <w:r w:rsidRPr="00F90EAE">
        <w:rPr>
          <w:rFonts w:ascii="Times New Roman" w:cs="Times New Roman"/>
          <w:color w:val="000000" w:themeColor="text1"/>
          <w:spacing w:val="0"/>
          <w:sz w:val="16"/>
          <w:szCs w:val="16"/>
        </w:rPr>
        <w:softHyphen/>
        <w:t>лись до августа. Изготовление катапульты требовало длительного времени. Поэтому, в отличие от нем</w:t>
      </w:r>
      <w:r w:rsidRPr="00F90EAE">
        <w:rPr>
          <w:rFonts w:ascii="Times New Roman" w:cs="Times New Roman"/>
          <w:color w:val="000000" w:themeColor="text1"/>
          <w:spacing w:val="0"/>
          <w:sz w:val="16"/>
          <w:szCs w:val="16"/>
        </w:rPr>
        <w:softHyphen/>
        <w:t>цев, с опережением шел вариант самолётного старта. На заводе № 51 осуществлялась изготовление устройств подвески самолётов-снарядов для дооборудования трех тяжёлых бомбардировщиков Пе-8. Для испытаний в Голодной степи (между Ташкентом и Сыр-Дарьей) выделили</w:t>
      </w:r>
      <w:r w:rsidRPr="00F90EAE">
        <w:rPr>
          <w:rStyle w:val="aff9"/>
          <w:rFonts w:ascii="Times New Roman" w:cs="Times New Roman"/>
          <w:b w:val="0"/>
          <w:color w:val="000000" w:themeColor="text1"/>
          <w:spacing w:val="0"/>
          <w:sz w:val="16"/>
          <w:szCs w:val="16"/>
        </w:rPr>
        <w:t xml:space="preserve"> зону </w:t>
      </w:r>
      <w:r w:rsidRPr="00F90EAE">
        <w:rPr>
          <w:rFonts w:ascii="Times New Roman" w:cs="Times New Roman"/>
          <w:color w:val="000000" w:themeColor="text1"/>
          <w:spacing w:val="0"/>
          <w:sz w:val="16"/>
          <w:szCs w:val="16"/>
        </w:rPr>
        <w:t>шириной 50 км, протянувшуюся на 270 км с севера на юг от Арыси до Джизака, где</w:t>
      </w:r>
      <w:r w:rsidRPr="00F90EAE">
        <w:rPr>
          <w:rStyle w:val="aff9"/>
          <w:rFonts w:ascii="Times New Roman" w:cs="Times New Roman"/>
          <w:b w:val="0"/>
          <w:color w:val="000000" w:themeColor="text1"/>
          <w:spacing w:val="0"/>
          <w:sz w:val="16"/>
          <w:szCs w:val="16"/>
        </w:rPr>
        <w:t xml:space="preserve"> и </w:t>
      </w:r>
      <w:r w:rsidRPr="00F90EAE">
        <w:rPr>
          <w:rFonts w:ascii="Times New Roman" w:cs="Times New Roman"/>
          <w:color w:val="000000" w:themeColor="text1"/>
          <w:spacing w:val="0"/>
          <w:sz w:val="16"/>
          <w:szCs w:val="16"/>
        </w:rPr>
        <w:t>базировалась экспедиция (15790).</w:t>
      </w:r>
    </w:p>
    <w:p w14:paraId="5E8D0809" w14:textId="77777777" w:rsidR="00D76EE0" w:rsidRPr="00F90EAE" w:rsidRDefault="00D76EE0" w:rsidP="00F90EAE">
      <w:pPr>
        <w:jc w:val="both"/>
        <w:rPr>
          <w:color w:val="000000" w:themeColor="text1"/>
          <w:sz w:val="16"/>
          <w:szCs w:val="16"/>
        </w:rPr>
      </w:pPr>
    </w:p>
    <w:p w14:paraId="637A2E5D" w14:textId="77777777" w:rsidR="00BA2B8F" w:rsidRPr="00F90EAE" w:rsidRDefault="00BA2B8F" w:rsidP="00F90EAE">
      <w:pPr>
        <w:jc w:val="both"/>
        <w:rPr>
          <w:color w:val="000000" w:themeColor="text1"/>
          <w:sz w:val="16"/>
          <w:szCs w:val="16"/>
        </w:rPr>
      </w:pPr>
      <w:r w:rsidRPr="00F90EAE">
        <w:rPr>
          <w:color w:val="000000" w:themeColor="text1"/>
          <w:sz w:val="16"/>
          <w:szCs w:val="16"/>
        </w:rPr>
        <w:t>20 марта 1945 года состоялся первый пуск СС „10-Х” с самолета-носителя ПЕ-8.</w:t>
      </w:r>
    </w:p>
    <w:p w14:paraId="6151919B" w14:textId="77777777" w:rsidR="00BA2B8F" w:rsidRPr="00F90EAE" w:rsidRDefault="00BA2B8F" w:rsidP="00F90EAE">
      <w:pPr>
        <w:jc w:val="both"/>
        <w:rPr>
          <w:color w:val="000000" w:themeColor="text1"/>
          <w:sz w:val="16"/>
          <w:szCs w:val="16"/>
        </w:rPr>
      </w:pPr>
      <w:r w:rsidRPr="00F90EAE">
        <w:rPr>
          <w:color w:val="000000" w:themeColor="text1"/>
          <w:sz w:val="16"/>
          <w:szCs w:val="16"/>
        </w:rPr>
        <w:t>В период с 20 марта по 28 июля, при наличии трех самолетов-носителей ПЕ-8 и самолета ЕР-2, было проведено 70 пусков СС „10-Х”...» (12414).</w:t>
      </w:r>
    </w:p>
    <w:p w14:paraId="114BCFC3" w14:textId="77777777" w:rsidR="00BA2B8F" w:rsidRPr="00F90EAE" w:rsidRDefault="00BA2B8F" w:rsidP="00F90EAE">
      <w:pPr>
        <w:jc w:val="both"/>
        <w:rPr>
          <w:color w:val="000000" w:themeColor="text1"/>
          <w:sz w:val="16"/>
          <w:szCs w:val="16"/>
        </w:rPr>
      </w:pPr>
    </w:p>
    <w:p w14:paraId="246E2743" w14:textId="77777777" w:rsidR="00750C95" w:rsidRPr="00F90EAE" w:rsidRDefault="00750C95" w:rsidP="00F90EAE">
      <w:pPr>
        <w:jc w:val="both"/>
        <w:rPr>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осуществлен первый полет "самолета-снаряда" </w:t>
      </w:r>
      <w:hyperlink r:id="rId73" w:tgtFrame="_blank" w:history="1">
        <w:r w:rsidRPr="00F90EAE">
          <w:rPr>
            <w:color w:val="000000" w:themeColor="text1"/>
            <w:sz w:val="16"/>
            <w:szCs w:val="16"/>
          </w:rPr>
          <w:t xml:space="preserve">«10-Х» </w:t>
        </w:r>
      </w:hyperlink>
      <w:r w:rsidRPr="00F90EAE">
        <w:rPr>
          <w:color w:val="000000" w:themeColor="text1"/>
          <w:sz w:val="16"/>
          <w:szCs w:val="16"/>
        </w:rPr>
        <w:t>разработки коллектива ОКБ-51 во главе с В.Н.Челомеем (отечественного аналога немецкой «Фау-1»). Запуск произведен с самолета «Пе-8». Заводские летные испытания нового оружия начались в Голодной степи на базе экспедиции в Джизаке. В рамках первого этапа испытаний осуществлялась проверка функционирования подвесных устройств на «Пе-8», сбрасывания «10Х», а также работы его механизмов и двигателя в момент отрыва от самолета-носителя. Сброс «10Х» производился на высоте 2000 метров, после чего, до момента выхода самолета-санряда в горизонтальный полет он терял 100-200 метров высоты. Дальше полет шел на заданной высоте по установленному еще на земле курсу. Из 22 сброшенных самолетов-снарядов «10Х» нормально в самостоятельный полет смогли перейти лишь 6 (15074).</w:t>
      </w:r>
    </w:p>
    <w:p w14:paraId="30E4EA64" w14:textId="77777777" w:rsidR="00750C95" w:rsidRPr="00F90EAE" w:rsidRDefault="00750C95" w:rsidP="00F90EAE">
      <w:pPr>
        <w:jc w:val="both"/>
        <w:rPr>
          <w:color w:val="000000" w:themeColor="text1"/>
          <w:sz w:val="16"/>
          <w:szCs w:val="16"/>
        </w:rPr>
      </w:pPr>
    </w:p>
    <w:p w14:paraId="4ED1180F" w14:textId="77777777" w:rsidR="00A8589E" w:rsidRPr="00F90EAE" w:rsidRDefault="00A8589E" w:rsidP="00F90EAE">
      <w:pPr>
        <w:jc w:val="both"/>
        <w:rPr>
          <w:color w:val="0070C0"/>
          <w:sz w:val="16"/>
          <w:szCs w:val="16"/>
        </w:rPr>
      </w:pPr>
      <w:r w:rsidRPr="00F90EAE">
        <w:rPr>
          <w:color w:val="0070C0"/>
          <w:sz w:val="16"/>
          <w:szCs w:val="16"/>
        </w:rPr>
        <w:t>В период с 20 марта по 22 июля 1945 г., при наличии трех самолетов-носителей Пе-8, было проведено 63 пуска самолетов-снарядов 10Х (19823).</w:t>
      </w:r>
    </w:p>
    <w:p w14:paraId="4694DF60" w14:textId="77777777" w:rsidR="00A8589E" w:rsidRPr="00F90EAE" w:rsidRDefault="00A8589E" w:rsidP="00F90EAE">
      <w:pPr>
        <w:jc w:val="both"/>
        <w:rPr>
          <w:color w:val="0070C0"/>
          <w:sz w:val="16"/>
          <w:szCs w:val="16"/>
        </w:rPr>
      </w:pPr>
    </w:p>
    <w:p w14:paraId="5900C8E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E2755AE" w14:textId="77777777" w:rsidR="00665165" w:rsidRPr="00F90EAE" w:rsidRDefault="00665165" w:rsidP="00F90EAE">
      <w:pPr>
        <w:autoSpaceDE w:val="0"/>
        <w:autoSpaceDN w:val="0"/>
        <w:adjustRightInd w:val="0"/>
        <w:jc w:val="both"/>
        <w:rPr>
          <w:iCs/>
          <w:color w:val="000000" w:themeColor="text1"/>
          <w:sz w:val="16"/>
          <w:szCs w:val="16"/>
        </w:rPr>
      </w:pPr>
    </w:p>
    <w:p w14:paraId="160EA3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марта 1945 г. была подготовлена ДОКЛАДНАЯ ЗАПИСКА ЗАМЕСТИТЕЛЮ ПРЕДСЕДАТЕЛЯ ГКО Л.П. БЕРИИ О НОВОМ ТЯЖЕЛОМ ТАНКЕ НА БАЗЕ ТАНКА ИС</w:t>
      </w:r>
    </w:p>
    <w:p w14:paraId="4AB423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Докладываем, что Кировским заводом Наркомтанкопрома спроектировано и изготовлено 5 опытных образцов нового тяжелого танка на базе танка ИС (Иосиф Сталин).</w:t>
      </w:r>
    </w:p>
    <w:p w14:paraId="7BB277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новом танке осуществлена новая конструкция башни и броневого корпуса, обеспечивающая значительное, более чем в два раза, увеличение бронестойкости по сравнению с серийным танком ИС. Такое увеличение бронестойкости достигнуто как за счет некоторого увеличения толщины брони, но главным образом за счет применения больших углов наклона броневых стенок башни и корпуса, что резко повысило их бронестойкость.</w:t>
      </w:r>
    </w:p>
    <w:p w14:paraId="08A057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Корпус и башня нового тяжелого танка не будет пробиваться из танковой и противотанковой пушки противника калибром 88 мм при стрельбе в лоб башни и в борта при курсовых углах маневри</w:t>
      </w:r>
      <w:r w:rsidRPr="00F90EAE">
        <w:rPr>
          <w:color w:val="000000" w:themeColor="text1"/>
          <w:sz w:val="16"/>
          <w:szCs w:val="16"/>
        </w:rPr>
        <w:softHyphen/>
        <w:t>рования танка к противнику до 60".</w:t>
      </w:r>
    </w:p>
    <w:p w14:paraId="0A58F5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Различие в бронировании нового танка и серийного танка ИС видно из таблицы (где толщина брони в мм и угол наклона в градусах):</w:t>
      </w:r>
    </w:p>
    <w:tbl>
      <w:tblPr>
        <w:tblW w:w="0" w:type="auto"/>
        <w:tblInd w:w="40" w:type="dxa"/>
        <w:tblLayout w:type="fixed"/>
        <w:tblCellMar>
          <w:left w:w="40" w:type="dxa"/>
          <w:right w:w="40" w:type="dxa"/>
        </w:tblCellMar>
        <w:tblLook w:val="0000" w:firstRow="0" w:lastRow="0" w:firstColumn="0" w:lastColumn="0" w:noHBand="0" w:noVBand="0"/>
      </w:tblPr>
      <w:tblGrid>
        <w:gridCol w:w="3370"/>
        <w:gridCol w:w="3120"/>
        <w:gridCol w:w="3072"/>
      </w:tblGrid>
      <w:tr w:rsidR="00561F31" w:rsidRPr="00F90EAE" w14:paraId="06C917C6" w14:textId="77777777">
        <w:trPr>
          <w:trHeight w:val="317"/>
        </w:trPr>
        <w:tc>
          <w:tcPr>
            <w:tcW w:w="3370" w:type="dxa"/>
            <w:tcBorders>
              <w:top w:val="single" w:sz="6" w:space="0" w:color="auto"/>
              <w:left w:val="single" w:sz="6" w:space="0" w:color="auto"/>
              <w:bottom w:val="single" w:sz="6" w:space="0" w:color="auto"/>
              <w:right w:val="single" w:sz="6" w:space="0" w:color="auto"/>
            </w:tcBorders>
          </w:tcPr>
          <w:p w14:paraId="11BF21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детали</w:t>
            </w:r>
          </w:p>
          <w:p w14:paraId="6C6FB4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46C19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ИС</w:t>
            </w:r>
          </w:p>
          <w:p w14:paraId="120B86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F454B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тяжелый танк</w:t>
            </w:r>
          </w:p>
          <w:p w14:paraId="007440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DF96344"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BA1C8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 Нос танка:</w:t>
            </w:r>
          </w:p>
          <w:p w14:paraId="38956C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5775B0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F3F3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1E0CB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DA54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8C3A75F"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0361E6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верхний лист</w:t>
            </w:r>
          </w:p>
          <w:p w14:paraId="5DDA11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1E1E3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 мм / 60°</w:t>
            </w:r>
          </w:p>
          <w:p w14:paraId="21D862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054878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 мм /55°</w:t>
            </w:r>
          </w:p>
          <w:p w14:paraId="484BA3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731BD83"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F8B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нижний лист</w:t>
            </w:r>
          </w:p>
          <w:p w14:paraId="7407C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8E0DE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 мм / 30°</w:t>
            </w:r>
          </w:p>
          <w:p w14:paraId="15D30C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5C9BC4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 мм /55</w:t>
            </w:r>
          </w:p>
          <w:p w14:paraId="5ECADA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32BB308"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A4003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Борта танка:</w:t>
            </w:r>
          </w:p>
          <w:p w14:paraId="44D19A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38225D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6408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DA824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67F78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949CE92"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3E7FE6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вертикальный</w:t>
            </w:r>
          </w:p>
          <w:p w14:paraId="4BB186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48414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90мм</w:t>
            </w:r>
          </w:p>
          <w:p w14:paraId="0A0823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75489A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90мм</w:t>
            </w:r>
          </w:p>
          <w:p w14:paraId="7D4C0A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0C79890"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4F86B4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наклонный</w:t>
            </w:r>
          </w:p>
          <w:p w14:paraId="7DD49B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6057F6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 мм /15'</w:t>
            </w:r>
          </w:p>
          <w:p w14:paraId="298739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43B1CE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 мм / 60"</w:t>
            </w:r>
          </w:p>
          <w:p w14:paraId="17472E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9B1471E"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243491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Башня:</w:t>
            </w:r>
          </w:p>
          <w:p w14:paraId="0FB7DB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B77CE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48D9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2BDFC4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293C3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1CF2AEB"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1020E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передняя часть</w:t>
            </w:r>
          </w:p>
          <w:p w14:paraId="27059F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1DB791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100мм</w:t>
            </w:r>
          </w:p>
          <w:p w14:paraId="2657CE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118B7D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210мм</w:t>
            </w:r>
          </w:p>
          <w:p w14:paraId="2F6571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E830885" w14:textId="77777777">
        <w:trPr>
          <w:trHeight w:val="307"/>
        </w:trPr>
        <w:tc>
          <w:tcPr>
            <w:tcW w:w="3370" w:type="dxa"/>
            <w:tcBorders>
              <w:top w:val="single" w:sz="6" w:space="0" w:color="auto"/>
              <w:left w:val="single" w:sz="6" w:space="0" w:color="auto"/>
              <w:bottom w:val="single" w:sz="6" w:space="0" w:color="auto"/>
              <w:right w:val="single" w:sz="6" w:space="0" w:color="auto"/>
            </w:tcBorders>
          </w:tcPr>
          <w:p w14:paraId="63AE53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боковые стенки</w:t>
            </w:r>
          </w:p>
          <w:p w14:paraId="31BB10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20" w:type="dxa"/>
            <w:tcBorders>
              <w:top w:val="single" w:sz="6" w:space="0" w:color="auto"/>
              <w:left w:val="single" w:sz="6" w:space="0" w:color="auto"/>
              <w:bottom w:val="single" w:sz="6" w:space="0" w:color="auto"/>
              <w:right w:val="single" w:sz="6" w:space="0" w:color="auto"/>
            </w:tcBorders>
          </w:tcPr>
          <w:p w14:paraId="706CC0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 мм /20"</w:t>
            </w:r>
          </w:p>
          <w:p w14:paraId="17190B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072" w:type="dxa"/>
            <w:tcBorders>
              <w:top w:val="single" w:sz="6" w:space="0" w:color="auto"/>
              <w:left w:val="single" w:sz="6" w:space="0" w:color="auto"/>
              <w:bottom w:val="single" w:sz="6" w:space="0" w:color="auto"/>
              <w:right w:val="single" w:sz="6" w:space="0" w:color="auto"/>
            </w:tcBorders>
          </w:tcPr>
          <w:p w14:paraId="36E0F7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115 мм /45</w:t>
            </w:r>
          </w:p>
          <w:p w14:paraId="6F8EA5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8D35386" w14:textId="77777777">
        <w:trPr>
          <w:trHeight w:val="326"/>
        </w:trPr>
        <w:tc>
          <w:tcPr>
            <w:tcW w:w="3370" w:type="dxa"/>
            <w:tcBorders>
              <w:top w:val="single" w:sz="6" w:space="0" w:color="auto"/>
              <w:left w:val="single" w:sz="6" w:space="0" w:color="auto"/>
              <w:bottom w:val="single" w:sz="6" w:space="0" w:color="auto"/>
              <w:right w:val="single" w:sz="6" w:space="0" w:color="auto"/>
            </w:tcBorders>
          </w:tcPr>
          <w:p w14:paraId="13EAAA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Корма танка</w:t>
            </w:r>
          </w:p>
          <w:p w14:paraId="2CAB89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192" w:type="dxa"/>
            <w:gridSpan w:val="2"/>
            <w:tcBorders>
              <w:top w:val="single" w:sz="6" w:space="0" w:color="auto"/>
              <w:left w:val="single" w:sz="6" w:space="0" w:color="auto"/>
              <w:bottom w:val="single" w:sz="6" w:space="0" w:color="auto"/>
              <w:right w:val="single" w:sz="6" w:space="0" w:color="auto"/>
            </w:tcBorders>
          </w:tcPr>
          <w:p w14:paraId="4BBD6F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толщина и углы наклона одинаковые</w:t>
            </w:r>
          </w:p>
          <w:p w14:paraId="3D7BFE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3E381E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Изменение бронирования вызвало лишь незначительное, на полтонны, увеличение веса нового танка.</w:t>
      </w:r>
    </w:p>
    <w:p w14:paraId="09FA31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механизмы трансмиссии и ходовой части нового танка остались те же, что и у серийного танка ИС. На новом танке установлено специальное электрическое устройство, позволяющее коман</w:t>
      </w:r>
      <w:r w:rsidRPr="00F90EAE">
        <w:rPr>
          <w:color w:val="000000" w:themeColor="text1"/>
          <w:sz w:val="16"/>
          <w:szCs w:val="16"/>
        </w:rPr>
        <w:softHyphen/>
        <w:t>диру танка управлять огнем со своего места.</w:t>
      </w:r>
    </w:p>
    <w:p w14:paraId="5E43B0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тяжелый танк в декабре месяце 1944 г. успешно прошел испытания на научно-испыта</w:t>
      </w:r>
      <w:r w:rsidRPr="00F90EAE">
        <w:rPr>
          <w:color w:val="000000" w:themeColor="text1"/>
          <w:sz w:val="16"/>
          <w:szCs w:val="16"/>
        </w:rPr>
        <w:softHyphen/>
        <w:t>тельном бронетанковом полигоне ГБТУ КА.</w:t>
      </w:r>
    </w:p>
    <w:p w14:paraId="65C677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Учитывая несомненные преимущества нового тяжелого танка, вносим на Ваше рассмотрение проект постановления ГОКО, в котором предусматривается:</w:t>
      </w:r>
    </w:p>
    <w:p w14:paraId="09EC2E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Принятие на вооружение Красной Армии нового тяжелого танка Кировского завода.</w:t>
      </w:r>
    </w:p>
    <w:p w14:paraId="44D12C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Присвоение новому танку имени «Маршал Сталин».</w:t>
      </w:r>
    </w:p>
    <w:p w14:paraId="27B104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Начало серийного производства танков «Маршал Сталин» предполагается начать в апреле месяце выпуском 25 штук, в мае — 100 штук и в июне 250 штук, т.е. полностью перейти на выпуск танков «Маршал Сталин» вместо танков ИС.</w:t>
      </w:r>
    </w:p>
    <w:p w14:paraId="4D16B8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Серийное производство танков «Маршал Сталин» будет осуществляться без снижения выпуска на Кировском заводе тяжелых танков и артсамоходов (500 штук в месяц).</w:t>
      </w:r>
    </w:p>
    <w:p w14:paraId="7B9E22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Просим поддержать наше ходатайство и подписать прилагаемое письмо на имя товарища Сталина.</w:t>
      </w:r>
    </w:p>
    <w:p w14:paraId="7CA274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Малышев Н. Бирюков</w:t>
      </w:r>
    </w:p>
    <w:p w14:paraId="7F4E6F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Коробков Н. Борисов</w:t>
      </w:r>
    </w:p>
    <w:p w14:paraId="7F0D0D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И.Зальцман</w:t>
      </w:r>
    </w:p>
    <w:p w14:paraId="32DB6C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2732. Л. 22-23. Копия (11420).</w:t>
      </w:r>
    </w:p>
    <w:p w14:paraId="26DA6D48" w14:textId="77777777" w:rsidR="00665165" w:rsidRPr="00F90EAE" w:rsidRDefault="00665165" w:rsidP="00F90EAE">
      <w:pPr>
        <w:autoSpaceDE w:val="0"/>
        <w:autoSpaceDN w:val="0"/>
        <w:adjustRightInd w:val="0"/>
        <w:jc w:val="both"/>
        <w:rPr>
          <w:color w:val="000000" w:themeColor="text1"/>
          <w:sz w:val="16"/>
          <w:szCs w:val="16"/>
        </w:rPr>
      </w:pPr>
    </w:p>
    <w:p w14:paraId="5EA0082A" w14:textId="77777777" w:rsidR="00A8589E" w:rsidRPr="00F90EAE" w:rsidRDefault="00A8589E" w:rsidP="00F90EAE">
      <w:pPr>
        <w:pStyle w:val="260"/>
        <w:shd w:val="clear" w:color="auto" w:fill="auto"/>
        <w:spacing w:line="240" w:lineRule="auto"/>
        <w:jc w:val="both"/>
        <w:rPr>
          <w:rFonts w:ascii="Times New Roman" w:hAnsi="Times New Roman"/>
          <w:color w:val="0070C0"/>
          <w:sz w:val="16"/>
          <w:szCs w:val="16"/>
        </w:rPr>
      </w:pPr>
      <w:r w:rsidRPr="00F90EAE">
        <w:rPr>
          <w:rFonts w:ascii="Times New Roman" w:hAnsi="Times New Roman"/>
          <w:color w:val="0070C0"/>
          <w:sz w:val="16"/>
          <w:szCs w:val="16"/>
        </w:rPr>
        <w:t>20 марта 1945 г. Приказом №52 КБ УЗТМ принимаются для установки более совершенные радиостанции 9-РС (ранние СУ-100 оборудовались радиостан</w:t>
      </w:r>
      <w:r w:rsidRPr="00F90EAE">
        <w:rPr>
          <w:rFonts w:ascii="Times New Roman" w:hAnsi="Times New Roman"/>
          <w:color w:val="0070C0"/>
          <w:sz w:val="16"/>
          <w:szCs w:val="16"/>
        </w:rPr>
        <w:softHyphen/>
        <w:t>циями 9-РМ), кото</w:t>
      </w:r>
      <w:r w:rsidRPr="00F90EAE">
        <w:rPr>
          <w:rFonts w:ascii="Times New Roman" w:hAnsi="Times New Roman"/>
          <w:color w:val="0070C0"/>
          <w:sz w:val="16"/>
          <w:szCs w:val="16"/>
        </w:rPr>
        <w:softHyphen/>
        <w:t>рые и ставятся на серийные машины, начиная с 15 апреля. Тут уместно сделать небольшое отступление на излюбленную моделистами тему «во время войны как угодно могло быть». Радиостанции 9-РМ («Тапир-М») выпускал с апреля 1943 года эвакуированный из Москвы в город Сарапул завод №203 им. Орджоникидзе. Приемники РСИ-4Т («Малют</w:t>
      </w:r>
      <w:r w:rsidRPr="00F90EAE">
        <w:rPr>
          <w:rFonts w:ascii="Times New Roman" w:hAnsi="Times New Roman"/>
          <w:color w:val="0070C0"/>
          <w:sz w:val="16"/>
          <w:szCs w:val="16"/>
        </w:rPr>
        <w:softHyphen/>
        <w:t>ка») для них делали в Новосибирске на эва</w:t>
      </w:r>
      <w:r w:rsidRPr="00F90EAE">
        <w:rPr>
          <w:rFonts w:ascii="Times New Roman" w:hAnsi="Times New Roman"/>
          <w:color w:val="0070C0"/>
          <w:sz w:val="16"/>
          <w:szCs w:val="16"/>
        </w:rPr>
        <w:softHyphen/>
        <w:t>куированном из Воронежа заводе №590 «Электросигнал». В 1944 году 203-й завод освоил производство более совершенной версии радиостанции 9-РС («Тур») с заметно лучшими характеристиками и начал постав</w:t>
      </w:r>
      <w:r w:rsidRPr="00F90EAE">
        <w:rPr>
          <w:rFonts w:ascii="Times New Roman" w:hAnsi="Times New Roman"/>
          <w:color w:val="0070C0"/>
          <w:sz w:val="16"/>
          <w:szCs w:val="16"/>
        </w:rPr>
        <w:softHyphen/>
        <w:t>лять ее на танковые заводы вместо 9-РМ. Поскольку станция была в прежних габаритах и переделка корпусов СУ-100 под нее не тре</w:t>
      </w:r>
      <w:r w:rsidRPr="00F90EAE">
        <w:rPr>
          <w:rFonts w:ascii="Times New Roman" w:hAnsi="Times New Roman"/>
          <w:color w:val="0070C0"/>
          <w:sz w:val="16"/>
          <w:szCs w:val="16"/>
        </w:rPr>
        <w:softHyphen/>
        <w:t>бовалась, военпред на УЗТМ разрешил ее установку в самоходки и... получил грандиоз</w:t>
      </w:r>
      <w:r w:rsidRPr="00F90EAE">
        <w:rPr>
          <w:rFonts w:ascii="Times New Roman" w:hAnsi="Times New Roman"/>
          <w:color w:val="0070C0"/>
          <w:sz w:val="16"/>
          <w:szCs w:val="16"/>
        </w:rPr>
        <w:softHyphen/>
        <w:t>ный разнос. Несмотря на очевидность реше</w:t>
      </w:r>
      <w:r w:rsidRPr="00F90EAE">
        <w:rPr>
          <w:rFonts w:ascii="Times New Roman" w:hAnsi="Times New Roman"/>
          <w:color w:val="0070C0"/>
          <w:sz w:val="16"/>
          <w:szCs w:val="16"/>
        </w:rPr>
        <w:softHyphen/>
        <w:t>ния, он не имел права сам его принимать - должно быть заключение комиссии по испы</w:t>
      </w:r>
      <w:r w:rsidRPr="00F90EAE">
        <w:rPr>
          <w:rFonts w:ascii="Times New Roman" w:hAnsi="Times New Roman"/>
          <w:color w:val="0070C0"/>
          <w:sz w:val="16"/>
          <w:szCs w:val="16"/>
        </w:rPr>
        <w:softHyphen/>
        <w:t>таниям нового агрегата на машине. В итоге испытания провели, закономерное заключе</w:t>
      </w:r>
      <w:r w:rsidRPr="00F90EAE">
        <w:rPr>
          <w:rFonts w:ascii="Times New Roman" w:hAnsi="Times New Roman"/>
          <w:color w:val="0070C0"/>
          <w:sz w:val="16"/>
          <w:szCs w:val="16"/>
        </w:rPr>
        <w:softHyphen/>
        <w:t>ние о допустимости установки новой станции зафиксировали в протоколе, и только тогда новая станция законно «прописалась» на СУ- 100. Так что все делалось по определенной процедуре и вовсе не«какугодно» (19927).</w:t>
      </w:r>
    </w:p>
    <w:p w14:paraId="3C661B7C" w14:textId="77777777" w:rsidR="00A8589E" w:rsidRPr="00F90EAE" w:rsidRDefault="00A8589E" w:rsidP="00F90EAE">
      <w:pPr>
        <w:pStyle w:val="1142"/>
        <w:shd w:val="clear" w:color="auto" w:fill="auto"/>
        <w:spacing w:line="240" w:lineRule="auto"/>
        <w:ind w:firstLine="0"/>
        <w:rPr>
          <w:rFonts w:ascii="Times New Roman" w:hAnsi="Times New Roman" w:cs="Times New Roman"/>
          <w:color w:val="0070C0"/>
          <w:sz w:val="16"/>
          <w:szCs w:val="16"/>
        </w:rPr>
      </w:pPr>
    </w:p>
    <w:p w14:paraId="249F30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Распоряжение ГКО № 7866. О дополнительном выделении угля заводу № 701 НКМВ. РГАНИР, Фонд ГКО, д. 382 Л.138 (11012).</w:t>
      </w:r>
    </w:p>
    <w:p w14:paraId="0A028AB0" w14:textId="77777777" w:rsidR="00665165" w:rsidRPr="00F90EAE" w:rsidRDefault="00665165" w:rsidP="00F90EAE">
      <w:pPr>
        <w:autoSpaceDE w:val="0"/>
        <w:autoSpaceDN w:val="0"/>
        <w:adjustRightInd w:val="0"/>
        <w:jc w:val="both"/>
        <w:rPr>
          <w:color w:val="000000" w:themeColor="text1"/>
          <w:sz w:val="16"/>
          <w:szCs w:val="16"/>
        </w:rPr>
      </w:pPr>
    </w:p>
    <w:p w14:paraId="1E8F25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Распоряжение ГКО № 7867. О дополнительном выделении угля ТЭЦ Богословского алюминиевого завода для снабжения электроэнергией угольных разрезов треста "Богословуголь". РГАНИР, Фонд ГКО, д. 382 Л.139 (11012).</w:t>
      </w:r>
    </w:p>
    <w:p w14:paraId="748B7180" w14:textId="77777777" w:rsidR="00665165" w:rsidRPr="00F90EAE" w:rsidRDefault="00665165" w:rsidP="00F90EAE">
      <w:pPr>
        <w:autoSpaceDE w:val="0"/>
        <w:autoSpaceDN w:val="0"/>
        <w:adjustRightInd w:val="0"/>
        <w:jc w:val="both"/>
        <w:rPr>
          <w:color w:val="000000" w:themeColor="text1"/>
          <w:sz w:val="16"/>
          <w:szCs w:val="16"/>
        </w:rPr>
      </w:pPr>
    </w:p>
    <w:p w14:paraId="248E2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Распоряжение ГКО № 7868. Об увеличении на март лимита отпуска электроэнергии по Уральской энергосистеме заводам НКЧМ. РГАНИР, Фонд ГКО, д. 382 Л.140-141 (11012).</w:t>
      </w:r>
    </w:p>
    <w:p w14:paraId="7CC97A69" w14:textId="77777777" w:rsidR="00665165" w:rsidRPr="00F90EAE" w:rsidRDefault="00665165" w:rsidP="00F90EAE">
      <w:pPr>
        <w:autoSpaceDE w:val="0"/>
        <w:autoSpaceDN w:val="0"/>
        <w:adjustRightInd w:val="0"/>
        <w:jc w:val="both"/>
        <w:rPr>
          <w:color w:val="000000" w:themeColor="text1"/>
          <w:sz w:val="16"/>
          <w:szCs w:val="16"/>
        </w:rPr>
      </w:pPr>
    </w:p>
    <w:p w14:paraId="586A12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Постановление ГКО № 7869 О мероприятиях по обеспечению углем Казанских, Омских, Игумновской и Барнаульской электростанций НКЭС. РГАНИР, Фонд ГКО, д. 382, лл. 142-145 (11012).</w:t>
      </w:r>
    </w:p>
    <w:p w14:paraId="7847D78E" w14:textId="77777777" w:rsidR="00665165" w:rsidRPr="00F90EAE" w:rsidRDefault="00665165" w:rsidP="00F90EAE">
      <w:pPr>
        <w:autoSpaceDE w:val="0"/>
        <w:autoSpaceDN w:val="0"/>
        <w:adjustRightInd w:val="0"/>
        <w:jc w:val="both"/>
        <w:rPr>
          <w:color w:val="000000" w:themeColor="text1"/>
          <w:sz w:val="16"/>
          <w:szCs w:val="16"/>
        </w:rPr>
      </w:pPr>
    </w:p>
    <w:p w14:paraId="77255DE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марта 1945 вышло Постановление ГКО № 7870 О возвращении заводу № 257 НКБ производственных площадей, временно занятых Орским заводом тяжелого машиностроения. (7317, 146-147).</w:t>
      </w:r>
    </w:p>
    <w:p w14:paraId="6F90D99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2F91C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Распоряжение ГКО № 7871. О мерах по обеспечению плана I кв. 1945 г. по комплектной сдаче НКО противотанковых мин. РГАНИР, Фонд ГКО, д. 382, лл. 148-149, 150-152 (11012).</w:t>
      </w:r>
    </w:p>
    <w:p w14:paraId="49C35018" w14:textId="77777777" w:rsidR="00665165" w:rsidRPr="00F90EAE" w:rsidRDefault="00665165" w:rsidP="00F90EAE">
      <w:pPr>
        <w:autoSpaceDE w:val="0"/>
        <w:autoSpaceDN w:val="0"/>
        <w:adjustRightInd w:val="0"/>
        <w:jc w:val="both"/>
        <w:rPr>
          <w:color w:val="000000" w:themeColor="text1"/>
          <w:sz w:val="16"/>
          <w:szCs w:val="16"/>
        </w:rPr>
      </w:pPr>
    </w:p>
    <w:p w14:paraId="64E47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Постановление ГКО № 7872 О мерах обеспечения серным сырьем заводов Наркомхимпрома. РГАНИР, Фонд ГКО, д. 382, лл. 152-154 (11012).</w:t>
      </w:r>
    </w:p>
    <w:p w14:paraId="2BAE2DED" w14:textId="77777777" w:rsidR="00665165" w:rsidRPr="00F90EAE" w:rsidRDefault="00665165" w:rsidP="00F90EAE">
      <w:pPr>
        <w:autoSpaceDE w:val="0"/>
        <w:autoSpaceDN w:val="0"/>
        <w:adjustRightInd w:val="0"/>
        <w:jc w:val="both"/>
        <w:rPr>
          <w:color w:val="000000" w:themeColor="text1"/>
          <w:sz w:val="16"/>
          <w:szCs w:val="16"/>
        </w:rPr>
      </w:pPr>
    </w:p>
    <w:p w14:paraId="5424B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Постановление ГКО № 7873 Об увеличении производства и сдачи НКО капсюльных втулок КВ-4 в марте и во II квартале 1945 г. РГАНИР, Фонд ГКО, д. 382, лл. 155-158, 159-164 (11012).</w:t>
      </w:r>
    </w:p>
    <w:p w14:paraId="1EB35090" w14:textId="77777777" w:rsidR="00665165" w:rsidRPr="00F90EAE" w:rsidRDefault="00665165" w:rsidP="00F90EAE">
      <w:pPr>
        <w:autoSpaceDE w:val="0"/>
        <w:autoSpaceDN w:val="0"/>
        <w:adjustRightInd w:val="0"/>
        <w:jc w:val="both"/>
        <w:rPr>
          <w:color w:val="000000" w:themeColor="text1"/>
          <w:sz w:val="16"/>
          <w:szCs w:val="16"/>
        </w:rPr>
      </w:pPr>
    </w:p>
    <w:p w14:paraId="602659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марта 1945 г. в соответствие с решением Военного Совета БТ и МВ от имени наркома танковой промышленности В.А. Малышева, заместителя командующего БТ и МВ РККА Б.М. Коробкова и члена Военного Совета БТ и МВ РККА Бирюкова на имя члена ГКО Л.П. Берия было отправлено письмо с просьбой об изготовлении ЧКЗ несколь</w:t>
      </w:r>
      <w:r w:rsidRPr="00F90EAE">
        <w:rPr>
          <w:color w:val="000000" w:themeColor="text1"/>
          <w:sz w:val="16"/>
          <w:szCs w:val="16"/>
        </w:rPr>
        <w:softHyphen/>
        <w:t>ких опытных образцов танка "Объект 701" с целью их дополнительных испытаний в зимних и летних условиях, проверки надежности агрега</w:t>
      </w:r>
      <w:r w:rsidRPr="00F90EAE">
        <w:rPr>
          <w:color w:val="000000" w:themeColor="text1"/>
          <w:sz w:val="16"/>
          <w:szCs w:val="16"/>
        </w:rPr>
        <w:softHyphen/>
        <w:t>тов трансмиссии и разрешении Кировскому заводу начать подготовку производства нового тяжелого танка. Через два дня 22 марта вышел приказ о дополнительных полигонных испытаниях танка "Объект 701" (10703).</w:t>
      </w:r>
    </w:p>
    <w:p w14:paraId="3A44CF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CC91FF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ADBF735" w14:textId="77777777" w:rsidR="00665165" w:rsidRPr="00F90EAE" w:rsidRDefault="00665165" w:rsidP="00F90EAE">
      <w:pPr>
        <w:autoSpaceDE w:val="0"/>
        <w:autoSpaceDN w:val="0"/>
        <w:adjustRightInd w:val="0"/>
        <w:jc w:val="both"/>
        <w:rPr>
          <w:iCs/>
          <w:color w:val="000000" w:themeColor="text1"/>
          <w:sz w:val="16"/>
          <w:szCs w:val="16"/>
        </w:rPr>
      </w:pPr>
    </w:p>
    <w:p w14:paraId="73A79A2C" w14:textId="77777777" w:rsidR="00D76EE0" w:rsidRPr="00F90EAE" w:rsidRDefault="00D76EE0" w:rsidP="00F90EAE">
      <w:pPr>
        <w:jc w:val="both"/>
        <w:rPr>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оперативная сводка Совинформбюро:</w:t>
      </w:r>
    </w:p>
    <w:p w14:paraId="7FD275BA" w14:textId="77777777" w:rsidR="00D76EE0" w:rsidRPr="00F90EAE" w:rsidRDefault="00D76EE0" w:rsidP="00F90EAE">
      <w:pPr>
        <w:jc w:val="both"/>
        <w:rPr>
          <w:color w:val="000000" w:themeColor="text1"/>
          <w:sz w:val="16"/>
          <w:szCs w:val="16"/>
        </w:rPr>
      </w:pPr>
      <w:r w:rsidRPr="00F90EAE">
        <w:rPr>
          <w:color w:val="000000" w:themeColor="text1"/>
          <w:sz w:val="16"/>
          <w:szCs w:val="16"/>
        </w:rPr>
        <w:t>«Войска 3-го Белорусского фронта, продолжая бои по уничтожению группировки немцев в Восточной Пруссии, 20 карта овладели городом Браунсберг — сильным опорным пунктом обороны немцев на побережье залива Фриш-Гаф, а также с боями заняли более 40 других населённых пунктов, в том числе Феддерау, Весслинек, Кордоммен, Раушник, Томсдорф, Вермтен, Хаммерсдорф, Ной-Пассарге. В боях за 19 и 20 марта в этом районе войска фронта взяли в плен более 4.000 немецких солдат и офицеров и захватили свыше 300 орудий.</w:t>
      </w:r>
    </w:p>
    <w:p w14:paraId="47FB6891" w14:textId="77777777" w:rsidR="00D76EE0" w:rsidRPr="00F90EAE" w:rsidRDefault="00D76EE0" w:rsidP="00F90EAE">
      <w:pPr>
        <w:jc w:val="both"/>
        <w:rPr>
          <w:color w:val="000000" w:themeColor="text1"/>
          <w:sz w:val="16"/>
          <w:szCs w:val="16"/>
        </w:rPr>
      </w:pPr>
      <w:r w:rsidRPr="00F90EAE">
        <w:rPr>
          <w:color w:val="000000" w:themeColor="text1"/>
          <w:sz w:val="16"/>
          <w:szCs w:val="16"/>
        </w:rPr>
        <w:t>Войска 1-го Белорусского фронта после серьёзных боёв 20 марта овладели городом Альтдамм и ликвидировали сильно укреплённый плацдарм немцев на правом берегу реки Одер восточнее Штеттина.</w:t>
      </w:r>
    </w:p>
    <w:p w14:paraId="12E7503B" w14:textId="77777777" w:rsidR="00D76EE0" w:rsidRPr="00F90EAE" w:rsidRDefault="00D76EE0"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EFD9AD5" w14:textId="77777777" w:rsidR="00D76EE0" w:rsidRPr="00F90EAE" w:rsidRDefault="00D76EE0" w:rsidP="00F90EAE">
      <w:pPr>
        <w:jc w:val="both"/>
        <w:rPr>
          <w:color w:val="000000" w:themeColor="text1"/>
          <w:sz w:val="16"/>
          <w:szCs w:val="16"/>
        </w:rPr>
      </w:pPr>
      <w:r w:rsidRPr="00F90EAE">
        <w:rPr>
          <w:color w:val="000000" w:themeColor="text1"/>
          <w:sz w:val="16"/>
          <w:szCs w:val="16"/>
        </w:rPr>
        <w:t>За 19 марта на всех фронтах подбито и уничтожено 115 немецких танков и самоходных орудий. В воздушных боях и огнём зенитной артиллерии сбито 116 самолётов противника.</w:t>
      </w:r>
    </w:p>
    <w:p w14:paraId="7229CE71" w14:textId="77777777" w:rsidR="00D76EE0" w:rsidRPr="00F90EAE" w:rsidRDefault="00D76EE0" w:rsidP="00F90EAE">
      <w:pPr>
        <w:jc w:val="both"/>
        <w:rPr>
          <w:color w:val="000000" w:themeColor="text1"/>
          <w:sz w:val="16"/>
          <w:szCs w:val="16"/>
        </w:rPr>
      </w:pPr>
      <w:r w:rsidRPr="00F90EAE">
        <w:rPr>
          <w:color w:val="000000" w:themeColor="text1"/>
          <w:sz w:val="16"/>
          <w:szCs w:val="16"/>
        </w:rPr>
        <w:t>Налёты нашей авиации на Данциг, Кенигсберг и Пиллау</w:t>
      </w:r>
    </w:p>
    <w:p w14:paraId="48E1C8ED" w14:textId="77777777" w:rsidR="00D76EE0" w:rsidRPr="00F90EAE" w:rsidRDefault="00D76EE0" w:rsidP="00F90EAE">
      <w:pPr>
        <w:jc w:val="both"/>
        <w:rPr>
          <w:color w:val="000000" w:themeColor="text1"/>
          <w:sz w:val="16"/>
          <w:szCs w:val="16"/>
        </w:rPr>
      </w:pPr>
      <w:r w:rsidRPr="00F90EAE">
        <w:rPr>
          <w:color w:val="000000" w:themeColor="text1"/>
          <w:sz w:val="16"/>
          <w:szCs w:val="16"/>
        </w:rPr>
        <w:t>В ночь на 20 марта наши тяжёлые бомбардировщики нанесли удары по военным объектам немцев в Данциге, Кенигсберге и Пиллау.</w:t>
      </w:r>
    </w:p>
    <w:p w14:paraId="18E5F9F3" w14:textId="77777777" w:rsidR="00D76EE0" w:rsidRPr="00F90EAE" w:rsidRDefault="00D76EE0" w:rsidP="00F90EAE">
      <w:pPr>
        <w:jc w:val="both"/>
        <w:rPr>
          <w:color w:val="000000" w:themeColor="text1"/>
          <w:sz w:val="16"/>
          <w:szCs w:val="16"/>
        </w:rPr>
      </w:pPr>
      <w:r w:rsidRPr="00F90EAE">
        <w:rPr>
          <w:color w:val="000000" w:themeColor="text1"/>
          <w:sz w:val="16"/>
          <w:szCs w:val="16"/>
        </w:rPr>
        <w:t>В результате бомбардировки в Данциге на территории железнодорожного узла возникло много пожаров, сопровождавшихся взрывами. В порту Данциг прямым попаданием бомб потоплен морской транспорт противника, находившийся у причала.</w:t>
      </w:r>
    </w:p>
    <w:p w14:paraId="49B2AE8D" w14:textId="77777777" w:rsidR="00D76EE0" w:rsidRPr="00F90EAE" w:rsidRDefault="00D76EE0" w:rsidP="00F90EAE">
      <w:pPr>
        <w:jc w:val="both"/>
        <w:rPr>
          <w:color w:val="000000" w:themeColor="text1"/>
          <w:sz w:val="16"/>
          <w:szCs w:val="16"/>
        </w:rPr>
      </w:pPr>
      <w:r w:rsidRPr="00F90EAE">
        <w:rPr>
          <w:color w:val="000000" w:themeColor="text1"/>
          <w:sz w:val="16"/>
          <w:szCs w:val="16"/>
        </w:rPr>
        <w:t>В Кенигсберге и Пиллау среди возникших пожаров отмечено несколько сильных взрывов.</w:t>
      </w:r>
    </w:p>
    <w:p w14:paraId="66DF37CE" w14:textId="77777777" w:rsidR="00D76EE0" w:rsidRPr="00F90EAE" w:rsidRDefault="00D76EE0" w:rsidP="00F90EAE">
      <w:pPr>
        <w:jc w:val="both"/>
        <w:rPr>
          <w:color w:val="000000" w:themeColor="text1"/>
          <w:sz w:val="16"/>
          <w:szCs w:val="16"/>
        </w:rPr>
      </w:pPr>
      <w:r w:rsidRPr="00F90EAE">
        <w:rPr>
          <w:color w:val="000000" w:themeColor="text1"/>
          <w:sz w:val="16"/>
          <w:szCs w:val="16"/>
        </w:rPr>
        <w:t>Войска 3-го Белорусского фронта продолжали успешные бои по ликвидации Восточно-Прусской группировки противника, окружённой юго-западнее Кенигсберга. Советские части, наступающие вдоль реки Пассарге на север, вышли на южную окраину города Брауасберга и завязали бои за железнодорожную станцию. Части, наступающие с запада, ночью преодолели труднопроходимую местность и выбили немцев из укреплённого пункта Гунтенберга. Развивая успех, наши войска ворвались в город и к утру очистили от противника его юго-западную часть по реке Пассарге. Затем советские части в нескольких местах переправились через реку и, сломив упорное сопротивление вражеского гарнизона, полностью овладели городом Браунсберг — важным узлом дорог и сильным опорным пунктам обороны немцев на побережье залива Фриш-Гаф. С потерей Браунсберга положение окружённой группировки противника резко ухудшилась. Сейчас в руках немцев в этом районе остаётся единственный узел дорог город Хайлигенбайль. Стремясь отстоять этот город, немецкое командование бросает в контратаки крупные силы пехоты, с ожесточением отстаивая каждую позицию. Наши войска с востока, юга и запада продолжают всё теснее и теснее сжимать кольцо окружения противника. За день боёв уничтожено более 5 тысяч немецких солдат и офицеров. На отдельных участках немецкие солдаты группами сдаются в плен. Так, в районе южнее Хайлигенбайля сегодня взято в плен свыше 2.000 вражеских солдат и офицеров. Захвачено у немцев 60 танков, свыше 1.000 автомашин, 3 паровоза, 259 железнодорожных вагонов с грузами, много вооружения и склады с военными материалами.</w:t>
      </w:r>
    </w:p>
    <w:p w14:paraId="1C6CB8D9" w14:textId="77777777" w:rsidR="00D76EE0" w:rsidRPr="00F90EAE" w:rsidRDefault="00D76EE0" w:rsidP="00F90EAE">
      <w:pPr>
        <w:jc w:val="both"/>
        <w:rPr>
          <w:color w:val="000000" w:themeColor="text1"/>
          <w:sz w:val="16"/>
          <w:szCs w:val="16"/>
        </w:rPr>
      </w:pPr>
      <w:r w:rsidRPr="00F90EAE">
        <w:rPr>
          <w:color w:val="000000" w:themeColor="text1"/>
          <w:sz w:val="16"/>
          <w:szCs w:val="16"/>
        </w:rPr>
        <w:t>Войска 1-го Белорусского фронта после серьёзных боёв овладели городом Альтдамм — важным опорным пунктом обороны немцев на подступах к Штеттину. Вчера советские части, наступающие вдоль правого берега реки Одер в северном направлении, вышли к населённому пункту Подеюх. Гитлеровцы упорно защищали этот пункт. Танки и пехота противника предприняли одну за другой десять яростных контратак. Мощными ударами нашей артиллерии, следовавшей вместе со штурмующими подразделениями пехоты, вражеское сопротивление было сломлено. Одна наша часть завязала бои за железнодорожную станцию Финкенвальде, отрезав немецкий гарнизон Альтдамма от юго-западной переправы через Одер. Тем временем другие наши части ворвались в Альтдамм с северо-востока. Всю ночь продолжались ожесточённые бои. Немцы освещали улицы города ракетами и вели сильный артиллерийский огонь. Советские подразделения очищали от врага квартал за кварталом. Овладев железнодорожной станцией, наши части прижали немцев к единственной оставшейся в их распоряжении переправе через Одер западнее Альтдамма. Эту переправу защищал бронепоезд. Меткими залпами наша артиллерия разбила вражеский бронепоезд. Сегодня рано утром штурмовые группы очистили от гитлеровцев аэродром и перерезали шоссейную дорогу Альтдамм—Штеттин. Советские части усилили удары по врагу, оборонявшему город. Вскоре организованное сопротивление противника было подавлено, и город Альтдамм занят нашими войсками. Ликвидирован сильно укреплённый плацдарм немцев на правом берегу реки Одер, восточнее Штеттина. В боях за Альтдамм немцы понесли тяжёлые потери. На подступах к городу и его улицах остались тысячи вражеских трупов. Наши войска захватили большие трофеи, в числе которых много танков, бронетранспортёров, тяжёлых орудий и другой боевой техники.</w:t>
      </w:r>
    </w:p>
    <w:p w14:paraId="11FC1C99" w14:textId="77777777" w:rsidR="00D76EE0" w:rsidRPr="00F90EAE" w:rsidRDefault="00D76EE0" w:rsidP="00F90EAE">
      <w:pPr>
        <w:jc w:val="both"/>
        <w:rPr>
          <w:color w:val="000000" w:themeColor="text1"/>
          <w:sz w:val="16"/>
          <w:szCs w:val="16"/>
        </w:rPr>
      </w:pPr>
      <w:r w:rsidRPr="00F90EAE">
        <w:rPr>
          <w:color w:val="000000" w:themeColor="text1"/>
          <w:sz w:val="16"/>
          <w:szCs w:val="16"/>
        </w:rPr>
        <w:t>Наши тяжёлые бомбардировщики сегодня днём бомбардировали военные объекты немцев в городе Бреслау. В результате бомбардировки возникли пожары и произошло 6 сильных взрывов.</w:t>
      </w:r>
    </w:p>
    <w:p w14:paraId="0FE1E32A" w14:textId="77777777" w:rsidR="00D76EE0" w:rsidRPr="00F90EAE" w:rsidRDefault="00D76EE0"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продолжала наносить торпедно-бомбовые удары по немецким кораблям и транспортам в Балтийском море. Морские лётчики потопили 4 транспорта общим водоизмещением в 26 тысяч тонн, миноносец, 2 сторожевых корабля и сторожевой катер противника. Нанесены повреждения нескольким другим судам. Отмечено прямое попадание бомбы в немецкий лёгкий крейсер.» (15074).</w:t>
      </w:r>
    </w:p>
    <w:p w14:paraId="67D483F8" w14:textId="77777777" w:rsidR="00D76EE0" w:rsidRPr="00F90EAE" w:rsidRDefault="00D76EE0" w:rsidP="00F90EAE">
      <w:pPr>
        <w:jc w:val="both"/>
        <w:rPr>
          <w:color w:val="000000" w:themeColor="text1"/>
          <w:sz w:val="16"/>
          <w:szCs w:val="16"/>
        </w:rPr>
      </w:pPr>
    </w:p>
    <w:p w14:paraId="5ED7A66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марта 1945 Войска 3-го Белорусского фронта, продолжая бои по уничтожению группировки немцев в Восточной Пруссии, овладели городом Браунсверг - сильным опорным пунктом обороны немцев на побережье залива Фриш-Гаф, а также с боями заняли более 40 других населенных пунктов, в том числе Феддерау, Весслинек, Кордоммен, Раушник, Томсдорф, Вермтен, Хаммерсдорф, Ной-Пассарге. Войска 1-го Белорусского фронта после серьезных боев овладели городом Альтдамм и ликивидировали сильно укрепленный плацдарм немцев на правом берегу реки Одер восточнее Штеттина (4963 ).</w:t>
      </w:r>
    </w:p>
    <w:p w14:paraId="121760B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5E5EEC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марта 1945 Гитлер снял Гиммлера с поста командующего группой армий “Висла” (4962).</w:t>
      </w:r>
    </w:p>
    <w:p w14:paraId="0106E94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130AC4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20th, 1945: German troops of Heeresgruppe Weichsel evacuate their bridgehead across the Oder at Stettin. In East Prussia, the Red Army captures Braunsberg, 40 miles south of Konigsberg (3819).</w:t>
      </w:r>
    </w:p>
    <w:p w14:paraId="434DE4F4" w14:textId="77777777" w:rsidR="00665165" w:rsidRPr="00F90EAE" w:rsidRDefault="00665165" w:rsidP="00F90EAE">
      <w:pPr>
        <w:autoSpaceDE w:val="0"/>
        <w:autoSpaceDN w:val="0"/>
        <w:adjustRightInd w:val="0"/>
        <w:jc w:val="both"/>
        <w:rPr>
          <w:color w:val="000000" w:themeColor="text1"/>
          <w:sz w:val="16"/>
          <w:szCs w:val="16"/>
          <w:lang w:val="en-US"/>
        </w:rPr>
      </w:pPr>
    </w:p>
    <w:p w14:paraId="1E553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войска Группы Вайсшел оставили плацдармы на Одере у Штецина. КА захватила Браунсберг в 40 милях от Кенигсберга (3819).</w:t>
      </w:r>
    </w:p>
    <w:p w14:paraId="4707226E" w14:textId="77777777" w:rsidR="00665165" w:rsidRPr="00F90EAE" w:rsidRDefault="00665165" w:rsidP="00F90EAE">
      <w:pPr>
        <w:autoSpaceDE w:val="0"/>
        <w:autoSpaceDN w:val="0"/>
        <w:adjustRightInd w:val="0"/>
        <w:jc w:val="both"/>
        <w:rPr>
          <w:color w:val="000000" w:themeColor="text1"/>
          <w:sz w:val="16"/>
          <w:szCs w:val="16"/>
        </w:rPr>
      </w:pPr>
    </w:p>
    <w:p w14:paraId="77C0A9A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53967C0" w14:textId="77777777" w:rsidR="00665165" w:rsidRPr="00F90EAE" w:rsidRDefault="00665165" w:rsidP="00F90EAE">
      <w:pPr>
        <w:autoSpaceDE w:val="0"/>
        <w:autoSpaceDN w:val="0"/>
        <w:adjustRightInd w:val="0"/>
        <w:jc w:val="both"/>
        <w:rPr>
          <w:iCs/>
          <w:color w:val="000000" w:themeColor="text1"/>
          <w:sz w:val="16"/>
          <w:szCs w:val="16"/>
        </w:rPr>
      </w:pPr>
    </w:p>
    <w:p w14:paraId="764E02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вышло Постановление ГКО № 7874 О выдаче 49810 тонн трофейного сахара для обеспечения нужд польского государства. РГАНИР, Фонд ГКО, д. 382, лл. 165 (11012).</w:t>
      </w:r>
    </w:p>
    <w:p w14:paraId="29CE21FB" w14:textId="77777777" w:rsidR="00665165" w:rsidRPr="00F90EAE" w:rsidRDefault="00665165" w:rsidP="00F90EAE">
      <w:pPr>
        <w:autoSpaceDE w:val="0"/>
        <w:autoSpaceDN w:val="0"/>
        <w:adjustRightInd w:val="0"/>
        <w:jc w:val="both"/>
        <w:rPr>
          <w:color w:val="000000" w:themeColor="text1"/>
          <w:sz w:val="16"/>
          <w:szCs w:val="16"/>
        </w:rPr>
      </w:pPr>
    </w:p>
    <w:p w14:paraId="63FA53F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5739335" w14:textId="77777777" w:rsidR="00665165" w:rsidRPr="00F90EAE" w:rsidRDefault="00665165" w:rsidP="00F90EAE">
      <w:pPr>
        <w:autoSpaceDE w:val="0"/>
        <w:autoSpaceDN w:val="0"/>
        <w:adjustRightInd w:val="0"/>
        <w:jc w:val="both"/>
        <w:rPr>
          <w:iCs/>
          <w:color w:val="000000" w:themeColor="text1"/>
          <w:sz w:val="16"/>
          <w:szCs w:val="16"/>
        </w:rPr>
      </w:pPr>
    </w:p>
    <w:p w14:paraId="0DE30A62" w14:textId="77777777" w:rsidR="00750C95" w:rsidRPr="00F90EAE" w:rsidRDefault="00750C95" w:rsidP="00F90EAE">
      <w:pPr>
        <w:jc w:val="both"/>
        <w:rPr>
          <w:bCs/>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разбит первый американский реактивный истребитель-перехватчик «ХР-80А» из-за разрушения двигателя - у самолета просто срезало хвост, но летчик-испытатель Тони Левьер успел покинуть его с парашютом. Чтобы исследовать причину аварии, в течение года (!) искали разрушившийся диск турбины и нашли в 10 километрах от трассы полета самолета! (15074).</w:t>
      </w:r>
    </w:p>
    <w:p w14:paraId="5A1218EF" w14:textId="77777777" w:rsidR="00750C95" w:rsidRPr="00F90EAE" w:rsidRDefault="00750C95" w:rsidP="00F90EAE">
      <w:pPr>
        <w:jc w:val="both"/>
        <w:rPr>
          <w:bCs/>
          <w:color w:val="000000" w:themeColor="text1"/>
          <w:sz w:val="16"/>
          <w:szCs w:val="16"/>
        </w:rPr>
      </w:pPr>
    </w:p>
    <w:p w14:paraId="03535FAC" w14:textId="77777777" w:rsidR="00D76EE0" w:rsidRPr="00F90EAE" w:rsidRDefault="00D76EE0" w:rsidP="00F90EAE">
      <w:pPr>
        <w:jc w:val="both"/>
        <w:rPr>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Адольф Гитлер снимает Генриха Гиммлера с поста командующего группой армий "Висла" (15074).</w:t>
      </w:r>
    </w:p>
    <w:p w14:paraId="3089EA9B" w14:textId="77777777" w:rsidR="00D76EE0" w:rsidRPr="00F90EAE" w:rsidRDefault="00D76EE0" w:rsidP="00F90EAE">
      <w:pPr>
        <w:jc w:val="both"/>
        <w:rPr>
          <w:color w:val="000000" w:themeColor="text1"/>
          <w:sz w:val="16"/>
          <w:szCs w:val="16"/>
        </w:rPr>
      </w:pPr>
    </w:p>
    <w:p w14:paraId="35F9FABA" w14:textId="77777777" w:rsidR="00D76EE0" w:rsidRPr="00F90EAE" w:rsidRDefault="00D76EE0" w:rsidP="00F90EAE">
      <w:pPr>
        <w:jc w:val="both"/>
        <w:rPr>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французское правительство воссоединило территории Эльзаса и Лотарингии с Францией (15074).</w:t>
      </w:r>
    </w:p>
    <w:p w14:paraId="521487D0" w14:textId="77777777" w:rsidR="00D76EE0" w:rsidRPr="00F90EAE" w:rsidRDefault="00D76EE0" w:rsidP="00F90EAE">
      <w:pPr>
        <w:jc w:val="both"/>
        <w:rPr>
          <w:color w:val="000000" w:themeColor="text1"/>
          <w:sz w:val="16"/>
          <w:szCs w:val="16"/>
        </w:rPr>
      </w:pPr>
    </w:p>
    <w:p w14:paraId="78AB130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марта 1945 английское правительство объявило приоритетом своей послевоенной политики добиться, чтобы у каждой семьи было отдельное жилье (на это отводилось два года) (4962).</w:t>
      </w:r>
    </w:p>
    <w:p w14:paraId="5605AC9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2B9F2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марта 1945 в Бирме британские и индийские войска наступали на Мандалай (3907,256).</w:t>
      </w:r>
    </w:p>
    <w:p w14:paraId="22ABDC95" w14:textId="77777777" w:rsidR="00665165" w:rsidRPr="00F90EAE" w:rsidRDefault="00665165" w:rsidP="00F90EAE">
      <w:pPr>
        <w:autoSpaceDE w:val="0"/>
        <w:autoSpaceDN w:val="0"/>
        <w:adjustRightInd w:val="0"/>
        <w:jc w:val="both"/>
        <w:rPr>
          <w:color w:val="000000" w:themeColor="text1"/>
          <w:sz w:val="16"/>
          <w:szCs w:val="16"/>
        </w:rPr>
      </w:pPr>
    </w:p>
    <w:p w14:paraId="3639FF98" w14:textId="77777777" w:rsidR="00D76EE0" w:rsidRPr="00F90EAE" w:rsidRDefault="00D76EE0" w:rsidP="00F90EAE">
      <w:pPr>
        <w:jc w:val="both"/>
        <w:rPr>
          <w:color w:val="000000" w:themeColor="text1"/>
          <w:sz w:val="16"/>
          <w:szCs w:val="16"/>
        </w:rPr>
      </w:pPr>
      <w:r w:rsidRPr="00F90EAE">
        <w:rPr>
          <w:bCs/>
          <w:color w:val="000000" w:themeColor="text1"/>
          <w:sz w:val="16"/>
          <w:szCs w:val="16"/>
        </w:rPr>
        <w:t>20 марта</w:t>
      </w:r>
      <w:r w:rsidRPr="00F90EAE">
        <w:rPr>
          <w:color w:val="000000" w:themeColor="text1"/>
          <w:sz w:val="16"/>
          <w:szCs w:val="16"/>
        </w:rPr>
        <w:t xml:space="preserve"> в 1945 году в Бирме (современная Мьянма) британские и индийские войска вступают в Мандалай (15074).</w:t>
      </w:r>
    </w:p>
    <w:p w14:paraId="6A0F3E49" w14:textId="77777777" w:rsidR="00D76EE0" w:rsidRPr="00F90EAE" w:rsidRDefault="00D76EE0" w:rsidP="00F90EAE">
      <w:pPr>
        <w:jc w:val="both"/>
        <w:rPr>
          <w:color w:val="000000" w:themeColor="text1"/>
          <w:sz w:val="16"/>
          <w:szCs w:val="16"/>
        </w:rPr>
      </w:pPr>
    </w:p>
    <w:p w14:paraId="65D56F1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8133612" w14:textId="77777777" w:rsidR="00665165" w:rsidRPr="00F90EAE" w:rsidRDefault="00665165" w:rsidP="00F90EAE">
      <w:pPr>
        <w:autoSpaceDE w:val="0"/>
        <w:autoSpaceDN w:val="0"/>
        <w:adjustRightInd w:val="0"/>
        <w:jc w:val="both"/>
        <w:rPr>
          <w:iCs/>
          <w:color w:val="000000" w:themeColor="text1"/>
          <w:sz w:val="16"/>
          <w:szCs w:val="16"/>
        </w:rPr>
      </w:pPr>
    </w:p>
    <w:p w14:paraId="240E2848"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21 марта 1945 генерал-лейтенанту А.А. Лапи</w:t>
      </w:r>
      <w:r w:rsidRPr="00F90EAE">
        <w:rPr>
          <w:rFonts w:ascii="Times New Roman" w:cs="Times New Roman"/>
          <w:color w:val="000000" w:themeColor="text1"/>
          <w:spacing w:val="0"/>
        </w:rPr>
        <w:softHyphen/>
        <w:t>ну поступил доклад начальника Управления технической эксплуатации ВВС генерал-лей</w:t>
      </w:r>
      <w:r w:rsidRPr="00F90EAE">
        <w:rPr>
          <w:rFonts w:ascii="Times New Roman" w:cs="Times New Roman"/>
          <w:color w:val="000000" w:themeColor="text1"/>
          <w:spacing w:val="0"/>
        </w:rPr>
        <w:softHyphen/>
        <w:t>тенанта Ф.Н. Шульговского по вопросу эф</w:t>
      </w:r>
      <w:r w:rsidRPr="00F90EAE">
        <w:rPr>
          <w:rFonts w:ascii="Times New Roman" w:cs="Times New Roman"/>
          <w:color w:val="000000" w:themeColor="text1"/>
          <w:spacing w:val="0"/>
        </w:rPr>
        <w:softHyphen/>
        <w:t>фективности дополнительного бронирования кабины стрелка на Ил-2 и</w:t>
      </w:r>
      <w:r w:rsidRPr="00F90EAE">
        <w:rPr>
          <w:rStyle w:val="aff6"/>
          <w:rFonts w:ascii="Times New Roman" w:hAnsi="Times New Roman" w:cs="Times New Roman"/>
          <w:i w:val="0"/>
          <w:color w:val="000000" w:themeColor="text1"/>
          <w:spacing w:val="0"/>
        </w:rPr>
        <w:t xml:space="preserve"> «о состоянии дора</w:t>
      </w:r>
      <w:r w:rsidRPr="00F90EAE">
        <w:rPr>
          <w:rStyle w:val="aff6"/>
          <w:rFonts w:ascii="Times New Roman" w:hAnsi="Times New Roman" w:cs="Times New Roman"/>
          <w:i w:val="0"/>
          <w:color w:val="000000" w:themeColor="text1"/>
          <w:spacing w:val="0"/>
        </w:rPr>
        <w:softHyphen/>
        <w:t>ботки самолетов в частях Действующей Армии на 1 марта, согласно донесениям Главных ин</w:t>
      </w:r>
      <w:r w:rsidRPr="00F90EAE">
        <w:rPr>
          <w:rStyle w:val="aff6"/>
          <w:rFonts w:ascii="Times New Roman" w:hAnsi="Times New Roman" w:cs="Times New Roman"/>
          <w:i w:val="0"/>
          <w:color w:val="000000" w:themeColor="text1"/>
          <w:spacing w:val="0"/>
        </w:rPr>
        <w:softHyphen/>
        <w:t>женеров Воздушных Армий».</w:t>
      </w:r>
      <w:r w:rsidRPr="00F90EAE">
        <w:rPr>
          <w:rFonts w:ascii="Times New Roman" w:cs="Times New Roman"/>
          <w:color w:val="000000" w:themeColor="text1"/>
          <w:spacing w:val="0"/>
        </w:rPr>
        <w:t xml:space="preserve"> Он указывал, что главные инженеры воздушных армий дают по</w:t>
      </w:r>
      <w:r w:rsidRPr="00F90EAE">
        <w:rPr>
          <w:rFonts w:ascii="Times New Roman" w:cs="Times New Roman"/>
          <w:color w:val="000000" w:themeColor="text1"/>
          <w:spacing w:val="0"/>
        </w:rPr>
        <w:softHyphen/>
        <w:t>ложительные отзывы о дополнительном бро</w:t>
      </w:r>
      <w:r w:rsidRPr="00F90EAE">
        <w:rPr>
          <w:rFonts w:ascii="Times New Roman" w:cs="Times New Roman"/>
          <w:color w:val="000000" w:themeColor="text1"/>
          <w:spacing w:val="0"/>
        </w:rPr>
        <w:softHyphen/>
        <w:t>нировании, отмечая увеличение безопасно</w:t>
      </w:r>
      <w:r w:rsidRPr="00F90EAE">
        <w:rPr>
          <w:rFonts w:ascii="Times New Roman" w:cs="Times New Roman"/>
          <w:color w:val="000000" w:themeColor="text1"/>
          <w:spacing w:val="0"/>
        </w:rPr>
        <w:softHyphen/>
        <w:t>сти полета и уменьшение случаев поражения стрелков.</w:t>
      </w:r>
    </w:p>
    <w:p w14:paraId="4E2C2088"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Так, в 3-й, 4-й и 15-й ВА зарегистрирова</w:t>
      </w:r>
      <w:r w:rsidRPr="00F90EAE">
        <w:rPr>
          <w:rFonts w:ascii="Times New Roman" w:cs="Times New Roman"/>
          <w:color w:val="000000" w:themeColor="text1"/>
          <w:spacing w:val="0"/>
        </w:rPr>
        <w:softHyphen/>
        <w:t>ли 21 попадание осколков снарядов зенитной артиллерии в район кабины стрелка. На броне остались следы в виде вмятин, но пробоин не было. Пули зенитных пулеметов крупного ка</w:t>
      </w:r>
      <w:r w:rsidRPr="00F90EAE">
        <w:rPr>
          <w:rFonts w:ascii="Times New Roman" w:cs="Times New Roman"/>
          <w:color w:val="000000" w:themeColor="text1"/>
          <w:spacing w:val="0"/>
        </w:rPr>
        <w:softHyphen/>
        <w:t>либра дополнительную броню не пробивали и оставляли на ней лишь вмятины. В 15-й ВА за</w:t>
      </w:r>
      <w:r w:rsidRPr="00F90EAE">
        <w:rPr>
          <w:rFonts w:ascii="Times New Roman" w:cs="Times New Roman"/>
          <w:color w:val="000000" w:themeColor="text1"/>
          <w:spacing w:val="0"/>
        </w:rPr>
        <w:softHyphen/>
        <w:t>фиксировали случай прямого попадания сна</w:t>
      </w:r>
      <w:r w:rsidRPr="00F90EAE">
        <w:rPr>
          <w:rFonts w:ascii="Times New Roman" w:cs="Times New Roman"/>
          <w:color w:val="000000" w:themeColor="text1"/>
          <w:spacing w:val="0"/>
        </w:rPr>
        <w:softHyphen/>
        <w:t>ряда пушки «Эрликон» в район кабины стрелка. Броня кабины была пробита, а стрелок ранен.</w:t>
      </w:r>
    </w:p>
    <w:p w14:paraId="0DE8DB19" w14:textId="77777777" w:rsidR="0032140A" w:rsidRPr="00F90EAE" w:rsidRDefault="0032140A"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В связи с установкой дополнительного бронирования стрелка техника пилотирования Ил-2 изменилась незначительно. В основном это коснулось взлетных качеств:</w:t>
      </w:r>
      <w:r w:rsidRPr="00F90EAE">
        <w:rPr>
          <w:rFonts w:ascii="Times New Roman" w:cs="Times New Roman"/>
          <w:color w:val="000000" w:themeColor="text1"/>
          <w:sz w:val="16"/>
          <w:szCs w:val="16"/>
        </w:rPr>
        <w:t xml:space="preserve"> «несколько тяжелее становится подъем хвоста на взлете, особенно при работе на аэродромах с мягким грунтом».</w:t>
      </w:r>
      <w:r w:rsidRPr="00F90EAE">
        <w:rPr>
          <w:rStyle w:val="4e"/>
          <w:rFonts w:ascii="Times New Roman" w:hAnsi="Times New Roman" w:cs="Times New Roman"/>
          <w:i w:val="0"/>
          <w:color w:val="000000" w:themeColor="text1"/>
          <w:sz w:val="16"/>
          <w:szCs w:val="16"/>
        </w:rPr>
        <w:t xml:space="preserve"> На основании полученных резуль</w:t>
      </w:r>
      <w:r w:rsidRPr="00F90EAE">
        <w:rPr>
          <w:rStyle w:val="4e"/>
          <w:rFonts w:ascii="Times New Roman" w:hAnsi="Times New Roman" w:cs="Times New Roman"/>
          <w:i w:val="0"/>
          <w:color w:val="000000" w:themeColor="text1"/>
          <w:sz w:val="16"/>
          <w:szCs w:val="16"/>
        </w:rPr>
        <w:softHyphen/>
        <w:t>татов был еделан вывод «о</w:t>
      </w:r>
      <w:r w:rsidRPr="00F90EAE">
        <w:rPr>
          <w:rFonts w:ascii="Times New Roman" w:cs="Times New Roman"/>
          <w:color w:val="000000" w:themeColor="text1"/>
          <w:sz w:val="16"/>
          <w:szCs w:val="16"/>
        </w:rPr>
        <w:t xml:space="preserve"> достаточной эф</w:t>
      </w:r>
      <w:r w:rsidRPr="00F90EAE">
        <w:rPr>
          <w:rFonts w:ascii="Times New Roman" w:cs="Times New Roman"/>
          <w:color w:val="000000" w:themeColor="text1"/>
          <w:sz w:val="16"/>
          <w:szCs w:val="16"/>
        </w:rPr>
        <w:softHyphen/>
        <w:t>фективности дополнительного бронирования кабины стрелка, улучшающего безопасность работы стрелка и повышающего живучесть самолета, при незначительном ухудшении его взлетных свойств».</w:t>
      </w:r>
    </w:p>
    <w:p w14:paraId="392A11D1"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По состоянию на 1 марта 1945 г., из 1045 комплектов дополнительного бронирования, отправленных в действующую армию, в стро</w:t>
      </w:r>
      <w:r w:rsidRPr="00F90EAE">
        <w:rPr>
          <w:rFonts w:ascii="Times New Roman" w:cs="Times New Roman"/>
          <w:color w:val="000000" w:themeColor="text1"/>
          <w:spacing w:val="0"/>
        </w:rPr>
        <w:softHyphen/>
        <w:t>евых частях установили всего лишь 380. Еще 328 комплектов находилось на складах. Основ</w:t>
      </w:r>
      <w:r w:rsidRPr="00F90EAE">
        <w:rPr>
          <w:rFonts w:ascii="Times New Roman" w:cs="Times New Roman"/>
          <w:color w:val="000000" w:themeColor="text1"/>
          <w:spacing w:val="0"/>
        </w:rPr>
        <w:softHyphen/>
        <w:t>ной причиной такой задержки считалось отста</w:t>
      </w:r>
      <w:r w:rsidRPr="00F90EAE">
        <w:rPr>
          <w:rFonts w:ascii="Times New Roman" w:cs="Times New Roman"/>
          <w:color w:val="000000" w:themeColor="text1"/>
          <w:spacing w:val="0"/>
        </w:rPr>
        <w:softHyphen/>
        <w:t>вание обслуживающих БАО от продвигающих</w:t>
      </w:r>
      <w:r w:rsidRPr="00F90EAE">
        <w:rPr>
          <w:rFonts w:ascii="Times New Roman" w:cs="Times New Roman"/>
          <w:color w:val="000000" w:themeColor="text1"/>
          <w:spacing w:val="0"/>
        </w:rPr>
        <w:softHyphen/>
        <w:t>ся вперед авиачастей и соединений.</w:t>
      </w:r>
    </w:p>
    <w:p w14:paraId="1DFA608F" w14:textId="77777777" w:rsidR="0032140A" w:rsidRPr="00F90EAE" w:rsidRDefault="0032140A"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Отмечалось</w:t>
      </w:r>
      <w:r w:rsidRPr="00F90EAE">
        <w:rPr>
          <w:rFonts w:ascii="Times New Roman" w:cs="Times New Roman"/>
          <w:color w:val="000000" w:themeColor="text1"/>
          <w:sz w:val="16"/>
          <w:szCs w:val="16"/>
        </w:rPr>
        <w:t xml:space="preserve"> «недостаточное внимание этому вопросу со стороны некоторых Главных инженеров воздушных армий».</w:t>
      </w:r>
      <w:r w:rsidRPr="00F90EAE">
        <w:rPr>
          <w:rStyle w:val="4e"/>
          <w:rFonts w:ascii="Times New Roman" w:hAnsi="Times New Roman" w:cs="Times New Roman"/>
          <w:i w:val="0"/>
          <w:color w:val="000000" w:themeColor="text1"/>
          <w:sz w:val="16"/>
          <w:szCs w:val="16"/>
        </w:rPr>
        <w:t xml:space="preserve"> Так, 26 ноября 1944 г</w:t>
      </w:r>
      <w:r w:rsidRPr="00F90EAE">
        <w:rPr>
          <w:rFonts w:ascii="Times New Roman" w:cs="Times New Roman"/>
          <w:color w:val="000000" w:themeColor="text1"/>
          <w:sz w:val="16"/>
          <w:szCs w:val="16"/>
        </w:rPr>
        <w:t>. на склад 2-й ВА поступило 30 комплек</w:t>
      </w:r>
      <w:r w:rsidRPr="00F90EAE">
        <w:rPr>
          <w:rFonts w:ascii="Times New Roman" w:cs="Times New Roman"/>
          <w:color w:val="000000" w:themeColor="text1"/>
          <w:sz w:val="16"/>
          <w:szCs w:val="16"/>
        </w:rPr>
        <w:softHyphen/>
        <w:t>тов брони, а к 5 января - еще 70 комплектов. Однако к 1 марта смонтировали только пять комплектов,</w:t>
      </w:r>
      <w:r w:rsidRPr="00F90EAE">
        <w:rPr>
          <w:rStyle w:val="aff6"/>
          <w:rFonts w:ascii="Times New Roman" w:hAnsi="Times New Roman" w:cs="Times New Roman"/>
          <w:i w:val="0"/>
          <w:color w:val="000000" w:themeColor="text1"/>
        </w:rPr>
        <w:t xml:space="preserve"> «причем два самолета из этих 5 были разбиты при тренировочных полетах», а </w:t>
      </w:r>
      <w:r w:rsidRPr="00F90EAE">
        <w:rPr>
          <w:rFonts w:ascii="Times New Roman" w:cs="Times New Roman"/>
          <w:color w:val="000000" w:themeColor="text1"/>
          <w:sz w:val="16"/>
          <w:szCs w:val="16"/>
        </w:rPr>
        <w:t>к установке оставшихся комплектов даже не приступали.</w:t>
      </w:r>
    </w:p>
    <w:p w14:paraId="29571B6D"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части 16-й ВА к 25 ноября 1944 г. посту</w:t>
      </w:r>
      <w:r w:rsidRPr="00F90EAE">
        <w:rPr>
          <w:rFonts w:ascii="Times New Roman" w:cs="Times New Roman"/>
          <w:color w:val="000000" w:themeColor="text1"/>
          <w:spacing w:val="0"/>
        </w:rPr>
        <w:softHyphen/>
        <w:t>пило 70 комплектов дополнительной брони, но к 1 марта смонтировали только пять комплек</w:t>
      </w:r>
      <w:r w:rsidRPr="00F90EAE">
        <w:rPr>
          <w:rFonts w:ascii="Times New Roman" w:cs="Times New Roman"/>
          <w:color w:val="000000" w:themeColor="text1"/>
          <w:spacing w:val="0"/>
        </w:rPr>
        <w:softHyphen/>
        <w:t>тов. В 5-й ВА из 70 комплектов установили лишь 20 комплектов, в 6-й ВА монтаж брони (75 комплектов) вообще не проводили, ссыла</w:t>
      </w:r>
      <w:r w:rsidRPr="00F90EAE">
        <w:rPr>
          <w:rFonts w:ascii="Times New Roman" w:cs="Times New Roman"/>
          <w:color w:val="000000" w:themeColor="text1"/>
          <w:spacing w:val="0"/>
        </w:rPr>
        <w:softHyphen/>
        <w:t>ясь на</w:t>
      </w:r>
      <w:r w:rsidRPr="00F90EAE">
        <w:rPr>
          <w:rStyle w:val="aff6"/>
          <w:rFonts w:ascii="Times New Roman" w:hAnsi="Times New Roman" w:cs="Times New Roman"/>
          <w:i w:val="0"/>
          <w:color w:val="000000" w:themeColor="text1"/>
          <w:spacing w:val="0"/>
        </w:rPr>
        <w:t xml:space="preserve"> «отсутствие информационного бюлле</w:t>
      </w:r>
      <w:r w:rsidRPr="00F90EAE">
        <w:rPr>
          <w:rStyle w:val="aff6"/>
          <w:rFonts w:ascii="Times New Roman" w:hAnsi="Times New Roman" w:cs="Times New Roman"/>
          <w:i w:val="0"/>
          <w:color w:val="000000" w:themeColor="text1"/>
          <w:spacing w:val="0"/>
        </w:rPr>
        <w:softHyphen/>
        <w:t>теня по установке брони на самолеты заводов №№ 1 и 18, в то время как эти бюллетени в адрес Главного инженера 6 ВА были направле</w:t>
      </w:r>
      <w:r w:rsidRPr="00F90EAE">
        <w:rPr>
          <w:rStyle w:val="aff6"/>
          <w:rFonts w:ascii="Times New Roman" w:hAnsi="Times New Roman" w:cs="Times New Roman"/>
          <w:i w:val="0"/>
          <w:color w:val="000000" w:themeColor="text1"/>
          <w:spacing w:val="0"/>
        </w:rPr>
        <w:softHyphen/>
        <w:t>ны 30.12.44 г.».</w:t>
      </w:r>
      <w:r w:rsidRPr="00F90EAE">
        <w:rPr>
          <w:rFonts w:ascii="Times New Roman" w:cs="Times New Roman"/>
          <w:color w:val="000000" w:themeColor="text1"/>
          <w:spacing w:val="0"/>
        </w:rPr>
        <w:t xml:space="preserve"> Пришлось УТЭ ВВС высылать бюллетень вторично.</w:t>
      </w:r>
    </w:p>
    <w:p w14:paraId="0DC3F766"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Наилучшее положение дел с установкой дополнительной брони отмечалось в 1-й ВА (получено 63 комплекта, установлено 63), 3-й ВА (120 и 95 комплектов), 4-й ВА (80</w:t>
      </w:r>
      <w:r w:rsidRPr="00F90EAE">
        <w:rPr>
          <w:rStyle w:val="aff9"/>
          <w:rFonts w:ascii="Times New Roman" w:cs="Times New Roman"/>
          <w:b w:val="0"/>
          <w:color w:val="000000" w:themeColor="text1"/>
          <w:spacing w:val="0"/>
          <w:sz w:val="16"/>
          <w:szCs w:val="16"/>
        </w:rPr>
        <w:t xml:space="preserve"> и</w:t>
      </w:r>
      <w:r w:rsidRPr="00F90EAE">
        <w:rPr>
          <w:rFonts w:ascii="Times New Roman" w:cs="Times New Roman"/>
          <w:color w:val="000000" w:themeColor="text1"/>
          <w:spacing w:val="0"/>
        </w:rPr>
        <w:t xml:space="preserve"> 68 ком</w:t>
      </w:r>
      <w:r w:rsidRPr="00F90EAE">
        <w:rPr>
          <w:rFonts w:ascii="Times New Roman" w:cs="Times New Roman"/>
          <w:color w:val="000000" w:themeColor="text1"/>
          <w:spacing w:val="0"/>
        </w:rPr>
        <w:softHyphen/>
        <w:t>плектов)</w:t>
      </w:r>
      <w:r w:rsidRPr="00F90EAE">
        <w:rPr>
          <w:rStyle w:val="aff9"/>
          <w:rFonts w:ascii="Times New Roman" w:cs="Times New Roman"/>
          <w:b w:val="0"/>
          <w:color w:val="000000" w:themeColor="text1"/>
          <w:spacing w:val="0"/>
          <w:sz w:val="16"/>
          <w:szCs w:val="16"/>
        </w:rPr>
        <w:t xml:space="preserve"> и</w:t>
      </w:r>
      <w:r w:rsidRPr="00F90EAE">
        <w:rPr>
          <w:rFonts w:ascii="Times New Roman" w:cs="Times New Roman"/>
          <w:color w:val="000000" w:themeColor="text1"/>
          <w:spacing w:val="0"/>
        </w:rPr>
        <w:t xml:space="preserve"> 15-й</w:t>
      </w:r>
      <w:r w:rsidRPr="00F90EAE">
        <w:rPr>
          <w:rStyle w:val="aff9"/>
          <w:rFonts w:ascii="Times New Roman" w:cs="Times New Roman"/>
          <w:b w:val="0"/>
          <w:color w:val="000000" w:themeColor="text1"/>
          <w:spacing w:val="0"/>
          <w:sz w:val="16"/>
          <w:szCs w:val="16"/>
        </w:rPr>
        <w:t xml:space="preserve"> ВА(</w:t>
      </w:r>
      <w:r w:rsidRPr="00F90EAE">
        <w:rPr>
          <w:rFonts w:ascii="Times New Roman" w:cs="Times New Roman"/>
          <w:color w:val="000000" w:themeColor="text1"/>
          <w:spacing w:val="0"/>
        </w:rPr>
        <w:t xml:space="preserve"> 125</w:t>
      </w:r>
      <w:r w:rsidRPr="00F90EAE">
        <w:rPr>
          <w:rStyle w:val="aff9"/>
          <w:rFonts w:ascii="Times New Roman" w:cs="Times New Roman"/>
          <w:b w:val="0"/>
          <w:color w:val="000000" w:themeColor="text1"/>
          <w:spacing w:val="0"/>
          <w:sz w:val="16"/>
          <w:szCs w:val="16"/>
        </w:rPr>
        <w:t xml:space="preserve"> и</w:t>
      </w:r>
      <w:r w:rsidRPr="00F90EAE">
        <w:rPr>
          <w:rFonts w:ascii="Times New Roman" w:cs="Times New Roman"/>
          <w:color w:val="000000" w:themeColor="text1"/>
          <w:spacing w:val="0"/>
        </w:rPr>
        <w:t xml:space="preserve"> 124</w:t>
      </w:r>
      <w:r w:rsidRPr="00F90EAE">
        <w:rPr>
          <w:rStyle w:val="aff9"/>
          <w:rFonts w:ascii="Times New Roman" w:cs="Times New Roman"/>
          <w:b w:val="0"/>
          <w:color w:val="000000" w:themeColor="text1"/>
          <w:spacing w:val="0"/>
          <w:sz w:val="16"/>
          <w:szCs w:val="16"/>
        </w:rPr>
        <w:t xml:space="preserve"> комплектов).</w:t>
      </w:r>
    </w:p>
    <w:p w14:paraId="31F6AC84" w14:textId="77777777" w:rsidR="0032140A" w:rsidRPr="00F90EAE" w:rsidRDefault="0032140A" w:rsidP="00F90EAE">
      <w:pPr>
        <w:pStyle w:val="28"/>
        <w:shd w:val="clear" w:color="auto" w:fill="auto"/>
        <w:spacing w:before="0" w:line="240" w:lineRule="auto"/>
        <w:jc w:val="both"/>
        <w:rPr>
          <w:rFonts w:ascii="Times New Roman" w:hAnsi="Times New Roman" w:cs="Times New Roman"/>
          <w:color w:val="000000" w:themeColor="text1"/>
          <w:sz w:val="16"/>
          <w:szCs w:val="16"/>
        </w:rPr>
      </w:pPr>
      <w:r w:rsidRPr="00F90EAE">
        <w:rPr>
          <w:rStyle w:val="2f4"/>
          <w:rFonts w:ascii="Times New Roman" w:hAnsi="Times New Roman" w:cs="Times New Roman"/>
          <w:b w:val="0"/>
          <w:color w:val="000000" w:themeColor="text1"/>
          <w:sz w:val="16"/>
          <w:szCs w:val="16"/>
        </w:rPr>
        <w:t>По данным</w:t>
      </w:r>
      <w:r w:rsidRPr="00F90EAE">
        <w:rPr>
          <w:rFonts w:ascii="Times New Roman" w:hAnsi="Times New Roman" w:cs="Times New Roman"/>
          <w:color w:val="000000" w:themeColor="text1"/>
          <w:sz w:val="16"/>
          <w:szCs w:val="16"/>
        </w:rPr>
        <w:t xml:space="preserve"> УЗСиМ ГУЗ ВВС, к 27 марта г. на заводе №30</w:t>
      </w:r>
      <w:r w:rsidRPr="00F90EAE">
        <w:rPr>
          <w:rStyle w:val="aff9"/>
          <w:rFonts w:ascii="Times New Roman" w:hAnsi="Times New Roman" w:cs="Times New Roman"/>
          <w:b w:val="0"/>
          <w:color w:val="000000" w:themeColor="text1"/>
          <w:spacing w:val="0"/>
          <w:sz w:val="16"/>
          <w:szCs w:val="16"/>
        </w:rPr>
        <w:t xml:space="preserve"> имелось</w:t>
      </w:r>
      <w:r w:rsidRPr="00F90EAE">
        <w:rPr>
          <w:rStyle w:val="0pt1"/>
          <w:rFonts w:eastAsia="Calibri"/>
          <w:b w:val="0"/>
          <w:color w:val="000000" w:themeColor="text1"/>
          <w:spacing w:val="0"/>
          <w:sz w:val="16"/>
          <w:szCs w:val="16"/>
        </w:rPr>
        <w:t xml:space="preserve"> 800 готовых</w:t>
      </w:r>
      <w:r w:rsidRPr="00F90EAE">
        <w:rPr>
          <w:rStyle w:val="aff9"/>
          <w:rFonts w:ascii="Times New Roman" w:hAnsi="Times New Roman" w:cs="Times New Roman"/>
          <w:b w:val="0"/>
          <w:color w:val="000000" w:themeColor="text1"/>
          <w:spacing w:val="0"/>
          <w:sz w:val="16"/>
          <w:szCs w:val="16"/>
        </w:rPr>
        <w:t xml:space="preserve"> к </w:t>
      </w:r>
      <w:r w:rsidRPr="00F90EAE">
        <w:rPr>
          <w:rFonts w:ascii="Times New Roman" w:hAnsi="Times New Roman" w:cs="Times New Roman"/>
          <w:color w:val="000000" w:themeColor="text1"/>
          <w:sz w:val="16"/>
          <w:szCs w:val="16"/>
        </w:rPr>
        <w:t>отправке комплектов</w:t>
      </w:r>
      <w:r w:rsidRPr="00F90EAE">
        <w:rPr>
          <w:rStyle w:val="aff9"/>
          <w:rFonts w:ascii="Times New Roman" w:hAnsi="Times New Roman" w:cs="Times New Roman"/>
          <w:b w:val="0"/>
          <w:color w:val="000000" w:themeColor="text1"/>
          <w:spacing w:val="0"/>
          <w:sz w:val="16"/>
          <w:szCs w:val="16"/>
        </w:rPr>
        <w:t xml:space="preserve"> дополнительной</w:t>
      </w:r>
      <w:r w:rsidRPr="00F90EAE">
        <w:rPr>
          <w:rStyle w:val="0pt1"/>
          <w:rFonts w:eastAsia="Calibri"/>
          <w:b w:val="0"/>
          <w:color w:val="000000" w:themeColor="text1"/>
          <w:spacing w:val="0"/>
          <w:sz w:val="16"/>
          <w:szCs w:val="16"/>
        </w:rPr>
        <w:t xml:space="preserve"> брони,</w:t>
      </w:r>
      <w:r w:rsidRPr="00F90EAE">
        <w:rPr>
          <w:rFonts w:ascii="Times New Roman" w:hAnsi="Times New Roman" w:cs="Times New Roman"/>
          <w:color w:val="000000" w:themeColor="text1"/>
          <w:sz w:val="16"/>
          <w:szCs w:val="16"/>
        </w:rPr>
        <w:t xml:space="preserve"> а на заводе № 1 - 350</w:t>
      </w:r>
      <w:r w:rsidRPr="00F90EAE">
        <w:rPr>
          <w:rStyle w:val="aff9"/>
          <w:rFonts w:ascii="Times New Roman" w:hAnsi="Times New Roman" w:cs="Times New Roman"/>
          <w:b w:val="0"/>
          <w:color w:val="000000" w:themeColor="text1"/>
          <w:spacing w:val="0"/>
          <w:sz w:val="16"/>
          <w:szCs w:val="16"/>
        </w:rPr>
        <w:t xml:space="preserve"> комплектов.</w:t>
      </w:r>
      <w:r w:rsidRPr="00F90EAE">
        <w:rPr>
          <w:rStyle w:val="0pt1"/>
          <w:rFonts w:eastAsia="Calibri"/>
          <w:b w:val="0"/>
          <w:color w:val="000000" w:themeColor="text1"/>
          <w:spacing w:val="0"/>
          <w:sz w:val="16"/>
          <w:szCs w:val="16"/>
        </w:rPr>
        <w:t xml:space="preserve"> До 15 апре</w:t>
      </w:r>
      <w:r w:rsidRPr="00F90EAE">
        <w:rPr>
          <w:rStyle w:val="0pt1"/>
          <w:rFonts w:eastAsia="Calibri"/>
          <w:b w:val="0"/>
          <w:color w:val="000000" w:themeColor="text1"/>
          <w:spacing w:val="0"/>
          <w:sz w:val="16"/>
          <w:szCs w:val="16"/>
        </w:rPr>
        <w:softHyphen/>
      </w:r>
      <w:r w:rsidRPr="00F90EAE">
        <w:rPr>
          <w:rFonts w:ascii="Times New Roman" w:hAnsi="Times New Roman" w:cs="Times New Roman"/>
          <w:color w:val="000000" w:themeColor="text1"/>
          <w:sz w:val="16"/>
          <w:szCs w:val="16"/>
        </w:rPr>
        <w:t>ля предполагалось полностью</w:t>
      </w:r>
      <w:r w:rsidRPr="00F90EAE">
        <w:rPr>
          <w:rStyle w:val="0pt1"/>
          <w:rFonts w:eastAsia="Calibri"/>
          <w:b w:val="0"/>
          <w:color w:val="000000" w:themeColor="text1"/>
          <w:spacing w:val="0"/>
          <w:sz w:val="16"/>
          <w:szCs w:val="16"/>
        </w:rPr>
        <w:t xml:space="preserve"> укомплектовать </w:t>
      </w:r>
      <w:r w:rsidRPr="00F90EAE">
        <w:rPr>
          <w:rStyle w:val="aff6"/>
          <w:rFonts w:ascii="Times New Roman" w:hAnsi="Times New Roman" w:cs="Times New Roman"/>
          <w:i w:val="0"/>
          <w:color w:val="000000" w:themeColor="text1"/>
        </w:rPr>
        <w:t>«арматурой и нормалями»</w:t>
      </w:r>
      <w:r w:rsidRPr="00F90EAE">
        <w:rPr>
          <w:rFonts w:ascii="Times New Roman" w:hAnsi="Times New Roman" w:cs="Times New Roman"/>
          <w:color w:val="000000" w:themeColor="text1"/>
          <w:sz w:val="16"/>
          <w:szCs w:val="16"/>
        </w:rPr>
        <w:t xml:space="preserve"> еще 500</w:t>
      </w:r>
      <w:r w:rsidRPr="00F90EAE">
        <w:rPr>
          <w:rStyle w:val="aff9"/>
          <w:rFonts w:ascii="Times New Roman" w:hAnsi="Times New Roman" w:cs="Times New Roman"/>
          <w:b w:val="0"/>
          <w:color w:val="000000" w:themeColor="text1"/>
          <w:spacing w:val="0"/>
          <w:sz w:val="16"/>
          <w:szCs w:val="16"/>
        </w:rPr>
        <w:t xml:space="preserve"> и</w:t>
      </w:r>
      <w:r w:rsidRPr="00F90EAE">
        <w:rPr>
          <w:rFonts w:ascii="Times New Roman" w:hAnsi="Times New Roman" w:cs="Times New Roman"/>
          <w:color w:val="000000" w:themeColor="text1"/>
          <w:sz w:val="16"/>
          <w:szCs w:val="16"/>
        </w:rPr>
        <w:t xml:space="preserve"> 188</w:t>
      </w:r>
      <w:r w:rsidRPr="00F90EAE">
        <w:rPr>
          <w:rStyle w:val="aff9"/>
          <w:rFonts w:ascii="Times New Roman" w:hAnsi="Times New Roman" w:cs="Times New Roman"/>
          <w:b w:val="0"/>
          <w:color w:val="000000" w:themeColor="text1"/>
          <w:spacing w:val="0"/>
          <w:sz w:val="16"/>
          <w:szCs w:val="16"/>
        </w:rPr>
        <w:t xml:space="preserve"> ком</w:t>
      </w:r>
      <w:r w:rsidRPr="00F90EAE">
        <w:rPr>
          <w:rStyle w:val="aff9"/>
          <w:rFonts w:ascii="Times New Roman" w:hAnsi="Times New Roman" w:cs="Times New Roman"/>
          <w:b w:val="0"/>
          <w:color w:val="000000" w:themeColor="text1"/>
          <w:spacing w:val="0"/>
          <w:sz w:val="16"/>
          <w:szCs w:val="16"/>
        </w:rPr>
        <w:softHyphen/>
      </w:r>
      <w:r w:rsidRPr="00F90EAE">
        <w:rPr>
          <w:rFonts w:ascii="Times New Roman" w:hAnsi="Times New Roman" w:cs="Times New Roman"/>
          <w:color w:val="000000" w:themeColor="text1"/>
          <w:sz w:val="16"/>
          <w:szCs w:val="16"/>
        </w:rPr>
        <w:t>плектов соответственно (17478).</w:t>
      </w:r>
    </w:p>
    <w:p w14:paraId="5F452116" w14:textId="77777777" w:rsidR="0032140A" w:rsidRPr="00F90EAE" w:rsidRDefault="0032140A" w:rsidP="00F90EAE">
      <w:pPr>
        <w:pStyle w:val="27"/>
        <w:shd w:val="clear" w:color="auto" w:fill="auto"/>
        <w:spacing w:after="0" w:line="240" w:lineRule="auto"/>
        <w:ind w:firstLine="0"/>
        <w:rPr>
          <w:rFonts w:ascii="Times New Roman" w:cs="Times New Roman"/>
          <w:color w:val="000000" w:themeColor="text1"/>
          <w:spacing w:val="0"/>
        </w:rPr>
      </w:pPr>
    </w:p>
    <w:p w14:paraId="7A1340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года В. Кузнецов писал письмо N Н-32/1362 гл. инженеру ВВС генерал-полковнику ИАС Репину.</w:t>
      </w:r>
    </w:p>
    <w:p w14:paraId="4FA70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постановления ГОКО от 22 мая 1944 года за N 5947сс о проведении летных испытаний флюгерных винтов и внедрении их в эксплуатацию для многомоторных самолетов Ил-4, Ли-2, Пе-2, Ер-2, Ту-2 завод N 25 отработал и провел в 1944 году летные испытания флюгерного винта АБ-7Е-21 на самолете Ту-2 с 2АШ-82ФН.</w:t>
      </w:r>
    </w:p>
    <w:p w14:paraId="553C31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года 8-е гл. управление НКАП предъявило ГК НИИ ВВС этот винт на государственные испытания.</w:t>
      </w:r>
    </w:p>
    <w:p w14:paraId="01463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ГК НИИ ВВС отказался проводить летные государственные испытания флюгерного винта АВ-7Е-21 на самолете Ту-2 с 2АШ-82ФН, считая этот винт как винт обратной схемы, непригодным для эксплуатации на самолете Ту-2.</w:t>
      </w:r>
    </w:p>
    <w:p w14:paraId="7D0D87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удовлетворительные результаты проведенных испытаний указанного винта на самолете Ту-2 в ЛИИ НКАП и постановление ГОКО обязывающее провести летные испытания флюгерных винтов на многомоторных самолетах, прошу Ваших указаний ГК НИИ ВВС о проведении летных государственных и войсковых испытаний указанного винта на самолете Ту-2.</w:t>
      </w:r>
    </w:p>
    <w:p w14:paraId="0B1C38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Вопрос о пригодности флюгерного винта АВ-7 для эксплуатации на самолетах Ту-2 решить после проведения этих испытаний (1879).</w:t>
      </w:r>
    </w:p>
    <w:p w14:paraId="549FDF95" w14:textId="77777777" w:rsidR="00665165" w:rsidRPr="00F90EAE" w:rsidRDefault="00665165" w:rsidP="00F90EAE">
      <w:pPr>
        <w:autoSpaceDE w:val="0"/>
        <w:autoSpaceDN w:val="0"/>
        <w:adjustRightInd w:val="0"/>
        <w:jc w:val="both"/>
        <w:rPr>
          <w:color w:val="000000" w:themeColor="text1"/>
          <w:sz w:val="16"/>
          <w:szCs w:val="16"/>
        </w:rPr>
      </w:pPr>
    </w:p>
    <w:p w14:paraId="14513731" w14:textId="77777777" w:rsidR="0057250B" w:rsidRPr="00F90EAE" w:rsidRDefault="0057250B" w:rsidP="00F90EAE">
      <w:pPr>
        <w:jc w:val="both"/>
        <w:rPr>
          <w:color w:val="000000" w:themeColor="text1"/>
          <w:sz w:val="16"/>
          <w:szCs w:val="16"/>
        </w:rPr>
      </w:pPr>
      <w:r w:rsidRPr="00F90EAE">
        <w:rPr>
          <w:color w:val="000000" w:themeColor="text1"/>
          <w:sz w:val="16"/>
          <w:szCs w:val="16"/>
        </w:rPr>
        <w:t>21 марта 1945 г. Из приказа директора завода № 16 М. М. Лукина об изготовлении и выпуске спецдвигателей РД-1</w:t>
      </w:r>
    </w:p>
    <w:p w14:paraId="0ABF0109" w14:textId="77777777" w:rsidR="0057250B" w:rsidRPr="00F90EAE" w:rsidRDefault="0057250B" w:rsidP="00F90EAE">
      <w:pPr>
        <w:jc w:val="both"/>
        <w:rPr>
          <w:color w:val="000000" w:themeColor="text1"/>
          <w:sz w:val="16"/>
          <w:szCs w:val="16"/>
        </w:rPr>
      </w:pPr>
      <w:r w:rsidRPr="00F90EAE">
        <w:rPr>
          <w:color w:val="000000" w:themeColor="text1"/>
          <w:sz w:val="16"/>
          <w:szCs w:val="16"/>
        </w:rPr>
        <w:t>Во исполнение приказания народного комиссара авиационной промышленности об изготовлении и выпуске серии спецдвигателей РД-1 приказываю:</w:t>
      </w:r>
    </w:p>
    <w:p w14:paraId="5C976C84" w14:textId="77777777" w:rsidR="0057250B" w:rsidRPr="00F90EAE" w:rsidRDefault="0057250B" w:rsidP="00F90EAE">
      <w:pPr>
        <w:jc w:val="both"/>
        <w:rPr>
          <w:color w:val="000000" w:themeColor="text1"/>
          <w:sz w:val="16"/>
          <w:szCs w:val="16"/>
        </w:rPr>
      </w:pPr>
      <w:r w:rsidRPr="00F90EAE">
        <w:rPr>
          <w:color w:val="000000" w:themeColor="text1"/>
          <w:sz w:val="16"/>
          <w:szCs w:val="16"/>
        </w:rPr>
        <w:t>I. Утвердить следующий график выпуска двигателей РД-1:</w:t>
      </w:r>
    </w:p>
    <w:p w14:paraId="382AF146" w14:textId="77777777" w:rsidR="0057250B" w:rsidRPr="00F90EAE" w:rsidRDefault="0057250B" w:rsidP="00F90EAE">
      <w:pPr>
        <w:jc w:val="both"/>
        <w:rPr>
          <w:color w:val="000000" w:themeColor="text1"/>
          <w:sz w:val="16"/>
          <w:szCs w:val="16"/>
        </w:rPr>
      </w:pPr>
      <w:r w:rsidRPr="00F90EAE">
        <w:rPr>
          <w:color w:val="000000" w:themeColor="text1"/>
          <w:sz w:val="16"/>
          <w:szCs w:val="16"/>
        </w:rPr>
        <w:t>Апрель – 15 двигателей</w:t>
      </w:r>
    </w:p>
    <w:p w14:paraId="6276E4CB" w14:textId="77777777" w:rsidR="0057250B" w:rsidRPr="00F90EAE" w:rsidRDefault="0057250B" w:rsidP="00F90EAE">
      <w:pPr>
        <w:jc w:val="both"/>
        <w:rPr>
          <w:color w:val="000000" w:themeColor="text1"/>
          <w:sz w:val="16"/>
          <w:szCs w:val="16"/>
        </w:rPr>
      </w:pPr>
      <w:r w:rsidRPr="00F90EAE">
        <w:rPr>
          <w:color w:val="000000" w:themeColor="text1"/>
          <w:sz w:val="16"/>
          <w:szCs w:val="16"/>
        </w:rPr>
        <w:t>Май – 40 двигателей</w:t>
      </w:r>
    </w:p>
    <w:p w14:paraId="06341BD6" w14:textId="77777777" w:rsidR="0057250B" w:rsidRPr="00F90EAE" w:rsidRDefault="0057250B" w:rsidP="00F90EAE">
      <w:pPr>
        <w:jc w:val="both"/>
        <w:rPr>
          <w:color w:val="000000" w:themeColor="text1"/>
          <w:sz w:val="16"/>
          <w:szCs w:val="16"/>
        </w:rPr>
      </w:pPr>
      <w:r w:rsidRPr="00F90EAE">
        <w:rPr>
          <w:color w:val="000000" w:themeColor="text1"/>
          <w:sz w:val="16"/>
          <w:szCs w:val="16"/>
        </w:rPr>
        <w:t>Июнь – 65 двигателей</w:t>
      </w:r>
    </w:p>
    <w:p w14:paraId="181C9D49" w14:textId="77777777" w:rsidR="0057250B" w:rsidRPr="00F90EAE" w:rsidRDefault="0057250B" w:rsidP="00F90EAE">
      <w:pPr>
        <w:jc w:val="both"/>
        <w:rPr>
          <w:color w:val="000000" w:themeColor="text1"/>
          <w:sz w:val="16"/>
          <w:szCs w:val="16"/>
        </w:rPr>
      </w:pPr>
      <w:r w:rsidRPr="00F90EAE">
        <w:rPr>
          <w:color w:val="000000" w:themeColor="text1"/>
          <w:sz w:val="16"/>
          <w:szCs w:val="16"/>
        </w:rPr>
        <w:t>Июль – 80 двигателей</w:t>
      </w:r>
    </w:p>
    <w:p w14:paraId="1CCACA5F" w14:textId="77777777" w:rsidR="0057250B" w:rsidRPr="00F90EAE" w:rsidRDefault="0057250B" w:rsidP="00F90EAE">
      <w:pPr>
        <w:jc w:val="both"/>
        <w:rPr>
          <w:color w:val="000000" w:themeColor="text1"/>
          <w:sz w:val="16"/>
          <w:szCs w:val="16"/>
        </w:rPr>
      </w:pPr>
      <w:r w:rsidRPr="00F90EAE">
        <w:rPr>
          <w:color w:val="000000" w:themeColor="text1"/>
          <w:sz w:val="16"/>
          <w:szCs w:val="16"/>
        </w:rPr>
        <w:t>Исходя из особенностей монтажа двигателей на самолетах Ла и Як, рамы двигателей изготовить равными партиями для выпускаемых двигателей (по 50 %).</w:t>
      </w:r>
    </w:p>
    <w:p w14:paraId="2AC2519D" w14:textId="77777777" w:rsidR="0057250B" w:rsidRPr="00F90EAE" w:rsidRDefault="0057250B" w:rsidP="00F90EAE">
      <w:pPr>
        <w:jc w:val="both"/>
        <w:rPr>
          <w:color w:val="000000" w:themeColor="text1"/>
          <w:sz w:val="16"/>
          <w:szCs w:val="16"/>
        </w:rPr>
      </w:pPr>
      <w:r w:rsidRPr="00F90EAE">
        <w:rPr>
          <w:color w:val="000000" w:themeColor="text1"/>
          <w:sz w:val="16"/>
          <w:szCs w:val="16"/>
        </w:rPr>
        <w:t>II. Впредь до особых указаний изготовить и обеспечить поставку заводу № 115 для самолетов Як моторов ВК-105ПФ с приводом Р-60 в количестве 30 штук в следующие сроки:</w:t>
      </w:r>
    </w:p>
    <w:p w14:paraId="7BC1C93A" w14:textId="77777777" w:rsidR="0057250B" w:rsidRPr="00F90EAE" w:rsidRDefault="0057250B" w:rsidP="00F90EAE">
      <w:pPr>
        <w:jc w:val="both"/>
        <w:rPr>
          <w:color w:val="000000" w:themeColor="text1"/>
          <w:sz w:val="16"/>
          <w:szCs w:val="16"/>
        </w:rPr>
      </w:pPr>
      <w:r w:rsidRPr="00F90EAE">
        <w:rPr>
          <w:color w:val="000000" w:themeColor="text1"/>
          <w:sz w:val="16"/>
          <w:szCs w:val="16"/>
        </w:rPr>
        <w:t>Апрель – 5 штук</w:t>
      </w:r>
    </w:p>
    <w:p w14:paraId="5451A410" w14:textId="77777777" w:rsidR="0057250B" w:rsidRPr="00F90EAE" w:rsidRDefault="0057250B" w:rsidP="00F90EAE">
      <w:pPr>
        <w:jc w:val="both"/>
        <w:rPr>
          <w:color w:val="000000" w:themeColor="text1"/>
          <w:sz w:val="16"/>
          <w:szCs w:val="16"/>
        </w:rPr>
      </w:pPr>
      <w:r w:rsidRPr="00F90EAE">
        <w:rPr>
          <w:color w:val="000000" w:themeColor="text1"/>
          <w:sz w:val="16"/>
          <w:szCs w:val="16"/>
        </w:rPr>
        <w:t>Май – 25 штук</w:t>
      </w:r>
    </w:p>
    <w:p w14:paraId="5B0FEC87" w14:textId="77777777" w:rsidR="0057250B" w:rsidRPr="00F90EAE" w:rsidRDefault="0057250B" w:rsidP="00F90EAE">
      <w:pPr>
        <w:jc w:val="both"/>
        <w:rPr>
          <w:color w:val="000000" w:themeColor="text1"/>
          <w:sz w:val="16"/>
          <w:szCs w:val="16"/>
        </w:rPr>
      </w:pPr>
      <w:r w:rsidRPr="00F90EAE">
        <w:rPr>
          <w:color w:val="000000" w:themeColor="text1"/>
          <w:sz w:val="16"/>
          <w:szCs w:val="16"/>
        </w:rPr>
        <w:t>III. В целях обеспечения выполнения утвержденных графиков в п. 1 и в п. 2 настоящего приказа:</w:t>
      </w:r>
    </w:p>
    <w:p w14:paraId="0CF1D468" w14:textId="77777777" w:rsidR="0057250B" w:rsidRPr="00F90EAE" w:rsidRDefault="0057250B" w:rsidP="00F90EAE">
      <w:pPr>
        <w:jc w:val="both"/>
        <w:rPr>
          <w:color w:val="000000" w:themeColor="text1"/>
          <w:sz w:val="16"/>
          <w:szCs w:val="16"/>
        </w:rPr>
      </w:pPr>
      <w:r w:rsidRPr="00F90EAE">
        <w:rPr>
          <w:color w:val="000000" w:themeColor="text1"/>
          <w:sz w:val="16"/>
          <w:szCs w:val="16"/>
        </w:rPr>
        <w:t>1. Главному конструктору ОКБ-СД тов. Глушко к 21 марта с. г. выдать в производство всю техническую документацию на изготовление двигателя РД-1 (за исключением системы зажигания, техдокументацию по которой выдать не позднее 10 апреля с. г.). […]</w:t>
      </w:r>
      <w:hyperlink r:id="rId74" w:anchor="_ftn1" w:history="1">
        <w:r w:rsidRPr="00F90EAE">
          <w:rPr>
            <w:color w:val="000000" w:themeColor="text1"/>
            <w:sz w:val="16"/>
            <w:szCs w:val="16"/>
          </w:rPr>
          <w:t>[1]</w:t>
        </w:r>
      </w:hyperlink>
    </w:p>
    <w:p w14:paraId="346E59B2" w14:textId="77777777" w:rsidR="0057250B" w:rsidRPr="00F90EAE" w:rsidRDefault="0057250B" w:rsidP="00F90EAE">
      <w:pPr>
        <w:jc w:val="both"/>
        <w:rPr>
          <w:color w:val="000000" w:themeColor="text1"/>
          <w:sz w:val="16"/>
          <w:szCs w:val="16"/>
        </w:rPr>
      </w:pPr>
      <w:r w:rsidRPr="00F90EAE">
        <w:rPr>
          <w:color w:val="000000" w:themeColor="text1"/>
          <w:sz w:val="16"/>
          <w:szCs w:val="16"/>
        </w:rPr>
        <w:t>Все работы по изготовлению и выпуску деталей, узлов и агрегатов 2-й серии двигателей РД-1 должны вестись впереди всех других заказов.</w:t>
      </w:r>
    </w:p>
    <w:p w14:paraId="0873D92F" w14:textId="77777777" w:rsidR="0057250B" w:rsidRPr="00F90EAE" w:rsidRDefault="0057250B" w:rsidP="00F90EAE">
      <w:pPr>
        <w:jc w:val="both"/>
        <w:rPr>
          <w:color w:val="000000" w:themeColor="text1"/>
          <w:sz w:val="16"/>
          <w:szCs w:val="16"/>
        </w:rPr>
      </w:pPr>
      <w:r w:rsidRPr="00F90EAE">
        <w:rPr>
          <w:color w:val="000000" w:themeColor="text1"/>
          <w:sz w:val="16"/>
          <w:szCs w:val="16"/>
        </w:rPr>
        <w:t>Категорически запретить внесение изменений в техническую документацию, зашифрованную шифром «2-ая серия» без моего личного утверждения.</w:t>
      </w:r>
    </w:p>
    <w:p w14:paraId="5F5F998B" w14:textId="77777777" w:rsidR="0057250B" w:rsidRPr="00F90EAE" w:rsidRDefault="0057250B" w:rsidP="00F90EAE">
      <w:pPr>
        <w:jc w:val="both"/>
        <w:rPr>
          <w:color w:val="000000" w:themeColor="text1"/>
          <w:sz w:val="16"/>
          <w:szCs w:val="16"/>
        </w:rPr>
      </w:pPr>
      <w:r w:rsidRPr="00F90EAE">
        <w:rPr>
          <w:color w:val="000000" w:themeColor="text1"/>
          <w:sz w:val="16"/>
          <w:szCs w:val="16"/>
        </w:rPr>
        <w:t>Предупредить всех исполнителей настоящего приказа о строжайшей их ответственности за выполнение настоящего приказа по выполнению важнейшего военного мероприятия.</w:t>
      </w:r>
    </w:p>
    <w:p w14:paraId="71924F8C" w14:textId="77777777" w:rsidR="0057250B" w:rsidRPr="00F90EAE" w:rsidRDefault="0057250B" w:rsidP="00F90EAE">
      <w:pPr>
        <w:jc w:val="both"/>
        <w:rPr>
          <w:color w:val="000000" w:themeColor="text1"/>
          <w:sz w:val="16"/>
          <w:szCs w:val="16"/>
        </w:rPr>
      </w:pPr>
      <w:r w:rsidRPr="00F90EAE">
        <w:rPr>
          <w:color w:val="000000" w:themeColor="text1"/>
          <w:sz w:val="16"/>
          <w:szCs w:val="16"/>
        </w:rPr>
        <w:t>Начальнику производства тов. Чевела и тов. Лозину выполнение настоящего приказа взять под особый контроль и каждого 1-5-10-15-20-25-30 числа месяца подробно информировать меня о ходе его исполнения.</w:t>
      </w:r>
    </w:p>
    <w:p w14:paraId="150296D6" w14:textId="77777777" w:rsidR="0057250B" w:rsidRPr="00F90EAE" w:rsidRDefault="0057250B" w:rsidP="00F90EAE">
      <w:pPr>
        <w:jc w:val="both"/>
        <w:rPr>
          <w:color w:val="000000" w:themeColor="text1"/>
          <w:sz w:val="16"/>
          <w:szCs w:val="16"/>
        </w:rPr>
      </w:pPr>
      <w:r w:rsidRPr="00F90EAE">
        <w:rPr>
          <w:color w:val="000000" w:themeColor="text1"/>
          <w:sz w:val="16"/>
          <w:szCs w:val="16"/>
        </w:rPr>
        <w:t>Директор завода № 16 М. Лукин</w:t>
      </w:r>
    </w:p>
    <w:p w14:paraId="1F6155A7" w14:textId="77777777" w:rsidR="0057250B" w:rsidRPr="00F90EAE" w:rsidRDefault="0057250B" w:rsidP="00F90EAE">
      <w:pPr>
        <w:jc w:val="both"/>
        <w:rPr>
          <w:color w:val="000000" w:themeColor="text1"/>
          <w:sz w:val="16"/>
          <w:szCs w:val="16"/>
        </w:rPr>
      </w:pPr>
      <w:r w:rsidRPr="00F90EAE">
        <w:rPr>
          <w:color w:val="000000" w:themeColor="text1"/>
          <w:sz w:val="16"/>
          <w:szCs w:val="16"/>
        </w:rPr>
        <w:t>НА РТ. Ф. Р-5940. Оп. 1. Д. 179. Л. 13, 17. Подлинник.</w:t>
      </w:r>
    </w:p>
    <w:p w14:paraId="741FAD33" w14:textId="77777777" w:rsidR="0057250B" w:rsidRPr="00F90EAE" w:rsidRDefault="0057250B" w:rsidP="00F90EAE">
      <w:pPr>
        <w:jc w:val="both"/>
        <w:rPr>
          <w:color w:val="000000" w:themeColor="text1"/>
          <w:sz w:val="16"/>
          <w:szCs w:val="16"/>
        </w:rPr>
      </w:pPr>
    </w:p>
    <w:p w14:paraId="7E446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ГОКО N 7895с о демонтаже и вывозу оборудования с самолетно-агрегатного завода в г. Торн на завод 458 в Киеве (1874,11).</w:t>
      </w:r>
    </w:p>
    <w:p w14:paraId="22145DA7" w14:textId="77777777" w:rsidR="00665165" w:rsidRPr="00F90EAE" w:rsidRDefault="00665165" w:rsidP="00F90EAE">
      <w:pPr>
        <w:autoSpaceDE w:val="0"/>
        <w:autoSpaceDN w:val="0"/>
        <w:adjustRightInd w:val="0"/>
        <w:jc w:val="both"/>
        <w:rPr>
          <w:color w:val="000000" w:themeColor="text1"/>
          <w:sz w:val="16"/>
          <w:szCs w:val="16"/>
        </w:rPr>
      </w:pPr>
    </w:p>
    <w:p w14:paraId="02598C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г. вышло Постановление ГКО № 7895 «О вывозе оборудования самолетно-агрегатного завода в г. Торн на завод № 485 Наркомавиапрома в г. Киев» (Д. 463. Л. 71–72).</w:t>
      </w:r>
    </w:p>
    <w:p w14:paraId="4061E498" w14:textId="77777777" w:rsidR="00665165" w:rsidRPr="00F90EAE" w:rsidRDefault="00665165" w:rsidP="00F90EAE">
      <w:pPr>
        <w:autoSpaceDE w:val="0"/>
        <w:autoSpaceDN w:val="0"/>
        <w:adjustRightInd w:val="0"/>
        <w:jc w:val="both"/>
        <w:rPr>
          <w:color w:val="000000" w:themeColor="text1"/>
          <w:sz w:val="16"/>
          <w:szCs w:val="16"/>
        </w:rPr>
      </w:pPr>
    </w:p>
    <w:p w14:paraId="068B78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вышел приказ НКАП № 109с:</w:t>
      </w:r>
    </w:p>
    <w:p w14:paraId="2FA662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исполнение постановления ГКО № 7133 от 13 декабря 1944:</w:t>
      </w:r>
    </w:p>
    <w:p w14:paraId="1D23AF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Наркома Воронину и ГИ 6 ГУ Пагину организовать во Львове з-д по ремонту с-в, присвоив ему № 797,</w:t>
      </w:r>
    </w:p>
    <w:p w14:paraId="7D0FE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Назначить дир. З-да Н.И.Горьковенко, ГИ Н.В.Нечаева</w:t>
      </w:r>
    </w:p>
    <w:p w14:paraId="659627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 (1831, 90-91).</w:t>
      </w:r>
    </w:p>
    <w:p w14:paraId="4C7BAF7F" w14:textId="77777777" w:rsidR="00665165" w:rsidRPr="00F90EAE" w:rsidRDefault="00665165" w:rsidP="00F90EAE">
      <w:pPr>
        <w:autoSpaceDE w:val="0"/>
        <w:autoSpaceDN w:val="0"/>
        <w:adjustRightInd w:val="0"/>
        <w:jc w:val="both"/>
        <w:rPr>
          <w:color w:val="000000" w:themeColor="text1"/>
          <w:sz w:val="16"/>
          <w:szCs w:val="16"/>
        </w:rPr>
      </w:pPr>
    </w:p>
    <w:p w14:paraId="40086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21 марта 1945 г. по приказу № 109с в системе 6ГУ НКАП на площадке бывшего завода НКАП был вновь организован Завод № 797 НКАП, МАП, МПСС, о/я 125, Львовский завод им. Ленина, Львовское ПО (ЛПО) им. Ленина, Львовское объединение радиотехнической аппаратуры (ЛОРТА), ГП «Львовский завод радиотехнической промышленности «ЛОРТА» /Украина 79601  г. Львов ул. Патона, 1/. Коллектив сформирован из кадров заводов № 135, № 163, № 473, № 86 НКАП.</w:t>
      </w:r>
    </w:p>
    <w:p w14:paraId="1DF29E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1.03.1946 г. завод передан из 6ГУ в 11ГУ, с 1.03.1951 г.- из 11ГУ в 1ГУ, с 1.07.1951 г.- из 1ГУ в 14ГУ. В соответствии с пост. СМ СССР № 5275-2282сс от22.12.1951 г. и приказом № 15сс от 3.01.1952 г. завод с 1.01.1952 г. передан в МПСС.</w:t>
      </w:r>
    </w:p>
    <w:p w14:paraId="7FAC4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(03.1945 г.-)- Н.И. Горьковский.</w:t>
      </w:r>
    </w:p>
    <w:p w14:paraId="0FF1E8B5"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измерительная РЛС «Кама-ИК» с ретранслятором «Карат» (1975); радиопеленгационная станция траекторных измерений «Веер» с ретранслятором «Луч»; малогабаритная бортовая телеметрическая аппаратура «Трал П1»; детали для ЗРК С-200, С-300, для АСУ «Байкал», «Нива», «Основа», «Сенеж» (2006 г.); наземные радиозапросчики (2006); радиоизмерительная аппаратура (2006);</w:t>
      </w:r>
      <w:r w:rsidRPr="00F90EAE">
        <w:rPr>
          <w:iCs/>
          <w:color w:val="000000" w:themeColor="text1"/>
          <w:sz w:val="16"/>
          <w:szCs w:val="16"/>
        </w:rPr>
        <w:t xml:space="preserve"> осциллографы:</w:t>
      </w:r>
      <w:r w:rsidRPr="00F90EAE">
        <w:rPr>
          <w:color w:val="000000" w:themeColor="text1"/>
          <w:sz w:val="16"/>
          <w:szCs w:val="16"/>
        </w:rPr>
        <w:t xml:space="preserve"> С1-13А, </w:t>
      </w:r>
      <w:r w:rsidRPr="00F90EAE">
        <w:rPr>
          <w:color w:val="000000" w:themeColor="text1"/>
          <w:sz w:val="16"/>
          <w:szCs w:val="16"/>
          <w:lang w:val="en-US"/>
        </w:rPr>
        <w:t>Cl</w:t>
      </w:r>
      <w:r w:rsidRPr="00F90EAE">
        <w:rPr>
          <w:color w:val="000000" w:themeColor="text1"/>
          <w:sz w:val="16"/>
          <w:szCs w:val="16"/>
        </w:rPr>
        <w:t>-19; СТ-21, ТДС-7, ТДС-15, ТДС-17; Х1-17, 41-5, 41-28, В7-8;</w:t>
      </w:r>
      <w:r w:rsidRPr="00F90EAE">
        <w:rPr>
          <w:iCs/>
          <w:color w:val="000000" w:themeColor="text1"/>
          <w:sz w:val="16"/>
          <w:szCs w:val="16"/>
        </w:rPr>
        <w:t xml:space="preserve"> усилители:</w:t>
      </w:r>
      <w:r w:rsidRPr="00F90EAE">
        <w:rPr>
          <w:color w:val="000000" w:themeColor="text1"/>
          <w:sz w:val="16"/>
          <w:szCs w:val="16"/>
        </w:rPr>
        <w:t xml:space="preserve"> «Юпитер-квадро» (1975-), «Амфитон А1-01С (1982-), -002С, УП-003С, 35У-101С (1990-), 75У-101С, 50УМ-104С, 150УМ-108С, 35У-202С (1990-), 50У-202С, 150У-204С, </w:t>
      </w:r>
      <w:r w:rsidRPr="00F90EAE">
        <w:rPr>
          <w:color w:val="000000" w:themeColor="text1"/>
          <w:sz w:val="16"/>
          <w:szCs w:val="16"/>
          <w:lang w:val="en-US"/>
        </w:rPr>
        <w:t>AJ</w:t>
      </w:r>
      <w:r w:rsidRPr="00F90EAE">
        <w:rPr>
          <w:color w:val="000000" w:themeColor="text1"/>
          <w:sz w:val="16"/>
          <w:szCs w:val="16"/>
        </w:rPr>
        <w:t xml:space="preserve">-01-У-С», «Трембита-101С, -002С», ЛОРТА 75УС-101С; магнитофоны: «Амфитон МС, П-401С, П- 402С, П-403С»; магнитолы: «Амфитон </w:t>
      </w:r>
      <w:r w:rsidRPr="00F90EAE">
        <w:rPr>
          <w:color w:val="000000" w:themeColor="text1"/>
          <w:sz w:val="16"/>
          <w:szCs w:val="16"/>
          <w:lang w:val="en-US"/>
        </w:rPr>
        <w:t>MP</w:t>
      </w:r>
      <w:r w:rsidRPr="00F90EAE">
        <w:rPr>
          <w:color w:val="000000" w:themeColor="text1"/>
          <w:sz w:val="16"/>
          <w:szCs w:val="16"/>
        </w:rPr>
        <w:t>, МТ»; эквалайзеры: «Амфитон Э-005С, ЭК-005С», ЛОРТА Э-005С; телевизоры: ЛОРТА 32ТК-501, 42ТК-600, 16ТК-605; антенные приставки: ЛОРТА ТСТ-001, АТК-Д; видеомагнитофоны: «Спектр-203, ВМ-97»; акустическая система «Амфитон» 25АС-027 (1987-); комплекты спутникового телевидения (2006) (11982).</w:t>
      </w:r>
    </w:p>
    <w:p w14:paraId="4E792352" w14:textId="77777777" w:rsidR="00665165" w:rsidRPr="00F90EAE" w:rsidRDefault="00665165" w:rsidP="00F90EAE">
      <w:pPr>
        <w:autoSpaceDE w:val="0"/>
        <w:autoSpaceDN w:val="0"/>
        <w:adjustRightInd w:val="0"/>
        <w:jc w:val="both"/>
        <w:rPr>
          <w:color w:val="000000" w:themeColor="text1"/>
          <w:sz w:val="16"/>
          <w:szCs w:val="16"/>
        </w:rPr>
      </w:pPr>
    </w:p>
    <w:p w14:paraId="184CEA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года вышел приказ НКАП об организации самолеторемонтного завода № 797 во Львове (8954).</w:t>
      </w:r>
    </w:p>
    <w:p w14:paraId="59BF2963" w14:textId="77777777" w:rsidR="00665165" w:rsidRPr="00F90EAE" w:rsidRDefault="00665165" w:rsidP="00F90EAE">
      <w:pPr>
        <w:autoSpaceDE w:val="0"/>
        <w:autoSpaceDN w:val="0"/>
        <w:adjustRightInd w:val="0"/>
        <w:jc w:val="both"/>
        <w:rPr>
          <w:color w:val="000000" w:themeColor="text1"/>
          <w:sz w:val="16"/>
          <w:szCs w:val="16"/>
        </w:rPr>
      </w:pPr>
    </w:p>
    <w:p w14:paraId="73CEAC07" w14:textId="77777777" w:rsidR="00670D8A" w:rsidRPr="00F90EAE" w:rsidRDefault="00670D8A" w:rsidP="00F90EAE">
      <w:pPr>
        <w:jc w:val="both"/>
        <w:rPr>
          <w:color w:val="0070C0"/>
          <w:sz w:val="16"/>
          <w:szCs w:val="16"/>
          <w:shd w:val="clear" w:color="auto" w:fill="FFFFFF"/>
        </w:rPr>
      </w:pPr>
      <w:r w:rsidRPr="00F90EAE">
        <w:rPr>
          <w:color w:val="0070C0"/>
          <w:sz w:val="16"/>
          <w:szCs w:val="16"/>
          <w:shd w:val="clear" w:color="auto" w:fill="FFFFFF"/>
        </w:rPr>
        <w:t>21 марта 1945 года вождь подписал постановление Государственного комитета обороны №7876сс «О вывозе оборудования по производству реактивных снарядов с немецких заводов “Гута Банкова” в г. Домброво Гурне и “Ферум” в г. Катовице», в котором наркому боеприпасов Борису Львовичу Ванникову предписывалось заняться проблемой и принять ракетные трофеи под свою ответственность (20875).</w:t>
      </w:r>
    </w:p>
    <w:p w14:paraId="5AAA794F" w14:textId="77777777" w:rsidR="00670D8A" w:rsidRPr="00F90EAE" w:rsidRDefault="00670D8A" w:rsidP="00F90EAE">
      <w:pPr>
        <w:jc w:val="both"/>
        <w:rPr>
          <w:color w:val="0070C0"/>
          <w:sz w:val="16"/>
          <w:szCs w:val="16"/>
          <w:shd w:val="clear" w:color="auto" w:fill="FFFFFF"/>
        </w:rPr>
      </w:pPr>
    </w:p>
    <w:p w14:paraId="15A3B1A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3E322B8" w14:textId="77777777" w:rsidR="00665165" w:rsidRPr="00F90EAE" w:rsidRDefault="00665165" w:rsidP="00F90EAE">
      <w:pPr>
        <w:autoSpaceDE w:val="0"/>
        <w:autoSpaceDN w:val="0"/>
        <w:adjustRightInd w:val="0"/>
        <w:jc w:val="both"/>
        <w:rPr>
          <w:iCs/>
          <w:color w:val="000000" w:themeColor="text1"/>
          <w:sz w:val="16"/>
          <w:szCs w:val="16"/>
        </w:rPr>
      </w:pPr>
    </w:p>
    <w:p w14:paraId="7BB7B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7875 Об оказании неотложной помощи мазутом важнейшим предприятиям г. г. Горького и Молотова. РГАНИР, Фонд ГКО, д. 382, лл. 166-167 (11012).</w:t>
      </w:r>
    </w:p>
    <w:p w14:paraId="522EB1B0" w14:textId="77777777" w:rsidR="00665165" w:rsidRPr="00F90EAE" w:rsidRDefault="00665165" w:rsidP="00F90EAE">
      <w:pPr>
        <w:autoSpaceDE w:val="0"/>
        <w:autoSpaceDN w:val="0"/>
        <w:adjustRightInd w:val="0"/>
        <w:jc w:val="both"/>
        <w:rPr>
          <w:color w:val="000000" w:themeColor="text1"/>
          <w:sz w:val="16"/>
          <w:szCs w:val="16"/>
        </w:rPr>
      </w:pPr>
    </w:p>
    <w:p w14:paraId="646392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7876 О вывозе оборудования по производству реактивных снарядов с немецких заводов "Гута Банкова" в г. Домброва Гурна и "Ферум" в г. Катовице. РГАНИР, Фонд ГКО, д. 382, лл. 168-169 (11012).</w:t>
      </w:r>
    </w:p>
    <w:p w14:paraId="5AE57E91" w14:textId="77777777" w:rsidR="00665165" w:rsidRPr="00F90EAE" w:rsidRDefault="00665165" w:rsidP="00F90EAE">
      <w:pPr>
        <w:autoSpaceDE w:val="0"/>
        <w:autoSpaceDN w:val="0"/>
        <w:adjustRightInd w:val="0"/>
        <w:jc w:val="both"/>
        <w:rPr>
          <w:color w:val="000000" w:themeColor="text1"/>
          <w:sz w:val="16"/>
          <w:szCs w:val="16"/>
        </w:rPr>
      </w:pPr>
    </w:p>
    <w:p w14:paraId="313555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7877 О вывозе оборудования по производству артиллерийского вооружения с немецких артиллерийских заводов в г. Ландсберг. РГАНИР, Фонд ГКО, д. 382, лл. 170-171 (11012).</w:t>
      </w:r>
    </w:p>
    <w:p w14:paraId="662653E6" w14:textId="77777777" w:rsidR="00665165" w:rsidRPr="00F90EAE" w:rsidRDefault="00665165" w:rsidP="00F90EAE">
      <w:pPr>
        <w:autoSpaceDE w:val="0"/>
        <w:autoSpaceDN w:val="0"/>
        <w:adjustRightInd w:val="0"/>
        <w:jc w:val="both"/>
        <w:rPr>
          <w:color w:val="000000" w:themeColor="text1"/>
          <w:sz w:val="16"/>
          <w:szCs w:val="16"/>
        </w:rPr>
      </w:pPr>
    </w:p>
    <w:p w14:paraId="676D99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7878 О вывозе оборудования для производства радиоламп с радиовакуумных заводов немецких фирм "Лоренц" и "Телефункен" в г. Лигниц. РГАНИР, Фонд ГКО, д. 382, лл. 172-173 (11012).</w:t>
      </w:r>
    </w:p>
    <w:p w14:paraId="72A71333" w14:textId="77777777" w:rsidR="00665165" w:rsidRPr="00F90EAE" w:rsidRDefault="00665165" w:rsidP="00F90EAE">
      <w:pPr>
        <w:autoSpaceDE w:val="0"/>
        <w:autoSpaceDN w:val="0"/>
        <w:adjustRightInd w:val="0"/>
        <w:jc w:val="both"/>
        <w:rPr>
          <w:color w:val="000000" w:themeColor="text1"/>
          <w:sz w:val="16"/>
          <w:szCs w:val="16"/>
        </w:rPr>
      </w:pPr>
    </w:p>
    <w:p w14:paraId="0E987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7879 О вывозе оборудования по производству электро- и радиоламп с венгерского завода "Тунгсрам" в г. Будапешт. РГАНИР, Фонд ГКО, д. 382, лл. 174-175 (11012).</w:t>
      </w:r>
    </w:p>
    <w:p w14:paraId="0A60F746" w14:textId="77777777" w:rsidR="00665165" w:rsidRPr="00F90EAE" w:rsidRDefault="00665165" w:rsidP="00F90EAE">
      <w:pPr>
        <w:autoSpaceDE w:val="0"/>
        <w:autoSpaceDN w:val="0"/>
        <w:adjustRightInd w:val="0"/>
        <w:jc w:val="both"/>
        <w:rPr>
          <w:color w:val="000000" w:themeColor="text1"/>
          <w:sz w:val="16"/>
          <w:szCs w:val="16"/>
        </w:rPr>
      </w:pPr>
    </w:p>
    <w:p w14:paraId="44FAF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г. Постановление ГКО № 7880 «О вывозе оборудования, радиолокаторов, технического архива и библиотеки с немецкого радиозавода фирмы “Телефункен” в г. Лейбусдорф» (Д. 463. Л. 32–33).</w:t>
      </w:r>
    </w:p>
    <w:p w14:paraId="6A9A850B" w14:textId="77777777" w:rsidR="00665165" w:rsidRPr="00F90EAE" w:rsidRDefault="00665165" w:rsidP="00F90EAE">
      <w:pPr>
        <w:autoSpaceDE w:val="0"/>
        <w:autoSpaceDN w:val="0"/>
        <w:adjustRightInd w:val="0"/>
        <w:jc w:val="both"/>
        <w:rPr>
          <w:color w:val="000000" w:themeColor="text1"/>
          <w:sz w:val="16"/>
          <w:szCs w:val="16"/>
        </w:rPr>
      </w:pPr>
    </w:p>
    <w:p w14:paraId="44EEEE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7881 О вывозе оборудования немецкого механического завода в г. Шпротау. РГАНИР, Фонд ГКО, д. 382, лл. 178-179 (11012).</w:t>
      </w:r>
    </w:p>
    <w:p w14:paraId="1D43A013" w14:textId="77777777" w:rsidR="00665165" w:rsidRPr="00F90EAE" w:rsidRDefault="00665165" w:rsidP="00F90EAE">
      <w:pPr>
        <w:autoSpaceDE w:val="0"/>
        <w:autoSpaceDN w:val="0"/>
        <w:adjustRightInd w:val="0"/>
        <w:jc w:val="both"/>
        <w:rPr>
          <w:color w:val="000000" w:themeColor="text1"/>
          <w:sz w:val="16"/>
          <w:szCs w:val="16"/>
        </w:rPr>
      </w:pPr>
    </w:p>
    <w:p w14:paraId="4660B9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7882 О вывозе оборудования с чугунносталелитейного завода "Крайсверке" г. Нейзальц. РГАНИР, Фонд ГКО, д. 382, лл. 180-181 (11012).</w:t>
      </w:r>
    </w:p>
    <w:p w14:paraId="07B8E048" w14:textId="77777777" w:rsidR="00665165" w:rsidRPr="00F90EAE" w:rsidRDefault="00665165" w:rsidP="00F90EAE">
      <w:pPr>
        <w:autoSpaceDE w:val="0"/>
        <w:autoSpaceDN w:val="0"/>
        <w:adjustRightInd w:val="0"/>
        <w:jc w:val="both"/>
        <w:rPr>
          <w:color w:val="000000" w:themeColor="text1"/>
          <w:sz w:val="16"/>
          <w:szCs w:val="16"/>
        </w:rPr>
      </w:pPr>
    </w:p>
    <w:p w14:paraId="5A80E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7883 О вывозе трофейного радиолокационного имущества из г. Вартенбург. РГАНИР, Фонд ГКО, д. 382, лл. 182-183 (11012).</w:t>
      </w:r>
    </w:p>
    <w:p w14:paraId="1DDA34FB" w14:textId="77777777" w:rsidR="00665165" w:rsidRPr="00F90EAE" w:rsidRDefault="00665165" w:rsidP="00F90EAE">
      <w:pPr>
        <w:autoSpaceDE w:val="0"/>
        <w:autoSpaceDN w:val="0"/>
        <w:adjustRightInd w:val="0"/>
        <w:jc w:val="both"/>
        <w:rPr>
          <w:color w:val="000000" w:themeColor="text1"/>
          <w:sz w:val="16"/>
          <w:szCs w:val="16"/>
        </w:rPr>
      </w:pPr>
    </w:p>
    <w:p w14:paraId="572F4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7884 О вывозе оборудования с немецкого электромашиностроительного завода фирмы "Карл Кайзер" в г. Циленциг. РГАНИР, Фонд ГКО, д. 382, лл. 184-185 (11012).</w:t>
      </w:r>
    </w:p>
    <w:p w14:paraId="4C48836F" w14:textId="77777777" w:rsidR="00665165" w:rsidRPr="00F90EAE" w:rsidRDefault="00665165" w:rsidP="00F90EAE">
      <w:pPr>
        <w:autoSpaceDE w:val="0"/>
        <w:autoSpaceDN w:val="0"/>
        <w:adjustRightInd w:val="0"/>
        <w:jc w:val="both"/>
        <w:rPr>
          <w:color w:val="000000" w:themeColor="text1"/>
          <w:sz w:val="16"/>
          <w:szCs w:val="16"/>
        </w:rPr>
      </w:pPr>
    </w:p>
    <w:p w14:paraId="14E708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7885 О вывозе оборудования доменного и мартеновского цехов и аглофабрики с завода "Юлианхютте" в гор. Бобрек. РГАНИР, Фонд ГКО, д. 382, лл. 186-187 (11012).</w:t>
      </w:r>
    </w:p>
    <w:p w14:paraId="7E4775E7" w14:textId="77777777" w:rsidR="00665165" w:rsidRPr="00F90EAE" w:rsidRDefault="00665165" w:rsidP="00F90EAE">
      <w:pPr>
        <w:autoSpaceDE w:val="0"/>
        <w:autoSpaceDN w:val="0"/>
        <w:adjustRightInd w:val="0"/>
        <w:jc w:val="both"/>
        <w:rPr>
          <w:color w:val="000000" w:themeColor="text1"/>
          <w:sz w:val="16"/>
          <w:szCs w:val="16"/>
        </w:rPr>
      </w:pPr>
    </w:p>
    <w:p w14:paraId="16831C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7886 О вывозе оборудования с завода "Андреасхютте" в г. Андреасхютте. РГАНИР, Фонд ГКО, д. 382, лл. 188-189 (11012).</w:t>
      </w:r>
    </w:p>
    <w:p w14:paraId="3ED7DF63" w14:textId="77777777" w:rsidR="00665165" w:rsidRPr="00F90EAE" w:rsidRDefault="00665165" w:rsidP="00F90EAE">
      <w:pPr>
        <w:autoSpaceDE w:val="0"/>
        <w:autoSpaceDN w:val="0"/>
        <w:adjustRightInd w:val="0"/>
        <w:jc w:val="both"/>
        <w:rPr>
          <w:color w:val="000000" w:themeColor="text1"/>
          <w:sz w:val="16"/>
          <w:szCs w:val="16"/>
        </w:rPr>
      </w:pPr>
    </w:p>
    <w:p w14:paraId="7AA1A9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7887 О вывозе оборудования смолоразгонного и бензольно-ректификационного завода "Скалляйн" фирмы "Борзиг" в г. Гинденбург, двух коксовых батарей строящегося коксохимического завода фирмы "Борзиг" при шахте "Глейвицер-Груббе" в г. Глейвиц и оборудования Центральной коксохимической лаборатории при Главном управлении фирмы Борзинг в г. Гиндеобург. РГАНИР, Фонд ГКО, д. 382, лл. 190, 191 (11012).</w:t>
      </w:r>
    </w:p>
    <w:p w14:paraId="26EE0AAD" w14:textId="77777777" w:rsidR="00665165" w:rsidRPr="00F90EAE" w:rsidRDefault="00665165" w:rsidP="00F90EAE">
      <w:pPr>
        <w:autoSpaceDE w:val="0"/>
        <w:autoSpaceDN w:val="0"/>
        <w:adjustRightInd w:val="0"/>
        <w:jc w:val="both"/>
        <w:rPr>
          <w:color w:val="000000" w:themeColor="text1"/>
          <w:sz w:val="16"/>
          <w:szCs w:val="16"/>
        </w:rPr>
      </w:pPr>
    </w:p>
    <w:p w14:paraId="151C5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7888 О вывозе оборудования с немецких заводов на заводы Наркомугля в Донбассе. РГАНИР, Фонд ГКО, д. 382, лл. 192-193 (11012).</w:t>
      </w:r>
    </w:p>
    <w:p w14:paraId="7A906025" w14:textId="77777777" w:rsidR="00665165" w:rsidRPr="00F90EAE" w:rsidRDefault="00665165" w:rsidP="00F90EAE">
      <w:pPr>
        <w:autoSpaceDE w:val="0"/>
        <w:autoSpaceDN w:val="0"/>
        <w:adjustRightInd w:val="0"/>
        <w:jc w:val="both"/>
        <w:rPr>
          <w:color w:val="000000" w:themeColor="text1"/>
          <w:sz w:val="16"/>
          <w:szCs w:val="16"/>
        </w:rPr>
      </w:pPr>
    </w:p>
    <w:p w14:paraId="0FC56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7889 О вывозе оборудования с немецкого завода по производству автомобильных агрегатов в г. Цюллихау. РГАНИР, Фонд ГКО, д. 382, лл. 194-195 (11012).</w:t>
      </w:r>
    </w:p>
    <w:p w14:paraId="23BF6AB1" w14:textId="77777777" w:rsidR="00665165" w:rsidRPr="00F90EAE" w:rsidRDefault="00665165" w:rsidP="00F90EAE">
      <w:pPr>
        <w:autoSpaceDE w:val="0"/>
        <w:autoSpaceDN w:val="0"/>
        <w:adjustRightInd w:val="0"/>
        <w:jc w:val="both"/>
        <w:rPr>
          <w:color w:val="000000" w:themeColor="text1"/>
          <w:sz w:val="16"/>
          <w:szCs w:val="16"/>
        </w:rPr>
      </w:pPr>
    </w:p>
    <w:p w14:paraId="016CC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7890 О вывозе оборудования по производству кислорода с немецкого завода "Верейнигте Зауерштофверке Глейвиц-Бреслау" в г. Глейвиц. РГАНИР, Фонд ГКО, д. 382, лл. 196-197 (11012).</w:t>
      </w:r>
    </w:p>
    <w:p w14:paraId="4466A7B7" w14:textId="77777777" w:rsidR="00665165" w:rsidRPr="00F90EAE" w:rsidRDefault="00665165" w:rsidP="00F90EAE">
      <w:pPr>
        <w:autoSpaceDE w:val="0"/>
        <w:autoSpaceDN w:val="0"/>
        <w:adjustRightInd w:val="0"/>
        <w:jc w:val="both"/>
        <w:rPr>
          <w:color w:val="000000" w:themeColor="text1"/>
          <w:sz w:val="16"/>
          <w:szCs w:val="16"/>
        </w:rPr>
      </w:pPr>
    </w:p>
    <w:p w14:paraId="313CE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7891 О вывозе полиграфического оборудования немецкой типографии в г. Лигниц. РГАНИР, Фонд ГКО, д. 382, лл. 198-199 (11012).</w:t>
      </w:r>
    </w:p>
    <w:p w14:paraId="07F4AB98" w14:textId="77777777" w:rsidR="00665165" w:rsidRPr="00F90EAE" w:rsidRDefault="00665165" w:rsidP="00F90EAE">
      <w:pPr>
        <w:autoSpaceDE w:val="0"/>
        <w:autoSpaceDN w:val="0"/>
        <w:adjustRightInd w:val="0"/>
        <w:jc w:val="both"/>
        <w:rPr>
          <w:color w:val="000000" w:themeColor="text1"/>
          <w:sz w:val="16"/>
          <w:szCs w:val="16"/>
        </w:rPr>
      </w:pPr>
    </w:p>
    <w:p w14:paraId="5067AA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7892 О вывозе оборудования немецких домостроительных, машиностроительного заводов и завода ребристых труб из Восточной Пруссии. РГАНИР, Фонд ГКО, д. 382, лл. 200-202 (11012).</w:t>
      </w:r>
    </w:p>
    <w:p w14:paraId="3403F65E" w14:textId="77777777" w:rsidR="00665165" w:rsidRPr="00F90EAE" w:rsidRDefault="00665165" w:rsidP="00F90EAE">
      <w:pPr>
        <w:autoSpaceDE w:val="0"/>
        <w:autoSpaceDN w:val="0"/>
        <w:adjustRightInd w:val="0"/>
        <w:jc w:val="both"/>
        <w:rPr>
          <w:color w:val="000000" w:themeColor="text1"/>
          <w:sz w:val="16"/>
          <w:szCs w:val="16"/>
        </w:rPr>
      </w:pPr>
    </w:p>
    <w:p w14:paraId="170F4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7893 О вывозе трофейного имущества со складов 1-го Белорусского фронта. РГАНИР, Фонд ГКО, д. 382, лл. 203, 204-205 (11012).</w:t>
      </w:r>
    </w:p>
    <w:p w14:paraId="40C2797F" w14:textId="77777777" w:rsidR="00665165" w:rsidRPr="00F90EAE" w:rsidRDefault="00665165" w:rsidP="00F90EAE">
      <w:pPr>
        <w:autoSpaceDE w:val="0"/>
        <w:autoSpaceDN w:val="0"/>
        <w:adjustRightInd w:val="0"/>
        <w:jc w:val="both"/>
        <w:rPr>
          <w:color w:val="000000" w:themeColor="text1"/>
          <w:sz w:val="16"/>
          <w:szCs w:val="16"/>
        </w:rPr>
      </w:pPr>
    </w:p>
    <w:p w14:paraId="7FBBD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7894 О вывозе трофейной ртути. РГАНИР, Фонд ГКО, д. 382, лл. 206 (11012).</w:t>
      </w:r>
    </w:p>
    <w:p w14:paraId="649A81D6" w14:textId="77777777" w:rsidR="00665165" w:rsidRPr="00F90EAE" w:rsidRDefault="00665165" w:rsidP="00F90EAE">
      <w:pPr>
        <w:autoSpaceDE w:val="0"/>
        <w:autoSpaceDN w:val="0"/>
        <w:adjustRightInd w:val="0"/>
        <w:jc w:val="both"/>
        <w:rPr>
          <w:color w:val="000000" w:themeColor="text1"/>
          <w:sz w:val="16"/>
          <w:szCs w:val="16"/>
        </w:rPr>
      </w:pPr>
    </w:p>
    <w:p w14:paraId="1673CD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вышло Постановление ГКО № 7896 Об организации вывоза оборудования и материалов с демонтируемых немецких заводов. РГАНИР, Фонд ГКО, д. 382, лл. 209-212 (11012).</w:t>
      </w:r>
    </w:p>
    <w:p w14:paraId="739AC585" w14:textId="77777777" w:rsidR="00665165" w:rsidRPr="00F90EAE" w:rsidRDefault="00665165" w:rsidP="00F90EAE">
      <w:pPr>
        <w:autoSpaceDE w:val="0"/>
        <w:autoSpaceDN w:val="0"/>
        <w:adjustRightInd w:val="0"/>
        <w:jc w:val="both"/>
        <w:rPr>
          <w:color w:val="000000" w:themeColor="text1"/>
          <w:sz w:val="16"/>
          <w:szCs w:val="16"/>
        </w:rPr>
      </w:pPr>
    </w:p>
    <w:p w14:paraId="13988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21 марта 1945 вышло Постановление ГКО № 7897 Об организации особых монтажных управлений Наркомстроя. РГАНИР, Фонд ГКО, д. 382, лл. 213-218 (11012).</w:t>
      </w:r>
    </w:p>
    <w:p w14:paraId="5D079B90" w14:textId="77777777" w:rsidR="00665165" w:rsidRPr="00F90EAE" w:rsidRDefault="00665165" w:rsidP="00F90EAE">
      <w:pPr>
        <w:autoSpaceDE w:val="0"/>
        <w:autoSpaceDN w:val="0"/>
        <w:adjustRightInd w:val="0"/>
        <w:jc w:val="both"/>
        <w:rPr>
          <w:color w:val="000000" w:themeColor="text1"/>
          <w:sz w:val="16"/>
          <w:szCs w:val="16"/>
        </w:rPr>
      </w:pPr>
    </w:p>
    <w:p w14:paraId="07E7BA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марта 1945 г. для стимулирования погрузки и отправки трофейного оборудования и материалов с демонтируемых предприятий ГКО была установлена система, предусматривавшая премирование личного состава. В пунктах погрузки за каждый отгруженный полновесный вагон – 100 рублей, из них: _ для премирования рядового и сержантского состава трофейных частей – 80 рублей; _ офицерского состава трофейных частей _ 4 рубля; _ личного состава военно_экспедиционных управлений наркомата путей сообщения – 3 рубля; _ личного состава военных сообщений фронта и армии – 3 рубля.</w:t>
      </w:r>
    </w:p>
    <w:p w14:paraId="5FF736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пунктах перевалки с западно_европейской на советскую колею – 50 рублей, из них: _ для премирования рядового и сержантского состава рабочих частей перевалочной базы – 42 рубля; _ офицерского состава перевалочной базы и рабочих частей – 5 рублей; _ в распоряжение начальника перевалочной базы для премирования работников железнодорожных станций перевалки 3 рубля (11254).</w:t>
      </w:r>
    </w:p>
    <w:p w14:paraId="2A0008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61AF1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4865819" w14:textId="77777777" w:rsidR="00665165" w:rsidRPr="00F90EAE" w:rsidRDefault="00665165" w:rsidP="00F90EAE">
      <w:pPr>
        <w:autoSpaceDE w:val="0"/>
        <w:autoSpaceDN w:val="0"/>
        <w:adjustRightInd w:val="0"/>
        <w:jc w:val="both"/>
        <w:rPr>
          <w:iCs/>
          <w:color w:val="000000" w:themeColor="text1"/>
          <w:sz w:val="16"/>
          <w:szCs w:val="16"/>
        </w:rPr>
      </w:pPr>
    </w:p>
    <w:p w14:paraId="10EE9C03" w14:textId="77777777" w:rsidR="00DC5271" w:rsidRPr="00F90EAE" w:rsidRDefault="00DC5271" w:rsidP="00F90EAE">
      <w:pPr>
        <w:jc w:val="both"/>
        <w:rPr>
          <w:color w:val="000000" w:themeColor="text1"/>
          <w:sz w:val="16"/>
          <w:szCs w:val="16"/>
        </w:rPr>
      </w:pPr>
      <w:r w:rsidRPr="00F90EAE">
        <w:rPr>
          <w:bCs/>
          <w:color w:val="000000" w:themeColor="text1"/>
          <w:sz w:val="16"/>
          <w:szCs w:val="16"/>
        </w:rPr>
        <w:t>21 марта</w:t>
      </w:r>
      <w:r w:rsidRPr="00F90EAE">
        <w:rPr>
          <w:color w:val="000000" w:themeColor="text1"/>
          <w:sz w:val="16"/>
          <w:szCs w:val="16"/>
        </w:rPr>
        <w:t xml:space="preserve"> в 1945 году оперативная сводка Совинформбюро:</w:t>
      </w:r>
    </w:p>
    <w:p w14:paraId="2CE3EC44" w14:textId="77777777" w:rsidR="00DC5271" w:rsidRPr="00F90EAE" w:rsidRDefault="00DC5271" w:rsidP="00F90EAE">
      <w:pPr>
        <w:jc w:val="both"/>
        <w:rPr>
          <w:color w:val="000000" w:themeColor="text1"/>
          <w:sz w:val="16"/>
          <w:szCs w:val="16"/>
        </w:rPr>
      </w:pPr>
      <w:r w:rsidRPr="00F90EAE">
        <w:rPr>
          <w:color w:val="000000" w:themeColor="text1"/>
          <w:sz w:val="16"/>
          <w:szCs w:val="16"/>
        </w:rPr>
        <w:t>«В течение 21 марта юго-западнее Кенигсберга войска 3-го БЕлорусского фронта продолжали бои по уничтожению Восточно-Прусской группы немцев и, продвигаясь к побережью залива Фриш-Гаф, заняли населённые пункты Больбиттен, Штутенен, Невеккен, Грунау, Радау, Альт-Пассарге. По дополнительным данным, в боях за город Браунсберг войска фронта захватили следующие трофеи: танков — 204, бронетранспортёров — 25, миномётов — 109, пулемётов — 204, автомашин — 1.050, паровозов — 5, железнодорожных вагонов — 633, складов с различным военным имуществом—17.</w:t>
      </w:r>
    </w:p>
    <w:p w14:paraId="3EEBC9FD" w14:textId="77777777" w:rsidR="00DC5271" w:rsidRPr="00F90EAE" w:rsidRDefault="00DC5271" w:rsidP="00F90EAE">
      <w:pPr>
        <w:jc w:val="both"/>
        <w:rPr>
          <w:color w:val="000000" w:themeColor="text1"/>
          <w:sz w:val="16"/>
          <w:szCs w:val="16"/>
        </w:rPr>
      </w:pPr>
      <w:r w:rsidRPr="00F90EAE">
        <w:rPr>
          <w:color w:val="000000" w:themeColor="text1"/>
          <w:sz w:val="16"/>
          <w:szCs w:val="16"/>
        </w:rPr>
        <w:t>На Данцигском направлении наши войска в результате наступательных боёв заняли населённые пункты Мюльбанц, Колинг, Кладау, Иетау, Заалау, Клайн-Белькау, Нидер-Прангенау, Биссау, Гросс-Катц. За 20 марта в этом районе наши войска взяли в плен более 600 немецких солдат и офицеров.</w:t>
      </w:r>
    </w:p>
    <w:p w14:paraId="76B0CE37" w14:textId="77777777" w:rsidR="00DC5271" w:rsidRPr="00F90EAE" w:rsidRDefault="00DC5271"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в городе группировки противника.</w:t>
      </w:r>
    </w:p>
    <w:p w14:paraId="77E415FA" w14:textId="77777777" w:rsidR="00DC5271" w:rsidRPr="00F90EAE" w:rsidRDefault="00DC5271" w:rsidP="00F90EAE">
      <w:pPr>
        <w:jc w:val="both"/>
        <w:rPr>
          <w:color w:val="000000" w:themeColor="text1"/>
          <w:sz w:val="16"/>
          <w:szCs w:val="16"/>
        </w:rPr>
      </w:pPr>
      <w:r w:rsidRPr="00F90EAE">
        <w:rPr>
          <w:color w:val="000000" w:themeColor="text1"/>
          <w:sz w:val="16"/>
          <w:szCs w:val="16"/>
        </w:rPr>
        <w:t>За 20 марта на всех фронтах подбито и уничтожено 176 немецких танков. В воздушных боях и огнём зенитной артиллерии сбито 69 самолётов противника.</w:t>
      </w:r>
    </w:p>
    <w:p w14:paraId="042C1DB9" w14:textId="77777777" w:rsidR="00DC5271" w:rsidRPr="00F90EAE" w:rsidRDefault="00DC5271" w:rsidP="00F90EAE">
      <w:pPr>
        <w:jc w:val="both"/>
        <w:rPr>
          <w:color w:val="000000" w:themeColor="text1"/>
          <w:sz w:val="16"/>
          <w:szCs w:val="16"/>
        </w:rPr>
      </w:pPr>
      <w:r w:rsidRPr="00F90EAE">
        <w:rPr>
          <w:color w:val="000000" w:themeColor="text1"/>
          <w:sz w:val="16"/>
          <w:szCs w:val="16"/>
        </w:rPr>
        <w:t>Налёт нашей авиации на железнодорожный узел Веспрем в Венгрии</w:t>
      </w:r>
    </w:p>
    <w:p w14:paraId="2B7CE619" w14:textId="77777777" w:rsidR="00DC5271" w:rsidRPr="00F90EAE" w:rsidRDefault="00DC5271" w:rsidP="00F90EAE">
      <w:pPr>
        <w:jc w:val="both"/>
        <w:rPr>
          <w:color w:val="000000" w:themeColor="text1"/>
          <w:sz w:val="16"/>
          <w:szCs w:val="16"/>
        </w:rPr>
      </w:pPr>
      <w:r w:rsidRPr="00F90EAE">
        <w:rPr>
          <w:color w:val="000000" w:themeColor="text1"/>
          <w:sz w:val="16"/>
          <w:szCs w:val="16"/>
        </w:rPr>
        <w:t>В ночь на 21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взрывами.</w:t>
      </w:r>
    </w:p>
    <w:p w14:paraId="71942725" w14:textId="77777777" w:rsidR="00DC5271" w:rsidRPr="00F90EAE" w:rsidRDefault="00DC5271" w:rsidP="00F90EAE">
      <w:pPr>
        <w:jc w:val="both"/>
        <w:rPr>
          <w:color w:val="000000" w:themeColor="text1"/>
          <w:sz w:val="16"/>
          <w:szCs w:val="16"/>
        </w:rPr>
      </w:pPr>
      <w:r w:rsidRPr="00F90EAE">
        <w:rPr>
          <w:color w:val="000000" w:themeColor="text1"/>
          <w:sz w:val="16"/>
          <w:szCs w:val="16"/>
        </w:rPr>
        <w:t>Действия авиации Краснознамённого Балтийского флота</w:t>
      </w:r>
    </w:p>
    <w:p w14:paraId="5BAE9D04" w14:textId="77777777" w:rsidR="00DC5271" w:rsidRPr="00F90EAE" w:rsidRDefault="00DC5271" w:rsidP="00F90EAE">
      <w:pPr>
        <w:jc w:val="both"/>
        <w:rPr>
          <w:color w:val="000000" w:themeColor="text1"/>
          <w:sz w:val="16"/>
          <w:szCs w:val="16"/>
        </w:rPr>
      </w:pPr>
      <w:r w:rsidRPr="00F90EAE">
        <w:rPr>
          <w:color w:val="000000" w:themeColor="text1"/>
          <w:sz w:val="16"/>
          <w:szCs w:val="16"/>
        </w:rPr>
        <w:t>19 марта авиацией Краснознамённого Балтийского флота потоплены: в порту Пил-лау — три немецких транспорта водоизмещением от 5 до 6 тысяч тонн каждый и в районе острова Борнхольм — два немецких транспорта водоизмещением от 10 до 12 тысяч тонн каждый и один сторожевой корабль противника.</w:t>
      </w:r>
    </w:p>
    <w:p w14:paraId="54CA95EB" w14:textId="77777777" w:rsidR="00DC5271" w:rsidRPr="00F90EAE" w:rsidRDefault="00DC5271" w:rsidP="00F90EAE">
      <w:pPr>
        <w:jc w:val="both"/>
        <w:rPr>
          <w:color w:val="000000" w:themeColor="text1"/>
          <w:sz w:val="16"/>
          <w:szCs w:val="16"/>
        </w:rPr>
      </w:pPr>
      <w:r w:rsidRPr="00F90EAE">
        <w:rPr>
          <w:color w:val="000000" w:themeColor="text1"/>
          <w:sz w:val="16"/>
          <w:szCs w:val="16"/>
        </w:rPr>
        <w:t>Юго-западнее Кенигсберга войска 3-го Белорусского фронта продолжали бои по ликвидации Восточно-Прусской группы войск противника Несмотря на это, наступающие советские части настойчиво продвигаются вперёд, уничтожая вражеские узлы сопротивления. Прижатые к заливу Фриш-Гаф на узкой прибрежной полосе остатки разгромлённых немецких соединений яростно сопротивляются. В районе населённого пункта Больбиттен немецкая пехота, поддержанная танками и самоходными орудиями, предприняла несколько контратак. Наши подразделения отбили вражеские контратаки и, продвигаясь вперёд, заняли Больбиттен. Особенно ожесточённые бои происходят в районе города Хайлигенбайль. Противник сосредоточил здесь танки, самоходные орудия, полевую артиллерию и упорно обороняет подступы к городу с юга. Советские части, наступающие на север вдоль реки Банау, сломили сопротивление немцев и овладели сильно укреплёнными позициями. Идут бои за переправы через реку Иарфт, прикрывающую город Хайлигенбайль с юга. Одновременно другие наши части выбили немцев из сильно укреплённых опорных пунктов Грунау и Радау и вышли к железной дороге Браунсберг — Хайлигенбайль. Опираясь на укрепления, построенные у насыпи железнодорожного полотна, гитлеровцы пытались задержать советские войска на этом рубеже. Наши пехотинцы стремительной атакой на ряде участков прорвали оборону немцев. Войска фронта, наступающие вдоль побережья залива Фриш-Гаф на восток, переправились через реку Пассарге в её устье и заняли прибрежный населённый пункт Альт-Пассарге. Наша артиллерия днём и ночью обстреливает порты и пристани, находящиеся в руках противника. За день боёв истреблено более 4 тысяч немецких солдат и офицеров, уничтожено 26 танков и 60 орудий противника. Нашими войсками захвачено много трофеев и пленных.</w:t>
      </w:r>
    </w:p>
    <w:p w14:paraId="7AE62EAF" w14:textId="77777777" w:rsidR="00DC5271" w:rsidRPr="00F90EAE" w:rsidRDefault="00DC5271" w:rsidP="00F90EAE">
      <w:pPr>
        <w:jc w:val="both"/>
        <w:rPr>
          <w:color w:val="000000" w:themeColor="text1"/>
          <w:sz w:val="16"/>
          <w:szCs w:val="16"/>
        </w:rPr>
      </w:pPr>
      <w:r w:rsidRPr="00F90EAE">
        <w:rPr>
          <w:color w:val="000000" w:themeColor="text1"/>
          <w:sz w:val="16"/>
          <w:szCs w:val="16"/>
        </w:rPr>
        <w:t>На Данцигском направлении наши войска вели наступательные бои. Юго-западнее Данцига советские части прорвали две линии вражеских траншей и заняли опорный пункт Клайн-Белькау, находящийся в 10 километрах от Данцига. Ожесточённые бои произошли в районе крупного населённого пункта Гросс-Катц. Противник располагал в этом районе сильными укреплениями. Гитлеровцы, поддержанные огнём с военных кораблей и бронепоездов, оказывали отчаянное сопротивление. Наши пехотинцы, танкисты и артиллеристы преодолели несколько линий траншей, противотанковые рвы, минные поля и ворвались в Гросс-Катц. Вражеский гарнизон, понесший в упорных уличных боях тяжёлые потери, в беспорядке отступил. Советские части овладели Гросс-Катцом — важным узлом обороны немцев, находящимся в 4 километрах от побережья Данцигской бухты. В течение дня уничтожено несколько тысяч солдат и офицеров противника, 25 танков, 54 орудия, 5 бронетранспортёров и один вражеский бронепоезд.</w:t>
      </w:r>
    </w:p>
    <w:p w14:paraId="6B99F95D" w14:textId="77777777" w:rsidR="00DC5271" w:rsidRPr="00F90EAE" w:rsidRDefault="00DC5271" w:rsidP="00F90EAE">
      <w:pPr>
        <w:jc w:val="both"/>
        <w:rPr>
          <w:color w:val="000000" w:themeColor="text1"/>
          <w:sz w:val="16"/>
          <w:szCs w:val="16"/>
        </w:rPr>
      </w:pPr>
      <w:r w:rsidRPr="00F90EAE">
        <w:rPr>
          <w:color w:val="000000" w:themeColor="text1"/>
          <w:sz w:val="16"/>
          <w:szCs w:val="16"/>
        </w:rPr>
        <w:t>Наша авиация, несмотря на неблагоприятную погоду, наносила бомбардировочно-штурмовые удары по войскам, военным объектам и кораблям противника. Советские лётчики уничтожили несколько танков, 120 автомашин, потопили катер и 3 баржи. В порту Гдыня взорван крупный склад боеприпасов.</w:t>
      </w:r>
    </w:p>
    <w:p w14:paraId="0D00667D" w14:textId="77777777" w:rsidR="00DC5271" w:rsidRPr="00F90EAE" w:rsidRDefault="00DC5271" w:rsidP="00F90EAE">
      <w:pPr>
        <w:jc w:val="both"/>
        <w:rPr>
          <w:color w:val="000000" w:themeColor="text1"/>
          <w:sz w:val="16"/>
          <w:szCs w:val="16"/>
        </w:rPr>
      </w:pPr>
      <w:r w:rsidRPr="00F90EAE">
        <w:rPr>
          <w:color w:val="000000" w:themeColor="text1"/>
          <w:sz w:val="16"/>
          <w:szCs w:val="16"/>
        </w:rPr>
        <w:t>Наши тяжёлые бомбардировщики сегодня вновь нанесли удар по военным объектам противника в городе Бреслау. В результате бомбардировки возникли пожары, среди которых отмечено 5 сильных взрывов.</w:t>
      </w:r>
    </w:p>
    <w:p w14:paraId="63688D12" w14:textId="77777777" w:rsidR="00DC5271" w:rsidRPr="00F90EAE" w:rsidRDefault="00DC5271" w:rsidP="00F90EAE">
      <w:pPr>
        <w:jc w:val="both"/>
        <w:rPr>
          <w:color w:val="000000" w:themeColor="text1"/>
          <w:sz w:val="16"/>
          <w:szCs w:val="16"/>
          <w:lang w:val="en-US"/>
        </w:rPr>
      </w:pPr>
      <w:r w:rsidRPr="00F90EAE">
        <w:rPr>
          <w:color w:val="000000" w:themeColor="text1"/>
          <w:sz w:val="16"/>
          <w:szCs w:val="16"/>
        </w:rPr>
        <w:t xml:space="preserve">В оборонительных боях, недавно происходивших в районе северо-восточнее озера Балатон, советские воины проявили высокую боевую выучку и беззаветную храбрость. Батарея самоходных орудий старшего лейтенанта Кочерги, вступив в бой с 14 немецкими танками, сожгла и подбила 8 танков противника. В ночном бою на раненого командира роты лейтенанта Бахрушина набросилась группа немцев. На выручку своего командира поспешил красноармеец Солодкий. Отважный боец застрелил трёх гитлеровцев, а двух заколол штыком. Солодкий благополучно доставил лейтенанта на медицинский пункт. Гвардии красноармеец Иван Скородумов при отражении вражеской атаки прыгнул на немецкий танк, у которого был открыт люк. Гвардеец очередью из автомата перебил немецких танкистов и привёл танк в свою часть.» </w:t>
      </w:r>
      <w:r w:rsidRPr="00F90EAE">
        <w:rPr>
          <w:color w:val="000000" w:themeColor="text1"/>
          <w:sz w:val="16"/>
          <w:szCs w:val="16"/>
          <w:lang w:val="en-US"/>
        </w:rPr>
        <w:t>(15075).</w:t>
      </w:r>
    </w:p>
    <w:p w14:paraId="3CF8C634" w14:textId="77777777" w:rsidR="00DC5271" w:rsidRPr="00F90EAE" w:rsidRDefault="00DC5271" w:rsidP="00F90EAE">
      <w:pPr>
        <w:jc w:val="both"/>
        <w:rPr>
          <w:color w:val="000000" w:themeColor="text1"/>
          <w:sz w:val="16"/>
          <w:szCs w:val="16"/>
          <w:lang w:val="en-US"/>
        </w:rPr>
      </w:pPr>
    </w:p>
    <w:p w14:paraId="2ED88A7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21st, 1945: In Hungary, the Red Army captures Stuhlweissenburg. In the West, units of the US First Army advance from the Remagen bridgehead toward Siegburg. The US 8th Air Force launches a major attack (650 bombers) against Hamburg (3819).</w:t>
      </w:r>
    </w:p>
    <w:p w14:paraId="4445AFD5" w14:textId="77777777" w:rsidR="00665165" w:rsidRPr="00F90EAE" w:rsidRDefault="00665165" w:rsidP="00F90EAE">
      <w:pPr>
        <w:autoSpaceDE w:val="0"/>
        <w:autoSpaceDN w:val="0"/>
        <w:adjustRightInd w:val="0"/>
        <w:jc w:val="both"/>
        <w:rPr>
          <w:color w:val="000000" w:themeColor="text1"/>
          <w:sz w:val="16"/>
          <w:szCs w:val="16"/>
          <w:lang w:val="en-US"/>
        </w:rPr>
      </w:pPr>
    </w:p>
    <w:p w14:paraId="407750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марта 1945 в Венгрии КА заняла Секешфехервар. 1А США продвинулась к Зигбургу. 8ВА США совершила налет силами 650 б на Гамбург (3819).</w:t>
      </w:r>
    </w:p>
    <w:p w14:paraId="3C60BAF3" w14:textId="77777777" w:rsidR="00665165" w:rsidRPr="00F90EAE" w:rsidRDefault="00665165" w:rsidP="00F90EAE">
      <w:pPr>
        <w:autoSpaceDE w:val="0"/>
        <w:autoSpaceDN w:val="0"/>
        <w:adjustRightInd w:val="0"/>
        <w:jc w:val="both"/>
        <w:rPr>
          <w:color w:val="000000" w:themeColor="text1"/>
          <w:sz w:val="16"/>
          <w:szCs w:val="16"/>
        </w:rPr>
      </w:pPr>
    </w:p>
    <w:p w14:paraId="65F0CBC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1C6606A" w14:textId="77777777" w:rsidR="00665165" w:rsidRPr="00F90EAE" w:rsidRDefault="00665165" w:rsidP="00F90EAE">
      <w:pPr>
        <w:autoSpaceDE w:val="0"/>
        <w:autoSpaceDN w:val="0"/>
        <w:adjustRightInd w:val="0"/>
        <w:jc w:val="both"/>
        <w:rPr>
          <w:iCs/>
          <w:color w:val="000000" w:themeColor="text1"/>
          <w:sz w:val="16"/>
          <w:szCs w:val="16"/>
        </w:rPr>
      </w:pPr>
    </w:p>
    <w:p w14:paraId="126DBB85" w14:textId="77777777" w:rsidR="00DC5271" w:rsidRPr="00F90EAE" w:rsidRDefault="00DC5271" w:rsidP="00F90EAE">
      <w:pPr>
        <w:jc w:val="both"/>
        <w:rPr>
          <w:color w:val="000000" w:themeColor="text1"/>
          <w:sz w:val="16"/>
          <w:szCs w:val="16"/>
        </w:rPr>
      </w:pPr>
      <w:r w:rsidRPr="00F90EAE">
        <w:rPr>
          <w:bCs/>
          <w:color w:val="000000" w:themeColor="text1"/>
          <w:sz w:val="16"/>
          <w:szCs w:val="16"/>
        </w:rPr>
        <w:t>21 марта</w:t>
      </w:r>
      <w:r w:rsidRPr="00F90EAE">
        <w:rPr>
          <w:color w:val="000000" w:themeColor="text1"/>
          <w:sz w:val="16"/>
          <w:szCs w:val="16"/>
        </w:rPr>
        <w:t xml:space="preserve"> в 1945 году в Германии на испытательном стенде было проведено первое испытание ЖРД для ракеты "A-4"/SS-1/Scunner/ (Фау-2) (15075).</w:t>
      </w:r>
    </w:p>
    <w:p w14:paraId="16BF9E35" w14:textId="77777777" w:rsidR="00DC5271" w:rsidRPr="00F90EAE" w:rsidRDefault="00DC5271" w:rsidP="00F90EAE">
      <w:pPr>
        <w:jc w:val="both"/>
        <w:rPr>
          <w:color w:val="000000" w:themeColor="text1"/>
          <w:sz w:val="16"/>
          <w:szCs w:val="16"/>
        </w:rPr>
      </w:pPr>
    </w:p>
    <w:p w14:paraId="50251645" w14:textId="77777777" w:rsidR="00DC5271" w:rsidRPr="00F90EAE" w:rsidRDefault="00DC5271" w:rsidP="00F90EAE">
      <w:pPr>
        <w:autoSpaceDE w:val="0"/>
        <w:autoSpaceDN w:val="0"/>
        <w:adjustRightInd w:val="0"/>
        <w:jc w:val="both"/>
        <w:rPr>
          <w:color w:val="000000" w:themeColor="text1"/>
          <w:sz w:val="16"/>
          <w:szCs w:val="16"/>
        </w:rPr>
      </w:pPr>
      <w:r w:rsidRPr="00F90EAE">
        <w:rPr>
          <w:color w:val="000000" w:themeColor="text1"/>
          <w:sz w:val="16"/>
          <w:szCs w:val="16"/>
        </w:rPr>
        <w:t>21 марта 1945 началась разработка новой американской управляемой ракеты воздух-поверхность (1090).</w:t>
      </w:r>
    </w:p>
    <w:p w14:paraId="39D425B1" w14:textId="77777777" w:rsidR="00DC5271" w:rsidRPr="00F90EAE" w:rsidRDefault="00DC5271" w:rsidP="00F90EAE">
      <w:pPr>
        <w:autoSpaceDE w:val="0"/>
        <w:autoSpaceDN w:val="0"/>
        <w:adjustRightInd w:val="0"/>
        <w:jc w:val="both"/>
        <w:rPr>
          <w:color w:val="000000" w:themeColor="text1"/>
          <w:sz w:val="16"/>
          <w:szCs w:val="16"/>
        </w:rPr>
      </w:pPr>
    </w:p>
    <w:p w14:paraId="1AB6BBDD" w14:textId="77777777" w:rsidR="00DC5271" w:rsidRPr="00F90EAE" w:rsidRDefault="00DC5271" w:rsidP="00F90EAE">
      <w:pPr>
        <w:jc w:val="both"/>
        <w:rPr>
          <w:color w:val="000000" w:themeColor="text1"/>
          <w:sz w:val="16"/>
          <w:szCs w:val="16"/>
        </w:rPr>
      </w:pPr>
      <w:r w:rsidRPr="00F90EAE">
        <w:rPr>
          <w:bCs/>
          <w:color w:val="000000" w:themeColor="text1"/>
          <w:sz w:val="16"/>
          <w:szCs w:val="16"/>
        </w:rPr>
        <w:t>21 марта</w:t>
      </w:r>
      <w:r w:rsidRPr="00F90EAE">
        <w:rPr>
          <w:color w:val="000000" w:themeColor="text1"/>
          <w:sz w:val="16"/>
          <w:szCs w:val="16"/>
        </w:rPr>
        <w:t xml:space="preserve"> в 1945 году потоплен германский линкор "Шлезвиг-Гольштейн" (в строю с 1908 г., 14218 т, 19 узлов, главный калибр - 4 280-мм орудия), который был назван кораблем, начавшим Вторую мировую войну: в 4.45 1 сентября 1939 г. его орудия открыли огонь по польским укреплениям на полуострове Вестерплятте (15075).</w:t>
      </w:r>
    </w:p>
    <w:p w14:paraId="6F51C87A" w14:textId="77777777" w:rsidR="00DC5271" w:rsidRPr="00F90EAE" w:rsidRDefault="00DC5271" w:rsidP="00F90EAE">
      <w:pPr>
        <w:jc w:val="both"/>
        <w:rPr>
          <w:color w:val="000000" w:themeColor="text1"/>
          <w:sz w:val="16"/>
          <w:szCs w:val="16"/>
        </w:rPr>
      </w:pPr>
    </w:p>
    <w:p w14:paraId="2F84DD31" w14:textId="77777777" w:rsidR="00DC5271" w:rsidRPr="00F90EAE" w:rsidRDefault="00DC5271" w:rsidP="00F90EAE">
      <w:pPr>
        <w:jc w:val="both"/>
        <w:rPr>
          <w:color w:val="000000" w:themeColor="text1"/>
          <w:sz w:val="16"/>
          <w:szCs w:val="16"/>
        </w:rPr>
      </w:pPr>
      <w:r w:rsidRPr="00F90EAE">
        <w:rPr>
          <w:bCs/>
          <w:color w:val="000000" w:themeColor="text1"/>
          <w:sz w:val="16"/>
          <w:szCs w:val="16"/>
        </w:rPr>
        <w:t>21 марта</w:t>
      </w:r>
      <w:r w:rsidRPr="00F90EAE">
        <w:rPr>
          <w:color w:val="000000" w:themeColor="text1"/>
          <w:sz w:val="16"/>
          <w:szCs w:val="16"/>
        </w:rPr>
        <w:t xml:space="preserve"> в 1945 году фельдмаршалу Гудериану не удается уговорить Генриха Гиммлера вместе пойти к Адольфу Гитлеру и убедить его начать мирные переговоры (15075).</w:t>
      </w:r>
    </w:p>
    <w:p w14:paraId="172677CC" w14:textId="77777777" w:rsidR="00DC5271" w:rsidRPr="00F90EAE" w:rsidRDefault="00DC5271" w:rsidP="00F90EAE">
      <w:pPr>
        <w:jc w:val="both"/>
        <w:rPr>
          <w:color w:val="000000" w:themeColor="text1"/>
          <w:sz w:val="16"/>
          <w:szCs w:val="16"/>
        </w:rPr>
      </w:pPr>
    </w:p>
    <w:p w14:paraId="39CE7C2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марта 1945 американские войска захватили г. Майнц (Германия) (4962).</w:t>
      </w:r>
    </w:p>
    <w:p w14:paraId="417E33C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195D91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марта 1945 в ходе английского авианалета на центр Копенгагена погибли сотни мирных жителей, в том числе 86 школьников (самая большая трагедия Дании в ходе войны) (4962).</w:t>
      </w:r>
    </w:p>
    <w:p w14:paraId="0CB6729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E56006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марта 1945 фельдмаршал Гудериан не смог уговорить Гиммлера вместе пойти к Гитлеру и убедить его начать мирные переговоры (4962).</w:t>
      </w:r>
    </w:p>
    <w:p w14:paraId="5459BC6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19D2DC9" w14:textId="77777777" w:rsidR="00DC5271" w:rsidRPr="00F90EAE" w:rsidRDefault="00DC5271" w:rsidP="00F90EAE">
      <w:pPr>
        <w:jc w:val="both"/>
        <w:rPr>
          <w:color w:val="000000" w:themeColor="text1"/>
          <w:sz w:val="16"/>
          <w:szCs w:val="16"/>
        </w:rPr>
      </w:pPr>
      <w:r w:rsidRPr="00F90EAE">
        <w:rPr>
          <w:bCs/>
          <w:color w:val="000000" w:themeColor="text1"/>
          <w:sz w:val="16"/>
          <w:szCs w:val="16"/>
        </w:rPr>
        <w:t>21 марта</w:t>
      </w:r>
      <w:r w:rsidRPr="00F90EAE">
        <w:rPr>
          <w:color w:val="000000" w:themeColor="text1"/>
          <w:sz w:val="16"/>
          <w:szCs w:val="16"/>
        </w:rPr>
        <w:t xml:space="preserve"> в 1945 году налет германских быстроходных катеров на английский конвой у восточного побережья Англии (15075).</w:t>
      </w:r>
    </w:p>
    <w:p w14:paraId="55F2293F" w14:textId="77777777" w:rsidR="00DC5271" w:rsidRPr="00F90EAE" w:rsidRDefault="00DC5271" w:rsidP="00F90EAE">
      <w:pPr>
        <w:jc w:val="both"/>
        <w:rPr>
          <w:color w:val="000000" w:themeColor="text1"/>
          <w:sz w:val="16"/>
          <w:szCs w:val="16"/>
        </w:rPr>
      </w:pPr>
    </w:p>
    <w:p w14:paraId="46253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21 марта 1945 состоялось первое боевое применение японцами ракетного снаряда Ока, управляемого камикадзе. Направили 18 самолетов Бетти с 16 Ока, т.к. на 2-х были обычные бомбы + 30 истребителей прикрытия для атаки 3-х авианосцев, поврежденных в предыдущих боях. На подлете группу атаковало 50 Хэлкэтов и сбили все бомбардировщики и 15 истребителей, т.ч. снаряды пущены не были (2969,21).</w:t>
      </w:r>
    </w:p>
    <w:p w14:paraId="1D960DDF" w14:textId="77777777" w:rsidR="00665165" w:rsidRPr="00F90EAE" w:rsidRDefault="00665165" w:rsidP="00F90EAE">
      <w:pPr>
        <w:autoSpaceDE w:val="0"/>
        <w:autoSpaceDN w:val="0"/>
        <w:adjustRightInd w:val="0"/>
        <w:jc w:val="both"/>
        <w:rPr>
          <w:color w:val="000000" w:themeColor="text1"/>
          <w:sz w:val="16"/>
          <w:szCs w:val="16"/>
        </w:rPr>
      </w:pPr>
    </w:p>
    <w:p w14:paraId="46A1FF74" w14:textId="77777777" w:rsidR="00670D8A" w:rsidRPr="00F90EAE" w:rsidRDefault="00670D8A" w:rsidP="00F90EAE">
      <w:pPr>
        <w:jc w:val="both"/>
        <w:rPr>
          <w:color w:val="0070C0"/>
          <w:sz w:val="16"/>
          <w:szCs w:val="16"/>
        </w:rPr>
      </w:pPr>
      <w:r w:rsidRPr="00F90EAE">
        <w:rPr>
          <w:color w:val="0070C0"/>
          <w:sz w:val="16"/>
          <w:szCs w:val="16"/>
        </w:rPr>
        <w:t>21 марта 1945 Императорский флот Японии впервые безуспешно использует управляемый человеком реактивный самолет - камикадзе с реактивным двигателем Yokosuka MXY7 Ohka («Цвет вишни») (20371).</w:t>
      </w:r>
    </w:p>
    <w:p w14:paraId="4FD1CDE5" w14:textId="77777777" w:rsidR="00670D8A" w:rsidRPr="00F90EAE" w:rsidRDefault="00670D8A" w:rsidP="00F90EAE">
      <w:pPr>
        <w:jc w:val="both"/>
        <w:rPr>
          <w:color w:val="0070C0"/>
          <w:sz w:val="16"/>
          <w:szCs w:val="16"/>
        </w:rPr>
      </w:pPr>
    </w:p>
    <w:p w14:paraId="209EE70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21 1945 The development of a rocket-powered surface-to-air guided missile, was initiated as the Bureau of Aeronautics awarded a contract for 100 experimental Larks to the Ranger Engine Division of Fairchild (1090).</w:t>
      </w:r>
    </w:p>
    <w:p w14:paraId="0B10AD51" w14:textId="77777777" w:rsidR="00665165" w:rsidRPr="00F90EAE" w:rsidRDefault="00665165" w:rsidP="00F90EAE">
      <w:pPr>
        <w:autoSpaceDE w:val="0"/>
        <w:autoSpaceDN w:val="0"/>
        <w:adjustRightInd w:val="0"/>
        <w:jc w:val="both"/>
        <w:rPr>
          <w:color w:val="000000" w:themeColor="text1"/>
          <w:sz w:val="16"/>
          <w:szCs w:val="16"/>
          <w:lang w:val="en-US"/>
        </w:rPr>
      </w:pPr>
    </w:p>
    <w:p w14:paraId="19D5A6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Утром 21 марта 1945 г. японский разведывательный самолет обнаружил американские авианосцы в 320 милях к югу от Кюсю.</w:t>
      </w:r>
    </w:p>
    <w:p w14:paraId="345CF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5-м воздушным флотом (базовая авиация) вицеадмирал У. Матомэ принял решение о нанесении удара по авианосцам самолетами-снарядами. Ясная погода и отсутствие истребительно-авиационного заслона, утверждал он, благоприятствуют выполнению боевой задачи.</w:t>
      </w:r>
    </w:p>
    <w:p w14:paraId="6CE3A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корпуса «Боги грома» капитан I ранга О. Мотохару возражал против этой операции. Он считал, что медлительные и неуклюжие носители с подвешенными самолетами-снарядами представляют собой заманчивую цель для замечательных американских истребителей Хеллкет. Японские истребители, управляемые неопытными летчиками, не смогут защитить бомбардировщики с новым оружием. «Операция, – говорил О. Мотохару, – будет безнадежной и бесполезной».</w:t>
      </w:r>
    </w:p>
    <w:p w14:paraId="754F5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Подполковник Нонака (по другим переводам – Ионака) вообще скептически относился к самолету-снаряду Ока. Больше всего его угнетала мысль, что, проводив и отправив своих товарищей по оружию на смерть, он должен вернуться, чтобы снова и снова выполнять эту тяжкую миссию. Для себя он решил, что в первом же боевом вылете совершит самоубийственную атаку на корабль противника. Он даже отослал жене личные вещи, включая и любимый набор для чайной церемонии.</w:t>
      </w:r>
    </w:p>
    <w:p w14:paraId="00240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адмирал Угаки настоял на своем решении. Его поддержал командующий авиацией флота на острове Кюсю. Подготовка к вылету заняла немного времени. Перед проведением прощального ритуала произошел несчастный случай. Один из летчиков-камикадзе, неся поднос с чашечками сакэ, проходил мимо бомбардировщика. Летчик этого самолета-носителя внезапно запустил моторы, проверяя их. «Бог грома» был мгновенно изрублен лопастями винта. Тело сразу же убрали с полосы, но на аэродроме установилась гнетущая атмосфера. В этот момент раздалась дробь барабана, и летчики корпуса выстроились перед зданием штаба. Окамура обратился к ним со слезами на глазах: «…Храбрость и решительность повергнет даже дьявола. С вашим страстным духом мученичества вы сможете преодолеть любые трудности… Сейчас вы уйдете в другой мир. Я молюсь, чтобы вы продолжали оставаться там такими же чистыми, прекрасными, здоровыми и благородными, как в этой жизни…» «Боги грома» выпили церемониальное сакэ, прокричали прощальные слова и направились к самолетам. Перед вылетом техники поклялись смертникам в готовности машин, а экипажи носителей и эскорта – довести их до цели. В подземном пункте управления полетами напряженно ожидали сообщений, но их не было. Все успокаивали себя тем, что летчики вынуждены были соблюдать режим радиомолчания. В 15 часов, когда топливо в самолетах должно было быть на исходе, Угаки приказал запросить по радио подполковника Нонака. Ответа не последовало.</w:t>
      </w:r>
    </w:p>
    <w:p w14:paraId="00A720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Когда начало темнеть, на аэродроме приземлился поврежденный Зеро. Затем еще один. Всего из полета вернулось пять потрепанных истребителей. Летчики доложили развитие обстановки: в 100–150 км от авианосцев (оперативное время 14 часов) группу японских самолетов обнаружили, и с авианосцев «Хорнет» и «Бели Вуд» по тревоге в воздух было поднято около 150 (Иванов Ю.Г. Камикадзе: пилоты-смертники. Смоленск: Русич, 2001.) (50 (Хорикоши Д., Окумия М., Кайдин М. Японская авиация во Второй мировой войне. М.: АСТ, 2001.)) истребителей Хеллкет. 30 японских истребителей отчаянно, но безуспешно отбивали атаки американцев. Тяжелогруженные бомбардировщики стали легкой целью для американских истребителей.</w:t>
      </w:r>
    </w:p>
    <w:p w14:paraId="269DD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Через 10 минут в воду рухнуло 11 сбитых самолетов-носителей.</w:t>
      </w:r>
    </w:p>
    <w:p w14:paraId="110BE3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 пытались сбросить самолеты-снаряды, чтобы улучшить свою маневренность, но у них ничего не получилось. Вскоре в небе осталось только три бомбардировщика, один из них – подполковника Нонака. Последнее, что увидели японские летчики-истребители, прежде чем скрыться в облаках, – все три бомбардировщика, крыло к крылу, пикировали в самоубийственной атаке.</w:t>
      </w:r>
    </w:p>
    <w:p w14:paraId="1026D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Получив рапорт о провале операции, командующий Объединенным флотом адмирал Тойода был шокирован: надежды на чудооружие мгновенно растаяли. Бомбардировщики с самолетами-снарядами не смогли даже приблизиться к авианосцам. Погибло 160 летчиков, в том числе и 15 пилотов самолета Ока. Полгода интенсивной подготовки оказались напрасными. Командование 5-го воздушного флота также не могло поверить, что первая массированная атака «Богов грома» катастрофически провалилась. От грозной силы остались жалкие остатки. Капитан I ранга Окамура, персонально ответственный за подготовку к боевому применению корпуса, еле сдерживал себя от ярости. Он признавал вину за собой, что согласился с приказом вице-адмирала Угаки провести дневную операцию без достаточного количества истребителей прикрытия.</w:t>
      </w:r>
    </w:p>
    <w:p w14:paraId="3DEB4F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Срочно была создана комиссия для выяснения причин срыва удара самолетами-снарядами по американским кораблям. В нее вошли заместитель начальника Главного морского штаба вицеадмирал О. Дзисабуро и заместитель начальника штаба Объединенного флота контр-адмирал Такада. Одной из рекомендаций комиссии стало предложение проводить самоубийственные атаки одиночными самолетами-носителями. Это была поддержка личных размышлений Окамуры.</w:t>
      </w:r>
    </w:p>
    <w:p w14:paraId="075C80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свете рекомендаций комиссии капитан I ранга Окамура провел реорганизацию корпуса, вплоть до изменения его оргштатной структуры. Была ликвидирована эскадрилья истребителей эскорта, а все летчики разделены на две группы. В одной группе оказались все пилоты, прошедшие подготовку на самолетах Ока, а в другой – летчики, которые должны были совершить самоубийственные атаки на истребителях Зеро (11686).</w:t>
      </w:r>
    </w:p>
    <w:p w14:paraId="02B4FB1A" w14:textId="77777777" w:rsidR="00665165" w:rsidRPr="00F90EAE" w:rsidRDefault="00665165" w:rsidP="00F90EAE">
      <w:pPr>
        <w:autoSpaceDE w:val="0"/>
        <w:autoSpaceDN w:val="0"/>
        <w:adjustRightInd w:val="0"/>
        <w:jc w:val="both"/>
        <w:rPr>
          <w:color w:val="000000" w:themeColor="text1"/>
          <w:sz w:val="16"/>
          <w:szCs w:val="16"/>
        </w:rPr>
      </w:pPr>
    </w:p>
    <w:p w14:paraId="7411D85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BA4FE15" w14:textId="77777777" w:rsidR="00665165" w:rsidRPr="00F90EAE" w:rsidRDefault="00665165" w:rsidP="00F90EAE">
      <w:pPr>
        <w:autoSpaceDE w:val="0"/>
        <w:autoSpaceDN w:val="0"/>
        <w:adjustRightInd w:val="0"/>
        <w:jc w:val="both"/>
        <w:rPr>
          <w:iCs/>
          <w:color w:val="000000" w:themeColor="text1"/>
          <w:sz w:val="16"/>
          <w:szCs w:val="16"/>
        </w:rPr>
      </w:pPr>
    </w:p>
    <w:p w14:paraId="33B46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 секретарь Хабаровского крайкома ВКП(б) Р. Назаров, командующий войсками Дальневосточного фронта генерала армии М. Пуркаев и уполномоченный Госплана СССР В. Костенни- Як-9 в полете ков направили И.В. Сталину докладную записку "О комплексном развитии авиационной промышленности Дальнего Востока" следующего содержания:</w:t>
      </w:r>
    </w:p>
    <w:p w14:paraId="2BF59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07D49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w:t>
      </w:r>
    </w:p>
    <w:p w14:paraId="01512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 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П6 в Семе- 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28A46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реакция руководства страны (по сведениям автора) на это послание так и не последовало (12046).</w:t>
      </w:r>
    </w:p>
    <w:p w14:paraId="2DC36993" w14:textId="77777777" w:rsidR="00665165" w:rsidRPr="00F90EAE" w:rsidRDefault="00665165" w:rsidP="00F90EAE">
      <w:pPr>
        <w:autoSpaceDE w:val="0"/>
        <w:autoSpaceDN w:val="0"/>
        <w:adjustRightInd w:val="0"/>
        <w:jc w:val="both"/>
        <w:rPr>
          <w:color w:val="000000" w:themeColor="text1"/>
          <w:sz w:val="16"/>
          <w:szCs w:val="16"/>
        </w:rPr>
      </w:pPr>
    </w:p>
    <w:p w14:paraId="3CB5F3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 по распоряжению правительства от Як-3 с ВК-107А сняли с производства на заводе в Саратове. Правда, в Тбилиси разрешили собирать машины из оставшегося задела, но в августе и там остановили их выпуск. Судя по всему, задел по Як-3 использовали для изготовления реактивных Як-15.</w:t>
      </w:r>
    </w:p>
    <w:p w14:paraId="2B475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отличие от истребителя Як-9 с мотором ВК-107А, построенного в 2214 экземплярах, оба завода выпустили лишь 51 Як-3 ВК-107А. Им были свойственны те же дефекты, что и Як-9, но главным был все же неудовлетворительный температурный режим двигателя. </w:t>
      </w:r>
    </w:p>
    <w:p w14:paraId="6B7032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самолетов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561F31" w:rsidRPr="00F90EAE" w14:paraId="343E76B6" w14:textId="77777777">
        <w:tc>
          <w:tcPr>
            <w:tcW w:w="2242" w:type="dxa"/>
            <w:tcBorders>
              <w:top w:val="single" w:sz="12" w:space="0" w:color="auto"/>
            </w:tcBorders>
          </w:tcPr>
          <w:p w14:paraId="4A3E6F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w:t>
            </w:r>
          </w:p>
        </w:tc>
        <w:tc>
          <w:tcPr>
            <w:tcW w:w="2242" w:type="dxa"/>
            <w:tcBorders>
              <w:top w:val="single" w:sz="12" w:space="0" w:color="auto"/>
            </w:tcBorders>
          </w:tcPr>
          <w:p w14:paraId="5851F9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Тип/год</w:t>
            </w:r>
          </w:p>
        </w:tc>
        <w:tc>
          <w:tcPr>
            <w:tcW w:w="2242" w:type="dxa"/>
            <w:tcBorders>
              <w:top w:val="single" w:sz="12" w:space="0" w:color="auto"/>
            </w:tcBorders>
          </w:tcPr>
          <w:p w14:paraId="5BCB9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2242" w:type="dxa"/>
            <w:tcBorders>
              <w:top w:val="single" w:sz="12" w:space="0" w:color="auto"/>
            </w:tcBorders>
          </w:tcPr>
          <w:p w14:paraId="2B9613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c>
          <w:tcPr>
            <w:tcW w:w="2242" w:type="dxa"/>
            <w:tcBorders>
              <w:top w:val="single" w:sz="12" w:space="0" w:color="auto"/>
            </w:tcBorders>
          </w:tcPr>
          <w:p w14:paraId="3764E1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1946 г.</w:t>
            </w:r>
          </w:p>
        </w:tc>
      </w:tr>
      <w:tr w:rsidR="00561F31" w:rsidRPr="00F90EAE" w14:paraId="056D064D" w14:textId="77777777">
        <w:tc>
          <w:tcPr>
            <w:tcW w:w="2242" w:type="dxa"/>
          </w:tcPr>
          <w:p w14:paraId="5B5CE8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242" w:type="dxa"/>
          </w:tcPr>
          <w:p w14:paraId="1659F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2242" w:type="dxa"/>
          </w:tcPr>
          <w:p w14:paraId="1449C4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498</w:t>
            </w:r>
          </w:p>
        </w:tc>
        <w:tc>
          <w:tcPr>
            <w:tcW w:w="2242" w:type="dxa"/>
          </w:tcPr>
          <w:p w14:paraId="6CF7F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462</w:t>
            </w:r>
          </w:p>
        </w:tc>
        <w:tc>
          <w:tcPr>
            <w:tcW w:w="2242" w:type="dxa"/>
          </w:tcPr>
          <w:p w14:paraId="7EBF21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CB604E2" w14:textId="77777777">
        <w:tc>
          <w:tcPr>
            <w:tcW w:w="2242" w:type="dxa"/>
          </w:tcPr>
          <w:p w14:paraId="429779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2242" w:type="dxa"/>
          </w:tcPr>
          <w:p w14:paraId="481E5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ВК-105ПФ2</w:t>
            </w:r>
          </w:p>
        </w:tc>
        <w:tc>
          <w:tcPr>
            <w:tcW w:w="2242" w:type="dxa"/>
          </w:tcPr>
          <w:p w14:paraId="4E8E9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1682</w:t>
            </w:r>
          </w:p>
        </w:tc>
        <w:tc>
          <w:tcPr>
            <w:tcW w:w="2242" w:type="dxa"/>
          </w:tcPr>
          <w:p w14:paraId="4EE812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1918</w:t>
            </w:r>
          </w:p>
        </w:tc>
        <w:tc>
          <w:tcPr>
            <w:tcW w:w="2242" w:type="dxa"/>
          </w:tcPr>
          <w:p w14:paraId="382C75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w:t>
            </w:r>
          </w:p>
        </w:tc>
      </w:tr>
      <w:tr w:rsidR="00561F31" w:rsidRPr="00F90EAE" w14:paraId="204C6B9F" w14:textId="77777777">
        <w:tc>
          <w:tcPr>
            <w:tcW w:w="2242" w:type="dxa"/>
          </w:tcPr>
          <w:p w14:paraId="0DE613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242" w:type="dxa"/>
          </w:tcPr>
          <w:p w14:paraId="4E8778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2242" w:type="dxa"/>
          </w:tcPr>
          <w:p w14:paraId="3E2221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42" w:type="dxa"/>
          </w:tcPr>
          <w:p w14:paraId="3E753D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2242" w:type="dxa"/>
          </w:tcPr>
          <w:p w14:paraId="32B9E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0765BEF8" w14:textId="77777777">
        <w:tc>
          <w:tcPr>
            <w:tcW w:w="2242" w:type="dxa"/>
            <w:tcBorders>
              <w:bottom w:val="single" w:sz="12" w:space="0" w:color="auto"/>
            </w:tcBorders>
          </w:tcPr>
          <w:p w14:paraId="2EC970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2242" w:type="dxa"/>
            <w:tcBorders>
              <w:bottom w:val="single" w:sz="12" w:space="0" w:color="auto"/>
            </w:tcBorders>
          </w:tcPr>
          <w:p w14:paraId="00EAF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2242" w:type="dxa"/>
            <w:tcBorders>
              <w:bottom w:val="single" w:sz="12" w:space="0" w:color="auto"/>
            </w:tcBorders>
          </w:tcPr>
          <w:p w14:paraId="505C1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42" w:type="dxa"/>
            <w:tcBorders>
              <w:bottom w:val="single" w:sz="12" w:space="0" w:color="auto"/>
            </w:tcBorders>
          </w:tcPr>
          <w:p w14:paraId="78CD7E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42" w:type="dxa"/>
            <w:tcBorders>
              <w:bottom w:val="single" w:sz="12" w:space="0" w:color="auto"/>
            </w:tcBorders>
          </w:tcPr>
          <w:p w14:paraId="7E75C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bl>
    <w:p w14:paraId="655BF2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(12047).</w:t>
      </w:r>
    </w:p>
    <w:p w14:paraId="13750FD9" w14:textId="77777777" w:rsidR="00665165" w:rsidRPr="00F90EAE" w:rsidRDefault="00665165" w:rsidP="00F90EAE">
      <w:pPr>
        <w:autoSpaceDE w:val="0"/>
        <w:autoSpaceDN w:val="0"/>
        <w:adjustRightInd w:val="0"/>
        <w:jc w:val="both"/>
        <w:rPr>
          <w:color w:val="000000" w:themeColor="text1"/>
          <w:sz w:val="16"/>
          <w:szCs w:val="16"/>
        </w:rPr>
      </w:pPr>
    </w:p>
    <w:p w14:paraId="0CEDB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 зам. начальника и начальник штаба ВВС ВМФ генерал-лейтенант авиации Бартновский писал письмо N 10502с Шахурину.</w:t>
      </w:r>
    </w:p>
    <w:p w14:paraId="17B766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Постановлением ГОКО N 4093 от 12 ноября 1943 года завод Подъемно-транспортного оборудования им. Кирова НКТМ совместно с заводом N 458 НКАП в течение 1943-44 г.г. произвели модернизацию самолетного вооружения крейсера "Молотов", имевшую целью установку на корабле звена самолетов в составе 2-х истребителей "Спитфайр" и разведчика - летающей лодки Бе-4.</w:t>
      </w:r>
    </w:p>
    <w:p w14:paraId="71D118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1944 года комиссия НКВМФ провела государственные испытания авиационного оборудования крейсера "Молотов"; отчет комиссии утвержден наркомом ВМФ адмиралом флота Кузнецовым.</w:t>
      </w:r>
    </w:p>
    <w:p w14:paraId="7DAD20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испытаний установлено, что для ввода в эксплуатацию самолетного вооружения крейсера "Молотов" необходимо по заводу N 458 НКАП (переоборудовавшему истребители "Спитфайр") и по заводу N 477 НКАП (выпускающему серийно разведчики Бе-4) выполнить ряд доводочных работ отмеченных в отчете комиссии.</w:t>
      </w:r>
    </w:p>
    <w:p w14:paraId="75C300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Направляя при этом выводы комиссии с перечнем необходимых работ, прошу Ваших указаний заводам N 458 и N 477 об их выполнении к 15-му мая с.г. (2595).</w:t>
      </w:r>
    </w:p>
    <w:p w14:paraId="54F8BED2" w14:textId="77777777" w:rsidR="00665165" w:rsidRPr="00F90EAE" w:rsidRDefault="00665165" w:rsidP="00F90EAE">
      <w:pPr>
        <w:autoSpaceDE w:val="0"/>
        <w:autoSpaceDN w:val="0"/>
        <w:adjustRightInd w:val="0"/>
        <w:jc w:val="both"/>
        <w:rPr>
          <w:color w:val="000000" w:themeColor="text1"/>
          <w:sz w:val="16"/>
          <w:szCs w:val="16"/>
        </w:rPr>
      </w:pPr>
    </w:p>
    <w:p w14:paraId="65BD4E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 вышел приказ НКАП № 111с об организации на заводе № 87 ремонта электротеплоизмерительных приборов (8964).</w:t>
      </w:r>
    </w:p>
    <w:p w14:paraId="2A7ACC37" w14:textId="77777777" w:rsidR="00665165" w:rsidRPr="00F90EAE" w:rsidRDefault="00665165" w:rsidP="00F90EAE">
      <w:pPr>
        <w:autoSpaceDE w:val="0"/>
        <w:autoSpaceDN w:val="0"/>
        <w:adjustRightInd w:val="0"/>
        <w:jc w:val="both"/>
        <w:rPr>
          <w:color w:val="000000" w:themeColor="text1"/>
          <w:sz w:val="16"/>
          <w:szCs w:val="16"/>
        </w:rPr>
      </w:pPr>
    </w:p>
    <w:p w14:paraId="43F929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22 марта 1945 г. была Докладная записка "О комплексном развитии авиационной промышленности Дальнего Востока", направленная председателю СНК СССР И.В. Сталину </w:t>
      </w:r>
    </w:p>
    <w:p w14:paraId="48C4A2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Совершенно секретно</w:t>
      </w:r>
    </w:p>
    <w:p w14:paraId="3A92D9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Слабость внешних и внутренних транспортных связей Дальнего Востока, удаленность его от основных промышленных районов страны создают исключительно сложные и трудные условия вероятного театра военных действий. Единственная железнодорожная магистраль, связывающая Дальний Восток с промышленными центрами Союза и проходящая вдоль государственной границы, может затруднить в период военных действий своевременную доставку материальных ресурсов фронту вообще, самолетов и авиамоторов в особенности.</w:t>
      </w:r>
    </w:p>
    <w:p w14:paraId="2EAB53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Учитывая нужды фронта и народного хозяйства края, необходимо теперь обеспечить комплексное развитие авиационной промышленности на базе трех действующих и одного недействующего авиационных заводов Дальнего Востока. Для создания комплекса в авиационной промышленности необходимо организовать на Дальнем Востоке производство авиамоторов, которые до сих пор завозятся из западных районов Союза. Одновременно крайне необходимо перестроить работу действующих авиационных заводов и перевести их на серийное производство самолетов для удовлетворения потребностей военно-воздушных сил Дальневосточного фронта.</w:t>
      </w:r>
    </w:p>
    <w:p w14:paraId="7DB05F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этих целях производство авиамоторов целесообразно организовать на заводе № 130 в г. Комсомольске-на-Амуре после окончания его строительства. Завод № 130, предназначавшийся для производства истребителей, законсервирован в 1941 г. (70% технической готовности основных производственных объектов). Общие затраты на строительство завода № 130 составили 130 млн руб.; производственные площади готовностью 70% составляют 40 тыс. 256 кв. метров.</w:t>
      </w:r>
    </w:p>
    <w:p w14:paraId="725420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Вместе с тем наличные мощности авиационных заводов недостаточно загружены и позволяют, при рациональном их использовании, организовать производство новых самолетов, нужных ВВС Дальневосточного фронта. Поэтому необходимо завод № 126 в г. Комсомольске-на-Амуре перевести на производство самолетов типа ИЛ-2 вместо производимых им ИЛ-4; завод № 83 в г. Хабаровске перевести на производство самолетов типа ЯК-9 вместо производимых им агрегатов к ИЛ-4 для завода № 126 и россыпи к самолетам ВВС Дальневосточного фронта; завод № 116 в Семеновке Приморского края перевести на производство самолетов типа ЯК-9 вместо производимых им самолетов ТУ-2. Самолеты ТУ-2 Дальневосточному фронту не нужны, [они] вывозятся на запад и загружают тем самым железнодорожный транспорт.</w:t>
      </w:r>
    </w:p>
    <w:p w14:paraId="208123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Перевод дальневосточных заводов на производство новых типов самолетов обеспечит пополнение штата боевого состава ВВС Дальневосточного фронта по штурмовой и истребительной авиации и послужит базой для развития гражданского самолетостроения.</w:t>
      </w:r>
    </w:p>
    <w:p w14:paraId="152AB8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создания на Дальнем Востоке законченного цикла авиационной промышленности - просим Вас, тов. Сталин, обязать Наркомавиапром:</w:t>
      </w:r>
    </w:p>
    <w:p w14:paraId="22E222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Закончить в 1945 г. строительство производственных корпусов завода №130 в г. Комсомольске-на-Амуре и организовать на этом заводе производство 8-9 авиамоторов в сутки типа АМ-38 - в первый год работы завода.</w:t>
      </w:r>
    </w:p>
    <w:p w14:paraId="5850B4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Завод № 126 в г. Комсомольске-на-Амуре перевести на серийное производство самолетов типа ИЛ-2 до 3-3,5 самолета в сутки.</w:t>
      </w:r>
    </w:p>
    <w:p w14:paraId="2B259B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Завод № 116 в с. Семеновка (Приморье) перевести на серийное производство самолетов типа ЯК-9 до 3-3,5 самолета в сутки.</w:t>
      </w:r>
    </w:p>
    <w:p w14:paraId="5CC58D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Завод № 83 в г. Хабаровске перевести на производство самолетов типа ЯК-9 до 2-2,5 самолета в сутки.</w:t>
      </w:r>
    </w:p>
    <w:p w14:paraId="21D473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этих мероприятий укрепит Дальний Восток как форпост советской власти на Востоке, разгрузит железнодорожный транспорт, сократит нерациональные и дальние перевозки и послужит базой развития квалифицированного машиностроения на Дальнем Востоке.</w:t>
      </w:r>
    </w:p>
    <w:p w14:paraId="6E6C4D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Секретарь Хабаровского крайкома ВКП(б) Р. Назаров</w:t>
      </w:r>
    </w:p>
    <w:p w14:paraId="4BE33E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войсками Дальневосточного фронта генерал армии М. Пуркаев</w:t>
      </w:r>
    </w:p>
    <w:p w14:paraId="67DD5C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Уполномоченный Госплана СССР В. Костенников</w:t>
      </w:r>
    </w:p>
    <w:p w14:paraId="32312E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 Р-1276. Оп. 1. Д. 21. Л.1-4. Машинописная копия (11629).</w:t>
      </w:r>
    </w:p>
    <w:p w14:paraId="23DC51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23E14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9853848" w14:textId="77777777" w:rsidR="00665165" w:rsidRPr="00F90EAE" w:rsidRDefault="00665165" w:rsidP="00F90EAE">
      <w:pPr>
        <w:autoSpaceDE w:val="0"/>
        <w:autoSpaceDN w:val="0"/>
        <w:adjustRightInd w:val="0"/>
        <w:jc w:val="both"/>
        <w:rPr>
          <w:iCs/>
          <w:color w:val="000000" w:themeColor="text1"/>
          <w:sz w:val="16"/>
          <w:szCs w:val="16"/>
        </w:rPr>
      </w:pPr>
    </w:p>
    <w:p w14:paraId="46CCE8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7898. О введении второй очереди графика ограничений отпуска электроэнергии потребителям Горьковской энергосистемы. РГАНИР, Фонд ГКО, д. 383, лл. 1 (11012).</w:t>
      </w:r>
    </w:p>
    <w:p w14:paraId="3DFDF910" w14:textId="77777777" w:rsidR="00665165" w:rsidRPr="00F90EAE" w:rsidRDefault="00665165" w:rsidP="00F90EAE">
      <w:pPr>
        <w:autoSpaceDE w:val="0"/>
        <w:autoSpaceDN w:val="0"/>
        <w:adjustRightInd w:val="0"/>
        <w:jc w:val="both"/>
        <w:rPr>
          <w:color w:val="000000" w:themeColor="text1"/>
          <w:sz w:val="16"/>
          <w:szCs w:val="16"/>
        </w:rPr>
      </w:pPr>
    </w:p>
    <w:p w14:paraId="5348B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7899. О графике отгрузки угля Игумновской ТЭЦ. РГАНИР, Фонд ГКО, д. 383, лл. 2 (11012).</w:t>
      </w:r>
    </w:p>
    <w:p w14:paraId="276C9AA9" w14:textId="77777777" w:rsidR="00665165" w:rsidRPr="00F90EAE" w:rsidRDefault="00665165" w:rsidP="00F90EAE">
      <w:pPr>
        <w:autoSpaceDE w:val="0"/>
        <w:autoSpaceDN w:val="0"/>
        <w:adjustRightInd w:val="0"/>
        <w:jc w:val="both"/>
        <w:rPr>
          <w:color w:val="000000" w:themeColor="text1"/>
          <w:sz w:val="16"/>
          <w:szCs w:val="16"/>
        </w:rPr>
      </w:pPr>
    </w:p>
    <w:p w14:paraId="0C760F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7900. О поставках металла НКУП. РГАНИР, Фонд ГКО, д. 383, лл. 3 (11012).</w:t>
      </w:r>
    </w:p>
    <w:p w14:paraId="28404D80" w14:textId="77777777" w:rsidR="00665165" w:rsidRPr="00F90EAE" w:rsidRDefault="00665165" w:rsidP="00F90EAE">
      <w:pPr>
        <w:autoSpaceDE w:val="0"/>
        <w:autoSpaceDN w:val="0"/>
        <w:adjustRightInd w:val="0"/>
        <w:jc w:val="both"/>
        <w:rPr>
          <w:color w:val="000000" w:themeColor="text1"/>
          <w:sz w:val="16"/>
          <w:szCs w:val="16"/>
        </w:rPr>
      </w:pPr>
    </w:p>
    <w:p w14:paraId="45E9EBD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7901 [О возобновлении с осени 1945 г. занятий в Ленинградском станко-инструментальном институте НКСС.] (7318, 4).</w:t>
      </w:r>
    </w:p>
    <w:p w14:paraId="3A093D6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851E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7902. О прописке в Ленинграде 1100 рабочих, мобилизованных на предприятия и стройки НКстроя. РГАНИР, Фонд ГКО, д. 383, лл. 5 (11012).</w:t>
      </w:r>
    </w:p>
    <w:p w14:paraId="00F2501C" w14:textId="77777777" w:rsidR="00665165" w:rsidRPr="00F90EAE" w:rsidRDefault="00665165" w:rsidP="00F90EAE">
      <w:pPr>
        <w:autoSpaceDE w:val="0"/>
        <w:autoSpaceDN w:val="0"/>
        <w:adjustRightInd w:val="0"/>
        <w:jc w:val="both"/>
        <w:rPr>
          <w:color w:val="000000" w:themeColor="text1"/>
          <w:sz w:val="16"/>
          <w:szCs w:val="16"/>
        </w:rPr>
      </w:pPr>
    </w:p>
    <w:p w14:paraId="6AF7F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7904. О реэвакуации 1-го Ленинградского пехотного училища им. Кирова. РГАНИР, Фонд ГКО, д. 383, лл. 7 (11012).</w:t>
      </w:r>
    </w:p>
    <w:p w14:paraId="45781466" w14:textId="77777777" w:rsidR="00665165" w:rsidRPr="00F90EAE" w:rsidRDefault="00665165" w:rsidP="00F90EAE">
      <w:pPr>
        <w:autoSpaceDE w:val="0"/>
        <w:autoSpaceDN w:val="0"/>
        <w:adjustRightInd w:val="0"/>
        <w:jc w:val="both"/>
        <w:rPr>
          <w:color w:val="000000" w:themeColor="text1"/>
          <w:sz w:val="16"/>
          <w:szCs w:val="16"/>
        </w:rPr>
      </w:pPr>
    </w:p>
    <w:p w14:paraId="2AB379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Постановление ГКО № 7910 О передаче Наркомсредмашу авторемонтного завода Наркомавтотранспорта РСФСР в г. Иркутске. РГАНИР, Фонд ГКО, д. 383, лл. 14 (11012).</w:t>
      </w:r>
    </w:p>
    <w:p w14:paraId="4236D191" w14:textId="77777777" w:rsidR="00665165" w:rsidRPr="00F90EAE" w:rsidRDefault="00665165" w:rsidP="00F90EAE">
      <w:pPr>
        <w:autoSpaceDE w:val="0"/>
        <w:autoSpaceDN w:val="0"/>
        <w:adjustRightInd w:val="0"/>
        <w:jc w:val="both"/>
        <w:rPr>
          <w:color w:val="000000" w:themeColor="text1"/>
          <w:sz w:val="16"/>
          <w:szCs w:val="16"/>
        </w:rPr>
      </w:pPr>
    </w:p>
    <w:p w14:paraId="4C12813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7908 [О реэвакуации сотрудников Ленинградского отделения Гипроречтранса.] (7318, 11).</w:t>
      </w:r>
    </w:p>
    <w:p w14:paraId="7CF3F72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65D09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 эсминец "Огневой" вступил в строй, став единственным новым эсминцем, достроенным во вре</w:t>
      </w:r>
      <w:r w:rsidRPr="00F90EAE">
        <w:rPr>
          <w:color w:val="000000" w:themeColor="text1"/>
          <w:sz w:val="16"/>
          <w:szCs w:val="16"/>
        </w:rPr>
        <w:softHyphen/>
        <w:t>мя войны (3898).</w:t>
      </w:r>
    </w:p>
    <w:p w14:paraId="2A53A272" w14:textId="77777777" w:rsidR="00665165" w:rsidRPr="00F90EAE" w:rsidRDefault="00665165" w:rsidP="00F90EAE">
      <w:pPr>
        <w:autoSpaceDE w:val="0"/>
        <w:autoSpaceDN w:val="0"/>
        <w:adjustRightInd w:val="0"/>
        <w:jc w:val="both"/>
        <w:rPr>
          <w:color w:val="000000" w:themeColor="text1"/>
          <w:sz w:val="16"/>
          <w:szCs w:val="16"/>
        </w:rPr>
      </w:pPr>
    </w:p>
    <w:p w14:paraId="658BA9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марта 1945 вышел приказ о дополнительных полигонных испытаниях танка "Объект 701" (10703).</w:t>
      </w:r>
    </w:p>
    <w:p w14:paraId="3A002A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36A3DB9" w14:textId="77777777" w:rsidR="00DC5271" w:rsidRPr="00F90EAE" w:rsidRDefault="00DC5271" w:rsidP="00F90EAE">
      <w:pPr>
        <w:jc w:val="both"/>
        <w:rPr>
          <w:color w:val="000000" w:themeColor="text1"/>
          <w:sz w:val="16"/>
          <w:szCs w:val="16"/>
        </w:rPr>
      </w:pPr>
      <w:r w:rsidRPr="00F90EAE">
        <w:rPr>
          <w:bCs/>
          <w:color w:val="000000" w:themeColor="text1"/>
          <w:sz w:val="16"/>
          <w:szCs w:val="16"/>
        </w:rPr>
        <w:t>22 марта</w:t>
      </w:r>
      <w:r w:rsidRPr="00F90EAE">
        <w:rPr>
          <w:color w:val="000000" w:themeColor="text1"/>
          <w:sz w:val="16"/>
          <w:szCs w:val="16"/>
        </w:rPr>
        <w:t xml:space="preserve"> в 1945 году приступил к своей деятельности Научно-исследовательский институт по урану, образованный в 1944 г. постановлением КО в системе НКВД СССР. Ныне ГНЦ Российской Федерации - ФГУП "Всероссийский НИИ неорганических материалов имени академика А.А.Бочвара" - головная организация Минатома Российской Федерации по проблемам материаловедения и технологий</w:t>
      </w:r>
    </w:p>
    <w:p w14:paraId="0DCEACEA" w14:textId="77777777" w:rsidR="00DC5271" w:rsidRPr="00F90EAE" w:rsidRDefault="00DC5271" w:rsidP="00F90EAE">
      <w:pPr>
        <w:jc w:val="both"/>
        <w:rPr>
          <w:color w:val="000000" w:themeColor="text1"/>
          <w:sz w:val="16"/>
          <w:szCs w:val="16"/>
        </w:rPr>
      </w:pPr>
    </w:p>
    <w:p w14:paraId="4CCC442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35F8062" w14:textId="77777777" w:rsidR="00665165" w:rsidRPr="00F90EAE" w:rsidRDefault="00665165" w:rsidP="00F90EAE">
      <w:pPr>
        <w:autoSpaceDE w:val="0"/>
        <w:autoSpaceDN w:val="0"/>
        <w:adjustRightInd w:val="0"/>
        <w:jc w:val="both"/>
        <w:rPr>
          <w:iCs/>
          <w:color w:val="000000" w:themeColor="text1"/>
          <w:sz w:val="16"/>
          <w:szCs w:val="16"/>
        </w:rPr>
      </w:pPr>
    </w:p>
    <w:p w14:paraId="11CCFEE1" w14:textId="77777777" w:rsidR="00DC5271" w:rsidRPr="00F90EAE" w:rsidRDefault="00DC5271" w:rsidP="00F90EAE">
      <w:pPr>
        <w:jc w:val="both"/>
        <w:rPr>
          <w:color w:val="000000" w:themeColor="text1"/>
          <w:sz w:val="16"/>
          <w:szCs w:val="16"/>
        </w:rPr>
      </w:pPr>
      <w:r w:rsidRPr="00F90EAE">
        <w:rPr>
          <w:bCs/>
          <w:color w:val="000000" w:themeColor="text1"/>
          <w:sz w:val="16"/>
          <w:szCs w:val="16"/>
        </w:rPr>
        <w:t>22 марта</w:t>
      </w:r>
      <w:r w:rsidRPr="00F90EAE">
        <w:rPr>
          <w:color w:val="000000" w:themeColor="text1"/>
          <w:sz w:val="16"/>
          <w:szCs w:val="16"/>
        </w:rPr>
        <w:t xml:space="preserve"> в 1945 году оперативная сводка Совинформбюро:</w:t>
      </w:r>
    </w:p>
    <w:p w14:paraId="005AB7F6" w14:textId="77777777" w:rsidR="00DC5271" w:rsidRPr="00F90EAE" w:rsidRDefault="00DC5271" w:rsidP="00F90EAE">
      <w:pPr>
        <w:jc w:val="both"/>
        <w:rPr>
          <w:color w:val="000000" w:themeColor="text1"/>
          <w:sz w:val="16"/>
          <w:szCs w:val="16"/>
        </w:rPr>
      </w:pPr>
      <w:r w:rsidRPr="00F90EAE">
        <w:rPr>
          <w:color w:val="000000" w:themeColor="text1"/>
          <w:sz w:val="16"/>
          <w:szCs w:val="16"/>
        </w:rPr>
        <w:t>«В течение 22 марта юго-западнее Кенигсберга войска 3-го Белорусского фронта вели бои по уничтожению группировки противника, прижатой к побережью залива Фриш-Гаф в районе Хайлигенбайль, и заняли населённые пункты Мюкюнен, Габдиттен, Ширтен, Генрихсхоф, Гелененхоф. За 21 марта в этом районе войска фронта взяли в плен более 800 немецких солдат и офицеров.</w:t>
      </w:r>
    </w:p>
    <w:p w14:paraId="33501104" w14:textId="77777777" w:rsidR="00DC5271" w:rsidRPr="00F90EAE" w:rsidRDefault="00DC5271" w:rsidP="00F90EAE">
      <w:pPr>
        <w:jc w:val="both"/>
        <w:rPr>
          <w:color w:val="000000" w:themeColor="text1"/>
          <w:sz w:val="16"/>
          <w:szCs w:val="16"/>
        </w:rPr>
      </w:pPr>
      <w:r w:rsidRPr="00F90EAE">
        <w:rPr>
          <w:color w:val="000000" w:themeColor="text1"/>
          <w:sz w:val="16"/>
          <w:szCs w:val="16"/>
        </w:rPr>
        <w:t>На Данцигском направлении наши войска, продолжая наступление, замяли населённые пункты Крифкол, Гюттланд, Хохенштайн, Шенварлинг, Клайн Клешкау, Руссошин, Бангшин, Леесен, Вельтцендорф. В боях за 21 марта в этом районе взято в плен более 500 немецких солдат и офицеров.</w:t>
      </w:r>
    </w:p>
    <w:p w14:paraId="21A98639" w14:textId="77777777" w:rsidR="00DC5271" w:rsidRPr="00F90EAE" w:rsidRDefault="00DC5271" w:rsidP="00F90EAE">
      <w:pPr>
        <w:jc w:val="both"/>
        <w:rPr>
          <w:color w:val="000000" w:themeColor="text1"/>
          <w:sz w:val="16"/>
          <w:szCs w:val="16"/>
        </w:rPr>
      </w:pPr>
      <w:r w:rsidRPr="00F90EAE">
        <w:rPr>
          <w:color w:val="000000" w:themeColor="text1"/>
          <w:sz w:val="16"/>
          <w:szCs w:val="16"/>
        </w:rPr>
        <w:lastRenderedPageBreak/>
        <w:t>Войска 1-го Украинского фронта, прорвав оборону противника западнее и южнее города Оппельн, продвинулись вперёд на 40 километров на каждом направлении и, соединившись в районе города Нойштадт, окружили и разгромили группу немецких войск юго-западнее Оппельн.</w:t>
      </w:r>
    </w:p>
    <w:p w14:paraId="7F8EEA4E" w14:textId="77777777" w:rsidR="00DC5271" w:rsidRPr="00F90EAE" w:rsidRDefault="00DC5271" w:rsidP="00F90EAE">
      <w:pPr>
        <w:jc w:val="both"/>
        <w:rPr>
          <w:color w:val="000000" w:themeColor="text1"/>
          <w:sz w:val="16"/>
          <w:szCs w:val="16"/>
        </w:rPr>
      </w:pPr>
      <w:r w:rsidRPr="00F90EAE">
        <w:rPr>
          <w:color w:val="000000" w:themeColor="text1"/>
          <w:sz w:val="16"/>
          <w:szCs w:val="16"/>
        </w:rPr>
        <w:t>В результате боёв войска фронта взяли в плен до 15.000 немецких солдат и офицеров и захватили следующие трофеи: самолётов — 21, танков и самоходных орудий — 57, орудий — 464, пулемётов — свыше 1.000, винтовок и автоматов — более 13.000, автомашин — 3.000, паровозов — 27, вагонов — 1.520, лошадей — 5.000, складов с боеприпасами, снаряжением и продовольствием — 75. Противник потерял только убитыми свыше 30.000 солдат и офицеров.</w:t>
      </w:r>
    </w:p>
    <w:p w14:paraId="28BFBBFB" w14:textId="77777777" w:rsidR="00DC5271" w:rsidRPr="00F90EAE" w:rsidRDefault="00DC5271" w:rsidP="00F90EAE">
      <w:pPr>
        <w:jc w:val="both"/>
        <w:rPr>
          <w:color w:val="000000" w:themeColor="text1"/>
          <w:sz w:val="16"/>
          <w:szCs w:val="16"/>
        </w:rPr>
      </w:pPr>
      <w:r w:rsidRPr="00F90EAE">
        <w:rPr>
          <w:color w:val="000000" w:themeColor="text1"/>
          <w:sz w:val="16"/>
          <w:szCs w:val="16"/>
        </w:rPr>
        <w:t>В ходе наступления войска фронта овладели в немецкой Силезии городами Нойштадт, Козель, Штейнау, Зюльц, Краппитц, Обер-Глогау, Фалькенберг, а также с боями заняли более 400 других населённых пунктов, в том числе крупные населённые пункты Лоренцберг, Арнсдорф, Штригендорф, Кюшмальц, Зай-Ферсдорф, Штефансдорф, Гросс-Нойдорф, Хермсдорф, Фолькманнсдорф, Диттерсдорф, Штойбендорф, Забшютц, Гребниг, Матцкирх, Шверфельде, Грегорсдорф.</w:t>
      </w:r>
    </w:p>
    <w:p w14:paraId="5E9B5995" w14:textId="77777777" w:rsidR="00DC5271" w:rsidRPr="00F90EAE" w:rsidRDefault="00DC5271" w:rsidP="00F90EAE">
      <w:pPr>
        <w:jc w:val="both"/>
        <w:rPr>
          <w:color w:val="000000" w:themeColor="text1"/>
          <w:sz w:val="16"/>
          <w:szCs w:val="16"/>
        </w:rPr>
      </w:pPr>
      <w:r w:rsidRPr="00F90EAE">
        <w:rPr>
          <w:color w:val="000000" w:themeColor="text1"/>
          <w:sz w:val="16"/>
          <w:szCs w:val="16"/>
        </w:rPr>
        <w:t>В Чехословакии северо-восточнее и севернее Зволена наши войска, действуя в трудных условиях горно-лесистой местности в полосе Карпат, заняли более 40 населённых пунктов, среди которых крупные населённые пункты Преданна, Лубетова, Дубравица, Черин, Бадин, Сельница, Гайники.</w:t>
      </w:r>
    </w:p>
    <w:p w14:paraId="08C89B53" w14:textId="77777777" w:rsidR="00DC5271" w:rsidRPr="00F90EAE" w:rsidRDefault="00DC5271" w:rsidP="00F90EAE">
      <w:pPr>
        <w:jc w:val="both"/>
        <w:rPr>
          <w:color w:val="000000" w:themeColor="text1"/>
          <w:sz w:val="16"/>
          <w:szCs w:val="16"/>
        </w:rPr>
      </w:pPr>
      <w:r w:rsidRPr="00F90EAE">
        <w:rPr>
          <w:color w:val="000000" w:themeColor="text1"/>
          <w:sz w:val="16"/>
          <w:szCs w:val="16"/>
        </w:rPr>
        <w:t>В районе нижнего течения реки Дравы, северо-западнее города Осиек, немецкие войска в двух местах форсировали реку и пытались расширить занятые плацдармы. Войска болгарской и югославской армий, действуя совместно с нашими войсками, решительным контрударом разгромили переправившиеся немецкие части и остатки их отбросили на южный берег Дравы.</w:t>
      </w:r>
    </w:p>
    <w:p w14:paraId="12FB6BBD" w14:textId="77777777" w:rsidR="00DC5271" w:rsidRPr="00F90EAE" w:rsidRDefault="00DC5271" w:rsidP="00F90EAE">
      <w:pPr>
        <w:jc w:val="both"/>
        <w:rPr>
          <w:color w:val="000000" w:themeColor="text1"/>
          <w:sz w:val="16"/>
          <w:szCs w:val="16"/>
        </w:rPr>
      </w:pPr>
      <w:r w:rsidRPr="00F90EAE">
        <w:rPr>
          <w:color w:val="000000" w:themeColor="text1"/>
          <w:sz w:val="16"/>
          <w:szCs w:val="16"/>
        </w:rPr>
        <w:t>За 21 марта на всех фронтах подбито и уничтожено 89 немецких танков и самоходных орудий. В воздушных боях и огнём зенитной артиллерии сбит 51 самолёт противника.</w:t>
      </w:r>
    </w:p>
    <w:p w14:paraId="5260E80F" w14:textId="77777777" w:rsidR="00DC5271" w:rsidRPr="00F90EAE" w:rsidRDefault="00DC5271" w:rsidP="00F90EAE">
      <w:pPr>
        <w:jc w:val="both"/>
        <w:rPr>
          <w:color w:val="000000" w:themeColor="text1"/>
          <w:sz w:val="16"/>
          <w:szCs w:val="16"/>
        </w:rPr>
      </w:pPr>
      <w:r w:rsidRPr="00F90EAE">
        <w:rPr>
          <w:color w:val="000000" w:themeColor="text1"/>
          <w:sz w:val="16"/>
          <w:szCs w:val="16"/>
        </w:rPr>
        <w:t>Налёт нашей авиации на железнодорожный узел Веспрем в Венгрии.</w:t>
      </w:r>
    </w:p>
    <w:p w14:paraId="6AB35C57" w14:textId="77777777" w:rsidR="00DC5271" w:rsidRPr="00F90EAE" w:rsidRDefault="00DC5271" w:rsidP="00F90EAE">
      <w:pPr>
        <w:jc w:val="both"/>
        <w:rPr>
          <w:color w:val="000000" w:themeColor="text1"/>
          <w:sz w:val="16"/>
          <w:szCs w:val="16"/>
        </w:rPr>
      </w:pPr>
      <w:r w:rsidRPr="00F90EAE">
        <w:rPr>
          <w:color w:val="000000" w:themeColor="text1"/>
          <w:sz w:val="16"/>
          <w:szCs w:val="16"/>
        </w:rPr>
        <w:t>В ночь на 22 марта наши тяжёлые бомбардировщики нанесли удар по железнодорожному узлу Веспрем в Венгрии. В результате бомбардировки на территории узла возникли пожары, сопровождавшиеся сильными взрывами.</w:t>
      </w:r>
    </w:p>
    <w:p w14:paraId="7DEA6E16" w14:textId="77777777" w:rsidR="00DC5271" w:rsidRPr="00F90EAE" w:rsidRDefault="00DC5271" w:rsidP="00F90EAE">
      <w:pPr>
        <w:jc w:val="both"/>
        <w:rPr>
          <w:color w:val="000000" w:themeColor="text1"/>
          <w:sz w:val="16"/>
          <w:szCs w:val="16"/>
        </w:rPr>
      </w:pPr>
      <w:r w:rsidRPr="00F90EAE">
        <w:rPr>
          <w:color w:val="000000" w:themeColor="text1"/>
          <w:sz w:val="16"/>
          <w:szCs w:val="16"/>
        </w:rPr>
        <w:t>Юго-западнее Кенигсберга наши войска продолжали бои по ликвидации Восточно-Прусской группировки немцев. Сломив сопротивление противника, советские части заняли опорный пункт Ширтен, находящийся в трёх километрах к востоку от города Хайлигенбайля. Особенно ожесточённые бои происходят на подступах к Хайли-генбайлю. Противник стремится во что бы то ни стало удержать в своих руках этот город, прикрывающий прибрежный посёлок Розенберг, в котором оборудованы причалы для судов. Немцы заранее подготовили Хайлигенбайль к обороне. На подступах к нему отрыты оплошные линии траншей и установлены широкие минные поля. Наши части, подошедшие вчера к городу с юга, сегодня после ожесточённого боя овладели казармами и группой домов на южном берегу реки Иарфт. Затем советские бойцы по грудь в ледяной воде переправились через реку и заняли несколько зданий на её северном берегу. За день советские войска истребили более 2 тысяч немецких солдат и офицеров, уничтожили 16 танков и самоходных орудий, 10 бронетранспортёров, 48 полевых орудий и до 400 автомашин.</w:t>
      </w:r>
    </w:p>
    <w:p w14:paraId="258E4532" w14:textId="77777777" w:rsidR="00DC5271" w:rsidRPr="00F90EAE" w:rsidRDefault="00DC5271" w:rsidP="00F90EAE">
      <w:pPr>
        <w:jc w:val="both"/>
        <w:rPr>
          <w:color w:val="000000" w:themeColor="text1"/>
          <w:sz w:val="16"/>
          <w:szCs w:val="16"/>
        </w:rPr>
      </w:pPr>
      <w:r w:rsidRPr="00F90EAE">
        <w:rPr>
          <w:color w:val="000000" w:themeColor="text1"/>
          <w:sz w:val="16"/>
          <w:szCs w:val="16"/>
        </w:rPr>
        <w:t>Наши бомбардировщики, штурмовики и истребители атакуют артиллерийские позиции, опорные пункты немцев, пристани, причалы, а также суда противника в заливе Фриш-Гаф.».</w:t>
      </w:r>
    </w:p>
    <w:p w14:paraId="5E0144BC" w14:textId="77777777" w:rsidR="00DC5271" w:rsidRPr="00F90EAE" w:rsidRDefault="00DC5271" w:rsidP="00F90EAE">
      <w:pPr>
        <w:jc w:val="both"/>
        <w:rPr>
          <w:color w:val="000000" w:themeColor="text1"/>
          <w:sz w:val="16"/>
          <w:szCs w:val="16"/>
        </w:rPr>
      </w:pPr>
      <w:r w:rsidRPr="00F90EAE">
        <w:rPr>
          <w:color w:val="000000" w:themeColor="text1"/>
          <w:sz w:val="16"/>
          <w:szCs w:val="16"/>
        </w:rPr>
        <w:t>На Данцигском направлении наши войска, преодолевая упорное сопротивление противника, с боями заняли несколько населенных пунктов. Немцы контратаками, а также сильным огнём полевых орудий и артиллерии военных кораблей стремятся не допустить продвижения советских частей к побережью Данцигской бухты. Наши войска, наступающие вдоль западного берега Вислы, выбили немцев из Гюттланда— важного узла дорог. На другом участке ожесточённые бои произошли за высоту, господствующую над местностью. Противник построил на этой высоте железобетонные доты с подземными ходами сообщения. Наши бойцы обошли высоту с юга и штурмом овладели этим мощным опорным пунктом обороны немцев. Сломив вражеское сопротивление, советские части овладели также населённым пунктом Вельтцендорф, находящимся в 4 километрах к западу от Гдыни. Нашими подразделениями захвачен бронепоезд противника. Команда бронепоезда взята в плен.</w:t>
      </w:r>
    </w:p>
    <w:p w14:paraId="71B6DBA0" w14:textId="77777777" w:rsidR="00DC5271" w:rsidRPr="00F90EAE" w:rsidRDefault="00DC5271" w:rsidP="00F90EAE">
      <w:pPr>
        <w:jc w:val="both"/>
        <w:rPr>
          <w:color w:val="000000" w:themeColor="text1"/>
          <w:sz w:val="16"/>
          <w:szCs w:val="16"/>
        </w:rPr>
      </w:pPr>
      <w:r w:rsidRPr="00F90EAE">
        <w:rPr>
          <w:color w:val="000000" w:themeColor="text1"/>
          <w:sz w:val="16"/>
          <w:szCs w:val="16"/>
        </w:rPr>
        <w:t>Войска 1-го Украинского фронта перешли в наступление. К западу от города Оппелын советские части после упорных боёв прорвали сильно укреплённую оборону противника. Затем в прорыв были введены наши подвижные соединения. Ударная группа наших войск стремительно продвинулась вперёд и овладела городом Фалькенберг, уничтожив при этом более 2 тысяч гитлеровцев. Вскоре пал важный опорный пункт обороны немцев и узел шоссейных дорог Ламсдорф. В этом населённом пункте наши бойцы освободили свыше 4 тысяч советских граждан, томившихся в фашистской неволе. Развивая успех, наши войска вышли к городу Нойштадт. Всю ночь, не стихая, шли ожесточённые уличные бои. К утру город был очищен от гитлеровцев. В Нойштадте захвачены большие трофеи, в том числе склады с военным имуществом. В то же время наши части, занимавшие плацдарм на западном берегу Одера, южнее города Оппельна, сломили сопротивление немцев и овладели городом Обер-Глогау. Отбрасывая и уничтожая противника, наши войска, наступающие западнее и южнее Оппельна, соединились в районе города Нойштадт. Таким образом, группа немецких войск, расположенная в районе к юго-западу от Оппельна, оказалась в окружении. Противник, находившийся под непрерывным артиллерийско-миномётным обстрелом, нёс огромные потери. Стремительными ударами советские танковые соединения расчленили окружённую вражескую группировку на отдельные изолированные друг от друга части. Умелые и решительные действия наших войск дезорганизовали противника. Провалились также попытки немцев извне оказать помощь окружённым войскам. Советские пехотинцы, танкисты и артиллеристы, отбивая вражеские контратаки, одновременно вели бои по ликвидации немецких частей, попавших в окружение. Сопротивление гитлеровцев было сломлено. Немецкие солдаты и офицеры стали группами сдаваться в плен. Наши войска подавили последние очаги сопротивления и завершили разгром окружённой группы немецких войск. Места боёв завалены тысячами трупов гитлеровцев. В ходе боёв подбито и сожжено 280 танков и самоходных орудий, 62 бронетранспортёра, уничтожены сотни орудий, миномётов и другого вооружения противника.» (15076).</w:t>
      </w:r>
    </w:p>
    <w:p w14:paraId="0F148895" w14:textId="77777777" w:rsidR="00DC5271" w:rsidRPr="00F90EAE" w:rsidRDefault="00DC5271" w:rsidP="00F90EAE">
      <w:pPr>
        <w:jc w:val="both"/>
        <w:rPr>
          <w:color w:val="000000" w:themeColor="text1"/>
          <w:sz w:val="16"/>
          <w:szCs w:val="16"/>
        </w:rPr>
      </w:pPr>
    </w:p>
    <w:p w14:paraId="21C86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 18:20 л Л.Сивко в составе четверки Як-9 к В.Мельникова, прикрывавшей войска в районе Цехина сбил Ме-262. Кроме И.Н.Кожедуба сбил и ГСС Г.Мерквиладзе и вели бой П.Еремин, Н.Тимофеев, Н.Старченко (455,172). Официально сбили 6 (3417,20).</w:t>
      </w:r>
    </w:p>
    <w:p w14:paraId="214620CB" w14:textId="77777777" w:rsidR="00665165" w:rsidRPr="00F90EAE" w:rsidRDefault="00665165" w:rsidP="00F90EAE">
      <w:pPr>
        <w:autoSpaceDE w:val="0"/>
        <w:autoSpaceDN w:val="0"/>
        <w:adjustRightInd w:val="0"/>
        <w:jc w:val="both"/>
        <w:rPr>
          <w:color w:val="000000" w:themeColor="text1"/>
          <w:sz w:val="16"/>
          <w:szCs w:val="16"/>
        </w:rPr>
      </w:pPr>
    </w:p>
    <w:p w14:paraId="1A64D2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 «Красная звезда» писала: «В боях по уничтожению восточно-прусской группировки юго-западнее Кенигсберга большую помощь наземным частям оказывают аэростаты воздушного наблюдения» (11328).</w:t>
      </w:r>
    </w:p>
    <w:p w14:paraId="28DD1ECA" w14:textId="77777777" w:rsidR="00665165" w:rsidRPr="00F90EAE" w:rsidRDefault="00665165" w:rsidP="00F90EAE">
      <w:pPr>
        <w:autoSpaceDE w:val="0"/>
        <w:autoSpaceDN w:val="0"/>
        <w:adjustRightInd w:val="0"/>
        <w:jc w:val="both"/>
        <w:rPr>
          <w:color w:val="000000" w:themeColor="text1"/>
          <w:sz w:val="16"/>
          <w:szCs w:val="16"/>
        </w:rPr>
      </w:pPr>
    </w:p>
    <w:p w14:paraId="45F3021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вышло Постановление ГКО № 7909 О выплате денежного содержания военнослужащим и суточных денег вольнонаемному составу Наркомвоенморфлота на территории Чехословакии [в местной валюте - кронах]. (7318, 12-13).</w:t>
      </w:r>
    </w:p>
    <w:p w14:paraId="16A372D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785C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Постановление ГКО № 7911 О передислокации Ленинградской военной воздушной академии в ЛенинграРГАНИР, Фонд ГКО, д. РГАНИР, Фонд ГКО, д. 383, лл. 15 (11012).</w:t>
      </w:r>
    </w:p>
    <w:p w14:paraId="7F76B532" w14:textId="77777777" w:rsidR="00665165" w:rsidRPr="00F90EAE" w:rsidRDefault="00665165" w:rsidP="00F90EAE">
      <w:pPr>
        <w:autoSpaceDE w:val="0"/>
        <w:autoSpaceDN w:val="0"/>
        <w:adjustRightInd w:val="0"/>
        <w:jc w:val="both"/>
        <w:rPr>
          <w:color w:val="000000" w:themeColor="text1"/>
          <w:sz w:val="16"/>
          <w:szCs w:val="16"/>
        </w:rPr>
      </w:pPr>
    </w:p>
    <w:p w14:paraId="08122BB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C24ACC7" w14:textId="77777777" w:rsidR="00665165" w:rsidRPr="00F90EAE" w:rsidRDefault="00665165" w:rsidP="00F90EAE">
      <w:pPr>
        <w:autoSpaceDE w:val="0"/>
        <w:autoSpaceDN w:val="0"/>
        <w:adjustRightInd w:val="0"/>
        <w:jc w:val="both"/>
        <w:rPr>
          <w:iCs/>
          <w:color w:val="000000" w:themeColor="text1"/>
          <w:sz w:val="16"/>
          <w:szCs w:val="16"/>
        </w:rPr>
      </w:pPr>
    </w:p>
    <w:p w14:paraId="6605343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7903 [О переводе из Москвы в Ленинград Военно-медицинского музея КА.] (7318, 6).</w:t>
      </w:r>
    </w:p>
    <w:p w14:paraId="70B03D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428C1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7905. О реэвакуации работников предприятий кинематографии Ленинграда. РГАНИР, Фонд ГКО, д. 383, лл. 8 (11012).</w:t>
      </w:r>
    </w:p>
    <w:p w14:paraId="1AA60510" w14:textId="77777777" w:rsidR="00665165" w:rsidRPr="00F90EAE" w:rsidRDefault="00665165" w:rsidP="00F90EAE">
      <w:pPr>
        <w:autoSpaceDE w:val="0"/>
        <w:autoSpaceDN w:val="0"/>
        <w:adjustRightInd w:val="0"/>
        <w:jc w:val="both"/>
        <w:rPr>
          <w:color w:val="000000" w:themeColor="text1"/>
          <w:sz w:val="16"/>
          <w:szCs w:val="16"/>
        </w:rPr>
      </w:pPr>
    </w:p>
    <w:p w14:paraId="6E1CF29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7906 [О возобновлении работы Фармацевтического института в Ленинграде.] (7318, 9).</w:t>
      </w:r>
    </w:p>
    <w:p w14:paraId="6793FC3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3F0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вышло Распоряжение ГКО № 7907. О реэвакуации в Ленинград детей, чьи родители находятся в городе. РГАНИР, Фонд ГКО, д. 383, лл. 10 (11012).</w:t>
      </w:r>
    </w:p>
    <w:p w14:paraId="14DF456D" w14:textId="77777777" w:rsidR="00665165" w:rsidRPr="00F90EAE" w:rsidRDefault="00665165" w:rsidP="00F90EAE">
      <w:pPr>
        <w:autoSpaceDE w:val="0"/>
        <w:autoSpaceDN w:val="0"/>
        <w:adjustRightInd w:val="0"/>
        <w:jc w:val="both"/>
        <w:rPr>
          <w:color w:val="000000" w:themeColor="text1"/>
          <w:sz w:val="16"/>
          <w:szCs w:val="16"/>
        </w:rPr>
      </w:pPr>
    </w:p>
    <w:p w14:paraId="547726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заместитель наркома А. П. Завенягин подписал приказ № 0223 “О строительстве Инспецмета НКВД и завода № 5 НКВД” (изданный на основании постановления ГКО № 7102сс/ов от 8 декабря 1944 года “О мероприятиях по обеспечению развития добычи и переработки урановых руд”):</w:t>
      </w:r>
    </w:p>
    <w:p w14:paraId="7A1E86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“Приказываю:</w:t>
      </w:r>
    </w:p>
    <w:p w14:paraId="001431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начальнику Главпромстроя НКВД СССР генерал-майору инженерно-технической службы тов. Комаровскому приступить к строительству в Москве Института специальных металлов НКВД и завода № 5 НКВД;</w:t>
      </w:r>
    </w:p>
    <w:p w14:paraId="21CE78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организовать в Москве в системе Главпромстроя НКВД СССР на базе Управления Химкинского строительства Управление специального строительства “Спецстрой” НКВД СССР; возложить на Спецстрой НКВД все строительные работы по бывшему Управлению Химкинского строительства и завода, руководство механическим заводом в Москве и стекольным заводом “Красное Эхо”, а также строительство двух жилых домов: для Норильского и Воркутинского комбинатов НКВД;</w:t>
      </w:r>
    </w:p>
    <w:p w14:paraId="0901D0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Спецметуправлению НКВД СССР заключить подрядный договор со Спецстроем НКВД на производство строительно-монтажных работ по строительству Инспецмета НКВД и завода № 5 НКВД с жилым фондом;</w:t>
      </w:r>
    </w:p>
    <w:p w14:paraId="25AA78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Начальнику Гидропроекта Главпромстроя НКВД СССР генерал-майору инженерно-технической службы С. Я. Жуку немедленно приступить к составлению проекта и рабочих чертежей строительства Инспецмета НКВД и завода № 5 НКВД; заключить со Спецстроем НКВД подрядный договор на проведение проектных работ; организовать на площадке строительства Особое проектно-конструкторское бюро (ОКТБ) из числа спецконтингента для проектирования указанных объектов” (7560).</w:t>
      </w:r>
    </w:p>
    <w:p w14:paraId="17CB97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Инспецмет (ныне НИИ неорганических материалов имени А. Бочвара) и завод № 5 должны были разместиться в комплексе зданий Всесоюзного института экспериментальной медицины, строительство которого началось еще в 1930-х по проекту Н. Е. Лансере - с 1931-го заключенного архитектурной “шарашки”, участвовавшего также в проектировании “Большого дома” на Литейном в Ленинграде, сталинской дачи на Валдае и т. п (7560).</w:t>
      </w:r>
    </w:p>
    <w:p w14:paraId="78797C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Спецстрой НКВД возглавил бывший начальник Управления Химкинского строительства Главпромстроя НКВД А. В. Венгеровский (в 1935-1937 годах сотрудник автотракторного отдела Москваволгостроя, а с сентября 1944-го - начальник последнего из ответвлений огромного некогда Дмитлага - Химлага или Химкинского лагерного участка, обслуживавшего мелкие объекты Главпромстроя и в декабре того же года переданного было в ведение УИТЛК УНКВД по Московской области). Уже 4 апреля 1946-го приказом МВД СССР № 442 Венгеровского сменит в этой должности полковник А. И. Хархардин, ранее начальник Ягринлага и строительства № 203 (7560).</w:t>
      </w:r>
    </w:p>
    <w:p w14:paraId="679EDF68" w14:textId="77777777" w:rsidR="00665165" w:rsidRPr="00F90EAE" w:rsidRDefault="00665165" w:rsidP="00F90EAE">
      <w:pPr>
        <w:autoSpaceDE w:val="0"/>
        <w:autoSpaceDN w:val="0"/>
        <w:adjustRightInd w:val="0"/>
        <w:jc w:val="both"/>
        <w:rPr>
          <w:color w:val="000000" w:themeColor="text1"/>
          <w:sz w:val="16"/>
          <w:szCs w:val="16"/>
        </w:rPr>
      </w:pPr>
    </w:p>
    <w:p w14:paraId="54ED972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9CDD053" w14:textId="77777777" w:rsidR="00665165" w:rsidRPr="00F90EAE" w:rsidRDefault="00665165" w:rsidP="00F90EAE">
      <w:pPr>
        <w:autoSpaceDE w:val="0"/>
        <w:autoSpaceDN w:val="0"/>
        <w:adjustRightInd w:val="0"/>
        <w:jc w:val="both"/>
        <w:rPr>
          <w:iCs/>
          <w:color w:val="000000" w:themeColor="text1"/>
          <w:sz w:val="16"/>
          <w:szCs w:val="16"/>
        </w:rPr>
      </w:pPr>
    </w:p>
    <w:p w14:paraId="27BDC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года</w:t>
      </w:r>
    </w:p>
    <w:p w14:paraId="36E29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ЛИЧНО И СЕКРЕТНО ОТ ПРЕМЬЕРА И. В. СТАЛИНА ПРЕЗИДЕНТУ г-ну Ф. РУЗВЕЛЬТУ</w:t>
      </w:r>
    </w:p>
    <w:p w14:paraId="2D4767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Ваше послание по поводу эвакуации из Польши бывших американских военнопленных получил.</w:t>
      </w:r>
    </w:p>
    <w:p w14:paraId="275D6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Относительно имеющихся у Вас сведений о большом будто бы числе больных и раненых американцев, находящихся в Польше, а также ожидающих отправки в Одессу или не установивших контакта с советскими властями, должен сказать, что сведения эти не точны. В действительности, кроме находящегося в пути в направлении на Одессу некоторого числа американцев, на территории Польши к 16 марта находилось всего лишь 17 человек больных американских военных. Я получил сегодня донесение, что на днях они (17 человек) будут вывезены на самолетах в Одессу.</w:t>
      </w:r>
    </w:p>
    <w:p w14:paraId="444DB5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поводу содержащейся в Вашем послании просьбы должен сказать, что если бы эта просьба касалась лично меня, то я готов был бы уступить даже в ущерб своим интересам. Но в данном случае дело касается интересов советских армий на фронте и советских командующих, которые не хотят иметь у себя лишних офицеров, не имеющих отношения к военным операциям, но требующих в то же время забот по их устройству, по организации для них встреч и всякого рода связей, по их охране от возможных диверсий со стороны немецких агентов, которые еще не выловлены, и других мероприятий, отвлекающих командующих и подчиненных им офицеров от их прямых обязанностей. Наши командующие головой отвечают за положение дел на фронте и в ближайшем тылу, и я не считаю возможным в какой-либо мере ограничивать их права.</w:t>
      </w:r>
    </w:p>
    <w:p w14:paraId="742B4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 должен вместе с тем сказать, что освобожденные Красной Армией бывшие американские военнопленные находятся в советских лагерях в хороших условиях, во всяком случае в лучших условиях, чем бывшие советские военнопленные в американских лагерях, где они были частично помещены вместе с немецкими военнопленными и где некоторые из них подвергались несправедливому обращению и незаконным стеснениям, вплоть до побоев, о чем уже не раз сообщалось Американскому Правительству (7430).</w:t>
      </w:r>
    </w:p>
    <w:p w14:paraId="3B730FC3" w14:textId="77777777" w:rsidR="00665165" w:rsidRPr="00F90EAE" w:rsidRDefault="00665165" w:rsidP="00F90EAE">
      <w:pPr>
        <w:autoSpaceDE w:val="0"/>
        <w:autoSpaceDN w:val="0"/>
        <w:adjustRightInd w:val="0"/>
        <w:jc w:val="both"/>
        <w:rPr>
          <w:color w:val="000000" w:themeColor="text1"/>
          <w:sz w:val="16"/>
          <w:szCs w:val="16"/>
        </w:rPr>
      </w:pPr>
    </w:p>
    <w:p w14:paraId="48307C63" w14:textId="77777777" w:rsidR="00DC5271" w:rsidRPr="00F90EAE" w:rsidRDefault="00DC5271" w:rsidP="00F90EAE">
      <w:pPr>
        <w:jc w:val="both"/>
        <w:rPr>
          <w:color w:val="000000" w:themeColor="text1"/>
          <w:sz w:val="16"/>
          <w:szCs w:val="16"/>
        </w:rPr>
      </w:pPr>
      <w:r w:rsidRPr="00F90EAE">
        <w:rPr>
          <w:bCs/>
          <w:color w:val="000000" w:themeColor="text1"/>
          <w:sz w:val="16"/>
          <w:szCs w:val="16"/>
        </w:rPr>
        <w:t>22 марта</w:t>
      </w:r>
      <w:r w:rsidRPr="00F90EAE">
        <w:rPr>
          <w:color w:val="000000" w:themeColor="text1"/>
          <w:sz w:val="16"/>
          <w:szCs w:val="16"/>
        </w:rPr>
        <w:t xml:space="preserve"> в 1945 году НКИД СССР В.М.Молотов осудил отказ англо-американской стороны включить советского представителя в состав делегации союзников на переговорах с командованием немецких войск в Северной Италии (15076).</w:t>
      </w:r>
    </w:p>
    <w:p w14:paraId="0720C5EC" w14:textId="77777777" w:rsidR="00DC5271" w:rsidRPr="00F90EAE" w:rsidRDefault="00DC5271" w:rsidP="00F90EAE">
      <w:pPr>
        <w:jc w:val="both"/>
        <w:rPr>
          <w:color w:val="000000" w:themeColor="text1"/>
          <w:sz w:val="16"/>
          <w:szCs w:val="16"/>
        </w:rPr>
      </w:pPr>
    </w:p>
    <w:p w14:paraId="0F55AE0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502EEDB" w14:textId="77777777" w:rsidR="00665165" w:rsidRPr="00F90EAE" w:rsidRDefault="00665165" w:rsidP="00F90EAE">
      <w:pPr>
        <w:autoSpaceDE w:val="0"/>
        <w:autoSpaceDN w:val="0"/>
        <w:adjustRightInd w:val="0"/>
        <w:jc w:val="both"/>
        <w:rPr>
          <w:iCs/>
          <w:color w:val="000000" w:themeColor="text1"/>
          <w:sz w:val="16"/>
          <w:szCs w:val="16"/>
        </w:rPr>
      </w:pPr>
    </w:p>
    <w:p w14:paraId="3C9221FF" w14:textId="77777777" w:rsidR="00450976" w:rsidRPr="00F90EAE" w:rsidRDefault="00450976" w:rsidP="00F90EAE">
      <w:pPr>
        <w:jc w:val="both"/>
        <w:rPr>
          <w:color w:val="000000" w:themeColor="text1"/>
          <w:sz w:val="16"/>
          <w:szCs w:val="16"/>
        </w:rPr>
      </w:pPr>
      <w:r w:rsidRPr="00F90EAE">
        <w:rPr>
          <w:bCs/>
          <w:color w:val="000000" w:themeColor="text1"/>
          <w:sz w:val="16"/>
          <w:szCs w:val="16"/>
        </w:rPr>
        <w:t>22 марта</w:t>
      </w:r>
      <w:r w:rsidRPr="00F90EAE">
        <w:rPr>
          <w:color w:val="000000" w:themeColor="text1"/>
          <w:sz w:val="16"/>
          <w:szCs w:val="16"/>
        </w:rPr>
        <w:t xml:space="preserve"> в 1945 году реактивный самолет люфтваффе "Me-262" сбил бомбардировщик союзников "В-17". Примечательно, что пилотом истребителя был Виктор Петерманн (Viktor Petermann) у которого была ампутирована левая рука (15076).</w:t>
      </w:r>
    </w:p>
    <w:p w14:paraId="4D2F16B1" w14:textId="77777777" w:rsidR="00450976" w:rsidRPr="00F90EAE" w:rsidRDefault="00450976" w:rsidP="00F90EAE">
      <w:pPr>
        <w:jc w:val="both"/>
        <w:rPr>
          <w:color w:val="000000" w:themeColor="text1"/>
          <w:sz w:val="16"/>
          <w:szCs w:val="16"/>
        </w:rPr>
      </w:pPr>
    </w:p>
    <w:p w14:paraId="22866316" w14:textId="77777777" w:rsidR="00DC5271" w:rsidRPr="00F90EAE" w:rsidRDefault="00DC5271" w:rsidP="00F90EAE">
      <w:pPr>
        <w:jc w:val="both"/>
        <w:rPr>
          <w:color w:val="000000" w:themeColor="text1"/>
          <w:sz w:val="16"/>
          <w:szCs w:val="16"/>
        </w:rPr>
      </w:pPr>
      <w:r w:rsidRPr="00F90EAE">
        <w:rPr>
          <w:bCs/>
          <w:color w:val="000000" w:themeColor="text1"/>
          <w:sz w:val="16"/>
          <w:szCs w:val="16"/>
        </w:rPr>
        <w:t>22 марта</w:t>
      </w:r>
      <w:r w:rsidRPr="00F90EAE">
        <w:rPr>
          <w:color w:val="000000" w:themeColor="text1"/>
          <w:sz w:val="16"/>
          <w:szCs w:val="16"/>
        </w:rPr>
        <w:t xml:space="preserve"> в 1945 году генерал-полковник Хейнрици сменил Гиммлера на посту командующего группой армий «Висла» (15076).</w:t>
      </w:r>
    </w:p>
    <w:p w14:paraId="18941438" w14:textId="77777777" w:rsidR="00DC5271" w:rsidRPr="00F90EAE" w:rsidRDefault="00DC5271" w:rsidP="00F90EAE">
      <w:pPr>
        <w:jc w:val="both"/>
        <w:rPr>
          <w:color w:val="000000" w:themeColor="text1"/>
          <w:sz w:val="16"/>
          <w:szCs w:val="16"/>
        </w:rPr>
      </w:pPr>
    </w:p>
    <w:p w14:paraId="03D857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американские войска генерала Паттона форсировали Рейн, обманув англичан, собиравшихся сделать это на следующий день (4962).</w:t>
      </w:r>
    </w:p>
    <w:p w14:paraId="1DB1DFB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BDF2C7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генерал-полковник Хейнрици сменил Гиммлера на посту командующего группой армий “Висла”4963</w:t>
      </w:r>
    </w:p>
    <w:p w14:paraId="4BB8CC2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7D03F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Япония, испытывающая проблемы с едой, предприняла массированную атаку с целью захвата урожая в Центральном Китае (4962).</w:t>
      </w:r>
    </w:p>
    <w:p w14:paraId="560D974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7197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было выполнено 10 налетов на Окинаву (2248,3).</w:t>
      </w:r>
    </w:p>
    <w:p w14:paraId="3AD663A2" w14:textId="77777777" w:rsidR="00665165" w:rsidRPr="00F90EAE" w:rsidRDefault="00665165" w:rsidP="00F90EAE">
      <w:pPr>
        <w:autoSpaceDE w:val="0"/>
        <w:autoSpaceDN w:val="0"/>
        <w:adjustRightInd w:val="0"/>
        <w:jc w:val="both"/>
        <w:rPr>
          <w:color w:val="000000" w:themeColor="text1"/>
          <w:sz w:val="16"/>
          <w:szCs w:val="16"/>
        </w:rPr>
      </w:pPr>
    </w:p>
    <w:p w14:paraId="4DB9060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22nd, 1945: Units of the US Third Army cross the Rhine at Oppenheim south of Mainz against minimal German resistance (3819).</w:t>
      </w:r>
    </w:p>
    <w:p w14:paraId="4E28517E" w14:textId="77777777" w:rsidR="00665165" w:rsidRPr="00F90EAE" w:rsidRDefault="00665165" w:rsidP="00F90EAE">
      <w:pPr>
        <w:autoSpaceDE w:val="0"/>
        <w:autoSpaceDN w:val="0"/>
        <w:adjustRightInd w:val="0"/>
        <w:jc w:val="both"/>
        <w:rPr>
          <w:color w:val="000000" w:themeColor="text1"/>
          <w:sz w:val="16"/>
          <w:szCs w:val="16"/>
          <w:lang w:val="en-US"/>
        </w:rPr>
      </w:pPr>
    </w:p>
    <w:p w14:paraId="7BCB3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 Германии американские войска переправились через Рейн в Нейрштейне и Оппенгейме в 32 км от Франкфурта (3907,256).</w:t>
      </w:r>
    </w:p>
    <w:p w14:paraId="3DD60A34" w14:textId="77777777" w:rsidR="00665165" w:rsidRPr="00F90EAE" w:rsidRDefault="00665165" w:rsidP="00F90EAE">
      <w:pPr>
        <w:autoSpaceDE w:val="0"/>
        <w:autoSpaceDN w:val="0"/>
        <w:adjustRightInd w:val="0"/>
        <w:jc w:val="both"/>
        <w:rPr>
          <w:color w:val="000000" w:themeColor="text1"/>
          <w:sz w:val="16"/>
          <w:szCs w:val="16"/>
        </w:rPr>
      </w:pPr>
    </w:p>
    <w:p w14:paraId="4222B1BE" w14:textId="77777777" w:rsidR="00633902" w:rsidRPr="00F90EAE" w:rsidRDefault="00633902" w:rsidP="00F90EAE">
      <w:pPr>
        <w:jc w:val="both"/>
        <w:rPr>
          <w:color w:val="0070C0"/>
          <w:sz w:val="16"/>
          <w:szCs w:val="16"/>
        </w:rPr>
      </w:pPr>
      <w:r w:rsidRPr="00F90EAE">
        <w:rPr>
          <w:color w:val="0070C0"/>
          <w:sz w:val="16"/>
          <w:szCs w:val="16"/>
        </w:rPr>
        <w:t>22 марта 1942 авианосец США «Энтерпрайз» поврежден пожаром, вызванным огнем американской зенитной артиллерии, и оперативная группа 58 уходит из японских вод. Во время ударов по Кюсю и Внутреннему морю было уничтожено 528 японских самолетов; Япония признает, что в боях «воздух-воздух» было потеряно 163 самолета и было уничтожено еще несколько японских самолетов (20371).</w:t>
      </w:r>
    </w:p>
    <w:p w14:paraId="480998F8" w14:textId="77777777" w:rsidR="00633902" w:rsidRPr="00F90EAE" w:rsidRDefault="00633902" w:rsidP="00F90EAE">
      <w:pPr>
        <w:jc w:val="both"/>
        <w:rPr>
          <w:color w:val="0070C0"/>
          <w:sz w:val="16"/>
          <w:szCs w:val="16"/>
        </w:rPr>
      </w:pPr>
    </w:p>
    <w:p w14:paraId="575252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в Каире был основан Арабский Союз (3481).</w:t>
      </w:r>
    </w:p>
    <w:p w14:paraId="0C2531F4" w14:textId="77777777" w:rsidR="00665165" w:rsidRPr="00F90EAE" w:rsidRDefault="00665165" w:rsidP="00F90EAE">
      <w:pPr>
        <w:autoSpaceDE w:val="0"/>
        <w:autoSpaceDN w:val="0"/>
        <w:adjustRightInd w:val="0"/>
        <w:jc w:val="both"/>
        <w:rPr>
          <w:color w:val="000000" w:themeColor="text1"/>
          <w:sz w:val="16"/>
          <w:szCs w:val="16"/>
        </w:rPr>
      </w:pPr>
    </w:p>
    <w:p w14:paraId="09FA04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г. Египтом, Ираком, Саудовской Аравией, Трансиорданией, Сирией и Ливаном был подписан Договор о создании Лиги арабских государств (ЛАГ). В мае 1945 г. к нему присоединился Йемен (3871).</w:t>
      </w:r>
    </w:p>
    <w:p w14:paraId="577B5412" w14:textId="77777777" w:rsidR="00665165" w:rsidRPr="00F90EAE" w:rsidRDefault="00665165" w:rsidP="00F90EAE">
      <w:pPr>
        <w:autoSpaceDE w:val="0"/>
        <w:autoSpaceDN w:val="0"/>
        <w:adjustRightInd w:val="0"/>
        <w:jc w:val="both"/>
        <w:rPr>
          <w:color w:val="000000" w:themeColor="text1"/>
          <w:sz w:val="16"/>
          <w:szCs w:val="16"/>
        </w:rPr>
      </w:pPr>
    </w:p>
    <w:p w14:paraId="31552A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марта 1945 на Каирской конференции создана Лига Арабских государств (4962).</w:t>
      </w:r>
    </w:p>
    <w:p w14:paraId="2B4A7DE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3CCF7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9525C0F" w14:textId="77777777" w:rsidR="00665165" w:rsidRPr="00F90EAE" w:rsidRDefault="00665165" w:rsidP="00F90EAE">
      <w:pPr>
        <w:autoSpaceDE w:val="0"/>
        <w:autoSpaceDN w:val="0"/>
        <w:adjustRightInd w:val="0"/>
        <w:jc w:val="both"/>
        <w:rPr>
          <w:iCs/>
          <w:color w:val="000000" w:themeColor="text1"/>
          <w:sz w:val="16"/>
          <w:szCs w:val="16"/>
        </w:rPr>
      </w:pPr>
    </w:p>
    <w:p w14:paraId="77A279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на 5000 м на Су-6 с РД при включении РД произошел взрыв и двигатель оторвался (2234,9).</w:t>
      </w:r>
    </w:p>
    <w:p w14:paraId="2F144E40" w14:textId="77777777" w:rsidR="00665165" w:rsidRPr="00F90EAE" w:rsidRDefault="00665165" w:rsidP="00F90EAE">
      <w:pPr>
        <w:autoSpaceDE w:val="0"/>
        <w:autoSpaceDN w:val="0"/>
        <w:adjustRightInd w:val="0"/>
        <w:jc w:val="both"/>
        <w:rPr>
          <w:color w:val="000000" w:themeColor="text1"/>
          <w:sz w:val="16"/>
          <w:szCs w:val="16"/>
        </w:rPr>
      </w:pPr>
    </w:p>
    <w:p w14:paraId="390AA7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марта 1945 в поле</w:t>
      </w:r>
      <w:r w:rsidRPr="00F90EAE">
        <w:rPr>
          <w:color w:val="000000" w:themeColor="text1"/>
          <w:sz w:val="16"/>
          <w:szCs w:val="16"/>
        </w:rPr>
        <w:softHyphen/>
        <w:t>те Су-7 при повторном включении РД-1 в воздухе произошел взрыв, вызвавший незначительные повреждения хвосто</w:t>
      </w:r>
      <w:r w:rsidRPr="00F90EAE">
        <w:rPr>
          <w:color w:val="000000" w:themeColor="text1"/>
          <w:sz w:val="16"/>
          <w:szCs w:val="16"/>
        </w:rPr>
        <w:softHyphen/>
        <w:t>вого оперения и полное разрушение РД-1. Г.И.Комаров успешно завершил полет на поврежденном самолете. Для установления причин аварии самолета, приказом заместителя Нар</w:t>
      </w:r>
      <w:r w:rsidRPr="00F90EAE">
        <w:rPr>
          <w:color w:val="000000" w:themeColor="text1"/>
          <w:sz w:val="16"/>
          <w:szCs w:val="16"/>
        </w:rPr>
        <w:softHyphen/>
        <w:t>кома А.С.Яковлева, была назначена комиссия, которая установила, что пос</w:t>
      </w:r>
      <w:r w:rsidRPr="00F90EAE">
        <w:rPr>
          <w:color w:val="000000" w:themeColor="text1"/>
          <w:sz w:val="16"/>
          <w:szCs w:val="16"/>
        </w:rPr>
        <w:softHyphen/>
        <w:t>ле неудавшегося высотного запуска при повторной попытке произвести его про</w:t>
      </w:r>
      <w:r w:rsidRPr="00F90EAE">
        <w:rPr>
          <w:color w:val="000000" w:themeColor="text1"/>
          <w:sz w:val="16"/>
          <w:szCs w:val="16"/>
        </w:rPr>
        <w:softHyphen/>
        <w:t>изошел взрыв. Его причиной послужи</w:t>
      </w:r>
      <w:r w:rsidRPr="00F90EAE">
        <w:rPr>
          <w:color w:val="000000" w:themeColor="text1"/>
          <w:sz w:val="16"/>
          <w:szCs w:val="16"/>
        </w:rPr>
        <w:softHyphen/>
        <w:t>ла ненадежная работа системы эфиро-воздушного зажигания со свечой накаливания. Ввиду неудовлетворительной рабо</w:t>
      </w:r>
      <w:r w:rsidRPr="00F90EAE">
        <w:rPr>
          <w:color w:val="000000" w:themeColor="text1"/>
          <w:sz w:val="16"/>
          <w:szCs w:val="16"/>
        </w:rPr>
        <w:softHyphen/>
        <w:t>ты системы зажигания двигателя РД-1 ОКБ-СД завода №16 разработало модификацию двигателя. Вместо пре</w:t>
      </w:r>
      <w:r w:rsidRPr="00F90EAE">
        <w:rPr>
          <w:color w:val="000000" w:themeColor="text1"/>
          <w:sz w:val="16"/>
          <w:szCs w:val="16"/>
        </w:rPr>
        <w:softHyphen/>
        <w:t>жней системы зажигания применили химическую, в которой в качестве пускового компонента использовалась смесь Б23-75, самовоспламенявшаяся при соприкосновении с горючим и окислителем. Также уменьшили коли</w:t>
      </w:r>
      <w:r w:rsidRPr="00F90EAE">
        <w:rPr>
          <w:color w:val="000000" w:themeColor="text1"/>
          <w:sz w:val="16"/>
          <w:szCs w:val="16"/>
        </w:rPr>
        <w:softHyphen/>
        <w:t>чество пусковых форсунок. Модифика</w:t>
      </w:r>
      <w:r w:rsidRPr="00F90EAE">
        <w:rPr>
          <w:color w:val="000000" w:themeColor="text1"/>
          <w:sz w:val="16"/>
          <w:szCs w:val="16"/>
        </w:rPr>
        <w:softHyphen/>
        <w:t>ция двигателя получила обозначение РД-1ХЗ (химический запуск). Пусковые свойства модифицированного двигате</w:t>
      </w:r>
      <w:r w:rsidRPr="00F90EAE">
        <w:rPr>
          <w:color w:val="000000" w:themeColor="text1"/>
          <w:sz w:val="16"/>
          <w:szCs w:val="16"/>
        </w:rPr>
        <w:softHyphen/>
        <w:t>ля стали значительно лучше, но все же было несколько случаев взрывов дви</w:t>
      </w:r>
      <w:r w:rsidRPr="00F90EAE">
        <w:rPr>
          <w:color w:val="000000" w:themeColor="text1"/>
          <w:sz w:val="16"/>
          <w:szCs w:val="16"/>
        </w:rPr>
        <w:softHyphen/>
        <w:t>гателей на стенде, а также отмечалась вибрация двигателя при переходе с одного режима работы на другой (10668).</w:t>
      </w:r>
    </w:p>
    <w:p w14:paraId="68CD45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EA1EDB" w14:textId="77777777" w:rsidR="00677D5F" w:rsidRPr="00F90EAE" w:rsidRDefault="00677D5F" w:rsidP="00F90EAE">
      <w:pPr>
        <w:shd w:val="clear" w:color="auto" w:fill="FFFFFF"/>
        <w:jc w:val="both"/>
        <w:rPr>
          <w:color w:val="000000" w:themeColor="text1"/>
          <w:sz w:val="16"/>
          <w:szCs w:val="16"/>
        </w:rPr>
      </w:pPr>
      <w:r w:rsidRPr="00F90EAE">
        <w:rPr>
          <w:color w:val="000000" w:themeColor="text1"/>
          <w:sz w:val="16"/>
          <w:szCs w:val="16"/>
        </w:rPr>
        <w:t>23 марта 1945 в полете при повторном включении РД-1 в воздухе на Су-7 произошел взрыв, вызвавший незначительные повреждения хвостового оперения и полное разрушение РД-1 (ЖРД вообще оторвался от самолета), но все обошлось — Г.И. Комаров успешно посадил поврежденный самолет.</w:t>
      </w:r>
    </w:p>
    <w:p w14:paraId="21AE81E4" w14:textId="77777777" w:rsidR="00677D5F" w:rsidRPr="00F90EAE" w:rsidRDefault="00677D5F" w:rsidP="00F90EAE">
      <w:pPr>
        <w:shd w:val="clear" w:color="auto" w:fill="FFFFFF"/>
        <w:jc w:val="both"/>
        <w:rPr>
          <w:color w:val="000000" w:themeColor="text1"/>
          <w:sz w:val="16"/>
          <w:szCs w:val="16"/>
        </w:rPr>
      </w:pPr>
      <w:r w:rsidRPr="00F90EAE">
        <w:rPr>
          <w:color w:val="000000" w:themeColor="text1"/>
          <w:sz w:val="16"/>
          <w:szCs w:val="16"/>
        </w:rPr>
        <w:t>Для установления причин аварии самолета по приказу за местителя Наркома А.С. Яковлева была назначена комиссия.</w:t>
      </w:r>
    </w:p>
    <w:p w14:paraId="3EB9C27F" w14:textId="77777777" w:rsidR="00677D5F" w:rsidRPr="00F90EAE" w:rsidRDefault="00677D5F" w:rsidP="00F90EAE">
      <w:pPr>
        <w:shd w:val="clear" w:color="auto" w:fill="FFFFFF"/>
        <w:jc w:val="both"/>
        <w:rPr>
          <w:color w:val="000000" w:themeColor="text1"/>
          <w:sz w:val="16"/>
          <w:szCs w:val="16"/>
        </w:rPr>
      </w:pPr>
      <w:r w:rsidRPr="00F90EAE">
        <w:rPr>
          <w:color w:val="000000" w:themeColor="text1"/>
          <w:sz w:val="16"/>
          <w:szCs w:val="16"/>
        </w:rPr>
        <w:t>Было установлено, что после неудавшегося высотного запуска при повторной попытке произвести его произошел взрыв. При чиной взрыва послужила ненадежная работа системы эфиро воздушного зажигания со свечой накаливания (19586).</w:t>
      </w:r>
    </w:p>
    <w:p w14:paraId="77676497" w14:textId="77777777" w:rsidR="00677D5F" w:rsidRPr="00F90EAE" w:rsidRDefault="00677D5F" w:rsidP="00F90EAE">
      <w:pPr>
        <w:shd w:val="clear" w:color="auto" w:fill="FFFFFF"/>
        <w:jc w:val="both"/>
        <w:rPr>
          <w:color w:val="000000" w:themeColor="text1"/>
          <w:sz w:val="16"/>
          <w:szCs w:val="16"/>
        </w:rPr>
      </w:pPr>
    </w:p>
    <w:p w14:paraId="548AE89E"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на высоте 5000 метров у «Су-6» «2ТК-3» с «РД-1», во время программного полета при включении «РД-1» в камере сгорания произошел взрыв, и двигатель оторвался от самолета. Небольшие повреждения получили рули высоты. На снимках силовая установка «Су-6» с двигателем «М-82ФНВ» с турбокомпрессором «ТК-3» и двигателем «РД-1» в хвостовом конусе (15077).</w:t>
      </w:r>
    </w:p>
    <w:p w14:paraId="700AE7A9" w14:textId="77777777" w:rsidR="00450976" w:rsidRPr="00F90EAE" w:rsidRDefault="00450976" w:rsidP="00F90EAE">
      <w:pPr>
        <w:jc w:val="both"/>
        <w:rPr>
          <w:color w:val="000000" w:themeColor="text1"/>
          <w:sz w:val="16"/>
          <w:szCs w:val="16"/>
        </w:rPr>
      </w:pPr>
    </w:p>
    <w:p w14:paraId="6D663E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23 марта 1945 г. Ер-2, пилотировавшийся капитаном Коростылевым, пролетел из Иркутска до Москвы за один день с промежуточной посадкой в Новосибирске. За 15 ч 25 мин летного времени было пройдено расстояние 4600 км. Вслед за этим началась подготовка к беспосадочному перелету по тому же маршруту.</w:t>
      </w:r>
    </w:p>
    <w:p w14:paraId="067F2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Эти перелеты и предшествовавшие им тренировки выявили невозможность ночных полетов из-за неудовлетворительного обзора. Фонарь кабины летчиков пришлось опять дорабатывать. К концу сентября установили новый фонарь и устранили дефекты, выявленные при войсковых испытаниях, а с октября эти доработки стали внедрять на серийных, в том числе и на ранее выпущенных бомбардировщиках. </w:t>
      </w:r>
    </w:p>
    <w:p w14:paraId="56C011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Эксплуатация самолетов с дизелями существенно отличалась от эксплуатации машин с карбюраторными моторами. Пока в кабинах бомбардировщика находились испытатели с их знаниями, квалификацией и опытом, трудностей не возникало. Но настало время, и за штурвалы боевых машин сели строевые летчики, которым пришлось менять приобретенные навыки.</w:t>
      </w:r>
    </w:p>
    <w:p w14:paraId="217E2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Особенностью эксплуатации дизелей был иной способ контролирования их работы и управления ими в полете. Раньше достаточно было послать вперед сектор газа, и карбюратор автоматически дозировал подачу горючего в цилиндры, летчику оставалось лишь поработать высотным корректором и осуществлять контроль числа оборотов и давления наддува. Теперь же основными параметрами, кроме оборотов двигателя, становились часовой расход топлива и температура выхлопных газов, давление наддува устанавливалось автоматически. При этом летчик должен был постоянно помнить, что дизель, по сравнению с бензиновым мотором, ничем не защищался при выходе на максимальные обороты, и сектор газа разрешалось давать вперед до упора лишь на взлете. На других режимах полета этот рычаг требовалось устанавливать в строгом соответствии с инструкцией, и особенно при полетах выше границы высотности двигателя (11994).</w:t>
      </w:r>
    </w:p>
    <w:p w14:paraId="008439DF" w14:textId="77777777" w:rsidR="00665165" w:rsidRPr="00F90EAE" w:rsidRDefault="00665165" w:rsidP="00F90EAE">
      <w:pPr>
        <w:autoSpaceDE w:val="0"/>
        <w:autoSpaceDN w:val="0"/>
        <w:adjustRightInd w:val="0"/>
        <w:jc w:val="both"/>
        <w:rPr>
          <w:color w:val="000000" w:themeColor="text1"/>
          <w:sz w:val="16"/>
          <w:szCs w:val="16"/>
        </w:rPr>
      </w:pPr>
    </w:p>
    <w:p w14:paraId="6BACD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марта по 9 апреля 1945 л В.Г.Иванов, ви И.А.Колосов и и по вооружению А.Г.Аронов проводили гос. испытания Як-3П c 3 Б-20 (Б-20М и 2хБ-20С) (65,177).</w:t>
      </w:r>
    </w:p>
    <w:p w14:paraId="60DE0CB6" w14:textId="77777777" w:rsidR="00665165" w:rsidRPr="00F90EAE" w:rsidRDefault="00665165" w:rsidP="00F90EAE">
      <w:pPr>
        <w:autoSpaceDE w:val="0"/>
        <w:autoSpaceDN w:val="0"/>
        <w:adjustRightInd w:val="0"/>
        <w:jc w:val="both"/>
        <w:rPr>
          <w:color w:val="000000" w:themeColor="text1"/>
          <w:sz w:val="16"/>
          <w:szCs w:val="16"/>
        </w:rPr>
      </w:pPr>
    </w:p>
    <w:p w14:paraId="419A8266"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(по 9 апреля) в HИИ ВВС начались госиспытания головных образцов </w:t>
      </w:r>
      <w:hyperlink r:id="rId75" w:tgtFrame="_blank" w:history="1">
        <w:r w:rsidRPr="00F90EAE">
          <w:rPr>
            <w:color w:val="000000" w:themeColor="text1"/>
            <w:sz w:val="16"/>
            <w:szCs w:val="16"/>
          </w:rPr>
          <w:t xml:space="preserve">«Як-ЗП» </w:t>
        </w:r>
      </w:hyperlink>
      <w:r w:rsidRPr="00F90EAE">
        <w:rPr>
          <w:color w:val="000000" w:themeColor="text1"/>
          <w:sz w:val="16"/>
          <w:szCs w:val="16"/>
        </w:rPr>
        <w:t>(летчик В.Г.Иванов, ведущий инженер по самолету И.А.Колосов, по вооружению - А.Г.Аронов). Было произведено 37 полетов общей продолжительностью 17 ч 39 мин. По результатам госиспытаний отмечалось, что самолет с тремя пушками «Б-20» нужен для ВВС. «Як-ЗП» серийно строился на заводах №292 в Саратове и N31 в Тбилиси с апреля 1945 г. до середины 1946 г. С 1 августа 1945 г. все «Як-З» «ВК-105ПФ2» выпускались только с тремя пушками «Б-20». Всего построено 596 экземпляров «Як-ЗП» (15077).</w:t>
      </w:r>
    </w:p>
    <w:p w14:paraId="5F896C8D" w14:textId="77777777" w:rsidR="00450976" w:rsidRPr="00F90EAE" w:rsidRDefault="00450976" w:rsidP="00F90EAE">
      <w:pPr>
        <w:jc w:val="both"/>
        <w:rPr>
          <w:color w:val="000000" w:themeColor="text1"/>
          <w:sz w:val="16"/>
          <w:szCs w:val="16"/>
        </w:rPr>
      </w:pPr>
    </w:p>
    <w:p w14:paraId="361653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марта по 9 апреля 1945 года проходили государственные испытания трехпушечного Як-3, на которые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119B00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027B6E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54491CC6" w14:textId="77777777" w:rsidR="00665165" w:rsidRPr="00F90EAE" w:rsidRDefault="00665165" w:rsidP="00F90EAE">
      <w:pPr>
        <w:autoSpaceDE w:val="0"/>
        <w:autoSpaceDN w:val="0"/>
        <w:adjustRightInd w:val="0"/>
        <w:jc w:val="both"/>
        <w:rPr>
          <w:color w:val="000000" w:themeColor="text1"/>
          <w:sz w:val="16"/>
          <w:szCs w:val="16"/>
        </w:rPr>
      </w:pPr>
    </w:p>
    <w:p w14:paraId="13E1C0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марта по 9 апреля 1945 в НИИ ВВС проходили контрольные испытания Як-3 №2229 саратовского авиазавода.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масло- радиатор типа 555 заменили на 555У.</w:t>
      </w:r>
    </w:p>
    <w:p w14:paraId="56A12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E9E1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12B500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отмечалось, что сферический козырек фонаря искажал видимые через него предметы и на нем отсутствовало переднее бронестекло. Несмотря на то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44E5C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3DF09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517238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5FEB21E" w14:textId="77777777" w:rsidR="00665165" w:rsidRPr="00F90EAE" w:rsidRDefault="00665165" w:rsidP="00F90EAE">
      <w:pPr>
        <w:autoSpaceDE w:val="0"/>
        <w:autoSpaceDN w:val="0"/>
        <w:adjustRightInd w:val="0"/>
        <w:jc w:val="both"/>
        <w:rPr>
          <w:color w:val="000000" w:themeColor="text1"/>
          <w:sz w:val="16"/>
          <w:szCs w:val="16"/>
        </w:rPr>
      </w:pPr>
    </w:p>
    <w:p w14:paraId="3703F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закончились специальные испытания серийного Ла-7 N 38102158 с улучшенной герметизацией вентиляции кабины, которые проводились с 19 марта 1945 (740,1).</w:t>
      </w:r>
    </w:p>
    <w:p w14:paraId="2D2C7DE4" w14:textId="77777777" w:rsidR="00665165" w:rsidRPr="00F90EAE" w:rsidRDefault="00665165" w:rsidP="00F90EAE">
      <w:pPr>
        <w:autoSpaceDE w:val="0"/>
        <w:autoSpaceDN w:val="0"/>
        <w:adjustRightInd w:val="0"/>
        <w:jc w:val="both"/>
        <w:rPr>
          <w:color w:val="000000" w:themeColor="text1"/>
          <w:sz w:val="16"/>
          <w:szCs w:val="16"/>
        </w:rPr>
      </w:pPr>
    </w:p>
    <w:p w14:paraId="1EE64E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к Коростылев на Ер-2 прошел из Иркутска до Москвы за один день с посадкой в Новосибирске. За 15:25 прошел 4600 км и начал готовиться к выполнению этого полета без посадки (2865,10).</w:t>
      </w:r>
    </w:p>
    <w:p w14:paraId="046F7FD2" w14:textId="77777777" w:rsidR="00665165" w:rsidRPr="00F90EAE" w:rsidRDefault="00665165" w:rsidP="00F90EAE">
      <w:pPr>
        <w:autoSpaceDE w:val="0"/>
        <w:autoSpaceDN w:val="0"/>
        <w:adjustRightInd w:val="0"/>
        <w:jc w:val="both"/>
        <w:rPr>
          <w:color w:val="000000" w:themeColor="text1"/>
          <w:sz w:val="16"/>
          <w:szCs w:val="16"/>
        </w:rPr>
      </w:pPr>
    </w:p>
    <w:p w14:paraId="44874F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года письмом 7 Главного Управления НКАП №428 инициативная работа ОКБ Незваля по пассажирской машине на 50 мест была включена в тематический план ОКБ на первый и второй кварталы 1945 года (7685).</w:t>
      </w:r>
    </w:p>
    <w:p w14:paraId="161384CF" w14:textId="77777777" w:rsidR="00665165" w:rsidRPr="00F90EAE" w:rsidRDefault="00665165" w:rsidP="00F90EAE">
      <w:pPr>
        <w:autoSpaceDE w:val="0"/>
        <w:autoSpaceDN w:val="0"/>
        <w:adjustRightInd w:val="0"/>
        <w:jc w:val="both"/>
        <w:rPr>
          <w:color w:val="000000" w:themeColor="text1"/>
          <w:sz w:val="16"/>
          <w:szCs w:val="16"/>
        </w:rPr>
      </w:pPr>
    </w:p>
    <w:p w14:paraId="05DAB705" w14:textId="77777777" w:rsidR="000B23E5" w:rsidRPr="00F90EAE" w:rsidRDefault="000B23E5" w:rsidP="00F90EAE">
      <w:pPr>
        <w:jc w:val="both"/>
        <w:rPr>
          <w:color w:val="000000" w:themeColor="text1"/>
          <w:sz w:val="16"/>
          <w:szCs w:val="16"/>
        </w:rPr>
      </w:pPr>
      <w:r w:rsidRPr="00F90EAE">
        <w:rPr>
          <w:color w:val="000000" w:themeColor="text1"/>
          <w:sz w:val="16"/>
          <w:szCs w:val="16"/>
        </w:rPr>
        <w:t>23 марта 1945 года после рассмотрения проекта Незваля по пассажирской машине эта инициативная работа ОКБ была подтверждена в варианте на 50 пассажиров письмом 7 Главного Управления НКАП №428 от и включена в тематический план ОКБ на первый и второй кварталы 1945 года. В первом полугодии 1945 года был составлен эскизный проект.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С июля 1945 года, после включения ОКБ Незваля в туполевскую структуру и начала работ по Б-4, работы по теме 50-и местного пассажирского самолета были прекращены (12726).</w:t>
      </w:r>
    </w:p>
    <w:p w14:paraId="32ABE8AC" w14:textId="77777777" w:rsidR="000B23E5" w:rsidRPr="00F90EAE" w:rsidRDefault="000B23E5" w:rsidP="00F90EAE">
      <w:pPr>
        <w:jc w:val="both"/>
        <w:rPr>
          <w:color w:val="000000" w:themeColor="text1"/>
          <w:sz w:val="16"/>
          <w:szCs w:val="16"/>
        </w:rPr>
      </w:pPr>
    </w:p>
    <w:p w14:paraId="0809EE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года П. Дементьев писал письмо N Н-32/1402 гл. инженеру ВВС генерал-полковнику ИАС Репину А.К.</w:t>
      </w:r>
    </w:p>
    <w:p w14:paraId="0013F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В/N 741243</w:t>
      </w:r>
    </w:p>
    <w:p w14:paraId="1A28FB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Вашим письмом сообщаю, что Наркомавиапром согласен принять для постановки на производство самолетный обнаружитель локаторов "СОЛ-3" разработки НИИ ВВС в количестве 300 штук и 30 штук локаторов к ним, а также 100 штук усилительных релейных установок.</w:t>
      </w:r>
    </w:p>
    <w:p w14:paraId="3152EE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того, что указанное производство предполагается поставить на заводе N 283 в г. Ленинграде, для чего необходимо оснастить завод первоначальным оборудованием и рабочими кадрами - эти приборы могут быть изготовлены только в третьем квартале.</w:t>
      </w:r>
    </w:p>
    <w:p w14:paraId="558B18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об оформлении соответствующего договора с заводом N 283 и ЦКБ-17, которому поручена разработка рабочих чертежей (1879).</w:t>
      </w:r>
    </w:p>
    <w:p w14:paraId="5428D265" w14:textId="77777777" w:rsidR="00665165" w:rsidRPr="00F90EAE" w:rsidRDefault="00665165" w:rsidP="00F90EAE">
      <w:pPr>
        <w:autoSpaceDE w:val="0"/>
        <w:autoSpaceDN w:val="0"/>
        <w:adjustRightInd w:val="0"/>
        <w:jc w:val="both"/>
        <w:rPr>
          <w:color w:val="000000" w:themeColor="text1"/>
          <w:sz w:val="16"/>
          <w:szCs w:val="16"/>
        </w:rPr>
      </w:pPr>
    </w:p>
    <w:p w14:paraId="3D1C5FE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499153E" w14:textId="77777777" w:rsidR="00665165" w:rsidRPr="00F90EAE" w:rsidRDefault="00665165" w:rsidP="00F90EAE">
      <w:pPr>
        <w:autoSpaceDE w:val="0"/>
        <w:autoSpaceDN w:val="0"/>
        <w:adjustRightInd w:val="0"/>
        <w:jc w:val="both"/>
        <w:rPr>
          <w:iCs/>
          <w:color w:val="000000" w:themeColor="text1"/>
          <w:sz w:val="16"/>
          <w:szCs w:val="16"/>
        </w:rPr>
      </w:pPr>
    </w:p>
    <w:p w14:paraId="7FD08E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период с 23 марта по 11 апреля 1945 г. один из 8 изготовленных опытный образец танка успешно прошел полигонные испытания, по результатам которых было принято решение о принятии танка на вооружение Крас</w:t>
      </w:r>
      <w:r w:rsidRPr="00F90EAE">
        <w:rPr>
          <w:color w:val="000000" w:themeColor="text1"/>
          <w:sz w:val="16"/>
          <w:szCs w:val="16"/>
        </w:rPr>
        <w:softHyphen/>
        <w:t>ной Армии и организации на ЧКЗ его серийного производства (10703).</w:t>
      </w:r>
    </w:p>
    <w:p w14:paraId="7EFB10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C7CD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 23 марта по 12 ап</w:t>
      </w:r>
      <w:r w:rsidRPr="00F90EAE">
        <w:rPr>
          <w:color w:val="000000" w:themeColor="text1"/>
          <w:sz w:val="16"/>
          <w:szCs w:val="16"/>
        </w:rPr>
        <w:softHyphen/>
        <w:t>реля 1945 г. проодили государственные испытания танка ИС-3 на НИБТ полигоне.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обкатку...(11135).</w:t>
      </w:r>
    </w:p>
    <w:p w14:paraId="0C329A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C5029A7" w14:textId="77777777" w:rsidR="00BA2B8F" w:rsidRPr="00F90EAE" w:rsidRDefault="00BA2B8F" w:rsidP="00F90EAE">
      <w:pPr>
        <w:jc w:val="both"/>
        <w:rPr>
          <w:color w:val="000000" w:themeColor="text1"/>
          <w:sz w:val="16"/>
          <w:szCs w:val="16"/>
        </w:rPr>
      </w:pPr>
      <w:r w:rsidRPr="00F90EAE">
        <w:rPr>
          <w:color w:val="000000" w:themeColor="text1"/>
          <w:sz w:val="16"/>
          <w:szCs w:val="16"/>
        </w:rPr>
        <w:t>С 23 марта по 10 апреля 1945 года на НИБТ полигоне в Кубинке проводились «Испытания катков танка Т-У на Т-34-85».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7A5AB116" w14:textId="77777777" w:rsidR="00BA2B8F" w:rsidRPr="00F90EAE" w:rsidRDefault="00BA2B8F" w:rsidP="00F90EAE">
      <w:pPr>
        <w:jc w:val="both"/>
        <w:rPr>
          <w:color w:val="000000" w:themeColor="text1"/>
          <w:sz w:val="16"/>
          <w:szCs w:val="16"/>
        </w:rPr>
      </w:pPr>
      <w:r w:rsidRPr="00F90EAE">
        <w:rPr>
          <w:color w:val="000000" w:themeColor="text1"/>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04489125" w14:textId="77777777" w:rsidR="00BA2B8F" w:rsidRPr="00F90EAE" w:rsidRDefault="00BA2B8F" w:rsidP="00F90EAE">
      <w:pPr>
        <w:jc w:val="both"/>
        <w:rPr>
          <w:color w:val="000000" w:themeColor="text1"/>
          <w:sz w:val="16"/>
          <w:szCs w:val="16"/>
        </w:rPr>
      </w:pPr>
      <w:r w:rsidRPr="00F90EAE">
        <w:rPr>
          <w:color w:val="000000" w:themeColor="text1"/>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6EF4E2C6" w14:textId="77777777" w:rsidR="00BA2B8F" w:rsidRPr="00F90EAE" w:rsidRDefault="00BA2B8F" w:rsidP="00F90EAE">
      <w:pPr>
        <w:jc w:val="both"/>
        <w:rPr>
          <w:color w:val="000000" w:themeColor="text1"/>
          <w:sz w:val="16"/>
          <w:szCs w:val="16"/>
        </w:rPr>
      </w:pPr>
    </w:p>
    <w:p w14:paraId="43ACB7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7912. О направлении Главлесоспирту при СНК СССР 950 чел., освобождающихся из заключения. РГАНИР, Фонд ГКО, д. 383, лл. 16 (11012).</w:t>
      </w:r>
    </w:p>
    <w:p w14:paraId="5414D0B9" w14:textId="77777777" w:rsidR="00665165" w:rsidRPr="00F90EAE" w:rsidRDefault="00665165" w:rsidP="00F90EAE">
      <w:pPr>
        <w:autoSpaceDE w:val="0"/>
        <w:autoSpaceDN w:val="0"/>
        <w:adjustRightInd w:val="0"/>
        <w:jc w:val="both"/>
        <w:rPr>
          <w:color w:val="000000" w:themeColor="text1"/>
          <w:sz w:val="16"/>
          <w:szCs w:val="16"/>
        </w:rPr>
      </w:pPr>
    </w:p>
    <w:p w14:paraId="3D983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7913. О Криворожском складе взрывчатых веществ НКЧМ. РГАНИР, Фонд ГКО, д. 383, лл. 17 (11012).</w:t>
      </w:r>
    </w:p>
    <w:p w14:paraId="136DD38A" w14:textId="77777777" w:rsidR="00665165" w:rsidRPr="00F90EAE" w:rsidRDefault="00665165" w:rsidP="00F90EAE">
      <w:pPr>
        <w:autoSpaceDE w:val="0"/>
        <w:autoSpaceDN w:val="0"/>
        <w:adjustRightInd w:val="0"/>
        <w:jc w:val="both"/>
        <w:rPr>
          <w:color w:val="000000" w:themeColor="text1"/>
          <w:sz w:val="16"/>
          <w:szCs w:val="16"/>
        </w:rPr>
      </w:pPr>
    </w:p>
    <w:p w14:paraId="77590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7914. О мерах по обеспечению строительства ТЭЦ Закавказского металлургического завода. РГАНИР, Фонд ГКО, д. 383, лл. 18 (11012).</w:t>
      </w:r>
    </w:p>
    <w:p w14:paraId="2EA06F5A" w14:textId="77777777" w:rsidR="00665165" w:rsidRPr="00F90EAE" w:rsidRDefault="00665165" w:rsidP="00F90EAE">
      <w:pPr>
        <w:autoSpaceDE w:val="0"/>
        <w:autoSpaceDN w:val="0"/>
        <w:adjustRightInd w:val="0"/>
        <w:jc w:val="both"/>
        <w:rPr>
          <w:color w:val="000000" w:themeColor="text1"/>
          <w:sz w:val="16"/>
          <w:szCs w:val="16"/>
        </w:rPr>
      </w:pPr>
    </w:p>
    <w:p w14:paraId="5BDCA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7915. О мерах неотложной помощи НКСП в восстановлении заводов № 444 и 445. РГАНИР, Фонд ГКО, д. 383, лл. 19-20 (11012).</w:t>
      </w:r>
    </w:p>
    <w:p w14:paraId="3A91C7C1" w14:textId="77777777" w:rsidR="00665165" w:rsidRPr="00F90EAE" w:rsidRDefault="00665165" w:rsidP="00F90EAE">
      <w:pPr>
        <w:autoSpaceDE w:val="0"/>
        <w:autoSpaceDN w:val="0"/>
        <w:adjustRightInd w:val="0"/>
        <w:jc w:val="both"/>
        <w:rPr>
          <w:color w:val="000000" w:themeColor="text1"/>
          <w:sz w:val="16"/>
          <w:szCs w:val="16"/>
        </w:rPr>
      </w:pPr>
    </w:p>
    <w:p w14:paraId="05A9065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7916 [О дополнительном выделении бензина НКздраву УССР в марте 1945 г.] (7318, 21).</w:t>
      </w:r>
    </w:p>
    <w:p w14:paraId="406404A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1443F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7917 [О мерах по обеспечению пуска дополнительных мощностей по алюминию на Сталинском алюминиевом заводе.] (7318, 22-24).</w:t>
      </w:r>
    </w:p>
    <w:p w14:paraId="1C80B39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75DB8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7918 [О дополнительном выделении угля для Челябметаллургстроя НКВД в марте 1945 г.] (7318, 25).</w:t>
      </w:r>
    </w:p>
    <w:p w14:paraId="1472BA2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5D5A2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Распоряжение ГКО № 7919 [О реэвакуации Ленинградского государственного оптического института из г. Йошкар-Ола.] (7318, 26).</w:t>
      </w:r>
    </w:p>
    <w:p w14:paraId="6857F25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F8D69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Постановление ГКО № 7920 Об увеличении численности войск правительственной связи НКВД СССР. (7318, 27).</w:t>
      </w:r>
    </w:p>
    <w:p w14:paraId="354D10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8777C0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Постановление ГКО № 7921 Об организации научно-технического совета в НКПС. (7318, 28-30).</w:t>
      </w:r>
    </w:p>
    <w:p w14:paraId="4ADE879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60389C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Постановление ГКО № 7922 Об использовании водных путей сообщения на занятой территории Германии для нужд Красной Армии и Войска Польского. (7318, 31-35).</w:t>
      </w:r>
    </w:p>
    <w:p w14:paraId="60C9C22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7294B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вышло Постановление ГКО № 7923 О завозе хлопка-волокна на предприятия Наркомтекстиля СССР в навигацию 1945 г. РГАНИР, Фонд ГКО, д. 383, лл. 36-40, 41-43 (11012).</w:t>
      </w:r>
    </w:p>
    <w:p w14:paraId="46379E60" w14:textId="77777777" w:rsidR="00665165" w:rsidRPr="00F90EAE" w:rsidRDefault="00665165" w:rsidP="00F90EAE">
      <w:pPr>
        <w:autoSpaceDE w:val="0"/>
        <w:autoSpaceDN w:val="0"/>
        <w:adjustRightInd w:val="0"/>
        <w:jc w:val="both"/>
        <w:rPr>
          <w:color w:val="000000" w:themeColor="text1"/>
          <w:sz w:val="16"/>
          <w:szCs w:val="16"/>
        </w:rPr>
      </w:pPr>
    </w:p>
    <w:p w14:paraId="5EC3AC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вышло Постановление ГКО № 7924 Об усилении пропускной способности Карагандинской железной дороги. (7318, 44-51,52-63).</w:t>
      </w:r>
    </w:p>
    <w:p w14:paraId="13BBC75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5DB2F5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4B41B88" w14:textId="77777777" w:rsidR="00665165" w:rsidRPr="00F90EAE" w:rsidRDefault="00665165" w:rsidP="00F90EAE">
      <w:pPr>
        <w:autoSpaceDE w:val="0"/>
        <w:autoSpaceDN w:val="0"/>
        <w:adjustRightInd w:val="0"/>
        <w:jc w:val="both"/>
        <w:rPr>
          <w:iCs/>
          <w:color w:val="000000" w:themeColor="text1"/>
          <w:sz w:val="16"/>
          <w:szCs w:val="16"/>
        </w:rPr>
      </w:pPr>
    </w:p>
    <w:p w14:paraId="6C912511"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оперативная сводка Совинформбюро:</w:t>
      </w:r>
    </w:p>
    <w:p w14:paraId="1747F643" w14:textId="77777777" w:rsidR="00450976" w:rsidRPr="00F90EAE" w:rsidRDefault="00450976" w:rsidP="00F90EAE">
      <w:pPr>
        <w:jc w:val="both"/>
        <w:rPr>
          <w:color w:val="000000" w:themeColor="text1"/>
          <w:sz w:val="16"/>
          <w:szCs w:val="16"/>
        </w:rPr>
      </w:pPr>
      <w:r w:rsidRPr="00F90EAE">
        <w:rPr>
          <w:color w:val="000000" w:themeColor="text1"/>
          <w:sz w:val="16"/>
          <w:szCs w:val="16"/>
        </w:rPr>
        <w:t>«В течение 23 марта войска 3-го Белорусского фронта продолжали бои по уничтожению группы войск немцев на побережье залива Фриш-Гаф в районе Хайлигенбайль. За 22 марта в этом районе войска фронта взяли в плен 1.600 немецких солдат и офицеров.</w:t>
      </w:r>
    </w:p>
    <w:p w14:paraId="3EBF3032" w14:textId="77777777" w:rsidR="00450976" w:rsidRPr="00F90EAE" w:rsidRDefault="00450976"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на Данцигском направлении, овладели городом Цоппот и вышли на побережье Данцигской бухты между Гдыней и Данцигом, разрезав тем самым группировку немцев на две части, а также заняли населённые пункты Артшау, Гросс Белькау, Леблау, Шеферай, Шмирау, Мариенталь, Штайнфлис, Штолценфельс, Гренцфлис, Колибкен. В боях за 22 марта войска фронта взяли в плен более 1.000 немецких солдат и офицеров.</w:t>
      </w:r>
    </w:p>
    <w:p w14:paraId="47A8CF6C" w14:textId="77777777" w:rsidR="00450976" w:rsidRPr="00F90EAE" w:rsidRDefault="00450976" w:rsidP="00F90EAE">
      <w:pPr>
        <w:jc w:val="both"/>
        <w:rPr>
          <w:color w:val="000000" w:themeColor="text1"/>
          <w:sz w:val="16"/>
          <w:szCs w:val="16"/>
        </w:rPr>
      </w:pPr>
      <w:r w:rsidRPr="00F90EAE">
        <w:rPr>
          <w:color w:val="000000" w:themeColor="text1"/>
          <w:sz w:val="16"/>
          <w:szCs w:val="16"/>
        </w:rPr>
        <w:t>В Силезии северо-западнее Ратибора наши войска в результате наступательных боёв, овладели городом Ернау и заняли населённые пункты Хейдерсдорф, Линден-Дорф, Опперсдорф, Ригерсдорф, Вакенау, Крешендорф, Шлегенберг, Баде-Витц, Нойдорф, Хондорф. За 22 марта войска 1-го Украинского фронта взяли в плен более 1.600 немецких солдат и офицеров.</w:t>
      </w:r>
    </w:p>
    <w:p w14:paraId="322A333C" w14:textId="77777777" w:rsidR="00450976" w:rsidRPr="00F90EAE" w:rsidRDefault="00450976" w:rsidP="00F90EAE">
      <w:pPr>
        <w:jc w:val="both"/>
        <w:rPr>
          <w:color w:val="000000" w:themeColor="text1"/>
          <w:sz w:val="16"/>
          <w:szCs w:val="16"/>
        </w:rPr>
      </w:pPr>
      <w:r w:rsidRPr="00F90EAE">
        <w:rPr>
          <w:color w:val="000000" w:themeColor="text1"/>
          <w:sz w:val="16"/>
          <w:szCs w:val="16"/>
        </w:rPr>
        <w:t>За 22 марта на всех фронтах подбито и уничтожено 156 немецких танков. В воздушных боях и огнём зенитной артиллерии сбито 149 самолётов противника.</w:t>
      </w:r>
    </w:p>
    <w:p w14:paraId="17FC45D6" w14:textId="77777777" w:rsidR="00450976" w:rsidRPr="00F90EAE" w:rsidRDefault="00450976" w:rsidP="00F90EAE">
      <w:pPr>
        <w:jc w:val="both"/>
        <w:rPr>
          <w:color w:val="000000" w:themeColor="text1"/>
          <w:sz w:val="16"/>
          <w:szCs w:val="16"/>
        </w:rPr>
      </w:pPr>
      <w:r w:rsidRPr="00F90EAE">
        <w:rPr>
          <w:color w:val="000000" w:themeColor="text1"/>
          <w:sz w:val="16"/>
          <w:szCs w:val="16"/>
        </w:rPr>
        <w:t>Налёты нашей авиации на Данциг, Моравска Острава и Папа</w:t>
      </w:r>
    </w:p>
    <w:p w14:paraId="440FEFB2" w14:textId="77777777" w:rsidR="00450976" w:rsidRPr="00F90EAE" w:rsidRDefault="00450976" w:rsidP="00F90EAE">
      <w:pPr>
        <w:jc w:val="both"/>
        <w:rPr>
          <w:color w:val="000000" w:themeColor="text1"/>
          <w:sz w:val="16"/>
          <w:szCs w:val="16"/>
        </w:rPr>
      </w:pPr>
      <w:r w:rsidRPr="00F90EAE">
        <w:rPr>
          <w:color w:val="000000" w:themeColor="text1"/>
          <w:sz w:val="16"/>
          <w:szCs w:val="16"/>
        </w:rPr>
        <w:t>В ночь на 23 марта наши тяжёлые бомбардировщики нанесли удары по железнодорожному узлу и порту Данциг, железнодорожным узлам Моравска Острава (в Чехословакии) и Папа (в Венгрии).</w:t>
      </w:r>
    </w:p>
    <w:p w14:paraId="326B480C" w14:textId="77777777" w:rsidR="00450976" w:rsidRPr="00F90EAE" w:rsidRDefault="00450976" w:rsidP="00F90EAE">
      <w:pPr>
        <w:jc w:val="both"/>
        <w:rPr>
          <w:color w:val="000000" w:themeColor="text1"/>
          <w:sz w:val="16"/>
          <w:szCs w:val="16"/>
        </w:rPr>
      </w:pPr>
      <w:r w:rsidRPr="00F90EAE">
        <w:rPr>
          <w:color w:val="000000" w:themeColor="text1"/>
          <w:sz w:val="16"/>
          <w:szCs w:val="16"/>
        </w:rPr>
        <w:t>В результате бомбардировки на территории железнодорожного узла и в порту Данциг возникло свыше 30 пожаров, сопровождавшихся взрывами большой силы.</w:t>
      </w:r>
    </w:p>
    <w:p w14:paraId="58B7B9AB" w14:textId="77777777" w:rsidR="00450976" w:rsidRPr="00F90EAE" w:rsidRDefault="00450976" w:rsidP="00F90EAE">
      <w:pPr>
        <w:jc w:val="both"/>
        <w:rPr>
          <w:color w:val="000000" w:themeColor="text1"/>
          <w:sz w:val="16"/>
          <w:szCs w:val="16"/>
        </w:rPr>
      </w:pPr>
      <w:r w:rsidRPr="00F90EAE">
        <w:rPr>
          <w:color w:val="000000" w:themeColor="text1"/>
          <w:sz w:val="16"/>
          <w:szCs w:val="16"/>
        </w:rPr>
        <w:t>На железнодорожном узле Моравска Острава отмечены пожары и взрывы среди немецких воинских эшелонов.</w:t>
      </w:r>
    </w:p>
    <w:p w14:paraId="1B5AAFA3" w14:textId="77777777" w:rsidR="00450976" w:rsidRPr="00F90EAE" w:rsidRDefault="00450976" w:rsidP="00F90EAE">
      <w:pPr>
        <w:jc w:val="both"/>
        <w:rPr>
          <w:color w:val="000000" w:themeColor="text1"/>
          <w:sz w:val="16"/>
          <w:szCs w:val="16"/>
        </w:rPr>
      </w:pPr>
      <w:r w:rsidRPr="00F90EAE">
        <w:rPr>
          <w:color w:val="000000" w:themeColor="text1"/>
          <w:sz w:val="16"/>
          <w:szCs w:val="16"/>
        </w:rPr>
        <w:t>На железнодорожном узле Папа прямым попаданием бомб в пакгаузы и склады горючего вызваны крупные пожары. К рассвету город и железнодорожный узел были окутаны сплошным чёрным дымом.</w:t>
      </w:r>
    </w:p>
    <w:p w14:paraId="0110C3E1" w14:textId="77777777" w:rsidR="00450976" w:rsidRPr="00F90EAE" w:rsidRDefault="00450976" w:rsidP="00F90EAE">
      <w:pPr>
        <w:jc w:val="both"/>
        <w:rPr>
          <w:color w:val="000000" w:themeColor="text1"/>
          <w:sz w:val="16"/>
          <w:szCs w:val="16"/>
        </w:rPr>
      </w:pPr>
      <w:r w:rsidRPr="00F90EAE">
        <w:rPr>
          <w:color w:val="000000" w:themeColor="text1"/>
          <w:sz w:val="16"/>
          <w:szCs w:val="16"/>
        </w:rPr>
        <w:t>Войска 3-го Белорусского фронта продолжали бои по ликвидации группы немецких войск, прижатых к заливу Фриш-Гаф в районе города Хайлигенбайль. Противник отчаянно сопротивляется, но под ударами советских частей оставляет одну позицию за другой. В траншеях и на дорогах лежат тысячи вражеских трупов. За день боёв уничтожено 32 немецких танка и самоходных орудия, 60 полевых орудий и несколько сот автомашин. Огнём нашей артиллерии в заливе Фриш-Гаф разбито 10 барж. Кроме того, 7 барж противника потоплено советскими лётчиками.</w:t>
      </w:r>
    </w:p>
    <w:p w14:paraId="7B374309" w14:textId="77777777" w:rsidR="00450976" w:rsidRPr="00F90EAE" w:rsidRDefault="00450976" w:rsidP="00F90EAE">
      <w:pPr>
        <w:jc w:val="both"/>
        <w:rPr>
          <w:color w:val="000000" w:themeColor="text1"/>
          <w:sz w:val="16"/>
          <w:szCs w:val="16"/>
        </w:rPr>
      </w:pPr>
      <w:r w:rsidRPr="00F90EAE">
        <w:rPr>
          <w:color w:val="000000" w:themeColor="text1"/>
          <w:sz w:val="16"/>
          <w:szCs w:val="16"/>
        </w:rPr>
        <w:t>Пленные сообщают, что по приказу немецкого командования за последние дни расстреляно большое количество солдат за самовольное оставление позиций и попытки сдаться в плен. Тем не менее число вражеских солдат и офицеров, добровольно сдающихся в плен, продолжает увеличиваться. На одном участке на сторону Красной Армии перешла большая группа артиллеристов 150-го немецкого артиллерийского полка. Пленные сдали советским бойцам несколько орудий.</w:t>
      </w:r>
    </w:p>
    <w:p w14:paraId="1213A83C" w14:textId="77777777" w:rsidR="00450976" w:rsidRPr="00F90EAE" w:rsidRDefault="00450976" w:rsidP="00F90EAE">
      <w:pPr>
        <w:jc w:val="both"/>
        <w:rPr>
          <w:color w:val="000000" w:themeColor="text1"/>
          <w:sz w:val="16"/>
          <w:szCs w:val="16"/>
        </w:rPr>
      </w:pPr>
      <w:r w:rsidRPr="00F90EAE">
        <w:rPr>
          <w:color w:val="000000" w:themeColor="text1"/>
          <w:sz w:val="16"/>
          <w:szCs w:val="16"/>
        </w:rPr>
        <w:t>На Данцигском направлении наши войска продолжали наступление. Советские пехотинцы и артиллеристы при активной поддержке авиации взламывают укрепления данцигско-гдынского внешнего оборонительного обвода. Ожесточённые бои происходили сегодня северо-западнее Данцига. Немцы, опираясь на мощную полосу обороны, оказывали яростное сопротивление. Они стремились во что бы то ни стало не допустить наши войска к побережью Даицигской бухты. В течение дня было отбито десять контратак пехоты и танков противника, поддержанных сильным огнём корабельной и береговой артиллерии. Наши пехотинцы и танкисты стремительным ударом преодолели несколько линий траншей, а также противотанковые рвы и прорвались к побережью Данцигской бухты. Таким образом, прибрежные железная и шоссейная дороги Данциг— Гдыня перерезаны советскими войсками, а вражеская группа войск расчленена на две изолированные друг от друга части. Затем наши войска нанесли удар в южном направлении и ворвались на северную окраину города Цоппот. Другие наши части, сломив сопротивление немцев, подошли к городу с запада. В результате ожесточённых уличных боёв немецкий гарнизон был разгромлён и город Цоппот очищен от противника. Цопнот, важный опорный пункт обороны немцев на побережье Данцигской бухты, расположен в 5 километрах к северу от Данцига.</w:t>
      </w:r>
    </w:p>
    <w:p w14:paraId="1729BD79" w14:textId="77777777" w:rsidR="00450976" w:rsidRPr="00F90EAE" w:rsidRDefault="00450976" w:rsidP="00F90EAE">
      <w:pPr>
        <w:jc w:val="both"/>
        <w:rPr>
          <w:color w:val="000000" w:themeColor="text1"/>
          <w:sz w:val="16"/>
          <w:szCs w:val="16"/>
        </w:rPr>
      </w:pPr>
      <w:r w:rsidRPr="00F90EAE">
        <w:rPr>
          <w:color w:val="000000" w:themeColor="text1"/>
          <w:sz w:val="16"/>
          <w:szCs w:val="16"/>
        </w:rPr>
        <w:t>В ходе боёв противник несёт тяжёлые потери. В течение дня наши войска уничтожили более 4 тысяч немецких солдат и офицеров. На дорогах и в населённых пунктах валяется много разбитых орудий, миномётов, пулемётов и другого вооружения противника.</w:t>
      </w:r>
    </w:p>
    <w:p w14:paraId="37567CDC" w14:textId="77777777" w:rsidR="00450976" w:rsidRPr="00F90EAE" w:rsidRDefault="00450976" w:rsidP="00F90EAE">
      <w:pPr>
        <w:jc w:val="both"/>
        <w:rPr>
          <w:color w:val="000000" w:themeColor="text1"/>
          <w:sz w:val="16"/>
          <w:szCs w:val="16"/>
        </w:rPr>
      </w:pPr>
      <w:r w:rsidRPr="00F90EAE">
        <w:rPr>
          <w:color w:val="000000" w:themeColor="text1"/>
          <w:sz w:val="16"/>
          <w:szCs w:val="16"/>
        </w:rPr>
        <w:t>В Данцигской бухте находится значительное число транспортов, барж и других немецких судов. Советские лётчики потопили три корабля, катер и взорвали большой транспорт. Отмечены прямые попадания бомб в другие суда противника. В воздушных боях и огнём зенитной артиллерии сбит 31 немецкий самолёт.</w:t>
      </w:r>
    </w:p>
    <w:p w14:paraId="0C00DCB7" w14:textId="77777777" w:rsidR="00450976" w:rsidRPr="00F90EAE" w:rsidRDefault="00450976" w:rsidP="00F90EAE">
      <w:pPr>
        <w:jc w:val="both"/>
        <w:rPr>
          <w:color w:val="000000" w:themeColor="text1"/>
          <w:sz w:val="16"/>
          <w:szCs w:val="16"/>
        </w:rPr>
      </w:pPr>
      <w:r w:rsidRPr="00F90EAE">
        <w:rPr>
          <w:color w:val="000000" w:themeColor="text1"/>
          <w:sz w:val="16"/>
          <w:szCs w:val="16"/>
        </w:rPr>
        <w:lastRenderedPageBreak/>
        <w:t>В Силезии северо-западнее города Ратибор наши войска, преодолев сопротивление немцев, заняли узел шоссейных дорог Вакенау. Другие наши части овладели населённым пунктом Крешендорф, расположенным у границы Германии с Чехословакией. Ударами советских пехотинцев и танкистов противник выбит из города Ернау — узла трёх железных и нескольких шоссейных дорог. В бою за Ернау Н-ская гвардейская танковая часть разгромила до батальона гитлеровцев. Танкисты взяли в плен более 100 эсэсовцев. Взвод автоматчиков лейтенанта Карпова стремительно ворвался в траншеи противника и уничтожил несколько десятков гитлеровцев. На подступах к одному селению наша пехота попала под сильный пулемётный огонь и была вынуждена залечь. Гвардии сержант Дорошенко скрытно подобрался к немецкому пулемёту и гранатами уничтожил его вместе с расчётом. Наши бойцы поднялись в атаку и выбили противника из населённого пункта.</w:t>
      </w:r>
    </w:p>
    <w:p w14:paraId="18201553" w14:textId="77777777" w:rsidR="00450976" w:rsidRPr="00F90EAE" w:rsidRDefault="00450976" w:rsidP="00F90EAE">
      <w:pPr>
        <w:jc w:val="both"/>
        <w:rPr>
          <w:color w:val="000000" w:themeColor="text1"/>
          <w:sz w:val="16"/>
          <w:szCs w:val="16"/>
        </w:rPr>
      </w:pPr>
      <w:r w:rsidRPr="00F90EAE">
        <w:rPr>
          <w:color w:val="000000" w:themeColor="text1"/>
          <w:sz w:val="16"/>
          <w:szCs w:val="16"/>
        </w:rPr>
        <w:t>Сегодня днём наша авиация бомбардировала войска противника в города Бреслау. В результате бомбардировки возникли пожары и произошло 9 сильных взрывов.</w:t>
      </w:r>
    </w:p>
    <w:p w14:paraId="21DED783" w14:textId="77777777" w:rsidR="00450976" w:rsidRPr="00F90EAE" w:rsidRDefault="00450976" w:rsidP="00F90EAE">
      <w:pPr>
        <w:jc w:val="both"/>
        <w:rPr>
          <w:color w:val="000000" w:themeColor="text1"/>
          <w:sz w:val="16"/>
          <w:szCs w:val="16"/>
        </w:rPr>
      </w:pPr>
      <w:r w:rsidRPr="00F90EAE">
        <w:rPr>
          <w:color w:val="000000" w:themeColor="text1"/>
          <w:sz w:val="16"/>
          <w:szCs w:val="16"/>
        </w:rPr>
        <w:t>На подступах к Бреслау огнём нашей зенитной артиллерии сбито 7 немецких транспортных самолётов.» (15077).</w:t>
      </w:r>
    </w:p>
    <w:p w14:paraId="7CFE8591" w14:textId="77777777" w:rsidR="00450976" w:rsidRPr="00F90EAE" w:rsidRDefault="00450976" w:rsidP="00F90EAE">
      <w:pPr>
        <w:jc w:val="both"/>
        <w:rPr>
          <w:color w:val="000000" w:themeColor="text1"/>
          <w:sz w:val="16"/>
          <w:szCs w:val="16"/>
        </w:rPr>
      </w:pPr>
    </w:p>
    <w:p w14:paraId="4B570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года два А-20 из 36-го МТАП (командир, Герой Советского Союза, капитан В.П) совершили одну из последних атак североморской авиации. Это были два налета на немецкие подлодки (2691).</w:t>
      </w:r>
    </w:p>
    <w:p w14:paraId="64F6CDEA" w14:textId="77777777" w:rsidR="00665165" w:rsidRPr="00F90EAE" w:rsidRDefault="00665165" w:rsidP="00F90EAE">
      <w:pPr>
        <w:autoSpaceDE w:val="0"/>
        <w:autoSpaceDN w:val="0"/>
        <w:adjustRightInd w:val="0"/>
        <w:jc w:val="both"/>
        <w:rPr>
          <w:color w:val="000000" w:themeColor="text1"/>
          <w:sz w:val="16"/>
          <w:szCs w:val="16"/>
        </w:rPr>
      </w:pPr>
    </w:p>
    <w:p w14:paraId="6B467DF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23 марта 1945 3 Чехословацкий шап был признан годным для участия в боевых действиях. ОднаконачалисьучебныеполетыпоиспользованиюРС</w:t>
      </w:r>
      <w:r w:rsidRPr="00F90EAE">
        <w:rPr>
          <w:color w:val="000000" w:themeColor="text1"/>
          <w:sz w:val="16"/>
          <w:szCs w:val="16"/>
          <w:lang w:val="en-US"/>
        </w:rPr>
        <w:t xml:space="preserve"> (241,39).</w:t>
      </w:r>
    </w:p>
    <w:p w14:paraId="0A5C805F" w14:textId="77777777" w:rsidR="00665165" w:rsidRPr="00F90EAE" w:rsidRDefault="00665165" w:rsidP="00F90EAE">
      <w:pPr>
        <w:autoSpaceDE w:val="0"/>
        <w:autoSpaceDN w:val="0"/>
        <w:adjustRightInd w:val="0"/>
        <w:jc w:val="both"/>
        <w:rPr>
          <w:color w:val="000000" w:themeColor="text1"/>
          <w:sz w:val="16"/>
          <w:szCs w:val="16"/>
          <w:lang w:val="en-US"/>
        </w:rPr>
      </w:pPr>
    </w:p>
    <w:p w14:paraId="19B5832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23rd, 1945: The Red Army reaches the outskirts of Danzig and Gotenhafen. The RAF launches a devastating raid (300 bombers) against Hildesheim near Hannover, a small city of little military and industrial importance (3819).</w:t>
      </w:r>
    </w:p>
    <w:p w14:paraId="6375ED79" w14:textId="77777777" w:rsidR="00665165" w:rsidRPr="00F90EAE" w:rsidRDefault="00665165" w:rsidP="00F90EAE">
      <w:pPr>
        <w:autoSpaceDE w:val="0"/>
        <w:autoSpaceDN w:val="0"/>
        <w:adjustRightInd w:val="0"/>
        <w:jc w:val="both"/>
        <w:rPr>
          <w:color w:val="000000" w:themeColor="text1"/>
          <w:sz w:val="16"/>
          <w:szCs w:val="16"/>
          <w:lang w:val="en-US"/>
        </w:rPr>
      </w:pPr>
    </w:p>
    <w:p w14:paraId="3E2427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КА достигла окрестностей Данцига и Готтенхаффена. Королевские ВВС выполнили разрушительный налет (300 б) на Хильдесхайм у Ганновера, маленький город, не имеющий промышленного и военного значение (3819).</w:t>
      </w:r>
    </w:p>
    <w:p w14:paraId="0C0D4774" w14:textId="77777777" w:rsidR="00665165" w:rsidRPr="00F90EAE" w:rsidRDefault="00665165" w:rsidP="00F90EAE">
      <w:pPr>
        <w:autoSpaceDE w:val="0"/>
        <w:autoSpaceDN w:val="0"/>
        <w:adjustRightInd w:val="0"/>
        <w:jc w:val="both"/>
        <w:rPr>
          <w:color w:val="000000" w:themeColor="text1"/>
          <w:sz w:val="16"/>
          <w:szCs w:val="16"/>
        </w:rPr>
      </w:pPr>
    </w:p>
    <w:p w14:paraId="747AE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года на дно отправился тральщик М 1303 и патрульный корабль (2691).</w:t>
      </w:r>
    </w:p>
    <w:p w14:paraId="29CB5647" w14:textId="77777777" w:rsidR="00665165" w:rsidRPr="00F90EAE" w:rsidRDefault="00665165" w:rsidP="00F90EAE">
      <w:pPr>
        <w:autoSpaceDE w:val="0"/>
        <w:autoSpaceDN w:val="0"/>
        <w:adjustRightInd w:val="0"/>
        <w:jc w:val="both"/>
        <w:rPr>
          <w:color w:val="000000" w:themeColor="text1"/>
          <w:sz w:val="16"/>
          <w:szCs w:val="16"/>
        </w:rPr>
      </w:pPr>
    </w:p>
    <w:p w14:paraId="78B9AFA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6941C38" w14:textId="77777777" w:rsidR="00665165" w:rsidRPr="00F90EAE" w:rsidRDefault="00665165" w:rsidP="00F90EAE">
      <w:pPr>
        <w:autoSpaceDE w:val="0"/>
        <w:autoSpaceDN w:val="0"/>
        <w:adjustRightInd w:val="0"/>
        <w:jc w:val="both"/>
        <w:rPr>
          <w:iCs/>
          <w:color w:val="000000" w:themeColor="text1"/>
          <w:sz w:val="16"/>
          <w:szCs w:val="16"/>
        </w:rPr>
      </w:pPr>
    </w:p>
    <w:p w14:paraId="7B0B4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года</w:t>
      </w:r>
    </w:p>
    <w:p w14:paraId="7B3E1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ЛИЧНО И СЕКРЕТНО ОТ ПРЕМЬЕРА И. В. СТАЛИНА ПРЕМЬЕР-МИНИСТРУ г-ну У. ЧЕРЧИЛЛЮ</w:t>
      </w:r>
    </w:p>
    <w:p w14:paraId="17BAE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Получил Ваши послания.</w:t>
      </w:r>
    </w:p>
    <w:p w14:paraId="77EA3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британских военнопленных, то у Вас нет оснований беспокоиться о них. Они находятся в лучших условиях, чем находились советские военнопленные в английских лагерях, где они в ряде случаев подвергались притеснениям вплоть до побоев. Кроме того, их нет уже в наших лагерях — они находятся на пути в Одессу для поездки на родину.</w:t>
      </w:r>
    </w:p>
    <w:p w14:paraId="6E6D44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Благодарю Вас за информацию о положении на западном фронте. Я верю в полководческий талант фельдмаршала Монтгомери (7430).</w:t>
      </w:r>
    </w:p>
    <w:p w14:paraId="70F30C41" w14:textId="77777777" w:rsidR="00665165" w:rsidRPr="00F90EAE" w:rsidRDefault="00665165" w:rsidP="00F90EAE">
      <w:pPr>
        <w:autoSpaceDE w:val="0"/>
        <w:autoSpaceDN w:val="0"/>
        <w:adjustRightInd w:val="0"/>
        <w:jc w:val="both"/>
        <w:rPr>
          <w:color w:val="000000" w:themeColor="text1"/>
          <w:sz w:val="16"/>
          <w:szCs w:val="16"/>
        </w:rPr>
      </w:pPr>
    </w:p>
    <w:p w14:paraId="372A14B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469C177" w14:textId="77777777" w:rsidR="00665165" w:rsidRPr="00F90EAE" w:rsidRDefault="00665165" w:rsidP="00F90EAE">
      <w:pPr>
        <w:autoSpaceDE w:val="0"/>
        <w:autoSpaceDN w:val="0"/>
        <w:adjustRightInd w:val="0"/>
        <w:jc w:val="both"/>
        <w:rPr>
          <w:iCs/>
          <w:color w:val="000000" w:themeColor="text1"/>
          <w:sz w:val="16"/>
          <w:szCs w:val="16"/>
        </w:rPr>
      </w:pPr>
    </w:p>
    <w:p w14:paraId="482FDE47"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ночью, немцами была проведена последняя операция с использованием легких десантных планеров </w:t>
      </w:r>
      <w:hyperlink r:id="rId76" w:tgtFrame="_blank" w:history="1">
        <w:r w:rsidRPr="00F90EAE">
          <w:rPr>
            <w:color w:val="000000" w:themeColor="text1"/>
            <w:sz w:val="16"/>
            <w:szCs w:val="16"/>
          </w:rPr>
          <w:t xml:space="preserve">«DFS.230», </w:t>
        </w:r>
      </w:hyperlink>
      <w:r w:rsidRPr="00F90EAE">
        <w:rPr>
          <w:color w:val="000000" w:themeColor="text1"/>
          <w:sz w:val="16"/>
          <w:szCs w:val="16"/>
        </w:rPr>
        <w:t>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 мм. Hо даже в разобранном 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Конструкция «DFS.230» была совершенно обычной. Крыло c одним лонжероном примерно по трети хорды, с деревянной обшивкой до него и тканевой за ним. Элероны с триммером также с тканевой обшивкой. Крыло с подкосами из легкого сплава. Фюзеляж квадратного сечения сварен из стальных труб и обшит тканью. Снизу шла мощная балка, поглощавшая нагрузки от подрессоренной посадочной лыжи. Было предусмотрено двойное управление. Hа силовой балке сидели пилот и еще девять человек. Так как максимальный полетный вес был 2100 кг, включая 1200 кг нагрузки, то кроме 10 человек планер мог поднять еще 270 кг груза. В задней части кабины слева был грузовой люк. Загрузка могла происходить и через снимаемую панель под крылом справа. Для взлета использовалась двухколесная тележка, сбрасываемая после отрыва. С полной нагрузкой планер демонстрировал аэродинамическое качество 18. Все первые полеты проводились на буксире за «Ju.52», но потом в качестве буксировщика испытывались и другие самолеты, включая «Hе.46», «Hs.126» и «Ju.87b». Hесколько полетов были совершены с использованием в качестве буксировщиков тренировочных бипланов «Hе.72» "Кадет". Рассматривались и варианты с заменой гибкого троса на жесткий буксир. При этом «DFS.230» крепился за нос с помощью 1.5-м жесткого сцепления (15077).</w:t>
      </w:r>
    </w:p>
    <w:p w14:paraId="6F6F20C8" w14:textId="77777777" w:rsidR="00450976" w:rsidRPr="00F90EAE" w:rsidRDefault="00450976" w:rsidP="00F90EAE">
      <w:pPr>
        <w:jc w:val="both"/>
        <w:rPr>
          <w:color w:val="000000" w:themeColor="text1"/>
          <w:sz w:val="16"/>
          <w:szCs w:val="16"/>
        </w:rPr>
      </w:pPr>
    </w:p>
    <w:p w14:paraId="6B47E6B8" w14:textId="77777777" w:rsidR="00633902" w:rsidRPr="00F90EAE" w:rsidRDefault="00633902" w:rsidP="00F90EAE">
      <w:pPr>
        <w:jc w:val="both"/>
        <w:rPr>
          <w:color w:val="0070C0"/>
          <w:sz w:val="16"/>
          <w:szCs w:val="16"/>
        </w:rPr>
      </w:pPr>
      <w:r w:rsidRPr="00F90EAE">
        <w:rPr>
          <w:color w:val="0070C0"/>
          <w:sz w:val="16"/>
          <w:szCs w:val="16"/>
        </w:rPr>
        <w:t>23 марта 1945 - Ночью, немцами была проведена последняя операция с использованием легких десантных планеров DFS.230, когда попытались направить шесть планеров в Бреслау, который был в осаде. Через голову военного командования гауляйтер Ханке персонально радировал Борману в Рейхсканцелярию с просьбой доставить тяжелую артиллерию для противодействия советским войскам. Гитлер выделил шесть пехотных гаубиц калибром 150мм. Hо даже в разобранном виде их нельзя было перевести на Ju.52/Зm. В результате три орудия были погружены на планеры Go.242, а боеприпасы для них везли DFS.230. Один Go.242 и два DFS.230 были cбиты, но два орудия были доставлены и снабжались боеприпасами с помощью DFS.230 до самой капитуляции гарнизона (22559). </w:t>
      </w:r>
    </w:p>
    <w:p w14:paraId="406B06D2" w14:textId="77777777" w:rsidR="00633902" w:rsidRPr="00F90EAE" w:rsidRDefault="00633902" w:rsidP="00F90EAE">
      <w:pPr>
        <w:jc w:val="both"/>
        <w:rPr>
          <w:color w:val="0070C0"/>
          <w:sz w:val="16"/>
          <w:szCs w:val="16"/>
        </w:rPr>
      </w:pPr>
    </w:p>
    <w:p w14:paraId="15499471"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ВВС США объявили конкурс на создание всепогодного истребителя-бомбардировщика. В общем плане он представлялся как наследник ночного истребителя «P-61» «Black Widow» компании «Northrop», и первоначально рассматривалась конструкция с поршневым двигателем. Тем не менее, было ясно, что эра поршневых истребителей заканчивается, и в декабре 1945 г. требования были изменены - предполагалось, что силовой установкой для истребителя-бомбардировщика должны служить исключительно реактивные двигатели. Предложения поступили от нескольких компаний – «Bell», «Consolidated-Vultee», «Douglas», «Goodyear», «Northrop» и «Curtiss-Wright». Компания «Curtiss-Wright» представила "Модель 29". Модель 29 на реактивной тяге была специально сконструирована для атакующей роли, и произвела на армию достаточно благоприятное впечатление - было заказано два испытательных образца, обозначенных как «XA-43». На роль ночного истребителя на реактивной тяге компания Curtiss предложила самолет сходной конструкции, но приспособленный конкретно для работы перехватчиком. Проекту было присвоено фирменное обозначение «Модель 29А». Армия заказала два испытательных образца под обозначением </w:t>
      </w:r>
      <w:hyperlink r:id="rId77" w:tgtFrame="_blank" w:history="1">
        <w:r w:rsidRPr="00F90EAE">
          <w:rPr>
            <w:color w:val="000000" w:themeColor="text1"/>
            <w:sz w:val="16"/>
            <w:szCs w:val="16"/>
          </w:rPr>
          <w:t xml:space="preserve">«XP-87», </w:t>
        </w:r>
      </w:hyperlink>
      <w:r w:rsidRPr="00F90EAE">
        <w:rPr>
          <w:color w:val="000000" w:themeColor="text1"/>
          <w:sz w:val="16"/>
          <w:szCs w:val="16"/>
        </w:rPr>
        <w:t>и самолету было присвоено имя «Blackhawk» («Черный ястреб») (15077).</w:t>
      </w:r>
    </w:p>
    <w:p w14:paraId="42D06939" w14:textId="77777777" w:rsidR="00450976" w:rsidRPr="00F90EAE" w:rsidRDefault="00450976" w:rsidP="00F90EAE">
      <w:pPr>
        <w:jc w:val="both"/>
        <w:rPr>
          <w:color w:val="000000" w:themeColor="text1"/>
          <w:sz w:val="16"/>
          <w:szCs w:val="16"/>
        </w:rPr>
      </w:pPr>
    </w:p>
    <w:p w14:paraId="5061960F"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разбился во время взлета американский истребитель </w:t>
      </w:r>
      <w:hyperlink r:id="rId78" w:tgtFrame="_blank" w:history="1">
        <w:r w:rsidRPr="00F90EAE">
          <w:rPr>
            <w:color w:val="000000" w:themeColor="text1"/>
            <w:sz w:val="16"/>
            <w:szCs w:val="16"/>
          </w:rPr>
          <w:t xml:space="preserve">«Bell» «P-59A» «Airacomet» «YP-59A» </w:t>
        </w:r>
      </w:hyperlink>
      <w:r w:rsidRPr="00F90EAE">
        <w:rPr>
          <w:color w:val="000000" w:themeColor="text1"/>
          <w:sz w:val="16"/>
          <w:szCs w:val="16"/>
        </w:rPr>
        <w:t>с номером "10" переданый для испытаний авиации ВМФ США. Опытный "Аэрокомет" стал летающей лабораторией для отработки оборудования безпилотного полета с радиоуправлением (15077).</w:t>
      </w:r>
    </w:p>
    <w:p w14:paraId="4AC69BEF" w14:textId="77777777" w:rsidR="00450976" w:rsidRPr="00F90EAE" w:rsidRDefault="00450976" w:rsidP="00F90EAE">
      <w:pPr>
        <w:jc w:val="both"/>
        <w:rPr>
          <w:color w:val="000000" w:themeColor="text1"/>
          <w:sz w:val="16"/>
          <w:szCs w:val="16"/>
        </w:rPr>
      </w:pPr>
    </w:p>
    <w:p w14:paraId="4058F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23 марта 1945 года, когда 902-й ракетно-артиллерийский полк нанес последний ракетный удар по Антверпену, продолжалось немецкое ракетное наступление, которое начиналось с 8 сентября 1944 года.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 (11688).</w:t>
      </w:r>
    </w:p>
    <w:p w14:paraId="30B69D33" w14:textId="77777777" w:rsidR="00665165" w:rsidRPr="00F90EAE" w:rsidRDefault="00665165" w:rsidP="00F90EAE">
      <w:pPr>
        <w:autoSpaceDE w:val="0"/>
        <w:autoSpaceDN w:val="0"/>
        <w:adjustRightInd w:val="0"/>
        <w:jc w:val="both"/>
        <w:rPr>
          <w:color w:val="000000" w:themeColor="text1"/>
          <w:sz w:val="16"/>
          <w:szCs w:val="16"/>
        </w:rPr>
      </w:pPr>
    </w:p>
    <w:p w14:paraId="68B96C9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началось форсирование Рейна 21-й английской группой армий (4963 ).</w:t>
      </w:r>
    </w:p>
    <w:p w14:paraId="2C88C0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6090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23 марта по 18 апреля 1945 была Рурская операция англо-американских войск. К 1 апреля окружили 18 дивизий численностью 325 тыс., которые 18 апреля сдались (2443,84).</w:t>
      </w:r>
    </w:p>
    <w:p w14:paraId="349C780D" w14:textId="77777777" w:rsidR="00665165" w:rsidRPr="00F90EAE" w:rsidRDefault="00665165" w:rsidP="00F90EAE">
      <w:pPr>
        <w:autoSpaceDE w:val="0"/>
        <w:autoSpaceDN w:val="0"/>
        <w:adjustRightInd w:val="0"/>
        <w:jc w:val="both"/>
        <w:rPr>
          <w:color w:val="000000" w:themeColor="text1"/>
          <w:sz w:val="16"/>
          <w:szCs w:val="16"/>
        </w:rPr>
      </w:pPr>
    </w:p>
    <w:p w14:paraId="71B64DB5"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(23 марта - 17 апреля) наступление американо-английских войск в Руре (15077).</w:t>
      </w:r>
    </w:p>
    <w:p w14:paraId="79D0016D" w14:textId="77777777" w:rsidR="00450976" w:rsidRPr="00F90EAE" w:rsidRDefault="00450976" w:rsidP="00F90EAE">
      <w:pPr>
        <w:jc w:val="both"/>
        <w:rPr>
          <w:color w:val="000000" w:themeColor="text1"/>
          <w:sz w:val="16"/>
          <w:szCs w:val="16"/>
        </w:rPr>
      </w:pPr>
    </w:p>
    <w:p w14:paraId="3BD3A95C"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началась Рурская операцияю В феврале 1945 года англо-американское командование ускорило подготовку и проведение операции по выходу к реке Рейн. С форсирования этой жизненной артерии Германии в ночь с 23 на 24 марта началась Рурская операция - наступательная операция англо-американских войск во второй мировой войне в целях окружения и разгрома рурской группировки немецких войск под командованием генерала-фельдмаршала Вальтера Моделя. </w:t>
      </w:r>
      <w:r w:rsidRPr="00F90EAE">
        <w:rPr>
          <w:color w:val="000000" w:themeColor="text1"/>
          <w:sz w:val="16"/>
          <w:szCs w:val="16"/>
        </w:rPr>
        <w:lastRenderedPageBreak/>
        <w:t>К концу марта союзники вышли к Рейну на всем его протяжении. 18 апреля окруженная силами американской армии основная часть немецкой группировки войск (более 300 тысяч человек) сложила оружие (15077).</w:t>
      </w:r>
    </w:p>
    <w:p w14:paraId="42150484" w14:textId="77777777" w:rsidR="00450976" w:rsidRPr="00F90EAE" w:rsidRDefault="00450976" w:rsidP="00F90EAE">
      <w:pPr>
        <w:jc w:val="both"/>
        <w:rPr>
          <w:color w:val="000000" w:themeColor="text1"/>
          <w:sz w:val="16"/>
          <w:szCs w:val="16"/>
        </w:rPr>
      </w:pPr>
    </w:p>
    <w:p w14:paraId="3B5B0A7B"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началось форсирование Рейна 21-й английской группой армий (15077).</w:t>
      </w:r>
    </w:p>
    <w:p w14:paraId="2EADD1F3" w14:textId="77777777" w:rsidR="00450976" w:rsidRPr="00F90EAE" w:rsidRDefault="00450976" w:rsidP="00F90EAE">
      <w:pPr>
        <w:jc w:val="both"/>
        <w:rPr>
          <w:color w:val="000000" w:themeColor="text1"/>
          <w:sz w:val="16"/>
          <w:szCs w:val="16"/>
        </w:rPr>
      </w:pPr>
    </w:p>
    <w:p w14:paraId="5D5C12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марта 1945 части британской и канадской армии форсировали Рейн в районах Рееса и Везеля рядом с голландской границей (3907,256).</w:t>
      </w:r>
    </w:p>
    <w:p w14:paraId="3048F1F3" w14:textId="77777777" w:rsidR="00665165" w:rsidRPr="00F90EAE" w:rsidRDefault="00665165" w:rsidP="00F90EAE">
      <w:pPr>
        <w:autoSpaceDE w:val="0"/>
        <w:autoSpaceDN w:val="0"/>
        <w:adjustRightInd w:val="0"/>
        <w:jc w:val="both"/>
        <w:rPr>
          <w:color w:val="000000" w:themeColor="text1"/>
          <w:sz w:val="16"/>
          <w:szCs w:val="16"/>
        </w:rPr>
      </w:pPr>
    </w:p>
    <w:p w14:paraId="7976BDB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марта 1945 французское правительство генерала Де Голля объявило “ограниченное самоуправление” Индокитая (4962).</w:t>
      </w:r>
    </w:p>
    <w:p w14:paraId="5B58BF1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6A6C1D2" w14:textId="77777777" w:rsidR="00450976" w:rsidRPr="00F90EAE" w:rsidRDefault="00450976" w:rsidP="00F90EAE">
      <w:pPr>
        <w:jc w:val="both"/>
        <w:rPr>
          <w:color w:val="000000" w:themeColor="text1"/>
          <w:sz w:val="16"/>
          <w:szCs w:val="16"/>
        </w:rPr>
      </w:pPr>
      <w:r w:rsidRPr="00F90EAE">
        <w:rPr>
          <w:bCs/>
          <w:color w:val="000000" w:themeColor="text1"/>
          <w:sz w:val="16"/>
          <w:szCs w:val="16"/>
        </w:rPr>
        <w:t>23 марта</w:t>
      </w:r>
      <w:r w:rsidRPr="00F90EAE">
        <w:rPr>
          <w:color w:val="000000" w:themeColor="text1"/>
          <w:sz w:val="16"/>
          <w:szCs w:val="16"/>
        </w:rPr>
        <w:t xml:space="preserve"> в 1945 году (23-31 марта) подготовительные атаки американского подразделения «Task Force-38» и английской группы торпедоносцев на Окинаву и Рюкю. Японские камикадзе отразили эти атаки (15077).</w:t>
      </w:r>
    </w:p>
    <w:p w14:paraId="76667C8A" w14:textId="77777777" w:rsidR="00450976" w:rsidRPr="00F90EAE" w:rsidRDefault="00450976" w:rsidP="00F90EAE">
      <w:pPr>
        <w:jc w:val="both"/>
        <w:rPr>
          <w:color w:val="000000" w:themeColor="text1"/>
          <w:sz w:val="16"/>
          <w:szCs w:val="16"/>
        </w:rPr>
      </w:pPr>
    </w:p>
    <w:p w14:paraId="27FE1FDA" w14:textId="77777777" w:rsidR="00633902" w:rsidRPr="00F90EAE" w:rsidRDefault="00633902" w:rsidP="00F90EAE">
      <w:pPr>
        <w:jc w:val="both"/>
        <w:rPr>
          <w:color w:val="0070C0"/>
          <w:sz w:val="16"/>
          <w:szCs w:val="16"/>
        </w:rPr>
      </w:pPr>
      <w:r w:rsidRPr="00F90EAE">
        <w:rPr>
          <w:color w:val="0070C0"/>
          <w:sz w:val="16"/>
          <w:szCs w:val="16"/>
        </w:rPr>
        <w:t>23 марта - 1 апреля 1945 боевая группа 58 наносит удары по Окинаве и ее окрестностям (20371).</w:t>
      </w:r>
    </w:p>
    <w:p w14:paraId="5B18A711" w14:textId="77777777" w:rsidR="00633902" w:rsidRPr="00F90EAE" w:rsidRDefault="00633902" w:rsidP="00F90EAE">
      <w:pPr>
        <w:jc w:val="both"/>
        <w:rPr>
          <w:color w:val="0070C0"/>
          <w:sz w:val="16"/>
          <w:szCs w:val="16"/>
        </w:rPr>
      </w:pPr>
    </w:p>
    <w:p w14:paraId="5BCE0BD8" w14:textId="77777777" w:rsidR="00633902" w:rsidRPr="00F90EAE" w:rsidRDefault="00633902" w:rsidP="00F90EAE">
      <w:pPr>
        <w:jc w:val="both"/>
        <w:rPr>
          <w:color w:val="0070C0"/>
          <w:sz w:val="16"/>
          <w:szCs w:val="16"/>
        </w:rPr>
      </w:pPr>
      <w:r w:rsidRPr="00F90EAE">
        <w:rPr>
          <w:color w:val="0070C0"/>
          <w:sz w:val="16"/>
          <w:szCs w:val="16"/>
        </w:rPr>
        <w:t>23 марта 1945 The British ТОФ, сосредоточенный вокруг авианосцев HMS Упрямый, HMS Победоносец, HMS Прославленные и HMS Неутомимый, отходит на Atoll Улить, чтобы начать работу в качестве целевой группы 57 Пятого флота США (20371).</w:t>
      </w:r>
    </w:p>
    <w:p w14:paraId="0AA9410D" w14:textId="77777777" w:rsidR="00633902" w:rsidRPr="00F90EAE" w:rsidRDefault="00633902" w:rsidP="00F90EAE">
      <w:pPr>
        <w:jc w:val="both"/>
        <w:rPr>
          <w:color w:val="0070C0"/>
          <w:sz w:val="16"/>
          <w:szCs w:val="16"/>
        </w:rPr>
      </w:pPr>
    </w:p>
    <w:p w14:paraId="54C49FA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62DF508" w14:textId="77777777" w:rsidR="00665165" w:rsidRPr="00F90EAE" w:rsidRDefault="00665165" w:rsidP="00F90EAE">
      <w:pPr>
        <w:autoSpaceDE w:val="0"/>
        <w:autoSpaceDN w:val="0"/>
        <w:adjustRightInd w:val="0"/>
        <w:jc w:val="both"/>
        <w:rPr>
          <w:iCs/>
          <w:color w:val="000000" w:themeColor="text1"/>
          <w:sz w:val="16"/>
          <w:szCs w:val="16"/>
        </w:rPr>
      </w:pPr>
    </w:p>
    <w:p w14:paraId="7C1DF730"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24 марта 1945 г. приказом командующего 2 ВА генерал-лейтенанта С. А. Красовского № 044 была назначена государственная комиссия, которая фиксировала Официально результаты и особенности боевого применения и эксплуатации нового штурмовика Ил-10</w:t>
      </w:r>
    </w:p>
    <w:p w14:paraId="24A0F0FD"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состав комиссии вошли: командир 2 гшак Герой Советского Союза генерал-майор Слюсарев (председатель), заместитель командира 2 гшак по ИАС инженер-полковник Синеок, старший инженер по эксплуатации 2 ВА инженер -майор Даниловцев, инспектор по технике пилотирования 2 ВА майор Шляма, старший инженер 6 гшад инженер-майор Зильманович, командир 108 гшап подполковник Топилин, старший инженер 108 гшап старший техник-лейтенант Броун, заместитель начальника 5 -го отдела 1-го управления ГК НИИ ВВС по летной части полковник Долгов, ведущий инженер 1-го управления ГК НИИ ВВС инженер-подполковник Аброщенко, ведущий инженер 2-го управления ГК НИИ ВВС инженер-майор Сороко.</w:t>
      </w:r>
    </w:p>
    <w:p w14:paraId="4D49D9D3"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Кроме комиссии, в войсковых испытаниях принимала участие бригада специалистов от ГК НИИ ВВС, которая все время находилась в 108 гшап. В состав бригады входили: полковник А. К. Долгов, инженер-подполковник П. Т. Аброщенко, инженер-майор Сороко, подполковник П. И. Никитин (тактика и боевое применение), инженер-капитан И. К. Бутко (вооружение), инженер-капитан В. Д. Кабанов (винтомоторная группа), инженер-майор С. Т. Глущенко (спецоборудование), старший техник-лейтенант В. К. Торгонский (эксплуатация).</w:t>
      </w:r>
    </w:p>
    <w:p w14:paraId="25364B2C"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От Управления заказов самолетов и моторов ГУЗ ВВС в испытаниях участвовал помощник военпреда на заводе № 18 старший техник-лейтенант Н. С. Грищенко.</w:t>
      </w:r>
    </w:p>
    <w:p w14:paraId="2EEE9075"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Для обеспечения войсковых испытаний к 108-му полку были прикомандированы инженеры от ОКБ -240 Ильюшина и работники заводов № 18 и № 24. Бригаду от 18-го авиазавода (всего 7 человек) возглавлял старший инженер ЭРО завода А. С. Руденко, 24-й моторный завод представлял инженер ЭРО завода П. С. Захаров (с ним один механик), а ОКБ-240 - инженер-конструктор бомбардировочного вооружения Д. И. Коклин и инженер-конструктор винтомоторной группы В. А. Ерофеев.</w:t>
      </w:r>
    </w:p>
    <w:p w14:paraId="11289832"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выводах отчета по результатам войсковых испытаний самолета Ил-10 указывалось, что «бомбовая нагрузка самолета по весу, назначению и калибру подвешиваемых авиабомб обеспечивает выполнение возлагаемых на самолет-штурмовик задач./.../Вооружение самолета Ил-10 по количеству боевых точек, калибру и боезапасу к ним отличия от вооружения Ил -2 не имеет././При действии по целям, прикрытым истребителями противника, самолет Ил-10 требует сопровождения в такой же степени, как и самолет Ил-2./. ../Наличие большего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 ./Живучесть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МЗА, ЗА и ИА/./в достаточной степени не выявлена и требует дополнительной проверки путем анализа повреждений на самолетах, находящихся в других действующих частях ВВС./.. ./Обзор из кабины летчика, вследствие отсутствия обзора назад и затенения переднего стекла в плохих метеоусловиях (дождь, снег), в ср авнении с обзором на самолете Ил-2 - хуже./. ../Временной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ПЗМ/.../Основным методом бомбометания в боевых условиях на самолете Ил-10 принят тот же, что и для Ил-2, с той лишь разницей, что: 1) возросли углы планирования с 30 до 50°; 2) возросла скорость ввода в пикирование от 320 до 350 км/ч; 3) скорость вывода из пикирования выросла до 500-600 км/ч; 4) улучшилась маневренность самолета./.../В обслуживании и эксплуатации Ил-10 проще и удобнее, чем Ил-2, однако ряд производственных и конструктивных дефектов усложняет эксплуатацию./.. ./Время подготовки Ил-10 к боевым вылетам механиком и мотористом практически такое же, что и время, потребное для Ил-2/.. ./Взлетно-посадочные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м././Цельнометаллическая конструкция Ил-10 в сравнении с конструкцией планера Ил-2 упрощает уход за ним и увеличивает срок его службы,/.../наряду с очень удобным эксплуатационным люком в фюзеляже, обеспечивающим хороший подход к трубопроводам, агрегатам и управлению.»</w:t>
      </w:r>
    </w:p>
    <w:p w14:paraId="5D6378C6"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Обращалось внимание, что «рекомендованные конструктором углы пикирования 25-30° явно малы для самолета Ил-10. Это снижает его боевые качества./.../Отдельными летчиками в полку (лейтенанты М. А. Ахрютин и Н. С. Зубов пришли в полк из истребителей. -</w:t>
      </w:r>
      <w:r w:rsidRPr="00F90EAE">
        <w:rPr>
          <w:rStyle w:val="BodytextItalic"/>
          <w:rFonts w:eastAsiaTheme="minorHAnsi"/>
          <w:i w:val="0"/>
          <w:color w:val="000000" w:themeColor="text1"/>
          <w:sz w:val="16"/>
          <w:szCs w:val="16"/>
        </w:rPr>
        <w:t xml:space="preserve"> Прим. авт.) </w:t>
      </w:r>
      <w:r w:rsidRPr="00F90EAE">
        <w:rPr>
          <w:rStyle w:val="107"/>
          <w:rFonts w:eastAsiaTheme="minorHAnsi"/>
          <w:color w:val="000000" w:themeColor="text1"/>
          <w:sz w:val="16"/>
          <w:szCs w:val="16"/>
        </w:rPr>
        <w:t>производились фигуры высшего пилотажа. Перевороты и замедленные бочки». В этой связи предлагалось «усилить крыло самолета с тем, чтобы самолет по своему запасу прочности мог быть отнесен к классу истребителей (класс А - маневренный самолет)».</w:t>
      </w:r>
    </w:p>
    <w:p w14:paraId="4C1D3020"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По технике пилотирования самолет прост. «Имея лучшую устойчивость, хорошую управляемость и более высокую маневренность», Ил -10 охотно прощал летному составу ошибки и не утомлял летчика при полете в болтанку. Переучивание летного и инженерно-технического состава, ранее работавшего на Ил-2 с АМ-38 ф, при переходе на Ил-10 с АМ-42 трудности не представляет. Летному составу достаточно дать 10-15 учебно-тренировочных полетов (3-4 часа налета). Инженерно-технический состав легко осваивает матчасть самолета и мотора непосредственно в ходе эксплуатации.</w:t>
      </w:r>
    </w:p>
    <w:p w14:paraId="16CC208E"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указывалось в материалах отчета.</w:t>
      </w:r>
    </w:p>
    <w:p w14:paraId="3009B4C3"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качестве основных дефектов самолета Ил-10 Госкомиссия отметила следующие: «Неудовлетворительная конструкция фонаря кабины (трудно открывается на земле, рулежка и полет в сложных метеоусловиях с открытым фонарем невозможны)./.. ./Отсутствует обзор назад из кабины летчика (необходимо сделать в бронеспинке вставку из прозрачного бронестекла по типу самолета Ил-2)./.../Велики усилия на ручку управления от элеронов на скорости выше 400 км/час./. ../Обтекатели (лопухи) колес шасси при рулежке и посадке на мягком грунте и зимой в снег зарываются, деформируются и тормозят движение самолета./. ../Тросы везде рвутся: и ограничительные тросы фонаря кабины и аварийного выпуска шасси, и системы управления, а также тросы стопора костыля./. ../Прочность покрышек колес 800^260 мм, как и эффективность тормозов, недостаточна./.. ./При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 14 фюзеляжа./.../Шасси самолета при давлении воздуха в системе 38 атм. на скоростях свыше 260 км/час не выпускаются».</w:t>
      </w:r>
    </w:p>
    <w:p w14:paraId="7F687A1F"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от 25 мая 1945 года государственная комиссия от 2 ВА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 ./3. При 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6621FCEF"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40F13876"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010FE654"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5A03E7BA"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62DDA1C9"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lastRenderedPageBreak/>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6B9491CE"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3DAA7A5B"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5024CBE6"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2EAF2467"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101441D6"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742E6DFB"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343E1BB6"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4DB9F3C0"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Средний расход боекомплекта к пушкам и пулеметам в одном боевом вылете у Ил-2 в 2-3 раза был выше, чем у самолетов Ил-10.</w:t>
      </w:r>
    </w:p>
    <w:p w14:paraId="71C8F665"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45A1853D"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К тому же на Ил-2 стояли четыре ракетных орудия РО-82, а это также повышало боевые возможности самолета.</w:t>
      </w:r>
    </w:p>
    <w:p w14:paraId="60815B70"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5D9DAF34"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05573DBA"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F90EAE">
        <w:rPr>
          <w:rStyle w:val="107"/>
          <w:rFonts w:eastAsiaTheme="minorHAnsi"/>
          <w:color w:val="000000" w:themeColor="text1"/>
          <w:sz w:val="16"/>
          <w:szCs w:val="16"/>
          <w:lang w:val="en-US"/>
        </w:rPr>
        <w:t>Clark</w:t>
      </w:r>
      <w:r w:rsidRPr="00F90EAE">
        <w:rPr>
          <w:rStyle w:val="107"/>
          <w:rFonts w:eastAsiaTheme="minorHAnsi"/>
          <w:color w:val="000000" w:themeColor="text1"/>
          <w:sz w:val="16"/>
          <w:szCs w:val="16"/>
        </w:rPr>
        <w:t>-</w:t>
      </w:r>
      <w:r w:rsidRPr="00F90EAE">
        <w:rPr>
          <w:rStyle w:val="107"/>
          <w:rFonts w:eastAsiaTheme="minorHAnsi"/>
          <w:color w:val="000000" w:themeColor="text1"/>
          <w:sz w:val="16"/>
          <w:szCs w:val="16"/>
          <w:lang w:val="en-US"/>
        </w:rPr>
        <w:t>YH</w:t>
      </w:r>
      <w:r w:rsidRPr="00F90EAE">
        <w:rPr>
          <w:rStyle w:val="107"/>
          <w:rFonts w:eastAsiaTheme="minorHAnsi"/>
          <w:color w:val="000000" w:themeColor="text1"/>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7EE7C841"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отличие от «десятки» на Ил-2 имелась надежно работающая система заполнения бензобаков нейтральным газом.</w:t>
      </w:r>
    </w:p>
    <w:p w14:paraId="1CFA74F4"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4F657A8C" w14:textId="77777777" w:rsidR="006B4C87" w:rsidRPr="00F90EAE" w:rsidRDefault="006B4C87"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031B38C3"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65D3388"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008EC613"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00516CF8"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4ECE240F"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554A411B"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1CB07B3B"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397458C8"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3F7EBC09"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7C0074C4"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388C78B1"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7FFEF0F1"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Именно по этой причине лейтенант Г. А. Веселов из 571 шап 15 апреля разбил свой самолет при взлете на боевое задание.</w:t>
      </w:r>
    </w:p>
    <w:p w14:paraId="726E5B2A"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EAC3FCA"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0117E0A8"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0C125052" w14:textId="77777777" w:rsidR="006B4C87" w:rsidRPr="00F90EAE" w:rsidRDefault="006B4C87" w:rsidP="00F90EAE">
      <w:pPr>
        <w:jc w:val="both"/>
        <w:rPr>
          <w:color w:val="000000" w:themeColor="text1"/>
          <w:sz w:val="16"/>
          <w:szCs w:val="16"/>
        </w:rPr>
      </w:pPr>
      <w:r w:rsidRPr="00F90EAE">
        <w:rPr>
          <w:rStyle w:val="107"/>
          <w:rFonts w:eastAsiaTheme="minorHAnsi"/>
          <w:color w:val="000000" w:themeColor="text1"/>
          <w:sz w:val="16"/>
          <w:szCs w:val="16"/>
        </w:rPr>
        <w:lastRenderedPageBreak/>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35A0119D" w14:textId="77777777" w:rsidR="006B4C87" w:rsidRPr="00F90EAE" w:rsidRDefault="006B4C87" w:rsidP="00F90EAE">
      <w:pPr>
        <w:jc w:val="both"/>
        <w:rPr>
          <w:rStyle w:val="107"/>
          <w:rFonts w:eastAsiaTheme="minorHAnsi"/>
          <w:color w:val="000000" w:themeColor="text1"/>
          <w:sz w:val="16"/>
          <w:szCs w:val="16"/>
        </w:rPr>
      </w:pPr>
    </w:p>
    <w:p w14:paraId="58D07F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 марта 1945 г. самолет СУ-5 с задержкой из-за несвоевременной по</w:t>
      </w:r>
      <w:r w:rsidRPr="00F90EAE">
        <w:rPr>
          <w:color w:val="000000" w:themeColor="text1"/>
          <w:sz w:val="16"/>
          <w:szCs w:val="16"/>
        </w:rPr>
        <w:softHyphen/>
        <w:t>дачи силовой установки был передан на летно-испытательную станцию (ЛИС) завода № 134. В этот же день лет</w:t>
      </w:r>
      <w:r w:rsidRPr="00F90EAE">
        <w:rPr>
          <w:color w:val="000000" w:themeColor="text1"/>
          <w:sz w:val="16"/>
          <w:szCs w:val="16"/>
        </w:rPr>
        <w:softHyphen/>
        <w:t>чик-испытатель Г.И. Комаров выполнил первые рулежки, а 6 апреля, после по</w:t>
      </w:r>
      <w:r w:rsidRPr="00F90EAE">
        <w:rPr>
          <w:color w:val="000000" w:themeColor="text1"/>
          <w:sz w:val="16"/>
          <w:szCs w:val="16"/>
        </w:rPr>
        <w:softHyphen/>
        <w:t>лучения разрешения, состоялся пер</w:t>
      </w:r>
      <w:r w:rsidRPr="00F90EAE">
        <w:rPr>
          <w:color w:val="000000" w:themeColor="text1"/>
          <w:sz w:val="16"/>
          <w:szCs w:val="16"/>
        </w:rPr>
        <w:softHyphen/>
        <w:t>вый полет экспериментального истре</w:t>
      </w:r>
      <w:r w:rsidRPr="00F90EAE">
        <w:rPr>
          <w:color w:val="000000" w:themeColor="text1"/>
          <w:sz w:val="16"/>
          <w:szCs w:val="16"/>
        </w:rPr>
        <w:softHyphen/>
        <w:t>бителя Су-5. Начались заводские лет</w:t>
      </w:r>
      <w:r w:rsidRPr="00F90EAE">
        <w:rPr>
          <w:color w:val="000000" w:themeColor="text1"/>
          <w:sz w:val="16"/>
          <w:szCs w:val="16"/>
        </w:rPr>
        <w:softHyphen/>
        <w:t>ные испытания (10669).</w:t>
      </w:r>
    </w:p>
    <w:p w14:paraId="51B365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37D7F8"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24 марта 1945 года с существенным опозданием из-за несвоевременной подачи силовой установки летный экземпляр самолета Су-5 был передан на летно-испытательную станцию завода № 134. В этот же день летчиком-испытателем Г.И. Комаровым были выполне ны первые рулежки. 6 апреля первым полетом эксперимен тального истребителя Су-5 были начаты заводские летные испытания.</w:t>
      </w:r>
    </w:p>
    <w:p w14:paraId="7B652CCB"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3745091"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5043CF60"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 результатам испытаний был выпущен отчет:</w:t>
      </w:r>
    </w:p>
    <w:p w14:paraId="547763B9"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0339A5D9"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2. Управляемость и устойчивость самолета на различных скоростях и эволюциях — нормальная.</w:t>
      </w:r>
    </w:p>
    <w:p w14:paraId="559C300D"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63EC41BB"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79A2A010"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6EE36CB0" w14:textId="77777777" w:rsidR="00677D5F" w:rsidRPr="00F90EAE" w:rsidRDefault="00677D5F"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25CD84EA" w14:textId="77777777" w:rsidR="00677D5F" w:rsidRPr="00F90EAE" w:rsidRDefault="00677D5F" w:rsidP="00F90EAE">
      <w:pPr>
        <w:pStyle w:val="ae"/>
        <w:shd w:val="clear" w:color="auto" w:fill="FFFFFF"/>
        <w:spacing w:before="0" w:after="0"/>
        <w:jc w:val="both"/>
        <w:rPr>
          <w:color w:val="000000" w:themeColor="text1"/>
          <w:sz w:val="16"/>
          <w:szCs w:val="16"/>
        </w:rPr>
      </w:pPr>
    </w:p>
    <w:p w14:paraId="5870CA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в ходе испытаний ДБ-II-108 В.М.М. вышел из строя правый мотор из-за обрыва шатуна (3337).</w:t>
      </w:r>
    </w:p>
    <w:p w14:paraId="7A255EE7" w14:textId="77777777" w:rsidR="00665165" w:rsidRPr="00F90EAE" w:rsidRDefault="00665165" w:rsidP="00F90EAE">
      <w:pPr>
        <w:autoSpaceDE w:val="0"/>
        <w:autoSpaceDN w:val="0"/>
        <w:adjustRightInd w:val="0"/>
        <w:jc w:val="both"/>
        <w:rPr>
          <w:color w:val="000000" w:themeColor="text1"/>
          <w:sz w:val="16"/>
          <w:szCs w:val="16"/>
        </w:rPr>
      </w:pPr>
    </w:p>
    <w:p w14:paraId="06B6B3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полете 24 марта 1945 ДБ-I-108 В.М.М. вышел из строя правый мотор из-за обрыва шатуна, а 5 апреля произошла катастрофа. В этот день у заво</w:t>
      </w:r>
      <w:r w:rsidRPr="00F90EAE">
        <w:rPr>
          <w:color w:val="000000" w:themeColor="text1"/>
          <w:sz w:val="16"/>
          <w:szCs w:val="16"/>
        </w:rPr>
        <w:softHyphen/>
        <w:t>дского летчика-испытателя А.Г. Васильченко на высо</w:t>
      </w:r>
      <w:r w:rsidRPr="00F90EAE">
        <w:rPr>
          <w:color w:val="000000" w:themeColor="text1"/>
          <w:sz w:val="16"/>
          <w:szCs w:val="16"/>
        </w:rPr>
        <w:softHyphen/>
        <w:t>те 1500 м сорвало крышку капота левого двигателя и оттуда вырвалось пламя. Васильченко решил увели</w:t>
      </w:r>
      <w:r w:rsidRPr="00F90EAE">
        <w:rPr>
          <w:color w:val="000000" w:themeColor="text1"/>
          <w:sz w:val="16"/>
          <w:szCs w:val="16"/>
        </w:rPr>
        <w:softHyphen/>
        <w:t>чить скорость захода на посадку и тем самым спасти машину. Но случилось непредвиденное, перед само</w:t>
      </w:r>
      <w:r w:rsidRPr="00F90EAE">
        <w:rPr>
          <w:color w:val="000000" w:themeColor="text1"/>
          <w:sz w:val="16"/>
          <w:szCs w:val="16"/>
        </w:rPr>
        <w:softHyphen/>
        <w:t>летом «ДБ» неожиданно появился заходивший на посадку Пе-2. Пилот пытался уклониться от столкнове</w:t>
      </w:r>
      <w:r w:rsidRPr="00F90EAE">
        <w:rPr>
          <w:color w:val="000000" w:themeColor="text1"/>
          <w:sz w:val="16"/>
          <w:szCs w:val="16"/>
        </w:rPr>
        <w:softHyphen/>
        <w:t>ния, но «ДБ» задел правой консолью жилой дом и упал, не долетев до аэродрома. В результате катастрофы был потерян не только самолет, но и погибли ведущий инженер Л. Дьяконов и трое гражданских лиц, среди них — двое детей.</w:t>
      </w:r>
    </w:p>
    <w:p w14:paraId="2A0AC7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соответствии с приказом НКАП к 25 апреля по</w:t>
      </w:r>
      <w:r w:rsidRPr="00F90EAE">
        <w:rPr>
          <w:color w:val="000000" w:themeColor="text1"/>
          <w:sz w:val="16"/>
          <w:szCs w:val="16"/>
        </w:rPr>
        <w:softHyphen/>
        <w:t>строили вторую машину. На ней-то, получившей обо</w:t>
      </w:r>
      <w:r w:rsidRPr="00F90EAE">
        <w:rPr>
          <w:color w:val="000000" w:themeColor="text1"/>
          <w:sz w:val="16"/>
          <w:szCs w:val="16"/>
        </w:rPr>
        <w:softHyphen/>
        <w:t>значение ДБ-П-108, и продолжили летные испытания. Однако в связи с требованием ВВС об установке пол</w:t>
      </w:r>
      <w:r w:rsidRPr="00F90EAE">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w:t>
      </w:r>
    </w:p>
    <w:p w14:paraId="7AA6A4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ДБ-И 08 послужил основой для многочис</w:t>
      </w:r>
      <w:r w:rsidRPr="00F90EAE">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660484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62C2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были окончены работы по вывозу в СССР на завод 64 в Воронеж оборудования с завода Хорти Легет в Будапеште (1874,12).</w:t>
      </w:r>
    </w:p>
    <w:p w14:paraId="25D175E7" w14:textId="77777777" w:rsidR="00665165" w:rsidRPr="00F90EAE" w:rsidRDefault="00665165" w:rsidP="00F90EAE">
      <w:pPr>
        <w:autoSpaceDE w:val="0"/>
        <w:autoSpaceDN w:val="0"/>
        <w:adjustRightInd w:val="0"/>
        <w:jc w:val="both"/>
        <w:rPr>
          <w:color w:val="000000" w:themeColor="text1"/>
          <w:sz w:val="16"/>
          <w:szCs w:val="16"/>
        </w:rPr>
      </w:pPr>
    </w:p>
    <w:p w14:paraId="6FA4E9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года была подготовлена справка:</w:t>
      </w:r>
    </w:p>
    <w:p w14:paraId="249D96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Совнаркома от 21 октября 1939 года № 10726 НКАП построен в Ульяновске завод № 280 по производству авиаприборов. Завод выпускает в настоящее время готовую продукцию.</w:t>
      </w:r>
    </w:p>
    <w:p w14:paraId="4CA4B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утвердить ввод в эксплуатацию завода № 280 и разрешить включить его в число действующих предприятий НКАП (8950).</w:t>
      </w:r>
    </w:p>
    <w:p w14:paraId="65D97DC4" w14:textId="77777777" w:rsidR="00665165" w:rsidRPr="00F90EAE" w:rsidRDefault="00665165" w:rsidP="00F90EAE">
      <w:pPr>
        <w:autoSpaceDE w:val="0"/>
        <w:autoSpaceDN w:val="0"/>
        <w:adjustRightInd w:val="0"/>
        <w:jc w:val="both"/>
        <w:rPr>
          <w:color w:val="000000" w:themeColor="text1"/>
          <w:sz w:val="16"/>
          <w:szCs w:val="16"/>
        </w:rPr>
      </w:pPr>
    </w:p>
    <w:p w14:paraId="63BAA79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ABC081A" w14:textId="77777777" w:rsidR="00665165" w:rsidRPr="00F90EAE" w:rsidRDefault="00665165" w:rsidP="00F90EAE">
      <w:pPr>
        <w:autoSpaceDE w:val="0"/>
        <w:autoSpaceDN w:val="0"/>
        <w:adjustRightInd w:val="0"/>
        <w:jc w:val="both"/>
        <w:rPr>
          <w:iCs/>
          <w:color w:val="000000" w:themeColor="text1"/>
          <w:sz w:val="16"/>
          <w:szCs w:val="16"/>
        </w:rPr>
      </w:pPr>
    </w:p>
    <w:p w14:paraId="6A8F82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вышло Распоряжение ГКО № 7925. О продлении до 1 апреля 1945 г. действия графика ограничений второй очереди по Московской энергосистеме. РГАНИР, Фонд ГКО, д. 383, лл. 64 (11012).</w:t>
      </w:r>
    </w:p>
    <w:p w14:paraId="1E8B2CD2" w14:textId="77777777" w:rsidR="00665165" w:rsidRPr="00F90EAE" w:rsidRDefault="00665165" w:rsidP="00F90EAE">
      <w:pPr>
        <w:autoSpaceDE w:val="0"/>
        <w:autoSpaceDN w:val="0"/>
        <w:adjustRightInd w:val="0"/>
        <w:jc w:val="both"/>
        <w:rPr>
          <w:color w:val="000000" w:themeColor="text1"/>
          <w:sz w:val="16"/>
          <w:szCs w:val="16"/>
        </w:rPr>
      </w:pPr>
    </w:p>
    <w:p w14:paraId="5C4347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вышло Распоряжение ГКО № 7926. О дополнительном выделении топочного мазута Уфимской ТЭЦ в марте 1945 г. РГАНИР, Фонд ГКО, д. 383, лл. 65 (11012).</w:t>
      </w:r>
    </w:p>
    <w:p w14:paraId="1C2D6444" w14:textId="77777777" w:rsidR="00665165" w:rsidRPr="00F90EAE" w:rsidRDefault="00665165" w:rsidP="00F90EAE">
      <w:pPr>
        <w:autoSpaceDE w:val="0"/>
        <w:autoSpaceDN w:val="0"/>
        <w:adjustRightInd w:val="0"/>
        <w:jc w:val="both"/>
        <w:rPr>
          <w:color w:val="000000" w:themeColor="text1"/>
          <w:sz w:val="16"/>
          <w:szCs w:val="16"/>
        </w:rPr>
      </w:pPr>
    </w:p>
    <w:p w14:paraId="146C5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вышло Распоряжение ГКО № 7927. О дополнительном выделении угля Наркомтекстилю Грузинской СССР в марте 1945 г. РГАНИР, Фонд ГКО, д. 383, лл. 66 (11012).</w:t>
      </w:r>
    </w:p>
    <w:p w14:paraId="1B48D99F" w14:textId="77777777" w:rsidR="00665165" w:rsidRPr="00F90EAE" w:rsidRDefault="00665165" w:rsidP="00F90EAE">
      <w:pPr>
        <w:autoSpaceDE w:val="0"/>
        <w:autoSpaceDN w:val="0"/>
        <w:adjustRightInd w:val="0"/>
        <w:jc w:val="both"/>
        <w:rPr>
          <w:color w:val="000000" w:themeColor="text1"/>
          <w:sz w:val="16"/>
          <w:szCs w:val="16"/>
        </w:rPr>
      </w:pPr>
    </w:p>
    <w:p w14:paraId="54D1626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марта 1945 вышло Распоряжение ГКО № 7928 [О проведении дноуглубительных работ на пристани завода №419 НКНП.] (7318, 67).</w:t>
      </w:r>
    </w:p>
    <w:p w14:paraId="7FB8173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45FE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вышло Постановление ГКО № 7929 Об отгрузке Наркомчермету в третьей декаде марта 1945 г. коксующихся и энергетических углей восточных бассейнов. РГАНИР, Фонд ГКО, д. 383, лл. 68-69 (11012).</w:t>
      </w:r>
    </w:p>
    <w:p w14:paraId="7F0C617D" w14:textId="77777777" w:rsidR="00665165" w:rsidRPr="00F90EAE" w:rsidRDefault="00665165" w:rsidP="00F90EAE">
      <w:pPr>
        <w:autoSpaceDE w:val="0"/>
        <w:autoSpaceDN w:val="0"/>
        <w:adjustRightInd w:val="0"/>
        <w:jc w:val="both"/>
        <w:rPr>
          <w:color w:val="000000" w:themeColor="text1"/>
          <w:sz w:val="16"/>
          <w:szCs w:val="16"/>
        </w:rPr>
      </w:pPr>
    </w:p>
    <w:p w14:paraId="190503A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068FDD8" w14:textId="77777777" w:rsidR="00665165" w:rsidRPr="00F90EAE" w:rsidRDefault="00665165" w:rsidP="00F90EAE">
      <w:pPr>
        <w:autoSpaceDE w:val="0"/>
        <w:autoSpaceDN w:val="0"/>
        <w:adjustRightInd w:val="0"/>
        <w:jc w:val="both"/>
        <w:rPr>
          <w:iCs/>
          <w:color w:val="000000" w:themeColor="text1"/>
          <w:sz w:val="16"/>
          <w:szCs w:val="16"/>
        </w:rPr>
      </w:pPr>
    </w:p>
    <w:p w14:paraId="06DF36D1" w14:textId="77777777" w:rsidR="00B52070" w:rsidRPr="00F90EAE" w:rsidRDefault="00B52070" w:rsidP="00F90EAE">
      <w:pPr>
        <w:jc w:val="both"/>
        <w:rPr>
          <w:color w:val="000000" w:themeColor="text1"/>
          <w:sz w:val="16"/>
          <w:szCs w:val="16"/>
        </w:rPr>
      </w:pPr>
      <w:r w:rsidRPr="00F90EAE">
        <w:rPr>
          <w:bCs/>
          <w:color w:val="000000" w:themeColor="text1"/>
          <w:sz w:val="16"/>
          <w:szCs w:val="16"/>
        </w:rPr>
        <w:t>24 марта</w:t>
      </w:r>
      <w:r w:rsidRPr="00F90EAE">
        <w:rPr>
          <w:color w:val="000000" w:themeColor="text1"/>
          <w:sz w:val="16"/>
          <w:szCs w:val="16"/>
        </w:rPr>
        <w:t xml:space="preserve"> в 1945 году оперативная сводка Совинформбюро:</w:t>
      </w:r>
    </w:p>
    <w:p w14:paraId="3C46A068" w14:textId="77777777" w:rsidR="00B52070" w:rsidRPr="00F90EAE" w:rsidRDefault="00B52070" w:rsidP="00F90EAE">
      <w:pPr>
        <w:jc w:val="both"/>
        <w:rPr>
          <w:color w:val="000000" w:themeColor="text1"/>
          <w:sz w:val="16"/>
          <w:szCs w:val="16"/>
        </w:rPr>
      </w:pPr>
      <w:r w:rsidRPr="00F90EAE">
        <w:rPr>
          <w:color w:val="000000" w:themeColor="text1"/>
          <w:sz w:val="16"/>
          <w:szCs w:val="16"/>
        </w:rPr>
        <w:t>«В течение 24 марта на Данцигском направлении войска 2-го Белорусского фронта, продолжая наступление, овладели городом Прауст и заняли населённые пункты Розенберг, Лангенау, Циплау, Гишкау, Роттманнсдорф, Штрашин, Иенкау, Банкау, Хохкельпин, Клайн-Кельпин, Гольдкруг, Виттомин. В боях за 23 марта в этом районе войска фронта взяли в плен до 1.000 немецких солдат и офицеров.</w:t>
      </w:r>
    </w:p>
    <w:p w14:paraId="7C847D42"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24 марта овладели в Силезии, западнее Одера, городами Нейссе и Леобшютц— сильными опорными пунктами обороны немцев, а также заняли населённые пункты Гисмансдорф, Митлер-Нойланд, Хайдау, Линдевизе, Шнеллевальде.</w:t>
      </w:r>
    </w:p>
    <w:p w14:paraId="01C6581F"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3-го Украинского фронта, отразив атаки одиннадцати танковых дивизий немцев юго-западнее Будапешта и измотав их в оборонительных боях, перешли потом в наступление, разгромили танковую группу немцев и продвинулись вперёд на 70 километров на фронте протяжением более 100 километров.</w:t>
      </w:r>
    </w:p>
    <w:p w14:paraId="312F5C94" w14:textId="77777777" w:rsidR="00B52070" w:rsidRPr="00F90EAE" w:rsidRDefault="00B52070" w:rsidP="00F90EAE">
      <w:pPr>
        <w:jc w:val="both"/>
        <w:rPr>
          <w:color w:val="000000" w:themeColor="text1"/>
          <w:sz w:val="16"/>
          <w:szCs w:val="16"/>
        </w:rPr>
      </w:pPr>
      <w:r w:rsidRPr="00F90EAE">
        <w:rPr>
          <w:color w:val="000000" w:themeColor="text1"/>
          <w:sz w:val="16"/>
          <w:szCs w:val="16"/>
        </w:rPr>
        <w:t>В ходе наступления наши войска овладели городами Секешфехервар, Мор, Зирез, Веспрем, Эньинг, а также заняли более 350 других населённых пунктов, среди которых крупные населённые пункты Вертешкетхель, Реде, Баконьсентласло, Чеснэк, Марко, Сенткиральсабадья, Балатоналмадь, Балатонкенеше.</w:t>
      </w:r>
    </w:p>
    <w:p w14:paraId="00FF5FE8"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фронта в этих боях взяли в плен более 6.000 солдат и офицеров противника, уничтожили и захватили 745 танков и самоходных орудий, более 800 орудий и много другого вооружения и военного имущества. Противник потерял только убитыми более 70.000 солдат и офицеров.</w:t>
      </w:r>
    </w:p>
    <w:p w14:paraId="600EEBFF" w14:textId="77777777" w:rsidR="00B52070" w:rsidRPr="00F90EAE" w:rsidRDefault="00B52070" w:rsidP="00F90EAE">
      <w:pPr>
        <w:jc w:val="both"/>
        <w:rPr>
          <w:color w:val="000000" w:themeColor="text1"/>
          <w:sz w:val="16"/>
          <w:szCs w:val="16"/>
        </w:rPr>
      </w:pPr>
      <w:r w:rsidRPr="00F90EAE">
        <w:rPr>
          <w:color w:val="000000" w:themeColor="text1"/>
          <w:sz w:val="16"/>
          <w:szCs w:val="16"/>
        </w:rPr>
        <w:t>В числе одиннадцати танковых дивизий противника разгромлены четыре танковые дивизии, входящие в состав 6-й немецкой танковой армии СС, переброшенной с Западного фронта.</w:t>
      </w:r>
    </w:p>
    <w:p w14:paraId="37806FA1" w14:textId="77777777" w:rsidR="00B52070" w:rsidRPr="00F90EAE" w:rsidRDefault="00B52070" w:rsidP="00F90EAE">
      <w:pPr>
        <w:jc w:val="both"/>
        <w:rPr>
          <w:color w:val="000000" w:themeColor="text1"/>
          <w:sz w:val="16"/>
          <w:szCs w:val="16"/>
        </w:rPr>
      </w:pPr>
      <w:r w:rsidRPr="00F90EAE">
        <w:rPr>
          <w:color w:val="000000" w:themeColor="text1"/>
          <w:sz w:val="16"/>
          <w:szCs w:val="16"/>
        </w:rPr>
        <w:t>За 23 марта на всех фронтах подбито и уничтожено 204 немецких танка и самоходных орудия. В воздушных боях и огнём зенитной артиллерии сбито 107 самолётов противника.</w:t>
      </w:r>
    </w:p>
    <w:p w14:paraId="55473832" w14:textId="77777777" w:rsidR="00B52070" w:rsidRPr="00F90EAE" w:rsidRDefault="00B52070" w:rsidP="00F90EAE">
      <w:pPr>
        <w:jc w:val="both"/>
        <w:rPr>
          <w:color w:val="000000" w:themeColor="text1"/>
          <w:sz w:val="16"/>
          <w:szCs w:val="16"/>
        </w:rPr>
      </w:pPr>
      <w:r w:rsidRPr="00F90EAE">
        <w:rPr>
          <w:color w:val="000000" w:themeColor="text1"/>
          <w:sz w:val="16"/>
          <w:szCs w:val="16"/>
        </w:rPr>
        <w:t>Налёт нашей авиации на железнодорожный узел Моравска Острава в Чехословакии</w:t>
      </w:r>
    </w:p>
    <w:p w14:paraId="2843C5A9" w14:textId="77777777" w:rsidR="00B52070" w:rsidRPr="00F90EAE" w:rsidRDefault="00B52070" w:rsidP="00F90EAE">
      <w:pPr>
        <w:jc w:val="both"/>
        <w:rPr>
          <w:color w:val="000000" w:themeColor="text1"/>
          <w:sz w:val="16"/>
          <w:szCs w:val="16"/>
        </w:rPr>
      </w:pPr>
      <w:r w:rsidRPr="00F90EAE">
        <w:rPr>
          <w:color w:val="000000" w:themeColor="text1"/>
          <w:sz w:val="16"/>
          <w:szCs w:val="16"/>
        </w:rPr>
        <w:t>В ночь на 24 марта наши тяжёлые бомбардировщики нанесли удар по железнодорожному узлу Моравска Острава в Чехословакии. В результате бомбардировки на территории узла возникли пожары, сопровождавшиеся сильными взрывами.</w:t>
      </w:r>
    </w:p>
    <w:p w14:paraId="4B02A2A9" w14:textId="77777777" w:rsidR="00B52070" w:rsidRPr="00F90EAE" w:rsidRDefault="00B52070" w:rsidP="00F90EAE">
      <w:pPr>
        <w:jc w:val="both"/>
        <w:rPr>
          <w:color w:val="000000" w:themeColor="text1"/>
          <w:sz w:val="16"/>
          <w:szCs w:val="16"/>
        </w:rPr>
      </w:pPr>
      <w:r w:rsidRPr="00F90EAE">
        <w:rPr>
          <w:color w:val="000000" w:themeColor="text1"/>
          <w:sz w:val="16"/>
          <w:szCs w:val="16"/>
        </w:rPr>
        <w:lastRenderedPageBreak/>
        <w:t>Удар авиации Краснознамённого Балтийского флота по немецким транспортам.</w:t>
      </w:r>
    </w:p>
    <w:p w14:paraId="3F270510" w14:textId="77777777" w:rsidR="00B52070" w:rsidRPr="00F90EAE" w:rsidRDefault="00B52070" w:rsidP="00F90EAE">
      <w:pPr>
        <w:jc w:val="both"/>
        <w:rPr>
          <w:color w:val="000000" w:themeColor="text1"/>
          <w:sz w:val="16"/>
          <w:szCs w:val="16"/>
        </w:rPr>
      </w:pPr>
      <w:r w:rsidRPr="00F90EAE">
        <w:rPr>
          <w:color w:val="000000" w:themeColor="text1"/>
          <w:sz w:val="16"/>
          <w:szCs w:val="16"/>
        </w:rPr>
        <w:t>22 марта авиация Краснознамённого Балтийского флота нанесла удар по немецким транспортам в районе портов Данциг, Гдыня и Пиллау. В результате бомбардировки потоплены в районе портов Данциг и Гдыня — 6 немецких транспортов общим водоизмещением в 34.000 тонн и два сторожевых корабля; в порту Пиллау — один транспорт водоизмещением в 3.000 тонн.</w:t>
      </w:r>
    </w:p>
    <w:p w14:paraId="56F9FE38" w14:textId="77777777" w:rsidR="00B52070" w:rsidRPr="00F90EAE" w:rsidRDefault="00B52070" w:rsidP="00F90EAE">
      <w:pPr>
        <w:jc w:val="both"/>
        <w:rPr>
          <w:color w:val="000000" w:themeColor="text1"/>
          <w:sz w:val="16"/>
          <w:szCs w:val="16"/>
        </w:rPr>
      </w:pPr>
      <w:r w:rsidRPr="00F90EAE">
        <w:rPr>
          <w:color w:val="000000" w:themeColor="text1"/>
          <w:sz w:val="16"/>
          <w:szCs w:val="16"/>
        </w:rPr>
        <w:t>На Данцигском направлении наши войска продолжали наступление. Противник упорно сопротивляется и за день предпринял свыше двадцати контратак. Южнее Данцига советские части, наступающие в северном направлении, заняли ряд опорных пунктов. Ударами с юга и запада наши войска разгромили вражеский гарнизон и овладели городом Прауст — узлом железных и шоссейных дорог. Западнее Данцига советские пехотинцы и артиллеристы ведут бои во второй полосе укреплённого района. Занят крупный населённый пункт Клайн-Кельпин. Юго-западнее Гдыни наши войска преодолели многочисленные инженерные препятствия, в том числе проволочные заграждения, находящиеся под электрическим током, и выбили немцев из Виттоминна — опорного пункта, расположенного в двух километрах от Гдыни. Захвачено много трофеев, в том числе 500 железнодорожных вагонов с боеприпасами, вооружением и снаряжением.</w:t>
      </w:r>
    </w:p>
    <w:p w14:paraId="4F9A8827" w14:textId="77777777" w:rsidR="00B52070" w:rsidRPr="00F90EAE" w:rsidRDefault="00B52070" w:rsidP="00F90EAE">
      <w:pPr>
        <w:jc w:val="both"/>
        <w:rPr>
          <w:color w:val="000000" w:themeColor="text1"/>
          <w:sz w:val="16"/>
          <w:szCs w:val="16"/>
        </w:rPr>
      </w:pPr>
      <w:r w:rsidRPr="00F90EAE">
        <w:rPr>
          <w:color w:val="000000" w:themeColor="text1"/>
          <w:sz w:val="16"/>
          <w:szCs w:val="16"/>
        </w:rPr>
        <w:t>В Данцигской бухте наша авиация потопила немецкий военный корабль. На другом военном корабле возник пожар. В результате прямого попадания бомб повреждено 5 транспортов противника.</w:t>
      </w:r>
    </w:p>
    <w:p w14:paraId="766629E4"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вчера завязали бои за сильный опорный пункт обороны немцев город Нейссе. Советские бойцы после упорных уличных боёв заняли северо-западную часть города. Подтянув резервы, немцы пытались восстановить положение, но успеха не добились. Усиливая нажим, наши войска ворвались в юго-восточную часть города и очистили её от противника. Город Нейссе является важным узлом путей сообщения. К нему сходятся четыре железные и несколько шоссейных дорог. В Нейссе захвачены большие военные склады немцев. На другом участке гитлеровцы упорно обороняли промышленный город Леобшютц. Они перебросили на этот участок свежую пехотную дивизию и неоднократно переходили в контратаки. Наши подразделения, настойчиво продвигаясь вперёд, обошли город с севера, востока и юга и зажали противника в клещи. Затем советские пехотинцы и танкисты предприняли атаку и овладели городом Леобшютц. За день боёв уничтожено и подбито 57 немецких танков и 16 бронетранспортёров. Взято в плен 350 солдат и офицеров противника.</w:t>
      </w:r>
    </w:p>
    <w:p w14:paraId="4861F4FB"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3-го Украинского фронта перешли в наступление в районе юго-западнее Будапешта. В начале марта противник сосредоточил в этом районе одиннадцать отборных танковых дивизий, в том числе дивизии 6-й танковой армии СС, переброшенной с Западного фронта. Перейдя в наступление, немцы бросили в бой сотни танков, самоходных орудий, бронетранспортёров, огромное число артиллерии, авиации и крупные силы пехоты. Они рассчитывали разгромить советские войска, с хода форсировать Дунай и захватить на его восточном берегу плацдармы для развития дальнейших операций.</w:t>
      </w:r>
    </w:p>
    <w:p w14:paraId="71002369" w14:textId="77777777" w:rsidR="00B52070" w:rsidRPr="00F90EAE" w:rsidRDefault="00B52070" w:rsidP="00F90EAE">
      <w:pPr>
        <w:jc w:val="both"/>
        <w:rPr>
          <w:color w:val="000000" w:themeColor="text1"/>
          <w:sz w:val="16"/>
          <w:szCs w:val="16"/>
        </w:rPr>
      </w:pPr>
      <w:r w:rsidRPr="00F90EAE">
        <w:rPr>
          <w:color w:val="000000" w:themeColor="text1"/>
          <w:sz w:val="16"/>
          <w:szCs w:val="16"/>
        </w:rPr>
        <w:t>Наши войска в ожесточённых оборонительных сражениях измотали противника, нанесли ему огромные потери и сорвали планы немецкого командования. Вслед за этим войска 3-го Украинского фронта сами перешли в наступление. Советская пехота после мощной артиллерийской подготовки атаковала немцев и прорвала их сильно укреплённую оборону. Затем в прорыв были введены наши подвижные соединения. Советские войска, стремительно продвинувшись вперёд, выбили противника из города Мор. Другие наши части завязали бои за город Секешфехервар. Немцы превратили этот город в важнейший опорный пункт своей обороны. На подступах к городу они построили много дотов и дзотов. Во всех каменных домах были оборудованы огневые точки. Советские танкисты и пехотинцы в ожесточённых уличных боях разгромили крупный вражеский гарнизон и овладели городам Секешфехервар — узлом шести железных дорог. Особенно упорно немцы обороняли важный железнодорожный узел и город Веспрем. В районе города они бросили в контратаки свыше 100 танков, в большинстве типа «Королевский тигр» и «Пантера». Однако все попытки противника задержать наши наступающие части потерпели неудачу. Решительными и умелыми действиями войска фронта разгромили танковую группу немцев. Город Веспрем в результате обходного манёвра и атаки с фронта очищен от гитлеровцев. В ходе боёв противник несёт огромные потери. Только вчера уничтожено более 4 тысяч немецких солдат и офицеров. В течение дня советские части захватили у немцев 61 танк, 6 бронетранспортёров, 76 орудий, сотни пулемётов, автоматов, более 300 автомашин и другие трофеи.» (15078).</w:t>
      </w:r>
    </w:p>
    <w:p w14:paraId="2D5B785E" w14:textId="77777777" w:rsidR="00B52070" w:rsidRPr="00F90EAE" w:rsidRDefault="00B52070" w:rsidP="00F90EAE">
      <w:pPr>
        <w:jc w:val="both"/>
        <w:rPr>
          <w:color w:val="000000" w:themeColor="text1"/>
          <w:sz w:val="16"/>
          <w:szCs w:val="16"/>
        </w:rPr>
      </w:pPr>
    </w:p>
    <w:p w14:paraId="2925867E" w14:textId="77777777" w:rsidR="00B52070" w:rsidRPr="00F90EAE" w:rsidRDefault="00B52070" w:rsidP="00F90EAE">
      <w:pPr>
        <w:jc w:val="both"/>
        <w:rPr>
          <w:color w:val="000000" w:themeColor="text1"/>
          <w:sz w:val="16"/>
          <w:szCs w:val="16"/>
        </w:rPr>
      </w:pPr>
      <w:r w:rsidRPr="00F90EAE">
        <w:rPr>
          <w:bCs/>
          <w:color w:val="000000" w:themeColor="text1"/>
          <w:sz w:val="16"/>
          <w:szCs w:val="16"/>
        </w:rPr>
        <w:t>24 марта</w:t>
      </w:r>
      <w:r w:rsidRPr="00F90EAE">
        <w:rPr>
          <w:color w:val="000000" w:themeColor="text1"/>
          <w:sz w:val="16"/>
          <w:szCs w:val="16"/>
        </w:rPr>
        <w:t xml:space="preserve"> в 1945 году началась Братиславско-Брновская наступательная операция советских войск. Проводилась войсками 2-го Украинского фронта (Маршал Советского Союза Р.Я.Малиновский) при участии Дунайской военной флотилии (контр-адмирал Г.Н.Холостяков). Завершилась 5 мая. В результате этой операции было завершено освобождение Словакии от немецко-фашистских захватчиков (15078).</w:t>
      </w:r>
    </w:p>
    <w:p w14:paraId="1FA5492C" w14:textId="77777777" w:rsidR="00B52070" w:rsidRPr="00F90EAE" w:rsidRDefault="00B52070" w:rsidP="00F90EAE">
      <w:pPr>
        <w:jc w:val="both"/>
        <w:rPr>
          <w:color w:val="000000" w:themeColor="text1"/>
          <w:sz w:val="16"/>
          <w:szCs w:val="16"/>
        </w:rPr>
      </w:pPr>
    </w:p>
    <w:p w14:paraId="22F4D5B5" w14:textId="77777777" w:rsidR="00B52070" w:rsidRPr="00F90EAE" w:rsidRDefault="00B52070" w:rsidP="00F90EAE">
      <w:pPr>
        <w:jc w:val="both"/>
        <w:rPr>
          <w:color w:val="000000" w:themeColor="text1"/>
          <w:sz w:val="16"/>
          <w:szCs w:val="16"/>
        </w:rPr>
      </w:pPr>
      <w:r w:rsidRPr="00F90EAE">
        <w:rPr>
          <w:bCs/>
          <w:color w:val="000000" w:themeColor="text1"/>
          <w:sz w:val="16"/>
          <w:szCs w:val="16"/>
        </w:rPr>
        <w:t>24 марта</w:t>
      </w:r>
      <w:r w:rsidRPr="00F90EAE">
        <w:rPr>
          <w:color w:val="000000" w:themeColor="text1"/>
          <w:sz w:val="16"/>
          <w:szCs w:val="16"/>
        </w:rPr>
        <w:t xml:space="preserve"> в 1945 году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(15078).</w:t>
      </w:r>
    </w:p>
    <w:p w14:paraId="25B7477D" w14:textId="77777777" w:rsidR="00B52070" w:rsidRPr="00F90EAE" w:rsidRDefault="00B52070" w:rsidP="00F90EAE">
      <w:pPr>
        <w:jc w:val="both"/>
        <w:rPr>
          <w:color w:val="000000" w:themeColor="text1"/>
          <w:sz w:val="16"/>
          <w:szCs w:val="16"/>
        </w:rPr>
      </w:pPr>
    </w:p>
    <w:p w14:paraId="033E4B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24-25 марта 1945 согласно сообщению Совинформбюро авиация БФ нанесла удары по кораблям и севернее Гданьска и в Пилау потопили п/л, плавучий док, три сторожевика и 11 транспортов водоизмещением 67000 т (438,935).</w:t>
      </w:r>
    </w:p>
    <w:p w14:paraId="07F16C1A" w14:textId="77777777" w:rsidR="00665165" w:rsidRPr="00F90EAE" w:rsidRDefault="00665165" w:rsidP="00F90EAE">
      <w:pPr>
        <w:autoSpaceDE w:val="0"/>
        <w:autoSpaceDN w:val="0"/>
        <w:adjustRightInd w:val="0"/>
        <w:jc w:val="both"/>
        <w:rPr>
          <w:color w:val="000000" w:themeColor="text1"/>
          <w:sz w:val="16"/>
          <w:szCs w:val="16"/>
        </w:rPr>
      </w:pPr>
    </w:p>
    <w:p w14:paraId="53CCDCD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марта 1945 4-я советская гвардейская танковая армия (5-й гвардейский механизированный и 10-й гвардейский танковый корпуса) во взаимодействии с 60-й армией нанесли удар по району немецких городов Ратибор, Егерндорф и Троппау (совр. территория Польши). Им противостояли следующие немецкие части: 75ПД, 78ПД, 8ТД, ТД ''Охрана Фюрера'', 100ЛПД части 16ТД и 17ТД. Высадка 17-й американской и 6-й английской воздушно-десантных дивизий (всего около 17 000 чел., 614 единиц бронетехники, 286 орудий и минометов) в нижнем течение Рейна под прикрытием 2 753 самолетов (4963 ).</w:t>
      </w:r>
    </w:p>
    <w:p w14:paraId="7541FCB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87EA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марта 1945 года летчик Подьячий добился "юбилейной", двухсотой, победы 1-го гвардейского полка. На торпедоносцах этою полка устанавливались первые советские бортовые локаторы тина "Гнейс-2М", предназначенные для обнаружения морских надводных целей. По предложению старшего инженера ВВС Балтийского флота но радиолокации А.А. Бубнова на пяти машинах смонтировали РЛС, полученные со складов флота. Сначала их опробовали па Ладоге: берег обнаруживался за 90 км, а баржа с буксиром - за 20 (3457,109).</w:t>
      </w:r>
    </w:p>
    <w:p w14:paraId="1C4A151A" w14:textId="77777777" w:rsidR="00665165" w:rsidRPr="00F90EAE" w:rsidRDefault="00665165" w:rsidP="00F90EAE">
      <w:pPr>
        <w:autoSpaceDE w:val="0"/>
        <w:autoSpaceDN w:val="0"/>
        <w:adjustRightInd w:val="0"/>
        <w:jc w:val="both"/>
        <w:rPr>
          <w:color w:val="000000" w:themeColor="text1"/>
          <w:sz w:val="16"/>
          <w:szCs w:val="16"/>
        </w:rPr>
      </w:pPr>
    </w:p>
    <w:p w14:paraId="611840D0" w14:textId="77777777" w:rsidR="00BA2B8F" w:rsidRPr="00F90EAE" w:rsidRDefault="00BA2B8F" w:rsidP="00F90EAE">
      <w:pPr>
        <w:jc w:val="both"/>
        <w:rPr>
          <w:color w:val="000000" w:themeColor="text1"/>
          <w:sz w:val="16"/>
          <w:szCs w:val="16"/>
        </w:rPr>
      </w:pPr>
      <w:r w:rsidRPr="00F90EAE">
        <w:rPr>
          <w:color w:val="000000" w:themeColor="text1"/>
          <w:sz w:val="16"/>
          <w:szCs w:val="16"/>
        </w:rPr>
        <w:t>24 марта 1945 года Указом Президиума Верховного Совета СССР было присвоено звание Героя Советского Союза (посмертно) командиру Т-34 6-й гвардейской танковой армии гвардии старшему сержанту Михаилу Космачеву. В наградном листе говорилось:</w:t>
      </w:r>
    </w:p>
    <w:p w14:paraId="7A7B5881" w14:textId="77777777" w:rsidR="00BA2B8F" w:rsidRPr="00F90EAE" w:rsidRDefault="00BA2B8F" w:rsidP="00F90EAE">
      <w:pPr>
        <w:jc w:val="both"/>
        <w:rPr>
          <w:color w:val="000000" w:themeColor="text1"/>
          <w:sz w:val="16"/>
          <w:szCs w:val="16"/>
        </w:rPr>
      </w:pPr>
      <w:r w:rsidRPr="00F90EAE">
        <w:rPr>
          <w:color w:val="000000" w:themeColor="text1"/>
          <w:sz w:val="16"/>
          <w:szCs w:val="16"/>
        </w:rPr>
        <w:t>«Гвардии ст. сержант Космачев показал мужество и отвагу в бою. Так, в боях за город Вырлад, будучи в засаде, со своим экипажем уничтожил 3 самоходные установки и танк Т-1У противника. В бою за город Фокшаны его экипаж уничтожил самоходку, два тяжелых орудия, до 120 человек пехоты, захватил 8 исправных минометов, 400 винтовок, 10 ручных пулеметов. В бою за город Бызед экипаж его танка уничтожил 3 средних пушки, 2 самоходные установки и до 300 солдат и офицеров противника. В городе Бызед наши три танка, в том числе и танк Космачева, захватили 3 эшелона с автомашинами и вездеходами. Его экипаж первым прорвался к мосту через реку Серет, там уничтожил батарею средних пушек, рассеял колонну танков и автомашин и до подхода основных сил прочно удерживал мост. В бою за селение Рыфов им уничтожен вражеский гарнизон, захвачено 6 исправных пушек, прожектор и три склада с боеприпасами.</w:t>
      </w:r>
    </w:p>
    <w:p w14:paraId="68FF511C" w14:textId="77777777" w:rsidR="00BA2B8F" w:rsidRPr="00F90EAE" w:rsidRDefault="00BA2B8F" w:rsidP="00F90EAE">
      <w:pPr>
        <w:jc w:val="both"/>
        <w:rPr>
          <w:color w:val="000000" w:themeColor="text1"/>
          <w:sz w:val="16"/>
          <w:szCs w:val="16"/>
        </w:rPr>
      </w:pPr>
      <w:r w:rsidRPr="00F90EAE">
        <w:rPr>
          <w:color w:val="000000" w:themeColor="text1"/>
          <w:sz w:val="16"/>
          <w:szCs w:val="16"/>
        </w:rPr>
        <w:t>Достоин присвоения звания Героя Советского Союза».</w:t>
      </w:r>
    </w:p>
    <w:p w14:paraId="25D78FF1" w14:textId="77777777" w:rsidR="00BA2B8F" w:rsidRPr="00F90EAE" w:rsidRDefault="00BA2B8F" w:rsidP="00F90EAE">
      <w:pPr>
        <w:jc w:val="both"/>
        <w:rPr>
          <w:color w:val="000000" w:themeColor="text1"/>
          <w:sz w:val="16"/>
          <w:szCs w:val="16"/>
        </w:rPr>
      </w:pPr>
      <w:r w:rsidRPr="00F90EAE">
        <w:rPr>
          <w:color w:val="000000" w:themeColor="text1"/>
          <w:sz w:val="16"/>
          <w:szCs w:val="16"/>
        </w:rPr>
        <w:t>13 декабря 1944 года гвардии старший сержант Космачев погиб в бою на территории Венгрии (12217).</w:t>
      </w:r>
    </w:p>
    <w:p w14:paraId="59B9D230" w14:textId="77777777" w:rsidR="00BA2B8F" w:rsidRPr="00F90EAE" w:rsidRDefault="00BA2B8F" w:rsidP="00F90EAE">
      <w:pPr>
        <w:jc w:val="both"/>
        <w:rPr>
          <w:color w:val="000000" w:themeColor="text1"/>
          <w:sz w:val="16"/>
          <w:szCs w:val="16"/>
        </w:rPr>
      </w:pPr>
    </w:p>
    <w:p w14:paraId="48C159C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C9DCEB5" w14:textId="77777777" w:rsidR="00665165" w:rsidRPr="00F90EAE" w:rsidRDefault="00665165" w:rsidP="00F90EAE">
      <w:pPr>
        <w:autoSpaceDE w:val="0"/>
        <w:autoSpaceDN w:val="0"/>
        <w:adjustRightInd w:val="0"/>
        <w:jc w:val="both"/>
        <w:rPr>
          <w:iCs/>
          <w:color w:val="000000" w:themeColor="text1"/>
          <w:sz w:val="16"/>
          <w:szCs w:val="16"/>
        </w:rPr>
      </w:pPr>
    </w:p>
    <w:p w14:paraId="0D0FBE10" w14:textId="2CF207C2" w:rsidR="00B52070" w:rsidRPr="00F90EAE" w:rsidRDefault="00B52070" w:rsidP="00F90EAE">
      <w:pPr>
        <w:jc w:val="both"/>
        <w:rPr>
          <w:color w:val="000000" w:themeColor="text1"/>
          <w:sz w:val="16"/>
          <w:szCs w:val="16"/>
        </w:rPr>
      </w:pPr>
      <w:r w:rsidRPr="00F90EAE">
        <w:rPr>
          <w:color w:val="000000" w:themeColor="text1"/>
          <w:sz w:val="16"/>
          <w:szCs w:val="16"/>
        </w:rPr>
        <w:t xml:space="preserve">24 марта в 1945 году проведена </w:t>
      </w:r>
      <w:hyperlink r:id="rId79" w:tgtFrame="_blank" w:history="1">
        <w:r w:rsidRPr="00F90EAE">
          <w:rPr>
            <w:color w:val="000000" w:themeColor="text1"/>
            <w:sz w:val="16"/>
            <w:szCs w:val="16"/>
          </w:rPr>
          <w:t xml:space="preserve">"Варсити" </w:t>
        </w:r>
      </w:hyperlink>
      <w:r w:rsidRPr="00F90EAE">
        <w:rPr>
          <w:color w:val="000000" w:themeColor="text1"/>
          <w:sz w:val="16"/>
          <w:szCs w:val="16"/>
        </w:rPr>
        <w:t>по выброске десанта вглубь Германии. Операция "Варсити": свыше 1600 самолетов «С-47» и 1300 планеров "Вакос", "Хорс" и "Гамилькар" высаживают за Рейном в районе Везеля 20 тысяч солдат и офицеров 17-й воздушно-десантной дивизии США и 6-й британской воздушно-десантной дивизии. 13-я воздушно-десантная дивизия США в операции не участвует - нет достаточного количества самолетов. Цена победы - около 2500 парашютистов и планеристов убитыми (больше, чем потеряли 82-я и 101-я воздушно-десантные дивизии в первый день генерального наступления). Союзные</w:t>
      </w:r>
      <w:r w:rsidR="00EA0CFB" w:rsidRPr="00F90EAE">
        <w:rPr>
          <w:color w:val="000000" w:themeColor="text1"/>
          <w:sz w:val="16"/>
          <w:szCs w:val="16"/>
        </w:rPr>
        <w:t xml:space="preserve"> </w:t>
      </w:r>
      <w:r w:rsidRPr="00F90EAE">
        <w:rPr>
          <w:color w:val="000000" w:themeColor="text1"/>
          <w:sz w:val="16"/>
          <w:szCs w:val="16"/>
        </w:rPr>
        <w:t>войска</w:t>
      </w:r>
      <w:r w:rsidR="00EA0CFB" w:rsidRPr="00F90EAE">
        <w:rPr>
          <w:color w:val="000000" w:themeColor="text1"/>
          <w:sz w:val="16"/>
          <w:szCs w:val="16"/>
        </w:rPr>
        <w:t xml:space="preserve"> </w:t>
      </w:r>
      <w:r w:rsidRPr="00F90EAE">
        <w:rPr>
          <w:color w:val="000000" w:themeColor="text1"/>
          <w:sz w:val="16"/>
          <w:szCs w:val="16"/>
        </w:rPr>
        <w:t>форсировали</w:t>
      </w:r>
      <w:r w:rsidR="00EA0CFB" w:rsidRPr="00F90EAE">
        <w:rPr>
          <w:color w:val="000000" w:themeColor="text1"/>
          <w:sz w:val="16"/>
          <w:szCs w:val="16"/>
        </w:rPr>
        <w:t xml:space="preserve"> </w:t>
      </w:r>
      <w:r w:rsidRPr="00F90EAE">
        <w:rPr>
          <w:color w:val="000000" w:themeColor="text1"/>
          <w:sz w:val="16"/>
          <w:szCs w:val="16"/>
        </w:rPr>
        <w:t>Рейн (15078).</w:t>
      </w:r>
    </w:p>
    <w:p w14:paraId="2FFB2A27" w14:textId="77777777" w:rsidR="00B52070" w:rsidRPr="00F90EAE" w:rsidRDefault="00B52070" w:rsidP="00F90EAE">
      <w:pPr>
        <w:jc w:val="both"/>
        <w:rPr>
          <w:color w:val="000000" w:themeColor="text1"/>
          <w:sz w:val="16"/>
          <w:szCs w:val="16"/>
        </w:rPr>
      </w:pPr>
    </w:p>
    <w:p w14:paraId="7D80105A" w14:textId="77777777" w:rsidR="00EA0CFB" w:rsidRPr="00F90EAE" w:rsidRDefault="00EA0CFB" w:rsidP="00F90EAE">
      <w:pPr>
        <w:jc w:val="both"/>
        <w:rPr>
          <w:color w:val="0070C0"/>
          <w:sz w:val="16"/>
          <w:szCs w:val="16"/>
        </w:rPr>
      </w:pPr>
      <w:r w:rsidRPr="00F90EAE">
        <w:rPr>
          <w:color w:val="0070C0"/>
          <w:sz w:val="16"/>
          <w:szCs w:val="16"/>
        </w:rPr>
        <w:t>24 марта 1945 Союзнические силы начинают крупномасштабное форсирование реки Рейн в ходе операции «Университетская» . В операции задействовано 2 тысячи транспортных самолетов и планеров (20371).</w:t>
      </w:r>
    </w:p>
    <w:p w14:paraId="35003C58" w14:textId="77777777" w:rsidR="00EA0CFB" w:rsidRPr="00F90EAE" w:rsidRDefault="00EA0CFB" w:rsidP="00F90EAE">
      <w:pPr>
        <w:jc w:val="both"/>
        <w:rPr>
          <w:color w:val="0070C0"/>
          <w:sz w:val="16"/>
          <w:szCs w:val="16"/>
        </w:rPr>
      </w:pPr>
    </w:p>
    <w:p w14:paraId="518CF8C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24th, 1945: In a major effort (Operation Plunder), units of the British Second Army (Dempsey) cross the lower Rhine at Wesel, followed by 40,000 US and British airborne troops (Operation Varsity). The US Third Army captures Speyer and Ludwigshafen on the upper Rhine. In the East, the 1st Ukrainian Front captures Neisse in Upper Silesia (3819).</w:t>
      </w:r>
    </w:p>
    <w:p w14:paraId="2831BA20" w14:textId="77777777" w:rsidR="00665165" w:rsidRPr="00F90EAE" w:rsidRDefault="00665165" w:rsidP="00F90EAE">
      <w:pPr>
        <w:autoSpaceDE w:val="0"/>
        <w:autoSpaceDN w:val="0"/>
        <w:adjustRightInd w:val="0"/>
        <w:jc w:val="both"/>
        <w:rPr>
          <w:color w:val="000000" w:themeColor="text1"/>
          <w:sz w:val="16"/>
          <w:szCs w:val="16"/>
          <w:lang w:val="en-US"/>
        </w:rPr>
      </w:pPr>
    </w:p>
    <w:p w14:paraId="16BE15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24 марта 1945 состоялась Рейнская воздушно-десантная операция с целью оказания помощи силам 21 группы армий в захвате плацдармов на правом берегу Рейна как часть Рурской операции. с 1595 самолетов и 1347 планеров под защитой 889 истребителей сбросили две дивизии. захватили плацдармы и 5 мостов через Иссель (2443,71).</w:t>
      </w:r>
    </w:p>
    <w:p w14:paraId="15499C9F" w14:textId="77777777" w:rsidR="00665165" w:rsidRPr="00F90EAE" w:rsidRDefault="00665165" w:rsidP="00F90EAE">
      <w:pPr>
        <w:autoSpaceDE w:val="0"/>
        <w:autoSpaceDN w:val="0"/>
        <w:adjustRightInd w:val="0"/>
        <w:jc w:val="both"/>
        <w:rPr>
          <w:color w:val="000000" w:themeColor="text1"/>
          <w:sz w:val="16"/>
          <w:szCs w:val="16"/>
        </w:rPr>
      </w:pPr>
    </w:p>
    <w:p w14:paraId="440A29F2" w14:textId="77777777" w:rsidR="00927952" w:rsidRPr="00F90EAE" w:rsidRDefault="00927952" w:rsidP="00F90EAE">
      <w:pPr>
        <w:jc w:val="both"/>
        <w:rPr>
          <w:color w:val="000000" w:themeColor="text1"/>
          <w:sz w:val="16"/>
          <w:szCs w:val="16"/>
        </w:rPr>
      </w:pPr>
      <w:r w:rsidRPr="00F90EAE">
        <w:rPr>
          <w:color w:val="000000" w:themeColor="text1"/>
          <w:sz w:val="16"/>
          <w:szCs w:val="16"/>
        </w:rPr>
        <w:t>24 марта 1945 года боевое состоялось применение авиадесантного танка Locust (18244).</w:t>
      </w:r>
    </w:p>
    <w:p w14:paraId="54F80CDE" w14:textId="77777777" w:rsidR="00927952" w:rsidRPr="00F90EAE" w:rsidRDefault="00927952" w:rsidP="00F90EAE">
      <w:pPr>
        <w:jc w:val="both"/>
        <w:rPr>
          <w:color w:val="000000" w:themeColor="text1"/>
          <w:sz w:val="16"/>
          <w:szCs w:val="16"/>
        </w:rPr>
      </w:pPr>
    </w:p>
    <w:p w14:paraId="4B12865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марта 1945 канадские войска вступили в Голландию (4962).</w:t>
      </w:r>
    </w:p>
    <w:p w14:paraId="20B80AA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F7D5CBE" w14:textId="77777777" w:rsidR="00B52070" w:rsidRPr="00F90EAE" w:rsidRDefault="00B52070" w:rsidP="00F90EAE">
      <w:pPr>
        <w:autoSpaceDE w:val="0"/>
        <w:autoSpaceDN w:val="0"/>
        <w:adjustRightInd w:val="0"/>
        <w:jc w:val="both"/>
        <w:rPr>
          <w:color w:val="000000" w:themeColor="text1"/>
          <w:sz w:val="16"/>
          <w:szCs w:val="16"/>
        </w:rPr>
      </w:pPr>
      <w:r w:rsidRPr="00F90EAE">
        <w:rPr>
          <w:color w:val="000000" w:themeColor="text1"/>
          <w:sz w:val="16"/>
          <w:szCs w:val="16"/>
        </w:rPr>
        <w:t>24 марта 1945 Египет объявил войну Германии (2100).</w:t>
      </w:r>
    </w:p>
    <w:p w14:paraId="175BC815" w14:textId="77777777" w:rsidR="00B52070" w:rsidRPr="00F90EAE" w:rsidRDefault="00B52070" w:rsidP="00F90EAE">
      <w:pPr>
        <w:autoSpaceDE w:val="0"/>
        <w:autoSpaceDN w:val="0"/>
        <w:adjustRightInd w:val="0"/>
        <w:jc w:val="both"/>
        <w:rPr>
          <w:color w:val="000000" w:themeColor="text1"/>
          <w:sz w:val="16"/>
          <w:szCs w:val="16"/>
        </w:rPr>
      </w:pPr>
    </w:p>
    <w:p w14:paraId="371786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Вечером 24 марта 1945 капитан I ранга Окамура собрал всех летчиков и объявил, что массовое применение самолета Ока прекращено.</w:t>
      </w:r>
    </w:p>
    <w:p w14:paraId="1C7E71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Потеряв один самолет, корпус лишался одного летчика. Потеря самолета Ока вела к потере самолета-носителя и экипажа из восьми человек. Он также объявил, глядя в растерянные лица пилотов, что теперь в самоубийственных атаках будут участвовать и летчики-истребители. Для этого в корпусе будет сформирована «Эскадрилья Кэмму», на вооружении которой будут стоять новейшие самолеты Зеро с 500-килограммовой бомбой (11686).</w:t>
      </w:r>
    </w:p>
    <w:p w14:paraId="39E626DC" w14:textId="77777777" w:rsidR="00665165" w:rsidRPr="00F90EAE" w:rsidRDefault="00665165" w:rsidP="00F90EAE">
      <w:pPr>
        <w:autoSpaceDE w:val="0"/>
        <w:autoSpaceDN w:val="0"/>
        <w:adjustRightInd w:val="0"/>
        <w:jc w:val="both"/>
        <w:rPr>
          <w:color w:val="000000" w:themeColor="text1"/>
          <w:sz w:val="16"/>
          <w:szCs w:val="16"/>
        </w:rPr>
      </w:pPr>
    </w:p>
    <w:p w14:paraId="1D764AA5" w14:textId="77777777" w:rsidR="00EA0CFB" w:rsidRPr="00F90EAE" w:rsidRDefault="00EA0CFB" w:rsidP="00F90EAE">
      <w:pPr>
        <w:jc w:val="both"/>
        <w:rPr>
          <w:color w:val="0070C0"/>
          <w:sz w:val="16"/>
          <w:szCs w:val="16"/>
        </w:rPr>
      </w:pPr>
      <w:r w:rsidRPr="00F90EAE">
        <w:rPr>
          <w:color w:val="0070C0"/>
          <w:sz w:val="16"/>
          <w:szCs w:val="16"/>
        </w:rPr>
        <w:t>24 марта 1945 112 самолетов-носителей оперативной группы 58 потопили весь конвой из восьми японских кораблей в 150 морских милях (278 км) к северо-западу от Окинавы (20371).</w:t>
      </w:r>
    </w:p>
    <w:p w14:paraId="5E1A4C32" w14:textId="77777777" w:rsidR="00EA0CFB" w:rsidRPr="00F90EAE" w:rsidRDefault="00EA0CFB" w:rsidP="00F90EAE">
      <w:pPr>
        <w:jc w:val="both"/>
        <w:rPr>
          <w:color w:val="0070C0"/>
          <w:sz w:val="16"/>
          <w:szCs w:val="16"/>
        </w:rPr>
      </w:pPr>
    </w:p>
    <w:p w14:paraId="4D6D8682" w14:textId="77777777" w:rsidR="00B52070" w:rsidRPr="00F90EAE" w:rsidRDefault="00B52070" w:rsidP="00F90EAE">
      <w:pPr>
        <w:jc w:val="both"/>
        <w:rPr>
          <w:color w:val="000000" w:themeColor="text1"/>
          <w:sz w:val="16"/>
          <w:szCs w:val="16"/>
        </w:rPr>
      </w:pPr>
      <w:r w:rsidRPr="00F90EAE">
        <w:rPr>
          <w:bCs/>
          <w:color w:val="000000" w:themeColor="text1"/>
          <w:sz w:val="16"/>
          <w:szCs w:val="16"/>
        </w:rPr>
        <w:t>24 марта</w:t>
      </w:r>
      <w:r w:rsidRPr="00F90EAE">
        <w:rPr>
          <w:color w:val="000000" w:themeColor="text1"/>
          <w:sz w:val="16"/>
          <w:szCs w:val="16"/>
        </w:rPr>
        <w:t xml:space="preserve"> в 1945 году «Биллборд» публикует первый американский альбомный чарт. Нэт Кинг Коул стал первым лидером чарта с диском «A Collection Of Favourites» (15078).</w:t>
      </w:r>
    </w:p>
    <w:p w14:paraId="7DCE1917" w14:textId="77777777" w:rsidR="00B52070" w:rsidRPr="00F90EAE" w:rsidRDefault="00B52070" w:rsidP="00F90EAE">
      <w:pPr>
        <w:jc w:val="both"/>
        <w:rPr>
          <w:color w:val="000000" w:themeColor="text1"/>
          <w:sz w:val="16"/>
          <w:szCs w:val="16"/>
        </w:rPr>
      </w:pPr>
    </w:p>
    <w:p w14:paraId="66A58E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8651E13" w14:textId="77777777" w:rsidR="00665165" w:rsidRPr="00F90EAE" w:rsidRDefault="00665165" w:rsidP="00F90EAE">
      <w:pPr>
        <w:autoSpaceDE w:val="0"/>
        <w:autoSpaceDN w:val="0"/>
        <w:adjustRightInd w:val="0"/>
        <w:jc w:val="both"/>
        <w:rPr>
          <w:iCs/>
          <w:color w:val="000000" w:themeColor="text1"/>
          <w:sz w:val="16"/>
          <w:szCs w:val="16"/>
        </w:rPr>
      </w:pPr>
    </w:p>
    <w:p w14:paraId="5A3FAE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закончились гос. испытания модифицированного Ла-7 № 38105758 с 3 пушками Б-20, которые проходили с 22 февраля 1945 по.</w:t>
      </w:r>
    </w:p>
    <w:p w14:paraId="5817FD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 38100358, 38105758 производства завода № 381</w:t>
      </w:r>
    </w:p>
    <w:p w14:paraId="2B59D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Г.В.Чертявский</w:t>
      </w:r>
    </w:p>
    <w:p w14:paraId="31A5A6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м Кубышкин</w:t>
      </w:r>
    </w:p>
    <w:p w14:paraId="3AE1E4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производства з-да № 381 выпуска января-февраля 1945 г</w:t>
      </w:r>
    </w:p>
    <w:p w14:paraId="070BA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38100358 испытания начались 25 января 1945 и прекращены 7 февраля 1945 из-за ненадежной работы вооружения.</w:t>
      </w:r>
    </w:p>
    <w:p w14:paraId="643C45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5758 испытания начаты 22 февраля и закончены 25 марта 1945 г.</w:t>
      </w:r>
    </w:p>
    <w:p w14:paraId="77456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полетов на с-те № 0358 налет составил 2:50</w:t>
      </w:r>
    </w:p>
    <w:p w14:paraId="3CB0B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2675, полетный - 3312</w:t>
      </w:r>
    </w:p>
    <w:p w14:paraId="6219F3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571, на 1 гр. (2900) - 632, на 5000 - 636, на 2 гр. (6100) - 662 км/час</w:t>
      </w:r>
    </w:p>
    <w:p w14:paraId="189B1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5000 - 5,1</w:t>
      </w:r>
    </w:p>
    <w:p w14:paraId="0FD50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10325, время набора 26 мин.</w:t>
      </w:r>
    </w:p>
    <w:p w14:paraId="79C04B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10E73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02653E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работы 20мм пушек Б-20с и их синхронной установки не обеспечена.</w:t>
      </w:r>
    </w:p>
    <w:p w14:paraId="011C3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Материалы испытаний оставить для внутреннего пользованияч.</w:t>
      </w:r>
    </w:p>
    <w:p w14:paraId="339661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2B1D16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Кочетков, Л.. 2 апреля 1945 (743,1).</w:t>
      </w:r>
    </w:p>
    <w:p w14:paraId="15E6C6CC" w14:textId="77777777" w:rsidR="00665165" w:rsidRPr="00F90EAE" w:rsidRDefault="00665165" w:rsidP="00F90EAE">
      <w:pPr>
        <w:autoSpaceDE w:val="0"/>
        <w:autoSpaceDN w:val="0"/>
        <w:adjustRightInd w:val="0"/>
        <w:jc w:val="both"/>
        <w:rPr>
          <w:color w:val="000000" w:themeColor="text1"/>
          <w:sz w:val="16"/>
          <w:szCs w:val="16"/>
        </w:rPr>
      </w:pPr>
    </w:p>
    <w:p w14:paraId="516530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была окончена отгрузка в СССР на завод 456 в Москве крыльев самолетов-снарядов из г. Китлицтребен (1874,15).</w:t>
      </w:r>
    </w:p>
    <w:p w14:paraId="3212C7C2" w14:textId="77777777" w:rsidR="00665165" w:rsidRPr="00F90EAE" w:rsidRDefault="00665165" w:rsidP="00F90EAE">
      <w:pPr>
        <w:autoSpaceDE w:val="0"/>
        <w:autoSpaceDN w:val="0"/>
        <w:adjustRightInd w:val="0"/>
        <w:jc w:val="both"/>
        <w:rPr>
          <w:color w:val="000000" w:themeColor="text1"/>
          <w:sz w:val="16"/>
          <w:szCs w:val="16"/>
        </w:rPr>
      </w:pPr>
    </w:p>
    <w:p w14:paraId="15861C92" w14:textId="77777777" w:rsidR="00F94661" w:rsidRPr="00F90EAE" w:rsidRDefault="00F9466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502BE44" w14:textId="77777777" w:rsidR="00F94661" w:rsidRPr="00F90EAE" w:rsidRDefault="00F94661" w:rsidP="00F90EAE">
      <w:pPr>
        <w:autoSpaceDE w:val="0"/>
        <w:autoSpaceDN w:val="0"/>
        <w:adjustRightInd w:val="0"/>
        <w:jc w:val="both"/>
        <w:rPr>
          <w:iCs/>
          <w:color w:val="000000" w:themeColor="text1"/>
          <w:sz w:val="16"/>
          <w:szCs w:val="16"/>
        </w:rPr>
      </w:pPr>
    </w:p>
    <w:p w14:paraId="654A1D81" w14:textId="77777777" w:rsidR="00F94661" w:rsidRPr="00F90EAE" w:rsidRDefault="00F94661" w:rsidP="00F90EAE">
      <w:pPr>
        <w:shd w:val="clear" w:color="auto" w:fill="FFFFFF"/>
        <w:jc w:val="both"/>
        <w:rPr>
          <w:color w:val="000000" w:themeColor="text1"/>
          <w:sz w:val="16"/>
          <w:szCs w:val="16"/>
        </w:rPr>
      </w:pPr>
      <w:r w:rsidRPr="00F90EAE">
        <w:rPr>
          <w:color w:val="000000" w:themeColor="text1"/>
          <w:sz w:val="16"/>
          <w:szCs w:val="16"/>
        </w:rPr>
        <w:t>25 марта 1945 два легких танка M24 были погружены на железнодорожную платформу и отправились из Мурманска в Кубинку (17684).</w:t>
      </w:r>
    </w:p>
    <w:p w14:paraId="675ABFCB" w14:textId="77777777" w:rsidR="00F94661" w:rsidRPr="00F90EAE" w:rsidRDefault="00F94661" w:rsidP="00F90EAE">
      <w:pPr>
        <w:jc w:val="both"/>
        <w:rPr>
          <w:rStyle w:val="107"/>
          <w:rFonts w:eastAsiaTheme="minorHAnsi"/>
          <w:color w:val="000000" w:themeColor="text1"/>
          <w:sz w:val="16"/>
          <w:szCs w:val="16"/>
        </w:rPr>
      </w:pPr>
    </w:p>
    <w:p w14:paraId="1F7CB819" w14:textId="77777777" w:rsidR="00F94661" w:rsidRPr="00F90EAE" w:rsidRDefault="00F94661" w:rsidP="00F90EAE">
      <w:pPr>
        <w:pStyle w:val="ae"/>
        <w:shd w:val="clear" w:color="auto" w:fill="FFFFFF"/>
        <w:spacing w:before="0" w:after="0"/>
        <w:jc w:val="both"/>
        <w:rPr>
          <w:color w:val="000000" w:themeColor="text1"/>
          <w:sz w:val="16"/>
          <w:szCs w:val="16"/>
        </w:rPr>
      </w:pPr>
      <w:r w:rsidRPr="00F90EAE">
        <w:rPr>
          <w:color w:val="000000" w:themeColor="text1"/>
          <w:sz w:val="16"/>
          <w:szCs w:val="16"/>
        </w:rPr>
        <w:t>25 марта 1944 прибывший в Мурманск 21 марта вместе с семью M4A2E8 на борту транспорта SS Eleazar Lord (</w:t>
      </w:r>
      <w:hyperlink r:id="rId80" w:history="1">
        <w:r w:rsidRPr="00F90EAE">
          <w:rPr>
            <w:rStyle w:val="a5"/>
            <w:color w:val="000000" w:themeColor="text1"/>
            <w:sz w:val="16"/>
            <w:szCs w:val="16"/>
          </w:rPr>
          <w:t>типа Liberty</w:t>
        </w:r>
      </w:hyperlink>
      <w:r w:rsidRPr="00F90EAE">
        <w:rPr>
          <w:color w:val="000000" w:themeColor="text1"/>
          <w:sz w:val="16"/>
          <w:szCs w:val="16"/>
        </w:rPr>
        <w:t>) танк M4A2E8 с регистрационным номером U.S.A. 30122430,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0EAF5966" w14:textId="77777777" w:rsidR="00F94661" w:rsidRPr="00F90EAE" w:rsidRDefault="00F94661" w:rsidP="00F90EAE">
      <w:pPr>
        <w:jc w:val="both"/>
        <w:rPr>
          <w:rStyle w:val="107"/>
          <w:rFonts w:eastAsiaTheme="minorHAnsi"/>
          <w:color w:val="000000" w:themeColor="text1"/>
          <w:sz w:val="16"/>
          <w:szCs w:val="16"/>
        </w:rPr>
      </w:pPr>
    </w:p>
    <w:p w14:paraId="7805480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A89080" w14:textId="77777777" w:rsidR="00665165" w:rsidRPr="00F90EAE" w:rsidRDefault="00665165" w:rsidP="00F90EAE">
      <w:pPr>
        <w:autoSpaceDE w:val="0"/>
        <w:autoSpaceDN w:val="0"/>
        <w:adjustRightInd w:val="0"/>
        <w:jc w:val="both"/>
        <w:rPr>
          <w:iCs/>
          <w:color w:val="000000" w:themeColor="text1"/>
          <w:sz w:val="16"/>
          <w:szCs w:val="16"/>
        </w:rPr>
      </w:pPr>
    </w:p>
    <w:p w14:paraId="46BC709E" w14:textId="77777777" w:rsidR="00B52070" w:rsidRPr="00F90EAE" w:rsidRDefault="00B52070" w:rsidP="00F90EAE">
      <w:pPr>
        <w:jc w:val="both"/>
        <w:rPr>
          <w:color w:val="000000" w:themeColor="text1"/>
          <w:sz w:val="16"/>
          <w:szCs w:val="16"/>
        </w:rPr>
      </w:pPr>
      <w:r w:rsidRPr="00F90EAE">
        <w:rPr>
          <w:bCs/>
          <w:color w:val="000000" w:themeColor="text1"/>
          <w:sz w:val="16"/>
          <w:szCs w:val="16"/>
        </w:rPr>
        <w:t>25 марта</w:t>
      </w:r>
      <w:r w:rsidRPr="00F90EAE">
        <w:rPr>
          <w:color w:val="000000" w:themeColor="text1"/>
          <w:sz w:val="16"/>
          <w:szCs w:val="16"/>
        </w:rPr>
        <w:t xml:space="preserve"> в 1945 году оперативная сводка Совинформбюро:</w:t>
      </w:r>
    </w:p>
    <w:p w14:paraId="46392973"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3-го Белорусского фронта, продолжая наступление, 25 марта овладели городом ХАйлигенбайль — последним опорным пунктом обороны немцев на побережье залива Фриш-Гаф юго-западнее Кенигсберга, а также заняли населённые пункты Партайнен, Ремзегут, Каймкаллен, Брегден, Штайндорф, Карбен, Прейсиш Банау, Шеттниенен, Герлаксдорф, Рааде, Лейзунен, Бюстервальде, Рауненберг. В боях за 24 и 25 марта в этом районе войска фронта взяли в плен более 9.000 немецких солдат и офицеров и захватили следующие трофеи: самолётов— 109, танков и самоходных орудий — 65, орудий — 245, пулемётов — 176, автомашин — 3.330, бронетранспортёров — 69.</w:t>
      </w:r>
    </w:p>
    <w:p w14:paraId="19F808A1" w14:textId="77777777" w:rsidR="00B52070" w:rsidRPr="00F90EAE" w:rsidRDefault="00B52070" w:rsidP="00F90EAE">
      <w:pPr>
        <w:jc w:val="both"/>
        <w:rPr>
          <w:color w:val="000000" w:themeColor="text1"/>
          <w:sz w:val="16"/>
          <w:szCs w:val="16"/>
        </w:rPr>
      </w:pPr>
      <w:r w:rsidRPr="00F90EAE">
        <w:rPr>
          <w:color w:val="000000" w:themeColor="text1"/>
          <w:sz w:val="16"/>
          <w:szCs w:val="16"/>
        </w:rPr>
        <w:t>На Гданьском (Данцигском) направлении наши войска, преодолевая сопротивление противника, овладели пригородом Гданьска (Данцига) — Олива и заняли населённые пункты Боргфельд, Ковалл, Карчемке, Клайн Катц, Виттомин. За 24 марта в этом районе наши войска взяли в плен более 1.000 немецких солдат и офицеров.</w:t>
      </w:r>
    </w:p>
    <w:p w14:paraId="5B6FD8E3"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2-го Украинского фронта, перейдя в наступление, прорвали сильную оборону немцев в горах Вэртэшхедышг западнее Будапешта, разгромили группу немецких войск в районе Естергома и продвинулись вперёд на 45 километров.</w:t>
      </w:r>
    </w:p>
    <w:p w14:paraId="6CE0527B" w14:textId="77777777" w:rsidR="00B52070" w:rsidRPr="00F90EAE" w:rsidRDefault="00B52070" w:rsidP="00F90EAE">
      <w:pPr>
        <w:jc w:val="both"/>
        <w:rPr>
          <w:color w:val="000000" w:themeColor="text1"/>
          <w:sz w:val="16"/>
          <w:szCs w:val="16"/>
        </w:rPr>
      </w:pPr>
      <w:r w:rsidRPr="00F90EAE">
        <w:rPr>
          <w:color w:val="000000" w:themeColor="text1"/>
          <w:sz w:val="16"/>
          <w:szCs w:val="16"/>
        </w:rPr>
        <w:t>В ходе наступления войска фронта овладели городами Естергом, Несмей, Фельшегалла и Тата, а также заняли более 200 других населённых пунктов, в том числе крупные населённые пункты Токод, Тат, Байот, Таварош, Татабанья, Банхида, Кернье, Дунаальмаш, Насади, Моча, Коч, Сенд, Часар.</w:t>
      </w:r>
    </w:p>
    <w:p w14:paraId="74C9269A" w14:textId="77777777" w:rsidR="00B52070" w:rsidRPr="00F90EAE" w:rsidRDefault="00B52070" w:rsidP="00F90EAE">
      <w:pPr>
        <w:jc w:val="both"/>
        <w:rPr>
          <w:color w:val="000000" w:themeColor="text1"/>
          <w:sz w:val="16"/>
          <w:szCs w:val="16"/>
        </w:rPr>
      </w:pPr>
      <w:r w:rsidRPr="00F90EAE">
        <w:rPr>
          <w:color w:val="000000" w:themeColor="text1"/>
          <w:sz w:val="16"/>
          <w:szCs w:val="16"/>
        </w:rPr>
        <w:t>За время этих боёв наши войска взяли в плен 7.000 солдат и офицеров противника, уничтожили и захватили 250 танков и самоходных орудий, более 300 орудий и много другого вооружения и военного имущества.</w:t>
      </w:r>
    </w:p>
    <w:p w14:paraId="63DACDC4" w14:textId="77777777" w:rsidR="00B52070" w:rsidRPr="00F90EAE" w:rsidRDefault="00B52070" w:rsidP="00F90EAE">
      <w:pPr>
        <w:jc w:val="both"/>
        <w:rPr>
          <w:color w:val="000000" w:themeColor="text1"/>
          <w:sz w:val="16"/>
          <w:szCs w:val="16"/>
        </w:rPr>
      </w:pPr>
      <w:r w:rsidRPr="00F90EAE">
        <w:rPr>
          <w:color w:val="000000" w:themeColor="text1"/>
          <w:sz w:val="16"/>
          <w:szCs w:val="16"/>
        </w:rPr>
        <w:t>Севернее озера Балатон наши войска, продолжая наступление, овладели городом и железнодорожной станцией Варошлед, а также заняли более 50 других населённых пунктов и среди них: Папатесер, Баконькоппань, Тапольцафе, Баконьяко, Мадьярполань, Сентгал, Тотважонь, Балатонфюред, Фюрдетелеп.</w:t>
      </w:r>
    </w:p>
    <w:p w14:paraId="5C14C0BA" w14:textId="77777777" w:rsidR="00B52070" w:rsidRPr="00F90EAE" w:rsidRDefault="00B52070" w:rsidP="00F90EAE">
      <w:pPr>
        <w:jc w:val="both"/>
        <w:rPr>
          <w:color w:val="000000" w:themeColor="text1"/>
          <w:sz w:val="16"/>
          <w:szCs w:val="16"/>
        </w:rPr>
      </w:pPr>
      <w:r w:rsidRPr="00F90EAE">
        <w:rPr>
          <w:color w:val="000000" w:themeColor="text1"/>
          <w:sz w:val="16"/>
          <w:szCs w:val="16"/>
        </w:rPr>
        <w:t>За 24 марта на всех фронтах подбито и уничтожено 147 немецких танков и самоходных орудий. В воздушных боях и огнём зенитной артиллерии сбито 63 самолёта противника.</w:t>
      </w:r>
    </w:p>
    <w:p w14:paraId="23328852" w14:textId="77777777" w:rsidR="00B52070" w:rsidRPr="00F90EAE" w:rsidRDefault="00B52070" w:rsidP="00F90EAE">
      <w:pPr>
        <w:jc w:val="both"/>
        <w:rPr>
          <w:color w:val="000000" w:themeColor="text1"/>
          <w:sz w:val="16"/>
          <w:szCs w:val="16"/>
        </w:rPr>
      </w:pPr>
      <w:r w:rsidRPr="00F90EAE">
        <w:rPr>
          <w:color w:val="000000" w:themeColor="text1"/>
          <w:sz w:val="16"/>
          <w:szCs w:val="16"/>
        </w:rPr>
        <w:t>Налёт нашей авиации на Гданьск (Данциг) и Пиллау</w:t>
      </w:r>
    </w:p>
    <w:p w14:paraId="64A48914" w14:textId="77777777" w:rsidR="00B52070" w:rsidRPr="00F90EAE" w:rsidRDefault="00B52070" w:rsidP="00F90EAE">
      <w:pPr>
        <w:jc w:val="both"/>
        <w:rPr>
          <w:color w:val="000000" w:themeColor="text1"/>
          <w:sz w:val="16"/>
          <w:szCs w:val="16"/>
        </w:rPr>
      </w:pPr>
      <w:r w:rsidRPr="00F90EAE">
        <w:rPr>
          <w:color w:val="000000" w:themeColor="text1"/>
          <w:sz w:val="16"/>
          <w:szCs w:val="16"/>
        </w:rPr>
        <w:t>В ночь на 25 марта наши тяжёлые бомбардировщики нанесли дар по военным объектам противника в Гданьске (Данциге) и Пиллау.</w:t>
      </w:r>
    </w:p>
    <w:p w14:paraId="172BB58F" w14:textId="77777777" w:rsidR="00B52070" w:rsidRPr="00F90EAE" w:rsidRDefault="00B52070" w:rsidP="00F90EAE">
      <w:pPr>
        <w:jc w:val="both"/>
        <w:rPr>
          <w:color w:val="000000" w:themeColor="text1"/>
          <w:sz w:val="16"/>
          <w:szCs w:val="16"/>
        </w:rPr>
      </w:pPr>
      <w:r w:rsidRPr="00F90EAE">
        <w:rPr>
          <w:color w:val="000000" w:themeColor="text1"/>
          <w:sz w:val="16"/>
          <w:szCs w:val="16"/>
        </w:rPr>
        <w:t>В результате бомбардировки на железнодорожном узле и в порту Гданьск (Данциг) возникло более 50 пожаров, сопровождавшийся взрывами большой силы.</w:t>
      </w:r>
    </w:p>
    <w:p w14:paraId="02E0FB01" w14:textId="77777777" w:rsidR="00B52070" w:rsidRPr="00F90EAE" w:rsidRDefault="00B52070" w:rsidP="00F90EAE">
      <w:pPr>
        <w:jc w:val="both"/>
        <w:rPr>
          <w:color w:val="000000" w:themeColor="text1"/>
          <w:sz w:val="16"/>
          <w:szCs w:val="16"/>
        </w:rPr>
      </w:pPr>
      <w:r w:rsidRPr="00F90EAE">
        <w:rPr>
          <w:color w:val="000000" w:themeColor="text1"/>
          <w:sz w:val="16"/>
          <w:szCs w:val="16"/>
        </w:rPr>
        <w:t>В порту Пиллау отмечено несколько пожаров и крупных взрывов.</w:t>
      </w:r>
    </w:p>
    <w:p w14:paraId="0C0A16DB"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3-го Белорусского фронта вели успешные бои по ликвидации группы войск противника на побережье залива Фриш-Гаф. Немцы оказывают отчаянное сопротивление. Пленные показывают, что немецкое командование приняло ряд чрезвычайных мер для повышения боеспособности своих частей. Многие орудийные расчёты укомплектованы офицерами. Позади пехотных подразделений расположены эсэсовские заградительные отряды. Они расстреливают солдат за малейшую попытку отступить с занимаемых позиций или сдаться в плен.</w:t>
      </w:r>
    </w:p>
    <w:p w14:paraId="7A1B7998" w14:textId="77777777" w:rsidR="00B52070" w:rsidRPr="00F90EAE" w:rsidRDefault="00B52070" w:rsidP="00F90EAE">
      <w:pPr>
        <w:jc w:val="both"/>
        <w:rPr>
          <w:color w:val="000000" w:themeColor="text1"/>
          <w:sz w:val="16"/>
          <w:szCs w:val="16"/>
        </w:rPr>
      </w:pPr>
      <w:r w:rsidRPr="00F90EAE">
        <w:rPr>
          <w:color w:val="000000" w:themeColor="text1"/>
          <w:sz w:val="16"/>
          <w:szCs w:val="16"/>
        </w:rPr>
        <w:t xml:space="preserve">Наши войска, преодолевая сопротивление противника, настойчиво продвигаются вперёд. Ожесточённые бои произошли в городе Хайлигенбайль. Немцы приспособили к обороне каждое здание и вели сильный огонь из подвалов и чердаков. Советские штурмовые группы, усиленные орудиями, выбили врага с территории </w:t>
      </w:r>
      <w:r w:rsidRPr="00F90EAE">
        <w:rPr>
          <w:color w:val="000000" w:themeColor="text1"/>
          <w:sz w:val="16"/>
          <w:szCs w:val="16"/>
        </w:rPr>
        <w:lastRenderedPageBreak/>
        <w:t>железнодорожной станции и завода, расположенных в юго-восточной части города. В заводских корпусах захвачено 134 авиамотора. Очищая от гитлеровцев квартал за кварталом, наши войска сегодня вышли на северные окраины и полностью овладели городом Хайлигенбайль —- последним опорным пунктом обороны немцев на побережье залива Фриш-Гаф. Другие наши части очистили от противника район между реками Пассарге и Банау, заняв при этом ряд населённых пунктов. Число взятых в плен немцев всё время увеличивается.</w:t>
      </w:r>
    </w:p>
    <w:p w14:paraId="0B14A93C" w14:textId="77777777" w:rsidR="00B52070" w:rsidRPr="00F90EAE" w:rsidRDefault="00B52070" w:rsidP="00F90EAE">
      <w:pPr>
        <w:jc w:val="both"/>
        <w:rPr>
          <w:color w:val="000000" w:themeColor="text1"/>
          <w:sz w:val="16"/>
          <w:szCs w:val="16"/>
        </w:rPr>
      </w:pPr>
      <w:r w:rsidRPr="00F90EAE">
        <w:rPr>
          <w:color w:val="000000" w:themeColor="text1"/>
          <w:sz w:val="16"/>
          <w:szCs w:val="16"/>
        </w:rPr>
        <w:t>На Гданьском (Данцигском) направлении наши войска продолжали наступление. Западнее Гданьска (Данцига) советские части вышли к внутреннему обводу укреплённого района. Наши пехотинцы, наступающие по побережью Данцигской бухты, преодолели противотанковый ров и, быстро продвигаясь вперёд, захватили в исправном состоянии мосты через реку Глетткау. Эти мосты сразу же были использованы для переброски танков и артиллерии. Преследуя противника, советские пехотинцы и танкисты ворвались в Олива — пригород Гданьска (Данцига). В результате ожесточённого боя этот пригород, находящийся в 3 километрах к северу от Гданьска, занят нашими войсками. На подступах к Гдыне советские части отбили многочисленные вражеские контратаки и овладели посёлком Клайн Катц. Места боёв завалены трупами немецких солдат и офицеров. За день уничтожено 17 танков, 52 орудия и 58 миномётов противника. Нашими бойцами захвачены трофеи, в числе которых 5 танков, 6 железнодорожных эшелонов и более 600 вагонов с различными военными грузами.</w:t>
      </w:r>
    </w:p>
    <w:p w14:paraId="32AD1214" w14:textId="77777777" w:rsidR="00B52070" w:rsidRPr="00F90EAE" w:rsidRDefault="00B52070" w:rsidP="00F90EAE">
      <w:pPr>
        <w:jc w:val="both"/>
        <w:rPr>
          <w:color w:val="000000" w:themeColor="text1"/>
          <w:sz w:val="16"/>
          <w:szCs w:val="16"/>
        </w:rPr>
      </w:pPr>
      <w:r w:rsidRPr="00F90EAE">
        <w:rPr>
          <w:color w:val="000000" w:themeColor="text1"/>
          <w:sz w:val="16"/>
          <w:szCs w:val="16"/>
        </w:rPr>
        <w:t>Советские лётчики потопили в Данцигской бухте 6 десантных самоходных барж, 2 катера и другие суда немцев. Отмечены прямые попадания бомб в военные корабли противника.</w:t>
      </w:r>
    </w:p>
    <w:p w14:paraId="349B5458" w14:textId="77777777" w:rsidR="00B52070" w:rsidRPr="00F90EAE" w:rsidRDefault="00B52070" w:rsidP="00F90EAE">
      <w:pPr>
        <w:jc w:val="both"/>
        <w:rPr>
          <w:color w:val="000000" w:themeColor="text1"/>
          <w:sz w:val="16"/>
          <w:szCs w:val="16"/>
        </w:rPr>
      </w:pPr>
      <w:r w:rsidRPr="00F90EAE">
        <w:rPr>
          <w:color w:val="000000" w:themeColor="text1"/>
          <w:sz w:val="16"/>
          <w:szCs w:val="16"/>
        </w:rPr>
        <w:t>Войска 2-го Украинского фронта перешли в наступление. Советские пехотные части, поддержанные артиллерией и авиацией, прорвали сильную оборону противника. В покрытых лесом горах Вэртэшхедьшэг западнее Будапешта немцы устроили на дорогах огромные завалы. Они отрыли на всех проходимых участках противотанковые рвы и всюду расставили мины. Наши части, усиленные подразделениями сапёров, с боями преодолели полосу гор и вырвались на равнинную местность. Противник пытался остановить советские войска на втором оборонительном рубеже, построенном на западном берегу реки Алтая. Однако наши пехотинцы, под прикрытием артиллерийского огня, переправились через реку и овладели этим рубежом. Удар советских частей был настолько стремительным, что немцы в беспорядке отступили, бросив всё своё вооружение. Преследуя врага, войска фронта штурмом заняли промышленный венгерский город Тала, вышли на южный берег реки Дунай и перерезали железную дорогу Естергом—Комарно. Таким образом, группа немецких войск, расположенная в районе Естергома, оказалась прижатой к Дунаю. Тесня противника со всех сторон, наши войска овладели городом Естергом — мощным опорным пунктом обороны немцев. В результате стремительных действий советских войск остатки естергомской группы противника загнаны на узкую прибрежную полосу. Весь этот участок обстреливается нашей артиллерией. Немцы пытаются переправиться на северный берег Дуная. Советские лётчики наносят непрерывные удары по переправам противника, топят его лодки, плоты и понтоны. Большое число гитлеровцев утонуло в реке.</w:t>
      </w:r>
    </w:p>
    <w:p w14:paraId="45FF8DF5" w14:textId="77777777" w:rsidR="00B52070" w:rsidRPr="00F90EAE" w:rsidRDefault="00B52070" w:rsidP="00F90EAE">
      <w:pPr>
        <w:jc w:val="both"/>
        <w:rPr>
          <w:color w:val="000000" w:themeColor="text1"/>
          <w:sz w:val="16"/>
          <w:szCs w:val="16"/>
        </w:rPr>
      </w:pPr>
      <w:r w:rsidRPr="00F90EAE">
        <w:rPr>
          <w:color w:val="000000" w:themeColor="text1"/>
          <w:sz w:val="16"/>
          <w:szCs w:val="16"/>
        </w:rPr>
        <w:t>Севернее озера Балатон наши войска продолжали наступление. Советские части продвинулись вперёд на 20 километров и завязали бои за город Варошлед. На подступах к городу противник сосредоточил крупные силы и оказывал упорное сопротивление. Отражая танковые контратаки немцев, наши войска ворвались в город Варошлед и овладели им. Захвачены большие военные склады, много паровозов и вагонов с грузами. В течение дня сожжено и подбито 64 танка и 42 бронетранспортёра противника.» (15079).</w:t>
      </w:r>
    </w:p>
    <w:p w14:paraId="77F5CF9C" w14:textId="77777777" w:rsidR="00B52070" w:rsidRPr="00F90EAE" w:rsidRDefault="00B52070" w:rsidP="00F90EAE">
      <w:pPr>
        <w:jc w:val="both"/>
        <w:rPr>
          <w:color w:val="000000" w:themeColor="text1"/>
          <w:sz w:val="16"/>
          <w:szCs w:val="16"/>
        </w:rPr>
      </w:pPr>
    </w:p>
    <w:p w14:paraId="2C2A8B2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марта 1945 войска 2-го Украинского фронта , под командованием Маршала Малиновского начали Братиславско-Брновскую операцию , с целью разгромить немецко-фашистскую групировку в районе Братислава, Брно и завершить освобождение Словакии (4963 ).</w:t>
      </w:r>
    </w:p>
    <w:p w14:paraId="772A591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EA9E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согласно Дважды Герою Советского Союза капитану А.Н.Ефимову укрепившись на подступах к г. Данциг, немцы оказывали упорное сопротивление нашим наступающим войскам. День и ночь шли ожесточенные бои. Каждый метр земли, каждый дом брался с боем. Данциг, полностью блокированный нашими войсками, был прикрыт сильной системой ПВО. Несмотря на близость линии фронта, аэродром Легштрисс продолжал действовать. Самолеты рассредоточивались далеко за пределами рабочего поля: между ангарами, домами, на расстоянии до 1000-1500 м от рабочего поля. Иногда немцы отруливали самолеты по шоссейной дороге к городу и укрывали их между домами.</w:t>
      </w:r>
    </w:p>
    <w:p w14:paraId="47DB31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Ефимов получил приказание группой в 16 Ил-2 нанести удар по артиллерийско-минометным позициям и скоплению техники противника в районе Олива. Часть базировалась на аэродроме Мариенбург. Группу должны были прикрывать 8 Як-3 с этого же аэродрома.</w:t>
      </w:r>
    </w:p>
    <w:p w14:paraId="3F06A1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Боевой порядок группы - четверки в правом "пеленге". В каждой из последних трех четверок Ефимов назначил экипажи для подавления ЗА противника.</w:t>
      </w:r>
    </w:p>
    <w:p w14:paraId="7C76B5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Подходя к НБП - Картхаузы, связался со станцией наведения и получил новое задание: "нанести удар по аэродрому Легштрисс".</w:t>
      </w:r>
    </w:p>
    <w:p w14:paraId="71194A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сведениям разведки, на аэродроме находилось много самолетов, приготовленных к перебазированию. В ангарах велась подготовка к погрузке на баржи разобранных самолетов, которые не могли уйти летом.</w:t>
      </w:r>
    </w:p>
    <w:p w14:paraId="724C8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радио Ефимов оповестил всю группу и ведущего группы истребителей прикрытия о перенацеливании.</w:t>
      </w:r>
    </w:p>
    <w:p w14:paraId="7C3AD6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Ефимов решил атаковать цель парами с левым "кругом" и с последующим замыканием его. Открытым текстом я передал ведущим четверок о способе атаки цели. Аэродром Легштрисс находился рядом с ранее данной нам целью, так что никаких перерасчетов делать не пришлось, только увеличил курс на 20, рассчитывая выйти на восточную часть аэродрома, чтобы было удобнее атаковать.</w:t>
      </w:r>
    </w:p>
    <w:p w14:paraId="784627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линии фронта Ефимов шел с набором высоты 2000-2200 м. Линию фронта пересекал со снижением на повышенной скорости (340 км/час). Немцы, привыкнув к расчетам на 290-300 км/час для Ил-2, сразу не могли нанести группе поражения. Все разрывы ложились далеко в хвосте. Весь путь до цели ш прошли под сильным зенитным огнем немцев, пытавшихся расстроить боевой порядок группы. К аэродрому подошли на высоте 800-900 м. Группа вытянулась в линию по фронту. Поравнявшись с аэродромом, с левым доворотом начали атаку. ЗА аэродрома открыла огонь по группе, но не смогла нанести серьезного поражения. Специально выделенные для подавления ЗА экипажи на втором заходе заставили замолчать ЗА.</w:t>
      </w:r>
    </w:p>
    <w:p w14:paraId="3677A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Став в "круг" попарно, группа начала штурмовку аэродрома. Ввиду большой рассредоточенности самолетов приходилось каждому выбирать цель.</w:t>
      </w:r>
    </w:p>
    <w:p w14:paraId="283AB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Группа произвела 3 захода. Выйдя из атаки, Ефимов взял курс на центр г. Данциг. Немцы не ожидали такого маневра и, замолчав, в первый момент не вели никакого огня. Группа вытянулась попарно в цепочку за ведущим. Не дойдя до центра города 2 км, Ефимов резко развернулся вправо, одновременно дав об этом команду группе. Срезая "круг", группа быстро приняла боевой порядок, постепенно набирая высоту.</w:t>
      </w:r>
    </w:p>
    <w:p w14:paraId="6FC74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Потерь группа не имела. Четыре самолета получили незначительные повреждения. На аэродроме Легштрисс было сожжено 14 самолетов и ангар, в котором находилось до 20 разнообразных самолетов, приготовленных к эвакуации.</w:t>
      </w:r>
    </w:p>
    <w:p w14:paraId="4C25A8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штурмовки были подтверждены наземными частями, фотоснимками и истребителями прикрытия (3207).</w:t>
      </w:r>
    </w:p>
    <w:p w14:paraId="5BCFFDFF" w14:textId="77777777" w:rsidR="00665165" w:rsidRPr="00F90EAE" w:rsidRDefault="00665165" w:rsidP="00F90EAE">
      <w:pPr>
        <w:autoSpaceDE w:val="0"/>
        <w:autoSpaceDN w:val="0"/>
        <w:adjustRightInd w:val="0"/>
        <w:jc w:val="both"/>
        <w:rPr>
          <w:color w:val="000000" w:themeColor="text1"/>
          <w:sz w:val="16"/>
          <w:szCs w:val="16"/>
        </w:rPr>
      </w:pPr>
    </w:p>
    <w:p w14:paraId="554FF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марта по 5 мая 1945 состоялась Братиславско-Брновская операция по освобождению Словакии силами 2УФ и Дунайской флотилии (2438,113).</w:t>
      </w:r>
    </w:p>
    <w:p w14:paraId="78256EDC" w14:textId="77777777" w:rsidR="00665165" w:rsidRPr="00F90EAE" w:rsidRDefault="00665165" w:rsidP="00F90EAE">
      <w:pPr>
        <w:autoSpaceDE w:val="0"/>
        <w:autoSpaceDN w:val="0"/>
        <w:adjustRightInd w:val="0"/>
        <w:jc w:val="both"/>
        <w:rPr>
          <w:color w:val="000000" w:themeColor="text1"/>
          <w:sz w:val="16"/>
          <w:szCs w:val="16"/>
        </w:rPr>
      </w:pPr>
    </w:p>
    <w:p w14:paraId="4F1AE98E" w14:textId="77777777" w:rsidR="00B52070"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67EBB56" w14:textId="77777777" w:rsidR="00B52070" w:rsidRPr="00F90EAE" w:rsidRDefault="00B52070" w:rsidP="00F90EAE">
      <w:pPr>
        <w:autoSpaceDE w:val="0"/>
        <w:autoSpaceDN w:val="0"/>
        <w:adjustRightInd w:val="0"/>
        <w:jc w:val="both"/>
        <w:rPr>
          <w:iCs/>
          <w:color w:val="000000" w:themeColor="text1"/>
          <w:sz w:val="16"/>
          <w:szCs w:val="16"/>
        </w:rPr>
      </w:pPr>
    </w:p>
    <w:p w14:paraId="56E5A869" w14:textId="77777777" w:rsidR="00B52070" w:rsidRPr="00F90EAE" w:rsidRDefault="00B52070" w:rsidP="00F90EAE">
      <w:pPr>
        <w:jc w:val="both"/>
        <w:rPr>
          <w:color w:val="000000" w:themeColor="text1"/>
          <w:sz w:val="16"/>
          <w:szCs w:val="16"/>
        </w:rPr>
      </w:pPr>
      <w:r w:rsidRPr="00F90EAE">
        <w:rPr>
          <w:bCs/>
          <w:color w:val="000000" w:themeColor="text1"/>
          <w:sz w:val="16"/>
          <w:szCs w:val="16"/>
        </w:rPr>
        <w:t>25 марта</w:t>
      </w:r>
      <w:r w:rsidRPr="00F90EAE">
        <w:rPr>
          <w:color w:val="000000" w:themeColor="text1"/>
          <w:sz w:val="16"/>
          <w:szCs w:val="16"/>
        </w:rPr>
        <w:t xml:space="preserve"> в 1945 году постановление СНК СССР «О государственном плане восстановления и развития народного хозяйства на 1945 год» (15079).</w:t>
      </w:r>
    </w:p>
    <w:p w14:paraId="437A99A3" w14:textId="77777777" w:rsidR="00B52070" w:rsidRPr="00F90EAE" w:rsidRDefault="00B52070" w:rsidP="00F90EAE">
      <w:pPr>
        <w:jc w:val="both"/>
        <w:rPr>
          <w:color w:val="000000" w:themeColor="text1"/>
          <w:sz w:val="16"/>
          <w:szCs w:val="16"/>
        </w:rPr>
      </w:pPr>
    </w:p>
    <w:p w14:paraId="5164E5B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6CDA614" w14:textId="77777777" w:rsidR="00665165" w:rsidRPr="00F90EAE" w:rsidRDefault="00665165" w:rsidP="00F90EAE">
      <w:pPr>
        <w:autoSpaceDE w:val="0"/>
        <w:autoSpaceDN w:val="0"/>
        <w:adjustRightInd w:val="0"/>
        <w:jc w:val="both"/>
        <w:rPr>
          <w:iCs/>
          <w:color w:val="000000" w:themeColor="text1"/>
          <w:sz w:val="16"/>
          <w:szCs w:val="16"/>
        </w:rPr>
      </w:pPr>
    </w:p>
    <w:p w14:paraId="3A6905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вышло Постановление ГКО № 7930 О формировании на территории СССР 2-й румынской дивизии из состава военнопленных румынской армии. РГАНИР, Фонд ГКО, д. 383, лл. 70-72 (11012).</w:t>
      </w:r>
    </w:p>
    <w:p w14:paraId="6A0EE207" w14:textId="77777777" w:rsidR="00665165" w:rsidRPr="00F90EAE" w:rsidRDefault="00665165" w:rsidP="00F90EAE">
      <w:pPr>
        <w:autoSpaceDE w:val="0"/>
        <w:autoSpaceDN w:val="0"/>
        <w:adjustRightInd w:val="0"/>
        <w:jc w:val="both"/>
        <w:rPr>
          <w:color w:val="000000" w:themeColor="text1"/>
          <w:sz w:val="16"/>
          <w:szCs w:val="16"/>
        </w:rPr>
      </w:pPr>
    </w:p>
    <w:p w14:paraId="58021EB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461ACE5" w14:textId="77777777" w:rsidR="00665165" w:rsidRPr="00F90EAE" w:rsidRDefault="00665165" w:rsidP="00F90EAE">
      <w:pPr>
        <w:autoSpaceDE w:val="0"/>
        <w:autoSpaceDN w:val="0"/>
        <w:adjustRightInd w:val="0"/>
        <w:jc w:val="both"/>
        <w:rPr>
          <w:iCs/>
          <w:color w:val="000000" w:themeColor="text1"/>
          <w:sz w:val="16"/>
          <w:szCs w:val="16"/>
        </w:rPr>
      </w:pPr>
    </w:p>
    <w:p w14:paraId="1232B98A" w14:textId="77777777" w:rsidR="00B52070" w:rsidRPr="00F90EAE" w:rsidRDefault="00B52070" w:rsidP="00F90EAE">
      <w:pPr>
        <w:jc w:val="both"/>
        <w:rPr>
          <w:color w:val="000000" w:themeColor="text1"/>
          <w:sz w:val="16"/>
          <w:szCs w:val="16"/>
        </w:rPr>
      </w:pPr>
      <w:r w:rsidRPr="00F90EAE">
        <w:rPr>
          <w:bCs/>
          <w:color w:val="000000" w:themeColor="text1"/>
          <w:sz w:val="16"/>
          <w:szCs w:val="16"/>
        </w:rPr>
        <w:t>25 марта</w:t>
      </w:r>
      <w:r w:rsidRPr="00F90EAE">
        <w:rPr>
          <w:color w:val="000000" w:themeColor="text1"/>
          <w:sz w:val="16"/>
          <w:szCs w:val="16"/>
        </w:rPr>
        <w:t xml:space="preserve"> в 1945 году налёт американских самолётов на Прагу (15079).</w:t>
      </w:r>
    </w:p>
    <w:p w14:paraId="3F04AFA3" w14:textId="77777777" w:rsidR="00B52070" w:rsidRPr="00F90EAE" w:rsidRDefault="00B52070" w:rsidP="00F90EAE">
      <w:pPr>
        <w:jc w:val="both"/>
        <w:rPr>
          <w:color w:val="000000" w:themeColor="text1"/>
          <w:sz w:val="16"/>
          <w:szCs w:val="16"/>
        </w:rPr>
      </w:pPr>
    </w:p>
    <w:p w14:paraId="31D2C526"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25th, 1945: The British Second Army captures Wesel which has been nearly 100% destroyed by Allied bombing (3819).</w:t>
      </w:r>
    </w:p>
    <w:p w14:paraId="7DE220D6" w14:textId="77777777" w:rsidR="00665165" w:rsidRPr="00F90EAE" w:rsidRDefault="00665165" w:rsidP="00F90EAE">
      <w:pPr>
        <w:autoSpaceDE w:val="0"/>
        <w:autoSpaceDN w:val="0"/>
        <w:adjustRightInd w:val="0"/>
        <w:jc w:val="both"/>
        <w:rPr>
          <w:color w:val="000000" w:themeColor="text1"/>
          <w:sz w:val="16"/>
          <w:szCs w:val="16"/>
          <w:lang w:val="en-US"/>
        </w:rPr>
      </w:pPr>
    </w:p>
    <w:p w14:paraId="6712B0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в Германии американские войска с плацдармов на Рейне начинают наступление на юг, стремясь овладеть Руром и 28 англичане начинают наступление на севере (3907,256).</w:t>
      </w:r>
    </w:p>
    <w:p w14:paraId="53050573" w14:textId="77777777" w:rsidR="00665165" w:rsidRPr="00F90EAE" w:rsidRDefault="00665165" w:rsidP="00F90EAE">
      <w:pPr>
        <w:autoSpaceDE w:val="0"/>
        <w:autoSpaceDN w:val="0"/>
        <w:adjustRightInd w:val="0"/>
        <w:jc w:val="both"/>
        <w:rPr>
          <w:color w:val="000000" w:themeColor="text1"/>
          <w:sz w:val="16"/>
          <w:szCs w:val="16"/>
        </w:rPr>
      </w:pPr>
    </w:p>
    <w:p w14:paraId="02AEFDE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марта 1945 закончилось наступление американцев против немецкого саарско-мозельского выступа (4963 ).</w:t>
      </w:r>
    </w:p>
    <w:p w14:paraId="0E5004D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ED6E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1945 немецкая подлодка U-234 покинула Киль, перевозя в Японию разобранный Ме-262 и чертежи ракетного оружия, а также 560 кг диоксида урана. Сдалась американцам и 19 мая 1945 была направлена в Портсмут (2605).</w:t>
      </w:r>
    </w:p>
    <w:p w14:paraId="05B2B2C1" w14:textId="77777777" w:rsidR="00665165" w:rsidRPr="00F90EAE" w:rsidRDefault="00665165" w:rsidP="00F90EAE">
      <w:pPr>
        <w:autoSpaceDE w:val="0"/>
        <w:autoSpaceDN w:val="0"/>
        <w:adjustRightInd w:val="0"/>
        <w:jc w:val="both"/>
        <w:rPr>
          <w:color w:val="000000" w:themeColor="text1"/>
          <w:sz w:val="16"/>
          <w:szCs w:val="16"/>
        </w:rPr>
      </w:pPr>
    </w:p>
    <w:p w14:paraId="338043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C 25 марта по 21 июня 1945 была Окинавская операция. 700 катеров и 2 тыс. самолетов с камикадзе (2438,467).</w:t>
      </w:r>
    </w:p>
    <w:p w14:paraId="5AB3C19D" w14:textId="77777777" w:rsidR="00665165" w:rsidRPr="00F90EAE" w:rsidRDefault="00665165" w:rsidP="00F90EAE">
      <w:pPr>
        <w:autoSpaceDE w:val="0"/>
        <w:autoSpaceDN w:val="0"/>
        <w:adjustRightInd w:val="0"/>
        <w:jc w:val="both"/>
        <w:rPr>
          <w:color w:val="000000" w:themeColor="text1"/>
          <w:sz w:val="16"/>
          <w:szCs w:val="16"/>
        </w:rPr>
      </w:pPr>
    </w:p>
    <w:p w14:paraId="3D178BF6" w14:textId="77777777" w:rsidR="00B52070" w:rsidRPr="00F90EAE" w:rsidRDefault="00B52070" w:rsidP="00F90EAE">
      <w:pPr>
        <w:jc w:val="both"/>
        <w:rPr>
          <w:color w:val="000000" w:themeColor="text1"/>
          <w:sz w:val="16"/>
          <w:szCs w:val="16"/>
        </w:rPr>
      </w:pPr>
      <w:r w:rsidRPr="00F90EAE">
        <w:rPr>
          <w:bCs/>
          <w:color w:val="000000" w:themeColor="text1"/>
          <w:sz w:val="16"/>
          <w:szCs w:val="16"/>
        </w:rPr>
        <w:t>25 марта</w:t>
      </w:r>
      <w:r w:rsidRPr="00F90EAE">
        <w:rPr>
          <w:color w:val="000000" w:themeColor="text1"/>
          <w:sz w:val="16"/>
          <w:szCs w:val="16"/>
        </w:rPr>
        <w:t xml:space="preserve"> в 1945 году вооруженные Силы США (10-я армия, 183 тысяч человек; свыше 1500 кораблей, в том числе 59 авианосцев, 22 линкора; около 2,5 тысяч самолетов) в ходе Второй мировой войны начали десантную операцию по захвату острова Окинава, который обороняла японская 32-я армия. Американцы после ожесточенных боев полностью выполнили поставленную задачу 21 июня (15079).</w:t>
      </w:r>
    </w:p>
    <w:p w14:paraId="4B6133BC" w14:textId="77777777" w:rsidR="00B52070" w:rsidRPr="00F90EAE" w:rsidRDefault="00B52070" w:rsidP="00F90EAE">
      <w:pPr>
        <w:jc w:val="both"/>
        <w:rPr>
          <w:color w:val="000000" w:themeColor="text1"/>
          <w:sz w:val="16"/>
          <w:szCs w:val="16"/>
        </w:rPr>
      </w:pPr>
    </w:p>
    <w:p w14:paraId="6B0A85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марта 1925 американские войска начали высадку на острова архипелага Кэрама, расположенные в непосредственной близости к Окинаве. На следующий день императорский генеральный штаб отдал приказ о начале операции «Тэнго» («Небеса»). По плану, в соответствии с этой операцией, по флоту союзников в районе Окинавы должны были быть нанесены самоубийственные атаки всеми наличными силами, включая тренировочные и связные самолеты (11686).</w:t>
      </w:r>
    </w:p>
    <w:p w14:paraId="0DA49719" w14:textId="77777777" w:rsidR="00665165" w:rsidRPr="00F90EAE" w:rsidRDefault="00665165" w:rsidP="00F90EAE">
      <w:pPr>
        <w:autoSpaceDE w:val="0"/>
        <w:autoSpaceDN w:val="0"/>
        <w:adjustRightInd w:val="0"/>
        <w:jc w:val="both"/>
        <w:rPr>
          <w:color w:val="000000" w:themeColor="text1"/>
          <w:sz w:val="16"/>
          <w:szCs w:val="16"/>
        </w:rPr>
      </w:pPr>
    </w:p>
    <w:p w14:paraId="4555D620" w14:textId="77777777" w:rsidR="00EA0CFB" w:rsidRPr="00F90EAE" w:rsidRDefault="00EA0CFB" w:rsidP="00F90EAE">
      <w:pPr>
        <w:jc w:val="both"/>
        <w:rPr>
          <w:color w:val="0070C0"/>
          <w:sz w:val="16"/>
          <w:szCs w:val="16"/>
        </w:rPr>
      </w:pPr>
      <w:r w:rsidRPr="00F90EAE">
        <w:rPr>
          <w:color w:val="0070C0"/>
          <w:sz w:val="16"/>
          <w:szCs w:val="16"/>
        </w:rPr>
        <w:t>25 марта 1945 японская авиация совершает последний налет на Иводзиму. Базирующиеся на острове ночные истребители ВВС США P-61 Black Widow сбивают несколько японских самолетов и отгоняют остальных (20371).</w:t>
      </w:r>
    </w:p>
    <w:p w14:paraId="09045156" w14:textId="77777777" w:rsidR="00EA0CFB" w:rsidRPr="00F90EAE" w:rsidRDefault="00EA0CFB" w:rsidP="00F90EAE">
      <w:pPr>
        <w:jc w:val="both"/>
        <w:rPr>
          <w:color w:val="0070C0"/>
          <w:sz w:val="16"/>
          <w:szCs w:val="16"/>
        </w:rPr>
      </w:pPr>
    </w:p>
    <w:p w14:paraId="7E455BF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5E51FCA" w14:textId="77777777" w:rsidR="00665165" w:rsidRPr="00F90EAE" w:rsidRDefault="00665165" w:rsidP="00F90EAE">
      <w:pPr>
        <w:autoSpaceDE w:val="0"/>
        <w:autoSpaceDN w:val="0"/>
        <w:adjustRightInd w:val="0"/>
        <w:jc w:val="both"/>
        <w:rPr>
          <w:iCs/>
          <w:color w:val="000000" w:themeColor="text1"/>
          <w:sz w:val="16"/>
          <w:szCs w:val="16"/>
        </w:rPr>
      </w:pPr>
    </w:p>
    <w:p w14:paraId="02017050" w14:textId="77777777" w:rsidR="00927952" w:rsidRPr="00F90EAE" w:rsidRDefault="00927952" w:rsidP="00F90EAE">
      <w:pPr>
        <w:jc w:val="both"/>
        <w:rPr>
          <w:color w:val="000000" w:themeColor="text1"/>
          <w:sz w:val="16"/>
          <w:szCs w:val="16"/>
        </w:rPr>
      </w:pPr>
      <w:r w:rsidRPr="00F90EAE">
        <w:rPr>
          <w:color w:val="000000" w:themeColor="text1"/>
          <w:sz w:val="16"/>
          <w:szCs w:val="16"/>
        </w:rPr>
        <w:t>26 марта 1945</w:t>
      </w:r>
    </w:p>
    <w:p w14:paraId="0C3E5E12"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u w:val="single"/>
        </w:rPr>
        <w:t>ПРИКАЗ</w:t>
      </w:r>
    </w:p>
    <w:p w14:paraId="4FAB8413"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По заводу имени Ворошилов</w:t>
      </w:r>
      <w:r w:rsidRPr="00F90EAE">
        <w:rPr>
          <w:rFonts w:eastAsia="Gungsuh"/>
          <w:color w:val="000000" w:themeColor="text1"/>
          <w:sz w:val="16"/>
          <w:szCs w:val="16"/>
          <w:lang w:val="en-US"/>
        </w:rPr>
        <w:t>a</w:t>
      </w:r>
    </w:p>
    <w:p w14:paraId="01F6ABD5"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В солтветствии с принятыми решеннями на совещания у зам. Наркома т. Кузнецова А.Я по вопросу постройки эталонной машины на 1945 год Приказываю:</w:t>
      </w:r>
    </w:p>
    <w:p w14:paraId="6F2AB3E3"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Пар. 1.</w:t>
      </w:r>
    </w:p>
    <w:p w14:paraId="5443FD6F"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Построить эталонную машину Ил-10 со следующими изменениями и добавлениями:</w:t>
      </w:r>
    </w:p>
    <w:p w14:paraId="4F5E605E" w14:textId="77777777" w:rsidR="00927952" w:rsidRPr="00F90EAE" w:rsidRDefault="00927952" w:rsidP="00F90EAE">
      <w:pPr>
        <w:jc w:val="both"/>
        <w:rPr>
          <w:iCs/>
          <w:color w:val="000000" w:themeColor="text1"/>
          <w:sz w:val="16"/>
          <w:szCs w:val="16"/>
        </w:rPr>
      </w:pPr>
      <w:r w:rsidRPr="00F90EAE">
        <w:rPr>
          <w:iCs/>
          <w:color w:val="000000" w:themeColor="text1"/>
          <w:sz w:val="16"/>
          <w:szCs w:val="16"/>
        </w:rPr>
        <w:t>а) установить приемник РСИ-6-МУ с дистанционным управлением взамен РСИ-4</w:t>
      </w:r>
    </w:p>
    <w:p w14:paraId="72A3D634" w14:textId="77777777" w:rsidR="00927952" w:rsidRPr="00F90EAE" w:rsidRDefault="00927952" w:rsidP="00F90EAE">
      <w:pPr>
        <w:jc w:val="both"/>
        <w:rPr>
          <w:rFonts w:eastAsia="Gungsuh"/>
          <w:color w:val="000000" w:themeColor="text1"/>
          <w:sz w:val="16"/>
          <w:szCs w:val="16"/>
        </w:rPr>
      </w:pPr>
      <w:r w:rsidRPr="00F90EAE">
        <w:rPr>
          <w:smallCaps/>
          <w:color w:val="000000" w:themeColor="text1"/>
          <w:sz w:val="16"/>
          <w:szCs w:val="16"/>
        </w:rPr>
        <w:t>Б) У</w:t>
      </w:r>
      <w:r w:rsidRPr="00F90EAE">
        <w:rPr>
          <w:bCs/>
          <w:color w:val="000000" w:themeColor="text1"/>
          <w:sz w:val="16"/>
          <w:szCs w:val="16"/>
        </w:rPr>
        <w:t>становить</w:t>
      </w:r>
      <w:r w:rsidRPr="00F90EAE">
        <w:rPr>
          <w:rFonts w:eastAsia="Gungsuh"/>
          <w:color w:val="000000" w:themeColor="text1"/>
          <w:sz w:val="16"/>
          <w:szCs w:val="16"/>
        </w:rPr>
        <w:t xml:space="preserve"> радиополукомпас РПК-10</w:t>
      </w:r>
    </w:p>
    <w:p w14:paraId="125D83DA"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в) Заменить генератор ГС-300 на ГС-500</w:t>
      </w:r>
    </w:p>
    <w:p w14:paraId="2897F885"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г) Смонтировать установку УБ-20 у стрелуа</w:t>
      </w:r>
    </w:p>
    <w:p w14:paraId="6925D43D"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д) Установить механизм "винт-газ" системц ЦИАМ</w:t>
      </w:r>
    </w:p>
    <w:p w14:paraId="6B4C24C3"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е) Установить радиоополнаватель 64-3</w:t>
      </w:r>
    </w:p>
    <w:p w14:paraId="632B4FAA"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ж) Установить навый винт, обеспечивающий лучшее взлетное качество самолета</w:t>
      </w:r>
    </w:p>
    <w:p w14:paraId="0F9C0C4B"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з) Установкть модернизированные тормозные колеса 820 х 260</w:t>
      </w:r>
    </w:p>
    <w:p w14:paraId="7090636C"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и) Установить наружную заслонку в систему всасывания воэдуха в мотор.</w:t>
      </w:r>
    </w:p>
    <w:p w14:paraId="6E431FB1"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к) Установить усиленную лебедку аварийного опускания шасси.</w:t>
      </w:r>
    </w:p>
    <w:p w14:paraId="2023B413"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л) Установить усияанные купола шассн</w:t>
      </w:r>
    </w:p>
    <w:p w14:paraId="14C0109A"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м) Установить усиленный костыль.</w:t>
      </w:r>
    </w:p>
    <w:p w14:paraId="2749934D"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н) Поставить выхлопные патрубки иа материола ЗЯ1 1,5</w:t>
      </w:r>
    </w:p>
    <w:p w14:paraId="4CA4C305"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о) Сделать лючек на броне для подхода к БНК-10</w:t>
      </w:r>
    </w:p>
    <w:p w14:paraId="67DA6CAF"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п) Сделать уваличенные лючки для подхода к дюритам водотруб.</w:t>
      </w:r>
    </w:p>
    <w:p w14:paraId="4188558F"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р) Установить верхнюю крышку мотора с с повернутыми замками</w:t>
      </w:r>
    </w:p>
    <w:p w14:paraId="26471C94"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с) Установить доработанный АСШ-141 по чертежам завода № 24</w:t>
      </w:r>
    </w:p>
    <w:p w14:paraId="11201423"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т) Сделать боковую створку фонаря пилота откидной.</w:t>
      </w:r>
    </w:p>
    <w:p w14:paraId="16B1494D"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 xml:space="preserve">у) Отработать и приложить мерную тару </w:t>
      </w:r>
      <w:r w:rsidRPr="00F90EAE">
        <w:rPr>
          <w:rFonts w:eastAsia="Gungsuh"/>
          <w:color w:val="000000" w:themeColor="text1"/>
          <w:sz w:val="16"/>
          <w:szCs w:val="16"/>
          <w:lang w:val="en-US"/>
        </w:rPr>
        <w:t>pa</w:t>
      </w:r>
      <w:r w:rsidRPr="00F90EAE">
        <w:rPr>
          <w:rFonts w:eastAsia="Gungsuh"/>
          <w:color w:val="000000" w:themeColor="text1"/>
          <w:sz w:val="16"/>
          <w:szCs w:val="16"/>
        </w:rPr>
        <w:t>зжижения масла бензином и инструкцию по разжижению</w:t>
      </w:r>
    </w:p>
    <w:p w14:paraId="2A55C67F"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Машину сдать по сборке до 20 апреля</w:t>
      </w:r>
    </w:p>
    <w:p w14:paraId="37ACC077"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Пар. 2</w:t>
      </w:r>
    </w:p>
    <w:p w14:paraId="79607642"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Начальнику СКО т ЛЕСКОВУ оьеспечить Цеха всеми чертежами для этталонной машины к 28 апреля</w:t>
      </w:r>
    </w:p>
    <w:p w14:paraId="04A5CACD"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Парю 3</w:t>
      </w:r>
    </w:p>
    <w:p w14:paraId="6761C1A8" w14:textId="77777777" w:rsidR="00927952" w:rsidRPr="00F90EAE" w:rsidRDefault="00927952" w:rsidP="00F90EAE">
      <w:pPr>
        <w:jc w:val="both"/>
        <w:rPr>
          <w:rFonts w:eastAsia="Gungsuh"/>
          <w:color w:val="000000" w:themeColor="text1"/>
          <w:sz w:val="16"/>
          <w:szCs w:val="16"/>
        </w:rPr>
      </w:pPr>
      <w:r w:rsidRPr="00F90EAE">
        <w:rPr>
          <w:rFonts w:eastAsia="Gungsuh"/>
          <w:color w:val="000000" w:themeColor="text1"/>
          <w:sz w:val="16"/>
          <w:szCs w:val="16"/>
        </w:rPr>
        <w:t>Начальнику ОСП т.ТОЛКАЧЕВУ обеспечить цеха всеми вышеупомянутыми вювь вводиимыми готовыми изделиями для монтажа эталонной машины к 10 апреля.</w:t>
      </w:r>
    </w:p>
    <w:p w14:paraId="2C4F4A29" w14:textId="77777777" w:rsidR="00927952" w:rsidRPr="00F90EAE" w:rsidRDefault="00927952" w:rsidP="00F90EAE">
      <w:pPr>
        <w:jc w:val="both"/>
        <w:rPr>
          <w:color w:val="000000" w:themeColor="text1"/>
          <w:sz w:val="16"/>
          <w:szCs w:val="16"/>
        </w:rPr>
      </w:pPr>
      <w:r w:rsidRPr="00F90EAE">
        <w:rPr>
          <w:rFonts w:eastAsia="Gungsuh"/>
          <w:color w:val="000000" w:themeColor="text1"/>
          <w:sz w:val="16"/>
          <w:szCs w:val="16"/>
        </w:rPr>
        <w:t xml:space="preserve">Директор завода Белянский </w:t>
      </w:r>
      <w:r w:rsidRPr="00F90EAE">
        <w:rPr>
          <w:color w:val="000000" w:themeColor="text1"/>
          <w:sz w:val="16"/>
          <w:szCs w:val="16"/>
        </w:rPr>
        <w:t>(19789).</w:t>
      </w:r>
    </w:p>
    <w:p w14:paraId="78DCD198" w14:textId="77777777" w:rsidR="00927952" w:rsidRPr="00F90EAE" w:rsidRDefault="00927952" w:rsidP="00F90EAE">
      <w:pPr>
        <w:jc w:val="both"/>
        <w:rPr>
          <w:color w:val="000000" w:themeColor="text1"/>
          <w:sz w:val="16"/>
          <w:szCs w:val="16"/>
        </w:rPr>
      </w:pPr>
    </w:p>
    <w:p w14:paraId="07F82B94" w14:textId="77777777" w:rsidR="00C43715" w:rsidRPr="00F90EAE" w:rsidRDefault="00C43715" w:rsidP="00F90EAE">
      <w:pPr>
        <w:jc w:val="both"/>
        <w:rPr>
          <w:color w:val="0070C0"/>
          <w:sz w:val="16"/>
          <w:szCs w:val="16"/>
        </w:rPr>
      </w:pPr>
      <w:r w:rsidRPr="00F90EAE">
        <w:rPr>
          <w:color w:val="0070C0"/>
          <w:sz w:val="16"/>
          <w:szCs w:val="16"/>
        </w:rPr>
        <w:t>26 марта 1945 г.</w:t>
      </w:r>
    </w:p>
    <w:p w14:paraId="56AC77C6" w14:textId="77777777" w:rsidR="00C43715" w:rsidRPr="00F90EAE" w:rsidRDefault="00C43715" w:rsidP="00F90EAE">
      <w:pPr>
        <w:jc w:val="both"/>
        <w:rPr>
          <w:color w:val="0070C0"/>
          <w:sz w:val="16"/>
          <w:szCs w:val="16"/>
        </w:rPr>
      </w:pPr>
      <w:r w:rsidRPr="00F90EAE">
        <w:rPr>
          <w:color w:val="0070C0"/>
          <w:sz w:val="16"/>
          <w:szCs w:val="16"/>
        </w:rPr>
        <w:t>Из приказа по заводу № 18 о постройке эталонной машины Ил-10</w:t>
      </w:r>
    </w:p>
    <w:p w14:paraId="317BCACF" w14:textId="77777777" w:rsidR="00C43715" w:rsidRPr="00F90EAE" w:rsidRDefault="00C43715" w:rsidP="00F90EAE">
      <w:pPr>
        <w:jc w:val="both"/>
        <w:rPr>
          <w:color w:val="0070C0"/>
          <w:sz w:val="16"/>
          <w:szCs w:val="16"/>
        </w:rPr>
      </w:pPr>
      <w:r w:rsidRPr="00F90EAE">
        <w:rPr>
          <w:color w:val="0070C0"/>
          <w:sz w:val="16"/>
          <w:szCs w:val="16"/>
        </w:rPr>
        <w:t>26 марта 1945 г.</w:t>
      </w:r>
    </w:p>
    <w:p w14:paraId="752045E8" w14:textId="77777777" w:rsidR="00C43715" w:rsidRPr="00F90EAE" w:rsidRDefault="00C43715" w:rsidP="00F90EAE">
      <w:pPr>
        <w:jc w:val="both"/>
        <w:rPr>
          <w:color w:val="0070C0"/>
          <w:sz w:val="16"/>
          <w:szCs w:val="16"/>
        </w:rPr>
      </w:pPr>
      <w:r w:rsidRPr="00F90EAE">
        <w:rPr>
          <w:color w:val="0070C0"/>
          <w:sz w:val="16"/>
          <w:szCs w:val="16"/>
        </w:rPr>
        <w:t>В соответствии с принятыми решениями на совещании у зам. наркома тов. Кузнецова А.И. по вопросу постройки эталонной машины Ил-10 на 1945 год приказываю:</w:t>
      </w:r>
    </w:p>
    <w:p w14:paraId="7226C5E5" w14:textId="77777777" w:rsidR="00C43715" w:rsidRPr="00F90EAE" w:rsidRDefault="00C43715" w:rsidP="00F90EAE">
      <w:pPr>
        <w:jc w:val="both"/>
        <w:rPr>
          <w:color w:val="0070C0"/>
          <w:sz w:val="16"/>
          <w:szCs w:val="16"/>
        </w:rPr>
      </w:pPr>
      <w:r w:rsidRPr="00F90EAE">
        <w:rPr>
          <w:color w:val="0070C0"/>
          <w:sz w:val="16"/>
          <w:szCs w:val="16"/>
        </w:rPr>
        <w:t>§ 1.</w:t>
      </w:r>
    </w:p>
    <w:p w14:paraId="5482E2B1" w14:textId="77777777" w:rsidR="00C43715" w:rsidRPr="00F90EAE" w:rsidRDefault="00C43715" w:rsidP="00F90EAE">
      <w:pPr>
        <w:jc w:val="both"/>
        <w:rPr>
          <w:color w:val="0070C0"/>
          <w:sz w:val="16"/>
          <w:szCs w:val="16"/>
        </w:rPr>
      </w:pPr>
      <w:r w:rsidRPr="00F90EAE">
        <w:rPr>
          <w:color w:val="0070C0"/>
          <w:sz w:val="16"/>
          <w:szCs w:val="16"/>
        </w:rPr>
        <w:t>Построить эталонную Ил-10 1945 года со следующими изменениями и добавлениями:</w:t>
      </w:r>
    </w:p>
    <w:p w14:paraId="3C3F8DEC" w14:textId="77777777" w:rsidR="00C43715" w:rsidRPr="00F90EAE" w:rsidRDefault="00C43715" w:rsidP="00F90EAE">
      <w:pPr>
        <w:jc w:val="both"/>
        <w:rPr>
          <w:color w:val="0070C0"/>
          <w:sz w:val="16"/>
          <w:szCs w:val="16"/>
        </w:rPr>
      </w:pPr>
      <w:r w:rsidRPr="00F90EAE">
        <w:rPr>
          <w:color w:val="0070C0"/>
          <w:sz w:val="16"/>
          <w:szCs w:val="16"/>
        </w:rPr>
        <w:t>а) установить приемник РСИ-6-МУ с дистанционным управлением РСИ-4;</w:t>
      </w:r>
    </w:p>
    <w:p w14:paraId="6D34669B" w14:textId="77777777" w:rsidR="00C43715" w:rsidRPr="00F90EAE" w:rsidRDefault="00C43715" w:rsidP="00F90EAE">
      <w:pPr>
        <w:jc w:val="both"/>
        <w:rPr>
          <w:color w:val="0070C0"/>
          <w:sz w:val="16"/>
          <w:szCs w:val="16"/>
        </w:rPr>
      </w:pPr>
      <w:r w:rsidRPr="00F90EAE">
        <w:rPr>
          <w:color w:val="0070C0"/>
          <w:sz w:val="16"/>
          <w:szCs w:val="16"/>
        </w:rPr>
        <w:t>б) установить радиополукомпас РПКО-10;</w:t>
      </w:r>
    </w:p>
    <w:p w14:paraId="0E513A47" w14:textId="77777777" w:rsidR="00C43715" w:rsidRPr="00F90EAE" w:rsidRDefault="00C43715" w:rsidP="00F90EAE">
      <w:pPr>
        <w:jc w:val="both"/>
        <w:rPr>
          <w:color w:val="0070C0"/>
          <w:sz w:val="16"/>
          <w:szCs w:val="16"/>
        </w:rPr>
      </w:pPr>
      <w:r w:rsidRPr="00F90EAE">
        <w:rPr>
          <w:color w:val="0070C0"/>
          <w:sz w:val="16"/>
          <w:szCs w:val="16"/>
        </w:rPr>
        <w:t>в) заменить генератор ГС-350 на ГС-500...1</w:t>
      </w:r>
    </w:p>
    <w:p w14:paraId="5D3573E8" w14:textId="77777777" w:rsidR="00C43715" w:rsidRPr="00F90EAE" w:rsidRDefault="00C43715" w:rsidP="00F90EAE">
      <w:pPr>
        <w:jc w:val="both"/>
        <w:rPr>
          <w:color w:val="0070C0"/>
          <w:sz w:val="16"/>
          <w:szCs w:val="16"/>
        </w:rPr>
      </w:pPr>
      <w:r w:rsidRPr="00F90EAE">
        <w:rPr>
          <w:color w:val="0070C0"/>
          <w:sz w:val="16"/>
          <w:szCs w:val="16"/>
        </w:rPr>
        <w:t>Машину сдать по сборке до 20/IV.</w:t>
      </w:r>
    </w:p>
    <w:p w14:paraId="66AC7B5F" w14:textId="77777777" w:rsidR="00C43715" w:rsidRPr="00F90EAE" w:rsidRDefault="00C43715" w:rsidP="00F90EAE">
      <w:pPr>
        <w:jc w:val="both"/>
        <w:rPr>
          <w:color w:val="0070C0"/>
          <w:sz w:val="16"/>
          <w:szCs w:val="16"/>
        </w:rPr>
      </w:pPr>
      <w:r w:rsidRPr="00F90EAE">
        <w:rPr>
          <w:color w:val="0070C0"/>
          <w:sz w:val="16"/>
          <w:szCs w:val="16"/>
        </w:rPr>
        <w:t>Директор завода</w:t>
      </w:r>
      <w:r w:rsidRPr="00F90EAE">
        <w:rPr>
          <w:color w:val="0070C0"/>
          <w:sz w:val="16"/>
          <w:szCs w:val="16"/>
        </w:rPr>
        <w:tab/>
        <w:t>Белянский</w:t>
      </w:r>
    </w:p>
    <w:p w14:paraId="0205E187" w14:textId="77777777" w:rsidR="00C43715" w:rsidRPr="00F90EAE" w:rsidRDefault="00C43715" w:rsidP="00F90EAE">
      <w:pPr>
        <w:jc w:val="both"/>
        <w:rPr>
          <w:color w:val="0070C0"/>
          <w:sz w:val="16"/>
          <w:szCs w:val="16"/>
        </w:rPr>
      </w:pPr>
      <w:r w:rsidRPr="00F90EAE">
        <w:rPr>
          <w:color w:val="0070C0"/>
          <w:sz w:val="16"/>
          <w:szCs w:val="16"/>
        </w:rPr>
        <w:t>ГАСО. Ф. P-3454. On. 1.Д. 51. Л. 15. Подлинник (20520).</w:t>
      </w:r>
    </w:p>
    <w:p w14:paraId="36A9AEBE" w14:textId="77777777" w:rsidR="00C43715" w:rsidRPr="00F90EAE" w:rsidRDefault="00C43715" w:rsidP="00F90EAE">
      <w:pPr>
        <w:jc w:val="both"/>
        <w:rPr>
          <w:color w:val="0070C0"/>
          <w:sz w:val="16"/>
          <w:szCs w:val="16"/>
        </w:rPr>
      </w:pPr>
    </w:p>
    <w:p w14:paraId="4A61B818" w14:textId="77777777" w:rsidR="00525BF4" w:rsidRPr="00F90EAE" w:rsidRDefault="00525BF4" w:rsidP="00F90EAE">
      <w:pPr>
        <w:pStyle w:val="a3"/>
        <w:rPr>
          <w:color w:val="000000" w:themeColor="text1"/>
          <w:lang w:val="ru-RU"/>
        </w:rPr>
      </w:pPr>
      <w:r w:rsidRPr="00F90EAE">
        <w:rPr>
          <w:color w:val="000000" w:themeColor="text1"/>
          <w:lang w:val="ru-RU"/>
        </w:rPr>
        <w:t>С 26 мая по 17 октября 1945 Ер-2ММ № 7063901 проходил заво</w:t>
      </w:r>
      <w:r w:rsidRPr="00F90EAE">
        <w:rPr>
          <w:color w:val="000000" w:themeColor="text1"/>
          <w:lang w:val="ru-RU"/>
        </w:rPr>
        <w:softHyphen/>
        <w:t>дские лётные испытания. С 18 октября по 3 ноября самолёт под</w:t>
      </w:r>
      <w:r w:rsidRPr="00F90EAE">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F90EAE">
        <w:rPr>
          <w:color w:val="000000" w:themeColor="text1"/>
          <w:lang w:val="ru-RU"/>
        </w:rPr>
        <w:softHyphen/>
        <w:t>жались до апреля 1946 г. и прервались из-за выхода из строя правого двигателя (15810).</w:t>
      </w:r>
    </w:p>
    <w:p w14:paraId="21E03E92" w14:textId="77777777" w:rsidR="00525BF4" w:rsidRPr="00F90EAE" w:rsidRDefault="00525BF4" w:rsidP="00F90EAE">
      <w:pPr>
        <w:pStyle w:val="a3"/>
        <w:rPr>
          <w:color w:val="000000" w:themeColor="text1"/>
          <w:lang w:val="ru-RU"/>
        </w:rPr>
      </w:pPr>
    </w:p>
    <w:p w14:paraId="32CD3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26 марта по 6 апреля 1945 проходили специальные летные испытания пушечного вооружения 2-х с-тов Ла-7 №№ 38102660 и 38108459 по три модифицированных пушки калибра 20мм (Б-20с) производства завода № 381</w:t>
      </w:r>
    </w:p>
    <w:p w14:paraId="05A97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Выполнили 30 полетов, настрел - 6635 выстрелов.</w:t>
      </w:r>
    </w:p>
    <w:p w14:paraId="51F947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Исполнитель ви 7 отд. 1У ГК НИИ ВВС и-м В.А.Березин</w:t>
      </w:r>
    </w:p>
    <w:p w14:paraId="634A1B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И 1 от-я 4 У ГК НИИ ВВС Г.В.Минеев</w:t>
      </w:r>
    </w:p>
    <w:p w14:paraId="2D0A2E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7AA167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D0C5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DA9B0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71ECD8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2637F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4CBE3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37E08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Прошаков, Кубышкин (741,4).</w:t>
      </w:r>
    </w:p>
    <w:p w14:paraId="3AB98E97" w14:textId="77777777" w:rsidR="00665165" w:rsidRPr="00F90EAE" w:rsidRDefault="00665165" w:rsidP="00F90EAE">
      <w:pPr>
        <w:autoSpaceDE w:val="0"/>
        <w:autoSpaceDN w:val="0"/>
        <w:adjustRightInd w:val="0"/>
        <w:jc w:val="both"/>
        <w:rPr>
          <w:color w:val="000000" w:themeColor="text1"/>
          <w:sz w:val="16"/>
          <w:szCs w:val="16"/>
        </w:rPr>
      </w:pPr>
    </w:p>
    <w:p w14:paraId="4AF10782" w14:textId="77777777" w:rsidR="00C43715" w:rsidRPr="00F90EAE" w:rsidRDefault="00C43715" w:rsidP="00F90EAE">
      <w:pPr>
        <w:jc w:val="both"/>
        <w:rPr>
          <w:color w:val="0070C0"/>
          <w:sz w:val="16"/>
          <w:szCs w:val="16"/>
        </w:rPr>
      </w:pPr>
      <w:r w:rsidRPr="00F90EAE">
        <w:rPr>
          <w:color w:val="0070C0"/>
          <w:sz w:val="16"/>
          <w:szCs w:val="16"/>
        </w:rPr>
        <w:lastRenderedPageBreak/>
        <w:t>С 26 марта по 6 апреля 1945 г. прошли специальные испытания серийных «трехточечных» Ла-7 №№ 38102660 и 38108459 — и снова неудача. Девятого июля закончились специальные испытания Ла-7 № 38102663 с фильтрами на всасывающих патрубках ПЦН, улучшенной вентиляцией кабины и новой трехточечной пушечной установкой с уменьшенным боекомплектом 390 патронов — результат тот же. Очередные стрельбы были в сентябре: пушки Б-20 «горьковских» Ла-7 №№ 45214414, 45214415 и 45214416 дали в среднем на машину по 3 275, 3 222 и 3 155 выстрелов до отказа вместо 5 000, установленных в документации на одно орудие (22772).</w:t>
      </w:r>
    </w:p>
    <w:p w14:paraId="1BB9E936" w14:textId="77777777" w:rsidR="00C43715" w:rsidRPr="00F90EAE" w:rsidRDefault="00C43715" w:rsidP="00F90EAE">
      <w:pPr>
        <w:jc w:val="both"/>
        <w:rPr>
          <w:color w:val="0070C0"/>
          <w:sz w:val="16"/>
          <w:szCs w:val="16"/>
        </w:rPr>
      </w:pPr>
    </w:p>
    <w:p w14:paraId="7B9FFC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закончились работы по вывозу оборудования немецкого завода Фокке Вульф в Бирнбаум в СССР на завод 272 в Ленинграде (1874,12).</w:t>
      </w:r>
    </w:p>
    <w:p w14:paraId="4396D1E7" w14:textId="77777777" w:rsidR="00665165" w:rsidRPr="00F90EAE" w:rsidRDefault="00665165" w:rsidP="00F90EAE">
      <w:pPr>
        <w:autoSpaceDE w:val="0"/>
        <w:autoSpaceDN w:val="0"/>
        <w:adjustRightInd w:val="0"/>
        <w:jc w:val="both"/>
        <w:rPr>
          <w:color w:val="000000" w:themeColor="text1"/>
          <w:sz w:val="16"/>
          <w:szCs w:val="16"/>
        </w:rPr>
      </w:pPr>
    </w:p>
    <w:p w14:paraId="0BFF52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Зам. Нач. НИИ ВВС Лосюковым был утвержден акт по контрольным испытаниям трофейного с-та ФВ-190 А-8 N 580967 c BMW-801 (облегченный вариант с-та ФВ-190А-8)</w:t>
      </w:r>
    </w:p>
    <w:p w14:paraId="5D175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Проводились с 11 по 19 марта 1945</w:t>
      </w:r>
    </w:p>
    <w:p w14:paraId="63789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Рабкин</w:t>
      </w:r>
    </w:p>
    <w:p w14:paraId="253C9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п/п В.И.Хомяков</w:t>
      </w:r>
    </w:p>
    <w:p w14:paraId="1FD5B6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Рабкин</w:t>
      </w:r>
    </w:p>
    <w:p w14:paraId="64C7FB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рез-та предварительных испытаний</w:t>
      </w:r>
    </w:p>
    <w:p w14:paraId="66F75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Истребитель ФВ-190 был спроектирован в 1938-9 гг конструктором Куртом Танком. Опытный экз. С-та поступил в начале 1941. В сентябре 1941 было впервые отмечено участие ФВ-190 в боевых операциях против Англии.</w:t>
      </w:r>
    </w:p>
    <w:p w14:paraId="3A4931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времчя войны немцы произвели несколько модификаций с-та ФВ-190 с мотором возд. Охлаждения БМВ-801</w:t>
      </w:r>
    </w:p>
    <w:p w14:paraId="250762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а) истребительный вариант - </w:t>
      </w:r>
      <w:r w:rsidRPr="00F90EAE">
        <w:rPr>
          <w:color w:val="000000" w:themeColor="text1"/>
          <w:sz w:val="16"/>
          <w:szCs w:val="16"/>
          <w:lang w:val="en-US"/>
        </w:rPr>
        <w:t>Jager</w:t>
      </w:r>
      <w:r w:rsidRPr="00F90EAE">
        <w:rPr>
          <w:color w:val="000000" w:themeColor="text1"/>
          <w:sz w:val="16"/>
          <w:szCs w:val="16"/>
        </w:rPr>
        <w:t xml:space="preserve"> - ФВ-190А-1, А-2, А-3, А-4, А-6, А-7, А-8, А-9</w:t>
      </w:r>
    </w:p>
    <w:p w14:paraId="276C05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б) штурмовой вариант - </w:t>
      </w:r>
      <w:r w:rsidRPr="00F90EAE">
        <w:rPr>
          <w:color w:val="000000" w:themeColor="text1"/>
          <w:sz w:val="16"/>
          <w:szCs w:val="16"/>
          <w:lang w:val="en-US"/>
        </w:rPr>
        <w:t>Schlachtsjager</w:t>
      </w:r>
      <w:r w:rsidRPr="00F90EAE">
        <w:rPr>
          <w:color w:val="000000" w:themeColor="text1"/>
          <w:sz w:val="16"/>
          <w:szCs w:val="16"/>
        </w:rPr>
        <w:t xml:space="preserve"> - ФВ </w:t>
      </w:r>
      <w:r w:rsidRPr="00F90EAE">
        <w:rPr>
          <w:color w:val="000000" w:themeColor="text1"/>
          <w:sz w:val="16"/>
          <w:szCs w:val="16"/>
          <w:lang w:val="en-US"/>
        </w:rPr>
        <w:t>F</w:t>
      </w:r>
      <w:r w:rsidRPr="00F90EAE">
        <w:rPr>
          <w:color w:val="000000" w:themeColor="text1"/>
          <w:sz w:val="16"/>
          <w:szCs w:val="16"/>
        </w:rPr>
        <w:t xml:space="preserve">-1, </w:t>
      </w:r>
      <w:r w:rsidRPr="00F90EAE">
        <w:rPr>
          <w:color w:val="000000" w:themeColor="text1"/>
          <w:sz w:val="16"/>
          <w:szCs w:val="16"/>
          <w:lang w:val="en-US"/>
        </w:rPr>
        <w:t>F</w:t>
      </w:r>
      <w:r w:rsidRPr="00F90EAE">
        <w:rPr>
          <w:color w:val="000000" w:themeColor="text1"/>
          <w:sz w:val="16"/>
          <w:szCs w:val="16"/>
        </w:rPr>
        <w:t xml:space="preserve">-2, </w:t>
      </w:r>
      <w:r w:rsidRPr="00F90EAE">
        <w:rPr>
          <w:color w:val="000000" w:themeColor="text1"/>
          <w:sz w:val="16"/>
          <w:szCs w:val="16"/>
          <w:lang w:val="en-US"/>
        </w:rPr>
        <w:t>F</w:t>
      </w:r>
      <w:r w:rsidRPr="00F90EAE">
        <w:rPr>
          <w:color w:val="000000" w:themeColor="text1"/>
          <w:sz w:val="16"/>
          <w:szCs w:val="16"/>
        </w:rPr>
        <w:t xml:space="preserve">-3, </w:t>
      </w:r>
      <w:r w:rsidRPr="00F90EAE">
        <w:rPr>
          <w:color w:val="000000" w:themeColor="text1"/>
          <w:sz w:val="16"/>
          <w:szCs w:val="16"/>
          <w:lang w:val="en-US"/>
        </w:rPr>
        <w:t>F</w:t>
      </w:r>
      <w:r w:rsidRPr="00F90EAE">
        <w:rPr>
          <w:color w:val="000000" w:themeColor="text1"/>
          <w:sz w:val="16"/>
          <w:szCs w:val="16"/>
        </w:rPr>
        <w:t xml:space="preserve">-8, </w:t>
      </w:r>
      <w:r w:rsidRPr="00F90EAE">
        <w:rPr>
          <w:color w:val="000000" w:themeColor="text1"/>
          <w:sz w:val="16"/>
          <w:szCs w:val="16"/>
          <w:lang w:val="en-US"/>
        </w:rPr>
        <w:t>F</w:t>
      </w:r>
      <w:r w:rsidRPr="00F90EAE">
        <w:rPr>
          <w:color w:val="000000" w:themeColor="text1"/>
          <w:sz w:val="16"/>
          <w:szCs w:val="16"/>
        </w:rPr>
        <w:t xml:space="preserve">-9, </w:t>
      </w:r>
      <w:r w:rsidRPr="00F90EAE">
        <w:rPr>
          <w:color w:val="000000" w:themeColor="text1"/>
          <w:sz w:val="16"/>
          <w:szCs w:val="16"/>
          <w:lang w:val="en-US"/>
        </w:rPr>
        <w:t>A</w:t>
      </w:r>
      <w:r w:rsidRPr="00F90EAE">
        <w:rPr>
          <w:color w:val="000000" w:themeColor="text1"/>
          <w:sz w:val="16"/>
          <w:szCs w:val="16"/>
        </w:rPr>
        <w:t>-5</w:t>
      </w:r>
    </w:p>
    <w:p w14:paraId="761452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дальний истребительно-бомбардировочный вариант - </w:t>
      </w:r>
      <w:r w:rsidRPr="00F90EAE">
        <w:rPr>
          <w:color w:val="000000" w:themeColor="text1"/>
          <w:sz w:val="16"/>
          <w:szCs w:val="16"/>
          <w:lang w:val="en-US"/>
        </w:rPr>
        <w:t>Jaborei</w:t>
      </w:r>
      <w:r w:rsidRPr="00F90EAE">
        <w:rPr>
          <w:color w:val="000000" w:themeColor="text1"/>
          <w:sz w:val="16"/>
          <w:szCs w:val="16"/>
        </w:rPr>
        <w:t xml:space="preserve"> - ФВ-190</w:t>
      </w:r>
      <w:r w:rsidRPr="00F90EAE">
        <w:rPr>
          <w:color w:val="000000" w:themeColor="text1"/>
          <w:sz w:val="16"/>
          <w:szCs w:val="16"/>
          <w:lang w:val="en-US"/>
        </w:rPr>
        <w:t>G</w:t>
      </w:r>
      <w:r w:rsidRPr="00F90EAE">
        <w:rPr>
          <w:color w:val="000000" w:themeColor="text1"/>
          <w:sz w:val="16"/>
          <w:szCs w:val="16"/>
        </w:rPr>
        <w:t xml:space="preserve">-1, </w:t>
      </w:r>
      <w:r w:rsidRPr="00F90EAE">
        <w:rPr>
          <w:color w:val="000000" w:themeColor="text1"/>
          <w:sz w:val="16"/>
          <w:szCs w:val="16"/>
          <w:lang w:val="en-US"/>
        </w:rPr>
        <w:t>G</w:t>
      </w:r>
      <w:r w:rsidRPr="00F90EAE">
        <w:rPr>
          <w:color w:val="000000" w:themeColor="text1"/>
          <w:sz w:val="16"/>
          <w:szCs w:val="16"/>
        </w:rPr>
        <w:t xml:space="preserve">-2, </w:t>
      </w:r>
      <w:r w:rsidRPr="00F90EAE">
        <w:rPr>
          <w:color w:val="000000" w:themeColor="text1"/>
          <w:sz w:val="16"/>
          <w:szCs w:val="16"/>
          <w:lang w:val="en-US"/>
        </w:rPr>
        <w:t>G</w:t>
      </w:r>
      <w:r w:rsidRPr="00F90EAE">
        <w:rPr>
          <w:color w:val="000000" w:themeColor="text1"/>
          <w:sz w:val="16"/>
          <w:szCs w:val="16"/>
        </w:rPr>
        <w:t xml:space="preserve">-3, </w:t>
      </w:r>
      <w:r w:rsidRPr="00F90EAE">
        <w:rPr>
          <w:color w:val="000000" w:themeColor="text1"/>
          <w:sz w:val="16"/>
          <w:szCs w:val="16"/>
          <w:lang w:val="en-US"/>
        </w:rPr>
        <w:t>G</w:t>
      </w:r>
      <w:r w:rsidRPr="00F90EAE">
        <w:rPr>
          <w:color w:val="000000" w:themeColor="text1"/>
          <w:sz w:val="16"/>
          <w:szCs w:val="16"/>
        </w:rPr>
        <w:t xml:space="preserve">-8, </w:t>
      </w:r>
      <w:r w:rsidRPr="00F90EAE">
        <w:rPr>
          <w:color w:val="000000" w:themeColor="text1"/>
          <w:sz w:val="16"/>
          <w:szCs w:val="16"/>
          <w:lang w:val="en-US"/>
        </w:rPr>
        <w:t>G</w:t>
      </w:r>
      <w:r w:rsidRPr="00F90EAE">
        <w:rPr>
          <w:color w:val="000000" w:themeColor="text1"/>
          <w:sz w:val="16"/>
          <w:szCs w:val="16"/>
        </w:rPr>
        <w:t>-9</w:t>
      </w:r>
    </w:p>
    <w:p w14:paraId="04BE6D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последнее время немцы используют для штурмовки наземных войск и объектов с-ты ФВ-190 всех модификаций.</w:t>
      </w:r>
    </w:p>
    <w:p w14:paraId="1871DC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ГК НИИ ВВС КА проходили испытания с-ты ФВ-190А-4 в июле 1943, ФВ-190А-5 в сентябре 1943 и ФВ 190А-8 в декабре 1944.</w:t>
      </w:r>
    </w:p>
    <w:p w14:paraId="631AB5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Цель испытаний - определить ЛТД</w:t>
      </w:r>
    </w:p>
    <w:p w14:paraId="12A54E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6ACEA9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Одноместный одномоторный серийный с-т ФВ-190А-8 № 58697 представляет собой облегченный вариант немецкого истребителя ФВ-190А-8. От с-та ФВ-190А-8 № 682011, проходившего испытания в ГК НИИ ВВС в декабре 1944, данный с-т отличается следующим:</w:t>
      </w:r>
    </w:p>
    <w:p w14:paraId="155AEE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давление наддува у земли на форсажном режиме мотора с включенной кгопкой форсажа увеличен с 1,58 до 1,65. Продолжительность непрерывной работы на этом режиме - 10 минут. (На 2-й скорости нагнетателя при включенной кнопке форсаж не производится). Т.е. с-т используется исключительно как штурмовик. На номинальном режиме величина наддува составляет 1,35 при 2450 оборотах. На форсажном режиме без включения кнопки форсажа величина наддува составляет 1,42, обороты - 2700. Сектор централизованного поста управления ВМГ, в этом случае, доводится вперед до отказа, а кнопка форсажа - не выключается (остается утопленной).</w:t>
      </w:r>
    </w:p>
    <w:p w14:paraId="5C823D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Вооружени с-та изменено за счет снятия 2-х крыльевых пушек МК-108А-3 калибра 30 мм и б/припасов к ним.</w:t>
      </w:r>
    </w:p>
    <w:p w14:paraId="0B833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Сняты две бронеплиты под патронными ящиками крыльевых пушек.</w:t>
      </w:r>
    </w:p>
    <w:p w14:paraId="43B51F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Уменьшен запас горючего с 642 л до 524 л за счет снятия дополнительного фюзеляжного бака емкостью 118 л</w:t>
      </w:r>
    </w:p>
    <w:p w14:paraId="167C7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5) Установлен винт </w:t>
      </w:r>
      <w:r w:rsidRPr="00F90EAE">
        <w:rPr>
          <w:color w:val="000000" w:themeColor="text1"/>
          <w:sz w:val="16"/>
          <w:szCs w:val="16"/>
          <w:lang w:val="en-US"/>
        </w:rPr>
        <w:t>VDM</w:t>
      </w:r>
      <w:r w:rsidRPr="00F90EAE">
        <w:rPr>
          <w:color w:val="000000" w:themeColor="text1"/>
          <w:sz w:val="16"/>
          <w:szCs w:val="16"/>
        </w:rPr>
        <w:t xml:space="preserve"> Д-3,3, не имеет на комлевых частях лопастей симмертричных грузов - противовесов.</w:t>
      </w:r>
    </w:p>
    <w:p w14:paraId="4033E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234AB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3111, полетный - 3986</w:t>
      </w:r>
    </w:p>
    <w:p w14:paraId="0577E7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p w14:paraId="63FF2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с парашютом - 90</w:t>
      </w:r>
    </w:p>
    <w:p w14:paraId="4DB8D7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уд. Вес 0,75) - на 524 л - 393 кг</w:t>
      </w:r>
    </w:p>
    <w:p w14:paraId="47289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- 49</w:t>
      </w:r>
    </w:p>
    <w:p w14:paraId="7ACEBE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Стрелково-пушечное вооружение - 127,5 (2хМГ-151 - 84 + 2хМГ-131 - 43,5)</w:t>
      </w:r>
    </w:p>
    <w:p w14:paraId="686064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б/з 182 кг</w:t>
      </w:r>
    </w:p>
    <w:p w14:paraId="55081F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- 33,5</w:t>
      </w:r>
    </w:p>
    <w:p w14:paraId="33BAF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875</w:t>
      </w:r>
    </w:p>
    <w:p w14:paraId="26FF1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Макс. Скорость у земли - 522 при 1,35 (995-998) и 2450</w:t>
      </w:r>
    </w:p>
    <w:p w14:paraId="2423D6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1400 - 555, на 2 гр. 6150 - 614</w:t>
      </w:r>
    </w:p>
    <w:p w14:paraId="0DF7A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 Скорость у земли на форсаже - 542 при 1,42 (1045) и 2700</w:t>
      </w:r>
    </w:p>
    <w:p w14:paraId="6FF7A5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1250 - 569, на 2 гр. 6500 - 642</w:t>
      </w:r>
    </w:p>
    <w:p w14:paraId="0A89FC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включенной кнопкой - 582 при 1,65 (1215) на 2700</w:t>
      </w:r>
    </w:p>
    <w:p w14:paraId="6AAF8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5000 - 6,1 и 5,4 при форсаже</w:t>
      </w:r>
    </w:p>
    <w:p w14:paraId="6ADA61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1000 м 21-22</w:t>
      </w:r>
    </w:p>
    <w:p w14:paraId="56D520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 боевой работы - 1100 - 1200</w:t>
      </w:r>
    </w:p>
    <w:p w14:paraId="49560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управлении самолет тяжелый (по-прежнему)</w:t>
      </w:r>
    </w:p>
    <w:p w14:paraId="0449B7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Устойчивость в продольном отношении улучшена за счет смещения вперед цт</w:t>
      </w:r>
    </w:p>
    <w:p w14:paraId="1B1D9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Проведенные воздушные бои показали, что ФВ-190А-8 по максимальный скорости у земли имеет преимущества на форсажном режиме перед Як-3 и Як-9У и уступает Ла-7.</w:t>
      </w:r>
    </w:p>
    <w:p w14:paraId="597157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маневренности в гор. и верт. плоскостях с-т уступает всем отечественным истребителям с высоты 250-500 м.</w:t>
      </w:r>
    </w:p>
    <w:p w14:paraId="6C3499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марта 1945 Хомяков</w:t>
      </w:r>
    </w:p>
    <w:p w14:paraId="38F316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0C278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настоящих испытаний довести до сведения строевых частей ВВС КА и ГК отечественных авиазаводов</w:t>
      </w:r>
    </w:p>
    <w:p w14:paraId="1F9F5F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23 марта 1945 (747,4).</w:t>
      </w:r>
    </w:p>
    <w:p w14:paraId="4031C7D2" w14:textId="77777777" w:rsidR="00665165" w:rsidRPr="00F90EAE" w:rsidRDefault="00665165" w:rsidP="00F90EAE">
      <w:pPr>
        <w:autoSpaceDE w:val="0"/>
        <w:autoSpaceDN w:val="0"/>
        <w:adjustRightInd w:val="0"/>
        <w:jc w:val="both"/>
        <w:rPr>
          <w:color w:val="000000" w:themeColor="text1"/>
          <w:sz w:val="16"/>
          <w:szCs w:val="16"/>
        </w:rPr>
      </w:pPr>
    </w:p>
    <w:p w14:paraId="50CBA0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марта 1945 г. завер</w:t>
      </w:r>
      <w:r w:rsidRPr="00F90EAE">
        <w:rPr>
          <w:color w:val="000000" w:themeColor="text1"/>
          <w:sz w:val="16"/>
          <w:szCs w:val="16"/>
        </w:rPr>
        <w:softHyphen/>
        <w:t>шился переезд соответствующих под</w:t>
      </w:r>
      <w:r w:rsidRPr="00F90EAE">
        <w:rPr>
          <w:color w:val="000000" w:themeColor="text1"/>
          <w:sz w:val="16"/>
          <w:szCs w:val="16"/>
        </w:rPr>
        <w:softHyphen/>
        <w:t>разделений НИИ-1 на новую базу во Владыкино. Пока решались организационные вопросы, в филиале №2 НИИ-1 продол</w:t>
      </w:r>
      <w:r w:rsidRPr="00F90EAE">
        <w:rPr>
          <w:color w:val="000000" w:themeColor="text1"/>
          <w:sz w:val="16"/>
          <w:szCs w:val="16"/>
        </w:rPr>
        <w:softHyphen/>
        <w:t>жались работы по сопровождению и модернизации ранее разработанных НИИ-3 НКБ образцов реактивного воо</w:t>
      </w:r>
      <w:r w:rsidRPr="00F90EAE">
        <w:rPr>
          <w:color w:val="000000" w:themeColor="text1"/>
          <w:sz w:val="16"/>
          <w:szCs w:val="16"/>
        </w:rPr>
        <w:softHyphen/>
        <w:t>ружения гвардейских минометных ча</w:t>
      </w:r>
      <w:r w:rsidRPr="00F90EAE">
        <w:rPr>
          <w:color w:val="000000" w:themeColor="text1"/>
          <w:sz w:val="16"/>
          <w:szCs w:val="16"/>
        </w:rPr>
        <w:softHyphen/>
        <w:t>стей, а также создавалось реактивное вооружение для различных заказчиков. Так, продолжались работы по увеличе</w:t>
      </w:r>
      <w:r w:rsidRPr="00F90EAE">
        <w:rPr>
          <w:color w:val="000000" w:themeColor="text1"/>
          <w:sz w:val="16"/>
          <w:szCs w:val="16"/>
        </w:rPr>
        <w:softHyphen/>
        <w:t>нию дальности стрельбы РС М-13 при сохранении боевого действия и исполь</w:t>
      </w:r>
      <w:r w:rsidRPr="00F90EAE">
        <w:rPr>
          <w:color w:val="000000" w:themeColor="text1"/>
          <w:sz w:val="16"/>
          <w:szCs w:val="16"/>
        </w:rPr>
        <w:softHyphen/>
        <w:t>зовании серийных деталей этого снаря</w:t>
      </w:r>
      <w:r w:rsidRPr="00F90EAE">
        <w:rPr>
          <w:color w:val="000000" w:themeColor="text1"/>
          <w:sz w:val="16"/>
          <w:szCs w:val="16"/>
        </w:rPr>
        <w:softHyphen/>
        <w:t>да. В работе над этим снарядом на осно-вании результатов исследований Ю.А.Победоносцева принимали учас</w:t>
      </w:r>
      <w:r w:rsidRPr="00F90EAE">
        <w:rPr>
          <w:color w:val="000000" w:themeColor="text1"/>
          <w:sz w:val="16"/>
          <w:szCs w:val="16"/>
        </w:rPr>
        <w:softHyphen/>
        <w:t>тие В.Г. Бессонов, М.П. Горшков и Ф.Н. Пойда. После проведения заводс</w:t>
      </w:r>
      <w:r w:rsidRPr="00F90EAE">
        <w:rPr>
          <w:color w:val="000000" w:themeColor="text1"/>
          <w:sz w:val="16"/>
          <w:szCs w:val="16"/>
        </w:rPr>
        <w:softHyphen/>
        <w:t>ких и Государственных испытаний но</w:t>
      </w:r>
      <w:r w:rsidRPr="00F90EAE">
        <w:rPr>
          <w:color w:val="000000" w:themeColor="text1"/>
          <w:sz w:val="16"/>
          <w:szCs w:val="16"/>
        </w:rPr>
        <w:softHyphen/>
        <w:t>вый реактивный снаряд улучшенной кучности и повышенной дальности М-13-ДД (двухкамерный двигатель) в 1944 г. был принят на вооружение. Боевая часть осталась прежней (как у М-13), а ракетная часть была разрабо</w:t>
      </w:r>
      <w:r w:rsidRPr="00F90EAE">
        <w:rPr>
          <w:color w:val="000000" w:themeColor="text1"/>
          <w:sz w:val="16"/>
          <w:szCs w:val="16"/>
        </w:rPr>
        <w:softHyphen/>
        <w:t>тана по двухкамерной схеме и состояла из двух соединенных последовательно штатных ракетных камер снаряда М-13. Между камерами был размещен проме</w:t>
      </w:r>
      <w:r w:rsidRPr="00F90EAE">
        <w:rPr>
          <w:color w:val="000000" w:themeColor="text1"/>
          <w:sz w:val="16"/>
          <w:szCs w:val="16"/>
        </w:rPr>
        <w:softHyphen/>
        <w:t>жуточный переходник, имеющий во</w:t>
      </w:r>
      <w:r w:rsidRPr="00F90EAE">
        <w:rPr>
          <w:color w:val="000000" w:themeColor="text1"/>
          <w:sz w:val="16"/>
          <w:szCs w:val="16"/>
        </w:rPr>
        <w:softHyphen/>
        <w:t>семь косонаклонных сопл. При этом обеспечивалась одновременная работа обеих камер. Такая конструкция ракет</w:t>
      </w:r>
      <w:r w:rsidRPr="00F90EAE">
        <w:rPr>
          <w:color w:val="000000" w:themeColor="text1"/>
          <w:sz w:val="16"/>
          <w:szCs w:val="16"/>
        </w:rPr>
        <w:softHyphen/>
        <w:t>ного двигателя способствовала увеличе</w:t>
      </w:r>
      <w:r w:rsidRPr="00F90EAE">
        <w:rPr>
          <w:color w:val="000000" w:themeColor="text1"/>
          <w:sz w:val="16"/>
          <w:szCs w:val="16"/>
        </w:rPr>
        <w:softHyphen/>
        <w:t>нию импульса реактивной силы и, как следствие, возрастанию скорости и дальности полета. По принципу дей</w:t>
      </w:r>
      <w:r w:rsidRPr="00F90EAE">
        <w:rPr>
          <w:color w:val="000000" w:themeColor="text1"/>
          <w:sz w:val="16"/>
          <w:szCs w:val="16"/>
        </w:rPr>
        <w:softHyphen/>
        <w:t>ствия этот РС М-13-ДД напоминал схе</w:t>
      </w:r>
      <w:r w:rsidRPr="00F90EAE">
        <w:rPr>
          <w:color w:val="000000" w:themeColor="text1"/>
          <w:sz w:val="16"/>
          <w:szCs w:val="16"/>
        </w:rPr>
        <w:softHyphen/>
        <w:t>му «двухпустотной спасательной раке</w:t>
      </w:r>
      <w:r w:rsidRPr="00F90EAE">
        <w:rPr>
          <w:color w:val="000000" w:themeColor="text1"/>
          <w:sz w:val="16"/>
          <w:szCs w:val="16"/>
        </w:rPr>
        <w:softHyphen/>
        <w:t>ты» 1862 г. К.И. Константинова. Снаряд М-13-ДД имел длину 2,21 м, массу 62,7 кг, головную часть от снаряда М-13. Запускались снаряды с установки БМ-13-СН с 10 спиральными направля</w:t>
      </w:r>
      <w:r w:rsidRPr="00F90EAE">
        <w:rPr>
          <w:color w:val="000000" w:themeColor="text1"/>
          <w:sz w:val="16"/>
          <w:szCs w:val="16"/>
        </w:rPr>
        <w:softHyphen/>
        <w:t>ющими, которые обеспечивали оперен</w:t>
      </w:r>
      <w:r w:rsidRPr="00F90EAE">
        <w:rPr>
          <w:color w:val="000000" w:themeColor="text1"/>
          <w:sz w:val="16"/>
          <w:szCs w:val="16"/>
        </w:rPr>
        <w:softHyphen/>
        <w:t>ному снаряду проворачивание, улуч</w:t>
      </w:r>
      <w:r w:rsidRPr="00F90EAE">
        <w:rPr>
          <w:color w:val="000000" w:themeColor="text1"/>
          <w:sz w:val="16"/>
          <w:szCs w:val="16"/>
        </w:rPr>
        <w:softHyphen/>
        <w:t>шавшее кучность стрельбы. Стрельба этими снарядами велась на дальностях до 11,8 км (11090).</w:t>
      </w:r>
    </w:p>
    <w:p w14:paraId="2ED926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BB3E5DD" w14:textId="77777777" w:rsidR="00BA2B8F" w:rsidRPr="00F90EAE" w:rsidRDefault="00BA2B8F" w:rsidP="00F90EAE">
      <w:pPr>
        <w:jc w:val="both"/>
        <w:rPr>
          <w:color w:val="000000" w:themeColor="text1"/>
          <w:sz w:val="16"/>
          <w:szCs w:val="16"/>
        </w:rPr>
      </w:pPr>
      <w:r w:rsidRPr="00F90EAE">
        <w:rPr>
          <w:color w:val="000000" w:themeColor="text1"/>
          <w:sz w:val="16"/>
          <w:szCs w:val="16"/>
        </w:rPr>
        <w:t>26 марта 1945 г. завершился переезд соответствующих подразделений института НИИ-1 на новую базу во Владыкино (12205).</w:t>
      </w:r>
    </w:p>
    <w:p w14:paraId="1F862E5F" w14:textId="77777777" w:rsidR="00BA2B8F" w:rsidRPr="00F90EAE" w:rsidRDefault="00BA2B8F" w:rsidP="00F90EAE">
      <w:pPr>
        <w:jc w:val="both"/>
        <w:rPr>
          <w:color w:val="000000" w:themeColor="text1"/>
          <w:sz w:val="16"/>
          <w:szCs w:val="16"/>
        </w:rPr>
      </w:pPr>
    </w:p>
    <w:p w14:paraId="79ADB93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8A86B59" w14:textId="77777777" w:rsidR="00665165" w:rsidRPr="00F90EAE" w:rsidRDefault="00665165" w:rsidP="00F90EAE">
      <w:pPr>
        <w:autoSpaceDE w:val="0"/>
        <w:autoSpaceDN w:val="0"/>
        <w:adjustRightInd w:val="0"/>
        <w:jc w:val="both"/>
        <w:rPr>
          <w:iCs/>
          <w:color w:val="000000" w:themeColor="text1"/>
          <w:sz w:val="16"/>
          <w:szCs w:val="16"/>
        </w:rPr>
      </w:pPr>
    </w:p>
    <w:p w14:paraId="102AF7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марта 1945 танк ИС-3 № 3 поступил на НИБТ полигон (11135).</w:t>
      </w:r>
    </w:p>
    <w:p w14:paraId="5B6585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0C03C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марта 1945 г. была подготовлена ДОКЛАДНАЯ ЗАПИСКА КОМАНДУЮЩЕГО БТ и МВ КА ЗАМЕСТИТЕЛЮ ПРЕДСЕДАТЕЛЯ ГКО СССР В.М. МОЛОТОВУ ОБ ИЗГОТОВЛЕНИИ ОГНЕМЕТНЫХ ТАНКОВ</w:t>
      </w:r>
    </w:p>
    <w:p w14:paraId="49EFE7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Огнеметные танки Т-О34 дают хорошие результаты при огнеметании по живой силе противника, находящейся в укрытиях, и сжигают вражескую технику при попадании в нее струи горящей огнесмеси.</w:t>
      </w:r>
    </w:p>
    <w:p w14:paraId="138C8D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танках Т-О34 огнемет установлен в носовой части танков и управление им сосредоточено у механика-водителя. Огнеметание может производиться только вперед по курсу танка.</w:t>
      </w:r>
    </w:p>
    <w:p w14:paraId="120ABA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повышения боевой эффективности огнеметных танков необходимо обеспечить круговое огнеметание и освободить механика-водителя от управления огнеметом, передав эти функции башенному стрелку и командиру танка.</w:t>
      </w:r>
    </w:p>
    <w:p w14:paraId="409A12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переходом промышленности на изготовление танков Т-34-85 и Т-44 считаю необходи</w:t>
      </w:r>
      <w:r w:rsidRPr="00F90EAE">
        <w:rPr>
          <w:color w:val="000000" w:themeColor="text1"/>
          <w:sz w:val="16"/>
          <w:szCs w:val="16"/>
        </w:rPr>
        <w:softHyphen/>
        <w:t>мым изготовить огнеметные танки этих типов с сохранением пушечного вооружения.</w:t>
      </w:r>
    </w:p>
    <w:p w14:paraId="71CD8C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Представляю проект постановления ГОКО, прошу его утвердить</w:t>
      </w:r>
      <w:r w:rsidRPr="00F90EAE">
        <w:rPr>
          <w:color w:val="000000" w:themeColor="text1"/>
          <w:sz w:val="16"/>
          <w:szCs w:val="16"/>
          <w:vertAlign w:val="superscript"/>
        </w:rPr>
        <w:t>1</w:t>
      </w:r>
      <w:r w:rsidRPr="00F90EAE">
        <w:rPr>
          <w:color w:val="000000" w:themeColor="text1"/>
          <w:sz w:val="16"/>
          <w:szCs w:val="16"/>
        </w:rPr>
        <w:t>.</w:t>
      </w:r>
    </w:p>
    <w:p w14:paraId="758CC6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34BA7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2727. Л. 48. Копия (11420).</w:t>
      </w:r>
    </w:p>
    <w:p w14:paraId="707449E3" w14:textId="77777777" w:rsidR="00665165" w:rsidRPr="00F90EAE" w:rsidRDefault="00665165" w:rsidP="00F90EAE">
      <w:pPr>
        <w:autoSpaceDE w:val="0"/>
        <w:autoSpaceDN w:val="0"/>
        <w:adjustRightInd w:val="0"/>
        <w:jc w:val="both"/>
        <w:rPr>
          <w:color w:val="000000" w:themeColor="text1"/>
          <w:sz w:val="16"/>
          <w:szCs w:val="16"/>
        </w:rPr>
      </w:pPr>
    </w:p>
    <w:p w14:paraId="384372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марта 1945 г. вышло РАСПОРЯЖЕНИЕ НАЧАЛЬНИКА УЭТ ГБТУ КА О ЗАПРЕЩЕНИИ СНЯТИЯ ГИЛЬЗОУЛАВЛИВАТЕЛЯ С ПУШКИ Д-25 №850232</w:t>
      </w:r>
    </w:p>
    <w:p w14:paraId="0E817F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танковых частях и соединениях, имеющих на вооружении тяжелые танки, имеют место случаи снятия со 122-мм пушки Д-25 гильзоулавливателя по причине неполной экстракции гильзы.</w:t>
      </w:r>
    </w:p>
    <w:p w14:paraId="19022B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Неполная экстракция стреляной гильзы в значительной степени влияет на уменьшение загазо</w:t>
      </w:r>
      <w:r w:rsidRPr="00F90EAE">
        <w:rPr>
          <w:color w:val="000000" w:themeColor="text1"/>
          <w:sz w:val="16"/>
          <w:szCs w:val="16"/>
        </w:rPr>
        <w:softHyphen/>
        <w:t>ванности боевого отделения танка, так как часть пороховых газов в этот момент успевает выходить в канал ствола пушки.</w:t>
      </w:r>
    </w:p>
    <w:p w14:paraId="033C48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дать указание танковым частям и соединениям о запрещении снятия гильзоулавливате</w:t>
      </w:r>
      <w:r w:rsidRPr="00F90EAE">
        <w:rPr>
          <w:color w:val="000000" w:themeColor="text1"/>
          <w:sz w:val="16"/>
          <w:szCs w:val="16"/>
        </w:rPr>
        <w:softHyphen/>
        <w:t>ля, так как отсутствие его приводит к тяжелым ушибам заряжающего.</w:t>
      </w:r>
    </w:p>
    <w:p w14:paraId="3AACCE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УЭТ ГБТУ КА генерал-майор инженерно-танковой службы Печеникин</w:t>
      </w:r>
    </w:p>
    <w:p w14:paraId="126FDD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1 отдела УЭТ ГБТУ КА инженер-полковник Олейников</w:t>
      </w:r>
    </w:p>
    <w:p w14:paraId="688B16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11362. Л 116. Л. 19. Подлинник (11420).</w:t>
      </w:r>
    </w:p>
    <w:p w14:paraId="3AE7C9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91B0086" w14:textId="77777777" w:rsidR="00BA2B8F" w:rsidRPr="00F90EAE" w:rsidRDefault="00BA2B8F" w:rsidP="00F90EAE">
      <w:pPr>
        <w:jc w:val="both"/>
        <w:rPr>
          <w:color w:val="000000" w:themeColor="text1"/>
          <w:sz w:val="16"/>
          <w:szCs w:val="16"/>
        </w:rPr>
      </w:pPr>
      <w:r w:rsidRPr="00F90EAE">
        <w:rPr>
          <w:color w:val="000000" w:themeColor="text1"/>
          <w:sz w:val="16"/>
          <w:szCs w:val="16"/>
        </w:rPr>
        <w:t>26 марта 1945 г. Письмо экипажа радиоустановки «Редут» № 125 ст. лейтенанта Ямбых — коллективу завода № 208.</w:t>
      </w:r>
    </w:p>
    <w:p w14:paraId="4BF00E37" w14:textId="77777777" w:rsidR="00BA2B8F" w:rsidRPr="00F90EAE" w:rsidRDefault="00BA2B8F" w:rsidP="00F90EAE">
      <w:pPr>
        <w:jc w:val="both"/>
        <w:rPr>
          <w:color w:val="000000" w:themeColor="text1"/>
          <w:sz w:val="16"/>
          <w:szCs w:val="16"/>
        </w:rPr>
      </w:pPr>
      <w:r w:rsidRPr="00F90EAE">
        <w:rPr>
          <w:color w:val="000000" w:themeColor="text1"/>
          <w:sz w:val="16"/>
          <w:szCs w:val="16"/>
        </w:rPr>
        <w:t>Здравствуйте, дорогие товарищи! От имени экипажа радиоустановки «Редут» № 125 разрешите передать Вам пламенный фронтовой привет и пожелать наилучших успехов на трудовом фронте. На установке мы работаем с 23 апреля 1944 г. Пройден боевой путь от Украины через Западную Украину, Северную Буковину, Польшу до Силезии (Германия). Установка на сегодняшний день является глазами истребительной авиации и пользуется большим авторитетом среди частей истребительной авиации. На 26 марта установка проработала 3 200 боевых часов. На боевом счету нашей установки имеется 39 сбитых самолетов противника, 40 обнаруженных аэродромов противника. 11 человек нашего экипажа награждены правительственными наградами. Установка движется непосредственно за передним краем и работает на самых ответственных участках фронта по прикрытию наступающих частей Красной Армии. В условиях боевой обстановки нам стало ясно, как важно изготовление Вами для фронта максимального количества станций этого типа. От имени экипажа станции «Редут» № 125 благодарим Вас за хорошую советскую технику, которой Вы нас снабдили, и желаем Вам дальнейших успехов в Вашей работе. Да здравствует Красная Армия и ее верный помощник, сплоченный тыл! Смерть немецким захватчикам! С боевым приветом:</w:t>
      </w:r>
    </w:p>
    <w:p w14:paraId="535E1F48" w14:textId="77777777" w:rsidR="00BA2B8F" w:rsidRPr="00F90EAE" w:rsidRDefault="00BA2B8F" w:rsidP="00F90EAE">
      <w:pPr>
        <w:jc w:val="both"/>
        <w:rPr>
          <w:color w:val="000000" w:themeColor="text1"/>
          <w:sz w:val="16"/>
          <w:szCs w:val="16"/>
        </w:rPr>
      </w:pPr>
      <w:r w:rsidRPr="00F90EAE">
        <w:rPr>
          <w:color w:val="000000" w:themeColor="text1"/>
          <w:sz w:val="16"/>
          <w:szCs w:val="16"/>
        </w:rPr>
        <w:t>Начальник установки трижды орденоносец ст. лейтенант Ямбых А.В.</w:t>
      </w:r>
    </w:p>
    <w:p w14:paraId="5CE2FC0C" w14:textId="77777777" w:rsidR="00BA2B8F" w:rsidRPr="00F90EAE" w:rsidRDefault="00BA2B8F" w:rsidP="00F90EAE">
      <w:pPr>
        <w:jc w:val="both"/>
        <w:rPr>
          <w:color w:val="000000" w:themeColor="text1"/>
          <w:sz w:val="16"/>
          <w:szCs w:val="16"/>
        </w:rPr>
      </w:pPr>
      <w:r w:rsidRPr="00F90EAE">
        <w:rPr>
          <w:color w:val="000000" w:themeColor="text1"/>
          <w:sz w:val="16"/>
          <w:szCs w:val="16"/>
        </w:rPr>
        <w:t>Помощник начальника установки орденоносец лейтенант Гуленко И.</w:t>
      </w:r>
    </w:p>
    <w:p w14:paraId="0AEC51F9" w14:textId="77777777" w:rsidR="00BA2B8F" w:rsidRPr="00F90EAE" w:rsidRDefault="00BA2B8F" w:rsidP="00F90EAE">
      <w:pPr>
        <w:jc w:val="both"/>
        <w:rPr>
          <w:color w:val="000000" w:themeColor="text1"/>
          <w:sz w:val="16"/>
          <w:szCs w:val="16"/>
        </w:rPr>
      </w:pPr>
      <w:r w:rsidRPr="00F90EAE">
        <w:rPr>
          <w:color w:val="000000" w:themeColor="text1"/>
          <w:sz w:val="16"/>
          <w:szCs w:val="16"/>
        </w:rPr>
        <w:t>Ст. оператор орденоносец ст. сержант Муравьев П.К.</w:t>
      </w:r>
    </w:p>
    <w:p w14:paraId="2711695E" w14:textId="77777777" w:rsidR="00BA2B8F" w:rsidRPr="00F90EAE" w:rsidRDefault="00BA2B8F" w:rsidP="00F90EAE">
      <w:pPr>
        <w:jc w:val="both"/>
        <w:rPr>
          <w:color w:val="000000" w:themeColor="text1"/>
          <w:sz w:val="16"/>
          <w:szCs w:val="16"/>
        </w:rPr>
      </w:pPr>
      <w:r w:rsidRPr="00F90EAE">
        <w:rPr>
          <w:color w:val="000000" w:themeColor="text1"/>
          <w:sz w:val="16"/>
          <w:szCs w:val="16"/>
        </w:rPr>
        <w:t>Ст. электромехаиик орденоносец ефрейтор Кондрашкин Ф.А.</w:t>
      </w:r>
    </w:p>
    <w:p w14:paraId="6203FF8E" w14:textId="77777777" w:rsidR="00BA2B8F" w:rsidRPr="00F90EAE" w:rsidRDefault="00BA2B8F" w:rsidP="00F90EAE">
      <w:pPr>
        <w:jc w:val="both"/>
        <w:rPr>
          <w:color w:val="000000" w:themeColor="text1"/>
          <w:sz w:val="16"/>
          <w:szCs w:val="16"/>
        </w:rPr>
      </w:pPr>
      <w:r w:rsidRPr="00F90EAE">
        <w:rPr>
          <w:color w:val="000000" w:themeColor="text1"/>
          <w:sz w:val="16"/>
          <w:szCs w:val="16"/>
        </w:rPr>
        <w:t>Ст. планшетист орденоносец комсомолец Садовников Н.С.</w:t>
      </w:r>
    </w:p>
    <w:p w14:paraId="4E6FE492" w14:textId="77777777" w:rsidR="00BA2B8F" w:rsidRPr="00F90EAE" w:rsidRDefault="00BA2B8F" w:rsidP="00F90EAE">
      <w:pPr>
        <w:jc w:val="both"/>
        <w:rPr>
          <w:color w:val="000000" w:themeColor="text1"/>
          <w:sz w:val="16"/>
          <w:szCs w:val="16"/>
        </w:rPr>
      </w:pPr>
      <w:r w:rsidRPr="00F90EAE">
        <w:rPr>
          <w:color w:val="000000" w:themeColor="text1"/>
          <w:sz w:val="16"/>
          <w:szCs w:val="16"/>
        </w:rPr>
        <w:t>Всего 21 подпись (12160).</w:t>
      </w:r>
    </w:p>
    <w:p w14:paraId="35A083CA" w14:textId="77777777" w:rsidR="00BA2B8F" w:rsidRPr="00F90EAE" w:rsidRDefault="00BA2B8F" w:rsidP="00F90EAE">
      <w:pPr>
        <w:jc w:val="both"/>
        <w:rPr>
          <w:color w:val="000000" w:themeColor="text1"/>
          <w:sz w:val="16"/>
          <w:szCs w:val="16"/>
        </w:rPr>
      </w:pPr>
    </w:p>
    <w:p w14:paraId="69ECB28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марта 1945 года вышел приказ № 118с НКВ</w:t>
      </w:r>
    </w:p>
    <w:p w14:paraId="388AA0B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Совнаркома за № 4737-рс от 23 марта 1945 года:</w:t>
      </w:r>
    </w:p>
    <w:p w14:paraId="39446FF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Передать промплощадку завода № 525 в Артемовске Сталинской области Наркомату цветной металлургии (6449, 23).</w:t>
      </w:r>
    </w:p>
    <w:p w14:paraId="1188F8C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EBCC92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B7DB55C" w14:textId="77777777" w:rsidR="00665165" w:rsidRPr="00F90EAE" w:rsidRDefault="00665165" w:rsidP="00F90EAE">
      <w:pPr>
        <w:autoSpaceDE w:val="0"/>
        <w:autoSpaceDN w:val="0"/>
        <w:adjustRightInd w:val="0"/>
        <w:jc w:val="both"/>
        <w:rPr>
          <w:iCs/>
          <w:color w:val="000000" w:themeColor="text1"/>
          <w:sz w:val="16"/>
          <w:szCs w:val="16"/>
        </w:rPr>
      </w:pPr>
    </w:p>
    <w:p w14:paraId="60A35C3E" w14:textId="77777777" w:rsidR="00525BF4" w:rsidRPr="00F90EAE" w:rsidRDefault="00525BF4" w:rsidP="00F90EAE">
      <w:pPr>
        <w:jc w:val="both"/>
        <w:rPr>
          <w:color w:val="000000" w:themeColor="text1"/>
          <w:sz w:val="16"/>
          <w:szCs w:val="16"/>
        </w:rPr>
      </w:pPr>
      <w:r w:rsidRPr="00F90EAE">
        <w:rPr>
          <w:bCs/>
          <w:color w:val="000000" w:themeColor="text1"/>
          <w:sz w:val="16"/>
          <w:szCs w:val="16"/>
        </w:rPr>
        <w:t>26 марта</w:t>
      </w:r>
      <w:r w:rsidRPr="00F90EAE">
        <w:rPr>
          <w:color w:val="000000" w:themeColor="text1"/>
          <w:sz w:val="16"/>
          <w:szCs w:val="16"/>
        </w:rPr>
        <w:t xml:space="preserve"> в 1945 году оперативная сводка Совинформбюро:</w:t>
      </w:r>
    </w:p>
    <w:p w14:paraId="76169DD9" w14:textId="77777777" w:rsidR="00525BF4" w:rsidRPr="00F90EAE" w:rsidRDefault="00525BF4" w:rsidP="00F90EAE">
      <w:pPr>
        <w:jc w:val="both"/>
        <w:rPr>
          <w:color w:val="000000" w:themeColor="text1"/>
          <w:sz w:val="16"/>
          <w:szCs w:val="16"/>
        </w:rPr>
      </w:pPr>
      <w:r w:rsidRPr="00F90EAE">
        <w:rPr>
          <w:color w:val="000000" w:themeColor="text1"/>
          <w:sz w:val="16"/>
          <w:szCs w:val="16"/>
        </w:rPr>
        <w:t>«В течение 26 марта войска 3-го Белорусского фронта завершали ликвидацию группы войск противника на побережье залива Фриш-Гаф юго-западнее Кенигсберга и заняли населённые пункты Гросс Хоппенбрух, Раиншенхоф, Дойч Банду и порт Розенберг, отбросив остатки разгромленных частей противника в район мыса Кальхальцерхакен. По предварительным данным, в боях за 26 марта в этом районе войска фронта взяли в плен более 21.000 немецких солдат и офицеров.</w:t>
      </w:r>
    </w:p>
    <w:p w14:paraId="5CB27A2D" w14:textId="77777777" w:rsidR="00525BF4" w:rsidRPr="00F90EAE" w:rsidRDefault="00525BF4" w:rsidP="00F90EAE">
      <w:pPr>
        <w:jc w:val="both"/>
        <w:rPr>
          <w:color w:val="000000" w:themeColor="text1"/>
          <w:sz w:val="16"/>
          <w:szCs w:val="16"/>
        </w:rPr>
      </w:pPr>
      <w:r w:rsidRPr="00F90EAE">
        <w:rPr>
          <w:color w:val="000000" w:themeColor="text1"/>
          <w:sz w:val="16"/>
          <w:szCs w:val="16"/>
        </w:rPr>
        <w:t>На Гданьском (Данцигском) направлении наши войска, продолжая наступление, заняли населённые пункты Праустер-Пфаррдорф, Гросс Лянд, Альбрехт, Пфардорф, Матцкау, Шенфельд, Цанкенцин, Шюдделькау, Воннеберг, Хелле (2 километра западнее Гданьска (Данцига), Ненкау, Миггау, Пелонкен, Кенигсхоф, Вайсхоф, Ротхоф. В боях за 25 марта в этом районе взято в плен более 1.300 немецких солдат и офицеров.</w:t>
      </w:r>
    </w:p>
    <w:p w14:paraId="4606035D"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Украинского фронта, наступая в трудных условиях горно-лесистой местности в полосе Карпат, овладели в Чехословакии городом Банска Бистрица — важным узлом дорог и сильным опорным пунктом обороны немцев, а также заняли более 50 других населённых пунктов, в числе которых Горня Легота, Ясене, Разлока, Подконице, Преход, Селце, Сасово, Скубин, Малахов, Ракитовце, Турова, Будча и железнодорожные станции Влканова, Радвань, Словацка Люпча, Лучатин, Замосте, Подбрезова. За 25 марта войска фронта взяли в плен более 1.000 солдат и офицеров противника.</w:t>
      </w:r>
    </w:p>
    <w:p w14:paraId="6FBBD9A7"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26 марта овладели городами Папа и Девечер — крупными узлами дорог и сильными опорными пунктами обороны немцев, прикрывающими пути к границам Австрии, а также заняли более 100 других населённых пунктов, среди которых крупные населённые пункты Баконьпотерд, Ловаспатона, Ваньола, Куп, Нослоп, Доба, Шомловече, Шомловашархель, Падраг, Надьважонь, Васоль, Балатонудвари, Орвеньеш, Осефо, Тигань и железнодорожные станции Лази, Романд, Банонь-Тамаши, Папатесер, Нальдимот, Айка.</w:t>
      </w:r>
    </w:p>
    <w:p w14:paraId="1499D7D4" w14:textId="77777777" w:rsidR="00525BF4" w:rsidRPr="00F90EAE" w:rsidRDefault="00525BF4"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6CF992BD" w14:textId="77777777" w:rsidR="00525BF4" w:rsidRPr="00F90EAE" w:rsidRDefault="00525BF4" w:rsidP="00F90EAE">
      <w:pPr>
        <w:jc w:val="both"/>
        <w:rPr>
          <w:color w:val="000000" w:themeColor="text1"/>
          <w:sz w:val="16"/>
          <w:szCs w:val="16"/>
        </w:rPr>
      </w:pPr>
      <w:r w:rsidRPr="00F90EAE">
        <w:rPr>
          <w:color w:val="000000" w:themeColor="text1"/>
          <w:sz w:val="16"/>
          <w:szCs w:val="16"/>
        </w:rPr>
        <w:t>За 25 марта на всех фронтах подбито и уничтожено 180 немецких танков и самоходных орудий. В воздушных боях и огнём зенитной артиллерии сбито 37 самолётов противника.</w:t>
      </w:r>
    </w:p>
    <w:p w14:paraId="3D7F5BBD" w14:textId="77777777" w:rsidR="00525BF4" w:rsidRPr="00F90EAE" w:rsidRDefault="00525BF4" w:rsidP="00F90EAE">
      <w:pPr>
        <w:jc w:val="both"/>
        <w:rPr>
          <w:color w:val="000000" w:themeColor="text1"/>
          <w:sz w:val="16"/>
          <w:szCs w:val="16"/>
        </w:rPr>
      </w:pPr>
      <w:r w:rsidRPr="00F90EAE">
        <w:rPr>
          <w:color w:val="000000" w:themeColor="text1"/>
          <w:sz w:val="16"/>
          <w:szCs w:val="16"/>
        </w:rPr>
        <w:t>Налёт нашей авиации на Гданьск (Данциг).</w:t>
      </w:r>
    </w:p>
    <w:p w14:paraId="59EF3DE5" w14:textId="77777777" w:rsidR="00525BF4" w:rsidRPr="00F90EAE" w:rsidRDefault="00525BF4" w:rsidP="00F90EAE">
      <w:pPr>
        <w:jc w:val="both"/>
        <w:rPr>
          <w:color w:val="000000" w:themeColor="text1"/>
          <w:sz w:val="16"/>
          <w:szCs w:val="16"/>
        </w:rPr>
      </w:pPr>
      <w:r w:rsidRPr="00F90EAE">
        <w:rPr>
          <w:color w:val="000000" w:themeColor="text1"/>
          <w:sz w:val="16"/>
          <w:szCs w:val="16"/>
        </w:rPr>
        <w:t>В ночь на 26 марта наши тяжёлые бомбардировщики нанесли массированный удар по военным объектам противника в Гданьске (Данциге). В результате бомбардировки на железнодорожном узле и в порту Гданьск (Данциг) возникли большие пожары, сопровождавшиеся сильными взрывами. Горели нефтехранилища, железнодорожные составы и в порту транспорты противника.</w:t>
      </w:r>
    </w:p>
    <w:p w14:paraId="4A266B08" w14:textId="77777777" w:rsidR="00525BF4" w:rsidRPr="00F90EAE" w:rsidRDefault="00525BF4" w:rsidP="00F90EAE">
      <w:pPr>
        <w:jc w:val="both"/>
        <w:rPr>
          <w:color w:val="000000" w:themeColor="text1"/>
          <w:sz w:val="16"/>
          <w:szCs w:val="16"/>
        </w:rPr>
      </w:pPr>
      <w:r w:rsidRPr="00F90EAE">
        <w:rPr>
          <w:color w:val="000000" w:themeColor="text1"/>
          <w:sz w:val="16"/>
          <w:szCs w:val="16"/>
        </w:rPr>
        <w:t>В течение дня 26 марта наши бомбардировщики продолжали наносить удары по городу и порту Гданьск (Данциг).</w:t>
      </w:r>
    </w:p>
    <w:p w14:paraId="3EE500E0" w14:textId="77777777" w:rsidR="00525BF4" w:rsidRPr="00F90EAE" w:rsidRDefault="00525BF4" w:rsidP="00F90EAE">
      <w:pPr>
        <w:jc w:val="both"/>
        <w:rPr>
          <w:color w:val="000000" w:themeColor="text1"/>
          <w:sz w:val="16"/>
          <w:szCs w:val="16"/>
        </w:rPr>
      </w:pPr>
      <w:r w:rsidRPr="00F90EAE">
        <w:rPr>
          <w:color w:val="000000" w:themeColor="text1"/>
          <w:sz w:val="16"/>
          <w:szCs w:val="16"/>
        </w:rPr>
        <w:t>Юго-западнее Кенигсберга войска 3-го Белорусского фронта завершали ликвидацию группы войск противника, прижатой к заливу Фриш-Гаф. Советские части переправились через реку Банау и, сломив сопротивление немцев, заняли опорный пункт Дойч Банау. Развивая успех, наши войска овладели портом Розенберг и отбросили немцев на небольшой болотистый мыс. Места боёв завалены трупами гитлеровцев. Противник в беспорядки отступает, оставляя огромное количество вооружения и военных материалов. Нашими войсками захвачено много танков и бронетранспортёров, сотни полевых орудий, несколько тысяч автомашин, 53 паровоза, 1.380 железнодорожных вагонов, 67 складов с боеприпасами и военным снаряжением.</w:t>
      </w:r>
    </w:p>
    <w:p w14:paraId="725F6B96" w14:textId="77777777" w:rsidR="00525BF4" w:rsidRPr="00F90EAE" w:rsidRDefault="00525BF4" w:rsidP="00F90EAE">
      <w:pPr>
        <w:jc w:val="both"/>
        <w:rPr>
          <w:color w:val="000000" w:themeColor="text1"/>
          <w:sz w:val="16"/>
          <w:szCs w:val="16"/>
        </w:rPr>
      </w:pPr>
      <w:r w:rsidRPr="00F90EAE">
        <w:rPr>
          <w:color w:val="000000" w:themeColor="text1"/>
          <w:sz w:val="16"/>
          <w:szCs w:val="16"/>
        </w:rPr>
        <w:t>В боях за 26 марта, по предварительным данным, войска фронта взяли в плен более 21.000 немецких солдат и офицеров. Солдаты и офицеры разгромлённых частей противника прекращают сопротивление и складывают оружие. Количество пленных всё время возрастает.</w:t>
      </w:r>
    </w:p>
    <w:p w14:paraId="51AF4E01" w14:textId="77777777" w:rsidR="00525BF4" w:rsidRPr="00F90EAE" w:rsidRDefault="00525BF4" w:rsidP="00F90EAE">
      <w:pPr>
        <w:jc w:val="both"/>
        <w:rPr>
          <w:color w:val="000000" w:themeColor="text1"/>
          <w:sz w:val="16"/>
          <w:szCs w:val="16"/>
        </w:rPr>
      </w:pPr>
      <w:r w:rsidRPr="00F90EAE">
        <w:rPr>
          <w:color w:val="000000" w:themeColor="text1"/>
          <w:sz w:val="16"/>
          <w:szCs w:val="16"/>
        </w:rPr>
        <w:t>На Гданьском (Данцигском) направлении наши войска, развивая наступление с запада, прорвали второй оборонительный рубеж противника. Бои идут в глубине третьей, и последней перед Гданьском, полосы немецких укреплений. В результате мощного удара советские танкисты и пехотинцы овладели опорным пунктом Хелле и ворвались на окраины Эмауса — пригорода Гданьска. Другие наши части, преодолевая долговременные укрепления, приближаются к Гданьску с севера. Позиции противника непрерывно обстреливаются артиллерией и подвергаются бомбоштурмовым ударам авиации с воздуха. За день боёв уничтожено 35 немецких танков и бронетранспортёров, а также свыше 80 полевых и зенитных орудий.Наша авиация потопила в Данцигской бухте 2 парохода, 3 катера и 5 барж. Отмечены прямые попадания бомб в другие суда противника.</w:t>
      </w:r>
    </w:p>
    <w:p w14:paraId="4D506796"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в полосе Карпат. Противник, опираясь на построенные в горах оборонительные сооружения, пытался удержать за собой плацдарм на левом берегу реви Грон, к северу от города Зволен.</w:t>
      </w:r>
    </w:p>
    <w:p w14:paraId="20A2BC90" w14:textId="77777777" w:rsidR="00525BF4" w:rsidRPr="00F90EAE" w:rsidRDefault="00525BF4" w:rsidP="00F90EAE">
      <w:pPr>
        <w:jc w:val="both"/>
        <w:rPr>
          <w:color w:val="000000" w:themeColor="text1"/>
          <w:sz w:val="16"/>
          <w:szCs w:val="16"/>
        </w:rPr>
      </w:pPr>
      <w:r w:rsidRPr="00F90EAE">
        <w:rPr>
          <w:color w:val="000000" w:themeColor="text1"/>
          <w:sz w:val="16"/>
          <w:szCs w:val="16"/>
        </w:rPr>
        <w:t xml:space="preserve">Центром сопротивления немцев на этом участке являлся город Банска Бистрица —-важный узел дорог, расположенный по обеим сторонам реки Грон. Наши войска вышли к восточной части города Банска Бистрица и завязали уличные бои на окраинах города. Одновременно другие наши части, недавно захватившие плацдарм на </w:t>
      </w:r>
      <w:r w:rsidRPr="00F90EAE">
        <w:rPr>
          <w:color w:val="000000" w:themeColor="text1"/>
          <w:sz w:val="16"/>
          <w:szCs w:val="16"/>
        </w:rPr>
        <w:lastRenderedPageBreak/>
        <w:t>правом берегу реки Грон, овладели селением Радвань, прикрывающим город с юга. Пехота противника, усиленная самоходными орудиями, предприняла несколько контратак. Наши бойцы отбросили немцев и, совершив обходный маневр, ворвались на улицы города. Гитлеровцы засели в приспособленных для обороны каменных зданиях. Действуя штурмовыми группами, советские части быстро разгромили вражеские очаги сопротивления и овладели городом Банска Бистрица — сильным опорным пунктам обороны немцев на реке Грон. Захвачено большое количество вооружения и военных материалов.</w:t>
      </w:r>
    </w:p>
    <w:p w14:paraId="1E289657"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Украинского фронта развивали успешное наступление. Советские танки и пехота стремительными ударами сбивают противника с промежуточных рубежей, не давая ему возможности закрепиться на выгодных позициях. Очистив от врага обширный лесной массив, наши войска завязали бой за город Папа. Немцы упорно защищали этот важный узел дорог и сильный опорный пункт, прикрывающий пути к границам Австрии. Советские части совершили обходный манёвр и отрезали вражескому гарнизону пути отхода. Ночью наши войска в результате ожесточённых уличных боёв овладели городом Папа — промышленным центром Венгрии, находящимся в 50—60 километрах от австро-венгерской границы. Другие наши части, занявшие вчера город Варошлед, быстро продвинулись вдоль железной дороги на запад и выбили немцев из города Девечер. Советские части, наступающие вдоль северо-западного побережья озера Балатон, отрезали пути отхода вражеским подразделениям, оборонявшим полуостров Тигань, и разгромили их. В течение дня уничтожено несколько тысяч гитлеровцев, подбито и сожжено 45 танков и 43 бронетранспортёра противника.</w:t>
      </w:r>
    </w:p>
    <w:p w14:paraId="161C39A9" w14:textId="77777777" w:rsidR="00525BF4" w:rsidRPr="00F90EAE" w:rsidRDefault="00525BF4" w:rsidP="00F90EAE">
      <w:pPr>
        <w:jc w:val="both"/>
        <w:rPr>
          <w:color w:val="000000" w:themeColor="text1"/>
          <w:sz w:val="16"/>
          <w:szCs w:val="16"/>
        </w:rPr>
      </w:pPr>
      <w:r w:rsidRPr="00F90EAE">
        <w:rPr>
          <w:color w:val="000000" w:themeColor="text1"/>
          <w:sz w:val="16"/>
          <w:szCs w:val="16"/>
        </w:rPr>
        <w:t>Советские воины в боях с немецкими захватчиками проявляют образцы доблести и геройства. Гвардии красноармеец Чеснов в одном бою уничтожил 7 гитлеровцев и захватил противотанковую пушку. Отважный боец быстро развернул пушку и, открыв огонь, сжег немецкое самоходное орудие. Гвардии красноармеец Гусакович в рукопашной схватке убил немецкого офицера и трёх солдат, а затем противотанковой гранатой подорвал бронетранспортёр противника.</w:t>
      </w:r>
    </w:p>
    <w:p w14:paraId="53DCC8C2" w14:textId="77777777" w:rsidR="00525BF4" w:rsidRPr="00F90EAE" w:rsidRDefault="00525BF4" w:rsidP="00F90EAE">
      <w:pPr>
        <w:jc w:val="both"/>
        <w:rPr>
          <w:color w:val="000000" w:themeColor="text1"/>
          <w:sz w:val="16"/>
          <w:szCs w:val="16"/>
        </w:rPr>
      </w:pPr>
      <w:r w:rsidRPr="00F90EAE">
        <w:rPr>
          <w:color w:val="000000" w:themeColor="text1"/>
          <w:sz w:val="16"/>
          <w:szCs w:val="16"/>
        </w:rPr>
        <w:t>Батарея самоходных орудий старшего лейтенанта Остова разгромила вражескую колонну, сожгла немецкий танк и 8 автомашин и уничтожила до роты гитлеровцев. Артиллеристы батареи гвардии капитана Василенко, отражая вражескую контратаку, подбили 3 танка и 4 бронетранспортёра противника.» (15080).</w:t>
      </w:r>
    </w:p>
    <w:p w14:paraId="580E9570" w14:textId="77777777" w:rsidR="00525BF4" w:rsidRPr="00F90EAE" w:rsidRDefault="00525BF4" w:rsidP="00F90EAE">
      <w:pPr>
        <w:jc w:val="both"/>
        <w:rPr>
          <w:color w:val="000000" w:themeColor="text1"/>
          <w:sz w:val="16"/>
          <w:szCs w:val="16"/>
        </w:rPr>
      </w:pPr>
    </w:p>
    <w:p w14:paraId="4287D7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марта 1945 до места назначения, аэродрома Шрода, 16 экипажей 78 гшап во главе с командиром полка добрались. Остальные подтянулись к 11 апреля. Надо отдать должное командованию воздушной ар</w:t>
      </w:r>
      <w:r w:rsidRPr="00F90EAE">
        <w:rPr>
          <w:color w:val="000000" w:themeColor="text1"/>
          <w:sz w:val="16"/>
          <w:szCs w:val="16"/>
        </w:rPr>
        <w:softHyphen/>
        <w:t>мии и 2-й гшад. Выяснив реальную го</w:t>
      </w:r>
      <w:r w:rsidRPr="00F90EAE">
        <w:rPr>
          <w:color w:val="000000" w:themeColor="text1"/>
          <w:sz w:val="16"/>
          <w:szCs w:val="16"/>
        </w:rPr>
        <w:softHyphen/>
        <w:t>товность полка к боевым действиям, они мудро решили полк в бой пока не вво</w:t>
      </w:r>
      <w:r w:rsidRPr="00F90EAE">
        <w:rPr>
          <w:color w:val="000000" w:themeColor="text1"/>
          <w:sz w:val="16"/>
          <w:szCs w:val="16"/>
        </w:rPr>
        <w:softHyphen/>
        <w:t>дить, дабы не подорвать веру в новый штурмовик и не нести напрасные поте</w:t>
      </w:r>
      <w:r w:rsidRPr="00F90EAE">
        <w:rPr>
          <w:color w:val="000000" w:themeColor="text1"/>
          <w:sz w:val="16"/>
          <w:szCs w:val="16"/>
        </w:rPr>
        <w:softHyphen/>
        <w:t>ри, а дать летчикам полноценно подгото</w:t>
      </w:r>
      <w:r w:rsidRPr="00F90EAE">
        <w:rPr>
          <w:color w:val="000000" w:themeColor="text1"/>
          <w:sz w:val="16"/>
          <w:szCs w:val="16"/>
        </w:rPr>
        <w:softHyphen/>
        <w:t>виться, а также завершить перевооруже</w:t>
      </w:r>
      <w:r w:rsidRPr="00F90EAE">
        <w:rPr>
          <w:color w:val="000000" w:themeColor="text1"/>
          <w:sz w:val="16"/>
          <w:szCs w:val="16"/>
        </w:rPr>
        <w:softHyphen/>
        <w:t>ние части на Ил-10. В течение всего ап</w:t>
      </w:r>
      <w:r w:rsidRPr="00F90EAE">
        <w:rPr>
          <w:color w:val="000000" w:themeColor="text1"/>
          <w:sz w:val="16"/>
          <w:szCs w:val="16"/>
        </w:rPr>
        <w:softHyphen/>
        <w:t>реля в 78-м интенсивно занимались вво</w:t>
      </w:r>
      <w:r w:rsidRPr="00F90EAE">
        <w:rPr>
          <w:color w:val="000000" w:themeColor="text1"/>
          <w:sz w:val="16"/>
          <w:szCs w:val="16"/>
        </w:rPr>
        <w:softHyphen/>
        <w:t>дом в строй молодого летного состава, не прошедшего в Куйбышеве переучива</w:t>
      </w:r>
      <w:r w:rsidRPr="00F90EAE">
        <w:rPr>
          <w:color w:val="000000" w:themeColor="text1"/>
          <w:sz w:val="16"/>
          <w:szCs w:val="16"/>
        </w:rPr>
        <w:softHyphen/>
        <w:t>ния на новый штурмовик, и тренировкой «стариков». В это время во Львове при</w:t>
      </w:r>
      <w:r w:rsidRPr="00F90EAE">
        <w:rPr>
          <w:color w:val="000000" w:themeColor="text1"/>
          <w:sz w:val="16"/>
          <w:szCs w:val="16"/>
        </w:rPr>
        <w:softHyphen/>
        <w:t>нимали и собирали Ил-10. Машины за</w:t>
      </w:r>
      <w:r w:rsidRPr="00F90EAE">
        <w:rPr>
          <w:color w:val="000000" w:themeColor="text1"/>
          <w:sz w:val="16"/>
          <w:szCs w:val="16"/>
        </w:rPr>
        <w:softHyphen/>
        <w:t>тем перегонялись на базу наиболее под</w:t>
      </w:r>
      <w:r w:rsidRPr="00F90EAE">
        <w:rPr>
          <w:color w:val="000000" w:themeColor="text1"/>
          <w:sz w:val="16"/>
          <w:szCs w:val="16"/>
        </w:rPr>
        <w:softHyphen/>
        <w:t>готовленными летчиками полка. Имев</w:t>
      </w:r>
      <w:r w:rsidRPr="00F90EAE">
        <w:rPr>
          <w:color w:val="000000" w:themeColor="text1"/>
          <w:sz w:val="16"/>
          <w:szCs w:val="16"/>
        </w:rPr>
        <w:softHyphen/>
        <w:t>шиеся Ил-2 передавались в другие час</w:t>
      </w:r>
      <w:r w:rsidRPr="00F90EAE">
        <w:rPr>
          <w:color w:val="000000" w:themeColor="text1"/>
          <w:sz w:val="16"/>
          <w:szCs w:val="16"/>
        </w:rPr>
        <w:softHyphen/>
        <w:t>ти дивизии (10681).</w:t>
      </w:r>
    </w:p>
    <w:p w14:paraId="705601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E911C3A"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К 26 марта 1945 на аэродром базирования 78 полка г. Шрода прибыли 16 экипажей на самолетах Ил-10 во главе с командиром полка. Оставшиеся экипажи смогли добраться до места только к 11 апреля.</w:t>
      </w:r>
    </w:p>
    <w:p w14:paraId="0FF49A71"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Надо отдать должное командованию 16 ВА и 2-й гвардейской шад: выяснив реальную готовность полка к боевым действиям и состояние матчасти, они мудро решили 78 гшап в бой не вводить, дабы не понести напрасные потери и не потерять веру летного состава в новый самолет. Было решено дать летчикам полноценную подготовку на Ил-10. В этой связи в течение всего апреля 78 гшап интенсивно занимался вводом в строй молодого летного состава, не прошедшего в Куйбышеве переучивание на самолете Ил-10, и дополнительной тренировкой «старых» летчиков. Часть технического состава полка была направлена на авиабазу в г. Львов, где осуществлялись приемка и сборка штурмовиков Ил-10. Собранные «десятки» затем перегонялись на базовый аэродром наиболее подготовленными летчиками полка. Всего к 1 мая из Львова на аэродром Шрода перебросили 10 самолетов Ил-10.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35D58B76"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5C54005D" w14:textId="77777777" w:rsidR="00F94661" w:rsidRPr="00F90EAE" w:rsidRDefault="00F94661" w:rsidP="00F90EAE">
      <w:pPr>
        <w:jc w:val="both"/>
        <w:rPr>
          <w:rStyle w:val="107"/>
          <w:rFonts w:eastAsiaTheme="minorHAnsi"/>
          <w:color w:val="000000" w:themeColor="text1"/>
          <w:sz w:val="16"/>
          <w:szCs w:val="16"/>
        </w:rPr>
      </w:pPr>
    </w:p>
    <w:p w14:paraId="1D9EC9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26 марта 1945 на аэродром базирова</w:t>
      </w:r>
      <w:r w:rsidRPr="00F90EAE">
        <w:rPr>
          <w:color w:val="000000" w:themeColor="text1"/>
          <w:sz w:val="16"/>
          <w:szCs w:val="16"/>
        </w:rPr>
        <w:softHyphen/>
        <w:t>ния полка г. Шрода прибыли 16 эки</w:t>
      </w:r>
      <w:r w:rsidRPr="00F90EAE">
        <w:rPr>
          <w:color w:val="000000" w:themeColor="text1"/>
          <w:sz w:val="16"/>
          <w:szCs w:val="16"/>
        </w:rPr>
        <w:softHyphen/>
        <w:t>пажей на самолетах Ил-10 во главе с командиром полка. Оставшиеся экипа</w:t>
      </w:r>
      <w:r w:rsidRPr="00F90EAE">
        <w:rPr>
          <w:color w:val="000000" w:themeColor="text1"/>
          <w:sz w:val="16"/>
          <w:szCs w:val="16"/>
        </w:rPr>
        <w:softHyphen/>
        <w:t>жи смогли добраться до места только к 11 апреля. Надо отдать должное командованию 16 ВА и 2-й гвардейской шад, вы</w:t>
      </w:r>
      <w:r w:rsidRPr="00F90EAE">
        <w:rPr>
          <w:color w:val="000000" w:themeColor="text1"/>
          <w:sz w:val="16"/>
          <w:szCs w:val="16"/>
        </w:rPr>
        <w:softHyphen/>
        <w:t>яснив реальную готовность полка к боевым действиям и состояние матча-сти, они мудро решили 78-й гшап в бой не вводить, дабы не понести напрас</w:t>
      </w:r>
      <w:r w:rsidRPr="00F90EAE">
        <w:rPr>
          <w:color w:val="000000" w:themeColor="text1"/>
          <w:sz w:val="16"/>
          <w:szCs w:val="16"/>
        </w:rPr>
        <w:softHyphen/>
        <w:t>ные потери и не потерять веру летно</w:t>
      </w:r>
      <w:r w:rsidRPr="00F90EAE">
        <w:rPr>
          <w:color w:val="000000" w:themeColor="text1"/>
          <w:sz w:val="16"/>
          <w:szCs w:val="16"/>
        </w:rPr>
        <w:softHyphen/>
        <w:t>го состава в новый самолет. Было ре</w:t>
      </w:r>
      <w:r w:rsidRPr="00F90EAE">
        <w:rPr>
          <w:color w:val="000000" w:themeColor="text1"/>
          <w:sz w:val="16"/>
          <w:szCs w:val="16"/>
        </w:rPr>
        <w:softHyphen/>
        <w:t>шено дать летчикам полноценную под</w:t>
      </w:r>
      <w:r w:rsidRPr="00F90EAE">
        <w:rPr>
          <w:color w:val="000000" w:themeColor="text1"/>
          <w:sz w:val="16"/>
          <w:szCs w:val="16"/>
        </w:rPr>
        <w:softHyphen/>
        <w:t>готовку и полностью перевооружить полк на Ил-10. В этой связи в течение всего апреля 78-й гшап интенсивно занимался вводом в строй молодого летного состава, не прошедшего в Куй</w:t>
      </w:r>
      <w:r w:rsidRPr="00F90EAE">
        <w:rPr>
          <w:color w:val="000000" w:themeColor="text1"/>
          <w:sz w:val="16"/>
          <w:szCs w:val="16"/>
        </w:rPr>
        <w:softHyphen/>
        <w:t>бышеве переучивание на самолете Ил-10, и дополнительной тренировкой «старых» летчике в. Часть техническо</w:t>
      </w:r>
      <w:r w:rsidRPr="00F90EAE">
        <w:rPr>
          <w:color w:val="000000" w:themeColor="text1"/>
          <w:sz w:val="16"/>
          <w:szCs w:val="16"/>
        </w:rPr>
        <w:softHyphen/>
        <w:t>го состава полка была направлена на авиабазу в г.Львов, где осуществлялась приемка и сборка штурмовиков Ил-10. Собранные «десятки» затем перегоня</w:t>
      </w:r>
      <w:r w:rsidRPr="00F90EAE">
        <w:rPr>
          <w:color w:val="000000" w:themeColor="text1"/>
          <w:sz w:val="16"/>
          <w:szCs w:val="16"/>
        </w:rPr>
        <w:softHyphen/>
        <w:t>лись на базовый аэродром наиболее подготовленными летчиками полка. Одновременно все имевшиеся в нали</w:t>
      </w:r>
      <w:r w:rsidRPr="00F90EAE">
        <w:rPr>
          <w:color w:val="000000" w:themeColor="text1"/>
          <w:sz w:val="16"/>
          <w:szCs w:val="16"/>
        </w:rPr>
        <w:softHyphen/>
        <w:t>чии штурмовики Ил-2 передавались в другие части дивизии (11131).</w:t>
      </w:r>
    </w:p>
    <w:p w14:paraId="6F95B1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CF16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советская авиация нанесла очередной удар по конвою под Лиепаей. Впереди летели двенадцать истребителей, которые должны были очистить воздух от истребителей противника. Ценой одной машины, советские истребители выполнили задание. Но когда на цель вышли 13 торпедоносцев и 9 бомбардировщиков из 8-го МТАД в сопровождении истребителей, в воздухе опять появились Фокке-Вульфы. Сделав несколько заходов, советские самолеты потопили два тральных катера (N 145 и 260), однако главная цель - большой танкер "Зассниц" - остался на плаву. Однако вскоре появились самолеты второй волны: три торпедоносца и два бомбардировщика. На этот раз удача сопутствовала советским летчикам. Получив десять прямых попаданий "3ассниц" взорвался и пошел на дно (2691).</w:t>
      </w:r>
    </w:p>
    <w:p w14:paraId="0F95FA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26 марта 1945 20 Ил-2 были выделены для уничтожения конвоя в составе танкера, двух транспортов, двух сторожевиков юго-западнее Либавы. Удар наносили 4 группами. На первом заходе бомб на бросали. На втором - потопили транспорт и танкер (4365).</w:t>
      </w:r>
    </w:p>
    <w:p w14:paraId="07B6267C" w14:textId="77777777" w:rsidR="00665165" w:rsidRPr="00F90EAE" w:rsidRDefault="00665165" w:rsidP="00F90EAE">
      <w:pPr>
        <w:autoSpaceDE w:val="0"/>
        <w:autoSpaceDN w:val="0"/>
        <w:adjustRightInd w:val="0"/>
        <w:jc w:val="both"/>
        <w:rPr>
          <w:color w:val="000000" w:themeColor="text1"/>
          <w:sz w:val="16"/>
          <w:szCs w:val="16"/>
        </w:rPr>
      </w:pPr>
    </w:p>
    <w:p w14:paraId="71EF1D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авиация нанесла удар по Гданьску и сбросила 2000 бомб крупного калибра (438,936).</w:t>
      </w:r>
    </w:p>
    <w:p w14:paraId="7D4E1831" w14:textId="77777777" w:rsidR="00665165" w:rsidRPr="00F90EAE" w:rsidRDefault="00665165" w:rsidP="00F90EAE">
      <w:pPr>
        <w:autoSpaceDE w:val="0"/>
        <w:autoSpaceDN w:val="0"/>
        <w:adjustRightInd w:val="0"/>
        <w:jc w:val="both"/>
        <w:rPr>
          <w:color w:val="000000" w:themeColor="text1"/>
          <w:sz w:val="16"/>
          <w:szCs w:val="16"/>
        </w:rPr>
      </w:pPr>
    </w:p>
    <w:p w14:paraId="38030B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26 марта 1945 в 1-м и 3-м авиакорпусах было 33 Ер-2, а в 8 ГАД - 77 Ер-2. Летом хотели провести широкие войсковые испытания (2865,11).</w:t>
      </w:r>
    </w:p>
    <w:p w14:paraId="67E8CF5A" w14:textId="77777777" w:rsidR="00665165" w:rsidRPr="00F90EAE" w:rsidRDefault="00665165" w:rsidP="00F90EAE">
      <w:pPr>
        <w:autoSpaceDE w:val="0"/>
        <w:autoSpaceDN w:val="0"/>
        <w:adjustRightInd w:val="0"/>
        <w:jc w:val="both"/>
        <w:rPr>
          <w:color w:val="000000" w:themeColor="text1"/>
          <w:sz w:val="16"/>
          <w:szCs w:val="16"/>
        </w:rPr>
      </w:pPr>
    </w:p>
    <w:p w14:paraId="69679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26 марта 1945 г. 33 машины Ер-2 находились в 1-м и 3-м авиакорпусах и 77 - в 8-й гвардейской авиадивизии. До конца войны оставалось полтора месяца, и на Ер-2 с дизелями успели совершить лишь два боевых вылета (11994).</w:t>
      </w:r>
    </w:p>
    <w:p w14:paraId="45253228" w14:textId="77777777" w:rsidR="00665165" w:rsidRPr="00F90EAE" w:rsidRDefault="00665165" w:rsidP="00F90EAE">
      <w:pPr>
        <w:autoSpaceDE w:val="0"/>
        <w:autoSpaceDN w:val="0"/>
        <w:adjustRightInd w:val="0"/>
        <w:jc w:val="both"/>
        <w:rPr>
          <w:color w:val="000000" w:themeColor="text1"/>
          <w:sz w:val="16"/>
          <w:szCs w:val="16"/>
        </w:rPr>
      </w:pPr>
    </w:p>
    <w:p w14:paraId="3F01FA0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марта 1945 Умер от болезни Шапошников Борис Михайлович Маршал Советского Союза (4963 ).</w:t>
      </w:r>
    </w:p>
    <w:p w14:paraId="49E2B68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981A29A"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1D47B8F3" w14:textId="77777777" w:rsidR="00665165" w:rsidRPr="00F90EAE" w:rsidRDefault="00665165" w:rsidP="00F90EAE">
      <w:pPr>
        <w:autoSpaceDE w:val="0"/>
        <w:autoSpaceDN w:val="0"/>
        <w:adjustRightInd w:val="0"/>
        <w:jc w:val="both"/>
        <w:rPr>
          <w:iCs/>
          <w:color w:val="000000" w:themeColor="text1"/>
          <w:sz w:val="16"/>
          <w:szCs w:val="16"/>
          <w:lang w:val="en-US"/>
        </w:rPr>
      </w:pPr>
    </w:p>
    <w:p w14:paraId="638F154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26th, 1945: The US Third Army captures Darmstadt. Reichsfuhrer-SS Himmler is replaced by General Heinrici as C-i-C of Heeresgruppe Weichsel (3819).</w:t>
      </w:r>
    </w:p>
    <w:p w14:paraId="0330E858" w14:textId="77777777" w:rsidR="00665165" w:rsidRPr="00F90EAE" w:rsidRDefault="00665165" w:rsidP="00F90EAE">
      <w:pPr>
        <w:autoSpaceDE w:val="0"/>
        <w:autoSpaceDN w:val="0"/>
        <w:adjustRightInd w:val="0"/>
        <w:jc w:val="both"/>
        <w:rPr>
          <w:color w:val="000000" w:themeColor="text1"/>
          <w:sz w:val="16"/>
          <w:szCs w:val="16"/>
          <w:lang w:val="en-US"/>
        </w:rPr>
      </w:pPr>
    </w:p>
    <w:p w14:paraId="064E2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26 марта 1945 весь западный фронт переместился восточнее Рейна (2248,4).</w:t>
      </w:r>
    </w:p>
    <w:p w14:paraId="7E89B5BC" w14:textId="77777777" w:rsidR="00665165" w:rsidRPr="00F90EAE" w:rsidRDefault="00665165" w:rsidP="00F90EAE">
      <w:pPr>
        <w:autoSpaceDE w:val="0"/>
        <w:autoSpaceDN w:val="0"/>
        <w:adjustRightInd w:val="0"/>
        <w:jc w:val="both"/>
        <w:rPr>
          <w:color w:val="000000" w:themeColor="text1"/>
          <w:sz w:val="16"/>
          <w:szCs w:val="16"/>
        </w:rPr>
      </w:pPr>
    </w:p>
    <w:p w14:paraId="040DDD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3А США заняла Дармштадт. Рейхсфюрер СС Г.Г. был заменен г Хейнричи на посту ГК Группы Вейшел (3819).</w:t>
      </w:r>
    </w:p>
    <w:p w14:paraId="22FB58A7" w14:textId="77777777" w:rsidR="00665165" w:rsidRPr="00F90EAE" w:rsidRDefault="00665165" w:rsidP="00F90EAE">
      <w:pPr>
        <w:autoSpaceDE w:val="0"/>
        <w:autoSpaceDN w:val="0"/>
        <w:adjustRightInd w:val="0"/>
        <w:jc w:val="both"/>
        <w:rPr>
          <w:color w:val="000000" w:themeColor="text1"/>
          <w:sz w:val="16"/>
          <w:szCs w:val="16"/>
        </w:rPr>
      </w:pPr>
    </w:p>
    <w:p w14:paraId="1F84D4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марта 1945 Сирия объявила войну Германии (2100).</w:t>
      </w:r>
    </w:p>
    <w:p w14:paraId="45CEEC45" w14:textId="77777777" w:rsidR="00665165" w:rsidRPr="00F90EAE" w:rsidRDefault="00665165" w:rsidP="00F90EAE">
      <w:pPr>
        <w:autoSpaceDE w:val="0"/>
        <w:autoSpaceDN w:val="0"/>
        <w:adjustRightInd w:val="0"/>
        <w:jc w:val="both"/>
        <w:rPr>
          <w:color w:val="000000" w:themeColor="text1"/>
          <w:sz w:val="16"/>
          <w:szCs w:val="16"/>
        </w:rPr>
      </w:pPr>
    </w:p>
    <w:p w14:paraId="2E4AF12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марта 1945 американские войска овладели островом Иводжима. В етой операции длившейся с 19.2 американцы потеряли 6000 человек убитыми и 17000 ранеными. Потери японцев - 22 000 убитых (4963 ).</w:t>
      </w:r>
    </w:p>
    <w:p w14:paraId="0C132A9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46C355" w14:textId="77777777" w:rsidR="00C43715" w:rsidRPr="00F90EAE" w:rsidRDefault="00C43715" w:rsidP="00F90EAE">
      <w:pPr>
        <w:jc w:val="both"/>
        <w:rPr>
          <w:color w:val="0070C0"/>
          <w:sz w:val="16"/>
          <w:szCs w:val="16"/>
        </w:rPr>
      </w:pPr>
      <w:r w:rsidRPr="00F90EAE">
        <w:rPr>
          <w:color w:val="0070C0"/>
          <w:sz w:val="16"/>
          <w:szCs w:val="16"/>
        </w:rPr>
        <w:t>26 марта 1945 Соединенные Штаты объявляют операцию на Иводзиме «завершенной» (20371).</w:t>
      </w:r>
    </w:p>
    <w:p w14:paraId="03C04CC1" w14:textId="77777777" w:rsidR="00C43715" w:rsidRPr="00F90EAE" w:rsidRDefault="00C43715" w:rsidP="00F90EAE">
      <w:pPr>
        <w:jc w:val="both"/>
        <w:rPr>
          <w:color w:val="0070C0"/>
          <w:sz w:val="16"/>
          <w:szCs w:val="16"/>
        </w:rPr>
      </w:pPr>
    </w:p>
    <w:p w14:paraId="034D366C" w14:textId="77777777" w:rsidR="00C43715" w:rsidRPr="00F90EAE" w:rsidRDefault="00C43715" w:rsidP="00F90EAE">
      <w:pPr>
        <w:jc w:val="both"/>
        <w:rPr>
          <w:color w:val="0070C0"/>
          <w:sz w:val="16"/>
          <w:szCs w:val="16"/>
        </w:rPr>
      </w:pPr>
      <w:r w:rsidRPr="00F90EAE">
        <w:rPr>
          <w:color w:val="0070C0"/>
          <w:sz w:val="16"/>
          <w:szCs w:val="16"/>
        </w:rPr>
        <w:t>26 марта 1945 Британский Тихоокеанский флот проводит свою первую боевую операцию в качестве оперативной группы 57 под командованием Пятого флота США, нанося авиаудары по японским аэродромам на Миякодзима в Сакисима Гунто (20371).</w:t>
      </w:r>
    </w:p>
    <w:p w14:paraId="442D8A73" w14:textId="77777777" w:rsidR="00C43715" w:rsidRPr="00F90EAE" w:rsidRDefault="00C43715" w:rsidP="00F90EAE">
      <w:pPr>
        <w:jc w:val="both"/>
        <w:rPr>
          <w:color w:val="0070C0"/>
          <w:sz w:val="16"/>
          <w:szCs w:val="16"/>
        </w:rPr>
      </w:pPr>
    </w:p>
    <w:p w14:paraId="56556AC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5EEF7B1" w14:textId="77777777" w:rsidR="00665165" w:rsidRPr="00F90EAE" w:rsidRDefault="00665165" w:rsidP="00F90EAE">
      <w:pPr>
        <w:autoSpaceDE w:val="0"/>
        <w:autoSpaceDN w:val="0"/>
        <w:adjustRightInd w:val="0"/>
        <w:jc w:val="both"/>
        <w:rPr>
          <w:iCs/>
          <w:color w:val="000000" w:themeColor="text1"/>
          <w:sz w:val="16"/>
          <w:szCs w:val="16"/>
        </w:rPr>
      </w:pPr>
    </w:p>
    <w:p w14:paraId="5BA10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27 марта 1945 А.И.Ш. писал письмо N Н-221/1464 в ГКО Г.М.М.:</w:t>
      </w:r>
    </w:p>
    <w:p w14:paraId="4B288D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Посылаю докладную записку тт. С.В.И., Литвинова, Белянского, Юдина, Флисского, Кофмана и командира 1 КЗШАБ Подольского о переходе на производство на заводах 1 и 18 одного типа самолетов Ил-10 и на заводе 24 одного типа мотора АМ-42". (прил. - 3 л.) (1872,200).</w:t>
      </w:r>
    </w:p>
    <w:p w14:paraId="6DC773B4" w14:textId="77777777" w:rsidR="00665165" w:rsidRPr="00F90EAE" w:rsidRDefault="00665165" w:rsidP="00F90EAE">
      <w:pPr>
        <w:autoSpaceDE w:val="0"/>
        <w:autoSpaceDN w:val="0"/>
        <w:adjustRightInd w:val="0"/>
        <w:jc w:val="both"/>
        <w:rPr>
          <w:color w:val="000000" w:themeColor="text1"/>
          <w:sz w:val="16"/>
          <w:szCs w:val="16"/>
        </w:rPr>
      </w:pPr>
    </w:p>
    <w:p w14:paraId="17AEB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закончились заводские испытания Ла-7Р-2, которые шли с 26 января 1945. Провели 19 полетов, 45 пусков ЖРД, в т.ч. 6 в воздухе. 1 марта прибавил 85 км/час, 10 марта 1945 - 95 км/час. РД работал плохо и в 15 запусках из 45 отказывал (2234,6).</w:t>
      </w:r>
    </w:p>
    <w:p w14:paraId="2464ACE2" w14:textId="77777777" w:rsidR="00665165" w:rsidRPr="00F90EAE" w:rsidRDefault="00665165" w:rsidP="00F90EAE">
      <w:pPr>
        <w:autoSpaceDE w:val="0"/>
        <w:autoSpaceDN w:val="0"/>
        <w:adjustRightInd w:val="0"/>
        <w:jc w:val="both"/>
        <w:rPr>
          <w:color w:val="000000" w:themeColor="text1"/>
          <w:sz w:val="16"/>
          <w:szCs w:val="16"/>
        </w:rPr>
      </w:pPr>
    </w:p>
    <w:p w14:paraId="454928ED" w14:textId="77777777" w:rsidR="00F4250C" w:rsidRPr="00F90EAE" w:rsidRDefault="00F4250C" w:rsidP="00F90EAE">
      <w:pPr>
        <w:shd w:val="clear" w:color="auto" w:fill="FFFFFF"/>
        <w:jc w:val="both"/>
        <w:rPr>
          <w:color w:val="000000" w:themeColor="text1"/>
          <w:sz w:val="16"/>
          <w:szCs w:val="16"/>
        </w:rPr>
      </w:pPr>
      <w:r w:rsidRPr="00F90EAE">
        <w:rPr>
          <w:color w:val="000000" w:themeColor="text1"/>
          <w:sz w:val="16"/>
          <w:szCs w:val="16"/>
        </w:rPr>
        <w:t>27 марта 1945 г. в полете на Ла-7Р-2 на высоте 6000 м РД-1 не включился, попытки повторного запуска на высоте 3000 м привели к сильному взрыву в камере сгорания РД-1. Рули самолета были сильно повреждены, и он потерял управ ляемость, сделал бочку». Кабину летчика заполнили пары азот ной кислоты, но летчик-испытатель Г.М. Шиянов с большим трудом все же смог посадить самолет. До 14 апреля 1945 г. Ла-7Р-2 подвергся ремонту. Заменили поврежденные оперение и камеру сгорания, а также устранили мелкие дефекты, появив шиеся в результате взрыва. На самолете Ла-7Р-2 установили РД-1, имеющий диафрагмы с отверстиями диаметром до 20 мм для обеспечения давления от факела эфирно-воздушного зажи гания на земле до 0,5 атм. Попытки запустить новый РД-1 на высотах 5000...6000 м ни к чему не привели. Далее в связи с этим РД-1 был усовершенствован, как уже говорилось выше, и как РД-1ХЗ стал устанавливаться на всех экспериментальных самолетах вместо РД-1 (19586).</w:t>
      </w:r>
    </w:p>
    <w:p w14:paraId="22B3E93C" w14:textId="77777777" w:rsidR="00F4250C" w:rsidRPr="00F90EAE" w:rsidRDefault="00F4250C" w:rsidP="00F90EAE">
      <w:pPr>
        <w:shd w:val="clear" w:color="auto" w:fill="FFFFFF"/>
        <w:jc w:val="both"/>
        <w:rPr>
          <w:color w:val="000000" w:themeColor="text1"/>
          <w:sz w:val="16"/>
          <w:szCs w:val="16"/>
        </w:rPr>
      </w:pPr>
    </w:p>
    <w:p w14:paraId="6B077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на втором Ла-7Р с РД-1ХЗ В.П.Г. при попытке повторно осуществить запуск взорвался ЖРД и Г.М.Шиянов с трудом посадил машину (173,416). Ремонтировали оперение до 14 апреля 1945 (2234,9).</w:t>
      </w:r>
    </w:p>
    <w:p w14:paraId="18007981" w14:textId="77777777" w:rsidR="00665165" w:rsidRPr="00F90EAE" w:rsidRDefault="00665165" w:rsidP="00F90EAE">
      <w:pPr>
        <w:autoSpaceDE w:val="0"/>
        <w:autoSpaceDN w:val="0"/>
        <w:adjustRightInd w:val="0"/>
        <w:jc w:val="both"/>
        <w:rPr>
          <w:color w:val="000000" w:themeColor="text1"/>
          <w:sz w:val="16"/>
          <w:szCs w:val="16"/>
        </w:rPr>
      </w:pPr>
    </w:p>
    <w:p w14:paraId="654202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г. на Ла-7Р, оснащенном ЖРД РД-1 конструкции В.П.Глушко, РД-1 взорвался в воздухе. Шиянов смог посадить поврежденную машину. Доработанный ЖРД был установлен на опытный самолет "120" (4707).</w:t>
      </w:r>
    </w:p>
    <w:p w14:paraId="305E7BBE" w14:textId="77777777" w:rsidR="00665165" w:rsidRPr="00F90EAE" w:rsidRDefault="00665165" w:rsidP="00F90EAE">
      <w:pPr>
        <w:autoSpaceDE w:val="0"/>
        <w:autoSpaceDN w:val="0"/>
        <w:adjustRightInd w:val="0"/>
        <w:jc w:val="both"/>
        <w:rPr>
          <w:color w:val="000000" w:themeColor="text1"/>
          <w:sz w:val="16"/>
          <w:szCs w:val="16"/>
        </w:rPr>
      </w:pPr>
    </w:p>
    <w:p w14:paraId="33BDF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испытания Ла-7Р-2 завершились взрывом ЖРД. С 26 января по 27 марта 1945 г. провели 19 полётов на втором экземпляре Ла-7Р-2 и лишь в шести из них включался ЖРД. По-прежнему надёжность и устойчивость его работы оставляли желать лучшего. Лишь в двух полётах удалось сделать две "площадки" и определить скоростные характеристики машины. Максимальный прирост скорости составил около 95 км/ч на высоте 2600 м. Это был уже второй такой случай. Первый раз двигатель взорвался при запуске на земле. Теперь то же самое произошло в воздухе. В тот день у самолёта, пилотируемого Г.М. Шияновым, на высоте 6000 м не запустился ЖРД. Снизившись до 3000 м, пилот повторил попытку, но раздался взрыв, видимо, из-за скопившихся в камере сгорания компонентов топлива. От взрыва больше всего пострадали рули высоты, от которых остались одни лохмотья. Чуть лучше выглядел руль поворота. Кабина почти неуправляемого самолёта заполнилась ядовитыми парами азотной кислоты. Лишь чудом лётчик спас израненную машину и приземлился. Свыше двух недель ушло на ремонт Ла-7Р-2. Однако и доработанный за это время ЖРД не желал запускаться на больших высотах. Только использование РД-1ХЗ с химическим зажиганием позволило сдвинуть проблему с мёртвой точки, но в целом не повысило надёжность ЖРД. Разобраться в неудачах с двигателем удалось к середине лета, и в августе 1945 г. лётные испытания Ла-7Р-2 продолжили (11986).</w:t>
      </w:r>
    </w:p>
    <w:p w14:paraId="1AC4D3AF" w14:textId="77777777" w:rsidR="00665165" w:rsidRPr="00F90EAE" w:rsidRDefault="00665165" w:rsidP="00F90EAE">
      <w:pPr>
        <w:autoSpaceDE w:val="0"/>
        <w:autoSpaceDN w:val="0"/>
        <w:adjustRightInd w:val="0"/>
        <w:jc w:val="both"/>
        <w:rPr>
          <w:color w:val="000000" w:themeColor="text1"/>
          <w:sz w:val="16"/>
          <w:szCs w:val="16"/>
        </w:rPr>
      </w:pPr>
    </w:p>
    <w:p w14:paraId="0BF9AA1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3FEA260" w14:textId="77777777" w:rsidR="00665165" w:rsidRPr="00F90EAE" w:rsidRDefault="00665165" w:rsidP="00F90EAE">
      <w:pPr>
        <w:autoSpaceDE w:val="0"/>
        <w:autoSpaceDN w:val="0"/>
        <w:adjustRightInd w:val="0"/>
        <w:jc w:val="both"/>
        <w:rPr>
          <w:iCs/>
          <w:color w:val="000000" w:themeColor="text1"/>
          <w:sz w:val="16"/>
          <w:szCs w:val="16"/>
        </w:rPr>
      </w:pPr>
    </w:p>
    <w:p w14:paraId="5AA7FF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вышло Постановление ГКО № 7931 О помощи семенами населению Польши. РГАНИР, Фонд ГКО, д. 383, лл. 73-74 (11012).</w:t>
      </w:r>
    </w:p>
    <w:p w14:paraId="7A126377" w14:textId="77777777" w:rsidR="00665165" w:rsidRPr="00F90EAE" w:rsidRDefault="00665165" w:rsidP="00F90EAE">
      <w:pPr>
        <w:autoSpaceDE w:val="0"/>
        <w:autoSpaceDN w:val="0"/>
        <w:adjustRightInd w:val="0"/>
        <w:jc w:val="both"/>
        <w:rPr>
          <w:color w:val="000000" w:themeColor="text1"/>
          <w:sz w:val="16"/>
          <w:szCs w:val="16"/>
        </w:rPr>
      </w:pPr>
    </w:p>
    <w:p w14:paraId="2E7EB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года Приказом НКБ № 116 завод № 53 из Нижнего Ломова был реэвакуирован в Шостку и в построенных зданиях было размещено оборудование для производства взрывателя ГВМЗ-1.</w:t>
      </w:r>
    </w:p>
    <w:p w14:paraId="4F6A6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1946 года завод получил задание на изготовление взрывателя М-4.</w:t>
      </w:r>
    </w:p>
    <w:p w14:paraId="40159A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Нижний Ломов Пензенской области, п/я 5</w:t>
      </w:r>
    </w:p>
    <w:p w14:paraId="17E056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 Шумов (10032).</w:t>
      </w:r>
    </w:p>
    <w:p w14:paraId="146D115E" w14:textId="77777777" w:rsidR="00665165" w:rsidRPr="00F90EAE" w:rsidRDefault="00665165" w:rsidP="00F90EAE">
      <w:pPr>
        <w:autoSpaceDE w:val="0"/>
        <w:autoSpaceDN w:val="0"/>
        <w:adjustRightInd w:val="0"/>
        <w:jc w:val="both"/>
        <w:rPr>
          <w:color w:val="000000" w:themeColor="text1"/>
          <w:sz w:val="16"/>
          <w:szCs w:val="16"/>
        </w:rPr>
      </w:pPr>
    </w:p>
    <w:p w14:paraId="3740022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D9FD5E2" w14:textId="77777777" w:rsidR="00665165" w:rsidRPr="00F90EAE" w:rsidRDefault="00665165" w:rsidP="00F90EAE">
      <w:pPr>
        <w:autoSpaceDE w:val="0"/>
        <w:autoSpaceDN w:val="0"/>
        <w:adjustRightInd w:val="0"/>
        <w:jc w:val="both"/>
        <w:rPr>
          <w:iCs/>
          <w:color w:val="000000" w:themeColor="text1"/>
          <w:sz w:val="16"/>
          <w:szCs w:val="16"/>
        </w:rPr>
      </w:pPr>
    </w:p>
    <w:p w14:paraId="67DD03A9" w14:textId="77777777" w:rsidR="00525BF4" w:rsidRPr="00F90EAE" w:rsidRDefault="00525BF4" w:rsidP="00F90EAE">
      <w:pPr>
        <w:jc w:val="both"/>
        <w:rPr>
          <w:color w:val="000000" w:themeColor="text1"/>
          <w:sz w:val="16"/>
          <w:szCs w:val="16"/>
        </w:rPr>
      </w:pPr>
      <w:r w:rsidRPr="00F90EAE">
        <w:rPr>
          <w:bCs/>
          <w:color w:val="000000" w:themeColor="text1"/>
          <w:sz w:val="16"/>
          <w:szCs w:val="16"/>
        </w:rPr>
        <w:t>27 марта</w:t>
      </w:r>
      <w:r w:rsidRPr="00F90EAE">
        <w:rPr>
          <w:color w:val="000000" w:themeColor="text1"/>
          <w:sz w:val="16"/>
          <w:szCs w:val="16"/>
        </w:rPr>
        <w:t xml:space="preserve"> в 1945 году оперативная сводка Совинформбюро:</w:t>
      </w:r>
    </w:p>
    <w:p w14:paraId="24E24BF4" w14:textId="77777777" w:rsidR="00525BF4" w:rsidRPr="00F90EAE" w:rsidRDefault="00525BF4" w:rsidP="00F90EAE">
      <w:pPr>
        <w:jc w:val="both"/>
        <w:rPr>
          <w:color w:val="000000" w:themeColor="text1"/>
          <w:sz w:val="16"/>
          <w:szCs w:val="16"/>
        </w:rPr>
      </w:pPr>
      <w:r w:rsidRPr="00F90EAE">
        <w:rPr>
          <w:color w:val="000000" w:themeColor="text1"/>
          <w:sz w:val="16"/>
          <w:szCs w:val="16"/>
        </w:rPr>
        <w:t>«В течение 27 марта юго-западнее Кенигсберга войска 3-го Белорусского фронта уничтожали остатки разгромлённых частей противника в районе мыса Каль-Хольцер-Хакен, заняв при этом населённые пункты Волиттникк, Шнекенберг, Фоллендорф, Линденберг. В боях за 26 марта в этом районе войска фронта захватили следующие трофеи: самолётов—8, танков—113, бронетранспортёров—66, орудий — 594, миномётов — 350, пулемётов — 1.100, радиостанций — 30, тракторов и тягачей—200, автомашин — 13.000, паровозов—11, железнодорожных вагонов—1.863, складов с различным военным имуществом — 78. За 27 марта в этом районе взято в плен свыше 4.000 немецких солдат и офицеров.</w:t>
      </w:r>
    </w:p>
    <w:p w14:paraId="18889627" w14:textId="77777777" w:rsidR="00525BF4" w:rsidRPr="00F90EAE" w:rsidRDefault="00525BF4" w:rsidP="00F90EAE">
      <w:pPr>
        <w:jc w:val="both"/>
        <w:rPr>
          <w:color w:val="000000" w:themeColor="text1"/>
          <w:sz w:val="16"/>
          <w:szCs w:val="16"/>
        </w:rPr>
      </w:pPr>
      <w:r w:rsidRPr="00F90EAE">
        <w:rPr>
          <w:color w:val="000000" w:themeColor="text1"/>
          <w:sz w:val="16"/>
          <w:szCs w:val="16"/>
        </w:rPr>
        <w:t>На Гданьском (Данцигском) направлении войска 2-го Белорусского фронта, продолжая наступление, заняли пригороды Гданьска (Данцига)—Ора, Штабтгебит, Альчодтштадт, Темпельбург, Эмаус, Циганкенберг, Хайлиген, Лангфур, Хохштрисс, Легштрисс, Райхколони, Шелмюль, Лауенталь, Бресен и прорвались к центру города Гданьска. Одновременно войска фронта, наступая на город Гдыня, заняли населённые пункты Лаузекауле, Хохредлау, Демптау, Пустковиц, Циссау, Загорш, Яново, Рамель, Айхенберг и ворвались в город Гдыня, где завязали уличные бои. За 26 и 27 марта войска фронта взяли в плен более 7.000 немецких солдат и офицеров.</w:t>
      </w:r>
    </w:p>
    <w:p w14:paraId="4AF506B9"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1-го Украинского фронта, продолжая наступление, 27 марта овладел» на территории Силезии городами Штрелен и Рыбник — крупными узлами дорог и сильными опорными пунктами обороны немцев.</w:t>
      </w:r>
    </w:p>
    <w:p w14:paraId="350FB5A8" w14:textId="77777777" w:rsidR="00525BF4" w:rsidRPr="00F90EAE" w:rsidRDefault="00525BF4" w:rsidP="00F90EAE">
      <w:pPr>
        <w:jc w:val="both"/>
        <w:rPr>
          <w:color w:val="000000" w:themeColor="text1"/>
          <w:sz w:val="16"/>
          <w:szCs w:val="16"/>
        </w:rPr>
      </w:pPr>
      <w:r w:rsidRPr="00F90EAE">
        <w:rPr>
          <w:color w:val="000000" w:themeColor="text1"/>
          <w:sz w:val="16"/>
          <w:szCs w:val="16"/>
        </w:rPr>
        <w:t>Северо-восточнее города Моравска Острава войска 4-го Украинского фронта в результате наступательных боёв заняли города Зорау, Лослау и более 40 других населённых пунктов, среди которых крупные населённые пункты Янковиц, Вильхва, Мшана, Ястщембе.</w:t>
      </w:r>
    </w:p>
    <w:p w14:paraId="36B8CEB1" w14:textId="77777777" w:rsidR="00525BF4" w:rsidRPr="00F90EAE" w:rsidRDefault="00525BF4" w:rsidP="00F90EAE">
      <w:pPr>
        <w:jc w:val="both"/>
        <w:rPr>
          <w:color w:val="000000" w:themeColor="text1"/>
          <w:sz w:val="16"/>
          <w:szCs w:val="16"/>
        </w:rPr>
      </w:pPr>
      <w:r w:rsidRPr="00F90EAE">
        <w:rPr>
          <w:color w:val="000000" w:themeColor="text1"/>
          <w:sz w:val="16"/>
          <w:szCs w:val="16"/>
        </w:rPr>
        <w:t>Юго-западнее Естергома войска 2-го Украинского фронта заняли населённые пункты Ньергешуйфалу, Лабатлан, Писке, Шютте, отбросив остатки разгромлённых частей противника на северный берег Дуная. Одновременно войска фронта, развивая наступление по южному берегу Дуная, заняли город Ач и более 40 других населённых пунктов, в том числе Надьигманд, Бано, Бенираталап, Мизеерш и железнодорожные станции Надьигманд и Асари.</w:t>
      </w:r>
    </w:p>
    <w:p w14:paraId="6ADE1BEA" w14:textId="77777777" w:rsidR="00525BF4" w:rsidRPr="00F90EAE" w:rsidRDefault="00525BF4" w:rsidP="00F90EAE">
      <w:pPr>
        <w:jc w:val="both"/>
        <w:rPr>
          <w:color w:val="000000" w:themeColor="text1"/>
          <w:sz w:val="16"/>
          <w:szCs w:val="16"/>
        </w:rPr>
      </w:pPr>
      <w:r w:rsidRPr="00F90EAE">
        <w:rPr>
          <w:color w:val="000000" w:themeColor="text1"/>
          <w:sz w:val="16"/>
          <w:szCs w:val="16"/>
        </w:rPr>
        <w:t>Между Дунаем и озером Балатон войска 3-го Украинского фронта, развивая успешное наступление, овладели городами Кишбер, Тет, Целлдемелк, Яношхаза, Топольча, а также заняли более 200 других населённых пунктов, в том числе крупные населённые пункты Баршоньош, Шокоропатка, Морицхида, Дьярмат, Эдьхазашкесо, Кеменош-Магаши, Мершеват, Дука, Ньирад, Моношторапати, Кевешкал, Кевагоерш и железнодорожные станции Баконьсамбатей, Дьемере, Винар, Вобо, Тюшкевар, Бадачоньтомай.</w:t>
      </w:r>
    </w:p>
    <w:p w14:paraId="65E1C203" w14:textId="77777777" w:rsidR="00525BF4" w:rsidRPr="00F90EAE" w:rsidRDefault="00525BF4"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20DCDD69" w14:textId="77777777" w:rsidR="00525BF4" w:rsidRPr="00F90EAE" w:rsidRDefault="00525BF4" w:rsidP="00F90EAE">
      <w:pPr>
        <w:jc w:val="both"/>
        <w:rPr>
          <w:color w:val="000000" w:themeColor="text1"/>
          <w:sz w:val="16"/>
          <w:szCs w:val="16"/>
        </w:rPr>
      </w:pPr>
      <w:r w:rsidRPr="00F90EAE">
        <w:rPr>
          <w:color w:val="000000" w:themeColor="text1"/>
          <w:sz w:val="16"/>
          <w:szCs w:val="16"/>
        </w:rPr>
        <w:t>За 26 марта на всех фронтах подбито и уничтожено 179 немецких танков и самоходных орудий. В воздушных боях и огнём зенитной артиллерии сбито 37 самолётов противника.</w:t>
      </w:r>
    </w:p>
    <w:p w14:paraId="5426C356" w14:textId="77777777" w:rsidR="00525BF4" w:rsidRPr="00F90EAE" w:rsidRDefault="00525BF4" w:rsidP="00F90EAE">
      <w:pPr>
        <w:jc w:val="both"/>
        <w:rPr>
          <w:color w:val="000000" w:themeColor="text1"/>
          <w:sz w:val="16"/>
          <w:szCs w:val="16"/>
        </w:rPr>
      </w:pPr>
      <w:r w:rsidRPr="00F90EAE">
        <w:rPr>
          <w:color w:val="000000" w:themeColor="text1"/>
          <w:sz w:val="16"/>
          <w:szCs w:val="16"/>
        </w:rPr>
        <w:t>Массированные налёты нашей авиации на Гданьск (Данциг)</w:t>
      </w:r>
    </w:p>
    <w:p w14:paraId="6E208AF0" w14:textId="77777777" w:rsidR="00525BF4" w:rsidRPr="00F90EAE" w:rsidRDefault="00525BF4" w:rsidP="00F90EAE">
      <w:pPr>
        <w:jc w:val="both"/>
        <w:rPr>
          <w:color w:val="000000" w:themeColor="text1"/>
          <w:sz w:val="16"/>
          <w:szCs w:val="16"/>
        </w:rPr>
      </w:pPr>
      <w:r w:rsidRPr="00F90EAE">
        <w:rPr>
          <w:color w:val="000000" w:themeColor="text1"/>
          <w:sz w:val="16"/>
          <w:szCs w:val="16"/>
        </w:rPr>
        <w:t>В ночь на 27 марта наши тяжёлые бомбардировщики произвели массированный налёт на Гданьск (Данциг) и подвергли бомбардировке военные объекты противника. В результате бомбардировки возникло много пожаров, сопровождавшихся взрывами большой силы.</w:t>
      </w:r>
    </w:p>
    <w:p w14:paraId="717F0B13" w14:textId="77777777" w:rsidR="00525BF4" w:rsidRPr="00F90EAE" w:rsidRDefault="00525BF4" w:rsidP="00F90EAE">
      <w:pPr>
        <w:jc w:val="both"/>
        <w:rPr>
          <w:color w:val="000000" w:themeColor="text1"/>
          <w:sz w:val="16"/>
          <w:szCs w:val="16"/>
        </w:rPr>
      </w:pPr>
      <w:r w:rsidRPr="00F90EAE">
        <w:rPr>
          <w:color w:val="000000" w:themeColor="text1"/>
          <w:sz w:val="16"/>
          <w:szCs w:val="16"/>
        </w:rPr>
        <w:t>Днём 27 марта наши бомбардировщики продолжали наносить удары то городу и судам противника, находящимся в порту Гданьск (Данциг).</w:t>
      </w:r>
    </w:p>
    <w:p w14:paraId="31D8DBB4" w14:textId="77777777" w:rsidR="00525BF4" w:rsidRPr="00F90EAE" w:rsidRDefault="00525BF4"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 по кораблям и транспортам противника</w:t>
      </w:r>
    </w:p>
    <w:p w14:paraId="67714F58" w14:textId="77777777" w:rsidR="00525BF4" w:rsidRPr="00F90EAE" w:rsidRDefault="00525BF4" w:rsidP="00F90EAE">
      <w:pPr>
        <w:jc w:val="both"/>
        <w:rPr>
          <w:color w:val="000000" w:themeColor="text1"/>
          <w:sz w:val="16"/>
          <w:szCs w:val="16"/>
        </w:rPr>
      </w:pPr>
      <w:r w:rsidRPr="00F90EAE">
        <w:rPr>
          <w:color w:val="000000" w:themeColor="text1"/>
          <w:sz w:val="16"/>
          <w:szCs w:val="16"/>
        </w:rPr>
        <w:t>24 и 25 марта авиация Краснознамённого Балтийского флота нанесла удары по военным кораблям и транспортам с войсками и техникой противника. В результате этих ударов в Балтийском море севернее Гданьска и в порту Пиллау потоплены: одна подводная лодка, три сторожевых корабля, плавучий док вместе с находившимся в нём судном и одиннадцать немецких транспортов общим водоизмещением в 67.000 тонн.</w:t>
      </w:r>
    </w:p>
    <w:p w14:paraId="00FDE3B3" w14:textId="77777777" w:rsidR="00525BF4" w:rsidRPr="00F90EAE" w:rsidRDefault="00525BF4" w:rsidP="00F90EAE">
      <w:pPr>
        <w:jc w:val="both"/>
        <w:rPr>
          <w:color w:val="000000" w:themeColor="text1"/>
          <w:sz w:val="16"/>
          <w:szCs w:val="16"/>
        </w:rPr>
      </w:pPr>
      <w:r w:rsidRPr="00F90EAE">
        <w:rPr>
          <w:color w:val="000000" w:themeColor="text1"/>
          <w:sz w:val="16"/>
          <w:szCs w:val="16"/>
        </w:rPr>
        <w:t>Юго-западнее Кенигсберга войска 3-го Белорусского фронта добивали остатки разгромлённых частей противника. Продвигаясь по труднопроходимой болотистой местности, советские части заняли посёлок Фоллендорф. Немцы пытались задержаться у дамб в районе населенного пункта Волиттникка. Однако артиллерийско-миномётным огнём и ударами авиации с воздуха вражеские подразделения, засевшие у дамб, были полностью уничтожены. Наша артиллерия обстреливает всю территорию, оставшуюся в руках немцев. Противник несёт огромные потери. Район боёв завален трупами вражеских солдат и офицеров, а также вооружением, брошенным немцами. Советские артиллеристы и лётчики потопили много плотов, лодок и понтонов, на которых гитлеровцы пытались переправиться через залив Фриш-Гаф. По дорогам в тыл тянутся длинные колонны пленных немцев.</w:t>
      </w:r>
    </w:p>
    <w:p w14:paraId="2714FFC1" w14:textId="77777777" w:rsidR="00525BF4" w:rsidRPr="00F90EAE" w:rsidRDefault="00525BF4" w:rsidP="00F90EAE">
      <w:pPr>
        <w:jc w:val="both"/>
        <w:rPr>
          <w:color w:val="000000" w:themeColor="text1"/>
          <w:sz w:val="16"/>
          <w:szCs w:val="16"/>
        </w:rPr>
      </w:pPr>
      <w:r w:rsidRPr="00F90EAE">
        <w:rPr>
          <w:color w:val="000000" w:themeColor="text1"/>
          <w:sz w:val="16"/>
          <w:szCs w:val="16"/>
        </w:rPr>
        <w:t>На Гданьском (Данцигском) направлении войска 2-го Белорусского фронта вели успешные наступательные бои. Советские пехотинцы обошли с трёх сторон пригород Гданьска — Ора и штурмом заняли этот важный узел вражеского сопротивления. Другие наши части, наступающие с запада, очистили от немцев Эмаус и другие пригороды. Стремительным ударом советские пехотинцы, танкисты и артиллеристы прорвались в центр города Гданьска и ведут там ожесточённые уличные бои.</w:t>
      </w:r>
    </w:p>
    <w:p w14:paraId="6BA44BA7" w14:textId="77777777" w:rsidR="00525BF4" w:rsidRPr="00F90EAE" w:rsidRDefault="00525BF4" w:rsidP="00F90EAE">
      <w:pPr>
        <w:jc w:val="both"/>
        <w:rPr>
          <w:color w:val="000000" w:themeColor="text1"/>
          <w:sz w:val="16"/>
          <w:szCs w:val="16"/>
        </w:rPr>
      </w:pPr>
      <w:r w:rsidRPr="00F90EAE">
        <w:rPr>
          <w:color w:val="000000" w:themeColor="text1"/>
          <w:sz w:val="16"/>
          <w:szCs w:val="16"/>
        </w:rPr>
        <w:lastRenderedPageBreak/>
        <w:t>В районе Гдыни ваши войска преодолели заминированный лесной массив и ворвались на юго-западные окраины города. Одновременно наши бойцы, продвигаясь по побережью бухты на север, овладели сильно укреплённой высотой и ворвались в город с юга, Артиллерийским огнём потоплены 4 корабля противника, стоявшие на рейде. Нашими бойцами захвачено много вооружения, 8 паровозов, 600 железнодорожных вагонов и другие трофеи.</w:t>
      </w:r>
    </w:p>
    <w:p w14:paraId="18F74862"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1-го Украинского фронта продолжали наступление. Советская пехота переправилась через реку Клайн Лое и перерезала железную дорогу, идущую от города Штрелен на запад. Развивая успех, наши части ворвались в город и овладели железнодорожной станцией. Затем бои переместились в центр города. Штурмовые группы блокировали очаги сопротивления и уничтожали засевших в них немцев. Сегодня город Штрелен полностью очищен от противника. Штрелен являлся сильным опорным пунктом немецкой обороны и важным узлом путей сообщения. К нему сходятся четыре железных и несколько шоссейных дорог. В городе захвачены большие трофеи.</w:t>
      </w:r>
    </w:p>
    <w:p w14:paraId="61A09976" w14:textId="77777777" w:rsidR="00525BF4" w:rsidRPr="00F90EAE" w:rsidRDefault="00525BF4" w:rsidP="00F90EAE">
      <w:pPr>
        <w:jc w:val="both"/>
        <w:rPr>
          <w:color w:val="000000" w:themeColor="text1"/>
          <w:sz w:val="16"/>
          <w:szCs w:val="16"/>
        </w:rPr>
      </w:pPr>
      <w:r w:rsidRPr="00F90EAE">
        <w:rPr>
          <w:color w:val="000000" w:themeColor="text1"/>
          <w:sz w:val="16"/>
          <w:szCs w:val="16"/>
        </w:rPr>
        <w:t>На другом участке войска фронта, совершив обходный манёвр, с запада атаковали немецкий гарнизон в крупном промышленном городе Рыбнике. К вечеру вражеский гарнизон был разгромлен, а его остатки в беспорядке отступили на юг. На подступах к городу и его улицах уничтожено до тысячи немецких солдат и офицеров. Взято в плен 370 немцев.</w:t>
      </w:r>
    </w:p>
    <w:p w14:paraId="692C371B" w14:textId="77777777" w:rsidR="00525BF4" w:rsidRPr="00F90EAE" w:rsidRDefault="00525BF4" w:rsidP="00F90EAE">
      <w:pPr>
        <w:jc w:val="both"/>
        <w:rPr>
          <w:color w:val="000000" w:themeColor="text1"/>
          <w:sz w:val="16"/>
          <w:szCs w:val="16"/>
        </w:rPr>
      </w:pPr>
      <w:r w:rsidRPr="00F90EAE">
        <w:rPr>
          <w:color w:val="000000" w:themeColor="text1"/>
          <w:sz w:val="16"/>
          <w:szCs w:val="16"/>
        </w:rPr>
        <w:t>В Венгрии между Дунаем и озером Балатон наши войска развивали успешное наступление. Противник пытался удержаться на заранее подготовленном оборонительном рубеже у железной дороги Дьер — Папа. Смелой атакой советская пехота выбила немцев из укреплений и заняла город Тет. Наши войска, овладевшие вчера породами Папа и Девечер, достигли сильно заболоченной местности, по которой проходит канал Марцал.</w:t>
      </w:r>
    </w:p>
    <w:p w14:paraId="604AEE95" w14:textId="77777777" w:rsidR="00525BF4" w:rsidRPr="00F90EAE" w:rsidRDefault="00525BF4" w:rsidP="00F90EAE">
      <w:pPr>
        <w:jc w:val="both"/>
        <w:rPr>
          <w:color w:val="000000" w:themeColor="text1"/>
          <w:sz w:val="16"/>
          <w:szCs w:val="16"/>
        </w:rPr>
      </w:pPr>
      <w:r w:rsidRPr="00F90EAE">
        <w:rPr>
          <w:color w:val="000000" w:themeColor="text1"/>
          <w:sz w:val="16"/>
          <w:szCs w:val="16"/>
        </w:rPr>
        <w:t>Немцы пытались закрепиться на этом рубеже и выиграть время для перегруппировки своих потрёпанных дивизий. Стремительными ударами наши части опрокинули гитлеровцев, форсировали канал и завязали бои за город Целлдемелк и Яношхаза. Противник отчаянно сопротивлялся, но был разгромлен. За день боёв уничтожено до 1,500 гитлеровцев. Подбито и сожжено 78 немецких танков и 35 бронетранспортёров. Взято в плен более 600 немецких солдат и офицеров.» (15081).</w:t>
      </w:r>
    </w:p>
    <w:p w14:paraId="35AFB9EC" w14:textId="77777777" w:rsidR="00525BF4" w:rsidRPr="00F90EAE" w:rsidRDefault="00525BF4" w:rsidP="00F90EAE">
      <w:pPr>
        <w:jc w:val="both"/>
        <w:rPr>
          <w:color w:val="000000" w:themeColor="text1"/>
          <w:sz w:val="16"/>
          <w:szCs w:val="16"/>
        </w:rPr>
      </w:pPr>
    </w:p>
    <w:p w14:paraId="317C6C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 марта 1945 г. с аэродрома 5-го зап Толкай около ст. Кинель-Черкассы, Из 42 экипажей 108 гшап, вылетевших к месту постоянного базирования на аэродром Шпроттау в Силезии сумели добраться только 25 экипажей. При этом при выполнении посадки на са</w:t>
      </w:r>
      <w:r w:rsidRPr="00F90EAE">
        <w:rPr>
          <w:color w:val="000000" w:themeColor="text1"/>
          <w:sz w:val="16"/>
          <w:szCs w:val="16"/>
        </w:rPr>
        <w:softHyphen/>
        <w:t>молете Ил-10 ст. л-та Афанасьева сло</w:t>
      </w:r>
      <w:r w:rsidRPr="00F90EAE">
        <w:rPr>
          <w:color w:val="000000" w:themeColor="text1"/>
          <w:sz w:val="16"/>
          <w:szCs w:val="16"/>
        </w:rPr>
        <w:softHyphen/>
        <w:t>малась костыльная установка. В резуль</w:t>
      </w:r>
      <w:r w:rsidRPr="00F90EAE">
        <w:rPr>
          <w:color w:val="000000" w:themeColor="text1"/>
          <w:sz w:val="16"/>
          <w:szCs w:val="16"/>
        </w:rPr>
        <w:softHyphen/>
        <w:t>тате самолет на пробеге развернуло влево, были снесены шасси и повреж</w:t>
      </w:r>
      <w:r w:rsidRPr="00F90EAE">
        <w:rPr>
          <w:color w:val="000000" w:themeColor="text1"/>
          <w:sz w:val="16"/>
          <w:szCs w:val="16"/>
        </w:rPr>
        <w:softHyphen/>
        <w:t>дена правая плоскость, погнут винт, а в капюшоне вала редуктора образо</w:t>
      </w:r>
      <w:r w:rsidRPr="00F90EAE">
        <w:rPr>
          <w:color w:val="000000" w:themeColor="text1"/>
          <w:sz w:val="16"/>
          <w:szCs w:val="16"/>
        </w:rPr>
        <w:softHyphen/>
        <w:t>валась трещина. Машина была отправ</w:t>
      </w:r>
      <w:r w:rsidRPr="00F90EAE">
        <w:rPr>
          <w:color w:val="000000" w:themeColor="text1"/>
          <w:sz w:val="16"/>
          <w:szCs w:val="16"/>
        </w:rPr>
        <w:softHyphen/>
        <w:t>лена в ремонт.</w:t>
      </w:r>
    </w:p>
    <w:p w14:paraId="0D6994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этот же день на аэродром Шпрот</w:t>
      </w:r>
      <w:r w:rsidRPr="00F90EAE">
        <w:rPr>
          <w:color w:val="000000" w:themeColor="text1"/>
          <w:sz w:val="16"/>
          <w:szCs w:val="16"/>
        </w:rPr>
        <w:softHyphen/>
        <w:t>тау прибыл и наземный эшелон полка в составе штаба, 97 человек техничес</w:t>
      </w:r>
      <w:r w:rsidRPr="00F90EAE">
        <w:rPr>
          <w:color w:val="000000" w:themeColor="text1"/>
          <w:sz w:val="16"/>
          <w:szCs w:val="16"/>
        </w:rPr>
        <w:softHyphen/>
        <w:t>кого состава и воздушных стрелков. Полк вошел в состав б-й гвардейской шад 2-й ВА.</w:t>
      </w:r>
    </w:p>
    <w:p w14:paraId="2674FA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Пока на фронте было затишье, ре</w:t>
      </w:r>
      <w:r w:rsidRPr="00F90EAE">
        <w:rPr>
          <w:color w:val="000000" w:themeColor="text1"/>
          <w:sz w:val="16"/>
          <w:szCs w:val="16"/>
        </w:rPr>
        <w:softHyphen/>
        <w:t>шили дать дополнительную трениров</w:t>
      </w:r>
      <w:r w:rsidRPr="00F90EAE">
        <w:rPr>
          <w:color w:val="000000" w:themeColor="text1"/>
          <w:sz w:val="16"/>
          <w:szCs w:val="16"/>
        </w:rPr>
        <w:softHyphen/>
        <w:t>ку в боевом применении Ил-10 как «старикам», так и молодому пополне</w:t>
      </w:r>
      <w:r w:rsidRPr="00F90EAE">
        <w:rPr>
          <w:color w:val="000000" w:themeColor="text1"/>
          <w:sz w:val="16"/>
          <w:szCs w:val="16"/>
        </w:rPr>
        <w:softHyphen/>
        <w:t>нию полка. Отработку упражнений предполагалось проводить на ближай</w:t>
      </w:r>
      <w:r w:rsidRPr="00F90EAE">
        <w:rPr>
          <w:color w:val="000000" w:themeColor="text1"/>
          <w:sz w:val="16"/>
          <w:szCs w:val="16"/>
        </w:rPr>
        <w:softHyphen/>
        <w:t>шем полигоне. Но сначала, 30 марта и 1 апреля, наиболее опытными летчи</w:t>
      </w:r>
      <w:r w:rsidRPr="00F90EAE">
        <w:rPr>
          <w:color w:val="000000" w:themeColor="text1"/>
          <w:sz w:val="16"/>
          <w:szCs w:val="16"/>
        </w:rPr>
        <w:softHyphen/>
        <w:t>ками полка были выполнены испыта</w:t>
      </w:r>
      <w:r w:rsidRPr="00F90EAE">
        <w:rPr>
          <w:color w:val="000000" w:themeColor="text1"/>
          <w:sz w:val="16"/>
          <w:szCs w:val="16"/>
        </w:rPr>
        <w:softHyphen/>
        <w:t>тельные полеты с целью определения надежности в работе стрелково-пу-шечного и бомбового вооружения «десятки». Всего было выполнено 8 испытательных полетов с налетом 5 часов 30 минут. Пушки и пулеметы ра</w:t>
      </w:r>
      <w:r w:rsidRPr="00F90EAE">
        <w:rPr>
          <w:color w:val="000000" w:themeColor="text1"/>
          <w:sz w:val="16"/>
          <w:szCs w:val="16"/>
        </w:rPr>
        <w:softHyphen/>
        <w:t>ботали как часы. Зависания бомб не наблюдалось. Только в одном случае произошел отказ ЭСБР-Зп (11157).</w:t>
      </w:r>
    </w:p>
    <w:p w14:paraId="70C873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FB752F"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27 марта 1945 к месту базирования на аэродром Шпроттау в Силезии из Куйбышева в действующую армию сумели долететь только 25 экипажей 108-го гвардейского штурмового авиаполка. Расстояние в 2700 км удалось преодолеть за 11 ч 40 мин летного времени.</w:t>
      </w:r>
    </w:p>
    <w:p w14:paraId="4DCB78CB"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К сожалению, посадка на аэродром Шпроттау омрачилась аварией Ил-10 старшего лейтенанта Афанасьева, у которого сломалась костыльная установка. Самолет при пробеге развернуло влево, было снесено шасси и повреждена правая плоскость, погнут винт, а в капюшоне вала редуктора образовалась трещина. Машину отправили в ремонт. Экипаж благодаря бронекорпусу остался цел, отделавшись ушибамиВ этот же день на аэродром Шпроттау прибыл и наземный эшелон полка в составе штаба, 97 человек технического состава и воздушных стрелков. Полк вошел в состав 6-й гвардейской шад 2-го гвардейского штурмового авиакорпуса 2 ВА.</w:t>
      </w:r>
    </w:p>
    <w:p w14:paraId="11E5F318"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Отставшие экипажи прибыли на фронт двумя группами. Первая группа в составе 3 Ил-10 добралась до аэродрома Шпроттау 1 апреля, а вторая в составе 7 Ил-10 прибыла 16 апреля уже на аэродром Охельхермсдорф (посадка выполнена в 18.15).</w:t>
      </w:r>
    </w:p>
    <w:p w14:paraId="3DAB900C"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Таким образом, всего на фронт прибыло 35 самолетов Ил-10 вместе с экипажами. Кроме них в состав полка вошли два летчика-инспектора от Главного управления боевой подготовки фронтовой авиации ВВС КА на своих «десятках».</w:t>
      </w:r>
    </w:p>
    <w:p w14:paraId="79C1FC44"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При перелете по маршруту перебазирования на фронт было выполнено 296 самолето -вылетов с общим налетом 374 ч 40 мин.</w:t>
      </w:r>
    </w:p>
    <w:p w14:paraId="21F7A9BA"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Потери материальной части при перелете 108 гшап на фронт составили 7 машин, в том числе две - по вине летчиков, 5 - по вине материальной части самолетов и моторов.</w:t>
      </w:r>
    </w:p>
    <w:p w14:paraId="35370323" w14:textId="77777777" w:rsidR="00F94661" w:rsidRPr="00F90EAE" w:rsidRDefault="00F94661" w:rsidP="00F90EAE">
      <w:pPr>
        <w:jc w:val="both"/>
        <w:rPr>
          <w:color w:val="000000" w:themeColor="text1"/>
          <w:sz w:val="16"/>
          <w:szCs w:val="16"/>
        </w:rPr>
      </w:pPr>
      <w:r w:rsidRPr="00F90EAE">
        <w:rPr>
          <w:rStyle w:val="107"/>
          <w:rFonts w:eastAsiaTheme="minorHAnsi"/>
          <w:color w:val="000000" w:themeColor="text1"/>
          <w:sz w:val="16"/>
          <w:szCs w:val="16"/>
        </w:rPr>
        <w:t>На аэродроме Шпроттау полк базировался с 27 марта по 13 апреля. Аэродром имел бетонированную взлетно-посадочную полосу и рулежные дорожки. На аэродроме располагались шесть полков штурмовиков и истребителей (17490).</w:t>
      </w:r>
    </w:p>
    <w:p w14:paraId="1A8022E5" w14:textId="77777777" w:rsidR="00F94661" w:rsidRPr="00F90EAE" w:rsidRDefault="00F94661" w:rsidP="00F90EAE">
      <w:pPr>
        <w:jc w:val="both"/>
        <w:rPr>
          <w:rStyle w:val="107"/>
          <w:rFonts w:eastAsiaTheme="minorHAnsi"/>
          <w:color w:val="000000" w:themeColor="text1"/>
          <w:sz w:val="16"/>
          <w:szCs w:val="16"/>
        </w:rPr>
      </w:pPr>
    </w:p>
    <w:p w14:paraId="40C762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л полка Нормандия-Неман Франсуа Жофр был сбит над Кенигсбергом и провел 10 час. в воде (438,936).</w:t>
      </w:r>
    </w:p>
    <w:p w14:paraId="3C0BD1D8" w14:textId="77777777" w:rsidR="00665165" w:rsidRPr="00F90EAE" w:rsidRDefault="00665165" w:rsidP="00F90EAE">
      <w:pPr>
        <w:autoSpaceDE w:val="0"/>
        <w:autoSpaceDN w:val="0"/>
        <w:adjustRightInd w:val="0"/>
        <w:jc w:val="both"/>
        <w:rPr>
          <w:color w:val="000000" w:themeColor="text1"/>
          <w:sz w:val="16"/>
          <w:szCs w:val="16"/>
        </w:rPr>
      </w:pPr>
    </w:p>
    <w:p w14:paraId="26167821" w14:textId="77777777" w:rsidR="00600B70" w:rsidRPr="00F90EAE" w:rsidRDefault="00600B70" w:rsidP="00F90EAE">
      <w:pPr>
        <w:jc w:val="both"/>
        <w:rPr>
          <w:color w:val="0070C0"/>
          <w:sz w:val="16"/>
          <w:szCs w:val="16"/>
        </w:rPr>
      </w:pPr>
      <w:r w:rsidRPr="00F90EAE">
        <w:rPr>
          <w:color w:val="0070C0"/>
          <w:sz w:val="16"/>
          <w:szCs w:val="16"/>
        </w:rPr>
        <w:t>27 марта 1945, управляя Яковлевым Як-3 французской истребительной группой в составе советских ВВС, пилот французских ВВС Роджер Соваж , единственный черный истребитель, одерживает свою 16-ю и последнюю победу, сбив немецкий Фокке-Вульф Fw 190 (29371).</w:t>
      </w:r>
    </w:p>
    <w:p w14:paraId="470B4A6D" w14:textId="77777777" w:rsidR="00600B70" w:rsidRPr="00F90EAE" w:rsidRDefault="00600B70" w:rsidP="00F90EAE">
      <w:pPr>
        <w:jc w:val="both"/>
        <w:rPr>
          <w:color w:val="0070C0"/>
          <w:sz w:val="16"/>
          <w:szCs w:val="16"/>
        </w:rPr>
      </w:pPr>
    </w:p>
    <w:p w14:paraId="2C7E271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EAF1644" w14:textId="77777777" w:rsidR="00665165" w:rsidRPr="00F90EAE" w:rsidRDefault="00665165" w:rsidP="00F90EAE">
      <w:pPr>
        <w:autoSpaceDE w:val="0"/>
        <w:autoSpaceDN w:val="0"/>
        <w:adjustRightInd w:val="0"/>
        <w:jc w:val="both"/>
        <w:rPr>
          <w:iCs/>
          <w:color w:val="000000" w:themeColor="text1"/>
          <w:sz w:val="16"/>
          <w:szCs w:val="16"/>
        </w:rPr>
      </w:pPr>
    </w:p>
    <w:p w14:paraId="1DF61848" w14:textId="77777777" w:rsidR="00525BF4" w:rsidRPr="00F90EAE" w:rsidRDefault="00525BF4" w:rsidP="00F90EAE">
      <w:pPr>
        <w:autoSpaceDE w:val="0"/>
        <w:autoSpaceDN w:val="0"/>
        <w:adjustRightInd w:val="0"/>
        <w:jc w:val="both"/>
        <w:rPr>
          <w:color w:val="000000" w:themeColor="text1"/>
          <w:sz w:val="16"/>
          <w:szCs w:val="16"/>
        </w:rPr>
      </w:pPr>
      <w:r w:rsidRPr="00F90EAE">
        <w:rPr>
          <w:color w:val="000000" w:themeColor="text1"/>
          <w:sz w:val="16"/>
          <w:szCs w:val="16"/>
        </w:rPr>
        <w:t>27 марта 1945 состоялся последний запуск Фау-2 против Англии. Всего было выпущено 1050 и погибло 2754 чел., а 6500 чел. было ранено (2248,4) и Фау-1 (2469,19).</w:t>
      </w:r>
    </w:p>
    <w:p w14:paraId="050E3317" w14:textId="77777777" w:rsidR="00525BF4" w:rsidRPr="00F90EAE" w:rsidRDefault="00525BF4" w:rsidP="00F90EAE">
      <w:pPr>
        <w:autoSpaceDE w:val="0"/>
        <w:autoSpaceDN w:val="0"/>
        <w:adjustRightInd w:val="0"/>
        <w:jc w:val="both"/>
        <w:rPr>
          <w:color w:val="000000" w:themeColor="text1"/>
          <w:sz w:val="16"/>
          <w:szCs w:val="16"/>
        </w:rPr>
      </w:pPr>
    </w:p>
    <w:p w14:paraId="0CCA9DED" w14:textId="77777777" w:rsidR="00525BF4" w:rsidRPr="00F90EAE" w:rsidRDefault="00525BF4" w:rsidP="00F90EAE">
      <w:pPr>
        <w:autoSpaceDE w:val="0"/>
        <w:autoSpaceDN w:val="0"/>
        <w:adjustRightInd w:val="0"/>
        <w:jc w:val="both"/>
        <w:rPr>
          <w:color w:val="000000" w:themeColor="text1"/>
          <w:sz w:val="16"/>
          <w:szCs w:val="16"/>
        </w:rPr>
      </w:pPr>
      <w:r w:rsidRPr="00F90EAE">
        <w:rPr>
          <w:color w:val="000000" w:themeColor="text1"/>
          <w:sz w:val="16"/>
          <w:szCs w:val="16"/>
        </w:rPr>
        <w:t>27-28 марта 1945 состоялся последний запуск Фау-2 против Англии. Всего было выпущено 1050 и погибло 2754 чел., а 6500 чел. было ранено (2248,4).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541932C9" w14:textId="77777777" w:rsidR="00525BF4" w:rsidRPr="00F90EAE" w:rsidRDefault="00525BF4" w:rsidP="00F90EAE">
      <w:pPr>
        <w:autoSpaceDE w:val="0"/>
        <w:autoSpaceDN w:val="0"/>
        <w:adjustRightInd w:val="0"/>
        <w:jc w:val="both"/>
        <w:rPr>
          <w:color w:val="000000" w:themeColor="text1"/>
          <w:sz w:val="16"/>
          <w:szCs w:val="16"/>
        </w:rPr>
      </w:pPr>
    </w:p>
    <w:p w14:paraId="65BE30DE" w14:textId="77777777" w:rsidR="00BA025E" w:rsidRPr="00F90EAE" w:rsidRDefault="00BA025E" w:rsidP="00F90EAE">
      <w:pPr>
        <w:jc w:val="both"/>
        <w:rPr>
          <w:color w:val="000000" w:themeColor="text1"/>
          <w:sz w:val="16"/>
          <w:szCs w:val="16"/>
        </w:rPr>
      </w:pPr>
      <w:r w:rsidRPr="00F90EAE">
        <w:rPr>
          <w:color w:val="000000" w:themeColor="text1"/>
          <w:sz w:val="16"/>
          <w:szCs w:val="16"/>
        </w:rPr>
        <w:t>27 марта 1945 года, когда стартовали три последние ракеты в 3.01,4.02 и 7.18. Хронометраж пусков велся со строгой педантичнос</w:t>
      </w:r>
      <w:r w:rsidRPr="00F90EAE">
        <w:rPr>
          <w:color w:val="000000" w:themeColor="text1"/>
          <w:sz w:val="16"/>
          <w:szCs w:val="16"/>
        </w:rPr>
        <w:softHyphen/>
        <w:t>тью: так требовала того Инструкция. 29 марта 1945 года пусковая команда в составе 150 человек со всем парком автомашин с 60 неиспользованными ракетами А-4 покинула район Гааги.   За время семимесячного обстре</w:t>
      </w:r>
      <w:r w:rsidRPr="00F90EAE">
        <w:rPr>
          <w:color w:val="000000" w:themeColor="text1"/>
          <w:sz w:val="16"/>
          <w:szCs w:val="16"/>
        </w:rPr>
        <w:softHyphen/>
        <w:t>ла городов Англии и Бельгии выпу</w:t>
      </w:r>
      <w:r w:rsidRPr="00F90EAE">
        <w:rPr>
          <w:color w:val="000000" w:themeColor="text1"/>
          <w:sz w:val="16"/>
          <w:szCs w:val="16"/>
        </w:rPr>
        <w:softHyphen/>
        <w:t>щено около 4300 «Фау-2». В сторону Британского острова осуществлено в общей сложности 1402 пуска, из которых только 1054 (75%, по другим данным 1047) достигли территории Соединенного Королевства, на Лон</w:t>
      </w:r>
      <w:r w:rsidRPr="00F90EAE">
        <w:rPr>
          <w:color w:val="000000" w:themeColor="text1"/>
          <w:sz w:val="16"/>
          <w:szCs w:val="16"/>
        </w:rPr>
        <w:softHyphen/>
        <w:t>дон упало всего 517 ракет. Людские потери составили 9277 человек, из них 2754 убитых и 6523 раненых (19630).</w:t>
      </w:r>
    </w:p>
    <w:p w14:paraId="4C65AB69" w14:textId="77777777" w:rsidR="00BA025E" w:rsidRPr="00F90EAE" w:rsidRDefault="00BA025E" w:rsidP="00F90EAE">
      <w:pPr>
        <w:jc w:val="both"/>
        <w:rPr>
          <w:color w:val="000000" w:themeColor="text1"/>
          <w:sz w:val="16"/>
          <w:szCs w:val="16"/>
        </w:rPr>
      </w:pPr>
    </w:p>
    <w:p w14:paraId="736DB129" w14:textId="77777777" w:rsidR="00BA025E" w:rsidRPr="00F90EAE" w:rsidRDefault="00BA025E" w:rsidP="00F90EAE">
      <w:pPr>
        <w:jc w:val="both"/>
        <w:rPr>
          <w:color w:val="000000" w:themeColor="text1"/>
          <w:sz w:val="16"/>
          <w:szCs w:val="16"/>
        </w:rPr>
      </w:pPr>
      <w:r w:rsidRPr="00F90EAE">
        <w:rPr>
          <w:color w:val="000000" w:themeColor="text1"/>
          <w:sz w:val="16"/>
          <w:szCs w:val="16"/>
        </w:rPr>
        <w:t>27 марта 1945 года Последняя Фау-2 упала на Лондон. Из 12000 произведенных немцами Фау-2 более тысячи были выпущены по Англии и около пятисот на занятый союзными войсками Антверпен. Общие число погибших в результате применения «детища фон Брауна» составило около 3000 человек (19627).</w:t>
      </w:r>
    </w:p>
    <w:p w14:paraId="52325FD0" w14:textId="77777777" w:rsidR="00BA025E" w:rsidRPr="00F90EAE" w:rsidRDefault="00BA025E" w:rsidP="00F90EAE">
      <w:pPr>
        <w:jc w:val="both"/>
        <w:rPr>
          <w:color w:val="000000" w:themeColor="text1"/>
          <w:sz w:val="16"/>
          <w:szCs w:val="16"/>
        </w:rPr>
      </w:pPr>
    </w:p>
    <w:p w14:paraId="71929A62" w14:textId="77777777" w:rsidR="00BA025E" w:rsidRPr="00F90EAE" w:rsidRDefault="00BA025E" w:rsidP="00F90EAE">
      <w:pPr>
        <w:jc w:val="both"/>
        <w:rPr>
          <w:color w:val="000000" w:themeColor="text1"/>
          <w:sz w:val="16"/>
          <w:szCs w:val="16"/>
        </w:rPr>
      </w:pPr>
      <w:r w:rsidRPr="00F90EAE">
        <w:rPr>
          <w:color w:val="000000" w:themeColor="text1"/>
          <w:sz w:val="16"/>
          <w:szCs w:val="16"/>
        </w:rPr>
        <w:t>27 марта 1945 года в 16 часов 45 минут, когда ракета с № 1115 упала в районе Орпингтона, в графстве Кент закончилось "Ракетное наступление" немцев на Англию. За семь месяцев немцы выпустили в направлении Лондона по меньшей мере 1300 и по Нориджу около 40 ракет. Из них 518 упало в пределах лондонского района обороны, но ни одна не взорвалась в черте Нориджа. В Лондоне от ракет погибло 2511 человек, а 5869 человек были тяжело ранены. В других районах потери составили 213 человек убитыми и 598 тяжело раненными. В последний раз боевые ракеты "Фау-2" были применены во время сражения за Антверпен (19628).</w:t>
      </w:r>
    </w:p>
    <w:p w14:paraId="20398A0E" w14:textId="77777777" w:rsidR="00BA025E" w:rsidRPr="00F90EAE" w:rsidRDefault="00BA025E" w:rsidP="00F90EAE">
      <w:pPr>
        <w:jc w:val="both"/>
        <w:rPr>
          <w:color w:val="000000" w:themeColor="text1"/>
          <w:sz w:val="16"/>
          <w:szCs w:val="16"/>
        </w:rPr>
      </w:pPr>
    </w:p>
    <w:p w14:paraId="5A71F6A7" w14:textId="77777777" w:rsidR="00525BF4" w:rsidRPr="00F90EAE" w:rsidRDefault="00525BF4" w:rsidP="00F90EAE">
      <w:pPr>
        <w:jc w:val="both"/>
        <w:rPr>
          <w:color w:val="000000" w:themeColor="text1"/>
          <w:sz w:val="16"/>
          <w:szCs w:val="16"/>
        </w:rPr>
      </w:pPr>
      <w:r w:rsidRPr="00F90EAE">
        <w:rPr>
          <w:bCs/>
          <w:color w:val="000000" w:themeColor="text1"/>
          <w:sz w:val="16"/>
          <w:szCs w:val="16"/>
        </w:rPr>
        <w:t>27 марта</w:t>
      </w:r>
      <w:r w:rsidRPr="00F90EAE">
        <w:rPr>
          <w:color w:val="000000" w:themeColor="text1"/>
          <w:sz w:val="16"/>
          <w:szCs w:val="16"/>
        </w:rPr>
        <w:t xml:space="preserve"> в 1945 году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(15081).</w:t>
      </w:r>
    </w:p>
    <w:p w14:paraId="61104E04" w14:textId="77777777" w:rsidR="00525BF4" w:rsidRPr="00F90EAE" w:rsidRDefault="00525BF4" w:rsidP="00F90EAE">
      <w:pPr>
        <w:jc w:val="both"/>
        <w:rPr>
          <w:color w:val="000000" w:themeColor="text1"/>
          <w:sz w:val="16"/>
          <w:szCs w:val="16"/>
        </w:rPr>
      </w:pPr>
    </w:p>
    <w:p w14:paraId="498DD821" w14:textId="77777777" w:rsidR="00525BF4" w:rsidRPr="00F90EAE" w:rsidRDefault="00525BF4" w:rsidP="00F90EAE">
      <w:pPr>
        <w:jc w:val="both"/>
        <w:rPr>
          <w:color w:val="000000" w:themeColor="text1"/>
          <w:sz w:val="16"/>
          <w:szCs w:val="16"/>
        </w:rPr>
      </w:pPr>
      <w:r w:rsidRPr="00F90EAE">
        <w:rPr>
          <w:bCs/>
          <w:color w:val="000000" w:themeColor="text1"/>
          <w:sz w:val="16"/>
          <w:szCs w:val="16"/>
        </w:rPr>
        <w:t>27 марта</w:t>
      </w:r>
      <w:r w:rsidRPr="00F90EAE">
        <w:rPr>
          <w:color w:val="000000" w:themeColor="text1"/>
          <w:sz w:val="16"/>
          <w:szCs w:val="16"/>
        </w:rPr>
        <w:t xml:space="preserve"> в 1945 году со своей базы близ Гааги германская ракетная батарея осуществила последний пуск БР "A-4"/SS-1/Scunner/ (Фау-2) по Антверпену. Всего в течение обстрела города немецкими ракетными частями по Антверпену было пущено 1593 ракет "А-4" (15081).</w:t>
      </w:r>
    </w:p>
    <w:p w14:paraId="61A93A4F" w14:textId="77777777" w:rsidR="00525BF4" w:rsidRPr="00F90EAE" w:rsidRDefault="00525BF4" w:rsidP="00F90EAE">
      <w:pPr>
        <w:jc w:val="both"/>
        <w:rPr>
          <w:color w:val="000000" w:themeColor="text1"/>
          <w:sz w:val="16"/>
          <w:szCs w:val="16"/>
        </w:rPr>
      </w:pPr>
    </w:p>
    <w:p w14:paraId="1942F4E8" w14:textId="77777777" w:rsidR="00600B70" w:rsidRPr="00F90EAE" w:rsidRDefault="00600B70" w:rsidP="00F90EAE">
      <w:pPr>
        <w:jc w:val="both"/>
        <w:rPr>
          <w:color w:val="0070C0"/>
          <w:sz w:val="16"/>
          <w:szCs w:val="16"/>
        </w:rPr>
      </w:pPr>
      <w:r w:rsidRPr="00F90EAE">
        <w:rPr>
          <w:color w:val="0070C0"/>
          <w:sz w:val="16"/>
          <w:szCs w:val="16"/>
        </w:rPr>
        <w:t xml:space="preserve">27 марта 1945 - На территорию Великобритании в деревню Орпингтон (Orpington), графство Кент (Kent), упала последняя ракета "A-4"/SS-1/Scunner/ (Фау-2) пущенная немцами с позиций в континентальной части Европы. Был убит 1 и ранено 23 человека. Последний пуск по Лондону. Завершение ракетного обстрела Великобритании (22555). </w:t>
      </w:r>
    </w:p>
    <w:p w14:paraId="38BA250D" w14:textId="77777777" w:rsidR="00600B70" w:rsidRPr="00F90EAE" w:rsidRDefault="00600B70" w:rsidP="00F90EAE">
      <w:pPr>
        <w:jc w:val="both"/>
        <w:rPr>
          <w:color w:val="0070C0"/>
          <w:sz w:val="16"/>
          <w:szCs w:val="16"/>
        </w:rPr>
      </w:pPr>
    </w:p>
    <w:p w14:paraId="3F6E8801" w14:textId="77777777" w:rsidR="00600B70" w:rsidRPr="00F90EAE" w:rsidRDefault="00600B70" w:rsidP="00F90EAE">
      <w:pPr>
        <w:jc w:val="both"/>
        <w:rPr>
          <w:color w:val="0070C0"/>
          <w:sz w:val="16"/>
          <w:szCs w:val="16"/>
        </w:rPr>
      </w:pPr>
      <w:r w:rsidRPr="00F90EAE">
        <w:rPr>
          <w:color w:val="0070C0"/>
          <w:sz w:val="16"/>
          <w:szCs w:val="16"/>
        </w:rPr>
        <w:t>27 марта 1945 последняя ракета Фау-2, поразившая Англию, падает в Кенте (20371).</w:t>
      </w:r>
    </w:p>
    <w:p w14:paraId="0E647159" w14:textId="77777777" w:rsidR="00600B70" w:rsidRPr="00F90EAE" w:rsidRDefault="00600B70" w:rsidP="00F90EAE">
      <w:pPr>
        <w:jc w:val="both"/>
        <w:rPr>
          <w:color w:val="0070C0"/>
          <w:sz w:val="16"/>
          <w:szCs w:val="16"/>
        </w:rPr>
      </w:pPr>
    </w:p>
    <w:p w14:paraId="342EDE1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27 марта 1945 американские войска без борьбы взяли Франкфурт (4962).</w:t>
      </w:r>
    </w:p>
    <w:p w14:paraId="050BCA3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05964F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27th, 1945: The US Third Army captures Aschaffenburg. On the Oder front, beginning of a German counterattack from the Frankfurt bridgehead toward Kustrin that bogs down after a few miles (3819).</w:t>
      </w:r>
    </w:p>
    <w:p w14:paraId="708422E9" w14:textId="77777777" w:rsidR="00665165" w:rsidRPr="00F90EAE" w:rsidRDefault="00665165" w:rsidP="00F90EAE">
      <w:pPr>
        <w:autoSpaceDE w:val="0"/>
        <w:autoSpaceDN w:val="0"/>
        <w:adjustRightInd w:val="0"/>
        <w:jc w:val="both"/>
        <w:rPr>
          <w:color w:val="000000" w:themeColor="text1"/>
          <w:sz w:val="16"/>
          <w:szCs w:val="16"/>
          <w:lang w:val="en-US"/>
        </w:rPr>
      </w:pPr>
    </w:p>
    <w:p w14:paraId="183C3F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3А США захватил Асхаффенбург. На Одерском фронте немецкие части контратаковали с плацдарма во Франкфурте на Кюстрин (3819).</w:t>
      </w:r>
    </w:p>
    <w:p w14:paraId="5A4F9468" w14:textId="77777777" w:rsidR="00665165" w:rsidRPr="00F90EAE" w:rsidRDefault="00665165" w:rsidP="00F90EAE">
      <w:pPr>
        <w:autoSpaceDE w:val="0"/>
        <w:autoSpaceDN w:val="0"/>
        <w:adjustRightInd w:val="0"/>
        <w:jc w:val="both"/>
        <w:rPr>
          <w:color w:val="000000" w:themeColor="text1"/>
          <w:sz w:val="16"/>
          <w:szCs w:val="16"/>
        </w:rPr>
      </w:pPr>
    </w:p>
    <w:p w14:paraId="39FD406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марта 1945 Аргентина объявила войну Германии и Японии (4962).</w:t>
      </w:r>
    </w:p>
    <w:p w14:paraId="439DB65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468330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27, 1945. B-29 crews begin night mining missions around Japan, eventually establishing a complete blockade (1089).</w:t>
      </w:r>
    </w:p>
    <w:p w14:paraId="7C7A0860" w14:textId="77777777" w:rsidR="00665165" w:rsidRPr="00F90EAE" w:rsidRDefault="00665165" w:rsidP="00F90EAE">
      <w:pPr>
        <w:autoSpaceDE w:val="0"/>
        <w:autoSpaceDN w:val="0"/>
        <w:adjustRightInd w:val="0"/>
        <w:jc w:val="both"/>
        <w:rPr>
          <w:color w:val="000000" w:themeColor="text1"/>
          <w:sz w:val="16"/>
          <w:szCs w:val="16"/>
          <w:lang w:val="en-US"/>
        </w:rPr>
      </w:pPr>
    </w:p>
    <w:p w14:paraId="70A04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марта 1945 В-29 стали использоваться для ночного минирования вод вокруг Японии (1089).</w:t>
      </w:r>
    </w:p>
    <w:p w14:paraId="500E345B" w14:textId="77777777" w:rsidR="00665165" w:rsidRPr="00F90EAE" w:rsidRDefault="00665165" w:rsidP="00F90EAE">
      <w:pPr>
        <w:autoSpaceDE w:val="0"/>
        <w:autoSpaceDN w:val="0"/>
        <w:adjustRightInd w:val="0"/>
        <w:jc w:val="both"/>
        <w:rPr>
          <w:color w:val="000000" w:themeColor="text1"/>
          <w:sz w:val="16"/>
          <w:szCs w:val="16"/>
        </w:rPr>
      </w:pPr>
    </w:p>
    <w:p w14:paraId="74C61D5A" w14:textId="77777777" w:rsidR="00600B70" w:rsidRPr="00F90EAE" w:rsidRDefault="00600B70" w:rsidP="00F90EAE">
      <w:pPr>
        <w:jc w:val="both"/>
        <w:rPr>
          <w:color w:val="0070C0"/>
          <w:sz w:val="16"/>
          <w:szCs w:val="16"/>
        </w:rPr>
      </w:pPr>
      <w:r w:rsidRPr="00F90EAE">
        <w:rPr>
          <w:color w:val="0070C0"/>
          <w:sz w:val="16"/>
          <w:szCs w:val="16"/>
        </w:rPr>
        <w:t>27 марта 1945 в поддержку предстоящего вторжения США на Окинаву, B-29 наносят удары по аэродромам и авиационному заводу на острове Кюсю, а также закладывают морские мины в проливе Симоносеки. А камикадзе повреждения линкор USS Nevada (BB-36) с Окинавы, убив 11 и ранив 49 (20371).</w:t>
      </w:r>
    </w:p>
    <w:p w14:paraId="6F60F02A" w14:textId="77777777" w:rsidR="00600B70" w:rsidRPr="00F90EAE" w:rsidRDefault="00600B70" w:rsidP="00F90EAE">
      <w:pPr>
        <w:jc w:val="both"/>
        <w:rPr>
          <w:color w:val="0070C0"/>
          <w:sz w:val="16"/>
          <w:szCs w:val="16"/>
        </w:rPr>
      </w:pPr>
    </w:p>
    <w:p w14:paraId="4BFB5D0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52BAFF5" w14:textId="77777777" w:rsidR="00665165" w:rsidRPr="00F90EAE" w:rsidRDefault="00665165" w:rsidP="00F90EAE">
      <w:pPr>
        <w:autoSpaceDE w:val="0"/>
        <w:autoSpaceDN w:val="0"/>
        <w:adjustRightInd w:val="0"/>
        <w:jc w:val="both"/>
        <w:rPr>
          <w:iCs/>
          <w:color w:val="000000" w:themeColor="text1"/>
          <w:sz w:val="16"/>
          <w:szCs w:val="16"/>
        </w:rPr>
      </w:pPr>
    </w:p>
    <w:p w14:paraId="7809ED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 Силезии (24,314) был выполнен показательный воздушный бой Ил-10 (А.Сироткин - начальник воздушно-стрелковой службы 108 гшап) с Ла-5ФН (ГСС В.Попков), который подтвердил возможности эффективного выполнения боевых задач, включая и такой бой (5,123).</w:t>
      </w:r>
    </w:p>
    <w:p w14:paraId="2FDB85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целью поднятия авторитета нового штурмовика и уверенности летного состава в своих силах командованием 108-го гвардейского шап и 5-го гвардейского иап 11-й гиад, также базировавшемся на аэродроме Шпроттау, был организован показательный воздушный бой Ил-10 с истребителем Ла-5ФН. Ил-10 пилотировал начальник воздушно-стрелковой службы полка к-н А.И.Си-роткин, а "лавочкин" -Герой Советского Союза к-н В.И.Попков, лично сбивший к этому времени 37 немецких самолетов (7489).</w:t>
      </w:r>
    </w:p>
    <w:p w14:paraId="139F35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А.И.Сироткин вспоминает: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(7489).</w:t>
      </w:r>
    </w:p>
    <w:p w14:paraId="5DCBFACC" w14:textId="77777777" w:rsidR="00665165" w:rsidRPr="00F90EAE" w:rsidRDefault="00665165" w:rsidP="00F90EAE">
      <w:pPr>
        <w:autoSpaceDE w:val="0"/>
        <w:autoSpaceDN w:val="0"/>
        <w:adjustRightInd w:val="0"/>
        <w:jc w:val="both"/>
        <w:rPr>
          <w:color w:val="000000" w:themeColor="text1"/>
          <w:sz w:val="16"/>
          <w:szCs w:val="16"/>
        </w:rPr>
      </w:pPr>
    </w:p>
    <w:p w14:paraId="756156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года первая в ВВС группа из 25 Ил-10, лидируемая майором Павличенко, приземлилась на аэродромне Шпроттау в Германии. Следом прибыла заводская бригада, которая должна была наблюдать за обкаткой в бою нового самолета. Каждый день экипажи летали на полигон, занимаясь отработкой бомбометания и стрельб. Производилась доводка самолетов и моторов. Устранялись дефекты и неисправности, выявленные после длительного перелета (8683, 36).</w:t>
      </w:r>
    </w:p>
    <w:p w14:paraId="3246FA46" w14:textId="77777777" w:rsidR="00665165" w:rsidRPr="00F90EAE" w:rsidRDefault="00665165" w:rsidP="00F90EAE">
      <w:pPr>
        <w:autoSpaceDE w:val="0"/>
        <w:autoSpaceDN w:val="0"/>
        <w:adjustRightInd w:val="0"/>
        <w:jc w:val="both"/>
        <w:rPr>
          <w:color w:val="000000" w:themeColor="text1"/>
          <w:sz w:val="16"/>
          <w:szCs w:val="16"/>
        </w:rPr>
      </w:pPr>
    </w:p>
    <w:p w14:paraId="67FC1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вышел приказ НКАП № 125, который утвердил экипаж для первого вылета И-250 № 1: ли А.П.Деев, ви от ОКБ В.Н.Сорокин и от ЦИАМ А.И.Комиссаров, мех. Г.Е.Павлова (ОКБ) и А.Д.Григорьева (ЦИАМ) + мот. М.П.Кондюков (6471, 7).</w:t>
      </w:r>
    </w:p>
    <w:p w14:paraId="4D21AC42" w14:textId="77777777" w:rsidR="00665165" w:rsidRPr="00F90EAE" w:rsidRDefault="00665165" w:rsidP="00F90EAE">
      <w:pPr>
        <w:autoSpaceDE w:val="0"/>
        <w:autoSpaceDN w:val="0"/>
        <w:adjustRightInd w:val="0"/>
        <w:jc w:val="both"/>
        <w:rPr>
          <w:color w:val="000000" w:themeColor="text1"/>
          <w:sz w:val="16"/>
          <w:szCs w:val="16"/>
        </w:rPr>
      </w:pPr>
    </w:p>
    <w:p w14:paraId="1FDA4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г. в соответствии с приказом НКАП №125 летчика-испытателя А.П. Деева, а также ведущих инженеров В.Н.Сорокина от ОКБ-155 (по самолету) и А.И.Комиссарова от ЦИАМа (по'ВРДК) назначили ответственными за проведение заводских испытания И-250 МиГ (6000).</w:t>
      </w:r>
    </w:p>
    <w:p w14:paraId="13DD0219" w14:textId="77777777" w:rsidR="00665165" w:rsidRPr="00F90EAE" w:rsidRDefault="00665165" w:rsidP="00F90EAE">
      <w:pPr>
        <w:autoSpaceDE w:val="0"/>
        <w:autoSpaceDN w:val="0"/>
        <w:adjustRightInd w:val="0"/>
        <w:jc w:val="both"/>
        <w:rPr>
          <w:color w:val="000000" w:themeColor="text1"/>
          <w:sz w:val="16"/>
          <w:szCs w:val="16"/>
        </w:rPr>
      </w:pPr>
    </w:p>
    <w:p w14:paraId="20A637F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3BD27F7" w14:textId="77777777" w:rsidR="00665165" w:rsidRPr="00F90EAE" w:rsidRDefault="00665165" w:rsidP="00F90EAE">
      <w:pPr>
        <w:autoSpaceDE w:val="0"/>
        <w:autoSpaceDN w:val="0"/>
        <w:adjustRightInd w:val="0"/>
        <w:jc w:val="both"/>
        <w:rPr>
          <w:iCs/>
          <w:color w:val="000000" w:themeColor="text1"/>
          <w:sz w:val="16"/>
          <w:szCs w:val="16"/>
        </w:rPr>
      </w:pPr>
    </w:p>
    <w:p w14:paraId="2AB2FB89"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28 марта 1945 года старший военпред завода №100 Вовк отправил в ГБТУ КА письмо с жалобой на КБ на опытном заводе № 100:</w:t>
      </w:r>
    </w:p>
    <w:p w14:paraId="2F687137"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54CC1888"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34D5F32C"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Кировоского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0EDEA9B1"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(17209).</w:t>
      </w:r>
    </w:p>
    <w:p w14:paraId="0F20A274" w14:textId="77777777" w:rsidR="00FA59CB" w:rsidRPr="00F90EAE" w:rsidRDefault="00FA59CB" w:rsidP="00F90EAE">
      <w:pPr>
        <w:pStyle w:val="ae"/>
        <w:shd w:val="clear" w:color="auto" w:fill="FFFFFF"/>
        <w:spacing w:before="0" w:after="0"/>
        <w:jc w:val="both"/>
        <w:rPr>
          <w:color w:val="000000" w:themeColor="text1"/>
          <w:sz w:val="16"/>
          <w:szCs w:val="16"/>
        </w:rPr>
      </w:pPr>
    </w:p>
    <w:p w14:paraId="7204E3A0" w14:textId="77777777" w:rsidR="00F94661" w:rsidRPr="00F90EAE" w:rsidRDefault="00F94661" w:rsidP="00F90EAE">
      <w:pPr>
        <w:shd w:val="clear" w:color="auto" w:fill="FFFFFF"/>
        <w:jc w:val="both"/>
        <w:rPr>
          <w:color w:val="000000" w:themeColor="text1"/>
          <w:sz w:val="16"/>
          <w:szCs w:val="16"/>
        </w:rPr>
      </w:pPr>
      <w:r w:rsidRPr="00F90EAE">
        <w:rPr>
          <w:color w:val="000000" w:themeColor="text1"/>
          <w:sz w:val="16"/>
          <w:szCs w:val="16"/>
        </w:rPr>
        <w:t>28 марта 1945 года, когда старший военпред завода №100 отправил в ГБТУ КА письмо с жалобой на происходящее на заводе:</w:t>
      </w:r>
    </w:p>
    <w:p w14:paraId="409D66C3" w14:textId="77777777" w:rsidR="00F94661" w:rsidRPr="00F90EAE" w:rsidRDefault="00F94661" w:rsidP="00F90EAE">
      <w:pPr>
        <w:shd w:val="clear" w:color="auto" w:fill="FFFFFF"/>
        <w:jc w:val="both"/>
        <w:rPr>
          <w:color w:val="000000" w:themeColor="text1"/>
          <w:sz w:val="16"/>
          <w:szCs w:val="16"/>
        </w:rPr>
      </w:pPr>
      <w:r w:rsidRPr="00F90EAE">
        <w:rPr>
          <w:iCs/>
          <w:color w:val="000000" w:themeColor="text1"/>
          <w:sz w:val="16"/>
          <w:szCs w:val="16"/>
        </w:rPr>
        <w:t>«Вступив в обязанности старшего военпреда ТУ ГБТУ КА на заводе №100 в апреле 1944 года, я Вам докладывал, что моя работа на заводе затруднена тем обстоятельством, что руководство завода все время скрывает от меня все те опытные работы, которые вновь прорабатываются на заводе. На первых порах моей работы эта скрытность была выражена в форме организации особой комнаты, куда вход был разрешен т. Котиным по особому списку, куда я включен не был (в то время от меня скрывалось проектирование танка ИС-6).</w:t>
      </w:r>
    </w:p>
    <w:p w14:paraId="717C2792" w14:textId="77777777" w:rsidR="00F94661" w:rsidRPr="00F90EAE" w:rsidRDefault="00F94661" w:rsidP="00F90EAE">
      <w:pPr>
        <w:shd w:val="clear" w:color="auto" w:fill="FFFFFF"/>
        <w:jc w:val="both"/>
        <w:rPr>
          <w:color w:val="000000" w:themeColor="text1"/>
          <w:sz w:val="16"/>
          <w:szCs w:val="16"/>
        </w:rPr>
      </w:pPr>
      <w:r w:rsidRPr="00F90EAE">
        <w:rPr>
          <w:iCs/>
          <w:color w:val="000000" w:themeColor="text1"/>
          <w:sz w:val="16"/>
          <w:szCs w:val="16"/>
        </w:rPr>
        <w:t>За последнее время эта форма особых комнат приняла более широкий размах (особенно с момента назначения т. Котина директором завода), все новые темы исключительно прорабатываются в изолированных комнатах, куда вход разрешен только сотрудникам этих комнат. Сейчас каждая группа ОКБ выделила из своего состава отдельную группу людей, которая занимается проектированием: нового тяжелого танка мощного бронирования и артсамохода ИСУ-122 со спаренными двумя пушками Д-25с.</w:t>
      </w:r>
    </w:p>
    <w:p w14:paraId="4306F8FC" w14:textId="77777777" w:rsidR="00F94661" w:rsidRPr="00F90EAE" w:rsidRDefault="00F94661" w:rsidP="00F90EAE">
      <w:pPr>
        <w:shd w:val="clear" w:color="auto" w:fill="FFFFFF"/>
        <w:jc w:val="both"/>
        <w:rPr>
          <w:color w:val="000000" w:themeColor="text1"/>
          <w:sz w:val="16"/>
          <w:szCs w:val="16"/>
        </w:rPr>
      </w:pPr>
      <w:r w:rsidRPr="00F90EAE">
        <w:rPr>
          <w:iCs/>
          <w:color w:val="000000" w:themeColor="text1"/>
          <w:sz w:val="16"/>
          <w:szCs w:val="16"/>
        </w:rPr>
        <w:t>В связи со сложившимися такого рода обстоятельствами, я пытался выяснить причину принятых мер, неоднократно разговаривал с т. Котиным и из этих разговоров понял, что основной причиной является боязнь разглашения проводимых работ на заводе №100 от Кировского завода, и что источником всего этого является военный представитель, как лицо, подчиненное Уполномоченному ГБТУ КА, по усмотрению которого полученная информация может передаваться конструкторам Кировского завода».</w:t>
      </w:r>
    </w:p>
    <w:p w14:paraId="7D8AB994" w14:textId="77777777" w:rsidR="00F94661" w:rsidRPr="00F90EAE" w:rsidRDefault="00F94661" w:rsidP="00F90EAE">
      <w:pPr>
        <w:shd w:val="clear" w:color="auto" w:fill="FFFFFF"/>
        <w:jc w:val="both"/>
        <w:rPr>
          <w:color w:val="000000" w:themeColor="text1"/>
          <w:sz w:val="16"/>
          <w:szCs w:val="16"/>
        </w:rPr>
      </w:pPr>
      <w:r w:rsidRPr="00F90EAE">
        <w:rPr>
          <w:color w:val="000000" w:themeColor="text1"/>
          <w:sz w:val="16"/>
          <w:szCs w:val="16"/>
        </w:rPr>
        <w:t>Попытки Вовка внести порядок в опытных работах и прекратить битву двух КБ существенного результата не дали. Впрочем, как уже говорилось выше, СКБ-2 ЧКЗ на тот момент было не до работ над перспективным танком, так что у завода №100 появился шанс. 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 (16735).</w:t>
      </w:r>
    </w:p>
    <w:p w14:paraId="4DFE6165" w14:textId="77777777" w:rsidR="00F94661" w:rsidRPr="00F90EAE" w:rsidRDefault="00F94661" w:rsidP="00F90EAE">
      <w:pPr>
        <w:shd w:val="clear" w:color="auto" w:fill="FFFFFF"/>
        <w:jc w:val="both"/>
        <w:rPr>
          <w:color w:val="000000" w:themeColor="text1"/>
          <w:sz w:val="16"/>
          <w:szCs w:val="16"/>
        </w:rPr>
      </w:pPr>
    </w:p>
    <w:p w14:paraId="32EB38A2" w14:textId="77777777" w:rsidR="00BA025E" w:rsidRPr="00F90EAE" w:rsidRDefault="00BA025E" w:rsidP="00F90EAE">
      <w:pPr>
        <w:jc w:val="both"/>
        <w:rPr>
          <w:color w:val="000000" w:themeColor="text1"/>
          <w:sz w:val="16"/>
          <w:szCs w:val="16"/>
        </w:rPr>
      </w:pPr>
      <w:r w:rsidRPr="00F90EAE">
        <w:rPr>
          <w:color w:val="000000" w:themeColor="text1"/>
          <w:sz w:val="16"/>
          <w:szCs w:val="16"/>
        </w:rPr>
        <w:t>К 28 марта 1945 года закончилась переделка машины СУ-85А в СУ-85Б. Далее последовали заводские испытания. С 28 марта по 5 апреля машина прошла 300 километров, из её орудия произвели 30 выстрелов. 7–8 апреля на Гороховецком АНИОП было сделано ещё 70 выстрелов. Существенное снижение сопротивления откату дало свои результаты. Согласно заводскому отчёту, теперь толчки при выстреле не мешали работе наводчика и командира. Улучшилась ситуация со сбиваемостью прицела при стрельбе, кучность была признана удовлетворительной. Максимальная скорострельность составила 11 выстрелов в минуту, а практическая скорострельность — 10 выстрелов в минуту. Улучшилась и ситуация с защитой боевого отделения при обстреле лобовой части из пулемёта.</w:t>
      </w:r>
    </w:p>
    <w:p w14:paraId="04E869A2" w14:textId="77777777" w:rsidR="00BA025E" w:rsidRPr="00F90EAE" w:rsidRDefault="00BA025E" w:rsidP="00F90EAE">
      <w:pPr>
        <w:jc w:val="both"/>
        <w:rPr>
          <w:color w:val="000000" w:themeColor="text1"/>
          <w:sz w:val="16"/>
          <w:szCs w:val="16"/>
        </w:rPr>
      </w:pPr>
      <w:r w:rsidRPr="00F90EAE">
        <w:rPr>
          <w:color w:val="000000" w:themeColor="text1"/>
          <w:sz w:val="16"/>
          <w:szCs w:val="16"/>
        </w:rPr>
        <w:lastRenderedPageBreak/>
        <w:t>Следующий этап испытаний также проходил на Гороховецком АНИОП 20–25 апреля 1945 года.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32929F7" w14:textId="77777777" w:rsidR="00BA025E" w:rsidRPr="00F90EAE" w:rsidRDefault="00BA025E" w:rsidP="00F90EAE">
      <w:pPr>
        <w:jc w:val="both"/>
        <w:rPr>
          <w:color w:val="000000" w:themeColor="text1"/>
          <w:sz w:val="16"/>
          <w:szCs w:val="16"/>
        </w:rPr>
      </w:pPr>
      <w:r w:rsidRPr="00F90EAE">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3D3BD8D3" w14:textId="77777777" w:rsidR="00BA025E" w:rsidRPr="00F90EAE" w:rsidRDefault="00BA025E" w:rsidP="00F90EAE">
      <w:pPr>
        <w:jc w:val="both"/>
        <w:rPr>
          <w:color w:val="000000" w:themeColor="text1"/>
          <w:sz w:val="16"/>
          <w:szCs w:val="16"/>
        </w:rPr>
      </w:pPr>
      <w:r w:rsidRPr="00F90EAE">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3BF9E64D" w14:textId="77777777" w:rsidR="00BA025E" w:rsidRPr="00F90EAE" w:rsidRDefault="00BA025E" w:rsidP="00F90EAE">
      <w:pPr>
        <w:jc w:val="both"/>
        <w:rPr>
          <w:color w:val="000000" w:themeColor="text1"/>
          <w:sz w:val="16"/>
          <w:szCs w:val="16"/>
        </w:rPr>
      </w:pPr>
    </w:p>
    <w:p w14:paraId="7D04F508" w14:textId="77777777" w:rsidR="00BA2B8F" w:rsidRPr="00F90EAE" w:rsidRDefault="00BA2B8F" w:rsidP="00F90EAE">
      <w:pPr>
        <w:jc w:val="both"/>
        <w:rPr>
          <w:color w:val="000000" w:themeColor="text1"/>
          <w:sz w:val="16"/>
          <w:szCs w:val="16"/>
        </w:rPr>
      </w:pPr>
      <w:r w:rsidRPr="00F90EAE">
        <w:rPr>
          <w:color w:val="000000" w:themeColor="text1"/>
          <w:sz w:val="16"/>
          <w:szCs w:val="16"/>
        </w:rPr>
        <w:t>28 марта 1945 г.</w:t>
      </w:r>
    </w:p>
    <w:p w14:paraId="423924AC" w14:textId="77777777" w:rsidR="00BA2B8F" w:rsidRPr="00F90EAE" w:rsidRDefault="00BA2B8F" w:rsidP="00F90EAE">
      <w:pPr>
        <w:jc w:val="both"/>
        <w:rPr>
          <w:color w:val="000000" w:themeColor="text1"/>
          <w:sz w:val="16"/>
          <w:szCs w:val="16"/>
        </w:rPr>
      </w:pPr>
      <w:r w:rsidRPr="00F90EAE">
        <w:rPr>
          <w:color w:val="000000" w:themeColor="text1"/>
          <w:sz w:val="16"/>
          <w:szCs w:val="16"/>
        </w:rPr>
        <w:t>Коллективу рабочих и инженерно-технических работников завода № 208.</w:t>
      </w:r>
    </w:p>
    <w:p w14:paraId="2540C290" w14:textId="77777777" w:rsidR="00BA2B8F" w:rsidRPr="00F90EAE" w:rsidRDefault="00BA2B8F" w:rsidP="00F90EAE">
      <w:pPr>
        <w:jc w:val="both"/>
        <w:rPr>
          <w:color w:val="000000" w:themeColor="text1"/>
          <w:sz w:val="16"/>
          <w:szCs w:val="16"/>
        </w:rPr>
      </w:pPr>
      <w:r w:rsidRPr="00F90EAE">
        <w:rPr>
          <w:color w:val="000000" w:themeColor="text1"/>
          <w:sz w:val="16"/>
          <w:szCs w:val="16"/>
        </w:rPr>
        <w:t>От имени расчета «Редут» № 121 посылаю Вам, уважаемым труженикам тыла, наш боевой привет и желаю успеха в Вашей самоотверженной работе на благо нашей Родины. Успех боевой работы зависит не только от действия наших бойцов и командиров на фронтах Великой Отечественной войны, успех боевой работы зависит также от того, насколько качественна и многочисленна техника, которой Вы, вот уже четвертый год, снабжаете фронт.</w:t>
      </w:r>
    </w:p>
    <w:p w14:paraId="4074CD41" w14:textId="77777777" w:rsidR="00BA2B8F" w:rsidRPr="00F90EAE" w:rsidRDefault="00BA2B8F" w:rsidP="00F90EAE">
      <w:pPr>
        <w:jc w:val="both"/>
        <w:rPr>
          <w:color w:val="000000" w:themeColor="text1"/>
          <w:sz w:val="16"/>
          <w:szCs w:val="16"/>
        </w:rPr>
      </w:pPr>
      <w:r w:rsidRPr="00F90EAE">
        <w:rPr>
          <w:color w:val="000000" w:themeColor="text1"/>
          <w:sz w:val="16"/>
          <w:szCs w:val="16"/>
        </w:rPr>
        <w:t>Мы глубоко ценим и уважаем Ваш труд, сопряженный с величайшими трудностями военного времени, свидетельством тому служит наше отношение к боевой технике, сделанной Вами. «Редут» — глаза командира, с помощью этого оружия командир управляет авиацией на поле боя. Расчет «Редут» Л1? 121 благодарит коллектив рабочих и инженерно-технических работников, принимавших участие в сборке и монтаже установки. Замечательный комплект.</w:t>
      </w:r>
    </w:p>
    <w:p w14:paraId="5BF30044" w14:textId="77777777" w:rsidR="00BA2B8F" w:rsidRPr="00F90EAE" w:rsidRDefault="00BA2B8F" w:rsidP="00F90EAE">
      <w:pPr>
        <w:jc w:val="both"/>
        <w:rPr>
          <w:color w:val="000000" w:themeColor="text1"/>
          <w:sz w:val="16"/>
          <w:szCs w:val="16"/>
        </w:rPr>
      </w:pPr>
      <w:r w:rsidRPr="00F90EAE">
        <w:rPr>
          <w:color w:val="000000" w:themeColor="text1"/>
          <w:sz w:val="16"/>
          <w:szCs w:val="16"/>
        </w:rPr>
        <w:t>Мы каждый день совершенствуем свою боевую выучку, готовимся к решающим боям с фашистским зверем. Мы надеемся, что завод будет впредь выпускать совершенную, безотказную продукцию для фронта.</w:t>
      </w:r>
    </w:p>
    <w:p w14:paraId="145E1FC0" w14:textId="77777777" w:rsidR="00BA2B8F" w:rsidRPr="00F90EAE" w:rsidRDefault="00BA2B8F" w:rsidP="00F90EAE">
      <w:pPr>
        <w:jc w:val="both"/>
        <w:rPr>
          <w:color w:val="000000" w:themeColor="text1"/>
          <w:sz w:val="16"/>
          <w:szCs w:val="16"/>
        </w:rPr>
      </w:pPr>
      <w:r w:rsidRPr="00F90EAE">
        <w:rPr>
          <w:color w:val="000000" w:themeColor="text1"/>
          <w:sz w:val="16"/>
          <w:szCs w:val="16"/>
        </w:rPr>
        <w:t>От имени расчета:</w:t>
      </w:r>
    </w:p>
    <w:p w14:paraId="79F4C391" w14:textId="77777777" w:rsidR="00BA2B8F" w:rsidRPr="00F90EAE" w:rsidRDefault="00BA2B8F" w:rsidP="00F90EAE">
      <w:pPr>
        <w:jc w:val="both"/>
        <w:rPr>
          <w:color w:val="000000" w:themeColor="text1"/>
          <w:sz w:val="16"/>
          <w:szCs w:val="16"/>
        </w:rPr>
      </w:pPr>
      <w:r w:rsidRPr="00F90EAE">
        <w:rPr>
          <w:color w:val="000000" w:themeColor="text1"/>
          <w:sz w:val="16"/>
          <w:szCs w:val="16"/>
        </w:rPr>
        <w:t>Начальник установки «Редут» № 121 ст. лейтенант Смогилев (12160).</w:t>
      </w:r>
    </w:p>
    <w:p w14:paraId="3DFF8212" w14:textId="77777777" w:rsidR="00BA2B8F" w:rsidRPr="00F90EAE" w:rsidRDefault="00BA2B8F" w:rsidP="00F90EAE">
      <w:pPr>
        <w:jc w:val="both"/>
        <w:rPr>
          <w:color w:val="000000" w:themeColor="text1"/>
          <w:sz w:val="16"/>
          <w:szCs w:val="16"/>
        </w:rPr>
      </w:pPr>
    </w:p>
    <w:p w14:paraId="0E2DB1B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года вышел приказ № 119с НКВ</w:t>
      </w:r>
    </w:p>
    <w:p w14:paraId="0A06EC9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ГОКО от 23 марта 1945 года за № 7919</w:t>
      </w:r>
    </w:p>
    <w:p w14:paraId="46AFC23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Директору ГОИ Чехматареву реэвакуировать в апреле 1945 года из Иошкар-Ола в Ленинград Государственный оптический институт (6449, 25).</w:t>
      </w:r>
    </w:p>
    <w:p w14:paraId="5FBA6B8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DBC1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вышло Распоряжение ГКО № 7932. О дополнительном выделении бензина НКНП в I кв. 1945 г. РГАНИР, Фонд ГКО, д. 383, лл. 75 (11012).</w:t>
      </w:r>
    </w:p>
    <w:p w14:paraId="0419B6A2" w14:textId="77777777" w:rsidR="00665165" w:rsidRPr="00F90EAE" w:rsidRDefault="00665165" w:rsidP="00F90EAE">
      <w:pPr>
        <w:autoSpaceDE w:val="0"/>
        <w:autoSpaceDN w:val="0"/>
        <w:adjustRightInd w:val="0"/>
        <w:jc w:val="both"/>
        <w:rPr>
          <w:color w:val="000000" w:themeColor="text1"/>
          <w:sz w:val="16"/>
          <w:szCs w:val="16"/>
        </w:rPr>
      </w:pPr>
    </w:p>
    <w:p w14:paraId="69800D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вышло Распоряжение ГКО № 7933. О доставке горючего предприятиям НКУП в Донбассе. РГАНИР, Фонд ГКО, д. 383, лл. 76 (11012).</w:t>
      </w:r>
    </w:p>
    <w:p w14:paraId="7082F395" w14:textId="77777777" w:rsidR="00665165" w:rsidRPr="00F90EAE" w:rsidRDefault="00665165" w:rsidP="00F90EAE">
      <w:pPr>
        <w:autoSpaceDE w:val="0"/>
        <w:autoSpaceDN w:val="0"/>
        <w:adjustRightInd w:val="0"/>
        <w:jc w:val="both"/>
        <w:rPr>
          <w:color w:val="000000" w:themeColor="text1"/>
          <w:sz w:val="16"/>
          <w:szCs w:val="16"/>
        </w:rPr>
      </w:pPr>
    </w:p>
    <w:p w14:paraId="6AC79F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вышло Распоряжение ГКО № 7934. О поставках угля и топочного мазута заводу им. Андреева НКЧМ. РГАНИР, Фонд ГКО, д. 383, лл. 77-78 (11012).</w:t>
      </w:r>
    </w:p>
    <w:p w14:paraId="073456E8" w14:textId="77777777" w:rsidR="00665165" w:rsidRPr="00F90EAE" w:rsidRDefault="00665165" w:rsidP="00F90EAE">
      <w:pPr>
        <w:autoSpaceDE w:val="0"/>
        <w:autoSpaceDN w:val="0"/>
        <w:adjustRightInd w:val="0"/>
        <w:jc w:val="both"/>
        <w:rPr>
          <w:color w:val="000000" w:themeColor="text1"/>
          <w:sz w:val="16"/>
          <w:szCs w:val="16"/>
        </w:rPr>
      </w:pPr>
    </w:p>
    <w:p w14:paraId="7DF6A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вышло Постановление ГКО № 7935 Об обеспечении лесоматериалами строительства военно-морских баз и береговой обороны Таллинского и Рижского морских оборонительных районов Краснознаменного Балтийского флота. РГАНИР, Фонд ГКО, д. 383, лл. 79-80, 81 (11012).</w:t>
      </w:r>
    </w:p>
    <w:p w14:paraId="7A464090" w14:textId="77777777" w:rsidR="00665165" w:rsidRPr="00F90EAE" w:rsidRDefault="00665165" w:rsidP="00F90EAE">
      <w:pPr>
        <w:autoSpaceDE w:val="0"/>
        <w:autoSpaceDN w:val="0"/>
        <w:adjustRightInd w:val="0"/>
        <w:jc w:val="both"/>
        <w:rPr>
          <w:color w:val="000000" w:themeColor="text1"/>
          <w:sz w:val="16"/>
          <w:szCs w:val="16"/>
        </w:rPr>
      </w:pPr>
    </w:p>
    <w:p w14:paraId="7427CB8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вышло Распоряжение ГКО № 7936 [О мерах по перепрофилированию производства в Бакинской ИТК НКВД.] (7318, 82).</w:t>
      </w:r>
    </w:p>
    <w:p w14:paraId="35B7AD3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7D199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44B339B" w14:textId="77777777" w:rsidR="00665165" w:rsidRPr="00F90EAE" w:rsidRDefault="00665165" w:rsidP="00F90EAE">
      <w:pPr>
        <w:autoSpaceDE w:val="0"/>
        <w:autoSpaceDN w:val="0"/>
        <w:adjustRightInd w:val="0"/>
        <w:jc w:val="both"/>
        <w:rPr>
          <w:iCs/>
          <w:color w:val="000000" w:themeColor="text1"/>
          <w:sz w:val="16"/>
          <w:szCs w:val="16"/>
        </w:rPr>
      </w:pPr>
    </w:p>
    <w:p w14:paraId="0407B048" w14:textId="77777777" w:rsidR="00525BF4" w:rsidRPr="00F90EAE" w:rsidRDefault="00525BF4" w:rsidP="00F90EAE">
      <w:pPr>
        <w:jc w:val="both"/>
        <w:rPr>
          <w:color w:val="000000" w:themeColor="text1"/>
          <w:sz w:val="16"/>
          <w:szCs w:val="16"/>
        </w:rPr>
      </w:pPr>
      <w:r w:rsidRPr="00F90EAE">
        <w:rPr>
          <w:bCs/>
          <w:color w:val="000000" w:themeColor="text1"/>
          <w:sz w:val="16"/>
          <w:szCs w:val="16"/>
        </w:rPr>
        <w:t>28 марта</w:t>
      </w:r>
      <w:r w:rsidRPr="00F90EAE">
        <w:rPr>
          <w:color w:val="000000" w:themeColor="text1"/>
          <w:sz w:val="16"/>
          <w:szCs w:val="16"/>
        </w:rPr>
        <w:t xml:space="preserve"> в 1945 году оперативная сводка Совинформбюро:</w:t>
      </w:r>
    </w:p>
    <w:p w14:paraId="36026E15" w14:textId="77777777" w:rsidR="00525BF4" w:rsidRPr="00F90EAE" w:rsidRDefault="00525BF4" w:rsidP="00F90EAE">
      <w:pPr>
        <w:jc w:val="both"/>
        <w:rPr>
          <w:color w:val="000000" w:themeColor="text1"/>
          <w:sz w:val="16"/>
          <w:szCs w:val="16"/>
        </w:rPr>
      </w:pPr>
      <w:r w:rsidRPr="00F90EAE">
        <w:rPr>
          <w:color w:val="000000" w:themeColor="text1"/>
          <w:sz w:val="16"/>
          <w:szCs w:val="16"/>
        </w:rPr>
        <w:t>«В течение 28 марта юго-западнее Кенигсберга войска 3-го Белорусского фронта продолжали бои по уничтожению остатков разгромлённых частей противника в районе мыса Кальхолыдер-Хакен. В боях за 27 марта в этом районе войска фронта захватили следующие трофеи: орудий —222, миномётов —223, пулемётов —430, бронетранспортёров—22, радиостанций—35, автомашин—1.500.</w:t>
      </w:r>
    </w:p>
    <w:p w14:paraId="1645F0C0"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Белорусского фронта 28 марта штурмом овладели городом Гдыня— важной военно-морской базой и крупным портом на Балтийском море.</w:t>
      </w:r>
    </w:p>
    <w:p w14:paraId="1431B66B" w14:textId="77777777" w:rsidR="00525BF4" w:rsidRPr="00F90EAE" w:rsidRDefault="00525BF4" w:rsidP="00F90EAE">
      <w:pPr>
        <w:jc w:val="both"/>
        <w:rPr>
          <w:color w:val="000000" w:themeColor="text1"/>
          <w:sz w:val="16"/>
          <w:szCs w:val="16"/>
        </w:rPr>
      </w:pPr>
      <w:r w:rsidRPr="00F90EAE">
        <w:rPr>
          <w:color w:val="000000" w:themeColor="text1"/>
          <w:sz w:val="16"/>
          <w:szCs w:val="16"/>
        </w:rPr>
        <w:t>В боях за Гдыню войска фронта взяли в плен до 9.000 немецких солдат и офицеров, а также захватили много вооружения и разного военного имущества.</w:t>
      </w:r>
    </w:p>
    <w:p w14:paraId="522FD0FB" w14:textId="77777777" w:rsidR="00525BF4" w:rsidRPr="00F90EAE" w:rsidRDefault="00525BF4" w:rsidP="00F90EAE">
      <w:pPr>
        <w:jc w:val="both"/>
        <w:rPr>
          <w:color w:val="000000" w:themeColor="text1"/>
          <w:sz w:val="16"/>
          <w:szCs w:val="16"/>
        </w:rPr>
      </w:pPr>
      <w:r w:rsidRPr="00F90EAE">
        <w:rPr>
          <w:color w:val="000000" w:themeColor="text1"/>
          <w:sz w:val="16"/>
          <w:szCs w:val="16"/>
        </w:rPr>
        <w:t>Одновременно войска фронта после упорных боёв заняли западную часть города Гданьска (Данцига) и очищали от противника городской район, расположенный на острове Холм.</w:t>
      </w:r>
    </w:p>
    <w:p w14:paraId="0F710A2C"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по южному берегу Дуная, 28 марта овладели городами Дьер и Комаром — важными опорными пунктами обороны немцев на Венском направлении, а также с боями заняли более 40 других населённых пунктов, в том числе крупные населённые пункты Генью, Дьерсен-Тиван, Кишмедьер, Менфе, Ниулфалу.</w:t>
      </w:r>
    </w:p>
    <w:p w14:paraId="7E9FFD6B"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Украинского фронта, развивая наступление, форсировали реку Раба и 28 марта овладели городами Чорно и Шарвар — важными узлами железных дорог и сильными опорными пунктами обороны немцев, прикрывающими пути к границам Австрии, а также заняли более 150 других населённых пунктов, среди которых крупные населённые пункты Раба-Сентмихаль, Раба Пордани, Раба Шебеш, Папоц, Остфиашсонифа, Герче, Калд, Бегете, Чабрендек, Шюмег, Зала-Сентгрот, Бажи, Алшо, Немеш-Вита, Сиглигет и железнодорожные станции Герче, Калд, Укк, Гоганфа, Шюмег. В боях за 27 марта войска фронта взяли в плен свыше 1.500 солдат и офицеров противника.</w:t>
      </w:r>
    </w:p>
    <w:p w14:paraId="5AC9DDFE" w14:textId="77777777" w:rsidR="00525BF4" w:rsidRPr="00F90EAE" w:rsidRDefault="00525BF4"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0D563750" w14:textId="77777777" w:rsidR="00525BF4" w:rsidRPr="00F90EAE" w:rsidRDefault="00525BF4" w:rsidP="00F90EAE">
      <w:pPr>
        <w:jc w:val="both"/>
        <w:rPr>
          <w:color w:val="000000" w:themeColor="text1"/>
          <w:sz w:val="16"/>
          <w:szCs w:val="16"/>
        </w:rPr>
      </w:pPr>
      <w:r w:rsidRPr="00F90EAE">
        <w:rPr>
          <w:color w:val="000000" w:themeColor="text1"/>
          <w:sz w:val="16"/>
          <w:szCs w:val="16"/>
        </w:rPr>
        <w:t>За 27 марта на всех фронтах подбито и уничтожено 190 немецких танков и самоходных орудий. В воздушных боях и огнём зенитной артиллерии сбито 96 самолётов противника.</w:t>
      </w:r>
    </w:p>
    <w:p w14:paraId="3F94A9F7" w14:textId="77777777" w:rsidR="00525BF4" w:rsidRPr="00F90EAE" w:rsidRDefault="00525BF4" w:rsidP="00F90EAE">
      <w:pPr>
        <w:jc w:val="both"/>
        <w:rPr>
          <w:color w:val="000000" w:themeColor="text1"/>
          <w:sz w:val="16"/>
          <w:szCs w:val="16"/>
        </w:rPr>
      </w:pPr>
      <w:r w:rsidRPr="00F90EAE">
        <w:rPr>
          <w:color w:val="000000" w:themeColor="text1"/>
          <w:sz w:val="16"/>
          <w:szCs w:val="16"/>
        </w:rPr>
        <w:t>Налёты нашей авиации на Пиллау, Хель, Сомбатель и Моравска Острава</w:t>
      </w:r>
    </w:p>
    <w:p w14:paraId="45494185" w14:textId="77777777" w:rsidR="00525BF4" w:rsidRPr="00F90EAE" w:rsidRDefault="00525BF4" w:rsidP="00F90EAE">
      <w:pPr>
        <w:jc w:val="both"/>
        <w:rPr>
          <w:color w:val="000000" w:themeColor="text1"/>
          <w:sz w:val="16"/>
          <w:szCs w:val="16"/>
        </w:rPr>
      </w:pPr>
      <w:r w:rsidRPr="00F90EAE">
        <w:rPr>
          <w:color w:val="000000" w:themeColor="text1"/>
          <w:sz w:val="16"/>
          <w:szCs w:val="16"/>
        </w:rPr>
        <w:t>В ночь на 28 марта наши тяжёлые бомбардировщики нанесли удары по военным объектам и судам противника в портах Пиллау и Хель и по железнодорожным узлам Сомбатель (в Венгрии) и Моравска Острава (в Чехословакии).</w:t>
      </w:r>
    </w:p>
    <w:p w14:paraId="26636E86" w14:textId="77777777" w:rsidR="00525BF4" w:rsidRPr="00F90EAE" w:rsidRDefault="00525BF4" w:rsidP="00F90EAE">
      <w:pPr>
        <w:jc w:val="both"/>
        <w:rPr>
          <w:color w:val="000000" w:themeColor="text1"/>
          <w:sz w:val="16"/>
          <w:szCs w:val="16"/>
        </w:rPr>
      </w:pPr>
      <w:r w:rsidRPr="00F90EAE">
        <w:rPr>
          <w:color w:val="000000" w:themeColor="text1"/>
          <w:sz w:val="16"/>
          <w:szCs w:val="16"/>
        </w:rPr>
        <w:t>В результате бомбардировки в портах Пиллау и Хель возникли большие пожары, сопровождавшиеся сильными взрывами. Отмечены прямые попадания бомб в два транспорта противника.</w:t>
      </w:r>
    </w:p>
    <w:p w14:paraId="4F93D109" w14:textId="77777777" w:rsidR="00525BF4" w:rsidRPr="00F90EAE" w:rsidRDefault="00525BF4" w:rsidP="00F90EAE">
      <w:pPr>
        <w:jc w:val="both"/>
        <w:rPr>
          <w:color w:val="000000" w:themeColor="text1"/>
          <w:sz w:val="16"/>
          <w:szCs w:val="16"/>
        </w:rPr>
      </w:pPr>
      <w:r w:rsidRPr="00F90EAE">
        <w:rPr>
          <w:color w:val="000000" w:themeColor="text1"/>
          <w:sz w:val="16"/>
          <w:szCs w:val="16"/>
        </w:rPr>
        <w:t>На железнодорожных узлах Сомбатель и Моравска Острава бомбардировкой вызвано много пожаров: горели воинские эшелоны немцев.</w:t>
      </w:r>
    </w:p>
    <w:p w14:paraId="74C7359C" w14:textId="77777777" w:rsidR="00525BF4" w:rsidRPr="00F90EAE" w:rsidRDefault="00525BF4"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w:t>
      </w:r>
    </w:p>
    <w:p w14:paraId="19609EBB" w14:textId="77777777" w:rsidR="00525BF4" w:rsidRPr="00F90EAE" w:rsidRDefault="00525BF4" w:rsidP="00F90EAE">
      <w:pPr>
        <w:jc w:val="both"/>
        <w:rPr>
          <w:color w:val="000000" w:themeColor="text1"/>
          <w:sz w:val="16"/>
          <w:szCs w:val="16"/>
        </w:rPr>
      </w:pPr>
      <w:r w:rsidRPr="00F90EAE">
        <w:rPr>
          <w:color w:val="000000" w:themeColor="text1"/>
          <w:sz w:val="16"/>
          <w:szCs w:val="16"/>
        </w:rPr>
        <w:t>26 марта авиация Краснознаменного Балтийского Флота продолжала наносить бомбоштурмовые удары по немецким транспортам в Балтийском море. В результате этих ударов в юго-восточной части</w:t>
      </w:r>
    </w:p>
    <w:p w14:paraId="2AB6258E" w14:textId="77777777" w:rsidR="00525BF4" w:rsidRPr="00F90EAE" w:rsidRDefault="00525BF4" w:rsidP="00F90EAE">
      <w:pPr>
        <w:jc w:val="both"/>
        <w:rPr>
          <w:color w:val="000000" w:themeColor="text1"/>
          <w:sz w:val="16"/>
          <w:szCs w:val="16"/>
        </w:rPr>
      </w:pPr>
      <w:r w:rsidRPr="00F90EAE">
        <w:rPr>
          <w:color w:val="000000" w:themeColor="text1"/>
          <w:sz w:val="16"/>
          <w:szCs w:val="16"/>
        </w:rPr>
        <w:t>Балтийского моря севернее Гданьска потоплено: пять транспортов и один танкер общим водоизмещением в 31.000 тонн, два сторожевых корабля и один тральщик противника.</w:t>
      </w:r>
    </w:p>
    <w:p w14:paraId="28CB8637" w14:textId="77777777" w:rsidR="00525BF4" w:rsidRPr="00F90EAE" w:rsidRDefault="00525BF4" w:rsidP="00F90EAE">
      <w:pPr>
        <w:jc w:val="both"/>
        <w:rPr>
          <w:color w:val="000000" w:themeColor="text1"/>
          <w:sz w:val="16"/>
          <w:szCs w:val="16"/>
        </w:rPr>
      </w:pPr>
      <w:r w:rsidRPr="00F90EAE">
        <w:rPr>
          <w:color w:val="000000" w:themeColor="text1"/>
          <w:sz w:val="16"/>
          <w:szCs w:val="16"/>
        </w:rPr>
        <w:t>Юго-западнее Кенигсберга войска 3-го Белорусского фронта добивали остатки разгромленных частей противника. Немцы, стремясь задержать продвижение советских войск, взорвали дамбу на восточном берегу мыса Кальхольцер-Хакен. Водой, хлынувшей из залива Фриш-Гаф, затоплена низменность. Действуя в трудных условиях местности, наши войска заняли несколько укреплённых высот. По неполным данным, за день уничтожено до 3 тысяч гитлеровцев. Немецкие солдаты и офицеры группами и в одиночку пытаются на баржах, плотах, лодках, брёвнах и бочках переправиться черев залив на косу Фриш Нерунг. Наши артиллеристы и лётчики потопили 24 баржи, а также много лодок и плотов с гитлеровцами.</w:t>
      </w:r>
    </w:p>
    <w:p w14:paraId="22E8A65A"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Советские части, ворвавшиеся вчера в Гдыню, в результате ожесточённых боёв очистили южные районы города от немецких войск. Всю ночь продолжались уличные бои. Наши пехотинцы, действуя совместно с танкистами и артиллеристами, подавили многочисленные вражеские узлы сопротивления и вышли к городскому району Штейнберг. Этот район прикрывали несколько рядов траншей, проволочные и минные заграждения, а также железобетонные доты, в которых были установлены орудия и пулемёты. Стремительной атакой с юга и запада наши бойцы заняли укреплённый район. Продолжая продвигаться на север, советские войска сегодня штурмом овладели городом Гдыня — важной военно-морской базой и крупным портом на Балтийском море. В боях за Гдыню наши войска нанесли противнику тяжелые потери.</w:t>
      </w:r>
    </w:p>
    <w:p w14:paraId="52429147" w14:textId="77777777" w:rsidR="00525BF4" w:rsidRPr="00F90EAE" w:rsidRDefault="00525BF4" w:rsidP="00F90EAE">
      <w:pPr>
        <w:jc w:val="both"/>
        <w:rPr>
          <w:color w:val="000000" w:themeColor="text1"/>
          <w:sz w:val="16"/>
          <w:szCs w:val="16"/>
        </w:rPr>
      </w:pPr>
      <w:r w:rsidRPr="00F90EAE">
        <w:rPr>
          <w:color w:val="000000" w:themeColor="text1"/>
          <w:sz w:val="16"/>
          <w:szCs w:val="16"/>
        </w:rPr>
        <w:t xml:space="preserve">Войска фронта, наступающие на Гданьск (Данциг), овладев пригородами, ворвались в центральную часть города. Немцы, используя укреплённые здания и бетонированные огневые точки, оказывают упорное сопротивление. Советские штурмовые отряды овладели западной частью Гданьска и на ряде участков вышли к реке Мёртвая Висла. Отдельные кварталы были очищены в результате рукопашных схваток и гранатного боя. Южнее пригорода Лауенталь наши войска прижали к </w:t>
      </w:r>
      <w:r w:rsidRPr="00F90EAE">
        <w:rPr>
          <w:color w:val="000000" w:themeColor="text1"/>
          <w:sz w:val="16"/>
          <w:szCs w:val="16"/>
        </w:rPr>
        <w:lastRenderedPageBreak/>
        <w:t>реке большую группу противника. Немцы прекратили сопротивление и сдались в плен. Артиллерийским огнем потоплены одна подводная лодка, транспорт, три самоходные баржи и другие суда противника. На одном из аэродромов уничтожено 34 немецких самолёта. Захвачено у немцев 90 орудий, 2 бронепоезда, 26 паровозов и большое количество железнодорожных эшелонов с военным имуществом.</w:t>
      </w:r>
    </w:p>
    <w:p w14:paraId="5ECC2EAD"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Украинского фронта развивали наступление вдоль южного берега Дуная. Советские части, овладев опорным пунктом Надьигманд, стремительным броском вышли к Дунаю и перерезами железную дорогу Комаром — Дьер. Группа немецких войск, расположенная в районе Комарома, была прижата к реке и в значительной своей части ликвидирована. Продолжая наступление на запад, наши войска продвинулись вперёд на 20 километров и сегодня овладели городом Дьер. Этот город является вторым после Будапешта промышленным центром Венгрии. В нём имеются крупные авиационные, орудийные, машиностроительные и другие заводы. В боях за Дьер захвачены большие трофеи и много пленных.</w:t>
      </w:r>
    </w:p>
    <w:p w14:paraId="5A27938A"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Украинского фронта продолжали успешное наступление. Ожесточенные бои произошли за переправы через реку Раба. По западному берегу реки проходил оборонительный рубеж немцев, прикрывавший подступы к австрийской границе. Советские части переправились через Рабу в районе населённых пунктов Раба-Сентмихаль и Морицхида. Противник предпринимал огромные усилия, чтобы задержать наши войска. Он подтянул резервы и бросил в контратаки крупные силы пехоты и танков. Советчкие части опрокинули немцев и, быстро продвинувшись вперёд, заняли город Чорно — важный узел железных дорог. Город Чорно расположен в 15 километрах от австро-венгерской границы. Другие наши части вышли к реке Раба в районе города Шарвар. Под прикрытием артиллерийского огня советские пехотинцы с хода переправились на западный берег реки и ворвались на улицы порода. В то же время подвижные соединения совершили обходный манёвр и перерезали дороги, идущие из Шарвара на северо-запад и запад. Сломив сопротивление немецкого гарнизона, наши войска овладели городом Шарвар. В городе захвачены бронепоезд, 25 паровозов, много вагонов и склады с военным имуществом. За день боёв уничтожено и подбито 40 танков и 69 бронетранспортёров противника.» (15082).</w:t>
      </w:r>
    </w:p>
    <w:p w14:paraId="3B53F62A" w14:textId="77777777" w:rsidR="00525BF4" w:rsidRPr="00F90EAE" w:rsidRDefault="00525BF4" w:rsidP="00F90EAE">
      <w:pPr>
        <w:jc w:val="both"/>
        <w:rPr>
          <w:color w:val="000000" w:themeColor="text1"/>
          <w:sz w:val="16"/>
          <w:szCs w:val="16"/>
        </w:rPr>
      </w:pPr>
    </w:p>
    <w:p w14:paraId="1F178BB7" w14:textId="77777777" w:rsidR="00BA025E" w:rsidRPr="00F90EAE" w:rsidRDefault="00BA025E" w:rsidP="00F90EAE">
      <w:pPr>
        <w:jc w:val="both"/>
        <w:rPr>
          <w:color w:val="000000" w:themeColor="text1"/>
          <w:sz w:val="16"/>
          <w:szCs w:val="16"/>
        </w:rPr>
      </w:pPr>
      <w:r w:rsidRPr="00F90EAE">
        <w:rPr>
          <w:color w:val="000000" w:themeColor="text1"/>
          <w:sz w:val="16"/>
          <w:szCs w:val="16"/>
        </w:rPr>
        <w:t>28 марта 1945 г. в составе 108-го Гвар дейского штурмового авиаполка штурмовики Ил-10 появились на фронте, к 1 мая действующей армии было передано 630 таких самолетов. В 1944—1945 гг. выпустили 2371 самолет Ил-10 и 227 самолетов УИл-10 (19727)</w:t>
      </w:r>
    </w:p>
    <w:p w14:paraId="6557B8E1" w14:textId="77777777" w:rsidR="00BA025E" w:rsidRPr="00F90EAE" w:rsidRDefault="00BA025E" w:rsidP="00F90EAE">
      <w:pPr>
        <w:jc w:val="both"/>
        <w:rPr>
          <w:color w:val="000000" w:themeColor="text1"/>
          <w:sz w:val="16"/>
          <w:szCs w:val="16"/>
        </w:rPr>
      </w:pPr>
    </w:p>
    <w:p w14:paraId="715C81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28 марта 1945 г. 108-й гвардейский штурмовой авиа полк смог собраться в полном составе на аэродроме Шпроттау в Силезии (7489).</w:t>
      </w:r>
    </w:p>
    <w:p w14:paraId="04F15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на фронте было затишье, 108-й гвардейский усиленно готовил молодое пополнение, отрабатывая на ближайшем полигоне бомбоштурмовые удары по наземным целям (7489).</w:t>
      </w:r>
    </w:p>
    <w:p w14:paraId="3A26249E" w14:textId="77777777" w:rsidR="00665165" w:rsidRPr="00F90EAE" w:rsidRDefault="00665165" w:rsidP="00F90EAE">
      <w:pPr>
        <w:autoSpaceDE w:val="0"/>
        <w:autoSpaceDN w:val="0"/>
        <w:adjustRightInd w:val="0"/>
        <w:jc w:val="both"/>
        <w:rPr>
          <w:color w:val="000000" w:themeColor="text1"/>
          <w:sz w:val="16"/>
          <w:szCs w:val="16"/>
        </w:rPr>
      </w:pPr>
    </w:p>
    <w:p w14:paraId="64579D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Гитлер приказал начальнику германского Генштаба Гудериану взять 6-недельный отпуск по болезни (4962) и вместо генерал-полковника Гудериана начальником генерального штаба сухопутных сил становится генерал Кребс (4963 ).</w:t>
      </w:r>
    </w:p>
    <w:p w14:paraId="1038E15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129A3D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советские войска взяли Гдыню (Польша) (4962).</w:t>
      </w:r>
    </w:p>
    <w:p w14:paraId="657E614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C664D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2БФ (К.К.Рокосовский) овладел портом Гдыня (3398,127).</w:t>
      </w:r>
    </w:p>
    <w:p w14:paraId="3BB966D3" w14:textId="77777777" w:rsidR="00665165" w:rsidRPr="00F90EAE" w:rsidRDefault="00665165" w:rsidP="00F90EAE">
      <w:pPr>
        <w:autoSpaceDE w:val="0"/>
        <w:autoSpaceDN w:val="0"/>
        <w:adjustRightInd w:val="0"/>
        <w:jc w:val="both"/>
        <w:rPr>
          <w:color w:val="000000" w:themeColor="text1"/>
          <w:sz w:val="16"/>
          <w:szCs w:val="16"/>
        </w:rPr>
      </w:pPr>
    </w:p>
    <w:p w14:paraId="52AA6F4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F7B4989" w14:textId="77777777" w:rsidR="00665165" w:rsidRPr="00F90EAE" w:rsidRDefault="00665165" w:rsidP="00F90EAE">
      <w:pPr>
        <w:autoSpaceDE w:val="0"/>
        <w:autoSpaceDN w:val="0"/>
        <w:adjustRightInd w:val="0"/>
        <w:jc w:val="both"/>
        <w:rPr>
          <w:iCs/>
          <w:color w:val="000000" w:themeColor="text1"/>
          <w:sz w:val="16"/>
          <w:szCs w:val="16"/>
        </w:rPr>
      </w:pPr>
    </w:p>
    <w:p w14:paraId="67C0F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года была подготовлена Информационная записка оргинструкторского отдела Молотовского обкома партии</w:t>
      </w:r>
    </w:p>
    <w:p w14:paraId="70052D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тресте «Андреевуголь» г. Губаха (Молотовская область) в 1943 году было зафиксировано 1558 дезертиров, в 1944 году – 583 дезертира. По заочным приговорам Военного трибунала за первую половину 1944 года в г. Березники (Молотовская область) наказание было вынесено 12 170 дезертирам. Из них было задержано 1590 человек. За вторую половину 1944 года приговоры были вынесены в отношении 7448 дезертиров, из них было задержано 6018 человек. </w:t>
      </w:r>
    </w:p>
    <w:p w14:paraId="11A6E1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в Молотовской области в 1943 году дезертировало с предприятий 28300 человек, в 1944 году – 26800 человек.</w:t>
      </w:r>
    </w:p>
    <w:p w14:paraId="4A1464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№557 в 1943 году дезертировало 159 человек, в 1944 году (за 11 месяцев) – 362 человека.</w:t>
      </w:r>
    </w:p>
    <w:p w14:paraId="0B67E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 Соликамском калийном комбинате – 205 и 316 соответственно. С Чусовского металлургического завода в 1944 году дезертировало 1120 человек…. </w:t>
      </w:r>
    </w:p>
    <w:p w14:paraId="2CA05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укрывательство дезертиров привлечено к уголовной ответственности 13 человек, в том числе председатель колхоза им. Ворошилова, заведующий известковым карьером, директор Хохловского карьероуправления и др., которые сознательно принимали на работу дезертиров и скрывали их от органов милиции…».</w:t>
      </w:r>
    </w:p>
    <w:p w14:paraId="1F1247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РГАСПИ.Ф. 17. Оп. 88. Д. 415. Л. 2-12 (11595).</w:t>
      </w:r>
    </w:p>
    <w:p w14:paraId="1B53A3B8" w14:textId="77777777" w:rsidR="00665165" w:rsidRPr="00F90EAE" w:rsidRDefault="00665165" w:rsidP="00F90EAE">
      <w:pPr>
        <w:autoSpaceDE w:val="0"/>
        <w:autoSpaceDN w:val="0"/>
        <w:adjustRightInd w:val="0"/>
        <w:jc w:val="both"/>
        <w:rPr>
          <w:color w:val="000000" w:themeColor="text1"/>
          <w:sz w:val="16"/>
          <w:szCs w:val="16"/>
        </w:rPr>
      </w:pPr>
    </w:p>
    <w:p w14:paraId="72BC795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3882B51" w14:textId="77777777" w:rsidR="00665165" w:rsidRPr="00F90EAE" w:rsidRDefault="00665165" w:rsidP="00F90EAE">
      <w:pPr>
        <w:autoSpaceDE w:val="0"/>
        <w:autoSpaceDN w:val="0"/>
        <w:adjustRightInd w:val="0"/>
        <w:jc w:val="both"/>
        <w:rPr>
          <w:iCs/>
          <w:color w:val="000000" w:themeColor="text1"/>
          <w:sz w:val="16"/>
          <w:szCs w:val="16"/>
        </w:rPr>
      </w:pPr>
    </w:p>
    <w:p w14:paraId="59F2902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предпринята последняя атака ФАУ-2 на Англию (4962).</w:t>
      </w:r>
    </w:p>
    <w:p w14:paraId="4990035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4DC6FFA" w14:textId="77777777" w:rsidR="00525BF4" w:rsidRPr="00F90EAE" w:rsidRDefault="00525BF4" w:rsidP="00F90EAE">
      <w:pPr>
        <w:jc w:val="both"/>
        <w:rPr>
          <w:color w:val="000000" w:themeColor="text1"/>
          <w:sz w:val="16"/>
          <w:szCs w:val="16"/>
        </w:rPr>
      </w:pPr>
      <w:r w:rsidRPr="00F90EAE">
        <w:rPr>
          <w:bCs/>
          <w:color w:val="000000" w:themeColor="text1"/>
          <w:sz w:val="16"/>
          <w:szCs w:val="16"/>
        </w:rPr>
        <w:t>28 марта</w:t>
      </w:r>
      <w:r w:rsidRPr="00F90EAE">
        <w:rPr>
          <w:color w:val="000000" w:themeColor="text1"/>
          <w:sz w:val="16"/>
          <w:szCs w:val="16"/>
        </w:rPr>
        <w:t xml:space="preserve"> в 1945 году на территорию Великобритании упала последняя ракета "Фау-2", выпущенная немцами с позиций в континентальной части Европы (15082).</w:t>
      </w:r>
    </w:p>
    <w:p w14:paraId="07C0A815" w14:textId="77777777" w:rsidR="00525BF4" w:rsidRPr="00F90EAE" w:rsidRDefault="00525BF4" w:rsidP="00F90EAE">
      <w:pPr>
        <w:jc w:val="both"/>
        <w:rPr>
          <w:color w:val="000000" w:themeColor="text1"/>
          <w:sz w:val="16"/>
          <w:szCs w:val="16"/>
        </w:rPr>
      </w:pPr>
    </w:p>
    <w:p w14:paraId="04FCF471" w14:textId="77777777" w:rsidR="00525BF4" w:rsidRPr="00F90EAE" w:rsidRDefault="00525BF4" w:rsidP="00F90EAE">
      <w:pPr>
        <w:jc w:val="both"/>
        <w:rPr>
          <w:color w:val="000000" w:themeColor="text1"/>
          <w:sz w:val="16"/>
          <w:szCs w:val="16"/>
        </w:rPr>
      </w:pPr>
      <w:r w:rsidRPr="00F90EAE">
        <w:rPr>
          <w:bCs/>
          <w:color w:val="000000" w:themeColor="text1"/>
          <w:sz w:val="16"/>
          <w:szCs w:val="16"/>
        </w:rPr>
        <w:t>28 марта</w:t>
      </w:r>
      <w:r w:rsidRPr="00F90EAE">
        <w:rPr>
          <w:color w:val="000000" w:themeColor="text1"/>
          <w:sz w:val="16"/>
          <w:szCs w:val="16"/>
        </w:rPr>
        <w:t xml:space="preserve"> в 1945 году в Германии вместо генерал-полковника Гудериана начальником генерального штаба сухопутных сил становится генерал Кребс (15082).</w:t>
      </w:r>
    </w:p>
    <w:p w14:paraId="773A391C" w14:textId="77777777" w:rsidR="00525BF4" w:rsidRPr="00F90EAE" w:rsidRDefault="00525BF4" w:rsidP="00F90EAE">
      <w:pPr>
        <w:jc w:val="both"/>
        <w:rPr>
          <w:color w:val="000000" w:themeColor="text1"/>
          <w:sz w:val="16"/>
          <w:szCs w:val="16"/>
        </w:rPr>
      </w:pPr>
    </w:p>
    <w:p w14:paraId="0FADF1DE" w14:textId="77777777" w:rsidR="00525BF4" w:rsidRPr="00F90EAE" w:rsidRDefault="00525BF4" w:rsidP="00F90EAE">
      <w:pPr>
        <w:jc w:val="both"/>
        <w:rPr>
          <w:color w:val="000000" w:themeColor="text1"/>
          <w:sz w:val="16"/>
          <w:szCs w:val="16"/>
        </w:rPr>
      </w:pPr>
      <w:r w:rsidRPr="00F90EAE">
        <w:rPr>
          <w:bCs/>
          <w:color w:val="000000" w:themeColor="text1"/>
          <w:sz w:val="16"/>
          <w:szCs w:val="16"/>
        </w:rPr>
        <w:t>28 марта</w:t>
      </w:r>
      <w:r w:rsidRPr="00F90EAE">
        <w:rPr>
          <w:color w:val="000000" w:themeColor="text1"/>
          <w:sz w:val="16"/>
          <w:szCs w:val="16"/>
        </w:rPr>
        <w:t xml:space="preserve"> в 1945 году прогерманское правительство Королевства Венгрии во главе с Ф.Салаши прекратило существование (15082).</w:t>
      </w:r>
    </w:p>
    <w:p w14:paraId="1F248D85" w14:textId="77777777" w:rsidR="00525BF4" w:rsidRPr="00F90EAE" w:rsidRDefault="00525BF4" w:rsidP="00F90EAE">
      <w:pPr>
        <w:jc w:val="both"/>
        <w:rPr>
          <w:color w:val="000000" w:themeColor="text1"/>
          <w:sz w:val="16"/>
          <w:szCs w:val="16"/>
        </w:rPr>
      </w:pPr>
    </w:p>
    <w:p w14:paraId="5855DFD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28th, 1945: Argentina declares war against Germany. The US Third Army captures Limburg on the Lahn. In the East, the 1st Belorussian Front captures Gotenhafen north of Danzig. Hitler replaces General Guderian with General Krebs as chief of the OKH (3819).</w:t>
      </w:r>
    </w:p>
    <w:p w14:paraId="717806C0" w14:textId="77777777" w:rsidR="00665165" w:rsidRPr="00F90EAE" w:rsidRDefault="00665165" w:rsidP="00F90EAE">
      <w:pPr>
        <w:autoSpaceDE w:val="0"/>
        <w:autoSpaceDN w:val="0"/>
        <w:adjustRightInd w:val="0"/>
        <w:jc w:val="both"/>
        <w:rPr>
          <w:color w:val="000000" w:themeColor="text1"/>
          <w:sz w:val="16"/>
          <w:szCs w:val="16"/>
          <w:lang w:val="en-US"/>
        </w:rPr>
      </w:pPr>
    </w:p>
    <w:p w14:paraId="24A7EB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 1945 Аргентина объявила войну Германии. 3А США заняла Лимбург на Лане. 1БФ занял Готтенхаффен на север от Данцига. А.Г. заменил г Гудериана в качестве ВГК (3819).</w:t>
      </w:r>
    </w:p>
    <w:p w14:paraId="59131726" w14:textId="77777777" w:rsidR="00665165" w:rsidRPr="00F90EAE" w:rsidRDefault="00665165" w:rsidP="00F90EAE">
      <w:pPr>
        <w:autoSpaceDE w:val="0"/>
        <w:autoSpaceDN w:val="0"/>
        <w:adjustRightInd w:val="0"/>
        <w:jc w:val="both"/>
        <w:rPr>
          <w:color w:val="000000" w:themeColor="text1"/>
          <w:sz w:val="16"/>
          <w:szCs w:val="16"/>
        </w:rPr>
      </w:pPr>
    </w:p>
    <w:p w14:paraId="4C6BF9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марта 1945 солдаты прояпонской армии Бирмы восстали и казнили своих офицеров (4962).</w:t>
      </w:r>
    </w:p>
    <w:p w14:paraId="654219A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DFA06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51A06E8" w14:textId="77777777" w:rsidR="00665165" w:rsidRPr="00F90EAE" w:rsidRDefault="00665165" w:rsidP="00F90EAE">
      <w:pPr>
        <w:autoSpaceDE w:val="0"/>
        <w:autoSpaceDN w:val="0"/>
        <w:adjustRightInd w:val="0"/>
        <w:jc w:val="both"/>
        <w:rPr>
          <w:iCs/>
          <w:color w:val="000000" w:themeColor="text1"/>
          <w:sz w:val="16"/>
          <w:szCs w:val="16"/>
        </w:rPr>
      </w:pPr>
    </w:p>
    <w:p w14:paraId="7287CA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закончились гос. испытания Як-9УТ, которые проводились с 8 по марта 1945 (65,152).</w:t>
      </w:r>
    </w:p>
    <w:p w14:paraId="5E7235A6" w14:textId="77777777" w:rsidR="00665165" w:rsidRPr="00F90EAE" w:rsidRDefault="00665165" w:rsidP="00F90EAE">
      <w:pPr>
        <w:autoSpaceDE w:val="0"/>
        <w:autoSpaceDN w:val="0"/>
        <w:adjustRightInd w:val="0"/>
        <w:jc w:val="both"/>
        <w:rPr>
          <w:color w:val="000000" w:themeColor="text1"/>
          <w:sz w:val="16"/>
          <w:szCs w:val="16"/>
        </w:rPr>
      </w:pPr>
    </w:p>
    <w:p w14:paraId="5E81049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699BBD2" w14:textId="77777777" w:rsidR="00665165" w:rsidRPr="00F90EAE" w:rsidRDefault="00665165" w:rsidP="00F90EAE">
      <w:pPr>
        <w:autoSpaceDE w:val="0"/>
        <w:autoSpaceDN w:val="0"/>
        <w:adjustRightInd w:val="0"/>
        <w:jc w:val="both"/>
        <w:rPr>
          <w:iCs/>
          <w:color w:val="000000" w:themeColor="text1"/>
          <w:sz w:val="16"/>
          <w:szCs w:val="16"/>
        </w:rPr>
      </w:pPr>
    </w:p>
    <w:p w14:paraId="22C72C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 марта 1945 г. постанов</w:t>
      </w:r>
      <w:r w:rsidRPr="00F90EAE">
        <w:rPr>
          <w:color w:val="000000" w:themeColor="text1"/>
          <w:sz w:val="16"/>
          <w:szCs w:val="16"/>
        </w:rPr>
        <w:softHyphen/>
        <w:t>лением ГКО танк ИС-3 был принят на вооружение Красной Армии. Начиная с мая 1945 г., он серийно выпу</w:t>
      </w:r>
      <w:r w:rsidRPr="00F90EAE">
        <w:rPr>
          <w:color w:val="000000" w:themeColor="text1"/>
          <w:sz w:val="16"/>
          <w:szCs w:val="16"/>
        </w:rPr>
        <w:softHyphen/>
        <w:t>скался на ЧКЗ. До 1 сентября 1945 г. заводом было изготовлено 875 тан</w:t>
      </w:r>
      <w:r w:rsidRPr="00F90EAE">
        <w:rPr>
          <w:color w:val="000000" w:themeColor="text1"/>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4DF584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F73B66"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29 марта 1945 года, 703-й приняли на вооружение как ИС-3, что еще сильнее отдалило перспективу запуска Объекта 701 в серию (17209).</w:t>
      </w:r>
    </w:p>
    <w:p w14:paraId="4DAE9078" w14:textId="77777777" w:rsidR="00FA59CB" w:rsidRPr="00F90EAE" w:rsidRDefault="00FA59CB" w:rsidP="00F90EAE">
      <w:pPr>
        <w:pStyle w:val="ae"/>
        <w:shd w:val="clear" w:color="auto" w:fill="FFFFFF"/>
        <w:spacing w:before="0" w:after="0"/>
        <w:jc w:val="both"/>
        <w:rPr>
          <w:color w:val="000000" w:themeColor="text1"/>
          <w:sz w:val="16"/>
          <w:szCs w:val="16"/>
        </w:rPr>
      </w:pPr>
    </w:p>
    <w:p w14:paraId="3CE93252" w14:textId="77777777" w:rsidR="00D81AD4" w:rsidRPr="00F90EAE" w:rsidRDefault="00D81AD4" w:rsidP="00F90EAE">
      <w:pPr>
        <w:shd w:val="clear" w:color="auto" w:fill="FFFFFF"/>
        <w:jc w:val="both"/>
        <w:rPr>
          <w:color w:val="000000" w:themeColor="text1"/>
          <w:sz w:val="16"/>
          <w:szCs w:val="16"/>
        </w:rPr>
      </w:pPr>
      <w:r w:rsidRPr="00F90EAE">
        <w:rPr>
          <w:color w:val="000000" w:themeColor="text1"/>
          <w:sz w:val="16"/>
          <w:szCs w:val="16"/>
        </w:rPr>
        <w:t>29 марта 1945 года, 703-й приняли на вооружение как ИС-3, что ещё сильнее отдалило перспективу запуска Объекта 701 в серию (16735).</w:t>
      </w:r>
    </w:p>
    <w:p w14:paraId="593C4EC0" w14:textId="77777777" w:rsidR="00D81AD4" w:rsidRPr="00F90EAE" w:rsidRDefault="00D81AD4" w:rsidP="00F90EAE">
      <w:pPr>
        <w:jc w:val="both"/>
        <w:rPr>
          <w:rStyle w:val="107"/>
          <w:rFonts w:eastAsiaTheme="minorHAnsi"/>
          <w:color w:val="000000" w:themeColor="text1"/>
          <w:sz w:val="16"/>
          <w:szCs w:val="16"/>
        </w:rPr>
      </w:pPr>
    </w:p>
    <w:p w14:paraId="79A60938" w14:textId="77777777" w:rsidR="00BA025E" w:rsidRPr="00F90EAE" w:rsidRDefault="00BA025E" w:rsidP="00F90EAE">
      <w:pPr>
        <w:pStyle w:val="4f"/>
        <w:shd w:val="clear" w:color="auto" w:fill="FFFFFF"/>
        <w:spacing w:before="0" w:beforeAutospacing="0" w:after="0" w:afterAutospacing="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 xml:space="preserve">29 марта 1945 исполняется 75 лет с дня, когда на вооружение Красной армии был принят тяжёлый танк ИС-3, ставший результатом программы глубокой модернизации ИС-2, запущенной ещё в апреле 1944 года (19731). </w:t>
      </w:r>
    </w:p>
    <w:p w14:paraId="71BC91A4" w14:textId="77777777" w:rsidR="00BA025E" w:rsidRPr="00F90EAE" w:rsidRDefault="00BA025E" w:rsidP="00F90EAE">
      <w:pPr>
        <w:pStyle w:val="4f"/>
        <w:shd w:val="clear" w:color="auto" w:fill="FFFFFF"/>
        <w:spacing w:before="0" w:beforeAutospacing="0" w:after="0" w:afterAutospacing="0"/>
        <w:jc w:val="both"/>
        <w:textAlignment w:val="baseline"/>
        <w:rPr>
          <w:i/>
          <w:iCs/>
          <w:color w:val="000000" w:themeColor="text1"/>
          <w:sz w:val="16"/>
          <w:szCs w:val="16"/>
          <w:bdr w:val="none" w:sz="0" w:space="0" w:color="auto" w:frame="1"/>
        </w:rPr>
      </w:pPr>
    </w:p>
    <w:p w14:paraId="6A2C3A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 марта 1945 закончились дополнительные испытания объекта 701 № 5 пробегом (1073 км), которые проходили с 28 января, а с 30 марта по 9 апреля — испытания в тяжелых дорожных условиях. По ре</w:t>
      </w:r>
      <w:r w:rsidRPr="00F90EAE">
        <w:rPr>
          <w:color w:val="000000" w:themeColor="text1"/>
          <w:sz w:val="16"/>
          <w:szCs w:val="16"/>
        </w:rPr>
        <w:softHyphen/>
        <w:t>шению комиссии танк дополнительные испытания выдер</w:t>
      </w:r>
      <w:r w:rsidRPr="00F90EAE">
        <w:rPr>
          <w:color w:val="000000" w:themeColor="text1"/>
          <w:sz w:val="16"/>
          <w:szCs w:val="16"/>
        </w:rPr>
        <w:softHyphen/>
        <w:t xml:space="preserve">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w:t>
      </w:r>
      <w:r w:rsidRPr="00F90EAE">
        <w:rPr>
          <w:color w:val="000000" w:themeColor="text1"/>
          <w:sz w:val="16"/>
          <w:szCs w:val="16"/>
        </w:rPr>
        <w:lastRenderedPageBreak/>
        <w:t>«Объект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3DD814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A0DA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Распоряжение ГКО № 7938. О поставках импортного морского трехжильного телеграфного кабеля ГУС КА и прокладке кабеля через оз. Байкал до 1 июля 1945 г. РГАНИР, Фонд ГКО, д. 383, лл. 85 (11012).</w:t>
      </w:r>
    </w:p>
    <w:p w14:paraId="26EC192D" w14:textId="77777777" w:rsidR="00665165" w:rsidRPr="00F90EAE" w:rsidRDefault="00665165" w:rsidP="00F90EAE">
      <w:pPr>
        <w:autoSpaceDE w:val="0"/>
        <w:autoSpaceDN w:val="0"/>
        <w:adjustRightInd w:val="0"/>
        <w:jc w:val="both"/>
        <w:rPr>
          <w:color w:val="000000" w:themeColor="text1"/>
          <w:sz w:val="16"/>
          <w:szCs w:val="16"/>
        </w:rPr>
      </w:pPr>
    </w:p>
    <w:p w14:paraId="4A8EACA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7939 [О выделении автомашин подразделениям НКВД и НКГБ, действующим на фронтах.] (7318, 86).</w:t>
      </w:r>
    </w:p>
    <w:p w14:paraId="5E82BD0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9A1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7940 Об организации авторемонтного завода в г. Домтау (Восточная Пруссия) для ремонта трофейных грузовых автомобилей. РГАНИР, Фонд ГКО, д. 383, лл. 87-88 (11012).</w:t>
      </w:r>
    </w:p>
    <w:p w14:paraId="29BDEC1F" w14:textId="77777777" w:rsidR="00665165" w:rsidRPr="00F90EAE" w:rsidRDefault="00665165" w:rsidP="00F90EAE">
      <w:pPr>
        <w:autoSpaceDE w:val="0"/>
        <w:autoSpaceDN w:val="0"/>
        <w:adjustRightInd w:val="0"/>
        <w:jc w:val="both"/>
        <w:rPr>
          <w:color w:val="000000" w:themeColor="text1"/>
          <w:sz w:val="16"/>
          <w:szCs w:val="16"/>
        </w:rPr>
      </w:pPr>
    </w:p>
    <w:p w14:paraId="76181F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7941 Об оплате труда и снабжении продовольственными товарами работников шахт Буланашского угольного месторождения в Свердловской области. РГАНИР, Фонд ГКО, д. 383, лл. 89-91 (11012).</w:t>
      </w:r>
    </w:p>
    <w:p w14:paraId="1675B61A" w14:textId="77777777" w:rsidR="00665165" w:rsidRPr="00F90EAE" w:rsidRDefault="00665165" w:rsidP="00F90EAE">
      <w:pPr>
        <w:autoSpaceDE w:val="0"/>
        <w:autoSpaceDN w:val="0"/>
        <w:adjustRightInd w:val="0"/>
        <w:jc w:val="both"/>
        <w:rPr>
          <w:color w:val="000000" w:themeColor="text1"/>
          <w:sz w:val="16"/>
          <w:szCs w:val="16"/>
        </w:rPr>
      </w:pPr>
    </w:p>
    <w:p w14:paraId="3CD7B0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7942 Об усилении правительственной ВЧ связи НКВД СССР с Дальним Востоком. РГАНИР, Фонд ГКО, д. 383, лл. 92-97, 98-108 (11012).</w:t>
      </w:r>
    </w:p>
    <w:p w14:paraId="39AB57C1" w14:textId="77777777" w:rsidR="00665165" w:rsidRPr="00F90EAE" w:rsidRDefault="00665165" w:rsidP="00F90EAE">
      <w:pPr>
        <w:autoSpaceDE w:val="0"/>
        <w:autoSpaceDN w:val="0"/>
        <w:adjustRightInd w:val="0"/>
        <w:jc w:val="both"/>
        <w:rPr>
          <w:color w:val="000000" w:themeColor="text1"/>
          <w:sz w:val="16"/>
          <w:szCs w:val="16"/>
        </w:rPr>
      </w:pPr>
    </w:p>
    <w:p w14:paraId="7D5250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7943 Об усилении вывоза угля из Силезского угольного бассейна. РГАНИР, Фонд ГКО, д. 383, лл. 109-112 (11012).</w:t>
      </w:r>
    </w:p>
    <w:p w14:paraId="59F71DFD" w14:textId="77777777" w:rsidR="00665165" w:rsidRPr="00F90EAE" w:rsidRDefault="00665165" w:rsidP="00F90EAE">
      <w:pPr>
        <w:autoSpaceDE w:val="0"/>
        <w:autoSpaceDN w:val="0"/>
        <w:adjustRightInd w:val="0"/>
        <w:jc w:val="both"/>
        <w:rPr>
          <w:color w:val="000000" w:themeColor="text1"/>
          <w:sz w:val="16"/>
          <w:szCs w:val="16"/>
        </w:rPr>
      </w:pPr>
    </w:p>
    <w:p w14:paraId="78464B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7944 О выделении во II и III кварталах 1945 г. Грузинской ССР медного купороса и ядохимикатов. РГАНИР, Фонд ГКО, д. 383, лл. 113-115 (11012).</w:t>
      </w:r>
    </w:p>
    <w:p w14:paraId="3BD8B4F9" w14:textId="77777777" w:rsidR="00665165" w:rsidRPr="00F90EAE" w:rsidRDefault="00665165" w:rsidP="00F90EAE">
      <w:pPr>
        <w:autoSpaceDE w:val="0"/>
        <w:autoSpaceDN w:val="0"/>
        <w:adjustRightInd w:val="0"/>
        <w:jc w:val="both"/>
        <w:rPr>
          <w:color w:val="000000" w:themeColor="text1"/>
          <w:sz w:val="16"/>
          <w:szCs w:val="16"/>
        </w:rPr>
      </w:pPr>
    </w:p>
    <w:p w14:paraId="03A399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7945 Об оказании помощи строительству Храмской гидроэлектростанции в Грузинской ССР. РГАНИР, Фонд ГКО, д. 383, лл. 116-124, 125-139 (11012).</w:t>
      </w:r>
    </w:p>
    <w:p w14:paraId="3634B8A9" w14:textId="77777777" w:rsidR="00665165" w:rsidRPr="00F90EAE" w:rsidRDefault="00665165" w:rsidP="00F90EAE">
      <w:pPr>
        <w:autoSpaceDE w:val="0"/>
        <w:autoSpaceDN w:val="0"/>
        <w:adjustRightInd w:val="0"/>
        <w:jc w:val="both"/>
        <w:rPr>
          <w:color w:val="000000" w:themeColor="text1"/>
          <w:sz w:val="16"/>
          <w:szCs w:val="16"/>
        </w:rPr>
      </w:pPr>
    </w:p>
    <w:p w14:paraId="1F9CF2C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марта 1945 вышло Распоряжение ГКО № 7947 [Об отсрочке от призыва на 1945 г. рабочим и ИТР строительных организаций НКлеса СССР, занятым восстановлением Онежского механического завода.] (7318, 149).</w:t>
      </w:r>
    </w:p>
    <w:p w14:paraId="631B804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11533E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7949 О мерах неотложной помощи слюдяной промышленности Наркомстройматериалов СССР в районах Восточной Сибири. (7318, 151-155,156-158).</w:t>
      </w:r>
    </w:p>
    <w:p w14:paraId="157423E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391C3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7950 О модернизации тяжелого танка ИС-2. РГАНИР, Фонд ГКО, д. 383, лл. 159-162 (11012).</w:t>
      </w:r>
    </w:p>
    <w:p w14:paraId="2A159292" w14:textId="77777777" w:rsidR="00665165" w:rsidRPr="00F90EAE" w:rsidRDefault="00665165" w:rsidP="00F90EAE">
      <w:pPr>
        <w:autoSpaceDE w:val="0"/>
        <w:autoSpaceDN w:val="0"/>
        <w:adjustRightInd w:val="0"/>
        <w:jc w:val="both"/>
        <w:rPr>
          <w:color w:val="000000" w:themeColor="text1"/>
          <w:sz w:val="16"/>
          <w:szCs w:val="16"/>
        </w:rPr>
      </w:pPr>
    </w:p>
    <w:p w14:paraId="18A4A5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29-31 марта 1945 Балтийцы заложили на стапеле 3 МТ-2, тем самым выполнив план постройки судов, что стало возможно благодаря успешной подготовке производства к поточной постройке ТЩ. В различной стадии готовности находилось 14 ТЩ. Производился ремонт линкора, крейсеров, эсминцев "Грозящий" и "Сильный". Кроме того, была организована отливка корпусов 85-мм снарядов (10671). Завод им. А. А. Жданова заложил два и отремонтировал три ТЩ. В постройке находилось 16 ТЩ (до 25-го включительно). Заложен 1 БМО, строились 11 БМО (по 63-й включительно). Адмиралтейцы заложили 1 МБК и отремонтировали 1. На Петрозаводе заложены 8-й и 9-й ТЩ, производилась разметка металла для двух стотонников. Техническая готовность строившегося ТЩ по пр. 53-У составляла 48%; выполнение ремонта на эскадренных турбинных тральщиках "Владимир Полухин" - 60%, "Василий Громов" - 70%, ТЩ "Контр-адмирал Хорошкин" - 80%. На Усть-Ижорской верфи техническая готовность канонерской лодки "Пионер" - до 90%; строились три ТЩ (техническая готовность 48, 36 и 21%). Велись также работы по изготовлению 7 понтонов грузоподъемностью по 80 т. Катеростроители заложили 9 катеров типа КМ-4 (10671).</w:t>
      </w:r>
    </w:p>
    <w:p w14:paraId="7F5EF43E" w14:textId="77777777" w:rsidR="00665165" w:rsidRPr="00F90EAE" w:rsidRDefault="00665165" w:rsidP="00F90EAE">
      <w:pPr>
        <w:autoSpaceDE w:val="0"/>
        <w:autoSpaceDN w:val="0"/>
        <w:adjustRightInd w:val="0"/>
        <w:jc w:val="both"/>
        <w:rPr>
          <w:color w:val="000000" w:themeColor="text1"/>
          <w:sz w:val="16"/>
          <w:szCs w:val="16"/>
        </w:rPr>
      </w:pPr>
    </w:p>
    <w:p w14:paraId="78CCDCE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430618" w14:textId="77777777" w:rsidR="00665165" w:rsidRPr="00F90EAE" w:rsidRDefault="00665165" w:rsidP="00F90EAE">
      <w:pPr>
        <w:autoSpaceDE w:val="0"/>
        <w:autoSpaceDN w:val="0"/>
        <w:adjustRightInd w:val="0"/>
        <w:jc w:val="both"/>
        <w:rPr>
          <w:iCs/>
          <w:color w:val="000000" w:themeColor="text1"/>
          <w:sz w:val="16"/>
          <w:szCs w:val="16"/>
        </w:rPr>
      </w:pPr>
    </w:p>
    <w:p w14:paraId="344DBCE2" w14:textId="77777777" w:rsidR="00525BF4" w:rsidRPr="00F90EAE" w:rsidRDefault="00525BF4" w:rsidP="00F90EAE">
      <w:pPr>
        <w:jc w:val="both"/>
        <w:rPr>
          <w:color w:val="000000" w:themeColor="text1"/>
          <w:sz w:val="16"/>
          <w:szCs w:val="16"/>
        </w:rPr>
      </w:pPr>
      <w:r w:rsidRPr="00F90EAE">
        <w:rPr>
          <w:bCs/>
          <w:color w:val="000000" w:themeColor="text1"/>
          <w:sz w:val="16"/>
          <w:szCs w:val="16"/>
        </w:rPr>
        <w:t>29 марта</w:t>
      </w:r>
      <w:r w:rsidRPr="00F90EAE">
        <w:rPr>
          <w:color w:val="000000" w:themeColor="text1"/>
          <w:sz w:val="16"/>
          <w:szCs w:val="16"/>
        </w:rPr>
        <w:t xml:space="preserve"> в 1945 году оперативная сводка Совинформбюро:.</w:t>
      </w:r>
    </w:p>
    <w:p w14:paraId="2553EEBD"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Белорусского фронта 29 марта завершили ликвидацию окружённой Восточно-Прусской группы немецких войск юго-западнее Кенигсберга.</w:t>
      </w:r>
    </w:p>
    <w:p w14:paraId="1FFA8AD3" w14:textId="77777777" w:rsidR="00525BF4" w:rsidRPr="00F90EAE" w:rsidRDefault="00525BF4" w:rsidP="00F90EAE">
      <w:pPr>
        <w:jc w:val="both"/>
        <w:rPr>
          <w:color w:val="000000" w:themeColor="text1"/>
          <w:sz w:val="16"/>
          <w:szCs w:val="16"/>
        </w:rPr>
      </w:pPr>
      <w:r w:rsidRPr="00F90EAE">
        <w:rPr>
          <w:color w:val="000000" w:themeColor="text1"/>
          <w:sz w:val="16"/>
          <w:szCs w:val="16"/>
        </w:rPr>
        <w:t>За время боёв с 13 по 29 марта немцы потеряли свыше 50.000 пленными и 80.000 убитыми, при этом войска фронта захватили следующие трофеи: самолётов --128, танков и самоходных орудий — 605, полевых орудий — свыше 3.500, миномётов—1.440, пулемётов—6.447, бронетранспортёров—586, радиостанций—247, автомашин — 35.060, тракторов и тягачей — 474, паровозов — 232, железнодорожных вагонов — 7.673, складов с боеприпасами, вооружением, продовольствием и другим военным имуществом — 313.</w:t>
      </w:r>
    </w:p>
    <w:p w14:paraId="69AC8309"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Белорусского фронта продолжали бои по очищению от противника восточной части города Гданьска (Данцига) и уничтожали группу войск немцев, прижатую к побережью Данцигской бухты севернее города Гдыня. В боях за 28 марта в этом районе войска фронта взяли в плен 18.500 немецких солдат и офицеров и захватили следующие трофеи: самолётов — 50, танков и самоходных орудий — 67, полевых орудий — 369.</w:t>
      </w:r>
    </w:p>
    <w:p w14:paraId="1A2BEDED"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Украинского фронта в результате стремительного наступления 29 марта овладели городами и важными узлами дорог — Сомбатель, Капувар и, заняв город Кесег, вышли на австрийскую границу, а также с боями заняли болев 100 других населённых пунктов, в том числе крупные населённые пункты Фарад, Михальи, Белед, Чаниг, Бюк, Надьгенч, Веп, Пецель, Икервар, Дьертья-Нош, Балтавар, Заласанто, Рези и железнодорожные станции Тоткерестур, Белед, Репчелак, Хедьфалу, Бюк. В боях за 28 и 29 марта войска фронта, по предварительным данным, взяли в плен более 18.000 солдат и офицеров противника и захватили следующие трофеи: самолётов — 115, танков и самоходных орудий — 71, голевых орудий — 102.</w:t>
      </w:r>
    </w:p>
    <w:p w14:paraId="22536807" w14:textId="77777777" w:rsidR="00525BF4" w:rsidRPr="00F90EAE" w:rsidRDefault="00525BF4"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74CAA098" w14:textId="77777777" w:rsidR="00525BF4" w:rsidRPr="00F90EAE" w:rsidRDefault="00525BF4" w:rsidP="00F90EAE">
      <w:pPr>
        <w:jc w:val="both"/>
        <w:rPr>
          <w:color w:val="000000" w:themeColor="text1"/>
          <w:sz w:val="16"/>
          <w:szCs w:val="16"/>
        </w:rPr>
      </w:pPr>
      <w:r w:rsidRPr="00F90EAE">
        <w:rPr>
          <w:color w:val="000000" w:themeColor="text1"/>
          <w:sz w:val="16"/>
          <w:szCs w:val="16"/>
        </w:rPr>
        <w:t>За 28 марта на всех фронтах подбито и уничтожено 98 немецких танков и самоходных орудий. В воздушных боях и огнём зенитной артиллерии сбито 23 самолёта противника.</w:t>
      </w:r>
    </w:p>
    <w:p w14:paraId="1C7FCF12" w14:textId="77777777" w:rsidR="00525BF4" w:rsidRPr="00F90EAE" w:rsidRDefault="00525BF4" w:rsidP="00F90EAE">
      <w:pPr>
        <w:jc w:val="both"/>
        <w:rPr>
          <w:color w:val="000000" w:themeColor="text1"/>
          <w:sz w:val="16"/>
          <w:szCs w:val="16"/>
        </w:rPr>
      </w:pPr>
      <w:r w:rsidRPr="00F90EAE">
        <w:rPr>
          <w:color w:val="000000" w:themeColor="text1"/>
          <w:sz w:val="16"/>
          <w:szCs w:val="16"/>
        </w:rPr>
        <w:t>Налёт нашей авиации на город Шопрон в Венгрии</w:t>
      </w:r>
    </w:p>
    <w:p w14:paraId="6E37B616" w14:textId="77777777" w:rsidR="00525BF4" w:rsidRPr="00F90EAE" w:rsidRDefault="00525BF4" w:rsidP="00F90EAE">
      <w:pPr>
        <w:jc w:val="both"/>
        <w:rPr>
          <w:color w:val="000000" w:themeColor="text1"/>
          <w:sz w:val="16"/>
          <w:szCs w:val="16"/>
        </w:rPr>
      </w:pPr>
      <w:r w:rsidRPr="00F90EAE">
        <w:rPr>
          <w:color w:val="000000" w:themeColor="text1"/>
          <w:sz w:val="16"/>
          <w:szCs w:val="16"/>
        </w:rPr>
        <w:t>В ночь на 29 марта наши тяжёлые бомбардировщики нанесли удар по железнодорожному узлу Шопрон в Венгрии. В результате бомбардировки на территории узла возникли пожары, сопровождавшиеся взрывами. К рассвету весь железнодорожный узел Шопрон был охвачен огнём: горели эшелоны и военные склады противника.</w:t>
      </w:r>
    </w:p>
    <w:p w14:paraId="6A514DF2"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3-го Белорусского фронта сегодня завершили ликвидацию окружённой Восточно-Прусской группы немецких войск юго-западнее Кенигсберга. Противник, зажатый на мысе Кальхольцер-Хакен, прилагал отчаянные усилия, чтобы продержаться ещё несколько дней, рассчитывая за это время вывезти морем остатки своих разгромлённых соединений. Советские войска сорвали этот план немцев. Все оставшиеся в руках врага причалы подвергались непрерывным бомбардировкам авиации и артиллерийскому обстрелу. Тем временем наши танкисты и пехотинцы нанесли решающий удар по последнему оплоту немцев — прибрежному посёлку Бальга и окружающим его высотам. Немцы сосредоточили в этом районе отборные отряды эсэсовцев. Под прикрытием мощного артиллерийского огня советские подразделения двинулись в атаку и после ожесточённого боя овладели посёлком Бальга. Вслед за этим наши бойцы заняли укреплённые высоты. В бою за посёлок истреблено свыше 3 тысяч гитлеровцев, преимущественно эсэсовцев и штрафников. Захвачено 1.800 пленных, много танков, полевых орудий, пулемётов, автомашин, склады с боеприпасами и военным имуществом. Стремительно продвигаясь на север, наши войска заняли опорный пункт Кальхольц. Оборонявшие его отряды немецких офицеров были уничтожены. Вслед за падением Кальхольца организованное сопротивление врага прекратилось. Немцы стали толпами сдаваться в плен. Ликвидация крупной группы немецких войск юго-западнее Кенигсберга успешно завершена. По дорогам конвоируются тысячи взятых в плен немецких солдат и офицеров.</w:t>
      </w:r>
    </w:p>
    <w:p w14:paraId="4C2822BE"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успешные бои в городе Гданьске (Данциге). Немцы засели в дотах и укрепленных зданиях и оказывают упорное сопротивление. Советские штурмовые отряды, усиленные орудиями и танками, преодолевают завалы и баррикады на улицах и подавляют вражеские узлы сопротивления. Вся центральная часть города очищена от немецких войск. После ожесточённого боя наши войска форсировали реку Мёртвая Висла и овладели большей частью Гданьского порта. Наши части добивают последние вражеские группы в северо-западной части острова Холм и ведут успешные бои за овладение восточной частью города. Места боёв завалены трупами гитлеровцев. Деморализованные группы немецких солдат прекращают сопротивление и сдаются в плен.</w:t>
      </w:r>
    </w:p>
    <w:p w14:paraId="3AC9A718" w14:textId="77777777" w:rsidR="00525BF4" w:rsidRPr="00F90EAE" w:rsidRDefault="00525BF4" w:rsidP="00F90EAE">
      <w:pPr>
        <w:jc w:val="both"/>
        <w:rPr>
          <w:color w:val="000000" w:themeColor="text1"/>
          <w:sz w:val="16"/>
          <w:szCs w:val="16"/>
        </w:rPr>
      </w:pPr>
      <w:r w:rsidRPr="00F90EAE">
        <w:rPr>
          <w:color w:val="000000" w:themeColor="text1"/>
          <w:sz w:val="16"/>
          <w:szCs w:val="16"/>
        </w:rPr>
        <w:t>В боях за овладение городом Гдыня войска фронта разгромили пять пехотных, танковую, моторизованную эсэсовскую дивизии, две артиллерийские бригады, ряд отдельных батальонов и другие части и подразделения противника. Остатки разгромлённых немецких дивизий прижаты к Данцигскому заливу севернее Гдыни и уничтожаются нашими войсками. Вся территория, занимаемая немцами в этом районе, находится под обстрелом советской артиллерии.</w:t>
      </w:r>
    </w:p>
    <w:p w14:paraId="651C15EA" w14:textId="77777777" w:rsidR="00525BF4" w:rsidRPr="00F90EAE" w:rsidRDefault="00525BF4" w:rsidP="00F90EAE">
      <w:pPr>
        <w:jc w:val="both"/>
        <w:rPr>
          <w:color w:val="000000" w:themeColor="text1"/>
          <w:sz w:val="16"/>
          <w:szCs w:val="16"/>
        </w:rPr>
      </w:pPr>
      <w:r w:rsidRPr="00F90EAE">
        <w:rPr>
          <w:color w:val="000000" w:themeColor="text1"/>
          <w:sz w:val="16"/>
          <w:szCs w:val="16"/>
        </w:rPr>
        <w:t xml:space="preserve">Войска 3-го Украинского фронта, прорвав оборону противника на реке Раба, развивали стремительное наступление. Советские части продвинулись вперёд на 30 километров и штурмом овладели венгерским городом Кесег. Заняв этот город, наши войска вышли на австрийскую границу. Ожесточённые бои сегодня происходили </w:t>
      </w:r>
      <w:r w:rsidRPr="00F90EAE">
        <w:rPr>
          <w:color w:val="000000" w:themeColor="text1"/>
          <w:sz w:val="16"/>
          <w:szCs w:val="16"/>
        </w:rPr>
        <w:lastRenderedPageBreak/>
        <w:t>за город Сомбатель. Немецкий гарнизон, усиленный отступающими частями, укрепился на восточных окраинах города и неоднократно переходил в контратаки. Советские танкисты, совершив обходный манёвр, нанесли противнику удар во фланг и ворвались в Сомбатель. В ожесточённом уличном бою вражеский гарнизон был разбит и в беспорядке отступил на запад. Наши войска захватили большие трофеи, в том числе бронепоезд, 28 паровозов и 360 вагонов с грузами.</w:t>
      </w:r>
    </w:p>
    <w:p w14:paraId="018195D1" w14:textId="77777777" w:rsidR="00525BF4" w:rsidRPr="00F90EAE" w:rsidRDefault="00525BF4" w:rsidP="00F90EAE">
      <w:pPr>
        <w:jc w:val="both"/>
        <w:rPr>
          <w:color w:val="000000" w:themeColor="text1"/>
          <w:sz w:val="16"/>
          <w:szCs w:val="16"/>
        </w:rPr>
      </w:pPr>
      <w:r w:rsidRPr="00F90EAE">
        <w:rPr>
          <w:color w:val="000000" w:themeColor="text1"/>
          <w:sz w:val="16"/>
          <w:szCs w:val="16"/>
        </w:rPr>
        <w:t>Войска 2-го Украинского фронта, овладевшие вчера городом Дьер, захватили у немцев 70 орудий, 210 пулемётов, 70 паровозов, свыше 2 тысяч вагонов с грузами и другие трофеи.</w:t>
      </w:r>
    </w:p>
    <w:p w14:paraId="635D244D" w14:textId="77777777" w:rsidR="00525BF4" w:rsidRPr="00F90EAE" w:rsidRDefault="00525BF4"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Балтийском море два немецких транспорта общим водоизмещением в 13 тысяч тонн. Кроме того, серьёзно повреждены два других судна противника.</w:t>
      </w:r>
    </w:p>
    <w:p w14:paraId="074692B7" w14:textId="77777777" w:rsidR="00525BF4" w:rsidRPr="00F90EAE" w:rsidRDefault="00525BF4" w:rsidP="00F90EAE">
      <w:pPr>
        <w:jc w:val="both"/>
        <w:rPr>
          <w:color w:val="000000" w:themeColor="text1"/>
          <w:sz w:val="16"/>
          <w:szCs w:val="16"/>
        </w:rPr>
      </w:pPr>
      <w:r w:rsidRPr="00F90EAE">
        <w:rPr>
          <w:color w:val="000000" w:themeColor="text1"/>
          <w:sz w:val="16"/>
          <w:szCs w:val="16"/>
        </w:rPr>
        <w:t>Наши торпедные катеры в районе Клайпеды (Мемеля) в ночном бою потопили два немецких катера.» (15083).</w:t>
      </w:r>
    </w:p>
    <w:p w14:paraId="39773545" w14:textId="77777777" w:rsidR="00525BF4" w:rsidRPr="00F90EAE" w:rsidRDefault="00525BF4" w:rsidP="00F90EAE">
      <w:pPr>
        <w:jc w:val="both"/>
        <w:rPr>
          <w:color w:val="000000" w:themeColor="text1"/>
          <w:sz w:val="16"/>
          <w:szCs w:val="16"/>
        </w:rPr>
      </w:pPr>
    </w:p>
    <w:p w14:paraId="2D437A2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марта 1945 Красная армия вступила в Австрию (4963 ).</w:t>
      </w:r>
    </w:p>
    <w:p w14:paraId="10B1D4B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13AC4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3УФ (Ф.И.Толбухин) вступили на территорию Австрии (3398,129).</w:t>
      </w:r>
    </w:p>
    <w:p w14:paraId="167E2B70" w14:textId="77777777" w:rsidR="00665165" w:rsidRPr="00F90EAE" w:rsidRDefault="00665165" w:rsidP="00F90EAE">
      <w:pPr>
        <w:autoSpaceDE w:val="0"/>
        <w:autoSpaceDN w:val="0"/>
        <w:adjustRightInd w:val="0"/>
        <w:jc w:val="both"/>
        <w:rPr>
          <w:color w:val="000000" w:themeColor="text1"/>
          <w:sz w:val="16"/>
          <w:szCs w:val="16"/>
        </w:rPr>
      </w:pPr>
    </w:p>
    <w:p w14:paraId="01552F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года Приказом НКВД СССР №059 были введены в действие "Технические указания по специальному оборудованию лагерных зон в лагерях военнопленных" (8983).</w:t>
      </w:r>
    </w:p>
    <w:p w14:paraId="3C13887F" w14:textId="77777777" w:rsidR="00665165" w:rsidRPr="00F90EAE" w:rsidRDefault="00665165" w:rsidP="00F90EAE">
      <w:pPr>
        <w:autoSpaceDE w:val="0"/>
        <w:autoSpaceDN w:val="0"/>
        <w:adjustRightInd w:val="0"/>
        <w:jc w:val="both"/>
        <w:rPr>
          <w:color w:val="000000" w:themeColor="text1"/>
          <w:sz w:val="16"/>
          <w:szCs w:val="16"/>
        </w:rPr>
      </w:pPr>
    </w:p>
    <w:p w14:paraId="546838E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7946 О мерах по улучшению трудового использования и материально-бытового положения военнопленных. (7318, 140-142,143-148).</w:t>
      </w:r>
    </w:p>
    <w:p w14:paraId="3D5B767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DBB1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Распоряжение ГКО № 7948. О реэвакуации из Архангельской обл. Ленинградского военно-ветеринарного училища. РГАНИР, Фонд ГКО, д. 383, лл. 150 (11012).</w:t>
      </w:r>
    </w:p>
    <w:p w14:paraId="1F2DD887" w14:textId="77777777" w:rsidR="00665165" w:rsidRPr="00F90EAE" w:rsidRDefault="00665165" w:rsidP="00F90EAE">
      <w:pPr>
        <w:autoSpaceDE w:val="0"/>
        <w:autoSpaceDN w:val="0"/>
        <w:adjustRightInd w:val="0"/>
        <w:jc w:val="both"/>
        <w:rPr>
          <w:color w:val="000000" w:themeColor="text1"/>
          <w:sz w:val="16"/>
          <w:szCs w:val="16"/>
        </w:rPr>
      </w:pPr>
    </w:p>
    <w:p w14:paraId="3CD868C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5380A1C" w14:textId="77777777" w:rsidR="00665165" w:rsidRPr="00F90EAE" w:rsidRDefault="00665165" w:rsidP="00F90EAE">
      <w:pPr>
        <w:autoSpaceDE w:val="0"/>
        <w:autoSpaceDN w:val="0"/>
        <w:adjustRightInd w:val="0"/>
        <w:jc w:val="both"/>
        <w:rPr>
          <w:iCs/>
          <w:color w:val="000000" w:themeColor="text1"/>
          <w:sz w:val="16"/>
          <w:szCs w:val="16"/>
        </w:rPr>
      </w:pPr>
    </w:p>
    <w:p w14:paraId="61E8A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вышло Постановление ГКО № 7937 О завозе нефтепродуктов из Румынии во II квартале и апреле 1945 года. РГАНИР, Фонд ГКО, д. 383, лл. 83-84 (11012).</w:t>
      </w:r>
    </w:p>
    <w:p w14:paraId="350F8A48" w14:textId="77777777" w:rsidR="00665165" w:rsidRPr="00F90EAE" w:rsidRDefault="00665165" w:rsidP="00F90EAE">
      <w:pPr>
        <w:autoSpaceDE w:val="0"/>
        <w:autoSpaceDN w:val="0"/>
        <w:adjustRightInd w:val="0"/>
        <w:jc w:val="both"/>
        <w:rPr>
          <w:color w:val="000000" w:themeColor="text1"/>
          <w:sz w:val="16"/>
          <w:szCs w:val="16"/>
        </w:rPr>
      </w:pPr>
    </w:p>
    <w:p w14:paraId="3038C15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C5E6155" w14:textId="77777777" w:rsidR="00665165" w:rsidRPr="00F90EAE" w:rsidRDefault="00665165" w:rsidP="00F90EAE">
      <w:pPr>
        <w:autoSpaceDE w:val="0"/>
        <w:autoSpaceDN w:val="0"/>
        <w:adjustRightInd w:val="0"/>
        <w:jc w:val="both"/>
        <w:rPr>
          <w:iCs/>
          <w:color w:val="000000" w:themeColor="text1"/>
          <w:sz w:val="16"/>
          <w:szCs w:val="16"/>
        </w:rPr>
      </w:pPr>
    </w:p>
    <w:p w14:paraId="1BC89FDF" w14:textId="77777777" w:rsidR="00503A32" w:rsidRPr="00F90EAE" w:rsidRDefault="00503A32" w:rsidP="00F90EAE">
      <w:pPr>
        <w:jc w:val="both"/>
        <w:rPr>
          <w:color w:val="000000" w:themeColor="text1"/>
          <w:sz w:val="16"/>
          <w:szCs w:val="16"/>
        </w:rPr>
      </w:pPr>
      <w:r w:rsidRPr="00F90EAE">
        <w:rPr>
          <w:bCs/>
          <w:color w:val="000000" w:themeColor="text1"/>
          <w:sz w:val="16"/>
          <w:szCs w:val="16"/>
        </w:rPr>
        <w:t>29 марта</w:t>
      </w:r>
      <w:r w:rsidRPr="00F90EAE">
        <w:rPr>
          <w:color w:val="000000" w:themeColor="text1"/>
          <w:sz w:val="16"/>
          <w:szCs w:val="16"/>
        </w:rPr>
        <w:t xml:space="preserve"> в 1945 году части американской 3-й Бронетанковой дивизия захватили около Bromskirchen поезд с 9-ю БР "A-4"/SS-1/Scunner. Это первый случай захвата союзниками целых БР "А-4". Все ракеты были отправлены в Антверпен и далее в США. Чуть позднее 3-я Бронетанковая дивизия захватила завод, расположенный по соседству в Hatzfeld, на заводе тоже находились целые ракеты "А-4" и различные детали к ним (15083).</w:t>
      </w:r>
    </w:p>
    <w:p w14:paraId="7AA9E501" w14:textId="77777777" w:rsidR="00503A32" w:rsidRPr="00F90EAE" w:rsidRDefault="00503A32" w:rsidP="00F90EAE">
      <w:pPr>
        <w:jc w:val="both"/>
        <w:rPr>
          <w:color w:val="000000" w:themeColor="text1"/>
          <w:sz w:val="16"/>
          <w:szCs w:val="16"/>
        </w:rPr>
      </w:pPr>
    </w:p>
    <w:p w14:paraId="62C36400" w14:textId="77777777" w:rsidR="00503A32" w:rsidRPr="00F90EAE" w:rsidRDefault="00503A32" w:rsidP="00F90EAE">
      <w:pPr>
        <w:autoSpaceDE w:val="0"/>
        <w:autoSpaceDN w:val="0"/>
        <w:adjustRightInd w:val="0"/>
        <w:jc w:val="both"/>
        <w:rPr>
          <w:color w:val="000000" w:themeColor="text1"/>
          <w:sz w:val="16"/>
          <w:szCs w:val="16"/>
        </w:rPr>
      </w:pPr>
      <w:r w:rsidRPr="00F90EAE">
        <w:rPr>
          <w:color w:val="000000" w:themeColor="text1"/>
          <w:sz w:val="16"/>
          <w:szCs w:val="16"/>
        </w:rPr>
        <w:t>29 марта 1945 на Англию упал последний V-1. Из 125, запущенных из Голландии, Лондон достигли 13 (1227,22). Всего с июля 1944 на Англию выпустили 10492 и 2419 поразили Лондон и 1112 - другие города. 8696 и 3141 запустили по Антверпену и Льежу (1608,24).</w:t>
      </w:r>
    </w:p>
    <w:p w14:paraId="7CE051F3" w14:textId="77777777" w:rsidR="00503A32" w:rsidRPr="00F90EAE" w:rsidRDefault="00503A32" w:rsidP="00F90EAE">
      <w:pPr>
        <w:autoSpaceDE w:val="0"/>
        <w:autoSpaceDN w:val="0"/>
        <w:adjustRightInd w:val="0"/>
        <w:jc w:val="both"/>
        <w:rPr>
          <w:color w:val="000000" w:themeColor="text1"/>
          <w:sz w:val="16"/>
          <w:szCs w:val="16"/>
        </w:rPr>
      </w:pPr>
    </w:p>
    <w:p w14:paraId="44B4E471" w14:textId="77777777" w:rsidR="00503A32" w:rsidRPr="00F90EAE" w:rsidRDefault="00503A32" w:rsidP="00F90EAE">
      <w:pPr>
        <w:autoSpaceDE w:val="0"/>
        <w:autoSpaceDN w:val="0"/>
        <w:adjustRightInd w:val="0"/>
        <w:jc w:val="both"/>
        <w:rPr>
          <w:color w:val="000000" w:themeColor="text1"/>
          <w:sz w:val="16"/>
          <w:szCs w:val="16"/>
        </w:rPr>
      </w:pPr>
      <w:r w:rsidRPr="00F90EAE">
        <w:rPr>
          <w:color w:val="000000" w:themeColor="text1"/>
          <w:sz w:val="16"/>
          <w:szCs w:val="16"/>
        </w:rPr>
        <w:t>29 марта 1945 г. с 6 позиций в Западной Голландии по Англии с середины февраля было запущено 275 крылатых ракет V-1 повышенной дальности. Однако эти удары уже не могли остановить крах Третьего рейха. С потерей Венгрии, Австрии и Верхней Силезии в Германии производство угля составило всего 1/4, а производство стали всего 1/6 часть от уровня января 1944 г. Все это привело к такому напряжению германской промышленности, что из запланированных 60 тысяч ракет V1 было изготовлено всего около 20 тысяч (Орлов А.С. «Чудо-оружие»: обманутые надежды фюрера. Смоленск: Русич, 1999.).</w:t>
      </w:r>
    </w:p>
    <w:p w14:paraId="6AACA4FB" w14:textId="77777777" w:rsidR="00503A32" w:rsidRPr="00F90EAE" w:rsidRDefault="00503A32"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До конца войны, по немецким данным, было произведено 250 тысяч ракет V1, а по реальным целям выпущено около 20 880 крылатых ракет (Запольскис А.А. Реактивные самолеты люфтваффе. Минск: ХАРВЕСТ, 1999.) (не считая опытных, практических и демонстрационных пусков). Для остальных ракет не хватило топлива или пусковых установок, из-за развала транспортной системы многие из них просто не успели доставить к стартовым позициям. Всего, уже по английским данным, при ударах ракетами V1 погибло 6364 человека и более 18 тысяч было ранено, было разрушено 123 тысячи зданий. После окончания войны Великобритания официально признала, что ущерб, причиненный ей ракетами V1 и V2, исчисляется 47,6 млн английских фунтов стерлингов, тогда как все расходы Германии на ракетную программу составили примерно 25% от этой суммы (Запольскис А.А. Реактивные самолеты люфтваффе. Минск: ХАРВЕСТ, 1999.) </w:t>
      </w:r>
      <w:r w:rsidRPr="00F90EAE">
        <w:rPr>
          <w:color w:val="000000" w:themeColor="text1"/>
          <w:sz w:val="16"/>
          <w:szCs w:val="16"/>
          <w:lang w:val="en-US"/>
        </w:rPr>
        <w:t>(11686).</w:t>
      </w:r>
    </w:p>
    <w:p w14:paraId="7C421A88" w14:textId="77777777" w:rsidR="00503A32" w:rsidRPr="00F90EAE" w:rsidRDefault="00503A32" w:rsidP="00F90EAE">
      <w:pPr>
        <w:autoSpaceDE w:val="0"/>
        <w:autoSpaceDN w:val="0"/>
        <w:adjustRightInd w:val="0"/>
        <w:jc w:val="both"/>
        <w:rPr>
          <w:color w:val="000000" w:themeColor="text1"/>
          <w:sz w:val="16"/>
          <w:szCs w:val="16"/>
          <w:lang w:val="en-US"/>
        </w:rPr>
      </w:pPr>
    </w:p>
    <w:p w14:paraId="0F00BC16"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29th, 1945: The US Third Army (Patton) captures Frankfurt am Main. In Hungary, the Red Army seizes the oilfields south of Komorn, the last source of petroleum for the German war effort (3819).</w:t>
      </w:r>
    </w:p>
    <w:p w14:paraId="2A3C4207" w14:textId="77777777" w:rsidR="00665165" w:rsidRPr="00F90EAE" w:rsidRDefault="00665165" w:rsidP="00F90EAE">
      <w:pPr>
        <w:autoSpaceDE w:val="0"/>
        <w:autoSpaceDN w:val="0"/>
        <w:adjustRightInd w:val="0"/>
        <w:jc w:val="both"/>
        <w:rPr>
          <w:color w:val="000000" w:themeColor="text1"/>
          <w:sz w:val="16"/>
          <w:szCs w:val="16"/>
          <w:lang w:val="en-US"/>
        </w:rPr>
      </w:pPr>
    </w:p>
    <w:p w14:paraId="64BDDC8F" w14:textId="77777777" w:rsidR="00503A32" w:rsidRPr="00F90EAE" w:rsidRDefault="00503A32" w:rsidP="00F90EAE">
      <w:pPr>
        <w:jc w:val="both"/>
        <w:rPr>
          <w:color w:val="000000" w:themeColor="text1"/>
          <w:sz w:val="16"/>
          <w:szCs w:val="16"/>
        </w:rPr>
      </w:pPr>
      <w:r w:rsidRPr="00F90EAE">
        <w:rPr>
          <w:bCs/>
          <w:color w:val="000000" w:themeColor="text1"/>
          <w:sz w:val="16"/>
          <w:szCs w:val="16"/>
        </w:rPr>
        <w:t>29 марта</w:t>
      </w:r>
      <w:r w:rsidRPr="00F90EAE">
        <w:rPr>
          <w:color w:val="000000" w:themeColor="text1"/>
          <w:sz w:val="16"/>
          <w:szCs w:val="16"/>
        </w:rPr>
        <w:t xml:space="preserve"> в 1945 году американские войска заняли Франкфурт-на-Майне (15083).</w:t>
      </w:r>
    </w:p>
    <w:p w14:paraId="62C347DE" w14:textId="77777777" w:rsidR="00503A32" w:rsidRPr="00F90EAE" w:rsidRDefault="00503A32" w:rsidP="00F90EAE">
      <w:pPr>
        <w:jc w:val="both"/>
        <w:rPr>
          <w:color w:val="000000" w:themeColor="text1"/>
          <w:sz w:val="16"/>
          <w:szCs w:val="16"/>
        </w:rPr>
      </w:pPr>
    </w:p>
    <w:p w14:paraId="78A8FB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марта 1945 3А США (Паттон) заняла Франкфурт на Майне. КА захватила нефтепромыслы под Комарно, последний источник нефти для немецкой армии (3819).</w:t>
      </w:r>
    </w:p>
    <w:p w14:paraId="05C1332D" w14:textId="77777777" w:rsidR="00665165" w:rsidRPr="00F90EAE" w:rsidRDefault="00665165" w:rsidP="00F90EAE">
      <w:pPr>
        <w:autoSpaceDE w:val="0"/>
        <w:autoSpaceDN w:val="0"/>
        <w:adjustRightInd w:val="0"/>
        <w:jc w:val="both"/>
        <w:rPr>
          <w:color w:val="000000" w:themeColor="text1"/>
          <w:sz w:val="16"/>
          <w:szCs w:val="16"/>
        </w:rPr>
      </w:pPr>
    </w:p>
    <w:p w14:paraId="5FD504F6" w14:textId="77777777" w:rsidR="00503A32" w:rsidRPr="00F90EAE" w:rsidRDefault="00503A32" w:rsidP="00F90EAE">
      <w:pPr>
        <w:jc w:val="both"/>
        <w:rPr>
          <w:color w:val="000000" w:themeColor="text1"/>
          <w:sz w:val="16"/>
          <w:szCs w:val="16"/>
        </w:rPr>
      </w:pPr>
      <w:r w:rsidRPr="00F90EAE">
        <w:rPr>
          <w:bCs/>
          <w:color w:val="000000" w:themeColor="text1"/>
          <w:sz w:val="16"/>
          <w:szCs w:val="16"/>
        </w:rPr>
        <w:t>29 марта</w:t>
      </w:r>
      <w:r w:rsidRPr="00F90EAE">
        <w:rPr>
          <w:color w:val="000000" w:themeColor="text1"/>
          <w:sz w:val="16"/>
          <w:szCs w:val="16"/>
        </w:rPr>
        <w:t xml:space="preserve"> в 1945 году премьер-министр польского эмигрантского правительства в Лондоне С.Миколайчик потребовал немедленного вывода войск НКВД из Польши и проведения свободных выборов под контролем западных держав (15083).</w:t>
      </w:r>
    </w:p>
    <w:p w14:paraId="0A2C3361" w14:textId="77777777" w:rsidR="00503A32" w:rsidRPr="00F90EAE" w:rsidRDefault="00503A32" w:rsidP="00F90EAE">
      <w:pPr>
        <w:jc w:val="both"/>
        <w:rPr>
          <w:color w:val="000000" w:themeColor="text1"/>
          <w:sz w:val="16"/>
          <w:szCs w:val="16"/>
        </w:rPr>
      </w:pPr>
    </w:p>
    <w:p w14:paraId="5CBBB3D4" w14:textId="77777777" w:rsidR="00503A32" w:rsidRPr="00F90EAE" w:rsidRDefault="00503A32" w:rsidP="00F90EAE">
      <w:pPr>
        <w:jc w:val="both"/>
        <w:rPr>
          <w:color w:val="000000" w:themeColor="text1"/>
          <w:sz w:val="16"/>
          <w:szCs w:val="16"/>
        </w:rPr>
      </w:pPr>
      <w:r w:rsidRPr="00F90EAE">
        <w:rPr>
          <w:bCs/>
          <w:color w:val="000000" w:themeColor="text1"/>
          <w:sz w:val="16"/>
          <w:szCs w:val="16"/>
        </w:rPr>
        <w:t>29 марта</w:t>
      </w:r>
      <w:r w:rsidRPr="00F90EAE">
        <w:rPr>
          <w:color w:val="000000" w:themeColor="text1"/>
          <w:sz w:val="16"/>
          <w:szCs w:val="16"/>
        </w:rPr>
        <w:t xml:space="preserve"> в 1945 году военное командование США утвердило план разгрома Японии «Даунфол» (15083).</w:t>
      </w:r>
    </w:p>
    <w:p w14:paraId="27EEB092" w14:textId="77777777" w:rsidR="00503A32" w:rsidRPr="00F90EAE" w:rsidRDefault="00503A32" w:rsidP="00F90EAE">
      <w:pPr>
        <w:jc w:val="both"/>
        <w:rPr>
          <w:color w:val="000000" w:themeColor="text1"/>
          <w:sz w:val="16"/>
          <w:szCs w:val="16"/>
        </w:rPr>
      </w:pPr>
    </w:p>
    <w:p w14:paraId="0AF8A1B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F619B2F" w14:textId="77777777" w:rsidR="00665165" w:rsidRPr="00F90EAE" w:rsidRDefault="00665165" w:rsidP="00F90EAE">
      <w:pPr>
        <w:autoSpaceDE w:val="0"/>
        <w:autoSpaceDN w:val="0"/>
        <w:adjustRightInd w:val="0"/>
        <w:jc w:val="both"/>
        <w:rPr>
          <w:iCs/>
          <w:color w:val="000000" w:themeColor="text1"/>
          <w:sz w:val="16"/>
          <w:szCs w:val="16"/>
        </w:rPr>
      </w:pPr>
    </w:p>
    <w:p w14:paraId="5E8B5DDF" w14:textId="77777777" w:rsidR="00BA025E" w:rsidRPr="00F90EAE" w:rsidRDefault="00BA025E" w:rsidP="00F90EAE">
      <w:pPr>
        <w:pStyle w:val="ae"/>
        <w:spacing w:before="0" w:after="0"/>
        <w:jc w:val="both"/>
        <w:textAlignment w:val="top"/>
        <w:rPr>
          <w:color w:val="000000" w:themeColor="text1"/>
          <w:sz w:val="16"/>
          <w:szCs w:val="16"/>
        </w:rPr>
      </w:pPr>
      <w:r w:rsidRPr="00F90EAE">
        <w:rPr>
          <w:color w:val="000000" w:themeColor="text1"/>
          <w:sz w:val="16"/>
          <w:szCs w:val="16"/>
        </w:rPr>
        <w:t>30 марта 1945 г. Me 262A-1 № 110426в разобранном состоянии доставили в НИИ ВВС из г. Шнайдемюле. По характеру повреждений было видно, что истребитель совершил вынужденную посадку с убранным шасси и его пришлось восстанавливать на опытном заводе в Чкаловской. Нашим летчикам было известно, что неоднократно реактивные «мессеры» на большой скорости затягивало в пикирование и немецкие летчики разбивались вместе с машинами, поэтому кандидатуру для проведения испытаний подбирали особенно тщательно.</w:t>
      </w:r>
    </w:p>
    <w:p w14:paraId="239D2156" w14:textId="77777777" w:rsidR="00BA025E" w:rsidRPr="00F90EAE" w:rsidRDefault="00BA025E" w:rsidP="00F90EAE">
      <w:pPr>
        <w:pStyle w:val="ae"/>
        <w:spacing w:before="0" w:after="0"/>
        <w:jc w:val="both"/>
        <w:textAlignment w:val="top"/>
        <w:rPr>
          <w:color w:val="000000" w:themeColor="text1"/>
          <w:sz w:val="16"/>
          <w:szCs w:val="16"/>
        </w:rPr>
      </w:pPr>
      <w:r w:rsidRPr="00F90EAE">
        <w:rPr>
          <w:color w:val="000000" w:themeColor="text1"/>
          <w:sz w:val="16"/>
          <w:szCs w:val="16"/>
        </w:rPr>
        <w:t>Из 20 Me.262, обнаруженных на территории Германии советскими войсками, в СССР доставили четыре самолета в поврежденном виде. Три из них поступили на предприятия авиационной промышленности, а четвертый с заводским номером 110426 - в НИИ ВВС. В апреле 1946-го в МАПе один Me.262 находился в летном состоянии, другой - испытывался на прочность, а третий - передали на завод №481 в Сызрань для переделки в двухместный вариант.</w:t>
      </w:r>
    </w:p>
    <w:p w14:paraId="5E14943E" w14:textId="77777777" w:rsidR="00BA025E" w:rsidRPr="00F90EAE" w:rsidRDefault="00BA025E" w:rsidP="00F90EAE">
      <w:pPr>
        <w:pStyle w:val="ae"/>
        <w:spacing w:before="0" w:after="0"/>
        <w:jc w:val="both"/>
        <w:textAlignment w:val="top"/>
        <w:rPr>
          <w:color w:val="000000" w:themeColor="text1"/>
          <w:sz w:val="16"/>
          <w:szCs w:val="16"/>
        </w:rPr>
      </w:pPr>
      <w:r w:rsidRPr="00F90EAE">
        <w:rPr>
          <w:color w:val="000000" w:themeColor="text1"/>
          <w:sz w:val="16"/>
          <w:szCs w:val="16"/>
        </w:rPr>
        <w:t>После всестороннего обследования инженерами НИИ ВВС В.А. Березиным, В.А. Ивановым, Ю.З. Манышевым, С.Ш. Фрадковым и техником В.А. Федотовым под общим руководством И.Г. Рабкина самолет восстановили на Опытном заводе института. 15 августа 1946-го летчик-испытатель А.Г. Кочетков совершил на нем первый полет. Летали на "Мессершмитте" также П.М. Стефановский и Ф.Ф. Демида.</w:t>
      </w:r>
    </w:p>
    <w:p w14:paraId="5687EA9C" w14:textId="77777777" w:rsidR="00BA025E" w:rsidRPr="00F90EAE" w:rsidRDefault="00BA025E" w:rsidP="00F90EAE">
      <w:pPr>
        <w:pStyle w:val="ae"/>
        <w:spacing w:before="0" w:after="0"/>
        <w:jc w:val="both"/>
        <w:textAlignment w:val="top"/>
        <w:rPr>
          <w:color w:val="000000" w:themeColor="text1"/>
          <w:sz w:val="16"/>
          <w:szCs w:val="16"/>
        </w:rPr>
      </w:pPr>
      <w:r w:rsidRPr="00F90EAE">
        <w:rPr>
          <w:color w:val="000000" w:themeColor="text1"/>
          <w:sz w:val="16"/>
          <w:szCs w:val="16"/>
        </w:rPr>
        <w:t>В заключении акта по результатам летных испытаний отмечалось, в частности, что Ме.262 является доведенным реактивным самолетом и обладает большим преимуществом в максимальной горизонтальной скорости перед современными отечественными и иностранными истребителями с поршневыми двигателями. Имеет удовлетворительную скороподъемность и дальность. Плохие взлетные свойства самолета с газотурбинными двигателями требуют больших взлетных полос, длиной до 3 км или применения ускорителей взлета.</w:t>
      </w:r>
    </w:p>
    <w:p w14:paraId="37404594" w14:textId="77777777" w:rsidR="00BA025E" w:rsidRPr="00F90EAE" w:rsidRDefault="00BA025E" w:rsidP="00F90EAE">
      <w:pPr>
        <w:pStyle w:val="ae"/>
        <w:spacing w:before="0" w:after="0"/>
        <w:jc w:val="both"/>
        <w:textAlignment w:val="top"/>
        <w:rPr>
          <w:color w:val="000000" w:themeColor="text1"/>
          <w:sz w:val="16"/>
          <w:szCs w:val="16"/>
        </w:rPr>
      </w:pPr>
      <w:r w:rsidRPr="00F90EAE">
        <w:rPr>
          <w:color w:val="000000" w:themeColor="text1"/>
          <w:sz w:val="16"/>
          <w:szCs w:val="16"/>
        </w:rPr>
        <w:t>Самолет № 110426, после определения его характеристик, передали во 2-е управление НИИ ВВС для испытаний двигателя. 17 сентября 1946-го он потерпел катастрофу, унеся жизнь летчика-испытателя, командира отряда Ф.Ф.Демиды. В тот день на взлете отказал один из двигателей, и машина с правым креном врезалась в землю недалеко от деревни Кишкино (19689).</w:t>
      </w:r>
    </w:p>
    <w:p w14:paraId="37BA0F9D" w14:textId="77777777" w:rsidR="00BA025E" w:rsidRPr="00F90EAE" w:rsidRDefault="00BA025E" w:rsidP="00F90EAE">
      <w:pPr>
        <w:pStyle w:val="ae"/>
        <w:spacing w:before="0" w:after="0"/>
        <w:jc w:val="both"/>
        <w:textAlignment w:val="top"/>
        <w:rPr>
          <w:color w:val="000000" w:themeColor="text1"/>
          <w:sz w:val="16"/>
          <w:szCs w:val="16"/>
        </w:rPr>
      </w:pPr>
    </w:p>
    <w:p w14:paraId="77F5D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года А. Яковлев писал письмо N Н-27/1531 гл. инженеру ВВС генерал-полковнику ИАС Репину.</w:t>
      </w:r>
    </w:p>
    <w:p w14:paraId="2CBFAA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Сообщаю, что проектирование и строительство тяжелого десантного планера для перевозки танка, предусматриваемого планом-заявкой ВВС на 1945 год, наркоматом Авиапрома не может быть выполнено, вследствие загруженности завода N 468 работами по доводкам построенного планера конструкции Цыбина и работами по модификации этого планера в варианте мотопланера (1879).</w:t>
      </w:r>
    </w:p>
    <w:p w14:paraId="5004365F" w14:textId="77777777" w:rsidR="00665165" w:rsidRPr="00F90EAE" w:rsidRDefault="00665165" w:rsidP="00F90EAE">
      <w:pPr>
        <w:autoSpaceDE w:val="0"/>
        <w:autoSpaceDN w:val="0"/>
        <w:adjustRightInd w:val="0"/>
        <w:jc w:val="both"/>
        <w:rPr>
          <w:color w:val="000000" w:themeColor="text1"/>
          <w:sz w:val="16"/>
          <w:szCs w:val="16"/>
        </w:rPr>
      </w:pPr>
    </w:p>
    <w:p w14:paraId="4CA6ADD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марта 1945 г. прошел испытания первый отечественный ТРД С-18 (6395).</w:t>
      </w:r>
    </w:p>
    <w:p w14:paraId="31679D9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F169D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был испытан первый советский ТРД С-18 (2989).</w:t>
      </w:r>
    </w:p>
    <w:p w14:paraId="5193CFB7" w14:textId="77777777" w:rsidR="00665165" w:rsidRPr="00F90EAE" w:rsidRDefault="00665165" w:rsidP="00F90EAE">
      <w:pPr>
        <w:autoSpaceDE w:val="0"/>
        <w:autoSpaceDN w:val="0"/>
        <w:adjustRightInd w:val="0"/>
        <w:jc w:val="both"/>
        <w:rPr>
          <w:color w:val="000000" w:themeColor="text1"/>
          <w:sz w:val="16"/>
          <w:szCs w:val="16"/>
        </w:rPr>
      </w:pPr>
    </w:p>
    <w:p w14:paraId="2E949126" w14:textId="77777777" w:rsidR="00BA025E" w:rsidRPr="00F90EAE" w:rsidRDefault="00BA025E" w:rsidP="00F90EAE">
      <w:pPr>
        <w:shd w:val="clear" w:color="auto" w:fill="FFFFFF"/>
        <w:jc w:val="both"/>
        <w:rPr>
          <w:color w:val="000000" w:themeColor="text1"/>
          <w:sz w:val="16"/>
          <w:szCs w:val="16"/>
        </w:rPr>
      </w:pPr>
      <w:r w:rsidRPr="00F90EAE">
        <w:rPr>
          <w:color w:val="000000" w:themeColor="text1"/>
          <w:sz w:val="16"/>
          <w:szCs w:val="16"/>
        </w:rPr>
        <w:t>30 марта 1946 г. приказом министра авиацион</w:t>
      </w:r>
      <w:r w:rsidRPr="00F90EAE">
        <w:rPr>
          <w:color w:val="000000" w:themeColor="text1"/>
          <w:sz w:val="16"/>
          <w:szCs w:val="16"/>
        </w:rPr>
        <w:softHyphen/>
        <w:t>ной промышленности М.В. Хруничева на базе за</w:t>
      </w:r>
      <w:r w:rsidRPr="00F90EAE">
        <w:rPr>
          <w:color w:val="000000" w:themeColor="text1"/>
          <w:sz w:val="16"/>
          <w:szCs w:val="16"/>
        </w:rPr>
        <w:softHyphen/>
        <w:t>вода № 165 было образовано ОКБ-165 по разработ</w:t>
      </w:r>
      <w:r w:rsidRPr="00F90EAE">
        <w:rPr>
          <w:color w:val="000000" w:themeColor="text1"/>
          <w:sz w:val="16"/>
          <w:szCs w:val="16"/>
        </w:rPr>
        <w:softHyphen/>
        <w:t>ке и созданию отечественных турбореактивных двигателей, и Люльку назначили его руководите</w:t>
      </w:r>
      <w:r w:rsidRPr="00F90EAE">
        <w:rPr>
          <w:color w:val="000000" w:themeColor="text1"/>
          <w:sz w:val="16"/>
          <w:szCs w:val="16"/>
        </w:rPr>
        <w:softHyphen/>
        <w:t>лем. В ОКБ на базе С-18 создаётся лётный вари</w:t>
      </w:r>
      <w:r w:rsidRPr="00F90EAE">
        <w:rPr>
          <w:color w:val="000000" w:themeColor="text1"/>
          <w:sz w:val="16"/>
          <w:szCs w:val="16"/>
        </w:rPr>
        <w:softHyphen/>
        <w:t>ант двигателя - ТР-1. Изготовлением его основ</w:t>
      </w:r>
      <w:r w:rsidRPr="00F90EAE">
        <w:rPr>
          <w:color w:val="000000" w:themeColor="text1"/>
          <w:sz w:val="16"/>
          <w:szCs w:val="16"/>
        </w:rPr>
        <w:softHyphen/>
        <w:t>ных узлов, доводкой и испытанием, наряду с заво</w:t>
      </w:r>
      <w:r w:rsidRPr="00F90EAE">
        <w:rPr>
          <w:color w:val="000000" w:themeColor="text1"/>
          <w:sz w:val="16"/>
          <w:szCs w:val="16"/>
        </w:rPr>
        <w:softHyphen/>
        <w:t>дом № 165, занимался Московский моторный завод № 45 (ныне "Салют"). К работе над двига</w:t>
      </w:r>
      <w:r w:rsidRPr="00F90EAE">
        <w:rPr>
          <w:color w:val="000000" w:themeColor="text1"/>
          <w:sz w:val="16"/>
          <w:szCs w:val="16"/>
        </w:rPr>
        <w:softHyphen/>
        <w:t>телем ТР-1 были привлечены и другие заводы, конструкторские бюро и институты авиационной промышленности. 27 февраля 1947 г. первый оте</w:t>
      </w:r>
      <w:r w:rsidRPr="00F90EAE">
        <w:rPr>
          <w:color w:val="000000" w:themeColor="text1"/>
          <w:sz w:val="16"/>
          <w:szCs w:val="16"/>
        </w:rPr>
        <w:softHyphen/>
        <w:t>чественный турбореактивный двигатель ТР-1 прошёл государственные испытания на ресурс в 20 часов, достигнув тяги 1350 кгс. На имя Люльки пришла поздравительная правительственная те</w:t>
      </w:r>
      <w:r w:rsidRPr="00F90EAE">
        <w:rPr>
          <w:color w:val="000000" w:themeColor="text1"/>
          <w:sz w:val="16"/>
          <w:szCs w:val="16"/>
        </w:rPr>
        <w:softHyphen/>
        <w:t>леграмма от Сталина. Люлька был награждён ор</w:t>
      </w:r>
      <w:r w:rsidRPr="00F90EAE">
        <w:rPr>
          <w:color w:val="000000" w:themeColor="text1"/>
          <w:sz w:val="16"/>
          <w:szCs w:val="16"/>
        </w:rPr>
        <w:softHyphen/>
        <w:t>деном Ленина, а затем получил Государственную премию, большую группу его соратников награ</w:t>
      </w:r>
      <w:r w:rsidRPr="00F90EAE">
        <w:rPr>
          <w:color w:val="000000" w:themeColor="text1"/>
          <w:sz w:val="16"/>
          <w:szCs w:val="16"/>
        </w:rPr>
        <w:softHyphen/>
        <w:t>дили орденами и медалями. В том же 1947 г. состоялись первые полёты опытных истребителей Су-11, И-211 и бомбардировщика Ил-22 с двигателем ТР-1. Пилотировали машины Герои Советского Союза Г.М. Шиянов и В.К. Коккинаки (19701).</w:t>
      </w:r>
    </w:p>
    <w:p w14:paraId="14912757" w14:textId="77777777" w:rsidR="00BA025E" w:rsidRPr="00F90EAE" w:rsidRDefault="00BA025E" w:rsidP="00F90EAE">
      <w:pPr>
        <w:jc w:val="both"/>
        <w:rPr>
          <w:color w:val="000000" w:themeColor="text1"/>
          <w:sz w:val="16"/>
          <w:szCs w:val="16"/>
        </w:rPr>
      </w:pPr>
    </w:p>
    <w:p w14:paraId="1F9EE17D" w14:textId="77777777" w:rsidR="00503A32" w:rsidRPr="00F90EAE" w:rsidRDefault="00503A32" w:rsidP="00F90EAE">
      <w:pPr>
        <w:jc w:val="both"/>
        <w:rPr>
          <w:color w:val="000000" w:themeColor="text1"/>
          <w:sz w:val="16"/>
          <w:szCs w:val="16"/>
        </w:rPr>
      </w:pPr>
      <w:r w:rsidRPr="00F90EAE">
        <w:rPr>
          <w:color w:val="000000" w:themeColor="text1"/>
          <w:sz w:val="16"/>
          <w:szCs w:val="16"/>
        </w:rPr>
        <w:t>30 марта 1945 г. Из докладной записки директора завода № 16 М. М. Лукина секретарю ЦК ВКП (б) Г. М. Маленкову о работе завода № 16 в годы Великой Отечественной войны</w:t>
      </w:r>
    </w:p>
    <w:p w14:paraId="2D3D4AAF" w14:textId="77777777" w:rsidR="00503A32" w:rsidRPr="00F90EAE" w:rsidRDefault="00503A32" w:rsidP="00F90EAE">
      <w:pPr>
        <w:jc w:val="both"/>
        <w:rPr>
          <w:color w:val="000000" w:themeColor="text1"/>
          <w:sz w:val="16"/>
          <w:szCs w:val="16"/>
        </w:rPr>
      </w:pPr>
      <w:r w:rsidRPr="00F90EAE">
        <w:rPr>
          <w:color w:val="000000" w:themeColor="text1"/>
          <w:sz w:val="16"/>
          <w:szCs w:val="16"/>
        </w:rPr>
        <w:t>[…]</w:t>
      </w:r>
      <w:hyperlink r:id="rId81" w:anchor="_ftn1" w:history="1">
        <w:r w:rsidRPr="00F90EAE">
          <w:rPr>
            <w:color w:val="000000" w:themeColor="text1"/>
            <w:sz w:val="16"/>
            <w:szCs w:val="16"/>
          </w:rPr>
          <w:t>[1]</w:t>
        </w:r>
      </w:hyperlink>
      <w:r w:rsidRPr="00F90EAE">
        <w:rPr>
          <w:color w:val="000000" w:themeColor="text1"/>
          <w:sz w:val="16"/>
          <w:szCs w:val="16"/>
        </w:rPr>
        <w:t xml:space="preserve"> Коллектив инженеров и техников, практиков-мастеров и рабочих на деле доказал свою высокую техническую зрелость и в начале 1940 г. решением правительства завод был переведен на выпуск боевых моторов – ВК-105 (М-105).</w:t>
      </w:r>
    </w:p>
    <w:p w14:paraId="2366DFFC" w14:textId="77777777" w:rsidR="00503A32" w:rsidRPr="00F90EAE" w:rsidRDefault="00503A32" w:rsidP="00F90EAE">
      <w:pPr>
        <w:jc w:val="both"/>
        <w:rPr>
          <w:color w:val="000000" w:themeColor="text1"/>
          <w:sz w:val="16"/>
          <w:szCs w:val="16"/>
        </w:rPr>
      </w:pPr>
      <w:r w:rsidRPr="00F90EAE">
        <w:rPr>
          <w:color w:val="000000" w:themeColor="text1"/>
          <w:sz w:val="16"/>
          <w:szCs w:val="16"/>
        </w:rPr>
        <w:t>К моменту перехода завода на выпуск боевых моторов заводом было выпущено:</w:t>
      </w:r>
    </w:p>
    <w:p w14:paraId="3CAB9A2B" w14:textId="77777777" w:rsidR="00503A32" w:rsidRPr="00F90EAE" w:rsidRDefault="00503A32" w:rsidP="00F90EAE">
      <w:pPr>
        <w:jc w:val="both"/>
        <w:rPr>
          <w:color w:val="000000" w:themeColor="text1"/>
          <w:sz w:val="16"/>
          <w:szCs w:val="16"/>
        </w:rPr>
      </w:pPr>
      <w:r w:rsidRPr="00F90EAE">
        <w:rPr>
          <w:color w:val="000000" w:themeColor="text1"/>
          <w:sz w:val="16"/>
          <w:szCs w:val="16"/>
        </w:rPr>
        <w:t>моторов М-11 - 20651 шт.</w:t>
      </w:r>
    </w:p>
    <w:p w14:paraId="1E463260" w14:textId="77777777" w:rsidR="00503A32" w:rsidRPr="00F90EAE" w:rsidRDefault="00503A32" w:rsidP="00F90EAE">
      <w:pPr>
        <w:jc w:val="both"/>
        <w:rPr>
          <w:color w:val="000000" w:themeColor="text1"/>
          <w:sz w:val="16"/>
          <w:szCs w:val="16"/>
        </w:rPr>
      </w:pPr>
      <w:r w:rsidRPr="00F90EAE">
        <w:rPr>
          <w:color w:val="000000" w:themeColor="text1"/>
          <w:sz w:val="16"/>
          <w:szCs w:val="16"/>
        </w:rPr>
        <w:t>моторов МВ-4 - 85 шт.</w:t>
      </w:r>
    </w:p>
    <w:p w14:paraId="06073CAF" w14:textId="77777777" w:rsidR="00503A32" w:rsidRPr="00F90EAE" w:rsidRDefault="00503A32" w:rsidP="00F90EAE">
      <w:pPr>
        <w:jc w:val="both"/>
        <w:rPr>
          <w:color w:val="000000" w:themeColor="text1"/>
          <w:sz w:val="16"/>
          <w:szCs w:val="16"/>
        </w:rPr>
      </w:pPr>
      <w:r w:rsidRPr="00F90EAE">
        <w:rPr>
          <w:color w:val="000000" w:themeColor="text1"/>
          <w:sz w:val="16"/>
          <w:szCs w:val="16"/>
        </w:rPr>
        <w:t>моторов МВ-6 - 109 шт.</w:t>
      </w:r>
    </w:p>
    <w:p w14:paraId="5EAFB4B4" w14:textId="77777777" w:rsidR="00503A32" w:rsidRPr="00F90EAE" w:rsidRDefault="00503A32" w:rsidP="00F90EAE">
      <w:pPr>
        <w:jc w:val="both"/>
        <w:rPr>
          <w:color w:val="000000" w:themeColor="text1"/>
          <w:sz w:val="16"/>
          <w:szCs w:val="16"/>
        </w:rPr>
      </w:pPr>
      <w:r w:rsidRPr="00F90EAE">
        <w:rPr>
          <w:color w:val="000000" w:themeColor="text1"/>
          <w:sz w:val="16"/>
          <w:szCs w:val="16"/>
        </w:rPr>
        <w:t>Небольшой срок прошел со времени перехода завода № 16 на выпуск боевых моторов.</w:t>
      </w:r>
    </w:p>
    <w:p w14:paraId="15B440E6" w14:textId="77777777" w:rsidR="00503A32" w:rsidRPr="00F90EAE" w:rsidRDefault="00503A32" w:rsidP="00F90EAE">
      <w:pPr>
        <w:jc w:val="both"/>
        <w:rPr>
          <w:color w:val="000000" w:themeColor="text1"/>
          <w:sz w:val="16"/>
          <w:szCs w:val="16"/>
        </w:rPr>
      </w:pPr>
      <w:r w:rsidRPr="00F90EAE">
        <w:rPr>
          <w:color w:val="000000" w:themeColor="text1"/>
          <w:sz w:val="16"/>
          <w:szCs w:val="16"/>
        </w:rPr>
        <w:t>К своему десятилетию авиамоторный завод № 16 уже приходит с выпуском 15000 боевых моторов ВК-105.</w:t>
      </w:r>
    </w:p>
    <w:p w14:paraId="3F2A736C" w14:textId="77777777" w:rsidR="00503A32" w:rsidRPr="00F90EAE" w:rsidRDefault="00503A32" w:rsidP="00F90EAE">
      <w:pPr>
        <w:jc w:val="both"/>
        <w:rPr>
          <w:color w:val="000000" w:themeColor="text1"/>
          <w:sz w:val="16"/>
          <w:szCs w:val="16"/>
        </w:rPr>
      </w:pPr>
      <w:r w:rsidRPr="00F90EAE">
        <w:rPr>
          <w:color w:val="000000" w:themeColor="text1"/>
          <w:sz w:val="16"/>
          <w:szCs w:val="16"/>
        </w:rPr>
        <w:t>18 марта с. г. был снят с конвейера 15000-й боевой мотор.</w:t>
      </w:r>
    </w:p>
    <w:p w14:paraId="5A9AD518" w14:textId="77777777" w:rsidR="00503A32" w:rsidRPr="00F90EAE" w:rsidRDefault="00503A32" w:rsidP="00F90EAE">
      <w:pPr>
        <w:jc w:val="both"/>
        <w:rPr>
          <w:color w:val="000000" w:themeColor="text1"/>
          <w:sz w:val="16"/>
          <w:szCs w:val="16"/>
        </w:rPr>
      </w:pPr>
      <w:r w:rsidRPr="00F90EAE">
        <w:rPr>
          <w:color w:val="000000" w:themeColor="text1"/>
          <w:sz w:val="16"/>
          <w:szCs w:val="16"/>
        </w:rPr>
        <w:t>Небольшой срок также отделяет нас от даты 18-20 апреля 1945 г., когда с конвейера завода сойдет 15000-й мотор ВК-105, собранный заводом только за период Великой Отечественной войны.</w:t>
      </w:r>
    </w:p>
    <w:p w14:paraId="00EDD1EA" w14:textId="77777777" w:rsidR="00503A32" w:rsidRPr="00F90EAE" w:rsidRDefault="00503A32" w:rsidP="00F90EAE">
      <w:pPr>
        <w:jc w:val="both"/>
        <w:rPr>
          <w:color w:val="000000" w:themeColor="text1"/>
          <w:sz w:val="16"/>
          <w:szCs w:val="16"/>
        </w:rPr>
      </w:pPr>
      <w:r w:rsidRPr="00F90EAE">
        <w:rPr>
          <w:color w:val="000000" w:themeColor="text1"/>
          <w:sz w:val="16"/>
          <w:szCs w:val="16"/>
        </w:rPr>
        <w:t>И к третьей годовщине Всесоюзного социалистического соревнования, подводя некоторые итоги работы завода, считаем также возможным доложить Вам о некоторых успехах и достижениях коллектива завода за время Отечественной войны.</w:t>
      </w:r>
    </w:p>
    <w:p w14:paraId="3E9AA977" w14:textId="77777777" w:rsidR="00503A32" w:rsidRPr="00F90EAE" w:rsidRDefault="00503A32" w:rsidP="00F90EAE">
      <w:pPr>
        <w:jc w:val="both"/>
        <w:rPr>
          <w:color w:val="000000" w:themeColor="text1"/>
          <w:sz w:val="16"/>
          <w:szCs w:val="16"/>
        </w:rPr>
      </w:pPr>
      <w:r w:rsidRPr="00F90EAE">
        <w:rPr>
          <w:color w:val="000000" w:themeColor="text1"/>
          <w:sz w:val="16"/>
          <w:szCs w:val="16"/>
        </w:rPr>
        <w:t>Период работы завода по выпуску боевых моторов характеризуется непрерывным ростом как количественных, так и качественных показателей:</w:t>
      </w:r>
    </w:p>
    <w:p w14:paraId="4E64218F" w14:textId="77777777" w:rsidR="00503A32" w:rsidRPr="00F90EAE" w:rsidRDefault="00503A32" w:rsidP="00F90EAE">
      <w:pPr>
        <w:jc w:val="both"/>
        <w:rPr>
          <w:color w:val="000000" w:themeColor="text1"/>
          <w:sz w:val="16"/>
          <w:szCs w:val="16"/>
        </w:rPr>
      </w:pPr>
      <w:r w:rsidRPr="00F90EAE">
        <w:rPr>
          <w:color w:val="000000" w:themeColor="text1"/>
          <w:sz w:val="16"/>
          <w:szCs w:val="16"/>
        </w:rPr>
        <w:t>а) Выпуск моторов ВК-105 по годам (в штуках):</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5"/>
        <w:gridCol w:w="1515"/>
        <w:gridCol w:w="1515"/>
        <w:gridCol w:w="1515"/>
        <w:gridCol w:w="1515"/>
      </w:tblGrid>
      <w:tr w:rsidR="00561F31" w:rsidRPr="00F90EAE" w14:paraId="3F8F56E6"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2683C65" w14:textId="77777777" w:rsidR="00503A32" w:rsidRPr="00F90EAE" w:rsidRDefault="00503A32" w:rsidP="00F90EAE">
            <w:pPr>
              <w:jc w:val="both"/>
              <w:rPr>
                <w:color w:val="000000" w:themeColor="text1"/>
                <w:sz w:val="16"/>
                <w:szCs w:val="16"/>
              </w:rPr>
            </w:pPr>
            <w:r w:rsidRPr="00F90EAE">
              <w:rPr>
                <w:color w:val="000000" w:themeColor="text1"/>
                <w:sz w:val="16"/>
                <w:szCs w:val="16"/>
              </w:rPr>
              <w:t>1940 г.</w:t>
            </w:r>
          </w:p>
        </w:tc>
        <w:tc>
          <w:tcPr>
            <w:tcW w:w="1515" w:type="dxa"/>
            <w:tcBorders>
              <w:top w:val="outset" w:sz="6" w:space="0" w:color="auto"/>
              <w:left w:val="outset" w:sz="6" w:space="0" w:color="auto"/>
              <w:bottom w:val="outset" w:sz="6" w:space="0" w:color="auto"/>
              <w:right w:val="outset" w:sz="6" w:space="0" w:color="auto"/>
            </w:tcBorders>
            <w:hideMark/>
          </w:tcPr>
          <w:p w14:paraId="23E1D98B" w14:textId="77777777" w:rsidR="00503A32" w:rsidRPr="00F90EAE" w:rsidRDefault="00503A32" w:rsidP="00F90EAE">
            <w:pPr>
              <w:jc w:val="both"/>
              <w:rPr>
                <w:color w:val="000000" w:themeColor="text1"/>
                <w:sz w:val="16"/>
                <w:szCs w:val="16"/>
              </w:rPr>
            </w:pPr>
            <w:r w:rsidRPr="00F90EAE">
              <w:rPr>
                <w:color w:val="000000" w:themeColor="text1"/>
                <w:sz w:val="16"/>
                <w:szCs w:val="16"/>
              </w:rPr>
              <w:t>1941 г.</w:t>
            </w:r>
          </w:p>
        </w:tc>
        <w:tc>
          <w:tcPr>
            <w:tcW w:w="1515" w:type="dxa"/>
            <w:tcBorders>
              <w:top w:val="outset" w:sz="6" w:space="0" w:color="auto"/>
              <w:left w:val="outset" w:sz="6" w:space="0" w:color="auto"/>
              <w:bottom w:val="outset" w:sz="6" w:space="0" w:color="auto"/>
              <w:right w:val="outset" w:sz="6" w:space="0" w:color="auto"/>
            </w:tcBorders>
            <w:hideMark/>
          </w:tcPr>
          <w:p w14:paraId="2A635DDF" w14:textId="77777777" w:rsidR="00503A32" w:rsidRPr="00F90EAE" w:rsidRDefault="00503A32" w:rsidP="00F90EAE">
            <w:pPr>
              <w:jc w:val="both"/>
              <w:rPr>
                <w:color w:val="000000" w:themeColor="text1"/>
                <w:sz w:val="16"/>
                <w:szCs w:val="16"/>
              </w:rPr>
            </w:pPr>
            <w:r w:rsidRPr="00F90EAE">
              <w:rPr>
                <w:color w:val="000000" w:themeColor="text1"/>
                <w:sz w:val="16"/>
                <w:szCs w:val="16"/>
              </w:rPr>
              <w:t>1942 г.</w:t>
            </w:r>
          </w:p>
        </w:tc>
        <w:tc>
          <w:tcPr>
            <w:tcW w:w="1515" w:type="dxa"/>
            <w:tcBorders>
              <w:top w:val="outset" w:sz="6" w:space="0" w:color="auto"/>
              <w:left w:val="outset" w:sz="6" w:space="0" w:color="auto"/>
              <w:bottom w:val="outset" w:sz="6" w:space="0" w:color="auto"/>
              <w:right w:val="outset" w:sz="6" w:space="0" w:color="auto"/>
            </w:tcBorders>
            <w:hideMark/>
          </w:tcPr>
          <w:p w14:paraId="41150C94" w14:textId="77777777" w:rsidR="00503A32" w:rsidRPr="00F90EAE" w:rsidRDefault="00503A32" w:rsidP="00F90EAE">
            <w:pPr>
              <w:jc w:val="both"/>
              <w:rPr>
                <w:color w:val="000000" w:themeColor="text1"/>
                <w:sz w:val="16"/>
                <w:szCs w:val="16"/>
              </w:rPr>
            </w:pPr>
            <w:r w:rsidRPr="00F90EAE">
              <w:rPr>
                <w:color w:val="000000" w:themeColor="text1"/>
                <w:sz w:val="16"/>
                <w:szCs w:val="16"/>
              </w:rPr>
              <w:t>1943 г.</w:t>
            </w:r>
          </w:p>
        </w:tc>
        <w:tc>
          <w:tcPr>
            <w:tcW w:w="1515" w:type="dxa"/>
            <w:tcBorders>
              <w:top w:val="outset" w:sz="6" w:space="0" w:color="auto"/>
              <w:left w:val="outset" w:sz="6" w:space="0" w:color="auto"/>
              <w:bottom w:val="outset" w:sz="6" w:space="0" w:color="auto"/>
              <w:right w:val="outset" w:sz="6" w:space="0" w:color="auto"/>
            </w:tcBorders>
            <w:hideMark/>
          </w:tcPr>
          <w:p w14:paraId="5F905810" w14:textId="77777777" w:rsidR="00503A32" w:rsidRPr="00F90EAE" w:rsidRDefault="00503A32" w:rsidP="00F90EAE">
            <w:pPr>
              <w:jc w:val="both"/>
              <w:rPr>
                <w:color w:val="000000" w:themeColor="text1"/>
                <w:sz w:val="16"/>
                <w:szCs w:val="16"/>
              </w:rPr>
            </w:pPr>
            <w:r w:rsidRPr="00F90EAE">
              <w:rPr>
                <w:color w:val="000000" w:themeColor="text1"/>
                <w:sz w:val="16"/>
                <w:szCs w:val="16"/>
              </w:rPr>
              <w:t>1944 г.</w:t>
            </w:r>
          </w:p>
        </w:tc>
      </w:tr>
      <w:tr w:rsidR="00561F31" w:rsidRPr="00F90EAE" w14:paraId="3F2FC85E" w14:textId="77777777" w:rsidTr="0053208B">
        <w:trPr>
          <w:tblCellSpacing w:w="0" w:type="dxa"/>
        </w:trPr>
        <w:tc>
          <w:tcPr>
            <w:tcW w:w="1515" w:type="dxa"/>
            <w:tcBorders>
              <w:top w:val="outset" w:sz="6" w:space="0" w:color="auto"/>
              <w:left w:val="outset" w:sz="6" w:space="0" w:color="auto"/>
              <w:bottom w:val="outset" w:sz="6" w:space="0" w:color="auto"/>
              <w:right w:val="outset" w:sz="6" w:space="0" w:color="auto"/>
            </w:tcBorders>
            <w:hideMark/>
          </w:tcPr>
          <w:p w14:paraId="79057D68" w14:textId="77777777" w:rsidR="00503A32" w:rsidRPr="00F90EAE" w:rsidRDefault="00503A32" w:rsidP="00F90EAE">
            <w:pPr>
              <w:jc w:val="both"/>
              <w:rPr>
                <w:color w:val="000000" w:themeColor="text1"/>
                <w:sz w:val="16"/>
                <w:szCs w:val="16"/>
              </w:rPr>
            </w:pPr>
            <w:r w:rsidRPr="00F90EAE">
              <w:rPr>
                <w:color w:val="000000" w:themeColor="text1"/>
                <w:sz w:val="16"/>
                <w:szCs w:val="16"/>
              </w:rPr>
              <w:t>41</w:t>
            </w:r>
          </w:p>
        </w:tc>
        <w:tc>
          <w:tcPr>
            <w:tcW w:w="1515" w:type="dxa"/>
            <w:tcBorders>
              <w:top w:val="outset" w:sz="6" w:space="0" w:color="auto"/>
              <w:left w:val="outset" w:sz="6" w:space="0" w:color="auto"/>
              <w:bottom w:val="outset" w:sz="6" w:space="0" w:color="auto"/>
              <w:right w:val="outset" w:sz="6" w:space="0" w:color="auto"/>
            </w:tcBorders>
            <w:hideMark/>
          </w:tcPr>
          <w:p w14:paraId="62A90666" w14:textId="77777777" w:rsidR="00503A32" w:rsidRPr="00F90EAE" w:rsidRDefault="00503A32" w:rsidP="00F90EAE">
            <w:pPr>
              <w:jc w:val="both"/>
              <w:rPr>
                <w:color w:val="000000" w:themeColor="text1"/>
                <w:sz w:val="16"/>
                <w:szCs w:val="16"/>
              </w:rPr>
            </w:pPr>
            <w:r w:rsidRPr="00F90EAE">
              <w:rPr>
                <w:color w:val="000000" w:themeColor="text1"/>
                <w:sz w:val="16"/>
                <w:szCs w:val="16"/>
              </w:rPr>
              <w:t>1337</w:t>
            </w:r>
          </w:p>
        </w:tc>
        <w:tc>
          <w:tcPr>
            <w:tcW w:w="1515" w:type="dxa"/>
            <w:tcBorders>
              <w:top w:val="outset" w:sz="6" w:space="0" w:color="auto"/>
              <w:left w:val="outset" w:sz="6" w:space="0" w:color="auto"/>
              <w:bottom w:val="outset" w:sz="6" w:space="0" w:color="auto"/>
              <w:right w:val="outset" w:sz="6" w:space="0" w:color="auto"/>
            </w:tcBorders>
            <w:hideMark/>
          </w:tcPr>
          <w:p w14:paraId="09676E92" w14:textId="77777777" w:rsidR="00503A32" w:rsidRPr="00F90EAE" w:rsidRDefault="00503A32" w:rsidP="00F90EAE">
            <w:pPr>
              <w:jc w:val="both"/>
              <w:rPr>
                <w:color w:val="000000" w:themeColor="text1"/>
                <w:sz w:val="16"/>
                <w:szCs w:val="16"/>
              </w:rPr>
            </w:pPr>
            <w:r w:rsidRPr="00F90EAE">
              <w:rPr>
                <w:color w:val="000000" w:themeColor="text1"/>
                <w:sz w:val="16"/>
                <w:szCs w:val="16"/>
              </w:rPr>
              <w:t>2916</w:t>
            </w:r>
          </w:p>
        </w:tc>
        <w:tc>
          <w:tcPr>
            <w:tcW w:w="1515" w:type="dxa"/>
            <w:tcBorders>
              <w:top w:val="outset" w:sz="6" w:space="0" w:color="auto"/>
              <w:left w:val="outset" w:sz="6" w:space="0" w:color="auto"/>
              <w:bottom w:val="outset" w:sz="6" w:space="0" w:color="auto"/>
              <w:right w:val="outset" w:sz="6" w:space="0" w:color="auto"/>
            </w:tcBorders>
            <w:hideMark/>
          </w:tcPr>
          <w:p w14:paraId="60097FA6" w14:textId="77777777" w:rsidR="00503A32" w:rsidRPr="00F90EAE" w:rsidRDefault="00503A32" w:rsidP="00F90EAE">
            <w:pPr>
              <w:jc w:val="both"/>
              <w:rPr>
                <w:color w:val="000000" w:themeColor="text1"/>
                <w:sz w:val="16"/>
                <w:szCs w:val="16"/>
              </w:rPr>
            </w:pPr>
            <w:r w:rsidRPr="00F90EAE">
              <w:rPr>
                <w:color w:val="000000" w:themeColor="text1"/>
                <w:sz w:val="16"/>
                <w:szCs w:val="16"/>
              </w:rPr>
              <w:t>4421</w:t>
            </w:r>
          </w:p>
        </w:tc>
        <w:tc>
          <w:tcPr>
            <w:tcW w:w="1515" w:type="dxa"/>
            <w:tcBorders>
              <w:top w:val="outset" w:sz="6" w:space="0" w:color="auto"/>
              <w:left w:val="outset" w:sz="6" w:space="0" w:color="auto"/>
              <w:bottom w:val="outset" w:sz="6" w:space="0" w:color="auto"/>
              <w:right w:val="outset" w:sz="6" w:space="0" w:color="auto"/>
            </w:tcBorders>
            <w:hideMark/>
          </w:tcPr>
          <w:p w14:paraId="6772EE60" w14:textId="77777777" w:rsidR="00503A32" w:rsidRPr="00F90EAE" w:rsidRDefault="00503A32" w:rsidP="00F90EAE">
            <w:pPr>
              <w:jc w:val="both"/>
              <w:rPr>
                <w:color w:val="000000" w:themeColor="text1"/>
                <w:sz w:val="16"/>
                <w:szCs w:val="16"/>
              </w:rPr>
            </w:pPr>
            <w:r w:rsidRPr="00F90EAE">
              <w:rPr>
                <w:color w:val="000000" w:themeColor="text1"/>
                <w:sz w:val="16"/>
                <w:szCs w:val="16"/>
              </w:rPr>
              <w:t>4975</w:t>
            </w:r>
          </w:p>
        </w:tc>
      </w:tr>
    </w:tbl>
    <w:p w14:paraId="2726A2C7" w14:textId="77777777" w:rsidR="00503A32" w:rsidRPr="00F90EAE" w:rsidRDefault="00503A32" w:rsidP="00F90EAE">
      <w:pPr>
        <w:jc w:val="both"/>
        <w:rPr>
          <w:color w:val="000000" w:themeColor="text1"/>
          <w:sz w:val="16"/>
          <w:szCs w:val="16"/>
        </w:rPr>
      </w:pPr>
      <w:r w:rsidRPr="00F90EAE">
        <w:rPr>
          <w:color w:val="000000" w:themeColor="text1"/>
          <w:sz w:val="16"/>
          <w:szCs w:val="16"/>
        </w:rPr>
        <w:t>[…] В марте месяце с. г. завод достиг проектной мощности среднемесячного выпуска моторов ВК-105ПФ - 500 шт., дав Военно-Воздушным Силам страны 506 моторов.</w:t>
      </w:r>
    </w:p>
    <w:p w14:paraId="103F83F6" w14:textId="77777777" w:rsidR="00503A32" w:rsidRPr="00F90EAE" w:rsidRDefault="00503A32" w:rsidP="00F90EAE">
      <w:pPr>
        <w:jc w:val="both"/>
        <w:rPr>
          <w:color w:val="000000" w:themeColor="text1"/>
          <w:sz w:val="16"/>
          <w:szCs w:val="16"/>
        </w:rPr>
      </w:pPr>
      <w:r w:rsidRPr="00F90EAE">
        <w:rPr>
          <w:color w:val="000000" w:themeColor="text1"/>
          <w:sz w:val="16"/>
          <w:szCs w:val="16"/>
        </w:rPr>
        <w:t>Приведенные выше показатели далеко не характеризуют многих вопросов и мероприятий, проведенных заводом только лишь за военный период.</w:t>
      </w:r>
    </w:p>
    <w:p w14:paraId="6FB63BC5" w14:textId="77777777" w:rsidR="00503A32" w:rsidRPr="00F90EAE" w:rsidRDefault="00503A32" w:rsidP="00F90EAE">
      <w:pPr>
        <w:jc w:val="both"/>
        <w:rPr>
          <w:color w:val="000000" w:themeColor="text1"/>
          <w:sz w:val="16"/>
          <w:szCs w:val="16"/>
        </w:rPr>
      </w:pPr>
      <w:r w:rsidRPr="00F90EAE">
        <w:rPr>
          <w:color w:val="000000" w:themeColor="text1"/>
          <w:sz w:val="16"/>
          <w:szCs w:val="16"/>
        </w:rPr>
        <w:t>На протяжении всей работы завода коллективом, наряду с выпуском серийной продукции, оказывалась большая помощь заводам и организациям в создании новых образцов авиационной техники. […]</w:t>
      </w:r>
    </w:p>
    <w:p w14:paraId="3D1FF8BE" w14:textId="77777777" w:rsidR="00503A32" w:rsidRPr="00F90EAE" w:rsidRDefault="00503A32" w:rsidP="00F90EAE">
      <w:pPr>
        <w:jc w:val="both"/>
        <w:rPr>
          <w:color w:val="000000" w:themeColor="text1"/>
          <w:sz w:val="16"/>
          <w:szCs w:val="16"/>
        </w:rPr>
      </w:pPr>
      <w:r w:rsidRPr="00F90EAE">
        <w:rPr>
          <w:color w:val="000000" w:themeColor="text1"/>
          <w:sz w:val="16"/>
          <w:szCs w:val="16"/>
        </w:rPr>
        <w:t>Особенно в больших размерах развернулись эти работы в период Отечественной войны:</w:t>
      </w:r>
    </w:p>
    <w:p w14:paraId="0E965463" w14:textId="77777777" w:rsidR="00503A32" w:rsidRPr="00F90EAE" w:rsidRDefault="00503A32" w:rsidP="00F90EAE">
      <w:pPr>
        <w:jc w:val="both"/>
        <w:rPr>
          <w:color w:val="000000" w:themeColor="text1"/>
          <w:sz w:val="16"/>
          <w:szCs w:val="16"/>
        </w:rPr>
      </w:pPr>
      <w:r w:rsidRPr="00F90EAE">
        <w:rPr>
          <w:color w:val="000000" w:themeColor="text1"/>
          <w:sz w:val="16"/>
          <w:szCs w:val="16"/>
        </w:rPr>
        <w:t>1942-1943 гг. – активное участие коллектива завода в создании реактивных двигателей РД-1 и РД-3.</w:t>
      </w:r>
    </w:p>
    <w:p w14:paraId="383018C1" w14:textId="77777777" w:rsidR="00503A32" w:rsidRPr="00F90EAE" w:rsidRDefault="00503A32" w:rsidP="00F90EAE">
      <w:pPr>
        <w:jc w:val="both"/>
        <w:rPr>
          <w:color w:val="000000" w:themeColor="text1"/>
          <w:sz w:val="16"/>
          <w:szCs w:val="16"/>
        </w:rPr>
      </w:pPr>
      <w:r w:rsidRPr="00F90EAE">
        <w:rPr>
          <w:color w:val="000000" w:themeColor="text1"/>
          <w:sz w:val="16"/>
          <w:szCs w:val="16"/>
        </w:rPr>
        <w:t>1944 г. – выпуск в серийном производстве первой серии двигателей РД-1, проходящих в настоящее время летные испытания на самолетах: «Яковлев», «Лавочкин», «Сухой».</w:t>
      </w:r>
    </w:p>
    <w:p w14:paraId="28328632" w14:textId="77777777" w:rsidR="00503A32" w:rsidRPr="00F90EAE" w:rsidRDefault="00503A32" w:rsidP="00F90EAE">
      <w:pPr>
        <w:jc w:val="both"/>
        <w:rPr>
          <w:color w:val="000000" w:themeColor="text1"/>
          <w:sz w:val="16"/>
          <w:szCs w:val="16"/>
        </w:rPr>
      </w:pPr>
      <w:r w:rsidRPr="00F90EAE">
        <w:rPr>
          <w:color w:val="000000" w:themeColor="text1"/>
          <w:sz w:val="16"/>
          <w:szCs w:val="16"/>
        </w:rPr>
        <w:t>1944 г. – отработано и полностью внедрено в серию испытание моторов ВК-105ПФ с впрыском воды на низкооктановом топливе - бензине Б-70 вместо бензина Б-78, дающее колоссальную экономию дорогостоящего и высокооктанового топлива Б-78.</w:t>
      </w:r>
    </w:p>
    <w:p w14:paraId="3552FD16" w14:textId="77777777" w:rsidR="00503A32" w:rsidRPr="00F90EAE" w:rsidRDefault="00503A32" w:rsidP="00F90EAE">
      <w:pPr>
        <w:jc w:val="both"/>
        <w:rPr>
          <w:color w:val="000000" w:themeColor="text1"/>
          <w:sz w:val="16"/>
          <w:szCs w:val="16"/>
        </w:rPr>
      </w:pPr>
      <w:r w:rsidRPr="00F90EAE">
        <w:rPr>
          <w:color w:val="000000" w:themeColor="text1"/>
          <w:sz w:val="16"/>
          <w:szCs w:val="16"/>
        </w:rPr>
        <w:t>1944 г. – отработана и проверена многими длительными испытаниями новая конструкция верхнего уплотнения гильз блока, переданная заводу № 26 и осуществленная последним на моторе ВК-108, прошедшем государственные испытания с хорошей оценкой.</w:t>
      </w:r>
    </w:p>
    <w:p w14:paraId="4BC4156D" w14:textId="77777777" w:rsidR="00503A32" w:rsidRPr="00F90EAE" w:rsidRDefault="00503A32" w:rsidP="00F90EAE">
      <w:pPr>
        <w:jc w:val="both"/>
        <w:rPr>
          <w:color w:val="000000" w:themeColor="text1"/>
          <w:sz w:val="16"/>
          <w:szCs w:val="16"/>
        </w:rPr>
      </w:pPr>
      <w:r w:rsidRPr="00F90EAE">
        <w:rPr>
          <w:color w:val="000000" w:themeColor="text1"/>
          <w:sz w:val="16"/>
          <w:szCs w:val="16"/>
        </w:rPr>
        <w:t>1944-1945 гг. – оказана большая помощь ЦИАМу в изготовлении осевых компрессоров (изготовлено 8 комплектов) для воздушно-реактивного двигателя – ВРД.</w:t>
      </w:r>
    </w:p>
    <w:p w14:paraId="3C76C7AC" w14:textId="77777777" w:rsidR="00503A32" w:rsidRPr="00F90EAE" w:rsidRDefault="00503A32" w:rsidP="00F90EAE">
      <w:pPr>
        <w:jc w:val="both"/>
        <w:rPr>
          <w:color w:val="000000" w:themeColor="text1"/>
          <w:sz w:val="16"/>
          <w:szCs w:val="16"/>
        </w:rPr>
      </w:pPr>
      <w:r w:rsidRPr="00F90EAE">
        <w:rPr>
          <w:color w:val="000000" w:themeColor="text1"/>
          <w:sz w:val="16"/>
          <w:szCs w:val="16"/>
        </w:rPr>
        <w:t>1944 г. – изготовлены по решению ГОКО досрочно детали основного узла – редуктора мотора М-250 для ОКБ завода № 16.</w:t>
      </w:r>
    </w:p>
    <w:p w14:paraId="33D6D97E" w14:textId="77777777" w:rsidR="00503A32" w:rsidRPr="00F90EAE" w:rsidRDefault="00503A32" w:rsidP="00F90EAE">
      <w:pPr>
        <w:jc w:val="both"/>
        <w:rPr>
          <w:color w:val="000000" w:themeColor="text1"/>
          <w:sz w:val="16"/>
          <w:szCs w:val="16"/>
        </w:rPr>
      </w:pPr>
      <w:r w:rsidRPr="00F90EAE">
        <w:rPr>
          <w:color w:val="000000" w:themeColor="text1"/>
          <w:sz w:val="16"/>
          <w:szCs w:val="16"/>
        </w:rPr>
        <w:t>На протяжении 4 лет оказывается помощь НКСП в изготовлении реверс-муфт для военно-морских судов.</w:t>
      </w:r>
    </w:p>
    <w:p w14:paraId="54627F9A" w14:textId="77777777" w:rsidR="00503A32" w:rsidRPr="00F90EAE" w:rsidRDefault="00503A32" w:rsidP="00F90EAE">
      <w:pPr>
        <w:jc w:val="both"/>
        <w:rPr>
          <w:color w:val="000000" w:themeColor="text1"/>
          <w:sz w:val="16"/>
          <w:szCs w:val="16"/>
        </w:rPr>
      </w:pPr>
      <w:r w:rsidRPr="00F90EAE">
        <w:rPr>
          <w:color w:val="000000" w:themeColor="text1"/>
          <w:sz w:val="16"/>
          <w:szCs w:val="16"/>
        </w:rPr>
        <w:t>1944-1945 гг. – на серийном моторе ВК-105 ПФ закончены работы по повышению высотности мотора на 1800 м или на 70 %, при этом и мощность мотора возросла на 5 %.</w:t>
      </w:r>
    </w:p>
    <w:p w14:paraId="61C62610" w14:textId="77777777" w:rsidR="00503A32" w:rsidRPr="00F90EAE" w:rsidRDefault="00503A32" w:rsidP="00F90EAE">
      <w:pPr>
        <w:jc w:val="both"/>
        <w:rPr>
          <w:color w:val="000000" w:themeColor="text1"/>
          <w:sz w:val="16"/>
          <w:szCs w:val="16"/>
        </w:rPr>
      </w:pPr>
      <w:r w:rsidRPr="00F90EAE">
        <w:rPr>
          <w:color w:val="000000" w:themeColor="text1"/>
          <w:sz w:val="16"/>
          <w:szCs w:val="16"/>
        </w:rPr>
        <w:t>Моторы в настоящее время успешно проходят испытания на самолете Як-3 в ЛИИ НКАП и на самолете Пе-2 на заводе № 22.</w:t>
      </w:r>
    </w:p>
    <w:p w14:paraId="09AF1BF7" w14:textId="77777777" w:rsidR="00503A32" w:rsidRPr="00F90EAE" w:rsidRDefault="00503A32" w:rsidP="00F90EAE">
      <w:pPr>
        <w:jc w:val="both"/>
        <w:rPr>
          <w:color w:val="000000" w:themeColor="text1"/>
          <w:sz w:val="16"/>
          <w:szCs w:val="16"/>
        </w:rPr>
      </w:pPr>
      <w:r w:rsidRPr="00F90EAE">
        <w:rPr>
          <w:color w:val="000000" w:themeColor="text1"/>
          <w:sz w:val="16"/>
          <w:szCs w:val="16"/>
        </w:rPr>
        <w:t>Конструкторский отдел бензиновых двигателей на заводе совместно с серийным производством в настоящее время работает над созданием мощного в 3500 л. с. мотора МБ-103.</w:t>
      </w:r>
    </w:p>
    <w:p w14:paraId="1DD098A4" w14:textId="77777777" w:rsidR="00503A32" w:rsidRPr="00F90EAE" w:rsidRDefault="00503A32" w:rsidP="00F90EAE">
      <w:pPr>
        <w:jc w:val="both"/>
        <w:rPr>
          <w:color w:val="000000" w:themeColor="text1"/>
          <w:sz w:val="16"/>
          <w:szCs w:val="16"/>
        </w:rPr>
      </w:pPr>
      <w:r w:rsidRPr="00F90EAE">
        <w:rPr>
          <w:color w:val="000000" w:themeColor="text1"/>
          <w:sz w:val="16"/>
          <w:szCs w:val="16"/>
        </w:rPr>
        <w:t>Оказана большая помощь кинопромышленности изготовлением пуансонов и матриц для кинопленки, закупаемых ранее за границей, стоящих колоссальные суммы золотом. […]</w:t>
      </w:r>
    </w:p>
    <w:p w14:paraId="667C911C" w14:textId="77777777" w:rsidR="00503A32" w:rsidRPr="00F90EAE" w:rsidRDefault="00503A32" w:rsidP="00F90EAE">
      <w:pPr>
        <w:jc w:val="both"/>
        <w:rPr>
          <w:color w:val="000000" w:themeColor="text1"/>
          <w:sz w:val="16"/>
          <w:szCs w:val="16"/>
        </w:rPr>
      </w:pPr>
      <w:r w:rsidRPr="00F90EAE">
        <w:rPr>
          <w:color w:val="000000" w:themeColor="text1"/>
          <w:sz w:val="16"/>
          <w:szCs w:val="16"/>
        </w:rPr>
        <w:t>Директор завода № 16 М. Лукин</w:t>
      </w:r>
    </w:p>
    <w:p w14:paraId="53D7CE97" w14:textId="77777777" w:rsidR="00503A32" w:rsidRPr="00F90EAE" w:rsidRDefault="00503A32" w:rsidP="00F90EAE">
      <w:pPr>
        <w:jc w:val="both"/>
        <w:rPr>
          <w:color w:val="000000" w:themeColor="text1"/>
          <w:sz w:val="16"/>
          <w:szCs w:val="16"/>
        </w:rPr>
      </w:pPr>
      <w:r w:rsidRPr="00F90EAE">
        <w:rPr>
          <w:color w:val="000000" w:themeColor="text1"/>
          <w:sz w:val="16"/>
          <w:szCs w:val="16"/>
        </w:rPr>
        <w:t>НА РТ. Ф. Р-5940. Оп. 1. Д. 181. Л. 10, 12, 13, 20. Отпуск (15494).</w:t>
      </w:r>
    </w:p>
    <w:p w14:paraId="191D5485" w14:textId="77777777" w:rsidR="00503A32" w:rsidRPr="00F90EAE" w:rsidRDefault="00503A32" w:rsidP="00F90EAE">
      <w:pPr>
        <w:jc w:val="both"/>
        <w:rPr>
          <w:color w:val="000000" w:themeColor="text1"/>
          <w:sz w:val="16"/>
          <w:szCs w:val="16"/>
        </w:rPr>
      </w:pPr>
    </w:p>
    <w:p w14:paraId="154027B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9416B0E" w14:textId="77777777" w:rsidR="00665165" w:rsidRPr="00F90EAE" w:rsidRDefault="00665165" w:rsidP="00F90EAE">
      <w:pPr>
        <w:autoSpaceDE w:val="0"/>
        <w:autoSpaceDN w:val="0"/>
        <w:adjustRightInd w:val="0"/>
        <w:jc w:val="both"/>
        <w:rPr>
          <w:iCs/>
          <w:color w:val="000000" w:themeColor="text1"/>
          <w:sz w:val="16"/>
          <w:szCs w:val="16"/>
        </w:rPr>
      </w:pPr>
    </w:p>
    <w:p w14:paraId="3DB4D9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30 марта по 9 апреля 1945 объект 701 № 5 проходил испытания в тяжелых дорожных условиях. По ре</w:t>
      </w:r>
      <w:r w:rsidRPr="00F90EAE">
        <w:rPr>
          <w:color w:val="000000" w:themeColor="text1"/>
          <w:sz w:val="16"/>
          <w:szCs w:val="16"/>
        </w:rPr>
        <w:softHyphen/>
        <w:t>шению комиссии танк дополнительные испытания выдер</w:t>
      </w:r>
      <w:r w:rsidRPr="00F90EAE">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E05B5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C1DB6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вышло Распоряжение ГКО № 7951. О продлении до 10 апреля 1945 г. срока работы на лесозаготовках мобилизованных рабочих. РГАНИР, Фонд ГКО, д. 383, лл. 163 (11012).</w:t>
      </w:r>
    </w:p>
    <w:p w14:paraId="3ADCD182" w14:textId="77777777" w:rsidR="00665165" w:rsidRPr="00F90EAE" w:rsidRDefault="00665165" w:rsidP="00F90EAE">
      <w:pPr>
        <w:autoSpaceDE w:val="0"/>
        <w:autoSpaceDN w:val="0"/>
        <w:adjustRightInd w:val="0"/>
        <w:jc w:val="both"/>
        <w:rPr>
          <w:color w:val="000000" w:themeColor="text1"/>
          <w:sz w:val="16"/>
          <w:szCs w:val="16"/>
        </w:rPr>
      </w:pPr>
    </w:p>
    <w:p w14:paraId="445E2D1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марта 1945 вышло Распоряжение ГКО № 7952 [О мерах по достройке водопровода для завода №183 НКТП силами Тагилстроя НКВД.] (7318, 164-165).</w:t>
      </w:r>
    </w:p>
    <w:p w14:paraId="6BF47C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D4827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марта 1945 г. был подготовлен Отзыв начальника лаборатории № 2 Академии наук СССР И.В. Курчатова «О материале под заголовком "О немецкой атомной бомбе"»</w:t>
      </w:r>
    </w:p>
    <w:p w14:paraId="742D15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Совершенно секретно</w:t>
      </w:r>
    </w:p>
    <w:p w14:paraId="009466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(Особой важности)</w:t>
      </w:r>
    </w:p>
    <w:p w14:paraId="581ED6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Материал исключительно интересен. Он содержит описание конструк</w:t>
      </w:r>
      <w:r w:rsidRPr="00F90EAE">
        <w:rPr>
          <w:color w:val="000000" w:themeColor="text1"/>
          <w:sz w:val="16"/>
          <w:szCs w:val="16"/>
        </w:rPr>
        <w:softHyphen/>
        <w:t>ции немецкой атомной бомбы, предназначенной к транспортировке на ра</w:t>
      </w:r>
      <w:r w:rsidRPr="00F90EAE">
        <w:rPr>
          <w:color w:val="000000" w:themeColor="text1"/>
          <w:sz w:val="16"/>
          <w:szCs w:val="16"/>
        </w:rPr>
        <w:softHyphen/>
        <w:t>кетном двигателе типа «Фау».</w:t>
      </w:r>
    </w:p>
    <w:p w14:paraId="322470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Перевод урана-235 через критическую массу, который необходим для развития цепного атомного процесса, производится в описываемой кон</w:t>
      </w:r>
      <w:r w:rsidRPr="00F90EAE">
        <w:rPr>
          <w:color w:val="000000" w:themeColor="text1"/>
          <w:sz w:val="16"/>
          <w:szCs w:val="16"/>
        </w:rPr>
        <w:softHyphen/>
        <w:t>струкции взрывом окружающей уран-235 смеси пористого тринитротолуо</w:t>
      </w:r>
      <w:r w:rsidRPr="00F90EAE">
        <w:rPr>
          <w:color w:val="000000" w:themeColor="text1"/>
          <w:sz w:val="16"/>
          <w:szCs w:val="16"/>
        </w:rPr>
        <w:softHyphen/>
        <w:t>ла и жидкого кислорода. Запал урана осуществляется быстрыми нейтрона</w:t>
      </w:r>
      <w:r w:rsidRPr="00F90EAE">
        <w:rPr>
          <w:color w:val="000000" w:themeColor="text1"/>
          <w:sz w:val="16"/>
          <w:szCs w:val="16"/>
        </w:rPr>
        <w:softHyphen/>
        <w:t>ми, генерируемыми при помощи высоковольтной разрядной трубки, питаемой от специальных генераторов.</w:t>
      </w:r>
    </w:p>
    <w:p w14:paraId="3B0A98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защиты от тепловых нейтронов футляр с ураном окружается слоем кадмия.</w:t>
      </w:r>
    </w:p>
    <w:p w14:paraId="207C60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эти детали конструкции вполне правдоподобны.</w:t>
      </w:r>
    </w:p>
    <w:p w14:paraId="5E9C1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Надо отметить, что на основании ознакомления с материалами у меня не осталось полной уверенности, что немцы действительно делали опыты с атомной бомбой. Эффект разрушения от атомной бомбы должен быть боль</w:t>
      </w:r>
      <w:r w:rsidRPr="00F90EAE">
        <w:rPr>
          <w:color w:val="000000" w:themeColor="text1"/>
          <w:sz w:val="16"/>
          <w:szCs w:val="16"/>
        </w:rPr>
        <w:softHyphen/>
        <w:t>шим, чем указано, и распространяться на несколько километров, а не сотен метров. Опыты, о которых идет речь в материалах, могли быть предварительными и делаться на конструкциях, предназначенных для атомных бомб, но без снаряжения ее ураном-235.</w:t>
      </w:r>
    </w:p>
    <w:p w14:paraId="249CC9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Желательно получить дополнительные сведения о ходе опытов, которые бы помогли уяснить положение, и образцы урана-235.</w:t>
      </w:r>
    </w:p>
    <w:p w14:paraId="2DD93F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Некоторые моменты, являющиеся, судя по описанию, весьма существен</w:t>
      </w:r>
      <w:r w:rsidRPr="00F90EAE">
        <w:rPr>
          <w:color w:val="000000" w:themeColor="text1"/>
          <w:sz w:val="16"/>
          <w:szCs w:val="16"/>
        </w:rPr>
        <w:softHyphen/>
        <w:t>ными для действия атомной бомбы, остаются для меня неясными.</w:t>
      </w:r>
    </w:p>
    <w:p w14:paraId="025B6F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ним относится: 1) предварительное подготовительное действие на уран гамма-лучей с энергией, не большей 6 миллионов электронвольт; 2) указание, что на разрушение урана-235 весьма благоприятно действует радиоактивный элемент 93, который получается из урана облучением ней</w:t>
      </w:r>
      <w:r w:rsidRPr="00F90EAE">
        <w:rPr>
          <w:color w:val="000000" w:themeColor="text1"/>
          <w:sz w:val="16"/>
          <w:szCs w:val="16"/>
        </w:rPr>
        <w:softHyphen/>
        <w:t>тронами.</w:t>
      </w:r>
    </w:p>
    <w:p w14:paraId="08D392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Трудно себе представить, что какое бы то ни было воздействие гамма-лу</w:t>
      </w:r>
      <w:r w:rsidRPr="00F90EAE">
        <w:rPr>
          <w:color w:val="000000" w:themeColor="text1"/>
          <w:sz w:val="16"/>
          <w:szCs w:val="16"/>
        </w:rPr>
        <w:softHyphen/>
        <w:t>чей или нейтронов могло существенным образом изменить взрывные свой</w:t>
      </w:r>
      <w:r w:rsidRPr="00F90EAE">
        <w:rPr>
          <w:color w:val="000000" w:themeColor="text1"/>
          <w:sz w:val="16"/>
          <w:szCs w:val="16"/>
        </w:rPr>
        <w:softHyphen/>
        <w:t>ства урана-235.</w:t>
      </w:r>
    </w:p>
    <w:p w14:paraId="37A6F7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Только при больших интенсивностях этого облучения при помощи атом</w:t>
      </w:r>
      <w:r w:rsidRPr="00F90EAE">
        <w:rPr>
          <w:color w:val="000000" w:themeColor="text1"/>
          <w:sz w:val="16"/>
          <w:szCs w:val="16"/>
        </w:rPr>
        <w:softHyphen/>
        <w:t>ных котлов можно заметно изменить свойства урана-235. Скорее, здесь речь может идти о тонкостях начала взрывного процесса, базирующихся на ка</w:t>
      </w:r>
      <w:r w:rsidRPr="00F90EAE">
        <w:rPr>
          <w:color w:val="000000" w:themeColor="text1"/>
          <w:sz w:val="16"/>
          <w:szCs w:val="16"/>
        </w:rPr>
        <w:softHyphen/>
        <w:t>ких-то новых физических данных по процессу взаимодействия нейтронов с атомными ядрами урана.</w:t>
      </w:r>
    </w:p>
    <w:p w14:paraId="1B6E64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Было бы исключительно важно получить по этим вопросам более под</w:t>
      </w:r>
      <w:r w:rsidRPr="00F90EAE">
        <w:rPr>
          <w:color w:val="000000" w:themeColor="text1"/>
          <w:sz w:val="16"/>
          <w:szCs w:val="16"/>
        </w:rPr>
        <w:softHyphen/>
        <w:t>робную и точную информацию.</w:t>
      </w:r>
    </w:p>
    <w:p w14:paraId="751667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Еще более важно было бы знать подробности о процессе извлечения ура</w:t>
      </w:r>
      <w:r w:rsidRPr="00F90EAE">
        <w:rPr>
          <w:color w:val="000000" w:themeColor="text1"/>
          <w:sz w:val="16"/>
          <w:szCs w:val="16"/>
        </w:rPr>
        <w:softHyphen/>
        <w:t>на-235 из обычного урана.</w:t>
      </w:r>
    </w:p>
    <w:p w14:paraId="7786AC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Считаю нужным отметить, что было бы исключительно важно провести беседу нашего физика с лицом, давшим рецензируемую информацию.</w:t>
      </w:r>
    </w:p>
    <w:p w14:paraId="04A3D3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Курчатов</w:t>
      </w:r>
    </w:p>
    <w:p w14:paraId="1C0862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Экз(емпляр) единст(венный)</w:t>
      </w:r>
    </w:p>
    <w:p w14:paraId="08A6A8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Помета: Копия направлена т. Ильичеву 31.</w:t>
      </w:r>
      <w:r w:rsidRPr="00F90EAE">
        <w:rPr>
          <w:color w:val="000000" w:themeColor="text1"/>
          <w:sz w:val="16"/>
          <w:szCs w:val="16"/>
          <w:lang w:val="en-US"/>
        </w:rPr>
        <w:t>III</w:t>
      </w:r>
      <w:r w:rsidRPr="00F90EAE">
        <w:rPr>
          <w:color w:val="000000" w:themeColor="text1"/>
          <w:sz w:val="16"/>
          <w:szCs w:val="16"/>
        </w:rPr>
        <w:t>. 45 г. за № Зсс — см. распис</w:t>
      </w:r>
      <w:r w:rsidRPr="00F90EAE">
        <w:rPr>
          <w:color w:val="000000" w:themeColor="text1"/>
          <w:sz w:val="16"/>
          <w:szCs w:val="16"/>
        </w:rPr>
        <w:softHyphen/>
        <w:t>ку. А. Васин</w:t>
      </w:r>
    </w:p>
    <w:p w14:paraId="7C9822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Публикуется по: Атомный проект в СССР: Док. и матер.: В 3 т. / Под общ. ред. Л.Д. Рябева. Т. 1.1938-1945.В 2 ч. Часть 2. Министерство РФ по атом</w:t>
      </w:r>
      <w:r w:rsidRPr="00F90EAE">
        <w:rPr>
          <w:color w:val="000000" w:themeColor="text1"/>
          <w:sz w:val="16"/>
          <w:szCs w:val="16"/>
        </w:rPr>
        <w:softHyphen/>
        <w:t>ной энергии — ГНЦ РФ — ФЭИ им. акад. А.И. Лейпунского; Отв. состави</w:t>
      </w:r>
      <w:r w:rsidRPr="00F90EAE">
        <w:rPr>
          <w:color w:val="000000" w:themeColor="text1"/>
          <w:sz w:val="16"/>
          <w:szCs w:val="16"/>
        </w:rPr>
        <w:softHyphen/>
        <w:t>тель Л.И. Кудинова. М.: Издательство МФТИ, 2002. С. 260-261. (Далее: Атомный проект в СССР: Док. и матер. Т. 1. Ч. 2.) (11419).</w:t>
      </w:r>
    </w:p>
    <w:p w14:paraId="7368F9D4" w14:textId="77777777" w:rsidR="00665165" w:rsidRPr="00F90EAE" w:rsidRDefault="00665165" w:rsidP="00F90EAE">
      <w:pPr>
        <w:autoSpaceDE w:val="0"/>
        <w:autoSpaceDN w:val="0"/>
        <w:adjustRightInd w:val="0"/>
        <w:jc w:val="both"/>
        <w:rPr>
          <w:color w:val="000000" w:themeColor="text1"/>
          <w:sz w:val="16"/>
          <w:szCs w:val="16"/>
        </w:rPr>
      </w:pPr>
    </w:p>
    <w:p w14:paraId="1D451EA6" w14:textId="77777777" w:rsidR="00503A32" w:rsidRPr="00F90EAE" w:rsidRDefault="00503A32" w:rsidP="00F90EAE">
      <w:pPr>
        <w:pStyle w:val="book"/>
        <w:ind w:firstLine="0"/>
        <w:jc w:val="both"/>
        <w:rPr>
          <w:color w:val="000000" w:themeColor="text1"/>
          <w:sz w:val="16"/>
          <w:szCs w:val="16"/>
        </w:rPr>
      </w:pPr>
      <w:r w:rsidRPr="00F90EAE">
        <w:rPr>
          <w:color w:val="000000" w:themeColor="text1"/>
          <w:sz w:val="16"/>
          <w:szCs w:val="16"/>
        </w:rPr>
        <w:t>30 марта 1945 г. И.В. Курчатов. В своем отчете дал краткое описание конструкции немецкой атомной бомбы, предназначенной к транспортировке на ФАУ-2 (15225).</w:t>
      </w:r>
    </w:p>
    <w:p w14:paraId="7FB577AE" w14:textId="77777777" w:rsidR="00503A32" w:rsidRPr="00F90EAE" w:rsidRDefault="00503A32" w:rsidP="00F90EAE">
      <w:pPr>
        <w:pStyle w:val="book"/>
        <w:ind w:firstLine="0"/>
        <w:jc w:val="both"/>
        <w:rPr>
          <w:color w:val="000000" w:themeColor="text1"/>
          <w:sz w:val="16"/>
          <w:szCs w:val="16"/>
        </w:rPr>
      </w:pPr>
    </w:p>
    <w:p w14:paraId="6FBD42F2" w14:textId="77777777" w:rsidR="00503A32" w:rsidRPr="00F90EAE" w:rsidRDefault="00503A32" w:rsidP="00F90EAE">
      <w:pPr>
        <w:pStyle w:val="book"/>
        <w:ind w:firstLine="0"/>
        <w:jc w:val="both"/>
        <w:rPr>
          <w:color w:val="000000" w:themeColor="text1"/>
          <w:sz w:val="16"/>
          <w:szCs w:val="16"/>
        </w:rPr>
      </w:pPr>
      <w:r w:rsidRPr="00F90EAE">
        <w:rPr>
          <w:color w:val="000000" w:themeColor="text1"/>
          <w:sz w:val="16"/>
          <w:szCs w:val="16"/>
        </w:rPr>
        <w:t>К 30 марта 1945 г. Данциг был захвачен Красной армией. К этому моменту на верфях уже хорошо знакомой нам фирмы «Шихау» находилось 40 подводных лодок XXI серии (U-3531 ÷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 В Данциге на верфи «Шихау» немцы планировали построить 95 больших подводных лодок XXI серии (U-3501 ÷ U-3595). К марту 1945 г. первые 30 лодок были спущены на воду и позже затоплены англо-американской авиацией и своими экипажами, или командиры сдали свои лодки союзникам. Судьбу семи подводных лодок (U-3531 ÷ U-3537) выяснить не удалось. Двадцать же подводных лодок (U-3538 ÷ 3557) были зачислены в списки советского ВМФ. После достройки их планировали ввести в состав Балтийского флота. 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 Лодки получили, соответственно, номера ТС-5 ÷ ТС-13, ТС-15, ТС-17, ТС-18, ТС-19, ТС-32 ÷ ТС-38. (ТС — трофейное судно). 8 марта 1947 г. подводные лодки ТС-5 ÷ ТС-12 (U-3538 - U-3545) были переименованы в Р-1 ÷ Р-8. Пять подводных лодок (U-3538 ÷ U-3542) 15 июля 1945 г.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и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(15225).</w:t>
      </w:r>
    </w:p>
    <w:p w14:paraId="4ABE3E1E" w14:textId="77777777" w:rsidR="00503A32" w:rsidRPr="00F90EAE" w:rsidRDefault="00503A32" w:rsidP="00F90EAE">
      <w:pPr>
        <w:pStyle w:val="book"/>
        <w:ind w:firstLine="0"/>
        <w:jc w:val="both"/>
        <w:rPr>
          <w:color w:val="000000" w:themeColor="text1"/>
          <w:sz w:val="16"/>
          <w:szCs w:val="16"/>
        </w:rPr>
      </w:pPr>
    </w:p>
    <w:p w14:paraId="7F61D6A4"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К 30 марта 1945 г. Данциг был захвачен Красной армией. К этому моменту на верфях фирмы «Шихау» находилось 40 подводных лодок XXI серии (U-3531 U-3571). Сборка лодок U-3572 — U-3595 еще не началась, но многие секции их уже были на месте. На верфях подводные лодки XXI серии не строились, а собирались из заранее изготовленных на других заводах секций. По официальному графику на сборку подводных лодок XXI серии уходило 50 дней, но в ряде случаев верфи затрачивали гораздо меньше времени.</w:t>
      </w:r>
    </w:p>
    <w:p w14:paraId="6774584C"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Судьбу семи подводных лодок (U-3531 - U-3537) выяснить не удалось, о них молчат и германские, и советские источники (включая секретные).</w:t>
      </w:r>
    </w:p>
    <w:p w14:paraId="756C4C39"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Двадцать же подводных лодок (U-3538 - 3557) были зачислены в списки советского ВМФ. После достройки их планировали ввести в состав Балтийского флота.</w:t>
      </w:r>
    </w:p>
    <w:p w14:paraId="56B52722"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Для использования лодок в советском ВМФ их решили несколько переделать. С этой целью ЦКБ-18 было поручено разработать пр. 614 (то есть это был немецкий проект с небольшими изменениями). Главным конструктором проекта стал В.Н. Перегудов, а затем П.С. Савинов.</w:t>
      </w:r>
    </w:p>
    <w:p w14:paraId="7EAB2A13"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Лодки получили, соответственно, номера ТС-5 ТС-13, ТС-15, ТС-17, ТС-18, ТС-19, ТС-32 - ТС-38. (ТС — трофейное судно). 8 марта 1947 г. подводные лодки ТС-5 ТС-12 (U-3538 - U-3545) были переименованы в Р-1 - Р-8.</w:t>
      </w:r>
    </w:p>
    <w:p w14:paraId="077A1C3B" w14:textId="77777777" w:rsidR="00BA025E" w:rsidRPr="00F90EAE" w:rsidRDefault="00BA025E"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Пять подводных лодок (U-3538 U-3542) 15 июля 1945 г. были спущены на воду и достраивались на плаву. Затем их перевели в Ленинград для окончательной достройки. Однако ввести в строй эти лодки не удалось. Союзники нажали на советское руководство, а нашим не хватило духу их послать… к маме Уинстона Черчилля в Фултон. В результате подводные лодки Р-1, Р-2 и Р-3 в августе 1947 г. затопили в 20 милях к северо-западу от маяка Ристна в Балтийском море, а остальные лодки XXI серии с июля 1947 г. по февраль 1948 г. были исключены из списков ВМФ СССР и переданы в Отдел фондового имущества для разборки на металл (19682).</w:t>
      </w:r>
    </w:p>
    <w:p w14:paraId="7299CAB0" w14:textId="77777777" w:rsidR="00BA025E" w:rsidRPr="00F90EAE" w:rsidRDefault="00BA025E" w:rsidP="00F90EAE">
      <w:pPr>
        <w:jc w:val="both"/>
        <w:rPr>
          <w:color w:val="000000" w:themeColor="text1"/>
          <w:sz w:val="16"/>
          <w:szCs w:val="16"/>
        </w:rPr>
      </w:pPr>
    </w:p>
    <w:p w14:paraId="1101B82D" w14:textId="77777777" w:rsidR="00BA025E" w:rsidRPr="00F90EAE" w:rsidRDefault="00BA025E" w:rsidP="00F90EAE">
      <w:pPr>
        <w:pStyle w:val="ae"/>
        <w:shd w:val="clear" w:color="auto" w:fill="FFFFFF"/>
        <w:spacing w:before="0" w:after="0"/>
        <w:jc w:val="both"/>
        <w:rPr>
          <w:color w:val="000000" w:themeColor="text1"/>
          <w:sz w:val="16"/>
          <w:szCs w:val="16"/>
        </w:rPr>
      </w:pPr>
      <w:r w:rsidRPr="00F90EAE">
        <w:rPr>
          <w:color w:val="000000" w:themeColor="text1"/>
          <w:sz w:val="16"/>
          <w:szCs w:val="16"/>
        </w:rPr>
        <w:t>30 марта 1945 года советские войска, взяв Данциг (Гданьск), обнаружили корпуса новейших немецких подлодок XXI серии и секции для ПЛ. HК ВМФ приказом № 0086 от 3 мая 1945 года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1945 г.):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0A03621B" w14:textId="77777777" w:rsidR="00BA025E" w:rsidRPr="00F90EAE" w:rsidRDefault="00BA025E" w:rsidP="00F90EAE">
      <w:pPr>
        <w:pStyle w:val="ae"/>
        <w:shd w:val="clear" w:color="auto" w:fill="FFFFFF"/>
        <w:spacing w:before="0" w:after="0"/>
        <w:jc w:val="both"/>
        <w:rPr>
          <w:color w:val="000000" w:themeColor="text1"/>
          <w:sz w:val="16"/>
          <w:szCs w:val="16"/>
        </w:rPr>
      </w:pPr>
    </w:p>
    <w:p w14:paraId="3ED74B6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4754F1D" w14:textId="77777777" w:rsidR="00665165" w:rsidRPr="00F90EAE" w:rsidRDefault="00665165" w:rsidP="00F90EAE">
      <w:pPr>
        <w:autoSpaceDE w:val="0"/>
        <w:autoSpaceDN w:val="0"/>
        <w:adjustRightInd w:val="0"/>
        <w:jc w:val="both"/>
        <w:rPr>
          <w:iCs/>
          <w:color w:val="000000" w:themeColor="text1"/>
          <w:sz w:val="16"/>
          <w:szCs w:val="16"/>
        </w:rPr>
      </w:pPr>
    </w:p>
    <w:p w14:paraId="0369066C" w14:textId="77777777" w:rsidR="00503A32" w:rsidRPr="00F90EAE" w:rsidRDefault="00503A32" w:rsidP="00F90EAE">
      <w:pPr>
        <w:jc w:val="both"/>
        <w:rPr>
          <w:color w:val="000000" w:themeColor="text1"/>
          <w:sz w:val="16"/>
          <w:szCs w:val="16"/>
        </w:rPr>
      </w:pPr>
      <w:r w:rsidRPr="00F90EAE">
        <w:rPr>
          <w:bCs/>
          <w:color w:val="000000" w:themeColor="text1"/>
          <w:sz w:val="16"/>
          <w:szCs w:val="16"/>
        </w:rPr>
        <w:t>30 марта</w:t>
      </w:r>
      <w:r w:rsidRPr="00F90EAE">
        <w:rPr>
          <w:color w:val="000000" w:themeColor="text1"/>
          <w:sz w:val="16"/>
          <w:szCs w:val="16"/>
        </w:rPr>
        <w:t xml:space="preserve"> в 1945 году оперативная сводка Совинформбюро:</w:t>
      </w:r>
    </w:p>
    <w:p w14:paraId="6F280C83"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Белорусского фронта завершили разгром Данцигской группы немцев и 30 марта штурмом овладели городом и крепостью Гданьск (Данциг)— важнейшим портом и первоклассной военно-морской базой немцев на Балтийском море.</w:t>
      </w:r>
    </w:p>
    <w:p w14:paraId="6E74EF07" w14:textId="77777777" w:rsidR="00503A32" w:rsidRPr="00F90EAE" w:rsidRDefault="00503A32" w:rsidP="00F90EAE">
      <w:pPr>
        <w:jc w:val="both"/>
        <w:rPr>
          <w:color w:val="000000" w:themeColor="text1"/>
          <w:sz w:val="16"/>
          <w:szCs w:val="16"/>
        </w:rPr>
      </w:pPr>
      <w:r w:rsidRPr="00F90EAE">
        <w:rPr>
          <w:color w:val="000000" w:themeColor="text1"/>
          <w:sz w:val="16"/>
          <w:szCs w:val="16"/>
        </w:rPr>
        <w:t>Над Гданьском поднят национальный флаг Польского государства.</w:t>
      </w:r>
    </w:p>
    <w:p w14:paraId="1702E00C" w14:textId="77777777" w:rsidR="00503A32" w:rsidRPr="00F90EAE" w:rsidRDefault="00503A32" w:rsidP="00F90EAE">
      <w:pPr>
        <w:jc w:val="both"/>
        <w:rPr>
          <w:color w:val="000000" w:themeColor="text1"/>
          <w:sz w:val="16"/>
          <w:szCs w:val="16"/>
        </w:rPr>
      </w:pPr>
      <w:r w:rsidRPr="00F90EAE">
        <w:rPr>
          <w:color w:val="000000" w:themeColor="text1"/>
          <w:sz w:val="16"/>
          <w:szCs w:val="16"/>
        </w:rPr>
        <w:t>В боях за город Гданьск войска фронта взяли в плен 10.000 немецких солдат и офицеров, а также захватили следующие трофеи: самолётов — 84, танков и самоходных орудий—140, полевых орудий—358, миномётов—566, пулемётов—1.397, бронепоездов—15, подводных лодок—45, паровозов—306, железнодорожных вагонов — 6.675, судов различного тоннажа—151, складов с вооружением, боеприпасами и продовольствием—214. Противник потерял только убитыми более 39.000 солдат и офицеров.</w:t>
      </w:r>
    </w:p>
    <w:p w14:paraId="6459F39D" w14:textId="77777777" w:rsidR="00503A32" w:rsidRPr="00F90EAE" w:rsidRDefault="00503A32" w:rsidP="00F90EAE">
      <w:pPr>
        <w:jc w:val="both"/>
        <w:rPr>
          <w:color w:val="000000" w:themeColor="text1"/>
          <w:sz w:val="16"/>
          <w:szCs w:val="16"/>
        </w:rPr>
      </w:pPr>
      <w:r w:rsidRPr="00F90EAE">
        <w:rPr>
          <w:color w:val="000000" w:themeColor="text1"/>
          <w:sz w:val="16"/>
          <w:szCs w:val="16"/>
        </w:rPr>
        <w:t>В районах Глогау и Бреслау продолжались бои по уничтожению окружённых войск противника.</w:t>
      </w:r>
    </w:p>
    <w:p w14:paraId="69E3C445"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Украинского фронта, перейдя в наступление, форсировали реки Грон и Нитра, прорвали оборону противника по западным берегам этих рек и, продвинувшись вперёд на 50 километров, овладели городами Комарно, Новы Замки, Шураны, Комьятице, Врабле — сильными опорными пунктами обороны немцев</w:t>
      </w:r>
    </w:p>
    <w:p w14:paraId="61ED7D08" w14:textId="77777777" w:rsidR="00503A32" w:rsidRPr="00F90EAE" w:rsidRDefault="00503A32" w:rsidP="00F90EAE">
      <w:pPr>
        <w:jc w:val="both"/>
        <w:rPr>
          <w:color w:val="000000" w:themeColor="text1"/>
          <w:sz w:val="16"/>
          <w:szCs w:val="16"/>
        </w:rPr>
      </w:pPr>
      <w:r w:rsidRPr="00F90EAE">
        <w:rPr>
          <w:color w:val="000000" w:themeColor="text1"/>
          <w:sz w:val="16"/>
          <w:szCs w:val="16"/>
        </w:rPr>
        <w:t>на Братиславском направлении, а также заняли более 450 других населённых пунктов, в числе которых крупные населённые пункты Нова Баня, Волковце, Лок, Фарнад, Солдины, Кебелкут, Мужла, Топольчанки, Млынянске-Тесари, Двори, Пербете, Марселова, Ежкова-Нова-Вес, Коварце, Опонице, Жираны, Иван-Ка, Цабай-Чапор, Урмин, Тардошкед, Селице, Словацкий Медер, Андод, Насвад и железнодорожные станции Топольчанки, Злате, Моравце, Млынянске-Тесари, Святой Михал, Иванка, Тардошкед. Одновременно войсна фронта, наступая по южному берегу ДУНАЯ, заняли более 30 населённых пунктов; среди них — Надьбайч, Альшовамош, Бача, Икрени, Раба-Патона, Энеше, Кони, Бези, Тарнокрэты, Барбач. В боях за 29 марта войска фронта взяли в плен более 1.000 солдат и офицеров противника.</w:t>
      </w:r>
    </w:p>
    <w:p w14:paraId="6EE2804F"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к западу от озера Балатон, 30 марта овладели городами Залаэгерсег и Кестель, а также заняли более 150 других населённых пунктов, в том числе Дементер, Фельшеоско, Андрашфа, Каратфельд, Богод, Нагикапорнак, Неметфалу.</w:t>
      </w:r>
    </w:p>
    <w:p w14:paraId="02613FD4" w14:textId="77777777" w:rsidR="00503A32" w:rsidRPr="00F90EAE" w:rsidRDefault="00503A32" w:rsidP="00F90EAE">
      <w:pPr>
        <w:jc w:val="both"/>
        <w:rPr>
          <w:color w:val="000000" w:themeColor="text1"/>
          <w:sz w:val="16"/>
          <w:szCs w:val="16"/>
        </w:rPr>
      </w:pPr>
      <w:r w:rsidRPr="00F90EAE">
        <w:rPr>
          <w:color w:val="000000" w:themeColor="text1"/>
          <w:sz w:val="16"/>
          <w:szCs w:val="16"/>
        </w:rPr>
        <w:t>Одновременно войска фронта совместно с войсками болгарской армии прорвали оборону противника южнее озера Балатон и, продвинувшись вперёд до 30 километров, овладели городами Надьбайом, Бегене, Марцали и Надьятад — сильными опорными пунктами обороны немцев, прикрывающими нефтяной район Надьканижа, а также заняли более 100 других населённых пунктов, в том числе крупные населённые пункты Керестур, Берень, Верш, Кетель, Местегне, Тапшонь, Немешдед, Вейсе, Фелшешегешд, Шомодьсоб, Болхаш, Тарани, Белавар и железнодорожные станции Керестур, Кетель, Дьетапуста, Местегне, Альшошегешд, Шомодьсоб, Визвар.</w:t>
      </w:r>
    </w:p>
    <w:p w14:paraId="67DA557F"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фронта севернее города Кесег пересекли австрийскую границу и вступили на территорию Австрии.</w:t>
      </w:r>
    </w:p>
    <w:p w14:paraId="3E0ECCCB" w14:textId="77777777" w:rsidR="00503A32" w:rsidRPr="00F90EAE" w:rsidRDefault="00503A32" w:rsidP="00F90EAE">
      <w:pPr>
        <w:jc w:val="both"/>
        <w:rPr>
          <w:color w:val="000000" w:themeColor="text1"/>
          <w:sz w:val="16"/>
          <w:szCs w:val="16"/>
        </w:rPr>
      </w:pPr>
      <w:r w:rsidRPr="00F90EAE">
        <w:rPr>
          <w:color w:val="000000" w:themeColor="text1"/>
          <w:sz w:val="16"/>
          <w:szCs w:val="16"/>
        </w:rPr>
        <w:lastRenderedPageBreak/>
        <w:t>На других участках фронта — поиски разведчиков и в ряде пунктов бои местного значения.</w:t>
      </w:r>
    </w:p>
    <w:p w14:paraId="58D3688D" w14:textId="77777777" w:rsidR="00503A32" w:rsidRPr="00F90EAE" w:rsidRDefault="00503A32" w:rsidP="00F90EAE">
      <w:pPr>
        <w:jc w:val="both"/>
        <w:rPr>
          <w:color w:val="000000" w:themeColor="text1"/>
          <w:sz w:val="16"/>
          <w:szCs w:val="16"/>
        </w:rPr>
      </w:pPr>
      <w:r w:rsidRPr="00F90EAE">
        <w:rPr>
          <w:color w:val="000000" w:themeColor="text1"/>
          <w:sz w:val="16"/>
          <w:szCs w:val="16"/>
        </w:rPr>
        <w:t>За 29 марта на всех фронтах подбито и уничтожено 78 немецких танков и самоходных орудий. В воздушных боях и огнём зенитной артиллерии сбито 8 самолётов противника.</w:t>
      </w:r>
    </w:p>
    <w:p w14:paraId="415EDD23" w14:textId="77777777" w:rsidR="00503A32" w:rsidRPr="00F90EAE" w:rsidRDefault="00503A32" w:rsidP="00F90EAE">
      <w:pPr>
        <w:jc w:val="both"/>
        <w:rPr>
          <w:color w:val="000000" w:themeColor="text1"/>
          <w:sz w:val="16"/>
          <w:szCs w:val="16"/>
        </w:rPr>
      </w:pPr>
      <w:r w:rsidRPr="00F90EAE">
        <w:rPr>
          <w:color w:val="000000" w:themeColor="text1"/>
          <w:sz w:val="16"/>
          <w:szCs w:val="16"/>
        </w:rPr>
        <w:t>Налёт нашей авиации на город Винер Нойштадт в Австрии.</w:t>
      </w:r>
    </w:p>
    <w:p w14:paraId="6F56617A" w14:textId="77777777" w:rsidR="00503A32" w:rsidRPr="00F90EAE" w:rsidRDefault="00503A32" w:rsidP="00F90EAE">
      <w:pPr>
        <w:jc w:val="both"/>
        <w:rPr>
          <w:color w:val="000000" w:themeColor="text1"/>
          <w:sz w:val="16"/>
          <w:szCs w:val="16"/>
        </w:rPr>
      </w:pPr>
      <w:r w:rsidRPr="00F90EAE">
        <w:rPr>
          <w:color w:val="000000" w:themeColor="text1"/>
          <w:sz w:val="16"/>
          <w:szCs w:val="16"/>
        </w:rPr>
        <w:t>В ночь на 30 марта наши тяжёлые бомбардировщики нанести удар по военным объектам противника в городе Винер Нойштадт в Австрии. В результате бомбардировки возникли пожары, сопровождавшие взрывами большой силы.</w:t>
      </w:r>
    </w:p>
    <w:p w14:paraId="5FE67663"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Белорусского фронта сегодня штурмом овладели городом и крепостью Гданьск (Данциг). Противник подготовил город к длительной обороне. Подступы к нему прикрывал мощный укреплённый район, состоящий из трёх оборонительных рубежей. Все населённые пункты в этом районе немцы превратили в опорные пункты и приспособили их для круговой обороны. На окраинах города были сооружены железобетонные доты, казематы для полевой и береговой артиллерии и подземные убежища для личного состава. Каменные здания приспособлены под огневые точки и соединены между собой ходами сообщения. На улицах города гитлеровцы отрыли траншеи и построили заграждения, за которыми были установлены орудия для стрельбы прямой наводкой. Город обороняли крупные силы немецких войск, поддержанные огнем артиллерии военных кораблей. Пленные сообщили, что Гитлер отдал своим войскам строжайший приказ защищать Данциг до последнего солдата. Опираясь на крепость и очень выгодные позиции, немцы рассчитывали надолго сковать под Гданьском крупные силы Красной Армии. Однако планы гитлеровцев были сорваны умелыми и решительными действиями советских войск. Наши пехотинцы и танкисты, поддержанные артиллерией и авиацией, наступая с юга, запада и севера, прорвали оборону немцев и очищали от вражеских войск квартал за кварталам. Сегодня советские части, сломив сопротивление противника, овладели восточной частью города. Занят последний оплот обороны немцев в Гданьске — бастионы в юго-западной части города. Таким образом, войска 2-го Белорусского фронта за короткое время сокрушили мощную вражескую оборону, разгромили крупную группу немецких войск и овладели Гданьском — важнейшим портом и первоклассной военно-морской базой немцев на Балтийском море.</w:t>
      </w:r>
    </w:p>
    <w:p w14:paraId="2758918D" w14:textId="77777777" w:rsidR="00503A32" w:rsidRPr="00F90EAE" w:rsidRDefault="00503A32" w:rsidP="00F90EAE">
      <w:pPr>
        <w:jc w:val="both"/>
        <w:rPr>
          <w:color w:val="000000" w:themeColor="text1"/>
          <w:sz w:val="16"/>
          <w:szCs w:val="16"/>
        </w:rPr>
      </w:pPr>
      <w:r w:rsidRPr="00F90EAE">
        <w:rPr>
          <w:color w:val="000000" w:themeColor="text1"/>
          <w:sz w:val="16"/>
          <w:szCs w:val="16"/>
        </w:rPr>
        <w:t>В боях за Гданьск немцы потеряли пленными и убитыми более 49.000 солдат и офицеров. Уничтожено много танков, сотни орудий, миномётов и другого вооружения противника.</w:t>
      </w:r>
    </w:p>
    <w:p w14:paraId="0BD4A30C"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Украинского фронта перешли в наступление на Братиславском направлении. Несколько дней назад советские передовые отряды под прикрытием артиллерийского огня переправились через реку Грон и стремительной атакой заняли два опорных пункта на её западном берегу. За рекой завязались ожесточённые бои. Немцы, пытаясь отбросить наши передовые отряды, неоднократно переходили в контратаки. Тем временем по переправам, наведённым нашими инженерными подразделениями, через Грон переправились основные советские силы. После артиллерийской и авиационной подготовки наши войска перешли в наступление и прорвали долговременную и глубоко эшелонированную оборону немцев. Противник, подтянув из тыла резервы, оказывал упорное сопротивление. Отбрасывая немцев, советские части овладели городом Врабле. Развивая успех, наши войска на широком фронте вьшли на реку Нитра и в ряде мест с хода форсировали эту серьёзную водную преграду. Советские подвижные соединения ворвались на улицы города Новы Замки и после упорного боя овладели им. Советские пехотинцы, при поддержке кораблей Дунайской флотилии, стремительным ударом заняли также город Комарно—крупный промышленный центр Чехословакии. В городе имеются судостроительные верфи, нефтеперегонный, машиностроительный, снарядный и другие заводы. Нашими войсками захвачены большие трофеи.</w:t>
      </w:r>
    </w:p>
    <w:p w14:paraId="777FA825"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3-го Украинского фронта продолжали успешное наступление. Советские части продвинулись вдоль реки Зала на 20 километров и выбили немцев из города Залаэгерсет — узла железных дорог. Гитлеровцы предприняли контратаку, но были отброшены с большими для них потерями. Другие наши части овладели городом Кестель и тем самым очистили от противника северо-западное побережье озера Балатон. В боях за день уничтожено свыше 3 тысяч немецких солдат и офицеров. Захвачено у немцев 30 самолётов, 31 танк, 13 бронетранспортёров, 47 полевых орудий, много миномётов, пулемётов и склады с военным имуществом. Взято большое число пленных.» (15084).</w:t>
      </w:r>
    </w:p>
    <w:p w14:paraId="77629AC2" w14:textId="77777777" w:rsidR="00503A32" w:rsidRPr="00F90EAE" w:rsidRDefault="00503A32" w:rsidP="00F90EAE">
      <w:pPr>
        <w:jc w:val="both"/>
        <w:rPr>
          <w:color w:val="000000" w:themeColor="text1"/>
          <w:sz w:val="16"/>
          <w:szCs w:val="16"/>
        </w:rPr>
      </w:pPr>
    </w:p>
    <w:p w14:paraId="1CD806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марта и 1 апреля 1945, наиболее опытными летчи</w:t>
      </w:r>
      <w:r w:rsidRPr="00F90EAE">
        <w:rPr>
          <w:color w:val="000000" w:themeColor="text1"/>
          <w:sz w:val="16"/>
          <w:szCs w:val="16"/>
        </w:rPr>
        <w:softHyphen/>
        <w:t>ками 108 гвардейского штурмового полка были выполнены испыта</w:t>
      </w:r>
      <w:r w:rsidRPr="00F90EAE">
        <w:rPr>
          <w:color w:val="000000" w:themeColor="text1"/>
          <w:sz w:val="16"/>
          <w:szCs w:val="16"/>
        </w:rPr>
        <w:softHyphen/>
        <w:t>тельные полеты с целью определения надежности в работе стрелково-пу-шечного и бомбового вооружения «десятки». Всего было выполнено 8 испытательных полетов с налетом 5 часов 30 минут. Пушки и пулеметы ра</w:t>
      </w:r>
      <w:r w:rsidRPr="00F90EAE">
        <w:rPr>
          <w:color w:val="000000" w:themeColor="text1"/>
          <w:sz w:val="16"/>
          <w:szCs w:val="16"/>
        </w:rPr>
        <w:softHyphen/>
        <w:t>ботали как часы. Зависания бомб не наблюдалось. Только в одном случае произошел отказ ЭСБР-Зп (11157).</w:t>
      </w:r>
    </w:p>
    <w:p w14:paraId="267D55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1537C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марта 1945 советские войска пересекли границу Австрии (4962).</w:t>
      </w:r>
    </w:p>
    <w:p w14:paraId="6AE531C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B2A3C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30 марта 1945 советские войска вошли в Австрию </w:t>
      </w:r>
      <w:r w:rsidRPr="00F90EAE">
        <w:rPr>
          <w:color w:val="000000" w:themeColor="text1"/>
          <w:sz w:val="16"/>
          <w:szCs w:val="16"/>
          <w:lang w:val="en-US"/>
        </w:rPr>
        <w:t>(2100).</w:t>
      </w:r>
    </w:p>
    <w:p w14:paraId="61432F36" w14:textId="77777777" w:rsidR="00665165" w:rsidRPr="00F90EAE" w:rsidRDefault="00665165" w:rsidP="00F90EAE">
      <w:pPr>
        <w:autoSpaceDE w:val="0"/>
        <w:autoSpaceDN w:val="0"/>
        <w:adjustRightInd w:val="0"/>
        <w:jc w:val="both"/>
        <w:rPr>
          <w:color w:val="000000" w:themeColor="text1"/>
          <w:sz w:val="16"/>
          <w:szCs w:val="16"/>
          <w:lang w:val="en-US"/>
        </w:rPr>
      </w:pPr>
    </w:p>
    <w:p w14:paraId="697723E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30th, 1945: On the Oder front, German troops of Heeresgruppe Weichsel (Heinrici) evacuate their last remaining bridgehead at Wollin N of Stettin (3819).</w:t>
      </w:r>
    </w:p>
    <w:p w14:paraId="1AAA17DD" w14:textId="77777777" w:rsidR="00665165" w:rsidRPr="00F90EAE" w:rsidRDefault="00665165" w:rsidP="00F90EAE">
      <w:pPr>
        <w:autoSpaceDE w:val="0"/>
        <w:autoSpaceDN w:val="0"/>
        <w:adjustRightInd w:val="0"/>
        <w:jc w:val="both"/>
        <w:rPr>
          <w:color w:val="000000" w:themeColor="text1"/>
          <w:sz w:val="16"/>
          <w:szCs w:val="16"/>
          <w:lang w:val="en-US"/>
        </w:rPr>
      </w:pPr>
    </w:p>
    <w:p w14:paraId="0A6227D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30 1945 Soviet troops capture Danzig (1050).</w:t>
      </w:r>
    </w:p>
    <w:p w14:paraId="729E4F0B" w14:textId="77777777" w:rsidR="00665165" w:rsidRPr="00F90EAE" w:rsidRDefault="00665165" w:rsidP="00F90EAE">
      <w:pPr>
        <w:autoSpaceDE w:val="0"/>
        <w:autoSpaceDN w:val="0"/>
        <w:adjustRightInd w:val="0"/>
        <w:jc w:val="both"/>
        <w:rPr>
          <w:color w:val="000000" w:themeColor="text1"/>
          <w:sz w:val="16"/>
          <w:szCs w:val="16"/>
          <w:lang w:val="en-US"/>
        </w:rPr>
      </w:pPr>
    </w:p>
    <w:p w14:paraId="3E4B5C3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марта 1945 советские войска взяли Данциг (Гданьск) (4962).</w:t>
      </w:r>
    </w:p>
    <w:p w14:paraId="6C1CC61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E8A8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СА взяла Данциг (1050).</w:t>
      </w:r>
    </w:p>
    <w:p w14:paraId="4691C3BF" w14:textId="77777777" w:rsidR="00665165" w:rsidRPr="00F90EAE" w:rsidRDefault="00665165" w:rsidP="00F90EAE">
      <w:pPr>
        <w:autoSpaceDE w:val="0"/>
        <w:autoSpaceDN w:val="0"/>
        <w:adjustRightInd w:val="0"/>
        <w:jc w:val="both"/>
        <w:rPr>
          <w:color w:val="000000" w:themeColor="text1"/>
          <w:sz w:val="16"/>
          <w:szCs w:val="16"/>
        </w:rPr>
      </w:pPr>
    </w:p>
    <w:p w14:paraId="610F5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на аэродром Балбасово прибыли три B-24J из Венгрии. Бомбардировщики собирались па аэродромы Сомбор в Югославии, Кечкемет и Печ в Венгрии, а оттуда перегонялись под Оршу (3457,117).</w:t>
      </w:r>
    </w:p>
    <w:p w14:paraId="25711CA1" w14:textId="77777777" w:rsidR="00665165" w:rsidRPr="00F90EAE" w:rsidRDefault="00665165" w:rsidP="00F90EAE">
      <w:pPr>
        <w:autoSpaceDE w:val="0"/>
        <w:autoSpaceDN w:val="0"/>
        <w:adjustRightInd w:val="0"/>
        <w:jc w:val="both"/>
        <w:rPr>
          <w:color w:val="000000" w:themeColor="text1"/>
          <w:sz w:val="16"/>
          <w:szCs w:val="16"/>
        </w:rPr>
      </w:pPr>
    </w:p>
    <w:p w14:paraId="7F6417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в Schnaisemule захватили севший на вынужденную посадку из-за проблем с двигателем Me 262A-2 N 110426, на котором после ремонта совершил первый полет А.Г.Кочетков 15 августа 1945 (2466,131).</w:t>
      </w:r>
    </w:p>
    <w:p w14:paraId="3DEEAF68" w14:textId="77777777" w:rsidR="00665165" w:rsidRPr="00F90EAE" w:rsidRDefault="00665165" w:rsidP="00F90EAE">
      <w:pPr>
        <w:autoSpaceDE w:val="0"/>
        <w:autoSpaceDN w:val="0"/>
        <w:adjustRightInd w:val="0"/>
        <w:jc w:val="both"/>
        <w:rPr>
          <w:color w:val="000000" w:themeColor="text1"/>
          <w:sz w:val="16"/>
          <w:szCs w:val="16"/>
        </w:rPr>
      </w:pPr>
    </w:p>
    <w:p w14:paraId="08CC00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мар</w:t>
      </w:r>
      <w:r w:rsidRPr="00F90EAE">
        <w:rPr>
          <w:color w:val="000000" w:themeColor="text1"/>
          <w:sz w:val="16"/>
          <w:szCs w:val="16"/>
        </w:rPr>
        <w:softHyphen/>
        <w:t>та 1945 г. вышел Боевом приказ №2 штаба 4 корпуса ПВО: «Противник ведет оборо</w:t>
      </w:r>
      <w:r w:rsidRPr="00F90EAE">
        <w:rPr>
          <w:color w:val="000000" w:themeColor="text1"/>
          <w:sz w:val="16"/>
          <w:szCs w:val="16"/>
        </w:rPr>
        <w:softHyphen/>
        <w:t>нительные бои на участке 1-го Бело</w:t>
      </w:r>
      <w:r w:rsidRPr="00F90EAE">
        <w:rPr>
          <w:color w:val="000000" w:themeColor="text1"/>
          <w:sz w:val="16"/>
          <w:szCs w:val="16"/>
        </w:rPr>
        <w:softHyphen/>
        <w:t>русского фронта... При налетах на переправы через р. Одер противник применяет самолеты-снаряды «Фау-1», буксируемые самолетами типа Хе- 111» (10791).</w:t>
      </w:r>
    </w:p>
    <w:p w14:paraId="153163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C5C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w:t>
      </w:r>
    </w:p>
    <w:p w14:paraId="17B87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февраля, 23 мая и 28 июля 1944 Шпеер трижды посылал командованию Люфтваффе специальные меморандумы, снова и снова объясняя необходимость ударов по советским электростанциям. К Шпееру присоединился и один из лучших пилотов бомбардировочной авиации, оберет-лейтенант Вернер Баумбах, возглавивший в ноябре 1944 г. эскадру KG200. И наконец, в январе 1945 г. Гитлер отдал приказ о подготовке к операции, получившей кодовое наименование «Железный молот». План массированного удара по советским электростанциям в районе Москвы и Верхней Волги с помощью «чудо-оружия» созрел еще в 1944 г. Его активно продвигали профессор электротехники Штайнманн и рейхсминистр вооружений Альберт Шпеер. В качестве целей были выбраны 11 станций, работавших на угле и торфе и вырабатывавших электроэнергию и тепло: в Ярославле (две станции), в г. Комсомольске, в 40 км западнее Иваново, в Алексине, в Туле, в Кашире, в Шатуре, в Сталиногорске (ныне г. Новомосковск), в Балахне, в Горьком (Автозаводская ТЭЦ) и в Дзержинске (Игумновская ТЭЦ). Атаке также должны были подвергнуться две гидроэлектростанции в Рыбинске и Угличе. Общая мощность всех этих станций составляла около 1,5 млн кВт, или 60% от мощности всех электростанций Центрально-промышленного района СССР. Их разрушение привело бы к остановке большинства предприятий региона.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(11744).</w:t>
      </w:r>
    </w:p>
    <w:p w14:paraId="1B357FB3" w14:textId="77777777" w:rsidR="00665165" w:rsidRPr="00F90EAE" w:rsidRDefault="00665165" w:rsidP="00F90EAE">
      <w:pPr>
        <w:autoSpaceDE w:val="0"/>
        <w:autoSpaceDN w:val="0"/>
        <w:adjustRightInd w:val="0"/>
        <w:jc w:val="both"/>
        <w:rPr>
          <w:color w:val="000000" w:themeColor="text1"/>
          <w:sz w:val="16"/>
          <w:szCs w:val="16"/>
        </w:rPr>
      </w:pPr>
    </w:p>
    <w:p w14:paraId="6E70C9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 марта 1945 оперативный штаб Люфтваффе уведомил командира KG200 оберст-лейтенанта Баумбаха о том, что операция «Железный молот» откладывается. В начале апреля предназначенные для нее «Мистелы» использовались для атак железнодорожных мостов через Вислу и Одер, по которым к советским войскам шли составы с пополнением, техникой и снаряжением. А точку в операции, возможность которой еще рассматривалась, поставили американцы. 10 апреля стратегические бомбардировщики В-17 и В-24 из 8-й воздушной армии США, сбросив сотни тонн бомб на аэродромы Брист, Ораниенбург, Рехлин, Бург, Пархим и Нойруппин, превратили большую часть из них и прилегающие районы в лунный пейзаж. Среди уничтоженных самолетов были и 23 комплекса «Мистел-2». Этот удар окончательно похоронил немецкие планы атаки городов Поволжья (11742).</w:t>
      </w:r>
    </w:p>
    <w:p w14:paraId="77E374D4" w14:textId="77777777" w:rsidR="00665165" w:rsidRPr="00F90EAE" w:rsidRDefault="00665165" w:rsidP="00F90EAE">
      <w:pPr>
        <w:widowControl w:val="0"/>
        <w:autoSpaceDE w:val="0"/>
        <w:autoSpaceDN w:val="0"/>
        <w:adjustRightInd w:val="0"/>
        <w:jc w:val="both"/>
        <w:rPr>
          <w:color w:val="000000" w:themeColor="text1"/>
          <w:sz w:val="16"/>
          <w:szCs w:val="16"/>
        </w:rPr>
      </w:pPr>
    </w:p>
    <w:p w14:paraId="6C05D7FB" w14:textId="77777777" w:rsidR="00503A3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73BB8D6" w14:textId="77777777" w:rsidR="00503A32" w:rsidRPr="00F90EAE" w:rsidRDefault="00503A32" w:rsidP="00F90EAE">
      <w:pPr>
        <w:autoSpaceDE w:val="0"/>
        <w:autoSpaceDN w:val="0"/>
        <w:adjustRightInd w:val="0"/>
        <w:jc w:val="both"/>
        <w:rPr>
          <w:iCs/>
          <w:color w:val="000000" w:themeColor="text1"/>
          <w:sz w:val="16"/>
          <w:szCs w:val="16"/>
        </w:rPr>
      </w:pPr>
    </w:p>
    <w:p w14:paraId="092EBEF0" w14:textId="77777777" w:rsidR="00503A32" w:rsidRPr="00F90EAE" w:rsidRDefault="00503A32"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30 марта 1945 года И.В. Курчатов представил отзыв на материалы ГРУ "О немецкой атомной бомбе". Материал содержал описание конструкции немецкой атомной бомбы, предназначенной для транспортировки на ракете "Фау". В нем, в частности, отмечалось, что перевод U-235 через критичность производился взрывом окружающего ядерный заряд состава из пористого тротила и жидкого кислорода. Цепная реакция инициировалась быстрыми нейтронами при помощи высоковольтной разрядной трубки, питаемой от специальных генераторов. И.В. Курчатов отметил, что все детали конструкции вполне правдоподобны и совпадают с теми, которые у нас кладутся в основу проектирования атомной бомбы (10549).</w:t>
      </w:r>
    </w:p>
    <w:p w14:paraId="615FC4D1" w14:textId="77777777" w:rsidR="00503A32" w:rsidRPr="00F90EAE" w:rsidRDefault="00503A32" w:rsidP="00F90EAE">
      <w:pPr>
        <w:autoSpaceDE w:val="0"/>
        <w:autoSpaceDN w:val="0"/>
        <w:adjustRightInd w:val="0"/>
        <w:jc w:val="both"/>
        <w:rPr>
          <w:color w:val="000000" w:themeColor="text1"/>
          <w:sz w:val="16"/>
          <w:szCs w:val="16"/>
        </w:rPr>
      </w:pPr>
    </w:p>
    <w:p w14:paraId="320E78A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03708F0" w14:textId="77777777" w:rsidR="00665165" w:rsidRPr="00F90EAE" w:rsidRDefault="00665165" w:rsidP="00F90EAE">
      <w:pPr>
        <w:autoSpaceDE w:val="0"/>
        <w:autoSpaceDN w:val="0"/>
        <w:adjustRightInd w:val="0"/>
        <w:jc w:val="both"/>
        <w:rPr>
          <w:iCs/>
          <w:color w:val="000000" w:themeColor="text1"/>
          <w:sz w:val="16"/>
          <w:szCs w:val="16"/>
        </w:rPr>
      </w:pPr>
    </w:p>
    <w:p w14:paraId="0A5EC578" w14:textId="77777777" w:rsidR="00503A32" w:rsidRPr="00F90EAE" w:rsidRDefault="00503A32" w:rsidP="00F90EAE">
      <w:pPr>
        <w:jc w:val="both"/>
        <w:rPr>
          <w:color w:val="000000" w:themeColor="text1"/>
          <w:sz w:val="16"/>
          <w:szCs w:val="16"/>
        </w:rPr>
      </w:pPr>
      <w:r w:rsidRPr="00F90EAE">
        <w:rPr>
          <w:bCs/>
          <w:color w:val="000000" w:themeColor="text1"/>
          <w:sz w:val="16"/>
          <w:szCs w:val="16"/>
        </w:rPr>
        <w:t>30 марта</w:t>
      </w:r>
      <w:r w:rsidRPr="00F90EAE">
        <w:rPr>
          <w:color w:val="000000" w:themeColor="text1"/>
          <w:sz w:val="16"/>
          <w:szCs w:val="16"/>
        </w:rPr>
        <w:t xml:space="preserve"> в 1945 году сошел с конвейера последний самолет модификации «B-26G» «25MA» среднего бомбардировщика «B-26». «B-26G», внешне не отличалась от «B-26F». На нем несколько изменили бензосистему, ввели аварийный чисто механический выпуск шасси. Собирались внедрить автопилот «C-I», связанный с бомбардировочным прицелом, но реально его смонтировали на очень немногих машинах. На серии «G-5» опять внесли мелкие изменения в гидросистему, на «G-10» под хвостовой турелью поставили гильзосборник, так как при полете в плотном строю стреляные гильзы иногда попадали в другие бомбардировщики. На «G-15» внедрили компактную кислородную систему, на «G-20» модернизировали радиооборудование. В процессе эволюции В-26 постоянно дешевел - очевидно, за счет массовости производства. В ноябре 1944-го в рамках заказа на «В-26С» изготовили 15 учебных «ТВ-26-15». Они сочетали крыло модификации G с отсутствием вооружения и установкой буксировочной лебедки по типу АТ-23В. В марте 1945-го выпустили еще партию из 32 таких же машин: 25 из них передали флоту под индексом «GM-2» (15084).</w:t>
      </w:r>
    </w:p>
    <w:p w14:paraId="70CA3DD2" w14:textId="77777777" w:rsidR="00503A32" w:rsidRPr="00F90EAE" w:rsidRDefault="00503A32" w:rsidP="00F90EAE">
      <w:pPr>
        <w:jc w:val="both"/>
        <w:rPr>
          <w:color w:val="000000" w:themeColor="text1"/>
          <w:sz w:val="16"/>
          <w:szCs w:val="16"/>
        </w:rPr>
      </w:pPr>
    </w:p>
    <w:p w14:paraId="19B28818" w14:textId="77777777" w:rsidR="00503A32" w:rsidRPr="00F90EAE" w:rsidRDefault="00503A32" w:rsidP="00F90EAE">
      <w:pPr>
        <w:jc w:val="both"/>
        <w:rPr>
          <w:color w:val="000000" w:themeColor="text1"/>
          <w:sz w:val="16"/>
          <w:szCs w:val="16"/>
        </w:rPr>
      </w:pPr>
      <w:r w:rsidRPr="00F90EAE">
        <w:rPr>
          <w:bCs/>
          <w:color w:val="000000" w:themeColor="text1"/>
          <w:sz w:val="16"/>
          <w:szCs w:val="16"/>
        </w:rPr>
        <w:t>30 марта</w:t>
      </w:r>
      <w:r w:rsidRPr="00F90EAE">
        <w:rPr>
          <w:color w:val="000000" w:themeColor="text1"/>
          <w:sz w:val="16"/>
          <w:szCs w:val="16"/>
        </w:rPr>
        <w:t xml:space="preserve"> в 1945 году немецкий гарнизон, осажденный советскими войсками в Бреслау, восстановил телефонную связь с Берлином (15084).</w:t>
      </w:r>
    </w:p>
    <w:p w14:paraId="711BBC49" w14:textId="77777777" w:rsidR="00503A32" w:rsidRPr="00F90EAE" w:rsidRDefault="00503A32" w:rsidP="00F90EAE">
      <w:pPr>
        <w:jc w:val="both"/>
        <w:rPr>
          <w:color w:val="000000" w:themeColor="text1"/>
          <w:sz w:val="16"/>
          <w:szCs w:val="16"/>
        </w:rPr>
      </w:pPr>
    </w:p>
    <w:p w14:paraId="501325D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9A09E7A" w14:textId="77777777" w:rsidR="00665165" w:rsidRPr="00F90EAE" w:rsidRDefault="00665165" w:rsidP="00F90EAE">
      <w:pPr>
        <w:autoSpaceDE w:val="0"/>
        <w:autoSpaceDN w:val="0"/>
        <w:adjustRightInd w:val="0"/>
        <w:jc w:val="both"/>
        <w:rPr>
          <w:iCs/>
          <w:color w:val="000000" w:themeColor="text1"/>
          <w:sz w:val="16"/>
          <w:szCs w:val="16"/>
        </w:rPr>
      </w:pPr>
    </w:p>
    <w:p w14:paraId="71EC663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года вышел приказ № 124с НКВ</w:t>
      </w:r>
    </w:p>
    <w:p w14:paraId="151A39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целях скорейшего восстановления завода № 790 и включения его в число действующих заводов</w:t>
      </w:r>
    </w:p>
    <w:p w14:paraId="2A0F59A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(6449, 98).</w:t>
      </w:r>
    </w:p>
    <w:p w14:paraId="29EFE06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28146E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 Ленинграде на Кировском заводе собрали первую серийную партию из пяти ИСУ-152 (5008, 174).</w:t>
      </w:r>
    </w:p>
    <w:p w14:paraId="648A0A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C375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7953 О плане и мерах по обеспечению перевозок народнохозяйственных грузов по железнодорожному и морскому транспорту на апрель и речному транспорту на апрель-май 1945 года. РГАНИР, Фонд ГКО, д. 384, лл. 1-12, 13-215 (11012).</w:t>
      </w:r>
    </w:p>
    <w:p w14:paraId="4B8B0440" w14:textId="77777777" w:rsidR="00665165" w:rsidRPr="00F90EAE" w:rsidRDefault="00665165" w:rsidP="00F90EAE">
      <w:pPr>
        <w:autoSpaceDE w:val="0"/>
        <w:autoSpaceDN w:val="0"/>
        <w:adjustRightInd w:val="0"/>
        <w:jc w:val="both"/>
        <w:rPr>
          <w:color w:val="000000" w:themeColor="text1"/>
          <w:sz w:val="16"/>
          <w:szCs w:val="16"/>
        </w:rPr>
      </w:pPr>
    </w:p>
    <w:p w14:paraId="2F2EEFB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7954 Об общем плане перевозок по железнодорожному и морскому транспорту на апрель и речному транспорту на апрель-май 1945 г. (7319, 1).</w:t>
      </w:r>
    </w:p>
    <w:p w14:paraId="36AFA2A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00236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7955 Об организации в НКПС Главного управления по строительству метрополитенов и железнодорожных тоннелей. (7319, 2-3).</w:t>
      </w:r>
    </w:p>
    <w:p w14:paraId="1F5B29D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7610DE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7956 Об организации в составе НКПС Главного управления по восстановлению и строительству железнодорожных мостов. (7319, 4).</w:t>
      </w:r>
    </w:p>
    <w:p w14:paraId="315E0C0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FFAD6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7957 Об освобождении т. Просвирова Н.А. от обязанности начальника Главного управления военно-восстановительных работ НКПС. (7319, 5).</w:t>
      </w:r>
    </w:p>
    <w:p w14:paraId="0EACFC6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D5AB7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7958 О строительстве автомобильной дороги Иркутск - Слюдянка - Улан-Удэ. (7319, 6-8).</w:t>
      </w:r>
    </w:p>
    <w:p w14:paraId="3C38042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C0448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7959 О плане и материально-техническом обеспечении работ по восстановлению и строительству в 1945 году главной военно-морской базы Черноморского флота и завода №497 Наркомсудпрома в г. Севастополе. РГАНИР, Фонд ГКО, д. 386, лл. 9-23, 24-53 (11012).</w:t>
      </w:r>
    </w:p>
    <w:p w14:paraId="5B6E7022" w14:textId="77777777" w:rsidR="00665165" w:rsidRPr="00F90EAE" w:rsidRDefault="00665165" w:rsidP="00F90EAE">
      <w:pPr>
        <w:autoSpaceDE w:val="0"/>
        <w:autoSpaceDN w:val="0"/>
        <w:adjustRightInd w:val="0"/>
        <w:jc w:val="both"/>
        <w:rPr>
          <w:color w:val="000000" w:themeColor="text1"/>
          <w:sz w:val="16"/>
          <w:szCs w:val="16"/>
        </w:rPr>
      </w:pPr>
    </w:p>
    <w:p w14:paraId="36D09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7960 О плане и материально-техническом обеспечении работ по восстановлению и строительству заводов №444 и 445 Наркомсудпрома в г. Николаеве в 1945 году. РГАНИР, Фонд ГКО, д. 386, лл. 54-61, 62-79 (11012).</w:t>
      </w:r>
    </w:p>
    <w:p w14:paraId="7C838820" w14:textId="77777777" w:rsidR="00665165" w:rsidRPr="00F90EAE" w:rsidRDefault="00665165" w:rsidP="00F90EAE">
      <w:pPr>
        <w:autoSpaceDE w:val="0"/>
        <w:autoSpaceDN w:val="0"/>
        <w:adjustRightInd w:val="0"/>
        <w:jc w:val="both"/>
        <w:rPr>
          <w:color w:val="000000" w:themeColor="text1"/>
          <w:sz w:val="16"/>
          <w:szCs w:val="16"/>
        </w:rPr>
      </w:pPr>
    </w:p>
    <w:p w14:paraId="5D0A2E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г. Пост. ГКО № 7960 утвержден план восстановления и строительства завода в 1945 г. В том же году Завод № 444 ИМ. А. Марти, ИМ. И.И. Носенко МСП, Завод им. И.И. Носенко, п/я 6, Завод им. А. Марти, Черноморский судостроительный завод (ЧСЗ) МСП, ПО, ГХК «ЧСЗ» /Украина  г. Николаев/ вступил в строй. С 1945 г. - производство понтонов, барж, пассажирских катеров. Позднее - строительство военных кораблей.</w:t>
      </w:r>
      <w:r w:rsidRPr="00F90EAE">
        <w:rPr>
          <w:color w:val="000000" w:themeColor="text1"/>
          <w:sz w:val="16"/>
          <w:szCs w:val="16"/>
          <w:vertAlign w:val="superscript"/>
        </w:rPr>
        <w:t>61</w:t>
      </w:r>
      <w:r w:rsidRPr="00F90EAE">
        <w:rPr>
          <w:color w:val="000000" w:themeColor="text1"/>
          <w:sz w:val="16"/>
          <w:szCs w:val="16"/>
        </w:rPr>
        <w:t xml:space="preserve"> До 1953 г. завод № 444 носил имя А. Марти</w:t>
      </w:r>
      <w:r w:rsidRPr="00F90EAE">
        <w:rPr>
          <w:iCs/>
          <w:color w:val="000000" w:themeColor="text1"/>
          <w:sz w:val="16"/>
          <w:szCs w:val="16"/>
        </w:rPr>
        <w:t xml:space="preserve"> (в 01.1953 г. А. Марти исключен из компартии Франции за критику ВКП (б) и Сталина).</w:t>
      </w:r>
      <w:r w:rsidRPr="00F90EAE">
        <w:rPr>
          <w:color w:val="000000" w:themeColor="text1"/>
          <w:sz w:val="16"/>
          <w:szCs w:val="16"/>
        </w:rPr>
        <w:t xml:space="preserve"> 5.08.1956 г. заводу № 444 присвоено имя И.И. Носенко. Имел наименование «п/я 6» (1953-56 г.). 13.09.1968 г. завод № 444 переименован в ЧСЗ, лишен имени Носенко (</w:t>
      </w:r>
      <w:r w:rsidRPr="00F90EAE">
        <w:rPr>
          <w:iCs/>
          <w:color w:val="000000" w:themeColor="text1"/>
          <w:sz w:val="16"/>
          <w:szCs w:val="16"/>
        </w:rPr>
        <w:t>из-за того, что его сын Ю.И. Носенко, офицер КГБ, перебежал на Запад).</w:t>
      </w:r>
      <w:r w:rsidRPr="00F90EAE">
        <w:rPr>
          <w:iCs/>
          <w:color w:val="000000" w:themeColor="text1"/>
          <w:sz w:val="16"/>
          <w:szCs w:val="16"/>
          <w:vertAlign w:val="superscript"/>
        </w:rPr>
        <w:t>142</w:t>
      </w:r>
      <w:r w:rsidRPr="00F90EAE">
        <w:rPr>
          <w:color w:val="000000" w:themeColor="text1"/>
          <w:sz w:val="16"/>
          <w:szCs w:val="16"/>
        </w:rPr>
        <w:t xml:space="preserve"> В 1980-е  г. ЧСЗ - в ведении 2ГУ МСП. В 2005 г. - ГХК «Черноморский судостроительный завод».</w:t>
      </w:r>
    </w:p>
    <w:p w14:paraId="6A9E67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1948-53 г. для подготовки к строительству тяжелого крейсера «Сталинград» завод был реконструирован. В 1952 г. для правки броневых листов с Ижорского завода переданы мощные правильные вальцы. Пост, правительства от 25.03.1950 г. предусматривалась закладка крейсера во втором квартале 1951 г. со сдачей в 1954 г.</w:t>
      </w:r>
    </w:p>
    <w:p w14:paraId="59EF06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Крейсер пр. 82 «Сталинград» был заложен 31.12.1951 г., по пр. МТиТМ № 00112 от 18.04.1953 г. его строительство прекращено.</w:t>
      </w:r>
    </w:p>
    <w:p w14:paraId="41D119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1950-е  г. на заводе изготовлены опытные образцы подъемно-стыковочного агрегата ПС-31 для БР Р-13.</w:t>
      </w:r>
    </w:p>
    <w:p w14:paraId="0DD0F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1950-е  г. построено 72 ГШ пр. 613.</w:t>
      </w:r>
    </w:p>
    <w:p w14:paraId="250720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1960 г. начата новая реконструкция завода, в связи с развертыванием крупносерийной постройки поточно- позиционным методом больших морозильных рыболовных траулеров (БМРТ). Под судостроительный комплекс был переоборудован башенный цех. Блок поточной сборки траулеров создан на месте строительства ПЛ пр. 613. В качестве передаточного использовался плавучий док, построенный в 1914 г. В год завод строил 24 траулера, всего их на заводе построено более 500.</w:t>
      </w:r>
    </w:p>
    <w:p w14:paraId="1D790F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 правительства от 11.1963 г. заводу задана постройка двух кораблей ПЛО пр. 1123.</w:t>
      </w:r>
    </w:p>
    <w:p w14:paraId="48519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1977 г. завод принимал участие в строительстве испытательного комплекса НИТКА, в связи с этим была организована производственная база в  г. Саки.</w:t>
      </w:r>
    </w:p>
    <w:p w14:paraId="7E197C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ПСМ от 30.04.1976 г. заводу поручено строительство двух авианесущих кораблей пр. 1153 со сдачей к 1985 г. В связи с этим начата реконструкция большого наклонного стапеля «0», завершенная в 1982 г. На нем установлены два козловых крана финской фирмы </w:t>
      </w:r>
      <w:r w:rsidRPr="00F90EAE">
        <w:rPr>
          <w:color w:val="000000" w:themeColor="text1"/>
          <w:sz w:val="16"/>
          <w:szCs w:val="16"/>
          <w:lang w:val="en-US"/>
        </w:rPr>
        <w:t>KONE</w:t>
      </w:r>
      <w:r w:rsidRPr="00F90EAE">
        <w:rPr>
          <w:color w:val="000000" w:themeColor="text1"/>
          <w:sz w:val="16"/>
          <w:szCs w:val="16"/>
        </w:rPr>
        <w:t xml:space="preserve"> грузоподъемностью по 900 т с шириной пролета 140 м. Освоена крупно-блочная технология формирования корпусов авианосцев, это позволяло подавать на стапель готовые блоки массой по 1500-1700 т.</w:t>
      </w:r>
    </w:p>
    <w:p w14:paraId="32CF4D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10.1978 г. вышло постановление правительства о продолжении строительства ТАКР пр. 1143, но пост, от 03.1980 г. в план завода на 1981-90 г. включена постройка двух ПЛ вертолетоносцев пр. 10200. Затем пр. 10200 был отклонен, и в 05.1982 г. вышло постановление правительства о строительстве крейсера пр. 1143.5.</w:t>
      </w:r>
    </w:p>
    <w:p w14:paraId="55E8D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1980-е  г. установленные в отделе АСУП завода ЭВМ были соединены в единую сеть с машинами Невского ПКБ, что позволило при строительстве ТАКР «Адмирал Кузнецов» отказаться от плазовой разметки, а резать металл по программам ЭВМ. К 1986 г. была проведена подготовка производства к строительству атомного крейсера пр. 1143.7 «Ульяновск»: спроектирован и построен плавучий цех для сборки атомной СУ (после прекращения строительства авианосцев в нем велась сборка главных дизелей для танкеров); созданы отделы радиационной и ядерной безопасности, спецэнергетики; организованы участки: изготовления баков металловодной защиты, изготовления пластмассовой защиты, по заливке свинца в корпусные конструкции, воды высокой чистоты. С завода «Залив» был передан плавучий контрольно-дозиметрический пункт. Начато строительство новой достроечной набережной с комплексом новых монтажно-достроечных цехов. Велась подготовка к строительству второго корабля пр. 11437 (заказ № 108). Распоряжением правительства Украины от 4.02.1992 г. прекращено строительство «Ульяновска», «Варяга» и 4-й плавбазы пр. 2020; ликвидирован заказ № 108. Работы по дальнейшей реконструкции завода остановлены, цеха не достроены.</w:t>
      </w:r>
    </w:p>
    <w:p w14:paraId="612204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составе завода: цеха: монтажа систем вооружений № 8, сборочно-сварочный № 11 (1958-80-е), корпусо- стапельный № 16, турбинный № 26, № 34, № 41, № 49, агрегатно-модульных сборок, станков с ЧПУ; участок термообработки (обработка деталей массой до 30 т); стапели «0», «1»; Северная и Западная достроечные набережные; 332 крана и более 2100 грузоподъемных устройств.</w:t>
      </w:r>
    </w:p>
    <w:p w14:paraId="710F46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1999 г. был подписан контракт на строительство двух суперяхт компании "</w:t>
      </w:r>
      <w:r w:rsidRPr="00F90EAE">
        <w:rPr>
          <w:color w:val="000000" w:themeColor="text1"/>
          <w:sz w:val="16"/>
          <w:szCs w:val="16"/>
          <w:lang w:val="en-US"/>
        </w:rPr>
        <w:t>Sparkman</w:t>
      </w:r>
      <w:r w:rsidRPr="00F90EAE">
        <w:rPr>
          <w:color w:val="000000" w:themeColor="text1"/>
          <w:sz w:val="16"/>
          <w:szCs w:val="16"/>
        </w:rPr>
        <w:t>&amp;</w:t>
      </w:r>
      <w:r w:rsidRPr="00F90EAE">
        <w:rPr>
          <w:color w:val="000000" w:themeColor="text1"/>
          <w:sz w:val="16"/>
          <w:szCs w:val="16"/>
          <w:lang w:val="en-US"/>
        </w:rPr>
        <w:t>Stephens</w:t>
      </w:r>
      <w:r w:rsidRPr="00F90EAE">
        <w:rPr>
          <w:color w:val="000000" w:themeColor="text1"/>
          <w:sz w:val="16"/>
          <w:szCs w:val="16"/>
        </w:rPr>
        <w:t>" для Израиля, реализован не был.</w:t>
      </w:r>
    </w:p>
    <w:p w14:paraId="72132B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(1980-е)- 247 га (плюс 47 га акватории).</w:t>
      </w:r>
    </w:p>
    <w:p w14:paraId="6478AD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(1967 г.)- около 25 тыс. чел.</w:t>
      </w:r>
    </w:p>
    <w:p w14:paraId="0492F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Директор (12.08.1949-8.07.1952 г.)- В.Ф. Ивочкин, (8.07.1952-05.1954 г.)- В.М. Орешкин {1909-54}, (1954-56 г.)- И.С. Прибыльский (затем- председатель Херсонского СНХ), (12.1956-04.1959 г.)- З. Г. Згибнев, (1959-79 г.)- А.Б. Ганькевич {1912-86}, (09.1979-94 г.)- Ю.И. Макаров {1934-2002}. Гендиректор (1994 г.-)- И.Н. Овдиенко.</w:t>
      </w:r>
    </w:p>
    <w:p w14:paraId="15EE7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гендиректора: по траулерам (1974-76 г.)- Ю.И. Макаров; по машиностроению</w:t>
      </w:r>
    </w:p>
    <w:p w14:paraId="78E7B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(1978-91 г.-&gt; И.И. Винник; по капстроительству (1980-е)- А.Н. Бормосов.</w:t>
      </w:r>
    </w:p>
    <w:p w14:paraId="6B952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(1950-59 г.)- Е.М. Горбенко, (1961-76 г.)-  Г.М. Балабаев, (09.1976-79 г.)- Ю.И. Макаров, (05.1983- 86 г.)- И.Н. Овдиенко.</w:t>
      </w:r>
    </w:p>
    <w:p w14:paraId="551178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(1948 г.)- Я.Е. Евграфов, (-1967-73 г.)- Л.С. Елеонский, (1973-74 г.)- Ю.И. Макаров, (1974-87 г.)- В.С. Тюрин, (1987-96 г.)- О.И. Хотлубей, (1996-2006 г.-)- С.М. Хальнов.</w:t>
      </w:r>
    </w:p>
    <w:p w14:paraId="1A545E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по верфи (1974-87 г.)- О.И. Хотлубей, (1987-96 г.)- С.М. Хальнов; по траулерам (1967- 69 г.)- Ю.И. Макаров.</w:t>
      </w:r>
    </w:p>
    <w:p w14:paraId="31B8B6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технолог (1980-е)-  Г. Г. Меньков; по авианесущим кораблям (1980-е)- И.В. Рыбаченко; по пр. 2020 (1980- е)- С.П. Вороненко. Гл. сварщик (-1974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Тюрин.</w:t>
      </w:r>
    </w:p>
    <w:p w14:paraId="1646B9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технолога- Л.А. Плясков.</w:t>
      </w:r>
    </w:p>
    <w:p w14:paraId="324A9C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 16-  Г. Г. Меньков, М. Г. Рыльский, (1976-90 г.)- Л.П. Трищенко; № 49 (1986 г.)- И.М. Патрик; котельного- С.Н. Астремский.</w:t>
      </w:r>
    </w:p>
    <w:p w14:paraId="735A9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ОГК (1973-74 г.)- Ю.И. Макаров; гл. строителя (1976 г.)- И.И. Винник; АСУП</w:t>
      </w:r>
    </w:p>
    <w:p w14:paraId="74BFC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(1980-е)- М. Г. Рыльский; ВЭС (03.1992-93 г.)- В.В. Бабич.</w:t>
      </w:r>
    </w:p>
    <w:p w14:paraId="7C669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строитель (-1970-78 г.)- И.И. Винник («Киев», «Минск», «Новороссийск»), (1978-83 г.)- И.Н. Овдиенко («Новороссийск», «Баку», «Адмирал Кузнецов»), (1983-87 г.)-  Г.И. Журенко («Баку», военные заказы), (-1991- 2000 г.-)- Е.М. Ентис («Адмирал Кузнецов», «Варяг»),</w:t>
      </w:r>
    </w:p>
    <w:p w14:paraId="068A38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гл. строителя (1982 г.)-  Г.И. Журенко. Зам. гл. строителя: по вооружению (1978 г.)- И.С. Мельницкий.</w:t>
      </w:r>
    </w:p>
    <w:p w14:paraId="7F9D5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Старшие строители: (1960-е-72 г.-)- С.Н. Астремский («Ленинград», «Минек», «Адмирал Кузнецов»), (1988- 92 г.)- П.С. Герасимов (пр. 11437), (1975-82 г.)-  Г.И. Журенко (пр. 11433), В.Н. Ковалев (авиационные комплексы «Минска», «Баку»), (-1967-76 г.-)- В.Н. Корчагин («Москва», «Ленинград», «Киев», «Баку»), (1962 г.-)- Ю.И. Макаров (траулеры), (1970 г.)- И.Н. Овдиенко («Академик Сергей Королев»), (-1973-81 г.-)- А.И. Середин (авиационный комплекс «Киева», НИТКА). Строители кораблей: Ю.Л. Бобков, (1978 г.)-  Г.Н. Дмитриев (РК «Базальт» ТАКР «Минск»), (1973 г.)- В.Н. Ковалев (авиационный комплекс «Киева»), (1976 г.)- Л. Полевой, (1972 г.)- А.И. Середин (пр. 1143), (-1972-73 г.-)- М.С. Фещенко (авиационное вооружение пр. 1143), (1991 г.)- А. Школенко.</w:t>
      </w:r>
    </w:p>
    <w:p w14:paraId="523C52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Ответственные сдатчики: по корпусу (1980-е)- В.Н. Серебряный («Новороссийск»); комплекса авиационного вооружения (1970-е)- А.И. Середин («Киев»). Руководитель гарантийной команды (1983 г.)- А.Н. Панченко, (1988 г.)- В.Ф. Бабак.</w:t>
      </w:r>
    </w:p>
    <w:p w14:paraId="6F40FA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бюро: отдела АСУП (1971 г.-)- М.М. Райхман; технологической подготовки цеха № 16</w:t>
      </w:r>
    </w:p>
    <w:p w14:paraId="2AE662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(1980-е)- Л.Н. Шалыгина. Руководители групп: вооружения (1967 г.)- Н.П. Татаринов; конструкторской по вооружению (1977 г.-)- В.В. Бабич.</w:t>
      </w:r>
    </w:p>
    <w:p w14:paraId="636B5D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Капитан (1980-е)- Н.А. Деркач.</w:t>
      </w:r>
      <w:r w:rsidRPr="00F90EAE">
        <w:rPr>
          <w:color w:val="000000" w:themeColor="text1"/>
          <w:sz w:val="16"/>
          <w:szCs w:val="16"/>
          <w:vertAlign w:val="superscript"/>
        </w:rPr>
        <w:t>142</w:t>
      </w:r>
    </w:p>
    <w:p w14:paraId="2901014F"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 ПЛ:</w:t>
      </w:r>
      <w:r w:rsidRPr="00F90EAE">
        <w:rPr>
          <w:color w:val="000000" w:themeColor="text1"/>
          <w:sz w:val="16"/>
          <w:szCs w:val="16"/>
        </w:rPr>
        <w:t xml:space="preserve"> достройка серии ТХбис (1948)- 1; пр. 613 С-61, -62, -63, -64, -65, -66, -67, -68, -69, -70, -71, -72, -73, -74, -75, -76, -77, -78, -79, -86, -87, -88, -89, -90, -91, -95, -96, -97, -98, -217, -218, -219, -220, -221, -222, - 223, -224, -225, -226, -227, -228, -229, -230, -231, -232, -233, -234, -235, -236, -237, -238, -239, -240, -241, -242, -243, - 244, -245, -246, -250, -374, -375, -376, -377, -378, -379, -380, -381, -382, -383, -384 (1952-57)- 72;</w:t>
      </w:r>
      <w:r w:rsidRPr="00F90EAE">
        <w:rPr>
          <w:iCs/>
          <w:color w:val="000000" w:themeColor="text1"/>
          <w:sz w:val="16"/>
          <w:szCs w:val="16"/>
        </w:rPr>
        <w:t xml:space="preserve"> крейсеры: </w:t>
      </w:r>
      <w:r w:rsidRPr="00F90EAE">
        <w:rPr>
          <w:color w:val="000000" w:themeColor="text1"/>
          <w:sz w:val="16"/>
          <w:szCs w:val="16"/>
        </w:rPr>
        <w:t xml:space="preserve">достройка пр. 68К «Фрунзе», «Куйбышев» (1947-), </w:t>
      </w:r>
      <w:r w:rsidRPr="00F90EAE">
        <w:rPr>
          <w:color w:val="000000" w:themeColor="text1"/>
          <w:sz w:val="16"/>
          <w:szCs w:val="16"/>
          <w:lang w:val="en-US"/>
        </w:rPr>
        <w:t>rip</w:t>
      </w:r>
      <w:r w:rsidRPr="00F90EAE">
        <w:rPr>
          <w:color w:val="000000" w:themeColor="text1"/>
          <w:sz w:val="16"/>
          <w:szCs w:val="16"/>
        </w:rPr>
        <w:t>. 68бис «Дзержинский» (зак. № 374, 12.1948-08.1950, 08.1952), «Адмирал Нахимов» (зак. № 375, 06.1950-06.1951, 03.1953), «Михаил Кутузов» (зак. № 385, 02.1951- 11.1952, 12.1954), пр. 68бис-ЗИФ «Адмирал Корнилов» (зак. № 395, 11.1951-03.1954), зак. 366 (1952- не достроен); пр. 82 «Сталинград» (зак. № 400, 12.1951-53-, не достроен); противолодочные пр. 1123 «Кондор» «Москва» (зак. 701, 12.1962-01.1965), «Ленинград» (зак. 702, 01.1965-07.1967); ТАКР пр. 1143 «Кречет» «Киев» (зак. 101, 07.1970-12.1972), «Минск» (зак. 102, 12.1972-09.1975), пр. 1143.3 «Новороссийск» (зак. 103, 09.1975- 12.1978), пр. 1143.4 «Баку» (зак. 104, «Адмирал Горшков») (12.1978-03.1982), пр. 1143.5 «Рига» (зак. 105, «Леонид Брежнев», «Тбилиси», «Адмирал Кузнецов») (09.1982-12.1985), «Рига» (зак. 106, «Варяг») (12.1985- 11.1988), пр. 1143.7 «Ульяновск» (зак. 107, 11.1988-92, не достроен);</w:t>
      </w:r>
      <w:r w:rsidRPr="00F90EAE">
        <w:rPr>
          <w:iCs/>
          <w:color w:val="000000" w:themeColor="text1"/>
          <w:sz w:val="16"/>
          <w:szCs w:val="16"/>
        </w:rPr>
        <w:t xml:space="preserve"> плавбазы ПЛ:</w:t>
      </w:r>
      <w:r w:rsidRPr="00F90EAE">
        <w:rPr>
          <w:color w:val="000000" w:themeColor="text1"/>
          <w:sz w:val="16"/>
          <w:szCs w:val="16"/>
        </w:rPr>
        <w:t xml:space="preserve"> пр. 310 (1958-60)- 6, пр. 1886 (1963-72)- 6, пр. 1886М (1972)- 1, учебный корабль пр. 1886У (1970-71)- 2;</w:t>
      </w:r>
      <w:r w:rsidRPr="00F90EAE">
        <w:rPr>
          <w:iCs/>
          <w:color w:val="000000" w:themeColor="text1"/>
          <w:sz w:val="16"/>
          <w:szCs w:val="16"/>
        </w:rPr>
        <w:t xml:space="preserve"> плавучие техбазы:</w:t>
      </w:r>
      <w:r w:rsidRPr="00F90EAE">
        <w:rPr>
          <w:color w:val="000000" w:themeColor="text1"/>
          <w:sz w:val="16"/>
          <w:szCs w:val="16"/>
        </w:rPr>
        <w:t xml:space="preserve"> несамоходные пр. 323, пр. 323А (1962-65)- всего 3, пр. 323Б (1970), пр. 323В (1978); ракетно-техническая пр. 2001 (1971); перезарядки реакторов ЯЭУ пр. 2020 (1984-90)- 3, зак. 698 (-1992, не достроена); плавмастерские пр. 725 (1960- 62)- 3, пр. 725А (1964-66)- 2; малые плавдоки пр. 28 (1953-56);</w:t>
      </w:r>
      <w:r w:rsidRPr="00F90EAE">
        <w:rPr>
          <w:iCs/>
          <w:color w:val="000000" w:themeColor="text1"/>
          <w:sz w:val="16"/>
          <w:szCs w:val="16"/>
        </w:rPr>
        <w:t xml:space="preserve"> танкеры:</w:t>
      </w:r>
      <w:r w:rsidRPr="00F90EAE">
        <w:rPr>
          <w:color w:val="000000" w:themeColor="text1"/>
          <w:sz w:val="16"/>
          <w:szCs w:val="16"/>
        </w:rPr>
        <w:t xml:space="preserve"> пр. 563 «Казбек» (09.1950-09.1951); «панамаксы»: зак. 201, 202 для Норвегии (03.1992-93, не построены), для Греции (1990-е);</w:t>
      </w:r>
      <w:r w:rsidRPr="00F90EAE">
        <w:rPr>
          <w:iCs/>
          <w:color w:val="000000" w:themeColor="text1"/>
          <w:sz w:val="16"/>
          <w:szCs w:val="16"/>
        </w:rPr>
        <w:t xml:space="preserve"> сухогрузы:</w:t>
      </w:r>
      <w:r w:rsidRPr="00F90EAE">
        <w:rPr>
          <w:color w:val="000000" w:themeColor="text1"/>
          <w:sz w:val="16"/>
          <w:szCs w:val="16"/>
        </w:rPr>
        <w:t xml:space="preserve"> пр. 567 «Ленинский комсомол»</w:t>
      </w:r>
    </w:p>
    <w:p w14:paraId="269C04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(1959-)- 25 (вместе с заводом 873); пр. 594 типа «Полтава» (1962-)- 1, пр. 595 типа «Бежица» (1962-)- 1, пр. 1568 «Капитан Кушнаренко» (1967-75)- 21; контейнеровозы пр. 1609 «Капитан Смирнов» (1978-), «Капитан Мезенцев», «Инженер Ермошкин», «Владимир Васляев»; БМРТ пр. 394 «Маяковский» (1956-03.1958), (1958-78)- всего более 380 (вместе с заводом «Балтия»); пр. 394А «Пионер Латвии» (1969-), пр. 394АМ «Кронштадт» (1971- )- всего около 150; пр. 1288 «Пулковский меридиан» (1974-90)- более 80;</w:t>
      </w:r>
      <w:r w:rsidRPr="00F90EAE">
        <w:rPr>
          <w:iCs/>
          <w:color w:val="000000" w:themeColor="text1"/>
          <w:sz w:val="16"/>
          <w:szCs w:val="16"/>
        </w:rPr>
        <w:t xml:space="preserve"> суда </w:t>
      </w:r>
      <w:r w:rsidRPr="00F90EAE">
        <w:rPr>
          <w:iCs/>
          <w:color w:val="000000" w:themeColor="text1"/>
          <w:sz w:val="16"/>
          <w:szCs w:val="16"/>
          <w:lang w:val="en-US"/>
        </w:rPr>
        <w:t>cnetf</w:t>
      </w:r>
      <w:r w:rsidRPr="00F90EAE">
        <w:rPr>
          <w:iCs/>
          <w:color w:val="000000" w:themeColor="text1"/>
          <w:sz w:val="16"/>
          <w:szCs w:val="16"/>
        </w:rPr>
        <w:t>назначения для ВМФ:</w:t>
      </w:r>
      <w:r w:rsidRPr="00F90EAE">
        <w:rPr>
          <w:color w:val="000000" w:themeColor="text1"/>
          <w:sz w:val="16"/>
          <w:szCs w:val="16"/>
        </w:rPr>
        <w:t xml:space="preserve"> больше разведывательные корабли пр. 394Б, пр. 994 (1969-72)- всего 6; пр. 10221 (1986)- 1, пр. 12884 (1992)- 1; китобойные базы пр. 392 «Советская Украина» (1959), «Советская Россия» (1961); научно-промысловое судно «Академик Книпович» (1964); плавучий измерительный пункт пр. 1908 «Академик Сергей Королев» (1969- 12.1970); буксир-спасатель пр. 1454 «Пурга», «Напористый» (1974-);</w:t>
      </w:r>
      <w:r w:rsidRPr="00F90EAE">
        <w:rPr>
          <w:color w:val="000000" w:themeColor="text1"/>
          <w:sz w:val="16"/>
          <w:szCs w:val="16"/>
          <w:vertAlign w:val="superscript"/>
        </w:rPr>
        <w:t>116</w:t>
      </w:r>
      <w:r w:rsidRPr="00F90EAE">
        <w:rPr>
          <w:color w:val="000000" w:themeColor="text1"/>
          <w:sz w:val="16"/>
          <w:szCs w:val="16"/>
        </w:rPr>
        <w:t xml:space="preserve"> паровые котлы: КВН 98/64 для ТАКР «Баку», КВГ-2-1 для НИТКА (1970-е); взлетно-посадочные блоки испытательного комплекса НИТКА (1970-е); моторная лодка «Южанка» (1950-е); </w:t>
      </w:r>
      <w:r w:rsidRPr="00F90EAE">
        <w:rPr>
          <w:iCs/>
          <w:color w:val="000000" w:themeColor="text1"/>
          <w:sz w:val="16"/>
          <w:szCs w:val="16"/>
        </w:rPr>
        <w:t>переоборудование:</w:t>
      </w:r>
      <w:r w:rsidRPr="00F90EAE">
        <w:rPr>
          <w:color w:val="000000" w:themeColor="text1"/>
          <w:sz w:val="16"/>
          <w:szCs w:val="16"/>
        </w:rPr>
        <w:t xml:space="preserve"> ПЛ: пр. 613 по пр. В613 с БР (1957); С-229 пр. 613 по пр. 613АД с КР П-70 «Аметист» (1963-64); С-65 пр. 613 по пр. 613РВ (04-06.1965); крейсера пр. 68бис-ЗИФ «Адмирал Нахимов» по пр. 67ЭП (1955).</w:t>
      </w:r>
    </w:p>
    <w:p w14:paraId="4A5609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технологическое бюро № 82 (СТБ-82)</w:t>
      </w:r>
    </w:p>
    <w:p w14:paraId="61A7F2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на заводе № 444 в 1950-е  г. для сопровождения строительства головного тяжелого крейсера пр. 82 и разработки технологической документации по нему для других заводов.</w:t>
      </w:r>
      <w:r w:rsidRPr="00F90EAE">
        <w:rPr>
          <w:color w:val="000000" w:themeColor="text1"/>
          <w:sz w:val="16"/>
          <w:szCs w:val="16"/>
          <w:vertAlign w:val="superscript"/>
        </w:rPr>
        <w:t>142</w:t>
      </w:r>
    </w:p>
    <w:p w14:paraId="02FBD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КБ-444 завода № 444 МСП, ЦКБ-21 МСП, ЦКБ «Черноморсудопроект» (ЧСП), ОАО «ЧСП» /Украина 54010  г. Николаев ул. Бузника, 5/</w:t>
      </w:r>
    </w:p>
    <w:p w14:paraId="1243E1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ЦКБ-21 было образовано на базе КБ Черноморского судостроительного завода (КБ-444) приказом МСП № 383 от 22.12.1955 г. для создания морских транспортных судов. 30.08.1957 г. был утверждён первый технический проект ЦКБ - сухогруза пр. 567, переданный сюда из ЦКБ-32.</w:t>
      </w:r>
    </w:p>
    <w:p w14:paraId="513CE7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1960-х  г. сюда из ЦКБ-17 переданы работы по проектированию плавмастерской для АПЛ пр. 725А.</w:t>
      </w:r>
    </w:p>
    <w:p w14:paraId="288BF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1966 г. ЦКБ-21 переименовано в ЦКБ «Черноморсудопроект». В 1968 г. ЦКБ присвоено звание «Конструкторское бюро I категории». В 1990 г. изменена организационная структура ЧСП: образованы укрупнённые самостоятельные подразделения КБ-1, КБ-2, КБ-3. Образована дочерняя фирма «Юг-СП».</w:t>
      </w:r>
    </w:p>
    <w:p w14:paraId="1DA63B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706-264 от 3.09.1968 г. начато проектирование плавучего КИК «Академик Сергей Королев» для обеспечения полета комплекса Н1-ЛЗ.</w:t>
      </w:r>
    </w:p>
    <w:p w14:paraId="0D4D9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1978 г. ВМФ выдано задание на проектирование ПЛ вертолетоносца пр. 10200 на базе ролкера «Капитан Смирнов», в 1980 г. министром обороны работы прекращены.</w:t>
      </w:r>
    </w:p>
    <w:p w14:paraId="751E6B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Здесь созданы: первый отечественный (и в мире) сухогруз с максимальным раскрытием парных палубных люков- пр. 594; первый отечественный корабль комплексного снабжения кораблей ВМФ с устройствами передачи боезапаса, грузов и топлива на ходу «Березина»; уникальное судно снабжения Арктики с грузообработкой вертолётами собственного базирования пр. 10620 «Витус Беринг»; в конце 1970-х - первый отечественный лихтеровоз пр. 17502.</w:t>
      </w:r>
    </w:p>
    <w:p w14:paraId="2B0B4D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(1956-1965 г.)- А.Р. Золотухин, (1970 г.)- С.М. Козлов, (-1995 г.)- Ю. Т. Каменецкий. Гендиректор (2007 г.)- В.Н. Пикинер.</w:t>
      </w:r>
    </w:p>
    <w:p w14:paraId="6BBA1C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Технический директор (2007 г.)- В.В. Панков.</w:t>
      </w:r>
    </w:p>
    <w:p w14:paraId="5DEDB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(1948 г.)- М.И. Жулай (пр. 48к), (-1957-62 г.-)- Б.К. Сидоров (пр. 567, 594).</w:t>
      </w:r>
    </w:p>
    <w:p w14:paraId="02BCFE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К.Ф Иваницкий, (1971-78 г.-)- Ю.Т. Каменецкий, М. Г. Черноморенко.</w:t>
      </w:r>
    </w:p>
    <w:p w14:paraId="278845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(1970-е-87 г.-)- В.К. Ивженко (пр. 1609, 16091), (-1978-80 г.-&gt; Ю.Т. Каменецкий (пр. 10200), А.П. Клименко (пр. 15941), (1980-е)- Н.Т. Кныш пр. 13476), (1970 г.)- С.М. Козлов (пр. 1908), (1960-е)- Л.Р. Козырчук (пр. 1361, 1376), А.В. Корженовский, (1983 г.)- С.Б. Косовский (пр. 10620), О. Г. Кочерга, В.В. Криницкий, К.К. Леснов, (-1967-87 г.-)- В.А. Панков (пр. 1563, 1592, 1597, 10621, 17502), А. Г. Пляка, (1960-е-70 г.- )- Ф. В. Сибирь (пр. 567, 1347, 1568, 1584), (1971 г.)-  Г.М. Филатов (пр. 1585), (-1966-70-е)- А.Ф. Цыбенко (пр. 1573, 1574, 1593), (1960-е-70-е)- Д.С. Шаманов (пр. 725А, 925, 1833), В.Т. Щербинин, (1950-е)- Э. Г. Юсупов (пр. 582).</w:t>
      </w:r>
    </w:p>
    <w:p w14:paraId="31D8AA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конструкторов: (1970 г.)- Ю.Т. Каменецкий, (1978 г.)- М. Г. Черноморенко (пр. 10200).</w:t>
      </w:r>
    </w:p>
    <w:p w14:paraId="6014619A"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лидер пр. 48к (1949); противолодочный вертолетоносец пр. 10200 «Халзан» (1978-80, не реализован); большие разведывательные корабли пр. 394Б, пр. 994 (1960-е); эксплуатационное судно «Воейков» (1961); пр. 224 переоборудования траулера пр. 394 в экспедиционное гидрометеорологическое судно (1958); плавмастерские: пр. 725А (1964), пр. 925 (1970-е, не реализован);</w:t>
      </w:r>
      <w:r w:rsidRPr="00F90EAE">
        <w:rPr>
          <w:iCs/>
          <w:color w:val="000000" w:themeColor="text1"/>
          <w:sz w:val="16"/>
          <w:szCs w:val="16"/>
        </w:rPr>
        <w:t xml:space="preserve"> сухогрузы:</w:t>
      </w:r>
      <w:r w:rsidRPr="00F90EAE">
        <w:rPr>
          <w:color w:val="000000" w:themeColor="text1"/>
          <w:sz w:val="16"/>
          <w:szCs w:val="16"/>
        </w:rPr>
        <w:t xml:space="preserve"> пр. 567 (1957), пр. 594 типа «Полтава» (1962), пр. 595 типа «Бежйца» (1962), пр. 1563 типа «Славянск» (1967), пр. 1568 «Капитан Кушнаренко» (1966), быстроходный пр. 1584 типа «Котлин» (1970, не реализован), универсальный пр. 1585 типа «Герои-панфиловцы» (1971), экспортный пр. 1585Э (1974); с горизонтальной грузообработкой (ролкер) пр. 1609 типа «Капитан Смирнов» (1977), пр. 16091 (1987, не реализован); типа «Иргиз», «Парижская коммуна»; большой морозильный рыболовный траулер (БМРТ) пр. 1376 «Алтай» (1969), пр. 1386 типа «Горизонт» (1974); плавучий КИК пр. 1908 «Канопус» «Академик Сергей Королёв» на базе пр. 1568 (1970); контейнеровоз пр. 1597 типа «Александр Фадеев» (1972);</w:t>
      </w:r>
      <w:r w:rsidRPr="00F90EAE">
        <w:rPr>
          <w:iCs/>
          <w:color w:val="000000" w:themeColor="text1"/>
          <w:sz w:val="16"/>
          <w:szCs w:val="16"/>
        </w:rPr>
        <w:t xml:space="preserve"> рефрижераторы:</w:t>
      </w:r>
      <w:r w:rsidRPr="00F90EAE">
        <w:rPr>
          <w:color w:val="000000" w:themeColor="text1"/>
          <w:sz w:val="16"/>
          <w:szCs w:val="16"/>
        </w:rPr>
        <w:t xml:space="preserve"> пр. 582 типа «Таврия» (1958), пр. 1347 типа «50 лет СССР», транспортный пр. 13476 типа «Бухта Русская» (1984); морозильное судно пр. 1361 типа «Зеленодольск» (1962); </w:t>
      </w:r>
      <w:r w:rsidRPr="00F90EAE">
        <w:rPr>
          <w:iCs/>
          <w:color w:val="000000" w:themeColor="text1"/>
          <w:sz w:val="16"/>
          <w:szCs w:val="16"/>
        </w:rPr>
        <w:t>рудовозы:</w:t>
      </w:r>
      <w:r w:rsidRPr="00F90EAE">
        <w:rPr>
          <w:color w:val="000000" w:themeColor="text1"/>
          <w:sz w:val="16"/>
          <w:szCs w:val="16"/>
        </w:rPr>
        <w:t xml:space="preserve"> пр. 1573 типа «Риголетто» (1966), пр. 1574 типа «Зоя Космодемьянская» (1972), пр. 1592 типа «Капитан Панфилов» (1974), нефтерудовозы пр. 1593 типа «Борис Бутома» (1975), пр. 15941 типа «Харитон Греку»; корабль комплексного снабжения пр. 1833 «Пегас» (1976); лихтеровоз пр. 17502 типа «Алексей Косыгин» (1980); научно-исследовательские суда: пр. 1924С и пр. 1924У (1984, совместно с ЦКБ «Балтсудопроект»), «Академик Николай Андреев»; суда снабжения </w:t>
      </w:r>
      <w:r w:rsidRPr="00F90EAE">
        <w:rPr>
          <w:color w:val="000000" w:themeColor="text1"/>
          <w:sz w:val="16"/>
          <w:szCs w:val="16"/>
        </w:rPr>
        <w:lastRenderedPageBreak/>
        <w:t>пр. 10620 «Витус Беринг» (1983), пр. 10621 типа «Иван Папанин» (1987); лесовоз-пакетовоз «</w:t>
      </w:r>
      <w:r w:rsidRPr="00F90EAE">
        <w:rPr>
          <w:color w:val="000000" w:themeColor="text1"/>
          <w:sz w:val="16"/>
          <w:szCs w:val="16"/>
          <w:lang w:val="en-US"/>
        </w:rPr>
        <w:t>RAMONABOITIZ</w:t>
      </w:r>
      <w:r w:rsidRPr="00F90EAE">
        <w:rPr>
          <w:color w:val="000000" w:themeColor="text1"/>
          <w:sz w:val="16"/>
          <w:szCs w:val="16"/>
        </w:rPr>
        <w:t>», балкер «Киев», многоцелевой буксир «Гайдамака» (11982).</w:t>
      </w:r>
    </w:p>
    <w:p w14:paraId="08F1447D" w14:textId="77777777" w:rsidR="00665165" w:rsidRPr="00F90EAE" w:rsidRDefault="00665165" w:rsidP="00F90EAE">
      <w:pPr>
        <w:autoSpaceDE w:val="0"/>
        <w:autoSpaceDN w:val="0"/>
        <w:adjustRightInd w:val="0"/>
        <w:jc w:val="both"/>
        <w:rPr>
          <w:color w:val="000000" w:themeColor="text1"/>
          <w:sz w:val="16"/>
          <w:szCs w:val="16"/>
        </w:rPr>
      </w:pPr>
    </w:p>
    <w:p w14:paraId="2ADD265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7961 О мероприятиях по обеспечению перевозок хлеба речным транспортом в полноводный период навигации 1945 г. (7319, 80-85,86-94).</w:t>
      </w:r>
    </w:p>
    <w:p w14:paraId="01146A3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73A8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7962 О балансах и планах распределения сырья и проката цветных металлов, припасов, баббитов, угольных и графитированных электродов, нефтяного кокса и кабельных изделий на II квартал 1945 г. РГАНИР, Фонд ГКО, д. 386, лл. 95-97, 98-154 (11012).</w:t>
      </w:r>
    </w:p>
    <w:p w14:paraId="6C8FAB5C" w14:textId="77777777" w:rsidR="00665165" w:rsidRPr="00F90EAE" w:rsidRDefault="00665165" w:rsidP="00F90EAE">
      <w:pPr>
        <w:autoSpaceDE w:val="0"/>
        <w:autoSpaceDN w:val="0"/>
        <w:adjustRightInd w:val="0"/>
        <w:jc w:val="both"/>
        <w:rPr>
          <w:color w:val="000000" w:themeColor="text1"/>
          <w:sz w:val="16"/>
          <w:szCs w:val="16"/>
        </w:rPr>
      </w:pPr>
    </w:p>
    <w:p w14:paraId="5EADDD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7963 О плане нагрузки, выработки и распределения электроэнергии на II квартал 1945 года. РГАНИР, Фонд ГКО, д. 386, лл. 155-158, 159-212 (11012).</w:t>
      </w:r>
    </w:p>
    <w:p w14:paraId="4F17371D" w14:textId="77777777" w:rsidR="00665165" w:rsidRPr="00F90EAE" w:rsidRDefault="00665165" w:rsidP="00F90EAE">
      <w:pPr>
        <w:autoSpaceDE w:val="0"/>
        <w:autoSpaceDN w:val="0"/>
        <w:adjustRightInd w:val="0"/>
        <w:jc w:val="both"/>
        <w:rPr>
          <w:color w:val="000000" w:themeColor="text1"/>
          <w:sz w:val="16"/>
          <w:szCs w:val="16"/>
        </w:rPr>
      </w:pPr>
    </w:p>
    <w:p w14:paraId="48AA3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7964 О мерах помощи по дальнейшему восстановлению Сталиногорской ГРЭС. РГАНИР, Фонд ГКО, д. 387, лл. 1-3, 4-23 (11012).</w:t>
      </w:r>
    </w:p>
    <w:p w14:paraId="44D4DF73" w14:textId="77777777" w:rsidR="00665165" w:rsidRPr="00F90EAE" w:rsidRDefault="00665165" w:rsidP="00F90EAE">
      <w:pPr>
        <w:autoSpaceDE w:val="0"/>
        <w:autoSpaceDN w:val="0"/>
        <w:adjustRightInd w:val="0"/>
        <w:jc w:val="both"/>
        <w:rPr>
          <w:color w:val="000000" w:themeColor="text1"/>
          <w:sz w:val="16"/>
          <w:szCs w:val="16"/>
        </w:rPr>
      </w:pPr>
    </w:p>
    <w:p w14:paraId="358D23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7965 О мероприятиях по улучшению использования мощностей предприятий целлюлозно-бумажной промышленности. (7320, 24-32,33-48).</w:t>
      </w:r>
    </w:p>
    <w:p w14:paraId="0291449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00AD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вышло Постановление ГКО № 7966 О мероприятиях по обеспечению строительства главной военно-морской базы Северного Флота в Ваенга и судоремонтного завода в Роста на 1945 гоРГАНИР, Фонд ГКО, д. РГАНИР, Фонд ГКО, д. 387, лл. 49-53, 54-61 (11012).</w:t>
      </w:r>
    </w:p>
    <w:p w14:paraId="2704F3B0" w14:textId="77777777" w:rsidR="00665165" w:rsidRPr="00F90EAE" w:rsidRDefault="00665165" w:rsidP="00F90EAE">
      <w:pPr>
        <w:autoSpaceDE w:val="0"/>
        <w:autoSpaceDN w:val="0"/>
        <w:adjustRightInd w:val="0"/>
        <w:jc w:val="both"/>
        <w:rPr>
          <w:color w:val="000000" w:themeColor="text1"/>
          <w:sz w:val="16"/>
          <w:szCs w:val="16"/>
        </w:rPr>
      </w:pPr>
    </w:p>
    <w:p w14:paraId="04055E7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D059F32" w14:textId="77777777" w:rsidR="00665165" w:rsidRPr="00F90EAE" w:rsidRDefault="00665165" w:rsidP="00F90EAE">
      <w:pPr>
        <w:autoSpaceDE w:val="0"/>
        <w:autoSpaceDN w:val="0"/>
        <w:adjustRightInd w:val="0"/>
        <w:jc w:val="both"/>
        <w:rPr>
          <w:iCs/>
          <w:color w:val="000000" w:themeColor="text1"/>
          <w:sz w:val="16"/>
          <w:szCs w:val="16"/>
        </w:rPr>
      </w:pPr>
    </w:p>
    <w:p w14:paraId="3BB92232" w14:textId="77777777" w:rsidR="00503A32" w:rsidRPr="00F90EAE" w:rsidRDefault="00503A32" w:rsidP="00F90EAE">
      <w:pPr>
        <w:jc w:val="both"/>
        <w:rPr>
          <w:color w:val="000000" w:themeColor="text1"/>
          <w:sz w:val="16"/>
          <w:szCs w:val="16"/>
        </w:rPr>
      </w:pPr>
      <w:r w:rsidRPr="00F90EAE">
        <w:rPr>
          <w:bCs/>
          <w:color w:val="000000" w:themeColor="text1"/>
          <w:sz w:val="16"/>
          <w:szCs w:val="16"/>
        </w:rPr>
        <w:t>31 марта</w:t>
      </w:r>
      <w:r w:rsidRPr="00F90EAE">
        <w:rPr>
          <w:color w:val="000000" w:themeColor="text1"/>
          <w:sz w:val="16"/>
          <w:szCs w:val="16"/>
        </w:rPr>
        <w:t xml:space="preserve"> в 1945 году оперативная сводка Совинформбюро:</w:t>
      </w:r>
    </w:p>
    <w:p w14:paraId="4861BA9F" w14:textId="77777777" w:rsidR="00503A32" w:rsidRPr="00F90EAE" w:rsidRDefault="00503A32" w:rsidP="00F90EAE">
      <w:pPr>
        <w:jc w:val="both"/>
        <w:rPr>
          <w:color w:val="000000" w:themeColor="text1"/>
          <w:sz w:val="16"/>
          <w:szCs w:val="16"/>
        </w:rPr>
      </w:pPr>
      <w:r w:rsidRPr="00F90EAE">
        <w:rPr>
          <w:color w:val="000000" w:themeColor="text1"/>
          <w:sz w:val="16"/>
          <w:szCs w:val="16"/>
        </w:rPr>
        <w:t>«На 1-м Белорусском фронте западнее и юго-западнее города Кистжинь (Кюстрин) наши войска окружили и уничтожили значительный гарнизон немцев, оборонявший район между Вартой и Одером, при этом взяли в плен 3.170 немецких солдат и офицеров и захватили полевых орудий — 54, пулемётов— 150. Противник оставил на поле боя до 3.000 трупов своих солдат и офицеров.</w:t>
      </w:r>
    </w:p>
    <w:p w14:paraId="68413329" w14:textId="77777777" w:rsidR="00503A32" w:rsidRPr="00F90EAE" w:rsidRDefault="00503A32" w:rsidP="00F90EAE">
      <w:pPr>
        <w:jc w:val="both"/>
        <w:rPr>
          <w:color w:val="000000" w:themeColor="text1"/>
          <w:sz w:val="16"/>
          <w:szCs w:val="16"/>
        </w:rPr>
      </w:pPr>
      <w:r w:rsidRPr="00F90EAE">
        <w:rPr>
          <w:color w:val="000000" w:themeColor="text1"/>
          <w:sz w:val="16"/>
          <w:szCs w:val="16"/>
        </w:rPr>
        <w:t>В районах Глогау и Бреслау наши войска продолжали бои по уничтожению окружённых групп немецких войск.</w:t>
      </w:r>
    </w:p>
    <w:p w14:paraId="28549E16"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1-го Украинского фронта 31 марта с боем овладели городами Ратибор и Бискау — важными узлами дорог и сильными опорными пунктами обороны немцев на левом берегу Одера, а также с боями заняли более 50 других населённых пунктов и среди них Братш, Тюрмитц, Хохкретшам, Катшер, Трэм, Заудиц, Вейендорф, Хоенбиркен, Пшув, Рыдультау.</w:t>
      </w:r>
    </w:p>
    <w:p w14:paraId="514184F0"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овладели городом Нитра и, форсировав реку Ваг, с боем заняли город Таланта — важный узел дорог на путях к Братиславе. В ходе боёв за 31 марта войска фронта заняли более 80 других населённых пунктов, в том числе крупные населённые пункты Кепешд, Шалья, Дяковце, Перед, Жигард, Горни Салиби, Мостова Керть, Гута, Земянска-Олча, Тани и железнодорожные станции Шалья, Перед, Жигард, Недед. Одновременно войска фронта, наступая по южному берегу Дуная, заняли населённые пункты Дунасег, Кунсигет, Мошонсентмиклош, Бешаркани, Маглоца. В боях за 30 марта войска фронта взяли в плен более 800 солдат и офицеров противника.</w:t>
      </w:r>
    </w:p>
    <w:p w14:paraId="5995C7F3"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31 марта овладели городами Вашвар, Керменд, Сентготтард—важными опорными пунктами обороны немцев на раке Раба; южнее озера Балатон войска болгарской армии с боем заняли город чурго. В ходе наступательных боёв за 31 марта войска фронта заняли на территории Венгрии более 100 других населённых пунктов и среди них Шюттер, Хидегшег, Копхаза (5 километров юго-восточнее Шопрона), Надыденк, Унд, Нарай, Кандорфа, Ерисентпетер, Залабакша, Ново, Шармеллек. Одновременно на территории Австрии юго-восточнее Винер Нойштадт войска фронта заняли более 70 населённых пунктов и среди них Дойч Кронц, Некенмаркт, Ланенбах, Рицинг, Чурндорф, Висма, Кирхшлаг, Рехнитц. В боях за 30 марта войска фронта взяли в плен более 8.000 солдат и офицеров противника. В числе пленных командир 3-го венгерского армейского корпуса генерал-лейтенант Актолейко-Бейла.</w:t>
      </w:r>
    </w:p>
    <w:p w14:paraId="62248A2B" w14:textId="77777777" w:rsidR="00503A32" w:rsidRPr="00F90EAE" w:rsidRDefault="00503A32"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2ED58C1B" w14:textId="77777777" w:rsidR="00503A32" w:rsidRPr="00F90EAE" w:rsidRDefault="00503A32" w:rsidP="00F90EAE">
      <w:pPr>
        <w:jc w:val="both"/>
        <w:rPr>
          <w:color w:val="000000" w:themeColor="text1"/>
          <w:sz w:val="16"/>
          <w:szCs w:val="16"/>
        </w:rPr>
      </w:pPr>
      <w:r w:rsidRPr="00F90EAE">
        <w:rPr>
          <w:color w:val="000000" w:themeColor="text1"/>
          <w:sz w:val="16"/>
          <w:szCs w:val="16"/>
        </w:rPr>
        <w:t>За 30 марта на всех фронтах подбито и уничтожено 50 немецких танков. В воздушных боях и огнём зенитной артиллерии сбито 25 самолётов противника.</w:t>
      </w:r>
    </w:p>
    <w:p w14:paraId="516CC4A5"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1-го Украинского фронта с боями продвигались вперед. Советские пехотинцы и танкисты прорвали немецкую оборону северо-западнее города Ратибор. Противник спешно перебросил на этот участок значительные силы пехоты и танков и оказывал упорное сопротивление. Пленные сообщают, что немецкое командование отдало приказ любой ценой удержать Ратибор – сильный опорный пункт, прикрывающих пути к Моравской Остраве. Немцы, ожидавшие удара наших войск с востока и юга, укрепили восточные и южные подступы к городу. Здесь была построена сплошная полоса долговременных укреплений – железобетонные доты с подземными ходами сообщения, противотанковые рвы и проволочные заграждения. Совершив успешный обходный маневр, наши войска ворвались в Ратибор с запада. Противник, стремясь восстановить положение, предпринял ряд ожесточенных контратак. Отбрасывая гитлеровцев, советские пехотинцы постепенно обходили город. Одновременно другие наши части усилили нажим с востока. Сегодня днем после упорных боев войска фронта, сломив вражеское сопротивление, овладели городом Ратибор – важным узлом железных и шоссейных дорог. Ратибор – крупный промышленный центр на реке Одер. В нем имеются машиностроительные, вагоностроительные и военные заводы, судостроительная верфь и другие предприятия. Нашими войсками занят также город Бискау. За два дня боев уничтожено более 3 тысяч гитлеровцев, сожжено и подбито 37 танков и 14 бронетранспортеров противника. Взято в плен более 1000 немецких солдат и офицеров.</w:t>
      </w:r>
    </w:p>
    <w:p w14:paraId="54C0C9CD"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Наши части сбоями вышли к город Нитра, расположенному в излучине реки Нитра, на ее западном берегу. Немцы часто переходили в контратаки. Наши войска отбили вражеские контратаки и отбросили противника на западный берег реки. Затем советские пехотинцы переправились через реку южнее города и, совершив стремительный обходный маневр, отрезали вражескому гарнизону все пути отхода. Город Нитра был подготовлен немцами к длительной круговой обороне. Наши войска при поддержке артиллерии ворвались в город с юго-запада и в результате ожесточенных уличных боев овладели им. Крупный немецкий гарнизон в большей своей части уничтожен. Часть гитлеровцев сложила оружие и сдалась в плен.</w:t>
      </w:r>
    </w:p>
    <w:p w14:paraId="030AB1D7"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фронта, форсировав реку Ваг, сегодня заняли важный узел дорог город Галанта, находящийся в 45 километрах от Братиславы. Противник, отступая под ударами советских войск, бросает много вооружения и военных материалов.</w:t>
      </w:r>
    </w:p>
    <w:p w14:paraId="4C553BF4" w14:textId="77777777" w:rsidR="00503A32" w:rsidRPr="00F90EAE" w:rsidRDefault="00503A32" w:rsidP="00F90EAE">
      <w:pPr>
        <w:jc w:val="both"/>
        <w:rPr>
          <w:color w:val="000000" w:themeColor="text1"/>
          <w:sz w:val="16"/>
          <w:szCs w:val="16"/>
        </w:rPr>
      </w:pPr>
      <w:r w:rsidRPr="00F90EAE">
        <w:rPr>
          <w:color w:val="000000" w:themeColor="text1"/>
          <w:sz w:val="16"/>
          <w:szCs w:val="16"/>
        </w:rPr>
        <w:t>Войска 3-го Украинского фронта продолжали успешное наступление. Все попытки противника задержаться на промежуточных рубежах сорваны стремительными действиями советских частей. Наши танкисты и пехотинцы, вступившие в гористую, покрытую лесом местность, обходят вражеские узлы обороны и неотступно преследуют потрепанные немецкие дивизии. Ожесточенные бои произошли в долине реки Раба. Сломив сопротивление немцев, советские части овладели городом Керменд и устремились на запад. За день боев наши войска продвинулись на 30 километров и вышли к городу Сентготтард, расположенному у австро-венгерской границы. Немцы, располагавшие выгодными позициями, намеревались задержать здесь советские части, но были разгромлены. Заняв город Сентготтард, наши войска захватили много пленных и большие трофеи. По неполным данным уничтожено до 4 тысяч немецких солдат и офицеров. Захвачено 32 танка и самоходных орудий, 144 пулемета, более 300 автомашин, 30 паровозов, 322 вагона, 3 железнодорожных эшелона с инженерным имуществом и 11 разных складов.</w:t>
      </w:r>
    </w:p>
    <w:p w14:paraId="7CE9D7FB" w14:textId="77777777" w:rsidR="00503A32" w:rsidRPr="00F90EAE" w:rsidRDefault="00503A32" w:rsidP="00F90EAE">
      <w:pPr>
        <w:jc w:val="both"/>
        <w:rPr>
          <w:color w:val="000000" w:themeColor="text1"/>
          <w:sz w:val="16"/>
          <w:szCs w:val="16"/>
        </w:rPr>
      </w:pPr>
      <w:r w:rsidRPr="00F90EAE">
        <w:rPr>
          <w:color w:val="000000" w:themeColor="text1"/>
          <w:sz w:val="16"/>
          <w:szCs w:val="16"/>
        </w:rPr>
        <w:t>29 марта авиацией Краснознаменного Балтийского флота в Данцигской бухте потоплены: миноносец, транспорт водоизмещением в 5 тысяч тонн и быстроходная десантная баржа противника.» (15085).</w:t>
      </w:r>
    </w:p>
    <w:p w14:paraId="320FAEF2" w14:textId="77777777" w:rsidR="00503A32" w:rsidRPr="00F90EAE" w:rsidRDefault="00503A32" w:rsidP="00F90EAE">
      <w:pPr>
        <w:jc w:val="both"/>
        <w:rPr>
          <w:color w:val="000000" w:themeColor="text1"/>
          <w:sz w:val="16"/>
          <w:szCs w:val="16"/>
        </w:rPr>
      </w:pPr>
    </w:p>
    <w:p w14:paraId="1EB75002" w14:textId="77777777" w:rsidR="00503A32" w:rsidRPr="00F90EAE" w:rsidRDefault="00503A32" w:rsidP="00F90EAE">
      <w:pPr>
        <w:jc w:val="both"/>
        <w:rPr>
          <w:color w:val="000000" w:themeColor="text1"/>
          <w:sz w:val="16"/>
          <w:szCs w:val="16"/>
        </w:rPr>
      </w:pPr>
      <w:r w:rsidRPr="00F90EAE">
        <w:rPr>
          <w:bCs/>
          <w:color w:val="000000" w:themeColor="text1"/>
          <w:sz w:val="16"/>
          <w:szCs w:val="16"/>
        </w:rPr>
        <w:t>31 марта</w:t>
      </w:r>
      <w:r w:rsidRPr="00F90EAE">
        <w:rPr>
          <w:color w:val="000000" w:themeColor="text1"/>
          <w:sz w:val="16"/>
          <w:szCs w:val="16"/>
        </w:rPr>
        <w:t xml:space="preserve"> в 1945 году войска 1-го Украинского фронта завершили Верхне -Силезскую наступательную операцию. В результате этой операции были окружены и уничтожены 17 армий группы армий "Центр" и армейская группа "Хейнрици". В ходе операции было уничтожено 40 тысяч фашистов и 14 тысяч взято в плен (15085).</w:t>
      </w:r>
    </w:p>
    <w:p w14:paraId="79852B40" w14:textId="77777777" w:rsidR="00503A32" w:rsidRPr="00F90EAE" w:rsidRDefault="00503A32" w:rsidP="00F90EAE">
      <w:pPr>
        <w:jc w:val="both"/>
        <w:rPr>
          <w:color w:val="000000" w:themeColor="text1"/>
          <w:sz w:val="16"/>
          <w:szCs w:val="16"/>
        </w:rPr>
      </w:pPr>
    </w:p>
    <w:p w14:paraId="04D91DE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в 1945 году войска 1-го Украинского фронта завершили Верхне -Силезскую наступательную операцию. В результате этой операции были окружены и уничтожены 17 А группы армий "Центр" и армейская группа "Хейнрици". В ходе операции было уничтожено 40 тысяч фашистов и 14 тысяч взято в плен (4963 ).</w:t>
      </w:r>
    </w:p>
    <w:p w14:paraId="185BFC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BEB25B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March 31st, 1945: In the Southeast, the Red Army enters German territory near Sopron in Hungary, while capturing Ratibor in Upper Silesia. In the West, the US Third Army reaches Siegen 20 miles east of the Rhine (3819).</w:t>
      </w:r>
    </w:p>
    <w:p w14:paraId="27119340" w14:textId="77777777" w:rsidR="00665165" w:rsidRPr="00F90EAE" w:rsidRDefault="00665165" w:rsidP="00F90EAE">
      <w:pPr>
        <w:autoSpaceDE w:val="0"/>
        <w:autoSpaceDN w:val="0"/>
        <w:adjustRightInd w:val="0"/>
        <w:jc w:val="both"/>
        <w:rPr>
          <w:color w:val="000000" w:themeColor="text1"/>
          <w:sz w:val="16"/>
          <w:szCs w:val="16"/>
          <w:lang w:val="en-US"/>
        </w:rPr>
      </w:pPr>
    </w:p>
    <w:p w14:paraId="684ACE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КА вошла на немецкую территорию у Шопроня в Венгрии и заняли Ратибор в Верхней Силезии. 3А США достигла Зигена в 20 милях от Рейна (3819).</w:t>
      </w:r>
    </w:p>
    <w:p w14:paraId="18E3AC74" w14:textId="77777777" w:rsidR="00665165" w:rsidRPr="00F90EAE" w:rsidRDefault="00665165" w:rsidP="00F90EAE">
      <w:pPr>
        <w:autoSpaceDE w:val="0"/>
        <w:autoSpaceDN w:val="0"/>
        <w:adjustRightInd w:val="0"/>
        <w:jc w:val="both"/>
        <w:rPr>
          <w:color w:val="000000" w:themeColor="text1"/>
          <w:sz w:val="16"/>
          <w:szCs w:val="16"/>
        </w:rPr>
      </w:pPr>
    </w:p>
    <w:p w14:paraId="715BA9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48EA24C" w14:textId="77777777" w:rsidR="00665165" w:rsidRPr="00F90EAE" w:rsidRDefault="00665165" w:rsidP="00F90EAE">
      <w:pPr>
        <w:autoSpaceDE w:val="0"/>
        <w:autoSpaceDN w:val="0"/>
        <w:adjustRightInd w:val="0"/>
        <w:jc w:val="both"/>
        <w:rPr>
          <w:iCs/>
          <w:color w:val="000000" w:themeColor="text1"/>
          <w:sz w:val="16"/>
          <w:szCs w:val="16"/>
        </w:rPr>
      </w:pPr>
    </w:p>
    <w:p w14:paraId="4EF522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31 марта 1945 США и Англия запретили представителям польского правительства, поддерживаемого СССР, принять участие в заседании ОНН в Сан Франциско (2100).</w:t>
      </w:r>
    </w:p>
    <w:p w14:paraId="2D40950D" w14:textId="77777777" w:rsidR="00665165" w:rsidRPr="00F90EAE" w:rsidRDefault="00665165" w:rsidP="00F90EAE">
      <w:pPr>
        <w:autoSpaceDE w:val="0"/>
        <w:autoSpaceDN w:val="0"/>
        <w:adjustRightInd w:val="0"/>
        <w:jc w:val="both"/>
        <w:rPr>
          <w:color w:val="000000" w:themeColor="text1"/>
          <w:sz w:val="16"/>
          <w:szCs w:val="16"/>
        </w:rPr>
      </w:pPr>
    </w:p>
    <w:p w14:paraId="21A2E8C5" w14:textId="77777777" w:rsidR="00665165" w:rsidRPr="00F90EAE" w:rsidRDefault="001561D1" w:rsidP="00F90EAE">
      <w:pPr>
        <w:tabs>
          <w:tab w:val="left" w:pos="1620"/>
        </w:tabs>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1C88744" w14:textId="77777777" w:rsidR="00665165" w:rsidRPr="00F90EAE" w:rsidRDefault="00665165" w:rsidP="00F90EAE">
      <w:pPr>
        <w:tabs>
          <w:tab w:val="left" w:pos="1620"/>
        </w:tabs>
        <w:autoSpaceDE w:val="0"/>
        <w:autoSpaceDN w:val="0"/>
        <w:adjustRightInd w:val="0"/>
        <w:jc w:val="both"/>
        <w:rPr>
          <w:iCs/>
          <w:color w:val="000000" w:themeColor="text1"/>
          <w:sz w:val="16"/>
          <w:szCs w:val="16"/>
        </w:rPr>
      </w:pPr>
    </w:p>
    <w:p w14:paraId="04F9E9F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марта 1945 Эйзенхауэр по радио призвал немецкие войска к капитуляции (4962).</w:t>
      </w:r>
    </w:p>
    <w:p w14:paraId="0290527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B770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было принято решение о создании правительства народно-демократической Чехословакии (3481).</w:t>
      </w:r>
    </w:p>
    <w:p w14:paraId="196905A0" w14:textId="77777777" w:rsidR="00665165" w:rsidRPr="00F90EAE" w:rsidRDefault="00665165" w:rsidP="00F90EAE">
      <w:pPr>
        <w:autoSpaceDE w:val="0"/>
        <w:autoSpaceDN w:val="0"/>
        <w:adjustRightInd w:val="0"/>
        <w:jc w:val="both"/>
        <w:rPr>
          <w:color w:val="000000" w:themeColor="text1"/>
          <w:sz w:val="16"/>
          <w:szCs w:val="16"/>
        </w:rPr>
      </w:pPr>
    </w:p>
    <w:p w14:paraId="6D097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в л Равенсбрюк казнена Е.Ю.Кузьмина-Караваема - мать Мария - участница Сопротивления (3960, 126).</w:t>
      </w:r>
    </w:p>
    <w:p w14:paraId="1F423784" w14:textId="77777777" w:rsidR="00665165" w:rsidRPr="00F90EAE" w:rsidRDefault="00665165" w:rsidP="00F90EAE">
      <w:pPr>
        <w:autoSpaceDE w:val="0"/>
        <w:autoSpaceDN w:val="0"/>
        <w:adjustRightInd w:val="0"/>
        <w:jc w:val="both"/>
        <w:rPr>
          <w:color w:val="000000" w:themeColor="text1"/>
          <w:sz w:val="16"/>
          <w:szCs w:val="16"/>
        </w:rPr>
      </w:pPr>
    </w:p>
    <w:p w14:paraId="4A5897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 1945 началось применение Оки японцами (3961, 217).</w:t>
      </w:r>
    </w:p>
    <w:p w14:paraId="43CBF1B2" w14:textId="77777777" w:rsidR="00665165" w:rsidRPr="00F90EAE" w:rsidRDefault="00665165" w:rsidP="00F90EAE">
      <w:pPr>
        <w:autoSpaceDE w:val="0"/>
        <w:autoSpaceDN w:val="0"/>
        <w:adjustRightInd w:val="0"/>
        <w:jc w:val="both"/>
        <w:rPr>
          <w:color w:val="000000" w:themeColor="text1"/>
          <w:sz w:val="16"/>
          <w:szCs w:val="16"/>
        </w:rPr>
      </w:pPr>
    </w:p>
    <w:p w14:paraId="0599F760" w14:textId="77777777" w:rsidR="00600B70" w:rsidRPr="00F90EAE" w:rsidRDefault="00600B70" w:rsidP="00F90EAE">
      <w:pPr>
        <w:jc w:val="both"/>
        <w:rPr>
          <w:color w:val="0070C0"/>
          <w:sz w:val="16"/>
          <w:szCs w:val="16"/>
        </w:rPr>
      </w:pPr>
      <w:r w:rsidRPr="00F90EAE">
        <w:rPr>
          <w:color w:val="0070C0"/>
          <w:sz w:val="16"/>
          <w:szCs w:val="16"/>
        </w:rPr>
        <w:t>31 марта 1945 B-29 снова совершили налет на японские аэродромы на Кюсю (20371).</w:t>
      </w:r>
    </w:p>
    <w:p w14:paraId="7EB3D70B" w14:textId="77777777" w:rsidR="00600B70" w:rsidRPr="00F90EAE" w:rsidRDefault="00600B70" w:rsidP="00F90EAE">
      <w:pPr>
        <w:jc w:val="both"/>
        <w:rPr>
          <w:color w:val="0070C0"/>
          <w:sz w:val="16"/>
          <w:szCs w:val="16"/>
        </w:rPr>
      </w:pPr>
    </w:p>
    <w:p w14:paraId="544DB18A" w14:textId="77777777" w:rsidR="00600B70" w:rsidRPr="00F90EAE" w:rsidRDefault="00600B70" w:rsidP="00F90EAE">
      <w:pPr>
        <w:jc w:val="both"/>
        <w:rPr>
          <w:color w:val="0070C0"/>
          <w:sz w:val="16"/>
          <w:szCs w:val="16"/>
        </w:rPr>
      </w:pPr>
      <w:r w:rsidRPr="00F90EAE">
        <w:rPr>
          <w:color w:val="0070C0"/>
          <w:sz w:val="16"/>
          <w:szCs w:val="16"/>
        </w:rPr>
        <w:t>31 марта 1945 камикадзе с Окинавы наносят ущерб США тяжелому крейсеру USS Indianapolis, убивая 9 и ранив 20 селовек (20371).</w:t>
      </w:r>
    </w:p>
    <w:p w14:paraId="43A0CE61" w14:textId="77777777" w:rsidR="00600B70" w:rsidRPr="00F90EAE" w:rsidRDefault="00600B70" w:rsidP="00F90EAE">
      <w:pPr>
        <w:jc w:val="both"/>
        <w:rPr>
          <w:color w:val="0070C0"/>
          <w:sz w:val="16"/>
          <w:szCs w:val="16"/>
        </w:rPr>
      </w:pPr>
    </w:p>
    <w:p w14:paraId="0B1A3183" w14:textId="77777777" w:rsidR="00600B70" w:rsidRPr="00F90EAE" w:rsidRDefault="00600B70" w:rsidP="00F90EAE">
      <w:pPr>
        <w:jc w:val="both"/>
        <w:rPr>
          <w:color w:val="0070C0"/>
          <w:sz w:val="16"/>
          <w:szCs w:val="16"/>
        </w:rPr>
      </w:pPr>
      <w:r w:rsidRPr="00F90EAE">
        <w:rPr>
          <w:color w:val="0070C0"/>
          <w:sz w:val="16"/>
          <w:szCs w:val="16"/>
        </w:rPr>
        <w:t>31 марта 1945 г.</w:t>
      </w:r>
    </w:p>
    <w:p w14:paraId="06EA3301" w14:textId="77777777" w:rsidR="00600B70" w:rsidRPr="00F90EAE" w:rsidRDefault="00600B70" w:rsidP="00F90EAE">
      <w:pPr>
        <w:jc w:val="both"/>
        <w:rPr>
          <w:color w:val="0070C0"/>
          <w:sz w:val="16"/>
          <w:szCs w:val="16"/>
        </w:rPr>
      </w:pPr>
      <w:r w:rsidRPr="00F90EAE">
        <w:rPr>
          <w:color w:val="0070C0"/>
          <w:sz w:val="16"/>
          <w:szCs w:val="16"/>
        </w:rPr>
        <w:t>Секретно</w:t>
      </w:r>
    </w:p>
    <w:p w14:paraId="61B35A9E" w14:textId="77777777" w:rsidR="00600B70" w:rsidRPr="00F90EAE" w:rsidRDefault="00600B70" w:rsidP="00F90EAE">
      <w:pPr>
        <w:jc w:val="both"/>
        <w:rPr>
          <w:color w:val="0070C0"/>
          <w:sz w:val="16"/>
          <w:szCs w:val="16"/>
        </w:rPr>
      </w:pPr>
      <w:r w:rsidRPr="00F90EAE">
        <w:rPr>
          <w:color w:val="0070C0"/>
          <w:sz w:val="16"/>
          <w:szCs w:val="16"/>
        </w:rPr>
        <w:t>Главное командование Военно-воздушных сил Ставка, 31.03.1945</w:t>
      </w:r>
    </w:p>
    <w:p w14:paraId="38A85483" w14:textId="77777777" w:rsidR="00600B70" w:rsidRPr="00F90EAE" w:rsidRDefault="00600B70" w:rsidP="00F90EAE">
      <w:pPr>
        <w:jc w:val="both"/>
        <w:rPr>
          <w:color w:val="0070C0"/>
          <w:sz w:val="16"/>
          <w:szCs w:val="16"/>
        </w:rPr>
      </w:pPr>
      <w:r w:rsidRPr="00F90EAE">
        <w:rPr>
          <w:color w:val="0070C0"/>
          <w:sz w:val="16"/>
          <w:szCs w:val="16"/>
        </w:rPr>
        <w:t>Оргштаб военно-воздушных сил</w:t>
      </w:r>
    </w:p>
    <w:p w14:paraId="2CBEFBC2" w14:textId="77777777" w:rsidR="00600B70" w:rsidRPr="00F90EAE" w:rsidRDefault="00600B70" w:rsidP="00F90EAE">
      <w:pPr>
        <w:jc w:val="both"/>
        <w:rPr>
          <w:color w:val="0070C0"/>
          <w:sz w:val="16"/>
          <w:szCs w:val="16"/>
        </w:rPr>
      </w:pPr>
      <w:r w:rsidRPr="00F90EAE">
        <w:rPr>
          <w:color w:val="0070C0"/>
          <w:sz w:val="16"/>
          <w:szCs w:val="16"/>
        </w:rPr>
        <w:t>[Генштаб / ген[ерал]-кварт[ирмейстер] / 2-й отдел (ИВ)]</w:t>
      </w:r>
    </w:p>
    <w:p w14:paraId="35CD16F8" w14:textId="77777777" w:rsidR="00600B70" w:rsidRPr="00F90EAE" w:rsidRDefault="00600B70" w:rsidP="00F90EAE">
      <w:pPr>
        <w:jc w:val="both"/>
        <w:rPr>
          <w:color w:val="0070C0"/>
          <w:sz w:val="16"/>
          <w:szCs w:val="16"/>
        </w:rPr>
      </w:pPr>
      <w:r w:rsidRPr="00F90EAE">
        <w:rPr>
          <w:color w:val="0070C0"/>
          <w:sz w:val="16"/>
          <w:szCs w:val="16"/>
        </w:rPr>
        <w:t>Az. 11b16Nt. 4415/4geh.</w:t>
      </w:r>
    </w:p>
    <w:p w14:paraId="17F70B9A" w14:textId="77777777" w:rsidR="00600B70" w:rsidRPr="00F90EAE" w:rsidRDefault="00600B70" w:rsidP="00F90EAE">
      <w:pPr>
        <w:jc w:val="both"/>
        <w:rPr>
          <w:color w:val="0070C0"/>
          <w:sz w:val="16"/>
          <w:szCs w:val="16"/>
        </w:rPr>
      </w:pPr>
      <w:r w:rsidRPr="00F90EAE">
        <w:rPr>
          <w:color w:val="0070C0"/>
          <w:sz w:val="16"/>
          <w:szCs w:val="16"/>
        </w:rPr>
        <w:t>Касательно]: маркировка самолетов ВСНР.</w:t>
      </w:r>
    </w:p>
    <w:p w14:paraId="7B84CECF" w14:textId="77777777" w:rsidR="00600B70" w:rsidRPr="00F90EAE" w:rsidRDefault="00600B70" w:rsidP="00F90EAE">
      <w:pPr>
        <w:jc w:val="both"/>
        <w:rPr>
          <w:color w:val="0070C0"/>
          <w:sz w:val="16"/>
          <w:szCs w:val="16"/>
        </w:rPr>
      </w:pPr>
      <w:r w:rsidRPr="00F90EAE">
        <w:rPr>
          <w:color w:val="0070C0"/>
          <w:sz w:val="16"/>
          <w:szCs w:val="16"/>
        </w:rPr>
        <w:t>На: телеграмма инспектора персонала из восточных народов военно-воздушных сил Nr. 472/45 geh. от 28 марта 1945 г.</w:t>
      </w:r>
    </w:p>
    <w:p w14:paraId="30FEE06C" w14:textId="77777777" w:rsidR="00600B70" w:rsidRPr="00F90EAE" w:rsidRDefault="00600B70" w:rsidP="00F90EAE">
      <w:pPr>
        <w:jc w:val="both"/>
        <w:rPr>
          <w:color w:val="0070C0"/>
          <w:sz w:val="16"/>
          <w:szCs w:val="16"/>
        </w:rPr>
      </w:pPr>
      <w:r w:rsidRPr="00F90EAE">
        <w:rPr>
          <w:color w:val="0070C0"/>
          <w:sz w:val="16"/>
          <w:szCs w:val="16"/>
        </w:rPr>
        <w:t>1) Маркировка самолетов летных частей ВСНР должна быть произведена на основе предписания Гл. ком[андования] военно-воздушных сил / Оргштаб (Генштаб / ген[ерал]-кварт[ирмейстер] / 2-й отдел (ПВ)) Nr. 2535/45geh. От 3 марта 1945 г.</w:t>
      </w:r>
    </w:p>
    <w:p w14:paraId="3CF46793" w14:textId="77777777" w:rsidR="00600B70" w:rsidRPr="00F90EAE" w:rsidRDefault="00600B70" w:rsidP="00F90EAE">
      <w:pPr>
        <w:jc w:val="both"/>
        <w:rPr>
          <w:color w:val="0070C0"/>
          <w:sz w:val="16"/>
          <w:szCs w:val="16"/>
        </w:rPr>
      </w:pPr>
      <w:r w:rsidRPr="00F90EAE">
        <w:rPr>
          <w:color w:val="0070C0"/>
          <w:sz w:val="16"/>
          <w:szCs w:val="16"/>
        </w:rPr>
        <w:t>2) В запрошенной со ссылкой на данное предписание маркировке самолетов вооруженных сил народов России отказано, т. к. она в предложенной форме нуждается в международной нотификации.</w:t>
      </w:r>
    </w:p>
    <w:p w14:paraId="0736522A" w14:textId="77777777" w:rsidR="00600B70" w:rsidRPr="00F90EAE" w:rsidRDefault="00600B70" w:rsidP="00F90EAE">
      <w:pPr>
        <w:jc w:val="both"/>
        <w:rPr>
          <w:color w:val="0070C0"/>
          <w:sz w:val="16"/>
          <w:szCs w:val="16"/>
        </w:rPr>
      </w:pPr>
      <w:r w:rsidRPr="00F90EAE">
        <w:rPr>
          <w:color w:val="0070C0"/>
          <w:sz w:val="16"/>
          <w:szCs w:val="16"/>
        </w:rPr>
        <w:t>по поручению подпись</w:t>
      </w:r>
    </w:p>
    <w:p w14:paraId="49FACDFA" w14:textId="77777777" w:rsidR="00600B70" w:rsidRPr="00F90EAE" w:rsidRDefault="00600B70" w:rsidP="00F90EAE">
      <w:pPr>
        <w:jc w:val="both"/>
        <w:rPr>
          <w:color w:val="0070C0"/>
          <w:sz w:val="16"/>
          <w:szCs w:val="16"/>
        </w:rPr>
      </w:pPr>
      <w:r w:rsidRPr="00F90EAE">
        <w:rPr>
          <w:color w:val="0070C0"/>
          <w:sz w:val="16"/>
          <w:szCs w:val="16"/>
        </w:rPr>
        <w:t>Рассылка:</w:t>
      </w:r>
    </w:p>
    <w:p w14:paraId="35BCDCEB" w14:textId="77777777" w:rsidR="00600B70" w:rsidRPr="00F90EAE" w:rsidRDefault="00600B70" w:rsidP="00F90EAE">
      <w:pPr>
        <w:jc w:val="both"/>
        <w:rPr>
          <w:color w:val="0070C0"/>
          <w:sz w:val="16"/>
          <w:szCs w:val="16"/>
        </w:rPr>
      </w:pPr>
      <w:r w:rsidRPr="00F90EAE">
        <w:rPr>
          <w:color w:val="0070C0"/>
          <w:sz w:val="16"/>
          <w:szCs w:val="16"/>
        </w:rPr>
        <w:t>Инсп[ектор] перегнала] из воет, народов военно-воздушных сил</w:t>
      </w:r>
    </w:p>
    <w:p w14:paraId="2973E8D5" w14:textId="77777777" w:rsidR="00600B70" w:rsidRPr="00F90EAE" w:rsidRDefault="00600B70" w:rsidP="00F90EAE">
      <w:pPr>
        <w:jc w:val="both"/>
        <w:rPr>
          <w:color w:val="0070C0"/>
          <w:sz w:val="16"/>
          <w:szCs w:val="16"/>
        </w:rPr>
      </w:pPr>
      <w:r w:rsidRPr="00F90EAE">
        <w:rPr>
          <w:color w:val="0070C0"/>
          <w:sz w:val="16"/>
          <w:szCs w:val="16"/>
        </w:rPr>
        <w:t>Для информации:</w:t>
      </w:r>
    </w:p>
    <w:p w14:paraId="5EB7F577" w14:textId="77777777" w:rsidR="00600B70" w:rsidRPr="00F90EAE" w:rsidRDefault="00600B70" w:rsidP="00F90EAE">
      <w:pPr>
        <w:jc w:val="both"/>
        <w:rPr>
          <w:color w:val="0070C0"/>
          <w:sz w:val="16"/>
          <w:szCs w:val="16"/>
        </w:rPr>
      </w:pPr>
      <w:r w:rsidRPr="00F90EAE">
        <w:rPr>
          <w:color w:val="0070C0"/>
          <w:sz w:val="16"/>
          <w:szCs w:val="16"/>
        </w:rPr>
        <w:t>Главный инж[енер] военно-воздушных сил ВА-МА. RL/2 III/460. В1.40. Заверенная копия. Перевод с немецкого языка (20696).</w:t>
      </w:r>
    </w:p>
    <w:p w14:paraId="5250B803" w14:textId="77777777" w:rsidR="00600B70" w:rsidRPr="00F90EAE" w:rsidRDefault="00600B70" w:rsidP="00F90EAE">
      <w:pPr>
        <w:jc w:val="both"/>
        <w:rPr>
          <w:color w:val="0070C0"/>
          <w:sz w:val="16"/>
          <w:szCs w:val="16"/>
        </w:rPr>
      </w:pPr>
    </w:p>
    <w:p w14:paraId="02040E4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0A3D696" w14:textId="77777777" w:rsidR="00665165" w:rsidRPr="00F90EAE" w:rsidRDefault="00665165" w:rsidP="00F90EAE">
      <w:pPr>
        <w:autoSpaceDE w:val="0"/>
        <w:autoSpaceDN w:val="0"/>
        <w:adjustRightInd w:val="0"/>
        <w:jc w:val="both"/>
        <w:rPr>
          <w:iCs/>
          <w:color w:val="000000" w:themeColor="text1"/>
          <w:sz w:val="16"/>
          <w:szCs w:val="16"/>
        </w:rPr>
      </w:pPr>
    </w:p>
    <w:p w14:paraId="586C25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марта 1945 перед ОКБ МиГ была поставлена создания реактивного самолета со скоростью не менее 900 км/ч и решили проектировать И-300 с двумя БМВ-003 и И-270 с РД-2М-33 (563,11).</w:t>
      </w:r>
    </w:p>
    <w:p w14:paraId="47F38DEE" w14:textId="77777777" w:rsidR="00665165" w:rsidRPr="00F90EAE" w:rsidRDefault="00665165" w:rsidP="00F90EAE">
      <w:pPr>
        <w:autoSpaceDE w:val="0"/>
        <w:autoSpaceDN w:val="0"/>
        <w:adjustRightInd w:val="0"/>
        <w:jc w:val="both"/>
        <w:rPr>
          <w:color w:val="000000" w:themeColor="text1"/>
          <w:sz w:val="16"/>
          <w:szCs w:val="16"/>
        </w:rPr>
      </w:pPr>
    </w:p>
    <w:p w14:paraId="6598B67B" w14:textId="77777777" w:rsidR="0097795E" w:rsidRPr="00F90EAE" w:rsidRDefault="0097795E" w:rsidP="00F90EAE">
      <w:pPr>
        <w:tabs>
          <w:tab w:val="left" w:pos="1620"/>
        </w:tabs>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E9D706A" w14:textId="77777777" w:rsidR="0097795E" w:rsidRPr="00F90EAE" w:rsidRDefault="0097795E" w:rsidP="00F90EAE">
      <w:pPr>
        <w:tabs>
          <w:tab w:val="left" w:pos="1620"/>
        </w:tabs>
        <w:autoSpaceDE w:val="0"/>
        <w:autoSpaceDN w:val="0"/>
        <w:adjustRightInd w:val="0"/>
        <w:jc w:val="both"/>
        <w:rPr>
          <w:iCs/>
          <w:color w:val="000000" w:themeColor="text1"/>
          <w:sz w:val="16"/>
          <w:szCs w:val="16"/>
        </w:rPr>
      </w:pPr>
    </w:p>
    <w:p w14:paraId="68EE6347" w14:textId="77777777" w:rsidR="0097795E" w:rsidRPr="00F90EAE" w:rsidRDefault="0097795E" w:rsidP="00F90EAE">
      <w:pPr>
        <w:jc w:val="both"/>
        <w:rPr>
          <w:color w:val="000000" w:themeColor="text1"/>
          <w:sz w:val="16"/>
          <w:szCs w:val="16"/>
        </w:rPr>
      </w:pPr>
      <w:r w:rsidRPr="00F90EAE">
        <w:rPr>
          <w:color w:val="000000" w:themeColor="text1"/>
          <w:sz w:val="16"/>
          <w:szCs w:val="16"/>
        </w:rPr>
        <w:t>К концу марта 1945 года удары баллистическими ракетами по целям в Англии и Бельгии были прекращены. Всего средствами воздушного наблюдения системы ПВО Великобритании было зафиксировано 1115 ракет Фау-2, из которых 517 взорвались в Лондоне (47%), 537 на территории Англии (49%) и 61 ракета упала в море. Потери от ударов данных ракет составили 9277 человек, в том числе 2754 убитых и 6523 раненых. Всего с сентября по конец марта 1945 года немцы произвели пуски более 4-х тысяч ракет Фау-2 по Лондону, Южной Англии, Антверпену, Брюсселю, Льежу и Ремагену, а также другим целям. Так по Лондону было выпущено от 1400 до 2000 ракет, а по Антверпену, который был главной базой снабжения союзников в Европе, до 1600 ракет. При этом в Антверпене взорвалось примерно 570 ракет Фау-2. Большое количество ракет просто взрывались при запуске на земле или в воздухе или выходили из строя уже в полете (19626).</w:t>
      </w:r>
    </w:p>
    <w:p w14:paraId="1C6393A8" w14:textId="77777777" w:rsidR="0097795E" w:rsidRPr="00F90EAE" w:rsidRDefault="0097795E" w:rsidP="00F90EAE">
      <w:pPr>
        <w:jc w:val="both"/>
        <w:rPr>
          <w:color w:val="000000" w:themeColor="text1"/>
          <w:sz w:val="16"/>
          <w:szCs w:val="16"/>
        </w:rPr>
      </w:pPr>
    </w:p>
    <w:p w14:paraId="332446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1C3F8CF" w14:textId="77777777" w:rsidR="00665165" w:rsidRPr="00F90EAE" w:rsidRDefault="00665165" w:rsidP="00F90EAE">
      <w:pPr>
        <w:autoSpaceDE w:val="0"/>
        <w:autoSpaceDN w:val="0"/>
        <w:adjustRightInd w:val="0"/>
        <w:jc w:val="both"/>
        <w:rPr>
          <w:iCs/>
          <w:color w:val="000000" w:themeColor="text1"/>
          <w:sz w:val="16"/>
          <w:szCs w:val="16"/>
        </w:rPr>
      </w:pPr>
    </w:p>
    <w:p w14:paraId="262CC6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на заводе № 18 нача</w:t>
      </w:r>
      <w:r w:rsidRPr="00F90EAE">
        <w:rPr>
          <w:color w:val="000000" w:themeColor="text1"/>
          <w:sz w:val="16"/>
          <w:szCs w:val="16"/>
        </w:rPr>
        <w:softHyphen/>
        <w:t>лись работы по отработке всасывающих патрубков с воздухо</w:t>
      </w:r>
      <w:r w:rsidRPr="00F90EAE">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F90EAE">
        <w:rPr>
          <w:color w:val="000000" w:themeColor="text1"/>
          <w:sz w:val="16"/>
          <w:szCs w:val="16"/>
        </w:rPr>
        <w:softHyphen/>
        <w:t>пущенные самолеты и имел крепления к уже имеющимся от</w:t>
      </w:r>
      <w:r w:rsidRPr="00F90EAE">
        <w:rPr>
          <w:color w:val="000000" w:themeColor="text1"/>
          <w:sz w:val="16"/>
          <w:szCs w:val="16"/>
        </w:rPr>
        <w:softHyphen/>
        <w:t>верстиям в броне. Оба пылефильтра были конструктивно по</w:t>
      </w:r>
      <w:r w:rsidRPr="00F90EAE">
        <w:rPr>
          <w:color w:val="000000" w:themeColor="text1"/>
          <w:sz w:val="16"/>
          <w:szCs w:val="16"/>
        </w:rPr>
        <w:softHyphen/>
        <w:t>добными фильтру ЦАГИ, стоявшему на Ил-2.</w:t>
      </w:r>
    </w:p>
    <w:p w14:paraId="1ECFFF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Уже 16 апреля завершились заводские летные испытания серийного самолета Ил-10 (зав. № 1892105) с полевым вариан</w:t>
      </w:r>
      <w:r w:rsidRPr="00F90EAE">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C921A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стандартный всасывающий патрубок «вживили» две дю</w:t>
      </w:r>
      <w:r w:rsidRPr="00F90EAE">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F90EAE">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F90EAE">
        <w:rPr>
          <w:color w:val="000000" w:themeColor="text1"/>
          <w:sz w:val="16"/>
          <w:szCs w:val="16"/>
        </w:rPr>
        <w:softHyphen/>
        <w:t>рекрывала входной канал патрубка, а внутренняя — перекры</w:t>
      </w:r>
      <w:r w:rsidRPr="00F90EAE">
        <w:rPr>
          <w:color w:val="000000" w:themeColor="text1"/>
          <w:sz w:val="16"/>
          <w:szCs w:val="16"/>
        </w:rPr>
        <w:softHyphen/>
        <w:t>вала канал патрубка неплотно, с зазором 20 мм между заслон</w:t>
      </w:r>
      <w:r w:rsidRPr="00F90EAE">
        <w:rPr>
          <w:color w:val="000000" w:themeColor="text1"/>
          <w:sz w:val="16"/>
          <w:szCs w:val="16"/>
        </w:rPr>
        <w:softHyphen/>
        <w:t>кой и задней внутренней стенкой патрубка. В этом случае воз</w:t>
      </w:r>
      <w:r w:rsidRPr="00F90EAE">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F90EAE">
        <w:rPr>
          <w:color w:val="000000" w:themeColor="text1"/>
          <w:sz w:val="16"/>
          <w:szCs w:val="16"/>
        </w:rPr>
        <w:softHyphen/>
        <w:t>лению полета. Воздух через входное отверстие патрубка начи</w:t>
      </w:r>
      <w:r w:rsidRPr="00F90EAE">
        <w:rPr>
          <w:color w:val="000000" w:themeColor="text1"/>
          <w:sz w:val="16"/>
          <w:szCs w:val="16"/>
        </w:rPr>
        <w:softHyphen/>
        <w:t>нал поступать в нагнетатель, минуя фильтрующую сетку.</w:t>
      </w:r>
    </w:p>
    <w:p w14:paraId="7C05CC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модифицированного всасывающего патрубка, на са</w:t>
      </w:r>
      <w:r w:rsidRPr="00F90EAE">
        <w:rPr>
          <w:color w:val="000000" w:themeColor="text1"/>
          <w:sz w:val="16"/>
          <w:szCs w:val="16"/>
        </w:rPr>
        <w:softHyphen/>
        <w:t>молете в тоннелях продувки водорадиатора со стороны капота сделаны вырезы общей площадью 560 см</w:t>
      </w:r>
      <w:r w:rsidRPr="00F90EAE">
        <w:rPr>
          <w:color w:val="000000" w:themeColor="text1"/>
          <w:sz w:val="16"/>
          <w:szCs w:val="16"/>
          <w:vertAlign w:val="superscript"/>
        </w:rPr>
        <w:t>2</w:t>
      </w:r>
      <w:r w:rsidRPr="00F90EAE">
        <w:rPr>
          <w:color w:val="000000" w:themeColor="text1"/>
          <w:sz w:val="16"/>
          <w:szCs w:val="16"/>
        </w:rPr>
        <w:t>, которые закрыва</w:t>
      </w:r>
      <w:r w:rsidRPr="00F90EAE">
        <w:rPr>
          <w:color w:val="000000" w:themeColor="text1"/>
          <w:sz w:val="16"/>
          <w:szCs w:val="16"/>
        </w:rPr>
        <w:softHyphen/>
        <w:t>лись сеткой «Дельбак» в один слой.</w:t>
      </w:r>
    </w:p>
    <w:p w14:paraId="057062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F90EAE">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F90EAE">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F90EAE">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438D6E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20 апреля на серийный самолет Ил-10.(зав. № 1890404) был смонтирован всасывающий патрубок с воздухоочиститель</w:t>
      </w:r>
      <w:r w:rsidRPr="00F90EAE">
        <w:rPr>
          <w:color w:val="000000" w:themeColor="text1"/>
          <w:sz w:val="16"/>
          <w:szCs w:val="16"/>
        </w:rPr>
        <w:softHyphen/>
        <w:t>ным фильтром кассетной конструкции с сеткой типа «Дельбак» заводского варианта установки.</w:t>
      </w:r>
    </w:p>
    <w:p w14:paraId="23DEE4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Всасывающий патрубок с пылефильтром состоял из собст</w:t>
      </w:r>
      <w:r w:rsidRPr="00F90EAE">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F90EAE">
        <w:rPr>
          <w:color w:val="000000" w:themeColor="text1"/>
          <w:sz w:val="16"/>
          <w:szCs w:val="16"/>
        </w:rPr>
        <w:softHyphen/>
        <w:t>татель. При выпуске шасси заслонка поворачивается, перекры</w:t>
      </w:r>
      <w:r w:rsidRPr="00F90EAE">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F90EAE">
        <w:rPr>
          <w:color w:val="000000" w:themeColor="text1"/>
          <w:sz w:val="16"/>
          <w:szCs w:val="16"/>
        </w:rPr>
        <w:softHyphen/>
        <w:t>вающий патрубок снизу.</w:t>
      </w:r>
    </w:p>
    <w:p w14:paraId="38EAAB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завершились к началу мая. Мотор на всех ре</w:t>
      </w:r>
      <w:r w:rsidRPr="00F90EAE">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F90EAE">
        <w:rPr>
          <w:color w:val="000000" w:themeColor="text1"/>
          <w:sz w:val="16"/>
          <w:szCs w:val="16"/>
        </w:rPr>
        <w:softHyphen/>
        <w:t>ла 525 км/ч, а на высоте 2500 м — 475 км/ч (11474,514).</w:t>
      </w:r>
    </w:p>
    <w:p w14:paraId="1DC636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266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18-й авиазавод сдал ВВС 90 машин Ил-10 (7489).</w:t>
      </w:r>
    </w:p>
    <w:p w14:paraId="53F06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(1605,3).</w:t>
      </w:r>
    </w:p>
    <w:p w14:paraId="47BE0477" w14:textId="77777777" w:rsidR="00665165" w:rsidRPr="00F90EAE" w:rsidRDefault="00665165" w:rsidP="00F90EAE">
      <w:pPr>
        <w:autoSpaceDE w:val="0"/>
        <w:autoSpaceDN w:val="0"/>
        <w:adjustRightInd w:val="0"/>
        <w:jc w:val="both"/>
        <w:rPr>
          <w:color w:val="000000" w:themeColor="text1"/>
          <w:sz w:val="16"/>
          <w:szCs w:val="16"/>
        </w:rPr>
      </w:pPr>
    </w:p>
    <w:p w14:paraId="5FBE3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 марта 1945 года начался выпуск самолетов Ил-10, оборудованных новыми установками, обеспечивающими подвеску четырех реактивных снарядов РС-82 или четырех реактивных снарядов M-13 (модернизованных для использования на штурмовиках), а также новым навигационным оборудованием (радиополукомпас РПКО-10) (ГАСО. Ф. Р-3454. Оп. 1. Д. 51. Л. 15.) (11714).</w:t>
      </w:r>
    </w:p>
    <w:p w14:paraId="1F36F9FA" w14:textId="77777777" w:rsidR="00665165" w:rsidRPr="00F90EAE" w:rsidRDefault="00665165" w:rsidP="00F90EAE">
      <w:pPr>
        <w:autoSpaceDE w:val="0"/>
        <w:autoSpaceDN w:val="0"/>
        <w:adjustRightInd w:val="0"/>
        <w:jc w:val="both"/>
        <w:rPr>
          <w:color w:val="000000" w:themeColor="text1"/>
          <w:sz w:val="16"/>
          <w:szCs w:val="16"/>
        </w:rPr>
      </w:pPr>
    </w:p>
    <w:p w14:paraId="1B20AD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на 31 заводе сделали Як-3 с ВК107А цельнометаллический на основе серийного. Работу закончили с 12 апреля по 10 мая были заводские испытания (65,192).</w:t>
      </w:r>
    </w:p>
    <w:p w14:paraId="4FBC7F10" w14:textId="77777777" w:rsidR="00665165" w:rsidRPr="00F90EAE" w:rsidRDefault="00665165" w:rsidP="00F90EAE">
      <w:pPr>
        <w:autoSpaceDE w:val="0"/>
        <w:autoSpaceDN w:val="0"/>
        <w:adjustRightInd w:val="0"/>
        <w:jc w:val="both"/>
        <w:rPr>
          <w:color w:val="000000" w:themeColor="text1"/>
          <w:sz w:val="16"/>
          <w:szCs w:val="16"/>
        </w:rPr>
      </w:pPr>
    </w:p>
    <w:p w14:paraId="0D6364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в инициативном порядке на заводе в Саратове началась подготовка к выпуску цельнометаллического крыла и сборка первого Як-3 с мотором В К-107А, вооруженного тремя пушками Б-20. 30 апреля эту машину выкатили на аэродром.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3908CF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211FC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7183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6BAB4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3B66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28261D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5951FD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9769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14AD6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C699376" w14:textId="77777777" w:rsidR="00665165" w:rsidRPr="00F90EAE" w:rsidRDefault="00665165" w:rsidP="00F90EAE">
      <w:pPr>
        <w:autoSpaceDE w:val="0"/>
        <w:autoSpaceDN w:val="0"/>
        <w:adjustRightInd w:val="0"/>
        <w:jc w:val="both"/>
        <w:rPr>
          <w:color w:val="000000" w:themeColor="text1"/>
          <w:sz w:val="16"/>
          <w:szCs w:val="16"/>
        </w:rPr>
      </w:pPr>
    </w:p>
    <w:p w14:paraId="594AF6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в НИИ ВВС завершились испытания трофейного истребителя FW190A-8, вооруженного двумя 20-мм пушками и двумя 13-мм пулеметами. Воздушный бой, проведенный с Як-3 ВК-105- ПФ2, показал, что наш истребитель обладает значительным преимуществом над "немцем" в маневренности и скороподъемности и лишь незначительно уступает в максимальной скорости у земли при работе двигателя FW190A-8 на форсаже, что позволяло ему уходить от преследования. На горизонталях Як-3 заходил в хвост "немцу" через 1,5-2 виража. В вертикальной плоскости Як-3 сохранял превосходство в высоте, а на пикировании Як-3 быстрее разгонялся, что позволяло не только захватывать инициативу в бою, атакуя противника, но и уходить от него. При этом следовало учитывать, что Як-3 быстрее разгонялся и превосходил FW190A-8 в начале пикировании на меньших скоростях, а на больших скоростях увеличение скорости происходило медленнее (12047).</w:t>
      </w:r>
    </w:p>
    <w:p w14:paraId="2BD1F94E" w14:textId="77777777" w:rsidR="00665165" w:rsidRPr="00F90EAE" w:rsidRDefault="00665165" w:rsidP="00F90EAE">
      <w:pPr>
        <w:autoSpaceDE w:val="0"/>
        <w:autoSpaceDN w:val="0"/>
        <w:adjustRightInd w:val="0"/>
        <w:jc w:val="both"/>
        <w:rPr>
          <w:color w:val="000000" w:themeColor="text1"/>
          <w:sz w:val="16"/>
          <w:szCs w:val="16"/>
        </w:rPr>
      </w:pPr>
    </w:p>
    <w:p w14:paraId="3155F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были проведены первые летные испытания НС-37 на Як-9Т и Як-9УТ (10695).</w:t>
      </w:r>
    </w:p>
    <w:p w14:paraId="49BB4393" w14:textId="77777777" w:rsidR="00665165" w:rsidRPr="00F90EAE" w:rsidRDefault="00665165" w:rsidP="00F90EAE">
      <w:pPr>
        <w:autoSpaceDE w:val="0"/>
        <w:autoSpaceDN w:val="0"/>
        <w:adjustRightInd w:val="0"/>
        <w:jc w:val="both"/>
        <w:rPr>
          <w:color w:val="000000" w:themeColor="text1"/>
          <w:sz w:val="16"/>
          <w:szCs w:val="16"/>
        </w:rPr>
      </w:pPr>
    </w:p>
    <w:p w14:paraId="301C2E34" w14:textId="77777777" w:rsidR="00EE671E" w:rsidRPr="00F90EAE" w:rsidRDefault="00EE671E" w:rsidP="00F90EAE">
      <w:pPr>
        <w:pStyle w:val="rtejustify"/>
        <w:shd w:val="clear" w:color="auto" w:fill="FFFFFF"/>
        <w:spacing w:before="0" w:after="0"/>
        <w:rPr>
          <w:color w:val="000000" w:themeColor="text1"/>
          <w:sz w:val="16"/>
          <w:szCs w:val="16"/>
        </w:rPr>
      </w:pPr>
      <w:r w:rsidRPr="00F90EAE">
        <w:rPr>
          <w:color w:val="000000" w:themeColor="text1"/>
          <w:sz w:val="16"/>
          <w:szCs w:val="16"/>
        </w:rPr>
        <w:t>В марте 1945 г. на Як-9Т и Як-9УТ проводились первые летные испытания.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 (19170).</w:t>
      </w:r>
    </w:p>
    <w:p w14:paraId="44254586" w14:textId="77777777" w:rsidR="00EE671E" w:rsidRPr="00F90EAE" w:rsidRDefault="00EE671E" w:rsidP="00F90EAE">
      <w:pPr>
        <w:jc w:val="both"/>
        <w:rPr>
          <w:color w:val="000000" w:themeColor="text1"/>
          <w:sz w:val="16"/>
          <w:szCs w:val="16"/>
        </w:rPr>
      </w:pPr>
    </w:p>
    <w:p w14:paraId="64E90E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года в отчете старшего военпреда завода №19 инженер-майора И.К. Четверика от</w:t>
      </w:r>
      <w:r w:rsidRPr="00F90EAE">
        <w:rPr>
          <w:color w:val="000000" w:themeColor="text1"/>
          <w:sz w:val="16"/>
          <w:szCs w:val="16"/>
        </w:rPr>
        <w:softHyphen/>
        <w:t>мечалось:</w:t>
      </w:r>
    </w:p>
    <w:p w14:paraId="5BD2C9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каждой воздушной армии со</w:t>
      </w:r>
      <w:r w:rsidRPr="00F90EAE">
        <w:rPr>
          <w:color w:val="000000" w:themeColor="text1"/>
          <w:sz w:val="16"/>
          <w:szCs w:val="16"/>
        </w:rPr>
        <w:softHyphen/>
        <w:t>зданы точки по замене цилиндров на самолетах Ла-7, куда выделены заводские бригады. Для меньшего простоя самолеты в указанные точ</w:t>
      </w:r>
      <w:r w:rsidRPr="00F90EAE">
        <w:rPr>
          <w:color w:val="000000" w:themeColor="text1"/>
          <w:sz w:val="16"/>
          <w:szCs w:val="16"/>
        </w:rPr>
        <w:softHyphen/>
        <w:t>ки приходят лётом, где после заме</w:t>
      </w:r>
      <w:r w:rsidRPr="00F90EAE">
        <w:rPr>
          <w:color w:val="000000" w:themeColor="text1"/>
          <w:sz w:val="16"/>
          <w:szCs w:val="16"/>
        </w:rPr>
        <w:softHyphen/>
        <w:t>ны цилиндровой группы проводят приработку мотора и облет по кругу, с последующей отметкой в форму</w:t>
      </w:r>
      <w:r w:rsidRPr="00F90EAE">
        <w:rPr>
          <w:color w:val="000000" w:themeColor="text1"/>
          <w:sz w:val="16"/>
          <w:szCs w:val="16"/>
        </w:rPr>
        <w:softHyphen/>
        <w:t>ляре о допуске мотора к эксплоата-ции...</w:t>
      </w:r>
    </w:p>
    <w:p w14:paraId="408E6F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поступивших отчетов можно сделать вывод, что цилиндровая группа моторов АШ-82ФН лимитирует ресурс работы моторов как на са</w:t>
      </w:r>
      <w:r w:rsidRPr="00F90EAE">
        <w:rPr>
          <w:color w:val="000000" w:themeColor="text1"/>
          <w:sz w:val="16"/>
          <w:szCs w:val="16"/>
        </w:rPr>
        <w:softHyphen/>
        <w:t>молетах Ла-7, так и на самолетах Ла-5. Выработка установленного ресурса работы мотора является редким явлением, и притом с заме</w:t>
      </w:r>
      <w:r w:rsidRPr="00F90EAE">
        <w:rPr>
          <w:color w:val="000000" w:themeColor="text1"/>
          <w:sz w:val="16"/>
          <w:szCs w:val="16"/>
        </w:rPr>
        <w:softHyphen/>
        <w:t>ной нескольких цилиндров...» (10730).</w:t>
      </w:r>
    </w:p>
    <w:p w14:paraId="336688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A05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проходили новые контрольные испытания Ла-7 производства 381 завода, вооруженных 3 пушками Б-20 (741,5).</w:t>
      </w:r>
    </w:p>
    <w:p w14:paraId="446768CC" w14:textId="77777777" w:rsidR="00665165" w:rsidRPr="00F90EAE" w:rsidRDefault="00665165" w:rsidP="00F90EAE">
      <w:pPr>
        <w:autoSpaceDE w:val="0"/>
        <w:autoSpaceDN w:val="0"/>
        <w:adjustRightInd w:val="0"/>
        <w:jc w:val="both"/>
        <w:rPr>
          <w:color w:val="000000" w:themeColor="text1"/>
          <w:sz w:val="16"/>
          <w:szCs w:val="16"/>
        </w:rPr>
      </w:pPr>
    </w:p>
    <w:p w14:paraId="4E2C2A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марта 1945 г. на заводе № 381 строили трехпушечные Ла-7 (4707).</w:t>
      </w:r>
    </w:p>
    <w:p w14:paraId="0F6D52FD" w14:textId="77777777" w:rsidR="00665165" w:rsidRPr="00F90EAE" w:rsidRDefault="00665165" w:rsidP="00F90EAE">
      <w:pPr>
        <w:autoSpaceDE w:val="0"/>
        <w:autoSpaceDN w:val="0"/>
        <w:adjustRightInd w:val="0"/>
        <w:jc w:val="both"/>
        <w:rPr>
          <w:color w:val="000000" w:themeColor="text1"/>
          <w:sz w:val="16"/>
          <w:szCs w:val="16"/>
        </w:rPr>
      </w:pPr>
    </w:p>
    <w:p w14:paraId="701573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 ГК НИИ ВВС прошли специальные испытания серийного самолета Ла-7 N 38102158 с улучшенной герметизацией и вентиляцией кабины, которые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 (1879).</w:t>
      </w:r>
    </w:p>
    <w:p w14:paraId="01F23E35" w14:textId="77777777" w:rsidR="00665165" w:rsidRPr="00F90EAE" w:rsidRDefault="00665165" w:rsidP="00F90EAE">
      <w:pPr>
        <w:autoSpaceDE w:val="0"/>
        <w:autoSpaceDN w:val="0"/>
        <w:adjustRightInd w:val="0"/>
        <w:jc w:val="both"/>
        <w:rPr>
          <w:color w:val="000000" w:themeColor="text1"/>
          <w:sz w:val="16"/>
          <w:szCs w:val="16"/>
        </w:rPr>
      </w:pPr>
    </w:p>
    <w:p w14:paraId="45492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вышел отчет о заводских испытаниях Ла-7 с АШ-82ФН N 2225 с 2х20 мм. Скорость 590 км/час у земли и 675 км/час на 6150 м (1880,163).</w:t>
      </w:r>
    </w:p>
    <w:p w14:paraId="23101893" w14:textId="77777777" w:rsidR="00665165" w:rsidRPr="00F90EAE" w:rsidRDefault="00665165" w:rsidP="00F90EAE">
      <w:pPr>
        <w:autoSpaceDE w:val="0"/>
        <w:autoSpaceDN w:val="0"/>
        <w:adjustRightInd w:val="0"/>
        <w:jc w:val="both"/>
        <w:rPr>
          <w:color w:val="000000" w:themeColor="text1"/>
          <w:sz w:val="16"/>
          <w:szCs w:val="16"/>
        </w:rPr>
      </w:pPr>
    </w:p>
    <w:p w14:paraId="3B8B8E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марте 1945 г. на заводе в Горьком серийный истребитель Ла-7 № 45211521 переделали в двухместный учебно-тренировочный УТИЛа-7. Спустя пять месяцев эту машину предъявили для государственных испытаний в НИИ ВВС, Ведущими по ней были инженер Г.В. Чернявский и лётчик А.Г. Прошаков, часть полётов выполнил другой пилот - В.П. Трофимов. В ходе испытаний, завершившихся 16 августа, выяснилось, что центровка машины - чрезмерно задняя, а при посадке, начиная с центровки 23,5% средней аэродинамической хорды, давление на ручку управления самолётом пропадало и приземление, и без того считающееся самым сложным элементом полёта, становилось просто опасным. В кабинах (особенно передней) по-прежнему стояла если не африканская, то, по крайней мере, близкая к ней жара. </w:t>
      </w:r>
      <w:r w:rsidRPr="00F90EAE">
        <w:rPr>
          <w:color w:val="000000" w:themeColor="text1"/>
          <w:sz w:val="16"/>
          <w:szCs w:val="16"/>
        </w:rPr>
        <w:lastRenderedPageBreak/>
        <w:t>Более того, состав оборудования оказался недостаточным для полноценного обучения курсантов лётных школ и запасных авиаполков. Самолёт вернули на завод для доработки (11986).</w:t>
      </w:r>
    </w:p>
    <w:p w14:paraId="73F3232B" w14:textId="77777777" w:rsidR="00665165" w:rsidRPr="00F90EAE" w:rsidRDefault="00665165" w:rsidP="00F90EAE">
      <w:pPr>
        <w:autoSpaceDE w:val="0"/>
        <w:autoSpaceDN w:val="0"/>
        <w:adjustRightInd w:val="0"/>
        <w:jc w:val="both"/>
        <w:rPr>
          <w:color w:val="000000" w:themeColor="text1"/>
          <w:sz w:val="16"/>
          <w:szCs w:val="16"/>
        </w:rPr>
      </w:pPr>
    </w:p>
    <w:p w14:paraId="51992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закончились гос. испытания Н-37, которая ставилась на Як-9Т ВК105ПФ2 и на Як-9УТ ВК-107А (65,178).</w:t>
      </w:r>
    </w:p>
    <w:p w14:paraId="7B4A1DC6" w14:textId="77777777" w:rsidR="00665165" w:rsidRPr="00F90EAE" w:rsidRDefault="00665165" w:rsidP="00F90EAE">
      <w:pPr>
        <w:autoSpaceDE w:val="0"/>
        <w:autoSpaceDN w:val="0"/>
        <w:adjustRightInd w:val="0"/>
        <w:jc w:val="both"/>
        <w:rPr>
          <w:color w:val="000000" w:themeColor="text1"/>
          <w:sz w:val="16"/>
          <w:szCs w:val="16"/>
        </w:rPr>
      </w:pPr>
    </w:p>
    <w:p w14:paraId="65652BC4" w14:textId="77777777" w:rsidR="00BA1885" w:rsidRPr="00F90EAE" w:rsidRDefault="00BA1885" w:rsidP="00F90EAE">
      <w:pPr>
        <w:pStyle w:val="rtejustify"/>
        <w:shd w:val="clear" w:color="auto" w:fill="FFFFFF"/>
        <w:spacing w:before="0" w:after="0"/>
        <w:rPr>
          <w:color w:val="000000" w:themeColor="text1"/>
          <w:sz w:val="16"/>
          <w:szCs w:val="16"/>
        </w:rPr>
      </w:pPr>
      <w:r w:rsidRPr="00F90EAE">
        <w:rPr>
          <w:color w:val="000000" w:themeColor="text1"/>
          <w:sz w:val="16"/>
          <w:szCs w:val="16"/>
        </w:rPr>
        <w:t>В марте 1945 г. на Як-9Т и Як-9УТ проводились первые летные испытания Н-37. Пушка была установлена в моторе. В дальнейшем летные испытания проводились на МиГ-9. В МиГ-9 пушка была установлена так, что ствол оказался в центре воздухозаборника двигателя. Из-за этого при стрельбе на высоте 7000- 8000 м происходила остановка двигателя. Для устранения этого явления было создано специальное дульное устройство – локализатор. Тем не менее, применение локализатора не предотвратило остановки двигателя при высотных стрельбах. Вскоре применение МиГ-9 с пушкой Н-37 в войсках было ограничено на высоте 3000 м, поскольку до этой высоты стрельба не влияла на работу двигателя.</w:t>
      </w:r>
    </w:p>
    <w:p w14:paraId="754CDB56" w14:textId="77777777" w:rsidR="00BA1885" w:rsidRPr="00F90EAE" w:rsidRDefault="00BA1885" w:rsidP="00F90EAE">
      <w:pPr>
        <w:pStyle w:val="rtejustify"/>
        <w:shd w:val="clear" w:color="auto" w:fill="FFFFFF"/>
        <w:spacing w:before="0" w:after="0"/>
        <w:rPr>
          <w:color w:val="000000" w:themeColor="text1"/>
          <w:sz w:val="16"/>
          <w:szCs w:val="16"/>
        </w:rPr>
      </w:pPr>
      <w:r w:rsidRPr="00F90EAE">
        <w:rPr>
          <w:color w:val="000000" w:themeColor="text1"/>
          <w:sz w:val="16"/>
          <w:szCs w:val="16"/>
        </w:rPr>
        <w:t>Несколько позже был создан локализатор, получивший название “бабочка”, поперечный размах которого выводил дульные газы за пределы воздухозаборника. Однако при этом ухудшались аэродинамика и маневренность самолета. Было принято решение часть самолетов снабдить такими локализаторами, а остальные ограничить высотой 3 км. Вскоре производство МиГ-9 было прекращено, и в серию пошел МиГ-15, на котором была установлена доработанная версия Н-37Д, ставшая основной. На этой версии был введен двухрядный локализатор, выполнявший также функцию дульного тормоза  с двумя рядами окон.</w:t>
      </w:r>
    </w:p>
    <w:p w14:paraId="208769FB" w14:textId="77777777" w:rsidR="00BA1885" w:rsidRPr="00F90EAE" w:rsidRDefault="00BA1885" w:rsidP="00F90EAE">
      <w:pPr>
        <w:pStyle w:val="rtejustify"/>
        <w:shd w:val="clear" w:color="auto" w:fill="FFFFFF"/>
        <w:spacing w:before="0" w:after="0"/>
        <w:rPr>
          <w:color w:val="000000" w:themeColor="text1"/>
          <w:sz w:val="16"/>
          <w:szCs w:val="16"/>
        </w:rPr>
      </w:pPr>
      <w:r w:rsidRPr="00F90EAE">
        <w:rPr>
          <w:color w:val="000000" w:themeColor="text1"/>
          <w:sz w:val="16"/>
          <w:szCs w:val="16"/>
        </w:rPr>
        <w:t>Пушка Н-37 наряду с 23-мм НС-23 стала основой вооружения послевоенного поколения истребителей СССР – МиГ-15, МиГ-17,  Перехватчик Як-25 имел две пушки версии Н-37Л с удлиненным стволом и однокамерным локализатором.</w:t>
      </w:r>
    </w:p>
    <w:p w14:paraId="05F97FDA" w14:textId="77777777" w:rsidR="00BA1885" w:rsidRPr="00F90EAE" w:rsidRDefault="00BA1885" w:rsidP="00F90EAE">
      <w:pPr>
        <w:pStyle w:val="rtejustify"/>
        <w:shd w:val="clear" w:color="auto" w:fill="FFFFFF"/>
        <w:spacing w:before="0" w:after="0"/>
        <w:rPr>
          <w:color w:val="000000" w:themeColor="text1"/>
          <w:sz w:val="16"/>
          <w:szCs w:val="16"/>
        </w:rPr>
      </w:pPr>
      <w:r w:rsidRPr="00F90EAE">
        <w:rPr>
          <w:color w:val="000000" w:themeColor="text1"/>
          <w:sz w:val="16"/>
          <w:szCs w:val="16"/>
        </w:rPr>
        <w:t>Пушка оказалась настолько удачной, что ее производство продолжалось почти 15 лет! В 1947 году было выпущено 518 штук, в 1948 году — 508, в 1949 году — 1314, в 1950 году — 3043, в 1951 году — 3885, в 1952 году — 4433, в 1953 году — 4600, в 1954 году — 1700, в 1956 году — 285 пушек. В 1957 году начался выпуск пушки НН-37 системы Нудельмана-Неменова, по сути являвшейся модернизированным вариантом Н-37. В версии НН-37 при неизменной конфигурации была увеличена крутизна нарезов в стволе. Темп стрельбы НН-37 возрос более чем в полтора раза и достиг 600—700 выстр./мин за счет ускорения наката затвора с патронником, осуществлявшегося новым механизмом — пневматическим ускорителем. Резкое повышение скорострельности сказалось наживучести агрегатов, скорости соударения которых и контактные нагрузки возросли. Для сохранения ресурса кинематики пришлось переконструировать запирающий агрегат и перейти на более прочные стали.  Версия НН-37 устанавливалась на опытный перехватчик Як-27. Но время пушечных истребителей подходило к концу. Пушки превращались во вспомогательное вооружение, а стало быть могущество пушечных снарядов большого калибра в авиации переставало быть актуальным. На первый план выступала высокая скорострельность пушек умеренного калибра 20-30 мм. И к 1960 году производство пушек 37-мм калибра было свернуто (19170).</w:t>
      </w:r>
    </w:p>
    <w:p w14:paraId="4FAA947A" w14:textId="77777777" w:rsidR="00BA1885" w:rsidRPr="00F90EAE" w:rsidRDefault="00BA1885" w:rsidP="00F90EAE">
      <w:pPr>
        <w:pStyle w:val="rtejustify"/>
        <w:shd w:val="clear" w:color="auto" w:fill="FFFFFF"/>
        <w:spacing w:before="0" w:after="0"/>
        <w:rPr>
          <w:color w:val="000000" w:themeColor="text1"/>
          <w:sz w:val="16"/>
          <w:szCs w:val="16"/>
        </w:rPr>
      </w:pPr>
    </w:p>
    <w:p w14:paraId="5E0EF4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в ОКБ-155 про</w:t>
      </w:r>
      <w:r w:rsidRPr="00F90EAE">
        <w:rPr>
          <w:color w:val="000000" w:themeColor="text1"/>
          <w:sz w:val="16"/>
          <w:szCs w:val="16"/>
        </w:rPr>
        <w:softHyphen/>
        <w:t>вели проработку компоновки реактив</w:t>
      </w:r>
      <w:r w:rsidRPr="00F90EAE">
        <w:rPr>
          <w:color w:val="000000" w:themeColor="text1"/>
          <w:sz w:val="16"/>
          <w:szCs w:val="16"/>
        </w:rPr>
        <w:softHyphen/>
        <w:t>ного истребителя, получившего назва</w:t>
      </w:r>
      <w:r w:rsidRPr="00F90EAE">
        <w:rPr>
          <w:color w:val="000000" w:themeColor="text1"/>
          <w:sz w:val="16"/>
          <w:szCs w:val="16"/>
        </w:rPr>
        <w:softHyphen/>
        <w:t>ние И-290 и шифр «2». Для него выбра</w:t>
      </w:r>
      <w:r w:rsidRPr="00F90EAE">
        <w:rPr>
          <w:color w:val="000000" w:themeColor="text1"/>
          <w:sz w:val="16"/>
          <w:szCs w:val="16"/>
        </w:rPr>
        <w:softHyphen/>
        <w:t>ли более мощные ,Зито-004В, разместив два двигателя под консолями крыла. Во</w:t>
      </w:r>
      <w:r w:rsidRPr="00F90EAE">
        <w:rPr>
          <w:color w:val="000000" w:themeColor="text1"/>
          <w:sz w:val="16"/>
          <w:szCs w:val="16"/>
        </w:rPr>
        <w:softHyphen/>
        <w:t>оружение новой машины состояло из одной 37-мм пушки с боекомплектом 30 патронов и двух 23-мм пушек с боеком</w:t>
      </w:r>
      <w:r w:rsidRPr="00F90EAE">
        <w:rPr>
          <w:color w:val="000000" w:themeColor="text1"/>
          <w:sz w:val="16"/>
          <w:szCs w:val="16"/>
        </w:rPr>
        <w:softHyphen/>
        <w:t>плектом по 60 патронов. Запас горюче</w:t>
      </w:r>
      <w:r w:rsidRPr="00F90EAE">
        <w:rPr>
          <w:color w:val="000000" w:themeColor="text1"/>
          <w:sz w:val="16"/>
          <w:szCs w:val="16"/>
        </w:rPr>
        <w:softHyphen/>
        <w:t>го составлял 1400л. Взлетная масса ис</w:t>
      </w:r>
      <w:r w:rsidRPr="00F90EAE">
        <w:rPr>
          <w:color w:val="000000" w:themeColor="text1"/>
          <w:sz w:val="16"/>
          <w:szCs w:val="16"/>
        </w:rPr>
        <w:softHyphen/>
        <w:t xml:space="preserve">требителя оценивалась </w:t>
      </w:r>
      <w:r w:rsidRPr="00F90EAE">
        <w:rPr>
          <w:iCs/>
          <w:color w:val="000000" w:themeColor="text1"/>
          <w:sz w:val="16"/>
          <w:szCs w:val="16"/>
        </w:rPr>
        <w:t xml:space="preserve">в </w:t>
      </w:r>
      <w:r w:rsidRPr="00F90EAE">
        <w:rPr>
          <w:color w:val="000000" w:themeColor="text1"/>
          <w:sz w:val="16"/>
          <w:szCs w:val="16"/>
        </w:rPr>
        <w:t>4500 кг. Пост</w:t>
      </w:r>
      <w:r w:rsidRPr="00F90EAE">
        <w:rPr>
          <w:color w:val="000000" w:themeColor="text1"/>
          <w:sz w:val="16"/>
          <w:szCs w:val="16"/>
        </w:rPr>
        <w:softHyphen/>
        <w:t>ройку самолета И-290 одобрили в НКАП, и уже в апреле планировалось завер</w:t>
      </w:r>
      <w:r w:rsidRPr="00F90EAE">
        <w:rPr>
          <w:color w:val="000000" w:themeColor="text1"/>
          <w:sz w:val="16"/>
          <w:szCs w:val="16"/>
        </w:rPr>
        <w:softHyphen/>
        <w:t>шить рабочие чертежи макета, а его из</w:t>
      </w:r>
      <w:r w:rsidRPr="00F90EAE">
        <w:rPr>
          <w:color w:val="000000" w:themeColor="text1"/>
          <w:sz w:val="16"/>
          <w:szCs w:val="16"/>
        </w:rPr>
        <w:softHyphen/>
        <w:t>готовление к 1 мая (11128).</w:t>
      </w:r>
    </w:p>
    <w:p w14:paraId="7ECE2B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66C6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самолет ИТП (М) разобрали. Недоведенность М-107 заставила переделать второй экземпляр ИТП (М-2) под мотор АМ-37. Он был постро</w:t>
      </w:r>
      <w:r w:rsidRPr="00F90EAE">
        <w:rPr>
          <w:color w:val="000000" w:themeColor="text1"/>
          <w:sz w:val="16"/>
          <w:szCs w:val="16"/>
        </w:rPr>
        <w:softHyphen/>
        <w:t>ен в Новосибирске. При наземной отработке выясни</w:t>
      </w:r>
      <w:r w:rsidRPr="00F90EAE">
        <w:rPr>
          <w:color w:val="000000" w:themeColor="text1"/>
          <w:sz w:val="16"/>
          <w:szCs w:val="16"/>
        </w:rPr>
        <w:softHyphen/>
        <w:t>лось, что АМ-37 плохо работает. В декабре 1942 г. самолет перевезли в Москву. Несколько позже АМ-37 за</w:t>
      </w:r>
      <w:r w:rsidRPr="00F90EAE">
        <w:rPr>
          <w:color w:val="000000" w:themeColor="text1"/>
          <w:sz w:val="16"/>
          <w:szCs w:val="16"/>
        </w:rPr>
        <w:softHyphen/>
        <w:t>менили на новый мотор А.А.Микулина АМ-39. В отли</w:t>
      </w:r>
      <w:r w:rsidRPr="00F90EAE">
        <w:rPr>
          <w:color w:val="000000" w:themeColor="text1"/>
          <w:sz w:val="16"/>
          <w:szCs w:val="16"/>
        </w:rPr>
        <w:softHyphen/>
        <w:t>чие от предыдущего варианта ИТП (М-2) имел только синхронное вооружение, состоящее из установленных в фюзеляже трех пушек ШВАК. Вес пустой машины стал равным 3095 кг, а полетный - 3820 кг. Под крылом под</w:t>
      </w:r>
      <w:r w:rsidRPr="00F90EAE">
        <w:rPr>
          <w:color w:val="000000" w:themeColor="text1"/>
          <w:sz w:val="16"/>
          <w:szCs w:val="16"/>
        </w:rPr>
        <w:softHyphen/>
        <w:t>вешивалось до 400 кг бомб (10667).</w:t>
      </w:r>
    </w:p>
    <w:p w14:paraId="6FE789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09EC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 НИИ ВВС или ЛИИ испытывали Кингкобру Р-63А-10 с Аллисон V-1710-93 (173,245).</w:t>
      </w:r>
    </w:p>
    <w:p w14:paraId="06D042DB" w14:textId="77777777" w:rsidR="00665165" w:rsidRPr="00F90EAE" w:rsidRDefault="00665165" w:rsidP="00F90EAE">
      <w:pPr>
        <w:autoSpaceDE w:val="0"/>
        <w:autoSpaceDN w:val="0"/>
        <w:adjustRightInd w:val="0"/>
        <w:jc w:val="both"/>
        <w:rPr>
          <w:color w:val="000000" w:themeColor="text1"/>
          <w:sz w:val="16"/>
          <w:szCs w:val="16"/>
        </w:rPr>
      </w:pPr>
    </w:p>
    <w:p w14:paraId="7EA18028" w14:textId="77777777" w:rsidR="0097795E" w:rsidRPr="00F90EAE" w:rsidRDefault="0097795E" w:rsidP="00F90EAE">
      <w:pPr>
        <w:pStyle w:val="ae"/>
        <w:spacing w:before="0" w:after="0"/>
        <w:jc w:val="both"/>
        <w:textAlignment w:val="top"/>
        <w:rPr>
          <w:color w:val="000000" w:themeColor="text1"/>
          <w:sz w:val="16"/>
          <w:szCs w:val="16"/>
        </w:rPr>
      </w:pPr>
      <w:r w:rsidRPr="00F90EAE">
        <w:rPr>
          <w:color w:val="000000" w:themeColor="text1"/>
          <w:sz w:val="16"/>
          <w:szCs w:val="16"/>
        </w:rPr>
        <w:t>В марте месяце 1945 заместитель наркома авиационной промышленности П.В. Дементьев, получив первые результаты летных испытаний трофейного истребителя Ме-262, направил заместителю председателя СНК Г.М.Маленкову письмо где, в частности, говорилось:</w:t>
      </w:r>
    </w:p>
    <w:p w14:paraId="14BE6C01" w14:textId="77777777" w:rsidR="0097795E" w:rsidRPr="00F90EAE" w:rsidRDefault="0097795E" w:rsidP="00F90EAE">
      <w:pPr>
        <w:pStyle w:val="ri"/>
        <w:spacing w:before="0" w:beforeAutospacing="0" w:after="0" w:afterAutospacing="0"/>
        <w:jc w:val="both"/>
        <w:textAlignment w:val="top"/>
        <w:rPr>
          <w:color w:val="000000" w:themeColor="text1"/>
          <w:sz w:val="16"/>
          <w:szCs w:val="16"/>
        </w:rPr>
      </w:pPr>
      <w:r w:rsidRPr="00F90EAE">
        <w:rPr>
          <w:iCs/>
          <w:color w:val="000000" w:themeColor="text1"/>
          <w:sz w:val="16"/>
          <w:szCs w:val="16"/>
        </w:rPr>
        <w:t xml:space="preserve">"Для сокращения времени изучения и освоения в производстве реактивных двигателей и самолетов НКАП считает целесообразным начать серийное производство реактивных самолетов Ме.262 с двумя газотурбинными воздушно-реактивными двигателями ЮМО-004. Максимальная скорость полета самолета на высоте 6000-8000 м - 850-875 км/ч, у земли-780-806 км/ч. Потолок-11500 м. Дальность полета на максимальной скорости и высоте 9000 м - 875 км... В НИИ ВВС КА на (...) Ме.262 сделано несколько испытательных полетов, при которых выявлено, что скорость самолета близка к указанным данным, и по отзывам летчиков, проводивших испытания, он несложен в управлении. Производство самолета может быть организовано на заводах №381 в Москве и №292 в Саратове. Изучение конструкции самолета Ме.262, выпуск чертежей и приспособлений самолета под наше вооружение и оборудование поручено главному конструктору Мясищеву, который приступил к этой работе. Изучение двигателей ЮМО-004 поручено главному конструктору Климову..." </w:t>
      </w:r>
      <w:r w:rsidRPr="00F90EAE">
        <w:rPr>
          <w:color w:val="000000" w:themeColor="text1"/>
          <w:sz w:val="16"/>
          <w:szCs w:val="16"/>
        </w:rPr>
        <w:t>(19689).</w:t>
      </w:r>
    </w:p>
    <w:p w14:paraId="6842245F" w14:textId="77777777" w:rsidR="0097795E" w:rsidRPr="00F90EAE" w:rsidRDefault="0097795E" w:rsidP="00F90EAE">
      <w:pPr>
        <w:pStyle w:val="ae"/>
        <w:spacing w:before="0" w:after="0"/>
        <w:jc w:val="both"/>
        <w:textAlignment w:val="top"/>
        <w:rPr>
          <w:color w:val="000000" w:themeColor="text1"/>
          <w:sz w:val="16"/>
          <w:szCs w:val="16"/>
        </w:rPr>
      </w:pPr>
    </w:p>
    <w:p w14:paraId="4C7A51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после недолгих колебаний нарком А.И.Шахурин принял решение об объединении ОКБ-134 Ермолаева и конструкторского коллектива П.О.Сухого. Последний без особого энтузиазма согласился стать третьим главным конструктором бомбардировщика Ер-2, в судьбе которого изобиловали огромные проблемы. Но выбора у Сухого не было, ведь после прекращения производства ближнего бомбардировщика Су-2 и отказа НКАП от запуска в серию штурмовика Су-6 коллектив был вынужден работать "на полку". А тут - и опытный, и серийный завод, неизмеримо выросшие возможности. Однако и цена оказалась немалой: с первых дней Сухому пришлось решать проблемы, накопившиеся за месяцы относительного "безвластия" (3322,43).</w:t>
      </w:r>
    </w:p>
    <w:p w14:paraId="0B9CAC79" w14:textId="77777777" w:rsidR="00665165" w:rsidRPr="00F90EAE" w:rsidRDefault="00665165" w:rsidP="00F90EAE">
      <w:pPr>
        <w:autoSpaceDE w:val="0"/>
        <w:autoSpaceDN w:val="0"/>
        <w:adjustRightInd w:val="0"/>
        <w:jc w:val="both"/>
        <w:rPr>
          <w:color w:val="000000" w:themeColor="text1"/>
          <w:sz w:val="16"/>
          <w:szCs w:val="16"/>
        </w:rPr>
      </w:pPr>
    </w:p>
    <w:p w14:paraId="149168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 ОКБ П.О.С. влили штат ОКБ В.Г.Ермолаева (155,23).</w:t>
      </w:r>
    </w:p>
    <w:p w14:paraId="2954D9D0" w14:textId="77777777" w:rsidR="00665165" w:rsidRPr="00F90EAE" w:rsidRDefault="00665165" w:rsidP="00F90EAE">
      <w:pPr>
        <w:autoSpaceDE w:val="0"/>
        <w:autoSpaceDN w:val="0"/>
        <w:adjustRightInd w:val="0"/>
        <w:jc w:val="both"/>
        <w:rPr>
          <w:color w:val="000000" w:themeColor="text1"/>
          <w:sz w:val="16"/>
          <w:szCs w:val="16"/>
        </w:rPr>
      </w:pPr>
    </w:p>
    <w:p w14:paraId="3734C4E6" w14:textId="77777777" w:rsidR="00546AC2" w:rsidRPr="00F90EAE" w:rsidRDefault="00546AC2" w:rsidP="00F90EAE">
      <w:pPr>
        <w:shd w:val="clear" w:color="auto" w:fill="FFFFFF"/>
        <w:jc w:val="both"/>
        <w:rPr>
          <w:color w:val="000000" w:themeColor="text1"/>
          <w:sz w:val="16"/>
          <w:szCs w:val="16"/>
        </w:rPr>
      </w:pPr>
      <w:r w:rsidRPr="00F90EAE">
        <w:rPr>
          <w:color w:val="000000" w:themeColor="text1"/>
          <w:sz w:val="16"/>
          <w:szCs w:val="16"/>
        </w:rPr>
        <w:t>В марте 1945 на Ер-2, изготовленных на заводе № 30 требовалась замена 9 двигателей, в апреле -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E727834" w14:textId="77777777" w:rsidR="00546AC2" w:rsidRPr="00F90EAE" w:rsidRDefault="00546AC2" w:rsidP="00F90EAE">
      <w:pPr>
        <w:shd w:val="clear" w:color="auto" w:fill="FFFFFF"/>
        <w:jc w:val="both"/>
        <w:rPr>
          <w:color w:val="000000" w:themeColor="text1"/>
          <w:sz w:val="16"/>
          <w:szCs w:val="16"/>
        </w:rPr>
      </w:pPr>
    </w:p>
    <w:p w14:paraId="087A5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завод № 134 НКАП после смерти Ермолаева был передан со всеми работами как опытная база образованному ОКБ П.О. Сухого, назначенного гл. конструктором самолета Ер-2; сотрудники ОКБ Ермолаева переведены в ОКБ Сухого</w:t>
      </w:r>
      <w:r w:rsidRPr="00F90EAE">
        <w:rPr>
          <w:color w:val="000000" w:themeColor="text1"/>
          <w:sz w:val="16"/>
          <w:szCs w:val="16"/>
          <w:vertAlign w:val="superscript"/>
        </w:rPr>
        <w:t>34</w:t>
      </w:r>
      <w:r w:rsidRPr="00F90EAE">
        <w:rPr>
          <w:color w:val="000000" w:themeColor="text1"/>
          <w:sz w:val="16"/>
          <w:szCs w:val="16"/>
        </w:rPr>
        <w:t>. В состав завода № 134 7ГУ НКАП с 1.01.1945 г. (приказ 39с от 3.02.1945 г.) влит завод № 289 18ГУ НКАП гл. конструктора П.О. Сухого. Завод № 134 стал базироваться на разрозненных территориях: на основных территориях «а» и «б»- по Ленинградскому ш., 55, размещались КБ, часть производства и склады. Рядом находился корпус «г». В Тушино на территории «д» (площадка бывшего завода № 289), считавшейся филиалом завода № 134, находилось основное и вспомогательное производство, заводоуправление, склады.</w:t>
      </w:r>
    </w:p>
    <w:p w14:paraId="592D0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филиал завода № 301 передан в распоряжение завода № 156 для расширения работ по Ту-4.</w:t>
      </w:r>
    </w:p>
    <w:p w14:paraId="306E5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290сс от 13.05.1946 г. часть помещений завода № 134: конструкторский корпус на территории «а» (бывший Дом ветерана Отечественной войны, построенный после 1812 г.) и часть ангара на территории «б», были отведены вновь образованному НИИ-2 (НИИАС).</w:t>
      </w:r>
    </w:p>
    <w:p w14:paraId="14979B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393сс от 24.05.1949 г. все помещения на территориях «а» и «б» переданы НИИ-2.</w:t>
      </w:r>
    </w:p>
    <w:p w14:paraId="174840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1946 г. территория в Тушино (площадка бывшего завода № 289), находившаяся в ведении ГУ ИАС ВВС, была передана в подчинение НИИ-88 </w:t>
      </w:r>
      <w:r w:rsidRPr="00F90EAE">
        <w:rPr>
          <w:color w:val="000000" w:themeColor="text1"/>
          <w:sz w:val="16"/>
          <w:szCs w:val="16"/>
          <w:lang w:val="en-US"/>
        </w:rPr>
        <w:t>MB</w:t>
      </w:r>
      <w:r w:rsidRPr="00F90EAE">
        <w:rPr>
          <w:color w:val="000000" w:themeColor="text1"/>
          <w:sz w:val="16"/>
          <w:szCs w:val="16"/>
        </w:rPr>
        <w:t>.</w:t>
      </w:r>
    </w:p>
    <w:p w14:paraId="49DAB2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1946 г. на завод передано 386 единиц оборудования с завода Юнкерса в  г. Хальберштадт (Германия).</w:t>
      </w:r>
    </w:p>
    <w:p w14:paraId="6604E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1949 г. завод № 134 полностью переведен в Тушино. В соответствии с пост. СМ СССР № 5185-1980сс от 14.11.1949 г. и приказом № 914сс от 18.11.1949 г. профиль завода был изменен, ОКБ Сухого закрыто и влито в ОКБ Туполева. Завод № 134 МАП передан как опытная база переведенному с серийного завода № 43 ОКБ-43 гл. конструктора И.И. Торопова, которое переименовано в ОКБ-134 МАП. Завод также стал называтся ЗОВ. По приказу № 621к от 18.11.1949 г. Торопов назначен и.о. директора завода. Уже в 12.1949 г. была выпущена партия установок вооружения конструкции ОКБ-43. По приказу № 171к от 3.03.1950 г. директором завода назначен Н.А. Семенов, а Торопов стал гл. конструктором- ответственным руководителем.</w:t>
      </w:r>
    </w:p>
    <w:p w14:paraId="660664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комплексным системам огневой защиты Ту-16 и Ту-95.</w:t>
      </w:r>
    </w:p>
    <w:p w14:paraId="1E5735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283сс/оп от 25.04.1955 г. с 1.04.1955 г. завод передан из 7ГУ в 6ГУ МАП. В 08.1957 г. завод № 134 с летным отрядом - в ведении 2ГУ МАП. В 1967 г. завод получил название МЗ «Вымпел». В 1975-78 г. имел наименование «предприятие-п/я» В-2248, затем- Р-6462.</w:t>
      </w:r>
    </w:p>
    <w:p w14:paraId="129F7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1989 г. - МКБ «Вымпел», с 1991 г. - ГосМКБ «Вымпел». В соответствии с пост. Правительства Москвы № 686 от 27.07.1999 г. ГосМКБ «Вымпел» присвоено имя И.И. Торопова. В 2002 г. называлось ФГУП «ГосМКБ «Вымпел» им. И.И. Торопова». Входило в Корпорацию ТРВ (2004 г.). По Указу Президента РФ № 1009 от 4.08.2004 г. ОАО вошло в число стратегических оборонных предприятий. Входило в состав Корпорации ТРВ (с~2004 г.). Указом Президента РФ в 01.2007 г. исключено из перечня стратегических предприятий.</w:t>
      </w:r>
    </w:p>
    <w:p w14:paraId="0B35FB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1.04.1982 г. тематика УРВВ (К-73) и УРВП (Х-29) переведена из НПО «Молния» в МКБ «Вымпел» вместе с группой конструкторов (300 чел.) во главе с  Г.И. Хохловым.</w:t>
      </w:r>
    </w:p>
    <w:p w14:paraId="30ED5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1985 г. НИР «Клеенка» по разработке Р-27П. В начале 1990-х  г. - НИР «Ельник» по ракете РВВ-АЕ.</w:t>
      </w:r>
    </w:p>
    <w:p w14:paraId="1BEF3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Головное предприятие по разработке УРВВ, УРВП, ЗУР. К 2005 г. создано более 40 типов ракет, более 200 образцов ПУ и установок вооружения.</w:t>
      </w:r>
    </w:p>
    <w:p w14:paraId="4392E9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(07.1942-12.1944 г.)- В. Г. Ермолаев, (02.1945-11.1949 г.)- П.О. Сухой; И.О. директора (18.11.1949 г.-)- И.И. Торопов; (3.03.1950 г.-)- Н.А. Семенов, (1953-78 г.)- Ф. Г. Нестеров, (1978-81 г.)-  Г.Н. Мордвинов, (1981-84 г.)- П.А. Андреев, (1984-86 г.)- Л.И. Козловский, (1986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Ильин. Руководитель (1981-2004 г.)-  Г.А. Соколовский. Гендиректор (2005 г.)- В.А. Рац.</w:t>
      </w:r>
    </w:p>
    <w:p w14:paraId="7625F8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Зам. гендиректора: по производству (1999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Ильин; по ВЭД (2002 г.)- В.Н. Сычев.</w:t>
      </w:r>
    </w:p>
    <w:p w14:paraId="29B47B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(07.1942-12.1944 г.)- В. Г. Ермолаев {22.08.1909-31.12.1944}; и.о. (01.1945 г.-)- М.В. Орлов; (02.1945-11.1949 г.)- П.О. Сухой. Гл. конструктор/ ответственный руководитель (3.03.1950-12.1961 г.)- И.И. Торопов {25.02.1907-}, (12.1961-81 г.)- А.Л. Ляпин, (1981-92 г.)-  Г.А. Соколовский. Ген. конструктор (1992- 2005 г.-)-  Г.А. Соколовский {10.08.1934-}.</w:t>
      </w:r>
    </w:p>
    <w:p w14:paraId="0BEBB3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(1980-е)- В.А. Пустовойтов.</w:t>
      </w:r>
    </w:p>
    <w:p w14:paraId="6C4AB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А. Кегелес (Р-73), (1982-11.1986 г.)-  Г.И. Хохлов (УРВП; затем- гл. конструктор ОКБ «Звезда»), (2005 г.)- В. Г. Богацкий, (2005 г.)- В.К. Елецкий.</w:t>
      </w:r>
    </w:p>
    <w:p w14:paraId="08A3E3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производства (-1961 г.)- А.Л. Ляпин.</w:t>
      </w:r>
    </w:p>
    <w:p w14:paraId="126E2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(1949 г.)- Б.С. Абрамович (ПВ-23).</w:t>
      </w:r>
    </w:p>
    <w:p w14:paraId="279D42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инженеры: (1944 г.)- Казанли, (1944 г.)- Сверчевский, (1944 г.)- Н.В. Синельников (Ер-20Н), (1946 г.)- Фисун (УТБ-2).</w:t>
      </w:r>
    </w:p>
    <w:p w14:paraId="57175B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Летчики-испытатели: (1946 г.)- Фиксон, (1946 г.)- Шиянов.</w:t>
      </w:r>
    </w:p>
    <w:p w14:paraId="360CF9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система вооружения ПВ-23 «Звезда» ю 10 пушек НР-23 для Ту-4 (1949); кормовая стрелковая установка ДМ-20 для Ту-22 (1958); комплексы бомбардировочного вооружения: для Су-24М (1970), для МиГ- 25БМ (1978) (11982).</w:t>
      </w:r>
    </w:p>
    <w:p w14:paraId="2AD0A120" w14:textId="77777777" w:rsidR="00665165" w:rsidRPr="00F90EAE" w:rsidRDefault="00665165" w:rsidP="00F90EAE">
      <w:pPr>
        <w:autoSpaceDE w:val="0"/>
        <w:autoSpaceDN w:val="0"/>
        <w:adjustRightInd w:val="0"/>
        <w:jc w:val="both"/>
        <w:rPr>
          <w:color w:val="000000" w:themeColor="text1"/>
          <w:sz w:val="16"/>
          <w:szCs w:val="16"/>
        </w:rPr>
      </w:pPr>
    </w:p>
    <w:p w14:paraId="20C21F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НБ разобрали (10667).</w:t>
      </w:r>
    </w:p>
    <w:p w14:paraId="522FA6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1BD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закончились совместные испытаний первого Ту-2Т 62Т - низкого торпедоносца под две торпеды, которые проводились с февраля 1945 (4,187).</w:t>
      </w:r>
    </w:p>
    <w:p w14:paraId="0C8FC6CE" w14:textId="77777777" w:rsidR="00665165" w:rsidRPr="00F90EAE" w:rsidRDefault="00665165" w:rsidP="00F90EAE">
      <w:pPr>
        <w:autoSpaceDE w:val="0"/>
        <w:autoSpaceDN w:val="0"/>
        <w:adjustRightInd w:val="0"/>
        <w:jc w:val="both"/>
        <w:rPr>
          <w:color w:val="000000" w:themeColor="text1"/>
          <w:sz w:val="16"/>
          <w:szCs w:val="16"/>
        </w:rPr>
      </w:pPr>
    </w:p>
    <w:p w14:paraId="02CA77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два серийных Ту-2 23 завода NN 1/44 и 2/44 не выдержали гос. контрольных испытаний из-за производственных дефектов (1835,32).</w:t>
      </w:r>
    </w:p>
    <w:p w14:paraId="2C4D7E62" w14:textId="77777777" w:rsidR="00665165" w:rsidRPr="00F90EAE" w:rsidRDefault="00665165" w:rsidP="00F90EAE">
      <w:pPr>
        <w:autoSpaceDE w:val="0"/>
        <w:autoSpaceDN w:val="0"/>
        <w:adjustRightInd w:val="0"/>
        <w:jc w:val="both"/>
        <w:rPr>
          <w:color w:val="000000" w:themeColor="text1"/>
          <w:sz w:val="16"/>
          <w:szCs w:val="16"/>
        </w:rPr>
      </w:pPr>
    </w:p>
    <w:p w14:paraId="33F64E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и ОКБ А.Н.Т. Н.В.Кирсанов (в будущем - руководитель работ и ГК Ту-142 и его модификаций) предложил модификацию ДД на основе Ту-2 - самолета 62 в скоростной высотный пассажирский самолет, рассчитанный на перевозку 15-20 пассажиров (1835,61).</w:t>
      </w:r>
    </w:p>
    <w:p w14:paraId="0B3E6BA2" w14:textId="77777777" w:rsidR="00665165" w:rsidRPr="00F90EAE" w:rsidRDefault="00665165" w:rsidP="00F90EAE">
      <w:pPr>
        <w:autoSpaceDE w:val="0"/>
        <w:autoSpaceDN w:val="0"/>
        <w:adjustRightInd w:val="0"/>
        <w:jc w:val="both"/>
        <w:rPr>
          <w:color w:val="000000" w:themeColor="text1"/>
          <w:sz w:val="16"/>
          <w:szCs w:val="16"/>
        </w:rPr>
      </w:pPr>
    </w:p>
    <w:p w14:paraId="74B3E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два серийных Ту-2 (№1/44 и № 2/44) предъявили на контрольные испытания, которые они не выдержали. Позже, в июне 1946 года Совет министров СССР обязал авиационную промышленность изготовить десять эталонных машин с устранением всех отмеченных к тому времени дефектов и предъявить их на контрольные испытания.</w:t>
      </w:r>
    </w:p>
    <w:p w14:paraId="358ADB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доработок в самолет внесли 142 изменения, основными из которых были герметизация носовой части фюзеляжа и носовых частей центроплана, установка усиленных колес, пылевых фильтров на всасывающих патрубках, флюгерных воздушных винтов и электрофицированной стрелковой установки ВЭУ-1 у стрелка-радиста. В итоге, например, на машине № 38/49 при полетном весе 10 900 кг максимальная скорость на высоте 5460 м достигла 550 км/ч, а время набора 5000 метров сократилось до 10,3 минут, потолок составил 9350 метров, разбег и пробег - соответственно 465 и 875 метров.</w:t>
      </w:r>
    </w:p>
    <w:p w14:paraId="2B1FEB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НИИ ВВС по результатам испытаний десяти самолетов отмечалось, в частности:</w:t>
      </w:r>
    </w:p>
    <w:p w14:paraId="029EE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характеристики модифицированных Ту-2 соответствуют техническим условиям на их поставку ВВС.</w:t>
      </w:r>
    </w:p>
    <w:p w14:paraId="26329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Считать необходимым внедрить на всех Ту-2 конструктивные и производственные изменения, выполненные на испытанных 10-ти самолетах..." (12035).</w:t>
      </w:r>
    </w:p>
    <w:p w14:paraId="7D9D45A2" w14:textId="77777777" w:rsidR="00665165" w:rsidRPr="00F90EAE" w:rsidRDefault="00665165" w:rsidP="00F90EAE">
      <w:pPr>
        <w:autoSpaceDE w:val="0"/>
        <w:autoSpaceDN w:val="0"/>
        <w:adjustRightInd w:val="0"/>
        <w:jc w:val="both"/>
        <w:rPr>
          <w:color w:val="000000" w:themeColor="text1"/>
          <w:sz w:val="16"/>
          <w:szCs w:val="16"/>
        </w:rPr>
      </w:pPr>
    </w:p>
    <w:p w14:paraId="158540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был выпущен Пе-2 с ВК-107А (4,173).</w:t>
      </w:r>
    </w:p>
    <w:p w14:paraId="3400ABE8" w14:textId="77777777" w:rsidR="00665165" w:rsidRPr="00F90EAE" w:rsidRDefault="00665165" w:rsidP="00F90EAE">
      <w:pPr>
        <w:autoSpaceDE w:val="0"/>
        <w:autoSpaceDN w:val="0"/>
        <w:adjustRightInd w:val="0"/>
        <w:jc w:val="both"/>
        <w:rPr>
          <w:color w:val="000000" w:themeColor="text1"/>
          <w:sz w:val="16"/>
          <w:szCs w:val="16"/>
        </w:rPr>
      </w:pPr>
    </w:p>
    <w:p w14:paraId="18CFA6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вместе с заданием прекратить производство Пе-8 и Пе-3 (сохранив оснастку), заводу давались следующие цифры по суточному выпуску Пе-2: 10 - в апреле, 11 - в мае и 12 - в июне. Судя по годовому отчету, эти показатели достигнуты не были. Если в части отправлено всего 2944 машины (из них 135 учебных), то при 324 рабочих днях суточный выпуск в среднем составлял 9 машин. Кстати сказать, годовой тираж Пе-2 более чем в два раза превысил количество потерь в войсках - 1142 за 1944 г. Грозило перепроизводство....</w:t>
      </w:r>
    </w:p>
    <w:p w14:paraId="712A67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Пе-2 и Пе-8, завод впервые отчитался за истребители Пе-3. Запланировано их было отнюдь не мало: еще в июне 1943 г. приказано выпускать по две машины в день. Но кто видел те истребители? Думается, руководство завода было не в восторге от этого задания и всячески «отбояривались» от него. В конце концов, оно получило план на 1944 г. на 55 Пе-3, благополучно его «завалило» его, выпустив 18 машин себестоимостью 280 тысяч рублей, и дождалось приказа о сворачивании этой программы (12049).</w:t>
      </w:r>
    </w:p>
    <w:p w14:paraId="02CCC491" w14:textId="77777777" w:rsidR="00665165" w:rsidRPr="00F90EAE" w:rsidRDefault="00665165" w:rsidP="00F90EAE">
      <w:pPr>
        <w:autoSpaceDE w:val="0"/>
        <w:autoSpaceDN w:val="0"/>
        <w:adjustRightInd w:val="0"/>
        <w:jc w:val="both"/>
        <w:rPr>
          <w:color w:val="000000" w:themeColor="text1"/>
          <w:sz w:val="16"/>
          <w:szCs w:val="16"/>
        </w:rPr>
      </w:pPr>
    </w:p>
    <w:p w14:paraId="049D97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и КБ А.Н.Т. Н.В.Кирсанов предложил модификацию 62 путем переделки в высотную скоростную пассажирскую машину на 15-20 чел. (2397,54).</w:t>
      </w:r>
    </w:p>
    <w:p w14:paraId="2CC49677" w14:textId="77777777" w:rsidR="00665165" w:rsidRPr="00F90EAE" w:rsidRDefault="00665165" w:rsidP="00F90EAE">
      <w:pPr>
        <w:autoSpaceDE w:val="0"/>
        <w:autoSpaceDN w:val="0"/>
        <w:adjustRightInd w:val="0"/>
        <w:jc w:val="both"/>
        <w:rPr>
          <w:color w:val="000000" w:themeColor="text1"/>
          <w:sz w:val="16"/>
          <w:szCs w:val="16"/>
        </w:rPr>
      </w:pPr>
    </w:p>
    <w:p w14:paraId="0CCD2F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построили первый ЛЛ-143 Г.М.Б. (3827,18).</w:t>
      </w:r>
    </w:p>
    <w:p w14:paraId="3699DD7D" w14:textId="77777777" w:rsidR="00665165" w:rsidRPr="00F90EAE" w:rsidRDefault="00665165" w:rsidP="00F90EAE">
      <w:pPr>
        <w:autoSpaceDE w:val="0"/>
        <w:autoSpaceDN w:val="0"/>
        <w:adjustRightInd w:val="0"/>
        <w:jc w:val="both"/>
        <w:rPr>
          <w:color w:val="000000" w:themeColor="text1"/>
          <w:sz w:val="16"/>
          <w:szCs w:val="16"/>
        </w:rPr>
      </w:pPr>
    </w:p>
    <w:p w14:paraId="47D2C795" w14:textId="77777777" w:rsidR="00BA2B8F" w:rsidRPr="00F90EAE" w:rsidRDefault="00BA2B8F" w:rsidP="00F90EAE">
      <w:pPr>
        <w:jc w:val="both"/>
        <w:rPr>
          <w:color w:val="000000" w:themeColor="text1"/>
          <w:sz w:val="16"/>
          <w:szCs w:val="16"/>
        </w:rPr>
      </w:pPr>
      <w:r w:rsidRPr="00F90EAE">
        <w:rPr>
          <w:color w:val="000000" w:themeColor="text1"/>
          <w:sz w:val="16"/>
          <w:szCs w:val="16"/>
        </w:rPr>
        <w:t>В марте 1945 г. в связи с началом проектных работ по ко</w:t>
      </w:r>
      <w:r w:rsidRPr="00F90EAE">
        <w:rPr>
          <w:color w:val="000000" w:themeColor="text1"/>
          <w:sz w:val="16"/>
          <w:szCs w:val="16"/>
        </w:rPr>
        <w:softHyphen/>
        <w:t>раблю было сформировано тактико-техническое задание для палубных самолетов ВМФ СССР, включающее следу</w:t>
      </w:r>
      <w:r w:rsidRPr="00F90EAE">
        <w:rPr>
          <w:color w:val="000000" w:themeColor="text1"/>
          <w:sz w:val="16"/>
          <w:szCs w:val="16"/>
        </w:rPr>
        <w:softHyphen/>
        <w:t>ющие типы:</w:t>
      </w:r>
    </w:p>
    <w:p w14:paraId="7C3F8614" w14:textId="77777777" w:rsidR="00BA2B8F" w:rsidRPr="00F90EAE" w:rsidRDefault="00BA2B8F" w:rsidP="00F90EAE">
      <w:pPr>
        <w:tabs>
          <w:tab w:val="left" w:pos="423"/>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Многоцелевой палубный самолет для авианосцев ПМ-1 (палубный многоцеле</w:t>
      </w:r>
      <w:r w:rsidRPr="00F90EAE">
        <w:rPr>
          <w:color w:val="000000" w:themeColor="text1"/>
          <w:sz w:val="16"/>
          <w:szCs w:val="16"/>
        </w:rPr>
        <w:softHyphen/>
        <w:t>вой-1) — многоцелевой торпедоносец-бом- бардировщик-разведчик, экипаж 2 человека.</w:t>
      </w:r>
    </w:p>
    <w:p w14:paraId="2C079D23" w14:textId="77777777" w:rsidR="00BA2B8F" w:rsidRPr="00F90EAE" w:rsidRDefault="00BA2B8F" w:rsidP="00F90EAE">
      <w:pPr>
        <w:tabs>
          <w:tab w:val="left" w:pos="394"/>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Палубный истребитель сопровождения ПИС-145, одномоторный, одноместный, с низким расположением крыла.</w:t>
      </w:r>
    </w:p>
    <w:p w14:paraId="3B240289" w14:textId="77777777" w:rsidR="00BA2B8F" w:rsidRPr="00F90EAE" w:rsidRDefault="00BA2B8F" w:rsidP="00F90EAE">
      <w:pPr>
        <w:tabs>
          <w:tab w:val="left" w:pos="391"/>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Геликоптер для авианосцев и кораблей флота Г-145.</w:t>
      </w:r>
    </w:p>
    <w:p w14:paraId="6F820BCC" w14:textId="77777777" w:rsidR="00BA2B8F" w:rsidRPr="00F90EAE" w:rsidRDefault="00BA2B8F" w:rsidP="00F90EAE">
      <w:pPr>
        <w:tabs>
          <w:tab w:val="left" w:pos="376"/>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Корабельная летающая лодка для авиа</w:t>
      </w:r>
      <w:r w:rsidRPr="00F90EAE">
        <w:rPr>
          <w:color w:val="000000" w:themeColor="text1"/>
          <w:sz w:val="16"/>
          <w:szCs w:val="16"/>
        </w:rPr>
        <w:softHyphen/>
        <w:t>носцев и кораблей флота КЛ-145.</w:t>
      </w:r>
    </w:p>
    <w:p w14:paraId="6B0B7CA1" w14:textId="77777777" w:rsidR="00BA2B8F" w:rsidRPr="00F90EAE" w:rsidRDefault="00BA2B8F" w:rsidP="00F90EAE">
      <w:pPr>
        <w:jc w:val="both"/>
        <w:rPr>
          <w:color w:val="000000" w:themeColor="text1"/>
          <w:sz w:val="16"/>
          <w:szCs w:val="16"/>
        </w:rPr>
      </w:pPr>
      <w:r w:rsidRPr="00F90EAE">
        <w:rPr>
          <w:rStyle w:val="12pt"/>
          <w:color w:val="000000" w:themeColor="text1"/>
          <w:spacing w:val="0"/>
          <w:sz w:val="16"/>
          <w:szCs w:val="16"/>
        </w:rPr>
        <w:t>Известно,</w:t>
      </w:r>
      <w:r w:rsidRPr="00F90EAE">
        <w:rPr>
          <w:color w:val="000000" w:themeColor="text1"/>
          <w:sz w:val="16"/>
          <w:szCs w:val="16"/>
        </w:rPr>
        <w:t xml:space="preserve"> что проектирование самолетов в соответствии с указанным техническим зада</w:t>
      </w:r>
      <w:r w:rsidRPr="00F90EAE">
        <w:rPr>
          <w:color w:val="000000" w:themeColor="text1"/>
          <w:sz w:val="16"/>
          <w:szCs w:val="16"/>
        </w:rPr>
        <w:softHyphen/>
        <w:t>нием не было развернуто, т.к. строительство авианосцев опять отложили до лучших вре</w:t>
      </w:r>
      <w:r w:rsidRPr="00F90EAE">
        <w:rPr>
          <w:color w:val="000000" w:themeColor="text1"/>
          <w:sz w:val="16"/>
          <w:szCs w:val="16"/>
        </w:rPr>
        <w:softHyphen/>
        <w:t>мен. Однако некоторое продвижение в ука</w:t>
      </w:r>
      <w:r w:rsidRPr="00F90EAE">
        <w:rPr>
          <w:color w:val="000000" w:themeColor="text1"/>
          <w:sz w:val="16"/>
          <w:szCs w:val="16"/>
        </w:rPr>
        <w:softHyphen/>
        <w:t>занном направлении произошло. В частно</w:t>
      </w:r>
      <w:r w:rsidRPr="00F90EAE">
        <w:rPr>
          <w:color w:val="000000" w:themeColor="text1"/>
          <w:sz w:val="16"/>
          <w:szCs w:val="16"/>
        </w:rPr>
        <w:softHyphen/>
        <w:t>сти, предварительную проработку самолетов для авианосцев на заводе №458 провел кон</w:t>
      </w:r>
      <w:r w:rsidRPr="00F90EAE">
        <w:rPr>
          <w:color w:val="000000" w:themeColor="text1"/>
          <w:sz w:val="16"/>
          <w:szCs w:val="16"/>
        </w:rPr>
        <w:softHyphen/>
        <w:t>структор И.В.Четвериков. Начинал он с про</w:t>
      </w:r>
      <w:r w:rsidRPr="00F90EAE">
        <w:rPr>
          <w:color w:val="000000" w:themeColor="text1"/>
          <w:sz w:val="16"/>
          <w:szCs w:val="16"/>
        </w:rPr>
        <w:softHyphen/>
        <w:t>екта установки самолета Як-9ПД на ката</w:t>
      </w:r>
      <w:r w:rsidRPr="00F90EAE">
        <w:rPr>
          <w:color w:val="000000" w:themeColor="text1"/>
          <w:sz w:val="16"/>
          <w:szCs w:val="16"/>
        </w:rPr>
        <w:softHyphen/>
        <w:t>пульту, стоящую на действующих крейсерах. Затем были разработаны проекты одномо</w:t>
      </w:r>
      <w:r w:rsidRPr="00F90EAE">
        <w:rPr>
          <w:color w:val="000000" w:themeColor="text1"/>
          <w:sz w:val="16"/>
          <w:szCs w:val="16"/>
        </w:rPr>
        <w:softHyphen/>
        <w:t>торного палубного торпедоносца ПТ1-М82, далее ПТМ с двигателем М-71 (размах кры</w:t>
      </w:r>
      <w:r w:rsidRPr="00F90EAE">
        <w:rPr>
          <w:color w:val="000000" w:themeColor="text1"/>
          <w:sz w:val="16"/>
          <w:szCs w:val="16"/>
        </w:rPr>
        <w:softHyphen/>
        <w:t>ла 14,0 м, длина 12,3 м) и двухмоторного па</w:t>
      </w:r>
      <w:r w:rsidRPr="00F90EAE">
        <w:rPr>
          <w:color w:val="000000" w:themeColor="text1"/>
          <w:sz w:val="16"/>
          <w:szCs w:val="16"/>
        </w:rPr>
        <w:softHyphen/>
        <w:t>лубного торпедоносца ПТ-82 с двигателями АШ-82 (размах крыла 18,5 м, длина 14,9 м). Далее разработки самолетов для предполага</w:t>
      </w:r>
      <w:r w:rsidRPr="00F90EAE">
        <w:rPr>
          <w:color w:val="000000" w:themeColor="text1"/>
          <w:sz w:val="16"/>
          <w:szCs w:val="16"/>
        </w:rPr>
        <w:softHyphen/>
        <w:t>емых авианесущих кораблей на длительное время прекратились (12301).</w:t>
      </w:r>
    </w:p>
    <w:p w14:paraId="32B91F81" w14:textId="77777777" w:rsidR="00BA2B8F" w:rsidRPr="00F90EAE" w:rsidRDefault="00BA2B8F" w:rsidP="00F90EAE">
      <w:pPr>
        <w:jc w:val="both"/>
        <w:rPr>
          <w:color w:val="000000" w:themeColor="text1"/>
          <w:sz w:val="16"/>
          <w:szCs w:val="16"/>
        </w:rPr>
      </w:pPr>
    </w:p>
    <w:p w14:paraId="02FA6AD0" w14:textId="77777777" w:rsidR="00546AC2" w:rsidRPr="00F90EAE" w:rsidRDefault="00546AC2" w:rsidP="00F90EAE">
      <w:pPr>
        <w:jc w:val="both"/>
        <w:rPr>
          <w:color w:val="000000" w:themeColor="text1"/>
          <w:sz w:val="16"/>
          <w:szCs w:val="16"/>
        </w:rPr>
      </w:pPr>
      <w:r w:rsidRPr="00F90EAE">
        <w:rPr>
          <w:color w:val="000000" w:themeColor="text1"/>
          <w:sz w:val="16"/>
          <w:szCs w:val="16"/>
        </w:rPr>
        <w:t>В марте 1945 конструкто</w:t>
      </w:r>
      <w:r w:rsidRPr="00F90EAE">
        <w:rPr>
          <w:color w:val="000000" w:themeColor="text1"/>
          <w:sz w:val="16"/>
          <w:szCs w:val="16"/>
        </w:rPr>
        <w:softHyphen/>
        <w:t>ры ОКБ МИГ приступили к проектированию основ</w:t>
      </w:r>
      <w:r w:rsidRPr="00F90EAE">
        <w:rPr>
          <w:color w:val="000000" w:themeColor="text1"/>
          <w:sz w:val="16"/>
          <w:szCs w:val="16"/>
        </w:rPr>
        <w:softHyphen/>
        <w:t>ных агрегатов: фюзеля</w:t>
      </w:r>
      <w:r w:rsidRPr="00F90EAE">
        <w:rPr>
          <w:color w:val="000000" w:themeColor="text1"/>
          <w:sz w:val="16"/>
          <w:szCs w:val="16"/>
        </w:rPr>
        <w:softHyphen/>
        <w:t>жа, крыла, шасси и т.д. самолета Утка. Работу распределили между конструкторами, наметив и согласовав с каждым сроки. В свою очередь перед расчёт</w:t>
      </w:r>
      <w:r w:rsidRPr="00F90EAE">
        <w:rPr>
          <w:color w:val="000000" w:themeColor="text1"/>
          <w:sz w:val="16"/>
          <w:szCs w:val="16"/>
        </w:rPr>
        <w:softHyphen/>
        <w:t>ной бригадой постави</w:t>
      </w:r>
      <w:r w:rsidRPr="00F90EAE">
        <w:rPr>
          <w:color w:val="000000" w:themeColor="text1"/>
          <w:sz w:val="16"/>
          <w:szCs w:val="16"/>
        </w:rPr>
        <w:softHyphen/>
        <w:t>ли задачу обеспечить конструкторов консуль</w:t>
      </w:r>
      <w:r w:rsidRPr="00F90EAE">
        <w:rPr>
          <w:color w:val="000000" w:themeColor="text1"/>
          <w:sz w:val="16"/>
          <w:szCs w:val="16"/>
        </w:rPr>
        <w:softHyphen/>
        <w:t>тациями по вопросам прочности, чтобы не за</w:t>
      </w:r>
      <w:r w:rsidRPr="00F90EAE">
        <w:rPr>
          <w:color w:val="000000" w:themeColor="text1"/>
          <w:sz w:val="16"/>
          <w:szCs w:val="16"/>
        </w:rPr>
        <w:softHyphen/>
        <w:t>держивать выпуск чертежей. Окончание проектных работ запланировали на 31 мая, а на апрель наметили выпус рабочих чертежей фюзеляжа и крыла (15848).</w:t>
      </w:r>
    </w:p>
    <w:p w14:paraId="5BE063F6" w14:textId="77777777" w:rsidR="00546AC2" w:rsidRPr="00F90EAE" w:rsidRDefault="00546AC2" w:rsidP="00F90EAE">
      <w:pPr>
        <w:jc w:val="both"/>
        <w:rPr>
          <w:color w:val="000000" w:themeColor="text1"/>
          <w:sz w:val="16"/>
          <w:szCs w:val="16"/>
        </w:rPr>
      </w:pPr>
    </w:p>
    <w:p w14:paraId="4A67A9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форсированный дизель АЧ-30БФ зав. № Ж01-6 успешно прошел 100-часовые заводские испытания. Более того, в течение 20 часов он работал на "сверхфорсированных" режимах: при взлетной мощности 2000 л.с. и номинальной 1800 л.с.! Этот экземпляр двигателя заметно превзошел уровень требований, предъявленных к АЧ-31. Поэтому Чаромский "объявил в команде замену": с марта 1945 г. вместо АЧ-31 началась разработка так называемого АЧ-31Б, который на самом деле представлял собой АЧ-30БФ с иным передаточным отношением редуктора, усиленным верхним картером. Прежний же проект двигателя АЧ-31 "перекрестили" в АЧ-32. Так, относительно "малой кровью", было "выполнено" задание на разработку нового дизеля. Тогда же, в марте 1945 г. были в быстром темпе, всего за несколько дней проведены 50-часовые заводские испытания первого опытного АЧ-31Б в режиме взлетной мощности 2200 л.с. и земного "номинала" 2000 л.с. Успешное завершение испытаний позволило сделать следующий шаг: в апреле начать 100-часовую "гонку". Уверенный в успехе Чаромский сразу отправил авиаконструктору С.В. Ильюшину два двигателя АЧ-31Б для установки на самолет Ил-12! (8984).</w:t>
      </w:r>
    </w:p>
    <w:p w14:paraId="05D55878" w14:textId="77777777" w:rsidR="00665165" w:rsidRPr="00F90EAE" w:rsidRDefault="00665165" w:rsidP="00F90EAE">
      <w:pPr>
        <w:autoSpaceDE w:val="0"/>
        <w:autoSpaceDN w:val="0"/>
        <w:adjustRightInd w:val="0"/>
        <w:jc w:val="both"/>
        <w:rPr>
          <w:color w:val="000000" w:themeColor="text1"/>
          <w:sz w:val="16"/>
          <w:szCs w:val="16"/>
        </w:rPr>
      </w:pPr>
    </w:p>
    <w:p w14:paraId="64AFA1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марте 1945 завершились 100-часовые заводские испытания АЧ-30БФ. В том же месяце начали госиспытания, на которых двигатель был забракован из-за плохой приемистости и сложной процедуры запу</w:t>
      </w:r>
      <w:r w:rsidRPr="00F90EAE">
        <w:rPr>
          <w:color w:val="000000" w:themeColor="text1"/>
          <w:sz w:val="16"/>
          <w:szCs w:val="16"/>
        </w:rPr>
        <w:softHyphen/>
        <w:t>ска. После некоторой доводки АЧ-ЗОБФ испытывались на самолете Ту-2. Работа над двигателем продолжалась до 1947 г. Мощность 1250/1900 л.с., вес 1280 кг. Всего переделано из АЧ-ЗОБ 17 экз. (11852).</w:t>
      </w:r>
    </w:p>
    <w:p w14:paraId="40C05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E3D82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марта 1945 г. проходили заводские испытания на стенде ВК-107Р (первоначально ВК-107-Э3020), модификация ВК-107А для привода мотокомпрессорного реактивного двигателя ВРДК конструк</w:t>
      </w:r>
      <w:r w:rsidRPr="00F90EAE">
        <w:rPr>
          <w:color w:val="000000" w:themeColor="text1"/>
          <w:sz w:val="16"/>
          <w:szCs w:val="16"/>
        </w:rPr>
        <w:softHyphen/>
        <w:t>ции Фадеева и Холщевникова, спроектированного в 1943-1945 гг. Привод осуществлялся от коробки отбора мощности через удлинен</w:t>
      </w:r>
      <w:r w:rsidRPr="00F90EAE">
        <w:rPr>
          <w:color w:val="000000" w:themeColor="text1"/>
          <w:sz w:val="16"/>
          <w:szCs w:val="16"/>
        </w:rPr>
        <w:softHyphen/>
        <w:t>ный вал. Мощность 1450/1650 л.с. без ВРДК, 2800 э.л.с. (по другим данным, 3000 э.л.с.) с включенным ВРДК. В июле 1946 г. двигатель продемон</w:t>
      </w:r>
      <w:r w:rsidRPr="00F90EAE">
        <w:rPr>
          <w:color w:val="000000" w:themeColor="text1"/>
          <w:sz w:val="16"/>
          <w:szCs w:val="16"/>
        </w:rPr>
        <w:softHyphen/>
        <w:t>стрировал ресурс 35 ч. Однако уже в марте — мае 1945 г. ВК-107Р летал на самолете И-250 («Н»), а в апреле — июле того же года — на И-107 (Су-5). ВК-107Р выпускался серийно на заводе № 466 (с по</w:t>
      </w:r>
      <w:r w:rsidRPr="00F90EAE">
        <w:rPr>
          <w:color w:val="000000" w:themeColor="text1"/>
          <w:sz w:val="16"/>
          <w:szCs w:val="16"/>
        </w:rPr>
        <w:softHyphen/>
        <w:t>ставкой моторов ВК-107А с завода № 26) со второй половины 1945 г. для истребителей И-250 (11852).</w:t>
      </w:r>
    </w:p>
    <w:p w14:paraId="08D22E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24FCD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на имя секретаря ЦК ВКП(б) Маленкова Г.М., Народного комиссара авиационной промышленности Шахурина А.И., заместителя наркома авиационной промышленности Завитаева А.А. и секретаря Татарского обкома ВКП(б) Муратова поступила памятная записка директора, парторга и профорга моторостроительного завода № 16:</w:t>
      </w:r>
    </w:p>
    <w:p w14:paraId="4A8BAD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исполняется 10 лет моторостроительному заводу № 16. В апреле 1945 г. заводом будет выпущен 15000 боевой мотор ВК-105, собранный лишь за годы Великой Отечественной войны. За три г. войны завод 22 раза завоевывал первые и вторые места в соревновании заводов авиационной промышленности.</w:t>
      </w:r>
    </w:p>
    <w:p w14:paraId="6B822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1935 г. завод взял обязательство и выпустил к 1.05.35 г. первые звездообразные моторы М-11 собственного производства. За 1935 и 1936 годы заводом выпущено уже 3010 моторов М-11.</w:t>
      </w:r>
    </w:p>
    <w:p w14:paraId="7BF1D0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Состоялось решение Правительства о строительстве на заводе № 16 рядных моторов «Рено». МВ-4 и МВ-6 стали выпускаться на заводе в малых сериях.</w:t>
      </w:r>
    </w:p>
    <w:p w14:paraId="06C9C9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1940 г. решением Правительства завод был переведен на выпуск боевых моторов ВК-105. К моменту перехода на ВК-105 завод выпустил 20651 мотор М-11, 85 моторов МВ-4 и 109 моторов МВ-6. 18 марта 1945 г. был снят с конвейера 15000 мотор ВК-105. 18-20 апреля с конвейера будет снят 15000 мотор ВК-105, собранный на заводе во время войны. Выпуск моторов ВК-105 по годам составил:</w:t>
      </w:r>
    </w:p>
    <w:p w14:paraId="0646A2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 г. – 41 штука, 1941 г. – 1337 штук, 1942 г. – 2916 штук, 1943 г. – 4421 штука, 1944 г. – 4975 штук.</w:t>
      </w:r>
    </w:p>
    <w:p w14:paraId="5EC99F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серийного производства завод участвовал в опытном моторостроении.</w:t>
      </w:r>
    </w:p>
    <w:p w14:paraId="77FD84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1935-36 гг. – производство нового мотора ЦИАМ ММ-1,</w:t>
      </w:r>
    </w:p>
    <w:p w14:paraId="53DDB2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1939-41 гг. – разработка и создание М-250,</w:t>
      </w:r>
    </w:p>
    <w:p w14:paraId="7B1D56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1942-43 гг. – создание реактивных двигателей РД-1 и РД-3,</w:t>
      </w:r>
    </w:p>
    <w:p w14:paraId="2F835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 – выпуск первой серии двигателей РД-1, проходящих в настоящее время испытания на самолетах «Як», «Ла» и «Су».</w:t>
      </w:r>
    </w:p>
    <w:p w14:paraId="5C6E5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 – изготовлены детали редуктора для двигателя М-250 завода № 36.</w:t>
      </w:r>
    </w:p>
    <w:p w14:paraId="103A9C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Впервые в СССР проведены испытания двигателей с рекуперацией энергии. Свыше 70% энергии, развиваемой авиамотором во время испытаний, преобразуется в электрическую и поступает в электросеть завода».</w:t>
      </w:r>
    </w:p>
    <w:p w14:paraId="3381A4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Необходимо пояснить, что, по-видимому, руководители завода считали днем рождения предприятия тот день, когда были изготовлены первые моторы М-11.</w:t>
      </w:r>
    </w:p>
    <w:p w14:paraId="0F9AF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апрель включительно завод № 16 выпустил за 4 месяца 1945 г. 1928 моторов ВК-105.</w:t>
      </w:r>
    </w:p>
    <w:p w14:paraId="463691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Вклад в победу казанских моторостроителей был по достоинству оценен страной. Указом Президиума Верховного Совета СССР от 26 июня 1945 г. за образцовое выполнение заданий правительства завод был награжден орденом Ленина. 269 заводчан за свой труд в годы войны были награждены орденами и медалями. Директор завода Макар Михайлович Лукин 16 сентября 1945 г. был удостоен высокого звания Героя Социалистического Труда (12049).</w:t>
      </w:r>
    </w:p>
    <w:p w14:paraId="3675EE0C" w14:textId="77777777" w:rsidR="00665165" w:rsidRPr="00F90EAE" w:rsidRDefault="00665165" w:rsidP="00F90EAE">
      <w:pPr>
        <w:autoSpaceDE w:val="0"/>
        <w:autoSpaceDN w:val="0"/>
        <w:adjustRightInd w:val="0"/>
        <w:jc w:val="both"/>
        <w:rPr>
          <w:color w:val="000000" w:themeColor="text1"/>
          <w:sz w:val="16"/>
          <w:szCs w:val="16"/>
        </w:rPr>
      </w:pPr>
    </w:p>
    <w:p w14:paraId="653A0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по распоряжению Зам. НКАП П.В.Дементьева была назначена комиссия в составе Исаева, Чертка и Фадеева в целях оказания помощи и выявления причин отказов и неполадок в работе РД-1 Глушко, выявленных при испытаниях Як-3, Ла-7 и Су-6 (2928,108).</w:t>
      </w:r>
    </w:p>
    <w:p w14:paraId="7E50851D" w14:textId="77777777" w:rsidR="00665165" w:rsidRPr="00F90EAE" w:rsidRDefault="00665165" w:rsidP="00F90EAE">
      <w:pPr>
        <w:autoSpaceDE w:val="0"/>
        <w:autoSpaceDN w:val="0"/>
        <w:adjustRightInd w:val="0"/>
        <w:jc w:val="both"/>
        <w:rPr>
          <w:color w:val="000000" w:themeColor="text1"/>
          <w:sz w:val="16"/>
          <w:szCs w:val="16"/>
        </w:rPr>
      </w:pPr>
    </w:p>
    <w:p w14:paraId="720FA9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были проведены заводские испытания двухкамерного ЖРД Л.С.Душкина РД-2М3Ц с насосной подачей топлива, построенного в феврале 1945 и его предъявили на гос. испытания (2928,98).</w:t>
      </w:r>
    </w:p>
    <w:p w14:paraId="5DE409EC" w14:textId="77777777" w:rsidR="00665165" w:rsidRPr="00F90EAE" w:rsidRDefault="00665165" w:rsidP="00F90EAE">
      <w:pPr>
        <w:autoSpaceDE w:val="0"/>
        <w:autoSpaceDN w:val="0"/>
        <w:adjustRightInd w:val="0"/>
        <w:jc w:val="both"/>
        <w:rPr>
          <w:color w:val="000000" w:themeColor="text1"/>
          <w:sz w:val="16"/>
          <w:szCs w:val="16"/>
        </w:rPr>
      </w:pPr>
    </w:p>
    <w:p w14:paraId="105D9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успешно прошел наземные испытания первый советский турбореактивный двигатель С-18 с тягой 1030 даН, созданный под руководством А.М.Люльки (5,55).</w:t>
      </w:r>
    </w:p>
    <w:p w14:paraId="70F63D3D" w14:textId="77777777" w:rsidR="00665165" w:rsidRPr="00F90EAE" w:rsidRDefault="00665165" w:rsidP="00F90EAE">
      <w:pPr>
        <w:autoSpaceDE w:val="0"/>
        <w:autoSpaceDN w:val="0"/>
        <w:adjustRightInd w:val="0"/>
        <w:jc w:val="both"/>
        <w:rPr>
          <w:color w:val="000000" w:themeColor="text1"/>
          <w:sz w:val="16"/>
          <w:szCs w:val="16"/>
        </w:rPr>
      </w:pPr>
    </w:p>
    <w:p w14:paraId="319849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прошел наземные испытания первый советский турбореактивный двигатель С-18 с тягой 1030 кгс, созданный иод руководством А.М.Люльки. С-18 являлся экспериментальным стендом, на котором проводились исследования по выявлению и решению основных вопросов, связанных с расчетом, конструированием и доводкой турбореактивного двигателя. Опыт, полученный при разработке и испытаниях С-18, был использован в проекте значительно более мощного турбореактивного двигателя ТР-1 с осевым компрессором и расчетной взлетной тягой 1500 кгс, что значительно превышало характеристики трофейных немецких двигателей BMW 003 и Jumo 004, развивавших тягу 800-900 кгс (9528).</w:t>
      </w:r>
    </w:p>
    <w:p w14:paraId="3A4D0100" w14:textId="77777777" w:rsidR="00665165" w:rsidRPr="00F90EAE" w:rsidRDefault="00665165" w:rsidP="00F90EAE">
      <w:pPr>
        <w:autoSpaceDE w:val="0"/>
        <w:autoSpaceDN w:val="0"/>
        <w:adjustRightInd w:val="0"/>
        <w:jc w:val="both"/>
        <w:rPr>
          <w:color w:val="000000" w:themeColor="text1"/>
          <w:sz w:val="16"/>
          <w:szCs w:val="16"/>
        </w:rPr>
      </w:pPr>
    </w:p>
    <w:p w14:paraId="372C25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принимается очередное решение о серии РД-1 в 50 экземпляров, а заводу № 22 приказывается отштамповать дюралевые перегородки для этих двигателей применительно к самолетам Як-3-150 и Ла-7-150. В апреле Заместитель Главного конструктора ОКБ-РД, как себя тогда называл Королев, отослал в Москву отчет о работах и испытаниях самолета Пе-2 с реактивной установкой (12049).</w:t>
      </w:r>
    </w:p>
    <w:p w14:paraId="339D262C" w14:textId="77777777" w:rsidR="00665165" w:rsidRPr="00F90EAE" w:rsidRDefault="00665165" w:rsidP="00F90EAE">
      <w:pPr>
        <w:autoSpaceDE w:val="0"/>
        <w:autoSpaceDN w:val="0"/>
        <w:adjustRightInd w:val="0"/>
        <w:jc w:val="both"/>
        <w:rPr>
          <w:color w:val="000000" w:themeColor="text1"/>
          <w:sz w:val="16"/>
          <w:szCs w:val="16"/>
        </w:rPr>
      </w:pPr>
    </w:p>
    <w:p w14:paraId="2ECE22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по приказу директора и главного конструктора завода № 51 В.Н.Челомея все И-185 с моторами М-71, М-82А и М-90 разобрали на части (10667).</w:t>
      </w:r>
    </w:p>
    <w:p w14:paraId="3509A6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37E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наши Фау 10Х испытывали на Ер-2 и Пе-8 (ТБ-7) (1103,182).</w:t>
      </w:r>
    </w:p>
    <w:p w14:paraId="50D33309" w14:textId="77777777" w:rsidR="00665165" w:rsidRPr="00F90EAE" w:rsidRDefault="00665165" w:rsidP="00F90EAE">
      <w:pPr>
        <w:autoSpaceDE w:val="0"/>
        <w:autoSpaceDN w:val="0"/>
        <w:adjustRightInd w:val="0"/>
        <w:jc w:val="both"/>
        <w:rPr>
          <w:color w:val="000000" w:themeColor="text1"/>
          <w:sz w:val="16"/>
          <w:szCs w:val="16"/>
        </w:rPr>
      </w:pPr>
    </w:p>
    <w:p w14:paraId="5159AE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в Средней Азии начались испытательные работы со сбрасыванием и пусками самолетов-снарядов с Пе-8 4М-82 (7685).</w:t>
      </w:r>
    </w:p>
    <w:p w14:paraId="7899491C" w14:textId="77777777" w:rsidR="00665165" w:rsidRPr="00F90EAE" w:rsidRDefault="00665165" w:rsidP="00F90EAE">
      <w:pPr>
        <w:autoSpaceDE w:val="0"/>
        <w:autoSpaceDN w:val="0"/>
        <w:adjustRightInd w:val="0"/>
        <w:jc w:val="both"/>
        <w:rPr>
          <w:color w:val="000000" w:themeColor="text1"/>
          <w:sz w:val="16"/>
          <w:szCs w:val="16"/>
        </w:rPr>
      </w:pPr>
    </w:p>
    <w:p w14:paraId="2B96B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при ГКО был организован Особый комитет под председательством Г.М.Маленкова с членами, представляющими Госплан, НКО, НКИД, НКВТ и т.п., а также Особое ГУ НКАП - координирующий орган по делам, связанным с демонтажем военно-промышленных предприятий в Советской зоне оккупации Германии, Румынии, Австрии, Венгрии и Чехословакии. Перечень авиазаводов для демонтажа был составлен в 1944 и включал 164 в Германии, 25 в Австрии, 9 в Венгрии, но было намного больше (1795,58).</w:t>
      </w:r>
    </w:p>
    <w:p w14:paraId="4FFD0FEF" w14:textId="77777777" w:rsidR="00665165" w:rsidRPr="00F90EAE" w:rsidRDefault="00665165" w:rsidP="00F90EAE">
      <w:pPr>
        <w:autoSpaceDE w:val="0"/>
        <w:autoSpaceDN w:val="0"/>
        <w:adjustRightInd w:val="0"/>
        <w:jc w:val="both"/>
        <w:rPr>
          <w:color w:val="000000" w:themeColor="text1"/>
          <w:sz w:val="16"/>
          <w:szCs w:val="16"/>
        </w:rPr>
      </w:pPr>
    </w:p>
    <w:p w14:paraId="3A592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вышло постановление ГКО о вывозе с германских заводов документации и оборудования по радиолокаторам для организации производства в СССР (в ЦКБ-17) опытных образцов самолетной радиолокационной аппаратуры на основе трофеев (11765).</w:t>
      </w:r>
    </w:p>
    <w:p w14:paraId="099CDFDF" w14:textId="77777777" w:rsidR="00665165" w:rsidRPr="00F90EAE" w:rsidRDefault="00665165" w:rsidP="00F90EAE">
      <w:pPr>
        <w:autoSpaceDE w:val="0"/>
        <w:autoSpaceDN w:val="0"/>
        <w:adjustRightInd w:val="0"/>
        <w:jc w:val="both"/>
        <w:rPr>
          <w:color w:val="000000" w:themeColor="text1"/>
          <w:sz w:val="16"/>
          <w:szCs w:val="16"/>
        </w:rPr>
      </w:pPr>
    </w:p>
    <w:p w14:paraId="62451D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вышло:</w:t>
      </w:r>
    </w:p>
    <w:p w14:paraId="109B7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362AB0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Государственного Комитета Обороны о вывозе (демонтажу и отгрузке) немецкого оборудования в СССР (8994).</w:t>
      </w:r>
    </w:p>
    <w:p w14:paraId="1EB4D184" w14:textId="77777777" w:rsidR="00665165" w:rsidRPr="00F90EAE" w:rsidRDefault="00665165" w:rsidP="00F90EAE">
      <w:pPr>
        <w:autoSpaceDE w:val="0"/>
        <w:autoSpaceDN w:val="0"/>
        <w:adjustRightInd w:val="0"/>
        <w:jc w:val="both"/>
        <w:rPr>
          <w:color w:val="000000" w:themeColor="text1"/>
          <w:sz w:val="16"/>
          <w:szCs w:val="16"/>
        </w:rPr>
      </w:pPr>
    </w:p>
    <w:p w14:paraId="19D666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вышло:</w:t>
      </w:r>
    </w:p>
    <w:p w14:paraId="51237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58EA9631"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ПОСТАНОВЛЕНИЕ ГОСУДАРСТВЕННОГО КОМИТЕТА ОБОРОНЫ</w:t>
      </w:r>
    </w:p>
    <w:p w14:paraId="3A90C0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5E2D1B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Обязать Наркомавиапром - т. Шахурина вывезти на свои радиолокационные заводы оборудование и материалы со следующих немецких заводов, расположенных на территории Германии и Польши:</w:t>
      </w:r>
    </w:p>
    <w:p w14:paraId="03865C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 радиолокационного завода в Лейбусдорфе /в районе г. Мельча/ - 50 станков и материалы на опытный завод ЦКБ-17 НКАП в г. Москву, для производства опытных образцов самолетной радиолокационной аппаратуры;</w:t>
      </w:r>
    </w:p>
    <w:p w14:paraId="549256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 завода электрорадиооснащения мин фирмы "Шмидт" в г. Мариенвердер - 57 металлорежущих станков на завод N 287 НКАП в г. Ленинград для организации производства самолетной радиолокационной аппаратуры.</w:t>
      </w:r>
    </w:p>
    <w:p w14:paraId="0D197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Назначить руководителями демонтажа оборудования:</w:t>
      </w:r>
    </w:p>
    <w:p w14:paraId="247105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а)радиолокационного завода в Лейбусдорфе т. Федорова - Начальника производственного опытного завода ЦКБ-17 НКАП;</w:t>
      </w:r>
    </w:p>
    <w:p w14:paraId="1EDC1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 завода электрорадиооснащения мин в г. Мариенвердер т. Иллювнева - главного инженера завода N 287. 3. Обязать Наркомавиапром - т. Шахурина командировать 20 человек инженерно-технических работников и квалифицированных рабочих для руководства демонтажем оборудования на немецких авиационных заводах в том числе в Лейбусдорф - 10 человек и в Мариенвердер - 10 человек.</w:t>
      </w:r>
    </w:p>
    <w:p w14:paraId="7B9A26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Обязать Начальника Главного Трофейного Управления Красной Армии - т. Вахитова:</w:t>
      </w:r>
    </w:p>
    <w:p w14:paraId="63CEE1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до 1 мая 1945 года произвести все работы по демонтажу и отгрузке на заводы N 287 /г. Ленинград/ и ЦКБ-17 НКАП /г. Москва/ оборудования и материалов с завода радиолокации в Лейбусдорфе /в районе Мальча/ и с завода "Шмидт" в Мариенвердере, начав работы с 1 апреля с.г.;</w:t>
      </w:r>
    </w:p>
    <w:p w14:paraId="12B4C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выделить для демонтажа и отгрузки указанного оборудования и материалов 100 человек /в том числе 50 человек в Лейбусдорф и 50 человек в Мариенвердер/.</w:t>
      </w:r>
    </w:p>
    <w:p w14:paraId="3C9E10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Обязать Командующего ВВС КА т. Новикова и Командующих 2 и 4 Воздушных Армий т.т. Красовского и Вершинина оказать Наркомавиапрому необходимую помощь людьми и транспортом в демонтаже и отгрузке оборудования с указанных заводов.</w:t>
      </w:r>
    </w:p>
    <w:p w14:paraId="16E590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Обязать НКПС т. Ковалева и Центральное Управление Военных Сообщений Красной Армии т. Дмитриева выделить по заявке Уполномоченных Особого Комитета при ГОКО т.т. Сабурова и Кучумова необходимое количество вагонов для отгрузки оборудования и материалов, перечисленных в пункте 1 настоящего постановления и установить контроль за их передвижением.</w:t>
      </w:r>
    </w:p>
    <w:p w14:paraId="7FE0A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 (И. Сталин) (8987).</w:t>
      </w:r>
    </w:p>
    <w:p w14:paraId="68FE068D" w14:textId="77777777" w:rsidR="00665165" w:rsidRPr="00F90EAE" w:rsidRDefault="00665165" w:rsidP="00F90EAE">
      <w:pPr>
        <w:autoSpaceDE w:val="0"/>
        <w:autoSpaceDN w:val="0"/>
        <w:adjustRightInd w:val="0"/>
        <w:jc w:val="both"/>
        <w:rPr>
          <w:color w:val="000000" w:themeColor="text1"/>
          <w:sz w:val="16"/>
          <w:szCs w:val="16"/>
        </w:rPr>
      </w:pPr>
    </w:p>
    <w:p w14:paraId="744E2E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вышло:</w:t>
      </w:r>
    </w:p>
    <w:p w14:paraId="7647D3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3C9AE738"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ПОСТАНОВЛЕНИЕ ГОСУДАРСТВЕННОГО КОМИТЕТА ОБОРОНЫ</w:t>
      </w:r>
    </w:p>
    <w:p w14:paraId="1DA53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 посылке комиссии по вывозу оборудования и изучению работы немецкого Ракетного Института в Пеннемюнде</w:t>
      </w:r>
    </w:p>
    <w:p w14:paraId="6623A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сохранения ценного оборудования и изучения на месте опыта работы немецкого Ракетного Института, расположенного в Пеннемюнде, Государственный Комитет Обороны ПОСТАНОВЛЯЕТ:</w:t>
      </w:r>
    </w:p>
    <w:p w14:paraId="016362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Обязать Наркомавиапром (т. Шахурина) командировать в г. Альтдам группу специалистов Наркомавиапрома по реактивным двигателям в количестве 6 человек.</w:t>
      </w:r>
    </w:p>
    <w:p w14:paraId="5CC7E5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Утвердить руководителем по изучению организации и опыта работ немецкого Ракетного Института в Пеннемюнде - Начальника филиала N 2 НИИ-1 Наркомавиапрома тов. ПОБЕДОНОСЦЕВА Ю.А.</w:t>
      </w:r>
    </w:p>
    <w:p w14:paraId="7BB0E8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После занятия войсками Красной Армии района Пеннемюнде, обязать Наркомавиапром (т.т. ШАХУРИНА и ПОБЕДОНОСЦЕВА):</w:t>
      </w:r>
    </w:p>
    <w:p w14:paraId="4CC1A4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организовать на месте охрану и изучение сохранившегося оборудования Ракетного Института;</w:t>
      </w:r>
    </w:p>
    <w:p w14:paraId="3BD125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обеспечить демонтаж и вывоз из Пеннемюнде сохранившегося имущества и оборудования Научно-исследовательских лабораторий и испытательных стендов Ракетного Института</w:t>
      </w:r>
    </w:p>
    <w:p w14:paraId="61911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Обязать Начальника Главного Трофейного Управления Красной Армии тов. ВАХТОВА, после занятия войсками Красной Армии района Пеннемюнде, немедленно приступить к демонтажу и отгрузке имущества немецкого Ракетного Института, обеспечив проведение этой работы в 10-ти дневный срок.</w:t>
      </w:r>
    </w:p>
    <w:p w14:paraId="16C0A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 (И. Сталин) (8987).</w:t>
      </w:r>
    </w:p>
    <w:p w14:paraId="7805F3F4" w14:textId="77777777" w:rsidR="00665165" w:rsidRPr="00F90EAE" w:rsidRDefault="00665165" w:rsidP="00F90EAE">
      <w:pPr>
        <w:autoSpaceDE w:val="0"/>
        <w:autoSpaceDN w:val="0"/>
        <w:adjustRightInd w:val="0"/>
        <w:jc w:val="both"/>
        <w:rPr>
          <w:color w:val="000000" w:themeColor="text1"/>
          <w:sz w:val="16"/>
          <w:szCs w:val="16"/>
        </w:rPr>
      </w:pPr>
    </w:p>
    <w:p w14:paraId="176CD1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вышло:</w:t>
      </w:r>
    </w:p>
    <w:p w14:paraId="44A45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6F9AF6F5"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ПОСТАНОВЛЕНИЕ ГОСУДАРСТВЕННОГО КОМИТЕТА ОБОРОНЫ</w:t>
      </w:r>
    </w:p>
    <w:p w14:paraId="27010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 вывозе оборудования и материалов с завода N 1 фирмы "Асканиа-Верке" в г. Берлин Мариендорф, опытного приборного завода фирмы "Асканиа-Верке" в г. Берлин Фриденау и научно-исследовательских лабораторий и мастерских фирмы "Сименс" в Фалькензее (район Берлина)на предприятия Наркомавиапрома.</w:t>
      </w:r>
    </w:p>
    <w:p w14:paraId="6E0AB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2BEF1F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Обязать Наркомавиапром (тов. Шахурина) вывезти оборудование и материалы:</w:t>
      </w:r>
    </w:p>
    <w:p w14:paraId="0F963B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 завода N 1 по производству авиационных приборов фирмы "Асканиа-Верке" в г. Берлин Мариендорф - 1000 единиц металлообрабатывающего оборудования на завод N 122 Наркомавиапрома в г. Москва для укомплектования московских авиаприборных заводов;</w:t>
      </w:r>
    </w:p>
    <w:p w14:paraId="117729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 опытного завода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- 250 металлообрабатывающих станков, а также аппаратуру и приборы на завод N 149 Наркомавиапрома в г. Раменское Московской области для производства авиаприборов.</w:t>
      </w:r>
    </w:p>
    <w:p w14:paraId="237649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оптического производства (30 станков для шлифовки линз) НКАП по прибытии передать НКВ;</w:t>
      </w:r>
    </w:p>
    <w:p w14:paraId="0BE8D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научно-исследовательских лабораторий и мастерских по разработке новых типов радиолокационной аппаратуры "Сименс" в Фалькензее (район Берлина) - 200 станков и оборудование лабораторий в ЦКБ-17 Наркомавиапрома в г. Москва.</w:t>
      </w:r>
    </w:p>
    <w:p w14:paraId="7EB3CE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Утвердить руководителями работ по демонтажу и вывозу оборудования и материалов:</w:t>
      </w:r>
    </w:p>
    <w:p w14:paraId="53069F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 завода N 1 фирмы "Асканиа-Верке" в г. Берлин Мариендорф директора завода N 282 Наркомавиапром т. Романова Н.А. (8987).</w:t>
      </w:r>
    </w:p>
    <w:p w14:paraId="4024D3E5" w14:textId="77777777" w:rsidR="00665165" w:rsidRPr="00F90EAE" w:rsidRDefault="00665165" w:rsidP="00F90EAE">
      <w:pPr>
        <w:autoSpaceDE w:val="0"/>
        <w:autoSpaceDN w:val="0"/>
        <w:adjustRightInd w:val="0"/>
        <w:jc w:val="both"/>
        <w:rPr>
          <w:color w:val="000000" w:themeColor="text1"/>
          <w:sz w:val="16"/>
          <w:szCs w:val="16"/>
        </w:rPr>
      </w:pPr>
    </w:p>
    <w:p w14:paraId="5FE1D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вышло постановление ГКО о вывозе с немецких заводов документации и оборудования по радиолокаторам для производства в СССР в ЦКБ-17 опытных образцов (1795,59).</w:t>
      </w:r>
    </w:p>
    <w:p w14:paraId="770C5A03" w14:textId="77777777" w:rsidR="00665165" w:rsidRPr="00F90EAE" w:rsidRDefault="00665165" w:rsidP="00F90EAE">
      <w:pPr>
        <w:autoSpaceDE w:val="0"/>
        <w:autoSpaceDN w:val="0"/>
        <w:adjustRightInd w:val="0"/>
        <w:jc w:val="both"/>
        <w:rPr>
          <w:color w:val="000000" w:themeColor="text1"/>
          <w:sz w:val="16"/>
          <w:szCs w:val="16"/>
        </w:rPr>
      </w:pPr>
    </w:p>
    <w:p w14:paraId="2FE621C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AA65FF" w14:textId="77777777" w:rsidR="00665165" w:rsidRPr="00F90EAE" w:rsidRDefault="00665165" w:rsidP="00F90EAE">
      <w:pPr>
        <w:autoSpaceDE w:val="0"/>
        <w:autoSpaceDN w:val="0"/>
        <w:adjustRightInd w:val="0"/>
        <w:jc w:val="both"/>
        <w:rPr>
          <w:iCs/>
          <w:color w:val="000000" w:themeColor="text1"/>
          <w:sz w:val="16"/>
          <w:szCs w:val="16"/>
        </w:rPr>
      </w:pPr>
    </w:p>
    <w:p w14:paraId="6617C2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Ленинградский филиал ЦАКБ преобразовывается в Морское артиллерийское центральное конструкторское бюро (МАЦКБ). Начальником и главным конструктором МАЦКБ назначают И. Иванова. В МАЦКБ (в последующем ЦКБ-34) разрабатывались проекты универсальных артиллерийских установок среднего калибра и качающихся частей орудий для различных башенных установок, башенных установок для орудий среднего и крупного калибра. Коллективом КБ было создано большое количество современных образцов отечественного артиллерийского вооружения для кораблей ВМФ различных классов и береговой обороны, а также пусковые установки для ракетного вооружения различных родов войск. Это прежде всего орудия главного калибра для крейсеров, универсальные полуавтоматические установки среднего калибра для крейсеров и эсминцев, корабельные дальномерные посты со сложными оптическими приборами, артиллерийские системы береговой обороны различного калибра на механической тяге, со специальной системой обнаружения целей и управления огнем, и многие другие машины иного назначения, по своим характеристикам не уступающие аналогичным иностранным образцам (11268).</w:t>
      </w:r>
    </w:p>
    <w:p w14:paraId="389CD489" w14:textId="77777777" w:rsidR="00665165" w:rsidRPr="00F90EAE" w:rsidRDefault="00665165" w:rsidP="00F90EAE">
      <w:pPr>
        <w:autoSpaceDE w:val="0"/>
        <w:autoSpaceDN w:val="0"/>
        <w:adjustRightInd w:val="0"/>
        <w:jc w:val="both"/>
        <w:rPr>
          <w:color w:val="000000" w:themeColor="text1"/>
          <w:sz w:val="16"/>
          <w:szCs w:val="16"/>
        </w:rPr>
      </w:pPr>
    </w:p>
    <w:p w14:paraId="739263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Кировский завод возобновил выпуск тяжелых танков, выпустив первый тяжёлый танк (4018).</w:t>
      </w:r>
    </w:p>
    <w:p w14:paraId="520346D6" w14:textId="77777777" w:rsidR="00665165" w:rsidRPr="00F90EAE" w:rsidRDefault="00665165" w:rsidP="00F90EAE">
      <w:pPr>
        <w:autoSpaceDE w:val="0"/>
        <w:autoSpaceDN w:val="0"/>
        <w:adjustRightInd w:val="0"/>
        <w:jc w:val="both"/>
        <w:rPr>
          <w:color w:val="000000" w:themeColor="text1"/>
          <w:sz w:val="16"/>
          <w:szCs w:val="16"/>
        </w:rPr>
      </w:pPr>
    </w:p>
    <w:p w14:paraId="62C155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года проект новой установки, которой было присвоено наиме</w:t>
      </w:r>
      <w:r w:rsidRPr="00F90EAE">
        <w:rPr>
          <w:color w:val="000000" w:themeColor="text1"/>
          <w:sz w:val="16"/>
          <w:szCs w:val="16"/>
        </w:rPr>
        <w:softHyphen/>
        <w:t>нование "Уралмаш-1", был представлен в Технический совет НКТП и Военный совет БТ и МВ. Учитывая исключительно большую инициативу, проявленную заводом при создании новой установки, машине было присвоено наиме</w:t>
      </w:r>
      <w:r w:rsidRPr="00F90EAE">
        <w:rPr>
          <w:color w:val="000000" w:themeColor="text1"/>
          <w:sz w:val="16"/>
          <w:szCs w:val="16"/>
        </w:rPr>
        <w:softHyphen/>
        <w:t>нование "Уралмаш-1". В разработке машины активное участие приняли конструкторы А.М. Лехтцид, И.И. Эммануилов, А.Г. Гайворонских, Г.Ф. Ксюнин, И.Ф. Вахрушев, Л.А. Пинус, Е.К. Карлинский, Е.И. Линькова, Д.А. Гериев, В.Л. Лихоманов, Н.Н. Ефимов, А.Д. Нехлюдов и др. (10703).</w:t>
      </w:r>
    </w:p>
    <w:p w14:paraId="2DF582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E8AB9FC"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марте 1945 года сварили три корпуса «Уралмаша-1», а 27 апреля, то есть раньше заданного срока, в испытательный пробег отправился первый образец. Как и следовало из приказа НКТП №107с, первой изготовили СУ-101, вооружённую 100-мм пушкой Д-10С.</w:t>
      </w:r>
    </w:p>
    <w:p w14:paraId="6B0DD827"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D2A47AF"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составил 7 коробок, не считая 16 дисков к пистолетам-пулемётам </w:t>
      </w:r>
      <w:hyperlink r:id="rId82" w:history="1">
        <w:r w:rsidRPr="00F90EAE">
          <w:rPr>
            <w:rStyle w:val="a5"/>
            <w:rFonts w:eastAsiaTheme="majorEastAsia"/>
            <w:bCs/>
            <w:iCs/>
            <w:color w:val="000000" w:themeColor="text1"/>
            <w:sz w:val="16"/>
            <w:szCs w:val="16"/>
            <w:bdr w:val="none" w:sz="0" w:space="0" w:color="auto" w:frame="1"/>
          </w:rPr>
          <w:t>ППШ</w:t>
        </w:r>
      </w:hyperlink>
      <w:r w:rsidRPr="00F90EAE">
        <w:rPr>
          <w:color w:val="000000" w:themeColor="text1"/>
          <w:sz w:val="16"/>
          <w:szCs w:val="16"/>
        </w:rPr>
        <w:t>.</w:t>
      </w:r>
    </w:p>
    <w:p w14:paraId="2A0CAD43"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w:t>
      </w:r>
      <w:r w:rsidRPr="00F90EAE">
        <w:rPr>
          <w:color w:val="000000" w:themeColor="text1"/>
          <w:sz w:val="16"/>
          <w:szCs w:val="16"/>
        </w:rPr>
        <w:lastRenderedPageBreak/>
        <w:t>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435FAF04"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48CA17D3"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 </w:t>
      </w:r>
      <w:hyperlink r:id="rId83" w:history="1">
        <w:r w:rsidRPr="00F90EAE">
          <w:rPr>
            <w:rStyle w:val="a5"/>
            <w:rFonts w:eastAsiaTheme="majorEastAsia"/>
            <w:bCs/>
            <w:iCs/>
            <w:color w:val="000000" w:themeColor="text1"/>
            <w:sz w:val="16"/>
            <w:szCs w:val="16"/>
            <w:bdr w:val="none" w:sz="0" w:space="0" w:color="auto" w:frame="1"/>
          </w:rPr>
          <w:t>Т-70</w:t>
        </w:r>
      </w:hyperlink>
      <w:r w:rsidRPr="00F90EAE">
        <w:rPr>
          <w:color w:val="000000" w:themeColor="text1"/>
          <w:sz w:val="16"/>
          <w:szCs w:val="16"/>
        </w:rPr>
        <w:t> 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0C00DEA9"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Проблемы выявились не только с перегревом. Работа рычагом КПП оказалась неудобной: он был слишком сильно смещён вправо, не говоря уже о том, что сильно 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186AA72E"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4E9C4283"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5BB07B46"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C76048C"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769939B6"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p>
    <w:p w14:paraId="6F47E690"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марте 1945 начались работы по реализации проекта Уралмаш-1. За этот месяц корпусной цех УЗТМ успел заложить и изготовить три корпуса, как и указывалось в приказе по НКТП №107с. Таким образом, уже в марте проектная документация по «Уралмаш-1», по крайней мере, касающаяся корпуса, уже была готова.</w:t>
      </w:r>
    </w:p>
    <w:p w14:paraId="34650E6F"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Финальный вариант корпуса «Уралмаш-1» имел немало отличий от СУ-100М2. Для начала толщина лобовой части рубки была увеличена до 120 мм, а бортовые листы рубки усилили до 90 мм. При этом существенно увеличился угол наклона бортов рубки — до 45 градусов. Это было сделано для большей стойкости бортов рубки к фланговому огню. Большое внимание к защите бортов оказалось неслучайным. Как показывали исследования поражаемости отечественной бронетанковой техники, процент попаданий, полученных от флангового огня, был высок. Поэтому, в отличие от немецких танков и САУ, советские боевые машины нового поколения предполагали высокий уровень защиты бортов. Правда, при этом создавались некоторые трудности с размещением расчёта боевого отделения. Например, для командирской башенки пришлось делать специальный прилив на левом борту рубки. Кроме того, по сравнению с СУ-100М2 снизилось число люков в крыше боевого отделения. Остались только командирская башенка и люк под панорамный прицел. Вентилятор также пришлось смещать — с центра крыши в задний правый угол (19525)</w:t>
      </w:r>
    </w:p>
    <w:p w14:paraId="23E7965C"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p>
    <w:p w14:paraId="06801FB1" w14:textId="77777777" w:rsidR="0091536A" w:rsidRPr="00F90EAE" w:rsidRDefault="0091536A" w:rsidP="00F90EAE">
      <w:pPr>
        <w:jc w:val="both"/>
        <w:rPr>
          <w:color w:val="000000" w:themeColor="text1"/>
          <w:sz w:val="16"/>
          <w:szCs w:val="16"/>
        </w:rPr>
      </w:pPr>
      <w:r w:rsidRPr="00F90EAE">
        <w:rPr>
          <w:color w:val="000000" w:themeColor="text1"/>
          <w:sz w:val="16"/>
          <w:szCs w:val="16"/>
        </w:rPr>
        <w:t>В марте 1945 было принято 250 танков ИС-2, при этом снова отмечалось улучшение их качества. С апреля объёмы производства стали постепенно снижаться, что было связано с запуском в серию долгожданного преемника — ИС-3. Хотя ни одной новой машины из 25 запланированных в апреле не приняли (хотя и собрали), для ИС-2 уже начался финальный отсчёт. В этом месяце было сдано 230 таких танков, в мае — ещё 155 ИС-2 и первые 100 ИС-3. Последние пять ИС-2 на ЧКЗ сдали в июне 1945 года.</w:t>
      </w:r>
    </w:p>
    <w:p w14:paraId="7C4C7BB9" w14:textId="77777777" w:rsidR="0091536A" w:rsidRPr="00F90EAE" w:rsidRDefault="0091536A" w:rsidP="00F90EAE">
      <w:pPr>
        <w:jc w:val="both"/>
        <w:rPr>
          <w:color w:val="000000" w:themeColor="text1"/>
          <w:sz w:val="16"/>
          <w:szCs w:val="16"/>
        </w:rPr>
      </w:pPr>
      <w:r w:rsidRPr="00F90EAE">
        <w:rPr>
          <w:color w:val="000000" w:themeColor="text1"/>
          <w:sz w:val="16"/>
          <w:szCs w:val="16"/>
        </w:rPr>
        <w:t>Кстати, машины в 1945 году подешевели: в начале января 1945 года цена на ИС-2 составляла 280 тысяч рублей, а машины, выпущенные во втором квартале 1945 года, обходились в 250 тысяч рублей за штуку.</w:t>
      </w:r>
    </w:p>
    <w:p w14:paraId="1D3371C7" w14:textId="77777777" w:rsidR="0091536A" w:rsidRPr="00F90EAE" w:rsidRDefault="0091536A" w:rsidP="00F90EAE">
      <w:pPr>
        <w:jc w:val="both"/>
        <w:rPr>
          <w:color w:val="000000" w:themeColor="text1"/>
          <w:sz w:val="16"/>
          <w:szCs w:val="16"/>
        </w:rPr>
      </w:pPr>
      <w:r w:rsidRPr="00F90EAE">
        <w:rPr>
          <w:color w:val="000000" w:themeColor="text1"/>
          <w:sz w:val="16"/>
          <w:szCs w:val="16"/>
        </w:rPr>
        <w:t>Всего с декабря 1943 по июнь 1945 года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59A0A5A6" w14:textId="77777777" w:rsidR="0091536A" w:rsidRPr="00F90EAE" w:rsidRDefault="0091536A" w:rsidP="00F90EAE">
      <w:pPr>
        <w:jc w:val="both"/>
        <w:rPr>
          <w:color w:val="000000" w:themeColor="text1"/>
          <w:sz w:val="16"/>
          <w:szCs w:val="16"/>
        </w:rPr>
      </w:pPr>
    </w:p>
    <w:p w14:paraId="02FFC0A7" w14:textId="77777777" w:rsidR="0091536A" w:rsidRPr="00F90EAE" w:rsidRDefault="0091536A" w:rsidP="00F90EAE">
      <w:pPr>
        <w:jc w:val="both"/>
        <w:rPr>
          <w:color w:val="000000" w:themeColor="text1"/>
          <w:sz w:val="16"/>
          <w:szCs w:val="16"/>
        </w:rPr>
      </w:pPr>
      <w:r w:rsidRPr="00F90EAE">
        <w:rPr>
          <w:color w:val="000000" w:themeColor="text1"/>
          <w:sz w:val="16"/>
          <w:szCs w:val="16"/>
        </w:rPr>
        <w:t>В марте 1945 ЛКЗ наконец сдал первые пять ИС-2, причём в их числе оказалась и машина, собранная ещё в сентябре 1944 года. Как ни комично прозвучит, но в Ленинграде в 1945 году были сданы танки с конструкцией лета 1944 года. Это были машины со старой лобовой деталью корпуса, да и башни для них выпустили не позднее лета 1944 года. Поскольку корпусное производство на месте освоено не было, использовался задел завода №200. Причём машины получились очень дорогими: по 350 тысяч рублей за штуку. В документах за апрель 1945 года говорилось, что окончательно машины будут сданы только в июне. Похоже, на ЛКЗ к тому времени уже поняли: с производством ИС-2 дело у них явно не клеится. Гораздо лучше дела обстояли с ИСУ-152.</w:t>
      </w:r>
    </w:p>
    <w:p w14:paraId="288E7700" w14:textId="77777777" w:rsidR="0091536A" w:rsidRPr="00F90EAE" w:rsidRDefault="0091536A" w:rsidP="00F90EAE">
      <w:pPr>
        <w:jc w:val="both"/>
        <w:rPr>
          <w:color w:val="000000" w:themeColor="text1"/>
          <w:sz w:val="16"/>
          <w:szCs w:val="16"/>
        </w:rPr>
      </w:pPr>
      <w:r w:rsidRPr="00F90EAE">
        <w:rPr>
          <w:color w:val="000000" w:themeColor="text1"/>
          <w:sz w:val="16"/>
          <w:szCs w:val="16"/>
        </w:rPr>
        <w:t>Всего в Ленинграде построили десять ИС-2: пять машин сдали в мае, а мартовские окончательно приняли в июне. После этого выпуск тяжёлых танков здесь прекратили. Второй производственной площадки для ИС-2 не появилось (18099).</w:t>
      </w:r>
    </w:p>
    <w:p w14:paraId="7C77F48B" w14:textId="77777777" w:rsidR="0091536A" w:rsidRPr="00F90EAE" w:rsidRDefault="0091536A" w:rsidP="00F90EAE">
      <w:pPr>
        <w:jc w:val="both"/>
        <w:rPr>
          <w:color w:val="000000" w:themeColor="text1"/>
          <w:sz w:val="16"/>
          <w:szCs w:val="16"/>
        </w:rPr>
      </w:pPr>
    </w:p>
    <w:p w14:paraId="20ED7C86" w14:textId="77777777" w:rsidR="0091536A" w:rsidRPr="00F90EAE" w:rsidRDefault="0091536A" w:rsidP="00F90EAE">
      <w:pPr>
        <w:jc w:val="both"/>
        <w:rPr>
          <w:color w:val="000000" w:themeColor="text1"/>
          <w:sz w:val="16"/>
          <w:szCs w:val="16"/>
        </w:rPr>
      </w:pPr>
      <w:r w:rsidRPr="00F90EAE">
        <w:rPr>
          <w:color w:val="000000" w:themeColor="text1"/>
          <w:sz w:val="16"/>
          <w:szCs w:val="16"/>
        </w:rPr>
        <w:t>В марте 1945 с огромным трудом на заводе ЛКЗ сдали пять ИС-2, да и те с корпусами завода №200, причём произведёнными ещё в первой половине 1944 года.</w:t>
      </w:r>
    </w:p>
    <w:p w14:paraId="51CED641" w14:textId="77777777" w:rsidR="0091536A" w:rsidRPr="00F90EAE" w:rsidRDefault="0091536A" w:rsidP="00F90EAE">
      <w:pPr>
        <w:jc w:val="both"/>
        <w:rPr>
          <w:color w:val="000000" w:themeColor="text1"/>
          <w:sz w:val="16"/>
          <w:szCs w:val="16"/>
        </w:rPr>
      </w:pPr>
      <w:r w:rsidRPr="00F90EAE">
        <w:rPr>
          <w:color w:val="000000" w:themeColor="text1"/>
          <w:sz w:val="16"/>
          <w:szCs w:val="16"/>
        </w:rPr>
        <w:t>В случае с ИСУ-152 ни о каких корпусах из задела не было и речи, обеспечение ими полностью легло на Ижорский завод. Общая конструкция корпуса и рубки ИСУ-152 выпуска Ижорского завода повторяла конструкцию изделий головного производителя — УЗТМ. На Ижорском заводе обошлись без литой носовой детали корпуса, как и на УЗТМ, в Ленинграде стали строить корпуса с катаными носовыми деталями корпуса. Это существенно упростило задачу, поскольку с литьём на Ижорском заводе ситуация была далеко не идеальной (18171).</w:t>
      </w:r>
    </w:p>
    <w:p w14:paraId="06FE5096" w14:textId="77777777" w:rsidR="0091536A" w:rsidRPr="00F90EAE" w:rsidRDefault="0091536A" w:rsidP="00F90EAE">
      <w:pPr>
        <w:jc w:val="both"/>
        <w:rPr>
          <w:color w:val="000000" w:themeColor="text1"/>
          <w:sz w:val="16"/>
          <w:szCs w:val="16"/>
        </w:rPr>
      </w:pPr>
    </w:p>
    <w:p w14:paraId="65663D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окончательный вид САУ с задним распо</w:t>
      </w:r>
      <w:r w:rsidRPr="00F90EAE">
        <w:rPr>
          <w:color w:val="000000" w:themeColor="text1"/>
          <w:sz w:val="16"/>
          <w:szCs w:val="16"/>
        </w:rPr>
        <w:softHyphen/>
        <w:t>ложением боевого отделения был утвержден в Техсовете НКТП и ГБТУ. Опытный образец новой САУ предписыва</w:t>
      </w:r>
      <w:r w:rsidRPr="00F90EAE">
        <w:rPr>
          <w:color w:val="000000" w:themeColor="text1"/>
          <w:sz w:val="16"/>
          <w:szCs w:val="16"/>
        </w:rPr>
        <w:softHyphen/>
        <w:t>лось изготовить к 1 мая 1945 г. Но традиционная компоновка не желала сдавать свои позиции. Видимо, характеристики и внешний вид «ягдпантеры» подстегнули НКТП к выдаче тог</w:t>
      </w:r>
      <w:r w:rsidRPr="00F90EAE">
        <w:rPr>
          <w:color w:val="000000" w:themeColor="text1"/>
          <w:sz w:val="16"/>
          <w:szCs w:val="16"/>
        </w:rPr>
        <w:softHyphen/>
        <w:t>да же заказа на разработку САУ с передним расположением боевого отделения и вооружением и бронированием, анало</w:t>
      </w:r>
      <w:r w:rsidRPr="00F90EAE">
        <w:rPr>
          <w:color w:val="000000" w:themeColor="text1"/>
          <w:sz w:val="16"/>
          <w:szCs w:val="16"/>
        </w:rPr>
        <w:softHyphen/>
        <w:t>гичным САУ «Уралмаш-1» на шасси танка Т-44. САУ полу</w:t>
      </w:r>
      <w:r w:rsidRPr="00F90EAE">
        <w:rPr>
          <w:color w:val="000000" w:themeColor="text1"/>
          <w:sz w:val="16"/>
          <w:szCs w:val="16"/>
        </w:rPr>
        <w:softHyphen/>
        <w:t>чила рабочее название «Гром-1» (СУ-100-44) или «Гром-2» (СУ-122-44). Однако весной 1945 г. в Кубинке были проведе</w:t>
      </w:r>
      <w:r w:rsidRPr="00F90EAE">
        <w:rPr>
          <w:color w:val="000000" w:themeColor="text1"/>
          <w:sz w:val="16"/>
          <w:szCs w:val="16"/>
        </w:rPr>
        <w:softHyphen/>
        <w:t>ны совместные ипытания СУ-100 и «ягдпантеры», в ходе которых вновь подтвердился тезис о нецелесообразности фронтального размещения оружия в САУ классической ком</w:t>
      </w:r>
      <w:r w:rsidRPr="00F90EAE">
        <w:rPr>
          <w:color w:val="000000" w:themeColor="text1"/>
          <w:sz w:val="16"/>
          <w:szCs w:val="16"/>
        </w:rPr>
        <w:softHyphen/>
        <w:t>поновки. Проектирование САУ «Гром» было прекращено. Самоход же «Уралмаш-1» начали изготавливать в двух эк</w:t>
      </w:r>
      <w:r w:rsidRPr="00F90EAE">
        <w:rPr>
          <w:color w:val="000000" w:themeColor="text1"/>
          <w:sz w:val="16"/>
          <w:szCs w:val="16"/>
        </w:rPr>
        <w:softHyphen/>
        <w:t>земплярах с вооружением из 100-мм орудия Д-ЮС (СУ-101) и 122-мм Д-25-44С (СУ-102). Орудие Д-25-44С отличалось от Д-25С унитарным выстрелом (по типу Д-25-44 танка Т-44). Казалось, машину ждал путь, увитый лаврами, но при испы</w:t>
      </w:r>
      <w:r w:rsidRPr="00F90EAE">
        <w:rPr>
          <w:color w:val="000000" w:themeColor="text1"/>
          <w:sz w:val="16"/>
          <w:szCs w:val="16"/>
        </w:rPr>
        <w:softHyphen/>
        <w:t>тании корпуса первой САУ обстрелом военные сочли его не</w:t>
      </w:r>
      <w:r w:rsidRPr="00F90EAE">
        <w:rPr>
          <w:color w:val="000000" w:themeColor="text1"/>
          <w:sz w:val="16"/>
          <w:szCs w:val="16"/>
        </w:rPr>
        <w:softHyphen/>
        <w:t>достаточно прочным в кормовой части. Кормовая броня тол</w:t>
      </w:r>
      <w:r w:rsidRPr="00F90EAE">
        <w:rPr>
          <w:color w:val="000000" w:themeColor="text1"/>
          <w:sz w:val="16"/>
          <w:szCs w:val="16"/>
        </w:rPr>
        <w:softHyphen/>
        <w:t>щиной 30 мм была прорвана разрывом 122-мм фугасной гра</w:t>
      </w:r>
      <w:r w:rsidRPr="00F90EAE">
        <w:rPr>
          <w:color w:val="000000" w:themeColor="text1"/>
          <w:sz w:val="16"/>
          <w:szCs w:val="16"/>
        </w:rPr>
        <w:softHyphen/>
        <w:t>наты с расстояния 300 м, а эвакуационная дверь для экипажа была сорвана с петель. Однако Л.И. Горлицкий отказался увеличивать свыше 45 мм толщину кормовой брони, аргу</w:t>
      </w:r>
      <w:r w:rsidRPr="00F90EAE">
        <w:rPr>
          <w:color w:val="000000" w:themeColor="text1"/>
          <w:sz w:val="16"/>
          <w:szCs w:val="16"/>
        </w:rPr>
        <w:softHyphen/>
        <w:t>ментировав, что попадания в корму столь мощных фугасных гранат в реальном бою чрезвычайно редки, а утяжеление ни</w:t>
      </w:r>
      <w:r w:rsidRPr="00F90EAE">
        <w:rPr>
          <w:color w:val="000000" w:themeColor="text1"/>
          <w:sz w:val="16"/>
          <w:szCs w:val="16"/>
        </w:rPr>
        <w:softHyphen/>
        <w:t>когда не сказывалось на машине положительно. Представитель заказчика пытался настаивать на своем, но в результате некоторых уступок конструкторы победили (11417).</w:t>
      </w:r>
    </w:p>
    <w:p w14:paraId="1E4766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4232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w:t>
      </w:r>
      <w:r w:rsidRPr="00F90EAE">
        <w:rPr>
          <w:color w:val="000000" w:themeColor="text1"/>
          <w:sz w:val="16"/>
          <w:szCs w:val="16"/>
        </w:rPr>
        <w:softHyphen/>
        <w:t>те 1945 года пушка ЛБ-1 на Т-34-100 была заменена на пушку Д-10Т такого же калибра. В период с 6 по 27 апреля совместно с танком Т-34, оснащен</w:t>
      </w:r>
      <w:r w:rsidRPr="00F90EAE">
        <w:rPr>
          <w:color w:val="000000" w:themeColor="text1"/>
          <w:sz w:val="16"/>
          <w:szCs w:val="16"/>
        </w:rPr>
        <w:softHyphen/>
        <w:t xml:space="preserve">ным 100-мм пушкой ЛБ-1 (ОКБ завода № 92), машина успешно прошла сравнительные испытания на ГАНИОПс. В связи с тем, что 100-мм пушка рассматривалась в качестве </w:t>
      </w:r>
      <w:r w:rsidRPr="00F90EAE">
        <w:rPr>
          <w:color w:val="000000" w:themeColor="text1"/>
          <w:sz w:val="16"/>
          <w:szCs w:val="16"/>
        </w:rPr>
        <w:lastRenderedPageBreak/>
        <w:t>основного оружия для среднего тан</w:t>
      </w:r>
      <w:r w:rsidRPr="00F90EAE">
        <w:rPr>
          <w:color w:val="000000" w:themeColor="text1"/>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F90EAE">
        <w:rPr>
          <w:color w:val="000000" w:themeColor="text1"/>
          <w:sz w:val="16"/>
          <w:szCs w:val="16"/>
        </w:rPr>
        <w:softHyphen/>
        <w:t>мышленностью не поднимался. Танк на вооружение не принимался и в серийном производстве не состоял (10703).</w:t>
      </w:r>
    </w:p>
    <w:p w14:paraId="44030F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47344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Т-34-100 с орудием ЛБ-1 в штатной башне Т-34/85 был отправлен для проведения фронтовых испытаний Курляндию. В 1945 году при предпринимались попытки также установить на Т-34 100-мм пушки ЗИС-100 и 100-мм орудие Д-10-34. Существовало как минимум два прототипа: Т-34/100 со штатной башней Т-34/85 и Т-34/100 с большой башней, для установки которой пришлось даже немного переконструировать корпус. Танки на вооружение приняты не были и в боях не участвовали. (3862).</w:t>
      </w:r>
    </w:p>
    <w:p w14:paraId="1516D689" w14:textId="77777777" w:rsidR="00665165" w:rsidRPr="00F90EAE" w:rsidRDefault="00665165" w:rsidP="00F90EAE">
      <w:pPr>
        <w:autoSpaceDE w:val="0"/>
        <w:autoSpaceDN w:val="0"/>
        <w:adjustRightInd w:val="0"/>
        <w:jc w:val="both"/>
        <w:rPr>
          <w:color w:val="000000" w:themeColor="text1"/>
          <w:sz w:val="16"/>
          <w:szCs w:val="16"/>
        </w:rPr>
      </w:pPr>
    </w:p>
    <w:p w14:paraId="28311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100-мм нарезную пушку Д- 100Т была установлена в опытный танк Т-34-100 вместо пушки ЛБ-1. Обе пушки испытания выдержали, причем лучшие результаты по удобству обслуживания и отработке от</w:t>
      </w:r>
      <w:r w:rsidRPr="00F90EAE">
        <w:rPr>
          <w:color w:val="000000" w:themeColor="text1"/>
          <w:sz w:val="16"/>
          <w:szCs w:val="16"/>
        </w:rPr>
        <w:softHyphen/>
        <w:t>дельных узлов показала пушка ЛБ-1. Сравнительные испытания пушек продолжались на опытных средних танках Т-44-100, в результате чего предпочтение было отдано пушке Д-10Т, не имевшей дульного тормоза и наилучшим образом подходившей для вооружения перспективного в то время танка Т-54 910703).</w:t>
      </w:r>
    </w:p>
    <w:p w14:paraId="7DD60984" w14:textId="77777777" w:rsidR="00665165" w:rsidRPr="00F90EAE" w:rsidRDefault="00665165" w:rsidP="00F90EAE">
      <w:pPr>
        <w:autoSpaceDE w:val="0"/>
        <w:autoSpaceDN w:val="0"/>
        <w:adjustRightInd w:val="0"/>
        <w:jc w:val="both"/>
        <w:rPr>
          <w:color w:val="000000" w:themeColor="text1"/>
          <w:sz w:val="16"/>
          <w:szCs w:val="16"/>
        </w:rPr>
      </w:pPr>
    </w:p>
    <w:p w14:paraId="07DEDCF5" w14:textId="77777777" w:rsidR="00BD44E6" w:rsidRPr="00F90EAE" w:rsidRDefault="00BD44E6" w:rsidP="00F90E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F90EAE">
        <w:rPr>
          <w:rFonts w:ascii="Times New Roman" w:hAnsi="Times New Roman" w:cs="Times New Roman"/>
          <w:color w:val="0070C0"/>
          <w:spacing w:val="0"/>
          <w:sz w:val="16"/>
          <w:szCs w:val="16"/>
        </w:rPr>
        <w:t>В марте 1945 года Нижнетагильский завод №183 начал выпускать ведущие колеса диаметром 650 мм вместо обычных 634 мм. Диаметр окружности осей роликов при этом не менялся и был равен тем же 492 мм, что и на ведущих колесах старого типа. Диаметр колеса увеличили для улучшения условий работы гусеницы и снижения износа гребней траков. Дело в том, что шаг трака равнялся 172 мм только на новых деталях, но в ходе эксплуатации отверстия под пальцы и они сами довольно быстро изнашивались и деформировались, увеличивая это значение. В результате ролики ведущего колеса начи</w:t>
      </w:r>
      <w:r w:rsidRPr="00F90EAE">
        <w:rPr>
          <w:rFonts w:ascii="Times New Roman" w:hAnsi="Times New Roman" w:cs="Times New Roman"/>
          <w:color w:val="0070C0"/>
          <w:spacing w:val="0"/>
          <w:sz w:val="16"/>
          <w:szCs w:val="16"/>
        </w:rPr>
        <w:softHyphen/>
        <w:t>нали зацеплять гребни ближе к основанию и с более резкими ударами. Омский завод №174 колеса диаметром 650 мм, видимо, не производил, но при ремонтах иногда само</w:t>
      </w:r>
      <w:r w:rsidRPr="00F90EAE">
        <w:rPr>
          <w:rFonts w:ascii="Times New Roman" w:hAnsi="Times New Roman" w:cs="Times New Roman"/>
          <w:color w:val="0070C0"/>
          <w:spacing w:val="0"/>
          <w:sz w:val="16"/>
          <w:szCs w:val="16"/>
        </w:rPr>
        <w:softHyphen/>
        <w:t>ходки получали такие колеса завода №183.</w:t>
      </w:r>
    </w:p>
    <w:p w14:paraId="0BCF5AFB" w14:textId="77777777" w:rsidR="00BD44E6" w:rsidRPr="00F90EAE" w:rsidRDefault="00BD44E6" w:rsidP="00F90EAE">
      <w:pPr>
        <w:pStyle w:val="17"/>
        <w:shd w:val="clear" w:color="auto" w:fill="auto"/>
        <w:spacing w:before="0" w:line="240" w:lineRule="auto"/>
        <w:ind w:firstLine="0"/>
        <w:jc w:val="both"/>
        <w:rPr>
          <w:rFonts w:ascii="Times New Roman" w:hAnsi="Times New Roman" w:cs="Times New Roman"/>
          <w:color w:val="0070C0"/>
          <w:spacing w:val="0"/>
          <w:sz w:val="16"/>
          <w:szCs w:val="16"/>
        </w:rPr>
      </w:pPr>
      <w:r w:rsidRPr="00F90EAE">
        <w:rPr>
          <w:rFonts w:ascii="Times New Roman" w:hAnsi="Times New Roman" w:cs="Times New Roman"/>
          <w:color w:val="0070C0"/>
          <w:spacing w:val="0"/>
          <w:sz w:val="16"/>
          <w:szCs w:val="16"/>
        </w:rPr>
        <w:t>Колпаки ступиц опорных катков получили в центральной части болты-пробки с шайбами для упрощения смазки подшипников. Нижне</w:t>
      </w:r>
      <w:r w:rsidRPr="00F90EAE">
        <w:rPr>
          <w:rFonts w:ascii="Times New Roman" w:hAnsi="Times New Roman" w:cs="Times New Roman"/>
          <w:color w:val="0070C0"/>
          <w:spacing w:val="0"/>
          <w:sz w:val="16"/>
          <w:szCs w:val="16"/>
        </w:rPr>
        <w:softHyphen/>
        <w:t>тагильский завод №183 ввел это новшество на своих Т-34-85 еще с 3 октября 1945 года, последние машины завода №174, видимо, уже получали такие колпаки на сборочной линии, но массово на всех СУ-100 они появляются только в 1950-51 гг. при ремонтах (19931).</w:t>
      </w:r>
    </w:p>
    <w:p w14:paraId="2CE1F699" w14:textId="77777777" w:rsidR="00BD44E6" w:rsidRPr="00F90EAE" w:rsidRDefault="00BD44E6" w:rsidP="00F90EAE">
      <w:pPr>
        <w:pStyle w:val="17"/>
        <w:shd w:val="clear" w:color="auto" w:fill="auto"/>
        <w:spacing w:before="0" w:line="240" w:lineRule="auto"/>
        <w:ind w:firstLine="0"/>
        <w:jc w:val="both"/>
        <w:rPr>
          <w:rFonts w:ascii="Times New Roman" w:hAnsi="Times New Roman" w:cs="Times New Roman"/>
          <w:color w:val="0070C0"/>
          <w:spacing w:val="0"/>
          <w:sz w:val="16"/>
          <w:szCs w:val="16"/>
        </w:rPr>
      </w:pPr>
    </w:p>
    <w:p w14:paraId="17380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после проведенной доработки опыт</w:t>
      </w:r>
      <w:r w:rsidRPr="00F90EAE">
        <w:rPr>
          <w:color w:val="000000" w:themeColor="text1"/>
          <w:sz w:val="16"/>
          <w:szCs w:val="16"/>
        </w:rPr>
        <w:softHyphen/>
        <w:t>ный образец танка Т-54 прибыл для испытаний в подмосковную Кубинку на НИБТ полигон ГБТУ. Полигонные испытания мак шины закончились в первой половине апреля 1945 г., по результатам ко</w:t>
      </w:r>
      <w:r w:rsidRPr="00F90EAE">
        <w:rPr>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5AE7DA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BA6835E"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марте 1945 года была представлена Финальная версия проекта СУ-100М2. По итогам доработок и усиления бронирования боевая масса выросла до 32,4 т. Несмотря на это, руководство НКТП оценило новую разработку КБ УЗТМ. 7 марта 1945 года был подписан приказ по НКТП №107с, согласно которому проект утвердили, присвоив ему обозначение «Уралмаш-1». Согласно приказу, к 1 мая предполагалось получить первый образец, вооружённый 100-мм орудием Д-10С, он получал индекс СУ-101. К 15 мая изготовлялся второй образец, имевший индекс СУ-102, он получал 122-мм орудие Д-25с. Также изготовлялся корпус «Уралмаш-1», предназначавшийся для обстрела. В проект вносились последние изменения перед изготовлением. Перерабатывалась система охлаждения и вентиляция боевого отделения, изолировалось моторно-трансмиссионное отделение, боекомплект возрастал до 40 выстрелов, усиливалась подвеска и повышалась броневая защита орудия, а также нижнего лобового листа (19525).</w:t>
      </w:r>
    </w:p>
    <w:p w14:paraId="0E0A6CEA" w14:textId="77777777" w:rsidR="00BA1885" w:rsidRPr="00F90EAE" w:rsidRDefault="00BA1885" w:rsidP="00F90EAE">
      <w:pPr>
        <w:pStyle w:val="ae"/>
        <w:shd w:val="clear" w:color="auto" w:fill="FFFFFF"/>
        <w:spacing w:before="0" w:after="0"/>
        <w:jc w:val="both"/>
        <w:textAlignment w:val="baseline"/>
        <w:rPr>
          <w:color w:val="000000" w:themeColor="text1"/>
          <w:sz w:val="16"/>
          <w:szCs w:val="16"/>
        </w:rPr>
      </w:pPr>
    </w:p>
    <w:p w14:paraId="41011696" w14:textId="77777777" w:rsidR="00483606" w:rsidRPr="00F90EAE" w:rsidRDefault="00483606"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В марте 1945 года первые M4A2E8 поступили в Советский Союз. Эти машины прибыли с конвоем JW-65 — в нём, к слову, шёл транспорт SS Thomas Donaldson, с которого не так давно </w:t>
      </w:r>
      <w:hyperlink r:id="rId84" w:history="1">
        <w:r w:rsidRPr="00F90EAE">
          <w:rPr>
            <w:rStyle w:val="a5"/>
            <w:color w:val="000000" w:themeColor="text1"/>
            <w:sz w:val="16"/>
            <w:szCs w:val="16"/>
            <w:u w:val="none"/>
          </w:rPr>
          <w:t>подняли несколько M4A2(76)W</w:t>
        </w:r>
      </w:hyperlink>
      <w:r w:rsidRPr="00F90EAE">
        <w:rPr>
          <w:color w:val="000000" w:themeColor="text1"/>
          <w:sz w:val="16"/>
          <w:szCs w:val="16"/>
        </w:rPr>
        <w:t>. Всего с конвоем JW-65 пришло 34 M4A2E8, почти все из них направили в Горьковский АБТ Центр. Танк с регистрационным номером U.S.A. 30122430, прибывший в Мурманск 21 марта вместе с семью M4A2E8 на борту транспорта SS Eleazar Lord (</w:t>
      </w:r>
      <w:hyperlink r:id="rId85" w:history="1">
        <w:r w:rsidRPr="00F90EAE">
          <w:rPr>
            <w:rStyle w:val="a5"/>
            <w:color w:val="000000" w:themeColor="text1"/>
            <w:sz w:val="16"/>
            <w:szCs w:val="16"/>
          </w:rPr>
          <w:t>типа Liberty</w:t>
        </w:r>
      </w:hyperlink>
      <w:r w:rsidRPr="00F90EAE">
        <w:rPr>
          <w:color w:val="000000" w:themeColor="text1"/>
          <w:sz w:val="16"/>
          <w:szCs w:val="16"/>
        </w:rPr>
        <w:t>), 25 марта был отправлен на НИБТ Полигон в Кубинку. 3 апреля была утверждена программа испытаний «М4А2-76 мм с модернизированной ходовой частью». Машина должна была пройти 1000 километров, из них 350 по булыжному и щебёночному шоссе, 400 по грунтовым и просёлочным дорогам, 200 по целине. 50 километров оставалось на специспытания (17725).</w:t>
      </w:r>
    </w:p>
    <w:p w14:paraId="61CC6091" w14:textId="77777777" w:rsidR="00483606" w:rsidRPr="00F90EAE" w:rsidRDefault="00483606" w:rsidP="00F90EAE">
      <w:pPr>
        <w:jc w:val="both"/>
        <w:rPr>
          <w:rStyle w:val="107"/>
          <w:rFonts w:eastAsiaTheme="minorHAnsi"/>
          <w:color w:val="000000" w:themeColor="text1"/>
          <w:sz w:val="16"/>
          <w:szCs w:val="16"/>
        </w:rPr>
      </w:pPr>
    </w:p>
    <w:p w14:paraId="78A17FFA" w14:textId="77777777" w:rsidR="00EE671E" w:rsidRPr="00F90EAE" w:rsidRDefault="00EE671E" w:rsidP="00F90EAE">
      <w:pPr>
        <w:jc w:val="both"/>
        <w:rPr>
          <w:color w:val="000000" w:themeColor="text1"/>
          <w:sz w:val="16"/>
          <w:szCs w:val="16"/>
        </w:rPr>
      </w:pPr>
      <w:r w:rsidRPr="00F90EAE">
        <w:rPr>
          <w:color w:val="000000" w:themeColor="text1"/>
          <w:sz w:val="16"/>
          <w:szCs w:val="16"/>
        </w:rPr>
        <w:t>В марте 1945 года из трёх прибывших образцов Armoured Snowmobile Mk.I один направился на НИБТ Полигон в подмосковную Кубинку. Снегоходу предстояло пройти 1500 км, из них 300 км по дорогам и 1200 км по снежному покрову. Условия испытаний больше напоминали тестирование не снегохода, а как минимум бронетранспортёра: машине предстояло пройти там, где обычно прогоняли гусеничную бронетехнику. Также предстояли совместные испытания с одноклассником — штабными аэросанями НКЛ-38 (18251).</w:t>
      </w:r>
    </w:p>
    <w:p w14:paraId="66B789D6" w14:textId="77777777" w:rsidR="00EE671E" w:rsidRPr="00F90EAE" w:rsidRDefault="00EE671E" w:rsidP="00F90EAE">
      <w:pPr>
        <w:jc w:val="both"/>
        <w:rPr>
          <w:color w:val="000000" w:themeColor="text1"/>
          <w:sz w:val="16"/>
          <w:szCs w:val="16"/>
        </w:rPr>
      </w:pPr>
    </w:p>
    <w:p w14:paraId="2A2FC5DD" w14:textId="77777777" w:rsidR="00400D43" w:rsidRPr="00F90EAE" w:rsidRDefault="00400D43" w:rsidP="00F90EAE">
      <w:pPr>
        <w:jc w:val="both"/>
        <w:rPr>
          <w:color w:val="000000" w:themeColor="text1"/>
          <w:sz w:val="16"/>
          <w:szCs w:val="16"/>
        </w:rPr>
      </w:pPr>
      <w:r w:rsidRPr="00F90EAE">
        <w:rPr>
          <w:color w:val="000000" w:themeColor="text1"/>
          <w:sz w:val="16"/>
          <w:szCs w:val="16"/>
        </w:rPr>
        <w:t>В марте 1945 г. вышел приказ 2-го ГУ НКЭП, который предусматривал проведение комплексно-типовых испытаний серийной продукции, выпускаемой радиотехническими предприятиями, на базе НИИ-20 НКЭП. Директора заводов обязывались ежеквартально высылать туда один экземпляр образца серийной радиоаппаратуры в стандартной упаковке и в комплекте со всею эксплуатационно-технической документацией (18297).</w:t>
      </w:r>
    </w:p>
    <w:p w14:paraId="05C67113" w14:textId="77777777" w:rsidR="00400D43" w:rsidRPr="00F90EAE" w:rsidRDefault="00400D43" w:rsidP="00F90EAE">
      <w:pPr>
        <w:jc w:val="both"/>
        <w:rPr>
          <w:color w:val="000000" w:themeColor="text1"/>
          <w:sz w:val="16"/>
          <w:szCs w:val="16"/>
        </w:rPr>
      </w:pPr>
    </w:p>
    <w:p w14:paraId="28ECABD0" w14:textId="77777777" w:rsidR="00483606" w:rsidRPr="00F90EAE" w:rsidRDefault="00483606" w:rsidP="00F90EAE">
      <w:pPr>
        <w:jc w:val="both"/>
        <w:rPr>
          <w:color w:val="000000" w:themeColor="text1"/>
          <w:sz w:val="16"/>
          <w:szCs w:val="16"/>
        </w:rPr>
      </w:pPr>
      <w:r w:rsidRPr="00F90EAE">
        <w:rPr>
          <w:color w:val="000000" w:themeColor="text1"/>
          <w:sz w:val="16"/>
          <w:szCs w:val="16"/>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Кроме того, в СССР было вывезено около 8000 германских специалистов в областях вооружений, физики, ракетной техники, химии и др. Немецкие предприятия демонтировались, составлялась точная опись имущества и оборудования, погружались в вагоны и отправлялись в Россию.</w:t>
      </w:r>
    </w:p>
    <w:p w14:paraId="1A881019" w14:textId="77777777" w:rsidR="00483606" w:rsidRPr="00F90EAE" w:rsidRDefault="00483606" w:rsidP="00F90EAE">
      <w:pPr>
        <w:jc w:val="both"/>
        <w:rPr>
          <w:color w:val="000000" w:themeColor="text1"/>
          <w:sz w:val="16"/>
          <w:szCs w:val="16"/>
        </w:rPr>
      </w:pPr>
      <w:r w:rsidRPr="00F90EAE">
        <w:rPr>
          <w:color w:val="000000" w:themeColor="text1"/>
          <w:sz w:val="16"/>
          <w:szCs w:val="16"/>
        </w:rPr>
        <w:t>На Ялтинской и Потсдамской конференциях 1945 года И.В. Сталин предложил установить для Германии общую сумму репараций в размере 20 миллиардов долларов, половину этой суммы должен был получить Советский Союз как государство, внесшее самый большой вклад в Победу и больше всех от войны пострадавшее (17749).</w:t>
      </w:r>
    </w:p>
    <w:p w14:paraId="70DE5822" w14:textId="77777777" w:rsidR="00483606" w:rsidRPr="00F90EAE" w:rsidRDefault="00483606" w:rsidP="00F90EAE">
      <w:pPr>
        <w:jc w:val="both"/>
        <w:rPr>
          <w:color w:val="000000" w:themeColor="text1"/>
          <w:sz w:val="16"/>
          <w:szCs w:val="16"/>
        </w:rPr>
      </w:pPr>
    </w:p>
    <w:p w14:paraId="1CE81461" w14:textId="77777777" w:rsidR="00400D43" w:rsidRPr="00F90EAE" w:rsidRDefault="00400D43" w:rsidP="00F90EAE">
      <w:pPr>
        <w:jc w:val="both"/>
        <w:rPr>
          <w:color w:val="000000" w:themeColor="text1"/>
          <w:sz w:val="16"/>
          <w:szCs w:val="16"/>
        </w:rPr>
      </w:pPr>
      <w:r w:rsidRPr="00F90EAE">
        <w:rPr>
          <w:color w:val="000000" w:themeColor="text1"/>
          <w:sz w:val="16"/>
          <w:szCs w:val="16"/>
        </w:rPr>
        <w:t>Март 1945. Московский металлургический завод "Серп и молот" приступил к изготовлению деталей для газовых кухонных плит, которые потребуются для москвичей по окончании строительства газопровода "Саратов - Москва" (18688).</w:t>
      </w:r>
    </w:p>
    <w:p w14:paraId="0E6282D1" w14:textId="77777777" w:rsidR="00400D43" w:rsidRPr="00F90EAE" w:rsidRDefault="00400D43" w:rsidP="00F90EAE">
      <w:pPr>
        <w:jc w:val="both"/>
        <w:rPr>
          <w:color w:val="000000" w:themeColor="text1"/>
          <w:sz w:val="16"/>
          <w:szCs w:val="16"/>
        </w:rPr>
      </w:pPr>
    </w:p>
    <w:p w14:paraId="74413A87" w14:textId="77777777" w:rsidR="00400D43" w:rsidRPr="00F90EAE" w:rsidRDefault="00400D43" w:rsidP="00F90EAE">
      <w:pPr>
        <w:pStyle w:val="rtejustify"/>
        <w:shd w:val="clear" w:color="auto" w:fill="FFFFFF"/>
        <w:spacing w:before="0" w:after="0"/>
        <w:rPr>
          <w:color w:val="000000" w:themeColor="text1"/>
          <w:sz w:val="16"/>
          <w:szCs w:val="16"/>
        </w:rPr>
      </w:pPr>
      <w:r w:rsidRPr="00F90EAE">
        <w:rPr>
          <w:color w:val="000000" w:themeColor="text1"/>
          <w:sz w:val="16"/>
          <w:szCs w:val="16"/>
          <w:shd w:val="clear" w:color="auto" w:fill="FFFFFF"/>
        </w:rPr>
        <w:t>После марта 1945 года за один год высшие органы власти Советского Союза приняли около тысячи решений, относящихся к демонтажу 4389 предприятий из Германии, Австрии, Венгрии и других европейских стран. Также около тысячи заводов было перевезено в СССР из Маньчжурии и Кореи. Однако все это не идет ни в какое сравнение с количеством уничтоженных заводов за время войны. Количество демонтированных СССР немецких предприятий составило меньше 14% от довоенного числа заводов. По данным Николая Вознесенского, тогдашнего председателя Госплана СССР, поставками трофейного оборудования из Германии было покрыто только 0,6% прямого ущерба СССР (19848).</w:t>
      </w:r>
    </w:p>
    <w:p w14:paraId="056F4C80" w14:textId="77777777" w:rsidR="00400D43" w:rsidRPr="00F90EAE" w:rsidRDefault="00400D43" w:rsidP="00F90EAE">
      <w:pPr>
        <w:pStyle w:val="rtejustify"/>
        <w:shd w:val="clear" w:color="auto" w:fill="FFFFFF"/>
        <w:spacing w:before="0" w:after="0"/>
        <w:rPr>
          <w:color w:val="000000" w:themeColor="text1"/>
          <w:sz w:val="16"/>
          <w:szCs w:val="16"/>
        </w:rPr>
      </w:pPr>
    </w:p>
    <w:p w14:paraId="19D67CEE" w14:textId="77777777" w:rsidR="00400D43" w:rsidRPr="00F90EAE" w:rsidRDefault="00400D43" w:rsidP="00F90EAE">
      <w:pPr>
        <w:pStyle w:val="rtejustify"/>
        <w:shd w:val="clear" w:color="auto" w:fill="FFFFFF"/>
        <w:spacing w:before="0" w:after="0"/>
        <w:rPr>
          <w:color w:val="000000" w:themeColor="text1"/>
          <w:sz w:val="16"/>
          <w:szCs w:val="16"/>
        </w:rPr>
      </w:pPr>
      <w:r w:rsidRPr="00F90EAE">
        <w:rPr>
          <w:color w:val="000000" w:themeColor="text1"/>
          <w:sz w:val="16"/>
          <w:szCs w:val="16"/>
          <w:shd w:val="clear" w:color="auto" w:fill="FFFFFF"/>
        </w:rPr>
        <w:t>С марта 1945 по март 1946 г. были приняты решения о демонтаже более 4000 промышленных предприятий: 2885 из Германии, 1137 — немецких предприятий Польши, 206 — Австрии, 11 — Венгрии, 54 — Чехословакии. Демонтаж основного оборудования был осуществлён на 3474 объектах, было изъято 1 118 000 единиц оборудования: металлорежущих станков 339 000 штук, прессов и молотов 44 000 штук и электромоторов 202 000 штук. Из чисто военных заводов в советской зоне демонтировали 67, уничтожили 170, переоборудовали для выпуска мирной продукции 8 (19849).</w:t>
      </w:r>
    </w:p>
    <w:p w14:paraId="5483734D" w14:textId="77777777" w:rsidR="00400D43" w:rsidRPr="00F90EAE" w:rsidRDefault="00400D43" w:rsidP="00F90EAE">
      <w:pPr>
        <w:pStyle w:val="rtejustify"/>
        <w:shd w:val="clear" w:color="auto" w:fill="FFFFFF"/>
        <w:spacing w:before="0" w:after="0"/>
        <w:rPr>
          <w:color w:val="000000" w:themeColor="text1"/>
          <w:sz w:val="16"/>
          <w:szCs w:val="16"/>
        </w:rPr>
      </w:pPr>
    </w:p>
    <w:p w14:paraId="51EB3D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И.В. Курчатов после рассмотрения новой информации об атомной программе США отметил, что атомная бомба может быть приведена в действие двумя способами:</w:t>
      </w:r>
    </w:p>
    <w:p w14:paraId="48AA9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быстрым сближением двух половин заряда урана-235 или плутония-239, находящихся первоначально на расстоянии 0,5-1 метра друг от друга;</w:t>
      </w:r>
    </w:p>
    <w:p w14:paraId="5494F6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уплотнением зарядов урана-235 или плутония-239 мощным взрывом тротила, окружающего эти вещества (10549).</w:t>
      </w:r>
    </w:p>
    <w:p w14:paraId="71C684C2" w14:textId="77777777" w:rsidR="00665165" w:rsidRPr="00F90EAE" w:rsidRDefault="00665165" w:rsidP="00F90EAE">
      <w:pPr>
        <w:autoSpaceDE w:val="0"/>
        <w:autoSpaceDN w:val="0"/>
        <w:adjustRightInd w:val="0"/>
        <w:jc w:val="both"/>
        <w:rPr>
          <w:color w:val="000000" w:themeColor="text1"/>
          <w:sz w:val="16"/>
          <w:szCs w:val="16"/>
        </w:rPr>
      </w:pPr>
    </w:p>
    <w:p w14:paraId="67DFF37F" w14:textId="77777777" w:rsidR="00546AC2" w:rsidRPr="00F90EAE" w:rsidRDefault="00546AC2" w:rsidP="00F90EAE">
      <w:pPr>
        <w:pStyle w:val="book"/>
        <w:ind w:firstLine="0"/>
        <w:jc w:val="both"/>
        <w:rPr>
          <w:color w:val="000000" w:themeColor="text1"/>
          <w:sz w:val="16"/>
          <w:szCs w:val="16"/>
        </w:rPr>
      </w:pPr>
      <w:r w:rsidRPr="00F90EAE">
        <w:rPr>
          <w:color w:val="000000" w:themeColor="text1"/>
          <w:sz w:val="16"/>
          <w:szCs w:val="16"/>
        </w:rPr>
        <w:t xml:space="preserve">В марте 1945 г. крейсер «Лютцов» находился в военно-морской базе Свинемюнде. «Лютцов, как и два аналогичных крейсера, имел шесть 280-мм орудий, за что его называли «карманным линкором» (pocket battleships). До 15 ноября 1939 г. он носил имя «Deutschland», а затем был переименован в «Лютцов», поскольку продажа его «тезки» была уже предрешена. 20 марта союзная англо-американская авиация подвергла город и базу очередной бомбардировке. Во время нее в корабль попало две авиабомбы крупного калибра, в результате чего он вышел из строя и в море уже больше не выходил. С корабля была частично демонтирована зенитная артиллерия, затем использовавшаяся на сухопутном фронте. Перед взятием города войсками 2-го Белорусского фронта немцы серьезно повредили корабль. При осмотре «Лютцова» советскими специалистами выяснилось, что обе башни главного калибра разрушены взрывом, артиллерия среднего калибра (15-см) была исправна, три отсека (V, VI и VII) оказались затопленными водой по ватерлинию и т.д. Водолазы обнаружили пять пробоин в корпусе ниже ватерлинии. Наши специалисты очень </w:t>
      </w:r>
      <w:r w:rsidRPr="00F90EAE">
        <w:rPr>
          <w:color w:val="000000" w:themeColor="text1"/>
          <w:sz w:val="16"/>
          <w:szCs w:val="16"/>
        </w:rPr>
        <w:lastRenderedPageBreak/>
        <w:t>удивились, что корабль все же оставался на плаву, хотя и немного касался кормой грунта. Весной 1946 г. аварийно-спасательная служба Юго-Балтийского флота заделала пробоины и откачала воду из затопленных отсеков корабля. 26 сентября 1946 г. крейсер был зачислен в состав ВМФ СССР. 19 марта 1947 г. вышло Постановление Совмина № 601—209сс «об уничтожении в 1947 г. бывших немецких кораблей категории "С"» (15225).</w:t>
      </w:r>
    </w:p>
    <w:p w14:paraId="158D3411" w14:textId="77777777" w:rsidR="00546AC2" w:rsidRPr="00F90EAE" w:rsidRDefault="00546AC2" w:rsidP="00F90EAE">
      <w:pPr>
        <w:pStyle w:val="book"/>
        <w:ind w:firstLine="0"/>
        <w:jc w:val="both"/>
        <w:rPr>
          <w:color w:val="000000" w:themeColor="text1"/>
          <w:sz w:val="16"/>
          <w:szCs w:val="16"/>
        </w:rPr>
      </w:pPr>
    </w:p>
    <w:p w14:paraId="65133D5A" w14:textId="77777777" w:rsidR="00546AC2" w:rsidRPr="00F90EAE" w:rsidRDefault="00546AC2" w:rsidP="00F90EAE">
      <w:pPr>
        <w:pStyle w:val="book"/>
        <w:ind w:firstLine="0"/>
        <w:jc w:val="both"/>
        <w:rPr>
          <w:color w:val="000000" w:themeColor="text1"/>
          <w:sz w:val="16"/>
          <w:szCs w:val="16"/>
        </w:rPr>
      </w:pPr>
      <w:r w:rsidRPr="00F90EAE">
        <w:rPr>
          <w:color w:val="000000" w:themeColor="text1"/>
          <w:sz w:val="16"/>
          <w:szCs w:val="16"/>
        </w:rPr>
        <w:t>В марте 1945 г. плавбаза «Ганза» на переходе из Восточной Пруссии подорвалась на мине. Судно попыталось своим ходом дойти до Варнемюнде, но, не дойдя всего 9 миль, натолкнулось поврежденным носом на затонувшую баржу и село на мель. Позже лайнер опрокинулся и лег на дно левым бортом. Его заложили 24 августа 1921 г. на верфи «Блом и Фосс» в Гамбурге под названием «Альберт Балин». Длина лайнера составляла 205 м, вместимость 20 815 брт, две паровые турбины общей мощностью 12 500 л.с, допускавшие ход до 19 узлов. Лайнер мог принимать 250 пассажиров в 1-й класс, 340 пассажиров во 2-й класс и 960 пассажиров в 3-й класс. Судно было оснащено пассивными успокоителями качки (цистернами Фрама), оно было очень устойчивым на волнении, что, разумеется, понравилось пассажирам и давало лайнеру огромное преимущество. Такие лайнеры называли «судами без морской болезни». В 1935 г. лайнер получил новое название — «Ганза». Переименования потребовали деятели национал-социалистической партии, поскольку выяснилось, что основатель фирмы Альбер Балин, в честь которого назвали лайнер, был евреем. С началом Второй мировой войны, в 1939 г., «Ганза» был мобилизован и использовался как плавбаза в составе германского ВМФ. В 1947 г. аварийно-спасательная служба Балтийского флота обследовала затонувшую «Ганзу», после чего было принято решение о ее подъеме. Операция эта обещала быть сложной, поскольку судно оказалось сильно заиленным, а из-за малых глубин постановка его на ровный киль была проблематичной. Работы длились почти два года, и только 15 декабря 1949 г. судно, наконец, подняли и отвели в Варнемюнде, где на верфи «Warnow Werft» произвели восстановительный ремонт. Из-за отсутствия в Варнемюнде дока достаточной величины корпусные работы провели в Антверпене (Бельгия) на верфи «John Cockerill» с 11 августа 1950 г. по 8 июня 1951 г. Реконструкция машинного отделения, надстройки и восстановление помещений на «Warnow Werft» в Варнемюнде продолжались еще четыре года. Поскольку этот лайнер являлся самым крупным пассажирским судном в СССР, его решили назвать «Советский Союз». Официальное присвоение нового названия состоялось в 1953 г. В общем восстановительные работы длились пять лет. Но незадолго до ввода в эксплуатацию, в 1954 г., на судне по невыясненным причинам произошел взрыв и пожар, сильно повредивший помещения лайнера. Из-за этого восстановительные работы затянулись, и только в сентябре 1955 г. судно передали заказчику. В 1955 г. дальневосточное отделение «Совторгфлота» приняло лайнер «Советский Союз» в эксплуатацию. Но перед переходом на Дальний Восток судну необходимо было выполнить контрольное докование. В то время в западных портах СССР было только одно место, где могли продоковать такое крупное судно — сухой док Севморзавода в Севастополе. 13 октября 1955 г. турбоход «Советский Союз» прибыл в Одессу, откуда перешел в Севастополь. На Севморзаводе с судна сняли одну из турбин заднего хода и отправили на балансировку на Харьковский турбинный завод, а также провели докование в сухом доке завода. Во время стоянки в Севастополе на «Советском Союзе» побывали первый секретарь ЦК КПСС Н.С. Хрущев, министр обороны Г.К. Жуков и член Политбюро Л.И. Брежнев. В марте 1957 г. «Советский Союз» вышел из Севастополя на Дальний Восток. Лайнер обошел Африку и 29 мая того же года прибыл во Владивосток, откуда вышел в свой первый рейс на экспрессной линии Владивосток — Петропавловск-Камчатский. Организационно он вошел в состав дальневосточного отделения «Совторгфлота» с портом приписки Владивосток (позднее, после реорганизации — Дальневосточного морского пароходства). С 11 января по 29 марта 1971 г. «Советский Союз» проходил ремонт в Гонконге, во время которого в числе прочих работ были окончательно отцентрованы главные редукторы, и судно смогло развивать скорость до 19 узлов. Турбоход «Советский Союз» закончил работу на камчатской пассажирской линии 30 ноября 1980 г. и в соответствии с распоряжением начальника Дальневосточного морского пароходства № 1037 от 2 декабря 1980 г. был поставлен на прикол для демонтажа оборудования, снятия материалов, технического снабжения и подготовки судна к сдаче на металлолом. Приказом министра Морского флота СССР № 256 от 5 декабря 1980 г. лайнер «Советский Союз» был списан с баланса транспортного флота, после чего приказом начальника Дальневосточного морского пароходства переименован в «Тобольск», ведь с именем «Советский Союз» он просто не мог подлежать разделке на металлолом. Весь 1981 год «Тобольск» простоял на приколе во Владивостокском морском торговом порту. 5 марта 1982 г. «Тобольск» самостоятельно вышел в последний рейс на разделку с экипажем в 60 человек, а 17 марта того же года судно было официально передано для разделки на металл одной из компаний Гонконга (15225).</w:t>
      </w:r>
    </w:p>
    <w:p w14:paraId="2E2582FC" w14:textId="77777777" w:rsidR="00546AC2" w:rsidRPr="00F90EAE" w:rsidRDefault="00546AC2" w:rsidP="00F90EAE">
      <w:pPr>
        <w:pStyle w:val="book"/>
        <w:ind w:firstLine="0"/>
        <w:jc w:val="both"/>
        <w:rPr>
          <w:color w:val="000000" w:themeColor="text1"/>
          <w:sz w:val="16"/>
          <w:szCs w:val="16"/>
        </w:rPr>
      </w:pPr>
    </w:p>
    <w:p w14:paraId="701EB67D" w14:textId="77777777" w:rsidR="00546AC2" w:rsidRPr="00F90EAE" w:rsidRDefault="00546AC2" w:rsidP="00F90EAE">
      <w:pPr>
        <w:pStyle w:val="book"/>
        <w:ind w:firstLine="0"/>
        <w:jc w:val="both"/>
        <w:rPr>
          <w:color w:val="000000" w:themeColor="text1"/>
          <w:sz w:val="16"/>
          <w:szCs w:val="16"/>
        </w:rPr>
      </w:pPr>
      <w:r w:rsidRPr="00F90EAE">
        <w:rPr>
          <w:color w:val="000000" w:themeColor="text1"/>
          <w:sz w:val="16"/>
          <w:szCs w:val="16"/>
        </w:rPr>
        <w:t>В марте 1945 г. в порту Свинемюнде в ходе налета британской авиации было потоплено судно «Кордильера». Оно был однотипно «Карибии» и построено в 1933 г. на той же верфи «Блом и Фосс». Вторая мировая война застала лайнер в рейсе. Высадив пассажиров в нейтральном порту, он ушел в Мурманск, откуда в феврале 1940 г. перешел в Гамбург. В Кригсмарине «Кордильеру» использовали как плавказарму. В середине 1948 г. начались работы по подъему «Кордильеры». Поднять судно удалось только в январе 1949 г. В октябре того же года в Антверпене был проведен ремонт корпуса. Дальнейшие ремонтные работы и модернизация проводились специалистами немецкой фирмы «Варновверфт». Работы завершились в 1952 г. После ремонта и модернизации тоннаж лайнера составил 15 600 брт, а скорость хода — 14,7 уз. Пассажировместимость судна составляла: 20 пассажиров в каютах категории «Люкс», 86—1-го класса, 204 — 2-го и 730 — 3-го класса. Лайнер получил название «Русь» и вышел во Владивосток. При следовании Ирбенским проливом лайнер подорвался на мине и получил незначительные повреждения, которые быстро устранили на местном судоремонтном заводе. На «Русь» установили новую навигационную аппаратуру, и в августе 1952 г. лайнер прибыл в новый порт приписки — Владивосток. Лайнер «Русь» работал, как и «Ильич», на Камчатской линии до конца 1977 г., а в августе 1980 г. был уведен на разборку (15225).</w:t>
      </w:r>
    </w:p>
    <w:p w14:paraId="654BDB69" w14:textId="77777777" w:rsidR="00546AC2" w:rsidRPr="00F90EAE" w:rsidRDefault="00546AC2" w:rsidP="00F90EAE">
      <w:pPr>
        <w:pStyle w:val="book"/>
        <w:ind w:firstLine="0"/>
        <w:jc w:val="both"/>
        <w:rPr>
          <w:color w:val="000000" w:themeColor="text1"/>
          <w:sz w:val="16"/>
          <w:szCs w:val="16"/>
        </w:rPr>
      </w:pPr>
    </w:p>
    <w:p w14:paraId="2A2D2AA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1CB1F64" w14:textId="77777777" w:rsidR="00665165" w:rsidRPr="00F90EAE" w:rsidRDefault="00665165" w:rsidP="00F90EAE">
      <w:pPr>
        <w:autoSpaceDE w:val="0"/>
        <w:autoSpaceDN w:val="0"/>
        <w:adjustRightInd w:val="0"/>
        <w:jc w:val="both"/>
        <w:rPr>
          <w:iCs/>
          <w:color w:val="000000" w:themeColor="text1"/>
          <w:sz w:val="16"/>
          <w:szCs w:val="16"/>
        </w:rPr>
      </w:pPr>
    </w:p>
    <w:p w14:paraId="088012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эскадрилью БФ на PBI-1 расформировали, зато создали три новых - 15-ю, 16-ю п 17-ю, вооруженные только PBN-1 (в общей сложности 11 машин) (3457,130).</w:t>
      </w:r>
    </w:p>
    <w:p w14:paraId="344FA3EF" w14:textId="77777777" w:rsidR="00665165" w:rsidRPr="00F90EAE" w:rsidRDefault="00665165" w:rsidP="00F90EAE">
      <w:pPr>
        <w:autoSpaceDE w:val="0"/>
        <w:autoSpaceDN w:val="0"/>
        <w:adjustRightInd w:val="0"/>
        <w:jc w:val="both"/>
        <w:rPr>
          <w:color w:val="000000" w:themeColor="text1"/>
          <w:sz w:val="16"/>
          <w:szCs w:val="16"/>
        </w:rPr>
      </w:pPr>
    </w:p>
    <w:p w14:paraId="6E50D4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польские соединения Ил-2 использовались в атаках Померанской линии и приняли участие в освобождении Kolobrzheg (241,37).</w:t>
      </w:r>
    </w:p>
    <w:p w14:paraId="2DF41F31" w14:textId="77777777" w:rsidR="00665165" w:rsidRPr="00F90EAE" w:rsidRDefault="00665165" w:rsidP="00F90EAE">
      <w:pPr>
        <w:autoSpaceDE w:val="0"/>
        <w:autoSpaceDN w:val="0"/>
        <w:adjustRightInd w:val="0"/>
        <w:jc w:val="both"/>
        <w:rPr>
          <w:color w:val="000000" w:themeColor="text1"/>
          <w:sz w:val="16"/>
          <w:szCs w:val="16"/>
        </w:rPr>
      </w:pPr>
    </w:p>
    <w:p w14:paraId="095D70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против контрнаступающих у Балатона немцев сосредотачивалось от 80 до 92% всех сил ВА (518,202).</w:t>
      </w:r>
    </w:p>
    <w:p w14:paraId="60BB0FF9" w14:textId="77777777" w:rsidR="00665165" w:rsidRPr="00F90EAE" w:rsidRDefault="00665165" w:rsidP="00F90EAE">
      <w:pPr>
        <w:autoSpaceDE w:val="0"/>
        <w:autoSpaceDN w:val="0"/>
        <w:adjustRightInd w:val="0"/>
        <w:jc w:val="both"/>
        <w:rPr>
          <w:color w:val="000000" w:themeColor="text1"/>
          <w:sz w:val="16"/>
          <w:szCs w:val="16"/>
        </w:rPr>
      </w:pPr>
    </w:p>
    <w:p w14:paraId="0360B3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2-й бап укомплектовали французкими экипажами и советским инженерно-техническим составом. На аэродроме Клоково Московского военного округа полку передали 31 новенький бомбардировщик Пе-2, а также три учебных УПе-2. Инструкторам 9-го зап приходилось нелегко, поскольку практически никто из французов не знал русского языка, но к концу следующего месяца половина экипажей смогла самостоятельно выполнить первые вылеты на бомбардировщиках. Окончание боевых действий в Европе на позволило “Бретани” принять в них участие и наши союзники вернулись на родину (4476).</w:t>
      </w:r>
    </w:p>
    <w:p w14:paraId="2FCC5843" w14:textId="77777777" w:rsidR="00665165" w:rsidRPr="00F90EAE" w:rsidRDefault="00665165" w:rsidP="00F90EAE">
      <w:pPr>
        <w:autoSpaceDE w:val="0"/>
        <w:autoSpaceDN w:val="0"/>
        <w:adjustRightInd w:val="0"/>
        <w:jc w:val="both"/>
        <w:rPr>
          <w:color w:val="000000" w:themeColor="text1"/>
          <w:sz w:val="16"/>
          <w:szCs w:val="16"/>
        </w:rPr>
      </w:pPr>
    </w:p>
    <w:p w14:paraId="4D62C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Якобы в марте 1945 И.В.Сталин советовался с В.Челомеем, применять ли советские ФАУ 10Х (116,6).</w:t>
      </w:r>
    </w:p>
    <w:p w14:paraId="613BC9B2" w14:textId="77777777" w:rsidR="00665165" w:rsidRPr="00F90EAE" w:rsidRDefault="00665165" w:rsidP="00F90EAE">
      <w:pPr>
        <w:autoSpaceDE w:val="0"/>
        <w:autoSpaceDN w:val="0"/>
        <w:adjustRightInd w:val="0"/>
        <w:jc w:val="both"/>
        <w:rPr>
          <w:color w:val="000000" w:themeColor="text1"/>
          <w:sz w:val="16"/>
          <w:szCs w:val="16"/>
        </w:rPr>
      </w:pPr>
    </w:p>
    <w:p w14:paraId="4DB5A4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1945 г. основные задачи по борьбе с самолетами-снарядами на внешней полосе обороны были пере</w:t>
      </w:r>
      <w:r w:rsidRPr="00F90EAE">
        <w:rPr>
          <w:color w:val="000000" w:themeColor="text1"/>
          <w:sz w:val="16"/>
          <w:szCs w:val="16"/>
        </w:rPr>
        <w:softHyphen/>
        <w:t>даны командованию 14-го корпуса ПВО (командир - генерал-майор ар</w:t>
      </w:r>
      <w:r w:rsidRPr="00F90EAE">
        <w:rPr>
          <w:color w:val="000000" w:themeColor="text1"/>
          <w:sz w:val="16"/>
          <w:szCs w:val="16"/>
        </w:rPr>
        <w:softHyphen/>
        <w:t>тиллерии В.А.Мартынюк-Максимчук), а управление 90-й дивизии ПВО пере</w:t>
      </w:r>
      <w:r w:rsidRPr="00F90EAE">
        <w:rPr>
          <w:color w:val="000000" w:themeColor="text1"/>
          <w:sz w:val="16"/>
          <w:szCs w:val="16"/>
        </w:rPr>
        <w:softHyphen/>
        <w:t>дислоцировалось на запад для прикры</w:t>
      </w:r>
      <w:r w:rsidRPr="00F90EAE">
        <w:rPr>
          <w:color w:val="000000" w:themeColor="text1"/>
          <w:sz w:val="16"/>
          <w:szCs w:val="16"/>
        </w:rPr>
        <w:softHyphen/>
        <w:t>тия объектов в полосе 2-го Белорус</w:t>
      </w:r>
      <w:r w:rsidRPr="00F90EAE">
        <w:rPr>
          <w:color w:val="000000" w:themeColor="text1"/>
          <w:sz w:val="16"/>
          <w:szCs w:val="16"/>
        </w:rPr>
        <w:softHyphen/>
        <w:t>ского фронта.</w:t>
      </w:r>
    </w:p>
    <w:p w14:paraId="4C6A3A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отражения возможных налетов V-1 была привлечена 328-я истреби</w:t>
      </w:r>
      <w:r w:rsidRPr="00F90EAE">
        <w:rPr>
          <w:color w:val="000000" w:themeColor="text1"/>
          <w:sz w:val="16"/>
          <w:szCs w:val="16"/>
        </w:rPr>
        <w:softHyphen/>
        <w:t>тельная авиационная дивизия (над) (ко</w:t>
      </w:r>
      <w:r w:rsidRPr="00F90EAE">
        <w:rPr>
          <w:color w:val="000000" w:themeColor="text1"/>
          <w:sz w:val="16"/>
          <w:szCs w:val="16"/>
        </w:rPr>
        <w:softHyphen/>
        <w:t>мандир - полковник Г.Ф.Погребняк), имевшая в своем составе три истре</w:t>
      </w:r>
      <w:r w:rsidRPr="00F90EAE">
        <w:rPr>
          <w:color w:val="000000" w:themeColor="text1"/>
          <w:sz w:val="16"/>
          <w:szCs w:val="16"/>
        </w:rPr>
        <w:softHyphen/>
        <w:t>бительных авиаполка. В ноябре 1944 г. в дивизии был разработан и введен в действие План отражения самолетов-снарядов и их носителей ( в докумен</w:t>
      </w:r>
      <w:r w:rsidRPr="00F90EAE">
        <w:rPr>
          <w:color w:val="000000" w:themeColor="text1"/>
          <w:sz w:val="16"/>
          <w:szCs w:val="16"/>
        </w:rPr>
        <w:softHyphen/>
        <w:t>тах из называли буксировщиками), где были определены действия 722-го, 959-го и 960-го истребительных авиапол</w:t>
      </w:r>
      <w:r w:rsidRPr="00F90EAE">
        <w:rPr>
          <w:color w:val="000000" w:themeColor="text1"/>
          <w:sz w:val="16"/>
          <w:szCs w:val="16"/>
        </w:rPr>
        <w:softHyphen/>
        <w:t>ков при выполнении этой задачи и орга</w:t>
      </w:r>
      <w:r w:rsidRPr="00F90EAE">
        <w:rPr>
          <w:color w:val="000000" w:themeColor="text1"/>
          <w:sz w:val="16"/>
          <w:szCs w:val="16"/>
        </w:rPr>
        <w:softHyphen/>
        <w:t>низация взаимодействия с наземными средствами ПВО.</w:t>
      </w:r>
    </w:p>
    <w:p w14:paraId="2260D2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случаях получения сведений о воз</w:t>
      </w:r>
      <w:r w:rsidRPr="00F90EAE">
        <w:rPr>
          <w:color w:val="000000" w:themeColor="text1"/>
          <w:sz w:val="16"/>
          <w:szCs w:val="16"/>
        </w:rPr>
        <w:softHyphen/>
        <w:t>можном применении самолетов-снаря</w:t>
      </w:r>
      <w:r w:rsidRPr="00F90EAE">
        <w:rPr>
          <w:color w:val="000000" w:themeColor="text1"/>
          <w:sz w:val="16"/>
          <w:szCs w:val="16"/>
        </w:rPr>
        <w:softHyphen/>
        <w:t>дов с буксировщиков на обороняемом участке по распоряжению командова</w:t>
      </w:r>
      <w:r w:rsidRPr="00F90EAE">
        <w:rPr>
          <w:color w:val="000000" w:themeColor="text1"/>
          <w:sz w:val="16"/>
          <w:szCs w:val="16"/>
        </w:rPr>
        <w:softHyphen/>
        <w:t>ния авиации Северного (с января 1945 г.</w:t>
      </w:r>
    </w:p>
    <w:p w14:paraId="776820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Западного) фронта ПВО в полосе прикрытия дополнительно привлекались истребительные авиационные полки 320 над (командир - полковник А.Г.</w:t>
      </w:r>
      <w:r w:rsidRPr="00F90EAE">
        <w:rPr>
          <w:color w:val="000000" w:themeColor="text1"/>
          <w:sz w:val="16"/>
          <w:szCs w:val="16"/>
        </w:rPr>
        <w:softHyphen/>
        <w:t>Панов) и 124 иад (командир - полков</w:t>
      </w:r>
      <w:r w:rsidRPr="00F90EAE">
        <w:rPr>
          <w:color w:val="000000" w:themeColor="text1"/>
          <w:sz w:val="16"/>
          <w:szCs w:val="16"/>
        </w:rPr>
        <w:softHyphen/>
        <w:t>ник С.О.Соколов (до декабря 1944 г., далее полковник М.Ф.Куреш) (10791).</w:t>
      </w:r>
    </w:p>
    <w:p w14:paraId="70A1B9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6116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при отражении немецкого контрнаступления под Балатоном в больших количествах применялись Су-100. На остальных участках фронта применение САУ этого типа носило ограниченный характер (3862).</w:t>
      </w:r>
    </w:p>
    <w:p w14:paraId="32AE0AC3" w14:textId="77777777" w:rsidR="00665165" w:rsidRPr="00F90EAE" w:rsidRDefault="00665165" w:rsidP="00F90EAE">
      <w:pPr>
        <w:autoSpaceDE w:val="0"/>
        <w:autoSpaceDN w:val="0"/>
        <w:adjustRightInd w:val="0"/>
        <w:jc w:val="both"/>
        <w:rPr>
          <w:color w:val="000000" w:themeColor="text1"/>
          <w:sz w:val="16"/>
          <w:szCs w:val="16"/>
        </w:rPr>
      </w:pPr>
    </w:p>
    <w:p w14:paraId="59DFA0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была сформирована 66-я гвардейская тяжелая самоходно-артиллерийская бригада трехполкового состава (1804 человека, 65 ИСУ-122, 3 СУ-76). (3862).</w:t>
      </w:r>
    </w:p>
    <w:p w14:paraId="73184BED" w14:textId="77777777" w:rsidR="00665165" w:rsidRPr="00F90EAE" w:rsidRDefault="00665165" w:rsidP="00F90EAE">
      <w:pPr>
        <w:autoSpaceDE w:val="0"/>
        <w:autoSpaceDN w:val="0"/>
        <w:adjustRightInd w:val="0"/>
        <w:jc w:val="both"/>
        <w:rPr>
          <w:color w:val="000000" w:themeColor="text1"/>
          <w:sz w:val="16"/>
          <w:szCs w:val="16"/>
        </w:rPr>
      </w:pPr>
    </w:p>
    <w:p w14:paraId="0625C7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решением ГКО в составе 1-го, 2-го Дальневосточных фронтов и Забайкальского фронта сформированы Приморская, Приамурская и Забайкальская армии ПВО. Все армии ПВО были усилены за счет объединений, действовавших на советско-германском фронте (10109).</w:t>
      </w:r>
    </w:p>
    <w:p w14:paraId="7254CC32" w14:textId="77777777" w:rsidR="00665165" w:rsidRPr="00F90EAE" w:rsidRDefault="00665165" w:rsidP="00F90EAE">
      <w:pPr>
        <w:autoSpaceDE w:val="0"/>
        <w:autoSpaceDN w:val="0"/>
        <w:adjustRightInd w:val="0"/>
        <w:jc w:val="both"/>
        <w:rPr>
          <w:color w:val="000000" w:themeColor="text1"/>
          <w:sz w:val="16"/>
          <w:szCs w:val="16"/>
        </w:rPr>
      </w:pPr>
    </w:p>
    <w:p w14:paraId="3A2A957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EB60261" w14:textId="77777777" w:rsidR="00665165" w:rsidRPr="00F90EAE" w:rsidRDefault="00665165" w:rsidP="00F90EAE">
      <w:pPr>
        <w:autoSpaceDE w:val="0"/>
        <w:autoSpaceDN w:val="0"/>
        <w:adjustRightInd w:val="0"/>
        <w:jc w:val="both"/>
        <w:rPr>
          <w:iCs/>
          <w:color w:val="000000" w:themeColor="text1"/>
          <w:sz w:val="16"/>
          <w:szCs w:val="16"/>
        </w:rPr>
      </w:pPr>
    </w:p>
    <w:p w14:paraId="778603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года наши представители в США запросили сразу 600 АТ-6 Тексан. Американцы согласились дать 225. Теперь машины отправляли в собранном виде через Аляску. Все они были модификации AT-6F, иа которой вернулись к исходному планеру полностью из легких сплавов (3457,141). Первые AT-6F пошли по трассе в июне. Самолеты перегонялись партиями по 8-10 машин без обычного в таких случаях лидирования - по крейсерской скорости "Тексан" значительно уступал использовавшимся иа АЛСИБе в качестве лидеров А-20, В-25 или С-47. Поскольку потолок у AT-6F был невелик, то но обычному маршруту через Верхоянский хребет их пустить не могли. Поэтому летели этапами до Сеймчана (причем приходилось садиться па дозаправку в Омолоне, поскольку запаса горючего не хватало), затем на Оймякон, а оттуда в Якутск. Последняя группа "Тексанов" вылетела из Фэрбенкса в середине июля и уже к началу августа 1945 года достигла Красноярска. Всего до завершения поставок но ленд-лизу советской стороне успели сдать 54 AT-6F. Все они благополучно прошли но трассе (3457,141).</w:t>
      </w:r>
    </w:p>
    <w:p w14:paraId="6B422609" w14:textId="77777777" w:rsidR="00665165" w:rsidRPr="00F90EAE" w:rsidRDefault="00665165" w:rsidP="00F90EAE">
      <w:pPr>
        <w:autoSpaceDE w:val="0"/>
        <w:autoSpaceDN w:val="0"/>
        <w:adjustRightInd w:val="0"/>
        <w:jc w:val="both"/>
        <w:rPr>
          <w:color w:val="000000" w:themeColor="text1"/>
          <w:sz w:val="16"/>
          <w:szCs w:val="16"/>
        </w:rPr>
      </w:pPr>
    </w:p>
    <w:p w14:paraId="63BA18E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6A51BB6" w14:textId="77777777" w:rsidR="00BD44E6" w:rsidRPr="00F90EAE" w:rsidRDefault="00BD44E6" w:rsidP="00F90EAE">
      <w:pPr>
        <w:jc w:val="both"/>
        <w:rPr>
          <w:color w:val="0070C0"/>
          <w:sz w:val="16"/>
          <w:szCs w:val="16"/>
        </w:rPr>
      </w:pPr>
      <w:r w:rsidRPr="00F90EAE">
        <w:rPr>
          <w:color w:val="0070C0"/>
          <w:sz w:val="16"/>
          <w:szCs w:val="16"/>
        </w:rPr>
        <w:t>В марте 1945 Хайнеман н (Edvard Heinemann) - автор знаменитых машин А-26, А-20 и A-1 Skyraider, превративший имя Douglas в мировой брэнд, и его бессменный помощник Лео Дэвлин (Leo Devlin) передали NACA и ВМС проект самолета D-588 со смешанной силовой установкой из ТРД и ЖРД, пытаясь представить его не только как экспериментальный, но и как прототип истребителя. Естественно, что моряки одобрили задумку, а в NACA ее отклонили, как не соответствующую исследовательскому характеру программы.</w:t>
      </w:r>
    </w:p>
    <w:p w14:paraId="4724E777" w14:textId="77777777" w:rsidR="00BD44E6" w:rsidRPr="00F90EAE" w:rsidRDefault="00BD44E6" w:rsidP="00F90EAE">
      <w:pPr>
        <w:jc w:val="both"/>
        <w:rPr>
          <w:color w:val="0070C0"/>
          <w:sz w:val="16"/>
          <w:szCs w:val="16"/>
        </w:rPr>
      </w:pPr>
      <w:r w:rsidRPr="00F90EAE">
        <w:rPr>
          <w:color w:val="0070C0"/>
          <w:sz w:val="16"/>
          <w:szCs w:val="16"/>
        </w:rPr>
        <w:t>Тогда Хайнеман предложил разбить создание самолета на три этапа:</w:t>
      </w:r>
    </w:p>
    <w:p w14:paraId="6DD08B9B" w14:textId="77777777" w:rsidR="00BD44E6" w:rsidRPr="00F90EAE" w:rsidRDefault="00BD44E6" w:rsidP="00F90EAE">
      <w:pPr>
        <w:jc w:val="both"/>
        <w:rPr>
          <w:color w:val="0070C0"/>
          <w:sz w:val="16"/>
          <w:szCs w:val="16"/>
        </w:rPr>
      </w:pPr>
      <w:r w:rsidRPr="00F90EAE">
        <w:rPr>
          <w:color w:val="0070C0"/>
          <w:sz w:val="16"/>
          <w:szCs w:val="16"/>
        </w:rPr>
        <w:t>1. Строительство шести самолетов D-588 с турбореактивными двигателями TG-180, для исследования области от М=0,75 до М=0,85. Все самолеты должны были отличаться профилем крыла и типом воздухозаборников.</w:t>
      </w:r>
    </w:p>
    <w:p w14:paraId="7488AF2B" w14:textId="77777777" w:rsidR="00BD44E6" w:rsidRPr="00F90EAE" w:rsidRDefault="00BD44E6" w:rsidP="00F90EAE">
      <w:pPr>
        <w:jc w:val="both"/>
        <w:rPr>
          <w:color w:val="0070C0"/>
          <w:sz w:val="16"/>
          <w:szCs w:val="16"/>
        </w:rPr>
      </w:pPr>
      <w:r w:rsidRPr="00F90EAE">
        <w:rPr>
          <w:color w:val="0070C0"/>
          <w:sz w:val="16"/>
          <w:szCs w:val="16"/>
        </w:rPr>
        <w:t>2. Модернизация силовой установки двух самолетов, путем добавления ЖРД с целью выхода на М=1.</w:t>
      </w:r>
    </w:p>
    <w:p w14:paraId="3AB4FA2F" w14:textId="77777777" w:rsidR="00BD44E6" w:rsidRPr="00F90EAE" w:rsidRDefault="00BD44E6" w:rsidP="00F90EAE">
      <w:pPr>
        <w:jc w:val="both"/>
        <w:rPr>
          <w:color w:val="0070C0"/>
          <w:sz w:val="16"/>
          <w:szCs w:val="16"/>
        </w:rPr>
      </w:pPr>
      <w:r w:rsidRPr="00F90EAE">
        <w:rPr>
          <w:color w:val="0070C0"/>
          <w:sz w:val="16"/>
          <w:szCs w:val="16"/>
        </w:rPr>
        <w:t>3. Строительство на базе лучшего самолета палубного истребителя.</w:t>
      </w:r>
    </w:p>
    <w:p w14:paraId="4BEEB6C3" w14:textId="77777777" w:rsidR="00BD44E6" w:rsidRPr="00F90EAE" w:rsidRDefault="00BD44E6" w:rsidP="00F90EAE">
      <w:pPr>
        <w:jc w:val="both"/>
        <w:rPr>
          <w:color w:val="0070C0"/>
          <w:sz w:val="16"/>
          <w:szCs w:val="16"/>
        </w:rPr>
      </w:pPr>
      <w:r w:rsidRPr="00F90EAE">
        <w:rPr>
          <w:color w:val="0070C0"/>
          <w:sz w:val="16"/>
          <w:szCs w:val="16"/>
        </w:rPr>
        <w:t>Этот компромиссный вариант устроил всех (22835).</w:t>
      </w:r>
    </w:p>
    <w:p w14:paraId="1FE640F1" w14:textId="77777777" w:rsidR="00BD44E6" w:rsidRPr="00F90EAE" w:rsidRDefault="00BD44E6" w:rsidP="00F90EAE">
      <w:pPr>
        <w:jc w:val="both"/>
        <w:rPr>
          <w:color w:val="0070C0"/>
          <w:sz w:val="16"/>
          <w:szCs w:val="16"/>
        </w:rPr>
      </w:pPr>
    </w:p>
    <w:p w14:paraId="5F5618D1" w14:textId="77777777" w:rsidR="00BD44E6" w:rsidRPr="00F90EAE" w:rsidRDefault="00BD44E6" w:rsidP="00F90EAE">
      <w:pPr>
        <w:jc w:val="both"/>
        <w:rPr>
          <w:color w:val="0070C0"/>
          <w:sz w:val="16"/>
          <w:szCs w:val="16"/>
        </w:rPr>
      </w:pPr>
      <w:r w:rsidRPr="00F90EAE">
        <w:rPr>
          <w:color w:val="0070C0"/>
          <w:sz w:val="16"/>
          <w:szCs w:val="16"/>
        </w:rPr>
        <w:t>В марте 1945 года первые серийные самолеты P-80A поступили в 412 истребительное крыло с авиабазы Марш в Калифорнии. Появились и первые потери: так, 6 августа 1945 года при облете очередного серийного P-80A погиб майор Ричард Бонг.</w:t>
      </w:r>
    </w:p>
    <w:p w14:paraId="0502FDC5" w14:textId="77777777" w:rsidR="00BD44E6" w:rsidRPr="00F90EAE" w:rsidRDefault="00BD44E6" w:rsidP="00F90EAE">
      <w:pPr>
        <w:jc w:val="both"/>
        <w:rPr>
          <w:color w:val="0070C0"/>
          <w:sz w:val="16"/>
          <w:szCs w:val="16"/>
        </w:rPr>
      </w:pPr>
      <w:r w:rsidRPr="00F90EAE">
        <w:rPr>
          <w:color w:val="0070C0"/>
          <w:sz w:val="16"/>
          <w:szCs w:val="16"/>
        </w:rPr>
        <w:t>Первой модификацией Shooting Star стал самолет P-80A-1 с двигателем J33- GE-11, выпущенный в количестве 345 штук. Далее последовал P-80A-5 (двигатель J33-A-17) — 218 штук. Всего построили 677 истребителей P-80А. В январе 1946 года серийный P-80A установил национальный рекорд скорости, преодолев расстояние между Нью-Йорком и Лос-Анджелесом за 4 часа 13 минут 26 секунд. На базе Р-80А серийно выпускался самолет-разведчик FP-80A (RF-80A). (22848).</w:t>
      </w:r>
    </w:p>
    <w:p w14:paraId="5ECE1AFF" w14:textId="77777777" w:rsidR="00BD44E6" w:rsidRPr="00F90EAE" w:rsidRDefault="00BD44E6" w:rsidP="00F90EAE">
      <w:pPr>
        <w:jc w:val="both"/>
        <w:rPr>
          <w:color w:val="0070C0"/>
          <w:sz w:val="16"/>
          <w:szCs w:val="16"/>
        </w:rPr>
      </w:pPr>
    </w:p>
    <w:p w14:paraId="17D80AC2" w14:textId="77777777" w:rsidR="00BD44E6" w:rsidRPr="00F90EAE" w:rsidRDefault="00BD44E6" w:rsidP="00F90EAE">
      <w:pPr>
        <w:jc w:val="both"/>
        <w:rPr>
          <w:color w:val="0070C0"/>
          <w:sz w:val="16"/>
          <w:szCs w:val="16"/>
        </w:rPr>
      </w:pPr>
      <w:r w:rsidRPr="00F90EAE">
        <w:rPr>
          <w:color w:val="0070C0"/>
          <w:sz w:val="16"/>
          <w:szCs w:val="16"/>
        </w:rPr>
        <w:t>В марте 1945 Военно -воздушные силы США начинают оценку беспилотного самолета- мишени Radioplane OQ-17 (в настоящее время обозначенного как RP-18) (20371).</w:t>
      </w:r>
    </w:p>
    <w:p w14:paraId="562171FE" w14:textId="77777777" w:rsidR="00BD44E6" w:rsidRPr="00F90EAE" w:rsidRDefault="00BD44E6" w:rsidP="00F90EAE">
      <w:pPr>
        <w:jc w:val="both"/>
        <w:rPr>
          <w:color w:val="0070C0"/>
          <w:sz w:val="16"/>
          <w:szCs w:val="16"/>
        </w:rPr>
      </w:pPr>
    </w:p>
    <w:p w14:paraId="5C1EFBFB" w14:textId="77777777" w:rsidR="00BD44E6" w:rsidRPr="00F90EAE" w:rsidRDefault="00BD44E6" w:rsidP="00F90EAE">
      <w:pPr>
        <w:jc w:val="both"/>
        <w:rPr>
          <w:color w:val="0070C0"/>
          <w:sz w:val="16"/>
          <w:szCs w:val="16"/>
        </w:rPr>
      </w:pPr>
      <w:r w:rsidRPr="00F90EAE">
        <w:rPr>
          <w:color w:val="0070C0"/>
          <w:sz w:val="16"/>
          <w:szCs w:val="16"/>
        </w:rPr>
        <w:t>В марте 1945 г. было прекращено производство Bf-110 и всего было выпущено 6050 машин всех модификаций (22894).</w:t>
      </w:r>
    </w:p>
    <w:p w14:paraId="755B77CA" w14:textId="77777777" w:rsidR="00665165" w:rsidRPr="00F90EAE" w:rsidRDefault="00665165" w:rsidP="00F90EAE">
      <w:pPr>
        <w:autoSpaceDE w:val="0"/>
        <w:autoSpaceDN w:val="0"/>
        <w:adjustRightInd w:val="0"/>
        <w:jc w:val="both"/>
        <w:rPr>
          <w:color w:val="000000" w:themeColor="text1"/>
          <w:sz w:val="16"/>
          <w:szCs w:val="16"/>
        </w:rPr>
      </w:pPr>
    </w:p>
    <w:p w14:paraId="510F80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март 1945 года с сентября 1944 года в боевые ракетные подразделения было направлено около 5800 «V-2». Однако почти 1500 на них не дошли до стартовых столов из-за различных технических неисправностей, отсутствия топлива и действий авиации союзников. За это время были осуществлены тысячи боевых пусков по городам Англии, Антверпену, Брюсселю и Льежу. Эфективность этих запусков была крайне низкой. Только 75% ракет достигли Англии и 37% – Лондона. Средний ежемесячный наряд запускаемых по Лондону «V-2» составлял 200 ракет, однако до Англии долетали 150 ракет, но из них за счет рассеивания только половина (75 ракет) разрывалась в пределах Лондона.</w:t>
      </w:r>
    </w:p>
    <w:p w14:paraId="5AD32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Основными причинами столь низких результатов являлись в том числе и конструктивные недостатки «V-2». Попытка повысить надежность ракет за счет нового взрывателя в основном себя не оправдала. Процент преждевременных разрывов «V-2» остался почти таким же, зато резко снизилась эффективность боевого заряда, так как ракеты с новым взрывателем зарывались при падении глубоко в землю, что уменьшало их взрывную силу.</w:t>
      </w:r>
    </w:p>
    <w:p w14:paraId="723952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Другой причиной были технические неполадки и отказы ракетной техники до ее поступления в боевые подразделения. Так, в связи с тем, что стационарные склады ракет попали в руки противника, в районах стартовых позиций были созданы временные склады. Однако они не обеспечивали необходимых условий хранения, проверки и ремонта техники.</w:t>
      </w:r>
    </w:p>
    <w:p w14:paraId="1C0F7F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хранении на складах, – писал Дорнбергер, – от изменения влажности приходили в негодность моторы, от которых действуют триммеры».</w:t>
      </w:r>
    </w:p>
    <w:p w14:paraId="199CD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Поэтому было решено отказаться от промежуточных складов и направлять ракеты на позиции непосредственно с завода. «V-2» скоростными эшелонами доставлялись на фронт и запускались в течение трех дней. Это позволило в некоторой степени увеличить количество технически исправных ракет, прибывавших в войска, и повысить оперативность боевых пусков.</w:t>
      </w:r>
    </w:p>
    <w:p w14:paraId="311A5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Попытки гитлеровского командования компенсировать технические недостатки «V-2» увеличением их количества не увенчались успехом. С потерей многих территорий все больше ощущался недостаток ракетного топлива: спирта и кислорода.</w:t>
      </w:r>
    </w:p>
    <w:p w14:paraId="5A6CA18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«Сильно ограничивал наши производственные возможности, – свидетельствет Дорнбергер, – недостаток спирта. Кроме того, после потери крупных подземных установок по производству кислорода, сооруженных на оккупированной территории в Льеже и Виттингене (в Сааре), не хватало и кислорода».</w:t>
      </w:r>
    </w:p>
    <w:p w14:paraId="147EB48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Недостаток жидкого кислорода, вызванный потерей многих заводов, производивших этот компонент ракетного топлива, особенно ограничивал масштабы пусков «</w:t>
      </w:r>
      <w:r w:rsidRPr="00F90EAE">
        <w:rPr>
          <w:color w:val="000000" w:themeColor="text1"/>
          <w:sz w:val="16"/>
          <w:szCs w:val="16"/>
          <w:lang w:val="en-AU"/>
        </w:rPr>
        <w:t>V</w:t>
      </w:r>
      <w:r w:rsidRPr="00F90EAE">
        <w:rPr>
          <w:color w:val="000000" w:themeColor="text1"/>
          <w:sz w:val="16"/>
          <w:szCs w:val="16"/>
        </w:rPr>
        <w:t>-2». По признанию Дорнбергера, ракетные части «могли производить ежедневно 28-30 запусков на фронте и 5-7 для испытаний».</w:t>
      </w:r>
    </w:p>
    <w:p w14:paraId="5BE087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целом все эти факторы приводили к тому, что сотни «V-2» оказывались непригодными к запуску; 25-30% из запущенных не долетали до цели. Так же как и «V-1», баллистические ракеты «V-2» оказались непригодными для решения той стратегической задачи, которую возлагал на них Гитлер.</w:t>
      </w:r>
    </w:p>
    <w:p w14:paraId="4FAC6F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Ракетное наступление продолжалось с 8 сентября 1944 года по 23 марта 1945 года, когда 902-й ракетно-артиллерийский полк нанес последний ракетный удар по Антверпену. За этот период времени было запущено 1269 «V-2» по Англии (1225 – по Лондону, 43 – по Норвигу и 1 – по Ипсвичу) и 1739 по целям на континенте (из них 1593 – по Антверпену и 27 – по Люттиху). По официальным английским данным, на территорию Англии упало 1054 «V-2», жертвами которых стали 9277 человек (2754 убитых и 6523 тяжелораненых). В районе Антверпена разорвалось 1265 ракет, которые наряду с «V-1», стали причиной гибели 6448 человек. Число раненых и пропавших без вести составило 23 368.</w:t>
      </w:r>
    </w:p>
    <w:p w14:paraId="2532E7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был совсем не тот результат, на который рассчитывало руководствоТретьего рейха. Поставить Англию на колени массированным применением ракетного оружия не удалось (11688).</w:t>
      </w:r>
    </w:p>
    <w:p w14:paraId="2CE9AE8B" w14:textId="77777777" w:rsidR="00665165" w:rsidRPr="00F90EAE" w:rsidRDefault="00665165" w:rsidP="00F90EAE">
      <w:pPr>
        <w:autoSpaceDE w:val="0"/>
        <w:autoSpaceDN w:val="0"/>
        <w:adjustRightInd w:val="0"/>
        <w:jc w:val="both"/>
        <w:rPr>
          <w:color w:val="000000" w:themeColor="text1"/>
          <w:sz w:val="16"/>
          <w:szCs w:val="16"/>
        </w:rPr>
      </w:pPr>
    </w:p>
    <w:p w14:paraId="1BD9C551" w14:textId="77777777" w:rsidR="00546AC2" w:rsidRPr="00F90EAE" w:rsidRDefault="00546AC2" w:rsidP="00F90EAE">
      <w:pPr>
        <w:jc w:val="both"/>
        <w:rPr>
          <w:color w:val="000000" w:themeColor="text1"/>
          <w:sz w:val="16"/>
          <w:szCs w:val="16"/>
        </w:rPr>
      </w:pPr>
      <w:r w:rsidRPr="00F90EAE">
        <w:rPr>
          <w:color w:val="000000" w:themeColor="text1"/>
          <w:sz w:val="16"/>
          <w:szCs w:val="16"/>
        </w:rPr>
        <w:t>В марте 1945 г. по итогам испытаний Фирма HASAG получила заказ на производство 10 000 пусковых устройств и четырех миллионов ракет к ним. Одновременно началась подготовка инструкторов, которые должны были организовать в частях вермахта массовое обучение военнослужащих обращению с этим новым видом оружия. До конца февраля фирма успела поставить в войска лишь 80 комплексов, которые уже не могли оказать какое-либо влияние на ход боевых действий. В то же время конструктивная схема Люфтфауста" была использована при создании американского ПЗРК "Ред Ай" и последующих комплексов этого типа.</w:t>
      </w:r>
    </w:p>
    <w:p w14:paraId="0C737E75" w14:textId="77777777" w:rsidR="00546AC2" w:rsidRPr="00F90EAE" w:rsidRDefault="00546AC2" w:rsidP="00F90EAE">
      <w:pPr>
        <w:jc w:val="both"/>
        <w:rPr>
          <w:color w:val="000000" w:themeColor="text1"/>
          <w:sz w:val="16"/>
          <w:szCs w:val="16"/>
        </w:rPr>
      </w:pPr>
      <w:r w:rsidRPr="00F90EAE">
        <w:rPr>
          <w:color w:val="000000" w:themeColor="text1"/>
          <w:sz w:val="16"/>
          <w:szCs w:val="16"/>
        </w:rPr>
        <w:t>В 1944 г. Фирма HASAG разработала зенитную установку, которая в соответствии с современной технологией может быть квалифицированна как переносной зенитный ракетный комплекс (ПЗРК). В первоначальном варианте (Люфтфауст-А) он состоял из четырехствольного пускового устройства, механического прицела и 20-мм неуправляемой зенитной ракеты. Последняя имела твердотопливный двигатель с шашкой бездымного пороха весом 41г и пятью соплами: центральным и четырьмя наклонными, обеспечивающими вращение ракеты продольной оси для стабилизации ее в полете. Для воспламенения пороховой шашки в центральное сопло был ввинчен электрозапал. Двигатель соединялся с боевой частью, представлявшей собой 20-мм осколочно-зажигательный снаряд весом 90 г, содержащий 19 г мощного взрывчатого вещества. Боевая часть комплектовалась дистанционным взрывателем. Запуск ракет производился залпом с помощью индукционного электрогенератора. Стрельба велась с плеча с использованием простого механического прицела. Проведенные испытания комплекса показали,что рассеивание ракет слишком велико, а мощность залпа из четырех ракет- недостаточна. С учетом этих результатов был разработан усовершенствованный вариант "Люфтфауст-В", у которого число трубчатых направляющих было увеличено до девяти, а длина направляющих было увеличено до девяти, а длина направляющих доведена до 1500 мм. При этом залповый пуск ракет производился в два этапа: сначала срабатывали запальные устройства пяти, а через 0.1 секунды- остальных четырех ракет. Благодаря этому они двигались ч цели, не оказывая друг на друга воздействия раскаленными газами двигателей. Для ускоренного заряжания пусковой установки была разработана девятизарядная обойма, вставлявшаяся в казенную часть установки. Испытания комплекса "Люфтфауст-В" дали вполне приемлемый результат: на расстоянии 500 м ракеты укладывались" в круг диаметром 60 м. При условии массированного использования этих комплексов могла быть обеспечена ПВО пехотных подразделений от налетов штурмовой авиации (15139).</w:t>
      </w:r>
    </w:p>
    <w:p w14:paraId="45C713AA" w14:textId="77777777" w:rsidR="00546AC2" w:rsidRPr="00F90EAE" w:rsidRDefault="00546AC2" w:rsidP="00F90EAE">
      <w:pPr>
        <w:jc w:val="both"/>
        <w:rPr>
          <w:color w:val="000000" w:themeColor="text1"/>
          <w:sz w:val="16"/>
          <w:szCs w:val="16"/>
        </w:rPr>
      </w:pPr>
    </w:p>
    <w:p w14:paraId="014A2D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Цуруги совершил первый полет. Доводка самолета продолжалась до середины июня, после чего поступил заказ на постройку 104 штурмовиков. Дальнейшим развитием самолета Цу руги стали варианты Кi115 Оцу и Кi230. В боевых действиях самолеты участия не приняли (11686).</w:t>
      </w:r>
    </w:p>
    <w:p w14:paraId="15BA0826" w14:textId="77777777" w:rsidR="00665165" w:rsidRPr="00F90EAE" w:rsidRDefault="00665165" w:rsidP="00F90EAE">
      <w:pPr>
        <w:autoSpaceDE w:val="0"/>
        <w:autoSpaceDN w:val="0"/>
        <w:adjustRightInd w:val="0"/>
        <w:jc w:val="both"/>
        <w:rPr>
          <w:color w:val="000000" w:themeColor="text1"/>
          <w:sz w:val="16"/>
          <w:szCs w:val="16"/>
        </w:rPr>
      </w:pPr>
    </w:p>
    <w:p w14:paraId="1CD74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марте 1945 года был собран первый прототип специального штурмовика Ки-115 и сразу же был подвергнут испытаниям, которые закончились полным фиаско. Главная проблема заключалась в шасси - отсутствие тормозов и амортизации делало руление по земле совершенно невозможным. Кроме того, маленькое крыло, без механизации, не позволило самолету оторваться от земли. Это не удивительно, ведь при взлетном весе порядка 2600 кг у Ки-115 нагрузка на крыло составляла 210 кг/м2 - явно много для плохо обученного пилота.</w:t>
      </w:r>
    </w:p>
    <w:p w14:paraId="0ABF8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начали дорабатывать, но как-то недостаточно радикально - особенно шасси. Сначала разработали новые основные стойки - с тормозами, но по-прежнему без амортизации. Существенного эффекта это не дало, поэтому шасси ещё раз переделали, установив на этот раз и тормоза, и амортизацию: колеса устанавливались на рычажную подвеску, которая имела простейшую резиновую амортизацию. Хвостовой костыль также был слегка подрессорен.</w:t>
      </w:r>
    </w:p>
    <w:p w14:paraId="6FA60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сокращения взлетной дистанции под задней кромкой крыла навесили небольшие закрылки. Для этого потребовалось провести местное усиление крыла и установить систему уборки и выпуска закрылков. Проведенные мероприятия позволили поднять машину в воздух и оценить её летные данные. Результаты были не очень хорошие. Хотя требования по скоростям и дальности были выполнены, отмечалась сложность в пилотировании (особенно на взлете) и неудовлетворительный обзор из кабины. Не смотря на это Ки-115 был передан в серийной производство, которое развернулось на заводах фирмы Накадзима в городах Явате и Ота.</w:t>
      </w:r>
    </w:p>
    <w:p w14:paraId="4F9ECC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Параллельно с производством шло усовершенствование конструкции. Два самолета, в экспериментальных целях снабдили ракетными ускорителями, которые предназначались для увеличения скорости во время атаки. Другие подробности этих работ не известны.</w:t>
      </w:r>
    </w:p>
    <w:p w14:paraId="1A154D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радикального улучшения летных данных разрабатывалась модификация самолета с крылом увеличенной площади. Новое крыло имело цельнодеревянную конструкцию:</w:t>
      </w:r>
    </w:p>
    <w:p w14:paraId="3E3B1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деревянный лонжерон, фанерные нервюры и стенку, а также фанерную обшивку. Только элерон имел дюоа-левый каркас с обшивкой из полотна. В качестве механизации применялись щитки классической схемы, сделанные из алюминиевых сплавов. Кабина у нового самолета для улучшения обзора чуть смещалась вперед. Этот вариант имел обозначение Ки-П5в (Ки-115 Отсу).</w:t>
      </w:r>
    </w:p>
    <w:p w14:paraId="7BDB9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Морское командование также заинтересовалось концепцией, воплощенной в Ки-115. Однако оно выдвигало несколько иные, специфические требования к самолету, что требовало дальнейших доработок конструкции. Новый самолет получил обозначение " Морской экспериментальный специальный штурмовой самолёт "Тока'' (Вишневое цветение )". К его созданию была привлечена фирма Сева Хикоку К.К. из пригорода Сева около Токио. Для этого она получила от фирмы Накадзима комплект конструкторской документации. сборочную оснастку и два самолета в качестве эталонов. Однако до конца войны фирма Сева не успела переработать чертежи и не вы пустила ни одного морского варианта самолета Ки-115.</w:t>
      </w:r>
    </w:p>
    <w:p w14:paraId="316619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до окончания войны было построено 105 самолетов "ЦурюпГ\ з том числе 1 прототип. 22 штуки - на заводе в Явато и 82 - ча заводе з Ота. Несмотря на довольно большие объемы производства, ни один из этих самолетов не был применен в боевых условиях (4800).</w:t>
      </w:r>
    </w:p>
    <w:p w14:paraId="34E37767" w14:textId="77777777" w:rsidR="00665165" w:rsidRPr="00F90EAE" w:rsidRDefault="00665165" w:rsidP="00F90EAE">
      <w:pPr>
        <w:autoSpaceDE w:val="0"/>
        <w:autoSpaceDN w:val="0"/>
        <w:adjustRightInd w:val="0"/>
        <w:jc w:val="both"/>
        <w:rPr>
          <w:color w:val="000000" w:themeColor="text1"/>
          <w:sz w:val="16"/>
          <w:szCs w:val="16"/>
        </w:rPr>
      </w:pPr>
    </w:p>
    <w:p w14:paraId="15688B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капитану Мизуама удалось подключить к разработке самолета Та-Го (упрощенного штурмовика) фирму "Кокусай" в городе Киото. Это решение сильно отразилось на облике "Та-Го" (рабочее название самолета сохранилось). Фирма выпускала легкие и спортивные самолеты и поэтому для нового проекта была выбрана хорошо отработанная силовая установка. применявшаяся на самолете Ки-86 ''Сайприс", выпускавшегося на этой фирме. Но для ускорения производства её предельно упростили.</w:t>
      </w:r>
    </w:p>
    <w:p w14:paraId="66B7B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Перевёрнутый рядный дзигатель Хитачи Ха-47. крепился на металлической мотораме и закрывался фанерным капотом, образованным из плоских листов. Бензобак располагался над капотом, обеспечивая тем самым подачу бензина самотеком. Между баком и козырьком кабины размешался простенький плоский маслорадиатор. На валу устанавливался деревянный винт постоянного шага. диаметром 2,18 м. такой же. как и на прототипе Ки-86.</w:t>
      </w:r>
    </w:p>
    <w:p w14:paraId="31E86A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аэродинамической схеме это был нязкоплан с крылом, состоящим из прямоугольного центроплана и грапеиевидных консолей, установленных с небольшим поперечным "V". Хвостовое оперение состояло из прямоугольного киля и прямоугольного подкосного стабилизатора. Фюзеляж имел деревянный набор и фанерную обшивку, причем все его поверхности были плоскими. Конечно. это не улучшало аэродинамику, но зато существенно упрощало производство. Крыло состояло из центроплана и складывающихся консолей. Их наличие. по началу, вызывает удивление (ведь самолет не палубный), но проанализировав аргументы японцев с их применением можно согласиться. Дело в том, что самолет предполагалось производить в маленьких мастерских, кинозалах, тоннелях, а прятать перед боевым вылетом в пещерах. тоннелях, под мостами и т.д., то есть в тех местах, где лишнего места не бывает. Так как больших скоростей достичь не надеялись, то шасси сделали не убирающимся, состоящим из ДВУХ основных стоек, выполненных из стальных труб, и хвостового костыля. Основные стойки имели простейшую резиновую амортизцию и были подкреплены двумя подкосами. Стойка. амортизатор и задний подкос прикрывались обтекателем, сделанным из алюминия. Хвостовой костыль выполнялся из стальных труб и также имел резиновый амортизатор.</w:t>
      </w:r>
    </w:p>
    <w:p w14:paraId="3C4324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Пилот сидел в открытой, весьма тесной кабине, прикрытой спереди плоским прозрачным козырьком. Приборное оборудование кабины было минимальным для выполнения единственного вылета: компас, указатель скорости, высотомер, а также несколько приборов контроля силовой установки.</w:t>
      </w:r>
    </w:p>
    <w:p w14:paraId="76CEC2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Единственное вооружение самолета - 100 кг бомба - подвешивалась под центроплан. Сбросить её в полете было невозможно (4800).</w:t>
      </w:r>
    </w:p>
    <w:p w14:paraId="750DB237" w14:textId="77777777" w:rsidR="00665165" w:rsidRPr="00F90EAE" w:rsidRDefault="00665165" w:rsidP="00F90EAE">
      <w:pPr>
        <w:autoSpaceDE w:val="0"/>
        <w:autoSpaceDN w:val="0"/>
        <w:adjustRightInd w:val="0"/>
        <w:jc w:val="both"/>
        <w:rPr>
          <w:color w:val="000000" w:themeColor="text1"/>
          <w:sz w:val="16"/>
          <w:szCs w:val="16"/>
        </w:rPr>
      </w:pPr>
    </w:p>
    <w:p w14:paraId="297AE1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1945 г. производство самолетов Ока модель 11 было прекращено из-за уязвимости самолета-носителя G4M2. Вместо «модели 11» была разработана «модель 22» с меньшим размахом крыла и боеголовкой в 600 кг. Для того чтобы Ока можно было сбрасывать с более дальней дистанции, на ней вместо ракетного двигателя установили компрессионный реактивный двигатель TSU-11, который был вариантом реактивного двигателя «Кампини». В конструкции этого двигателя использовался привод от 4-цилиндрового поршневого двигателя мощностью 75 кВт (100 л.с.).</w:t>
      </w:r>
    </w:p>
    <w:p w14:paraId="6A277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Испытания показали, что мощности TSU-11 для получения заданных характеристик недостаточно. </w:t>
      </w:r>
    </w:p>
    <w:p w14:paraId="061232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доставки новых самолетов-снарядов планировался специально разработанный перспективный средний скоростной двухместный бомбардировщик Йокосука PIY Гинга («Млечный путь») «модель 33». Его бомбовая нагрузка составляла 1600 кг.</w:t>
      </w:r>
    </w:p>
    <w:p w14:paraId="0327B4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Модель носителя от прототипа отличалась увеличенным размахом крыльев и шириной фюзеляжа. На вооружении флота этот бомбардировщик появился только в октябре 1944 г. До капитуляции Япония успела построить 1098 таких самолетов. Союзники прозвали этот самолет Frances.</w:t>
      </w:r>
    </w:p>
    <w:p w14:paraId="25375F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носителя самолета-снаряда Ока модель 22 планировалось также использовать четырехместный бомбардировщик G8N1 Рэндзан, который мог нести одновременно сразу два реактивных снаряда.</w:t>
      </w:r>
    </w:p>
    <w:p w14:paraId="5846BE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фирма «Аити» («Айчи») успела построить 50 самолетов Окамодель 22 (по данным некоторых работ (Иванов Ю.Г. Камикадзе: пилоты-смертники. Смоленск: Русич, 2001; Хорикоши Д., Окумия М., Кайдин М. Японская авиация во Второй мировой войне. М.: АСТ, 2001.). По другим данным (Широкорад А.Б. История авиационного вооружения. Минск: ХАРВЕСТ, 1999.), к 15 сентября 1945 г. было закончено изготовление 35 самолетов-снарядов Окамодель 22. Фирма планировала использовать для производства нового самолета-снаряда подземный завод, но к концу войны он так и не был построен.</w:t>
      </w:r>
    </w:p>
    <w:p w14:paraId="2CFFB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Пеpвый полет «модели 22» состоялся в июле 1945 г., второй – 12 августа того же года. Вспомогательные pакеты, установленные под кpыльями, неожиданно отказали сpазу же после сбpоса Ока с носителя. Самолет-снаpяд попал в штопоp, из котоpого не вышел. Второй испытательный полет также закончился неудачей.</w:t>
      </w:r>
    </w:p>
    <w:p w14:paraId="683027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 был переработан и получил название «модель 33».</w:t>
      </w:r>
    </w:p>
    <w:p w14:paraId="1A6D51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Ока модель33 представляла собой увеличенный размер «модели 22» с боевым зарядом в 800 кг. «Модель 33» снабжалась турбореактивным двигателем Ne-20. История создания этого двигателя следующая. Императорская военная миссия в Берлине развернула активную деятельность с целью получения образцов германских ракетных и реактивных двигателей. Такие двигатели в Японию доставлялись на подводных лодках (Ненахов Ю.Ю. Чудо-оружие Третьего рейха. Минск: ХАРВЕСТ, 1999.). В 1944 г. таким образом немцы переправили японцам свой первый серийный турбореактивный двигатель BMW «Bramo 003». В Японии этот двигатель получил название Ne-20 («Нэнсё 20»).</w:t>
      </w:r>
    </w:p>
    <w:p w14:paraId="6EDDCC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Предполагалось, что носителем «модели 33» также станет бомбардировщик G8N1 Рэндзан. Но поскольку работы по его созданию велись медленно, то пришлось отказаться от строительства самолета Ока модель 33. Также было прекращено строительство и более крупного самолета-снаряда Окамодель Ко. Вес штатного боезаряда составлял 800 кг. Этот проект еще называют «модель 43А» (Шахурин А.И. Крылья Победы. М.: Политиздат, 1990.). Последнюю модель Ока предполагалось запускать с помощью катапульты с палубы подводных лодок класса «I». Самолет-снаряд Окамодель Ко должен был иметь складывающиеся крылья и двигатель Ne-20, а размещаться в ангаре подводной лодки. При этом вместо трех бомбардировщиков Сэйран подводные гиганты должны были нести по 10 самолетов-снарядов (11686).</w:t>
      </w:r>
    </w:p>
    <w:p w14:paraId="4E09EB51" w14:textId="77777777" w:rsidR="00665165" w:rsidRPr="00F90EAE" w:rsidRDefault="00665165" w:rsidP="00F90EAE">
      <w:pPr>
        <w:autoSpaceDE w:val="0"/>
        <w:autoSpaceDN w:val="0"/>
        <w:adjustRightInd w:val="0"/>
        <w:jc w:val="both"/>
        <w:rPr>
          <w:color w:val="000000" w:themeColor="text1"/>
          <w:sz w:val="16"/>
          <w:szCs w:val="16"/>
        </w:rPr>
      </w:pPr>
    </w:p>
    <w:p w14:paraId="6D956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марта 1945 г. больше половины японских летчиков были превращены в камикадзе (Хорикоши Д., Окумия М., Кайдин М. Японская авиация во Второй мировой войне. М.: АСТ, 2001.). В ряды камикадзе, в соответствии с секретным циркуляром, не зачисляли опытных пилотов, хотя многие из них настойчиво направляли командованию неоднократные просьбы о зачислении их в подразделения специальных атак. Однако такие просьбы оставались без ответа, и опытные летчики продолжали службу в строевых частях военновоздушных сил.</w:t>
      </w:r>
    </w:p>
    <w:p w14:paraId="18A7CF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Японские юноши-камикадзе не были фанатиками, зомби или человекоподобными роботами. Они, как и все, боялись смерти, радовались солнцу и хотели вести нормальную человеческую жизнь. Камикадзе происходили из разных социальных слоев, имели различное воспитание, образование, взгляды и темперамент. В какой-то степени их можно разделить на несколько групп. В одну из них входила молодежь, с детства воспитанная в японских военных традициях. Другую группу составляли молодые люди с сильно развитыми религиозными принципами. Была и группа трезвомыслящих юношей, воспринимавших самоубийственную атаку как единственную возможность нанести эффективный удар по противнику в сложившейся обстановке.</w:t>
      </w:r>
    </w:p>
    <w:p w14:paraId="78DDD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Новобранцы из студентов университетов сознательно жертвовали собой, чтобы спасти «лицо» страны. Смертниками становились и бесшабашные «сорви-головы», и страдавшие манией самоубийства по самурайской традиции. Еще одна группа смертников называлась «скэбэй» (сладострастники) – за то, что они не отличались рвением уйти в последний полет. Их упрекали в том, что они продолжают жить в комфорте, в обществе гейш.</w:t>
      </w:r>
    </w:p>
    <w:p w14:paraId="7098D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Военнослужащие подразделений специальных атак не были ни святыми, ни дьяволами. Это были люди – со своими эмоциями и чувствами, достоинствами и недостатками, силой и слабостью.</w:t>
      </w:r>
    </w:p>
    <w:p w14:paraId="32B75D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Они пели, смеялись, любили, пили, гуляли, плакали, писали стихи, философствовали, совершали хорошие и дурные поступки.</w:t>
      </w:r>
    </w:p>
    <w:p w14:paraId="3F805E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Словом, это были нормальные люди. Однако непоказная готовность к самопожертвованию ради своей родины в минуты смертельной опасности, несомненно, причисляет их к лику героев.</w:t>
      </w:r>
    </w:p>
    <w:p w14:paraId="3AA6D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Статус летчика, вступившего в подразделение специальных атак, менялся. Он получал повышенное денежное содержание, отпуск для прощания с родными и улучшенное питание. Жены камикадзе автоматически становились вдовами офицеров с полагающейся компенсацией. Все камикадзе указом императора повышались в воинском звании на две ступени. Многие из них посмертно награждались орденами. Особое значение для камикадзе имело то, что в токийском храме Ясукуни устанавливалась медная табличка с его фамилией и именем. Выполнивший свою боевую задачу камикадзе становился военным божеством и подвиг его не забывался потомками.</w:t>
      </w:r>
    </w:p>
    <w:p w14:paraId="2CC8B4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 тем не менее командование, особенно в конце войны, жестко обращалось с летчиками-камикадзе. Зачастую летчикам обычных подразделений ВВС бесцеремонно объявляли, что их эскадрилья становится подразделением специальных атак. Тех из камикадзе, кто возвращался на свой аэродром по причине нелетной погоды, необнаружения цели или неисправности самолета, ругали, обвиняли в трусости и «непригодности умереть за императора». Техникам было приказано устанавливать взрыватели авиабомбы в таком положении, что летчики уже не могли посадить самолет, не взорвавшись. Малые запасы топлива заставили японских военачальников издать приказ о заправке самолетов камикадзе только для полета в район нахождения кораблей противника. Это приводило к тому, что падавшие на палубы самолеты порой даже не взрывались. Многие самолеты, выработав топливо, просто падали в океан (11686).</w:t>
      </w:r>
    </w:p>
    <w:p w14:paraId="2AD282BB" w14:textId="77777777" w:rsidR="00665165" w:rsidRPr="00F90EAE" w:rsidRDefault="00665165" w:rsidP="00F90EAE">
      <w:pPr>
        <w:autoSpaceDE w:val="0"/>
        <w:autoSpaceDN w:val="0"/>
        <w:adjustRightInd w:val="0"/>
        <w:jc w:val="both"/>
        <w:rPr>
          <w:color w:val="000000" w:themeColor="text1"/>
          <w:sz w:val="16"/>
          <w:szCs w:val="16"/>
        </w:rPr>
      </w:pPr>
    </w:p>
    <w:p w14:paraId="68EDF91A" w14:textId="77777777" w:rsidR="00E23C2F" w:rsidRPr="00F90EAE" w:rsidRDefault="00E23C2F" w:rsidP="00F90EAE">
      <w:pPr>
        <w:shd w:val="clear" w:color="auto" w:fill="FFFFFF"/>
        <w:jc w:val="both"/>
        <w:rPr>
          <w:color w:val="000000" w:themeColor="text1"/>
          <w:sz w:val="16"/>
          <w:szCs w:val="16"/>
        </w:rPr>
      </w:pPr>
      <w:r w:rsidRPr="00F90EAE">
        <w:rPr>
          <w:color w:val="000000" w:themeColor="text1"/>
          <w:sz w:val="16"/>
          <w:szCs w:val="16"/>
        </w:rPr>
        <w:t>В марте 1945 года Typ 205/II своим ходом доставили в Вюнсдорф в 2,5 километрах южнее Цоссена, где находилась ставка германского Генштаба. В советских документах, кстати говоря, это место нередко обозначалось как Штамлагер. Машину включили в состав сил, которые охраняли ставку, в районе Цоссена также проходило внешнее кольцо обороны Берлина.</w:t>
      </w:r>
    </w:p>
    <w:p w14:paraId="0C7A4AFE" w14:textId="77777777" w:rsidR="00E23C2F" w:rsidRPr="00F90EAE" w:rsidRDefault="00E23C2F" w:rsidP="00F90EAE">
      <w:pPr>
        <w:shd w:val="clear" w:color="auto" w:fill="FFFFFF"/>
        <w:jc w:val="both"/>
        <w:rPr>
          <w:color w:val="000000" w:themeColor="text1"/>
          <w:sz w:val="16"/>
          <w:szCs w:val="16"/>
        </w:rPr>
      </w:pPr>
      <w:r w:rsidRPr="00F90EAE">
        <w:rPr>
          <w:color w:val="000000" w:themeColor="text1"/>
          <w:sz w:val="16"/>
          <w:szCs w:val="16"/>
        </w:rPr>
        <w:t>О том, как использовался Typ 205/II в битве за Берлин, написано много, в спорах на эту тему сломано немало копий. С определённой долей уверенности можно говорить лишь о том, с кем сверхтяжёлый танк Порше потенциально мог воевать. С юго-востока на Берлин наступали части 3-й гвардейской танковой армии. 21 апреля 1945 года входивший в состав этого объединения 6-й гвардейский танковый корпус достиг рубежа Топхин, Целенсдорф. До Цоссена оставалось совсем немного, его захватили в ходе ночной атаки с 21 на 22 апреля. Благодаря неразберихе ставка германского Генштаба смогла уйти из Цоссена в момент занятия его 6-м гвардейским танковым корпусом. По воспоминаниям командира 53-й гвардейской танковой бригады В. С. Архипова, перед уходом эсэсовцы расстреляли часть штабистов, остальных эвакуировали (17676).</w:t>
      </w:r>
    </w:p>
    <w:p w14:paraId="4A9B9F01" w14:textId="77777777" w:rsidR="00E23C2F" w:rsidRPr="00F90EAE" w:rsidRDefault="00E23C2F" w:rsidP="00F90EAE">
      <w:pPr>
        <w:jc w:val="both"/>
        <w:rPr>
          <w:rStyle w:val="107"/>
          <w:rFonts w:eastAsiaTheme="minorHAnsi"/>
          <w:color w:val="000000" w:themeColor="text1"/>
          <w:sz w:val="16"/>
          <w:szCs w:val="16"/>
        </w:rPr>
      </w:pPr>
    </w:p>
    <w:p w14:paraId="4F2FD410" w14:textId="77777777" w:rsidR="009B1228" w:rsidRPr="00F90EAE" w:rsidRDefault="009B1228" w:rsidP="00F90EAE">
      <w:pPr>
        <w:jc w:val="both"/>
        <w:rPr>
          <w:color w:val="000000" w:themeColor="text1"/>
          <w:sz w:val="16"/>
          <w:szCs w:val="16"/>
        </w:rPr>
      </w:pPr>
      <w:r w:rsidRPr="00F90EAE">
        <w:rPr>
          <w:color w:val="000000" w:themeColor="text1"/>
          <w:sz w:val="16"/>
          <w:szCs w:val="16"/>
        </w:rPr>
        <w:t>В марте 1945 года офицер люфтваффе Вольф Баумгарт попал в плен американцам, где на допросе сообщил о беспосадочных полётах на Дальний Восток, в которых он якобы участвовал. На основе его показаний специалисты допросного подразделения 9-й воздушной армии США составили доклад, озаглавленный «Самолёты FAGr.5 над Маньчжурией». Согласно показаниям Баумгарта, весной 1944 года три Ju-290A-9, базировавшихся тогда на аэродроме Мон-де-Марсан на юге Франции, были отозваны в Германию на аэродром Фюрстенвальде, расположенный в 50 километрах юго-восточнее Берлина. Там самолёты прошли техническую подготовку для участия в предстоящей секретной операции. Далее Баумгарт сообщил, что на своём «юнкерсе» перелетел на аэродром около Одессы, откуда затем выполнил первый рейс в Маньчжоу-Го. Экипаж самолёта состоял всего из трёх человек: его самого, бортрадиста из его прежнего экипажа и незнакомого ему штурмана, который в воздухе по мере необходимости сообщал ему навигационные данные — курс, высоту полёта и т.п. Трасса полёта проходила над югом России, Казахстаном, Алтаем, озером Байкал, а также над восточной Монголией. При этом в течение последних двух часов перед посадкой в Маньчжоу-Го экипаж получал необходимую навигационную информацию из Токио. Обратно Баумгарт летел по тому же самому маршруту, но приземлился уже на аэродроме Мелец, в Польше. По его словам, общее полётное время рейса туда и обратно составило 33 часа. Второй полёт на Дальний Восток он совершил из Мелеца и вернулся туда же. Два других Ju-290A-9, якобы выполнивших также по два рейса, вылетали и возвращались на аэродром Позен (ныне Познань). «Юнкерсы» доставляли японцам авиационные двигатели BMW 801, а обратно перевозили некие металлические сплавы и натуральный каучук (19672).</w:t>
      </w:r>
    </w:p>
    <w:p w14:paraId="78E73676" w14:textId="77777777" w:rsidR="009B1228" w:rsidRPr="00F90EAE" w:rsidRDefault="009B1228" w:rsidP="00F90EAE">
      <w:pPr>
        <w:jc w:val="both"/>
        <w:rPr>
          <w:color w:val="000000" w:themeColor="text1"/>
          <w:sz w:val="16"/>
          <w:szCs w:val="16"/>
        </w:rPr>
      </w:pPr>
    </w:p>
    <w:p w14:paraId="23FF676F" w14:textId="77777777" w:rsidR="00BD44E6" w:rsidRPr="00F90EAE" w:rsidRDefault="00BD44E6" w:rsidP="00F90EAE">
      <w:pPr>
        <w:jc w:val="both"/>
        <w:rPr>
          <w:color w:val="0070C0"/>
          <w:sz w:val="16"/>
          <w:szCs w:val="16"/>
        </w:rPr>
      </w:pPr>
      <w:r w:rsidRPr="00F90EAE">
        <w:rPr>
          <w:color w:val="0070C0"/>
          <w:sz w:val="16"/>
          <w:szCs w:val="16"/>
        </w:rPr>
        <w:t>В марте 1945 Мексиканская авиакомпания Aerovias Braniff начинает работу. Флот компании состоит из трех самолетов Douglas DC-3 и выполняет рейсы из Мехико и Монтеррея, Мексика, в Ларедо, штат Техас (20371).</w:t>
      </w:r>
    </w:p>
    <w:p w14:paraId="182FE3A5" w14:textId="77777777" w:rsidR="00BD44E6" w:rsidRPr="00F90EAE" w:rsidRDefault="00BD44E6" w:rsidP="00F90EAE">
      <w:pPr>
        <w:jc w:val="both"/>
        <w:rPr>
          <w:color w:val="0070C0"/>
          <w:sz w:val="16"/>
          <w:szCs w:val="16"/>
        </w:rPr>
      </w:pPr>
    </w:p>
    <w:p w14:paraId="5921461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C8B2963" w14:textId="77777777" w:rsidR="00665165" w:rsidRPr="00F90EAE" w:rsidRDefault="00665165" w:rsidP="00F90EAE">
      <w:pPr>
        <w:autoSpaceDE w:val="0"/>
        <w:autoSpaceDN w:val="0"/>
        <w:adjustRightInd w:val="0"/>
        <w:jc w:val="both"/>
        <w:rPr>
          <w:iCs/>
          <w:color w:val="000000" w:themeColor="text1"/>
          <w:sz w:val="16"/>
          <w:szCs w:val="16"/>
        </w:rPr>
      </w:pPr>
    </w:p>
    <w:p w14:paraId="31BFA1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период с марта по май 1945 г. налет на один отказ при экс</w:t>
      </w:r>
      <w:r w:rsidRPr="00F90EAE">
        <w:rPr>
          <w:color w:val="000000" w:themeColor="text1"/>
          <w:sz w:val="16"/>
          <w:szCs w:val="16"/>
        </w:rPr>
        <w:softHyphen/>
        <w:t>плуатации самолетов Ил-10 в строевых частях ВВС в среднем составил всего 6,5 ч. При этом на каждый самолет в среднем приходилось 1,65 выявленного дефекта. Для сравнения налет на один отказ самолета Ил-2 за этот же период времени достигал 417ч.</w:t>
      </w:r>
    </w:p>
    <w:p w14:paraId="1FB37E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дополнение к уже известным производственным дефек</w:t>
      </w:r>
      <w:r w:rsidRPr="00F90EAE">
        <w:rPr>
          <w:color w:val="000000" w:themeColor="text1"/>
          <w:sz w:val="16"/>
          <w:szCs w:val="16"/>
        </w:rPr>
        <w:softHyphen/>
        <w:t>там и конструктивным недостаткам «десятки» в ходе боевой работы выявлялись все новые и новые.</w:t>
      </w:r>
    </w:p>
    <w:p w14:paraId="43F69B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мнению строевых летчиков, аварийный выпуск шасси требовал чрезмерно больших физических усилий. В большин</w:t>
      </w:r>
      <w:r w:rsidRPr="00F90EAE">
        <w:rPr>
          <w:color w:val="000000" w:themeColor="text1"/>
          <w:sz w:val="16"/>
          <w:szCs w:val="16"/>
        </w:rPr>
        <w:softHyphen/>
        <w:t>стве случаев летчику «приходилось бросать управление и до</w:t>
      </w:r>
      <w:r w:rsidRPr="00F90EAE">
        <w:rPr>
          <w:color w:val="000000" w:themeColor="text1"/>
          <w:sz w:val="16"/>
          <w:szCs w:val="16"/>
        </w:rPr>
        <w:softHyphen/>
        <w:t>жимать шасси на выпуск обеими руками». В ряде случаев это приводило к трагическим последствиям. Например, 13 октяб</w:t>
      </w:r>
      <w:r w:rsidRPr="00F90EAE">
        <w:rPr>
          <w:color w:val="000000" w:themeColor="text1"/>
          <w:sz w:val="16"/>
          <w:szCs w:val="16"/>
        </w:rPr>
        <w:softHyphen/>
        <w:t>ря 1945 г. в 949-м шап произошла катастрофа на самолете Ил-10 зав. № 105098. По неустановленной причине «шасси воздухом не выпустились», о чем летчик доложил по радио. Получив команду с земли выпускать шасси аварийно, летчик наполовину их выпустил, но в этот момент самолет потерял скорость и потерпел катастрофу. В ходе расследования комис</w:t>
      </w:r>
      <w:r w:rsidRPr="00F90EAE">
        <w:rPr>
          <w:color w:val="000000" w:themeColor="text1"/>
          <w:sz w:val="16"/>
          <w:szCs w:val="16"/>
        </w:rPr>
        <w:softHyphen/>
        <w:t>сия в качестве наиболее вероятной причины падения самолета предположила, что в момент дожатая летчиком обеими руками ручки аварийного выпуска шасси самолет потерял скорость ниже минимально допустимой по сваливанию. При этом вни</w:t>
      </w:r>
      <w:r w:rsidRPr="00F90EAE">
        <w:rPr>
          <w:color w:val="000000" w:themeColor="text1"/>
          <w:sz w:val="16"/>
          <w:szCs w:val="16"/>
        </w:rPr>
        <w:softHyphen/>
        <w:t>мание вышестоящего командования обращалось на следующее обстоятельство. Согласно временному техническому описа</w:t>
      </w:r>
      <w:r w:rsidRPr="00F90EAE">
        <w:rPr>
          <w:color w:val="000000" w:themeColor="text1"/>
          <w:sz w:val="16"/>
          <w:szCs w:val="16"/>
        </w:rPr>
        <w:softHyphen/>
        <w:t>нию самолета Ил-10, выпущенного заводом № 18, «полагается выпускать шасси аварийно на скорости 230—250 км/ч, но лет</w:t>
      </w:r>
      <w:r w:rsidRPr="00F90EAE">
        <w:rPr>
          <w:color w:val="000000" w:themeColor="text1"/>
          <w:sz w:val="16"/>
          <w:szCs w:val="16"/>
        </w:rPr>
        <w:softHyphen/>
        <w:t>ный состав утверждает, что самолет на этой скорости теряет устойчивость в горизонтальном полете».</w:t>
      </w:r>
    </w:p>
    <w:p w14:paraId="66ADBA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сбрасывании бомб из бомбовых отсеков встречались многочисленные случаи обрыва тросов управления створками, а также деформации створок в местах крепления петель. На отдельных машинах были зарегистрированы случаи обрыва траверсы углового ролика, через который проходил трос от створки бомболюка к компенсатору. После сброса бомб бомболюки было очень трудно закрыть, так как предусмотренная на самолете механическая система для закрытия створок тре</w:t>
      </w:r>
      <w:r w:rsidRPr="00F90EAE">
        <w:rPr>
          <w:color w:val="000000" w:themeColor="text1"/>
          <w:sz w:val="16"/>
          <w:szCs w:val="16"/>
        </w:rPr>
        <w:softHyphen/>
        <w:t>бовала усилий до 20 кг. Все это приводило к тому, что над це</w:t>
      </w:r>
      <w:r w:rsidRPr="00F90EAE">
        <w:rPr>
          <w:color w:val="000000" w:themeColor="text1"/>
          <w:sz w:val="16"/>
          <w:szCs w:val="16"/>
        </w:rPr>
        <w:softHyphen/>
        <w:t>лью экипажи после сброса бомб зачастую продолжали выпол</w:t>
      </w:r>
      <w:r w:rsidRPr="00F90EAE">
        <w:rPr>
          <w:color w:val="000000" w:themeColor="text1"/>
          <w:sz w:val="16"/>
          <w:szCs w:val="16"/>
        </w:rPr>
        <w:softHyphen/>
        <w:t>нять атаки с открытыми бомболюками. В результате «самолет терял в маневренности», а створки бомболкжов деформирова</w:t>
      </w:r>
      <w:r w:rsidRPr="00F90EAE">
        <w:rPr>
          <w:color w:val="000000" w:themeColor="text1"/>
          <w:sz w:val="16"/>
          <w:szCs w:val="16"/>
        </w:rPr>
        <w:softHyphen/>
        <w:t>лись. Имелись случаи, когда створки бомбовых отсеков откры</w:t>
      </w:r>
      <w:r w:rsidRPr="00F90EAE">
        <w:rPr>
          <w:color w:val="000000" w:themeColor="text1"/>
          <w:sz w:val="16"/>
          <w:szCs w:val="16"/>
        </w:rPr>
        <w:softHyphen/>
        <w:t>вались не полностью и бомбы зависали.</w:t>
      </w:r>
    </w:p>
    <w:p w14:paraId="31E786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показывают документы, этими дефектами страдали почти 70% самолетов Ил-10, поступивших на вооружение час</w:t>
      </w:r>
      <w:r w:rsidRPr="00F90EAE">
        <w:rPr>
          <w:color w:val="000000" w:themeColor="text1"/>
          <w:sz w:val="16"/>
          <w:szCs w:val="16"/>
        </w:rPr>
        <w:softHyphen/>
        <w:t>тей 15-й, 2-й и 3-й воздушных армий.</w:t>
      </w:r>
    </w:p>
    <w:p w14:paraId="1A2D6B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устранения дефектов с 8-й серии (апрель 1945 г.) на за</w:t>
      </w:r>
      <w:r w:rsidRPr="00F90EAE">
        <w:rPr>
          <w:color w:val="000000" w:themeColor="text1"/>
          <w:sz w:val="16"/>
          <w:szCs w:val="16"/>
        </w:rPr>
        <w:softHyphen/>
        <w:t>водах стали ставить накладки под петли створок, а с 12-й — провели усиление и створок, и петель.</w:t>
      </w:r>
    </w:p>
    <w:p w14:paraId="5B71D1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и следовало ожидать, из строевых частей вскоре стали поступать сообщения о деформациях и даже срыве обшивки крыла. Листы обшивки шли волнами, заклепки срезались или вырывались по полкам переднего лонжерона. На некоторых ма</w:t>
      </w:r>
      <w:r w:rsidRPr="00F90EAE">
        <w:rPr>
          <w:color w:val="000000" w:themeColor="text1"/>
          <w:sz w:val="16"/>
          <w:szCs w:val="16"/>
        </w:rPr>
        <w:softHyphen/>
        <w:t>шинах наблюдался отрыв листов нижней обшивки центроплана по поперечным швам, а также деформации стенок переднего лонжерона консолей. Имелись случаи ослабления заклепочных швов обшивки фюзеляжа в области крепления костыльной уста</w:t>
      </w:r>
      <w:r w:rsidRPr="00F90EAE">
        <w:rPr>
          <w:color w:val="000000" w:themeColor="text1"/>
          <w:sz w:val="16"/>
          <w:szCs w:val="16"/>
        </w:rPr>
        <w:softHyphen/>
        <w:t>новки и по листу перехода килевой части фюзеляжа, а также де</w:t>
      </w:r>
      <w:r w:rsidRPr="00F90EAE">
        <w:rPr>
          <w:color w:val="000000" w:themeColor="text1"/>
          <w:sz w:val="16"/>
          <w:szCs w:val="16"/>
        </w:rPr>
        <w:softHyphen/>
        <w:t>формация рам хвостовой части фюзеляжа.</w:t>
      </w:r>
    </w:p>
    <w:p w14:paraId="3873AA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Например, в частях 15-й воздушной армии за три месяца эксплуатации Ил-10, с марта по май 1945 г., по этой причине вышли из строя все «десятки» из первой партии поставки — всего 45 самолетов производства завода № 1 с 3-й по 5-ю се</w:t>
      </w:r>
      <w:r w:rsidRPr="00F90EAE">
        <w:rPr>
          <w:color w:val="000000" w:themeColor="text1"/>
          <w:sz w:val="16"/>
          <w:szCs w:val="16"/>
        </w:rPr>
        <w:softHyphen/>
        <w:t>рию. Причем эти дефекты проявились уже после 15—18 ч налета самолетов. Как следует из доклада главного инженера армии генерал-майора Иоф</w:t>
      </w:r>
      <w:r w:rsidRPr="00F90EAE">
        <w:rPr>
          <w:color w:val="000000" w:themeColor="text1"/>
          <w:sz w:val="16"/>
          <w:szCs w:val="16"/>
        </w:rPr>
        <w:softHyphen/>
        <w:t>фе, «все эти машины были сняты с эксплуатации и пере</w:t>
      </w:r>
      <w:r w:rsidRPr="00F90EAE">
        <w:rPr>
          <w:color w:val="000000" w:themeColor="text1"/>
          <w:sz w:val="16"/>
          <w:szCs w:val="16"/>
        </w:rPr>
        <w:softHyphen/>
        <w:t>даны в школы ВВС».</w:t>
      </w:r>
    </w:p>
    <w:p w14:paraId="48539A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Летный состав особо ука</w:t>
      </w:r>
      <w:r w:rsidRPr="00F90EAE">
        <w:rPr>
          <w:color w:val="000000" w:themeColor="text1"/>
          <w:sz w:val="16"/>
          <w:szCs w:val="16"/>
        </w:rPr>
        <w:softHyphen/>
        <w:t>зывал, что «самолет Ил-10 на пикировании не терпит рез</w:t>
      </w:r>
      <w:r w:rsidRPr="00F90EAE">
        <w:rPr>
          <w:color w:val="000000" w:themeColor="text1"/>
          <w:sz w:val="16"/>
          <w:szCs w:val="16"/>
        </w:rPr>
        <w:softHyphen/>
        <w:t>костей в выводе, не допускает перегрузки 5,5 единицы» (11474,510).</w:t>
      </w:r>
    </w:p>
    <w:p w14:paraId="4A58E0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984E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г. на заводе 153 было изготовлено 77 с-тов Як-9М, предназначенных для переоборудования в учебно-тренировочные с-ты Як-9В с ВК105-ПФ в соответствии с решением ГОКО на заводе N 301 МАП и ВВС отправил их эшелонами на 301 завод в мае и июне 1945. Вся группа в 77 самолетов была запущена в производство и у всех машин была произведена переделка фюзеляжей (2074,123).</w:t>
      </w:r>
    </w:p>
    <w:p w14:paraId="4402C7A9" w14:textId="77777777" w:rsidR="00665165" w:rsidRPr="00F90EAE" w:rsidRDefault="00665165" w:rsidP="00F90EAE">
      <w:pPr>
        <w:autoSpaceDE w:val="0"/>
        <w:autoSpaceDN w:val="0"/>
        <w:adjustRightInd w:val="0"/>
        <w:jc w:val="both"/>
        <w:rPr>
          <w:color w:val="000000" w:themeColor="text1"/>
          <w:sz w:val="16"/>
          <w:szCs w:val="16"/>
        </w:rPr>
      </w:pPr>
    </w:p>
    <w:p w14:paraId="39B266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марте-апреле 1945 года новые противопылевые патрубки, необходимость которых стала ясна при войсковых испытаниях Ла-7, были внедрены в серийное производство. Новая конструкция была разработана еа заводе №21 с приводом от гид</w:t>
      </w:r>
      <w:r w:rsidRPr="00F90EAE">
        <w:rPr>
          <w:color w:val="000000" w:themeColor="text1"/>
          <w:sz w:val="16"/>
          <w:szCs w:val="16"/>
        </w:rPr>
        <w:softHyphen/>
        <w:t>росистемы уборки и выпуска шасси. Входные отверстия всасывающих пат</w:t>
      </w:r>
      <w:r w:rsidRPr="00F90EAE">
        <w:rPr>
          <w:color w:val="000000" w:themeColor="text1"/>
          <w:sz w:val="16"/>
          <w:szCs w:val="16"/>
        </w:rPr>
        <w:softHyphen/>
        <w:t>рубков на взлете и посадке по-пре</w:t>
      </w:r>
      <w:r w:rsidRPr="00F90EAE">
        <w:rPr>
          <w:color w:val="000000" w:themeColor="text1"/>
          <w:sz w:val="16"/>
          <w:szCs w:val="16"/>
        </w:rPr>
        <w:softHyphen/>
        <w:t>жнему закрывались заслонками, но забор воздуха при этом теперь осу</w:t>
      </w:r>
      <w:r w:rsidRPr="00F90EAE">
        <w:rPr>
          <w:color w:val="000000" w:themeColor="text1"/>
          <w:sz w:val="16"/>
          <w:szCs w:val="16"/>
        </w:rPr>
        <w:softHyphen/>
        <w:t>ществлялся через два закрытых сет</w:t>
      </w:r>
      <w:r w:rsidRPr="00F90EAE">
        <w:rPr>
          <w:color w:val="000000" w:themeColor="text1"/>
          <w:sz w:val="16"/>
          <w:szCs w:val="16"/>
        </w:rPr>
        <w:softHyphen/>
        <w:t>кой «Дельбах» отверстия в верхней части капота. При уборке шасси эти отверстия закрывались гидросистемой самолета, а штатные патрубки в нос</w:t>
      </w:r>
      <w:r w:rsidRPr="00F90EAE">
        <w:rPr>
          <w:color w:val="000000" w:themeColor="text1"/>
          <w:sz w:val="16"/>
          <w:szCs w:val="16"/>
        </w:rPr>
        <w:softHyphen/>
        <w:t>ке центроплана открывались. Конст</w:t>
      </w:r>
      <w:r w:rsidRPr="00F90EAE">
        <w:rPr>
          <w:color w:val="000000" w:themeColor="text1"/>
          <w:sz w:val="16"/>
          <w:szCs w:val="16"/>
        </w:rPr>
        <w:softHyphen/>
        <w:t>рукция эта была более сложной, но зато теперь уже никто не мог сказать, что патрубки с фильтрами располо</w:t>
      </w:r>
      <w:r w:rsidRPr="00F90EAE">
        <w:rPr>
          <w:color w:val="000000" w:themeColor="text1"/>
          <w:sz w:val="16"/>
          <w:szCs w:val="16"/>
        </w:rPr>
        <w:softHyphen/>
        <w:t>жены слишком низко и слабо защи</w:t>
      </w:r>
      <w:r w:rsidRPr="00F90EAE">
        <w:rPr>
          <w:color w:val="000000" w:themeColor="text1"/>
          <w:sz w:val="16"/>
          <w:szCs w:val="16"/>
        </w:rPr>
        <w:softHyphen/>
        <w:t>щены от пыли (10730).</w:t>
      </w:r>
    </w:p>
    <w:p w14:paraId="0C17E5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BDA0B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марта до конца мая 1945 проходили государственные испытания второго Пе-8ОН в ГК НИИ ВВС. Самолет испытывал экипаж военных летчиков-испытателей во главе с ведущим летчиком-испытателем В.И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561F31" w:rsidRPr="00F90EAE" w14:paraId="56C9E989" w14:textId="77777777">
        <w:tc>
          <w:tcPr>
            <w:tcW w:w="4261" w:type="dxa"/>
          </w:tcPr>
          <w:p w14:paraId="46FED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Масса пустого самолета, кг</w:t>
            </w:r>
          </w:p>
        </w:tc>
        <w:tc>
          <w:tcPr>
            <w:tcW w:w="4261" w:type="dxa"/>
          </w:tcPr>
          <w:p w14:paraId="3942E7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r>
      <w:tr w:rsidR="00561F31" w:rsidRPr="00F90EAE" w14:paraId="00500FAC" w14:textId="77777777">
        <w:tc>
          <w:tcPr>
            <w:tcW w:w="4261" w:type="dxa"/>
          </w:tcPr>
          <w:p w14:paraId="1B112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полетная масса, кг</w:t>
            </w:r>
          </w:p>
        </w:tc>
        <w:tc>
          <w:tcPr>
            <w:tcW w:w="4261" w:type="dxa"/>
          </w:tcPr>
          <w:p w14:paraId="7B4AD1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r>
      <w:tr w:rsidR="00561F31" w:rsidRPr="00F90EAE" w14:paraId="300290D5" w14:textId="77777777">
        <w:tc>
          <w:tcPr>
            <w:tcW w:w="4261" w:type="dxa"/>
          </w:tcPr>
          <w:p w14:paraId="1A75F6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Перегрузочная масса, кг</w:t>
            </w:r>
          </w:p>
        </w:tc>
        <w:tc>
          <w:tcPr>
            <w:tcW w:w="4261" w:type="dxa"/>
          </w:tcPr>
          <w:p w14:paraId="3A74DB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r>
      <w:tr w:rsidR="00561F31" w:rsidRPr="00F90EAE" w14:paraId="01441281" w14:textId="77777777">
        <w:tc>
          <w:tcPr>
            <w:tcW w:w="4261" w:type="dxa"/>
          </w:tcPr>
          <w:p w14:paraId="6D7B14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топливных баков, л</w:t>
            </w:r>
          </w:p>
        </w:tc>
        <w:tc>
          <w:tcPr>
            <w:tcW w:w="4261" w:type="dxa"/>
          </w:tcPr>
          <w:p w14:paraId="25D897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r>
      <w:tr w:rsidR="00561F31" w:rsidRPr="00F90EAE" w14:paraId="0D8E33EA" w14:textId="77777777">
        <w:tc>
          <w:tcPr>
            <w:tcW w:w="4261" w:type="dxa"/>
          </w:tcPr>
          <w:p w14:paraId="2B868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чел.</w:t>
            </w:r>
          </w:p>
        </w:tc>
        <w:tc>
          <w:tcPr>
            <w:tcW w:w="4261" w:type="dxa"/>
          </w:tcPr>
          <w:p w14:paraId="62951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3BC3DC09" w14:textId="77777777">
        <w:tc>
          <w:tcPr>
            <w:tcW w:w="4261" w:type="dxa"/>
          </w:tcPr>
          <w:p w14:paraId="236A55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км/ч у земли</w:t>
            </w:r>
          </w:p>
        </w:tc>
        <w:tc>
          <w:tcPr>
            <w:tcW w:w="4261" w:type="dxa"/>
          </w:tcPr>
          <w:p w14:paraId="416E33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r>
      <w:tr w:rsidR="00561F31" w:rsidRPr="00F90EAE" w14:paraId="50013ACC" w14:textId="77777777">
        <w:tc>
          <w:tcPr>
            <w:tcW w:w="4261" w:type="dxa"/>
          </w:tcPr>
          <w:p w14:paraId="63DD21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6000 м</w:t>
            </w:r>
          </w:p>
        </w:tc>
        <w:tc>
          <w:tcPr>
            <w:tcW w:w="4261" w:type="dxa"/>
          </w:tcPr>
          <w:p w14:paraId="354FC3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r>
      <w:tr w:rsidR="00561F31" w:rsidRPr="00F90EAE" w14:paraId="6021A34E" w14:textId="77777777">
        <w:tc>
          <w:tcPr>
            <w:tcW w:w="4261" w:type="dxa"/>
          </w:tcPr>
          <w:p w14:paraId="5A397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4261" w:type="dxa"/>
          </w:tcPr>
          <w:p w14:paraId="6A7686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r>
      <w:tr w:rsidR="00561F31" w:rsidRPr="00F90EAE" w14:paraId="2D401760" w14:textId="77777777">
        <w:tc>
          <w:tcPr>
            <w:tcW w:w="4261" w:type="dxa"/>
          </w:tcPr>
          <w:p w14:paraId="0582D6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Бремя подъема, мин на высоту 5000м</w:t>
            </w:r>
          </w:p>
        </w:tc>
        <w:tc>
          <w:tcPr>
            <w:tcW w:w="4261" w:type="dxa"/>
          </w:tcPr>
          <w:p w14:paraId="076448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w:t>
            </w:r>
          </w:p>
        </w:tc>
      </w:tr>
      <w:tr w:rsidR="00561F31" w:rsidRPr="00F90EAE" w14:paraId="77818B47" w14:textId="77777777">
        <w:tc>
          <w:tcPr>
            <w:tcW w:w="4261" w:type="dxa"/>
          </w:tcPr>
          <w:p w14:paraId="0ECD82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км</w:t>
            </w:r>
          </w:p>
        </w:tc>
        <w:tc>
          <w:tcPr>
            <w:tcW w:w="4261" w:type="dxa"/>
          </w:tcPr>
          <w:p w14:paraId="7D1A5D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r>
      <w:tr w:rsidR="00561F31" w:rsidRPr="00F90EAE" w14:paraId="2A413C96" w14:textId="77777777">
        <w:tc>
          <w:tcPr>
            <w:tcW w:w="4261" w:type="dxa"/>
          </w:tcPr>
          <w:p w14:paraId="3FC92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м</w:t>
            </w:r>
          </w:p>
        </w:tc>
        <w:tc>
          <w:tcPr>
            <w:tcW w:w="4261" w:type="dxa"/>
          </w:tcPr>
          <w:p w14:paraId="220B6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r>
      <w:tr w:rsidR="00561F31" w:rsidRPr="00F90EAE" w14:paraId="65A130B1" w14:textId="77777777">
        <w:tc>
          <w:tcPr>
            <w:tcW w:w="4261" w:type="dxa"/>
          </w:tcPr>
          <w:p w14:paraId="23BE0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пробега, м</w:t>
            </w:r>
          </w:p>
        </w:tc>
        <w:tc>
          <w:tcPr>
            <w:tcW w:w="4261" w:type="dxa"/>
          </w:tcPr>
          <w:p w14:paraId="4C3699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r>
      <w:tr w:rsidR="00561F31" w:rsidRPr="00F90EAE" w14:paraId="4F1210A5" w14:textId="77777777">
        <w:tc>
          <w:tcPr>
            <w:tcW w:w="4261" w:type="dxa"/>
          </w:tcPr>
          <w:p w14:paraId="73D5E2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 км/ч</w:t>
            </w:r>
          </w:p>
        </w:tc>
        <w:tc>
          <w:tcPr>
            <w:tcW w:w="4261" w:type="dxa"/>
          </w:tcPr>
          <w:p w14:paraId="6F5947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r>
    </w:tbl>
    <w:p w14:paraId="03156D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681770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664452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66253F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3E10133F" w14:textId="77777777" w:rsidR="00665165" w:rsidRPr="00F90EAE" w:rsidRDefault="00665165" w:rsidP="00F90EAE">
      <w:pPr>
        <w:autoSpaceDE w:val="0"/>
        <w:autoSpaceDN w:val="0"/>
        <w:adjustRightInd w:val="0"/>
        <w:jc w:val="both"/>
        <w:rPr>
          <w:color w:val="000000" w:themeColor="text1"/>
          <w:sz w:val="16"/>
          <w:szCs w:val="16"/>
        </w:rPr>
      </w:pPr>
    </w:p>
    <w:p w14:paraId="09BF2B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марта до конца мая 1945 проходили государственные испытания второго Пе-8ОН в ГК НИИ ВВС.</w:t>
      </w:r>
    </w:p>
    <w:p w14:paraId="05F209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1542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050633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59E712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10BFA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22B8F6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2CD2E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326C93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A5EF4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7D909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5C5282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4687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5C257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5B99E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3A9E9B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71CAEC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10DDB2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2410C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31F50B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20BDF2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321CD2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16B9BF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6EE26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7E72F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1B23F1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CE218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18C425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37EAAF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16E75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45A040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2FCE6A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1CDFB0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4C8A26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6AE4AF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622600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66ED2A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338642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40A1F7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20AD0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Основные дефекты в работе ВМГ</w:t>
      </w:r>
    </w:p>
    <w:p w14:paraId="28A9EA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1995F6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291DBF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754A49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3DE56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3DCD0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692509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4CDF3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B022F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0DD6A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7E61A2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66343A39" w14:textId="77777777">
        <w:tc>
          <w:tcPr>
            <w:tcW w:w="4219" w:type="dxa"/>
            <w:tcBorders>
              <w:top w:val="single" w:sz="12" w:space="0" w:color="auto"/>
            </w:tcBorders>
          </w:tcPr>
          <w:p w14:paraId="0293BB0D" w14:textId="77777777" w:rsidR="00665165" w:rsidRPr="00F90EAE" w:rsidRDefault="00665165"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787B96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3856D4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761D89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1C231325" w14:textId="77777777">
        <w:tc>
          <w:tcPr>
            <w:tcW w:w="4219" w:type="dxa"/>
          </w:tcPr>
          <w:p w14:paraId="7CAA8A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35A087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6A757F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389DE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2069F232" w14:textId="77777777">
        <w:tc>
          <w:tcPr>
            <w:tcW w:w="4219" w:type="dxa"/>
          </w:tcPr>
          <w:p w14:paraId="08A23B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52D43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31F55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2CCF1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0B4935D2" w14:textId="77777777">
        <w:tc>
          <w:tcPr>
            <w:tcW w:w="4219" w:type="dxa"/>
          </w:tcPr>
          <w:p w14:paraId="1B7D2B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2BFB9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6E2305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50955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03AF889F" w14:textId="77777777">
        <w:tc>
          <w:tcPr>
            <w:tcW w:w="4219" w:type="dxa"/>
          </w:tcPr>
          <w:p w14:paraId="12A264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7AE31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75B64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6BFDD3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090B9F7F" w14:textId="77777777">
        <w:tc>
          <w:tcPr>
            <w:tcW w:w="4219" w:type="dxa"/>
          </w:tcPr>
          <w:p w14:paraId="0018E2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55B05F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6A3C47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2592BA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3BCF578B" w14:textId="77777777">
        <w:tc>
          <w:tcPr>
            <w:tcW w:w="4219" w:type="dxa"/>
          </w:tcPr>
          <w:p w14:paraId="1DF290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7DA4D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39208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3112D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5C475E38" w14:textId="77777777">
        <w:tc>
          <w:tcPr>
            <w:tcW w:w="4219" w:type="dxa"/>
          </w:tcPr>
          <w:p w14:paraId="1C5E48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68137B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4E6A7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6636B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6A4F36E9" w14:textId="77777777">
        <w:tc>
          <w:tcPr>
            <w:tcW w:w="4219" w:type="dxa"/>
          </w:tcPr>
          <w:p w14:paraId="38F664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5F7C90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48B0F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487C79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4205F9C9" w14:textId="77777777">
        <w:tc>
          <w:tcPr>
            <w:tcW w:w="4219" w:type="dxa"/>
          </w:tcPr>
          <w:p w14:paraId="7BFA87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551BC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24DF47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24B4AA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759196F5" w14:textId="77777777">
        <w:tc>
          <w:tcPr>
            <w:tcW w:w="4219" w:type="dxa"/>
          </w:tcPr>
          <w:p w14:paraId="7A4C5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5E8760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0A8CA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51F9C1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3E1F2E18" w14:textId="77777777">
        <w:tc>
          <w:tcPr>
            <w:tcW w:w="4219" w:type="dxa"/>
          </w:tcPr>
          <w:p w14:paraId="6D592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10BFF6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2F5D4E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298DC0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4B99FC3C" w14:textId="77777777">
        <w:tc>
          <w:tcPr>
            <w:tcW w:w="4219" w:type="dxa"/>
          </w:tcPr>
          <w:p w14:paraId="4D381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7B56C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4BD190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41A755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1CA1B252" w14:textId="77777777">
        <w:tc>
          <w:tcPr>
            <w:tcW w:w="4219" w:type="dxa"/>
          </w:tcPr>
          <w:p w14:paraId="6D6E6E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408963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71BBD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4EDA0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6D992D08" w14:textId="77777777">
        <w:tc>
          <w:tcPr>
            <w:tcW w:w="4219" w:type="dxa"/>
          </w:tcPr>
          <w:p w14:paraId="0242C3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564D9C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7A8832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55FD32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5B267CCB" w14:textId="77777777">
        <w:tc>
          <w:tcPr>
            <w:tcW w:w="4219" w:type="dxa"/>
          </w:tcPr>
          <w:p w14:paraId="28617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3F071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0E7CD6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6640B3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0CD7722C" w14:textId="77777777">
        <w:tc>
          <w:tcPr>
            <w:tcW w:w="4219" w:type="dxa"/>
          </w:tcPr>
          <w:p w14:paraId="6E8E61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673E1D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55080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308C2E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0A29A94C" w14:textId="77777777">
        <w:tc>
          <w:tcPr>
            <w:tcW w:w="4219" w:type="dxa"/>
          </w:tcPr>
          <w:p w14:paraId="4043AD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7F61A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6191E2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34A071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66C908BB" w14:textId="77777777">
        <w:tc>
          <w:tcPr>
            <w:tcW w:w="4219" w:type="dxa"/>
            <w:tcBorders>
              <w:bottom w:val="single" w:sz="12" w:space="0" w:color="auto"/>
            </w:tcBorders>
          </w:tcPr>
          <w:p w14:paraId="7B507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5919F0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5331E2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3BB9ED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4960E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248E7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0986AB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E68E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Допустимая нагрузка при перегрузке: горючее - 5300, масло 200, всего 5500</w:t>
      </w:r>
    </w:p>
    <w:p w14:paraId="692CD9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621C308C" w14:textId="77777777">
        <w:tc>
          <w:tcPr>
            <w:tcW w:w="675" w:type="dxa"/>
            <w:tcBorders>
              <w:top w:val="single" w:sz="12" w:space="0" w:color="auto"/>
            </w:tcBorders>
          </w:tcPr>
          <w:p w14:paraId="78AA4B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38205D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4CABE6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79B68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6B060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6B60FC52" w14:textId="77777777">
        <w:tc>
          <w:tcPr>
            <w:tcW w:w="675" w:type="dxa"/>
          </w:tcPr>
          <w:p w14:paraId="6E7F5508" w14:textId="77777777" w:rsidR="00665165" w:rsidRPr="00F90EAE" w:rsidRDefault="00665165" w:rsidP="00F90EAE">
            <w:pPr>
              <w:autoSpaceDE w:val="0"/>
              <w:autoSpaceDN w:val="0"/>
              <w:adjustRightInd w:val="0"/>
              <w:jc w:val="both"/>
              <w:rPr>
                <w:color w:val="000000" w:themeColor="text1"/>
                <w:sz w:val="16"/>
                <w:szCs w:val="16"/>
              </w:rPr>
            </w:pPr>
          </w:p>
        </w:tc>
        <w:tc>
          <w:tcPr>
            <w:tcW w:w="993" w:type="dxa"/>
          </w:tcPr>
          <w:p w14:paraId="25EDFC82"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35FCD095"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EDAB74D"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7B6D04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5E36D43" w14:textId="77777777">
        <w:tc>
          <w:tcPr>
            <w:tcW w:w="675" w:type="dxa"/>
          </w:tcPr>
          <w:p w14:paraId="02BCCF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206D4E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1C659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F70C8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24CCF5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0769743D" w14:textId="77777777">
        <w:tc>
          <w:tcPr>
            <w:tcW w:w="675" w:type="dxa"/>
          </w:tcPr>
          <w:p w14:paraId="60E391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15511C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63B8E4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471D84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526F0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48EF0412" w14:textId="77777777">
        <w:tc>
          <w:tcPr>
            <w:tcW w:w="675" w:type="dxa"/>
          </w:tcPr>
          <w:p w14:paraId="739D0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6AD2B2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301091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6B018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2CB8CF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5293898B" w14:textId="77777777">
        <w:tc>
          <w:tcPr>
            <w:tcW w:w="675" w:type="dxa"/>
          </w:tcPr>
          <w:p w14:paraId="147C13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770A19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5987C3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487489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39D59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145E65AB" w14:textId="77777777">
        <w:tc>
          <w:tcPr>
            <w:tcW w:w="675" w:type="dxa"/>
          </w:tcPr>
          <w:p w14:paraId="011069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6DB86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57211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AA0EE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7AD9E6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2C5EE943" w14:textId="77777777">
        <w:tc>
          <w:tcPr>
            <w:tcW w:w="675" w:type="dxa"/>
          </w:tcPr>
          <w:p w14:paraId="046F17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34DED2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634E86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56912D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1A82F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495631DB" w14:textId="77777777">
        <w:tc>
          <w:tcPr>
            <w:tcW w:w="675" w:type="dxa"/>
          </w:tcPr>
          <w:p w14:paraId="50277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1445A3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4EA72A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E071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718654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573B1912" w14:textId="77777777">
        <w:tc>
          <w:tcPr>
            <w:tcW w:w="675" w:type="dxa"/>
          </w:tcPr>
          <w:p w14:paraId="0AC37D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08B229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35FF8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266593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21D3D9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5DEB05AA" w14:textId="77777777">
        <w:tc>
          <w:tcPr>
            <w:tcW w:w="675" w:type="dxa"/>
            <w:tcBorders>
              <w:bottom w:val="single" w:sz="12" w:space="0" w:color="auto"/>
            </w:tcBorders>
          </w:tcPr>
          <w:p w14:paraId="113DB4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074A76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4EB296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3450FE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224C2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1C454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5DBFEFC7" w14:textId="77777777">
        <w:tc>
          <w:tcPr>
            <w:tcW w:w="1868" w:type="dxa"/>
            <w:tcBorders>
              <w:top w:val="single" w:sz="12" w:space="0" w:color="auto"/>
            </w:tcBorders>
          </w:tcPr>
          <w:p w14:paraId="28179F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2D4FB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6576CB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19714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2905BD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5C3928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17E596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026EFD83" w14:textId="77777777">
        <w:tc>
          <w:tcPr>
            <w:tcW w:w="1868" w:type="dxa"/>
          </w:tcPr>
          <w:p w14:paraId="275E8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70CF9B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677BF7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19CDD3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0835B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FD6F3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44476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28B146D8" w14:textId="77777777">
        <w:tc>
          <w:tcPr>
            <w:tcW w:w="1868" w:type="dxa"/>
          </w:tcPr>
          <w:p w14:paraId="77002E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5D0C9E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482420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2D04F8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32C457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15881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2B604E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77D3E7CC" w14:textId="77777777">
        <w:tc>
          <w:tcPr>
            <w:tcW w:w="1868" w:type="dxa"/>
          </w:tcPr>
          <w:p w14:paraId="33F78F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75" w:type="dxa"/>
          </w:tcPr>
          <w:p w14:paraId="3B5B5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3B083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4438D6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53922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96B0E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0B05C7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7FAC63E4" w14:textId="77777777">
        <w:tc>
          <w:tcPr>
            <w:tcW w:w="1868" w:type="dxa"/>
          </w:tcPr>
          <w:p w14:paraId="177084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52926B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5638C2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5A820B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49F131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5142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303516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17E66FA1" w14:textId="77777777">
        <w:tc>
          <w:tcPr>
            <w:tcW w:w="1868" w:type="dxa"/>
          </w:tcPr>
          <w:p w14:paraId="138121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5BF4F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60F5DB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52F068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6BE6BA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D98B6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36A2A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71EB34F7" w14:textId="77777777">
        <w:tc>
          <w:tcPr>
            <w:tcW w:w="1868" w:type="dxa"/>
          </w:tcPr>
          <w:p w14:paraId="7E5532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2573D0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66FF8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7493F4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6B24B0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99B9F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624AF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4897FE7E" w14:textId="77777777">
        <w:tc>
          <w:tcPr>
            <w:tcW w:w="1868" w:type="dxa"/>
          </w:tcPr>
          <w:p w14:paraId="675BED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4CAF6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7F9E4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76EB5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3DEB3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46325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6A9DF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0EBA56DF" w14:textId="77777777">
        <w:tc>
          <w:tcPr>
            <w:tcW w:w="1868" w:type="dxa"/>
          </w:tcPr>
          <w:p w14:paraId="0A0AF8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61EDE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7E84AD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42FC0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5910FF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7C1EFF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4C3E57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323CB281" w14:textId="77777777">
        <w:tc>
          <w:tcPr>
            <w:tcW w:w="1868" w:type="dxa"/>
            <w:tcBorders>
              <w:bottom w:val="single" w:sz="12" w:space="0" w:color="auto"/>
            </w:tcBorders>
          </w:tcPr>
          <w:p w14:paraId="1DA359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1EBB5D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1502F9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2E37B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2B0BA9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797F3B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21075B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5D98BB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476B9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053A56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2A0D7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61E9C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5F8E24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6B2176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7DC670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гм иас М.Левин</w:t>
      </w:r>
    </w:p>
    <w:p w14:paraId="40E15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1F9B617B" w14:textId="77777777" w:rsidR="00665165" w:rsidRPr="00F90EAE" w:rsidRDefault="00665165" w:rsidP="00F90EAE">
      <w:pPr>
        <w:autoSpaceDE w:val="0"/>
        <w:autoSpaceDN w:val="0"/>
        <w:adjustRightInd w:val="0"/>
        <w:jc w:val="both"/>
        <w:rPr>
          <w:color w:val="000000" w:themeColor="text1"/>
          <w:sz w:val="16"/>
          <w:szCs w:val="16"/>
        </w:rPr>
      </w:pPr>
    </w:p>
    <w:p w14:paraId="26F77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проходили гос. испытания Ту-2 2 АШ-82ФН с винтами АВ-5В-37 N 16/7 производства 23 завода. Вед. ли М.А.Нюхтиков, М.П.Субботин. Увеличилась скорость, но и разбег и рекомендации ЦАГИ по замене винта не оправдались (807,5).</w:t>
      </w:r>
    </w:p>
    <w:p w14:paraId="7E9F704F" w14:textId="77777777" w:rsidR="00665165" w:rsidRPr="00F90EAE" w:rsidRDefault="00665165" w:rsidP="00F90EAE">
      <w:pPr>
        <w:autoSpaceDE w:val="0"/>
        <w:autoSpaceDN w:val="0"/>
        <w:adjustRightInd w:val="0"/>
        <w:jc w:val="both"/>
        <w:rPr>
          <w:color w:val="000000" w:themeColor="text1"/>
          <w:sz w:val="16"/>
          <w:szCs w:val="16"/>
        </w:rPr>
      </w:pPr>
    </w:p>
    <w:p w14:paraId="45A47C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проходили гос. испытания Ту-2 2 АШ-82ФН с винтами АВ-5В-37 N 16/7 производства 23 завода</w:t>
      </w:r>
    </w:p>
    <w:p w14:paraId="523D1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0B9EDC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688C89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В.А.Шубранов</w:t>
      </w:r>
    </w:p>
    <w:p w14:paraId="727514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 М.А.Нюхтиков</w:t>
      </w:r>
    </w:p>
    <w:p w14:paraId="10A11D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м-р М.П.Субботин</w:t>
      </w:r>
    </w:p>
    <w:p w14:paraId="0FEB8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5AD1C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3E079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этого этот винт не был рекомендован</w:t>
      </w:r>
    </w:p>
    <w:p w14:paraId="433F7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74460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3D171E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винтами серийными АВ-5В-167А в марте 1945 были получены:</w:t>
      </w:r>
    </w:p>
    <w:p w14:paraId="3AF14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- 477 км/час</w:t>
      </w:r>
    </w:p>
    <w:p w14:paraId="554F40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высотности 2600 м - 530 км/час</w:t>
      </w:r>
    </w:p>
    <w:p w14:paraId="5C5CDA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 высотности 5700 м - 544 км/час</w:t>
      </w:r>
    </w:p>
    <w:p w14:paraId="712AF1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- 9,3</w:t>
      </w:r>
    </w:p>
    <w:p w14:paraId="178081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9650 м, время набора - 38</w:t>
      </w:r>
    </w:p>
    <w:p w14:paraId="37E9E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- 690 м</w:t>
      </w:r>
    </w:p>
    <w:p w14:paraId="230C0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режим - обороты - 2500, Рк 1180.</w:t>
      </w:r>
    </w:p>
    <w:p w14:paraId="1FBCC6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12720 кг</w:t>
      </w:r>
    </w:p>
    <w:p w14:paraId="2817E9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 190 км/час (807,5).</w:t>
      </w:r>
    </w:p>
    <w:p w14:paraId="3866AF65" w14:textId="77777777" w:rsidR="00665165" w:rsidRPr="00F90EAE" w:rsidRDefault="00665165" w:rsidP="00F90EAE">
      <w:pPr>
        <w:autoSpaceDE w:val="0"/>
        <w:autoSpaceDN w:val="0"/>
        <w:adjustRightInd w:val="0"/>
        <w:jc w:val="both"/>
        <w:rPr>
          <w:color w:val="000000" w:themeColor="text1"/>
          <w:sz w:val="16"/>
          <w:szCs w:val="16"/>
        </w:rPr>
      </w:pPr>
    </w:p>
    <w:p w14:paraId="566376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проводились летные испытания в планерном варианте оставшихся Би (Би-5 и Би-6) за В-25J. Би-5 был на лыжном, а Би-6 - на колесном шасси. Проверяли, почему наблюдалась вибрация хвостового оперения Би-7, у которого на моторном капоте были обтекатели пусковых устройств (1107,80).</w:t>
      </w:r>
    </w:p>
    <w:p w14:paraId="40D470A0" w14:textId="77777777" w:rsidR="00665165" w:rsidRPr="00F90EAE" w:rsidRDefault="00665165" w:rsidP="00F90EAE">
      <w:pPr>
        <w:autoSpaceDE w:val="0"/>
        <w:autoSpaceDN w:val="0"/>
        <w:adjustRightInd w:val="0"/>
        <w:jc w:val="both"/>
        <w:rPr>
          <w:color w:val="000000" w:themeColor="text1"/>
          <w:sz w:val="16"/>
          <w:szCs w:val="16"/>
        </w:rPr>
      </w:pPr>
    </w:p>
    <w:p w14:paraId="30F190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 апреле 1945 на стенде испытывался АМ-45 вместе со специально спроектированным двухступенчатым четырехскоростным нагнетателем для АМ-45. М-45 (АМ-45) - дальнейшее развитие АМ-44 с двухступенчатым ПЦН, интеркулером и непосредственным впрыском. 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3E4636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Характеристики:</w:t>
      </w:r>
    </w:p>
    <w:p w14:paraId="26A76C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диаметр цилиндра/ход поршня 160/190 (в цилиндрах с прицепными шатунами 196,8) мм;</w:t>
      </w:r>
    </w:p>
    <w:p w14:paraId="7FF3B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объем 46,66 л;</w:t>
      </w:r>
    </w:p>
    <w:p w14:paraId="442799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мощность и вес в зависимости от модификации;</w:t>
      </w:r>
    </w:p>
    <w:p w14:paraId="3E40AF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запуск сжатым воздухом.</w:t>
      </w:r>
    </w:p>
    <w:p w14:paraId="52A775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Известны три модификации:</w:t>
      </w:r>
    </w:p>
    <w:p w14:paraId="7D5261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F90EAE">
        <w:rPr>
          <w:color w:val="000000" w:themeColor="text1"/>
          <w:sz w:val="16"/>
          <w:szCs w:val="16"/>
        </w:rPr>
        <w:softHyphen/>
        <w:t>ные испытания.</w:t>
      </w:r>
    </w:p>
    <w:p w14:paraId="5C79DE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4A5D68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АМ-45Ш, 2400/3000 л.с. Изготовлен в двух экземплярах в 1948 г., проходил заводские испытания.</w:t>
      </w:r>
    </w:p>
    <w:p w14:paraId="7C83A2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Существовал проект модификации Ил-10 с этим двигателем (11852).</w:t>
      </w:r>
    </w:p>
    <w:p w14:paraId="60F1B9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46CB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г. на стенде в ЦИАМ испытывали специально проектированный двухступенчатый четырехскоростной нагнетатель Э-174, который предназначался для М-45. 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 (11934).</w:t>
      </w:r>
    </w:p>
    <w:p w14:paraId="48EE2020" w14:textId="77777777" w:rsidR="00665165" w:rsidRPr="00F90EAE" w:rsidRDefault="00665165" w:rsidP="00F90EAE">
      <w:pPr>
        <w:autoSpaceDE w:val="0"/>
        <w:autoSpaceDN w:val="0"/>
        <w:adjustRightInd w:val="0"/>
        <w:jc w:val="both"/>
        <w:rPr>
          <w:color w:val="000000" w:themeColor="text1"/>
          <w:sz w:val="16"/>
          <w:szCs w:val="16"/>
        </w:rPr>
      </w:pPr>
    </w:p>
    <w:p w14:paraId="725341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 мае 1945 г. ВК-107Р летал на самолете И-250 («Н»), а в апреле — июле того же года — на И-107 (Су-5). ВК-107Р выпускался серийно на заводе № 466 (с по</w:t>
      </w:r>
      <w:r w:rsidRPr="00F90EAE">
        <w:rPr>
          <w:color w:val="000000" w:themeColor="text1"/>
          <w:sz w:val="16"/>
          <w:szCs w:val="16"/>
        </w:rPr>
        <w:softHyphen/>
        <w:t>ставкой моторов ВК-107А с завода № 26) со второй половины 1945 г. для истребителей И-250 (11852).</w:t>
      </w:r>
    </w:p>
    <w:p w14:paraId="7F12BE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1417B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6DE4502" w14:textId="77777777" w:rsidR="00665165" w:rsidRPr="00F90EAE" w:rsidRDefault="00665165" w:rsidP="00F90EAE">
      <w:pPr>
        <w:autoSpaceDE w:val="0"/>
        <w:autoSpaceDN w:val="0"/>
        <w:adjustRightInd w:val="0"/>
        <w:jc w:val="both"/>
        <w:rPr>
          <w:iCs/>
          <w:color w:val="000000" w:themeColor="text1"/>
          <w:sz w:val="16"/>
          <w:szCs w:val="16"/>
        </w:rPr>
      </w:pPr>
    </w:p>
    <w:p w14:paraId="280A37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 апреле 1945 г. на НИБТ полигоне в Кубинке были проведены дополнительные ходовые испытания танка "Объект 701" в тяжелых дорожных условиях (10703).</w:t>
      </w:r>
    </w:p>
    <w:p w14:paraId="2B0B26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5E278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 апреле 1945 г. были проведены дополнительные полигон</w:t>
      </w:r>
      <w:r w:rsidRPr="00F90EAE">
        <w:rPr>
          <w:color w:val="000000" w:themeColor="text1"/>
          <w:sz w:val="16"/>
          <w:szCs w:val="16"/>
        </w:rPr>
        <w:softHyphen/>
        <w:t>ные испытания танка "Объект 701" № 6 в тяжелых дорожных условиях. По результатам испытаний комиссия повторно рекомендовала тяжелый танк "Объект 701" для принятия на вооружение Красной Армии. Вслед</w:t>
      </w:r>
      <w:r w:rsidRPr="00F90EAE">
        <w:rPr>
          <w:color w:val="000000" w:themeColor="text1"/>
          <w:sz w:val="16"/>
          <w:szCs w:val="16"/>
        </w:rPr>
        <w:softHyphen/>
        <w:t>ствие несвоевременной и неполной отработанности чертежей машины на ЧКЗ, а также отсутствия на заводе необходимой производственной и контрольно-мерительной оснастки, освоение серийного производства нового танка затянулось до конца 1946 г. (10703).</w:t>
      </w:r>
    </w:p>
    <w:p w14:paraId="3C318A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38989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марта - апреля 1945 г. завод усиленно работал над изготов</w:t>
      </w:r>
      <w:r w:rsidRPr="00F90EAE">
        <w:rPr>
          <w:color w:val="000000" w:themeColor="text1"/>
          <w:sz w:val="16"/>
          <w:szCs w:val="16"/>
        </w:rPr>
        <w:softHyphen/>
        <w:t>лением двух опытных образцов САУ "Уралмаш-1", причем на одном из них была установлена 100-мм пушка Д-10С (машина имела индекс СУ-101), на втором - 122-мм пушка Д-25 (машина имела индекс СУ-102). К моменту окончания войны были изготовлены оба опытных образ</w:t>
      </w:r>
      <w:r w:rsidRPr="00F90EAE">
        <w:rPr>
          <w:color w:val="000000" w:themeColor="text1"/>
          <w:sz w:val="16"/>
          <w:szCs w:val="16"/>
        </w:rPr>
        <w:softHyphen/>
        <w:t>ца и отдельно корпус САУ для определения его снарядостойкости. Все</w:t>
      </w:r>
      <w:r w:rsidRPr="00F90EAE">
        <w:rPr>
          <w:color w:val="000000" w:themeColor="text1"/>
          <w:sz w:val="16"/>
          <w:szCs w:val="16"/>
        </w:rPr>
        <w:softHyphen/>
        <w:t>сторонние испытания и доработка машин проводилась уже после окон</w:t>
      </w:r>
      <w:r w:rsidRPr="00F90EAE">
        <w:rPr>
          <w:color w:val="000000" w:themeColor="text1"/>
          <w:sz w:val="16"/>
          <w:szCs w:val="16"/>
        </w:rPr>
        <w:softHyphen/>
        <w:t>чания Великой Отечественной войны (10703).</w:t>
      </w:r>
    </w:p>
    <w:p w14:paraId="5E60AA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D8B85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марте — апреле 1945 года после пока</w:t>
      </w:r>
      <w:r w:rsidRPr="00F90EAE">
        <w:rPr>
          <w:color w:val="000000" w:themeColor="text1"/>
          <w:sz w:val="16"/>
          <w:szCs w:val="16"/>
        </w:rPr>
        <w:softHyphen/>
        <w:t>за членам Правительства, танк Т-54 (первый образец) прошел ис</w:t>
      </w:r>
      <w:r w:rsidRPr="00F90EAE">
        <w:rPr>
          <w:color w:val="000000" w:themeColor="text1"/>
          <w:sz w:val="16"/>
          <w:szCs w:val="16"/>
        </w:rPr>
        <w:softHyphen/>
        <w:t>пытания на НИБТ полигоне, по результатам которых, члены комиссии сочли целесообразным рекомендовать его для принятия на вооружение Красной Армии с обязательным устранением выявленных недостатков. На вооружение танк не принимался и в серийном производстве не со</w:t>
      </w:r>
      <w:r w:rsidRPr="00F90EAE">
        <w:rPr>
          <w:color w:val="000000" w:themeColor="text1"/>
          <w:sz w:val="16"/>
          <w:szCs w:val="16"/>
        </w:rPr>
        <w:softHyphen/>
        <w:t>стоял. Опытный танк Т-54 являлся дальнейшим усовершенствованием среднего танка Т-44 в отношении значительного повышения его боевых свойств. Танк имел классическую схему общей компоновки, аналогич</w:t>
      </w:r>
      <w:r w:rsidRPr="00F90EAE">
        <w:rPr>
          <w:color w:val="000000" w:themeColor="text1"/>
          <w:sz w:val="16"/>
          <w:szCs w:val="16"/>
        </w:rPr>
        <w:softHyphen/>
        <w:t>ную компоновке серийного танка Т-44 и условно был разделен на три отделения: управления, боевое и моторно-трансмиссионное (10703).</w:t>
      </w:r>
    </w:p>
    <w:p w14:paraId="2C9B82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4D9C002" w14:textId="77777777" w:rsidR="00E23C2F" w:rsidRPr="00F90EAE" w:rsidRDefault="00E23C2F" w:rsidP="00F90EAE">
      <w:pPr>
        <w:shd w:val="clear" w:color="auto" w:fill="FFFFFF"/>
        <w:jc w:val="both"/>
        <w:rPr>
          <w:color w:val="000000" w:themeColor="text1"/>
          <w:sz w:val="16"/>
          <w:szCs w:val="16"/>
        </w:rPr>
      </w:pPr>
      <w:r w:rsidRPr="00F90EAE">
        <w:rPr>
          <w:color w:val="000000" w:themeColor="text1"/>
          <w:sz w:val="16"/>
          <w:szCs w:val="16"/>
        </w:rPr>
        <w:t>В течение марта-мая 1945 года испытания В-16Ф показали низкую надёжность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тяжёлого танка в таком виде он уже не годился. Дело в том, что в таком случае по мощности он даже чуть уступал серийному мотору В-2ИС. Работы по В-16 продолжились, окончательно из программы ИС-7 он исчез только к началу 1946 года, хотя к этому времени его конфигурация несколько изменилась (16735).</w:t>
      </w:r>
    </w:p>
    <w:p w14:paraId="10A7F3E8" w14:textId="77777777" w:rsidR="00E23C2F" w:rsidRPr="00F90EAE" w:rsidRDefault="00E23C2F" w:rsidP="00F90EAE">
      <w:pPr>
        <w:jc w:val="both"/>
        <w:rPr>
          <w:rStyle w:val="107"/>
          <w:rFonts w:eastAsiaTheme="minorHAnsi"/>
          <w:color w:val="000000" w:themeColor="text1"/>
          <w:sz w:val="16"/>
          <w:szCs w:val="16"/>
        </w:rPr>
      </w:pPr>
    </w:p>
    <w:p w14:paraId="1644C35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7064242" w14:textId="77777777" w:rsidR="00665165" w:rsidRPr="00F90EAE" w:rsidRDefault="00665165" w:rsidP="00F90EAE">
      <w:pPr>
        <w:autoSpaceDE w:val="0"/>
        <w:autoSpaceDN w:val="0"/>
        <w:adjustRightInd w:val="0"/>
        <w:jc w:val="both"/>
        <w:rPr>
          <w:iCs/>
          <w:color w:val="000000" w:themeColor="text1"/>
          <w:sz w:val="16"/>
          <w:szCs w:val="16"/>
        </w:rPr>
      </w:pPr>
    </w:p>
    <w:p w14:paraId="7628C8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г. еще не до конца подготовленную польскую бомбардировочную дивизию, входившая в формирующийся в Харькове 1-й польский смешанный авиакорпус, имевшую в строю 99 Пе-2 и состоящую из трех полков - 3-го, 4-го и 5-го, перебросили в Польшу, где обучение продолжилось. Боеготовности соединение достигло лишь в конце мая, поэтому в боевых операциях оно не участвовало (4476).</w:t>
      </w:r>
    </w:p>
    <w:p w14:paraId="15A1A1C3" w14:textId="77777777" w:rsidR="00665165" w:rsidRPr="00F90EAE" w:rsidRDefault="00665165" w:rsidP="00F90EAE">
      <w:pPr>
        <w:autoSpaceDE w:val="0"/>
        <w:autoSpaceDN w:val="0"/>
        <w:adjustRightInd w:val="0"/>
        <w:jc w:val="both"/>
        <w:rPr>
          <w:color w:val="000000" w:themeColor="text1"/>
          <w:sz w:val="16"/>
          <w:szCs w:val="16"/>
        </w:rPr>
      </w:pPr>
    </w:p>
    <w:p w14:paraId="74C76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г. еще не до конца подготовленную польскую бомбардировочную дивизию, имевшую в строю 99 Пе-2, перебросили в Польшу, где продолжила обучение. Боеготовности она достигла лишь в конце мая, поэтому в боевых операциях не участвовала.</w:t>
      </w:r>
    </w:p>
    <w:p w14:paraId="2153D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1944 г., когда советская авиация завоевала стратегическое господство в воздухе, удалось выделить современные бомбардировщики для вооружения формировавшихся в СССР соединений ВВС стран Восточной Европы. Наиболее крупные поставки осуществлялись польским ВВС. В том же году в районе Харькова начал формироваться 1-й польский смешанный авиакорпус, в который входила бомбардировочная дивизия на Пе-2. Она состояла из трех полков 3-го, 4-го и 5-го. Правда, в польской армии, действовавшей на территории СССР, своих авиационных специалистов не хватало, и значительная часть летного состава и почти весь технический персонал пришлось "позаимствовать" из советских полков, на базе которых они формировались. </w:t>
      </w:r>
    </w:p>
    <w:p w14:paraId="28897C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3D7A3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самолетов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147005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польских послевоенных ВВС на бомбардировщиках Пе-2 летала целая авиадивизия.</w:t>
      </w:r>
    </w:p>
    <w:p w14:paraId="288EA5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0368A3F1" w14:textId="77777777" w:rsidR="00665165" w:rsidRPr="00F90EAE" w:rsidRDefault="00665165" w:rsidP="00F90EAE">
      <w:pPr>
        <w:autoSpaceDE w:val="0"/>
        <w:autoSpaceDN w:val="0"/>
        <w:adjustRightInd w:val="0"/>
        <w:jc w:val="both"/>
        <w:rPr>
          <w:color w:val="000000" w:themeColor="text1"/>
          <w:sz w:val="16"/>
          <w:szCs w:val="16"/>
        </w:rPr>
      </w:pPr>
    </w:p>
    <w:p w14:paraId="6065F8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 - апреле 1945 г. Ла-7 начали поступать в действовавшую на советско-германском фронте 1-ю чехословацкую сад. Первые машины этого типа направили в новый 2-й иап. Он проходил интенсивную подготовку, но не успел принять участие в боевых действиях. В конце апреля Ла-7 прибыли и в 1-й иап, вооружённый Ла-5ФН, но также в бой не попали.</w:t>
      </w:r>
    </w:p>
    <w:p w14:paraId="430180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окончания войны все самолёты чехословацких частей были безвозмездно переданы Советским Союзом правительству Чехословакии. Истребители получили новые опознавательные знаки и новое обозначение - S-97. В июне 1945 г. 1-й иап имел 13 Ла-7, 2-й - 41.</w:t>
      </w:r>
    </w:p>
    <w:p w14:paraId="2BB43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реорганизации чехословацких ВВС осенью 1945 г. оба этих полка вошли в состав 4-й авиадивизии в Словакии. Там в 1947 г. некоторым S-97 довелось повоевать с бандеров- цами, укрывавшимися в горных районах страны. Тщательно ухоженные машины, хранившиеся в закрытых помещениях, прослужили в Чехословакии до начала 1950-х гг.</w:t>
      </w:r>
    </w:p>
    <w:p w14:paraId="3C19A2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зарубежных изданиях сообщается, что около 40 Ла-7 в 1948 г. передали Румынии. Никакой достоверной информации по этому поводу до сих пор обнаружить не удалось.</w:t>
      </w:r>
    </w:p>
    <w:p w14:paraId="3E6F36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 г. в Китай для учебных целей из Советского Союза поставили 12 "рулёжных" (уже не летающих, но ещё способных бегать по аэродрому) Ла-7. Дальнейшая судьба их неизвестна, скорее всего, эти самолёты передали в лётные и технические школы ВВС НОАК. Американские источники сообщают о применении Ла-7 в начальный период войны в Корее, но за этим стоят явные ошибки в идентификации машин, поскольку боевые Ла-7 не поставлялись ни северокорейским, ни китайским ВВС (11986).</w:t>
      </w:r>
    </w:p>
    <w:p w14:paraId="4B94F3AA" w14:textId="77777777" w:rsidR="00665165" w:rsidRPr="00F90EAE" w:rsidRDefault="00665165" w:rsidP="00F90EAE">
      <w:pPr>
        <w:autoSpaceDE w:val="0"/>
        <w:autoSpaceDN w:val="0"/>
        <w:adjustRightInd w:val="0"/>
        <w:jc w:val="both"/>
        <w:rPr>
          <w:color w:val="000000" w:themeColor="text1"/>
          <w:sz w:val="16"/>
          <w:szCs w:val="16"/>
        </w:rPr>
      </w:pPr>
    </w:p>
    <w:p w14:paraId="2C54A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марте-апреле 1945 г. 12-й полк принимал участие в борьбе за военно-морскую базу Пиллау, а затем - во взятии Кенигсберга (4476).</w:t>
      </w:r>
    </w:p>
    <w:p w14:paraId="45BB85BE" w14:textId="77777777" w:rsidR="00665165" w:rsidRPr="00F90EAE" w:rsidRDefault="00665165" w:rsidP="00F90EAE">
      <w:pPr>
        <w:autoSpaceDE w:val="0"/>
        <w:autoSpaceDN w:val="0"/>
        <w:adjustRightInd w:val="0"/>
        <w:jc w:val="both"/>
        <w:rPr>
          <w:color w:val="000000" w:themeColor="text1"/>
          <w:sz w:val="16"/>
          <w:szCs w:val="16"/>
        </w:rPr>
      </w:pPr>
    </w:p>
    <w:p w14:paraId="4606B44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A3EAAA3" w14:textId="77777777" w:rsidR="00665165" w:rsidRPr="00F90EAE" w:rsidRDefault="00665165" w:rsidP="00F90EAE">
      <w:pPr>
        <w:autoSpaceDE w:val="0"/>
        <w:autoSpaceDN w:val="0"/>
        <w:adjustRightInd w:val="0"/>
        <w:jc w:val="both"/>
        <w:rPr>
          <w:iCs/>
          <w:color w:val="000000" w:themeColor="text1"/>
          <w:sz w:val="16"/>
          <w:szCs w:val="16"/>
        </w:rPr>
      </w:pPr>
    </w:p>
    <w:p w14:paraId="2124F4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первом квартале 1945 года два опытных образца нового танка, которому была присвоена марка Т-54, были изготовлены, в этом же году проведены их испытания (9154).</w:t>
      </w:r>
    </w:p>
    <w:p w14:paraId="21C2B353" w14:textId="77777777" w:rsidR="00665165" w:rsidRPr="00F90EAE" w:rsidRDefault="00665165" w:rsidP="00F90EAE">
      <w:pPr>
        <w:autoSpaceDE w:val="0"/>
        <w:autoSpaceDN w:val="0"/>
        <w:adjustRightInd w:val="0"/>
        <w:jc w:val="both"/>
        <w:rPr>
          <w:color w:val="000000" w:themeColor="text1"/>
          <w:sz w:val="16"/>
          <w:szCs w:val="16"/>
        </w:rPr>
      </w:pPr>
    </w:p>
    <w:p w14:paraId="7A8B6FAA" w14:textId="77777777" w:rsidR="00505829" w:rsidRPr="00F90EAE" w:rsidRDefault="00505829"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247D880" w14:textId="77777777" w:rsidR="00505829" w:rsidRPr="00F90EAE" w:rsidRDefault="00505829" w:rsidP="00F90EAE">
      <w:pPr>
        <w:autoSpaceDE w:val="0"/>
        <w:autoSpaceDN w:val="0"/>
        <w:adjustRightInd w:val="0"/>
        <w:jc w:val="both"/>
        <w:rPr>
          <w:iCs/>
          <w:color w:val="000000" w:themeColor="text1"/>
          <w:sz w:val="16"/>
          <w:szCs w:val="16"/>
        </w:rPr>
      </w:pPr>
    </w:p>
    <w:p w14:paraId="7C0F17B7" w14:textId="77777777" w:rsidR="00505829" w:rsidRPr="00F90EAE" w:rsidRDefault="00505829" w:rsidP="00F90EAE">
      <w:pPr>
        <w:jc w:val="both"/>
        <w:rPr>
          <w:color w:val="0070C0"/>
          <w:sz w:val="16"/>
          <w:szCs w:val="16"/>
        </w:rPr>
      </w:pPr>
      <w:r w:rsidRPr="00F90EAE">
        <w:rPr>
          <w:color w:val="0070C0"/>
          <w:sz w:val="16"/>
          <w:szCs w:val="16"/>
          <w:lang w:bidi="ru-RU"/>
        </w:rPr>
        <w:t>К середине весны 1945 г. все части 6-й бом</w:t>
      </w:r>
      <w:r w:rsidRPr="00F90EAE">
        <w:rPr>
          <w:color w:val="0070C0"/>
          <w:sz w:val="16"/>
          <w:szCs w:val="16"/>
          <w:lang w:bidi="ru-RU"/>
        </w:rPr>
        <w:softHyphen/>
        <w:t>бардировочного корпуса уже дислоцировались на аэро</w:t>
      </w:r>
      <w:r w:rsidRPr="00F90EAE">
        <w:rPr>
          <w:color w:val="0070C0"/>
          <w:sz w:val="16"/>
          <w:szCs w:val="16"/>
          <w:lang w:bidi="ru-RU"/>
        </w:rPr>
        <w:softHyphen/>
        <w:t>дромах Польши и Германии, само же сое</w:t>
      </w:r>
      <w:r w:rsidRPr="00F90EAE">
        <w:rPr>
          <w:color w:val="0070C0"/>
          <w:sz w:val="16"/>
          <w:szCs w:val="16"/>
          <w:lang w:bidi="ru-RU"/>
        </w:rPr>
        <w:softHyphen/>
        <w:t>динение переподчинили 16-й воздушной армии. В его составе тогда насчитывалось около 200 самолетов. Воздушная армия должна была поддерживать наступление войск 1-го Белорусского фронта на Бер</w:t>
      </w:r>
      <w:r w:rsidRPr="00F90EAE">
        <w:rPr>
          <w:color w:val="0070C0"/>
          <w:sz w:val="16"/>
          <w:szCs w:val="16"/>
          <w:lang w:bidi="ru-RU"/>
        </w:rPr>
        <w:softHyphen/>
        <w:t>лин. Дожди размягчили полевые аэро</w:t>
      </w:r>
      <w:r w:rsidRPr="00F90EAE">
        <w:rPr>
          <w:color w:val="0070C0"/>
          <w:sz w:val="16"/>
          <w:szCs w:val="16"/>
          <w:lang w:bidi="ru-RU"/>
        </w:rPr>
        <w:softHyphen/>
        <w:t>дромы. Поэтому в Германии под взлетные полосы приспособили отрезки автобанов. Берлинская операция началась 16 апреля. С первого дня бомбардировщики нано</w:t>
      </w:r>
      <w:r w:rsidRPr="00F90EAE">
        <w:rPr>
          <w:color w:val="0070C0"/>
          <w:sz w:val="16"/>
          <w:szCs w:val="16"/>
          <w:lang w:bidi="ru-RU"/>
        </w:rPr>
        <w:softHyphen/>
        <w:t>сили удары по обороне противника. Так, 20 апреля 18 Ту-2 6-го бап, вылетевшие с прикрытием из 24 истребителей, бом</w:t>
      </w:r>
      <w:r w:rsidRPr="00F90EAE">
        <w:rPr>
          <w:color w:val="0070C0"/>
          <w:sz w:val="16"/>
          <w:szCs w:val="16"/>
          <w:lang w:bidi="ru-RU"/>
        </w:rPr>
        <w:softHyphen/>
        <w:t>били внутренний обвод обороны герман</w:t>
      </w:r>
      <w:r w:rsidRPr="00F90EAE">
        <w:rPr>
          <w:color w:val="0070C0"/>
          <w:sz w:val="16"/>
          <w:szCs w:val="16"/>
          <w:lang w:bidi="ru-RU"/>
        </w:rPr>
        <w:softHyphen/>
        <w:t>ской столицы.</w:t>
      </w:r>
    </w:p>
    <w:p w14:paraId="6A0DC85B" w14:textId="77777777" w:rsidR="00505829" w:rsidRPr="00F90EAE" w:rsidRDefault="00505829" w:rsidP="00F90EAE">
      <w:pPr>
        <w:jc w:val="both"/>
        <w:rPr>
          <w:color w:val="0070C0"/>
          <w:sz w:val="16"/>
          <w:szCs w:val="16"/>
        </w:rPr>
      </w:pPr>
      <w:r w:rsidRPr="00F90EAE">
        <w:rPr>
          <w:color w:val="0070C0"/>
          <w:sz w:val="16"/>
          <w:szCs w:val="16"/>
          <w:lang w:bidi="ru-RU"/>
        </w:rPr>
        <w:t>В зависимости от характера цели ко</w:t>
      </w:r>
      <w:r w:rsidRPr="00F90EAE">
        <w:rPr>
          <w:color w:val="0070C0"/>
          <w:sz w:val="16"/>
          <w:szCs w:val="16"/>
          <w:lang w:bidi="ru-RU"/>
        </w:rPr>
        <w:softHyphen/>
        <w:t>личество самолетов варьировалось. Мо</w:t>
      </w:r>
      <w:r w:rsidRPr="00F90EAE">
        <w:rPr>
          <w:color w:val="0070C0"/>
          <w:sz w:val="16"/>
          <w:szCs w:val="16"/>
          <w:lang w:bidi="ru-RU"/>
        </w:rPr>
        <w:softHyphen/>
        <w:t>гли поднять в воздух целую дивизию. Так, 115-я бад неоднократно вылетала в со</w:t>
      </w:r>
      <w:r w:rsidRPr="00F90EAE">
        <w:rPr>
          <w:color w:val="0070C0"/>
          <w:sz w:val="16"/>
          <w:szCs w:val="16"/>
          <w:lang w:bidi="ru-RU"/>
        </w:rPr>
        <w:softHyphen/>
        <w:t>ставе 90-120 машин. Но могли отправить на задание полк, эскадрилью или звено, а иногда и один самолет. Ту-2 работали по целям на глубину 250-500 км от ли</w:t>
      </w:r>
      <w:r w:rsidRPr="00F90EAE">
        <w:rPr>
          <w:color w:val="0070C0"/>
          <w:sz w:val="16"/>
          <w:szCs w:val="16"/>
          <w:lang w:bidi="ru-RU"/>
        </w:rPr>
        <w:softHyphen/>
        <w:t>нии фронта. Использовались разнообраз</w:t>
      </w:r>
      <w:r w:rsidRPr="00F90EAE">
        <w:rPr>
          <w:color w:val="0070C0"/>
          <w:sz w:val="16"/>
          <w:szCs w:val="16"/>
          <w:lang w:bidi="ru-RU"/>
        </w:rPr>
        <w:softHyphen/>
        <w:t>ные типы бомб: фугасные, осколочные, зажигательные и противотанковые. Не</w:t>
      </w:r>
      <w:r w:rsidRPr="00F90EAE">
        <w:rPr>
          <w:color w:val="0070C0"/>
          <w:sz w:val="16"/>
          <w:szCs w:val="16"/>
          <w:lang w:bidi="ru-RU"/>
        </w:rPr>
        <w:softHyphen/>
        <w:t>редко брали по максимуму - до 5000 кг на самолет. Чаще всего бомбометание осуществлялось с высот 1000-5000 м, но при бомбежке мостов и опорных пун</w:t>
      </w:r>
      <w:r w:rsidRPr="00F90EAE">
        <w:rPr>
          <w:color w:val="0070C0"/>
          <w:sz w:val="16"/>
          <w:szCs w:val="16"/>
          <w:lang w:bidi="ru-RU"/>
        </w:rPr>
        <w:softHyphen/>
        <w:t>ктов обороны самолеты иногда снижа лись до 500-500 м. Практиковался сброс бомб залпом или серией по ведущему группы, а также с индивидуальным прице</w:t>
      </w:r>
      <w:r w:rsidRPr="00F90EAE">
        <w:rPr>
          <w:color w:val="0070C0"/>
          <w:sz w:val="16"/>
          <w:szCs w:val="16"/>
          <w:lang w:bidi="ru-RU"/>
        </w:rPr>
        <w:softHyphen/>
        <w:t>ливанием. Кроме бомб, сбрасывались ли</w:t>
      </w:r>
      <w:r w:rsidRPr="00F90EAE">
        <w:rPr>
          <w:color w:val="0070C0"/>
          <w:sz w:val="16"/>
          <w:szCs w:val="16"/>
          <w:lang w:bidi="ru-RU"/>
        </w:rPr>
        <w:softHyphen/>
        <w:t>стовки, предлагавшие немцам прекратить бессмысленное сопротивление. В сред</w:t>
      </w:r>
      <w:r w:rsidRPr="00F90EAE">
        <w:rPr>
          <w:color w:val="0070C0"/>
          <w:sz w:val="16"/>
          <w:szCs w:val="16"/>
          <w:lang w:bidi="ru-RU"/>
        </w:rPr>
        <w:softHyphen/>
        <w:t>нем каждый Ту-2 совершал 1,5 боевого вылета в день.</w:t>
      </w:r>
    </w:p>
    <w:p w14:paraId="2DCC3515" w14:textId="77777777" w:rsidR="00505829" w:rsidRPr="00F90EAE" w:rsidRDefault="00505829" w:rsidP="00F90EAE">
      <w:pPr>
        <w:jc w:val="both"/>
        <w:rPr>
          <w:color w:val="0070C0"/>
          <w:sz w:val="16"/>
          <w:szCs w:val="16"/>
        </w:rPr>
      </w:pPr>
      <w:r w:rsidRPr="00F90EAE">
        <w:rPr>
          <w:color w:val="0070C0"/>
          <w:sz w:val="16"/>
          <w:szCs w:val="16"/>
          <w:lang w:bidi="ru-RU"/>
        </w:rPr>
        <w:t>Группы Ту-2 сопровождались истре</w:t>
      </w:r>
      <w:r w:rsidRPr="00F90EAE">
        <w:rPr>
          <w:color w:val="0070C0"/>
          <w:sz w:val="16"/>
          <w:szCs w:val="16"/>
          <w:lang w:bidi="ru-RU"/>
        </w:rPr>
        <w:softHyphen/>
        <w:t>бителями - по одному на каждые два-три бомбардировщика. Но они и сами неплохо могли постоять за себя. При появлении не</w:t>
      </w:r>
      <w:r w:rsidRPr="00F90EAE">
        <w:rPr>
          <w:color w:val="0070C0"/>
          <w:sz w:val="16"/>
          <w:szCs w:val="16"/>
          <w:lang w:bidi="ru-RU"/>
        </w:rPr>
        <w:softHyphen/>
        <w:t>мецких истребителей бомбардировщики смыкались в плотный строй, поддерживая друг друга огнем. Чем больше группа, тем эффективнее была оборона.</w:t>
      </w:r>
    </w:p>
    <w:p w14:paraId="0E1D414C" w14:textId="77777777" w:rsidR="00505829" w:rsidRPr="00F90EAE" w:rsidRDefault="00505829" w:rsidP="00F90EAE">
      <w:pPr>
        <w:jc w:val="both"/>
        <w:rPr>
          <w:color w:val="0070C0"/>
          <w:sz w:val="16"/>
          <w:szCs w:val="16"/>
        </w:rPr>
      </w:pPr>
      <w:r w:rsidRPr="00F90EAE">
        <w:rPr>
          <w:color w:val="0070C0"/>
          <w:sz w:val="16"/>
          <w:szCs w:val="16"/>
          <w:lang w:bidi="ru-RU"/>
        </w:rPr>
        <w:t>С 22 апреля началось окружение Бер</w:t>
      </w:r>
      <w:r w:rsidRPr="00F90EAE">
        <w:rPr>
          <w:color w:val="0070C0"/>
          <w:sz w:val="16"/>
          <w:szCs w:val="16"/>
          <w:lang w:bidi="ru-RU"/>
        </w:rPr>
        <w:softHyphen/>
        <w:t>лина и завязались бои в городе. В тот же день шесть девяток Ту-2 сбросили 97 т бомб на центр столицы. Летчикам при</w:t>
      </w:r>
      <w:r w:rsidRPr="00F90EAE">
        <w:rPr>
          <w:color w:val="0070C0"/>
          <w:sz w:val="16"/>
          <w:szCs w:val="16"/>
          <w:lang w:bidi="ru-RU"/>
        </w:rPr>
        <w:softHyphen/>
        <w:t>шлось отыскивать цели в мешанине улиц. Зато на путь от базовых аэродромов 115-й дивизии до цели уходило не более 20 минут. Поэтому нередко делали до трех вылетов в день. 6-й бап летал из Польши, с аэродрома Заган. 25 апреля был запла</w:t>
      </w:r>
      <w:r w:rsidRPr="00F90EAE">
        <w:rPr>
          <w:color w:val="0070C0"/>
          <w:sz w:val="16"/>
          <w:szCs w:val="16"/>
          <w:lang w:bidi="ru-RU"/>
        </w:rPr>
        <w:softHyphen/>
        <w:t>нирован массированный налет на окрест</w:t>
      </w:r>
      <w:r w:rsidRPr="00F90EAE">
        <w:rPr>
          <w:color w:val="0070C0"/>
          <w:sz w:val="16"/>
          <w:szCs w:val="16"/>
          <w:lang w:bidi="ru-RU"/>
        </w:rPr>
        <w:softHyphen/>
        <w:t>ности Имперской канцелярии. Но из-за плохой погоды из шести полков на цель вышел лишь один - 6-й. 18 самолетов об</w:t>
      </w:r>
      <w:r w:rsidRPr="00F90EAE">
        <w:rPr>
          <w:color w:val="0070C0"/>
          <w:sz w:val="16"/>
          <w:szCs w:val="16"/>
          <w:lang w:bidi="ru-RU"/>
        </w:rPr>
        <w:softHyphen/>
        <w:t>рушили бомбы на последний оплот обо</w:t>
      </w:r>
      <w:r w:rsidRPr="00F90EAE">
        <w:rPr>
          <w:color w:val="0070C0"/>
          <w:sz w:val="16"/>
          <w:szCs w:val="16"/>
          <w:lang w:bidi="ru-RU"/>
        </w:rPr>
        <w:softHyphen/>
        <w:t>роны противника. Последний боевой вылет в Европе Ту-2 совершили 2 мая в окрестностях Берлина.</w:t>
      </w:r>
    </w:p>
    <w:p w14:paraId="135EABD9" w14:textId="77777777" w:rsidR="00505829" w:rsidRPr="00F90EAE" w:rsidRDefault="00505829" w:rsidP="00F90EAE">
      <w:pPr>
        <w:jc w:val="both"/>
        <w:rPr>
          <w:color w:val="0070C0"/>
          <w:sz w:val="16"/>
          <w:szCs w:val="16"/>
        </w:rPr>
      </w:pPr>
      <w:r w:rsidRPr="00F90EAE">
        <w:rPr>
          <w:color w:val="0070C0"/>
          <w:sz w:val="16"/>
          <w:szCs w:val="16"/>
          <w:lang w:bidi="ru-RU"/>
        </w:rPr>
        <w:t>152-й бап получил почетное наименова</w:t>
      </w:r>
      <w:r w:rsidRPr="00F90EAE">
        <w:rPr>
          <w:color w:val="0070C0"/>
          <w:sz w:val="16"/>
          <w:szCs w:val="16"/>
          <w:lang w:bidi="ru-RU"/>
        </w:rPr>
        <w:softHyphen/>
        <w:t>ние «Берлинский». Эту надпись сделали на всех машинах части, дополнив изобра</w:t>
      </w:r>
      <w:r w:rsidRPr="00F90EAE">
        <w:rPr>
          <w:color w:val="0070C0"/>
          <w:sz w:val="16"/>
          <w:szCs w:val="16"/>
          <w:lang w:bidi="ru-RU"/>
        </w:rPr>
        <w:softHyphen/>
        <w:t>жением двух орденов - Кутузова 5-й сте</w:t>
      </w:r>
      <w:r w:rsidRPr="00F90EAE">
        <w:rPr>
          <w:color w:val="0070C0"/>
          <w:sz w:val="16"/>
          <w:szCs w:val="16"/>
          <w:lang w:bidi="ru-RU"/>
        </w:rPr>
        <w:softHyphen/>
        <w:t>пени (за прорыв немецкой обороны на Западной Двине) и Александра Невского (за участие в разгроме группировки нем</w:t>
      </w:r>
      <w:r w:rsidRPr="00F90EAE">
        <w:rPr>
          <w:color w:val="0070C0"/>
          <w:sz w:val="16"/>
          <w:szCs w:val="16"/>
          <w:lang w:bidi="ru-RU"/>
        </w:rPr>
        <w:softHyphen/>
        <w:t>цев западнее Кенигсберга).</w:t>
      </w:r>
    </w:p>
    <w:p w14:paraId="31F34FE4" w14:textId="77777777" w:rsidR="00505829" w:rsidRPr="00F90EAE" w:rsidRDefault="00505829" w:rsidP="00F90EAE">
      <w:pPr>
        <w:jc w:val="both"/>
        <w:rPr>
          <w:color w:val="0070C0"/>
          <w:sz w:val="16"/>
          <w:szCs w:val="16"/>
          <w:lang w:bidi="ru-RU"/>
        </w:rPr>
      </w:pPr>
      <w:r w:rsidRPr="00F90EAE">
        <w:rPr>
          <w:color w:val="0070C0"/>
          <w:sz w:val="16"/>
          <w:szCs w:val="16"/>
          <w:lang w:bidi="ru-RU"/>
        </w:rPr>
        <w:t>Все это время Ту-2 использова</w:t>
      </w:r>
      <w:r w:rsidRPr="00F90EAE">
        <w:rPr>
          <w:color w:val="0070C0"/>
          <w:sz w:val="16"/>
          <w:szCs w:val="16"/>
          <w:lang w:bidi="ru-RU"/>
        </w:rPr>
        <w:softHyphen/>
        <w:t>лись и в качестве разведчиков. Их экс</w:t>
      </w:r>
      <w:r w:rsidRPr="00F90EAE">
        <w:rPr>
          <w:color w:val="0070C0"/>
          <w:sz w:val="16"/>
          <w:szCs w:val="16"/>
          <w:lang w:bidi="ru-RU"/>
        </w:rPr>
        <w:softHyphen/>
        <w:t>плуатировали в упоминавшемся ранее 47-м гв. орап. Поскольку приоритет в по</w:t>
      </w:r>
      <w:r w:rsidRPr="00F90EAE">
        <w:rPr>
          <w:color w:val="0070C0"/>
          <w:sz w:val="16"/>
          <w:szCs w:val="16"/>
          <w:lang w:bidi="ru-RU"/>
        </w:rPr>
        <w:softHyphen/>
        <w:t>ставке новой техники в 1944 г. отдали бомбардировочным полкам, у воздушных разведчиков их оставалось все меньше и меньше. Так, в июне 1944 г. самолет май</w:t>
      </w:r>
      <w:r w:rsidRPr="00F90EAE">
        <w:rPr>
          <w:color w:val="0070C0"/>
          <w:sz w:val="16"/>
          <w:szCs w:val="16"/>
          <w:lang w:bidi="ru-RU"/>
        </w:rPr>
        <w:softHyphen/>
        <w:t>ора А. Дрыгина, летавший на разведку Ба- рановичей, перед самым фотографирова</w:t>
      </w:r>
      <w:r w:rsidRPr="00F90EAE">
        <w:rPr>
          <w:color w:val="0070C0"/>
          <w:sz w:val="16"/>
          <w:szCs w:val="16"/>
          <w:lang w:bidi="ru-RU"/>
        </w:rPr>
        <w:softHyphen/>
        <w:t>нием был атакован парой... Як-9. Несмо</w:t>
      </w:r>
      <w:r w:rsidRPr="00F90EAE">
        <w:rPr>
          <w:color w:val="0070C0"/>
          <w:sz w:val="16"/>
          <w:szCs w:val="16"/>
          <w:lang w:bidi="ru-RU"/>
        </w:rPr>
        <w:softHyphen/>
        <w:t>тря на усилия стрелков, один из истреби</w:t>
      </w:r>
      <w:r w:rsidRPr="00F90EAE">
        <w:rPr>
          <w:color w:val="0070C0"/>
          <w:sz w:val="16"/>
          <w:szCs w:val="16"/>
          <w:lang w:bidi="ru-RU"/>
        </w:rPr>
        <w:softHyphen/>
        <w:t>телей поджег мотор разведчика. Дрыгин сумел скрыться от преследователей, а за</w:t>
      </w:r>
      <w:r w:rsidRPr="00F90EAE">
        <w:rPr>
          <w:color w:val="0070C0"/>
          <w:sz w:val="16"/>
          <w:szCs w:val="16"/>
          <w:lang w:bidi="ru-RU"/>
        </w:rPr>
        <w:softHyphen/>
        <w:t>тем совершил вынужденную посадку на «пузо» на своей территории. Приземлив</w:t>
      </w:r>
      <w:r w:rsidRPr="00F90EAE">
        <w:rPr>
          <w:color w:val="0070C0"/>
          <w:sz w:val="16"/>
          <w:szCs w:val="16"/>
          <w:lang w:bidi="ru-RU"/>
        </w:rPr>
        <w:softHyphen/>
        <w:t>шись в чистом поле, летчики забрали от</w:t>
      </w:r>
      <w:r w:rsidRPr="00F90EAE">
        <w:rPr>
          <w:color w:val="0070C0"/>
          <w:sz w:val="16"/>
          <w:szCs w:val="16"/>
          <w:lang w:bidi="ru-RU"/>
        </w:rPr>
        <w:softHyphen/>
        <w:t>снятые кассеты и пошли дальше пешком. Предполагают, что на трофейных Як-9 ле</w:t>
      </w:r>
      <w:r w:rsidRPr="00F90EAE">
        <w:rPr>
          <w:color w:val="0070C0"/>
          <w:sz w:val="16"/>
          <w:szCs w:val="16"/>
          <w:lang w:bidi="ru-RU"/>
        </w:rPr>
        <w:softHyphen/>
        <w:t>тали немецкие «охотники» (21060).</w:t>
      </w:r>
    </w:p>
    <w:p w14:paraId="5E4CB02C" w14:textId="77777777" w:rsidR="00505829" w:rsidRPr="00F90EAE" w:rsidRDefault="00505829" w:rsidP="00F90EAE">
      <w:pPr>
        <w:jc w:val="both"/>
        <w:rPr>
          <w:color w:val="0070C0"/>
          <w:sz w:val="16"/>
          <w:szCs w:val="16"/>
        </w:rPr>
      </w:pPr>
    </w:p>
    <w:p w14:paraId="45663EE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E89311C" w14:textId="77777777" w:rsidR="00665165" w:rsidRPr="00F90EAE" w:rsidRDefault="00665165" w:rsidP="00F90EAE">
      <w:pPr>
        <w:autoSpaceDE w:val="0"/>
        <w:autoSpaceDN w:val="0"/>
        <w:adjustRightInd w:val="0"/>
        <w:jc w:val="both"/>
        <w:rPr>
          <w:iCs/>
          <w:color w:val="000000" w:themeColor="text1"/>
          <w:sz w:val="16"/>
          <w:szCs w:val="16"/>
        </w:rPr>
      </w:pPr>
    </w:p>
    <w:p w14:paraId="702DFAA7"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 началу апреля 1945 ВВС и НКАП все же договорились. Решили, что на серийные самолеты Ил-10 заводами будут устанавливаться только узлы под РО-82 и УРО-132 и в таком виде сдаваться военной приемке, а сами орудия будут монтироваться уже в частях. Завод № 18 приступил к установке ракетных орудий, начиная с 11-й машины 6-й серии (17490).</w:t>
      </w:r>
    </w:p>
    <w:p w14:paraId="2EF5BFB2" w14:textId="77777777" w:rsidR="00117BE3" w:rsidRPr="00F90EAE" w:rsidRDefault="00117BE3" w:rsidP="00F90EAE">
      <w:pPr>
        <w:jc w:val="both"/>
        <w:rPr>
          <w:color w:val="000000" w:themeColor="text1"/>
          <w:sz w:val="16"/>
          <w:szCs w:val="16"/>
        </w:rPr>
      </w:pPr>
    </w:p>
    <w:p w14:paraId="24C7E037" w14:textId="77777777" w:rsidR="00EE671E" w:rsidRPr="00F90EAE" w:rsidRDefault="00EE671E"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2F15B93" w14:textId="77777777" w:rsidR="00EE671E" w:rsidRPr="00F90EAE" w:rsidRDefault="00EE671E" w:rsidP="00F90EAE">
      <w:pPr>
        <w:autoSpaceDE w:val="0"/>
        <w:autoSpaceDN w:val="0"/>
        <w:adjustRightInd w:val="0"/>
        <w:jc w:val="both"/>
        <w:rPr>
          <w:iCs/>
          <w:color w:val="000000" w:themeColor="text1"/>
          <w:sz w:val="16"/>
          <w:szCs w:val="16"/>
        </w:rPr>
      </w:pPr>
    </w:p>
    <w:p w14:paraId="2052D5B8" w14:textId="77777777" w:rsidR="00EE671E" w:rsidRPr="00F90EAE" w:rsidRDefault="00EE671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апрелю 1945 года производство Ил-10 было доведено до 150 машин в месяц, а в июне завод полностью перешел на выпуск новых самолетов (19828).</w:t>
      </w:r>
    </w:p>
    <w:p w14:paraId="24DDB9FB" w14:textId="77777777" w:rsidR="00EE671E" w:rsidRPr="00F90EAE" w:rsidRDefault="00EE671E" w:rsidP="00F90EAE">
      <w:pPr>
        <w:pStyle w:val="ae"/>
        <w:shd w:val="clear" w:color="auto" w:fill="FFFFFF"/>
        <w:spacing w:before="0" w:after="0"/>
        <w:jc w:val="both"/>
        <w:rPr>
          <w:color w:val="000000" w:themeColor="text1"/>
          <w:sz w:val="16"/>
          <w:szCs w:val="16"/>
        </w:rPr>
      </w:pPr>
    </w:p>
    <w:p w14:paraId="69348642" w14:textId="77777777" w:rsidR="00EE671E" w:rsidRPr="00F90EAE" w:rsidRDefault="00EE671E" w:rsidP="00F90EAE">
      <w:pPr>
        <w:jc w:val="both"/>
        <w:rPr>
          <w:color w:val="000000" w:themeColor="text1"/>
          <w:sz w:val="16"/>
          <w:szCs w:val="16"/>
        </w:rPr>
      </w:pPr>
      <w:r w:rsidRPr="00F90EAE">
        <w:rPr>
          <w:color w:val="000000" w:themeColor="text1"/>
          <w:sz w:val="16"/>
          <w:szCs w:val="16"/>
        </w:rPr>
        <w:lastRenderedPageBreak/>
        <w:t>К апрелю 1945 за первые три месяца 1943 г. было произведено 7607 самолетов, из них 6620 боевых. Во втором квартале объемы выпуска авиатехники еще более возросли: заказчикам было передано 8637 самолетов, в том числе 7333 боевых. За первое полугодие 1943 г. собрали на 69,2% самолетов больше, чем за тот же период 1942 г.; по боевым машинам прирост составил 71,2%. Таких впечатляющих показателей удалось добиться в основном благодаря увеличению производительности труда, которая с мая 1942 г. взросла по отрасли на 30% (18305).</w:t>
      </w:r>
    </w:p>
    <w:p w14:paraId="1F0F7509" w14:textId="77777777" w:rsidR="00EE671E" w:rsidRPr="00F90EAE" w:rsidRDefault="00EE671E" w:rsidP="00F90EAE">
      <w:pPr>
        <w:jc w:val="both"/>
        <w:rPr>
          <w:color w:val="000000" w:themeColor="text1"/>
          <w:sz w:val="16"/>
          <w:szCs w:val="16"/>
        </w:rPr>
      </w:pPr>
    </w:p>
    <w:p w14:paraId="2F0992B1" w14:textId="77777777" w:rsidR="00546AC2" w:rsidRPr="00F90EAE" w:rsidRDefault="00546AC2" w:rsidP="00F90EAE">
      <w:pPr>
        <w:jc w:val="both"/>
        <w:rPr>
          <w:color w:val="000000" w:themeColor="text1"/>
          <w:sz w:val="16"/>
          <w:szCs w:val="16"/>
        </w:rPr>
      </w:pPr>
      <w:r w:rsidRPr="00F90EAE">
        <w:rPr>
          <w:color w:val="000000" w:themeColor="text1"/>
          <w:sz w:val="16"/>
          <w:szCs w:val="16"/>
        </w:rPr>
        <w:t>К апрелю 1945 Як-ЗУ с АШ-82ФН построили, но он опоздал — война закончилась, и самолёт остался не у дел (15829).</w:t>
      </w:r>
    </w:p>
    <w:p w14:paraId="1D4D6187" w14:textId="77777777" w:rsidR="00546AC2" w:rsidRPr="00F90EAE" w:rsidRDefault="00546AC2" w:rsidP="00F90EAE">
      <w:pPr>
        <w:jc w:val="both"/>
        <w:rPr>
          <w:color w:val="000000" w:themeColor="text1"/>
          <w:sz w:val="16"/>
          <w:szCs w:val="16"/>
        </w:rPr>
      </w:pPr>
    </w:p>
    <w:p w14:paraId="3CA32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апрелю 1945 г. изготовили 100 боевых машин Б-13-СН (СН - спиральные направляющие), сформированы первые подразделения, вооруженные ими. При стрельбе из БМ-13-СН кучность снарядов М-13 и М-13УК была практически одинакова. Испытания опытных образцов спиральных направляющих начались в середине 1944 г. Помимо вращения снарядов спиральные направляющие обладали большей живучестью по сравнению с прямолинейными направляющими, т. к. были менее подвержены действию пороховых газов (11919).</w:t>
      </w:r>
    </w:p>
    <w:p w14:paraId="5A33E5B6" w14:textId="77777777" w:rsidR="00665165" w:rsidRPr="00F90EAE" w:rsidRDefault="00665165" w:rsidP="00F90EAE">
      <w:pPr>
        <w:autoSpaceDE w:val="0"/>
        <w:autoSpaceDN w:val="0"/>
        <w:adjustRightInd w:val="0"/>
        <w:jc w:val="both"/>
        <w:rPr>
          <w:color w:val="000000" w:themeColor="text1"/>
          <w:sz w:val="16"/>
          <w:szCs w:val="16"/>
        </w:rPr>
      </w:pPr>
    </w:p>
    <w:p w14:paraId="140066FD" w14:textId="77777777" w:rsidR="00546AC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E7BB2A7" w14:textId="77777777" w:rsidR="00546AC2" w:rsidRPr="00F90EAE" w:rsidRDefault="00546AC2" w:rsidP="00F90EAE">
      <w:pPr>
        <w:autoSpaceDE w:val="0"/>
        <w:autoSpaceDN w:val="0"/>
        <w:adjustRightInd w:val="0"/>
        <w:jc w:val="both"/>
        <w:rPr>
          <w:iCs/>
          <w:color w:val="000000" w:themeColor="text1"/>
          <w:sz w:val="16"/>
          <w:szCs w:val="16"/>
        </w:rPr>
      </w:pPr>
    </w:p>
    <w:p w14:paraId="1A819A18" w14:textId="77777777" w:rsidR="00EE671E" w:rsidRPr="00F90EAE" w:rsidRDefault="00EE671E" w:rsidP="00F90EAE">
      <w:pPr>
        <w:jc w:val="both"/>
        <w:rPr>
          <w:color w:val="000000" w:themeColor="text1"/>
          <w:sz w:val="16"/>
          <w:szCs w:val="16"/>
        </w:rPr>
      </w:pPr>
      <w:r w:rsidRPr="00F90EAE">
        <w:rPr>
          <w:color w:val="000000" w:themeColor="text1"/>
          <w:sz w:val="16"/>
          <w:szCs w:val="16"/>
        </w:rPr>
        <w:t>К апрелю 1945 года за счёт того, что части, ранее вооружённые СУ-85 массово перевооружались на СУ-100, эти машины уже довольно активно мелькали в кадрах хроники. Существенным оказался и их вклад в боевые действия. СУ-100 сыграли важную роль боях в Германии, Австрии и Чехословакии, активно применялись в боях за Берлин и Вену. Несмотря на некоторые проблемы, эта машина стала лучшей союзной САУ среднего класса. Благодаря существенному усилению лобовой детали рубки СУ-100 оказалась куда более устойчивой к огню немецкой противотанковой артиллерии, особенно калибра 75 мм. Наиболее близким к СУ-100 был немецкий истребитель танков Panzer IV/70 (V), но он существенно уступал советской машине в подвижности. Более мощным у СУ-100 оказалось и вооружение, позволявшее поражать «Пантеры» на дистанции свыше километра. Единственным танком, который СУ-100 не могла поразить, был </w:t>
      </w:r>
      <w:hyperlink r:id="rId86" w:history="1">
        <w:r w:rsidRPr="00F90EAE">
          <w:rPr>
            <w:rStyle w:val="a5"/>
            <w:color w:val="000000" w:themeColor="text1"/>
            <w:sz w:val="16"/>
            <w:szCs w:val="16"/>
          </w:rPr>
          <w:t>Pz.Kpfw.Tiger Ausf.B («Королевский тигр»)</w:t>
        </w:r>
      </w:hyperlink>
      <w:r w:rsidRPr="00F90EAE">
        <w:rPr>
          <w:color w:val="000000" w:themeColor="text1"/>
          <w:sz w:val="16"/>
          <w:szCs w:val="16"/>
        </w:rPr>
        <w:t>, но их было выпущено меньше 500 штук, и для борьбы с этим редким «зверем» имелись САУ помощнее.</w:t>
      </w:r>
    </w:p>
    <w:p w14:paraId="79015412" w14:textId="77777777" w:rsidR="00EE671E" w:rsidRPr="00F90EAE" w:rsidRDefault="00EE671E" w:rsidP="00F90EAE">
      <w:pPr>
        <w:jc w:val="both"/>
        <w:rPr>
          <w:color w:val="000000" w:themeColor="text1"/>
          <w:sz w:val="16"/>
          <w:szCs w:val="16"/>
        </w:rPr>
      </w:pPr>
      <w:r w:rsidRPr="00F90EAE">
        <w:rPr>
          <w:color w:val="000000" w:themeColor="text1"/>
          <w:sz w:val="16"/>
          <w:szCs w:val="16"/>
        </w:rPr>
        <w:t>Большой объём выпуска и высокие тактико-технические характеристики СУ-100 обеспечили ей долгую жизнь. Несмотря на то, что в ГБТУ КА ещё в 1945 году мечтали о сменщице СУ-100, данная машина стала последней советской средней САУ, выпускавшейся в столь значительных объёмах. СУ-101 (она же Уралмаш-1) так и не пошла в серию, а появившаяся в 50-е годы СУ-122-54 была выпущена скромным тиражом. К тому же выяснилось, что для большинства задач орудия Д-10С вполне хватает. В результате СУ-100 надолго задержалась в советской армии, пройдя несколько этапов модернизации. В более поздние годы СУ-100 использовалась в основном как учебная машина, официально её сняли с вооружения уже российской армии в 1997 году (вместе с Т-34-85).</w:t>
      </w:r>
    </w:p>
    <w:p w14:paraId="43033013" w14:textId="77777777" w:rsidR="00EE671E" w:rsidRPr="00F90EAE" w:rsidRDefault="00EE671E" w:rsidP="00F90EAE">
      <w:pPr>
        <w:jc w:val="both"/>
        <w:rPr>
          <w:color w:val="000000" w:themeColor="text1"/>
          <w:sz w:val="16"/>
          <w:szCs w:val="16"/>
        </w:rPr>
      </w:pPr>
      <w:r w:rsidRPr="00F90EAE">
        <w:rPr>
          <w:color w:val="000000" w:themeColor="text1"/>
          <w:sz w:val="16"/>
          <w:szCs w:val="16"/>
        </w:rPr>
        <w:t>В больших объёмах СУ-100 поставлялась за рубеж: в Польшу, Чехословакию (там она ещё и выпускалась по лицензии как </w:t>
      </w:r>
      <w:hyperlink r:id="rId87" w:history="1">
        <w:r w:rsidRPr="00F90EAE">
          <w:rPr>
            <w:rStyle w:val="a5"/>
            <w:color w:val="000000" w:themeColor="text1"/>
            <w:sz w:val="16"/>
            <w:szCs w:val="16"/>
          </w:rPr>
          <w:t>SD-100</w:t>
        </w:r>
      </w:hyperlink>
      <w:r w:rsidRPr="00F90EAE">
        <w:rPr>
          <w:color w:val="000000" w:themeColor="text1"/>
          <w:sz w:val="16"/>
          <w:szCs w:val="16"/>
        </w:rPr>
        <w:t>), Болгарию, Югославию, ГДР, Румынию, Албанию, Кубу, Китай и ряд других стран. Эта машина неоднократно участвовала в локальных конфликтах, более того, некоторые СУ-100 воюют до сих пор (например, в Йемене). Таким образом, ставить точку в боевой карьере этой машины ещё рано (18252).</w:t>
      </w:r>
    </w:p>
    <w:p w14:paraId="6C58145A" w14:textId="77777777" w:rsidR="00EE671E" w:rsidRPr="00F90EAE" w:rsidRDefault="00EE671E" w:rsidP="00F90EAE">
      <w:pPr>
        <w:jc w:val="both"/>
        <w:rPr>
          <w:color w:val="000000" w:themeColor="text1"/>
          <w:sz w:val="16"/>
          <w:szCs w:val="16"/>
        </w:rPr>
      </w:pPr>
    </w:p>
    <w:p w14:paraId="0A11BD88" w14:textId="77777777" w:rsidR="00546AC2" w:rsidRPr="00F90EAE" w:rsidRDefault="00546AC2" w:rsidP="00F90EAE">
      <w:pPr>
        <w:pStyle w:val="book"/>
        <w:ind w:firstLine="0"/>
        <w:jc w:val="both"/>
        <w:rPr>
          <w:color w:val="000000" w:themeColor="text1"/>
          <w:sz w:val="16"/>
          <w:szCs w:val="16"/>
        </w:rPr>
      </w:pPr>
      <w:r w:rsidRPr="00F90EAE">
        <w:rPr>
          <w:color w:val="000000" w:themeColor="text1"/>
          <w:sz w:val="16"/>
          <w:szCs w:val="16"/>
        </w:rPr>
        <w:t>К апрелю 1945 г. «Граф Цеппелин» немцы так и не достроили. На корабле артвооружение отсутствовало, монтаж приборов и оборудования постов управления стрельбой не был закончен, электрооборудование смонтировано лишь частично, как и специальные авиационно-технические устройства. Самолетов на корабле не было. Однако «Граф Цеппелин» успел получить комплектную механическую установку, также функционировали бортовые генераторы электроэнергии. К моменту наступления на Штеттин советских войск «Граф Цеппелин» находился в протоке Монне реки Одер. В 18 часов 24 апреля 1945 г. старший морской начальник Штеттина капитан 1-го ранга В. Кахлер отдал по радио приказ специальной команде, находившейся на авианосце.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88" w:anchor="n_2" w:tooltip="    Свинемюнде (Swinemünde, после 1945 г. — Świnoujście) — OCR   " w:history="1">
        <w:r w:rsidRPr="00F90EAE">
          <w:rPr>
            <w:rStyle w:val="a5"/>
            <w:color w:val="000000" w:themeColor="text1"/>
            <w:sz w:val="16"/>
            <w:szCs w:val="16"/>
            <w:vertAlign w:val="superscript"/>
          </w:rPr>
          <w:t>[2]</w:t>
        </w:r>
      </w:hyperlink>
      <w:r w:rsidRPr="00F90EAE">
        <w:rPr>
          <w:color w:val="000000" w:themeColor="text1"/>
          <w:sz w:val="16"/>
          <w:szCs w:val="16"/>
        </w:rPr>
        <w:t>,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65A0AF32" w14:textId="77777777" w:rsidR="00546AC2" w:rsidRPr="00F90EAE" w:rsidRDefault="00546AC2" w:rsidP="00F90EAE">
      <w:pPr>
        <w:pStyle w:val="book"/>
        <w:ind w:firstLine="0"/>
        <w:jc w:val="both"/>
        <w:rPr>
          <w:color w:val="000000" w:themeColor="text1"/>
          <w:sz w:val="16"/>
          <w:szCs w:val="16"/>
        </w:rPr>
      </w:pPr>
    </w:p>
    <w:p w14:paraId="606DF21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4EE6ABF" w14:textId="77777777" w:rsidR="00665165" w:rsidRPr="00F90EAE" w:rsidRDefault="00665165" w:rsidP="00F90EAE">
      <w:pPr>
        <w:autoSpaceDE w:val="0"/>
        <w:autoSpaceDN w:val="0"/>
        <w:adjustRightInd w:val="0"/>
        <w:jc w:val="both"/>
        <w:rPr>
          <w:iCs/>
          <w:color w:val="000000" w:themeColor="text1"/>
          <w:sz w:val="16"/>
          <w:szCs w:val="16"/>
        </w:rPr>
      </w:pPr>
    </w:p>
    <w:p w14:paraId="798219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апреля 1945 года головную серийную машину Як-3 М-107А №7003 завода №31 доставили по железной дороге на завод №115. Стыковка самолета и исправление производственных дефектов продолжались до 12 апреля, когда самолет выкатили на аэродром.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маслорадиа- тор типа 555 на ОП-622 с большей охлаждающей поверхностью, а в качестве передатчика использовали РСИ-ЗМ-1 (12047).</w:t>
      </w:r>
    </w:p>
    <w:p w14:paraId="0F105DE3" w14:textId="77777777" w:rsidR="00665165" w:rsidRPr="00F90EAE" w:rsidRDefault="00665165" w:rsidP="00F90EAE">
      <w:pPr>
        <w:autoSpaceDE w:val="0"/>
        <w:autoSpaceDN w:val="0"/>
        <w:adjustRightInd w:val="0"/>
        <w:jc w:val="both"/>
        <w:rPr>
          <w:color w:val="000000" w:themeColor="text1"/>
          <w:sz w:val="16"/>
          <w:szCs w:val="16"/>
        </w:rPr>
      </w:pPr>
    </w:p>
    <w:p w14:paraId="01EE7D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 апреля 1945 года Директором завода № 794 МАП стал Петров А.П.</w:t>
      </w:r>
    </w:p>
    <w:p w14:paraId="3556F4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ОКБ:</w:t>
      </w:r>
    </w:p>
    <w:p w14:paraId="63FE8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Комедатов Ю.Г. – С 3 июня 1946 года по 3 сентября 1950 года</w:t>
      </w:r>
    </w:p>
    <w:p w14:paraId="36175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Котов А.А. – с 3 сентября 1950 года по 23 сентября 1954 года</w:t>
      </w:r>
    </w:p>
    <w:p w14:paraId="3859FE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Зазорин Е.А. – с 23 сентября 1954 года</w:t>
      </w:r>
    </w:p>
    <w:p w14:paraId="6F85C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w:t>
      </w:r>
    </w:p>
    <w:p w14:paraId="7B099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Волковская ул., д. 27 (9866).</w:t>
      </w:r>
    </w:p>
    <w:p w14:paraId="39FBADD7" w14:textId="77777777" w:rsidR="00665165" w:rsidRPr="00F90EAE" w:rsidRDefault="00665165" w:rsidP="00F90EAE">
      <w:pPr>
        <w:autoSpaceDE w:val="0"/>
        <w:autoSpaceDN w:val="0"/>
        <w:adjustRightInd w:val="0"/>
        <w:jc w:val="both"/>
        <w:rPr>
          <w:color w:val="000000" w:themeColor="text1"/>
          <w:sz w:val="16"/>
          <w:szCs w:val="16"/>
        </w:rPr>
      </w:pPr>
    </w:p>
    <w:p w14:paraId="7EEB14BF" w14:textId="77777777" w:rsidR="00A45A36" w:rsidRPr="00F90EAE" w:rsidRDefault="00A45A36"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B87D3DB" w14:textId="77777777" w:rsidR="00A45A36" w:rsidRPr="00F90EAE" w:rsidRDefault="00A45A36" w:rsidP="00F90EAE">
      <w:pPr>
        <w:autoSpaceDE w:val="0"/>
        <w:autoSpaceDN w:val="0"/>
        <w:adjustRightInd w:val="0"/>
        <w:jc w:val="both"/>
        <w:rPr>
          <w:iCs/>
          <w:color w:val="000000" w:themeColor="text1"/>
          <w:sz w:val="16"/>
          <w:szCs w:val="16"/>
        </w:rPr>
      </w:pPr>
    </w:p>
    <w:p w14:paraId="00D61EEA" w14:textId="77777777" w:rsidR="00A45A36" w:rsidRPr="00F90EAE" w:rsidRDefault="00A45A36" w:rsidP="00F90EAE">
      <w:pPr>
        <w:jc w:val="both"/>
        <w:rPr>
          <w:color w:val="0070C0"/>
          <w:sz w:val="16"/>
          <w:szCs w:val="16"/>
        </w:rPr>
      </w:pPr>
      <w:r w:rsidRPr="00F90EAE">
        <w:rPr>
          <w:color w:val="0070C0"/>
          <w:sz w:val="16"/>
          <w:szCs w:val="16"/>
        </w:rPr>
        <w:t>Начиная с 1 апреля СУ-100 согласно приказу-изменению №58 ОГК УЗТМ, сдаются заводом с буксирными тросами длиной 6,5 метров (письмо и.о. райинженера УСА ГВТУ КА инженер-подполковника Агрикова начальнику УСА ГВТУ КА генерал-майору инженерно-танковой службы Алымову. ЦАМО, фонд 38 опись 11369 дело 507). При</w:t>
      </w:r>
      <w:r w:rsidRPr="00F90EAE">
        <w:rPr>
          <w:color w:val="0070C0"/>
          <w:sz w:val="16"/>
          <w:szCs w:val="16"/>
        </w:rPr>
        <w:softHyphen/>
        <w:t>чина все та же - крайне неудобно буксиро</w:t>
      </w:r>
      <w:r w:rsidRPr="00F90EAE">
        <w:rPr>
          <w:color w:val="0070C0"/>
          <w:sz w:val="16"/>
          <w:szCs w:val="16"/>
        </w:rPr>
        <w:softHyphen/>
        <w:t>вать за передние крюки машину с длинным стволом без поворотной башни. Переписка по поводу необходимости удлинения тросов велась еще с января 1945 года.</w:t>
      </w:r>
    </w:p>
    <w:p w14:paraId="316CA624" w14:textId="77777777" w:rsidR="00A45A36" w:rsidRPr="00F90EAE" w:rsidRDefault="00A45A36" w:rsidP="00F90EAE">
      <w:pPr>
        <w:jc w:val="both"/>
        <w:rPr>
          <w:color w:val="0070C0"/>
          <w:sz w:val="16"/>
          <w:szCs w:val="16"/>
        </w:rPr>
      </w:pPr>
      <w:r w:rsidRPr="00F90EAE">
        <w:rPr>
          <w:color w:val="0070C0"/>
          <w:sz w:val="16"/>
          <w:szCs w:val="16"/>
        </w:rPr>
        <w:t>Новые тросы укладывались так: первый надевался коушем на левый передний бук</w:t>
      </w:r>
      <w:r w:rsidRPr="00F90EAE">
        <w:rPr>
          <w:color w:val="0070C0"/>
          <w:sz w:val="16"/>
          <w:szCs w:val="16"/>
        </w:rPr>
        <w:softHyphen/>
        <w:t>сирный крюк и тянулся к скобе на правом борту под задним дополнительным топлив</w:t>
      </w:r>
      <w:r w:rsidRPr="00F90EAE">
        <w:rPr>
          <w:color w:val="0070C0"/>
          <w:sz w:val="16"/>
          <w:szCs w:val="16"/>
        </w:rPr>
        <w:softHyphen/>
        <w:t>ным баком (ничто не мешало уложить его и зеркально - после войны обычно так и дела</w:t>
      </w:r>
      <w:r w:rsidRPr="00F90EAE">
        <w:rPr>
          <w:color w:val="0070C0"/>
          <w:sz w:val="16"/>
          <w:szCs w:val="16"/>
        </w:rPr>
        <w:softHyphen/>
        <w:t>ли). Второй надевался коушем на левый зад</w:t>
      </w:r>
      <w:r w:rsidRPr="00F90EAE">
        <w:rPr>
          <w:color w:val="0070C0"/>
          <w:sz w:val="16"/>
          <w:szCs w:val="16"/>
        </w:rPr>
        <w:softHyphen/>
        <w:t>ний буксирный крюк и тянулся к скобе на левом переднем грязевом щитке (ее сюда перенесли с правого щитка). По всей види</w:t>
      </w:r>
      <w:r w:rsidRPr="00F90EAE">
        <w:rPr>
          <w:color w:val="0070C0"/>
          <w:sz w:val="16"/>
          <w:szCs w:val="16"/>
        </w:rPr>
        <w:softHyphen/>
        <w:t>мости, в это же время для удобства укладки троса переносится в кормовую часть левой надгусеничной полки бонка для крепления скоб сращивания тросов (19927).</w:t>
      </w:r>
    </w:p>
    <w:p w14:paraId="302E7039" w14:textId="77777777" w:rsidR="00A45A36" w:rsidRPr="00F90EAE" w:rsidRDefault="00A45A36" w:rsidP="00F90EAE">
      <w:pPr>
        <w:jc w:val="both"/>
        <w:rPr>
          <w:color w:val="0070C0"/>
          <w:sz w:val="16"/>
          <w:szCs w:val="16"/>
        </w:rPr>
      </w:pPr>
    </w:p>
    <w:p w14:paraId="0748F13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45B8CBA" w14:textId="77777777" w:rsidR="00665165" w:rsidRPr="00F90EAE" w:rsidRDefault="00665165" w:rsidP="00F90EAE">
      <w:pPr>
        <w:autoSpaceDE w:val="0"/>
        <w:autoSpaceDN w:val="0"/>
        <w:adjustRightInd w:val="0"/>
        <w:jc w:val="both"/>
        <w:rPr>
          <w:iCs/>
          <w:color w:val="000000" w:themeColor="text1"/>
          <w:sz w:val="16"/>
          <w:szCs w:val="16"/>
        </w:rPr>
      </w:pPr>
    </w:p>
    <w:p w14:paraId="17326DB3" w14:textId="77777777" w:rsidR="00531F9E" w:rsidRPr="00F90EAE" w:rsidRDefault="00531F9E" w:rsidP="00F90EAE">
      <w:pPr>
        <w:jc w:val="both"/>
        <w:rPr>
          <w:color w:val="000000" w:themeColor="text1"/>
          <w:sz w:val="16"/>
          <w:szCs w:val="16"/>
        </w:rPr>
      </w:pPr>
      <w:r w:rsidRPr="00F90EAE">
        <w:rPr>
          <w:color w:val="000000" w:themeColor="text1"/>
          <w:sz w:val="16"/>
          <w:szCs w:val="16"/>
        </w:rPr>
        <w:lastRenderedPageBreak/>
        <w:t>1 апреля в 1945 году оперативная сводка Совинформбюро:</w:t>
      </w:r>
    </w:p>
    <w:p w14:paraId="04A7335D"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1-го Украинского фронта, после длительной осады и упорных боёв, завершили ликвидацию окружённого гарнизона противника и 1 апреля овладели городом и крепостью Глогау (Глогув)— мощным узлом обороны немцев на левом берегу Одера.</w:t>
      </w:r>
    </w:p>
    <w:p w14:paraId="1D6A2744" w14:textId="77777777" w:rsidR="00531F9E" w:rsidRPr="00F90EAE" w:rsidRDefault="00531F9E" w:rsidP="00F90EAE">
      <w:pPr>
        <w:jc w:val="both"/>
        <w:rPr>
          <w:color w:val="000000" w:themeColor="text1"/>
          <w:sz w:val="16"/>
          <w:szCs w:val="16"/>
        </w:rPr>
      </w:pPr>
      <w:r w:rsidRPr="00F90EAE">
        <w:rPr>
          <w:color w:val="000000" w:themeColor="text1"/>
          <w:sz w:val="16"/>
          <w:szCs w:val="16"/>
        </w:rPr>
        <w:t>В ходе боёв за Глогау войска фронта взяли в плен более 8.000 немецких солдат и офицеров и захватили большое количество вооружения и другого военного имущества.</w:t>
      </w:r>
    </w:p>
    <w:p w14:paraId="0C712330"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1 апреля овладели городами Трнава, Глоговец, Сенец — важными узлами дорог и опорными пунктами обороны немцев, прикрывающими подступы к Братиславе, а также с боями заняли на территории Чехословакии более 150 других населённых пунктов, в том числе крупные населённые пункты Вичапи-Опатовце, Ашакерть, Алекшинце, Уйлак, Баб, Шинтава, Великий Мачад, Великий и Малый Диосек, Великий Федимеш, Фаркашин, Цифер, Бахонь, Елка, Нарашд, Алишталь, Великий Медер, Паташ, Медве и железнодорожные станции Ловашовце, Збеги, Алекшинце, Великий Диосек, Горни-Шталь, Екечь, Великий Медер. Одновременна войска фронта, наступая по южному берегу Дуная, заняли на территории Венгрии населённые пункты Ашвань, Липот, Дунаремете, Ходервар, Хорваткимле, Лебени, Мошонсентпетер и железнодорожные станции Лебени, Хорваткимле, Ханшач, Мошонсентпетер. В боях за 31 марта и 1 апреля войска фронта взяли в плен 6.150 солдат и офицеров противника.</w:t>
      </w:r>
    </w:p>
    <w:p w14:paraId="6B5FA6DA"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1 апреля овладели городом Шопрон — крупным железнодорожным узлом и важным опорным пунктом обороны немцев на подступах к Вене, а также заняли на территории Венгрии более 100 других населённых пунктов и среди них Фортеракош, Агфальва, Бреннберг, Вашкерестеш, Парноапати, Сентпетерфа, Пинкоминосент. Одновременно на территории Австрии, восточнее и южнее города Винер Нойштадт, войска фронта заняли более 30 населённых пунктов, в том числе Руст, Трауерсдорф, Зигендорф, Драсбург, Матерсбург, Форхтенау, Бромберг, Кирхау. Юго-западнее озера Балатон войска фронта, действуя совместно с войсками болгарской армии, заняли более 60 населённых пунктов, среди которых крупные населённые пункты Кишкомаром, Галамбок, Ихарошберень, Ихарош, Егерарача, Уюдвар, Шанц, Багола Шанц, Лисо, Шурд, Дьекеньеш и железнодорожные станции Кимарварош, Сент-Яков. В боях за 31 марта войска фронта взяли в плен более 26.000 солдат и офицеров противника и захватили следующие трофеи: самолётов—127, танков— 17, полевых орудий — 291, пулеметов—1.547, автомашин — 1.390, паровозов — 27, железнодорожных вагонов—1.516. В городе Шопрон нашими войсками освобождён из тюрьмы арестованный немцами бывший командующий 2-й венгерской армией генерал-полковник Вереш Лайош, который направлен в распоряжение Временного Национального Правительства Венгрии.</w:t>
      </w:r>
    </w:p>
    <w:p w14:paraId="4F90DECC" w14:textId="77777777" w:rsidR="00531F9E" w:rsidRPr="00F90EAE" w:rsidRDefault="00531F9E"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w:t>
      </w:r>
    </w:p>
    <w:p w14:paraId="03C01DA4" w14:textId="77777777" w:rsidR="00531F9E" w:rsidRPr="00F90EAE" w:rsidRDefault="00531F9E" w:rsidP="00F90EAE">
      <w:pPr>
        <w:jc w:val="both"/>
        <w:rPr>
          <w:color w:val="000000" w:themeColor="text1"/>
          <w:sz w:val="16"/>
          <w:szCs w:val="16"/>
        </w:rPr>
      </w:pPr>
      <w:r w:rsidRPr="00F90EAE">
        <w:rPr>
          <w:color w:val="000000" w:themeColor="text1"/>
          <w:sz w:val="16"/>
          <w:szCs w:val="16"/>
        </w:rPr>
        <w:t>За 31 марта на всех фронтах подбито и уничтожено 46 немецких танков и самоходных орудий. В воздушных боях и огнём зенитной артиллерии сбито 26 самолётов противника.</w:t>
      </w:r>
    </w:p>
    <w:p w14:paraId="7C3DD4C5"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1-го Украинского фронта овладели городом и крепостью Глогау — мощным узлом обороны немцев на левом берегу реки Одер. Противник создал в городе четыре основных узла сопротивления — казармы Гинденбурга, казармы Людендорфа, район стадиона и район старой крепости. Все эти узлы сопротивления были связаны подземными ходами сообщения. Город обороняли отборные части немцев, специально подготовленные для уличных боёв. Наши войска, окружив Глогау, развернули планомерные действия по уничтожению вражеского гарнизона. Советские штурмовые группы настойчиво продвигались вперёд, выбивая немцев из укреплений. Особенно ожесточенные бои произошли за казармы Людендорфа. Наши подразделения обошли район казарм с севера, запада и юга. В это время артиллеристы и миномётчики открыли огонь по окнам нижних этажей и подвалам казарм, в которых были сосредоточены огневые средства противника. Под прикрытием огня советские пехотинцы и сапёры пошли на штурм. Вскоре пять казарм были заняты. Последняя, шестая казарма, гарнизон которой упорно сопротивлялся, была взорвана. Другие наши подразделения, наращивая удары, очистили от немцев район стадиона, казармы Гинденбурга и железнодорожный узел. Сегодня наши войска овладели крепостью старого города и тем самым завершили ликвидацию окружённого немецкого гарнизона.</w:t>
      </w:r>
    </w:p>
    <w:p w14:paraId="6B18929C"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2-го Украинского фронта развивали успешное наступление. Советские части, преодолевая на своём пути многочисленные речки, болота и каналы, с боями продвинулись вперёд на 25 километров. Сегодня наши войска заняли город Трнава — узел пяти железных дорог. В этом районе группа вражеских танков и пехоты пыталась нанести удар во фланг наших наступающих подразделений. После упорного боя, в ходе которого уничтожено 17 танков и два батальона немцев, противник был рассеян. Советские части, наступающие вдоль дороги Новы-Замки — Братислава, выбили гитлеровцев из города Сенеп, находящегося в 20 километрах от Братиславы. Войска фронта, совершив стремительный обходный манёвр, прижали к реке Малый Дунай группу противника и ведут бои по её уничтожению.</w:t>
      </w:r>
    </w:p>
    <w:p w14:paraId="28BD4D0E" w14:textId="77777777" w:rsidR="00531F9E" w:rsidRPr="00F90EAE" w:rsidRDefault="00531F9E" w:rsidP="00F90EAE">
      <w:pPr>
        <w:jc w:val="both"/>
        <w:rPr>
          <w:color w:val="000000" w:themeColor="text1"/>
          <w:sz w:val="16"/>
          <w:szCs w:val="16"/>
        </w:rPr>
      </w:pPr>
      <w:r w:rsidRPr="00F90EAE">
        <w:rPr>
          <w:color w:val="000000" w:themeColor="text1"/>
          <w:sz w:val="16"/>
          <w:szCs w:val="16"/>
        </w:rPr>
        <w:t>Население чехословацких городов и сёл с величайшей радостью встречает части Красной Армии. Стихийно возникают митинги и демонстрации в честь победоносных советских войск, освобождающих народы Чехословакии от фашистского ига.</w:t>
      </w:r>
    </w:p>
    <w:p w14:paraId="0141D899" w14:textId="77777777" w:rsidR="00531F9E" w:rsidRPr="00F90EAE" w:rsidRDefault="00531F9E" w:rsidP="00F90EAE">
      <w:pPr>
        <w:jc w:val="both"/>
        <w:rPr>
          <w:color w:val="000000" w:themeColor="text1"/>
          <w:sz w:val="16"/>
          <w:szCs w:val="16"/>
        </w:rPr>
      </w:pPr>
      <w:r w:rsidRPr="00F90EAE">
        <w:rPr>
          <w:color w:val="000000" w:themeColor="text1"/>
          <w:sz w:val="16"/>
          <w:szCs w:val="16"/>
        </w:rPr>
        <w:t>Войска 3-го Украинского фронта продолжали наступление. Советские части, продвигаясь между озером Ферта (Нойзидлер-Зее) и отрогами Восточных Альп, овладели городом Шопрон — крупным узлом путей сообщения и сильно укреплённым опорным пунктом на подступах к австрийской столице Вене. Противник, пытаясь задержать наступление советских частей, непрерывно вводит в бой свежие силы. Разгромлены подразделения венской офицерской школы и запасной немецкой дивизии. Отступая под ударами советских войск, немцы бросают много оружия и оставляют склады с боеприпасами и военным имуществом.</w:t>
      </w:r>
    </w:p>
    <w:p w14:paraId="561F1622" w14:textId="77777777" w:rsidR="00531F9E" w:rsidRPr="00F90EAE" w:rsidRDefault="00531F9E" w:rsidP="00F90EAE">
      <w:pPr>
        <w:jc w:val="both"/>
        <w:rPr>
          <w:color w:val="000000" w:themeColor="text1"/>
          <w:sz w:val="16"/>
          <w:szCs w:val="16"/>
        </w:rPr>
      </w:pPr>
      <w:r w:rsidRPr="00F90EAE">
        <w:rPr>
          <w:color w:val="000000" w:themeColor="text1"/>
          <w:sz w:val="16"/>
          <w:szCs w:val="16"/>
        </w:rPr>
        <w:t>Юго-западнее озера Балатон ожесточенные бои происходят на подступах к городу Надьканижа. Противник, опираясь на заранее подготовленную полосу обороны, прикрывающую надьканижский нефтяной район, оказывает упорное сопротивление. Наши войска прорвали несколько линий вражеских траншей и, продвигаясь вперёд, заняли опорные пункты: Уюдвар в 8 километрах севернее Надьканижа и Шанц — в 2 километрах восточнее Надьканижа. В ходе боев противник несёт тяжёлые потери в живой силе и технике. По дорогам конвоируются тысячи немецких солдат и офицеров, взятых в плен войсками фронта.» (15086).</w:t>
      </w:r>
    </w:p>
    <w:p w14:paraId="01A10B2C" w14:textId="77777777" w:rsidR="00531F9E" w:rsidRPr="00F90EAE" w:rsidRDefault="00531F9E" w:rsidP="00F90EAE">
      <w:pPr>
        <w:jc w:val="both"/>
        <w:rPr>
          <w:color w:val="000000" w:themeColor="text1"/>
          <w:sz w:val="16"/>
          <w:szCs w:val="16"/>
        </w:rPr>
      </w:pPr>
    </w:p>
    <w:p w14:paraId="1A3636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марта и 1 апреля 1945, наиболее опытными летчи</w:t>
      </w:r>
      <w:r w:rsidRPr="00F90EAE">
        <w:rPr>
          <w:color w:val="000000" w:themeColor="text1"/>
          <w:sz w:val="16"/>
          <w:szCs w:val="16"/>
        </w:rPr>
        <w:softHyphen/>
        <w:t>ками 108 гвардейского шткрмового полка были выполнены испыта</w:t>
      </w:r>
      <w:r w:rsidRPr="00F90EAE">
        <w:rPr>
          <w:color w:val="000000" w:themeColor="text1"/>
          <w:sz w:val="16"/>
          <w:szCs w:val="16"/>
        </w:rPr>
        <w:softHyphen/>
        <w:t>тельные полеты с целью определения надежности в работе стрелково-пу-шечного и бомбового вооружения «десятки». Всего было выполнено 8 испытательных полетов с налетом 5 часов 30 минут. Пушки и пулеметы ра</w:t>
      </w:r>
      <w:r w:rsidRPr="00F90EAE">
        <w:rPr>
          <w:color w:val="000000" w:themeColor="text1"/>
          <w:sz w:val="16"/>
          <w:szCs w:val="16"/>
        </w:rPr>
        <w:softHyphen/>
        <w:t>ботали как часы. Зависания бомб не наблюдалось. Только в одном случае произошел отказ ЭСБР-Зп (11157).</w:t>
      </w:r>
    </w:p>
    <w:p w14:paraId="2CD105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9C1525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1st, 1945: In the East, bitter fighting rages in the western suburbs of the fortress city of Breslau. In the Southeast, the Soviet 3rd Ukrainian Front (Tolbukhin) reaches Wiener Neustadt in its advance toward Vienna. In the West, the US Ninth Army (Simpson) reaches Lippstadt, thus trapping 300,000 German troops of Heeresgruppe B (Model) in the socalled Ruhr pocket (3819).</w:t>
      </w:r>
    </w:p>
    <w:p w14:paraId="388025B6" w14:textId="77777777" w:rsidR="00665165" w:rsidRPr="00F90EAE" w:rsidRDefault="00665165" w:rsidP="00F90EAE">
      <w:pPr>
        <w:autoSpaceDE w:val="0"/>
        <w:autoSpaceDN w:val="0"/>
        <w:adjustRightInd w:val="0"/>
        <w:jc w:val="both"/>
        <w:rPr>
          <w:color w:val="000000" w:themeColor="text1"/>
          <w:sz w:val="16"/>
          <w:szCs w:val="16"/>
          <w:lang w:val="en-US"/>
        </w:rPr>
      </w:pPr>
    </w:p>
    <w:p w14:paraId="27339A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шли ожесточенные бои в предместьях Бреслау. 3УФ (Толбухин) вышла к Винер Нейштадт в наступлении на Вену. 9А США (Симпсон) достигла Липштадта, окружив 300 тыс. немецких войск Группы Б (Модель) в Рурском котле (3819).</w:t>
      </w:r>
    </w:p>
    <w:p w14:paraId="01B42884" w14:textId="77777777" w:rsidR="00665165" w:rsidRPr="00F90EAE" w:rsidRDefault="00665165" w:rsidP="00F90EAE">
      <w:pPr>
        <w:autoSpaceDE w:val="0"/>
        <w:autoSpaceDN w:val="0"/>
        <w:adjustRightInd w:val="0"/>
        <w:jc w:val="both"/>
        <w:rPr>
          <w:color w:val="000000" w:themeColor="text1"/>
          <w:sz w:val="16"/>
          <w:szCs w:val="16"/>
        </w:rPr>
      </w:pPr>
    </w:p>
    <w:p w14:paraId="7782F29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5A0A1BB" w14:textId="77777777" w:rsidR="00665165" w:rsidRPr="00F90EAE" w:rsidRDefault="00665165" w:rsidP="00F90EAE">
      <w:pPr>
        <w:autoSpaceDE w:val="0"/>
        <w:autoSpaceDN w:val="0"/>
        <w:adjustRightInd w:val="0"/>
        <w:jc w:val="both"/>
        <w:rPr>
          <w:iCs/>
          <w:color w:val="000000" w:themeColor="text1"/>
          <w:sz w:val="16"/>
          <w:szCs w:val="16"/>
        </w:rPr>
      </w:pPr>
    </w:p>
    <w:p w14:paraId="2E6979D9" w14:textId="77777777" w:rsidR="00531F9E" w:rsidRPr="00F90EAE" w:rsidRDefault="00531F9E" w:rsidP="00F90EAE">
      <w:pPr>
        <w:jc w:val="both"/>
        <w:rPr>
          <w:color w:val="000000" w:themeColor="text1"/>
          <w:sz w:val="16"/>
          <w:szCs w:val="16"/>
        </w:rPr>
      </w:pPr>
      <w:r w:rsidRPr="00F90EAE">
        <w:rPr>
          <w:color w:val="000000" w:themeColor="text1"/>
          <w:sz w:val="16"/>
          <w:szCs w:val="16"/>
        </w:rPr>
        <w:t xml:space="preserve">1 апреля в 1945 году в воздушном бою с американскими "Мустангами" у города Линц венгры потеряли единственный летный экземпляр своего первого и единственного истребителя с ТРД </w:t>
      </w:r>
      <w:hyperlink r:id="rId89" w:tgtFrame="_blank" w:history="1">
        <w:r w:rsidRPr="00F90EAE">
          <w:rPr>
            <w:color w:val="000000" w:themeColor="text1"/>
            <w:sz w:val="16"/>
            <w:szCs w:val="16"/>
          </w:rPr>
          <w:t xml:space="preserve">«Weiss Manfred» «XNI-2» «Kameleon». </w:t>
        </w:r>
      </w:hyperlink>
      <w:r w:rsidRPr="00F90EAE">
        <w:rPr>
          <w:color w:val="000000" w:themeColor="text1"/>
          <w:sz w:val="16"/>
          <w:szCs w:val="16"/>
        </w:rPr>
        <w:t>Несколько ранее при налете советских истребителей был уничтожен так и не прошедший испытаний разведывательный вариант (15086).</w:t>
      </w:r>
    </w:p>
    <w:p w14:paraId="1F743780" w14:textId="77777777" w:rsidR="00531F9E" w:rsidRPr="00F90EAE" w:rsidRDefault="00531F9E" w:rsidP="00F90EAE">
      <w:pPr>
        <w:jc w:val="both"/>
        <w:rPr>
          <w:color w:val="000000" w:themeColor="text1"/>
          <w:sz w:val="16"/>
          <w:szCs w:val="16"/>
        </w:rPr>
      </w:pPr>
    </w:p>
    <w:p w14:paraId="4881EFC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апреля 1945 впервые после начала войны включена иллюминация Собора Парижской богоматери и Триумфальной арки в Париже (4962).</w:t>
      </w:r>
    </w:p>
    <w:p w14:paraId="3BD8B40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37F71B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апреля 1945 Гитлер перенес ставку в бункер рейхсканцелярии (4962).</w:t>
      </w:r>
    </w:p>
    <w:p w14:paraId="4B3A7F6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35766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апреля 1945 союзники окружили группу немецких войск в Руре (4962).</w:t>
      </w:r>
    </w:p>
    <w:p w14:paraId="040CB9F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747236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 1945 U.S. troops encircle German troops in Ruhr (1050).</w:t>
      </w:r>
    </w:p>
    <w:p w14:paraId="7F26FF9C" w14:textId="77777777" w:rsidR="00665165" w:rsidRPr="00F90EAE" w:rsidRDefault="00665165" w:rsidP="00F90EAE">
      <w:pPr>
        <w:autoSpaceDE w:val="0"/>
        <w:autoSpaceDN w:val="0"/>
        <w:adjustRightInd w:val="0"/>
        <w:jc w:val="both"/>
        <w:rPr>
          <w:color w:val="000000" w:themeColor="text1"/>
          <w:sz w:val="16"/>
          <w:szCs w:val="16"/>
          <w:lang w:val="en-US"/>
        </w:rPr>
      </w:pPr>
    </w:p>
    <w:p w14:paraId="1628FC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американские войска окружили немецкие в районе Рура (1050).</w:t>
      </w:r>
    </w:p>
    <w:p w14:paraId="3D7E0605" w14:textId="77777777" w:rsidR="00665165" w:rsidRPr="00F90EAE" w:rsidRDefault="00665165" w:rsidP="00F90EAE">
      <w:pPr>
        <w:autoSpaceDE w:val="0"/>
        <w:autoSpaceDN w:val="0"/>
        <w:adjustRightInd w:val="0"/>
        <w:jc w:val="both"/>
        <w:rPr>
          <w:color w:val="000000" w:themeColor="text1"/>
          <w:sz w:val="16"/>
          <w:szCs w:val="16"/>
        </w:rPr>
      </w:pPr>
    </w:p>
    <w:p w14:paraId="26B9C9A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 1945 Allied offensive in North Italy (1050).</w:t>
      </w:r>
    </w:p>
    <w:p w14:paraId="407AE636" w14:textId="77777777" w:rsidR="00665165" w:rsidRPr="00F90EAE" w:rsidRDefault="00665165" w:rsidP="00F90EAE">
      <w:pPr>
        <w:autoSpaceDE w:val="0"/>
        <w:autoSpaceDN w:val="0"/>
        <w:adjustRightInd w:val="0"/>
        <w:jc w:val="both"/>
        <w:rPr>
          <w:color w:val="000000" w:themeColor="text1"/>
          <w:sz w:val="16"/>
          <w:szCs w:val="16"/>
          <w:lang w:val="en-US"/>
        </w:rPr>
      </w:pPr>
    </w:p>
    <w:p w14:paraId="45DE8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началось наступление союзников в Италии (1050).</w:t>
      </w:r>
    </w:p>
    <w:p w14:paraId="044DD75C" w14:textId="77777777" w:rsidR="00665165" w:rsidRPr="00F90EAE" w:rsidRDefault="00665165" w:rsidP="00F90EAE">
      <w:pPr>
        <w:autoSpaceDE w:val="0"/>
        <w:autoSpaceDN w:val="0"/>
        <w:adjustRightInd w:val="0"/>
        <w:jc w:val="both"/>
        <w:rPr>
          <w:color w:val="000000" w:themeColor="text1"/>
          <w:sz w:val="16"/>
          <w:szCs w:val="16"/>
        </w:rPr>
      </w:pPr>
    </w:p>
    <w:p w14:paraId="394B9DD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апреля 1945 10 ая американская армия , под командованием генерал-лейтенанта С.Б.Бакнера , начала операцию по овладению островом Окинава. Бои за остров закончились 22 июня 1945 (4963 ).</w:t>
      </w:r>
    </w:p>
    <w:p w14:paraId="24F23A0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BA84B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April 1 1945. Battle of Okinawa begins (1287).</w:t>
      </w:r>
    </w:p>
    <w:p w14:paraId="0271A31D" w14:textId="77777777" w:rsidR="00665165" w:rsidRPr="00F90EAE" w:rsidRDefault="00665165" w:rsidP="00F90EAE">
      <w:pPr>
        <w:autoSpaceDE w:val="0"/>
        <w:autoSpaceDN w:val="0"/>
        <w:adjustRightInd w:val="0"/>
        <w:jc w:val="both"/>
        <w:rPr>
          <w:color w:val="000000" w:themeColor="text1"/>
          <w:sz w:val="16"/>
          <w:szCs w:val="16"/>
        </w:rPr>
      </w:pPr>
    </w:p>
    <w:p w14:paraId="5C8B51B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01 1945 US Army lands on Okinawa, Ryukyu Islands (1769).</w:t>
      </w:r>
    </w:p>
    <w:p w14:paraId="67CA026A" w14:textId="77777777" w:rsidR="00665165" w:rsidRPr="00F90EAE" w:rsidRDefault="00665165" w:rsidP="00F90EAE">
      <w:pPr>
        <w:autoSpaceDE w:val="0"/>
        <w:autoSpaceDN w:val="0"/>
        <w:adjustRightInd w:val="0"/>
        <w:jc w:val="both"/>
        <w:rPr>
          <w:color w:val="000000" w:themeColor="text1"/>
          <w:sz w:val="16"/>
          <w:szCs w:val="16"/>
          <w:lang w:val="en-US"/>
        </w:rPr>
      </w:pPr>
    </w:p>
    <w:p w14:paraId="4BCB8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армия США высадилась на Окинаве и началась битва за Окинаву (1287;1769), которая шла до 21 июня 1945 (2248,4).</w:t>
      </w:r>
    </w:p>
    <w:p w14:paraId="5A98C2B2" w14:textId="77777777" w:rsidR="00665165" w:rsidRPr="00F90EAE" w:rsidRDefault="00665165" w:rsidP="00F90EAE">
      <w:pPr>
        <w:autoSpaceDE w:val="0"/>
        <w:autoSpaceDN w:val="0"/>
        <w:adjustRightInd w:val="0"/>
        <w:jc w:val="both"/>
        <w:rPr>
          <w:color w:val="000000" w:themeColor="text1"/>
          <w:sz w:val="16"/>
          <w:szCs w:val="16"/>
        </w:rPr>
      </w:pPr>
    </w:p>
    <w:p w14:paraId="317219E8" w14:textId="77777777" w:rsidR="00531F9E" w:rsidRPr="00F90EAE" w:rsidRDefault="00531F9E" w:rsidP="00F90EAE">
      <w:pPr>
        <w:jc w:val="both"/>
        <w:rPr>
          <w:color w:val="000000" w:themeColor="text1"/>
          <w:sz w:val="16"/>
          <w:szCs w:val="16"/>
        </w:rPr>
      </w:pPr>
      <w:r w:rsidRPr="00F90EAE">
        <w:rPr>
          <w:color w:val="000000" w:themeColor="text1"/>
          <w:sz w:val="16"/>
          <w:szCs w:val="16"/>
        </w:rPr>
        <w:t>1 апреля в 1945 году 10-я американская армия, под командованием генерал-лейтенанта С.Б.Бакнера, начала операцию по овладению островом Окинава. Бои за остров закончились 22 июня 1945 (15086).</w:t>
      </w:r>
    </w:p>
    <w:p w14:paraId="01589AB3" w14:textId="77777777" w:rsidR="00531F9E" w:rsidRPr="00F90EAE" w:rsidRDefault="00531F9E" w:rsidP="00F90EAE">
      <w:pPr>
        <w:jc w:val="both"/>
        <w:rPr>
          <w:color w:val="000000" w:themeColor="text1"/>
          <w:sz w:val="16"/>
          <w:szCs w:val="16"/>
        </w:rPr>
      </w:pPr>
    </w:p>
    <w:p w14:paraId="3F3368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г. американские войска начали высадку на Окинаву. Это уже была японская метрополия, и японцы решили оказать максимально возможное сопротивление противнику. Вицеадмирал Угаки Матомэ, командующий 5-м коку кантай (воздушным флотом), разработал план обороны Окинавы, который получил название «Кикусуй» («Плывущая хризантема»). Как и вице-адмирал Ониси, вице-адмирал Угаки был соратником адмирала Ямамото. Он был начальником штаба Ямамото во время битвы при Мидуэее. Угаки летел вместе с Ямамото 18 апреля 1943 г., в день гибели Ямамото. План Угаки почти полностью опирался на действия летчиков-самоубийц и предусматривал массированные атаки камикадзе на американские корабли.</w:t>
      </w:r>
    </w:p>
    <w:p w14:paraId="322D3A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Впервые за всю историю войны флотская и армейская авиация действовали согласованно.</w:t>
      </w:r>
    </w:p>
    <w:p w14:paraId="0C37DC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боях за Окинаву японские летчики-смертники из 28 потопленных авиацией кораблей потопили 26, соответственно из 225 поврежденных повредили 164, в том числе 27 авианосцев и других линейных кораблей. Надо сказать, что при этом 90% камикадзе не попали в цель или были сбиты. Всего во время боев за Окинаву морские летчики совершили 1050 самоубийственных атак, а армейские – 850. Сбили цель или сумели поразить ее 960 самолетов (11686).</w:t>
      </w:r>
    </w:p>
    <w:p w14:paraId="56158DED" w14:textId="77777777" w:rsidR="00665165" w:rsidRPr="00F90EAE" w:rsidRDefault="00665165" w:rsidP="00F90EAE">
      <w:pPr>
        <w:autoSpaceDE w:val="0"/>
        <w:autoSpaceDN w:val="0"/>
        <w:adjustRightInd w:val="0"/>
        <w:jc w:val="both"/>
        <w:rPr>
          <w:color w:val="000000" w:themeColor="text1"/>
          <w:sz w:val="16"/>
          <w:szCs w:val="16"/>
        </w:rPr>
      </w:pPr>
    </w:p>
    <w:p w14:paraId="13F2A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г. в 8 часов 30 минут американцы начали высадку на Окинаву. 16 тысяч солдат при поддержке танков приступили к продвижению в глубь острова. В 14 часов 30 минут практически без боя были захвачены аэродромы Йонтан (Ионтан) и Кадэна. На аэродроме Йонтан (Хорикоши Д., Окумия М., Кайдин М. Японская авиация во Второй мировой войне. М.: АСТ, 2001.) (по другим данным (Иванов Ю.Г. Камикадзе: пилоты-смертники. Смоленск: Русич, 2001.) – на аэродроме Кадэна) в руки американцев попало четыре исправных самолета Ока.</w:t>
      </w:r>
    </w:p>
    <w:p w14:paraId="5E4FF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Самолеты-снаряды были доставлены в США и тщательно обследованы. Американцы презрительно назвали самолет-снаряд Бака («Дурак», «Придурок»). Самолет-снаряд Ока действительно был примитивным оружием. Тем не менее думается, что в имя Бака американцы вложили больше пропаганды и испуга, чем истины. Во-первых, этот самолет летал с околозвуковой скоростью, во-вторых, от японского реактивного снаряда и не требовалось высоких аэродинамических и технологических качеств, в-третьих, Япония, несмотря на крах своей экономики и истощение ресурсов, умудрялась строить тысячи разных самолетов, в том числе и самолеты-снаряды, в четвертых, Ока после войны стал прототипом американских самонаводящихся противокорабельных крылатых ракет.</w:t>
      </w:r>
    </w:p>
    <w:p w14:paraId="3C27F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Итак, американцы начали высадку войск на Окинаву. Однако атаки камикадзе начались задолго до начала высадки американцев. В два часа ночи шесть «Богов грома» и 42 человека экипажей бомбардировщиков молча выслушали прощальную речь Окамуры. Церемония закончилась прощальной чашечкой сакэ.</w:t>
      </w:r>
    </w:p>
    <w:p w14:paraId="638DED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2 часа 21 минуту стартовал первый бомбардировщик. С интервалом в две минуты за ним последовали остальные. Группа самолетов устремилась к Окинаве. Однако и этот вылет для пилотов закончился провалом. Один бомбардировщик сбился с курса и вернулся на аэродром, другой совершил вынужденную посадку в море, третий разбился через несколько минут после взлета, четвертый был сбит зенитным огнем, а судьба двух остальных неизвестна до сих пор.</w:t>
      </w:r>
    </w:p>
    <w:p w14:paraId="56DDA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самоубийственных атаках приняли участие и летчики «Эскадрильи Кэмму». Отдельным из них все-таки удавалось пробиться к американским кораблям.</w:t>
      </w:r>
    </w:p>
    <w:p w14:paraId="106E3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Адмирал Угаки, перед которым стояла невыполнимая задача организовать отпор высадке американцев, разработал операцию «Кикусуй» («Плывущая хризантема»). В соответствии с планом была изменена тактика камикадзе: вместо вылетов небольших групп Угаки провел массированные атаки пилотов-смертников, посылая их волна за волной. К проведению операции «Кикусуй» были привлечены все наличные самолеты – от современных до устаревших и тренировочных (125 армейских и 230 палубных) (Иванов Ю.Г. Камикадзе: пилоты-смертники. Смоленск: Русич, 2001.). Впервые сухопутная и палубная авиация были объединены для решения одной задачи – остановить захват противником Окинавы. Была проведена целая серия операций «Кикусуй», между которыми камикадзе группами и одиночно наносили беспокоящие удары по кораблям союзников.</w:t>
      </w:r>
    </w:p>
    <w:p w14:paraId="6E525D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было страшное побоище. От ударов камикадзе американские и английские корабли получали повреждения или тонули (некоторые из них разламывались пополам), гибли моряки. Но и силы японцев таяли на глазах. К 6 апреля из 230 морских самолетов на базы вернулось только 12 истребителей эскорта и единственный бомбардировщик Бетти, спасшийся в густых облаках. Вечером 6 апреля полеты камикадзе возобновились – и снова большие невозвратимые потери с обеих сторон. В результате двухдневной операции «Кикусуй» Япония потеряла 355 самолетов-камикадзе и 341 обычный самолет. Было потоплено 6 кораблей США, 7 кораблей вышло из строя на срок более месяца, а 10 поврежденных кораблей были разобраны и исключены из списков по причине сильных повреждений. На кораблях ВМФ США погибло 466 и получили ранение 568 человек (11686).</w:t>
      </w:r>
    </w:p>
    <w:p w14:paraId="68D8A540" w14:textId="77777777" w:rsidR="00665165" w:rsidRPr="00F90EAE" w:rsidRDefault="00665165" w:rsidP="00F90EAE">
      <w:pPr>
        <w:autoSpaceDE w:val="0"/>
        <w:autoSpaceDN w:val="0"/>
        <w:adjustRightInd w:val="0"/>
        <w:jc w:val="both"/>
        <w:rPr>
          <w:color w:val="000000" w:themeColor="text1"/>
          <w:sz w:val="16"/>
          <w:szCs w:val="16"/>
        </w:rPr>
      </w:pPr>
    </w:p>
    <w:p w14:paraId="514CAD9D" w14:textId="77777777" w:rsidR="00A45A36" w:rsidRPr="00F90EAE" w:rsidRDefault="00A45A36" w:rsidP="00F90EAE">
      <w:pPr>
        <w:jc w:val="both"/>
        <w:rPr>
          <w:color w:val="0070C0"/>
          <w:sz w:val="16"/>
          <w:szCs w:val="16"/>
        </w:rPr>
      </w:pPr>
      <w:r w:rsidRPr="00F90EAE">
        <w:rPr>
          <w:color w:val="0070C0"/>
          <w:sz w:val="16"/>
          <w:szCs w:val="16"/>
        </w:rPr>
        <w:t>1 апреля 1945 начинается Операция «Айсберг» - американское вторжение на Окинаву. Авиация поражае линкор USS West Virginia и три корабля его эскорта, а камикадзе попадает в авианосец HMS Indefatigable, первый британский авианосец, поврежденный камикадзе .Неустанный рапортует 14 убитых, но через час возобновляет полеты (20371).</w:t>
      </w:r>
    </w:p>
    <w:p w14:paraId="05AD39A7" w14:textId="77777777" w:rsidR="00A45A36" w:rsidRPr="00F90EAE" w:rsidRDefault="00A45A36" w:rsidP="00F90EAE">
      <w:pPr>
        <w:jc w:val="both"/>
        <w:rPr>
          <w:color w:val="0070C0"/>
          <w:sz w:val="16"/>
          <w:szCs w:val="16"/>
        </w:rPr>
      </w:pPr>
    </w:p>
    <w:p w14:paraId="5A486E6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01 1945 355 kamikaze airplane attacks sink 6 American ships (1769).</w:t>
      </w:r>
    </w:p>
    <w:p w14:paraId="27BF48D2" w14:textId="77777777" w:rsidR="00665165" w:rsidRPr="00F90EAE" w:rsidRDefault="00665165" w:rsidP="00F90EAE">
      <w:pPr>
        <w:autoSpaceDE w:val="0"/>
        <w:autoSpaceDN w:val="0"/>
        <w:adjustRightInd w:val="0"/>
        <w:jc w:val="both"/>
        <w:rPr>
          <w:color w:val="000000" w:themeColor="text1"/>
          <w:sz w:val="16"/>
          <w:szCs w:val="16"/>
          <w:lang w:val="en-US"/>
        </w:rPr>
      </w:pPr>
    </w:p>
    <w:p w14:paraId="705962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335 камикадзе атаковали и потопили 6 американских судов (1769) и погибло 5 тыс. морских пехотинцев (2248,4).</w:t>
      </w:r>
    </w:p>
    <w:p w14:paraId="30117F4E" w14:textId="77777777" w:rsidR="00665165" w:rsidRPr="00F90EAE" w:rsidRDefault="00665165" w:rsidP="00F90EAE">
      <w:pPr>
        <w:autoSpaceDE w:val="0"/>
        <w:autoSpaceDN w:val="0"/>
        <w:adjustRightInd w:val="0"/>
        <w:jc w:val="both"/>
        <w:rPr>
          <w:color w:val="000000" w:themeColor="text1"/>
          <w:sz w:val="16"/>
          <w:szCs w:val="16"/>
        </w:rPr>
      </w:pPr>
    </w:p>
    <w:p w14:paraId="2A4D9C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 состоялось второе боевое применение японцами ракетного снаряда Ока, управляемого камикадзе. С базы Каноуа вылетело 3 бомбардировщика с подвешенными Ока + 3 Зеро. Повредили линкор West Virginia (2969,21).</w:t>
      </w:r>
    </w:p>
    <w:p w14:paraId="7E8C84F3" w14:textId="77777777" w:rsidR="00665165" w:rsidRPr="00F90EAE" w:rsidRDefault="00665165" w:rsidP="00F90EAE">
      <w:pPr>
        <w:autoSpaceDE w:val="0"/>
        <w:autoSpaceDN w:val="0"/>
        <w:adjustRightInd w:val="0"/>
        <w:jc w:val="both"/>
        <w:rPr>
          <w:color w:val="000000" w:themeColor="text1"/>
          <w:sz w:val="16"/>
          <w:szCs w:val="16"/>
        </w:rPr>
      </w:pPr>
    </w:p>
    <w:p w14:paraId="47601DC9" w14:textId="77777777" w:rsidR="00A45A36" w:rsidRPr="00F90EAE" w:rsidRDefault="00A45A36" w:rsidP="00F90EAE">
      <w:pPr>
        <w:jc w:val="both"/>
        <w:rPr>
          <w:color w:val="0070C0"/>
          <w:sz w:val="16"/>
          <w:szCs w:val="16"/>
        </w:rPr>
      </w:pPr>
      <w:r w:rsidRPr="00F90EAE">
        <w:rPr>
          <w:color w:val="0070C0"/>
          <w:sz w:val="16"/>
          <w:szCs w:val="16"/>
        </w:rPr>
        <w:t>1 апреля 1945 Nakajima Aircraft Company попадает под контроль японского правительства и переименован в Первый Арсенал. Боеприпасов (20371).</w:t>
      </w:r>
    </w:p>
    <w:p w14:paraId="4D637B6A" w14:textId="77777777" w:rsidR="00A45A36" w:rsidRPr="00F90EAE" w:rsidRDefault="00A45A36" w:rsidP="00F90EAE">
      <w:pPr>
        <w:jc w:val="both"/>
        <w:rPr>
          <w:color w:val="0070C0"/>
          <w:sz w:val="16"/>
          <w:szCs w:val="16"/>
        </w:rPr>
      </w:pPr>
    </w:p>
    <w:p w14:paraId="6FD565D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8B019C1" w14:textId="77777777" w:rsidR="00665165" w:rsidRPr="00F90EAE" w:rsidRDefault="00665165" w:rsidP="00F90EAE">
      <w:pPr>
        <w:autoSpaceDE w:val="0"/>
        <w:autoSpaceDN w:val="0"/>
        <w:adjustRightInd w:val="0"/>
        <w:jc w:val="both"/>
        <w:rPr>
          <w:iCs/>
          <w:color w:val="000000" w:themeColor="text1"/>
          <w:sz w:val="16"/>
          <w:szCs w:val="16"/>
        </w:rPr>
      </w:pPr>
    </w:p>
    <w:p w14:paraId="46D8F3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апреля 1945 Нач. 1У ГК НИИ ВВС гмиас Сафроновым был утвержден акт по результатам гос. испытаний модифицированного Ла-7 с 3 пушками Б-20, которые проводились с 25 января по 23 марта 1945</w:t>
      </w:r>
    </w:p>
    <w:p w14:paraId="0C0929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 38100358, 38105758 производства завода № 381</w:t>
      </w:r>
    </w:p>
    <w:p w14:paraId="568F1A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И-м Г.В.Чертявский</w:t>
      </w:r>
    </w:p>
    <w:p w14:paraId="4AF385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Л м Кубышкин</w:t>
      </w:r>
    </w:p>
    <w:p w14:paraId="7B4CD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С-ты производства з-да № 381 выпуска января-февраля 1945 г</w:t>
      </w:r>
    </w:p>
    <w:p w14:paraId="4E941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начались 25 января 1945 и прекращены 7 февраля 1945 из-за ненадежной работы вооружения.</w:t>
      </w:r>
    </w:p>
    <w:p w14:paraId="226A5D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с-та № 5758 испытания начаты 22 февраля и закончены 25 марта 1945 г.</w:t>
      </w:r>
    </w:p>
    <w:p w14:paraId="658058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полетов на с-те № 0358 налет составил 2:50</w:t>
      </w:r>
    </w:p>
    <w:p w14:paraId="07BE91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2675, полетный - 3312</w:t>
      </w:r>
    </w:p>
    <w:p w14:paraId="34D3B2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571, на 1 гр. (2900) - 632, на 5000 - 636, на 2 гр. (6100) - 662 км/час</w:t>
      </w:r>
    </w:p>
    <w:p w14:paraId="387B7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5000 - 5,1</w:t>
      </w:r>
    </w:p>
    <w:p w14:paraId="72A8A7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10325, время набора 26 мин.</w:t>
      </w:r>
    </w:p>
    <w:p w14:paraId="4B2799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492A6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Ла-7 № 3815758 в 3-х пушечном варианте пр-ва з-да № 381 выпуска февраля 1945 г. имеет макс. Скорость по сравнению со скоростью Ла-7 эталона 1944 меньше у земли на 26 км/час, на 1 гр. высотности (2900) - на 38 км/час, на 2 гр. (6100) на 18 км/час</w:t>
      </w:r>
    </w:p>
    <w:p w14:paraId="7A6130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работы 20мм пушек Б-20с и их синхронной установки не обеспечена.</w:t>
      </w:r>
    </w:p>
    <w:p w14:paraId="7D83C5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Материалы испытаний оставить для внутреннего пользованияч.</w:t>
      </w:r>
    </w:p>
    <w:p w14:paraId="434A69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закончервировать с целью использования для проведения летных испытаний в летних условиях для проверки методики летчика</w:t>
      </w:r>
    </w:p>
    <w:p w14:paraId="18CF98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Кочетков, Л.. 2 апреля 1945 (743,1).</w:t>
      </w:r>
    </w:p>
    <w:p w14:paraId="6F0DA45A" w14:textId="77777777" w:rsidR="00665165" w:rsidRPr="00F90EAE" w:rsidRDefault="00665165" w:rsidP="00F90EAE">
      <w:pPr>
        <w:autoSpaceDE w:val="0"/>
        <w:autoSpaceDN w:val="0"/>
        <w:adjustRightInd w:val="0"/>
        <w:jc w:val="both"/>
        <w:rPr>
          <w:color w:val="000000" w:themeColor="text1"/>
          <w:sz w:val="16"/>
          <w:szCs w:val="16"/>
        </w:rPr>
      </w:pPr>
    </w:p>
    <w:p w14:paraId="7966FEC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 апреля 1945 врид нач. ОУСМ ГУ ИАС ВВС КА гв м Бусамов подготовил:</w:t>
      </w:r>
    </w:p>
    <w:p w14:paraId="7F48789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Ведомость о потерях с-тов за 1944 пол ВВС КА (без ПВО, ВДВ и ВВС фронтов (787,46):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947"/>
        <w:gridCol w:w="947"/>
        <w:gridCol w:w="947"/>
        <w:gridCol w:w="947"/>
        <w:gridCol w:w="947"/>
        <w:gridCol w:w="947"/>
        <w:gridCol w:w="947"/>
      </w:tblGrid>
      <w:tr w:rsidR="00561F31" w:rsidRPr="00F90EAE" w14:paraId="5C0BD409" w14:textId="77777777">
        <w:tc>
          <w:tcPr>
            <w:tcW w:w="1668" w:type="dxa"/>
          </w:tcPr>
          <w:p w14:paraId="1A4765D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947" w:type="dxa"/>
          </w:tcPr>
          <w:p w14:paraId="401BB8D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5682" w:type="dxa"/>
            <w:gridSpan w:val="6"/>
          </w:tcPr>
          <w:p w14:paraId="028FA72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том числе:</w:t>
            </w:r>
          </w:p>
        </w:tc>
      </w:tr>
      <w:tr w:rsidR="00561F31" w:rsidRPr="00F90EAE" w14:paraId="14C7673F" w14:textId="77777777">
        <w:tc>
          <w:tcPr>
            <w:tcW w:w="1668" w:type="dxa"/>
          </w:tcPr>
          <w:p w14:paraId="4CD253C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BE6045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47" w:type="dxa"/>
          </w:tcPr>
          <w:p w14:paraId="0240624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Не вернулось с боевого задания</w:t>
            </w:r>
          </w:p>
        </w:tc>
        <w:tc>
          <w:tcPr>
            <w:tcW w:w="947" w:type="dxa"/>
          </w:tcPr>
          <w:p w14:paraId="7B0729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Сбиты в воздушном бою</w:t>
            </w:r>
          </w:p>
        </w:tc>
        <w:tc>
          <w:tcPr>
            <w:tcW w:w="947" w:type="dxa"/>
          </w:tcPr>
          <w:p w14:paraId="5CC5F52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Сбито ЗА</w:t>
            </w:r>
          </w:p>
        </w:tc>
        <w:tc>
          <w:tcPr>
            <w:tcW w:w="947" w:type="dxa"/>
          </w:tcPr>
          <w:p w14:paraId="315A006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Уничтожено на аэродроме</w:t>
            </w:r>
          </w:p>
        </w:tc>
        <w:tc>
          <w:tcPr>
            <w:tcW w:w="947" w:type="dxa"/>
          </w:tcPr>
          <w:p w14:paraId="64CD59B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Аварии</w:t>
            </w:r>
          </w:p>
        </w:tc>
        <w:tc>
          <w:tcPr>
            <w:tcW w:w="947" w:type="dxa"/>
          </w:tcPr>
          <w:p w14:paraId="34F7781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Износ</w:t>
            </w:r>
          </w:p>
        </w:tc>
      </w:tr>
      <w:tr w:rsidR="00561F31" w:rsidRPr="00F90EAE" w14:paraId="7D0B6C94" w14:textId="77777777">
        <w:tc>
          <w:tcPr>
            <w:tcW w:w="1668" w:type="dxa"/>
          </w:tcPr>
          <w:p w14:paraId="40D0A1A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Як-1</w:t>
            </w:r>
          </w:p>
        </w:tc>
        <w:tc>
          <w:tcPr>
            <w:tcW w:w="947" w:type="dxa"/>
          </w:tcPr>
          <w:p w14:paraId="1ED614E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1639</w:t>
            </w:r>
          </w:p>
        </w:tc>
        <w:tc>
          <w:tcPr>
            <w:tcW w:w="947" w:type="dxa"/>
          </w:tcPr>
          <w:p w14:paraId="15ECB33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398</w:t>
            </w:r>
          </w:p>
        </w:tc>
        <w:tc>
          <w:tcPr>
            <w:tcW w:w="947" w:type="dxa"/>
          </w:tcPr>
          <w:p w14:paraId="34A421E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84</w:t>
            </w:r>
          </w:p>
        </w:tc>
        <w:tc>
          <w:tcPr>
            <w:tcW w:w="947" w:type="dxa"/>
          </w:tcPr>
          <w:p w14:paraId="17B50AA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49</w:t>
            </w:r>
          </w:p>
        </w:tc>
        <w:tc>
          <w:tcPr>
            <w:tcW w:w="947" w:type="dxa"/>
          </w:tcPr>
          <w:p w14:paraId="1766BF4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5BC4BE0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297</w:t>
            </w:r>
          </w:p>
        </w:tc>
        <w:tc>
          <w:tcPr>
            <w:tcW w:w="947" w:type="dxa"/>
          </w:tcPr>
          <w:p w14:paraId="25BA74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802</w:t>
            </w:r>
          </w:p>
        </w:tc>
      </w:tr>
      <w:tr w:rsidR="00561F31" w:rsidRPr="00F90EAE" w14:paraId="3ABEB413" w14:textId="77777777">
        <w:tc>
          <w:tcPr>
            <w:tcW w:w="1668" w:type="dxa"/>
          </w:tcPr>
          <w:p w14:paraId="3A5171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Як-3</w:t>
            </w:r>
          </w:p>
        </w:tc>
        <w:tc>
          <w:tcPr>
            <w:tcW w:w="947" w:type="dxa"/>
          </w:tcPr>
          <w:p w14:paraId="616C34A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90</w:t>
            </w:r>
          </w:p>
        </w:tc>
        <w:tc>
          <w:tcPr>
            <w:tcW w:w="947" w:type="dxa"/>
          </w:tcPr>
          <w:p w14:paraId="0F2BE3F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w:t>
            </w:r>
          </w:p>
        </w:tc>
        <w:tc>
          <w:tcPr>
            <w:tcW w:w="947" w:type="dxa"/>
          </w:tcPr>
          <w:p w14:paraId="21D4A47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w:t>
            </w:r>
          </w:p>
        </w:tc>
        <w:tc>
          <w:tcPr>
            <w:tcW w:w="947" w:type="dxa"/>
          </w:tcPr>
          <w:p w14:paraId="75B726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w:t>
            </w:r>
          </w:p>
        </w:tc>
        <w:tc>
          <w:tcPr>
            <w:tcW w:w="947" w:type="dxa"/>
          </w:tcPr>
          <w:p w14:paraId="0E51B27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F37B60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31</w:t>
            </w:r>
          </w:p>
        </w:tc>
        <w:tc>
          <w:tcPr>
            <w:tcW w:w="947" w:type="dxa"/>
          </w:tcPr>
          <w:p w14:paraId="474EF2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493706C4" w14:textId="77777777">
        <w:tc>
          <w:tcPr>
            <w:tcW w:w="1668" w:type="dxa"/>
          </w:tcPr>
          <w:p w14:paraId="410F0F7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Як-7Б</w:t>
            </w:r>
          </w:p>
        </w:tc>
        <w:tc>
          <w:tcPr>
            <w:tcW w:w="947" w:type="dxa"/>
          </w:tcPr>
          <w:p w14:paraId="79D175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981</w:t>
            </w:r>
          </w:p>
        </w:tc>
        <w:tc>
          <w:tcPr>
            <w:tcW w:w="947" w:type="dxa"/>
          </w:tcPr>
          <w:p w14:paraId="738B8EA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200</w:t>
            </w:r>
          </w:p>
        </w:tc>
        <w:tc>
          <w:tcPr>
            <w:tcW w:w="947" w:type="dxa"/>
          </w:tcPr>
          <w:p w14:paraId="4BECB9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w:t>
            </w:r>
          </w:p>
        </w:tc>
        <w:tc>
          <w:tcPr>
            <w:tcW w:w="947" w:type="dxa"/>
          </w:tcPr>
          <w:p w14:paraId="539AB71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w:t>
            </w:r>
          </w:p>
        </w:tc>
        <w:tc>
          <w:tcPr>
            <w:tcW w:w="947" w:type="dxa"/>
          </w:tcPr>
          <w:p w14:paraId="716F10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CE63BB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188</w:t>
            </w:r>
          </w:p>
        </w:tc>
        <w:tc>
          <w:tcPr>
            <w:tcW w:w="947" w:type="dxa"/>
          </w:tcPr>
          <w:p w14:paraId="378D77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546</w:t>
            </w:r>
          </w:p>
        </w:tc>
      </w:tr>
      <w:tr w:rsidR="00561F31" w:rsidRPr="00F90EAE" w14:paraId="13FC04A0" w14:textId="77777777">
        <w:tc>
          <w:tcPr>
            <w:tcW w:w="1668" w:type="dxa"/>
          </w:tcPr>
          <w:p w14:paraId="5F0B722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Як-9ПФ</w:t>
            </w:r>
          </w:p>
        </w:tc>
        <w:tc>
          <w:tcPr>
            <w:tcW w:w="947" w:type="dxa"/>
          </w:tcPr>
          <w:p w14:paraId="55264F8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1754</w:t>
            </w:r>
          </w:p>
        </w:tc>
        <w:tc>
          <w:tcPr>
            <w:tcW w:w="947" w:type="dxa"/>
          </w:tcPr>
          <w:p w14:paraId="39C5CB5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787</w:t>
            </w:r>
          </w:p>
        </w:tc>
        <w:tc>
          <w:tcPr>
            <w:tcW w:w="947" w:type="dxa"/>
          </w:tcPr>
          <w:p w14:paraId="741634D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141</w:t>
            </w:r>
          </w:p>
        </w:tc>
        <w:tc>
          <w:tcPr>
            <w:tcW w:w="947" w:type="dxa"/>
          </w:tcPr>
          <w:p w14:paraId="12F55E4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94</w:t>
            </w:r>
          </w:p>
        </w:tc>
        <w:tc>
          <w:tcPr>
            <w:tcW w:w="947" w:type="dxa"/>
          </w:tcPr>
          <w:p w14:paraId="6A2F1C6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12</w:t>
            </w:r>
          </w:p>
        </w:tc>
        <w:tc>
          <w:tcPr>
            <w:tcW w:w="947" w:type="dxa"/>
          </w:tcPr>
          <w:p w14:paraId="2C61FF0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454</w:t>
            </w:r>
          </w:p>
        </w:tc>
        <w:tc>
          <w:tcPr>
            <w:tcW w:w="947" w:type="dxa"/>
          </w:tcPr>
          <w:p w14:paraId="468268D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266</w:t>
            </w:r>
          </w:p>
        </w:tc>
      </w:tr>
      <w:tr w:rsidR="00561F31" w:rsidRPr="00F90EAE" w14:paraId="5A084647" w14:textId="77777777">
        <w:tc>
          <w:tcPr>
            <w:tcW w:w="1668" w:type="dxa"/>
          </w:tcPr>
          <w:p w14:paraId="464A3AC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Як-9 М-107</w:t>
            </w:r>
          </w:p>
        </w:tc>
        <w:tc>
          <w:tcPr>
            <w:tcW w:w="947" w:type="dxa"/>
          </w:tcPr>
          <w:p w14:paraId="28BDB72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11289C0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5DF777B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9B95F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8DF92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C9BA45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79FC2AF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44F244FB" w14:textId="77777777">
        <w:tc>
          <w:tcPr>
            <w:tcW w:w="1668" w:type="dxa"/>
          </w:tcPr>
          <w:p w14:paraId="0A7CECD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Ла-5 М-82</w:t>
            </w:r>
          </w:p>
        </w:tc>
        <w:tc>
          <w:tcPr>
            <w:tcW w:w="947" w:type="dxa"/>
          </w:tcPr>
          <w:p w14:paraId="7596757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326</w:t>
            </w:r>
          </w:p>
        </w:tc>
        <w:tc>
          <w:tcPr>
            <w:tcW w:w="947" w:type="dxa"/>
          </w:tcPr>
          <w:p w14:paraId="2824C75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w:t>
            </w:r>
          </w:p>
        </w:tc>
        <w:tc>
          <w:tcPr>
            <w:tcW w:w="947" w:type="dxa"/>
          </w:tcPr>
          <w:p w14:paraId="25FF69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526F31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0ED3AA6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93BFDB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61</w:t>
            </w:r>
          </w:p>
        </w:tc>
        <w:tc>
          <w:tcPr>
            <w:tcW w:w="947" w:type="dxa"/>
          </w:tcPr>
          <w:p w14:paraId="3D8225D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217</w:t>
            </w:r>
          </w:p>
        </w:tc>
      </w:tr>
      <w:tr w:rsidR="00561F31" w:rsidRPr="00F90EAE" w14:paraId="372067AD" w14:textId="77777777">
        <w:tc>
          <w:tcPr>
            <w:tcW w:w="1668" w:type="dxa"/>
          </w:tcPr>
          <w:p w14:paraId="1D4D1A8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Ла-5Ф</w:t>
            </w:r>
          </w:p>
        </w:tc>
        <w:tc>
          <w:tcPr>
            <w:tcW w:w="947" w:type="dxa"/>
          </w:tcPr>
          <w:p w14:paraId="31FFF34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1420</w:t>
            </w:r>
          </w:p>
        </w:tc>
        <w:tc>
          <w:tcPr>
            <w:tcW w:w="947" w:type="dxa"/>
          </w:tcPr>
          <w:p w14:paraId="4325C2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420</w:t>
            </w:r>
          </w:p>
        </w:tc>
        <w:tc>
          <w:tcPr>
            <w:tcW w:w="947" w:type="dxa"/>
          </w:tcPr>
          <w:p w14:paraId="1AA8D61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112</w:t>
            </w:r>
          </w:p>
        </w:tc>
        <w:tc>
          <w:tcPr>
            <w:tcW w:w="947" w:type="dxa"/>
          </w:tcPr>
          <w:p w14:paraId="5A2AC36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69</w:t>
            </w:r>
          </w:p>
        </w:tc>
        <w:tc>
          <w:tcPr>
            <w:tcW w:w="947" w:type="dxa"/>
          </w:tcPr>
          <w:p w14:paraId="3597B22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w:t>
            </w:r>
          </w:p>
        </w:tc>
        <w:tc>
          <w:tcPr>
            <w:tcW w:w="947" w:type="dxa"/>
          </w:tcPr>
          <w:p w14:paraId="1799F9D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426</w:t>
            </w:r>
          </w:p>
        </w:tc>
        <w:tc>
          <w:tcPr>
            <w:tcW w:w="947" w:type="dxa"/>
          </w:tcPr>
          <w:p w14:paraId="0912F3D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373</w:t>
            </w:r>
          </w:p>
        </w:tc>
      </w:tr>
      <w:tr w:rsidR="00561F31" w:rsidRPr="00F90EAE" w14:paraId="45D59860" w14:textId="77777777">
        <w:tc>
          <w:tcPr>
            <w:tcW w:w="1668" w:type="dxa"/>
          </w:tcPr>
          <w:p w14:paraId="71362E0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Ла-5ФН</w:t>
            </w:r>
          </w:p>
        </w:tc>
        <w:tc>
          <w:tcPr>
            <w:tcW w:w="947" w:type="dxa"/>
          </w:tcPr>
          <w:p w14:paraId="469024F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700</w:t>
            </w:r>
          </w:p>
        </w:tc>
        <w:tc>
          <w:tcPr>
            <w:tcW w:w="947" w:type="dxa"/>
          </w:tcPr>
          <w:p w14:paraId="22E63B7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256</w:t>
            </w:r>
          </w:p>
        </w:tc>
        <w:tc>
          <w:tcPr>
            <w:tcW w:w="947" w:type="dxa"/>
          </w:tcPr>
          <w:p w14:paraId="758539F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w:t>
            </w:r>
          </w:p>
        </w:tc>
        <w:tc>
          <w:tcPr>
            <w:tcW w:w="947" w:type="dxa"/>
          </w:tcPr>
          <w:p w14:paraId="130DE03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33</w:t>
            </w:r>
          </w:p>
        </w:tc>
        <w:tc>
          <w:tcPr>
            <w:tcW w:w="947" w:type="dxa"/>
          </w:tcPr>
          <w:p w14:paraId="165EB6C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w:t>
            </w:r>
          </w:p>
        </w:tc>
        <w:tc>
          <w:tcPr>
            <w:tcW w:w="947" w:type="dxa"/>
          </w:tcPr>
          <w:p w14:paraId="4A97D21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249</w:t>
            </w:r>
          </w:p>
        </w:tc>
        <w:tc>
          <w:tcPr>
            <w:tcW w:w="947" w:type="dxa"/>
          </w:tcPr>
          <w:p w14:paraId="3D6424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113</w:t>
            </w:r>
          </w:p>
        </w:tc>
      </w:tr>
      <w:tr w:rsidR="00561F31" w:rsidRPr="00F90EAE" w14:paraId="571BEDF2" w14:textId="77777777">
        <w:tc>
          <w:tcPr>
            <w:tcW w:w="1668" w:type="dxa"/>
          </w:tcPr>
          <w:p w14:paraId="2E43789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w:t>
            </w:r>
          </w:p>
        </w:tc>
        <w:tc>
          <w:tcPr>
            <w:tcW w:w="947" w:type="dxa"/>
          </w:tcPr>
          <w:p w14:paraId="6D76DB6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62</w:t>
            </w:r>
          </w:p>
        </w:tc>
        <w:tc>
          <w:tcPr>
            <w:tcW w:w="947" w:type="dxa"/>
          </w:tcPr>
          <w:p w14:paraId="03CCCDE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w:t>
            </w:r>
          </w:p>
        </w:tc>
        <w:tc>
          <w:tcPr>
            <w:tcW w:w="947" w:type="dxa"/>
          </w:tcPr>
          <w:p w14:paraId="6302C5C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7C6AD82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29F3677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9D4766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w:t>
            </w:r>
          </w:p>
        </w:tc>
        <w:tc>
          <w:tcPr>
            <w:tcW w:w="947" w:type="dxa"/>
          </w:tcPr>
          <w:p w14:paraId="66D010A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6C91A9FD" w14:textId="77777777">
        <w:tc>
          <w:tcPr>
            <w:tcW w:w="1668" w:type="dxa"/>
          </w:tcPr>
          <w:p w14:paraId="658452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Киттихок</w:t>
            </w:r>
          </w:p>
        </w:tc>
        <w:tc>
          <w:tcPr>
            <w:tcW w:w="947" w:type="dxa"/>
          </w:tcPr>
          <w:p w14:paraId="206B4B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88</w:t>
            </w:r>
          </w:p>
        </w:tc>
        <w:tc>
          <w:tcPr>
            <w:tcW w:w="947" w:type="dxa"/>
          </w:tcPr>
          <w:p w14:paraId="4F34246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1E6591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398824A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36F2639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BE3AB0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382488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57</w:t>
            </w:r>
          </w:p>
        </w:tc>
      </w:tr>
      <w:tr w:rsidR="00561F31" w:rsidRPr="00F90EAE" w14:paraId="289E44B6" w14:textId="77777777">
        <w:tc>
          <w:tcPr>
            <w:tcW w:w="1668" w:type="dxa"/>
          </w:tcPr>
          <w:p w14:paraId="2B332F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Аэрокобра</w:t>
            </w:r>
          </w:p>
        </w:tc>
        <w:tc>
          <w:tcPr>
            <w:tcW w:w="947" w:type="dxa"/>
          </w:tcPr>
          <w:p w14:paraId="65A6545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887</w:t>
            </w:r>
          </w:p>
        </w:tc>
        <w:tc>
          <w:tcPr>
            <w:tcW w:w="947" w:type="dxa"/>
          </w:tcPr>
          <w:p w14:paraId="38FFBE1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378</w:t>
            </w:r>
          </w:p>
        </w:tc>
        <w:tc>
          <w:tcPr>
            <w:tcW w:w="947" w:type="dxa"/>
          </w:tcPr>
          <w:p w14:paraId="462C62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58</w:t>
            </w:r>
          </w:p>
        </w:tc>
        <w:tc>
          <w:tcPr>
            <w:tcW w:w="947" w:type="dxa"/>
          </w:tcPr>
          <w:p w14:paraId="2FD27D6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35</w:t>
            </w:r>
          </w:p>
        </w:tc>
        <w:tc>
          <w:tcPr>
            <w:tcW w:w="947" w:type="dxa"/>
          </w:tcPr>
          <w:p w14:paraId="3921001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420CD32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243</w:t>
            </w:r>
          </w:p>
        </w:tc>
        <w:tc>
          <w:tcPr>
            <w:tcW w:w="947" w:type="dxa"/>
          </w:tcPr>
          <w:p w14:paraId="010E9CB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169</w:t>
            </w:r>
          </w:p>
        </w:tc>
      </w:tr>
      <w:tr w:rsidR="00561F31" w:rsidRPr="00F90EAE" w14:paraId="0314793F" w14:textId="77777777">
        <w:tc>
          <w:tcPr>
            <w:tcW w:w="1668" w:type="dxa"/>
          </w:tcPr>
          <w:p w14:paraId="5ABED11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Томагаук</w:t>
            </w:r>
          </w:p>
        </w:tc>
        <w:tc>
          <w:tcPr>
            <w:tcW w:w="947" w:type="dxa"/>
          </w:tcPr>
          <w:p w14:paraId="6569001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08355D8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250EDF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5C5D6D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1D1276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FE20EC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E5D0EF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r>
      <w:tr w:rsidR="00561F31" w:rsidRPr="00F90EAE" w14:paraId="4ADA0FAF" w14:textId="77777777">
        <w:tc>
          <w:tcPr>
            <w:tcW w:w="1668" w:type="dxa"/>
          </w:tcPr>
          <w:p w14:paraId="437C131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Спитфайр</w:t>
            </w:r>
          </w:p>
        </w:tc>
        <w:tc>
          <w:tcPr>
            <w:tcW w:w="947" w:type="dxa"/>
          </w:tcPr>
          <w:p w14:paraId="09F4615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7F46781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D7989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AA3C02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70ED6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F37B58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773BC3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36</w:t>
            </w:r>
          </w:p>
        </w:tc>
      </w:tr>
      <w:tr w:rsidR="00561F31" w:rsidRPr="00F90EAE" w14:paraId="1BD337BC" w14:textId="77777777">
        <w:tc>
          <w:tcPr>
            <w:tcW w:w="1668" w:type="dxa"/>
          </w:tcPr>
          <w:p w14:paraId="2A98798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Спитфайр</w:t>
            </w:r>
          </w:p>
        </w:tc>
        <w:tc>
          <w:tcPr>
            <w:tcW w:w="947" w:type="dxa"/>
          </w:tcPr>
          <w:p w14:paraId="367AF86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w:t>
            </w:r>
          </w:p>
        </w:tc>
        <w:tc>
          <w:tcPr>
            <w:tcW w:w="947" w:type="dxa"/>
          </w:tcPr>
          <w:p w14:paraId="269932E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E42C8C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31DFDC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09D493A"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D0F2E0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A65BB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w:t>
            </w:r>
          </w:p>
        </w:tc>
      </w:tr>
      <w:tr w:rsidR="00561F31" w:rsidRPr="00F90EAE" w14:paraId="044D7599" w14:textId="77777777">
        <w:tc>
          <w:tcPr>
            <w:tcW w:w="1668" w:type="dxa"/>
          </w:tcPr>
          <w:p w14:paraId="110DEE8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E858D7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8030</w:t>
            </w:r>
          </w:p>
        </w:tc>
        <w:tc>
          <w:tcPr>
            <w:tcW w:w="947" w:type="dxa"/>
          </w:tcPr>
          <w:p w14:paraId="4490B37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2556</w:t>
            </w:r>
          </w:p>
        </w:tc>
        <w:tc>
          <w:tcPr>
            <w:tcW w:w="947" w:type="dxa"/>
          </w:tcPr>
          <w:p w14:paraId="7E41E6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479</w:t>
            </w:r>
          </w:p>
        </w:tc>
        <w:tc>
          <w:tcPr>
            <w:tcW w:w="947" w:type="dxa"/>
          </w:tcPr>
          <w:p w14:paraId="4147ADC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345</w:t>
            </w:r>
          </w:p>
        </w:tc>
        <w:tc>
          <w:tcPr>
            <w:tcW w:w="947" w:type="dxa"/>
          </w:tcPr>
          <w:p w14:paraId="75E1E5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52</w:t>
            </w:r>
          </w:p>
        </w:tc>
        <w:tc>
          <w:tcPr>
            <w:tcW w:w="947" w:type="dxa"/>
          </w:tcPr>
          <w:p w14:paraId="76354E3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1979</w:t>
            </w:r>
          </w:p>
        </w:tc>
        <w:tc>
          <w:tcPr>
            <w:tcW w:w="947" w:type="dxa"/>
          </w:tcPr>
          <w:p w14:paraId="7606F76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2619</w:t>
            </w:r>
          </w:p>
        </w:tc>
      </w:tr>
      <w:tr w:rsidR="00561F31" w:rsidRPr="00F90EAE" w14:paraId="12AFB586" w14:textId="77777777">
        <w:tc>
          <w:tcPr>
            <w:tcW w:w="1668" w:type="dxa"/>
          </w:tcPr>
          <w:p w14:paraId="2AA51FF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BC7EEB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01EC8B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806D83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9A1979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7422F8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125876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7C7AFCB"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4C1B2786" w14:textId="77777777">
        <w:tc>
          <w:tcPr>
            <w:tcW w:w="1668" w:type="dxa"/>
          </w:tcPr>
          <w:p w14:paraId="79D380A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МиГ-3</w:t>
            </w:r>
          </w:p>
        </w:tc>
        <w:tc>
          <w:tcPr>
            <w:tcW w:w="947" w:type="dxa"/>
          </w:tcPr>
          <w:p w14:paraId="41FCC3D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18F107B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1C1A25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C7DB9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E4416E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52ED2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05F1E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444851FA" w14:textId="77777777">
        <w:tc>
          <w:tcPr>
            <w:tcW w:w="1668" w:type="dxa"/>
          </w:tcPr>
          <w:p w14:paraId="48C823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ЛаГГ-3</w:t>
            </w:r>
          </w:p>
        </w:tc>
        <w:tc>
          <w:tcPr>
            <w:tcW w:w="947" w:type="dxa"/>
          </w:tcPr>
          <w:p w14:paraId="410903A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594</w:t>
            </w:r>
          </w:p>
        </w:tc>
        <w:tc>
          <w:tcPr>
            <w:tcW w:w="947" w:type="dxa"/>
          </w:tcPr>
          <w:p w14:paraId="11DE34A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59</w:t>
            </w:r>
          </w:p>
        </w:tc>
        <w:tc>
          <w:tcPr>
            <w:tcW w:w="947" w:type="dxa"/>
          </w:tcPr>
          <w:p w14:paraId="14969E5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w:t>
            </w:r>
          </w:p>
        </w:tc>
        <w:tc>
          <w:tcPr>
            <w:tcW w:w="947" w:type="dxa"/>
          </w:tcPr>
          <w:p w14:paraId="714662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w:t>
            </w:r>
          </w:p>
        </w:tc>
        <w:tc>
          <w:tcPr>
            <w:tcW w:w="947" w:type="dxa"/>
          </w:tcPr>
          <w:p w14:paraId="3446469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070F2AE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w:t>
            </w:r>
          </w:p>
        </w:tc>
        <w:tc>
          <w:tcPr>
            <w:tcW w:w="947" w:type="dxa"/>
          </w:tcPr>
          <w:p w14:paraId="6BEED40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451</w:t>
            </w:r>
          </w:p>
        </w:tc>
      </w:tr>
      <w:tr w:rsidR="00561F31" w:rsidRPr="00F90EAE" w14:paraId="2E973D7E" w14:textId="77777777">
        <w:tc>
          <w:tcPr>
            <w:tcW w:w="1668" w:type="dxa"/>
          </w:tcPr>
          <w:p w14:paraId="257DCA6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И-16 М-25</w:t>
            </w:r>
          </w:p>
        </w:tc>
        <w:tc>
          <w:tcPr>
            <w:tcW w:w="947" w:type="dxa"/>
          </w:tcPr>
          <w:p w14:paraId="65CA781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538</w:t>
            </w:r>
          </w:p>
        </w:tc>
        <w:tc>
          <w:tcPr>
            <w:tcW w:w="947" w:type="dxa"/>
          </w:tcPr>
          <w:p w14:paraId="236D8CF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CC63A5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BBA29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FD3148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FC878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w:t>
            </w:r>
          </w:p>
        </w:tc>
        <w:tc>
          <w:tcPr>
            <w:tcW w:w="947" w:type="dxa"/>
          </w:tcPr>
          <w:p w14:paraId="78B0B8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493</w:t>
            </w:r>
          </w:p>
        </w:tc>
      </w:tr>
      <w:tr w:rsidR="00561F31" w:rsidRPr="00F90EAE" w14:paraId="414E88D8" w14:textId="77777777">
        <w:tc>
          <w:tcPr>
            <w:tcW w:w="1668" w:type="dxa"/>
          </w:tcPr>
          <w:p w14:paraId="7B1ED0D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И-16 М-62</w:t>
            </w:r>
          </w:p>
        </w:tc>
        <w:tc>
          <w:tcPr>
            <w:tcW w:w="947" w:type="dxa"/>
          </w:tcPr>
          <w:p w14:paraId="683E4E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65</w:t>
            </w:r>
          </w:p>
        </w:tc>
        <w:tc>
          <w:tcPr>
            <w:tcW w:w="947" w:type="dxa"/>
          </w:tcPr>
          <w:p w14:paraId="3963C22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31C64E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356D83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5B2877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D03718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182793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55</w:t>
            </w:r>
          </w:p>
        </w:tc>
      </w:tr>
      <w:tr w:rsidR="00561F31" w:rsidRPr="00F90EAE" w14:paraId="566475E6" w14:textId="77777777">
        <w:tc>
          <w:tcPr>
            <w:tcW w:w="1668" w:type="dxa"/>
          </w:tcPr>
          <w:p w14:paraId="7CE4A9A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МиГ-1</w:t>
            </w:r>
          </w:p>
        </w:tc>
        <w:tc>
          <w:tcPr>
            <w:tcW w:w="947" w:type="dxa"/>
          </w:tcPr>
          <w:p w14:paraId="6B4E183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2E03724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5451E6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AD6B1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2F1C78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080DAD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A583E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221A2DCC" w14:textId="77777777">
        <w:tc>
          <w:tcPr>
            <w:tcW w:w="1668" w:type="dxa"/>
          </w:tcPr>
          <w:p w14:paraId="670BD33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И-153</w:t>
            </w:r>
          </w:p>
        </w:tc>
        <w:tc>
          <w:tcPr>
            <w:tcW w:w="947" w:type="dxa"/>
          </w:tcPr>
          <w:p w14:paraId="4BB2DCF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263</w:t>
            </w:r>
          </w:p>
        </w:tc>
        <w:tc>
          <w:tcPr>
            <w:tcW w:w="947" w:type="dxa"/>
          </w:tcPr>
          <w:p w14:paraId="27D2DB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5F4DB1C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2AAF73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3DAC8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B49E5C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0D0208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255</w:t>
            </w:r>
          </w:p>
        </w:tc>
      </w:tr>
      <w:tr w:rsidR="00561F31" w:rsidRPr="00F90EAE" w14:paraId="443FDFD4" w14:textId="77777777">
        <w:tc>
          <w:tcPr>
            <w:tcW w:w="1668" w:type="dxa"/>
          </w:tcPr>
          <w:p w14:paraId="615BB11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И-15</w:t>
            </w:r>
          </w:p>
        </w:tc>
        <w:tc>
          <w:tcPr>
            <w:tcW w:w="947" w:type="dxa"/>
          </w:tcPr>
          <w:p w14:paraId="15A5B23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350</w:t>
            </w:r>
          </w:p>
        </w:tc>
        <w:tc>
          <w:tcPr>
            <w:tcW w:w="947" w:type="dxa"/>
          </w:tcPr>
          <w:p w14:paraId="10B2F9A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D1FE69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BDEED4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2427BC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B92CB0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w:t>
            </w:r>
          </w:p>
        </w:tc>
        <w:tc>
          <w:tcPr>
            <w:tcW w:w="947" w:type="dxa"/>
          </w:tcPr>
          <w:p w14:paraId="598451B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343</w:t>
            </w:r>
          </w:p>
        </w:tc>
      </w:tr>
      <w:tr w:rsidR="00561F31" w:rsidRPr="00F90EAE" w14:paraId="7BB8061B" w14:textId="77777777">
        <w:tc>
          <w:tcPr>
            <w:tcW w:w="1668" w:type="dxa"/>
          </w:tcPr>
          <w:p w14:paraId="617A95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МиГ-3</w:t>
            </w:r>
          </w:p>
        </w:tc>
        <w:tc>
          <w:tcPr>
            <w:tcW w:w="947" w:type="dxa"/>
          </w:tcPr>
          <w:p w14:paraId="36CB95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17</w:t>
            </w:r>
          </w:p>
        </w:tc>
        <w:tc>
          <w:tcPr>
            <w:tcW w:w="947" w:type="dxa"/>
          </w:tcPr>
          <w:p w14:paraId="3B2BE4A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DEF6BD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5086E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F7E07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0DF6D7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6676EEE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w:t>
            </w:r>
          </w:p>
        </w:tc>
      </w:tr>
      <w:tr w:rsidR="00561F31" w:rsidRPr="00F90EAE" w14:paraId="68D565A5" w14:textId="77777777">
        <w:tc>
          <w:tcPr>
            <w:tcW w:w="1668" w:type="dxa"/>
          </w:tcPr>
          <w:p w14:paraId="5DCF331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Харрикейн</w:t>
            </w:r>
          </w:p>
        </w:tc>
        <w:tc>
          <w:tcPr>
            <w:tcW w:w="947" w:type="dxa"/>
          </w:tcPr>
          <w:p w14:paraId="70E8E2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249</w:t>
            </w:r>
          </w:p>
        </w:tc>
        <w:tc>
          <w:tcPr>
            <w:tcW w:w="947" w:type="dxa"/>
          </w:tcPr>
          <w:p w14:paraId="314F222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43DE4D0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23E8A2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74467D8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F4AF7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w:t>
            </w:r>
          </w:p>
        </w:tc>
        <w:tc>
          <w:tcPr>
            <w:tcW w:w="947" w:type="dxa"/>
          </w:tcPr>
          <w:p w14:paraId="0A0B269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215</w:t>
            </w:r>
          </w:p>
        </w:tc>
      </w:tr>
      <w:tr w:rsidR="00561F31" w:rsidRPr="00F90EAE" w14:paraId="4C1D79F7" w14:textId="77777777">
        <w:tc>
          <w:tcPr>
            <w:tcW w:w="1668" w:type="dxa"/>
          </w:tcPr>
          <w:p w14:paraId="5DA95A8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50218D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C7F2A3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582AE4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165E72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D610CC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F33C080"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F6CCDBC"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4D8513F6" w14:textId="77777777">
        <w:tc>
          <w:tcPr>
            <w:tcW w:w="1668" w:type="dxa"/>
          </w:tcPr>
          <w:p w14:paraId="21DCDC50"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0FCABE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2081</w:t>
            </w:r>
          </w:p>
        </w:tc>
        <w:tc>
          <w:tcPr>
            <w:tcW w:w="947" w:type="dxa"/>
          </w:tcPr>
          <w:p w14:paraId="685B71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76</w:t>
            </w:r>
          </w:p>
        </w:tc>
        <w:tc>
          <w:tcPr>
            <w:tcW w:w="947" w:type="dxa"/>
          </w:tcPr>
          <w:p w14:paraId="171622D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w:t>
            </w:r>
          </w:p>
        </w:tc>
        <w:tc>
          <w:tcPr>
            <w:tcW w:w="947" w:type="dxa"/>
          </w:tcPr>
          <w:p w14:paraId="474253D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31</w:t>
            </w:r>
          </w:p>
        </w:tc>
        <w:tc>
          <w:tcPr>
            <w:tcW w:w="947" w:type="dxa"/>
          </w:tcPr>
          <w:p w14:paraId="569818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23DDCC9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109</w:t>
            </w:r>
          </w:p>
        </w:tc>
        <w:tc>
          <w:tcPr>
            <w:tcW w:w="947" w:type="dxa"/>
          </w:tcPr>
          <w:p w14:paraId="0EFE516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1833</w:t>
            </w:r>
          </w:p>
        </w:tc>
      </w:tr>
      <w:tr w:rsidR="00561F31" w:rsidRPr="00F90EAE" w14:paraId="3F41752A" w14:textId="77777777">
        <w:tc>
          <w:tcPr>
            <w:tcW w:w="1668" w:type="dxa"/>
          </w:tcPr>
          <w:p w14:paraId="055BABC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8D9718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8E4C3B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B346F5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5A010C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8AFA62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585676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9DBC5D6"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0C3A6E3D" w14:textId="77777777">
        <w:tc>
          <w:tcPr>
            <w:tcW w:w="1668" w:type="dxa"/>
          </w:tcPr>
          <w:p w14:paraId="4D389E9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0296BB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10111</w:t>
            </w:r>
          </w:p>
        </w:tc>
        <w:tc>
          <w:tcPr>
            <w:tcW w:w="947" w:type="dxa"/>
          </w:tcPr>
          <w:p w14:paraId="20150E7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2632</w:t>
            </w:r>
          </w:p>
        </w:tc>
        <w:tc>
          <w:tcPr>
            <w:tcW w:w="947" w:type="dxa"/>
          </w:tcPr>
          <w:p w14:paraId="62D7ADC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508</w:t>
            </w:r>
          </w:p>
        </w:tc>
        <w:tc>
          <w:tcPr>
            <w:tcW w:w="947" w:type="dxa"/>
          </w:tcPr>
          <w:p w14:paraId="0733D73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376</w:t>
            </w:r>
          </w:p>
        </w:tc>
        <w:tc>
          <w:tcPr>
            <w:tcW w:w="947" w:type="dxa"/>
          </w:tcPr>
          <w:p w14:paraId="6AD3F38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55</w:t>
            </w:r>
          </w:p>
        </w:tc>
        <w:tc>
          <w:tcPr>
            <w:tcW w:w="947" w:type="dxa"/>
          </w:tcPr>
          <w:p w14:paraId="603181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2088</w:t>
            </w:r>
          </w:p>
        </w:tc>
        <w:tc>
          <w:tcPr>
            <w:tcW w:w="947" w:type="dxa"/>
          </w:tcPr>
          <w:p w14:paraId="6637F83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4452</w:t>
            </w:r>
          </w:p>
        </w:tc>
      </w:tr>
      <w:tr w:rsidR="00561F31" w:rsidRPr="00F90EAE" w14:paraId="570CF923" w14:textId="77777777">
        <w:tc>
          <w:tcPr>
            <w:tcW w:w="1668" w:type="dxa"/>
          </w:tcPr>
          <w:p w14:paraId="38A3D13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фронт</w:t>
            </w:r>
          </w:p>
        </w:tc>
        <w:tc>
          <w:tcPr>
            <w:tcW w:w="947" w:type="dxa"/>
          </w:tcPr>
          <w:p w14:paraId="7F9EB1A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6601</w:t>
            </w:r>
          </w:p>
        </w:tc>
        <w:tc>
          <w:tcPr>
            <w:tcW w:w="947" w:type="dxa"/>
          </w:tcPr>
          <w:p w14:paraId="0613339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2630</w:t>
            </w:r>
          </w:p>
        </w:tc>
        <w:tc>
          <w:tcPr>
            <w:tcW w:w="947" w:type="dxa"/>
          </w:tcPr>
          <w:p w14:paraId="29AFA19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491</w:t>
            </w:r>
          </w:p>
        </w:tc>
        <w:tc>
          <w:tcPr>
            <w:tcW w:w="947" w:type="dxa"/>
          </w:tcPr>
          <w:p w14:paraId="51D7075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361</w:t>
            </w:r>
          </w:p>
        </w:tc>
        <w:tc>
          <w:tcPr>
            <w:tcW w:w="947" w:type="dxa"/>
          </w:tcPr>
          <w:p w14:paraId="4141FE4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54</w:t>
            </w:r>
          </w:p>
        </w:tc>
        <w:tc>
          <w:tcPr>
            <w:tcW w:w="947" w:type="dxa"/>
          </w:tcPr>
          <w:p w14:paraId="1BC5E4C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1430</w:t>
            </w:r>
          </w:p>
        </w:tc>
        <w:tc>
          <w:tcPr>
            <w:tcW w:w="947" w:type="dxa"/>
          </w:tcPr>
          <w:p w14:paraId="11E69C7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1635</w:t>
            </w:r>
          </w:p>
        </w:tc>
      </w:tr>
      <w:tr w:rsidR="00561F31" w:rsidRPr="00F90EAE" w14:paraId="43CF8B1A" w14:textId="77777777">
        <w:tc>
          <w:tcPr>
            <w:tcW w:w="1668" w:type="dxa"/>
          </w:tcPr>
          <w:p w14:paraId="27BE9C3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947" w:type="dxa"/>
          </w:tcPr>
          <w:p w14:paraId="567CB8E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9CE99F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5F4571D"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9BEE5F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B88832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F1B596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74100FB"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3AF31217" w14:textId="77777777">
        <w:tc>
          <w:tcPr>
            <w:tcW w:w="1668" w:type="dxa"/>
          </w:tcPr>
          <w:p w14:paraId="0C1850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Пе-2Р</w:t>
            </w:r>
          </w:p>
        </w:tc>
        <w:tc>
          <w:tcPr>
            <w:tcW w:w="947" w:type="dxa"/>
          </w:tcPr>
          <w:p w14:paraId="1BC9494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654</w:t>
            </w:r>
          </w:p>
        </w:tc>
        <w:tc>
          <w:tcPr>
            <w:tcW w:w="947" w:type="dxa"/>
          </w:tcPr>
          <w:p w14:paraId="140D351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225</w:t>
            </w:r>
          </w:p>
        </w:tc>
        <w:tc>
          <w:tcPr>
            <w:tcW w:w="947" w:type="dxa"/>
          </w:tcPr>
          <w:p w14:paraId="59B95B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36F798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28</w:t>
            </w:r>
          </w:p>
        </w:tc>
        <w:tc>
          <w:tcPr>
            <w:tcW w:w="947" w:type="dxa"/>
          </w:tcPr>
          <w:p w14:paraId="53A1B13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7D18D24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181</w:t>
            </w:r>
          </w:p>
        </w:tc>
        <w:tc>
          <w:tcPr>
            <w:tcW w:w="947" w:type="dxa"/>
          </w:tcPr>
          <w:p w14:paraId="3C48410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213</w:t>
            </w:r>
          </w:p>
        </w:tc>
      </w:tr>
      <w:tr w:rsidR="00561F31" w:rsidRPr="00F90EAE" w14:paraId="438DFCB5" w14:textId="77777777">
        <w:tc>
          <w:tcPr>
            <w:tcW w:w="1668" w:type="dxa"/>
          </w:tcPr>
          <w:p w14:paraId="1A09DBD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Пе-2ПФ</w:t>
            </w:r>
          </w:p>
        </w:tc>
        <w:tc>
          <w:tcPr>
            <w:tcW w:w="947" w:type="dxa"/>
          </w:tcPr>
          <w:p w14:paraId="0742A42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486</w:t>
            </w:r>
          </w:p>
        </w:tc>
        <w:tc>
          <w:tcPr>
            <w:tcW w:w="947" w:type="dxa"/>
          </w:tcPr>
          <w:p w14:paraId="229FA9E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204</w:t>
            </w:r>
          </w:p>
        </w:tc>
        <w:tc>
          <w:tcPr>
            <w:tcW w:w="947" w:type="dxa"/>
          </w:tcPr>
          <w:p w14:paraId="6246F9C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w:t>
            </w:r>
          </w:p>
        </w:tc>
        <w:tc>
          <w:tcPr>
            <w:tcW w:w="947" w:type="dxa"/>
          </w:tcPr>
          <w:p w14:paraId="57E964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2FB5934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3DFDEB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142</w:t>
            </w:r>
          </w:p>
        </w:tc>
        <w:tc>
          <w:tcPr>
            <w:tcW w:w="947" w:type="dxa"/>
          </w:tcPr>
          <w:p w14:paraId="1E6FD6B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87</w:t>
            </w:r>
          </w:p>
        </w:tc>
      </w:tr>
      <w:tr w:rsidR="00561F31" w:rsidRPr="00F90EAE" w14:paraId="780A9B6F" w14:textId="77777777">
        <w:tc>
          <w:tcPr>
            <w:tcW w:w="1668" w:type="dxa"/>
          </w:tcPr>
          <w:p w14:paraId="392482B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Пе-2М-82</w:t>
            </w:r>
          </w:p>
        </w:tc>
        <w:tc>
          <w:tcPr>
            <w:tcW w:w="947" w:type="dxa"/>
          </w:tcPr>
          <w:p w14:paraId="48B8AEC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7016F15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B36AFD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C058FE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C6F140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C5FE2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556E003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EB1F267" w14:textId="77777777">
        <w:tc>
          <w:tcPr>
            <w:tcW w:w="1668" w:type="dxa"/>
          </w:tcPr>
          <w:p w14:paraId="49F9FB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Пе-3</w:t>
            </w:r>
          </w:p>
        </w:tc>
        <w:tc>
          <w:tcPr>
            <w:tcW w:w="947" w:type="dxa"/>
          </w:tcPr>
          <w:p w14:paraId="1637A8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704471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CD08A6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75A023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31389F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FA092F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7E33A79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r>
      <w:tr w:rsidR="00561F31" w:rsidRPr="00F90EAE" w14:paraId="2878C56A" w14:textId="77777777">
        <w:tc>
          <w:tcPr>
            <w:tcW w:w="1668" w:type="dxa"/>
          </w:tcPr>
          <w:p w14:paraId="2BAD0E1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Ил-4</w:t>
            </w:r>
          </w:p>
        </w:tc>
        <w:tc>
          <w:tcPr>
            <w:tcW w:w="947" w:type="dxa"/>
          </w:tcPr>
          <w:p w14:paraId="29027CC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27</w:t>
            </w:r>
          </w:p>
        </w:tc>
        <w:tc>
          <w:tcPr>
            <w:tcW w:w="947" w:type="dxa"/>
          </w:tcPr>
          <w:p w14:paraId="5F7A5BE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742567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9F96E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1133F9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A7B3CF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14DE1FD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60F3646E" w14:textId="77777777">
        <w:tc>
          <w:tcPr>
            <w:tcW w:w="1668" w:type="dxa"/>
          </w:tcPr>
          <w:p w14:paraId="3C3A377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Ту-2Ф, ФН</w:t>
            </w:r>
          </w:p>
        </w:tc>
        <w:tc>
          <w:tcPr>
            <w:tcW w:w="947" w:type="dxa"/>
          </w:tcPr>
          <w:p w14:paraId="206EC6C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77</w:t>
            </w:r>
          </w:p>
        </w:tc>
        <w:tc>
          <w:tcPr>
            <w:tcW w:w="947" w:type="dxa"/>
          </w:tcPr>
          <w:p w14:paraId="54CC34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44</w:t>
            </w:r>
          </w:p>
        </w:tc>
        <w:tc>
          <w:tcPr>
            <w:tcW w:w="947" w:type="dxa"/>
          </w:tcPr>
          <w:p w14:paraId="390DCB2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1369B9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6FC9B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3EEB8D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w:t>
            </w:r>
          </w:p>
        </w:tc>
        <w:tc>
          <w:tcPr>
            <w:tcW w:w="947" w:type="dxa"/>
          </w:tcPr>
          <w:p w14:paraId="1835BF2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r>
      <w:tr w:rsidR="00561F31" w:rsidRPr="00F90EAE" w14:paraId="690E2EBD" w14:textId="77777777">
        <w:tc>
          <w:tcPr>
            <w:tcW w:w="1668" w:type="dxa"/>
          </w:tcPr>
          <w:p w14:paraId="7460B64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Б-25</w:t>
            </w:r>
          </w:p>
        </w:tc>
        <w:tc>
          <w:tcPr>
            <w:tcW w:w="947" w:type="dxa"/>
          </w:tcPr>
          <w:p w14:paraId="3D3EF9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33F84BA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7AE65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0E352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BE3A95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7E55E6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35646F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E96A45C" w14:textId="77777777">
        <w:tc>
          <w:tcPr>
            <w:tcW w:w="1668" w:type="dxa"/>
          </w:tcPr>
          <w:p w14:paraId="6024061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А-20В</w:t>
            </w:r>
          </w:p>
        </w:tc>
        <w:tc>
          <w:tcPr>
            <w:tcW w:w="947" w:type="dxa"/>
          </w:tcPr>
          <w:p w14:paraId="610A7CB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100</w:t>
            </w:r>
          </w:p>
        </w:tc>
        <w:tc>
          <w:tcPr>
            <w:tcW w:w="947" w:type="dxa"/>
          </w:tcPr>
          <w:p w14:paraId="6A605D7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w:t>
            </w:r>
          </w:p>
        </w:tc>
        <w:tc>
          <w:tcPr>
            <w:tcW w:w="947" w:type="dxa"/>
          </w:tcPr>
          <w:p w14:paraId="0DED786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A31557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01A8CA1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35CB01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w:t>
            </w:r>
          </w:p>
        </w:tc>
        <w:tc>
          <w:tcPr>
            <w:tcW w:w="947" w:type="dxa"/>
          </w:tcPr>
          <w:p w14:paraId="55DD1C6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3348E876" w14:textId="77777777">
        <w:tc>
          <w:tcPr>
            <w:tcW w:w="1668" w:type="dxa"/>
          </w:tcPr>
          <w:p w14:paraId="142C1F3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А-20С</w:t>
            </w:r>
          </w:p>
        </w:tc>
        <w:tc>
          <w:tcPr>
            <w:tcW w:w="947" w:type="dxa"/>
          </w:tcPr>
          <w:p w14:paraId="7BB6208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28</w:t>
            </w:r>
          </w:p>
        </w:tc>
        <w:tc>
          <w:tcPr>
            <w:tcW w:w="947" w:type="dxa"/>
          </w:tcPr>
          <w:p w14:paraId="150AA0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53BF16D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4DB53F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D306D1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5D4EC3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64768E9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41CB404C" w14:textId="77777777">
        <w:tc>
          <w:tcPr>
            <w:tcW w:w="1668" w:type="dxa"/>
          </w:tcPr>
          <w:p w14:paraId="0F0AB3C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А-20Ж</w:t>
            </w:r>
          </w:p>
        </w:tc>
        <w:tc>
          <w:tcPr>
            <w:tcW w:w="947" w:type="dxa"/>
          </w:tcPr>
          <w:p w14:paraId="289FF3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167</w:t>
            </w:r>
          </w:p>
        </w:tc>
        <w:tc>
          <w:tcPr>
            <w:tcW w:w="947" w:type="dxa"/>
          </w:tcPr>
          <w:p w14:paraId="1B4762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73</w:t>
            </w:r>
          </w:p>
        </w:tc>
        <w:tc>
          <w:tcPr>
            <w:tcW w:w="947" w:type="dxa"/>
          </w:tcPr>
          <w:p w14:paraId="1C8EC8D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2CBCC90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617936A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0233BE4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58</w:t>
            </w:r>
          </w:p>
        </w:tc>
        <w:tc>
          <w:tcPr>
            <w:tcW w:w="947" w:type="dxa"/>
          </w:tcPr>
          <w:p w14:paraId="16186A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12</w:t>
            </w:r>
          </w:p>
        </w:tc>
      </w:tr>
      <w:tr w:rsidR="00561F31" w:rsidRPr="00F90EAE" w14:paraId="12E33276" w14:textId="77777777">
        <w:tc>
          <w:tcPr>
            <w:tcW w:w="1668" w:type="dxa"/>
          </w:tcPr>
          <w:p w14:paraId="2D6E7C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АВ-7В</w:t>
            </w:r>
          </w:p>
        </w:tc>
        <w:tc>
          <w:tcPr>
            <w:tcW w:w="947" w:type="dxa"/>
          </w:tcPr>
          <w:p w14:paraId="02ACF8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w:t>
            </w:r>
          </w:p>
        </w:tc>
        <w:tc>
          <w:tcPr>
            <w:tcW w:w="947" w:type="dxa"/>
          </w:tcPr>
          <w:p w14:paraId="40B2FC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2D8CC46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C57FD2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2697E1E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BC1B30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40FF080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5AB08C5B" w14:textId="77777777">
        <w:tc>
          <w:tcPr>
            <w:tcW w:w="1668" w:type="dxa"/>
          </w:tcPr>
          <w:p w14:paraId="3113846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А-20У</w:t>
            </w:r>
          </w:p>
        </w:tc>
        <w:tc>
          <w:tcPr>
            <w:tcW w:w="947" w:type="dxa"/>
          </w:tcPr>
          <w:p w14:paraId="54CB2B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114ADD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002283D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7281D6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8FDCE6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BE3BAD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A8425F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9EE7B97" w14:textId="77777777">
        <w:tc>
          <w:tcPr>
            <w:tcW w:w="1668" w:type="dxa"/>
          </w:tcPr>
          <w:p w14:paraId="420557E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20AE2E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6AFC6E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06D957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70B7CA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EBAC427"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E03D4C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4068A24"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772828B1" w14:textId="77777777">
        <w:tc>
          <w:tcPr>
            <w:tcW w:w="1668" w:type="dxa"/>
          </w:tcPr>
          <w:p w14:paraId="7D083B00"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FCC657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1569</w:t>
            </w:r>
          </w:p>
        </w:tc>
        <w:tc>
          <w:tcPr>
            <w:tcW w:w="947" w:type="dxa"/>
          </w:tcPr>
          <w:p w14:paraId="1F5D407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612</w:t>
            </w:r>
          </w:p>
        </w:tc>
        <w:tc>
          <w:tcPr>
            <w:tcW w:w="947" w:type="dxa"/>
          </w:tcPr>
          <w:p w14:paraId="577E5AC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w:t>
            </w:r>
          </w:p>
        </w:tc>
        <w:tc>
          <w:tcPr>
            <w:tcW w:w="947" w:type="dxa"/>
          </w:tcPr>
          <w:p w14:paraId="256DB7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90</w:t>
            </w:r>
          </w:p>
        </w:tc>
        <w:tc>
          <w:tcPr>
            <w:tcW w:w="947" w:type="dxa"/>
          </w:tcPr>
          <w:p w14:paraId="7D17F66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1B53F5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459</w:t>
            </w:r>
          </w:p>
        </w:tc>
        <w:tc>
          <w:tcPr>
            <w:tcW w:w="947" w:type="dxa"/>
          </w:tcPr>
          <w:p w14:paraId="7F04D33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374</w:t>
            </w:r>
          </w:p>
        </w:tc>
      </w:tr>
      <w:tr w:rsidR="00561F31" w:rsidRPr="00F90EAE" w14:paraId="430DD210" w14:textId="77777777">
        <w:tc>
          <w:tcPr>
            <w:tcW w:w="1668" w:type="dxa"/>
          </w:tcPr>
          <w:p w14:paraId="5AADF93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F3EE15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A57941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CD8BC6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1C1706D"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502BC5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50159E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FE22E10"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27630967" w14:textId="77777777">
        <w:tc>
          <w:tcPr>
            <w:tcW w:w="1668" w:type="dxa"/>
          </w:tcPr>
          <w:p w14:paraId="044076C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СБ</w:t>
            </w:r>
          </w:p>
        </w:tc>
        <w:tc>
          <w:tcPr>
            <w:tcW w:w="947" w:type="dxa"/>
          </w:tcPr>
          <w:p w14:paraId="38193DE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140</w:t>
            </w:r>
          </w:p>
        </w:tc>
        <w:tc>
          <w:tcPr>
            <w:tcW w:w="947" w:type="dxa"/>
          </w:tcPr>
          <w:p w14:paraId="3B69AF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8070C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A72E00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40A2C2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54E02A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35</w:t>
            </w:r>
          </w:p>
        </w:tc>
        <w:tc>
          <w:tcPr>
            <w:tcW w:w="947" w:type="dxa"/>
          </w:tcPr>
          <w:p w14:paraId="4CC7C8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105</w:t>
            </w:r>
          </w:p>
        </w:tc>
      </w:tr>
      <w:tr w:rsidR="00561F31" w:rsidRPr="00F90EAE" w14:paraId="398C83F1" w14:textId="77777777">
        <w:tc>
          <w:tcPr>
            <w:tcW w:w="1668" w:type="dxa"/>
          </w:tcPr>
          <w:p w14:paraId="1D6C6B6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ТБ-1</w:t>
            </w:r>
          </w:p>
        </w:tc>
        <w:tc>
          <w:tcPr>
            <w:tcW w:w="947" w:type="dxa"/>
          </w:tcPr>
          <w:p w14:paraId="6361A7C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346EA18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337E49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249CD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470989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E9B84D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F451D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F6BFC04" w14:textId="77777777">
        <w:tc>
          <w:tcPr>
            <w:tcW w:w="1668" w:type="dxa"/>
          </w:tcPr>
          <w:p w14:paraId="5EAE91D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ДБ-3</w:t>
            </w:r>
          </w:p>
        </w:tc>
        <w:tc>
          <w:tcPr>
            <w:tcW w:w="947" w:type="dxa"/>
          </w:tcPr>
          <w:p w14:paraId="6A1D9E0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0D4534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2F68CE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7877D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3DF3D4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63EB71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w:t>
            </w:r>
          </w:p>
        </w:tc>
        <w:tc>
          <w:tcPr>
            <w:tcW w:w="947" w:type="dxa"/>
          </w:tcPr>
          <w:p w14:paraId="2F03CA1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w:t>
            </w:r>
          </w:p>
        </w:tc>
      </w:tr>
      <w:tr w:rsidR="00561F31" w:rsidRPr="00F90EAE" w14:paraId="589CA044" w14:textId="77777777">
        <w:tc>
          <w:tcPr>
            <w:tcW w:w="1668" w:type="dxa"/>
          </w:tcPr>
          <w:p w14:paraId="2CAFF96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Су-2</w:t>
            </w:r>
          </w:p>
        </w:tc>
        <w:tc>
          <w:tcPr>
            <w:tcW w:w="947" w:type="dxa"/>
          </w:tcPr>
          <w:p w14:paraId="75FE9C2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43B8B06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1F54103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6FE318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0BE8F9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9983AD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601675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33</w:t>
            </w:r>
          </w:p>
        </w:tc>
      </w:tr>
      <w:tr w:rsidR="00561F31" w:rsidRPr="00F90EAE" w14:paraId="4426FAC2" w14:textId="77777777">
        <w:tc>
          <w:tcPr>
            <w:tcW w:w="1668" w:type="dxa"/>
          </w:tcPr>
          <w:p w14:paraId="0BBD3B4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ТБ-3 М-17</w:t>
            </w:r>
          </w:p>
        </w:tc>
        <w:tc>
          <w:tcPr>
            <w:tcW w:w="947" w:type="dxa"/>
          </w:tcPr>
          <w:p w14:paraId="7596EB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w:t>
            </w:r>
          </w:p>
        </w:tc>
        <w:tc>
          <w:tcPr>
            <w:tcW w:w="947" w:type="dxa"/>
          </w:tcPr>
          <w:p w14:paraId="39CED0A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E26858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6DD927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D48B3D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927824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1BBD31A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513301A8" w14:textId="77777777">
        <w:tc>
          <w:tcPr>
            <w:tcW w:w="1668" w:type="dxa"/>
          </w:tcPr>
          <w:p w14:paraId="266EC09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ТБ-3 М-34</w:t>
            </w:r>
          </w:p>
        </w:tc>
        <w:tc>
          <w:tcPr>
            <w:tcW w:w="947" w:type="dxa"/>
          </w:tcPr>
          <w:p w14:paraId="01DE373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4F930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6BAA14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C999E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121F1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E39EF3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F9B3A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73CC204" w14:textId="77777777">
        <w:tc>
          <w:tcPr>
            <w:tcW w:w="1668" w:type="dxa"/>
          </w:tcPr>
          <w:p w14:paraId="2CD36CA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ТБ-3 М-34РН</w:t>
            </w:r>
          </w:p>
        </w:tc>
        <w:tc>
          <w:tcPr>
            <w:tcW w:w="947" w:type="dxa"/>
          </w:tcPr>
          <w:p w14:paraId="45FB84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5D18FF2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3020E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0F9FEE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1B5C28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4F3CB1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7C337B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3817DDFE" w14:textId="77777777">
        <w:tc>
          <w:tcPr>
            <w:tcW w:w="1668" w:type="dxa"/>
          </w:tcPr>
          <w:p w14:paraId="50EBF42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7039C0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08549B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46948B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6179BE0"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2C3C2D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B1632C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DA6EE7B"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1B4ED215" w14:textId="77777777">
        <w:tc>
          <w:tcPr>
            <w:tcW w:w="1668" w:type="dxa"/>
          </w:tcPr>
          <w:p w14:paraId="06AC361D"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7A4AC0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237</w:t>
            </w:r>
          </w:p>
        </w:tc>
        <w:tc>
          <w:tcPr>
            <w:tcW w:w="947" w:type="dxa"/>
          </w:tcPr>
          <w:p w14:paraId="2368A3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004C6B4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EBC5B2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B01071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17AAA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62</w:t>
            </w:r>
          </w:p>
        </w:tc>
        <w:tc>
          <w:tcPr>
            <w:tcW w:w="947" w:type="dxa"/>
          </w:tcPr>
          <w:p w14:paraId="79F085E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173</w:t>
            </w:r>
          </w:p>
        </w:tc>
      </w:tr>
      <w:tr w:rsidR="00561F31" w:rsidRPr="00F90EAE" w14:paraId="1565DAD5" w14:textId="77777777">
        <w:tc>
          <w:tcPr>
            <w:tcW w:w="1668" w:type="dxa"/>
          </w:tcPr>
          <w:p w14:paraId="39DE223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9D3160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1806</w:t>
            </w:r>
          </w:p>
        </w:tc>
        <w:tc>
          <w:tcPr>
            <w:tcW w:w="947" w:type="dxa"/>
          </w:tcPr>
          <w:p w14:paraId="5201156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614</w:t>
            </w:r>
          </w:p>
        </w:tc>
        <w:tc>
          <w:tcPr>
            <w:tcW w:w="947" w:type="dxa"/>
          </w:tcPr>
          <w:p w14:paraId="0E9E40B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w:t>
            </w:r>
          </w:p>
        </w:tc>
        <w:tc>
          <w:tcPr>
            <w:tcW w:w="947" w:type="dxa"/>
          </w:tcPr>
          <w:p w14:paraId="6824BC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90</w:t>
            </w:r>
          </w:p>
        </w:tc>
        <w:tc>
          <w:tcPr>
            <w:tcW w:w="947" w:type="dxa"/>
          </w:tcPr>
          <w:p w14:paraId="6459261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4B18640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521</w:t>
            </w:r>
          </w:p>
        </w:tc>
        <w:tc>
          <w:tcPr>
            <w:tcW w:w="947" w:type="dxa"/>
          </w:tcPr>
          <w:p w14:paraId="01C248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547</w:t>
            </w:r>
          </w:p>
        </w:tc>
      </w:tr>
      <w:tr w:rsidR="00561F31" w:rsidRPr="00F90EAE" w14:paraId="1F9D5896" w14:textId="77777777">
        <w:tc>
          <w:tcPr>
            <w:tcW w:w="1668" w:type="dxa"/>
          </w:tcPr>
          <w:p w14:paraId="7F88EB2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фронт</w:t>
            </w:r>
          </w:p>
        </w:tc>
        <w:tc>
          <w:tcPr>
            <w:tcW w:w="947" w:type="dxa"/>
          </w:tcPr>
          <w:p w14:paraId="42B23CD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1195</w:t>
            </w:r>
          </w:p>
        </w:tc>
        <w:tc>
          <w:tcPr>
            <w:tcW w:w="947" w:type="dxa"/>
          </w:tcPr>
          <w:p w14:paraId="4AD4DFB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594</w:t>
            </w:r>
          </w:p>
        </w:tc>
        <w:tc>
          <w:tcPr>
            <w:tcW w:w="947" w:type="dxa"/>
          </w:tcPr>
          <w:p w14:paraId="63985B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30</w:t>
            </w:r>
          </w:p>
        </w:tc>
        <w:tc>
          <w:tcPr>
            <w:tcW w:w="947" w:type="dxa"/>
          </w:tcPr>
          <w:p w14:paraId="66FA674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88</w:t>
            </w:r>
          </w:p>
        </w:tc>
        <w:tc>
          <w:tcPr>
            <w:tcW w:w="947" w:type="dxa"/>
          </w:tcPr>
          <w:p w14:paraId="2F58263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63BE101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299</w:t>
            </w:r>
          </w:p>
        </w:tc>
        <w:tc>
          <w:tcPr>
            <w:tcW w:w="947" w:type="dxa"/>
          </w:tcPr>
          <w:p w14:paraId="0D7D6BC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181</w:t>
            </w:r>
          </w:p>
        </w:tc>
      </w:tr>
      <w:tr w:rsidR="00561F31" w:rsidRPr="00F90EAE" w14:paraId="05755403" w14:textId="77777777">
        <w:tc>
          <w:tcPr>
            <w:tcW w:w="1668" w:type="dxa"/>
          </w:tcPr>
          <w:p w14:paraId="725C46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947" w:type="dxa"/>
          </w:tcPr>
          <w:p w14:paraId="590614C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9578F5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F22411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028C6D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760B64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43E17B7"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D20915D"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1EA17CC2" w14:textId="77777777">
        <w:tc>
          <w:tcPr>
            <w:tcW w:w="1668" w:type="dxa"/>
          </w:tcPr>
          <w:p w14:paraId="0124A5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Ил-10</w:t>
            </w:r>
          </w:p>
        </w:tc>
        <w:tc>
          <w:tcPr>
            <w:tcW w:w="947" w:type="dxa"/>
          </w:tcPr>
          <w:p w14:paraId="75EFB70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84CCF0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5AFE66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826347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CB689A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1CC75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BBC374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7BFDD90" w14:textId="77777777">
        <w:tc>
          <w:tcPr>
            <w:tcW w:w="1668" w:type="dxa"/>
          </w:tcPr>
          <w:p w14:paraId="343BE06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Ил-2/1</w:t>
            </w:r>
          </w:p>
        </w:tc>
        <w:tc>
          <w:tcPr>
            <w:tcW w:w="947" w:type="dxa"/>
          </w:tcPr>
          <w:p w14:paraId="781D16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483</w:t>
            </w:r>
          </w:p>
        </w:tc>
        <w:tc>
          <w:tcPr>
            <w:tcW w:w="947" w:type="dxa"/>
          </w:tcPr>
          <w:p w14:paraId="0EEF5E5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0036CA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E6C00D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4069C89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542475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w:t>
            </w:r>
          </w:p>
        </w:tc>
        <w:tc>
          <w:tcPr>
            <w:tcW w:w="947" w:type="dxa"/>
          </w:tcPr>
          <w:p w14:paraId="4AB89F3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435</w:t>
            </w:r>
          </w:p>
        </w:tc>
      </w:tr>
      <w:tr w:rsidR="00561F31" w:rsidRPr="00F90EAE" w14:paraId="50E1D17A" w14:textId="77777777">
        <w:tc>
          <w:tcPr>
            <w:tcW w:w="1668" w:type="dxa"/>
          </w:tcPr>
          <w:p w14:paraId="06A3B1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Ил-2/2</w:t>
            </w:r>
          </w:p>
        </w:tc>
        <w:tc>
          <w:tcPr>
            <w:tcW w:w="947" w:type="dxa"/>
          </w:tcPr>
          <w:p w14:paraId="50CD4F5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6978</w:t>
            </w:r>
          </w:p>
        </w:tc>
        <w:tc>
          <w:tcPr>
            <w:tcW w:w="947" w:type="dxa"/>
          </w:tcPr>
          <w:p w14:paraId="6F68A4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2999</w:t>
            </w:r>
          </w:p>
        </w:tc>
        <w:tc>
          <w:tcPr>
            <w:tcW w:w="947" w:type="dxa"/>
          </w:tcPr>
          <w:p w14:paraId="1C75E6F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107</w:t>
            </w:r>
          </w:p>
        </w:tc>
        <w:tc>
          <w:tcPr>
            <w:tcW w:w="947" w:type="dxa"/>
          </w:tcPr>
          <w:p w14:paraId="722961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580</w:t>
            </w:r>
          </w:p>
        </w:tc>
        <w:tc>
          <w:tcPr>
            <w:tcW w:w="947" w:type="dxa"/>
          </w:tcPr>
          <w:p w14:paraId="3896DC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0E98389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1095</w:t>
            </w:r>
          </w:p>
        </w:tc>
        <w:tc>
          <w:tcPr>
            <w:tcW w:w="947" w:type="dxa"/>
          </w:tcPr>
          <w:p w14:paraId="00BF95C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2159</w:t>
            </w:r>
          </w:p>
        </w:tc>
      </w:tr>
      <w:tr w:rsidR="00561F31" w:rsidRPr="00F90EAE" w14:paraId="48EE975D" w14:textId="77777777">
        <w:tc>
          <w:tcPr>
            <w:tcW w:w="1668" w:type="dxa"/>
          </w:tcPr>
          <w:p w14:paraId="022E1B87"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DE2BFB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EE0C53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FFBA12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361656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A7AED6A"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8F2D7A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748A4FF"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58309008" w14:textId="77777777">
        <w:tc>
          <w:tcPr>
            <w:tcW w:w="1668" w:type="dxa"/>
          </w:tcPr>
          <w:p w14:paraId="0431A4A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F855FC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7468</w:t>
            </w:r>
          </w:p>
        </w:tc>
        <w:tc>
          <w:tcPr>
            <w:tcW w:w="947" w:type="dxa"/>
          </w:tcPr>
          <w:p w14:paraId="3AB8EE8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2999</w:t>
            </w:r>
          </w:p>
        </w:tc>
        <w:tc>
          <w:tcPr>
            <w:tcW w:w="947" w:type="dxa"/>
          </w:tcPr>
          <w:p w14:paraId="63A272C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107</w:t>
            </w:r>
          </w:p>
        </w:tc>
        <w:tc>
          <w:tcPr>
            <w:tcW w:w="947" w:type="dxa"/>
          </w:tcPr>
          <w:p w14:paraId="6A1AF5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583</w:t>
            </w:r>
          </w:p>
        </w:tc>
        <w:tc>
          <w:tcPr>
            <w:tcW w:w="947" w:type="dxa"/>
          </w:tcPr>
          <w:p w14:paraId="273D470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74DA6C1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1141</w:t>
            </w:r>
          </w:p>
        </w:tc>
        <w:tc>
          <w:tcPr>
            <w:tcW w:w="947" w:type="dxa"/>
          </w:tcPr>
          <w:p w14:paraId="7A70E5E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2594</w:t>
            </w:r>
          </w:p>
        </w:tc>
      </w:tr>
      <w:tr w:rsidR="00561F31" w:rsidRPr="00F90EAE" w14:paraId="1232EB0E" w14:textId="77777777">
        <w:tc>
          <w:tcPr>
            <w:tcW w:w="1668" w:type="dxa"/>
          </w:tcPr>
          <w:p w14:paraId="5A1256E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фронт</w:t>
            </w:r>
          </w:p>
        </w:tc>
        <w:tc>
          <w:tcPr>
            <w:tcW w:w="947" w:type="dxa"/>
          </w:tcPr>
          <w:p w14:paraId="0C9CA7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5788</w:t>
            </w:r>
          </w:p>
        </w:tc>
        <w:tc>
          <w:tcPr>
            <w:tcW w:w="947" w:type="dxa"/>
          </w:tcPr>
          <w:p w14:paraId="70C51E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2999</w:t>
            </w:r>
          </w:p>
        </w:tc>
        <w:tc>
          <w:tcPr>
            <w:tcW w:w="947" w:type="dxa"/>
          </w:tcPr>
          <w:p w14:paraId="552AD38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107</w:t>
            </w:r>
          </w:p>
        </w:tc>
        <w:tc>
          <w:tcPr>
            <w:tcW w:w="947" w:type="dxa"/>
          </w:tcPr>
          <w:p w14:paraId="670140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578</w:t>
            </w:r>
          </w:p>
        </w:tc>
        <w:tc>
          <w:tcPr>
            <w:tcW w:w="947" w:type="dxa"/>
          </w:tcPr>
          <w:p w14:paraId="362772D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226E8EA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733</w:t>
            </w:r>
          </w:p>
        </w:tc>
        <w:tc>
          <w:tcPr>
            <w:tcW w:w="947" w:type="dxa"/>
          </w:tcPr>
          <w:p w14:paraId="0662AA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1333</w:t>
            </w:r>
          </w:p>
        </w:tc>
      </w:tr>
      <w:tr w:rsidR="00561F31" w:rsidRPr="00F90EAE" w14:paraId="38F0906F" w14:textId="77777777">
        <w:tc>
          <w:tcPr>
            <w:tcW w:w="1668" w:type="dxa"/>
          </w:tcPr>
          <w:p w14:paraId="46703EA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Прочие</w:t>
            </w:r>
          </w:p>
        </w:tc>
        <w:tc>
          <w:tcPr>
            <w:tcW w:w="947" w:type="dxa"/>
          </w:tcPr>
          <w:p w14:paraId="5B21040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CA38B0F"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91A791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7A5565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CEEAE7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BA7B0B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B326F9C"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27F65C55" w14:textId="77777777">
        <w:tc>
          <w:tcPr>
            <w:tcW w:w="1668" w:type="dxa"/>
          </w:tcPr>
          <w:p w14:paraId="7FE1C73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Ли-2</w:t>
            </w:r>
          </w:p>
        </w:tc>
        <w:tc>
          <w:tcPr>
            <w:tcW w:w="947" w:type="dxa"/>
          </w:tcPr>
          <w:p w14:paraId="13A4817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w:t>
            </w:r>
          </w:p>
        </w:tc>
        <w:tc>
          <w:tcPr>
            <w:tcW w:w="947" w:type="dxa"/>
          </w:tcPr>
          <w:p w14:paraId="29078F1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22085B0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5995CA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83901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6D3A8E2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w:t>
            </w:r>
          </w:p>
        </w:tc>
        <w:tc>
          <w:tcPr>
            <w:tcW w:w="947" w:type="dxa"/>
          </w:tcPr>
          <w:p w14:paraId="7A6C4DE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r>
      <w:tr w:rsidR="00561F31" w:rsidRPr="00F90EAE" w14:paraId="0383AFE5" w14:textId="77777777">
        <w:tc>
          <w:tcPr>
            <w:tcW w:w="1668" w:type="dxa"/>
          </w:tcPr>
          <w:p w14:paraId="3140FD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Як-6</w:t>
            </w:r>
          </w:p>
        </w:tc>
        <w:tc>
          <w:tcPr>
            <w:tcW w:w="947" w:type="dxa"/>
          </w:tcPr>
          <w:p w14:paraId="254EA7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137</w:t>
            </w:r>
          </w:p>
        </w:tc>
        <w:tc>
          <w:tcPr>
            <w:tcW w:w="947" w:type="dxa"/>
          </w:tcPr>
          <w:p w14:paraId="557566C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3F4BB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EC659D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A70D3B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576C1B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57F23FB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122</w:t>
            </w:r>
          </w:p>
        </w:tc>
      </w:tr>
      <w:tr w:rsidR="00561F31" w:rsidRPr="00F90EAE" w14:paraId="4EF42F3D" w14:textId="77777777">
        <w:tc>
          <w:tcPr>
            <w:tcW w:w="1668" w:type="dxa"/>
          </w:tcPr>
          <w:p w14:paraId="6DFF983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С-47</w:t>
            </w:r>
          </w:p>
        </w:tc>
        <w:tc>
          <w:tcPr>
            <w:tcW w:w="947" w:type="dxa"/>
          </w:tcPr>
          <w:p w14:paraId="017E6BE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69FDC67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7B2DB3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391473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766E31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712229A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46A54FD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2F48BADD" w14:textId="77777777">
        <w:tc>
          <w:tcPr>
            <w:tcW w:w="1668" w:type="dxa"/>
          </w:tcPr>
          <w:p w14:paraId="08C50BF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ПР-5</w:t>
            </w:r>
          </w:p>
        </w:tc>
        <w:tc>
          <w:tcPr>
            <w:tcW w:w="947" w:type="dxa"/>
          </w:tcPr>
          <w:p w14:paraId="0A69675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8AE2F3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D55930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6F5D1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F852F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37366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D42306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54D045E" w14:textId="77777777">
        <w:tc>
          <w:tcPr>
            <w:tcW w:w="1668" w:type="dxa"/>
          </w:tcPr>
          <w:p w14:paraId="14356E0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Ще-2</w:t>
            </w:r>
          </w:p>
        </w:tc>
        <w:tc>
          <w:tcPr>
            <w:tcW w:w="947" w:type="dxa"/>
          </w:tcPr>
          <w:p w14:paraId="60CACFC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5F92830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2B872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901777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85052B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C820B7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43FE13D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42134CA2" w14:textId="77777777">
        <w:tc>
          <w:tcPr>
            <w:tcW w:w="1668" w:type="dxa"/>
          </w:tcPr>
          <w:p w14:paraId="76AD400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F7DF0A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D864C26"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424360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C399DC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966E96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C1610D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5907632"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4E4FB8BD" w14:textId="77777777">
        <w:tc>
          <w:tcPr>
            <w:tcW w:w="1668" w:type="dxa"/>
          </w:tcPr>
          <w:p w14:paraId="796FAF0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Транспортные</w:t>
            </w:r>
          </w:p>
        </w:tc>
        <w:tc>
          <w:tcPr>
            <w:tcW w:w="947" w:type="dxa"/>
          </w:tcPr>
          <w:p w14:paraId="4C9B7B8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174</w:t>
            </w:r>
          </w:p>
        </w:tc>
        <w:tc>
          <w:tcPr>
            <w:tcW w:w="947" w:type="dxa"/>
          </w:tcPr>
          <w:p w14:paraId="03DE18C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7A682E2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9BF750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0FA0F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644389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31</w:t>
            </w:r>
          </w:p>
        </w:tc>
        <w:tc>
          <w:tcPr>
            <w:tcW w:w="947" w:type="dxa"/>
          </w:tcPr>
          <w:p w14:paraId="0DF6C0D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133</w:t>
            </w:r>
          </w:p>
        </w:tc>
      </w:tr>
      <w:tr w:rsidR="00561F31" w:rsidRPr="00F90EAE" w14:paraId="13D9E3A1" w14:textId="77777777">
        <w:tc>
          <w:tcPr>
            <w:tcW w:w="1668" w:type="dxa"/>
          </w:tcPr>
          <w:p w14:paraId="636F07F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590AE3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A789C59"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012BB6D"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9AD2E2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3D1253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98CFFD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1401E5F"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646124B7" w14:textId="77777777">
        <w:tc>
          <w:tcPr>
            <w:tcW w:w="1668" w:type="dxa"/>
          </w:tcPr>
          <w:p w14:paraId="28FE450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т.ч. фронтовой авиации</w:t>
            </w:r>
          </w:p>
        </w:tc>
        <w:tc>
          <w:tcPr>
            <w:tcW w:w="947" w:type="dxa"/>
          </w:tcPr>
          <w:p w14:paraId="3DABAD1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38</w:t>
            </w:r>
          </w:p>
        </w:tc>
        <w:tc>
          <w:tcPr>
            <w:tcW w:w="947" w:type="dxa"/>
          </w:tcPr>
          <w:p w14:paraId="7E1D529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45F6689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917148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57BC8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8B487F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w:t>
            </w:r>
          </w:p>
        </w:tc>
        <w:tc>
          <w:tcPr>
            <w:tcW w:w="947" w:type="dxa"/>
          </w:tcPr>
          <w:p w14:paraId="60D19C2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w:t>
            </w:r>
          </w:p>
        </w:tc>
      </w:tr>
      <w:tr w:rsidR="00561F31" w:rsidRPr="00F90EAE" w14:paraId="5DEEB8CC" w14:textId="77777777">
        <w:tc>
          <w:tcPr>
            <w:tcW w:w="1668" w:type="dxa"/>
          </w:tcPr>
          <w:p w14:paraId="7DCA6D6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lastRenderedPageBreak/>
              <w:t>С-1</w:t>
            </w:r>
          </w:p>
        </w:tc>
        <w:tc>
          <w:tcPr>
            <w:tcW w:w="947" w:type="dxa"/>
          </w:tcPr>
          <w:p w14:paraId="59D4CC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53B57B7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44DD2C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89BFA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2EAC05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2E198E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63B2D05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9753D4F" w14:textId="77777777">
        <w:tc>
          <w:tcPr>
            <w:tcW w:w="1668" w:type="dxa"/>
          </w:tcPr>
          <w:p w14:paraId="2A3450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С-2</w:t>
            </w:r>
          </w:p>
        </w:tc>
        <w:tc>
          <w:tcPr>
            <w:tcW w:w="947" w:type="dxa"/>
          </w:tcPr>
          <w:p w14:paraId="33F6FDB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98</w:t>
            </w:r>
          </w:p>
        </w:tc>
        <w:tc>
          <w:tcPr>
            <w:tcW w:w="947" w:type="dxa"/>
          </w:tcPr>
          <w:p w14:paraId="257123B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0074C89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1B40859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15522DA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0CAD3FD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37</w:t>
            </w:r>
          </w:p>
        </w:tc>
        <w:tc>
          <w:tcPr>
            <w:tcW w:w="947" w:type="dxa"/>
          </w:tcPr>
          <w:p w14:paraId="6D75C0E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46</w:t>
            </w:r>
          </w:p>
        </w:tc>
      </w:tr>
      <w:tr w:rsidR="00561F31" w:rsidRPr="00F90EAE" w14:paraId="71801AC3" w14:textId="77777777">
        <w:tc>
          <w:tcPr>
            <w:tcW w:w="1668" w:type="dxa"/>
          </w:tcPr>
          <w:p w14:paraId="01BDDF8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С-3</w:t>
            </w:r>
          </w:p>
        </w:tc>
        <w:tc>
          <w:tcPr>
            <w:tcW w:w="947" w:type="dxa"/>
          </w:tcPr>
          <w:p w14:paraId="6C354A7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5376537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D6D728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ACF342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A1196D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FD5612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37FC9F8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277747F0" w14:textId="77777777">
        <w:tc>
          <w:tcPr>
            <w:tcW w:w="1668" w:type="dxa"/>
          </w:tcPr>
          <w:p w14:paraId="5A8F91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С-4</w:t>
            </w:r>
          </w:p>
        </w:tc>
        <w:tc>
          <w:tcPr>
            <w:tcW w:w="947" w:type="dxa"/>
          </w:tcPr>
          <w:p w14:paraId="50C1E36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34</w:t>
            </w:r>
          </w:p>
        </w:tc>
        <w:tc>
          <w:tcPr>
            <w:tcW w:w="947" w:type="dxa"/>
          </w:tcPr>
          <w:p w14:paraId="393F02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4161E8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6426C1C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3DE4E63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1603C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340B10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w:t>
            </w:r>
          </w:p>
        </w:tc>
      </w:tr>
      <w:tr w:rsidR="00561F31" w:rsidRPr="00F90EAE" w14:paraId="63D7FB35" w14:textId="77777777">
        <w:tc>
          <w:tcPr>
            <w:tcW w:w="1668" w:type="dxa"/>
          </w:tcPr>
          <w:p w14:paraId="260F9CA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СПн</w:t>
            </w:r>
          </w:p>
        </w:tc>
        <w:tc>
          <w:tcPr>
            <w:tcW w:w="947" w:type="dxa"/>
          </w:tcPr>
          <w:p w14:paraId="3FF8892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3CB3887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E88415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C403C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758A2B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E67F62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455B8A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37FE44D7" w14:textId="77777777">
        <w:tc>
          <w:tcPr>
            <w:tcW w:w="1668" w:type="dxa"/>
          </w:tcPr>
          <w:p w14:paraId="6FCD0FE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Санитарные</w:t>
            </w:r>
          </w:p>
        </w:tc>
        <w:tc>
          <w:tcPr>
            <w:tcW w:w="947" w:type="dxa"/>
          </w:tcPr>
          <w:p w14:paraId="28E7B6C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144</w:t>
            </w:r>
          </w:p>
        </w:tc>
        <w:tc>
          <w:tcPr>
            <w:tcW w:w="947" w:type="dxa"/>
          </w:tcPr>
          <w:p w14:paraId="5C5AFF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2A1AE8F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65675E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49A37B3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1FBA38E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53</w:t>
            </w:r>
          </w:p>
        </w:tc>
        <w:tc>
          <w:tcPr>
            <w:tcW w:w="947" w:type="dxa"/>
          </w:tcPr>
          <w:p w14:paraId="4625ECE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65</w:t>
            </w:r>
          </w:p>
        </w:tc>
      </w:tr>
      <w:tr w:rsidR="00561F31" w:rsidRPr="00F90EAE" w14:paraId="2090E6CC" w14:textId="77777777">
        <w:tc>
          <w:tcPr>
            <w:tcW w:w="1668" w:type="dxa"/>
          </w:tcPr>
          <w:p w14:paraId="30A3CDA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т.ч. фронтовой санитарной</w:t>
            </w:r>
          </w:p>
        </w:tc>
        <w:tc>
          <w:tcPr>
            <w:tcW w:w="947" w:type="dxa"/>
          </w:tcPr>
          <w:p w14:paraId="1715B94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120</w:t>
            </w:r>
          </w:p>
        </w:tc>
        <w:tc>
          <w:tcPr>
            <w:tcW w:w="947" w:type="dxa"/>
          </w:tcPr>
          <w:p w14:paraId="37713C9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0E2F6E3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4CA3EE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47F8D96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30B94CC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w:t>
            </w:r>
          </w:p>
        </w:tc>
        <w:tc>
          <w:tcPr>
            <w:tcW w:w="947" w:type="dxa"/>
          </w:tcPr>
          <w:p w14:paraId="4FC3AB5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53</w:t>
            </w:r>
          </w:p>
        </w:tc>
      </w:tr>
      <w:tr w:rsidR="00561F31" w:rsidRPr="00F90EAE" w14:paraId="50F47AEA" w14:textId="77777777">
        <w:tc>
          <w:tcPr>
            <w:tcW w:w="1668" w:type="dxa"/>
          </w:tcPr>
          <w:p w14:paraId="71F2F0C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УТ Ла-5 М-82</w:t>
            </w:r>
          </w:p>
        </w:tc>
        <w:tc>
          <w:tcPr>
            <w:tcW w:w="947" w:type="dxa"/>
          </w:tcPr>
          <w:p w14:paraId="100D00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5DE1BD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81CBC9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17C801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49EC6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EFE4E2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4D0842B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08030891" w14:textId="77777777">
        <w:tc>
          <w:tcPr>
            <w:tcW w:w="1668" w:type="dxa"/>
          </w:tcPr>
          <w:p w14:paraId="4E1C365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Як-7В</w:t>
            </w:r>
          </w:p>
        </w:tc>
        <w:tc>
          <w:tcPr>
            <w:tcW w:w="947" w:type="dxa"/>
          </w:tcPr>
          <w:p w14:paraId="2B5D0DC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183</w:t>
            </w:r>
          </w:p>
        </w:tc>
        <w:tc>
          <w:tcPr>
            <w:tcW w:w="947" w:type="dxa"/>
          </w:tcPr>
          <w:p w14:paraId="2BE58BC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202FB23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D419C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3ECE90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2B4FB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35</w:t>
            </w:r>
          </w:p>
        </w:tc>
        <w:tc>
          <w:tcPr>
            <w:tcW w:w="947" w:type="dxa"/>
          </w:tcPr>
          <w:p w14:paraId="24345DE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144</w:t>
            </w:r>
          </w:p>
        </w:tc>
      </w:tr>
      <w:tr w:rsidR="00561F31" w:rsidRPr="00F90EAE" w14:paraId="7F21D6FF" w14:textId="77777777">
        <w:tc>
          <w:tcPr>
            <w:tcW w:w="1668" w:type="dxa"/>
          </w:tcPr>
          <w:p w14:paraId="776C452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УТИ-4</w:t>
            </w:r>
          </w:p>
        </w:tc>
        <w:tc>
          <w:tcPr>
            <w:tcW w:w="947" w:type="dxa"/>
          </w:tcPr>
          <w:p w14:paraId="0FA5653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700</w:t>
            </w:r>
          </w:p>
        </w:tc>
        <w:tc>
          <w:tcPr>
            <w:tcW w:w="947" w:type="dxa"/>
          </w:tcPr>
          <w:p w14:paraId="5728176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816243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477C6A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420D57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4E496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68</w:t>
            </w:r>
          </w:p>
        </w:tc>
        <w:tc>
          <w:tcPr>
            <w:tcW w:w="947" w:type="dxa"/>
          </w:tcPr>
          <w:p w14:paraId="206934F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629</w:t>
            </w:r>
          </w:p>
        </w:tc>
      </w:tr>
      <w:tr w:rsidR="00561F31" w:rsidRPr="00F90EAE" w14:paraId="5CE2B8AC" w14:textId="77777777">
        <w:tc>
          <w:tcPr>
            <w:tcW w:w="1668" w:type="dxa"/>
          </w:tcPr>
          <w:p w14:paraId="5041EA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УТ-2</w:t>
            </w:r>
          </w:p>
        </w:tc>
        <w:tc>
          <w:tcPr>
            <w:tcW w:w="947" w:type="dxa"/>
          </w:tcPr>
          <w:p w14:paraId="0BD69F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615</w:t>
            </w:r>
          </w:p>
        </w:tc>
        <w:tc>
          <w:tcPr>
            <w:tcW w:w="947" w:type="dxa"/>
          </w:tcPr>
          <w:p w14:paraId="43A7AD7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12B5B06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c>
          <w:tcPr>
            <w:tcW w:w="947" w:type="dxa"/>
          </w:tcPr>
          <w:p w14:paraId="5F3E20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D6E3BA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8F44C6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151</w:t>
            </w:r>
          </w:p>
        </w:tc>
        <w:tc>
          <w:tcPr>
            <w:tcW w:w="947" w:type="dxa"/>
          </w:tcPr>
          <w:p w14:paraId="0F236B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452</w:t>
            </w:r>
          </w:p>
        </w:tc>
      </w:tr>
      <w:tr w:rsidR="00561F31" w:rsidRPr="00F90EAE" w14:paraId="098B539F" w14:textId="77777777">
        <w:tc>
          <w:tcPr>
            <w:tcW w:w="1668" w:type="dxa"/>
          </w:tcPr>
          <w:p w14:paraId="00D3894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По-2</w:t>
            </w:r>
          </w:p>
        </w:tc>
        <w:tc>
          <w:tcPr>
            <w:tcW w:w="947" w:type="dxa"/>
          </w:tcPr>
          <w:p w14:paraId="4E457C9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2053</w:t>
            </w:r>
          </w:p>
        </w:tc>
        <w:tc>
          <w:tcPr>
            <w:tcW w:w="947" w:type="dxa"/>
          </w:tcPr>
          <w:p w14:paraId="5AC9C85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409</w:t>
            </w:r>
          </w:p>
        </w:tc>
        <w:tc>
          <w:tcPr>
            <w:tcW w:w="947" w:type="dxa"/>
          </w:tcPr>
          <w:p w14:paraId="0A17468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73</w:t>
            </w:r>
          </w:p>
        </w:tc>
        <w:tc>
          <w:tcPr>
            <w:tcW w:w="947" w:type="dxa"/>
          </w:tcPr>
          <w:p w14:paraId="39F8DD1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93</w:t>
            </w:r>
          </w:p>
        </w:tc>
        <w:tc>
          <w:tcPr>
            <w:tcW w:w="947" w:type="dxa"/>
          </w:tcPr>
          <w:p w14:paraId="1B45A7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83</w:t>
            </w:r>
          </w:p>
        </w:tc>
        <w:tc>
          <w:tcPr>
            <w:tcW w:w="947" w:type="dxa"/>
          </w:tcPr>
          <w:p w14:paraId="5A49CA4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662</w:t>
            </w:r>
          </w:p>
        </w:tc>
        <w:tc>
          <w:tcPr>
            <w:tcW w:w="947" w:type="dxa"/>
          </w:tcPr>
          <w:p w14:paraId="5BE2094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733</w:t>
            </w:r>
          </w:p>
        </w:tc>
      </w:tr>
      <w:tr w:rsidR="00561F31" w:rsidRPr="00F90EAE" w14:paraId="2D4419B3" w14:textId="77777777">
        <w:tc>
          <w:tcPr>
            <w:tcW w:w="1668" w:type="dxa"/>
          </w:tcPr>
          <w:p w14:paraId="4113B84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УТ-1</w:t>
            </w:r>
          </w:p>
        </w:tc>
        <w:tc>
          <w:tcPr>
            <w:tcW w:w="947" w:type="dxa"/>
          </w:tcPr>
          <w:p w14:paraId="2C915A8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121</w:t>
            </w:r>
          </w:p>
        </w:tc>
        <w:tc>
          <w:tcPr>
            <w:tcW w:w="947" w:type="dxa"/>
          </w:tcPr>
          <w:p w14:paraId="5F49D11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DE845F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2D0D4F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8614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2DE30E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7106CF1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117</w:t>
            </w:r>
          </w:p>
        </w:tc>
      </w:tr>
      <w:tr w:rsidR="00561F31" w:rsidRPr="00F90EAE" w14:paraId="4705022F" w14:textId="77777777">
        <w:tc>
          <w:tcPr>
            <w:tcW w:w="1668" w:type="dxa"/>
          </w:tcPr>
          <w:p w14:paraId="289AA83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УИл-2</w:t>
            </w:r>
          </w:p>
        </w:tc>
        <w:tc>
          <w:tcPr>
            <w:tcW w:w="947" w:type="dxa"/>
          </w:tcPr>
          <w:p w14:paraId="50351F8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282</w:t>
            </w:r>
          </w:p>
        </w:tc>
        <w:tc>
          <w:tcPr>
            <w:tcW w:w="947" w:type="dxa"/>
          </w:tcPr>
          <w:p w14:paraId="2108339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52AF4F9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2A8D2EB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547158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1311A21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46</w:t>
            </w:r>
          </w:p>
        </w:tc>
        <w:tc>
          <w:tcPr>
            <w:tcW w:w="947" w:type="dxa"/>
          </w:tcPr>
          <w:p w14:paraId="268492E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227</w:t>
            </w:r>
          </w:p>
        </w:tc>
      </w:tr>
      <w:tr w:rsidR="00561F31" w:rsidRPr="00F90EAE" w14:paraId="34D1E742" w14:textId="77777777">
        <w:tc>
          <w:tcPr>
            <w:tcW w:w="1668" w:type="dxa"/>
          </w:tcPr>
          <w:p w14:paraId="2631A3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УСБ</w:t>
            </w:r>
          </w:p>
        </w:tc>
        <w:tc>
          <w:tcPr>
            <w:tcW w:w="947" w:type="dxa"/>
          </w:tcPr>
          <w:p w14:paraId="5959A0C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192</w:t>
            </w:r>
          </w:p>
        </w:tc>
        <w:tc>
          <w:tcPr>
            <w:tcW w:w="947" w:type="dxa"/>
          </w:tcPr>
          <w:p w14:paraId="5E7A4FE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559428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C5A834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69DCE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34D768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33</w:t>
            </w:r>
          </w:p>
        </w:tc>
        <w:tc>
          <w:tcPr>
            <w:tcW w:w="947" w:type="dxa"/>
          </w:tcPr>
          <w:p w14:paraId="1DC8A0E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159</w:t>
            </w:r>
          </w:p>
        </w:tc>
      </w:tr>
      <w:tr w:rsidR="00561F31" w:rsidRPr="00F90EAE" w14:paraId="183ABA29" w14:textId="77777777">
        <w:tc>
          <w:tcPr>
            <w:tcW w:w="1668" w:type="dxa"/>
          </w:tcPr>
          <w:p w14:paraId="73A195E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УПе-2</w:t>
            </w:r>
          </w:p>
        </w:tc>
        <w:tc>
          <w:tcPr>
            <w:tcW w:w="947" w:type="dxa"/>
          </w:tcPr>
          <w:p w14:paraId="1901CC3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41</w:t>
            </w:r>
          </w:p>
        </w:tc>
        <w:tc>
          <w:tcPr>
            <w:tcW w:w="947" w:type="dxa"/>
          </w:tcPr>
          <w:p w14:paraId="750329A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5629C5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3140B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3013E3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1BCB04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23</w:t>
            </w:r>
          </w:p>
        </w:tc>
        <w:tc>
          <w:tcPr>
            <w:tcW w:w="947" w:type="dxa"/>
          </w:tcPr>
          <w:p w14:paraId="4EC28A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2D1879A3" w14:textId="77777777">
        <w:tc>
          <w:tcPr>
            <w:tcW w:w="1668" w:type="dxa"/>
          </w:tcPr>
          <w:p w14:paraId="20046F0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УБ-3</w:t>
            </w:r>
          </w:p>
        </w:tc>
        <w:tc>
          <w:tcPr>
            <w:tcW w:w="947" w:type="dxa"/>
          </w:tcPr>
          <w:p w14:paraId="6523C82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28C2D9B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625F40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90F882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3E6672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910251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6B6C196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5C603EB3" w14:textId="77777777">
        <w:tc>
          <w:tcPr>
            <w:tcW w:w="1668" w:type="dxa"/>
          </w:tcPr>
          <w:p w14:paraId="1EFF329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АТ-6С</w:t>
            </w:r>
          </w:p>
        </w:tc>
        <w:tc>
          <w:tcPr>
            <w:tcW w:w="947" w:type="dxa"/>
          </w:tcPr>
          <w:p w14:paraId="3F45870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695AEBA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00EDE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573F7A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CEFE7C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A9AB2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BB150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FC73D7E" w14:textId="77777777">
        <w:tc>
          <w:tcPr>
            <w:tcW w:w="1668" w:type="dxa"/>
          </w:tcPr>
          <w:p w14:paraId="735253A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УЛа-5Ф</w:t>
            </w:r>
          </w:p>
        </w:tc>
        <w:tc>
          <w:tcPr>
            <w:tcW w:w="947" w:type="dxa"/>
          </w:tcPr>
          <w:p w14:paraId="386147A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c>
          <w:tcPr>
            <w:tcW w:w="947" w:type="dxa"/>
          </w:tcPr>
          <w:p w14:paraId="07078F4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810E2B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AD7A3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DAA8D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30523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1732B7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51D7F1A0" w14:textId="77777777">
        <w:tc>
          <w:tcPr>
            <w:tcW w:w="1668" w:type="dxa"/>
          </w:tcPr>
          <w:p w14:paraId="698ED34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УИл-2М38Ф</w:t>
            </w:r>
          </w:p>
        </w:tc>
        <w:tc>
          <w:tcPr>
            <w:tcW w:w="947" w:type="dxa"/>
          </w:tcPr>
          <w:p w14:paraId="274D2A9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22</w:t>
            </w:r>
          </w:p>
        </w:tc>
        <w:tc>
          <w:tcPr>
            <w:tcW w:w="947" w:type="dxa"/>
          </w:tcPr>
          <w:p w14:paraId="5667686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81CFBD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AF5C7A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1F886F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65E87F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539337F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21</w:t>
            </w:r>
          </w:p>
        </w:tc>
      </w:tr>
      <w:tr w:rsidR="00561F31" w:rsidRPr="00F90EAE" w14:paraId="078A9D29" w14:textId="77777777">
        <w:tc>
          <w:tcPr>
            <w:tcW w:w="1668" w:type="dxa"/>
          </w:tcPr>
          <w:p w14:paraId="645D659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E0FED62"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412AF07"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0BD1851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FEAE22B"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70F39BA1"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4CA67430"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8C4234A"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210B72FA" w14:textId="77777777">
        <w:tc>
          <w:tcPr>
            <w:tcW w:w="1668" w:type="dxa"/>
          </w:tcPr>
          <w:p w14:paraId="6BBBE81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Учебных</w:t>
            </w:r>
          </w:p>
        </w:tc>
        <w:tc>
          <w:tcPr>
            <w:tcW w:w="947" w:type="dxa"/>
          </w:tcPr>
          <w:p w14:paraId="22C47F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4225</w:t>
            </w:r>
          </w:p>
        </w:tc>
        <w:tc>
          <w:tcPr>
            <w:tcW w:w="947" w:type="dxa"/>
          </w:tcPr>
          <w:p w14:paraId="675DDD9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422</w:t>
            </w:r>
          </w:p>
        </w:tc>
        <w:tc>
          <w:tcPr>
            <w:tcW w:w="947" w:type="dxa"/>
          </w:tcPr>
          <w:p w14:paraId="170C0CB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83</w:t>
            </w:r>
          </w:p>
        </w:tc>
        <w:tc>
          <w:tcPr>
            <w:tcW w:w="947" w:type="dxa"/>
          </w:tcPr>
          <w:p w14:paraId="44503D7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96</w:t>
            </w:r>
          </w:p>
        </w:tc>
        <w:tc>
          <w:tcPr>
            <w:tcW w:w="947" w:type="dxa"/>
          </w:tcPr>
          <w:p w14:paraId="5552E38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86</w:t>
            </w:r>
          </w:p>
        </w:tc>
        <w:tc>
          <w:tcPr>
            <w:tcW w:w="947" w:type="dxa"/>
          </w:tcPr>
          <w:p w14:paraId="67EFC86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1032</w:t>
            </w:r>
          </w:p>
        </w:tc>
        <w:tc>
          <w:tcPr>
            <w:tcW w:w="947" w:type="dxa"/>
          </w:tcPr>
          <w:p w14:paraId="74E8C6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2506</w:t>
            </w:r>
          </w:p>
        </w:tc>
      </w:tr>
      <w:tr w:rsidR="00561F31" w:rsidRPr="00F90EAE" w14:paraId="56913F2A" w14:textId="77777777">
        <w:tc>
          <w:tcPr>
            <w:tcW w:w="1668" w:type="dxa"/>
          </w:tcPr>
          <w:p w14:paraId="4F46AAE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т.ч. на фронте</w:t>
            </w:r>
          </w:p>
        </w:tc>
        <w:tc>
          <w:tcPr>
            <w:tcW w:w="947" w:type="dxa"/>
          </w:tcPr>
          <w:p w14:paraId="6518123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2037</w:t>
            </w:r>
          </w:p>
        </w:tc>
        <w:tc>
          <w:tcPr>
            <w:tcW w:w="947" w:type="dxa"/>
          </w:tcPr>
          <w:p w14:paraId="6780038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423</w:t>
            </w:r>
          </w:p>
        </w:tc>
        <w:tc>
          <w:tcPr>
            <w:tcW w:w="947" w:type="dxa"/>
          </w:tcPr>
          <w:p w14:paraId="35141E5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29</w:t>
            </w:r>
          </w:p>
        </w:tc>
        <w:tc>
          <w:tcPr>
            <w:tcW w:w="947" w:type="dxa"/>
          </w:tcPr>
          <w:p w14:paraId="5FDC062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100</w:t>
            </w:r>
          </w:p>
        </w:tc>
        <w:tc>
          <w:tcPr>
            <w:tcW w:w="947" w:type="dxa"/>
          </w:tcPr>
          <w:p w14:paraId="16E5FD1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70</w:t>
            </w:r>
          </w:p>
        </w:tc>
        <w:tc>
          <w:tcPr>
            <w:tcW w:w="947" w:type="dxa"/>
          </w:tcPr>
          <w:p w14:paraId="102BF25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575</w:t>
            </w:r>
          </w:p>
        </w:tc>
        <w:tc>
          <w:tcPr>
            <w:tcW w:w="947" w:type="dxa"/>
          </w:tcPr>
          <w:p w14:paraId="00FBCA6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780</w:t>
            </w:r>
          </w:p>
        </w:tc>
      </w:tr>
      <w:tr w:rsidR="00561F31" w:rsidRPr="00F90EAE" w14:paraId="7D667280" w14:textId="77777777">
        <w:tc>
          <w:tcPr>
            <w:tcW w:w="1668" w:type="dxa"/>
          </w:tcPr>
          <w:p w14:paraId="1D3115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Р-5</w:t>
            </w:r>
          </w:p>
        </w:tc>
        <w:tc>
          <w:tcPr>
            <w:tcW w:w="947" w:type="dxa"/>
          </w:tcPr>
          <w:p w14:paraId="7F0D4D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363</w:t>
            </w:r>
          </w:p>
        </w:tc>
        <w:tc>
          <w:tcPr>
            <w:tcW w:w="947" w:type="dxa"/>
          </w:tcPr>
          <w:p w14:paraId="3C5C605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3EE9A9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511B15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32CC33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EF14AE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32</w:t>
            </w:r>
          </w:p>
        </w:tc>
        <w:tc>
          <w:tcPr>
            <w:tcW w:w="947" w:type="dxa"/>
          </w:tcPr>
          <w:p w14:paraId="69D3CCD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324</w:t>
            </w:r>
          </w:p>
        </w:tc>
      </w:tr>
      <w:tr w:rsidR="00561F31" w:rsidRPr="00F90EAE" w14:paraId="492261A7" w14:textId="77777777">
        <w:tc>
          <w:tcPr>
            <w:tcW w:w="1668" w:type="dxa"/>
          </w:tcPr>
          <w:p w14:paraId="5E43984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Р-зет</w:t>
            </w:r>
          </w:p>
        </w:tc>
        <w:tc>
          <w:tcPr>
            <w:tcW w:w="947" w:type="dxa"/>
          </w:tcPr>
          <w:p w14:paraId="6234C3E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28</w:t>
            </w:r>
          </w:p>
        </w:tc>
        <w:tc>
          <w:tcPr>
            <w:tcW w:w="947" w:type="dxa"/>
          </w:tcPr>
          <w:p w14:paraId="1D4CBA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3A45FC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3FBA9A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8A7C99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7ECF3E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w:t>
            </w:r>
          </w:p>
        </w:tc>
        <w:tc>
          <w:tcPr>
            <w:tcW w:w="947" w:type="dxa"/>
          </w:tcPr>
          <w:p w14:paraId="5854D2A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25</w:t>
            </w:r>
          </w:p>
        </w:tc>
      </w:tr>
      <w:tr w:rsidR="00561F31" w:rsidRPr="00F90EAE" w14:paraId="6C0C240D" w14:textId="77777777">
        <w:tc>
          <w:tcPr>
            <w:tcW w:w="1668" w:type="dxa"/>
          </w:tcPr>
          <w:p w14:paraId="47092FB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ССС</w:t>
            </w:r>
          </w:p>
        </w:tc>
        <w:tc>
          <w:tcPr>
            <w:tcW w:w="947" w:type="dxa"/>
          </w:tcPr>
          <w:p w14:paraId="4678567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13</w:t>
            </w:r>
          </w:p>
        </w:tc>
        <w:tc>
          <w:tcPr>
            <w:tcW w:w="947" w:type="dxa"/>
          </w:tcPr>
          <w:p w14:paraId="119A356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3FE806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591227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BE540A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4ECEF7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0ABDB6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188F405B" w14:textId="77777777">
        <w:tc>
          <w:tcPr>
            <w:tcW w:w="1668" w:type="dxa"/>
          </w:tcPr>
          <w:p w14:paraId="28D004A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Кертис 52Р</w:t>
            </w:r>
          </w:p>
        </w:tc>
        <w:tc>
          <w:tcPr>
            <w:tcW w:w="947" w:type="dxa"/>
          </w:tcPr>
          <w:p w14:paraId="4F5047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w:t>
            </w:r>
          </w:p>
        </w:tc>
        <w:tc>
          <w:tcPr>
            <w:tcW w:w="947" w:type="dxa"/>
          </w:tcPr>
          <w:p w14:paraId="55DC6D1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4528A0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D86645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7C36A9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EDD03B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w:t>
            </w:r>
          </w:p>
        </w:tc>
        <w:tc>
          <w:tcPr>
            <w:tcW w:w="947" w:type="dxa"/>
          </w:tcPr>
          <w:p w14:paraId="7FE53E2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412A00FA" w14:textId="77777777">
        <w:tc>
          <w:tcPr>
            <w:tcW w:w="1668" w:type="dxa"/>
          </w:tcPr>
          <w:p w14:paraId="4AA4AE3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Итого разные</w:t>
            </w:r>
          </w:p>
        </w:tc>
        <w:tc>
          <w:tcPr>
            <w:tcW w:w="947" w:type="dxa"/>
          </w:tcPr>
          <w:p w14:paraId="2ABC2E9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w:t>
            </w:r>
          </w:p>
        </w:tc>
        <w:tc>
          <w:tcPr>
            <w:tcW w:w="947" w:type="dxa"/>
          </w:tcPr>
          <w:p w14:paraId="105398E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21D34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56E2C2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EA0845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F021C4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F04AB3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w:t>
            </w:r>
          </w:p>
        </w:tc>
      </w:tr>
      <w:tr w:rsidR="00561F31" w:rsidRPr="00F90EAE" w14:paraId="1CC9CF60" w14:textId="77777777">
        <w:tc>
          <w:tcPr>
            <w:tcW w:w="1668" w:type="dxa"/>
          </w:tcPr>
          <w:p w14:paraId="03744B0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Итого разные на фронте</w:t>
            </w:r>
          </w:p>
        </w:tc>
        <w:tc>
          <w:tcPr>
            <w:tcW w:w="947" w:type="dxa"/>
          </w:tcPr>
          <w:p w14:paraId="1F6F9EC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50</w:t>
            </w:r>
          </w:p>
        </w:tc>
        <w:tc>
          <w:tcPr>
            <w:tcW w:w="947" w:type="dxa"/>
          </w:tcPr>
          <w:p w14:paraId="182AA0C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5</w:t>
            </w:r>
          </w:p>
        </w:tc>
        <w:tc>
          <w:tcPr>
            <w:tcW w:w="947" w:type="dxa"/>
          </w:tcPr>
          <w:p w14:paraId="366657B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F3F0F0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12F237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870ED2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w:t>
            </w:r>
          </w:p>
        </w:tc>
        <w:tc>
          <w:tcPr>
            <w:tcW w:w="947" w:type="dxa"/>
          </w:tcPr>
          <w:p w14:paraId="6F47490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33</w:t>
            </w:r>
          </w:p>
        </w:tc>
      </w:tr>
      <w:tr w:rsidR="00561F31" w:rsidRPr="00F90EAE" w14:paraId="0667CEDE" w14:textId="77777777">
        <w:tc>
          <w:tcPr>
            <w:tcW w:w="1668" w:type="dxa"/>
          </w:tcPr>
          <w:p w14:paraId="052563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Ме-109</w:t>
            </w:r>
          </w:p>
        </w:tc>
        <w:tc>
          <w:tcPr>
            <w:tcW w:w="947" w:type="dxa"/>
          </w:tcPr>
          <w:p w14:paraId="066FA5D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8</w:t>
            </w:r>
          </w:p>
        </w:tc>
        <w:tc>
          <w:tcPr>
            <w:tcW w:w="947" w:type="dxa"/>
          </w:tcPr>
          <w:p w14:paraId="043A300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75241B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9B0891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486F46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85A886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142FBCB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4454D6D9" w14:textId="77777777">
        <w:tc>
          <w:tcPr>
            <w:tcW w:w="1668" w:type="dxa"/>
          </w:tcPr>
          <w:p w14:paraId="5777BCF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ФВ-190</w:t>
            </w:r>
          </w:p>
        </w:tc>
        <w:tc>
          <w:tcPr>
            <w:tcW w:w="947" w:type="dxa"/>
          </w:tcPr>
          <w:p w14:paraId="279930E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3AF64B0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5A983C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331CF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8EB6F0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B10460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0A5A46A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334E46EC" w14:textId="77777777">
        <w:tc>
          <w:tcPr>
            <w:tcW w:w="1668" w:type="dxa"/>
          </w:tcPr>
          <w:p w14:paraId="05C3117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Хе-111</w:t>
            </w:r>
          </w:p>
        </w:tc>
        <w:tc>
          <w:tcPr>
            <w:tcW w:w="947" w:type="dxa"/>
          </w:tcPr>
          <w:p w14:paraId="2780978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0B43005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4702C8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7E69B9C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39089C4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1A5FFDE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6F9B490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75D16542" w14:textId="77777777">
        <w:tc>
          <w:tcPr>
            <w:tcW w:w="1668" w:type="dxa"/>
          </w:tcPr>
          <w:p w14:paraId="5D03A56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FEE0A55"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1A0F4083"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562AAF24"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3E8DD1D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1B8162C"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E37737E"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60569CFC" w14:textId="77777777" w:rsidR="00665165" w:rsidRPr="00F90EAE" w:rsidRDefault="00665165" w:rsidP="00F90EAE">
            <w:pPr>
              <w:widowControl w:val="0"/>
              <w:autoSpaceDE w:val="0"/>
              <w:autoSpaceDN w:val="0"/>
              <w:adjustRightInd w:val="0"/>
              <w:jc w:val="both"/>
              <w:rPr>
                <w:color w:val="000000" w:themeColor="text1"/>
                <w:sz w:val="16"/>
                <w:szCs w:val="16"/>
              </w:rPr>
            </w:pPr>
          </w:p>
        </w:tc>
      </w:tr>
      <w:tr w:rsidR="00561F31" w:rsidRPr="00F90EAE" w14:paraId="61FC2CDE" w14:textId="77777777">
        <w:tc>
          <w:tcPr>
            <w:tcW w:w="1668" w:type="dxa"/>
          </w:tcPr>
          <w:p w14:paraId="7D267C8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Итого трофейных</w:t>
            </w:r>
          </w:p>
        </w:tc>
        <w:tc>
          <w:tcPr>
            <w:tcW w:w="947" w:type="dxa"/>
          </w:tcPr>
          <w:p w14:paraId="4884221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w:t>
            </w:r>
          </w:p>
        </w:tc>
        <w:tc>
          <w:tcPr>
            <w:tcW w:w="947" w:type="dxa"/>
          </w:tcPr>
          <w:p w14:paraId="101C4DC8" w14:textId="77777777" w:rsidR="00665165" w:rsidRPr="00F90EAE" w:rsidRDefault="00665165" w:rsidP="00F90EAE">
            <w:pPr>
              <w:widowControl w:val="0"/>
              <w:autoSpaceDE w:val="0"/>
              <w:autoSpaceDN w:val="0"/>
              <w:adjustRightInd w:val="0"/>
              <w:jc w:val="both"/>
              <w:rPr>
                <w:color w:val="000000" w:themeColor="text1"/>
                <w:sz w:val="16"/>
                <w:szCs w:val="16"/>
              </w:rPr>
            </w:pPr>
          </w:p>
        </w:tc>
        <w:tc>
          <w:tcPr>
            <w:tcW w:w="947" w:type="dxa"/>
          </w:tcPr>
          <w:p w14:paraId="28E0B67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4FC3DD2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2807DB5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w:t>
            </w:r>
          </w:p>
        </w:tc>
        <w:tc>
          <w:tcPr>
            <w:tcW w:w="947" w:type="dxa"/>
          </w:tcPr>
          <w:p w14:paraId="5075641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w:t>
            </w:r>
          </w:p>
        </w:tc>
        <w:tc>
          <w:tcPr>
            <w:tcW w:w="947" w:type="dxa"/>
          </w:tcPr>
          <w:p w14:paraId="428E23B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307CA320" w14:textId="77777777">
        <w:tc>
          <w:tcPr>
            <w:tcW w:w="1668" w:type="dxa"/>
          </w:tcPr>
          <w:p w14:paraId="22522C3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47" w:type="dxa"/>
          </w:tcPr>
          <w:p w14:paraId="4578406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24353</w:t>
            </w:r>
          </w:p>
        </w:tc>
        <w:tc>
          <w:tcPr>
            <w:tcW w:w="947" w:type="dxa"/>
          </w:tcPr>
          <w:p w14:paraId="314CAA1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6689</w:t>
            </w:r>
          </w:p>
        </w:tc>
        <w:tc>
          <w:tcPr>
            <w:tcW w:w="947" w:type="dxa"/>
          </w:tcPr>
          <w:p w14:paraId="6526A81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733</w:t>
            </w:r>
          </w:p>
        </w:tc>
        <w:tc>
          <w:tcPr>
            <w:tcW w:w="947" w:type="dxa"/>
          </w:tcPr>
          <w:p w14:paraId="170B9C3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1154</w:t>
            </w:r>
          </w:p>
        </w:tc>
        <w:tc>
          <w:tcPr>
            <w:tcW w:w="947" w:type="dxa"/>
          </w:tcPr>
          <w:p w14:paraId="3374378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190</w:t>
            </w:r>
          </w:p>
        </w:tc>
        <w:tc>
          <w:tcPr>
            <w:tcW w:w="947" w:type="dxa"/>
          </w:tcPr>
          <w:p w14:paraId="0C84131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4904</w:t>
            </w:r>
          </w:p>
        </w:tc>
        <w:tc>
          <w:tcPr>
            <w:tcW w:w="947" w:type="dxa"/>
          </w:tcPr>
          <w:p w14:paraId="41DC036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10623</w:t>
            </w:r>
          </w:p>
        </w:tc>
      </w:tr>
      <w:tr w:rsidR="00561F31" w:rsidRPr="00F90EAE" w14:paraId="34852151" w14:textId="77777777">
        <w:tc>
          <w:tcPr>
            <w:tcW w:w="1668" w:type="dxa"/>
          </w:tcPr>
          <w:p w14:paraId="388AC86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фронт</w:t>
            </w:r>
          </w:p>
        </w:tc>
        <w:tc>
          <w:tcPr>
            <w:tcW w:w="947" w:type="dxa"/>
          </w:tcPr>
          <w:p w14:paraId="3F36359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15829</w:t>
            </w:r>
          </w:p>
        </w:tc>
        <w:tc>
          <w:tcPr>
            <w:tcW w:w="947" w:type="dxa"/>
          </w:tcPr>
          <w:p w14:paraId="1DB1A69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6663</w:t>
            </w:r>
          </w:p>
        </w:tc>
        <w:tc>
          <w:tcPr>
            <w:tcW w:w="947" w:type="dxa"/>
          </w:tcPr>
          <w:p w14:paraId="43518B9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722</w:t>
            </w:r>
          </w:p>
        </w:tc>
        <w:tc>
          <w:tcPr>
            <w:tcW w:w="947" w:type="dxa"/>
          </w:tcPr>
          <w:p w14:paraId="2A64B5F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1136</w:t>
            </w:r>
          </w:p>
        </w:tc>
        <w:tc>
          <w:tcPr>
            <w:tcW w:w="947" w:type="dxa"/>
          </w:tcPr>
          <w:p w14:paraId="74A5683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168</w:t>
            </w:r>
          </w:p>
        </w:tc>
        <w:tc>
          <w:tcPr>
            <w:tcW w:w="947" w:type="dxa"/>
          </w:tcPr>
          <w:p w14:paraId="089D167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3104 (783,46)</w:t>
            </w:r>
          </w:p>
        </w:tc>
        <w:tc>
          <w:tcPr>
            <w:tcW w:w="947" w:type="dxa"/>
          </w:tcPr>
          <w:p w14:paraId="0D73F4D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4036</w:t>
            </w:r>
          </w:p>
        </w:tc>
      </w:tr>
    </w:tbl>
    <w:p w14:paraId="725BFD42" w14:textId="77777777" w:rsidR="00665165" w:rsidRPr="00F90EAE" w:rsidRDefault="00665165" w:rsidP="00F90EAE">
      <w:pPr>
        <w:autoSpaceDE w:val="0"/>
        <w:autoSpaceDN w:val="0"/>
        <w:adjustRightInd w:val="0"/>
        <w:jc w:val="both"/>
        <w:rPr>
          <w:iCs/>
          <w:color w:val="000000" w:themeColor="text1"/>
          <w:sz w:val="16"/>
          <w:szCs w:val="16"/>
        </w:rPr>
      </w:pPr>
    </w:p>
    <w:p w14:paraId="4E0FCF3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F8CCC0A" w14:textId="77777777" w:rsidR="00665165" w:rsidRPr="00F90EAE" w:rsidRDefault="00665165" w:rsidP="00F90EAE">
      <w:pPr>
        <w:autoSpaceDE w:val="0"/>
        <w:autoSpaceDN w:val="0"/>
        <w:adjustRightInd w:val="0"/>
        <w:jc w:val="both"/>
        <w:rPr>
          <w:iCs/>
          <w:color w:val="000000" w:themeColor="text1"/>
          <w:sz w:val="16"/>
          <w:szCs w:val="16"/>
        </w:rPr>
      </w:pPr>
    </w:p>
    <w:p w14:paraId="677C86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апреля 1945 г. вышел отчет комиссии по испытаниям, согласно которому 85-мм пушка БЛ-25 полигонные испытания не выдержала и требует доработки. Вскоре работы по пушке были прекращены (3861).</w:t>
      </w:r>
    </w:p>
    <w:p w14:paraId="2F4B76C2" w14:textId="77777777" w:rsidR="00665165" w:rsidRPr="00F90EAE" w:rsidRDefault="00665165" w:rsidP="00F90EAE">
      <w:pPr>
        <w:autoSpaceDE w:val="0"/>
        <w:autoSpaceDN w:val="0"/>
        <w:adjustRightInd w:val="0"/>
        <w:jc w:val="both"/>
        <w:rPr>
          <w:color w:val="000000" w:themeColor="text1"/>
          <w:sz w:val="16"/>
          <w:szCs w:val="16"/>
        </w:rPr>
      </w:pPr>
    </w:p>
    <w:p w14:paraId="7D17A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апреля 1945 вышло Распоряжение ГКО № 7969. О поставках чугуна, труб и проката НКНП. РГАНИР, Фонд ГКО, д. 387, лл. 66 (11012).</w:t>
      </w:r>
    </w:p>
    <w:p w14:paraId="0FF96DCE" w14:textId="77777777" w:rsidR="00665165" w:rsidRPr="00F90EAE" w:rsidRDefault="00665165" w:rsidP="00F90EAE">
      <w:pPr>
        <w:autoSpaceDE w:val="0"/>
        <w:autoSpaceDN w:val="0"/>
        <w:adjustRightInd w:val="0"/>
        <w:jc w:val="both"/>
        <w:rPr>
          <w:color w:val="000000" w:themeColor="text1"/>
          <w:sz w:val="16"/>
          <w:szCs w:val="16"/>
        </w:rPr>
      </w:pPr>
    </w:p>
    <w:p w14:paraId="6EF63BC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760D148" w14:textId="77777777" w:rsidR="00665165" w:rsidRPr="00F90EAE" w:rsidRDefault="00665165" w:rsidP="00F90EAE">
      <w:pPr>
        <w:autoSpaceDE w:val="0"/>
        <w:autoSpaceDN w:val="0"/>
        <w:adjustRightInd w:val="0"/>
        <w:jc w:val="both"/>
        <w:rPr>
          <w:iCs/>
          <w:color w:val="000000" w:themeColor="text1"/>
          <w:sz w:val="16"/>
          <w:szCs w:val="16"/>
        </w:rPr>
      </w:pPr>
    </w:p>
    <w:p w14:paraId="58499EC8" w14:textId="77777777" w:rsidR="00462C72" w:rsidRPr="00F90EAE" w:rsidRDefault="00462C72" w:rsidP="00F90EAE">
      <w:pPr>
        <w:jc w:val="both"/>
        <w:rPr>
          <w:color w:val="000000" w:themeColor="text1"/>
          <w:sz w:val="16"/>
          <w:szCs w:val="16"/>
        </w:rPr>
      </w:pPr>
      <w:r w:rsidRPr="00F90EAE">
        <w:rPr>
          <w:color w:val="000000" w:themeColor="text1"/>
          <w:sz w:val="16"/>
          <w:szCs w:val="16"/>
        </w:rPr>
        <w:t>2 апреля в 1945 году оперативная сводка Совинформбюро:</w:t>
      </w:r>
    </w:p>
    <w:p w14:paraId="1B5D4097" w14:textId="77777777" w:rsidR="00462C72" w:rsidRPr="00F90EAE" w:rsidRDefault="00462C72" w:rsidP="00F90EAE">
      <w:pPr>
        <w:jc w:val="both"/>
        <w:rPr>
          <w:color w:val="000000" w:themeColor="text1"/>
          <w:sz w:val="16"/>
          <w:szCs w:val="16"/>
        </w:rPr>
      </w:pPr>
      <w:r w:rsidRPr="00F90EAE">
        <w:rPr>
          <w:color w:val="000000" w:themeColor="text1"/>
          <w:sz w:val="16"/>
          <w:szCs w:val="16"/>
        </w:rPr>
        <w:t>«В течение 2 апреля на Братиславском направлении войска 2-го Украинского фронта, продолжая наступление, овладели городом и железнодорожной станцией Топольчаны, а также заняли более 100 других населённых пунктов, в числе которых крупные населённые пункты Бошаны, Велки Рипняны, Силадице, Суха, Пудмерице, Модра, Пезинок, Вайнори, Фарна, Бишдорф (4 километра восточнее Братиславы), Гутор, Шаморин и железнодорожные станции Бошаны, Велки Рипняны, Силадице, Серед, Модра-Шенквице, Чеклис, Вайнори, Узор, Бишдорф.</w:t>
      </w:r>
    </w:p>
    <w:p w14:paraId="6383A3D7" w14:textId="77777777" w:rsidR="00462C72" w:rsidRPr="00F90EAE" w:rsidRDefault="00462C72" w:rsidP="00F90EAE">
      <w:pPr>
        <w:jc w:val="both"/>
        <w:rPr>
          <w:color w:val="000000" w:themeColor="text1"/>
          <w:sz w:val="16"/>
          <w:szCs w:val="16"/>
        </w:rPr>
      </w:pPr>
      <w:r w:rsidRPr="00F90EAE">
        <w:rPr>
          <w:color w:val="000000" w:themeColor="text1"/>
          <w:sz w:val="16"/>
          <w:szCs w:val="16"/>
        </w:rPr>
        <w:t>На Венском направлении наши войска продолжали вести наступательные бои по обеим сторонам озера Нойзидлер-Зее.</w:t>
      </w:r>
    </w:p>
    <w:p w14:paraId="4C3157C8" w14:textId="77777777" w:rsidR="00462C72" w:rsidRPr="00F90EAE" w:rsidRDefault="00462C72"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юго-западнее озера Балатон, 2 апреля совместно с болгарскими войсками овладели центром нефтяной промышленности Венгрии городом Надьканижа — важным узлом дорог и сильным опорным пунктом обороны немцев, а также заняли более 40 других населённых пунктов, среди которых крупные населённые пункты Шейтер, Хахот, Бочка, Эстерегнье, Шомодьсентмиклош, Белезна, Сент Михай.</w:t>
      </w:r>
    </w:p>
    <w:p w14:paraId="1C0163FB" w14:textId="77777777" w:rsidR="00462C72" w:rsidRPr="00F90EAE" w:rsidRDefault="00462C72" w:rsidP="00F90EAE">
      <w:pPr>
        <w:jc w:val="both"/>
        <w:rPr>
          <w:color w:val="000000" w:themeColor="text1"/>
          <w:sz w:val="16"/>
          <w:szCs w:val="16"/>
        </w:rPr>
      </w:pPr>
      <w:r w:rsidRPr="00F90EAE">
        <w:rPr>
          <w:color w:val="000000" w:themeColor="text1"/>
          <w:sz w:val="16"/>
          <w:szCs w:val="16"/>
        </w:rPr>
        <w:t>В боях за 1 апреля войска фронта взяли в плен более 10.000 солдат и офицеров противника и захватили следующие трофеи: танков — 35, бронетранспортёров — 20, полевых орудий — 215, пулемётов — 170, автомашин — 420, радиостанций —100, паровозов — 20, железнодорожных вагонов — 780, складов с боеприпасами, вооружением и продовольствием — 59.</w:t>
      </w:r>
    </w:p>
    <w:p w14:paraId="7C65633B" w14:textId="77777777" w:rsidR="00462C72" w:rsidRPr="00F90EAE" w:rsidRDefault="00462C72"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произошло.</w:t>
      </w:r>
    </w:p>
    <w:p w14:paraId="589CC079" w14:textId="77777777" w:rsidR="00462C72" w:rsidRPr="00F90EAE" w:rsidRDefault="00462C72" w:rsidP="00F90EAE">
      <w:pPr>
        <w:jc w:val="both"/>
        <w:rPr>
          <w:color w:val="000000" w:themeColor="text1"/>
          <w:sz w:val="16"/>
          <w:szCs w:val="16"/>
        </w:rPr>
      </w:pPr>
      <w:r w:rsidRPr="00F90EAE">
        <w:rPr>
          <w:color w:val="000000" w:themeColor="text1"/>
          <w:sz w:val="16"/>
          <w:szCs w:val="16"/>
        </w:rPr>
        <w:t>За 1 апреля на всех фронтах подбито и уничтожено 50 немецких танков и самоходных орудий. В воздушных боях и огнём зенитной артиллерии сбито 40 самолётов противника.</w:t>
      </w:r>
    </w:p>
    <w:p w14:paraId="1090CD7B" w14:textId="77777777" w:rsidR="00462C72" w:rsidRPr="00F90EAE" w:rsidRDefault="00462C72"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Советские части преодолели горы Врхи Трибецке и завязали бои на подступах к чехословацкому городу Топольчаны. Немцы спешно перебросили на этот участок пехотный полк, два запасных батальона, части сапёрной бригады и, опираясь на заранее подготовленные позиции, предприняли несколько контратак. Отразив вражеские контратаки, наши бойцы продвинулись вперёд и ночью заняли несколько опорных пунктов противника. Сегодня утром советские войска под прикрытием артиллерийского огня переправились через реку Нитру и ворвались в Топольчаны с севера. Тем временем другие наши подразделения форсировали реку южнее города. В полдень в результате одновременных ударов с севера, востока и юго-запада войска фронта овладели городом Топольчаны. Части противника, оборонявшие город, понесли тяжёлые потери и в беспорядке отступили, бросив много вооружения и военного имущества.</w:t>
      </w:r>
    </w:p>
    <w:p w14:paraId="1E27B443" w14:textId="77777777" w:rsidR="00462C72" w:rsidRPr="00F90EAE" w:rsidRDefault="00462C72" w:rsidP="00F90EAE">
      <w:pPr>
        <w:jc w:val="both"/>
        <w:rPr>
          <w:color w:val="000000" w:themeColor="text1"/>
          <w:sz w:val="16"/>
          <w:szCs w:val="16"/>
        </w:rPr>
      </w:pPr>
      <w:r w:rsidRPr="00F90EAE">
        <w:rPr>
          <w:color w:val="000000" w:themeColor="text1"/>
          <w:sz w:val="16"/>
          <w:szCs w:val="16"/>
        </w:rPr>
        <w:t>Наши пехотинцы, кавалеристы и танкисты, овладевшие вчера городами Трнава и Сенец, продвинулись вперёд и ведут бои за перевалы Малых Карпат. Заняты опорные пункты вражеской обороны Модра и Пезинок, расположенные у восточных склонов гор. Советские гвардейские части совершили стремительный бросок и овладели населённым пунктом Бишдорф, находящимся в 4 километрах восточнее Братиславы. Противник поспешно стягивает сюда подкрепления и оказывает упорное сопротивление. За день боёв подбито и сожжено 18 немецких танков. Взято значительное число пленных.</w:t>
      </w:r>
    </w:p>
    <w:p w14:paraId="743B3A3D" w14:textId="77777777" w:rsidR="00462C72" w:rsidRPr="00F90EAE" w:rsidRDefault="00462C72" w:rsidP="00F90EAE">
      <w:pPr>
        <w:jc w:val="both"/>
        <w:rPr>
          <w:color w:val="000000" w:themeColor="text1"/>
          <w:sz w:val="16"/>
          <w:szCs w:val="16"/>
        </w:rPr>
      </w:pPr>
      <w:r w:rsidRPr="00F90EAE">
        <w:rPr>
          <w:color w:val="000000" w:themeColor="text1"/>
          <w:sz w:val="16"/>
          <w:szCs w:val="16"/>
        </w:rPr>
        <w:t>Юго-западнее озера Балатон войска 3-го Украинского фронта развивали успешное наступление. Советские части, действующие совместно с болгарскими войсками, прорвали вражескую оборону на подступах к городу Надьканижа и ворвались на его восточные окраины. Немцы, укрепившись в каменных зданиях, оказывали упорное сопротивление. В результате ожесточённого боя наши войска заняли восточную часть города и переправились через канал. Противник ввёл в бой части, переброшенные из Югославии, и предпринял несколько контратак. Сильным ударом с трёх сторон наши войска нанесли немцам тяжёлый урон и вынудили их поспешно отступить. Город Надьканижа, центр нефтяной промышленности Венгрии, полностью очищен от противника. На подступах к городу и на его улицах осталось до 3 тысяч трупов немецких солдат и офицеров. Захвачены большие трофеи и много пленных. С падением Надьканижи немцы потеряли ещё один источник горючего, имевший для них очень важное значение.</w:t>
      </w:r>
    </w:p>
    <w:p w14:paraId="1F363671" w14:textId="77777777" w:rsidR="00462C72" w:rsidRPr="00F90EAE" w:rsidRDefault="00462C72" w:rsidP="00F90EAE">
      <w:pPr>
        <w:jc w:val="both"/>
        <w:rPr>
          <w:color w:val="000000" w:themeColor="text1"/>
          <w:sz w:val="16"/>
          <w:szCs w:val="16"/>
        </w:rPr>
      </w:pPr>
      <w:r w:rsidRPr="00F90EAE">
        <w:rPr>
          <w:color w:val="000000" w:themeColor="text1"/>
          <w:sz w:val="16"/>
          <w:szCs w:val="16"/>
        </w:rPr>
        <w:lastRenderedPageBreak/>
        <w:t>Советские воины в боях с противником проявляют образцы мужества и геройства. Стрелковый батальон гвардии капитана Кулишова ночью подошёл к реке. Гвардии младший лейтенант Старченко и красноармеец Титаренко переправились через реку. Разведав брод, Старченко отправил красноармейца с донесением, а сам отошёл в сторону от брода и, чтобы отвлечь внимание противника, начал стрелять из автомата. Двадцать минут младший лейтенант вёл огонь, перебегая с места на место. Встревоженные немцы открыли стрельбу из всех видов оружия. Тем временем бойцы батальона успешно форсировали реку вброд и стремительной атакой захватили выгодные позиции. Закрепившись на западном берегу реки, батальон отбил три вражеские контратаки, уничтожив при этом свыше 300 немцев. На другом участке немцы заминировали мост через реку. Гвардии старшина Ховриенко под огнём противника обезвредил вражеские мины и обеспечил быструю переправу наших танков через водную преграду. Танковый экипаж гвардии младшего лейтенанта Леонтьева ворвался в расположение противника и гусеницами раздавил 50 гитлеровцев.</w:t>
      </w:r>
    </w:p>
    <w:p w14:paraId="7DD33F53" w14:textId="77777777" w:rsidR="00462C72" w:rsidRPr="00F90EAE" w:rsidRDefault="00462C72"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атаковала немецкие суда в Данцигской бухте. Отмечено прямое попадание бомбы в крупный военный корабль противника.</w:t>
      </w:r>
    </w:p>
    <w:p w14:paraId="2C314EC9" w14:textId="77777777" w:rsidR="00462C72" w:rsidRPr="00F90EAE" w:rsidRDefault="00462C72" w:rsidP="00F90EAE">
      <w:pPr>
        <w:jc w:val="both"/>
        <w:rPr>
          <w:color w:val="000000" w:themeColor="text1"/>
          <w:sz w:val="16"/>
          <w:szCs w:val="16"/>
        </w:rPr>
      </w:pPr>
      <w:r w:rsidRPr="00F90EAE">
        <w:rPr>
          <w:color w:val="000000" w:themeColor="text1"/>
          <w:sz w:val="16"/>
          <w:szCs w:val="16"/>
        </w:rPr>
        <w:t>Взятый в плен на 1-м Белорусском фронте командир 402-й немецкой пехотной дивизии генерал-лейтенант Зигмунд фон Шлейниц рассказал: «Наступательные операции Красной Армии превзошли все наши предположения. Я не ошибусь, если скажу, что ни один немецкий генерал не предвидел такого быстрого крушения немецкого фронта на Висле. Ещё совсем недавно это казалось нам невозможным и невероятным. Когда создалась угроза для Померании, немецкое командование сформировало четыре дивизии на базе военных школ и запасных частей и, немедля, направило их на фронт. Кроме того, в Померанию было переброшено несколько дивизий с запада, из Норвегии, а также с других участков фронта. Однако все эти меры не спасли положения. Померанская группировка была разгромлена. Мои полки были разбиты один за другим, и дивизия прекратила своё существование. Остатки её разбрелись по лесам, а я попал в плен» (15087).</w:t>
      </w:r>
    </w:p>
    <w:p w14:paraId="7AA843C4" w14:textId="77777777" w:rsidR="00462C72" w:rsidRPr="00F90EAE" w:rsidRDefault="00462C72" w:rsidP="00F90EAE">
      <w:pPr>
        <w:jc w:val="both"/>
        <w:rPr>
          <w:color w:val="000000" w:themeColor="text1"/>
          <w:sz w:val="16"/>
          <w:szCs w:val="16"/>
        </w:rPr>
      </w:pPr>
    </w:p>
    <w:p w14:paraId="243CB2BC" w14:textId="77777777" w:rsidR="00462C72" w:rsidRPr="00F90EAE" w:rsidRDefault="00462C72" w:rsidP="00F90EAE">
      <w:pPr>
        <w:jc w:val="both"/>
        <w:rPr>
          <w:color w:val="000000" w:themeColor="text1"/>
          <w:sz w:val="16"/>
          <w:szCs w:val="16"/>
        </w:rPr>
      </w:pPr>
      <w:r w:rsidRPr="00F90EAE">
        <w:rPr>
          <w:color w:val="000000" w:themeColor="text1"/>
          <w:sz w:val="16"/>
          <w:szCs w:val="16"/>
        </w:rPr>
        <w:t>2 апреля в 1945 году войска 2-го Украинского фронта при поддержке Дунайской военной флотилии начали штурм Братиславы. 4 апреля столица Словакии была освобождена от фашистских захватчиков (15087).</w:t>
      </w:r>
    </w:p>
    <w:p w14:paraId="47A1ABF1" w14:textId="77777777" w:rsidR="00462C72" w:rsidRPr="00F90EAE" w:rsidRDefault="00462C72" w:rsidP="00F90EAE">
      <w:pPr>
        <w:jc w:val="both"/>
        <w:rPr>
          <w:color w:val="000000" w:themeColor="text1"/>
          <w:sz w:val="16"/>
          <w:szCs w:val="16"/>
        </w:rPr>
      </w:pPr>
    </w:p>
    <w:p w14:paraId="204E07A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вышло Постановление ГКО № 7967 О порядке финансирования частей Красной Армии на территории Австрии. (7320, 62-64).</w:t>
      </w:r>
    </w:p>
    <w:p w14:paraId="6C87857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187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апреля 1945 вышло Постановление ГКО № 7967 О порядке финансирования частей Красной Армии на территории Австрии. РГАНИР, Фонд ГКО, д. 387, лл. 62-64 (11012).</w:t>
      </w:r>
    </w:p>
    <w:p w14:paraId="13E4139C" w14:textId="77777777" w:rsidR="00665165" w:rsidRPr="00F90EAE" w:rsidRDefault="00665165" w:rsidP="00F90EAE">
      <w:pPr>
        <w:autoSpaceDE w:val="0"/>
        <w:autoSpaceDN w:val="0"/>
        <w:adjustRightInd w:val="0"/>
        <w:jc w:val="both"/>
        <w:rPr>
          <w:color w:val="000000" w:themeColor="text1"/>
          <w:sz w:val="16"/>
          <w:szCs w:val="16"/>
        </w:rPr>
      </w:pPr>
    </w:p>
    <w:p w14:paraId="2FD116A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вышло Распоряжение ГКО № 7968 [Удостоверение Гамова К.С. - уполномоченного Особого комитета при ГКО на 2-м и 3-м УФ.] (7320, 65).</w:t>
      </w:r>
    </w:p>
    <w:p w14:paraId="035EA30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0A0999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советские войска освободили от фашистов г. Трнаву (Чехословакия) (4962).</w:t>
      </w:r>
    </w:p>
    <w:p w14:paraId="0C30CDC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752632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EB249D9" w14:textId="77777777" w:rsidR="00665165" w:rsidRPr="00F90EAE" w:rsidRDefault="00665165" w:rsidP="00F90EAE">
      <w:pPr>
        <w:autoSpaceDE w:val="0"/>
        <w:autoSpaceDN w:val="0"/>
        <w:adjustRightInd w:val="0"/>
        <w:jc w:val="both"/>
        <w:rPr>
          <w:iCs/>
          <w:color w:val="000000" w:themeColor="text1"/>
          <w:sz w:val="16"/>
          <w:szCs w:val="16"/>
        </w:rPr>
      </w:pPr>
    </w:p>
    <w:p w14:paraId="58C7E7A4" w14:textId="77777777" w:rsidR="00462C72" w:rsidRPr="00F90EAE" w:rsidRDefault="00462C72"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240"/>
          <w:rFonts w:ascii="Times New Roman" w:eastAsia="Arial Unicode MS" w:hAnsi="Times New Roman" w:cs="Times New Roman"/>
          <w:i w:val="0"/>
          <w:iCs w:val="0"/>
          <w:color w:val="000000" w:themeColor="text1"/>
        </w:rPr>
        <w:t>2</w:t>
      </w:r>
      <w:r w:rsidRPr="00F90EAE">
        <w:rPr>
          <w:rFonts w:ascii="Times New Roman" w:hAnsi="Times New Roman" w:cs="Times New Roman"/>
          <w:i w:val="0"/>
          <w:color w:val="000000" w:themeColor="text1"/>
          <w:sz w:val="16"/>
          <w:szCs w:val="16"/>
        </w:rPr>
        <w:t xml:space="preserve"> апреля 1945 г. 48-я эскадрилья 14-й истребительной группы ВВС США вылетела на свободную охоту над Веной. Группа «Лайтнинго</w:t>
      </w:r>
      <w:r w:rsidRPr="00F90EAE">
        <w:rPr>
          <w:rStyle w:val="2240"/>
          <w:rFonts w:ascii="Times New Roman" w:eastAsia="Arial Unicode MS" w:hAnsi="Times New Roman" w:cs="Times New Roman"/>
          <w:i w:val="0"/>
          <w:iCs w:val="0"/>
          <w:color w:val="000000" w:themeColor="text1"/>
        </w:rPr>
        <w:t>в» во главе с</w:t>
      </w:r>
      <w:r w:rsidRPr="00F90EAE">
        <w:rPr>
          <w:rFonts w:ascii="Times New Roman" w:hAnsi="Times New Roman" w:cs="Times New Roman"/>
          <w:i w:val="0"/>
          <w:color w:val="000000" w:themeColor="text1"/>
          <w:sz w:val="16"/>
          <w:szCs w:val="16"/>
        </w:rPr>
        <w:t xml:space="preserve"> молодым американским асом </w:t>
      </w:r>
      <w:r w:rsidRPr="00F90EAE">
        <w:rPr>
          <w:rStyle w:val="2240"/>
          <w:rFonts w:ascii="Times New Roman" w:eastAsia="Arial Unicode MS" w:hAnsi="Times New Roman" w:cs="Times New Roman"/>
          <w:i w:val="0"/>
          <w:iCs w:val="0"/>
          <w:color w:val="000000" w:themeColor="text1"/>
        </w:rPr>
        <w:t>Майклом</w:t>
      </w:r>
      <w:r w:rsidRPr="00F90EAE">
        <w:rPr>
          <w:rFonts w:ascii="Times New Roman" w:hAnsi="Times New Roman" w:cs="Times New Roman"/>
          <w:i w:val="0"/>
          <w:color w:val="000000" w:themeColor="text1"/>
          <w:sz w:val="16"/>
          <w:szCs w:val="16"/>
        </w:rPr>
        <w:t xml:space="preserve"> Брежасом действовала с итальянского аэродрома Триоло. В том полете само</w:t>
      </w:r>
      <w:r w:rsidRPr="00F90EAE">
        <w:rPr>
          <w:rFonts w:ascii="Times New Roman" w:hAnsi="Times New Roman" w:cs="Times New Roman"/>
          <w:i w:val="0"/>
          <w:color w:val="000000" w:themeColor="text1"/>
          <w:sz w:val="16"/>
          <w:szCs w:val="16"/>
        </w:rPr>
        <w:softHyphen/>
        <w:t>лет Брежаса подбили немецкие зенитки, и летчику пришлось приземлиться на югославском аэродроме, находившемся в советской зоне ответственности. В результате возникла по</w:t>
      </w:r>
      <w:r w:rsidRPr="00F90EAE">
        <w:rPr>
          <w:rFonts w:ascii="Times New Roman" w:hAnsi="Times New Roman" w:cs="Times New Roman"/>
          <w:i w:val="0"/>
          <w:color w:val="000000" w:themeColor="text1"/>
          <w:sz w:val="16"/>
          <w:szCs w:val="16"/>
        </w:rPr>
        <w:softHyphen/>
        <w:t>лемика между союзниками: кому должен достаться самолёт - американцам, русским или югославам?</w:t>
      </w:r>
    </w:p>
    <w:p w14:paraId="080E684E" w14:textId="77777777" w:rsidR="00462C72" w:rsidRPr="00F90EAE" w:rsidRDefault="00462C72"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Около 13.00 на высоте 1200 м «Первый» (на носу фюзеляжа и на радиаторах мотора истребителя Брежаса была изображена стилизованная римская цифра «I») неожиданно обстреляли с земли. Вблизи австрийско-венгер</w:t>
      </w:r>
      <w:r w:rsidRPr="00F90EAE">
        <w:rPr>
          <w:rFonts w:ascii="Times New Roman" w:hAnsi="Times New Roman" w:cs="Times New Roman"/>
          <w:i w:val="0"/>
          <w:color w:val="000000" w:themeColor="text1"/>
          <w:sz w:val="16"/>
          <w:szCs w:val="16"/>
        </w:rPr>
        <w:softHyphen/>
        <w:t>ской границы, между населёнными пунктами Неберсдорф (</w:t>
      </w:r>
      <w:r w:rsidRPr="00F90EAE">
        <w:rPr>
          <w:rFonts w:ascii="Times New Roman" w:hAnsi="Times New Roman" w:cs="Times New Roman"/>
          <w:i w:val="0"/>
          <w:color w:val="000000" w:themeColor="text1"/>
          <w:sz w:val="16"/>
          <w:szCs w:val="16"/>
          <w:lang w:val="en-US"/>
        </w:rPr>
        <w:t>Nebersdorf</w:t>
      </w:r>
      <w:r w:rsidRPr="00F90EAE">
        <w:rPr>
          <w:rFonts w:ascii="Times New Roman" w:hAnsi="Times New Roman" w:cs="Times New Roman"/>
          <w:i w:val="0"/>
          <w:color w:val="000000" w:themeColor="text1"/>
          <w:sz w:val="16"/>
          <w:szCs w:val="16"/>
        </w:rPr>
        <w:t>) и Гериштоф (</w:t>
      </w:r>
      <w:r w:rsidRPr="00F90EAE">
        <w:rPr>
          <w:rFonts w:ascii="Times New Roman" w:hAnsi="Times New Roman" w:cs="Times New Roman"/>
          <w:i w:val="0"/>
          <w:color w:val="000000" w:themeColor="text1"/>
          <w:sz w:val="16"/>
          <w:szCs w:val="16"/>
          <w:lang w:val="en-US"/>
        </w:rPr>
        <w:t>KroatischGeresdorf</w:t>
      </w:r>
      <w:r w:rsidRPr="00F90EAE">
        <w:rPr>
          <w:rFonts w:ascii="Times New Roman" w:hAnsi="Times New Roman" w:cs="Times New Roman"/>
          <w:i w:val="0"/>
          <w:color w:val="000000" w:themeColor="text1"/>
          <w:sz w:val="16"/>
          <w:szCs w:val="16"/>
        </w:rPr>
        <w:t xml:space="preserve">) самолёт Бержаса подбили зенитки. Из системы охлаждения левого мотора </w:t>
      </w:r>
      <w:r w:rsidRPr="00F90EAE">
        <w:rPr>
          <w:rFonts w:ascii="Times New Roman" w:hAnsi="Times New Roman" w:cs="Times New Roman"/>
          <w:i w:val="0"/>
          <w:color w:val="000000" w:themeColor="text1"/>
          <w:sz w:val="16"/>
          <w:szCs w:val="16"/>
          <w:lang w:val="en-US"/>
        </w:rPr>
        <w:t>AllisonV</w:t>
      </w:r>
      <w:r w:rsidRPr="00F90EAE">
        <w:rPr>
          <w:rFonts w:ascii="Times New Roman" w:hAnsi="Times New Roman" w:cs="Times New Roman"/>
          <w:i w:val="0"/>
          <w:color w:val="000000" w:themeColor="text1"/>
          <w:sz w:val="16"/>
          <w:szCs w:val="16"/>
        </w:rPr>
        <w:t>-1710-1 13-111 стала вытекать рабочая жидкость, а левый руль направления перестал от</w:t>
      </w:r>
      <w:r w:rsidRPr="00F90EAE">
        <w:rPr>
          <w:rFonts w:ascii="Times New Roman" w:hAnsi="Times New Roman" w:cs="Times New Roman"/>
          <w:i w:val="0"/>
          <w:color w:val="000000" w:themeColor="text1"/>
          <w:sz w:val="16"/>
          <w:szCs w:val="16"/>
        </w:rPr>
        <w:softHyphen/>
        <w:t>вечать на отклонение педалей. В сопровождении младшего лейтенанта Кенета Сили Брежас пытался дотянуть до территории, контролируемой Красной Армией. После 20-минутного по</w:t>
      </w:r>
      <w:r w:rsidRPr="00F90EAE">
        <w:rPr>
          <w:rFonts w:ascii="Times New Roman" w:hAnsi="Times New Roman" w:cs="Times New Roman"/>
          <w:i w:val="0"/>
          <w:color w:val="000000" w:themeColor="text1"/>
          <w:sz w:val="16"/>
          <w:szCs w:val="16"/>
        </w:rPr>
        <w:softHyphen/>
        <w:t>лета над Южной Венгрией самолёты разделились. Радиосвязь между ними прекратилась. Сили выполнил посадку в Задаре, и после заправки топливом для танков вернулся в Италию.</w:t>
      </w:r>
    </w:p>
    <w:p w14:paraId="2BC43721" w14:textId="77777777" w:rsidR="00462C72" w:rsidRPr="00F90EAE" w:rsidRDefault="00462C72"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Брежас без проблем приземлился на бетонную ВПП аэродрома Сомбор, зарулил на грунтовую стоянку и, открыв кабину, заявил: «Я американский!» Американца пред</w:t>
      </w:r>
      <w:r w:rsidRPr="00F90EAE">
        <w:rPr>
          <w:rFonts w:ascii="Times New Roman" w:hAnsi="Times New Roman" w:cs="Times New Roman"/>
          <w:i w:val="0"/>
          <w:color w:val="000000" w:themeColor="text1"/>
          <w:sz w:val="16"/>
          <w:szCs w:val="16"/>
        </w:rPr>
        <w:softHyphen/>
        <w:t xml:space="preserve">ставили командиру базы, а затем переправили в американскую миссию. Истребитель Брежаса </w:t>
      </w:r>
      <w:r w:rsidRPr="00F90EAE">
        <w:rPr>
          <w:rFonts w:ascii="Times New Roman" w:hAnsi="Times New Roman" w:cs="Times New Roman"/>
          <w:i w:val="0"/>
          <w:color w:val="000000" w:themeColor="text1"/>
          <w:sz w:val="16"/>
          <w:szCs w:val="16"/>
          <w:lang w:val="en-US"/>
        </w:rPr>
        <w:t>P</w:t>
      </w:r>
      <w:r w:rsidRPr="00F90EAE">
        <w:rPr>
          <w:rFonts w:ascii="Times New Roman" w:hAnsi="Times New Roman" w:cs="Times New Roman"/>
          <w:i w:val="0"/>
          <w:color w:val="000000" w:themeColor="text1"/>
          <w:sz w:val="16"/>
          <w:szCs w:val="16"/>
        </w:rPr>
        <w:t>-38</w:t>
      </w:r>
      <w:r w:rsidRPr="00F90EAE">
        <w:rPr>
          <w:rFonts w:ascii="Times New Roman" w:hAnsi="Times New Roman" w:cs="Times New Roman"/>
          <w:i w:val="0"/>
          <w:color w:val="000000" w:themeColor="text1"/>
          <w:sz w:val="16"/>
          <w:szCs w:val="16"/>
          <w:lang w:val="en-US"/>
        </w:rPr>
        <w:t>L</w:t>
      </w:r>
      <w:r w:rsidRPr="00F90EAE">
        <w:rPr>
          <w:rFonts w:ascii="Times New Roman" w:hAnsi="Times New Roman" w:cs="Times New Roman"/>
          <w:i w:val="0"/>
          <w:color w:val="000000" w:themeColor="text1"/>
          <w:sz w:val="16"/>
          <w:szCs w:val="16"/>
        </w:rPr>
        <w:t>-5</w:t>
      </w:r>
      <w:r w:rsidRPr="00F90EAE">
        <w:rPr>
          <w:rFonts w:ascii="Times New Roman" w:hAnsi="Times New Roman" w:cs="Times New Roman"/>
          <w:i w:val="0"/>
          <w:color w:val="000000" w:themeColor="text1"/>
          <w:sz w:val="16"/>
          <w:szCs w:val="16"/>
          <w:lang w:val="en-US"/>
        </w:rPr>
        <w:t>LO</w:t>
      </w:r>
      <w:r w:rsidRPr="00F90EAE">
        <w:rPr>
          <w:rFonts w:ascii="Times New Roman" w:hAnsi="Times New Roman" w:cs="Times New Roman"/>
          <w:i w:val="0"/>
          <w:color w:val="000000" w:themeColor="text1"/>
          <w:sz w:val="16"/>
          <w:szCs w:val="16"/>
        </w:rPr>
        <w:t>, серийный № 44-25786, остался в Сомборе для ремонта (15977).</w:t>
      </w:r>
    </w:p>
    <w:p w14:paraId="2183A8B5" w14:textId="77777777" w:rsidR="00462C72" w:rsidRPr="00F90EAE" w:rsidRDefault="00462C72" w:rsidP="00F90EAE">
      <w:pPr>
        <w:pStyle w:val="212"/>
        <w:shd w:val="clear" w:color="auto" w:fill="auto"/>
        <w:spacing w:line="240" w:lineRule="auto"/>
        <w:jc w:val="both"/>
        <w:rPr>
          <w:rFonts w:ascii="Times New Roman" w:hAnsi="Times New Roman" w:cs="Times New Roman"/>
          <w:i w:val="0"/>
          <w:color w:val="000000" w:themeColor="text1"/>
          <w:sz w:val="16"/>
          <w:szCs w:val="16"/>
        </w:rPr>
      </w:pPr>
    </w:p>
    <w:p w14:paraId="52EBF8AD" w14:textId="77777777" w:rsidR="009104CE" w:rsidRPr="00F90EAE" w:rsidRDefault="009104CE" w:rsidP="00F90EAE">
      <w:pPr>
        <w:jc w:val="both"/>
        <w:rPr>
          <w:color w:val="000000" w:themeColor="text1"/>
          <w:sz w:val="16"/>
          <w:szCs w:val="16"/>
        </w:rPr>
      </w:pPr>
      <w:r w:rsidRPr="00F90EAE">
        <w:rPr>
          <w:color w:val="000000" w:themeColor="text1"/>
          <w:sz w:val="16"/>
          <w:szCs w:val="16"/>
        </w:rPr>
        <w:t>2 апреля 1945. По приглашению советского правительства в Москву прибыла председатель Британского комитета "Фонда помощи России" Клементина Черчилль, супруга премьер-министра Великобритании. На Центральном аэродроме ее встречали заместитель наркома иностранных дел Иван Майский и супруга В. М. Молотова - Жемчужина-Молотова (18688).</w:t>
      </w:r>
    </w:p>
    <w:p w14:paraId="41AFE548" w14:textId="77777777" w:rsidR="009104CE" w:rsidRPr="00F90EAE" w:rsidRDefault="009104CE" w:rsidP="00F90EAE">
      <w:pPr>
        <w:jc w:val="both"/>
        <w:rPr>
          <w:color w:val="000000" w:themeColor="text1"/>
          <w:sz w:val="16"/>
          <w:szCs w:val="16"/>
        </w:rPr>
      </w:pPr>
    </w:p>
    <w:p w14:paraId="13FBCC3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вышло Постановление ГКО № 7970 [Об охране польско-чехословацкой границы силами НКВД.] (7320, 67-68).</w:t>
      </w:r>
    </w:p>
    <w:p w14:paraId="3DD6BB7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1E1A6E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вышло Постановление ГКО № 7971 [Об охране президента и правительства Чехословакии силами НКВД.] (7320, 69).</w:t>
      </w:r>
    </w:p>
    <w:p w14:paraId="78CBF4D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37D5DC9" w14:textId="77777777" w:rsidR="004D5B9B" w:rsidRPr="00F90EAE" w:rsidRDefault="004D5B9B" w:rsidP="00F90EAE">
      <w:pPr>
        <w:jc w:val="both"/>
        <w:rPr>
          <w:color w:val="000000" w:themeColor="text1"/>
          <w:sz w:val="16"/>
          <w:szCs w:val="16"/>
        </w:rPr>
      </w:pPr>
      <w:r w:rsidRPr="00F90EAE">
        <w:rPr>
          <w:color w:val="000000" w:themeColor="text1"/>
          <w:sz w:val="16"/>
          <w:szCs w:val="16"/>
        </w:rPr>
        <w:t>2 апреля в 1945 году территории Западной Пруссии, Познани и Верхней Силезии, аннексированные Германией в 1939 году, возвращены Польше (15087).</w:t>
      </w:r>
    </w:p>
    <w:p w14:paraId="3B83B4F9" w14:textId="77777777" w:rsidR="004D5B9B" w:rsidRPr="00F90EAE" w:rsidRDefault="004D5B9B" w:rsidP="00F90EAE">
      <w:pPr>
        <w:jc w:val="both"/>
        <w:rPr>
          <w:color w:val="000000" w:themeColor="text1"/>
          <w:sz w:val="16"/>
          <w:szCs w:val="16"/>
        </w:rPr>
      </w:pPr>
    </w:p>
    <w:p w14:paraId="46C27CD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E3C096A" w14:textId="77777777" w:rsidR="00665165" w:rsidRPr="00F90EAE" w:rsidRDefault="00665165" w:rsidP="00F90EAE">
      <w:pPr>
        <w:autoSpaceDE w:val="0"/>
        <w:autoSpaceDN w:val="0"/>
        <w:adjustRightInd w:val="0"/>
        <w:jc w:val="both"/>
        <w:rPr>
          <w:iCs/>
          <w:color w:val="000000" w:themeColor="text1"/>
          <w:sz w:val="16"/>
          <w:szCs w:val="16"/>
        </w:rPr>
      </w:pPr>
    </w:p>
    <w:p w14:paraId="50420205" w14:textId="77777777" w:rsidR="004D5B9B" w:rsidRPr="00F90EAE" w:rsidRDefault="004D5B9B" w:rsidP="00F90EAE">
      <w:pPr>
        <w:jc w:val="both"/>
        <w:rPr>
          <w:color w:val="000000" w:themeColor="text1"/>
          <w:sz w:val="16"/>
          <w:szCs w:val="16"/>
        </w:rPr>
      </w:pPr>
      <w:r w:rsidRPr="00F90EAE">
        <w:rPr>
          <w:color w:val="000000" w:themeColor="text1"/>
          <w:sz w:val="16"/>
          <w:szCs w:val="16"/>
        </w:rPr>
        <w:t xml:space="preserve">2 апреля в 1945 году в воздух поднялся первый серийный английский истребитель </w:t>
      </w:r>
      <w:hyperlink r:id="rId90" w:tgtFrame="_blank" w:history="1">
        <w:r w:rsidRPr="00F90EAE">
          <w:rPr>
            <w:color w:val="000000" w:themeColor="text1"/>
            <w:sz w:val="16"/>
            <w:szCs w:val="16"/>
          </w:rPr>
          <w:t xml:space="preserve">"Спайтфул" 2RB515», </w:t>
        </w:r>
      </w:hyperlink>
      <w:r w:rsidRPr="00F90EAE">
        <w:rPr>
          <w:color w:val="000000" w:themeColor="text1"/>
          <w:sz w:val="16"/>
          <w:szCs w:val="16"/>
        </w:rPr>
        <w:t>поначалу, правда, как и его предшественники, с "неродным" хвостом. «RB515» оснастили хвостовой частью от «Spitfire 21», но уже в четвертом полете самолет щеголял хвостом по типу позднего NN664. В своем окончательном виде RB515, с двигателем «Griffon 69» и пятилопастным пропеллером, стал образцом для серийной модификации, получившей обозначение «Spiteful XIV» (15087).</w:t>
      </w:r>
    </w:p>
    <w:p w14:paraId="0F5463D8" w14:textId="77777777" w:rsidR="004D5B9B" w:rsidRPr="00F90EAE" w:rsidRDefault="004D5B9B" w:rsidP="00F90EAE">
      <w:pPr>
        <w:jc w:val="both"/>
        <w:rPr>
          <w:color w:val="000000" w:themeColor="text1"/>
          <w:sz w:val="16"/>
          <w:szCs w:val="16"/>
        </w:rPr>
      </w:pPr>
    </w:p>
    <w:p w14:paraId="338709C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апреля 1945 лидер нацистов Мартин Борман издал обращение “Победа или смерть” (4962).</w:t>
      </w:r>
    </w:p>
    <w:p w14:paraId="5E8E9C2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009C9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апреля 1945 в Италии союзные войска под командованием Александера начали наступление на север и продолжалось до конца апреля (3907,256).</w:t>
      </w:r>
    </w:p>
    <w:p w14:paraId="328AEA8F" w14:textId="77777777" w:rsidR="00665165" w:rsidRPr="00F90EAE" w:rsidRDefault="00665165" w:rsidP="00F90EAE">
      <w:pPr>
        <w:autoSpaceDE w:val="0"/>
        <w:autoSpaceDN w:val="0"/>
        <w:adjustRightInd w:val="0"/>
        <w:jc w:val="both"/>
        <w:rPr>
          <w:color w:val="000000" w:themeColor="text1"/>
          <w:sz w:val="16"/>
          <w:szCs w:val="16"/>
        </w:rPr>
      </w:pPr>
    </w:p>
    <w:p w14:paraId="16553B54" w14:textId="77777777" w:rsidR="00462C72" w:rsidRPr="00F90EAE" w:rsidRDefault="00462C72" w:rsidP="00F90EAE">
      <w:pPr>
        <w:jc w:val="both"/>
        <w:rPr>
          <w:color w:val="000000" w:themeColor="text1"/>
          <w:sz w:val="16"/>
          <w:szCs w:val="16"/>
        </w:rPr>
      </w:pPr>
      <w:r w:rsidRPr="00F90EAE">
        <w:rPr>
          <w:color w:val="000000" w:themeColor="text1"/>
          <w:sz w:val="16"/>
          <w:szCs w:val="16"/>
        </w:rPr>
        <w:t>2 апреля в 1945 году в конце 2-й мировой войны части 3-й американской армии прошли по Айзенахскому (Эйзенахскому проходу) к городу Хемниц. Этот горный проход на территории Германии между отрогами Везерских гор с севера и горами Тюрингенский лес с юга по долинам рек Херзель и Верра. Выводит из Тюрингии (города Эрфурт, Веймар) к Франкфуртскому промышленному району и далее в долину Верхнего Рейна. Начинается у города Айзенах и заканчивается у города Боссероде. Во время Семилетней войны 1756-1763 по Айзенахскому проходу подошла к Лейпцигу франко-австрийская армия, но в Росбахском сражении 1757 г. была разбита прусской армией Фридриха II. В октябре 1813 по Айзенахскому проходу прошли союзные русско-прусские войска, преследуя остатки французской армии Наполеона, разбитой в Лейпцигском сражении 1813 г (15087).</w:t>
      </w:r>
    </w:p>
    <w:p w14:paraId="5ED1D503" w14:textId="77777777" w:rsidR="00462C72" w:rsidRPr="00F90EAE" w:rsidRDefault="00462C72" w:rsidP="00F90EAE">
      <w:pPr>
        <w:jc w:val="both"/>
        <w:rPr>
          <w:color w:val="000000" w:themeColor="text1"/>
          <w:sz w:val="16"/>
          <w:szCs w:val="16"/>
        </w:rPr>
      </w:pPr>
    </w:p>
    <w:p w14:paraId="32E5C994" w14:textId="77777777" w:rsidR="00462C72" w:rsidRPr="00F90EAE" w:rsidRDefault="00462C72" w:rsidP="00F90EAE">
      <w:pPr>
        <w:jc w:val="both"/>
        <w:rPr>
          <w:color w:val="000000" w:themeColor="text1"/>
          <w:sz w:val="16"/>
          <w:szCs w:val="16"/>
        </w:rPr>
      </w:pPr>
      <w:r w:rsidRPr="00F90EAE">
        <w:rPr>
          <w:color w:val="000000" w:themeColor="text1"/>
          <w:sz w:val="16"/>
          <w:szCs w:val="16"/>
        </w:rPr>
        <w:t>2 апреля в 1945 году лидер нацистов Мартин Борман издает обращение "Победа или смерть" (15087).</w:t>
      </w:r>
    </w:p>
    <w:p w14:paraId="3473056A" w14:textId="77777777" w:rsidR="00462C72" w:rsidRPr="00F90EAE" w:rsidRDefault="00462C72" w:rsidP="00F90EAE">
      <w:pPr>
        <w:jc w:val="both"/>
        <w:rPr>
          <w:color w:val="000000" w:themeColor="text1"/>
          <w:sz w:val="16"/>
          <w:szCs w:val="16"/>
        </w:rPr>
      </w:pPr>
    </w:p>
    <w:p w14:paraId="3BA3746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8B52C13" w14:textId="77777777" w:rsidR="00665165" w:rsidRPr="00F90EAE" w:rsidRDefault="00665165" w:rsidP="00F90EAE">
      <w:pPr>
        <w:autoSpaceDE w:val="0"/>
        <w:autoSpaceDN w:val="0"/>
        <w:adjustRightInd w:val="0"/>
        <w:jc w:val="both"/>
        <w:rPr>
          <w:iCs/>
          <w:color w:val="000000" w:themeColor="text1"/>
          <w:sz w:val="16"/>
          <w:szCs w:val="16"/>
        </w:rPr>
      </w:pPr>
    </w:p>
    <w:p w14:paraId="29687F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года вышел приказ № 124/199 НКАП и НК зерновых и животноводческих совхозов</w:t>
      </w:r>
    </w:p>
    <w:p w14:paraId="28E332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от 21 февраля 1945 года № 7560/с:</w:t>
      </w:r>
    </w:p>
    <w:p w14:paraId="2F215D7C"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Передать НК зерновых и животноводческих совхозов здания и сооружения завода № 499 НКАП в с. Заводоуковка Тюменской области, а также часть оборудования (8963).</w:t>
      </w:r>
    </w:p>
    <w:p w14:paraId="2E0C248E"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22E332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7977. О поставках водорода аэростатным частям КА. РГАНИР, Фонд ГКО, д. 387, лл. 75, 76-78 (11012).</w:t>
      </w:r>
    </w:p>
    <w:p w14:paraId="01154D51" w14:textId="77777777" w:rsidR="00665165" w:rsidRPr="00F90EAE" w:rsidRDefault="00665165" w:rsidP="00F90EAE">
      <w:pPr>
        <w:autoSpaceDE w:val="0"/>
        <w:autoSpaceDN w:val="0"/>
        <w:adjustRightInd w:val="0"/>
        <w:jc w:val="both"/>
        <w:rPr>
          <w:color w:val="000000" w:themeColor="text1"/>
          <w:sz w:val="16"/>
          <w:szCs w:val="16"/>
        </w:rPr>
      </w:pPr>
    </w:p>
    <w:p w14:paraId="2943D6B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9136D3" w14:textId="77777777" w:rsidR="00665165" w:rsidRPr="00F90EAE" w:rsidRDefault="00665165" w:rsidP="00F90EAE">
      <w:pPr>
        <w:autoSpaceDE w:val="0"/>
        <w:autoSpaceDN w:val="0"/>
        <w:adjustRightInd w:val="0"/>
        <w:jc w:val="both"/>
        <w:rPr>
          <w:iCs/>
          <w:color w:val="000000" w:themeColor="text1"/>
          <w:sz w:val="16"/>
          <w:szCs w:val="16"/>
        </w:rPr>
      </w:pPr>
    </w:p>
    <w:p w14:paraId="1FF103CD"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3 апреля 1945 была утверждена программа испытаний «М4А2-76 мм с модернизированной ходовой частью». Машина должна была пройти 1000 километров, из них </w:t>
      </w:r>
      <w:r w:rsidRPr="00F90EAE">
        <w:rPr>
          <w:color w:val="000000" w:themeColor="text1"/>
          <w:sz w:val="16"/>
          <w:szCs w:val="16"/>
        </w:rPr>
        <w:lastRenderedPageBreak/>
        <w:t>350 по булыжному и щебёночному шоссе, 400 по грунтовым и просёлочным дорогам, 200 по целине. 50 километров оставалось на специспытания.</w:t>
      </w:r>
    </w:p>
    <w:p w14:paraId="7C2B81B5"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Прибывшая на НИБТ Полигон машина представляла собой типичный образец M4A2E8. Как и поздние M4A2(76)W, этот танк имел башню с новым люком заряжающего (меньшего размера и овальной формы). Ранее турель с зенитным пулемётом Browning M2HB ставилась на люке заряжающего, теперь появился вертлюг на корме башни, который, правда, не отличался особым удобством. Танк был вооружён орудием M1A2, которое отличалось от более раннего M1A1C наличием двухкамерного дульного тормоза. Из-за его установки пришлось увеличить массу противовеса, установленного на ограждении казённой части орудия. Изменилась система управления командира механизмом поворота башни.</w:t>
      </w:r>
    </w:p>
    <w:p w14:paraId="2C1C0816"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Наибольший интерес у испытателей вызвала новая ходовая часть. Её описание заняло пятую часть отчёта. За счёт того, что теперь использовалось по 6 сдвоенных опорных катков на борт, площадь контакта выросла, соответственно, снизилась нагрузка на опорные катки. Оценили советские испытатели и горизонтальное положение буферных пружин. Такое решение позволило уменьшить габариты тележки и помогло сделать подвеску более мягкой. Большим плюсом стало появление телескопических амортизаторов.</w:t>
      </w:r>
    </w:p>
    <w:p w14:paraId="4A6EF182"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Вместо 3 поддерживающих катков на борт М4 с новой подвеской имели их 5: 2 большого диаметра и 3 поменьше. Ленивцы стали похожими на увеличенные в диаметре опорные катки. Существенно изменился трак. Конструктивно он сильно отличался от тех, которые более 10 лет продвигались Гарри Ноксом. Кроме изменения конструкции, трак стал заметно шире. Это позволило уменьшить удельное давление на грунт с 0,98 до 0,714 кг/см2. Правда, траки предыдущей конструкции отличалась простотой соединения и разъединения. Новые траки с этой точки зрения были не такими удачными. Переделке подверглись и ведущие колёса: из-за более широких траков пришлось увеличить ширину ступицы.</w:t>
      </w:r>
    </w:p>
    <w:p w14:paraId="1D33E6F0"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Наибольший интерес у испытателей вызвало поведение ходовой части M4A2E8 на просёлочной дороге в условиях весенней распутицы. После переделки ходовой средняя скорость движения танка уменьшилась: если средняя скорость чистого движения у M4A2(76)W составила 19,8 км/ч, а техническая — 19,2 км/ч, у M4A2E8 те же показатели составили 18 и 17,4 км/ч соответственно. Неожиданностью это не стало: помимо немного увеличившейся боевой массы, снижение скорости объяснялось увеличением сопротивления перематыванию гусеницы. Ведь ширина трака M4A2(76)W составляла 420 мм, а у M4A2E8 он имел ширину 584 мм.</w:t>
      </w:r>
    </w:p>
    <w:p w14:paraId="6B2F4F70"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А вот с расходом топлива ситуация получилась противоположной. На 100 километров пути M4A2E8 расходовал 370 литров дизельного топлива, а M4A2(76)W — 410 литров. Расход уменьшился благодаря более высоким сцепным качествам новых гусеничных лент. Показатели расхода топлива превышали норму, указанную изготовителем, поскольку танки испытывались на сильно пересечённой местности. Но даже в таких условиях запас хода у танка с модернизированной ходовой частью увеличился со 135 до 150 километров.</w:t>
      </w:r>
    </w:p>
    <w:p w14:paraId="11077C1E"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Более широкие гусеницы, имевшие лучшие сцепные качества, улучшили и проходимость танка. Кроме того, за счёт более мягкой подвески механик-водитель мог не сбрасывать скорость там, где подвеска VVSS работала не так хорошо и пропускала удары. Это тоже хорошо повлияло на проходимость. А вот возможности буксировки техники у обоих танков оказались одинаковыми.</w:t>
      </w:r>
    </w:p>
    <w:p w14:paraId="67314B43"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Машина со старой ходовой частью вырывалась вперёд там, где дорожные условия оказывались менее тяжёлыми. У M4A2(76)W меньшими оказались минимальный радиус поворота и (на 3 метра) дистанция разгона с 0 до 30 км/ч.</w:t>
      </w:r>
    </w:p>
    <w:p w14:paraId="6921244D"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M4A2E8 выглядел увереннее на подъёмах и косогорах. Для M4A2(76)W предельный угол подъёма составлял 26 градусов, далее танку не хватало сцепления с грунтом. M4A2E8 смог пройти подъём крутизной 29,8 градусов, для преодоления более крутого склона уже не хватало мощности двигателя. При движении по косогорам для M4A2E8 предельный угол крена составил 30 градусов, у танка со старой ходовой частью этот показатель оказался на 2 градуса меньше.</w:t>
      </w:r>
    </w:p>
    <w:p w14:paraId="377A8B72"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ходе испытаний фиксировались поломки двигателей и коробок передач, которые являлись следствием некачественной сборки. А вот дефектов ходовой части, присущих M4A2(76)W, у M4A2E8 не наблюдалось. Надёжность элементов ходовой части, включая катки, заметно выросла, что и было главной задачей при разработке подвески HVSS. После пробега на 1064 километра износ ходовой части оказался незначительным, машина была пригодна к дальнейшей эксплуатации.</w:t>
      </w:r>
    </w:p>
    <w:p w14:paraId="73445659" w14:textId="77777777" w:rsidR="00117BE3" w:rsidRPr="00F90EAE" w:rsidRDefault="00117BE3"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Вердикт испытателей НИБТ Полигона в отношении M4A2E8 был положительным. Заметным недостатком было признано усложнение процесса соединения и разъединения гусениц. К слову, американцы тоже обратили внимание на эту особенность: именно сложность обслуживания стала основной причиной появления новых траков T80, которые позже сменили на T84 (17725).</w:t>
      </w:r>
    </w:p>
    <w:p w14:paraId="1FB18E8B" w14:textId="77777777" w:rsidR="00117BE3" w:rsidRPr="00F90EAE" w:rsidRDefault="00117BE3" w:rsidP="00F90EAE">
      <w:pPr>
        <w:jc w:val="both"/>
        <w:rPr>
          <w:rStyle w:val="107"/>
          <w:rFonts w:eastAsiaTheme="minorHAnsi"/>
          <w:color w:val="000000" w:themeColor="text1"/>
          <w:sz w:val="16"/>
          <w:szCs w:val="16"/>
        </w:rPr>
      </w:pPr>
    </w:p>
    <w:p w14:paraId="79B62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7972. О возвращении заводу "Красный факел" НКМВ незавершенной надстройки дома №65 по Ленинградскому шоссе в Москве. РГАНИР, Фонд ГКО, д. 387, лл. 70 (11012).</w:t>
      </w:r>
    </w:p>
    <w:p w14:paraId="5C241A0E" w14:textId="77777777" w:rsidR="00665165" w:rsidRPr="00F90EAE" w:rsidRDefault="00665165" w:rsidP="00F90EAE">
      <w:pPr>
        <w:autoSpaceDE w:val="0"/>
        <w:autoSpaceDN w:val="0"/>
        <w:adjustRightInd w:val="0"/>
        <w:jc w:val="both"/>
        <w:rPr>
          <w:color w:val="000000" w:themeColor="text1"/>
          <w:sz w:val="16"/>
          <w:szCs w:val="16"/>
        </w:rPr>
      </w:pPr>
    </w:p>
    <w:p w14:paraId="7008841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7973 [О мерах по обеспечению углем речного флота и открытию навигации 1945 г.] (7320, 71).</w:t>
      </w:r>
    </w:p>
    <w:p w14:paraId="11C073F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2DD6A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7974 [О выделении бензина НКАТ РСФСР в апреле 1945 г. для обслуживания предприятий НКУП и НКстроя в Туле и Сталиногорске.] (7320, 72).</w:t>
      </w:r>
    </w:p>
    <w:p w14:paraId="3C8F705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5D4DC7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7975 [О зачете по фондам I кв. выделенного НКПС угля из госрезерва.] (7320, 73).</w:t>
      </w:r>
    </w:p>
    <w:p w14:paraId="321AC9E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C06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вышло Распоряжение ГКО № 7976. О зачете по фондам I кв. угля, выделенного НКЭС из госрезерва. РГАНИР, Фонд ГКО, д. 387, лл. 74 (11012).</w:t>
      </w:r>
    </w:p>
    <w:p w14:paraId="178B1DAD" w14:textId="77777777" w:rsidR="00665165" w:rsidRPr="00F90EAE" w:rsidRDefault="00665165" w:rsidP="00F90EAE">
      <w:pPr>
        <w:autoSpaceDE w:val="0"/>
        <w:autoSpaceDN w:val="0"/>
        <w:adjustRightInd w:val="0"/>
        <w:jc w:val="both"/>
        <w:rPr>
          <w:color w:val="000000" w:themeColor="text1"/>
          <w:sz w:val="16"/>
          <w:szCs w:val="16"/>
        </w:rPr>
      </w:pPr>
    </w:p>
    <w:p w14:paraId="4EFE21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вышло Постановление ГКО № 7978 Об изготовлении танковых противоминных тралов ПТ-3. РГАНИР, Фонд ГКО, д. 387, лл. 79-81, 82-83 (11012).</w:t>
      </w:r>
    </w:p>
    <w:p w14:paraId="065EF405" w14:textId="77777777" w:rsidR="00665165" w:rsidRPr="00F90EAE" w:rsidRDefault="00665165" w:rsidP="00F90EAE">
      <w:pPr>
        <w:autoSpaceDE w:val="0"/>
        <w:autoSpaceDN w:val="0"/>
        <w:adjustRightInd w:val="0"/>
        <w:jc w:val="both"/>
        <w:rPr>
          <w:color w:val="000000" w:themeColor="text1"/>
          <w:sz w:val="16"/>
          <w:szCs w:val="16"/>
        </w:rPr>
      </w:pPr>
    </w:p>
    <w:p w14:paraId="03C4153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вышло Постановление ГКО № 7979 Об увеличении производства цемента на Грузинском цементном заводе Наркомстройматериалов СССР. (7320, 84-86,87).</w:t>
      </w:r>
    </w:p>
    <w:p w14:paraId="146DED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3EA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вышло Постановление ГКО № 7988 О мерах по обеспечению КА шифровальной аппаратурой. РГАНИР, Фонд ГКО, д. 387, лл. 89-90 (11012).</w:t>
      </w:r>
    </w:p>
    <w:p w14:paraId="75AC8262" w14:textId="77777777" w:rsidR="00665165" w:rsidRPr="00F90EAE" w:rsidRDefault="00665165" w:rsidP="00F90EAE">
      <w:pPr>
        <w:autoSpaceDE w:val="0"/>
        <w:autoSpaceDN w:val="0"/>
        <w:adjustRightInd w:val="0"/>
        <w:jc w:val="both"/>
        <w:rPr>
          <w:color w:val="000000" w:themeColor="text1"/>
          <w:sz w:val="16"/>
          <w:szCs w:val="16"/>
        </w:rPr>
      </w:pPr>
    </w:p>
    <w:p w14:paraId="7612F19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вышло № 7980 [Справка о выдаче мандатов № 7980-7987 уполномоченным Особого комитета при ГКО без указания фамилий.] (7320, 88).</w:t>
      </w:r>
    </w:p>
    <w:p w14:paraId="4FCB48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9B1A3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D489B7A" w14:textId="77777777" w:rsidR="00665165" w:rsidRPr="00F90EAE" w:rsidRDefault="00665165" w:rsidP="00F90EAE">
      <w:pPr>
        <w:autoSpaceDE w:val="0"/>
        <w:autoSpaceDN w:val="0"/>
        <w:adjustRightInd w:val="0"/>
        <w:jc w:val="both"/>
        <w:rPr>
          <w:iCs/>
          <w:color w:val="000000" w:themeColor="text1"/>
          <w:sz w:val="16"/>
          <w:szCs w:val="16"/>
        </w:rPr>
      </w:pPr>
    </w:p>
    <w:p w14:paraId="35814A59"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оперативная сводка Совинформбюро:</w:t>
      </w:r>
    </w:p>
    <w:p w14:paraId="3C0E068F" w14:textId="77777777" w:rsidR="00A735C5" w:rsidRPr="00F90EAE" w:rsidRDefault="00A735C5" w:rsidP="00F90EAE">
      <w:pPr>
        <w:jc w:val="both"/>
        <w:rPr>
          <w:color w:val="000000" w:themeColor="text1"/>
          <w:sz w:val="16"/>
          <w:szCs w:val="16"/>
        </w:rPr>
      </w:pPr>
      <w:r w:rsidRPr="00F90EAE">
        <w:rPr>
          <w:color w:val="000000" w:themeColor="text1"/>
          <w:sz w:val="16"/>
          <w:szCs w:val="16"/>
        </w:rPr>
        <w:t>«В течение 3 апреля войска 2-го Белорусского фронта вели бои по уничтожению остатков окружённой группы немецких войск восточнее Гданьска и заняли населённые пункты Нойендорф, Клайнпленедорф, Зигескранц, Хойбуде, Кракауеркемпе, Кракау. За 1 и 2 апреля в этом районе взято в плен более 2.000 немецких солдат и офицеров.</w:t>
      </w:r>
    </w:p>
    <w:p w14:paraId="011E67B5" w14:textId="77777777" w:rsidR="00A735C5" w:rsidRPr="00F90EAE" w:rsidRDefault="00A735C5" w:rsidP="00F90EAE">
      <w:pPr>
        <w:jc w:val="both"/>
        <w:rPr>
          <w:color w:val="000000" w:themeColor="text1"/>
          <w:sz w:val="16"/>
          <w:szCs w:val="16"/>
        </w:rPr>
      </w:pPr>
      <w:r w:rsidRPr="00F90EAE">
        <w:rPr>
          <w:color w:val="000000" w:themeColor="text1"/>
          <w:sz w:val="16"/>
          <w:szCs w:val="16"/>
        </w:rPr>
        <w:t>Войска 2-го Украинского фронта, развивая наступление по южному берегу Дуная, к исходу 2 апреля овладели городом и важным узлом дорог Мадьяровар, а сегодня, 3 апреля, совместно с румынскими войсками с боями заняли город и железнодорожную станцию КРЕМНИЦА — сильный опорный пункт обороны немцев на южных склонах хребта Велька Фатра. Также занято более 150 других населённых пунктов, среди которых крупные населённые пункты Шпаня Долина, Кунешов, Янова Легота, Великие Угерце, Жабокреки, Хинораны, Яцовце, Бойна, Драговце, Долны Крупо, Смоленице, Омпитал, Часта, Святой Юр, Прьевоз, Нарльбург, Киттзее, Лайтакертвельеш, Гаттендорф, Парндорф, Гольс, Подерсдорф и железнодорожные станции Хинораны, Радошина, Велки Костоланы, Болераз, Райка, Карльбург, Киттзее, Цурндорф, Гаттендорф. В боях за 2 апреля войска фронта взяли в плен свыше 11.000 солдат и офицеров противника.</w:t>
      </w:r>
    </w:p>
    <w:p w14:paraId="067D305F" w14:textId="77777777" w:rsidR="00A735C5" w:rsidRPr="00F90EAE" w:rsidRDefault="00A735C5" w:rsidP="00F90EAE">
      <w:pPr>
        <w:jc w:val="both"/>
        <w:rPr>
          <w:color w:val="000000" w:themeColor="text1"/>
          <w:sz w:val="16"/>
          <w:szCs w:val="16"/>
        </w:rPr>
      </w:pPr>
      <w:r w:rsidRPr="00F90EAE">
        <w:rPr>
          <w:color w:val="000000" w:themeColor="text1"/>
          <w:sz w:val="16"/>
          <w:szCs w:val="16"/>
        </w:rPr>
        <w:t>Войска 3-го Украинского фронта в результате наступления танковых соединений и пехоты овладели на территории Австрии промышленным городом и крупным железнодорожным узлом Винер Нойштадт и городами Эйзенштадт, Неункирхен, Глоггниц — важными опорными пунктами обороны немцев на подступах к Вене, а также заняли более 100 других населённых пунктов, в том числе крупные населённые пункты Оггау, Донерскирхен, Хоф, Поттендорф, Эбенфурт, Блюмау, Эбрейхсдорф, Миттерндорф, Фельм, Мюнхендорф, Трайскирхен, Мацендорф, Фишау, Вейкерсдорф. Одновременно западнее и юго-западнее озера Балатон войска фронта, наступая совместно с войсками болгарской армии, заняли более 80 населённых пунктов и среди них Себеборци, Мурска Собота, Баглад, Микефа, Варфельде, Баноксентдьердь, Бечехей, Коториба, Дольни Дубрава, В боях за 2 апреля войска фронта взяли в плен более 12.000 солдат</w:t>
      </w:r>
    </w:p>
    <w:p w14:paraId="0BB56709" w14:textId="77777777" w:rsidR="00A735C5" w:rsidRPr="00F90EAE" w:rsidRDefault="00A735C5" w:rsidP="00F90EAE">
      <w:pPr>
        <w:jc w:val="both"/>
        <w:rPr>
          <w:color w:val="000000" w:themeColor="text1"/>
          <w:sz w:val="16"/>
          <w:szCs w:val="16"/>
        </w:rPr>
      </w:pPr>
      <w:r w:rsidRPr="00F90EAE">
        <w:rPr>
          <w:color w:val="000000" w:themeColor="text1"/>
          <w:sz w:val="16"/>
          <w:szCs w:val="16"/>
        </w:rPr>
        <w:t>и офицеров противника и захватили следующие трофеи: самолётов — 30, танков и самоходных орудий — 71, бронетранспортёров — 27, полевых орудий — 124, пулемётов — 129, автомашин — 159, паровозов — 25, железнодорожных вагонов — 927, складов с боеприпасами, вооружением и продовольствием — 38.</w:t>
      </w:r>
    </w:p>
    <w:p w14:paraId="493E7DEC" w14:textId="77777777" w:rsidR="00A735C5" w:rsidRPr="00F90EAE" w:rsidRDefault="00A735C5"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произошло.</w:t>
      </w:r>
    </w:p>
    <w:p w14:paraId="7D71A366" w14:textId="77777777" w:rsidR="00A735C5" w:rsidRPr="00F90EAE" w:rsidRDefault="00A735C5" w:rsidP="00F90EAE">
      <w:pPr>
        <w:jc w:val="both"/>
        <w:rPr>
          <w:color w:val="000000" w:themeColor="text1"/>
          <w:sz w:val="16"/>
          <w:szCs w:val="16"/>
        </w:rPr>
      </w:pPr>
      <w:r w:rsidRPr="00F90EAE">
        <w:rPr>
          <w:color w:val="000000" w:themeColor="text1"/>
          <w:sz w:val="16"/>
          <w:szCs w:val="16"/>
        </w:rPr>
        <w:t>За 2 апреля на всех фронтах подбито и уничтожено 25 немецких танков и самоходных орудий. В воздушных боях и огнём зенитной артиллерии сбито 34 самолёта противника.</w:t>
      </w:r>
    </w:p>
    <w:p w14:paraId="0B967C37" w14:textId="77777777" w:rsidR="00A735C5" w:rsidRPr="00F90EAE" w:rsidRDefault="00A735C5" w:rsidP="00F90EAE">
      <w:pPr>
        <w:jc w:val="both"/>
        <w:rPr>
          <w:color w:val="000000" w:themeColor="text1"/>
          <w:sz w:val="16"/>
          <w:szCs w:val="16"/>
        </w:rPr>
      </w:pPr>
      <w:r w:rsidRPr="00F90EAE">
        <w:rPr>
          <w:color w:val="000000" w:themeColor="text1"/>
          <w:sz w:val="16"/>
          <w:szCs w:val="16"/>
        </w:rPr>
        <w:t xml:space="preserve">Войска 2-го Белорусского фронта восточнее Гданьска вели бои до ликвидации остатков окруженной группы немецких войск. Противник оказывает сильное огневое сопротивление и часто переходит в контратаки. Советские части, наступающие вдоль побережья Данцигской бухты, сломили вражеское сопротивление и овладели опорным пунктом Кракау. В результате ночной атаки гитлеровцы выбиты из сильно укреплённого посёлка Хойбуде. Пытаясь восстановить положение, немцы </w:t>
      </w:r>
      <w:r w:rsidRPr="00F90EAE">
        <w:rPr>
          <w:color w:val="000000" w:themeColor="text1"/>
          <w:sz w:val="16"/>
          <w:szCs w:val="16"/>
        </w:rPr>
        <w:lastRenderedPageBreak/>
        <w:t>предприняли одну за другой девять контратак. Наши пехотинцы совместно с артиллеристами и танкистами отбили все вражеские контратаки и нанесши противнику тяжёлый урон. На поле боя осталось до 1.500 трупов немецких солдат и офицеров. Захвачено у немцев 20 танков и самоходных орудий, 12 бронетранспортёров, 90 полевых орудий, 12 складов с боеприпасами, продовольствием и военным имуществом.</w:t>
      </w:r>
    </w:p>
    <w:p w14:paraId="2727FCB5" w14:textId="77777777" w:rsidR="00A735C5" w:rsidRPr="00F90EAE" w:rsidRDefault="00A735C5" w:rsidP="00F90EAE">
      <w:pPr>
        <w:jc w:val="both"/>
        <w:rPr>
          <w:color w:val="000000" w:themeColor="text1"/>
          <w:sz w:val="16"/>
          <w:szCs w:val="16"/>
        </w:rPr>
      </w:pPr>
      <w:r w:rsidRPr="00F90EAE">
        <w:rPr>
          <w:color w:val="000000" w:themeColor="text1"/>
          <w:sz w:val="16"/>
          <w:szCs w:val="16"/>
        </w:rPr>
        <w:t>Наша авиация наносила бомбардировочно-штурмовые удары по скоплениям войск и техники противника. В Данцигской бухте потоплены два немецких транспорта.</w:t>
      </w:r>
    </w:p>
    <w:p w14:paraId="44168478" w14:textId="77777777" w:rsidR="00A735C5" w:rsidRPr="00F90EAE" w:rsidRDefault="00A735C5"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между Дунаем и озером Ферте (Нойзидлер-Зее). Противник, прикрывая подступы к Вене с юго-востока, сосредоточил на узком участке много танков, самоходных орудий и крупные силы пехоты. Наши танковые части и пехота стремительно продвинулись вперёд севернее и южнее города Мадьяровар и, соединившись, перерезали дороги Мадьяровар — Братислава и Медьяровар—Вена. Вражеская груша войск, действующая в районе Мадьяровара, оказалась в окружении. Ударами с востока, запада и севера наши войска овладели городом Мадьяровар — промышленным центром и важным узлом путей сообщения. Попавшая в «котёл» группа немецких войск разгромлена. Только в этом районе взято в плен более 4 тысяч солдат и офицеров противника. В Медьяроваре имеются машиностроительный, танковый заводы, крупный пороховой завод, завод стрелкового вооружения и другие предприятия. Развивая успех, наши войска продвинулись на 30 километров и вторглись на территорию Австрии. Занят крупный населённый пункт Киттзее, находящийся в 4 километрах южнее Братиславы.</w:t>
      </w:r>
    </w:p>
    <w:p w14:paraId="2EE4CBD5" w14:textId="77777777" w:rsidR="00A735C5" w:rsidRPr="00F90EAE" w:rsidRDefault="00A735C5" w:rsidP="00F90EAE">
      <w:pPr>
        <w:jc w:val="both"/>
        <w:rPr>
          <w:color w:val="000000" w:themeColor="text1"/>
          <w:sz w:val="16"/>
          <w:szCs w:val="16"/>
        </w:rPr>
      </w:pPr>
      <w:r w:rsidRPr="00F90EAE">
        <w:rPr>
          <w:color w:val="000000" w:themeColor="text1"/>
          <w:sz w:val="16"/>
          <w:szCs w:val="16"/>
        </w:rPr>
        <w:t>Войска фронта, действующие в полосе Карпат, продолжали с боями продвигаться вперед. Противник, используя выгодные рубежи, оказывал упорное сопротивление. Сегодня советские части, совместно с румынскими войсками, совершили обходный манёвр и ворвались в чехословацкий город Кремница. Разгромленный в уличных боях вражеский гарнизон в беспорядке отступил. Наши войска, овладевшие городом и железнодорожной станцией Кремница, захватили много трофеев и пленных.</w:t>
      </w:r>
    </w:p>
    <w:p w14:paraId="1A6C74DC" w14:textId="77777777" w:rsidR="00A735C5" w:rsidRPr="00F90EAE" w:rsidRDefault="00A735C5" w:rsidP="00F90EAE">
      <w:pPr>
        <w:jc w:val="both"/>
        <w:rPr>
          <w:color w:val="000000" w:themeColor="text1"/>
          <w:sz w:val="16"/>
          <w:szCs w:val="16"/>
        </w:rPr>
      </w:pPr>
      <w:r w:rsidRPr="00F90EAE">
        <w:rPr>
          <w:color w:val="000000" w:themeColor="text1"/>
          <w:sz w:val="16"/>
          <w:szCs w:val="16"/>
        </w:rPr>
        <w:t>На Братиславском направлении войска фронта, продвигаясь по восточным склонам гор Малые Карпаты, выбили немцев из селения Святой Юр, находящегося в 8 километрах к северо-востоку от Братиславы. Части, наступающие вдоль реки Малый Дунай, овладели населённым пунктом Прьевоз, расположенным в двух километрах восточнее Братиславы.</w:t>
      </w:r>
    </w:p>
    <w:p w14:paraId="4DCBE487" w14:textId="77777777" w:rsidR="00A735C5" w:rsidRPr="00F90EAE" w:rsidRDefault="00A735C5" w:rsidP="00F90EAE">
      <w:pPr>
        <w:jc w:val="both"/>
        <w:rPr>
          <w:color w:val="000000" w:themeColor="text1"/>
          <w:sz w:val="16"/>
          <w:szCs w:val="16"/>
        </w:rPr>
      </w:pPr>
      <w:r w:rsidRPr="00F90EAE">
        <w:rPr>
          <w:color w:val="000000" w:themeColor="text1"/>
          <w:sz w:val="16"/>
          <w:szCs w:val="16"/>
        </w:rPr>
        <w:t>Войска 3-го Украинского фронта продолжали успешное наступление. Советские пехотинцы и танкисты вышли к реке Лайта северо-восточнее города Винер Нойштадт. На рубеже этой реки противник построил сильно укреплённый оборонительный рубеж. Немцы отчаянию сопротивлялись, стремясь не допустить прорыва советских войск на ближние подступы к Вене. В результате ожесточённых боёв наши части переправились через реку Лайту, овладели узлом железных дорог Эбенфурт и, продвигаясь вперёд, перерезали железные и шоссейные дороги, идущие из Винер Нойштадта к Вене. Тем временем другие наши части, продвигаясь на запад, заняли города Глоггнитц и Неункирхен. Таким образом, немецкие войска, находившиеся в районе Винер Нойштадта, оказались в полуокружении. Не давая врагу опомниться и организовать оборону города, советские части стремительными ударами с трех сторон ворвались в Винер Нойштадт и овладели им. Захвачены огромные трофеи и много пленных. Винер Нойштадт — важнейший промышленный центр Австрии. В нём имеются крупные авиационные, автомобильные, паровозо-вагоностроительные заводы и много других предприятий. Преодолев на широком фронте оборонительную полосу немцев за рекой Лайта, наши войска с боями продвигаются к австрийской столице.</w:t>
      </w:r>
    </w:p>
    <w:p w14:paraId="220AE942" w14:textId="77777777" w:rsidR="00A735C5" w:rsidRPr="00F90EAE" w:rsidRDefault="00A735C5" w:rsidP="00F90EAE">
      <w:pPr>
        <w:jc w:val="both"/>
        <w:rPr>
          <w:color w:val="000000" w:themeColor="text1"/>
          <w:sz w:val="16"/>
          <w:szCs w:val="16"/>
        </w:rPr>
      </w:pPr>
      <w:r w:rsidRPr="00F90EAE">
        <w:rPr>
          <w:color w:val="000000" w:themeColor="text1"/>
          <w:sz w:val="16"/>
          <w:szCs w:val="16"/>
        </w:rPr>
        <w:t>Авиация Северного флота потопила в Баренцевом море подводную лодку противника.» (15088).</w:t>
      </w:r>
    </w:p>
    <w:p w14:paraId="17A35721" w14:textId="77777777" w:rsidR="00A735C5" w:rsidRPr="00F90EAE" w:rsidRDefault="00A735C5" w:rsidP="00F90EAE">
      <w:pPr>
        <w:jc w:val="both"/>
        <w:rPr>
          <w:color w:val="000000" w:themeColor="text1"/>
          <w:sz w:val="16"/>
          <w:szCs w:val="16"/>
        </w:rPr>
      </w:pPr>
    </w:p>
    <w:p w14:paraId="705251C5"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войска 2-го Украинского фронта с участием 4-й румынской армии заняли Кремницу (15088).</w:t>
      </w:r>
    </w:p>
    <w:p w14:paraId="2117E908" w14:textId="77777777" w:rsidR="00A735C5" w:rsidRPr="00F90EAE" w:rsidRDefault="00A735C5" w:rsidP="00F90EAE">
      <w:pPr>
        <w:jc w:val="both"/>
        <w:rPr>
          <w:color w:val="000000" w:themeColor="text1"/>
          <w:sz w:val="16"/>
          <w:szCs w:val="16"/>
        </w:rPr>
      </w:pPr>
    </w:p>
    <w:p w14:paraId="2D53922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3rd, 1945: In the East, while the siege of Breslau in Silesia continues, the Red Army captures Bratislava, capital of Slovakia. In the West, units of the British Second Army (Dempsey) reach Munster; the US Ninth Army captures Recklinghausen in the Ruhr, while the US First Army (Hodges) takes Fulda and Kassel (3819).</w:t>
      </w:r>
    </w:p>
    <w:p w14:paraId="7A19B4A1" w14:textId="77777777" w:rsidR="00665165" w:rsidRPr="00F90EAE" w:rsidRDefault="00665165" w:rsidP="00F90EAE">
      <w:pPr>
        <w:autoSpaceDE w:val="0"/>
        <w:autoSpaceDN w:val="0"/>
        <w:adjustRightInd w:val="0"/>
        <w:jc w:val="both"/>
        <w:rPr>
          <w:color w:val="000000" w:themeColor="text1"/>
          <w:sz w:val="16"/>
          <w:szCs w:val="16"/>
          <w:lang w:val="en-US"/>
        </w:rPr>
      </w:pPr>
    </w:p>
    <w:p w14:paraId="473390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КА заняла Братиславу. Британская 2А (Демпсей) достигла Мюнстера, 9А США захватила Реклингхаузена в Руре, 1А США взяла Фульду и Кассель (3819).</w:t>
      </w:r>
    </w:p>
    <w:p w14:paraId="204DB6D7" w14:textId="77777777" w:rsidR="00665165" w:rsidRPr="00F90EAE" w:rsidRDefault="00665165" w:rsidP="00F90EAE">
      <w:pPr>
        <w:autoSpaceDE w:val="0"/>
        <w:autoSpaceDN w:val="0"/>
        <w:adjustRightInd w:val="0"/>
        <w:jc w:val="both"/>
        <w:rPr>
          <w:color w:val="000000" w:themeColor="text1"/>
          <w:sz w:val="16"/>
          <w:szCs w:val="16"/>
        </w:rPr>
      </w:pPr>
    </w:p>
    <w:p w14:paraId="606C1EC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EE5E634" w14:textId="77777777" w:rsidR="00665165" w:rsidRPr="00F90EAE" w:rsidRDefault="00665165" w:rsidP="00F90EAE">
      <w:pPr>
        <w:autoSpaceDE w:val="0"/>
        <w:autoSpaceDN w:val="0"/>
        <w:adjustRightInd w:val="0"/>
        <w:jc w:val="both"/>
        <w:rPr>
          <w:iCs/>
          <w:color w:val="000000" w:themeColor="text1"/>
          <w:sz w:val="16"/>
          <w:szCs w:val="16"/>
        </w:rPr>
      </w:pPr>
    </w:p>
    <w:p w14:paraId="44BD22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президент Чехословакии Э.Бенеш после возвращения из Лондона через Москву в Кошице образовал Временное правительство с социалистом З.Ферлингером во главе на посту премьер-министра и Я.Массарика в качестве МИД и коммунистом В.Носеком в должности МВД (3907,256).</w:t>
      </w:r>
    </w:p>
    <w:p w14:paraId="26F17CE5" w14:textId="77777777" w:rsidR="00665165" w:rsidRPr="00F90EAE" w:rsidRDefault="00665165" w:rsidP="00F90EAE">
      <w:pPr>
        <w:autoSpaceDE w:val="0"/>
        <w:autoSpaceDN w:val="0"/>
        <w:adjustRightInd w:val="0"/>
        <w:jc w:val="both"/>
        <w:rPr>
          <w:color w:val="000000" w:themeColor="text1"/>
          <w:sz w:val="16"/>
          <w:szCs w:val="16"/>
        </w:rPr>
      </w:pPr>
    </w:p>
    <w:p w14:paraId="195129C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апреля 1945 в Кошице (Словакия) сформировано просоветское правительство Чехословакии (4962).</w:t>
      </w:r>
    </w:p>
    <w:p w14:paraId="59BC367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482738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B961ADE" w14:textId="77777777" w:rsidR="00665165" w:rsidRPr="00F90EAE" w:rsidRDefault="00665165" w:rsidP="00F90EAE">
      <w:pPr>
        <w:autoSpaceDE w:val="0"/>
        <w:autoSpaceDN w:val="0"/>
        <w:adjustRightInd w:val="0"/>
        <w:jc w:val="both"/>
        <w:rPr>
          <w:iCs/>
          <w:color w:val="000000" w:themeColor="text1"/>
          <w:sz w:val="16"/>
          <w:szCs w:val="16"/>
        </w:rPr>
      </w:pPr>
    </w:p>
    <w:p w14:paraId="08918BEC"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бортовым стрелком «Do.24» был сбит последний потерянный шведами во Второй Мировой войне самолет – </w:t>
      </w:r>
      <w:hyperlink r:id="rId91" w:tgtFrame="_blank" w:history="1">
        <w:r w:rsidRPr="00F90EAE">
          <w:rPr>
            <w:color w:val="000000" w:themeColor="text1"/>
            <w:sz w:val="16"/>
            <w:szCs w:val="16"/>
          </w:rPr>
          <w:t xml:space="preserve">«Re.2000» </w:t>
        </w:r>
      </w:hyperlink>
      <w:r w:rsidRPr="00F90EAE">
        <w:rPr>
          <w:color w:val="000000" w:themeColor="text1"/>
          <w:sz w:val="16"/>
          <w:szCs w:val="16"/>
        </w:rPr>
        <w:t>(№2331), когда перехватчик попытался эскортировать его к ближайшему аэродрому. Истребители «Re.2000» , полученные Швецией, обозначались «J-20» (15088).</w:t>
      </w:r>
    </w:p>
    <w:p w14:paraId="52B184F8" w14:textId="77777777" w:rsidR="00A735C5" w:rsidRPr="00F90EAE" w:rsidRDefault="00A735C5" w:rsidP="00F90EAE">
      <w:pPr>
        <w:jc w:val="both"/>
        <w:rPr>
          <w:color w:val="000000" w:themeColor="text1"/>
          <w:sz w:val="16"/>
          <w:szCs w:val="16"/>
        </w:rPr>
      </w:pPr>
    </w:p>
    <w:p w14:paraId="7F470CAF"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английские войска вступили в Мюнстер (15088).</w:t>
      </w:r>
    </w:p>
    <w:p w14:paraId="63BE99AC" w14:textId="77777777" w:rsidR="00A735C5" w:rsidRPr="00F90EAE" w:rsidRDefault="00A735C5" w:rsidP="00F90EAE">
      <w:pPr>
        <w:jc w:val="both"/>
        <w:rPr>
          <w:color w:val="000000" w:themeColor="text1"/>
          <w:sz w:val="16"/>
          <w:szCs w:val="16"/>
        </w:rPr>
      </w:pPr>
    </w:p>
    <w:p w14:paraId="221A3E51"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французские войска овладели Карлсруэ (15088).</w:t>
      </w:r>
    </w:p>
    <w:p w14:paraId="63D5734E" w14:textId="77777777" w:rsidR="00A735C5" w:rsidRPr="00F90EAE" w:rsidRDefault="00A735C5" w:rsidP="00F90EAE">
      <w:pPr>
        <w:jc w:val="both"/>
        <w:rPr>
          <w:color w:val="000000" w:themeColor="text1"/>
          <w:sz w:val="16"/>
          <w:szCs w:val="16"/>
        </w:rPr>
      </w:pPr>
    </w:p>
    <w:p w14:paraId="0EB554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апреля 1945 группенфюрер СС Ганс Каммлер, который только что переправил из Гааги в Германию последние ракетные подразделения, прекратившие боевые действия, получил приказ Гиммлера немедленно эвакуировать руководящие кадры «оружия возмездия» в Альпийскую крепость.</w:t>
      </w:r>
    </w:p>
    <w:p w14:paraId="5D87B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Перед эвакуацией эсэсовцы вывели из строя все оборудование завода, которое нельзя было вывезти, и уничтожили свыше 30 тысяч работавших там заключенных. Немецкие конструкторы и проектировщики эвакуировались в Баварию, в район стыка границ Австрии, Германии и Швейцарии, и провели там несколько тревожных недель. Наконец, когда стало ясно, что все окружающие районы заняты американскими войсками, Магнус фон Браун, младший брат Вернера, был послан отыскать кого-либо из американцев, кому персонал исследовательского ракетного центра мог сдаться официально (11688).</w:t>
      </w:r>
    </w:p>
    <w:p w14:paraId="3A7330BD" w14:textId="77777777" w:rsidR="00665165" w:rsidRPr="00F90EAE" w:rsidRDefault="00665165" w:rsidP="00F90EAE">
      <w:pPr>
        <w:autoSpaceDE w:val="0"/>
        <w:autoSpaceDN w:val="0"/>
        <w:adjustRightInd w:val="0"/>
        <w:jc w:val="both"/>
        <w:rPr>
          <w:color w:val="000000" w:themeColor="text1"/>
          <w:sz w:val="16"/>
          <w:szCs w:val="16"/>
        </w:rPr>
      </w:pPr>
    </w:p>
    <w:p w14:paraId="7021A39D" w14:textId="77777777" w:rsidR="00A735C5" w:rsidRPr="00F90EAE" w:rsidRDefault="00A735C5" w:rsidP="00F90EAE">
      <w:pPr>
        <w:jc w:val="both"/>
        <w:rPr>
          <w:color w:val="000000" w:themeColor="text1"/>
          <w:sz w:val="16"/>
          <w:szCs w:val="16"/>
        </w:rPr>
      </w:pPr>
      <w:r w:rsidRPr="00F90EAE">
        <w:rPr>
          <w:bCs/>
          <w:color w:val="000000" w:themeColor="text1"/>
          <w:sz w:val="16"/>
          <w:szCs w:val="16"/>
        </w:rPr>
        <w:t>3 апреля</w:t>
      </w:r>
      <w:r w:rsidRPr="00F90EAE">
        <w:rPr>
          <w:color w:val="000000" w:themeColor="text1"/>
          <w:sz w:val="16"/>
          <w:szCs w:val="16"/>
        </w:rPr>
        <w:t xml:space="preserve"> в 1945 году президент Чехославакии Эдуард Бенеш вернулся их эмиграции в Чехословакию (15088).</w:t>
      </w:r>
    </w:p>
    <w:p w14:paraId="558EBFE3" w14:textId="77777777" w:rsidR="00A735C5" w:rsidRPr="00F90EAE" w:rsidRDefault="00A735C5" w:rsidP="00F90EAE">
      <w:pPr>
        <w:jc w:val="both"/>
        <w:rPr>
          <w:color w:val="000000" w:themeColor="text1"/>
          <w:sz w:val="16"/>
          <w:szCs w:val="16"/>
        </w:rPr>
      </w:pPr>
    </w:p>
    <w:p w14:paraId="6064390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FEDED3B" w14:textId="77777777" w:rsidR="00665165" w:rsidRPr="00F90EAE" w:rsidRDefault="00665165" w:rsidP="00F90EAE">
      <w:pPr>
        <w:autoSpaceDE w:val="0"/>
        <w:autoSpaceDN w:val="0"/>
        <w:adjustRightInd w:val="0"/>
        <w:jc w:val="both"/>
        <w:rPr>
          <w:iCs/>
          <w:color w:val="000000" w:themeColor="text1"/>
          <w:sz w:val="16"/>
          <w:szCs w:val="16"/>
        </w:rPr>
      </w:pPr>
    </w:p>
    <w:p w14:paraId="65B2E9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года Шахурин писал письмо N Н-32/1651 командующему ВВС гл. маршалу авиации Новикову А.А.</w:t>
      </w:r>
    </w:p>
    <w:p w14:paraId="1BA6FB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переоборудования самолетов Пе-8 в пассажирский вариант, прошу Вашего приказания командующему 18 ВА о срочной передаче, вместо ранее выделенных 2-х самолетов Пе-8 с 4-мя дизель-моторами АЧ-30Б, двух исправных самолетов Пе-8 с четырьмя моторами АШ-82 (1879).</w:t>
      </w:r>
    </w:p>
    <w:p w14:paraId="701A56A8" w14:textId="77777777" w:rsidR="00665165" w:rsidRPr="00F90EAE" w:rsidRDefault="00665165" w:rsidP="00F90EAE">
      <w:pPr>
        <w:autoSpaceDE w:val="0"/>
        <w:autoSpaceDN w:val="0"/>
        <w:adjustRightInd w:val="0"/>
        <w:jc w:val="both"/>
        <w:rPr>
          <w:color w:val="000000" w:themeColor="text1"/>
          <w:sz w:val="16"/>
          <w:szCs w:val="16"/>
        </w:rPr>
      </w:pPr>
    </w:p>
    <w:p w14:paraId="3D7B5C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закончились совместно с НИИ ВВС доводочные испытания СДБ А.Н.Т. 63/2 - второго опытного с 2АМ-39Ф, которые шли с 29 ноября 1944. Он проектировался и строился на основе агрегатов серийной машины Ту-2, но был фактически новой машиной. Экипаж увеличили до 3 чел. (1835,57).</w:t>
      </w:r>
    </w:p>
    <w:p w14:paraId="40948827" w14:textId="77777777" w:rsidR="00665165" w:rsidRPr="00F90EAE" w:rsidRDefault="00665165" w:rsidP="00F90EAE">
      <w:pPr>
        <w:autoSpaceDE w:val="0"/>
        <w:autoSpaceDN w:val="0"/>
        <w:adjustRightInd w:val="0"/>
        <w:jc w:val="both"/>
        <w:rPr>
          <w:color w:val="000000" w:themeColor="text1"/>
          <w:sz w:val="16"/>
          <w:szCs w:val="16"/>
        </w:rPr>
      </w:pPr>
    </w:p>
    <w:p w14:paraId="1D3804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4 апреля 1945 из 169 Ер-2, которых перегоняли из Иркутска в Москву, 14 нуждались в замене моторов, 6 - их ремонте, 9 совершали вынужденную посадку на трассе (2965,10).</w:t>
      </w:r>
    </w:p>
    <w:p w14:paraId="09119585" w14:textId="77777777" w:rsidR="00665165" w:rsidRPr="00F90EAE" w:rsidRDefault="00665165" w:rsidP="00F90EAE">
      <w:pPr>
        <w:autoSpaceDE w:val="0"/>
        <w:autoSpaceDN w:val="0"/>
        <w:adjustRightInd w:val="0"/>
        <w:jc w:val="both"/>
        <w:rPr>
          <w:color w:val="000000" w:themeColor="text1"/>
          <w:sz w:val="16"/>
          <w:szCs w:val="16"/>
        </w:rPr>
      </w:pPr>
    </w:p>
    <w:p w14:paraId="02A1BB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ГИ ВВС гиас А.E.Репиным был утвержден акт по специальным испытаниям серийного Ла-7 N 381021158 производства завода № 21 с улучшенной герметизацией вентиляции кабины, которые проводились с 19 по 23 марта 1945</w:t>
      </w:r>
    </w:p>
    <w:p w14:paraId="11AF6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 В.М.Алексеенко</w:t>
      </w:r>
    </w:p>
    <w:p w14:paraId="1086E5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ик Д.Г.Пикуленко</w:t>
      </w:r>
    </w:p>
    <w:p w14:paraId="221C9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Высокая температура воздуха в кабине пилота имеет место на с-те Ла-7 начиная с первых серий. Этот существенный дефект с-та Ла-5 перешел к с-ту Ла-7.</w:t>
      </w:r>
    </w:p>
    <w:p w14:paraId="3DA83E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испытаниях Ла-5ФН № 39210104 первой серии производства завода № 21 выпуска мая 1943 была зарегистрирована температура 65-70 гр и отмечено попадание в кабину отработанных газов. В кабине было душно и жарко, что чрезвычайно утомляло л и понижало его боеспособность. На с-та № 3919121 была прорезана вентиляционная щель в нижней части окантовки переднего стекла козырька кабины в августе 1944.</w:t>
      </w:r>
    </w:p>
    <w:p w14:paraId="7A6F0D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с-те Ла-7 № 45210203 выпуска июля 1944 при испытании в НИИ ВВС в сентябре 1944 была зарегистрирована температу ра воздуха в кабине 55 гр. Л в своих донесениях писали, что высокая температура + с ней присутствие в нем гари и резины быстро вызывают усталость (в полете неисключена потеря сознания).</w:t>
      </w:r>
    </w:p>
    <w:p w14:paraId="11555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недостатки герметизации и вентиляции:</w:t>
      </w:r>
    </w:p>
    <w:p w14:paraId="130241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а) герметизирующие металлические перегородки являются теплопроницаемыми, вентиляция кабины неэффективна.</w:t>
      </w:r>
    </w:p>
    <w:p w14:paraId="589A2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высокой температуры в кабине и проникновения в нее вредных газов на с-те Ла-5 и Ла-7 по сведениям из строевых частей, былти случаи угорания летчиков в полете. Так, например:</w:t>
      </w:r>
    </w:p>
    <w:p w14:paraId="2E0B8A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августа 1944 при перелете из р-на Качи в Чугуев после посадки потерял сознание к-р 863 ИАП м Колесников вследствие угара.</w:t>
      </w:r>
    </w:p>
    <w:p w14:paraId="0BDC3B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сентября 1944 инструктор-л ГУБП ФА м Полоз и п/п Сапрунов перелетев на с-тах Ла-7 из Москвы в Харьков после посадки почувствовали себя угоревшими.</w:t>
      </w:r>
    </w:p>
    <w:p w14:paraId="1AD4F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февраля 1945 в 143 ЗАП (аэродром Клоково) на с-та Ла-5ФН пилотируемом мл Черновым после 45 минут полета произошла катастрофа в рез-те. В результате вскрыти л-ка и спекторскопического анализа в крови, взятой из трупа, была обнаружена окись углерода.</w:t>
      </w:r>
    </w:p>
    <w:p w14:paraId="77E714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приказам Командующего ВВС КА гма Новикова в ГК НИИ ВВС КА в октябре 1944 были проведены специальные исследования с-тов Ла-5 и ла-7 на определение степени загрязнения воздуха в кабине вреднями для дыхания л примесями и исследование температурного режима кабины.</w:t>
      </w:r>
    </w:p>
    <w:p w14:paraId="77021C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по результатам испытпаний было отмечено, что основным фактором, обуславлливающим ухудшение самочувствия л и понижающим его работоспособность при полете на с-тах Ла-5 и ла-7, является недопустимо высокая литература воздуха в кабине (средняя температура была около 50 гр.).</w:t>
      </w:r>
    </w:p>
    <w:p w14:paraId="270459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Внедрение на серийных с-тах Ла-7 вентиляции кабины с разветвленными в кабине отростками заборной трубы (3-х и 2-х рожковая вентиляция), разработанной заводом № 381 в середине 1944, к существенному сниженпию температуры и улучшению вентиляции кабины не привела.</w:t>
      </w:r>
    </w:p>
    <w:p w14:paraId="6CDB8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ГСТ С.А.Л. в феврале 1945 разработана и осуществлена на предъявленном с-те новая герметизация и система вентиляции кабины, направленная на снижение в ней температуры воздуха.</w:t>
      </w:r>
    </w:p>
    <w:p w14:paraId="3DFEF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 испытаний:</w:t>
      </w:r>
    </w:p>
    <w:p w14:paraId="78B84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Предъявлен серийный Ла-7 № 38102158 производства завода № 381 имеет улучшенную герметизацию и вентиляцию.</w:t>
      </w:r>
    </w:p>
    <w:p w14:paraId="4F9094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серийного с-та Ла-7 на данном с-те выполнено следующее:</w:t>
      </w:r>
    </w:p>
    <w:p w14:paraId="7897E6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Теплоизолированы боковые оуцинкованные крышки капорта мотора, путем прокладки 6мм слоя перкалевой обшивки между сталтнымси оцинкованными кромками и дюралевой внутенней стенкой</w:t>
      </w:r>
    </w:p>
    <w:p w14:paraId="766E25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Теплоизолированы дюралевые листы 1-го шпангоута путем приклейки к ним 4мм слоя шинельного сукна.</w:t>
      </w:r>
    </w:p>
    <w:p w14:paraId="7A9FA3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Теплоизолирован маслобак специальным чехлом из шлаковой ткани.</w:t>
      </w:r>
    </w:p>
    <w:p w14:paraId="59577A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Изменена вентиляционная система кабины путем:</w:t>
      </w:r>
    </w:p>
    <w:p w14:paraId="0C1542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увеличения диаметра трубы с 38 мм до 48 мм, идущей из носка центроплана в кабину</w:t>
      </w:r>
    </w:p>
    <w:p w14:paraId="26A32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постановки дополнительного заборника воздуха через лючек слива бензина внизу под фюзеляжем</w:t>
      </w:r>
    </w:p>
    <w:p w14:paraId="5BD3EC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Введены герметизирующие чехлы внутри фюзеляжа на тяги элерона, щитков и тяги РВ</w:t>
      </w:r>
    </w:p>
    <w:p w14:paraId="6C362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испытания</w:t>
      </w:r>
    </w:p>
    <w:p w14:paraId="7557E3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начаты с 19 марта и окончены 23 марта 1945. Во время испытаний выполнено 10 полетов с налетом 5:34</w:t>
      </w:r>
    </w:p>
    <w:p w14:paraId="47CE1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Выводы:</w:t>
      </w:r>
    </w:p>
    <w:p w14:paraId="47D55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Температура воздуха в кабине серийного с-та Ла-7 № 2158 с улучшеной герметизациейц и вентиляцией кабины по сравнению с обычным серийным с-том Ла-65 № 38105758, замеренная при одних и тех же условиях, уменьшилась на уровне груди на 11 гр., на полу на уровне ног - на 27 гр. И составила на уровне груди -21, а у ного - 20.</w:t>
      </w:r>
    </w:p>
    <w:p w14:paraId="5E12A4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 кабтину с-та проникают выхлопные газы, в резулдьтате чего создается концентрация окиси углерода в зоне дыхания л до 0,128 мгр,литр, что превышает гигиеническую норму в 4 раза.</w:t>
      </w:r>
    </w:p>
    <w:p w14:paraId="0C47CE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Наличие столь высоких концентраций окиси углерода в кабине, а также дополнительное загрязнение воздуха продуктами разложения масла, альдегидами, создают явную угрозу отравления л в продолжительных полетах, особенно, когда л не пользуется кислородом.</w:t>
      </w:r>
    </w:p>
    <w:p w14:paraId="39C5A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Местами проникгновения отработанных газов в замоторное пространство являются:</w:t>
      </w:r>
    </w:p>
    <w:p w14:paraId="6FBE1B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кольцевые щели между вертикальной тягой левой боковой створки и плавающей шайбой</w:t>
      </w:r>
    </w:p>
    <w:p w14:paraId="6B337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щели между боковыми крышками капота и продольными рейцками каркаса в углах у верхних выхлопных патрубках</w:t>
      </w:r>
    </w:p>
    <w:p w14:paraId="30A14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Вентиляция кабины через заборник воздуха, установленный снизу, дало снижение температуры на уровне груди на 10 гр.</w:t>
      </w:r>
    </w:p>
    <w:p w14:paraId="36195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исключения возможности попадания в кабину пыли и масла через заборник воздуха, расположенный в нижней части фюзеляжа, а также для регулировки температуры в кабине, целесообразно установить решулируемую л заслонку в щель заборника.</w:t>
      </w:r>
    </w:p>
    <w:p w14:paraId="042B34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Кубышки и Прошаков</w:t>
      </w:r>
    </w:p>
    <w:p w14:paraId="089397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11D2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 Рекомендовать к внедрению в серию, с учетом устранения отмеченных недостатков </w:t>
      </w:r>
    </w:p>
    <w:p w14:paraId="7686B8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Просить ШКАП А.И.Ш. обязать ГК и директора з-да № 381 в кратчайший срок провести мероприятия по устранению выявленных дефектов и предъявиить с-т на контрольные испытания</w:t>
      </w:r>
    </w:p>
    <w:p w14:paraId="296BDA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Подписан 29 марта 1945 (740,1).</w:t>
      </w:r>
    </w:p>
    <w:p w14:paraId="29B0E8CE" w14:textId="77777777" w:rsidR="00665165" w:rsidRPr="00F90EAE" w:rsidRDefault="00665165" w:rsidP="00F90EAE">
      <w:pPr>
        <w:autoSpaceDE w:val="0"/>
        <w:autoSpaceDN w:val="0"/>
        <w:adjustRightInd w:val="0"/>
        <w:jc w:val="both"/>
        <w:rPr>
          <w:color w:val="000000" w:themeColor="text1"/>
          <w:sz w:val="16"/>
          <w:szCs w:val="16"/>
        </w:rPr>
      </w:pPr>
    </w:p>
    <w:p w14:paraId="02DFE5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А.П.Деев выполнил первый вылет на И-250, спустя два дня - второй с уборкой шасси (6471, 7).</w:t>
      </w:r>
    </w:p>
    <w:p w14:paraId="62620E3D" w14:textId="77777777" w:rsidR="00665165" w:rsidRPr="00F90EAE" w:rsidRDefault="00665165" w:rsidP="00F90EAE">
      <w:pPr>
        <w:autoSpaceDE w:val="0"/>
        <w:autoSpaceDN w:val="0"/>
        <w:adjustRightInd w:val="0"/>
        <w:jc w:val="both"/>
        <w:rPr>
          <w:color w:val="000000" w:themeColor="text1"/>
          <w:sz w:val="16"/>
          <w:szCs w:val="16"/>
        </w:rPr>
      </w:pPr>
    </w:p>
    <w:p w14:paraId="66C92C0D" w14:textId="77777777" w:rsidR="00BA2B8F" w:rsidRPr="00F90EAE" w:rsidRDefault="00BA2B8F" w:rsidP="00F90EAE">
      <w:pPr>
        <w:jc w:val="both"/>
        <w:rPr>
          <w:color w:val="000000" w:themeColor="text1"/>
          <w:sz w:val="16"/>
          <w:szCs w:val="16"/>
        </w:rPr>
      </w:pPr>
      <w:r w:rsidRPr="00F90EAE">
        <w:rPr>
          <w:color w:val="000000" w:themeColor="text1"/>
          <w:sz w:val="16"/>
          <w:szCs w:val="16"/>
        </w:rPr>
        <w:t>4 апреля 1945 г. самолет И-250 впервые поднялся в воздух, пилотируемый летчиком А.П. Деевым. Спустя два дня выполнили второй полет, уже с уборкой шасси, а летчик-испытатель Г.Н. Комаров поднял в воздух «собрата» И-250 по силовой установке – истребитель Су-5 (И-107).</w:t>
      </w:r>
    </w:p>
    <w:p w14:paraId="4EABE329" w14:textId="77777777" w:rsidR="00BA2B8F" w:rsidRPr="00F90EAE" w:rsidRDefault="00BA2B8F" w:rsidP="00F90EAE">
      <w:pPr>
        <w:jc w:val="both"/>
        <w:rPr>
          <w:color w:val="000000" w:themeColor="text1"/>
          <w:sz w:val="16"/>
          <w:szCs w:val="16"/>
        </w:rPr>
      </w:pPr>
    </w:p>
    <w:p w14:paraId="33368013" w14:textId="77777777" w:rsidR="003028CD" w:rsidRPr="00F90EAE" w:rsidRDefault="003028CD" w:rsidP="00F90EAE">
      <w:pPr>
        <w:jc w:val="both"/>
        <w:rPr>
          <w:color w:val="000000" w:themeColor="text1"/>
          <w:sz w:val="16"/>
          <w:szCs w:val="16"/>
        </w:rPr>
      </w:pPr>
      <w:r w:rsidRPr="00F90EAE">
        <w:rPr>
          <w:bCs/>
          <w:color w:val="000000" w:themeColor="text1"/>
          <w:sz w:val="16"/>
          <w:szCs w:val="16"/>
        </w:rPr>
        <w:t>4 апреля</w:t>
      </w:r>
      <w:r w:rsidRPr="00F90EAE">
        <w:rPr>
          <w:color w:val="000000" w:themeColor="text1"/>
          <w:sz w:val="16"/>
          <w:szCs w:val="16"/>
        </w:rPr>
        <w:t xml:space="preserve"> в 1945 году первый полёт самолёта с мотокомпрессорной силовой установкой </w:t>
      </w:r>
      <w:hyperlink r:id="rId92" w:tgtFrame="_blank" w:history="1">
        <w:r w:rsidRPr="00F90EAE">
          <w:rPr>
            <w:color w:val="000000" w:themeColor="text1"/>
            <w:sz w:val="16"/>
            <w:szCs w:val="16"/>
          </w:rPr>
          <w:t xml:space="preserve">«И-250» </w:t>
        </w:r>
      </w:hyperlink>
      <w:r w:rsidRPr="00F90EAE">
        <w:rPr>
          <w:color w:val="000000" w:themeColor="text1"/>
          <w:sz w:val="16"/>
          <w:szCs w:val="16"/>
        </w:rPr>
        <w:t>(Н), А.П.Деев, ОКБ "МиГ" (15089).</w:t>
      </w:r>
    </w:p>
    <w:p w14:paraId="4CDC2D1F" w14:textId="77777777" w:rsidR="003028CD" w:rsidRPr="00F90EAE" w:rsidRDefault="003028CD" w:rsidP="00F90EAE">
      <w:pPr>
        <w:jc w:val="both"/>
        <w:rPr>
          <w:color w:val="000000" w:themeColor="text1"/>
          <w:sz w:val="16"/>
          <w:szCs w:val="16"/>
        </w:rPr>
      </w:pPr>
    </w:p>
    <w:p w14:paraId="35BBDE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г. истребитель И-250 №01 совершил первый полет. Самолет представлял собой одноместный скоростной истребитель цельнометаллической конструкции. По схеме - моноплан с низкорасположенным крылом и убирающимся шасси.</w:t>
      </w:r>
    </w:p>
    <w:p w14:paraId="034FA4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Фюзеляж конструктивно был выполнен из трех частей: передней фермы, средней и хвостовой частей. Передняя ферма фюзеляжа сварной конструкции из хромансилевых труб. Средняя часть фюзеляжа клепаной конструкции. Она состояла из набора штампованных шпангоутов, четырех лонжеронов, стрингеров, пола пилотской кабины и дюралевой обшивки. Непосредственно под полом проходил отсек воздушного канала, который входил в силовую конструкцию фюзеляжа. Хвостовая часть фюзеляжа по конструкции была выполнена как монокок. и состояла из набора штампованных шпангоутов, лонжеронов и стрингеров из нормальных прессованных профилей и дюралевой обшивки. Хвостовая часть заканчивалась стальным сварным шпангоутом, на котором крепилась сопловая рама камеры сгорания ВРДК.</w:t>
      </w:r>
    </w:p>
    <w:p w14:paraId="215D2A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Крыло трапециевидной формы, од-нолонжеронное. Имело местное расширение по хордам у бортов фюзеляжа для увеличения абсолютных высот профиля при малой относительной толщине. Профиль крыла был выбран из комбинации двух профилей ЦАГИ - 1А10 в корне и 1В 10 на конце, с плавным переходом от одного к другому. Угол поперечного V - +7°, угол установки крыла +1°. Конструктивно крыло состояло из главного лонжерона, переднего и заднего усиленных стрингеров. нервюр и стрингеров. Обшивка дюралевая. Крыло крепилось к специальной стальной раме, расположенной внизу средней части фюзеляжа. Механизация крыла состояла из элеронов типа "Фрайз" и щелевого закрылка типа ЦАГИ. Для увеличения подъемной силы при посадке к закрылкам у бортов фюзеляжа были присоединены небольшие щитки типа "Шренк". Элероны и закрылки цельнометаллической конструкции с каркасом из дюраля и с электронной обшивкой. Углы отклонения закрылков 15° и 55°.</w:t>
      </w:r>
    </w:p>
    <w:p w14:paraId="0E251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Хвостовое оперение крепилось к хвостовой части фюзеляжа. Профиль вертикального и горизонтального оперения, симметричный - NACA-0009. Рули высоты и направления имели 16% осевую аэродинамическую компенсацию и их снабдили триммерами. Набор дюралевый, обшивка электронная. Сопряжение между рулями направления и высоты было выполнено специальным съемным коком, нижняя поверхность которого также оформляла выходное сопло ВРДК.</w:t>
      </w:r>
    </w:p>
    <w:p w14:paraId="3FA8F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Комбинированная силовая установка Э-30-20. состоявшая из поршневого мотора ВК-107А и ВРДК, была разработана в ЦИАМ под руководством К.В.Холщевникова и А.А.Фадеева. Мощность, развиваемая поршневым двигателем, передавалась сразу ДВУМ потребителям: воздушному ВИНТУ АВ-10П-60 диаметром 3,1 м и компрессору ВРДК. При взлете и во время полета без применения ВРДК основным потребителем мощности являлся воздушный винт, а компрессор ВРДК вращался на низшей передаче. Для сокращения разбега при взлете и увеличения скорости полета до максимальной включалась вторая, высшая, передача привода компрессора, а в камеру сгорания подавалось топливо. Двухскоростной компрессор вращался от мотора с помощью специального привода, смонтированного на моторе, и длинного вала. Переключение скоростей обеспечивалось автоматом переключения Э-67ВП. Подвод воздуха к компрессору производился через входной канал, который был выведен в переднюю часть фюзеляжа. Камера сгорания ВРДК была выполнена в виде сварного кожуха из нержавеющей стали. В передней ее части монтировали блок из семи форсуночных камер расположенных по форме сечения канала. Выходное сопло камеры сгорания снабдили регулируемыми створками из нержавеющей жароупорной стали, дающими возможность получать разные площади выходного сечения на разных режимах полета. Управление створками осуществлялось пневматическим цилиндром, и было автоматически связано с сектором включения ВРДК. Топливо разместили в трех топливных баках мягкой конструкции общей </w:t>
      </w:r>
      <w:r w:rsidRPr="00F90EAE">
        <w:rPr>
          <w:color w:val="000000" w:themeColor="text1"/>
          <w:sz w:val="16"/>
          <w:szCs w:val="16"/>
        </w:rPr>
        <w:lastRenderedPageBreak/>
        <w:t>емкостью 570 л. Два крыльевых бака вмещали по 90 л, а один фюзеляжный - 390 л. Капот мотора имел съемные и несъемные панели. Передняя часть капота вверху оканчивалась щелью для выхода воздуха из канала маслоради-атора, а по бокам - регулируемыми створками.</w:t>
      </w:r>
    </w:p>
    <w:p w14:paraId="4FA289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Приборное оборудование состояло из 16 приборов. Источниками электроэнергии служили генератор ГС-15-500 и аккумулятор 12А5. Самолет оборудовали приеме-передающей радиостанцией, в комплект которой входили приемник РСИ-3 и передатчик РСИ-4Д. Для полетов на больших высотах устанавливали кислородный прибор легочного типа КП-12 и 4 литровый кислородный баллон.</w:t>
      </w:r>
    </w:p>
    <w:p w14:paraId="29824C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состояло из трех 20-мм пушек Б-20 с боезапасом по 100 патронов. Одна пушка стреляла через полый вал редуктора. Две синхронные по бокам фюзеляжа.</w:t>
      </w:r>
    </w:p>
    <w:p w14:paraId="06B1D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И-250 №01, полученная в процессе испытаний, составила 820 км/ч, превышая тем самым на 100-120 км/ч скорости истребителей того времени. Включение ВРДК на взлете сокращало дистанцию разбега до 400 м (6000).</w:t>
      </w:r>
    </w:p>
    <w:p w14:paraId="6FEB4A13" w14:textId="77777777" w:rsidR="00665165" w:rsidRPr="00F90EAE" w:rsidRDefault="00665165" w:rsidP="00F90EAE">
      <w:pPr>
        <w:autoSpaceDE w:val="0"/>
        <w:autoSpaceDN w:val="0"/>
        <w:adjustRightInd w:val="0"/>
        <w:jc w:val="both"/>
        <w:rPr>
          <w:color w:val="000000" w:themeColor="text1"/>
          <w:sz w:val="16"/>
          <w:szCs w:val="16"/>
        </w:rPr>
      </w:pPr>
    </w:p>
    <w:p w14:paraId="30859D9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0FB3F83" w14:textId="77777777" w:rsidR="00665165" w:rsidRPr="00F90EAE" w:rsidRDefault="00665165" w:rsidP="00F90EAE">
      <w:pPr>
        <w:autoSpaceDE w:val="0"/>
        <w:autoSpaceDN w:val="0"/>
        <w:adjustRightInd w:val="0"/>
        <w:jc w:val="both"/>
        <w:rPr>
          <w:iCs/>
          <w:color w:val="000000" w:themeColor="text1"/>
          <w:sz w:val="16"/>
          <w:szCs w:val="16"/>
        </w:rPr>
      </w:pPr>
    </w:p>
    <w:p w14:paraId="11C04B0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апреля 1945 вышло Распоряжение ГКО № 7989 [Об окончании работ по восстановлению механизированной горки на ст. Верховцево Сталинской железной дороги.] (7320, 91).</w:t>
      </w:r>
    </w:p>
    <w:p w14:paraId="190AF5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46AC5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вышло Распоряжение ГКО № 7990. О мерах по обеспечению деталями запаса ручных гранат РГ-42 и Ф-1. РГАНИР, Фонд ГКО, д. 387, лл. 92 (11012).</w:t>
      </w:r>
    </w:p>
    <w:p w14:paraId="1F29DF3C" w14:textId="77777777" w:rsidR="00665165" w:rsidRPr="00F90EAE" w:rsidRDefault="00665165" w:rsidP="00F90EAE">
      <w:pPr>
        <w:autoSpaceDE w:val="0"/>
        <w:autoSpaceDN w:val="0"/>
        <w:adjustRightInd w:val="0"/>
        <w:jc w:val="both"/>
        <w:rPr>
          <w:color w:val="000000" w:themeColor="text1"/>
          <w:sz w:val="16"/>
          <w:szCs w:val="16"/>
        </w:rPr>
      </w:pPr>
    </w:p>
    <w:p w14:paraId="2465C3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вышло Распоряжение ГКО № 7991. Об уменьшении плана производства нефтепродуктов в марте 1945 г. РГАНИР, Фонд ГКО, д. 387, лл. 93 (11012).</w:t>
      </w:r>
    </w:p>
    <w:p w14:paraId="6F1A7812" w14:textId="77777777" w:rsidR="00665165" w:rsidRPr="00F90EAE" w:rsidRDefault="00665165" w:rsidP="00F90EAE">
      <w:pPr>
        <w:autoSpaceDE w:val="0"/>
        <w:autoSpaceDN w:val="0"/>
        <w:adjustRightInd w:val="0"/>
        <w:jc w:val="both"/>
        <w:rPr>
          <w:color w:val="000000" w:themeColor="text1"/>
          <w:sz w:val="16"/>
          <w:szCs w:val="16"/>
        </w:rPr>
      </w:pPr>
    </w:p>
    <w:p w14:paraId="657D3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вышло Распоряжение ГКО № 7993. О порядке перевозки НКПС стройматериалов для строек треста №22 НКстроя. РГАНИР, Фонд ГКО, д. 387, лл. 96 (11012).</w:t>
      </w:r>
    </w:p>
    <w:p w14:paraId="0FFFEB80" w14:textId="77777777" w:rsidR="00665165" w:rsidRPr="00F90EAE" w:rsidRDefault="00665165" w:rsidP="00F90EAE">
      <w:pPr>
        <w:autoSpaceDE w:val="0"/>
        <w:autoSpaceDN w:val="0"/>
        <w:adjustRightInd w:val="0"/>
        <w:jc w:val="both"/>
        <w:rPr>
          <w:color w:val="000000" w:themeColor="text1"/>
          <w:sz w:val="16"/>
          <w:szCs w:val="16"/>
        </w:rPr>
      </w:pPr>
    </w:p>
    <w:p w14:paraId="67FA39B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апреля 1945 вышло Распоряжение ГКО № 7993 [О порядке перевозки НКПС стройматериалов для строек треста №22 НКстроя.] (7320, 96).</w:t>
      </w:r>
    </w:p>
    <w:p w14:paraId="0584B50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F2203C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F76CD0" w14:textId="77777777" w:rsidR="00665165" w:rsidRPr="00F90EAE" w:rsidRDefault="00665165" w:rsidP="00F90EAE">
      <w:pPr>
        <w:autoSpaceDE w:val="0"/>
        <w:autoSpaceDN w:val="0"/>
        <w:adjustRightInd w:val="0"/>
        <w:jc w:val="both"/>
        <w:rPr>
          <w:iCs/>
          <w:color w:val="000000" w:themeColor="text1"/>
          <w:sz w:val="16"/>
          <w:szCs w:val="16"/>
        </w:rPr>
      </w:pPr>
    </w:p>
    <w:p w14:paraId="3D165602" w14:textId="77777777" w:rsidR="003028CD" w:rsidRPr="00F90EAE" w:rsidRDefault="003028CD" w:rsidP="00F90EAE">
      <w:pPr>
        <w:jc w:val="both"/>
        <w:rPr>
          <w:color w:val="000000" w:themeColor="text1"/>
          <w:sz w:val="16"/>
          <w:szCs w:val="16"/>
        </w:rPr>
      </w:pPr>
      <w:r w:rsidRPr="00F90EAE">
        <w:rPr>
          <w:bCs/>
          <w:color w:val="000000" w:themeColor="text1"/>
          <w:sz w:val="16"/>
          <w:szCs w:val="16"/>
        </w:rPr>
        <w:t>4 апреля</w:t>
      </w:r>
      <w:r w:rsidRPr="00F90EAE">
        <w:rPr>
          <w:color w:val="000000" w:themeColor="text1"/>
          <w:sz w:val="16"/>
          <w:szCs w:val="16"/>
        </w:rPr>
        <w:t xml:space="preserve"> в 1945 году оперативная сводка Совинформбюро:</w:t>
      </w:r>
    </w:p>
    <w:p w14:paraId="1CEE5A87" w14:textId="77777777" w:rsidR="003028CD" w:rsidRPr="00F90EAE" w:rsidRDefault="003028CD" w:rsidP="00F90EAE">
      <w:pPr>
        <w:jc w:val="both"/>
        <w:rPr>
          <w:color w:val="000000" w:themeColor="text1"/>
          <w:sz w:val="16"/>
          <w:szCs w:val="16"/>
        </w:rPr>
      </w:pPr>
      <w:r w:rsidRPr="00F90EAE">
        <w:rPr>
          <w:color w:val="000000" w:themeColor="text1"/>
          <w:sz w:val="16"/>
          <w:szCs w:val="16"/>
        </w:rPr>
        <w:t>«В течение 4 апреля в полосе Карпат, юго-западнее города Новы Тарг, войска 4-го Украинского фронта, наступая совместно с чехословацкими войсками, заняли более 60 населённых пунктов, в числе которых крупные населённые пункты Сланица, Наместово, Мутне, Бреза, Локча, Грустин, Прибиш, Великая Борове, Святой Микулаш, Селница, Палудза, Бодице и железнодорожные станции Подбель, Седляцка Дубова.</w:t>
      </w:r>
    </w:p>
    <w:p w14:paraId="7F13B1AC"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2-го Украинского фронта 4 апреля штурмом овладели важным промышленным центром и главным городом Словакии Братислава — крупным узлом путей сообщения и мощным опорным пунктом обороны немцев на Дунае, а также заняли на территории Чехословакии более 60 других населённых пунктов, в числе которых крупные населённые пункты Гандлова, Новая Легота, Осланы, Великие Остра-Тице, Пештяны, Требатыце, Дегтице, Надаш, Рачишторф и железнодорожные станции Гандлова, Рибаны, Пештяны. Одновременно войска фронта севернее Братиславы преодолели горы Малые Карпаты и заняли к западу от них населённые пункты Рарбок, Кухыня, Пернек, Марианна. В боях за 3 апреля войска фронта взяли в плен более 4.600 солдат и офицеров противника.</w:t>
      </w:r>
    </w:p>
    <w:p w14:paraId="31942260" w14:textId="77777777" w:rsidR="003028CD" w:rsidRPr="00F90EAE" w:rsidRDefault="003028CD" w:rsidP="00F90EAE">
      <w:pPr>
        <w:jc w:val="both"/>
        <w:rPr>
          <w:color w:val="000000" w:themeColor="text1"/>
          <w:sz w:val="16"/>
          <w:szCs w:val="16"/>
        </w:rPr>
      </w:pPr>
      <w:r w:rsidRPr="00F90EAE">
        <w:rPr>
          <w:color w:val="000000" w:themeColor="text1"/>
          <w:sz w:val="16"/>
          <w:szCs w:val="16"/>
        </w:rPr>
        <w:t>Юго-восточнее и южнее Вены войска 3-го Украинского фронта, продолжая наступление, с боем заняли город Баден и более 30 других населённых пунктов, в том числе крупные населённые пункты Пурбах, Брайтенбрунн, Маннерсдорф, Зоммерайн, Гетцендорф, Винерхерберг, Гимберг, ЦвелфаксинГ (8 километров юго-восточнее Вены), Гааден, Хайлигенкройц, Гроссау, Санкт Файт. Одновременно западнее и юго-западнее озера Балатон войска фронта, действуя совместно с войсками болгарской армии, завершили очищение от противника юго-западной части Венгрии и на территории Югославии заняли населённые пункты Рогачевцы, Домайинци, Скаковци, Липовци, Ганчани, Пинце, Ходошан, Горичан, Дольни Михалевец. В боях за 3 апреля войска фронта взяли в плен более 9.000 солдат и офицеров противника и захватили следующие трофеи: самолётов—142, танков—42, бронетранспортёров—25, полевых орудий—115, пулемётов—484, автомашин—300, паровозов—42, вагонов—680, складов с боеприпасами, вооружением и продовольствием —17.</w:t>
      </w:r>
    </w:p>
    <w:p w14:paraId="1AF77F57" w14:textId="77777777" w:rsidR="003028CD" w:rsidRPr="00F90EAE" w:rsidRDefault="003028CD" w:rsidP="00F90EAE">
      <w:pPr>
        <w:jc w:val="both"/>
        <w:rPr>
          <w:color w:val="000000" w:themeColor="text1"/>
          <w:sz w:val="16"/>
          <w:szCs w:val="16"/>
        </w:rPr>
      </w:pPr>
      <w:r w:rsidRPr="00F90EAE">
        <w:rPr>
          <w:color w:val="000000" w:themeColor="text1"/>
          <w:sz w:val="16"/>
          <w:szCs w:val="16"/>
        </w:rPr>
        <w:t>В результате наступления с 16 марта по 4 апреля войска 2-го и 3-го Украинских фронтов завершили освобождение от немецких захватчиков всей территории Венгрии.</w:t>
      </w:r>
    </w:p>
    <w:p w14:paraId="23DCE481" w14:textId="77777777" w:rsidR="003028CD" w:rsidRPr="00F90EAE" w:rsidRDefault="003028CD"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произошло.</w:t>
      </w:r>
    </w:p>
    <w:p w14:paraId="6C36EFAB" w14:textId="77777777" w:rsidR="003028CD" w:rsidRPr="00F90EAE" w:rsidRDefault="003028CD" w:rsidP="00F90EAE">
      <w:pPr>
        <w:jc w:val="both"/>
        <w:rPr>
          <w:color w:val="000000" w:themeColor="text1"/>
          <w:sz w:val="16"/>
          <w:szCs w:val="16"/>
        </w:rPr>
      </w:pPr>
      <w:r w:rsidRPr="00F90EAE">
        <w:rPr>
          <w:color w:val="000000" w:themeColor="text1"/>
          <w:sz w:val="16"/>
          <w:szCs w:val="16"/>
        </w:rPr>
        <w:t>За 3 апреля на всех фронтах подбито и уничтожено 26 немецких танков и самоходных орудий. В воздушных боях и огнём зенитной артиллерии сбито 29 самолётов противника.</w:t>
      </w:r>
    </w:p>
    <w:p w14:paraId="129565EA" w14:textId="77777777" w:rsidR="003028CD" w:rsidRPr="00F90EAE" w:rsidRDefault="003028CD" w:rsidP="00F90EAE">
      <w:pPr>
        <w:jc w:val="both"/>
        <w:rPr>
          <w:color w:val="000000" w:themeColor="text1"/>
          <w:sz w:val="16"/>
          <w:szCs w:val="16"/>
        </w:rPr>
      </w:pPr>
      <w:r w:rsidRPr="00F90EAE">
        <w:rPr>
          <w:color w:val="000000" w:themeColor="text1"/>
          <w:sz w:val="16"/>
          <w:szCs w:val="16"/>
        </w:rPr>
        <w:t>Юго-западнее города Новы Тарг войска 4-го Украинского фронта совместно с чехословацкими войсками вели наступательные бои. Действуя в трудных условиях, наши части переправились через реку Орава и, продвигаясь вперёд, выбили немцев из сильно укреплённого опорного пункта Наместово. На поле боя остались сотни вражеских трупов. Сожжено 3 немецких танка и 6 самоходных орудий. Захвачены пленные и трофеи. В бою за населённый пункт Святой Микулаш отличилась группа наших автоматчиков во главе с сержантом Евсеевым. Автоматчики стремительно атаковали вражеские огневые позиции, перебили немцев и захватили орудия двух батареи противника. Лётчик-истребитель младший лейтенант Губанов атаковал самолёты противника, пытавшегося приблизится к переправе через реку. В коротком воздушном бою тов. Губанов убил 3 немецких бомбардировщика. Зенитчики капитана Мезинцева в течение дня уничтожили 4 истребителя противника.</w:t>
      </w:r>
    </w:p>
    <w:p w14:paraId="08737FFA"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2-го Украинского фронта развивали успешное наступление. Гвардейские пехотные части и танки, выйдя вчера к Братиславе, развернули бои за этот мощный опорный пункт обороны немцев на Дунае. На подступах к городу противник построил артиллерийские и пулемётные доты и другие оборонительные сооружения. Немцы сосредоточили в районе города четыре пехотные дивизии, ряд специальных подразделений, бригаду штурмовых орудий и оказывали упорное сопротивление. Штурм города начался артиллерийской и авиационной подготовкой. Следуя за огневым валом артиллерии, наши бойцы ворвались на восточные окраины Братиславы и отвлекли на себя основные вражеские силы. Тем временам другие советские части продвинулись по восточным склонам Малых Карпат и нанести удар с севера. Завязались ожесточённые уличные бои. Вражеские танки, самоходные орудия и пехота неоднократно переходили в контратаки, но не смогли одержать стремительного натиска наших войск. Советские части прорвались в центр города и сломили сопротивление противника. Главный город Словакии очищен от немецких захватчиков.</w:t>
      </w:r>
    </w:p>
    <w:p w14:paraId="5201559D" w14:textId="77777777" w:rsidR="003028CD" w:rsidRPr="00F90EAE" w:rsidRDefault="003028CD" w:rsidP="00F90EAE">
      <w:pPr>
        <w:jc w:val="both"/>
        <w:rPr>
          <w:color w:val="000000" w:themeColor="text1"/>
          <w:sz w:val="16"/>
          <w:szCs w:val="16"/>
        </w:rPr>
      </w:pPr>
      <w:r w:rsidRPr="00F90EAE">
        <w:rPr>
          <w:color w:val="000000" w:themeColor="text1"/>
          <w:sz w:val="16"/>
          <w:szCs w:val="16"/>
        </w:rPr>
        <w:t>Братислава — важнейший промышленный центр и порт на Дунае. В городе сосредоточены электротехнические, машиностроительные, авиационные, химические и металлургические заводы. В Братиславе находится самая крупная электростанция Чехословакии.</w:t>
      </w:r>
    </w:p>
    <w:p w14:paraId="183E3FEE" w14:textId="77777777" w:rsidR="003028CD" w:rsidRPr="00F90EAE" w:rsidRDefault="003028CD" w:rsidP="00F90EAE">
      <w:pPr>
        <w:jc w:val="both"/>
        <w:rPr>
          <w:color w:val="000000" w:themeColor="text1"/>
          <w:sz w:val="16"/>
          <w:szCs w:val="16"/>
        </w:rPr>
      </w:pPr>
      <w:r w:rsidRPr="00F90EAE">
        <w:rPr>
          <w:color w:val="000000" w:themeColor="text1"/>
          <w:sz w:val="16"/>
          <w:szCs w:val="16"/>
        </w:rPr>
        <w:t>Севернее Братиславы наши войска преодолели горы Малые Карпаты. По Малым Карпатам проходил укреплённый оборонительный рубеж, строительство которого немцы начали в январе 1944 года. Этот рубеж состоял из железобетонных дотов, расположенных в два ряда в шахматном порядке. Немцы также построили много укреплений полевого типа: две—три линии траншей с ходами сообщения, противотанковые рвы и проволочные заграждения. После ожесточённых боёв на горных перевалах наши пехотные, кавалерийские и танковые части овладели этим рубежом обороны противника. Заняты узел железных дорог Рарбок и несколько населённых пунктов, расположенных на западных склонах Малых Карпат. В боях за день в этом районе уничтожено до 3 тысяч немецких солдат и офицеров. Захвачено много трофеев.</w:t>
      </w:r>
    </w:p>
    <w:p w14:paraId="27274369" w14:textId="77777777" w:rsidR="003028CD" w:rsidRPr="00F90EAE" w:rsidRDefault="003028CD" w:rsidP="00F90EAE">
      <w:pPr>
        <w:jc w:val="both"/>
        <w:rPr>
          <w:color w:val="000000" w:themeColor="text1"/>
          <w:sz w:val="16"/>
          <w:szCs w:val="16"/>
        </w:rPr>
      </w:pPr>
      <w:r w:rsidRPr="00F90EAE">
        <w:rPr>
          <w:color w:val="000000" w:themeColor="text1"/>
          <w:sz w:val="16"/>
          <w:szCs w:val="16"/>
        </w:rPr>
        <w:t>Юго-восточнее и южнее Вены наши войска продолжали наступление. Противник, опираясь на многочисленные речки и каналы, оказывает упорное сопротивление. Немцы всё время подводят свежие силы и бросают их в контратаки. Советские части переправились через Нойштадтский канал и штурмом овладели городом Баден. На другом участке наши войска заняли ряд опорных пунктов и ведут бои за переправы через реку Вербах в 8 километрах от Вены.</w:t>
      </w:r>
    </w:p>
    <w:p w14:paraId="2851E498" w14:textId="77777777" w:rsidR="003028CD" w:rsidRPr="00F90EAE" w:rsidRDefault="003028CD" w:rsidP="00F90EAE">
      <w:pPr>
        <w:jc w:val="both"/>
        <w:rPr>
          <w:color w:val="000000" w:themeColor="text1"/>
          <w:sz w:val="16"/>
          <w:szCs w:val="16"/>
        </w:rPr>
      </w:pPr>
      <w:r w:rsidRPr="00F90EAE">
        <w:rPr>
          <w:color w:val="000000" w:themeColor="text1"/>
          <w:sz w:val="16"/>
          <w:szCs w:val="16"/>
        </w:rPr>
        <w:t>Западнее и юго-западнее озера Балатон наши войска с боями продвинулись вперёд на 20 километров. Захвачено много вооружения и складов с различными военными материалами. Бойцы одной нашей части взяли в плен немецкого офицера и группу солдат. Пленный офицер сообщил, что его солдаты прикрывали отход батальона, который сейчас находится в соседнем селе. Советские подразделения быстро отрезали врагу пути отхода. Затем гвардии младший лейтенант Коростылёв, сержанты Дорошенко и Бардюков, захватив с собой пленного офицера, пробрались в село, пришли к командиру немецкого батальона и предложили ему капитулировать. Батальон сложил оружие и в полном составе сдался в плен.» (15089).</w:t>
      </w:r>
    </w:p>
    <w:p w14:paraId="68BB5FB3" w14:textId="77777777" w:rsidR="003028CD" w:rsidRPr="00F90EAE" w:rsidRDefault="003028CD" w:rsidP="00F90EAE">
      <w:pPr>
        <w:jc w:val="both"/>
        <w:rPr>
          <w:color w:val="000000" w:themeColor="text1"/>
          <w:sz w:val="16"/>
          <w:szCs w:val="16"/>
        </w:rPr>
      </w:pPr>
    </w:p>
    <w:p w14:paraId="775356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4 апреля 1945 г. из 169 самолетов Ер-2, отправленных с завода № 39, 14 нуждались в замене 20 моторов, на шести требовалась отладка двигателей и замена отдельных агрегатов. Девять машин совершили вынужденную посадку на трассе с убранным шасси (11994).</w:t>
      </w:r>
    </w:p>
    <w:p w14:paraId="533CA5D0" w14:textId="77777777" w:rsidR="00665165" w:rsidRPr="00F90EAE" w:rsidRDefault="00665165" w:rsidP="00F90EAE">
      <w:pPr>
        <w:autoSpaceDE w:val="0"/>
        <w:autoSpaceDN w:val="0"/>
        <w:adjustRightInd w:val="0"/>
        <w:jc w:val="both"/>
        <w:rPr>
          <w:color w:val="000000" w:themeColor="text1"/>
          <w:sz w:val="16"/>
          <w:szCs w:val="16"/>
        </w:rPr>
      </w:pPr>
    </w:p>
    <w:p w14:paraId="58B1F31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апреля 1945 советские войска полностью изгнали фашистов из Венгрии и освободили Братиславу (4962).</w:t>
      </w:r>
    </w:p>
    <w:p w14:paraId="3DC824C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237DB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КА освободила Братиславу (3186). Это были 7ГА (М.С.Шумилов), 1ГК-МГ (И.А.Плиев), дунайская флотилия (Г.Н.Холостяков) и 5ВА (С.К.Горюнов) (3398,137).</w:t>
      </w:r>
    </w:p>
    <w:p w14:paraId="73EEBAB0" w14:textId="77777777" w:rsidR="00665165" w:rsidRPr="00F90EAE" w:rsidRDefault="00665165" w:rsidP="00F90EAE">
      <w:pPr>
        <w:autoSpaceDE w:val="0"/>
        <w:autoSpaceDN w:val="0"/>
        <w:adjustRightInd w:val="0"/>
        <w:jc w:val="both"/>
        <w:rPr>
          <w:color w:val="000000" w:themeColor="text1"/>
          <w:sz w:val="16"/>
          <w:szCs w:val="16"/>
        </w:rPr>
      </w:pPr>
    </w:p>
    <w:p w14:paraId="287CE58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A7F368D" w14:textId="77777777" w:rsidR="00665165" w:rsidRPr="00F90EAE" w:rsidRDefault="00665165" w:rsidP="00F90EAE">
      <w:pPr>
        <w:autoSpaceDE w:val="0"/>
        <w:autoSpaceDN w:val="0"/>
        <w:adjustRightInd w:val="0"/>
        <w:jc w:val="both"/>
        <w:rPr>
          <w:iCs/>
          <w:color w:val="000000" w:themeColor="text1"/>
          <w:sz w:val="16"/>
          <w:szCs w:val="16"/>
        </w:rPr>
      </w:pPr>
    </w:p>
    <w:p w14:paraId="5D5CA1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4 апреля 1945 года Приказом НКВД СССР №066 была объявлена "Инструкция о порядке конвоирования военнопленных и интернированных частями конвойных войск НКВД СССР по железнодорожным путям" (8983).</w:t>
      </w:r>
    </w:p>
    <w:p w14:paraId="45A7DE21" w14:textId="77777777" w:rsidR="00665165" w:rsidRPr="00F90EAE" w:rsidRDefault="00665165" w:rsidP="00F90EAE">
      <w:pPr>
        <w:autoSpaceDE w:val="0"/>
        <w:autoSpaceDN w:val="0"/>
        <w:adjustRightInd w:val="0"/>
        <w:jc w:val="both"/>
        <w:rPr>
          <w:color w:val="000000" w:themeColor="text1"/>
          <w:sz w:val="16"/>
          <w:szCs w:val="16"/>
        </w:rPr>
      </w:pPr>
    </w:p>
    <w:p w14:paraId="5401744D"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56D77F6B" w14:textId="77777777" w:rsidR="00665165" w:rsidRPr="00F90EAE" w:rsidRDefault="00665165" w:rsidP="00F90EAE">
      <w:pPr>
        <w:autoSpaceDE w:val="0"/>
        <w:autoSpaceDN w:val="0"/>
        <w:adjustRightInd w:val="0"/>
        <w:jc w:val="both"/>
        <w:rPr>
          <w:iCs/>
          <w:color w:val="000000" w:themeColor="text1"/>
          <w:sz w:val="16"/>
          <w:szCs w:val="16"/>
          <w:lang w:val="en-US"/>
        </w:rPr>
      </w:pPr>
    </w:p>
    <w:p w14:paraId="244016B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4th, 1945: The British Second Army captures Osnabruck, while the US Third Army (Patton) advancing toward Leipzig takes Suhl and Gotha. The US 8th Air Force launches its heaviest raid to date (700 bombers) against Kiel on the Baltic (3819).</w:t>
      </w:r>
    </w:p>
    <w:p w14:paraId="49B46B6F" w14:textId="77777777" w:rsidR="00665165" w:rsidRPr="00F90EAE" w:rsidRDefault="00665165" w:rsidP="00F90EAE">
      <w:pPr>
        <w:autoSpaceDE w:val="0"/>
        <w:autoSpaceDN w:val="0"/>
        <w:adjustRightInd w:val="0"/>
        <w:jc w:val="both"/>
        <w:rPr>
          <w:color w:val="000000" w:themeColor="text1"/>
          <w:sz w:val="16"/>
          <w:szCs w:val="16"/>
          <w:lang w:val="en-US"/>
        </w:rPr>
      </w:pPr>
    </w:p>
    <w:p w14:paraId="298A4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апреля 1945 британская 2А захватила Оснабрюк, 3А США продвинулась на Лейпциг и взяла Зуль и Готу. 8ВА совершила мощнейший налет (700 б) на Киль (3819).</w:t>
      </w:r>
    </w:p>
    <w:p w14:paraId="3990A62F" w14:textId="77777777" w:rsidR="00665165" w:rsidRPr="00F90EAE" w:rsidRDefault="00665165" w:rsidP="00F90EAE">
      <w:pPr>
        <w:autoSpaceDE w:val="0"/>
        <w:autoSpaceDN w:val="0"/>
        <w:adjustRightInd w:val="0"/>
        <w:jc w:val="both"/>
        <w:rPr>
          <w:color w:val="000000" w:themeColor="text1"/>
          <w:sz w:val="16"/>
          <w:szCs w:val="16"/>
        </w:rPr>
      </w:pPr>
    </w:p>
    <w:p w14:paraId="2665C01B" w14:textId="77777777" w:rsidR="00800D27" w:rsidRPr="00F90EAE" w:rsidRDefault="00800D27" w:rsidP="00F90EAE">
      <w:pPr>
        <w:jc w:val="both"/>
        <w:rPr>
          <w:color w:val="0070C0"/>
          <w:sz w:val="16"/>
          <w:szCs w:val="16"/>
        </w:rPr>
      </w:pPr>
      <w:r w:rsidRPr="00F90EAE">
        <w:rPr>
          <w:color w:val="0070C0"/>
          <w:sz w:val="16"/>
          <w:szCs w:val="16"/>
        </w:rPr>
        <w:t>4 апреля 1935 во время испытаний резиновых настилов, которые будут установлены на будущих авианосцах, пилот-испытатель Королевского флота капитан Эрик "Винкль" Браун объявляет свою Bell Airacobra AH574 на борт авианосца HMS Pretoria Castle . Это мир первая посадка на авианосец самолета с убирающимся трехколесным шасси (20371).</w:t>
      </w:r>
    </w:p>
    <w:p w14:paraId="2887A07B" w14:textId="77777777" w:rsidR="00800D27" w:rsidRPr="00F90EAE" w:rsidRDefault="00800D27" w:rsidP="00F90EAE">
      <w:pPr>
        <w:jc w:val="both"/>
        <w:rPr>
          <w:color w:val="0070C0"/>
          <w:sz w:val="16"/>
          <w:szCs w:val="16"/>
        </w:rPr>
      </w:pPr>
    </w:p>
    <w:p w14:paraId="7D442B0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B343A42" w14:textId="77777777" w:rsidR="00665165" w:rsidRPr="00F90EAE" w:rsidRDefault="00665165" w:rsidP="00F90EAE">
      <w:pPr>
        <w:autoSpaceDE w:val="0"/>
        <w:autoSpaceDN w:val="0"/>
        <w:adjustRightInd w:val="0"/>
        <w:jc w:val="both"/>
        <w:rPr>
          <w:iCs/>
          <w:color w:val="000000" w:themeColor="text1"/>
          <w:sz w:val="16"/>
          <w:szCs w:val="16"/>
        </w:rPr>
      </w:pPr>
    </w:p>
    <w:p w14:paraId="5DABDA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5 апреля по 16 мая 1945 проходили гос. испытания СДБ А.Н.Т. 63/2 (1835,57).</w:t>
      </w:r>
    </w:p>
    <w:p w14:paraId="24DD04C1" w14:textId="77777777" w:rsidR="00665165" w:rsidRPr="00F90EAE" w:rsidRDefault="00665165" w:rsidP="00F90EAE">
      <w:pPr>
        <w:autoSpaceDE w:val="0"/>
        <w:autoSpaceDN w:val="0"/>
        <w:adjustRightInd w:val="0"/>
        <w:jc w:val="both"/>
        <w:rPr>
          <w:color w:val="000000" w:themeColor="text1"/>
          <w:sz w:val="16"/>
          <w:szCs w:val="16"/>
        </w:rPr>
      </w:pPr>
    </w:p>
    <w:p w14:paraId="4E0C19E2"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начались (по 16 мая) Государственные испытания скоростного дневного бомбардировщика </w:t>
      </w:r>
      <w:hyperlink r:id="rId93" w:tgtFrame="_blank" w:history="1">
        <w:r w:rsidRPr="00F90EAE">
          <w:rPr>
            <w:color w:val="000000" w:themeColor="text1"/>
            <w:sz w:val="16"/>
            <w:szCs w:val="16"/>
          </w:rPr>
          <w:t xml:space="preserve">«СДБ». </w:t>
        </w:r>
      </w:hyperlink>
      <w:r w:rsidRPr="00F90EAE">
        <w:rPr>
          <w:color w:val="000000" w:themeColor="text1"/>
          <w:sz w:val="16"/>
          <w:szCs w:val="16"/>
        </w:rPr>
        <w:t>ОКБ Туполева. В отчете отмечалось, что машина по своим лётным данным значительно превосходит однотипные отечественные и зарубежные самолёты,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(15090).</w:t>
      </w:r>
    </w:p>
    <w:p w14:paraId="4149CEAA" w14:textId="77777777" w:rsidR="003028CD" w:rsidRPr="00F90EAE" w:rsidRDefault="003028CD" w:rsidP="00F90EAE">
      <w:pPr>
        <w:jc w:val="both"/>
        <w:rPr>
          <w:color w:val="000000" w:themeColor="text1"/>
          <w:sz w:val="16"/>
          <w:szCs w:val="16"/>
        </w:rPr>
      </w:pPr>
    </w:p>
    <w:p w14:paraId="478A28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закончились совместные испытания первого Ту-2Т, сделанного в конце 1944 на основе доработки одного из серийных Ту-2 N 9/14 23 завода. Испытания проходили с 13 февраля 1945 с одной или двумя торпедами 45-36АН или 45-36АНУ со стабилизаторами ЦАГИ, которые подвешивались у бортов фюзеляжа. испытывался в варианте тактического использования для низкого торпедометания. Взлетная масса 11423 кг с одной и 12389 кг с двумя торпедами и скорость была 505 км/час на 2400 с одной и 493 км/час с двумя на 2400 м. В заключении говорилось:</w:t>
      </w:r>
    </w:p>
    <w:p w14:paraId="1A36E6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Ту-2 с моторами АШ-82ФН в варианте низкого торпедоносца и подвешенными одной или двумя торпедами испытания выдержал.</w:t>
      </w:r>
    </w:p>
    <w:p w14:paraId="4738B8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Рекомендовать самолет ту-2 с моторами АШ-82ФН принять на вооружение ВВС ВМФ для целей низкого торпедометания". Ту-2Т делали на 23 заводе с 1946 по 1948 и шел под шифром изделие К (1835,64).</w:t>
      </w:r>
    </w:p>
    <w:p w14:paraId="661CEFF0" w14:textId="77777777" w:rsidR="00665165" w:rsidRPr="00F90EAE" w:rsidRDefault="00665165" w:rsidP="00F90EAE">
      <w:pPr>
        <w:autoSpaceDE w:val="0"/>
        <w:autoSpaceDN w:val="0"/>
        <w:adjustRightInd w:val="0"/>
        <w:jc w:val="both"/>
        <w:rPr>
          <w:color w:val="000000" w:themeColor="text1"/>
          <w:sz w:val="16"/>
          <w:szCs w:val="16"/>
        </w:rPr>
      </w:pPr>
    </w:p>
    <w:p w14:paraId="7F2DAE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г. первый Ту-2Т прошел испытания с одной и двумя торпедами в варианте низкого торпедоносца, которые велись с 13 февраля. На испытаниях самолет показал следующие данные с 1 торпедой (с 2 торпедами):</w:t>
      </w:r>
    </w:p>
    <w:p w14:paraId="169E1F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взлетная масса, кг - 11 423 (12 389);</w:t>
      </w:r>
    </w:p>
    <w:p w14:paraId="4B24E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максимальная скорость, км/ч: у земли - 466 (455); на высоте 1000 м - 482 (471), 2000 м - 498 (488), 2400 м - 505 (493), 3000 м - 489 (475);</w:t>
      </w:r>
    </w:p>
    <w:p w14:paraId="6181A5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дальность полета при взлетной массе 12 400 кг - 2075 км*;</w:t>
      </w:r>
    </w:p>
    <w:p w14:paraId="45B0DD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разбег, м - 540 (605);</w:t>
      </w:r>
    </w:p>
    <w:p w14:paraId="2D261B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пробег, м - 580 (660).</w:t>
      </w:r>
    </w:p>
    <w:p w14:paraId="2A0653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по испытаниям первого Ту-2Т говорилось:</w:t>
      </w:r>
    </w:p>
    <w:p w14:paraId="4FBD69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Ту-2 с моторами АШ-82ФН в варианте низкого торпедоносца и подвешенными одной и двумя торпедами испытания выдержал.</w:t>
      </w:r>
    </w:p>
    <w:p w14:paraId="308EE3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Рекомендовать самолет Ту-2 с моторами АШ-82ФН принять на вооружение Военно-Воздушных Сил ВМФ для целей низкого торпедометания".</w:t>
      </w:r>
    </w:p>
    <w:p w14:paraId="74B331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 рекомендации оказались услышанными, и приказом НК ВМФ №0252 от 15.5.1945 Ту-2Т был принят на вооружение. Увы, Великая Отечественная война закончилась неделей раньше, а в советско-японской Ту-2 в морской авиации приняли участие только в роли самолетов-разведчиков. Таким образом, минно- торпедная авиация ВМФ стала единственным родом отечественной сухопутной и морской авиации, который в течение всей Великой Отечественной не получил от родного авиапрома ни одного нового типа самолета (12002).</w:t>
      </w:r>
    </w:p>
    <w:p w14:paraId="197EF99B" w14:textId="77777777" w:rsidR="00665165" w:rsidRPr="00F90EAE" w:rsidRDefault="00665165" w:rsidP="00F90EAE">
      <w:pPr>
        <w:autoSpaceDE w:val="0"/>
        <w:autoSpaceDN w:val="0"/>
        <w:adjustRightInd w:val="0"/>
        <w:jc w:val="both"/>
        <w:rPr>
          <w:color w:val="000000" w:themeColor="text1"/>
          <w:sz w:val="16"/>
          <w:szCs w:val="16"/>
        </w:rPr>
      </w:pPr>
    </w:p>
    <w:p w14:paraId="373A7DC2"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завершились совместные заводские и государственные испытания </w:t>
      </w:r>
      <w:hyperlink r:id="rId94" w:tgtFrame="_blank" w:history="1">
        <w:r w:rsidRPr="00F90EAE">
          <w:rPr>
            <w:color w:val="000000" w:themeColor="text1"/>
            <w:sz w:val="16"/>
            <w:szCs w:val="16"/>
          </w:rPr>
          <w:t xml:space="preserve">«Ту-2Т» </w:t>
        </w:r>
      </w:hyperlink>
      <w:r w:rsidRPr="00F90EAE">
        <w:rPr>
          <w:color w:val="000000" w:themeColor="text1"/>
          <w:sz w:val="16"/>
          <w:szCs w:val="16"/>
        </w:rPr>
        <w:t>№9/14 (начались 13 февраля). Машина испытывалась как с одной, так и с двумя торпедами. По результатам испытаний комиссия пришла к выводу: 1. Самолет «Ту-2Т» 2 АШ-82ФН №9/14 в варианте низкого торпедоносца с подвешенными одной и двумя торпедами испытания выдержал. 2. Рекомендовать самолет «Ту-2Т» принять на вооружение ВВС Военно-морского флота для целей низкого торпедометания" (15090).</w:t>
      </w:r>
    </w:p>
    <w:p w14:paraId="59F75C22" w14:textId="77777777" w:rsidR="003028CD" w:rsidRPr="00F90EAE" w:rsidRDefault="003028CD" w:rsidP="00F90EAE">
      <w:pPr>
        <w:jc w:val="both"/>
        <w:rPr>
          <w:color w:val="000000" w:themeColor="text1"/>
          <w:sz w:val="16"/>
          <w:szCs w:val="16"/>
        </w:rPr>
      </w:pPr>
    </w:p>
    <w:p w14:paraId="01966A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5 апреля по 16 мая 1945 в НИИ ВВС проходили гос. испытания 63/2 - скоростного бомбардировщика А.Н.Т. с АМ-39Ф. Не рекомендовали в серию из-за недостаточного обзора штурмана (2629,27).</w:t>
      </w:r>
    </w:p>
    <w:p w14:paraId="0279FA87" w14:textId="77777777" w:rsidR="00665165" w:rsidRPr="00F90EAE" w:rsidRDefault="00665165" w:rsidP="00F90EAE">
      <w:pPr>
        <w:autoSpaceDE w:val="0"/>
        <w:autoSpaceDN w:val="0"/>
        <w:adjustRightInd w:val="0"/>
        <w:jc w:val="both"/>
        <w:rPr>
          <w:color w:val="000000" w:themeColor="text1"/>
          <w:sz w:val="16"/>
          <w:szCs w:val="16"/>
        </w:rPr>
      </w:pPr>
    </w:p>
    <w:p w14:paraId="1C8CB0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 ходе испытаний 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 (3337).</w:t>
      </w:r>
    </w:p>
    <w:p w14:paraId="5C6126E7" w14:textId="77777777" w:rsidR="00665165" w:rsidRPr="00F90EAE" w:rsidRDefault="00665165" w:rsidP="00F90EAE">
      <w:pPr>
        <w:autoSpaceDE w:val="0"/>
        <w:autoSpaceDN w:val="0"/>
        <w:adjustRightInd w:val="0"/>
        <w:jc w:val="both"/>
        <w:rPr>
          <w:color w:val="000000" w:themeColor="text1"/>
          <w:sz w:val="16"/>
          <w:szCs w:val="16"/>
        </w:rPr>
      </w:pPr>
    </w:p>
    <w:p w14:paraId="161E5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закончились войсковые испытания 40 Як-9ДД в 386иап 6бак 3ВА в Восточной Пруссии, которые проводились с 9 марта 1945. Оказался не очень-то, так как необходимого 25-30% превышения скорости для взаимодействия с Ту-2 не было, была неудовлетворительная аэродинамика и низкая живучесть (65,138).</w:t>
      </w:r>
    </w:p>
    <w:p w14:paraId="25878118" w14:textId="77777777" w:rsidR="00665165" w:rsidRPr="00F90EAE" w:rsidRDefault="00665165" w:rsidP="00F90EAE">
      <w:pPr>
        <w:autoSpaceDE w:val="0"/>
        <w:autoSpaceDN w:val="0"/>
        <w:adjustRightInd w:val="0"/>
        <w:jc w:val="both"/>
        <w:rPr>
          <w:color w:val="000000" w:themeColor="text1"/>
          <w:sz w:val="16"/>
          <w:szCs w:val="16"/>
        </w:rPr>
      </w:pPr>
    </w:p>
    <w:p w14:paraId="5A704E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г. по приказу НКАП № 186с в ведение ВИАМ передан опытный завод № 225 НКАП. По приказу № 309с от 20.05.1946 г. в помещениях завода № 225 сформирована специальная лаборатория кремний-органической химии в составе ВИАМ для упорядочения работ по неметаллическим авиационным материалам. Директор/ гл. конструктор завода П.В. Гулянский от своих обязанностей освобожден, продолжил работу в ВИАМ, а затем возглавлял отдел пластмасс на ММЗ «Авангард» (10776).</w:t>
      </w:r>
    </w:p>
    <w:p w14:paraId="218C33EB" w14:textId="77777777" w:rsidR="00665165" w:rsidRPr="00F90EAE" w:rsidRDefault="00665165" w:rsidP="00F90EAE">
      <w:pPr>
        <w:autoSpaceDE w:val="0"/>
        <w:autoSpaceDN w:val="0"/>
        <w:adjustRightInd w:val="0"/>
        <w:jc w:val="both"/>
        <w:rPr>
          <w:color w:val="000000" w:themeColor="text1"/>
          <w:sz w:val="16"/>
          <w:szCs w:val="16"/>
        </w:rPr>
      </w:pPr>
    </w:p>
    <w:p w14:paraId="1AB07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ГОКО N 8000с по отгрузке крыльев и пусковых устройств самолетов-снарядов с завода на ст. Шпек в г. Альтдам на завод 458 в Савелово (1874,11).</w:t>
      </w:r>
    </w:p>
    <w:p w14:paraId="7E685F5D" w14:textId="77777777" w:rsidR="00665165" w:rsidRPr="00F90EAE" w:rsidRDefault="00665165" w:rsidP="00F90EAE">
      <w:pPr>
        <w:autoSpaceDE w:val="0"/>
        <w:autoSpaceDN w:val="0"/>
        <w:adjustRightInd w:val="0"/>
        <w:jc w:val="both"/>
        <w:rPr>
          <w:color w:val="000000" w:themeColor="text1"/>
          <w:sz w:val="16"/>
          <w:szCs w:val="16"/>
        </w:rPr>
      </w:pPr>
    </w:p>
    <w:p w14:paraId="051F61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ГОКО N 8011с по вывозу оборудования завода Дейтше Машинен Верке в Познани в Рыбинск на 36 завод (1874,11).</w:t>
      </w:r>
    </w:p>
    <w:p w14:paraId="1FF60367" w14:textId="77777777" w:rsidR="00665165" w:rsidRPr="00F90EAE" w:rsidRDefault="00665165" w:rsidP="00F90EAE">
      <w:pPr>
        <w:autoSpaceDE w:val="0"/>
        <w:autoSpaceDN w:val="0"/>
        <w:adjustRightInd w:val="0"/>
        <w:jc w:val="both"/>
        <w:rPr>
          <w:color w:val="000000" w:themeColor="text1"/>
          <w:sz w:val="16"/>
          <w:szCs w:val="16"/>
        </w:rPr>
      </w:pPr>
    </w:p>
    <w:p w14:paraId="3BED5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ГОКО N 8012с по вывозу оборудования заводов Фокке-Вульф в Зорау в Воронеж на 64, механического завода в г. Бриг, завода МАФ в Заган в Костино на 455 завод, завода авиамоторных деталей в Закрау г. Хунсвельд в Запорожье на 478 завод, механического завода в г. Бриг в ЦИАМ (1874,11).</w:t>
      </w:r>
    </w:p>
    <w:p w14:paraId="1BDD7DCC" w14:textId="77777777" w:rsidR="00665165" w:rsidRPr="00F90EAE" w:rsidRDefault="00665165" w:rsidP="00F90EAE">
      <w:pPr>
        <w:autoSpaceDE w:val="0"/>
        <w:autoSpaceDN w:val="0"/>
        <w:adjustRightInd w:val="0"/>
        <w:jc w:val="both"/>
        <w:rPr>
          <w:color w:val="000000" w:themeColor="text1"/>
          <w:sz w:val="16"/>
          <w:szCs w:val="16"/>
        </w:rPr>
      </w:pPr>
    </w:p>
    <w:p w14:paraId="1B2FC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года вышел приказ № 125/90 НКАП и НК стройматериалов</w:t>
      </w:r>
    </w:p>
    <w:p w14:paraId="13A1F0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основании распоряжения СНК № 4445-р от 19 марта 1945 года:</w:t>
      </w:r>
    </w:p>
    <w:p w14:paraId="46857255"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Земельный участок и здания бывш. ОКБ № 31 НКАП в Воронеже (Коминтерновский район) передать НК стройматериалов под строительство Воронежского гипсового завода (8963).</w:t>
      </w:r>
    </w:p>
    <w:p w14:paraId="08801301"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3465C4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г. вышло Постановление ГКО № 8000 «О вывозе пусковых устройств самолетов-снарядов со станции Шпек в районе г. Альтдамм» (Д. 469. Л. 1, 3–8).</w:t>
      </w:r>
    </w:p>
    <w:p w14:paraId="3F41E2AA" w14:textId="77777777" w:rsidR="00665165" w:rsidRPr="00F90EAE" w:rsidRDefault="00665165" w:rsidP="00F90EAE">
      <w:pPr>
        <w:autoSpaceDE w:val="0"/>
        <w:autoSpaceDN w:val="0"/>
        <w:adjustRightInd w:val="0"/>
        <w:jc w:val="both"/>
        <w:rPr>
          <w:color w:val="000000" w:themeColor="text1"/>
          <w:sz w:val="16"/>
          <w:szCs w:val="16"/>
        </w:rPr>
      </w:pPr>
    </w:p>
    <w:p w14:paraId="5DA17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8010 О вывозе оборудования по производству двигателей внутреннего сгорания с заводов фирмы "Альберт Нирт" и "Фейнгер Фейнгератебау" в г. Нойдамм. РГАНИР, Фонд ГКО, д. 388, лл. 98-99 (11012).</w:t>
      </w:r>
    </w:p>
    <w:p w14:paraId="156C32F4" w14:textId="77777777" w:rsidR="00665165" w:rsidRPr="00F90EAE" w:rsidRDefault="00665165" w:rsidP="00F90EAE">
      <w:pPr>
        <w:autoSpaceDE w:val="0"/>
        <w:autoSpaceDN w:val="0"/>
        <w:adjustRightInd w:val="0"/>
        <w:jc w:val="both"/>
        <w:rPr>
          <w:color w:val="000000" w:themeColor="text1"/>
          <w:sz w:val="16"/>
          <w:szCs w:val="16"/>
        </w:rPr>
      </w:pPr>
    </w:p>
    <w:p w14:paraId="72EB84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8011 О вывозе станочного оборудования с авиационного завода "Дейче Машинен Верке" в г. Познань. РГАНИР, Фонд ГКО, д. 388, лл. 100-101 (11012).</w:t>
      </w:r>
    </w:p>
    <w:p w14:paraId="5047BFE7" w14:textId="77777777" w:rsidR="00665165" w:rsidRPr="00F90EAE" w:rsidRDefault="00665165" w:rsidP="00F90EAE">
      <w:pPr>
        <w:autoSpaceDE w:val="0"/>
        <w:autoSpaceDN w:val="0"/>
        <w:adjustRightInd w:val="0"/>
        <w:jc w:val="both"/>
        <w:rPr>
          <w:color w:val="000000" w:themeColor="text1"/>
          <w:sz w:val="16"/>
          <w:szCs w:val="16"/>
        </w:rPr>
      </w:pPr>
    </w:p>
    <w:p w14:paraId="6B99D5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8012 О вывозе оборудования и материалов с немецких заводов в районах Зорау и Закрау и в городах Заган и Бриг на предприятия Наркомавиапрома. РГАНИР, Фонд ГКО, д. 388, лл. 102-103 (11012).</w:t>
      </w:r>
    </w:p>
    <w:p w14:paraId="07AC5EB0" w14:textId="77777777" w:rsidR="00665165" w:rsidRPr="00F90EAE" w:rsidRDefault="00665165" w:rsidP="00F90EAE">
      <w:pPr>
        <w:autoSpaceDE w:val="0"/>
        <w:autoSpaceDN w:val="0"/>
        <w:adjustRightInd w:val="0"/>
        <w:jc w:val="both"/>
        <w:rPr>
          <w:color w:val="000000" w:themeColor="text1"/>
          <w:sz w:val="16"/>
          <w:szCs w:val="16"/>
        </w:rPr>
      </w:pPr>
    </w:p>
    <w:p w14:paraId="7AB93C6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F4F6402" w14:textId="77777777" w:rsidR="00665165" w:rsidRPr="00F90EAE" w:rsidRDefault="00665165" w:rsidP="00F90EAE">
      <w:pPr>
        <w:autoSpaceDE w:val="0"/>
        <w:autoSpaceDN w:val="0"/>
        <w:adjustRightInd w:val="0"/>
        <w:jc w:val="both"/>
        <w:rPr>
          <w:iCs/>
          <w:color w:val="000000" w:themeColor="text1"/>
          <w:sz w:val="16"/>
          <w:szCs w:val="16"/>
        </w:rPr>
      </w:pPr>
    </w:p>
    <w:p w14:paraId="13BC6E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7994 Об обеспечении толстостенными трубами строительства газопровода Саратов-Москва. РГАНИР, Фонд ГКО, д. 387, лл. 97 (11012).</w:t>
      </w:r>
    </w:p>
    <w:p w14:paraId="3EF67286" w14:textId="77777777" w:rsidR="00665165" w:rsidRPr="00F90EAE" w:rsidRDefault="00665165" w:rsidP="00F90EAE">
      <w:pPr>
        <w:autoSpaceDE w:val="0"/>
        <w:autoSpaceDN w:val="0"/>
        <w:adjustRightInd w:val="0"/>
        <w:jc w:val="both"/>
        <w:rPr>
          <w:color w:val="000000" w:themeColor="text1"/>
          <w:sz w:val="16"/>
          <w:szCs w:val="16"/>
        </w:rPr>
      </w:pPr>
    </w:p>
    <w:p w14:paraId="0F944E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Распоряжение ГКО № 7995. О разработке планов строительства Понышской ГЭС. РГАНИР, Фонд ГКО, д. 387, лл. 98 (11012).</w:t>
      </w:r>
    </w:p>
    <w:p w14:paraId="479F08CD" w14:textId="77777777" w:rsidR="00665165" w:rsidRPr="00F90EAE" w:rsidRDefault="00665165" w:rsidP="00F90EAE">
      <w:pPr>
        <w:autoSpaceDE w:val="0"/>
        <w:autoSpaceDN w:val="0"/>
        <w:adjustRightInd w:val="0"/>
        <w:jc w:val="both"/>
        <w:rPr>
          <w:color w:val="000000" w:themeColor="text1"/>
          <w:sz w:val="16"/>
          <w:szCs w:val="16"/>
        </w:rPr>
      </w:pPr>
    </w:p>
    <w:p w14:paraId="3B21788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вышло Распоряжение ГКО № 7996 [О продлении до 15 мая 1945 г. действия решения о сокращении пассажирских перевозок и запрещении реэвакуации населения без разрешения ГКО.] (7320, 99).</w:t>
      </w:r>
    </w:p>
    <w:p w14:paraId="0E1923D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80B8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7997 О плане распределения угля и сланцев на II квартал 1945 года. РГАНИР, Фонд ГКО, д. 387, лл. 100-102, 103-194 (11012).</w:t>
      </w:r>
    </w:p>
    <w:p w14:paraId="662B9A4B" w14:textId="77777777" w:rsidR="00665165" w:rsidRPr="00F90EAE" w:rsidRDefault="00665165" w:rsidP="00F90EAE">
      <w:pPr>
        <w:autoSpaceDE w:val="0"/>
        <w:autoSpaceDN w:val="0"/>
        <w:adjustRightInd w:val="0"/>
        <w:jc w:val="both"/>
        <w:rPr>
          <w:color w:val="000000" w:themeColor="text1"/>
          <w:sz w:val="16"/>
          <w:szCs w:val="16"/>
        </w:rPr>
      </w:pPr>
    </w:p>
    <w:p w14:paraId="31CB29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7998 О балансе и плане распределения нефтепродуктов на II квартал 1945 года. РГАНИР, Фонд ГКО, д. 388, лл. 1-4, 5-74 (11012).</w:t>
      </w:r>
    </w:p>
    <w:p w14:paraId="59F6AB50" w14:textId="77777777" w:rsidR="00665165" w:rsidRPr="00F90EAE" w:rsidRDefault="00665165" w:rsidP="00F90EAE">
      <w:pPr>
        <w:autoSpaceDE w:val="0"/>
        <w:autoSpaceDN w:val="0"/>
        <w:adjustRightInd w:val="0"/>
        <w:jc w:val="both"/>
        <w:rPr>
          <w:color w:val="000000" w:themeColor="text1"/>
          <w:sz w:val="16"/>
          <w:szCs w:val="16"/>
        </w:rPr>
      </w:pPr>
    </w:p>
    <w:p w14:paraId="6716F65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вышло Распоряжение ГКО № 7999 [О выделении Приморскому краю 10 автомашин "Виллис".] (7321, 75).</w:t>
      </w:r>
    </w:p>
    <w:p w14:paraId="76F5AFD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A66A59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8001 О дополнительной разборке железнодорожных линий на территории Германии. (7321, 78-80,81-82).</w:t>
      </w:r>
    </w:p>
    <w:p w14:paraId="5EEB626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72AED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8002 О вывозе оборудования со строительства венгерского магниевого завода фирма "Икарт" в г. Мишкольц. РГАНИР, Фонд ГКО, д. 388, лл. 83-84 (11012).</w:t>
      </w:r>
    </w:p>
    <w:p w14:paraId="14E13B31" w14:textId="77777777" w:rsidR="00665165" w:rsidRPr="00F90EAE" w:rsidRDefault="00665165" w:rsidP="00F90EAE">
      <w:pPr>
        <w:autoSpaceDE w:val="0"/>
        <w:autoSpaceDN w:val="0"/>
        <w:adjustRightInd w:val="0"/>
        <w:jc w:val="both"/>
        <w:rPr>
          <w:color w:val="000000" w:themeColor="text1"/>
          <w:sz w:val="16"/>
          <w:szCs w:val="16"/>
        </w:rPr>
      </w:pPr>
    </w:p>
    <w:p w14:paraId="1FA88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8003 О вывозе оборудования немецкого завода по производству оболочек капсюлей в г. Грюнберг (Нижняя Силезия). РГАНИР, Фонд ГКО, д. 388, лл. 85-86 (11012).</w:t>
      </w:r>
    </w:p>
    <w:p w14:paraId="20338744" w14:textId="77777777" w:rsidR="00665165" w:rsidRPr="00F90EAE" w:rsidRDefault="00665165" w:rsidP="00F90EAE">
      <w:pPr>
        <w:autoSpaceDE w:val="0"/>
        <w:autoSpaceDN w:val="0"/>
        <w:adjustRightInd w:val="0"/>
        <w:jc w:val="both"/>
        <w:rPr>
          <w:color w:val="000000" w:themeColor="text1"/>
          <w:sz w:val="16"/>
          <w:szCs w:val="16"/>
        </w:rPr>
      </w:pPr>
    </w:p>
    <w:p w14:paraId="73D8F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8004 О вывозе оборудования по производству оптико-механических приборов с немецких заводов фирмы "Эрик Пожарский" и цеха фирмы "Цейс" в г. Нойдамм (провинция Бранденбург). РГАНИР, Фонд ГКО, д. 388, лл. 87-88 (11012).</w:t>
      </w:r>
    </w:p>
    <w:p w14:paraId="65BE1979" w14:textId="77777777" w:rsidR="00665165" w:rsidRPr="00F90EAE" w:rsidRDefault="00665165" w:rsidP="00F90EAE">
      <w:pPr>
        <w:autoSpaceDE w:val="0"/>
        <w:autoSpaceDN w:val="0"/>
        <w:adjustRightInd w:val="0"/>
        <w:jc w:val="both"/>
        <w:rPr>
          <w:color w:val="000000" w:themeColor="text1"/>
          <w:sz w:val="16"/>
          <w:szCs w:val="16"/>
        </w:rPr>
      </w:pPr>
    </w:p>
    <w:p w14:paraId="48E42E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8005 О вывозе оборудования по производству артиллерийско-стрелкового вооружения немецкой фирмы ДВМ, размещенного на предприятиях в поселке Червонак, а также в форте №5 в г. Познань. РГАНИР, Фонд ГКО, д. 388, лл. 89-90 (11012).</w:t>
      </w:r>
    </w:p>
    <w:p w14:paraId="74DD404E" w14:textId="77777777" w:rsidR="00665165" w:rsidRPr="00F90EAE" w:rsidRDefault="00665165" w:rsidP="00F90EAE">
      <w:pPr>
        <w:autoSpaceDE w:val="0"/>
        <w:autoSpaceDN w:val="0"/>
        <w:adjustRightInd w:val="0"/>
        <w:jc w:val="both"/>
        <w:rPr>
          <w:color w:val="000000" w:themeColor="text1"/>
          <w:sz w:val="16"/>
          <w:szCs w:val="16"/>
        </w:rPr>
      </w:pPr>
    </w:p>
    <w:p w14:paraId="66F8F9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8006 О вывозе оборудования по производству боеприпасов немецкой фирмы ДВМ, размещенного в корпусах завода "Цигельский и К'" в г. Познань. РГАНИР, Фонд ГКО, д. 388, лл. 91-92 (11012).</w:t>
      </w:r>
    </w:p>
    <w:p w14:paraId="7889A05B" w14:textId="77777777" w:rsidR="00665165" w:rsidRPr="00F90EAE" w:rsidRDefault="00665165" w:rsidP="00F90EAE">
      <w:pPr>
        <w:autoSpaceDE w:val="0"/>
        <w:autoSpaceDN w:val="0"/>
        <w:adjustRightInd w:val="0"/>
        <w:jc w:val="both"/>
        <w:rPr>
          <w:color w:val="000000" w:themeColor="text1"/>
          <w:sz w:val="16"/>
          <w:szCs w:val="16"/>
        </w:rPr>
      </w:pPr>
    </w:p>
    <w:p w14:paraId="52D9C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8007 О вывозе оборудования по снаряжению артиллерийских снарядов и по производству пироксилина и гексогена с немецкого военно-химического завода в г. Христианштадт. РГАНИР, Фонд ГКО, д. 388, лл. 93-94 (11012).</w:t>
      </w:r>
    </w:p>
    <w:p w14:paraId="08BFC0AC" w14:textId="77777777" w:rsidR="00665165" w:rsidRPr="00F90EAE" w:rsidRDefault="00665165" w:rsidP="00F90EAE">
      <w:pPr>
        <w:autoSpaceDE w:val="0"/>
        <w:autoSpaceDN w:val="0"/>
        <w:adjustRightInd w:val="0"/>
        <w:jc w:val="both"/>
        <w:rPr>
          <w:color w:val="000000" w:themeColor="text1"/>
          <w:sz w:val="16"/>
          <w:szCs w:val="16"/>
        </w:rPr>
      </w:pPr>
    </w:p>
    <w:p w14:paraId="3F4F39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8008 О вывозе оборудования с немецкого торпедостроительной станции фирмы "Гертеверке Померан" (Померания). РГАНИР, Фонд ГКО, д. 388, лл. 95-96 (11012).</w:t>
      </w:r>
    </w:p>
    <w:p w14:paraId="5D6104AF" w14:textId="77777777" w:rsidR="00665165" w:rsidRPr="00F90EAE" w:rsidRDefault="00665165" w:rsidP="00F90EAE">
      <w:pPr>
        <w:autoSpaceDE w:val="0"/>
        <w:autoSpaceDN w:val="0"/>
        <w:adjustRightInd w:val="0"/>
        <w:jc w:val="both"/>
        <w:rPr>
          <w:color w:val="000000" w:themeColor="text1"/>
          <w:sz w:val="16"/>
          <w:szCs w:val="16"/>
        </w:rPr>
      </w:pPr>
    </w:p>
    <w:p w14:paraId="6DFD9B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8009 О вывозе патронной бумаги и картона с немецкого завода "Круппмюлле" в районе г. Пейскричам (Верхняя Силезия). РГАНИР, Фонд ГКО, д. 388, лл. 97 (11012).</w:t>
      </w:r>
    </w:p>
    <w:p w14:paraId="3545FC64" w14:textId="77777777" w:rsidR="00665165" w:rsidRPr="00F90EAE" w:rsidRDefault="00665165" w:rsidP="00F90EAE">
      <w:pPr>
        <w:autoSpaceDE w:val="0"/>
        <w:autoSpaceDN w:val="0"/>
        <w:adjustRightInd w:val="0"/>
        <w:jc w:val="both"/>
        <w:rPr>
          <w:color w:val="000000" w:themeColor="text1"/>
          <w:sz w:val="16"/>
          <w:szCs w:val="16"/>
        </w:rPr>
      </w:pPr>
    </w:p>
    <w:p w14:paraId="58F065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8013 О вывозе специальных материалов и электровакуумного оборудования с немецкого подземного склада в поселке Тарнок (Венгрия). РГАНИР, Фонд ГКО, д. 388, лл. 104-105 (11012).</w:t>
      </w:r>
    </w:p>
    <w:p w14:paraId="197CD717" w14:textId="77777777" w:rsidR="00665165" w:rsidRPr="00F90EAE" w:rsidRDefault="00665165" w:rsidP="00F90EAE">
      <w:pPr>
        <w:autoSpaceDE w:val="0"/>
        <w:autoSpaceDN w:val="0"/>
        <w:adjustRightInd w:val="0"/>
        <w:jc w:val="both"/>
        <w:rPr>
          <w:color w:val="000000" w:themeColor="text1"/>
          <w:sz w:val="16"/>
          <w:szCs w:val="16"/>
        </w:rPr>
      </w:pPr>
    </w:p>
    <w:p w14:paraId="65543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8014 О вывозе турбин мощностью 16 тысяч киловатт с электростанции "Гинденбург" в Верхней Силезии. РГАНИР, Фонд ГКО, д. 388, лл. 106 (11012).</w:t>
      </w:r>
    </w:p>
    <w:p w14:paraId="6B50C82C" w14:textId="77777777" w:rsidR="00665165" w:rsidRPr="00F90EAE" w:rsidRDefault="00665165" w:rsidP="00F90EAE">
      <w:pPr>
        <w:autoSpaceDE w:val="0"/>
        <w:autoSpaceDN w:val="0"/>
        <w:adjustRightInd w:val="0"/>
        <w:jc w:val="both"/>
        <w:rPr>
          <w:color w:val="000000" w:themeColor="text1"/>
          <w:sz w:val="16"/>
          <w:szCs w:val="16"/>
        </w:rPr>
      </w:pPr>
    </w:p>
    <w:p w14:paraId="151C22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8015 О вывозе оборудования с незаконченных строительством немецких электростанций "Вильгельм" в районе г. Явожно и "Вальтер" в районе г. Бендзин (Польша). РГАНИР, Фонд ГКО, д. 388, лл. 107-108 (11012).</w:t>
      </w:r>
    </w:p>
    <w:p w14:paraId="7364F665" w14:textId="77777777" w:rsidR="00665165" w:rsidRPr="00F90EAE" w:rsidRDefault="00665165" w:rsidP="00F90EAE">
      <w:pPr>
        <w:autoSpaceDE w:val="0"/>
        <w:autoSpaceDN w:val="0"/>
        <w:adjustRightInd w:val="0"/>
        <w:jc w:val="both"/>
        <w:rPr>
          <w:color w:val="000000" w:themeColor="text1"/>
          <w:sz w:val="16"/>
          <w:szCs w:val="16"/>
        </w:rPr>
      </w:pPr>
    </w:p>
    <w:p w14:paraId="034D75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8016 О вывозе оборудования с немецкого завода фирмы "Ейне Зон" в г. Ландсберг (Германия, Померания). РГАНИР, Фонд ГКО, д. 388, лл. 109 (11012).</w:t>
      </w:r>
    </w:p>
    <w:p w14:paraId="4DAA5648" w14:textId="77777777" w:rsidR="00665165" w:rsidRPr="00F90EAE" w:rsidRDefault="00665165" w:rsidP="00F90EAE">
      <w:pPr>
        <w:autoSpaceDE w:val="0"/>
        <w:autoSpaceDN w:val="0"/>
        <w:adjustRightInd w:val="0"/>
        <w:jc w:val="both"/>
        <w:rPr>
          <w:color w:val="000000" w:themeColor="text1"/>
          <w:sz w:val="16"/>
          <w:szCs w:val="16"/>
        </w:rPr>
      </w:pPr>
    </w:p>
    <w:p w14:paraId="1ABCEF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8017 О вывозе оборудования и материалов немецкой электрорадиотехнической фабрики "Кунц-Гартвиг" в г. Будапешт. РГАНИР, Фонд ГКО, д. 388, лл. 110-111 (11012).</w:t>
      </w:r>
    </w:p>
    <w:p w14:paraId="5D44E4A5" w14:textId="77777777" w:rsidR="00665165" w:rsidRPr="00F90EAE" w:rsidRDefault="00665165" w:rsidP="00F90EAE">
      <w:pPr>
        <w:autoSpaceDE w:val="0"/>
        <w:autoSpaceDN w:val="0"/>
        <w:adjustRightInd w:val="0"/>
        <w:jc w:val="both"/>
        <w:rPr>
          <w:color w:val="000000" w:themeColor="text1"/>
          <w:sz w:val="16"/>
          <w:szCs w:val="16"/>
        </w:rPr>
      </w:pPr>
    </w:p>
    <w:p w14:paraId="37046B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8018 О вывозе оборудования завода обрезинки танковых катков из г. Мариенбург в Восточной Пруссии. РГАНИР, Фонд ГКО, д. 388, лл. 112-113 (11012).</w:t>
      </w:r>
    </w:p>
    <w:p w14:paraId="3F982F1F" w14:textId="77777777" w:rsidR="00665165" w:rsidRPr="00F90EAE" w:rsidRDefault="00665165" w:rsidP="00F90EAE">
      <w:pPr>
        <w:autoSpaceDE w:val="0"/>
        <w:autoSpaceDN w:val="0"/>
        <w:adjustRightInd w:val="0"/>
        <w:jc w:val="both"/>
        <w:rPr>
          <w:color w:val="000000" w:themeColor="text1"/>
          <w:sz w:val="16"/>
          <w:szCs w:val="16"/>
        </w:rPr>
      </w:pPr>
    </w:p>
    <w:p w14:paraId="4C548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8019 О вывозе прокатного оборудования с венгерского завода фирмы "Лампарт" в г. Будапешт на предприятия Наркомцветмета. РГАНИР, Фонд ГКО, д. 388, лл. 114-115 (11012).</w:t>
      </w:r>
    </w:p>
    <w:p w14:paraId="627E8C3D" w14:textId="77777777" w:rsidR="00665165" w:rsidRPr="00F90EAE" w:rsidRDefault="00665165" w:rsidP="00F90EAE">
      <w:pPr>
        <w:autoSpaceDE w:val="0"/>
        <w:autoSpaceDN w:val="0"/>
        <w:adjustRightInd w:val="0"/>
        <w:jc w:val="both"/>
        <w:rPr>
          <w:color w:val="000000" w:themeColor="text1"/>
          <w:sz w:val="16"/>
          <w:szCs w:val="16"/>
        </w:rPr>
      </w:pPr>
    </w:p>
    <w:p w14:paraId="2BD6E2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8020 О вывозе трофейного металлообрабатывающего оборудования со складов 2-го Украинского фронта (станции Монор, Венгрия). РГАНИР, Фонд ГКО, д. 388, лл. 116, 117-118 (11012).</w:t>
      </w:r>
    </w:p>
    <w:p w14:paraId="6DC374AB" w14:textId="77777777" w:rsidR="00665165" w:rsidRPr="00F90EAE" w:rsidRDefault="00665165" w:rsidP="00F90EAE">
      <w:pPr>
        <w:autoSpaceDE w:val="0"/>
        <w:autoSpaceDN w:val="0"/>
        <w:adjustRightInd w:val="0"/>
        <w:jc w:val="both"/>
        <w:rPr>
          <w:color w:val="000000" w:themeColor="text1"/>
          <w:sz w:val="16"/>
          <w:szCs w:val="16"/>
        </w:rPr>
      </w:pPr>
    </w:p>
    <w:p w14:paraId="7E5FB2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8021 О вывозе оборудования с немецкого электротехнического завода фирмы АЕГ и кабельного завода фирмы "Фельтен и Гильом" в г. Будапешт. РГАНИР, Фонд ГКО, д. 388, лл. 119-120 (11012).</w:t>
      </w:r>
    </w:p>
    <w:p w14:paraId="3843D532" w14:textId="77777777" w:rsidR="00665165" w:rsidRPr="00F90EAE" w:rsidRDefault="00665165" w:rsidP="00F90EAE">
      <w:pPr>
        <w:autoSpaceDE w:val="0"/>
        <w:autoSpaceDN w:val="0"/>
        <w:adjustRightInd w:val="0"/>
        <w:jc w:val="both"/>
        <w:rPr>
          <w:color w:val="000000" w:themeColor="text1"/>
          <w:sz w:val="16"/>
          <w:szCs w:val="16"/>
        </w:rPr>
      </w:pPr>
    </w:p>
    <w:p w14:paraId="1D56BF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8022 О вывозе цветных металлов с баз и предприятий, расположенных в г. г. Мальч и Олау в Верхней Силезии. РГАНИР, Фонд ГКО, д. 388, лл. 121, 122-123 (11012).</w:t>
      </w:r>
    </w:p>
    <w:p w14:paraId="23FB61EA" w14:textId="77777777" w:rsidR="00665165" w:rsidRPr="00F90EAE" w:rsidRDefault="00665165" w:rsidP="00F90EAE">
      <w:pPr>
        <w:autoSpaceDE w:val="0"/>
        <w:autoSpaceDN w:val="0"/>
        <w:adjustRightInd w:val="0"/>
        <w:jc w:val="both"/>
        <w:rPr>
          <w:color w:val="000000" w:themeColor="text1"/>
          <w:sz w:val="16"/>
          <w:szCs w:val="16"/>
        </w:rPr>
      </w:pPr>
    </w:p>
    <w:p w14:paraId="7DE81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8023 О вывозе оборудования по изготовлению инструмента и приспособлений с филиала немецкого завода фирмы ДВМ, расположенного в помещениях форта №9 Познаньской крепости (г. Познань). РГАНИР, Фонд ГКО, д. 388, лл. 124-125 (11012).</w:t>
      </w:r>
    </w:p>
    <w:p w14:paraId="4CDD920F" w14:textId="77777777" w:rsidR="00665165" w:rsidRPr="00F90EAE" w:rsidRDefault="00665165" w:rsidP="00F90EAE">
      <w:pPr>
        <w:autoSpaceDE w:val="0"/>
        <w:autoSpaceDN w:val="0"/>
        <w:adjustRightInd w:val="0"/>
        <w:jc w:val="both"/>
        <w:rPr>
          <w:color w:val="000000" w:themeColor="text1"/>
          <w:sz w:val="16"/>
          <w:szCs w:val="16"/>
        </w:rPr>
      </w:pPr>
    </w:p>
    <w:p w14:paraId="6B3919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 апреля 1945 вышло Постановление ГКО № 8024 О вывозе оборудования с немецкого завода по производству сверл в г. Торн. РГАНИР, Фонд ГКО, д. 388, лл. 126 (11012).</w:t>
      </w:r>
    </w:p>
    <w:p w14:paraId="089030A1" w14:textId="77777777" w:rsidR="00665165" w:rsidRPr="00F90EAE" w:rsidRDefault="00665165" w:rsidP="00F90EAE">
      <w:pPr>
        <w:autoSpaceDE w:val="0"/>
        <w:autoSpaceDN w:val="0"/>
        <w:adjustRightInd w:val="0"/>
        <w:jc w:val="both"/>
        <w:rPr>
          <w:color w:val="000000" w:themeColor="text1"/>
          <w:sz w:val="16"/>
          <w:szCs w:val="16"/>
        </w:rPr>
      </w:pPr>
    </w:p>
    <w:p w14:paraId="1EA64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8025 О вывозе материалов и оборудования из числа трофейного имущества, находящегося в Румынии. РГАНИР, Фонд ГКО, д. 388, лл. 127, 128 (11012).</w:t>
      </w:r>
    </w:p>
    <w:p w14:paraId="6C872105" w14:textId="77777777" w:rsidR="00665165" w:rsidRPr="00F90EAE" w:rsidRDefault="00665165" w:rsidP="00F90EAE">
      <w:pPr>
        <w:autoSpaceDE w:val="0"/>
        <w:autoSpaceDN w:val="0"/>
        <w:adjustRightInd w:val="0"/>
        <w:jc w:val="both"/>
        <w:rPr>
          <w:color w:val="000000" w:themeColor="text1"/>
          <w:sz w:val="16"/>
          <w:szCs w:val="16"/>
        </w:rPr>
      </w:pPr>
    </w:p>
    <w:p w14:paraId="170AAB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8026 О вывозе бумаги со складов 1-го Украинского фронта. РГАНИР, Фонд ГКО, д. 388, лл. 129 (11012).</w:t>
      </w:r>
    </w:p>
    <w:p w14:paraId="0F561959" w14:textId="77777777" w:rsidR="00665165" w:rsidRPr="00F90EAE" w:rsidRDefault="00665165" w:rsidP="00F90EAE">
      <w:pPr>
        <w:autoSpaceDE w:val="0"/>
        <w:autoSpaceDN w:val="0"/>
        <w:adjustRightInd w:val="0"/>
        <w:jc w:val="both"/>
        <w:rPr>
          <w:color w:val="000000" w:themeColor="text1"/>
          <w:sz w:val="16"/>
          <w:szCs w:val="16"/>
        </w:rPr>
      </w:pPr>
    </w:p>
    <w:p w14:paraId="751714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8027 О вывозе оборудования и материалов из Бактериологическо-сывороточного института в г. Ландсберг (Бранденбург). РГАНИР, Фонд ГКО, д. 388, лл. 130-131 (11012).</w:t>
      </w:r>
    </w:p>
    <w:p w14:paraId="1181AE55" w14:textId="77777777" w:rsidR="00665165" w:rsidRPr="00F90EAE" w:rsidRDefault="00665165" w:rsidP="00F90EAE">
      <w:pPr>
        <w:autoSpaceDE w:val="0"/>
        <w:autoSpaceDN w:val="0"/>
        <w:adjustRightInd w:val="0"/>
        <w:jc w:val="both"/>
        <w:rPr>
          <w:color w:val="000000" w:themeColor="text1"/>
          <w:sz w:val="16"/>
          <w:szCs w:val="16"/>
        </w:rPr>
      </w:pPr>
    </w:p>
    <w:p w14:paraId="3709B93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8028 О вывозе трофейного цианистого натрия со станции Мальч (Верхняя Силезия). (7321, 132).</w:t>
      </w:r>
    </w:p>
    <w:p w14:paraId="0B14222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6E95C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8029 О перешивке 160 километров железнодорожных линий в Верхней Силезии с западноевропейской на советскую колею для обеспечения вывоза оборудования и материалов с демонтируемых немецкий заводов. (7321, 133-134).</w:t>
      </w:r>
    </w:p>
    <w:p w14:paraId="1374867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57B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8030 О перепрессовке 1500 немецких трофейных вагонов с западноевропейской на советскую колею. РГАНИР, Фонд ГКО, д. 388, лл. 135-136 (11012).</w:t>
      </w:r>
    </w:p>
    <w:p w14:paraId="58F9A7AC" w14:textId="77777777" w:rsidR="00665165" w:rsidRPr="00F90EAE" w:rsidRDefault="00665165" w:rsidP="00F90EAE">
      <w:pPr>
        <w:autoSpaceDE w:val="0"/>
        <w:autoSpaceDN w:val="0"/>
        <w:adjustRightInd w:val="0"/>
        <w:jc w:val="both"/>
        <w:rPr>
          <w:color w:val="000000" w:themeColor="text1"/>
          <w:sz w:val="16"/>
          <w:szCs w:val="16"/>
        </w:rPr>
      </w:pPr>
    </w:p>
    <w:p w14:paraId="7CA25E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8031 Об организации железнодорожных перевалочных баз для оборудования и материалов, вывозимых с демонтируемых немецких предприятий. РГАНИР, Фонд ГКО, д. 388, лл. 137 (11012).</w:t>
      </w:r>
    </w:p>
    <w:p w14:paraId="7C04E03B" w14:textId="77777777" w:rsidR="00665165" w:rsidRPr="00F90EAE" w:rsidRDefault="00665165" w:rsidP="00F90EAE">
      <w:pPr>
        <w:autoSpaceDE w:val="0"/>
        <w:autoSpaceDN w:val="0"/>
        <w:adjustRightInd w:val="0"/>
        <w:jc w:val="both"/>
        <w:rPr>
          <w:color w:val="000000" w:themeColor="text1"/>
          <w:sz w:val="16"/>
          <w:szCs w:val="16"/>
        </w:rPr>
      </w:pPr>
    </w:p>
    <w:p w14:paraId="621B3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8032 Об организации складов временного хранения оборудования и материалов, вывозимых с демонтируемых немецких предприятий. РГАНИР, Фонд ГКО, д. 388, лл. 138-140 (11012).</w:t>
      </w:r>
    </w:p>
    <w:p w14:paraId="48BF3F22" w14:textId="77777777" w:rsidR="00665165" w:rsidRPr="00F90EAE" w:rsidRDefault="00665165" w:rsidP="00F90EAE">
      <w:pPr>
        <w:autoSpaceDE w:val="0"/>
        <w:autoSpaceDN w:val="0"/>
        <w:adjustRightInd w:val="0"/>
        <w:jc w:val="both"/>
        <w:rPr>
          <w:color w:val="000000" w:themeColor="text1"/>
          <w:sz w:val="16"/>
          <w:szCs w:val="16"/>
        </w:rPr>
      </w:pPr>
    </w:p>
    <w:p w14:paraId="6BE5E7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8033 Об организации Особого монтажного управления Наркомата Электростанций по демонтажу энергетического оборудования немецких электростанций. РГАНИР, Фонд ГКО, д. 388, лл. 141-144 (11012).</w:t>
      </w:r>
    </w:p>
    <w:p w14:paraId="6DDF8B90" w14:textId="77777777" w:rsidR="00665165" w:rsidRPr="00F90EAE" w:rsidRDefault="00665165" w:rsidP="00F90EAE">
      <w:pPr>
        <w:autoSpaceDE w:val="0"/>
        <w:autoSpaceDN w:val="0"/>
        <w:adjustRightInd w:val="0"/>
        <w:jc w:val="both"/>
        <w:rPr>
          <w:color w:val="000000" w:themeColor="text1"/>
          <w:sz w:val="16"/>
          <w:szCs w:val="16"/>
        </w:rPr>
      </w:pPr>
    </w:p>
    <w:p w14:paraId="33F9F9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вышло Постановление ГКО № 8034 Об организации Наркомхимпрома по демонтажу химических предприятий в Силезии. РГАНИР, Фонд ГКО, д. 388, лл. 145-148 (11012).</w:t>
      </w:r>
    </w:p>
    <w:p w14:paraId="17DD6DF7" w14:textId="77777777" w:rsidR="00665165" w:rsidRPr="00F90EAE" w:rsidRDefault="00665165" w:rsidP="00F90EAE">
      <w:pPr>
        <w:autoSpaceDE w:val="0"/>
        <w:autoSpaceDN w:val="0"/>
        <w:adjustRightInd w:val="0"/>
        <w:jc w:val="both"/>
        <w:rPr>
          <w:color w:val="000000" w:themeColor="text1"/>
          <w:sz w:val="16"/>
          <w:szCs w:val="16"/>
        </w:rPr>
      </w:pPr>
    </w:p>
    <w:p w14:paraId="24D06DA8"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СНК СССР принял постановление о строительстве в городе Кемерове химического комбината; ныне – АО «Азот» (15090).</w:t>
      </w:r>
    </w:p>
    <w:p w14:paraId="6B0B8019" w14:textId="77777777" w:rsidR="003028CD" w:rsidRPr="00F90EAE" w:rsidRDefault="003028CD" w:rsidP="00F90EAE">
      <w:pPr>
        <w:jc w:val="both"/>
        <w:rPr>
          <w:color w:val="000000" w:themeColor="text1"/>
          <w:sz w:val="16"/>
          <w:szCs w:val="16"/>
        </w:rPr>
      </w:pPr>
    </w:p>
    <w:p w14:paraId="333E368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4BE5478" w14:textId="77777777" w:rsidR="00665165" w:rsidRPr="00F90EAE" w:rsidRDefault="00665165" w:rsidP="00F90EAE">
      <w:pPr>
        <w:autoSpaceDE w:val="0"/>
        <w:autoSpaceDN w:val="0"/>
        <w:adjustRightInd w:val="0"/>
        <w:jc w:val="both"/>
        <w:rPr>
          <w:iCs/>
          <w:color w:val="000000" w:themeColor="text1"/>
          <w:sz w:val="16"/>
          <w:szCs w:val="16"/>
        </w:rPr>
      </w:pPr>
    </w:p>
    <w:p w14:paraId="44BB7CB9"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оперативная сводка Совинформбюро:</w:t>
      </w:r>
    </w:p>
    <w:p w14:paraId="67ACAC3B" w14:textId="77777777" w:rsidR="003028CD" w:rsidRPr="00F90EAE" w:rsidRDefault="003028CD" w:rsidP="00F90EAE">
      <w:pPr>
        <w:jc w:val="both"/>
        <w:rPr>
          <w:color w:val="000000" w:themeColor="text1"/>
          <w:sz w:val="16"/>
          <w:szCs w:val="16"/>
        </w:rPr>
      </w:pPr>
      <w:r w:rsidRPr="00F90EAE">
        <w:rPr>
          <w:color w:val="000000" w:themeColor="text1"/>
          <w:sz w:val="16"/>
          <w:szCs w:val="16"/>
        </w:rPr>
        <w:t>«В течение 5 апреля севернее Гдыни войска 2-го БелорусскогО фронта завершили ликвидацию остатков группы немецких войск, прижатых к побережью залива Путцигер Вик, заняв при этом населённые пункты Оксхефт, Облуш, Альт-Облуш, Погорш, Ной-Облуш, Бабидул, Коссанау, Пирвошин, Брюкк, Мехлинкен, Рева.</w:t>
      </w:r>
    </w:p>
    <w:p w14:paraId="66584A45" w14:textId="77777777" w:rsidR="003028CD" w:rsidRPr="00F90EAE" w:rsidRDefault="003028CD"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группы немецких войск.</w:t>
      </w:r>
    </w:p>
    <w:p w14:paraId="6426160D"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4-го Украинского фронта 5 апреля совместно с чехословацкими войсками овладели городом Ружомберок — важным узлом дорог и опорным пунктом обороны немцев на реке Ваг в Чехословакии, а также заняли город Живец и более 40 других населённых пунктов, в том числе крупные населённые пункты Ющына, Новоть, Ломна, Княжя, Дольны Кубин, Ясенова.</w:t>
      </w:r>
    </w:p>
    <w:p w14:paraId="2428DA86"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5 апреля овладели городами и важными железнодорожными узлами Малацки и Брук. Одновременно войска фронта совместно с румынскими войсками с боем заняли города Превидза и Бановце — сильные опорные пункты обороны немцев в полосе Карпат, а также заняли более 50 других населённых пунктов, среди которых крупные населённые пункты Склене, Брезаны, Бойнице, Кош, Новаки, Скачаны, Завада, Биксард, Со-Лошница, Зогор, Ступава, Ламач, Видрица, Петржалка, Вольфсталь, Гайнбург, Рорау и железнодорожные станции Склене, Новаки, Землянске Костоланы, Солошница, Зогор, Ступава, Ламач. В боях за Братиславу 4 апреля войска фронта взяли в плен более 2.500 солдат и офицеров противника и захватили полевых орудий — 150, миномётов — 65, пулемётов — 361, паровозов — 82, железнодорожных вагонов —1.681, складов с боеприпасами, вооружением и продовольствием — 71.</w:t>
      </w:r>
    </w:p>
    <w:p w14:paraId="4E540C70" w14:textId="77777777" w:rsidR="003028CD" w:rsidRPr="00F90EAE" w:rsidRDefault="003028CD" w:rsidP="00F90EAE">
      <w:pPr>
        <w:jc w:val="both"/>
        <w:rPr>
          <w:color w:val="000000" w:themeColor="text1"/>
          <w:sz w:val="16"/>
          <w:szCs w:val="16"/>
        </w:rPr>
      </w:pPr>
      <w:r w:rsidRPr="00F90EAE">
        <w:rPr>
          <w:color w:val="000000" w:themeColor="text1"/>
          <w:sz w:val="16"/>
          <w:szCs w:val="16"/>
        </w:rPr>
        <w:t>На Венском направлении войска 3-го Украинского фронта, преодолевая сопротивление противника, заняли населённые пункты Раухенварт, Унтер Лаа, Обер Лаа (4 километра южнее Вены), Лаксенбург, Гунтрамсдорф, Гумпольдскирхен, Хохротэрдорф, Брайтенфурт и перерезали автостраду Вена—Линц. Одновременно юго-западнее озера Балатон войска фронта, наступая совместно с войсками болгарской армии, заняли на территории Югославии город Дольни Лентава и более 40 других населённых пунктов, в числе которых Гентаровци, Мостье, Петишовци, Подтурек, Малая Суботица. В боях за 4 апреля войска фронта взяли в плен свыше 6.500 солдат и офицеров противника и захватили следующие трофеи: самолётов— 43, танков и самоходных орудий — 31, бронетранспортёров — 26, полевых орудий — 148, пулемётов — 440, автомашин — 150, паровозов — 42, железнодорожных вагонов — 760, складов с боеприпасами, вооружением и продовольствием — 28.</w:t>
      </w:r>
    </w:p>
    <w:p w14:paraId="096E02A7" w14:textId="77777777" w:rsidR="003028CD" w:rsidRPr="00F90EAE" w:rsidRDefault="003028CD"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5C686B9A" w14:textId="77777777" w:rsidR="003028CD" w:rsidRPr="00F90EAE" w:rsidRDefault="003028CD" w:rsidP="00F90EAE">
      <w:pPr>
        <w:jc w:val="both"/>
        <w:rPr>
          <w:color w:val="000000" w:themeColor="text1"/>
          <w:sz w:val="16"/>
          <w:szCs w:val="16"/>
        </w:rPr>
      </w:pPr>
      <w:r w:rsidRPr="00F90EAE">
        <w:rPr>
          <w:color w:val="000000" w:themeColor="text1"/>
          <w:sz w:val="16"/>
          <w:szCs w:val="16"/>
        </w:rPr>
        <w:t>За 4 апреля подбито и уничтожено 22 немецких танка. В воздушных боях и огнём зенитной артиллерии сбито 15 самолётов противника.</w:t>
      </w:r>
    </w:p>
    <w:p w14:paraId="2CF4CFDC"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2-го Белорусского фронта ликвидировали остатки группы немецких войск, прижатых к заливу Путцигер Вик севернее города Гдыни. В конце марта немецкие дивизии, разгромленные в боях за Гдыню, закрепились на прибрежном участке севернее города. Противник располагал выгодными для обороны позициями. Подступы к ним прикрывает заболоченная полоса шириной в два—четыре километра. Развернув бои по уничтожению окруженного противника, наши части на ряде участков преодолели заболоченную полосу и очистили от гитлеровцев лесной массив. Отражая вражеские контратаки, советские пехотинцы, поддержанные артиллерией и авиацией, захватили ряд дотов и выбили немцев из населённых пунктов Погорш и Облуш. Тесня гитлеровцев с севера, запада и юга, наши войска загнали противника на узкий прибрежный участок. Сегодня советские части овладели поселками Оксхефт, Мехлинкен, Рева и завершили ликвидацию группы войск противника. На поле боя остались тысячи вражеских трупов. Нашими войсками захвачены трофеи и много пленных.</w:t>
      </w:r>
    </w:p>
    <w:p w14:paraId="46D6E764" w14:textId="77777777" w:rsidR="003028CD" w:rsidRPr="00F90EAE" w:rsidRDefault="003028CD" w:rsidP="00F90EAE">
      <w:pPr>
        <w:jc w:val="both"/>
        <w:rPr>
          <w:color w:val="000000" w:themeColor="text1"/>
          <w:sz w:val="16"/>
          <w:szCs w:val="16"/>
        </w:rPr>
      </w:pPr>
      <w:r w:rsidRPr="00F90EAE">
        <w:rPr>
          <w:color w:val="000000" w:themeColor="text1"/>
          <w:sz w:val="16"/>
          <w:szCs w:val="16"/>
        </w:rPr>
        <w:t>Сегодня немецкое радио передало следующее сообщение: «В районе Гдыни мы добились полнейшего успеха в ходе своих оборонительных операций». В то время как Берлин передавал это сообщение, в районе Гдыни все операции были уже закончены, а остатки группы немецких войск были полностью ликвидированы.</w:t>
      </w:r>
    </w:p>
    <w:p w14:paraId="3D77B135" w14:textId="77777777" w:rsidR="003028CD" w:rsidRPr="00F90EAE" w:rsidRDefault="003028CD" w:rsidP="00F90EAE">
      <w:pPr>
        <w:jc w:val="both"/>
        <w:rPr>
          <w:color w:val="000000" w:themeColor="text1"/>
          <w:sz w:val="16"/>
          <w:szCs w:val="16"/>
        </w:rPr>
      </w:pPr>
      <w:r w:rsidRPr="00F90EAE">
        <w:rPr>
          <w:color w:val="000000" w:themeColor="text1"/>
          <w:sz w:val="16"/>
          <w:szCs w:val="16"/>
        </w:rPr>
        <w:t>4 и 5 апреля наши тяжёлые бомбардировщики наносили удары по военным объектам противника в городе Бреслау. В результате бомбардировки возникло много пожаров, сопровождавшихся сильными взрывами.</w:t>
      </w:r>
    </w:p>
    <w:p w14:paraId="33D61BD7"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4-го Украинского фронта с боями продвигались вперёд в трудных условиях горно-лесистой местности. Противник, укрепившись на высотах у дорог и долин, оказывает сильное огневое сопротивление. Наши стрелковые подразделения, сопровождаемые артиллерией, обходят опорные пункты немцев и атакуют их с флангов и тыла. Продвигаясь вдоль реки Ваг, советские части с боем овладели чехословацким городом Ружомберок—важным узлом путей сообщения. На одном участке бойцы стрелкового батальона капитана Синькова разгромили гарнизон немецкого опорного пункта и захватили 4 орудия, 17 миномётов и 36 пулемётов. В другом районе отряд во главе со старшиной Хомяковым зашёл в тыл противника. Наши бойцы внезапно атаковали врага и уничтожили 6 немецких пулемётов вместе с их расчётами.</w:t>
      </w:r>
    </w:p>
    <w:p w14:paraId="37F6DBED" w14:textId="77777777" w:rsidR="003028CD" w:rsidRPr="00F90EAE" w:rsidRDefault="003028CD"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Советские и румынские части, овладев вчера опорным пунктом обороны немцев Гандлова, устремились по горной долине к чехословацкому городу Превидза. Продвинувшись вперёд на 15 километров, наши войска сломили вражеские сопротивление и ворвались на улицы города. Всю ночь шли уличные бои, в ходе которых противник понёс большие потери. К утру наши части полностью овладели городом Превнидза — узлом железных и шоссейных дорог. Немцы лишились своего последнего опорного пункта на реке Нитра. Занят также чехословацкий город Бановце.</w:t>
      </w:r>
    </w:p>
    <w:p w14:paraId="145FDE41" w14:textId="77777777" w:rsidR="003028CD" w:rsidRPr="00F90EAE" w:rsidRDefault="003028CD" w:rsidP="00F90EAE">
      <w:pPr>
        <w:jc w:val="both"/>
        <w:rPr>
          <w:color w:val="000000" w:themeColor="text1"/>
          <w:sz w:val="16"/>
          <w:szCs w:val="16"/>
        </w:rPr>
      </w:pPr>
      <w:r w:rsidRPr="00F90EAE">
        <w:rPr>
          <w:color w:val="000000" w:themeColor="text1"/>
          <w:sz w:val="16"/>
          <w:szCs w:val="16"/>
        </w:rPr>
        <w:t>Советские пехотинцы, кавалеристы и танкисты, преодолев горы Малые Карпаты, вышли на равнинную местность, покрытую лесом. Попытки гитлеровцев задержать в этом районе наши наступающие части окончились неудачей. Наши войска отбросили немцев и в результате стремительной атаки овладели железнодорожным узлом и городом Малацки. Противник понёс большие потери и под ударами наших войск отступает к реке Морава.</w:t>
      </w:r>
    </w:p>
    <w:p w14:paraId="3CDE1E35" w14:textId="77777777" w:rsidR="003028CD" w:rsidRPr="00F90EAE" w:rsidRDefault="003028CD" w:rsidP="00F90EAE">
      <w:pPr>
        <w:jc w:val="both"/>
        <w:rPr>
          <w:color w:val="000000" w:themeColor="text1"/>
          <w:sz w:val="16"/>
          <w:szCs w:val="16"/>
        </w:rPr>
      </w:pPr>
      <w:r w:rsidRPr="00F90EAE">
        <w:rPr>
          <w:color w:val="000000" w:themeColor="text1"/>
          <w:sz w:val="16"/>
          <w:szCs w:val="16"/>
        </w:rPr>
        <w:t>Между Дунаем и озером Ферте (Нойзидлер-Зее) немцы бросили в бой резервы, в том числе сапёрные, зенитные и различные хозяйственные подразделения. Форсировав реку Лайта, советские части заняли город Брук и ряд других населённых пунктов. В этом районе уничтожено два батальона пехоты и 10 танков противника. Советские лётчики потопили в Дунае 2 немецких парохода и 3 баржи с военными грузами.</w:t>
      </w:r>
    </w:p>
    <w:p w14:paraId="3039B2BE" w14:textId="77777777" w:rsidR="003028CD" w:rsidRPr="00F90EAE" w:rsidRDefault="003028CD" w:rsidP="00F90EAE">
      <w:pPr>
        <w:jc w:val="both"/>
        <w:rPr>
          <w:color w:val="000000" w:themeColor="text1"/>
          <w:sz w:val="16"/>
          <w:szCs w:val="16"/>
        </w:rPr>
      </w:pPr>
      <w:r w:rsidRPr="00F90EAE">
        <w:rPr>
          <w:color w:val="000000" w:themeColor="text1"/>
          <w:sz w:val="16"/>
          <w:szCs w:val="16"/>
        </w:rPr>
        <w:t xml:space="preserve">На Венском направлении наши войска в результате ожесточённых боёв за переправы форсировали реку Вербах и, продвигаясь вперёд, овладели населённым пунктом Обер Лаа. Идут бои в полосе оборонительных укреплений противника, построенных у железнодорожного обвода Вены. Немцы, располагая крупными танковыми и </w:t>
      </w:r>
      <w:r w:rsidRPr="00F90EAE">
        <w:rPr>
          <w:color w:val="000000" w:themeColor="text1"/>
          <w:sz w:val="16"/>
          <w:szCs w:val="16"/>
        </w:rPr>
        <w:lastRenderedPageBreak/>
        <w:t>пехотными силами, оказывают упорное сопротивление. Они неоднократно бросались в контратаки. Все контратаки гитлеровцев отбиты с большими для них потерями. По неполным данным, за день боёв уничтожено свыше 5 тысяч немецких солдат и офицеров.» (15090).</w:t>
      </w:r>
    </w:p>
    <w:p w14:paraId="308AF48C" w14:textId="77777777" w:rsidR="003028CD" w:rsidRPr="00F90EAE" w:rsidRDefault="003028CD" w:rsidP="00F90EAE">
      <w:pPr>
        <w:jc w:val="both"/>
        <w:rPr>
          <w:color w:val="000000" w:themeColor="text1"/>
          <w:sz w:val="16"/>
          <w:szCs w:val="16"/>
        </w:rPr>
      </w:pPr>
    </w:p>
    <w:p w14:paraId="5DD46A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5 апреля 1945 108-й гшап приступил к усиленной отработке приемов ударов по наземным целям, а также к тренировкам в технике пилотирования. В течение одного дня в среднем выполнялось 20 - 30 полетов. Из 42 экипажей 108-го гшап, вылетевших к месту постоянного бази</w:t>
      </w:r>
      <w:r w:rsidRPr="00F90EAE">
        <w:rPr>
          <w:color w:val="000000" w:themeColor="text1"/>
          <w:sz w:val="16"/>
          <w:szCs w:val="16"/>
        </w:rPr>
        <w:softHyphen/>
        <w:t>рования, на аэродром Шпроттау в Силе-зии, сумели добраться только 25. При этом на посадке у Ил-10 старшего лей</w:t>
      </w:r>
      <w:r w:rsidRPr="00F90EAE">
        <w:rPr>
          <w:color w:val="000000" w:themeColor="text1"/>
          <w:sz w:val="16"/>
          <w:szCs w:val="16"/>
        </w:rPr>
        <w:softHyphen/>
        <w:t>тенанта Афанасьева сломался костыль. Самолет на пробеге развернуло влево, в результате снесло шасси, была по</w:t>
      </w:r>
      <w:r w:rsidRPr="00F90EAE">
        <w:rPr>
          <w:color w:val="000000" w:themeColor="text1"/>
          <w:sz w:val="16"/>
          <w:szCs w:val="16"/>
        </w:rPr>
        <w:softHyphen/>
        <w:t>вреждена правая плоскость, погнут винт, а в капюшоне вала редуктора об</w:t>
      </w:r>
      <w:r w:rsidRPr="00F90EAE">
        <w:rPr>
          <w:color w:val="000000" w:themeColor="text1"/>
          <w:sz w:val="16"/>
          <w:szCs w:val="16"/>
        </w:rPr>
        <w:softHyphen/>
        <w:t>разовалась трещина. Машину отправи</w:t>
      </w:r>
      <w:r w:rsidRPr="00F90EAE">
        <w:rPr>
          <w:color w:val="000000" w:themeColor="text1"/>
          <w:sz w:val="16"/>
          <w:szCs w:val="16"/>
        </w:rPr>
        <w:softHyphen/>
        <w:t>ли в ремонт. В тот же день в Шпроттау прибыл и наземный эшелон полка в со</w:t>
      </w:r>
      <w:r w:rsidRPr="00F90EAE">
        <w:rPr>
          <w:color w:val="000000" w:themeColor="text1"/>
          <w:sz w:val="16"/>
          <w:szCs w:val="16"/>
        </w:rPr>
        <w:softHyphen/>
        <w:t>ставе штаба, технического персонала и воздушных стрелков. Полк вошел в 6-ю гшад 2-й воздушной армии. Пока на фронте было затишье, реши</w:t>
      </w:r>
      <w:r w:rsidRPr="00F90EAE">
        <w:rPr>
          <w:color w:val="000000" w:themeColor="text1"/>
          <w:sz w:val="16"/>
          <w:szCs w:val="16"/>
        </w:rPr>
        <w:softHyphen/>
        <w:t>ли потренировать в боевом применении как «стариков», так и молодое пополне</w:t>
      </w:r>
      <w:r w:rsidRPr="00F90EAE">
        <w:rPr>
          <w:color w:val="000000" w:themeColor="text1"/>
          <w:sz w:val="16"/>
          <w:szCs w:val="16"/>
        </w:rPr>
        <w:softHyphen/>
        <w:t>ние (10681).</w:t>
      </w:r>
    </w:p>
    <w:p w14:paraId="38FF55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810D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Начиная с 5 апреля 1945 в 108 гшап началась уси</w:t>
      </w:r>
      <w:r w:rsidRPr="00F90EAE">
        <w:rPr>
          <w:color w:val="000000" w:themeColor="text1"/>
          <w:sz w:val="16"/>
          <w:szCs w:val="16"/>
        </w:rPr>
        <w:softHyphen/>
        <w:t>ленная отработка летным составом полка бомбоштурмовых ударов по на</w:t>
      </w:r>
      <w:r w:rsidRPr="00F90EAE">
        <w:rPr>
          <w:color w:val="000000" w:themeColor="text1"/>
          <w:sz w:val="16"/>
          <w:szCs w:val="16"/>
        </w:rPr>
        <w:softHyphen/>
        <w:t>земным целям, а также тренировка в технике пилотирования. В течение од</w:t>
      </w:r>
      <w:r w:rsidRPr="00F90EAE">
        <w:rPr>
          <w:color w:val="000000" w:themeColor="text1"/>
          <w:sz w:val="16"/>
          <w:szCs w:val="16"/>
        </w:rPr>
        <w:softHyphen/>
        <w:t>ного учебного дня в среднем выпол</w:t>
      </w:r>
      <w:r w:rsidRPr="00F90EAE">
        <w:rPr>
          <w:color w:val="000000" w:themeColor="text1"/>
          <w:sz w:val="16"/>
          <w:szCs w:val="16"/>
        </w:rPr>
        <w:softHyphen/>
        <w:t>нялось около 20-30 учебно-трениро</w:t>
      </w:r>
      <w:r w:rsidRPr="00F90EAE">
        <w:rPr>
          <w:color w:val="000000" w:themeColor="text1"/>
          <w:sz w:val="16"/>
          <w:szCs w:val="16"/>
        </w:rPr>
        <w:softHyphen/>
        <w:t>вочных полетов на Ил-10 (11157).</w:t>
      </w:r>
    </w:p>
    <w:p w14:paraId="0FEC48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9956F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5th, 1945: The Soviet 3rd Ukrainian Front reaches the outskirts of Vienna which has minimal German forces to defend it. In the West, the French First Army (de Tassigny) captures Karlsruhe on the upper Rine. The US 8th Air Force carries out another heavy attack (450 bombers) against Kiel which causes severe damage to the cruisers Hipper and Emden (3819).</w:t>
      </w:r>
    </w:p>
    <w:p w14:paraId="73AAF8AE" w14:textId="77777777" w:rsidR="00665165" w:rsidRPr="00F90EAE" w:rsidRDefault="00665165" w:rsidP="00F90EAE">
      <w:pPr>
        <w:autoSpaceDE w:val="0"/>
        <w:autoSpaceDN w:val="0"/>
        <w:adjustRightInd w:val="0"/>
        <w:jc w:val="both"/>
        <w:rPr>
          <w:color w:val="000000" w:themeColor="text1"/>
          <w:sz w:val="16"/>
          <w:szCs w:val="16"/>
          <w:lang w:val="en-US"/>
        </w:rPr>
      </w:pPr>
    </w:p>
    <w:p w14:paraId="01132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3УФ достиг окрестностей Вены, которую почти не обороняли. Французская 1А заняла Карлсруэ на Верхнем Рейне. 8ВА США выполнила повторный налет на Киль силами 450 б и повредила крейсера Хиппер и Эмден (3819).</w:t>
      </w:r>
    </w:p>
    <w:p w14:paraId="56615FAB" w14:textId="77777777" w:rsidR="00665165" w:rsidRPr="00F90EAE" w:rsidRDefault="00665165" w:rsidP="00F90EAE">
      <w:pPr>
        <w:autoSpaceDE w:val="0"/>
        <w:autoSpaceDN w:val="0"/>
        <w:adjustRightInd w:val="0"/>
        <w:jc w:val="both"/>
        <w:rPr>
          <w:color w:val="000000" w:themeColor="text1"/>
          <w:sz w:val="16"/>
          <w:szCs w:val="16"/>
        </w:rPr>
      </w:pPr>
    </w:p>
    <w:p w14:paraId="70A00F7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77E468F" w14:textId="77777777" w:rsidR="00665165" w:rsidRPr="00F90EAE" w:rsidRDefault="00665165" w:rsidP="00F90EAE">
      <w:pPr>
        <w:autoSpaceDE w:val="0"/>
        <w:autoSpaceDN w:val="0"/>
        <w:adjustRightInd w:val="0"/>
        <w:jc w:val="both"/>
        <w:rPr>
          <w:iCs/>
          <w:color w:val="000000" w:themeColor="text1"/>
          <w:sz w:val="16"/>
          <w:szCs w:val="16"/>
        </w:rPr>
      </w:pPr>
    </w:p>
    <w:p w14:paraId="5265BF6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апреля 1945 СССР денонсировал договор о ненападении с Японией (4962).</w:t>
      </w:r>
    </w:p>
    <w:p w14:paraId="246BC78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D15C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СССР денонсировал договор с Японией (340,220).</w:t>
      </w:r>
    </w:p>
    <w:p w14:paraId="5BD5B280" w14:textId="77777777" w:rsidR="00665165" w:rsidRPr="00F90EAE" w:rsidRDefault="00665165" w:rsidP="00F90EAE">
      <w:pPr>
        <w:autoSpaceDE w:val="0"/>
        <w:autoSpaceDN w:val="0"/>
        <w:adjustRightInd w:val="0"/>
        <w:jc w:val="both"/>
        <w:rPr>
          <w:color w:val="000000" w:themeColor="text1"/>
          <w:sz w:val="16"/>
          <w:szCs w:val="16"/>
        </w:rPr>
      </w:pPr>
    </w:p>
    <w:p w14:paraId="302DAD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г. СССР направил японскому правительству ноту, в которой извещал его о денонсации договора 1940 г.</w:t>
      </w:r>
    </w:p>
    <w:p w14:paraId="63730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Аргументируя свою позицию, советская сторона ссылалась на нарушения Японией духа и отчасти буквы договора о нейтралитете, а так же на изменившиеся международные обстоятельства. В ноте отмечалось, что Япония помогала Германии, когда та вела войну с Советским Союзом. В то же время Япония находилась в состоянии войны с США и Великобританией, которые стали союзниками СССР. Кроме того, советская сторона указывала на случаи задержки и потопления японскими военными кораблями советских гражданских судов (доставлявших грузы для воевавшего с Японией Китая), инциденты на границе и т.п.</w:t>
      </w:r>
    </w:p>
    <w:p w14:paraId="4FC7F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Заявив об отказе от продления пакта о нейтралитете, советская сторона одновременно уклонилась от разъяснения вопроса о том, будет ли она его соблюдать до апреля 1946 г., как это должно было следовать из текста договора, или же станет считать себя свободной от соответствующих обязательств немедленно. С юридической точки зрения вступление СССР в войну против Японии до апреля 1946 г. было явным нарушением (3871).</w:t>
      </w:r>
    </w:p>
    <w:p w14:paraId="4637E322" w14:textId="77777777" w:rsidR="00665165" w:rsidRPr="00F90EAE" w:rsidRDefault="00665165" w:rsidP="00F90EAE">
      <w:pPr>
        <w:autoSpaceDE w:val="0"/>
        <w:autoSpaceDN w:val="0"/>
        <w:adjustRightInd w:val="0"/>
        <w:jc w:val="both"/>
        <w:rPr>
          <w:color w:val="000000" w:themeColor="text1"/>
          <w:sz w:val="16"/>
          <w:szCs w:val="16"/>
        </w:rPr>
      </w:pPr>
    </w:p>
    <w:p w14:paraId="69116E95"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в соответствии с договоренностями, достигнутыми на Ялтинской конференции, Советский Союз денонсировал пакт о нейтралитете с Японией, заключенный 13 апреля 1941 года. И.В.Сталин обещал Ф.Д.Рузвельту и У.Черчиллю напасть на Японию через два-три месяца после завершения войны в Европе и свое обещание выполнил. Денонсировав пакт, советское правительство за четыре месяца до согласованного с союзниками срока вступления в войну фактически информировало японское правительство о возможности участия СССР в войне с Японией. После этого японский МИД стал настойчиво выступать за то, чтобы принять все требования, которые может выдвинуть СССР в качестве условия сохранения своего нейтралитета (15090).</w:t>
      </w:r>
    </w:p>
    <w:p w14:paraId="5CCC4529" w14:textId="77777777" w:rsidR="003028CD" w:rsidRPr="00F90EAE" w:rsidRDefault="003028CD" w:rsidP="00F90EAE">
      <w:pPr>
        <w:jc w:val="both"/>
        <w:rPr>
          <w:color w:val="000000" w:themeColor="text1"/>
          <w:sz w:val="16"/>
          <w:szCs w:val="16"/>
        </w:rPr>
      </w:pPr>
    </w:p>
    <w:p w14:paraId="2386197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A8C2027" w14:textId="77777777" w:rsidR="00665165" w:rsidRPr="00F90EAE" w:rsidRDefault="00665165" w:rsidP="00F90EAE">
      <w:pPr>
        <w:autoSpaceDE w:val="0"/>
        <w:autoSpaceDN w:val="0"/>
        <w:adjustRightInd w:val="0"/>
        <w:jc w:val="both"/>
        <w:rPr>
          <w:iCs/>
          <w:color w:val="000000" w:themeColor="text1"/>
          <w:sz w:val="16"/>
          <w:szCs w:val="16"/>
        </w:rPr>
      </w:pPr>
    </w:p>
    <w:p w14:paraId="1CBA7946" w14:textId="77777777" w:rsidR="003028CD" w:rsidRPr="00F90EAE" w:rsidRDefault="003028CD" w:rsidP="00F90EAE">
      <w:pPr>
        <w:jc w:val="both"/>
        <w:rPr>
          <w:color w:val="000000" w:themeColor="text1"/>
          <w:sz w:val="16"/>
          <w:szCs w:val="16"/>
        </w:rPr>
      </w:pPr>
      <w:r w:rsidRPr="00F90EAE">
        <w:rPr>
          <w:bCs/>
          <w:color w:val="000000" w:themeColor="text1"/>
          <w:sz w:val="16"/>
          <w:szCs w:val="16"/>
        </w:rPr>
        <w:t>5 апреля</w:t>
      </w:r>
      <w:r w:rsidRPr="00F90EAE">
        <w:rPr>
          <w:color w:val="000000" w:themeColor="text1"/>
          <w:sz w:val="16"/>
          <w:szCs w:val="16"/>
        </w:rPr>
        <w:t xml:space="preserve"> в 1945 году потерпел аварию третий прототип «XFR-1» американского палубного истребителя – бомбардировщика </w:t>
      </w:r>
      <w:hyperlink r:id="rId95" w:tgtFrame="_blank" w:history="1">
        <w:r w:rsidRPr="00F90EAE">
          <w:rPr>
            <w:color w:val="000000" w:themeColor="text1"/>
            <w:sz w:val="16"/>
            <w:szCs w:val="16"/>
          </w:rPr>
          <w:t xml:space="preserve">«FR» «Fireball» </w:t>
        </w:r>
      </w:hyperlink>
      <w:r w:rsidRPr="00F90EAE">
        <w:rPr>
          <w:color w:val="000000" w:themeColor="text1"/>
          <w:sz w:val="16"/>
          <w:szCs w:val="16"/>
        </w:rPr>
        <w:t>во время скоростного полета. В этом случае оторвалась часть носка крыла, и воздушный поток, прорвавшись в фюзеляж, сорвал фонарь кабины. Летчик Дин Лэйк немедленно перевернул самолет на спину и выпрыгнул с парашютом. После этого на всех серийных самолетах усилили конструкцию носка крыла, а эксплуатационная перегрузка была снижена с 7,5 до 5,0 (15090).</w:t>
      </w:r>
    </w:p>
    <w:p w14:paraId="38CB24A2" w14:textId="77777777" w:rsidR="003028CD" w:rsidRPr="00F90EAE" w:rsidRDefault="003028CD" w:rsidP="00F90EAE">
      <w:pPr>
        <w:jc w:val="both"/>
        <w:rPr>
          <w:color w:val="000000" w:themeColor="text1"/>
          <w:sz w:val="16"/>
          <w:szCs w:val="16"/>
        </w:rPr>
      </w:pPr>
    </w:p>
    <w:p w14:paraId="644929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 Кошице приступило к работе созданное 19 марта правительство Чехословакии (3186).</w:t>
      </w:r>
    </w:p>
    <w:p w14:paraId="65BC8FE3" w14:textId="77777777" w:rsidR="00665165" w:rsidRPr="00F90EAE" w:rsidRDefault="00665165" w:rsidP="00F90EAE">
      <w:pPr>
        <w:autoSpaceDE w:val="0"/>
        <w:autoSpaceDN w:val="0"/>
        <w:adjustRightInd w:val="0"/>
        <w:jc w:val="both"/>
        <w:rPr>
          <w:color w:val="000000" w:themeColor="text1"/>
          <w:sz w:val="16"/>
          <w:szCs w:val="16"/>
        </w:rPr>
      </w:pPr>
    </w:p>
    <w:p w14:paraId="0DE8E5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в результате правительственного кризиса в Японии премьер министром стал а Сузуки (2248,4).</w:t>
      </w:r>
    </w:p>
    <w:p w14:paraId="3AC04BD5" w14:textId="77777777" w:rsidR="00665165" w:rsidRPr="00F90EAE" w:rsidRDefault="00665165" w:rsidP="00F90EAE">
      <w:pPr>
        <w:autoSpaceDE w:val="0"/>
        <w:autoSpaceDN w:val="0"/>
        <w:adjustRightInd w:val="0"/>
        <w:jc w:val="both"/>
        <w:rPr>
          <w:color w:val="000000" w:themeColor="text1"/>
          <w:sz w:val="16"/>
          <w:szCs w:val="16"/>
        </w:rPr>
      </w:pPr>
    </w:p>
    <w:p w14:paraId="7E29FB5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B9D7947" w14:textId="77777777" w:rsidR="00665165" w:rsidRPr="00F90EAE" w:rsidRDefault="00665165" w:rsidP="00F90EAE">
      <w:pPr>
        <w:autoSpaceDE w:val="0"/>
        <w:autoSpaceDN w:val="0"/>
        <w:adjustRightInd w:val="0"/>
        <w:jc w:val="both"/>
        <w:rPr>
          <w:iCs/>
          <w:color w:val="000000" w:themeColor="text1"/>
          <w:sz w:val="16"/>
          <w:szCs w:val="16"/>
        </w:rPr>
      </w:pPr>
    </w:p>
    <w:p w14:paraId="534265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был совершен первый полет Су-5 (237,206) - И-105 П.О.С., который выполнил л-и Г.И.Комаров (197,31). Испытания проходили до 15 июля 1945 (656,319). Выполнили 42 полета, в т.ч. 11 с ВРД (3808,85).</w:t>
      </w:r>
    </w:p>
    <w:p w14:paraId="354618C5" w14:textId="77777777" w:rsidR="00665165" w:rsidRPr="00F90EAE" w:rsidRDefault="00665165" w:rsidP="00F90EAE">
      <w:pPr>
        <w:autoSpaceDE w:val="0"/>
        <w:autoSpaceDN w:val="0"/>
        <w:adjustRightInd w:val="0"/>
        <w:jc w:val="both"/>
        <w:rPr>
          <w:color w:val="000000" w:themeColor="text1"/>
          <w:sz w:val="16"/>
          <w:szCs w:val="16"/>
        </w:rPr>
      </w:pPr>
    </w:p>
    <w:p w14:paraId="5D3102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апреля 1945 г., после по</w:t>
      </w:r>
      <w:r w:rsidRPr="00F90EAE">
        <w:rPr>
          <w:color w:val="000000" w:themeColor="text1"/>
          <w:sz w:val="16"/>
          <w:szCs w:val="16"/>
        </w:rPr>
        <w:softHyphen/>
        <w:t>лучения разрешения, состоялся пер</w:t>
      </w:r>
      <w:r w:rsidRPr="00F90EAE">
        <w:rPr>
          <w:color w:val="000000" w:themeColor="text1"/>
          <w:sz w:val="16"/>
          <w:szCs w:val="16"/>
        </w:rPr>
        <w:softHyphen/>
        <w:t>вый полет экспериментального истре</w:t>
      </w:r>
      <w:r w:rsidRPr="00F90EAE">
        <w:rPr>
          <w:color w:val="000000" w:themeColor="text1"/>
          <w:sz w:val="16"/>
          <w:szCs w:val="16"/>
        </w:rPr>
        <w:softHyphen/>
        <w:t>бителя Су-5. Начались заводские лет</w:t>
      </w:r>
      <w:r w:rsidRPr="00F90EAE">
        <w:rPr>
          <w:color w:val="000000" w:themeColor="text1"/>
          <w:sz w:val="16"/>
          <w:szCs w:val="16"/>
        </w:rPr>
        <w:softHyphen/>
        <w:t>ные испытания (10669).</w:t>
      </w:r>
    </w:p>
    <w:p w14:paraId="3C4825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E25F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апреля 1945 г. первый полет на самолете, получив</w:t>
      </w:r>
      <w:r w:rsidRPr="00F90EAE">
        <w:rPr>
          <w:color w:val="000000" w:themeColor="text1"/>
          <w:sz w:val="16"/>
          <w:szCs w:val="16"/>
        </w:rPr>
        <w:softHyphen/>
        <w:t>шем обозначение Су-5, выполнил заводской лет</w:t>
      </w:r>
      <w:r w:rsidRPr="00F90EAE">
        <w:rPr>
          <w:color w:val="000000" w:themeColor="text1"/>
          <w:sz w:val="16"/>
          <w:szCs w:val="16"/>
        </w:rPr>
        <w:softHyphen/>
        <w:t>чик-испытатель Г.Н. Комаров. Заводские испытания с пе</w:t>
      </w:r>
      <w:r w:rsidRPr="00F90EAE">
        <w:rPr>
          <w:color w:val="000000" w:themeColor="text1"/>
          <w:sz w:val="16"/>
          <w:szCs w:val="16"/>
        </w:rPr>
        <w:softHyphen/>
        <w:t>рерывом продолжались до конца октяб</w:t>
      </w:r>
      <w:r w:rsidRPr="00F90EAE">
        <w:rPr>
          <w:color w:val="000000" w:themeColor="text1"/>
          <w:sz w:val="16"/>
          <w:szCs w:val="16"/>
        </w:rPr>
        <w:softHyphen/>
        <w:t>ря. За этот период было выполнено 42 полета, из них - одиннадцать с включе</w:t>
      </w:r>
      <w:r w:rsidRPr="00F90EAE">
        <w:rPr>
          <w:color w:val="000000" w:themeColor="text1"/>
          <w:sz w:val="16"/>
          <w:szCs w:val="16"/>
        </w:rPr>
        <w:softHyphen/>
        <w:t>нием ВРДК. Полученная максимальная скорость оказалась на 18-20% ниже расчетной. Поэтому второй летный экземпляр само</w:t>
      </w:r>
      <w:r w:rsidRPr="00F90EAE">
        <w:rPr>
          <w:color w:val="000000" w:themeColor="text1"/>
          <w:sz w:val="16"/>
          <w:szCs w:val="16"/>
        </w:rPr>
        <w:softHyphen/>
        <w:t>лета по завершению постройки передали в ЦАГИ для аэродинамических исследо</w:t>
      </w:r>
      <w:r w:rsidRPr="00F90EAE">
        <w:rPr>
          <w:color w:val="000000" w:themeColor="text1"/>
          <w:sz w:val="16"/>
          <w:szCs w:val="16"/>
        </w:rPr>
        <w:softHyphen/>
        <w:t>ваний в трубе Т-101 (10719).</w:t>
      </w:r>
    </w:p>
    <w:p w14:paraId="257619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EACBF80"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6 апреля 1945 первым полетом эксперимен тального истребителя Су-5 были начаты заводские летные испытания.</w:t>
      </w:r>
    </w:p>
    <w:p w14:paraId="043B63ED"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17 апреля 1945 г., с некоторым опозданием, была утверж дена бригада по обслуживанию летных испытаний, в которую от завода № 134 вошли: летчик-испытатель — Г.И. Комаров, ведущий инженер по самолету — С.Я. Горбунов, бортмеха ник — А.М.Зуев и моторист — И.Н. Осипенко, а ЦИАМ пред ставляли: ведущий инженер по ВРДК — А.И. Комиссаров и механик Мазанов.</w:t>
      </w:r>
    </w:p>
    <w:p w14:paraId="75752714"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Испытания самолета проводились на Тушинском аэродро ме. 15 июня из-за аварии двигателя ВК-107А испытания были прекращены. К этому моменту были выполнены 23 полета с общим налетом 8 ч. 50 мин.</w:t>
      </w:r>
    </w:p>
    <w:p w14:paraId="2A691C02"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 результатам испытаний был выпущен отчет:</w:t>
      </w:r>
    </w:p>
    <w:p w14:paraId="1D644861"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2B3967F0"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2. Управляемость и устойчивость самолета на различных скоростях и эволюциях — нормальная.</w:t>
      </w:r>
    </w:p>
    <w:p w14:paraId="54552C97"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629C84DB"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9A1A3E5"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391955F8" w14:textId="77777777" w:rsidR="009104CE" w:rsidRPr="00F90EAE" w:rsidRDefault="009104C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1C03D367" w14:textId="77777777" w:rsidR="009104CE" w:rsidRPr="00F90EAE" w:rsidRDefault="009104CE" w:rsidP="00F90EAE">
      <w:pPr>
        <w:pStyle w:val="ae"/>
        <w:shd w:val="clear" w:color="auto" w:fill="FFFFFF"/>
        <w:spacing w:before="0" w:after="0"/>
        <w:jc w:val="both"/>
        <w:rPr>
          <w:color w:val="000000" w:themeColor="text1"/>
          <w:sz w:val="16"/>
          <w:szCs w:val="16"/>
        </w:rPr>
      </w:pPr>
    </w:p>
    <w:p w14:paraId="59D1D4C2" w14:textId="77777777" w:rsidR="00A752EF" w:rsidRPr="00F90EAE" w:rsidRDefault="00A752EF" w:rsidP="00F90EAE">
      <w:pPr>
        <w:jc w:val="both"/>
        <w:rPr>
          <w:color w:val="000000" w:themeColor="text1"/>
          <w:sz w:val="16"/>
          <w:szCs w:val="16"/>
        </w:rPr>
      </w:pPr>
      <w:r w:rsidRPr="00F90EAE">
        <w:rPr>
          <w:bCs/>
          <w:color w:val="000000" w:themeColor="text1"/>
          <w:sz w:val="16"/>
          <w:szCs w:val="16"/>
        </w:rPr>
        <w:t>6 апреля</w:t>
      </w:r>
      <w:r w:rsidRPr="00F90EAE">
        <w:rPr>
          <w:color w:val="000000" w:themeColor="text1"/>
          <w:sz w:val="16"/>
          <w:szCs w:val="16"/>
        </w:rPr>
        <w:t xml:space="preserve"> в 1945 году заводской летчик-испытатель Г.Н.Комаров выполнил первый полет на самолете, получившем обозначение </w:t>
      </w:r>
      <w:hyperlink r:id="rId96" w:tgtFrame="_blank" w:history="1">
        <w:r w:rsidRPr="00F90EAE">
          <w:rPr>
            <w:color w:val="000000" w:themeColor="text1"/>
            <w:sz w:val="16"/>
            <w:szCs w:val="16"/>
          </w:rPr>
          <w:t xml:space="preserve">«Су-5». </w:t>
        </w:r>
      </w:hyperlink>
      <w:r w:rsidRPr="00F90EAE">
        <w:rPr>
          <w:color w:val="000000" w:themeColor="text1"/>
          <w:sz w:val="16"/>
          <w:szCs w:val="16"/>
        </w:rPr>
        <w:t xml:space="preserve">Заводские испытания с перерывом продолжались до конца октября. За этот период было выполнено 42 полета, из них - одиннадцать с включением ВРДК. Полученная максимальная скорость оказалась на 18-20% ниже расчетной. Поэтому второй летный экземпляр самолета по завершению постройки передали в ЦАГИ для аэродинамических исследований </w:t>
      </w:r>
      <w:r w:rsidRPr="00F90EAE">
        <w:rPr>
          <w:color w:val="000000" w:themeColor="text1"/>
          <w:sz w:val="16"/>
          <w:szCs w:val="16"/>
        </w:rPr>
        <w:lastRenderedPageBreak/>
        <w:t xml:space="preserve">в трубе «Т-101». В ноябре 1946 года постановлением правительства были прекращены работы по ряду самолетов, потерявших актуальность, среди них оказался и </w:t>
      </w:r>
      <w:hyperlink r:id="rId97" w:tgtFrame="_blank" w:history="1">
        <w:r w:rsidRPr="00F90EAE">
          <w:rPr>
            <w:color w:val="000000" w:themeColor="text1"/>
            <w:sz w:val="16"/>
            <w:szCs w:val="16"/>
          </w:rPr>
          <w:t xml:space="preserve">«Су-5». </w:t>
        </w:r>
      </w:hyperlink>
    </w:p>
    <w:p w14:paraId="61DBF51C" w14:textId="77777777" w:rsidR="00A752EF" w:rsidRPr="00F90EAE" w:rsidRDefault="00A752EF" w:rsidP="00F90EAE">
      <w:pPr>
        <w:jc w:val="both"/>
        <w:rPr>
          <w:color w:val="000000" w:themeColor="text1"/>
          <w:sz w:val="16"/>
          <w:szCs w:val="16"/>
        </w:rPr>
      </w:pPr>
    </w:p>
    <w:p w14:paraId="4E571C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А.П.Деев выполнил второй полет на И-250 с уборкой шасси (6471, 7).</w:t>
      </w:r>
    </w:p>
    <w:p w14:paraId="7EF98278" w14:textId="77777777" w:rsidR="00665165" w:rsidRPr="00F90EAE" w:rsidRDefault="00665165" w:rsidP="00F90EAE">
      <w:pPr>
        <w:autoSpaceDE w:val="0"/>
        <w:autoSpaceDN w:val="0"/>
        <w:adjustRightInd w:val="0"/>
        <w:jc w:val="both"/>
        <w:rPr>
          <w:color w:val="000000" w:themeColor="text1"/>
          <w:sz w:val="16"/>
          <w:szCs w:val="16"/>
        </w:rPr>
      </w:pPr>
    </w:p>
    <w:p w14:paraId="450F42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закончились специальные летные испытания пушечного вооружения 2-х с-тов Ла-7 №№ 38102660 и 38108459 по три модифицированных пушки калибра 20мм (Б-20с) производства завода № 381, которые проходили с 26 марта.</w:t>
      </w:r>
    </w:p>
    <w:p w14:paraId="7569E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Выполнили 30 полетов, настрел - 6635 выстрелов.</w:t>
      </w:r>
    </w:p>
    <w:p w14:paraId="7C13A6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Исполнитель ви 7 отд. 1У ГК НИИ ВВС и-м В.А.Березин</w:t>
      </w:r>
    </w:p>
    <w:p w14:paraId="18D45A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И 1 от-я 4 У ГК НИИ ВВС Г.В.Минеев</w:t>
      </w:r>
    </w:p>
    <w:p w14:paraId="2594D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5B136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123FEC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3971FE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653933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5E7B46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3A5D7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2EBF1F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Прошаков, Кубышкин (741,4).</w:t>
      </w:r>
    </w:p>
    <w:p w14:paraId="753015ED" w14:textId="77777777" w:rsidR="00665165" w:rsidRPr="00F90EAE" w:rsidRDefault="00665165" w:rsidP="00F90EAE">
      <w:pPr>
        <w:autoSpaceDE w:val="0"/>
        <w:autoSpaceDN w:val="0"/>
        <w:adjustRightInd w:val="0"/>
        <w:jc w:val="both"/>
        <w:rPr>
          <w:color w:val="000000" w:themeColor="text1"/>
          <w:sz w:val="16"/>
          <w:szCs w:val="16"/>
        </w:rPr>
      </w:pPr>
    </w:p>
    <w:p w14:paraId="50C62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8037. О досрочном освобождении 1500 заключенных и направлении их на завод № 153 НКАП. РГАНИР, Фонд ГКО, д. 388, лл. 151 (11012).</w:t>
      </w:r>
    </w:p>
    <w:p w14:paraId="5CEAE8C9" w14:textId="77777777" w:rsidR="00665165" w:rsidRPr="00F90EAE" w:rsidRDefault="00665165" w:rsidP="00F90EAE">
      <w:pPr>
        <w:autoSpaceDE w:val="0"/>
        <w:autoSpaceDN w:val="0"/>
        <w:adjustRightInd w:val="0"/>
        <w:jc w:val="both"/>
        <w:rPr>
          <w:color w:val="000000" w:themeColor="text1"/>
          <w:sz w:val="16"/>
          <w:szCs w:val="16"/>
        </w:rPr>
      </w:pPr>
    </w:p>
    <w:p w14:paraId="3AF141A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471A82C" w14:textId="77777777" w:rsidR="00665165" w:rsidRPr="00F90EAE" w:rsidRDefault="00665165" w:rsidP="00F90EAE">
      <w:pPr>
        <w:autoSpaceDE w:val="0"/>
        <w:autoSpaceDN w:val="0"/>
        <w:adjustRightInd w:val="0"/>
        <w:jc w:val="both"/>
        <w:rPr>
          <w:iCs/>
          <w:color w:val="000000" w:themeColor="text1"/>
          <w:sz w:val="16"/>
          <w:szCs w:val="16"/>
        </w:rPr>
      </w:pPr>
    </w:p>
    <w:p w14:paraId="274D72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период с 6 по 27 апреля 1945 Т-34 со 100мм пушкой Д-10Т совместно с танком Т-34, оснащен</w:t>
      </w:r>
      <w:r w:rsidRPr="00F90EAE">
        <w:rPr>
          <w:color w:val="000000" w:themeColor="text1"/>
          <w:sz w:val="16"/>
          <w:szCs w:val="16"/>
        </w:rPr>
        <w:softHyphen/>
        <w:t>ным 100-мм пушкой ЛБ-1 (ОКБ завода № 92) успешно прошел сравнительные испытания на ГАНИОПс. В связи с тем, что 100-мм пушка рассматривалась в качестве основного оружия для среднего тан</w:t>
      </w:r>
      <w:r w:rsidRPr="00F90EAE">
        <w:rPr>
          <w:color w:val="000000" w:themeColor="text1"/>
          <w:sz w:val="16"/>
          <w:szCs w:val="16"/>
        </w:rPr>
        <w:softHyphen/>
        <w:t>ка Т-54, имевшего более мощное бронирование, чем танк Т-34, вопрос о ее постановке в средний танк Т-34 командованием БТ и МВ перед про</w:t>
      </w:r>
      <w:r w:rsidRPr="00F90EAE">
        <w:rPr>
          <w:color w:val="000000" w:themeColor="text1"/>
          <w:sz w:val="16"/>
          <w:szCs w:val="16"/>
        </w:rPr>
        <w:softHyphen/>
        <w:t>мышленностью не поднимался. Танк на вооружение не принимался и в серийном производстве не состоял (10703).</w:t>
      </w:r>
    </w:p>
    <w:p w14:paraId="612AD2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2CC075E" w14:textId="77777777" w:rsidR="00BA2B8F" w:rsidRPr="00F90EAE" w:rsidRDefault="00BA2B8F" w:rsidP="00F90EAE">
      <w:pPr>
        <w:jc w:val="both"/>
        <w:rPr>
          <w:color w:val="000000" w:themeColor="text1"/>
          <w:sz w:val="16"/>
          <w:szCs w:val="16"/>
        </w:rPr>
      </w:pPr>
      <w:r w:rsidRPr="00F90EAE">
        <w:rPr>
          <w:color w:val="000000" w:themeColor="text1"/>
          <w:sz w:val="16"/>
          <w:szCs w:val="16"/>
        </w:rPr>
        <w:t>С 6 по 12 апреля 1945 в Т-34-100 испытывали (1000 выстрелов и 501 километр пробега) 100-мм пушку ЛБ-1, спроектированную в конструкторском бюро завода № 92. Орудие испытание выдержало, при этом отмечалось, что «прочность и надежность в работе в целом удовлетворительны».</w:t>
      </w:r>
    </w:p>
    <w:p w14:paraId="284370A6" w14:textId="77777777" w:rsidR="00BA2B8F" w:rsidRPr="00F90EAE" w:rsidRDefault="00BA2B8F" w:rsidP="00F90EAE">
      <w:pPr>
        <w:jc w:val="both"/>
        <w:rPr>
          <w:color w:val="000000" w:themeColor="text1"/>
          <w:sz w:val="16"/>
          <w:szCs w:val="16"/>
        </w:rPr>
      </w:pPr>
      <w:r w:rsidRPr="00F90EAE">
        <w:rPr>
          <w:color w:val="000000" w:themeColor="text1"/>
          <w:sz w:val="16"/>
          <w:szCs w:val="16"/>
        </w:rPr>
        <w:t>Чуть позже - 23-29 апреля 1945 года — в той же машине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3E455F6E" w14:textId="77777777" w:rsidR="00BA2B8F" w:rsidRPr="00F90EAE" w:rsidRDefault="00BA2B8F" w:rsidP="00F90EAE">
      <w:pPr>
        <w:jc w:val="both"/>
        <w:rPr>
          <w:color w:val="000000" w:themeColor="text1"/>
          <w:sz w:val="16"/>
          <w:szCs w:val="16"/>
        </w:rPr>
      </w:pPr>
      <w:r w:rsidRPr="00F90EAE">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066AD19C" w14:textId="77777777" w:rsidR="00BA2B8F" w:rsidRPr="00F90EAE" w:rsidRDefault="00BA2B8F" w:rsidP="00F90EAE">
      <w:pPr>
        <w:jc w:val="both"/>
        <w:rPr>
          <w:color w:val="000000" w:themeColor="text1"/>
          <w:sz w:val="16"/>
          <w:szCs w:val="16"/>
        </w:rPr>
      </w:pPr>
    </w:p>
    <w:p w14:paraId="4AF80E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апреля 1945 г. была подготовлена ДОКЛАДНАЯ ЗАПИСКА ЗАМЕСТИТЕЛЯ НАЧАЛЬНИКА ГБТУ КА НАРКОМУ ТАНКОВОЙ ПРОМЫШЛЕННОСТИ СССР В.А. МАЛЫШЕВУ О МОДЕРНИЗАЦИИ ОПОРНЫХ КАТКОВ ТАНКА Т-34-85 № 837681</w:t>
      </w:r>
    </w:p>
    <w:p w14:paraId="295369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НИБТ полигоном ГБТУ КА проведены испытания опорных катков танка Тигр Б, установленных на танке Т-34-85.</w:t>
      </w:r>
    </w:p>
    <w:p w14:paraId="7FFC8C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Испытаниями выявлено более высокая надежность этих катков по сравнению с серийными кат</w:t>
      </w:r>
      <w:r w:rsidRPr="00F90EAE">
        <w:rPr>
          <w:color w:val="000000" w:themeColor="text1"/>
          <w:sz w:val="16"/>
          <w:szCs w:val="16"/>
        </w:rPr>
        <w:softHyphen/>
        <w:t>ками танка Т-34-85.</w:t>
      </w:r>
    </w:p>
    <w:p w14:paraId="169905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проведенных в объеме 1500 км (из них 567 км по шоссе со средней скоро</w:t>
      </w:r>
      <w:r w:rsidRPr="00F90EAE">
        <w:rPr>
          <w:color w:val="000000" w:themeColor="text1"/>
          <w:sz w:val="16"/>
          <w:szCs w:val="16"/>
        </w:rPr>
        <w:softHyphen/>
        <w:t>стью 42,3 км/ч), опорные катки дефектов не имели, за исключением одного случая утери конусов крепления дисков (на 1058 км) и четырех случаев разрушения сварных швов бандажей.</w:t>
      </w:r>
    </w:p>
    <w:p w14:paraId="077A1F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Разрушение сварных швов бандажей может быть устранено при изготовлении их цельноли-тыми.</w:t>
      </w:r>
    </w:p>
    <w:p w14:paraId="732495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Учитывая низкую работоспособность серийных катков танков Т-34-85, считаю целесообразным изготовить и проверить испытаниями опытную партию катков с внутренней амортизацией по типу танка Тигр Б.</w:t>
      </w:r>
    </w:p>
    <w:p w14:paraId="5D80CA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Конструктивная проработка таких катков заводом №183 проведена.</w:t>
      </w:r>
    </w:p>
    <w:p w14:paraId="30E539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окончательной отработке их конструкции считаю необходимым:</w:t>
      </w:r>
    </w:p>
    <w:p w14:paraId="64C9F2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Предусмотреть возможность регулировки затяжки резинок.</w:t>
      </w:r>
    </w:p>
    <w:p w14:paraId="32641A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Снизить вес катков.</w:t>
      </w:r>
    </w:p>
    <w:p w14:paraId="454B21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Ваших указаний заводу №183 об изготовлении в апреле с.г. 5 комплектов таких катков с тем, чтобы 2 комплекта испытать на заводе, а 3 — на полигоне.</w:t>
      </w:r>
    </w:p>
    <w:p w14:paraId="6E5F8F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Отчет НИБТ полигона по испытанию катков танка Тигр Б прилагаю. Ваше решение прошу сообщить.</w:t>
      </w:r>
    </w:p>
    <w:p w14:paraId="632153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ГБТУ КА генерал-лейтенант инженерно-танковой службы Лебедев</w:t>
      </w:r>
    </w:p>
    <w:p w14:paraId="107E35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танкового управления ГБТУ КА инженер-полковник Благонравов</w:t>
      </w:r>
    </w:p>
    <w:p w14:paraId="54C848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2715. Л. 79. Копия (11420).</w:t>
      </w:r>
    </w:p>
    <w:p w14:paraId="2284662C" w14:textId="77777777" w:rsidR="00665165" w:rsidRPr="00F90EAE" w:rsidRDefault="00665165" w:rsidP="00F90EAE">
      <w:pPr>
        <w:autoSpaceDE w:val="0"/>
        <w:autoSpaceDN w:val="0"/>
        <w:adjustRightInd w:val="0"/>
        <w:jc w:val="both"/>
        <w:rPr>
          <w:color w:val="000000" w:themeColor="text1"/>
          <w:sz w:val="16"/>
          <w:szCs w:val="16"/>
        </w:rPr>
      </w:pPr>
    </w:p>
    <w:p w14:paraId="4C5058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6 по 21 апреля 1945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4159B7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9E0B42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8035 О помощи НКПС рабочей силой для работы на западных железных дорогах. (7321, 149).</w:t>
      </w:r>
    </w:p>
    <w:p w14:paraId="2C6C77D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3F3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8036. О досрочном освобождении 1500 заключенных в Азербайджанской ССР и направлений их на предприятия нефтяной промышленности. РГАНИР, Фонд ГКО, д. 388, лл. 150 (11012).</w:t>
      </w:r>
    </w:p>
    <w:p w14:paraId="0BA783A7" w14:textId="77777777" w:rsidR="00665165" w:rsidRPr="00F90EAE" w:rsidRDefault="00665165" w:rsidP="00F90EAE">
      <w:pPr>
        <w:autoSpaceDE w:val="0"/>
        <w:autoSpaceDN w:val="0"/>
        <w:adjustRightInd w:val="0"/>
        <w:jc w:val="both"/>
        <w:rPr>
          <w:color w:val="000000" w:themeColor="text1"/>
          <w:sz w:val="16"/>
          <w:szCs w:val="16"/>
        </w:rPr>
      </w:pPr>
    </w:p>
    <w:p w14:paraId="347262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8038 О плане распределения природного газа на II кв.1945 г. РГАНИР, Фонд ГКО, д. 388, лл. 152, 153-159 (11012).</w:t>
      </w:r>
    </w:p>
    <w:p w14:paraId="2337CC3E" w14:textId="77777777" w:rsidR="00665165" w:rsidRPr="00F90EAE" w:rsidRDefault="00665165" w:rsidP="00F90EAE">
      <w:pPr>
        <w:autoSpaceDE w:val="0"/>
        <w:autoSpaceDN w:val="0"/>
        <w:adjustRightInd w:val="0"/>
        <w:jc w:val="both"/>
        <w:rPr>
          <w:color w:val="000000" w:themeColor="text1"/>
          <w:sz w:val="16"/>
          <w:szCs w:val="16"/>
        </w:rPr>
      </w:pPr>
    </w:p>
    <w:p w14:paraId="2EA32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8039 О плане снабжения горюче-смазочными материалами Красной Армии и Военно-Морского Флота на апрель 1945 года. РГАНИР, Фонд ГКО, д. 388, лл. 160-163, 164-190 (11012).</w:t>
      </w:r>
    </w:p>
    <w:p w14:paraId="43291829" w14:textId="77777777" w:rsidR="00665165" w:rsidRPr="00F90EAE" w:rsidRDefault="00665165" w:rsidP="00F90EAE">
      <w:pPr>
        <w:autoSpaceDE w:val="0"/>
        <w:autoSpaceDN w:val="0"/>
        <w:adjustRightInd w:val="0"/>
        <w:jc w:val="both"/>
        <w:rPr>
          <w:color w:val="000000" w:themeColor="text1"/>
          <w:sz w:val="16"/>
          <w:szCs w:val="16"/>
        </w:rPr>
      </w:pPr>
    </w:p>
    <w:p w14:paraId="1A90C7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8040. О мерах по обеспечению станками и инструментом производства детали №4 корпуса снаряда М-8 на заводе № 718 НКМВ. РГАНИР, Фонд ГКО, д. 388, лл. 191-192, 193-194 (11012).</w:t>
      </w:r>
    </w:p>
    <w:p w14:paraId="3F349FA6" w14:textId="77777777" w:rsidR="00665165" w:rsidRPr="00F90EAE" w:rsidRDefault="00665165" w:rsidP="00F90EAE">
      <w:pPr>
        <w:autoSpaceDE w:val="0"/>
        <w:autoSpaceDN w:val="0"/>
        <w:adjustRightInd w:val="0"/>
        <w:jc w:val="both"/>
        <w:rPr>
          <w:color w:val="000000" w:themeColor="text1"/>
          <w:sz w:val="16"/>
          <w:szCs w:val="16"/>
        </w:rPr>
      </w:pPr>
    </w:p>
    <w:p w14:paraId="60DD6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8041. О мерах по организации производства нового взрывателя к 57 мм и 76 мм снарядам. РГАНИР, Фонд ГКО, д. 388, лл. 195-196 (11012).</w:t>
      </w:r>
    </w:p>
    <w:p w14:paraId="290049AE" w14:textId="77777777" w:rsidR="00665165" w:rsidRPr="00F90EAE" w:rsidRDefault="00665165" w:rsidP="00F90EAE">
      <w:pPr>
        <w:autoSpaceDE w:val="0"/>
        <w:autoSpaceDN w:val="0"/>
        <w:adjustRightInd w:val="0"/>
        <w:jc w:val="both"/>
        <w:rPr>
          <w:color w:val="000000" w:themeColor="text1"/>
          <w:sz w:val="16"/>
          <w:szCs w:val="16"/>
        </w:rPr>
      </w:pPr>
    </w:p>
    <w:p w14:paraId="0B175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8042 Об увеличении во II квартале 1945 г. плана производства ферросилиция на заводах Наркомчермета. РГАНИР, Фонд ГКО, д. 388, лл. 197 (11012).</w:t>
      </w:r>
    </w:p>
    <w:p w14:paraId="1ACA6D91" w14:textId="77777777" w:rsidR="00665165" w:rsidRPr="00F90EAE" w:rsidRDefault="00665165" w:rsidP="00F90EAE">
      <w:pPr>
        <w:autoSpaceDE w:val="0"/>
        <w:autoSpaceDN w:val="0"/>
        <w:adjustRightInd w:val="0"/>
        <w:jc w:val="both"/>
        <w:rPr>
          <w:color w:val="000000" w:themeColor="text1"/>
          <w:sz w:val="16"/>
          <w:szCs w:val="16"/>
        </w:rPr>
      </w:pPr>
    </w:p>
    <w:p w14:paraId="62DA02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8043 О передаче в систему Наркомата боеприпасов завода № 13 Наркомстроя. РГАНИР, Фонд ГКО, д. 388, лл. 198 (11012).</w:t>
      </w:r>
    </w:p>
    <w:p w14:paraId="609C1CFC" w14:textId="77777777" w:rsidR="00665165" w:rsidRPr="00F90EAE" w:rsidRDefault="00665165" w:rsidP="00F90EAE">
      <w:pPr>
        <w:autoSpaceDE w:val="0"/>
        <w:autoSpaceDN w:val="0"/>
        <w:adjustRightInd w:val="0"/>
        <w:jc w:val="both"/>
        <w:rPr>
          <w:color w:val="000000" w:themeColor="text1"/>
          <w:sz w:val="16"/>
          <w:szCs w:val="16"/>
        </w:rPr>
      </w:pPr>
    </w:p>
    <w:p w14:paraId="6010E66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8044 [О плане выпуска металлической посуды на ленинградском заводе "Красный выборжец".] (7321, 199-201).</w:t>
      </w:r>
    </w:p>
    <w:p w14:paraId="03631A9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FFD6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8045. О допоставке оборудования НКЧМ по фондам I кв. 1945 г. РГАНИР, Фонд ГКО, д. 388, лл. 202 (11012).</w:t>
      </w:r>
    </w:p>
    <w:p w14:paraId="70CCC100" w14:textId="77777777" w:rsidR="00665165" w:rsidRPr="00F90EAE" w:rsidRDefault="00665165" w:rsidP="00F90EAE">
      <w:pPr>
        <w:autoSpaceDE w:val="0"/>
        <w:autoSpaceDN w:val="0"/>
        <w:adjustRightInd w:val="0"/>
        <w:jc w:val="both"/>
        <w:rPr>
          <w:color w:val="000000" w:themeColor="text1"/>
          <w:sz w:val="16"/>
          <w:szCs w:val="16"/>
        </w:rPr>
      </w:pPr>
    </w:p>
    <w:p w14:paraId="7A15215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8046 [О перевозке в Ленинград 465 вольнонаемных специалистов и членов семей профессорско-преподавательского состава Военной Краснознаменной электротехнической академии связи им. С.М. Буденного.] (7321, 203).</w:t>
      </w:r>
    </w:p>
    <w:p w14:paraId="17AC3E9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EA5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8047. О допоставке оборудования НКНП по фондам I кв. 1945 г. РГАНИР, Фонд ГКО, д. 388, лл. 204 (11012).</w:t>
      </w:r>
    </w:p>
    <w:p w14:paraId="4B385C6B" w14:textId="77777777" w:rsidR="00665165" w:rsidRPr="00F90EAE" w:rsidRDefault="00665165" w:rsidP="00F90EAE">
      <w:pPr>
        <w:autoSpaceDE w:val="0"/>
        <w:autoSpaceDN w:val="0"/>
        <w:adjustRightInd w:val="0"/>
        <w:jc w:val="both"/>
        <w:rPr>
          <w:color w:val="000000" w:themeColor="text1"/>
          <w:sz w:val="16"/>
          <w:szCs w:val="16"/>
        </w:rPr>
      </w:pPr>
    </w:p>
    <w:p w14:paraId="4C3E61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8048 О плане распределения острого пара, отпускаемого электростанциями Наркомата электростанций и Наркомтанкопрома для технологических нужд промышленных предприятий на II квартале 1945 года. РГАНИР, Фонд ГКО, д. 389, лл. 1-2, 3-5 (11012).</w:t>
      </w:r>
    </w:p>
    <w:p w14:paraId="10388CF2" w14:textId="77777777" w:rsidR="00665165" w:rsidRPr="00F90EAE" w:rsidRDefault="00665165" w:rsidP="00F90EAE">
      <w:pPr>
        <w:autoSpaceDE w:val="0"/>
        <w:autoSpaceDN w:val="0"/>
        <w:adjustRightInd w:val="0"/>
        <w:jc w:val="both"/>
        <w:rPr>
          <w:color w:val="000000" w:themeColor="text1"/>
          <w:sz w:val="16"/>
          <w:szCs w:val="16"/>
        </w:rPr>
      </w:pPr>
    </w:p>
    <w:p w14:paraId="6483C80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8049 О перестройке мостов и ремонте автомобильных дорог в Приморском и Хабаровском краях в 1945 г. (7322, 6-7,8-10).</w:t>
      </w:r>
    </w:p>
    <w:p w14:paraId="2E9C88A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6337B0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8050 О реконструкции закавказских автомобильных дорог в 1945 г. (7322, 11-15,16-17).</w:t>
      </w:r>
    </w:p>
    <w:p w14:paraId="4002DDB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9013F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8051 О подготовке кадров для эксплуатации газопровода Саратов-Москва. РГАНИР, Фонд ГКО, д. 389, лл. 18-20, 21-22 (11012).</w:t>
      </w:r>
    </w:p>
    <w:p w14:paraId="4FE45ECE" w14:textId="77777777" w:rsidR="00665165" w:rsidRPr="00F90EAE" w:rsidRDefault="00665165" w:rsidP="00F90EAE">
      <w:pPr>
        <w:autoSpaceDE w:val="0"/>
        <w:autoSpaceDN w:val="0"/>
        <w:adjustRightInd w:val="0"/>
        <w:jc w:val="both"/>
        <w:rPr>
          <w:color w:val="000000" w:themeColor="text1"/>
          <w:sz w:val="16"/>
          <w:szCs w:val="16"/>
        </w:rPr>
      </w:pPr>
    </w:p>
    <w:p w14:paraId="0715D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8052. О порядке использования труб и оборудования нефтепровода, демонтируемых в Румынии. РГАНИР, Фонд ГКО, д. 389, лл. 23-24 (11012).</w:t>
      </w:r>
    </w:p>
    <w:p w14:paraId="6BADB44B" w14:textId="77777777" w:rsidR="00665165" w:rsidRPr="00F90EAE" w:rsidRDefault="00665165" w:rsidP="00F90EAE">
      <w:pPr>
        <w:autoSpaceDE w:val="0"/>
        <w:autoSpaceDN w:val="0"/>
        <w:adjustRightInd w:val="0"/>
        <w:jc w:val="both"/>
        <w:rPr>
          <w:color w:val="000000" w:themeColor="text1"/>
          <w:sz w:val="16"/>
          <w:szCs w:val="16"/>
        </w:rPr>
      </w:pPr>
    </w:p>
    <w:p w14:paraId="01EAA5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8053 Об упорядочении электроснабжения Миасского промышленного узла. РГАНИР, Фонд ГКО, д. 389, лл. 25-26 (11012).</w:t>
      </w:r>
    </w:p>
    <w:p w14:paraId="21CA8452" w14:textId="77777777" w:rsidR="00665165" w:rsidRPr="00F90EAE" w:rsidRDefault="00665165" w:rsidP="00F90EAE">
      <w:pPr>
        <w:autoSpaceDE w:val="0"/>
        <w:autoSpaceDN w:val="0"/>
        <w:adjustRightInd w:val="0"/>
        <w:jc w:val="both"/>
        <w:rPr>
          <w:color w:val="000000" w:themeColor="text1"/>
          <w:sz w:val="16"/>
          <w:szCs w:val="16"/>
        </w:rPr>
      </w:pPr>
    </w:p>
    <w:p w14:paraId="7142F1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8054 Об организации лесозаготовительных предприятий Наркомбумпрома в Костромской и Ивановской областях. РГАНИР, Фонд ГКО, д. 389, лл. 27-31 (11012).</w:t>
      </w:r>
    </w:p>
    <w:p w14:paraId="3042C579" w14:textId="77777777" w:rsidR="00665165" w:rsidRPr="00F90EAE" w:rsidRDefault="00665165" w:rsidP="00F90EAE">
      <w:pPr>
        <w:autoSpaceDE w:val="0"/>
        <w:autoSpaceDN w:val="0"/>
        <w:adjustRightInd w:val="0"/>
        <w:jc w:val="both"/>
        <w:rPr>
          <w:color w:val="000000" w:themeColor="text1"/>
          <w:sz w:val="16"/>
          <w:szCs w:val="16"/>
        </w:rPr>
      </w:pPr>
    </w:p>
    <w:p w14:paraId="0C9E8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Распоряжение ГКО № 8055. Об утверждении плана распределения по электростанциям 22 импортных паровых котлов. РГАНИР, Фонд ГКО, д. 389, лл. 32, 33-34 (11012).</w:t>
      </w:r>
    </w:p>
    <w:p w14:paraId="398C3FC8" w14:textId="77777777" w:rsidR="00665165" w:rsidRPr="00F90EAE" w:rsidRDefault="00665165" w:rsidP="00F90EAE">
      <w:pPr>
        <w:autoSpaceDE w:val="0"/>
        <w:autoSpaceDN w:val="0"/>
        <w:adjustRightInd w:val="0"/>
        <w:jc w:val="both"/>
        <w:rPr>
          <w:color w:val="000000" w:themeColor="text1"/>
          <w:sz w:val="16"/>
          <w:szCs w:val="16"/>
        </w:rPr>
      </w:pPr>
    </w:p>
    <w:p w14:paraId="5477B5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вышло Постановление ГКО № 8056 О плане ремонта вооружения для Красной Армии на II квартал 1945 г. РГАНИР, Фонд ГКО, д. 389, лл. 35-47, 48-162 (11012).</w:t>
      </w:r>
    </w:p>
    <w:p w14:paraId="0F695B96" w14:textId="77777777" w:rsidR="00665165" w:rsidRPr="00F90EAE" w:rsidRDefault="00665165" w:rsidP="00F90EAE">
      <w:pPr>
        <w:autoSpaceDE w:val="0"/>
        <w:autoSpaceDN w:val="0"/>
        <w:adjustRightInd w:val="0"/>
        <w:jc w:val="both"/>
        <w:rPr>
          <w:color w:val="000000" w:themeColor="text1"/>
          <w:sz w:val="16"/>
          <w:szCs w:val="16"/>
        </w:rPr>
      </w:pPr>
    </w:p>
    <w:p w14:paraId="57EB553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A321DDC" w14:textId="77777777" w:rsidR="00665165" w:rsidRPr="00F90EAE" w:rsidRDefault="00665165" w:rsidP="00F90EAE">
      <w:pPr>
        <w:autoSpaceDE w:val="0"/>
        <w:autoSpaceDN w:val="0"/>
        <w:adjustRightInd w:val="0"/>
        <w:jc w:val="both"/>
        <w:rPr>
          <w:iCs/>
          <w:color w:val="000000" w:themeColor="text1"/>
          <w:sz w:val="16"/>
          <w:szCs w:val="16"/>
        </w:rPr>
      </w:pPr>
    </w:p>
    <w:p w14:paraId="6FB0882A" w14:textId="77777777" w:rsidR="00CB201D" w:rsidRPr="00F90EAE" w:rsidRDefault="00CB201D" w:rsidP="00F90EAE">
      <w:pPr>
        <w:jc w:val="both"/>
        <w:rPr>
          <w:color w:val="000000" w:themeColor="text1"/>
          <w:sz w:val="16"/>
          <w:szCs w:val="16"/>
        </w:rPr>
      </w:pPr>
      <w:r w:rsidRPr="00F90EAE">
        <w:rPr>
          <w:bCs/>
          <w:color w:val="000000" w:themeColor="text1"/>
          <w:sz w:val="16"/>
          <w:szCs w:val="16"/>
        </w:rPr>
        <w:t>6 апреля</w:t>
      </w:r>
      <w:r w:rsidRPr="00F90EAE">
        <w:rPr>
          <w:color w:val="000000" w:themeColor="text1"/>
          <w:sz w:val="16"/>
          <w:szCs w:val="16"/>
        </w:rPr>
        <w:t xml:space="preserve"> в 1945 году оперативная сводка Совинформбюро:</w:t>
      </w:r>
    </w:p>
    <w:p w14:paraId="6264AE37" w14:textId="77777777" w:rsidR="00CB201D" w:rsidRPr="00F90EAE" w:rsidRDefault="00CB201D" w:rsidP="00F90EAE">
      <w:pPr>
        <w:jc w:val="both"/>
        <w:rPr>
          <w:color w:val="000000" w:themeColor="text1"/>
          <w:sz w:val="16"/>
          <w:szCs w:val="16"/>
        </w:rPr>
      </w:pPr>
      <w:r w:rsidRPr="00F90EAE">
        <w:rPr>
          <w:color w:val="000000" w:themeColor="text1"/>
          <w:sz w:val="16"/>
          <w:szCs w:val="16"/>
        </w:rPr>
        <w:t>«В течение 6 апреля войска 2-го Белорусского фронта вели бои по уничтожению остатков окружённой группы немецких войск юго-восточнее и восточнее Гданьска и заняли населённые пункты Шперлингсдорф, Ландау, Хохцайт, Клайн и Гросс Шарфенберг, Квадендорф, Райхенберг, Гросс-Пленендорф, Ауссендайх, Вестлих Нойфэр. За 5 апреля в боях при ликвидации остатков группы войск противника севернее Гдыни войска фронта взяли в плен 3.340 немецких солдат и офицеров и захватили 239 полевых орудий.</w:t>
      </w:r>
    </w:p>
    <w:p w14:paraId="4B7C50AB" w14:textId="77777777" w:rsidR="00CB201D" w:rsidRPr="00F90EAE" w:rsidRDefault="00CB201D" w:rsidP="00F90EAE">
      <w:pPr>
        <w:jc w:val="both"/>
        <w:rPr>
          <w:color w:val="000000" w:themeColor="text1"/>
          <w:sz w:val="16"/>
          <w:szCs w:val="16"/>
        </w:rPr>
      </w:pPr>
      <w:r w:rsidRPr="00F90EAE">
        <w:rPr>
          <w:color w:val="000000" w:themeColor="text1"/>
          <w:sz w:val="16"/>
          <w:szCs w:val="16"/>
        </w:rPr>
        <w:t>В районе Бреслау наши войска вели бои по уничтожению окружённой группировки противника и заняли пригороды Клейн Мохберн, Клейн Гандау, Козель, судостроительный завод и западный аэродром, на котором захвачено 27 самолётов.</w:t>
      </w:r>
    </w:p>
    <w:p w14:paraId="7B2F7E0B" w14:textId="77777777" w:rsidR="00CB201D" w:rsidRPr="00F90EAE" w:rsidRDefault="00CB201D" w:rsidP="00F90EAE">
      <w:pPr>
        <w:jc w:val="both"/>
        <w:rPr>
          <w:color w:val="000000" w:themeColor="text1"/>
          <w:sz w:val="16"/>
          <w:szCs w:val="16"/>
        </w:rPr>
      </w:pPr>
      <w:r w:rsidRPr="00F90EAE">
        <w:rPr>
          <w:color w:val="000000" w:themeColor="text1"/>
          <w:sz w:val="16"/>
          <w:szCs w:val="16"/>
        </w:rPr>
        <w:t>В полосе Карпат, северо-западнее города Ружомберок, войска 4-го Украинского фронта, наступая совместно с чехословацкими войсками, заняли более 30 населённых пунктов, среди которых крупные населённые пункты Липова, Радзеховы, Бжусьник, Ердутка, Зазрива, Жашков, Комятна и железнодорожные станции Бистерец, Велична, Истебне, Грболтова.</w:t>
      </w:r>
    </w:p>
    <w:p w14:paraId="6803689A" w14:textId="77777777" w:rsidR="00CB201D" w:rsidRPr="00F90EAE" w:rsidRDefault="00CB201D" w:rsidP="00F90EAE">
      <w:pPr>
        <w:jc w:val="both"/>
        <w:rPr>
          <w:color w:val="000000" w:themeColor="text1"/>
          <w:sz w:val="16"/>
          <w:szCs w:val="16"/>
        </w:rPr>
      </w:pPr>
      <w:r w:rsidRPr="00F90EAE">
        <w:rPr>
          <w:color w:val="000000" w:themeColor="text1"/>
          <w:sz w:val="16"/>
          <w:szCs w:val="16"/>
        </w:rPr>
        <w:t>Северо-восточнее и севернее Братиславы войска 2-го Украинского фронта, продолжая наступление, заняли более 50 населённых пунктов, в том числе крупные населённые пункты Поруба, Шутовце, Сучаны, Дежерице, Подолье, Врбове, Добра Вода, Яблоница, Шаштин, Куклов, Куты и вышли на реку Морава на фронте в 60 километров—от устья до населённого пункта КутЫ. Одновременно войска фронта, наступая по южному берегу Дуная, заняли населённые пункты Дойч Альтенбург, Петронелль, Вильдунгсмауэр, Шарндорф, Регельсбрунн, Арбешталь, Траутмансдорф, Хаслау, Элленд, Фишамендмаркт, Фишаменддорф. В боях за 5 апреля войска фронта взяли в плен более 4.000 солдат и офицеров противника и захватили следующие трофеи: полевых орудий — 150, миномётов — 65, пулемётов— 361, винтовок — около 4.000, автомашин — 578.</w:t>
      </w:r>
    </w:p>
    <w:p w14:paraId="65D0B87B" w14:textId="77777777" w:rsidR="00CB201D" w:rsidRPr="00F90EAE" w:rsidRDefault="00CB201D" w:rsidP="00F90EAE">
      <w:pPr>
        <w:jc w:val="both"/>
        <w:rPr>
          <w:color w:val="000000" w:themeColor="text1"/>
          <w:sz w:val="16"/>
          <w:szCs w:val="16"/>
        </w:rPr>
      </w:pPr>
      <w:r w:rsidRPr="00F90EAE">
        <w:rPr>
          <w:color w:val="000000" w:themeColor="text1"/>
          <w:sz w:val="16"/>
          <w:szCs w:val="16"/>
        </w:rPr>
        <w:t>На Венском направлении войска 3-го Украинского фронта с боями заняли населённые пункты Швехат, Альткеттенхоф, Ротнойзидль (2 километра южнее Вены), Хеннерсдорф. Одновременно юго-западнее озера Балатон войска фронта, наступая совместно с войсками болгарской армии, заняли на территории Югославии более 50 населённых пунктов; среди них — Доклежовье, Одранци, Бистрица, Хотиза, Кралевец, Белица, Пущине, Тотовец. В боях за 5 апреля войска фронта взяли в плен свыше 9.000 солдат и офицеров противника и захватили следующие трофеи: самолётов — 11, танков — 24, бронетранспортёров — 14, полевых орудий — 99, пулемётов—194, автомашин — 340, паровозов — 9, железнодорожных вагонов — 245.</w:t>
      </w:r>
    </w:p>
    <w:p w14:paraId="13422D0A" w14:textId="77777777" w:rsidR="00CB201D" w:rsidRPr="00F90EAE" w:rsidRDefault="00CB201D"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CC690C0" w14:textId="77777777" w:rsidR="00CB201D" w:rsidRPr="00F90EAE" w:rsidRDefault="00CB201D" w:rsidP="00F90EAE">
      <w:pPr>
        <w:jc w:val="both"/>
        <w:rPr>
          <w:color w:val="000000" w:themeColor="text1"/>
          <w:sz w:val="16"/>
          <w:szCs w:val="16"/>
        </w:rPr>
      </w:pPr>
      <w:r w:rsidRPr="00F90EAE">
        <w:rPr>
          <w:color w:val="000000" w:themeColor="text1"/>
          <w:sz w:val="16"/>
          <w:szCs w:val="16"/>
        </w:rPr>
        <w:t>За 5 апреля на всех фронтах подбито и уничтожено 40 немецких танков и самоходных орудий. В воздушных боях и огнём зенитной артиллерии сбито 39 самолётов противника.</w:t>
      </w:r>
    </w:p>
    <w:p w14:paraId="18AC17D4" w14:textId="77777777" w:rsidR="00CB201D" w:rsidRPr="00F90EAE" w:rsidRDefault="00CB201D" w:rsidP="00F90EAE">
      <w:pPr>
        <w:jc w:val="both"/>
        <w:rPr>
          <w:color w:val="000000" w:themeColor="text1"/>
          <w:sz w:val="16"/>
          <w:szCs w:val="16"/>
        </w:rPr>
      </w:pPr>
      <w:r w:rsidRPr="00F90EAE">
        <w:rPr>
          <w:color w:val="000000" w:themeColor="text1"/>
          <w:sz w:val="16"/>
          <w:szCs w:val="16"/>
        </w:rPr>
        <w:t>Юго-восточнее и восточнее Гданьска войска 2-го Белорусского фронта с боями придвигались вперёд по болотистой местности, изрезанной многочисленными каналами. Немцы, опираясь на населённые пункты, оказывают упорное сопротивление. Отступая, они взрывают мосты, минируют дороги и переправы. Наши войска, преодолевая различные преграды, выбили немцев из нескольких населённых пунктов. На одном участке гитлеровцы взорвали дамбу и затопили подступы к селению Шперлингсдорф. Наши подразделения совершили обходный манёвр, атаковали противника и выбили его из населённого пункта. Восточнее Гданьска захвачено у немцев 6 речных пароходов, 12 барж и другие трофеи.</w:t>
      </w:r>
    </w:p>
    <w:p w14:paraId="1D1AE015" w14:textId="77777777" w:rsidR="00CB201D" w:rsidRPr="00F90EAE" w:rsidRDefault="00CB201D" w:rsidP="00F90EAE">
      <w:pPr>
        <w:jc w:val="both"/>
        <w:rPr>
          <w:color w:val="000000" w:themeColor="text1"/>
          <w:sz w:val="16"/>
          <w:szCs w:val="16"/>
        </w:rPr>
      </w:pPr>
      <w:r w:rsidRPr="00F90EAE">
        <w:rPr>
          <w:color w:val="000000" w:themeColor="text1"/>
          <w:sz w:val="16"/>
          <w:szCs w:val="16"/>
        </w:rPr>
        <w:t>В Бреслау наши подразделения отрезали группу немцев от основных сил гарнизона и прижали её к реке Одер. В непродолжительном бою вражеская группа была уничтожена. Истреблено свыше батальона гитлеровцев. Взято 170 пленных. Захвачено у немцев 52 орудия, до 100 автомашин, паровоз и 194 вагона.</w:t>
      </w:r>
    </w:p>
    <w:p w14:paraId="2B1344B8" w14:textId="77777777" w:rsidR="00CB201D" w:rsidRPr="00F90EAE" w:rsidRDefault="00CB201D" w:rsidP="00F90EAE">
      <w:pPr>
        <w:jc w:val="both"/>
        <w:rPr>
          <w:color w:val="000000" w:themeColor="text1"/>
          <w:sz w:val="16"/>
          <w:szCs w:val="16"/>
        </w:rPr>
      </w:pPr>
      <w:r w:rsidRPr="00F90EAE">
        <w:rPr>
          <w:color w:val="000000" w:themeColor="text1"/>
          <w:sz w:val="16"/>
          <w:szCs w:val="16"/>
        </w:rPr>
        <w:t>Наши тяжёлые бомбардировщики сегодня вновь нанесли удар по военным объектам противника в Бреслау. В результате бомбардировки возникло много пожаров, среди которых отмечено более 20 сильных взрывов.</w:t>
      </w:r>
    </w:p>
    <w:p w14:paraId="1D401E70" w14:textId="77777777" w:rsidR="00CB201D" w:rsidRPr="00F90EAE" w:rsidRDefault="00CB201D" w:rsidP="00F90EAE">
      <w:pPr>
        <w:jc w:val="both"/>
        <w:rPr>
          <w:color w:val="000000" w:themeColor="text1"/>
          <w:sz w:val="16"/>
          <w:szCs w:val="16"/>
        </w:rPr>
      </w:pPr>
      <w:r w:rsidRPr="00F90EAE">
        <w:rPr>
          <w:color w:val="000000" w:themeColor="text1"/>
          <w:sz w:val="16"/>
          <w:szCs w:val="16"/>
        </w:rPr>
        <w:t>Северо-западнее города Ружомберок войска 4-го Украинского фронта совместно с чехословацкими войсками продолжали наступление. Противник укрепился на склонах гор и сильным огнём пытался задержать продвижение наших частей. Советские подразделения, совершив обходный манёвр, перевалили через горный хребет и внезапно атаковали с тыла артиллерийские позиции немцев. В результате боя немецкие артиллеристы были уничтожены. Наши бойцы захватили 18 орудий и склад боеприпасов. На другом участке наши подразделения, спустившись с гор в долину, отрезали пути отхода колонне противника и разгромили её.</w:t>
      </w:r>
    </w:p>
    <w:p w14:paraId="3FDC6F20" w14:textId="77777777" w:rsidR="00CB201D" w:rsidRPr="00F90EAE" w:rsidRDefault="00CB201D" w:rsidP="00F90EAE">
      <w:pPr>
        <w:jc w:val="both"/>
        <w:rPr>
          <w:color w:val="000000" w:themeColor="text1"/>
          <w:sz w:val="16"/>
          <w:szCs w:val="16"/>
        </w:rPr>
      </w:pPr>
      <w:r w:rsidRPr="00F90EAE">
        <w:rPr>
          <w:color w:val="000000" w:themeColor="text1"/>
          <w:sz w:val="16"/>
          <w:szCs w:val="16"/>
        </w:rPr>
        <w:t>В занятом вчера городе Ружомберок наши войска захватили трофеи, в числе которых 7 паровозов и более 580 вагонов с различными военными грузами.</w:t>
      </w:r>
    </w:p>
    <w:p w14:paraId="06A0008F" w14:textId="77777777" w:rsidR="00CB201D" w:rsidRPr="00F90EAE" w:rsidRDefault="00CB201D" w:rsidP="00F90EAE">
      <w:pPr>
        <w:jc w:val="both"/>
        <w:rPr>
          <w:color w:val="000000" w:themeColor="text1"/>
          <w:sz w:val="16"/>
          <w:szCs w:val="16"/>
        </w:rPr>
      </w:pPr>
      <w:r w:rsidRPr="00F90EAE">
        <w:rPr>
          <w:color w:val="000000" w:themeColor="text1"/>
          <w:sz w:val="16"/>
          <w:szCs w:val="16"/>
        </w:rPr>
        <w:t>Северо-восточнее Братиславы наши войска, продвигаясь на север по долине реки Ваг, выбили немцев из нескольких населённых пунктов. Советские части преодолели горно-лесной массив и в результате стремительной атаки овладели крупной железнодорожной станцией Яблоница.</w:t>
      </w:r>
    </w:p>
    <w:p w14:paraId="434230EF" w14:textId="77777777" w:rsidR="00CB201D" w:rsidRPr="00F90EAE" w:rsidRDefault="00CB201D" w:rsidP="00F90EAE">
      <w:pPr>
        <w:jc w:val="both"/>
        <w:rPr>
          <w:color w:val="000000" w:themeColor="text1"/>
          <w:sz w:val="16"/>
          <w:szCs w:val="16"/>
        </w:rPr>
      </w:pPr>
      <w:r w:rsidRPr="00F90EAE">
        <w:rPr>
          <w:color w:val="000000" w:themeColor="text1"/>
          <w:sz w:val="16"/>
          <w:szCs w:val="16"/>
        </w:rPr>
        <w:t>Севернее Братиславы советские пехотинцы, танкисты и кавалеристы, стремительно продвинувшись вперёд, на широком фронте вышли к реке Морава. Отступавшие группы противника были прижаты к реке. Большая часть немцев была уничтожена, а остальные взяты в плен. Только в районе западнее населённого пункта Ступава одна наша гвардейская часть истребила более 700 гитлеровцев и сожгла 13 немецких танков и самоходных орудий. Кавалеристы офицера Гераськина, преследуя противника, истребили свыше роты вражеских солдат и офицеров, захватили танк «Королевский тигр» и 4 бронетранспортёра. Эскадрон гвардии старшего лейтенанта Мартынюка в конном строю атаковал противника и изрубил 50 гитлеровцев. В этом же районе нашими бойцами захвачено 7 исправных немецких танков.</w:t>
      </w:r>
    </w:p>
    <w:p w14:paraId="5D5C297F" w14:textId="77777777" w:rsidR="00CB201D" w:rsidRPr="00F90EAE" w:rsidRDefault="00CB201D" w:rsidP="00F90EAE">
      <w:pPr>
        <w:jc w:val="both"/>
        <w:rPr>
          <w:color w:val="000000" w:themeColor="text1"/>
          <w:sz w:val="16"/>
          <w:szCs w:val="16"/>
        </w:rPr>
      </w:pPr>
      <w:r w:rsidRPr="00F90EAE">
        <w:rPr>
          <w:color w:val="000000" w:themeColor="text1"/>
          <w:sz w:val="16"/>
          <w:szCs w:val="16"/>
        </w:rPr>
        <w:lastRenderedPageBreak/>
        <w:t>На Венском направлении войска 3-го Украинского фронта с боями продвигались вперёд. Противник спешно пополняет свои войска свежими подкреплениями. Немцы превратили населённые пункты, заводы и каменные здания в опорные пункты обороны и оказывают ожесточённое сопротивление. Отражая вражеские контратаки, наши войска шаг за шагом продвигаются вперёд и заняли несколько сильно укреплённых населённых пунктов. За день боёв уничтожено несколько тысяч солдат и офицеров противника.</w:t>
      </w:r>
    </w:p>
    <w:p w14:paraId="33B0E3D3" w14:textId="77777777" w:rsidR="00CB201D" w:rsidRPr="00F90EAE" w:rsidRDefault="00CB201D"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Данцигской бухте три быстроходные десантные баржи с войсками противника.» (15091).</w:t>
      </w:r>
    </w:p>
    <w:p w14:paraId="2420E4B4" w14:textId="77777777" w:rsidR="00CB201D" w:rsidRPr="00F90EAE" w:rsidRDefault="00CB201D" w:rsidP="00F90EAE">
      <w:pPr>
        <w:jc w:val="both"/>
        <w:rPr>
          <w:color w:val="000000" w:themeColor="text1"/>
          <w:sz w:val="16"/>
          <w:szCs w:val="16"/>
        </w:rPr>
      </w:pPr>
    </w:p>
    <w:p w14:paraId="1CF299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 апреля 1945 г. при проведении 3-м Белорусским фронтом Кенигсбергской операции была достигнута наивысшая за все время войны плотность Ил-2 на 1 км фронта.</w:t>
      </w:r>
    </w:p>
    <w:p w14:paraId="21E70C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470 Ил-2, привлеченных к штурму Кенигсберга (182-я, 211-я. 335-я из 3-й ВА и 1-я гвардейская, 277-я и 311-я из 1-й ВА штурмовые авиадивизии), для непосредственного сопровождения войск было выделено 358 машин. Это позволило обеспечить плотность Ил-2 на 1 км фронта участка прорыва 50-й армии шириной 3 км 29 машин, на участке прорыва 43-й армии шириной 2 км - 49 штурмовиков, а в полосе прорыва 11-й гвардейской армии шириной 2 км советское командование довело плотность штурмовиков на 1 км фронта прорыва до 85 ^!) Ил-2. Столь высокая плотность Ил-2 не имела места ни в одной операции ВВС КА по прорыву немецких УР...</w:t>
      </w:r>
    </w:p>
    <w:p w14:paraId="37D93B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Оценки показывают, что применительно к типовым УСЛОВИЯМ наступательных операции 1943-45 гг. штурмовики уже в течение первого дня наступления могли гарантированно УНИЧТОЖИТЬ или вывести из строя около 3-4 % от общего количества типовых целей противника на поле боя, приходящихся на 1 км фронта. То есть эффективность решения штурмовиками задач непосредственной авиационной поддержки войск по сравнению с 1941-42 гг. увеличилась примерно в 6-8 раз. Соответственно возросли и темпы наступления наземных войск.</w:t>
      </w:r>
    </w:p>
    <w:p w14:paraId="23DA6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Действительно, боевой опыт 1943-45 гг. показал, что темпы прорыва тактической зоны обороны противника увеличились в среднем в 4-7 раз по сравнению с 1941-42 гг. и составили 8-15 км в сутки. А такие темпы наступления уже не позволяли противнику парировать удары Красной Армии за счет маневра тактическими и оперативными резервами, а также перегруппировки войск (8687).</w:t>
      </w:r>
    </w:p>
    <w:p w14:paraId="0BD89221" w14:textId="77777777" w:rsidR="00665165" w:rsidRPr="00F90EAE" w:rsidRDefault="00665165" w:rsidP="00F90EAE">
      <w:pPr>
        <w:autoSpaceDE w:val="0"/>
        <w:autoSpaceDN w:val="0"/>
        <w:adjustRightInd w:val="0"/>
        <w:jc w:val="both"/>
        <w:rPr>
          <w:color w:val="000000" w:themeColor="text1"/>
          <w:sz w:val="16"/>
          <w:szCs w:val="16"/>
        </w:rPr>
      </w:pPr>
    </w:p>
    <w:p w14:paraId="0E6AB55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советские войска начали Кенигсбергскую наступательную операцию (4962).</w:t>
      </w:r>
    </w:p>
    <w:p w14:paraId="2EBA6FD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1606F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началась Истенбургско-Кенигсбергская операция (340,202) и шла до 9 апреля 1945 - часть Восточно-Прусской. После 4 дней артподготовки 6 апреля ворвались в город и 8 отрезали гарнизон крепости от войск на Земландском полуострове (2438,305).</w:t>
      </w:r>
    </w:p>
    <w:p w14:paraId="2BAD10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из-за плохих метеоусловий авиаподготовка ограничивалась действиями нба (518,135).</w:t>
      </w:r>
    </w:p>
    <w:p w14:paraId="29680E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подготовке Истенбургско-Кенигсбергской операции на воздушную разведку ВА затрачивалось до 25-30% всех самолетовылетов (518,121).</w:t>
      </w:r>
    </w:p>
    <w:p w14:paraId="18062C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немцы привлекали транспортные самолеты для снабжения войск и они понесли тяжелые потери (518,179).</w:t>
      </w:r>
    </w:p>
    <w:p w14:paraId="3FF466EA"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В Кенигсбергской наступательной операции участвовали 1 и 3 ВА и часть соединений 4 и 15ВА, а также 18ВА и ВВС БФ. Поэтомутребоваласьорганизациявзаимодействия</w:t>
      </w:r>
      <w:r w:rsidRPr="00F90EAE">
        <w:rPr>
          <w:color w:val="000000" w:themeColor="text1"/>
          <w:sz w:val="16"/>
          <w:szCs w:val="16"/>
          <w:lang w:val="en-US"/>
        </w:rPr>
        <w:t xml:space="preserve"> (518,292).</w:t>
      </w:r>
    </w:p>
    <w:p w14:paraId="1E1CFB2C" w14:textId="77777777" w:rsidR="00665165" w:rsidRPr="00F90EAE" w:rsidRDefault="00665165" w:rsidP="00F90EAE">
      <w:pPr>
        <w:autoSpaceDE w:val="0"/>
        <w:autoSpaceDN w:val="0"/>
        <w:adjustRightInd w:val="0"/>
        <w:jc w:val="both"/>
        <w:rPr>
          <w:color w:val="000000" w:themeColor="text1"/>
          <w:sz w:val="16"/>
          <w:szCs w:val="16"/>
          <w:lang w:val="en-US"/>
        </w:rPr>
      </w:pPr>
    </w:p>
    <w:p w14:paraId="58DC8A7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6th, 1945: In the East, after eliminating the Heiligenbeil pocket, the Soviet 3rd Belorussian Front (Vassilevsky) reaches the Baltic coast in East Prussia, separating communications between 2.Armee (von Tippelkirch) defending besieged Konigsberg and 4. Armee (Hossbach) holding the Vistula delta N of Marienbrg. In the Southeast, Tito partisans occupy Sarajevo in Bosnia (3819).</w:t>
      </w:r>
    </w:p>
    <w:p w14:paraId="1FB9F6DE" w14:textId="77777777" w:rsidR="00665165" w:rsidRPr="00F90EAE" w:rsidRDefault="00665165" w:rsidP="00F90EAE">
      <w:pPr>
        <w:autoSpaceDE w:val="0"/>
        <w:autoSpaceDN w:val="0"/>
        <w:adjustRightInd w:val="0"/>
        <w:jc w:val="both"/>
        <w:rPr>
          <w:color w:val="000000" w:themeColor="text1"/>
          <w:sz w:val="16"/>
          <w:szCs w:val="16"/>
          <w:lang w:val="en-US"/>
        </w:rPr>
      </w:pPr>
    </w:p>
    <w:p w14:paraId="3C4056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6 </w:t>
      </w:r>
      <w:r w:rsidRPr="00F90EAE">
        <w:rPr>
          <w:color w:val="000000" w:themeColor="text1"/>
          <w:sz w:val="16"/>
          <w:szCs w:val="16"/>
        </w:rPr>
        <w:t>апреля</w:t>
      </w:r>
      <w:r w:rsidRPr="00F90EAE">
        <w:rPr>
          <w:color w:val="000000" w:themeColor="text1"/>
          <w:sz w:val="16"/>
          <w:szCs w:val="16"/>
          <w:lang w:val="en-US"/>
        </w:rPr>
        <w:t xml:space="preserve"> 1941 </w:t>
      </w:r>
      <w:r w:rsidRPr="00F90EAE">
        <w:rPr>
          <w:color w:val="000000" w:themeColor="text1"/>
          <w:sz w:val="16"/>
          <w:szCs w:val="16"/>
        </w:rPr>
        <w:t>после</w:t>
      </w:r>
      <w:r w:rsidRPr="00F90EAE">
        <w:rPr>
          <w:color w:val="000000" w:themeColor="text1"/>
          <w:sz w:val="16"/>
          <w:szCs w:val="16"/>
          <w:lang w:val="en-US"/>
        </w:rPr>
        <w:t xml:space="preserve"> </w:t>
      </w:r>
      <w:r w:rsidRPr="00F90EAE">
        <w:rPr>
          <w:color w:val="000000" w:themeColor="text1"/>
          <w:sz w:val="16"/>
          <w:szCs w:val="16"/>
        </w:rPr>
        <w:t>уничтожения</w:t>
      </w:r>
      <w:r w:rsidRPr="00F90EAE">
        <w:rPr>
          <w:color w:val="000000" w:themeColor="text1"/>
          <w:sz w:val="16"/>
          <w:szCs w:val="16"/>
          <w:lang w:val="en-US"/>
        </w:rPr>
        <w:t xml:space="preserve"> </w:t>
      </w:r>
      <w:r w:rsidRPr="00F90EAE">
        <w:rPr>
          <w:color w:val="000000" w:themeColor="text1"/>
          <w:sz w:val="16"/>
          <w:szCs w:val="16"/>
        </w:rPr>
        <w:t>котла</w:t>
      </w:r>
      <w:r w:rsidRPr="00F90EAE">
        <w:rPr>
          <w:color w:val="000000" w:themeColor="text1"/>
          <w:sz w:val="16"/>
          <w:szCs w:val="16"/>
          <w:lang w:val="en-US"/>
        </w:rPr>
        <w:t xml:space="preserve"> </w:t>
      </w:r>
      <w:r w:rsidRPr="00F90EAE">
        <w:rPr>
          <w:color w:val="000000" w:themeColor="text1"/>
          <w:sz w:val="16"/>
          <w:szCs w:val="16"/>
        </w:rPr>
        <w:t>в</w:t>
      </w:r>
      <w:r w:rsidRPr="00F90EAE">
        <w:rPr>
          <w:color w:val="000000" w:themeColor="text1"/>
          <w:sz w:val="16"/>
          <w:szCs w:val="16"/>
          <w:lang w:val="en-US"/>
        </w:rPr>
        <w:t xml:space="preserve"> </w:t>
      </w:r>
      <w:r w:rsidRPr="00F90EAE">
        <w:rPr>
          <w:color w:val="000000" w:themeColor="text1"/>
          <w:sz w:val="16"/>
          <w:szCs w:val="16"/>
        </w:rPr>
        <w:t>Хейлегенбейле</w:t>
      </w:r>
      <w:r w:rsidRPr="00F90EAE">
        <w:rPr>
          <w:color w:val="000000" w:themeColor="text1"/>
          <w:sz w:val="16"/>
          <w:szCs w:val="16"/>
          <w:lang w:val="en-US"/>
        </w:rPr>
        <w:t xml:space="preserve"> 3</w:t>
      </w:r>
      <w:r w:rsidRPr="00F90EAE">
        <w:rPr>
          <w:color w:val="000000" w:themeColor="text1"/>
          <w:sz w:val="16"/>
          <w:szCs w:val="16"/>
        </w:rPr>
        <w:t>БФ</w:t>
      </w:r>
      <w:r w:rsidRPr="00F90EAE">
        <w:rPr>
          <w:color w:val="000000" w:themeColor="text1"/>
          <w:sz w:val="16"/>
          <w:szCs w:val="16"/>
          <w:lang w:val="en-US"/>
        </w:rPr>
        <w:t xml:space="preserve"> (</w:t>
      </w:r>
      <w:r w:rsidRPr="00F90EAE">
        <w:rPr>
          <w:color w:val="000000" w:themeColor="text1"/>
          <w:sz w:val="16"/>
          <w:szCs w:val="16"/>
        </w:rPr>
        <w:t>Василевский</w:t>
      </w:r>
      <w:r w:rsidRPr="00F90EAE">
        <w:rPr>
          <w:color w:val="000000" w:themeColor="text1"/>
          <w:sz w:val="16"/>
          <w:szCs w:val="16"/>
          <w:lang w:val="en-US"/>
        </w:rPr>
        <w:t xml:space="preserve">) </w:t>
      </w:r>
      <w:r w:rsidRPr="00F90EAE">
        <w:rPr>
          <w:color w:val="000000" w:themeColor="text1"/>
          <w:sz w:val="16"/>
          <w:szCs w:val="16"/>
        </w:rPr>
        <w:t>вышел</w:t>
      </w:r>
      <w:r w:rsidRPr="00F90EAE">
        <w:rPr>
          <w:color w:val="000000" w:themeColor="text1"/>
          <w:sz w:val="16"/>
          <w:szCs w:val="16"/>
          <w:lang w:val="en-US"/>
        </w:rPr>
        <w:t xml:space="preserve"> </w:t>
      </w:r>
      <w:r w:rsidRPr="00F90EAE">
        <w:rPr>
          <w:color w:val="000000" w:themeColor="text1"/>
          <w:sz w:val="16"/>
          <w:szCs w:val="16"/>
        </w:rPr>
        <w:t>к</w:t>
      </w:r>
      <w:r w:rsidRPr="00F90EAE">
        <w:rPr>
          <w:color w:val="000000" w:themeColor="text1"/>
          <w:sz w:val="16"/>
          <w:szCs w:val="16"/>
          <w:lang w:val="en-US"/>
        </w:rPr>
        <w:t xml:space="preserve"> </w:t>
      </w:r>
      <w:r w:rsidRPr="00F90EAE">
        <w:rPr>
          <w:color w:val="000000" w:themeColor="text1"/>
          <w:sz w:val="16"/>
          <w:szCs w:val="16"/>
        </w:rPr>
        <w:t>побережью</w:t>
      </w:r>
      <w:r w:rsidRPr="00F90EAE">
        <w:rPr>
          <w:color w:val="000000" w:themeColor="text1"/>
          <w:sz w:val="16"/>
          <w:szCs w:val="16"/>
          <w:lang w:val="en-US"/>
        </w:rPr>
        <w:t xml:space="preserve"> </w:t>
      </w:r>
      <w:r w:rsidRPr="00F90EAE">
        <w:rPr>
          <w:color w:val="000000" w:themeColor="text1"/>
          <w:sz w:val="16"/>
          <w:szCs w:val="16"/>
        </w:rPr>
        <w:t>Балтики, разорвав коммуникации между 2А (Типпелкирх), оборонявшей окруженный Кенигсберг, и 4А (Хоссбах), удерживающей дельту Вислы у Мариенбурга. Войска Тито заняли Сараево в Боснии (3819).</w:t>
      </w:r>
    </w:p>
    <w:p w14:paraId="0B34DB4D" w14:textId="77777777" w:rsidR="00665165" w:rsidRPr="00F90EAE" w:rsidRDefault="00665165" w:rsidP="00F90EAE">
      <w:pPr>
        <w:autoSpaceDE w:val="0"/>
        <w:autoSpaceDN w:val="0"/>
        <w:adjustRightInd w:val="0"/>
        <w:jc w:val="both"/>
        <w:rPr>
          <w:color w:val="000000" w:themeColor="text1"/>
          <w:sz w:val="16"/>
          <w:szCs w:val="16"/>
        </w:rPr>
      </w:pPr>
    </w:p>
    <w:p w14:paraId="05CDCC01" w14:textId="77777777" w:rsidR="00A752EF" w:rsidRPr="00F90EAE" w:rsidRDefault="00A752EF" w:rsidP="00F90EAE">
      <w:pPr>
        <w:jc w:val="both"/>
        <w:rPr>
          <w:color w:val="000000" w:themeColor="text1"/>
          <w:sz w:val="16"/>
          <w:szCs w:val="16"/>
        </w:rPr>
      </w:pPr>
      <w:r w:rsidRPr="00F90EAE">
        <w:rPr>
          <w:bCs/>
          <w:color w:val="000000" w:themeColor="text1"/>
          <w:sz w:val="16"/>
          <w:szCs w:val="16"/>
        </w:rPr>
        <w:t>6 апреля</w:t>
      </w:r>
      <w:r w:rsidRPr="00F90EAE">
        <w:rPr>
          <w:color w:val="000000" w:themeColor="text1"/>
          <w:sz w:val="16"/>
          <w:szCs w:val="16"/>
        </w:rPr>
        <w:t xml:space="preserve"> в 1945 году воззвание Военного Совета 3-го Украинского фронта к населению Австрии, которое призывало жителей Австрии оставаться на своих местах, продолжать мирный труд, а также обещало не применять никаких репрессий к бывшим членам НСДАП, при условии сохранения лояльности к советским войскам (15091).</w:t>
      </w:r>
    </w:p>
    <w:p w14:paraId="4317EA3A" w14:textId="77777777" w:rsidR="00A752EF" w:rsidRPr="00F90EAE" w:rsidRDefault="00A752EF" w:rsidP="00F90EAE">
      <w:pPr>
        <w:jc w:val="both"/>
        <w:rPr>
          <w:color w:val="000000" w:themeColor="text1"/>
          <w:sz w:val="16"/>
          <w:szCs w:val="16"/>
        </w:rPr>
      </w:pPr>
    </w:p>
    <w:p w14:paraId="07817ED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DEB30A2" w14:textId="77777777" w:rsidR="00665165" w:rsidRPr="00F90EAE" w:rsidRDefault="00665165" w:rsidP="00F90EAE">
      <w:pPr>
        <w:autoSpaceDE w:val="0"/>
        <w:autoSpaceDN w:val="0"/>
        <w:adjustRightInd w:val="0"/>
        <w:jc w:val="both"/>
        <w:rPr>
          <w:iCs/>
          <w:color w:val="000000" w:themeColor="text1"/>
          <w:sz w:val="16"/>
          <w:szCs w:val="16"/>
        </w:rPr>
      </w:pPr>
    </w:p>
    <w:p w14:paraId="12B57160" w14:textId="77777777" w:rsidR="00A752EF" w:rsidRPr="00F90EAE" w:rsidRDefault="00A752EF" w:rsidP="00F90EAE">
      <w:pPr>
        <w:jc w:val="both"/>
        <w:rPr>
          <w:color w:val="000000" w:themeColor="text1"/>
          <w:sz w:val="16"/>
          <w:szCs w:val="16"/>
        </w:rPr>
      </w:pPr>
      <w:r w:rsidRPr="00F90EAE">
        <w:rPr>
          <w:bCs/>
          <w:color w:val="000000" w:themeColor="text1"/>
          <w:sz w:val="16"/>
          <w:szCs w:val="16"/>
        </w:rPr>
        <w:t>6 апреля</w:t>
      </w:r>
      <w:r w:rsidRPr="00F90EAE">
        <w:rPr>
          <w:color w:val="000000" w:themeColor="text1"/>
          <w:sz w:val="16"/>
          <w:szCs w:val="16"/>
        </w:rPr>
        <w:t xml:space="preserve"> в 1945 году американо-английские войска вступили в Линген, Эйзенах и Вюрцбург (15091).</w:t>
      </w:r>
    </w:p>
    <w:p w14:paraId="55CB1E08" w14:textId="77777777" w:rsidR="00A752EF" w:rsidRPr="00F90EAE" w:rsidRDefault="00A752EF" w:rsidP="00F90EAE">
      <w:pPr>
        <w:jc w:val="both"/>
        <w:rPr>
          <w:color w:val="000000" w:themeColor="text1"/>
          <w:sz w:val="16"/>
          <w:szCs w:val="16"/>
        </w:rPr>
      </w:pPr>
    </w:p>
    <w:p w14:paraId="6C4BEE8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апреля 1945 американские войска высадились на о. Окинава (Япония) (4962).</w:t>
      </w:r>
    </w:p>
    <w:p w14:paraId="380B624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7C6FE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апреля 1945 самолеты США потопили линкор Ямато (2248,4).</w:t>
      </w:r>
    </w:p>
    <w:p w14:paraId="180F65B8" w14:textId="77777777" w:rsidR="00665165" w:rsidRPr="00F90EAE" w:rsidRDefault="00665165" w:rsidP="00F90EAE">
      <w:pPr>
        <w:autoSpaceDE w:val="0"/>
        <w:autoSpaceDN w:val="0"/>
        <w:adjustRightInd w:val="0"/>
        <w:jc w:val="both"/>
        <w:rPr>
          <w:color w:val="000000" w:themeColor="text1"/>
          <w:sz w:val="16"/>
          <w:szCs w:val="16"/>
        </w:rPr>
      </w:pPr>
    </w:p>
    <w:p w14:paraId="21BE0CC0" w14:textId="77777777" w:rsidR="00A752EF" w:rsidRPr="00F90EAE" w:rsidRDefault="00A752EF" w:rsidP="00F90EAE">
      <w:pPr>
        <w:jc w:val="both"/>
        <w:rPr>
          <w:color w:val="000000" w:themeColor="text1"/>
          <w:sz w:val="16"/>
          <w:szCs w:val="16"/>
        </w:rPr>
      </w:pPr>
      <w:r w:rsidRPr="00F90EAE">
        <w:rPr>
          <w:bCs/>
          <w:color w:val="000000" w:themeColor="text1"/>
          <w:sz w:val="16"/>
          <w:szCs w:val="16"/>
        </w:rPr>
        <w:t>6 апреля</w:t>
      </w:r>
      <w:r w:rsidRPr="00F90EAE">
        <w:rPr>
          <w:color w:val="000000" w:themeColor="text1"/>
          <w:sz w:val="16"/>
          <w:szCs w:val="16"/>
        </w:rPr>
        <w:t xml:space="preserve"> в 1945 году японское командование отдает приказ о самоубийственной атаке авиации и ВМС. Камикадзе с воздуха должны покончить с американским десантом, высадившимся на Окинаве, а добить его остатки призваны корабли, без малейшей поддержки с воздуха, с запасом топлива, достаточного только для того, чтобы добраться до Окинавы, зато доверху груженные боеприпасами (15091).</w:t>
      </w:r>
    </w:p>
    <w:p w14:paraId="12FBF17A" w14:textId="77777777" w:rsidR="00A752EF" w:rsidRPr="00F90EAE" w:rsidRDefault="00A752EF" w:rsidP="00F90EAE">
      <w:pPr>
        <w:jc w:val="both"/>
        <w:rPr>
          <w:color w:val="000000" w:themeColor="text1"/>
          <w:sz w:val="16"/>
          <w:szCs w:val="16"/>
        </w:rPr>
      </w:pPr>
    </w:p>
    <w:p w14:paraId="02BE466E" w14:textId="77777777" w:rsidR="007D191E" w:rsidRPr="00F90EAE" w:rsidRDefault="007D191E" w:rsidP="00F90EAE">
      <w:pPr>
        <w:jc w:val="both"/>
        <w:rPr>
          <w:color w:val="0070C0"/>
          <w:sz w:val="16"/>
          <w:szCs w:val="16"/>
        </w:rPr>
      </w:pPr>
      <w:r w:rsidRPr="00F90EAE">
        <w:rPr>
          <w:color w:val="0070C0"/>
          <w:sz w:val="16"/>
          <w:szCs w:val="16"/>
        </w:rPr>
        <w:t>6 апреля 1945 самолеты с USS Белло Вуд, USS Беннингтон и USS Hornet наносят удар по японским аэродромам и другим целям на Мияко Джима и Ишигаки Джима в Sakishima гунто (29371).</w:t>
      </w:r>
    </w:p>
    <w:p w14:paraId="58A09F29" w14:textId="77777777" w:rsidR="007D191E" w:rsidRPr="00F90EAE" w:rsidRDefault="007D191E" w:rsidP="00F90EAE">
      <w:pPr>
        <w:jc w:val="both"/>
        <w:rPr>
          <w:color w:val="0070C0"/>
          <w:sz w:val="16"/>
          <w:szCs w:val="16"/>
        </w:rPr>
      </w:pPr>
    </w:p>
    <w:p w14:paraId="2506C064" w14:textId="77777777" w:rsidR="007D191E" w:rsidRPr="00F90EAE" w:rsidRDefault="007D191E" w:rsidP="00F90EAE">
      <w:pPr>
        <w:jc w:val="both"/>
        <w:rPr>
          <w:color w:val="0070C0"/>
          <w:sz w:val="16"/>
          <w:szCs w:val="16"/>
        </w:rPr>
      </w:pPr>
      <w:r w:rsidRPr="00F90EAE">
        <w:rPr>
          <w:color w:val="0070C0"/>
          <w:sz w:val="16"/>
          <w:szCs w:val="16"/>
        </w:rPr>
        <w:t>6–7 апреля 1945 японцы начинают операцию «Тен-Го» - самую крупную из десяти крупных атак камикадзе Кикусуи («Плавающая хризантема») на военно-морские силы союзников у Окинавы, в результате чего было совершено 355 вылетов камикадзе и 341 вылетов бомбардировщиклв. В первый день они потопили два эсминца, минный заградитель, десантный корабль и два гражданских корабля с боеприпасами и сильно повредили восемь эсминцев, эсминец сопровождения и минный заградитель. Американцы утверждают, что уничтожено 357 японских самолетов. На второй день японцы повредили линкор USS Maryland, эсминец и эсминец сопровождения (20371).</w:t>
      </w:r>
    </w:p>
    <w:p w14:paraId="0F0F744E" w14:textId="77777777" w:rsidR="007D191E" w:rsidRPr="00F90EAE" w:rsidRDefault="007D191E" w:rsidP="00F90EAE">
      <w:pPr>
        <w:jc w:val="both"/>
        <w:rPr>
          <w:color w:val="0070C0"/>
          <w:sz w:val="16"/>
          <w:szCs w:val="16"/>
        </w:rPr>
      </w:pPr>
    </w:p>
    <w:p w14:paraId="666B92FC" w14:textId="77777777" w:rsidR="00DE25E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7F2BA31" w14:textId="77777777" w:rsidR="00DE25E5" w:rsidRPr="00F90EAE" w:rsidRDefault="00DE25E5" w:rsidP="00F90EAE">
      <w:pPr>
        <w:autoSpaceDE w:val="0"/>
        <w:autoSpaceDN w:val="0"/>
        <w:adjustRightInd w:val="0"/>
        <w:jc w:val="both"/>
        <w:rPr>
          <w:iCs/>
          <w:color w:val="000000" w:themeColor="text1"/>
          <w:sz w:val="16"/>
          <w:szCs w:val="16"/>
        </w:rPr>
      </w:pPr>
    </w:p>
    <w:p w14:paraId="45DDD22D" w14:textId="77777777" w:rsidR="00DE25E5" w:rsidRPr="00F90EAE" w:rsidRDefault="00DE25E5" w:rsidP="00F90EAE">
      <w:pPr>
        <w:shd w:val="clear" w:color="auto" w:fill="FFFFFF"/>
        <w:jc w:val="both"/>
        <w:rPr>
          <w:color w:val="000000" w:themeColor="text1"/>
          <w:sz w:val="16"/>
          <w:szCs w:val="16"/>
        </w:rPr>
      </w:pPr>
      <w:r w:rsidRPr="00F90EAE">
        <w:rPr>
          <w:color w:val="000000" w:themeColor="text1"/>
          <w:sz w:val="16"/>
          <w:szCs w:val="16"/>
        </w:rPr>
        <w:t>В начале апреля 1945 самолет Ер-2ОН приготовили к беспосадочному перелету Иркутск – Москва (аэродром Тушино). Разрешение на его выполнение В.Г. Ермолаевым было получено у Наркома А.И.Шахурина еще в конце ноября 1944 года (15223).</w:t>
      </w:r>
    </w:p>
    <w:p w14:paraId="69D4E329" w14:textId="77777777" w:rsidR="00DE25E5" w:rsidRPr="00F90EAE" w:rsidRDefault="00DE25E5" w:rsidP="00F90EAE">
      <w:pPr>
        <w:shd w:val="clear" w:color="auto" w:fill="FFFFFF"/>
        <w:jc w:val="both"/>
        <w:rPr>
          <w:color w:val="000000" w:themeColor="text1"/>
          <w:sz w:val="16"/>
          <w:szCs w:val="16"/>
        </w:rPr>
      </w:pPr>
    </w:p>
    <w:p w14:paraId="271B7B6E" w14:textId="77777777" w:rsidR="009104CE" w:rsidRPr="00F90EAE" w:rsidRDefault="009104CE"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45AF523" w14:textId="77777777" w:rsidR="009104CE" w:rsidRPr="00F90EAE" w:rsidRDefault="009104CE" w:rsidP="00F90EAE">
      <w:pPr>
        <w:autoSpaceDE w:val="0"/>
        <w:autoSpaceDN w:val="0"/>
        <w:adjustRightInd w:val="0"/>
        <w:jc w:val="both"/>
        <w:rPr>
          <w:iCs/>
          <w:color w:val="000000" w:themeColor="text1"/>
          <w:sz w:val="16"/>
          <w:szCs w:val="16"/>
        </w:rPr>
      </w:pPr>
    </w:p>
    <w:p w14:paraId="107B392D" w14:textId="77777777" w:rsidR="009104CE" w:rsidRPr="00F90EAE" w:rsidRDefault="009104CE"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К началу апреля 1945 ситуация с производством ИС-3 выглядела далёкой от идеальной. Фактически все танки, построенные на ЧКЗ, являлись лишь условно принятыми. Их ещё требовалось доработать, причём список доработок был немаленьким. Такая ситуация не мешала корпусным заводам готовиться к полномасштабному выпуску танка. Например, УЗТМ за март 1945 года отлил 32 башни (при заказе 24) и сдал 7 штук. В апреле УЗТМ сдал 38 корпусов и 25 башен. Завод №200 в апреле сдал 25 комплектов корпусов и башен. Другой вопрос, что уже имелся нехороший звоночек. Как уже говорилось, при обстреле башни на НИБТ Полигоне, состоявшемся 12-16 апреля 1945 года, башня раскололась после 29 выстрелов. Броню, из которой отлили башню, признали хрупкой (19731).</w:t>
      </w:r>
    </w:p>
    <w:p w14:paraId="624D37AE" w14:textId="77777777" w:rsidR="009104CE" w:rsidRPr="00F90EAE" w:rsidRDefault="009104CE" w:rsidP="00F90EAE">
      <w:pPr>
        <w:pStyle w:val="ae"/>
        <w:shd w:val="clear" w:color="auto" w:fill="FFFFFF"/>
        <w:spacing w:before="0" w:after="0"/>
        <w:jc w:val="both"/>
        <w:textAlignment w:val="baseline"/>
        <w:rPr>
          <w:color w:val="000000" w:themeColor="text1"/>
          <w:sz w:val="16"/>
          <w:szCs w:val="16"/>
        </w:rPr>
      </w:pPr>
    </w:p>
    <w:p w14:paraId="475E013A" w14:textId="77777777" w:rsidR="009104CE" w:rsidRPr="00F90EAE" w:rsidRDefault="009104CE" w:rsidP="00F90EAE">
      <w:pPr>
        <w:jc w:val="both"/>
        <w:rPr>
          <w:color w:val="000000" w:themeColor="text1"/>
          <w:sz w:val="16"/>
          <w:szCs w:val="16"/>
        </w:rPr>
      </w:pPr>
      <w:r w:rsidRPr="00F90EAE">
        <w:rPr>
          <w:color w:val="000000" w:themeColor="text1"/>
          <w:sz w:val="16"/>
          <w:szCs w:val="16"/>
        </w:rPr>
        <w:t>В начале апреля 1945 началось обсуждение перспектив серийного производства новой САУ СУ-85 на ГАЗ им. Молотова. Заводское руководство считало, что на подготовку к выпуску потребуется 1,5–2 месяца. Таким образом, производство могло начаться где-то в июне. Но после 9 мая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7C61E0F0" w14:textId="77777777" w:rsidR="009104CE" w:rsidRPr="00F90EAE" w:rsidRDefault="009104CE" w:rsidP="00F90EAE">
      <w:pPr>
        <w:jc w:val="both"/>
        <w:rPr>
          <w:color w:val="000000" w:themeColor="text1"/>
          <w:sz w:val="16"/>
          <w:szCs w:val="16"/>
        </w:rPr>
      </w:pPr>
      <w:r w:rsidRPr="00F90EAE">
        <w:rPr>
          <w:color w:val="000000" w:themeColor="text1"/>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w:t>
      </w:r>
    </w:p>
    <w:p w14:paraId="51FF5358" w14:textId="77777777" w:rsidR="009104CE" w:rsidRPr="00F90EAE" w:rsidRDefault="009104CE" w:rsidP="00F90EAE">
      <w:pPr>
        <w:jc w:val="both"/>
        <w:rPr>
          <w:color w:val="000000" w:themeColor="text1"/>
          <w:sz w:val="16"/>
          <w:szCs w:val="16"/>
        </w:rPr>
      </w:pPr>
      <w:r w:rsidRPr="00F90EAE">
        <w:rPr>
          <w:color w:val="000000" w:themeColor="text1"/>
          <w:sz w:val="16"/>
          <w:szCs w:val="16"/>
        </w:rPr>
        <w:lastRenderedPageBreak/>
        <w:t>Появление работников КБ завода №235 на проходной Горьковского автозавода было связано с тем, что именно в Воткинске планировалось производство орудийных систем для СУ-85Б. Правда, это были не ЛБ-2. Производственные возможности завода №235 не позволяли делать стволы-моноблоки. Проблему решили в третьем проекте установки 85-мм пушки в СУ-76М. К марту 1945 года КБ завода №235 разработало несколько систем для установки в САУ, включая 85-мм В-13. Разработанная под руководством К.Ф. Федоренко система имела схожие с ЛБ-2 характеристики, включая длину отката. Проект одобрили, но после успешных испытаний ЛБ-2 заморозили. И вот теперь он пригодился.</w:t>
      </w:r>
    </w:p>
    <w:p w14:paraId="4B2D300F" w14:textId="77777777" w:rsidR="009104CE" w:rsidRPr="00F90EAE" w:rsidRDefault="009104CE" w:rsidP="00F90EAE">
      <w:pPr>
        <w:jc w:val="both"/>
        <w:rPr>
          <w:color w:val="000000" w:themeColor="text1"/>
          <w:sz w:val="16"/>
          <w:szCs w:val="16"/>
        </w:rPr>
      </w:pPr>
      <w:r w:rsidRPr="00F90EAE">
        <w:rPr>
          <w:color w:val="000000" w:themeColor="text1"/>
          <w:sz w:val="16"/>
          <w:szCs w:val="16"/>
        </w:rPr>
        <w:t>Испытания СУ-85Б с составным стволом от системы В-13с начались 4 августа 1945 года и продолжались до 6 сентября. Всего было произведено 1195 выстрелов, из них 550 усиленным зарядом. 23 июля на Гороховецкий АНИОП, где проходили испытания, поступил ствол-моноблок. После его установки на СУ-85Б было произведено 424 выстрела. Оба ствола показали удовлетворительную живучесть.</w:t>
      </w:r>
    </w:p>
    <w:p w14:paraId="1F99882B" w14:textId="77777777" w:rsidR="009104CE" w:rsidRPr="00F90EAE" w:rsidRDefault="009104CE" w:rsidP="00F90EAE">
      <w:pPr>
        <w:jc w:val="both"/>
        <w:rPr>
          <w:color w:val="000000" w:themeColor="text1"/>
          <w:sz w:val="16"/>
          <w:szCs w:val="16"/>
        </w:rPr>
      </w:pPr>
      <w:r w:rsidRPr="00F90EAE">
        <w:rPr>
          <w:color w:val="000000" w:themeColor="text1"/>
          <w:sz w:val="16"/>
          <w:szCs w:val="16"/>
        </w:rPr>
        <w:t>Но время оказалось упущено. ГАЗ, разумеется, ни о каком производстве СУ-85Б и слушать не хотел, да и на заводе №40 производство СУ-76М постепенно подходило к концу. А в ГБТУ КА уже грезили о чём-то новом. В конце 1945 года были составлены тактико-технические требования на 25-тонную САУ, верхняя лобовая часть которой не должна была пробиваться немецким 88-мм орудием Pak 43. В качестве вооружения планировалось использовать 85-мм пушку с начальной скоростью снаряда 900 м/с. Вероятно, именно для этой САУ на заводе №40 проектировался 400-сильный двигатель. Правда, эти «хотелки» закончились ничем. Только почти полтора десятилетия спустя, 6 августа 1958 года, на вооружение Советской Армии приняли лёгкую САУ СУ-85, более известную под неиспользовавшимся в документах названием АСУ-85. Её разработали на заводе №40 под руководством Астрова (19098).</w:t>
      </w:r>
    </w:p>
    <w:p w14:paraId="60098F7E" w14:textId="77777777" w:rsidR="009104CE" w:rsidRPr="00F90EAE" w:rsidRDefault="009104CE" w:rsidP="00F90EAE">
      <w:pPr>
        <w:jc w:val="both"/>
        <w:rPr>
          <w:color w:val="000000" w:themeColor="text1"/>
          <w:sz w:val="16"/>
          <w:szCs w:val="16"/>
        </w:rPr>
      </w:pPr>
    </w:p>
    <w:p w14:paraId="69D2C59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5F40701" w14:textId="77777777" w:rsidR="00665165" w:rsidRPr="00F90EAE" w:rsidRDefault="00665165" w:rsidP="00F90EAE">
      <w:pPr>
        <w:autoSpaceDE w:val="0"/>
        <w:autoSpaceDN w:val="0"/>
        <w:adjustRightInd w:val="0"/>
        <w:jc w:val="both"/>
        <w:rPr>
          <w:iCs/>
          <w:color w:val="000000" w:themeColor="text1"/>
          <w:sz w:val="16"/>
          <w:szCs w:val="16"/>
        </w:rPr>
      </w:pPr>
    </w:p>
    <w:p w14:paraId="0DBD8B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апреля 1945 6, 7 и 8 польские шаб 2 АД были перебазированы с Украины в Польшу (241,37).</w:t>
      </w:r>
    </w:p>
    <w:p w14:paraId="3BA07AEB" w14:textId="77777777" w:rsidR="00665165" w:rsidRPr="00F90EAE" w:rsidRDefault="00665165" w:rsidP="00F90EAE">
      <w:pPr>
        <w:autoSpaceDE w:val="0"/>
        <w:autoSpaceDN w:val="0"/>
        <w:adjustRightInd w:val="0"/>
        <w:jc w:val="both"/>
        <w:rPr>
          <w:color w:val="000000" w:themeColor="text1"/>
          <w:sz w:val="16"/>
          <w:szCs w:val="16"/>
        </w:rPr>
      </w:pPr>
    </w:p>
    <w:p w14:paraId="16984E28" w14:textId="77777777" w:rsidR="009104CE" w:rsidRPr="00F90EAE" w:rsidRDefault="009104CE"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BFB24A1" w14:textId="77777777" w:rsidR="009104CE" w:rsidRPr="00F90EAE" w:rsidRDefault="009104CE" w:rsidP="00F90EAE">
      <w:pPr>
        <w:autoSpaceDE w:val="0"/>
        <w:autoSpaceDN w:val="0"/>
        <w:adjustRightInd w:val="0"/>
        <w:jc w:val="both"/>
        <w:rPr>
          <w:iCs/>
          <w:color w:val="000000" w:themeColor="text1"/>
          <w:sz w:val="16"/>
          <w:szCs w:val="16"/>
        </w:rPr>
      </w:pPr>
    </w:p>
    <w:p w14:paraId="1CB91500" w14:textId="77777777" w:rsidR="009104CE" w:rsidRPr="00F90EAE" w:rsidRDefault="009104CE" w:rsidP="00F90EAE">
      <w:pPr>
        <w:jc w:val="both"/>
        <w:rPr>
          <w:color w:val="000000" w:themeColor="text1"/>
          <w:sz w:val="16"/>
          <w:szCs w:val="16"/>
        </w:rPr>
      </w:pPr>
      <w:r w:rsidRPr="00F90EAE">
        <w:rPr>
          <w:color w:val="000000" w:themeColor="text1"/>
          <w:sz w:val="16"/>
          <w:szCs w:val="16"/>
        </w:rPr>
        <w:t>В начале апреля 1945 года был отдан приказ об эвакуации конструкторского бюро Вернера фон Брауна из Пенемюнде на юг Германии, в Баварию — советские войска были совсем близко. Инженеры разместились в Оберйохе, горнолыжном курорте, расположенном в горах. Ракетная элита Германии ожидала окончания войны.</w:t>
      </w:r>
    </w:p>
    <w:p w14:paraId="036752AE" w14:textId="77777777" w:rsidR="009104CE" w:rsidRPr="00F90EAE" w:rsidRDefault="009104CE" w:rsidP="00F90EAE">
      <w:pPr>
        <w:jc w:val="both"/>
        <w:rPr>
          <w:color w:val="000000" w:themeColor="text1"/>
          <w:sz w:val="16"/>
          <w:szCs w:val="16"/>
        </w:rPr>
      </w:pPr>
      <w:r w:rsidRPr="00F90EAE">
        <w:rPr>
          <w:color w:val="000000" w:themeColor="text1"/>
          <w:sz w:val="16"/>
          <w:szCs w:val="16"/>
        </w:rPr>
        <w:t>Как вспоминал доктор Конрад Даненберг: «У нас было несколько секретных совещаний с фон Брауном и его коллегами, чтобы обсудить вопрос: что мы будем делать по окончании войны. Мы обдумывали, стоит ли нам сдаться русским. У нас были сведения о том, что русские заинтересованы в ракетной технологии. Но мы слышали о русских так много плохого. Мы все понимали, что ракета Фау-2 является огромным вкладом в высокие технологии, и мы надеялись, что это поможет нам остаться в живых...».</w:t>
      </w:r>
    </w:p>
    <w:p w14:paraId="2DDBA119" w14:textId="77777777" w:rsidR="009104CE" w:rsidRPr="00F90EAE" w:rsidRDefault="009104CE" w:rsidP="00F90EAE">
      <w:pPr>
        <w:jc w:val="both"/>
        <w:rPr>
          <w:color w:val="000000" w:themeColor="text1"/>
          <w:sz w:val="16"/>
          <w:szCs w:val="16"/>
        </w:rPr>
      </w:pPr>
      <w:r w:rsidRPr="00F90EAE">
        <w:rPr>
          <w:color w:val="000000" w:themeColor="text1"/>
          <w:sz w:val="16"/>
          <w:szCs w:val="16"/>
        </w:rPr>
        <w:t>В ходе этих совещаний было принято решение сдаваться американцам, так как было наивно рассчитывать на теплый прием англичан после обстрелов Лондона немецкими ракетами.</w:t>
      </w:r>
    </w:p>
    <w:p w14:paraId="5DC00549" w14:textId="77777777" w:rsidR="009104CE" w:rsidRPr="00F90EAE" w:rsidRDefault="009104CE" w:rsidP="00F90EAE">
      <w:pPr>
        <w:jc w:val="both"/>
        <w:rPr>
          <w:color w:val="000000" w:themeColor="text1"/>
          <w:sz w:val="16"/>
          <w:szCs w:val="16"/>
        </w:rPr>
      </w:pPr>
      <w:r w:rsidRPr="00F90EAE">
        <w:rPr>
          <w:color w:val="000000" w:themeColor="text1"/>
          <w:sz w:val="16"/>
          <w:szCs w:val="16"/>
        </w:rPr>
        <w:t>«Ракетный барон» понимал, что уникальные знания его команды инженеров могут обеспечить почетный прием после войны, и 30 апреля 1945 года, после сообщения о смерти Гитлера, фон Браун сдался американским разведчикам (19627).</w:t>
      </w:r>
    </w:p>
    <w:p w14:paraId="2A97AD1E" w14:textId="77777777" w:rsidR="009104CE" w:rsidRPr="00F90EAE" w:rsidRDefault="009104CE" w:rsidP="00F90EAE">
      <w:pPr>
        <w:jc w:val="both"/>
        <w:rPr>
          <w:color w:val="000000" w:themeColor="text1"/>
          <w:sz w:val="16"/>
          <w:szCs w:val="16"/>
        </w:rPr>
      </w:pPr>
    </w:p>
    <w:p w14:paraId="17D92B7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1647C33" w14:textId="77777777" w:rsidR="00665165" w:rsidRPr="00F90EAE" w:rsidRDefault="00665165" w:rsidP="00F90EAE">
      <w:pPr>
        <w:autoSpaceDE w:val="0"/>
        <w:autoSpaceDN w:val="0"/>
        <w:adjustRightInd w:val="0"/>
        <w:jc w:val="both"/>
        <w:rPr>
          <w:iCs/>
          <w:color w:val="000000" w:themeColor="text1"/>
          <w:sz w:val="16"/>
          <w:szCs w:val="16"/>
        </w:rPr>
      </w:pPr>
    </w:p>
    <w:p w14:paraId="06FD64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ВВС утвердили ТТТ к дальнему высотному бомбардировщику А.Н.Т. 64 - скорость 610 км/час и дальность 5000 км с 5000 кг бомб и АМ-43ТК-300Б или АМ-46ТК-300 (2397,56).</w:t>
      </w:r>
    </w:p>
    <w:p w14:paraId="42038B43" w14:textId="77777777" w:rsidR="00665165" w:rsidRPr="00F90EAE" w:rsidRDefault="00665165" w:rsidP="00F90EAE">
      <w:pPr>
        <w:autoSpaceDE w:val="0"/>
        <w:autoSpaceDN w:val="0"/>
        <w:adjustRightInd w:val="0"/>
        <w:jc w:val="both"/>
        <w:rPr>
          <w:color w:val="000000" w:themeColor="text1"/>
          <w:sz w:val="16"/>
          <w:szCs w:val="16"/>
        </w:rPr>
      </w:pPr>
    </w:p>
    <w:p w14:paraId="1D025582" w14:textId="77777777" w:rsidR="00AE29CF" w:rsidRPr="00F90EAE" w:rsidRDefault="00AE29CF" w:rsidP="00F90EAE">
      <w:pPr>
        <w:jc w:val="both"/>
        <w:rPr>
          <w:color w:val="000000" w:themeColor="text1"/>
          <w:sz w:val="16"/>
          <w:szCs w:val="16"/>
        </w:rPr>
      </w:pPr>
      <w:r w:rsidRPr="00F90EAE">
        <w:rPr>
          <w:color w:val="000000" w:themeColor="text1"/>
          <w:sz w:val="16"/>
          <w:szCs w:val="16"/>
        </w:rPr>
        <w:t>7 апреля 1945 г. ВВС наконец утвердили тактико-технические требования на новый бомбардировщик.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(15568).</w:t>
      </w:r>
    </w:p>
    <w:p w14:paraId="7D971505" w14:textId="77777777" w:rsidR="00AE29CF" w:rsidRPr="00F90EAE" w:rsidRDefault="00AE29CF" w:rsidP="00F90EAE">
      <w:pPr>
        <w:jc w:val="both"/>
        <w:rPr>
          <w:color w:val="000000" w:themeColor="text1"/>
          <w:sz w:val="16"/>
          <w:szCs w:val="16"/>
        </w:rPr>
      </w:pPr>
    </w:p>
    <w:p w14:paraId="280E54E2"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ВВС наконец утвердили тактико-технические требования на новый бомбардировщик </w:t>
      </w:r>
      <w:hyperlink r:id="rId98" w:tgtFrame="_blank" w:history="1">
        <w:r w:rsidRPr="00F90EAE">
          <w:rPr>
            <w:color w:val="000000" w:themeColor="text1"/>
            <w:sz w:val="16"/>
            <w:szCs w:val="16"/>
          </w:rPr>
          <w:t xml:space="preserve">«Ту-64» («Ту-10»). </w:t>
        </w:r>
      </w:hyperlink>
      <w:r w:rsidRPr="00F90EAE">
        <w:rPr>
          <w:color w:val="000000" w:themeColor="text1"/>
          <w:sz w:val="16"/>
          <w:szCs w:val="16"/>
        </w:rPr>
        <w:t>Согласно им самолет должен был иметь следующие летно-технические данные: 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 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 (15092).</w:t>
      </w:r>
    </w:p>
    <w:p w14:paraId="48DB2384" w14:textId="77777777" w:rsidR="00DE25E5" w:rsidRPr="00F90EAE" w:rsidRDefault="00DE25E5" w:rsidP="00F90EAE">
      <w:pPr>
        <w:jc w:val="both"/>
        <w:rPr>
          <w:color w:val="000000" w:themeColor="text1"/>
          <w:sz w:val="16"/>
          <w:szCs w:val="16"/>
        </w:rPr>
      </w:pPr>
    </w:p>
    <w:p w14:paraId="68BD6D1A" w14:textId="77777777" w:rsidR="007D191E" w:rsidRPr="00F90EAE" w:rsidRDefault="007D191E" w:rsidP="00F90EAE">
      <w:pPr>
        <w:jc w:val="both"/>
        <w:rPr>
          <w:color w:val="0070C0"/>
          <w:sz w:val="16"/>
          <w:szCs w:val="16"/>
        </w:rPr>
      </w:pPr>
      <w:r w:rsidRPr="00F90EAE">
        <w:rPr>
          <w:color w:val="0070C0"/>
          <w:sz w:val="16"/>
          <w:szCs w:val="16"/>
        </w:rPr>
        <w:t>7 апреля 1945 - ВВС наконец утвердили тактико-технические требования на новый бомбардировщик Ту-64 (Ту-10). Согласно им самолет должен был иметь следующие летно-технические данные:</w:t>
      </w:r>
    </w:p>
    <w:p w14:paraId="460F5CA1" w14:textId="77777777" w:rsidR="007D191E" w:rsidRPr="00F90EAE" w:rsidRDefault="007D191E" w:rsidP="00F90EAE">
      <w:pPr>
        <w:jc w:val="both"/>
        <w:rPr>
          <w:color w:val="0070C0"/>
          <w:sz w:val="16"/>
          <w:szCs w:val="16"/>
        </w:rPr>
      </w:pPr>
      <w:r w:rsidRPr="00F90EAE">
        <w:rPr>
          <w:color w:val="0070C0"/>
          <w:sz w:val="16"/>
          <w:szCs w:val="16"/>
        </w:rPr>
        <w:t>В силовой установке самолета предлагалось использовать двигатели АМ-43ТК-300Б или АМ-46ТК-300. Экипаж увеличивался до 10 человек за счет появления в передней герметичной кабине оператора РЛС.</w:t>
      </w:r>
    </w:p>
    <w:p w14:paraId="566172B0" w14:textId="77777777" w:rsidR="007D191E" w:rsidRPr="00F90EAE" w:rsidRDefault="007D191E" w:rsidP="00F90EAE">
      <w:pPr>
        <w:jc w:val="both"/>
        <w:rPr>
          <w:color w:val="0070C0"/>
          <w:sz w:val="16"/>
          <w:szCs w:val="16"/>
        </w:rPr>
      </w:pPr>
      <w:r w:rsidRPr="00F90EAE">
        <w:rPr>
          <w:color w:val="0070C0"/>
          <w:sz w:val="16"/>
          <w:szCs w:val="16"/>
          <w:shd w:val="clear" w:color="auto" w:fill="FFFFFF"/>
        </w:rPr>
        <w:t>Число пушечных установок было сокращено до 5, число пушек до 10. В разделе, касавшемся радиотехнического оборудования, появились требования к установке РЛС, радиовысотомеров малых и больших высот, радиоаппаратуры слепой посадки, аппаратуры дальнего самолетовождения по типу западной "Лоран-С", а также аппаратуры радиоопознавания и системы оповещения об облучении хвостовой части. 27 апреля 1945 г. макетная комиссия наконец утвердила макет "самолета 64" с четырьмя двигателями АМ-43ТК-300Б</w:t>
      </w:r>
      <w:r w:rsidRPr="00F90EAE">
        <w:rPr>
          <w:color w:val="0070C0"/>
          <w:sz w:val="16"/>
          <w:szCs w:val="16"/>
        </w:rPr>
        <w:t xml:space="preserve"> (22543).</w:t>
      </w:r>
    </w:p>
    <w:p w14:paraId="7379C0D9" w14:textId="77777777" w:rsidR="007D191E" w:rsidRPr="00F90EAE" w:rsidRDefault="007D191E" w:rsidP="00F90EAE">
      <w:pPr>
        <w:jc w:val="both"/>
        <w:rPr>
          <w:color w:val="0070C0"/>
          <w:sz w:val="16"/>
          <w:szCs w:val="16"/>
        </w:rPr>
      </w:pPr>
    </w:p>
    <w:p w14:paraId="19EE4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7 апреля с 23 февраля 1945 года в госиспытаниях Як-3Т, которые проходили с 17 февраля по 25 апреля, имел место большой перерыв для доводки маслосистемы для ликвидации выброса масла, но устранить данное явление полностью не удалось, добились лишь снижения выброса масла до четырех- шести литров в час.</w:t>
      </w:r>
    </w:p>
    <w:p w14:paraId="655BB1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09BE8D35" w14:textId="77777777" w:rsidR="00665165" w:rsidRPr="00F90EAE" w:rsidRDefault="00665165" w:rsidP="00F90EAE">
      <w:pPr>
        <w:autoSpaceDE w:val="0"/>
        <w:autoSpaceDN w:val="0"/>
        <w:adjustRightInd w:val="0"/>
        <w:jc w:val="both"/>
        <w:rPr>
          <w:color w:val="000000" w:themeColor="text1"/>
          <w:sz w:val="16"/>
          <w:szCs w:val="16"/>
        </w:rPr>
      </w:pPr>
    </w:p>
    <w:p w14:paraId="6E3BF3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первый опытный экз. ЛЛ-143 Г.М.Б., построенный в марте 1945, отправили по ж/д из Красноярска в Таганрог для проведения испытаний (1641,10).</w:t>
      </w:r>
    </w:p>
    <w:p w14:paraId="0CEC3B9F" w14:textId="77777777" w:rsidR="00665165" w:rsidRPr="00F90EAE" w:rsidRDefault="00665165" w:rsidP="00F90EAE">
      <w:pPr>
        <w:autoSpaceDE w:val="0"/>
        <w:autoSpaceDN w:val="0"/>
        <w:adjustRightInd w:val="0"/>
        <w:jc w:val="both"/>
        <w:rPr>
          <w:color w:val="000000" w:themeColor="text1"/>
          <w:sz w:val="16"/>
          <w:szCs w:val="16"/>
        </w:rPr>
      </w:pPr>
    </w:p>
    <w:p w14:paraId="5DB800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года зам. наркома Авиапрома генерал-лейтенант ИАС Дементьев писал письмо зам. наркома ВМФ адмиралу Галлеру.</w:t>
      </w:r>
    </w:p>
    <w:p w14:paraId="76F54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распоряжению ГОКО от 17.03.45 г. N 7861сс НИИ-1 проводит срочную работу для ВМФ по торпеде РАТ.</w:t>
      </w:r>
    </w:p>
    <w:p w14:paraId="39FB2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3F64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Вас оказать содействие в выполнении упомянутой работы срочно командировав в НИИ-1 на срок до 1.07.45 г. следующих конструкторов-торпедистов находящихся в рядах ВМФ (2595,36).</w:t>
      </w:r>
    </w:p>
    <w:p w14:paraId="4B2C2B8D" w14:textId="77777777" w:rsidR="00665165" w:rsidRPr="00F90EAE" w:rsidRDefault="00665165" w:rsidP="00F90EAE">
      <w:pPr>
        <w:autoSpaceDE w:val="0"/>
        <w:autoSpaceDN w:val="0"/>
        <w:adjustRightInd w:val="0"/>
        <w:jc w:val="both"/>
        <w:rPr>
          <w:color w:val="000000" w:themeColor="text1"/>
          <w:sz w:val="16"/>
          <w:szCs w:val="16"/>
        </w:rPr>
      </w:pPr>
    </w:p>
    <w:p w14:paraId="788FACA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ADF096A" w14:textId="77777777" w:rsidR="00665165" w:rsidRPr="00F90EAE" w:rsidRDefault="00665165" w:rsidP="00F90EAE">
      <w:pPr>
        <w:autoSpaceDE w:val="0"/>
        <w:autoSpaceDN w:val="0"/>
        <w:adjustRightInd w:val="0"/>
        <w:jc w:val="both"/>
        <w:rPr>
          <w:iCs/>
          <w:color w:val="000000" w:themeColor="text1"/>
          <w:sz w:val="16"/>
          <w:szCs w:val="16"/>
        </w:rPr>
      </w:pPr>
    </w:p>
    <w:p w14:paraId="1978E879"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тяжелого танка. Пушка, спаренная с пулеметом ДШК, должна была иметь скорострельность 4 выстрела в минуту и раздельное заряжание. По большому счету, эти ТТТ лишь возобновляли работу по 122-мм пушке БЛ-13, разработка которой была инициирована еще в декабре 1943 года. Пушка проектировалась ОКБ-172 на базе орудия Д-25Т с использованием ствола 122-мм самоходной пушки ОБМ-50 (БЛ-9) (17209).</w:t>
      </w:r>
    </w:p>
    <w:p w14:paraId="4E7B2FF1" w14:textId="77777777" w:rsidR="00FA59CB" w:rsidRPr="00F90EAE" w:rsidRDefault="00FA59CB" w:rsidP="00F90EAE">
      <w:pPr>
        <w:pStyle w:val="ae"/>
        <w:shd w:val="clear" w:color="auto" w:fill="FFFFFF"/>
        <w:spacing w:before="0" w:after="0"/>
        <w:jc w:val="both"/>
        <w:rPr>
          <w:color w:val="000000" w:themeColor="text1"/>
          <w:sz w:val="16"/>
          <w:szCs w:val="16"/>
        </w:rPr>
      </w:pPr>
    </w:p>
    <w:p w14:paraId="66EAFD0D"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7 апреля 1945 года были подписаны тактико-технические требования на разработку 122-мм пушки с начальной скоростью 1000 м/с, предназначенной для установки в башню тяжёлого танка. Пушка, спаренная с пулемётом ДШК, должна была иметь скорострельность 4 выстрела в минуту и раздельное заряжание.</w:t>
      </w:r>
    </w:p>
    <w:p w14:paraId="5FFAC705"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lastRenderedPageBreak/>
        <w:t>По большому счёту, эти ТТТ лишь возобновляли работу по 122-мм пушке БЛ-13, разработка которой была инициирована ещё в декабре 1943 года. Пушка проектировалась ОКБ-172 на базе орудия Д-25Т с использованием ствола 122-мм самоходной пушки ОБМ-50 (БЛ-9). Технический проект БЛ-13 ОКБ-172 и завод №100 начали разрабатывать в феврале 1944 года, первые наработки по теме появились в июле. По ряду причин вместо БЛ-13 на ИС-6 установили пушку Д-30, которая оказалась ненамного лучше, чем Д-25Т. И вот теперь у БЛ-13 появился второй шанс (16735).</w:t>
      </w:r>
    </w:p>
    <w:p w14:paraId="32B1E8DA" w14:textId="77777777" w:rsidR="00117BE3" w:rsidRPr="00F90EAE" w:rsidRDefault="00117BE3" w:rsidP="00F90EAE">
      <w:pPr>
        <w:shd w:val="clear" w:color="auto" w:fill="FFFFFF"/>
        <w:jc w:val="both"/>
        <w:rPr>
          <w:color w:val="000000" w:themeColor="text1"/>
          <w:sz w:val="16"/>
          <w:szCs w:val="16"/>
        </w:rPr>
      </w:pPr>
    </w:p>
    <w:p w14:paraId="6E3ECB7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апреля 1945 вышло Распоряжение ГКО № 8057 [О доставке Главторфу НКЭС листового железа, тракторных запчастей и горючего по фондам I кв. 1945 г.] (7322, 163).</w:t>
      </w:r>
    </w:p>
    <w:p w14:paraId="7A1046A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D737E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года И.В. Курчатов составил заключение по новым поступившим разведданным, по характеристикам ядерных материалов, по особенностям атомной бомбы на принципе имплозии и по вопросам электромагнитного метода разделения изотопов урана. По характеристикам ядерных материалов он отмечает важность полученной таблицы точных сечений деления урана-235 и плутония-239 быстрыми нейтронами различных энергий, которая позволяет надежно определить критические размеры атомной бомбы. Благодаря этому, можно признать, что приведенные в материалах формулы для критического радиуса могут быть правильными с точностью до 2%, как это указано в тексте. В то же время осталось неясным, как могла быть достигнута столь высокая точность в определении сечений деления, и было бы важно получить сведения об опытах по размножению нейтронов, которые проводились с большими количествами урана-235 или плутония. (Можно предполагать, что эти данные внесли существенные коррективы в представления наших специалистов о величине критической массы делящихся материалов, в частности, урана-235) (10549).</w:t>
      </w:r>
    </w:p>
    <w:p w14:paraId="32C19077" w14:textId="77777777" w:rsidR="00665165" w:rsidRPr="00F90EAE" w:rsidRDefault="00665165" w:rsidP="00F90EAE">
      <w:pPr>
        <w:autoSpaceDE w:val="0"/>
        <w:autoSpaceDN w:val="0"/>
        <w:adjustRightInd w:val="0"/>
        <w:jc w:val="both"/>
        <w:rPr>
          <w:color w:val="000000" w:themeColor="text1"/>
          <w:sz w:val="16"/>
          <w:szCs w:val="16"/>
        </w:rPr>
      </w:pPr>
    </w:p>
    <w:p w14:paraId="46CFF10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25F9F65" w14:textId="77777777" w:rsidR="00665165" w:rsidRPr="00F90EAE" w:rsidRDefault="00665165" w:rsidP="00F90EAE">
      <w:pPr>
        <w:autoSpaceDE w:val="0"/>
        <w:autoSpaceDN w:val="0"/>
        <w:adjustRightInd w:val="0"/>
        <w:jc w:val="both"/>
        <w:rPr>
          <w:iCs/>
          <w:color w:val="000000" w:themeColor="text1"/>
          <w:sz w:val="16"/>
          <w:szCs w:val="16"/>
        </w:rPr>
      </w:pPr>
    </w:p>
    <w:p w14:paraId="1972C275" w14:textId="77777777" w:rsidR="00AE29CF" w:rsidRPr="00F90EAE" w:rsidRDefault="00AE29CF"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оперативная сводка Совинформбюро:</w:t>
      </w:r>
    </w:p>
    <w:p w14:paraId="629AB108" w14:textId="77777777" w:rsidR="00AE29CF" w:rsidRPr="00F90EAE" w:rsidRDefault="00AE29CF" w:rsidP="00F90EAE">
      <w:pPr>
        <w:jc w:val="both"/>
        <w:rPr>
          <w:color w:val="000000" w:themeColor="text1"/>
          <w:sz w:val="16"/>
          <w:szCs w:val="16"/>
        </w:rPr>
      </w:pPr>
      <w:r w:rsidRPr="00F90EAE">
        <w:rPr>
          <w:color w:val="000000" w:themeColor="text1"/>
          <w:sz w:val="16"/>
          <w:szCs w:val="16"/>
        </w:rPr>
        <w:t>«В течение 7 апреля в полосе Карпат, северо-западнее города Ружомберок, войска 4-го Украинского фронта с боями заняли более 30 населённых пунктов; среди них — Бренка, Малинка, Камешница, Уйсолы, Розтоки, Станковани, Гомбаш.</w:t>
      </w:r>
    </w:p>
    <w:p w14:paraId="63867864" w14:textId="77777777" w:rsidR="00AE29CF" w:rsidRPr="00F90EAE" w:rsidRDefault="00AE29CF" w:rsidP="00F90EAE">
      <w:pPr>
        <w:jc w:val="both"/>
        <w:rPr>
          <w:color w:val="000000" w:themeColor="text1"/>
          <w:sz w:val="16"/>
          <w:szCs w:val="16"/>
        </w:rPr>
      </w:pPr>
      <w:r w:rsidRPr="00F90EAE">
        <w:rPr>
          <w:color w:val="000000" w:themeColor="text1"/>
          <w:sz w:val="16"/>
          <w:szCs w:val="16"/>
        </w:rPr>
        <w:t>Северо-восточнее и севернее Братиславы войска 2-го Украинского фронта, продолжая наступление, заняли город Нове-Место и более 50 других населённых пунктов, в том числе крупные населённые пункты Кшинна, Угровец, Калныца, Чахтице, Костолне, Брезова, Глбоке, Сеница, Чачов, Штепанов, Смолинске. В этом районе на нашу сторону перешли с полным вооружением остатки 24-й венгерской пехотной дивизии во главе с командиром дивизии полковником Мужон и его штабом.</w:t>
      </w:r>
    </w:p>
    <w:p w14:paraId="38C5712A" w14:textId="77777777" w:rsidR="00AE29CF" w:rsidRPr="00F90EAE" w:rsidRDefault="00AE29CF" w:rsidP="00F90EAE">
      <w:pPr>
        <w:jc w:val="both"/>
        <w:rPr>
          <w:color w:val="000000" w:themeColor="text1"/>
          <w:sz w:val="16"/>
          <w:szCs w:val="16"/>
        </w:rPr>
      </w:pPr>
      <w:r w:rsidRPr="00F90EAE">
        <w:rPr>
          <w:color w:val="000000" w:themeColor="text1"/>
          <w:sz w:val="16"/>
          <w:szCs w:val="16"/>
        </w:rPr>
        <w:t>В районе Вены войска 3-го Украинского фронта, продолжая наступление, заняли города Медлинг, Прессбаум, Клостернойбург, вышли к Дунаю северо-западнее Вены и завязали уличные бои в южной части города Вены. Одновременно юго-западнее озера Балатон войска фронта, наступая совместно с войсками болгарской армии, заняли город и железнодорожный узел Чаковец, город и железнодорожную станцию Мурско-Средиште. В боях за 6 апреля войска фронта взяли в плен более 3.600 солдат и офицеров противника и захватили следующие трофеи: самолётов — 11, танков—22, полевых орудий—78, пулемётов—127.</w:t>
      </w:r>
    </w:p>
    <w:p w14:paraId="09933420" w14:textId="77777777" w:rsidR="00AE29CF" w:rsidRPr="00F90EAE" w:rsidRDefault="00AE29CF"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6F435742" w14:textId="77777777" w:rsidR="00AE29CF" w:rsidRPr="00F90EAE" w:rsidRDefault="00AE29CF" w:rsidP="00F90EAE">
      <w:pPr>
        <w:jc w:val="both"/>
        <w:rPr>
          <w:color w:val="000000" w:themeColor="text1"/>
          <w:sz w:val="16"/>
          <w:szCs w:val="16"/>
        </w:rPr>
      </w:pPr>
      <w:r w:rsidRPr="00F90EAE">
        <w:rPr>
          <w:color w:val="000000" w:themeColor="text1"/>
          <w:sz w:val="16"/>
          <w:szCs w:val="16"/>
        </w:rPr>
        <w:t>За 6 апреля на всех фронтах подбито и уничтожено 28 немецких танков и самоходных орудий. В воздушных боях и огнём зенитной артиллерии сбито 14 самолётов противника.</w:t>
      </w:r>
    </w:p>
    <w:p w14:paraId="0577828E" w14:textId="77777777" w:rsidR="00AE29CF" w:rsidRPr="00F90EAE" w:rsidRDefault="00AE29CF" w:rsidP="00F90EAE">
      <w:pPr>
        <w:jc w:val="both"/>
        <w:rPr>
          <w:color w:val="000000" w:themeColor="text1"/>
          <w:sz w:val="16"/>
          <w:szCs w:val="16"/>
        </w:rPr>
      </w:pPr>
      <w:r w:rsidRPr="00F90EAE">
        <w:rPr>
          <w:color w:val="000000" w:themeColor="text1"/>
          <w:sz w:val="16"/>
          <w:szCs w:val="16"/>
        </w:rPr>
        <w:t>В полосе Карпат войска 4-го Украинского фронта с боями продвигались вперёд. Наша пехота преодолела горный хребет Бескид Жывецки и атаковала немцев, сосредоточившихся в узкой горной долине. В результате стремительного удара вражеские подразделения были разгромлены. На поле боя осталось много трупов солдат и офицеров противника. Захвачено 5 орудий, 60 автомашин и взято в плен более 100 немцев. На другом участке противник укрепился на склонах гор и сильным огнём преграждал путь нашим войскам. Советские части совершили обходный манёвр и с фланга атаковали немцев. Гитлеровцы не выдержали удара и стали поспешно отступать. Развивая успех, наши войска овладели железнодорожной станцией Станковани и захватили 3 паровоза и 126 вагонов с грузами.</w:t>
      </w:r>
    </w:p>
    <w:p w14:paraId="54D83390" w14:textId="77777777" w:rsidR="00AE29CF" w:rsidRPr="00F90EAE" w:rsidRDefault="00AE29CF" w:rsidP="00F90EAE">
      <w:pPr>
        <w:jc w:val="both"/>
        <w:rPr>
          <w:color w:val="000000" w:themeColor="text1"/>
          <w:sz w:val="16"/>
          <w:szCs w:val="16"/>
        </w:rPr>
      </w:pPr>
      <w:r w:rsidRPr="00F90EAE">
        <w:rPr>
          <w:color w:val="000000" w:themeColor="text1"/>
          <w:sz w:val="16"/>
          <w:szCs w:val="16"/>
        </w:rPr>
        <w:t>Северо-восточнее Братиславы наши войска продолжали вести наступательные бои. Противник, опираясь на заранее подготовленные оборонительные рубежи, оказывает упорное сопротивление и часто переходит в контратаки. Советские части, продвигаясь на север вдоль реки Ваг, вышли на подступы к сильно укреплённому пункту обороны немцев городу Нове-Место. Гитлеровцы пытались любой ценой удержать этот город в своих руках. Они спешно подтянули резервы и бросили их в бой. Наши войска выбили врага с господствующих над местностью высот, а затем в результате боя овладели городом Нове-Место — важным узлом путей сообщения.</w:t>
      </w:r>
    </w:p>
    <w:p w14:paraId="053EFB13" w14:textId="77777777" w:rsidR="00AE29CF" w:rsidRPr="00F90EAE" w:rsidRDefault="00AE29CF" w:rsidP="00F90EAE">
      <w:pPr>
        <w:jc w:val="both"/>
        <w:rPr>
          <w:color w:val="000000" w:themeColor="text1"/>
          <w:sz w:val="16"/>
          <w:szCs w:val="16"/>
        </w:rPr>
      </w:pPr>
      <w:r w:rsidRPr="00F90EAE">
        <w:rPr>
          <w:color w:val="000000" w:themeColor="text1"/>
          <w:sz w:val="16"/>
          <w:szCs w:val="16"/>
        </w:rPr>
        <w:t>Севернее Братиславы советские пехотинцы с боями продвигались вперёд в трудных условиях горно-лесистой местности. Широко применяя обходные манёвры, наши подразделения окружают вражеские опорные пункты и ликвидируют их гарнизоны. Советские части переправились через реку Миява и заняли населённый пункт Сеница, находящийся в 25 километрах от чехословацкого города Годонин. Нанесены тяжёлые потери немецкой пехотной дивизии, всего лишь несколько дней назад введённой в бой на этом участке фронта.</w:t>
      </w:r>
    </w:p>
    <w:p w14:paraId="5C32C09F" w14:textId="77777777" w:rsidR="00AE29CF" w:rsidRPr="00F90EAE" w:rsidRDefault="00AE29CF" w:rsidP="00F90EAE">
      <w:pPr>
        <w:jc w:val="both"/>
        <w:rPr>
          <w:color w:val="000000" w:themeColor="text1"/>
          <w:sz w:val="16"/>
          <w:szCs w:val="16"/>
        </w:rPr>
      </w:pPr>
      <w:r w:rsidRPr="00F90EAE">
        <w:rPr>
          <w:color w:val="000000" w:themeColor="text1"/>
          <w:sz w:val="16"/>
          <w:szCs w:val="16"/>
        </w:rPr>
        <w:t>В районе Вены войска 3-го Украинского фронта продолжали наступление. Наши подвижные соединения и пехота после упорных боёв овладели городом Прессбаум, расположенным на железной дороге Вена— Линц. Развивая успех, советские части продвинулись вперёд на 20 километров и штурмом заняли город Клостернойбург на правом берегу Дуная, в 5 километрах северо-западнее Вены. Таким образом, наши войска обошли Вену не только с юго-востока и юга, но также с запада и северо-запада. Противник упорно сопротивляется и цепляется за каждый рубеж, стремясь остановить наши наступающие части. Наряду с танковыми и пехотными дивизиями немцы бросают в бой запасные полки, части особого назначения, жандармские отряды, курсантов офицерских школ и другие подразделения. Наши войска, отбивая вражеские контратаки и отбрасывая противника, настойчиво продвигаются вперёд. Овладев пригородами, советские штурмовые группы ведут уличные бои в южной части города Вены. Заняты арсенал и другие опорные пункты немцев. В течение дня уничтожено до 3 тысяч солдат и офицеров противника. Советские лётчики уничтожили немецкий бронепоезд и эшелон с боеприпасами.</w:t>
      </w:r>
    </w:p>
    <w:p w14:paraId="221480DC" w14:textId="77777777" w:rsidR="00AE29CF" w:rsidRPr="00F90EAE" w:rsidRDefault="00AE29CF" w:rsidP="00F90EAE">
      <w:pPr>
        <w:jc w:val="both"/>
        <w:rPr>
          <w:color w:val="000000" w:themeColor="text1"/>
          <w:sz w:val="16"/>
          <w:szCs w:val="16"/>
        </w:rPr>
      </w:pPr>
      <w:r w:rsidRPr="00F90EAE">
        <w:rPr>
          <w:color w:val="000000" w:themeColor="text1"/>
          <w:sz w:val="16"/>
          <w:szCs w:val="16"/>
        </w:rPr>
        <w:t>Подразделение гвардии майора Ганзенко, обойдя сильно укреплённый опорный пункт немцев, с тыла атаковало вражеский гарнизон. В результате ожесточённого уличного боя советские гвардейцы разгромили противника и овладели опорным пунктом. В ходе боя уничтожено более роты гитлеровцев. Захвачено 17 зенитных орудий, 8 станковых пулемётов и склад с боеприпасами. Два наших танка с десантом автоматчиков под командой гвардии старшего сержанта Кузнецова переправились через реку и закрепились на её западном берегу. Отражая вражеские контратаки, советские бойцы уничтожили 2 немецких танка, самоходное орудие, бронетранспортёр и обеспечили переправу через реку своего батальона. Гвардейцы-автоматчики под командованием лейтенанта Данилова выбили немцев из одного населённого пункта. Автоматчики истребили большую группу гитлеровцев и взяли 70 пленных. Гвардии сержант Хорсов ночью подполз к вражескому бронетранспортёру, подорвал его гранатой, а затем уничтожил находившихся в бронетранспортёре немцев.</w:t>
      </w:r>
    </w:p>
    <w:p w14:paraId="07A03D62" w14:textId="77777777" w:rsidR="00AE29CF" w:rsidRPr="00F90EAE" w:rsidRDefault="00AE29CF"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Данцигской бухте немецкий эсминец и транспорт водоизмещением в 5 тысяч тонн. Кроме того, повреждены две быстроходные десантные баржи и один миноносец противника.» (15092).</w:t>
      </w:r>
    </w:p>
    <w:p w14:paraId="295F9AB1" w14:textId="77777777" w:rsidR="00AE29CF" w:rsidRPr="00F90EAE" w:rsidRDefault="00AE29CF" w:rsidP="00F90EAE">
      <w:pPr>
        <w:jc w:val="both"/>
        <w:rPr>
          <w:color w:val="000000" w:themeColor="text1"/>
          <w:sz w:val="16"/>
          <w:szCs w:val="16"/>
        </w:rPr>
      </w:pPr>
    </w:p>
    <w:p w14:paraId="53BE33B8" w14:textId="77777777" w:rsidR="00AE29CF" w:rsidRPr="00F90EAE" w:rsidRDefault="00AE29CF"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советские войска охватили Вену с востока, юга и запада (15092).</w:t>
      </w:r>
    </w:p>
    <w:p w14:paraId="42D2F542" w14:textId="77777777" w:rsidR="00AE29CF" w:rsidRPr="00F90EAE" w:rsidRDefault="00AE29CF" w:rsidP="00F90EAE">
      <w:pPr>
        <w:jc w:val="both"/>
        <w:rPr>
          <w:color w:val="000000" w:themeColor="text1"/>
          <w:sz w:val="16"/>
          <w:szCs w:val="16"/>
        </w:rPr>
      </w:pPr>
    </w:p>
    <w:p w14:paraId="3217AF8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7 1945 Russians enter Vienna (1037).</w:t>
      </w:r>
    </w:p>
    <w:p w14:paraId="51B5C3FB" w14:textId="77777777" w:rsidR="00665165" w:rsidRPr="00F90EAE" w:rsidRDefault="00665165" w:rsidP="00F90EAE">
      <w:pPr>
        <w:autoSpaceDE w:val="0"/>
        <w:autoSpaceDN w:val="0"/>
        <w:adjustRightInd w:val="0"/>
        <w:jc w:val="both"/>
        <w:rPr>
          <w:color w:val="000000" w:themeColor="text1"/>
          <w:sz w:val="16"/>
          <w:szCs w:val="16"/>
          <w:lang w:val="en-US"/>
        </w:rPr>
      </w:pPr>
    </w:p>
    <w:p w14:paraId="452C4A4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7 </w:t>
      </w:r>
      <w:r w:rsidRPr="00F90EAE">
        <w:rPr>
          <w:color w:val="000000" w:themeColor="text1"/>
          <w:sz w:val="16"/>
          <w:szCs w:val="16"/>
        </w:rPr>
        <w:t>апреля</w:t>
      </w:r>
      <w:r w:rsidRPr="00F90EAE">
        <w:rPr>
          <w:color w:val="000000" w:themeColor="text1"/>
          <w:sz w:val="16"/>
          <w:szCs w:val="16"/>
          <w:lang w:val="en-US"/>
        </w:rPr>
        <w:t xml:space="preserve"> 1945 </w:t>
      </w:r>
      <w:r w:rsidRPr="00F90EAE">
        <w:rPr>
          <w:color w:val="000000" w:themeColor="text1"/>
          <w:sz w:val="16"/>
          <w:szCs w:val="16"/>
        </w:rPr>
        <w:t>САвошлавВену</w:t>
      </w:r>
      <w:r w:rsidRPr="00F90EAE">
        <w:rPr>
          <w:color w:val="000000" w:themeColor="text1"/>
          <w:sz w:val="16"/>
          <w:szCs w:val="16"/>
          <w:lang w:val="en-US"/>
        </w:rPr>
        <w:t xml:space="preserve"> (1037).</w:t>
      </w:r>
    </w:p>
    <w:p w14:paraId="4F2A5451" w14:textId="77777777" w:rsidR="00665165" w:rsidRPr="00F90EAE" w:rsidRDefault="00665165" w:rsidP="00F90EAE">
      <w:pPr>
        <w:autoSpaceDE w:val="0"/>
        <w:autoSpaceDN w:val="0"/>
        <w:adjustRightInd w:val="0"/>
        <w:jc w:val="both"/>
        <w:rPr>
          <w:color w:val="000000" w:themeColor="text1"/>
          <w:sz w:val="16"/>
          <w:szCs w:val="16"/>
          <w:lang w:val="en-US"/>
        </w:rPr>
      </w:pPr>
    </w:p>
    <w:p w14:paraId="25F18F0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апреля 1945 советские войска окружили немцев в Вене (4962).</w:t>
      </w:r>
    </w:p>
    <w:p w14:paraId="3F09C79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3A5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года одна из батарей ИСУ 152 378-й гв. тсап в боях на Земландском полуострове в ходе Восточно-Прусской операции, построив свой боевой порядок веером (это обеспечивало полку обстрел в секторе 180° и более и облегчало борьбу с танками противника, атакующими с разных направлений) на фронте протяженностью 250 м, успешно отразила контратаку 30 танков противника, подбив 6 из них. Батарея потерь не понесла. Лишь две машины получили незначительные повреждения ходовой части. (3862).</w:t>
      </w:r>
    </w:p>
    <w:p w14:paraId="5AC7873C" w14:textId="77777777" w:rsidR="00665165" w:rsidRPr="00F90EAE" w:rsidRDefault="00665165" w:rsidP="00F90EAE">
      <w:pPr>
        <w:autoSpaceDE w:val="0"/>
        <w:autoSpaceDN w:val="0"/>
        <w:adjustRightInd w:val="0"/>
        <w:jc w:val="both"/>
        <w:rPr>
          <w:color w:val="000000" w:themeColor="text1"/>
          <w:sz w:val="16"/>
          <w:szCs w:val="16"/>
        </w:rPr>
      </w:pPr>
    </w:p>
    <w:p w14:paraId="339BFF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17 наиболее подготовленных экипажей приняли участие в дневном массированном налете на Кенигсберг (3322,49).</w:t>
      </w:r>
    </w:p>
    <w:p w14:paraId="0296A7BF" w14:textId="77777777" w:rsidR="00665165" w:rsidRPr="00F90EAE" w:rsidRDefault="00665165" w:rsidP="00F90EAE">
      <w:pPr>
        <w:autoSpaceDE w:val="0"/>
        <w:autoSpaceDN w:val="0"/>
        <w:adjustRightInd w:val="0"/>
        <w:jc w:val="both"/>
        <w:rPr>
          <w:color w:val="000000" w:themeColor="text1"/>
          <w:sz w:val="16"/>
          <w:szCs w:val="16"/>
        </w:rPr>
      </w:pPr>
    </w:p>
    <w:p w14:paraId="68AE04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самолеты 18ВА впервые за время войны действовали днем. Начало удара по Кенигсбергу наметили на 13:10. Привлекли для прикрытия 124 и фронтовой авиации, а 108 и патрулировали над городом. За 20 мин. до подхода 118 Ил-2 и Пе-2 подвергли ударам аэродромы противника. Шло 514 б в течение часа. Сбросили 3743 бомбы весом 550 т. Вернулись все. Потом опять пошли ш и фб. за этот день авиация выполнила 5000 вылетов и в ночь на 8 апреля - еще 2000 (340,203).</w:t>
      </w:r>
    </w:p>
    <w:p w14:paraId="76E80DD6" w14:textId="77777777" w:rsidR="00665165" w:rsidRPr="00F90EAE" w:rsidRDefault="00665165" w:rsidP="00F90EAE">
      <w:pPr>
        <w:autoSpaceDE w:val="0"/>
        <w:autoSpaceDN w:val="0"/>
        <w:adjustRightInd w:val="0"/>
        <w:jc w:val="both"/>
        <w:rPr>
          <w:color w:val="000000" w:themeColor="text1"/>
          <w:sz w:val="16"/>
          <w:szCs w:val="16"/>
        </w:rPr>
      </w:pPr>
    </w:p>
    <w:p w14:paraId="3F67B1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7-8 апреля 1945 г. Ли-2 приняли участие в массированных налетах на Кенигсберг - единственной дневной операции АДД. Парадоксально, но тихоходный пассажирский самолет оказался неплохим бомбардировщиком. Этот успех был связан как с качествами самого Ли-2, так и с правильно выбранной тактикой его </w:t>
      </w:r>
      <w:r w:rsidRPr="00F90EAE">
        <w:rPr>
          <w:color w:val="000000" w:themeColor="text1"/>
          <w:sz w:val="16"/>
          <w:szCs w:val="16"/>
        </w:rPr>
        <w:lastRenderedPageBreak/>
        <w:t>применения. Надежный, неприхотливый, устойчивый в полете самолет хорошо справлялся с задачей - доставить за 200-300 км от линии фронта тонну бомб (как правило, четыре ФАБ-250, реже две ФАБ-500) (3772).</w:t>
      </w:r>
    </w:p>
    <w:p w14:paraId="082442CE" w14:textId="77777777" w:rsidR="00665165" w:rsidRPr="00F90EAE" w:rsidRDefault="00665165" w:rsidP="00F90EAE">
      <w:pPr>
        <w:autoSpaceDE w:val="0"/>
        <w:autoSpaceDN w:val="0"/>
        <w:adjustRightInd w:val="0"/>
        <w:jc w:val="both"/>
        <w:rPr>
          <w:color w:val="000000" w:themeColor="text1"/>
          <w:sz w:val="16"/>
          <w:szCs w:val="16"/>
        </w:rPr>
      </w:pPr>
    </w:p>
    <w:p w14:paraId="61CA0B99" w14:textId="77777777" w:rsidR="007D191E" w:rsidRPr="00F90EAE" w:rsidRDefault="007D191E" w:rsidP="00F90EAE">
      <w:pPr>
        <w:jc w:val="both"/>
        <w:rPr>
          <w:color w:val="0070C0"/>
          <w:sz w:val="16"/>
          <w:szCs w:val="16"/>
          <w:lang w:val="en-US"/>
        </w:rPr>
      </w:pPr>
      <w:r w:rsidRPr="00F90EAE">
        <w:rPr>
          <w:color w:val="0070C0"/>
          <w:sz w:val="16"/>
          <w:szCs w:val="16"/>
        </w:rPr>
        <w:t>7 апреля 1945 - Самый мощный за годы войны бомбовой удар Советской авиации (по Кенигсбергу). Сброшено</w:t>
      </w:r>
      <w:r w:rsidRPr="00F90EAE">
        <w:rPr>
          <w:color w:val="0070C0"/>
          <w:sz w:val="16"/>
          <w:szCs w:val="16"/>
          <w:lang w:val="en-US"/>
        </w:rPr>
        <w:t xml:space="preserve"> 3743 </w:t>
      </w:r>
      <w:r w:rsidRPr="00F90EAE">
        <w:rPr>
          <w:color w:val="0070C0"/>
          <w:sz w:val="16"/>
          <w:szCs w:val="16"/>
        </w:rPr>
        <w:t>бомбы</w:t>
      </w:r>
      <w:r w:rsidRPr="00F90EAE">
        <w:rPr>
          <w:color w:val="0070C0"/>
          <w:sz w:val="16"/>
          <w:szCs w:val="16"/>
          <w:lang w:val="en-US"/>
        </w:rPr>
        <w:t xml:space="preserve"> </w:t>
      </w:r>
      <w:r w:rsidRPr="00F90EAE">
        <w:rPr>
          <w:color w:val="0070C0"/>
          <w:sz w:val="16"/>
          <w:szCs w:val="16"/>
        </w:rPr>
        <w:t>в</w:t>
      </w:r>
      <w:r w:rsidRPr="00F90EAE">
        <w:rPr>
          <w:color w:val="0070C0"/>
          <w:sz w:val="16"/>
          <w:szCs w:val="16"/>
          <w:lang w:val="en-US"/>
        </w:rPr>
        <w:t xml:space="preserve"> </w:t>
      </w:r>
      <w:r w:rsidRPr="00F90EAE">
        <w:rPr>
          <w:color w:val="0070C0"/>
          <w:sz w:val="16"/>
          <w:szCs w:val="16"/>
        </w:rPr>
        <w:t>том</w:t>
      </w:r>
      <w:r w:rsidRPr="00F90EAE">
        <w:rPr>
          <w:color w:val="0070C0"/>
          <w:sz w:val="16"/>
          <w:szCs w:val="16"/>
          <w:lang w:val="en-US"/>
        </w:rPr>
        <w:t xml:space="preserve"> </w:t>
      </w:r>
      <w:r w:rsidRPr="00F90EAE">
        <w:rPr>
          <w:color w:val="0070C0"/>
          <w:sz w:val="16"/>
          <w:szCs w:val="16"/>
        </w:rPr>
        <w:t>числе</w:t>
      </w:r>
      <w:r w:rsidRPr="00F90EAE">
        <w:rPr>
          <w:color w:val="0070C0"/>
          <w:sz w:val="16"/>
          <w:szCs w:val="16"/>
          <w:lang w:val="en-US"/>
        </w:rPr>
        <w:t xml:space="preserve"> </w:t>
      </w:r>
      <w:r w:rsidRPr="00F90EAE">
        <w:rPr>
          <w:color w:val="0070C0"/>
          <w:sz w:val="16"/>
          <w:szCs w:val="16"/>
        </w:rPr>
        <w:t>ФАБ</w:t>
      </w:r>
      <w:r w:rsidRPr="00F90EAE">
        <w:rPr>
          <w:color w:val="0070C0"/>
          <w:sz w:val="16"/>
          <w:szCs w:val="16"/>
          <w:lang w:val="en-US"/>
        </w:rPr>
        <w:t>-5000 (22543).</w:t>
      </w:r>
    </w:p>
    <w:p w14:paraId="1F2BC6A6" w14:textId="77777777" w:rsidR="007D191E" w:rsidRPr="00F90EAE" w:rsidRDefault="007D191E" w:rsidP="00F90EAE">
      <w:pPr>
        <w:jc w:val="both"/>
        <w:rPr>
          <w:color w:val="0070C0"/>
          <w:sz w:val="16"/>
          <w:szCs w:val="16"/>
          <w:lang w:val="en-US"/>
        </w:rPr>
      </w:pPr>
    </w:p>
    <w:p w14:paraId="7223910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7th, 1945: Preceded by a tremendous artillery and air bombardment, the 3rd Belorussian Front begins its final assault against Konigsberg. In the West, the US Ninth Army captures Hameln and Eisenach on the road to Leipzig (3819).</w:t>
      </w:r>
    </w:p>
    <w:p w14:paraId="597FC296" w14:textId="77777777" w:rsidR="00665165" w:rsidRPr="00F90EAE" w:rsidRDefault="00665165" w:rsidP="00F90EAE">
      <w:pPr>
        <w:autoSpaceDE w:val="0"/>
        <w:autoSpaceDN w:val="0"/>
        <w:adjustRightInd w:val="0"/>
        <w:jc w:val="both"/>
        <w:rPr>
          <w:color w:val="000000" w:themeColor="text1"/>
          <w:sz w:val="16"/>
          <w:szCs w:val="16"/>
          <w:lang w:val="en-US"/>
        </w:rPr>
      </w:pPr>
    </w:p>
    <w:p w14:paraId="1558D6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3БФ начал штурм Кенигсберга. 9А США заняла Хаммельн и Айзенах на пути к Лейпцигу (3819).</w:t>
      </w:r>
    </w:p>
    <w:p w14:paraId="0C3815D0" w14:textId="77777777" w:rsidR="00665165" w:rsidRPr="00F90EAE" w:rsidRDefault="00665165" w:rsidP="00F90EAE">
      <w:pPr>
        <w:autoSpaceDE w:val="0"/>
        <w:autoSpaceDN w:val="0"/>
        <w:adjustRightInd w:val="0"/>
        <w:jc w:val="both"/>
        <w:rPr>
          <w:color w:val="000000" w:themeColor="text1"/>
          <w:sz w:val="16"/>
          <w:szCs w:val="16"/>
        </w:rPr>
      </w:pPr>
    </w:p>
    <w:p w14:paraId="5EA976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7 по 11 апреля 1945 3 чехословацкий шап, оснащенный 33 Ил-2 и 2 Ил-2УТ перебазировался в Катовице в Польше. Оказалось, что поле слишком слабое для Ил-2 и шап перебазировался в Poremba в 20 км от линии фронта (241,39).</w:t>
      </w:r>
    </w:p>
    <w:p w14:paraId="26266261" w14:textId="77777777" w:rsidR="00665165" w:rsidRPr="00F90EAE" w:rsidRDefault="00665165" w:rsidP="00F90EAE">
      <w:pPr>
        <w:autoSpaceDE w:val="0"/>
        <w:autoSpaceDN w:val="0"/>
        <w:adjustRightInd w:val="0"/>
        <w:jc w:val="both"/>
        <w:rPr>
          <w:color w:val="000000" w:themeColor="text1"/>
          <w:sz w:val="16"/>
          <w:szCs w:val="16"/>
        </w:rPr>
      </w:pPr>
    </w:p>
    <w:p w14:paraId="2998DD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г. первый боевой вылет совершили два полка из семи, вооруженных "Ерами" - 327-й и 329-й бапы. В этот день 17 наиболее подготовленных экипажей приняли участие в дневном массированном налете на Кенигсберг. Впоследствии бомбили Зееловские высоты и Берлин. Всего совершили 75 боевых самолето-вылета. Боевые потери оказались небольшими: один самолет был подбит зенитками и совершил вынужденную посадку на своей территории, второй самолет (пилот Чернобой из 327-го бап) потерпел катастрофу при взлете из-за обстрела группой бандеровцев. От огня зенитной артиллерии получили повреждения еще 4 машины. Все остальные авиаполки Ер-2 в боевых действиях в годы Великой Отечественной войны участия не принимали. Нарком А.И. Шахурин в своей книге счел необходимым отметить факт участия дизельных Ер-2 в налетах на Берлин (8984).</w:t>
      </w:r>
    </w:p>
    <w:p w14:paraId="686931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отзывам летного и технического состава полков "материальная часть самолета Ер-2 показала себя надежной и простой в эксплуатации, однако она имела целый ряд конструктивных недоработок...". Важнейшим же недостатком машины специалисты ВВС считали низкую надежность моторов АЧ-30Б. Аварийность Ер-2 в строевых частях была довольно высокой. Немалая доля вины лежала на слабо подготовленных пилотах (8984).</w:t>
      </w:r>
    </w:p>
    <w:p w14:paraId="268AD028" w14:textId="77777777" w:rsidR="00665165" w:rsidRPr="00F90EAE" w:rsidRDefault="00665165" w:rsidP="00F90EAE">
      <w:pPr>
        <w:autoSpaceDE w:val="0"/>
        <w:autoSpaceDN w:val="0"/>
        <w:adjustRightInd w:val="0"/>
        <w:jc w:val="both"/>
        <w:rPr>
          <w:color w:val="000000" w:themeColor="text1"/>
          <w:sz w:val="16"/>
          <w:szCs w:val="16"/>
        </w:rPr>
      </w:pPr>
    </w:p>
    <w:p w14:paraId="366056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г. В.А. Теминым из 72-м орап со специального Пе-2, оборудованного 4-м местом и четырьмя дополнительными аппаратами для съемок Берлина, были сделаны снимки Берлина, которые потом обошли газеты всего мира (4476).</w:t>
      </w:r>
    </w:p>
    <w:p w14:paraId="28E794D6" w14:textId="77777777" w:rsidR="00665165" w:rsidRPr="00F90EAE" w:rsidRDefault="00665165" w:rsidP="00F90EAE">
      <w:pPr>
        <w:autoSpaceDE w:val="0"/>
        <w:autoSpaceDN w:val="0"/>
        <w:adjustRightInd w:val="0"/>
        <w:jc w:val="both"/>
        <w:rPr>
          <w:color w:val="000000" w:themeColor="text1"/>
          <w:sz w:val="16"/>
          <w:szCs w:val="16"/>
        </w:rPr>
      </w:pPr>
    </w:p>
    <w:p w14:paraId="57459A6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4403D67" w14:textId="77777777" w:rsidR="00665165" w:rsidRPr="00F90EAE" w:rsidRDefault="00665165" w:rsidP="00F90EAE">
      <w:pPr>
        <w:autoSpaceDE w:val="0"/>
        <w:autoSpaceDN w:val="0"/>
        <w:adjustRightInd w:val="0"/>
        <w:jc w:val="both"/>
        <w:rPr>
          <w:iCs/>
          <w:color w:val="000000" w:themeColor="text1"/>
          <w:sz w:val="16"/>
          <w:szCs w:val="16"/>
        </w:rPr>
      </w:pPr>
    </w:p>
    <w:p w14:paraId="4F805ACE"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(7-8 апреля) нападение немецких быстроходных катеров на английский конвой у бельгийского побережья (15092).</w:t>
      </w:r>
    </w:p>
    <w:p w14:paraId="0A286822" w14:textId="77777777" w:rsidR="00DE25E5" w:rsidRPr="00F90EAE" w:rsidRDefault="00DE25E5" w:rsidP="00F90EAE">
      <w:pPr>
        <w:jc w:val="both"/>
        <w:rPr>
          <w:color w:val="000000" w:themeColor="text1"/>
          <w:sz w:val="16"/>
          <w:szCs w:val="16"/>
        </w:rPr>
      </w:pPr>
    </w:p>
    <w:p w14:paraId="4B2F84EB"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впервые самолёты </w:t>
      </w:r>
      <w:hyperlink r:id="rId99" w:tgtFrame="_blank" w:history="1">
        <w:r w:rsidRPr="00F90EAE">
          <w:rPr>
            <w:color w:val="000000" w:themeColor="text1"/>
            <w:sz w:val="16"/>
            <w:szCs w:val="16"/>
          </w:rPr>
          <w:t xml:space="preserve">«P-51D» «Mustang» </w:t>
        </w:r>
      </w:hyperlink>
      <w:r w:rsidRPr="00F90EAE">
        <w:rPr>
          <w:color w:val="000000" w:themeColor="text1"/>
          <w:sz w:val="16"/>
          <w:szCs w:val="16"/>
        </w:rPr>
        <w:t>использовались в качестве эскортных истребителей при налетах на Японию. В этот раз они сопровождали «В-29» в ходе налёта на заводы «Nakajima Aircraft Engine Factory» в районе Токио. Подобные вылеты занимали от семи до восьми часов (15092).</w:t>
      </w:r>
    </w:p>
    <w:p w14:paraId="790AF76C" w14:textId="77777777" w:rsidR="00DE25E5" w:rsidRPr="00F90EAE" w:rsidRDefault="00DE25E5" w:rsidP="00F90EAE">
      <w:pPr>
        <w:jc w:val="both"/>
        <w:rPr>
          <w:color w:val="000000" w:themeColor="text1"/>
          <w:sz w:val="16"/>
          <w:szCs w:val="16"/>
        </w:rPr>
      </w:pPr>
    </w:p>
    <w:p w14:paraId="0134BFB6" w14:textId="77777777" w:rsidR="007D191E" w:rsidRPr="00F90EAE" w:rsidRDefault="007D191E" w:rsidP="00F90EAE">
      <w:pPr>
        <w:jc w:val="both"/>
        <w:rPr>
          <w:color w:val="0070C0"/>
          <w:sz w:val="16"/>
          <w:szCs w:val="16"/>
        </w:rPr>
      </w:pPr>
      <w:r w:rsidRPr="00F90EAE">
        <w:rPr>
          <w:color w:val="0070C0"/>
          <w:sz w:val="16"/>
          <w:szCs w:val="16"/>
        </w:rPr>
        <w:t>7 апреля 1945 сопровождающие B-29 Superfortress, P-51 Mustang 15 - й, 21-й и 506 - й истребительных групп ВВС США, базирующихся на Иводзиме, становятся первыми истребителями союзников, которые сопровождают бомбардировщики до Токио, Япония, и обратно. Полеты сопровождения длятся от семи до восьми часов. Пятьдесят четыре B-29 приземляются на Иводзиме в течение дня (20371).</w:t>
      </w:r>
    </w:p>
    <w:p w14:paraId="5FAB6941" w14:textId="77777777" w:rsidR="007D191E" w:rsidRPr="00F90EAE" w:rsidRDefault="007D191E" w:rsidP="00F90EAE">
      <w:pPr>
        <w:jc w:val="both"/>
        <w:rPr>
          <w:color w:val="0070C0"/>
          <w:sz w:val="16"/>
          <w:szCs w:val="16"/>
        </w:rPr>
      </w:pPr>
    </w:p>
    <w:p w14:paraId="4DF1CF09" w14:textId="77777777" w:rsidR="007D191E" w:rsidRPr="00F90EAE" w:rsidRDefault="007D191E" w:rsidP="00F90EAE">
      <w:pPr>
        <w:jc w:val="both"/>
        <w:rPr>
          <w:color w:val="0070C0"/>
          <w:sz w:val="16"/>
          <w:szCs w:val="16"/>
        </w:rPr>
      </w:pPr>
      <w:r w:rsidRPr="00F90EAE">
        <w:rPr>
          <w:color w:val="0070C0"/>
          <w:sz w:val="16"/>
          <w:szCs w:val="16"/>
        </w:rPr>
        <w:t>7 апреля 1945 386 самолетов авиапносцев оперативной группы 58 атакуют оперативную группу Императорского флота Японии, направляющуюся на Окинаву, пока она движется в Восточно-Китайском море, потопив линкор Yamato, легкий крейсер Yahagi и четыре из восьми эсминцев сопровождения. Этим завершается последний боевой выход японских надводных кораблей Второй мировой войны (20371).</w:t>
      </w:r>
    </w:p>
    <w:p w14:paraId="50A06B34" w14:textId="77777777" w:rsidR="007D191E" w:rsidRPr="00F90EAE" w:rsidRDefault="007D191E" w:rsidP="00F90EAE">
      <w:pPr>
        <w:jc w:val="both"/>
        <w:rPr>
          <w:color w:val="0070C0"/>
          <w:sz w:val="16"/>
          <w:szCs w:val="16"/>
        </w:rPr>
      </w:pPr>
    </w:p>
    <w:p w14:paraId="34C2D21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апреля 1945 у острова Окинава 280 американских самолетов затопили самый большой в мире линкор “Ямато” (Япония) (4962).</w:t>
      </w:r>
    </w:p>
    <w:p w14:paraId="310266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24A0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апреля 1945 крупнейший линкор Японии Ямато подвергся атаке 280 американских самолетов и после попадания 10 торпед и 23 бомб затонул у Окинавы.</w:t>
      </w:r>
    </w:p>
    <w:p w14:paraId="4C1E51AB" w14:textId="77777777" w:rsidR="00665165" w:rsidRPr="00F90EAE" w:rsidRDefault="00665165" w:rsidP="00F90EAE">
      <w:pPr>
        <w:autoSpaceDE w:val="0"/>
        <w:autoSpaceDN w:val="0"/>
        <w:adjustRightInd w:val="0"/>
        <w:jc w:val="both"/>
        <w:rPr>
          <w:iCs/>
          <w:color w:val="000000" w:themeColor="text1"/>
          <w:sz w:val="16"/>
          <w:szCs w:val="16"/>
        </w:rPr>
      </w:pPr>
    </w:p>
    <w:p w14:paraId="422FF99E"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в 130 милях юго-западнее Кагосимы подвергся атаке американской палубной авиации и затонул крупнейший линкор Второй Мировой войны - японский "Ямато". В трех налетах на "Ямато" участвовали в общей сложности до 400 самолетов, в линкор попало 9 бомб и 10-13 торпед. При этом было потеряно 5 самолетов, потери "Ямато" - около 2500 из 2800 членов экипажа (15092).</w:t>
      </w:r>
    </w:p>
    <w:p w14:paraId="4587FCD6" w14:textId="77777777" w:rsidR="00DE25E5" w:rsidRPr="00F90EAE" w:rsidRDefault="00DE25E5" w:rsidP="00F90EAE">
      <w:pPr>
        <w:jc w:val="both"/>
        <w:rPr>
          <w:color w:val="000000" w:themeColor="text1"/>
          <w:sz w:val="16"/>
          <w:szCs w:val="16"/>
        </w:rPr>
      </w:pPr>
    </w:p>
    <w:p w14:paraId="0CFB80CD"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торпедоносцы «TBM-3» «Avenger» и бомбардировщики «SB2C-4» «Helldiver» отправили на дно второй японский суперлинкор – </w:t>
      </w:r>
      <w:hyperlink r:id="rId100" w:tgtFrame="_blank" w:history="1">
        <w:r w:rsidRPr="00F90EAE">
          <w:rPr>
            <w:color w:val="000000" w:themeColor="text1"/>
            <w:sz w:val="16"/>
            <w:szCs w:val="16"/>
          </w:rPr>
          <w:t xml:space="preserve">«Ямато». </w:t>
        </w:r>
      </w:hyperlink>
      <w:r w:rsidRPr="00F90EAE">
        <w:rPr>
          <w:color w:val="000000" w:themeColor="text1"/>
          <w:sz w:val="16"/>
          <w:szCs w:val="16"/>
        </w:rPr>
        <w:t>В операции участвовали в общем счёте 386 самолётов, из них более 200 пикировщиков и торпедоносцев. Атаки продолжались около часа, причем самолётов на одну цель оказалось так много, что некоторым экипажам пришлось долго ждать своей очереди. За это время «Ямато» получил восемь торпед в левый борт, одну - в правый и четыре попадания 1000-фунтовыми бомбами. Японским зенитчикам удалось сбить четыре «Хеллдайвера», три "Эвенджера" и три истребителя «Хеллкэт». В 14.23 на линкоре взорвались боеприпасы, после чего он быстро перевернулся и затонул. Из 2500 человек команды спаслось только 270. Судьбу "короля" разделила его "свита": одновременно с "Ямато" американцы потопили три из шести сопровождавших его эсминцев и лёгкий крейсер «Яхаги» (15092).</w:t>
      </w:r>
    </w:p>
    <w:p w14:paraId="2788F0E5" w14:textId="77777777" w:rsidR="00DE25E5" w:rsidRPr="00F90EAE" w:rsidRDefault="00DE25E5" w:rsidP="00F90EAE">
      <w:pPr>
        <w:jc w:val="both"/>
        <w:rPr>
          <w:color w:val="000000" w:themeColor="text1"/>
          <w:sz w:val="16"/>
          <w:szCs w:val="16"/>
        </w:rPr>
      </w:pPr>
    </w:p>
    <w:p w14:paraId="4B8E526A" w14:textId="77777777" w:rsidR="00DE25E5" w:rsidRPr="00F90EAE" w:rsidRDefault="00DE25E5" w:rsidP="00F90EAE">
      <w:pPr>
        <w:jc w:val="both"/>
        <w:rPr>
          <w:color w:val="000000" w:themeColor="text1"/>
          <w:sz w:val="16"/>
          <w:szCs w:val="16"/>
        </w:rPr>
      </w:pPr>
      <w:r w:rsidRPr="00F90EAE">
        <w:rPr>
          <w:bCs/>
          <w:color w:val="000000" w:themeColor="text1"/>
          <w:sz w:val="16"/>
          <w:szCs w:val="16"/>
        </w:rPr>
        <w:t>7 апреля</w:t>
      </w:r>
      <w:r w:rsidRPr="00F90EAE">
        <w:rPr>
          <w:color w:val="000000" w:themeColor="text1"/>
          <w:sz w:val="16"/>
          <w:szCs w:val="16"/>
        </w:rPr>
        <w:t xml:space="preserve"> в 1945 году сопровождавшаяся самопожертвованием атака боевой группы японского флота на Окинаву отбита американским соединением «Task Force-38» (15092).</w:t>
      </w:r>
    </w:p>
    <w:p w14:paraId="2DFC8274" w14:textId="77777777" w:rsidR="00DE25E5" w:rsidRPr="00F90EAE" w:rsidRDefault="00DE25E5" w:rsidP="00F90EAE">
      <w:pPr>
        <w:jc w:val="both"/>
        <w:rPr>
          <w:color w:val="000000" w:themeColor="text1"/>
          <w:sz w:val="16"/>
          <w:szCs w:val="16"/>
        </w:rPr>
      </w:pPr>
    </w:p>
    <w:p w14:paraId="4B255CB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3633B6F" w14:textId="77777777" w:rsidR="00665165" w:rsidRPr="00F90EAE" w:rsidRDefault="00665165" w:rsidP="00F90EAE">
      <w:pPr>
        <w:autoSpaceDE w:val="0"/>
        <w:autoSpaceDN w:val="0"/>
        <w:adjustRightInd w:val="0"/>
        <w:jc w:val="both"/>
        <w:rPr>
          <w:iCs/>
          <w:color w:val="000000" w:themeColor="text1"/>
          <w:sz w:val="16"/>
          <w:szCs w:val="16"/>
        </w:rPr>
      </w:pPr>
    </w:p>
    <w:p w14:paraId="40EC18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закончились гос. испытания модифицированного (управление винтом и мотором) Ла-7 АШ-82ФН-ВГ N 38101356 производства 381 завода после, которые проводились с 2е февраля 1945 с перерывами (744,1).</w:t>
      </w:r>
    </w:p>
    <w:p w14:paraId="3C800D2C" w14:textId="77777777" w:rsidR="00665165" w:rsidRPr="00F90EAE" w:rsidRDefault="00665165" w:rsidP="00F90EAE">
      <w:pPr>
        <w:autoSpaceDE w:val="0"/>
        <w:autoSpaceDN w:val="0"/>
        <w:adjustRightInd w:val="0"/>
        <w:jc w:val="both"/>
        <w:rPr>
          <w:color w:val="000000" w:themeColor="text1"/>
          <w:sz w:val="16"/>
          <w:szCs w:val="16"/>
        </w:rPr>
      </w:pPr>
    </w:p>
    <w:p w14:paraId="17861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закончились возобновленные 20 марта 1945, прерванные с 25 февраля 1945 госиспытания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 которые проходили с 22 февраля.</w:t>
      </w:r>
    </w:p>
    <w:p w14:paraId="0EAA6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выполнено 24 полета с налетом 15:40</w:t>
      </w:r>
    </w:p>
    <w:p w14:paraId="3B6D89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Вед. Ии ли и Л.А.Радионов</w:t>
      </w:r>
    </w:p>
    <w:p w14:paraId="7448AC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и-м Д.Г.Пикуленко</w:t>
      </w:r>
    </w:p>
    <w:p w14:paraId="231E3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5A26CC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1D7384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73AD5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надежности работы провести войсковые испытания (20 с-тов)</w:t>
      </w:r>
    </w:p>
    <w:p w14:paraId="5C4EF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5CE1A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1944 испытавался во 2у ГК НИИ ВВС на с-та Ла-5 № 1618 вновь удовлетворительно</w:t>
      </w:r>
    </w:p>
    <w:p w14:paraId="5911D3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Отмечено, что значительно облегчает управление ВМГ</w:t>
      </w:r>
    </w:p>
    <w:p w14:paraId="1BF88A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8D47E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7B077D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АРТЦ-43 - был изготовлен в опытном экз. В 1943 заводом № 194 НКАП согласно плану опытных работ ВВС КА</w:t>
      </w:r>
    </w:p>
    <w:p w14:paraId="695FC9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1ABE0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06E309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4EEAAA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BADCD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75BD05EA" w14:textId="77777777" w:rsidR="00665165" w:rsidRPr="00F90EAE" w:rsidRDefault="00665165" w:rsidP="00F90EAE">
      <w:pPr>
        <w:autoSpaceDE w:val="0"/>
        <w:autoSpaceDN w:val="0"/>
        <w:adjustRightInd w:val="0"/>
        <w:jc w:val="both"/>
        <w:rPr>
          <w:color w:val="000000" w:themeColor="text1"/>
          <w:sz w:val="16"/>
          <w:szCs w:val="16"/>
        </w:rPr>
      </w:pPr>
    </w:p>
    <w:p w14:paraId="6F98D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в третьем полете И-250 включили ВРД и на пикировании довели скорость до 710 км/час. Течь радиатора и отправили на завод № 124 (6471, 7).</w:t>
      </w:r>
    </w:p>
    <w:p w14:paraId="557EB6B5" w14:textId="77777777" w:rsidR="00665165" w:rsidRPr="00F90EAE" w:rsidRDefault="00665165" w:rsidP="00F90EAE">
      <w:pPr>
        <w:autoSpaceDE w:val="0"/>
        <w:autoSpaceDN w:val="0"/>
        <w:adjustRightInd w:val="0"/>
        <w:jc w:val="both"/>
        <w:rPr>
          <w:color w:val="000000" w:themeColor="text1"/>
          <w:sz w:val="16"/>
          <w:szCs w:val="16"/>
        </w:rPr>
      </w:pPr>
    </w:p>
    <w:p w14:paraId="79342560" w14:textId="77777777" w:rsidR="00DE25E5" w:rsidRPr="00F90EAE" w:rsidRDefault="00DE25E5" w:rsidP="00F90EAE">
      <w:pPr>
        <w:jc w:val="both"/>
        <w:rPr>
          <w:color w:val="000000" w:themeColor="text1"/>
          <w:sz w:val="16"/>
          <w:szCs w:val="16"/>
        </w:rPr>
      </w:pPr>
      <w:r w:rsidRPr="00F90EAE">
        <w:rPr>
          <w:bCs/>
          <w:color w:val="000000" w:themeColor="text1"/>
          <w:sz w:val="16"/>
          <w:szCs w:val="16"/>
        </w:rPr>
        <w:t>8 апреля</w:t>
      </w:r>
      <w:r w:rsidRPr="00F90EAE">
        <w:rPr>
          <w:color w:val="000000" w:themeColor="text1"/>
          <w:sz w:val="16"/>
          <w:szCs w:val="16"/>
        </w:rPr>
        <w:t xml:space="preserve"> в 1945 году в третьем полете на «И-250» опробовали ВРДК (воздушно-реактивный с компрессором двигатель.). При этом на пикировании максимальную скорость довели до 710 км/ч по прибору на высоте 5000 м. Однако обнаруженная течь маслорадиатора вынудила снять его с самолета и отправить на завод №124 для устранения дефекта (15093).</w:t>
      </w:r>
    </w:p>
    <w:p w14:paraId="608ADC18" w14:textId="77777777" w:rsidR="00DE25E5" w:rsidRPr="00F90EAE" w:rsidRDefault="00DE25E5" w:rsidP="00F90EAE">
      <w:pPr>
        <w:jc w:val="both"/>
        <w:rPr>
          <w:color w:val="000000" w:themeColor="text1"/>
          <w:sz w:val="16"/>
          <w:szCs w:val="16"/>
        </w:rPr>
      </w:pPr>
    </w:p>
    <w:p w14:paraId="4A2A674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7C7D69E" w14:textId="77777777" w:rsidR="00665165" w:rsidRPr="00F90EAE" w:rsidRDefault="00665165" w:rsidP="00F90EAE">
      <w:pPr>
        <w:autoSpaceDE w:val="0"/>
        <w:autoSpaceDN w:val="0"/>
        <w:adjustRightInd w:val="0"/>
        <w:jc w:val="both"/>
        <w:rPr>
          <w:iCs/>
          <w:color w:val="000000" w:themeColor="text1"/>
          <w:sz w:val="16"/>
          <w:szCs w:val="16"/>
        </w:rPr>
      </w:pPr>
    </w:p>
    <w:p w14:paraId="28815978" w14:textId="77777777" w:rsidR="00DE25E5" w:rsidRPr="00F90EAE" w:rsidRDefault="00DE25E5" w:rsidP="00F90EAE">
      <w:pPr>
        <w:jc w:val="both"/>
        <w:rPr>
          <w:color w:val="000000" w:themeColor="text1"/>
          <w:sz w:val="16"/>
          <w:szCs w:val="16"/>
        </w:rPr>
      </w:pPr>
      <w:r w:rsidRPr="00F90EAE">
        <w:rPr>
          <w:bCs/>
          <w:color w:val="000000" w:themeColor="text1"/>
          <w:sz w:val="16"/>
          <w:szCs w:val="16"/>
        </w:rPr>
        <w:t>8 апреля</w:t>
      </w:r>
      <w:r w:rsidRPr="00F90EAE">
        <w:rPr>
          <w:color w:val="000000" w:themeColor="text1"/>
          <w:sz w:val="16"/>
          <w:szCs w:val="16"/>
        </w:rPr>
        <w:t xml:space="preserve"> в 1945 году оперативная сводка Совинформбюро:</w:t>
      </w:r>
    </w:p>
    <w:p w14:paraId="055223EB" w14:textId="77777777" w:rsidR="00DE25E5" w:rsidRPr="00F90EAE" w:rsidRDefault="00DE25E5" w:rsidP="00F90EAE">
      <w:pPr>
        <w:jc w:val="both"/>
        <w:rPr>
          <w:color w:val="000000" w:themeColor="text1"/>
          <w:sz w:val="16"/>
          <w:szCs w:val="16"/>
        </w:rPr>
      </w:pPr>
      <w:r w:rsidRPr="00F90EAE">
        <w:rPr>
          <w:color w:val="000000" w:themeColor="text1"/>
          <w:sz w:val="16"/>
          <w:szCs w:val="16"/>
        </w:rPr>
        <w:t>«Сегодня наши войска начали штурм города и крепости Кенигсберг. За день ожесточённых боёв войска 3-го Белорусского фронта, наступающие на Кенигсберг с северо-запада, прорвали внешний обвод крепостных позиций и заняли городские районы Йудиттен, Лавскен, Ратсхоф, Амалиенау, Пальфе. Войска фронта, наступающие на город с юга, заняли городские районы Шенфлис, Шпайхерсдорф, Понарт, Нассер Гартен, Континен, Главный вокзал, Кенигсбергский порт и, форсировав реку Прегель, заняли городской район Коссе, где соединились с войсками, наступающими на Кенигсберг с северо-запада. Тем самым войска фронта завершили окружение значительной группы войск противника, обороняющего город и крепость Кенигсберг. За день боя войска фронта взяли в плен свыше 15.000 немецких солдат и офицеров.</w:t>
      </w:r>
    </w:p>
    <w:p w14:paraId="3B38A13F" w14:textId="77777777" w:rsidR="00DE25E5" w:rsidRPr="00F90EAE" w:rsidRDefault="00DE25E5" w:rsidP="00F90EAE">
      <w:pPr>
        <w:jc w:val="both"/>
        <w:rPr>
          <w:color w:val="000000" w:themeColor="text1"/>
          <w:sz w:val="16"/>
          <w:szCs w:val="16"/>
        </w:rPr>
      </w:pPr>
      <w:r w:rsidRPr="00F90EAE">
        <w:rPr>
          <w:color w:val="000000" w:themeColor="text1"/>
          <w:sz w:val="16"/>
          <w:szCs w:val="16"/>
        </w:rPr>
        <w:t>В районе Бреслау продолжались бои по уничтожению окружённой группировки противника.</w:t>
      </w:r>
    </w:p>
    <w:p w14:paraId="068ED48B" w14:textId="77777777" w:rsidR="00DE25E5" w:rsidRPr="00F90EAE" w:rsidRDefault="00DE25E5" w:rsidP="00F90EAE">
      <w:pPr>
        <w:jc w:val="both"/>
        <w:rPr>
          <w:color w:val="000000" w:themeColor="text1"/>
          <w:sz w:val="16"/>
          <w:szCs w:val="16"/>
        </w:rPr>
      </w:pPr>
      <w:r w:rsidRPr="00F90EAE">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более 60 населённых пунктов, в числе которых крупные населённые пункты Правно, Гайдел, Тужина, Слатина, Ястребье, Долны Вихон, Миява, Кунов, Ковалев, Унин, Гбели, Бродске. Одновременно войска фронта, форсировав реки Морава и Дунай северо-западнее и западнее Братиславы, захватили плацдарм с населёнными пунктами Ангерн, Баумгартен, Мархегг, Марктхоф, Энгельхартштеттен, Лоймерсдорф, Копфштеттен, Пфрама, Экартзау и вели бои по расширению захваченного плацдарма. В боях за 7 апреля войска фронта взяли в плен более 2.300 солдат и офицеров противника.</w:t>
      </w:r>
    </w:p>
    <w:p w14:paraId="307C8621" w14:textId="77777777" w:rsidR="00DE25E5" w:rsidRPr="00F90EAE" w:rsidRDefault="00DE25E5" w:rsidP="00F90EAE">
      <w:pPr>
        <w:jc w:val="both"/>
        <w:rPr>
          <w:color w:val="000000" w:themeColor="text1"/>
          <w:sz w:val="16"/>
          <w:szCs w:val="16"/>
        </w:rPr>
      </w:pPr>
      <w:r w:rsidRPr="00F90EAE">
        <w:rPr>
          <w:color w:val="000000" w:themeColor="text1"/>
          <w:sz w:val="16"/>
          <w:szCs w:val="16"/>
        </w:rPr>
        <w:t>В районе Вены войска 3-го Украинского фронта, продолжая наступление, заняли города Тулльн, Ной-Ленгбах, крупные населённые пункты Юденау, Зигхартскирхен, Раппольтенкирхен, Алланд и вели успешные уличные бои в южной и западной частях города Вены, заняв при этом арсенал, восточный, южный и западный вокзалы. Одновременно южнее и юго-западнее города Винер Нойштадт войска фронта с боями заняли на территории Австрии более 80 населённых пунктов, среди которых крупные населённые пункты Кирхберг, Аспанг, Менихкирхен, Менихвальд, Фридберг, Пинкэфельд, Оберварт, Грофспетерсдорф, Мошендорф. В боях за 7 апреля войска фронта взяли в плен свыше 5.000 солдат и офицеров противника и захватили следующие трофеи: самолётов — 8, танков и самоходных орудий—32, полевых орудий—107, пулемётов—190, автомашин—свыше 300, паровозов–14, вагонов—1.058.</w:t>
      </w:r>
    </w:p>
    <w:p w14:paraId="34326B38" w14:textId="77777777" w:rsidR="00DE25E5" w:rsidRPr="00F90EAE" w:rsidRDefault="00DE25E5"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0D4804E9" w14:textId="77777777" w:rsidR="00DE25E5" w:rsidRPr="00F90EAE" w:rsidRDefault="00DE25E5" w:rsidP="00F90EAE">
      <w:pPr>
        <w:jc w:val="both"/>
        <w:rPr>
          <w:color w:val="000000" w:themeColor="text1"/>
          <w:sz w:val="16"/>
          <w:szCs w:val="16"/>
        </w:rPr>
      </w:pPr>
      <w:r w:rsidRPr="00F90EAE">
        <w:rPr>
          <w:color w:val="000000" w:themeColor="text1"/>
          <w:sz w:val="16"/>
          <w:szCs w:val="16"/>
        </w:rPr>
        <w:t>За 7 апреля на всех фронтах подбито и уничтожено 60 немецких танков и самоходных орудий. В воздушных боях и огнём зенитной артиллерии сбито 38 самолётов противника. Кроме того, 50 самолётов уничтожено на аэродромах в районах Кенигсберга и Пиллау.</w:t>
      </w:r>
    </w:p>
    <w:p w14:paraId="1EF10FA6" w14:textId="77777777" w:rsidR="00DE25E5" w:rsidRPr="00F90EAE" w:rsidRDefault="00DE25E5" w:rsidP="00F90EAE">
      <w:pPr>
        <w:jc w:val="both"/>
        <w:rPr>
          <w:color w:val="000000" w:themeColor="text1"/>
          <w:sz w:val="16"/>
          <w:szCs w:val="16"/>
        </w:rPr>
      </w:pPr>
      <w:r w:rsidRPr="00F90EAE">
        <w:rPr>
          <w:color w:val="000000" w:themeColor="text1"/>
          <w:sz w:val="16"/>
          <w:szCs w:val="16"/>
        </w:rPr>
        <w:t>Войска 3-го Белорусского фронта начали штурм города и крепости Кенигсберг. Перед началом штурма наши артиллеристы обрушили шквал огня на укрепления противника. После двух—трёхчасовой артиллерийской подготовки в атаку двинулась советская пехота. Ожесточённые бои завязались на внешнем оборонительном обводе, который охватывает город со всех сторон и упирается в залив Фриш-Тар к западу от Кенигсберга. Оборонительный обвод состоит из 13 основных и трёх вспомогательных фортов, соединённых между собой кольцевым шоссе. В каждом форту установлены крепостные орудия, батареи полевых орудий и много пулемётов. В промежутках между фортами расположены железобетонные доты. Перед укреплениями немцы выкопали глубокий противотанковый ров, который наполнили водой. Гарнизон города оказывает яростное сопротивление. Наши войска нанесли удар по Кенигсбергу с северо-запада и юга. В результате ожесточённых боёв советские части прорвали внешний обвод крепостных позиций и заняли ряд городских районов Кенигсберга. Занято семь фортов, большое число дотов, очищены от противника пехотные казармы, главная сортировочная станция, главный вокзал, главная товарная станция, машиностроительный завод, железнодорожные мастерские и Кенигсбергский порт. Развивая успех, наши войска, наступающие с юга, соединилась с войсками, наступающими на город с северо-запада, и тем самым зажали кенигсбергский гарнизон противника в железное кольцо. Советские штурмовые группы успешно преодолевают завалы и баррикады на улицах и выбивают немцев из укреплённых зданий. Места боёв завалены трупами гитлеровцев. Захвачены большие трофеи. Количество пленных непрерывно возрастает.</w:t>
      </w:r>
    </w:p>
    <w:p w14:paraId="20F22534" w14:textId="77777777" w:rsidR="00DE25E5" w:rsidRPr="00F90EAE" w:rsidRDefault="00DE25E5" w:rsidP="00F90EAE">
      <w:pPr>
        <w:jc w:val="both"/>
        <w:rPr>
          <w:color w:val="000000" w:themeColor="text1"/>
          <w:sz w:val="16"/>
          <w:szCs w:val="16"/>
        </w:rPr>
      </w:pPr>
      <w:r w:rsidRPr="00F90EAE">
        <w:rPr>
          <w:color w:val="000000" w:themeColor="text1"/>
          <w:sz w:val="16"/>
          <w:szCs w:val="16"/>
        </w:rPr>
        <w:t>Наша авиация активно поддерживает наземные войска, штурмующие город Кенигсберг. Советские лётчики наносят непрерывные удары по скоплениям войск противника и его укреплениям.</w:t>
      </w:r>
    </w:p>
    <w:p w14:paraId="048A03D3" w14:textId="77777777" w:rsidR="00DE25E5" w:rsidRPr="00F90EAE" w:rsidRDefault="00DE25E5" w:rsidP="00F90EAE">
      <w:pPr>
        <w:jc w:val="both"/>
        <w:rPr>
          <w:color w:val="000000" w:themeColor="text1"/>
          <w:sz w:val="16"/>
          <w:szCs w:val="16"/>
        </w:rPr>
      </w:pPr>
      <w:r w:rsidRPr="00F90EAE">
        <w:rPr>
          <w:color w:val="000000" w:themeColor="text1"/>
          <w:sz w:val="16"/>
          <w:szCs w:val="16"/>
        </w:rPr>
        <w:t>Северо-восточнее города Братислава наши войска теснят противника к реке Ваг. Идут бои за горные дороги, долины и перевалы. Советские части выбили противника из населённого пункта и железнодорожной станции Правно. Немецкая пехота, усиленная самоходными орудиями, безуспешно пыталась вернуть станцию. В этом бою уничтожено 200 немцев и 2 самоходных орудия. Нашими войсками занят также ряд других населённых пунктов.</w:t>
      </w:r>
    </w:p>
    <w:p w14:paraId="3DC17784" w14:textId="77777777" w:rsidR="00DE25E5" w:rsidRPr="00F90EAE" w:rsidRDefault="00DE25E5" w:rsidP="00F90EAE">
      <w:pPr>
        <w:jc w:val="both"/>
        <w:rPr>
          <w:color w:val="000000" w:themeColor="text1"/>
          <w:sz w:val="16"/>
          <w:szCs w:val="16"/>
        </w:rPr>
      </w:pPr>
      <w:r w:rsidRPr="00F90EAE">
        <w:rPr>
          <w:color w:val="000000" w:themeColor="text1"/>
          <w:sz w:val="16"/>
          <w:szCs w:val="16"/>
        </w:rPr>
        <w:t>Севернее Братиславы наши части, отражая контратаки пехоты и танков противника, продолжали продвигаться вперёд. С боями занят крупный населённый пункт Гбели, расположенный в 13 километрах от города Годонин. Захвачено у немцев 275 вагонов с обмундированием и различным военным имуществом.</w:t>
      </w:r>
    </w:p>
    <w:p w14:paraId="4212CFD4" w14:textId="77777777" w:rsidR="00DE25E5" w:rsidRPr="00F90EAE" w:rsidRDefault="00DE25E5" w:rsidP="00F90EAE">
      <w:pPr>
        <w:jc w:val="both"/>
        <w:rPr>
          <w:color w:val="000000" w:themeColor="text1"/>
          <w:sz w:val="16"/>
          <w:szCs w:val="16"/>
        </w:rPr>
      </w:pPr>
      <w:r w:rsidRPr="00F90EAE">
        <w:rPr>
          <w:color w:val="000000" w:themeColor="text1"/>
          <w:sz w:val="16"/>
          <w:szCs w:val="16"/>
        </w:rPr>
        <w:t>В районе Вены войска 3-го Украинского фронта продолжали наступление. Советские части прорвали сильно укреплённую оборону немцев на южной окраине Вены и после упорных боёв овладели восточным и южным вокзалами. Другие наши части стремительным ударом очистили от противника ряд городских кварталов и заняли западный вокзал. Ожесточённые контратаки немцев, пытавшихся восстановить положение, успеха не имели. Наши войска, действующие западнее Вены, овладели городом Тулльн, на южном берегу Дуная. В ходе боёв противник несёт огромные потери. За день, по неполным данным, уничтожено более 6 тысяч немецких солдат и офицеров.</w:t>
      </w:r>
    </w:p>
    <w:p w14:paraId="66BBDFCA" w14:textId="77777777" w:rsidR="00DE25E5" w:rsidRPr="00F90EAE" w:rsidRDefault="00DE25E5" w:rsidP="00F90EAE">
      <w:pPr>
        <w:jc w:val="both"/>
        <w:rPr>
          <w:color w:val="000000" w:themeColor="text1"/>
          <w:sz w:val="16"/>
          <w:szCs w:val="16"/>
        </w:rPr>
      </w:pPr>
      <w:r w:rsidRPr="00F90EAE">
        <w:rPr>
          <w:color w:val="000000" w:themeColor="text1"/>
          <w:sz w:val="16"/>
          <w:szCs w:val="16"/>
        </w:rPr>
        <w:t>Население Австрии радушно встречает бойцов Красной Армии и приветствует их как своих освободителей от немецко-фашистского ига. В городах жители вывешивают государственные флаги Советского Союза и Австрии. В населённом пункте Вейхерсдорф навстречу бойцам Красной Армии с флагами вышло более 200 студентов и другой молодёжи. На флагах были написаны лозунги: «Слава Красной Армии», «Да здравствует Красная Армия». В городе Эйзенштадт население отказалось от эвакуации, проводимой немцами. Жители спрятались в подвалах и погребах. Когда советские части овладели городом, взрослые и дети вышли из подвалов и с радостью приветствовали бойцов и офицеров Красной Армии.</w:t>
      </w:r>
    </w:p>
    <w:p w14:paraId="5085382D" w14:textId="77777777" w:rsidR="00DE25E5" w:rsidRPr="00F90EAE" w:rsidRDefault="00DE25E5"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нанесла бомбо-штурмовой удар по транспортам противника в порту Пиллау. В результате бомбардировки на одном немецком транспорте произошёл сильный взрыв, а на трёх транспортах возникли пожары. На территории порта и на его причалах также отмечены пожары, сопровождавшиеся взрывами.</w:t>
      </w:r>
    </w:p>
    <w:p w14:paraId="21C8F07D" w14:textId="77777777" w:rsidR="00DE25E5" w:rsidRPr="00F90EAE" w:rsidRDefault="00DE25E5" w:rsidP="00F90EAE">
      <w:pPr>
        <w:jc w:val="both"/>
        <w:rPr>
          <w:color w:val="000000" w:themeColor="text1"/>
          <w:sz w:val="16"/>
          <w:szCs w:val="16"/>
        </w:rPr>
      </w:pPr>
      <w:r w:rsidRPr="00F90EAE">
        <w:rPr>
          <w:color w:val="000000" w:themeColor="text1"/>
          <w:sz w:val="16"/>
          <w:szCs w:val="16"/>
        </w:rPr>
        <w:t>В Данцигской бухте потоплен танкер водоизмещением в 2 тысячи тонн и сторожевой корабль противника.» (15093).</w:t>
      </w:r>
    </w:p>
    <w:p w14:paraId="34BEB298" w14:textId="77777777" w:rsidR="00DE25E5" w:rsidRPr="00F90EAE" w:rsidRDefault="00DE25E5" w:rsidP="00F90EAE">
      <w:pPr>
        <w:jc w:val="both"/>
        <w:rPr>
          <w:color w:val="000000" w:themeColor="text1"/>
          <w:sz w:val="16"/>
          <w:szCs w:val="16"/>
        </w:rPr>
      </w:pPr>
    </w:p>
    <w:p w14:paraId="12D63A21" w14:textId="77777777" w:rsidR="009104CE" w:rsidRPr="00F90EAE" w:rsidRDefault="009104CE" w:rsidP="00F90EAE">
      <w:pPr>
        <w:pStyle w:val="ae"/>
        <w:spacing w:before="0" w:after="0"/>
        <w:jc w:val="both"/>
        <w:textAlignment w:val="baseline"/>
        <w:rPr>
          <w:color w:val="000000" w:themeColor="text1"/>
          <w:sz w:val="16"/>
          <w:szCs w:val="16"/>
        </w:rPr>
      </w:pPr>
      <w:r w:rsidRPr="00F90EAE">
        <w:rPr>
          <w:color w:val="000000" w:themeColor="text1"/>
          <w:sz w:val="16"/>
          <w:szCs w:val="16"/>
        </w:rPr>
        <w:t>Днем 8 апреля 1945 г. восьмерка Ил-2 из 7-го гв. пшап атаковала немецкие корабли, замеченные в Данцигском (ныне Гданьском) заливе, юго-восточнее мыса Хель. При этом один из штурмовиков, принадлежавший старшему лейтенанту Анатолию Романову, был подбит зенитной артиллерией. Затем вернувшиеся экипажи доложили, что горящий самолет протаранил вражеский корабль, который они идентифицировали как миноносец.</w:t>
      </w:r>
    </w:p>
    <w:p w14:paraId="3F80AD59" w14:textId="77777777" w:rsidR="009104CE" w:rsidRPr="00F90EAE" w:rsidRDefault="009104CE" w:rsidP="00F90EAE">
      <w:pPr>
        <w:pStyle w:val="ae"/>
        <w:spacing w:before="0" w:after="0"/>
        <w:jc w:val="both"/>
        <w:textAlignment w:val="baseline"/>
        <w:rPr>
          <w:color w:val="000000" w:themeColor="text1"/>
          <w:sz w:val="16"/>
          <w:szCs w:val="16"/>
        </w:rPr>
      </w:pPr>
      <w:r w:rsidRPr="00F90EAE">
        <w:rPr>
          <w:color w:val="000000" w:themeColor="text1"/>
          <w:sz w:val="16"/>
          <w:szCs w:val="16"/>
        </w:rPr>
        <w:t>Согласно немецким источникам, в тот день в трех милях к юго-востоку от мыса Хель на балтийское дно ушло спасательное судно люфтваффе К-61 «Ханс Альбрехт Вед ель». По своим размерам и силуэту оно действительно напоминало миноносец. Это был второй случай на Балтике, когда экипаж Ил-2 ценой своей жизни действительно потопил вражеский корабль. Но опять командовие ВВС Балтийского флота не сочло нужным представить совершившего подвиг летчика к званию Героя (19522).</w:t>
      </w:r>
    </w:p>
    <w:p w14:paraId="4687135C" w14:textId="77777777" w:rsidR="009104CE" w:rsidRPr="00F90EAE" w:rsidRDefault="009104CE" w:rsidP="00F90EAE">
      <w:pPr>
        <w:pStyle w:val="ae"/>
        <w:spacing w:before="0" w:after="0"/>
        <w:jc w:val="both"/>
        <w:textAlignment w:val="baseline"/>
        <w:rPr>
          <w:color w:val="000000" w:themeColor="text1"/>
          <w:sz w:val="16"/>
          <w:szCs w:val="16"/>
        </w:rPr>
      </w:pPr>
    </w:p>
    <w:p w14:paraId="46FE9D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года балтийские летчики потопили большой транспорт "Франкен" водоизмещением 11115 тонн, а также два транспорта гидросамолетов: "Ганс Альбрехт Ведель" и "Бельке" (2691).</w:t>
      </w:r>
    </w:p>
    <w:p w14:paraId="30DC7D8D" w14:textId="77777777" w:rsidR="00665165" w:rsidRPr="00F90EAE" w:rsidRDefault="00665165" w:rsidP="00F90EAE">
      <w:pPr>
        <w:autoSpaceDE w:val="0"/>
        <w:autoSpaceDN w:val="0"/>
        <w:adjustRightInd w:val="0"/>
        <w:jc w:val="both"/>
        <w:rPr>
          <w:color w:val="000000" w:themeColor="text1"/>
          <w:sz w:val="16"/>
          <w:szCs w:val="16"/>
        </w:rPr>
      </w:pPr>
    </w:p>
    <w:p w14:paraId="15C9650A"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8th, 1945: Heavy fighting in the center of Vienna. The Red Air Force drops 1,500 tons of bombs on Konigsberg. In the West, the British Second Army reaches Hildesheim, while the US Seventh Army (Patch) captures Pforzheim near the upper Rhine (3819).</w:t>
      </w:r>
    </w:p>
    <w:p w14:paraId="6A35E9CD" w14:textId="77777777" w:rsidR="00665165" w:rsidRPr="00F90EAE" w:rsidRDefault="00665165" w:rsidP="00F90EAE">
      <w:pPr>
        <w:autoSpaceDE w:val="0"/>
        <w:autoSpaceDN w:val="0"/>
        <w:adjustRightInd w:val="0"/>
        <w:jc w:val="both"/>
        <w:rPr>
          <w:color w:val="000000" w:themeColor="text1"/>
          <w:sz w:val="16"/>
          <w:szCs w:val="16"/>
          <w:lang w:val="en-US"/>
        </w:rPr>
      </w:pPr>
    </w:p>
    <w:p w14:paraId="31574E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шли тяжелые бои в центре вены. КА сбросила 1500 т бомб на Кенигсберг. Британская 2А достигла Хильдесхайма, а 7А (Патч) заняла Пфорцейм (3819).</w:t>
      </w:r>
    </w:p>
    <w:p w14:paraId="7D58C28C" w14:textId="77777777" w:rsidR="00665165" w:rsidRPr="00F90EAE" w:rsidRDefault="00665165" w:rsidP="00F90EAE">
      <w:pPr>
        <w:autoSpaceDE w:val="0"/>
        <w:autoSpaceDN w:val="0"/>
        <w:adjustRightInd w:val="0"/>
        <w:jc w:val="both"/>
        <w:rPr>
          <w:color w:val="000000" w:themeColor="text1"/>
          <w:sz w:val="16"/>
          <w:szCs w:val="16"/>
        </w:rPr>
      </w:pPr>
    </w:p>
    <w:p w14:paraId="512C5F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г. в ходе налета восьмерки Ил-2 из 7-го ГШАП был совершен очередной морской таран. Штурмовик (пилолт старший лейтенант А.А.Романов, стрелок-радист сержант А.М.Дубенчук) был подбит и врезался во вражеский корабль, который наши летчики классифицировали как “миноносец”. Это'произошло в трех милях юго-восточнее косы Хела. И вновь командование не сочло нужным представлять экипаж к званию Героев Советского Союза. Послевоенное обследование морского дна показало в этом районе наличие корпуса большого военного корабля, идентифицированного как миноносец водоизмещением в 1800 т. Обследование показало, что средняя часть корабля разрушена мощным взрывом. По немецким данным, 8 апреля 1945 г. в 12.50 в указанном районе действительно был потоплен немецкий корабль. Немцы указывают, что причиной его гибели стало попадание авиаторпеды, хотя по нашим данным торпедоносцы в той атаке участия не принимали. Немецкие источники по-разному называют потопленное судно: спасательный корабль Люфтваффе, тендер гидроавиации или гидроавиатранспорт К-61 “Ганс Альбрехт Ведель”. Судно было относительно новым (спущено на воду в сентябре 1940 г.), довольно большим (водоизмещение в 1375 тонн), быстроходным (21,5 узла) и хорошо вооруженным зенитной артиллерией. Своим силуэтом и обводами корабль действительно напоминал миноносец (8942).</w:t>
      </w:r>
    </w:p>
    <w:p w14:paraId="2E5ABD9A" w14:textId="77777777" w:rsidR="00665165" w:rsidRPr="00F90EAE" w:rsidRDefault="00665165" w:rsidP="00F90EAE">
      <w:pPr>
        <w:autoSpaceDE w:val="0"/>
        <w:autoSpaceDN w:val="0"/>
        <w:adjustRightInd w:val="0"/>
        <w:jc w:val="both"/>
        <w:rPr>
          <w:color w:val="000000" w:themeColor="text1"/>
          <w:sz w:val="16"/>
          <w:szCs w:val="16"/>
        </w:rPr>
      </w:pPr>
    </w:p>
    <w:p w14:paraId="6A288F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апреля 1945 вышел приказ коман</w:t>
      </w:r>
      <w:r w:rsidRPr="00F90EAE">
        <w:rPr>
          <w:color w:val="000000" w:themeColor="text1"/>
          <w:sz w:val="16"/>
          <w:szCs w:val="16"/>
        </w:rPr>
        <w:softHyphen/>
        <w:t>дира 224-й шад генерал-майора Котельникова от «немедленно приступить к вводу полка в боевую работу согласно плана», который командир 571-го штурмового пол</w:t>
      </w:r>
      <w:r w:rsidRPr="00F90EAE">
        <w:rPr>
          <w:color w:val="000000" w:themeColor="text1"/>
          <w:sz w:val="16"/>
          <w:szCs w:val="16"/>
        </w:rPr>
        <w:softHyphen/>
        <w:t>ка п-п-к Безух получил сразу же по прилете (11157).</w:t>
      </w:r>
    </w:p>
    <w:p w14:paraId="31221A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467DDD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апреля 1945 советский летчик М. Девятаев, находясь в немецком плену, захватил самолет и перелетел к своим (4962).</w:t>
      </w:r>
    </w:p>
    <w:p w14:paraId="1FB712A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540A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ст.л М.П.Девитаев находясь в лагере Свинемюнде с 9 товарищами захватил Хейнкель 111 и перелетел в наше расположение (3398,143).</w:t>
      </w:r>
    </w:p>
    <w:p w14:paraId="2C22DACA" w14:textId="77777777" w:rsidR="00665165" w:rsidRPr="00F90EAE" w:rsidRDefault="00665165" w:rsidP="00F90EAE">
      <w:pPr>
        <w:autoSpaceDE w:val="0"/>
        <w:autoSpaceDN w:val="0"/>
        <w:adjustRightInd w:val="0"/>
        <w:jc w:val="both"/>
        <w:rPr>
          <w:color w:val="000000" w:themeColor="text1"/>
          <w:sz w:val="16"/>
          <w:szCs w:val="16"/>
        </w:rPr>
      </w:pPr>
    </w:p>
    <w:p w14:paraId="5030438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69AC10B" w14:textId="77777777" w:rsidR="00665165" w:rsidRPr="00F90EAE" w:rsidRDefault="00665165" w:rsidP="00F90EAE">
      <w:pPr>
        <w:autoSpaceDE w:val="0"/>
        <w:autoSpaceDN w:val="0"/>
        <w:adjustRightInd w:val="0"/>
        <w:jc w:val="both"/>
        <w:rPr>
          <w:iCs/>
          <w:color w:val="000000" w:themeColor="text1"/>
          <w:sz w:val="16"/>
          <w:szCs w:val="16"/>
        </w:rPr>
      </w:pPr>
    </w:p>
    <w:p w14:paraId="231B49F2" w14:textId="77777777" w:rsidR="007D191E" w:rsidRPr="00F90EAE" w:rsidRDefault="007D191E" w:rsidP="00F90EAE">
      <w:pPr>
        <w:jc w:val="both"/>
        <w:rPr>
          <w:color w:val="0070C0"/>
          <w:sz w:val="16"/>
          <w:szCs w:val="16"/>
        </w:rPr>
      </w:pPr>
      <w:r w:rsidRPr="00F90EAE">
        <w:rPr>
          <w:color w:val="0070C0"/>
          <w:sz w:val="16"/>
          <w:szCs w:val="16"/>
        </w:rPr>
        <w:t>8 апреля 1945 года — первый полёт тяжёлого истребителя/штурмовика Rikugun Ki-93. /Япония/</w:t>
      </w:r>
    </w:p>
    <w:p w14:paraId="68F08B86" w14:textId="77777777" w:rsidR="007D191E" w:rsidRPr="00F90EAE" w:rsidRDefault="007D191E" w:rsidP="00F90EAE">
      <w:pPr>
        <w:jc w:val="both"/>
        <w:rPr>
          <w:color w:val="0070C0"/>
          <w:sz w:val="16"/>
          <w:szCs w:val="16"/>
        </w:rPr>
      </w:pPr>
      <w:r w:rsidRPr="00F90EAE">
        <w:rPr>
          <w:color w:val="0070C0"/>
          <w:sz w:val="16"/>
          <w:szCs w:val="16"/>
        </w:rPr>
        <w:t>Работы над проектом двухмоторного истребителя Ki-93 начались в Армейском авиационно-исследовательском институте (Rikugun Kokugijutsu Kenkyujo) ещё в 1941 году. Самолёт предназначался для ВВС Императорской армии Японии. Но инженеров часто отзывали для решения более срочных задач, поэтому к строительству прототипа приступили лишь в 1943 году.</w:t>
      </w:r>
    </w:p>
    <w:p w14:paraId="6F257FE0" w14:textId="77777777" w:rsidR="007D191E" w:rsidRPr="00F90EAE" w:rsidRDefault="007D191E" w:rsidP="00F90EAE">
      <w:pPr>
        <w:jc w:val="both"/>
        <w:rPr>
          <w:color w:val="0070C0"/>
          <w:sz w:val="16"/>
          <w:szCs w:val="16"/>
        </w:rPr>
      </w:pPr>
      <w:r w:rsidRPr="00F90EAE">
        <w:rPr>
          <w:color w:val="0070C0"/>
          <w:sz w:val="16"/>
          <w:szCs w:val="16"/>
        </w:rPr>
        <w:t>Цельнометаллический низкоплан оснащался 2 × двигателями Mitsubishi Ha-214 мощностью 1970 л.с. каждый. Экипаж состоял из 2 человек. Расчётная максимальная скорость — 624 км/ч, дальность полёта — 3000 км. Вооружение — 1 × 57-мм пушка Ho-401, 2 × 20-мм пушка Ho-5 и 1 × 12,7-мм пулемёт Ho-103.</w:t>
      </w:r>
    </w:p>
    <w:p w14:paraId="0CA7994F" w14:textId="77777777" w:rsidR="007D191E" w:rsidRPr="00F90EAE" w:rsidRDefault="007D191E" w:rsidP="00F90EAE">
      <w:pPr>
        <w:jc w:val="both"/>
        <w:rPr>
          <w:color w:val="0070C0"/>
          <w:sz w:val="16"/>
          <w:szCs w:val="16"/>
        </w:rPr>
      </w:pPr>
      <w:r w:rsidRPr="00F90EAE">
        <w:rPr>
          <w:color w:val="0070C0"/>
          <w:sz w:val="16"/>
          <w:szCs w:val="16"/>
        </w:rPr>
        <w:t>Во время первого полёта выяснилось, что Ki-93 тяжелее ожидаемого и мощности двигателей не хватает. К тому же, он совершил аварийную посадку. Самолёт отправили на ремонт. Но перед вторым полётом ангар с Rikugun Ki-93 был уничтожен бомбардировщиками ВВС США (22300).</w:t>
      </w:r>
    </w:p>
    <w:p w14:paraId="14B11297" w14:textId="77777777" w:rsidR="007D191E" w:rsidRPr="00F90EAE" w:rsidRDefault="007D191E" w:rsidP="00F90EAE">
      <w:pPr>
        <w:jc w:val="both"/>
        <w:rPr>
          <w:color w:val="0070C0"/>
          <w:sz w:val="16"/>
          <w:szCs w:val="16"/>
        </w:rPr>
      </w:pPr>
    </w:p>
    <w:p w14:paraId="59ECB5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апреля 1945 американскими войсками обнаружены склады похищенных нацистами картин и фашистского золота в соляных шахтах Мульхаузена (4962).</w:t>
      </w:r>
    </w:p>
    <w:p w14:paraId="6901049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71A98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 британская пехота захватила заводы Фокке-Вульф и недостроенный реактивный одноместный Та.183 в нем. Комплект крыльев захватили советские войска в Берлине в имперском министерстве авиации. Возможно это был предшественник МиГ-15 (3504).</w:t>
      </w:r>
    </w:p>
    <w:p w14:paraId="02612EE6" w14:textId="77777777" w:rsidR="00665165" w:rsidRPr="00F90EAE" w:rsidRDefault="00665165" w:rsidP="00F90EAE">
      <w:pPr>
        <w:autoSpaceDE w:val="0"/>
        <w:autoSpaceDN w:val="0"/>
        <w:adjustRightInd w:val="0"/>
        <w:jc w:val="both"/>
        <w:rPr>
          <w:color w:val="000000" w:themeColor="text1"/>
          <w:sz w:val="16"/>
          <w:szCs w:val="16"/>
        </w:rPr>
      </w:pPr>
    </w:p>
    <w:p w14:paraId="557BA649" w14:textId="77777777" w:rsidR="007D191E" w:rsidRPr="00F90EAE" w:rsidRDefault="007D191E" w:rsidP="00F90EAE">
      <w:pPr>
        <w:jc w:val="both"/>
        <w:rPr>
          <w:color w:val="0070C0"/>
          <w:sz w:val="16"/>
          <w:szCs w:val="16"/>
        </w:rPr>
      </w:pPr>
      <w:r w:rsidRPr="00F90EAE">
        <w:rPr>
          <w:color w:val="0070C0"/>
          <w:sz w:val="16"/>
          <w:szCs w:val="16"/>
        </w:rPr>
        <w:t>8 апреля 1945 немецкий летчик-испытатель Мелитта Шенк Грефин фон Штауффенберг сбит и погиб (20371).</w:t>
      </w:r>
    </w:p>
    <w:p w14:paraId="03A720C1" w14:textId="77777777" w:rsidR="007D191E" w:rsidRPr="00F90EAE" w:rsidRDefault="007D191E" w:rsidP="00F90EAE">
      <w:pPr>
        <w:jc w:val="both"/>
        <w:rPr>
          <w:color w:val="0070C0"/>
          <w:sz w:val="16"/>
          <w:szCs w:val="16"/>
        </w:rPr>
      </w:pPr>
    </w:p>
    <w:p w14:paraId="6550EA8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C42D127" w14:textId="77777777" w:rsidR="00665165" w:rsidRPr="00F90EAE" w:rsidRDefault="00665165" w:rsidP="00F90EAE">
      <w:pPr>
        <w:autoSpaceDE w:val="0"/>
        <w:autoSpaceDN w:val="0"/>
        <w:adjustRightInd w:val="0"/>
        <w:jc w:val="both"/>
        <w:rPr>
          <w:iCs/>
          <w:color w:val="000000" w:themeColor="text1"/>
          <w:sz w:val="16"/>
          <w:szCs w:val="16"/>
        </w:rPr>
      </w:pPr>
    </w:p>
    <w:p w14:paraId="5A5EC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закончились гос. испытания Як-3П с ВК-105ПФ2 и 3хБ-20 (Б-20М и 2хБ-20С), которые проводились с 23 марта 1945. Испытания вели л В.Г.Иванов, ви И.А.Колосов и и по вооружению А.Г.Аронов. Выполнили 37 полетов продолжительностью 17:39. запустили в серию в Саратове на 292 и на 31 в Тбилиси и производили с апреля 1945 по середину 1946 (65,177).</w:t>
      </w:r>
    </w:p>
    <w:p w14:paraId="007622E2" w14:textId="77777777" w:rsidR="00665165" w:rsidRPr="00F90EAE" w:rsidRDefault="00665165" w:rsidP="00F90EAE">
      <w:pPr>
        <w:autoSpaceDE w:val="0"/>
        <w:autoSpaceDN w:val="0"/>
        <w:adjustRightInd w:val="0"/>
        <w:jc w:val="both"/>
        <w:rPr>
          <w:color w:val="000000" w:themeColor="text1"/>
          <w:sz w:val="16"/>
          <w:szCs w:val="16"/>
        </w:rPr>
      </w:pPr>
    </w:p>
    <w:p w14:paraId="4F24F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года закончились государственные испытания трехпушечного Як-3, на которые с 23 марта по предъявили самолет № 1630. Ведущими по машине были инженер И.А. Колосов и летчик В.Г. Иванов. За тот период выполнили 37 полетов общей продолжительностью 17 часов 39 минут.</w:t>
      </w:r>
    </w:p>
    <w:p w14:paraId="5773F2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на самолете сохранились крупные дефекты, ранее отмеченные в ходе контрольных проверок серийных машин, максимальные горизонтальные скорости были на 15-25 км/ч ниже заданных постановлением ГКО вследствие отсоса щитков шасси в полете и волнистой поверхности крыла. Мала была и дальность двухсторонней радиосвязи, не превышавшая 55-60 км при заданной 100 км. Кроме этого, выявили отставание обшивки киля, чрезмерные нагрузки на ручку управления самолетом, недостаточную прочность кронштейна крепления гидроцилиндра спуска пушки Б-20М и другие дефекты.</w:t>
      </w:r>
    </w:p>
    <w:p w14:paraId="16317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Возможности промышленности все же были ограничены. Не хватало оборудова- Истребитель ния, материалов и специалистов, чтобы Bf109G-6 оперативно устранять все недостатки. Да и политики давили со всех сторон, требуя выполнения плана, поэтому и приходилось что-то приносить в жертву. Поэтому воевать приходилось на том, что выпускали заводы, и Як-ЗП не стал исключением (12047).</w:t>
      </w:r>
    </w:p>
    <w:p w14:paraId="02C5C429" w14:textId="77777777" w:rsidR="00665165" w:rsidRPr="00F90EAE" w:rsidRDefault="00665165" w:rsidP="00F90EAE">
      <w:pPr>
        <w:autoSpaceDE w:val="0"/>
        <w:autoSpaceDN w:val="0"/>
        <w:adjustRightInd w:val="0"/>
        <w:jc w:val="both"/>
        <w:rPr>
          <w:color w:val="000000" w:themeColor="text1"/>
          <w:sz w:val="16"/>
          <w:szCs w:val="16"/>
        </w:rPr>
      </w:pPr>
    </w:p>
    <w:p w14:paraId="78030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в НИИ ВВС закончились контрольные испытания Як-3 №2229 саратовского авиазавода, которые шли с 23 марта по. На крыле усилили средние части нервюр №8, 9, 10, 11, 14, 16 и 18, установили дополнительные замки на центропланные щитки, закрывавшие после уборки основные опоры шасси, сборник конденсата между компрессором АК-50 и прямоточным фильтром, масло- радиатор типа 555 заменили на 555У.</w:t>
      </w:r>
    </w:p>
    <w:p w14:paraId="271874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Выяснилось, что на самолете сохранились дефекты, выявленные в ходе контрольных испытаний машины №1112 (сентябрь 1944 г.), а трубка Вентури, питавшая гироскопические приборы и установленная в выходной части тоннеля водоради- атора, не обеспечивала необходимого перепада давления для нормальной работы указателя поворота.</w:t>
      </w:r>
    </w:p>
    <w:p w14:paraId="703B6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Максимальные горизонтальные скорости истребителя оказались заниженными по сравнению с установленными постановлением ГКО от 26 октября 1943 года на 10-11 км/ч при кране шасси, поставленном на уборку, и на 22-25 км/ч - в его нейтральном положении. Дальность радиопередачи не превышала 60 км, а емкость бензобаков сократилась на 12 литров.</w:t>
      </w:r>
    </w:p>
    <w:p w14:paraId="31CFF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отмечалось, что сферический козырек фонаря искажал видимые через него предметы и на нем отсутствовало переднее бронестекло. Несмотря на то что опыт Великой Отечественной показал, что немцы избегали лобовых атак и вероятность поражения летчика с передней полусферы была ничтожна, заказчик продолжал настаивать на переднем бронестекле, но на Як-3 его так и не установили, ограничившись задней прозрачной броней.</w:t>
      </w:r>
    </w:p>
    <w:p w14:paraId="129FBA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Усилия на ручке управления самолетом были чрезмерными, а эффективность руля высоты - мала. Были отмечены и другие недостатки. Хотя самолет испытания не выдержал, промышленность продолжала выпуск Як-3, а военпреды их принимали.</w:t>
      </w:r>
    </w:p>
    <w:p w14:paraId="14B1C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Вслед за машиной №2229 на контрольные испытания в НИИ ВВС поступил самолет №4145, выпущенный в мае тем же заводом.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028E7E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2FA3F789" w14:textId="77777777" w:rsidR="00665165" w:rsidRPr="00F90EAE" w:rsidRDefault="00665165" w:rsidP="00F90EAE">
      <w:pPr>
        <w:autoSpaceDE w:val="0"/>
        <w:autoSpaceDN w:val="0"/>
        <w:adjustRightInd w:val="0"/>
        <w:jc w:val="both"/>
        <w:rPr>
          <w:color w:val="000000" w:themeColor="text1"/>
          <w:sz w:val="16"/>
          <w:szCs w:val="16"/>
        </w:rPr>
      </w:pPr>
    </w:p>
    <w:p w14:paraId="405C13EB" w14:textId="77777777" w:rsidR="00DE25E5" w:rsidRPr="00F90EAE" w:rsidRDefault="00DE25E5" w:rsidP="00F90EAE">
      <w:pPr>
        <w:jc w:val="both"/>
        <w:rPr>
          <w:color w:val="000000" w:themeColor="text1"/>
          <w:sz w:val="16"/>
          <w:szCs w:val="16"/>
        </w:rPr>
      </w:pPr>
      <w:r w:rsidRPr="00F90EAE">
        <w:rPr>
          <w:color w:val="000000" w:themeColor="text1"/>
          <w:sz w:val="16"/>
          <w:szCs w:val="16"/>
        </w:rPr>
        <w:t xml:space="preserve">9 апреля в 1945 году постановлением Государственного комитета обороны ОКБ-115 поручалось спроектировать, построить и передать на испытания одноместный истребитель с одним реактивным двигателем типа «ЮМО-004» тягой 900 кгс. Стремясь как можно быстрее выполнить поставленную задачу, конструкторы решили создать самолет на базе хорошо зарекомендовавшего себя «Як-3». Основное отличие новой машины заключалось в установке ТРД на месте поршневого мотора ВК-107А, что давало возможность сохранить почти без изменений конструкцию цельнометаллического «Як-3» последних серий. Реактивный первенец ОКБ-115 получил первоначальное обозначение «Як-ЮМО» (в ряде документов он фигурировал как «Як-3-ЮМО» или "экспериментальный истребитель конструкции А.С.Яковлева"). Его фюзеляж конструктивно состоял из сваренной из стальных труб фермы, к которой крепилась дюралюминиевая обшивка. В носовой части к ферме приваривались узлы для установки двигателя. Нижняя часть фюзеляжа в районе сопла прикрывалась теплозащитным экраном из жаропрочной стали. Двухлонжеронное неразъемное крыло имело передний лонжерон, центральная часть которого представляла собой арку, охватывающую двигатель. Крыло снабжалось посадочными щитками и элеронами с дюралевой обшивкой. Воздухозаборники маслорадиатора, находившиеся в передней кромке крыла «Як-3», убрали. Четыре топливных бака расположили </w:t>
      </w:r>
      <w:r w:rsidRPr="00F90EAE">
        <w:rPr>
          <w:color w:val="000000" w:themeColor="text1"/>
          <w:sz w:val="16"/>
          <w:szCs w:val="16"/>
        </w:rPr>
        <w:lastRenderedPageBreak/>
        <w:t>в крыле, один - в передней части фюзеляжа и еще один (резервный) - над двигателем. Оперение в целом соответствовало «Як-3» (даже на рулях сохранилась полотняная обшивка), но площадь киля несколько увеличили. Без всяких переделок на новый самолет перенесли кабину вместе с приборной доской, электросистему и многое другое. В носовой части фюзеляжа над двигателем решили разместить вооружение, состоявшее из двух пушек «НС-23К» калибром 23 мм (15094).</w:t>
      </w:r>
    </w:p>
    <w:p w14:paraId="2775045A" w14:textId="77777777" w:rsidR="00DE25E5" w:rsidRPr="00F90EAE" w:rsidRDefault="00DE25E5" w:rsidP="00F90EAE">
      <w:pPr>
        <w:jc w:val="both"/>
        <w:rPr>
          <w:color w:val="000000" w:themeColor="text1"/>
          <w:sz w:val="16"/>
          <w:szCs w:val="16"/>
        </w:rPr>
      </w:pPr>
    </w:p>
    <w:p w14:paraId="4F34A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были закончены работы по вывозу оборудования немецкого завода авиавинтов в г. Хальбау в СССР на завод 150 в Ступино (1874,12).</w:t>
      </w:r>
    </w:p>
    <w:p w14:paraId="32C44F90" w14:textId="77777777" w:rsidR="00665165" w:rsidRPr="00F90EAE" w:rsidRDefault="00665165" w:rsidP="00F90EAE">
      <w:pPr>
        <w:autoSpaceDE w:val="0"/>
        <w:autoSpaceDN w:val="0"/>
        <w:adjustRightInd w:val="0"/>
        <w:jc w:val="both"/>
        <w:rPr>
          <w:color w:val="000000" w:themeColor="text1"/>
          <w:sz w:val="16"/>
          <w:szCs w:val="16"/>
        </w:rPr>
      </w:pPr>
    </w:p>
    <w:p w14:paraId="302D05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были закончены работы по вывозу оборудования немецкого завода Даймлер Бенц в г. Мезеритц в СССР на завод 265 в Воронеж (1874,12).</w:t>
      </w:r>
    </w:p>
    <w:p w14:paraId="4A38F690" w14:textId="77777777" w:rsidR="00665165" w:rsidRPr="00F90EAE" w:rsidRDefault="00665165" w:rsidP="00F90EAE">
      <w:pPr>
        <w:autoSpaceDE w:val="0"/>
        <w:autoSpaceDN w:val="0"/>
        <w:adjustRightInd w:val="0"/>
        <w:jc w:val="both"/>
        <w:rPr>
          <w:color w:val="000000" w:themeColor="text1"/>
          <w:sz w:val="16"/>
          <w:szCs w:val="16"/>
        </w:rPr>
      </w:pPr>
    </w:p>
    <w:p w14:paraId="0657BDD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F1ABE8A" w14:textId="77777777" w:rsidR="00665165" w:rsidRPr="00F90EAE" w:rsidRDefault="00665165" w:rsidP="00F90EAE">
      <w:pPr>
        <w:autoSpaceDE w:val="0"/>
        <w:autoSpaceDN w:val="0"/>
        <w:adjustRightInd w:val="0"/>
        <w:jc w:val="both"/>
        <w:rPr>
          <w:iCs/>
          <w:color w:val="000000" w:themeColor="text1"/>
          <w:sz w:val="16"/>
          <w:szCs w:val="16"/>
        </w:rPr>
      </w:pPr>
    </w:p>
    <w:p w14:paraId="700CA1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г. одной из первых станций управления стрельбой артиллерии главного калибра и зенитной артиллерии была станция «Марс-1», выполненная по тактико-техническим требованиям ВМФ.</w:t>
      </w:r>
    </w:p>
    <w:p w14:paraId="2F97D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Станция разрабатывалась коллективом предприятия, где директором был В. Д. Калмыков. Руководил разработкой А. С. Гринштейн при активном участии Ф. В. Лукина, А. А. Шишова, А. К. Балояна и С. И. Ноздрина.</w:t>
      </w:r>
    </w:p>
    <w:p w14:paraId="6F8ABB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Станция дециметрового диапазона волн с мощностью излучения в импульсе около 60 кВт должна была обнаруживать и пеленговать эсминцы на расстояниях &gt;не менее 85 каб с срединными ошибками: по дальности – 0,25 каб, по курсовому углу – 4° (11026).</w:t>
      </w:r>
    </w:p>
    <w:p w14:paraId="385661A2" w14:textId="77777777" w:rsidR="00665165" w:rsidRPr="00F90EAE" w:rsidRDefault="00665165" w:rsidP="00F90EAE">
      <w:pPr>
        <w:autoSpaceDE w:val="0"/>
        <w:autoSpaceDN w:val="0"/>
        <w:adjustRightInd w:val="0"/>
        <w:jc w:val="both"/>
        <w:rPr>
          <w:color w:val="000000" w:themeColor="text1"/>
          <w:sz w:val="16"/>
          <w:szCs w:val="16"/>
        </w:rPr>
      </w:pPr>
    </w:p>
    <w:p w14:paraId="64EC54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апреля 1945 закончились испытания объекта 701 № 5 в тяжелых дорожных условиях, которые проходили с 30 1945. По ре</w:t>
      </w:r>
      <w:r w:rsidRPr="00F90EAE">
        <w:rPr>
          <w:color w:val="000000" w:themeColor="text1"/>
          <w:sz w:val="16"/>
          <w:szCs w:val="16"/>
        </w:rPr>
        <w:softHyphen/>
        <w:t>шению комиссии танк дополнительные испытания выдер</w:t>
      </w:r>
      <w:r w:rsidRPr="00F90EAE">
        <w:rPr>
          <w:color w:val="000000" w:themeColor="text1"/>
          <w:sz w:val="16"/>
          <w:szCs w:val="16"/>
        </w:rPr>
        <w:softHyphen/>
        <w:t>жал, и вновь была высказана рекомендация о принятии его на вооружение. Кроме того, с 6 по 21 апреля в Челябинске комиссией под председательством инженер-подполковника П. Ворошилова испытывался вновь изготовленный «Объект 701» № 6.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985AF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DE66242" w14:textId="77777777" w:rsidR="007D191E" w:rsidRPr="00F90EAE" w:rsidRDefault="007D191E" w:rsidP="00F90EAE">
      <w:pPr>
        <w:jc w:val="both"/>
        <w:rPr>
          <w:color w:val="0070C0"/>
          <w:sz w:val="16"/>
          <w:szCs w:val="16"/>
        </w:rPr>
      </w:pPr>
      <w:r w:rsidRPr="00F90EAE">
        <w:rPr>
          <w:color w:val="0070C0"/>
          <w:sz w:val="16"/>
          <w:szCs w:val="16"/>
        </w:rPr>
        <w:t>9 апреля 1945 г. в последнем из 24 донесений по полигонным испытаниям первого опытного образца танка Т-54, изготовленного заводом № 183 на НИБТ Полигоне Кульчицкий сообщил следующее:</w:t>
      </w:r>
    </w:p>
    <w:p w14:paraId="3A547E8E" w14:textId="77777777" w:rsidR="007D191E" w:rsidRPr="00F90EAE" w:rsidRDefault="007D191E" w:rsidP="00F90EAE">
      <w:pPr>
        <w:jc w:val="both"/>
        <w:rPr>
          <w:color w:val="0070C0"/>
          <w:sz w:val="16"/>
          <w:szCs w:val="16"/>
        </w:rPr>
      </w:pPr>
      <w:r w:rsidRPr="00F90EAE">
        <w:rPr>
          <w:color w:val="0070C0"/>
          <w:sz w:val="16"/>
          <w:szCs w:val="16"/>
        </w:rPr>
        <w:t>«9.4.45 г. проводились специспытания – валка деревьев.</w:t>
      </w:r>
    </w:p>
    <w:p w14:paraId="5687DBBC" w14:textId="77777777" w:rsidR="007D191E" w:rsidRPr="00F90EAE" w:rsidRDefault="007D191E" w:rsidP="00F90EAE">
      <w:pPr>
        <w:jc w:val="both"/>
        <w:rPr>
          <w:color w:val="0070C0"/>
          <w:sz w:val="16"/>
          <w:szCs w:val="16"/>
        </w:rPr>
      </w:pPr>
      <w:r w:rsidRPr="00F90EAE">
        <w:rPr>
          <w:color w:val="0070C0"/>
          <w:sz w:val="16"/>
          <w:szCs w:val="16"/>
        </w:rPr>
        <w:t>Пройдено за пробег – 17 км.</w:t>
      </w:r>
    </w:p>
    <w:p w14:paraId="3505A672" w14:textId="77777777" w:rsidR="007D191E" w:rsidRPr="00F90EAE" w:rsidRDefault="007D191E" w:rsidP="00F90EAE">
      <w:pPr>
        <w:jc w:val="both"/>
        <w:rPr>
          <w:color w:val="0070C0"/>
          <w:sz w:val="16"/>
          <w:szCs w:val="16"/>
        </w:rPr>
      </w:pPr>
      <w:r w:rsidRPr="00F90EAE">
        <w:rPr>
          <w:color w:val="0070C0"/>
          <w:sz w:val="16"/>
          <w:szCs w:val="16"/>
        </w:rPr>
        <w:t>Пройдено с начала испытаний – 1553 км.</w:t>
      </w:r>
    </w:p>
    <w:p w14:paraId="34CF3383" w14:textId="77777777" w:rsidR="007D191E" w:rsidRPr="00F90EAE" w:rsidRDefault="007D191E" w:rsidP="00F90EAE">
      <w:pPr>
        <w:jc w:val="both"/>
        <w:rPr>
          <w:color w:val="0070C0"/>
          <w:sz w:val="16"/>
          <w:szCs w:val="16"/>
        </w:rPr>
      </w:pPr>
      <w:r w:rsidRPr="00F90EAE">
        <w:rPr>
          <w:color w:val="0070C0"/>
          <w:sz w:val="16"/>
          <w:szCs w:val="16"/>
        </w:rPr>
        <w:t>Выявленные дефекты.</w:t>
      </w:r>
    </w:p>
    <w:p w14:paraId="0BF8091A" w14:textId="77777777" w:rsidR="007D191E" w:rsidRPr="00F90EAE" w:rsidRDefault="007D191E" w:rsidP="00F90EAE">
      <w:pPr>
        <w:jc w:val="both"/>
        <w:rPr>
          <w:color w:val="0070C0"/>
          <w:sz w:val="16"/>
          <w:szCs w:val="16"/>
        </w:rPr>
      </w:pPr>
      <w:r w:rsidRPr="00F90EAE">
        <w:rPr>
          <w:color w:val="0070C0"/>
          <w:sz w:val="16"/>
          <w:szCs w:val="16"/>
        </w:rPr>
        <w:t>Отказал в работе стартер.</w:t>
      </w:r>
    </w:p>
    <w:p w14:paraId="4581DC1F" w14:textId="77777777" w:rsidR="007D191E" w:rsidRPr="00F90EAE" w:rsidRDefault="007D191E" w:rsidP="00F90EAE">
      <w:pPr>
        <w:jc w:val="both"/>
        <w:rPr>
          <w:color w:val="0070C0"/>
          <w:sz w:val="16"/>
          <w:szCs w:val="16"/>
        </w:rPr>
      </w:pPr>
      <w:r w:rsidRPr="00F90EAE">
        <w:rPr>
          <w:color w:val="0070C0"/>
          <w:sz w:val="16"/>
          <w:szCs w:val="16"/>
        </w:rPr>
        <w:t>Состояние танка. Испытания танка закончены полностью. 10.4.45 г. машина будет поставлена на разборку трансмиссии и ходовой части для осмотра».</w:t>
      </w:r>
    </w:p>
    <w:p w14:paraId="21E67B83" w14:textId="77777777" w:rsidR="007D191E" w:rsidRPr="00F90EAE" w:rsidRDefault="007D191E" w:rsidP="00F90EAE">
      <w:pPr>
        <w:jc w:val="both"/>
        <w:rPr>
          <w:color w:val="0070C0"/>
          <w:sz w:val="16"/>
          <w:szCs w:val="16"/>
        </w:rPr>
      </w:pPr>
      <w:r w:rsidRPr="00F90EAE">
        <w:rPr>
          <w:color w:val="0070C0"/>
          <w:sz w:val="16"/>
          <w:szCs w:val="16"/>
        </w:rPr>
        <w:t>[ЦАМО. Ф. 38. Оп. 11355. Д. 3013. Л. 42] (21209).</w:t>
      </w:r>
    </w:p>
    <w:p w14:paraId="221D19CC" w14:textId="77777777" w:rsidR="007D191E" w:rsidRPr="00F90EAE" w:rsidRDefault="007D191E" w:rsidP="00F90EAE">
      <w:pPr>
        <w:jc w:val="both"/>
        <w:rPr>
          <w:color w:val="0070C0"/>
          <w:sz w:val="16"/>
          <w:szCs w:val="16"/>
        </w:rPr>
      </w:pPr>
    </w:p>
    <w:p w14:paraId="78BCCE8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вышло Распоряжение ГКО № 8058 [О мерах по обеспечению строительными материалами строек и предприятий НКЧМ, НКЦМ, НКЭС, НКПС, НКУП и НКНП.] (7322, 164-165,166-173).</w:t>
      </w:r>
    </w:p>
    <w:p w14:paraId="7E4C008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BD6C6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вышло Распоряжение ГКО № 8059 [О направлении 2000 интернированных немцев на строительство узкоколейной ветки для обеспечения торфом УЗТМ.] (7322, 174).</w:t>
      </w:r>
    </w:p>
    <w:p w14:paraId="31F45CC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698CC7D" w14:textId="77777777" w:rsidR="00DE25E5" w:rsidRPr="00F90EAE" w:rsidRDefault="00DE25E5" w:rsidP="00F90EAE">
      <w:pPr>
        <w:pStyle w:val="book"/>
        <w:ind w:firstLine="0"/>
        <w:jc w:val="both"/>
        <w:rPr>
          <w:color w:val="000000" w:themeColor="text1"/>
          <w:sz w:val="16"/>
          <w:szCs w:val="16"/>
        </w:rPr>
      </w:pPr>
      <w:r w:rsidRPr="00F90EAE">
        <w:rPr>
          <w:color w:val="000000" w:themeColor="text1"/>
          <w:sz w:val="16"/>
          <w:szCs w:val="16"/>
        </w:rPr>
        <w:t>9 апреля 1945 г. «Зейдлиц» был поврежден у стенки завода советской авиацией и на следующий день там же затоплен экипажем. В 1946 г. крейсер был поднят аварийно-спасательной службой Юго-Балтийского флота, отбуксирован в Ленинград и 10 марта 1947 г. зачислен в состав ВМФ СССР, но ввиду невозможности достройки 9 апреля 1947 г. исключен из списков судов ВМФ. Разобрали же его лишь в начале 1950-х годов. Было разработано несколько проектов восстановления «Зейдлица». В 1951 г. был представлен проект создания из двух крейсеров — «Таллина» (бывшего «Лютцова») и «Зейдлица» — одного учебного крейсера с вооружением: 12—152-мм, 8—130-мм, 32— 45-мм и 24—25-мм орудий и двумя 53-см торпедными аппаратами. Однако стоимость постройки такого крейсера оказалась больше, чем запланированная сумма на строительство крейсера проекта 68бис, и от этой затеи отказались (15225).</w:t>
      </w:r>
    </w:p>
    <w:p w14:paraId="2EE98ABD" w14:textId="77777777" w:rsidR="00DE25E5" w:rsidRPr="00F90EAE" w:rsidRDefault="00DE25E5" w:rsidP="00F90EAE">
      <w:pPr>
        <w:pStyle w:val="book"/>
        <w:ind w:firstLine="0"/>
        <w:jc w:val="both"/>
        <w:rPr>
          <w:color w:val="000000" w:themeColor="text1"/>
          <w:sz w:val="16"/>
          <w:szCs w:val="16"/>
        </w:rPr>
      </w:pPr>
    </w:p>
    <w:p w14:paraId="507C386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88C5C53" w14:textId="77777777" w:rsidR="00665165" w:rsidRPr="00F90EAE" w:rsidRDefault="00665165" w:rsidP="00F90EAE">
      <w:pPr>
        <w:autoSpaceDE w:val="0"/>
        <w:autoSpaceDN w:val="0"/>
        <w:adjustRightInd w:val="0"/>
        <w:jc w:val="both"/>
        <w:rPr>
          <w:iCs/>
          <w:color w:val="000000" w:themeColor="text1"/>
          <w:sz w:val="16"/>
          <w:szCs w:val="16"/>
        </w:rPr>
      </w:pPr>
    </w:p>
    <w:p w14:paraId="4BBEA9A1"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оперативная сводка Совинформбюро:</w:t>
      </w:r>
    </w:p>
    <w:p w14:paraId="6C7E5848" w14:textId="77777777" w:rsidR="00DE25E5" w:rsidRPr="00F90EAE" w:rsidRDefault="00DE25E5" w:rsidP="00F90EAE">
      <w:pPr>
        <w:jc w:val="both"/>
        <w:rPr>
          <w:color w:val="000000" w:themeColor="text1"/>
          <w:sz w:val="16"/>
          <w:szCs w:val="16"/>
        </w:rPr>
      </w:pPr>
      <w:r w:rsidRPr="00F90EAE">
        <w:rPr>
          <w:color w:val="000000" w:themeColor="text1"/>
          <w:sz w:val="16"/>
          <w:szCs w:val="16"/>
        </w:rPr>
        <w:t>«Войска 3-го Белорусского фронта после упорных уличных боёв завершили разгром Кенигсбергской группы немецких войск и сегодня, 9 апреля, штурмом овладели крепостью и главным городом Восточной Пруссии Кенигсберг — стратегически важным узлом обороны немцев на Балтийском море.</w:t>
      </w:r>
    </w:p>
    <w:p w14:paraId="460DB758" w14:textId="77777777" w:rsidR="00DE25E5" w:rsidRPr="00F90EAE" w:rsidRDefault="00DE25E5" w:rsidP="00F90EAE">
      <w:pPr>
        <w:jc w:val="both"/>
        <w:rPr>
          <w:color w:val="000000" w:themeColor="text1"/>
          <w:sz w:val="16"/>
          <w:szCs w:val="16"/>
        </w:rPr>
      </w:pPr>
      <w:r w:rsidRPr="00F90EAE">
        <w:rPr>
          <w:color w:val="000000" w:themeColor="text1"/>
          <w:sz w:val="16"/>
          <w:szCs w:val="16"/>
        </w:rPr>
        <w:t>За день боёв к 20 часам войска фронта взяли в плен свыше 27.000 немецких солдат и офицеров, а также захватили большое количество вооружения и разного военного имущества.</w:t>
      </w:r>
    </w:p>
    <w:p w14:paraId="173F881C" w14:textId="77777777" w:rsidR="00DE25E5" w:rsidRPr="00F90EAE" w:rsidRDefault="00DE25E5" w:rsidP="00F90EAE">
      <w:pPr>
        <w:jc w:val="both"/>
        <w:rPr>
          <w:color w:val="000000" w:themeColor="text1"/>
          <w:sz w:val="16"/>
          <w:szCs w:val="16"/>
        </w:rPr>
      </w:pPr>
      <w:r w:rsidRPr="00F90EAE">
        <w:rPr>
          <w:color w:val="000000" w:themeColor="text1"/>
          <w:sz w:val="16"/>
          <w:szCs w:val="16"/>
        </w:rPr>
        <w:t>Остатки Кенигсбергского гарнизона во главе с комендантом крепости — генералом от инфантерии Ляш и его штабом сегодня, в 21 час 30 минут, прекратили сопротивление и сложили оружие.</w:t>
      </w:r>
    </w:p>
    <w:p w14:paraId="7B55452D" w14:textId="77777777" w:rsidR="00DE25E5" w:rsidRPr="00F90EAE" w:rsidRDefault="00DE25E5" w:rsidP="00F90EAE">
      <w:pPr>
        <w:jc w:val="both"/>
        <w:rPr>
          <w:color w:val="000000" w:themeColor="text1"/>
          <w:sz w:val="16"/>
          <w:szCs w:val="16"/>
        </w:rPr>
      </w:pPr>
      <w:r w:rsidRPr="00F90EAE">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более 40 населённых пунктов, в числе которых крупные населённые пункты Соблагов, Бецков, Стара Тура, Соботиште, Лопашов, Радимов. Западнее Братиславы войска фронта наступали по северному берегу Дуная на Вену и заняли населённые пункты Цверндорф, Обер Вайден, Шенфельд, Ласзее, Харингзее, Фуксенбигль, Штраудорф, Орт, Мансдорф, Шенау. В боях за 8 апреля войска фронта взяли в плен более 2.000 солдат и офицеров противника.</w:t>
      </w:r>
    </w:p>
    <w:p w14:paraId="114BD998" w14:textId="77777777" w:rsidR="00DE25E5" w:rsidRPr="00F90EAE" w:rsidRDefault="00DE25E5" w:rsidP="00F90EAE">
      <w:pPr>
        <w:jc w:val="both"/>
        <w:rPr>
          <w:color w:val="000000" w:themeColor="text1"/>
          <w:sz w:val="16"/>
          <w:szCs w:val="16"/>
        </w:rPr>
      </w:pPr>
      <w:r w:rsidRPr="00F90EAE">
        <w:rPr>
          <w:color w:val="000000" w:themeColor="text1"/>
          <w:sz w:val="16"/>
          <w:szCs w:val="16"/>
        </w:rPr>
        <w:t>Войска 3-го Украинского фронта, продолжая уличные бои в Вене, заняли центр города, захватив при этом здания парламента, городской ратуши, главного полицейского управления, центрального городского телеграфа, центрального европейского банка, оперного театра. Южнее Вены войска фронта с боем заняли город Берндорф. В боях за 8 апреля войска фронта взяли в плен более 1.700 солдат и офицеров противника и захватили следующие трофеи: самолётов — 25, танков и самоходных орудий— 191, бронетранспортёров — 30, полевых орудий — 245, миномётов — 50, пулемётов — 106, паровозов — 30, вагонов — 1.665, складов с военным имуществом — 42.</w:t>
      </w:r>
    </w:p>
    <w:p w14:paraId="25E754A4" w14:textId="77777777" w:rsidR="00DE25E5" w:rsidRPr="00F90EAE" w:rsidRDefault="00DE25E5"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произошло.</w:t>
      </w:r>
    </w:p>
    <w:p w14:paraId="36A6E8CD" w14:textId="77777777" w:rsidR="00DE25E5" w:rsidRPr="00F90EAE" w:rsidRDefault="00DE25E5" w:rsidP="00F90EAE">
      <w:pPr>
        <w:jc w:val="both"/>
        <w:rPr>
          <w:color w:val="000000" w:themeColor="text1"/>
          <w:sz w:val="16"/>
          <w:szCs w:val="16"/>
        </w:rPr>
      </w:pPr>
      <w:r w:rsidRPr="00F90EAE">
        <w:rPr>
          <w:color w:val="000000" w:themeColor="text1"/>
          <w:sz w:val="16"/>
          <w:szCs w:val="16"/>
        </w:rPr>
        <w:t>За 8 апреля на всех фронтах подбито и уничтожено 50 немецких танков и самоходных орудий. В воздушных боях и огнём зенитной артиллерии сбито 42 самолёта противника.</w:t>
      </w:r>
    </w:p>
    <w:p w14:paraId="3C3DD66A" w14:textId="77777777" w:rsidR="00DE25E5" w:rsidRPr="00F90EAE" w:rsidRDefault="00DE25E5"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 по кораблям и транспортам противника</w:t>
      </w:r>
    </w:p>
    <w:p w14:paraId="2B578776" w14:textId="77777777" w:rsidR="00DE25E5" w:rsidRPr="00F90EAE" w:rsidRDefault="00DE25E5" w:rsidP="00F90EAE">
      <w:pPr>
        <w:jc w:val="both"/>
        <w:rPr>
          <w:color w:val="000000" w:themeColor="text1"/>
          <w:sz w:val="16"/>
          <w:szCs w:val="16"/>
        </w:rPr>
      </w:pPr>
      <w:r w:rsidRPr="00F90EAE">
        <w:rPr>
          <w:color w:val="000000" w:themeColor="text1"/>
          <w:sz w:val="16"/>
          <w:szCs w:val="16"/>
        </w:rPr>
        <w:t>В течение 7 и 8 апреля авиация Краснознаменного Балтийского флота наносила удары по кораблям и транспортам противника в порту Пиллау и в Данцигской бухте. В результате этих ударов потоплено: девять немецких транспортов общим водоизмещением в 36.000 тонн, один миноносец, два сторожевых корабля и две быстроходные десантные баржи. Прямым попаданием бомб повреждены: один крейсер, один миноносец, один тральщик и два транспорта противника водоизмещением в 6.000 и 4.000 тонн.</w:t>
      </w:r>
    </w:p>
    <w:p w14:paraId="57F4835F" w14:textId="77777777" w:rsidR="00DE25E5" w:rsidRPr="00F90EAE" w:rsidRDefault="00DE25E5" w:rsidP="00F90EAE">
      <w:pPr>
        <w:jc w:val="both"/>
        <w:rPr>
          <w:color w:val="000000" w:themeColor="text1"/>
          <w:sz w:val="16"/>
          <w:szCs w:val="16"/>
        </w:rPr>
      </w:pPr>
      <w:r w:rsidRPr="00F90EAE">
        <w:rPr>
          <w:color w:val="000000" w:themeColor="text1"/>
          <w:sz w:val="16"/>
          <w:szCs w:val="16"/>
        </w:rPr>
        <w:t xml:space="preserve">Войска 3-го Белорусского фронта сегодня после двухдневного штурма овладели крепостью и главным городом Восточной Пруссии Кенигсбергом. В боях за Кенигсберг советские воины вписали ещё одну славную страницу в историю героической борьбы Красной Армии против немецко-фашистских захватчиков. Кенигсберг — старинная первоклассная крепость. За последние годы противник модернизировал её и до предела оснастил мошной боевой техникой. Многочисленные форты с крепостной артиллерией, сотни железобетонных дотов, связанные подземными ходами сообщения, противотанковые рвы и широко развитая сеть укреплений полевого типа прикрывали город со всех сторон. Кенигсберг обороняла крупная группировка немецких войск, располагавшая большими запасами вооружения и боеприпасов. Гитлер отдал кенигсбергскому гарнизону строжайший приказ — удерживать крепость до последнего солдата. Специальные отряды эсэсовцев и гестаповцев расстреливали на месте каждого солдата или офицера, который пытался самовольно оставить позиции или сдаться в плен. В результате сокрушительных ударов артиллерии, массированных бомбардировок с воздуха и стремительных атак советской пехоты и танков внешний оборонительный обвод Кенигсберга был преодолён. Бои переместились на улицы города. Немцы подготовились к длительной обороне и превратили каменные дома в опорные пункты. Многие постройки они взорвали для того, чтобы расчистить сектор обстрела и устроить завалы на улицах. Продолжая штурм города, наши части, наступающие с северо-запада, заняли ряд городских кварталов. В боях в этом районе уничтожено несколько тысяч немецких солдат и офицеров и захвачено более 500 орудий. Другие наши части овладели северными и восточными фортами Кенигсберга и ворвались в город с востока. Советские гвардейские части стремительным ударом овладели южной частью Кенигсберга до реки Прегель, форсировали реку и атаковали немцев в центральных районах города. Только за первый день штурма гвардейцы захватили большое </w:t>
      </w:r>
      <w:r w:rsidRPr="00F90EAE">
        <w:rPr>
          <w:color w:val="000000" w:themeColor="text1"/>
          <w:sz w:val="16"/>
          <w:szCs w:val="16"/>
        </w:rPr>
        <w:lastRenderedPageBreak/>
        <w:t>количество вооружения, 2 бронепоезда, более 100 паровозов и свыше 7 тысяч железнодорожных вагонов. Наши штурмовые отряды, усиленные танками и самоходными орудиями, очищали от врага квартал за кварталом, брали с боя каждое укреплённое здание. Не выдержав ударов наших войск, гарнизоны отдельных опорных пунктов стали сдаваться в плен. Капитулировал гарнизон форта № 5А. В другом форту вражеский гарнизон сдался после того, как половина его личного состава была ликвидирована. Вскоре пала городская цитадель. Наши войска к исходу дня подавили последние очаги сопротивления противника и полностью овладели городом и крепостью Кенигсберг.</w:t>
      </w:r>
    </w:p>
    <w:p w14:paraId="5A60B49E" w14:textId="77777777" w:rsidR="00DE25E5" w:rsidRPr="00F90EAE" w:rsidRDefault="00DE25E5" w:rsidP="00F90EAE">
      <w:pPr>
        <w:jc w:val="both"/>
        <w:rPr>
          <w:color w:val="000000" w:themeColor="text1"/>
          <w:sz w:val="16"/>
          <w:szCs w:val="16"/>
        </w:rPr>
      </w:pPr>
      <w:r w:rsidRPr="00F90EAE">
        <w:rPr>
          <w:color w:val="000000" w:themeColor="text1"/>
          <w:sz w:val="16"/>
          <w:szCs w:val="16"/>
        </w:rPr>
        <w:t>Северо-восточнее Братиславы наши части преодолели горы Глновецке и вышли на подступы к городу Тренчин — важному опорному пункту обороны немцев на левом берегу реки Ваг. В боях за день на этом участке уничтожено до батальона гитлеровцев. Захвачено 750 пленных, в том числе 61 офицер. В районе между реками Ваг и Морава противник ввёл в бой охранные батальоны. Преодолевая вражеское сопротивление, советские части продвинулись вперёд и заняли несколько населенных пунктов.</w:t>
      </w:r>
    </w:p>
    <w:p w14:paraId="4AFDFAD2" w14:textId="77777777" w:rsidR="00DE25E5" w:rsidRPr="00F90EAE" w:rsidRDefault="00DE25E5" w:rsidP="00F90EAE">
      <w:pPr>
        <w:jc w:val="both"/>
        <w:rPr>
          <w:color w:val="000000" w:themeColor="text1"/>
          <w:sz w:val="16"/>
          <w:szCs w:val="16"/>
        </w:rPr>
      </w:pPr>
      <w:r w:rsidRPr="00F90EAE">
        <w:rPr>
          <w:color w:val="000000" w:themeColor="text1"/>
          <w:sz w:val="16"/>
          <w:szCs w:val="16"/>
        </w:rPr>
        <w:t>Западнее Братиславы наши войска с боями продвигались по северному берегу Дуная в направлении Вены. Немцы, опираясь на заранее подготовленные позиции, неоднократно переходили в контратаки. Советские части отбросили врага и заняли несколько населённых пунктов, в том числе опорный пункт Мансдорф, находящийся в 15 километрах от Вены.</w:t>
      </w:r>
    </w:p>
    <w:p w14:paraId="0C8C39F0" w14:textId="77777777" w:rsidR="00DE25E5" w:rsidRPr="00F90EAE" w:rsidRDefault="00DE25E5" w:rsidP="00F90EAE">
      <w:pPr>
        <w:jc w:val="both"/>
        <w:rPr>
          <w:color w:val="000000" w:themeColor="text1"/>
          <w:sz w:val="16"/>
          <w:szCs w:val="16"/>
        </w:rPr>
      </w:pPr>
      <w:r w:rsidRPr="00F90EAE">
        <w:rPr>
          <w:color w:val="000000" w:themeColor="text1"/>
          <w:sz w:val="16"/>
          <w:szCs w:val="16"/>
        </w:rPr>
        <w:t>Войска 3-го Украинского фронта вели успешные бои на улицах Вены. Нанося удары с юго-востока, юга, запада и северо-запада, советские части, преодолевая упорное сопротивление противника, очищают от немцев квартал за кварталом. Наши войска, продвигающиеся вдоль Дунайского канала, овладели механическим заводом, тазовым заводом, городской радиостанцией, казармами и ведут бои в районе монетного двора. Гвардейские пехотные и танковые соединения, наступающие с запада, прорвались в центральные районы города и овладели центром австрийской столицы. За день боёв уничтожено несколько тысяч солдат и офицеров противника.</w:t>
      </w:r>
    </w:p>
    <w:p w14:paraId="7A975206" w14:textId="77777777" w:rsidR="00DE25E5" w:rsidRPr="00F90EAE" w:rsidRDefault="00DE25E5" w:rsidP="00F90EAE">
      <w:pPr>
        <w:jc w:val="both"/>
        <w:rPr>
          <w:color w:val="000000" w:themeColor="text1"/>
          <w:sz w:val="16"/>
          <w:szCs w:val="16"/>
        </w:rPr>
      </w:pPr>
      <w:r w:rsidRPr="00F90EAE">
        <w:rPr>
          <w:color w:val="000000" w:themeColor="text1"/>
          <w:sz w:val="16"/>
          <w:szCs w:val="16"/>
        </w:rPr>
        <w:t>Население освобождённых австрийских сёл и городов тепло и радушно встречает части Красной Армии. В селе Шаттендорф жители приветствовали советских бойцов возгласами: «Да здравствует Красная Армия!» Местный учитель Пауль Пинтер заявил: «Немецкие фашисты оккупировали нашу страну и ввергли австрийский народ в войну. Мы хотели поражения Германии в этой войне и восстановления свободной и независимой Австрии». Жители села указали советским бойцам, где находится оставленный немцами склад оружия и боеприпасов. В населённом пункте Баумгартен все жители остались на месте. Рабочий Томас Мершиц рассказал: «Немецкие военные власти издали строжайший приказ, в котором предложили всем жителям эвакуироваться. Несмотря на это, никто не покинул села. Мы приветствуем Красную Армию, как свою освободительницу от гитлеровского режима». Местный священник Мартин Мершиц заявил: «Мы с нетерпением ожидали прихода Красной Армии. Когда передовые советские части приблизились к селу, всё население вышло на улицы. С радостью мы приветствовали русских солдат и офицеров, освободивших нас от гитлеровского ярма». В населённом пункте Дойч-Кронц ещё за два дня да прихода советских войск над зданием местной управы неизвестными был вывешен австрийский национальный флаг.» (15094).</w:t>
      </w:r>
    </w:p>
    <w:p w14:paraId="1A32A5F8" w14:textId="77777777" w:rsidR="00DE25E5" w:rsidRPr="00F90EAE" w:rsidRDefault="00DE25E5" w:rsidP="00F90EAE">
      <w:pPr>
        <w:jc w:val="both"/>
        <w:rPr>
          <w:color w:val="000000" w:themeColor="text1"/>
          <w:sz w:val="16"/>
          <w:szCs w:val="16"/>
        </w:rPr>
      </w:pPr>
    </w:p>
    <w:p w14:paraId="2415E3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апреля 1945 г. перелет 571-го шап к месту постоян</w:t>
      </w:r>
      <w:r w:rsidRPr="00F90EAE">
        <w:rPr>
          <w:color w:val="000000" w:themeColor="text1"/>
          <w:sz w:val="16"/>
          <w:szCs w:val="16"/>
        </w:rPr>
        <w:softHyphen/>
        <w:t>ного базирования на аэродроме Щигловице (Польша) в целом успешно завер</w:t>
      </w:r>
      <w:r w:rsidRPr="00F90EAE">
        <w:rPr>
          <w:color w:val="000000" w:themeColor="text1"/>
          <w:sz w:val="16"/>
          <w:szCs w:val="16"/>
        </w:rPr>
        <w:softHyphen/>
        <w:t>шилсяю Из 42 самолетов до фронта долетели 35. Две «десятки» были разбиты и списаны, три вынужден</w:t>
      </w:r>
      <w:r w:rsidRPr="00F90EAE">
        <w:rPr>
          <w:color w:val="000000" w:themeColor="text1"/>
          <w:sz w:val="16"/>
          <w:szCs w:val="16"/>
        </w:rPr>
        <w:softHyphen/>
        <w:t>но сели в районе Юзефув (из них два требовали списания), одна - в Борисоглебске и одна - в Кракове. Сразу же по прилету командир полка подполковник Безух получил приказ ко</w:t>
      </w:r>
      <w:r w:rsidRPr="00F90EAE">
        <w:rPr>
          <w:color w:val="000000" w:themeColor="text1"/>
          <w:sz w:val="16"/>
          <w:szCs w:val="16"/>
        </w:rPr>
        <w:softHyphen/>
        <w:t>мандира 224-й шад генерал-майора Ко-тельникова «немедленно приступить к вводу полка в боевую работу согласно плана». До 14 апреля включительно лет</w:t>
      </w:r>
      <w:r w:rsidRPr="00F90EAE">
        <w:rPr>
          <w:color w:val="000000" w:themeColor="text1"/>
          <w:sz w:val="16"/>
          <w:szCs w:val="16"/>
        </w:rPr>
        <w:softHyphen/>
        <w:t>ный состав занимался наземной подго</w:t>
      </w:r>
      <w:r w:rsidRPr="00F90EAE">
        <w:rPr>
          <w:color w:val="000000" w:themeColor="text1"/>
          <w:sz w:val="16"/>
          <w:szCs w:val="16"/>
        </w:rPr>
        <w:softHyphen/>
        <w:t>товкой и учебно-тренировочными поле</w:t>
      </w:r>
      <w:r w:rsidRPr="00F90EAE">
        <w:rPr>
          <w:color w:val="000000" w:themeColor="text1"/>
          <w:sz w:val="16"/>
          <w:szCs w:val="16"/>
        </w:rPr>
        <w:softHyphen/>
        <w:t>тами. При этом каждый летчик выполнил по одному полету на полигон на бомбо</w:t>
      </w:r>
      <w:r w:rsidRPr="00F90EAE">
        <w:rPr>
          <w:color w:val="000000" w:themeColor="text1"/>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76BBE5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14DB1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апреля 1945 г. успешно завершился перелет 571-го штурмового авиа</w:t>
      </w:r>
      <w:r w:rsidRPr="00F90EAE">
        <w:rPr>
          <w:color w:val="000000" w:themeColor="text1"/>
          <w:sz w:val="16"/>
          <w:szCs w:val="16"/>
        </w:rPr>
        <w:softHyphen/>
        <w:t>полка к месту постоянного базирова</w:t>
      </w:r>
      <w:r w:rsidRPr="00F90EAE">
        <w:rPr>
          <w:color w:val="000000" w:themeColor="text1"/>
          <w:sz w:val="16"/>
          <w:szCs w:val="16"/>
        </w:rPr>
        <w:softHyphen/>
        <w:t>ния на аэродром Щигловице 8 ВА в целом Из 42 самолетов Ил-10 до фронта долетело 35 машин. Две «де</w:t>
      </w:r>
      <w:r w:rsidRPr="00F90EAE">
        <w:rPr>
          <w:color w:val="000000" w:themeColor="text1"/>
          <w:sz w:val="16"/>
          <w:szCs w:val="16"/>
        </w:rPr>
        <w:softHyphen/>
        <w:t>сятки» были разбиты и списаны, три самолета находились на вынужденных посадках в районе Юзефув (из них два самолета требовали списания), один самолет - в Борисоглебске и один - в Кракове. Как следует из архивных докумен</w:t>
      </w:r>
      <w:r w:rsidRPr="00F90EAE">
        <w:rPr>
          <w:color w:val="000000" w:themeColor="text1"/>
          <w:sz w:val="16"/>
          <w:szCs w:val="16"/>
        </w:rPr>
        <w:softHyphen/>
        <w:t>тов, в боевых действиях на самолетах Ил-10 успели принять участие только три полка - 571-й шап п-п-ка Безух, 108-й гшап п-п-ка Топилина и 118-й гшап п-п-ка Верещинского. При этом больше всех и интенсивнее всех вое</w:t>
      </w:r>
      <w:r w:rsidRPr="00F90EAE">
        <w:rPr>
          <w:color w:val="000000" w:themeColor="text1"/>
          <w:sz w:val="16"/>
          <w:szCs w:val="16"/>
        </w:rPr>
        <w:softHyphen/>
        <w:t>вал 571-й штурмовой авиаполк. Да и бои у него были самые тяжелые (11157).</w:t>
      </w:r>
    </w:p>
    <w:p w14:paraId="3C98CC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CE9C39B"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9 апреля 1945 года завершился перелет 571 шап к месту постоянного базирования на аэродром Щигловице (8 км южнее Глейвиц). Полк вошел в состав 224 шад 8 шак 8 ВА. Из 42 самолетов Ил-10 до фронта долетело 35 машин. Две «десятки» были разбиты и списаны, три самолета находились на вынужденных посадках в районе Юзефув (из них два самолета требовали списания), один самолет - в Борисоглебске и один - в Кракове.</w:t>
      </w:r>
    </w:p>
    <w:p w14:paraId="3F01F63D"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Сразу же по прилете командир полка подполковник Безух получил приказ командира 224 шад генерал -майора Котельникова «немедленно приступить к вводу полка в боевую работу согласно плану».</w:t>
      </w:r>
    </w:p>
    <w:p w14:paraId="49504F56"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До 14 апреля включительно летный состав полка боевой работы не вел, занимался наземной и учебно-боевой подготовкой на Ил-10, отрабатывая упражнения по «Курсу боевой подготовки штурмовой авиации 1944 г.».</w:t>
      </w:r>
    </w:p>
    <w:p w14:paraId="29007388"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было выполнено 133 учебно-тренировочных полета с налетом 84 ч 23 мин, в том числе на боевое применение 57 полетов с налетом 25 ч 39 мин. На каждого летчика полка приходилось по одному полету на полигон на бомбометание и стрельбу по наземной цели. Средний балл выполнения задания составил 3,2.</w:t>
      </w:r>
    </w:p>
    <w:p w14:paraId="115CE15B"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За это время произошло три летных происшествия. На самолете Ил-10 (зав. № 1893303) младшего лейтенанта Волкова при выполнении посадки 11 апреля «лопнули» подкосы шасси. В результате погнут винт, снесено шасси, поломаны всасывающая труба и створки бомболюков, повреждена обшивка центроплана и правая консоль крыла.</w:t>
      </w:r>
    </w:p>
    <w:p w14:paraId="333E1555"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На Ил-10 (зав. № 1890304) младшего лейтенанта Абадзе 13 апреля в воздухе оборвался шатун мотора. Летчик сел на вынужденную посадку в районе дер. Грусс. В этот же день старший лейтенант Урайкин при полете по маршруту, выработав раньше срока горючее, произвел вынужденную посадку в районе дер. Нейездорф. «Десятка» была сдана в ПАРМ для ремонта и замены мотора (17490).</w:t>
      </w:r>
    </w:p>
    <w:p w14:paraId="6FC53D56" w14:textId="77777777" w:rsidR="00117BE3" w:rsidRPr="00F90EAE" w:rsidRDefault="00117BE3" w:rsidP="00F90EAE">
      <w:pPr>
        <w:jc w:val="both"/>
        <w:rPr>
          <w:color w:val="000000" w:themeColor="text1"/>
          <w:sz w:val="16"/>
          <w:szCs w:val="16"/>
        </w:rPr>
      </w:pPr>
    </w:p>
    <w:p w14:paraId="7CCEF5D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войска 11-ой гвардейской армии , 3-го Белорусского фронта овладели Кёнигсбергом (4963 ).</w:t>
      </w:r>
    </w:p>
    <w:p w14:paraId="2AB92A3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C95715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9th, 1945: In the East, the fortress city of Konigsberg falls to the Red Army. In Italy, the US fifth Army (Clark) begins an offensive toward Bologna and the Po river valley (3819).</w:t>
      </w:r>
    </w:p>
    <w:p w14:paraId="2C2A365B" w14:textId="77777777" w:rsidR="00665165" w:rsidRPr="00F90EAE" w:rsidRDefault="00665165" w:rsidP="00F90EAE">
      <w:pPr>
        <w:autoSpaceDE w:val="0"/>
        <w:autoSpaceDN w:val="0"/>
        <w:adjustRightInd w:val="0"/>
        <w:jc w:val="both"/>
        <w:rPr>
          <w:color w:val="000000" w:themeColor="text1"/>
          <w:sz w:val="16"/>
          <w:szCs w:val="16"/>
          <w:lang w:val="en-US"/>
        </w:rPr>
      </w:pPr>
    </w:p>
    <w:p w14:paraId="6A73F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взяли Кенигсберг (1103,229) после массированного удара артиллерии и авиации (до 1500 самолетов) крепость капитулировала (2438,306).</w:t>
      </w:r>
    </w:p>
    <w:p w14:paraId="7EF46C5E" w14:textId="77777777" w:rsidR="00665165" w:rsidRPr="00F90EAE" w:rsidRDefault="00665165" w:rsidP="00F90EAE">
      <w:pPr>
        <w:autoSpaceDE w:val="0"/>
        <w:autoSpaceDN w:val="0"/>
        <w:adjustRightInd w:val="0"/>
        <w:jc w:val="both"/>
        <w:rPr>
          <w:color w:val="000000" w:themeColor="text1"/>
          <w:sz w:val="16"/>
          <w:szCs w:val="16"/>
        </w:rPr>
      </w:pPr>
    </w:p>
    <w:p w14:paraId="01EE4B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г. 27 Пе-2 из 12 гв. бап (гвардейского бомбардировочного авиационнного Таллинского Краснознаменного ордена Ушакова полка (бывший 73-й бап), которым командовал Дважды Герой Советского Союза полковник В.И. Раков, а позднее - Герой Советского Союза майор К.И. Усенк) обомбили вражеские корабли и суда в гавани Пиллау. Совместно с штурмовиками из 47-го шап им удалось потопить до 8 транспортов, танкер и два сторожевых корабля, еще большее число неприятельских судов получило повреждения. За период с 9 по 25 апреля по ВМБ Пиллау в ходе пяти массированных налетов было совершено до 900 боевых вылетов, из них 141 самолетами Пе-2. По данным штаба ВВС КБФ противник понес значительные потери: не менее 50 кораблей и судов были потоплены или получили повреждения (4476).</w:t>
      </w:r>
    </w:p>
    <w:p w14:paraId="2DC0651E" w14:textId="77777777" w:rsidR="00665165" w:rsidRPr="00F90EAE" w:rsidRDefault="00665165" w:rsidP="00F90EAE">
      <w:pPr>
        <w:autoSpaceDE w:val="0"/>
        <w:autoSpaceDN w:val="0"/>
        <w:adjustRightInd w:val="0"/>
        <w:jc w:val="both"/>
        <w:rPr>
          <w:color w:val="000000" w:themeColor="text1"/>
          <w:sz w:val="16"/>
          <w:szCs w:val="16"/>
        </w:rPr>
      </w:pPr>
    </w:p>
    <w:p w14:paraId="48F3FE2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368F461" w14:textId="77777777" w:rsidR="00665165" w:rsidRPr="00F90EAE" w:rsidRDefault="00665165" w:rsidP="00F90EAE">
      <w:pPr>
        <w:autoSpaceDE w:val="0"/>
        <w:autoSpaceDN w:val="0"/>
        <w:adjustRightInd w:val="0"/>
        <w:jc w:val="both"/>
        <w:rPr>
          <w:iCs/>
          <w:color w:val="000000" w:themeColor="text1"/>
          <w:sz w:val="16"/>
          <w:szCs w:val="16"/>
        </w:rPr>
      </w:pPr>
    </w:p>
    <w:p w14:paraId="7C74168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советское правительство заявило, что не собирается приобретать часть территории Австрии или изменять там социальный строй (4962).</w:t>
      </w:r>
    </w:p>
    <w:p w14:paraId="0C90814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BD1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Заявление Советского правительства о причинах вступления советских войск в Австрию (7444).</w:t>
      </w:r>
    </w:p>
    <w:p w14:paraId="56DD88C2" w14:textId="77777777" w:rsidR="00665165" w:rsidRPr="00F90EAE" w:rsidRDefault="00665165" w:rsidP="00F90EAE">
      <w:pPr>
        <w:autoSpaceDE w:val="0"/>
        <w:autoSpaceDN w:val="0"/>
        <w:adjustRightInd w:val="0"/>
        <w:jc w:val="both"/>
        <w:rPr>
          <w:color w:val="000000" w:themeColor="text1"/>
          <w:sz w:val="16"/>
          <w:szCs w:val="16"/>
        </w:rPr>
      </w:pPr>
    </w:p>
    <w:p w14:paraId="0BD4700B"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заявление Советского правительства о том, что СССР не стремится приобрести какую-либо часть территории Австрии, либо навязать ей какой-либо определенный общественный строй. Главная цель СССР – восстановление независимости Австрии (15094).</w:t>
      </w:r>
    </w:p>
    <w:p w14:paraId="6FDB093F" w14:textId="77777777" w:rsidR="00DE25E5" w:rsidRPr="00F90EAE" w:rsidRDefault="00DE25E5" w:rsidP="00F90EAE">
      <w:pPr>
        <w:jc w:val="both"/>
        <w:rPr>
          <w:color w:val="000000" w:themeColor="text1"/>
          <w:sz w:val="16"/>
          <w:szCs w:val="16"/>
        </w:rPr>
      </w:pPr>
    </w:p>
    <w:p w14:paraId="40FE990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2411449" w14:textId="77777777" w:rsidR="00665165" w:rsidRPr="00F90EAE" w:rsidRDefault="00665165" w:rsidP="00F90EAE">
      <w:pPr>
        <w:autoSpaceDE w:val="0"/>
        <w:autoSpaceDN w:val="0"/>
        <w:adjustRightInd w:val="0"/>
        <w:jc w:val="both"/>
        <w:rPr>
          <w:iCs/>
          <w:color w:val="000000" w:themeColor="text1"/>
          <w:sz w:val="16"/>
          <w:szCs w:val="16"/>
        </w:rPr>
      </w:pPr>
    </w:p>
    <w:p w14:paraId="15B3E23B" w14:textId="77777777" w:rsidR="00DE25E5" w:rsidRPr="00F90EAE" w:rsidRDefault="00DE25E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был выпущен последний В-17 (2255).</w:t>
      </w:r>
    </w:p>
    <w:p w14:paraId="30FA9D45" w14:textId="77777777" w:rsidR="00DE25E5" w:rsidRPr="00F90EAE" w:rsidRDefault="00DE25E5" w:rsidP="00F90EAE">
      <w:pPr>
        <w:autoSpaceDE w:val="0"/>
        <w:autoSpaceDN w:val="0"/>
        <w:adjustRightInd w:val="0"/>
        <w:jc w:val="both"/>
        <w:rPr>
          <w:color w:val="000000" w:themeColor="text1"/>
          <w:sz w:val="16"/>
          <w:szCs w:val="16"/>
        </w:rPr>
      </w:pPr>
    </w:p>
    <w:p w14:paraId="19703483" w14:textId="77777777" w:rsidR="00DE25E5" w:rsidRPr="00F90EAE" w:rsidRDefault="00DE25E5" w:rsidP="00F90EAE">
      <w:pPr>
        <w:jc w:val="both"/>
        <w:rPr>
          <w:color w:val="000000" w:themeColor="text1"/>
          <w:sz w:val="16"/>
          <w:szCs w:val="16"/>
        </w:rPr>
      </w:pPr>
      <w:r w:rsidRPr="00F90EAE">
        <w:rPr>
          <w:color w:val="000000" w:themeColor="text1"/>
          <w:sz w:val="16"/>
          <w:szCs w:val="16"/>
        </w:rPr>
        <w:t xml:space="preserve">9 апреля в 1945 году самолеты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w:t>
      </w:r>
      <w:r w:rsidRPr="00F90EAE">
        <w:rPr>
          <w:color w:val="000000" w:themeColor="text1"/>
          <w:sz w:val="16"/>
          <w:szCs w:val="16"/>
        </w:rPr>
        <w:lastRenderedPageBreak/>
        <w:t>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(15094).</w:t>
      </w:r>
    </w:p>
    <w:p w14:paraId="009B5445" w14:textId="77777777" w:rsidR="00DE25E5" w:rsidRPr="00F90EAE" w:rsidRDefault="00DE25E5" w:rsidP="00F90EAE">
      <w:pPr>
        <w:jc w:val="both"/>
        <w:rPr>
          <w:color w:val="000000" w:themeColor="text1"/>
          <w:sz w:val="16"/>
          <w:szCs w:val="16"/>
        </w:rPr>
      </w:pPr>
    </w:p>
    <w:p w14:paraId="7229D94F" w14:textId="77777777" w:rsidR="007D191E" w:rsidRPr="00F90EAE" w:rsidRDefault="007D191E" w:rsidP="00F90EAE">
      <w:pPr>
        <w:jc w:val="both"/>
        <w:rPr>
          <w:color w:val="0070C0"/>
          <w:sz w:val="16"/>
          <w:szCs w:val="16"/>
        </w:rPr>
      </w:pPr>
      <w:r w:rsidRPr="00F90EAE">
        <w:rPr>
          <w:color w:val="0070C0"/>
          <w:sz w:val="16"/>
          <w:szCs w:val="16"/>
        </w:rPr>
        <w:t>9 апреля 1945 - Cамолеты 143-й и 235-й эскадрилий атаковали и потопили подлодку, применив реактивные снаряды. Затем тройка «Москито» de Havilland Mosquito FB.XVIII Tse-Tse из 248-й эскадрильи обнаружила еще одну субмарину в надводном положении. Несколько прямых попаданий реактивных снарядов, и на лодке произошел мощнейший взрыв. Третью лодку уже вечером атаковали самолеты 143-й и 235-й эскадрилий. Возник пожар и экипаж покинул гибнущую подлодку. Потери англичан составили один "Москито", севший на воду, а еще три из-за повреждений вынуждены были приземлиться на территории Швеции (22540).</w:t>
      </w:r>
    </w:p>
    <w:p w14:paraId="4A82AFA6" w14:textId="77777777" w:rsidR="007D191E" w:rsidRPr="00F90EAE" w:rsidRDefault="007D191E" w:rsidP="00F90EAE">
      <w:pPr>
        <w:jc w:val="both"/>
        <w:rPr>
          <w:color w:val="0070C0"/>
          <w:sz w:val="16"/>
          <w:szCs w:val="16"/>
        </w:rPr>
      </w:pPr>
    </w:p>
    <w:p w14:paraId="63D4A580" w14:textId="77777777" w:rsidR="007D191E" w:rsidRPr="00F90EAE" w:rsidRDefault="007D191E" w:rsidP="00F90EAE">
      <w:pPr>
        <w:jc w:val="both"/>
        <w:rPr>
          <w:color w:val="0070C0"/>
          <w:sz w:val="16"/>
          <w:szCs w:val="16"/>
        </w:rPr>
      </w:pPr>
      <w:r w:rsidRPr="00F90EAE">
        <w:rPr>
          <w:color w:val="0070C0"/>
          <w:sz w:val="16"/>
          <w:szCs w:val="16"/>
        </w:rPr>
        <w:t>9 апреля 1945 более 300 бомбардировщиков Королевских ВВС совершают налеты на верфь в Киле, Германия. Они опрокидывают немецкий "карманный линкор" Адмирал Шеер прямым попаданием (20371).</w:t>
      </w:r>
    </w:p>
    <w:p w14:paraId="6FDDFC7C" w14:textId="77777777" w:rsidR="007D191E" w:rsidRPr="00F90EAE" w:rsidRDefault="007D191E" w:rsidP="00F90EAE">
      <w:pPr>
        <w:jc w:val="both"/>
        <w:rPr>
          <w:color w:val="0070C0"/>
          <w:sz w:val="16"/>
          <w:szCs w:val="16"/>
        </w:rPr>
      </w:pPr>
    </w:p>
    <w:p w14:paraId="322C0AD9" w14:textId="710C28A1" w:rsidR="007D191E" w:rsidRPr="00F90EAE" w:rsidRDefault="007D191E" w:rsidP="00F90EAE">
      <w:pPr>
        <w:jc w:val="both"/>
        <w:rPr>
          <w:color w:val="0070C0"/>
          <w:sz w:val="16"/>
          <w:szCs w:val="16"/>
        </w:rPr>
      </w:pPr>
      <w:r w:rsidRPr="00F90EAE">
        <w:rPr>
          <w:color w:val="0070C0"/>
          <w:sz w:val="16"/>
          <w:szCs w:val="16"/>
        </w:rPr>
        <w:t>9 апреля 1945 Соединенное Королевство передает во Францию эскортный авианосец HMS Biter, который сразу же вводит в состав французского флота как Dixmude. Dixmude - первый авианосец Франции после демилитаризации Беарна в 1942 году (20371).</w:t>
      </w:r>
    </w:p>
    <w:p w14:paraId="5EA8EC97" w14:textId="77777777" w:rsidR="007D191E" w:rsidRPr="00F90EAE" w:rsidRDefault="007D191E" w:rsidP="00F90EAE">
      <w:pPr>
        <w:jc w:val="both"/>
        <w:rPr>
          <w:color w:val="0070C0"/>
          <w:sz w:val="16"/>
          <w:szCs w:val="16"/>
        </w:rPr>
      </w:pPr>
    </w:p>
    <w:p w14:paraId="61FC83E7"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за участие в заговоре против Адольфа Гитлера в концлагере Флоссенбюрг повешен глава немецкого абвера адмирал Канарис. Долгие годы адмирал Канарис являлся одним из самых влиятельных людей рейха, возглавляя с 1935 года абвер - управление разведки и контрразведки. В начале 1944 года, когда дела на фронтах начали складываться для Германии не лучшим образом, Канарис был отправлен в отставку. А потом арестован по обвинению в заговоре генералов против фюрера. Ему инкриминировалось участие в операции «Валькирия».</w:t>
      </w:r>
    </w:p>
    <w:p w14:paraId="2F5D0E89" w14:textId="77777777" w:rsidR="00DE25E5" w:rsidRPr="00F90EAE" w:rsidRDefault="00DE25E5" w:rsidP="00F90EAE">
      <w:pPr>
        <w:jc w:val="both"/>
        <w:rPr>
          <w:color w:val="000000" w:themeColor="text1"/>
          <w:sz w:val="16"/>
          <w:szCs w:val="16"/>
        </w:rPr>
      </w:pPr>
      <w:r w:rsidRPr="00F90EAE">
        <w:rPr>
          <w:color w:val="000000" w:themeColor="text1"/>
          <w:sz w:val="16"/>
          <w:szCs w:val="16"/>
        </w:rPr>
        <w:t>Бывшего разведчика Канариса арестовывал другой разведчик - Вальтер Шелленберг (начальник IV управления PCXА). Некогда они считались приятелями. Поэтому Канарис спокойно встретил его появление у себя дома, заметив: «Почему-то я всегда думал, что это будете вы». А Шелленберг, понимая, что ожидает адмирала, предложил ему застрелиться. Тот отказался. Канариса пытал один из самых жестоких нацистских палачей - Хупенкотен. Бывшего шефа абвера заковали в тяжелые кандалы и садистски избивали. А 9 апреля 1945 года казнили в концлагере Флоссенбюрг. К виселице адмирала гнали раздетым до нага. В воспоминаниях Шелленберга сказано, что казнь бывшего шефа абвера превратилась в пытку: его пять или шесть раз душили, доводя до беспамятства, после чего возвращали к жизни (15094).</w:t>
      </w:r>
    </w:p>
    <w:p w14:paraId="20036601" w14:textId="77777777" w:rsidR="00DE25E5" w:rsidRPr="00F90EAE" w:rsidRDefault="00DE25E5" w:rsidP="00F90EAE">
      <w:pPr>
        <w:jc w:val="both"/>
        <w:rPr>
          <w:color w:val="000000" w:themeColor="text1"/>
          <w:sz w:val="16"/>
          <w:szCs w:val="16"/>
        </w:rPr>
      </w:pPr>
    </w:p>
    <w:p w14:paraId="3D6CEBBC"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сильный воздушный налет английской авиации на Киль. Уничтожены немецкие крейсеры «Шеер» и «Хиппср» (15094).</w:t>
      </w:r>
    </w:p>
    <w:p w14:paraId="169C6E0E" w14:textId="77777777" w:rsidR="00DE25E5" w:rsidRPr="00F90EAE" w:rsidRDefault="00DE25E5" w:rsidP="00F90EAE">
      <w:pPr>
        <w:jc w:val="both"/>
        <w:rPr>
          <w:color w:val="000000" w:themeColor="text1"/>
          <w:sz w:val="16"/>
          <w:szCs w:val="16"/>
        </w:rPr>
      </w:pPr>
    </w:p>
    <w:p w14:paraId="0A36D200"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американский корабль груженый авиационными бомбами взорвался в Бари, Италия. 360 жертв (15094).</w:t>
      </w:r>
    </w:p>
    <w:p w14:paraId="74230557" w14:textId="77777777" w:rsidR="00DE25E5" w:rsidRPr="00F90EAE" w:rsidRDefault="00DE25E5" w:rsidP="00F90EAE">
      <w:pPr>
        <w:jc w:val="both"/>
        <w:rPr>
          <w:color w:val="000000" w:themeColor="text1"/>
          <w:sz w:val="16"/>
          <w:szCs w:val="16"/>
        </w:rPr>
      </w:pPr>
    </w:p>
    <w:p w14:paraId="7E90D56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(4963 ).</w:t>
      </w:r>
    </w:p>
    <w:p w14:paraId="1558124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C14437" w14:textId="77777777" w:rsidR="00DE25E5" w:rsidRPr="00F90EAE" w:rsidRDefault="00DE25E5" w:rsidP="00F90EAE">
      <w:pPr>
        <w:jc w:val="both"/>
        <w:rPr>
          <w:color w:val="000000" w:themeColor="text1"/>
          <w:sz w:val="16"/>
          <w:szCs w:val="16"/>
        </w:rPr>
      </w:pPr>
      <w:r w:rsidRPr="00F90EAE">
        <w:rPr>
          <w:color w:val="000000" w:themeColor="text1"/>
          <w:sz w:val="16"/>
          <w:szCs w:val="16"/>
        </w:rPr>
        <w:t>9 апреля в 1945 году англо-американские войска под командованием фельдмаршала Александера начали Северо-Итальянскую наступательную операцию. Операция закончилась 2 мая полной капитуляцией немецко-фашистских войск в Италии (15094).</w:t>
      </w:r>
    </w:p>
    <w:p w14:paraId="0762F4CF" w14:textId="77777777" w:rsidR="00DE25E5" w:rsidRPr="00F90EAE" w:rsidRDefault="00DE25E5" w:rsidP="00F90EAE">
      <w:pPr>
        <w:jc w:val="both"/>
        <w:rPr>
          <w:color w:val="000000" w:themeColor="text1"/>
          <w:sz w:val="16"/>
          <w:szCs w:val="16"/>
        </w:rPr>
      </w:pPr>
    </w:p>
    <w:p w14:paraId="7A566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5А США начала наступление на Болонью и р По (3819).</w:t>
      </w:r>
    </w:p>
    <w:p w14:paraId="5F08A0B0" w14:textId="77777777" w:rsidR="00665165" w:rsidRPr="00F90EAE" w:rsidRDefault="00665165" w:rsidP="00F90EAE">
      <w:pPr>
        <w:autoSpaceDE w:val="0"/>
        <w:autoSpaceDN w:val="0"/>
        <w:adjustRightInd w:val="0"/>
        <w:jc w:val="both"/>
        <w:rPr>
          <w:color w:val="000000" w:themeColor="text1"/>
          <w:sz w:val="16"/>
          <w:szCs w:val="16"/>
        </w:rPr>
      </w:pPr>
    </w:p>
    <w:p w14:paraId="690979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9 апреля по 2 мая 1945 была Северо-Итальянская операция. 17 апреля союзники прорвали оборону немцев (2443,116).</w:t>
      </w:r>
    </w:p>
    <w:p w14:paraId="2B88C222" w14:textId="77777777" w:rsidR="00665165" w:rsidRPr="00F90EAE" w:rsidRDefault="00665165" w:rsidP="00F90EAE">
      <w:pPr>
        <w:autoSpaceDE w:val="0"/>
        <w:autoSpaceDN w:val="0"/>
        <w:adjustRightInd w:val="0"/>
        <w:jc w:val="both"/>
        <w:rPr>
          <w:color w:val="000000" w:themeColor="text1"/>
          <w:sz w:val="16"/>
          <w:szCs w:val="16"/>
        </w:rPr>
      </w:pPr>
    </w:p>
    <w:p w14:paraId="388C56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апреля 1945 в концлагере Флоссенбург был казнен а Фридрих Вильгельм Канарис, начальник управления военной разведки и контрразведки за участи в заговоре и покушении на А.Г. (3186).</w:t>
      </w:r>
    </w:p>
    <w:p w14:paraId="7AE94A75" w14:textId="77777777" w:rsidR="00665165" w:rsidRPr="00F90EAE" w:rsidRDefault="00665165" w:rsidP="00F90EAE">
      <w:pPr>
        <w:autoSpaceDE w:val="0"/>
        <w:autoSpaceDN w:val="0"/>
        <w:adjustRightInd w:val="0"/>
        <w:jc w:val="both"/>
        <w:rPr>
          <w:color w:val="000000" w:themeColor="text1"/>
          <w:sz w:val="16"/>
          <w:szCs w:val="16"/>
        </w:rPr>
      </w:pPr>
    </w:p>
    <w:p w14:paraId="62DA5F9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апреля 1945 за участие в заговоре против Гитлера в концлагере Флоссенбюрг повешен глава немецкого абвера адмирал Канарис (4962).</w:t>
      </w:r>
    </w:p>
    <w:p w14:paraId="6E9306A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9729E0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D25C52A" w14:textId="77777777" w:rsidR="00665165" w:rsidRPr="00F90EAE" w:rsidRDefault="00665165" w:rsidP="00F90EAE">
      <w:pPr>
        <w:autoSpaceDE w:val="0"/>
        <w:autoSpaceDN w:val="0"/>
        <w:adjustRightInd w:val="0"/>
        <w:jc w:val="both"/>
        <w:rPr>
          <w:iCs/>
          <w:color w:val="000000" w:themeColor="text1"/>
          <w:sz w:val="16"/>
          <w:szCs w:val="16"/>
        </w:rPr>
      </w:pPr>
    </w:p>
    <w:p w14:paraId="0D09CCCE"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По состоянию на 10 апреля 1945 ни один серийный Ил-10 на контрольные испытания (как это прежусматривалось протоколом совещания 15 янвапя) не поступил, а опытный Ил-10 все еще находился на заводе № 240, и работа по его доводке была далека от завершения.</w:t>
      </w:r>
    </w:p>
    <w:p w14:paraId="4C02A791"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Несмотря на неоднократные обращения Подлесецкого «в УЗСиМ ГУЗ ВВС КА по вопросу срочной отправки самолетов Ил-10 и УИл-10 в ГК НИИ ВВС на контрольные испытания», этот вопрос не разрешается: «Начиная с февраля месяца 1945 г. УЗСиМ объясняет невозможность передачи самолетов Ил-10 на контрольные испытания в НИИ ВВС отсутствием летной погоды. На мои предложения отправить самолеты эшелоном заявляют, что им не дают вагонов».</w:t>
      </w:r>
    </w:p>
    <w:p w14:paraId="1CE35060"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Между тем «в серию внедрено большое количество изменений и доработок по устранению дефектов, выявленных при эксплуатации само летов в воинских частях», которые до сих пор «не испытаны и оценки ГК НИИ ВВС не имеют».</w:t>
      </w:r>
    </w:p>
    <w:p w14:paraId="578F3F87"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Из доклада Подлесецкого следовало, что из всех запланированных доработок самолета Ил -10 ОКБ-240 Ильюшина и заводами № 1 и № 18 к 11 апреля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F90EAE">
        <w:rPr>
          <w:rStyle w:val="107"/>
          <w:rFonts w:eastAsiaTheme="minorHAnsi"/>
          <w:color w:val="000000" w:themeColor="text1"/>
          <w:sz w:val="16"/>
          <w:szCs w:val="16"/>
          <w:vertAlign w:val="subscript"/>
        </w:rPr>
        <w:t>2</w:t>
      </w:r>
      <w:r w:rsidRPr="00F90EAE">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2D84F0EA"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601B16CD" w14:textId="77777777" w:rsidR="00117BE3" w:rsidRPr="00F90EAE" w:rsidRDefault="00117BE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0A468F7E" w14:textId="77777777" w:rsidR="00117BE3" w:rsidRPr="00F90EAE" w:rsidRDefault="00117BE3" w:rsidP="00F90EAE">
      <w:pPr>
        <w:jc w:val="both"/>
        <w:rPr>
          <w:color w:val="000000" w:themeColor="text1"/>
          <w:sz w:val="16"/>
          <w:szCs w:val="16"/>
        </w:rPr>
      </w:pPr>
    </w:p>
    <w:p w14:paraId="4FFB80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вышло постановление ГКО N 8061сс "Об увеличении выпуска самолетов Як-9 с ВК-105ПФ, вооруженных пушкой 37 мм и о выпуске самолетов Як-9 с ВК-105ПФ, вооруженных пушкой 45 мм" (1830,94).</w:t>
      </w:r>
    </w:p>
    <w:p w14:paraId="7E705EE3" w14:textId="77777777" w:rsidR="00665165" w:rsidRPr="00F90EAE" w:rsidRDefault="00665165" w:rsidP="00F90EAE">
      <w:pPr>
        <w:autoSpaceDE w:val="0"/>
        <w:autoSpaceDN w:val="0"/>
        <w:adjustRightInd w:val="0"/>
        <w:jc w:val="both"/>
        <w:rPr>
          <w:color w:val="000000" w:themeColor="text1"/>
          <w:sz w:val="16"/>
          <w:szCs w:val="16"/>
        </w:rPr>
      </w:pPr>
    </w:p>
    <w:p w14:paraId="37F51A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вышло Постановление ГКО № 8061 Об увеличении выпуска самолетов Як-9 с мотором ВК-105ПФ, вооруженных пушкой калибра 37 мм, и о выпуске самолетов Як-9 с мотором ВК-105ПФ, вооруженных пушкой калибра 45 мм. РГАНИР, Фонд ГКО, д. 390, лл. 117-118 (11012).</w:t>
      </w:r>
    </w:p>
    <w:p w14:paraId="51170F07" w14:textId="77777777" w:rsidR="00665165" w:rsidRPr="00F90EAE" w:rsidRDefault="00665165" w:rsidP="00F90EAE">
      <w:pPr>
        <w:autoSpaceDE w:val="0"/>
        <w:autoSpaceDN w:val="0"/>
        <w:adjustRightInd w:val="0"/>
        <w:jc w:val="both"/>
        <w:rPr>
          <w:color w:val="000000" w:themeColor="text1"/>
          <w:sz w:val="16"/>
          <w:szCs w:val="16"/>
        </w:rPr>
      </w:pPr>
    </w:p>
    <w:p w14:paraId="7CA84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 по 17 апреля 1945 в НИИ ВВС л В.Г.Иванов и ви Г.А.Седов испытывали головной Як-9В (вывозной) с ВК-105ПФ2, сделанный на основе Як-9Т или Як-9М. Строился серийно с августа 1945 два года по август 1947 и сделали 793 (65,143).</w:t>
      </w:r>
    </w:p>
    <w:p w14:paraId="5FEA4840" w14:textId="77777777" w:rsidR="00665165" w:rsidRPr="00F90EAE" w:rsidRDefault="00665165" w:rsidP="00F90EAE">
      <w:pPr>
        <w:autoSpaceDE w:val="0"/>
        <w:autoSpaceDN w:val="0"/>
        <w:adjustRightInd w:val="0"/>
        <w:jc w:val="both"/>
        <w:rPr>
          <w:color w:val="000000" w:themeColor="text1"/>
          <w:sz w:val="16"/>
          <w:szCs w:val="16"/>
        </w:rPr>
      </w:pPr>
    </w:p>
    <w:p w14:paraId="39E296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10 по 12 апреля, а затем с 19 по 27 апреля 1945 проходили гос. испытания серийного Як-3 ПФ-2 N 2229 292 завода, выпущенного в ноябре 1944. 20 полетов продолжительностью 12 час. 16 мин. Вед. инж. В.П.Баладеденко, вед. л. В.Б.Иванов. Опять результаты неудовлетворительные, так как не удалось устранить недостатки, отмеченные еще в августе и ноябре 1944 (805,5).</w:t>
      </w:r>
    </w:p>
    <w:p w14:paraId="44A4DE33" w14:textId="77777777" w:rsidR="00665165" w:rsidRPr="00F90EAE" w:rsidRDefault="00665165" w:rsidP="00F90EAE">
      <w:pPr>
        <w:autoSpaceDE w:val="0"/>
        <w:autoSpaceDN w:val="0"/>
        <w:adjustRightInd w:val="0"/>
        <w:jc w:val="both"/>
        <w:rPr>
          <w:color w:val="000000" w:themeColor="text1"/>
          <w:sz w:val="16"/>
          <w:szCs w:val="16"/>
        </w:rPr>
      </w:pPr>
    </w:p>
    <w:p w14:paraId="03ED2F4F" w14:textId="77777777" w:rsidR="00BF3067" w:rsidRPr="00F90EAE" w:rsidRDefault="00BF3067" w:rsidP="00F90EAE">
      <w:pPr>
        <w:jc w:val="both"/>
        <w:rPr>
          <w:color w:val="000000" w:themeColor="text1"/>
          <w:sz w:val="16"/>
          <w:szCs w:val="16"/>
        </w:rPr>
      </w:pPr>
      <w:r w:rsidRPr="00F90EAE">
        <w:rPr>
          <w:color w:val="000000" w:themeColor="text1"/>
          <w:sz w:val="16"/>
          <w:szCs w:val="16"/>
        </w:rPr>
        <w:t>10 апреля в 1946 году в НИИ ВВС начались Госиспытания истребителя «Як-З» с двигателем «Як-З» винтом «ВИШ-107ЛО» и металлическим крылом. На испытания были представлены самолеты головной серии NN 01-01, 03-01 и 04-01, построенные саратовским заводом в марте 1946 года. На самолётах №№ 03-01 и 04-01 были установлены две синхронные пушки «Б-20С» и одна мотор-пушка «Б-20М» с боезапасом по 100 снарядов, а на №01-01 - две синхронные пушки с боезапасом по 120 снарядов; усилены спецфермы крепления оружия. Выявлено большое число дефектов, в связи с этим 20 мая 1946 года испытания были прекращены, и самолёты были отправлены в ЛИИ для доводки (15095).</w:t>
      </w:r>
    </w:p>
    <w:p w14:paraId="3D3CA8F0" w14:textId="77777777" w:rsidR="00BF3067" w:rsidRPr="00F90EAE" w:rsidRDefault="00BF3067" w:rsidP="00F90EAE">
      <w:pPr>
        <w:jc w:val="both"/>
        <w:rPr>
          <w:color w:val="000000" w:themeColor="text1"/>
          <w:sz w:val="16"/>
          <w:szCs w:val="16"/>
        </w:rPr>
      </w:pPr>
    </w:p>
    <w:p w14:paraId="5B29E4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10 по 12 апреля, а затем с 19 по 27 апреля 1945 проходили гос. испытания серийного Як-3 ПФ-2 N 2229 292 завода, выпущенного в ноябре 1944.</w:t>
      </w:r>
    </w:p>
    <w:p w14:paraId="71381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110BA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Ви стт-л В.П.Белодеденко</w:t>
      </w:r>
    </w:p>
    <w:p w14:paraId="06D1D0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вли к Мванов</w:t>
      </w:r>
    </w:p>
    <w:p w14:paraId="3A366B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4D433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на 15-19 км/час меньше установленной постановлением ГОКО от 26 октября 1943</w:t>
      </w:r>
    </w:p>
    <w:p w14:paraId="6BD352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объем б/б был на 22 л меньше, чем у с-та Як-1 М “дублер”</w:t>
      </w:r>
    </w:p>
    <w:p w14:paraId="25065B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мала дальность р/передатчика (45 км)</w:t>
      </w:r>
    </w:p>
    <w:p w14:paraId="7FEB75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6FEAF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739747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Як-3 № 22-29 с ПФ-2 контрольные испытания прошел неудовлетворительно.</w:t>
      </w:r>
    </w:p>
    <w:p w14:paraId="0D9E09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нем не устранены следующие основаные дефекты, выявленные при испытаниях с-та № 11-12:</w:t>
      </w:r>
    </w:p>
    <w:p w14:paraId="02ECFE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58E032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максимальная дальность радиопередачи (60 км)</w:t>
      </w:r>
    </w:p>
    <w:p w14:paraId="2C0EB6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мала емкость б/б (360 л против 372 л у опытного Як-1М “дублер”</w:t>
      </w:r>
    </w:p>
    <w:p w14:paraId="4B8959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- 3 мая 1945, Лосюков - 4 мая 1945</w:t>
      </w:r>
    </w:p>
    <w:p w14:paraId="6F4AE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561F31" w:rsidRPr="00F90EAE" w14:paraId="55E7E690" w14:textId="77777777">
        <w:tc>
          <w:tcPr>
            <w:tcW w:w="3369" w:type="dxa"/>
            <w:tcBorders>
              <w:top w:val="single" w:sz="12" w:space="0" w:color="auto"/>
            </w:tcBorders>
          </w:tcPr>
          <w:p w14:paraId="26867E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1961" w:type="dxa"/>
            <w:tcBorders>
              <w:top w:val="single" w:sz="12" w:space="0" w:color="auto"/>
            </w:tcBorders>
          </w:tcPr>
          <w:p w14:paraId="10B5AC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4B8CF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6107D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0497FD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от 26 октября 1943</w:t>
            </w:r>
          </w:p>
        </w:tc>
      </w:tr>
      <w:tr w:rsidR="00561F31" w:rsidRPr="00F90EAE" w14:paraId="1AA1E2B0" w14:textId="77777777">
        <w:tc>
          <w:tcPr>
            <w:tcW w:w="3369" w:type="dxa"/>
          </w:tcPr>
          <w:p w14:paraId="3C850D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1961" w:type="dxa"/>
          </w:tcPr>
          <w:p w14:paraId="575C78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961" w:type="dxa"/>
          </w:tcPr>
          <w:p w14:paraId="117D0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961" w:type="dxa"/>
          </w:tcPr>
          <w:p w14:paraId="052D5E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961" w:type="dxa"/>
          </w:tcPr>
          <w:p w14:paraId="389A83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2670</w:t>
            </w:r>
          </w:p>
        </w:tc>
      </w:tr>
      <w:tr w:rsidR="00561F31" w:rsidRPr="00F90EAE" w14:paraId="3CF8B7A4" w14:textId="77777777">
        <w:tc>
          <w:tcPr>
            <w:tcW w:w="3369" w:type="dxa"/>
          </w:tcPr>
          <w:p w14:paraId="4F823B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w:t>
            </w:r>
          </w:p>
        </w:tc>
        <w:tc>
          <w:tcPr>
            <w:tcW w:w="1961" w:type="dxa"/>
          </w:tcPr>
          <w:p w14:paraId="522E9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961" w:type="dxa"/>
          </w:tcPr>
          <w:p w14:paraId="6016D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tc>
        <w:tc>
          <w:tcPr>
            <w:tcW w:w="1961" w:type="dxa"/>
          </w:tcPr>
          <w:p w14:paraId="664F84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w:t>
            </w:r>
          </w:p>
        </w:tc>
        <w:tc>
          <w:tcPr>
            <w:tcW w:w="1961" w:type="dxa"/>
          </w:tcPr>
          <w:p w14:paraId="139E5A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2960C800" w14:textId="77777777">
        <w:tc>
          <w:tcPr>
            <w:tcW w:w="3369" w:type="dxa"/>
          </w:tcPr>
          <w:p w14:paraId="2CA9F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1-й границе высотности</w:t>
            </w:r>
          </w:p>
        </w:tc>
        <w:tc>
          <w:tcPr>
            <w:tcW w:w="1961" w:type="dxa"/>
          </w:tcPr>
          <w:p w14:paraId="0F14ED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613/2100</w:t>
            </w:r>
          </w:p>
        </w:tc>
        <w:tc>
          <w:tcPr>
            <w:tcW w:w="1961" w:type="dxa"/>
          </w:tcPr>
          <w:p w14:paraId="30F0A0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610/2200</w:t>
            </w:r>
          </w:p>
        </w:tc>
        <w:tc>
          <w:tcPr>
            <w:tcW w:w="1961" w:type="dxa"/>
          </w:tcPr>
          <w:p w14:paraId="1A41C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610/1600</w:t>
            </w:r>
          </w:p>
        </w:tc>
        <w:tc>
          <w:tcPr>
            <w:tcW w:w="1961" w:type="dxa"/>
          </w:tcPr>
          <w:p w14:paraId="69958D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BDFA2ED" w14:textId="77777777">
        <w:tc>
          <w:tcPr>
            <w:tcW w:w="3369" w:type="dxa"/>
          </w:tcPr>
          <w:p w14:paraId="00E583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границе высотности</w:t>
            </w:r>
          </w:p>
        </w:tc>
        <w:tc>
          <w:tcPr>
            <w:tcW w:w="1961" w:type="dxa"/>
          </w:tcPr>
          <w:p w14:paraId="7FF503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639/4150</w:t>
            </w:r>
          </w:p>
        </w:tc>
        <w:tc>
          <w:tcPr>
            <w:tcW w:w="1961" w:type="dxa"/>
          </w:tcPr>
          <w:p w14:paraId="759FBD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631/4200</w:t>
            </w:r>
          </w:p>
        </w:tc>
        <w:tc>
          <w:tcPr>
            <w:tcW w:w="1961" w:type="dxa"/>
          </w:tcPr>
          <w:p w14:paraId="0C28FD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642/3750</w:t>
            </w:r>
          </w:p>
        </w:tc>
        <w:tc>
          <w:tcPr>
            <w:tcW w:w="1961" w:type="dxa"/>
          </w:tcPr>
          <w:p w14:paraId="1B7ED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17713C16" w14:textId="77777777">
        <w:tc>
          <w:tcPr>
            <w:tcW w:w="3369" w:type="dxa"/>
            <w:tcBorders>
              <w:bottom w:val="single" w:sz="12" w:space="0" w:color="auto"/>
            </w:tcBorders>
          </w:tcPr>
          <w:p w14:paraId="7D7A5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w:t>
            </w:r>
          </w:p>
        </w:tc>
        <w:tc>
          <w:tcPr>
            <w:tcW w:w="1961" w:type="dxa"/>
            <w:tcBorders>
              <w:bottom w:val="single" w:sz="12" w:space="0" w:color="auto"/>
            </w:tcBorders>
          </w:tcPr>
          <w:p w14:paraId="58CB9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961" w:type="dxa"/>
            <w:tcBorders>
              <w:bottom w:val="single" w:sz="12" w:space="0" w:color="auto"/>
            </w:tcBorders>
          </w:tcPr>
          <w:p w14:paraId="152E70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961" w:type="dxa"/>
            <w:tcBorders>
              <w:bottom w:val="single" w:sz="12" w:space="0" w:color="auto"/>
            </w:tcBorders>
          </w:tcPr>
          <w:p w14:paraId="31ADE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961" w:type="dxa"/>
            <w:tcBorders>
              <w:bottom w:val="single" w:sz="12" w:space="0" w:color="auto"/>
            </w:tcBorders>
          </w:tcPr>
          <w:p w14:paraId="775F20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6E1AD0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1хТМА-2- ШВАК и 2хБС синхр.</w:t>
      </w:r>
    </w:p>
    <w:p w14:paraId="15C00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серийного с-та № 11-12, проходившего КИ в сентябре 1944 имеет следующие основные отличия:</w:t>
      </w:r>
    </w:p>
    <w:p w14:paraId="02520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планеру</w:t>
      </w:r>
    </w:p>
    <w:p w14:paraId="1FDC02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проведены мероприятия по улучшению аэродинамики с-та</w:t>
      </w:r>
    </w:p>
    <w:p w14:paraId="5657B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уменьшены щели между крылом и элеронами, между килем и РП и между стабилизатором и РВ</w:t>
      </w:r>
    </w:p>
    <w:p w14:paraId="7EE8F0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уменьшены вырезы под кронштейны элеронов и рулей</w:t>
      </w:r>
    </w:p>
    <w:p w14:paraId="495198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улучшена герметичность с-та</w:t>
      </w:r>
    </w:p>
    <w:p w14:paraId="5A5457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поставлены замки на центральные щитки шасси</w:t>
      </w:r>
    </w:p>
    <w:p w14:paraId="70AA73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повышена прочность крыла:</w:t>
      </w:r>
    </w:p>
    <w:p w14:paraId="561BB2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увеличена вдвое площадь склейки средней части нервюр 8, 9, 10, 11, 14, 16, 18 с верхней обшивкой</w:t>
      </w:r>
    </w:p>
    <w:p w14:paraId="7F9BF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1CE5D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средняя часть и шпон лобовой части обшивки приклеены клеем ВИАМ-Б-3</w:t>
      </w:r>
    </w:p>
    <w:p w14:paraId="380C52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 ВМГ - установлено приспособление для газового запуска мотора...</w:t>
      </w:r>
    </w:p>
    <w:p w14:paraId="4BCA80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 - вместо передатчика РСИ-3 установлен РСИ-3М-1...</w:t>
      </w:r>
    </w:p>
    <w:p w14:paraId="32B131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52BA5F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2F92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выполнено 20 полетов с общим налетом 12:16</w:t>
      </w:r>
    </w:p>
    <w:p w14:paraId="3BC306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2146 при нормальном полетном 2710. Ц/т 24,7%</w:t>
      </w:r>
    </w:p>
    <w:p w14:paraId="43D6E0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- 90</w:t>
      </w:r>
    </w:p>
    <w:p w14:paraId="256D2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- 360 л (уд. Вес 0,741) - 267 кг</w:t>
      </w:r>
    </w:p>
    <w:p w14:paraId="67BDE4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- 95,5</w:t>
      </w:r>
    </w:p>
    <w:p w14:paraId="7B02BE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- 77,5</w:t>
      </w:r>
    </w:p>
    <w:p w14:paraId="334837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- 14</w:t>
      </w:r>
    </w:p>
    <w:p w14:paraId="7483E6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564 кг</w:t>
      </w:r>
    </w:p>
    <w:p w14:paraId="033A57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0316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Перечень дефектов и конструктивных недостатков, выявленных при испытаниях:</w:t>
      </w:r>
    </w:p>
    <w:p w14:paraId="33A02D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отсос щитков шасси при полете на повышенной скорости</w:t>
      </w:r>
    </w:p>
    <w:p w14:paraId="230018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отставание обшивки в нижней части конца фюзеляжа, отставание обшивки киля</w:t>
      </w:r>
    </w:p>
    <w:p w14:paraId="55C6E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искажения сферического козырька кабины фонаря, видемость через него неудовлетворительна</w:t>
      </w:r>
    </w:p>
    <w:p w14:paraId="49CB97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велики усилия на ручке элеронов и РВ, малая эффективность триммер РВ</w:t>
      </w:r>
    </w:p>
    <w:p w14:paraId="228BD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6B12C2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Механические бензомеры непригодны для расхода горючего.</w:t>
      </w:r>
    </w:p>
    <w:p w14:paraId="49B30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Радиосвязь на землю с высоты 1000 м - 60 км</w:t>
      </w:r>
    </w:p>
    <w:p w14:paraId="756F43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48886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Вентиляция кабины эффективна</w:t>
      </w:r>
    </w:p>
    <w:p w14:paraId="330FFE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огнем пушки и пулеметов - удачное</w:t>
      </w:r>
    </w:p>
    <w:p w14:paraId="079DA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5291E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Иванов - подписал 30 апреля 1945</w:t>
      </w:r>
    </w:p>
    <w:p w14:paraId="557D59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Прошаков, Хомяков, Седов, Антипов, Кувшинов - подписали 30 апреля 1945 (805,5).</w:t>
      </w:r>
    </w:p>
    <w:p w14:paraId="44DC8D6E" w14:textId="77777777" w:rsidR="00665165" w:rsidRPr="00F90EAE" w:rsidRDefault="00665165" w:rsidP="00F90EAE">
      <w:pPr>
        <w:autoSpaceDE w:val="0"/>
        <w:autoSpaceDN w:val="0"/>
        <w:adjustRightInd w:val="0"/>
        <w:jc w:val="both"/>
        <w:rPr>
          <w:color w:val="000000" w:themeColor="text1"/>
          <w:sz w:val="16"/>
          <w:szCs w:val="16"/>
        </w:rPr>
      </w:pPr>
    </w:p>
    <w:p w14:paraId="5C2A7E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 СССР на завод 456 в Москве поступили крылья самолетов-снарядов из г. Китлицтребен (1874,15).</w:t>
      </w:r>
    </w:p>
    <w:p w14:paraId="6550DBB0" w14:textId="77777777" w:rsidR="00665165" w:rsidRPr="00F90EAE" w:rsidRDefault="00665165" w:rsidP="00F90EAE">
      <w:pPr>
        <w:autoSpaceDE w:val="0"/>
        <w:autoSpaceDN w:val="0"/>
        <w:adjustRightInd w:val="0"/>
        <w:jc w:val="both"/>
        <w:rPr>
          <w:color w:val="000000" w:themeColor="text1"/>
          <w:sz w:val="16"/>
          <w:szCs w:val="16"/>
        </w:rPr>
      </w:pPr>
    </w:p>
    <w:p w14:paraId="6A08EA1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30A7269" w14:textId="77777777" w:rsidR="00665165" w:rsidRPr="00F90EAE" w:rsidRDefault="00665165" w:rsidP="00F90EAE">
      <w:pPr>
        <w:autoSpaceDE w:val="0"/>
        <w:autoSpaceDN w:val="0"/>
        <w:adjustRightInd w:val="0"/>
        <w:jc w:val="both"/>
        <w:rPr>
          <w:iCs/>
          <w:color w:val="000000" w:themeColor="text1"/>
          <w:sz w:val="16"/>
          <w:szCs w:val="16"/>
        </w:rPr>
      </w:pPr>
    </w:p>
    <w:p w14:paraId="72D42D76" w14:textId="77777777" w:rsidR="00BA2B8F" w:rsidRPr="00F90EAE" w:rsidRDefault="00BA2B8F" w:rsidP="00F90EAE">
      <w:pPr>
        <w:jc w:val="both"/>
        <w:rPr>
          <w:color w:val="000000" w:themeColor="text1"/>
          <w:sz w:val="16"/>
          <w:szCs w:val="16"/>
        </w:rPr>
      </w:pPr>
      <w:r w:rsidRPr="00F90EAE">
        <w:rPr>
          <w:color w:val="000000" w:themeColor="text1"/>
          <w:sz w:val="16"/>
          <w:szCs w:val="16"/>
        </w:rPr>
        <w:t>10 апреля 1945 года на НИБТ полигоне в Кубинке закончились «Испытания катков танка Т-У на Т-34-85», которые шли с 23 марта по. Цель испытаний - возможность использования опорных катков Т-У на Т-34-85. Катки Т-У были приспособлены для Т-34-85 в конструкторском бюро НИБТ полигона (установлены вместе с серийными катками Т-34-85). После этого танк прошел 604 км плюс специальные испытания - преодоление косогоров, скатов и т.д.</w:t>
      </w:r>
    </w:p>
    <w:p w14:paraId="50E109DE" w14:textId="77777777" w:rsidR="00BA2B8F" w:rsidRPr="00F90EAE" w:rsidRDefault="00BA2B8F" w:rsidP="00F90EAE">
      <w:pPr>
        <w:jc w:val="both"/>
        <w:rPr>
          <w:color w:val="000000" w:themeColor="text1"/>
          <w:sz w:val="16"/>
          <w:szCs w:val="16"/>
        </w:rPr>
      </w:pPr>
      <w:r w:rsidRPr="00F90EAE">
        <w:rPr>
          <w:color w:val="000000" w:themeColor="text1"/>
          <w:sz w:val="16"/>
          <w:szCs w:val="16"/>
        </w:rPr>
        <w:t>Выводы. Опорные катки Т-У обладают более низкой надежностью, чем у Т-34-85 серийные. Произошедшие поломки катков являются следствием их большей нагруженности. Монтаж катков Т-У на Т-34-85 может быть осуществлен средствами войсковой ремонтной части».</w:t>
      </w:r>
    </w:p>
    <w:p w14:paraId="6444692E" w14:textId="77777777" w:rsidR="00BA2B8F" w:rsidRPr="00F90EAE" w:rsidRDefault="00BA2B8F" w:rsidP="00F90EAE">
      <w:pPr>
        <w:jc w:val="both"/>
        <w:rPr>
          <w:color w:val="000000" w:themeColor="text1"/>
          <w:sz w:val="16"/>
          <w:szCs w:val="16"/>
        </w:rPr>
      </w:pPr>
      <w:r w:rsidRPr="00F90EAE">
        <w:rPr>
          <w:color w:val="000000" w:themeColor="text1"/>
          <w:sz w:val="16"/>
          <w:szCs w:val="16"/>
        </w:rPr>
        <w:t>Вполне возможно, что испытания на НИБТ полигоне проводились с подачи командования 4-го ПТРЗ, которое могло обратиться в вышестоящие инстанции с таким рационализаторским предложением (12217).</w:t>
      </w:r>
    </w:p>
    <w:p w14:paraId="2F83FA41" w14:textId="77777777" w:rsidR="00BA2B8F" w:rsidRPr="00F90EAE" w:rsidRDefault="00BA2B8F" w:rsidP="00F90EAE">
      <w:pPr>
        <w:jc w:val="both"/>
        <w:rPr>
          <w:color w:val="000000" w:themeColor="text1"/>
          <w:sz w:val="16"/>
          <w:szCs w:val="16"/>
        </w:rPr>
      </w:pPr>
    </w:p>
    <w:p w14:paraId="752462B5"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К 10 апреля 1945 на НИБТ Полигон прибыли два танка М-24. Из них машина с регистрационным номером U.S.A. 30120376 была выделена для прохождения обширной программы испытаний. Помимо них, с 15 по 20 апреля проходило тщательное изучение нового американского танка. В целом мнение полигонных испытателей оказалось схожим с заключением, составленным гвардии майором Афониным в августе 1944 года. Согласно вердикту, М24 представлял собой сплав наиболее удачных идей, взятых от боевых машин, к которым фирма General Motors имела прямое отношение – легкого танка М5А1 и самоходной установки M18 (Т70).</w:t>
      </w:r>
    </w:p>
    <w:p w14:paraId="0FEBA474"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lastRenderedPageBreak/>
        <w:t>Изучение машины, как и в случае с GMC T70, значительно упрощалось в связи с наличием в комплекте с танком технической литературы. С литературой, кстати говоря, связана серьезная ошибка, допущенная в ходе оценки танка. Согласно руководству, мощность двигателя Cadillac Series 44T24 составляла 110 лошадиных сил. Это правда, но с маленькой оговоркой – речь здесь шла про номинальную мощность. Максимальная же мощность составляла 148 лошадиных сил. То есть реальная максимальная мощность спарки моторов составляла 296 лошадиных сил. Здесь была повторена точно та же ошибка, что и в случае с Light Tank M5A1, оснащавшимся аналогичными моторами.</w:t>
      </w:r>
    </w:p>
    <w:p w14:paraId="5E10C2CA"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В отличие от M5A1, на М24 соединение двух моторов в один агрегат происходило при помощи демультипликатора в моторном отделении. Это сократило число карданных валов до одного. Кроме того, при необходимости можно было быстро отключить один из моторов. Еще одной особенностью стало появление педали нейтрали, а управление машиной стало сдвоенным. Впервые такое решение было использовано американскими инженерами на среднем танке T20. Таким образом, теперь помощник механика-водителя стал именоваться таковым вполне заслуженно.</w:t>
      </w:r>
    </w:p>
    <w:p w14:paraId="440DB89E"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Конструкция дифференциала не отличалось от того, который устанавливался на GMC T70. При этом соединение его с бортовыми передачами было выполнено при помощи карданных сочленений. Это упростило установку дифференциала и ее монтаж. Осуществлялся он, кстати, через через массивный люк в верхнем лобовом листе.</w:t>
      </w:r>
    </w:p>
    <w:p w14:paraId="5D705B31"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С точки зрения ходовой части новый американский легкий танк оказался очень близок к GMC T70, что и не удивительно. Впрочем, хватало и заметных изменений. Для начала, вместо горизонтальных амортизаторов двухстороннего действия, которые применялись на GMC T70, на легком танке M24 были установлены под наклоном телескопические амортизаторы. Еще одной особенностью, на которую обратил внимание еще Афонин (и зарисовал ее), стала конструкция крепления ленивца. Его связали с балансиром крайнего заднего опорного катка. Таким образом было обеспечено постоянное натяжение гусеничных лент.</w:t>
      </w:r>
    </w:p>
    <w:p w14:paraId="3A673FD1"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Что касается траков, то в целом они оказались очень похожими на те, что применялись на самоходной установке. Но при этом изменился размер проушин и устройство стопора пальцев. Последнее было признано неудачным, поскольку в ходе эксплуатации втулочные канавки и выступы втулок сминались, в результате чего демонтаж траков становился затруднительным.</w:t>
      </w:r>
    </w:p>
    <w:p w14:paraId="260806AD"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Высокой похвалы удостоились приборы наблюдения. Для начала, у командира имелась башенка с шестью смотровыми приборами, которая обеспечивала высокую обзорность. Также в люке башенки имелся перископический прибор наблюдения. Смотровые приборы с сектором обзора 60о по горизонтали и 50о по вертикали имели наводчик, механик-водитель и его помощник.</w:t>
      </w:r>
    </w:p>
    <w:p w14:paraId="1CF4D4D8"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Вполне неплохими оказались и прицелы, правда, их прицельная сетка рассчитывалась только для бронебойного снаряда M61. Отсутствие шкалы для стрельбы осколочно-фугасными снарядами было явным недочетом. Помимо прицелов для прямой наводки, в башне установили угломерный прибор, предназначенной для стрельбы с закрытых позиций.</w:t>
      </w:r>
    </w:p>
    <w:p w14:paraId="77962C92"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Достаточно высокой оценки были удостоены рабочие места экипажа. Больше всего претензий вызвало место заряжающего, у которого не было смотрового прибора, а сидение располагалось неудобно. Надо, правда, учитывать тот факт, что экипаж танка мог состоять из 4 человек, тогда функции заряжающего выполнял помощник механика-водителя. В остальном же танк получился вполне удобным, особенно с учетом его относительно небольших размеров.</w:t>
      </w:r>
    </w:p>
    <w:p w14:paraId="5738CF87" w14:textId="77777777" w:rsidR="00117BE3" w:rsidRPr="00F90EAE" w:rsidRDefault="00117BE3" w:rsidP="00F90EAE">
      <w:pPr>
        <w:shd w:val="clear" w:color="auto" w:fill="FFFFFF"/>
        <w:jc w:val="both"/>
        <w:rPr>
          <w:color w:val="000000" w:themeColor="text1"/>
          <w:sz w:val="16"/>
          <w:szCs w:val="16"/>
        </w:rPr>
      </w:pPr>
      <w:r w:rsidRPr="00F90EAE">
        <w:rPr>
          <w:color w:val="000000" w:themeColor="text1"/>
          <w:sz w:val="16"/>
          <w:szCs w:val="16"/>
        </w:rPr>
        <w:t>Стоит отметить, что М24 отличался не только удобством размещения экипажа, но и небольшими усилиями на рычагах – 9–12 кг. Отмечались очень небольшие усилия на маховиках наведения орудия – всего 1,5 килограмма. Большим плюсом было и наличие гидравлического привода поворота башни. Без него полный оборот башни осуществлялся за 95 секунд, а с ним – за 15 секунд (17684).</w:t>
      </w:r>
    </w:p>
    <w:p w14:paraId="397E5CDD" w14:textId="77777777" w:rsidR="00117BE3" w:rsidRPr="00F90EAE" w:rsidRDefault="00117BE3" w:rsidP="00F90EAE">
      <w:pPr>
        <w:jc w:val="both"/>
        <w:rPr>
          <w:color w:val="000000" w:themeColor="text1"/>
          <w:sz w:val="16"/>
          <w:szCs w:val="16"/>
        </w:rPr>
      </w:pPr>
    </w:p>
    <w:p w14:paraId="3FBD5690" w14:textId="77777777" w:rsidR="009104CE" w:rsidRPr="00F90EAE" w:rsidRDefault="009104CE" w:rsidP="00F90EAE">
      <w:pPr>
        <w:jc w:val="both"/>
        <w:rPr>
          <w:color w:val="000000" w:themeColor="text1"/>
          <w:sz w:val="16"/>
          <w:szCs w:val="16"/>
        </w:rPr>
      </w:pPr>
      <w:r w:rsidRPr="00F90EAE">
        <w:rPr>
          <w:color w:val="000000" w:themeColor="text1"/>
          <w:sz w:val="16"/>
          <w:szCs w:val="16"/>
        </w:rPr>
        <w:t>Ближе к 10 апреля 1945 года первые эшелоны СУ-76М с модернизированным боевым отделением стали покидать ГАЗ им. Молотова. Направлялись они для пополнения частей на советско-германском фронте, но как минимум один эшелон с 63 машинами ушёл в Читу. Направленные на пополнение самоходные артиллерийские установки повоевать не успели. Обычно между отправкой и началом боевого применения машины проходил минимум месяц. Части, получившие модернизированные СУ-76М, оказались боеготовыми не раньше середины мая.</w:t>
      </w:r>
    </w:p>
    <w:p w14:paraId="5DAEA8B4" w14:textId="77777777" w:rsidR="009104CE" w:rsidRPr="00F90EAE" w:rsidRDefault="009104CE" w:rsidP="00F90EAE">
      <w:pPr>
        <w:jc w:val="both"/>
        <w:rPr>
          <w:color w:val="000000" w:themeColor="text1"/>
          <w:sz w:val="16"/>
          <w:szCs w:val="16"/>
        </w:rPr>
      </w:pPr>
      <w:r w:rsidRPr="00F90EAE">
        <w:rPr>
          <w:color w:val="000000" w:themeColor="text1"/>
          <w:sz w:val="16"/>
          <w:szCs w:val="16"/>
        </w:rPr>
        <w:t>После окончания войны в Европе производство СУ-76М продолжалось, как и их поставки в войска. САУ получали как новые части, так и те, что пополнялись после боёв на советско-германском фронте. За период с 11 мая по 1 августа 1945 года заводы сдали ещё 1640 машин, часть из них попала в войска, принимавшие участие в советско-японской войне. Большинство частей на Дальнем Востоке использовало самоходные установки старого типа, но встречаются на фотографиях и модернизированные САУ.</w:t>
      </w:r>
    </w:p>
    <w:p w14:paraId="108AEBCB" w14:textId="77777777" w:rsidR="009104CE" w:rsidRPr="00F90EAE" w:rsidRDefault="009104CE" w:rsidP="00F90EAE">
      <w:pPr>
        <w:jc w:val="both"/>
        <w:rPr>
          <w:color w:val="000000" w:themeColor="text1"/>
          <w:sz w:val="16"/>
          <w:szCs w:val="16"/>
        </w:rPr>
      </w:pPr>
      <w:r w:rsidRPr="00F90EAE">
        <w:rPr>
          <w:color w:val="000000" w:themeColor="text1"/>
          <w:sz w:val="16"/>
          <w:szCs w:val="16"/>
        </w:rPr>
        <w:t>Машины поступали на вооружение самоходно-артиллерийских дивизионов (САД), придававшихся стрелковым дивизиям. Использовавшиеся на Дальнем Востоке САД были близки по структуре к штату № 04/434, появившемуся в начале 1944 года. Разница была в том, что помимо 12 машин (3 батареи по 4 орудия), в САД имелась ещё одна СУ-76М — командирская. Стрелковые дивизии получили подвижную самоходную дивизионную артиллерию. СУ-76М использовались в боях против японских войск очень активно. К 5 августа на театре боевых действий имелось 952 СУ-76М, из них 364 штуки в составе 1-го Дальневосточного фронта, 122 в составе 2-го Дальневосточного фронта и 466 в составе Забайкальского фронта. В составе последнего, помимо САД, имелось ещё и три самоходных артиллерийских полка. СУ-76М показали себя самыми надёжными боевыми машинами из числа применявшихся на фронте (18172).</w:t>
      </w:r>
    </w:p>
    <w:p w14:paraId="3C847B86" w14:textId="77777777" w:rsidR="009104CE" w:rsidRPr="00F90EAE" w:rsidRDefault="009104CE" w:rsidP="00F90EAE">
      <w:pPr>
        <w:jc w:val="both"/>
        <w:rPr>
          <w:color w:val="000000" w:themeColor="text1"/>
          <w:sz w:val="16"/>
          <w:szCs w:val="16"/>
        </w:rPr>
      </w:pPr>
    </w:p>
    <w:p w14:paraId="4183A7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вышло Постановление ГКО № 8060 О балансах и планах распределения проката черных металлов, металлокерамических твердых сплавов, труб, метизов, чугуна, ферросплавов и металлургического кокса на II квартал 1945 года. РГАНИР, Фонд ГКО, д. 390, лл. 1-2, 3-116 (11012).</w:t>
      </w:r>
    </w:p>
    <w:p w14:paraId="72ABD890" w14:textId="77777777" w:rsidR="00665165" w:rsidRPr="00F90EAE" w:rsidRDefault="00665165" w:rsidP="00F90EAE">
      <w:pPr>
        <w:autoSpaceDE w:val="0"/>
        <w:autoSpaceDN w:val="0"/>
        <w:adjustRightInd w:val="0"/>
        <w:jc w:val="both"/>
        <w:rPr>
          <w:color w:val="000000" w:themeColor="text1"/>
          <w:sz w:val="16"/>
          <w:szCs w:val="16"/>
        </w:rPr>
      </w:pPr>
    </w:p>
    <w:p w14:paraId="459FF3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вышло Постановление ГКО № 8062 О плане добычи угля и сланца на II квартал 1945 г. по Наркомуглю и мерах по материально-техническому обеспечению угольной промышленности. РГАНИР, Фонд ГКО, д. 390, лл. 119-156, 157-179 (11012).</w:t>
      </w:r>
    </w:p>
    <w:p w14:paraId="244A00F3" w14:textId="77777777" w:rsidR="00665165" w:rsidRPr="00F90EAE" w:rsidRDefault="00665165" w:rsidP="00F90EAE">
      <w:pPr>
        <w:autoSpaceDE w:val="0"/>
        <w:autoSpaceDN w:val="0"/>
        <w:adjustRightInd w:val="0"/>
        <w:jc w:val="both"/>
        <w:rPr>
          <w:color w:val="000000" w:themeColor="text1"/>
          <w:sz w:val="16"/>
          <w:szCs w:val="16"/>
        </w:rPr>
      </w:pPr>
    </w:p>
    <w:p w14:paraId="461343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вышло Постановление ГКО № 8063 О балансе и плане распределения масел, смазок и специальных нефтепродуктов на II квартал 1945 г. РГАНИР, Фонд ГКО, д. 391, лл. 1-2, 3-64 (11012).</w:t>
      </w:r>
    </w:p>
    <w:p w14:paraId="6C03A640" w14:textId="77777777" w:rsidR="00665165" w:rsidRPr="00F90EAE" w:rsidRDefault="00665165" w:rsidP="00F90EAE">
      <w:pPr>
        <w:autoSpaceDE w:val="0"/>
        <w:autoSpaceDN w:val="0"/>
        <w:adjustRightInd w:val="0"/>
        <w:jc w:val="both"/>
        <w:rPr>
          <w:color w:val="000000" w:themeColor="text1"/>
          <w:sz w:val="16"/>
          <w:szCs w:val="16"/>
        </w:rPr>
      </w:pPr>
    </w:p>
    <w:p w14:paraId="630DC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Начаты швартовные испытания 10-го ТЩ на заводе им. А. А. Жданова; завершены 10 мая (10671).</w:t>
      </w:r>
    </w:p>
    <w:p w14:paraId="239EED8D" w14:textId="77777777" w:rsidR="00665165" w:rsidRPr="00F90EAE" w:rsidRDefault="00665165" w:rsidP="00F90EAE">
      <w:pPr>
        <w:autoSpaceDE w:val="0"/>
        <w:autoSpaceDN w:val="0"/>
        <w:adjustRightInd w:val="0"/>
        <w:jc w:val="both"/>
        <w:rPr>
          <w:color w:val="000000" w:themeColor="text1"/>
          <w:sz w:val="16"/>
          <w:szCs w:val="16"/>
        </w:rPr>
      </w:pPr>
    </w:p>
    <w:p w14:paraId="230C0D6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06AA6FF" w14:textId="77777777" w:rsidR="00665165" w:rsidRPr="00F90EAE" w:rsidRDefault="00665165" w:rsidP="00F90EAE">
      <w:pPr>
        <w:autoSpaceDE w:val="0"/>
        <w:autoSpaceDN w:val="0"/>
        <w:adjustRightInd w:val="0"/>
        <w:jc w:val="both"/>
        <w:rPr>
          <w:iCs/>
          <w:color w:val="000000" w:themeColor="text1"/>
          <w:sz w:val="16"/>
          <w:szCs w:val="16"/>
        </w:rPr>
      </w:pPr>
    </w:p>
    <w:p w14:paraId="36954D2B" w14:textId="77777777" w:rsidR="00BF3067" w:rsidRPr="00F90EAE" w:rsidRDefault="00BF3067" w:rsidP="00F90EAE">
      <w:pPr>
        <w:jc w:val="both"/>
        <w:rPr>
          <w:color w:val="000000" w:themeColor="text1"/>
          <w:sz w:val="16"/>
          <w:szCs w:val="16"/>
        </w:rPr>
      </w:pPr>
      <w:r w:rsidRPr="00F90EAE">
        <w:rPr>
          <w:color w:val="000000" w:themeColor="text1"/>
          <w:sz w:val="16"/>
          <w:szCs w:val="16"/>
        </w:rPr>
        <w:t>10 апреля в 1945 году оперативная сводка Совинформбюро:</w:t>
      </w:r>
    </w:p>
    <w:p w14:paraId="18BE3DDF" w14:textId="77777777" w:rsidR="00BF3067" w:rsidRPr="00F90EAE" w:rsidRDefault="00BF3067" w:rsidP="00F90EAE">
      <w:pPr>
        <w:jc w:val="both"/>
        <w:rPr>
          <w:color w:val="000000" w:themeColor="text1"/>
          <w:sz w:val="16"/>
          <w:szCs w:val="16"/>
        </w:rPr>
      </w:pPr>
      <w:r w:rsidRPr="00F90EAE">
        <w:rPr>
          <w:color w:val="000000" w:themeColor="text1"/>
          <w:sz w:val="16"/>
          <w:szCs w:val="16"/>
        </w:rPr>
        <w:t>«По данным 3-го Белорусского фронта, после 21 ч. 30 м. 9 апреля, т. е. после прекращения сопротивления немецких войск в Кенигсберге, в течение ночи с 9-го на 10-ое и днём 10-го апреля сдалось в плен около 50 тысяч немецких солдат и офицеров.</w:t>
      </w:r>
    </w:p>
    <w:p w14:paraId="55583FEB" w14:textId="77777777" w:rsidR="00BF3067" w:rsidRPr="00F90EAE" w:rsidRDefault="00BF3067" w:rsidP="00F90EAE">
      <w:pPr>
        <w:jc w:val="both"/>
        <w:rPr>
          <w:color w:val="000000" w:themeColor="text1"/>
          <w:sz w:val="16"/>
          <w:szCs w:val="16"/>
        </w:rPr>
      </w:pPr>
      <w:r w:rsidRPr="00F90EAE">
        <w:rPr>
          <w:color w:val="000000" w:themeColor="text1"/>
          <w:sz w:val="16"/>
          <w:szCs w:val="16"/>
        </w:rPr>
        <w:t>Таким образом, за время боёв по ликвидации Кенигсбергской группировки немцев, т. е. с 6-го по 10-ое апреля, взято в плен всего более 92 тысяч немецких солдат и офицеров.</w:t>
      </w:r>
    </w:p>
    <w:p w14:paraId="35990525" w14:textId="77777777" w:rsidR="00BF3067" w:rsidRPr="00F90EAE" w:rsidRDefault="00BF3067" w:rsidP="00F90EAE">
      <w:pPr>
        <w:jc w:val="both"/>
        <w:rPr>
          <w:color w:val="000000" w:themeColor="text1"/>
          <w:sz w:val="16"/>
          <w:szCs w:val="16"/>
        </w:rPr>
      </w:pPr>
      <w:r w:rsidRPr="00F90EAE">
        <w:rPr>
          <w:color w:val="000000" w:themeColor="text1"/>
          <w:sz w:val="16"/>
          <w:szCs w:val="16"/>
        </w:rPr>
        <w:t>За тот же период немцы потеряли убитыми до 42 тысяч солдат и офицеров.</w:t>
      </w:r>
    </w:p>
    <w:p w14:paraId="4A673010" w14:textId="77777777" w:rsidR="00BF3067" w:rsidRPr="00F90EAE" w:rsidRDefault="00BF3067" w:rsidP="00F90EAE">
      <w:pPr>
        <w:jc w:val="both"/>
        <w:rPr>
          <w:color w:val="000000" w:themeColor="text1"/>
          <w:sz w:val="16"/>
          <w:szCs w:val="16"/>
        </w:rPr>
      </w:pPr>
      <w:r w:rsidRPr="00F90EAE">
        <w:rPr>
          <w:color w:val="000000" w:themeColor="text1"/>
          <w:sz w:val="16"/>
          <w:szCs w:val="16"/>
        </w:rPr>
        <w:t>В числе пленных 1.819 офицеров и 4 генерала — комендант Кенигсбергского укреплённого района генерал от инфантерии Ляш, заместитель коменданта крепости генерал-лейтенант Микош, командир 61-й немецкой пехотной дивизии генерал-лейтенант Шперль, командир 367-й немецкой пехотной дивизии, генерал-майор Хенле.</w:t>
      </w:r>
    </w:p>
    <w:p w14:paraId="73ABA48F" w14:textId="77777777" w:rsidR="00BF3067" w:rsidRPr="00F90EAE" w:rsidRDefault="00BF3067" w:rsidP="00F90EAE">
      <w:pPr>
        <w:jc w:val="both"/>
        <w:rPr>
          <w:color w:val="000000" w:themeColor="text1"/>
          <w:sz w:val="16"/>
          <w:szCs w:val="16"/>
        </w:rPr>
      </w:pPr>
      <w:r w:rsidRPr="00F90EAE">
        <w:rPr>
          <w:color w:val="000000" w:themeColor="text1"/>
          <w:sz w:val="16"/>
          <w:szCs w:val="16"/>
        </w:rPr>
        <w:t>Войска фронта захватили следующие трофеи: полевых орудий — 2.023, танков и самоходных орудий — 89, миномётов — 1.652, пулемётов — 4.673, бронетранспортёров— 119, бронепоездов — 2, автомашин — 8.560, тракторов и тягачей — 137, паровозов — 774, вагонов — 8.544, катеров и барж— 146, складов с военным имуществом—441.</w:t>
      </w:r>
    </w:p>
    <w:p w14:paraId="1AD4FE7C" w14:textId="77777777" w:rsidR="00BF3067" w:rsidRPr="00F90EAE" w:rsidRDefault="00BF3067" w:rsidP="00F90EAE">
      <w:pPr>
        <w:jc w:val="both"/>
        <w:rPr>
          <w:color w:val="000000" w:themeColor="text1"/>
          <w:sz w:val="16"/>
          <w:szCs w:val="16"/>
        </w:rPr>
      </w:pPr>
      <w:r w:rsidRPr="00F90EAE">
        <w:rPr>
          <w:color w:val="000000" w:themeColor="text1"/>
          <w:sz w:val="16"/>
          <w:szCs w:val="16"/>
        </w:rPr>
        <w:t>Уничтожено: самолётов—120, полевых орудий— 1.193, миномётов — 568, танков и самоходных орудий — 104, бронетранспортёров — 82, автомашин — 1.719, паровозов — 23, вагонов — 215, складов с военным имуществом — 77.</w:t>
      </w:r>
    </w:p>
    <w:p w14:paraId="78338A53" w14:textId="77777777" w:rsidR="00BF3067" w:rsidRPr="00F90EAE" w:rsidRDefault="00BF3067" w:rsidP="00F90EAE">
      <w:pPr>
        <w:jc w:val="both"/>
        <w:rPr>
          <w:color w:val="000000" w:themeColor="text1"/>
          <w:sz w:val="16"/>
          <w:szCs w:val="16"/>
        </w:rPr>
      </w:pPr>
      <w:r w:rsidRPr="00F90EAE">
        <w:rPr>
          <w:color w:val="000000" w:themeColor="text1"/>
          <w:sz w:val="16"/>
          <w:szCs w:val="16"/>
        </w:rPr>
        <w:t>В течение 10-го апреля на Земландском полуострове западнее Кенигсберга войска 3-го Белорусского фронта с боями заняли населённые пункты Метгетен, Модиттен, Клайн Фридрихсберг, Гросс Хольштайн.</w:t>
      </w:r>
    </w:p>
    <w:p w14:paraId="6C4E8397" w14:textId="77777777" w:rsidR="00BF3067" w:rsidRPr="00F90EAE" w:rsidRDefault="00BF3067" w:rsidP="00F90EAE">
      <w:pPr>
        <w:jc w:val="both"/>
        <w:rPr>
          <w:color w:val="000000" w:themeColor="text1"/>
          <w:sz w:val="16"/>
          <w:szCs w:val="16"/>
        </w:rPr>
      </w:pPr>
      <w:r w:rsidRPr="00F90EAE">
        <w:rPr>
          <w:color w:val="000000" w:themeColor="text1"/>
          <w:sz w:val="16"/>
          <w:szCs w:val="16"/>
        </w:rPr>
        <w:t>Северо-восточнее и севернее Братиславы войска 2-го Украинского фронта, продолжая наступление, заняли на территории Чехословакии город Тренчин и более 30 других населённых пунктов, в том числе Велки Бьеровце, Миавци, Паныци, Кадлечицы, Миче, Хропов, Ковалевец, Попудини. Северо-западнее и западнее Братиславы войска фронта, наступая по северному берегу Дуная, заняли города Гензерндорф и Дойч-Ваграм и населённые пункты Вайкендорф, Штрассхоф. Маркграфнойзидль, Парбасдорф, Гроссхофен, Глинцендорф, Рутцендорф, Франценсдорф, Виттау, Оберхаузен, Мюльлайтен.</w:t>
      </w:r>
    </w:p>
    <w:p w14:paraId="1B1B385C" w14:textId="77777777" w:rsidR="00BF3067" w:rsidRPr="00F90EAE" w:rsidRDefault="00BF3067" w:rsidP="00F90EAE">
      <w:pPr>
        <w:jc w:val="both"/>
        <w:rPr>
          <w:color w:val="000000" w:themeColor="text1"/>
          <w:sz w:val="16"/>
          <w:szCs w:val="16"/>
        </w:rPr>
      </w:pPr>
      <w:r w:rsidRPr="00F90EAE">
        <w:rPr>
          <w:color w:val="000000" w:themeColor="text1"/>
          <w:sz w:val="16"/>
          <w:szCs w:val="16"/>
        </w:rPr>
        <w:t>Войска 3-го Украинского фронта, продолжая уличные бои в Вене, очистили от противника все городские районы, расположенные на западном берегу Дунайского канала. В боях за 9 апреля войска фронта взяли в плен более 2.000 солдат и офицеров противника и захватили следующие трофеи: танков — 72, бронетранспортёров— 85, полевых орудий — 75, пулемётов—174.</w:t>
      </w:r>
    </w:p>
    <w:p w14:paraId="7E4DE8AD" w14:textId="77777777" w:rsidR="00BF3067" w:rsidRPr="00F90EAE" w:rsidRDefault="00BF3067" w:rsidP="00F90EAE">
      <w:pPr>
        <w:jc w:val="both"/>
        <w:rPr>
          <w:color w:val="000000" w:themeColor="text1"/>
          <w:sz w:val="16"/>
          <w:szCs w:val="16"/>
        </w:rPr>
      </w:pPr>
      <w:r w:rsidRPr="00F90EAE">
        <w:rPr>
          <w:color w:val="000000" w:themeColor="text1"/>
          <w:sz w:val="16"/>
          <w:szCs w:val="16"/>
        </w:rPr>
        <w:t>На остальных участках фронта — существенных изменений не произошло.</w:t>
      </w:r>
    </w:p>
    <w:p w14:paraId="0DE42B17" w14:textId="77777777" w:rsidR="00BF3067" w:rsidRPr="00F90EAE" w:rsidRDefault="00BF3067" w:rsidP="00F90EAE">
      <w:pPr>
        <w:jc w:val="both"/>
        <w:rPr>
          <w:color w:val="000000" w:themeColor="text1"/>
          <w:sz w:val="16"/>
          <w:szCs w:val="16"/>
        </w:rPr>
      </w:pPr>
      <w:r w:rsidRPr="00F90EAE">
        <w:rPr>
          <w:color w:val="000000" w:themeColor="text1"/>
          <w:sz w:val="16"/>
          <w:szCs w:val="16"/>
        </w:rPr>
        <w:t>За 9 апреля на всех фронтах подбито и уничтожено 54 немецких танка. В воздушных боях и огнём зенитной артиллерии сбито 28 самолётов противника.</w:t>
      </w:r>
    </w:p>
    <w:p w14:paraId="0555B6C0" w14:textId="77777777" w:rsidR="00BF3067" w:rsidRPr="00F90EAE" w:rsidRDefault="00BF3067" w:rsidP="00F90EAE">
      <w:pPr>
        <w:jc w:val="both"/>
        <w:rPr>
          <w:color w:val="000000" w:themeColor="text1"/>
          <w:sz w:val="16"/>
          <w:szCs w:val="16"/>
        </w:rPr>
      </w:pPr>
      <w:r w:rsidRPr="00F90EAE">
        <w:rPr>
          <w:color w:val="000000" w:themeColor="text1"/>
          <w:sz w:val="16"/>
          <w:szCs w:val="16"/>
        </w:rPr>
        <w:lastRenderedPageBreak/>
        <w:t>Удары нашей авиации по портам Пиллау и Хель</w:t>
      </w:r>
    </w:p>
    <w:p w14:paraId="4450895D" w14:textId="77777777" w:rsidR="00BF3067" w:rsidRPr="00F90EAE" w:rsidRDefault="00BF3067" w:rsidP="00F90EAE">
      <w:pPr>
        <w:jc w:val="both"/>
        <w:rPr>
          <w:color w:val="000000" w:themeColor="text1"/>
          <w:sz w:val="16"/>
          <w:szCs w:val="16"/>
        </w:rPr>
      </w:pPr>
      <w:r w:rsidRPr="00F90EAE">
        <w:rPr>
          <w:color w:val="000000" w:themeColor="text1"/>
          <w:sz w:val="16"/>
          <w:szCs w:val="16"/>
        </w:rPr>
        <w:t>В ночь на 10 апреля наши тяжёлые бомбардировщики нанесли удары по портам Пиллау и Хель. В результате этих ударов на территории указанных портов возникли большие пожары, сопровождавшиеся сильными взрывами.</w:t>
      </w:r>
    </w:p>
    <w:p w14:paraId="60B295AA" w14:textId="77777777" w:rsidR="00BF3067" w:rsidRPr="00F90EAE" w:rsidRDefault="00BF3067" w:rsidP="00F90EAE">
      <w:pPr>
        <w:jc w:val="both"/>
        <w:rPr>
          <w:color w:val="000000" w:themeColor="text1"/>
          <w:sz w:val="16"/>
          <w:szCs w:val="16"/>
        </w:rPr>
      </w:pPr>
      <w:r w:rsidRPr="00F90EAE">
        <w:rPr>
          <w:color w:val="000000" w:themeColor="text1"/>
          <w:sz w:val="16"/>
          <w:szCs w:val="16"/>
        </w:rPr>
        <w:t>Северо-восточнее Братиславы советские части с боями вышли к реке Ваг севернее чехословацкого города Тренчин. Другие наши части пробились к реке южнее города. Немецкий гарнизон, оборонявший Тренчин, оказался прижатым к реке. Наши войска с двух сторон ворвались в город и к полудню очистили его от противника. Остатки разгромленного вражеского гарнизона бежали за реку Ваг. Захвачены оружейно-ремонтные мастерские, 20 подземных складов с боеприпасами и другие трофеи. В городе Тренчине имеются автотракторный и оружейный заводы, завод взрывчатых веществ и другие предприятия.</w:t>
      </w:r>
    </w:p>
    <w:p w14:paraId="3E2495A4" w14:textId="77777777" w:rsidR="00BF3067" w:rsidRPr="00F90EAE" w:rsidRDefault="00BF3067" w:rsidP="00F90EAE">
      <w:pPr>
        <w:jc w:val="both"/>
        <w:rPr>
          <w:color w:val="000000" w:themeColor="text1"/>
          <w:sz w:val="16"/>
          <w:szCs w:val="16"/>
        </w:rPr>
      </w:pPr>
      <w:r w:rsidRPr="00F90EAE">
        <w:rPr>
          <w:color w:val="000000" w:themeColor="text1"/>
          <w:sz w:val="16"/>
          <w:szCs w:val="16"/>
        </w:rPr>
        <w:t>В районе между реками Ваг и Морава советские пехотинцы, отражая контратаки противника, настойчиво продвигаются вперёд. В результате ожесточённого боя занят опорный пункт Попудини, находящийся в 9 километрах от города Годонин. В бою за этот пункт уничтожено до 400 гитлеровцев и сожжено 7 немецких танков.</w:t>
      </w:r>
    </w:p>
    <w:p w14:paraId="1C8D8A39" w14:textId="77777777" w:rsidR="00BF3067" w:rsidRPr="00F90EAE" w:rsidRDefault="00BF3067" w:rsidP="00F90EAE">
      <w:pPr>
        <w:jc w:val="both"/>
        <w:rPr>
          <w:color w:val="000000" w:themeColor="text1"/>
          <w:sz w:val="16"/>
          <w:szCs w:val="16"/>
        </w:rPr>
      </w:pPr>
      <w:r w:rsidRPr="00F90EAE">
        <w:rPr>
          <w:color w:val="000000" w:themeColor="text1"/>
          <w:sz w:val="16"/>
          <w:szCs w:val="16"/>
        </w:rPr>
        <w:t>Северо-западнее и западнее Братиславы наши войска, прорвав оборону противника, продвинулись вперёд на 20 километров. Занят город и железнодорожная станция Дойч-Ваграм, расположенные в 13 километрах северо-восточнее Вены. За два дня боёв в этом районе советские части захватили у немцев 108 орудий, 42 миномёта, 59 пулемётов, 7 паровозов и 300 железнодорожных вагонов с военным имуществом.</w:t>
      </w:r>
    </w:p>
    <w:p w14:paraId="7CFC77C8" w14:textId="77777777" w:rsidR="00BF3067" w:rsidRPr="00F90EAE" w:rsidRDefault="00BF3067" w:rsidP="00F90EAE">
      <w:pPr>
        <w:jc w:val="both"/>
        <w:rPr>
          <w:color w:val="000000" w:themeColor="text1"/>
          <w:sz w:val="16"/>
          <w:szCs w:val="16"/>
        </w:rPr>
      </w:pPr>
      <w:r w:rsidRPr="00F90EAE">
        <w:rPr>
          <w:color w:val="000000" w:themeColor="text1"/>
          <w:sz w:val="16"/>
          <w:szCs w:val="16"/>
        </w:rPr>
        <w:t>Войска 3-го Украинского фронта продолжали успешные уличные бои в Вене.</w:t>
      </w:r>
    </w:p>
    <w:p w14:paraId="7C8C3401" w14:textId="77777777" w:rsidR="00BF3067" w:rsidRPr="00F90EAE" w:rsidRDefault="00BF3067" w:rsidP="00F90EAE">
      <w:pPr>
        <w:jc w:val="both"/>
        <w:rPr>
          <w:color w:val="000000" w:themeColor="text1"/>
          <w:sz w:val="16"/>
          <w:szCs w:val="16"/>
        </w:rPr>
      </w:pPr>
      <w:r w:rsidRPr="00F90EAE">
        <w:rPr>
          <w:color w:val="000000" w:themeColor="text1"/>
          <w:sz w:val="16"/>
          <w:szCs w:val="16"/>
        </w:rPr>
        <w:t>Превратив австрийскую столицу в поле боя, немцы намеревались вести в городе затяжную борьбу. Они прилагали отчаянные усилия, чтобы создать на улицах города прочную и устойчивую оборону. Решительными действиями советских войск планы гитлеровцев были сорваны. Очищены от противника все городские районы, расположенные на западном берегу Дунайского канала. Наши войска, наступающие с северо-запада вдоль Дунайского канала, с боями вышли к центру города и соединились с войсками, наступающими с юга и запада. Заняты здания вокзала Франца Иосифа, гарнизонного госпиталя, кавалерийских казарм, академии наук и другие. Совершив успешный обходный манёвр, наши гвардейские соединения окружили группу противника в пригородах Адьтманнсдорф, Ацгерсдорф, Альтерлаа, и Нейерлаа. Попавшие в «котёл» подразделения двух немецких эсэсовских танковых дивизий, запасный полк и шесть отдельных батальонов сегодня утром были ликвидированы. Захвачено много трофеев. На улицах пригородов осталось свыше 3 тысяч вражеских трупов.</w:t>
      </w:r>
    </w:p>
    <w:p w14:paraId="29B41069" w14:textId="77777777" w:rsidR="00BF3067" w:rsidRPr="00F90EAE" w:rsidRDefault="00BF3067" w:rsidP="00F90EAE">
      <w:pPr>
        <w:jc w:val="both"/>
        <w:rPr>
          <w:color w:val="000000" w:themeColor="text1"/>
          <w:sz w:val="16"/>
          <w:szCs w:val="16"/>
        </w:rPr>
      </w:pPr>
      <w:r w:rsidRPr="00F90EAE">
        <w:rPr>
          <w:color w:val="000000" w:themeColor="text1"/>
          <w:sz w:val="16"/>
          <w:szCs w:val="16"/>
        </w:rPr>
        <w:t>В боях за освобождение Вены от немецко-фашистских захватчиков советские воины проявляют беззаветное мужество и геройство. Отделение гвардии старшего сержанта Медведева, продвигаясь вперёд, истребило большую группу гитлеровцев. Пулемётчик Андрюшенко, прикрывая наступление своего подразделения, уничтожил 20 немцев. Артиллеристы батареи капитана Кувшинова сожгли два танка противника. Гвардии красноармейцы Кремасов и Немцов вплавь переправились через водный рубеж, вступили в бой с немцами и обеспечили переправу своего подразделения. В этот день тт. Кремасов и Немцов уничтожили 37 гитлеровцев. На двух снайперов гвардии красноармейцев Макаренко и Хиденко напала группа немцев. В ожесточенной схватке отважные бойцы убили 6 гитлеровцев, а одного немецкого солдата взяли в плен. Гвардии старший сержант Черемисов, умело маскируясь, подполз к дому, в котором засели немецкие пулемётчики. Бросив в окно гранату, старший сержант уничтожил вражеских пулемётчиков. В тот же день т. Черемисов противотанковой гранатой подорвал немецкое самоходное орудие.</w:t>
      </w:r>
    </w:p>
    <w:p w14:paraId="7BE66455" w14:textId="77777777" w:rsidR="00BF3067" w:rsidRPr="00F90EAE" w:rsidRDefault="00BF3067" w:rsidP="00F90EAE">
      <w:pPr>
        <w:jc w:val="both"/>
        <w:rPr>
          <w:color w:val="000000" w:themeColor="text1"/>
          <w:sz w:val="16"/>
          <w:szCs w:val="16"/>
        </w:rPr>
      </w:pPr>
      <w:r w:rsidRPr="00F90EAE">
        <w:rPr>
          <w:color w:val="000000" w:themeColor="text1"/>
          <w:sz w:val="16"/>
          <w:szCs w:val="16"/>
        </w:rPr>
        <w:t>Пленный командир 6-й роты 2-го мотополка 1-й танковой дивизии СС «Адольф Гитлер» оберштурмфюрер Курт Штелльмахер рассказал: «В декабре прошлого года наша дивизия принимала участие в наступлении немецких войск на западном фронте. Вначале операция развивалась успешно, и нам удалось захватать значительную территорию. В январе русские перешли в наступление. Немецкое командование начало перебрасывать войска на советско-германский фронт. Нашу дивизию отправили в Венгрию, в город Дьер, куда мы прибыли в конце февраля. Многие солдаты выражали недовольство тем, что им приходится воевать в Венгрии. Они говорили между собой: «Англо-американские войска угрожают Рурской области, а мы гибнем здесь вместо того, чтобы защищать немецкую территорию». По приказу командира дивизии бригадефюрера Кумм офицеры должны были каждодневно разъяснять солдатам, почему нам необходимо оборонять Венгрию и отбросить русских за Дунай. Однако наступление, стоившее нам огромных потерь, быстро выдохлось. Затем русские войска сами перешли в наступление и разгромили наши лучшие дивизии» (15095).</w:t>
      </w:r>
    </w:p>
    <w:p w14:paraId="50A40910" w14:textId="77777777" w:rsidR="00BF3067" w:rsidRPr="00F90EAE" w:rsidRDefault="00BF3067" w:rsidP="00F90EAE">
      <w:pPr>
        <w:jc w:val="both"/>
        <w:rPr>
          <w:color w:val="000000" w:themeColor="text1"/>
          <w:sz w:val="16"/>
          <w:szCs w:val="16"/>
        </w:rPr>
      </w:pPr>
    </w:p>
    <w:p w14:paraId="3FFC922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апреля 1945 советские войска штурмом взяли Кенигсберг (4962).</w:t>
      </w:r>
    </w:p>
    <w:p w14:paraId="577F350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62373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года появилась директива, обязывающая все части и подразделения сообщать о подобных находках штабу 18-й воздушной армии (наследницы АДД). Тяжелые бомбардировщики были остро необходимы советской авиации. Выпущенных Пе-8 не хватало на вооружение даже одной дивизии, попытки получить подобную технику от союзников не удавались. Решили собирать и восстанавливать брошенные В-17 и В-24, а затем доукомплектовать ими полки 45-й авиадивизии дальнего действия, тогда единственного в нашей стране соединения четырехмоторных бомбардировщиков. Красная армия уже вошла на территорию стран Восточной Европы. Все чаще стали попадаться совершившие вынужденные посадки и брошенные экипажами английские и американские самолеты, в том числе и В-17. Первоначально работы по поиску и восстановлению таких машин велись самодеятельно, отдельными частями пли соединениями. Например, в Венгрии и Австрии сбором и восстановлением американских тяжелых бомбардировщиков сначала занимался 449-й бомбардировочный полк. Старший инженер полка Н.А.Кузьмин самостоятельно, без инструкций, изучил эти машины. За несколько дней он разобрался к устройстве моторов, приборов, агрегатов и систем, определил порядок их обслуживания и эксплуатации. С группой специалистов Кузьмин привел в порядок несколько бомбардировщиков. Машины продемонстрировали командующему 3-м Украинским фронтом маршалу Ф.И.Толбухину и командующему 17-й воздушной армией генералу В.А.Судцу, причем один В-17-в полете (3457,112).</w:t>
      </w:r>
    </w:p>
    <w:p w14:paraId="590BAF5C" w14:textId="77777777" w:rsidR="00665165" w:rsidRPr="00F90EAE" w:rsidRDefault="00665165" w:rsidP="00F90EAE">
      <w:pPr>
        <w:autoSpaceDE w:val="0"/>
        <w:autoSpaceDN w:val="0"/>
        <w:adjustRightInd w:val="0"/>
        <w:jc w:val="both"/>
        <w:rPr>
          <w:color w:val="000000" w:themeColor="text1"/>
          <w:sz w:val="16"/>
          <w:szCs w:val="16"/>
        </w:rPr>
      </w:pPr>
    </w:p>
    <w:p w14:paraId="30533A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 апреля 1945 года обязанность заниматься брошенными бомбардировщиками возложили па 18-ю воздушную армию. Но она начала искать такие машины для пополнения некомплекта в своих полках еще раньше (3457,117).</w:t>
      </w:r>
    </w:p>
    <w:p w14:paraId="03F672C6" w14:textId="77777777" w:rsidR="00665165" w:rsidRPr="00F90EAE" w:rsidRDefault="00665165" w:rsidP="00F90EAE">
      <w:pPr>
        <w:autoSpaceDE w:val="0"/>
        <w:autoSpaceDN w:val="0"/>
        <w:adjustRightInd w:val="0"/>
        <w:jc w:val="both"/>
        <w:rPr>
          <w:color w:val="000000" w:themeColor="text1"/>
          <w:sz w:val="16"/>
          <w:szCs w:val="16"/>
        </w:rPr>
      </w:pPr>
    </w:p>
    <w:p w14:paraId="209DC85C" w14:textId="77777777" w:rsidR="00665165" w:rsidRPr="00F90EAE" w:rsidRDefault="009104CE"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r w:rsidR="001561D1" w:rsidRPr="00F90EAE">
        <w:rPr>
          <w:i/>
          <w:iCs/>
          <w:color w:val="000000" w:themeColor="text1"/>
          <w:sz w:val="16"/>
          <w:szCs w:val="16"/>
        </w:rPr>
        <w:t>:</w:t>
      </w:r>
    </w:p>
    <w:p w14:paraId="601C2E43" w14:textId="77777777" w:rsidR="00665165" w:rsidRPr="00F90EAE" w:rsidRDefault="00665165" w:rsidP="00F90EAE">
      <w:pPr>
        <w:autoSpaceDE w:val="0"/>
        <w:autoSpaceDN w:val="0"/>
        <w:adjustRightInd w:val="0"/>
        <w:jc w:val="both"/>
        <w:rPr>
          <w:iCs/>
          <w:color w:val="000000" w:themeColor="text1"/>
          <w:sz w:val="16"/>
          <w:szCs w:val="16"/>
        </w:rPr>
      </w:pPr>
    </w:p>
    <w:p w14:paraId="3427AD10" w14:textId="77777777" w:rsidR="009104CE" w:rsidRPr="00F90EAE" w:rsidRDefault="009104CE" w:rsidP="00F90EAE">
      <w:pPr>
        <w:jc w:val="both"/>
        <w:rPr>
          <w:color w:val="000000" w:themeColor="text1"/>
          <w:sz w:val="16"/>
          <w:szCs w:val="16"/>
        </w:rPr>
      </w:pPr>
      <w:r w:rsidRPr="00F90EAE">
        <w:rPr>
          <w:color w:val="000000" w:themeColor="text1"/>
          <w:sz w:val="16"/>
          <w:szCs w:val="16"/>
        </w:rPr>
        <w:t>10 апреля 1945. Беседа Сталина с патриархом Алексием в присутствии митрополита Николая Крутицкого и протоиерея Иоанна Кол-чицкого. В беседе принимал участие также В. М. Молотов (18688).</w:t>
      </w:r>
    </w:p>
    <w:p w14:paraId="712707CA" w14:textId="77777777" w:rsidR="009104CE" w:rsidRPr="00F90EAE" w:rsidRDefault="009104CE" w:rsidP="00F90EAE">
      <w:pPr>
        <w:jc w:val="both"/>
        <w:rPr>
          <w:color w:val="000000" w:themeColor="text1"/>
          <w:sz w:val="16"/>
          <w:szCs w:val="16"/>
        </w:rPr>
      </w:pPr>
    </w:p>
    <w:p w14:paraId="0162CD71" w14:textId="77777777" w:rsidR="009104CE" w:rsidRPr="00F90EAE" w:rsidRDefault="009104CE"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67021AC" w14:textId="77777777" w:rsidR="009104CE" w:rsidRPr="00F90EAE" w:rsidRDefault="009104CE" w:rsidP="00F90EAE">
      <w:pPr>
        <w:autoSpaceDE w:val="0"/>
        <w:autoSpaceDN w:val="0"/>
        <w:adjustRightInd w:val="0"/>
        <w:jc w:val="both"/>
        <w:rPr>
          <w:iCs/>
          <w:color w:val="000000" w:themeColor="text1"/>
          <w:sz w:val="16"/>
          <w:szCs w:val="16"/>
        </w:rPr>
      </w:pPr>
    </w:p>
    <w:p w14:paraId="56C8911C" w14:textId="77777777" w:rsidR="00BF3067" w:rsidRPr="00F90EAE" w:rsidRDefault="00BF3067"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на Арадо Ar234В был выполнен последний боевой (разведывательный) вылет в Англию из Норвегии (2255).</w:t>
      </w:r>
    </w:p>
    <w:p w14:paraId="6773CB5E" w14:textId="77777777" w:rsidR="00BF3067" w:rsidRPr="00F90EAE" w:rsidRDefault="00BF3067" w:rsidP="00F90EAE">
      <w:pPr>
        <w:autoSpaceDE w:val="0"/>
        <w:autoSpaceDN w:val="0"/>
        <w:adjustRightInd w:val="0"/>
        <w:jc w:val="both"/>
        <w:rPr>
          <w:color w:val="000000" w:themeColor="text1"/>
          <w:sz w:val="16"/>
          <w:szCs w:val="16"/>
        </w:rPr>
      </w:pPr>
    </w:p>
    <w:p w14:paraId="7A7F92CF" w14:textId="77777777" w:rsidR="007D191E" w:rsidRPr="00F90EAE" w:rsidRDefault="007D191E" w:rsidP="00F90EAE">
      <w:pPr>
        <w:jc w:val="both"/>
        <w:rPr>
          <w:color w:val="0070C0"/>
          <w:sz w:val="16"/>
          <w:szCs w:val="16"/>
        </w:rPr>
      </w:pPr>
      <w:r w:rsidRPr="00F90EAE">
        <w:rPr>
          <w:color w:val="0070C0"/>
          <w:sz w:val="16"/>
          <w:szCs w:val="16"/>
        </w:rPr>
        <w:t>10 апреля 1945 Люфтваффе совершает последний вылет над Соединенным Королевством - разведывательную миссию из Норвегии на Arado Ar 234 (20371).</w:t>
      </w:r>
    </w:p>
    <w:p w14:paraId="0B3005D0" w14:textId="77777777" w:rsidR="007D191E" w:rsidRPr="00F90EAE" w:rsidRDefault="007D191E" w:rsidP="00F90EAE">
      <w:pPr>
        <w:jc w:val="both"/>
        <w:rPr>
          <w:color w:val="0070C0"/>
          <w:sz w:val="16"/>
          <w:szCs w:val="16"/>
        </w:rPr>
      </w:pPr>
    </w:p>
    <w:p w14:paraId="604DBA13" w14:textId="77777777" w:rsidR="00BF3067" w:rsidRPr="00F90EAE" w:rsidRDefault="00BF3067"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в ходе отражения атаки Ме-262 30 из 50 были сбиты (2255).</w:t>
      </w:r>
    </w:p>
    <w:p w14:paraId="20E85E72" w14:textId="77777777" w:rsidR="00BF3067" w:rsidRPr="00F90EAE" w:rsidRDefault="00BF3067" w:rsidP="00F90EAE">
      <w:pPr>
        <w:autoSpaceDE w:val="0"/>
        <w:autoSpaceDN w:val="0"/>
        <w:adjustRightInd w:val="0"/>
        <w:jc w:val="both"/>
        <w:rPr>
          <w:color w:val="000000" w:themeColor="text1"/>
          <w:sz w:val="16"/>
          <w:szCs w:val="16"/>
        </w:rPr>
      </w:pPr>
    </w:p>
    <w:p w14:paraId="0D7BF257" w14:textId="77777777" w:rsidR="00BF3067" w:rsidRPr="00F90EAE" w:rsidRDefault="00BF3067" w:rsidP="00F90EAE">
      <w:pPr>
        <w:jc w:val="both"/>
        <w:rPr>
          <w:color w:val="000000" w:themeColor="text1"/>
          <w:sz w:val="16"/>
          <w:szCs w:val="16"/>
        </w:rPr>
      </w:pPr>
      <w:r w:rsidRPr="00F90EAE">
        <w:rPr>
          <w:color w:val="000000" w:themeColor="text1"/>
          <w:sz w:val="16"/>
          <w:szCs w:val="16"/>
        </w:rPr>
        <w:t>10 апреля в 1945 году пилот «Me 163» лейтенант Келб объявил о победе, одержанной с помощью гранат «SG500» «Ягерфауст». В тот же день был сбит "Москито", летевший на высоте 14000 м. Его экипаж выпрыгнул на парашютах. После атаки пилот «Me 163» долго не мог найти свой аэродром, так далеко он улетел в горячке боя, но всё обошлось. К середине апреля боевая активность «Комет» снизилась, что объясняется отсутствием топлива. 22 апреля удалось заправить только три «Ме-163», которые сумели сбить один из 640 «Ланкастеров», шедших на задание. Из-за отсутствия топлива часть персонала была отправлена на сухопутный фронт, а всего к моменту капитуляции в подразделениях "Комет" числилось 80 «Ме-163» и 60 пилотов</w:t>
      </w:r>
    </w:p>
    <w:p w14:paraId="670CAC8D" w14:textId="77777777" w:rsidR="00BF3067" w:rsidRPr="00F90EAE" w:rsidRDefault="00BF3067" w:rsidP="00F90EAE">
      <w:pPr>
        <w:jc w:val="both"/>
        <w:rPr>
          <w:color w:val="000000" w:themeColor="text1"/>
          <w:sz w:val="16"/>
          <w:szCs w:val="16"/>
        </w:rPr>
      </w:pPr>
    </w:p>
    <w:p w14:paraId="6C4478DC" w14:textId="77777777" w:rsidR="00BF3067" w:rsidRPr="00F90EAE" w:rsidRDefault="00BF3067" w:rsidP="00F90EAE">
      <w:pPr>
        <w:jc w:val="both"/>
        <w:rPr>
          <w:color w:val="000000" w:themeColor="text1"/>
          <w:sz w:val="16"/>
          <w:szCs w:val="16"/>
        </w:rPr>
      </w:pPr>
      <w:r w:rsidRPr="00F90EAE">
        <w:rPr>
          <w:color w:val="000000" w:themeColor="text1"/>
          <w:sz w:val="16"/>
          <w:szCs w:val="16"/>
        </w:rPr>
        <w:t>10 апреля в 1945 году американские войска заняли Ганновер, однако дальнее наступление на Бремен было приостановлено по причине активной обороны немецких войск (15095).</w:t>
      </w:r>
    </w:p>
    <w:p w14:paraId="19DD6F62" w14:textId="77777777" w:rsidR="00BF3067" w:rsidRPr="00F90EAE" w:rsidRDefault="00BF3067" w:rsidP="00F90EAE">
      <w:pPr>
        <w:jc w:val="both"/>
        <w:rPr>
          <w:color w:val="000000" w:themeColor="text1"/>
          <w:sz w:val="16"/>
          <w:szCs w:val="16"/>
        </w:rPr>
      </w:pPr>
    </w:p>
    <w:p w14:paraId="5F06C5F6"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10 </w:t>
      </w:r>
      <w:r w:rsidRPr="00F90EAE">
        <w:rPr>
          <w:color w:val="000000" w:themeColor="text1"/>
          <w:sz w:val="16"/>
          <w:szCs w:val="16"/>
        </w:rPr>
        <w:t>апреля</w:t>
      </w:r>
      <w:r w:rsidRPr="00F90EAE">
        <w:rPr>
          <w:color w:val="000000" w:themeColor="text1"/>
          <w:sz w:val="16"/>
          <w:szCs w:val="16"/>
          <w:lang w:val="en-US"/>
        </w:rPr>
        <w:t xml:space="preserve"> 1945 </w:t>
      </w:r>
      <w:r w:rsidRPr="00F90EAE">
        <w:rPr>
          <w:color w:val="000000" w:themeColor="text1"/>
          <w:sz w:val="16"/>
          <w:szCs w:val="16"/>
        </w:rPr>
        <w:t>союзникиосвободилиБухенвальд</w:t>
      </w:r>
      <w:r w:rsidRPr="00F90EAE">
        <w:rPr>
          <w:color w:val="000000" w:themeColor="text1"/>
          <w:sz w:val="16"/>
          <w:szCs w:val="16"/>
          <w:lang w:val="en-US"/>
        </w:rPr>
        <w:t xml:space="preserve"> (2100).</w:t>
      </w:r>
    </w:p>
    <w:p w14:paraId="21E55386" w14:textId="77777777" w:rsidR="00665165" w:rsidRPr="00F90EAE" w:rsidRDefault="00665165" w:rsidP="00F90EAE">
      <w:pPr>
        <w:autoSpaceDE w:val="0"/>
        <w:autoSpaceDN w:val="0"/>
        <w:adjustRightInd w:val="0"/>
        <w:jc w:val="both"/>
        <w:rPr>
          <w:color w:val="000000" w:themeColor="text1"/>
          <w:sz w:val="16"/>
          <w:szCs w:val="16"/>
          <w:lang w:val="en-US"/>
        </w:rPr>
      </w:pPr>
    </w:p>
    <w:p w14:paraId="75C1F76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10th, 1945: The US Ninth Army (Simpson) captures Essen in the Ruhr. In another heavy attack against Kiel, the RAF sinks the heavy cruiser Admiral Scheer. The US 8th Air Force launches its heaviest raid to date (1,232 bombers) against Berlin (3819).</w:t>
      </w:r>
    </w:p>
    <w:p w14:paraId="2D3CD4FB" w14:textId="77777777" w:rsidR="00665165" w:rsidRPr="00F90EAE" w:rsidRDefault="00665165" w:rsidP="00F90EAE">
      <w:pPr>
        <w:autoSpaceDE w:val="0"/>
        <w:autoSpaceDN w:val="0"/>
        <w:adjustRightInd w:val="0"/>
        <w:jc w:val="both"/>
        <w:rPr>
          <w:color w:val="000000" w:themeColor="text1"/>
          <w:sz w:val="16"/>
          <w:szCs w:val="16"/>
          <w:lang w:val="en-US"/>
        </w:rPr>
      </w:pPr>
    </w:p>
    <w:p w14:paraId="11C35B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9А США (Симпсон) заняла Эссен в Руре. В ходе налета на Киль Королевские ВВС потопили тяжелый крейсер Адмирал Шеер. 8ВА США выполнила налет на Берлин силами 1232 б (3819).</w:t>
      </w:r>
    </w:p>
    <w:p w14:paraId="0E909DB0" w14:textId="77777777" w:rsidR="00665165" w:rsidRPr="00F90EAE" w:rsidRDefault="00665165" w:rsidP="00F90EAE">
      <w:pPr>
        <w:autoSpaceDE w:val="0"/>
        <w:autoSpaceDN w:val="0"/>
        <w:adjustRightInd w:val="0"/>
        <w:jc w:val="both"/>
        <w:rPr>
          <w:color w:val="000000" w:themeColor="text1"/>
          <w:sz w:val="16"/>
          <w:szCs w:val="16"/>
        </w:rPr>
      </w:pPr>
    </w:p>
    <w:p w14:paraId="5CFE3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 американцы освободили Ганновер, но немцы отбили наступление на Бремен (3807,256).</w:t>
      </w:r>
    </w:p>
    <w:p w14:paraId="1EA87CBF" w14:textId="77777777" w:rsidR="00665165" w:rsidRPr="00F90EAE" w:rsidRDefault="00665165" w:rsidP="00F90EAE">
      <w:pPr>
        <w:autoSpaceDE w:val="0"/>
        <w:autoSpaceDN w:val="0"/>
        <w:adjustRightInd w:val="0"/>
        <w:jc w:val="both"/>
        <w:rPr>
          <w:color w:val="000000" w:themeColor="text1"/>
          <w:sz w:val="16"/>
          <w:szCs w:val="16"/>
        </w:rPr>
      </w:pPr>
    </w:p>
    <w:p w14:paraId="40C6742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862713B" w14:textId="77777777" w:rsidR="00665165" w:rsidRPr="00F90EAE" w:rsidRDefault="00665165" w:rsidP="00F90EAE">
      <w:pPr>
        <w:autoSpaceDE w:val="0"/>
        <w:autoSpaceDN w:val="0"/>
        <w:adjustRightInd w:val="0"/>
        <w:jc w:val="both"/>
        <w:rPr>
          <w:iCs/>
          <w:color w:val="000000" w:themeColor="text1"/>
          <w:sz w:val="16"/>
          <w:szCs w:val="16"/>
        </w:rPr>
      </w:pPr>
    </w:p>
    <w:p w14:paraId="139EAA58"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 11 апреля 1945, согласно доклада Подлесецкого,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F90EAE">
        <w:rPr>
          <w:rStyle w:val="107"/>
          <w:rFonts w:eastAsiaTheme="minorHAnsi"/>
          <w:color w:val="000000" w:themeColor="text1"/>
          <w:sz w:val="16"/>
          <w:szCs w:val="16"/>
          <w:vertAlign w:val="subscript"/>
        </w:rPr>
        <w:t>2</w:t>
      </w:r>
      <w:r w:rsidRPr="00F90EAE">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48F9B781"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Известно, что по распоряжению генерал-лейтенанта Лапина были подготовлены соответствующие письма и 14 апреля направлены начальнику ГУЗ ВВС КА генерал-лейтенанту Селезневу и заместителю наркома авиапромышленности Кузнецову.</w:t>
      </w:r>
    </w:p>
    <w:p w14:paraId="2F0198EB" w14:textId="77777777" w:rsidR="00117BE3" w:rsidRPr="00F90EAE" w:rsidRDefault="00117BE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 (17490).</w:t>
      </w:r>
    </w:p>
    <w:p w14:paraId="6B544D07" w14:textId="77777777" w:rsidR="00117BE3" w:rsidRPr="00F90EAE" w:rsidRDefault="00117BE3" w:rsidP="00F90EAE">
      <w:pPr>
        <w:jc w:val="both"/>
        <w:rPr>
          <w:color w:val="000000" w:themeColor="text1"/>
          <w:sz w:val="16"/>
          <w:szCs w:val="16"/>
        </w:rPr>
      </w:pPr>
    </w:p>
    <w:p w14:paraId="1C1C07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был подготовлен Отчетный доклад 10 ГУ НКАП за 1945 (2482):</w:t>
      </w:r>
    </w:p>
    <w:p w14:paraId="7A5FFE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Совершенно оекретно</w:t>
      </w:r>
    </w:p>
    <w:p w14:paraId="4FBDB3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ОТЧЕТНЫЙ ДОКЛАД ДЕСЯТОГО ГЛАВНОГО УПРАВЛЕНИЯ НКАП за 1 9 4 4 год.</w:t>
      </w:r>
    </w:p>
    <w:p w14:paraId="3BAA1F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Состав заводов, охваченные годовым отчетом.</w:t>
      </w:r>
    </w:p>
    <w:p w14:paraId="088708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Сводным, годовым отчетом за 1944 год охвачена деятельность следующих заводов 10-го Главного Управления НКАП:</w:t>
      </w:r>
    </w:p>
    <w:p w14:paraId="3F5B2D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9-ти самолетостроительных заводов за №№ 1, 18, 22, 23, 30, 39, 34, 126, 477.</w:t>
      </w:r>
    </w:p>
    <w:p w14:paraId="27F78E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2-х заводов, изготавливающих бронезащиту для всех самолетостроительных заводов НКАП за да 125 и 207.</w:t>
      </w:r>
    </w:p>
    <w:p w14:paraId="5F2EE7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1-го агрегатного завода № 83.</w:t>
      </w:r>
    </w:p>
    <w:p w14:paraId="25698D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1-го сборочного завода № 456.</w:t>
      </w:r>
    </w:p>
    <w:p w14:paraId="5D5B35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2-х заводов по ремонту и сборке самолетов №№ 64 и 86</w:t>
      </w:r>
    </w:p>
    <w:p w14:paraId="0F10C9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1-го завода по производству изделий из аластмасс № 294.</w:t>
      </w:r>
    </w:p>
    <w:p w14:paraId="121B00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Таким образом, по сравнению о 1943 годом, количество произ</w:t>
      </w:r>
      <w:r w:rsidRPr="00F90EAE">
        <w:rPr>
          <w:color w:val="000000" w:themeColor="text1"/>
          <w:sz w:val="16"/>
          <w:szCs w:val="16"/>
        </w:rPr>
        <w:softHyphen/>
        <w:t>водственных единиц в составе 10-го Главного Управления з 1Э44 году увеличилось на 2 завода (№№ 64 и 86 ).</w:t>
      </w:r>
    </w:p>
    <w:p w14:paraId="30E3F4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Основные задачи 1944 года</w:t>
      </w:r>
    </w:p>
    <w:p w14:paraId="342E8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ГКО и НКАП перед заводами 10 ГУ на 1944 ставили задачи:</w:t>
      </w:r>
    </w:p>
    <w:p w14:paraId="772F4C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Обеспечение выпуска серийных самолетов улучшенного качества в необходимых количествах для нужд КА</w:t>
      </w:r>
    </w:p>
    <w:p w14:paraId="6C84D3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Внедрение в серийное производство новых улучшенных типов штурмовиков Ил-10 на заводах 1 и 18 и новых бомбардировщиков с повышенными ЛТД Ту-2 и Ер-2 на заводах 23 и 39.</w:t>
      </w:r>
    </w:p>
    <w:p w14:paraId="3EB6AF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Организация новых производственных баз на территории, занятой ранее противником (завода 64 и 86)...</w:t>
      </w:r>
    </w:p>
    <w:p w14:paraId="016A87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4.Организация собственной машиностроительной базы по производству гильотинных ножниц и стружкодробилок ( завод № 125 ) и ряд других работ.</w:t>
      </w:r>
    </w:p>
    <w:p w14:paraId="6ED33D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5.Дальнейшее увеличение производственных мощностей заводов,как путем непосредственного рассирения производ</w:t>
      </w:r>
      <w:r w:rsidRPr="00F90EAE">
        <w:rPr>
          <w:color w:val="000000" w:themeColor="text1"/>
          <w:sz w:val="16"/>
          <w:szCs w:val="16"/>
        </w:rPr>
        <w:softHyphen/>
        <w:t>ственной базы действующих заводов, так и внедрения в произ</w:t>
      </w:r>
      <w:r w:rsidRPr="00F90EAE">
        <w:rPr>
          <w:color w:val="000000" w:themeColor="text1"/>
          <w:sz w:val="16"/>
          <w:szCs w:val="16"/>
        </w:rPr>
        <w:softHyphen/>
        <w:t>водство более современных методов его организации и ра</w:t>
      </w:r>
      <w:r w:rsidRPr="00F90EAE">
        <w:rPr>
          <w:color w:val="000000" w:themeColor="text1"/>
          <w:sz w:val="16"/>
          <w:szCs w:val="16"/>
        </w:rPr>
        <w:softHyphen/>
        <w:t>ционализации существующих-технологических п оцеосов,повы</w:t>
      </w:r>
      <w:r w:rsidRPr="00F90EAE">
        <w:rPr>
          <w:color w:val="000000" w:themeColor="text1"/>
          <w:sz w:val="16"/>
          <w:szCs w:val="16"/>
        </w:rPr>
        <w:softHyphen/>
        <w:t>шающих производительность труда и снижающих себестоимость продукция.</w:t>
      </w:r>
    </w:p>
    <w:p w14:paraId="38DADC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Изыскание и мобилизация всех имеющихся на заводах резервов и включение их в производство.</w:t>
      </w:r>
    </w:p>
    <w:p w14:paraId="3F5523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 всеми этими задачами большинство заводов 10-го Главного Управления в 1944 году справилось успе-яо,что подтверждается следующими результатами ит работы за от</w:t>
      </w:r>
      <w:r w:rsidRPr="00F90EAE">
        <w:rPr>
          <w:color w:val="000000" w:themeColor="text1"/>
          <w:sz w:val="16"/>
          <w:szCs w:val="16"/>
        </w:rPr>
        <w:softHyphen/>
        <w:t>четный год.</w:t>
      </w:r>
    </w:p>
    <w:p w14:paraId="403FB1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Производство</w:t>
      </w:r>
    </w:p>
    <w:p w14:paraId="668876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Выполнение производственного плана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3969"/>
      </w:tblGrid>
      <w:tr w:rsidR="00561F31" w:rsidRPr="00F90EAE" w14:paraId="7B1FA2DA" w14:textId="77777777">
        <w:tc>
          <w:tcPr>
            <w:tcW w:w="2093" w:type="dxa"/>
          </w:tcPr>
          <w:p w14:paraId="1C2B7D6A"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4B76FA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3969" w:type="dxa"/>
          </w:tcPr>
          <w:p w14:paraId="2E7FE2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w:t>
            </w:r>
          </w:p>
        </w:tc>
      </w:tr>
      <w:tr w:rsidR="00561F31" w:rsidRPr="00F90EAE" w14:paraId="1600A635" w14:textId="77777777">
        <w:tc>
          <w:tcPr>
            <w:tcW w:w="2093" w:type="dxa"/>
          </w:tcPr>
          <w:p w14:paraId="07B78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Самолеты</w:t>
            </w:r>
          </w:p>
        </w:tc>
        <w:tc>
          <w:tcPr>
            <w:tcW w:w="2410" w:type="dxa"/>
          </w:tcPr>
          <w:p w14:paraId="2762C1C5" w14:textId="77777777" w:rsidR="00665165" w:rsidRPr="00F90EAE" w:rsidRDefault="00665165" w:rsidP="00F90EAE">
            <w:pPr>
              <w:autoSpaceDE w:val="0"/>
              <w:autoSpaceDN w:val="0"/>
              <w:adjustRightInd w:val="0"/>
              <w:jc w:val="both"/>
              <w:rPr>
                <w:color w:val="000000" w:themeColor="text1"/>
                <w:sz w:val="16"/>
                <w:szCs w:val="16"/>
              </w:rPr>
            </w:pPr>
          </w:p>
        </w:tc>
        <w:tc>
          <w:tcPr>
            <w:tcW w:w="3969" w:type="dxa"/>
          </w:tcPr>
          <w:p w14:paraId="12B0718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ADF9BDA" w14:textId="77777777">
        <w:tc>
          <w:tcPr>
            <w:tcW w:w="2093" w:type="dxa"/>
          </w:tcPr>
          <w:p w14:paraId="31F50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готовых к бою</w:t>
            </w:r>
          </w:p>
        </w:tc>
        <w:tc>
          <w:tcPr>
            <w:tcW w:w="2410" w:type="dxa"/>
          </w:tcPr>
          <w:p w14:paraId="204F7C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15995</w:t>
            </w:r>
          </w:p>
        </w:tc>
        <w:tc>
          <w:tcPr>
            <w:tcW w:w="3969" w:type="dxa"/>
          </w:tcPr>
          <w:p w14:paraId="245DBB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15814</w:t>
            </w:r>
          </w:p>
        </w:tc>
      </w:tr>
      <w:tr w:rsidR="00561F31" w:rsidRPr="00F90EAE" w14:paraId="17220286" w14:textId="77777777">
        <w:tc>
          <w:tcPr>
            <w:tcW w:w="2093" w:type="dxa"/>
          </w:tcPr>
          <w:p w14:paraId="2F6AD8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штурмовиков</w:t>
            </w:r>
          </w:p>
        </w:tc>
        <w:tc>
          <w:tcPr>
            <w:tcW w:w="2410" w:type="dxa"/>
          </w:tcPr>
          <w:p w14:paraId="30ED88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11002</w:t>
            </w:r>
          </w:p>
        </w:tc>
        <w:tc>
          <w:tcPr>
            <w:tcW w:w="3969" w:type="dxa"/>
          </w:tcPr>
          <w:p w14:paraId="238A99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11018</w:t>
            </w:r>
          </w:p>
        </w:tc>
      </w:tr>
      <w:tr w:rsidR="00561F31" w:rsidRPr="00F90EAE" w14:paraId="34E12612" w14:textId="77777777">
        <w:tc>
          <w:tcPr>
            <w:tcW w:w="2093" w:type="dxa"/>
          </w:tcPr>
          <w:p w14:paraId="0EC79F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учебных</w:t>
            </w:r>
          </w:p>
        </w:tc>
        <w:tc>
          <w:tcPr>
            <w:tcW w:w="2410" w:type="dxa"/>
          </w:tcPr>
          <w:p w14:paraId="1B42B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370</w:t>
            </w:r>
          </w:p>
        </w:tc>
        <w:tc>
          <w:tcPr>
            <w:tcW w:w="3969" w:type="dxa"/>
          </w:tcPr>
          <w:p w14:paraId="6981D5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r>
      <w:tr w:rsidR="00561F31" w:rsidRPr="00F90EAE" w14:paraId="5888A977" w14:textId="77777777">
        <w:tc>
          <w:tcPr>
            <w:tcW w:w="2093" w:type="dxa"/>
          </w:tcPr>
          <w:p w14:paraId="3C7E49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корректировщиков</w:t>
            </w:r>
          </w:p>
        </w:tc>
        <w:tc>
          <w:tcPr>
            <w:tcW w:w="2410" w:type="dxa"/>
          </w:tcPr>
          <w:p w14:paraId="53D18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3969" w:type="dxa"/>
          </w:tcPr>
          <w:p w14:paraId="28B23A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r>
      <w:tr w:rsidR="00561F31" w:rsidRPr="00F90EAE" w14:paraId="78CB30D1" w14:textId="77777777">
        <w:tc>
          <w:tcPr>
            <w:tcW w:w="2093" w:type="dxa"/>
          </w:tcPr>
          <w:p w14:paraId="0DDA26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бомбардировщиков</w:t>
            </w:r>
          </w:p>
        </w:tc>
        <w:tc>
          <w:tcPr>
            <w:tcW w:w="2410" w:type="dxa"/>
          </w:tcPr>
          <w:p w14:paraId="04F58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4377</w:t>
            </w:r>
          </w:p>
        </w:tc>
        <w:tc>
          <w:tcPr>
            <w:tcW w:w="3969" w:type="dxa"/>
          </w:tcPr>
          <w:p w14:paraId="5A9748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4149</w:t>
            </w:r>
          </w:p>
        </w:tc>
      </w:tr>
      <w:tr w:rsidR="00561F31" w:rsidRPr="00F90EAE" w14:paraId="5DC72B59" w14:textId="77777777">
        <w:tc>
          <w:tcPr>
            <w:tcW w:w="2093" w:type="dxa"/>
          </w:tcPr>
          <w:p w14:paraId="261CAF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учебных</w:t>
            </w:r>
          </w:p>
        </w:tc>
        <w:tc>
          <w:tcPr>
            <w:tcW w:w="2410" w:type="dxa"/>
          </w:tcPr>
          <w:p w14:paraId="357EBE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c>
          <w:tcPr>
            <w:tcW w:w="3969" w:type="dxa"/>
          </w:tcPr>
          <w:p w14:paraId="5A5083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w:t>
            </w:r>
          </w:p>
        </w:tc>
      </w:tr>
      <w:tr w:rsidR="00561F31" w:rsidRPr="00F90EAE" w14:paraId="1B55BD6B" w14:textId="77777777">
        <w:tc>
          <w:tcPr>
            <w:tcW w:w="2093" w:type="dxa"/>
          </w:tcPr>
          <w:p w14:paraId="3CD6E9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боевых</w:t>
            </w:r>
          </w:p>
        </w:tc>
        <w:tc>
          <w:tcPr>
            <w:tcW w:w="2410" w:type="dxa"/>
          </w:tcPr>
          <w:p w14:paraId="1BB650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15379</w:t>
            </w:r>
          </w:p>
        </w:tc>
        <w:tc>
          <w:tcPr>
            <w:tcW w:w="3969" w:type="dxa"/>
          </w:tcPr>
          <w:p w14:paraId="3C2966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15167</w:t>
            </w:r>
          </w:p>
        </w:tc>
      </w:tr>
      <w:tr w:rsidR="00561F31" w:rsidRPr="00F90EAE" w14:paraId="6B9DCAA2" w14:textId="77777777">
        <w:tc>
          <w:tcPr>
            <w:tcW w:w="2093" w:type="dxa"/>
          </w:tcPr>
          <w:p w14:paraId="43506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транспортных и проч.</w:t>
            </w:r>
          </w:p>
        </w:tc>
        <w:tc>
          <w:tcPr>
            <w:tcW w:w="2410" w:type="dxa"/>
          </w:tcPr>
          <w:p w14:paraId="7E163B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3969" w:type="dxa"/>
          </w:tcPr>
          <w:p w14:paraId="35F3F8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647 (в т.ч. 20 Бе-4, сданных 477 сверх плана на 1944)</w:t>
            </w:r>
          </w:p>
        </w:tc>
      </w:tr>
      <w:tr w:rsidR="00561F31" w:rsidRPr="00F90EAE" w14:paraId="73F3A1AF" w14:textId="77777777">
        <w:tc>
          <w:tcPr>
            <w:tcW w:w="2093" w:type="dxa"/>
          </w:tcPr>
          <w:p w14:paraId="1F739F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по оконч. сборке</w:t>
            </w:r>
          </w:p>
        </w:tc>
        <w:tc>
          <w:tcPr>
            <w:tcW w:w="2410" w:type="dxa"/>
          </w:tcPr>
          <w:p w14:paraId="31AB01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15995</w:t>
            </w:r>
          </w:p>
        </w:tc>
        <w:tc>
          <w:tcPr>
            <w:tcW w:w="3969" w:type="dxa"/>
          </w:tcPr>
          <w:p w14:paraId="08565B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15956</w:t>
            </w:r>
          </w:p>
        </w:tc>
      </w:tr>
      <w:tr w:rsidR="00561F31" w:rsidRPr="00F90EAE" w14:paraId="5B9D0717" w14:textId="77777777">
        <w:tc>
          <w:tcPr>
            <w:tcW w:w="2093" w:type="dxa"/>
          </w:tcPr>
          <w:p w14:paraId="648EB1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штурмовиков</w:t>
            </w:r>
          </w:p>
        </w:tc>
        <w:tc>
          <w:tcPr>
            <w:tcW w:w="2410" w:type="dxa"/>
          </w:tcPr>
          <w:p w14:paraId="513AA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11002</w:t>
            </w:r>
          </w:p>
        </w:tc>
        <w:tc>
          <w:tcPr>
            <w:tcW w:w="3969" w:type="dxa"/>
          </w:tcPr>
          <w:p w14:paraId="52C49B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11110</w:t>
            </w:r>
          </w:p>
        </w:tc>
      </w:tr>
      <w:tr w:rsidR="00561F31" w:rsidRPr="00F90EAE" w14:paraId="15339F58" w14:textId="77777777">
        <w:tc>
          <w:tcPr>
            <w:tcW w:w="2093" w:type="dxa"/>
          </w:tcPr>
          <w:p w14:paraId="3225DC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бомбардировщиков</w:t>
            </w:r>
          </w:p>
        </w:tc>
        <w:tc>
          <w:tcPr>
            <w:tcW w:w="2410" w:type="dxa"/>
          </w:tcPr>
          <w:p w14:paraId="719AC0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4377</w:t>
            </w:r>
          </w:p>
        </w:tc>
        <w:tc>
          <w:tcPr>
            <w:tcW w:w="3969" w:type="dxa"/>
          </w:tcPr>
          <w:p w14:paraId="58E646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4200</w:t>
            </w:r>
          </w:p>
        </w:tc>
      </w:tr>
      <w:tr w:rsidR="00561F31" w:rsidRPr="00F90EAE" w14:paraId="606ED432" w14:textId="77777777">
        <w:tc>
          <w:tcPr>
            <w:tcW w:w="2093" w:type="dxa"/>
          </w:tcPr>
          <w:p w14:paraId="7874A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боевых</w:t>
            </w:r>
          </w:p>
        </w:tc>
        <w:tc>
          <w:tcPr>
            <w:tcW w:w="2410" w:type="dxa"/>
          </w:tcPr>
          <w:p w14:paraId="2DB7D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15379</w:t>
            </w:r>
          </w:p>
        </w:tc>
        <w:tc>
          <w:tcPr>
            <w:tcW w:w="3969" w:type="dxa"/>
          </w:tcPr>
          <w:p w14:paraId="012E18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15310</w:t>
            </w:r>
          </w:p>
        </w:tc>
      </w:tr>
      <w:tr w:rsidR="00561F31" w:rsidRPr="00F90EAE" w14:paraId="0D1690C9" w14:textId="77777777">
        <w:tc>
          <w:tcPr>
            <w:tcW w:w="2093" w:type="dxa"/>
          </w:tcPr>
          <w:p w14:paraId="16CF59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транспортных и проч.</w:t>
            </w:r>
          </w:p>
        </w:tc>
        <w:tc>
          <w:tcPr>
            <w:tcW w:w="2410" w:type="dxa"/>
          </w:tcPr>
          <w:p w14:paraId="2B9674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3969" w:type="dxa"/>
          </w:tcPr>
          <w:p w14:paraId="4606C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646 (в т.ч. 20 Бе-4, сданных 477 сверх плана на 1944)</w:t>
            </w:r>
          </w:p>
        </w:tc>
      </w:tr>
      <w:tr w:rsidR="00561F31" w:rsidRPr="00F90EAE" w14:paraId="34CADB32" w14:textId="77777777">
        <w:tc>
          <w:tcPr>
            <w:tcW w:w="2093" w:type="dxa"/>
          </w:tcPr>
          <w:p w14:paraId="35BD1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Бронеизделий</w:t>
            </w:r>
          </w:p>
        </w:tc>
        <w:tc>
          <w:tcPr>
            <w:tcW w:w="2410" w:type="dxa"/>
          </w:tcPr>
          <w:p w14:paraId="32B92121" w14:textId="77777777" w:rsidR="00665165" w:rsidRPr="00F90EAE" w:rsidRDefault="00665165" w:rsidP="00F90EAE">
            <w:pPr>
              <w:autoSpaceDE w:val="0"/>
              <w:autoSpaceDN w:val="0"/>
              <w:adjustRightInd w:val="0"/>
              <w:jc w:val="both"/>
              <w:rPr>
                <w:color w:val="000000" w:themeColor="text1"/>
                <w:sz w:val="16"/>
                <w:szCs w:val="16"/>
              </w:rPr>
            </w:pPr>
          </w:p>
        </w:tc>
        <w:tc>
          <w:tcPr>
            <w:tcW w:w="3969" w:type="dxa"/>
          </w:tcPr>
          <w:p w14:paraId="0338CAD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1BB9C2E" w14:textId="77777777">
        <w:tc>
          <w:tcPr>
            <w:tcW w:w="2093" w:type="dxa"/>
          </w:tcPr>
          <w:p w14:paraId="6547EA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Бронекорпусов Ил-2</w:t>
            </w:r>
          </w:p>
        </w:tc>
        <w:tc>
          <w:tcPr>
            <w:tcW w:w="2410" w:type="dxa"/>
          </w:tcPr>
          <w:p w14:paraId="12F75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10510</w:t>
            </w:r>
          </w:p>
        </w:tc>
        <w:tc>
          <w:tcPr>
            <w:tcW w:w="3969" w:type="dxa"/>
          </w:tcPr>
          <w:p w14:paraId="3566BF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10749</w:t>
            </w:r>
          </w:p>
        </w:tc>
      </w:tr>
      <w:tr w:rsidR="00561F31" w:rsidRPr="00F90EAE" w14:paraId="4E434472" w14:textId="77777777">
        <w:tc>
          <w:tcPr>
            <w:tcW w:w="2093" w:type="dxa"/>
          </w:tcPr>
          <w:p w14:paraId="556357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Бронезащиты</w:t>
            </w:r>
          </w:p>
        </w:tc>
        <w:tc>
          <w:tcPr>
            <w:tcW w:w="2410" w:type="dxa"/>
          </w:tcPr>
          <w:p w14:paraId="5F1B96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3085</w:t>
            </w:r>
          </w:p>
        </w:tc>
        <w:tc>
          <w:tcPr>
            <w:tcW w:w="3969" w:type="dxa"/>
          </w:tcPr>
          <w:p w14:paraId="40566A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3081</w:t>
            </w:r>
          </w:p>
        </w:tc>
      </w:tr>
      <w:tr w:rsidR="00561F31" w:rsidRPr="00F90EAE" w14:paraId="54CC81A8" w14:textId="77777777">
        <w:tc>
          <w:tcPr>
            <w:tcW w:w="2093" w:type="dxa"/>
          </w:tcPr>
          <w:p w14:paraId="05A5A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Бронеспинок</w:t>
            </w:r>
          </w:p>
        </w:tc>
        <w:tc>
          <w:tcPr>
            <w:tcW w:w="2410" w:type="dxa"/>
          </w:tcPr>
          <w:p w14:paraId="3F383D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9460</w:t>
            </w:r>
          </w:p>
        </w:tc>
        <w:tc>
          <w:tcPr>
            <w:tcW w:w="3969" w:type="dxa"/>
          </w:tcPr>
          <w:p w14:paraId="6B9BD8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9597 (2482)</w:t>
            </w:r>
          </w:p>
        </w:tc>
      </w:tr>
    </w:tbl>
    <w:p w14:paraId="4496F2DB" w14:textId="77777777" w:rsidR="00665165" w:rsidRPr="00F90EAE" w:rsidRDefault="00665165" w:rsidP="00F90EAE">
      <w:pPr>
        <w:autoSpaceDE w:val="0"/>
        <w:autoSpaceDN w:val="0"/>
        <w:adjustRightInd w:val="0"/>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410"/>
        <w:gridCol w:w="945"/>
        <w:gridCol w:w="945"/>
        <w:gridCol w:w="945"/>
        <w:gridCol w:w="1135"/>
      </w:tblGrid>
      <w:tr w:rsidR="00561F31" w:rsidRPr="00F90EAE" w14:paraId="5C029FB0" w14:textId="77777777">
        <w:tc>
          <w:tcPr>
            <w:tcW w:w="2093" w:type="dxa"/>
          </w:tcPr>
          <w:p w14:paraId="6DEF9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N завода</w:t>
            </w:r>
          </w:p>
        </w:tc>
        <w:tc>
          <w:tcPr>
            <w:tcW w:w="2410" w:type="dxa"/>
          </w:tcPr>
          <w:p w14:paraId="1BECD4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945" w:type="dxa"/>
          </w:tcPr>
          <w:p w14:paraId="67918F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945" w:type="dxa"/>
          </w:tcPr>
          <w:p w14:paraId="563E32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Сборка</w:t>
            </w:r>
          </w:p>
        </w:tc>
        <w:tc>
          <w:tcPr>
            <w:tcW w:w="945" w:type="dxa"/>
          </w:tcPr>
          <w:p w14:paraId="2B215D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1943</w:t>
            </w:r>
          </w:p>
        </w:tc>
        <w:tc>
          <w:tcPr>
            <w:tcW w:w="1135" w:type="dxa"/>
          </w:tcPr>
          <w:p w14:paraId="3A11E8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Гот./бою</w:t>
            </w:r>
          </w:p>
        </w:tc>
      </w:tr>
      <w:tr w:rsidR="00561F31" w:rsidRPr="00F90EAE" w14:paraId="4507125B" w14:textId="77777777">
        <w:tc>
          <w:tcPr>
            <w:tcW w:w="2093" w:type="dxa"/>
          </w:tcPr>
          <w:p w14:paraId="6BB506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2410" w:type="dxa"/>
          </w:tcPr>
          <w:p w14:paraId="1AB97FCD"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5968A487"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1E7CACB5"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FFA512E"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310918B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57DD0D8" w14:textId="77777777">
        <w:tc>
          <w:tcPr>
            <w:tcW w:w="2093" w:type="dxa"/>
          </w:tcPr>
          <w:p w14:paraId="3B5805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2410" w:type="dxa"/>
          </w:tcPr>
          <w:p w14:paraId="3AC59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АМ-38Ф</w:t>
            </w:r>
          </w:p>
        </w:tc>
        <w:tc>
          <w:tcPr>
            <w:tcW w:w="945" w:type="dxa"/>
          </w:tcPr>
          <w:p w14:paraId="49C36E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3472</w:t>
            </w:r>
          </w:p>
        </w:tc>
        <w:tc>
          <w:tcPr>
            <w:tcW w:w="945" w:type="dxa"/>
          </w:tcPr>
          <w:p w14:paraId="69673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3570</w:t>
            </w:r>
          </w:p>
        </w:tc>
        <w:tc>
          <w:tcPr>
            <w:tcW w:w="945" w:type="dxa"/>
          </w:tcPr>
          <w:p w14:paraId="38037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5" w:type="dxa"/>
          </w:tcPr>
          <w:p w14:paraId="7742B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3592</w:t>
            </w:r>
          </w:p>
        </w:tc>
      </w:tr>
      <w:tr w:rsidR="00561F31" w:rsidRPr="00F90EAE" w14:paraId="4E7EC279" w14:textId="77777777">
        <w:tc>
          <w:tcPr>
            <w:tcW w:w="2093" w:type="dxa"/>
          </w:tcPr>
          <w:p w14:paraId="56C1D532"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651CB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 АМ-42</w:t>
            </w:r>
          </w:p>
        </w:tc>
        <w:tc>
          <w:tcPr>
            <w:tcW w:w="945" w:type="dxa"/>
          </w:tcPr>
          <w:p w14:paraId="1A1D4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945" w:type="dxa"/>
          </w:tcPr>
          <w:p w14:paraId="70D6C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149</w:t>
            </w:r>
          </w:p>
        </w:tc>
        <w:tc>
          <w:tcPr>
            <w:tcW w:w="945" w:type="dxa"/>
          </w:tcPr>
          <w:p w14:paraId="799153A8"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57435E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r>
      <w:tr w:rsidR="00561F31" w:rsidRPr="00F90EAE" w14:paraId="0CEB3FA3" w14:textId="77777777">
        <w:tc>
          <w:tcPr>
            <w:tcW w:w="2093" w:type="dxa"/>
          </w:tcPr>
          <w:p w14:paraId="6FF775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2410" w:type="dxa"/>
          </w:tcPr>
          <w:p w14:paraId="0360856F"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8EB9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3697</w:t>
            </w:r>
          </w:p>
        </w:tc>
        <w:tc>
          <w:tcPr>
            <w:tcW w:w="945" w:type="dxa"/>
          </w:tcPr>
          <w:p w14:paraId="70B337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3710</w:t>
            </w:r>
          </w:p>
        </w:tc>
        <w:tc>
          <w:tcPr>
            <w:tcW w:w="945" w:type="dxa"/>
          </w:tcPr>
          <w:p w14:paraId="2662C3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87.4</w:t>
            </w:r>
          </w:p>
        </w:tc>
        <w:tc>
          <w:tcPr>
            <w:tcW w:w="1135" w:type="dxa"/>
          </w:tcPr>
          <w:p w14:paraId="35EAD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3648</w:t>
            </w:r>
          </w:p>
        </w:tc>
      </w:tr>
      <w:tr w:rsidR="00561F31" w:rsidRPr="00F90EAE" w14:paraId="23F1DD00" w14:textId="77777777">
        <w:tc>
          <w:tcPr>
            <w:tcW w:w="2093" w:type="dxa"/>
          </w:tcPr>
          <w:p w14:paraId="37F517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2410" w:type="dxa"/>
          </w:tcPr>
          <w:p w14:paraId="508C8D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АМ-38Ф</w:t>
            </w:r>
          </w:p>
        </w:tc>
        <w:tc>
          <w:tcPr>
            <w:tcW w:w="945" w:type="dxa"/>
          </w:tcPr>
          <w:p w14:paraId="3B0D7F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3789</w:t>
            </w:r>
          </w:p>
        </w:tc>
        <w:tc>
          <w:tcPr>
            <w:tcW w:w="945" w:type="dxa"/>
          </w:tcPr>
          <w:p w14:paraId="0FD5AB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3941</w:t>
            </w:r>
          </w:p>
        </w:tc>
        <w:tc>
          <w:tcPr>
            <w:tcW w:w="945" w:type="dxa"/>
          </w:tcPr>
          <w:p w14:paraId="1314F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5" w:type="dxa"/>
          </w:tcPr>
          <w:p w14:paraId="25DCD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3971</w:t>
            </w:r>
          </w:p>
        </w:tc>
      </w:tr>
      <w:tr w:rsidR="00561F31" w:rsidRPr="00F90EAE" w14:paraId="4CDA3DC1" w14:textId="77777777">
        <w:tc>
          <w:tcPr>
            <w:tcW w:w="2093" w:type="dxa"/>
          </w:tcPr>
          <w:p w14:paraId="10B813C8"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00DB9D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 АМ-42</w:t>
            </w:r>
          </w:p>
        </w:tc>
        <w:tc>
          <w:tcPr>
            <w:tcW w:w="945" w:type="dxa"/>
          </w:tcPr>
          <w:p w14:paraId="04407E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945" w:type="dxa"/>
          </w:tcPr>
          <w:p w14:paraId="3947E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945" w:type="dxa"/>
          </w:tcPr>
          <w:p w14:paraId="16C4338F"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7FFAA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r>
      <w:tr w:rsidR="00561F31" w:rsidRPr="00F90EAE" w14:paraId="04792E8A" w14:textId="77777777">
        <w:tc>
          <w:tcPr>
            <w:tcW w:w="2093" w:type="dxa"/>
          </w:tcPr>
          <w:p w14:paraId="6B7FEF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2410" w:type="dxa"/>
          </w:tcPr>
          <w:p w14:paraId="262156C3"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680A45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4014</w:t>
            </w:r>
          </w:p>
        </w:tc>
        <w:tc>
          <w:tcPr>
            <w:tcW w:w="945" w:type="dxa"/>
          </w:tcPr>
          <w:p w14:paraId="6D1108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4014</w:t>
            </w:r>
          </w:p>
        </w:tc>
        <w:tc>
          <w:tcPr>
            <w:tcW w:w="945" w:type="dxa"/>
          </w:tcPr>
          <w:p w14:paraId="41817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85.4</w:t>
            </w:r>
          </w:p>
        </w:tc>
        <w:tc>
          <w:tcPr>
            <w:tcW w:w="1135" w:type="dxa"/>
          </w:tcPr>
          <w:p w14:paraId="1F8320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4014</w:t>
            </w:r>
          </w:p>
        </w:tc>
      </w:tr>
      <w:tr w:rsidR="00561F31" w:rsidRPr="00F90EAE" w14:paraId="09B53273" w14:textId="77777777">
        <w:tc>
          <w:tcPr>
            <w:tcW w:w="2093" w:type="dxa"/>
          </w:tcPr>
          <w:p w14:paraId="37FB1E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2410" w:type="dxa"/>
          </w:tcPr>
          <w:p w14:paraId="37C281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АМ-38Ф</w:t>
            </w:r>
          </w:p>
        </w:tc>
        <w:tc>
          <w:tcPr>
            <w:tcW w:w="945" w:type="dxa"/>
          </w:tcPr>
          <w:p w14:paraId="3C00A8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3291</w:t>
            </w:r>
          </w:p>
        </w:tc>
        <w:tc>
          <w:tcPr>
            <w:tcW w:w="945" w:type="dxa"/>
          </w:tcPr>
          <w:p w14:paraId="00562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3377</w:t>
            </w:r>
          </w:p>
        </w:tc>
        <w:tc>
          <w:tcPr>
            <w:tcW w:w="945" w:type="dxa"/>
          </w:tcPr>
          <w:p w14:paraId="039C61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151.2</w:t>
            </w:r>
          </w:p>
        </w:tc>
        <w:tc>
          <w:tcPr>
            <w:tcW w:w="1135" w:type="dxa"/>
          </w:tcPr>
          <w:p w14:paraId="215660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3356</w:t>
            </w:r>
          </w:p>
        </w:tc>
      </w:tr>
      <w:tr w:rsidR="00561F31" w:rsidRPr="00F90EAE" w14:paraId="2B49DBBF" w14:textId="77777777">
        <w:tc>
          <w:tcPr>
            <w:tcW w:w="2093" w:type="dxa"/>
          </w:tcPr>
          <w:p w14:paraId="075D0F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2410" w:type="dxa"/>
          </w:tcPr>
          <w:p w14:paraId="182D44E8"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1BB936F6"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B7E3FD1"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562F8DA"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60F17CB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E942967" w14:textId="77777777">
        <w:tc>
          <w:tcPr>
            <w:tcW w:w="2093" w:type="dxa"/>
          </w:tcPr>
          <w:p w14:paraId="4B8002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2410" w:type="dxa"/>
          </w:tcPr>
          <w:p w14:paraId="08DF95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2ВК-105ПФ</w:t>
            </w:r>
          </w:p>
        </w:tc>
        <w:tc>
          <w:tcPr>
            <w:tcW w:w="945" w:type="dxa"/>
          </w:tcPr>
          <w:p w14:paraId="046C5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2907</w:t>
            </w:r>
          </w:p>
        </w:tc>
        <w:tc>
          <w:tcPr>
            <w:tcW w:w="945" w:type="dxa"/>
          </w:tcPr>
          <w:p w14:paraId="4AC354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2945</w:t>
            </w:r>
          </w:p>
        </w:tc>
        <w:tc>
          <w:tcPr>
            <w:tcW w:w="945" w:type="dxa"/>
          </w:tcPr>
          <w:p w14:paraId="42863729"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31FEFF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2929</w:t>
            </w:r>
          </w:p>
        </w:tc>
      </w:tr>
      <w:tr w:rsidR="00561F31" w:rsidRPr="00F90EAE" w14:paraId="2352E0B3" w14:textId="77777777">
        <w:tc>
          <w:tcPr>
            <w:tcW w:w="2093" w:type="dxa"/>
          </w:tcPr>
          <w:p w14:paraId="35050965"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1D462B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Пе-3 2ВК-105ПФ</w:t>
            </w:r>
          </w:p>
        </w:tc>
        <w:tc>
          <w:tcPr>
            <w:tcW w:w="945" w:type="dxa"/>
          </w:tcPr>
          <w:p w14:paraId="27F716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945" w:type="dxa"/>
          </w:tcPr>
          <w:p w14:paraId="4D268F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945" w:type="dxa"/>
          </w:tcPr>
          <w:p w14:paraId="5B4DB709"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4F73AA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r>
      <w:tr w:rsidR="00561F31" w:rsidRPr="00F90EAE" w14:paraId="613350BF" w14:textId="77777777">
        <w:tc>
          <w:tcPr>
            <w:tcW w:w="2093" w:type="dxa"/>
          </w:tcPr>
          <w:p w14:paraId="3D8300A7"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65BCE7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4АШ-82ФН</w:t>
            </w:r>
          </w:p>
        </w:tc>
        <w:tc>
          <w:tcPr>
            <w:tcW w:w="945" w:type="dxa"/>
          </w:tcPr>
          <w:p w14:paraId="1B0621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945" w:type="dxa"/>
          </w:tcPr>
          <w:p w14:paraId="552CD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945" w:type="dxa"/>
          </w:tcPr>
          <w:p w14:paraId="34D600CB"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10E94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6172445A" w14:textId="77777777">
        <w:tc>
          <w:tcPr>
            <w:tcW w:w="2093" w:type="dxa"/>
          </w:tcPr>
          <w:p w14:paraId="08ADA3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2410" w:type="dxa"/>
          </w:tcPr>
          <w:p w14:paraId="0858DB00"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53D63B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2968</w:t>
            </w:r>
          </w:p>
        </w:tc>
        <w:tc>
          <w:tcPr>
            <w:tcW w:w="945" w:type="dxa"/>
          </w:tcPr>
          <w:p w14:paraId="5CB89F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2968</w:t>
            </w:r>
          </w:p>
        </w:tc>
        <w:tc>
          <w:tcPr>
            <w:tcW w:w="945" w:type="dxa"/>
          </w:tcPr>
          <w:p w14:paraId="31DAC2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w:t>
            </w:r>
          </w:p>
        </w:tc>
        <w:tc>
          <w:tcPr>
            <w:tcW w:w="1135" w:type="dxa"/>
          </w:tcPr>
          <w:p w14:paraId="306D0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2954</w:t>
            </w:r>
          </w:p>
        </w:tc>
      </w:tr>
      <w:tr w:rsidR="00561F31" w:rsidRPr="00F90EAE" w14:paraId="1F5ACB5E" w14:textId="77777777">
        <w:tc>
          <w:tcPr>
            <w:tcW w:w="2093" w:type="dxa"/>
          </w:tcPr>
          <w:p w14:paraId="77B50C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2410" w:type="dxa"/>
          </w:tcPr>
          <w:p w14:paraId="77AF9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 2АШ-82ФН</w:t>
            </w:r>
          </w:p>
        </w:tc>
        <w:tc>
          <w:tcPr>
            <w:tcW w:w="945" w:type="dxa"/>
          </w:tcPr>
          <w:p w14:paraId="266522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453</w:t>
            </w:r>
          </w:p>
        </w:tc>
        <w:tc>
          <w:tcPr>
            <w:tcW w:w="945" w:type="dxa"/>
          </w:tcPr>
          <w:p w14:paraId="10EBCD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378</w:t>
            </w:r>
          </w:p>
        </w:tc>
        <w:tc>
          <w:tcPr>
            <w:tcW w:w="945" w:type="dxa"/>
          </w:tcPr>
          <w:p w14:paraId="413F0845"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2A2D1A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w:t>
            </w:r>
          </w:p>
        </w:tc>
      </w:tr>
      <w:tr w:rsidR="00561F31" w:rsidRPr="00F90EAE" w14:paraId="2955224A" w14:textId="77777777">
        <w:tc>
          <w:tcPr>
            <w:tcW w:w="2093" w:type="dxa"/>
          </w:tcPr>
          <w:p w14:paraId="7938A8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2410" w:type="dxa"/>
          </w:tcPr>
          <w:p w14:paraId="0DB23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 2АЧ-30Б</w:t>
            </w:r>
          </w:p>
        </w:tc>
        <w:tc>
          <w:tcPr>
            <w:tcW w:w="945" w:type="dxa"/>
          </w:tcPr>
          <w:p w14:paraId="09BBC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945" w:type="dxa"/>
          </w:tcPr>
          <w:p w14:paraId="05139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w:t>
            </w:r>
          </w:p>
        </w:tc>
        <w:tc>
          <w:tcPr>
            <w:tcW w:w="945" w:type="dxa"/>
          </w:tcPr>
          <w:p w14:paraId="5C9DF9FD"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338C52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w:t>
            </w:r>
          </w:p>
        </w:tc>
      </w:tr>
      <w:tr w:rsidR="00561F31" w:rsidRPr="00F90EAE" w14:paraId="5A81BC9D" w14:textId="77777777">
        <w:tc>
          <w:tcPr>
            <w:tcW w:w="2093" w:type="dxa"/>
          </w:tcPr>
          <w:p w14:paraId="42113777"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2989A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 2М-88Б</w:t>
            </w:r>
          </w:p>
        </w:tc>
        <w:tc>
          <w:tcPr>
            <w:tcW w:w="945" w:type="dxa"/>
          </w:tcPr>
          <w:p w14:paraId="21E97F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945" w:type="dxa"/>
          </w:tcPr>
          <w:p w14:paraId="15C2B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945" w:type="dxa"/>
          </w:tcPr>
          <w:p w14:paraId="69AA88E6"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4E52D3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r>
      <w:tr w:rsidR="00561F31" w:rsidRPr="00F90EAE" w14:paraId="1C767B33" w14:textId="77777777">
        <w:tc>
          <w:tcPr>
            <w:tcW w:w="2093" w:type="dxa"/>
          </w:tcPr>
          <w:p w14:paraId="3E2DCC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2410" w:type="dxa"/>
          </w:tcPr>
          <w:p w14:paraId="7E0528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 2М-88Б</w:t>
            </w:r>
          </w:p>
        </w:tc>
        <w:tc>
          <w:tcPr>
            <w:tcW w:w="945" w:type="dxa"/>
          </w:tcPr>
          <w:p w14:paraId="26F86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945" w:type="dxa"/>
          </w:tcPr>
          <w:p w14:paraId="21F431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588</w:t>
            </w:r>
          </w:p>
        </w:tc>
        <w:tc>
          <w:tcPr>
            <w:tcW w:w="945" w:type="dxa"/>
          </w:tcPr>
          <w:p w14:paraId="3010C8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95.8</w:t>
            </w:r>
          </w:p>
        </w:tc>
        <w:tc>
          <w:tcPr>
            <w:tcW w:w="1135" w:type="dxa"/>
          </w:tcPr>
          <w:p w14:paraId="0EE5AE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597</w:t>
            </w:r>
          </w:p>
        </w:tc>
      </w:tr>
      <w:tr w:rsidR="00561F31" w:rsidRPr="00F90EAE" w14:paraId="28E5DAF8" w14:textId="77777777">
        <w:tc>
          <w:tcPr>
            <w:tcW w:w="2093" w:type="dxa"/>
          </w:tcPr>
          <w:p w14:paraId="08610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2410" w:type="dxa"/>
          </w:tcPr>
          <w:p w14:paraId="0D50C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 2АШ-62ИР</w:t>
            </w:r>
          </w:p>
        </w:tc>
        <w:tc>
          <w:tcPr>
            <w:tcW w:w="945" w:type="dxa"/>
          </w:tcPr>
          <w:p w14:paraId="6E60F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945" w:type="dxa"/>
          </w:tcPr>
          <w:p w14:paraId="18C58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626</w:t>
            </w:r>
          </w:p>
        </w:tc>
        <w:tc>
          <w:tcPr>
            <w:tcW w:w="945" w:type="dxa"/>
          </w:tcPr>
          <w:p w14:paraId="6CBABE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101.8</w:t>
            </w:r>
          </w:p>
        </w:tc>
        <w:tc>
          <w:tcPr>
            <w:tcW w:w="1135" w:type="dxa"/>
          </w:tcPr>
          <w:p w14:paraId="533B6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627</w:t>
            </w:r>
          </w:p>
        </w:tc>
      </w:tr>
      <w:tr w:rsidR="00561F31" w:rsidRPr="00F90EAE" w14:paraId="6BB6C415" w14:textId="77777777">
        <w:tc>
          <w:tcPr>
            <w:tcW w:w="2093" w:type="dxa"/>
          </w:tcPr>
          <w:p w14:paraId="150E15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477</w:t>
            </w:r>
          </w:p>
        </w:tc>
        <w:tc>
          <w:tcPr>
            <w:tcW w:w="2410" w:type="dxa"/>
          </w:tcPr>
          <w:p w14:paraId="5866BA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Бе-4 М-62</w:t>
            </w:r>
          </w:p>
        </w:tc>
        <w:tc>
          <w:tcPr>
            <w:tcW w:w="945" w:type="dxa"/>
          </w:tcPr>
          <w:p w14:paraId="781FE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945" w:type="dxa"/>
          </w:tcPr>
          <w:p w14:paraId="7AB19A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945" w:type="dxa"/>
          </w:tcPr>
          <w:p w14:paraId="0A789699"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4F3628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1BE586B3" w14:textId="77777777">
        <w:tc>
          <w:tcPr>
            <w:tcW w:w="2093" w:type="dxa"/>
          </w:tcPr>
          <w:p w14:paraId="5D8D4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2410" w:type="dxa"/>
          </w:tcPr>
          <w:p w14:paraId="10D368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Бронекорпус Ил-2</w:t>
            </w:r>
          </w:p>
        </w:tc>
        <w:tc>
          <w:tcPr>
            <w:tcW w:w="945" w:type="dxa"/>
          </w:tcPr>
          <w:p w14:paraId="194DE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3050</w:t>
            </w:r>
          </w:p>
        </w:tc>
        <w:tc>
          <w:tcPr>
            <w:tcW w:w="945" w:type="dxa"/>
          </w:tcPr>
          <w:p w14:paraId="5C468C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3105</w:t>
            </w:r>
          </w:p>
        </w:tc>
        <w:tc>
          <w:tcPr>
            <w:tcW w:w="945" w:type="dxa"/>
          </w:tcPr>
          <w:p w14:paraId="197CA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97.2</w:t>
            </w:r>
          </w:p>
        </w:tc>
        <w:tc>
          <w:tcPr>
            <w:tcW w:w="1135" w:type="dxa"/>
          </w:tcPr>
          <w:p w14:paraId="5DAEF47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892F40D" w14:textId="77777777">
        <w:tc>
          <w:tcPr>
            <w:tcW w:w="2093" w:type="dxa"/>
          </w:tcPr>
          <w:p w14:paraId="4F6D321B"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2B280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Бронезащита</w:t>
            </w:r>
          </w:p>
        </w:tc>
        <w:tc>
          <w:tcPr>
            <w:tcW w:w="945" w:type="dxa"/>
          </w:tcPr>
          <w:p w14:paraId="3AC7C6A9"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1D1D03A2"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7D212734"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7BE9EF6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12FF83" w14:textId="77777777">
        <w:tc>
          <w:tcPr>
            <w:tcW w:w="2093" w:type="dxa"/>
          </w:tcPr>
          <w:p w14:paraId="18A96D44"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36D19B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Бронеспинки</w:t>
            </w:r>
          </w:p>
        </w:tc>
        <w:tc>
          <w:tcPr>
            <w:tcW w:w="945" w:type="dxa"/>
          </w:tcPr>
          <w:p w14:paraId="224E0AC0"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6FF257E"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254E2007"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412F6A6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B4E8F5C" w14:textId="77777777">
        <w:tc>
          <w:tcPr>
            <w:tcW w:w="2093" w:type="dxa"/>
          </w:tcPr>
          <w:p w14:paraId="1AE12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w:t>
            </w:r>
          </w:p>
        </w:tc>
        <w:tc>
          <w:tcPr>
            <w:tcW w:w="2410" w:type="dxa"/>
          </w:tcPr>
          <w:p w14:paraId="49AC8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Бронекорпус Ил-2</w:t>
            </w:r>
          </w:p>
        </w:tc>
        <w:tc>
          <w:tcPr>
            <w:tcW w:w="945" w:type="dxa"/>
          </w:tcPr>
          <w:p w14:paraId="7C18A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6800</w:t>
            </w:r>
          </w:p>
        </w:tc>
        <w:tc>
          <w:tcPr>
            <w:tcW w:w="945" w:type="dxa"/>
          </w:tcPr>
          <w:p w14:paraId="58A7D9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7007</w:t>
            </w:r>
          </w:p>
        </w:tc>
        <w:tc>
          <w:tcPr>
            <w:tcW w:w="945" w:type="dxa"/>
          </w:tcPr>
          <w:p w14:paraId="3A54C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96.5</w:t>
            </w:r>
          </w:p>
        </w:tc>
        <w:tc>
          <w:tcPr>
            <w:tcW w:w="1135" w:type="dxa"/>
          </w:tcPr>
          <w:p w14:paraId="627A5CF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87EABEE" w14:textId="77777777">
        <w:tc>
          <w:tcPr>
            <w:tcW w:w="2093" w:type="dxa"/>
          </w:tcPr>
          <w:p w14:paraId="5FDE8567"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76B09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Бронекорпус Ил-10</w:t>
            </w:r>
          </w:p>
        </w:tc>
        <w:tc>
          <w:tcPr>
            <w:tcW w:w="945" w:type="dxa"/>
          </w:tcPr>
          <w:p w14:paraId="6FA1E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945" w:type="dxa"/>
          </w:tcPr>
          <w:p w14:paraId="321105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637</w:t>
            </w:r>
          </w:p>
        </w:tc>
        <w:tc>
          <w:tcPr>
            <w:tcW w:w="945" w:type="dxa"/>
          </w:tcPr>
          <w:p w14:paraId="5204A672"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177256F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4821141" w14:textId="77777777">
        <w:tc>
          <w:tcPr>
            <w:tcW w:w="2093" w:type="dxa"/>
          </w:tcPr>
          <w:p w14:paraId="4E968268"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7F15AB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Бронезащита</w:t>
            </w:r>
          </w:p>
        </w:tc>
        <w:tc>
          <w:tcPr>
            <w:tcW w:w="945" w:type="dxa"/>
          </w:tcPr>
          <w:p w14:paraId="7D5E0754"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1B4C0B3E"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4F580863"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7F46A70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EE5E5F7" w14:textId="77777777">
        <w:tc>
          <w:tcPr>
            <w:tcW w:w="2093" w:type="dxa"/>
          </w:tcPr>
          <w:p w14:paraId="1CDCCB7F"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5D779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Бронеспинки</w:t>
            </w:r>
          </w:p>
        </w:tc>
        <w:tc>
          <w:tcPr>
            <w:tcW w:w="945" w:type="dxa"/>
          </w:tcPr>
          <w:p w14:paraId="509B51AC"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719924EC" w14:textId="77777777" w:rsidR="00665165" w:rsidRPr="00F90EAE" w:rsidRDefault="00665165" w:rsidP="00F90EAE">
            <w:pPr>
              <w:autoSpaceDE w:val="0"/>
              <w:autoSpaceDN w:val="0"/>
              <w:adjustRightInd w:val="0"/>
              <w:jc w:val="both"/>
              <w:rPr>
                <w:color w:val="000000" w:themeColor="text1"/>
                <w:sz w:val="16"/>
                <w:szCs w:val="16"/>
              </w:rPr>
            </w:pPr>
          </w:p>
        </w:tc>
        <w:tc>
          <w:tcPr>
            <w:tcW w:w="945" w:type="dxa"/>
          </w:tcPr>
          <w:p w14:paraId="1B2A7217" w14:textId="77777777" w:rsidR="00665165" w:rsidRPr="00F90EAE" w:rsidRDefault="00665165" w:rsidP="00F90EAE">
            <w:pPr>
              <w:autoSpaceDE w:val="0"/>
              <w:autoSpaceDN w:val="0"/>
              <w:adjustRightInd w:val="0"/>
              <w:jc w:val="both"/>
              <w:rPr>
                <w:color w:val="000000" w:themeColor="text1"/>
                <w:sz w:val="16"/>
                <w:szCs w:val="16"/>
              </w:rPr>
            </w:pPr>
          </w:p>
        </w:tc>
        <w:tc>
          <w:tcPr>
            <w:tcW w:w="1135" w:type="dxa"/>
          </w:tcPr>
          <w:p w14:paraId="466795AD" w14:textId="77777777" w:rsidR="00665165" w:rsidRPr="00F90EAE" w:rsidRDefault="00665165" w:rsidP="00F90EAE">
            <w:pPr>
              <w:autoSpaceDE w:val="0"/>
              <w:autoSpaceDN w:val="0"/>
              <w:adjustRightInd w:val="0"/>
              <w:jc w:val="both"/>
              <w:rPr>
                <w:color w:val="000000" w:themeColor="text1"/>
                <w:sz w:val="16"/>
                <w:szCs w:val="16"/>
              </w:rPr>
            </w:pPr>
          </w:p>
        </w:tc>
      </w:tr>
    </w:tbl>
    <w:p w14:paraId="24B3FF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перечисленной ооновной продукции - заводы 10-го Главного Управления в течение 1944 года выпустили значи</w:t>
      </w:r>
      <w:r w:rsidRPr="00F90EAE">
        <w:rPr>
          <w:color w:val="000000" w:themeColor="text1"/>
          <w:sz w:val="16"/>
          <w:szCs w:val="16"/>
        </w:rPr>
        <w:softHyphen/>
        <w:t>тельное количество:</w:t>
      </w:r>
    </w:p>
    <w:p w14:paraId="2860E2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боеприпасов (заводы № 39 и № 477),</w:t>
      </w:r>
    </w:p>
    <w:p w14:paraId="27E10D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запчастей к тракторам и электростанциям,</w:t>
      </w:r>
    </w:p>
    <w:p w14:paraId="7FCAE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механизиро</w:t>
      </w:r>
      <w:r w:rsidRPr="00F90EAE">
        <w:rPr>
          <w:color w:val="000000" w:themeColor="text1"/>
          <w:sz w:val="16"/>
          <w:szCs w:val="16"/>
        </w:rPr>
        <w:softHyphen/>
        <w:t>ванных банзо и водомаслозаправщиков (завод № 125),</w:t>
      </w:r>
    </w:p>
    <w:p w14:paraId="26C8B0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также проделали большую работу по перевооружению-самолетов "Бостон" (завод N 456), ремонту самолетов, как на заводских, так и в полевых условиях, оказанию уолуг для опытного строительства и ряд других работ.</w:t>
      </w:r>
    </w:p>
    <w:p w14:paraId="7C1864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Выпуок продукции в ценностном выражении (в неизмен</w:t>
      </w:r>
      <w:r w:rsidRPr="00F90EAE">
        <w:rPr>
          <w:color w:val="000000" w:themeColor="text1"/>
          <w:sz w:val="16"/>
          <w:szCs w:val="16"/>
        </w:rPr>
        <w:softHyphen/>
        <w:t>ных ценах) за 1944 год, по сравнению о планок 1944 г. и отчетом 1943 г., составил:</w:t>
      </w:r>
    </w:p>
    <w:p w14:paraId="4EE5D5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ГЛАВНОМУ УПРАВЛЕНИЮ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934"/>
        <w:gridCol w:w="1134"/>
        <w:gridCol w:w="1134"/>
        <w:gridCol w:w="2126"/>
        <w:gridCol w:w="2126"/>
      </w:tblGrid>
      <w:tr w:rsidR="00561F31" w:rsidRPr="00F90EAE" w14:paraId="2306A233" w14:textId="77777777">
        <w:tc>
          <w:tcPr>
            <w:tcW w:w="1868" w:type="dxa"/>
            <w:tcBorders>
              <w:top w:val="single" w:sz="12" w:space="0" w:color="auto"/>
            </w:tcBorders>
          </w:tcPr>
          <w:p w14:paraId="623BBECD"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Виды продукции</w:t>
            </w:r>
          </w:p>
        </w:tc>
        <w:tc>
          <w:tcPr>
            <w:tcW w:w="934" w:type="dxa"/>
            <w:tcBorders>
              <w:top w:val="single" w:sz="12" w:space="0" w:color="auto"/>
            </w:tcBorders>
          </w:tcPr>
          <w:p w14:paraId="2913A6A0"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ед. изм.</w:t>
            </w:r>
          </w:p>
        </w:tc>
        <w:tc>
          <w:tcPr>
            <w:tcW w:w="1134" w:type="dxa"/>
            <w:tcBorders>
              <w:top w:val="single" w:sz="12" w:space="0" w:color="auto"/>
            </w:tcBorders>
          </w:tcPr>
          <w:p w14:paraId="71EC0E08"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План на 1944</w:t>
            </w:r>
          </w:p>
        </w:tc>
        <w:tc>
          <w:tcPr>
            <w:tcW w:w="1134" w:type="dxa"/>
            <w:tcBorders>
              <w:top w:val="single" w:sz="12" w:space="0" w:color="auto"/>
            </w:tcBorders>
          </w:tcPr>
          <w:p w14:paraId="07E334CF"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Отчет за 1944</w:t>
            </w:r>
          </w:p>
        </w:tc>
        <w:tc>
          <w:tcPr>
            <w:tcW w:w="2126" w:type="dxa"/>
            <w:tcBorders>
              <w:top w:val="single" w:sz="12" w:space="0" w:color="auto"/>
            </w:tcBorders>
          </w:tcPr>
          <w:p w14:paraId="326D8BE4"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Отчет 1944 к пляну в %</w:t>
            </w:r>
          </w:p>
        </w:tc>
        <w:tc>
          <w:tcPr>
            <w:tcW w:w="2126" w:type="dxa"/>
            <w:tcBorders>
              <w:top w:val="single" w:sz="12" w:space="0" w:color="auto"/>
            </w:tcBorders>
          </w:tcPr>
          <w:p w14:paraId="2F9C877D"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Отчет 1944 к отчету 1943</w:t>
            </w:r>
          </w:p>
        </w:tc>
      </w:tr>
      <w:tr w:rsidR="00561F31" w:rsidRPr="00F90EAE" w14:paraId="4486A2A8" w14:textId="77777777">
        <w:tc>
          <w:tcPr>
            <w:tcW w:w="1868" w:type="dxa"/>
          </w:tcPr>
          <w:p w14:paraId="5089458F" w14:textId="77777777" w:rsidR="00665165" w:rsidRPr="00F90EAE" w:rsidRDefault="00665165" w:rsidP="00F90EAE">
            <w:pPr>
              <w:autoSpaceDE w:val="0"/>
              <w:autoSpaceDN w:val="0"/>
              <w:adjustRightInd w:val="0"/>
              <w:jc w:val="both"/>
              <w:rPr>
                <w:smallCaps/>
                <w:color w:val="000000" w:themeColor="text1"/>
                <w:sz w:val="16"/>
                <w:szCs w:val="16"/>
              </w:rPr>
            </w:pPr>
            <w:r w:rsidRPr="00F90EAE">
              <w:rPr>
                <w:color w:val="000000" w:themeColor="text1"/>
                <w:sz w:val="16"/>
                <w:szCs w:val="16"/>
              </w:rPr>
              <w:t>1. Валовая продукция</w:t>
            </w:r>
          </w:p>
        </w:tc>
        <w:tc>
          <w:tcPr>
            <w:tcW w:w="934" w:type="dxa"/>
          </w:tcPr>
          <w:p w14:paraId="3D3E6048"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тыс. руб.</w:t>
            </w:r>
          </w:p>
        </w:tc>
        <w:tc>
          <w:tcPr>
            <w:tcW w:w="1134" w:type="dxa"/>
          </w:tcPr>
          <w:p w14:paraId="1D008220"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5425000</w:t>
            </w:r>
          </w:p>
        </w:tc>
        <w:tc>
          <w:tcPr>
            <w:tcW w:w="1134" w:type="dxa"/>
          </w:tcPr>
          <w:p w14:paraId="378CC28B"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5458106</w:t>
            </w:r>
          </w:p>
        </w:tc>
        <w:tc>
          <w:tcPr>
            <w:tcW w:w="2126" w:type="dxa"/>
          </w:tcPr>
          <w:p w14:paraId="2E101BD3"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100</w:t>
            </w:r>
          </w:p>
        </w:tc>
        <w:tc>
          <w:tcPr>
            <w:tcW w:w="2126" w:type="dxa"/>
          </w:tcPr>
          <w:p w14:paraId="3B083283"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100,5</w:t>
            </w:r>
          </w:p>
        </w:tc>
      </w:tr>
      <w:tr w:rsidR="00561F31" w:rsidRPr="00F90EAE" w14:paraId="01C79326" w14:textId="77777777">
        <w:tc>
          <w:tcPr>
            <w:tcW w:w="1868" w:type="dxa"/>
          </w:tcPr>
          <w:p w14:paraId="7C1AE36A" w14:textId="77777777" w:rsidR="00665165" w:rsidRPr="00F90EAE" w:rsidRDefault="00665165" w:rsidP="00F90EAE">
            <w:pPr>
              <w:autoSpaceDE w:val="0"/>
              <w:autoSpaceDN w:val="0"/>
              <w:adjustRightInd w:val="0"/>
              <w:jc w:val="both"/>
              <w:rPr>
                <w:smallCaps/>
                <w:color w:val="000000" w:themeColor="text1"/>
                <w:sz w:val="16"/>
                <w:szCs w:val="16"/>
              </w:rPr>
            </w:pPr>
            <w:r w:rsidRPr="00F90EAE">
              <w:rPr>
                <w:color w:val="000000" w:themeColor="text1"/>
                <w:sz w:val="16"/>
                <w:szCs w:val="16"/>
              </w:rPr>
              <w:t>2 .Товарная продукция</w:t>
            </w:r>
          </w:p>
        </w:tc>
        <w:tc>
          <w:tcPr>
            <w:tcW w:w="934" w:type="dxa"/>
          </w:tcPr>
          <w:p w14:paraId="2E93584A" w14:textId="77777777" w:rsidR="00665165" w:rsidRPr="00F90EAE" w:rsidRDefault="00665165" w:rsidP="00F90EAE">
            <w:pPr>
              <w:autoSpaceDE w:val="0"/>
              <w:autoSpaceDN w:val="0"/>
              <w:adjustRightInd w:val="0"/>
              <w:jc w:val="both"/>
              <w:rPr>
                <w:smallCaps/>
                <w:color w:val="000000" w:themeColor="text1"/>
                <w:sz w:val="16"/>
                <w:szCs w:val="16"/>
              </w:rPr>
            </w:pPr>
          </w:p>
        </w:tc>
        <w:tc>
          <w:tcPr>
            <w:tcW w:w="1134" w:type="dxa"/>
          </w:tcPr>
          <w:p w14:paraId="65AECF3F"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5367000</w:t>
            </w:r>
          </w:p>
        </w:tc>
        <w:tc>
          <w:tcPr>
            <w:tcW w:w="1134" w:type="dxa"/>
          </w:tcPr>
          <w:p w14:paraId="7E517ED9"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5342230</w:t>
            </w:r>
          </w:p>
        </w:tc>
        <w:tc>
          <w:tcPr>
            <w:tcW w:w="2126" w:type="dxa"/>
          </w:tcPr>
          <w:p w14:paraId="177C384E"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99,5</w:t>
            </w:r>
          </w:p>
        </w:tc>
        <w:tc>
          <w:tcPr>
            <w:tcW w:w="2126" w:type="dxa"/>
          </w:tcPr>
          <w:p w14:paraId="1388CA5A"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97</w:t>
            </w:r>
          </w:p>
        </w:tc>
      </w:tr>
      <w:tr w:rsidR="00561F31" w:rsidRPr="00F90EAE" w14:paraId="685F3730" w14:textId="77777777">
        <w:tc>
          <w:tcPr>
            <w:tcW w:w="1868" w:type="dxa"/>
            <w:tcBorders>
              <w:bottom w:val="single" w:sz="12" w:space="0" w:color="auto"/>
            </w:tcBorders>
          </w:tcPr>
          <w:p w14:paraId="6064D1F9" w14:textId="77777777" w:rsidR="00665165" w:rsidRPr="00F90EAE" w:rsidRDefault="00665165" w:rsidP="00F90EAE">
            <w:pPr>
              <w:autoSpaceDE w:val="0"/>
              <w:autoSpaceDN w:val="0"/>
              <w:adjustRightInd w:val="0"/>
              <w:jc w:val="both"/>
              <w:rPr>
                <w:smallCaps/>
                <w:color w:val="000000" w:themeColor="text1"/>
                <w:sz w:val="16"/>
                <w:szCs w:val="16"/>
              </w:rPr>
            </w:pPr>
            <w:r w:rsidRPr="00F90EAE">
              <w:rPr>
                <w:color w:val="000000" w:themeColor="text1"/>
                <w:sz w:val="16"/>
                <w:szCs w:val="16"/>
              </w:rPr>
              <w:t>3.Оборонная продукция</w:t>
            </w:r>
          </w:p>
        </w:tc>
        <w:tc>
          <w:tcPr>
            <w:tcW w:w="934" w:type="dxa"/>
            <w:tcBorders>
              <w:bottom w:val="single" w:sz="12" w:space="0" w:color="auto"/>
            </w:tcBorders>
          </w:tcPr>
          <w:p w14:paraId="16D82E01" w14:textId="77777777" w:rsidR="00665165" w:rsidRPr="00F90EAE" w:rsidRDefault="00665165" w:rsidP="00F90EAE">
            <w:pPr>
              <w:autoSpaceDE w:val="0"/>
              <w:autoSpaceDN w:val="0"/>
              <w:adjustRightInd w:val="0"/>
              <w:jc w:val="both"/>
              <w:rPr>
                <w:smallCaps/>
                <w:color w:val="000000" w:themeColor="text1"/>
                <w:sz w:val="16"/>
                <w:szCs w:val="16"/>
              </w:rPr>
            </w:pPr>
          </w:p>
        </w:tc>
        <w:tc>
          <w:tcPr>
            <w:tcW w:w="1134" w:type="dxa"/>
            <w:tcBorders>
              <w:bottom w:val="single" w:sz="12" w:space="0" w:color="auto"/>
            </w:tcBorders>
          </w:tcPr>
          <w:p w14:paraId="7E69A018"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5217880</w:t>
            </w:r>
          </w:p>
        </w:tc>
        <w:tc>
          <w:tcPr>
            <w:tcW w:w="1134" w:type="dxa"/>
            <w:tcBorders>
              <w:bottom w:val="single" w:sz="12" w:space="0" w:color="auto"/>
            </w:tcBorders>
          </w:tcPr>
          <w:p w14:paraId="352FC0B7"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5157364</w:t>
            </w:r>
          </w:p>
        </w:tc>
        <w:tc>
          <w:tcPr>
            <w:tcW w:w="2126" w:type="dxa"/>
            <w:tcBorders>
              <w:bottom w:val="single" w:sz="12" w:space="0" w:color="auto"/>
            </w:tcBorders>
          </w:tcPr>
          <w:p w14:paraId="0400FA09"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98,8</w:t>
            </w:r>
          </w:p>
        </w:tc>
        <w:tc>
          <w:tcPr>
            <w:tcW w:w="2126" w:type="dxa"/>
            <w:tcBorders>
              <w:bottom w:val="single" w:sz="12" w:space="0" w:color="auto"/>
            </w:tcBorders>
          </w:tcPr>
          <w:p w14:paraId="3484DEAC" w14:textId="77777777" w:rsidR="00665165" w:rsidRPr="00F90EAE" w:rsidRDefault="00665165" w:rsidP="00F90EAE">
            <w:pPr>
              <w:autoSpaceDE w:val="0"/>
              <w:autoSpaceDN w:val="0"/>
              <w:adjustRightInd w:val="0"/>
              <w:jc w:val="both"/>
              <w:rPr>
                <w:smallCaps/>
                <w:color w:val="000000" w:themeColor="text1"/>
                <w:sz w:val="16"/>
                <w:szCs w:val="16"/>
              </w:rPr>
            </w:pPr>
            <w:r w:rsidRPr="00F90EAE">
              <w:rPr>
                <w:smallCaps/>
                <w:color w:val="000000" w:themeColor="text1"/>
                <w:sz w:val="16"/>
                <w:szCs w:val="16"/>
              </w:rPr>
              <w:t>97</w:t>
            </w:r>
          </w:p>
        </w:tc>
      </w:tr>
    </w:tbl>
    <w:p w14:paraId="27D509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Лучших результатов выполнения плана за 1944 г., как это видно из приведенных данных, добились заводы за №№ 18, 22, 30, 84, 125 и 207.</w:t>
      </w:r>
    </w:p>
    <w:p w14:paraId="32EB7D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Эти успехи в работе за отчетный год были достигнута заводами в основной благодаря:</w:t>
      </w:r>
    </w:p>
    <w:p w14:paraId="0F2C2A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широкому внедрению ими в производство передовой техники и лучшей организации производства, обеспечивший ритмичный выпуск качественной продукции;</w:t>
      </w:r>
    </w:p>
    <w:p w14:paraId="2C5E2C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упорядочению всей производственно-хозяйственной деятельности на основе приказов Народного комиссара за 1944 г. за №№ 439, 464, 528, 500 и др.;</w:t>
      </w:r>
    </w:p>
    <w:p w14:paraId="33EE38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улучшению жилищно-бытовых условий работающих и</w:t>
      </w:r>
    </w:p>
    <w:p w14:paraId="5503B7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активному участию их всоциалистическом соревновании заводов авиационной промышленности.</w:t>
      </w:r>
    </w:p>
    <w:p w14:paraId="0A961C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Однако, хорошие результаты работы указанных заводов за 1944 г. были снижены значительный недовыполнением плана по выпуску продукции в натуральной выражении другими заво</w:t>
      </w:r>
      <w:r w:rsidRPr="00F90EAE">
        <w:rPr>
          <w:color w:val="000000" w:themeColor="text1"/>
          <w:sz w:val="16"/>
          <w:szCs w:val="16"/>
        </w:rPr>
        <w:softHyphen/>
        <w:t>дами Главного Управления и в особенности заводами №№ 23 и 39 (по причинам, изложенным ниже), вследствие чего, вцелом по Главному Управлению, был недовыполнен план по товарной продукции на 0,5% и по оборонной продукции на 1%.</w:t>
      </w:r>
    </w:p>
    <w:p w14:paraId="3BD9B3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ХАРАКТЕРИСТИКА ПРОИЗВОДЗТВЕКНОЙ ДЕЯТЕЛЬНОСТИ ЗАВОДОВ.</w:t>
      </w:r>
    </w:p>
    <w:p w14:paraId="29C69B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Производственная и техническая деятельность заводов Главного Управления в отчетном году протекала под знаком решительной борьбы за повышение боевых и летно-тантическях данных серийных самолетов, а также внедрение в серийное производство новых Ьодее современных типов самолетов.</w:t>
      </w:r>
    </w:p>
    <w:p w14:paraId="433BB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старым типам самолетов</w:t>
      </w:r>
    </w:p>
    <w:p w14:paraId="63F44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Ил-2</w:t>
      </w:r>
    </w:p>
    <w:p w14:paraId="2E1E6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На заводах 1 и 30 в течение 1 полугодия был осуществлен переход на выпуск Ил-2 с метал. крылом стрельчатой конструкции, взамен деревянного крыла, а по заводу 18 переход от простого металлического крыла к крылу стрельчатой конструкции.</w:t>
      </w:r>
    </w:p>
    <w:p w14:paraId="5E822B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Эта серьезная модификация значительно улучшила устойчивость самолета, его прочность и продолжительность в эксплуатации, а также взаимозаменяемость крыльев.</w:t>
      </w:r>
    </w:p>
    <w:p w14:paraId="42DBE8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 коллиматорный прицел ПБП-1Б взамен механического визира</w:t>
      </w:r>
    </w:p>
    <w:p w14:paraId="0969F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Отработана и внедрена установка под ПАУ-22</w:t>
      </w:r>
    </w:p>
    <w:p w14:paraId="41712B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Внедрена потайная клепка обшивки крыла и центроплана, а также стыковка листов обшивки в стык</w:t>
      </w:r>
    </w:p>
    <w:p w14:paraId="2D9E34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Внедрена в серию установка новой радиоаппаратуры</w:t>
      </w:r>
    </w:p>
    <w:p w14:paraId="294A2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 Перенесено управление фиксатора взлетного угла щитков в кабину пилота</w:t>
      </w:r>
    </w:p>
    <w:p w14:paraId="1DA53D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 Внедрен съемный обтекатель крыла</w:t>
      </w:r>
    </w:p>
    <w:p w14:paraId="672291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 Внедрены стандартные штуцера бортовой зарядки воздуха и проведен ряд других работ по улучшению боевых и ЛТК самолета</w:t>
      </w:r>
    </w:p>
    <w:p w14:paraId="34238E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освоен и внедрен в серийное производство на заводе 30 Ил-2 в варианте корректировщика (2482).</w:t>
      </w:r>
    </w:p>
    <w:p w14:paraId="531797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p w14:paraId="4B0EE2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Установлены новые винты, улучшившие ЛК</w:t>
      </w:r>
    </w:p>
    <w:p w14:paraId="1519E3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Внедрены фибровые крыльевые бензобаки и подготовлено производство центропланных баков</w:t>
      </w:r>
    </w:p>
    <w:p w14:paraId="1D3C8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Установлена кассета для гранат АГ-2</w:t>
      </w:r>
    </w:p>
    <w:p w14:paraId="35FFA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Внедрены реактивные выхлопные патрубки</w:t>
      </w:r>
    </w:p>
    <w:p w14:paraId="2B52D2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Внедрен увеличенный астролюк для аварийного оставления машины стрелком-радистом</w:t>
      </w:r>
    </w:p>
    <w:p w14:paraId="2352B1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 Установлено новое кислородное оборудование КПА-12</w:t>
      </w:r>
    </w:p>
    <w:p w14:paraId="36805D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 Произведена замена деревянного хвостового кока на металлический</w:t>
      </w:r>
    </w:p>
    <w:p w14:paraId="75A26F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p w14:paraId="73A325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Улучшен обзор из кабины штурмана</w:t>
      </w:r>
    </w:p>
    <w:p w14:paraId="54E652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Установлены винты АВ-513-167л прямой схемы</w:t>
      </w:r>
    </w:p>
    <w:p w14:paraId="22EC2C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Проведено конструктивное усиление агрегатов кока винта, заднего подкоса шасси, обшивки РН, фитингов и т.д.</w:t>
      </w:r>
    </w:p>
    <w:p w14:paraId="5973BF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Отработано и запущено в серию уширенное ВО</w:t>
      </w:r>
    </w:p>
    <w:p w14:paraId="4896E5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Внедрены новые всасывающие патрубки и новый выхлопной коллектор</w:t>
      </w:r>
    </w:p>
    <w:p w14:paraId="5FE98A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p w14:paraId="1D6040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Полностью освоено в серийном производстве новое крыло с увеличенной стрельчатостью</w:t>
      </w:r>
    </w:p>
    <w:p w14:paraId="108AC2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Внедрена в серийное производство новая кабина штурмана</w:t>
      </w:r>
    </w:p>
    <w:p w14:paraId="36613F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Внедрены пылефильтры на всасывающие патрубки карбюраторов</w:t>
      </w:r>
    </w:p>
    <w:p w14:paraId="4BDFD7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Внедрен плямягаситель на патрубки мотора</w:t>
      </w:r>
    </w:p>
    <w:p w14:paraId="6563A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Проведено усиление бензобаков</w:t>
      </w:r>
    </w:p>
    <w:p w14:paraId="3B9A5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 Внедрена новая система подвески бомб</w:t>
      </w:r>
    </w:p>
    <w:p w14:paraId="2B70DD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 Введен групповой пылефильтр в систему питания гироприборов (2482).</w:t>
      </w:r>
    </w:p>
    <w:p w14:paraId="23DF38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p w14:paraId="459736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Внедрена кабина штурмана</w:t>
      </w:r>
    </w:p>
    <w:p w14:paraId="550966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Термический антиобледенитель кромки крыла вписан в теоретический обвод</w:t>
      </w:r>
    </w:p>
    <w:p w14:paraId="64A3C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отработаны опытные образцы для внедрения в серию:</w:t>
      </w:r>
    </w:p>
    <w:p w14:paraId="79216F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Машина с внутренней бомбовой подвеской</w:t>
      </w:r>
    </w:p>
    <w:p w14:paraId="12C9DA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Построена опытное крыло с дополнительными бензо и маслобаками</w:t>
      </w:r>
    </w:p>
    <w:p w14:paraId="64DE4B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Установка пылефильтров на всасывающие патрубки</w:t>
      </w:r>
    </w:p>
    <w:p w14:paraId="3F0AA5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этого отработаны опытные образцы для внедре</w:t>
      </w:r>
      <w:r w:rsidRPr="00F90EAE">
        <w:rPr>
          <w:color w:val="000000" w:themeColor="text1"/>
          <w:sz w:val="16"/>
          <w:szCs w:val="16"/>
        </w:rPr>
        <w:softHyphen/>
        <w:t>ния в серию:</w:t>
      </w:r>
    </w:p>
    <w:p w14:paraId="16768F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машина с внутренней бомбовой подвеской;</w:t>
      </w:r>
    </w:p>
    <w:p w14:paraId="5D5969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построено опытное крыло с дополнительными бензо и маслобаками.</w:t>
      </w:r>
    </w:p>
    <w:p w14:paraId="4A2078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уставовка пылефильтров на всасывающие патрубки карбюраторов моторов.</w:t>
      </w:r>
    </w:p>
    <w:p w14:paraId="5AAD8A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конструктивных изменений, заводами в 1944 г. . была проделана большая работа по повышению качества паоизводственного выполнения, улучшению аэродинамики и качества отделки внешних поверхностей самолетов, в резуль</w:t>
      </w:r>
      <w:r w:rsidRPr="00F90EAE">
        <w:rPr>
          <w:color w:val="000000" w:themeColor="text1"/>
          <w:sz w:val="16"/>
          <w:szCs w:val="16"/>
        </w:rPr>
        <w:softHyphen/>
        <w:t>тате чего были значительно повышены их энсплоатацяонныо данные и скорости.</w:t>
      </w:r>
    </w:p>
    <w:p w14:paraId="4EAF6A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например:</w:t>
      </w:r>
    </w:p>
    <w:p w14:paraId="3A981F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самолету Ил-2 прирост скоростей против 1943 составил 8-12 км/час</w:t>
      </w:r>
    </w:p>
    <w:p w14:paraId="79006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самолету Пе-2 прирост макс. скорости составил до 25 км/час</w:t>
      </w:r>
    </w:p>
    <w:p w14:paraId="1FA1B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самолету Ту-2 прирост макс. скорости составил до 35 км/час</w:t>
      </w:r>
    </w:p>
    <w:p w14:paraId="1A9AB4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Следует особо отметить также, что в 1944 г., в отли</w:t>
      </w:r>
      <w:r w:rsidRPr="00F90EAE">
        <w:rPr>
          <w:color w:val="000000" w:themeColor="text1"/>
          <w:sz w:val="16"/>
          <w:szCs w:val="16"/>
        </w:rPr>
        <w:softHyphen/>
        <w:t>чив от прошлого года, совершенно отсутствовали какие-либо дефекты в самолетах, грозившие безопасности полета и срыву боевых операций на фронте.</w:t>
      </w:r>
    </w:p>
    <w:p w14:paraId="3C1957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Имевшие же кео.то. в течение года отдельные дефекты, связанные скорее о недоработкой конструкции, чем о ка</w:t>
      </w:r>
      <w:r w:rsidRPr="00F90EAE">
        <w:rPr>
          <w:color w:val="000000" w:themeColor="text1"/>
          <w:sz w:val="16"/>
          <w:szCs w:val="16"/>
        </w:rPr>
        <w:softHyphen/>
        <w:t>чеством производственного выполнения выпущенных самолетов-были быстро устранены и на выпуске самолетов не отрази</w:t>
      </w:r>
      <w:r w:rsidRPr="00F90EAE">
        <w:rPr>
          <w:color w:val="000000" w:themeColor="text1"/>
          <w:sz w:val="16"/>
          <w:szCs w:val="16"/>
        </w:rPr>
        <w:softHyphen/>
        <w:t>лись.</w:t>
      </w:r>
    </w:p>
    <w:p w14:paraId="334C30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числу таких дефектов следует отнести:</w:t>
      </w:r>
    </w:p>
    <w:p w14:paraId="0CF3EE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а)Трещины в мотораках самолетов Пе-2.</w:t>
      </w:r>
    </w:p>
    <w:p w14:paraId="05072C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б)Недоработанность замков бомболюков самолета, Ял-2.</w:t>
      </w:r>
    </w:p>
    <w:p w14:paraId="7F4970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в)трещины колец ВУБ-2 иа самолета Ту-2.</w:t>
      </w:r>
    </w:p>
    <w:p w14:paraId="3F78D8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новым типам самолетов</w:t>
      </w:r>
    </w:p>
    <w:p w14:paraId="1A283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Наряду с модернизацией и улучшением боевых и летно-тактических данных серийных самолетов, ряд заводов ГУ, в течение 1944 г., освоили и внедрили в серийное производство (завод № 39 с-т Ер-2, а заводы № 1 и 18 - с-т Ил-10)</w:t>
      </w:r>
    </w:p>
    <w:p w14:paraId="14F7F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w:t>
      </w:r>
    </w:p>
    <w:p w14:paraId="086FF3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Ер-2 - ТБ с двумя дизелями АЧ-30Б с увеличенной дальностью полета и бомбовой нагрузкой, против старых аналогичных типов отечественных бомбардировщиков, был запушен в производство на заводе 39 в конце 1943 и к началу 1944 завод построил первые две машины, изготовил оснастку нулевой очереди и подготовил всю тех. документацию для запуска самолета в серийное производство.</w:t>
      </w:r>
    </w:p>
    <w:p w14:paraId="49EF19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испытания первых двух головных машин выпуска 1944 и самолетов первых серий выпуска 1944 выявили ряд серьезнейших конструктивных недоработок в самолете и потребовали продолжительного времени для устранения их.</w:t>
      </w:r>
    </w:p>
    <w:p w14:paraId="74AE79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числу основных дефектов конструктивного порядка относились:</w:t>
      </w:r>
    </w:p>
    <w:p w14:paraId="648A6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неудовлетворительная работа гидравлики шасси</w:t>
      </w:r>
    </w:p>
    <w:p w14:paraId="2D5654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плохой обзор из кабины л, вследствие неудовлетворительной конструкции фонаря и ряд других более мелких дефектов.</w:t>
      </w:r>
    </w:p>
    <w:p w14:paraId="63EA8D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Устранение этих дефектов потребовало от завода больших доп. затрат как трудового, так и материального порядка.</w:t>
      </w:r>
    </w:p>
    <w:p w14:paraId="385317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серьезных неполадок, выявленных в конструкции самолета, завод имел не менее серьезные затруднения из-за некондиционности части АЧ-30Б, а также весьма неудовлетворительную их поставку заводом 500, в силу чего вынужден был:</w:t>
      </w:r>
    </w:p>
    <w:p w14:paraId="66AA63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выпускать самолеты из цеха сборки с макетными моторами</w:t>
      </w:r>
    </w:p>
    <w:p w14:paraId="31B79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 несколько раз менять моторы на одной и той же машине</w:t>
      </w:r>
    </w:p>
    <w:p w14:paraId="6AFC34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проводить дополнительные облеты</w:t>
      </w:r>
    </w:p>
    <w:p w14:paraId="6871D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увеличить продолжительность сдаточных полетов до 4 час. на машину.</w:t>
      </w:r>
    </w:p>
    <w:p w14:paraId="733D1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 обстоятельства также потребовали от завода дополнительных затрат времени и средств и вместе с тем послужили основной причиной невыполнения плана по выпуску самолетов за 1944, что в свою очередь, отразилось на общих итогах выполнения плана по ГУ.</w:t>
      </w:r>
    </w:p>
    <w:p w14:paraId="090A1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Вместе с тем, следует отметить, что в силу этих неполадок, вызывавших задержку в выпуске готовой продукции, завод к концу 1944 создал значительный задел, который позволит ему в 1945, при условии получения кондиционных моторов, обеспечить нормальный ход производства.</w:t>
      </w:r>
    </w:p>
    <w:p w14:paraId="642FAA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w:t>
      </w:r>
    </w:p>
    <w:p w14:paraId="13A01E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Заводы 1 и 18 готовили производство и осваивали Ил-10 в условиях сохранения крупносерийного производства Ил-2.</w:t>
      </w:r>
    </w:p>
    <w:p w14:paraId="00BDBC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основу своей работы по подготовке производства по Ил-10 заводы положили эталонирование всех основных агрегатов машины, широкое применение плазово-шаблонного метода работ, разработку серийной технологии с макс. оснащением высокопроизводительной оснасткой, и с учетом переналадки существующих по Ил-2 конвейерных линий на поточное изготовление аналогичных агрегатов новой машины.</w:t>
      </w:r>
    </w:p>
    <w:p w14:paraId="09E921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Проведенное заводами резкое увеличение мощности цехов подготовки и широкое применение мастерских производственных цехов позволило заводам в короткий срок изготовить оснастку нулевой и первой очереди в количестве до 7000 наименований.</w:t>
      </w:r>
    </w:p>
    <w:p w14:paraId="4FBECC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Начав с августа 1944 основные работы по подготовке производства, оба завода уже к 1 октября выпустили по 5 серийных машин головной серии, причем в процессе изготовления этой серии произвели по основным агрегатам и цехам отработку техпроцессов, отладку и внедрение в производство изготовленной оснастки, а также отстыковали по эталонам первые комплекты крупных стапелей для сборки агрегатов.</w:t>
      </w:r>
    </w:p>
    <w:p w14:paraId="65C8CA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Наращивая заделы заводы в 4 кв. быстрыми темпами расширяли производство новой машины и обеспечили параллельно с изготовлением машины Ил-2 выпуск Ил-10 по сборке: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tblGrid>
      <w:tr w:rsidR="00561F31" w:rsidRPr="00F90EAE" w14:paraId="6FBBF9AA" w14:textId="77777777">
        <w:tc>
          <w:tcPr>
            <w:tcW w:w="1878" w:type="dxa"/>
          </w:tcPr>
          <w:p w14:paraId="6305A31E" w14:textId="77777777" w:rsidR="00665165" w:rsidRPr="00F90EAE" w:rsidRDefault="00665165" w:rsidP="00F90EAE">
            <w:pPr>
              <w:autoSpaceDE w:val="0"/>
              <w:autoSpaceDN w:val="0"/>
              <w:adjustRightInd w:val="0"/>
              <w:jc w:val="both"/>
              <w:rPr>
                <w:color w:val="000000" w:themeColor="text1"/>
                <w:sz w:val="16"/>
                <w:szCs w:val="16"/>
              </w:rPr>
            </w:pPr>
          </w:p>
        </w:tc>
        <w:tc>
          <w:tcPr>
            <w:tcW w:w="1878" w:type="dxa"/>
          </w:tcPr>
          <w:p w14:paraId="6A4FAA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Октябрь</w:t>
            </w:r>
          </w:p>
        </w:tc>
        <w:tc>
          <w:tcPr>
            <w:tcW w:w="1878" w:type="dxa"/>
          </w:tcPr>
          <w:p w14:paraId="0D3DE9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Ноябрь</w:t>
            </w:r>
          </w:p>
        </w:tc>
        <w:tc>
          <w:tcPr>
            <w:tcW w:w="1878" w:type="dxa"/>
          </w:tcPr>
          <w:p w14:paraId="1B3F8A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Декабрь</w:t>
            </w:r>
          </w:p>
        </w:tc>
      </w:tr>
      <w:tr w:rsidR="00561F31" w:rsidRPr="00F90EAE" w14:paraId="4A1EAB11" w14:textId="77777777">
        <w:tc>
          <w:tcPr>
            <w:tcW w:w="1878" w:type="dxa"/>
          </w:tcPr>
          <w:p w14:paraId="1965D4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878" w:type="dxa"/>
          </w:tcPr>
          <w:p w14:paraId="72A4D2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1878" w:type="dxa"/>
          </w:tcPr>
          <w:p w14:paraId="381DB7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1878" w:type="dxa"/>
          </w:tcPr>
          <w:p w14:paraId="672679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r>
      <w:tr w:rsidR="00561F31" w:rsidRPr="00F90EAE" w14:paraId="2D948375" w14:textId="77777777">
        <w:tc>
          <w:tcPr>
            <w:tcW w:w="1878" w:type="dxa"/>
          </w:tcPr>
          <w:p w14:paraId="15958E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878" w:type="dxa"/>
          </w:tcPr>
          <w:p w14:paraId="2586E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878" w:type="dxa"/>
          </w:tcPr>
          <w:p w14:paraId="44120F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878" w:type="dxa"/>
          </w:tcPr>
          <w:p w14:paraId="03DF6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r>
    </w:tbl>
    <w:p w14:paraId="3583F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проведенные заводские испытания первых машин головной серии, как и последующие испытания машины и их эксплуатации, выявили целый ряд серьезных конструктивных недоработок, как по самолету, так и по мотору АМ-42, вследствие чего темпы развертывания производства Ил-10 несколько затормозились.</w:t>
      </w:r>
    </w:p>
    <w:p w14:paraId="22CAD9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основных дефектов новой машины необходимо отметить:</w:t>
      </w:r>
    </w:p>
    <w:p w14:paraId="5AF76F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недостаточную прочность болтов крепления башмака оси шасси, что потребовало замены их на всех выпущенных самолетах</w:t>
      </w:r>
    </w:p>
    <w:p w14:paraId="616BE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недостаточную прочность шпилек крепления рычага управления заслонкой водорадиатора</w:t>
      </w:r>
    </w:p>
    <w:p w14:paraId="03754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неотработанность системы закрывания и открывания бомболюков</w:t>
      </w:r>
    </w:p>
    <w:p w14:paraId="45DF7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недостаточную устойчивость самолета на рулежке вследствие малого наклона костыля к горизонту</w:t>
      </w:r>
    </w:p>
    <w:p w14:paraId="287B9E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недостаточную огнестойкость выхлопных патрубков и ряд других дефектов.</w:t>
      </w:r>
    </w:p>
    <w:p w14:paraId="298BF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Устранение этих дефектов в серии и на ранее выпущенных машинах вызвало большой объем дополнительных затрат, связанных с демонтажем ряда агрегатов и заменой узлов и деталей.</w:t>
      </w:r>
    </w:p>
    <w:p w14:paraId="791FC6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это заводы уже в 4 кв. 1944 выполнили часть доработок на выпущенных машинах и обеспечили выпуск серийных машин без отмеченных дефектов.</w:t>
      </w:r>
    </w:p>
    <w:p w14:paraId="53132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отмеченных дефектов по самолету, большое напряжение в работе заводов оказала недоработанность мотораАМ-42, вызвавшая большой объем работ по замене ряда узлов и агрегатов на всех ранее установленных на самолетах моторах, а также перерыв в поставке моторов обоим заводам.</w:t>
      </w:r>
    </w:p>
    <w:p w14:paraId="20E37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перечисленные недоработки в конструкции самолета и мотора естественно замедлили темп развертывания серийного производства Ил-10 и обусловили невыполнение плана по их выпуску в 1944, что отрицательно сказалось как на итогах работы заводов 1 и 18, так и ГУ в целом.</w:t>
      </w:r>
    </w:p>
    <w:p w14:paraId="523AFB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Броневое производство</w:t>
      </w:r>
    </w:p>
    <w:p w14:paraId="3BDF05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125 и 207, на которые возлоаено обеспе</w:t>
      </w:r>
      <w:r w:rsidRPr="00F90EAE">
        <w:rPr>
          <w:color w:val="000000" w:themeColor="text1"/>
          <w:sz w:val="16"/>
          <w:szCs w:val="16"/>
        </w:rPr>
        <w:softHyphen/>
        <w:t>чение бронезащитой всех заводов авиационной промышлен</w:t>
      </w:r>
      <w:r w:rsidRPr="00F90EAE">
        <w:rPr>
          <w:color w:val="000000" w:themeColor="text1"/>
          <w:sz w:val="16"/>
          <w:szCs w:val="16"/>
        </w:rPr>
        <w:softHyphen/>
        <w:t>ности, успешно справились в 1944 г. со всеми поставленными перед ними задачами.</w:t>
      </w:r>
    </w:p>
    <w:p w14:paraId="75E74E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Наряду о выпуском бронезащиты старых типов, заводы, в течение 1944 г., быстро и оперативно освоили производствоновых типов бронезащиты.</w:t>
      </w:r>
    </w:p>
    <w:p w14:paraId="45B85E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частнооти завод 207 в короткий срок освоил и наладил серийное производство нового бронекорпуса к Ил-10, а завод 125 производство удлиненного бронекорпуса к Ил-2.</w:t>
      </w:r>
    </w:p>
    <w:p w14:paraId="4D18AE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выпуска бронезащиты, заводы №№ 125 и 207, в течение отчетного года, проделали больной объем других работ.</w:t>
      </w:r>
    </w:p>
    <w:p w14:paraId="46DE72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125 - организовал машиностроительное производство по выпуску гильотинных ножниц и стружкодробилок и выполнил установленный ему план по этим изделиям. Изготовил и сдал Наркомбумпрому 14 крупно</w:t>
      </w:r>
      <w:r w:rsidRPr="00F90EAE">
        <w:rPr>
          <w:color w:val="000000" w:themeColor="text1"/>
          <w:sz w:val="16"/>
          <w:szCs w:val="16"/>
        </w:rPr>
        <w:softHyphen/>
        <w:t>габаритных пропиточных машин, а также выпустил ряд из</w:t>
      </w:r>
      <w:r w:rsidRPr="00F90EAE">
        <w:rPr>
          <w:color w:val="000000" w:themeColor="text1"/>
          <w:sz w:val="16"/>
          <w:szCs w:val="16"/>
        </w:rPr>
        <w:softHyphen/>
        <w:t>делий для нужд НКО и сельского хозяйства (подковы, лакеха к плугам, зубья для борон и др.)</w:t>
      </w:r>
    </w:p>
    <w:p w14:paraId="5ECC18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успешное выполнение установ</w:t>
      </w:r>
      <w:r w:rsidRPr="00F90EAE">
        <w:rPr>
          <w:color w:val="000000" w:themeColor="text1"/>
          <w:sz w:val="16"/>
          <w:szCs w:val="16"/>
        </w:rPr>
        <w:softHyphen/>
        <w:t>ленного задания по выпуску бронезащитн заводами №№ 125 и 207 было обеспечено благодаря переходу обоих заводов на более современные методы производства.</w:t>
      </w:r>
    </w:p>
    <w:p w14:paraId="56C384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Оба завода внедрили на производстве бэоиекорпуоов поточннв методы производства я конвейера принудительного действия, а такяа провали ряд существенных мероприятий улучшивших технологический процесс изготовления изде</w:t>
      </w:r>
      <w:r w:rsidRPr="00F90EAE">
        <w:rPr>
          <w:color w:val="000000" w:themeColor="text1"/>
          <w:sz w:val="16"/>
          <w:szCs w:val="16"/>
        </w:rPr>
        <w:softHyphen/>
        <w:t>лий.</w:t>
      </w:r>
    </w:p>
    <w:p w14:paraId="25CFB9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Прочие и внеплановые работы</w:t>
      </w:r>
    </w:p>
    <w:p w14:paraId="2D0603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выпуска основной продукции, заводы Главного Управления в течение 1944 г. выполнили ряд серьезных плановых и внеплановых работ, как по обслуживанию ВВС КА, так и удовлетворению нужд народного хозяйства.</w:t>
      </w:r>
    </w:p>
    <w:p w14:paraId="5ABCE3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числу основных и наиболее трудоемких работ этой категории следует отнести:</w:t>
      </w:r>
    </w:p>
    <w:p w14:paraId="1B6DAD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перевооружение импортных самолетов "Бостон" (завод № 456) и изготовление для этой цели аг</w:t>
      </w:r>
      <w:r w:rsidRPr="00F90EAE">
        <w:rPr>
          <w:color w:val="000000" w:themeColor="text1"/>
          <w:sz w:val="16"/>
          <w:szCs w:val="16"/>
        </w:rPr>
        <w:softHyphen/>
        <w:t>регатов и деталей заводами №№ 23, 30, 125 и 456,</w:t>
      </w:r>
    </w:p>
    <w:p w14:paraId="5996BC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Постройку на заводе № 477 для НКВМФ 20 морских разведчиков Бе-4.</w:t>
      </w:r>
    </w:p>
    <w:p w14:paraId="06D7BB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Сборку Ил-4 и Ер-2 на заводе 456, изготовленных заводами 126 и 39</w:t>
      </w:r>
    </w:p>
    <w:p w14:paraId="1D30DD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Перевооружение для ВВС ДВФ на заводе 83 150 И-16 и кап. ремонт 254 Ил-2</w:t>
      </w:r>
    </w:p>
    <w:p w14:paraId="76BB1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Перевооружение 750 Ил-2 с РО-82 на РО-132</w:t>
      </w:r>
    </w:p>
    <w:p w14:paraId="03C68D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 Переоборудование заводом № 84 десяти десантно-транспортных самолетов С-47 в штабные и пасса</w:t>
      </w:r>
      <w:r w:rsidRPr="00F90EAE">
        <w:rPr>
          <w:color w:val="000000" w:themeColor="text1"/>
          <w:sz w:val="16"/>
          <w:szCs w:val="16"/>
        </w:rPr>
        <w:softHyphen/>
        <w:t>жирские и 5 самолетов в варианте бензовозов.</w:t>
      </w:r>
    </w:p>
    <w:p w14:paraId="732A1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ж) Отработку и оборудование самолетов Ли-2 и Ил-4 плямягасителями...</w:t>
      </w:r>
    </w:p>
    <w:p w14:paraId="30C162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 Изгоговление запасных частей и деталей для ремонта тракторов, автомобилей и электростан</w:t>
      </w:r>
      <w:r w:rsidRPr="00F90EAE">
        <w:rPr>
          <w:color w:val="000000" w:themeColor="text1"/>
          <w:sz w:val="16"/>
          <w:szCs w:val="16"/>
        </w:rPr>
        <w:softHyphen/>
        <w:t>ций и ряд других работ более мелкого порядка.</w:t>
      </w:r>
    </w:p>
    <w:p w14:paraId="05F13E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Опытные работы</w:t>
      </w:r>
    </w:p>
    <w:p w14:paraId="13073F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Наряду с серийным производством, большинство основных заводов ГУ в течение 1944 провели значительное количество опытных работ, из которых, как основные, следует отметить следующие:</w:t>
      </w:r>
    </w:p>
    <w:p w14:paraId="18207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Постройка на заводе 22 по чертежам ГК В.М.М. и передача на гос. испытания двух е-2И с ВК-107А типа Москито с повышенными летно-тактическими и аэродинамическими данными от серийного Пе-2 (увеличение скорости на 126 км/час т бомбовой нагрузки на 1000 кг против Пе-2).</w:t>
      </w:r>
    </w:p>
    <w:p w14:paraId="312D9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Параллельно с постройкой опытных экз. завод отработал серийную технологию по изготовлению Пе-2И, а также спроектировал и изготовил оснастку нулевой очереди.</w:t>
      </w:r>
    </w:p>
    <w:p w14:paraId="3D7D22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Постройка на этом же заводе опытного Пе02 с 2хВК-108 по чертежам ГК В.М.М.</w:t>
      </w:r>
    </w:p>
    <w:p w14:paraId="04A605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Проектирование, постройка и передача на гос. испытания заводом 84 нового пассажирского Ли-2 с АШ-82ФН с повышенной скоростью против старого типа Ли-2</w:t>
      </w:r>
    </w:p>
    <w:p w14:paraId="702B14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Постройка на заводе 477 по чертежам ГК Бериева ЛЛ-149 с 2хАШ-73. Постройка этой машины закончена, но сдача на гос. испытания сдерживается из-за непоставки моторов.</w:t>
      </w:r>
    </w:p>
    <w:p w14:paraId="3FB93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Отработка и постройка на заводе 22 по чертежам ГК Незваль двух пе-8 в пассажирском варианте</w:t>
      </w:r>
    </w:p>
    <w:p w14:paraId="3FA49B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 Отработка и постройка на заводе 39 по чертежам ГК Ермолаева двух Ер-2 в пассажирском варианте.</w:t>
      </w:r>
    </w:p>
    <w:p w14:paraId="28F71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Интересно, что ничего не говорится про Ил-12</w:t>
      </w:r>
    </w:p>
    <w:p w14:paraId="29BC82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перечисленных работ по постройка новых типов самолетов, заводв, в течение 1944 г., провели ряд других опытных работ, как-то:</w:t>
      </w:r>
    </w:p>
    <w:p w14:paraId="3FDF21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выпуск партии самолетов Пе-2 с установкой для локализации пожаров о помощью углекислот.</w:t>
      </w:r>
    </w:p>
    <w:p w14:paraId="6E20BC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отрабогка пылеефильтров на самолете Пе-2.</w:t>
      </w:r>
    </w:p>
    <w:p w14:paraId="78E374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выпуск 20 машин Ту-2 с установкой ГП-6 от наддува.</w:t>
      </w:r>
    </w:p>
    <w:p w14:paraId="48EB51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отработка и выпузк 3-х самолетов ТУ-2 в разведывательном варианте.</w:t>
      </w:r>
    </w:p>
    <w:p w14:paraId="069841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отработка на отдельных машинах ТУ-2 отепления кабин, оборудования для ночных полетов, раздельно</w:t>
      </w:r>
      <w:r w:rsidRPr="00F90EAE">
        <w:rPr>
          <w:color w:val="000000" w:themeColor="text1"/>
          <w:sz w:val="16"/>
          <w:szCs w:val="16"/>
        </w:rPr>
        <w:softHyphen/>
        <w:t>го бензопитания, нового расположения радиостанции, доски пилота и т.д.</w:t>
      </w:r>
    </w:p>
    <w:p w14:paraId="1A1AF8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опытные работн, давшие положительное результаты, как правило, использовались в серийной производства, но в отрогом соответствии с приказом Народного номиосара №518, т.н. вводились в производство только после утвержде</w:t>
      </w:r>
      <w:r w:rsidRPr="00F90EAE">
        <w:rPr>
          <w:color w:val="000000" w:themeColor="text1"/>
          <w:sz w:val="16"/>
          <w:szCs w:val="16"/>
        </w:rPr>
        <w:softHyphen/>
        <w:t>ния всех результатов испытаний опытных образцов Главный Управлением и руководством Наркомата.</w:t>
      </w:r>
    </w:p>
    <w:p w14:paraId="17AB3C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КАЧЕСТВО ПРОДУКЦИИ</w:t>
      </w:r>
    </w:p>
    <w:p w14:paraId="1F3262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Вопросам качества продукции Главное Управление и ааводн, на протяжении всего отчетного года, уделяли со ключительное внимание.</w:t>
      </w:r>
    </w:p>
    <w:p w14:paraId="6B0046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Главным Управлением были разработаны и доведены до заводов указания о строжайшей соблюдении технологической дисциплины.Был четко и ясно установлен об"ем я хаоактер технологических изменений, какие'завод имел право прохо</w:t>
      </w:r>
      <w:r w:rsidRPr="00F90EAE">
        <w:rPr>
          <w:color w:val="000000" w:themeColor="text1"/>
          <w:sz w:val="16"/>
          <w:szCs w:val="16"/>
        </w:rPr>
        <w:softHyphen/>
        <w:t>дить самостоятельно и какие подлежали утверждению Главным Управлением, причем заводам вменялась в обязанность и в том и другом случае, при внедренин какого-либо изме</w:t>
      </w:r>
      <w:r w:rsidRPr="00F90EAE">
        <w:rPr>
          <w:color w:val="000000" w:themeColor="text1"/>
          <w:sz w:val="16"/>
          <w:szCs w:val="16"/>
        </w:rPr>
        <w:softHyphen/>
        <w:t>нения, проводить необходимые проверочные испытания.</w:t>
      </w:r>
    </w:p>
    <w:p w14:paraId="048ABF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этого мероприятия количество дефектов, связанных с заменой материалов и изменением режимов об</w:t>
      </w:r>
      <w:r w:rsidRPr="00F90EAE">
        <w:rPr>
          <w:color w:val="000000" w:themeColor="text1"/>
          <w:sz w:val="16"/>
          <w:szCs w:val="16"/>
        </w:rPr>
        <w:softHyphen/>
        <w:t>работки, по сравнению с 1943 г., значительно снизилось.</w:t>
      </w:r>
    </w:p>
    <w:p w14:paraId="59E726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базе выставки Главным Управлением в ближайшее время быдутпроведены совещания заводских работников по новейшим видам технологии производства, направленных на трудоемкости изделий и увеличение производительности труда.</w:t>
      </w:r>
    </w:p>
    <w:p w14:paraId="13AED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Задачи на 1945</w:t>
      </w:r>
    </w:p>
    <w:p w14:paraId="356B62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Основными задачами аппарата и заводов Главного управления на 1945 г. в области производства и технологии надо считать:</w:t>
      </w:r>
    </w:p>
    <w:p w14:paraId="73BA4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Обеспечение увеличения выпуска новых типов Ил-10, Ер-2 и Ту-2</w:t>
      </w:r>
    </w:p>
    <w:p w14:paraId="4D41F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Работу по дальнейшему совершенствованию всех серийных машин, макс. улучшению их ЛТД при повседневной работе над улучшением качества производственного выполнения их на базе глубокого наблюдения и изучения состояния машин в эксплуатации.</w:t>
      </w:r>
    </w:p>
    <w:p w14:paraId="75CE79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Разработку и постройку, совместно с заводами и ОКБ, новых перспективных и вполне современных типов машин, с подготовкой к быстрому внедрению их в серийное производство.</w:t>
      </w:r>
    </w:p>
    <w:p w14:paraId="0D08E3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Максимальное использование мощностей заготовитель</w:t>
      </w:r>
      <w:r w:rsidRPr="00F90EAE">
        <w:rPr>
          <w:color w:val="000000" w:themeColor="text1"/>
          <w:sz w:val="16"/>
          <w:szCs w:val="16"/>
        </w:rPr>
        <w:softHyphen/>
        <w:t>ного и механического оборудования, усовершенство</w:t>
      </w:r>
      <w:r w:rsidRPr="00F90EAE">
        <w:rPr>
          <w:color w:val="000000" w:themeColor="text1"/>
          <w:sz w:val="16"/>
          <w:szCs w:val="16"/>
        </w:rPr>
        <w:softHyphen/>
        <w:t>вание технологических процессов заготовительных оиераций о тем, чтобы обеспечить рост и комплектность заделов по заводам в целом и создание страхо</w:t>
      </w:r>
      <w:r w:rsidRPr="00F90EAE">
        <w:rPr>
          <w:color w:val="000000" w:themeColor="text1"/>
          <w:sz w:val="16"/>
          <w:szCs w:val="16"/>
        </w:rPr>
        <w:softHyphen/>
        <w:t>вых запасов деталей на основных неточных и конвей</w:t>
      </w:r>
      <w:r w:rsidRPr="00F90EAE">
        <w:rPr>
          <w:color w:val="000000" w:themeColor="text1"/>
          <w:sz w:val="16"/>
          <w:szCs w:val="16"/>
        </w:rPr>
        <w:softHyphen/>
        <w:t>ерных линиях.</w:t>
      </w:r>
    </w:p>
    <w:p w14:paraId="290375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Борьбу за резкое сокращение брака путем серьезного - анализа причин и ликвидации повторяющихся в произ</w:t>
      </w:r>
      <w:r w:rsidRPr="00F90EAE">
        <w:rPr>
          <w:color w:val="000000" w:themeColor="text1"/>
          <w:sz w:val="16"/>
          <w:szCs w:val="16"/>
        </w:rPr>
        <w:softHyphen/>
        <w:t>водстве дефектов, повышения производственной дис</w:t>
      </w:r>
      <w:r w:rsidRPr="00F90EAE">
        <w:rPr>
          <w:color w:val="000000" w:themeColor="text1"/>
          <w:sz w:val="16"/>
          <w:szCs w:val="16"/>
        </w:rPr>
        <w:softHyphen/>
        <w:t>циплины, улучшения работы контрольного аппарата и обеспечения его необходимыми контрольно-измери</w:t>
      </w:r>
      <w:r w:rsidRPr="00F90EAE">
        <w:rPr>
          <w:color w:val="000000" w:themeColor="text1"/>
          <w:sz w:val="16"/>
          <w:szCs w:val="16"/>
        </w:rPr>
        <w:softHyphen/>
        <w:t>тельными приборами и инструментам.</w:t>
      </w:r>
    </w:p>
    <w:p w14:paraId="04B618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Строжайшее наблюдение за комплектацией заводов готовыми изделиями с целью нормальной обеспеченнос</w:t>
      </w:r>
      <w:r w:rsidRPr="00F90EAE">
        <w:rPr>
          <w:color w:val="000000" w:themeColor="text1"/>
          <w:sz w:val="16"/>
          <w:szCs w:val="16"/>
        </w:rPr>
        <w:softHyphen/>
        <w:t>ти ими заводов и недопущения образования наликвид</w:t>
      </w:r>
      <w:r w:rsidRPr="00F90EAE">
        <w:rPr>
          <w:color w:val="000000" w:themeColor="text1"/>
          <w:sz w:val="16"/>
          <w:szCs w:val="16"/>
        </w:rPr>
        <w:softHyphen/>
        <w:t>ных остатков.</w:t>
      </w:r>
    </w:p>
    <w:p w14:paraId="58D20B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Организация новых поточных линий с охватом, в первую очередь, монтажно-сборочных работ по окон</w:t>
      </w:r>
      <w:r w:rsidRPr="00F90EAE">
        <w:rPr>
          <w:color w:val="000000" w:themeColor="text1"/>
          <w:sz w:val="16"/>
          <w:szCs w:val="16"/>
        </w:rPr>
        <w:softHyphen/>
        <w:t>чательной сборке ыаиины, внеотапельных и клепаль-но-оборочных работ в агрегатных цехах, узловой оборки и монтажно-сборочных работ в механосборочных цехах.</w:t>
      </w:r>
    </w:p>
    <w:p w14:paraId="0D20FA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Максимальная механизация межцехового и межкорпус</w:t>
      </w:r>
      <w:r w:rsidRPr="00F90EAE">
        <w:rPr>
          <w:color w:val="000000" w:themeColor="text1"/>
          <w:sz w:val="16"/>
          <w:szCs w:val="16"/>
        </w:rPr>
        <w:softHyphen/>
        <w:t>ного внутризаводского транспорта о организацией' транспортной службы.</w:t>
      </w:r>
    </w:p>
    <w:p w14:paraId="452605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Создание транспортных устройств в существующих малярно-сушильных камерах.</w:t>
      </w:r>
    </w:p>
    <w:p w14:paraId="5EB41A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По механической обработке - создание предметных</w:t>
      </w:r>
    </w:p>
    <w:p w14:paraId="3E5785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технологически замкнутых механосборочных цехов и ) организация заготовительно-сбдирочных цехов.</w:t>
      </w:r>
    </w:p>
    <w:p w14:paraId="3EA8EB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По заготовительно-яташювочным работам: дальнейшая механизация заготовительно-штампоЕОЧннх работ и приведение всей номенклатуры в заготовительно-раскроечных цехах н технологическим наборам.</w:t>
      </w:r>
    </w:p>
    <w:p w14:paraId="715C4D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Расширение литья в кокиль и под давлением, а также механизация литейных цехов .</w:t>
      </w:r>
    </w:p>
    <w:p w14:paraId="7D291F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Механизация гальвано-покрытий и анодирование пе</w:t>
      </w:r>
      <w:r w:rsidRPr="00F90EAE">
        <w:rPr>
          <w:color w:val="000000" w:themeColor="text1"/>
          <w:sz w:val="16"/>
          <w:szCs w:val="16"/>
        </w:rPr>
        <w:softHyphen/>
        <w:t>ременным током и</w:t>
      </w:r>
    </w:p>
    <w:p w14:paraId="2DAD58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По термическим цехам - применение кратковременного отпуска для дюралюминиевых заготовок перед штамповкой.</w:t>
      </w:r>
    </w:p>
    <w:p w14:paraId="6E3BD5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ОБОРУДОВАНИЕ И ЭНЕРГОСНАВЖЕНИЕ</w:t>
      </w:r>
    </w:p>
    <w:p w14:paraId="086FDA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1.НАЛИЧИЕ ОБОРУДОВАНЛЯ Н ЕГО ИСПОЛЬЗОВАНИЕ</w:t>
      </w:r>
    </w:p>
    <w:p w14:paraId="461C59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 января 1944 г. наличный парк ноах видов обору</w:t>
      </w:r>
      <w:r w:rsidRPr="00F90EAE">
        <w:rPr>
          <w:color w:val="000000" w:themeColor="text1"/>
          <w:sz w:val="16"/>
          <w:szCs w:val="16"/>
        </w:rPr>
        <w:softHyphen/>
        <w:t>дования (металлорежущего, кузнечно-презэового, депево-обрабатыващего и заготовительного), по всем заводам Главного Управления составлял 20.472 единицы.</w:t>
      </w:r>
    </w:p>
    <w:p w14:paraId="48A62B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отчетного года было введено в эксплоатацию еще 56З единицы и наличный парк оборудования, на 1 января 1944 г., был доведен до 51.035 единиц (2482).</w:t>
      </w:r>
    </w:p>
    <w:p w14:paraId="29CDB3B0" w14:textId="77777777" w:rsidR="00665165" w:rsidRPr="00F90EAE" w:rsidRDefault="00665165" w:rsidP="00F90EAE">
      <w:pPr>
        <w:autoSpaceDE w:val="0"/>
        <w:autoSpaceDN w:val="0"/>
        <w:adjustRightInd w:val="0"/>
        <w:jc w:val="both"/>
        <w:rPr>
          <w:color w:val="000000" w:themeColor="text1"/>
          <w:sz w:val="16"/>
          <w:szCs w:val="16"/>
        </w:rPr>
      </w:pPr>
    </w:p>
    <w:p w14:paraId="537342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года Дементьев писал письмо N Н-35/1710 зам. наркома ВМФ адмиралу Галлеру.</w:t>
      </w:r>
    </w:p>
    <w:p w14:paraId="07C541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распоряжению ГОКО от 17 марта 1945 года N 7861сс НИИ-1 НКАП проводит срочную работу для ВМФ по торпеде РАТ.</w:t>
      </w:r>
    </w:p>
    <w:p w14:paraId="35650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сжатости сроков и малому количеству специалистов-торпедистов в НИИ-1 выполнение задания в срок для НИИ-1 чрезвычайно затруднительно.</w:t>
      </w:r>
    </w:p>
    <w:p w14:paraId="7F508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Вас оказать содействие в выполнении упомянутой работы срочно командировав в НИИ-1 на срок до 1 июля 1945 года следующих конструкторов-торпедистов, находящихся в рядах ВМФ: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4ACCCEEC" w14:textId="77777777">
        <w:tc>
          <w:tcPr>
            <w:tcW w:w="5636" w:type="dxa"/>
          </w:tcPr>
          <w:p w14:paraId="500DE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Обрядин Иван Романович</w:t>
            </w:r>
          </w:p>
        </w:tc>
        <w:tc>
          <w:tcPr>
            <w:tcW w:w="5636" w:type="dxa"/>
          </w:tcPr>
          <w:p w14:paraId="41468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мл. техник-лейтенант </w:t>
            </w:r>
          </w:p>
        </w:tc>
      </w:tr>
      <w:tr w:rsidR="00561F31" w:rsidRPr="00F90EAE" w14:paraId="79AFE3D3" w14:textId="77777777">
        <w:tc>
          <w:tcPr>
            <w:tcW w:w="5636" w:type="dxa"/>
          </w:tcPr>
          <w:p w14:paraId="2E2B161E" w14:textId="77777777" w:rsidR="00665165" w:rsidRPr="00F90EAE" w:rsidRDefault="00665165" w:rsidP="00F90EAE">
            <w:pPr>
              <w:autoSpaceDE w:val="0"/>
              <w:autoSpaceDN w:val="0"/>
              <w:adjustRightInd w:val="0"/>
              <w:jc w:val="both"/>
              <w:rPr>
                <w:color w:val="000000" w:themeColor="text1"/>
                <w:sz w:val="16"/>
                <w:szCs w:val="16"/>
              </w:rPr>
            </w:pPr>
          </w:p>
        </w:tc>
        <w:tc>
          <w:tcPr>
            <w:tcW w:w="5636" w:type="dxa"/>
          </w:tcPr>
          <w:p w14:paraId="45FC43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полевая почта N 22960</w:t>
            </w:r>
          </w:p>
        </w:tc>
      </w:tr>
      <w:tr w:rsidR="00561F31" w:rsidRPr="00F90EAE" w14:paraId="03A90540" w14:textId="77777777">
        <w:tc>
          <w:tcPr>
            <w:tcW w:w="5636" w:type="dxa"/>
          </w:tcPr>
          <w:p w14:paraId="6BC40E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Пашуков Юрий Владимирович</w:t>
            </w:r>
          </w:p>
        </w:tc>
        <w:tc>
          <w:tcPr>
            <w:tcW w:w="5636" w:type="dxa"/>
          </w:tcPr>
          <w:p w14:paraId="5B707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лейтенант, полевая</w:t>
            </w:r>
          </w:p>
        </w:tc>
      </w:tr>
      <w:tr w:rsidR="00561F31" w:rsidRPr="00F90EAE" w14:paraId="3999A9C4" w14:textId="77777777">
        <w:tc>
          <w:tcPr>
            <w:tcW w:w="5636" w:type="dxa"/>
          </w:tcPr>
          <w:p w14:paraId="063B10DD" w14:textId="77777777" w:rsidR="00665165" w:rsidRPr="00F90EAE" w:rsidRDefault="00665165" w:rsidP="00F90EAE">
            <w:pPr>
              <w:autoSpaceDE w:val="0"/>
              <w:autoSpaceDN w:val="0"/>
              <w:adjustRightInd w:val="0"/>
              <w:jc w:val="both"/>
              <w:rPr>
                <w:color w:val="000000" w:themeColor="text1"/>
                <w:sz w:val="16"/>
                <w:szCs w:val="16"/>
              </w:rPr>
            </w:pPr>
          </w:p>
        </w:tc>
        <w:tc>
          <w:tcPr>
            <w:tcW w:w="5636" w:type="dxa"/>
          </w:tcPr>
          <w:p w14:paraId="2302B2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почта N 59187</w:t>
            </w:r>
          </w:p>
        </w:tc>
      </w:tr>
      <w:tr w:rsidR="00561F31" w:rsidRPr="00F90EAE" w14:paraId="1AF152C5" w14:textId="77777777">
        <w:tc>
          <w:tcPr>
            <w:tcW w:w="5636" w:type="dxa"/>
          </w:tcPr>
          <w:p w14:paraId="5712A8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Гурьянов Василий Никитич</w:t>
            </w:r>
          </w:p>
        </w:tc>
        <w:tc>
          <w:tcPr>
            <w:tcW w:w="5636" w:type="dxa"/>
          </w:tcPr>
          <w:p w14:paraId="01E3C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лейтенант, полевая</w:t>
            </w:r>
          </w:p>
        </w:tc>
      </w:tr>
      <w:tr w:rsidR="00561F31" w:rsidRPr="00F90EAE" w14:paraId="191A7404" w14:textId="77777777">
        <w:tc>
          <w:tcPr>
            <w:tcW w:w="5636" w:type="dxa"/>
          </w:tcPr>
          <w:p w14:paraId="37010704" w14:textId="77777777" w:rsidR="00665165" w:rsidRPr="00F90EAE" w:rsidRDefault="00665165" w:rsidP="00F90EAE">
            <w:pPr>
              <w:autoSpaceDE w:val="0"/>
              <w:autoSpaceDN w:val="0"/>
              <w:adjustRightInd w:val="0"/>
              <w:jc w:val="both"/>
              <w:rPr>
                <w:color w:val="000000" w:themeColor="text1"/>
                <w:sz w:val="16"/>
                <w:szCs w:val="16"/>
              </w:rPr>
            </w:pPr>
          </w:p>
        </w:tc>
        <w:tc>
          <w:tcPr>
            <w:tcW w:w="5636" w:type="dxa"/>
          </w:tcPr>
          <w:p w14:paraId="3D76FE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почта N 59187</w:t>
            </w:r>
          </w:p>
        </w:tc>
      </w:tr>
      <w:tr w:rsidR="00561F31" w:rsidRPr="00F90EAE" w14:paraId="540FFA83" w14:textId="77777777">
        <w:tc>
          <w:tcPr>
            <w:tcW w:w="5636" w:type="dxa"/>
          </w:tcPr>
          <w:p w14:paraId="26E179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Топуридзе Мурман Варламович</w:t>
            </w:r>
          </w:p>
        </w:tc>
        <w:tc>
          <w:tcPr>
            <w:tcW w:w="5636" w:type="dxa"/>
          </w:tcPr>
          <w:p w14:paraId="3311F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старшина 1-й статьи</w:t>
            </w:r>
          </w:p>
        </w:tc>
      </w:tr>
      <w:tr w:rsidR="00561F31" w:rsidRPr="00F90EAE" w14:paraId="5319E905" w14:textId="77777777">
        <w:tc>
          <w:tcPr>
            <w:tcW w:w="5636" w:type="dxa"/>
          </w:tcPr>
          <w:p w14:paraId="040A48CA" w14:textId="77777777" w:rsidR="00665165" w:rsidRPr="00F90EAE" w:rsidRDefault="00665165" w:rsidP="00F90EAE">
            <w:pPr>
              <w:autoSpaceDE w:val="0"/>
              <w:autoSpaceDN w:val="0"/>
              <w:adjustRightInd w:val="0"/>
              <w:jc w:val="both"/>
              <w:rPr>
                <w:color w:val="000000" w:themeColor="text1"/>
                <w:sz w:val="16"/>
                <w:szCs w:val="16"/>
              </w:rPr>
            </w:pPr>
          </w:p>
        </w:tc>
        <w:tc>
          <w:tcPr>
            <w:tcW w:w="5636" w:type="dxa"/>
          </w:tcPr>
          <w:p w14:paraId="19970E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полевая почта N 59187</w:t>
            </w:r>
          </w:p>
        </w:tc>
      </w:tr>
    </w:tbl>
    <w:p w14:paraId="240D42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Последние три товарища находятся в настоящее время в отпуске в Москве.</w:t>
      </w:r>
    </w:p>
    <w:p w14:paraId="2BB09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 Вашем решении прошу меня уведомить (2595).</w:t>
      </w:r>
    </w:p>
    <w:p w14:paraId="31C237A4" w14:textId="77777777" w:rsidR="00665165" w:rsidRPr="00F90EAE" w:rsidRDefault="00665165" w:rsidP="00F90EAE">
      <w:pPr>
        <w:autoSpaceDE w:val="0"/>
        <w:autoSpaceDN w:val="0"/>
        <w:adjustRightInd w:val="0"/>
        <w:jc w:val="both"/>
        <w:rPr>
          <w:color w:val="000000" w:themeColor="text1"/>
          <w:sz w:val="16"/>
          <w:szCs w:val="16"/>
        </w:rPr>
      </w:pPr>
    </w:p>
    <w:p w14:paraId="02DD6E6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3E19833" w14:textId="77777777" w:rsidR="00665165" w:rsidRPr="00F90EAE" w:rsidRDefault="00665165" w:rsidP="00F90EAE">
      <w:pPr>
        <w:autoSpaceDE w:val="0"/>
        <w:autoSpaceDN w:val="0"/>
        <w:adjustRightInd w:val="0"/>
        <w:jc w:val="both"/>
        <w:rPr>
          <w:iCs/>
          <w:color w:val="000000" w:themeColor="text1"/>
          <w:sz w:val="16"/>
          <w:szCs w:val="16"/>
        </w:rPr>
      </w:pPr>
    </w:p>
    <w:p w14:paraId="00989F25"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lastRenderedPageBreak/>
        <w:t>В период с 11 апреля по 8 мая 1945 года прошли испытания обстрелом корпусов завода №200 и УЗТМ. Эти испытания весьма противоречиво описываются в отечественной литературе — то ли они прошли с полным успехом, то ли провалились. На самом деле была целая масса нюансов. Во-первых, испытывались корпуса двух заводов, а это означает, что результаты получались разными. Во-вторых, корпуса и башни изготовлялись по техническим условиям, которые приняли для первых пяти корпусов и башен. Уже к марту ТУ изменились в сторону усиления.</w:t>
      </w:r>
    </w:p>
    <w:p w14:paraId="7A1E04E7"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Самым важным вопросом, который часто поднимается, является стойкость носовой детали корпуса. Обстреливали корпуса 122-мм остроголовыми бронебойными снарядами. При курсе 0 градусов снаряды не смогли пробить лоб корпуса на дистанции 200 м. Более того, специально одно попадание было сделано точно в соединение двух листов, и сварные швы выдержали. Пробитие же происходило при курсовых углах 320 и 40 градусов, на дистанции 900 м и ближе. 88-мм снаряд смог пробить нижний кормовой лист на дистанции 300 м. На дистанции 200 м немецкий снаряд не смог пробить верхний бортовой лист корпуса.</w:t>
      </w:r>
    </w:p>
    <w:p w14:paraId="6CAF04E3"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Откуда же появились фотографии разбитого корпуса ИС-3? Ответ прост — это корпус УЗТМ. Качество сварных соединений признали неудовлетворительным, именно этот корпус и разошёлся по швам. От УЗТМ потребовали улучшить ситуация со сварными швами. Заводу №200 также досталось с точки зрения качества сварных швов. Тем не менее, испытания показали главное — 88-мм снаряд пушки Pak 43 верхнюю лобовую деталь корпуса не пробивает на всех углах. Уязвимым местом являлся люк механика-водителя. Вместе с тем, на НИБТ Полигоне отмечали, что корпус ИС-3 по стойкости уступает корпусу Объекта 701. В этом и кроется причина такой настойчивости в предложении принять Объект 701 на вооружение.</w:t>
      </w:r>
    </w:p>
    <w:p w14:paraId="115B5767"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Гораздо хуже показала себя башня. Аналогично башне ИС-2, она изготовлялась из стали 70Л — другой вопрос, что башня ИС-3 имела дифференцированную толщину брони, а это повлияло на её свойство. Ещё до начала испытаний на башне УЗТМ обнаружились трещины, а итоги испытаний обстрелом уже указывались. От завода потребовали запретить практику запуска производства без участия НИИ-48, последнему дали указание срочно подобрать тип литой брони. Одним словом, столь часто обсуждаемый отчёт по бстрелу — это фактически обстрел опытных корпусов и башен. Он не соответствует тем корпусам и башням, что пошли в крупную серию. Самое же главное, что даже в марте была собрана первая машина, имевшая отличия от первых восьми танков. Девятый танк получил люк механика-водителя, который получился на 60 мм шире; изменили крепление КПП на постаменте; улучшили жалюзи надмоторной плиты; поставили новую моторную перегородку и т.д. И это еще не всё: с первой серийной машины толщина крыши отделения управления увеличилась до 30 мм; перенесли рацию; улучшили прибор наблюдения заряжающего и установку прицела; переделали люк командира; поставили защиту вентилятора башни; улучшили ситуацию с местом механика-водителя. Всего с первого серийного экземпляра в машину внесли более десятка различных улучшений.</w:t>
      </w:r>
    </w:p>
    <w:p w14:paraId="7834C349"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совместных работ с НИИ-48 была внедрена новая марка стали — 66ЛМ. Внедрили её на УЗТМ с мая 1945 года. Все 109 башен, сданные заводом в мае 1945 года, были из новой стали. Параллельно шли работы и на заводе №200. Особое внимание в Челябинске обратили на качество сварных швов. Стоит отметить, что в апреле 1945 года на заводе №200 отмечали трещины в лобовой части башни. Вместе с тем, ещё с апреля 1945 года на заводе №200 внедрили новую сталь — 73Л. Из 34 башен, изготовленных в апреле 1945 года, 24 было как раз из стали 73Л. С 26 апреля внедрили новую технологию обработки башен, по ней изготовили 11 башен. Вместе с тем, сталь 73Л продержалась совсем недолго: 26 апреля НКТП принял решение, что и завод №200 будет выпускать башни из стали 66ЛМ. В связи с требованиями о повышении качества деталей вместо 90 комплектов корпусов и башен ИС-3 завод №200 за май 1945 года сдал 56 штук. Как можно заметить по этим работам, уже к маю 1945 года ИС-3 имел корпуса и башни, обладавшие рядом отличий от тех, что обстреливали в апреле месяце.</w:t>
      </w:r>
    </w:p>
    <w:p w14:paraId="1B34C28E"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Пока корпусные заводы бились над повышением качества своей продукции, на ЧКЗ вовсю готовились к выпуску нового танка. Параллельно отрабатывались улучшения конструкции, для чего испытывался танк №9 (703-67009). Одним из проблемных мест оставался тепловой режим, выходивший за рамки допустимых значений. По этой причине максимальная скорость танка была ограничена. В результате апрельскую программу завод начал выполнять только 20 апреля (19731).</w:t>
      </w:r>
    </w:p>
    <w:p w14:paraId="52187EF4" w14:textId="77777777" w:rsidR="00C116C3" w:rsidRPr="00F90EAE" w:rsidRDefault="00C116C3" w:rsidP="00F90EAE">
      <w:pPr>
        <w:pStyle w:val="ae"/>
        <w:shd w:val="clear" w:color="auto" w:fill="FFFFFF"/>
        <w:spacing w:before="0" w:after="0"/>
        <w:jc w:val="both"/>
        <w:textAlignment w:val="baseline"/>
        <w:rPr>
          <w:color w:val="000000" w:themeColor="text1"/>
          <w:sz w:val="16"/>
          <w:szCs w:val="16"/>
        </w:rPr>
      </w:pPr>
    </w:p>
    <w:p w14:paraId="10CB276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вышло № 8064 [Удостоверение первого заместителя уполномоченного Особого комитета при ГКО на 1-м УФ Коваля К.И.] (7323, 65).</w:t>
      </w:r>
    </w:p>
    <w:p w14:paraId="5CB3E00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BA55FA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вышло Распоряжение ГКО № 8065 [О передаче здания школы в Уфе НКпросу РСФСР.] (7323, 66).</w:t>
      </w:r>
    </w:p>
    <w:p w14:paraId="12545D7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99294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года И.В. Курчатов представил анализ ряда материалов, полученных разведкой в конце 1944 года и содержащих разнообразную информацию об американском атомном проекте, относящуюся к различным моментам времени. Материалы были разделены им на следующие группы: технологические и химические вопросы; уран-графитовый котел; котел на уране и тяжелой воде; работы одной из лабораторий США в 1943-1944 годах; разные работы (10549).</w:t>
      </w:r>
    </w:p>
    <w:p w14:paraId="17596B12" w14:textId="77777777" w:rsidR="00665165" w:rsidRPr="00F90EAE" w:rsidRDefault="00665165" w:rsidP="00F90EAE">
      <w:pPr>
        <w:autoSpaceDE w:val="0"/>
        <w:autoSpaceDN w:val="0"/>
        <w:adjustRightInd w:val="0"/>
        <w:jc w:val="both"/>
        <w:rPr>
          <w:color w:val="000000" w:themeColor="text1"/>
          <w:sz w:val="16"/>
          <w:szCs w:val="16"/>
        </w:rPr>
      </w:pPr>
    </w:p>
    <w:p w14:paraId="5C6D4B7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7F4B100" w14:textId="77777777" w:rsidR="00665165" w:rsidRPr="00F90EAE" w:rsidRDefault="00665165" w:rsidP="00F90EAE">
      <w:pPr>
        <w:autoSpaceDE w:val="0"/>
        <w:autoSpaceDN w:val="0"/>
        <w:adjustRightInd w:val="0"/>
        <w:jc w:val="both"/>
        <w:rPr>
          <w:iCs/>
          <w:color w:val="000000" w:themeColor="text1"/>
          <w:sz w:val="16"/>
          <w:szCs w:val="16"/>
        </w:rPr>
      </w:pPr>
    </w:p>
    <w:p w14:paraId="3137439D"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в 1945 году оперативная сводка Совинформбюро:</w:t>
      </w:r>
    </w:p>
    <w:p w14:paraId="3029A61E" w14:textId="77777777" w:rsidR="00371372" w:rsidRPr="00F90EAE" w:rsidRDefault="00371372" w:rsidP="00F90EAE">
      <w:pPr>
        <w:jc w:val="both"/>
        <w:rPr>
          <w:color w:val="000000" w:themeColor="text1"/>
          <w:sz w:val="16"/>
          <w:szCs w:val="16"/>
        </w:rPr>
      </w:pPr>
      <w:r w:rsidRPr="00F90EAE">
        <w:rPr>
          <w:color w:val="000000" w:themeColor="text1"/>
          <w:sz w:val="16"/>
          <w:szCs w:val="16"/>
        </w:rPr>
        <w:t>«В течение 11 апреля в полосе Карпат, западнее города Ружомберок, наши войска, наступая совместно с чехословацкими и румынскими войсками, с боями заняли город и железнодорожную станцию Святой Мартин, узловую железнодорожную станцию Врутки и более 40 других населённых пунктов, в том числе Шутозо, Ратково, Турани, Сучаны, Дражковце, Забарье, Жабокрени, Бистричка, Требостово, Прибовце, Валча, Лазаны, Врицко.</w:t>
      </w:r>
    </w:p>
    <w:p w14:paraId="48D69CB2" w14:textId="77777777" w:rsidR="00371372" w:rsidRPr="00F90EAE" w:rsidRDefault="00371372" w:rsidP="00F90EAE">
      <w:pPr>
        <w:jc w:val="both"/>
        <w:rPr>
          <w:color w:val="000000" w:themeColor="text1"/>
          <w:sz w:val="16"/>
          <w:szCs w:val="16"/>
        </w:rPr>
      </w:pPr>
      <w:r w:rsidRPr="00F90EAE">
        <w:rPr>
          <w:color w:val="000000" w:themeColor="text1"/>
          <w:sz w:val="16"/>
          <w:szCs w:val="16"/>
        </w:rPr>
        <w:t>Северо-западнее Братиславы войска 2-го Украинского фронта, продолжая наступление к западу от реки Моравы, заняли на территории Австрии населённые пункты Дюрнкрут, Штилльфрид, Оллерсдорф, Вейдендорф, Эбенталь, Проттес, Орельм, Шпаннберг, Мацен, Раггендорф, Рейерсдорф.</w:t>
      </w:r>
    </w:p>
    <w:p w14:paraId="6C4643A9" w14:textId="77777777" w:rsidR="00371372" w:rsidRPr="00F90EAE" w:rsidRDefault="00371372" w:rsidP="00F90EAE">
      <w:pPr>
        <w:jc w:val="both"/>
        <w:rPr>
          <w:color w:val="000000" w:themeColor="text1"/>
          <w:sz w:val="16"/>
          <w:szCs w:val="16"/>
        </w:rPr>
      </w:pPr>
      <w:r w:rsidRPr="00F90EAE">
        <w:rPr>
          <w:color w:val="000000" w:themeColor="text1"/>
          <w:sz w:val="16"/>
          <w:szCs w:val="16"/>
        </w:rPr>
        <w:t>В Вене войска 3-го Украинского фронта, форсировав Дунайский канал, овладели юго-восточной половиной городского района, расположенного между каналом и рекой Дунай. В боях за 10 апреля войска фронта взяли в плен более 2.400 солдат и офицеров противника и захватили следующие трофеи: самолётов — 25, танков и самоходных орудий — 39, бронетранспортёров — 21, полевых орудий — 38, пулемётов — 282.</w:t>
      </w:r>
    </w:p>
    <w:p w14:paraId="5E9E92EB" w14:textId="77777777" w:rsidR="00371372" w:rsidRPr="00F90EAE" w:rsidRDefault="00371372" w:rsidP="00F90EAE">
      <w:pPr>
        <w:jc w:val="both"/>
        <w:rPr>
          <w:color w:val="000000" w:themeColor="text1"/>
          <w:sz w:val="16"/>
          <w:szCs w:val="16"/>
        </w:rPr>
      </w:pPr>
      <w:r w:rsidRPr="00F90EAE">
        <w:rPr>
          <w:color w:val="000000" w:themeColor="text1"/>
          <w:sz w:val="16"/>
          <w:szCs w:val="16"/>
        </w:rPr>
        <w:t>На остальных участках фронта — существенных изменений не произошло.</w:t>
      </w:r>
    </w:p>
    <w:p w14:paraId="04772A33" w14:textId="77777777" w:rsidR="00371372" w:rsidRPr="00F90EAE" w:rsidRDefault="00371372" w:rsidP="00F90EAE">
      <w:pPr>
        <w:jc w:val="both"/>
        <w:rPr>
          <w:color w:val="000000" w:themeColor="text1"/>
          <w:sz w:val="16"/>
          <w:szCs w:val="16"/>
        </w:rPr>
      </w:pPr>
      <w:r w:rsidRPr="00F90EAE">
        <w:rPr>
          <w:color w:val="000000" w:themeColor="text1"/>
          <w:sz w:val="16"/>
          <w:szCs w:val="16"/>
        </w:rPr>
        <w:t>За 10 апреля подбито и уничтожено 13 немецких танков. В воздушных боях и огнём зенитной артиллерии сбито 16 самолётов противника.</w:t>
      </w:r>
    </w:p>
    <w:p w14:paraId="6A9A9E6C" w14:textId="77777777" w:rsidR="00371372" w:rsidRPr="00F90EAE" w:rsidRDefault="00371372" w:rsidP="00F90EAE">
      <w:pPr>
        <w:jc w:val="both"/>
        <w:rPr>
          <w:color w:val="000000" w:themeColor="text1"/>
          <w:sz w:val="16"/>
          <w:szCs w:val="16"/>
        </w:rPr>
      </w:pPr>
      <w:r w:rsidRPr="00F90EAE">
        <w:rPr>
          <w:color w:val="000000" w:themeColor="text1"/>
          <w:sz w:val="16"/>
          <w:szCs w:val="16"/>
        </w:rPr>
        <w:t>В ночь на 11-е и днём 11-го апреля наши тяжёлые бомбардировщики наносили удары по военно-промышленным объектам противника в городе Бреслау. В результате бомбардировки возникло большое число пожаров, сопровождавшихся взрывами.</w:t>
      </w:r>
    </w:p>
    <w:p w14:paraId="48BC8268" w14:textId="77777777" w:rsidR="00371372" w:rsidRPr="00F90EAE" w:rsidRDefault="00371372" w:rsidP="00F90EAE">
      <w:pPr>
        <w:jc w:val="both"/>
        <w:rPr>
          <w:color w:val="000000" w:themeColor="text1"/>
          <w:sz w:val="16"/>
          <w:szCs w:val="16"/>
        </w:rPr>
      </w:pPr>
      <w:r w:rsidRPr="00F90EAE">
        <w:rPr>
          <w:color w:val="000000" w:themeColor="text1"/>
          <w:sz w:val="16"/>
          <w:szCs w:val="16"/>
        </w:rPr>
        <w:t>Западнее города Ружомберок наши войска, совместно с чехословацкими и румынскими войсками, продолжали наступление.</w:t>
      </w:r>
    </w:p>
    <w:p w14:paraId="02E39C36" w14:textId="77777777" w:rsidR="00371372" w:rsidRPr="00F90EAE" w:rsidRDefault="00371372" w:rsidP="00F90EAE">
      <w:pPr>
        <w:jc w:val="both"/>
        <w:rPr>
          <w:color w:val="000000" w:themeColor="text1"/>
          <w:sz w:val="16"/>
          <w:szCs w:val="16"/>
        </w:rPr>
      </w:pPr>
      <w:r w:rsidRPr="00F90EAE">
        <w:rPr>
          <w:color w:val="000000" w:themeColor="text1"/>
          <w:sz w:val="16"/>
          <w:szCs w:val="16"/>
        </w:rPr>
        <w:t>Противник, прикрывая горные проходы, создал полосу обороны и превратил город Святой Мартин и железнодорожную станцию Врутки в сильно укреплённые узлы сопротивления. Наши наступающие части предприняли обходный манёвр. Лесами и горными ущельями они вышли с севера к железнодорожной станции Врутки и с юга к городу Святой Мартин. Ночью наши войска стремительно атаковали и штурмом заняли эти опорные пункты обороны немцев. В поселке Врутки находится крупный паровозостроительный завод. Развивая успех, наши подразделения в нескольких местах переправились через реку Турвец и продвинулись вперёд на 10 километров. Захвачены трофеи и пленные.</w:t>
      </w:r>
    </w:p>
    <w:p w14:paraId="70EC8195" w14:textId="77777777" w:rsidR="00371372" w:rsidRPr="00F90EAE" w:rsidRDefault="00371372" w:rsidP="00F90EAE">
      <w:pPr>
        <w:jc w:val="both"/>
        <w:rPr>
          <w:color w:val="000000" w:themeColor="text1"/>
          <w:sz w:val="16"/>
          <w:szCs w:val="16"/>
        </w:rPr>
      </w:pPr>
      <w:r w:rsidRPr="00F90EAE">
        <w:rPr>
          <w:color w:val="000000" w:themeColor="text1"/>
          <w:sz w:val="16"/>
          <w:szCs w:val="16"/>
        </w:rPr>
        <w:t>Северо-западнее Братиславы войска 2-го Украинского фронта с боями продвигались вперёд. Немцы спешно перебросили в этот район свежие силы пехоты и танков и контратаками пытаются задержать наступающие советские части. Отбрасывая противника, наши войска заняли ряд населённых пунктов и железнодорожных станций. Захвачено у немцев 44 паровоза, 1.050 вагонов, 5 складов с военным имуществом и другие трофеи. Взято в плен 450 солдат и офицеров противника.</w:t>
      </w:r>
    </w:p>
    <w:p w14:paraId="3C34134A" w14:textId="77777777" w:rsidR="00371372" w:rsidRPr="00F90EAE" w:rsidRDefault="00371372" w:rsidP="00F90EAE">
      <w:pPr>
        <w:jc w:val="both"/>
        <w:rPr>
          <w:color w:val="000000" w:themeColor="text1"/>
          <w:sz w:val="16"/>
          <w:szCs w:val="16"/>
        </w:rPr>
      </w:pPr>
      <w:r w:rsidRPr="00F90EAE">
        <w:rPr>
          <w:color w:val="000000" w:themeColor="text1"/>
          <w:sz w:val="16"/>
          <w:szCs w:val="16"/>
        </w:rPr>
        <w:t>В Вене войска 3-го Украинского фронта продолжали вести успешные уличные бои. Советские части под прикрытием артиллерийского огня переправились в нескольких местах через Дунайский канал. Сломив упорное сопротивление немцев, наши штурмовые отряды овладели городской электрической станцией. Очищен от противника парк Пратер. Захвачены нефтесклады. Советские подразделения обходят вражеские опорные пункты обороны, а затем уничтожают их гарнизоны. Противник неоднократно предпринимал контратаки, но был отброшен с большими для него потерями. За день боёв уничтожено свыше 4 тысяч немецких солдат и офицеров.</w:t>
      </w:r>
    </w:p>
    <w:p w14:paraId="34D4C67D" w14:textId="77777777" w:rsidR="00371372" w:rsidRPr="00F90EAE" w:rsidRDefault="00371372" w:rsidP="00F90EAE">
      <w:pPr>
        <w:jc w:val="both"/>
        <w:rPr>
          <w:color w:val="000000" w:themeColor="text1"/>
          <w:sz w:val="16"/>
          <w:szCs w:val="16"/>
        </w:rPr>
      </w:pPr>
      <w:r w:rsidRPr="00F90EAE">
        <w:rPr>
          <w:color w:val="000000" w:themeColor="text1"/>
          <w:sz w:val="16"/>
          <w:szCs w:val="16"/>
        </w:rPr>
        <w:t>Группа бойцов под командованием гвардии лейтенанта Мельникова окружила дом, превращенный немцами в опорный пункт обороны. Отважные воины ворвались в дом, перебили несколько десятков гитлеровцев, а 78 немецких солдат и офицеров захватили в плен. Гвардии младший лейтенант Панфилов, отражая вражескую контратаку, огнём из противотанкового ружья сжёг 3 немецких бронетранспортёра. Находясь в разведке, гвардии старший сержант Тафинцев и гвардии сержант Папаев встретились с группой гитлеровцев. Папаев завязал с противником перестрелку, а Тафинцев пробрался к немцам в тыл и огнём из автомата истребил 6 вражеских солдат. Остальные немцы разбежались. Экипаж самоходного орудия гвардии младшего лейтенанта Коробова в одном бою уничтожил немецкий танк и 2 станковых пулемёта. Группа штурмовиков, ведомая капитаном Никитиным, атаковала артиллерийские позиции противника и уничтожила 4 орудия и 15 автомашин с боеприпасами. Лётчик капитан Скотников поджёг на Дунае немецкое нефтеналивное судно.</w:t>
      </w:r>
    </w:p>
    <w:p w14:paraId="61CF839F" w14:textId="77777777" w:rsidR="00371372" w:rsidRPr="00F90EAE" w:rsidRDefault="00371372" w:rsidP="00F90EAE">
      <w:pPr>
        <w:jc w:val="both"/>
        <w:rPr>
          <w:color w:val="000000" w:themeColor="text1"/>
          <w:sz w:val="16"/>
          <w:szCs w:val="16"/>
        </w:rPr>
      </w:pPr>
      <w:r w:rsidRPr="00F90EAE">
        <w:rPr>
          <w:color w:val="000000" w:themeColor="text1"/>
          <w:sz w:val="16"/>
          <w:szCs w:val="16"/>
        </w:rPr>
        <w:t>Гитлеровцы всеми средствами пытались заставить жителей сёл и городов Австрии эвакуироваться вместе с отступающими немецкими войсками. Немцы распускали самые дикие небылицы о Красной Армии, стараясь запугать мирное население. Однако усилия немецких военных властей не увенчались успехом. Подавляющее большинство жителей городов и сёл Австрии осталось на своих местах. Из города Гайнбурга сбежали только руководители фашистских организаций и немцы, обосновавшиеся в Австрии после её оккупации германской армией. Немецкие военные власти мобилизовали всё мужское население Гайнбурга в фольксштурм. Когда советские части подошли к городу, австрийцы-фольксштурмовцы перешли на сторону Красной Армии.</w:t>
      </w:r>
    </w:p>
    <w:p w14:paraId="70F95F46" w14:textId="77777777" w:rsidR="00371372" w:rsidRPr="00F90EAE" w:rsidRDefault="00371372" w:rsidP="00F90EAE">
      <w:pPr>
        <w:jc w:val="both"/>
        <w:rPr>
          <w:color w:val="000000" w:themeColor="text1"/>
          <w:sz w:val="16"/>
          <w:szCs w:val="16"/>
        </w:rPr>
      </w:pPr>
      <w:r w:rsidRPr="00F90EAE">
        <w:rPr>
          <w:color w:val="000000" w:themeColor="text1"/>
          <w:sz w:val="16"/>
          <w:szCs w:val="16"/>
        </w:rPr>
        <w:t xml:space="preserve">В городе Брук все жители отказались от эвакуации, проводившейся немцами. Леопольд Хальтер, бывший до вторжения немецких войск в Австрию бургомистром города, рассказывает: «За несколько дней до занятия Брука Красной Армией в городе состоялась демонстрация. Свыше тысячи жителей собралось перед зданием городского управления и, размахивая белыми платками, потребовало, чтобы власти сдали город без боя. Только с помощью отрядов эсэсовцев и жандармов </w:t>
      </w:r>
      <w:r w:rsidRPr="00F90EAE">
        <w:rPr>
          <w:color w:val="000000" w:themeColor="text1"/>
          <w:sz w:val="16"/>
          <w:szCs w:val="16"/>
        </w:rPr>
        <w:lastRenderedPageBreak/>
        <w:t>коменданту города подполковнику Мюллеру удалось рассеять демонстрантов». Железнодорожник Франц Краковер заявил: «Мы рады приходу Красной Армии и благодарим её за то, что она освободила нас от немецко-фашистского режима. Каждый австриец мечтает о возрождении независимой и демократической Австрии» (15096).</w:t>
      </w:r>
    </w:p>
    <w:p w14:paraId="29C8EB94" w14:textId="77777777" w:rsidR="00371372" w:rsidRPr="00F90EAE" w:rsidRDefault="00371372" w:rsidP="00F90EAE">
      <w:pPr>
        <w:jc w:val="both"/>
        <w:rPr>
          <w:color w:val="000000" w:themeColor="text1"/>
          <w:sz w:val="16"/>
          <w:szCs w:val="16"/>
        </w:rPr>
      </w:pPr>
    </w:p>
    <w:p w14:paraId="1C025D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11 апреля 1945 весь гшап на Ил-10 прибыл к месту назначения. Командованию воздушной ар</w:t>
      </w:r>
      <w:r w:rsidRPr="00F90EAE">
        <w:rPr>
          <w:color w:val="000000" w:themeColor="text1"/>
          <w:sz w:val="16"/>
          <w:szCs w:val="16"/>
        </w:rPr>
        <w:softHyphen/>
        <w:t>мии и 2-й гшад., выяснив реальную го</w:t>
      </w:r>
      <w:r w:rsidRPr="00F90EAE">
        <w:rPr>
          <w:color w:val="000000" w:themeColor="text1"/>
          <w:sz w:val="16"/>
          <w:szCs w:val="16"/>
        </w:rPr>
        <w:softHyphen/>
        <w:t>товность полка к боевым действиям, решило полк в бой пока не вво</w:t>
      </w:r>
      <w:r w:rsidRPr="00F90EAE">
        <w:rPr>
          <w:color w:val="000000" w:themeColor="text1"/>
          <w:sz w:val="16"/>
          <w:szCs w:val="16"/>
        </w:rPr>
        <w:softHyphen/>
        <w:t>дить, дабы не подорвать веру в новый штурмовик и не нести напрасные поте</w:t>
      </w:r>
      <w:r w:rsidRPr="00F90EAE">
        <w:rPr>
          <w:color w:val="000000" w:themeColor="text1"/>
          <w:sz w:val="16"/>
          <w:szCs w:val="16"/>
        </w:rPr>
        <w:softHyphen/>
        <w:t>ри, а дать летчикам полноценно подгото</w:t>
      </w:r>
      <w:r w:rsidRPr="00F90EAE">
        <w:rPr>
          <w:color w:val="000000" w:themeColor="text1"/>
          <w:sz w:val="16"/>
          <w:szCs w:val="16"/>
        </w:rPr>
        <w:softHyphen/>
        <w:t>виться, а также завершить перевооруже</w:t>
      </w:r>
      <w:r w:rsidRPr="00F90EAE">
        <w:rPr>
          <w:color w:val="000000" w:themeColor="text1"/>
          <w:sz w:val="16"/>
          <w:szCs w:val="16"/>
        </w:rPr>
        <w:softHyphen/>
        <w:t>ние части на Ил-10. В течение всего ап</w:t>
      </w:r>
      <w:r w:rsidRPr="00F90EAE">
        <w:rPr>
          <w:color w:val="000000" w:themeColor="text1"/>
          <w:sz w:val="16"/>
          <w:szCs w:val="16"/>
        </w:rPr>
        <w:softHyphen/>
        <w:t>реля в 78-м интенсивно занимались вво</w:t>
      </w:r>
      <w:r w:rsidRPr="00F90EAE">
        <w:rPr>
          <w:color w:val="000000" w:themeColor="text1"/>
          <w:sz w:val="16"/>
          <w:szCs w:val="16"/>
        </w:rPr>
        <w:softHyphen/>
        <w:t>дом в строй молодого летного состава, не прошедшего в Куйбышеве переучива</w:t>
      </w:r>
      <w:r w:rsidRPr="00F90EAE">
        <w:rPr>
          <w:color w:val="000000" w:themeColor="text1"/>
          <w:sz w:val="16"/>
          <w:szCs w:val="16"/>
        </w:rPr>
        <w:softHyphen/>
        <w:t>ния на новый штурмовик, и тренировкой «стариков». В это время во Львове при</w:t>
      </w:r>
      <w:r w:rsidRPr="00F90EAE">
        <w:rPr>
          <w:color w:val="000000" w:themeColor="text1"/>
          <w:sz w:val="16"/>
          <w:szCs w:val="16"/>
        </w:rPr>
        <w:softHyphen/>
        <w:t>нимали и собирали Ил-10. Машины за</w:t>
      </w:r>
      <w:r w:rsidRPr="00F90EAE">
        <w:rPr>
          <w:color w:val="000000" w:themeColor="text1"/>
          <w:sz w:val="16"/>
          <w:szCs w:val="16"/>
        </w:rPr>
        <w:softHyphen/>
        <w:t>тем перегонялись на базу наиболее под</w:t>
      </w:r>
      <w:r w:rsidRPr="00F90EAE">
        <w:rPr>
          <w:color w:val="000000" w:themeColor="text1"/>
          <w:sz w:val="16"/>
          <w:szCs w:val="16"/>
        </w:rPr>
        <w:softHyphen/>
        <w:t>готовленными летчиками полка. Имев</w:t>
      </w:r>
      <w:r w:rsidRPr="00F90EAE">
        <w:rPr>
          <w:color w:val="000000" w:themeColor="text1"/>
          <w:sz w:val="16"/>
          <w:szCs w:val="16"/>
        </w:rPr>
        <w:softHyphen/>
        <w:t>шиеся Ил-2 передавались в другие час</w:t>
      </w:r>
      <w:r w:rsidRPr="00F90EAE">
        <w:rPr>
          <w:color w:val="000000" w:themeColor="text1"/>
          <w:sz w:val="16"/>
          <w:szCs w:val="16"/>
        </w:rPr>
        <w:softHyphen/>
        <w:t>ти дивизии (10681).</w:t>
      </w:r>
    </w:p>
    <w:p w14:paraId="21B72A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E799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в 1,5 километрах юго-восточнее косы Хела во время массированного налета (62 Ил-2 из всех четырех штурмовых авиаполков ВВС КБФ - 7-го.8-го ,35-го и 47-го), один из самолетов (летчик - младший лейтенант И.А.Комозов, стрелок - младший сержант И.Ф.Кирконенко) был подбит и тараном потопил большой сторожевик (по другим данным -тральщик). Установить объект атаки в данном случае достаточно сложно, так как 11 апреля 1945 г. оказался очень успешным для балтийских летчиков. Только в районе косы Хела на дно пошли военные транспорты “Мольткефельс” и “Дойчланд”, госпитальное судно “Позен”, миноносец NS-10, охотники за подводными лодками Uj-1101 nUj-1102, самоходная баржа В-9 “Хелфрид” и сторожевой катер “Pil-64”. Тяжелые повреждения получили транспорты “Претория” и “Аскари”, большой тральщик М-387 и корпус недостроенного миноносца Т-40. Помогли данные водолазного обследования. С большой долей уверенности можно утверждать, что Ил-2 таранил и потопил новейший миноносец - NS-10 постройки 1944 года. Этот довольно крупный корабль водоизмещением в 775 тонн строился как тральщик М-376, но еще на стапеле был вооружен торпедными аппаратами и достроен уже как миноносец. А всего через несколько месяцев он пошел на дно вместе со всем экипажем. Водолазное обследование показало, что корабль быстро затонул в результате сильного разрушения кормовой части, которое вызвало попадание самолета, пробившего палубу и взорвавшегося в подпалубном пространстве. Но вновь летчики за свой подвиг не получили звание Героев Советского Союза (8942).</w:t>
      </w:r>
    </w:p>
    <w:p w14:paraId="71FB3AAC" w14:textId="77777777" w:rsidR="00665165" w:rsidRPr="00F90EAE" w:rsidRDefault="00665165" w:rsidP="00F90EAE">
      <w:pPr>
        <w:autoSpaceDE w:val="0"/>
        <w:autoSpaceDN w:val="0"/>
        <w:adjustRightInd w:val="0"/>
        <w:jc w:val="both"/>
        <w:rPr>
          <w:color w:val="000000" w:themeColor="text1"/>
          <w:sz w:val="16"/>
          <w:szCs w:val="16"/>
        </w:rPr>
      </w:pPr>
    </w:p>
    <w:p w14:paraId="4E06C10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вышло Постановление ГКО № 8066 О порядке финансирования кораблей и частей Военно-Морского Флота на территории Австрии. (7323, 67).</w:t>
      </w:r>
    </w:p>
    <w:p w14:paraId="7427528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396C97C" w14:textId="77777777" w:rsidR="00C116C3" w:rsidRPr="00F90EAE" w:rsidRDefault="00C116C3" w:rsidP="00F90EAE">
      <w:pPr>
        <w:pStyle w:val="ae"/>
        <w:spacing w:before="0" w:after="0"/>
        <w:jc w:val="both"/>
        <w:textAlignment w:val="baseline"/>
        <w:rPr>
          <w:color w:val="000000" w:themeColor="text1"/>
          <w:sz w:val="16"/>
          <w:szCs w:val="16"/>
        </w:rPr>
      </w:pPr>
      <w:r w:rsidRPr="00F90EAE">
        <w:rPr>
          <w:color w:val="000000" w:themeColor="text1"/>
          <w:sz w:val="16"/>
          <w:szCs w:val="16"/>
        </w:rPr>
        <w:t>11 апреля 1945 штурмовики снова нанесли удар по немецким кораблям, находившимся все там же, в паре километров юго-восточнее мыса Хель. На этот раз атака была массированной, в ней участвовали 62 Ил-2 из 7-го пшап, 8-го гв. шап, 35-го и 47-го шап. Этот день в самом конце войны стал по-настоящему звездным часом для ВВС Балтийского флота. Флотские летчики потопили в Данцигском заливе, в районе косы Хель, военные транспорты «Мольткефельс» и «Дойчланд», госпитальное судно «Позен», миноносец NS-10, два охотника за подлодками, самоходную баржу и сторожевой катер. Тяжелые повреждения получили еще два транспорта и тральщик.</w:t>
      </w:r>
    </w:p>
    <w:p w14:paraId="6ABC6100" w14:textId="77777777" w:rsidR="00C116C3" w:rsidRPr="00F90EAE" w:rsidRDefault="00C116C3" w:rsidP="00F90EAE">
      <w:pPr>
        <w:pStyle w:val="ae"/>
        <w:spacing w:before="0" w:after="0"/>
        <w:jc w:val="both"/>
        <w:textAlignment w:val="baseline"/>
        <w:rPr>
          <w:color w:val="000000" w:themeColor="text1"/>
          <w:sz w:val="16"/>
          <w:szCs w:val="16"/>
        </w:rPr>
      </w:pPr>
      <w:r w:rsidRPr="00F90EAE">
        <w:rPr>
          <w:color w:val="000000" w:themeColor="text1"/>
          <w:sz w:val="16"/>
          <w:szCs w:val="16"/>
        </w:rPr>
        <w:t>При этом можно утверждать, что миноносец NS-10 водоизмещением 775 тонн затонул после того, как в его корму врезался и взорвался подбитый штурмовик младшего лейтенанта Ивана Комозова из 7-го гв. пшап.</w:t>
      </w:r>
    </w:p>
    <w:p w14:paraId="57E23DBA" w14:textId="77777777" w:rsidR="00C116C3" w:rsidRPr="00F90EAE" w:rsidRDefault="00C116C3" w:rsidP="00F90EAE">
      <w:pPr>
        <w:pStyle w:val="ae"/>
        <w:spacing w:before="0" w:after="0"/>
        <w:jc w:val="both"/>
        <w:textAlignment w:val="baseline"/>
        <w:rPr>
          <w:color w:val="000000" w:themeColor="text1"/>
          <w:sz w:val="16"/>
          <w:szCs w:val="16"/>
        </w:rPr>
      </w:pPr>
      <w:r w:rsidRPr="00F90EAE">
        <w:rPr>
          <w:color w:val="000000" w:themeColor="text1"/>
          <w:sz w:val="16"/>
          <w:szCs w:val="16"/>
        </w:rPr>
        <w:t>И уже в который раз флотское начальство, временами буквально раздававшее высокие награды направо и налево, не удосужилось представить летчика к званию Героя (19522).</w:t>
      </w:r>
    </w:p>
    <w:p w14:paraId="1D66E4A9" w14:textId="77777777" w:rsidR="00C116C3" w:rsidRPr="00F90EAE" w:rsidRDefault="00C116C3" w:rsidP="00F90EAE">
      <w:pPr>
        <w:pStyle w:val="ae"/>
        <w:spacing w:before="0" w:after="0"/>
        <w:jc w:val="both"/>
        <w:textAlignment w:val="baseline"/>
        <w:rPr>
          <w:color w:val="000000" w:themeColor="text1"/>
          <w:sz w:val="16"/>
          <w:szCs w:val="16"/>
        </w:rPr>
      </w:pPr>
    </w:p>
    <w:p w14:paraId="0F5EE3F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65B3F09" w14:textId="77777777" w:rsidR="00665165" w:rsidRPr="00F90EAE" w:rsidRDefault="00665165" w:rsidP="00F90EAE">
      <w:pPr>
        <w:autoSpaceDE w:val="0"/>
        <w:autoSpaceDN w:val="0"/>
        <w:adjustRightInd w:val="0"/>
        <w:jc w:val="both"/>
        <w:rPr>
          <w:iCs/>
          <w:color w:val="000000" w:themeColor="text1"/>
          <w:sz w:val="16"/>
          <w:szCs w:val="16"/>
        </w:rPr>
      </w:pPr>
    </w:p>
    <w:p w14:paraId="358E15B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подписан советско-югославский договор о послевоенном сотрудничестве (4962).</w:t>
      </w:r>
    </w:p>
    <w:p w14:paraId="26E4A27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C3A83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был подписан договор о дружбе, взаимопомощи и послевоенном сотрудничестве с Югославией (1348,247).</w:t>
      </w:r>
    </w:p>
    <w:p w14:paraId="5BCFF922" w14:textId="77777777" w:rsidR="00665165" w:rsidRPr="00F90EAE" w:rsidRDefault="00665165" w:rsidP="00F90EAE">
      <w:pPr>
        <w:autoSpaceDE w:val="0"/>
        <w:autoSpaceDN w:val="0"/>
        <w:adjustRightInd w:val="0"/>
        <w:jc w:val="both"/>
        <w:rPr>
          <w:color w:val="000000" w:themeColor="text1"/>
          <w:sz w:val="16"/>
          <w:szCs w:val="16"/>
        </w:rPr>
      </w:pPr>
    </w:p>
    <w:p w14:paraId="54956AB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32BAE66" w14:textId="77777777" w:rsidR="00665165" w:rsidRPr="00F90EAE" w:rsidRDefault="00665165" w:rsidP="00F90EAE">
      <w:pPr>
        <w:autoSpaceDE w:val="0"/>
        <w:autoSpaceDN w:val="0"/>
        <w:adjustRightInd w:val="0"/>
        <w:jc w:val="both"/>
        <w:rPr>
          <w:iCs/>
          <w:color w:val="000000" w:themeColor="text1"/>
          <w:sz w:val="16"/>
          <w:szCs w:val="16"/>
        </w:rPr>
      </w:pPr>
    </w:p>
    <w:p w14:paraId="3DCE3035" w14:textId="77777777" w:rsidR="00E2487F" w:rsidRPr="00F90EAE" w:rsidRDefault="00E2487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американские войска захватили завод по производству ракет ФАУ в Нордхаузене и срочно эвакуировали все оборудование, чтобы оно не досталось русским (4962).</w:t>
      </w:r>
    </w:p>
    <w:p w14:paraId="2A1C4117" w14:textId="77777777" w:rsidR="00E2487F" w:rsidRPr="00F90EAE" w:rsidRDefault="00E2487F" w:rsidP="00F90EAE">
      <w:pPr>
        <w:tabs>
          <w:tab w:val="left" w:pos="11199"/>
        </w:tabs>
        <w:autoSpaceDE w:val="0"/>
        <w:autoSpaceDN w:val="0"/>
        <w:adjustRightInd w:val="0"/>
        <w:jc w:val="both"/>
        <w:rPr>
          <w:color w:val="000000" w:themeColor="text1"/>
          <w:sz w:val="16"/>
          <w:szCs w:val="16"/>
        </w:rPr>
      </w:pPr>
    </w:p>
    <w:p w14:paraId="18F9E60D"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в 1945 году американские войска захватили подземный завод "Миттельверк" в Нордхаузене где были обнаружены 54 готовых к отправке ракет «А-4» («Фау-2») и в цехах еще 35 – «Фау-2» в той или иной степени готовности. Все это богатство было вывезено в США, где стало настоящим открытием для американских инженеров-ракетчиков. Позднее эти ракеты были использованы для вертикальных пусков с целью изучения условий в ближнем околоземном космическом пространстве (15096).</w:t>
      </w:r>
    </w:p>
    <w:p w14:paraId="45FB3A44" w14:textId="77777777" w:rsidR="00371372" w:rsidRPr="00F90EAE" w:rsidRDefault="00371372" w:rsidP="00F90EAE">
      <w:pPr>
        <w:jc w:val="both"/>
        <w:rPr>
          <w:color w:val="000000" w:themeColor="text1"/>
          <w:sz w:val="16"/>
          <w:szCs w:val="16"/>
        </w:rPr>
      </w:pPr>
    </w:p>
    <w:p w14:paraId="51F72F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американцы освободили концлагерь Бухенвальд (2248,4).</w:t>
      </w:r>
    </w:p>
    <w:p w14:paraId="12EEB110" w14:textId="77777777" w:rsidR="00665165" w:rsidRPr="00F90EAE" w:rsidRDefault="00665165" w:rsidP="00F90EAE">
      <w:pPr>
        <w:autoSpaceDE w:val="0"/>
        <w:autoSpaceDN w:val="0"/>
        <w:adjustRightInd w:val="0"/>
        <w:jc w:val="both"/>
        <w:rPr>
          <w:color w:val="000000" w:themeColor="text1"/>
          <w:sz w:val="16"/>
          <w:szCs w:val="16"/>
        </w:rPr>
      </w:pPr>
    </w:p>
    <w:p w14:paraId="6A0B7905" w14:textId="77777777" w:rsidR="00E2487F" w:rsidRPr="00F90EAE" w:rsidRDefault="00E2487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войска союзников освободили узников Бухенвальда (4962), советские военнопленные подняли восстание в концлагере Бухенвальд предотвратив тем самым полное уничтожение его узников фашистами. На следующий день в лагерь вошли передовые части Красной армии (4963 ).</w:t>
      </w:r>
    </w:p>
    <w:p w14:paraId="552E9639" w14:textId="77777777" w:rsidR="00E2487F" w:rsidRPr="00F90EAE" w:rsidRDefault="00E2487F" w:rsidP="00F90EAE">
      <w:pPr>
        <w:tabs>
          <w:tab w:val="left" w:pos="11199"/>
        </w:tabs>
        <w:autoSpaceDE w:val="0"/>
        <w:autoSpaceDN w:val="0"/>
        <w:adjustRightInd w:val="0"/>
        <w:jc w:val="both"/>
        <w:rPr>
          <w:color w:val="000000" w:themeColor="text1"/>
          <w:sz w:val="16"/>
          <w:szCs w:val="16"/>
        </w:rPr>
      </w:pPr>
    </w:p>
    <w:p w14:paraId="7745E7A3"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в 1945 году войска союзников освободили узников Бухенвальда. Бухенвальд - немецко-фашистский концентрационный лагерь. Создан в 1937 в окрестностях Веймара. Первоначально назывался Эттерсберг. За 8 лет около 239 тысяч человек были его узниками. Вначале это были немецкие антифашисты, позднее, в годы 2-й мировой войны, представители многих других национальностей. Много заключённых погибло уже в период строительства лагеря, которое велось без использования механизмов. Заключённых беспощадно эксплуатировали также владельцы крупных промышленных фирм, чьи предприятия были расположены в районе Бухенвальда (Сименс, Юнкерс и др.). Особенно много заключённых погибло в филиале Бухенвальда - "Дора", где в подземных помещениях изготовлялись самолёты-снаряды "Фау" (15096).</w:t>
      </w:r>
    </w:p>
    <w:p w14:paraId="4FD45DBD" w14:textId="77777777" w:rsidR="00371372" w:rsidRPr="00F90EAE" w:rsidRDefault="00371372" w:rsidP="00F90EAE">
      <w:pPr>
        <w:jc w:val="both"/>
        <w:rPr>
          <w:color w:val="000000" w:themeColor="text1"/>
          <w:sz w:val="16"/>
          <w:szCs w:val="16"/>
        </w:rPr>
      </w:pPr>
    </w:p>
    <w:p w14:paraId="211CE983"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1945 года подпольный комитет концлагеря Бухенвальд организовал вооруженное восстание, и узники этого лагеря получили свободу при помощи войск союзников. Видную роль в подготовке восстания сыграл сержант-пограничник из Новосибирска Н.С.Симаков, возглавивший руководящий центр подполья. Армия США вошла в Бухенвальд. Было освобождено более 20 тысяч человек, в том числе 900 детей. Эту памятную дату во всем мире отмечают как Международный День освобождения узников фашистских лагерей. Она учреждена по решению Организации Объединённых Наций. В 1958 году в Бухенвальде открыт величественный комплекс сооружений, посвященный героям и жертвам этого концлагеря (15096).</w:t>
      </w:r>
    </w:p>
    <w:p w14:paraId="6D3715DD" w14:textId="77777777" w:rsidR="00371372" w:rsidRPr="00F90EAE" w:rsidRDefault="00371372" w:rsidP="00F90EAE">
      <w:pPr>
        <w:jc w:val="both"/>
        <w:rPr>
          <w:color w:val="000000" w:themeColor="text1"/>
          <w:sz w:val="16"/>
          <w:szCs w:val="16"/>
        </w:rPr>
      </w:pPr>
    </w:p>
    <w:p w14:paraId="754E9FD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11 1945 2nd Armored Division, US 9th Army reaches the Elbe river (1242).</w:t>
      </w:r>
    </w:p>
    <w:p w14:paraId="6457E6BB" w14:textId="77777777" w:rsidR="00665165" w:rsidRPr="00F90EAE" w:rsidRDefault="00665165" w:rsidP="00F90EAE">
      <w:pPr>
        <w:autoSpaceDE w:val="0"/>
        <w:autoSpaceDN w:val="0"/>
        <w:adjustRightInd w:val="0"/>
        <w:jc w:val="both"/>
        <w:rPr>
          <w:color w:val="000000" w:themeColor="text1"/>
          <w:sz w:val="16"/>
          <w:szCs w:val="16"/>
          <w:lang w:val="en-US"/>
        </w:rPr>
      </w:pPr>
    </w:p>
    <w:p w14:paraId="1B3B81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американская армия вышла к Эльбе (1242) в 120 км от Берлина (3907,256).</w:t>
      </w:r>
    </w:p>
    <w:p w14:paraId="54D4B53C" w14:textId="77777777" w:rsidR="00665165" w:rsidRPr="00F90EAE" w:rsidRDefault="00665165" w:rsidP="00F90EAE">
      <w:pPr>
        <w:autoSpaceDE w:val="0"/>
        <w:autoSpaceDN w:val="0"/>
        <w:adjustRightInd w:val="0"/>
        <w:jc w:val="both"/>
        <w:rPr>
          <w:color w:val="000000" w:themeColor="text1"/>
          <w:sz w:val="16"/>
          <w:szCs w:val="16"/>
        </w:rPr>
      </w:pPr>
    </w:p>
    <w:p w14:paraId="7F39A31F"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в 1945 году американские войска вышли к Эльбе в районе Виттенберре, в 120 километрах к северо-западу от Берлина (15096).</w:t>
      </w:r>
    </w:p>
    <w:p w14:paraId="6133E4C8" w14:textId="77777777" w:rsidR="00371372" w:rsidRPr="00F90EAE" w:rsidRDefault="00371372" w:rsidP="00F90EAE">
      <w:pPr>
        <w:jc w:val="both"/>
        <w:rPr>
          <w:color w:val="000000" w:themeColor="text1"/>
          <w:sz w:val="16"/>
          <w:szCs w:val="16"/>
        </w:rPr>
      </w:pPr>
    </w:p>
    <w:p w14:paraId="1EDCA4B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11th, 1945: Continuing bitter fighting in the center of Vienna, as well as in Breslau. In the West, the US Ninth Army captures Bochum in the Ruhr and Goslar in the Harz Mountains (3819).</w:t>
      </w:r>
    </w:p>
    <w:p w14:paraId="11A72AEA" w14:textId="77777777" w:rsidR="00665165" w:rsidRPr="00F90EAE" w:rsidRDefault="00665165" w:rsidP="00F90EAE">
      <w:pPr>
        <w:autoSpaceDE w:val="0"/>
        <w:autoSpaceDN w:val="0"/>
        <w:adjustRightInd w:val="0"/>
        <w:jc w:val="both"/>
        <w:rPr>
          <w:color w:val="000000" w:themeColor="text1"/>
          <w:sz w:val="16"/>
          <w:szCs w:val="16"/>
          <w:lang w:val="en-US"/>
        </w:rPr>
      </w:pPr>
    </w:p>
    <w:p w14:paraId="55261C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9А США заняла Бохум в Руре и Гослар в Гарце (3819).</w:t>
      </w:r>
    </w:p>
    <w:p w14:paraId="32152F37" w14:textId="77777777" w:rsidR="00665165" w:rsidRPr="00F90EAE" w:rsidRDefault="00665165" w:rsidP="00F90EAE">
      <w:pPr>
        <w:autoSpaceDE w:val="0"/>
        <w:autoSpaceDN w:val="0"/>
        <w:adjustRightInd w:val="0"/>
        <w:jc w:val="both"/>
        <w:rPr>
          <w:color w:val="000000" w:themeColor="text1"/>
          <w:sz w:val="16"/>
          <w:szCs w:val="16"/>
        </w:rPr>
      </w:pPr>
    </w:p>
    <w:p w14:paraId="76AE1E93" w14:textId="77777777" w:rsidR="007D191E" w:rsidRPr="00F90EAE" w:rsidRDefault="007D191E" w:rsidP="00F90EAE">
      <w:pPr>
        <w:jc w:val="both"/>
        <w:rPr>
          <w:color w:val="0070C0"/>
          <w:sz w:val="16"/>
          <w:szCs w:val="16"/>
        </w:rPr>
      </w:pPr>
      <w:r w:rsidRPr="00F90EAE">
        <w:rPr>
          <w:color w:val="0070C0"/>
          <w:sz w:val="16"/>
          <w:szCs w:val="16"/>
        </w:rPr>
        <w:t>11 апреля 1945 авианосцы Британского Тихоокеанского флота наносят удары по Формозе (20371).</w:t>
      </w:r>
    </w:p>
    <w:p w14:paraId="10D7D255" w14:textId="77777777" w:rsidR="007D191E" w:rsidRPr="00F90EAE" w:rsidRDefault="007D191E" w:rsidP="00F90EAE">
      <w:pPr>
        <w:jc w:val="both"/>
        <w:rPr>
          <w:color w:val="0070C0"/>
          <w:sz w:val="16"/>
          <w:szCs w:val="16"/>
        </w:rPr>
      </w:pPr>
    </w:p>
    <w:p w14:paraId="42ACD421" w14:textId="77777777" w:rsidR="007D191E" w:rsidRPr="00F90EAE" w:rsidRDefault="007D191E" w:rsidP="00F90EAE">
      <w:pPr>
        <w:jc w:val="both"/>
        <w:rPr>
          <w:color w:val="0070C0"/>
          <w:sz w:val="16"/>
          <w:szCs w:val="16"/>
        </w:rPr>
      </w:pPr>
      <w:r w:rsidRPr="00F90EAE">
        <w:rPr>
          <w:color w:val="0070C0"/>
          <w:sz w:val="16"/>
          <w:szCs w:val="16"/>
        </w:rPr>
        <w:t>11 апреля 1945 - Атакой японского летчика-камикадзе на «Zero» повреждается американский линкор "Миссури" - самый большой американский военный корабль. Самолет ударил корабль ниже главной палубы, нанеся минимальный урон и не вызвав никаких катастрофических последствий (22538).</w:t>
      </w:r>
    </w:p>
    <w:p w14:paraId="7B52DA3D" w14:textId="77777777" w:rsidR="007D191E" w:rsidRPr="00F90EAE" w:rsidRDefault="007D191E" w:rsidP="00F90EAE">
      <w:pPr>
        <w:jc w:val="both"/>
        <w:rPr>
          <w:color w:val="0070C0"/>
          <w:sz w:val="16"/>
          <w:szCs w:val="16"/>
        </w:rPr>
      </w:pPr>
    </w:p>
    <w:p w14:paraId="71C1248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апреля 1945 атакой японского летчика-камикадзе серьезно поврежден американский линкор “Миссури” (4962).</w:t>
      </w:r>
    </w:p>
    <w:p w14:paraId="19A316D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0AF771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11 1945 Japanese begin furious air offensive, using Kamikaze aircraft, against United States shipping off Okinawa (1037).</w:t>
      </w:r>
    </w:p>
    <w:p w14:paraId="0678906A" w14:textId="77777777" w:rsidR="00665165" w:rsidRPr="00F90EAE" w:rsidRDefault="00665165" w:rsidP="00F90EAE">
      <w:pPr>
        <w:autoSpaceDE w:val="0"/>
        <w:autoSpaceDN w:val="0"/>
        <w:adjustRightInd w:val="0"/>
        <w:jc w:val="both"/>
        <w:rPr>
          <w:color w:val="000000" w:themeColor="text1"/>
          <w:sz w:val="16"/>
          <w:szCs w:val="16"/>
          <w:lang w:val="en-US"/>
        </w:rPr>
      </w:pPr>
    </w:p>
    <w:p w14:paraId="5A48EAED" w14:textId="77777777" w:rsidR="00371372" w:rsidRPr="00F90EAE" w:rsidRDefault="00371372" w:rsidP="00F90EAE">
      <w:pPr>
        <w:jc w:val="both"/>
        <w:rPr>
          <w:color w:val="000000" w:themeColor="text1"/>
          <w:sz w:val="16"/>
          <w:szCs w:val="16"/>
        </w:rPr>
      </w:pPr>
      <w:r w:rsidRPr="00F90EAE">
        <w:rPr>
          <w:color w:val="000000" w:themeColor="text1"/>
          <w:sz w:val="16"/>
          <w:szCs w:val="16"/>
        </w:rPr>
        <w:t>11 апреля в 1945 году атакой японского летчика-камикадзе серьезно повреждается американский линкор "Миссури" (15096).</w:t>
      </w:r>
    </w:p>
    <w:p w14:paraId="3A697DAF" w14:textId="77777777" w:rsidR="00371372" w:rsidRPr="00F90EAE" w:rsidRDefault="00371372" w:rsidP="00F90EAE">
      <w:pPr>
        <w:jc w:val="both"/>
        <w:rPr>
          <w:color w:val="000000" w:themeColor="text1"/>
          <w:sz w:val="16"/>
          <w:szCs w:val="16"/>
        </w:rPr>
      </w:pPr>
    </w:p>
    <w:p w14:paraId="7C0778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японцы начали воздушное наступление против американских судов с использованием камикадзе в районе Окинавы (1037).</w:t>
      </w:r>
    </w:p>
    <w:p w14:paraId="45A746E8" w14:textId="77777777" w:rsidR="00665165" w:rsidRPr="00F90EAE" w:rsidRDefault="00665165" w:rsidP="00F90EAE">
      <w:pPr>
        <w:autoSpaceDE w:val="0"/>
        <w:autoSpaceDN w:val="0"/>
        <w:adjustRightInd w:val="0"/>
        <w:jc w:val="both"/>
        <w:rPr>
          <w:color w:val="000000" w:themeColor="text1"/>
          <w:sz w:val="16"/>
          <w:szCs w:val="16"/>
        </w:rPr>
      </w:pPr>
    </w:p>
    <w:p w14:paraId="3D57FB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апреля 1945 адмирал Угаки приступил к проведению операции «Кикусуй-2». 12 апреля операция продолжалась. Угаки собрал, где только мог, 380 самолетов. В самоубийственные атаки отправилось 185 самолетов (125 морских и 60 армейских) и 10 бомбардировщиков с самолетами Ока. Группа прикрытия состояла из 150 истребителей (Иванов Ю.Г. Камикадзе: пилоты-смертники. Смоленск: Русич, 2001.). В 13 часов летчики-смертники были уже над Окинавой. Начался кровавый бой.</w:t>
      </w:r>
    </w:p>
    <w:p w14:paraId="7368EE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Через облака к американским кораблям пробился один из бомбардировщиков-носителей. 22-летний лейтенант Дохи Сабуро снял летный шлем и спасательный жилет, повязал хатимаки, попросил пилота бомбардировщика Миуру передать пистолет другу на память. Прощальный взмах рукой – и Дохи шагнул в люк самолета-снаряда. Люк закрылся, и через несколько секунд лейтенант Дохи просигналил о готовности к атаке. Бомбардировщик находился в это время на высоте 6 тыс. м и в 18 км от цели.</w:t>
      </w:r>
    </w:p>
    <w:p w14:paraId="1BA09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Поблизости начали рваться зенитные снаряды. Миура нажал кнопку сброса, Бетти вздрогнул – самолет Ока отделился и с резким снижением устремился вперед.</w:t>
      </w:r>
    </w:p>
    <w:p w14:paraId="7B870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самолет-носитель попал снаряд, но летчику удалось погасить пламя в моторе, и он благополучно приземлился на своем аэродроме. Эта машина оказалась единственной уцелевшей, остальные самолеты стали жертвой американских истребителей.</w:t>
      </w:r>
    </w:p>
    <w:p w14:paraId="05C3D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Вернемся к описанию самоубийственной атаки. После отделения Ока бой продолжался. В 14 часов 45 минут самоубийственной атаке трех истребителей Зеро подвергся эсминец «Маннерт Л. Абель», находившийся в радиолокационном дозоре к северозападу от Окинавы. Один из самолетов врезался в кормовое машинное отделение. Взрыв его бомбы переломил вал и киль. Корабль потерял ход. Через минуту к эсминцу мчался на огромной скорости самолет-снаряд. Он врезался в правый борт корабля под передней трубой. Гигантский взрыв разнес всю среднюю часть корабля. Нос и корма сами по себе затонули через пять минут. Среди обломков плавали уцелевшие американские моряки.</w:t>
      </w:r>
    </w:p>
    <w:p w14:paraId="44D5E7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Японские летчики обстреливали их из пулеметов. Погибло 114 американцев.</w:t>
      </w:r>
    </w:p>
    <w:p w14:paraId="5D2A96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этот день еще три самолета Ока поразили американские суда.</w:t>
      </w:r>
    </w:p>
    <w:p w14:paraId="45CDAC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Одним из них был эскадренный миноносец «Джефферс», спешивший спасать команду «Абеля». Пилот Ока промахнулся, и самолет упал в 50 м от правого борта миноносца. Мощный взрыв вызвал гигантскую волну, которая искорежила верхнюю палубу корабля.</w:t>
      </w:r>
    </w:p>
    <w:p w14:paraId="7E6FEA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Два других самолета Ока нанесли удар по эсминцу «Стэнли». Зенитным огнем корабля одному из самолетов-снарядов оторвало крыло, и он упал в 1800 м от цели. Другой самолет-снаряд поразил правый борт, прошел корабль насквозь и взорвался над водой у левого борта. Эсминец удивительным образом избежал гибели, так как боевая часть Ока не взорвалась сразу при ударе.</w:t>
      </w:r>
    </w:p>
    <w:p w14:paraId="2683E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корабле зияла большая дыра. Есть данные, что в этих боях самолеты-снаряды Ока также повредили линкоp «Вест Виpджи ния» и тpи тpанспоpтных судна.</w:t>
      </w:r>
    </w:p>
    <w:p w14:paraId="2C664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операция «Кикусуй-2» закончилась. Ее результатом явилось потопление двух и тяжелое повреждение трех кораблей, которые впоследствии были разобраны и исключены из списков ВМС США. Шесть кораблей вышли из строя на срок более 30 дней. 124 американских моряка погибли и 130 пропали без вести. Американцы со всей ответственностью оценили опасность японских самоубийственных атак и начали разрабатывать меры по противодействию им (11686).</w:t>
      </w:r>
    </w:p>
    <w:p w14:paraId="6A5419F8" w14:textId="77777777" w:rsidR="00665165" w:rsidRPr="00F90EAE" w:rsidRDefault="00665165" w:rsidP="00F90EAE">
      <w:pPr>
        <w:autoSpaceDE w:val="0"/>
        <w:autoSpaceDN w:val="0"/>
        <w:adjustRightInd w:val="0"/>
        <w:jc w:val="both"/>
        <w:rPr>
          <w:color w:val="000000" w:themeColor="text1"/>
          <w:sz w:val="16"/>
          <w:szCs w:val="16"/>
        </w:rPr>
      </w:pPr>
    </w:p>
    <w:p w14:paraId="3775221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3A90AB8" w14:textId="77777777" w:rsidR="00665165" w:rsidRPr="00F90EAE" w:rsidRDefault="00665165" w:rsidP="00F90EAE">
      <w:pPr>
        <w:autoSpaceDE w:val="0"/>
        <w:autoSpaceDN w:val="0"/>
        <w:adjustRightInd w:val="0"/>
        <w:jc w:val="both"/>
        <w:rPr>
          <w:iCs/>
          <w:color w:val="000000" w:themeColor="text1"/>
          <w:sz w:val="16"/>
          <w:szCs w:val="16"/>
        </w:rPr>
      </w:pPr>
    </w:p>
    <w:p w14:paraId="270D0A30"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12 апреля 1945 постановлением ГКО устанавливался выпуск И-10 на 2-й квартал. В течение трех месяцев, до июля 1945 года, планировалось собрать и передать ВВС в общей сложности 960 самолетов Ил-10 и 1634 самолета Ил-2.</w:t>
      </w:r>
    </w:p>
    <w:p w14:paraId="3A4CA902"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То есть общий выпуск «десяток» в первом полугодии должен был составить 1435 самолетов Ил-10. Однако реалии оказались далеки от планового уровня. На 1 июня 1945 года заводы № 1 и № 18 сдали ВВС по боевой готовности 1035 самолетов Ил-10.</w:t>
      </w:r>
    </w:p>
    <w:p w14:paraId="29FC75D7"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554170DA" w14:textId="77777777" w:rsidR="00117BE3" w:rsidRPr="00F90EAE" w:rsidRDefault="00117BE3" w:rsidP="00F90EAE">
      <w:pPr>
        <w:jc w:val="both"/>
        <w:rPr>
          <w:rStyle w:val="107"/>
          <w:rFonts w:eastAsiaTheme="minorHAnsi"/>
          <w:color w:val="000000" w:themeColor="text1"/>
          <w:sz w:val="16"/>
          <w:szCs w:val="16"/>
        </w:rPr>
      </w:pPr>
    </w:p>
    <w:p w14:paraId="4A933A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постановлением ГКО был установлен План на II квартал. В тече</w:t>
      </w:r>
      <w:r w:rsidRPr="00F90EAE">
        <w:rPr>
          <w:color w:val="000000" w:themeColor="text1"/>
          <w:sz w:val="16"/>
          <w:szCs w:val="16"/>
        </w:rPr>
        <w:softHyphen/>
        <w:t>ние трех месяцев, до июля 1945 г. тре</w:t>
      </w:r>
      <w:r w:rsidRPr="00F90EAE">
        <w:rPr>
          <w:color w:val="000000" w:themeColor="text1"/>
          <w:sz w:val="16"/>
          <w:szCs w:val="16"/>
        </w:rPr>
        <w:softHyphen/>
        <w:t>бовалось сдать в общей сложности 960 Ил-10. Общий выпуск «десяток» в пер</w:t>
      </w:r>
      <w:r w:rsidRPr="00F90EAE">
        <w:rPr>
          <w:color w:val="000000" w:themeColor="text1"/>
          <w:sz w:val="16"/>
          <w:szCs w:val="16"/>
        </w:rPr>
        <w:softHyphen/>
        <w:t>вом полугодии должен был составить 1435 машин (10680).</w:t>
      </w:r>
    </w:p>
    <w:p w14:paraId="0D3562A2" w14:textId="77777777" w:rsidR="00665165" w:rsidRPr="00F90EAE" w:rsidRDefault="00665165" w:rsidP="00F90EAE">
      <w:pPr>
        <w:autoSpaceDE w:val="0"/>
        <w:autoSpaceDN w:val="0"/>
        <w:adjustRightInd w:val="0"/>
        <w:jc w:val="both"/>
        <w:rPr>
          <w:color w:val="000000" w:themeColor="text1"/>
          <w:sz w:val="16"/>
          <w:szCs w:val="16"/>
        </w:rPr>
      </w:pPr>
    </w:p>
    <w:p w14:paraId="54159E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апреля 1945 Постановлением ГОКО устанавливался выпуск самолетов на П-й квартал. В течение трех месяцев, до июля 1945 г. планировалось со</w:t>
      </w:r>
      <w:r w:rsidRPr="00F90EAE">
        <w:rPr>
          <w:color w:val="000000" w:themeColor="text1"/>
          <w:sz w:val="16"/>
          <w:szCs w:val="16"/>
        </w:rPr>
        <w:softHyphen/>
        <w:t>брать и передать ВВС в общей слож</w:t>
      </w:r>
      <w:r w:rsidRPr="00F90EAE">
        <w:rPr>
          <w:color w:val="000000" w:themeColor="text1"/>
          <w:sz w:val="16"/>
          <w:szCs w:val="16"/>
        </w:rPr>
        <w:softHyphen/>
        <w:t>ности 960 самолетов Ил-10 и 1634 са</w:t>
      </w:r>
      <w:r w:rsidRPr="00F90EAE">
        <w:rPr>
          <w:color w:val="000000" w:themeColor="text1"/>
          <w:sz w:val="16"/>
          <w:szCs w:val="16"/>
        </w:rPr>
        <w:softHyphen/>
        <w:t>молетов Ил-2. То есть, общий выпуск «десяток» в первом полугодии должен был соста</w:t>
      </w:r>
      <w:r w:rsidRPr="00F90EAE">
        <w:rPr>
          <w:color w:val="000000" w:themeColor="text1"/>
          <w:sz w:val="16"/>
          <w:szCs w:val="16"/>
        </w:rPr>
        <w:softHyphen/>
        <w:t>вить 1435 самолетов Ил-10, однако реалии оказались далеки от планово</w:t>
      </w:r>
      <w:r w:rsidRPr="00F90EAE">
        <w:rPr>
          <w:color w:val="000000" w:themeColor="text1"/>
          <w:sz w:val="16"/>
          <w:szCs w:val="16"/>
        </w:rPr>
        <w:softHyphen/>
        <w:t>го уровня, и кондиционных «десяток» в 1-й заб постоянно не хватало для обеспечения бесперебойного процес</w:t>
      </w:r>
      <w:r w:rsidRPr="00F90EAE">
        <w:rPr>
          <w:color w:val="000000" w:themeColor="text1"/>
          <w:sz w:val="16"/>
          <w:szCs w:val="16"/>
        </w:rPr>
        <w:softHyphen/>
        <w:t>са переучивания маршевых полков (11131).</w:t>
      </w:r>
    </w:p>
    <w:p w14:paraId="5C5DDB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7B5CC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на 31 заводе сделали Як-3 с ВК107А цельнометаллический на основе серийного N 70-03, выпущенного на 31 заводе в марте 1945, и начались заводские испытания, которые продолжались по 10 мая 1945 (65,192).</w:t>
      </w:r>
    </w:p>
    <w:p w14:paraId="34777B9A" w14:textId="77777777" w:rsidR="00665165" w:rsidRPr="00F90EAE" w:rsidRDefault="00665165" w:rsidP="00F90EAE">
      <w:pPr>
        <w:autoSpaceDE w:val="0"/>
        <w:autoSpaceDN w:val="0"/>
        <w:adjustRightInd w:val="0"/>
        <w:jc w:val="both"/>
        <w:rPr>
          <w:color w:val="000000" w:themeColor="text1"/>
          <w:sz w:val="16"/>
          <w:szCs w:val="16"/>
        </w:rPr>
      </w:pPr>
    </w:p>
    <w:p w14:paraId="66CD9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самолет Як-3 М-107А №7003 завода №31 выкатили на аэродром. К 1 апреля 1945 года головную серийную машину Як-3 М-107А №7003 завода № 31 доставили по железной дороге на завод №115. Стыковка самолета и исправление производственных дефектов продолжались 11 дней. От опытных машин он отличался лишь металлическим крылом. На передних частях центроплан- ных щитков шасси были смонтированы замки бомбового типа, качалки управления рулем высоты установлены на шарикоподшипниках, а на двигателе - дополнительная маслопомпа и модифицированный регулятор наддува. Сняты расходный бачок и обратные клапаны бензобаков. На правую и левую группы топливных баков поставили отдельные пожарные краны и уменьшили запас бензина с 524 до 470 литров. Кроме этого, заменили маслорадиа- тор типа 555 на ОП-622 с большей охлаждающей поверхностью, а в качестве передатчика использовали РСИ-ЗМ-1 (12047).</w:t>
      </w:r>
    </w:p>
    <w:p w14:paraId="7749F09B" w14:textId="77777777" w:rsidR="00665165" w:rsidRPr="00F90EAE" w:rsidRDefault="00665165" w:rsidP="00F90EAE">
      <w:pPr>
        <w:autoSpaceDE w:val="0"/>
        <w:autoSpaceDN w:val="0"/>
        <w:adjustRightInd w:val="0"/>
        <w:jc w:val="both"/>
        <w:rPr>
          <w:color w:val="000000" w:themeColor="text1"/>
          <w:sz w:val="16"/>
          <w:szCs w:val="16"/>
        </w:rPr>
      </w:pPr>
    </w:p>
    <w:p w14:paraId="6AA058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12 апреля по 10 мая 1945 года машина №7003 завода №31 проходила заводские испытания.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247114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21277E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0339E164" w14:textId="77777777" w:rsidR="00665165" w:rsidRPr="00F90EAE" w:rsidRDefault="00665165" w:rsidP="00F90EAE">
      <w:pPr>
        <w:autoSpaceDE w:val="0"/>
        <w:autoSpaceDN w:val="0"/>
        <w:adjustRightInd w:val="0"/>
        <w:jc w:val="both"/>
        <w:rPr>
          <w:color w:val="000000" w:themeColor="text1"/>
          <w:sz w:val="16"/>
          <w:szCs w:val="16"/>
        </w:rPr>
      </w:pPr>
    </w:p>
    <w:p w14:paraId="5E8860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прервались до 19 и продолжились по 27 апреля 1945 гос. испытания серийного Як-3 ПФ-2 N 2229 292 завода, выпущенного в ноябре 1944, которые начались с 10 апреля 1945 (805,5).</w:t>
      </w:r>
    </w:p>
    <w:p w14:paraId="30E2E2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0B091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стт-л В.П.Белодеденко</w:t>
      </w:r>
    </w:p>
    <w:p w14:paraId="764C72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вли к Мванов</w:t>
      </w:r>
    </w:p>
    <w:p w14:paraId="6DC082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0D628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на 15-19 км/час меньше установленной постановлением ГОКО от 26 октября 1943</w:t>
      </w:r>
    </w:p>
    <w:p w14:paraId="16EED4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объем б/б был на 22 л меньше, чем у с-та Як-1 М “дублер”</w:t>
      </w:r>
    </w:p>
    <w:p w14:paraId="636664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мала дальность р/передатчика (45 км)</w:t>
      </w:r>
    </w:p>
    <w:p w14:paraId="6A1E43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Кроме того - отсос щитков в полете на повышенной скорости, искажения фонаря козырька пилота, большие усилия перезарядки МП-20 ШВАК</w:t>
      </w:r>
    </w:p>
    <w:p w14:paraId="2606E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721F1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Як-3 № 22-29 с ПФ-2 контрольные испытания прошел неудовлетворительно.</w:t>
      </w:r>
    </w:p>
    <w:p w14:paraId="2D3C64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нем не устранены следующие основаные дефекты, выявленные при испытаниях с-та № 11-12:</w:t>
      </w:r>
    </w:p>
    <w:p w14:paraId="00DB04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6D544E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максимальная дальность радиопередачи (60 км)</w:t>
      </w:r>
    </w:p>
    <w:p w14:paraId="565320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мала емкость б/б (360 л против 372 л у опытного Як-1М “дублер”</w:t>
      </w:r>
    </w:p>
    <w:p w14:paraId="4E06F2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- 3 мая 1945, Лосюков - 4 мая 1945</w:t>
      </w:r>
    </w:p>
    <w:p w14:paraId="7B7F1A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561F31" w:rsidRPr="00F90EAE" w14:paraId="2245A203" w14:textId="77777777">
        <w:tc>
          <w:tcPr>
            <w:tcW w:w="3369" w:type="dxa"/>
            <w:tcBorders>
              <w:top w:val="single" w:sz="12" w:space="0" w:color="auto"/>
            </w:tcBorders>
          </w:tcPr>
          <w:p w14:paraId="5623E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1961" w:type="dxa"/>
            <w:tcBorders>
              <w:top w:val="single" w:sz="12" w:space="0" w:color="auto"/>
            </w:tcBorders>
          </w:tcPr>
          <w:p w14:paraId="3B0AC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82CC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57EFC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25575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от 26 октября 1943</w:t>
            </w:r>
          </w:p>
        </w:tc>
      </w:tr>
      <w:tr w:rsidR="00561F31" w:rsidRPr="00F90EAE" w14:paraId="3F313CAA" w14:textId="77777777">
        <w:tc>
          <w:tcPr>
            <w:tcW w:w="3369" w:type="dxa"/>
          </w:tcPr>
          <w:p w14:paraId="646508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1961" w:type="dxa"/>
          </w:tcPr>
          <w:p w14:paraId="12F5DF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961" w:type="dxa"/>
          </w:tcPr>
          <w:p w14:paraId="7D83D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961" w:type="dxa"/>
          </w:tcPr>
          <w:p w14:paraId="45362A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961" w:type="dxa"/>
          </w:tcPr>
          <w:p w14:paraId="4A191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2670</w:t>
            </w:r>
          </w:p>
        </w:tc>
      </w:tr>
      <w:tr w:rsidR="00561F31" w:rsidRPr="00F90EAE" w14:paraId="4A619D46" w14:textId="77777777">
        <w:tc>
          <w:tcPr>
            <w:tcW w:w="3369" w:type="dxa"/>
          </w:tcPr>
          <w:p w14:paraId="5EF11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w:t>
            </w:r>
          </w:p>
        </w:tc>
        <w:tc>
          <w:tcPr>
            <w:tcW w:w="1961" w:type="dxa"/>
          </w:tcPr>
          <w:p w14:paraId="636181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961" w:type="dxa"/>
          </w:tcPr>
          <w:p w14:paraId="2EBAF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tc>
        <w:tc>
          <w:tcPr>
            <w:tcW w:w="1961" w:type="dxa"/>
          </w:tcPr>
          <w:p w14:paraId="55DEA2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w:t>
            </w:r>
          </w:p>
        </w:tc>
        <w:tc>
          <w:tcPr>
            <w:tcW w:w="1961" w:type="dxa"/>
          </w:tcPr>
          <w:p w14:paraId="590907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6D913479" w14:textId="77777777">
        <w:tc>
          <w:tcPr>
            <w:tcW w:w="3369" w:type="dxa"/>
          </w:tcPr>
          <w:p w14:paraId="1DDB6E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1-й границе высотности</w:t>
            </w:r>
          </w:p>
        </w:tc>
        <w:tc>
          <w:tcPr>
            <w:tcW w:w="1961" w:type="dxa"/>
          </w:tcPr>
          <w:p w14:paraId="0636AF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613/2100</w:t>
            </w:r>
          </w:p>
        </w:tc>
        <w:tc>
          <w:tcPr>
            <w:tcW w:w="1961" w:type="dxa"/>
          </w:tcPr>
          <w:p w14:paraId="7AFD52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610/2200</w:t>
            </w:r>
          </w:p>
        </w:tc>
        <w:tc>
          <w:tcPr>
            <w:tcW w:w="1961" w:type="dxa"/>
          </w:tcPr>
          <w:p w14:paraId="635FCC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610/1600</w:t>
            </w:r>
          </w:p>
        </w:tc>
        <w:tc>
          <w:tcPr>
            <w:tcW w:w="1961" w:type="dxa"/>
          </w:tcPr>
          <w:p w14:paraId="6D2CDF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10BBE91" w14:textId="77777777">
        <w:tc>
          <w:tcPr>
            <w:tcW w:w="3369" w:type="dxa"/>
          </w:tcPr>
          <w:p w14:paraId="7696F0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границе высотности</w:t>
            </w:r>
          </w:p>
        </w:tc>
        <w:tc>
          <w:tcPr>
            <w:tcW w:w="1961" w:type="dxa"/>
          </w:tcPr>
          <w:p w14:paraId="17A3C9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639/4150</w:t>
            </w:r>
          </w:p>
        </w:tc>
        <w:tc>
          <w:tcPr>
            <w:tcW w:w="1961" w:type="dxa"/>
          </w:tcPr>
          <w:p w14:paraId="01710F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631/4200</w:t>
            </w:r>
          </w:p>
        </w:tc>
        <w:tc>
          <w:tcPr>
            <w:tcW w:w="1961" w:type="dxa"/>
          </w:tcPr>
          <w:p w14:paraId="695BB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642/3750</w:t>
            </w:r>
          </w:p>
        </w:tc>
        <w:tc>
          <w:tcPr>
            <w:tcW w:w="1961" w:type="dxa"/>
          </w:tcPr>
          <w:p w14:paraId="7DDEA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23F23C32" w14:textId="77777777">
        <w:tc>
          <w:tcPr>
            <w:tcW w:w="3369" w:type="dxa"/>
            <w:tcBorders>
              <w:bottom w:val="single" w:sz="12" w:space="0" w:color="auto"/>
            </w:tcBorders>
          </w:tcPr>
          <w:p w14:paraId="1A9AAC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w:t>
            </w:r>
          </w:p>
        </w:tc>
        <w:tc>
          <w:tcPr>
            <w:tcW w:w="1961" w:type="dxa"/>
            <w:tcBorders>
              <w:bottom w:val="single" w:sz="12" w:space="0" w:color="auto"/>
            </w:tcBorders>
          </w:tcPr>
          <w:p w14:paraId="3AE9AB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961" w:type="dxa"/>
            <w:tcBorders>
              <w:bottom w:val="single" w:sz="12" w:space="0" w:color="auto"/>
            </w:tcBorders>
          </w:tcPr>
          <w:p w14:paraId="317113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961" w:type="dxa"/>
            <w:tcBorders>
              <w:bottom w:val="single" w:sz="12" w:space="0" w:color="auto"/>
            </w:tcBorders>
          </w:tcPr>
          <w:p w14:paraId="5A0A7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961" w:type="dxa"/>
            <w:tcBorders>
              <w:bottom w:val="single" w:sz="12" w:space="0" w:color="auto"/>
            </w:tcBorders>
          </w:tcPr>
          <w:p w14:paraId="5DC68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1EFC0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1хТМА-2- ШВАК и 2хБС синхр.</w:t>
      </w:r>
    </w:p>
    <w:p w14:paraId="455DC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серийного с-та № 11-12, проходившего КИ в сентябре 1944 имеет следующие основные отличия:</w:t>
      </w:r>
    </w:p>
    <w:p w14:paraId="38CE23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планеру</w:t>
      </w:r>
    </w:p>
    <w:p w14:paraId="573CA4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проведены мероприятия по улучшению аэродинамики с-та</w:t>
      </w:r>
    </w:p>
    <w:p w14:paraId="4C6F7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уменьшены щели между крылом и элеронами, между килем и РП и между стабилизатором и РВ</w:t>
      </w:r>
    </w:p>
    <w:p w14:paraId="6C5458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уменьшены вырезы под кронштейны элеронов и рулей</w:t>
      </w:r>
    </w:p>
    <w:p w14:paraId="7AD31C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улучшена герметичность с-та</w:t>
      </w:r>
    </w:p>
    <w:p w14:paraId="10012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поставлены замки на центральные щитки шасси</w:t>
      </w:r>
    </w:p>
    <w:p w14:paraId="16D84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повышена прочность крыла:</w:t>
      </w:r>
    </w:p>
    <w:p w14:paraId="02F3B7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увеличена вдвое площадь склейки средней части нервюр 8, 9, 10, 11, 14, 16, 18 с верхней обшивкой</w:t>
      </w:r>
    </w:p>
    <w:p w14:paraId="5AC27D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72615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средняя часть и шпон лобовой части обшивки приклеены клеем ВИАМ-Б-3</w:t>
      </w:r>
    </w:p>
    <w:p w14:paraId="1AC79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 ВМГ - установлено приспособление для газового запуска мотора...</w:t>
      </w:r>
    </w:p>
    <w:p w14:paraId="76D66C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 - вместо передатчика РСИ-3 установлен РСИ-3М-1...</w:t>
      </w:r>
    </w:p>
    <w:p w14:paraId="1B0DBE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795F5B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5A587B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выполнено 20 полетов с общим налетом 12:16</w:t>
      </w:r>
    </w:p>
    <w:p w14:paraId="0F7998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2146 при нормальном полетном 2710. Ц/т 24,7%</w:t>
      </w:r>
    </w:p>
    <w:p w14:paraId="46E5FB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- 90</w:t>
      </w:r>
    </w:p>
    <w:p w14:paraId="7FE1F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- 360 л (уд. Вес 0,741) - 267 кг</w:t>
      </w:r>
    </w:p>
    <w:p w14:paraId="19C4C7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- 95,5</w:t>
      </w:r>
    </w:p>
    <w:p w14:paraId="2D2639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- 77,5</w:t>
      </w:r>
    </w:p>
    <w:p w14:paraId="2E86A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- 14</w:t>
      </w:r>
    </w:p>
    <w:p w14:paraId="7FD794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564 кг</w:t>
      </w:r>
    </w:p>
    <w:p w14:paraId="0C634F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8E850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Перечень дефектов и конструктивных недостатков, выявленных при испытаниях:</w:t>
      </w:r>
    </w:p>
    <w:p w14:paraId="635C24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отсос щитков шасси при полете на повышенной скорости</w:t>
      </w:r>
    </w:p>
    <w:p w14:paraId="60EBA7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отставание обшивки в нижней части конца фюзеляжа, отставание обшивки киля</w:t>
      </w:r>
    </w:p>
    <w:p w14:paraId="4B7B32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искажения сферического козырька кабины фонаря, видемость через него неудовлетворительна</w:t>
      </w:r>
    </w:p>
    <w:p w14:paraId="50546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велики усилия на ручке элеронов и РВ, малая эффективность триммер РВ</w:t>
      </w:r>
    </w:p>
    <w:p w14:paraId="50621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5EECD8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Механические бензомеры непригодны для расхода горючего.</w:t>
      </w:r>
    </w:p>
    <w:p w14:paraId="3F37E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Радиосвязь на землю с высоты 1000 м - 60 км</w:t>
      </w:r>
    </w:p>
    <w:p w14:paraId="5E34B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283955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Вентиляция кабины эффективна</w:t>
      </w:r>
    </w:p>
    <w:p w14:paraId="3A8C74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огнем пушки и пулеметов - удачное</w:t>
      </w:r>
    </w:p>
    <w:p w14:paraId="396AAA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C21A7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Иванов - подписал 30 апреля 1945</w:t>
      </w:r>
    </w:p>
    <w:p w14:paraId="42109F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Прошаков, Хомяков, Седов, Антипов, Кувшинов - подписали 30 апреля 1945 (805,5).</w:t>
      </w:r>
    </w:p>
    <w:p w14:paraId="12B5F063" w14:textId="77777777" w:rsidR="00665165" w:rsidRPr="00F90EAE" w:rsidRDefault="00665165" w:rsidP="00F90EAE">
      <w:pPr>
        <w:autoSpaceDE w:val="0"/>
        <w:autoSpaceDN w:val="0"/>
        <w:adjustRightInd w:val="0"/>
        <w:jc w:val="both"/>
        <w:rPr>
          <w:color w:val="000000" w:themeColor="text1"/>
          <w:sz w:val="16"/>
          <w:szCs w:val="16"/>
        </w:rPr>
      </w:pPr>
    </w:p>
    <w:p w14:paraId="68D3C4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ГОКО N 8068с о демонтаже и вывозу оборудования с заводов: картеров Мерседес-Бенц на 265 в Воронеж, распределительных валов в Голлнов на 265 завод в Воронеже, блоков двигателей в м. Хохенкругг в Альтдамм на 478 в Запорожье, сборочного цеха фирмы Мерседес-Бенц в г. Альтдамм на 478 завод в Запорожье, завода ФАМО в Бреслау на завод 274 в Ленинграде, завода 30 в Будафок на завод 478 в Будапеште, фирмы Шмидт в г. Мариенверде на 287 в Ленинграде, станции Дейтч Айлау на завод 287 в Ленинграде, алюминиевого проката фирмы Дюренер Металверке в Шверине на 150 в Ступино, фирмы Гесснер в г. Реднитц на 451 в Москве, агрегатного завода в г. Реппен на 126 в Подольске, фирмы Опто-Радио в г. Грюнберг на 382 в Москве и 555 в Вильнюсе, винтового завода Нуго-Гейне в г. Рауша на 283 в Москве, фирмы Телефункен в Фрейштадте в ЦКБ-17 в Москве, приборного завода в г. Кюстрин на 87 во Львов, фирмы Сименс в г. Заган на 483 в Киеве, радиодеталей в г. Мальцмитц на 555 в Вильнюс (1874,11).</w:t>
      </w:r>
    </w:p>
    <w:p w14:paraId="1F1EC2F9" w14:textId="77777777" w:rsidR="00665165" w:rsidRPr="00F90EAE" w:rsidRDefault="00665165" w:rsidP="00F90EAE">
      <w:pPr>
        <w:autoSpaceDE w:val="0"/>
        <w:autoSpaceDN w:val="0"/>
        <w:adjustRightInd w:val="0"/>
        <w:jc w:val="both"/>
        <w:rPr>
          <w:color w:val="000000" w:themeColor="text1"/>
          <w:sz w:val="16"/>
          <w:szCs w:val="16"/>
        </w:rPr>
      </w:pPr>
    </w:p>
    <w:p w14:paraId="7A2A8D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ГОКО N 8068с о демонтаже и вывозу оборудования с завода фирмы Шмидт в г. Мариенвердер (1874,11).</w:t>
      </w:r>
    </w:p>
    <w:p w14:paraId="4D8C9035" w14:textId="77777777" w:rsidR="00665165" w:rsidRPr="00F90EAE" w:rsidRDefault="00665165" w:rsidP="00F90EAE">
      <w:pPr>
        <w:autoSpaceDE w:val="0"/>
        <w:autoSpaceDN w:val="0"/>
        <w:adjustRightInd w:val="0"/>
        <w:jc w:val="both"/>
        <w:rPr>
          <w:color w:val="000000" w:themeColor="text1"/>
          <w:sz w:val="16"/>
          <w:szCs w:val="16"/>
        </w:rPr>
      </w:pPr>
    </w:p>
    <w:p w14:paraId="24852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было вывезено на склад НКО N 511 в Москве оборудование и приборы со станции Дейч Айлау (1874,14).</w:t>
      </w:r>
    </w:p>
    <w:p w14:paraId="234A63ED" w14:textId="77777777" w:rsidR="00665165" w:rsidRPr="00F90EAE" w:rsidRDefault="00665165" w:rsidP="00F90EAE">
      <w:pPr>
        <w:autoSpaceDE w:val="0"/>
        <w:autoSpaceDN w:val="0"/>
        <w:adjustRightInd w:val="0"/>
        <w:jc w:val="both"/>
        <w:rPr>
          <w:color w:val="000000" w:themeColor="text1"/>
          <w:sz w:val="16"/>
          <w:szCs w:val="16"/>
        </w:rPr>
      </w:pPr>
    </w:p>
    <w:p w14:paraId="77E834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ГОКО N 8069с о демонтаже и вывозу оборудования с завода Пресс-Верк АО Обертхютте в м. Лобанд, район г. Глейвиц на 65 завод в Сетуни (1874,11).</w:t>
      </w:r>
    </w:p>
    <w:p w14:paraId="223584BB" w14:textId="77777777" w:rsidR="00665165" w:rsidRPr="00F90EAE" w:rsidRDefault="00665165" w:rsidP="00F90EAE">
      <w:pPr>
        <w:autoSpaceDE w:val="0"/>
        <w:autoSpaceDN w:val="0"/>
        <w:adjustRightInd w:val="0"/>
        <w:jc w:val="both"/>
        <w:rPr>
          <w:color w:val="000000" w:themeColor="text1"/>
          <w:sz w:val="16"/>
          <w:szCs w:val="16"/>
        </w:rPr>
      </w:pPr>
    </w:p>
    <w:p w14:paraId="7A31BC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ГОКО N 8083с о демонтаже и вывозу оборудования фабрики Вильгельм Беккер в г. Штольп в Ленинград на 162 завод (1874,11).</w:t>
      </w:r>
    </w:p>
    <w:p w14:paraId="6120CC6F" w14:textId="77777777" w:rsidR="00665165" w:rsidRPr="00F90EAE" w:rsidRDefault="00665165" w:rsidP="00F90EAE">
      <w:pPr>
        <w:autoSpaceDE w:val="0"/>
        <w:autoSpaceDN w:val="0"/>
        <w:adjustRightInd w:val="0"/>
        <w:jc w:val="both"/>
        <w:rPr>
          <w:color w:val="000000" w:themeColor="text1"/>
          <w:sz w:val="16"/>
          <w:szCs w:val="16"/>
        </w:rPr>
      </w:pPr>
    </w:p>
    <w:p w14:paraId="424F9B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г. вышло Постановление ГКО № 8068 «О вывозе оборудования и материалов с немецких заводов на предприятия Наркомавиапрома» (Д. 471. Л. 134–144).</w:t>
      </w:r>
    </w:p>
    <w:p w14:paraId="03004FC3" w14:textId="77777777" w:rsidR="00665165" w:rsidRPr="00F90EAE" w:rsidRDefault="00665165" w:rsidP="00F90EAE">
      <w:pPr>
        <w:autoSpaceDE w:val="0"/>
        <w:autoSpaceDN w:val="0"/>
        <w:adjustRightInd w:val="0"/>
        <w:jc w:val="both"/>
        <w:rPr>
          <w:color w:val="000000" w:themeColor="text1"/>
          <w:sz w:val="16"/>
          <w:szCs w:val="16"/>
        </w:rPr>
      </w:pPr>
    </w:p>
    <w:p w14:paraId="3E0093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8068 О вывозе оборудования и материалов с немецких заводов на предприятия Наркомавиапрома. РГАНИР, Фонд ГКО, д. 391, лл. 73-77 (11012).</w:t>
      </w:r>
    </w:p>
    <w:p w14:paraId="37268C89" w14:textId="77777777" w:rsidR="00665165" w:rsidRPr="00F90EAE" w:rsidRDefault="00665165" w:rsidP="00F90EAE">
      <w:pPr>
        <w:autoSpaceDE w:val="0"/>
        <w:autoSpaceDN w:val="0"/>
        <w:adjustRightInd w:val="0"/>
        <w:jc w:val="both"/>
        <w:rPr>
          <w:color w:val="000000" w:themeColor="text1"/>
          <w:sz w:val="16"/>
          <w:szCs w:val="16"/>
        </w:rPr>
      </w:pPr>
    </w:p>
    <w:p w14:paraId="5CEA2C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12 апреля 1945 года Постановлением ГОКО № 8068 НКАП было передано оборудование завода авиамоторных деталей в Закрау.</w:t>
      </w:r>
    </w:p>
    <w:p w14:paraId="1EC39872" w14:textId="77777777" w:rsidR="00665165" w:rsidRPr="00F90EAE" w:rsidRDefault="00665165" w:rsidP="00F90EAE">
      <w:pPr>
        <w:autoSpaceDE w:val="0"/>
        <w:autoSpaceDN w:val="0"/>
        <w:adjustRightInd w:val="0"/>
        <w:jc w:val="both"/>
        <w:rPr>
          <w:color w:val="000000" w:themeColor="text1"/>
          <w:sz w:val="16"/>
          <w:szCs w:val="16"/>
        </w:rPr>
      </w:pPr>
    </w:p>
    <w:p w14:paraId="50BC06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г. вышло Постановление ГКО № 8083 «О вывозе оборудования цеха по производству лопастей авиационных винтов с немецкой мебельной фабрики фирмы “Вильгельм Беккер” в г. Штольц» (Д. 471. Л. 167).</w:t>
      </w:r>
    </w:p>
    <w:p w14:paraId="5863D206" w14:textId="77777777" w:rsidR="00665165" w:rsidRPr="00F90EAE" w:rsidRDefault="00665165" w:rsidP="00F90EAE">
      <w:pPr>
        <w:autoSpaceDE w:val="0"/>
        <w:autoSpaceDN w:val="0"/>
        <w:adjustRightInd w:val="0"/>
        <w:jc w:val="both"/>
        <w:rPr>
          <w:color w:val="000000" w:themeColor="text1"/>
          <w:sz w:val="16"/>
          <w:szCs w:val="16"/>
        </w:rPr>
      </w:pPr>
    </w:p>
    <w:p w14:paraId="087D15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года вышло решение ГОКО № 8103 о создании в системе НКАП трех Особых монтажных управления для демонтажа германских авиационных заводов (8971).</w:t>
      </w:r>
    </w:p>
    <w:p w14:paraId="419CC07A" w14:textId="77777777" w:rsidR="00665165" w:rsidRPr="00F90EAE" w:rsidRDefault="00665165" w:rsidP="00F90EAE">
      <w:pPr>
        <w:autoSpaceDE w:val="0"/>
        <w:autoSpaceDN w:val="0"/>
        <w:adjustRightInd w:val="0"/>
        <w:jc w:val="both"/>
        <w:rPr>
          <w:color w:val="000000" w:themeColor="text1"/>
          <w:sz w:val="16"/>
          <w:szCs w:val="16"/>
        </w:rPr>
      </w:pPr>
    </w:p>
    <w:p w14:paraId="3590E9B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3636382" w14:textId="77777777" w:rsidR="00665165" w:rsidRPr="00F90EAE" w:rsidRDefault="00665165" w:rsidP="00F90EAE">
      <w:pPr>
        <w:autoSpaceDE w:val="0"/>
        <w:autoSpaceDN w:val="0"/>
        <w:adjustRightInd w:val="0"/>
        <w:jc w:val="both"/>
        <w:rPr>
          <w:iCs/>
          <w:color w:val="000000" w:themeColor="text1"/>
          <w:sz w:val="16"/>
          <w:szCs w:val="16"/>
        </w:rPr>
      </w:pPr>
    </w:p>
    <w:p w14:paraId="66ED2B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ап</w:t>
      </w:r>
      <w:r w:rsidRPr="00F90EAE">
        <w:rPr>
          <w:color w:val="000000" w:themeColor="text1"/>
          <w:sz w:val="16"/>
          <w:szCs w:val="16"/>
        </w:rPr>
        <w:softHyphen/>
        <w:t>реля 1945 г. хакончились государственные испытания танка ИС-3 на НИБТ полигоне, которые проходили с 23 марта. Танк ИС-3 № 3 поступил на полигон 26 марта. 21 мая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обкатку...(11135).</w:t>
      </w:r>
    </w:p>
    <w:p w14:paraId="339852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5B06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8069 О вывозе оборудования с немецкого завода "Прессверк" акционерного общества "Оберхютте" (местечко Лабанд, Верхняя Силезия). РГАНИР, Фонд ГКО, д. 391, лл. 78-80 (11012).</w:t>
      </w:r>
    </w:p>
    <w:p w14:paraId="0BC9D684" w14:textId="77777777" w:rsidR="00665165" w:rsidRPr="00F90EAE" w:rsidRDefault="00665165" w:rsidP="00F90EAE">
      <w:pPr>
        <w:autoSpaceDE w:val="0"/>
        <w:autoSpaceDN w:val="0"/>
        <w:adjustRightInd w:val="0"/>
        <w:jc w:val="both"/>
        <w:rPr>
          <w:color w:val="000000" w:themeColor="text1"/>
          <w:sz w:val="16"/>
          <w:szCs w:val="16"/>
        </w:rPr>
      </w:pPr>
    </w:p>
    <w:p w14:paraId="59373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8070 О вывозе оборудования по производству артиллерии с венгерских железо-сталеделательных и машиностроительных заводов в г. г. Мишкольц, Асод и Дьёндьёш. РГАНИР, Фонд ГКО, д. 391, лл. 81-82 (11012).</w:t>
      </w:r>
    </w:p>
    <w:p w14:paraId="374F7AE0" w14:textId="77777777" w:rsidR="00665165" w:rsidRPr="00F90EAE" w:rsidRDefault="00665165" w:rsidP="00F90EAE">
      <w:pPr>
        <w:autoSpaceDE w:val="0"/>
        <w:autoSpaceDN w:val="0"/>
        <w:adjustRightInd w:val="0"/>
        <w:jc w:val="both"/>
        <w:rPr>
          <w:color w:val="000000" w:themeColor="text1"/>
          <w:sz w:val="16"/>
          <w:szCs w:val="16"/>
        </w:rPr>
      </w:pPr>
    </w:p>
    <w:p w14:paraId="7F29AB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8071 О вывозе оборудования снарядного и снаряжательного цехов Имперского артиллерийского завода в г. Диош-Дьере (Венгрия). РГАНИР, Фонд ГКО, д. 391, лл. 83-84 (11012).</w:t>
      </w:r>
    </w:p>
    <w:p w14:paraId="7CAC16E9" w14:textId="77777777" w:rsidR="00665165" w:rsidRPr="00F90EAE" w:rsidRDefault="00665165" w:rsidP="00F90EAE">
      <w:pPr>
        <w:autoSpaceDE w:val="0"/>
        <w:autoSpaceDN w:val="0"/>
        <w:adjustRightInd w:val="0"/>
        <w:jc w:val="both"/>
        <w:rPr>
          <w:color w:val="000000" w:themeColor="text1"/>
          <w:sz w:val="16"/>
          <w:szCs w:val="16"/>
        </w:rPr>
      </w:pPr>
    </w:p>
    <w:p w14:paraId="70F7E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8072 О вывозе оборудования с оружейного завода "Лампарт" в г. Будапешт. РГАНИР, Фонд ГКО, д. 391, лл. 85-86 (11012).</w:t>
      </w:r>
    </w:p>
    <w:p w14:paraId="7264964D" w14:textId="77777777" w:rsidR="00665165" w:rsidRPr="00F90EAE" w:rsidRDefault="00665165" w:rsidP="00F90EAE">
      <w:pPr>
        <w:autoSpaceDE w:val="0"/>
        <w:autoSpaceDN w:val="0"/>
        <w:adjustRightInd w:val="0"/>
        <w:jc w:val="both"/>
        <w:rPr>
          <w:color w:val="000000" w:themeColor="text1"/>
          <w:sz w:val="16"/>
          <w:szCs w:val="16"/>
        </w:rPr>
      </w:pPr>
    </w:p>
    <w:p w14:paraId="17E6E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8073 О вывозе оборудования по производству 105 мм стальных свертных гильз с немецкого завода фирмы "Ундер и Зонн" г. Браунсберг (Восточная Пруссия). РГАНИР, Фонд ГКО, д. 391, лл. 87-88 (11012).</w:t>
      </w:r>
    </w:p>
    <w:p w14:paraId="1126A6A8" w14:textId="77777777" w:rsidR="00665165" w:rsidRPr="00F90EAE" w:rsidRDefault="00665165" w:rsidP="00F90EAE">
      <w:pPr>
        <w:autoSpaceDE w:val="0"/>
        <w:autoSpaceDN w:val="0"/>
        <w:adjustRightInd w:val="0"/>
        <w:jc w:val="both"/>
        <w:rPr>
          <w:color w:val="000000" w:themeColor="text1"/>
          <w:sz w:val="16"/>
          <w:szCs w:val="16"/>
        </w:rPr>
      </w:pPr>
    </w:p>
    <w:p w14:paraId="12D42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8074 О вывозе оборудования по производству стрелкового вооружения и патронов с оружейного завода фирмы "Данувиа", оружейного завода "объект № 172" и подземного патронного завода, расположенных в районе г. Будапешт. РГАНИР, Фонд ГКО, д. 391, лл. 89-90 (11012).</w:t>
      </w:r>
    </w:p>
    <w:p w14:paraId="70202D5F" w14:textId="77777777" w:rsidR="00665165" w:rsidRPr="00F90EAE" w:rsidRDefault="00665165" w:rsidP="00F90EAE">
      <w:pPr>
        <w:autoSpaceDE w:val="0"/>
        <w:autoSpaceDN w:val="0"/>
        <w:adjustRightInd w:val="0"/>
        <w:jc w:val="both"/>
        <w:rPr>
          <w:color w:val="000000" w:themeColor="text1"/>
          <w:sz w:val="16"/>
          <w:szCs w:val="16"/>
        </w:rPr>
      </w:pPr>
    </w:p>
    <w:p w14:paraId="1D798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8075 О вывозе металлообрабатывающего оборудования с немецкого механического завода Циммермана в г. Бромберг. РГАНИР, Фонд ГКО, д. 391, лл. 91-92 (11012).</w:t>
      </w:r>
    </w:p>
    <w:p w14:paraId="5AA853B7" w14:textId="77777777" w:rsidR="00665165" w:rsidRPr="00F90EAE" w:rsidRDefault="00665165" w:rsidP="00F90EAE">
      <w:pPr>
        <w:autoSpaceDE w:val="0"/>
        <w:autoSpaceDN w:val="0"/>
        <w:adjustRightInd w:val="0"/>
        <w:jc w:val="both"/>
        <w:rPr>
          <w:color w:val="000000" w:themeColor="text1"/>
          <w:sz w:val="16"/>
          <w:szCs w:val="16"/>
        </w:rPr>
      </w:pPr>
    </w:p>
    <w:p w14:paraId="06A06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г. вышло Постановление ГКО № 8076 «О вывозе оборудования по производству танковых моторов с филиалов немецкого завода фирмы “Поммерше моторенверке Штеттин Альдамс” в городах Альтдам, Хохенкруг, Голлнов и местечке Анимсванде (Померания)» (Д. 471. Л. 158–159).</w:t>
      </w:r>
    </w:p>
    <w:p w14:paraId="53F34FEF" w14:textId="77777777" w:rsidR="00665165" w:rsidRPr="00F90EAE" w:rsidRDefault="00665165" w:rsidP="00F90EAE">
      <w:pPr>
        <w:autoSpaceDE w:val="0"/>
        <w:autoSpaceDN w:val="0"/>
        <w:adjustRightInd w:val="0"/>
        <w:jc w:val="both"/>
        <w:rPr>
          <w:color w:val="000000" w:themeColor="text1"/>
          <w:sz w:val="16"/>
          <w:szCs w:val="16"/>
        </w:rPr>
      </w:pPr>
    </w:p>
    <w:p w14:paraId="384E6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8077 О вывозе оборудования и материалов с электротехнического и радиотехнического заводов и складов в гг. Будапешт, Костен и Дейч-Кроне. РГАНИР, Фонд ГКО, д. 391, лл. 96-98 (11012).</w:t>
      </w:r>
    </w:p>
    <w:p w14:paraId="32BC654D" w14:textId="77777777" w:rsidR="00665165" w:rsidRPr="00F90EAE" w:rsidRDefault="00665165" w:rsidP="00F90EAE">
      <w:pPr>
        <w:autoSpaceDE w:val="0"/>
        <w:autoSpaceDN w:val="0"/>
        <w:adjustRightInd w:val="0"/>
        <w:jc w:val="both"/>
        <w:rPr>
          <w:color w:val="000000" w:themeColor="text1"/>
          <w:sz w:val="16"/>
          <w:szCs w:val="16"/>
        </w:rPr>
      </w:pPr>
    </w:p>
    <w:p w14:paraId="0086FE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8078 О вывозе оборудования и материалов с немецкой фабрики типографских красок концерна "И.Г.Фарбен-Индустри" в г. Торунь (Торн). РГАНИР, Фонд ГКО, д. 391, лл. 99-100 (11012).</w:t>
      </w:r>
    </w:p>
    <w:p w14:paraId="55E087A5" w14:textId="77777777" w:rsidR="00665165" w:rsidRPr="00F90EAE" w:rsidRDefault="00665165" w:rsidP="00F90EAE">
      <w:pPr>
        <w:autoSpaceDE w:val="0"/>
        <w:autoSpaceDN w:val="0"/>
        <w:adjustRightInd w:val="0"/>
        <w:jc w:val="both"/>
        <w:rPr>
          <w:color w:val="000000" w:themeColor="text1"/>
          <w:sz w:val="16"/>
          <w:szCs w:val="16"/>
        </w:rPr>
      </w:pPr>
    </w:p>
    <w:p w14:paraId="21C09A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8079 О вывозе оборудования, готовых изделий и полуфабрикатов с немецкого завода шлифовальных кругов фирмы "Август Рюгеберг" в г. Хойнице. РГАНИР, Фонд ГКО, д. 391, лл. 101-102 (11012).</w:t>
      </w:r>
    </w:p>
    <w:p w14:paraId="74FA22E7" w14:textId="77777777" w:rsidR="00665165" w:rsidRPr="00F90EAE" w:rsidRDefault="00665165" w:rsidP="00F90EAE">
      <w:pPr>
        <w:autoSpaceDE w:val="0"/>
        <w:autoSpaceDN w:val="0"/>
        <w:adjustRightInd w:val="0"/>
        <w:jc w:val="both"/>
        <w:rPr>
          <w:color w:val="000000" w:themeColor="text1"/>
          <w:sz w:val="16"/>
          <w:szCs w:val="16"/>
        </w:rPr>
      </w:pPr>
    </w:p>
    <w:p w14:paraId="3B19E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8080 О вывозе оборудования двух автоматических телефонных станций из г. г. Бирнбаум и Швибус. РГАНИР, Фонд ГКО, д. 391, лл. 103 (11012).</w:t>
      </w:r>
    </w:p>
    <w:p w14:paraId="6C84A3B3" w14:textId="77777777" w:rsidR="00665165" w:rsidRPr="00F90EAE" w:rsidRDefault="00665165" w:rsidP="00F90EAE">
      <w:pPr>
        <w:autoSpaceDE w:val="0"/>
        <w:autoSpaceDN w:val="0"/>
        <w:adjustRightInd w:val="0"/>
        <w:jc w:val="both"/>
        <w:rPr>
          <w:color w:val="000000" w:themeColor="text1"/>
          <w:sz w:val="16"/>
          <w:szCs w:val="16"/>
        </w:rPr>
      </w:pPr>
    </w:p>
    <w:p w14:paraId="3788F1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8081 О вывозе оборудования и труб газопровода фирмы "Фернгаз Шлезиен А.Г." в г. Блехгаммер. РГАНИР, Фонд ГКО, д. 391, лл. 104-105 (11012).</w:t>
      </w:r>
    </w:p>
    <w:p w14:paraId="1BA895CE" w14:textId="77777777" w:rsidR="00665165" w:rsidRPr="00F90EAE" w:rsidRDefault="00665165" w:rsidP="00F90EAE">
      <w:pPr>
        <w:autoSpaceDE w:val="0"/>
        <w:autoSpaceDN w:val="0"/>
        <w:adjustRightInd w:val="0"/>
        <w:jc w:val="both"/>
        <w:rPr>
          <w:color w:val="000000" w:themeColor="text1"/>
          <w:sz w:val="16"/>
          <w:szCs w:val="16"/>
        </w:rPr>
      </w:pPr>
    </w:p>
    <w:p w14:paraId="2D87C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8082 О вывозе оборудования с двух немецких сетевязальных фабрик в г. Ландсберг (Бранденбург). РГАНИР, Фонд ГКО, д. 391, лл. 106 (11012).</w:t>
      </w:r>
    </w:p>
    <w:p w14:paraId="4DF347D3" w14:textId="77777777" w:rsidR="00665165" w:rsidRPr="00F90EAE" w:rsidRDefault="00665165" w:rsidP="00F90EAE">
      <w:pPr>
        <w:autoSpaceDE w:val="0"/>
        <w:autoSpaceDN w:val="0"/>
        <w:adjustRightInd w:val="0"/>
        <w:jc w:val="both"/>
        <w:rPr>
          <w:color w:val="000000" w:themeColor="text1"/>
          <w:sz w:val="16"/>
          <w:szCs w:val="16"/>
        </w:rPr>
      </w:pPr>
    </w:p>
    <w:p w14:paraId="09173D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8084 О вывозе оборудования и материалов с немецких текстильных предприятий в г. г. Нойдамм и Швибус на фабрики Наркомтекстильпрома СССР. РГАНИР, Фонд ГКО, д. 391, лл. 108-109 (11012).</w:t>
      </w:r>
    </w:p>
    <w:p w14:paraId="5BAD7425" w14:textId="77777777" w:rsidR="00665165" w:rsidRPr="00F90EAE" w:rsidRDefault="00665165" w:rsidP="00F90EAE">
      <w:pPr>
        <w:autoSpaceDE w:val="0"/>
        <w:autoSpaceDN w:val="0"/>
        <w:adjustRightInd w:val="0"/>
        <w:jc w:val="both"/>
        <w:rPr>
          <w:color w:val="000000" w:themeColor="text1"/>
          <w:sz w:val="16"/>
          <w:szCs w:val="16"/>
        </w:rPr>
      </w:pPr>
    </w:p>
    <w:p w14:paraId="284D8B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8085 О вывозе оборудования по ремонту шоссейных дорог с базы немецкой фирмы "Эмлер" и склада, принадлежащего дорожным частям немецкой армии в г. Бромберг (Польша). РГАНИР, Фонд ГКО, д. 391, лл. 110 (11012).</w:t>
      </w:r>
    </w:p>
    <w:p w14:paraId="41DA7DDB" w14:textId="77777777" w:rsidR="00665165" w:rsidRPr="00F90EAE" w:rsidRDefault="00665165" w:rsidP="00F90EAE">
      <w:pPr>
        <w:autoSpaceDE w:val="0"/>
        <w:autoSpaceDN w:val="0"/>
        <w:adjustRightInd w:val="0"/>
        <w:jc w:val="both"/>
        <w:rPr>
          <w:color w:val="000000" w:themeColor="text1"/>
          <w:sz w:val="16"/>
          <w:szCs w:val="16"/>
        </w:rPr>
      </w:pPr>
    </w:p>
    <w:p w14:paraId="761B01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8086 О вывозе оборудования с немецкой судостроительной верфи концерна "Герман Геринг" в г. Будапешт. РГАНИР, Фонд ГКО, д. 391, лл. 111-112 (11012).</w:t>
      </w:r>
    </w:p>
    <w:p w14:paraId="05245EAD" w14:textId="77777777" w:rsidR="00665165" w:rsidRPr="00F90EAE" w:rsidRDefault="00665165" w:rsidP="00F90EAE">
      <w:pPr>
        <w:autoSpaceDE w:val="0"/>
        <w:autoSpaceDN w:val="0"/>
        <w:adjustRightInd w:val="0"/>
        <w:jc w:val="both"/>
        <w:rPr>
          <w:color w:val="000000" w:themeColor="text1"/>
          <w:sz w:val="16"/>
          <w:szCs w:val="16"/>
        </w:rPr>
      </w:pPr>
    </w:p>
    <w:p w14:paraId="5F50B4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8087 О вывозе проката черных металлов и цветных материалов с 1-го Белорусского фронта. РГАНИР, Фонд ГКО, д. 391, лл. 113 (11012).</w:t>
      </w:r>
    </w:p>
    <w:p w14:paraId="3617CF61" w14:textId="77777777" w:rsidR="00665165" w:rsidRPr="00F90EAE" w:rsidRDefault="00665165" w:rsidP="00F90EAE">
      <w:pPr>
        <w:autoSpaceDE w:val="0"/>
        <w:autoSpaceDN w:val="0"/>
        <w:adjustRightInd w:val="0"/>
        <w:jc w:val="both"/>
        <w:rPr>
          <w:color w:val="000000" w:themeColor="text1"/>
          <w:sz w:val="16"/>
          <w:szCs w:val="16"/>
        </w:rPr>
      </w:pPr>
    </w:p>
    <w:p w14:paraId="4A7B9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8088 О вывозе оборудования с коксохимических заводов фирмы "Шафготч" в г. Одерталь, "Скалляйн" в г. Гинденбург, завода при шахте "Гедвигсвунш" фирмы "Борзиг" в г. Гинденбург, углеобогатительных фабрик "Глейвиц-Груббе " в г. Глейвиц и "Дельбрюк. РГАНИР, Фонд ГКО, д. 391, лл. 114-116 (11012).</w:t>
      </w:r>
    </w:p>
    <w:p w14:paraId="035E81C0" w14:textId="77777777" w:rsidR="00665165" w:rsidRPr="00F90EAE" w:rsidRDefault="00665165" w:rsidP="00F90EAE">
      <w:pPr>
        <w:autoSpaceDE w:val="0"/>
        <w:autoSpaceDN w:val="0"/>
        <w:adjustRightInd w:val="0"/>
        <w:jc w:val="both"/>
        <w:rPr>
          <w:color w:val="000000" w:themeColor="text1"/>
          <w:sz w:val="16"/>
          <w:szCs w:val="16"/>
        </w:rPr>
      </w:pPr>
    </w:p>
    <w:p w14:paraId="5BA457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8089 О демонтаже оборудования и строительстве в СССР вывозимых из г. Одерталь завода синтетического бензина и из г. Блехгаммер завода гидрирования угля. РГАНИР, Фонд ГКО, д. 391, лл. 117 (11012).</w:t>
      </w:r>
    </w:p>
    <w:p w14:paraId="4ABABEAC" w14:textId="77777777" w:rsidR="00665165" w:rsidRPr="00F90EAE" w:rsidRDefault="00665165" w:rsidP="00F90EAE">
      <w:pPr>
        <w:autoSpaceDE w:val="0"/>
        <w:autoSpaceDN w:val="0"/>
        <w:adjustRightInd w:val="0"/>
        <w:jc w:val="both"/>
        <w:rPr>
          <w:color w:val="000000" w:themeColor="text1"/>
          <w:sz w:val="16"/>
          <w:szCs w:val="16"/>
        </w:rPr>
      </w:pPr>
    </w:p>
    <w:p w14:paraId="7931B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8090 О вывозе запасных частей к мотоциклам с немецкого склада в г. Лигниц. РГАНИР, Фонд ГКО, д. 391, лл. 118 (11012).</w:t>
      </w:r>
    </w:p>
    <w:p w14:paraId="02533DFB" w14:textId="77777777" w:rsidR="00665165" w:rsidRPr="00F90EAE" w:rsidRDefault="00665165" w:rsidP="00F90EAE">
      <w:pPr>
        <w:autoSpaceDE w:val="0"/>
        <w:autoSpaceDN w:val="0"/>
        <w:adjustRightInd w:val="0"/>
        <w:jc w:val="both"/>
        <w:rPr>
          <w:color w:val="000000" w:themeColor="text1"/>
          <w:sz w:val="16"/>
          <w:szCs w:val="16"/>
        </w:rPr>
      </w:pPr>
    </w:p>
    <w:p w14:paraId="4E7D7F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8091 О мероприятиях по вывозу в Советский Союз оборудования с промышленных предприятий Вены. РГАНИР, Фонд ГКО, д. 391, лл. 119 (11012).</w:t>
      </w:r>
    </w:p>
    <w:p w14:paraId="3FA28F35" w14:textId="77777777" w:rsidR="00665165" w:rsidRPr="00F90EAE" w:rsidRDefault="00665165" w:rsidP="00F90EAE">
      <w:pPr>
        <w:autoSpaceDE w:val="0"/>
        <w:autoSpaceDN w:val="0"/>
        <w:adjustRightInd w:val="0"/>
        <w:jc w:val="both"/>
        <w:rPr>
          <w:color w:val="000000" w:themeColor="text1"/>
          <w:sz w:val="16"/>
          <w:szCs w:val="16"/>
        </w:rPr>
      </w:pPr>
    </w:p>
    <w:p w14:paraId="5A5CAD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8092 О вывозе оборудования по изготовлению устройств железнодорожной сигнализации и станционной механической блокировки с немецкого завода фирмы "Фибрант" акционерного общества "Сименс-Шукерт" в г. Бромберт (Быдгощ). РГАНИР, Фонд ГКО, д. 391, лл. 120-121 (11012).</w:t>
      </w:r>
    </w:p>
    <w:p w14:paraId="30746D3B" w14:textId="77777777" w:rsidR="00665165" w:rsidRPr="00F90EAE" w:rsidRDefault="00665165" w:rsidP="00F90EAE">
      <w:pPr>
        <w:autoSpaceDE w:val="0"/>
        <w:autoSpaceDN w:val="0"/>
        <w:adjustRightInd w:val="0"/>
        <w:jc w:val="both"/>
        <w:rPr>
          <w:color w:val="000000" w:themeColor="text1"/>
          <w:sz w:val="16"/>
          <w:szCs w:val="16"/>
        </w:rPr>
      </w:pPr>
    </w:p>
    <w:p w14:paraId="7D8F4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12 апреля 1945 вышло Постановление ГКО № 8093 О вывозе оборудования завода нитроглицериновых порохов, расположенного в районе г. Варпалата (Венгрия). РГАНИР, Фонд ГКО, д. 391, лл. 122-123 (11012).</w:t>
      </w:r>
    </w:p>
    <w:p w14:paraId="7CCDD4D9" w14:textId="77777777" w:rsidR="00665165" w:rsidRPr="00F90EAE" w:rsidRDefault="00665165" w:rsidP="00F90EAE">
      <w:pPr>
        <w:autoSpaceDE w:val="0"/>
        <w:autoSpaceDN w:val="0"/>
        <w:adjustRightInd w:val="0"/>
        <w:jc w:val="both"/>
        <w:rPr>
          <w:color w:val="000000" w:themeColor="text1"/>
          <w:sz w:val="16"/>
          <w:szCs w:val="16"/>
        </w:rPr>
      </w:pPr>
    </w:p>
    <w:p w14:paraId="7F6B8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8094 О вывозе оборудования с немецкого паровозовагоноремонтного завода в г. ШтаргарРГАНИР, Фонд ГКО, д. РГАНИР, Фонд ГКО, д. 391, лл. 124 (11012).</w:t>
      </w:r>
    </w:p>
    <w:p w14:paraId="5C102908" w14:textId="77777777" w:rsidR="00665165" w:rsidRPr="00F90EAE" w:rsidRDefault="00665165" w:rsidP="00F90EAE">
      <w:pPr>
        <w:autoSpaceDE w:val="0"/>
        <w:autoSpaceDN w:val="0"/>
        <w:adjustRightInd w:val="0"/>
        <w:jc w:val="both"/>
        <w:rPr>
          <w:color w:val="000000" w:themeColor="text1"/>
          <w:sz w:val="16"/>
          <w:szCs w:val="16"/>
        </w:rPr>
      </w:pPr>
    </w:p>
    <w:p w14:paraId="7302FF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8095 О вывозе прокатного оборудования немецкого завода "Никель-Верке" в местечке Лабанд (Верхняя Силезия). РГАНИР, Фонд ГКО, д. 391, лл. 125-126 (11012).</w:t>
      </w:r>
    </w:p>
    <w:p w14:paraId="5523257C" w14:textId="77777777" w:rsidR="00665165" w:rsidRPr="00F90EAE" w:rsidRDefault="00665165" w:rsidP="00F90EAE">
      <w:pPr>
        <w:autoSpaceDE w:val="0"/>
        <w:autoSpaceDN w:val="0"/>
        <w:adjustRightInd w:val="0"/>
        <w:jc w:val="both"/>
        <w:rPr>
          <w:color w:val="000000" w:themeColor="text1"/>
          <w:sz w:val="16"/>
          <w:szCs w:val="16"/>
        </w:rPr>
      </w:pPr>
    </w:p>
    <w:p w14:paraId="4061F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8096 О вывозе сельскохозяйственных машин и инвентаря и строительных материалов со складов 2-го Украинского и 3-го Белорусского фронтов. РГАНИР, Фонд ГКО, д. 391, лл. 127-128, 129-132 (11012).</w:t>
      </w:r>
    </w:p>
    <w:p w14:paraId="0929B2DC" w14:textId="77777777" w:rsidR="00665165" w:rsidRPr="00F90EAE" w:rsidRDefault="00665165" w:rsidP="00F90EAE">
      <w:pPr>
        <w:autoSpaceDE w:val="0"/>
        <w:autoSpaceDN w:val="0"/>
        <w:adjustRightInd w:val="0"/>
        <w:jc w:val="both"/>
        <w:rPr>
          <w:color w:val="000000" w:themeColor="text1"/>
          <w:sz w:val="16"/>
          <w:szCs w:val="16"/>
        </w:rPr>
      </w:pPr>
    </w:p>
    <w:p w14:paraId="1FBF5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8097 О частичных изменениях в постановлениях ГОКО по вопросу о вывозе немецкого оборудования с территории Польши. РГАНИР, Фонд ГКО, д. 391, лл. 133-134 (11012).</w:t>
      </w:r>
    </w:p>
    <w:p w14:paraId="0B55AF0E" w14:textId="77777777" w:rsidR="00665165" w:rsidRPr="00F90EAE" w:rsidRDefault="00665165" w:rsidP="00F90EAE">
      <w:pPr>
        <w:autoSpaceDE w:val="0"/>
        <w:autoSpaceDN w:val="0"/>
        <w:adjustRightInd w:val="0"/>
        <w:jc w:val="both"/>
        <w:rPr>
          <w:color w:val="000000" w:themeColor="text1"/>
          <w:sz w:val="16"/>
          <w:szCs w:val="16"/>
        </w:rPr>
      </w:pPr>
    </w:p>
    <w:p w14:paraId="71297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8098 О вывозе оборудования с немецких обувных фабрик фирм "Колленд-Норис" и "Эва Лукус" в г. Ландсберг (Германия, Бранденбург). РГАНИР, Фонд ГКО, д. 391, лл. 135-136 (11012).</w:t>
      </w:r>
    </w:p>
    <w:p w14:paraId="5DEA4A76" w14:textId="77777777" w:rsidR="00665165" w:rsidRPr="00F90EAE" w:rsidRDefault="00665165" w:rsidP="00F90EAE">
      <w:pPr>
        <w:autoSpaceDE w:val="0"/>
        <w:autoSpaceDN w:val="0"/>
        <w:adjustRightInd w:val="0"/>
        <w:jc w:val="both"/>
        <w:rPr>
          <w:color w:val="000000" w:themeColor="text1"/>
          <w:sz w:val="16"/>
          <w:szCs w:val="16"/>
        </w:rPr>
      </w:pPr>
    </w:p>
    <w:p w14:paraId="00378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8099 О вывозе оборудования по производству автотракторных и велосипедных деталей и узлов с немецких предприятий, расположенных на территории Польши в г. г. Торно, Семяновице, Быдгощ и Ходзеж, на заводы Наркомсредмаша. РГАНИР, Фонд ГКО, д. 391, лл. 137-13 (11012).</w:t>
      </w:r>
    </w:p>
    <w:p w14:paraId="6CB44901" w14:textId="77777777" w:rsidR="00665165" w:rsidRPr="00F90EAE" w:rsidRDefault="00665165" w:rsidP="00F90EAE">
      <w:pPr>
        <w:autoSpaceDE w:val="0"/>
        <w:autoSpaceDN w:val="0"/>
        <w:adjustRightInd w:val="0"/>
        <w:jc w:val="both"/>
        <w:rPr>
          <w:color w:val="000000" w:themeColor="text1"/>
          <w:sz w:val="16"/>
          <w:szCs w:val="16"/>
        </w:rPr>
      </w:pPr>
    </w:p>
    <w:p w14:paraId="5B61A2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8100 О вывозе оборудования по производству велосипедных, автотракторных и вагонных деталей и узлов с немецких заводов в г. г. Мезеритц, Шульц, Грюнберг, Зольдин, Пилюхау и Эльбинг на заводы Наркомсредмаша. РГАНИР, Фонд ГКО, д. 391, лл. 140-141, 142 (11012).</w:t>
      </w:r>
    </w:p>
    <w:p w14:paraId="4B958A1A" w14:textId="77777777" w:rsidR="00665165" w:rsidRPr="00F90EAE" w:rsidRDefault="00665165" w:rsidP="00F90EAE">
      <w:pPr>
        <w:autoSpaceDE w:val="0"/>
        <w:autoSpaceDN w:val="0"/>
        <w:adjustRightInd w:val="0"/>
        <w:jc w:val="both"/>
        <w:rPr>
          <w:color w:val="000000" w:themeColor="text1"/>
          <w:sz w:val="16"/>
          <w:szCs w:val="16"/>
        </w:rPr>
      </w:pPr>
    </w:p>
    <w:p w14:paraId="42DFF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8101 Об организации Особых монтажных управлений Наркомата боеприпасов по демонтажу оборудования немецких предприятий. РГАНИР, Фонд ГКО, д. 391, лл. 143-146 (11012).</w:t>
      </w:r>
    </w:p>
    <w:p w14:paraId="252838C9" w14:textId="77777777" w:rsidR="00665165" w:rsidRPr="00F90EAE" w:rsidRDefault="00665165" w:rsidP="00F90EAE">
      <w:pPr>
        <w:autoSpaceDE w:val="0"/>
        <w:autoSpaceDN w:val="0"/>
        <w:adjustRightInd w:val="0"/>
        <w:jc w:val="both"/>
        <w:rPr>
          <w:color w:val="000000" w:themeColor="text1"/>
          <w:sz w:val="16"/>
          <w:szCs w:val="16"/>
        </w:rPr>
      </w:pPr>
    </w:p>
    <w:p w14:paraId="13172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8102 О вывозе 6 турбогенераторов на мощность 185 тысяч киловатт, 14 котлов и другого трофейного энергетического оборудования с немецких электростанций и подстанций в г. г. Лациск, Кенигсхютте, Швибус и Познань. РГАНИР, Фонд ГКО, д. 391, лл. 147-149 (11012).</w:t>
      </w:r>
    </w:p>
    <w:p w14:paraId="7B41B63F" w14:textId="77777777" w:rsidR="00665165" w:rsidRPr="00F90EAE" w:rsidRDefault="00665165" w:rsidP="00F90EAE">
      <w:pPr>
        <w:autoSpaceDE w:val="0"/>
        <w:autoSpaceDN w:val="0"/>
        <w:adjustRightInd w:val="0"/>
        <w:jc w:val="both"/>
        <w:rPr>
          <w:color w:val="000000" w:themeColor="text1"/>
          <w:sz w:val="16"/>
          <w:szCs w:val="16"/>
        </w:rPr>
      </w:pPr>
    </w:p>
    <w:p w14:paraId="22F976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8103 Об организации особых монтажных управлений Наркомавиапрома по демонтажу оборудования немецких предприятий. РГАНИР, Фонд ГКО, д. 391, лл. 150-153 (11012).</w:t>
      </w:r>
    </w:p>
    <w:p w14:paraId="5752C0CC" w14:textId="77777777" w:rsidR="00665165" w:rsidRPr="00F90EAE" w:rsidRDefault="00665165" w:rsidP="00F90EAE">
      <w:pPr>
        <w:autoSpaceDE w:val="0"/>
        <w:autoSpaceDN w:val="0"/>
        <w:adjustRightInd w:val="0"/>
        <w:jc w:val="both"/>
        <w:rPr>
          <w:color w:val="000000" w:themeColor="text1"/>
          <w:sz w:val="16"/>
          <w:szCs w:val="16"/>
        </w:rPr>
      </w:pPr>
    </w:p>
    <w:p w14:paraId="1CBB46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вышло Постановление ГКО № 8104 О вывозе полиграфического оборудования с немецких типографий в Восточной Пруссии, Померании, Бранденбурге и Верхней Силезии. РГАНИР, Фонд ГКО, д. 391, лл. 154-158 (11012).</w:t>
      </w:r>
    </w:p>
    <w:p w14:paraId="5782CD8E" w14:textId="77777777" w:rsidR="00665165" w:rsidRPr="00F90EAE" w:rsidRDefault="00665165" w:rsidP="00F90EAE">
      <w:pPr>
        <w:autoSpaceDE w:val="0"/>
        <w:autoSpaceDN w:val="0"/>
        <w:adjustRightInd w:val="0"/>
        <w:jc w:val="both"/>
        <w:rPr>
          <w:color w:val="000000" w:themeColor="text1"/>
          <w:sz w:val="16"/>
          <w:szCs w:val="16"/>
        </w:rPr>
      </w:pPr>
    </w:p>
    <w:p w14:paraId="5014A54A" w14:textId="77777777" w:rsidR="003D47C5" w:rsidRPr="00F90EAE" w:rsidRDefault="003D47C5" w:rsidP="00F90EAE">
      <w:pPr>
        <w:pStyle w:val="book"/>
        <w:ind w:firstLine="0"/>
        <w:jc w:val="both"/>
        <w:rPr>
          <w:color w:val="000000" w:themeColor="text1"/>
          <w:sz w:val="16"/>
          <w:szCs w:val="16"/>
        </w:rPr>
      </w:pPr>
      <w:r w:rsidRPr="00F90EAE">
        <w:rPr>
          <w:color w:val="000000" w:themeColor="text1"/>
          <w:sz w:val="16"/>
          <w:szCs w:val="16"/>
        </w:rPr>
        <w:t>12 апреля 1945 г. лодку U-250 VII серии, потопленную 30 июля 1944 г. советским катером МО-103, поставили в док для ремонта и зачислили в списки Балтийского флота под названием ТС-14. После предварительного изучения U-250 руководство Наркомата ВМФ приказало прекратить все работы по проектированию подводных лодок проекта 208, которые считались самыми перспективными средними подводными лодками нового поколения. Но вскоре выяснилось, что повреждения U-250 велики, а введение в строй подводных лодок VII серии нецелесообразно, поскольку они не идут ни в какое сравнение с подводными лодками XXI серии. Поэтому ТС-14 была 20 августа 1945 г. исключена из списков советского ВМФ и разобрана на металл (15225).</w:t>
      </w:r>
    </w:p>
    <w:p w14:paraId="4315E684" w14:textId="77777777" w:rsidR="003D47C5" w:rsidRPr="00F90EAE" w:rsidRDefault="003D47C5" w:rsidP="00F90EAE">
      <w:pPr>
        <w:pStyle w:val="book"/>
        <w:ind w:firstLine="0"/>
        <w:jc w:val="both"/>
        <w:rPr>
          <w:color w:val="000000" w:themeColor="text1"/>
          <w:sz w:val="16"/>
          <w:szCs w:val="16"/>
        </w:rPr>
      </w:pPr>
    </w:p>
    <w:p w14:paraId="3A393F9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149D521" w14:textId="77777777" w:rsidR="00665165" w:rsidRPr="00F90EAE" w:rsidRDefault="00665165" w:rsidP="00F90EAE">
      <w:pPr>
        <w:autoSpaceDE w:val="0"/>
        <w:autoSpaceDN w:val="0"/>
        <w:adjustRightInd w:val="0"/>
        <w:jc w:val="both"/>
        <w:rPr>
          <w:iCs/>
          <w:color w:val="000000" w:themeColor="text1"/>
          <w:sz w:val="16"/>
          <w:szCs w:val="16"/>
        </w:rPr>
      </w:pPr>
    </w:p>
    <w:p w14:paraId="48823931" w14:textId="77777777" w:rsidR="003D47C5" w:rsidRPr="00F90EAE" w:rsidRDefault="003D47C5" w:rsidP="00F90EAE">
      <w:pPr>
        <w:jc w:val="both"/>
        <w:rPr>
          <w:color w:val="000000" w:themeColor="text1"/>
          <w:sz w:val="16"/>
          <w:szCs w:val="16"/>
        </w:rPr>
      </w:pPr>
      <w:r w:rsidRPr="00F90EAE">
        <w:rPr>
          <w:color w:val="000000" w:themeColor="text1"/>
          <w:sz w:val="16"/>
          <w:szCs w:val="16"/>
        </w:rPr>
        <w:t>12 апреля в 1945 году оперативная сводка Совинформбюро:</w:t>
      </w:r>
    </w:p>
    <w:p w14:paraId="46D8DD59" w14:textId="77777777" w:rsidR="003D47C5" w:rsidRPr="00F90EAE" w:rsidRDefault="003D47C5" w:rsidP="00F90EAE">
      <w:pPr>
        <w:jc w:val="both"/>
        <w:rPr>
          <w:color w:val="000000" w:themeColor="text1"/>
          <w:sz w:val="16"/>
          <w:szCs w:val="16"/>
        </w:rPr>
      </w:pPr>
      <w:r w:rsidRPr="00F90EAE">
        <w:rPr>
          <w:color w:val="000000" w:themeColor="text1"/>
          <w:sz w:val="16"/>
          <w:szCs w:val="16"/>
        </w:rPr>
        <w:t>«В течение 12 апреля на территории Чехословакии северо-восточнее и севернее Братиславы войска 2-го Украинского фронта с боями заняли город и железнодорожную станцию Скалица и более 30 других населённых пунктов, в том числе Тренч Тепла, Опатова, Кохановце, Галузице, Горны-Бзинце, Врбовце, Радейов, Катов, Голич, Копчани. Северо-восточнее Вены войска фронта заняли на территории Австрии населённые пункты Дрезинг, Еденшпайген, Лойдесталь, Эрдпрес, Хохенрупперсдорф, Ауэршталь, Боккфлис, Адерклаа, Раасдорф, Эсслинг, Гросс Энцерсдорф и железнодорожную станцию Эйбесбрунн, перерезав железную дорогу и шоссе Вена — Брно.</w:t>
      </w:r>
    </w:p>
    <w:p w14:paraId="08B0834A" w14:textId="77777777" w:rsidR="003D47C5" w:rsidRPr="00F90EAE" w:rsidRDefault="003D47C5" w:rsidP="00F90EAE">
      <w:pPr>
        <w:jc w:val="both"/>
        <w:rPr>
          <w:color w:val="000000" w:themeColor="text1"/>
          <w:sz w:val="16"/>
          <w:szCs w:val="16"/>
        </w:rPr>
      </w:pPr>
      <w:r w:rsidRPr="00F90EAE">
        <w:rPr>
          <w:color w:val="000000" w:themeColor="text1"/>
          <w:sz w:val="16"/>
          <w:szCs w:val="16"/>
        </w:rPr>
        <w:t>В Вене войска 3-го Украинского фронта веди уличные бои в городском районе, расположенном между Дунайским каналом и рекой Дунай, где заняли более 60 кварталов. Западнее и юго-западнее города Сомбатель войска фронта, продолжая наступление, заняли на территории Австрии город Гюссинг (Неметуйвар) и более 40 других населённых пунктов, в том числе Маркт Аллау, Олбендорф, Обер-Нейберг, Михель, Чаншендорф, Штейнграбен, Ельтендорф. В боях за 11 апреля войска фронта взяли в плен более 5.000 солдат и офицеров противника и захватили следующие трофеи: танков и самоходных орудий—34, бронетранспортёров—38, полевых орудий — 208, пулемётов — 270, автомашин — 498, тракторов и тягачей — 187, паровозов — 34, железнодорожных вагонов —1.535, складов с военным имуществом —17.</w:t>
      </w:r>
    </w:p>
    <w:p w14:paraId="76A96D32" w14:textId="77777777" w:rsidR="003D47C5" w:rsidRPr="00F90EAE" w:rsidRDefault="003D47C5" w:rsidP="00F90EAE">
      <w:pPr>
        <w:jc w:val="both"/>
        <w:rPr>
          <w:color w:val="000000" w:themeColor="text1"/>
          <w:sz w:val="16"/>
          <w:szCs w:val="16"/>
        </w:rPr>
      </w:pPr>
      <w:r w:rsidRPr="00F90EAE">
        <w:rPr>
          <w:color w:val="000000" w:themeColor="text1"/>
          <w:sz w:val="16"/>
          <w:szCs w:val="16"/>
        </w:rPr>
        <w:t>На остальных участках фронта — существенных изменений не произошло.</w:t>
      </w:r>
    </w:p>
    <w:p w14:paraId="5CCF03A9" w14:textId="77777777" w:rsidR="003D47C5" w:rsidRPr="00F90EAE" w:rsidRDefault="003D47C5" w:rsidP="00F90EAE">
      <w:pPr>
        <w:jc w:val="both"/>
        <w:rPr>
          <w:color w:val="000000" w:themeColor="text1"/>
          <w:sz w:val="16"/>
          <w:szCs w:val="16"/>
        </w:rPr>
      </w:pPr>
      <w:r w:rsidRPr="00F90EAE">
        <w:rPr>
          <w:color w:val="000000" w:themeColor="text1"/>
          <w:sz w:val="16"/>
          <w:szCs w:val="16"/>
        </w:rPr>
        <w:t>За 11 апреля на всех фронтах подбито и уничтожено 50 немецких танков и самоходных орудий. В воздушных боях и огнём зенитной артиллерии сбито 22 самолёта противника.</w:t>
      </w:r>
    </w:p>
    <w:p w14:paraId="0CCC44D6" w14:textId="77777777" w:rsidR="003D47C5" w:rsidRPr="00F90EAE" w:rsidRDefault="003D47C5"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 по кораблям и транспортам противника</w:t>
      </w:r>
    </w:p>
    <w:p w14:paraId="13798270" w14:textId="77777777" w:rsidR="003D47C5" w:rsidRPr="00F90EAE" w:rsidRDefault="003D47C5" w:rsidP="00F90EAE">
      <w:pPr>
        <w:jc w:val="both"/>
        <w:rPr>
          <w:color w:val="000000" w:themeColor="text1"/>
          <w:sz w:val="16"/>
          <w:szCs w:val="16"/>
        </w:rPr>
      </w:pPr>
      <w:r w:rsidRPr="00F90EAE">
        <w:rPr>
          <w:color w:val="000000" w:themeColor="text1"/>
          <w:sz w:val="16"/>
          <w:szCs w:val="16"/>
        </w:rPr>
        <w:t>9 и 10 апреля авиация Краснознаменного Балтийского флота наносила удары по военным кораблям и транспортам немцев в порту Пиллау и в открытом море северо-западнее Пиллау. В результате этих ударов потоплены: два немецких миноносца, два сторожевых корабля, десять транспортов общим водоизмещением в 60.000 тонн и один танкер водоизмещением в 2.000 тонн. Кроме того, прямым попаданием бомб повреждены: один миноносец, один сторожевой корабль и семь транспортов противника.</w:t>
      </w:r>
    </w:p>
    <w:p w14:paraId="378DBB1C" w14:textId="77777777" w:rsidR="003D47C5" w:rsidRPr="00F90EAE" w:rsidRDefault="003D47C5" w:rsidP="00F90EAE">
      <w:pPr>
        <w:jc w:val="both"/>
        <w:rPr>
          <w:color w:val="000000" w:themeColor="text1"/>
          <w:sz w:val="16"/>
          <w:szCs w:val="16"/>
        </w:rPr>
      </w:pPr>
      <w:r w:rsidRPr="00F90EAE">
        <w:rPr>
          <w:color w:val="000000" w:themeColor="text1"/>
          <w:sz w:val="16"/>
          <w:szCs w:val="16"/>
        </w:rPr>
        <w:t>Северо-восточнее и севернее Братиславы наши войска продолжали наступление. Противник построил в полосе гор Биле Карпаты инженерные заграждения, много дзотов и оказывает упорное сопротивление. Советские части, действующие в трудных условиях горно-лесистой местности, настойчиво продвигаются вперёд. Наши подразделения прорываются в тылы немцев и внезапными ударами дезорганизуют их оборону. Занято несколько горных селений, превращенных гитлеровцами в опорные пункты. Советские пехотинцы, наступающие вдоль восточного берега реки Морава, стремительной атакой заняли крупный населённый пункт Голич. Развивая успех, наши бойцы продвинулись вперёд на 5 километров и выбили немцев из чехословацкого города Скалица. Захвачены пленные и трофеи.</w:t>
      </w:r>
    </w:p>
    <w:p w14:paraId="534FF265" w14:textId="77777777" w:rsidR="003D47C5" w:rsidRPr="00F90EAE" w:rsidRDefault="003D47C5" w:rsidP="00F90EAE">
      <w:pPr>
        <w:jc w:val="both"/>
        <w:rPr>
          <w:color w:val="000000" w:themeColor="text1"/>
          <w:sz w:val="16"/>
          <w:szCs w:val="16"/>
        </w:rPr>
      </w:pPr>
      <w:r w:rsidRPr="00F90EAE">
        <w:rPr>
          <w:color w:val="000000" w:themeColor="text1"/>
          <w:sz w:val="16"/>
          <w:szCs w:val="16"/>
        </w:rPr>
        <w:t>Северо-восточнее Вены войска 2-го Украинского фронта с боями продвигались вперёд. Немцы ввели в бой ещё одну танковую дивизию, крупные силы пехоты и неоднократными контратаками пытаются не допустить выхода наших частей в тылы своей венской группировки. Преодолевая упорное сопротивление противника, наши войска овладели железнодорожной станцией Эйбесбрунн и перерезали железную и шоссейную дорогу Вена — Брно. Таким образом, в расположении немецких войск, действующих в районе Вены, осталась одна железная дорога, идущая вдоль северного берега Дуная на северо-запад. Дорога обстреливается советскими артиллеристами, вышедшими на южный берег Дуная северо-западнее австрийской столицы. Отбивая вражеские контратаки, войска фронта сожгли и подбили 40 танков и самоходных орудий и 18 бронетранспортеров противника. Взято в плен более 500 немецких солдат и офицеров. Захвачены трофеи, в числе которых 4 самолёта и 250 железнодорожных вагонов с военными грузами.</w:t>
      </w:r>
    </w:p>
    <w:p w14:paraId="3D12E2A2" w14:textId="77777777" w:rsidR="003D47C5" w:rsidRPr="00F90EAE" w:rsidRDefault="003D47C5" w:rsidP="00F90EAE">
      <w:pPr>
        <w:jc w:val="both"/>
        <w:rPr>
          <w:color w:val="000000" w:themeColor="text1"/>
          <w:sz w:val="16"/>
          <w:szCs w:val="16"/>
        </w:rPr>
      </w:pPr>
      <w:r w:rsidRPr="00F90EAE">
        <w:rPr>
          <w:color w:val="000000" w:themeColor="text1"/>
          <w:sz w:val="16"/>
          <w:szCs w:val="16"/>
        </w:rPr>
        <w:t>Войска 3-го Украинского фронта продолжали вести бои на улицах Вены. Советские части ещё в нескольких местах переправились через Дунайский канал и, отражая контратаки немцев, шаг за шагом продвигаются вперед. Особенно ожесточённые бои идут в районе северо-западного вокзала. Штурмовые отряды, действуя совместно с артиллеристами, блокируют узлы сопротивления немцев и ликвидируют их. Противник несёт тяжелые потери. За день боёв уничтожено более 4.000 немецких солдат и офицеров.</w:t>
      </w:r>
    </w:p>
    <w:p w14:paraId="188D47CE" w14:textId="77777777" w:rsidR="003D47C5" w:rsidRPr="00F90EAE" w:rsidRDefault="003D47C5" w:rsidP="00F90EAE">
      <w:pPr>
        <w:jc w:val="both"/>
        <w:rPr>
          <w:color w:val="000000" w:themeColor="text1"/>
          <w:sz w:val="16"/>
          <w:szCs w:val="16"/>
        </w:rPr>
      </w:pPr>
      <w:r w:rsidRPr="00F90EAE">
        <w:rPr>
          <w:color w:val="000000" w:themeColor="text1"/>
          <w:sz w:val="16"/>
          <w:szCs w:val="16"/>
        </w:rPr>
        <w:t>В боях за освобождение Вены советские бойцы проявляют высшую воинскую выучку, смелость и отвагу. На одной улице немецкий танк сильным огнём препятствовал продвижению нашей пехоты. Гвардии старший сержант Бурлаков подполз к вражескому танку и бросил бутылку с горючей смесью. Танк загорелся. Немецких танкистов, пытавшийся спастись бегством, сержант уничтожил огнем из автомата. Отделение сержанта Плоходова атаковало дом, в котором укрепились гитлеровцы. Наши бойцы ворвались в дом, уничтожили группу немцев и взяли в плен 9 солдат противника. Гвардии красноармеец Валетов в течение дня уничтожил семь немецких солдат и одного офицера.</w:t>
      </w:r>
    </w:p>
    <w:p w14:paraId="7F087356" w14:textId="77777777" w:rsidR="003D47C5" w:rsidRPr="00F90EAE" w:rsidRDefault="003D47C5" w:rsidP="00F90EAE">
      <w:pPr>
        <w:jc w:val="both"/>
        <w:rPr>
          <w:color w:val="000000" w:themeColor="text1"/>
          <w:sz w:val="16"/>
          <w:szCs w:val="16"/>
        </w:rPr>
      </w:pPr>
      <w:r w:rsidRPr="00F90EAE">
        <w:rPr>
          <w:color w:val="000000" w:themeColor="text1"/>
          <w:sz w:val="16"/>
          <w:szCs w:val="16"/>
        </w:rPr>
        <w:lastRenderedPageBreak/>
        <w:t>Взятый в плен немецкий полковник Ганс Янус рассказал: «В течение долгих месяцев воинские части и гражданское население строили оборонительные сооружения на территории Померании. Мы считали, что у этих мощных укреплений русские войска будут остановлены. Однако наши расчёты не оправдались. Красная Армия сорвала и опрокинула планы немецкого командования. В Померании советские войска окружили и уничтожили ряд немецких соединений. Дивизия «Меркиш-Фридланд» была сформирована в конце января 1945 года. Новая дивизия просуществовала очень недолго и была разбита. Оставшиеся в живых солдаты разбрелись по лесам и были взяты в плен» (15097).</w:t>
      </w:r>
    </w:p>
    <w:p w14:paraId="023DB1B7" w14:textId="77777777" w:rsidR="003D47C5" w:rsidRPr="00F90EAE" w:rsidRDefault="003D47C5" w:rsidP="00F90EAE">
      <w:pPr>
        <w:jc w:val="both"/>
        <w:rPr>
          <w:color w:val="000000" w:themeColor="text1"/>
          <w:sz w:val="16"/>
          <w:szCs w:val="16"/>
        </w:rPr>
      </w:pPr>
    </w:p>
    <w:p w14:paraId="13D77C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апреля 1945 двумя экипажами 108 гшап было выполнено два экспериментальных вы</w:t>
      </w:r>
      <w:r w:rsidRPr="00F90EAE">
        <w:rPr>
          <w:color w:val="000000" w:themeColor="text1"/>
          <w:sz w:val="16"/>
          <w:szCs w:val="16"/>
        </w:rPr>
        <w:softHyphen/>
        <w:t>лета на отработку методики бомбомета</w:t>
      </w:r>
      <w:r w:rsidRPr="00F90EAE">
        <w:rPr>
          <w:color w:val="000000" w:themeColor="text1"/>
          <w:sz w:val="16"/>
          <w:szCs w:val="16"/>
        </w:rPr>
        <w:softHyphen/>
        <w:t>ния с постоянным углом упреждения 7° (11157).</w:t>
      </w:r>
    </w:p>
    <w:p w14:paraId="4CD1A9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6B1A80"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12 апреля 1945 двумя экипажами 108 полка было выполнено два экспериментальных полета на отработку методики бомбометания с постоянным углом упреждения 7°.</w:t>
      </w:r>
    </w:p>
    <w:p w14:paraId="01E466DD"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324ACEE7"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7AF04A9C"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F6B3995"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7F8CED28"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C730440"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4376FAAB"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467B4FC8"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03B08773"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2648E773"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55E3E1BF"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2258345B"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CDD43FA"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F859B26"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039DC5AB"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56B4E1D3"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74483809"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19AB00D"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7660A315"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45D5DF4"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CEA4743" w14:textId="77777777" w:rsidR="00117BE3" w:rsidRPr="00F90EAE" w:rsidRDefault="00117BE3" w:rsidP="00F90EAE">
      <w:pPr>
        <w:jc w:val="both"/>
        <w:rPr>
          <w:color w:val="000000" w:themeColor="text1"/>
          <w:sz w:val="16"/>
          <w:szCs w:val="16"/>
        </w:rPr>
      </w:pPr>
      <w:r w:rsidRPr="00F90EAE">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02BCA54B" w14:textId="77777777" w:rsidR="00117BE3" w:rsidRPr="00F90EAE" w:rsidRDefault="00117BE3" w:rsidP="00F90EAE">
      <w:pPr>
        <w:jc w:val="both"/>
        <w:rPr>
          <w:color w:val="000000" w:themeColor="text1"/>
          <w:sz w:val="16"/>
          <w:szCs w:val="16"/>
        </w:rPr>
      </w:pPr>
    </w:p>
    <w:p w14:paraId="1A1DDA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для удара по судам в порту Пиллау дважды вылетали топмачтовики. Первый раз группу вел ГСС к М.С.Попов, а во второй м Ф.И.Тургенев. В пораженном транспорте Vale потом обнаружили 500 обгорелых трупов (4365).</w:t>
      </w:r>
    </w:p>
    <w:p w14:paraId="0652746E" w14:textId="77777777" w:rsidR="00665165" w:rsidRPr="00F90EAE" w:rsidRDefault="00665165" w:rsidP="00F90EAE">
      <w:pPr>
        <w:autoSpaceDE w:val="0"/>
        <w:autoSpaceDN w:val="0"/>
        <w:adjustRightInd w:val="0"/>
        <w:jc w:val="both"/>
        <w:rPr>
          <w:color w:val="000000" w:themeColor="text1"/>
          <w:sz w:val="16"/>
          <w:szCs w:val="16"/>
        </w:rPr>
      </w:pPr>
    </w:p>
    <w:p w14:paraId="244953B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C1E40D8" w14:textId="77777777" w:rsidR="00665165" w:rsidRPr="00F90EAE" w:rsidRDefault="00665165" w:rsidP="00F90EAE">
      <w:pPr>
        <w:autoSpaceDE w:val="0"/>
        <w:autoSpaceDN w:val="0"/>
        <w:adjustRightInd w:val="0"/>
        <w:jc w:val="both"/>
        <w:rPr>
          <w:iCs/>
          <w:color w:val="000000" w:themeColor="text1"/>
          <w:sz w:val="16"/>
          <w:szCs w:val="16"/>
        </w:rPr>
      </w:pPr>
    </w:p>
    <w:p w14:paraId="1FAA6760" w14:textId="77777777" w:rsidR="003D47C5" w:rsidRPr="00F90EAE" w:rsidRDefault="003D47C5" w:rsidP="00F90EAE">
      <w:pPr>
        <w:jc w:val="both"/>
        <w:rPr>
          <w:color w:val="000000" w:themeColor="text1"/>
          <w:sz w:val="16"/>
          <w:szCs w:val="16"/>
          <w:lang w:val="en-US"/>
        </w:rPr>
      </w:pPr>
      <w:r w:rsidRPr="00F90EAE">
        <w:rPr>
          <w:color w:val="000000" w:themeColor="text1"/>
          <w:sz w:val="16"/>
          <w:szCs w:val="16"/>
        </w:rPr>
        <w:t>12 апреля в 1945 году поднялся в воздух единственный восстановленный после освобождения Франции учебно-тренировочный самолет «Caudron» «C.690М». Следыэтоймашинывпоследствиизатерялись</w:t>
      </w:r>
      <w:r w:rsidRPr="00F90EAE">
        <w:rPr>
          <w:color w:val="000000" w:themeColor="text1"/>
          <w:sz w:val="16"/>
          <w:szCs w:val="16"/>
          <w:lang w:val="en-US"/>
        </w:rPr>
        <w:t xml:space="preserve"> (15097).</w:t>
      </w:r>
    </w:p>
    <w:p w14:paraId="674C9D99" w14:textId="77777777" w:rsidR="003D47C5" w:rsidRPr="00F90EAE" w:rsidRDefault="003D47C5" w:rsidP="00F90EAE">
      <w:pPr>
        <w:jc w:val="both"/>
        <w:rPr>
          <w:color w:val="000000" w:themeColor="text1"/>
          <w:sz w:val="16"/>
          <w:szCs w:val="16"/>
          <w:lang w:val="en-US"/>
        </w:rPr>
      </w:pPr>
    </w:p>
    <w:p w14:paraId="0146DA9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12 1945 83rd Infantry Division, US 9th Army reaches the Elbe river (1242).</w:t>
      </w:r>
    </w:p>
    <w:p w14:paraId="163D7F52" w14:textId="77777777" w:rsidR="00665165" w:rsidRPr="00F90EAE" w:rsidRDefault="00665165" w:rsidP="00F90EAE">
      <w:pPr>
        <w:autoSpaceDE w:val="0"/>
        <w:autoSpaceDN w:val="0"/>
        <w:adjustRightInd w:val="0"/>
        <w:jc w:val="both"/>
        <w:rPr>
          <w:color w:val="000000" w:themeColor="text1"/>
          <w:sz w:val="16"/>
          <w:szCs w:val="16"/>
          <w:lang w:val="en-US"/>
        </w:rPr>
      </w:pPr>
    </w:p>
    <w:p w14:paraId="504A2E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американцы вышли к Эльбе (1242).</w:t>
      </w:r>
    </w:p>
    <w:p w14:paraId="48F254C9" w14:textId="77777777" w:rsidR="00665165" w:rsidRPr="00F90EAE" w:rsidRDefault="00665165" w:rsidP="00F90EAE">
      <w:pPr>
        <w:autoSpaceDE w:val="0"/>
        <w:autoSpaceDN w:val="0"/>
        <w:adjustRightInd w:val="0"/>
        <w:jc w:val="both"/>
        <w:rPr>
          <w:color w:val="000000" w:themeColor="text1"/>
          <w:sz w:val="16"/>
          <w:szCs w:val="16"/>
        </w:rPr>
      </w:pPr>
    </w:p>
    <w:p w14:paraId="13AB912B" w14:textId="77777777" w:rsidR="003D47C5" w:rsidRPr="00F90EAE" w:rsidRDefault="003D47C5" w:rsidP="00F90EAE">
      <w:pPr>
        <w:jc w:val="both"/>
        <w:rPr>
          <w:color w:val="000000" w:themeColor="text1"/>
          <w:sz w:val="16"/>
          <w:szCs w:val="16"/>
        </w:rPr>
      </w:pPr>
      <w:r w:rsidRPr="00F90EAE">
        <w:rPr>
          <w:color w:val="000000" w:themeColor="text1"/>
          <w:sz w:val="16"/>
          <w:szCs w:val="16"/>
        </w:rPr>
        <w:t>12 апреля в 1945 году американские войска вступили в Эрфурт и Веймар (15097).</w:t>
      </w:r>
    </w:p>
    <w:p w14:paraId="37ECD28C" w14:textId="77777777" w:rsidR="003D47C5" w:rsidRPr="00F90EAE" w:rsidRDefault="003D47C5" w:rsidP="00F90EAE">
      <w:pPr>
        <w:jc w:val="both"/>
        <w:rPr>
          <w:color w:val="000000" w:themeColor="text1"/>
          <w:sz w:val="16"/>
          <w:szCs w:val="16"/>
        </w:rPr>
      </w:pPr>
    </w:p>
    <w:p w14:paraId="135619F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12 1945 Allies liberate Buchenwald and Belsen concentration camps (1050).</w:t>
      </w:r>
    </w:p>
    <w:p w14:paraId="692F72D8" w14:textId="77777777" w:rsidR="00665165" w:rsidRPr="00F90EAE" w:rsidRDefault="00665165" w:rsidP="00F90EAE">
      <w:pPr>
        <w:autoSpaceDE w:val="0"/>
        <w:autoSpaceDN w:val="0"/>
        <w:adjustRightInd w:val="0"/>
        <w:jc w:val="both"/>
        <w:rPr>
          <w:color w:val="000000" w:themeColor="text1"/>
          <w:sz w:val="16"/>
          <w:szCs w:val="16"/>
          <w:lang w:val="en-US"/>
        </w:rPr>
      </w:pPr>
    </w:p>
    <w:p w14:paraId="5C55BF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союзники освободили концлагеря Бухенвальд и Бельзен (1050).</w:t>
      </w:r>
    </w:p>
    <w:p w14:paraId="6098F052" w14:textId="77777777" w:rsidR="00665165" w:rsidRPr="00F90EAE" w:rsidRDefault="00665165" w:rsidP="00F90EAE">
      <w:pPr>
        <w:autoSpaceDE w:val="0"/>
        <w:autoSpaceDN w:val="0"/>
        <w:adjustRightInd w:val="0"/>
        <w:jc w:val="both"/>
        <w:rPr>
          <w:color w:val="000000" w:themeColor="text1"/>
          <w:sz w:val="16"/>
          <w:szCs w:val="16"/>
        </w:rPr>
      </w:pPr>
    </w:p>
    <w:p w14:paraId="6648639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апреля 1945 во время посещения Джорджии умер президент США Франклин Д. Рузвельт (4962).</w:t>
      </w:r>
    </w:p>
    <w:p w14:paraId="02215D9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112DFF" w14:textId="77777777" w:rsidR="003D47C5" w:rsidRPr="00F90EAE" w:rsidRDefault="003D47C5" w:rsidP="00F90EAE">
      <w:pPr>
        <w:jc w:val="both"/>
        <w:rPr>
          <w:color w:val="000000" w:themeColor="text1"/>
          <w:sz w:val="16"/>
          <w:szCs w:val="16"/>
        </w:rPr>
      </w:pPr>
      <w:r w:rsidRPr="00F90EAE">
        <w:rPr>
          <w:color w:val="000000" w:themeColor="text1"/>
          <w:sz w:val="16"/>
          <w:szCs w:val="16"/>
        </w:rPr>
        <w:t>12 апреля в 1945 году кончина президента США Ф.Д.Рузвельта. Президент скончался, когда художник рисовал его портрет. ВступлениенапостпрезидентаГ.Трумэна (15097).</w:t>
      </w:r>
    </w:p>
    <w:p w14:paraId="0F1E60F1" w14:textId="77777777" w:rsidR="003D47C5" w:rsidRPr="00F90EAE" w:rsidRDefault="003D47C5" w:rsidP="00F90EAE">
      <w:pPr>
        <w:jc w:val="both"/>
        <w:rPr>
          <w:color w:val="000000" w:themeColor="text1"/>
          <w:sz w:val="16"/>
          <w:szCs w:val="16"/>
        </w:rPr>
      </w:pPr>
    </w:p>
    <w:p w14:paraId="1B79A4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April</w:t>
      </w:r>
      <w:r w:rsidRPr="00F90EAE">
        <w:rPr>
          <w:color w:val="000000" w:themeColor="text1"/>
          <w:sz w:val="16"/>
          <w:szCs w:val="16"/>
        </w:rPr>
        <w:t xml:space="preserve"> 12 1945 </w:t>
      </w:r>
      <w:r w:rsidRPr="00F90EAE">
        <w:rPr>
          <w:color w:val="000000" w:themeColor="text1"/>
          <w:sz w:val="16"/>
          <w:szCs w:val="16"/>
          <w:lang w:val="en-US"/>
        </w:rPr>
        <w:t>President</w:t>
      </w:r>
      <w:r w:rsidRPr="00F90EAE">
        <w:rPr>
          <w:color w:val="000000" w:themeColor="text1"/>
          <w:sz w:val="16"/>
          <w:szCs w:val="16"/>
        </w:rPr>
        <w:t xml:space="preserve"> </w:t>
      </w:r>
      <w:r w:rsidRPr="00F90EAE">
        <w:rPr>
          <w:color w:val="000000" w:themeColor="text1"/>
          <w:sz w:val="16"/>
          <w:szCs w:val="16"/>
          <w:lang w:val="en-US"/>
        </w:rPr>
        <w:t>Roosevelt</w:t>
      </w:r>
      <w:r w:rsidRPr="00F90EAE">
        <w:rPr>
          <w:color w:val="000000" w:themeColor="text1"/>
          <w:sz w:val="16"/>
          <w:szCs w:val="16"/>
        </w:rPr>
        <w:t xml:space="preserve"> </w:t>
      </w:r>
      <w:r w:rsidRPr="00F90EAE">
        <w:rPr>
          <w:color w:val="000000" w:themeColor="text1"/>
          <w:sz w:val="16"/>
          <w:szCs w:val="16"/>
          <w:lang w:val="en-US"/>
        </w:rPr>
        <w:t>dies</w:t>
      </w:r>
      <w:r w:rsidRPr="00F90EAE">
        <w:rPr>
          <w:color w:val="000000" w:themeColor="text1"/>
          <w:sz w:val="16"/>
          <w:szCs w:val="16"/>
        </w:rPr>
        <w:t xml:space="preserve"> (1037) </w:t>
      </w:r>
      <w:r w:rsidRPr="00F90EAE">
        <w:rPr>
          <w:color w:val="000000" w:themeColor="text1"/>
          <w:sz w:val="16"/>
          <w:szCs w:val="16"/>
          <w:lang w:val="en-US"/>
        </w:rPr>
        <w:t>Truman</w:t>
      </w:r>
      <w:r w:rsidRPr="00F90EAE">
        <w:rPr>
          <w:color w:val="000000" w:themeColor="text1"/>
          <w:sz w:val="16"/>
          <w:szCs w:val="16"/>
        </w:rPr>
        <w:t xml:space="preserve"> </w:t>
      </w:r>
      <w:r w:rsidRPr="00F90EAE">
        <w:rPr>
          <w:color w:val="000000" w:themeColor="text1"/>
          <w:sz w:val="16"/>
          <w:szCs w:val="16"/>
          <w:lang w:val="en-US"/>
        </w:rPr>
        <w:t>becomes</w:t>
      </w:r>
      <w:r w:rsidRPr="00F90EAE">
        <w:rPr>
          <w:color w:val="000000" w:themeColor="text1"/>
          <w:sz w:val="16"/>
          <w:szCs w:val="16"/>
        </w:rPr>
        <w:t xml:space="preserve"> </w:t>
      </w:r>
      <w:r w:rsidRPr="00F90EAE">
        <w:rPr>
          <w:color w:val="000000" w:themeColor="text1"/>
          <w:sz w:val="16"/>
          <w:szCs w:val="16"/>
          <w:lang w:val="en-US"/>
        </w:rPr>
        <w:t>President</w:t>
      </w:r>
      <w:r w:rsidRPr="00F90EAE">
        <w:rPr>
          <w:color w:val="000000" w:themeColor="text1"/>
          <w:sz w:val="16"/>
          <w:szCs w:val="16"/>
        </w:rPr>
        <w:t xml:space="preserve"> (1287).</w:t>
      </w:r>
    </w:p>
    <w:p w14:paraId="24B1C06D" w14:textId="77777777" w:rsidR="00665165" w:rsidRPr="00F90EAE" w:rsidRDefault="00665165" w:rsidP="00F90EAE">
      <w:pPr>
        <w:autoSpaceDE w:val="0"/>
        <w:autoSpaceDN w:val="0"/>
        <w:adjustRightInd w:val="0"/>
        <w:jc w:val="both"/>
        <w:rPr>
          <w:color w:val="000000" w:themeColor="text1"/>
          <w:sz w:val="16"/>
          <w:szCs w:val="16"/>
        </w:rPr>
      </w:pPr>
    </w:p>
    <w:p w14:paraId="522FE0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Ф.Д.Р. умер и президентом стал Г.Трумен (1287).</w:t>
      </w:r>
    </w:p>
    <w:p w14:paraId="11BCC77C" w14:textId="77777777" w:rsidR="00665165" w:rsidRPr="00F90EAE" w:rsidRDefault="00665165" w:rsidP="00F90EAE">
      <w:pPr>
        <w:autoSpaceDE w:val="0"/>
        <w:autoSpaceDN w:val="0"/>
        <w:adjustRightInd w:val="0"/>
        <w:jc w:val="both"/>
        <w:rPr>
          <w:color w:val="000000" w:themeColor="text1"/>
          <w:sz w:val="16"/>
          <w:szCs w:val="16"/>
        </w:rPr>
      </w:pPr>
    </w:p>
    <w:p w14:paraId="123DA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апреля 1945 состоялось третье боевое применение японцами ракетного снаряда Ока, управляемого камикадзе. 9 носителей + 80 истребителей-камикадзе и 100 истребителей прикрытия атаковали американские корабли. Японцы объявили о потоплении 3-х линкоров, но Ока потопил эсминец (2969,21).</w:t>
      </w:r>
    </w:p>
    <w:p w14:paraId="63451FD4" w14:textId="77777777" w:rsidR="00665165" w:rsidRPr="00F90EAE" w:rsidRDefault="00665165" w:rsidP="00F90EAE">
      <w:pPr>
        <w:autoSpaceDE w:val="0"/>
        <w:autoSpaceDN w:val="0"/>
        <w:adjustRightInd w:val="0"/>
        <w:jc w:val="both"/>
        <w:rPr>
          <w:color w:val="000000" w:themeColor="text1"/>
          <w:sz w:val="16"/>
          <w:szCs w:val="16"/>
        </w:rPr>
      </w:pPr>
    </w:p>
    <w:p w14:paraId="17EF0FA1" w14:textId="77777777" w:rsidR="007D191E" w:rsidRPr="00F90EAE" w:rsidRDefault="007D191E" w:rsidP="00F90EAE">
      <w:pPr>
        <w:jc w:val="both"/>
        <w:rPr>
          <w:color w:val="0070C0"/>
          <w:sz w:val="16"/>
          <w:szCs w:val="16"/>
        </w:rPr>
      </w:pPr>
      <w:r w:rsidRPr="00F90EAE">
        <w:rPr>
          <w:color w:val="0070C0"/>
          <w:sz w:val="16"/>
          <w:szCs w:val="16"/>
        </w:rPr>
        <w:t>12–13 апреля 1945 состоялась вторая атака японских кикусуи на корабли союзников у Окинавы в составе 145 камикадзе, которые атакуют вместе со 150 истребителями и 45 бомбардировщиками-торпедоносцами. Корабли и самолеты ВМС США утверждают, что уничтожено 298 японских самолетов (20371).</w:t>
      </w:r>
    </w:p>
    <w:p w14:paraId="49376396" w14:textId="77777777" w:rsidR="007D191E" w:rsidRPr="00F90EAE" w:rsidRDefault="007D191E" w:rsidP="00F90EAE">
      <w:pPr>
        <w:jc w:val="both"/>
        <w:rPr>
          <w:color w:val="0070C0"/>
          <w:sz w:val="16"/>
          <w:szCs w:val="16"/>
        </w:rPr>
      </w:pPr>
    </w:p>
    <w:p w14:paraId="6DE2E899" w14:textId="77777777" w:rsidR="003D47C5" w:rsidRPr="00F90EAE" w:rsidRDefault="003D47C5" w:rsidP="00F90EAE">
      <w:pPr>
        <w:jc w:val="both"/>
        <w:rPr>
          <w:color w:val="000000" w:themeColor="text1"/>
          <w:sz w:val="16"/>
          <w:szCs w:val="16"/>
        </w:rPr>
      </w:pPr>
      <w:r w:rsidRPr="00F90EAE">
        <w:rPr>
          <w:color w:val="000000" w:themeColor="text1"/>
          <w:sz w:val="16"/>
          <w:szCs w:val="16"/>
        </w:rPr>
        <w:t>12 апреля в 1945 году первый корабль (эсминец "Маннеpт Л.Абель") потоплен японским МХY7 ("моpской специальный штуpмовой самолет "Ока" модель 11") - планер-бомба с ракетными ускорителями, 1200 кг взрывчатки, пилот-камикадзе Дохи Сабуро. Погибли 114 моряков (15097).</w:t>
      </w:r>
    </w:p>
    <w:p w14:paraId="35021498" w14:textId="77777777" w:rsidR="003D47C5" w:rsidRPr="00F90EAE" w:rsidRDefault="003D47C5" w:rsidP="00F90EAE">
      <w:pPr>
        <w:jc w:val="both"/>
        <w:rPr>
          <w:color w:val="000000" w:themeColor="text1"/>
          <w:sz w:val="16"/>
          <w:szCs w:val="16"/>
        </w:rPr>
      </w:pPr>
    </w:p>
    <w:p w14:paraId="5C1016C6" w14:textId="77777777" w:rsidR="007D191E" w:rsidRPr="00F90EAE" w:rsidRDefault="007D191E" w:rsidP="00F90EAE">
      <w:pPr>
        <w:jc w:val="both"/>
        <w:rPr>
          <w:color w:val="0070C0"/>
          <w:sz w:val="16"/>
          <w:szCs w:val="16"/>
        </w:rPr>
      </w:pPr>
      <w:r w:rsidRPr="00F90EAE">
        <w:rPr>
          <w:color w:val="0070C0"/>
          <w:sz w:val="16"/>
          <w:szCs w:val="16"/>
        </w:rPr>
        <w:t>12 апреля 1945 эсминец USS Mannert L. Abele станет первым кораблем, потопленным Ohka. Камикадзе также поразили линкор USS Tennessee, четыре эсминца, четыре эсминца сопровождения, минный заградитель, тральщик и несколько малых судов (20371).</w:t>
      </w:r>
    </w:p>
    <w:p w14:paraId="704698E5" w14:textId="77777777" w:rsidR="007D191E" w:rsidRPr="00F90EAE" w:rsidRDefault="007D191E" w:rsidP="00F90EAE">
      <w:pPr>
        <w:jc w:val="both"/>
        <w:rPr>
          <w:color w:val="0070C0"/>
          <w:sz w:val="16"/>
          <w:szCs w:val="16"/>
        </w:rPr>
      </w:pPr>
    </w:p>
    <w:p w14:paraId="2BDCCA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063EF20" w14:textId="77777777" w:rsidR="00665165" w:rsidRPr="00F90EAE" w:rsidRDefault="00665165" w:rsidP="00F90EAE">
      <w:pPr>
        <w:autoSpaceDE w:val="0"/>
        <w:autoSpaceDN w:val="0"/>
        <w:adjustRightInd w:val="0"/>
        <w:jc w:val="both"/>
        <w:rPr>
          <w:iCs/>
          <w:color w:val="000000" w:themeColor="text1"/>
          <w:sz w:val="16"/>
          <w:szCs w:val="16"/>
        </w:rPr>
      </w:pPr>
    </w:p>
    <w:p w14:paraId="24D986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года зам. начальника ВВС ВМФ по тылу генерал-лейтенант интендантской службы Купреев писал письмо N 5/99888с зам. наркома Авиапрома генерал-лейтенанту инженерно-авиационной службы Дементьеву П.В.</w:t>
      </w:r>
    </w:p>
    <w:p w14:paraId="481166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ВВС Краснознаменного Балтийского флота создалось чрезвычайно тяжелое положение с моторным ресурсом ВК-105ПФ и АШ-82ФН на самолетах Як-9, Як-3, ЛАГГ-3, Пе-2, Ла-5 и Ла-7. Из 281 самолета Як-9, 55 самолетов Пе-2 и 191 самолета Ла-5, Ла-7 значительная часть не может быть использована в боевых действиях из-за неисправности и выработки моторного ресурса. Восстановить боевые самолеты не представляется возможным6 так как ВВС ВМФ совершенно не располагают резервными моторами.</w:t>
      </w:r>
    </w:p>
    <w:p w14:paraId="5E8F94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Убедительно прошу Вас об оказании помощи моторами ВК-105ПФ и АШ-82ФН. Для переброски моторов в район боевых действий будут выделены Ли-2.</w:t>
      </w:r>
    </w:p>
    <w:p w14:paraId="454214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Ваше решение прошу сообщить (2595,41).</w:t>
      </w:r>
    </w:p>
    <w:p w14:paraId="131760F6" w14:textId="77777777" w:rsidR="00665165" w:rsidRPr="00F90EAE" w:rsidRDefault="00665165" w:rsidP="00F90EAE">
      <w:pPr>
        <w:autoSpaceDE w:val="0"/>
        <w:autoSpaceDN w:val="0"/>
        <w:adjustRightInd w:val="0"/>
        <w:jc w:val="both"/>
        <w:rPr>
          <w:color w:val="000000" w:themeColor="text1"/>
          <w:sz w:val="16"/>
          <w:szCs w:val="16"/>
        </w:rPr>
      </w:pPr>
    </w:p>
    <w:p w14:paraId="02EF87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года зам. начальника ВВС ВМФ по тылу генерал-лейтенант интендантской службы Купреев писал письмо N 5/99887с зам. наркома Авиапрома генерал-лейтенанту инженерно-авиационной службы Дементьеву П.В.</w:t>
      </w:r>
    </w:p>
    <w:p w14:paraId="3A2A1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ВВС КБФ принимают участие в боевых действиях два авиационных полка вооруженных самолетами Ил-10 и Як-9У, совершенно необеспеченных резервными моторами. До сих пор от Авиапромышленности ВВС ВМФ не получили моторы АМ-42 и ВК-107А. Отсутствие резервных моторов исключает возможность восстановления самолетов с неисправными моторами.</w:t>
      </w:r>
    </w:p>
    <w:p w14:paraId="7C161F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 выделении ВВС ВМФ в апреле авиамоторов:</w:t>
      </w:r>
    </w:p>
    <w:p w14:paraId="77C593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АМ-42 - 10</w:t>
      </w:r>
    </w:p>
    <w:p w14:paraId="71C60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- 10</w:t>
      </w:r>
    </w:p>
    <w:p w14:paraId="5563B4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Ваше решение прошу сообщить (2595,42).</w:t>
      </w:r>
    </w:p>
    <w:p w14:paraId="6D098A06" w14:textId="77777777" w:rsidR="00665165" w:rsidRPr="00F90EAE" w:rsidRDefault="00665165" w:rsidP="00F90EAE">
      <w:pPr>
        <w:autoSpaceDE w:val="0"/>
        <w:autoSpaceDN w:val="0"/>
        <w:adjustRightInd w:val="0"/>
        <w:jc w:val="both"/>
        <w:rPr>
          <w:color w:val="000000" w:themeColor="text1"/>
          <w:sz w:val="16"/>
          <w:szCs w:val="16"/>
        </w:rPr>
      </w:pPr>
    </w:p>
    <w:p w14:paraId="2200F9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начались гос. испытания опытного самолета 63 с 2хАМ-39Ф и винтами АВ-5В-22А конструкции А.Н.Т. (1829,114).</w:t>
      </w:r>
    </w:p>
    <w:p w14:paraId="1A5E23F0" w14:textId="77777777" w:rsidR="00665165" w:rsidRPr="00F90EAE" w:rsidRDefault="00665165" w:rsidP="00F90EAE">
      <w:pPr>
        <w:autoSpaceDE w:val="0"/>
        <w:autoSpaceDN w:val="0"/>
        <w:adjustRightInd w:val="0"/>
        <w:jc w:val="both"/>
        <w:rPr>
          <w:color w:val="000000" w:themeColor="text1"/>
          <w:sz w:val="16"/>
          <w:szCs w:val="16"/>
        </w:rPr>
      </w:pPr>
    </w:p>
    <w:p w14:paraId="28956F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вышел приказ НКАП N 140сс "Об увеличении выпуска самолетов Як-9 с ВК-105ПФ, вооруженных пушкой 37 мм и о выпуске самолетов Як-9 с ВК-105ПФ, вооруженных пушкой 45 мм" в исполнение постановления ГКО N 8061сс от 10 апреля 1945:</w:t>
      </w:r>
    </w:p>
    <w:p w14:paraId="07F58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Нач. ПГУ, зам. наркома П.А.Воронину и директору завода 153 В.Н.Лисицину обеспечить выпуск на заводе 153:</w:t>
      </w:r>
    </w:p>
    <w:p w14:paraId="7297BE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начиная с апреля 1945 ежемесячно по 150 самолетов Як-9 с ВК-105ПФ, вооруженных пушкой 37 мм и пулеметом 12.7 мм</w:t>
      </w:r>
    </w:p>
    <w:p w14:paraId="4272C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начиная с июня 1945 ежемесячно по 5 самолетов Як-9 с ВК-105ПФ, вооруженных пушкой 45 мм и пулеметом 12.7 мм.</w:t>
      </w:r>
    </w:p>
    <w:p w14:paraId="48D520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Увеличение выпуска самолетов Як-9, вооруженных пушкой 37 мм и выпуск самолетов Як-9, вооруженных пушкой 45 мм, произвести без снижения достигнутого общего уровня выпуска самолетов на заводе 153." (1830,94).</w:t>
      </w:r>
    </w:p>
    <w:p w14:paraId="333B0264" w14:textId="77777777" w:rsidR="00665165" w:rsidRPr="00F90EAE" w:rsidRDefault="00665165" w:rsidP="00F90EAE">
      <w:pPr>
        <w:autoSpaceDE w:val="0"/>
        <w:autoSpaceDN w:val="0"/>
        <w:adjustRightInd w:val="0"/>
        <w:jc w:val="both"/>
        <w:rPr>
          <w:color w:val="000000" w:themeColor="text1"/>
          <w:sz w:val="16"/>
          <w:szCs w:val="16"/>
        </w:rPr>
      </w:pPr>
    </w:p>
    <w:p w14:paraId="79D779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8124 Об обеспечении Наркомавиапрома радиаторными трубками для производства авиационных радиаторов. РГАНИР, Фонд ГКО, д. 398, лл. 23-24 (11012).</w:t>
      </w:r>
    </w:p>
    <w:p w14:paraId="5A52FADE" w14:textId="77777777" w:rsidR="00665165" w:rsidRPr="00F90EAE" w:rsidRDefault="00665165" w:rsidP="00F90EAE">
      <w:pPr>
        <w:autoSpaceDE w:val="0"/>
        <w:autoSpaceDN w:val="0"/>
        <w:adjustRightInd w:val="0"/>
        <w:jc w:val="both"/>
        <w:rPr>
          <w:color w:val="000000" w:themeColor="text1"/>
          <w:sz w:val="16"/>
          <w:szCs w:val="16"/>
        </w:rPr>
      </w:pPr>
    </w:p>
    <w:p w14:paraId="3C6EE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Распоряжение ГКО № 8127. О реэвакуации в Ленинград ОКБ № 172 НКВ и № 340 НКСП. РГАНИР, Фонд ГКО, д. 398, лл. 27 (11012).</w:t>
      </w:r>
    </w:p>
    <w:p w14:paraId="063DC666" w14:textId="77777777" w:rsidR="00665165" w:rsidRPr="00F90EAE" w:rsidRDefault="00665165" w:rsidP="00F90EAE">
      <w:pPr>
        <w:autoSpaceDE w:val="0"/>
        <w:autoSpaceDN w:val="0"/>
        <w:adjustRightInd w:val="0"/>
        <w:jc w:val="both"/>
        <w:rPr>
          <w:color w:val="000000" w:themeColor="text1"/>
          <w:sz w:val="16"/>
          <w:szCs w:val="16"/>
        </w:rPr>
      </w:pPr>
    </w:p>
    <w:p w14:paraId="0AF0DFE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5CA0771" w14:textId="77777777" w:rsidR="00665165" w:rsidRPr="00F90EAE" w:rsidRDefault="00665165" w:rsidP="00F90EAE">
      <w:pPr>
        <w:autoSpaceDE w:val="0"/>
        <w:autoSpaceDN w:val="0"/>
        <w:adjustRightInd w:val="0"/>
        <w:jc w:val="both"/>
        <w:rPr>
          <w:iCs/>
          <w:color w:val="000000" w:themeColor="text1"/>
          <w:sz w:val="16"/>
          <w:szCs w:val="16"/>
        </w:rPr>
      </w:pPr>
    </w:p>
    <w:p w14:paraId="428C5D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апреля 1945 г. была подготовлена ДОКЛАДНАЯ ЗАПИСКА РАЙОННОГО ИНЖЕНЕРА УПРАВЛЕНИЯ САМОХОДНОЙ АРТИЛЛЕРИИ НАЧАЛЬНИКУ УСА ГБТУ КА ОБ УСТРАНЕНИИ КОНСТРУКТИВНЫХ ДЕФЕКТОВ СУ-100 № 0495</w:t>
      </w:r>
    </w:p>
    <w:p w14:paraId="1DDF93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о мероприятиях по устранению конструктивных недостатков СУ-100:</w:t>
      </w:r>
    </w:p>
    <w:p w14:paraId="252909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 целях устранения поражения экипажа СУ-100 кусками крепежных болтов, отскакивающими при ударе снарядов в броню самохода, изменена конструкция крепления кожуха рамки к лобовому листу: вместо крепления болтами с гайками изнутри машины введено крепление путем привинчивания кожуха снаружи к лобовому листу без выступания концов болтов внутрь машины, кроме двух, располо</w:t>
      </w:r>
      <w:r w:rsidRPr="00F90EAE">
        <w:rPr>
          <w:color w:val="000000" w:themeColor="text1"/>
          <w:sz w:val="16"/>
          <w:szCs w:val="16"/>
        </w:rPr>
        <w:softHyphen/>
        <w:t>женных около люка водителя. Это изменение введено в производство с №100 программы января 1945 г.</w:t>
      </w:r>
    </w:p>
    <w:p w14:paraId="3257D8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Заводское испытание обстрелом корпуса СУ-100 на полигоне в марте с.г. показало хорошие результаты: приварка бонок надежна, при срезании болтов прямым попаданием снаряда головки болтов остаются снаружи машины.</w:t>
      </w:r>
    </w:p>
    <w:p w14:paraId="6F0DD9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Одной из причин отскакивания мелких осколков от брони являются плены и закаты на броневом листе.</w:t>
      </w:r>
    </w:p>
    <w:p w14:paraId="016177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избежания этого явления прошу дать указание военпредам на Кузнецком и Магнитогорском заводах об ужесточении контроля и недопущении плен и закатов на броневых листах, в особенности на одной из сторон (внутренней).</w:t>
      </w:r>
    </w:p>
    <w:p w14:paraId="13318C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Для улучшения обзорности из командирской башенки поднять МК-4 на 7-8 см нельзя: требу</w:t>
      </w:r>
      <w:r w:rsidRPr="00F90EAE">
        <w:rPr>
          <w:color w:val="000000" w:themeColor="text1"/>
          <w:sz w:val="16"/>
          <w:szCs w:val="16"/>
        </w:rPr>
        <w:softHyphen/>
        <w:t>ется новая конструкция смотрового прибора с большей перископичностью и увеличением видимо</w:t>
      </w:r>
      <w:r w:rsidRPr="00F90EAE">
        <w:rPr>
          <w:color w:val="000000" w:themeColor="text1"/>
          <w:sz w:val="16"/>
          <w:szCs w:val="16"/>
        </w:rPr>
        <w:softHyphen/>
        <w:t>го изображения. Имеющийся на УМЗ один экземпляр нового бинокулярного смотрового прибора после незначительных изменений может быть установлен в СУ-100.</w:t>
      </w:r>
    </w:p>
    <w:p w14:paraId="6EF3ED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Крыша командирской башенки нового типа разрабатывается конструкторским бюро.</w:t>
      </w:r>
    </w:p>
    <w:p w14:paraId="1EE415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В целях упрочнения приварки кронштейна, на котором монтируется подъемный и поворотный механизмы, завод №9 ввел в производство с февраля 1945 года чертежи №2020 и №2021 с исправле</w:t>
      </w:r>
      <w:r w:rsidRPr="00F90EAE">
        <w:rPr>
          <w:color w:val="000000" w:themeColor="text1"/>
          <w:sz w:val="16"/>
          <w:szCs w:val="16"/>
        </w:rPr>
        <w:softHyphen/>
        <w:t>ниями:</w:t>
      </w:r>
    </w:p>
    <w:p w14:paraId="2F0792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Увеличена ширина площади для сварочного шва.</w:t>
      </w:r>
    </w:p>
    <w:p w14:paraId="5090B8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Увеличена длина сварочного шва.</w:t>
      </w:r>
    </w:p>
    <w:p w14:paraId="5B113E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Увеличено сечение рамки детали 17-1 и щеки детали 17-43.</w:t>
      </w:r>
    </w:p>
    <w:p w14:paraId="3F946E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Чертежи прилагаются.</w:t>
      </w:r>
    </w:p>
    <w:p w14:paraId="3C707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Для облегчения работы подъемным механизмом самоходных пушек согласно протоколу технического совещания директора Уралмашзавода, директора завода №9 и директора завода №8 от 31.03.1945 г. по докладу председателя государственной комиссии по испытанию 100-мм самоходных пушек измененной конструкции принято решение: в апреле 1945 г. изготовить 25 штук 100-мм самоходных пушек Д10-С-К с естественным уравновешиванием качающийся части, плава</w:t>
      </w:r>
      <w:r w:rsidRPr="00F90EAE">
        <w:rPr>
          <w:color w:val="000000" w:themeColor="text1"/>
          <w:sz w:val="16"/>
          <w:szCs w:val="16"/>
        </w:rPr>
        <w:softHyphen/>
        <w:t xml:space="preserve">ющими </w:t>
      </w:r>
      <w:r w:rsidRPr="00F90EAE">
        <w:rPr>
          <w:color w:val="000000" w:themeColor="text1"/>
          <w:sz w:val="16"/>
          <w:szCs w:val="16"/>
        </w:rPr>
        <w:lastRenderedPageBreak/>
        <w:t>втулками на горизонтальных цапфах люльки, выдвижным (утяжеленным) ограждением, компенсирующим механизмом по типу Д5-С85А, электроспуском РТ-9, упрощенным контактным устройством на маховике подъемного механизма и предохранителем от выстрела при задвинутом ограждении.</w:t>
      </w:r>
    </w:p>
    <w:p w14:paraId="414776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Серийный выпуск самоходных пушек Д10-С-К артиллерийские заводы НКВ №9 и №8 предпола</w:t>
      </w:r>
      <w:r w:rsidRPr="00F90EAE">
        <w:rPr>
          <w:color w:val="000000" w:themeColor="text1"/>
          <w:sz w:val="16"/>
          <w:szCs w:val="16"/>
        </w:rPr>
        <w:softHyphen/>
        <w:t>гают начать с 1.05.1945 г.</w:t>
      </w:r>
    </w:p>
    <w:p w14:paraId="6DA177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Отчет Госкомиссии по этому вопросу Вам выслан 11.04.1945 г. за №522/40с через завод №9 НКВ.</w:t>
      </w:r>
    </w:p>
    <w:p w14:paraId="6684D8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Для обеспечения требуемой чертежом чистоты обработки отверстия для прицела ТШ-19 в щите мною введена проверка при монтаже артсистем в самоходы в сборочном цехе.</w:t>
      </w:r>
    </w:p>
    <w:p w14:paraId="11823E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Усиленная конструкция передних опорных катков: из 16 мм диска вместо 10 мм, и на трех шарикоподшипниках вместо двух, заводское испытание пробегом на 450 км выдержала. Мною дано согласие о введении в серийное производство передних усиленных катков с параллельной провер</w:t>
      </w:r>
      <w:r w:rsidRPr="00F90EAE">
        <w:rPr>
          <w:color w:val="000000" w:themeColor="text1"/>
          <w:sz w:val="16"/>
          <w:szCs w:val="16"/>
        </w:rPr>
        <w:softHyphen/>
        <w:t>кой на первых 100 машинах и на 2 машинах опытного цеха и после гарантийного пробега в Кубинке на 1000 км во второй половине апреля 1945 г.</w:t>
      </w:r>
    </w:p>
    <w:p w14:paraId="4CB32E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Изготовленная заводом №50 опытная партия 50 штук установлена на машинах и дала удовлетво</w:t>
      </w:r>
      <w:r w:rsidRPr="00F90EAE">
        <w:rPr>
          <w:color w:val="000000" w:themeColor="text1"/>
          <w:sz w:val="16"/>
          <w:szCs w:val="16"/>
        </w:rPr>
        <w:softHyphen/>
        <w:t>рительные результаты. Серийное производство завод №50 предполагает начать со второй половины апреля 1945 г. С этого же времени предполагается начать выпуск остальных катков с усиленными стяжными болтами диаметром 20 мм вместо 16 мм.</w:t>
      </w:r>
    </w:p>
    <w:p w14:paraId="110ED2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Чертежи усиленных катков прилагаются (см. приказ ОГК УМЗ №123).</w:t>
      </w:r>
    </w:p>
    <w:p w14:paraId="00B750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Опытная усиленная подвеска передних катков из пружины диаметром 36 мм изготовлена и будет испытываться на 1000 км на заводской опытной машине.</w:t>
      </w:r>
    </w:p>
    <w:p w14:paraId="13987F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Произведенными заводскими испытаниями по буксировке машин установлено, что длина буксирного троса должна быть равна 6500 мм вместо 5000 мм. С №1 апрельской программы СУ-100 принимаются мною с 6,5 м буксирными тросами.</w:t>
      </w:r>
    </w:p>
    <w:p w14:paraId="5C6960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В целях устранения разрывов маслопровода (деталь 03-16сб), идущего от маслофильтра к мас-лоперепускному крану, завод ввел в серийное производство с 23.03.1945 г. комбинированную трубку (деталь 03-16сб): нижний конец стальной, а верхняя половина медная.</w:t>
      </w:r>
    </w:p>
    <w:p w14:paraId="51B3C0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Результаты заводских испытаний хорошие.</w:t>
      </w:r>
    </w:p>
    <w:p w14:paraId="77F841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Для разгрузки роликовых подшипников каретки первой и задней передач в КПП раздвига</w:t>
      </w:r>
      <w:r w:rsidRPr="00F90EAE">
        <w:rPr>
          <w:color w:val="000000" w:themeColor="text1"/>
          <w:sz w:val="16"/>
          <w:szCs w:val="16"/>
        </w:rPr>
        <w:softHyphen/>
        <w:t>ются опоры их на 11 мм, согласно чертежам завода №174, введшего это изменение в серийное про</w:t>
      </w:r>
      <w:r w:rsidRPr="00F90EAE">
        <w:rPr>
          <w:color w:val="000000" w:themeColor="text1"/>
          <w:sz w:val="16"/>
          <w:szCs w:val="16"/>
        </w:rPr>
        <w:softHyphen/>
        <w:t>изводство.</w:t>
      </w:r>
    </w:p>
    <w:p w14:paraId="09EE16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приказу, изменения чертежей за №9/278/141, Уралмашзавод с 5.05.1945 г. будет подавать заводу №50 поковки, деталь 08-24, по измененному чертежу.</w:t>
      </w:r>
    </w:p>
    <w:p w14:paraId="0DD258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w:t>
      </w:r>
    </w:p>
    <w:p w14:paraId="599D19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Чертеж №2020 на 1 листе.</w:t>
      </w:r>
    </w:p>
    <w:p w14:paraId="7AD523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Чертеж №2021 на 1 листе.</w:t>
      </w:r>
    </w:p>
    <w:p w14:paraId="5DB1E5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Приказ №123 с чертежами на 28 листах.</w:t>
      </w:r>
    </w:p>
    <w:p w14:paraId="0CBE86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И.о. райинженера УСА ГБТУ КА инженер-подполковник Агриков</w:t>
      </w:r>
    </w:p>
    <w:p w14:paraId="04358B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11369. Д. 507. Л. 132-133. Подлинник (11420).</w:t>
      </w:r>
    </w:p>
    <w:p w14:paraId="152F04C9" w14:textId="77777777" w:rsidR="00665165" w:rsidRPr="00F90EAE" w:rsidRDefault="00665165" w:rsidP="00F90EAE">
      <w:pPr>
        <w:autoSpaceDE w:val="0"/>
        <w:autoSpaceDN w:val="0"/>
        <w:adjustRightInd w:val="0"/>
        <w:jc w:val="both"/>
        <w:rPr>
          <w:color w:val="000000" w:themeColor="text1"/>
          <w:sz w:val="16"/>
          <w:szCs w:val="16"/>
        </w:rPr>
      </w:pPr>
    </w:p>
    <w:p w14:paraId="47D762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8105 О плане производства и ремонта танков, самоходных артиллерийских установок, дизелей и поставки танковых запасных частей Красной Армии на II квартал 1945 г. РГАНИР, Фонд ГКО, д. 392, лл. 1-6, 7-172 (11012).</w:t>
      </w:r>
    </w:p>
    <w:p w14:paraId="2CF3F70E" w14:textId="77777777" w:rsidR="00665165" w:rsidRPr="00F90EAE" w:rsidRDefault="00665165" w:rsidP="00F90EAE">
      <w:pPr>
        <w:autoSpaceDE w:val="0"/>
        <w:autoSpaceDN w:val="0"/>
        <w:adjustRightInd w:val="0"/>
        <w:jc w:val="both"/>
        <w:rPr>
          <w:color w:val="000000" w:themeColor="text1"/>
          <w:sz w:val="16"/>
          <w:szCs w:val="16"/>
        </w:rPr>
      </w:pPr>
    </w:p>
    <w:p w14:paraId="26599A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8106 О плане производства важнейших химикатов для боеприпасов и народного хозяйства на II квартал 1945 года. РГАНИР, Фонд ГКО, д. 392, лл. 173-198, 199-224 (11012).</w:t>
      </w:r>
    </w:p>
    <w:p w14:paraId="5683F086" w14:textId="77777777" w:rsidR="00665165" w:rsidRPr="00F90EAE" w:rsidRDefault="00665165" w:rsidP="00F90EAE">
      <w:pPr>
        <w:autoSpaceDE w:val="0"/>
        <w:autoSpaceDN w:val="0"/>
        <w:adjustRightInd w:val="0"/>
        <w:jc w:val="both"/>
        <w:rPr>
          <w:color w:val="000000" w:themeColor="text1"/>
          <w:sz w:val="16"/>
          <w:szCs w:val="16"/>
        </w:rPr>
      </w:pPr>
    </w:p>
    <w:p w14:paraId="1EAF1F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8107 О плане производства боеприпасов во II квартале 1945 года. РГАНИР, Фонд ГКО, д. 393, лл. 1-19, 20-491 (11012).</w:t>
      </w:r>
    </w:p>
    <w:p w14:paraId="3F58044F" w14:textId="77777777" w:rsidR="00665165" w:rsidRPr="00F90EAE" w:rsidRDefault="00665165" w:rsidP="00F90EAE">
      <w:pPr>
        <w:autoSpaceDE w:val="0"/>
        <w:autoSpaceDN w:val="0"/>
        <w:adjustRightInd w:val="0"/>
        <w:jc w:val="both"/>
        <w:rPr>
          <w:color w:val="000000" w:themeColor="text1"/>
          <w:sz w:val="16"/>
          <w:szCs w:val="16"/>
        </w:rPr>
      </w:pPr>
    </w:p>
    <w:p w14:paraId="2EAA14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8108 О плане производства и поставок НКО и НКВМФ артиллерийского, минометного и стрелкового вооружения и военных приборов на II квартал 1945 года. РГАНИР, Фонд ГКО, д. 395, лл. 1-54, 55-155 (11012).</w:t>
      </w:r>
    </w:p>
    <w:p w14:paraId="4DEFCED5" w14:textId="77777777" w:rsidR="00665165" w:rsidRPr="00F90EAE" w:rsidRDefault="00665165" w:rsidP="00F90EAE">
      <w:pPr>
        <w:autoSpaceDE w:val="0"/>
        <w:autoSpaceDN w:val="0"/>
        <w:adjustRightInd w:val="0"/>
        <w:jc w:val="both"/>
        <w:rPr>
          <w:color w:val="000000" w:themeColor="text1"/>
          <w:sz w:val="16"/>
          <w:szCs w:val="16"/>
        </w:rPr>
      </w:pPr>
    </w:p>
    <w:p w14:paraId="03DEAC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8109 О плане производства и поставок пистолетов-пулеметов Шпагина и ПП-43 во II квартале 1945 г. РГАНИР, Фонд ГКО, д. 395, лл. 156-166, 167-178 (11012).</w:t>
      </w:r>
    </w:p>
    <w:p w14:paraId="107C47EC" w14:textId="77777777" w:rsidR="00665165" w:rsidRPr="00F90EAE" w:rsidRDefault="00665165" w:rsidP="00F90EAE">
      <w:pPr>
        <w:autoSpaceDE w:val="0"/>
        <w:autoSpaceDN w:val="0"/>
        <w:adjustRightInd w:val="0"/>
        <w:jc w:val="both"/>
        <w:rPr>
          <w:color w:val="000000" w:themeColor="text1"/>
          <w:sz w:val="16"/>
          <w:szCs w:val="16"/>
        </w:rPr>
      </w:pPr>
    </w:p>
    <w:p w14:paraId="0ADFD5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8110 О плане производства и поставок патронов Наркоматом вооружения во II квартале 1945 г. РГАНИР, Фонд ГКО, д. 395, лл. 179-192, 193-202 (11012).</w:t>
      </w:r>
    </w:p>
    <w:p w14:paraId="48048151" w14:textId="77777777" w:rsidR="00665165" w:rsidRPr="00F90EAE" w:rsidRDefault="00665165" w:rsidP="00F90EAE">
      <w:pPr>
        <w:autoSpaceDE w:val="0"/>
        <w:autoSpaceDN w:val="0"/>
        <w:adjustRightInd w:val="0"/>
        <w:jc w:val="both"/>
        <w:rPr>
          <w:color w:val="000000" w:themeColor="text1"/>
          <w:sz w:val="16"/>
          <w:szCs w:val="16"/>
        </w:rPr>
      </w:pPr>
    </w:p>
    <w:p w14:paraId="6FE1D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8111 О плане добычи нефти, выработки нефтепродуктов и материально-технического снабжения нефтяной промышленности во II квартале 1945 г. РГАНИР, Фонд ГКО, д. 395, лл. 203-232, 233-267 (11012).</w:t>
      </w:r>
    </w:p>
    <w:p w14:paraId="465F95CC" w14:textId="77777777" w:rsidR="00665165" w:rsidRPr="00F90EAE" w:rsidRDefault="00665165" w:rsidP="00F90EAE">
      <w:pPr>
        <w:autoSpaceDE w:val="0"/>
        <w:autoSpaceDN w:val="0"/>
        <w:adjustRightInd w:val="0"/>
        <w:jc w:val="both"/>
        <w:rPr>
          <w:color w:val="000000" w:themeColor="text1"/>
          <w:sz w:val="16"/>
          <w:szCs w:val="16"/>
        </w:rPr>
      </w:pPr>
    </w:p>
    <w:p w14:paraId="5C0293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8112 О плане производства синтетического каучука, автомобильных, авиационных и артиллерийских шин, инженерного имущества, резинотехнических и асбестовых изделий на II квартал 1945 года и мерах по обеспечению производства этих изделий. (11012).</w:t>
      </w:r>
    </w:p>
    <w:p w14:paraId="69E30C91" w14:textId="77777777" w:rsidR="00665165" w:rsidRPr="00F90EAE" w:rsidRDefault="00665165" w:rsidP="00F90EAE">
      <w:pPr>
        <w:autoSpaceDE w:val="0"/>
        <w:autoSpaceDN w:val="0"/>
        <w:adjustRightInd w:val="0"/>
        <w:jc w:val="both"/>
        <w:rPr>
          <w:color w:val="000000" w:themeColor="text1"/>
          <w:sz w:val="16"/>
          <w:szCs w:val="16"/>
        </w:rPr>
      </w:pPr>
    </w:p>
    <w:p w14:paraId="46660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8113 О плане производства целлюлозы, бумаги и картона по Наркомбумпрому на II квартал 1945 г. РГАНИР, Фонд ГКО, д. 396, лл. 41-43, 44-99 (11012).</w:t>
      </w:r>
    </w:p>
    <w:p w14:paraId="52DC6630" w14:textId="77777777" w:rsidR="00665165" w:rsidRPr="00F90EAE" w:rsidRDefault="00665165" w:rsidP="00F90EAE">
      <w:pPr>
        <w:autoSpaceDE w:val="0"/>
        <w:autoSpaceDN w:val="0"/>
        <w:adjustRightInd w:val="0"/>
        <w:jc w:val="both"/>
        <w:rPr>
          <w:color w:val="000000" w:themeColor="text1"/>
          <w:sz w:val="16"/>
          <w:szCs w:val="16"/>
        </w:rPr>
      </w:pPr>
    </w:p>
    <w:p w14:paraId="6C492E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8115 О мероприятиях по развитию добычи природного газа и производстве искусственного жидкого топлива во II квартале 1945 года. РГАНИР, Фонд ГКО, д. 396, лл. 166-173, 174-187 (11012).</w:t>
      </w:r>
    </w:p>
    <w:p w14:paraId="4E8BE5BC" w14:textId="77777777" w:rsidR="00665165" w:rsidRPr="00F90EAE" w:rsidRDefault="00665165" w:rsidP="00F90EAE">
      <w:pPr>
        <w:autoSpaceDE w:val="0"/>
        <w:autoSpaceDN w:val="0"/>
        <w:adjustRightInd w:val="0"/>
        <w:jc w:val="both"/>
        <w:rPr>
          <w:color w:val="000000" w:themeColor="text1"/>
          <w:sz w:val="16"/>
          <w:szCs w:val="16"/>
        </w:rPr>
      </w:pPr>
    </w:p>
    <w:p w14:paraId="67F949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Распоряжение ГКО № 8116. О передаче импортной паротурбинной электростанции из объединения "Грознефть" объединению "Краснодарнефть". РГАНИР, Фонд ГКО, д. 396, лл. 188 (11012).</w:t>
      </w:r>
    </w:p>
    <w:p w14:paraId="618DEB50" w14:textId="77777777" w:rsidR="00665165" w:rsidRPr="00F90EAE" w:rsidRDefault="00665165" w:rsidP="00F90EAE">
      <w:pPr>
        <w:autoSpaceDE w:val="0"/>
        <w:autoSpaceDN w:val="0"/>
        <w:adjustRightInd w:val="0"/>
        <w:jc w:val="both"/>
        <w:rPr>
          <w:color w:val="000000" w:themeColor="text1"/>
          <w:sz w:val="16"/>
          <w:szCs w:val="16"/>
        </w:rPr>
      </w:pPr>
    </w:p>
    <w:p w14:paraId="1C8943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Распоряжение ГКО № 8117. Об увеличении отпуска электроэнергии предприятиям НКХП Горьковской обл. РГАНИР, Фонд ГКО, д. 396, лл. 189 (11012).</w:t>
      </w:r>
    </w:p>
    <w:p w14:paraId="58E55992" w14:textId="77777777" w:rsidR="00665165" w:rsidRPr="00F90EAE" w:rsidRDefault="00665165" w:rsidP="00F90EAE">
      <w:pPr>
        <w:autoSpaceDE w:val="0"/>
        <w:autoSpaceDN w:val="0"/>
        <w:adjustRightInd w:val="0"/>
        <w:jc w:val="both"/>
        <w:rPr>
          <w:color w:val="000000" w:themeColor="text1"/>
          <w:sz w:val="16"/>
          <w:szCs w:val="16"/>
        </w:rPr>
      </w:pPr>
    </w:p>
    <w:p w14:paraId="71AA0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8118 О материально-техническом обеспечении предприятий цветной металлургии во II квартале 1945 г. РГАНИР, Фонд ГКО, д. 397, лл. 1-12, 13-38 (11012).</w:t>
      </w:r>
    </w:p>
    <w:p w14:paraId="236C8535" w14:textId="77777777" w:rsidR="00665165" w:rsidRPr="00F90EAE" w:rsidRDefault="00665165" w:rsidP="00F90EAE">
      <w:pPr>
        <w:autoSpaceDE w:val="0"/>
        <w:autoSpaceDN w:val="0"/>
        <w:adjustRightInd w:val="0"/>
        <w:jc w:val="both"/>
        <w:rPr>
          <w:color w:val="000000" w:themeColor="text1"/>
          <w:sz w:val="16"/>
          <w:szCs w:val="16"/>
        </w:rPr>
      </w:pPr>
    </w:p>
    <w:p w14:paraId="153F0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8119 О мероприятиях по восстановлению угольной промышленности Донбасса во II квартале 1945 года. РГАНИР, Фонд ГКО, д. 397, лл. 39-78, 79-139 (11012).</w:t>
      </w:r>
    </w:p>
    <w:p w14:paraId="2D1AC4F3" w14:textId="77777777" w:rsidR="00665165" w:rsidRPr="00F90EAE" w:rsidRDefault="00665165" w:rsidP="00F90EAE">
      <w:pPr>
        <w:autoSpaceDE w:val="0"/>
        <w:autoSpaceDN w:val="0"/>
        <w:adjustRightInd w:val="0"/>
        <w:jc w:val="both"/>
        <w:rPr>
          <w:color w:val="000000" w:themeColor="text1"/>
          <w:sz w:val="16"/>
          <w:szCs w:val="16"/>
        </w:rPr>
      </w:pPr>
    </w:p>
    <w:p w14:paraId="77026B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8120 Об организации правительственной ВЧ связи НКВД на территории Польши. РГАНИР, Фонд ГКО, д. 397, лл. 140-142, 143-145 (11012).</w:t>
      </w:r>
    </w:p>
    <w:p w14:paraId="32D2BF13" w14:textId="77777777" w:rsidR="00665165" w:rsidRPr="00F90EAE" w:rsidRDefault="00665165" w:rsidP="00F90EAE">
      <w:pPr>
        <w:autoSpaceDE w:val="0"/>
        <w:autoSpaceDN w:val="0"/>
        <w:adjustRightInd w:val="0"/>
        <w:jc w:val="both"/>
        <w:rPr>
          <w:color w:val="000000" w:themeColor="text1"/>
          <w:sz w:val="16"/>
          <w:szCs w:val="16"/>
        </w:rPr>
      </w:pPr>
    </w:p>
    <w:p w14:paraId="59F909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8121 О мероприятиях по улучшению работы дорог Дальнего Востока (Красноярской, Восточно-Сибирской, Забайкальской, Амурской, Дальневосточной и Приморской). (7324, 146-156,157-178).</w:t>
      </w:r>
    </w:p>
    <w:p w14:paraId="41EC80E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91A0E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8122 О поставках военной техники, автотранспорта, материалов и вооружения Чехословацкому правительству. РГАНИР, Фонд ГКО, д. 398, лл. 1-3, 4-20 (11012).</w:t>
      </w:r>
    </w:p>
    <w:p w14:paraId="67BDB70E" w14:textId="77777777" w:rsidR="00665165" w:rsidRPr="00F90EAE" w:rsidRDefault="00665165" w:rsidP="00F90EAE">
      <w:pPr>
        <w:autoSpaceDE w:val="0"/>
        <w:autoSpaceDN w:val="0"/>
        <w:adjustRightInd w:val="0"/>
        <w:jc w:val="both"/>
        <w:rPr>
          <w:color w:val="000000" w:themeColor="text1"/>
          <w:sz w:val="16"/>
          <w:szCs w:val="16"/>
        </w:rPr>
      </w:pPr>
    </w:p>
    <w:p w14:paraId="742488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Распоряжение ГКО № 8123. О мерах по обеспечению ВМФ средствами борьбы с неконтактными минами. РГАНИР, Фонд ГКО, д. 398, лл. 21-22 (11012).</w:t>
      </w:r>
    </w:p>
    <w:p w14:paraId="388DC13F" w14:textId="77777777" w:rsidR="00665165" w:rsidRPr="00F90EAE" w:rsidRDefault="00665165" w:rsidP="00F90EAE">
      <w:pPr>
        <w:autoSpaceDE w:val="0"/>
        <w:autoSpaceDN w:val="0"/>
        <w:adjustRightInd w:val="0"/>
        <w:jc w:val="both"/>
        <w:rPr>
          <w:color w:val="000000" w:themeColor="text1"/>
          <w:sz w:val="16"/>
          <w:szCs w:val="16"/>
        </w:rPr>
      </w:pPr>
    </w:p>
    <w:p w14:paraId="313B6E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Распоряжение ГКО № 8125. О расходе высокооктановых компонентов нефтеперерабатывающими заводами Азербайджана. РГАНИР, Фонд ГКО, д. 398, лл. 25 (11012).</w:t>
      </w:r>
    </w:p>
    <w:p w14:paraId="500F9058" w14:textId="77777777" w:rsidR="00665165" w:rsidRPr="00F90EAE" w:rsidRDefault="00665165" w:rsidP="00F90EAE">
      <w:pPr>
        <w:autoSpaceDE w:val="0"/>
        <w:autoSpaceDN w:val="0"/>
        <w:adjustRightInd w:val="0"/>
        <w:jc w:val="both"/>
        <w:rPr>
          <w:color w:val="000000" w:themeColor="text1"/>
          <w:sz w:val="16"/>
          <w:szCs w:val="16"/>
        </w:rPr>
      </w:pPr>
    </w:p>
    <w:p w14:paraId="00215DD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13 апреля 1945 вышло Распоряжение ГКО № 8126 [О поставках леса на строительство железной дороги Кировабад - Дашкесан.] (7325, 26).</w:t>
      </w:r>
    </w:p>
    <w:p w14:paraId="1B1A64E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E9D39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г. вышло распоряжение ГКО № 8127 о реэвакуации ОКБ-340 (ОКБ НКВД завода № 340, КБ-340, ЦКБ-340, ФГУП, ОАО «Зеленодольское Проектно-конструкторское бюро (ЗПКБ)» /Татарстан 422520  г. Зеленодольск ул. Ленина, 41(4А) тел. (84371) 26-978, 53-066/)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50B3A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18263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0E43A5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6.11.1958 г. вышло постановление СМ СССР № 1233-595 о постройке головного корабля ПЛО пр. 35; пост. № 1099-369 от 22.12.1965 г. корабль пр. 35 пнв.</w:t>
      </w:r>
    </w:p>
    <w:p w14:paraId="5434A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1963 г. в составе ЦКБ создано СКБ по созданию малогабаритных и легких устройств для отрасли- СКБМ.</w:t>
      </w:r>
    </w:p>
    <w:p w14:paraId="03D36D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Имелся филиал КБ на ФПО им. Двадцать шестого съезда КПСС.</w:t>
      </w:r>
    </w:p>
    <w:p w14:paraId="610C8E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ЦКБ «Вымпел» сюда переданы работы по проекту десантного корабля на ВП со скегами пр. 1263, затем работы свернуты.</w:t>
      </w:r>
    </w:p>
    <w:p w14:paraId="39CC5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345-116 от 30.04.1965 г. охотник пр. 201Т пнв.</w:t>
      </w:r>
    </w:p>
    <w:p w14:paraId="6F0F15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30B13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1970-е  г. из ЦМКБ «Алмаз» переданы работы по речному артиллерийскому кораблю пр. 1208.</w:t>
      </w:r>
    </w:p>
    <w:p w14:paraId="1A47B2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ПКБ был построен головной экземпляр катера пр. 14170 «Терьер».</w:t>
      </w:r>
    </w:p>
    <w:p w14:paraId="4BA502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144AA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2006 г. по 30 проектам КБ построено около 900 кораблей.</w:t>
      </w:r>
    </w:p>
    <w:p w14:paraId="0FA887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4F68E4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(1949-67 г.-&gt; А.В. Кунахович, В.И. Цюпак, Ю.А. Никольский, С.И. Нахамкин, А.П. Мышакин, (1995-2005 г.-)- А.В. Романов.</w:t>
      </w:r>
      <w:r w:rsidRPr="00F90EAE">
        <w:rPr>
          <w:color w:val="000000" w:themeColor="text1"/>
          <w:sz w:val="16"/>
          <w:szCs w:val="16"/>
          <w:vertAlign w:val="superscript"/>
        </w:rPr>
        <w:t>17</w:t>
      </w:r>
      <w:r w:rsidRPr="00F90EAE">
        <w:rPr>
          <w:color w:val="000000" w:themeColor="text1"/>
          <w:sz w:val="16"/>
          <w:szCs w:val="16"/>
        </w:rPr>
        <w:t xml:space="preserve"> И.О. Гендиректора (2006 г.)- Л.Е. Шарапов. Гендиректор (2006 г.)- Л.Е. Шарапов.</w:t>
      </w:r>
    </w:p>
    <w:p w14:paraId="0622B7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w:t>
      </w:r>
      <w:r w:rsidRPr="00F90EAE">
        <w:rPr>
          <w:color w:val="000000" w:themeColor="text1"/>
          <w:sz w:val="16"/>
          <w:szCs w:val="16"/>
          <w:lang w:val="en-US"/>
        </w:rPr>
        <w:t>TP</w:t>
      </w:r>
      <w:r w:rsidRPr="00F90EAE">
        <w:rPr>
          <w:color w:val="000000" w:themeColor="text1"/>
          <w:sz w:val="16"/>
          <w:szCs w:val="16"/>
        </w:rPr>
        <w:t>, 18061), (1980-е)- В.А. Пипа (пр. 18061), (1980-е)- Е.И. Овсиенко (пр. 1141, 11451), (1980- е)- В.И. Юдин (пр. 1248, 12130), Я. Кушнир (пр. 21630).</w:t>
      </w:r>
    </w:p>
    <w:p w14:paraId="7CDE0990"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 катера:</w:t>
      </w:r>
      <w:r w:rsidRPr="00F90EAE">
        <w:rPr>
          <w:color w:val="000000" w:themeColor="text1"/>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F90EAE">
        <w:rPr>
          <w:color w:val="000000" w:themeColor="text1"/>
          <w:sz w:val="16"/>
          <w:szCs w:val="16"/>
          <w:vertAlign w:val="superscript"/>
        </w:rPr>
        <w:t>61</w:t>
      </w:r>
      <w:r w:rsidRPr="00F90EAE">
        <w:rPr>
          <w:color w:val="000000" w:themeColor="text1"/>
          <w:sz w:val="16"/>
          <w:szCs w:val="16"/>
        </w:rPr>
        <w:t xml:space="preserve"> большой охотник пр. 1226 (1949), пр. 122бис (1951);</w:t>
      </w:r>
      <w:r w:rsidRPr="00F90EAE">
        <w:rPr>
          <w:iCs/>
          <w:color w:val="000000" w:themeColor="text1"/>
          <w:sz w:val="16"/>
          <w:szCs w:val="16"/>
        </w:rPr>
        <w:t xml:space="preserve"> ПЛК:</w:t>
      </w:r>
      <w:r w:rsidRPr="00F90EAE">
        <w:rPr>
          <w:color w:val="000000" w:themeColor="text1"/>
          <w:sz w:val="16"/>
          <w:szCs w:val="16"/>
        </w:rPr>
        <w:t xml:space="preserve">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w:t>
      </w:r>
      <w:r w:rsidRPr="00F90EAE">
        <w:rPr>
          <w:iCs/>
          <w:color w:val="000000" w:themeColor="text1"/>
          <w:sz w:val="16"/>
          <w:szCs w:val="16"/>
        </w:rPr>
        <w:t xml:space="preserve"> СКР (фрегаты):</w:t>
      </w:r>
      <w:r w:rsidRPr="00F90EAE">
        <w:rPr>
          <w:color w:val="000000" w:themeColor="text1"/>
          <w:sz w:val="16"/>
          <w:szCs w:val="16"/>
        </w:rPr>
        <w:t xml:space="preserve"> пр. 11540 «Ястреб» (1983), пр. 11541 «Корсар» (2000-е); скеговый на воздушной подушке пр. 10230 «Тур» (1980-е, не реализован);</w:t>
      </w:r>
      <w:r w:rsidRPr="00F90EAE">
        <w:rPr>
          <w:iCs/>
          <w:color w:val="000000" w:themeColor="text1"/>
          <w:sz w:val="16"/>
          <w:szCs w:val="16"/>
        </w:rPr>
        <w:t xml:space="preserve"> экспортные:</w:t>
      </w:r>
      <w:r w:rsidRPr="00F90EAE">
        <w:rPr>
          <w:color w:val="000000" w:themeColor="text1"/>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F90EAE">
        <w:rPr>
          <w:iCs/>
          <w:color w:val="000000" w:themeColor="text1"/>
          <w:sz w:val="16"/>
          <w:szCs w:val="16"/>
        </w:rPr>
        <w:t xml:space="preserve"> малые противолодочные корабли (МПК):</w:t>
      </w:r>
      <w:r w:rsidRPr="00F90EAE">
        <w:rPr>
          <w:color w:val="000000" w:themeColor="text1"/>
          <w:sz w:val="16"/>
          <w:szCs w:val="16"/>
        </w:rPr>
        <w:t xml:space="preserve">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F90EAE">
        <w:rPr>
          <w:iCs/>
          <w:color w:val="000000" w:themeColor="text1"/>
          <w:sz w:val="16"/>
          <w:szCs w:val="16"/>
        </w:rPr>
        <w:t>речные корабли:</w:t>
      </w:r>
      <w:r w:rsidRPr="00F90EAE">
        <w:rPr>
          <w:color w:val="000000" w:themeColor="text1"/>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6D21D34B" w14:textId="77777777" w:rsidR="00665165" w:rsidRPr="00F90EAE" w:rsidRDefault="00665165" w:rsidP="00F90EAE">
      <w:pPr>
        <w:autoSpaceDE w:val="0"/>
        <w:autoSpaceDN w:val="0"/>
        <w:adjustRightInd w:val="0"/>
        <w:jc w:val="both"/>
        <w:rPr>
          <w:color w:val="000000" w:themeColor="text1"/>
          <w:sz w:val="16"/>
          <w:szCs w:val="16"/>
        </w:rPr>
      </w:pPr>
    </w:p>
    <w:p w14:paraId="45B3D95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8128 О развитии добычи марганцевой руды на рудниках треста "Чиатурмарганец" Наркомчермета. (7325, 28-34,35-46).</w:t>
      </w:r>
    </w:p>
    <w:p w14:paraId="1FA674A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FD67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8129 О плане материально-технического обеспечения авиационной промышленности во втором квартале 1945 г. РГАНИР, Фонд ГКО, д. 398, лл. 47-51, 52-217 (11012).</w:t>
      </w:r>
    </w:p>
    <w:p w14:paraId="721B95BA" w14:textId="77777777" w:rsidR="00665165" w:rsidRPr="00F90EAE" w:rsidRDefault="00665165" w:rsidP="00F90EAE">
      <w:pPr>
        <w:autoSpaceDE w:val="0"/>
        <w:autoSpaceDN w:val="0"/>
        <w:adjustRightInd w:val="0"/>
        <w:jc w:val="both"/>
        <w:rPr>
          <w:color w:val="000000" w:themeColor="text1"/>
          <w:sz w:val="16"/>
          <w:szCs w:val="16"/>
        </w:rPr>
      </w:pPr>
    </w:p>
    <w:p w14:paraId="274BE32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8130 О плане снабжения продовольствием и фуражом Красной Армии, Военно-Морского Флота, войск НКВД СССР и военнопленных на II квартал 1945 г. (7326, 1-2,3-18).</w:t>
      </w:r>
    </w:p>
    <w:p w14:paraId="255710B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827F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8131 О плане поставок вещевого имущества и снаряжения для НКО, НКВМФ и войск НКВД СССР на II квартал 1945 г. РГАНИР, Фонд ГКО, д. 399, лл. 19-23, 24-68 (11012).</w:t>
      </w:r>
    </w:p>
    <w:p w14:paraId="4FB62F60" w14:textId="77777777" w:rsidR="00665165" w:rsidRPr="00F90EAE" w:rsidRDefault="00665165" w:rsidP="00F90EAE">
      <w:pPr>
        <w:autoSpaceDE w:val="0"/>
        <w:autoSpaceDN w:val="0"/>
        <w:adjustRightInd w:val="0"/>
        <w:jc w:val="both"/>
        <w:rPr>
          <w:color w:val="000000" w:themeColor="text1"/>
          <w:sz w:val="16"/>
          <w:szCs w:val="16"/>
        </w:rPr>
      </w:pPr>
    </w:p>
    <w:p w14:paraId="1B444B9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8132 Об увеличении производства электрооборудования для угольной промышленности на заводах Наркомэлектропрома в 1945 г. (7326, 69-84,85-94).</w:t>
      </w:r>
    </w:p>
    <w:p w14:paraId="2614D84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8B97E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8133 О материально-техническом обеспечении выполнения плана добычи золота и платины предприятиями Главзолото Наркомцветмета в 1945 году. РГАНИР, Фонд ГКО, д. 399, лл. 95-103, 104-124 (11012).</w:t>
      </w:r>
    </w:p>
    <w:p w14:paraId="4F398706" w14:textId="77777777" w:rsidR="00665165" w:rsidRPr="00F90EAE" w:rsidRDefault="00665165" w:rsidP="00F90EAE">
      <w:pPr>
        <w:autoSpaceDE w:val="0"/>
        <w:autoSpaceDN w:val="0"/>
        <w:adjustRightInd w:val="0"/>
        <w:jc w:val="both"/>
        <w:rPr>
          <w:color w:val="000000" w:themeColor="text1"/>
          <w:sz w:val="16"/>
          <w:szCs w:val="16"/>
        </w:rPr>
      </w:pPr>
    </w:p>
    <w:p w14:paraId="6CFDBE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8134 О восстановлении первой очереди электростанций и электросетей Белорусэнерго Наркомата электростанций. РГАНИР, Фонд ГКО, д. 399, лл. 125-127, 128-142 (11012).</w:t>
      </w:r>
    </w:p>
    <w:p w14:paraId="5D8DC591" w14:textId="77777777" w:rsidR="00665165" w:rsidRPr="00F90EAE" w:rsidRDefault="00665165" w:rsidP="00F90EAE">
      <w:pPr>
        <w:autoSpaceDE w:val="0"/>
        <w:autoSpaceDN w:val="0"/>
        <w:adjustRightInd w:val="0"/>
        <w:jc w:val="both"/>
        <w:rPr>
          <w:color w:val="000000" w:themeColor="text1"/>
          <w:sz w:val="16"/>
          <w:szCs w:val="16"/>
        </w:rPr>
      </w:pPr>
    </w:p>
    <w:p w14:paraId="22E138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8135 О первоочередных мерах по восстановлению энергетических объектов Литовской ССР. РГАНИР, Фонд ГКО, д. 400, лл. 1-3, 4-18 (11012).</w:t>
      </w:r>
    </w:p>
    <w:p w14:paraId="3548E985" w14:textId="77777777" w:rsidR="00665165" w:rsidRPr="00F90EAE" w:rsidRDefault="00665165" w:rsidP="00F90EAE">
      <w:pPr>
        <w:autoSpaceDE w:val="0"/>
        <w:autoSpaceDN w:val="0"/>
        <w:adjustRightInd w:val="0"/>
        <w:jc w:val="both"/>
        <w:rPr>
          <w:color w:val="000000" w:themeColor="text1"/>
          <w:sz w:val="16"/>
          <w:szCs w:val="16"/>
        </w:rPr>
      </w:pPr>
    </w:p>
    <w:p w14:paraId="493359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8136 О строительстве Волчанского угольного разреза № 2 Наркомугля. РГАНИР, Фонд ГКО, д. 400, лл. 19-27, 28-46 (11012).</w:t>
      </w:r>
    </w:p>
    <w:p w14:paraId="51FE4B16" w14:textId="77777777" w:rsidR="00665165" w:rsidRPr="00F90EAE" w:rsidRDefault="00665165" w:rsidP="00F90EAE">
      <w:pPr>
        <w:autoSpaceDE w:val="0"/>
        <w:autoSpaceDN w:val="0"/>
        <w:adjustRightInd w:val="0"/>
        <w:jc w:val="both"/>
        <w:rPr>
          <w:color w:val="000000" w:themeColor="text1"/>
          <w:sz w:val="16"/>
          <w:szCs w:val="16"/>
        </w:rPr>
      </w:pPr>
    </w:p>
    <w:p w14:paraId="239369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8137 О материально-техническом обеспечении восстановительных и монтажных работ на Лисичанской станции "Подземгаз" Главгазтоппрома при Совнаркоме СССР. РГАНИР, Фонд ГКО, д. 400, лл. 47-49, 50 (11012).</w:t>
      </w:r>
    </w:p>
    <w:p w14:paraId="69538841" w14:textId="77777777" w:rsidR="00665165" w:rsidRPr="00F90EAE" w:rsidRDefault="00665165" w:rsidP="00F90EAE">
      <w:pPr>
        <w:autoSpaceDE w:val="0"/>
        <w:autoSpaceDN w:val="0"/>
        <w:adjustRightInd w:val="0"/>
        <w:jc w:val="both"/>
        <w:rPr>
          <w:color w:val="000000" w:themeColor="text1"/>
          <w:sz w:val="16"/>
          <w:szCs w:val="16"/>
        </w:rPr>
      </w:pPr>
    </w:p>
    <w:p w14:paraId="449F1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8138 О мерах по обеспечению строительства речного несамоходного флота. РГАНИР, Фонд ГКО, д. 400, лл. 51-57, 58-66 (11012).</w:t>
      </w:r>
    </w:p>
    <w:p w14:paraId="26A8E98D" w14:textId="77777777" w:rsidR="00665165" w:rsidRPr="00F90EAE" w:rsidRDefault="00665165" w:rsidP="00F90EAE">
      <w:pPr>
        <w:autoSpaceDE w:val="0"/>
        <w:autoSpaceDN w:val="0"/>
        <w:adjustRightInd w:val="0"/>
        <w:jc w:val="both"/>
        <w:rPr>
          <w:color w:val="000000" w:themeColor="text1"/>
          <w:sz w:val="16"/>
          <w:szCs w:val="16"/>
        </w:rPr>
      </w:pPr>
    </w:p>
    <w:p w14:paraId="39148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вышло Постановление ГКО № 8139 О производстве и поставке Наркомату обороны СССР и Наркомвоенморфлоту во II квартале 1945 г. воздухоплавательного имущества. РГАНИР, Фонд ГКО, д. 400, лл. 67-70, 71-79 (11012).</w:t>
      </w:r>
    </w:p>
    <w:p w14:paraId="63CC7FD5" w14:textId="77777777" w:rsidR="00665165" w:rsidRPr="00F90EAE" w:rsidRDefault="00665165" w:rsidP="00F90EAE">
      <w:pPr>
        <w:autoSpaceDE w:val="0"/>
        <w:autoSpaceDN w:val="0"/>
        <w:adjustRightInd w:val="0"/>
        <w:jc w:val="both"/>
        <w:rPr>
          <w:color w:val="000000" w:themeColor="text1"/>
          <w:sz w:val="16"/>
          <w:szCs w:val="16"/>
        </w:rPr>
      </w:pPr>
    </w:p>
    <w:p w14:paraId="3750FB8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8CF1CA6" w14:textId="77777777" w:rsidR="00665165" w:rsidRPr="00F90EAE" w:rsidRDefault="00665165" w:rsidP="00F90EAE">
      <w:pPr>
        <w:autoSpaceDE w:val="0"/>
        <w:autoSpaceDN w:val="0"/>
        <w:adjustRightInd w:val="0"/>
        <w:jc w:val="both"/>
        <w:rPr>
          <w:iCs/>
          <w:color w:val="000000" w:themeColor="text1"/>
          <w:sz w:val="16"/>
          <w:szCs w:val="16"/>
        </w:rPr>
      </w:pPr>
    </w:p>
    <w:p w14:paraId="7C8AF0A1" w14:textId="77777777" w:rsidR="003D47C5" w:rsidRPr="00F90EAE" w:rsidRDefault="003D47C5" w:rsidP="00F90EAE">
      <w:pPr>
        <w:jc w:val="both"/>
        <w:rPr>
          <w:color w:val="000000" w:themeColor="text1"/>
          <w:sz w:val="16"/>
          <w:szCs w:val="16"/>
        </w:rPr>
      </w:pPr>
      <w:r w:rsidRPr="00F90EAE">
        <w:rPr>
          <w:color w:val="000000" w:themeColor="text1"/>
          <w:sz w:val="16"/>
          <w:szCs w:val="16"/>
        </w:rPr>
        <w:t>13 апреля в 1945 году оперативная сводка Совинформбюро:</w:t>
      </w:r>
    </w:p>
    <w:p w14:paraId="793E5901" w14:textId="77777777" w:rsidR="003D47C5" w:rsidRPr="00F90EAE" w:rsidRDefault="003D47C5"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13 апреля овладели на территории Чехословакии городом Годонин — важным узлом дорог и сильным опорным пунктом обороны немцев на западном берегу реки Моравы, а также заняли населённые пункты Тварожна Лгота, Петров, Судомержице, Рогатец, Тврдонице, Костице, Ланжгот. Северо-восточнее и севернее Вены войска фронта с боями заняли на территории Австрии населённые пункты Рингельсдорф, Нидер-Абсдорф, Нидер-Зульц, Грос Швайнбарт, Волькерсдорф, Мюникшталь, Грос Эберс-Дорф и железнодорожные станции Мартинсдорф, Грос Эберсдорф, Хагенбрунн.</w:t>
      </w:r>
    </w:p>
    <w:p w14:paraId="67E979C4" w14:textId="77777777" w:rsidR="003D47C5" w:rsidRPr="00F90EAE" w:rsidRDefault="003D47C5" w:rsidP="00F90EAE">
      <w:pPr>
        <w:jc w:val="both"/>
        <w:rPr>
          <w:color w:val="000000" w:themeColor="text1"/>
          <w:sz w:val="16"/>
          <w:szCs w:val="16"/>
        </w:rPr>
      </w:pPr>
      <w:r w:rsidRPr="00F90EAE">
        <w:rPr>
          <w:color w:val="000000" w:themeColor="text1"/>
          <w:sz w:val="16"/>
          <w:szCs w:val="16"/>
        </w:rPr>
        <w:lastRenderedPageBreak/>
        <w:t>Войска 3-го Украинского фронта при содействии войск 2-го Украинском фронта, после упорных уличных боёв, 13 апреля овладели столицей Австрии городом Вена — стратегически важным узлом обороны немцев, прикрывающим пути к южным районам Германии.</w:t>
      </w:r>
    </w:p>
    <w:p w14:paraId="02F13E88" w14:textId="77777777" w:rsidR="003D47C5" w:rsidRPr="00F90EAE" w:rsidRDefault="003D47C5" w:rsidP="00F90EAE">
      <w:pPr>
        <w:jc w:val="both"/>
        <w:rPr>
          <w:color w:val="000000" w:themeColor="text1"/>
          <w:sz w:val="16"/>
          <w:szCs w:val="16"/>
        </w:rPr>
      </w:pPr>
      <w:r w:rsidRPr="00F90EAE">
        <w:rPr>
          <w:color w:val="000000" w:themeColor="text1"/>
          <w:sz w:val="16"/>
          <w:szCs w:val="16"/>
        </w:rPr>
        <w:t>В ходе боёв за подступы к Вене и за город Вену с 16 марта по 13 апреля войска фронта разгромили одиннадцать танковых дивизий немцев, в том числе 6-ую танковую армию СС, взяли в плен более 130.000 солдат и офицеров противника, уничтожили и захватили 1.345 танков и самоходных орудий, 2.250 полевых орудий и много другого военного имущества.</w:t>
      </w:r>
    </w:p>
    <w:p w14:paraId="7BF89137" w14:textId="77777777" w:rsidR="003D47C5" w:rsidRPr="00F90EAE" w:rsidRDefault="003D47C5" w:rsidP="00F90EAE">
      <w:pPr>
        <w:jc w:val="both"/>
        <w:rPr>
          <w:color w:val="000000" w:themeColor="text1"/>
          <w:sz w:val="16"/>
          <w:szCs w:val="16"/>
        </w:rPr>
      </w:pPr>
      <w:r w:rsidRPr="00F90EAE">
        <w:rPr>
          <w:color w:val="000000" w:themeColor="text1"/>
          <w:sz w:val="16"/>
          <w:szCs w:val="16"/>
        </w:rPr>
        <w:t>На других участках фронта — поиски разведчиков и в ряде пунктов бои местного значения.</w:t>
      </w:r>
    </w:p>
    <w:p w14:paraId="09E7D276" w14:textId="77777777" w:rsidR="003D47C5" w:rsidRPr="00F90EAE" w:rsidRDefault="003D47C5" w:rsidP="00F90EAE">
      <w:pPr>
        <w:jc w:val="both"/>
        <w:rPr>
          <w:color w:val="000000" w:themeColor="text1"/>
          <w:sz w:val="16"/>
          <w:szCs w:val="16"/>
        </w:rPr>
      </w:pPr>
      <w:r w:rsidRPr="00F90EAE">
        <w:rPr>
          <w:color w:val="000000" w:themeColor="text1"/>
          <w:sz w:val="16"/>
          <w:szCs w:val="16"/>
        </w:rPr>
        <w:t>За 12 апреля на всех фронтах подбито и уничтожено 40 немецких танков и самоходных орудий. В воздушных боях и огнём зенитной артиллерии сбито 37 самолётов противника.</w:t>
      </w:r>
    </w:p>
    <w:p w14:paraId="1D81BD6E" w14:textId="77777777" w:rsidR="003D47C5" w:rsidRPr="00F90EAE" w:rsidRDefault="003D47C5" w:rsidP="00F90EAE">
      <w:pPr>
        <w:jc w:val="both"/>
        <w:rPr>
          <w:color w:val="000000" w:themeColor="text1"/>
          <w:sz w:val="16"/>
          <w:szCs w:val="16"/>
        </w:rPr>
      </w:pPr>
      <w:r w:rsidRPr="00F90EAE">
        <w:rPr>
          <w:color w:val="000000" w:themeColor="text1"/>
          <w:sz w:val="16"/>
          <w:szCs w:val="16"/>
        </w:rPr>
        <w:t>Удар авиации Краснознамённого Балтийского флота по кораблям и транспортам противника</w:t>
      </w:r>
    </w:p>
    <w:p w14:paraId="154CE028" w14:textId="77777777" w:rsidR="003D47C5" w:rsidRPr="00F90EAE" w:rsidRDefault="003D47C5" w:rsidP="00F90EAE">
      <w:pPr>
        <w:jc w:val="both"/>
        <w:rPr>
          <w:color w:val="000000" w:themeColor="text1"/>
          <w:sz w:val="16"/>
          <w:szCs w:val="16"/>
        </w:rPr>
      </w:pPr>
      <w:r w:rsidRPr="00F90EAE">
        <w:rPr>
          <w:color w:val="000000" w:themeColor="text1"/>
          <w:sz w:val="16"/>
          <w:szCs w:val="16"/>
        </w:rPr>
        <w:t>11 апреля авиация Краснознамённого Балтийского флота нанесла удар по кораблям и военным транспортам немцев в порту Пиллау и в открытом море северо-западнее Пиллау. В результате этого удара потоплены: один миноносец и три транспорта противника общим водоизмещением в 23.000 тонн. Кроме того, прямым попаданием бомб подожжён один транспорт водоизмещением в 7.000 тонн и повреждён транспорт водоизмещением в 8.000 тонн.</w:t>
      </w:r>
    </w:p>
    <w:p w14:paraId="4140250A" w14:textId="77777777" w:rsidR="003D47C5" w:rsidRPr="00F90EAE" w:rsidRDefault="003D47C5"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Советские части, продвигаясь по заболоченной и труднопроходимой местности, заняли населённый пункт Мала Буда и под прикрытием артиллерийского огня форсировали реку Мораву. Преодолевая сопротивление противника, наши подразделения перерезали железную дорогу, идущую из города Годонин на северо-восток. Другие наши части сегодня на рассвете переправились через Мораву южнее города Годонин и стремительным ударом перерезали железную и шоссейную дороги, идущие от города на юго-запад. Пытаясь удержать Годонин в своих руках, немцы предприняли ряд контратак. Они подготовили город к круговой обороне и построили на его окраинах артиллерийские и пулемётные доты. Стремительной атакой советские части ворвались в город с северо-востока и юго-запада. В ожесточённом уличном бою наши войска разгромили гарнизон противника и к полудню овладели городом Годонин — районным центром Чехословакии и важным узлом путей сообщения. В бою за город разгромлен немецкий пехотный полк. Захвачено 350 пленных и много трофеев.</w:t>
      </w:r>
    </w:p>
    <w:p w14:paraId="54D9C78C" w14:textId="77777777" w:rsidR="003D47C5" w:rsidRPr="00F90EAE" w:rsidRDefault="003D47C5" w:rsidP="00F90EAE">
      <w:pPr>
        <w:jc w:val="both"/>
        <w:rPr>
          <w:color w:val="000000" w:themeColor="text1"/>
          <w:sz w:val="16"/>
          <w:szCs w:val="16"/>
        </w:rPr>
      </w:pPr>
      <w:r w:rsidRPr="00F90EAE">
        <w:rPr>
          <w:color w:val="000000" w:themeColor="text1"/>
          <w:sz w:val="16"/>
          <w:szCs w:val="16"/>
        </w:rPr>
        <w:t>Северо-восточнее и восточнее Вены войска 2-го Украинского фронта с боями продвигались вперёд и заняли несколько населённых пунктов. Пехота противника, усиленная танками и самоходными орудиями, оказывает упорное сопротивление. На одном участке полк немецкой пехоты, при поддержке танков, вклинился в боевые порядки наших войск. Немцы были зажаты в тиски и разгромлены. На поле боя осталось много трупов гитлеровцев и до 30 сгоревших и подбитых немецких танков. Сломив сопротивление противника, наши войска овладели железнодорожной станцией Хагенбрунн, находящейся в 8 километрах севернее Вены.</w:t>
      </w:r>
    </w:p>
    <w:p w14:paraId="41C93AAC" w14:textId="77777777" w:rsidR="003D47C5" w:rsidRPr="00F90EAE" w:rsidRDefault="003D47C5" w:rsidP="00F90EAE">
      <w:pPr>
        <w:jc w:val="both"/>
        <w:rPr>
          <w:color w:val="000000" w:themeColor="text1"/>
          <w:sz w:val="16"/>
          <w:szCs w:val="16"/>
        </w:rPr>
      </w:pPr>
      <w:r w:rsidRPr="00F90EAE">
        <w:rPr>
          <w:color w:val="000000" w:themeColor="text1"/>
          <w:sz w:val="16"/>
          <w:szCs w:val="16"/>
        </w:rPr>
        <w:t>Войска 3-го Украинского фронта при содействии войск 2-го Украинского фронта сегодня овладели городом Вена. В боях за освобождение столицы Австрии от немецко-фашистских захватчиков советские части покрыли свои знамёна неувядаемой славой. По замыслам немецкого командования город должен был стать ареной затяжных боёв. Ещё в 1944 году противник развернул строительство оборонительных сооружений вокруг Вены. Природные условия местности благоприятствовали обороняющейся стороне. С запада город прикрывает гряда гор, а с севера и востока — широкий и многоводный Дунай. На южных подступах к городу немцы построили мощный укреплённый район, состоящий из противотанковых рвов, широко развитой системы окопов и траншей и большого количества догов и дзотов. Каждый населённый пункт в предместьях Вены был приспособлен для длительной круговой обороны. В ходе ожесточённых боёв войска 3-го Украинского фронта прорвали внешний оборонительный обвод и 7 апреля завязали уличные бои в южной части города. Одновременно советские подвижные соединения и пехота, совершив по горам стремительный обходный манёвр, вышли к Дунаю северо-западнее Вены и начали штурм города с запада и северо-запада. К 10 апреля наши войска очистили от противника большую часть города, расположенную на западном берегу Дунайского канала. Бои переместились в район города, расположенный между каналом и рекой Дунай. Здесь немцы оказали особенно упорное сопротивление. Подтянув крупные силы танков и пехоты, они цеплялись буквально за каждый дом и часто переходили в яростные контратаки. Советские отряды, усиленные артиллерией, штурмом брали каждое здание. Вчера наши части прорвались к северному вокзалу и, завязав бои на территории крупнейшего в Вене железнодорожного узла, прижали гитлеровцев к Дунаю. Один наш боец случайно обнаружил подземный ход, ведущий к Дунаю. Через этот ход советские подразделения проникли в тыл противника и внезапно атаковали немцев. Всю ночь, не утихая ни на одну минуту, шли упорные уличные бои. Сегодня наши войска подавили последние очаги сопротивления немцев и очистили австрийскую столицу от противника.</w:t>
      </w:r>
    </w:p>
    <w:p w14:paraId="5FDCB924" w14:textId="77777777" w:rsidR="003D47C5" w:rsidRPr="00F90EAE" w:rsidRDefault="003D47C5" w:rsidP="00F90EAE">
      <w:pPr>
        <w:jc w:val="both"/>
        <w:rPr>
          <w:color w:val="000000" w:themeColor="text1"/>
          <w:sz w:val="16"/>
          <w:szCs w:val="16"/>
        </w:rPr>
      </w:pPr>
      <w:r w:rsidRPr="00F90EAE">
        <w:rPr>
          <w:color w:val="000000" w:themeColor="text1"/>
          <w:sz w:val="16"/>
          <w:szCs w:val="16"/>
        </w:rPr>
        <w:t>Гитлеровцы намеревались превратить Вену в груду развалин. Они хотели подвергнуть жителей города ужасам длительной осады и затяжных уличных боёв. Умелыми и решительными действиями наши войска сорвали преступные планы немецкого командования. Столица Австрии — Вена за несколько дней освобождена от немецко-фашистских захватчиков.</w:t>
      </w:r>
    </w:p>
    <w:p w14:paraId="31B7800F" w14:textId="77777777" w:rsidR="003D47C5" w:rsidRPr="00F90EAE" w:rsidRDefault="003D47C5" w:rsidP="00F90EAE">
      <w:pPr>
        <w:jc w:val="both"/>
        <w:rPr>
          <w:color w:val="000000" w:themeColor="text1"/>
          <w:sz w:val="16"/>
          <w:szCs w:val="16"/>
        </w:rPr>
      </w:pPr>
      <w:r w:rsidRPr="00F90EAE">
        <w:rPr>
          <w:color w:val="000000" w:themeColor="text1"/>
          <w:sz w:val="16"/>
          <w:szCs w:val="16"/>
        </w:rPr>
        <w:t>Вена — один из крупнейших в Европе промышленных центров. В городе сосредоточена большая часть австрийской промышленности. Кроме того, за время войны немцы перевели в район Вены ряд военных заводов из Германии. В городе имеются крупные авиационные, танковые, автомобильные паровозо- и вагоностроительные заводы и другие предприятия.» (15098).</w:t>
      </w:r>
    </w:p>
    <w:p w14:paraId="67B87B17" w14:textId="77777777" w:rsidR="003D47C5" w:rsidRPr="00F90EAE" w:rsidRDefault="003D47C5" w:rsidP="00F90EAE">
      <w:pPr>
        <w:jc w:val="both"/>
        <w:rPr>
          <w:color w:val="000000" w:themeColor="text1"/>
          <w:sz w:val="16"/>
          <w:szCs w:val="16"/>
        </w:rPr>
      </w:pPr>
    </w:p>
    <w:p w14:paraId="2B5711A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войска 3-го Белорусского фронта во взаимодействии с Балтийским флотом начали Земландскую наступательную операцию , с целью уничтожить немецко-фашистскую групировку на Земландском полуострове в Восточной Пруссии (4963 ).</w:t>
      </w:r>
    </w:p>
    <w:p w14:paraId="464DD80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65C8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советские войска заняли Вену (4962).</w:t>
      </w:r>
    </w:p>
    <w:p w14:paraId="62C3306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24E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КА взяла Вену (1348,225) - 3УФ и 2УФ (3398,146).</w:t>
      </w:r>
    </w:p>
    <w:p w14:paraId="232DA23A" w14:textId="77777777" w:rsidR="00665165" w:rsidRPr="00F90EAE" w:rsidRDefault="00665165" w:rsidP="00F90EAE">
      <w:pPr>
        <w:autoSpaceDE w:val="0"/>
        <w:autoSpaceDN w:val="0"/>
        <w:adjustRightInd w:val="0"/>
        <w:jc w:val="both"/>
        <w:rPr>
          <w:color w:val="000000" w:themeColor="text1"/>
          <w:sz w:val="16"/>
          <w:szCs w:val="16"/>
        </w:rPr>
      </w:pPr>
    </w:p>
    <w:p w14:paraId="28B55E9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13th, 1945: Vienna falls to the Red Army. In the West, the US Third Army (Patton) captures Erfurt and Weimar (3819).</w:t>
      </w:r>
    </w:p>
    <w:p w14:paraId="50FB9B2E" w14:textId="77777777" w:rsidR="00665165" w:rsidRPr="00F90EAE" w:rsidRDefault="00665165" w:rsidP="00F90EAE">
      <w:pPr>
        <w:autoSpaceDE w:val="0"/>
        <w:autoSpaceDN w:val="0"/>
        <w:adjustRightInd w:val="0"/>
        <w:jc w:val="both"/>
        <w:rPr>
          <w:color w:val="000000" w:themeColor="text1"/>
          <w:sz w:val="16"/>
          <w:szCs w:val="16"/>
          <w:lang w:val="en-US"/>
        </w:rPr>
      </w:pPr>
    </w:p>
    <w:p w14:paraId="5F7D0D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B-17G (№ 43-38902) совершил вынужденную посадку в Польше, севернее Жешува, близ аэродрома 341-го полка (3457,112).</w:t>
      </w:r>
    </w:p>
    <w:p w14:paraId="5B8EEB1E" w14:textId="77777777" w:rsidR="00665165" w:rsidRPr="00F90EAE" w:rsidRDefault="00665165" w:rsidP="00F90EAE">
      <w:pPr>
        <w:autoSpaceDE w:val="0"/>
        <w:autoSpaceDN w:val="0"/>
        <w:adjustRightInd w:val="0"/>
        <w:jc w:val="both"/>
        <w:rPr>
          <w:color w:val="000000" w:themeColor="text1"/>
          <w:sz w:val="16"/>
          <w:szCs w:val="16"/>
        </w:rPr>
      </w:pPr>
    </w:p>
    <w:p w14:paraId="14DEC4E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1358892" w14:textId="77777777" w:rsidR="00665165" w:rsidRPr="00F90EAE" w:rsidRDefault="00665165" w:rsidP="00F90EAE">
      <w:pPr>
        <w:autoSpaceDE w:val="0"/>
        <w:autoSpaceDN w:val="0"/>
        <w:adjustRightInd w:val="0"/>
        <w:jc w:val="both"/>
        <w:rPr>
          <w:iCs/>
          <w:color w:val="000000" w:themeColor="text1"/>
          <w:sz w:val="16"/>
          <w:szCs w:val="16"/>
        </w:rPr>
      </w:pPr>
    </w:p>
    <w:p w14:paraId="3DC5260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Д. Эйзенхауэр отверг предложение начать наступление на Берлин раньше русских (4962).</w:t>
      </w:r>
    </w:p>
    <w:p w14:paraId="4F509DF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C96BF1" w14:textId="77777777" w:rsidR="003D47C5" w:rsidRPr="00F90EAE" w:rsidRDefault="003D47C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3А США захватила Эрфурт и Веймар (3819).</w:t>
      </w:r>
    </w:p>
    <w:p w14:paraId="643EDA82" w14:textId="77777777" w:rsidR="003D47C5" w:rsidRPr="00F90EAE" w:rsidRDefault="003D47C5" w:rsidP="00F90EAE">
      <w:pPr>
        <w:autoSpaceDE w:val="0"/>
        <w:autoSpaceDN w:val="0"/>
        <w:adjustRightInd w:val="0"/>
        <w:jc w:val="both"/>
        <w:rPr>
          <w:color w:val="000000" w:themeColor="text1"/>
          <w:sz w:val="16"/>
          <w:szCs w:val="16"/>
        </w:rPr>
      </w:pPr>
    </w:p>
    <w:p w14:paraId="5A51A4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апреля 1945 327 В-29 ушли на Токио и сбросили 2100 т бомб на арсенал спалив 28 кв. км (1051,28).</w:t>
      </w:r>
    </w:p>
    <w:p w14:paraId="092F7561" w14:textId="77777777" w:rsidR="00665165" w:rsidRPr="00F90EAE" w:rsidRDefault="00665165" w:rsidP="00F90EAE">
      <w:pPr>
        <w:autoSpaceDE w:val="0"/>
        <w:autoSpaceDN w:val="0"/>
        <w:adjustRightInd w:val="0"/>
        <w:jc w:val="both"/>
        <w:rPr>
          <w:color w:val="000000" w:themeColor="text1"/>
          <w:sz w:val="16"/>
          <w:szCs w:val="16"/>
        </w:rPr>
      </w:pPr>
    </w:p>
    <w:p w14:paraId="08C0FB56" w14:textId="77777777" w:rsidR="007D191E" w:rsidRPr="00F90EAE" w:rsidRDefault="007D191E" w:rsidP="00F90EAE">
      <w:pPr>
        <w:jc w:val="both"/>
        <w:rPr>
          <w:color w:val="0070C0"/>
          <w:sz w:val="16"/>
          <w:szCs w:val="16"/>
        </w:rPr>
      </w:pPr>
      <w:r w:rsidRPr="00F90EAE">
        <w:rPr>
          <w:color w:val="0070C0"/>
          <w:sz w:val="16"/>
          <w:szCs w:val="16"/>
        </w:rPr>
        <w:t>13 апреля 1945 авианосцы Британского Тихоокеанского флота наносят второй удар по Формозе. Во время ударов 11 и 13 апреля их самолеты сбили не менее 16 японских самолетов, уничтожили дополнительные японские самолеты на земле и нанесли удары по аэродромам, автомобильным и железнодорожным целям, в результате чего было потеряно три британских самолета (20371).</w:t>
      </w:r>
    </w:p>
    <w:p w14:paraId="6E76D2C1" w14:textId="77777777" w:rsidR="007D191E" w:rsidRPr="00F90EAE" w:rsidRDefault="007D191E" w:rsidP="00F90EAE">
      <w:pPr>
        <w:jc w:val="both"/>
        <w:rPr>
          <w:color w:val="0070C0"/>
          <w:sz w:val="16"/>
          <w:szCs w:val="16"/>
        </w:rPr>
      </w:pPr>
    </w:p>
    <w:p w14:paraId="5F801F03" w14:textId="77777777" w:rsidR="007D191E" w:rsidRPr="00F90EAE" w:rsidRDefault="007D191E" w:rsidP="00F90EAE">
      <w:pPr>
        <w:shd w:val="clear" w:color="auto" w:fill="FFFFFF"/>
        <w:jc w:val="both"/>
        <w:rPr>
          <w:color w:val="0070C0"/>
          <w:sz w:val="16"/>
          <w:szCs w:val="16"/>
        </w:rPr>
      </w:pPr>
      <w:r w:rsidRPr="00F90EAE">
        <w:rPr>
          <w:color w:val="0070C0"/>
          <w:sz w:val="16"/>
          <w:szCs w:val="16"/>
        </w:rPr>
        <w:t>13 апреля 1945 года завод Боинга Сиэтл сдал последний 4035-й B-17G, получив заказ на 5000 новых В-29С «Суперфортресс». Вскоре остановились сборочные линии B-17G завода «Дуглас», который сдал 2395 «крепостей» этой модификации. Наконец, 29 июля 1945 года последний B-17 выкатил завод «Локхид — Вега». Это предприятие построило 2250 штук B-17G из общего числа 8680 самолетов этой самой массовой модификации «летающей крепости». Часть их были транспортными или специальными самолетами, но абсолютное большинство — именно тяжелыми бомбардировщиками.</w:t>
      </w:r>
    </w:p>
    <w:p w14:paraId="51329B51" w14:textId="77777777" w:rsidR="007D191E" w:rsidRPr="00F90EAE" w:rsidRDefault="007D191E" w:rsidP="00F90EAE">
      <w:pPr>
        <w:jc w:val="both"/>
        <w:rPr>
          <w:color w:val="0070C0"/>
          <w:sz w:val="16"/>
          <w:szCs w:val="16"/>
        </w:rPr>
      </w:pPr>
      <w:r w:rsidRPr="00F90EAE">
        <w:rPr>
          <w:color w:val="0070C0"/>
          <w:sz w:val="16"/>
          <w:szCs w:val="16"/>
        </w:rPr>
        <w:t>За десять лет был построен 12731 самолет В-17 всех вариантов, полный цикл сборки которого был развернут на трех заводах трех фирм (22893).</w:t>
      </w:r>
    </w:p>
    <w:p w14:paraId="1D7D5B7A" w14:textId="77777777" w:rsidR="007D191E" w:rsidRPr="00F90EAE" w:rsidRDefault="007D191E" w:rsidP="00F90EAE">
      <w:pPr>
        <w:jc w:val="both"/>
        <w:rPr>
          <w:color w:val="0070C0"/>
          <w:sz w:val="16"/>
          <w:szCs w:val="16"/>
        </w:rPr>
      </w:pPr>
    </w:p>
    <w:p w14:paraId="7CB6C6B4" w14:textId="77777777" w:rsidR="003D47C5" w:rsidRPr="00F90EAE" w:rsidRDefault="003D47C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апреля 1945 Чили объявила войну Германии (4962).</w:t>
      </w:r>
    </w:p>
    <w:p w14:paraId="0AF1D7A3" w14:textId="77777777" w:rsidR="003D47C5" w:rsidRPr="00F90EAE" w:rsidRDefault="003D47C5" w:rsidP="00F90EAE">
      <w:pPr>
        <w:tabs>
          <w:tab w:val="left" w:pos="11199"/>
        </w:tabs>
        <w:autoSpaceDE w:val="0"/>
        <w:autoSpaceDN w:val="0"/>
        <w:adjustRightInd w:val="0"/>
        <w:jc w:val="both"/>
        <w:rPr>
          <w:color w:val="000000" w:themeColor="text1"/>
          <w:sz w:val="16"/>
          <w:szCs w:val="16"/>
        </w:rPr>
      </w:pPr>
    </w:p>
    <w:p w14:paraId="7AEA3F9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7964040" w14:textId="77777777" w:rsidR="00665165" w:rsidRPr="00F90EAE" w:rsidRDefault="00665165" w:rsidP="00F90EAE">
      <w:pPr>
        <w:autoSpaceDE w:val="0"/>
        <w:autoSpaceDN w:val="0"/>
        <w:adjustRightInd w:val="0"/>
        <w:jc w:val="both"/>
        <w:rPr>
          <w:iCs/>
          <w:color w:val="000000" w:themeColor="text1"/>
          <w:sz w:val="16"/>
          <w:szCs w:val="16"/>
        </w:rPr>
      </w:pPr>
    </w:p>
    <w:p w14:paraId="2A2B9A50" w14:textId="77777777" w:rsidR="005D0C39" w:rsidRPr="00F90EAE" w:rsidRDefault="005D0C39" w:rsidP="00F90EAE">
      <w:pPr>
        <w:jc w:val="both"/>
        <w:rPr>
          <w:color w:val="000000" w:themeColor="text1"/>
          <w:sz w:val="16"/>
          <w:szCs w:val="16"/>
        </w:rPr>
      </w:pPr>
      <w:r w:rsidRPr="00F90EAE">
        <w:rPr>
          <w:rStyle w:val="107"/>
          <w:rFonts w:eastAsiaTheme="minorHAnsi"/>
          <w:color w:val="000000" w:themeColor="text1"/>
          <w:sz w:val="16"/>
          <w:szCs w:val="16"/>
        </w:rPr>
        <w:t>14 апреля 1945 начальнику ГУЗ ВВС КА генерал-лейтенанту Селезневу и заместителю наркома авиапромышленности Кузнецову были направлены письма о том, что из всех запланированных доработок самолета Ил -10 ОКБ-240 Ильюшина и заводами № 1 и № 18 было отработано и внедрено в производство только 35 %. В ряду невыполненных мероприятий по улучшению боевых и эксплуатационных качеств серийных Ил-10 значились: не отработаны система заполнения бензобаков нейтральными газами (не поставлен баллон с СО</w:t>
      </w:r>
      <w:r w:rsidRPr="00F90EAE">
        <w:rPr>
          <w:rStyle w:val="107"/>
          <w:rFonts w:eastAsiaTheme="minorHAnsi"/>
          <w:color w:val="000000" w:themeColor="text1"/>
          <w:sz w:val="16"/>
          <w:szCs w:val="16"/>
          <w:vertAlign w:val="subscript"/>
        </w:rPr>
        <w:t>2</w:t>
      </w:r>
      <w:r w:rsidRPr="00F90EAE">
        <w:rPr>
          <w:rStyle w:val="107"/>
          <w:rFonts w:eastAsiaTheme="minorHAnsi"/>
          <w:color w:val="000000" w:themeColor="text1"/>
          <w:sz w:val="16"/>
          <w:szCs w:val="16"/>
        </w:rPr>
        <w:t>) и оборонительная установка ВУ-9 с пушкой БТ-20, не установлены ракетные орудия, генератор ГС-500 и аккумулятор 12А-30, нет пылефильтра во всасывающей системе мотора, нет шлемовой брони на бронестенке позади стрелка, отсутствуют работоспособный механизм объединенного управления винтом и газом, кран разжижения масла бензином, не решены в полном объеме вопросы прочности крыла и центроплана.</w:t>
      </w:r>
    </w:p>
    <w:p w14:paraId="65CBB857" w14:textId="77777777" w:rsidR="005D0C39" w:rsidRPr="00F90EAE" w:rsidRDefault="005D0C3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Как следует из ответа временно исполняющего должность начальника УЗСиМ ГУЗ ВВС инженер -полковника Кувенева, к 26 апреля установки ВУ-9 были полностью отработаны на земле на пяти самолетах Ил-10 производства завода № 18 и начались летные испытания.</w:t>
      </w:r>
    </w:p>
    <w:p w14:paraId="536BD42C" w14:textId="77777777" w:rsidR="005D0C39" w:rsidRPr="00F90EAE" w:rsidRDefault="005D0C3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lastRenderedPageBreak/>
        <w:t>На этом же заводе отработан один серийный Ил-10 с улучшенным вариантом пылефильтра. Самолет удовлетворительно прошел заводские испытания. Принято решение о запуске пылефильтра в производство на заводах № 1 и № 18.</w:t>
      </w:r>
    </w:p>
    <w:p w14:paraId="6AB76B68" w14:textId="77777777" w:rsidR="005D0C39" w:rsidRPr="00F90EAE" w:rsidRDefault="005D0C39" w:rsidP="00F90EAE">
      <w:pPr>
        <w:jc w:val="both"/>
        <w:rPr>
          <w:color w:val="000000" w:themeColor="text1"/>
          <w:sz w:val="16"/>
          <w:szCs w:val="16"/>
        </w:rPr>
      </w:pPr>
      <w:r w:rsidRPr="00F90EAE">
        <w:rPr>
          <w:rStyle w:val="107"/>
          <w:rFonts w:eastAsiaTheme="minorHAnsi"/>
          <w:color w:val="000000" w:themeColor="text1"/>
          <w:sz w:val="16"/>
          <w:szCs w:val="16"/>
        </w:rPr>
        <w:t>Система заполнения бензобаков нейтральным газом отлажена на заводе № 1 на одном серийном Ил-10 и «в настоящий момент проходит заводские испытания».</w:t>
      </w:r>
    </w:p>
    <w:p w14:paraId="19A0634E" w14:textId="77777777" w:rsidR="005D0C39" w:rsidRPr="00F90EAE" w:rsidRDefault="005D0C39" w:rsidP="00F90EAE">
      <w:pPr>
        <w:jc w:val="both"/>
        <w:rPr>
          <w:color w:val="000000" w:themeColor="text1"/>
          <w:sz w:val="16"/>
          <w:szCs w:val="16"/>
        </w:rPr>
      </w:pPr>
      <w:r w:rsidRPr="00F90EAE">
        <w:rPr>
          <w:rStyle w:val="107"/>
          <w:rFonts w:eastAsiaTheme="minorHAnsi"/>
          <w:color w:val="000000" w:themeColor="text1"/>
          <w:sz w:val="16"/>
          <w:szCs w:val="16"/>
        </w:rPr>
        <w:t>На заводе № 18 на одном серийном Ил-10 проведены испытания, имеющие целью определение времени, необходимого для разжижения масла бензином в нужной пропорции. Испытания показали неудовлетворительные результаты. В итоге «завод предлагает производить разжижение мерной тарой».</w:t>
      </w:r>
    </w:p>
    <w:p w14:paraId="390E57BE" w14:textId="77777777" w:rsidR="005D0C39" w:rsidRPr="00F90EAE" w:rsidRDefault="005D0C3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Одновременно Кувенев сообщал, что 24 апреля заводы № 1 и № 18 отправили в ГК НИИ ВВС по одному серийному самолету для прохождения контрольных испытаний (17490).</w:t>
      </w:r>
    </w:p>
    <w:p w14:paraId="7648D489" w14:textId="77777777" w:rsidR="005D0C39" w:rsidRPr="00F90EAE" w:rsidRDefault="005D0C39" w:rsidP="00F90EAE">
      <w:pPr>
        <w:jc w:val="both"/>
        <w:rPr>
          <w:color w:val="000000" w:themeColor="text1"/>
          <w:sz w:val="16"/>
          <w:szCs w:val="16"/>
        </w:rPr>
      </w:pPr>
    </w:p>
    <w:p w14:paraId="630E7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закончился ремонт Ла-7Р-2 с РД-1ХЗ В.П.Г., на котором 27 марта 1945 при попытке повторно осуществить запуск взорвался ЖРД и Г.М.Шиянов с трудом посадил машину (2234,9).</w:t>
      </w:r>
    </w:p>
    <w:p w14:paraId="3C9EA95A" w14:textId="77777777" w:rsidR="00665165" w:rsidRPr="00F90EAE" w:rsidRDefault="00665165" w:rsidP="00F90EAE">
      <w:pPr>
        <w:autoSpaceDE w:val="0"/>
        <w:autoSpaceDN w:val="0"/>
        <w:adjustRightInd w:val="0"/>
        <w:jc w:val="both"/>
        <w:rPr>
          <w:color w:val="000000" w:themeColor="text1"/>
          <w:sz w:val="16"/>
          <w:szCs w:val="16"/>
        </w:rPr>
      </w:pPr>
    </w:p>
    <w:p w14:paraId="2DD3A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М.И.Иванов выполнил первый полет на Як-3 с ВК107А цельнометаллическом, построенном на базе серийного 31 завода (65,192).</w:t>
      </w:r>
    </w:p>
    <w:p w14:paraId="2B561068" w14:textId="77777777" w:rsidR="00665165" w:rsidRPr="00F90EAE" w:rsidRDefault="00665165" w:rsidP="00F90EAE">
      <w:pPr>
        <w:autoSpaceDE w:val="0"/>
        <w:autoSpaceDN w:val="0"/>
        <w:adjustRightInd w:val="0"/>
        <w:jc w:val="both"/>
        <w:rPr>
          <w:color w:val="000000" w:themeColor="text1"/>
          <w:sz w:val="16"/>
          <w:szCs w:val="16"/>
        </w:rPr>
      </w:pPr>
    </w:p>
    <w:p w14:paraId="1FC02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цельнометаллический "Як-3", пилотируемый М.И. Ивановым, оторвалась от взлетно-посадочной полосы Центрального аэродрома.</w:t>
      </w:r>
    </w:p>
    <w:p w14:paraId="28A11E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48209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561F31" w:rsidRPr="00F90EAE" w14:paraId="253EA27B" w14:textId="77777777">
        <w:tc>
          <w:tcPr>
            <w:tcW w:w="1121" w:type="dxa"/>
            <w:tcBorders>
              <w:top w:val="single" w:sz="12" w:space="0" w:color="auto"/>
            </w:tcBorders>
          </w:tcPr>
          <w:p w14:paraId="24C86CC0"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Borders>
              <w:top w:val="single" w:sz="12" w:space="0" w:color="auto"/>
            </w:tcBorders>
          </w:tcPr>
          <w:p w14:paraId="3800B8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Як-1М 3) 1943 г.</w:t>
            </w:r>
          </w:p>
        </w:tc>
        <w:tc>
          <w:tcPr>
            <w:tcW w:w="1121" w:type="dxa"/>
            <w:tcBorders>
              <w:top w:val="single" w:sz="12" w:space="0" w:color="auto"/>
            </w:tcBorders>
          </w:tcPr>
          <w:p w14:paraId="0EC21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1)</w:t>
            </w:r>
          </w:p>
        </w:tc>
        <w:tc>
          <w:tcPr>
            <w:tcW w:w="1121" w:type="dxa"/>
            <w:tcBorders>
              <w:top w:val="single" w:sz="12" w:space="0" w:color="auto"/>
            </w:tcBorders>
          </w:tcPr>
          <w:p w14:paraId="47EEE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№01-01 Завод №292 ГИ</w:t>
            </w:r>
          </w:p>
        </w:tc>
        <w:tc>
          <w:tcPr>
            <w:tcW w:w="1121" w:type="dxa"/>
            <w:tcBorders>
              <w:top w:val="single" w:sz="12" w:space="0" w:color="auto"/>
            </w:tcBorders>
          </w:tcPr>
          <w:p w14:paraId="342F6F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№03-01 Завод №292 Контрольные ЗИ</w:t>
            </w:r>
          </w:p>
        </w:tc>
        <w:tc>
          <w:tcPr>
            <w:tcW w:w="1121" w:type="dxa"/>
            <w:tcBorders>
              <w:top w:val="single" w:sz="12" w:space="0" w:color="auto"/>
            </w:tcBorders>
          </w:tcPr>
          <w:p w14:paraId="1ADBD2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Як-32) №70-03, завод №31</w:t>
            </w:r>
          </w:p>
        </w:tc>
        <w:tc>
          <w:tcPr>
            <w:tcW w:w="1121" w:type="dxa"/>
            <w:tcBorders>
              <w:top w:val="single" w:sz="12" w:space="0" w:color="auto"/>
            </w:tcBorders>
          </w:tcPr>
          <w:p w14:paraId="7E1922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Як-ЗУ</w:t>
            </w:r>
          </w:p>
        </w:tc>
      </w:tr>
      <w:tr w:rsidR="00561F31" w:rsidRPr="00F90EAE" w14:paraId="4ECB9230" w14:textId="77777777">
        <w:tc>
          <w:tcPr>
            <w:tcW w:w="1121" w:type="dxa"/>
          </w:tcPr>
          <w:p w14:paraId="6EEC0A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w:t>
            </w:r>
          </w:p>
        </w:tc>
        <w:tc>
          <w:tcPr>
            <w:tcW w:w="1121" w:type="dxa"/>
          </w:tcPr>
          <w:p w14:paraId="705D6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М-107А</w:t>
            </w:r>
          </w:p>
        </w:tc>
        <w:tc>
          <w:tcPr>
            <w:tcW w:w="1121" w:type="dxa"/>
          </w:tcPr>
          <w:p w14:paraId="4AAE39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121" w:type="dxa"/>
          </w:tcPr>
          <w:p w14:paraId="18D61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ВИШ-Ю7ЛО</w:t>
            </w:r>
          </w:p>
        </w:tc>
        <w:tc>
          <w:tcPr>
            <w:tcW w:w="1121" w:type="dxa"/>
          </w:tcPr>
          <w:p w14:paraId="6842E5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ВИШ-107ЛО</w:t>
            </w:r>
          </w:p>
        </w:tc>
        <w:tc>
          <w:tcPr>
            <w:tcW w:w="1121" w:type="dxa"/>
          </w:tcPr>
          <w:p w14:paraId="6971BB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121" w:type="dxa"/>
          </w:tcPr>
          <w:p w14:paraId="4B2B14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r>
      <w:tr w:rsidR="00561F31" w:rsidRPr="00F90EAE" w14:paraId="63C25383" w14:textId="77777777">
        <w:tc>
          <w:tcPr>
            <w:tcW w:w="1121" w:type="dxa"/>
          </w:tcPr>
          <w:p w14:paraId="72B40E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л.е.: взлетная номинальная/на высоте, м</w:t>
            </w:r>
          </w:p>
        </w:tc>
        <w:tc>
          <w:tcPr>
            <w:tcW w:w="1121" w:type="dxa"/>
          </w:tcPr>
          <w:p w14:paraId="00A141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1650 1500/5800</w:t>
            </w:r>
          </w:p>
        </w:tc>
        <w:tc>
          <w:tcPr>
            <w:tcW w:w="1121" w:type="dxa"/>
          </w:tcPr>
          <w:p w14:paraId="456CDC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7C511B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4EA4D4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246CA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77151F12" w14:textId="77777777" w:rsidR="00665165" w:rsidRPr="00F90EAE" w:rsidRDefault="00665165" w:rsidP="00F90EAE">
            <w:pPr>
              <w:autoSpaceDE w:val="0"/>
              <w:autoSpaceDN w:val="0"/>
              <w:adjustRightInd w:val="0"/>
              <w:jc w:val="both"/>
              <w:rPr>
                <w:color w:val="000000" w:themeColor="text1"/>
                <w:sz w:val="16"/>
                <w:szCs w:val="16"/>
              </w:rPr>
            </w:pPr>
          </w:p>
          <w:p w14:paraId="0055E902" w14:textId="77777777" w:rsidR="00665165" w:rsidRPr="00F90EAE" w:rsidRDefault="00665165" w:rsidP="00F90EAE">
            <w:pPr>
              <w:autoSpaceDE w:val="0"/>
              <w:autoSpaceDN w:val="0"/>
              <w:adjustRightInd w:val="0"/>
              <w:jc w:val="both"/>
              <w:rPr>
                <w:color w:val="000000" w:themeColor="text1"/>
                <w:sz w:val="16"/>
                <w:szCs w:val="16"/>
              </w:rPr>
            </w:pPr>
          </w:p>
          <w:p w14:paraId="7AD8A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1850</w:t>
            </w:r>
          </w:p>
        </w:tc>
      </w:tr>
      <w:tr w:rsidR="00561F31" w:rsidRPr="00F90EAE" w14:paraId="2F0100AF" w14:textId="77777777">
        <w:tc>
          <w:tcPr>
            <w:tcW w:w="1121" w:type="dxa"/>
          </w:tcPr>
          <w:p w14:paraId="310AA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1121" w:type="dxa"/>
          </w:tcPr>
          <w:p w14:paraId="01C69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3A13D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257337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502081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0A045A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64125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w:t>
            </w:r>
          </w:p>
        </w:tc>
      </w:tr>
      <w:tr w:rsidR="00561F31" w:rsidRPr="00F90EAE" w14:paraId="3F5ABF68" w14:textId="77777777">
        <w:tc>
          <w:tcPr>
            <w:tcW w:w="1121" w:type="dxa"/>
          </w:tcPr>
          <w:p w14:paraId="54840A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121" w:type="dxa"/>
          </w:tcPr>
          <w:p w14:paraId="688DCA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121" w:type="dxa"/>
          </w:tcPr>
          <w:p w14:paraId="22AB00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8,5385</w:t>
            </w:r>
          </w:p>
        </w:tc>
        <w:tc>
          <w:tcPr>
            <w:tcW w:w="1121" w:type="dxa"/>
          </w:tcPr>
          <w:p w14:paraId="15388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121" w:type="dxa"/>
          </w:tcPr>
          <w:p w14:paraId="34320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121" w:type="dxa"/>
          </w:tcPr>
          <w:p w14:paraId="7D9A2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8,5385</w:t>
            </w:r>
          </w:p>
        </w:tc>
        <w:tc>
          <w:tcPr>
            <w:tcW w:w="1121" w:type="dxa"/>
          </w:tcPr>
          <w:p w14:paraId="1DC23A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8,36</w:t>
            </w:r>
          </w:p>
        </w:tc>
      </w:tr>
      <w:tr w:rsidR="00561F31" w:rsidRPr="00F90EAE" w14:paraId="307BCEAE" w14:textId="77777777">
        <w:tc>
          <w:tcPr>
            <w:tcW w:w="1121" w:type="dxa"/>
          </w:tcPr>
          <w:p w14:paraId="176DCC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м2</w:t>
            </w:r>
          </w:p>
        </w:tc>
        <w:tc>
          <w:tcPr>
            <w:tcW w:w="1121" w:type="dxa"/>
          </w:tcPr>
          <w:p w14:paraId="6A4D1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2AE7CD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19C630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633716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536B8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5FB7FD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15,35</w:t>
            </w:r>
          </w:p>
        </w:tc>
      </w:tr>
      <w:tr w:rsidR="00561F31" w:rsidRPr="00F90EAE" w14:paraId="2F48722F" w14:textId="77777777">
        <w:tc>
          <w:tcPr>
            <w:tcW w:w="1121" w:type="dxa"/>
          </w:tcPr>
          <w:p w14:paraId="18B4A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121" w:type="dxa"/>
          </w:tcPr>
          <w:p w14:paraId="6655E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2985</w:t>
            </w:r>
          </w:p>
        </w:tc>
        <w:tc>
          <w:tcPr>
            <w:tcW w:w="1121" w:type="dxa"/>
          </w:tcPr>
          <w:p w14:paraId="07C471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2984</w:t>
            </w:r>
          </w:p>
        </w:tc>
        <w:tc>
          <w:tcPr>
            <w:tcW w:w="1121" w:type="dxa"/>
          </w:tcPr>
          <w:p w14:paraId="164526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3059</w:t>
            </w:r>
          </w:p>
        </w:tc>
        <w:tc>
          <w:tcPr>
            <w:tcW w:w="1121" w:type="dxa"/>
          </w:tcPr>
          <w:p w14:paraId="75E7EA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3057</w:t>
            </w:r>
          </w:p>
        </w:tc>
        <w:tc>
          <w:tcPr>
            <w:tcW w:w="1121" w:type="dxa"/>
          </w:tcPr>
          <w:p w14:paraId="5D247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2935</w:t>
            </w:r>
          </w:p>
        </w:tc>
        <w:tc>
          <w:tcPr>
            <w:tcW w:w="1121" w:type="dxa"/>
          </w:tcPr>
          <w:p w14:paraId="5AA2B6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2792</w:t>
            </w:r>
          </w:p>
        </w:tc>
      </w:tr>
      <w:tr w:rsidR="00561F31" w:rsidRPr="00F90EAE" w14:paraId="28DB1C98" w14:textId="77777777">
        <w:tc>
          <w:tcPr>
            <w:tcW w:w="1121" w:type="dxa"/>
          </w:tcPr>
          <w:p w14:paraId="09513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121" w:type="dxa"/>
          </w:tcPr>
          <w:p w14:paraId="0BCC6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2438</w:t>
            </w:r>
          </w:p>
        </w:tc>
        <w:tc>
          <w:tcPr>
            <w:tcW w:w="1121" w:type="dxa"/>
          </w:tcPr>
          <w:p w14:paraId="3AB336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2346</w:t>
            </w:r>
          </w:p>
        </w:tc>
        <w:tc>
          <w:tcPr>
            <w:tcW w:w="1121" w:type="dxa"/>
          </w:tcPr>
          <w:p w14:paraId="0846D6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2411</w:t>
            </w:r>
          </w:p>
        </w:tc>
        <w:tc>
          <w:tcPr>
            <w:tcW w:w="1121" w:type="dxa"/>
          </w:tcPr>
          <w:p w14:paraId="20AF66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04005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2342</w:t>
            </w:r>
          </w:p>
        </w:tc>
        <w:tc>
          <w:tcPr>
            <w:tcW w:w="1121" w:type="dxa"/>
          </w:tcPr>
          <w:p w14:paraId="1B29A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2273</w:t>
            </w:r>
          </w:p>
        </w:tc>
      </w:tr>
      <w:tr w:rsidR="00561F31" w:rsidRPr="00F90EAE" w14:paraId="0F0E566F" w14:textId="77777777">
        <w:tc>
          <w:tcPr>
            <w:tcW w:w="1121" w:type="dxa"/>
          </w:tcPr>
          <w:p w14:paraId="78E4C4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 топлива, л</w:t>
            </w:r>
          </w:p>
        </w:tc>
        <w:tc>
          <w:tcPr>
            <w:tcW w:w="1121" w:type="dxa"/>
          </w:tcPr>
          <w:p w14:paraId="7B599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21" w:type="dxa"/>
          </w:tcPr>
          <w:p w14:paraId="37404D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21" w:type="dxa"/>
          </w:tcPr>
          <w:p w14:paraId="38D89E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c>
          <w:tcPr>
            <w:tcW w:w="1121" w:type="dxa"/>
          </w:tcPr>
          <w:p w14:paraId="69323B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w:t>
            </w:r>
          </w:p>
        </w:tc>
        <w:tc>
          <w:tcPr>
            <w:tcW w:w="1121" w:type="dxa"/>
          </w:tcPr>
          <w:p w14:paraId="47189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352</w:t>
            </w:r>
          </w:p>
        </w:tc>
        <w:tc>
          <w:tcPr>
            <w:tcW w:w="1121" w:type="dxa"/>
          </w:tcPr>
          <w:p w14:paraId="150C2C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w:t>
            </w:r>
          </w:p>
        </w:tc>
      </w:tr>
      <w:tr w:rsidR="00561F31" w:rsidRPr="00F90EAE" w14:paraId="28C2AC2B" w14:textId="77777777">
        <w:tc>
          <w:tcPr>
            <w:tcW w:w="1121" w:type="dxa"/>
          </w:tcPr>
          <w:p w14:paraId="34169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 у земли на высоте, км посадочная</w:t>
            </w:r>
          </w:p>
        </w:tc>
        <w:tc>
          <w:tcPr>
            <w:tcW w:w="1121" w:type="dxa"/>
          </w:tcPr>
          <w:p w14:paraId="62870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05B2A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w:t>
            </w:r>
          </w:p>
        </w:tc>
        <w:tc>
          <w:tcPr>
            <w:tcW w:w="1121" w:type="dxa"/>
          </w:tcPr>
          <w:p w14:paraId="74868E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602</w:t>
            </w:r>
          </w:p>
        </w:tc>
        <w:tc>
          <w:tcPr>
            <w:tcW w:w="1121" w:type="dxa"/>
          </w:tcPr>
          <w:p w14:paraId="691E910B"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54AF4F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604</w:t>
            </w:r>
          </w:p>
        </w:tc>
        <w:tc>
          <w:tcPr>
            <w:tcW w:w="1121" w:type="dxa"/>
          </w:tcPr>
          <w:p w14:paraId="648DA36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3570ADD" w14:textId="77777777">
        <w:tc>
          <w:tcPr>
            <w:tcW w:w="1121" w:type="dxa"/>
          </w:tcPr>
          <w:p w14:paraId="4F53A9DD"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57A85E9F"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7142E3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720/5,75</w:t>
            </w:r>
          </w:p>
        </w:tc>
        <w:tc>
          <w:tcPr>
            <w:tcW w:w="1121" w:type="dxa"/>
          </w:tcPr>
          <w:p w14:paraId="2E2690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695/5,95</w:t>
            </w:r>
          </w:p>
          <w:p w14:paraId="188E51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21" w:type="dxa"/>
          </w:tcPr>
          <w:p w14:paraId="26D3E9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707/5900</w:t>
            </w:r>
          </w:p>
        </w:tc>
        <w:tc>
          <w:tcPr>
            <w:tcW w:w="1121" w:type="dxa"/>
          </w:tcPr>
          <w:p w14:paraId="2AA14F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706/5,9</w:t>
            </w:r>
          </w:p>
        </w:tc>
        <w:tc>
          <w:tcPr>
            <w:tcW w:w="1121" w:type="dxa"/>
          </w:tcPr>
          <w:p w14:paraId="09797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705/6,1</w:t>
            </w:r>
          </w:p>
        </w:tc>
      </w:tr>
      <w:tr w:rsidR="00561F31" w:rsidRPr="00F90EAE" w14:paraId="6040151A" w14:textId="77777777">
        <w:tc>
          <w:tcPr>
            <w:tcW w:w="1121" w:type="dxa"/>
          </w:tcPr>
          <w:p w14:paraId="0D488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121" w:type="dxa"/>
          </w:tcPr>
          <w:p w14:paraId="333F86F7"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27297E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121" w:type="dxa"/>
          </w:tcPr>
          <w:p w14:paraId="7DD3E9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121" w:type="dxa"/>
          </w:tcPr>
          <w:p w14:paraId="45A30E4C"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1B685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w:t>
            </w:r>
          </w:p>
        </w:tc>
        <w:tc>
          <w:tcPr>
            <w:tcW w:w="1121" w:type="dxa"/>
          </w:tcPr>
          <w:p w14:paraId="0BEEB9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6CF4D885" w14:textId="77777777">
        <w:tc>
          <w:tcPr>
            <w:tcW w:w="1121" w:type="dxa"/>
          </w:tcPr>
          <w:p w14:paraId="15766D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121" w:type="dxa"/>
          </w:tcPr>
          <w:p w14:paraId="7B556B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170241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11 800</w:t>
            </w:r>
          </w:p>
        </w:tc>
        <w:tc>
          <w:tcPr>
            <w:tcW w:w="1121" w:type="dxa"/>
          </w:tcPr>
          <w:p w14:paraId="4CA499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11 350</w:t>
            </w:r>
          </w:p>
        </w:tc>
        <w:tc>
          <w:tcPr>
            <w:tcW w:w="1121" w:type="dxa"/>
          </w:tcPr>
          <w:p w14:paraId="6190F1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1087CA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11 050</w:t>
            </w:r>
          </w:p>
        </w:tc>
        <w:tc>
          <w:tcPr>
            <w:tcW w:w="1121" w:type="dxa"/>
          </w:tcPr>
          <w:p w14:paraId="447C3B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7AB6D50" w14:textId="77777777">
        <w:tc>
          <w:tcPr>
            <w:tcW w:w="1121" w:type="dxa"/>
          </w:tcPr>
          <w:p w14:paraId="08235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высоте 1000 м, с</w:t>
            </w:r>
          </w:p>
        </w:tc>
        <w:tc>
          <w:tcPr>
            <w:tcW w:w="1121" w:type="dxa"/>
          </w:tcPr>
          <w:p w14:paraId="4E1B90ED"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1293B7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17-18</w:t>
            </w:r>
          </w:p>
        </w:tc>
        <w:tc>
          <w:tcPr>
            <w:tcW w:w="1121" w:type="dxa"/>
          </w:tcPr>
          <w:p w14:paraId="47F1B16F"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1E30D66E"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529EEB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121" w:type="dxa"/>
          </w:tcPr>
          <w:p w14:paraId="35ABB7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F4BBD73" w14:textId="77777777">
        <w:tc>
          <w:tcPr>
            <w:tcW w:w="1121" w:type="dxa"/>
          </w:tcPr>
          <w:p w14:paraId="268D5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121" w:type="dxa"/>
          </w:tcPr>
          <w:p w14:paraId="17814B55"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5633A8AF"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16DB33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c>
          <w:tcPr>
            <w:tcW w:w="1121" w:type="dxa"/>
          </w:tcPr>
          <w:p w14:paraId="72499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1041 5)</w:t>
            </w:r>
          </w:p>
        </w:tc>
        <w:tc>
          <w:tcPr>
            <w:tcW w:w="1121" w:type="dxa"/>
          </w:tcPr>
          <w:p w14:paraId="0CA7DE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_</w:t>
            </w:r>
          </w:p>
        </w:tc>
        <w:tc>
          <w:tcPr>
            <w:tcW w:w="1121" w:type="dxa"/>
          </w:tcPr>
          <w:p w14:paraId="1F0935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777 4)</w:t>
            </w:r>
          </w:p>
        </w:tc>
      </w:tr>
      <w:tr w:rsidR="00561F31" w:rsidRPr="00F90EAE" w14:paraId="6DBA5AFA" w14:textId="77777777">
        <w:tc>
          <w:tcPr>
            <w:tcW w:w="1121" w:type="dxa"/>
          </w:tcPr>
          <w:p w14:paraId="57AFB4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Разбег/пробег, м</w:t>
            </w:r>
          </w:p>
        </w:tc>
        <w:tc>
          <w:tcPr>
            <w:tcW w:w="1121" w:type="dxa"/>
          </w:tcPr>
          <w:p w14:paraId="0AA3D6EC"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4A78C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345/590</w:t>
            </w:r>
          </w:p>
        </w:tc>
        <w:tc>
          <w:tcPr>
            <w:tcW w:w="1121" w:type="dxa"/>
          </w:tcPr>
          <w:p w14:paraId="169E2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375/540</w:t>
            </w:r>
          </w:p>
        </w:tc>
        <w:tc>
          <w:tcPr>
            <w:tcW w:w="1121" w:type="dxa"/>
          </w:tcPr>
          <w:p w14:paraId="4C8C66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414F6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-350/440</w:t>
            </w:r>
          </w:p>
        </w:tc>
        <w:tc>
          <w:tcPr>
            <w:tcW w:w="1121" w:type="dxa"/>
          </w:tcPr>
          <w:p w14:paraId="1DC370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E39DEE3" w14:textId="77777777">
        <w:tc>
          <w:tcPr>
            <w:tcW w:w="1121" w:type="dxa"/>
            <w:tcBorders>
              <w:bottom w:val="single" w:sz="12" w:space="0" w:color="auto"/>
            </w:tcBorders>
          </w:tcPr>
          <w:p w14:paraId="214115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58E9FE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1x20/120 1x12,7/200</w:t>
            </w:r>
          </w:p>
        </w:tc>
        <w:tc>
          <w:tcPr>
            <w:tcW w:w="1121" w:type="dxa"/>
            <w:tcBorders>
              <w:bottom w:val="single" w:sz="12" w:space="0" w:color="auto"/>
            </w:tcBorders>
          </w:tcPr>
          <w:p w14:paraId="23CD5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Borders>
              <w:bottom w:val="single" w:sz="12" w:space="0" w:color="auto"/>
            </w:tcBorders>
          </w:tcPr>
          <w:p w14:paraId="17CF4E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3x20</w:t>
            </w:r>
          </w:p>
        </w:tc>
        <w:tc>
          <w:tcPr>
            <w:tcW w:w="1121" w:type="dxa"/>
            <w:tcBorders>
              <w:bottom w:val="single" w:sz="12" w:space="0" w:color="auto"/>
            </w:tcBorders>
          </w:tcPr>
          <w:p w14:paraId="06FB79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3x20/300</w:t>
            </w:r>
          </w:p>
        </w:tc>
        <w:tc>
          <w:tcPr>
            <w:tcW w:w="1121" w:type="dxa"/>
            <w:tcBorders>
              <w:bottom w:val="single" w:sz="12" w:space="0" w:color="auto"/>
            </w:tcBorders>
          </w:tcPr>
          <w:p w14:paraId="7874C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w:t>
            </w:r>
          </w:p>
        </w:tc>
        <w:tc>
          <w:tcPr>
            <w:tcW w:w="1121" w:type="dxa"/>
            <w:tcBorders>
              <w:bottom w:val="single" w:sz="12" w:space="0" w:color="auto"/>
            </w:tcBorders>
          </w:tcPr>
          <w:p w14:paraId="321F84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2x20/240</w:t>
            </w:r>
          </w:p>
        </w:tc>
      </w:tr>
    </w:tbl>
    <w:p w14:paraId="0D28B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6DE5BFE5" w14:textId="77777777" w:rsidR="00665165" w:rsidRPr="00F90EAE" w:rsidRDefault="00665165" w:rsidP="00F90EAE">
      <w:pPr>
        <w:autoSpaceDE w:val="0"/>
        <w:autoSpaceDN w:val="0"/>
        <w:adjustRightInd w:val="0"/>
        <w:jc w:val="both"/>
        <w:rPr>
          <w:color w:val="000000" w:themeColor="text1"/>
          <w:sz w:val="16"/>
          <w:szCs w:val="16"/>
        </w:rPr>
      </w:pPr>
    </w:p>
    <w:p w14:paraId="21FFA8EF"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w:t>
      </w:r>
      <w:r w:rsidRPr="00F90EAE">
        <w:rPr>
          <w:color w:val="000000" w:themeColor="text1"/>
          <w:sz w:val="16"/>
          <w:szCs w:val="16"/>
        </w:rPr>
        <w:softHyphen/>
        <w:t>ля 1945 г. на втором экземпляре МиГа с ТК-300Б достигли высоты 12300 м, 11 мая — 13000 м, а в день катастрофы высотно</w:t>
      </w:r>
      <w:r w:rsidRPr="00F90EAE">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F90EAE">
        <w:rPr>
          <w:color w:val="000000" w:themeColor="text1"/>
          <w:sz w:val="16"/>
          <w:szCs w:val="16"/>
        </w:rPr>
        <w:softHyphen/>
        <w:t>ния расчётного потолка 14000 м. Первый экземпляр МиГа, хотя и летал, но значитель</w:t>
      </w:r>
      <w:r w:rsidRPr="00F90EAE">
        <w:rPr>
          <w:color w:val="000000" w:themeColor="text1"/>
          <w:sz w:val="16"/>
          <w:szCs w:val="16"/>
        </w:rPr>
        <w:softHyphen/>
        <w:t>ных результатов на нём не получили (15830).</w:t>
      </w:r>
    </w:p>
    <w:p w14:paraId="68008C4C" w14:textId="77777777" w:rsidR="003D47C5" w:rsidRPr="00F90EAE" w:rsidRDefault="003D47C5" w:rsidP="00F90EAE">
      <w:pPr>
        <w:jc w:val="both"/>
        <w:rPr>
          <w:color w:val="000000" w:themeColor="text1"/>
          <w:sz w:val="16"/>
          <w:szCs w:val="16"/>
        </w:rPr>
      </w:pPr>
    </w:p>
    <w:p w14:paraId="781337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на И-250 был выполнен полет на 6700 с ВРД для определения максимальной скорости, но полет был прекращен из-за падения давления масла в компрессоре. До этого летали 10 (два полета без ВРД) и 11 апреля, когда лопнуло шасси (6471, 71).</w:t>
      </w:r>
    </w:p>
    <w:p w14:paraId="144A8E55" w14:textId="77777777" w:rsidR="00665165" w:rsidRPr="00F90EAE" w:rsidRDefault="00665165" w:rsidP="00F90EAE">
      <w:pPr>
        <w:autoSpaceDE w:val="0"/>
        <w:autoSpaceDN w:val="0"/>
        <w:adjustRightInd w:val="0"/>
        <w:jc w:val="both"/>
        <w:rPr>
          <w:color w:val="000000" w:themeColor="text1"/>
          <w:sz w:val="16"/>
          <w:szCs w:val="16"/>
        </w:rPr>
      </w:pPr>
    </w:p>
    <w:p w14:paraId="0B432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и закончилась 7 мая 1945 г. программа испытаний Me 410 Б-2, (Me 410 В-2), состоящая из 23 полётов общей продолжительностью 14 часов 25 минут.</w:t>
      </w:r>
    </w:p>
    <w:p w14:paraId="295CB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6482C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092C9B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0F684A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 лётчиком-испытателем назначили майора И.П.Пискунова, ведущим инженером инженер-подполковника В.Я.Магона.</w:t>
      </w:r>
    </w:p>
    <w:p w14:paraId="2EEF3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2AD44E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(винто-моторной группы.) и навигационных приборов удобное.</w:t>
      </w:r>
    </w:p>
    <w:p w14:paraId="2DD19A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D1AE7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6C2769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3EFFBF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 наборе высоты самолёт устойчив и хорошо управляем...</w:t>
      </w:r>
    </w:p>
    <w:p w14:paraId="745D07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2FE88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06C7E5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3DB535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6BC24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1801B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1508C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0C88F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7EA38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61D01A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07A66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16AFEC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761BFB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A7E74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503FF7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Советские лётчики отметили очень надёжную работу винто-моторной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40F582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58C9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“87”по немецкой шкале (или “91 ” по шкале, принятой в СССР). А горючее 4Б-78, которым в НИИ ВВС заправляли самолет Me 410, имел октановое число “94,5”.</w:t>
      </w:r>
    </w:p>
    <w:p w14:paraId="1E0D1A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77CE82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Не сомневаюсь, что читателям будет интересно узнать мнение лётчиков, пилотировавших в этих боях советские машины (6407).</w:t>
      </w:r>
    </w:p>
    <w:p w14:paraId="48758153" w14:textId="77777777" w:rsidR="00665165" w:rsidRPr="00F90EAE" w:rsidRDefault="00665165" w:rsidP="00F90EAE">
      <w:pPr>
        <w:autoSpaceDE w:val="0"/>
        <w:autoSpaceDN w:val="0"/>
        <w:adjustRightInd w:val="0"/>
        <w:jc w:val="both"/>
        <w:rPr>
          <w:color w:val="000000" w:themeColor="text1"/>
          <w:sz w:val="16"/>
          <w:szCs w:val="16"/>
        </w:rPr>
      </w:pPr>
    </w:p>
    <w:p w14:paraId="5EEF214C" w14:textId="77777777" w:rsidR="00986CD1" w:rsidRPr="00F90EAE" w:rsidRDefault="00986CD1" w:rsidP="00F90EAE">
      <w:pPr>
        <w:jc w:val="both"/>
        <w:rPr>
          <w:color w:val="000000" w:themeColor="text1"/>
          <w:sz w:val="16"/>
          <w:szCs w:val="16"/>
        </w:rPr>
      </w:pPr>
      <w:r w:rsidRPr="00F90EAE">
        <w:rPr>
          <w:color w:val="000000" w:themeColor="text1"/>
          <w:sz w:val="16"/>
          <w:szCs w:val="16"/>
        </w:rPr>
        <w:t xml:space="preserve">14 апреля в 1945 году 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 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«DB-603А»,значит, правильное его обозначение – «Me-410» «А-2». 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 Было бы логично и правильно данный конкретный самолёт называть «Ме-410» «A-2/U-4», как и все "четыреста десятые" с 50-мм пушкой. В отличие от американских и английских летчиков-испытателей, советские пилоты отзывались об управляемости немецкого самолета скорее положительно. Варианты Me.410: «A-1/U1», «A-3/Ul» и «B-3/U1» без пулеметов «MG-17» с фотокамерами в задней части фюзеляжа; «A-1/U2», «B-1/U2» и «B-2/U2» с дополнительной парой пушек «MG-151/20» в бомбоотсеке; «B-2/U2/R2» с двумя пушками «МК-108» или B-2/U2/R3 с двумя «МК-108»; «B-2/U2/R5» с четырьмя 20 мм пушками «MG-151» в отсеке; «B-2/U2/R4» - две пушки «MG-151» в бомбоотсеке и две «MG-151» в Waffentropfen; «А-2/U4» и «В-2/U4» с 50 мм пушкой «ВК-5»; револьверная пусковая установка </w:t>
      </w:r>
      <w:r w:rsidRPr="00F90EAE">
        <w:rPr>
          <w:color w:val="000000" w:themeColor="text1"/>
          <w:sz w:val="16"/>
          <w:szCs w:val="16"/>
        </w:rPr>
        <w:lastRenderedPageBreak/>
        <w:t>для 21 см ракет; «А-3» и «В-3» с установкой фотокамер в носу и без пулеметов; «В-5» с внешней подвеской торпеды; «В-6» с двумя «МК-103» в отсеке и пулеметами «MG-131» вместо «MG-17» (15099).</w:t>
      </w:r>
    </w:p>
    <w:p w14:paraId="16DD39C7" w14:textId="77777777" w:rsidR="00986CD1" w:rsidRPr="00F90EAE" w:rsidRDefault="00986CD1" w:rsidP="00F90EAE">
      <w:pPr>
        <w:jc w:val="both"/>
        <w:rPr>
          <w:color w:val="000000" w:themeColor="text1"/>
          <w:sz w:val="16"/>
          <w:szCs w:val="16"/>
        </w:rPr>
      </w:pPr>
    </w:p>
    <w:p w14:paraId="57BB5E27" w14:textId="77777777" w:rsidR="007D191E" w:rsidRPr="00F90EAE" w:rsidRDefault="007D191E" w:rsidP="00F90EAE">
      <w:pPr>
        <w:jc w:val="both"/>
        <w:rPr>
          <w:color w:val="0070C0"/>
          <w:sz w:val="16"/>
          <w:szCs w:val="16"/>
        </w:rPr>
      </w:pPr>
      <w:r w:rsidRPr="00F90EAE">
        <w:rPr>
          <w:color w:val="0070C0"/>
          <w:sz w:val="16"/>
          <w:szCs w:val="16"/>
        </w:rPr>
        <w:t>14 апреля 1945 - В НИИ ВВС начались (до 7 мая) испытания тяжёлого истребителя Me.410 Hornisse (в Акте по испытаниям указан индекс - Me-410 Б-2) с 50-мм пушкой ВК 5, захваченный на одном из аэродромов противника. Программа испытаний состояла из 23 полётов общей продолжительностью 14 часов 25 минут. Ведущим лётчиком-испытателем назначили майора И.П.Пискунова, ведущим инженером инженер-подполковника В.Я.Магона.</w:t>
      </w:r>
    </w:p>
    <w:p w14:paraId="4A17F48E" w14:textId="77777777" w:rsidR="007D191E" w:rsidRPr="00F90EAE" w:rsidRDefault="007D191E" w:rsidP="00F90EAE">
      <w:pPr>
        <w:jc w:val="both"/>
        <w:rPr>
          <w:color w:val="0070C0"/>
          <w:sz w:val="16"/>
          <w:szCs w:val="16"/>
        </w:rPr>
      </w:pPr>
      <w:r w:rsidRPr="00F90EAE">
        <w:rPr>
          <w:color w:val="0070C0"/>
          <w:sz w:val="16"/>
          <w:szCs w:val="16"/>
        </w:rPr>
        <w:t>Для начала стоит сразу разобраться с обозначением данного самолёта. Варианты Me-410A и Me-410B отличались двигателями: на первом ставился DB-603A, а на втором - более мощный DB-603G. В отчёте НИИ ВВС указано, что на самолёте стоят двигатели DB-603А, значит, правильное его обозначение – Me-410 А-2.</w:t>
      </w:r>
    </w:p>
    <w:p w14:paraId="140DC521" w14:textId="77777777" w:rsidR="007D191E" w:rsidRPr="00F90EAE" w:rsidRDefault="007D191E" w:rsidP="00F90EAE">
      <w:pPr>
        <w:jc w:val="both"/>
        <w:rPr>
          <w:color w:val="0070C0"/>
          <w:sz w:val="16"/>
          <w:szCs w:val="16"/>
        </w:rPr>
      </w:pPr>
      <w:r w:rsidRPr="00F90EAE">
        <w:rPr>
          <w:color w:val="0070C0"/>
          <w:sz w:val="16"/>
          <w:szCs w:val="16"/>
        </w:rPr>
        <w:t>Теперь уточним индекс этого самолёта в соответствии с вооружением. Модификация "мессершмитта" с 50-мм пушкой ВК 5 получила в Люфтваффе обозначение Me-410 A-2/U-4. На ней для стрельбы вперёд устанавливались также две 20-мм пушки MG-151 и пара пулемётов MG-17 калибра 7,9 мм. Самолет,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MG-151 и один MG-131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6F5038C9" w14:textId="77777777" w:rsidR="007D191E" w:rsidRPr="00F90EAE" w:rsidRDefault="007D191E" w:rsidP="00F90EAE">
      <w:pPr>
        <w:jc w:val="both"/>
        <w:rPr>
          <w:color w:val="0070C0"/>
          <w:sz w:val="16"/>
          <w:szCs w:val="16"/>
        </w:rPr>
      </w:pPr>
      <w:r w:rsidRPr="00F90EAE">
        <w:rPr>
          <w:color w:val="0070C0"/>
          <w:sz w:val="16"/>
          <w:szCs w:val="16"/>
        </w:rPr>
        <w:t>Было бы логично и правильно данный конкретный самолёт называть Ме-410 A-2/U-4, как и все "четыреста десятые" с 50-мм пушкой.</w:t>
      </w:r>
    </w:p>
    <w:p w14:paraId="739F60E4" w14:textId="77777777" w:rsidR="007D191E" w:rsidRPr="00F90EAE" w:rsidRDefault="007D191E" w:rsidP="00F90EAE">
      <w:pPr>
        <w:jc w:val="both"/>
        <w:rPr>
          <w:color w:val="0070C0"/>
          <w:sz w:val="16"/>
          <w:szCs w:val="16"/>
        </w:rPr>
      </w:pPr>
      <w:r w:rsidRPr="00F90EAE">
        <w:rPr>
          <w:color w:val="0070C0"/>
          <w:sz w:val="16"/>
          <w:szCs w:val="16"/>
        </w:rPr>
        <w:t>В отличие от американских и английских летчиков-испытателей, советские пилоты отзывались об управляемости немецкого самолета скорее положительно (22535).</w:t>
      </w:r>
    </w:p>
    <w:p w14:paraId="4454FDFE" w14:textId="77777777" w:rsidR="007D191E" w:rsidRPr="00F90EAE" w:rsidRDefault="007D191E" w:rsidP="00F90EAE">
      <w:pPr>
        <w:jc w:val="both"/>
        <w:rPr>
          <w:color w:val="0070C0"/>
          <w:sz w:val="16"/>
          <w:szCs w:val="16"/>
        </w:rPr>
      </w:pPr>
    </w:p>
    <w:p w14:paraId="3FFE40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были закончены работы по вывозу оборудования немецкого завода Фокке Вульф в Познани в СССР на завод 272 в Ленинград (1874,12).</w:t>
      </w:r>
    </w:p>
    <w:p w14:paraId="18019F27" w14:textId="77777777" w:rsidR="00665165" w:rsidRPr="00F90EAE" w:rsidRDefault="00665165" w:rsidP="00F90EAE">
      <w:pPr>
        <w:autoSpaceDE w:val="0"/>
        <w:autoSpaceDN w:val="0"/>
        <w:adjustRightInd w:val="0"/>
        <w:jc w:val="both"/>
        <w:rPr>
          <w:color w:val="000000" w:themeColor="text1"/>
          <w:sz w:val="16"/>
          <w:szCs w:val="16"/>
        </w:rPr>
      </w:pPr>
    </w:p>
    <w:p w14:paraId="1143660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1ADB943" w14:textId="77777777" w:rsidR="00665165" w:rsidRPr="00F90EAE" w:rsidRDefault="00665165" w:rsidP="00F90EAE">
      <w:pPr>
        <w:autoSpaceDE w:val="0"/>
        <w:autoSpaceDN w:val="0"/>
        <w:adjustRightInd w:val="0"/>
        <w:jc w:val="both"/>
        <w:rPr>
          <w:iCs/>
          <w:color w:val="000000" w:themeColor="text1"/>
          <w:sz w:val="16"/>
          <w:szCs w:val="16"/>
        </w:rPr>
      </w:pPr>
    </w:p>
    <w:p w14:paraId="60A92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закончились испытания Т-54 на Кубинке под председательством Кульчицкого Е. А С., которые проходили с 11 марта 1945 (приказ № 092/021 от 28.02.45) (11075).</w:t>
      </w:r>
    </w:p>
    <w:p w14:paraId="54EF6C16" w14:textId="77777777" w:rsidR="00665165" w:rsidRPr="00F90EAE" w:rsidRDefault="00665165" w:rsidP="00F90EAE">
      <w:pPr>
        <w:autoSpaceDE w:val="0"/>
        <w:autoSpaceDN w:val="0"/>
        <w:adjustRightInd w:val="0"/>
        <w:jc w:val="both"/>
        <w:rPr>
          <w:color w:val="000000" w:themeColor="text1"/>
          <w:sz w:val="16"/>
          <w:szCs w:val="16"/>
        </w:rPr>
      </w:pPr>
    </w:p>
    <w:p w14:paraId="001261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1945 г. в Кубинке были проведены испытания макетного образца Т-54 (бывш. Т-44В), которые шли с 11 мартао. Вот краткое описание танка:</w:t>
      </w:r>
    </w:p>
    <w:p w14:paraId="5C347A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«Корпус танка Т-54 сохранен от проекта Т-44-В, но тол</w:t>
      </w:r>
      <w:r w:rsidRPr="00F90EAE">
        <w:rPr>
          <w:color w:val="000000" w:themeColor="text1"/>
          <w:sz w:val="16"/>
          <w:szCs w:val="16"/>
        </w:rPr>
        <w:softHyphen/>
        <w:t>щина лоб брони увеличена со 110-мм до 120-мм... Лобовая, бортовая и днищевая броня корпуса применена средней твер</w:t>
      </w:r>
      <w:r w:rsidRPr="00F90EAE">
        <w:rPr>
          <w:color w:val="000000" w:themeColor="text1"/>
          <w:sz w:val="16"/>
          <w:szCs w:val="16"/>
        </w:rPr>
        <w:softHyphen/>
        <w:t>дости, остальная - высокой. Общая длина корпуса танка от</w:t>
      </w:r>
      <w:r w:rsidRPr="00F90EAE">
        <w:rPr>
          <w:color w:val="000000" w:themeColor="text1"/>
          <w:sz w:val="16"/>
          <w:szCs w:val="16"/>
        </w:rPr>
        <w:softHyphen/>
        <w:t>носительно Т-44В удлинена на 57 мм за счет выноса вперед опорного катка № 1. Башня изготовлена из брони 66АМС средн. твердости по типу башни проекта Т-44В, с увеличен</w:t>
      </w:r>
      <w:r w:rsidRPr="00F90EAE">
        <w:rPr>
          <w:color w:val="000000" w:themeColor="text1"/>
          <w:sz w:val="16"/>
          <w:szCs w:val="16"/>
        </w:rPr>
        <w:softHyphen/>
        <w:t>ной на 12-30 мм толщиной брони, но с погоном диаметром 1800мм и более эффективной системой вентиляции...</w:t>
      </w:r>
    </w:p>
    <w:p w14:paraId="644EF6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танк установлена 100-мм пушка Д-10ТК обр. 1944 г. изготовления завода № 8, которая в отличие от 100-мм пуш</w:t>
      </w:r>
      <w:r w:rsidRPr="00F90EAE">
        <w:rPr>
          <w:color w:val="000000" w:themeColor="text1"/>
          <w:sz w:val="16"/>
          <w:szCs w:val="16"/>
        </w:rPr>
        <w:softHyphen/>
        <w:t>ки Д-10Т не имеет пружинн. уравновешивающий механизм. Труба ствола имеет более тонкие стенки, ствол уравновешен дополнительными грузами...»</w:t>
      </w:r>
    </w:p>
    <w:p w14:paraId="445559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ходе испытаний танк показал неплохую подвижность, но его максимальная скорость составила 43,5-44 км/ч про</w:t>
      </w:r>
      <w:r w:rsidRPr="00F90EAE">
        <w:rPr>
          <w:color w:val="000000" w:themeColor="text1"/>
          <w:sz w:val="16"/>
          <w:szCs w:val="16"/>
        </w:rPr>
        <w:softHyphen/>
        <w:t>тив 51-55 км/ч танков Т-44 и Т-34-85. Проходимость танка была на уровне одноклассников, но его броневая защита и огневая мощь завораживали.</w:t>
      </w:r>
    </w:p>
    <w:p w14:paraId="195AAB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тов. Морозова (имеется в виду Т-54) удачно сочетает мощное вооружение и высокую защищенность при малых габаритах и массе... Имея его в своих танковых войсках, мы вполне можем отказаться от выпуска специализированных тяжелых танков, упростив снабжение, обучение и комплек</w:t>
      </w:r>
      <w:r w:rsidRPr="00F90EAE">
        <w:rPr>
          <w:color w:val="000000" w:themeColor="text1"/>
          <w:sz w:val="16"/>
          <w:szCs w:val="16"/>
        </w:rPr>
        <w:softHyphen/>
        <w:t>тование танковых и механизированных соединений...»</w:t>
      </w:r>
    </w:p>
    <w:p w14:paraId="46752F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Казалось, что при наличии таких отзывов должно было ожидать самое светлое будущее новой боевой машине, но неожиданно для всех работы по освоению танка в серии были прекращены (11135).</w:t>
      </w:r>
    </w:p>
    <w:p w14:paraId="18B2AA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3D58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1945 г. Т-54, изготовленный 30 января 1945, г. прошел испы</w:t>
      </w:r>
      <w:r w:rsidRPr="00F90EAE">
        <w:rPr>
          <w:color w:val="000000" w:themeColor="text1"/>
          <w:sz w:val="16"/>
          <w:szCs w:val="16"/>
        </w:rPr>
        <w:softHyphen/>
        <w:t>тания на НИБТ полигоне в Кубинке под руководством комиссии, воз</w:t>
      </w:r>
      <w:r w:rsidRPr="00F90EAE">
        <w:rPr>
          <w:color w:val="000000" w:themeColor="text1"/>
          <w:sz w:val="16"/>
          <w:szCs w:val="16"/>
        </w:rPr>
        <w:softHyphen/>
        <w:t>главляемой заместителем начальника Технического управления ГЕГГУ КАгв. полковником Е.А. Кульчицким, которые шли с 11 марта 1945.</w:t>
      </w:r>
    </w:p>
    <w:p w14:paraId="6172FD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испытаний нарком танковой промыш</w:t>
      </w:r>
      <w:r w:rsidRPr="00F90EAE">
        <w:rPr>
          <w:color w:val="000000" w:themeColor="text1"/>
          <w:sz w:val="16"/>
          <w:szCs w:val="16"/>
        </w:rPr>
        <w:softHyphen/>
        <w:t>ленности В.А. Малышев дал указания директору завода №183 гене</w:t>
      </w:r>
      <w:r w:rsidRPr="00F90EAE">
        <w:rPr>
          <w:color w:val="000000" w:themeColor="text1"/>
          <w:sz w:val="16"/>
          <w:szCs w:val="16"/>
        </w:rPr>
        <w:softHyphen/>
        <w:t>рал-майору ИТС Ю.Е. Максареву об изготовлении двух опытных об</w:t>
      </w:r>
      <w:r w:rsidRPr="00F90EAE">
        <w:rPr>
          <w:color w:val="000000" w:themeColor="text1"/>
          <w:sz w:val="16"/>
          <w:szCs w:val="16"/>
        </w:rPr>
        <w:softHyphen/>
        <w:t>разцов танка Т-54 к июню 1945 г. На одном из них должна была быть установлена планетарная трансмиссия, на другом - ПМП.</w:t>
      </w:r>
    </w:p>
    <w:p w14:paraId="1366FB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требовалось внести 68 изме</w:t>
      </w:r>
      <w:r w:rsidRPr="00F90EAE">
        <w:rPr>
          <w:color w:val="000000" w:themeColor="text1"/>
          <w:sz w:val="16"/>
          <w:szCs w:val="16"/>
        </w:rPr>
        <w:softHyphen/>
        <w:t>нений. Однако отработкой чертежей и опытного образца завод № 183 длительное время не занимался. Дело в том, что летом 1945 г. завод проводил ОКР по дальнейшей модернизации танка Т-44 в направле</w:t>
      </w:r>
      <w:r w:rsidRPr="00F90EAE">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F90EAE">
        <w:rPr>
          <w:color w:val="000000" w:themeColor="text1"/>
          <w:sz w:val="16"/>
          <w:szCs w:val="16"/>
        </w:rPr>
        <w:softHyphen/>
        <w:t>чием стальных бортовых экранов, а на одном из них на крыше баш</w:t>
      </w:r>
      <w:r w:rsidRPr="00F90EAE">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F90EAE">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70DA26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F90EAE">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BF790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испытаний выявилось большое количество дефек</w:t>
      </w:r>
      <w:r w:rsidRPr="00F90EAE">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F90EAE">
        <w:rPr>
          <w:color w:val="000000" w:themeColor="text1"/>
          <w:sz w:val="16"/>
          <w:szCs w:val="16"/>
        </w:rPr>
        <w:softHyphen/>
        <w:t>ботали без дефектов. Синхронизаторы коробки передач ожидае</w:t>
      </w:r>
      <w:r w:rsidRPr="00F90EAE">
        <w:rPr>
          <w:color w:val="000000" w:themeColor="text1"/>
          <w:sz w:val="16"/>
          <w:szCs w:val="16"/>
        </w:rPr>
        <w:softHyphen/>
        <w:t>мого эффекта не дали, так как время переключения передач со</w:t>
      </w:r>
      <w:r w:rsidRPr="00F90EAE">
        <w:rPr>
          <w:color w:val="000000" w:themeColor="text1"/>
          <w:sz w:val="16"/>
          <w:szCs w:val="16"/>
        </w:rPr>
        <w:softHyphen/>
        <w:t>ставляло 5 с. По результатам ходовых испытаний в конструкцию танка внесли еще 98 изменений (11770).</w:t>
      </w:r>
    </w:p>
    <w:p w14:paraId="635EE8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1C31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1945 г. по результатам полигонных испытаний, прошедших в период с 11 марта по 14апре</w:t>
      </w:r>
      <w:r w:rsidRPr="00F90EAE">
        <w:rPr>
          <w:color w:val="000000" w:themeColor="text1"/>
          <w:sz w:val="16"/>
          <w:szCs w:val="16"/>
        </w:rPr>
        <w:softHyphen/>
        <w:t>ля 1945 г., комиссией был представлен отчет, в выводах которого го</w:t>
      </w:r>
      <w:r w:rsidRPr="00F90EAE">
        <w:rPr>
          <w:color w:val="000000" w:themeColor="text1"/>
          <w:sz w:val="16"/>
          <w:szCs w:val="16"/>
        </w:rPr>
        <w:softHyphen/>
        <w:t>ворилось:</w:t>
      </w:r>
    </w:p>
    <w:p w14:paraId="139A8F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w:t>
      </w:r>
      <w:r w:rsidRPr="00F90EAE">
        <w:rPr>
          <w:iCs/>
          <w:color w:val="000000" w:themeColor="text1"/>
          <w:sz w:val="16"/>
          <w:szCs w:val="16"/>
        </w:rPr>
        <w:t>Танк Т-54 по сравнению с танком Т-44 имеет значительные преимущества по вооружению и броневой защите и превос</w:t>
      </w:r>
      <w:r w:rsidRPr="00F90EAE">
        <w:rPr>
          <w:iCs/>
          <w:color w:val="000000" w:themeColor="text1"/>
          <w:sz w:val="16"/>
          <w:szCs w:val="16"/>
        </w:rPr>
        <w:softHyphen/>
        <w:t>ходит по боевым качествам все современ</w:t>
      </w:r>
      <w:r w:rsidRPr="00F90EAE">
        <w:rPr>
          <w:iCs/>
          <w:color w:val="000000" w:themeColor="text1"/>
          <w:sz w:val="16"/>
          <w:szCs w:val="16"/>
        </w:rPr>
        <w:softHyphen/>
        <w:t>ные средние танки.</w:t>
      </w:r>
    </w:p>
    <w:p w14:paraId="2B815D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2. Опытный образец танка Т-54 испыта</w:t>
      </w:r>
      <w:r w:rsidRPr="00F90EAE">
        <w:rPr>
          <w:iCs/>
          <w:color w:val="000000" w:themeColor="text1"/>
          <w:sz w:val="16"/>
          <w:szCs w:val="16"/>
        </w:rPr>
        <w:softHyphen/>
        <w:t>ния по прочности основных агрегатов в объе</w:t>
      </w:r>
      <w:r w:rsidRPr="00F90EAE">
        <w:rPr>
          <w:iCs/>
          <w:color w:val="000000" w:themeColor="text1"/>
          <w:sz w:val="16"/>
          <w:szCs w:val="16"/>
        </w:rPr>
        <w:softHyphen/>
        <w:t>ме 1553 км пробега в зимних и весенних ус</w:t>
      </w:r>
      <w:r w:rsidRPr="00F90EAE">
        <w:rPr>
          <w:iCs/>
          <w:color w:val="000000" w:themeColor="text1"/>
          <w:sz w:val="16"/>
          <w:szCs w:val="16"/>
        </w:rPr>
        <w:softHyphen/>
        <w:t>ловиях выдержал.</w:t>
      </w:r>
    </w:p>
    <w:p w14:paraId="1CEAE7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3. Танк имеет дефекты, обусловленные конструктивной недоработкой отдельных уз</w:t>
      </w:r>
      <w:r w:rsidRPr="00F90EAE">
        <w:rPr>
          <w:iCs/>
          <w:color w:val="000000" w:themeColor="text1"/>
          <w:sz w:val="16"/>
          <w:szCs w:val="16"/>
        </w:rPr>
        <w:softHyphen/>
        <w:t>лов, устранение которых значительно повы</w:t>
      </w:r>
      <w:r w:rsidRPr="00F90EAE">
        <w:rPr>
          <w:iCs/>
          <w:color w:val="000000" w:themeColor="text1"/>
          <w:sz w:val="16"/>
          <w:szCs w:val="16"/>
        </w:rPr>
        <w:softHyphen/>
        <w:t xml:space="preserve">сит тактико-технические качества танка». </w:t>
      </w:r>
      <w:r w:rsidRPr="00F90EAE">
        <w:rPr>
          <w:color w:val="000000" w:themeColor="text1"/>
          <w:sz w:val="16"/>
          <w:szCs w:val="16"/>
        </w:rPr>
        <w:t xml:space="preserve">В заключении комиссия отметила: «...3. </w:t>
      </w:r>
      <w:r w:rsidRPr="00F90EAE">
        <w:rPr>
          <w:iCs/>
          <w:color w:val="000000" w:themeColor="text1"/>
          <w:sz w:val="16"/>
          <w:szCs w:val="16"/>
        </w:rPr>
        <w:t>К основным недостаткам танка Т-54 следует отнести недостаточную снаря-достойкость башни и устарелость конструк</w:t>
      </w:r>
      <w:r w:rsidRPr="00F90EAE">
        <w:rPr>
          <w:iCs/>
          <w:color w:val="000000" w:themeColor="text1"/>
          <w:sz w:val="16"/>
          <w:szCs w:val="16"/>
        </w:rPr>
        <w:softHyphen/>
        <w:t>ции его трансмиссии и ходовой части, что является недопустимым для современного танка. Башня поражается на больших дис</w:t>
      </w:r>
      <w:r w:rsidRPr="00F90EAE">
        <w:rPr>
          <w:iCs/>
          <w:color w:val="000000" w:themeColor="text1"/>
          <w:sz w:val="16"/>
          <w:szCs w:val="16"/>
        </w:rPr>
        <w:softHyphen/>
        <w:t>танциях, а трансмиссия и ходовая часть сни</w:t>
      </w:r>
      <w:r w:rsidRPr="00F90EAE">
        <w:rPr>
          <w:iCs/>
          <w:color w:val="000000" w:themeColor="text1"/>
          <w:sz w:val="16"/>
          <w:szCs w:val="16"/>
        </w:rPr>
        <w:softHyphen/>
        <w:t>жают динамические качества танка.</w:t>
      </w:r>
    </w:p>
    <w:p w14:paraId="7AAFF6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4. Учитывая резкое повышение боевых качеств среднего танка, достигнутое в танке Т-54, комиссия считает возможным рекомен</w:t>
      </w:r>
      <w:r w:rsidRPr="00F90EAE">
        <w:rPr>
          <w:iCs/>
          <w:color w:val="000000" w:themeColor="text1"/>
          <w:sz w:val="16"/>
          <w:szCs w:val="16"/>
        </w:rPr>
        <w:softHyphen/>
        <w:t>довать танк Т-54 на вооружение Красной Ар</w:t>
      </w:r>
      <w:r w:rsidRPr="00F90EAE">
        <w:rPr>
          <w:iCs/>
          <w:color w:val="000000" w:themeColor="text1"/>
          <w:sz w:val="16"/>
          <w:szCs w:val="16"/>
        </w:rPr>
        <w:softHyphen/>
        <w:t>мии с обязательным устранением отмечен</w:t>
      </w:r>
      <w:r w:rsidRPr="00F90EAE">
        <w:rPr>
          <w:iCs/>
          <w:color w:val="000000" w:themeColor="text1"/>
          <w:sz w:val="16"/>
          <w:szCs w:val="16"/>
        </w:rPr>
        <w:softHyphen/>
        <w:t>ных в отчете недостатков.</w:t>
      </w:r>
    </w:p>
    <w:p w14:paraId="4B8EBA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5. В связи с тем, что отработка ряда новых узлов может задержать ввод в се</w:t>
      </w:r>
      <w:r w:rsidRPr="00F90EAE">
        <w:rPr>
          <w:iCs/>
          <w:color w:val="000000" w:themeColor="text1"/>
          <w:sz w:val="16"/>
          <w:szCs w:val="16"/>
        </w:rPr>
        <w:softHyphen/>
        <w:t>рийное производство танка Т-54, необхо</w:t>
      </w:r>
      <w:r w:rsidRPr="00F90EAE">
        <w:rPr>
          <w:iCs/>
          <w:color w:val="000000" w:themeColor="text1"/>
          <w:sz w:val="16"/>
          <w:szCs w:val="16"/>
        </w:rPr>
        <w:softHyphen/>
        <w:t>димость в котором в армии весьма вели</w:t>
      </w:r>
      <w:r w:rsidRPr="00F90EAE">
        <w:rPr>
          <w:iCs/>
          <w:color w:val="000000" w:themeColor="text1"/>
          <w:sz w:val="16"/>
          <w:szCs w:val="16"/>
        </w:rPr>
        <w:softHyphen/>
        <w:t>ка, комиссия считает возможным начать производство танков Т-54, не ожидая вве</w:t>
      </w:r>
      <w:r w:rsidRPr="00F90EAE">
        <w:rPr>
          <w:iCs/>
          <w:color w:val="000000" w:themeColor="text1"/>
          <w:sz w:val="16"/>
          <w:szCs w:val="16"/>
        </w:rPr>
        <w:softHyphen/>
        <w:t>дения следующих узлов и механизмов, срочную отработку которых поручить заво</w:t>
      </w:r>
      <w:r w:rsidRPr="00F90EAE">
        <w:rPr>
          <w:iCs/>
          <w:color w:val="000000" w:themeColor="text1"/>
          <w:sz w:val="16"/>
          <w:szCs w:val="16"/>
        </w:rPr>
        <w:softHyphen/>
        <w:t>ду №183 в очередности, устанавливаемой НКГПиГБТУКА:</w:t>
      </w:r>
    </w:p>
    <w:p w14:paraId="3D986B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а) башни по типу танка ИС-3;</w:t>
      </w:r>
    </w:p>
    <w:p w14:paraId="1B6A70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б) КПП с синхронизаторами и 2-х ступен</w:t>
      </w:r>
      <w:r w:rsidRPr="00F90EAE">
        <w:rPr>
          <w:iCs/>
          <w:color w:val="000000" w:themeColor="text1"/>
          <w:sz w:val="16"/>
          <w:szCs w:val="16"/>
        </w:rPr>
        <w:softHyphen/>
        <w:t>чатого планетарного механизма поворота танка;</w:t>
      </w:r>
    </w:p>
    <w:p w14:paraId="5D5C71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экрана от гранат типа «Фауст»;</w:t>
      </w:r>
    </w:p>
    <w:p w14:paraId="3E7A97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г) изменение углов наклона кормовых листов корпуса;</w:t>
      </w:r>
    </w:p>
    <w:p w14:paraId="0014356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iCs/>
          <w:color w:val="000000" w:themeColor="text1"/>
          <w:sz w:val="16"/>
          <w:szCs w:val="16"/>
        </w:rPr>
        <w:t>д) вращающегося пола боевого отделе</w:t>
      </w:r>
      <w:r w:rsidRPr="00F90EAE">
        <w:rPr>
          <w:iCs/>
          <w:color w:val="000000" w:themeColor="text1"/>
          <w:sz w:val="16"/>
          <w:szCs w:val="16"/>
        </w:rPr>
        <w:softHyphen/>
        <w:t>ния;</w:t>
      </w:r>
    </w:p>
    <w:p w14:paraId="22520A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е) смотровых приборов по типу М4А2 в командирской башенке;</w:t>
      </w:r>
    </w:p>
    <w:p w14:paraId="407399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ж) гусениц с цевочным зацеплением;</w:t>
      </w:r>
    </w:p>
    <w:p w14:paraId="2DE244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з) амортизаторов ходовой части (на всех катках).</w:t>
      </w:r>
    </w:p>
    <w:p w14:paraId="5C76F3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По мере отработки, эти механизмы вво</w:t>
      </w:r>
      <w:r w:rsidRPr="00F90EAE">
        <w:rPr>
          <w:iCs/>
          <w:color w:val="000000" w:themeColor="text1"/>
          <w:sz w:val="16"/>
          <w:szCs w:val="16"/>
        </w:rPr>
        <w:softHyphen/>
        <w:t>дить в серийное производство».</w:t>
      </w:r>
    </w:p>
    <w:p w14:paraId="5A58D2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1945 г. начальник ТУ ГЕТУ КА инженер-полковникА.И. Благонравов подпи</w:t>
      </w:r>
      <w:r w:rsidRPr="00F90EAE">
        <w:rPr>
          <w:color w:val="000000" w:themeColor="text1"/>
          <w:sz w:val="16"/>
          <w:szCs w:val="16"/>
        </w:rPr>
        <w:softHyphen/>
        <w:t>сал заключение по отчету об испытаниях опытного образца модернизированного тан</w:t>
      </w:r>
      <w:r w:rsidRPr="00F90EAE">
        <w:rPr>
          <w:color w:val="000000" w:themeColor="text1"/>
          <w:sz w:val="16"/>
          <w:szCs w:val="16"/>
        </w:rPr>
        <w:softHyphen/>
        <w:t>ка Т-44(Т-54).</w:t>
      </w:r>
    </w:p>
    <w:p w14:paraId="1C90A9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F90EAE">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F90EAE">
        <w:rPr>
          <w:iCs/>
          <w:color w:val="000000" w:themeColor="text1"/>
          <w:sz w:val="16"/>
          <w:szCs w:val="16"/>
        </w:rPr>
        <w:softHyphen/>
        <w:t>ный образец, наиболее полно отвечающий упомянутым требованиям.</w:t>
      </w:r>
    </w:p>
    <w:p w14:paraId="74C58E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Отчет комиссии по испытаниям опытно</w:t>
      </w:r>
      <w:r w:rsidRPr="00F90EAE">
        <w:rPr>
          <w:iCs/>
          <w:color w:val="000000" w:themeColor="text1"/>
          <w:sz w:val="16"/>
          <w:szCs w:val="16"/>
        </w:rPr>
        <w:softHyphen/>
        <w:t>го образца модернизированного танка Т-44-100 с замечаниями и предложениями, изло</w:t>
      </w:r>
      <w:r w:rsidRPr="00F90EAE">
        <w:rPr>
          <w:iCs/>
          <w:color w:val="000000" w:themeColor="text1"/>
          <w:sz w:val="16"/>
          <w:szCs w:val="16"/>
        </w:rPr>
        <w:softHyphen/>
        <w:t>женными выше, считаю возможным доло</w:t>
      </w:r>
      <w:r w:rsidRPr="00F90EAE">
        <w:rPr>
          <w:iCs/>
          <w:color w:val="000000" w:themeColor="text1"/>
          <w:sz w:val="16"/>
          <w:szCs w:val="16"/>
        </w:rPr>
        <w:softHyphen/>
        <w:t>жить для утверждения. Благонравов».</w:t>
      </w:r>
    </w:p>
    <w:p w14:paraId="5A01E6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На основании материалов проведенных испытаний нарком танковой промышленно</w:t>
      </w:r>
      <w:r w:rsidRPr="00F90EAE">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F90EAE">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F90EAE">
        <w:rPr>
          <w:color w:val="000000" w:themeColor="text1"/>
          <w:sz w:val="16"/>
          <w:szCs w:val="16"/>
        </w:rPr>
        <w:softHyphen/>
        <w:t>миссией, на другом — планетарные механиз</w:t>
      </w:r>
      <w:r w:rsidRPr="00F90EAE">
        <w:rPr>
          <w:color w:val="000000" w:themeColor="text1"/>
          <w:sz w:val="16"/>
          <w:szCs w:val="16"/>
        </w:rPr>
        <w:softHyphen/>
        <w:t>мы поворота (ПМП).</w:t>
      </w:r>
    </w:p>
    <w:p w14:paraId="16047B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w:t>
      </w:r>
      <w:r w:rsidRPr="00F90EAE">
        <w:rPr>
          <w:color w:val="000000" w:themeColor="text1"/>
          <w:sz w:val="16"/>
          <w:szCs w:val="16"/>
        </w:rPr>
        <w:softHyphen/>
        <w:t>бовалось внести 68 изменений. Однако от</w:t>
      </w:r>
      <w:r w:rsidRPr="00F90EAE">
        <w:rPr>
          <w:color w:val="000000" w:themeColor="text1"/>
          <w:sz w:val="16"/>
          <w:szCs w:val="16"/>
        </w:rPr>
        <w:softHyphen/>
        <w:t>работка чертежей и опытного образца по данным предложениям на заводе № 183 дли</w:t>
      </w:r>
      <w:r w:rsidRPr="00F90EAE">
        <w:rPr>
          <w:color w:val="000000" w:themeColor="text1"/>
          <w:sz w:val="16"/>
          <w:szCs w:val="16"/>
        </w:rPr>
        <w:softHyphen/>
        <w:t>тельное время не производилась (11468).</w:t>
      </w:r>
    </w:p>
    <w:p w14:paraId="44FEAA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C0690F" w14:textId="77777777" w:rsidR="007D191E" w:rsidRPr="00F90EAE" w:rsidRDefault="007D191E" w:rsidP="00F90EAE">
      <w:pPr>
        <w:jc w:val="both"/>
        <w:rPr>
          <w:color w:val="0070C0"/>
          <w:sz w:val="16"/>
          <w:szCs w:val="16"/>
        </w:rPr>
      </w:pPr>
      <w:r w:rsidRPr="00F90EAE">
        <w:rPr>
          <w:color w:val="0070C0"/>
          <w:sz w:val="16"/>
          <w:szCs w:val="16"/>
        </w:rPr>
        <w:t>14 апреля 1945 г. был готов отчет по полигонным испытаниям первого опытного образца танка Т-54, подписанны председателем комиссии Е.А. Кульчицким, в котором было отмечено:</w:t>
      </w:r>
    </w:p>
    <w:p w14:paraId="2C8B440F" w14:textId="77777777" w:rsidR="007D191E" w:rsidRPr="00F90EAE" w:rsidRDefault="007D191E" w:rsidP="00F90EAE">
      <w:pPr>
        <w:jc w:val="both"/>
        <w:rPr>
          <w:color w:val="0070C0"/>
          <w:sz w:val="16"/>
          <w:szCs w:val="16"/>
        </w:rPr>
      </w:pPr>
      <w:r w:rsidRPr="00F90EAE">
        <w:rPr>
          <w:color w:val="0070C0"/>
          <w:sz w:val="16"/>
          <w:szCs w:val="16"/>
        </w:rPr>
        <w:t>«Учитывая резкое повышение боевых качеств среднего танка, достигнутое в танке Т-54, комиссия считает целесообразным рекомендовать танк Т-54 на вооружение Красной Армии с обязательным устранением отмеченных в отчете недостатков».</w:t>
      </w:r>
    </w:p>
    <w:p w14:paraId="75BEC498" w14:textId="77777777" w:rsidR="007D191E" w:rsidRPr="00F90EAE" w:rsidRDefault="007D191E" w:rsidP="00F90EAE">
      <w:pPr>
        <w:jc w:val="both"/>
        <w:rPr>
          <w:color w:val="0070C0"/>
          <w:sz w:val="16"/>
          <w:szCs w:val="16"/>
        </w:rPr>
      </w:pPr>
      <w:r w:rsidRPr="00F90EAE">
        <w:rPr>
          <w:color w:val="0070C0"/>
          <w:sz w:val="16"/>
          <w:szCs w:val="16"/>
        </w:rPr>
        <w:t>[РГАЭ. Ф. 8752. Оп. 4. д. 736. л. 193] (21209).</w:t>
      </w:r>
    </w:p>
    <w:p w14:paraId="3288F08F" w14:textId="77777777" w:rsidR="007D191E" w:rsidRPr="00F90EAE" w:rsidRDefault="007D191E" w:rsidP="00F90EAE">
      <w:pPr>
        <w:jc w:val="both"/>
        <w:rPr>
          <w:color w:val="0070C0"/>
          <w:sz w:val="16"/>
          <w:szCs w:val="16"/>
        </w:rPr>
      </w:pPr>
    </w:p>
    <w:p w14:paraId="78D0B4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1945 г. комиссия представила отчет по испытаниям танка, в котором рекомендовала танк ИС-3 ("Объект 703") для приня</w:t>
      </w:r>
      <w:r w:rsidRPr="00F90EAE">
        <w:rPr>
          <w:color w:val="000000" w:themeColor="text1"/>
          <w:sz w:val="16"/>
          <w:szCs w:val="16"/>
        </w:rPr>
        <w:softHyphen/>
        <w:t>тия в серийное производство, с устранением недостатков, отмеченных в отчете (10703).</w:t>
      </w:r>
    </w:p>
    <w:p w14:paraId="79AAC6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796E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вышло Распоряжение ГКО № 8143. Об увеличении плана погрузки угля в Донбассе. РГАНИР, Фонд ГКО, д. 400, лл. 88 (11012).</w:t>
      </w:r>
    </w:p>
    <w:p w14:paraId="6257D488" w14:textId="77777777" w:rsidR="00665165" w:rsidRPr="00F90EAE" w:rsidRDefault="00665165" w:rsidP="00F90EAE">
      <w:pPr>
        <w:autoSpaceDE w:val="0"/>
        <w:autoSpaceDN w:val="0"/>
        <w:adjustRightInd w:val="0"/>
        <w:jc w:val="both"/>
        <w:rPr>
          <w:color w:val="000000" w:themeColor="text1"/>
          <w:sz w:val="16"/>
          <w:szCs w:val="16"/>
        </w:rPr>
      </w:pPr>
    </w:p>
    <w:p w14:paraId="5E815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Ждановцы спустили на воду 13-й ТЩ (10671).</w:t>
      </w:r>
    </w:p>
    <w:p w14:paraId="240D0FE4" w14:textId="77777777" w:rsidR="00665165" w:rsidRPr="00F90EAE" w:rsidRDefault="00665165" w:rsidP="00F90EAE">
      <w:pPr>
        <w:autoSpaceDE w:val="0"/>
        <w:autoSpaceDN w:val="0"/>
        <w:adjustRightInd w:val="0"/>
        <w:jc w:val="both"/>
        <w:rPr>
          <w:color w:val="000000" w:themeColor="text1"/>
          <w:sz w:val="16"/>
          <w:szCs w:val="16"/>
        </w:rPr>
      </w:pPr>
    </w:p>
    <w:p w14:paraId="242760F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5BFB3FB" w14:textId="77777777" w:rsidR="00665165" w:rsidRPr="00F90EAE" w:rsidRDefault="00665165" w:rsidP="00F90EAE">
      <w:pPr>
        <w:autoSpaceDE w:val="0"/>
        <w:autoSpaceDN w:val="0"/>
        <w:adjustRightInd w:val="0"/>
        <w:jc w:val="both"/>
        <w:rPr>
          <w:iCs/>
          <w:color w:val="000000" w:themeColor="text1"/>
          <w:sz w:val="16"/>
          <w:szCs w:val="16"/>
        </w:rPr>
      </w:pPr>
    </w:p>
    <w:p w14:paraId="76686C43"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апреля в 1945 году оперативная сводка Совинформбюро:</w:t>
      </w:r>
    </w:p>
    <w:p w14:paraId="1F0E3C81" w14:textId="77777777" w:rsidR="003D47C5" w:rsidRPr="00F90EAE" w:rsidRDefault="003D47C5" w:rsidP="00F90EAE">
      <w:pPr>
        <w:jc w:val="both"/>
        <w:rPr>
          <w:color w:val="000000" w:themeColor="text1"/>
          <w:sz w:val="16"/>
          <w:szCs w:val="16"/>
        </w:rPr>
      </w:pPr>
      <w:r w:rsidRPr="00F90EAE">
        <w:rPr>
          <w:color w:val="000000" w:themeColor="text1"/>
          <w:sz w:val="16"/>
          <w:szCs w:val="16"/>
        </w:rPr>
        <w:t>«В течение 14 апреля на Земландском полуострове северо-западнее и западнее Кенигсберга войска 3-го Белорусского фронта с боями заняли более 60 населённых пунктов и среди них Алькникен, Рантау, Нойкурен, Лоппенен, Зассау, Баттау, Тикренен, Санкт Лоренц, Моссикен, Котцляукен, Ауерхоф, Койенен, Поерштитен, Косненен, Зеераппен, Шоршенен, Бэрвальде, До-Ротенхоф, Гросс Хайдекруг и железнодорожные станции Нойкурен, Зеераппен. В боях за 14 апреля в этом районе войска фронта взяли в плен более 7.000 немецких солдат и офицеров.</w:t>
      </w:r>
    </w:p>
    <w:p w14:paraId="0033E594" w14:textId="77777777" w:rsidR="003D47C5" w:rsidRPr="00F90EAE" w:rsidRDefault="003D47C5" w:rsidP="00F90EAE">
      <w:pPr>
        <w:jc w:val="both"/>
        <w:rPr>
          <w:color w:val="000000" w:themeColor="text1"/>
          <w:sz w:val="16"/>
          <w:szCs w:val="16"/>
        </w:rPr>
      </w:pPr>
      <w:r w:rsidRPr="00F90EAE">
        <w:rPr>
          <w:color w:val="000000" w:themeColor="text1"/>
          <w:sz w:val="16"/>
          <w:szCs w:val="16"/>
        </w:rPr>
        <w:t>На территории Чехословакии восточнее и юго-западнее города Годонин войска 2-го Украинского фронта, продолжая наступление, заняли населённые пункты Мазур, Кужелов, Малая Врбка, Кнеждуб, Стражнице, Лужице, Микульчице, Моравска Новая Весь, Грушки, Новый Жижков, Старый Бржеслав. Севернее и северо-восточнее Вены войска фронта с боями заняли на территории Австрии населённые пункты Хохенау, Гросс Инцерсдорф, Обер Зульц, Нексинг, Бад-Пираварт, Кронберг, Риденталь, Ульрихскирхен, Презинг, Путцинг, Энцеральд.</w:t>
      </w:r>
    </w:p>
    <w:p w14:paraId="61FB0188" w14:textId="77777777" w:rsidR="003D47C5" w:rsidRPr="00F90EAE" w:rsidRDefault="003D47C5" w:rsidP="00F90EAE">
      <w:pPr>
        <w:jc w:val="both"/>
        <w:rPr>
          <w:color w:val="000000" w:themeColor="text1"/>
          <w:sz w:val="16"/>
          <w:szCs w:val="16"/>
        </w:rPr>
      </w:pPr>
      <w:r w:rsidRPr="00F90EAE">
        <w:rPr>
          <w:color w:val="000000" w:themeColor="text1"/>
          <w:sz w:val="16"/>
          <w:szCs w:val="16"/>
        </w:rPr>
        <w:t>Западнее Вены войска 3-го Украинского фронта, продолжая наступление, форсировали реку Трайзен и заняли город Герцогенбург, а также более 60 других населённых пунктов, в том числе крупные населённые пункты Михельхаузен, Пишельсдорф, Цвентендорф, Понзее, Трасдорф, Зитценберг, Гетцерсдорф, Инцердорф, Крейц, Оссарн, Капелльн, Ейтендорф, Мурштетен, Бохайм-Кирхен, Христофен и железнодорожные станции Михельхаузен, Трасдорф, Гемейнлебарн. В боях за 13 апреля войска фронта взяли в плен более 2.200 солдат и офицеров противника и захватили следующие трофеи: танков и самоходных орудий — 107, бронетранспортёров — 19, полевых орудий — 135, миномётов — 44, пулемётов — 294, автомашин — 615, паровозов — 69, железнодорожных вагонов — 2.367, складов с военным имуществом — 37.</w:t>
      </w:r>
    </w:p>
    <w:p w14:paraId="7576A309" w14:textId="77777777" w:rsidR="003D47C5" w:rsidRPr="00F90EAE" w:rsidRDefault="003D47C5" w:rsidP="00F90EAE">
      <w:pPr>
        <w:jc w:val="both"/>
        <w:rPr>
          <w:color w:val="000000" w:themeColor="text1"/>
          <w:sz w:val="16"/>
          <w:szCs w:val="16"/>
        </w:rPr>
      </w:pPr>
      <w:r w:rsidRPr="00F90EAE">
        <w:rPr>
          <w:color w:val="000000" w:themeColor="text1"/>
          <w:sz w:val="16"/>
          <w:szCs w:val="16"/>
        </w:rPr>
        <w:t>На остальных участках фронта — существенных изменений не было.</w:t>
      </w:r>
    </w:p>
    <w:p w14:paraId="63597652" w14:textId="77777777" w:rsidR="003D47C5" w:rsidRPr="00F90EAE" w:rsidRDefault="003D47C5" w:rsidP="00F90EAE">
      <w:pPr>
        <w:jc w:val="both"/>
        <w:rPr>
          <w:color w:val="000000" w:themeColor="text1"/>
          <w:sz w:val="16"/>
          <w:szCs w:val="16"/>
        </w:rPr>
      </w:pPr>
      <w:r w:rsidRPr="00F90EAE">
        <w:rPr>
          <w:color w:val="000000" w:themeColor="text1"/>
          <w:sz w:val="16"/>
          <w:szCs w:val="16"/>
        </w:rPr>
        <w:t>За 13 апреля на всех фронтах подбито и уничтожено 70 немецких танков и самоходных орудий. В воздушных боях и огнём зенитной артиллерии сбито 40 самолётов противника.</w:t>
      </w:r>
    </w:p>
    <w:p w14:paraId="7A1D10E9" w14:textId="77777777" w:rsidR="003D47C5" w:rsidRPr="00F90EAE" w:rsidRDefault="003D47C5"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 по кораблям и транспортам противника</w:t>
      </w:r>
    </w:p>
    <w:p w14:paraId="481EB4C7" w14:textId="77777777" w:rsidR="003D47C5" w:rsidRPr="00F90EAE" w:rsidRDefault="003D47C5" w:rsidP="00F90EAE">
      <w:pPr>
        <w:jc w:val="both"/>
        <w:rPr>
          <w:color w:val="000000" w:themeColor="text1"/>
          <w:sz w:val="16"/>
          <w:szCs w:val="16"/>
        </w:rPr>
      </w:pPr>
      <w:r w:rsidRPr="00F90EAE">
        <w:rPr>
          <w:color w:val="000000" w:themeColor="text1"/>
          <w:sz w:val="16"/>
          <w:szCs w:val="16"/>
        </w:rPr>
        <w:t>12 и 13 апреля авиация Краснознамённого Балтийского флота продолжала наносить удары по военным кораблям и транспортам противника в порту Пиллау и в открытом море северо-западнее Пиллау. В результате бомбо-торпедных ударов потоплены: один миноносец, девять сторожевых кораблей, два тральщика, один танкер водоизмещением в 10.000 тонн и восемнадцать транспортов противника общим водоизмещением в 92.000 тонн.</w:t>
      </w:r>
    </w:p>
    <w:p w14:paraId="5D0A1321" w14:textId="77777777" w:rsidR="003D47C5" w:rsidRPr="00F90EAE" w:rsidRDefault="003D47C5" w:rsidP="00F90EAE">
      <w:pPr>
        <w:jc w:val="both"/>
        <w:rPr>
          <w:color w:val="000000" w:themeColor="text1"/>
          <w:sz w:val="16"/>
          <w:szCs w:val="16"/>
        </w:rPr>
      </w:pPr>
      <w:r w:rsidRPr="00F90EAE">
        <w:rPr>
          <w:color w:val="000000" w:themeColor="text1"/>
          <w:sz w:val="16"/>
          <w:szCs w:val="16"/>
        </w:rPr>
        <w:t>На Земландском полуострове северо-западнее и западнее города Кенигсберга наши войска с боями продвигались вперёд. Стремясь удержать в своих руках западную часть полуострова и порт Пиллау, противник построил сильно укреплённые рубежи. Он приспособил для обороны местность, изобилующую речками, каналами и болотами. Эти естественные препятствия немцы усилили и дополнили инженерными сооружениями — сплошными траншеями полного профиля, противотанковыми рвами, надолбами, широкими минными полями и проволочными награждениями. Наступательные действия наших войск начались артиллерийской и авиационной обработкой позиций противника и его тылов. Затем в атаку пошли советские пехотинцы. Сломив сопротивление гитлеровцев, наши части, продвигающиеся вдоль побережья Балтийского моря, заняли опорный пункт Рантау. Войска, наступающие в лесистой местности вдоль северного побережья залива Фриш Гаф, преодолевают сильное огневое сопротивление немцев, а также многочисленные минированные лесные завалы. Советские части ворвались на улицы крупного населенного пункта Гросс Хайдекрут и после ожесточённого боя овладели им. За день боёв наши войска истребили свыше 6 тысяч немецких солдат и офицеров. Уничтожено 36 немецких танков и самоходных орудий, 180 толевых орудий и около 600 автомашин.</w:t>
      </w:r>
    </w:p>
    <w:p w14:paraId="668CB4D9" w14:textId="77777777" w:rsidR="003D47C5" w:rsidRPr="00F90EAE" w:rsidRDefault="003D47C5" w:rsidP="00F90EAE">
      <w:pPr>
        <w:jc w:val="both"/>
        <w:rPr>
          <w:color w:val="000000" w:themeColor="text1"/>
          <w:sz w:val="16"/>
          <w:szCs w:val="16"/>
        </w:rPr>
      </w:pPr>
      <w:r w:rsidRPr="00F90EAE">
        <w:rPr>
          <w:color w:val="000000" w:themeColor="text1"/>
          <w:sz w:val="16"/>
          <w:szCs w:val="16"/>
        </w:rPr>
        <w:t>Наша авиация наносила массированные удары по войскам противника, уничтожая его живую силу и технику. В воздушных боях за день сбито 32 немецких истребителя. Кроме того, на аэродромах на Земландском полуострове уничтожен 31 самолёт противника.</w:t>
      </w:r>
    </w:p>
    <w:p w14:paraId="3F02DD32" w14:textId="77777777" w:rsidR="003D47C5" w:rsidRPr="00F90EAE" w:rsidRDefault="003D47C5" w:rsidP="00F90EAE">
      <w:pPr>
        <w:jc w:val="both"/>
        <w:rPr>
          <w:color w:val="000000" w:themeColor="text1"/>
          <w:sz w:val="16"/>
          <w:szCs w:val="16"/>
        </w:rPr>
      </w:pPr>
      <w:r w:rsidRPr="00F90EAE">
        <w:rPr>
          <w:color w:val="000000" w:themeColor="text1"/>
          <w:sz w:val="16"/>
          <w:szCs w:val="16"/>
        </w:rPr>
        <w:t>Севернее и северо-восточнее Вены войска 2-го Украинского фронта продолжали наступление. В последних боях в этом районе противник понёс тяжёлые потери и спешно подтягивает свежие силы. Немцы бросили в бой три танковых дивизии и пытаются всеми средствами не допустить дальнейшего продвижения наших войск. Советские части отбили свыше десяти вражеских контратак. На одном участке окружён и разгромлен полк пехоты противника. В течение дня подбито и сожжено более 30 немецких танков и самоходных орудий. Продвигаясь вперёд, наши войска подошли к Цистерсдорфу—нефтяному району Австрии. Гитлеровцы выбиты из посёлка Энцеральд, находящегося в шести километрах восточнее города Корнейбург. Захвачены большие трофеи и взято в плен до 300 немецких солдат и офицеров.</w:t>
      </w:r>
    </w:p>
    <w:p w14:paraId="6BECA45F" w14:textId="77777777" w:rsidR="003D47C5" w:rsidRPr="00F90EAE" w:rsidRDefault="003D47C5" w:rsidP="00F90EAE">
      <w:pPr>
        <w:jc w:val="both"/>
        <w:rPr>
          <w:color w:val="000000" w:themeColor="text1"/>
          <w:sz w:val="16"/>
          <w:szCs w:val="16"/>
        </w:rPr>
      </w:pPr>
      <w:r w:rsidRPr="00F90EAE">
        <w:rPr>
          <w:color w:val="000000" w:themeColor="text1"/>
          <w:sz w:val="16"/>
          <w:szCs w:val="16"/>
        </w:rPr>
        <w:t>Западнее Вены войска 3-го Украинского фронта, действующие в горно-лесистой местности, продолжали наступление. Сломив сопротивление противника, советские части продвинулись вперёд на 20 километров и с хода переправились через реку Трайзен. В результате упорных боёв занят город Герцогенбург, расположенный на западном берегу реки. Немцы также выбиты из сильно укреплённого опорного пункта Бохаймкирхен, находящегося в 10 километрах от города Санкт-Пельтен.</w:t>
      </w:r>
    </w:p>
    <w:p w14:paraId="706ACF36" w14:textId="77777777" w:rsidR="003D47C5" w:rsidRPr="00F90EAE" w:rsidRDefault="003D47C5" w:rsidP="00F90EAE">
      <w:pPr>
        <w:jc w:val="both"/>
        <w:rPr>
          <w:color w:val="000000" w:themeColor="text1"/>
          <w:sz w:val="16"/>
          <w:szCs w:val="16"/>
        </w:rPr>
      </w:pPr>
      <w:r w:rsidRPr="00F90EAE">
        <w:rPr>
          <w:color w:val="000000" w:themeColor="text1"/>
          <w:sz w:val="16"/>
          <w:szCs w:val="16"/>
        </w:rPr>
        <w:t>Советские воины, участвовавшие в боях за освобождение Вены от немецко-фашистских захватчиков, сражались героически. Орудийный расчёт сержанта Моклякова в одном бою уничтожил немецкий танк, бронетранспортёр, зенитную пушку, пулемёт и большую группу гитлеровцев. Гвардии рядовой Шарев гранатой подорвал танк и уничтожил выскочивших из него немецких танкистов. В тот же день т. Шарев в уличной схватке истребил ещё пять немцев. Гвардии младший лейтенант Осиковский с группой бойцов дворами проник к гостинице, в которой находились немецкие офицеры. Наши бойцы гранатами и огнём из автоматов уничтожили 10 офицеров противника. Шесть лётчиков-истребителей под командованием Героя Советского Союза капитана Меренкова вступили в бой с 8 немецкими истребителями. Первой же очередью т. Меренков сбил один вражеский самолёт. Капитан Лозовский, старший лейтенант Михайлов и старший лейтенант Миронов также уничтожили по одному самолёту противника. Наши лётчики без потерь вернулись на свой аэродром.» (15099).</w:t>
      </w:r>
    </w:p>
    <w:p w14:paraId="4C9C50D0" w14:textId="77777777" w:rsidR="003D47C5" w:rsidRPr="00F90EAE" w:rsidRDefault="003D47C5" w:rsidP="00F90EAE">
      <w:pPr>
        <w:jc w:val="both"/>
        <w:rPr>
          <w:color w:val="000000" w:themeColor="text1"/>
          <w:sz w:val="16"/>
          <w:szCs w:val="16"/>
        </w:rPr>
      </w:pPr>
    </w:p>
    <w:p w14:paraId="23D521B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14 апреля 1945 108 полк перелетел на полевой аэродром Охельхермсдорф (район Грюнберг, д. Кульпинау), где находился до 22 апреля. Аэродром представлял собой укатанную пашню с песчаной почвой (1000^300 м). Аэродром пыльный, что затрудняло работу и приводило к отказам материальной части моторов. На аэродроме одновременно базировался 109 гшап на самолетах Ил-2 с АМ-38 ф.</w:t>
      </w:r>
    </w:p>
    <w:p w14:paraId="427A4CE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период с 23 апреля по 20 мая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68E43BD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16D77FD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 итогам перелета летчики отметили «плохой обзор вперед при рулежке и в полете в сложных метеоусловиях (снег, дождь)/./,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6451314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19DD4605"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w:t>
      </w:r>
      <w:r w:rsidRPr="00F90EAE">
        <w:rPr>
          <w:rStyle w:val="107"/>
          <w:rFonts w:eastAsiaTheme="minorHAnsi"/>
          <w:color w:val="000000" w:themeColor="text1"/>
          <w:sz w:val="16"/>
          <w:szCs w:val="16"/>
        </w:rPr>
        <w:lastRenderedPageBreak/>
        <w:t>вентиляции неудобное (примитивное). В кабине было душно и, главное, жарко. Когда температура наружного воздуха поднялась выше +10-12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температура в кабинах летчика и стрелка достигала +40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xml:space="preserve"> и выше.</w:t>
      </w:r>
    </w:p>
    <w:p w14:paraId="58D3E8A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54907F3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466E590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25AEDF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4566DC1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1616384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6D7987B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6A580005"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4D05B4E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Система запуска моторов не обеспечивала повышенного до 0,4-0,5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давления бензина перед карбюратором, что сильно затрудняло запуск мотора.</w:t>
      </w:r>
    </w:p>
    <w:p w14:paraId="6EFAE4A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2A21C9F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6D4E85C3"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786E730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4040215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774D122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62BE376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3661927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583BA8D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3C9AF0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6B4D693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13CAB84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630D40E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0E7FE37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5B4533C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08DF347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75EC089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7B12DA3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1D49EA3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37AAF40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3461A02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204963D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3A88E68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30FFDF2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w:t>
      </w:r>
      <w:r w:rsidRPr="00F90EAE">
        <w:rPr>
          <w:rStyle w:val="107"/>
          <w:rFonts w:eastAsiaTheme="minorHAnsi"/>
          <w:color w:val="000000" w:themeColor="text1"/>
          <w:sz w:val="16"/>
          <w:szCs w:val="16"/>
        </w:rPr>
        <w:lastRenderedPageBreak/>
        <w:t>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63215B9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1C2DFE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7C14A863"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3F8CC76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16CA10B0" w14:textId="77777777" w:rsidR="00356648" w:rsidRPr="00F90EAE" w:rsidRDefault="00356648" w:rsidP="00F90EAE">
      <w:pPr>
        <w:jc w:val="both"/>
        <w:rPr>
          <w:color w:val="000000" w:themeColor="text1"/>
          <w:sz w:val="16"/>
          <w:szCs w:val="16"/>
        </w:rPr>
      </w:pPr>
    </w:p>
    <w:p w14:paraId="60EED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группа из 8 Ил-2 3 чехословацкого шап приняла участие в первой боевой операции и в сопровождении 9 Ла-5ФН атаковала позиции артиллерии и скопления танков у деревни Olza. Эта операция была в рамках операции по наступлению на промышленный район Остравы. Во второй половине дня атаку повторили, но 2 машины были повреждены на старте и по целям работало только 7 Ил-2 (241,39).</w:t>
      </w:r>
    </w:p>
    <w:p w14:paraId="469756B1" w14:textId="77777777" w:rsidR="00665165" w:rsidRPr="00F90EAE" w:rsidRDefault="00665165" w:rsidP="00F90EAE">
      <w:pPr>
        <w:autoSpaceDE w:val="0"/>
        <w:autoSpaceDN w:val="0"/>
        <w:adjustRightInd w:val="0"/>
        <w:jc w:val="both"/>
        <w:rPr>
          <w:color w:val="000000" w:themeColor="text1"/>
          <w:sz w:val="16"/>
          <w:szCs w:val="16"/>
        </w:rPr>
      </w:pPr>
    </w:p>
    <w:p w14:paraId="36E58C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14 апреля 1945 включительно лет</w:t>
      </w:r>
      <w:r w:rsidRPr="00F90EAE">
        <w:rPr>
          <w:color w:val="000000" w:themeColor="text1"/>
          <w:sz w:val="16"/>
          <w:szCs w:val="16"/>
        </w:rPr>
        <w:softHyphen/>
        <w:t>ный состав571-го гшап занимался наземной подго</w:t>
      </w:r>
      <w:r w:rsidRPr="00F90EAE">
        <w:rPr>
          <w:color w:val="000000" w:themeColor="text1"/>
          <w:sz w:val="16"/>
          <w:szCs w:val="16"/>
        </w:rPr>
        <w:softHyphen/>
        <w:t>товкой и учебно-тренировочными поле</w:t>
      </w:r>
      <w:r w:rsidRPr="00F90EAE">
        <w:rPr>
          <w:color w:val="000000" w:themeColor="text1"/>
          <w:sz w:val="16"/>
          <w:szCs w:val="16"/>
        </w:rPr>
        <w:softHyphen/>
        <w:t>тами. При этом каждый летчик выполнил по одному полету на полигон на бомбо</w:t>
      </w:r>
      <w:r w:rsidRPr="00F90EAE">
        <w:rPr>
          <w:color w:val="000000" w:themeColor="text1"/>
          <w:sz w:val="16"/>
          <w:szCs w:val="16"/>
        </w:rPr>
        <w:softHyphen/>
        <w:t>метание и стрельбу по наземной цели. На этой стадии вышли из строя три штурмовика (в том числе два - после вынужденных посадок) (10681).</w:t>
      </w:r>
    </w:p>
    <w:p w14:paraId="1F589A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30BE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1945 включительно летный состав 571-го штурмового полка боевой работы не вел и занимался наземной подготовкой и учебно-тренировочными полетами на самолете Ил-10 по отработке упраж</w:t>
      </w:r>
      <w:r w:rsidRPr="00F90EAE">
        <w:rPr>
          <w:color w:val="000000" w:themeColor="text1"/>
          <w:sz w:val="16"/>
          <w:szCs w:val="16"/>
        </w:rPr>
        <w:softHyphen/>
        <w:t>нений согласно КБПША-44. В общей сложности было выполнено 133 учеб</w:t>
      </w:r>
      <w:r w:rsidRPr="00F90EAE">
        <w:rPr>
          <w:color w:val="000000" w:themeColor="text1"/>
          <w:sz w:val="16"/>
          <w:szCs w:val="16"/>
        </w:rPr>
        <w:softHyphen/>
        <w:t>но-тренировочных полета с налетом 84 часа 23 минуты, в том числе на бое</w:t>
      </w:r>
      <w:r w:rsidRPr="00F90EAE">
        <w:rPr>
          <w:color w:val="000000" w:themeColor="text1"/>
          <w:sz w:val="16"/>
          <w:szCs w:val="16"/>
        </w:rPr>
        <w:softHyphen/>
        <w:t>вое применение 57 полетов с налетом 25 часов 39 минут. При этом каждый летчик полка выполнил по одному по</w:t>
      </w:r>
      <w:r w:rsidRPr="00F90EAE">
        <w:rPr>
          <w:color w:val="000000" w:themeColor="text1"/>
          <w:sz w:val="16"/>
          <w:szCs w:val="16"/>
        </w:rPr>
        <w:softHyphen/>
        <w:t>лету на полигон на бомбометание и стрельбу по^наземной цели. Средний балл выполнения задания составил 3,2. За это время произошло три лет</w:t>
      </w:r>
      <w:r w:rsidRPr="00F90EAE">
        <w:rPr>
          <w:color w:val="000000" w:themeColor="text1"/>
          <w:sz w:val="16"/>
          <w:szCs w:val="16"/>
        </w:rPr>
        <w:softHyphen/>
        <w:t>ных происшествия. На самолете Ил-10 (зав. № 1893303) мл. л-та Волкова при выполнении посадки 11 апреля «лоп</w:t>
      </w:r>
      <w:r w:rsidRPr="00F90EAE">
        <w:rPr>
          <w:color w:val="000000" w:themeColor="text1"/>
          <w:sz w:val="16"/>
          <w:szCs w:val="16"/>
        </w:rPr>
        <w:softHyphen/>
        <w:t>нули» подкосы шасси. В результате погнут винт, снесены шасси, полома</w:t>
      </w:r>
      <w:r w:rsidRPr="00F90EAE">
        <w:rPr>
          <w:color w:val="000000" w:themeColor="text1"/>
          <w:sz w:val="16"/>
          <w:szCs w:val="16"/>
        </w:rPr>
        <w:softHyphen/>
        <w:t>ны всасывающая труба и створки бом-болюков, повреждена обшивка цент</w:t>
      </w:r>
      <w:r w:rsidRPr="00F90EAE">
        <w:rPr>
          <w:color w:val="000000" w:themeColor="text1"/>
          <w:sz w:val="16"/>
          <w:szCs w:val="16"/>
        </w:rPr>
        <w:softHyphen/>
        <w:t>роплана и правая консоль крыла. На Ил-10 (зав. № 1890304) мл. л-та Абадзе 13 апреля в воздухе оборвался шатун мотора. Летчик сел на вынужденную посадку в районе дер. Грусс. В этот же день ст. л-т Урайкин при полете по маршруту, выработав раньше срока горючее, произвел вы</w:t>
      </w:r>
      <w:r w:rsidRPr="00F90EAE">
        <w:rPr>
          <w:color w:val="000000" w:themeColor="text1"/>
          <w:sz w:val="16"/>
          <w:szCs w:val="16"/>
        </w:rPr>
        <w:softHyphen/>
        <w:t>нужденную посадку в районе дер. Нейездорф. «Десятка» была сдана в ПАРМ для ремонта и замены мотора (11157).</w:t>
      </w:r>
    </w:p>
    <w:p w14:paraId="5A0513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FC88F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вышло Постановление ГКО № 8140 Вопросы ВВС КА. РГАНИР, Фонд ГКО, д. 400, лл. 80 (11012).</w:t>
      </w:r>
    </w:p>
    <w:p w14:paraId="1C436CF3" w14:textId="77777777" w:rsidR="00665165" w:rsidRPr="00F90EAE" w:rsidRDefault="00665165" w:rsidP="00F90EAE">
      <w:pPr>
        <w:autoSpaceDE w:val="0"/>
        <w:autoSpaceDN w:val="0"/>
        <w:adjustRightInd w:val="0"/>
        <w:jc w:val="both"/>
        <w:rPr>
          <w:color w:val="000000" w:themeColor="text1"/>
          <w:sz w:val="16"/>
          <w:szCs w:val="16"/>
        </w:rPr>
      </w:pPr>
    </w:p>
    <w:p w14:paraId="1F9DEB18" w14:textId="77777777" w:rsidR="007D191E" w:rsidRPr="00F90EAE" w:rsidRDefault="007D191E" w:rsidP="00F90EAE">
      <w:pPr>
        <w:jc w:val="both"/>
        <w:rPr>
          <w:color w:val="0070C0"/>
          <w:sz w:val="16"/>
          <w:szCs w:val="16"/>
        </w:rPr>
      </w:pPr>
      <w:r w:rsidRPr="00F90EAE">
        <w:rPr>
          <w:color w:val="0070C0"/>
          <w:sz w:val="16"/>
          <w:szCs w:val="16"/>
        </w:rPr>
        <w:t>14 апреля 1945 началась разведка боем, через два дня переросшая в наступление по всему фронту. В этот период 3-му отряду 6-го ОВДААН отводи</w:t>
      </w:r>
      <w:r w:rsidRPr="00F90EAE">
        <w:rPr>
          <w:color w:val="0070C0"/>
          <w:sz w:val="16"/>
          <w:szCs w:val="16"/>
        </w:rPr>
        <w:softHyphen/>
        <w:t>лась роль одного из основных средств воздушной разведки, тогда как 1-й и 2-й воздухоплаватель</w:t>
      </w:r>
      <w:r w:rsidRPr="00F90EAE">
        <w:rPr>
          <w:color w:val="0070C0"/>
          <w:sz w:val="16"/>
          <w:szCs w:val="16"/>
        </w:rPr>
        <w:softHyphen/>
        <w:t>ные отряды не должны были себя обнаруживать. Вместе с войсками 8-й гвардейской армии диви</w:t>
      </w:r>
      <w:r w:rsidRPr="00F90EAE">
        <w:rPr>
          <w:color w:val="0070C0"/>
          <w:sz w:val="16"/>
          <w:szCs w:val="16"/>
        </w:rPr>
        <w:softHyphen/>
        <w:t>зион вошёл в южные пригороды Берлина. Пер</w:t>
      </w:r>
      <w:r w:rsidRPr="00F90EAE">
        <w:rPr>
          <w:color w:val="0070C0"/>
          <w:sz w:val="16"/>
          <w:szCs w:val="16"/>
        </w:rPr>
        <w:softHyphen/>
        <w:t>вым вступил в предместье Берлина Фридрихсха- ген 2-й отряд 6-го ОВДААН. Под руководством старшего лейтенанта Аглиуллина расчёт быстро оборудовал постоянный бивак в расположенном в низине парке Карнер, бетонные стены которо</w:t>
      </w:r>
      <w:r w:rsidRPr="00F90EAE">
        <w:rPr>
          <w:color w:val="0070C0"/>
          <w:sz w:val="16"/>
          <w:szCs w:val="16"/>
        </w:rPr>
        <w:softHyphen/>
        <w:t xml:space="preserve">го прикрывали аэростат от осколков (20120). </w:t>
      </w:r>
    </w:p>
    <w:p w14:paraId="0850A9C6" w14:textId="77777777" w:rsidR="007D191E" w:rsidRPr="00F90EAE" w:rsidRDefault="007D191E" w:rsidP="00F90EAE">
      <w:pPr>
        <w:jc w:val="both"/>
        <w:rPr>
          <w:color w:val="0070C0"/>
          <w:sz w:val="16"/>
          <w:szCs w:val="16"/>
        </w:rPr>
      </w:pPr>
    </w:p>
    <w:p w14:paraId="61B7561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16E391F" w14:textId="77777777" w:rsidR="00665165" w:rsidRPr="00F90EAE" w:rsidRDefault="00665165" w:rsidP="00F90EAE">
      <w:pPr>
        <w:autoSpaceDE w:val="0"/>
        <w:autoSpaceDN w:val="0"/>
        <w:adjustRightInd w:val="0"/>
        <w:jc w:val="both"/>
        <w:rPr>
          <w:iCs/>
          <w:color w:val="000000" w:themeColor="text1"/>
          <w:sz w:val="16"/>
          <w:szCs w:val="16"/>
        </w:rPr>
      </w:pPr>
    </w:p>
    <w:p w14:paraId="0C923DC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апреля 1945 основан Московский ботанический сад (4962).</w:t>
      </w:r>
    </w:p>
    <w:p w14:paraId="61586A6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F803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в Правде появилась статья Александрова о том, что Эренбург упрощает (2070,233).</w:t>
      </w:r>
    </w:p>
    <w:p w14:paraId="209EFA44" w14:textId="77777777" w:rsidR="00665165" w:rsidRPr="00F90EAE" w:rsidRDefault="00665165" w:rsidP="00F90EAE">
      <w:pPr>
        <w:autoSpaceDE w:val="0"/>
        <w:autoSpaceDN w:val="0"/>
        <w:adjustRightInd w:val="0"/>
        <w:jc w:val="both"/>
        <w:rPr>
          <w:color w:val="000000" w:themeColor="text1"/>
          <w:sz w:val="16"/>
          <w:szCs w:val="16"/>
        </w:rPr>
      </w:pPr>
    </w:p>
    <w:p w14:paraId="0DF3D48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E2D0001" w14:textId="77777777" w:rsidR="00665165" w:rsidRPr="00F90EAE" w:rsidRDefault="00665165" w:rsidP="00F90EAE">
      <w:pPr>
        <w:autoSpaceDE w:val="0"/>
        <w:autoSpaceDN w:val="0"/>
        <w:adjustRightInd w:val="0"/>
        <w:jc w:val="both"/>
        <w:rPr>
          <w:iCs/>
          <w:color w:val="000000" w:themeColor="text1"/>
          <w:sz w:val="16"/>
          <w:szCs w:val="16"/>
        </w:rPr>
      </w:pPr>
    </w:p>
    <w:p w14:paraId="7F6612B5"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апреля в 1945 году в Москве объявлен траур по случаю смерти президента США Ф.Д.Рузвельта (15099).</w:t>
      </w:r>
    </w:p>
    <w:p w14:paraId="09E89C9F" w14:textId="77777777" w:rsidR="003D47C5" w:rsidRPr="00F90EAE" w:rsidRDefault="003D47C5" w:rsidP="00F90EAE">
      <w:pPr>
        <w:jc w:val="both"/>
        <w:rPr>
          <w:color w:val="000000" w:themeColor="text1"/>
          <w:sz w:val="16"/>
          <w:szCs w:val="16"/>
        </w:rPr>
      </w:pPr>
    </w:p>
    <w:p w14:paraId="3BCD44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Трумэн подготовил проект письма Сталину со списком польских участников политических консультаций. Черчиль, внеся небольшие коррективы, немедленно одобрил его. В это время Москва заявила о своем намерении подписать договор с варшавским правительством (3871).</w:t>
      </w:r>
    </w:p>
    <w:p w14:paraId="4CD41E92" w14:textId="77777777" w:rsidR="00665165" w:rsidRPr="00F90EAE" w:rsidRDefault="00665165" w:rsidP="00F90EAE">
      <w:pPr>
        <w:autoSpaceDE w:val="0"/>
        <w:autoSpaceDN w:val="0"/>
        <w:adjustRightInd w:val="0"/>
        <w:jc w:val="both"/>
        <w:rPr>
          <w:color w:val="000000" w:themeColor="text1"/>
          <w:sz w:val="16"/>
          <w:szCs w:val="16"/>
        </w:rPr>
      </w:pPr>
    </w:p>
    <w:p w14:paraId="00A59B3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14th, 1945: In the West, the US First and Ninth Armies continue to break up the forces of Heeresgruppe B (Model) trapped in the Ruhr pocket. The British Second Army reaches the outskirts of Bremen, while the US Third Army captures Gera and Bayreuth. The Canadian First Army (Crerar) assumes military control of the Netherlands where German forces of Festung Holland (von Blaskowitz) are now trapped in the Atlantikwall fortifications along the coastline (3819).</w:t>
      </w:r>
    </w:p>
    <w:p w14:paraId="6C3F333D" w14:textId="77777777" w:rsidR="00665165" w:rsidRPr="00F90EAE" w:rsidRDefault="00665165" w:rsidP="00F90EAE">
      <w:pPr>
        <w:autoSpaceDE w:val="0"/>
        <w:autoSpaceDN w:val="0"/>
        <w:adjustRightInd w:val="0"/>
        <w:jc w:val="both"/>
        <w:rPr>
          <w:color w:val="000000" w:themeColor="text1"/>
          <w:sz w:val="16"/>
          <w:szCs w:val="16"/>
          <w:lang w:val="en-US"/>
        </w:rPr>
      </w:pPr>
    </w:p>
    <w:p w14:paraId="4F9D8AD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9E46432" w14:textId="77777777" w:rsidR="00665165" w:rsidRPr="00F90EAE" w:rsidRDefault="00665165" w:rsidP="00F90EAE">
      <w:pPr>
        <w:autoSpaceDE w:val="0"/>
        <w:autoSpaceDN w:val="0"/>
        <w:adjustRightInd w:val="0"/>
        <w:jc w:val="both"/>
        <w:rPr>
          <w:iCs/>
          <w:color w:val="000000" w:themeColor="text1"/>
          <w:sz w:val="16"/>
          <w:szCs w:val="16"/>
        </w:rPr>
      </w:pPr>
    </w:p>
    <w:p w14:paraId="79E4C94C"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апреля в 1945 году последний плановый рейс совершил пассажирский лайнер «Fw.200b-2» «Condor» («D-ASHH») «Люфтганзы» по маршруту Барселона-Берлин (15099).</w:t>
      </w:r>
    </w:p>
    <w:p w14:paraId="590B6178" w14:textId="77777777" w:rsidR="003D47C5" w:rsidRPr="00F90EAE" w:rsidRDefault="003D47C5" w:rsidP="00F90EAE">
      <w:pPr>
        <w:jc w:val="both"/>
        <w:rPr>
          <w:color w:val="000000" w:themeColor="text1"/>
          <w:sz w:val="16"/>
          <w:szCs w:val="16"/>
        </w:rPr>
      </w:pPr>
    </w:p>
    <w:p w14:paraId="7985213E" w14:textId="77777777" w:rsidR="007D191E" w:rsidRPr="00F90EAE" w:rsidRDefault="007D191E" w:rsidP="00F90EAE">
      <w:pPr>
        <w:jc w:val="both"/>
        <w:rPr>
          <w:color w:val="0070C0"/>
          <w:sz w:val="16"/>
          <w:szCs w:val="16"/>
        </w:rPr>
      </w:pPr>
      <w:r w:rsidRPr="00F90EAE">
        <w:rPr>
          <w:color w:val="0070C0"/>
          <w:sz w:val="16"/>
          <w:szCs w:val="16"/>
        </w:rPr>
        <w:t>14 апреля 1945 - Последний плановый рейс совершил пассажирский лайнер Fw.200b-2 Condor (D-ASHH) Люфтганзы по маршруту Барселона-Берлин (22535).</w:t>
      </w:r>
    </w:p>
    <w:p w14:paraId="035947F4" w14:textId="77777777" w:rsidR="007D191E" w:rsidRPr="00F90EAE" w:rsidRDefault="007D191E" w:rsidP="00F90EAE">
      <w:pPr>
        <w:jc w:val="both"/>
        <w:rPr>
          <w:color w:val="0070C0"/>
          <w:sz w:val="16"/>
          <w:szCs w:val="16"/>
        </w:rPr>
      </w:pPr>
    </w:p>
    <w:p w14:paraId="63B4B69F" w14:textId="77777777" w:rsidR="007D191E" w:rsidRPr="00F90EAE" w:rsidRDefault="007D191E" w:rsidP="00F90EAE">
      <w:pPr>
        <w:jc w:val="both"/>
        <w:rPr>
          <w:color w:val="0070C0"/>
          <w:sz w:val="16"/>
          <w:szCs w:val="16"/>
        </w:rPr>
      </w:pPr>
      <w:r w:rsidRPr="00F90EAE">
        <w:rPr>
          <w:color w:val="0070C0"/>
          <w:sz w:val="16"/>
          <w:szCs w:val="16"/>
        </w:rPr>
        <w:t>14–15 апреля (ночь) 1945 Авро Ланкастер во время ночного полета против Потсдама становится последним британским бомбардировщиком, сбитым немецким ночным истребителем во время Второй мировой войны (20371).</w:t>
      </w:r>
    </w:p>
    <w:p w14:paraId="26CEDA10" w14:textId="77777777" w:rsidR="007D191E" w:rsidRPr="00F90EAE" w:rsidRDefault="007D191E" w:rsidP="00F90EAE">
      <w:pPr>
        <w:jc w:val="both"/>
        <w:rPr>
          <w:color w:val="0070C0"/>
          <w:sz w:val="16"/>
          <w:szCs w:val="16"/>
        </w:rPr>
      </w:pPr>
    </w:p>
    <w:p w14:paraId="24A711FC"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апреля в 1945 году (14-15 апреля 1945 г.) авиация союзников подвергла разрушительной бомбардировке город Потсдам на территории фашистской Германии (15099).</w:t>
      </w:r>
    </w:p>
    <w:p w14:paraId="3869BEC6" w14:textId="77777777" w:rsidR="003D47C5" w:rsidRPr="00F90EAE" w:rsidRDefault="003D47C5" w:rsidP="00F90EAE">
      <w:pPr>
        <w:jc w:val="both"/>
        <w:rPr>
          <w:color w:val="000000" w:themeColor="text1"/>
          <w:sz w:val="16"/>
          <w:szCs w:val="16"/>
        </w:rPr>
      </w:pPr>
    </w:p>
    <w:p w14:paraId="4BC87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британские части освободили концлагерь Бельзен. Груды трупов пришлось хоронить бульдозерами (2248,5).</w:t>
      </w:r>
    </w:p>
    <w:p w14:paraId="658A6E8D" w14:textId="77777777" w:rsidR="00665165" w:rsidRPr="00F90EAE" w:rsidRDefault="00665165" w:rsidP="00F90EAE">
      <w:pPr>
        <w:autoSpaceDE w:val="0"/>
        <w:autoSpaceDN w:val="0"/>
        <w:adjustRightInd w:val="0"/>
        <w:jc w:val="both"/>
        <w:rPr>
          <w:color w:val="000000" w:themeColor="text1"/>
          <w:sz w:val="16"/>
          <w:szCs w:val="16"/>
        </w:rPr>
      </w:pPr>
    </w:p>
    <w:p w14:paraId="0ABFF8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1 и 9А США продолжили уничтожение сил Группы В (Модель), окруженных в Рурском котле. 3А США заняла Геру и Байрот. Канадская 1А установила военный контроль над Голландией, а немецкие войска были изолированы сооружениях Атлантического вала на побережье (3819).</w:t>
      </w:r>
    </w:p>
    <w:p w14:paraId="019DF855" w14:textId="77777777" w:rsidR="00665165" w:rsidRPr="00F90EAE" w:rsidRDefault="00665165" w:rsidP="00F90EAE">
      <w:pPr>
        <w:autoSpaceDE w:val="0"/>
        <w:autoSpaceDN w:val="0"/>
        <w:adjustRightInd w:val="0"/>
        <w:jc w:val="both"/>
        <w:rPr>
          <w:color w:val="000000" w:themeColor="text1"/>
          <w:sz w:val="16"/>
          <w:szCs w:val="16"/>
        </w:rPr>
      </w:pPr>
    </w:p>
    <w:p w14:paraId="244C842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апреля 1945 5-я американская армия начала наступление на итальянский город Болонью, обороняемый 10-й немецкой армией</w:t>
      </w:r>
    </w:p>
    <w:p w14:paraId="2676E3F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A14ACF3" w14:textId="77777777" w:rsidR="003D47C5" w:rsidRPr="00F90EAE" w:rsidRDefault="003D47C5" w:rsidP="00F90EAE">
      <w:pPr>
        <w:jc w:val="both"/>
        <w:rPr>
          <w:color w:val="000000" w:themeColor="text1"/>
          <w:sz w:val="16"/>
          <w:szCs w:val="16"/>
        </w:rPr>
      </w:pPr>
      <w:r w:rsidRPr="00F90EAE">
        <w:rPr>
          <w:color w:val="000000" w:themeColor="text1"/>
          <w:sz w:val="16"/>
          <w:szCs w:val="16"/>
        </w:rPr>
        <w:t>14 апреля в 1945 году 5-я американская армия начала наступление на итальянский город Болонью, обороняемый 10-й немецкой армией (15099).</w:t>
      </w:r>
    </w:p>
    <w:p w14:paraId="463BAE2C" w14:textId="77777777" w:rsidR="003D47C5" w:rsidRPr="00F90EAE" w:rsidRDefault="003D47C5" w:rsidP="00F90EAE">
      <w:pPr>
        <w:jc w:val="both"/>
        <w:rPr>
          <w:color w:val="000000" w:themeColor="text1"/>
          <w:sz w:val="16"/>
          <w:szCs w:val="16"/>
        </w:rPr>
      </w:pPr>
    </w:p>
    <w:p w14:paraId="7A959F8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14 1945 The 8th Infantry Division from the north and 79th Infantry Division from the south link up on the Ruhr, closing the pocket around Model's Army Group B (1242).</w:t>
      </w:r>
    </w:p>
    <w:p w14:paraId="591509AE" w14:textId="77777777" w:rsidR="00665165" w:rsidRPr="00F90EAE" w:rsidRDefault="00665165" w:rsidP="00F90EAE">
      <w:pPr>
        <w:autoSpaceDE w:val="0"/>
        <w:autoSpaceDN w:val="0"/>
        <w:adjustRightInd w:val="0"/>
        <w:jc w:val="both"/>
        <w:rPr>
          <w:color w:val="000000" w:themeColor="text1"/>
          <w:sz w:val="16"/>
          <w:szCs w:val="16"/>
          <w:lang w:val="en-US"/>
        </w:rPr>
      </w:pPr>
    </w:p>
    <w:p w14:paraId="17212EC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14 1945 Model dissolves Army Group B, commits suicide in the woods (1242).</w:t>
      </w:r>
    </w:p>
    <w:p w14:paraId="6F0B7415" w14:textId="77777777" w:rsidR="00665165" w:rsidRPr="00F90EAE" w:rsidRDefault="00665165" w:rsidP="00F90EAE">
      <w:pPr>
        <w:autoSpaceDE w:val="0"/>
        <w:autoSpaceDN w:val="0"/>
        <w:adjustRightInd w:val="0"/>
        <w:jc w:val="both"/>
        <w:rPr>
          <w:color w:val="000000" w:themeColor="text1"/>
          <w:sz w:val="16"/>
          <w:szCs w:val="16"/>
          <w:lang w:val="en-US"/>
        </w:rPr>
      </w:pPr>
    </w:p>
    <w:p w14:paraId="25713E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после соединения двух американских дивизий и окружения группы армий Б Модель застрелился (1242).</w:t>
      </w:r>
    </w:p>
    <w:p w14:paraId="04869503" w14:textId="77777777" w:rsidR="00665165" w:rsidRPr="00F90EAE" w:rsidRDefault="00665165" w:rsidP="00F90EAE">
      <w:pPr>
        <w:autoSpaceDE w:val="0"/>
        <w:autoSpaceDN w:val="0"/>
        <w:adjustRightInd w:val="0"/>
        <w:jc w:val="both"/>
        <w:rPr>
          <w:color w:val="000000" w:themeColor="text1"/>
          <w:sz w:val="16"/>
          <w:szCs w:val="16"/>
        </w:rPr>
      </w:pPr>
    </w:p>
    <w:p w14:paraId="3A0F41F2" w14:textId="77777777" w:rsidR="003D47C5" w:rsidRPr="00F90EAE" w:rsidRDefault="003D47C5" w:rsidP="00F90EAE">
      <w:pPr>
        <w:jc w:val="both"/>
        <w:rPr>
          <w:color w:val="000000" w:themeColor="text1"/>
          <w:sz w:val="16"/>
          <w:szCs w:val="16"/>
        </w:rPr>
      </w:pPr>
      <w:r w:rsidRPr="00F90EAE">
        <w:rPr>
          <w:color w:val="000000" w:themeColor="text1"/>
          <w:sz w:val="16"/>
          <w:szCs w:val="16"/>
        </w:rPr>
        <w:t xml:space="preserve">14 апреля в 1945 году самая, пожалуй, дурацкая гибель немецкой подводной лодки прославленной серии VII – «U-235» погибла в проливе Каттегат следующим образом: следуя в подводном положении под РДП за «U-1272», обнаружила немецкий же конвой, идущий из Осло в Киль, навстречу, в составе 2-х транспортов в </w:t>
      </w:r>
      <w:r w:rsidRPr="00F90EAE">
        <w:rPr>
          <w:color w:val="000000" w:themeColor="text1"/>
          <w:sz w:val="16"/>
          <w:szCs w:val="16"/>
        </w:rPr>
        <w:lastRenderedPageBreak/>
        <w:t>охранении ЭМ "Фридрих Инн", ММ «Т-17» м канлодки «К-1». Головка "шнорхеля" (РДП) головной лодки была принята надводными немцами за след торпеды, со всеми вытекающими: объявлением тревоги и началом противолодочного поиска, что, впрочем, было лишним - видимо, желая облегчить опознавание себя силами охранения, «U-235» всплыла на поверхность. Но оказалась прямо перед носом «Т-17», и уклоняясь от тарана, не нашла ничего лучше, чем снова нырнуть. Естественно, командир «Т-17» капитан-лейтенант Лирман посчитал лодку вражеской и произвел атаку ГБ, которой оказалось достаточно - после сильного взрыва на поверхность повсплывали тела в серой форме немецких подводников. Весь экипаж погиб. Учитывая тот факт, что лодка, не сделавшая с момента постройки (1942) ни одного боевого похода, однажды уже утонула в гавани Киля после бомбежки американцев в 1943, но была поднята, можно сказать, что это был самый несчастный корабль Кригсмарине (15099).</w:t>
      </w:r>
    </w:p>
    <w:p w14:paraId="7661C10B" w14:textId="77777777" w:rsidR="003D47C5" w:rsidRPr="00F90EAE" w:rsidRDefault="003D47C5" w:rsidP="00F90EAE">
      <w:pPr>
        <w:jc w:val="both"/>
        <w:rPr>
          <w:color w:val="000000" w:themeColor="text1"/>
          <w:sz w:val="16"/>
          <w:szCs w:val="16"/>
        </w:rPr>
      </w:pPr>
    </w:p>
    <w:p w14:paraId="1F37C4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апреля 1945 американские бомбардировщики бомбили императорский дворец в Токио (4962).</w:t>
      </w:r>
    </w:p>
    <w:p w14:paraId="398A6A6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E1FBA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во время бомбардировки Токио В-29 был поврежден императорский дворец (2100).</w:t>
      </w:r>
    </w:p>
    <w:p w14:paraId="7234EC0A" w14:textId="77777777" w:rsidR="00665165" w:rsidRPr="00F90EAE" w:rsidRDefault="00665165" w:rsidP="00F90EAE">
      <w:pPr>
        <w:autoSpaceDE w:val="0"/>
        <w:autoSpaceDN w:val="0"/>
        <w:adjustRightInd w:val="0"/>
        <w:jc w:val="both"/>
        <w:rPr>
          <w:color w:val="000000" w:themeColor="text1"/>
          <w:sz w:val="16"/>
          <w:szCs w:val="16"/>
        </w:rPr>
      </w:pPr>
    </w:p>
    <w:p w14:paraId="73502A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апреля 1945 состоялось четвертое боевое применение японцами ракетного снаряда Ока, управляемого камикадзе. Было 7 носителей, повредили эсминец, но не ясно, Ока ли (2969,21).</w:t>
      </w:r>
    </w:p>
    <w:p w14:paraId="6570D0CE" w14:textId="77777777" w:rsidR="00665165" w:rsidRPr="00F90EAE" w:rsidRDefault="00665165" w:rsidP="00F90EAE">
      <w:pPr>
        <w:autoSpaceDE w:val="0"/>
        <w:autoSpaceDN w:val="0"/>
        <w:adjustRightInd w:val="0"/>
        <w:jc w:val="both"/>
        <w:rPr>
          <w:color w:val="000000" w:themeColor="text1"/>
          <w:sz w:val="16"/>
          <w:szCs w:val="16"/>
        </w:rPr>
      </w:pPr>
    </w:p>
    <w:p w14:paraId="340751A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7D4D701" w14:textId="77777777" w:rsidR="00665165" w:rsidRPr="00F90EAE" w:rsidRDefault="00665165" w:rsidP="00F90EAE">
      <w:pPr>
        <w:autoSpaceDE w:val="0"/>
        <w:autoSpaceDN w:val="0"/>
        <w:adjustRightInd w:val="0"/>
        <w:jc w:val="both"/>
        <w:rPr>
          <w:iCs/>
          <w:color w:val="000000" w:themeColor="text1"/>
          <w:sz w:val="16"/>
          <w:szCs w:val="16"/>
        </w:rPr>
      </w:pPr>
    </w:p>
    <w:p w14:paraId="5B48F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года зам. начальника ВВС ВМФ по тылу генерал-лейтенант интендантской службы Купреев писал письмо N 5/99887с зам. наркома Авиапрома Дементьеву.</w:t>
      </w:r>
    </w:p>
    <w:p w14:paraId="197567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ВВС КБФ принимают участие в боевых действиях два авиационных полка вооруженных самолетами Ил-10 и Як-9У, совершенно необеспеченных резервными моторами. До сих пор от авиапромышленности ВВС ВМФ не получали моторы АМ-42 и ВК-107А. Отсутствие резервных моторов исключает возможность восстановления самолетов с неисправными моторами.</w:t>
      </w:r>
    </w:p>
    <w:p w14:paraId="48093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распоряжения о выделении ВВС ВМФ в апреле авиамоторов:</w:t>
      </w:r>
    </w:p>
    <w:p w14:paraId="23FEA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АМ-42 - 10</w:t>
      </w:r>
    </w:p>
    <w:p w14:paraId="7B30C3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- 10</w:t>
      </w:r>
    </w:p>
    <w:p w14:paraId="18CF9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Ваше решение прошу сообщить (2595).</w:t>
      </w:r>
    </w:p>
    <w:p w14:paraId="6EA228F6" w14:textId="77777777" w:rsidR="00665165" w:rsidRPr="00F90EAE" w:rsidRDefault="00665165" w:rsidP="00F90EAE">
      <w:pPr>
        <w:autoSpaceDE w:val="0"/>
        <w:autoSpaceDN w:val="0"/>
        <w:adjustRightInd w:val="0"/>
        <w:jc w:val="both"/>
        <w:rPr>
          <w:color w:val="000000" w:themeColor="text1"/>
          <w:sz w:val="16"/>
          <w:szCs w:val="16"/>
        </w:rPr>
      </w:pPr>
    </w:p>
    <w:p w14:paraId="5E0A62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период с 15 апреля по 8 мая в 571-м шап 8-й воздушной армии «по причине производ</w:t>
      </w:r>
      <w:r w:rsidRPr="00F90EAE">
        <w:rPr>
          <w:color w:val="000000" w:themeColor="text1"/>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F90EAE">
        <w:rPr>
          <w:color w:val="000000" w:themeColor="text1"/>
          <w:sz w:val="16"/>
          <w:szCs w:val="16"/>
        </w:rPr>
        <w:softHyphen/>
        <w:t>ский и младшие лейтенанты Прищепа и Титов совершили вы</w:t>
      </w:r>
      <w:r w:rsidRPr="00F90EAE">
        <w:rPr>
          <w:color w:val="000000" w:themeColor="text1"/>
          <w:sz w:val="16"/>
          <w:szCs w:val="16"/>
        </w:rPr>
        <w:softHyphen/>
        <w:t>нужденные посадки вне аэродрома. Впоследствии их «десят</w:t>
      </w:r>
      <w:r w:rsidRPr="00F90EAE">
        <w:rPr>
          <w:color w:val="000000" w:themeColor="text1"/>
          <w:sz w:val="16"/>
          <w:szCs w:val="16"/>
        </w:rPr>
        <w:softHyphen/>
        <w:t>ки» (зав. №№ 1893203, 1890604 и 1892604) были списаны.</w:t>
      </w:r>
    </w:p>
    <w:p w14:paraId="4F6609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w:t>
      </w:r>
      <w:r w:rsidRPr="00F90EAE">
        <w:rPr>
          <w:color w:val="000000" w:themeColor="text1"/>
          <w:sz w:val="16"/>
          <w:szCs w:val="16"/>
        </w:rPr>
        <w:softHyphen/>
        <w:t>теля мотора. Аналогичный дефект был обнаружен и на мото</w:t>
      </w:r>
      <w:r w:rsidRPr="00F90EAE">
        <w:rPr>
          <w:color w:val="000000" w:themeColor="text1"/>
          <w:sz w:val="16"/>
          <w:szCs w:val="16"/>
        </w:rPr>
        <w:softHyphen/>
        <w:t>рах всех Ил-10, совершивших вынужденные посадки (11474,512).</w:t>
      </w:r>
    </w:p>
    <w:p w14:paraId="188E39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334021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апреля 1945 вышло Постановление ГКО № 8146 О перевооружении шести истребительных авиадивизий на самолеты Як-9 с 37 мм пушкой и одной авиадивизии на Як-9 с 45 мм пушкой. (7327, 92-93).</w:t>
      </w:r>
    </w:p>
    <w:p w14:paraId="1D41BDB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17211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5E525D" w14:textId="77777777" w:rsidR="00665165" w:rsidRPr="00F90EAE" w:rsidRDefault="00665165" w:rsidP="00F90EAE">
      <w:pPr>
        <w:autoSpaceDE w:val="0"/>
        <w:autoSpaceDN w:val="0"/>
        <w:adjustRightInd w:val="0"/>
        <w:jc w:val="both"/>
        <w:rPr>
          <w:iCs/>
          <w:color w:val="000000" w:themeColor="text1"/>
          <w:sz w:val="16"/>
          <w:szCs w:val="16"/>
        </w:rPr>
      </w:pPr>
    </w:p>
    <w:p w14:paraId="358AAB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вышло Постановление ГКО № 8141 О мероприятиях по обеспечению мазутом, автобензином и индустриальными маслами важнейших заводов Наркомбоеприпасов в апреле 1945 года. РГАНИР, Фонд ГКО, д. 400, лл. 81-83, 84 (11012).</w:t>
      </w:r>
    </w:p>
    <w:p w14:paraId="23DA89EF" w14:textId="77777777" w:rsidR="00665165" w:rsidRPr="00F90EAE" w:rsidRDefault="00665165" w:rsidP="00F90EAE">
      <w:pPr>
        <w:autoSpaceDE w:val="0"/>
        <w:autoSpaceDN w:val="0"/>
        <w:adjustRightInd w:val="0"/>
        <w:jc w:val="both"/>
        <w:rPr>
          <w:color w:val="000000" w:themeColor="text1"/>
          <w:sz w:val="16"/>
          <w:szCs w:val="16"/>
        </w:rPr>
      </w:pPr>
    </w:p>
    <w:p w14:paraId="11EA4AF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апреля 1945 вышло Распоряжение ГКО № 8142 [О мерах по обеспечению перевозок торфа для Ивановской и Ярославской ТЭЦ во II квартале 1945 г.] (7327, 85-87).</w:t>
      </w:r>
    </w:p>
    <w:p w14:paraId="644A1DC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660C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вышло Распоряжение ГКО № 8144. Об улучшении питания и премировании рабочих и ИТР завода "Динамо" НКЭП, участвующих в проектировании, изготовлении и испытаниях опытных образцов электротрансмиссии тяжелых танков. РГАНИР, Фонд ГКО, д. 400, лл. 89-90 (11012).</w:t>
      </w:r>
    </w:p>
    <w:p w14:paraId="080AB692" w14:textId="77777777" w:rsidR="00665165" w:rsidRPr="00F90EAE" w:rsidRDefault="00665165" w:rsidP="00F90EAE">
      <w:pPr>
        <w:autoSpaceDE w:val="0"/>
        <w:autoSpaceDN w:val="0"/>
        <w:adjustRightInd w:val="0"/>
        <w:jc w:val="both"/>
        <w:rPr>
          <w:color w:val="000000" w:themeColor="text1"/>
          <w:sz w:val="16"/>
          <w:szCs w:val="16"/>
        </w:rPr>
      </w:pPr>
    </w:p>
    <w:p w14:paraId="1E0AA3A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9361D3C" w14:textId="77777777" w:rsidR="00665165" w:rsidRPr="00F90EAE" w:rsidRDefault="00665165" w:rsidP="00F90EAE">
      <w:pPr>
        <w:autoSpaceDE w:val="0"/>
        <w:autoSpaceDN w:val="0"/>
        <w:adjustRightInd w:val="0"/>
        <w:jc w:val="both"/>
        <w:rPr>
          <w:iCs/>
          <w:color w:val="000000" w:themeColor="text1"/>
          <w:sz w:val="16"/>
          <w:szCs w:val="16"/>
        </w:rPr>
      </w:pPr>
    </w:p>
    <w:p w14:paraId="4C0C442A" w14:textId="77777777" w:rsidR="00827BBE" w:rsidRPr="00F90EAE" w:rsidRDefault="00827BBE" w:rsidP="00F90EAE">
      <w:pPr>
        <w:jc w:val="both"/>
        <w:rPr>
          <w:color w:val="000000" w:themeColor="text1"/>
          <w:sz w:val="16"/>
          <w:szCs w:val="16"/>
        </w:rPr>
      </w:pPr>
      <w:r w:rsidRPr="00F90EAE">
        <w:rPr>
          <w:color w:val="000000" w:themeColor="text1"/>
          <w:sz w:val="16"/>
          <w:szCs w:val="16"/>
        </w:rPr>
        <w:t>15 апреля в 1945 году оперативная сводка Совинформбюро:</w:t>
      </w:r>
    </w:p>
    <w:p w14:paraId="0D9FD009" w14:textId="77777777" w:rsidR="00827BBE" w:rsidRPr="00F90EAE" w:rsidRDefault="00827BBE" w:rsidP="00F90EAE">
      <w:pPr>
        <w:jc w:val="both"/>
        <w:rPr>
          <w:color w:val="000000" w:themeColor="text1"/>
          <w:sz w:val="16"/>
          <w:szCs w:val="16"/>
        </w:rPr>
      </w:pPr>
      <w:r w:rsidRPr="00F90EAE">
        <w:rPr>
          <w:color w:val="000000" w:themeColor="text1"/>
          <w:sz w:val="16"/>
          <w:szCs w:val="16"/>
        </w:rPr>
        <w:t>«В течение 15 апреля на Земландском полуострове северо-западнее и западнее Кенигсберга войска 3-го Белорусского фронта, продолжая наступление, с боями заняли более 60 населённых пунктов, в том числе Раушен, Георгенсвальде, Варникен, Гросс Курен, Клайн Курен, Брюстерорт, Гросс Диршкайм, Крайслякен, Гросс Хубникен, Клайн-Хубникен, Дорбникен, Кракстепеллен, Палм-Никен, Зоргенау, Виллкау, Тиренберг, Норгау, Клайн Меденау, Меденау, Адлих Повайен, Шудиттен, Конденен, Видиттен. В боях за 15 апреля в этом районе войска фронта взяли в плен более 3.000 немецких солдат и офицеров.</w:t>
      </w:r>
    </w:p>
    <w:p w14:paraId="46FC9567" w14:textId="77777777" w:rsidR="00827BBE" w:rsidRPr="00F90EAE" w:rsidRDefault="00827BBE" w:rsidP="00F90EAE">
      <w:pPr>
        <w:jc w:val="both"/>
        <w:rPr>
          <w:color w:val="000000" w:themeColor="text1"/>
          <w:sz w:val="16"/>
          <w:szCs w:val="16"/>
        </w:rPr>
      </w:pPr>
      <w:r w:rsidRPr="00F90EAE">
        <w:rPr>
          <w:color w:val="000000" w:themeColor="text1"/>
          <w:sz w:val="16"/>
          <w:szCs w:val="16"/>
        </w:rPr>
        <w:t>Войска 2-го Украинского фронта при содействии войск 3-го Украинского фронта окружили и разгромили группу немецких войск, пытавшихся отступить от Вены на север, и овладели при этом городами Корнейбург и Флоридсдорф — мощными опорными пунктами обороны немцев на левом берегу Дуная, а также заняли населённые пункты Хагенбрунн, Бизамберг, Лангенцерсдорф, Штаммерсдорф, Леопольдау, Кагран, Штадлау.</w:t>
      </w:r>
    </w:p>
    <w:p w14:paraId="62FC69BB" w14:textId="77777777" w:rsidR="00827BBE" w:rsidRPr="00F90EAE" w:rsidRDefault="00827BBE" w:rsidP="00F90EAE">
      <w:pPr>
        <w:jc w:val="both"/>
        <w:rPr>
          <w:color w:val="000000" w:themeColor="text1"/>
          <w:sz w:val="16"/>
          <w:szCs w:val="16"/>
        </w:rPr>
      </w:pPr>
      <w:r w:rsidRPr="00F90EAE">
        <w:rPr>
          <w:color w:val="000000" w:themeColor="text1"/>
          <w:sz w:val="16"/>
          <w:szCs w:val="16"/>
        </w:rPr>
        <w:t>В ходе боёв войска фронта взяли в плен свыше 3.000 немецких солдат и офицеров и захватили следующие трофеи: самолётов — 32, танков и самоходных орудий — 49, полевых орудий — 170, миномётов — 220, пулемётов — 215, автомашин — 750, паровозов — 175, вагонов — 4.500, складов с военным имуществом — 39.</w:t>
      </w:r>
    </w:p>
    <w:p w14:paraId="0871188F" w14:textId="77777777" w:rsidR="00827BBE" w:rsidRPr="00F90EAE" w:rsidRDefault="00827BBE" w:rsidP="00F90EAE">
      <w:pPr>
        <w:jc w:val="both"/>
        <w:rPr>
          <w:color w:val="000000" w:themeColor="text1"/>
          <w:sz w:val="16"/>
          <w:szCs w:val="16"/>
        </w:rPr>
      </w:pPr>
      <w:r w:rsidRPr="00F90EAE">
        <w:rPr>
          <w:color w:val="000000" w:themeColor="text1"/>
          <w:sz w:val="16"/>
          <w:szCs w:val="16"/>
        </w:rPr>
        <w:t>Войска 3-го Украинского фронта, продолжая наступление, 15 апреля овладели на территории Австрии городом Санкт-Пельтен — важным узлом дорог и сильным опорным пунктом обороны немцев на реке Трайзен, а также заняли населённые пункты Прейвиц, Трайсманэр, Поттенбрунн, Ратцерсдорф, Штаттерсдорф, Альтмансдорф. В боях за 14 апреля войска фронта взяли в плен 1.140 немецких солдат и офицеров.</w:t>
      </w:r>
    </w:p>
    <w:p w14:paraId="75C7CF75" w14:textId="77777777" w:rsidR="00827BBE" w:rsidRPr="00F90EAE" w:rsidRDefault="00827BBE"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0D6EAD79" w14:textId="77777777" w:rsidR="00827BBE" w:rsidRPr="00F90EAE" w:rsidRDefault="00827BBE" w:rsidP="00F90EAE">
      <w:pPr>
        <w:jc w:val="both"/>
        <w:rPr>
          <w:color w:val="000000" w:themeColor="text1"/>
          <w:sz w:val="16"/>
          <w:szCs w:val="16"/>
        </w:rPr>
      </w:pPr>
      <w:r w:rsidRPr="00F90EAE">
        <w:rPr>
          <w:color w:val="000000" w:themeColor="text1"/>
          <w:sz w:val="16"/>
          <w:szCs w:val="16"/>
        </w:rPr>
        <w:t>За 14 апреля наши войска подбили и уничтожили 67 немецких танков и самоходных орудий. В воздушных боях и огнём зенитной артиллерии сбито 57 самолётов противника.</w:t>
      </w:r>
    </w:p>
    <w:p w14:paraId="6A01B912" w14:textId="77777777" w:rsidR="00827BBE" w:rsidRPr="00F90EAE" w:rsidRDefault="00827BBE" w:rsidP="00F90EAE">
      <w:pPr>
        <w:jc w:val="both"/>
        <w:rPr>
          <w:color w:val="000000" w:themeColor="text1"/>
          <w:sz w:val="16"/>
          <w:szCs w:val="16"/>
        </w:rPr>
      </w:pPr>
      <w:r w:rsidRPr="00F90EAE">
        <w:rPr>
          <w:color w:val="000000" w:themeColor="text1"/>
          <w:sz w:val="16"/>
          <w:szCs w:val="16"/>
        </w:rPr>
        <w:t>На Земландском полуострове северо-западнее и западнее города, Кенигсберга наши войска продолжали наступление. Советские танкисты и пехотинцы, сломив сопротивление противника, стремительным рывком вышли к лесу западнее населенного пункта Санкт Лоренц. Немцы сосредоточили в этом районе много артиллерии. Кроме того, по железной дороге, идущей вдоль побережья, курсировал немецкий бронепоезд. Удар наших войск был настолько внезапным, что тщательно подготовленная оборона противника оказалась дезорганизованной. Советские танки атаковали вражеский бронепоезд и вывели его из строя. Одновременно были разгромлены артиллерийские позиции противника. Развивая успех, наши войска продвинулись вперёд на 15 километров и очистили от немцев северо-западную часть Земландского полуострова. Ожесточённые бои происходят в лесах, у побережья залива Фриш-Гаф. Наши войска в этом районе отбили двенадцать вражеских контратак, захватили ряд железобетонных дотов и сильно укрепленных опорных пунктов. Гитлеровцы выбиты из селения Адлих Повайен, расположенного в 12 километрах от города Фишхаузен. В течение дня уничтожено более 5 тысяч немецких солдат и офицеров. Нашими войсками захвачены большие трофеи, в числе которых 8 самолётов, 137 полевых орудий, 46 миномётов, 490 пулемётов, 10 паровозов, 405 железнодорожных платформ и вагонов, а также 22 склада с боеприпасами и различным военным имуществом.</w:t>
      </w:r>
    </w:p>
    <w:p w14:paraId="5F25D7A1" w14:textId="77777777" w:rsidR="00827BBE" w:rsidRPr="00F90EAE" w:rsidRDefault="00827BBE" w:rsidP="00F90EAE">
      <w:pPr>
        <w:jc w:val="both"/>
        <w:rPr>
          <w:color w:val="000000" w:themeColor="text1"/>
          <w:sz w:val="16"/>
          <w:szCs w:val="16"/>
        </w:rPr>
      </w:pPr>
      <w:r w:rsidRPr="00F90EAE">
        <w:rPr>
          <w:color w:val="000000" w:themeColor="text1"/>
          <w:sz w:val="16"/>
          <w:szCs w:val="16"/>
        </w:rPr>
        <w:t>Войска 2-го Украинского фронта, сломив упорное сопротивление противника, ворвались с востока в город Корнейбург, находящийся в 10 километрах к северу от Вены. Одновременно части 3-го Украинского фронта переправились через Дунай и вступили в Корнейбург с юга. В результате уличного боя гарнизон противника понёс большие потери и в беспорядке отступил. Таким образом, наши войска отрезали все пути отхода группе немецких войск, пытавшейся отступить от Вены на север. Советские части со всех сторон атаковали окружённого противника. Немцы оказывали яростное сопротивление, но не выдержали натиска советских войск. Наши пехотинцы и танкисты при поддержке артиллерии вначале расчленили противника, а во второй половине дня разгромили окружённую группу немецких войск. В ходе боёв занят крупный промышленный город Флоридсдорф — мощный опорный пункт обороны немцев на левом берегу Дуная. На поле боя остались тысячи трупов солдат и офицеров противника.</w:t>
      </w:r>
    </w:p>
    <w:p w14:paraId="49CE3180" w14:textId="77777777" w:rsidR="00827BBE" w:rsidRPr="00F90EAE" w:rsidRDefault="00827BBE" w:rsidP="00F90EAE">
      <w:pPr>
        <w:jc w:val="both"/>
        <w:rPr>
          <w:color w:val="000000" w:themeColor="text1"/>
          <w:sz w:val="16"/>
          <w:szCs w:val="16"/>
        </w:rPr>
      </w:pPr>
      <w:r w:rsidRPr="00F90EAE">
        <w:rPr>
          <w:color w:val="000000" w:themeColor="text1"/>
          <w:sz w:val="16"/>
          <w:szCs w:val="16"/>
        </w:rPr>
        <w:t xml:space="preserve">На подступах к одному опорному пункту немцы оказывали сильное сопротивление. 23 советских артиллериста под командованием старшего лейтенанта Тимошенко на трёх автомашинах с прицепленными к ним орудиями на полном ходу ворвались в расположение противника. Отважные бойцы в упор били по врагу из автоматов и винтовок. Как только водители развернули машины и остановились, расчёты мгновенно стали у орудий. Наводчики младший сержант Жилкин, красноармейцы </w:t>
      </w:r>
      <w:r w:rsidRPr="00F90EAE">
        <w:rPr>
          <w:color w:val="000000" w:themeColor="text1"/>
          <w:sz w:val="16"/>
          <w:szCs w:val="16"/>
        </w:rPr>
        <w:lastRenderedPageBreak/>
        <w:t>Веселков и Гордичук открыли огонь и уничтожили вражеские пулемёты, прикрывавшие подступы к пункту. Перешедшей в контратаку немецкой пехоте удалось приблизиться к орудиям. Советские артиллеристы вступили в рукопашную схватку с гитлеровцами и отбили контратаку. Преследуя противника, наши бойцы захватили в плен 20 немцев.</w:t>
      </w:r>
    </w:p>
    <w:p w14:paraId="064DD891" w14:textId="77777777" w:rsidR="00827BBE" w:rsidRPr="00F90EAE" w:rsidRDefault="00827BBE" w:rsidP="00F90EAE">
      <w:pPr>
        <w:jc w:val="both"/>
        <w:rPr>
          <w:color w:val="000000" w:themeColor="text1"/>
          <w:sz w:val="16"/>
          <w:szCs w:val="16"/>
        </w:rPr>
      </w:pPr>
      <w:r w:rsidRPr="00F90EAE">
        <w:rPr>
          <w:color w:val="000000" w:themeColor="text1"/>
          <w:sz w:val="16"/>
          <w:szCs w:val="16"/>
        </w:rPr>
        <w:t>Западнее Вены войска 3-го Украинского фронта, продвигаясь вперёд, на широком фронте вышли к реке Трайзен. Многочисленные группы немцев были прижаты к реке и уничтожены. Советские войска на плечах отступающего противника переправились через Трайзен севернее и южнее города Санкт-Пельтен и штурмом овладели этим сильным опорным пунктом обороны немцев. Санкт-Пельтен является крупным узлом путей сообщения. К нему сходятся пять железных и несколько шоссейных дорог. В городе имеются машиностроительные, металлообрабатывающие и другие заводы. Противник, отступая под ударами наших войск, несёт тяжёлые потери.</w:t>
      </w:r>
    </w:p>
    <w:p w14:paraId="7379D6B7" w14:textId="77777777" w:rsidR="00827BBE" w:rsidRPr="00F90EAE" w:rsidRDefault="00827BBE" w:rsidP="00F90EAE">
      <w:pPr>
        <w:jc w:val="both"/>
        <w:rPr>
          <w:color w:val="000000" w:themeColor="text1"/>
          <w:sz w:val="16"/>
          <w:szCs w:val="16"/>
        </w:rPr>
      </w:pPr>
      <w:r w:rsidRPr="00F90EAE">
        <w:rPr>
          <w:color w:val="000000" w:themeColor="text1"/>
          <w:sz w:val="16"/>
          <w:szCs w:val="16"/>
        </w:rPr>
        <w:t>Наши корабли в Балтийском море потопили немецкий транспорт водоизмещением в 7.000 тонн.» (15100).</w:t>
      </w:r>
    </w:p>
    <w:p w14:paraId="242F127C" w14:textId="77777777" w:rsidR="00827BBE" w:rsidRPr="00F90EAE" w:rsidRDefault="00827BBE" w:rsidP="00F90EAE">
      <w:pPr>
        <w:jc w:val="both"/>
        <w:rPr>
          <w:color w:val="000000" w:themeColor="text1"/>
          <w:sz w:val="16"/>
          <w:szCs w:val="16"/>
        </w:rPr>
      </w:pPr>
    </w:p>
    <w:p w14:paraId="3CE4D705" w14:textId="77777777" w:rsidR="00201A26" w:rsidRPr="00F90EAE" w:rsidRDefault="00201A26" w:rsidP="00F90EAE">
      <w:pPr>
        <w:pStyle w:val="ae"/>
        <w:spacing w:before="0" w:after="0"/>
        <w:jc w:val="both"/>
        <w:textAlignment w:val="baseline"/>
        <w:rPr>
          <w:color w:val="000000" w:themeColor="text1"/>
          <w:sz w:val="16"/>
          <w:szCs w:val="16"/>
        </w:rPr>
      </w:pPr>
      <w:r w:rsidRPr="00F90EAE">
        <w:rPr>
          <w:color w:val="000000" w:themeColor="text1"/>
          <w:sz w:val="16"/>
          <w:szCs w:val="16"/>
        </w:rPr>
        <w:t>15 апреля 1945 Ил-10 108-й гв. шап отправились на первое задание новые самолеты. Боевые вылеты в основном осуществлялись группами по шесть — восемь машин под прикрытием четырех истребителей Лa-5 из 6-й гв. иад, иногда группами по четыре штурмовика в сопровождении двух «Лавочкиных». Ил-10 имели гораздо большую скорость, чем предшественники, что намного упрощало задачу эскорта. Дело в том, что крейсерская скорость Ил-2 составляла около 300–330 км/ч, то есть примерно на 40 % меньше, чем у Ла-5 и Ла-5ФН. Из-за этого истребители не могли сопровождать штурмовиков по прямой, а описывали над ними круги и делали всевозможные маневры. Именно из-за этого в течение всей войны часто имели место случаи, когда истребители эскорта теряли подопечных из виду либо оказывались в стороне в момент атаки немецких самолетов. «Десятка» же за счет более мощного мотора могла лететь к цели со скоростью до 450 км/ч и выше, что позволяло «Лавочкиным» и Якам двигаться над ними без маневров и постоянно держать в поле зрения.</w:t>
      </w:r>
    </w:p>
    <w:p w14:paraId="3219A898" w14:textId="77777777" w:rsidR="00201A26" w:rsidRPr="00F90EAE" w:rsidRDefault="00201A26" w:rsidP="00F90EAE">
      <w:pPr>
        <w:pStyle w:val="ae"/>
        <w:spacing w:before="0" w:after="0"/>
        <w:jc w:val="both"/>
        <w:textAlignment w:val="baseline"/>
        <w:rPr>
          <w:color w:val="000000" w:themeColor="text1"/>
          <w:sz w:val="16"/>
          <w:szCs w:val="16"/>
        </w:rPr>
      </w:pPr>
      <w:r w:rsidRPr="00F90EAE">
        <w:rPr>
          <w:color w:val="000000" w:themeColor="text1"/>
          <w:sz w:val="16"/>
          <w:szCs w:val="16"/>
        </w:rPr>
        <w:t>Во время боевых вылетов на новых машинах летчики 108-го гв. шап пять раз сталкивались с немецкой авиацией. Так, в районе северо-западнее Форет восемь Ил-10 действовали в кругу над целью под прикрытием четырех Ла-5. Неожиданно из облаков вывалились четыре FW-190. Пилоты штурмовиков приготовились к бою, однако «Фокке-Вульфы» по какой-то причине уклонились от боя и с резким набором высоты ушли обратно в облака (19522).</w:t>
      </w:r>
    </w:p>
    <w:p w14:paraId="1D659787" w14:textId="77777777" w:rsidR="00201A26" w:rsidRPr="00F90EAE" w:rsidRDefault="00201A26" w:rsidP="00F90EAE">
      <w:pPr>
        <w:pStyle w:val="ae"/>
        <w:spacing w:before="0" w:after="0"/>
        <w:jc w:val="both"/>
        <w:textAlignment w:val="baseline"/>
        <w:rPr>
          <w:color w:val="000000" w:themeColor="text1"/>
          <w:sz w:val="16"/>
          <w:szCs w:val="16"/>
        </w:rPr>
      </w:pPr>
    </w:p>
    <w:p w14:paraId="5D72D4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апре</w:t>
      </w:r>
      <w:r w:rsidRPr="00F90EAE">
        <w:rPr>
          <w:color w:val="000000" w:themeColor="text1"/>
          <w:sz w:val="16"/>
          <w:szCs w:val="16"/>
        </w:rPr>
        <w:softHyphen/>
        <w:t>ля 1945 571-й полк начал боевые действия с нанесения ударов по войскам и тех</w:t>
      </w:r>
      <w:r w:rsidRPr="00F90EAE">
        <w:rPr>
          <w:color w:val="000000" w:themeColor="text1"/>
          <w:sz w:val="16"/>
          <w:szCs w:val="16"/>
        </w:rPr>
        <w:softHyphen/>
        <w:t>нике противника в районе Свобода, Путс, Янарице, Штепанковице, Радунь, Подви-сов, Хваликовице, Ольда, Сухе Лазце. Действовали группами по 8 - 15 штурмо</w:t>
      </w:r>
      <w:r w:rsidRPr="00F90EAE">
        <w:rPr>
          <w:color w:val="000000" w:themeColor="text1"/>
          <w:sz w:val="16"/>
          <w:szCs w:val="16"/>
        </w:rPr>
        <w:softHyphen/>
        <w:t>виков под прикрытием 4-8 истребите</w:t>
      </w:r>
      <w:r w:rsidRPr="00F90EAE">
        <w:rPr>
          <w:color w:val="000000" w:themeColor="text1"/>
          <w:sz w:val="16"/>
          <w:szCs w:val="16"/>
        </w:rPr>
        <w:softHyphen/>
        <w:t>лей Як-3 и Як-9 из 112-го гиап. Всего в те</w:t>
      </w:r>
      <w:r w:rsidRPr="00F90EAE">
        <w:rPr>
          <w:color w:val="000000" w:themeColor="text1"/>
          <w:sz w:val="16"/>
          <w:szCs w:val="16"/>
        </w:rPr>
        <w:softHyphen/>
        <w:t>чение дня полк выполнил 73 самолето</w:t>
      </w:r>
      <w:r w:rsidRPr="00F90EAE">
        <w:rPr>
          <w:color w:val="000000" w:themeColor="text1"/>
          <w:sz w:val="16"/>
          <w:szCs w:val="16"/>
        </w:rPr>
        <w:softHyphen/>
        <w:t>вылета. Главным образом использова</w:t>
      </w:r>
      <w:r w:rsidRPr="00F90EAE">
        <w:rPr>
          <w:color w:val="000000" w:themeColor="text1"/>
          <w:sz w:val="16"/>
          <w:szCs w:val="16"/>
        </w:rPr>
        <w:softHyphen/>
        <w:t>лись небольшие - 50-кг фугасные и 25-кг осколочные бомбы, поэтому средняя бомбовая нагрузка на один самолето-вы</w:t>
      </w:r>
      <w:r w:rsidRPr="00F90EAE">
        <w:rPr>
          <w:color w:val="000000" w:themeColor="text1"/>
          <w:sz w:val="16"/>
          <w:szCs w:val="16"/>
        </w:rPr>
        <w:softHyphen/>
        <w:t>лет составила всего 224 кг. По наблюдениям экипажей были унич</w:t>
      </w:r>
      <w:r w:rsidRPr="00F90EAE">
        <w:rPr>
          <w:color w:val="000000" w:themeColor="text1"/>
          <w:sz w:val="16"/>
          <w:szCs w:val="16"/>
        </w:rPr>
        <w:softHyphen/>
        <w:t>тожены или повреждены 21 автомаши</w:t>
      </w:r>
      <w:r w:rsidRPr="00F90EAE">
        <w:rPr>
          <w:color w:val="000000" w:themeColor="text1"/>
          <w:sz w:val="16"/>
          <w:szCs w:val="16"/>
        </w:rPr>
        <w:softHyphen/>
        <w:t>на, 2 орудия полевой артиллерии, 1 ми</w:t>
      </w:r>
      <w:r w:rsidRPr="00F90EAE">
        <w:rPr>
          <w:color w:val="000000" w:themeColor="text1"/>
          <w:sz w:val="16"/>
          <w:szCs w:val="16"/>
        </w:rPr>
        <w:softHyphen/>
        <w:t>нометная батарея, создано 7 очагов по</w:t>
      </w:r>
      <w:r w:rsidRPr="00F90EAE">
        <w:rPr>
          <w:color w:val="000000" w:themeColor="text1"/>
          <w:sz w:val="16"/>
          <w:szCs w:val="16"/>
        </w:rPr>
        <w:softHyphen/>
        <w:t>жаров и подавлена 1 зенитная батарея противника. У целей самолеты встретились с сильным огнем малокалиберной зенитной артиллерии, в результате кото</w:t>
      </w:r>
      <w:r w:rsidRPr="00F90EAE">
        <w:rPr>
          <w:color w:val="000000" w:themeColor="text1"/>
          <w:sz w:val="16"/>
          <w:szCs w:val="16"/>
        </w:rPr>
        <w:softHyphen/>
        <w:t>рого был подбит Ил-10 младшего лейте</w:t>
      </w:r>
      <w:r w:rsidRPr="00F90EAE">
        <w:rPr>
          <w:color w:val="000000" w:themeColor="text1"/>
          <w:sz w:val="16"/>
          <w:szCs w:val="16"/>
        </w:rPr>
        <w:softHyphen/>
        <w:t>нанта В.И. Кудрявцева. На самолете бы</w:t>
      </w:r>
      <w:r w:rsidRPr="00F90EAE">
        <w:rPr>
          <w:color w:val="000000" w:themeColor="text1"/>
          <w:sz w:val="16"/>
          <w:szCs w:val="16"/>
        </w:rPr>
        <w:softHyphen/>
        <w:t>ла повреждена пневмосистема шасси и перебиты тяги управления элеронами. Воздушный стрелок сержант Н.П. Сум-ряков был убит. Несмотря на серьезные повреждения машины, летчик сумел до</w:t>
      </w:r>
      <w:r w:rsidRPr="00F90EAE">
        <w:rPr>
          <w:color w:val="000000" w:themeColor="text1"/>
          <w:sz w:val="16"/>
          <w:szCs w:val="16"/>
        </w:rPr>
        <w:softHyphen/>
        <w:t>тянуть до своего аэродрома. Однако на посадке шасси вышло не полностью и при касании о землю самопроизвольно сложилось. Штурмовик развернуло вле</w:t>
      </w:r>
      <w:r w:rsidRPr="00F90EAE">
        <w:rPr>
          <w:color w:val="000000" w:themeColor="text1"/>
          <w:sz w:val="16"/>
          <w:szCs w:val="16"/>
        </w:rPr>
        <w:softHyphen/>
        <w:t>во и понесло на стоянку самолетов. Скользя на фюзеляже, Ил-10 врезался в бензозаправщик. От удара отлетела кон</w:t>
      </w:r>
      <w:r w:rsidRPr="00F90EAE">
        <w:rPr>
          <w:color w:val="000000" w:themeColor="text1"/>
          <w:sz w:val="16"/>
          <w:szCs w:val="16"/>
        </w:rPr>
        <w:softHyphen/>
        <w:t>соль крыла вместе с центропланом. Шо</w:t>
      </w:r>
      <w:r w:rsidRPr="00F90EAE">
        <w:rPr>
          <w:color w:val="000000" w:themeColor="text1"/>
          <w:sz w:val="16"/>
          <w:szCs w:val="16"/>
        </w:rPr>
        <w:softHyphen/>
        <w:t>фер погиб, а летчик и стоявший рядом с автомобилем солдат получили ранения. Самолет списали. В течение дня четыре группы штурмо</w:t>
      </w:r>
      <w:r w:rsidRPr="00F90EAE">
        <w:rPr>
          <w:color w:val="000000" w:themeColor="text1"/>
          <w:sz w:val="16"/>
          <w:szCs w:val="16"/>
        </w:rPr>
        <w:softHyphen/>
        <w:t>виков встречались с немецкими истре</w:t>
      </w:r>
      <w:r w:rsidRPr="00F90EAE">
        <w:rPr>
          <w:color w:val="000000" w:themeColor="text1"/>
          <w:sz w:val="16"/>
          <w:szCs w:val="16"/>
        </w:rPr>
        <w:softHyphen/>
        <w:t>бителями и вели с ними воздушные бои. Так, группа в составе 13 Ил-10 (ведущий майор Зацепа) в сопровождении шести Як-3 наносила удар по позициям артил</w:t>
      </w:r>
      <w:r w:rsidRPr="00F90EAE">
        <w:rPr>
          <w:color w:val="000000" w:themeColor="text1"/>
          <w:sz w:val="16"/>
          <w:szCs w:val="16"/>
        </w:rPr>
        <w:softHyphen/>
        <w:t>лерии в районе Свобода. Когда наши делали второй заход, выше их появи</w:t>
      </w:r>
      <w:r w:rsidRPr="00F90EAE">
        <w:rPr>
          <w:color w:val="000000" w:themeColor="text1"/>
          <w:sz w:val="16"/>
          <w:szCs w:val="16"/>
        </w:rPr>
        <w:softHyphen/>
        <w:t>лись 9 истребителей Р\Л/ 190, которые, разделившись на пары, атаковали штур</w:t>
      </w:r>
      <w:r w:rsidRPr="00F90EAE">
        <w:rPr>
          <w:color w:val="000000" w:themeColor="text1"/>
          <w:sz w:val="16"/>
          <w:szCs w:val="16"/>
        </w:rPr>
        <w:softHyphen/>
        <w:t>мовики. «Яки» сопровождения вовремя заметили опасность и сорвали первую атаку «фоккеров». Экипажи Ил-10, осво</w:t>
      </w:r>
      <w:r w:rsidRPr="00F90EAE">
        <w:rPr>
          <w:color w:val="000000" w:themeColor="text1"/>
          <w:sz w:val="16"/>
          <w:szCs w:val="16"/>
        </w:rPr>
        <w:softHyphen/>
        <w:t>бодившись от бомб, прекратили обстрел наземных целей и теснее сомкнули круг. Немцы попробовали повторить нападе</w:t>
      </w:r>
      <w:r w:rsidRPr="00F90EAE">
        <w:rPr>
          <w:color w:val="000000" w:themeColor="text1"/>
          <w:sz w:val="16"/>
          <w:szCs w:val="16"/>
        </w:rPr>
        <w:softHyphen/>
        <w:t>ние, но дружный огонь стрелков и актив</w:t>
      </w:r>
      <w:r w:rsidRPr="00F90EAE">
        <w:rPr>
          <w:color w:val="000000" w:themeColor="text1"/>
          <w:sz w:val="16"/>
          <w:szCs w:val="16"/>
        </w:rPr>
        <w:softHyphen/>
        <w:t>ные действия истребителей прикрытия сорвали их планы. При этом в ходе боя «якам» удалось свалить один ФВ 190. Два часа спустя три «мессершмитта» попытались атаковать дюжину Ил-10 (ведущий майор Бочкарев), которые под прикрытием шести Як-3 бомбили авто</w:t>
      </w:r>
      <w:r w:rsidRPr="00F90EAE">
        <w:rPr>
          <w:color w:val="000000" w:themeColor="text1"/>
          <w:sz w:val="16"/>
          <w:szCs w:val="16"/>
        </w:rPr>
        <w:softHyphen/>
        <w:t>машины противника в районе Пусте, Якартице. Штурмовики находились в бое</w:t>
      </w:r>
      <w:r w:rsidRPr="00F90EAE">
        <w:rPr>
          <w:color w:val="000000" w:themeColor="text1"/>
          <w:sz w:val="16"/>
          <w:szCs w:val="16"/>
        </w:rPr>
        <w:softHyphen/>
        <w:t>вом порядке «круг». Однако атака была сорвана нашими истребителями при</w:t>
      </w:r>
      <w:r w:rsidRPr="00F90EAE">
        <w:rPr>
          <w:color w:val="000000" w:themeColor="text1"/>
          <w:sz w:val="16"/>
          <w:szCs w:val="16"/>
        </w:rPr>
        <w:softHyphen/>
        <w:t>крытия. Немцы вышли из боя с правым разворотом и больше не показывались. Во второй половине дня произошли еще два боя. В обоих случаях штурмовики потерь не имели (10681).</w:t>
      </w:r>
    </w:p>
    <w:p w14:paraId="194A92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D8F1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15 апреля по 8 мая 1945 г. в об</w:t>
      </w:r>
      <w:r w:rsidRPr="00F90EAE">
        <w:rPr>
          <w:color w:val="000000" w:themeColor="text1"/>
          <w:sz w:val="16"/>
          <w:szCs w:val="16"/>
        </w:rPr>
        <w:softHyphen/>
        <w:t>щей сложности экипажи 571-го шап, 108-го и 118-го гшап выполнили 1019 боевых самолето-вылетов. Из этого чис</w:t>
      </w:r>
      <w:r w:rsidRPr="00F90EAE">
        <w:rPr>
          <w:color w:val="000000" w:themeColor="text1"/>
          <w:sz w:val="16"/>
          <w:szCs w:val="16"/>
        </w:rPr>
        <w:softHyphen/>
        <w:t>ла 735 самолето-вылетов приходится на 571-й шап и 224 - на 108-й гшап. Все боевые вылеты выполнялись только в простых метеоусловиях. В сред</w:t>
      </w:r>
      <w:r w:rsidRPr="00F90EAE">
        <w:rPr>
          <w:color w:val="000000" w:themeColor="text1"/>
          <w:sz w:val="16"/>
          <w:szCs w:val="16"/>
        </w:rPr>
        <w:softHyphen/>
        <w:t>нем в течение дня полки выполняли 30 -32 самолето-вылета группами от 6 - 8 до 12-24 машин. Атаковали в основном точечные цели на переднем крае и в ближайшем тылу. Подавляющее количество вылетов (свыше 98%) было выполнено для атаки танков, автомашин, артиллерии на огне</w:t>
      </w:r>
      <w:r w:rsidRPr="00F90EAE">
        <w:rPr>
          <w:color w:val="000000" w:themeColor="text1"/>
          <w:sz w:val="16"/>
          <w:szCs w:val="16"/>
        </w:rPr>
        <w:softHyphen/>
        <w:t>вых позициях и живой силы противника на поле боя, в местах сосредоточения и на дорогах. Как правило, на боевые задания груп</w:t>
      </w:r>
      <w:r w:rsidRPr="00F90EAE">
        <w:rPr>
          <w:color w:val="000000" w:themeColor="text1"/>
          <w:sz w:val="16"/>
          <w:szCs w:val="16"/>
        </w:rPr>
        <w:softHyphen/>
        <w:t>пы Ил-10 ходили в пеленге пар, считав</w:t>
      </w:r>
      <w:r w:rsidRPr="00F90EAE">
        <w:rPr>
          <w:color w:val="000000" w:themeColor="text1"/>
          <w:sz w:val="16"/>
          <w:szCs w:val="16"/>
        </w:rPr>
        <w:softHyphen/>
        <w:t>шемся наилучшим боевым порядком. На подходе к цели ведущий оставлял цель слева от себя, «визируя» ее с до-воротом на 90° и последующим пикиро</w:t>
      </w:r>
      <w:r w:rsidRPr="00F90EAE">
        <w:rPr>
          <w:color w:val="000000" w:themeColor="text1"/>
          <w:sz w:val="16"/>
          <w:szCs w:val="16"/>
        </w:rPr>
        <w:softHyphen/>
        <w:t>ванием под углом 15° - 40°. Выход из атаки осуществлялся с правым или ле</w:t>
      </w:r>
      <w:r w:rsidRPr="00F90EAE">
        <w:rPr>
          <w:color w:val="000000" w:themeColor="text1"/>
          <w:sz w:val="16"/>
          <w:szCs w:val="16"/>
        </w:rPr>
        <w:softHyphen/>
        <w:t>вым разворотом. В первом заходе обыч</w:t>
      </w:r>
      <w:r w:rsidRPr="00F90EAE">
        <w:rPr>
          <w:color w:val="000000" w:themeColor="text1"/>
          <w:sz w:val="16"/>
          <w:szCs w:val="16"/>
        </w:rPr>
        <w:softHyphen/>
        <w:t>но выполнялось бомбометание на выхо</w:t>
      </w:r>
      <w:r w:rsidRPr="00F90EAE">
        <w:rPr>
          <w:color w:val="000000" w:themeColor="text1"/>
          <w:sz w:val="16"/>
          <w:szCs w:val="16"/>
        </w:rPr>
        <w:softHyphen/>
        <w:t>де из пикирования с высоты 300 - 400 м. В последующих - велся огонь из пушек и пулеметов со снижением вплоть до бреющего полета. Огонь открывался с дистанции 400 - 500 м. Одновременно подавлялись зенитные средства с отво</w:t>
      </w:r>
      <w:r w:rsidRPr="00F90EAE">
        <w:rPr>
          <w:color w:val="000000" w:themeColor="text1"/>
          <w:sz w:val="16"/>
          <w:szCs w:val="16"/>
        </w:rPr>
        <w:softHyphen/>
        <w:t>ротом из круга в сторону огневой точки. Благодаря повышенной скорости и ма</w:t>
      </w:r>
      <w:r w:rsidRPr="00F90EAE">
        <w:rPr>
          <w:color w:val="000000" w:themeColor="text1"/>
          <w:sz w:val="16"/>
          <w:szCs w:val="16"/>
        </w:rPr>
        <w:softHyphen/>
        <w:t>невренности Ил-10 экипаж затем легко возвращался на свое место в строю. Летчики отмечали, что «вследствие легкости управления и повышенной ско</w:t>
      </w:r>
      <w:r w:rsidRPr="00F90EAE">
        <w:rPr>
          <w:color w:val="000000" w:themeColor="text1"/>
          <w:sz w:val="16"/>
          <w:szCs w:val="16"/>
        </w:rPr>
        <w:softHyphen/>
        <w:t>рости легко замыкается «круг», эффек</w:t>
      </w:r>
      <w:r w:rsidRPr="00F90EAE">
        <w:rPr>
          <w:color w:val="000000" w:themeColor="text1"/>
          <w:sz w:val="16"/>
          <w:szCs w:val="16"/>
        </w:rPr>
        <w:softHyphen/>
        <w:t>тивно выполняется противозенитный маневр». Самолеты при этом летели пе</w:t>
      </w:r>
      <w:r w:rsidRPr="00F90EAE">
        <w:rPr>
          <w:color w:val="000000" w:themeColor="text1"/>
          <w:sz w:val="16"/>
          <w:szCs w:val="16"/>
        </w:rPr>
        <w:softHyphen/>
        <w:t>ленгом с минимальной глубиной строя и увеличенными интервалами. Одиноч</w:t>
      </w:r>
      <w:r w:rsidRPr="00F90EAE">
        <w:rPr>
          <w:color w:val="000000" w:themeColor="text1"/>
          <w:sz w:val="16"/>
          <w:szCs w:val="16"/>
        </w:rPr>
        <w:softHyphen/>
        <w:t>ные машины маневрировали как по вы</w:t>
      </w:r>
      <w:r w:rsidRPr="00F90EAE">
        <w:rPr>
          <w:color w:val="000000" w:themeColor="text1"/>
          <w:sz w:val="16"/>
          <w:szCs w:val="16"/>
        </w:rPr>
        <w:softHyphen/>
        <w:t>соте, так и по курсу. Применялись бое</w:t>
      </w:r>
      <w:r w:rsidRPr="00F90EAE">
        <w:rPr>
          <w:color w:val="000000" w:themeColor="text1"/>
          <w:sz w:val="16"/>
          <w:szCs w:val="16"/>
        </w:rPr>
        <w:softHyphen/>
        <w:t>вые развороты, «змейка», уход от цели на бреющем полете и т.д. Особенно был выгоден маневр по высоте, ввиду высо</w:t>
      </w:r>
      <w:r w:rsidRPr="00F90EAE">
        <w:rPr>
          <w:color w:val="000000" w:themeColor="text1"/>
          <w:sz w:val="16"/>
          <w:szCs w:val="16"/>
        </w:rPr>
        <w:softHyphen/>
        <w:t>кой скороподъемности Ил-10, в сравне</w:t>
      </w:r>
      <w:r w:rsidRPr="00F90EAE">
        <w:rPr>
          <w:color w:val="000000" w:themeColor="text1"/>
          <w:sz w:val="16"/>
          <w:szCs w:val="16"/>
        </w:rPr>
        <w:softHyphen/>
        <w:t>нии с Ил-2. В большинстве случаев зенитный огонь по Ил-10 противник вел прицель</w:t>
      </w:r>
      <w:r w:rsidRPr="00F90EAE">
        <w:rPr>
          <w:color w:val="000000" w:themeColor="text1"/>
          <w:sz w:val="16"/>
          <w:szCs w:val="16"/>
        </w:rPr>
        <w:softHyphen/>
        <w:t>но, сосредоточивая его на ведущем са</w:t>
      </w:r>
      <w:r w:rsidRPr="00F90EAE">
        <w:rPr>
          <w:color w:val="000000" w:themeColor="text1"/>
          <w:sz w:val="16"/>
          <w:szCs w:val="16"/>
        </w:rPr>
        <w:softHyphen/>
        <w:t>молете обычно еще до подхода к цели. При применении нашими летчиками противозенитного маневра разрывы ча</w:t>
      </w:r>
      <w:r w:rsidRPr="00F90EAE">
        <w:rPr>
          <w:color w:val="000000" w:themeColor="text1"/>
          <w:sz w:val="16"/>
          <w:szCs w:val="16"/>
        </w:rPr>
        <w:softHyphen/>
        <w:t>сто наблюдались позади группы, так как немецкие расчеты по привычке ориен</w:t>
      </w:r>
      <w:r w:rsidRPr="00F90EAE">
        <w:rPr>
          <w:color w:val="000000" w:themeColor="text1"/>
          <w:sz w:val="16"/>
          <w:szCs w:val="16"/>
        </w:rPr>
        <w:softHyphen/>
        <w:t>тировались на летные данные Ил-2, скорость которого была меньше. Истребители Люфтваффе атаковали, как правило, сзади-сверху, снизу и сбоку, открывая огонь с больших дистанций -400 - 500 м. Его вели длинными очере</w:t>
      </w:r>
      <w:r w:rsidRPr="00F90EAE">
        <w:rPr>
          <w:color w:val="000000" w:themeColor="text1"/>
          <w:sz w:val="16"/>
          <w:szCs w:val="16"/>
        </w:rPr>
        <w:softHyphen/>
        <w:t>дями до дистанции 200 м, а затем пере</w:t>
      </w:r>
      <w:r w:rsidRPr="00F90EAE">
        <w:rPr>
          <w:color w:val="000000" w:themeColor="text1"/>
          <w:sz w:val="16"/>
          <w:szCs w:val="16"/>
        </w:rPr>
        <w:softHyphen/>
        <w:t>ходили на средние очереди. Отмеча</w:t>
      </w:r>
      <w:r w:rsidRPr="00F90EAE">
        <w:rPr>
          <w:color w:val="000000" w:themeColor="text1"/>
          <w:sz w:val="16"/>
          <w:szCs w:val="16"/>
        </w:rPr>
        <w:softHyphen/>
        <w:t>лись случаи встречи с новейшими не</w:t>
      </w:r>
      <w:r w:rsidRPr="00F90EAE">
        <w:rPr>
          <w:color w:val="000000" w:themeColor="text1"/>
          <w:sz w:val="16"/>
          <w:szCs w:val="16"/>
        </w:rPr>
        <w:softHyphen/>
        <w:t>мецкими истребителями ФВ1900-9. Летчики указывали, что они «обладают большим диапазоном скоростей - атака производится на небольшой скорости, но подход и уход на больших, и наши ис</w:t>
      </w:r>
      <w:r w:rsidRPr="00F90EAE">
        <w:rPr>
          <w:color w:val="000000" w:themeColor="text1"/>
          <w:sz w:val="16"/>
          <w:szCs w:val="16"/>
        </w:rPr>
        <w:softHyphen/>
        <w:t>требители не успевают реагировать». По общему мнению, для прикрытия группы из шести — восьми самолетов Ил-10 в воздушной обстановке конца войны было достаточно выделять две пары истребителей, а на четверку - од</w:t>
      </w:r>
      <w:r w:rsidRPr="00F90EAE">
        <w:rPr>
          <w:color w:val="000000" w:themeColor="text1"/>
          <w:sz w:val="16"/>
          <w:szCs w:val="16"/>
        </w:rPr>
        <w:softHyphen/>
        <w:t>ну пару (10681).</w:t>
      </w:r>
    </w:p>
    <w:p w14:paraId="09B380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5953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апреля 1945 571-й шап начал боевые действия с нанесения бомбоштурмо-вых ударов по войскам и технике про</w:t>
      </w:r>
      <w:r w:rsidRPr="00F90EAE">
        <w:rPr>
          <w:color w:val="000000" w:themeColor="text1"/>
          <w:sz w:val="16"/>
          <w:szCs w:val="16"/>
        </w:rPr>
        <w:softHyphen/>
        <w:t>тивника в районе Свобода, Путс, Яна-рице, Штепанковице, Радунь, Подви-сов,Хваликовице, Ольда, Сухе,Лазце. Удары наносились группами по 8-15 Ил-10 под прикрытием 4-8 истре</w:t>
      </w:r>
      <w:r w:rsidRPr="00F90EAE">
        <w:rPr>
          <w:color w:val="000000" w:themeColor="text1"/>
          <w:sz w:val="16"/>
          <w:szCs w:val="16"/>
        </w:rPr>
        <w:softHyphen/>
        <w:t>бителей Як-3 и Як-9 от 112-го гиап. Первую группу в составе 15 Ил-10 повел в бой командир полка п-п-к Бе</w:t>
      </w:r>
      <w:r w:rsidRPr="00F90EAE">
        <w:rPr>
          <w:color w:val="000000" w:themeColor="text1"/>
          <w:sz w:val="16"/>
          <w:szCs w:val="16"/>
        </w:rPr>
        <w:softHyphen/>
        <w:t>зух. Взлет экипажи выполнили образ</w:t>
      </w:r>
      <w:r w:rsidRPr="00F90EAE">
        <w:rPr>
          <w:color w:val="000000" w:themeColor="text1"/>
          <w:sz w:val="16"/>
          <w:szCs w:val="16"/>
        </w:rPr>
        <w:softHyphen/>
        <w:t>цово и в 10.10 встали на курс. Штур</w:t>
      </w:r>
      <w:r w:rsidRPr="00F90EAE">
        <w:rPr>
          <w:color w:val="000000" w:themeColor="text1"/>
          <w:sz w:val="16"/>
          <w:szCs w:val="16"/>
        </w:rPr>
        <w:softHyphen/>
        <w:t>мовики нанесли удар по артминбата-реям и скоплению живой силы про</w:t>
      </w:r>
      <w:r w:rsidRPr="00F90EAE">
        <w:rPr>
          <w:color w:val="000000" w:themeColor="text1"/>
          <w:sz w:val="16"/>
          <w:szCs w:val="16"/>
        </w:rPr>
        <w:softHyphen/>
        <w:t>тивника в районе Врбха, Свобода. Это было первое боевое применение са</w:t>
      </w:r>
      <w:r w:rsidRPr="00F90EAE">
        <w:rPr>
          <w:color w:val="000000" w:themeColor="text1"/>
          <w:sz w:val="16"/>
          <w:szCs w:val="16"/>
        </w:rPr>
        <w:softHyphen/>
        <w:t>молета Ил-10 в войне.</w:t>
      </w:r>
    </w:p>
    <w:p w14:paraId="6BF016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районе целей немцами велся сильный огонь малокалиберной зе</w:t>
      </w:r>
      <w:r w:rsidRPr="00F90EAE">
        <w:rPr>
          <w:color w:val="000000" w:themeColor="text1"/>
          <w:sz w:val="16"/>
          <w:szCs w:val="16"/>
        </w:rPr>
        <w:softHyphen/>
        <w:t>нитной артиллерии, в результате ко</w:t>
      </w:r>
      <w:r w:rsidRPr="00F90EAE">
        <w:rPr>
          <w:color w:val="000000" w:themeColor="text1"/>
          <w:sz w:val="16"/>
          <w:szCs w:val="16"/>
        </w:rPr>
        <w:softHyphen/>
        <w:t>торого примерно в 10.45-10.55 был подбит Ил-10 (зав. № 1893703) мл. л-та В. И. Кудрявцева. На самолете была повреждена воздушная система управ</w:t>
      </w:r>
      <w:r w:rsidRPr="00F90EAE">
        <w:rPr>
          <w:color w:val="000000" w:themeColor="text1"/>
          <w:sz w:val="16"/>
          <w:szCs w:val="16"/>
        </w:rPr>
        <w:softHyphen/>
        <w:t>ления шасси и перебиты тяги управ</w:t>
      </w:r>
      <w:r w:rsidRPr="00F90EAE">
        <w:rPr>
          <w:color w:val="000000" w:themeColor="text1"/>
          <w:sz w:val="16"/>
          <w:szCs w:val="16"/>
        </w:rPr>
        <w:softHyphen/>
        <w:t>ления элеронами. Воздушный стрелок сержант Н. П. Сумряков убит. Несмот</w:t>
      </w:r>
      <w:r w:rsidRPr="00F90EAE">
        <w:rPr>
          <w:color w:val="000000" w:themeColor="text1"/>
          <w:sz w:val="16"/>
          <w:szCs w:val="16"/>
        </w:rPr>
        <w:softHyphen/>
        <w:t>ря на столь серьезные повреждения самолета, летчик сумел дотянуть до своего аэродрома. Однако на посадке шасси вышло не полностью и при ка</w:t>
      </w:r>
      <w:r w:rsidRPr="00F90EAE">
        <w:rPr>
          <w:color w:val="000000" w:themeColor="text1"/>
          <w:sz w:val="16"/>
          <w:szCs w:val="16"/>
        </w:rPr>
        <w:softHyphen/>
        <w:t>сании о землю самопроизвольно сло</w:t>
      </w:r>
      <w:r w:rsidRPr="00F90EAE">
        <w:rPr>
          <w:color w:val="000000" w:themeColor="text1"/>
          <w:sz w:val="16"/>
          <w:szCs w:val="16"/>
        </w:rPr>
        <w:softHyphen/>
        <w:t>жилось. Штурмовик развернуло вле</w:t>
      </w:r>
      <w:r w:rsidRPr="00F90EAE">
        <w:rPr>
          <w:color w:val="000000" w:themeColor="text1"/>
          <w:sz w:val="16"/>
          <w:szCs w:val="16"/>
        </w:rPr>
        <w:softHyphen/>
        <w:t>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w:t>
      </w:r>
      <w:r w:rsidRPr="00F90EAE">
        <w:rPr>
          <w:color w:val="000000" w:themeColor="text1"/>
          <w:sz w:val="16"/>
          <w:szCs w:val="16"/>
        </w:rPr>
        <w:softHyphen/>
        <w:t>шиной солдат получили ранения. Са</w:t>
      </w:r>
      <w:r w:rsidRPr="00F90EAE">
        <w:rPr>
          <w:color w:val="000000" w:themeColor="text1"/>
          <w:sz w:val="16"/>
          <w:szCs w:val="16"/>
        </w:rPr>
        <w:softHyphen/>
        <w:t>молет был списан и затем отправлен в 16 РАБ для разделки.</w:t>
      </w:r>
    </w:p>
    <w:p w14:paraId="749E9C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Третьей по счету на боевое зада</w:t>
      </w:r>
      <w:r w:rsidRPr="00F90EAE">
        <w:rPr>
          <w:color w:val="000000" w:themeColor="text1"/>
          <w:sz w:val="16"/>
          <w:szCs w:val="16"/>
        </w:rPr>
        <w:softHyphen/>
        <w:t>ние в 12.45 вылетела группа из 12 Ил-10, которую возглавлял м-р Бочкарев. Экипажи штурмовали и бомбили ар</w:t>
      </w:r>
      <w:r w:rsidRPr="00F90EAE">
        <w:rPr>
          <w:color w:val="000000" w:themeColor="text1"/>
          <w:sz w:val="16"/>
          <w:szCs w:val="16"/>
        </w:rPr>
        <w:softHyphen/>
        <w:t>тиллерию на позициях и пехоту про</w:t>
      </w:r>
      <w:r w:rsidRPr="00F90EAE">
        <w:rPr>
          <w:color w:val="000000" w:themeColor="text1"/>
          <w:sz w:val="16"/>
          <w:szCs w:val="16"/>
        </w:rPr>
        <w:softHyphen/>
        <w:t>тивника в районе Путс, Янарице.</w:t>
      </w:r>
    </w:p>
    <w:p w14:paraId="03EBB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Через 28 минут взлетела девятка капитана Быкова, которая нанесла удар по позициям артиллерии в районе Штепанковице, Свобода.</w:t>
      </w:r>
    </w:p>
    <w:p w14:paraId="0424A1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второй половине дня на боевое задание вылетали три группы по 8 са</w:t>
      </w:r>
      <w:r w:rsidRPr="00F90EAE">
        <w:rPr>
          <w:color w:val="000000" w:themeColor="text1"/>
          <w:sz w:val="16"/>
          <w:szCs w:val="16"/>
        </w:rPr>
        <w:softHyphen/>
        <w:t>молетов, которые с интервалом 35-45 минут работали по целям в районе Ра</w:t>
      </w:r>
      <w:r w:rsidRPr="00F90EAE">
        <w:rPr>
          <w:color w:val="000000" w:themeColor="text1"/>
          <w:sz w:val="16"/>
          <w:szCs w:val="16"/>
        </w:rPr>
        <w:softHyphen/>
        <w:t>дунь, Подвисов, Хваликовице, Ольда, Сухе, Лазце.</w:t>
      </w:r>
    </w:p>
    <w:p w14:paraId="0C5737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течение дня полк выполнил 73 самолето-вылета. Главным образом использовались 50-кг фугасные и 25-кг осколочные авиабомбы. Поэтому средняя бомбовая нагрузка Ил-10, приходящаяся на один самолето-вы</w:t>
      </w:r>
      <w:r w:rsidRPr="00F90EAE">
        <w:rPr>
          <w:color w:val="000000" w:themeColor="text1"/>
          <w:sz w:val="16"/>
          <w:szCs w:val="16"/>
        </w:rPr>
        <w:softHyphen/>
        <w:t>лет, составила всего 224 кг.</w:t>
      </w:r>
    </w:p>
    <w:p w14:paraId="08EDA5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ударов по наблюде</w:t>
      </w:r>
      <w:r w:rsidRPr="00F90EAE">
        <w:rPr>
          <w:color w:val="000000" w:themeColor="text1"/>
          <w:sz w:val="16"/>
          <w:szCs w:val="16"/>
        </w:rPr>
        <w:softHyphen/>
        <w:t>ниям экипажей были уничтожены или повреждены 21 автомашина, 2 орудия полевой артиллерии, одна миномет</w:t>
      </w:r>
      <w:r w:rsidRPr="00F90EAE">
        <w:rPr>
          <w:color w:val="000000" w:themeColor="text1"/>
          <w:sz w:val="16"/>
          <w:szCs w:val="16"/>
        </w:rPr>
        <w:softHyphen/>
        <w:t>ная батарея, создано 7 очагов пожа</w:t>
      </w:r>
      <w:r w:rsidRPr="00F90EAE">
        <w:rPr>
          <w:color w:val="000000" w:themeColor="text1"/>
          <w:sz w:val="16"/>
          <w:szCs w:val="16"/>
        </w:rPr>
        <w:softHyphen/>
        <w:t>ров и подавлен огонь одной батареи МЗА противника.</w:t>
      </w:r>
    </w:p>
    <w:p w14:paraId="1FF5D0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дня четыре группы штур</w:t>
      </w:r>
      <w:r w:rsidRPr="00F90EAE">
        <w:rPr>
          <w:color w:val="000000" w:themeColor="text1"/>
          <w:sz w:val="16"/>
          <w:szCs w:val="16"/>
        </w:rPr>
        <w:softHyphen/>
        <w:t>мовиков имели встречи с немецкими истребителями и вели с ними воздуш</w:t>
      </w:r>
      <w:r w:rsidRPr="00F90EAE">
        <w:rPr>
          <w:color w:val="000000" w:themeColor="text1"/>
          <w:sz w:val="16"/>
          <w:szCs w:val="16"/>
        </w:rPr>
        <w:softHyphen/>
        <w:t>ные бои.</w:t>
      </w:r>
    </w:p>
    <w:p w14:paraId="344D49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в 11.35 в районе Штепанковице на высоте 1000 м группа в составе 13 Ил-10 (ведущий м-р Зацепа) в сопро</w:t>
      </w:r>
      <w:r w:rsidRPr="00F90EAE">
        <w:rPr>
          <w:color w:val="000000" w:themeColor="text1"/>
          <w:sz w:val="16"/>
          <w:szCs w:val="16"/>
        </w:rPr>
        <w:softHyphen/>
        <w:t>вождении б Як-3 наносила бомбоштур-мовой удар по артиллерийским позици</w:t>
      </w:r>
      <w:r w:rsidRPr="00F90EAE">
        <w:rPr>
          <w:color w:val="000000" w:themeColor="text1"/>
          <w:sz w:val="16"/>
          <w:szCs w:val="16"/>
        </w:rPr>
        <w:softHyphen/>
        <w:t>ям в районе Свобода. При выполнении 2-го захода на высоте 1400 м появились 9 истребителей Р\« 190, которые, разде</w:t>
      </w:r>
      <w:r w:rsidRPr="00F90EAE">
        <w:rPr>
          <w:color w:val="000000" w:themeColor="text1"/>
          <w:sz w:val="16"/>
          <w:szCs w:val="16"/>
        </w:rPr>
        <w:softHyphen/>
        <w:t>лившись на пары, атаковали группу штурмовиков. «Яки» сопровождения вовремя заметили опасность и сорвали первую атаку «фоккеров». Экипажи Ил-10, освободившись от бомб, прекрати</w:t>
      </w:r>
      <w:r w:rsidRPr="00F90EAE">
        <w:rPr>
          <w:color w:val="000000" w:themeColor="text1"/>
          <w:sz w:val="16"/>
          <w:szCs w:val="16"/>
        </w:rPr>
        <w:softHyphen/>
        <w:t>ли атаку наземных целей и теснее сомк</w:t>
      </w:r>
      <w:r w:rsidRPr="00F90EAE">
        <w:rPr>
          <w:color w:val="000000" w:themeColor="text1"/>
          <w:sz w:val="16"/>
          <w:szCs w:val="16"/>
        </w:rPr>
        <w:softHyphen/>
        <w:t>нули круг. Повторные атаки немецких пилотов производились сверху спере</w:t>
      </w:r>
      <w:r w:rsidRPr="00F90EAE">
        <w:rPr>
          <w:color w:val="000000" w:themeColor="text1"/>
          <w:sz w:val="16"/>
          <w:szCs w:val="16"/>
        </w:rPr>
        <w:softHyphen/>
        <w:t>ди и сверху сзади. Дружным огнем воз</w:t>
      </w:r>
      <w:r w:rsidRPr="00F90EAE">
        <w:rPr>
          <w:color w:val="000000" w:themeColor="text1"/>
          <w:sz w:val="16"/>
          <w:szCs w:val="16"/>
        </w:rPr>
        <w:softHyphen/>
        <w:t>душных стрелков и активными действи</w:t>
      </w:r>
      <w:r w:rsidRPr="00F90EAE">
        <w:rPr>
          <w:color w:val="000000" w:themeColor="text1"/>
          <w:sz w:val="16"/>
          <w:szCs w:val="16"/>
        </w:rPr>
        <w:softHyphen/>
        <w:t>ями истребителей прикрытия все атаки противника были отражены. При этом в ходе воздушноп^боя «Якам» удалось завалить один ФВ190.</w:t>
      </w:r>
    </w:p>
    <w:p w14:paraId="13FCE2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Примерно в 13.00 три «мессерш-митта»-109 с высоты около 700 м пы</w:t>
      </w:r>
      <w:r w:rsidRPr="00F90EAE">
        <w:rPr>
          <w:color w:val="000000" w:themeColor="text1"/>
          <w:sz w:val="16"/>
          <w:szCs w:val="16"/>
        </w:rPr>
        <w:softHyphen/>
        <w:t>тались атаковать 12 Ил-10 (ведущий м-р Бочкарев), которые под прикры</w:t>
      </w:r>
      <w:r w:rsidRPr="00F90EAE">
        <w:rPr>
          <w:color w:val="000000" w:themeColor="text1"/>
          <w:sz w:val="16"/>
          <w:szCs w:val="16"/>
        </w:rPr>
        <w:softHyphen/>
        <w:t>тием б Як-3 наносили бомбоштурмо-вой удар по автомашинам противника в районе Пусте, Якартице. Штурмови</w:t>
      </w:r>
      <w:r w:rsidRPr="00F90EAE">
        <w:rPr>
          <w:color w:val="000000" w:themeColor="text1"/>
          <w:sz w:val="16"/>
          <w:szCs w:val="16"/>
        </w:rPr>
        <w:softHyphen/>
        <w:t>ки находились в боевом порядке «круг» (левый) одиночных самолетов. Одна</w:t>
      </w:r>
      <w:r w:rsidRPr="00F90EAE">
        <w:rPr>
          <w:color w:val="000000" w:themeColor="text1"/>
          <w:sz w:val="16"/>
          <w:szCs w:val="16"/>
        </w:rPr>
        <w:softHyphen/>
        <w:t>ко попытка атаки была сорвана уме</w:t>
      </w:r>
      <w:r w:rsidRPr="00F90EAE">
        <w:rPr>
          <w:color w:val="000000" w:themeColor="text1"/>
          <w:sz w:val="16"/>
          <w:szCs w:val="16"/>
        </w:rPr>
        <w:softHyphen/>
        <w:t>лыми действиями истребителей прикрытия. Немецкие истребители вышли из боя с правым разворотом и больше не показывались.</w:t>
      </w:r>
    </w:p>
    <w:p w14:paraId="677992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13.35 девятка Ил-10 капитана Быкова в сопровождении 8 Як-3 на высоте 1500 м провела скоротечный воздушный бой с парой Ме109. Совме</w:t>
      </w:r>
      <w:r w:rsidRPr="00F90EAE">
        <w:rPr>
          <w:color w:val="000000" w:themeColor="text1"/>
          <w:sz w:val="16"/>
          <w:szCs w:val="16"/>
        </w:rPr>
        <w:softHyphen/>
        <w:t>стными действиями воздушных стрел</w:t>
      </w:r>
      <w:r w:rsidRPr="00F90EAE">
        <w:rPr>
          <w:color w:val="000000" w:themeColor="text1"/>
          <w:sz w:val="16"/>
          <w:szCs w:val="16"/>
        </w:rPr>
        <w:softHyphen/>
        <w:t>ков и истребителей прикрытия атака была отбита.</w:t>
      </w:r>
    </w:p>
    <w:p w14:paraId="3DE88B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Первый Ил-10 пострадал от немец</w:t>
      </w:r>
      <w:r w:rsidRPr="00F90EAE">
        <w:rPr>
          <w:color w:val="000000" w:themeColor="text1"/>
          <w:sz w:val="16"/>
          <w:szCs w:val="16"/>
        </w:rPr>
        <w:softHyphen/>
        <w:t>ких истребителей 17 апреля. Пилоты «Яков» слишком поздно заметили пару 8^109, заходивших снизу сзади на веду</w:t>
      </w:r>
      <w:r w:rsidRPr="00F90EAE">
        <w:rPr>
          <w:color w:val="000000" w:themeColor="text1"/>
          <w:sz w:val="16"/>
          <w:szCs w:val="16"/>
        </w:rPr>
        <w:softHyphen/>
        <w:t>щего группы штурмовиков и его ведо</w:t>
      </w:r>
      <w:r w:rsidRPr="00F90EAE">
        <w:rPr>
          <w:color w:val="000000" w:themeColor="text1"/>
          <w:sz w:val="16"/>
          <w:szCs w:val="16"/>
        </w:rPr>
        <w:softHyphen/>
        <w:t>мого. Для воздушных стрелков эта атака также оказалась неожиданной. В резуль</w:t>
      </w:r>
      <w:r w:rsidRPr="00F90EAE">
        <w:rPr>
          <w:color w:val="000000" w:themeColor="text1"/>
          <w:sz w:val="16"/>
          <w:szCs w:val="16"/>
        </w:rPr>
        <w:softHyphen/>
        <w:t>тате на Ил-10 ведомого мл. л-та Корота-ева пулеметно-пушечным огнем были разбиты киль и руль поворота, в не</w:t>
      </w:r>
      <w:r w:rsidRPr="00F90EAE">
        <w:rPr>
          <w:color w:val="000000" w:themeColor="text1"/>
          <w:sz w:val="16"/>
          <w:szCs w:val="16"/>
        </w:rPr>
        <w:softHyphen/>
        <w:t>скольких местах пробиты левая консоль крыла и кабина стрелка. Воздушный стрелок мл. сержант Бабиков получил ранения. Выполнив одну-единственную атаку,«мессеры» вышли из боя.</w:t>
      </w:r>
    </w:p>
    <w:p w14:paraId="1D491D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Воздушные бои велись также 20 и 21 апреля. Во всех случаях встреча</w:t>
      </w:r>
      <w:r w:rsidRPr="00F90EAE">
        <w:rPr>
          <w:color w:val="000000" w:themeColor="text1"/>
          <w:sz w:val="16"/>
          <w:szCs w:val="16"/>
        </w:rPr>
        <w:softHyphen/>
        <w:t>лись группы истребителей люфтваф</w:t>
      </w:r>
      <w:r w:rsidRPr="00F90EAE">
        <w:rPr>
          <w:color w:val="000000" w:themeColor="text1"/>
          <w:sz w:val="16"/>
          <w:szCs w:val="16"/>
        </w:rPr>
        <w:softHyphen/>
        <w:t>фе обычно в составе одной-двух пар или 6-9 самолетов, которые пытались провести одну неожиданную и резуль</w:t>
      </w:r>
      <w:r w:rsidRPr="00F90EAE">
        <w:rPr>
          <w:color w:val="000000" w:themeColor="text1"/>
          <w:sz w:val="16"/>
          <w:szCs w:val="16"/>
        </w:rPr>
        <w:softHyphen/>
        <w:t>тативную атаку, используя для этого солнце и облачность. В затяжные воз</w:t>
      </w:r>
      <w:r w:rsidRPr="00F90EAE">
        <w:rPr>
          <w:color w:val="000000" w:themeColor="text1"/>
          <w:sz w:val="16"/>
          <w:szCs w:val="16"/>
        </w:rPr>
        <w:softHyphen/>
        <w:t>душные бои немецкие пилоты стара</w:t>
      </w:r>
      <w:r w:rsidRPr="00F90EAE">
        <w:rPr>
          <w:color w:val="000000" w:themeColor="text1"/>
          <w:sz w:val="16"/>
          <w:szCs w:val="16"/>
        </w:rPr>
        <w:softHyphen/>
        <w:t>лись не ввязываться.</w:t>
      </w:r>
    </w:p>
    <w:p w14:paraId="18FFAC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Стоявшие на вооружении Ил-10 авиационные гранаты АГ-2 ни в одном из воздушных боев экипажами не при</w:t>
      </w:r>
      <w:r w:rsidRPr="00F90EAE">
        <w:rPr>
          <w:color w:val="000000" w:themeColor="text1"/>
          <w:sz w:val="16"/>
          <w:szCs w:val="16"/>
        </w:rPr>
        <w:softHyphen/>
        <w:t>менялись.</w:t>
      </w:r>
    </w:p>
    <w:p w14:paraId="239305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54-х групп штурмовиков, выле</w:t>
      </w:r>
      <w:r w:rsidRPr="00F90EAE">
        <w:rPr>
          <w:color w:val="000000" w:themeColor="text1"/>
          <w:sz w:val="16"/>
          <w:szCs w:val="16"/>
        </w:rPr>
        <w:softHyphen/>
        <w:t>тавших на выполнение боевых задач в течение апреля месяца, 31 группа была обстреляна огнем МЗА и ЗА (силами от 1-й до 3-х батарей), а 13 групп имели встречи с истребителями противника, из которых б вели с ними воздушные бои. При этом, как и прежде, пилоты люфт</w:t>
      </w:r>
      <w:r w:rsidRPr="00F90EAE">
        <w:rPr>
          <w:color w:val="000000" w:themeColor="text1"/>
          <w:sz w:val="16"/>
          <w:szCs w:val="16"/>
        </w:rPr>
        <w:softHyphen/>
        <w:t>ваффе весьма искусно взаимодейство</w:t>
      </w:r>
      <w:r w:rsidRPr="00F90EAE">
        <w:rPr>
          <w:color w:val="000000" w:themeColor="text1"/>
          <w:sz w:val="16"/>
          <w:szCs w:val="16"/>
        </w:rPr>
        <w:softHyphen/>
        <w:t>вали со своими зенитчиками. Как пра</w:t>
      </w:r>
      <w:r w:rsidRPr="00F90EAE">
        <w:rPr>
          <w:color w:val="000000" w:themeColor="text1"/>
          <w:sz w:val="16"/>
          <w:szCs w:val="16"/>
        </w:rPr>
        <w:softHyphen/>
        <w:t>вило, противник огнем ЗА и МЗА пытался «разбить» строй группы штурмовиков с тем, чтобы истребители имели возмож</w:t>
      </w:r>
      <w:r w:rsidRPr="00F90EAE">
        <w:rPr>
          <w:color w:val="000000" w:themeColor="text1"/>
          <w:sz w:val="16"/>
          <w:szCs w:val="16"/>
        </w:rPr>
        <w:softHyphen/>
        <w:t>ность атаковать отдельные самолеты. И наоборот, истребители имитировали атаки на штурмовиков, заставляя после</w:t>
      </w:r>
      <w:r w:rsidRPr="00F90EAE">
        <w:rPr>
          <w:color w:val="000000" w:themeColor="text1"/>
          <w:sz w:val="16"/>
          <w:szCs w:val="16"/>
        </w:rPr>
        <w:softHyphen/>
        <w:t>дних принимать более компактные строи, что в свою очередь облегчало зенитным расчетам ведение огня.</w:t>
      </w:r>
    </w:p>
    <w:p w14:paraId="5A3DA8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Активность истребителей люфтваф</w:t>
      </w:r>
      <w:r w:rsidRPr="00F90EAE">
        <w:rPr>
          <w:color w:val="000000" w:themeColor="text1"/>
          <w:sz w:val="16"/>
          <w:szCs w:val="16"/>
        </w:rPr>
        <w:softHyphen/>
        <w:t>фе и зенитной артиллерии объясняет</w:t>
      </w:r>
      <w:r w:rsidRPr="00F90EAE">
        <w:rPr>
          <w:color w:val="000000" w:themeColor="text1"/>
          <w:sz w:val="16"/>
          <w:szCs w:val="16"/>
        </w:rPr>
        <w:softHyphen/>
        <w:t>ся важностью для немецкого командования района Моравска-Острава (11157).</w:t>
      </w:r>
    </w:p>
    <w:p w14:paraId="0A656E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03A611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15 апреля 1945 571 шап начал боевые действия с нанесения бомбоштурмовых ударов по войскам и технике противника в районе Свобода, Путс, Янарице, Штепанковице, Радунь, Подвисов, Хваликовице, Ольда, Сухе, Лазце. Удары наносились группами по 8-15 Ил-10 под прикрытием 4-8 истребителей Як-3 и Як-9 от 112 гиап.</w:t>
      </w:r>
    </w:p>
    <w:p w14:paraId="0AACE205"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Ведущим первой группы в составе 15 Ил-10 был командир полка подполковник Безух. Взлет экипажи выполнили образцово и в 10.10 встали на курс. Штурмовики нанесли удар по артминбатареям и скоплению живой силы противника в районе Врбха, Свобода. Это было первое боевое применение самолета Ил-10 в войне.</w:t>
      </w:r>
    </w:p>
    <w:p w14:paraId="256781C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районе целей немцами велся сильный огонь малокалиберной зенитной артиллерии, в результате которого примерно в 10.45-10.55 был подбит Ил-10 (зав. № 1893703) младшего лейтенанта В. И. Кудрявцева. На самолете была повреждена воздушная система управления шасси и перебиты тяги управления элеронами. Воздушный стрелок сержант Н. П. Сумряков убит. Несмотря на столь серьезные повреждения самолета, летчик сумел дотянуть до своего аэродрома. Однако на посадке шасси вышло не полностью и при касании о землю самопроизвольно сложилось. Штурмовик развернуло влево и понесло на стоянки самолетов Ил-10. Скользя фюзеляжем, штурмовик врезался в автобензозаправщик. От удара отлетела консоль крыла вместе с центропланом. Шофер бензовоза убит, а летчик и стоявший рядом с машиной солдат получили ранения. Самол ет был списан и затем отправлен в 16 РАБ для разделки.</w:t>
      </w:r>
    </w:p>
    <w:p w14:paraId="0EE99BD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Сразу же после посадки первой группы в этот же район в 11.14 вылетела группа майора Зацепы в составе 12 экипажей. К сожалению, на взлете лейтенант Г. А. Веселов не справился с управлением. Самолет развернуло вправо, на стоянки истребителей. Летчик выключил мотор, но затормозить не смог. На большой скорости Ил-10 наехал на стоявший на стоянке истребитель. В результате «десятка» зав. № 1892503 была разбита и затем списана. Истребитель отправлен в ремонт. Лейтенант Веселов получил легкое ранение, а воздушный стрелок ефрейтор Борисов - ушибы.</w:t>
      </w:r>
    </w:p>
    <w:p w14:paraId="330C289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Третьей по счету на боевое задание в 12.45 вылетела группа из 12 Ил-10, которую возглавлял майор Бочкарев. Экипажи штурмовали и бомбили артиллерию на позициях и пехоту противника в районе Путс, Янарице.</w:t>
      </w:r>
    </w:p>
    <w:p w14:paraId="747E56D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Через 28 минут взлетела девятка капитана Быкова, которая нанесла удар по позициям артиллерии в районе Штепанковице, Свобода.</w:t>
      </w:r>
    </w:p>
    <w:p w14:paraId="2DD6471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Во второй половине дня на боевое задание вылетали три группы по 8 самолетов, которые с интервалом 35-45 минут работали по целям в районе Радунь, Подвисов, Хваликовице, Ольда, Сухе, Лазце.</w:t>
      </w:r>
    </w:p>
    <w:p w14:paraId="107297E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Всего в течение дня полк выполнил 73 самолето-вылета. Главным образом использовались 50-кг фугасные и 25-кг осколочные авиабомбы. Поэтому средняя бомбовая нагрузка Ил-10, приходящаяся на один самолето-вылет, составила всего 224 кг.</w:t>
      </w:r>
    </w:p>
    <w:p w14:paraId="173B0CA8" w14:textId="77777777" w:rsidR="00356648" w:rsidRPr="00F90EAE" w:rsidRDefault="00356648"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результате ударов, по наблюдениям экипажей, были уничтожены или повреждены 21 автомашина, 2 орудия полевой артиллерии, одна минометная батарея, создано 7 очагов пожаров и подавлен огонь одной батареи МЗА противника.</w:t>
      </w:r>
    </w:p>
    <w:p w14:paraId="4F614D4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течение дня четыре группы штурмовиков имели встречи с немецкими истребителями и вели с ними воздушные бои.</w:t>
      </w:r>
    </w:p>
    <w:p w14:paraId="62DEFBE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Так, в 11.35 в районе Штепанковице на высоте 1000 м группа в составе 13 Ил-10 (ведущий майор Зацепа) в сопровождении 6 Як-3 наносила бомбоштурмовой удар по артиллерийским позициям в районе Свобода. При выполнении второго захода на высоте 1400 м появились 9 истребителей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 xml:space="preserve">190, которые, разделившись на пары, атаковали штурмовиков. Истребители сопровождения вовремя заметили опасность и сорвали первую атаку «фоккеров». Экипажи Ил-10, освободившись от бомб, прекратили атаку наземных целей и теснее сомкнули круг. Повторные атаки немецких пилотов производились сверху спереди и сверху сзади. Сосредоточенным огнем воздушных стрелков и активными действиями истребителей прикрытия все атаки противника были отбиты. При этом в ходе воздушного боя истребителям удалось завалить один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w:t>
      </w:r>
    </w:p>
    <w:p w14:paraId="1F73B07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Примерно в 13.00 три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с высоты около 700 м пытались атаковать 12 Ил-10 (ведущий майор Бочкарев), которые под прикрытием 6 Як-3 наносили бомбоштурмовой удар по автомашинам противника в районе Пусте, Якартице. Штурмовики находились в боевом порядке круг (левый) одиночных самолетов. Однако попытка атаки была сорвана умелыми действиями истребителей прикрытия. Немецкие истребители вышли из боя с правым разворотом и больше не показывались.</w:t>
      </w:r>
    </w:p>
    <w:p w14:paraId="3445278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В 13.35 девятка Ил-10 капитана Быкова в сопровождении 8 Як-3 на высоте 1500 м провела скоротечный воздушный бой с парой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Совместными действиями воздушных стрелков и истребителей прикрытия атака была отбита.</w:t>
      </w:r>
    </w:p>
    <w:p w14:paraId="5C0B757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Первый Ил-10 пострадал от истребителей 17 апреля. Сопровождавшие штурмовиков Як-3 слишком поздно заметили пару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заходивших снизу-сзади на ведущего группы Ил-10 и его ведомого. Для воздушных стрелков эта атака также оказалась неожиданной. В результате на «десятке» ведомого младшего лейтенанта Коротаева пулеметно -пушечным огнем были разбиты киль и руль поворота, в нескольких местах пробиты левая консоль крыла и кабина стрелка. Воздушный стрелок младший сержант Бабиков получил ранения. Выполнив одну-единственную атаку, «мессеры» вышли из боя.</w:t>
      </w:r>
    </w:p>
    <w:p w14:paraId="3EA6FC6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Воздушные бои велись также 20 и 21 апреля.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272DB38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Стоявшие на вооружении Ил-10 авиационные гранаты АГ-2 ни в одном из воздушных боев экипажами не применялись.</w:t>
      </w:r>
    </w:p>
    <w:p w14:paraId="1F4D90D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7DBA94E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79EEFAA4" w14:textId="77777777" w:rsidR="00356648" w:rsidRPr="00F90EAE" w:rsidRDefault="00356648"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601263AE" w14:textId="77777777" w:rsidR="00356648" w:rsidRPr="00F90EAE" w:rsidRDefault="00356648" w:rsidP="00F90EAE">
      <w:pPr>
        <w:jc w:val="both"/>
        <w:rPr>
          <w:color w:val="000000" w:themeColor="text1"/>
          <w:sz w:val="16"/>
          <w:szCs w:val="16"/>
        </w:rPr>
      </w:pPr>
    </w:p>
    <w:p w14:paraId="3C86FF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15 апреля по 8 мая экипажи 571-го, 108-го гвар</w:t>
      </w:r>
      <w:r w:rsidRPr="00F90EAE">
        <w:rPr>
          <w:color w:val="000000" w:themeColor="text1"/>
          <w:sz w:val="16"/>
          <w:szCs w:val="16"/>
        </w:rPr>
        <w:softHyphen/>
        <w:t>дейского и 118-го гвардейского штур</w:t>
      </w:r>
      <w:r w:rsidRPr="00F90EAE">
        <w:rPr>
          <w:color w:val="000000" w:themeColor="text1"/>
          <w:sz w:val="16"/>
          <w:szCs w:val="16"/>
        </w:rPr>
        <w:softHyphen/>
        <w:t>мовых авиаполков выполнили на Ил-10 1019 бо</w:t>
      </w:r>
      <w:r w:rsidRPr="00F90EAE">
        <w:rPr>
          <w:color w:val="000000" w:themeColor="text1"/>
          <w:sz w:val="16"/>
          <w:szCs w:val="16"/>
        </w:rPr>
        <w:softHyphen/>
        <w:t>евых самолето-вылетов, в основном на атаку артиллерии, танков, автомашин и живой силы противника. Из этого чис</w:t>
      </w:r>
      <w:r w:rsidRPr="00F90EAE">
        <w:rPr>
          <w:color w:val="000000" w:themeColor="text1"/>
          <w:sz w:val="16"/>
          <w:szCs w:val="16"/>
        </w:rPr>
        <w:softHyphen/>
        <w:t>ла 735 самолето-вылетов приходится на 571-й ШАП и 224 - на 108-й ГШАП.</w:t>
      </w:r>
    </w:p>
    <w:p w14:paraId="21F269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боевые вылеты выполнялись только в простых метеоусловиях. В среднем в течение одного дня полки выполняли около 30-32 самолето-вылетов группами от 6-8 до 12-24 Ил-10.</w:t>
      </w:r>
    </w:p>
    <w:p w14:paraId="6BD31C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Боевая работа велась в основном по точечным целям на переднем крае и в ближайшем тылу. Подавляющее количе</w:t>
      </w:r>
      <w:r w:rsidRPr="00F90EAE">
        <w:rPr>
          <w:color w:val="000000" w:themeColor="text1"/>
          <w:sz w:val="16"/>
          <w:szCs w:val="16"/>
        </w:rPr>
        <w:softHyphen/>
        <w:t>ство боевых вылетов (свыше 98%) было выполнено на атаку танков, автомашин, артиллерии на огневых позициях и жи</w:t>
      </w:r>
      <w:r w:rsidRPr="00F90EAE">
        <w:rPr>
          <w:color w:val="000000" w:themeColor="text1"/>
          <w:sz w:val="16"/>
          <w:szCs w:val="16"/>
        </w:rPr>
        <w:softHyphen/>
        <w:t>вой силы противника на поле боя, в ме</w:t>
      </w:r>
      <w:r w:rsidRPr="00F90EAE">
        <w:rPr>
          <w:color w:val="000000" w:themeColor="text1"/>
          <w:sz w:val="16"/>
          <w:szCs w:val="16"/>
        </w:rPr>
        <w:softHyphen/>
        <w:t>стах сосредоточения и на дорогах.</w:t>
      </w:r>
    </w:p>
    <w:p w14:paraId="1D01A0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правило, на боевые задания группы Ил-10 «ходили» в «пеленге» пар, который считался лучшим боевым по</w:t>
      </w:r>
      <w:r w:rsidRPr="00F90EAE">
        <w:rPr>
          <w:color w:val="000000" w:themeColor="text1"/>
          <w:sz w:val="16"/>
          <w:szCs w:val="16"/>
        </w:rPr>
        <w:softHyphen/>
        <w:t>рядком. На подходе к цели ведущий группы оставлял цель слева от себя, «визируя» ее с доворотом на 90° и пос</w:t>
      </w:r>
      <w:r w:rsidRPr="00F90EAE">
        <w:rPr>
          <w:color w:val="000000" w:themeColor="text1"/>
          <w:sz w:val="16"/>
          <w:szCs w:val="16"/>
        </w:rPr>
        <w:softHyphen/>
        <w:t>ледующим пикированием подуглом 15-40°. Выход из атаки с правым или ле</w:t>
      </w:r>
      <w:r w:rsidRPr="00F90EAE">
        <w:rPr>
          <w:color w:val="000000" w:themeColor="text1"/>
          <w:sz w:val="16"/>
          <w:szCs w:val="16"/>
        </w:rPr>
        <w:softHyphen/>
        <w:t>вым разворотом. В первом заходе обыч</w:t>
      </w:r>
      <w:r w:rsidRPr="00F90EAE">
        <w:rPr>
          <w:color w:val="000000" w:themeColor="text1"/>
          <w:sz w:val="16"/>
          <w:szCs w:val="16"/>
        </w:rPr>
        <w:softHyphen/>
        <w:t>но выполнялось бомбометание на вы</w:t>
      </w:r>
      <w:r w:rsidRPr="00F90EAE">
        <w:rPr>
          <w:color w:val="000000" w:themeColor="text1"/>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F90EAE">
        <w:rPr>
          <w:color w:val="000000" w:themeColor="text1"/>
          <w:sz w:val="16"/>
          <w:szCs w:val="16"/>
        </w:rPr>
        <w:softHyphen/>
        <w:t>ся с дистанции 400-500 м. Одновремен</w:t>
      </w:r>
      <w:r w:rsidRPr="00F90EAE">
        <w:rPr>
          <w:color w:val="000000" w:themeColor="text1"/>
          <w:sz w:val="16"/>
          <w:szCs w:val="16"/>
        </w:rPr>
        <w:softHyphen/>
        <w:t>но подавлялись зенитные средства с отворотом из круга в сторону огневой точки. Благодаря повышенной скорос</w:t>
      </w:r>
      <w:r w:rsidRPr="00F90EAE">
        <w:rPr>
          <w:color w:val="000000" w:themeColor="text1"/>
          <w:sz w:val="16"/>
          <w:szCs w:val="16"/>
        </w:rPr>
        <w:softHyphen/>
        <w:t>ти и маневренности Ил-10 экипаж, ата</w:t>
      </w:r>
      <w:r w:rsidRPr="00F90EAE">
        <w:rPr>
          <w:color w:val="000000" w:themeColor="text1"/>
          <w:sz w:val="16"/>
          <w:szCs w:val="16"/>
        </w:rPr>
        <w:softHyphen/>
        <w:t>ковавший зенитную точку, затем легко возвращался на свое место в строю.</w:t>
      </w:r>
    </w:p>
    <w:p w14:paraId="628495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Ввод в пикирование выполнялось на скорости 340-350 км/ч. Самолет Ил-10 пикирует устойчиво, легко набирает ско</w:t>
      </w:r>
      <w:r w:rsidRPr="00F90EAE">
        <w:rPr>
          <w:color w:val="000000" w:themeColor="text1"/>
          <w:sz w:val="16"/>
          <w:szCs w:val="16"/>
        </w:rPr>
        <w:softHyphen/>
        <w:t>рость 550-600 км/ч, после чего «с от</w:t>
      </w:r>
      <w:r w:rsidRPr="00F90EAE">
        <w:rPr>
          <w:color w:val="000000" w:themeColor="text1"/>
          <w:sz w:val="16"/>
          <w:szCs w:val="16"/>
        </w:rPr>
        <w:softHyphen/>
        <w:t>личной координацией и наивыгоднейшим углом набирает высоту за боевой разво</w:t>
      </w:r>
      <w:r w:rsidRPr="00F90EAE">
        <w:rPr>
          <w:color w:val="000000" w:themeColor="text1"/>
          <w:sz w:val="16"/>
          <w:szCs w:val="16"/>
        </w:rPr>
        <w:softHyphen/>
        <w:t>рот в среднем до 800-1000 м».</w:t>
      </w:r>
    </w:p>
    <w:p w14:paraId="135AB7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F90EAE">
        <w:rPr>
          <w:color w:val="000000" w:themeColor="text1"/>
          <w:sz w:val="16"/>
          <w:szCs w:val="16"/>
        </w:rPr>
        <w:softHyphen/>
        <w:t>нитный маневр». Противозенитный маневр выполнялся в «пеленге» с ми</w:t>
      </w:r>
      <w:r w:rsidRPr="00F90EAE">
        <w:rPr>
          <w:color w:val="000000" w:themeColor="text1"/>
          <w:sz w:val="16"/>
          <w:szCs w:val="16"/>
        </w:rPr>
        <w:softHyphen/>
        <w:t>нимальной глубиной строя и с увели</w:t>
      </w:r>
      <w:r w:rsidRPr="00F90EAE">
        <w:rPr>
          <w:color w:val="000000" w:themeColor="text1"/>
          <w:sz w:val="16"/>
          <w:szCs w:val="16"/>
        </w:rPr>
        <w:softHyphen/>
        <w:t>ченными интервалами. Маневрирова</w:t>
      </w:r>
      <w:r w:rsidRPr="00F90EAE">
        <w:rPr>
          <w:color w:val="000000" w:themeColor="text1"/>
          <w:sz w:val="16"/>
          <w:szCs w:val="16"/>
        </w:rPr>
        <w:softHyphen/>
        <w:t>ние выполнялось одиночными самоле</w:t>
      </w:r>
      <w:r w:rsidRPr="00F90EAE">
        <w:rPr>
          <w:color w:val="000000" w:themeColor="text1"/>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F90EAE">
        <w:rPr>
          <w:color w:val="000000" w:themeColor="text1"/>
          <w:sz w:val="16"/>
          <w:szCs w:val="16"/>
        </w:rPr>
        <w:softHyphen/>
        <w:t>ной маневренности Ил-10.</w:t>
      </w:r>
    </w:p>
    <w:p w14:paraId="1A3915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большинстве случаев, зенитный огонь по самолетам Ил-10 велся при</w:t>
      </w:r>
      <w:r w:rsidRPr="00F90EAE">
        <w:rPr>
          <w:color w:val="000000" w:themeColor="text1"/>
          <w:sz w:val="16"/>
          <w:szCs w:val="16"/>
        </w:rPr>
        <w:softHyphen/>
        <w:t>цельно и сосредоточивался на веду</w:t>
      </w:r>
      <w:r w:rsidRPr="00F90EAE">
        <w:rPr>
          <w:color w:val="000000" w:themeColor="text1"/>
          <w:sz w:val="16"/>
          <w:szCs w:val="16"/>
        </w:rPr>
        <w:softHyphen/>
        <w:t>щем самолете обычно еще до подхода к цели. При применении экипажами Ил-10 противозенитного маневра раз</w:t>
      </w:r>
      <w:r w:rsidRPr="00F90EAE">
        <w:rPr>
          <w:color w:val="000000" w:themeColor="text1"/>
          <w:sz w:val="16"/>
          <w:szCs w:val="16"/>
        </w:rPr>
        <w:softHyphen/>
        <w:t>рывы наблюдались сзади группы, так как немецкие зенитные расчеты ори</w:t>
      </w:r>
      <w:r w:rsidRPr="00F90EAE">
        <w:rPr>
          <w:color w:val="000000" w:themeColor="text1"/>
          <w:sz w:val="16"/>
          <w:szCs w:val="16"/>
        </w:rPr>
        <w:softHyphen/>
        <w:t>ентировались на летные данные Ил-2, скорость которого меньше.</w:t>
      </w:r>
    </w:p>
    <w:p w14:paraId="1AEC11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6D734F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появлении истребителей про</w:t>
      </w:r>
      <w:r w:rsidRPr="00F90EAE">
        <w:rPr>
          <w:color w:val="000000" w:themeColor="text1"/>
          <w:sz w:val="16"/>
          <w:szCs w:val="16"/>
        </w:rPr>
        <w:softHyphen/>
        <w:t>тивника Ил-10 становились в оборо</w:t>
      </w:r>
      <w:r w:rsidRPr="00F90EAE">
        <w:rPr>
          <w:color w:val="000000" w:themeColor="text1"/>
          <w:sz w:val="16"/>
          <w:szCs w:val="16"/>
        </w:rPr>
        <w:softHyphen/>
        <w:t>нительный «круг». Дистанция между самолетами в круге из 6-8 Ил-10 со</w:t>
      </w:r>
      <w:r w:rsidRPr="00F90EAE">
        <w:rPr>
          <w:color w:val="000000" w:themeColor="text1"/>
          <w:sz w:val="16"/>
          <w:szCs w:val="16"/>
        </w:rPr>
        <w:softHyphen/>
        <w:t>ставляла 200-300 м. Пилотирование в круге выполнялось на скоростях 350-380 км/ч. При попытке пилотов люфт</w:t>
      </w:r>
      <w:r w:rsidRPr="00F90EAE">
        <w:rPr>
          <w:color w:val="000000" w:themeColor="text1"/>
          <w:sz w:val="16"/>
          <w:szCs w:val="16"/>
        </w:rPr>
        <w:softHyphen/>
        <w:t>ваффе атаковать штурмовиков, ведо</w:t>
      </w:r>
      <w:r w:rsidRPr="00F90EAE">
        <w:rPr>
          <w:color w:val="000000" w:themeColor="text1"/>
          <w:sz w:val="16"/>
          <w:szCs w:val="16"/>
        </w:rPr>
        <w:softHyphen/>
        <w:t>мые энергичным отворотом на 30-45° в сторону истребителей отражали их атаки, а затем легко занимали свое ме</w:t>
      </w:r>
      <w:r w:rsidRPr="00F90EAE">
        <w:rPr>
          <w:color w:val="000000" w:themeColor="text1"/>
          <w:sz w:val="16"/>
          <w:szCs w:val="16"/>
        </w:rPr>
        <w:softHyphen/>
        <w:t>сто в круге за счет «запаса скорости, маневренности и легкости в управле</w:t>
      </w:r>
      <w:r w:rsidRPr="00F90EAE">
        <w:rPr>
          <w:color w:val="000000" w:themeColor="text1"/>
          <w:sz w:val="16"/>
          <w:szCs w:val="16"/>
        </w:rPr>
        <w:softHyphen/>
        <w:t>нии».</w:t>
      </w:r>
    </w:p>
    <w:p w14:paraId="7BC9F2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отчетных документах особенно отмечалось, что самолет Ил-10 более скоростной и маневренный, чем Ил-2, поэтому борьбу с истребителями про</w:t>
      </w:r>
      <w:r w:rsidRPr="00F90EAE">
        <w:rPr>
          <w:color w:val="000000" w:themeColor="text1"/>
          <w:sz w:val="16"/>
          <w:szCs w:val="16"/>
        </w:rPr>
        <w:softHyphen/>
        <w:t>тивника вести легче.</w:t>
      </w:r>
    </w:p>
    <w:p w14:paraId="0D5C55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F90EAE">
        <w:rPr>
          <w:color w:val="000000" w:themeColor="text1"/>
          <w:sz w:val="16"/>
          <w:szCs w:val="16"/>
        </w:rPr>
        <w:softHyphen/>
        <w:t>редями, а затем - средними очередями.</w:t>
      </w:r>
    </w:p>
    <w:p w14:paraId="2A4A0A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Отмечались случаи встречи с новей-шими истребителями люфтваффе Ри 1900-9. Летчики указывали, что они «обладают большим диапазоном скоро</w:t>
      </w:r>
      <w:r w:rsidRPr="00F90EAE">
        <w:rPr>
          <w:color w:val="000000" w:themeColor="text1"/>
          <w:sz w:val="16"/>
          <w:szCs w:val="16"/>
        </w:rPr>
        <w:softHyphen/>
        <w:t>стей - атака производится на неболь</w:t>
      </w:r>
      <w:r w:rsidRPr="00F90EAE">
        <w:rPr>
          <w:color w:val="000000" w:themeColor="text1"/>
          <w:sz w:val="16"/>
          <w:szCs w:val="16"/>
        </w:rPr>
        <w:softHyphen/>
        <w:t>шой скорости, но подход и уход на боль</w:t>
      </w:r>
      <w:r w:rsidRPr="00F90EAE">
        <w:rPr>
          <w:color w:val="000000" w:themeColor="text1"/>
          <w:sz w:val="16"/>
          <w:szCs w:val="16"/>
        </w:rPr>
        <w:softHyphen/>
        <w:t>ших, и наши истребители не успевают реагировать».</w:t>
      </w:r>
    </w:p>
    <w:p w14:paraId="75788D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общему мнению летного соста</w:t>
      </w:r>
      <w:r w:rsidRPr="00F90EAE">
        <w:rPr>
          <w:color w:val="000000" w:themeColor="text1"/>
          <w:sz w:val="16"/>
          <w:szCs w:val="16"/>
        </w:rPr>
        <w:softHyphen/>
        <w:t>ва для прикрытия группы из 6-8 само</w:t>
      </w:r>
      <w:r w:rsidRPr="00F90EAE">
        <w:rPr>
          <w:color w:val="000000" w:themeColor="text1"/>
          <w:sz w:val="16"/>
          <w:szCs w:val="16"/>
        </w:rPr>
        <w:softHyphen/>
        <w:t>летов Ил-10 применительно к услови</w:t>
      </w:r>
      <w:r w:rsidRPr="00F90EAE">
        <w:rPr>
          <w:color w:val="000000" w:themeColor="text1"/>
          <w:sz w:val="16"/>
          <w:szCs w:val="16"/>
        </w:rPr>
        <w:softHyphen/>
        <w:t>ям воздушной обстановки конца вой</w:t>
      </w:r>
      <w:r w:rsidRPr="00F90EAE">
        <w:rPr>
          <w:color w:val="000000" w:themeColor="text1"/>
          <w:sz w:val="16"/>
          <w:szCs w:val="16"/>
        </w:rPr>
        <w:softHyphen/>
        <w:t>ны достаточно выделять две пары ис</w:t>
      </w:r>
      <w:r w:rsidRPr="00F90EAE">
        <w:rPr>
          <w:color w:val="000000" w:themeColor="text1"/>
          <w:sz w:val="16"/>
          <w:szCs w:val="16"/>
        </w:rPr>
        <w:softHyphen/>
        <w:t>требителей, на группу из 4 Ил-10 - до</w:t>
      </w:r>
      <w:r w:rsidRPr="00F90EAE">
        <w:rPr>
          <w:color w:val="000000" w:themeColor="text1"/>
          <w:sz w:val="16"/>
          <w:szCs w:val="16"/>
        </w:rPr>
        <w:softHyphen/>
        <w:t>статочно одной пары.</w:t>
      </w:r>
    </w:p>
    <w:p w14:paraId="2CDCF7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штурмовик сравнивали в первую очередь с его предшественни</w:t>
      </w:r>
      <w:r w:rsidRPr="00F90EAE">
        <w:rPr>
          <w:color w:val="000000" w:themeColor="text1"/>
          <w:sz w:val="16"/>
          <w:szCs w:val="16"/>
        </w:rPr>
        <w:softHyphen/>
        <w:t>ком, знаменитым Ил-2. Ил-10 имел мно</w:t>
      </w:r>
      <w:r w:rsidRPr="00F90EAE">
        <w:rPr>
          <w:color w:val="000000" w:themeColor="text1"/>
          <w:sz w:val="16"/>
          <w:szCs w:val="16"/>
        </w:rPr>
        <w:softHyphen/>
        <w:t>го преимуществ по сравнению с ним. Цельнометаллическая конструкция уп</w:t>
      </w:r>
      <w:r w:rsidRPr="00F90EAE">
        <w:rPr>
          <w:color w:val="000000" w:themeColor="text1"/>
          <w:sz w:val="16"/>
          <w:szCs w:val="16"/>
        </w:rPr>
        <w:softHyphen/>
        <w:t>рощала уход за самолетом и увеличи</w:t>
      </w:r>
      <w:r w:rsidRPr="00F90EAE">
        <w:rPr>
          <w:color w:val="000000" w:themeColor="text1"/>
          <w:sz w:val="16"/>
          <w:szCs w:val="16"/>
        </w:rPr>
        <w:softHyphen/>
        <w:t>вала срок его службы. Этому способ</w:t>
      </w:r>
      <w:r w:rsidRPr="00F90EAE">
        <w:rPr>
          <w:color w:val="000000" w:themeColor="text1"/>
          <w:sz w:val="16"/>
          <w:szCs w:val="16"/>
        </w:rPr>
        <w:softHyphen/>
        <w:t>ствовали также применение потайной клепки и качественная окраска маши</w:t>
      </w:r>
      <w:r w:rsidRPr="00F90EAE">
        <w:rPr>
          <w:color w:val="000000" w:themeColor="text1"/>
          <w:sz w:val="16"/>
          <w:szCs w:val="16"/>
        </w:rPr>
        <w:softHyphen/>
        <w:t>ны. Удобные эксплуатационные люки обеспечивали хороший подход к тру</w:t>
      </w:r>
      <w:r w:rsidRPr="00F90EAE">
        <w:rPr>
          <w:color w:val="000000" w:themeColor="text1"/>
          <w:sz w:val="16"/>
          <w:szCs w:val="16"/>
        </w:rPr>
        <w:softHyphen/>
        <w:t>бопроводам, агрегатам и деталям уп</w:t>
      </w:r>
      <w:r w:rsidRPr="00F90EAE">
        <w:rPr>
          <w:color w:val="000000" w:themeColor="text1"/>
          <w:sz w:val="16"/>
          <w:szCs w:val="16"/>
        </w:rPr>
        <w:softHyphen/>
        <w:t>равления.</w:t>
      </w:r>
    </w:p>
    <w:p w14:paraId="3412D0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документах особо отмечалось, что Ил-10 более скоростной, чем старый Ил-2. Максимальная скорость у земли «десяток» первых серий фиксирова</w:t>
      </w:r>
      <w:r w:rsidRPr="00F90EAE">
        <w:rPr>
          <w:color w:val="000000" w:themeColor="text1"/>
          <w:sz w:val="16"/>
          <w:szCs w:val="16"/>
        </w:rPr>
        <w:softHyphen/>
        <w:t>лась на уровне 500-505 км/ч, что по</w:t>
      </w:r>
      <w:r w:rsidRPr="00F90EAE">
        <w:rPr>
          <w:color w:val="000000" w:themeColor="text1"/>
          <w:sz w:val="16"/>
          <w:szCs w:val="16"/>
        </w:rPr>
        <w:softHyphen/>
        <w:t>зволяло эффективнее бороться с ис</w:t>
      </w:r>
      <w:r w:rsidRPr="00F90EAE">
        <w:rPr>
          <w:color w:val="000000" w:themeColor="text1"/>
          <w:sz w:val="16"/>
          <w:szCs w:val="16"/>
        </w:rPr>
        <w:softHyphen/>
        <w:t>требителями противника и уклонять</w:t>
      </w:r>
      <w:r w:rsidRPr="00F90EAE">
        <w:rPr>
          <w:color w:val="000000" w:themeColor="text1"/>
          <w:sz w:val="16"/>
          <w:szCs w:val="16"/>
        </w:rPr>
        <w:softHyphen/>
        <w:t>ся от огня зенитной артиллерии.</w:t>
      </w:r>
    </w:p>
    <w:p w14:paraId="50CBAE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Нормальная скорость на маршруте составляла около 350 км/ч. Оптималь</w:t>
      </w:r>
      <w:r w:rsidRPr="00F90EAE">
        <w:rPr>
          <w:color w:val="000000" w:themeColor="text1"/>
          <w:sz w:val="16"/>
          <w:szCs w:val="16"/>
        </w:rPr>
        <w:softHyphen/>
        <w:t>ным режимом полета на Ил-10 на вы</w:t>
      </w:r>
      <w:r w:rsidRPr="00F90EAE">
        <w:rPr>
          <w:color w:val="000000" w:themeColor="text1"/>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F90EAE">
        <w:rPr>
          <w:color w:val="000000" w:themeColor="text1"/>
          <w:sz w:val="16"/>
          <w:szCs w:val="16"/>
        </w:rPr>
        <w:softHyphen/>
        <w:t>рызгивались свечи, мотор трясло. По</w:t>
      </w:r>
      <w:r w:rsidRPr="00F90EAE">
        <w:rPr>
          <w:color w:val="000000" w:themeColor="text1"/>
          <w:sz w:val="16"/>
          <w:szCs w:val="16"/>
        </w:rPr>
        <w:softHyphen/>
        <w:t>этому в частях реально летали на ре</w:t>
      </w:r>
      <w:r w:rsidRPr="00F90EAE">
        <w:rPr>
          <w:color w:val="000000" w:themeColor="text1"/>
          <w:sz w:val="16"/>
          <w:szCs w:val="16"/>
        </w:rPr>
        <w:softHyphen/>
        <w:t>жиме: 1700 об/мин и 750 мм.рт.ст. По этой причине не добирали по дально</w:t>
      </w:r>
      <w:r w:rsidRPr="00F90EAE">
        <w:rPr>
          <w:color w:val="000000" w:themeColor="text1"/>
          <w:sz w:val="16"/>
          <w:szCs w:val="16"/>
        </w:rPr>
        <w:softHyphen/>
        <w:t>сти примерно 5 минут полета, что со</w:t>
      </w:r>
      <w:r w:rsidRPr="00F90EAE">
        <w:rPr>
          <w:color w:val="000000" w:themeColor="text1"/>
          <w:sz w:val="16"/>
          <w:szCs w:val="16"/>
        </w:rPr>
        <w:softHyphen/>
        <w:t>вершенно не отражалось на выполне</w:t>
      </w:r>
      <w:r w:rsidRPr="00F90EAE">
        <w:rPr>
          <w:color w:val="000000" w:themeColor="text1"/>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30F00F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сравнении с Ил-2 самолет Ил-10 при выполнении фигур высшего пи</w:t>
      </w:r>
      <w:r w:rsidRPr="00F90EAE">
        <w:rPr>
          <w:color w:val="000000" w:themeColor="text1"/>
          <w:sz w:val="16"/>
          <w:szCs w:val="16"/>
        </w:rPr>
        <w:softHyphen/>
        <w:t>лотажа оказался более устойчив, осо</w:t>
      </w:r>
      <w:r w:rsidRPr="00F90EAE">
        <w:rPr>
          <w:color w:val="000000" w:themeColor="text1"/>
          <w:sz w:val="16"/>
          <w:szCs w:val="16"/>
        </w:rPr>
        <w:softHyphen/>
        <w:t>бенно на виражах.</w:t>
      </w:r>
    </w:p>
    <w:p w14:paraId="049625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общему мнению, для успешного боевого применения и эксплуатации Ил-10 требуется только хорошая и от</w:t>
      </w:r>
      <w:r w:rsidRPr="00F90EAE">
        <w:rPr>
          <w:color w:val="000000" w:themeColor="text1"/>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F90EAE">
        <w:rPr>
          <w:color w:val="000000" w:themeColor="text1"/>
          <w:sz w:val="16"/>
          <w:szCs w:val="16"/>
        </w:rPr>
        <w:softHyphen/>
        <w:t>чали, что «десятка» «совершенно не терпит летного состава, недостаточно оттренированного во взлете и посад</w:t>
      </w:r>
      <w:r w:rsidRPr="00F90EAE">
        <w:rPr>
          <w:color w:val="000000" w:themeColor="text1"/>
          <w:sz w:val="16"/>
          <w:szCs w:val="16"/>
        </w:rPr>
        <w:softHyphen/>
        <w:t>ке»: «Самолет требует исключитель</w:t>
      </w:r>
      <w:r w:rsidRPr="00F90EAE">
        <w:rPr>
          <w:color w:val="000000" w:themeColor="text1"/>
          <w:sz w:val="16"/>
          <w:szCs w:val="16"/>
        </w:rPr>
        <w:softHyphen/>
        <w:t>но низкого истребительного подхода, а на взлете в первой половине разбега имеет тенденцию к рысканию, в боль</w:t>
      </w:r>
      <w:r w:rsidRPr="00F90EAE">
        <w:rPr>
          <w:color w:val="000000" w:themeColor="text1"/>
          <w:sz w:val="16"/>
          <w:szCs w:val="16"/>
        </w:rPr>
        <w:softHyphen/>
        <w:t>шинстве случаев с отклонением впра</w:t>
      </w:r>
      <w:r w:rsidRPr="00F90EAE">
        <w:rPr>
          <w:color w:val="000000" w:themeColor="text1"/>
          <w:sz w:val="16"/>
          <w:szCs w:val="16"/>
        </w:rPr>
        <w:softHyphen/>
        <w:t>во. ...Самолет требует исключитель</w:t>
      </w:r>
      <w:r w:rsidRPr="00F90EAE">
        <w:rPr>
          <w:color w:val="000000" w:themeColor="text1"/>
          <w:sz w:val="16"/>
          <w:szCs w:val="16"/>
        </w:rPr>
        <w:softHyphen/>
        <w:t>ного внимания, так как рулит неустой</w:t>
      </w:r>
      <w:r w:rsidRPr="00F90EAE">
        <w:rPr>
          <w:color w:val="000000" w:themeColor="text1"/>
          <w:sz w:val="16"/>
          <w:szCs w:val="16"/>
        </w:rPr>
        <w:softHyphen/>
        <w:t>чиво. При невнимательном или негра</w:t>
      </w:r>
      <w:r w:rsidRPr="00F90EAE">
        <w:rPr>
          <w:color w:val="000000" w:themeColor="text1"/>
          <w:sz w:val="16"/>
          <w:szCs w:val="16"/>
        </w:rPr>
        <w:softHyphen/>
        <w:t>мотном действии можно вращение на 360° и неоднократно».</w:t>
      </w:r>
    </w:p>
    <w:p w14:paraId="0F2AA9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Тенденция к развороту вправо обуславливалась сильным реактивным моментом вращающегося винта и уз</w:t>
      </w:r>
      <w:r w:rsidRPr="00F90EAE">
        <w:rPr>
          <w:color w:val="000000" w:themeColor="text1"/>
          <w:sz w:val="16"/>
          <w:szCs w:val="16"/>
        </w:rPr>
        <w:softHyphen/>
        <w:t>кой колеей шасси. Последнее в сово</w:t>
      </w:r>
      <w:r w:rsidRPr="00F90EAE">
        <w:rPr>
          <w:color w:val="000000" w:themeColor="text1"/>
          <w:sz w:val="16"/>
          <w:szCs w:val="16"/>
        </w:rPr>
        <w:softHyphen/>
        <w:t>купности с недостаточным обзором вперед приводило к тому, что даже лет</w:t>
      </w:r>
      <w:r w:rsidRPr="00F90EAE">
        <w:rPr>
          <w:color w:val="000000" w:themeColor="text1"/>
          <w:sz w:val="16"/>
          <w:szCs w:val="16"/>
        </w:rPr>
        <w:softHyphen/>
        <w:t>чик с хорошей техникой пилотирова</w:t>
      </w:r>
      <w:r w:rsidRPr="00F90EAE">
        <w:rPr>
          <w:color w:val="000000" w:themeColor="text1"/>
          <w:sz w:val="16"/>
          <w:szCs w:val="16"/>
        </w:rPr>
        <w:softHyphen/>
        <w:t>ния не всегда мог выдержать направ</w:t>
      </w:r>
      <w:r w:rsidRPr="00F90EAE">
        <w:rPr>
          <w:color w:val="000000" w:themeColor="text1"/>
          <w:sz w:val="16"/>
          <w:szCs w:val="16"/>
        </w:rPr>
        <w:softHyphen/>
        <w:t>ление взлета, особенно с сильным бо</w:t>
      </w:r>
      <w:r w:rsidRPr="00F90EAE">
        <w:rPr>
          <w:color w:val="000000" w:themeColor="text1"/>
          <w:sz w:val="16"/>
          <w:szCs w:val="16"/>
        </w:rPr>
        <w:softHyphen/>
        <w:t>ковым ветром. Чтобы взлететь при сильном боковом ветре опытные лет</w:t>
      </w:r>
      <w:r w:rsidRPr="00F90EAE">
        <w:rPr>
          <w:color w:val="000000" w:themeColor="text1"/>
          <w:sz w:val="16"/>
          <w:szCs w:val="16"/>
        </w:rPr>
        <w:softHyphen/>
        <w:t>чики зачастую сознательно шли на на</w:t>
      </w:r>
      <w:r w:rsidRPr="00F90EAE">
        <w:rPr>
          <w:color w:val="000000" w:themeColor="text1"/>
          <w:sz w:val="16"/>
          <w:szCs w:val="16"/>
        </w:rPr>
        <w:softHyphen/>
        <w:t>рушение инструкции: для парирования разворота самолета вследствие сильного ветра кратковременно нажи</w:t>
      </w:r>
      <w:r w:rsidRPr="00F90EAE">
        <w:rPr>
          <w:color w:val="000000" w:themeColor="text1"/>
          <w:sz w:val="16"/>
          <w:szCs w:val="16"/>
        </w:rPr>
        <w:softHyphen/>
        <w:t>мали на тормоз. «Молодые» же подоб</w:t>
      </w:r>
      <w:r w:rsidRPr="00F90EAE">
        <w:rPr>
          <w:color w:val="000000" w:themeColor="text1"/>
          <w:sz w:val="16"/>
          <w:szCs w:val="16"/>
        </w:rPr>
        <w:softHyphen/>
        <w:t>ных вольностей позволить себе не мог</w:t>
      </w:r>
      <w:r w:rsidRPr="00F90EAE">
        <w:rPr>
          <w:color w:val="000000" w:themeColor="text1"/>
          <w:sz w:val="16"/>
          <w:szCs w:val="16"/>
        </w:rPr>
        <w:softHyphen/>
        <w:t>ли - в результате их разворачивало по</w:t>
      </w:r>
      <w:r w:rsidRPr="00F90EAE">
        <w:rPr>
          <w:color w:val="000000" w:themeColor="text1"/>
          <w:sz w:val="16"/>
          <w:szCs w:val="16"/>
        </w:rPr>
        <w:softHyphen/>
        <w:t>перек полосы, и они прекращали взлет. С подобной особенностью Ил-10 стол</w:t>
      </w:r>
      <w:r w:rsidRPr="00F90EAE">
        <w:rPr>
          <w:color w:val="000000" w:themeColor="text1"/>
          <w:sz w:val="16"/>
          <w:szCs w:val="16"/>
        </w:rPr>
        <w:softHyphen/>
        <w:t>кнулись абсолютно во всех штурмовых авиаполках.</w:t>
      </w:r>
    </w:p>
    <w:p w14:paraId="72B183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Именно по этой причине л-т Г. А. Веселов из 571-го шап 15 апреля раз</w:t>
      </w:r>
      <w:r w:rsidRPr="00F90EAE">
        <w:rPr>
          <w:color w:val="000000" w:themeColor="text1"/>
          <w:sz w:val="16"/>
          <w:szCs w:val="16"/>
        </w:rPr>
        <w:softHyphen/>
        <w:t>бил свой самолет при взлете на боевое задание.</w:t>
      </w:r>
    </w:p>
    <w:p w14:paraId="1F0D95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на взлете потерпел ава</w:t>
      </w:r>
      <w:r w:rsidRPr="00F90EAE">
        <w:rPr>
          <w:color w:val="000000" w:themeColor="text1"/>
          <w:sz w:val="16"/>
          <w:szCs w:val="16"/>
        </w:rPr>
        <w:softHyphen/>
        <w:t>рию командир звена 108-го ГШАП л-т Е. А. Молтаков. В начале разбега само</w:t>
      </w:r>
      <w:r w:rsidRPr="00F90EAE">
        <w:rPr>
          <w:color w:val="000000" w:themeColor="text1"/>
          <w:sz w:val="16"/>
          <w:szCs w:val="16"/>
        </w:rPr>
        <w:softHyphen/>
        <w:t>лет развернулся вправо на 7-8°, сво</w:t>
      </w:r>
      <w:r w:rsidRPr="00F90EAE">
        <w:rPr>
          <w:color w:val="000000" w:themeColor="text1"/>
          <w:sz w:val="16"/>
          <w:szCs w:val="16"/>
        </w:rPr>
        <w:softHyphen/>
        <w:t>евременно парировать разворот лет</w:t>
      </w:r>
      <w:r w:rsidRPr="00F90EAE">
        <w:rPr>
          <w:color w:val="000000" w:themeColor="text1"/>
          <w:sz w:val="16"/>
          <w:szCs w:val="16"/>
        </w:rPr>
        <w:softHyphen/>
        <w:t>чик не смог. Самолет, выйдя с укатан</w:t>
      </w:r>
      <w:r w:rsidRPr="00F90EAE">
        <w:rPr>
          <w:color w:val="000000" w:themeColor="text1"/>
          <w:sz w:val="16"/>
          <w:szCs w:val="16"/>
        </w:rPr>
        <w:softHyphen/>
        <w:t>ной полосы правым колесом, развер</w:t>
      </w:r>
      <w:r w:rsidRPr="00F90EAE">
        <w:rPr>
          <w:color w:val="000000" w:themeColor="text1"/>
          <w:sz w:val="16"/>
          <w:szCs w:val="16"/>
        </w:rPr>
        <w:softHyphen/>
        <w:t>нулся вправо еще больше. Однако Мол</w:t>
      </w:r>
      <w:r w:rsidRPr="00F90EAE">
        <w:rPr>
          <w:color w:val="000000" w:themeColor="text1"/>
          <w:sz w:val="16"/>
          <w:szCs w:val="16"/>
        </w:rPr>
        <w:softHyphen/>
        <w:t>таков взлет не прекратил, «дал форсаж и подорвал машину». Самолет свалил</w:t>
      </w:r>
      <w:r w:rsidRPr="00F90EAE">
        <w:rPr>
          <w:color w:val="000000" w:themeColor="text1"/>
          <w:sz w:val="16"/>
          <w:szCs w:val="16"/>
        </w:rPr>
        <w:softHyphen/>
        <w:t>ся на правое крыло и скапотировал. Экипаж получил ранения и отправлен в госпиталь, а Ил-10 зав. № 103051 -списан.</w:t>
      </w:r>
    </w:p>
    <w:p w14:paraId="672CE9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F90EAE">
        <w:rPr>
          <w:color w:val="000000" w:themeColor="text1"/>
          <w:sz w:val="16"/>
          <w:szCs w:val="16"/>
        </w:rPr>
        <w:softHyphen/>
        <w:t>мандира полка по воздушно-стрелко</w:t>
      </w:r>
      <w:r w:rsidRPr="00F90EAE">
        <w:rPr>
          <w:color w:val="000000" w:themeColor="text1"/>
          <w:sz w:val="16"/>
          <w:szCs w:val="16"/>
        </w:rPr>
        <w:softHyphen/>
        <w:t>вой службе м-р Шагинов.</w:t>
      </w:r>
    </w:p>
    <w:p w14:paraId="40FB2E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отношении стрелково-пушечного вооружения нового штурмовика летный состав указывал, что оно не отличается от Ил-2, но пневмо-электрическое уп</w:t>
      </w:r>
      <w:r w:rsidRPr="00F90EAE">
        <w:rPr>
          <w:color w:val="000000" w:themeColor="text1"/>
          <w:sz w:val="16"/>
          <w:szCs w:val="16"/>
        </w:rPr>
        <w:softHyphen/>
        <w:t>равление огнем из пушек и пулеметов «исключительноудобное, облегчает ра</w:t>
      </w:r>
      <w:r w:rsidRPr="00F90EAE">
        <w:rPr>
          <w:color w:val="000000" w:themeColor="text1"/>
          <w:sz w:val="16"/>
          <w:szCs w:val="16"/>
        </w:rPr>
        <w:softHyphen/>
        <w:t>боту летчика и сделано удачно».</w:t>
      </w:r>
    </w:p>
    <w:p w14:paraId="7F462A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F90EAE">
        <w:rPr>
          <w:color w:val="000000" w:themeColor="text1"/>
          <w:sz w:val="16"/>
          <w:szCs w:val="16"/>
        </w:rPr>
        <w:softHyphen/>
        <w:t>рытия створок требовала усилий до 20 кг и к тому же была крайне несовер</w:t>
      </w:r>
      <w:r w:rsidRPr="00F90EAE">
        <w:rPr>
          <w:color w:val="000000" w:themeColor="text1"/>
          <w:sz w:val="16"/>
          <w:szCs w:val="16"/>
        </w:rPr>
        <w:softHyphen/>
        <w:t>шенной -тросы часто обрывались и за</w:t>
      </w:r>
      <w:r w:rsidRPr="00F90EAE">
        <w:rPr>
          <w:color w:val="000000" w:themeColor="text1"/>
          <w:sz w:val="16"/>
          <w:szCs w:val="16"/>
        </w:rPr>
        <w:softHyphen/>
        <w:t>едали. Все это приводило ктому, что над целью экипажи после сброса бомб за</w:t>
      </w:r>
      <w:r w:rsidRPr="00F90EAE">
        <w:rPr>
          <w:color w:val="000000" w:themeColor="text1"/>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F90EAE">
        <w:rPr>
          <w:color w:val="000000" w:themeColor="text1"/>
          <w:sz w:val="16"/>
          <w:szCs w:val="16"/>
        </w:rPr>
        <w:softHyphen/>
        <w:t>лись. Кроме этого, имелись случаи, ког</w:t>
      </w:r>
      <w:r w:rsidRPr="00F90EAE">
        <w:rPr>
          <w:color w:val="000000" w:themeColor="text1"/>
          <w:sz w:val="16"/>
          <w:szCs w:val="16"/>
        </w:rPr>
        <w:softHyphen/>
        <w:t>да створки бомбовых отсеков открыва</w:t>
      </w:r>
      <w:r w:rsidRPr="00F90EAE">
        <w:rPr>
          <w:color w:val="000000" w:themeColor="text1"/>
          <w:sz w:val="16"/>
          <w:szCs w:val="16"/>
        </w:rPr>
        <w:softHyphen/>
        <w:t>лись не полностью и бомбы зависали.</w:t>
      </w:r>
    </w:p>
    <w:p w14:paraId="41E3D4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5C64EB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Что касается вопросов эксплуатации самолета Ил-10, то, помимо недостатков винтомоторной группы, выявилось весь</w:t>
      </w:r>
      <w:r w:rsidRPr="00F90EAE">
        <w:rPr>
          <w:color w:val="000000" w:themeColor="text1"/>
          <w:sz w:val="16"/>
          <w:szCs w:val="16"/>
        </w:rPr>
        <w:softHyphen/>
        <w:t>ма много конструктивных дефектов ма</w:t>
      </w:r>
      <w:r w:rsidRPr="00F90EAE">
        <w:rPr>
          <w:color w:val="000000" w:themeColor="text1"/>
          <w:sz w:val="16"/>
          <w:szCs w:val="16"/>
        </w:rPr>
        <w:softHyphen/>
        <w:t>шины и различных систем. При этом ряд из них были очень и очень серьезными.</w:t>
      </w:r>
    </w:p>
    <w:p w14:paraId="26B966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деформа</w:t>
      </w:r>
      <w:r w:rsidRPr="00F90EAE">
        <w:rPr>
          <w:color w:val="000000" w:themeColor="text1"/>
          <w:sz w:val="16"/>
          <w:szCs w:val="16"/>
        </w:rPr>
        <w:softHyphen/>
        <w:t>ции верхней и нижней обшивки кон</w:t>
      </w:r>
      <w:r w:rsidRPr="00F90EAE">
        <w:rPr>
          <w:color w:val="000000" w:themeColor="text1"/>
          <w:sz w:val="16"/>
          <w:szCs w:val="16"/>
        </w:rPr>
        <w:softHyphen/>
        <w:t>сольной части крыла, срез и отрыв зак</w:t>
      </w:r>
      <w:r w:rsidRPr="00F90EAE">
        <w:rPr>
          <w:color w:val="000000" w:themeColor="text1"/>
          <w:sz w:val="16"/>
          <w:szCs w:val="16"/>
        </w:rPr>
        <w:softHyphen/>
        <w:t>лепок. На некоторых машинах наблю</w:t>
      </w:r>
      <w:r w:rsidRPr="00F90EAE">
        <w:rPr>
          <w:color w:val="000000" w:themeColor="text1"/>
          <w:sz w:val="16"/>
          <w:szCs w:val="16"/>
        </w:rPr>
        <w:softHyphen/>
        <w:t>далось отставание листов нижней об</w:t>
      </w:r>
      <w:r w:rsidRPr="00F90EAE">
        <w:rPr>
          <w:color w:val="000000" w:themeColor="text1"/>
          <w:sz w:val="16"/>
          <w:szCs w:val="16"/>
        </w:rPr>
        <w:softHyphen/>
        <w:t>шивки центроплана, сопровождавше</w:t>
      </w:r>
      <w:r w:rsidRPr="00F90EAE">
        <w:rPr>
          <w:color w:val="000000" w:themeColor="text1"/>
          <w:sz w:val="16"/>
          <w:szCs w:val="16"/>
        </w:rPr>
        <w:softHyphen/>
        <w:t>еся срезом заклепок по шву крепления листов к угольнику на бронекорпусе. Имелись случаи ослабления заклепоч</w:t>
      </w:r>
      <w:r w:rsidRPr="00F90EAE">
        <w:rPr>
          <w:color w:val="000000" w:themeColor="text1"/>
          <w:sz w:val="16"/>
          <w:szCs w:val="16"/>
        </w:rPr>
        <w:softHyphen/>
        <w:t>ных швов обшивки фюзеляжа в облас</w:t>
      </w:r>
      <w:r w:rsidRPr="00F90EAE">
        <w:rPr>
          <w:color w:val="000000" w:themeColor="text1"/>
          <w:sz w:val="16"/>
          <w:szCs w:val="16"/>
        </w:rPr>
        <w:softHyphen/>
        <w:t>ти крепления костыльной установки, а также по листу перехода килевой час</w:t>
      </w:r>
      <w:r w:rsidRPr="00F90EAE">
        <w:rPr>
          <w:color w:val="000000" w:themeColor="text1"/>
          <w:sz w:val="16"/>
          <w:szCs w:val="16"/>
        </w:rPr>
        <w:softHyphen/>
        <w:t>ти фюзеляжа. Система шасси оказалась довольно слабой в прочностном отно</w:t>
      </w:r>
      <w:r w:rsidRPr="00F90EAE">
        <w:rPr>
          <w:color w:val="000000" w:themeColor="text1"/>
          <w:sz w:val="16"/>
          <w:szCs w:val="16"/>
        </w:rPr>
        <w:softHyphen/>
        <w:t>шении и ненадежной: ломались скла</w:t>
      </w:r>
      <w:r w:rsidRPr="00F90EAE">
        <w:rPr>
          <w:color w:val="000000" w:themeColor="text1"/>
          <w:sz w:val="16"/>
          <w:szCs w:val="16"/>
        </w:rPr>
        <w:softHyphen/>
        <w:t>дывающиеся подкосы шасси и обтека</w:t>
      </w:r>
      <w:r w:rsidRPr="00F90EAE">
        <w:rPr>
          <w:color w:val="000000" w:themeColor="text1"/>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31A33D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Летный состав особо указывал, что «самолет Ил-10 на пикировании не терпит резкостей в выводе, не допус</w:t>
      </w:r>
      <w:r w:rsidRPr="00F90EAE">
        <w:rPr>
          <w:color w:val="000000" w:themeColor="text1"/>
          <w:sz w:val="16"/>
          <w:szCs w:val="16"/>
        </w:rPr>
        <w:softHyphen/>
        <w:t>кает перегрузки 5,5 единиц».</w:t>
      </w:r>
    </w:p>
    <w:p w14:paraId="5E7C34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Официально результаты и особен</w:t>
      </w:r>
      <w:r w:rsidRPr="00F90EAE">
        <w:rPr>
          <w:color w:val="000000" w:themeColor="text1"/>
          <w:sz w:val="16"/>
          <w:szCs w:val="16"/>
        </w:rPr>
        <w:softHyphen/>
        <w:t>ности боевого применения и эксплу</w:t>
      </w:r>
      <w:r w:rsidRPr="00F90EAE">
        <w:rPr>
          <w:color w:val="000000" w:themeColor="text1"/>
          <w:sz w:val="16"/>
          <w:szCs w:val="16"/>
        </w:rPr>
        <w:softHyphen/>
        <w:t>атации нового штурмовика Ил-10 фик</w:t>
      </w:r>
      <w:r w:rsidRPr="00F90EAE">
        <w:rPr>
          <w:color w:val="000000" w:themeColor="text1"/>
          <w:sz w:val="16"/>
          <w:szCs w:val="16"/>
        </w:rPr>
        <w:softHyphen/>
        <w:t>сировала бригада ГК НИИ ВВС, кото</w:t>
      </w:r>
      <w:r w:rsidRPr="00F90EAE">
        <w:rPr>
          <w:color w:val="000000" w:themeColor="text1"/>
          <w:sz w:val="16"/>
          <w:szCs w:val="16"/>
        </w:rPr>
        <w:softHyphen/>
        <w:t>рая все время находилась в 108-м ГШАП, на базе которого проходили войсковые испытания Ил-10.</w:t>
      </w:r>
    </w:p>
    <w:p w14:paraId="5DF1C9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состав бригады входили: веду</w:t>
      </w:r>
      <w:r w:rsidRPr="00F90EAE">
        <w:rPr>
          <w:color w:val="000000" w:themeColor="text1"/>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1FC075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войсковых испы</w:t>
      </w:r>
      <w:r w:rsidRPr="00F90EAE">
        <w:rPr>
          <w:color w:val="000000" w:themeColor="text1"/>
          <w:sz w:val="16"/>
          <w:szCs w:val="16"/>
        </w:rPr>
        <w:softHyphen/>
        <w:t>таний к 108-му полку были прикоман</w:t>
      </w:r>
      <w:r w:rsidRPr="00F90EAE">
        <w:rPr>
          <w:color w:val="000000" w:themeColor="text1"/>
          <w:sz w:val="16"/>
          <w:szCs w:val="16"/>
        </w:rPr>
        <w:softHyphen/>
        <w:t>дированы также и несколько бригад от предприятий наркомата авиапро</w:t>
      </w:r>
      <w:r w:rsidRPr="00F90EAE">
        <w:rPr>
          <w:color w:val="000000" w:themeColor="text1"/>
          <w:sz w:val="16"/>
          <w:szCs w:val="16"/>
        </w:rPr>
        <w:softHyphen/>
        <w:t>мышленности. Бригаду специалистов 18-го авиазавода возглавлял старший инженер А. С. Руденко, 24-й моторос</w:t>
      </w:r>
      <w:r w:rsidRPr="00F90EAE">
        <w:rPr>
          <w:color w:val="000000" w:themeColor="text1"/>
          <w:sz w:val="16"/>
          <w:szCs w:val="16"/>
        </w:rPr>
        <w:softHyphen/>
        <w:t>троительный завод представлял инже</w:t>
      </w:r>
      <w:r w:rsidRPr="00F90EAE">
        <w:rPr>
          <w:color w:val="000000" w:themeColor="text1"/>
          <w:sz w:val="16"/>
          <w:szCs w:val="16"/>
        </w:rPr>
        <w:softHyphen/>
        <w:t>нер П. С. Захаров, а ОКБ Ильюшина на</w:t>
      </w:r>
      <w:r w:rsidRPr="00F90EAE">
        <w:rPr>
          <w:color w:val="000000" w:themeColor="text1"/>
          <w:sz w:val="16"/>
          <w:szCs w:val="16"/>
        </w:rPr>
        <w:softHyphen/>
        <w:t>правило двух ведущих конструкторов -Д. Л. Коклина (по вооружению) и В. А. Ерофеева (по моторной установке).</w:t>
      </w:r>
    </w:p>
    <w:p w14:paraId="355D37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выводах отчета по результатам войсковых испытаний самолета Ил-10 указывалось, что:</w:t>
      </w:r>
    </w:p>
    <w:p w14:paraId="541DEA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Бомбовая нагрузка самолета по весу, назначению и калибру подвеши</w:t>
      </w:r>
      <w:r w:rsidRPr="00F90EAE">
        <w:rPr>
          <w:color w:val="000000" w:themeColor="text1"/>
          <w:sz w:val="16"/>
          <w:szCs w:val="16"/>
        </w:rPr>
        <w:softHyphen/>
        <w:t>ваемых авиабомб обеспечивает выпол</w:t>
      </w:r>
      <w:r w:rsidRPr="00F90EAE">
        <w:rPr>
          <w:color w:val="000000" w:themeColor="text1"/>
          <w:sz w:val="16"/>
          <w:szCs w:val="16"/>
        </w:rPr>
        <w:softHyphen/>
        <w:t>нение возлагаемых на самолет-штур</w:t>
      </w:r>
      <w:r w:rsidRPr="00F90EAE">
        <w:rPr>
          <w:color w:val="000000" w:themeColor="text1"/>
          <w:sz w:val="16"/>
          <w:szCs w:val="16"/>
        </w:rPr>
        <w:softHyphen/>
        <w:t>мовик задач.</w:t>
      </w:r>
    </w:p>
    <w:p w14:paraId="1AB406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...Вооружение самолета Ил-10 по количеству боевых точек, калибру и боезапасу к ним отличия от вооруже</w:t>
      </w:r>
      <w:r w:rsidRPr="00F90EAE">
        <w:rPr>
          <w:color w:val="000000" w:themeColor="text1"/>
          <w:sz w:val="16"/>
          <w:szCs w:val="16"/>
        </w:rPr>
        <w:softHyphen/>
        <w:t>ния Ил-2 не имеет.</w:t>
      </w:r>
    </w:p>
    <w:p w14:paraId="075B5F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 действии по целям, прикры</w:t>
      </w:r>
      <w:r w:rsidRPr="00F90EAE">
        <w:rPr>
          <w:color w:val="000000" w:themeColor="text1"/>
          <w:sz w:val="16"/>
          <w:szCs w:val="16"/>
        </w:rPr>
        <w:softHyphen/>
        <w:t>тым истребителями противника, само</w:t>
      </w:r>
      <w:r w:rsidRPr="00F90EAE">
        <w:rPr>
          <w:color w:val="000000" w:themeColor="text1"/>
          <w:sz w:val="16"/>
          <w:szCs w:val="16"/>
        </w:rPr>
        <w:softHyphen/>
        <w:t>лет Ил-10 требует сопровождения в такой же степени, как и самолет Ил-2... Наличие большего диапазона скоро</w:t>
      </w:r>
      <w:r w:rsidRPr="00F90EAE">
        <w:rPr>
          <w:color w:val="000000" w:themeColor="text1"/>
          <w:sz w:val="16"/>
          <w:szCs w:val="16"/>
        </w:rPr>
        <w:softHyphen/>
        <w:t>стей и лучшей маневренности облегча</w:t>
      </w:r>
      <w:r w:rsidRPr="00F90EAE">
        <w:rPr>
          <w:color w:val="000000" w:themeColor="text1"/>
          <w:sz w:val="16"/>
          <w:szCs w:val="16"/>
        </w:rPr>
        <w:softHyphen/>
        <w:t>ет задачу истребителей сопровождения и позволяет Ил-10 вступать в актив</w:t>
      </w:r>
      <w:r w:rsidRPr="00F90EAE">
        <w:rPr>
          <w:color w:val="000000" w:themeColor="text1"/>
          <w:sz w:val="16"/>
          <w:szCs w:val="16"/>
        </w:rPr>
        <w:softHyphen/>
        <w:t>ный воздушный бой с противником.</w:t>
      </w:r>
    </w:p>
    <w:p w14:paraId="577335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.Живучесть конструкции (брони</w:t>
      </w:r>
      <w:r w:rsidRPr="00F90EAE">
        <w:rPr>
          <w:color w:val="000000" w:themeColor="text1"/>
          <w:sz w:val="16"/>
          <w:szCs w:val="16"/>
        </w:rPr>
        <w:softHyphen/>
        <w:t>рование экипажа и винтомоторной груп</w:t>
      </w:r>
      <w:r w:rsidRPr="00F90EAE">
        <w:rPr>
          <w:color w:val="000000" w:themeColor="text1"/>
          <w:sz w:val="16"/>
          <w:szCs w:val="16"/>
        </w:rPr>
        <w:softHyphen/>
        <w:t>пы) лучше, чем на самолете Ил-2, и в целом является достаточной. Уязвимы</w:t>
      </w:r>
      <w:r w:rsidRPr="00F90EAE">
        <w:rPr>
          <w:color w:val="000000" w:themeColor="text1"/>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F90EAE">
        <w:rPr>
          <w:color w:val="000000" w:themeColor="text1"/>
          <w:sz w:val="16"/>
          <w:szCs w:val="16"/>
        </w:rPr>
        <w:softHyphen/>
        <w:t>ковых испытаний в достаточной сте</w:t>
      </w:r>
      <w:r w:rsidRPr="00F90EAE">
        <w:rPr>
          <w:color w:val="000000" w:themeColor="text1"/>
          <w:sz w:val="16"/>
          <w:szCs w:val="16"/>
        </w:rPr>
        <w:softHyphen/>
        <w:t>пени не выявлены и требуют дополни</w:t>
      </w:r>
      <w:r w:rsidRPr="00F90EAE">
        <w:rPr>
          <w:color w:val="000000" w:themeColor="text1"/>
          <w:sz w:val="16"/>
          <w:szCs w:val="16"/>
        </w:rPr>
        <w:softHyphen/>
        <w:t>тельной проверки путем анализа по</w:t>
      </w:r>
      <w:r w:rsidRPr="00F90EAE">
        <w:rPr>
          <w:color w:val="000000" w:themeColor="text1"/>
          <w:sz w:val="16"/>
          <w:szCs w:val="16"/>
        </w:rPr>
        <w:softHyphen/>
        <w:t>вреждений на самолетах, находящихся в других действующих частях ВВС.</w:t>
      </w:r>
    </w:p>
    <w:p w14:paraId="79E05F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..Обзор из кабины летчика, вслед</w:t>
      </w:r>
      <w:r w:rsidRPr="00F90EAE">
        <w:rPr>
          <w:color w:val="000000" w:themeColor="text1"/>
          <w:sz w:val="16"/>
          <w:szCs w:val="16"/>
        </w:rPr>
        <w:softHyphen/>
        <w:t>ствие отсутствия обзора назад и зате</w:t>
      </w:r>
      <w:r w:rsidRPr="00F90EAE">
        <w:rPr>
          <w:color w:val="000000" w:themeColor="text1"/>
          <w:sz w:val="16"/>
          <w:szCs w:val="16"/>
        </w:rPr>
        <w:softHyphen/>
        <w:t>нения переднего стекла в плохих метео</w:t>
      </w:r>
      <w:r w:rsidRPr="00F90EAE">
        <w:rPr>
          <w:color w:val="000000" w:themeColor="text1"/>
          <w:sz w:val="16"/>
          <w:szCs w:val="16"/>
        </w:rPr>
        <w:softHyphen/>
        <w:t>условиях (дождь, снег), в сравнении с обзором на самолете Ил-2-хуже.</w:t>
      </w:r>
    </w:p>
    <w:p w14:paraId="2FB24B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...Временной механизм ВМШ-10, также как и ВМШ-2 в боевых условиях при противодействии МЗА и ЗА против</w:t>
      </w:r>
      <w:r w:rsidRPr="00F90EAE">
        <w:rPr>
          <w:color w:val="000000" w:themeColor="text1"/>
          <w:sz w:val="16"/>
          <w:szCs w:val="16"/>
        </w:rPr>
        <w:softHyphen/>
        <w:t>ника использовать невозможно, так как ВМШ-10 требует длительного нахож</w:t>
      </w:r>
      <w:r w:rsidRPr="00F90EAE">
        <w:rPr>
          <w:color w:val="000000" w:themeColor="text1"/>
          <w:sz w:val="16"/>
          <w:szCs w:val="16"/>
        </w:rPr>
        <w:softHyphen/>
        <w:t>дения над целью без ПЗМ.</w:t>
      </w:r>
    </w:p>
    <w:p w14:paraId="660D0A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Основным методом бомбомета</w:t>
      </w:r>
      <w:r w:rsidRPr="00F90EAE">
        <w:rPr>
          <w:color w:val="000000" w:themeColor="text1"/>
          <w:sz w:val="16"/>
          <w:szCs w:val="16"/>
        </w:rPr>
        <w:softHyphen/>
        <w:t>ния в боевых условиях на самолете Ил-10 принят" тот же, что и для Ил-2, с той лишь разницей, что:</w:t>
      </w:r>
    </w:p>
    <w:p w14:paraId="1D6533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 возросли углы планирования с 30° до 50°,</w:t>
      </w:r>
    </w:p>
    <w:p w14:paraId="4E791A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возросла скорость ввода в пики</w:t>
      </w:r>
      <w:r w:rsidRPr="00F90EAE">
        <w:rPr>
          <w:color w:val="000000" w:themeColor="text1"/>
          <w:sz w:val="16"/>
          <w:szCs w:val="16"/>
        </w:rPr>
        <w:softHyphen/>
        <w:t>рование от 320 до 350 км/ч,</w:t>
      </w:r>
    </w:p>
    <w:p w14:paraId="16EBF1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скорость вывода из пикирования выросла до 500-600 км/ч,</w:t>
      </w:r>
    </w:p>
    <w:p w14:paraId="749023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улучшилась маневренность само</w:t>
      </w:r>
      <w:r w:rsidRPr="00F90EAE">
        <w:rPr>
          <w:color w:val="000000" w:themeColor="text1"/>
          <w:sz w:val="16"/>
          <w:szCs w:val="16"/>
        </w:rPr>
        <w:softHyphen/>
        <w:t>лета.</w:t>
      </w:r>
    </w:p>
    <w:p w14:paraId="58C176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обслуживании и эксплуатации Ил-10 проще и удобнее, чем Ил-2, одна</w:t>
      </w:r>
      <w:r w:rsidRPr="00F90EAE">
        <w:rPr>
          <w:color w:val="000000" w:themeColor="text1"/>
          <w:sz w:val="16"/>
          <w:szCs w:val="16"/>
        </w:rPr>
        <w:softHyphen/>
        <w:t>ко ряд производственных и конструк</w:t>
      </w:r>
      <w:r w:rsidRPr="00F90EAE">
        <w:rPr>
          <w:color w:val="000000" w:themeColor="text1"/>
          <w:sz w:val="16"/>
          <w:szCs w:val="16"/>
        </w:rPr>
        <w:softHyphen/>
        <w:t>тивных дефектов усложняет эксплуа-</w:t>
      </w:r>
    </w:p>
    <w:p w14:paraId="10DF91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тацию.</w:t>
      </w:r>
    </w:p>
    <w:p w14:paraId="6BDC32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...Время подготовки Ил-10 к бое</w:t>
      </w:r>
      <w:r w:rsidRPr="00F90EAE">
        <w:rPr>
          <w:color w:val="000000" w:themeColor="text1"/>
          <w:sz w:val="16"/>
          <w:szCs w:val="16"/>
        </w:rPr>
        <w:softHyphen/>
        <w:t>вым вылетам, механиком и мотористом практически такое же, что и время, по</w:t>
      </w:r>
      <w:r w:rsidRPr="00F90EAE">
        <w:rPr>
          <w:color w:val="000000" w:themeColor="text1"/>
          <w:sz w:val="16"/>
          <w:szCs w:val="16"/>
        </w:rPr>
        <w:softHyphen/>
        <w:t>требное для Ил-2...</w:t>
      </w:r>
    </w:p>
    <w:p w14:paraId="797858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18F214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.Цельнометаллическая конструк</w:t>
      </w:r>
      <w:r w:rsidRPr="00F90EAE">
        <w:rPr>
          <w:color w:val="000000" w:themeColor="text1"/>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F90EAE">
        <w:rPr>
          <w:color w:val="000000" w:themeColor="text1"/>
          <w:sz w:val="16"/>
          <w:szCs w:val="16"/>
        </w:rPr>
        <w:softHyphen/>
        <w:t>онным люком в фюзеляже, обеспечива</w:t>
      </w:r>
      <w:r w:rsidRPr="00F90EAE">
        <w:rPr>
          <w:color w:val="000000" w:themeColor="text1"/>
          <w:sz w:val="16"/>
          <w:szCs w:val="16"/>
        </w:rPr>
        <w:softHyphen/>
        <w:t>ющим хороший подход к трубопроводам, агрегатам и управлению...»</w:t>
      </w:r>
    </w:p>
    <w:p w14:paraId="1A0636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отмечалось, что по тех</w:t>
      </w:r>
      <w:r w:rsidRPr="00F90EAE">
        <w:rPr>
          <w:color w:val="000000" w:themeColor="text1"/>
          <w:sz w:val="16"/>
          <w:szCs w:val="16"/>
        </w:rPr>
        <w:softHyphen/>
        <w:t>нике пилотирования самолет прост. Имея лучшую устойчивость, хорошую управляемость и более высокую манев</w:t>
      </w:r>
      <w:r w:rsidRPr="00F90EAE">
        <w:rPr>
          <w:color w:val="000000" w:themeColor="text1"/>
          <w:sz w:val="16"/>
          <w:szCs w:val="16"/>
        </w:rPr>
        <w:softHyphen/>
        <w:t>ренность, Ил-10, в сравнении с Ил-2, охотно прощает летному составу ошиб</w:t>
      </w:r>
      <w:r w:rsidRPr="00F90EAE">
        <w:rPr>
          <w:color w:val="000000" w:themeColor="text1"/>
          <w:sz w:val="16"/>
          <w:szCs w:val="16"/>
        </w:rPr>
        <w:softHyphen/>
        <w:t>ки и не утомляет летчика при полете в болтанку. Переучивание летного и инженерно-технического составов, работавших на самолете Ил-2 АМ-38ф, при переходе на Ил-10 АМ-42 трудно</w:t>
      </w:r>
      <w:r w:rsidRPr="00F90EAE">
        <w:rPr>
          <w:color w:val="000000" w:themeColor="text1"/>
          <w:sz w:val="16"/>
          <w:szCs w:val="16"/>
        </w:rPr>
        <w:softHyphen/>
        <w:t>сти не представляет. Летному составу достаточно 10-15 учебно-тренировоч</w:t>
      </w:r>
      <w:r w:rsidRPr="00F90EAE">
        <w:rPr>
          <w:color w:val="000000" w:themeColor="text1"/>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7B580B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Простота в технике пилотирова</w:t>
      </w:r>
      <w:r w:rsidRPr="00F90EAE">
        <w:rPr>
          <w:color w:val="000000" w:themeColor="text1"/>
          <w:sz w:val="16"/>
          <w:szCs w:val="16"/>
        </w:rPr>
        <w:softHyphen/>
        <w:t>ния и сравнительно легкий переход к экс</w:t>
      </w:r>
      <w:r w:rsidRPr="00F90EAE">
        <w:rPr>
          <w:color w:val="000000" w:themeColor="text1"/>
          <w:sz w:val="16"/>
          <w:szCs w:val="16"/>
        </w:rPr>
        <w:softHyphen/>
        <w:t>плуатации Ил-10 как летным, так и тех</w:t>
      </w:r>
      <w:r w:rsidRPr="00F90EAE">
        <w:rPr>
          <w:color w:val="000000" w:themeColor="text1"/>
          <w:sz w:val="16"/>
          <w:szCs w:val="16"/>
        </w:rPr>
        <w:softHyphen/>
        <w:t>ническим составом дают возможность перевооружить штурмовые авиачасти на этот самолет в самые кратчайшие сро</w:t>
      </w:r>
      <w:r w:rsidRPr="00F90EAE">
        <w:rPr>
          <w:color w:val="000000" w:themeColor="text1"/>
          <w:sz w:val="16"/>
          <w:szCs w:val="16"/>
        </w:rPr>
        <w:softHyphen/>
        <w:t>ки. ..», - указывалось в выводах отчета.</w:t>
      </w:r>
    </w:p>
    <w:p w14:paraId="7BB085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качестве основных дефектов Ил-10-го Госкомиссия отметила следующие:</w:t>
      </w:r>
    </w:p>
    <w:p w14:paraId="3DF4B7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Неудовлетворительная конст</w:t>
      </w:r>
      <w:r w:rsidRPr="00F90EAE">
        <w:rPr>
          <w:color w:val="000000" w:themeColor="text1"/>
          <w:sz w:val="16"/>
          <w:szCs w:val="16"/>
        </w:rPr>
        <w:softHyphen/>
        <w:t>рукция фонаря кабины (трудно откры</w:t>
      </w:r>
      <w:r w:rsidRPr="00F90EAE">
        <w:rPr>
          <w:color w:val="000000" w:themeColor="text1"/>
          <w:sz w:val="16"/>
          <w:szCs w:val="16"/>
        </w:rPr>
        <w:softHyphen/>
        <w:t>вается на земле, рулежка и полет в сложных метеоусловиях с открытым фонарем невозможны).</w:t>
      </w:r>
    </w:p>
    <w:p w14:paraId="701D51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Отсутствует обзор назад из ка</w:t>
      </w:r>
      <w:r w:rsidRPr="00F90EAE">
        <w:rPr>
          <w:color w:val="000000" w:themeColor="text1"/>
          <w:sz w:val="16"/>
          <w:szCs w:val="16"/>
        </w:rPr>
        <w:softHyphen/>
        <w:t>бины летчика (необходимо сделать в бронеспинке вставку из прозрачного бронестекла по типу самолета Ил-2).</w:t>
      </w:r>
    </w:p>
    <w:p w14:paraId="2FC293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Велики усилия на ручку управле</w:t>
      </w:r>
      <w:r w:rsidRPr="00F90EAE">
        <w:rPr>
          <w:color w:val="000000" w:themeColor="text1"/>
          <w:sz w:val="16"/>
          <w:szCs w:val="16"/>
        </w:rPr>
        <w:softHyphen/>
        <w:t>ния от элеронов на скорости выше 400 км/час.</w:t>
      </w:r>
    </w:p>
    <w:p w14:paraId="56B40A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..Обтекатели (лопухи) колес шасси</w:t>
      </w:r>
    </w:p>
    <w:p w14:paraId="53F391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рулежке и посадке на мягком грунте и зимой в снег зарываются, деформиру</w:t>
      </w:r>
      <w:r w:rsidRPr="00F90EAE">
        <w:rPr>
          <w:color w:val="000000" w:themeColor="text1"/>
          <w:sz w:val="16"/>
          <w:szCs w:val="16"/>
        </w:rPr>
        <w:softHyphen/>
        <w:t>ются и тормозят движение самолета.</w:t>
      </w:r>
    </w:p>
    <w:p w14:paraId="422D85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Тросы везде рвутся: и ограничи</w:t>
      </w:r>
      <w:r w:rsidRPr="00F90EAE">
        <w:rPr>
          <w:color w:val="000000" w:themeColor="text1"/>
          <w:sz w:val="16"/>
          <w:szCs w:val="16"/>
        </w:rPr>
        <w:softHyphen/>
        <w:t>тельные тросы фонаря кабины и аварий</w:t>
      </w:r>
      <w:r w:rsidRPr="00F90EAE">
        <w:rPr>
          <w:color w:val="000000" w:themeColor="text1"/>
          <w:sz w:val="16"/>
          <w:szCs w:val="16"/>
        </w:rPr>
        <w:softHyphen/>
        <w:t>ного выпуска шасси, и системы управле</w:t>
      </w:r>
      <w:r w:rsidRPr="00F90EAE">
        <w:rPr>
          <w:color w:val="000000" w:themeColor="text1"/>
          <w:sz w:val="16"/>
          <w:szCs w:val="16"/>
        </w:rPr>
        <w:softHyphen/>
        <w:t>ния, а также тросы стопора костыля.</w:t>
      </w:r>
    </w:p>
    <w:p w14:paraId="675F78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...Прочность покрышек колес 800x260 мм, как и эффективность тор</w:t>
      </w:r>
      <w:r w:rsidRPr="00F90EAE">
        <w:rPr>
          <w:color w:val="000000" w:themeColor="text1"/>
          <w:sz w:val="16"/>
          <w:szCs w:val="16"/>
        </w:rPr>
        <w:softHyphen/>
        <w:t>мозов недостаточна.</w:t>
      </w:r>
    </w:p>
    <w:p w14:paraId="54AFA8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 аварийных посадках ломает</w:t>
      </w:r>
      <w:r w:rsidRPr="00F90EAE">
        <w:rPr>
          <w:color w:val="000000" w:themeColor="text1"/>
          <w:sz w:val="16"/>
          <w:szCs w:val="16"/>
        </w:rPr>
        <w:softHyphen/>
        <w:t>ся силовая рама крепления узлов шасси и разрушаются упоры хвостового ко</w:t>
      </w:r>
      <w:r w:rsidRPr="00F90EAE">
        <w:rPr>
          <w:color w:val="000000" w:themeColor="text1"/>
          <w:sz w:val="16"/>
          <w:szCs w:val="16"/>
        </w:rPr>
        <w:softHyphen/>
        <w:t>леса при посадке с убранным костылем, а также ломается рама №14 фюзеля</w:t>
      </w:r>
      <w:r w:rsidRPr="00F90EAE">
        <w:rPr>
          <w:color w:val="000000" w:themeColor="text1"/>
          <w:sz w:val="16"/>
          <w:szCs w:val="16"/>
        </w:rPr>
        <w:softHyphen/>
        <w:t>жа.</w:t>
      </w:r>
    </w:p>
    <w:p w14:paraId="71E295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Шасси самолета при давлении воз</w:t>
      </w:r>
      <w:r w:rsidRPr="00F90EAE">
        <w:rPr>
          <w:color w:val="000000" w:themeColor="text1"/>
          <w:sz w:val="16"/>
          <w:szCs w:val="16"/>
        </w:rPr>
        <w:softHyphen/>
        <w:t>духа в системе 38 атм. на скоростях свы</w:t>
      </w:r>
      <w:r w:rsidRPr="00F90EAE">
        <w:rPr>
          <w:color w:val="000000" w:themeColor="text1"/>
          <w:sz w:val="16"/>
          <w:szCs w:val="16"/>
        </w:rPr>
        <w:softHyphen/>
        <w:t>ше 260 км/час не выпускаются».</w:t>
      </w:r>
    </w:p>
    <w:p w14:paraId="1C8FF1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заключении отчета по войсковым испытаниям Государственная комиссия сделала вывод, что Ил-10 АМ-42 войско</w:t>
      </w:r>
      <w:r w:rsidRPr="00F90EAE">
        <w:rPr>
          <w:color w:val="000000" w:themeColor="text1"/>
          <w:sz w:val="16"/>
          <w:szCs w:val="16"/>
        </w:rPr>
        <w:softHyphen/>
        <w:t>вые испытания выдержал удовлетвори</w:t>
      </w:r>
      <w:r w:rsidRPr="00F90EAE">
        <w:rPr>
          <w:color w:val="000000" w:themeColor="text1"/>
          <w:sz w:val="16"/>
          <w:szCs w:val="16"/>
        </w:rPr>
        <w:softHyphen/>
        <w:t>тельно и является вполне современным бронированным штурмовиком ВВС КА.</w:t>
      </w:r>
    </w:p>
    <w:p w14:paraId="59366C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сожалению, ряд вопросов боево</w:t>
      </w:r>
      <w:r w:rsidRPr="00F90EAE">
        <w:rPr>
          <w:color w:val="000000" w:themeColor="text1"/>
          <w:sz w:val="16"/>
          <w:szCs w:val="16"/>
        </w:rPr>
        <w:softHyphen/>
        <w:t>го применения самолета Ил-10 в мате</w:t>
      </w:r>
      <w:r w:rsidRPr="00F90EAE">
        <w:rPr>
          <w:color w:val="000000" w:themeColor="text1"/>
          <w:sz w:val="16"/>
          <w:szCs w:val="16"/>
        </w:rPr>
        <w:softHyphen/>
        <w:t>риалах отчета по войсковым испыта</w:t>
      </w:r>
      <w:r w:rsidRPr="00F90EAE">
        <w:rPr>
          <w:color w:val="000000" w:themeColor="text1"/>
          <w:sz w:val="16"/>
          <w:szCs w:val="16"/>
        </w:rPr>
        <w:softHyphen/>
        <w:t>ниям отражены не были. В частности, не была дана оценка реальной боевой эффективности Ил-10 в сравнении с самолетом Ил-2.</w:t>
      </w:r>
    </w:p>
    <w:p w14:paraId="17F727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 же время анализ расхода бое</w:t>
      </w:r>
      <w:r w:rsidRPr="00F90EAE">
        <w:rPr>
          <w:color w:val="000000" w:themeColor="text1"/>
          <w:sz w:val="16"/>
          <w:szCs w:val="16"/>
        </w:rPr>
        <w:softHyphen/>
        <w:t>комплекта в ходе боевых действий по</w:t>
      </w:r>
      <w:r w:rsidRPr="00F90EAE">
        <w:rPr>
          <w:color w:val="000000" w:themeColor="text1"/>
          <w:sz w:val="16"/>
          <w:szCs w:val="16"/>
        </w:rPr>
        <w:softHyphen/>
        <w:t>казывает, что средняя бомбовая нагруз</w:t>
      </w:r>
      <w:r w:rsidRPr="00F90EAE">
        <w:rPr>
          <w:color w:val="000000" w:themeColor="text1"/>
          <w:sz w:val="16"/>
          <w:szCs w:val="16"/>
        </w:rPr>
        <w:softHyphen/>
        <w:t>ка Ил-10 на один самолето-вылет соста</w:t>
      </w:r>
      <w:r w:rsidRPr="00F90EAE">
        <w:rPr>
          <w:color w:val="000000" w:themeColor="text1"/>
          <w:sz w:val="16"/>
          <w:szCs w:val="16"/>
        </w:rPr>
        <w:softHyphen/>
        <w:t>вила 304 кг (разброс от 400 кг до 200 кг) или 76% нормальной бомбовой заг</w:t>
      </w:r>
      <w:r w:rsidRPr="00F90EAE">
        <w:rPr>
          <w:color w:val="000000" w:themeColor="text1"/>
          <w:sz w:val="16"/>
          <w:szCs w:val="16"/>
        </w:rPr>
        <w:softHyphen/>
        <w:t>рузки самолета. Расход боекомплекта к стрелково-пушечному вооружению в одном боевом вылете в среднем равнял</w:t>
      </w:r>
      <w:r w:rsidRPr="00F90EAE">
        <w:rPr>
          <w:color w:val="000000" w:themeColor="text1"/>
          <w:sz w:val="16"/>
          <w:szCs w:val="16"/>
        </w:rPr>
        <w:softHyphen/>
        <w:t>ся: 26 % - к пушкам ВЯ, 15% - к пулеме</w:t>
      </w:r>
      <w:r w:rsidRPr="00F90EAE">
        <w:rPr>
          <w:color w:val="000000" w:themeColor="text1"/>
          <w:sz w:val="16"/>
          <w:szCs w:val="16"/>
        </w:rPr>
        <w:softHyphen/>
        <w:t>там ШКАС и 3,6% - к пулемету УБТ.</w:t>
      </w:r>
    </w:p>
    <w:p w14:paraId="7FA75F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Безвозвратные боевые потери пол</w:t>
      </w:r>
      <w:r w:rsidRPr="00F90EAE">
        <w:rPr>
          <w:color w:val="000000" w:themeColor="text1"/>
          <w:sz w:val="16"/>
          <w:szCs w:val="16"/>
        </w:rPr>
        <w:softHyphen/>
        <w:t>ков по официальным данным составили 12 самолетов Ил-10, погибли 5 летчиков и 8 воздушных стрелков. Небоевые по</w:t>
      </w:r>
      <w:r w:rsidRPr="00F90EAE">
        <w:rPr>
          <w:color w:val="000000" w:themeColor="text1"/>
          <w:sz w:val="16"/>
          <w:szCs w:val="16"/>
        </w:rPr>
        <w:softHyphen/>
        <w:t>тери составили 11 самолетов. Налет на одну боевую потерю «десятки» соста</w:t>
      </w:r>
      <w:r w:rsidRPr="00F90EAE">
        <w:rPr>
          <w:color w:val="000000" w:themeColor="text1"/>
          <w:sz w:val="16"/>
          <w:szCs w:val="16"/>
        </w:rPr>
        <w:softHyphen/>
        <w:t>вил примерно 85 самолето-вылетов.</w:t>
      </w:r>
    </w:p>
    <w:p w14:paraId="52F5CD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Оказывается, что по всем этим по</w:t>
      </w:r>
      <w:r w:rsidRPr="00F90EAE">
        <w:rPr>
          <w:color w:val="000000" w:themeColor="text1"/>
          <w:sz w:val="16"/>
          <w:szCs w:val="16"/>
        </w:rPr>
        <w:softHyphen/>
        <w:t>казателям самолет Ил-2 в апреле-мае 1945 г. оказался даже несколько луч</w:t>
      </w:r>
      <w:r w:rsidRPr="00F90EAE">
        <w:rPr>
          <w:color w:val="000000" w:themeColor="text1"/>
          <w:sz w:val="16"/>
          <w:szCs w:val="16"/>
        </w:rPr>
        <w:softHyphen/>
        <w:t>ше самолета Ил-10.</w:t>
      </w:r>
    </w:p>
    <w:p w14:paraId="3ACA9A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боевая живучесть Ил-2 в этот период времени составляла в среднем около 90 боевых самолето-вылетов на одну безвозвратную потерю самолета.</w:t>
      </w:r>
    </w:p>
    <w:p w14:paraId="098DF1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F90EAE">
        <w:rPr>
          <w:color w:val="000000" w:themeColor="text1"/>
          <w:sz w:val="16"/>
          <w:szCs w:val="16"/>
        </w:rPr>
        <w:softHyphen/>
        <w:t>сятка» теряла управляемость, и на вы</w:t>
      </w:r>
      <w:r w:rsidRPr="00F90EAE">
        <w:rPr>
          <w:color w:val="000000" w:themeColor="text1"/>
          <w:sz w:val="16"/>
          <w:szCs w:val="16"/>
        </w:rPr>
        <w:softHyphen/>
        <w:t>нужденных посадках самолеты би</w:t>
      </w:r>
      <w:r w:rsidRPr="00F90EAE">
        <w:rPr>
          <w:color w:val="000000" w:themeColor="text1"/>
          <w:sz w:val="16"/>
          <w:szCs w:val="16"/>
        </w:rPr>
        <w:softHyphen/>
        <w:t>лись. В то же время крыло Ил-2, где использовался профиль С1агк-УН, не теряло несущих свойств даже при зна</w:t>
      </w:r>
      <w:r w:rsidRPr="00F90EAE">
        <w:rPr>
          <w:color w:val="000000" w:themeColor="text1"/>
          <w:sz w:val="16"/>
          <w:szCs w:val="16"/>
        </w:rPr>
        <w:softHyphen/>
        <w:t>чительном разрушении обшивки. Как следствие, процент списанных штур</w:t>
      </w:r>
      <w:r w:rsidRPr="00F90EAE">
        <w:rPr>
          <w:color w:val="000000" w:themeColor="text1"/>
          <w:sz w:val="16"/>
          <w:szCs w:val="16"/>
        </w:rPr>
        <w:softHyphen/>
        <w:t>мовиков Ил-10, поврежденных в бою и выполнивших вынужденные посад</w:t>
      </w:r>
      <w:r w:rsidRPr="00F90EAE">
        <w:rPr>
          <w:color w:val="000000" w:themeColor="text1"/>
          <w:sz w:val="16"/>
          <w:szCs w:val="16"/>
        </w:rPr>
        <w:softHyphen/>
        <w:t>ки, был в 2,5-2 раза выше, чем у Ил-2.</w:t>
      </w:r>
    </w:p>
    <w:p w14:paraId="2564AC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Отметим, что именно по этим при</w:t>
      </w:r>
      <w:r w:rsidRPr="00F90EAE">
        <w:rPr>
          <w:color w:val="000000" w:themeColor="text1"/>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F90EAE">
        <w:rPr>
          <w:color w:val="000000" w:themeColor="text1"/>
          <w:sz w:val="16"/>
          <w:szCs w:val="16"/>
        </w:rPr>
        <w:softHyphen/>
        <w:t>ростному профилю крыла, применен</w:t>
      </w:r>
      <w:r w:rsidRPr="00F90EAE">
        <w:rPr>
          <w:color w:val="000000" w:themeColor="text1"/>
          <w:sz w:val="16"/>
          <w:szCs w:val="16"/>
        </w:rPr>
        <w:softHyphen/>
        <w:t>ному на самолете Ил-2. Живучесть ока</w:t>
      </w:r>
      <w:r w:rsidRPr="00F90EAE">
        <w:rPr>
          <w:color w:val="000000" w:themeColor="text1"/>
          <w:sz w:val="16"/>
          <w:szCs w:val="16"/>
        </w:rPr>
        <w:softHyphen/>
        <w:t>залась превыше скорости.</w:t>
      </w:r>
    </w:p>
    <w:p w14:paraId="222E26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оценке боевой живучести не</w:t>
      </w:r>
      <w:r w:rsidRPr="00F90EAE">
        <w:rPr>
          <w:color w:val="000000" w:themeColor="text1"/>
          <w:sz w:val="16"/>
          <w:szCs w:val="16"/>
        </w:rPr>
        <w:softHyphen/>
        <w:t>обходимо также учитывать и ограни</w:t>
      </w:r>
      <w:r w:rsidRPr="00F90EAE">
        <w:rPr>
          <w:color w:val="000000" w:themeColor="text1"/>
          <w:sz w:val="16"/>
          <w:szCs w:val="16"/>
        </w:rPr>
        <w:softHyphen/>
        <w:t>ченность статистики боевых действий «десятки» в сравнении с Ил-2. Напри</w:t>
      </w:r>
      <w:r w:rsidRPr="00F90EAE">
        <w:rPr>
          <w:color w:val="000000" w:themeColor="text1"/>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F90EAE">
        <w:rPr>
          <w:color w:val="000000" w:themeColor="text1"/>
          <w:sz w:val="16"/>
          <w:szCs w:val="16"/>
        </w:rPr>
        <w:softHyphen/>
        <w:t>рит о том, что-летный состав 571-го ШАП сумел белее полно использовать высо</w:t>
      </w:r>
      <w:r w:rsidRPr="00F90EAE">
        <w:rPr>
          <w:color w:val="000000" w:themeColor="text1"/>
          <w:sz w:val="16"/>
          <w:szCs w:val="16"/>
        </w:rPr>
        <w:softHyphen/>
        <w:t>кую маневренность Ил-10, в сравнении с экипажами 108-го и 118-го ГШАП.</w:t>
      </w:r>
    </w:p>
    <w:p w14:paraId="5F7E07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расход боекомплекта са</w:t>
      </w:r>
      <w:r w:rsidRPr="00F90EAE">
        <w:rPr>
          <w:color w:val="000000" w:themeColor="text1"/>
          <w:sz w:val="16"/>
          <w:szCs w:val="16"/>
        </w:rPr>
        <w:softHyphen/>
        <w:t>молетов Ил-2 за последний месяц вой</w:t>
      </w:r>
      <w:r w:rsidRPr="00F90EAE">
        <w:rPr>
          <w:color w:val="000000" w:themeColor="text1"/>
          <w:sz w:val="16"/>
          <w:szCs w:val="16"/>
        </w:rPr>
        <w:softHyphen/>
        <w:t>ны (по опыту 17-й и 8-й ВА) составил: 70% - к пушкам ВЯ, 25% - к пулеметам ШКАС и около 11,5% - к пулемету УБТ.</w:t>
      </w:r>
    </w:p>
    <w:p w14:paraId="010386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F90EAE">
        <w:rPr>
          <w:color w:val="000000" w:themeColor="text1"/>
          <w:sz w:val="16"/>
          <w:szCs w:val="16"/>
        </w:rPr>
        <w:softHyphen/>
        <w:t>бодно отстрелять из пушек и пулеме</w:t>
      </w:r>
      <w:r w:rsidRPr="00F90EAE">
        <w:rPr>
          <w:color w:val="000000" w:themeColor="text1"/>
          <w:sz w:val="16"/>
          <w:szCs w:val="16"/>
        </w:rPr>
        <w:softHyphen/>
        <w:t>тов одну-две прицельные очереди продолжительностью 1-2 секунды (20-40 снарядов и 60-120 патронов). Тог</w:t>
      </w:r>
      <w:r w:rsidRPr="00F90EAE">
        <w:rPr>
          <w:color w:val="000000" w:themeColor="text1"/>
          <w:sz w:val="16"/>
          <w:szCs w:val="16"/>
        </w:rPr>
        <w:softHyphen/>
        <w:t>да как летчик «десятки» за один заход прицельно не успевал отстрелять даже одной очереди.</w:t>
      </w:r>
    </w:p>
    <w:p w14:paraId="7F40A1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тому же на Ил-2 стояли четыре ракетных орудия, а это серьезно повы</w:t>
      </w:r>
      <w:r w:rsidRPr="00F90EAE">
        <w:rPr>
          <w:color w:val="000000" w:themeColor="text1"/>
          <w:sz w:val="16"/>
          <w:szCs w:val="16"/>
        </w:rPr>
        <w:softHyphen/>
        <w:t>шало боевые возможности самолета.</w:t>
      </w:r>
    </w:p>
    <w:p w14:paraId="6D7CD9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Ил-2 уступал Ил-10 только в подвижности над полем боя - в эффек</w:t>
      </w:r>
      <w:r w:rsidRPr="00F90EAE">
        <w:rPr>
          <w:color w:val="000000" w:themeColor="text1"/>
          <w:sz w:val="16"/>
          <w:szCs w:val="16"/>
        </w:rPr>
        <w:softHyphen/>
        <w:t>тивности выполнения противозенитно</w:t>
      </w:r>
      <w:r w:rsidRPr="00F90EAE">
        <w:rPr>
          <w:color w:val="000000" w:themeColor="text1"/>
          <w:sz w:val="16"/>
          <w:szCs w:val="16"/>
        </w:rPr>
        <w:softHyphen/>
        <w:t>го и противоистребительного маневров.</w:t>
      </w:r>
    </w:p>
    <w:p w14:paraId="69BCED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Разумеется, при обработке статис</w:t>
      </w:r>
      <w:r w:rsidRPr="00F90EAE">
        <w:rPr>
          <w:color w:val="000000" w:themeColor="text1"/>
          <w:sz w:val="16"/>
          <w:szCs w:val="16"/>
        </w:rPr>
        <w:softHyphen/>
        <w:t>тики военного времени необходимо де</w:t>
      </w:r>
      <w:r w:rsidRPr="00F90EAE">
        <w:rPr>
          <w:color w:val="000000" w:themeColor="text1"/>
          <w:sz w:val="16"/>
          <w:szCs w:val="16"/>
        </w:rPr>
        <w:softHyphen/>
        <w:t>лать скидку на недостаточное освоение новой техники экипажами, конструктив</w:t>
      </w:r>
      <w:r w:rsidRPr="00F90EAE">
        <w:rPr>
          <w:color w:val="000000" w:themeColor="text1"/>
          <w:sz w:val="16"/>
          <w:szCs w:val="16"/>
        </w:rPr>
        <w:softHyphen/>
        <w:t>ные и технологические дефекты, вызван</w:t>
      </w:r>
      <w:r w:rsidRPr="00F90EAE">
        <w:rPr>
          <w:color w:val="000000" w:themeColor="text1"/>
          <w:sz w:val="16"/>
          <w:szCs w:val="16"/>
        </w:rPr>
        <w:softHyphen/>
        <w:t>ные поспешностью проектирования и внедрения в серийное производство.</w:t>
      </w:r>
    </w:p>
    <w:p w14:paraId="0FED9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Например, инструкторский состав запасных авиаполков 1-й ЗАБ в ходе летно-тактическихучений в конце ап</w:t>
      </w:r>
      <w:r w:rsidRPr="00F90EAE">
        <w:rPr>
          <w:color w:val="000000" w:themeColor="text1"/>
          <w:sz w:val="16"/>
          <w:szCs w:val="16"/>
        </w:rPr>
        <w:softHyphen/>
        <w:t>реля 1945 г. смог выполнить упраж</w:t>
      </w:r>
      <w:r w:rsidRPr="00F90EAE">
        <w:rPr>
          <w:color w:val="000000" w:themeColor="text1"/>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F90EAE">
        <w:rPr>
          <w:color w:val="000000" w:themeColor="text1"/>
          <w:sz w:val="16"/>
          <w:szCs w:val="16"/>
        </w:rPr>
        <w:softHyphen/>
        <w:t>жей) задание по стрельбе с оценкой «отлично» выполнили только 3 груп</w:t>
      </w:r>
      <w:r w:rsidRPr="00F90EAE">
        <w:rPr>
          <w:color w:val="000000" w:themeColor="text1"/>
          <w:sz w:val="16"/>
          <w:szCs w:val="16"/>
        </w:rPr>
        <w:softHyphen/>
        <w:t>пы, с оценкой «хорошо» - одна груп</w:t>
      </w:r>
      <w:r w:rsidRPr="00F90EAE">
        <w:rPr>
          <w:color w:val="000000" w:themeColor="text1"/>
          <w:sz w:val="16"/>
          <w:szCs w:val="16"/>
        </w:rPr>
        <w:softHyphen/>
        <w:t>па, «посредственно»-три группы и три группы задания не выполнили вовсе. Бомбометание с отличными результа</w:t>
      </w:r>
      <w:r w:rsidRPr="00F90EAE">
        <w:rPr>
          <w:color w:val="000000" w:themeColor="text1"/>
          <w:sz w:val="16"/>
          <w:szCs w:val="16"/>
        </w:rPr>
        <w:softHyphen/>
        <w:t>тами отработали всего шесть экипа</w:t>
      </w:r>
      <w:r w:rsidRPr="00F90EAE">
        <w:rPr>
          <w:color w:val="000000" w:themeColor="text1"/>
          <w:sz w:val="16"/>
          <w:szCs w:val="16"/>
        </w:rPr>
        <w:softHyphen/>
        <w:t>жей, с оценкой «хорошо» - 21 экипаж, и «удовлетворительно» - 30 экипажей.</w:t>
      </w:r>
    </w:p>
    <w:p w14:paraId="281302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Оказалось, что инструкторский со</w:t>
      </w:r>
      <w:r w:rsidRPr="00F90EAE">
        <w:rPr>
          <w:color w:val="000000" w:themeColor="text1"/>
          <w:sz w:val="16"/>
          <w:szCs w:val="16"/>
        </w:rPr>
        <w:softHyphen/>
        <w:t>став не умеет удерживать Ил-10 в ус</w:t>
      </w:r>
      <w:r w:rsidRPr="00F90EAE">
        <w:rPr>
          <w:color w:val="000000" w:themeColor="text1"/>
          <w:sz w:val="16"/>
          <w:szCs w:val="16"/>
        </w:rPr>
        <w:softHyphen/>
        <w:t>тойчивом пикировании.Атака выпол</w:t>
      </w:r>
      <w:r w:rsidRPr="00F90EAE">
        <w:rPr>
          <w:color w:val="000000" w:themeColor="text1"/>
          <w:sz w:val="16"/>
          <w:szCs w:val="16"/>
        </w:rPr>
        <w:softHyphen/>
        <w:t>няется с небольшими углами пикиро</w:t>
      </w:r>
      <w:r w:rsidRPr="00F90EAE">
        <w:rPr>
          <w:color w:val="000000" w:themeColor="text1"/>
          <w:sz w:val="16"/>
          <w:szCs w:val="16"/>
        </w:rPr>
        <w:softHyphen/>
        <w:t>вания, что существенно снижает точ</w:t>
      </w:r>
      <w:r w:rsidRPr="00F90EAE">
        <w:rPr>
          <w:color w:val="000000" w:themeColor="text1"/>
          <w:sz w:val="16"/>
          <w:szCs w:val="16"/>
        </w:rPr>
        <w:softHyphen/>
        <w:t>ность стрельбы. Маневр по вертика-</w:t>
      </w:r>
    </w:p>
    <w:p w14:paraId="7C60F5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ли выполняется не энергичный. Лет</w:t>
      </w:r>
      <w:r w:rsidRPr="00F90EAE">
        <w:rPr>
          <w:color w:val="000000" w:themeColor="text1"/>
          <w:sz w:val="16"/>
          <w:szCs w:val="16"/>
        </w:rPr>
        <w:softHyphen/>
        <w:t>чики плохо соблюдают боевой поря</w:t>
      </w:r>
      <w:r w:rsidRPr="00F90EAE">
        <w:rPr>
          <w:color w:val="000000" w:themeColor="text1"/>
          <w:sz w:val="16"/>
          <w:szCs w:val="16"/>
        </w:rPr>
        <w:softHyphen/>
        <w:t>док во время атаки и на выходе из ата</w:t>
      </w:r>
      <w:r w:rsidRPr="00F90EAE">
        <w:rPr>
          <w:color w:val="000000" w:themeColor="text1"/>
          <w:sz w:val="16"/>
          <w:szCs w:val="16"/>
        </w:rPr>
        <w:softHyphen/>
        <w:t>ки. Не имеют устойчивых навыков в определении дистанции действитель</w:t>
      </w:r>
      <w:r w:rsidRPr="00F90EAE">
        <w:rPr>
          <w:color w:val="000000" w:themeColor="text1"/>
          <w:sz w:val="16"/>
          <w:szCs w:val="16"/>
        </w:rPr>
        <w:softHyphen/>
        <w:t>ного огня, а также учета поправок на ветер при маневре, при выходе на цель и при прицеливании.</w:t>
      </w:r>
    </w:p>
    <w:p w14:paraId="2EA40D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Летчики маршевых полков и вовсе показывали далеко не лучшие резуль</w:t>
      </w:r>
      <w:r w:rsidRPr="00F90EAE">
        <w:rPr>
          <w:color w:val="000000" w:themeColor="text1"/>
          <w:sz w:val="16"/>
          <w:szCs w:val="16"/>
        </w:rPr>
        <w:softHyphen/>
        <w:t>таты. Так, при проведении проверки летно-боевой готовности полков 7-го ШАК в мае 45-го выяснилось, что эки</w:t>
      </w:r>
      <w:r w:rsidRPr="00F90EAE">
        <w:rPr>
          <w:color w:val="000000" w:themeColor="text1"/>
          <w:sz w:val="16"/>
          <w:szCs w:val="16"/>
        </w:rPr>
        <w:softHyphen/>
        <w:t>пажи 807-го, 686-го, 503-го и 806-го ШАП «абсолютно не имеют представ</w:t>
      </w:r>
      <w:r w:rsidRPr="00F90EAE">
        <w:rPr>
          <w:color w:val="000000" w:themeColor="text1"/>
          <w:sz w:val="16"/>
          <w:szCs w:val="16"/>
        </w:rPr>
        <w:softHyphen/>
        <w:t>ления о бомбометании с пикирования, высоту сбрасывания не выдерживают, маневрирование не выполняют, боль</w:t>
      </w:r>
      <w:r w:rsidRPr="00F90EAE">
        <w:rPr>
          <w:color w:val="000000" w:themeColor="text1"/>
          <w:sz w:val="16"/>
          <w:szCs w:val="16"/>
        </w:rPr>
        <w:softHyphen/>
        <w:t>шинство сбрасывают бомбы не при</w:t>
      </w:r>
      <w:r w:rsidRPr="00F90EAE">
        <w:rPr>
          <w:color w:val="000000" w:themeColor="text1"/>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F90EAE">
        <w:rPr>
          <w:color w:val="000000" w:themeColor="text1"/>
          <w:sz w:val="16"/>
          <w:szCs w:val="16"/>
        </w:rPr>
        <w:softHyphen/>
        <w:t>заны» по полигону, и 3 бомбы группы м-ра Белова сброшены на КП полиго</w:t>
      </w:r>
      <w:r w:rsidRPr="00F90EAE">
        <w:rPr>
          <w:color w:val="000000" w:themeColor="text1"/>
          <w:sz w:val="16"/>
          <w:szCs w:val="16"/>
        </w:rPr>
        <w:softHyphen/>
        <w:t>на. Примерно также отработал и 807-й штурмовой авиаполк, который «раз</w:t>
      </w:r>
      <w:r w:rsidRPr="00F90EAE">
        <w:rPr>
          <w:color w:val="000000" w:themeColor="text1"/>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F90EAE">
        <w:rPr>
          <w:color w:val="000000" w:themeColor="text1"/>
          <w:sz w:val="16"/>
          <w:szCs w:val="16"/>
        </w:rPr>
        <w:softHyphen/>
        <w:t>шо» - четыре экипажа, с оценкой «по</w:t>
      </w:r>
      <w:r w:rsidRPr="00F90EAE">
        <w:rPr>
          <w:color w:val="000000" w:themeColor="text1"/>
          <w:sz w:val="16"/>
          <w:szCs w:val="16"/>
        </w:rPr>
        <w:softHyphen/>
        <w:t>средственно» - четыре экипажа и 16 экипажей задание не выполнили...</w:t>
      </w:r>
    </w:p>
    <w:p w14:paraId="66AF04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в целом можно сделать вывод, что при переходе от Ил-2 к Ил-10 отечественная авиапромышленность опять выбрала «количество за счет ка</w:t>
      </w:r>
      <w:r w:rsidRPr="00F90EAE">
        <w:rPr>
          <w:color w:val="000000" w:themeColor="text1"/>
          <w:sz w:val="16"/>
          <w:szCs w:val="16"/>
        </w:rPr>
        <w:softHyphen/>
        <w:t>чества». Хотя в целом направление раз</w:t>
      </w:r>
      <w:r w:rsidRPr="00F90EAE">
        <w:rPr>
          <w:color w:val="000000" w:themeColor="text1"/>
          <w:sz w:val="16"/>
          <w:szCs w:val="16"/>
        </w:rPr>
        <w:softHyphen/>
        <w:t>вития в сторону повышения подвиж</w:t>
      </w:r>
      <w:r w:rsidRPr="00F90EAE">
        <w:rPr>
          <w:color w:val="000000" w:themeColor="text1"/>
          <w:sz w:val="16"/>
          <w:szCs w:val="16"/>
        </w:rPr>
        <w:softHyphen/>
        <w:t>ности, а не пассивного наращивания брони было правильным, в серию за</w:t>
      </w:r>
      <w:r w:rsidRPr="00F90EAE">
        <w:rPr>
          <w:color w:val="000000" w:themeColor="text1"/>
          <w:sz w:val="16"/>
          <w:szCs w:val="16"/>
        </w:rPr>
        <w:softHyphen/>
        <w:t>пустили не самый хороший самолет, а самый удобный с точки зрения быстро</w:t>
      </w:r>
      <w:r w:rsidRPr="00F90EAE">
        <w:rPr>
          <w:color w:val="000000" w:themeColor="text1"/>
          <w:sz w:val="16"/>
          <w:szCs w:val="16"/>
        </w:rPr>
        <w:softHyphen/>
        <w:t>ты налаживания массового выпуска.</w:t>
      </w:r>
    </w:p>
    <w:p w14:paraId="633DB6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Грубые оценки показывают, что применительно кусловиям воздушных и наземных боев завершающего пери</w:t>
      </w:r>
      <w:r w:rsidRPr="00F90EAE">
        <w:rPr>
          <w:color w:val="000000" w:themeColor="text1"/>
          <w:sz w:val="16"/>
          <w:szCs w:val="16"/>
        </w:rPr>
        <w:softHyphen/>
        <w:t>ода войны самолет Ил-10 первых се</w:t>
      </w:r>
      <w:r w:rsidRPr="00F90EAE">
        <w:rPr>
          <w:color w:val="000000" w:themeColor="text1"/>
          <w:sz w:val="16"/>
          <w:szCs w:val="16"/>
        </w:rPr>
        <w:softHyphen/>
        <w:t>рий (вариант без РС) при решении за</w:t>
      </w:r>
      <w:r w:rsidRPr="00F90EAE">
        <w:rPr>
          <w:color w:val="000000" w:themeColor="text1"/>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F90EAE">
        <w:rPr>
          <w:color w:val="000000" w:themeColor="text1"/>
          <w:sz w:val="16"/>
          <w:szCs w:val="16"/>
        </w:rPr>
        <w:softHyphen/>
        <w:t>ми НС-37 прирост эффективности мог составить свыше 30%. То есть, для вы</w:t>
      </w:r>
      <w:r w:rsidRPr="00F90EAE">
        <w:rPr>
          <w:color w:val="000000" w:themeColor="text1"/>
          <w:sz w:val="16"/>
          <w:szCs w:val="16"/>
        </w:rPr>
        <w:softHyphen/>
        <w:t>полнения тех же задач потребовалось бы меньше самолетов, меньше летчи</w:t>
      </w:r>
      <w:r w:rsidRPr="00F90EAE">
        <w:rPr>
          <w:color w:val="000000" w:themeColor="text1"/>
          <w:sz w:val="16"/>
          <w:szCs w:val="16"/>
        </w:rPr>
        <w:softHyphen/>
        <w:t>ков. Но выбор был сделан...(11161)</w:t>
      </w:r>
    </w:p>
    <w:p w14:paraId="518307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ABA5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был вылет 3 чехословацкого шап по скоплению войск и Dolni Beneshov и Bela (241,39).</w:t>
      </w:r>
    </w:p>
    <w:p w14:paraId="49629642" w14:textId="77777777" w:rsidR="00665165" w:rsidRPr="00F90EAE" w:rsidRDefault="00665165" w:rsidP="00F90EAE">
      <w:pPr>
        <w:autoSpaceDE w:val="0"/>
        <w:autoSpaceDN w:val="0"/>
        <w:adjustRightInd w:val="0"/>
        <w:jc w:val="both"/>
        <w:rPr>
          <w:color w:val="000000" w:themeColor="text1"/>
          <w:sz w:val="16"/>
          <w:szCs w:val="16"/>
        </w:rPr>
      </w:pPr>
    </w:p>
    <w:p w14:paraId="662B45E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lastRenderedPageBreak/>
        <w:t>April 15th, 1945: The Soviet 3rd Ukrainian Front (Tolbuhkin) begins an offensive against the industrial area of Muhrisch-Ostrau in Moravia defended by Heeresgruppe Mitte (Schorner). In the West, the US First Army (Hodges) captures Leuna and Merseburg in Saxony, while the French First Army (de Tassigny) captures Kehl and Offenburg on the upper Rhine (3819).</w:t>
      </w:r>
    </w:p>
    <w:p w14:paraId="2526A124" w14:textId="77777777" w:rsidR="00665165" w:rsidRPr="00F90EAE" w:rsidRDefault="00665165" w:rsidP="00F90EAE">
      <w:pPr>
        <w:autoSpaceDE w:val="0"/>
        <w:autoSpaceDN w:val="0"/>
        <w:adjustRightInd w:val="0"/>
        <w:jc w:val="both"/>
        <w:rPr>
          <w:color w:val="000000" w:themeColor="text1"/>
          <w:sz w:val="16"/>
          <w:szCs w:val="16"/>
          <w:lang w:val="en-US"/>
        </w:rPr>
      </w:pPr>
    </w:p>
    <w:p w14:paraId="5600A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3УФ (Толбухин) начал наступление против промышленного района Мушриш-острава в Моравии, который обороняла Группа Центр (Шорнер). 1А США (Ходжес) заняла Леуну и Мерсебург в Саксонии, а французская 1А заняла Кел и Оффенбург в верхнем Рейне (3819).</w:t>
      </w:r>
    </w:p>
    <w:p w14:paraId="7241FA0E" w14:textId="77777777" w:rsidR="00665165" w:rsidRPr="00F90EAE" w:rsidRDefault="00665165" w:rsidP="00F90EAE">
      <w:pPr>
        <w:autoSpaceDE w:val="0"/>
        <w:autoSpaceDN w:val="0"/>
        <w:adjustRightInd w:val="0"/>
        <w:jc w:val="both"/>
        <w:rPr>
          <w:color w:val="000000" w:themeColor="text1"/>
          <w:sz w:val="16"/>
          <w:szCs w:val="16"/>
        </w:rPr>
      </w:pPr>
    </w:p>
    <w:p w14:paraId="6822CE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вышло Постановление ГКО № 8145 О перевооружении 128-й смешанной авиационной дивизии ДВФ на современные самолеты. РГАНИР, Фонд ГКО, д. 400, лл. 91 (11012).</w:t>
      </w:r>
    </w:p>
    <w:p w14:paraId="1A4B1A04" w14:textId="77777777" w:rsidR="00665165" w:rsidRPr="00F90EAE" w:rsidRDefault="00665165" w:rsidP="00F90EAE">
      <w:pPr>
        <w:autoSpaceDE w:val="0"/>
        <w:autoSpaceDN w:val="0"/>
        <w:adjustRightInd w:val="0"/>
        <w:jc w:val="both"/>
        <w:rPr>
          <w:color w:val="000000" w:themeColor="text1"/>
          <w:sz w:val="16"/>
          <w:szCs w:val="16"/>
        </w:rPr>
      </w:pPr>
    </w:p>
    <w:p w14:paraId="4E31C44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64298F3" w14:textId="77777777" w:rsidR="00665165" w:rsidRPr="00F90EAE" w:rsidRDefault="00665165" w:rsidP="00F90EAE">
      <w:pPr>
        <w:autoSpaceDE w:val="0"/>
        <w:autoSpaceDN w:val="0"/>
        <w:adjustRightInd w:val="0"/>
        <w:jc w:val="both"/>
        <w:rPr>
          <w:iCs/>
          <w:color w:val="000000" w:themeColor="text1"/>
          <w:sz w:val="16"/>
          <w:szCs w:val="16"/>
        </w:rPr>
      </w:pPr>
    </w:p>
    <w:p w14:paraId="23F289FB" w14:textId="77777777" w:rsidR="00827BBE" w:rsidRPr="00F90EAE" w:rsidRDefault="00827BBE" w:rsidP="00F90EAE">
      <w:pPr>
        <w:jc w:val="both"/>
        <w:rPr>
          <w:color w:val="000000" w:themeColor="text1"/>
          <w:sz w:val="16"/>
          <w:szCs w:val="16"/>
        </w:rPr>
      </w:pPr>
      <w:r w:rsidRPr="00F90EAE">
        <w:rPr>
          <w:color w:val="000000" w:themeColor="text1"/>
          <w:sz w:val="16"/>
          <w:szCs w:val="16"/>
        </w:rPr>
        <w:t>15 апреля в 1945 году испытателем Дж.Бэртоном поднял в воздух опытный «ХР-82» «Twin Mustang №44-83887». В разработке опытного самолета «North American ХР-82» объединились два истребителя «Р-51», у которых были сняты левая и правая консоли крыла и оба стабилизатора. Оставшееся от двух самолетов было соединено крылом с постоянной хордой и новым стабилизатором с рулем высоты. Измененное шасси состояло из одной стойки на каждом фюзеляже (15100).</w:t>
      </w:r>
    </w:p>
    <w:p w14:paraId="2AA424A6" w14:textId="77777777" w:rsidR="00827BBE" w:rsidRPr="00F90EAE" w:rsidRDefault="00827BBE" w:rsidP="00F90EAE">
      <w:pPr>
        <w:jc w:val="both"/>
        <w:rPr>
          <w:color w:val="000000" w:themeColor="text1"/>
          <w:sz w:val="16"/>
          <w:szCs w:val="16"/>
        </w:rPr>
      </w:pPr>
    </w:p>
    <w:p w14:paraId="5B0B09F8" w14:textId="77777777" w:rsidR="00DE5890" w:rsidRPr="00F90EAE" w:rsidRDefault="00DE5890" w:rsidP="00F90EAE">
      <w:pPr>
        <w:jc w:val="both"/>
        <w:rPr>
          <w:color w:val="0070C0"/>
          <w:sz w:val="16"/>
          <w:szCs w:val="16"/>
        </w:rPr>
      </w:pPr>
      <w:r w:rsidRPr="00F90EAE">
        <w:rPr>
          <w:color w:val="0070C0"/>
          <w:sz w:val="16"/>
          <w:szCs w:val="16"/>
        </w:rPr>
        <w:t>15 апреля 1945 первый полет XP-82, прототипа P-82 Twin Mustang (20371).</w:t>
      </w:r>
    </w:p>
    <w:p w14:paraId="518A567F" w14:textId="77777777" w:rsidR="00DE5890" w:rsidRPr="00F90EAE" w:rsidRDefault="00DE5890" w:rsidP="00F90EAE">
      <w:pPr>
        <w:jc w:val="both"/>
        <w:rPr>
          <w:color w:val="0070C0"/>
          <w:sz w:val="16"/>
          <w:szCs w:val="16"/>
        </w:rPr>
      </w:pPr>
    </w:p>
    <w:p w14:paraId="761EAC3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апреля 1945 войсками союзников освобождены узники нацистского концлагеря Берген-Бельзен (4962).</w:t>
      </w:r>
    </w:p>
    <w:p w14:paraId="11C10DB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6375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 был похоронен Ф.Д.Р. (2100).</w:t>
      </w:r>
    </w:p>
    <w:p w14:paraId="044C1E58" w14:textId="77777777" w:rsidR="00665165" w:rsidRPr="00F90EAE" w:rsidRDefault="00665165" w:rsidP="00F90EAE">
      <w:pPr>
        <w:autoSpaceDE w:val="0"/>
        <w:autoSpaceDN w:val="0"/>
        <w:adjustRightInd w:val="0"/>
        <w:jc w:val="both"/>
        <w:rPr>
          <w:color w:val="000000" w:themeColor="text1"/>
          <w:sz w:val="16"/>
          <w:szCs w:val="16"/>
        </w:rPr>
      </w:pPr>
    </w:p>
    <w:p w14:paraId="7734C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15–16 апреля 1945 была проведена операция «Кикусуй-3». На этот раз Угаки удалось для самоубийственных атак собрать только 120 морских и 45 армейских самолетов-камикадзе. Прикрытие обеспечивали 150 истребителей. В воздухе и на море развернулось кровавое сражение на взаимное истребление противников, примера которому в истории войн не было. Камикадзе потопили один корабль, четыре корабля США были повреждены до такой степени, что их исключили из списков флота. Два корабля вышли из строя на срок более месяца. Около 400 моряков были убиты или ранены.</w:t>
      </w:r>
    </w:p>
    <w:p w14:paraId="3FC1E4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 понесли потери и японцы. Американцам удалось еще в первый день операции блокировать японские аэродромы в южной части острова Кюсю. В тот день было уничтожено 29 японских самолетов в воздухе и 51 – на земле. Это значительно снизило боевые возможности японцев при проведении операции.</w:t>
      </w:r>
    </w:p>
    <w:p w14:paraId="0C750B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Интересный факт: японское командование получило только одно подтверждение, что 16 апреля пилотируемая бомба попала в американский корабль, хотя летчики сопровождения докладывали о множестве успешных атак самолетом-снарядом на американские корабли (Хорикоши Д., Окумия М., Кайдин М. Японская авиация во Второй мировой войне. М.: АСТ, 2001.) (11686).</w:t>
      </w:r>
    </w:p>
    <w:p w14:paraId="014385ED" w14:textId="77777777" w:rsidR="00665165" w:rsidRPr="00F90EAE" w:rsidRDefault="00665165" w:rsidP="00F90EAE">
      <w:pPr>
        <w:autoSpaceDE w:val="0"/>
        <w:autoSpaceDN w:val="0"/>
        <w:adjustRightInd w:val="0"/>
        <w:jc w:val="both"/>
        <w:rPr>
          <w:color w:val="000000" w:themeColor="text1"/>
          <w:sz w:val="16"/>
          <w:szCs w:val="16"/>
        </w:rPr>
      </w:pPr>
    </w:p>
    <w:p w14:paraId="45F30625" w14:textId="77777777" w:rsidR="00DE5890" w:rsidRPr="00F90EAE" w:rsidRDefault="00DE5890" w:rsidP="00F90EAE">
      <w:pPr>
        <w:jc w:val="both"/>
        <w:rPr>
          <w:color w:val="0070C0"/>
          <w:sz w:val="16"/>
          <w:szCs w:val="16"/>
        </w:rPr>
      </w:pPr>
      <w:r w:rsidRPr="00F90EAE">
        <w:rPr>
          <w:color w:val="0070C0"/>
          <w:sz w:val="16"/>
          <w:szCs w:val="16"/>
        </w:rPr>
        <w:t>15–16 апреля 1945 целевая группа 58 совершает облет истребителей над Кюсю, заявив, что в первый же день было сбито 29 японских самолетов и 51 уничтожен на земле (20371).</w:t>
      </w:r>
    </w:p>
    <w:p w14:paraId="173F8738" w14:textId="77777777" w:rsidR="00DE5890" w:rsidRPr="00F90EAE" w:rsidRDefault="00DE5890" w:rsidP="00F90EAE">
      <w:pPr>
        <w:jc w:val="both"/>
        <w:rPr>
          <w:color w:val="0070C0"/>
          <w:sz w:val="16"/>
          <w:szCs w:val="16"/>
        </w:rPr>
      </w:pPr>
    </w:p>
    <w:p w14:paraId="7B3337A5" w14:textId="77777777" w:rsidR="00DE5890" w:rsidRPr="00F90EAE" w:rsidRDefault="00DE5890" w:rsidP="00F90EAE">
      <w:pPr>
        <w:jc w:val="both"/>
        <w:rPr>
          <w:color w:val="0070C0"/>
          <w:sz w:val="16"/>
          <w:szCs w:val="16"/>
        </w:rPr>
      </w:pPr>
      <w:r w:rsidRPr="00F90EAE">
        <w:rPr>
          <w:color w:val="0070C0"/>
          <w:sz w:val="16"/>
          <w:szCs w:val="16"/>
        </w:rPr>
        <w:t>15–16 апреля 1945 третья атака японских кикусуи на корабли у Окинавы включает 165 камикадзе. Они потопили эсминец USS Pringle и тральщик и повредили авианосец USS Intrepid, три эсминца, эсминец сопровождения, тральщик и десантный корабль (20371).</w:t>
      </w:r>
    </w:p>
    <w:p w14:paraId="76EAC001" w14:textId="77777777" w:rsidR="00DE5890" w:rsidRPr="00F90EAE" w:rsidRDefault="00DE5890" w:rsidP="00F90EAE">
      <w:pPr>
        <w:jc w:val="both"/>
        <w:rPr>
          <w:color w:val="0070C0"/>
          <w:sz w:val="16"/>
          <w:szCs w:val="16"/>
        </w:rPr>
      </w:pPr>
    </w:p>
    <w:p w14:paraId="1675933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79D6EB6" w14:textId="77777777" w:rsidR="00665165" w:rsidRPr="00F90EAE" w:rsidRDefault="00665165" w:rsidP="00F90EAE">
      <w:pPr>
        <w:autoSpaceDE w:val="0"/>
        <w:autoSpaceDN w:val="0"/>
        <w:adjustRightInd w:val="0"/>
        <w:jc w:val="both"/>
        <w:rPr>
          <w:iCs/>
          <w:color w:val="000000" w:themeColor="text1"/>
          <w:sz w:val="16"/>
          <w:szCs w:val="16"/>
        </w:rPr>
      </w:pPr>
    </w:p>
    <w:p w14:paraId="2DAD17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первой половине апреля 1945 г. закончились полигонные испытания Т-54, по результатам ко</w:t>
      </w:r>
      <w:r w:rsidRPr="00F90EAE">
        <w:rPr>
          <w:color w:val="000000" w:themeColor="text1"/>
          <w:sz w:val="16"/>
          <w:szCs w:val="16"/>
        </w:rPr>
        <w:softHyphen/>
        <w:t>торых, учитывая резкое повышение боевых свойств танка Т-54 по сравнению с танком Т-44, комиссия посчитала целесообразным рекомендо вать его для принятия на вооружение Красной Армии с обязательным устранением недостатков, выявленных во время испытаний машины. В апреле 1946 г. постановлением СНК СССР и ЦК ВКП(б) средний таинк "Объект 137" будет принят на вооружение под маркой Т-54 (10703).</w:t>
      </w:r>
    </w:p>
    <w:p w14:paraId="646277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08D584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97FC1E1" w14:textId="77777777" w:rsidR="00665165" w:rsidRPr="00F90EAE" w:rsidRDefault="00665165" w:rsidP="00F90EAE">
      <w:pPr>
        <w:autoSpaceDE w:val="0"/>
        <w:autoSpaceDN w:val="0"/>
        <w:adjustRightInd w:val="0"/>
        <w:jc w:val="both"/>
        <w:rPr>
          <w:iCs/>
          <w:color w:val="000000" w:themeColor="text1"/>
          <w:sz w:val="16"/>
          <w:szCs w:val="16"/>
        </w:rPr>
      </w:pPr>
    </w:p>
    <w:p w14:paraId="753DAF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 начались войсковые испытания Ил-10. Они продолжались до конца апреля, за это время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5A8D335E" w14:textId="77777777" w:rsidR="00665165" w:rsidRPr="00F90EAE" w:rsidRDefault="00665165" w:rsidP="00F90EAE">
      <w:pPr>
        <w:autoSpaceDE w:val="0"/>
        <w:autoSpaceDN w:val="0"/>
        <w:adjustRightInd w:val="0"/>
        <w:jc w:val="both"/>
        <w:rPr>
          <w:color w:val="000000" w:themeColor="text1"/>
          <w:sz w:val="16"/>
          <w:szCs w:val="16"/>
        </w:rPr>
      </w:pPr>
    </w:p>
    <w:p w14:paraId="75F881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апреля 1945 завершились заводские летные испытания серийного самолета Ил-10 (зав. № 1892105) с полевым вариан</w:t>
      </w:r>
      <w:r w:rsidRPr="00F90EAE">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598C07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стандартный всасывающий патрубок «вживили» две дю</w:t>
      </w:r>
      <w:r w:rsidRPr="00F90EAE">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F90EAE">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F90EAE">
        <w:rPr>
          <w:color w:val="000000" w:themeColor="text1"/>
          <w:sz w:val="16"/>
          <w:szCs w:val="16"/>
        </w:rPr>
        <w:softHyphen/>
        <w:t>рекрывала входной канал патрубка, а внутренняя — перекры</w:t>
      </w:r>
      <w:r w:rsidRPr="00F90EAE">
        <w:rPr>
          <w:color w:val="000000" w:themeColor="text1"/>
          <w:sz w:val="16"/>
          <w:szCs w:val="16"/>
        </w:rPr>
        <w:softHyphen/>
        <w:t>вала канал патрубка неплотно, с зазором 20 мм между заслон</w:t>
      </w:r>
      <w:r w:rsidRPr="00F90EAE">
        <w:rPr>
          <w:color w:val="000000" w:themeColor="text1"/>
          <w:sz w:val="16"/>
          <w:szCs w:val="16"/>
        </w:rPr>
        <w:softHyphen/>
        <w:t>кой и задней внутренней стенкой патрубка. В этом случае воз</w:t>
      </w:r>
      <w:r w:rsidRPr="00F90EAE">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F90EAE">
        <w:rPr>
          <w:color w:val="000000" w:themeColor="text1"/>
          <w:sz w:val="16"/>
          <w:szCs w:val="16"/>
        </w:rPr>
        <w:softHyphen/>
        <w:t>лению полета. Воздух через входное отверстие патрубка начи</w:t>
      </w:r>
      <w:r w:rsidRPr="00F90EAE">
        <w:rPr>
          <w:color w:val="000000" w:themeColor="text1"/>
          <w:sz w:val="16"/>
          <w:szCs w:val="16"/>
        </w:rPr>
        <w:softHyphen/>
        <w:t>нал поступать в нагнетатель, минуя фильтрующую сетку.</w:t>
      </w:r>
    </w:p>
    <w:p w14:paraId="6C07AB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модифицированного всасывающего патрубка, на са</w:t>
      </w:r>
      <w:r w:rsidRPr="00F90EAE">
        <w:rPr>
          <w:color w:val="000000" w:themeColor="text1"/>
          <w:sz w:val="16"/>
          <w:szCs w:val="16"/>
        </w:rPr>
        <w:softHyphen/>
        <w:t>молете в тоннелях продувки водорадиатора со стороны капота сделаны вырезы общей площадью 560 см</w:t>
      </w:r>
      <w:r w:rsidRPr="00F90EAE">
        <w:rPr>
          <w:color w:val="000000" w:themeColor="text1"/>
          <w:sz w:val="16"/>
          <w:szCs w:val="16"/>
          <w:vertAlign w:val="superscript"/>
        </w:rPr>
        <w:t>2</w:t>
      </w:r>
      <w:r w:rsidRPr="00F90EAE">
        <w:rPr>
          <w:color w:val="000000" w:themeColor="text1"/>
          <w:sz w:val="16"/>
          <w:szCs w:val="16"/>
        </w:rPr>
        <w:t>, которые закрыва</w:t>
      </w:r>
      <w:r w:rsidRPr="00F90EAE">
        <w:rPr>
          <w:color w:val="000000" w:themeColor="text1"/>
          <w:sz w:val="16"/>
          <w:szCs w:val="16"/>
        </w:rPr>
        <w:softHyphen/>
        <w:t>лись сеткой «Дельбак» в один слой.</w:t>
      </w:r>
    </w:p>
    <w:p w14:paraId="7D45D2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F90EAE">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F90EAE">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F90EAE">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AAFD9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20 апреля на серийный самолет Ил-10.(зав. № 1890404) был смонтирован всасывающий патрубок с воздухоочиститель</w:t>
      </w:r>
      <w:r w:rsidRPr="00F90EAE">
        <w:rPr>
          <w:color w:val="000000" w:themeColor="text1"/>
          <w:sz w:val="16"/>
          <w:szCs w:val="16"/>
        </w:rPr>
        <w:softHyphen/>
        <w:t>ным фильтром кассетной конструкции с сеткой типа «Дельбак» заводского варианта установки.</w:t>
      </w:r>
    </w:p>
    <w:p w14:paraId="4744E0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Всасывающий патрубок с пылефильтром состоял из собст</w:t>
      </w:r>
      <w:r w:rsidRPr="00F90EAE">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F90EAE">
        <w:rPr>
          <w:color w:val="000000" w:themeColor="text1"/>
          <w:sz w:val="16"/>
          <w:szCs w:val="16"/>
        </w:rPr>
        <w:softHyphen/>
        <w:t>татель. При выпуске шасси заслонка поворачивается, перекры</w:t>
      </w:r>
      <w:r w:rsidRPr="00F90EAE">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F90EAE">
        <w:rPr>
          <w:color w:val="000000" w:themeColor="text1"/>
          <w:sz w:val="16"/>
          <w:szCs w:val="16"/>
        </w:rPr>
        <w:softHyphen/>
        <w:t>вающий патрубок снизу.</w:t>
      </w:r>
    </w:p>
    <w:p w14:paraId="385FAF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завершились к началу мая. Мотор на всех ре</w:t>
      </w:r>
      <w:r w:rsidRPr="00F90EAE">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F90EAE">
        <w:rPr>
          <w:color w:val="000000" w:themeColor="text1"/>
          <w:sz w:val="16"/>
          <w:szCs w:val="16"/>
        </w:rPr>
        <w:softHyphen/>
        <w:t>ла 525 км/ч, а на высоте 2500 м — 475 км/ч (11474,514).</w:t>
      </w:r>
    </w:p>
    <w:p w14:paraId="49CB04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C73A6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 108-й гшап начал боевые действия на Берлинском направлении. За 15 дней боев (с 16 по 30 апреля) летчики 108-го гшап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77. Т. Л брощенко (7489).</w:t>
      </w:r>
    </w:p>
    <w:p w14:paraId="4BC28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П.Т.Аброщенко, в состав бригады входили: ведущий летчик-испытатель А.К.Долгов, инженеры С.Г.Фролов, В.Н.Ковынев, В.Д.Кабанов, С.Т.Глушенко. Представителем Управления ВВС был А.И.Алексеев (7489).</w:t>
      </w:r>
    </w:p>
    <w:p w14:paraId="7FB552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них для обеспечения войсковых испытаний к 108-му полку были прикомандированы также и несколько бригад от предприятий наркомата авиапромышленности. Бригаду специалистов 18-го авиазавода возглавлял старший инженер А.С.Руденко, 24-й моторостроительный завод представлял инженер П.С.Захаров, а ОКБ Ильюшина командировало двух ведущих конструкторов - Д.Л.Коклина (по вооружению) и В.А.Ерофеева (по моторной установке) (7489).</w:t>
      </w:r>
    </w:p>
    <w:p w14:paraId="6A306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Работа этих мужественных людей проходила в необычайно жестких условиях: их работу контролировал Государственный Комитет обороны СССР, а отчет по результатам государственных войсковых испытаний самолета Ил-10 утверждал лично И.В. Сталин - Председатель ГКО (7489).</w:t>
      </w:r>
    </w:p>
    <w:p w14:paraId="5E8D1C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выводах отчета по результатам войсковых испытаний самолета Ил-10 указывалось, что:</w:t>
      </w:r>
    </w:p>
    <w:p w14:paraId="6684A1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самолета по весу, назначению и калибру подвешиваемых авиабомб обеспечивает выполнение возлагаемых на самолет-штурмовик задач (7489).</w:t>
      </w:r>
    </w:p>
    <w:p w14:paraId="09243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самолета Ил-10 по количеству боевых точек, калибру и боезапасу к ним отличия от вооружения Ил-2 не имеет При действии по целям, прикрытым истребителями противника, самолет Ил-10 требует сопровождения в такой же степени, как и самолет Ил-2. Наличие большего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 (7489).</w:t>
      </w:r>
    </w:p>
    <w:p w14:paraId="4D9B8E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Живучесть конструкции (бронирование экипажа и винтомоторной группы) лучше, чем на самолете Ил-2, и в целом является достаточной. Уязвимыми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войсковых испытаний в достаточной степени не выявлены и требуют дополнительной проверки путем анализа повреждений на самолетах, находящихся в других действующих частях ВВС (7489).</w:t>
      </w:r>
    </w:p>
    <w:p w14:paraId="63B41E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Обзор из кабины летчика, вследствие отсутствия обзора назад и затенения переднего стекла в плохих метеоусловиях (дождь, снег), в сравнении с обзором на самолете Ил-2 -хуже (7489).</w:t>
      </w:r>
    </w:p>
    <w:p w14:paraId="0FF59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Временной механизм ВМШ-10, так же как и ВМШ-2, в боевых условиях при противодействии МЗА и ЗА противника использовать невозможно, так как ВМШ-10 требует длительного нахождения над целью без ПЗМ (7489).</w:t>
      </w:r>
    </w:p>
    <w:p w14:paraId="5AF800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Основным методом бомбометания в боевых условиях на самолете Ил-10 принят тот же, что и для Ил-2, с той лишь разницей, что:</w:t>
      </w:r>
    </w:p>
    <w:p w14:paraId="77328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возросли углы планирования с 30° до 50°,</w:t>
      </w:r>
    </w:p>
    <w:p w14:paraId="686CA4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возросла скорость ввода в пикирование от 320 до 350 км/ч,</w:t>
      </w:r>
    </w:p>
    <w:p w14:paraId="2ADD6E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скорость вывода из пикирования выросла до 500-600 км/ч,</w:t>
      </w:r>
    </w:p>
    <w:p w14:paraId="0BF7E6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улучшилась маневренность самолета (7489).</w:t>
      </w:r>
    </w:p>
    <w:p w14:paraId="40631E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подготовки Ил-10 к боевым вылетам механиком и мотористом практически такое же, что и время, потребное для Ил-2 (7489).</w:t>
      </w:r>
    </w:p>
    <w:p w14:paraId="359390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 (7489).</w:t>
      </w:r>
    </w:p>
    <w:p w14:paraId="7922C6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Цельнометаллическая конструкция Ил-] 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эксплуатационным люком в фюзеляже, обеспечивающем хороший подход к трубопроводам, агрегатам и управлению. "</w:t>
      </w:r>
    </w:p>
    <w:p w14:paraId="462A7F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отмечалось, что по технике пилотирования самолет прост. Имея лучшую устойчивость, хорошую управляемость и более высокую маневренность, Ил-10, в сравнении с Ил-2, охотно прощает летному составу ошибки и не утомляет летчика при полете в болтанку. Переучивание летного и инженерно-технического состава, работавших на Ил-2 с АМ-38ф, при переходе на Ил-10 с АМ-42 трудности не представляет. Летному составу достаточно 10-15 учебно-тренировочных полетов общим налетом 3-4 часа. Инженерно-технический состав легко может освоить и изучить матчасть самолета и мотора непосредственно в процессе эксплуатации (7489).</w:t>
      </w:r>
    </w:p>
    <w:p w14:paraId="677B84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 " - указывалось в выводах отчета (7489).</w:t>
      </w:r>
    </w:p>
    <w:p w14:paraId="089688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основных дефектов Ил-10-го Госкомиссия отметила следующие:</w:t>
      </w:r>
    </w:p>
    <w:p w14:paraId="120DCE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&lt;&lt; Неудовлетворительная конструкция фонаря кабины (трудно открывается на земле, рулежка и полет в сложных метеоусловиях с открытым фонарем невозможны) (7489).</w:t>
      </w:r>
    </w:p>
    <w:p w14:paraId="36BA7E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Отсутствует обзор назад из кабины летчика (необходимо сделать в бронеспинке вставку из прозрачного бронестекла по типу самолета Ил-2) (7489).</w:t>
      </w:r>
    </w:p>
    <w:p w14:paraId="2B9A5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Усилия на ручку колес шасси при рулежке и посадке на мягком грунте и зимой в снег зарываются, деформируются и тормозят движение самолета (7489).</w:t>
      </w:r>
    </w:p>
    <w:p w14:paraId="5B4EE7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Тросы везде рвутся: и ограничительные тросы фонаря кабины и аварийного выпуска шасси, и системы управления, а также тросы стопора костыля (7489).</w:t>
      </w:r>
    </w:p>
    <w:p w14:paraId="7D04B6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Прочность покрышек колес 800х260 мм, как и эффективность тормозов, недостаточна (7489).</w:t>
      </w:r>
    </w:p>
    <w:p w14:paraId="38E2AE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аварийных посадках ломается силовая рама крепления узлов шасси и разрушаются упоры хвостового колеса при посадке с убранным костылем, а также ломается рама №14 фюзеляжа (7489).</w:t>
      </w:r>
    </w:p>
    <w:p w14:paraId="6B55C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Шасси самолета при давлении воздуха в системе 38 атм. на скоростях свыше 260 км/час не выпускаются" (7489).</w:t>
      </w:r>
    </w:p>
    <w:p w14:paraId="55F49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нормальное боевое использование штурмовика затрудняли недостаточная надежность мотора АМ-42 и малые сроки его службы (7489).</w:t>
      </w:r>
    </w:p>
    <w:p w14:paraId="23925A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все время войсковых испытаний 76% моторов вышли из строя по причине сильного износа поршневых колец, приводившего к потере компрессии. В 16% случаях АМ-42 выходили из строя по причине появления бронзовой, стальной и алюминиевой стружек, попадания воды в картер и выбрасывания масла (7489).</w:t>
      </w:r>
    </w:p>
    <w:p w14:paraId="40AE58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Частому выходу моторов из строя способствовало и отсутствие на самолетах в системе забора воздуха в мотор противопыльного фильтра (7489).</w:t>
      </w:r>
    </w:p>
    <w:p w14:paraId="7B916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отчета по войсковым испытаниям Государственная комиссия сделала вывод, что Ил-10 АМ-42 войсковые испытания выдержал удовлетворительно и является вполне современным бронированным штурмовиком ВВС КА (7489).</w:t>
      </w:r>
    </w:p>
    <w:p w14:paraId="14216E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войсковых испытаний летчики 108-го гшап уничтожили и повредили 6 единиц бронетехники, 60 автомобилей, 100 повозок противника с грузами (7489).</w:t>
      </w:r>
    </w:p>
    <w:p w14:paraId="61872583" w14:textId="77777777" w:rsidR="00665165" w:rsidRPr="00F90EAE" w:rsidRDefault="00665165" w:rsidP="00F90EAE">
      <w:pPr>
        <w:autoSpaceDE w:val="0"/>
        <w:autoSpaceDN w:val="0"/>
        <w:adjustRightInd w:val="0"/>
        <w:jc w:val="both"/>
        <w:rPr>
          <w:color w:val="000000" w:themeColor="text1"/>
          <w:sz w:val="16"/>
          <w:szCs w:val="16"/>
        </w:rPr>
      </w:pPr>
    </w:p>
    <w:p w14:paraId="18B6EF0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16 апреля 1945 года 108 гшап начал боевые действия. Командованием 6-й гвардейской штурмовой авиадивизии была поставлена задача в течение дня «работать» полным составом полка в районе Эйло, Тосда, Роггозен и по дорогам от Койне на запад. Боевые вылеты выполнялись в составе групп по 8-9 самолетов Ил-10 под прикрытием истребителей от 5 гиап в соотношении 2:1.</w:t>
      </w:r>
    </w:p>
    <w:p w14:paraId="3CFDA51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Начало войне на самолете Ил-10 было положено вылетом в 11.00 группы капитана Новикова в составе 9 экипажей. Следом за ней вылетела группа капитана Железнякова из 8 Ил-10. Завершила первый боевой день полка восьмерка штурмана полка майора Жигарина, которая вылетела на боевое задание в 11.26.</w:t>
      </w:r>
    </w:p>
    <w:p w14:paraId="69B3DF6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боевой задачи не выполнил по причине отказа матчасти.</w:t>
      </w:r>
    </w:p>
    <w:p w14:paraId="348EC0D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противника было сброшено 47 стокилограммовых «фугасок», 47 ФАБ-50, выпущено 940 снарядов к пушкам ВЯ и 3000 патронов к пулеметам ШКАС.</w:t>
      </w:r>
    </w:p>
    <w:p w14:paraId="6389086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Встреч с истребителями противника не было. Отмечался лишь слабый огонь МЗА противника в районе Роггозен, Эйло, в результате которого один самолет получил осколочные повреждения плоскости крыла.</w:t>
      </w:r>
    </w:p>
    <w:p w14:paraId="1B14C49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Второй боевой день без потерь не обошелся. В этот день полк выполнял боевую задачу двумя группами - 8 Ил-10 (ведущий комполка подполковник Топилин) и 4 Ил-10 (ведущий капитан Железняков). Группы нанесли удары по войскам и технике противника в районе Греч, Хайнесбрюк, Вейсач в 20.00 и 20.18 соответственно. Экипажи отмечали сильный огонь малокалиберной зенитной артиллерии.</w:t>
      </w:r>
    </w:p>
    <w:p w14:paraId="06C5C46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Из первой группы не вернулся экипаж в составе лейтенанта Михайлова и воздушного стрелка сержанта Малых. Во второй - младший лейтенант Маклаков (воздушный стрелок сержант Кривошей) совершил вынужденную посадку из-за отказа мотора. В ходе атаки цели Маклаков попал под плотный огонь малокалиберной зенитной артиллерии. Самолет получил повреждения. На обратном маршруте примерно в 20 км от аэродрома Охельхермсдорф мотор начал давать перебои. Маклаков всеми силами пытался дотянуть до своего аэродрома, но на подлете к нему мотор остановился. Не имея запаса высоты, Маклакову пришлось вынужденно садиться прямо перед собой - на лес. В результате Ил-10 (зав. № 1890402) был разбит и восстановлению не подлежал («развалился на отдельные части»). Раненых летчика и стрелка отправили в госпиталь.</w:t>
      </w:r>
    </w:p>
    <w:p w14:paraId="6C0C28B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Позже установили, что причиной отказа мотора зав. № 45229 на самолете Маклакова стали повышенный износ (полное отсутствие конусности) и усадка поршневых колец (зазор в стыке в свободном состоянии от 15 до 7 мм), вследствие чего произошло забрызгивание свечей маслом и затем остановка мотора. Кроме того, при осмотре самолета обнаружили 42 пробоины в хвостовой части фюзеляжа.</w:t>
      </w:r>
    </w:p>
    <w:p w14:paraId="2983B08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18 апреля после нанесения тремя группами по 7, 8 и 6 самолетов Ил-10 весьма эффективных бомбоштурмовых ударов по живой силе и технике противника в районе Мадлов, Гросс-Оссинг, Шеферберг, Клейн-Деберн полк заслужил оценку «отлично» от станции наведения. По докладам экипажей, в районе целей наблюдалось около 12 взрывов большой силы и очагов пожаров, а также до 13 горящих автомашин. Удары наносились в период с 12.51 до 13.50. Прикрытие штурмовиков осуществлялось 12 Ла-5 от 5 гиап. Каждая группа Ил-10 выполнила до 7 заходов на цель. Все атаки выполнялись с пикирования под углом 30°. Бомбометание производилось с высоты 450-300 м. Две группы имели встречи с двумя четверками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которые от боя уклонились и ушли в облачность.</w:t>
      </w:r>
    </w:p>
    <w:p w14:paraId="3C180B2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следующий день 108 гшап «отметился» ударом по своим войскам. В период 10.10-10.15 группа в составе 8 Ил-10 (ведущий капитан Железняков) атаковала войска в движении на дороге в районе Шорбус. В ответ полетели сигнальные ракеты. Железняков снизился до бреющего. Оказалось, что войска свои. По счастью, пять экипажей из состава группы бомб не сбросили, а ведущее звено слегка промазало. Обошлось без жертв. Станция наведения на запросы ведущего группы не отвечала.</w:t>
      </w:r>
    </w:p>
    <w:p w14:paraId="017198E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Установив, что атакованные войска свои, группа прошла на запад в район Кошендорф, но противника не обнаружила и возвратилась на свой аэродром.</w:t>
      </w:r>
    </w:p>
    <w:p w14:paraId="7E03FB2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Весьма драматичным оказался шестой боевой день полка. 20 апреля от огня немецких зенитчиков из района Ширизов был сбит экипаж младшего лейтенанта Кутьева (воздушный стрелок старший сержант Мартынов). В Ил-10 (зав. № 103904) Кутьева попал зенитный снаряд среднего калибра. По докладам экипажей, у самолета была отбита правая плоскость, самолет перешел в штопор и взорвался при ударе о землю в 500 м к востоку от Ширизов.</w:t>
      </w:r>
    </w:p>
    <w:p w14:paraId="79C6350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lastRenderedPageBreak/>
        <w:t xml:space="preserve">Группа в составе 7 Ил-10 (ведущий капитан Сироткин) провела первый и единственный воздушный бой с немецкими истребителями. На маршруте к цели крайний в строю штурмовик неожиданно был атакован парой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Атака производилась одновременно снизу и сверху. В результате Ил-10 (зав. № 1890603) получил 6 пробоин в правой плоскости (5 пулевых и одну от снаряда калибра 20 мм). Был поврежден бронешланг пневмоперезарядки пушки ВЯ. Организованным огнем воздушных стрелков истребители противника были отогнаны и больше атак не производили. Авиационные гранаты АГ-2 экипажами не применялись.</w:t>
      </w:r>
    </w:p>
    <w:p w14:paraId="43EDEFB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этот же день не вернулся из боевого задания младший лейтенант Древаль (воздушный стрелок младший сержант Прянишников), который в период 15.55-16.55 вылетал в составе группы из 10 Ил-10 (ведущий капитан Новиков) для нанесения бомбоштурмового удара по артиллерийским позициям на северо -восточной окраине Коттбус. По докладам экипажей,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 се Кляйн - Лисков, из самолета выбросился один парашютист. Самолет зав. № 1893802 врезался в землю в 500 м к юго-востоку от шоссе и взорвался.</w:t>
      </w:r>
    </w:p>
    <w:p w14:paraId="1A13128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Вернувшийся через несколько дней младший лейтенант Древаль уточнил, как развивались события в тот злополучный день. На маршруте к цели мотор его самолета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развернул самолет на юго-восток и с высоты 800 м начал планировать на свою территорию. Когда в кабине появилось пламя, летчик дал команду воздушному стрелку прыгать с парашютом. Примерно на высоте 200 м Древаль оставил самолет. Спускаясь на парашюте, наблюдал взрыв самолета при ударе о землю. После приземления потерял сознание. Пришел в себя, когда немецкие солдаты снимали с него парашют. Затем были плен, побег из плена в ночь на 29 апреля, встреча с пехотинцами из 77-й стрелковой дивизии и возвращение в родной полк 1 мая.</w:t>
      </w:r>
    </w:p>
    <w:p w14:paraId="68BAC25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Последние боевые потери полк понес 30 апреля. Во второй половине дня три четверки наносили бомбоштурмовой удар по окруженному противнику в районе высот в 8-10 км восточнее населенного пункта Барут. Группы атаковали цели с высоты 800-700 м с пикирования. Каждая группа выполнила от 2 до 6 заходов.</w:t>
      </w:r>
    </w:p>
    <w:p w14:paraId="5FBDB89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Истребителей противника в районе боя не наблюдалось, но с земли велся интенсивный огонь крупнокалиберных зенитных пулеметов и малокалиберной зенитной артиллерии. «Десятка» (зав. № 1892802) младшего лейтенанта Городецкого (воздушный стрелок сержант Яковлев) из первой группы уже в первом заходе на цель примерно в 15.50 получила повреждения. По докладам ведущего группы капитана Миронова и экипажей, Городецкий «отвалил» от цели со снижением и ушел в западном направлении. Мотор давал белые выхлопы, а за самолетом тянулся шлейф белого дыма. Места посадки никто из экипажей не наблюдал, так как выполняли второй заход на цель. На свой аэродром экипаж подбитого штурмовика не вернулся. В живых остался только воздушный стрелок, который с тяжелым ранением долгое время находился в госпитале.</w:t>
      </w:r>
    </w:p>
    <w:p w14:paraId="0C5FCC9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Во время атаки третьей группы в период 17.25-17.40 зенитным огнем был подбит Ил-10 (зав. № 102021) младшего лейтенанта Кузьмина (воздушный стрелок старший сержант Никитин). Мотор стал давать перебои. Из патрубков пошел белый дым, упало давление масла, мотор потерял мощность. Ведущий группы капитан Мазуров доложил, что Кузьмин вышел из боевого порядка группы только после выполнения боевого задания и затем вынужденно сел у населенного пункта Приров в 1 км к востоку от Гольки. Экипаж целым и невредимым 2 мая возвратился в полк. Самолет разбит при посадке.</w:t>
      </w:r>
    </w:p>
    <w:p w14:paraId="523915E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Надо сказать, нормальное боевое использование штурмовика затрудняли низкая надежность мотора АМ-42 и малые сроки его службы.</w:t>
      </w:r>
    </w:p>
    <w:p w14:paraId="730AE0B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Уже при выполнении учебно-тренировочных полетов 14 и 15 апреля летный и технический состав наблюдал беловатый дым из выхлопных патрубков на некоторых самолетах.</w:t>
      </w:r>
    </w:p>
    <w:p w14:paraId="035CA2F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 исходу 20 апреля на 12 Ил-10 из строя вышли моторы. При запуске моторов была обнаружена потеря компрессии и прорыв воздуха в картер. Отмечались выхлопы белого дыма и замасливание свечей. При дальнейших полетах моторы на всех режимах давали перебои в работе, из отдельных цилиндров наблюдался выброс масла.</w:t>
      </w:r>
    </w:p>
    <w:p w14:paraId="13E5357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При разборке моторов оказалось, что у всех имели место сильный износ поршневых колец, отсутствие конусности, большая усадка колец (зазор в стыке достигал 7-15 мм). Все это приводило к потере компрессии. Летать на самолетах было нельзя.</w:t>
      </w:r>
    </w:p>
    <w:p w14:paraId="5B40547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Еще на трех моторах появилась стальная, алюминиевая и бронзовая стружка, выбрасывало масло. Моторы немедленно сняли с эксплуатации.</w:t>
      </w:r>
    </w:p>
    <w:p w14:paraId="4DF460D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 учетом боевых и небоевых потерь в строю осталось только 13 Ил-10, остальные 15 «десяток» требовали замены и ремонта моторов.</w:t>
      </w:r>
    </w:p>
    <w:p w14:paraId="3333361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Проверка состояния моторов на всех исправных Ил-10 показала, что боеготовыми они могут считаться лишь с большой натяжкой. Моторы имели все признаки преждевременного износа поршневых колец, но вылетать на боевые задания при надлежащем уходе было еще можно.</w:t>
      </w:r>
    </w:p>
    <w:p w14:paraId="4EAF46C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Главной причиной случившегося считалось отсутствие в системе забора воздуха в мотор противопыльного фильтра. Между тем полевая площадка аэродрома Охельхермсдорф была с песчаным грунтом и очень пыльной.</w:t>
      </w:r>
    </w:p>
    <w:p w14:paraId="353C31F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Уже 23 апреля полк всеми исправными самолетами перелетел на аэродром Коло, площадка которого была не такой пыльной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15698F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5238193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4D2B739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Итоговые выводы комиссии были неутешительны: «Дальнейшие полеты на этих самолетах из -за потери мощности моторов производить невозможно./.. ./После восстановления моторов и доукомплектования самолетами полк может на самолетах Ил-10 выполнять боевую работу».</w:t>
      </w:r>
    </w:p>
    <w:p w14:paraId="16FE85A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3D5A460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4B3DB67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198DBBF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Причиной дефекта предположительно является повышенная теплоотдача в масло («нарушение нормальной работы поддона»).</w:t>
      </w:r>
    </w:p>
    <w:p w14:paraId="6D719AB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3A488AF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0C06DECD"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7E9E082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0FAAD9E5"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2875DC1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4C8842A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В то же время «установленная одна пусковая катушка КП-4716 в момент запуска мотора не обеспечивает достаточной мощности искры».</w:t>
      </w:r>
    </w:p>
    <w:p w14:paraId="2271EFA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Полковые умельцы предложили «для облегчения пуска мотора» к правому магнето подключать вторую пусковую катушку.</w:t>
      </w:r>
    </w:p>
    <w:p w14:paraId="08031A6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A19BC1C"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Один карбюратор был заменен по причине отказа в работе на режиме ниже 1600 об/мин. Причина отказа также не установлена.</w:t>
      </w:r>
    </w:p>
    <w:p w14:paraId="4852695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1C9F3F0A"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24422AB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lastRenderedPageBreak/>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196D7E4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189254CB"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40CBB1E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Всего в период с 16 по 30 апреля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6174FA0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5FA8DC3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C145B7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6405638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3DC92683"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68D746F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25C9F6E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11C3D9"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493440E"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30A6C05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082D17E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4FBCEE4"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0B3CDAF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 xml:space="preserve">190 и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A92347"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самолето-вылетов (80 ч 45 мин).</w:t>
      </w:r>
    </w:p>
    <w:p w14:paraId="4BBB23B3"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655559C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1660FEC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21B04F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01995391"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7227961F"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73B72928"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54B2DFB0"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D3C3C0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3AD7B142"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FB80D36"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52DFC175" w14:textId="77777777" w:rsidR="00356648" w:rsidRPr="00F90EAE" w:rsidRDefault="00356648" w:rsidP="00F90EAE">
      <w:pPr>
        <w:jc w:val="both"/>
        <w:rPr>
          <w:color w:val="000000" w:themeColor="text1"/>
          <w:sz w:val="16"/>
          <w:szCs w:val="16"/>
        </w:rPr>
      </w:pPr>
      <w:r w:rsidRPr="00F90EAE">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D0D949F" w14:textId="77777777" w:rsidR="00356648" w:rsidRPr="00F90EAE" w:rsidRDefault="00356648" w:rsidP="00F90EAE">
      <w:pPr>
        <w:jc w:val="both"/>
        <w:rPr>
          <w:rStyle w:val="107"/>
          <w:rFonts w:eastAsiaTheme="minorHAnsi"/>
          <w:color w:val="000000" w:themeColor="text1"/>
          <w:sz w:val="16"/>
          <w:szCs w:val="16"/>
        </w:rPr>
      </w:pPr>
    </w:p>
    <w:p w14:paraId="3D0B7FEA"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16 апреля — 2 мая 1945 г. проходила Берлинская операция, которая стала пиком массированного применения Ил-2. Штурмовая авиация 2-й воздушной армии была представлена тремя авиакорпусами:</w:t>
      </w:r>
    </w:p>
    <w:p w14:paraId="7D36FA10"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 1-й гвардейский штурмовой Кировоградский краснознаменный ордена Суворова авиационный корпус генерал-лейтенанта Рязанова;</w:t>
      </w:r>
    </w:p>
    <w:p w14:paraId="412431A5"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 2-й гвардейский штурмовой авиационный Владимир-Волынский краснознаменный корпус генерал-майора Слюсарева;</w:t>
      </w:r>
    </w:p>
    <w:p w14:paraId="24916E45"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3-й штурмовой авиационный Ленинский корпус генерал-майора Рубанова.</w:t>
      </w:r>
    </w:p>
    <w:p w14:paraId="7A40130C"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Каждый из них в апреле 1945 г. имел в своем составе две штурмовые дивизии трехполкового состава и одну истребительную авиадивизию (самолеты Як-1, Як-3, Як-9 и Ла-5).</w:t>
      </w:r>
    </w:p>
    <w:p w14:paraId="0727A63A"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На завершающем этапе войны штурмовая авиация 2-й В А использовалась для содействия наземным войскам при форсировании водных преград, ударов по окруженным группировкам противника, отражения его контрударов и непосредственной поддержки сухопутных войск в ходе наступления.</w:t>
      </w:r>
    </w:p>
    <w:p w14:paraId="1720C415"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Штурмовая авиация использовалась массированно на направлениях главных ударов. При прорыве немецкой обороны 70 % Ил-2 совершали вылеты на поддержку своих войск. В ходе боевых действий, когда борьба развернулась на подступах к Берлину, штурмовики наносили массированные удары по 9-й и 12-й немецким армиям. В течение нескольких дней Илы бомбили и обстреливали войска и технику, а также оказывали поддержку 4-й гвардейской танковой армии, отражавшей контрудар генерала Венка на Берлин.</w:t>
      </w:r>
    </w:p>
    <w:p w14:paraId="5F0F1844" w14:textId="77777777" w:rsidR="00040634" w:rsidRPr="00F90EAE" w:rsidRDefault="00040634"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 xml:space="preserve">«Значительную лепту внесли штурмовики 2 ВА в дело срыва этого замысла командования немецких армий, — сообщалось в отчете о боевых действиях 2-й воздушной армии в Берлинской операции . — Своими ударами они уничтожали большое количество живой силы и техники врага, оказали большое влияние на деморализацию </w:t>
      </w:r>
      <w:r w:rsidRPr="00F90EAE">
        <w:rPr>
          <w:iCs/>
          <w:color w:val="000000" w:themeColor="text1"/>
          <w:sz w:val="16"/>
          <w:szCs w:val="16"/>
          <w:bdr w:val="none" w:sz="0" w:space="0" w:color="auto" w:frame="1"/>
        </w:rPr>
        <w:lastRenderedPageBreak/>
        <w:t>его солдат и офицеров и нарушение управления войсками. После ударов штурмовиков часто пехота противника бросала оружие и разбегалась по окружающим лесам».</w:t>
      </w:r>
    </w:p>
    <w:p w14:paraId="6122E336"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Способы действий штурмовиков в ходе операции изменялись в зависимости от обстановки. Так, при прорыве обороны, когда требовалось нанести в ограниченное время мощный удар с воздуха, Илы действовали большими группами по 100–110 машин. В промежутках между массированными ударами производились беспокоящие атаки мелкими группами. Сопровождение танковых армий во время наступления производилось, как правило, более привычными мелкими группами по 6–12 штурмовиков, а в период преследования отходящего противника на задания вылетали группы по 8–12–18 Ил-2. В сложных метеоусловиях и при плохой видимости штурмовики действовали парами и четверками.</w:t>
      </w:r>
    </w:p>
    <w:p w14:paraId="127367C9"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Во время массированных авиаударов применялся хорошо отработанный за годы войны боевой порядок в виде колонны из групп по 4–5–6 Ил-2. Сбрасывание бомб, пуск реактивных снарядов и пулеметно-пушечный обстрел производился с одного-двух заходов, что было обусловлено уже не сильной вражеской ПВО, как, скажем, в 1942–1943 гг., а весьма ограниченным запасом боеприпасов. Применялись и другие тактически приемы, к примеру, в одном районе одновременно большим количеством групп поражалось большое количество целей. В этих случаях каждая группа имела свою цель и «обрабатывала» ее в пяти-шести заходах.</w:t>
      </w:r>
    </w:p>
    <w:p w14:paraId="70614356"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Большое количество боеготовых самолетов позволяло также во время непрерывных массированных налетов группам Ил-2 сменять друг друга над полем боя через каждые десять — двадцать пять минут. При этом обычно применялся боевой порядок «круг», а по вытянутым целям — боевой порядок «змейка» и «восьмерка». Обычно группа производила над целью по пять-шесть заходов.</w:t>
      </w:r>
    </w:p>
    <w:p w14:paraId="5E6138B8"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Кроме того, во время Берлинской операции широко практиковались действия штурмовиков-охотников. Как правило, при этом формировались группы из двух-четырех Ил-2 и четырех-шести истребителей. Выбранные цели они атаковали внезапно и с первого захода, после чего быстро уходили на свою территорию. Для выполнения этих задач привлекались лучшие экипажи-снайперы, хорошо зарекомендовавшие себя. В основном штурмовики-охотники использовались против транспортных перевозок в тылу противника и переправ (19522).</w:t>
      </w:r>
    </w:p>
    <w:p w14:paraId="52C9DC0F" w14:textId="77777777" w:rsidR="00040634" w:rsidRPr="00F90EAE" w:rsidRDefault="00040634" w:rsidP="00F90EAE">
      <w:pPr>
        <w:pStyle w:val="ae"/>
        <w:spacing w:before="0" w:after="0"/>
        <w:jc w:val="both"/>
        <w:textAlignment w:val="baseline"/>
        <w:rPr>
          <w:color w:val="000000" w:themeColor="text1"/>
          <w:sz w:val="16"/>
          <w:szCs w:val="16"/>
        </w:rPr>
      </w:pPr>
    </w:p>
    <w:p w14:paraId="250C16E6"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16–18 апреля 1945 в первые дни Берлинской операции войска 1-го Украинского фронта в упорных боях формировали водные преграды Шпрее и Нейсе. Штурмовики 2-й воздушной армии оказывали разноплановую поддержку наземным войскам: ставили дымовые завесы, атаковали артиллерийские батареи, наносили удары по подходящим резервам и содействовали войскам в отражении контратак.</w:t>
      </w:r>
    </w:p>
    <w:p w14:paraId="5BD73B29"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При форсировании Нейсе частями 3-й гвардейской, 13-й и 15-й гвардейской армиями утром 16 апреля самолеты 1-го гв. шак ставили дымовую завесу на фронте 5-й и частично 13-й армий. В 6.55 взлетели две группы по шесть Ил-2 командира 144-го гв. шап майора Степанова и командира эскадрильи 140-го гв. шап капитана Яковлева. Поскольку на аэродроме еще было темно, а метеорологические условия неблагоприятными (туман), требовалось освещение, которое было выполнено весьма кустарным способом. В трех местах разжигались костры, которые обозначали линию взлета. Взлет и сбор групп в воздухе проходил с выключенными навигационными огнями, а командиры давали необходимые указания экипажам сигнальными ракетами. Кроме того, как указано в отчете, «для сбора групп ведомые экипажи наводились на ведущего с земли по радио».</w:t>
      </w:r>
    </w:p>
    <w:p w14:paraId="6B058A47"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Полет к цели проходил на высоте 400–600 метров, самолеты шли звеньями на дистанции 200–300 метров. При подходе к цели штурмовики перестроились в «правый пеленг» по одному на дистанции между машинами 100–150 метров. Оказавшись по графику над районом переправ, Илы с интервалом в три-четыре секунды вскрывали приборы. В результате цель была за короткое время окутана плотным слоем дыма. Выполнив задачу, штурмовики один за другим сделали левый разворот с одновременным набором высоты.</w:t>
      </w:r>
    </w:p>
    <w:p w14:paraId="4E96C5B2"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 xml:space="preserve">В </w:t>
      </w:r>
      <w:r w:rsidRPr="00F90EAE">
        <w:rPr>
          <w:iCs/>
          <w:color w:val="000000" w:themeColor="text1"/>
          <w:sz w:val="16"/>
          <w:szCs w:val="16"/>
          <w:bdr w:val="none" w:sz="0" w:space="0" w:color="auto" w:frame="1"/>
        </w:rPr>
        <w:t>в отчете о боевых действиях 2-й воздушной армии в Берлинской операции</w:t>
      </w:r>
      <w:r w:rsidRPr="00F90EAE">
        <w:rPr>
          <w:color w:val="000000" w:themeColor="text1"/>
          <w:sz w:val="16"/>
          <w:szCs w:val="16"/>
        </w:rPr>
        <w:t xml:space="preserve"> по этому поводу говорилось:</w:t>
      </w:r>
    </w:p>
    <w:p w14:paraId="092B19E8" w14:textId="77777777" w:rsidR="00040634" w:rsidRPr="00F90EAE" w:rsidRDefault="00040634"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«Наблюдающий за постановкой дымовой завесы командующий 5 гв. А генерал-полковник Жадов и его командующий артиллерией генерал-майор артиллерии Полузитов отметили хорошие действия этих групп штурмовиков. Дымы замаскировали действия передовых отрядов по форсированию р. Нейсе и способствовали войскам в овладении переправами на участке сев. Мускау».</w:t>
      </w:r>
    </w:p>
    <w:p w14:paraId="558D7D65"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Поутру небо над линией фронта наполнилось угрожающим гулом десятков моторов. Это большие группы штурмовиков летели для нанесения ударов по немецким войскам. В 8.45–9.10 группа из 100 Ил-2 нанесла авиаудар по узлам обороны и позициям артиллерии в районе Пузак — Невельн — Емлиц — Мускау — Берг. Штурмовики шли длинной растянутой колонной группами по шесть машин на высоте 900–1000 метров. После преодоления линии фронта самолеты снизились и направились к своим целям. Согласно плану, специально выделенные группы Илов должны были нанести удар по позициям зенитной артиллерии. Однако реальная обстановка внесла свои коррективы. Немецкие зенитки действительно открыли мощный огонь из всех стволов, но из-за сильной дымки сами позиции были почти не видны.</w:t>
      </w:r>
    </w:p>
    <w:p w14:paraId="30107AA9"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Тогда командир 155-го гв. шап подполковник Чернецов решил вначале атаковать зенитки всей группой. Снизившись до бреющего, штурмовики открыли огонь из пушек и пулеметов, попутно пуская реактивные снаряды. Только после этого Илы снова собрались в боевой порядок и приступили к бомбардировке немецких позиций. В общей сложности штурмовики находились над целью в течение двадцати пяти минут, сделав при этом по шесть заходов. Несмотря на сильный зенитный огонь, все Ил-2 вернулись на свои базы.</w:t>
      </w:r>
    </w:p>
    <w:p w14:paraId="033E7F9D"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Тем временем советские войска успешно форсировали Нейсе и начали бои на западном берегу реки. 17 и 18 апреля из-за плохой видимости (менее километра), дополнявшейся дымом от горящих лесов, штурмовикам пришлось перейти на действия мелкими группами.</w:t>
      </w:r>
    </w:p>
    <w:p w14:paraId="0FB251D3"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Так, в 12.45–13.00 17 апреля группа из четырех Ил-2 из 140-го гв. шап нанесла авиаудар по переправе через Шпрее в районе населенного пункта Зеллессен. Встав над целью в круг, штурмовики сделали по шесть заходов, обстреливая на обоих берегах автомашины, повозки. Как говорилось в донесении:</w:t>
      </w:r>
    </w:p>
    <w:p w14:paraId="46F9D070" w14:textId="77777777" w:rsidR="00040634" w:rsidRPr="00F90EAE" w:rsidRDefault="00040634"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«Группа Жигунова в этот налет уничтожила и повредила до 10 автомашин, 5 повозок с войсками и грузами и в пункте Зеллессен был создан мощный очаг пожара».</w:t>
      </w:r>
    </w:p>
    <w:p w14:paraId="78BE3FC9"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Истребители сопровождения ввиду отсутствия в воздухе люфтваффе также занимались штурмовкой наземных целей.</w:t>
      </w:r>
    </w:p>
    <w:p w14:paraId="35A1FFD3"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Что характерно, в боевых донесениях о действиях штурмовиков в конце войны наблюдается все та же схематичность, присущая рапортам осени 1941 г. Термины по-прежнему не отличались разнообразием: «повозки с грузами и войсками», «автомашины», «создан пожар» и т. п.</w:t>
      </w:r>
    </w:p>
    <w:p w14:paraId="22E01A98"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В тот же день в 13.05–13.20 другая четверка Ил-2 из 140-го полка получила приказ атаковать отходящего противника на переправе через Шпрее в районе Шпремберга. Достигнув района цели в условиях низкой облачности и тумана, группа встала в круг и в течение пятнадцати минут наносила удары по немецким войскам. По донесениям летчиков, в районе переправы было создано «несколько очагов пожара», уничтожено и повреждено до восьми автомашин с войсками и грузами. Движение через саму переправу было остановлено.</w:t>
      </w:r>
    </w:p>
    <w:p w14:paraId="0A690400"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В 15.00 18 апреля 24 Ил-2 из 155-го гв. шап тремя группами по шесть машин повторно атаковала немецкие войска на переправе у Шпремберга. Тактика была прежней: подход к цели, построение кругом и последовательные авиаудары в течение двадцати пяти минут.</w:t>
      </w:r>
    </w:p>
    <w:p w14:paraId="79CB321D" w14:textId="77777777" w:rsidR="00040634" w:rsidRPr="00F90EAE" w:rsidRDefault="00040634"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«В районе переправы было создано много очагов пожаров и взрывов, застопорилось движение на восточном берегу реки, — сообщалось в отчете . — С западного берега реки огневое сопротивление противника было прекращено на 30–40 минут».</w:t>
      </w:r>
    </w:p>
    <w:p w14:paraId="034E72A2" w14:textId="77777777" w:rsidR="00040634" w:rsidRPr="00F90EAE" w:rsidRDefault="00040634" w:rsidP="00F90EAE">
      <w:pPr>
        <w:pStyle w:val="ae"/>
        <w:spacing w:before="0" w:after="0"/>
        <w:jc w:val="both"/>
        <w:textAlignment w:val="baseline"/>
        <w:rPr>
          <w:color w:val="000000" w:themeColor="text1"/>
          <w:sz w:val="16"/>
          <w:szCs w:val="16"/>
        </w:rPr>
      </w:pPr>
      <w:r w:rsidRPr="00F90EAE">
        <w:rPr>
          <w:color w:val="000000" w:themeColor="text1"/>
          <w:sz w:val="16"/>
          <w:szCs w:val="16"/>
        </w:rPr>
        <w:t>Вечером того же дня советские танки переправились на восточный берег Шпрее и в течение ночи полностью овладели указанной переправой. В общей сложности в течение 16–18 апреля штурмовики 1-го гв. шак выполнили свыше тысячи самолето-вылетов против переправ на Шпрее и узлов обороны немцев на западном берегу, сбросив 5843 бомбы. Средняя бомбовая нагрузка на каждый самолет составила 455 кг. За указанный период летчики корпуса генерала Рязанова отчитались о восьми уничтоженных танках, семи самоходках, пяти бронетранспортерах, 148 автомашинах, 36 повозках и т. д. Даже учитывая, что эти данные были преувеличены, ясно, что массированное применение на узком участке большого количества штурмовиков наносило существенный урон противнику (19522).</w:t>
      </w:r>
    </w:p>
    <w:p w14:paraId="73905A22" w14:textId="77777777" w:rsidR="00040634" w:rsidRPr="00F90EAE" w:rsidRDefault="00040634" w:rsidP="00F90EAE">
      <w:pPr>
        <w:pStyle w:val="ae"/>
        <w:spacing w:before="0" w:after="0"/>
        <w:jc w:val="both"/>
        <w:textAlignment w:val="baseline"/>
        <w:rPr>
          <w:color w:val="000000" w:themeColor="text1"/>
          <w:sz w:val="16"/>
          <w:szCs w:val="16"/>
        </w:rPr>
      </w:pPr>
    </w:p>
    <w:p w14:paraId="03DECD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началась Берлинская операция, в которой на самолетах Ил-10 приняли участие 108-й гвардейский и 571-й штурмовые полки. В этот день с аэродрома Охельхер-мсдорф в 8:30 взлетели все 25 Ил-10 108-го “Рава-Русского” ГШАП на первое боевое задание в район города Франкфурта для штурмовки автострады. Группа вернулась без потерь. Но боевой вылет выявил ряд дефектов в моторах, в результате чего пришлось менять фильтры и поршневые кольца. На первых порах немало хлопот доставили щитки шасси, которые порой заклинивали в нише и держали стойку в момент выпуска. Выполняя боевые задания на штурмовиках Ил-10, летчики ежедневно открывали те или иные положительные качества и особенности новой машины. Их тут же фиксировала государственная комиссия во главе с инженер-полковником П.Т.Аброщенко (8683,37).</w:t>
      </w:r>
    </w:p>
    <w:p w14:paraId="15892CC7" w14:textId="77777777" w:rsidR="00665165" w:rsidRPr="00F90EAE" w:rsidRDefault="00665165" w:rsidP="00F90EAE">
      <w:pPr>
        <w:autoSpaceDE w:val="0"/>
        <w:autoSpaceDN w:val="0"/>
        <w:adjustRightInd w:val="0"/>
        <w:jc w:val="both"/>
        <w:rPr>
          <w:color w:val="000000" w:themeColor="text1"/>
          <w:sz w:val="16"/>
          <w:szCs w:val="16"/>
        </w:rPr>
      </w:pPr>
    </w:p>
    <w:p w14:paraId="4A878D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вышел приказ Командующего ВВС и НКАП N 079/147с "О проведении гос. испытаний опытного самолета 63 с 2хАМ-39Ф и винтами АВ-5В-22А конструкции А.Н.Т.":</w:t>
      </w:r>
    </w:p>
    <w:p w14:paraId="4D58FF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Испытания, начатые 13 апреля, закончить в течение 17 летных дней (1829,114).</w:t>
      </w:r>
    </w:p>
    <w:p w14:paraId="6A4B79F2" w14:textId="77777777" w:rsidR="00665165" w:rsidRPr="00F90EAE" w:rsidRDefault="00665165" w:rsidP="00F90EAE">
      <w:pPr>
        <w:autoSpaceDE w:val="0"/>
        <w:autoSpaceDN w:val="0"/>
        <w:adjustRightInd w:val="0"/>
        <w:jc w:val="both"/>
        <w:rPr>
          <w:color w:val="000000" w:themeColor="text1"/>
          <w:sz w:val="16"/>
          <w:szCs w:val="16"/>
        </w:rPr>
      </w:pPr>
    </w:p>
    <w:p w14:paraId="6C921D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 первый Ер-20Н под управлением Алексеева совершил успешный беспосадочный перелет из Иркутска в Москву, затратив 15 ч. 30 мин. (3322,44).</w:t>
      </w:r>
    </w:p>
    <w:p w14:paraId="3C72F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второй половине апреля 1945 Командир самолета Герой Советского Союза гвардии-полковник Алексеев писал Шахурину Донесение о выполнении беспосадочного перелета самолета ЕР-2 "ОН" по маршруту Иркутск-Москва.</w:t>
      </w:r>
    </w:p>
    <w:p w14:paraId="2151D8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Вашему указанию 17 апреля 1945 года самолет ЕР-2 "ОН" переоборудованный в пассажирский вариант из серийного бомбардировщика ЕР-2 2АЧ-30Б, совершил беспосадочный перелет по маршруту: Иркутск - Красноярск - Новосибирск - Омск - Свердловск - Казань - Москва, общей протяженностью 4540 ем.</w:t>
      </w:r>
    </w:p>
    <w:p w14:paraId="5BE49D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стартовал с аэродрома завода N 39 в 1 час 15 мин. (по Московскому времени), ведя перелет по маршруту согласно утвержденному профилю и режимов работы мотора, отклоняясь от них лишь в случае необходимости.</w:t>
      </w:r>
    </w:p>
    <w:p w14:paraId="6C755E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15 час. 45 мин. самолет достиг г. Москвы, но благодаря неблагоприятных метеорологических условий вынужден был в течение 45 мин. ожидать разрешения на посадку на Центральном аэродроме, продолжая полет над Москвой. В 16 час. 30 мин. самолет совершил посадку на Центральном аэродроме.</w:t>
      </w:r>
    </w:p>
    <w:p w14:paraId="6DAB1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маршрут Иркутск - Москва пройден за 14 час. 30 мин. со средней путевой скоростью - 312 км/час (при встречном ветре со скоростью 40 км/час), удельный километровый расход при этом получен 0,955 кг/км.</w:t>
      </w:r>
    </w:p>
    <w:p w14:paraId="58C842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перелета материальная часть самолета работала удовлетворительно и ни каких технических дефектов не обнаружено, самолет готов к дальнейшей его эксплуатации.</w:t>
      </w:r>
    </w:p>
    <w:p w14:paraId="15A87D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Далее привожу подробные сведения о подготовке, перелете и работе материальной части самолета ЕР-2 "ОН".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4AEC7A1F" w14:textId="77777777">
        <w:tc>
          <w:tcPr>
            <w:tcW w:w="5636" w:type="dxa"/>
          </w:tcPr>
          <w:p w14:paraId="7BEB27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w:t>
            </w:r>
          </w:p>
        </w:tc>
        <w:tc>
          <w:tcPr>
            <w:tcW w:w="5636" w:type="dxa"/>
          </w:tcPr>
          <w:p w14:paraId="0761B86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FB70273" w14:textId="77777777">
        <w:tc>
          <w:tcPr>
            <w:tcW w:w="5636" w:type="dxa"/>
          </w:tcPr>
          <w:p w14:paraId="6D15D9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самолета по взвешиванию на</w:t>
            </w:r>
          </w:p>
        </w:tc>
        <w:tc>
          <w:tcPr>
            <w:tcW w:w="5636" w:type="dxa"/>
          </w:tcPr>
          <w:p w14:paraId="7A3CF60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EE6D91E" w14:textId="77777777">
        <w:tc>
          <w:tcPr>
            <w:tcW w:w="5636" w:type="dxa"/>
          </w:tcPr>
          <w:p w14:paraId="7AE5A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заводе N 39 (включая все оборудование,</w:t>
            </w:r>
          </w:p>
        </w:tc>
        <w:tc>
          <w:tcPr>
            <w:tcW w:w="5636" w:type="dxa"/>
          </w:tcPr>
          <w:p w14:paraId="574A77E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2DCB134" w14:textId="77777777">
        <w:tc>
          <w:tcPr>
            <w:tcW w:w="5636" w:type="dxa"/>
          </w:tcPr>
          <w:p w14:paraId="59244B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в системе питания моторов, полностью</w:t>
            </w:r>
          </w:p>
        </w:tc>
        <w:tc>
          <w:tcPr>
            <w:tcW w:w="5636" w:type="dxa"/>
          </w:tcPr>
          <w:p w14:paraId="6081E93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1E54C26" w14:textId="77777777">
        <w:tc>
          <w:tcPr>
            <w:tcW w:w="5636" w:type="dxa"/>
          </w:tcPr>
          <w:p w14:paraId="17870A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заполненные антиобледенительные баки,</w:t>
            </w:r>
          </w:p>
        </w:tc>
        <w:tc>
          <w:tcPr>
            <w:tcW w:w="5636" w:type="dxa"/>
          </w:tcPr>
          <w:p w14:paraId="3297BAC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EF6AF30" w14:textId="77777777">
        <w:tc>
          <w:tcPr>
            <w:tcW w:w="5636" w:type="dxa"/>
          </w:tcPr>
          <w:p w14:paraId="54A6F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запасный бак для подкачки воды в водяную</w:t>
            </w:r>
          </w:p>
        </w:tc>
        <w:tc>
          <w:tcPr>
            <w:tcW w:w="5636" w:type="dxa"/>
          </w:tcPr>
          <w:p w14:paraId="247EC92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A0844B3" w14:textId="77777777">
        <w:tc>
          <w:tcPr>
            <w:tcW w:w="5636" w:type="dxa"/>
          </w:tcPr>
          <w:p w14:paraId="48AB8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систему моторов, воду в водяном бачке в</w:t>
            </w:r>
          </w:p>
        </w:tc>
        <w:tc>
          <w:tcPr>
            <w:tcW w:w="5636" w:type="dxa"/>
          </w:tcPr>
          <w:p w14:paraId="76774E6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89F117D" w14:textId="77777777">
        <w:tc>
          <w:tcPr>
            <w:tcW w:w="5636" w:type="dxa"/>
          </w:tcPr>
          <w:p w14:paraId="0A405B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туалетной комнате, и исключая вес установки</w:t>
            </w:r>
          </w:p>
        </w:tc>
        <w:tc>
          <w:tcPr>
            <w:tcW w:w="5636" w:type="dxa"/>
          </w:tcPr>
          <w:p w14:paraId="61F6802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8A0CDA3" w14:textId="77777777">
        <w:tc>
          <w:tcPr>
            <w:tcW w:w="5636" w:type="dxa"/>
          </w:tcPr>
          <w:p w14:paraId="196EC0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дополнительного топливного бака</w:t>
            </w:r>
          </w:p>
        </w:tc>
        <w:tc>
          <w:tcPr>
            <w:tcW w:w="5636" w:type="dxa"/>
          </w:tcPr>
          <w:p w14:paraId="48DCC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10962 кг</w:t>
            </w:r>
          </w:p>
        </w:tc>
      </w:tr>
      <w:tr w:rsidR="00561F31" w:rsidRPr="00F90EAE" w14:paraId="05DCC769" w14:textId="77777777">
        <w:tc>
          <w:tcPr>
            <w:tcW w:w="5636" w:type="dxa"/>
          </w:tcPr>
          <w:p w14:paraId="2BFDD2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(предусмотрен техническими условиями)</w:t>
            </w:r>
          </w:p>
        </w:tc>
        <w:tc>
          <w:tcPr>
            <w:tcW w:w="5636" w:type="dxa"/>
          </w:tcPr>
          <w:p w14:paraId="43754B7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8804953" w14:textId="77777777">
        <w:tc>
          <w:tcPr>
            <w:tcW w:w="5636" w:type="dxa"/>
          </w:tcPr>
          <w:p w14:paraId="01DABC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человека: пилот, бортмеханик - он же второй</w:t>
            </w:r>
          </w:p>
        </w:tc>
        <w:tc>
          <w:tcPr>
            <w:tcW w:w="5636" w:type="dxa"/>
          </w:tcPr>
          <w:p w14:paraId="3F8F536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FD2548D" w14:textId="77777777">
        <w:tc>
          <w:tcPr>
            <w:tcW w:w="5636" w:type="dxa"/>
          </w:tcPr>
          <w:p w14:paraId="6C89E5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пилот, штурман и бортрадист</w:t>
            </w:r>
          </w:p>
        </w:tc>
        <w:tc>
          <w:tcPr>
            <w:tcW w:w="5636" w:type="dxa"/>
          </w:tcPr>
          <w:p w14:paraId="014930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 кг</w:t>
            </w:r>
          </w:p>
        </w:tc>
      </w:tr>
      <w:tr w:rsidR="00561F31" w:rsidRPr="00F90EAE" w14:paraId="20820588" w14:textId="77777777">
        <w:tc>
          <w:tcPr>
            <w:tcW w:w="5636" w:type="dxa"/>
          </w:tcPr>
          <w:p w14:paraId="73029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 в баках (максимально допустимая в</w:t>
            </w:r>
          </w:p>
        </w:tc>
        <w:tc>
          <w:tcPr>
            <w:tcW w:w="5636" w:type="dxa"/>
          </w:tcPr>
          <w:p w14:paraId="459FDA2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853CF20" w14:textId="77777777">
        <w:tc>
          <w:tcPr>
            <w:tcW w:w="5636" w:type="dxa"/>
          </w:tcPr>
          <w:p w14:paraId="371AFE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эксплуатации)</w:t>
            </w:r>
          </w:p>
        </w:tc>
        <w:tc>
          <w:tcPr>
            <w:tcW w:w="5636" w:type="dxa"/>
          </w:tcPr>
          <w:p w14:paraId="21A955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 кг</w:t>
            </w:r>
          </w:p>
        </w:tc>
      </w:tr>
      <w:tr w:rsidR="00561F31" w:rsidRPr="00F90EAE" w14:paraId="5FEC2122" w14:textId="77777777">
        <w:tc>
          <w:tcPr>
            <w:tcW w:w="5636" w:type="dxa"/>
          </w:tcPr>
          <w:p w14:paraId="423DFC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Бортинструмент, лестница для пассажиров и</w:t>
            </w:r>
          </w:p>
        </w:tc>
        <w:tc>
          <w:tcPr>
            <w:tcW w:w="5636" w:type="dxa"/>
          </w:tcPr>
          <w:p w14:paraId="5EFE616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83BFE03" w14:textId="77777777">
        <w:tc>
          <w:tcPr>
            <w:tcW w:w="5636" w:type="dxa"/>
          </w:tcPr>
          <w:p w14:paraId="00BFF8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складная лестница для штурмана</w:t>
            </w:r>
          </w:p>
        </w:tc>
        <w:tc>
          <w:tcPr>
            <w:tcW w:w="5636" w:type="dxa"/>
          </w:tcPr>
          <w:p w14:paraId="5FA6AC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 кг</w:t>
            </w:r>
          </w:p>
        </w:tc>
      </w:tr>
      <w:tr w:rsidR="00561F31" w:rsidRPr="00F90EAE" w14:paraId="6FD38D39" w14:textId="77777777">
        <w:tc>
          <w:tcPr>
            <w:tcW w:w="5636" w:type="dxa"/>
          </w:tcPr>
          <w:p w14:paraId="508C73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(максимально возможная заправка</w:t>
            </w:r>
          </w:p>
        </w:tc>
        <w:tc>
          <w:tcPr>
            <w:tcW w:w="5636" w:type="dxa"/>
          </w:tcPr>
          <w:p w14:paraId="3741BBE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0FE0A43" w14:textId="77777777">
        <w:tc>
          <w:tcPr>
            <w:tcW w:w="5636" w:type="dxa"/>
          </w:tcPr>
          <w:p w14:paraId="21DDB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самолета в трехточечном положении)</w:t>
            </w:r>
          </w:p>
        </w:tc>
        <w:tc>
          <w:tcPr>
            <w:tcW w:w="5636" w:type="dxa"/>
          </w:tcPr>
          <w:p w14:paraId="51980B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5030 кг</w:t>
            </w:r>
          </w:p>
        </w:tc>
      </w:tr>
      <w:tr w:rsidR="00561F31" w:rsidRPr="00F90EAE" w14:paraId="02349036" w14:textId="77777777">
        <w:tc>
          <w:tcPr>
            <w:tcW w:w="5636" w:type="dxa"/>
          </w:tcPr>
          <w:p w14:paraId="3CDC81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636" w:type="dxa"/>
          </w:tcPr>
          <w:p w14:paraId="7256A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16852 кг</w:t>
            </w:r>
          </w:p>
        </w:tc>
      </w:tr>
      <w:tr w:rsidR="00561F31" w:rsidRPr="00F90EAE" w14:paraId="4D3B36A9" w14:textId="77777777">
        <w:tc>
          <w:tcPr>
            <w:tcW w:w="5636" w:type="dxa"/>
          </w:tcPr>
          <w:p w14:paraId="358D1D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Дополнительная нагрузка в данном</w:t>
            </w:r>
          </w:p>
        </w:tc>
        <w:tc>
          <w:tcPr>
            <w:tcW w:w="5636" w:type="dxa"/>
          </w:tcPr>
          <w:p w14:paraId="01A5B5C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49EF623" w14:textId="77777777">
        <w:tc>
          <w:tcPr>
            <w:tcW w:w="5636" w:type="dxa"/>
          </w:tcPr>
          <w:p w14:paraId="73ACC1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полете, рассматриваемая как</w:t>
            </w:r>
          </w:p>
        </w:tc>
        <w:tc>
          <w:tcPr>
            <w:tcW w:w="5636" w:type="dxa"/>
          </w:tcPr>
          <w:p w14:paraId="4576AB8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B7B67AD" w14:textId="77777777">
        <w:tc>
          <w:tcPr>
            <w:tcW w:w="5636" w:type="dxa"/>
          </w:tcPr>
          <w:p w14:paraId="1155A1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коммерческая.</w:t>
            </w:r>
          </w:p>
        </w:tc>
        <w:tc>
          <w:tcPr>
            <w:tcW w:w="5636" w:type="dxa"/>
          </w:tcPr>
          <w:p w14:paraId="1D1B4D9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867E8C8" w14:textId="77777777">
        <w:tc>
          <w:tcPr>
            <w:tcW w:w="5636" w:type="dxa"/>
          </w:tcPr>
          <w:p w14:paraId="084533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Дополнительный топливный бак (270 кг) и вес</w:t>
            </w:r>
          </w:p>
        </w:tc>
        <w:tc>
          <w:tcPr>
            <w:tcW w:w="5636" w:type="dxa"/>
          </w:tcPr>
          <w:p w14:paraId="61E63AB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7840C23" w14:textId="77777777">
        <w:tc>
          <w:tcPr>
            <w:tcW w:w="5636" w:type="dxa"/>
          </w:tcPr>
          <w:p w14:paraId="255A1A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установки (40 кг), нерасходуемый в течение</w:t>
            </w:r>
          </w:p>
        </w:tc>
        <w:tc>
          <w:tcPr>
            <w:tcW w:w="5636" w:type="dxa"/>
          </w:tcPr>
          <w:p w14:paraId="0CA8EC7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48E720B" w14:textId="77777777">
        <w:tc>
          <w:tcPr>
            <w:tcW w:w="5636" w:type="dxa"/>
          </w:tcPr>
          <w:p w14:paraId="2FD26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перелета</w:t>
            </w:r>
          </w:p>
        </w:tc>
        <w:tc>
          <w:tcPr>
            <w:tcW w:w="5636" w:type="dxa"/>
          </w:tcPr>
          <w:p w14:paraId="35C8D4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 кг</w:t>
            </w:r>
          </w:p>
        </w:tc>
      </w:tr>
      <w:tr w:rsidR="00561F31" w:rsidRPr="00F90EAE" w14:paraId="0F67194F" w14:textId="77777777">
        <w:tc>
          <w:tcPr>
            <w:tcW w:w="5636" w:type="dxa"/>
          </w:tcPr>
          <w:p w14:paraId="17BA0D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всех дальнейших расчетах расхода горючего</w:t>
            </w:r>
          </w:p>
        </w:tc>
        <w:tc>
          <w:tcPr>
            <w:tcW w:w="5636" w:type="dxa"/>
          </w:tcPr>
          <w:p w14:paraId="57B32A3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9CA4E1F" w14:textId="77777777">
        <w:tc>
          <w:tcPr>
            <w:tcW w:w="5636" w:type="dxa"/>
          </w:tcPr>
          <w:p w14:paraId="0142AE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 дальности самолета это горючее не учитывается)</w:t>
            </w:r>
          </w:p>
        </w:tc>
        <w:tc>
          <w:tcPr>
            <w:tcW w:w="5636" w:type="dxa"/>
          </w:tcPr>
          <w:p w14:paraId="7625F8E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7D745D1" w14:textId="77777777">
        <w:tc>
          <w:tcPr>
            <w:tcW w:w="5636" w:type="dxa"/>
          </w:tcPr>
          <w:p w14:paraId="5123D4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Второй пилот (техническими условиями не</w:t>
            </w:r>
          </w:p>
        </w:tc>
        <w:tc>
          <w:tcPr>
            <w:tcW w:w="5636" w:type="dxa"/>
          </w:tcPr>
          <w:p w14:paraId="668AD9E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8216D20" w14:textId="77777777">
        <w:tc>
          <w:tcPr>
            <w:tcW w:w="5636" w:type="dxa"/>
          </w:tcPr>
          <w:p w14:paraId="189E52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предусмотренный)</w:t>
            </w:r>
          </w:p>
        </w:tc>
        <w:tc>
          <w:tcPr>
            <w:tcW w:w="5636" w:type="dxa"/>
          </w:tcPr>
          <w:p w14:paraId="0CC6F7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 кг</w:t>
            </w:r>
          </w:p>
        </w:tc>
      </w:tr>
      <w:tr w:rsidR="00561F31" w:rsidRPr="00F90EAE" w14:paraId="2598D759" w14:textId="77777777">
        <w:tc>
          <w:tcPr>
            <w:tcW w:w="5636" w:type="dxa"/>
          </w:tcPr>
          <w:p w14:paraId="45644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Парашюты (не положенные для экипажа пассажирского</w:t>
            </w:r>
          </w:p>
        </w:tc>
        <w:tc>
          <w:tcPr>
            <w:tcW w:w="5636" w:type="dxa"/>
          </w:tcPr>
          <w:p w14:paraId="3360DA0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F3D5597" w14:textId="77777777">
        <w:tc>
          <w:tcPr>
            <w:tcW w:w="5636" w:type="dxa"/>
          </w:tcPr>
          <w:p w14:paraId="738A29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самолета)</w:t>
            </w:r>
          </w:p>
        </w:tc>
        <w:tc>
          <w:tcPr>
            <w:tcW w:w="5636" w:type="dxa"/>
          </w:tcPr>
          <w:p w14:paraId="16680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 кг</w:t>
            </w:r>
          </w:p>
        </w:tc>
      </w:tr>
      <w:tr w:rsidR="00561F31" w:rsidRPr="00F90EAE" w14:paraId="2F70D3F4" w14:textId="77777777">
        <w:tc>
          <w:tcPr>
            <w:tcW w:w="5636" w:type="dxa"/>
          </w:tcPr>
          <w:p w14:paraId="5F094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Личные вещи, продовольствия и др. имущество</w:t>
            </w:r>
          </w:p>
        </w:tc>
        <w:tc>
          <w:tcPr>
            <w:tcW w:w="5636" w:type="dxa"/>
          </w:tcPr>
          <w:p w14:paraId="02270E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 кг</w:t>
            </w:r>
          </w:p>
        </w:tc>
      </w:tr>
      <w:tr w:rsidR="00561F31" w:rsidRPr="00F90EAE" w14:paraId="01555854" w14:textId="77777777">
        <w:tc>
          <w:tcPr>
            <w:tcW w:w="5636" w:type="dxa"/>
          </w:tcPr>
          <w:p w14:paraId="167FF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Дополнительно в банках: масло - 60 кг, вода - 20 кг</w:t>
            </w:r>
          </w:p>
        </w:tc>
        <w:tc>
          <w:tcPr>
            <w:tcW w:w="5636" w:type="dxa"/>
          </w:tcPr>
          <w:p w14:paraId="4562F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 кг</w:t>
            </w:r>
          </w:p>
        </w:tc>
      </w:tr>
      <w:tr w:rsidR="00561F31" w:rsidRPr="00F90EAE" w14:paraId="5413737A" w14:textId="77777777">
        <w:tc>
          <w:tcPr>
            <w:tcW w:w="5636" w:type="dxa"/>
          </w:tcPr>
          <w:p w14:paraId="422A31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636" w:type="dxa"/>
          </w:tcPr>
          <w:p w14:paraId="67A8DC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 кг</w:t>
            </w:r>
          </w:p>
        </w:tc>
      </w:tr>
      <w:tr w:rsidR="00561F31" w:rsidRPr="00F90EAE" w14:paraId="0DEA7353" w14:textId="77777777">
        <w:tc>
          <w:tcPr>
            <w:tcW w:w="5636" w:type="dxa"/>
          </w:tcPr>
          <w:p w14:paraId="0941F3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полетный вес:</w:t>
            </w:r>
          </w:p>
        </w:tc>
        <w:tc>
          <w:tcPr>
            <w:tcW w:w="5636" w:type="dxa"/>
          </w:tcPr>
          <w:p w14:paraId="423888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17437 кг</w:t>
            </w:r>
          </w:p>
        </w:tc>
      </w:tr>
    </w:tbl>
    <w:p w14:paraId="7656EE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Старт.</w:t>
      </w:r>
    </w:p>
    <w:p w14:paraId="000C4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Старт производился с бетонной дорожки длиной - 1174 м аэродрома завода N 39. Аэродром допускает взлет с большими полетными весами только в одну сторону. Замер разбега самолета не производился, но по моему глазомерному определению был около 1000 м. Условия старта: ветер - 5-6 м в секунду, Т воз. +5, давления - 730 мм.</w:t>
      </w:r>
    </w:p>
    <w:p w14:paraId="72FE8E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w:t>
      </w:r>
    </w:p>
    <w:p w14:paraId="2AB013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Имевшийся на борту запас горючего распределяется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561F31" w:rsidRPr="00F90EAE" w14:paraId="4F207D68" w14:textId="77777777">
        <w:tc>
          <w:tcPr>
            <w:tcW w:w="5636" w:type="dxa"/>
          </w:tcPr>
          <w:p w14:paraId="3FE3B1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плоскостные баки (включая центроплан)</w:t>
            </w:r>
          </w:p>
        </w:tc>
        <w:tc>
          <w:tcPr>
            <w:tcW w:w="5636" w:type="dxa"/>
          </w:tcPr>
          <w:p w14:paraId="1D187A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3690 кг</w:t>
            </w:r>
          </w:p>
        </w:tc>
      </w:tr>
      <w:tr w:rsidR="00561F31" w:rsidRPr="00F90EAE" w14:paraId="399A9632" w14:textId="77777777">
        <w:tc>
          <w:tcPr>
            <w:tcW w:w="5636" w:type="dxa"/>
          </w:tcPr>
          <w:p w14:paraId="2C77D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мотогондольные баки (так наз. 6-е баки)</w:t>
            </w:r>
          </w:p>
        </w:tc>
        <w:tc>
          <w:tcPr>
            <w:tcW w:w="5636" w:type="dxa"/>
          </w:tcPr>
          <w:p w14:paraId="0B904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 кг</w:t>
            </w:r>
          </w:p>
        </w:tc>
      </w:tr>
      <w:tr w:rsidR="00561F31" w:rsidRPr="00F90EAE" w14:paraId="7484D32D" w14:textId="77777777">
        <w:tc>
          <w:tcPr>
            <w:tcW w:w="5636" w:type="dxa"/>
          </w:tcPr>
          <w:p w14:paraId="7A80C9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верхний гаргротный бак (Первый бак)</w:t>
            </w:r>
          </w:p>
        </w:tc>
        <w:tc>
          <w:tcPr>
            <w:tcW w:w="5636" w:type="dxa"/>
          </w:tcPr>
          <w:p w14:paraId="39BBCB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 кг</w:t>
            </w:r>
          </w:p>
        </w:tc>
      </w:tr>
      <w:tr w:rsidR="00561F31" w:rsidRPr="00F90EAE" w14:paraId="1CFB47CC" w14:textId="77777777">
        <w:tc>
          <w:tcPr>
            <w:tcW w:w="5636" w:type="dxa"/>
          </w:tcPr>
          <w:p w14:paraId="26A64F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636" w:type="dxa"/>
          </w:tcPr>
          <w:p w14:paraId="553CEA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5030 кг</w:t>
            </w:r>
          </w:p>
        </w:tc>
      </w:tr>
    </w:tbl>
    <w:p w14:paraId="6EFE26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Порядок расходования горючего предусматривает предварительную в течение 5-6 часов выработку плоскостных и центропланных баков, которые затем дополняются путем перекачки туда горючего из мотогондольных баков. И только после их израсходования почти на сухую включается верхний гаргротный бак. Расходование в таком порядке топлива всегда с достаточной точностью ориентирует пилота, на какое время пребывания в воздухе он должен рассчитывать.</w:t>
      </w:r>
    </w:p>
    <w:p w14:paraId="2727B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данном полете в течение 13 часов расходовались плоскостные и мотогондольные баки. Через 13 часов полета самолет находился в районе Арзамаса, то есть на расстоянии около 400 км от Москвы и было совершено ясно, что горючего больше чем достаточно. И по этому так и не дождавшись полной выработки плоскостных и мотогондольных баков включил верхний гаргротный бак. В Москве было слито горючего 475 кг.</w:t>
      </w:r>
    </w:p>
    <w:p w14:paraId="396F94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Таким путем общий расход горючего за полет равен 4556 кг. В эту цифру входят прогрев моторов, выруливание, старт и 45 - минутное ожидание в воздухе разрешения произвести посадку на Центральном аэродроме ВВС в Москве.</w:t>
      </w:r>
    </w:p>
    <w:p w14:paraId="08901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Общее время пребывания самолета в воздухе - 15 час. 15 мин. из них на курсе 14 час. 30 мин.</w:t>
      </w:r>
    </w:p>
    <w:p w14:paraId="1B66E7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Среднечасовой расход топлива - 298 кг на оба мотора в час.</w:t>
      </w:r>
    </w:p>
    <w:p w14:paraId="55BD5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Исключая случайное и не характерное ожидание в течение 45 минут разрешения на посадку, стоявшая 220 кг горючего следует считать общий расход на совершение перелета - 4336 кг.</w:t>
      </w:r>
    </w:p>
    <w:p w14:paraId="5C3234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Протяженность маршрута 4540 км, следовательно расход на один км пути - 0955 кг/км.</w:t>
      </w:r>
    </w:p>
    <w:p w14:paraId="0D251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Всегда господствующий при полете с востока на запад встречные ветры в данном полете, составлявшие в среднем не менее 40 км в час повысили удельный расход горючего на 11,5%.</w:t>
      </w:r>
    </w:p>
    <w:p w14:paraId="641B42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Следовательно приведенный к безветрию расход горючего будет равен 0,850 кг/км.</w:t>
      </w:r>
    </w:p>
    <w:p w14:paraId="04D383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p w14:paraId="416C16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запасе горючего на борту - 5030 кг, вычитая не сливаемый остаток в баках и отстойниках в 150 кг имеем расходное количество - 4880 кг.</w:t>
      </w:r>
    </w:p>
    <w:p w14:paraId="6A9C2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Следовательно техническая дальность самолета при штиле равна - 5750 км, отсюда эксплуатационная дальность, включая 20% навигационный запас горючего будет - 4800 км.</w:t>
      </w:r>
    </w:p>
    <w:p w14:paraId="030DAD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Заправка горючим произведена заводом N 39 тракторным керосином из последней полученной партии, обладающий какими-то примесями, по-видимому остатками земли фильтров нефтеперегонных заводов. Даже 5-ти кратная фильтрация через шелковые фильтры не избавило горючее от этой примеси. Представитель завода 500 т ТАТКО с моего согласия счел нужным для этого сорта топлива, а другого более чистого на заводе не было, снять шелковую ткань с топливных фильтров, оставив только металлическую репсовую сетку, полагая, что остатки земли прошедшие через пять шелковых фильтров не могут повлиять на работу топливной системы. Дальнейшее показало правильность его суждения.</w:t>
      </w:r>
    </w:p>
    <w:p w14:paraId="3EB57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Масло.</w:t>
      </w:r>
    </w:p>
    <w:p w14:paraId="519FD9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контрольных полетах на заводе было установлено, что без выброса масла через суфлеры маслобаков можно заливать не более чем по 210 кг в каждый бак. Результаты контрольного полета продолжительностью 3 час. 15 мин. показали расход масла 7,5 кг в час на каждый мотор, тем не менее для большей гарантии было решено взять в полет 60 кг масла в 3-х бидонах. Маслосистема моторов предусматривает возможность подкачки масла в полете. Бортмехаником Заболуевым было занято в полете </w:t>
      </w:r>
      <w:r w:rsidRPr="00F90EAE">
        <w:rPr>
          <w:color w:val="000000" w:themeColor="text1"/>
          <w:sz w:val="16"/>
          <w:szCs w:val="16"/>
        </w:rPr>
        <w:lastRenderedPageBreak/>
        <w:t>по 10 кг масла в мотор, не столько для увеличения количества масла в баках, так как показание приборов были совершенно нормальными, сколько для проверки удобства пользования этим приспособлением в воздухе. После полета с левого мотора было слито 40 кг масла, а из правого 58 кг масла.</w:t>
      </w:r>
    </w:p>
    <w:p w14:paraId="7C5AD4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Таким путем часовой расход масла на левый мотор равен 11,8 кг в час и для правого мотора - 10,6 кг в час.</w:t>
      </w:r>
    </w:p>
    <w:p w14:paraId="438AE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несколько повышенный расход масла по-видимому вызван применением масла МЗС - регенирированного (лучшее что можно было найти в Иркутске в то время) ТАТКО считал уже своевременным по причине теплой погоды переходить на масло МС.</w:t>
      </w:r>
    </w:p>
    <w:p w14:paraId="42611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Перед моим отъездом в г. Иркутск нарком Шахурин дал указание заводу установить непредусмотренные в чертежах, по моей просьбе, дополнительный топливный бак и ручной насос для подкачки масла в полете, что заводом и было выполнено. 1 и 15 апреля произвел контрольные полеты, после чего машина была окрашена и 7 апреля подготовлена к перелету и оформлена передача самолета экипажу. Ожидания разрешения на вылет потребовало 9-ти дней, что не соответствовало ни действительным условиям погода, ни техническим возможностям самолета ЕР-2. Поддержания самолета с состоянии почти полной готовности в течение 9-ти дней изматывало экипаж и конечно, вредно отражалось на матчасти (самолет стоял все время под полной загрузкой и моторы бесконечное число раз запускались и прогревались на земле). поэтому счел нужным сделать еще раз контрольный полет для поверки материальной части в воздухе, что и выполнил 16 апреля. Поверка показала полную исправность работы агрегатов. С руководством завода и директором завода Абрамовым работал совершенно согласовано и получал от него удовлетворение всех моих пожеланий. 17 апреля получил долгожданное получение на вылет и в 1 час 15 мин. по Московскому времени вылетел в Москву. профиль полета рассчитанный и действительно выполненный прилагаю. Набор высоты до 5700 м в районе Свердловска вызван пересечением мощного фронта с обледенением. В течение всего времени полета был включен автопилот, работа которого была совершенно безупречная.</w:t>
      </w:r>
    </w:p>
    <w:p w14:paraId="211C1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Расходомеры "РСТ" были также включены в течение всего полета: правый работал хорошо, левый давал преуменьшенные колеблющие показания.</w:t>
      </w:r>
    </w:p>
    <w:p w14:paraId="4EF0DB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Весь полет моторы эксплуатировались на мощности 75% номинальной на 1720 оборотах.</w:t>
      </w:r>
    </w:p>
    <w:p w14:paraId="091D9B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ЕР-2 "ОН" по сравнению с серийным самолетом отличается лучшей продольной устойчивостью (по-видимому за счет более передней центровки). одновременно эта же передняя центровка при пустой пассажирской кабине и не значительном количестве горючего затрудняет трехточечную посадку. Необходимо штурмана и радиста перед посадкой отправлять в пассажирскую кабину, возможно ближе к хвосту. точного определения скорости самолета в Иркутск установить не представляется возможным, но ориентировочно на основании контрольных полетов, полагаю увеличение скорости на 15-20 км в час. если в перелете при встречном ветре средняя крейсерская скорость на маршруте была равной 312 км/час при встречном ветре силы 40 км/час. Следовательно крейсерская скорость в обычных условиях будет не менее 355 км/час при 75% номинальной мощности моторов.</w:t>
      </w:r>
    </w:p>
    <w:p w14:paraId="4FE2F6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очень прост, хорош и приятен в управлении, как для дневных так и ночных полетов. после установки на нем моторов АЧ-30БФ (форсированных) считаю возможным производить ночные взлеты на обычных аэродромах с полетным весом 18 тонн.</w:t>
      </w:r>
    </w:p>
    <w:p w14:paraId="51189D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Перелет Иркутск - Москва был совершен экипажем в составе 5-ти человек: меня - как командира и 1-го пилота, 2-го пилота капитана Трифонова, штурмана майора Колесниченко, бортмеханика (от завода N 134) Заболуева и старшины бортрадиста Передня.</w:t>
      </w:r>
    </w:p>
    <w:p w14:paraId="3859F0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Отмечаю всемерную помощь со стороны директора завода Абрамова и особенно длительное участие в подготовке представителя завода N 500 ТАТКО, в то время находившегося в Иркутске. Обслуживание самолета на заводе N 39 проводила бригада механика Токарева. Синоптическое обслуживание проводила синоптик Нестерова (1310,198).</w:t>
      </w:r>
    </w:p>
    <w:p w14:paraId="6D6A2253" w14:textId="77777777" w:rsidR="00665165" w:rsidRPr="00F90EAE" w:rsidRDefault="00665165" w:rsidP="00F90EAE">
      <w:pPr>
        <w:autoSpaceDE w:val="0"/>
        <w:autoSpaceDN w:val="0"/>
        <w:adjustRightInd w:val="0"/>
        <w:jc w:val="both"/>
        <w:rPr>
          <w:color w:val="000000" w:themeColor="text1"/>
          <w:sz w:val="16"/>
          <w:szCs w:val="16"/>
        </w:rPr>
      </w:pPr>
    </w:p>
    <w:p w14:paraId="1BB3AC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 Ер-2ОН с доработанными дизелями АЧ-30Б под управлением л А.Д.Алексеева совершил успешный перелет из Иркутска в Москву протяженностью 5350 км, затратив на это 15 ч. 30 мин. (8984).</w:t>
      </w:r>
    </w:p>
    <w:p w14:paraId="57000980" w14:textId="77777777" w:rsidR="00665165" w:rsidRPr="00F90EAE" w:rsidRDefault="00665165" w:rsidP="00F90EAE">
      <w:pPr>
        <w:autoSpaceDE w:val="0"/>
        <w:autoSpaceDN w:val="0"/>
        <w:adjustRightInd w:val="0"/>
        <w:jc w:val="both"/>
        <w:rPr>
          <w:color w:val="000000" w:themeColor="text1"/>
          <w:sz w:val="16"/>
          <w:szCs w:val="16"/>
        </w:rPr>
      </w:pPr>
    </w:p>
    <w:p w14:paraId="3779580E" w14:textId="77777777" w:rsidR="001438DF" w:rsidRPr="00F90EAE" w:rsidRDefault="001438DF" w:rsidP="00F90EAE">
      <w:pPr>
        <w:jc w:val="both"/>
        <w:rPr>
          <w:color w:val="000000" w:themeColor="text1"/>
          <w:sz w:val="16"/>
          <w:szCs w:val="16"/>
        </w:rPr>
      </w:pPr>
      <w:r w:rsidRPr="00F90EAE">
        <w:rPr>
          <w:color w:val="000000" w:themeColor="text1"/>
          <w:sz w:val="16"/>
          <w:szCs w:val="16"/>
        </w:rPr>
        <w:t>16 апреля в 1945 году первый «Ер-20Н» под управлением пилота А.И.Алексеева совершил успешный беспосадочный перелет из Иркутска в Москву, затратив 15 ч. 30 мин. Вторая такая машина в конце апреля проходила летные испытания. Летными испытаниями было установлено, что самолет мог лететь со скоростью 435 километров в час, покрывая без посадки расстояние в 5200 километров. Высота полета составляла 6000 метров. Самолет малой серией должен был строиться в Иркутске (15101).</w:t>
      </w:r>
    </w:p>
    <w:p w14:paraId="4533E1C9" w14:textId="77777777" w:rsidR="001438DF" w:rsidRPr="00F90EAE" w:rsidRDefault="001438DF" w:rsidP="00F90EAE">
      <w:pPr>
        <w:jc w:val="both"/>
        <w:rPr>
          <w:color w:val="000000" w:themeColor="text1"/>
          <w:sz w:val="16"/>
          <w:szCs w:val="16"/>
        </w:rPr>
      </w:pPr>
    </w:p>
    <w:p w14:paraId="7269A78B" w14:textId="77777777" w:rsidR="001438DF" w:rsidRPr="00F90EAE" w:rsidRDefault="001438DF" w:rsidP="00F90EAE">
      <w:pPr>
        <w:pStyle w:val="a3"/>
        <w:rPr>
          <w:color w:val="000000" w:themeColor="text1"/>
          <w:lang w:val="ru-RU"/>
        </w:rPr>
      </w:pPr>
      <w:r w:rsidRPr="00F90EAE">
        <w:rPr>
          <w:color w:val="000000" w:themeColor="text1"/>
          <w:lang w:val="ru-RU"/>
        </w:rPr>
        <w:t>16 апреля 1945 г. после завершения заводских испытаний, лётчик-испытатель А.Д. Алексеев осуществил беспосадочный перелёт по маршруту Иркутск-Москва, затратив 15 час 30 мин. (15810).</w:t>
      </w:r>
    </w:p>
    <w:p w14:paraId="5A4D834B" w14:textId="77777777" w:rsidR="001438DF" w:rsidRPr="00F90EAE" w:rsidRDefault="001438DF" w:rsidP="00F90EAE">
      <w:pPr>
        <w:pStyle w:val="a3"/>
        <w:rPr>
          <w:color w:val="000000" w:themeColor="text1"/>
          <w:lang w:val="ru-RU"/>
        </w:rPr>
      </w:pPr>
    </w:p>
    <w:p w14:paraId="6AB2C1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закончились работы по вывозу оборудования с немецкого завода самолетных агрегатов в г. Торн СССР на завод 485 в Киеве (1874,13).</w:t>
      </w:r>
    </w:p>
    <w:p w14:paraId="66B8B20A" w14:textId="77777777" w:rsidR="00665165" w:rsidRPr="00F90EAE" w:rsidRDefault="00665165" w:rsidP="00F90EAE">
      <w:pPr>
        <w:autoSpaceDE w:val="0"/>
        <w:autoSpaceDN w:val="0"/>
        <w:adjustRightInd w:val="0"/>
        <w:jc w:val="both"/>
        <w:rPr>
          <w:color w:val="000000" w:themeColor="text1"/>
          <w:sz w:val="16"/>
          <w:szCs w:val="16"/>
        </w:rPr>
      </w:pPr>
    </w:p>
    <w:p w14:paraId="569305B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14F46BF" w14:textId="77777777" w:rsidR="00665165" w:rsidRPr="00F90EAE" w:rsidRDefault="00665165" w:rsidP="00F90EAE">
      <w:pPr>
        <w:autoSpaceDE w:val="0"/>
        <w:autoSpaceDN w:val="0"/>
        <w:adjustRightInd w:val="0"/>
        <w:jc w:val="both"/>
        <w:rPr>
          <w:iCs/>
          <w:color w:val="000000" w:themeColor="text1"/>
          <w:sz w:val="16"/>
          <w:szCs w:val="16"/>
        </w:rPr>
      </w:pPr>
    </w:p>
    <w:p w14:paraId="395A04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апреля 1945 г. была подготовлена ДОКЛАДНАЯ ЗАПИСКА НАЧАЛЬНИКА НИБТ ПОЛИГОНА ЗАМЕСТИТЕЛЮ НАЧАЛЬНИКА ГБТУ КА О ПОДГОТОВКЕ СРАВНИТЕЛЬНЫХ ИСПЫТАНИЙ БРОНЕБОЙНЫХ СНАРЯДОВ № 0664</w:t>
      </w:r>
    </w:p>
    <w:p w14:paraId="4D6F3B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Доношу, что для обеспечения программы сравнительных испытаний бронебойных снарядов НИБТ полигон имеет все артиллерийские системы и выстрелы к ним, за исключением: 1. 100-мм бронебойно-трассирующих снарядов (чертеж 3165) — 30шт.</w:t>
      </w:r>
    </w:p>
    <w:p w14:paraId="3F3910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122-мм бронебойно-трассирующих снарядов (чертеж №3067) — 200 шт.</w:t>
      </w:r>
    </w:p>
    <w:p w14:paraId="0B3CDF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122-мм бронебойно-трассирующих снарядов (чертеж №3164) — 30 шт. Недостающие выстрелы должны быть доставлены Софринским полигоном АКБ СССР. Из требуемых для проведения испытаний бронекорпусов трофейных танков полигону недостает следующее количество:</w:t>
      </w:r>
    </w:p>
    <w:p w14:paraId="394C33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Танк Тигр — Н — 3 корпуса.</w:t>
      </w:r>
    </w:p>
    <w:p w14:paraId="3B6811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Танк Тигр — В — 1 корпус.</w:t>
      </w:r>
    </w:p>
    <w:p w14:paraId="2261F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Представителями полигона в период февраля-марта месяцев были подготовлены к отправке со станции Золочев и Сборов: танков Пантера — 10 шт. и один танк «Тигр Н». Однако отправка указан</w:t>
      </w:r>
      <w:r w:rsidRPr="00F90EAE">
        <w:rPr>
          <w:color w:val="000000" w:themeColor="text1"/>
          <w:sz w:val="16"/>
          <w:szCs w:val="16"/>
        </w:rPr>
        <w:softHyphen/>
        <w:t>ных танков в адрес полигона не произведена из-за неподачи подвижного состава.</w:t>
      </w:r>
    </w:p>
    <w:p w14:paraId="23ABD5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Ваших указаний по вопросу обеспечения программы испытаний недостающими броне-корпусами трофейных танков Тигр Н и Пантера.</w:t>
      </w:r>
    </w:p>
    <w:p w14:paraId="121800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НИБТ полигона генерал-майор танковых войск Романов</w:t>
      </w:r>
    </w:p>
    <w:p w14:paraId="3DDDC6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11369. Д. 510. Л. 4. Подлинник (11420).</w:t>
      </w:r>
    </w:p>
    <w:p w14:paraId="000F7A0A" w14:textId="77777777" w:rsidR="00665165" w:rsidRPr="00F90EAE" w:rsidRDefault="00665165" w:rsidP="00F90EAE">
      <w:pPr>
        <w:autoSpaceDE w:val="0"/>
        <w:autoSpaceDN w:val="0"/>
        <w:adjustRightInd w:val="0"/>
        <w:jc w:val="both"/>
        <w:rPr>
          <w:color w:val="000000" w:themeColor="text1"/>
          <w:sz w:val="16"/>
          <w:szCs w:val="16"/>
        </w:rPr>
      </w:pPr>
    </w:p>
    <w:p w14:paraId="6CC9711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апреля 1945 вышло Распоряжение ГКО № 8557 [О выделении нефти Орскому горисполкому для проведения противомалярийных мероприятий в городе и прилегающих районах.] (7339, 68).</w:t>
      </w:r>
    </w:p>
    <w:p w14:paraId="0704D76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C758C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A51757" w14:textId="77777777" w:rsidR="00665165" w:rsidRPr="00F90EAE" w:rsidRDefault="00665165" w:rsidP="00F90EAE">
      <w:pPr>
        <w:autoSpaceDE w:val="0"/>
        <w:autoSpaceDN w:val="0"/>
        <w:adjustRightInd w:val="0"/>
        <w:jc w:val="both"/>
        <w:rPr>
          <w:iCs/>
          <w:color w:val="000000" w:themeColor="text1"/>
          <w:sz w:val="16"/>
          <w:szCs w:val="16"/>
        </w:rPr>
      </w:pPr>
    </w:p>
    <w:p w14:paraId="417D5107" w14:textId="77777777" w:rsidR="00DF2E46" w:rsidRPr="00F90EAE" w:rsidRDefault="00DF2E46" w:rsidP="00F90EAE">
      <w:pPr>
        <w:jc w:val="both"/>
        <w:rPr>
          <w:color w:val="000000" w:themeColor="text1"/>
          <w:sz w:val="16"/>
          <w:szCs w:val="16"/>
        </w:rPr>
      </w:pPr>
      <w:r w:rsidRPr="00F90EAE">
        <w:rPr>
          <w:color w:val="000000" w:themeColor="text1"/>
          <w:sz w:val="16"/>
          <w:szCs w:val="16"/>
        </w:rPr>
        <w:t>16 апреля в 1945 году оперативная сводка Совинформбюро:</w:t>
      </w:r>
    </w:p>
    <w:p w14:paraId="7F9A4D16" w14:textId="77777777" w:rsidR="00DF2E46" w:rsidRPr="00F90EAE" w:rsidRDefault="00DF2E46" w:rsidP="00F90EAE">
      <w:pPr>
        <w:jc w:val="both"/>
        <w:rPr>
          <w:color w:val="000000" w:themeColor="text1"/>
          <w:sz w:val="16"/>
          <w:szCs w:val="16"/>
        </w:rPr>
      </w:pPr>
      <w:r w:rsidRPr="00F90EAE">
        <w:rPr>
          <w:color w:val="000000" w:themeColor="text1"/>
          <w:sz w:val="16"/>
          <w:szCs w:val="16"/>
        </w:rPr>
        <w:t>«В течение 16 апреля на Земландском полуострове северо-западнее и западнее Кенигсберга войска 3-го Белорусского фронта, продолжая наступление, с боями заняли более 40 населённых пунктов, в том числе Гермау, Повайен, Ротенен, Зальтникен, Годникен, Бонду, Каллен, Гайдау, Гросс-Блюменау, Форкен, Коббельбуде. По уточнённым данным, за 15 апреля войска фронта взяли в плен не 3.000, а более 6.600 немецких солдат и офицеров и захватили следующие трофеи: самолётов — 50, полевых орудий — 110, пулемётов — 295.</w:t>
      </w:r>
    </w:p>
    <w:p w14:paraId="5D8C3323" w14:textId="77777777" w:rsidR="00DF2E46" w:rsidRPr="00F90EAE" w:rsidRDefault="00DF2E46" w:rsidP="00F90EAE">
      <w:pPr>
        <w:jc w:val="both"/>
        <w:rPr>
          <w:color w:val="000000" w:themeColor="text1"/>
          <w:sz w:val="16"/>
          <w:szCs w:val="16"/>
        </w:rPr>
      </w:pPr>
      <w:r w:rsidRPr="00F90EAE">
        <w:rPr>
          <w:color w:val="000000" w:themeColor="text1"/>
          <w:sz w:val="16"/>
          <w:szCs w:val="16"/>
        </w:rPr>
        <w:t>На территории Чехословакии войска 2-го Украинского фронта, преодолевая сопротивление противника, с боем овладели городом Бржеслав; заняты также населённые пункты Новая Лгота, Велка, Липов, Шардице, Товораны, Чейч, Брумовице, Горные Бояновице, Старовичкы, Заечи, Раквице. Севернее Вены войска фронта с боями заняли на территории Австрии населённые пункты Гавайнсталь, Траунфельд, Шлейнбах, Манхартсбрун, Штеттен, Цеобендорф.</w:t>
      </w:r>
    </w:p>
    <w:p w14:paraId="6692A027" w14:textId="77777777" w:rsidR="00DF2E46" w:rsidRPr="00F90EAE" w:rsidRDefault="00DF2E46" w:rsidP="00F90EAE">
      <w:pPr>
        <w:jc w:val="both"/>
        <w:rPr>
          <w:color w:val="000000" w:themeColor="text1"/>
          <w:sz w:val="16"/>
          <w:szCs w:val="16"/>
        </w:rPr>
      </w:pPr>
      <w:r w:rsidRPr="00F90EAE">
        <w:rPr>
          <w:color w:val="000000" w:themeColor="text1"/>
          <w:sz w:val="16"/>
          <w:szCs w:val="16"/>
        </w:rPr>
        <w:t>Западнее Вены войска 3-го Украинского фронта, наступая по южному берегу Дуная, заняли на территории Австрии более 30 населённых пунктов и среди них Ваграм, Нуфсдорф, Клейн-Руст, Обер-Мамау, Витцендорф, Шзадорф. Одновременно восточнее города Грац войска фронта с боем заняли город Фюрстенфельд. В боях за 15 апреля войска фронта взяли в плен более 2.000 немецких солдат и офицеров и захватили следующие трофеи: танков и самоходных орудий — 98, полевых орудий — 93, миномётов — 183, пулемётов — 337, автомашин — 826, железнодорожных вагонов со снарядами — 600, складов с военным имуществом — 10.</w:t>
      </w:r>
    </w:p>
    <w:p w14:paraId="2216DB3A" w14:textId="77777777" w:rsidR="00DF2E46" w:rsidRPr="00F90EAE" w:rsidRDefault="00DF2E46" w:rsidP="00F90EAE">
      <w:pPr>
        <w:jc w:val="both"/>
        <w:rPr>
          <w:color w:val="000000" w:themeColor="text1"/>
          <w:sz w:val="16"/>
          <w:szCs w:val="16"/>
        </w:rPr>
      </w:pPr>
      <w:r w:rsidRPr="00F90EAE">
        <w:rPr>
          <w:color w:val="000000" w:themeColor="text1"/>
          <w:sz w:val="16"/>
          <w:szCs w:val="16"/>
        </w:rPr>
        <w:t>На остальных участках фронта — бои местного значения и поиски разведчиков.</w:t>
      </w:r>
    </w:p>
    <w:p w14:paraId="61E4F87D" w14:textId="77777777" w:rsidR="00DF2E46" w:rsidRPr="00F90EAE" w:rsidRDefault="00DF2E46" w:rsidP="00F90EAE">
      <w:pPr>
        <w:jc w:val="both"/>
        <w:rPr>
          <w:color w:val="000000" w:themeColor="text1"/>
          <w:sz w:val="16"/>
          <w:szCs w:val="16"/>
        </w:rPr>
      </w:pPr>
      <w:r w:rsidRPr="00F90EAE">
        <w:rPr>
          <w:color w:val="000000" w:themeColor="text1"/>
          <w:sz w:val="16"/>
          <w:szCs w:val="16"/>
        </w:rPr>
        <w:t>За 15 апреля на всех фронтах подбито и уничтожено 110 немецких танков и самоходных орудий. В воздушных боях и огнём зенитной артиллерии сбито 80 самолётов противника.</w:t>
      </w:r>
    </w:p>
    <w:p w14:paraId="281DCAFF" w14:textId="77777777" w:rsidR="00DF2E46" w:rsidRPr="00F90EAE" w:rsidRDefault="00DF2E46" w:rsidP="00F90EAE">
      <w:pPr>
        <w:jc w:val="both"/>
        <w:rPr>
          <w:color w:val="000000" w:themeColor="text1"/>
          <w:sz w:val="16"/>
          <w:szCs w:val="16"/>
        </w:rPr>
      </w:pPr>
      <w:r w:rsidRPr="00F90EAE">
        <w:rPr>
          <w:color w:val="000000" w:themeColor="text1"/>
          <w:sz w:val="16"/>
          <w:szCs w:val="16"/>
        </w:rPr>
        <w:t xml:space="preserve">На Земландском полуострове северо-западнее и западнее города Кенигсберга войска 3-го Белорусского фронта продолжали успешное наступление. Противник, прикрывая город Фишхаузен и порт Пиллау, оказывает упорное сопротивление. Советские пехотинцы и танкисты при мощной поддержке артиллерии прорвали оборону немцев, построенную вдоль линии железной дороги Фишхаузен — Пальмникен. Занят сильно укреплённый населённый пункт Годникен, находящийся в 7 километрах севернее Фиш-хаузена. Другие наши части ворвались в укрепления внешнего оборонительного обвода Фишхаузена и ведут бои северо-восточнее этого </w:t>
      </w:r>
      <w:r w:rsidRPr="00F90EAE">
        <w:rPr>
          <w:color w:val="000000" w:themeColor="text1"/>
          <w:sz w:val="16"/>
          <w:szCs w:val="16"/>
        </w:rPr>
        <w:lastRenderedPageBreak/>
        <w:t>города. Войска фронта, наступающие вдоль северного побережья залива Фриш-Гаф, преодолев лесные завалы, инженерные и минные заграждения противника, очистили от гитлеровцев северо-восточную часть лесного массива. Наши танки, самоходные орудия и пехота, продвигаясь по трудно проходимой местности вдоль северного берега Кенигсбергского отводного канала, достигли восточного берега бухты Фишхаузенер Вик. Группа немецких войск, обороняющая мыс юго-восточнее города Фишхаузен, отрезана от своих основных сил и ликвидируется. На этом участке нашими войсками захвачено у немцев 7 танков, бронепоезд и 300 автомашин с различными военными грузами. За день боёв уничтожено до 6 тысяч немецких солдат и офицеров, сожжено и подбито 48 танков и самоходных орудий. Пленные сообщают, что в 83-м немецком пехотном полку осталось всего лишь 80 солдат. 123-й батальон морской пехоты полностью уничтожен, 62-й артиллерийский дивизион потерял всю свою материальную часть. Остатки разгромленной 561-й пехотной дивизии противника сведены в полк неполного состава.</w:t>
      </w:r>
    </w:p>
    <w:p w14:paraId="1A016E95" w14:textId="77777777" w:rsidR="00DF2E46" w:rsidRPr="00F90EAE" w:rsidRDefault="00DF2E46" w:rsidP="00F90EAE">
      <w:pPr>
        <w:jc w:val="both"/>
        <w:rPr>
          <w:color w:val="000000" w:themeColor="text1"/>
          <w:sz w:val="16"/>
          <w:szCs w:val="16"/>
        </w:rPr>
      </w:pPr>
      <w:r w:rsidRPr="00F90EAE">
        <w:rPr>
          <w:color w:val="000000" w:themeColor="text1"/>
          <w:sz w:val="16"/>
          <w:szCs w:val="16"/>
        </w:rPr>
        <w:t>Наша авиация непрерывно атакует боевые порядки и тылы немецких войск на Земландском полуострове. Дорога Фишхаузен — Пиллау, забитая тысячами автомашин и повозок, подвергается массированным ударам советских штурмовиков и бомбардировщиков. В воздушных боях сбито 4 и уничтожено на аэродромах 25 немецких самолётов.</w:t>
      </w:r>
    </w:p>
    <w:p w14:paraId="43FC0AB8" w14:textId="77777777" w:rsidR="00DF2E46" w:rsidRPr="00F90EAE" w:rsidRDefault="00DF2E46" w:rsidP="00F90EAE">
      <w:pPr>
        <w:jc w:val="both"/>
        <w:rPr>
          <w:color w:val="000000" w:themeColor="text1"/>
          <w:sz w:val="16"/>
          <w:szCs w:val="16"/>
        </w:rPr>
      </w:pPr>
      <w:r w:rsidRPr="00F90EAE">
        <w:rPr>
          <w:color w:val="000000" w:themeColor="text1"/>
          <w:sz w:val="16"/>
          <w:szCs w:val="16"/>
        </w:rPr>
        <w:t>На территории Чехословакии войска 2-го Украинского фронта продолжали наступле-ние. Ожесточённые бои произошли за город Бржеслав — важный опорный пункт обороны немцев на реке Дыйе. Противник усовершенствовал старые крепостные укрепления города и построил на подступах к нему большое число дотов и дзотов. Немцы подготовились к уличным боям, проделав в стенах домов бойницы для орудий и пулемётов. Преодолевая сопротивление противника, советские войска ворвались на северо-восточные окраины Бржеслава и завязали уличные бои. В это время другие наши части, продвигаясь вдоль заболоченного берега реки Дыйе, вышли к южным окраинам города. Немцы неоднократно переходили в контратаки, пытаясь оттеснить наши войска от города. Всю ночь шли упорные бои. Наши подразделения очистили от врага восточную часть города, а затем под прикрытием артиллерийского огня переправились через реку и штурмом овладели западной частью города.</w:t>
      </w:r>
    </w:p>
    <w:p w14:paraId="3733FE59" w14:textId="77777777" w:rsidR="00DF2E46" w:rsidRPr="00F90EAE" w:rsidRDefault="00DF2E46" w:rsidP="00F90EAE">
      <w:pPr>
        <w:jc w:val="both"/>
        <w:rPr>
          <w:color w:val="000000" w:themeColor="text1"/>
          <w:sz w:val="16"/>
          <w:szCs w:val="16"/>
        </w:rPr>
      </w:pPr>
      <w:r w:rsidRPr="00F90EAE">
        <w:rPr>
          <w:color w:val="000000" w:themeColor="text1"/>
          <w:sz w:val="16"/>
          <w:szCs w:val="16"/>
        </w:rPr>
        <w:t>Севернее Вены войска фронта с боями продвигались вперёд. Пытаясь остановить наши наступающие части, противник бросает в бой крупные силы танков. За день подбито и сожжено 39 немецких танков и самоходных орудий.</w:t>
      </w:r>
    </w:p>
    <w:p w14:paraId="60B17D70" w14:textId="77777777" w:rsidR="00DF2E46" w:rsidRPr="00F90EAE" w:rsidRDefault="00DF2E46" w:rsidP="00F90EAE">
      <w:pPr>
        <w:jc w:val="both"/>
        <w:rPr>
          <w:color w:val="000000" w:themeColor="text1"/>
          <w:sz w:val="16"/>
          <w:szCs w:val="16"/>
        </w:rPr>
      </w:pPr>
      <w:r w:rsidRPr="00F90EAE">
        <w:rPr>
          <w:color w:val="000000" w:themeColor="text1"/>
          <w:sz w:val="16"/>
          <w:szCs w:val="16"/>
        </w:rPr>
        <w:t>Советские воины в боях с врагом показывают примеры доблести и геройства.</w:t>
      </w:r>
    </w:p>
    <w:p w14:paraId="14261B1D" w14:textId="77777777" w:rsidR="00DF2E46" w:rsidRPr="00F90EAE" w:rsidRDefault="00DF2E46" w:rsidP="00F90EAE">
      <w:pPr>
        <w:jc w:val="both"/>
        <w:rPr>
          <w:color w:val="000000" w:themeColor="text1"/>
          <w:sz w:val="16"/>
          <w:szCs w:val="16"/>
        </w:rPr>
      </w:pPr>
      <w:r w:rsidRPr="00F90EAE">
        <w:rPr>
          <w:color w:val="000000" w:themeColor="text1"/>
          <w:sz w:val="16"/>
          <w:szCs w:val="16"/>
        </w:rPr>
        <w:t>Красноармеец Ладейщик первым ворвался в траншею противника и огнём из автомата уничтожил четырёх гитлеровцев. Остальные немецкие солдаты, оставив пулемёт, убежали. Командир отделения сержант Колякин гранатами уничтожил немецкий пулемёт вместе с расчётом. Бойцы отделения сержанта Колякина за день истребили 30 немецких солдат и офицеров. Пулемётчик красноармеец Кочмуратов, отражая вражескую контратаку, метким огнём уничтожил более 40 автоматчиков противника.</w:t>
      </w:r>
    </w:p>
    <w:p w14:paraId="14EAF0D1" w14:textId="77777777" w:rsidR="00DF2E46" w:rsidRPr="00F90EAE" w:rsidRDefault="00DF2E46" w:rsidP="00F90EAE">
      <w:pPr>
        <w:jc w:val="both"/>
        <w:rPr>
          <w:color w:val="000000" w:themeColor="text1"/>
          <w:sz w:val="16"/>
          <w:szCs w:val="16"/>
        </w:rPr>
      </w:pPr>
      <w:r w:rsidRPr="00F90EAE">
        <w:rPr>
          <w:color w:val="000000" w:themeColor="text1"/>
          <w:sz w:val="16"/>
          <w:szCs w:val="16"/>
        </w:rPr>
        <w:t>Западнее Вены войска 3-го Украинского фронта с боями продвигались по южному берегу Дуная. Советские части, овладевшие вчера породам Санкт-Пельтен, заняли ряд населённых пунктов. Восточнее города Грац наши войска, действующие в трудных условиях горно-лесистой местности, переправились через реку Лафнитц. Противник, опираясь на заранее подготовленный оборонительный рубеж на западном берегу реки, оказывал упорное сопротивление. Советские части прорвали оборону немцев и овладели городом Фюрстенфельд, находящимся в 45 километрах восточнее Граца.</w:t>
      </w:r>
    </w:p>
    <w:p w14:paraId="14254E21" w14:textId="77777777" w:rsidR="00DF2E46" w:rsidRPr="00F90EAE" w:rsidRDefault="00DF2E46" w:rsidP="00F90EAE">
      <w:pPr>
        <w:jc w:val="both"/>
        <w:rPr>
          <w:color w:val="000000" w:themeColor="text1"/>
          <w:sz w:val="16"/>
          <w:szCs w:val="16"/>
        </w:rPr>
      </w:pPr>
      <w:r w:rsidRPr="00F90EAE">
        <w:rPr>
          <w:color w:val="000000" w:themeColor="text1"/>
          <w:sz w:val="16"/>
          <w:szCs w:val="16"/>
        </w:rPr>
        <w:t>Берлинское радио сегодня передавало следующее сообщение: «В районе Фюрстенфельда германские войска снова добились полного успеха в обороне». В то время, когда передавалось это сообщение, немцы уже были выбиты из города Фюрстенфельда и под ударами советских войск отступали на запад.» (15101).</w:t>
      </w:r>
    </w:p>
    <w:p w14:paraId="76331769" w14:textId="77777777" w:rsidR="00DF2E46" w:rsidRPr="00F90EAE" w:rsidRDefault="00DF2E46" w:rsidP="00F90EAE">
      <w:pPr>
        <w:jc w:val="both"/>
        <w:rPr>
          <w:color w:val="000000" w:themeColor="text1"/>
          <w:sz w:val="16"/>
          <w:szCs w:val="16"/>
        </w:rPr>
      </w:pPr>
    </w:p>
    <w:p w14:paraId="211605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16 по 30 апреля 1945 лет</w:t>
      </w:r>
      <w:r w:rsidRPr="00F90EAE">
        <w:rPr>
          <w:color w:val="000000" w:themeColor="text1"/>
          <w:sz w:val="16"/>
          <w:szCs w:val="16"/>
        </w:rPr>
        <w:softHyphen/>
        <w:t>чиками 108-го гшап было уничтожено два и повреждено четыре немецких тан</w:t>
      </w:r>
      <w:r w:rsidRPr="00F90EAE">
        <w:rPr>
          <w:color w:val="000000" w:themeColor="text1"/>
          <w:sz w:val="16"/>
          <w:szCs w:val="16"/>
        </w:rPr>
        <w:softHyphen/>
        <w:t>ка, уничтожено четыре бронетранспор</w:t>
      </w:r>
      <w:r w:rsidRPr="00F90EAE">
        <w:rPr>
          <w:color w:val="000000" w:themeColor="text1"/>
          <w:sz w:val="16"/>
          <w:szCs w:val="16"/>
        </w:rPr>
        <w:softHyphen/>
        <w:t>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 Соглас</w:t>
      </w:r>
      <w:r w:rsidRPr="00F90EAE">
        <w:rPr>
          <w:color w:val="000000" w:themeColor="text1"/>
          <w:sz w:val="16"/>
          <w:szCs w:val="16"/>
        </w:rPr>
        <w:softHyphen/>
        <w:t>но официальным данным, безвозврат</w:t>
      </w:r>
      <w:r w:rsidRPr="00F90EAE">
        <w:rPr>
          <w:color w:val="000000" w:themeColor="text1"/>
          <w:sz w:val="16"/>
          <w:szCs w:val="16"/>
        </w:rPr>
        <w:softHyphen/>
        <w:t>ные боевые потери полка составили три самолета, из которых один был сбит ог</w:t>
      </w:r>
      <w:r w:rsidRPr="00F90EAE">
        <w:rPr>
          <w:color w:val="000000" w:themeColor="text1"/>
          <w:sz w:val="16"/>
          <w:szCs w:val="16"/>
        </w:rPr>
        <w:softHyphen/>
        <w:t>нем зенитной артиллерии противника и два - не вернулись с боевого задания. Погибли два летчика и четыре воздуш</w:t>
      </w:r>
      <w:r w:rsidRPr="00F90EAE">
        <w:rPr>
          <w:color w:val="000000" w:themeColor="text1"/>
          <w:sz w:val="16"/>
          <w:szCs w:val="16"/>
        </w:rPr>
        <w:softHyphen/>
        <w:t>ных стрелка. Кроме этого, от огня зенит</w:t>
      </w:r>
      <w:r w:rsidRPr="00F90EAE">
        <w:rPr>
          <w:color w:val="000000" w:themeColor="text1"/>
          <w:sz w:val="16"/>
          <w:szCs w:val="16"/>
        </w:rPr>
        <w:softHyphen/>
        <w:t>ной артиллерии получили повреждения семь машин. Небоевые потери - четыре штурмовика, из них три - из-за отказа мотора. Боевое использование штурмовика затруднялось низкой надежностью мо</w:t>
      </w:r>
      <w:r w:rsidRPr="00F90EAE">
        <w:rPr>
          <w:color w:val="000000" w:themeColor="text1"/>
          <w:sz w:val="16"/>
          <w:szCs w:val="16"/>
        </w:rPr>
        <w:softHyphen/>
        <w:t>тора АМ-42. Частый выход двигателей из строя вызывало отсутствие в системе забора воздуха противопыльного филь</w:t>
      </w:r>
      <w:r w:rsidRPr="00F90EAE">
        <w:rPr>
          <w:color w:val="000000" w:themeColor="text1"/>
          <w:sz w:val="16"/>
          <w:szCs w:val="16"/>
        </w:rPr>
        <w:softHyphen/>
        <w:t>тра. После подсыхания летного поля моторы, которые к этому времени нара</w:t>
      </w:r>
      <w:r w:rsidRPr="00F90EAE">
        <w:rPr>
          <w:color w:val="000000" w:themeColor="text1"/>
          <w:sz w:val="16"/>
          <w:szCs w:val="16"/>
        </w:rPr>
        <w:softHyphen/>
        <w:t>ботали от 30 до 50 часов (так сказать, первый «критический» рубеж), начали буквально сыпаться. В итоге, к вечеру 30 апреля в полку насчитывалось всего 11 боеспособных самолетов. Осталь</w:t>
      </w:r>
      <w:r w:rsidRPr="00F90EAE">
        <w:rPr>
          <w:color w:val="000000" w:themeColor="text1"/>
          <w:sz w:val="16"/>
          <w:szCs w:val="16"/>
        </w:rPr>
        <w:softHyphen/>
        <w:t>ные 18 «десяток» требовали ремонта. Еще одна неделя боев, и летать было бы не на чем. Собственно, так и получи</w:t>
      </w:r>
      <w:r w:rsidRPr="00F90EAE">
        <w:rPr>
          <w:color w:val="000000" w:themeColor="text1"/>
          <w:sz w:val="16"/>
          <w:szCs w:val="16"/>
        </w:rPr>
        <w:softHyphen/>
        <w:t>лось. В мае полк ни боевой, ни учебно-боевой работы уже не вел, а занимался ремонтом неисправной материальной части и получал новые машины (10681).</w:t>
      </w:r>
    </w:p>
    <w:p w14:paraId="64E421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EE9D86E" w14:textId="77777777" w:rsidR="001438DF" w:rsidRPr="00F90EAE" w:rsidRDefault="001438DF" w:rsidP="00F90EAE">
      <w:pPr>
        <w:jc w:val="both"/>
        <w:rPr>
          <w:color w:val="000000" w:themeColor="text1"/>
          <w:sz w:val="16"/>
          <w:szCs w:val="16"/>
        </w:rPr>
      </w:pPr>
      <w:r w:rsidRPr="00F90EAE">
        <w:rPr>
          <w:color w:val="000000" w:themeColor="text1"/>
          <w:sz w:val="16"/>
          <w:szCs w:val="16"/>
        </w:rPr>
        <w:t>16 апреля в 1945 году начало боевого применения штурмовика «Ил-10». Боевые действия 108-й гвардейский штурмовой авиационный полк начал 16 апреля 1945 г. на Берлинском направлении. За 15 дней боев (с 16 по 30 апреля) летчики 108-го гвардейского штурмового авиационного полка совершили 450 боевых вылетов, ежедневно выявляя те или иные качества и особенности штурмовика. Их тут же фиксировала бригада ГК НИИ ВВС КА во главе с ведущим инженером-испытателем самолета «Ил-10» полковником П.Т.Аброщенко (15101).</w:t>
      </w:r>
    </w:p>
    <w:p w14:paraId="0C20B261" w14:textId="77777777" w:rsidR="001438DF" w:rsidRPr="00F90EAE" w:rsidRDefault="001438DF" w:rsidP="00F90EAE">
      <w:pPr>
        <w:jc w:val="both"/>
        <w:rPr>
          <w:color w:val="000000" w:themeColor="text1"/>
          <w:sz w:val="16"/>
          <w:szCs w:val="16"/>
        </w:rPr>
      </w:pPr>
    </w:p>
    <w:p w14:paraId="5D67F2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апреля 1945 г. на Берлинском на</w:t>
      </w:r>
      <w:r w:rsidRPr="00F90EAE">
        <w:rPr>
          <w:color w:val="000000" w:themeColor="text1"/>
          <w:sz w:val="16"/>
          <w:szCs w:val="16"/>
        </w:rPr>
        <w:softHyphen/>
        <w:t>правлении боевые действия начал 108-й гшап. В этот же день прибыли от</w:t>
      </w:r>
      <w:r w:rsidRPr="00F90EAE">
        <w:rPr>
          <w:color w:val="000000" w:themeColor="text1"/>
          <w:sz w:val="16"/>
          <w:szCs w:val="16"/>
        </w:rPr>
        <w:softHyphen/>
        <w:t>ставшие восемь экипажей. В войсковых испытаниях приняли участие 34 Ил-10. Командование дивизии поставило за</w:t>
      </w:r>
      <w:r w:rsidRPr="00F90EAE">
        <w:rPr>
          <w:color w:val="000000" w:themeColor="text1"/>
          <w:sz w:val="16"/>
          <w:szCs w:val="16"/>
        </w:rPr>
        <w:softHyphen/>
        <w:t>дачу работать полным составом полка в районе населенных пунктов Эйло, Тосда, Роггозен и по дорогам от Койне на за</w:t>
      </w:r>
      <w:r w:rsidRPr="00F90EAE">
        <w:rPr>
          <w:color w:val="000000" w:themeColor="text1"/>
          <w:sz w:val="16"/>
          <w:szCs w:val="16"/>
        </w:rPr>
        <w:softHyphen/>
        <w:t>пад. День открыла восьмерка штурмови</w:t>
      </w:r>
      <w:r w:rsidRPr="00F90EAE">
        <w:rPr>
          <w:color w:val="000000" w:themeColor="text1"/>
          <w:sz w:val="16"/>
          <w:szCs w:val="16"/>
        </w:rPr>
        <w:softHyphen/>
        <w:t>ков старшего лейтенанта Смирнова. Их бомбоштурмового удара по отступаю</w:t>
      </w:r>
      <w:r w:rsidRPr="00F90EAE">
        <w:rPr>
          <w:color w:val="000000" w:themeColor="text1"/>
          <w:sz w:val="16"/>
          <w:szCs w:val="16"/>
        </w:rPr>
        <w:softHyphen/>
        <w:t>щему противнику по дорогам в районе Синице». Через 15 минут группа стар</w:t>
      </w:r>
      <w:r w:rsidRPr="00F90EAE">
        <w:rPr>
          <w:color w:val="000000" w:themeColor="text1"/>
          <w:sz w:val="16"/>
          <w:szCs w:val="16"/>
        </w:rPr>
        <w:softHyphen/>
        <w:t>шего лейтенанта Белова поднялась в воздух. Еще через три минуты к штурмо</w:t>
      </w:r>
      <w:r w:rsidRPr="00F90EAE">
        <w:rPr>
          <w:color w:val="000000" w:themeColor="text1"/>
          <w:sz w:val="16"/>
          <w:szCs w:val="16"/>
        </w:rPr>
        <w:softHyphen/>
        <w:t>викам пристроились истребители со</w:t>
      </w:r>
      <w:r w:rsidRPr="00F90EAE">
        <w:rPr>
          <w:color w:val="000000" w:themeColor="text1"/>
          <w:sz w:val="16"/>
          <w:szCs w:val="16"/>
        </w:rPr>
        <w:softHyphen/>
        <w:t>провождения. Лететь пришлось в густой дымке. Но на цель вышли точно и произвели атаку «с хода». Под самолетами была «длин</w:t>
      </w:r>
      <w:r w:rsidRPr="00F90EAE">
        <w:rPr>
          <w:color w:val="000000" w:themeColor="text1"/>
          <w:sz w:val="16"/>
          <w:szCs w:val="16"/>
        </w:rPr>
        <w:softHyphen/>
        <w:t>ная, с небольшими интервалами цепоч</w:t>
      </w:r>
      <w:r w:rsidRPr="00F90EAE">
        <w:rPr>
          <w:color w:val="000000" w:themeColor="text1"/>
          <w:sz w:val="16"/>
          <w:szCs w:val="16"/>
        </w:rPr>
        <w:softHyphen/>
        <w:t>ка движения автомашин, повозок, артил</w:t>
      </w:r>
      <w:r w:rsidRPr="00F90EAE">
        <w:rPr>
          <w:color w:val="000000" w:themeColor="text1"/>
          <w:sz w:val="16"/>
          <w:szCs w:val="16"/>
        </w:rPr>
        <w:softHyphen/>
        <w:t>лерии» - не промахнешься. Так поздно немцы не ожидали налета советских штурмовиков, зенитного огня не было. Самолеты прочесали дорогу несколько раз. По докладам экипажей было унич</w:t>
      </w:r>
      <w:r w:rsidRPr="00F90EAE">
        <w:rPr>
          <w:color w:val="000000" w:themeColor="text1"/>
          <w:sz w:val="16"/>
          <w:szCs w:val="16"/>
        </w:rPr>
        <w:softHyphen/>
        <w:t>тожено и повреждено до 20 машин и соз</w:t>
      </w:r>
      <w:r w:rsidRPr="00F90EAE">
        <w:rPr>
          <w:color w:val="000000" w:themeColor="text1"/>
          <w:sz w:val="16"/>
          <w:szCs w:val="16"/>
        </w:rPr>
        <w:softHyphen/>
        <w:t>дан большой очаг пожара. На свой аэродром возвращались уже в сумерках. На подходе Белов подал ко</w:t>
      </w:r>
      <w:r w:rsidRPr="00F90EAE">
        <w:rPr>
          <w:color w:val="000000" w:themeColor="text1"/>
          <w:sz w:val="16"/>
          <w:szCs w:val="16"/>
        </w:rPr>
        <w:softHyphen/>
        <w:t>манду ведомым: «Посадка с зажженны</w:t>
      </w:r>
      <w:r w:rsidRPr="00F90EAE">
        <w:rPr>
          <w:color w:val="000000" w:themeColor="text1"/>
          <w:sz w:val="16"/>
          <w:szCs w:val="16"/>
        </w:rPr>
        <w:softHyphen/>
        <w:t>ми фарами». К этому времени на поле зажгли факелы и ракеты. Летчики, не имевшие до этого опыта боевой работы ночью, благополучно произвели посадку. Боевые вылеты выполнялись груп</w:t>
      </w:r>
      <w:r w:rsidRPr="00F90EAE">
        <w:rPr>
          <w:color w:val="000000" w:themeColor="text1"/>
          <w:sz w:val="16"/>
          <w:szCs w:val="16"/>
        </w:rPr>
        <w:softHyphen/>
        <w:t>пами по восемь-девять самолетов под прикрытием истребителей. Первой под</w:t>
      </w:r>
      <w:r w:rsidRPr="00F90EAE">
        <w:rPr>
          <w:color w:val="000000" w:themeColor="text1"/>
          <w:sz w:val="16"/>
          <w:szCs w:val="16"/>
        </w:rPr>
        <w:softHyphen/>
        <w:t>нялась в небо группа капитана Новикова в составе девяти экипажей. За ней по</w:t>
      </w:r>
      <w:r w:rsidRPr="00F90EAE">
        <w:rPr>
          <w:color w:val="000000" w:themeColor="text1"/>
          <w:sz w:val="16"/>
          <w:szCs w:val="16"/>
        </w:rPr>
        <w:softHyphen/>
        <w:t>следовали восьмерки капитана Железнякова и майора Жигарина. Ввиду плохой видимости в районе це</w:t>
      </w:r>
      <w:r w:rsidRPr="00F90EAE">
        <w:rPr>
          <w:color w:val="000000" w:themeColor="text1"/>
          <w:sz w:val="16"/>
          <w:szCs w:val="16"/>
        </w:rPr>
        <w:softHyphen/>
        <w:t>лей все группы выполняли полет на вы</w:t>
      </w:r>
      <w:r w:rsidRPr="00F90EAE">
        <w:rPr>
          <w:color w:val="000000" w:themeColor="text1"/>
          <w:sz w:val="16"/>
          <w:szCs w:val="16"/>
        </w:rPr>
        <w:softHyphen/>
        <w:t>соте 1200 - 800 м, а затем атаковали с пикирования под углом 25° - 30° со сбросом бомб с высоты 600 - 400 м. За</w:t>
      </w:r>
      <w:r w:rsidRPr="00F90EAE">
        <w:rPr>
          <w:color w:val="000000" w:themeColor="text1"/>
          <w:sz w:val="16"/>
          <w:szCs w:val="16"/>
        </w:rPr>
        <w:softHyphen/>
        <w:t>тем врага обстреливали из пушек и пу</w:t>
      </w:r>
      <w:r w:rsidRPr="00F90EAE">
        <w:rPr>
          <w:color w:val="000000" w:themeColor="text1"/>
          <w:sz w:val="16"/>
          <w:szCs w:val="16"/>
        </w:rPr>
        <w:softHyphen/>
        <w:t>леметов. Израсходовали 47 стокило</w:t>
      </w:r>
      <w:r w:rsidRPr="00F90EAE">
        <w:rPr>
          <w:color w:val="000000" w:themeColor="text1"/>
          <w:sz w:val="16"/>
          <w:szCs w:val="16"/>
        </w:rPr>
        <w:softHyphen/>
        <w:t>граммовых «фугасок», 47 ФАБ-50, 940 снарядов к пушкам ВЯ-23 и 3000 патро</w:t>
      </w:r>
      <w:r w:rsidRPr="00F90EAE">
        <w:rPr>
          <w:color w:val="000000" w:themeColor="text1"/>
          <w:sz w:val="16"/>
          <w:szCs w:val="16"/>
        </w:rPr>
        <w:softHyphen/>
        <w:t>нов к пулеметам ШКАС. Результатов на</w:t>
      </w:r>
      <w:r w:rsidRPr="00F90EAE">
        <w:rPr>
          <w:color w:val="000000" w:themeColor="text1"/>
          <w:sz w:val="16"/>
          <w:szCs w:val="16"/>
        </w:rPr>
        <w:softHyphen/>
        <w:t>летов экипажи не наблюдали из-за дым</w:t>
      </w:r>
      <w:r w:rsidRPr="00F90EAE">
        <w:rPr>
          <w:color w:val="000000" w:themeColor="text1"/>
          <w:sz w:val="16"/>
          <w:szCs w:val="16"/>
        </w:rPr>
        <w:softHyphen/>
        <w:t>ки и пожаров. Встреч с истребителями противника не было. Отмечался лишь слабый огонь МЗА близ Роггозена и Эй</w:t>
      </w:r>
      <w:r w:rsidRPr="00F90EAE">
        <w:rPr>
          <w:color w:val="000000" w:themeColor="text1"/>
          <w:sz w:val="16"/>
          <w:szCs w:val="16"/>
        </w:rPr>
        <w:softHyphen/>
        <w:t>ло, в результате которого один самолет получил пробоины в плоскости.</w:t>
      </w:r>
    </w:p>
    <w:p w14:paraId="77CE17D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875BE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апреля 1945 г. на берлинском на</w:t>
      </w:r>
      <w:r w:rsidRPr="00F90EAE">
        <w:rPr>
          <w:color w:val="000000" w:themeColor="text1"/>
          <w:sz w:val="16"/>
          <w:szCs w:val="16"/>
        </w:rPr>
        <w:softHyphen/>
        <w:t>правлении начались боевые действия 108-й ГШАП. В этот же день в 18.15 при</w:t>
      </w:r>
      <w:r w:rsidRPr="00F90EAE">
        <w:rPr>
          <w:color w:val="000000" w:themeColor="text1"/>
          <w:sz w:val="16"/>
          <w:szCs w:val="16"/>
        </w:rPr>
        <w:softHyphen/>
        <w:t>была отставшая группа в составе 8 Ил-10. Поэтому в войсковых испытани</w:t>
      </w:r>
      <w:r w:rsidRPr="00F90EAE">
        <w:rPr>
          <w:color w:val="000000" w:themeColor="text1"/>
          <w:sz w:val="16"/>
          <w:szCs w:val="16"/>
        </w:rPr>
        <w:softHyphen/>
        <w:t>ях приняли участие 34 самолета Ил-10.</w:t>
      </w:r>
    </w:p>
    <w:p w14:paraId="1815E5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Командованием дивизии была по</w:t>
      </w:r>
      <w:r w:rsidRPr="00F90EAE">
        <w:rPr>
          <w:color w:val="000000" w:themeColor="text1"/>
          <w:sz w:val="16"/>
          <w:szCs w:val="16"/>
        </w:rPr>
        <w:softHyphen/>
        <w:t>ставлена задача в течение дня 16 ап</w:t>
      </w:r>
      <w:r w:rsidRPr="00F90EAE">
        <w:rPr>
          <w:color w:val="000000" w:themeColor="text1"/>
          <w:sz w:val="16"/>
          <w:szCs w:val="16"/>
        </w:rPr>
        <w:softHyphen/>
        <w:t>реля «работать» полным составом пол</w:t>
      </w:r>
      <w:r w:rsidRPr="00F90EAE">
        <w:rPr>
          <w:color w:val="000000" w:themeColor="text1"/>
          <w:sz w:val="16"/>
          <w:szCs w:val="16"/>
        </w:rPr>
        <w:softHyphen/>
        <w:t>ка в районе Эйло, Тосда, Роггозен и по дорогам от Койне на запад. Боевые вылеты выполнялись в составе групп по 8-9 самолетов Ил-10 под прикры</w:t>
      </w:r>
      <w:r w:rsidRPr="00F90EAE">
        <w:rPr>
          <w:color w:val="000000" w:themeColor="text1"/>
          <w:sz w:val="16"/>
          <w:szCs w:val="16"/>
        </w:rPr>
        <w:softHyphen/>
        <w:t>тием истребителей от 5-го гиап в со</w:t>
      </w:r>
      <w:r w:rsidRPr="00F90EAE">
        <w:rPr>
          <w:color w:val="000000" w:themeColor="text1"/>
          <w:sz w:val="16"/>
          <w:szCs w:val="16"/>
        </w:rPr>
        <w:softHyphen/>
        <w:t>отношении 2:1.</w:t>
      </w:r>
    </w:p>
    <w:p w14:paraId="1B051F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Начало войне на самолете Ил-10 было положено вылетом в 11.00 груп</w:t>
      </w:r>
      <w:r w:rsidRPr="00F90EAE">
        <w:rPr>
          <w:color w:val="000000" w:themeColor="text1"/>
          <w:sz w:val="16"/>
          <w:szCs w:val="16"/>
        </w:rPr>
        <w:softHyphen/>
        <w:t>пы к-на Новикова в составе 9 экипа</w:t>
      </w:r>
      <w:r w:rsidRPr="00F90EAE">
        <w:rPr>
          <w:color w:val="000000" w:themeColor="text1"/>
          <w:sz w:val="16"/>
          <w:szCs w:val="16"/>
        </w:rPr>
        <w:softHyphen/>
        <w:t>жей. Следом за ней вылетела группа к-на Железнякова из 8 Ил-10. Завершила первый боевой день полка восьмерка штурмана полка м-ра Жигарина, кото</w:t>
      </w:r>
      <w:r w:rsidRPr="00F90EAE">
        <w:rPr>
          <w:color w:val="000000" w:themeColor="text1"/>
          <w:sz w:val="16"/>
          <w:szCs w:val="16"/>
        </w:rPr>
        <w:softHyphen/>
        <w:t>рая вылетела на боевое задание в 11.26.</w:t>
      </w:r>
    </w:p>
    <w:p w14:paraId="2EA0CC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группы выполняли полет к цели на высоте 1200-800 м, атаку целей с пикирования под углом 25-30° со сбросом бомб с высоты 600-400 м. Затем цель обстреливалась из пушек и пулеметов. Детальных результатов бомбоштурмовых ударов экипажи не наблюдали ввиду плохой видимости и пожаров. При этом один экипаж бое</w:t>
      </w:r>
      <w:r w:rsidRPr="00F90EAE">
        <w:rPr>
          <w:color w:val="000000" w:themeColor="text1"/>
          <w:sz w:val="16"/>
          <w:szCs w:val="16"/>
        </w:rPr>
        <w:softHyphen/>
        <w:t>вой задачи не выполнил по причине отказа матчасти.</w:t>
      </w:r>
    </w:p>
    <w:p w14:paraId="69D2B8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противника было сброшено 47 стокилограммовых «фугасок», 47 ФАБ-50, выпущено 940 снарядов к пушкам ВЯ-23 и 3000 патронов к пулеметам ШКАС.</w:t>
      </w:r>
    </w:p>
    <w:p w14:paraId="54074F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Встреч с истребителями противни</w:t>
      </w:r>
      <w:r w:rsidRPr="00F90EAE">
        <w:rPr>
          <w:color w:val="000000" w:themeColor="text1"/>
          <w:sz w:val="16"/>
          <w:szCs w:val="16"/>
        </w:rPr>
        <w:softHyphen/>
        <w:t>ка не было. Отмечался лишь слабый огонь МЗА противника в районе Рог</w:t>
      </w:r>
      <w:r w:rsidRPr="00F90EAE">
        <w:rPr>
          <w:color w:val="000000" w:themeColor="text1"/>
          <w:sz w:val="16"/>
          <w:szCs w:val="16"/>
        </w:rPr>
        <w:softHyphen/>
        <w:t>гозен, Эйло, в результате которого один самолет получил осколочные повреж</w:t>
      </w:r>
      <w:r w:rsidRPr="00F90EAE">
        <w:rPr>
          <w:color w:val="000000" w:themeColor="text1"/>
          <w:sz w:val="16"/>
          <w:szCs w:val="16"/>
        </w:rPr>
        <w:softHyphen/>
        <w:t>дения плоскости крыла.</w:t>
      </w:r>
    </w:p>
    <w:p w14:paraId="3771B9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Второй боевой день без потерь не обошелся. В этот день полк выполнял боевую задачу двумя группами по 8 (комполка п/п-к Топилин) и 4 (к-н Железняков) самолетов Ил-10. Груп</w:t>
      </w:r>
      <w:r w:rsidRPr="00F90EAE">
        <w:rPr>
          <w:color w:val="000000" w:themeColor="text1"/>
          <w:sz w:val="16"/>
          <w:szCs w:val="16"/>
        </w:rPr>
        <w:softHyphen/>
        <w:t>пы нанесли бомбоштурмовыеудары по войскам и технике противника в рай</w:t>
      </w:r>
      <w:r w:rsidRPr="00F90EAE">
        <w:rPr>
          <w:color w:val="000000" w:themeColor="text1"/>
          <w:sz w:val="16"/>
          <w:szCs w:val="16"/>
        </w:rPr>
        <w:softHyphen/>
        <w:t>оне Греч, Хайнесбрюк, Вейсач в 20.00 и 20.18, соответственно. Экипажи от</w:t>
      </w:r>
      <w:r w:rsidRPr="00F90EAE">
        <w:rPr>
          <w:color w:val="000000" w:themeColor="text1"/>
          <w:sz w:val="16"/>
          <w:szCs w:val="16"/>
        </w:rPr>
        <w:softHyphen/>
        <w:t>мечали сильный огонь МЗА.</w:t>
      </w:r>
    </w:p>
    <w:p w14:paraId="20E98A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первой группы не вернулся эки</w:t>
      </w:r>
      <w:r w:rsidRPr="00F90EAE">
        <w:rPr>
          <w:color w:val="000000" w:themeColor="text1"/>
          <w:sz w:val="16"/>
          <w:szCs w:val="16"/>
        </w:rPr>
        <w:softHyphen/>
        <w:t>паж в составе л-та Михайлова и воз</w:t>
      </w:r>
      <w:r w:rsidRPr="00F90EAE">
        <w:rPr>
          <w:color w:val="000000" w:themeColor="text1"/>
          <w:sz w:val="16"/>
          <w:szCs w:val="16"/>
        </w:rPr>
        <w:softHyphen/>
        <w:t>душного стрелка сержанта Малых. Во второй мл. л-т Маклаков (воздушный стрелок сержант Кривошей) совершил вынужденную посадку из-за отказа мотора. Примерно в 20 км от аэродро</w:t>
      </w:r>
      <w:r w:rsidRPr="00F90EAE">
        <w:rPr>
          <w:color w:val="000000" w:themeColor="text1"/>
          <w:sz w:val="16"/>
          <w:szCs w:val="16"/>
        </w:rPr>
        <w:softHyphen/>
        <w:t>ма Охельхермсдорф на самолете Мак-лакова мотор начал давать перебои. Летчик продолжил полет, пытаясь до</w:t>
      </w:r>
      <w:r w:rsidRPr="00F90EAE">
        <w:rPr>
          <w:color w:val="000000" w:themeColor="text1"/>
          <w:sz w:val="16"/>
          <w:szCs w:val="16"/>
        </w:rPr>
        <w:softHyphen/>
        <w:t>тянуть до своего аэродрома. В районе аэродрома мотор остановился. Не имея запаса высоты, Маклакову пришлось садиться на вынужденную прямо перед собой - на лес. В результате Ил-10 (зав. № 1890402) был разбит и восстанов</w:t>
      </w:r>
      <w:r w:rsidRPr="00F90EAE">
        <w:rPr>
          <w:color w:val="000000" w:themeColor="text1"/>
          <w:sz w:val="16"/>
          <w:szCs w:val="16"/>
        </w:rPr>
        <w:softHyphen/>
        <w:t>лению не подлежал. Раненыхлетчика и стрелка отправили в госпиталь.</w:t>
      </w:r>
    </w:p>
    <w:p w14:paraId="3A8590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Позже установили, что причиной отказа мотора на самолете Маклакова стали износ и усадка поршневых ко</w:t>
      </w:r>
      <w:r w:rsidRPr="00F90EAE">
        <w:rPr>
          <w:color w:val="000000" w:themeColor="text1"/>
          <w:sz w:val="16"/>
          <w:szCs w:val="16"/>
        </w:rPr>
        <w:softHyphen/>
        <w:t>лец, вследствие чего произошло забрызгивание свечей маслом и затем ос</w:t>
      </w:r>
      <w:r w:rsidRPr="00F90EAE">
        <w:rPr>
          <w:color w:val="000000" w:themeColor="text1"/>
          <w:sz w:val="16"/>
          <w:szCs w:val="16"/>
        </w:rPr>
        <w:softHyphen/>
        <w:t>тановка мотора (11161).</w:t>
      </w:r>
    </w:p>
    <w:p w14:paraId="310D3B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3A536B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16 апреля 1945 войска 1-го Украинского , 1-го и 2-го Белорусских фронтов , при участии сил Балтийского флота и Днепровской военной флотилии , а также 1-й и 2-й армий войска Польского начали Берлинскую наступательную операцию. Цель операции - разгромить групировку противника на берлинском направленийи (3-я и 4-я ТА , 9-я и 17-я А), овладеть Берлином и выйти к Эльбе на соединение с союзниками (4963 ).</w:t>
      </w:r>
    </w:p>
    <w:p w14:paraId="5431223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BFA44A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апреля 1945 советские войска начали наступление на Берлин (4962).</w:t>
      </w:r>
    </w:p>
    <w:p w14:paraId="4B2804F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B574C8" w14:textId="77777777" w:rsidR="00DE5890" w:rsidRPr="00F90EAE" w:rsidRDefault="00DE5890" w:rsidP="00F90EAE">
      <w:pPr>
        <w:jc w:val="both"/>
        <w:rPr>
          <w:color w:val="0070C0"/>
          <w:sz w:val="16"/>
          <w:szCs w:val="16"/>
        </w:rPr>
      </w:pPr>
      <w:r w:rsidRPr="00F90EAE">
        <w:rPr>
          <w:color w:val="0070C0"/>
          <w:sz w:val="16"/>
          <w:szCs w:val="16"/>
        </w:rPr>
        <w:t>16 апреля 1945 советский штурм Берлина начинается ранними утренними ударами 150 ночных бомбардировщиков советских ВВС 4- й и 16 - й воздушных армий по немецким позициям, согласованных с минометными и артиллерийскими ударами. К 15:00 в воздухе находится 647 советских боевых самолетов. День заканчивается тем, что советские ВВС совершили 5300 боевых вылетов, заявив, что 131 немецкий самолет был сбит в обмен на 87 советских самолетов (20371).</w:t>
      </w:r>
    </w:p>
    <w:p w14:paraId="6F4E13DD" w14:textId="77777777" w:rsidR="00DE5890" w:rsidRPr="00F90EAE" w:rsidRDefault="00DE5890" w:rsidP="00F90EAE">
      <w:pPr>
        <w:jc w:val="both"/>
        <w:rPr>
          <w:color w:val="0070C0"/>
          <w:sz w:val="16"/>
          <w:szCs w:val="16"/>
        </w:rPr>
      </w:pPr>
    </w:p>
    <w:p w14:paraId="595288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началась Берлинская операция (340,209) и формально шла до 8 мая 1945. 16-19 прорвали одерско-нейсенский рубеж (2438,95).</w:t>
      </w:r>
    </w:p>
    <w:p w14:paraId="4E557A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Берлинской наступательной операции задействовали 47.7% всей фронтовой авиации (518,112).</w:t>
      </w:r>
    </w:p>
    <w:p w14:paraId="4041D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81.1% вылетов было затрачено на поддержку прорыва обороны, окружения противника, отражение контрударов на внешнем и внутреннем фронтах и на воздушную блокаду (518,181).</w:t>
      </w:r>
    </w:p>
    <w:p w14:paraId="38F644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ходе операции на уничтожение окруженной группировки противника было затрачено 18-19% самолето-вылетов (518,181).</w:t>
      </w:r>
    </w:p>
    <w:p w14:paraId="5A9CF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Ставили дымовую завесу с самолетов (518,143).</w:t>
      </w:r>
    </w:p>
    <w:p w14:paraId="54154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Штаб 16 армии (П.И.Брайко) при наступлении 16 мая в ходе Берлинской операции спланировал авиаподдержку наземных войск 1БФ при прорыве тактической обороны по 3-м вариантам, сообразуясь с темпами прорыва обороны (518,117).</w:t>
      </w:r>
    </w:p>
    <w:p w14:paraId="4EDB01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Из-за того, что операция началась ночью ходе операции авиаподготовка ограничивалась действиями нба (518,135).</w:t>
      </w:r>
    </w:p>
    <w:p w14:paraId="42D7A2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2ВА провела авиаподготовку 3 ударами б с участием 668 машин (518,136).</w:t>
      </w:r>
    </w:p>
    <w:p w14:paraId="65808F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подготовке Берлинской операции на воздушную разведку ВА затрачивалось до 42% от 2600 самолетовылетов (518,121).</w:t>
      </w:r>
    </w:p>
    <w:p w14:paraId="0FFD3E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16ВА в период подготовки Берлинской операции сфотографировала 155.2 тыс. кв. км. тактическую зону обороны фотографировали 8 раз, а всю территорию от переднего края до Берлина - 2 раза (518,127).</w:t>
      </w:r>
    </w:p>
    <w:p w14:paraId="01618D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Штаб 2ВА спланировал усилия авиасоединений и распределил матсредства на 10 дней, включая напряжение на самолет, коэффициент боевых потерь, средний расход горючего и боеприпасов на вылет (518,116).</w:t>
      </w:r>
    </w:p>
    <w:p w14:paraId="167509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Сумели массировать для операции 1БФ 3168 самолетов (518,107).</w:t>
      </w:r>
    </w:p>
    <w:p w14:paraId="22EDC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Берлинской операции были созданы армейские РЛС узлы и РЛС только в 1945 обнаружили 19963 самолета, выполнили 1367 наведений и сбили 841 самолет (518,70).</w:t>
      </w:r>
    </w:p>
    <w:p w14:paraId="163506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Т.к. приходилось преодолевать водные преграды авиация давала усиленное прикрытие и повышала недостаточную огневую мощь пехоты (518,146).</w:t>
      </w:r>
    </w:p>
    <w:p w14:paraId="0B4E53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 прожектора в сочетании с сильным огнем артиллерии за 2 часа до рассвета ошеломили немцев, однако, пройдя 1.5-2 км советские войска встретили сильное сопротивление. 18ВА нанесла массированный удар по опорным пунктам и войскам на 3-й линии. Длился 42 минуты и вовлек 743 самолета, сбросивших 884 т бомб. В среднем в минуту проходило 18 машин и сбрасывалось 22 т бомб - самая высокая плотность в ВОВ. Однако, сухопутные войска не смогли полностью воспользоваться результатами, т.к. подошли ко 2-й полосе обороны только через 10 часов и противник восстановил систему обороны и пополнил потери (518,150).</w:t>
      </w:r>
    </w:p>
    <w:p w14:paraId="56E68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Берлинской операции ввод в сражение 3 и 4ГТА обеспечивали 75% всех сил 2ВА (518,157).</w:t>
      </w:r>
    </w:p>
    <w:p w14:paraId="64140F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Берлинской операции часть авиации - ш - выделялись для непрерывных действий в тактическом взаимодействии с ТА, а б и и - периодически (518,157).</w:t>
      </w:r>
    </w:p>
    <w:p w14:paraId="70AAFB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Берлинской операции 1ГАТ поддерживали и прикрывали 9шак и 6 бак, а также 188 и 221 бад и 283 иад (518,158).</w:t>
      </w:r>
    </w:p>
    <w:p w14:paraId="6A85F7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5 дней в 599 воздушных боях сбили 564 самолета противника (518,160).</w:t>
      </w:r>
    </w:p>
    <w:p w14:paraId="307FAF10" w14:textId="77777777" w:rsidR="00665165" w:rsidRPr="00F90EAE" w:rsidRDefault="00665165" w:rsidP="00F90EAE">
      <w:pPr>
        <w:autoSpaceDE w:val="0"/>
        <w:autoSpaceDN w:val="0"/>
        <w:adjustRightInd w:val="0"/>
        <w:jc w:val="both"/>
        <w:rPr>
          <w:color w:val="000000" w:themeColor="text1"/>
          <w:sz w:val="16"/>
          <w:szCs w:val="16"/>
        </w:rPr>
      </w:pPr>
    </w:p>
    <w:p w14:paraId="2D6BD8DF" w14:textId="77777777" w:rsidR="00DF2E46" w:rsidRPr="00F90EAE" w:rsidRDefault="00DF2E46" w:rsidP="00F90EAE">
      <w:pPr>
        <w:jc w:val="both"/>
        <w:rPr>
          <w:color w:val="000000" w:themeColor="text1"/>
          <w:sz w:val="16"/>
          <w:szCs w:val="16"/>
        </w:rPr>
      </w:pPr>
      <w:r w:rsidRPr="00F90EAE">
        <w:rPr>
          <w:color w:val="000000" w:themeColor="text1"/>
          <w:sz w:val="16"/>
          <w:szCs w:val="16"/>
        </w:rPr>
        <w:t>16 апреля в 1945 году в ходе Великой Отечественной войны началась Берлинская наступательная операция. С 16 апреля по 8 мая 1945 года войска 1-го Белорусского (Георгий Жуков), 2-го Белорусского (Константин Рокоссовский) и 1-го Украинского (Иван Конев) фронтов провели Берлинскую наступательную операцию. К операции привлекались часть сил Балтийского флота (В.Ф.Трибуц), авиация дальнего действия, Войска противовоздушной обороны, Днепровская военная флотилия, 1-я и 2-я армии Войска Польского. Группировка советских войск насчитывала 2,5 миллиона человек, 42 тысячи орудий и минометов, 6250 танков и самоходно-артиллерийских орудий, 7500 боевых самолетов. Берлинское направление обороняли немецкая группа армий «Висла» (3-я танковая армия и 9-я полевая армия), 4-я танковая армия и 17-я полевая армия группы армий «Центр», насчитывавшие в общей сложности около 1 миллиона человек, 10400 орудий и минометов, 1500 танков и штурмовых орудий и 3300 боевых самолетов. Советские войска должны были нанести несколько мощных ударов на широком фронте, окружить и одновременно расчленить берлинскую группировку на части и уничтожить каждую из них в отдельности. С 16 по 19 апреля советские войска прорвали одерско-нейсенский рубеж обороны противника. 20 апреля начался штурм столицы Германии. 24 апреля было завершено окружение франкфуртско-губенской группировки противника, а 25 апреля - всей берлинской группировки. В этот же день в районе Торгау советские войска встретились с подходившими с запада частями американской армии. Франкфуртско-губенская группировка была уничтожена в период с 26 апреля по 1 мая. Уничтожение берлинской группировки непосредственно в городе продолжалось до 2 мая. Бои за рейхстаг начались 29 апреля, а 30 апреля над рейхстагом было водружено Знамя Победы. 2 мая сопротивление противника в Берлине полностью прекратилось. Борьба с отдельными группами, пытавшимися прорваться на запад, закончилась 5 мая. 8 мая 1945 представители германского верховного командования подписали в Карлсхорсте Акт о капитуляции вооруженных сил Германии. По завершении Берлинской операции более 600 ее участников были удостоены звания Героя Советского Союза, а 13 человек награждены второй Золотой Звездой Героя Советского Союза (15101).</w:t>
      </w:r>
    </w:p>
    <w:p w14:paraId="1D6BB79C" w14:textId="77777777" w:rsidR="00DF2E46" w:rsidRPr="00F90EAE" w:rsidRDefault="00DF2E46" w:rsidP="00F90EAE">
      <w:pPr>
        <w:jc w:val="both"/>
        <w:rPr>
          <w:color w:val="000000" w:themeColor="text1"/>
          <w:sz w:val="16"/>
          <w:szCs w:val="16"/>
        </w:rPr>
      </w:pPr>
    </w:p>
    <w:p w14:paraId="486F91EB" w14:textId="77777777" w:rsidR="00BA2B8F" w:rsidRPr="00F90EAE" w:rsidRDefault="00BA2B8F" w:rsidP="00F90EAE">
      <w:pPr>
        <w:jc w:val="both"/>
        <w:rPr>
          <w:color w:val="000000" w:themeColor="text1"/>
          <w:sz w:val="16"/>
          <w:szCs w:val="16"/>
        </w:rPr>
      </w:pPr>
      <w:r w:rsidRPr="00F90EAE">
        <w:rPr>
          <w:color w:val="000000" w:themeColor="text1"/>
          <w:sz w:val="16"/>
          <w:szCs w:val="16"/>
        </w:rPr>
        <w:t>16 апреля 1945 года в 5.50 утра мощной артиллерийской подготовкой началось Советское наступление на Берлин.</w:t>
      </w:r>
    </w:p>
    <w:p w14:paraId="7B3DD1B0" w14:textId="77777777" w:rsidR="00BA2B8F" w:rsidRPr="00F90EAE" w:rsidRDefault="00BA2B8F" w:rsidP="00F90EAE">
      <w:pPr>
        <w:jc w:val="both"/>
        <w:rPr>
          <w:color w:val="000000" w:themeColor="text1"/>
          <w:sz w:val="16"/>
          <w:szCs w:val="16"/>
        </w:rPr>
      </w:pPr>
      <w:r w:rsidRPr="00F90EAE">
        <w:rPr>
          <w:color w:val="000000" w:themeColor="text1"/>
          <w:sz w:val="16"/>
          <w:szCs w:val="16"/>
        </w:rPr>
        <w:t>К началу наступления на Берлин в составе 3-й гвардейской танковой армии имелись 6-й гвардейский (51-я гвардейская, 52-я гвардейская, 53-я гвардейская танковые и 22-я гвардейская мотострелковая бригады) и 7-й гвардейский (54-я гвардейская, 55-я гвардейская, 56-я гвардейская танковые и 23-я гвардейская мотострелковая бригады) танковый, 9-й механизированный (69,70,71-я механизированные и 91-я танковая бригады), а также друге части, в том числе 90-й отдельный инженерно-танковый полк.</w:t>
      </w:r>
    </w:p>
    <w:p w14:paraId="0DA24DAB" w14:textId="77777777" w:rsidR="00BA2B8F" w:rsidRPr="00F90EAE" w:rsidRDefault="00BA2B8F" w:rsidP="00F90EAE">
      <w:pPr>
        <w:jc w:val="both"/>
        <w:rPr>
          <w:color w:val="000000" w:themeColor="text1"/>
          <w:sz w:val="16"/>
          <w:szCs w:val="16"/>
        </w:rPr>
      </w:pPr>
      <w:r w:rsidRPr="00F90EAE">
        <w:rPr>
          <w:color w:val="000000" w:themeColor="text1"/>
          <w:sz w:val="16"/>
          <w:szCs w:val="16"/>
        </w:rPr>
        <w:t>По первоначальному плану операции, разработанному штабом 1-го Украинского фронта, предполагалось 3-ю танковую армию ввести в прорыв лишь после того, как пехота общевойсковых армий выйдет на западный берег реки Шпрее и обеспечит переправы для танков. Но 14 апреля 1945 года, за два дня до начала наступления, план изменили, и теперь танковая армия должна была наступать непосредственно за боевыми порядками пехоты, а затем обогнать ее и к исходу первого дня операции захватить плацдарм на реке Шпрее.</w:t>
      </w:r>
    </w:p>
    <w:p w14:paraId="268A4EFF" w14:textId="77777777" w:rsidR="00BA2B8F" w:rsidRPr="00F90EAE" w:rsidRDefault="00BA2B8F" w:rsidP="00F90EAE">
      <w:pPr>
        <w:jc w:val="both"/>
        <w:rPr>
          <w:color w:val="000000" w:themeColor="text1"/>
          <w:sz w:val="16"/>
          <w:szCs w:val="16"/>
        </w:rPr>
      </w:pPr>
      <w:r w:rsidRPr="00F90EAE">
        <w:rPr>
          <w:color w:val="000000" w:themeColor="text1"/>
          <w:sz w:val="16"/>
          <w:szCs w:val="16"/>
        </w:rPr>
        <w:t>На участке 1 -го Украинского фронта под прикрытием артогня началась переправа через реку Нейсе пехоты, а после захвата первой линии немецких траншей постройка моста для танков, в результате, к 19.00 на западный берег Нейсе переправились части 6 и 7-го гвардейских танковых корпусов, которые тут же ввели в бой. Но, оправившись от неожиданности, немецкие части оказали ожесточенное сопротивление. Так, 17 апреля части 21-й танковой дивизии вермахта контратаковали наши наступающие войска. Особенно жаркий бой разгорелся в районе населенного пункта Гари, где 54-я гвардейская танковая бригада отбивала контратаку немецких танков:</w:t>
      </w:r>
    </w:p>
    <w:p w14:paraId="2305571E" w14:textId="77777777" w:rsidR="00BA2B8F" w:rsidRPr="00F90EAE" w:rsidRDefault="00BA2B8F" w:rsidP="00F90EAE">
      <w:pPr>
        <w:jc w:val="both"/>
        <w:rPr>
          <w:color w:val="000000" w:themeColor="text1"/>
          <w:sz w:val="16"/>
          <w:szCs w:val="16"/>
        </w:rPr>
      </w:pPr>
      <w:r w:rsidRPr="00F90EAE">
        <w:rPr>
          <w:color w:val="000000" w:themeColor="text1"/>
          <w:sz w:val="16"/>
          <w:szCs w:val="16"/>
        </w:rPr>
        <w:t>«В эту контратаку противник ввел до 30 танков, часть из них типа «Тигр». В результате ожесточенного танкового боя бригада уничтожила 15 танков противника, не считая подбитых. В то же время и бригада понесла значительные потери - подбитыми и сгоревшими 12 танков».</w:t>
      </w:r>
    </w:p>
    <w:p w14:paraId="1EEBE282" w14:textId="77777777" w:rsidR="00BA2B8F" w:rsidRPr="00F90EAE" w:rsidRDefault="00BA2B8F" w:rsidP="00F90EAE">
      <w:pPr>
        <w:jc w:val="both"/>
        <w:rPr>
          <w:color w:val="000000" w:themeColor="text1"/>
          <w:sz w:val="16"/>
          <w:szCs w:val="16"/>
        </w:rPr>
      </w:pPr>
      <w:r w:rsidRPr="00F90EAE">
        <w:rPr>
          <w:color w:val="000000" w:themeColor="text1"/>
          <w:sz w:val="16"/>
          <w:szCs w:val="16"/>
        </w:rPr>
        <w:t>Отбросив немецкие части, войска 3-й гвардейской танковой армии перешли к преследованию противника, отходившего к реке Шпрее.</w:t>
      </w:r>
    </w:p>
    <w:p w14:paraId="5A5D4913" w14:textId="77777777" w:rsidR="00BA2B8F" w:rsidRPr="00F90EAE" w:rsidRDefault="00BA2B8F" w:rsidP="00F90EAE">
      <w:pPr>
        <w:jc w:val="both"/>
        <w:rPr>
          <w:color w:val="000000" w:themeColor="text1"/>
          <w:sz w:val="16"/>
          <w:szCs w:val="16"/>
        </w:rPr>
      </w:pPr>
      <w:r w:rsidRPr="00F90EAE">
        <w:rPr>
          <w:color w:val="000000" w:themeColor="text1"/>
          <w:sz w:val="16"/>
          <w:szCs w:val="16"/>
        </w:rPr>
        <w:t>К полудню 18 апреля следующего дня шедшая головной 56-я гвардейская танковая бригада обнаружила брод на Шпрее, правда при этом его глубина была более метра, поэтому «люк механика-водителя заливался водой. Переправа производилась по методу слепого вождения».</w:t>
      </w:r>
    </w:p>
    <w:p w14:paraId="47C9526A" w14:textId="77777777" w:rsidR="00BA2B8F" w:rsidRPr="00F90EAE" w:rsidRDefault="00BA2B8F" w:rsidP="00F90EAE">
      <w:pPr>
        <w:jc w:val="both"/>
        <w:rPr>
          <w:color w:val="000000" w:themeColor="text1"/>
          <w:sz w:val="16"/>
          <w:szCs w:val="16"/>
        </w:rPr>
      </w:pPr>
      <w:r w:rsidRPr="00F90EAE">
        <w:rPr>
          <w:color w:val="000000" w:themeColor="text1"/>
          <w:sz w:val="16"/>
          <w:szCs w:val="16"/>
        </w:rPr>
        <w:t>Вслед за форсировавшими Шпрее частями 7-го гвардейского танкового корпуса, командование армии направило в район брода части 6-го гвардейского и 9-го механизированного корпусов, которые тут же приступили к переправе:</w:t>
      </w:r>
    </w:p>
    <w:p w14:paraId="116B97A9" w14:textId="77777777" w:rsidR="00BA2B8F" w:rsidRPr="00F90EAE" w:rsidRDefault="00BA2B8F" w:rsidP="00F90EAE">
      <w:pPr>
        <w:jc w:val="both"/>
        <w:rPr>
          <w:color w:val="000000" w:themeColor="text1"/>
          <w:sz w:val="16"/>
          <w:szCs w:val="16"/>
        </w:rPr>
      </w:pPr>
      <w:r w:rsidRPr="00F90EAE">
        <w:rPr>
          <w:color w:val="000000" w:themeColor="text1"/>
          <w:sz w:val="16"/>
          <w:szCs w:val="16"/>
        </w:rPr>
        <w:t>«Действуя по глухим лесным дорогам, войска армии вышли к р. Шпрее на участке, где меньше всего ожидал противник. Слабое место обороны противника определилось в ходе боя. Когда это место было нащупано, в образовавшийся коридор была повернута вся армия. Между тем, противник отводил своим потрепанные части в основном в район Коттбус и Шпремберг. где, усилившись местными гарнизонными командами и отрядами фольксштурма, занял оборону. Занять оборону по всему течению р. Шпрее противник не смог, не имея достаточных сил».</w:t>
      </w:r>
    </w:p>
    <w:p w14:paraId="67A5D821" w14:textId="77777777" w:rsidR="00BA2B8F" w:rsidRPr="00F90EAE" w:rsidRDefault="00BA2B8F" w:rsidP="00F90EAE">
      <w:pPr>
        <w:jc w:val="both"/>
        <w:rPr>
          <w:color w:val="000000" w:themeColor="text1"/>
          <w:sz w:val="16"/>
          <w:szCs w:val="16"/>
        </w:rPr>
      </w:pPr>
      <w:r w:rsidRPr="00F90EAE">
        <w:rPr>
          <w:color w:val="000000" w:themeColor="text1"/>
          <w:sz w:val="16"/>
          <w:szCs w:val="16"/>
        </w:rPr>
        <w:t>Переправившись через Шпрее, 19 апреля войска 3-й гвардейской танковой армии продолжали наступление, и, пройдя за сутки 40 километров перерезали автостраду Берлин-Бреслау к западу от Коттбус, выйдя в тыл коттбусовской группировки немцев. Продолжая наступление 6-й гвардейский танковый корпус к 13.30 20 апреля достиг Барут, выйдя к предполью внешнего кольца обороны Берлина. Три головных тридцатьчетверки 53-й гвардейской танковой бригады внезапно ворвались на железнодорожную станцию Барут, разогнали до тысячи немецких солдат, выгружавшихся из прибывшего из Берлина эшелона, и захватила на железнодорожных платформах 8 исправных танков.</w:t>
      </w:r>
    </w:p>
    <w:p w14:paraId="60614A7F" w14:textId="77777777" w:rsidR="00BA2B8F" w:rsidRPr="00F90EAE" w:rsidRDefault="00BA2B8F" w:rsidP="00F90EAE">
      <w:pPr>
        <w:jc w:val="both"/>
        <w:rPr>
          <w:color w:val="000000" w:themeColor="text1"/>
          <w:sz w:val="16"/>
          <w:szCs w:val="16"/>
        </w:rPr>
      </w:pPr>
      <w:r w:rsidRPr="00F90EAE">
        <w:rPr>
          <w:color w:val="000000" w:themeColor="text1"/>
          <w:sz w:val="16"/>
          <w:szCs w:val="16"/>
        </w:rPr>
        <w:t>За период боев от Нейсе и до выхода к Барут 3-я гвардейская танковая армия уничтожила блее 3000 солдат и офицеров, 25 танков, 52 орудия, захватили около 600 пленных, 31 танк, 23 орудия, 4 паровоза и 80 вагонов с различными грузами. К 20 апреля в строю имелось 335 исправных Т-34-85, еще 40 машин требовали ремонта.</w:t>
      </w:r>
    </w:p>
    <w:p w14:paraId="0F73C22E" w14:textId="77777777" w:rsidR="00BA2B8F" w:rsidRPr="00F90EAE" w:rsidRDefault="00BA2B8F" w:rsidP="00F90EAE">
      <w:pPr>
        <w:jc w:val="both"/>
        <w:rPr>
          <w:color w:val="000000" w:themeColor="text1"/>
          <w:sz w:val="16"/>
          <w:szCs w:val="16"/>
        </w:rPr>
      </w:pPr>
      <w:r w:rsidRPr="00F90EAE">
        <w:rPr>
          <w:color w:val="000000" w:themeColor="text1"/>
          <w:sz w:val="16"/>
          <w:szCs w:val="16"/>
        </w:rPr>
        <w:lastRenderedPageBreak/>
        <w:t>Получив от командующего 1-м Украинским фронтом указание: «Войска маршала Жукова в 10 км от восточной окраины Берлина. Приказываю обязательно сегодня ночью ворваться в Берлин первыми.</w:t>
      </w:r>
    </w:p>
    <w:p w14:paraId="66ED2298" w14:textId="77777777" w:rsidR="00BA2B8F" w:rsidRPr="00F90EAE" w:rsidRDefault="00BA2B8F" w:rsidP="00F90EAE">
      <w:pPr>
        <w:jc w:val="both"/>
        <w:rPr>
          <w:color w:val="000000" w:themeColor="text1"/>
          <w:sz w:val="16"/>
          <w:szCs w:val="16"/>
        </w:rPr>
      </w:pPr>
      <w:r w:rsidRPr="00F90EAE">
        <w:rPr>
          <w:color w:val="000000" w:themeColor="text1"/>
          <w:sz w:val="16"/>
          <w:szCs w:val="16"/>
        </w:rPr>
        <w:t>Исполнение донести», командующий 3-й гвардейской танковой армией П. Рыбалко приказал продолжить наступление с часа ночи 21-го апреля, но выполнить поставленную задачу не удалось:</w:t>
      </w:r>
    </w:p>
    <w:p w14:paraId="325510CA" w14:textId="77777777" w:rsidR="00BA2B8F" w:rsidRPr="00F90EAE" w:rsidRDefault="00BA2B8F" w:rsidP="00F90EAE">
      <w:pPr>
        <w:jc w:val="both"/>
        <w:rPr>
          <w:color w:val="000000" w:themeColor="text1"/>
          <w:sz w:val="16"/>
          <w:szCs w:val="16"/>
        </w:rPr>
      </w:pPr>
      <w:r w:rsidRPr="00F90EAE">
        <w:rPr>
          <w:color w:val="000000" w:themeColor="text1"/>
          <w:sz w:val="16"/>
          <w:szCs w:val="16"/>
        </w:rPr>
        <w:t>«В лесисто-озерной полосе между Барут и Цоссен войска армии встретили внешнее кольцо обороны Берлина, прикрываемое многочисленными заграждениями - завалами, рвами, минами, ДОТами, упорно обороняемые противником. Преодоление заграждении задержало армию на сутки».</w:t>
      </w:r>
    </w:p>
    <w:p w14:paraId="0471DA9F" w14:textId="77777777" w:rsidR="00BA2B8F" w:rsidRPr="00F90EAE" w:rsidRDefault="00BA2B8F" w:rsidP="00F90EAE">
      <w:pPr>
        <w:jc w:val="both"/>
        <w:rPr>
          <w:color w:val="000000" w:themeColor="text1"/>
          <w:sz w:val="16"/>
          <w:szCs w:val="16"/>
        </w:rPr>
      </w:pPr>
      <w:r w:rsidRPr="00F90EAE">
        <w:rPr>
          <w:color w:val="000000" w:themeColor="text1"/>
          <w:sz w:val="16"/>
          <w:szCs w:val="16"/>
        </w:rPr>
        <w:t>Продолжая наступление в ночь с 21 на 22 апреля, части армии заняли Цоссен и вышли к каналу Нотте - внешнему оборонительному обводу Берлина.</w:t>
      </w:r>
    </w:p>
    <w:p w14:paraId="1EDCB2F2" w14:textId="77777777" w:rsidR="00BA2B8F" w:rsidRPr="00F90EAE" w:rsidRDefault="00BA2B8F" w:rsidP="00F90EAE">
      <w:pPr>
        <w:jc w:val="both"/>
        <w:rPr>
          <w:color w:val="000000" w:themeColor="text1"/>
          <w:sz w:val="16"/>
          <w:szCs w:val="16"/>
        </w:rPr>
      </w:pPr>
      <w:r w:rsidRPr="00F90EAE">
        <w:rPr>
          <w:color w:val="000000" w:themeColor="text1"/>
          <w:sz w:val="16"/>
          <w:szCs w:val="16"/>
        </w:rPr>
        <w:t>Переправившись через канал Нотте, 22 апреля соединения 3-й гвардейской танковой армии вышли к круговой Берлинской автостраде, к вечеру тридцатьчетверки 6-го гвардейского танкового корпуса ворвались в пригород Берлина Тельтов, а к исходу дня войска армии вышли к каналу Тельтов и попытались форсировать его с хода. Однако сделать это не удалось:</w:t>
      </w:r>
    </w:p>
    <w:p w14:paraId="13C9B5B3" w14:textId="77777777" w:rsidR="00BA2B8F" w:rsidRPr="00F90EAE" w:rsidRDefault="00BA2B8F" w:rsidP="00F90EAE">
      <w:pPr>
        <w:jc w:val="both"/>
        <w:rPr>
          <w:color w:val="000000" w:themeColor="text1"/>
          <w:sz w:val="16"/>
          <w:szCs w:val="16"/>
        </w:rPr>
      </w:pPr>
      <w:r w:rsidRPr="00F90EAE">
        <w:rPr>
          <w:color w:val="000000" w:themeColor="text1"/>
          <w:sz w:val="16"/>
          <w:szCs w:val="16"/>
        </w:rPr>
        <w:t>«Передний край обороны проходит непосредственно по северному берегу канала Тельтов и представляет собой 1-2 линии прерывчатых траншей с выносными пулеметными площадками и окопами для снайперов и фаустпатронщиков, а также отдельные укрепленные здания, выходящие на берег.</w:t>
      </w:r>
    </w:p>
    <w:p w14:paraId="3C4C47F4" w14:textId="77777777" w:rsidR="00BA2B8F" w:rsidRPr="00F90EAE" w:rsidRDefault="00BA2B8F" w:rsidP="00F90EAE">
      <w:pPr>
        <w:jc w:val="both"/>
        <w:rPr>
          <w:color w:val="000000" w:themeColor="text1"/>
          <w:sz w:val="16"/>
          <w:szCs w:val="16"/>
        </w:rPr>
      </w:pPr>
      <w:r w:rsidRPr="00F90EAE">
        <w:rPr>
          <w:color w:val="000000" w:themeColor="text1"/>
          <w:sz w:val="16"/>
          <w:szCs w:val="16"/>
        </w:rPr>
        <w:t>Канал Тельтов в полосе наступления армии имел ширину 30—35 м. глубину до 4,5 м. Так как противником были взорваны все мосты на этом участке, то последний являлся серьезным препятствием на пути движения армии.</w:t>
      </w:r>
    </w:p>
    <w:p w14:paraId="557130C2" w14:textId="77777777" w:rsidR="00BA2B8F" w:rsidRPr="00F90EAE" w:rsidRDefault="00BA2B8F" w:rsidP="00F90EAE">
      <w:pPr>
        <w:jc w:val="both"/>
        <w:rPr>
          <w:color w:val="000000" w:themeColor="text1"/>
          <w:sz w:val="16"/>
          <w:szCs w:val="16"/>
        </w:rPr>
      </w:pPr>
      <w:r w:rsidRPr="00F90EAE">
        <w:rPr>
          <w:color w:val="000000" w:themeColor="text1"/>
          <w:sz w:val="16"/>
          <w:szCs w:val="16"/>
        </w:rPr>
        <w:t>Впереди первой линии траншей на отдельных участках были возведены проволочные препятствия - проволочный забор в 1-2 кола, а в районе озера Штансдорф - электризованный проволочный забор протяженностью до 200 метров.</w:t>
      </w:r>
    </w:p>
    <w:p w14:paraId="72686980" w14:textId="77777777" w:rsidR="00BA2B8F" w:rsidRPr="00F90EAE" w:rsidRDefault="00BA2B8F" w:rsidP="00F90EAE">
      <w:pPr>
        <w:jc w:val="both"/>
        <w:rPr>
          <w:color w:val="000000" w:themeColor="text1"/>
          <w:sz w:val="16"/>
          <w:szCs w:val="16"/>
        </w:rPr>
      </w:pPr>
      <w:r w:rsidRPr="00F90EAE">
        <w:rPr>
          <w:color w:val="000000" w:themeColor="text1"/>
          <w:sz w:val="16"/>
          <w:szCs w:val="16"/>
        </w:rPr>
        <w:t>Подступы к взорванным мостам были, как правило, минированы или охранялись фаустпатронщиками. Непосредственно на переднем крае были сооружены ДЗОТы для станковых пулеметов и артиллерии.</w:t>
      </w:r>
    </w:p>
    <w:p w14:paraId="2AA44A57" w14:textId="77777777" w:rsidR="00BA2B8F" w:rsidRPr="00F90EAE" w:rsidRDefault="00BA2B8F" w:rsidP="00F90EAE">
      <w:pPr>
        <w:jc w:val="both"/>
        <w:rPr>
          <w:color w:val="000000" w:themeColor="text1"/>
          <w:sz w:val="16"/>
          <w:szCs w:val="16"/>
        </w:rPr>
      </w:pPr>
      <w:r w:rsidRPr="00F90EAE">
        <w:rPr>
          <w:color w:val="000000" w:themeColor="text1"/>
          <w:sz w:val="16"/>
          <w:szCs w:val="16"/>
        </w:rPr>
        <w:t>Разрушенные здания приспособлены для минометов и артиллерийских позиций. Все улицы, ведущие от канала в предместья Берлина (пригород Темпельхоф, Лихтерфельде, Целендорф) забаррикадированы, завалены подручными материалами и всевозможными остатками разбитой техники. Отдельные улицы минированы небольшими очагами - 10-25 мин.</w:t>
      </w:r>
    </w:p>
    <w:p w14:paraId="7BC4A260" w14:textId="77777777" w:rsidR="00BA2B8F" w:rsidRPr="00F90EAE" w:rsidRDefault="00BA2B8F" w:rsidP="00F90EAE">
      <w:pPr>
        <w:jc w:val="both"/>
        <w:rPr>
          <w:color w:val="000000" w:themeColor="text1"/>
          <w:sz w:val="16"/>
          <w:szCs w:val="16"/>
        </w:rPr>
      </w:pPr>
      <w:r w:rsidRPr="00F90EAE">
        <w:rPr>
          <w:color w:val="000000" w:themeColor="text1"/>
          <w:sz w:val="16"/>
          <w:szCs w:val="16"/>
        </w:rPr>
        <w:t>В глубине обороны (до рубежа железнодорожного кольца, опоясывающего центральные районы Берлина) отдельные сохранившиеся кварталы превращены в опорные пункты. Причем каждый опорный пункт имел между собой огневую связь и скрытые пути сообщения через проломы в зданиях, изгородях, по садам и т.д. Такие опорные пункты были созданы на главных улицах: Унтер ден Эйхен, Хаупр-штрас- се, Альбрехт-штрасее.</w:t>
      </w:r>
    </w:p>
    <w:p w14:paraId="4196349C" w14:textId="77777777" w:rsidR="00BA2B8F" w:rsidRPr="00F90EAE" w:rsidRDefault="00BA2B8F" w:rsidP="00F90EAE">
      <w:pPr>
        <w:jc w:val="both"/>
        <w:rPr>
          <w:color w:val="000000" w:themeColor="text1"/>
          <w:sz w:val="16"/>
          <w:szCs w:val="16"/>
        </w:rPr>
      </w:pPr>
      <w:r w:rsidRPr="00F90EAE">
        <w:rPr>
          <w:color w:val="000000" w:themeColor="text1"/>
          <w:sz w:val="16"/>
          <w:szCs w:val="16"/>
        </w:rPr>
        <w:t>Станции метро (надземная часть) превращены в сильные блокгаузы с круговым обстрелом (в стенах проделаны бойницы и амбразуры), а туннели метрополитена использовались как скрытые хода сообщения для всевозможных перегруппировок гарнизонов опорных пунктов и захода нашим наступающим частям в тыл.</w:t>
      </w:r>
    </w:p>
    <w:p w14:paraId="3A6D28B4" w14:textId="77777777" w:rsidR="00BA2B8F" w:rsidRPr="00F90EAE" w:rsidRDefault="00BA2B8F" w:rsidP="00F90EAE">
      <w:pPr>
        <w:jc w:val="both"/>
        <w:rPr>
          <w:color w:val="000000" w:themeColor="text1"/>
          <w:sz w:val="16"/>
          <w:szCs w:val="16"/>
        </w:rPr>
      </w:pPr>
      <w:r w:rsidRPr="00F90EAE">
        <w:rPr>
          <w:color w:val="000000" w:themeColor="text1"/>
          <w:sz w:val="16"/>
          <w:szCs w:val="16"/>
        </w:rPr>
        <w:t>На левом фланге наступления армии на лесистой местности противником на основных дорогах устроены лесные завалы, барьеры, перекрестки дорог минированы. Вдоль дорог отрыты открытые площадки, окопы для фаустпатронщиков, артиллерийских позиций» (12217).</w:t>
      </w:r>
    </w:p>
    <w:p w14:paraId="08BF47AD" w14:textId="77777777" w:rsidR="00BA2B8F" w:rsidRPr="00F90EAE" w:rsidRDefault="00BA2B8F" w:rsidP="00F90EAE">
      <w:pPr>
        <w:jc w:val="both"/>
        <w:rPr>
          <w:color w:val="000000" w:themeColor="text1"/>
          <w:sz w:val="16"/>
          <w:szCs w:val="16"/>
        </w:rPr>
      </w:pPr>
    </w:p>
    <w:p w14:paraId="2D2D79DC" w14:textId="77777777" w:rsidR="004A3537" w:rsidRPr="00F90EAE" w:rsidRDefault="004A3537" w:rsidP="00F90EAE">
      <w:pPr>
        <w:jc w:val="both"/>
        <w:rPr>
          <w:color w:val="000000" w:themeColor="text1"/>
          <w:sz w:val="16"/>
          <w:szCs w:val="16"/>
        </w:rPr>
      </w:pPr>
      <w:r w:rsidRPr="00F90EAE">
        <w:rPr>
          <w:color w:val="000000" w:themeColor="text1"/>
          <w:sz w:val="16"/>
          <w:szCs w:val="16"/>
        </w:rPr>
        <w:t>16 апреля 1945 г. началось наступление на Берлин и на всех участках фронта шли ожесточенные сражения. Во вторник 17 апреля 1945 г. стало ясно, что советские войска не продвигаются вперед.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44A8C7BC" w14:textId="77777777" w:rsidR="004A3537" w:rsidRPr="00F90EAE" w:rsidRDefault="004A3537" w:rsidP="00F90EAE">
      <w:pPr>
        <w:jc w:val="both"/>
        <w:rPr>
          <w:color w:val="000000" w:themeColor="text1"/>
          <w:sz w:val="16"/>
          <w:szCs w:val="16"/>
        </w:rPr>
      </w:pPr>
    </w:p>
    <w:p w14:paraId="1A0356D5" w14:textId="77777777" w:rsidR="00BA2B8F" w:rsidRPr="00F90EAE" w:rsidRDefault="00BA2B8F" w:rsidP="00F90EAE">
      <w:pPr>
        <w:jc w:val="both"/>
        <w:rPr>
          <w:color w:val="000000" w:themeColor="text1"/>
          <w:sz w:val="16"/>
          <w:szCs w:val="16"/>
        </w:rPr>
      </w:pPr>
      <w:r w:rsidRPr="00F90EAE">
        <w:rPr>
          <w:color w:val="000000" w:themeColor="text1"/>
          <w:sz w:val="16"/>
          <w:szCs w:val="16"/>
        </w:rPr>
        <w:t>С 16 по 19 апреля 1945 года в боях за Берлин экипаж командира танкового взвода лейтенанта Ивана Гни- ломедова из 65-й танковой бригады 11-го танкового корпуса 1-й гвардейской танковой армии уничтожил 8 танков, 3 штурмовых орудия, 3 ПТО противника. 31 мая 1945года лейтенанту ИА Гниломедову присвоили звание Героя Советского Союза (12217).</w:t>
      </w:r>
    </w:p>
    <w:p w14:paraId="0D26F390" w14:textId="77777777" w:rsidR="00BA2B8F" w:rsidRPr="00F90EAE" w:rsidRDefault="00BA2B8F" w:rsidP="00F90EAE">
      <w:pPr>
        <w:jc w:val="both"/>
        <w:rPr>
          <w:color w:val="000000" w:themeColor="text1"/>
          <w:sz w:val="16"/>
          <w:szCs w:val="16"/>
        </w:rPr>
      </w:pPr>
    </w:p>
    <w:p w14:paraId="2A5A880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16 1945 Russians under Zhukov open Battle of Berlin with massive rocket and artillery barrage on the city (1769).</w:t>
      </w:r>
    </w:p>
    <w:p w14:paraId="6E21F8B1" w14:textId="77777777" w:rsidR="00665165" w:rsidRPr="00F90EAE" w:rsidRDefault="00665165" w:rsidP="00F90EAE">
      <w:pPr>
        <w:autoSpaceDE w:val="0"/>
        <w:autoSpaceDN w:val="0"/>
        <w:adjustRightInd w:val="0"/>
        <w:jc w:val="both"/>
        <w:rPr>
          <w:color w:val="000000" w:themeColor="text1"/>
          <w:sz w:val="16"/>
          <w:szCs w:val="16"/>
          <w:lang w:val="en-US"/>
        </w:rPr>
      </w:pPr>
    </w:p>
    <w:p w14:paraId="284E9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Г.К.Ж. начал битву за Берлин с артиллерийского и ракетного обстрела города (1769).</w:t>
      </w:r>
    </w:p>
    <w:p w14:paraId="6929A35F" w14:textId="77777777" w:rsidR="00665165" w:rsidRPr="00F90EAE" w:rsidRDefault="00665165" w:rsidP="00F90EAE">
      <w:pPr>
        <w:autoSpaceDE w:val="0"/>
        <w:autoSpaceDN w:val="0"/>
        <w:adjustRightInd w:val="0"/>
        <w:jc w:val="both"/>
        <w:rPr>
          <w:color w:val="000000" w:themeColor="text1"/>
          <w:sz w:val="16"/>
          <w:szCs w:val="16"/>
        </w:rPr>
      </w:pPr>
    </w:p>
    <w:p w14:paraId="7D6D50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состоялся налет 3 чехословацкого шап на станцию Smolkov и часть понесла тяжелые потери от зенитного огня и более 20 машин было повреждено. Вечером того же дня атаковали два моста через Одер. В ходе штурмовки мостов стрелок серж. Richard Husman, бывший сбил FW-190 вблизи Olza, но штурмовик был поврежден и с трудом вернулся на аэродром (241,39).</w:t>
      </w:r>
    </w:p>
    <w:p w14:paraId="65AD6252" w14:textId="77777777" w:rsidR="00665165" w:rsidRPr="00F90EAE" w:rsidRDefault="00665165" w:rsidP="00F90EAE">
      <w:pPr>
        <w:autoSpaceDE w:val="0"/>
        <w:autoSpaceDN w:val="0"/>
        <w:adjustRightInd w:val="0"/>
        <w:jc w:val="both"/>
        <w:rPr>
          <w:color w:val="000000" w:themeColor="text1"/>
          <w:sz w:val="16"/>
          <w:szCs w:val="16"/>
        </w:rPr>
      </w:pPr>
    </w:p>
    <w:p w14:paraId="47A1DC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16 апреля 1945 3 польский шап принял участие в наступлении на Одере в ходе битвы за Берлин (241,37).</w:t>
      </w:r>
    </w:p>
    <w:p w14:paraId="278F2623" w14:textId="77777777" w:rsidR="00665165" w:rsidRPr="00F90EAE" w:rsidRDefault="00665165" w:rsidP="00F90EAE">
      <w:pPr>
        <w:autoSpaceDE w:val="0"/>
        <w:autoSpaceDN w:val="0"/>
        <w:adjustRightInd w:val="0"/>
        <w:jc w:val="both"/>
        <w:rPr>
          <w:color w:val="000000" w:themeColor="text1"/>
          <w:sz w:val="16"/>
          <w:szCs w:val="16"/>
        </w:rPr>
      </w:pPr>
    </w:p>
    <w:p w14:paraId="39B6E4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16-20 апреля 1945 группа С-47 10-й гтд ГВФ под командой г В.Г.Грачева совершила первый групповой перелет из СССР в США, доставив туда персонал советской делегации на Генеральную ассамблею ООН в Сан-Франциско. Перелет был по маршруту Москва - Якутск - Уэлькаль - Фэрнбенкс - Сан-Франциско 16000 км. В мае вернулись тем же маршрутом (438,988).</w:t>
      </w:r>
    </w:p>
    <w:p w14:paraId="38672AE1" w14:textId="77777777" w:rsidR="00665165" w:rsidRPr="00F90EAE" w:rsidRDefault="00665165" w:rsidP="00F90EAE">
      <w:pPr>
        <w:autoSpaceDE w:val="0"/>
        <w:autoSpaceDN w:val="0"/>
        <w:adjustRightInd w:val="0"/>
        <w:jc w:val="both"/>
        <w:rPr>
          <w:color w:val="000000" w:themeColor="text1"/>
          <w:sz w:val="16"/>
          <w:szCs w:val="16"/>
        </w:rPr>
      </w:pPr>
    </w:p>
    <w:p w14:paraId="68E4D3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г. переправу через Одру в районе г. Ольза, истребители Ла-5, ведомые надпоручником Франтишеком Хаберой, сбили два Bf 109 (4707).</w:t>
      </w:r>
    </w:p>
    <w:p w14:paraId="2D8FE6B3" w14:textId="77777777" w:rsidR="00665165" w:rsidRPr="00F90EAE" w:rsidRDefault="00665165" w:rsidP="00F90EAE">
      <w:pPr>
        <w:autoSpaceDE w:val="0"/>
        <w:autoSpaceDN w:val="0"/>
        <w:adjustRightInd w:val="0"/>
        <w:jc w:val="both"/>
        <w:rPr>
          <w:iCs/>
          <w:color w:val="000000" w:themeColor="text1"/>
          <w:sz w:val="16"/>
          <w:szCs w:val="16"/>
        </w:rPr>
      </w:pPr>
    </w:p>
    <w:p w14:paraId="04921C4D" w14:textId="77777777" w:rsidR="001438DF" w:rsidRPr="00F90EAE" w:rsidRDefault="001438DF" w:rsidP="00F90EAE">
      <w:pPr>
        <w:jc w:val="both"/>
        <w:rPr>
          <w:color w:val="000000" w:themeColor="text1"/>
          <w:sz w:val="16"/>
          <w:szCs w:val="16"/>
        </w:rPr>
      </w:pPr>
      <w:r w:rsidRPr="00F90EAE">
        <w:rPr>
          <w:color w:val="000000" w:themeColor="text1"/>
          <w:sz w:val="16"/>
          <w:szCs w:val="16"/>
        </w:rPr>
        <w:t>16 апреля в 1945 году германский пароход «Goya» затонул в Балтийском море после торпедной атаки советской подводной лодки «Л-3». 6200 жертв. Грузовое судно, построенное на верфи «Akers Mekanika Verksted» в Осло, Норвегия. Спущено на воду 4 апреля 1940 года. Судно было конфисковано немцами после занятия Норвегии Германией. Сначала использовалось в качестве корабля-цели для подготовки экипажей немецких подводных лодок. Позже судно участвовало в эвакуации людей морем от наступающей Красной Армии. «Гойя» успел совершить четыре похода, в которых было эвакуировано 19785 человек. В ночь на 16 апреля 1945 года совершавшее пятый поход судно было торпедировано советской подводной лодкой «Л-3» (2 торпеды), после чего затонуло в Балтийском море. В катастрофе погибло от 6000 до 7000 человек (точное количество находившихся на борту неизвестно). Кроме гражданских и раненых военнослужащих на борту находились 200 солдат 25-го танкового полка вермахта. Спасено 185 человек (15101).</w:t>
      </w:r>
    </w:p>
    <w:p w14:paraId="74545D15" w14:textId="77777777" w:rsidR="001438DF" w:rsidRPr="00F90EAE" w:rsidRDefault="001438DF" w:rsidP="00F90EAE">
      <w:pPr>
        <w:jc w:val="both"/>
        <w:rPr>
          <w:color w:val="000000" w:themeColor="text1"/>
          <w:sz w:val="16"/>
          <w:szCs w:val="16"/>
        </w:rPr>
      </w:pPr>
    </w:p>
    <w:p w14:paraId="6383E7C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65FFF48" w14:textId="77777777" w:rsidR="00665165" w:rsidRPr="00F90EAE" w:rsidRDefault="00665165" w:rsidP="00F90EAE">
      <w:pPr>
        <w:autoSpaceDE w:val="0"/>
        <w:autoSpaceDN w:val="0"/>
        <w:adjustRightInd w:val="0"/>
        <w:jc w:val="both"/>
        <w:rPr>
          <w:iCs/>
          <w:color w:val="000000" w:themeColor="text1"/>
          <w:sz w:val="16"/>
          <w:szCs w:val="16"/>
        </w:rPr>
      </w:pPr>
    </w:p>
    <w:p w14:paraId="3BD1514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апреля 1945 в Киеве открыт филиал Центрального музея В. Ленина (4962).</w:t>
      </w:r>
    </w:p>
    <w:p w14:paraId="6827449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7F391C"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3CBEC25C" w14:textId="77777777" w:rsidR="00665165" w:rsidRPr="00F90EAE" w:rsidRDefault="00665165" w:rsidP="00F90EAE">
      <w:pPr>
        <w:autoSpaceDE w:val="0"/>
        <w:autoSpaceDN w:val="0"/>
        <w:adjustRightInd w:val="0"/>
        <w:jc w:val="both"/>
        <w:rPr>
          <w:iCs/>
          <w:color w:val="000000" w:themeColor="text1"/>
          <w:sz w:val="16"/>
          <w:szCs w:val="16"/>
          <w:lang w:val="en-US"/>
        </w:rPr>
      </w:pPr>
    </w:p>
    <w:p w14:paraId="7D331F6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16 1945 Americans enter Nuremberg (1050).</w:t>
      </w:r>
    </w:p>
    <w:p w14:paraId="2D49C143" w14:textId="77777777" w:rsidR="00665165" w:rsidRPr="00F90EAE" w:rsidRDefault="00665165" w:rsidP="00F90EAE">
      <w:pPr>
        <w:autoSpaceDE w:val="0"/>
        <w:autoSpaceDN w:val="0"/>
        <w:adjustRightInd w:val="0"/>
        <w:jc w:val="both"/>
        <w:rPr>
          <w:color w:val="000000" w:themeColor="text1"/>
          <w:sz w:val="16"/>
          <w:szCs w:val="16"/>
          <w:lang w:val="en-US"/>
        </w:rPr>
      </w:pPr>
    </w:p>
    <w:p w14:paraId="0187FC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(17 - 2248,5) 1945 американцы вошли в Нюрнберг (1050).</w:t>
      </w:r>
    </w:p>
    <w:p w14:paraId="58EA1BA9" w14:textId="77777777" w:rsidR="00665165" w:rsidRPr="00F90EAE" w:rsidRDefault="00665165" w:rsidP="00F90EAE">
      <w:pPr>
        <w:autoSpaceDE w:val="0"/>
        <w:autoSpaceDN w:val="0"/>
        <w:adjustRightInd w:val="0"/>
        <w:jc w:val="both"/>
        <w:rPr>
          <w:color w:val="000000" w:themeColor="text1"/>
          <w:sz w:val="16"/>
          <w:szCs w:val="16"/>
        </w:rPr>
      </w:pPr>
    </w:p>
    <w:p w14:paraId="2833F6FE" w14:textId="77777777" w:rsidR="001438DF" w:rsidRPr="00F90EAE" w:rsidRDefault="001438DF"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апреля 1945 американский войска взяли Нюрнберг (4962).</w:t>
      </w:r>
    </w:p>
    <w:p w14:paraId="6C972FFC" w14:textId="77777777" w:rsidR="001438DF" w:rsidRPr="00F90EAE" w:rsidRDefault="001438DF" w:rsidP="00F90EAE">
      <w:pPr>
        <w:tabs>
          <w:tab w:val="left" w:pos="11199"/>
        </w:tabs>
        <w:autoSpaceDE w:val="0"/>
        <w:autoSpaceDN w:val="0"/>
        <w:adjustRightInd w:val="0"/>
        <w:jc w:val="both"/>
        <w:rPr>
          <w:color w:val="000000" w:themeColor="text1"/>
          <w:sz w:val="16"/>
          <w:szCs w:val="16"/>
        </w:rPr>
      </w:pPr>
    </w:p>
    <w:p w14:paraId="7F18BBD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16th, 1945: In the West, the Canadian First Army occupies Leeuwarden and Groningen in northern Holland. The US First Army captures Solingen and Wuppertal. In the East, the 1st Belorussian Front (Zhukov) and the 1st Ukrainian Front (Konev), from their Oder bridgeheads N and S of Frankfurt, launch their final great offensive against Berlin. In the Baltic off Hela, the German liner Goya is torpedoed by a Soviet submarine, killing 6,500 wounded soldiers and refugees (3819).</w:t>
      </w:r>
    </w:p>
    <w:p w14:paraId="72EB63D9" w14:textId="77777777" w:rsidR="00665165" w:rsidRPr="00F90EAE" w:rsidRDefault="00665165" w:rsidP="00F90EAE">
      <w:pPr>
        <w:autoSpaceDE w:val="0"/>
        <w:autoSpaceDN w:val="0"/>
        <w:adjustRightInd w:val="0"/>
        <w:jc w:val="both"/>
        <w:rPr>
          <w:color w:val="000000" w:themeColor="text1"/>
          <w:sz w:val="16"/>
          <w:szCs w:val="16"/>
          <w:lang w:val="en-US"/>
        </w:rPr>
      </w:pPr>
    </w:p>
    <w:p w14:paraId="4B626A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канадская 1А заняла Лееуварден и Гронинген в северной Голландии. 1А США заняла Золлинген и Вуппертал. 1БФ (Жуков) и 1УФ (Конев) начали наступление. Советская п/л потопила лайнер Гойя, который перевозил 6500 раненых и беженцев (3819).</w:t>
      </w:r>
    </w:p>
    <w:p w14:paraId="19ADD481" w14:textId="77777777" w:rsidR="00665165" w:rsidRPr="00F90EAE" w:rsidRDefault="00665165" w:rsidP="00F90EAE">
      <w:pPr>
        <w:autoSpaceDE w:val="0"/>
        <w:autoSpaceDN w:val="0"/>
        <w:adjustRightInd w:val="0"/>
        <w:jc w:val="both"/>
        <w:rPr>
          <w:color w:val="000000" w:themeColor="text1"/>
          <w:sz w:val="16"/>
          <w:szCs w:val="16"/>
        </w:rPr>
      </w:pPr>
    </w:p>
    <w:p w14:paraId="3CBE25B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апреля 1945 Ева Браун прибыла в Берлин к Гитлеру (4962).</w:t>
      </w:r>
    </w:p>
    <w:p w14:paraId="65BAAB6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4FB11E" w14:textId="77777777" w:rsidR="001438DF" w:rsidRPr="00F90EAE" w:rsidRDefault="001438DF"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16 апреля 1945 г. Союзники вступили в Брандис и лишь через 2,5 месяца — 2 июля — туда вошли советские войска. Примерно такой же срок хозяйничали американцы и в других местностях района Дессау-Лейпциг, который они первоначально заняли (15791).</w:t>
      </w:r>
    </w:p>
    <w:p w14:paraId="1D4AA60A" w14:textId="77777777" w:rsidR="001438DF" w:rsidRPr="00F90EAE" w:rsidRDefault="001438DF" w:rsidP="00F90EAE">
      <w:pPr>
        <w:pStyle w:val="36"/>
        <w:shd w:val="clear" w:color="auto" w:fill="auto"/>
        <w:spacing w:after="0" w:line="240" w:lineRule="auto"/>
        <w:jc w:val="both"/>
        <w:rPr>
          <w:rFonts w:ascii="Times New Roman" w:cs="Times New Roman"/>
          <w:color w:val="000000" w:themeColor="text1"/>
          <w:spacing w:val="0"/>
          <w:sz w:val="16"/>
          <w:szCs w:val="16"/>
        </w:rPr>
      </w:pPr>
    </w:p>
    <w:p w14:paraId="53D094D0" w14:textId="77777777" w:rsidR="001438DF" w:rsidRPr="00F90EAE" w:rsidRDefault="001438DF" w:rsidP="00F90EAE">
      <w:pPr>
        <w:jc w:val="both"/>
        <w:rPr>
          <w:color w:val="000000" w:themeColor="text1"/>
          <w:sz w:val="16"/>
          <w:szCs w:val="16"/>
        </w:rPr>
      </w:pPr>
      <w:r w:rsidRPr="00F90EAE">
        <w:rPr>
          <w:color w:val="000000" w:themeColor="text1"/>
          <w:sz w:val="16"/>
          <w:szCs w:val="16"/>
        </w:rPr>
        <w:lastRenderedPageBreak/>
        <w:t>16 апреля в 1945 году Конгресс США принял поправку к закону о ленд-лизе, согласно которой Великобритании запрещалось использовать фонды ленд-лиза для послевоенного восстановления экономики (15101).</w:t>
      </w:r>
    </w:p>
    <w:p w14:paraId="03E9DED6" w14:textId="77777777" w:rsidR="001438DF" w:rsidRPr="00F90EAE" w:rsidRDefault="001438DF" w:rsidP="00F90EAE">
      <w:pPr>
        <w:jc w:val="both"/>
        <w:rPr>
          <w:color w:val="000000" w:themeColor="text1"/>
          <w:sz w:val="16"/>
          <w:szCs w:val="16"/>
        </w:rPr>
      </w:pPr>
    </w:p>
    <w:p w14:paraId="3E16611A" w14:textId="77777777" w:rsidR="001438DF" w:rsidRPr="00F90EAE" w:rsidRDefault="001438DF" w:rsidP="00F90EAE">
      <w:pPr>
        <w:jc w:val="both"/>
        <w:rPr>
          <w:color w:val="000000" w:themeColor="text1"/>
          <w:sz w:val="16"/>
          <w:szCs w:val="16"/>
        </w:rPr>
      </w:pPr>
      <w:r w:rsidRPr="00F90EAE">
        <w:rPr>
          <w:color w:val="000000" w:themeColor="text1"/>
          <w:sz w:val="16"/>
          <w:szCs w:val="16"/>
        </w:rPr>
        <w:t>16 апреля в 1945 году сильный налет английской авиации уничтожает у Свинемюнде германский крейсер «Лютцов» (15101).</w:t>
      </w:r>
    </w:p>
    <w:p w14:paraId="7B980679" w14:textId="77777777" w:rsidR="001438DF" w:rsidRPr="00F90EAE" w:rsidRDefault="001438DF" w:rsidP="00F90EAE">
      <w:pPr>
        <w:jc w:val="both"/>
        <w:rPr>
          <w:color w:val="000000" w:themeColor="text1"/>
          <w:sz w:val="16"/>
          <w:szCs w:val="16"/>
        </w:rPr>
      </w:pPr>
    </w:p>
    <w:p w14:paraId="123D3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апреля 1945 состоялось пятое боевое применение японцами ракетного снаряда Ока, управляемого камикадзе. Было 6 носителей, японцы объявили, что был уничтожен линкор. Потом в атаках 28 апреля, 4 мая, 11 мая и 22 июня 4, 7, 4 и 6 снарядов по японским данным потопили авианосец, линкор и крейсер (2969,21).</w:t>
      </w:r>
    </w:p>
    <w:p w14:paraId="524AC878" w14:textId="77777777" w:rsidR="00665165" w:rsidRPr="00F90EAE" w:rsidRDefault="00665165" w:rsidP="00F90EAE">
      <w:pPr>
        <w:autoSpaceDE w:val="0"/>
        <w:autoSpaceDN w:val="0"/>
        <w:adjustRightInd w:val="0"/>
        <w:jc w:val="both"/>
        <w:rPr>
          <w:color w:val="000000" w:themeColor="text1"/>
          <w:sz w:val="16"/>
          <w:szCs w:val="16"/>
        </w:rPr>
      </w:pPr>
    </w:p>
    <w:p w14:paraId="19F98C5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589E343" w14:textId="77777777" w:rsidR="00665165" w:rsidRPr="00F90EAE" w:rsidRDefault="00665165" w:rsidP="00F90EAE">
      <w:pPr>
        <w:autoSpaceDE w:val="0"/>
        <w:autoSpaceDN w:val="0"/>
        <w:adjustRightInd w:val="0"/>
        <w:jc w:val="both"/>
        <w:rPr>
          <w:iCs/>
          <w:color w:val="000000" w:themeColor="text1"/>
          <w:sz w:val="16"/>
          <w:szCs w:val="16"/>
        </w:rPr>
      </w:pPr>
    </w:p>
    <w:p w14:paraId="65E04C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в НИИ ВВС закончились испытания головного Як-9В ВК-105ПФ2, которые проводились с 10 апреля 1945 (65,143).</w:t>
      </w:r>
    </w:p>
    <w:p w14:paraId="68DABF1E" w14:textId="77777777" w:rsidR="00665165" w:rsidRPr="00F90EAE" w:rsidRDefault="00665165" w:rsidP="00F90EAE">
      <w:pPr>
        <w:autoSpaceDE w:val="0"/>
        <w:autoSpaceDN w:val="0"/>
        <w:adjustRightInd w:val="0"/>
        <w:jc w:val="both"/>
        <w:rPr>
          <w:color w:val="000000" w:themeColor="text1"/>
          <w:sz w:val="16"/>
          <w:szCs w:val="16"/>
        </w:rPr>
      </w:pPr>
    </w:p>
    <w:p w14:paraId="2AE2C9C0" w14:textId="77777777" w:rsidR="0053208B" w:rsidRPr="00F90EAE" w:rsidRDefault="0053208B" w:rsidP="00F90EAE">
      <w:pPr>
        <w:jc w:val="both"/>
        <w:rPr>
          <w:color w:val="000000" w:themeColor="text1"/>
          <w:sz w:val="16"/>
          <w:szCs w:val="16"/>
        </w:rPr>
      </w:pPr>
      <w:r w:rsidRPr="00F90EAE">
        <w:rPr>
          <w:color w:val="000000" w:themeColor="text1"/>
          <w:sz w:val="16"/>
          <w:szCs w:val="16"/>
        </w:rPr>
        <w:t>17 апреля в 1945 году в HИИ ВВС завершились госиспытания (начались 10 апреля) головного «Як-9В» «ВК-105ПФ2» (летчик-испытатель В.Г.Иванов, ведущий инженер Г.А.Седов). «Як-9В» (вывозной) с двигателем «ВК-105ПФ2» представлял собой двухместный с двойным управлением вывозной самолет и предназначался для вывозки и тренировки летного состава школ и строевых частей ВВС (15102).</w:t>
      </w:r>
    </w:p>
    <w:p w14:paraId="59629B26" w14:textId="77777777" w:rsidR="0053208B" w:rsidRPr="00F90EAE" w:rsidRDefault="0053208B" w:rsidP="00F90EAE">
      <w:pPr>
        <w:jc w:val="both"/>
        <w:rPr>
          <w:color w:val="000000" w:themeColor="text1"/>
          <w:sz w:val="16"/>
          <w:szCs w:val="16"/>
        </w:rPr>
      </w:pPr>
    </w:p>
    <w:p w14:paraId="36E6D6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г. для проведения заводских летных испытаний второго экземпляра И-225 в соответствии с приказом НКАП №157 утвердили ведущего инженера А.Г.Брунова и летчика-испытателя А.П.Деева (5852,40).</w:t>
      </w:r>
    </w:p>
    <w:p w14:paraId="50CC2435" w14:textId="77777777" w:rsidR="00665165" w:rsidRPr="00F90EAE" w:rsidRDefault="00665165" w:rsidP="00F90EAE">
      <w:pPr>
        <w:autoSpaceDE w:val="0"/>
        <w:autoSpaceDN w:val="0"/>
        <w:adjustRightInd w:val="0"/>
        <w:jc w:val="both"/>
        <w:rPr>
          <w:color w:val="000000" w:themeColor="text1"/>
          <w:sz w:val="16"/>
          <w:szCs w:val="16"/>
        </w:rPr>
      </w:pPr>
    </w:p>
    <w:p w14:paraId="4295F1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апреля 1945 г. Приказом НКАП СССР № 156, с некоторым опоз</w:t>
      </w:r>
      <w:r w:rsidRPr="00F90EAE">
        <w:rPr>
          <w:color w:val="000000" w:themeColor="text1"/>
          <w:sz w:val="16"/>
          <w:szCs w:val="16"/>
        </w:rPr>
        <w:softHyphen/>
        <w:t>данием, была утверждена бригада по обслуживанию летных испытаний Су-5, в которую от завода № 134 вошли: лет</w:t>
      </w:r>
      <w:r w:rsidRPr="00F90EAE">
        <w:rPr>
          <w:color w:val="000000" w:themeColor="text1"/>
          <w:sz w:val="16"/>
          <w:szCs w:val="16"/>
        </w:rPr>
        <w:softHyphen/>
        <w:t>чик испытатель - Г.И. Комаров, веду</w:t>
      </w:r>
      <w:r w:rsidRPr="00F90EAE">
        <w:rPr>
          <w:color w:val="000000" w:themeColor="text1"/>
          <w:sz w:val="16"/>
          <w:szCs w:val="16"/>
        </w:rPr>
        <w:softHyphen/>
        <w:t>щий инженер по самолету — С.Я. Гор</w:t>
      </w:r>
      <w:r w:rsidRPr="00F90EAE">
        <w:rPr>
          <w:color w:val="000000" w:themeColor="text1"/>
          <w:sz w:val="16"/>
          <w:szCs w:val="16"/>
        </w:rPr>
        <w:softHyphen/>
        <w:t>бунов, бортмеханик - А.М.Зуев и моторист - И.Н. Осипенко, а ЦИАМ представляли: ведущий инженер по ВРДК — А.И. Комиссаров и механик Мазанов. Испытания самолета проводились на Тушинском аэродроме, но 15 июня они прекратились из-за аварии дви</w:t>
      </w:r>
      <w:r w:rsidRPr="00F90EAE">
        <w:rPr>
          <w:color w:val="000000" w:themeColor="text1"/>
          <w:sz w:val="16"/>
          <w:szCs w:val="16"/>
        </w:rPr>
        <w:softHyphen/>
        <w:t>гателя ВК-107А. К этому моменту были выполнены 23 полета с общим нале</w:t>
      </w:r>
      <w:r w:rsidRPr="00F90EAE">
        <w:rPr>
          <w:color w:val="000000" w:themeColor="text1"/>
          <w:sz w:val="16"/>
          <w:szCs w:val="16"/>
        </w:rPr>
        <w:softHyphen/>
        <w:t>том 8 ч. 50 мин. По их результатам составили отчет, в котором указыва</w:t>
      </w:r>
      <w:r w:rsidRPr="00F90EAE">
        <w:rPr>
          <w:color w:val="000000" w:themeColor="text1"/>
          <w:sz w:val="16"/>
          <w:szCs w:val="16"/>
        </w:rPr>
        <w:softHyphen/>
        <w:t>лось:</w:t>
      </w:r>
    </w:p>
    <w:p w14:paraId="0D4B6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 Винтомоторная установка в части питания, смазки и охлаждения работает на всех режимах вполне удов</w:t>
      </w:r>
      <w:r w:rsidRPr="00F90EAE">
        <w:rPr>
          <w:color w:val="000000" w:themeColor="text1"/>
          <w:sz w:val="16"/>
          <w:szCs w:val="16"/>
        </w:rPr>
        <w:softHyphen/>
        <w:t>летворительно.</w:t>
      </w:r>
    </w:p>
    <w:p w14:paraId="21DA4A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Управляемость и устойчивость самолета на различных скоростях и эволюциях - нормальная.</w:t>
      </w:r>
    </w:p>
    <w:p w14:paraId="4E6C37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При производстве полета на сверхмаксимальную скорость никаких элементов срыва и вибраций не на</w:t>
      </w:r>
      <w:r w:rsidRPr="00F90EAE">
        <w:rPr>
          <w:color w:val="000000" w:themeColor="text1"/>
          <w:sz w:val="16"/>
          <w:szCs w:val="16"/>
        </w:rPr>
        <w:softHyphen/>
        <w:t>блюдалось.</w:t>
      </w:r>
    </w:p>
    <w:p w14:paraId="289B2A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Полученная максимальная ско</w:t>
      </w:r>
      <w:r w:rsidRPr="00F90EAE">
        <w:rPr>
          <w:color w:val="000000" w:themeColor="text1"/>
          <w:sz w:val="16"/>
          <w:szCs w:val="16"/>
        </w:rPr>
        <w:softHyphen/>
        <w:t>рость на высоте Н=4350 м равна 793 км/ч. При дальнейших полетах подтвердить полученную однажды ско</w:t>
      </w:r>
      <w:r w:rsidRPr="00F90EAE">
        <w:rPr>
          <w:color w:val="000000" w:themeColor="text1"/>
          <w:sz w:val="16"/>
          <w:szCs w:val="16"/>
        </w:rPr>
        <w:softHyphen/>
        <w:t>рость не удалось, что объяснялось не-доведенностью ВРДК (10669).</w:t>
      </w:r>
    </w:p>
    <w:p w14:paraId="63B994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Су-5, созданный для пере</w:t>
      </w:r>
      <w:r w:rsidRPr="00F90EAE">
        <w:rPr>
          <w:color w:val="000000" w:themeColor="text1"/>
          <w:sz w:val="16"/>
          <w:szCs w:val="16"/>
        </w:rPr>
        <w:softHyphen/>
        <w:t>хвата и уничтожения самолетов против</w:t>
      </w:r>
      <w:r w:rsidRPr="00F90EAE">
        <w:rPr>
          <w:color w:val="000000" w:themeColor="text1"/>
          <w:sz w:val="16"/>
          <w:szCs w:val="16"/>
        </w:rPr>
        <w:softHyphen/>
        <w:t>ника и ведения активного воздушного боя, главным образом, на больших высо</w:t>
      </w:r>
      <w:r w:rsidRPr="00F90EAE">
        <w:rPr>
          <w:color w:val="000000" w:themeColor="text1"/>
          <w:sz w:val="16"/>
          <w:szCs w:val="16"/>
        </w:rPr>
        <w:softHyphen/>
        <w:t>тах, представлял собою свободнонесу-щий цельнометаллический моноплан с нормальным однокилевым оперением и убирающимся в полете шасси. Крыло однолонжеронной конструк</w:t>
      </w:r>
      <w:r w:rsidRPr="00F90EAE">
        <w:rPr>
          <w:color w:val="000000" w:themeColor="text1"/>
          <w:sz w:val="16"/>
          <w:szCs w:val="16"/>
        </w:rPr>
        <w:softHyphen/>
        <w:t>ции с дюралевой обшивкой состояло из двух отъемных частей, стыкующихся с фюзеляжем по бортовым нервюрам. В крыле размещались два бензобака общей емкостью около 180 л. и мас-лорадиатор. Предусматривалась воз</w:t>
      </w:r>
      <w:r w:rsidRPr="00F90EAE">
        <w:rPr>
          <w:color w:val="000000" w:themeColor="text1"/>
          <w:sz w:val="16"/>
          <w:szCs w:val="16"/>
        </w:rPr>
        <w:softHyphen/>
        <w:t>можность установки дополнительного бензобака емкостью 130 л. Щитки и элероны цельнометаллические. Элеро</w:t>
      </w:r>
      <w:r w:rsidRPr="00F90EAE">
        <w:rPr>
          <w:color w:val="000000" w:themeColor="text1"/>
          <w:sz w:val="16"/>
          <w:szCs w:val="16"/>
        </w:rPr>
        <w:softHyphen/>
        <w:t>ны имели весовую и аэродинамичес</w:t>
      </w:r>
      <w:r w:rsidRPr="00F90EAE">
        <w:rPr>
          <w:color w:val="000000" w:themeColor="text1"/>
          <w:sz w:val="16"/>
          <w:szCs w:val="16"/>
        </w:rPr>
        <w:softHyphen/>
        <w:t>кую компенсацию, на левом элероне размещался триммер. Фюзеляж - цельнометаллический монокок овального сечения. Внутри фюзеляжа, под полом кабины пилота располагались компрессор ВРДК и радиатор системы охлаждения двига</w:t>
      </w:r>
      <w:r w:rsidRPr="00F90EAE">
        <w:rPr>
          <w:color w:val="000000" w:themeColor="text1"/>
          <w:sz w:val="16"/>
          <w:szCs w:val="16"/>
        </w:rPr>
        <w:softHyphen/>
        <w:t>теля ВК-107А, а в хвостовой части фюзеляжа - камера сгорания ВРДК. За кабиной пилота, над радиатором размещался бензиновый бак емкос</w:t>
      </w:r>
      <w:r w:rsidRPr="00F90EAE">
        <w:rPr>
          <w:color w:val="000000" w:themeColor="text1"/>
          <w:sz w:val="16"/>
          <w:szCs w:val="16"/>
        </w:rPr>
        <w:softHyphen/>
        <w:t>тью 500 л. Оперение, включающее свободно-несущий цельнометаллический нере</w:t>
      </w:r>
      <w:r w:rsidRPr="00F90EAE">
        <w:rPr>
          <w:color w:val="000000" w:themeColor="text1"/>
          <w:sz w:val="16"/>
          <w:szCs w:val="16"/>
        </w:rPr>
        <w:softHyphen/>
        <w:t>гулируемый стабилизатор и цельноме</w:t>
      </w:r>
      <w:r w:rsidRPr="00F90EAE">
        <w:rPr>
          <w:color w:val="000000" w:themeColor="text1"/>
          <w:sz w:val="16"/>
          <w:szCs w:val="16"/>
        </w:rPr>
        <w:softHyphen/>
        <w:t>таллический киль, крепилось к хвосто</w:t>
      </w:r>
      <w:r w:rsidRPr="00F90EAE">
        <w:rPr>
          <w:color w:val="000000" w:themeColor="text1"/>
          <w:sz w:val="16"/>
          <w:szCs w:val="16"/>
        </w:rPr>
        <w:softHyphen/>
        <w:t>вой части фюзеляжа. Рули имели ве</w:t>
      </w:r>
      <w:r w:rsidRPr="00F90EAE">
        <w:rPr>
          <w:color w:val="000000" w:themeColor="text1"/>
          <w:sz w:val="16"/>
          <w:szCs w:val="16"/>
        </w:rPr>
        <w:softHyphen/>
        <w:t>совую и аэродинамическую компен</w:t>
      </w:r>
      <w:r w:rsidRPr="00F90EAE">
        <w:rPr>
          <w:color w:val="000000" w:themeColor="text1"/>
          <w:sz w:val="16"/>
          <w:szCs w:val="16"/>
        </w:rPr>
        <w:softHyphen/>
        <w:t>сацию и были снабжены триммерами. Шасси — трехопорное с хвосто</w:t>
      </w:r>
      <w:r w:rsidRPr="00F90EAE">
        <w:rPr>
          <w:color w:val="000000" w:themeColor="text1"/>
          <w:sz w:val="16"/>
          <w:szCs w:val="16"/>
        </w:rPr>
        <w:softHyphen/>
        <w:t>вым колесом. Основные опоры уби</w:t>
      </w:r>
      <w:r w:rsidRPr="00F90EAE">
        <w:rPr>
          <w:color w:val="000000" w:themeColor="text1"/>
          <w:sz w:val="16"/>
          <w:szCs w:val="16"/>
        </w:rPr>
        <w:softHyphen/>
        <w:t>рались вдоль размаха в носок крыла, а хвостовое колесо - в небольшой обтекатель. Винтомоторная группа (ВМГ) состоя</w:t>
      </w:r>
      <w:r w:rsidRPr="00F90EAE">
        <w:rPr>
          <w:color w:val="000000" w:themeColor="text1"/>
          <w:sz w:val="16"/>
          <w:szCs w:val="16"/>
        </w:rPr>
        <w:softHyphen/>
        <w:t>ла из поршневого двигателя жидкостно</w:t>
      </w:r>
      <w:r w:rsidRPr="00F90EAE">
        <w:rPr>
          <w:color w:val="000000" w:themeColor="text1"/>
          <w:sz w:val="16"/>
          <w:szCs w:val="16"/>
        </w:rPr>
        <w:softHyphen/>
        <w:t>го охлаждения ВК-107А, мощностью в 1650 л.с. с коробкой привода комп</w:t>
      </w:r>
      <w:r w:rsidRPr="00F90EAE">
        <w:rPr>
          <w:color w:val="000000" w:themeColor="text1"/>
          <w:sz w:val="16"/>
          <w:szCs w:val="16"/>
        </w:rPr>
        <w:softHyphen/>
        <w:t>рессора и четырехлопастного цельно</w:t>
      </w:r>
      <w:r w:rsidRPr="00F90EAE">
        <w:rPr>
          <w:color w:val="000000" w:themeColor="text1"/>
          <w:sz w:val="16"/>
          <w:szCs w:val="16"/>
        </w:rPr>
        <w:softHyphen/>
        <w:t>металлического винта изменяемого шага, диаметром 2,9 м. Двигатель кре</w:t>
      </w:r>
      <w:r w:rsidRPr="00F90EAE">
        <w:rPr>
          <w:color w:val="000000" w:themeColor="text1"/>
          <w:sz w:val="16"/>
          <w:szCs w:val="16"/>
        </w:rPr>
        <w:softHyphen/>
        <w:t>пился на мотораме ферменной кон</w:t>
      </w:r>
      <w:r w:rsidRPr="00F90EAE">
        <w:rPr>
          <w:color w:val="000000" w:themeColor="text1"/>
          <w:sz w:val="16"/>
          <w:szCs w:val="16"/>
        </w:rPr>
        <w:softHyphen/>
        <w:t>струкции, сваренной из стальных труб. Воздух в приводной центробежный на</w:t>
      </w:r>
      <w:r w:rsidRPr="00F90EAE">
        <w:rPr>
          <w:color w:val="000000" w:themeColor="text1"/>
          <w:sz w:val="16"/>
          <w:szCs w:val="16"/>
        </w:rPr>
        <w:softHyphen/>
        <w:t>гнетатель (ПЦН) мотора поступал из-за компрессора ВРДК. Радиатор системы охлаждения двигателя размещался в воздушном канале, между компрессо</w:t>
      </w:r>
      <w:r w:rsidRPr="00F90EAE">
        <w:rPr>
          <w:color w:val="000000" w:themeColor="text1"/>
          <w:sz w:val="16"/>
          <w:szCs w:val="16"/>
        </w:rPr>
        <w:softHyphen/>
        <w:t>ром и камерой сгорания. Регулиров</w:t>
      </w:r>
      <w:r w:rsidRPr="00F90EAE">
        <w:rPr>
          <w:color w:val="000000" w:themeColor="text1"/>
          <w:sz w:val="16"/>
          <w:szCs w:val="16"/>
        </w:rPr>
        <w:softHyphen/>
        <w:t>ка охлаждения двигателя осуществля</w:t>
      </w:r>
      <w:r w:rsidRPr="00F90EAE">
        <w:rPr>
          <w:color w:val="000000" w:themeColor="text1"/>
          <w:sz w:val="16"/>
          <w:szCs w:val="16"/>
        </w:rPr>
        <w:softHyphen/>
        <w:t>лась с помощью шунта. Маспорадиа-тор располагался в тоннеле левой кон</w:t>
      </w:r>
      <w:r w:rsidRPr="00F90EAE">
        <w:rPr>
          <w:color w:val="000000" w:themeColor="text1"/>
          <w:sz w:val="16"/>
          <w:szCs w:val="16"/>
        </w:rPr>
        <w:softHyphen/>
        <w:t>соли, воздух для охлаждения подводил</w:t>
      </w:r>
      <w:r w:rsidRPr="00F90EAE">
        <w:rPr>
          <w:color w:val="000000" w:themeColor="text1"/>
          <w:sz w:val="16"/>
          <w:szCs w:val="16"/>
        </w:rPr>
        <w:softHyphen/>
        <w:t>ся через заборник в носке крыла, с выходом на его нижней поверхности. Маслобак крепился на противопожар</w:t>
      </w:r>
      <w:r w:rsidRPr="00F90EAE">
        <w:rPr>
          <w:color w:val="000000" w:themeColor="text1"/>
          <w:sz w:val="16"/>
          <w:szCs w:val="16"/>
        </w:rPr>
        <w:softHyphen/>
        <w:t>ной перегородке. ВРДК состоял из осевого компрес</w:t>
      </w:r>
      <w:r w:rsidRPr="00F90EAE">
        <w:rPr>
          <w:color w:val="000000" w:themeColor="text1"/>
          <w:sz w:val="16"/>
          <w:szCs w:val="16"/>
        </w:rPr>
        <w:softHyphen/>
        <w:t>сора Э-3020, длинного вала привода компрессора, камеры сгорания с сис</w:t>
      </w:r>
      <w:r w:rsidRPr="00F90EAE">
        <w:rPr>
          <w:color w:val="000000" w:themeColor="text1"/>
          <w:sz w:val="16"/>
          <w:szCs w:val="16"/>
        </w:rPr>
        <w:softHyphen/>
        <w:t>темой форкамер и форсунок. Воздух для ВРДК поступал из носового возду</w:t>
      </w:r>
      <w:r w:rsidRPr="00F90EAE">
        <w:rPr>
          <w:color w:val="000000" w:themeColor="text1"/>
          <w:sz w:val="16"/>
          <w:szCs w:val="16"/>
        </w:rPr>
        <w:softHyphen/>
        <w:t>хозаборника, расположенного под ко</w:t>
      </w:r>
      <w:r w:rsidRPr="00F90EAE">
        <w:rPr>
          <w:color w:val="000000" w:themeColor="text1"/>
          <w:sz w:val="16"/>
          <w:szCs w:val="16"/>
        </w:rPr>
        <w:softHyphen/>
        <w:t>ком воздушного винта. Воздушный ка</w:t>
      </w:r>
      <w:r w:rsidRPr="00F90EAE">
        <w:rPr>
          <w:color w:val="000000" w:themeColor="text1"/>
          <w:sz w:val="16"/>
          <w:szCs w:val="16"/>
        </w:rPr>
        <w:softHyphen/>
        <w:t>нал пролегал под ВК-107А и через вырез в лонжероне крыла подходил к осевому компрессору, и далее следо</w:t>
      </w:r>
      <w:r w:rsidRPr="00F90EAE">
        <w:rPr>
          <w:color w:val="000000" w:themeColor="text1"/>
          <w:sz w:val="16"/>
          <w:szCs w:val="16"/>
        </w:rPr>
        <w:softHyphen/>
        <w:t>вал к передней части камеры сгора</w:t>
      </w:r>
      <w:r w:rsidRPr="00F90EAE">
        <w:rPr>
          <w:color w:val="000000" w:themeColor="text1"/>
          <w:sz w:val="16"/>
          <w:szCs w:val="16"/>
        </w:rPr>
        <w:softHyphen/>
        <w:t>ния с установленными в ней форка-мерами и форсунками. Задняя часть камеры сгорания была оборудована створками для регулирования проход</w:t>
      </w:r>
      <w:r w:rsidRPr="00F90EAE">
        <w:rPr>
          <w:color w:val="000000" w:themeColor="text1"/>
          <w:sz w:val="16"/>
          <w:szCs w:val="16"/>
        </w:rPr>
        <w:softHyphen/>
        <w:t>ного сечения реактивного сопла. Ка</w:t>
      </w:r>
      <w:r w:rsidRPr="00F90EAE">
        <w:rPr>
          <w:color w:val="000000" w:themeColor="text1"/>
          <w:sz w:val="16"/>
          <w:szCs w:val="16"/>
        </w:rPr>
        <w:softHyphen/>
        <w:t>мера сгорания охлаждалась воздухом, забираемым за компрессором и по</w:t>
      </w:r>
      <w:r w:rsidRPr="00F90EAE">
        <w:rPr>
          <w:color w:val="000000" w:themeColor="text1"/>
          <w:sz w:val="16"/>
          <w:szCs w:val="16"/>
        </w:rPr>
        <w:softHyphen/>
        <w:t>ступавшим в промежуток между коль</w:t>
      </w:r>
      <w:r w:rsidRPr="00F90EAE">
        <w:rPr>
          <w:color w:val="000000" w:themeColor="text1"/>
          <w:sz w:val="16"/>
          <w:szCs w:val="16"/>
        </w:rPr>
        <w:softHyphen/>
        <w:t>цевым экраном и наружной стенкой камеры сгорания. Питание ВРДК осу</w:t>
      </w:r>
      <w:r w:rsidRPr="00F90EAE">
        <w:rPr>
          <w:color w:val="000000" w:themeColor="text1"/>
          <w:sz w:val="16"/>
          <w:szCs w:val="16"/>
        </w:rPr>
        <w:softHyphen/>
        <w:t>ществлялось из фюзеляжного и пра</w:t>
      </w:r>
      <w:r w:rsidRPr="00F90EAE">
        <w:rPr>
          <w:color w:val="000000" w:themeColor="text1"/>
          <w:sz w:val="16"/>
          <w:szCs w:val="16"/>
        </w:rPr>
        <w:softHyphen/>
        <w:t>вого крыльевого баков. На самолете предусматривалась установка пушки Н-23 с боезапасом в 100 патронов и двух синхронных пу</w:t>
      </w:r>
      <w:r w:rsidRPr="00F90EAE">
        <w:rPr>
          <w:color w:val="000000" w:themeColor="text1"/>
          <w:sz w:val="16"/>
          <w:szCs w:val="16"/>
        </w:rPr>
        <w:softHyphen/>
        <w:t>леметов УБС-12,7 с суммарным запа</w:t>
      </w:r>
      <w:r w:rsidRPr="00F90EAE">
        <w:rPr>
          <w:color w:val="000000" w:themeColor="text1"/>
          <w:sz w:val="16"/>
          <w:szCs w:val="16"/>
        </w:rPr>
        <w:softHyphen/>
        <w:t>сом в 400 патронов. Бронирование включало бронеспин-ку толщиной 10 мм, козырек и заго</w:t>
      </w:r>
      <w:r w:rsidRPr="00F90EAE">
        <w:rPr>
          <w:color w:val="000000" w:themeColor="text1"/>
          <w:sz w:val="16"/>
          <w:szCs w:val="16"/>
        </w:rPr>
        <w:softHyphen/>
        <w:t>ловник из прозрачной брони толщи</w:t>
      </w:r>
      <w:r w:rsidRPr="00F90EAE">
        <w:rPr>
          <w:color w:val="000000" w:themeColor="text1"/>
          <w:sz w:val="16"/>
          <w:szCs w:val="16"/>
        </w:rPr>
        <w:softHyphen/>
        <w:t>ной 65 мм. Предусматривалась воз</w:t>
      </w:r>
      <w:r w:rsidRPr="00F90EAE">
        <w:rPr>
          <w:color w:val="000000" w:themeColor="text1"/>
          <w:sz w:val="16"/>
          <w:szCs w:val="16"/>
        </w:rPr>
        <w:softHyphen/>
        <w:t>можность установки дополнительной брони для защиты левой руки, головы пилота и двигателя. (10669).</w:t>
      </w:r>
    </w:p>
    <w:p w14:paraId="6190B6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B65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л А.Д.Алексеев и И.Г.Трифонов и ш И.И.Колесниченко и радист Ю.А.Передня совершили беспосадочный перелет Иркутск - Москва без пассажиров, но с грузом 500 кг на ЕР-2ОН. ЦА Москвы не принимал и машина 45 минут кружилась. Всего пробыл в воздухе 15:15 и за 14:30 прошли 4540 км со средней скоростью 312 км/час при встречном ветре до 40 км/час. Осталось 500 кг горючего. Потом пытались заказать антиобледенители фирме Гудьир, но получили отказ (2865,11).</w:t>
      </w:r>
    </w:p>
    <w:p w14:paraId="789ADC32" w14:textId="77777777" w:rsidR="00665165" w:rsidRPr="00F90EAE" w:rsidRDefault="00665165" w:rsidP="00F90EAE">
      <w:pPr>
        <w:autoSpaceDE w:val="0"/>
        <w:autoSpaceDN w:val="0"/>
        <w:adjustRightInd w:val="0"/>
        <w:jc w:val="both"/>
        <w:rPr>
          <w:color w:val="000000" w:themeColor="text1"/>
          <w:sz w:val="16"/>
          <w:szCs w:val="16"/>
        </w:rPr>
      </w:pPr>
    </w:p>
    <w:p w14:paraId="67FE6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г. экипаж в составе летчиков А.Д. Алексеева и И.Г. Трифонова, штурмана И.И. Колесниченко, бортмеханика Л.А. Забалуева и бортрадиста Ю.А. Передни выполнил на Ер-2ОН беспосадочный перелет по маршруту Иркутск - Москва. Вместо пассажиров на его борту находился 500-кг груз. При подлете к Москве пришло сообщение, что Центральный аэродром закрыт из-за снегопада. Пришлось кружить в воздухе 45 минут, дожидаясь улучшения погоды. Всего самолет пробыл в воздухе 15 ч 15 мин. За 14,5ч самолет прошел расстояние 4540 км со средней скоростью 312 км/ч при встречном ветре 40 км/ч, при этом осталось 500 кг горючего. Во время полета материальная часть Ер-20Н работала безотказно (11994).</w:t>
      </w:r>
    </w:p>
    <w:p w14:paraId="260FAC3A" w14:textId="77777777" w:rsidR="00665165" w:rsidRPr="00F90EAE" w:rsidRDefault="00665165" w:rsidP="00F90EAE">
      <w:pPr>
        <w:autoSpaceDE w:val="0"/>
        <w:autoSpaceDN w:val="0"/>
        <w:adjustRightInd w:val="0"/>
        <w:jc w:val="both"/>
        <w:rPr>
          <w:color w:val="000000" w:themeColor="text1"/>
          <w:sz w:val="16"/>
          <w:szCs w:val="16"/>
        </w:rPr>
      </w:pPr>
    </w:p>
    <w:p w14:paraId="424EE484" w14:textId="77777777" w:rsidR="001438DF" w:rsidRPr="00F90EAE" w:rsidRDefault="001438DF" w:rsidP="00F90EAE">
      <w:pPr>
        <w:shd w:val="clear" w:color="auto" w:fill="FFFFFF"/>
        <w:jc w:val="both"/>
        <w:rPr>
          <w:color w:val="000000" w:themeColor="text1"/>
          <w:sz w:val="16"/>
          <w:szCs w:val="16"/>
        </w:rPr>
      </w:pPr>
      <w:r w:rsidRPr="00F90EAE">
        <w:rPr>
          <w:color w:val="000000" w:themeColor="text1"/>
          <w:sz w:val="16"/>
          <w:szCs w:val="16"/>
        </w:rPr>
        <w:t>17-го апреля 1945 экипаж, возглавляемый Героем Советского Союза А.Д Алексеевым, вылетел на Ер-2ОН из Иркутска и за 14,5 часов прошел расстояние 4540 км со средней скоростью 312 км/ч при встречном ветре. Во время полета двигатели и все системы самолета работали безотказно. Приказом Наркома авиапромышленности А.И. Шахурина и заместителя командующего ВВС Красной Армии от 29 апреля 1945 года была объявлены благодарности личному составу 18-й Воздушной Армии, руководителям и работникам завода № 39 НКАП, а также экипажу А.Д. Алексеева за успешное проведение заводских испытаний и организацию отлично выполненного дальнего беспосадочного перелета самолета Ер-2ОН. Соответствующим приказом директора завода В.И. Абрамова была поощрена большая группа летчиков-испытателей, штурманов, бортмехаников, бортрадистов, мотористов, инженеров (15223).</w:t>
      </w:r>
    </w:p>
    <w:p w14:paraId="67A185AD" w14:textId="77777777" w:rsidR="001438DF" w:rsidRPr="00F90EAE" w:rsidRDefault="001438DF" w:rsidP="00F90EAE">
      <w:pPr>
        <w:shd w:val="clear" w:color="auto" w:fill="FFFFFF"/>
        <w:jc w:val="both"/>
        <w:rPr>
          <w:color w:val="000000" w:themeColor="text1"/>
          <w:sz w:val="16"/>
          <w:szCs w:val="16"/>
        </w:rPr>
      </w:pPr>
    </w:p>
    <w:p w14:paraId="3A922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г. Совнаркомом были установлены итоговые отпускные цены на типы и моде</w:t>
      </w:r>
      <w:r w:rsidRPr="00F90EAE">
        <w:rPr>
          <w:color w:val="000000" w:themeColor="text1"/>
          <w:sz w:val="16"/>
          <w:szCs w:val="16"/>
        </w:rPr>
        <w:softHyphen/>
        <w:t>ли, по которым НКАП и ВВС не пришли к соглашению.</w:t>
      </w:r>
    </w:p>
    <w:p w14:paraId="135599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Отпускные цены на типы и модели, вызвавшие разногласия между НКАП и ВВС и урегулированные постановлением СНК (тыс. руб.) (РГАЭ. Ф. 8044. </w:t>
      </w:r>
      <w:r w:rsidRPr="00F90EAE">
        <w:rPr>
          <w:color w:val="000000" w:themeColor="text1"/>
          <w:sz w:val="16"/>
          <w:szCs w:val="16"/>
          <w:lang w:val="en-US"/>
        </w:rPr>
        <w:t xml:space="preserve">On. </w:t>
      </w:r>
      <w:r w:rsidRPr="00F90EAE">
        <w:rPr>
          <w:color w:val="000000" w:themeColor="text1"/>
          <w:sz w:val="16"/>
          <w:szCs w:val="16"/>
        </w:rPr>
        <w:t>1. Д. 2973. Л. 22,29—30)</w:t>
      </w:r>
    </w:p>
    <w:tbl>
      <w:tblPr>
        <w:tblW w:w="0" w:type="auto"/>
        <w:tblInd w:w="8" w:type="dxa"/>
        <w:tblLayout w:type="fixed"/>
        <w:tblCellMar>
          <w:left w:w="0" w:type="dxa"/>
          <w:right w:w="0" w:type="dxa"/>
        </w:tblCellMar>
        <w:tblLook w:val="0000" w:firstRow="0" w:lastRow="0" w:firstColumn="0" w:lastColumn="0" w:noHBand="0" w:noVBand="0"/>
      </w:tblPr>
      <w:tblGrid>
        <w:gridCol w:w="696"/>
        <w:gridCol w:w="1838"/>
        <w:gridCol w:w="1027"/>
        <w:gridCol w:w="1099"/>
        <w:gridCol w:w="1262"/>
      </w:tblGrid>
      <w:tr w:rsidR="00561F31" w:rsidRPr="00F90EAE" w14:paraId="0B7D4E1B" w14:textId="77777777">
        <w:trPr>
          <w:trHeight w:val="427"/>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5DE8B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завода</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59C80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Модель</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0007E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Предложили </w:t>
            </w:r>
            <w:r w:rsidRPr="00F90EAE">
              <w:rPr>
                <w:smallCaps/>
                <w:color w:val="000000" w:themeColor="text1"/>
                <w:sz w:val="16"/>
                <w:szCs w:val="16"/>
              </w:rPr>
              <w:t>ввс</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DF299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Предложена </w:t>
            </w:r>
            <w:r w:rsidRPr="00F90EAE">
              <w:rPr>
                <w:smallCaps/>
                <w:color w:val="000000" w:themeColor="text1"/>
                <w:sz w:val="16"/>
                <w:szCs w:val="16"/>
              </w:rPr>
              <w:t>нкап</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F03AF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СНК</w:t>
            </w:r>
          </w:p>
        </w:tc>
      </w:tr>
      <w:tr w:rsidR="00561F31" w:rsidRPr="00F90EAE" w14:paraId="2FE4D0DD"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12A1F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8065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5756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45649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D5278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r>
      <w:tr w:rsidR="00561F31" w:rsidRPr="00F90EAE" w14:paraId="4146F50D"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82D81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4C95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3A32D3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4AF5B1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EB999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r>
      <w:tr w:rsidR="00561F31" w:rsidRPr="00F90EAE" w14:paraId="2702C96C"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5A33C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0F2B6C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Яс-9 (ВК-107А)</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0FFF96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B46E9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4A7935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w:t>
            </w:r>
          </w:p>
        </w:tc>
      </w:tr>
      <w:tr w:rsidR="00561F31" w:rsidRPr="00F90EAE" w14:paraId="450CAAB7"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30F60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A0286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(ВК-105ПФ)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7DEF9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6BECF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7BD8B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r>
      <w:tr w:rsidR="00561F31" w:rsidRPr="00F90EAE" w14:paraId="7A355568" w14:textId="77777777">
        <w:trPr>
          <w:trHeight w:val="221"/>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11FE0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59080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 (АШ-82ФН)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2467C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3BEA6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29B5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r>
      <w:tr w:rsidR="00561F31" w:rsidRPr="00F90EAE" w14:paraId="16F74F70" w14:textId="77777777">
        <w:trPr>
          <w:trHeight w:val="22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6B1A70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067BD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 (2АШ-82ФН)</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56ECF9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5C320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065F74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115E790A" w14:textId="77777777">
        <w:trPr>
          <w:trHeight w:val="216"/>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28AF4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6EA2A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По-2(М-11Д|</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40794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89DE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2BE52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Нл</w:t>
            </w:r>
          </w:p>
        </w:tc>
      </w:tr>
      <w:tr w:rsidR="00561F31" w:rsidRPr="00F90EAE" w14:paraId="15405CAF" w14:textId="77777777">
        <w:trPr>
          <w:trHeight w:val="245"/>
        </w:trPr>
        <w:tc>
          <w:tcPr>
            <w:tcW w:w="696" w:type="dxa"/>
            <w:tcBorders>
              <w:top w:val="single" w:sz="6" w:space="0" w:color="auto"/>
              <w:left w:val="single" w:sz="6" w:space="0" w:color="auto"/>
              <w:bottom w:val="single" w:sz="6" w:space="0" w:color="auto"/>
              <w:right w:val="single" w:sz="6" w:space="0" w:color="auto"/>
            </w:tcBorders>
            <w:shd w:val="clear" w:color="auto" w:fill="FFFFFF"/>
          </w:tcPr>
          <w:p w14:paraId="70562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56FDE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 (АМ-38Ф)</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14:paraId="1FC27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099" w:type="dxa"/>
            <w:tcBorders>
              <w:top w:val="single" w:sz="6" w:space="0" w:color="auto"/>
              <w:left w:val="single" w:sz="6" w:space="0" w:color="auto"/>
              <w:bottom w:val="single" w:sz="6" w:space="0" w:color="auto"/>
              <w:right w:val="single" w:sz="6" w:space="0" w:color="auto"/>
            </w:tcBorders>
            <w:shd w:val="clear" w:color="auto" w:fill="FFFFFF"/>
          </w:tcPr>
          <w:p w14:paraId="036468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14:paraId="3E09B3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w:t>
            </w:r>
          </w:p>
        </w:tc>
      </w:tr>
    </w:tbl>
    <w:p w14:paraId="613059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Как видим, Совнарком принял равноудалённую позицию, в ряде случаев прислушиваясь к аргументам военных, а ино</w:t>
      </w:r>
      <w:r w:rsidRPr="00F90EAE">
        <w:rPr>
          <w:color w:val="000000" w:themeColor="text1"/>
          <w:sz w:val="16"/>
          <w:szCs w:val="16"/>
        </w:rPr>
        <w:softHyphen/>
        <w:t>гда — принимая сторону авиастроителей.</w:t>
      </w:r>
    </w:p>
    <w:p w14:paraId="16F797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целом, динамика рентабельности авиапромышленности в годы Великой Отечественной войны имела следующий вид (%):</w:t>
      </w:r>
    </w:p>
    <w:tbl>
      <w:tblPr>
        <w:tblW w:w="0" w:type="auto"/>
        <w:tblInd w:w="8" w:type="dxa"/>
        <w:tblLayout w:type="fixed"/>
        <w:tblCellMar>
          <w:left w:w="0" w:type="dxa"/>
          <w:right w:w="0" w:type="dxa"/>
        </w:tblCellMar>
        <w:tblLook w:val="0000" w:firstRow="0" w:lastRow="0" w:firstColumn="0" w:lastColumn="0" w:noHBand="0" w:noVBand="0"/>
      </w:tblPr>
      <w:tblGrid>
        <w:gridCol w:w="994"/>
        <w:gridCol w:w="984"/>
        <w:gridCol w:w="984"/>
        <w:gridCol w:w="979"/>
        <w:gridCol w:w="979"/>
        <w:gridCol w:w="994"/>
      </w:tblGrid>
      <w:tr w:rsidR="00561F31" w:rsidRPr="00F90EAE" w14:paraId="0575832E" w14:textId="77777777">
        <w:trPr>
          <w:trHeight w:val="245"/>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338907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2AFBE3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C4B55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12514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56A04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5E9E99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w:t>
            </w:r>
          </w:p>
        </w:tc>
      </w:tr>
      <w:tr w:rsidR="00561F31" w:rsidRPr="00F90EAE" w14:paraId="3D877FB0" w14:textId="77777777">
        <w:trPr>
          <w:trHeight w:val="240"/>
        </w:trPr>
        <w:tc>
          <w:tcPr>
            <w:tcW w:w="994" w:type="dxa"/>
            <w:tcBorders>
              <w:top w:val="single" w:sz="6" w:space="0" w:color="auto"/>
              <w:left w:val="single" w:sz="6" w:space="0" w:color="auto"/>
              <w:bottom w:val="single" w:sz="6" w:space="0" w:color="auto"/>
              <w:right w:val="single" w:sz="6" w:space="0" w:color="auto"/>
            </w:tcBorders>
            <w:shd w:val="clear" w:color="auto" w:fill="FFFFFF"/>
          </w:tcPr>
          <w:p w14:paraId="08361D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+7,32</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1F1F5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+13,53</w:t>
            </w:r>
          </w:p>
        </w:tc>
        <w:tc>
          <w:tcPr>
            <w:tcW w:w="984" w:type="dxa"/>
            <w:tcBorders>
              <w:top w:val="single" w:sz="6" w:space="0" w:color="auto"/>
              <w:left w:val="single" w:sz="6" w:space="0" w:color="auto"/>
              <w:bottom w:val="single" w:sz="6" w:space="0" w:color="auto"/>
              <w:right w:val="single" w:sz="6" w:space="0" w:color="auto"/>
            </w:tcBorders>
            <w:shd w:val="clear" w:color="auto" w:fill="FFFFFF"/>
          </w:tcPr>
          <w:p w14:paraId="0FEFA9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-0,98</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7834A8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979" w:type="dxa"/>
            <w:tcBorders>
              <w:top w:val="single" w:sz="6" w:space="0" w:color="auto"/>
              <w:left w:val="single" w:sz="6" w:space="0" w:color="auto"/>
              <w:bottom w:val="single" w:sz="6" w:space="0" w:color="auto"/>
              <w:right w:val="single" w:sz="6" w:space="0" w:color="auto"/>
            </w:tcBorders>
            <w:shd w:val="clear" w:color="auto" w:fill="FFFFFF"/>
          </w:tcPr>
          <w:p w14:paraId="17291F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+5,52</w:t>
            </w:r>
          </w:p>
        </w:tc>
        <w:tc>
          <w:tcPr>
            <w:tcW w:w="994" w:type="dxa"/>
            <w:tcBorders>
              <w:top w:val="single" w:sz="6" w:space="0" w:color="auto"/>
              <w:left w:val="single" w:sz="6" w:space="0" w:color="auto"/>
              <w:bottom w:val="single" w:sz="6" w:space="0" w:color="auto"/>
              <w:right w:val="single" w:sz="6" w:space="0" w:color="auto"/>
            </w:tcBorders>
            <w:shd w:val="clear" w:color="auto" w:fill="FFFFFF"/>
          </w:tcPr>
          <w:p w14:paraId="1FB9FF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+5Д</w:t>
            </w:r>
          </w:p>
        </w:tc>
      </w:tr>
    </w:tbl>
    <w:p w14:paraId="123A4D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 есть, за исключением 1942 г., авиаиндустрия СССР оставалась рентабельной и в финансовом плане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в годы войны не следует упускать из вида (12011).</w:t>
      </w:r>
    </w:p>
    <w:p w14:paraId="61AA6B1F" w14:textId="77777777" w:rsidR="00665165" w:rsidRPr="00F90EAE" w:rsidRDefault="00665165" w:rsidP="00F90EAE">
      <w:pPr>
        <w:autoSpaceDE w:val="0"/>
        <w:autoSpaceDN w:val="0"/>
        <w:adjustRightInd w:val="0"/>
        <w:jc w:val="both"/>
        <w:rPr>
          <w:color w:val="000000" w:themeColor="text1"/>
          <w:sz w:val="16"/>
          <w:szCs w:val="16"/>
        </w:rPr>
      </w:pPr>
    </w:p>
    <w:p w14:paraId="39BECFE2" w14:textId="77777777" w:rsidR="00DE5890" w:rsidRPr="00F90EAE" w:rsidRDefault="00DE5890" w:rsidP="00F90EAE">
      <w:pPr>
        <w:jc w:val="both"/>
        <w:rPr>
          <w:color w:val="0070C0"/>
          <w:sz w:val="16"/>
          <w:szCs w:val="16"/>
        </w:rPr>
      </w:pPr>
      <w:r w:rsidRPr="00F90EAE">
        <w:rPr>
          <w:color w:val="0070C0"/>
          <w:sz w:val="16"/>
          <w:szCs w:val="16"/>
          <w:lang w:bidi="ru-RU"/>
        </w:rPr>
        <w:t>17 апреля 1945 г. итоговые отпускные цены на самолеты и моторы на 2 кв. 1945 установил СНК СССР, заняв равноудалённую позицию, в одних случаях приняв аргументы военных, в дру</w:t>
      </w:r>
      <w:r w:rsidRPr="00F90EAE">
        <w:rPr>
          <w:color w:val="0070C0"/>
          <w:sz w:val="16"/>
          <w:szCs w:val="16"/>
          <w:lang w:bidi="ru-RU"/>
        </w:rPr>
        <w:softHyphen/>
        <w:t>гих - авиастроителей (см. табл.).</w:t>
      </w:r>
    </w:p>
    <w:p w14:paraId="6839EF22" w14:textId="77777777" w:rsidR="00DE5890" w:rsidRPr="00F90EAE" w:rsidRDefault="00DE5890" w:rsidP="00F90EAE">
      <w:pPr>
        <w:pStyle w:val="28"/>
        <w:spacing w:before="0" w:line="240" w:lineRule="auto"/>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Отпускные цены на типы и модели, вызвавшие разногласия НКАП - ВВС, урегулированные постановлением СНК СССР (тыс. руб.)</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88"/>
        <w:gridCol w:w="1704"/>
        <w:gridCol w:w="1627"/>
        <w:gridCol w:w="1637"/>
        <w:gridCol w:w="1608"/>
      </w:tblGrid>
      <w:tr w:rsidR="00DE5890" w:rsidRPr="00F90EAE" w14:paraId="701DD26D" w14:textId="77777777" w:rsidTr="00076D96">
        <w:trPr>
          <w:trHeight w:val="283"/>
        </w:trPr>
        <w:tc>
          <w:tcPr>
            <w:tcW w:w="888" w:type="dxa"/>
            <w:shd w:val="clear" w:color="auto" w:fill="auto"/>
          </w:tcPr>
          <w:p w14:paraId="1197E9FC"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 завода</w:t>
            </w:r>
          </w:p>
        </w:tc>
        <w:tc>
          <w:tcPr>
            <w:tcW w:w="1704" w:type="dxa"/>
            <w:shd w:val="clear" w:color="auto" w:fill="auto"/>
          </w:tcPr>
          <w:p w14:paraId="0BF81AF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Модель</w:t>
            </w:r>
          </w:p>
        </w:tc>
        <w:tc>
          <w:tcPr>
            <w:tcW w:w="1627" w:type="dxa"/>
            <w:shd w:val="clear" w:color="auto" w:fill="auto"/>
          </w:tcPr>
          <w:p w14:paraId="482FA5A9"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Предложения ВВС</w:t>
            </w:r>
          </w:p>
        </w:tc>
        <w:tc>
          <w:tcPr>
            <w:tcW w:w="1637" w:type="dxa"/>
            <w:shd w:val="clear" w:color="auto" w:fill="auto"/>
          </w:tcPr>
          <w:p w14:paraId="66F3311D"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Предложения НКАП</w:t>
            </w:r>
          </w:p>
        </w:tc>
        <w:tc>
          <w:tcPr>
            <w:tcW w:w="1608" w:type="dxa"/>
            <w:shd w:val="clear" w:color="auto" w:fill="auto"/>
          </w:tcPr>
          <w:p w14:paraId="1AB014E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Постановление СНК</w:t>
            </w:r>
          </w:p>
        </w:tc>
      </w:tr>
      <w:tr w:rsidR="00DE5890" w:rsidRPr="00F90EAE" w14:paraId="10C19D37" w14:textId="77777777" w:rsidTr="00076D96">
        <w:trPr>
          <w:trHeight w:val="278"/>
        </w:trPr>
        <w:tc>
          <w:tcPr>
            <w:tcW w:w="888" w:type="dxa"/>
            <w:shd w:val="clear" w:color="auto" w:fill="auto"/>
            <w:vAlign w:val="bottom"/>
          </w:tcPr>
          <w:p w14:paraId="431EA5DF"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21</w:t>
            </w:r>
          </w:p>
        </w:tc>
        <w:tc>
          <w:tcPr>
            <w:tcW w:w="1704" w:type="dxa"/>
            <w:shd w:val="clear" w:color="auto" w:fill="auto"/>
            <w:vAlign w:val="bottom"/>
          </w:tcPr>
          <w:p w14:paraId="09CE22AC"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Ла-7</w:t>
            </w:r>
          </w:p>
        </w:tc>
        <w:tc>
          <w:tcPr>
            <w:tcW w:w="1627" w:type="dxa"/>
            <w:shd w:val="clear" w:color="auto" w:fill="auto"/>
            <w:vAlign w:val="bottom"/>
          </w:tcPr>
          <w:p w14:paraId="4414DEF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118</w:t>
            </w:r>
          </w:p>
        </w:tc>
        <w:tc>
          <w:tcPr>
            <w:tcW w:w="1637" w:type="dxa"/>
            <w:shd w:val="clear" w:color="auto" w:fill="auto"/>
            <w:vAlign w:val="bottom"/>
          </w:tcPr>
          <w:p w14:paraId="6FBAE307"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125</w:t>
            </w:r>
          </w:p>
        </w:tc>
        <w:tc>
          <w:tcPr>
            <w:tcW w:w="1608" w:type="dxa"/>
            <w:shd w:val="clear" w:color="auto" w:fill="auto"/>
            <w:vAlign w:val="bottom"/>
          </w:tcPr>
          <w:p w14:paraId="6FA464F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120</w:t>
            </w:r>
          </w:p>
        </w:tc>
      </w:tr>
      <w:tr w:rsidR="00DE5890" w:rsidRPr="00F90EAE" w14:paraId="4F4E6FFE" w14:textId="77777777" w:rsidTr="00076D96">
        <w:trPr>
          <w:trHeight w:val="379"/>
        </w:trPr>
        <w:tc>
          <w:tcPr>
            <w:tcW w:w="888" w:type="dxa"/>
            <w:shd w:val="clear" w:color="auto" w:fill="auto"/>
            <w:vAlign w:val="bottom"/>
          </w:tcPr>
          <w:p w14:paraId="6EB8FFD9"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82</w:t>
            </w:r>
          </w:p>
        </w:tc>
        <w:tc>
          <w:tcPr>
            <w:tcW w:w="1704" w:type="dxa"/>
            <w:shd w:val="clear" w:color="auto" w:fill="auto"/>
          </w:tcPr>
          <w:p w14:paraId="4A3C22DD"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(АШ-82ФН)</w:t>
            </w:r>
          </w:p>
          <w:p w14:paraId="00125C05"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Як-9</w:t>
            </w:r>
          </w:p>
        </w:tc>
        <w:tc>
          <w:tcPr>
            <w:tcW w:w="1627" w:type="dxa"/>
            <w:shd w:val="clear" w:color="auto" w:fill="auto"/>
            <w:vAlign w:val="bottom"/>
          </w:tcPr>
          <w:p w14:paraId="5B60D639"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171</w:t>
            </w:r>
          </w:p>
        </w:tc>
        <w:tc>
          <w:tcPr>
            <w:tcW w:w="1637" w:type="dxa"/>
            <w:shd w:val="clear" w:color="auto" w:fill="auto"/>
            <w:vAlign w:val="bottom"/>
          </w:tcPr>
          <w:p w14:paraId="2D07419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200</w:t>
            </w:r>
          </w:p>
        </w:tc>
        <w:tc>
          <w:tcPr>
            <w:tcW w:w="1608" w:type="dxa"/>
            <w:shd w:val="clear" w:color="auto" w:fill="auto"/>
            <w:vAlign w:val="bottom"/>
          </w:tcPr>
          <w:p w14:paraId="0A6B3EA1"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185</w:t>
            </w:r>
          </w:p>
        </w:tc>
      </w:tr>
      <w:tr w:rsidR="00DE5890" w:rsidRPr="00F90EAE" w14:paraId="47A15F0F" w14:textId="77777777" w:rsidTr="00076D96">
        <w:trPr>
          <w:trHeight w:val="379"/>
        </w:trPr>
        <w:tc>
          <w:tcPr>
            <w:tcW w:w="888" w:type="dxa"/>
            <w:shd w:val="clear" w:color="auto" w:fill="auto"/>
            <w:vAlign w:val="bottom"/>
          </w:tcPr>
          <w:p w14:paraId="0F2B446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166</w:t>
            </w:r>
          </w:p>
        </w:tc>
        <w:tc>
          <w:tcPr>
            <w:tcW w:w="1704" w:type="dxa"/>
            <w:shd w:val="clear" w:color="auto" w:fill="auto"/>
          </w:tcPr>
          <w:p w14:paraId="09EB26A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en-US" w:bidi="en-US"/>
              </w:rPr>
              <w:t>(BK-107A)</w:t>
            </w:r>
          </w:p>
          <w:p w14:paraId="1D37110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Як-9</w:t>
            </w:r>
          </w:p>
        </w:tc>
        <w:tc>
          <w:tcPr>
            <w:tcW w:w="1627" w:type="dxa"/>
            <w:shd w:val="clear" w:color="auto" w:fill="auto"/>
            <w:vAlign w:val="bottom"/>
          </w:tcPr>
          <w:p w14:paraId="649578D5"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138</w:t>
            </w:r>
          </w:p>
        </w:tc>
        <w:tc>
          <w:tcPr>
            <w:tcW w:w="1637" w:type="dxa"/>
            <w:shd w:val="clear" w:color="auto" w:fill="auto"/>
            <w:vAlign w:val="bottom"/>
          </w:tcPr>
          <w:p w14:paraId="5549792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142</w:t>
            </w:r>
          </w:p>
        </w:tc>
        <w:tc>
          <w:tcPr>
            <w:tcW w:w="1608" w:type="dxa"/>
            <w:shd w:val="clear" w:color="auto" w:fill="auto"/>
            <w:vAlign w:val="bottom"/>
          </w:tcPr>
          <w:p w14:paraId="7EBA2EC6"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138</w:t>
            </w:r>
          </w:p>
        </w:tc>
      </w:tr>
      <w:tr w:rsidR="00DE5890" w:rsidRPr="00F90EAE" w14:paraId="7E68D6EE" w14:textId="77777777" w:rsidTr="00076D96">
        <w:trPr>
          <w:trHeight w:val="379"/>
        </w:trPr>
        <w:tc>
          <w:tcPr>
            <w:tcW w:w="888" w:type="dxa"/>
            <w:shd w:val="clear" w:color="auto" w:fill="auto"/>
            <w:vAlign w:val="bottom"/>
          </w:tcPr>
          <w:p w14:paraId="14C8A97B"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292</w:t>
            </w:r>
          </w:p>
        </w:tc>
        <w:tc>
          <w:tcPr>
            <w:tcW w:w="1704" w:type="dxa"/>
            <w:shd w:val="clear" w:color="auto" w:fill="auto"/>
            <w:vAlign w:val="bottom"/>
          </w:tcPr>
          <w:p w14:paraId="711A7DC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val="en-US" w:bidi="en-US"/>
              </w:rPr>
              <w:t>(BK-J07A)</w:t>
            </w:r>
          </w:p>
          <w:p w14:paraId="2058B1BC"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Як-3</w:t>
            </w:r>
          </w:p>
        </w:tc>
        <w:tc>
          <w:tcPr>
            <w:tcW w:w="1627" w:type="dxa"/>
            <w:shd w:val="clear" w:color="auto" w:fill="auto"/>
            <w:vAlign w:val="bottom"/>
          </w:tcPr>
          <w:p w14:paraId="05A73CD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122</w:t>
            </w:r>
          </w:p>
        </w:tc>
        <w:tc>
          <w:tcPr>
            <w:tcW w:w="1637" w:type="dxa"/>
            <w:shd w:val="clear" w:color="auto" w:fill="auto"/>
            <w:vAlign w:val="bottom"/>
          </w:tcPr>
          <w:p w14:paraId="7BD49DEC"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130</w:t>
            </w:r>
          </w:p>
        </w:tc>
        <w:tc>
          <w:tcPr>
            <w:tcW w:w="1608" w:type="dxa"/>
            <w:shd w:val="clear" w:color="auto" w:fill="auto"/>
            <w:vAlign w:val="bottom"/>
          </w:tcPr>
          <w:p w14:paraId="26BB66F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127</w:t>
            </w:r>
          </w:p>
        </w:tc>
      </w:tr>
      <w:tr w:rsidR="00DE5890" w:rsidRPr="00F90EAE" w14:paraId="0C539DFE" w14:textId="77777777" w:rsidTr="00076D96">
        <w:trPr>
          <w:trHeight w:val="379"/>
        </w:trPr>
        <w:tc>
          <w:tcPr>
            <w:tcW w:w="888" w:type="dxa"/>
            <w:shd w:val="clear" w:color="auto" w:fill="auto"/>
            <w:vAlign w:val="bottom"/>
          </w:tcPr>
          <w:p w14:paraId="170A6F2F"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381</w:t>
            </w:r>
          </w:p>
        </w:tc>
        <w:tc>
          <w:tcPr>
            <w:tcW w:w="1704" w:type="dxa"/>
            <w:shd w:val="clear" w:color="auto" w:fill="auto"/>
            <w:vAlign w:val="bottom"/>
          </w:tcPr>
          <w:p w14:paraId="06582855"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(ВК-105ПФ)</w:t>
            </w:r>
          </w:p>
          <w:p w14:paraId="7F0FF893"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Ла-7</w:t>
            </w:r>
          </w:p>
        </w:tc>
        <w:tc>
          <w:tcPr>
            <w:tcW w:w="1627" w:type="dxa"/>
            <w:shd w:val="clear" w:color="auto" w:fill="auto"/>
            <w:vAlign w:val="bottom"/>
          </w:tcPr>
          <w:p w14:paraId="22C02C58"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180</w:t>
            </w:r>
          </w:p>
        </w:tc>
        <w:tc>
          <w:tcPr>
            <w:tcW w:w="1637" w:type="dxa"/>
            <w:shd w:val="clear" w:color="auto" w:fill="auto"/>
            <w:vAlign w:val="bottom"/>
          </w:tcPr>
          <w:p w14:paraId="4171F91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195</w:t>
            </w:r>
          </w:p>
        </w:tc>
        <w:tc>
          <w:tcPr>
            <w:tcW w:w="1608" w:type="dxa"/>
            <w:shd w:val="clear" w:color="auto" w:fill="auto"/>
            <w:vAlign w:val="bottom"/>
          </w:tcPr>
          <w:p w14:paraId="4C6CFDDB"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180</w:t>
            </w:r>
          </w:p>
        </w:tc>
      </w:tr>
      <w:tr w:rsidR="00DE5890" w:rsidRPr="00F90EAE" w14:paraId="3739CA41" w14:textId="77777777" w:rsidTr="00076D96">
        <w:trPr>
          <w:trHeight w:val="384"/>
        </w:trPr>
        <w:tc>
          <w:tcPr>
            <w:tcW w:w="888" w:type="dxa"/>
            <w:shd w:val="clear" w:color="auto" w:fill="auto"/>
            <w:vAlign w:val="bottom"/>
          </w:tcPr>
          <w:p w14:paraId="7EE0CE2B"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23</w:t>
            </w:r>
          </w:p>
        </w:tc>
        <w:tc>
          <w:tcPr>
            <w:tcW w:w="1704" w:type="dxa"/>
            <w:shd w:val="clear" w:color="auto" w:fill="auto"/>
            <w:vAlign w:val="bottom"/>
          </w:tcPr>
          <w:p w14:paraId="115250F8"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(АШ-82ФН) Ту-2</w:t>
            </w:r>
          </w:p>
        </w:tc>
        <w:tc>
          <w:tcPr>
            <w:tcW w:w="1627" w:type="dxa"/>
            <w:shd w:val="clear" w:color="auto" w:fill="auto"/>
            <w:vAlign w:val="bottom"/>
          </w:tcPr>
          <w:p w14:paraId="1DF8EBA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570</w:t>
            </w:r>
          </w:p>
        </w:tc>
        <w:tc>
          <w:tcPr>
            <w:tcW w:w="1637" w:type="dxa"/>
            <w:shd w:val="clear" w:color="auto" w:fill="auto"/>
            <w:vAlign w:val="bottom"/>
          </w:tcPr>
          <w:p w14:paraId="71740F1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590</w:t>
            </w:r>
          </w:p>
        </w:tc>
        <w:tc>
          <w:tcPr>
            <w:tcW w:w="1608" w:type="dxa"/>
            <w:shd w:val="clear" w:color="auto" w:fill="auto"/>
            <w:vAlign w:val="bottom"/>
          </w:tcPr>
          <w:p w14:paraId="0C731D5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570</w:t>
            </w:r>
          </w:p>
        </w:tc>
      </w:tr>
      <w:tr w:rsidR="00DE5890" w:rsidRPr="00F90EAE" w14:paraId="2DC6F47C" w14:textId="77777777" w:rsidTr="00076D96">
        <w:trPr>
          <w:trHeight w:val="389"/>
        </w:trPr>
        <w:tc>
          <w:tcPr>
            <w:tcW w:w="888" w:type="dxa"/>
            <w:shd w:val="clear" w:color="auto" w:fill="auto"/>
            <w:vAlign w:val="bottom"/>
          </w:tcPr>
          <w:p w14:paraId="3F11012C"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471</w:t>
            </w:r>
          </w:p>
        </w:tc>
        <w:tc>
          <w:tcPr>
            <w:tcW w:w="1704" w:type="dxa"/>
            <w:shd w:val="clear" w:color="auto" w:fill="auto"/>
          </w:tcPr>
          <w:p w14:paraId="0A66BB7F"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(2АЩ-82ФН)</w:t>
            </w:r>
          </w:p>
          <w:p w14:paraId="2233A7B1"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По-2 (М-11Д)</w:t>
            </w:r>
          </w:p>
        </w:tc>
        <w:tc>
          <w:tcPr>
            <w:tcW w:w="1627" w:type="dxa"/>
            <w:shd w:val="clear" w:color="auto" w:fill="auto"/>
            <w:vAlign w:val="bottom"/>
          </w:tcPr>
          <w:p w14:paraId="32B4FFC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42</w:t>
            </w:r>
          </w:p>
        </w:tc>
        <w:tc>
          <w:tcPr>
            <w:tcW w:w="1637" w:type="dxa"/>
            <w:shd w:val="clear" w:color="auto" w:fill="auto"/>
            <w:vAlign w:val="bottom"/>
          </w:tcPr>
          <w:p w14:paraId="64C44968"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44</w:t>
            </w:r>
          </w:p>
        </w:tc>
        <w:tc>
          <w:tcPr>
            <w:tcW w:w="1608" w:type="dxa"/>
            <w:shd w:val="clear" w:color="auto" w:fill="auto"/>
            <w:vAlign w:val="bottom"/>
          </w:tcPr>
          <w:p w14:paraId="594100C2"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p>
        </w:tc>
      </w:tr>
      <w:tr w:rsidR="00DE5890" w:rsidRPr="00F90EAE" w14:paraId="18A77FE0" w14:textId="77777777" w:rsidTr="00076D96">
        <w:trPr>
          <w:trHeight w:val="408"/>
        </w:trPr>
        <w:tc>
          <w:tcPr>
            <w:tcW w:w="888" w:type="dxa"/>
            <w:shd w:val="clear" w:color="auto" w:fill="auto"/>
          </w:tcPr>
          <w:p w14:paraId="449E030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 18</w:t>
            </w:r>
          </w:p>
        </w:tc>
        <w:tc>
          <w:tcPr>
            <w:tcW w:w="1704" w:type="dxa"/>
            <w:shd w:val="clear" w:color="auto" w:fill="auto"/>
            <w:vAlign w:val="bottom"/>
          </w:tcPr>
          <w:p w14:paraId="7CE5FB8D"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Ил-10</w:t>
            </w:r>
          </w:p>
          <w:p w14:paraId="1DF04749"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(АМ-38Ф)</w:t>
            </w:r>
          </w:p>
        </w:tc>
        <w:tc>
          <w:tcPr>
            <w:tcW w:w="1627" w:type="dxa"/>
            <w:shd w:val="clear" w:color="auto" w:fill="auto"/>
          </w:tcPr>
          <w:p w14:paraId="25EB8720"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250</w:t>
            </w:r>
          </w:p>
        </w:tc>
        <w:tc>
          <w:tcPr>
            <w:tcW w:w="1637" w:type="dxa"/>
            <w:shd w:val="clear" w:color="auto" w:fill="auto"/>
          </w:tcPr>
          <w:p w14:paraId="57AB94AA"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275</w:t>
            </w:r>
          </w:p>
        </w:tc>
        <w:tc>
          <w:tcPr>
            <w:tcW w:w="1608" w:type="dxa"/>
            <w:shd w:val="clear" w:color="auto" w:fill="auto"/>
          </w:tcPr>
          <w:p w14:paraId="6C7326E1"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271</w:t>
            </w:r>
          </w:p>
        </w:tc>
      </w:tr>
    </w:tbl>
    <w:p w14:paraId="6CE16AD8" w14:textId="77777777" w:rsidR="00DE5890" w:rsidRPr="00F90EAE" w:rsidRDefault="00DE5890" w:rsidP="00F90EAE">
      <w:pPr>
        <w:pStyle w:val="aff1"/>
        <w:spacing w:line="240" w:lineRule="auto"/>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bidi="ru-RU"/>
        </w:rPr>
        <w:t>Составлено по: РГАЭ ф. 8044, оп. 1, д. 2973, л. 22, 29-30.</w:t>
      </w:r>
    </w:p>
    <w:p w14:paraId="1ECCE2B2" w14:textId="77777777" w:rsidR="00DE5890" w:rsidRPr="00F90EAE" w:rsidRDefault="00DE5890" w:rsidP="00F90EAE">
      <w:pPr>
        <w:jc w:val="both"/>
        <w:rPr>
          <w:color w:val="0070C0"/>
          <w:sz w:val="16"/>
          <w:szCs w:val="16"/>
        </w:rPr>
      </w:pPr>
      <w:r w:rsidRPr="00F90EAE">
        <w:rPr>
          <w:color w:val="0070C0"/>
          <w:sz w:val="16"/>
          <w:szCs w:val="16"/>
          <w:lang w:bidi="ru-RU"/>
        </w:rPr>
        <w:t>Согласно данным таблицы 4, советская авиационная индустрия в течение всей войны (за исключением 1942 г.) приносила стране прибыль. Разумеется, это обстоятельство не идёт ни в какое сравнение с ролью авиапромышленности для победы в военных действиях, однако и этот аспект деятельности авиапрома сле</w:t>
      </w:r>
      <w:r w:rsidRPr="00F90EAE">
        <w:rPr>
          <w:color w:val="0070C0"/>
          <w:sz w:val="16"/>
          <w:szCs w:val="16"/>
          <w:lang w:bidi="ru-RU"/>
        </w:rPr>
        <w:softHyphen/>
        <w:t>дует учитывать (22646).</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878"/>
        <w:gridCol w:w="3907"/>
        <w:gridCol w:w="1267"/>
        <w:gridCol w:w="1214"/>
      </w:tblGrid>
      <w:tr w:rsidR="00DE5890" w:rsidRPr="00F90EAE" w14:paraId="790C467C" w14:textId="77777777" w:rsidTr="00076D96">
        <w:trPr>
          <w:trHeight w:val="547"/>
        </w:trPr>
        <w:tc>
          <w:tcPr>
            <w:tcW w:w="878" w:type="dxa"/>
            <w:shd w:val="clear" w:color="auto" w:fill="auto"/>
          </w:tcPr>
          <w:p w14:paraId="352194D1" w14:textId="77777777" w:rsidR="00DE5890" w:rsidRPr="00F90EAE" w:rsidRDefault="00DE5890" w:rsidP="00F90EAE">
            <w:pPr>
              <w:jc w:val="both"/>
              <w:rPr>
                <w:color w:val="0070C0"/>
                <w:sz w:val="16"/>
                <w:szCs w:val="16"/>
              </w:rPr>
            </w:pPr>
          </w:p>
        </w:tc>
        <w:tc>
          <w:tcPr>
            <w:tcW w:w="5174" w:type="dxa"/>
            <w:gridSpan w:val="2"/>
            <w:shd w:val="clear" w:color="auto" w:fill="auto"/>
            <w:vAlign w:val="center"/>
          </w:tcPr>
          <w:p w14:paraId="6456DAB5"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Динамика рентабельности авиапромышленности в 1941-1945 гг. (%)</w:t>
            </w:r>
          </w:p>
        </w:tc>
        <w:tc>
          <w:tcPr>
            <w:tcW w:w="1214" w:type="dxa"/>
            <w:shd w:val="clear" w:color="auto" w:fill="auto"/>
          </w:tcPr>
          <w:p w14:paraId="73114836" w14:textId="77777777" w:rsidR="00DE5890" w:rsidRPr="00F90EAE" w:rsidRDefault="00DE5890" w:rsidP="00F90EAE">
            <w:pPr>
              <w:jc w:val="both"/>
              <w:rPr>
                <w:color w:val="0070C0"/>
                <w:sz w:val="16"/>
                <w:szCs w:val="16"/>
              </w:rPr>
            </w:pPr>
          </w:p>
        </w:tc>
      </w:tr>
      <w:tr w:rsidR="00DE5890" w:rsidRPr="00F90EAE" w14:paraId="4E2C9509" w14:textId="77777777" w:rsidTr="00076D96">
        <w:trPr>
          <w:trHeight w:val="370"/>
        </w:trPr>
        <w:tc>
          <w:tcPr>
            <w:tcW w:w="878" w:type="dxa"/>
            <w:shd w:val="clear" w:color="auto" w:fill="auto"/>
            <w:vAlign w:val="center"/>
          </w:tcPr>
          <w:p w14:paraId="66F90173"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1940 г.</w:t>
            </w:r>
          </w:p>
        </w:tc>
        <w:tc>
          <w:tcPr>
            <w:tcW w:w="3907" w:type="dxa"/>
            <w:shd w:val="clear" w:color="auto" w:fill="auto"/>
            <w:vAlign w:val="center"/>
          </w:tcPr>
          <w:p w14:paraId="79B98319" w14:textId="77777777" w:rsidR="00DE5890" w:rsidRPr="00F90EAE" w:rsidRDefault="00DE5890" w:rsidP="00F90EAE">
            <w:pPr>
              <w:pStyle w:val="afff8"/>
              <w:tabs>
                <w:tab w:val="left" w:pos="1296"/>
                <w:tab w:val="left" w:pos="2597"/>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1941 г.</w:t>
            </w:r>
            <w:r w:rsidRPr="00F90EAE">
              <w:rPr>
                <w:rFonts w:ascii="Times New Roman" w:hAnsi="Times New Roman" w:cs="Times New Roman"/>
                <w:color w:val="0070C0"/>
                <w:sz w:val="16"/>
                <w:szCs w:val="16"/>
                <w:lang w:bidi="ru-RU"/>
              </w:rPr>
              <w:tab/>
              <w:t>1942 г.</w:t>
            </w:r>
            <w:r w:rsidRPr="00F90EAE">
              <w:rPr>
                <w:rFonts w:ascii="Times New Roman" w:hAnsi="Times New Roman" w:cs="Times New Roman"/>
                <w:color w:val="0070C0"/>
                <w:sz w:val="16"/>
                <w:szCs w:val="16"/>
                <w:lang w:bidi="ru-RU"/>
              </w:rPr>
              <w:tab/>
              <w:t>1943 г.</w:t>
            </w:r>
          </w:p>
        </w:tc>
        <w:tc>
          <w:tcPr>
            <w:tcW w:w="1267" w:type="dxa"/>
            <w:shd w:val="clear" w:color="auto" w:fill="auto"/>
            <w:vAlign w:val="center"/>
          </w:tcPr>
          <w:p w14:paraId="5CE74C9E"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1944 г.</w:t>
            </w:r>
          </w:p>
        </w:tc>
        <w:tc>
          <w:tcPr>
            <w:tcW w:w="1214" w:type="dxa"/>
            <w:shd w:val="clear" w:color="auto" w:fill="auto"/>
            <w:vAlign w:val="center"/>
          </w:tcPr>
          <w:p w14:paraId="30733107"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1945 г.</w:t>
            </w:r>
          </w:p>
        </w:tc>
      </w:tr>
      <w:tr w:rsidR="00DE5890" w:rsidRPr="00F90EAE" w14:paraId="554E3C9F" w14:textId="77777777" w:rsidTr="00076D96">
        <w:trPr>
          <w:trHeight w:val="389"/>
        </w:trPr>
        <w:tc>
          <w:tcPr>
            <w:tcW w:w="878" w:type="dxa"/>
            <w:shd w:val="clear" w:color="auto" w:fill="auto"/>
            <w:vAlign w:val="center"/>
          </w:tcPr>
          <w:p w14:paraId="1F5E5CA7"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+7.32</w:t>
            </w:r>
          </w:p>
        </w:tc>
        <w:tc>
          <w:tcPr>
            <w:tcW w:w="3907" w:type="dxa"/>
            <w:shd w:val="clear" w:color="auto" w:fill="auto"/>
          </w:tcPr>
          <w:p w14:paraId="0215391B" w14:textId="77777777" w:rsidR="00DE5890" w:rsidRPr="00F90EAE" w:rsidRDefault="00DE5890" w:rsidP="00F90EAE">
            <w:pPr>
              <w:pStyle w:val="afff8"/>
              <w:tabs>
                <w:tab w:val="left" w:pos="432"/>
                <w:tab w:val="left" w:pos="1291"/>
                <w:tab w:val="left" w:pos="1771"/>
                <w:tab w:val="left" w:pos="2592"/>
                <w:tab w:val="left" w:pos="3110"/>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r w:rsidRPr="00F90EAE">
              <w:rPr>
                <w:rFonts w:ascii="Times New Roman" w:hAnsi="Times New Roman" w:cs="Times New Roman"/>
                <w:color w:val="0070C0"/>
                <w:sz w:val="16"/>
                <w:szCs w:val="16"/>
                <w:lang w:bidi="ru-RU"/>
              </w:rPr>
              <w:tab/>
              <w:t>+13.53</w:t>
            </w:r>
            <w:r w:rsidRPr="00F90EAE">
              <w:rPr>
                <w:rFonts w:ascii="Times New Roman" w:hAnsi="Times New Roman" w:cs="Times New Roman"/>
                <w:color w:val="0070C0"/>
                <w:sz w:val="16"/>
                <w:szCs w:val="16"/>
                <w:lang w:bidi="ru-RU"/>
              </w:rPr>
              <w:tab/>
              <w:t>|</w:t>
            </w:r>
            <w:r w:rsidRPr="00F90EAE">
              <w:rPr>
                <w:rFonts w:ascii="Times New Roman" w:hAnsi="Times New Roman" w:cs="Times New Roman"/>
                <w:color w:val="0070C0"/>
                <w:sz w:val="16"/>
                <w:szCs w:val="16"/>
                <w:lang w:bidi="ru-RU"/>
              </w:rPr>
              <w:tab/>
              <w:t>-0.98</w:t>
            </w:r>
            <w:r w:rsidRPr="00F90EAE">
              <w:rPr>
                <w:rFonts w:ascii="Times New Roman" w:hAnsi="Times New Roman" w:cs="Times New Roman"/>
                <w:color w:val="0070C0"/>
                <w:sz w:val="16"/>
                <w:szCs w:val="16"/>
                <w:lang w:bidi="ru-RU"/>
              </w:rPr>
              <w:tab/>
              <w:t>|</w:t>
            </w:r>
            <w:r w:rsidRPr="00F90EAE">
              <w:rPr>
                <w:rFonts w:ascii="Times New Roman" w:hAnsi="Times New Roman" w:cs="Times New Roman"/>
                <w:color w:val="0070C0"/>
                <w:sz w:val="16"/>
                <w:szCs w:val="16"/>
                <w:lang w:bidi="ru-RU"/>
              </w:rPr>
              <w:tab/>
              <w:t>+7.7</w:t>
            </w:r>
          </w:p>
        </w:tc>
        <w:tc>
          <w:tcPr>
            <w:tcW w:w="1267" w:type="dxa"/>
            <w:shd w:val="clear" w:color="auto" w:fill="auto"/>
            <w:vAlign w:val="center"/>
          </w:tcPr>
          <w:p w14:paraId="033C6A66" w14:textId="77777777" w:rsidR="00DE5890" w:rsidRPr="00F90EAE" w:rsidRDefault="00DE5890" w:rsidP="00F90EAE">
            <w:pPr>
              <w:pStyle w:val="afff8"/>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+5.52</w:t>
            </w:r>
          </w:p>
        </w:tc>
        <w:tc>
          <w:tcPr>
            <w:tcW w:w="1214" w:type="dxa"/>
            <w:shd w:val="clear" w:color="auto" w:fill="auto"/>
          </w:tcPr>
          <w:p w14:paraId="3FCA7744" w14:textId="77777777" w:rsidR="00DE5890" w:rsidRPr="00F90EAE" w:rsidRDefault="00DE5890" w:rsidP="00F90EAE">
            <w:pPr>
              <w:pStyle w:val="afff8"/>
              <w:tabs>
                <w:tab w:val="left" w:pos="466"/>
              </w:tabs>
              <w:ind w:firstLine="0"/>
              <w:jc w:val="both"/>
              <w:rPr>
                <w:rFonts w:ascii="Times New Roman" w:hAnsi="Times New Roman" w:cs="Times New Roman"/>
                <w:color w:val="0070C0"/>
                <w:sz w:val="16"/>
                <w:szCs w:val="16"/>
              </w:rPr>
            </w:pPr>
            <w:r w:rsidRPr="00F90EAE">
              <w:rPr>
                <w:rFonts w:ascii="Times New Roman" w:hAnsi="Times New Roman" w:cs="Times New Roman"/>
                <w:color w:val="0070C0"/>
                <w:sz w:val="16"/>
                <w:szCs w:val="16"/>
                <w:lang w:bidi="ru-RU"/>
              </w:rPr>
              <w:t>|</w:t>
            </w:r>
            <w:r w:rsidRPr="00F90EAE">
              <w:rPr>
                <w:rFonts w:ascii="Times New Roman" w:hAnsi="Times New Roman" w:cs="Times New Roman"/>
                <w:color w:val="0070C0"/>
                <w:sz w:val="16"/>
                <w:szCs w:val="16"/>
                <w:lang w:bidi="ru-RU"/>
              </w:rPr>
              <w:tab/>
              <w:t>+5.2</w:t>
            </w:r>
          </w:p>
        </w:tc>
      </w:tr>
    </w:tbl>
    <w:p w14:paraId="3578788D" w14:textId="77777777" w:rsidR="00DE5890" w:rsidRPr="00F90EAE" w:rsidRDefault="00DE5890" w:rsidP="00F90EAE">
      <w:pPr>
        <w:pStyle w:val="aff1"/>
        <w:spacing w:line="240" w:lineRule="auto"/>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bidi="ru-RU"/>
        </w:rPr>
        <w:t>Составлено по: Симонов Н.С. Указ. соч. С. 177 (22646).</w:t>
      </w:r>
    </w:p>
    <w:p w14:paraId="69B59C6D" w14:textId="77777777" w:rsidR="00DE5890" w:rsidRPr="00F90EAE" w:rsidRDefault="00DE5890" w:rsidP="00F90EAE">
      <w:pPr>
        <w:jc w:val="both"/>
        <w:rPr>
          <w:color w:val="0070C0"/>
          <w:sz w:val="16"/>
          <w:szCs w:val="16"/>
        </w:rPr>
      </w:pPr>
      <w:r w:rsidRPr="00F90EAE">
        <w:rPr>
          <w:color w:val="0070C0"/>
          <w:sz w:val="16"/>
          <w:szCs w:val="16"/>
          <w:lang w:bidi="ru-RU"/>
        </w:rPr>
        <w:t>Таким образом, в советской экономике военных лет монетарные инстру</w:t>
      </w:r>
      <w:r w:rsidRPr="00F90EAE">
        <w:rPr>
          <w:color w:val="0070C0"/>
          <w:sz w:val="16"/>
          <w:szCs w:val="16"/>
          <w:lang w:bidi="ru-RU"/>
        </w:rPr>
        <w:softHyphen/>
        <w:t>менты регулирования, действительно, существенно редуцировались, но только на уровне внутриведомственных взаимоотношений. Однако рассмотренный пример согласования цен на авиационную продукцию между руководством НКАП и ВВС позволяет сделать вывод о существенном значении межведом</w:t>
      </w:r>
      <w:r w:rsidRPr="00F90EAE">
        <w:rPr>
          <w:color w:val="0070C0"/>
          <w:sz w:val="16"/>
          <w:szCs w:val="16"/>
          <w:lang w:bidi="ru-RU"/>
        </w:rPr>
        <w:softHyphen/>
        <w:t>ственных финансовых взаиморасчётов для успешного функционирования авиационной промышленности. Её руководство всемерно старалось снизить себестоимость и поднять отпускные цены на производимую для фронта про</w:t>
      </w:r>
      <w:r w:rsidRPr="00F90EAE">
        <w:rPr>
          <w:color w:val="0070C0"/>
          <w:sz w:val="16"/>
          <w:szCs w:val="16"/>
          <w:lang w:bidi="ru-RU"/>
        </w:rPr>
        <w:softHyphen/>
        <w:t>дукцию, а НКО пытался их снизить. В подобных спорах советское правитель</w:t>
      </w:r>
      <w:r w:rsidRPr="00F90EAE">
        <w:rPr>
          <w:color w:val="0070C0"/>
          <w:sz w:val="16"/>
          <w:szCs w:val="16"/>
          <w:lang w:bidi="ru-RU"/>
        </w:rPr>
        <w:softHyphen/>
        <w:t>ство выступало в роли арбитра и всегда стремилось обуздать ведомственные амбиции, проводя взвешенную ценовую политику (22646).</w:t>
      </w:r>
    </w:p>
    <w:p w14:paraId="773EEE51" w14:textId="77777777" w:rsidR="00DE5890" w:rsidRPr="00F90EAE" w:rsidRDefault="00DE5890" w:rsidP="00F90EAE">
      <w:pPr>
        <w:jc w:val="both"/>
        <w:rPr>
          <w:color w:val="0070C0"/>
          <w:sz w:val="16"/>
          <w:szCs w:val="16"/>
        </w:rPr>
      </w:pPr>
    </w:p>
    <w:p w14:paraId="61DC731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137B8E7" w14:textId="77777777" w:rsidR="00665165" w:rsidRPr="00F90EAE" w:rsidRDefault="00665165" w:rsidP="00F90EAE">
      <w:pPr>
        <w:autoSpaceDE w:val="0"/>
        <w:autoSpaceDN w:val="0"/>
        <w:adjustRightInd w:val="0"/>
        <w:jc w:val="both"/>
        <w:rPr>
          <w:iCs/>
          <w:color w:val="000000" w:themeColor="text1"/>
          <w:sz w:val="16"/>
          <w:szCs w:val="16"/>
        </w:rPr>
      </w:pPr>
    </w:p>
    <w:p w14:paraId="31BD72AD" w14:textId="77777777" w:rsidR="006979C2" w:rsidRPr="00F90EAE" w:rsidRDefault="006979C2" w:rsidP="00F90EAE">
      <w:pPr>
        <w:jc w:val="both"/>
        <w:rPr>
          <w:color w:val="000000" w:themeColor="text1"/>
          <w:sz w:val="16"/>
          <w:szCs w:val="16"/>
        </w:rPr>
      </w:pPr>
      <w:r w:rsidRPr="00F90EAE">
        <w:rPr>
          <w:color w:val="000000" w:themeColor="text1"/>
          <w:sz w:val="16"/>
          <w:szCs w:val="16"/>
        </w:rPr>
        <w:t>17 апреля 1945 г.</w:t>
      </w:r>
    </w:p>
    <w:p w14:paraId="4BE51AE2" w14:textId="77777777" w:rsidR="006979C2" w:rsidRPr="00F90EAE" w:rsidRDefault="006979C2" w:rsidP="00F90EAE">
      <w:pPr>
        <w:jc w:val="both"/>
        <w:rPr>
          <w:color w:val="000000" w:themeColor="text1"/>
          <w:sz w:val="16"/>
          <w:szCs w:val="16"/>
        </w:rPr>
      </w:pPr>
      <w:r w:rsidRPr="00F90EAE">
        <w:rPr>
          <w:color w:val="000000" w:themeColor="text1"/>
          <w:sz w:val="16"/>
          <w:szCs w:val="16"/>
        </w:rPr>
        <w:t>Действующая армия</w:t>
      </w:r>
    </w:p>
    <w:p w14:paraId="2F45273F" w14:textId="77777777" w:rsidR="006979C2" w:rsidRPr="00F90EAE" w:rsidRDefault="006979C2" w:rsidP="00F90EAE">
      <w:pPr>
        <w:jc w:val="both"/>
        <w:rPr>
          <w:color w:val="000000" w:themeColor="text1"/>
          <w:sz w:val="16"/>
          <w:szCs w:val="16"/>
        </w:rPr>
      </w:pPr>
      <w:r w:rsidRPr="00F90EAE">
        <w:rPr>
          <w:color w:val="000000" w:themeColor="text1"/>
          <w:sz w:val="16"/>
          <w:szCs w:val="16"/>
        </w:rPr>
        <w:t xml:space="preserve">Германия </w:t>
      </w:r>
    </w:p>
    <w:p w14:paraId="0AFF58E2" w14:textId="77777777" w:rsidR="006979C2" w:rsidRPr="00F90EAE" w:rsidRDefault="006979C2" w:rsidP="00F90EAE">
      <w:pPr>
        <w:jc w:val="both"/>
        <w:rPr>
          <w:color w:val="000000" w:themeColor="text1"/>
          <w:sz w:val="16"/>
          <w:szCs w:val="16"/>
        </w:rPr>
      </w:pPr>
      <w:r w:rsidRPr="00F90EAE">
        <w:rPr>
          <w:color w:val="000000" w:themeColor="text1"/>
          <w:sz w:val="16"/>
          <w:szCs w:val="16"/>
        </w:rPr>
        <w:t>Коллективу завода № 208.</w:t>
      </w:r>
    </w:p>
    <w:p w14:paraId="01018409" w14:textId="77777777" w:rsidR="006979C2" w:rsidRPr="00F90EAE" w:rsidRDefault="006979C2" w:rsidP="00F90EAE">
      <w:pPr>
        <w:jc w:val="both"/>
        <w:rPr>
          <w:color w:val="000000" w:themeColor="text1"/>
          <w:sz w:val="16"/>
          <w:szCs w:val="16"/>
        </w:rPr>
      </w:pPr>
      <w:r w:rsidRPr="00F90EAE">
        <w:rPr>
          <w:color w:val="000000" w:themeColor="text1"/>
          <w:sz w:val="16"/>
          <w:szCs w:val="16"/>
        </w:rPr>
        <w:t>Дорогие товарищи! Военный расчет установки «Редут» № 163 от всей души благодарит Вас за вверенную Вами нам прекрасную технику. Путь, пройденный установкой от Харькова и до Берлина, усеян обломками сотен гитлеровских стервятников, пытавшихся нарушить спокойствие нашей страны и сбитых гордыми соколами по данным «Редута». Всего на боевом счету числится за установкой свыше 400 различных типов самолетов противника. Сейчас мы находимся в считанных километрах от логова фашистского зверя - Берлина. Зорким оком мы охраняем рубежи, выполняя приказы командования. Ни один стервятник не пролетает не замеченный нами! Вчера на нашем участке фронта началось последнее решительное наступление. Впереди - Берлин. Все силы мы приложили к тому, чтобы облегчить выполнение боевых задач нашей авиации, дать вовремя точные сведения о самолетах противника, навести их на противника. Только за первый день наступления 16 апреля 1945 г. поданным нашего «Редута» сбито 63 самолета противника. Дорогие товарищи! Кто же иной, как не Вы должны гордиться боевыми заслугами нашей могучей авиации. Труд Ваш неоценимый в деле усиления нашей авиации, вооружения ее новыми видами передовой техники и в деле разгрома коварного врага. Желаем Вам дальнейших успехов в Вашей плодотворной работе на пользу фронта, на пользу нашего общего дела, полного разгрома врага, полного разгрома фашизма. Разрешите от всего расчета поблагодарить Вас и пожелать наилучших успехов в Вашей работе и жизни. Особо благодарим старшего инженера завода Рамм Г.Я., старшего инженера завода Рыбкина В.П. и ст. инженера НИИ-20 Годсданкер Э.С. за оказанную нам помощь в обновлении установки.</w:t>
      </w:r>
    </w:p>
    <w:p w14:paraId="32330E02" w14:textId="77777777" w:rsidR="006979C2" w:rsidRPr="00F90EAE" w:rsidRDefault="006979C2" w:rsidP="00F90EAE">
      <w:pPr>
        <w:jc w:val="both"/>
        <w:rPr>
          <w:color w:val="000000" w:themeColor="text1"/>
          <w:sz w:val="16"/>
          <w:szCs w:val="16"/>
        </w:rPr>
      </w:pPr>
      <w:r w:rsidRPr="00F90EAE">
        <w:rPr>
          <w:color w:val="000000" w:themeColor="text1"/>
          <w:sz w:val="16"/>
          <w:szCs w:val="16"/>
        </w:rPr>
        <w:t>Начальник установки лейтенант Сизов</w:t>
      </w:r>
    </w:p>
    <w:p w14:paraId="6BAD3A2B" w14:textId="77777777" w:rsidR="006979C2" w:rsidRPr="00F90EAE" w:rsidRDefault="006979C2" w:rsidP="00F90EAE">
      <w:pPr>
        <w:jc w:val="both"/>
        <w:rPr>
          <w:color w:val="000000" w:themeColor="text1"/>
          <w:sz w:val="16"/>
          <w:szCs w:val="16"/>
        </w:rPr>
      </w:pPr>
      <w:r w:rsidRPr="00F90EAE">
        <w:rPr>
          <w:color w:val="000000" w:themeColor="text1"/>
          <w:sz w:val="16"/>
          <w:szCs w:val="16"/>
        </w:rPr>
        <w:t>Помощник начальника установки мл. лейтенант Лапин</w:t>
      </w:r>
    </w:p>
    <w:p w14:paraId="6F9D67FC" w14:textId="77777777" w:rsidR="006979C2" w:rsidRPr="00F90EAE" w:rsidRDefault="006979C2" w:rsidP="00F90EAE">
      <w:pPr>
        <w:jc w:val="both"/>
        <w:rPr>
          <w:color w:val="000000" w:themeColor="text1"/>
          <w:sz w:val="16"/>
          <w:szCs w:val="16"/>
        </w:rPr>
      </w:pPr>
      <w:r w:rsidRPr="00F90EAE">
        <w:rPr>
          <w:color w:val="000000" w:themeColor="text1"/>
          <w:sz w:val="16"/>
          <w:szCs w:val="16"/>
        </w:rPr>
        <w:t>Ст. оператор ст. лейтенант Альбшуллер</w:t>
      </w:r>
    </w:p>
    <w:p w14:paraId="04AB2769" w14:textId="77777777" w:rsidR="006979C2" w:rsidRPr="00F90EAE" w:rsidRDefault="006979C2" w:rsidP="00F90EAE">
      <w:pPr>
        <w:jc w:val="both"/>
        <w:rPr>
          <w:color w:val="000000" w:themeColor="text1"/>
          <w:sz w:val="16"/>
          <w:szCs w:val="16"/>
        </w:rPr>
      </w:pPr>
      <w:r w:rsidRPr="00F90EAE">
        <w:rPr>
          <w:color w:val="000000" w:themeColor="text1"/>
          <w:sz w:val="16"/>
          <w:szCs w:val="16"/>
        </w:rPr>
        <w:t>Полевая почта 23271-Б (12160).</w:t>
      </w:r>
    </w:p>
    <w:p w14:paraId="35139A2C" w14:textId="77777777" w:rsidR="006979C2" w:rsidRPr="00F90EAE" w:rsidRDefault="006979C2" w:rsidP="00F90EAE">
      <w:pPr>
        <w:jc w:val="both"/>
        <w:rPr>
          <w:color w:val="000000" w:themeColor="text1"/>
          <w:sz w:val="16"/>
          <w:szCs w:val="16"/>
        </w:rPr>
      </w:pPr>
    </w:p>
    <w:p w14:paraId="4C0E583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апреля 1945 года вышел приказ № 136с НКБ Москва</w:t>
      </w:r>
    </w:p>
    <w:p w14:paraId="5D5ADB5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Правительства № 8101с от 12 апреля 1945 года “Об организации особых монтажных управлений НКБ по демонтажу оборудования немецких предприятий” – организовать в НКБ Особое Гл. управление № 10 (5761, 141-143).</w:t>
      </w:r>
    </w:p>
    <w:p w14:paraId="019E977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C26774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апреля 1945 вышло Распоряжение ГКО № 8147 [О дополнительном выделении бензина НКГБ в апреле 1945 г.] (7327, 94).</w:t>
      </w:r>
    </w:p>
    <w:p w14:paraId="2ABB4CC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7CDC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вышло Постановление ГКО № 8148 О прекращении мобилизации немцев на территориях 1, 2, 3 БФ и 1 УФ. РГАНИР, Фонд ГКО, д. 400, лл. 95, 96 (11012).</w:t>
      </w:r>
    </w:p>
    <w:p w14:paraId="471CAC20" w14:textId="77777777" w:rsidR="00665165" w:rsidRPr="00F90EAE" w:rsidRDefault="00665165" w:rsidP="00F90EAE">
      <w:pPr>
        <w:autoSpaceDE w:val="0"/>
        <w:autoSpaceDN w:val="0"/>
        <w:adjustRightInd w:val="0"/>
        <w:jc w:val="both"/>
        <w:rPr>
          <w:color w:val="000000" w:themeColor="text1"/>
          <w:sz w:val="16"/>
          <w:szCs w:val="16"/>
        </w:rPr>
      </w:pPr>
    </w:p>
    <w:p w14:paraId="320410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вышло Постановление ГКО № 8149 О передаче немецкого типографского оборудования Военно-топографическому управлению ГШ КА. РГАНИР, Фонд ГКО, д. 400, лл. 97 (11012).</w:t>
      </w:r>
    </w:p>
    <w:p w14:paraId="610C405A" w14:textId="77777777" w:rsidR="00665165" w:rsidRPr="00F90EAE" w:rsidRDefault="00665165" w:rsidP="00F90EAE">
      <w:pPr>
        <w:autoSpaceDE w:val="0"/>
        <w:autoSpaceDN w:val="0"/>
        <w:adjustRightInd w:val="0"/>
        <w:jc w:val="both"/>
        <w:rPr>
          <w:color w:val="000000" w:themeColor="text1"/>
          <w:sz w:val="16"/>
          <w:szCs w:val="16"/>
        </w:rPr>
      </w:pPr>
    </w:p>
    <w:p w14:paraId="2E0DAE5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DE6EE50" w14:textId="77777777" w:rsidR="00665165" w:rsidRPr="00F90EAE" w:rsidRDefault="00665165" w:rsidP="00F90EAE">
      <w:pPr>
        <w:autoSpaceDE w:val="0"/>
        <w:autoSpaceDN w:val="0"/>
        <w:adjustRightInd w:val="0"/>
        <w:jc w:val="both"/>
        <w:rPr>
          <w:iCs/>
          <w:color w:val="000000" w:themeColor="text1"/>
          <w:sz w:val="16"/>
          <w:szCs w:val="16"/>
        </w:rPr>
      </w:pPr>
    </w:p>
    <w:p w14:paraId="7F516CAB" w14:textId="77777777" w:rsidR="001438DF" w:rsidRPr="00F90EAE" w:rsidRDefault="001438DF" w:rsidP="00F90EAE">
      <w:pPr>
        <w:jc w:val="both"/>
        <w:rPr>
          <w:color w:val="000000" w:themeColor="text1"/>
          <w:sz w:val="16"/>
          <w:szCs w:val="16"/>
        </w:rPr>
      </w:pPr>
      <w:r w:rsidRPr="00F90EAE">
        <w:rPr>
          <w:color w:val="000000" w:themeColor="text1"/>
          <w:sz w:val="16"/>
          <w:szCs w:val="16"/>
        </w:rPr>
        <w:lastRenderedPageBreak/>
        <w:t>17 апреля в 1945 году оперативная сводка Совинформбюро:</w:t>
      </w:r>
    </w:p>
    <w:p w14:paraId="71C2D4C1" w14:textId="77777777" w:rsidR="001438DF" w:rsidRPr="00F90EAE" w:rsidRDefault="001438DF" w:rsidP="00F90EAE">
      <w:pPr>
        <w:jc w:val="both"/>
        <w:rPr>
          <w:color w:val="000000" w:themeColor="text1"/>
          <w:sz w:val="16"/>
          <w:szCs w:val="16"/>
        </w:rPr>
      </w:pPr>
      <w:r w:rsidRPr="00F90EAE">
        <w:rPr>
          <w:color w:val="000000" w:themeColor="text1"/>
          <w:sz w:val="16"/>
          <w:szCs w:val="16"/>
        </w:rPr>
        <w:t>«В течение 17 апреля на Земландском полуострове западнее Кенигсберга войска 3-го Белорусского фронта, продолжая наступление, с боями заняли город и порт Фишхаузен и населённые пункты Литтаусдорф, Гаффкен, Занглинен, Нойендорф, Дарген, Тенкиттен, Кальнштайн, Легинен, Розенталь, Нарльсхоф, Вишродт, Блюдау, Неплекен, Циммербуде, Пайзе. Остатки разгромленной группы немецких войск отброшены в район порта Пиллау, где и уничтожаются нашими войсками. В боях за 16 апреля войска фронта взяли в плен 5.650 немецких солдат и офицеров и захватили следующие трофеи: самолётов — 47, танков и самоходных орудий — 47, бронетранспортёров — 78, полевых орудий — 385, миномётов — 210, пулемётов — 730, автомашин — 2.512, тракторов и тягачей — 64, железнодорожных вагонов — 350, складов с военным имуществом — 36.</w:t>
      </w:r>
    </w:p>
    <w:p w14:paraId="5A68DB09" w14:textId="77777777" w:rsidR="001438DF" w:rsidRPr="00F90EAE" w:rsidRDefault="001438DF"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17 апреля овладели центром нефтеносного района Австрии — городом Цистерсдорф, а также заняли более 30 других населённых пунктов и среди них Пальтерндорф, Маустренк, Кеттласбрун, Паасдорф, Хеберсбрун, Вольфпассинг, Хаутцендорф и железнодорожные станции Доберманнсдорф, Гестинг, Паасдорф. На территории Чехословакии северо-западнее города Годонин войска фронта заняли населённые пункты Крумвир, Щитборице, Кржепице, Густопече, Старовице, Попице, Врановице.</w:t>
      </w:r>
    </w:p>
    <w:p w14:paraId="03A7C9E8" w14:textId="77777777" w:rsidR="001438DF" w:rsidRPr="00F90EAE" w:rsidRDefault="001438DF" w:rsidP="00F90EAE">
      <w:pPr>
        <w:jc w:val="both"/>
        <w:rPr>
          <w:color w:val="000000" w:themeColor="text1"/>
          <w:sz w:val="16"/>
          <w:szCs w:val="16"/>
        </w:rPr>
      </w:pPr>
      <w:r w:rsidRPr="00F90EAE">
        <w:rPr>
          <w:color w:val="000000" w:themeColor="text1"/>
          <w:sz w:val="16"/>
          <w:szCs w:val="16"/>
        </w:rPr>
        <w:t>Войска 3-го Украинского фронта на территории Австрии севернее и западнее города Санкт-Пельтен с боями заняли населённые пункты Обер-Вельблинг, Ам-Бах, Хаузгейм, Обрицберг, Вайтцендорф, Герерсдорф, Хафинг.</w:t>
      </w:r>
    </w:p>
    <w:p w14:paraId="56F97065" w14:textId="77777777" w:rsidR="001438DF" w:rsidRPr="00F90EAE" w:rsidRDefault="001438DF" w:rsidP="00F90EAE">
      <w:pPr>
        <w:jc w:val="both"/>
        <w:rPr>
          <w:color w:val="000000" w:themeColor="text1"/>
          <w:sz w:val="16"/>
          <w:szCs w:val="16"/>
        </w:rPr>
      </w:pPr>
      <w:r w:rsidRPr="00F90EAE">
        <w:rPr>
          <w:color w:val="000000" w:themeColor="text1"/>
          <w:sz w:val="16"/>
          <w:szCs w:val="16"/>
        </w:rPr>
        <w:t>На остальных участках фронта — бои местного значения и поиски разведчиков.</w:t>
      </w:r>
    </w:p>
    <w:p w14:paraId="3A59A57D" w14:textId="77777777" w:rsidR="001438DF" w:rsidRPr="00F90EAE" w:rsidRDefault="001438DF" w:rsidP="00F90EAE">
      <w:pPr>
        <w:jc w:val="both"/>
        <w:rPr>
          <w:color w:val="000000" w:themeColor="text1"/>
          <w:sz w:val="16"/>
          <w:szCs w:val="16"/>
        </w:rPr>
      </w:pPr>
      <w:r w:rsidRPr="00F90EAE">
        <w:rPr>
          <w:color w:val="000000" w:themeColor="text1"/>
          <w:sz w:val="16"/>
          <w:szCs w:val="16"/>
        </w:rPr>
        <w:t>За 16 апреля на всех фронтах подбито и уничтожено 86 немецких танков и самоходных орудий. В воздушных боях и огнём зенитной артиллерии сбито 50 самолётов противника.</w:t>
      </w:r>
    </w:p>
    <w:p w14:paraId="1C2E7B3D" w14:textId="77777777" w:rsidR="001438DF" w:rsidRPr="00F90EAE" w:rsidRDefault="001438DF" w:rsidP="00F90EAE">
      <w:pPr>
        <w:jc w:val="both"/>
        <w:rPr>
          <w:color w:val="000000" w:themeColor="text1"/>
          <w:sz w:val="16"/>
          <w:szCs w:val="16"/>
        </w:rPr>
      </w:pPr>
      <w:r w:rsidRPr="00F90EAE">
        <w:rPr>
          <w:color w:val="000000" w:themeColor="text1"/>
          <w:sz w:val="16"/>
          <w:szCs w:val="16"/>
        </w:rPr>
        <w:t>На Земландском полуострове западнее города Кенигсберга наши войска продолжали наступление. Ожесточённые бои произошли за город Фишхаузен—важный опорный пункт обороны немцев, прикрывающий подступы к порту Пиллау. Советские танки и пехота с севера прорвали укрепления внешнего оборонительного обвода Фишхаузена. Оборонительный обвод проходил в двух— пяти километрах от города и состоял из нескольких линий траншей, большого числа дотов и дзотов, прикрытых проволочными заграждениями и минными полями. Мощными ударами нашей авиации и артиллерийским огнём вражеская оборона была дезорганизована. Ночью советские танковые и пехотные подразделения ворвались на улицы Фишхаузена. Стремительными ударами наши войска, сломили сопротивление многочисленного гарнизона противника и полностью овладели городом Фишхаузен, расположенным в 13 километрах от порта Пиллау. Таким образом, в руках немцев осталась лишь юго-западная оконечность Земландского полуострова. Территория, занимаемая противником, обстреливается советской артиллерией. На мысе юго-восточнее города Фишхаузена наши части продолжали вести бои по ликвидации окружённой группы немецких войск. Советские танкисты и пехотинцы заняли опорные пункты Циммербуде, Неплекен, Пайзе и расчленили вражескую группу на две изолированные друг от друга части. Противник несёт огромные потери. Места боёв завалены тысячами трупов гитлеровцев. Количество пленных всё время увеличивается.</w:t>
      </w:r>
    </w:p>
    <w:p w14:paraId="3E3A89EF" w14:textId="77777777" w:rsidR="001438DF" w:rsidRPr="00F90EAE" w:rsidRDefault="001438DF" w:rsidP="00F90EAE">
      <w:pPr>
        <w:jc w:val="both"/>
        <w:rPr>
          <w:color w:val="000000" w:themeColor="text1"/>
          <w:sz w:val="16"/>
          <w:szCs w:val="16"/>
        </w:rPr>
      </w:pPr>
      <w:r w:rsidRPr="00F90EAE">
        <w:rPr>
          <w:color w:val="000000" w:themeColor="text1"/>
          <w:sz w:val="16"/>
          <w:szCs w:val="16"/>
        </w:rPr>
        <w:t>В Кенигсберге наши бойцы обнаружили в подвале одного дома и взяли в плен генерал-майора войск СС Фрица Зигеля.</w:t>
      </w:r>
    </w:p>
    <w:p w14:paraId="66CA6732" w14:textId="77777777" w:rsidR="001438DF" w:rsidRPr="00F90EAE" w:rsidRDefault="001438DF" w:rsidP="00F90EAE">
      <w:pPr>
        <w:jc w:val="both"/>
        <w:rPr>
          <w:color w:val="000000" w:themeColor="text1"/>
          <w:sz w:val="16"/>
          <w:szCs w:val="16"/>
        </w:rPr>
      </w:pPr>
      <w:r w:rsidRPr="00F90EAE">
        <w:rPr>
          <w:color w:val="000000" w:themeColor="text1"/>
          <w:sz w:val="16"/>
          <w:szCs w:val="16"/>
        </w:rPr>
        <w:t>В боях по ликвидации остатков Восточно-Прусской группировки противника советские бойцы и офицеры проявляют отвагу и высокое воинское мастерство. Танковый экипаж лейтенанта Девина уничтожил тяжёлый немецкий танк, ворвался в населенный пункт и разгромил несколько огневых точек противника. Пулемётчики Коваленко и Лиманский в одном бою истребили 27 гитлеровцев. Отражая вражескую контратаку, старший сержант Давыдов огнём из противотанкового орудия подбил два немецких танка.</w:t>
      </w:r>
    </w:p>
    <w:p w14:paraId="7DE5CD0A" w14:textId="77777777" w:rsidR="001438DF" w:rsidRPr="00F90EAE" w:rsidRDefault="001438DF" w:rsidP="00F90EAE">
      <w:pPr>
        <w:jc w:val="both"/>
        <w:rPr>
          <w:color w:val="000000" w:themeColor="text1"/>
          <w:sz w:val="16"/>
          <w:szCs w:val="16"/>
        </w:rPr>
      </w:pPr>
      <w:r w:rsidRPr="00F90EAE">
        <w:rPr>
          <w:color w:val="000000" w:themeColor="text1"/>
          <w:sz w:val="16"/>
          <w:szCs w:val="16"/>
        </w:rPr>
        <w:t>Войска 2-го Украинского фронта овладели центром нефтеносного района Австрии городом Цистеродорф. Стремясь удержать в своих руках этот район, немцы сосредоточили крупные силы танков и пехоты и оказывали упорное сопротивление. На отдельных участках бои переходили в рукопашные схватки. Тесня противника, наши войска постепенно обтекали город с трёх сторон. Затем советские части предприняли стремительную атаку и овладели городом Цистерсдорф. В бою за город уничтожено свыше двух тысяч солдат и офицеров противника. Сожжено и подбито 15 немецких танков и самоходных орудий.</w:t>
      </w:r>
    </w:p>
    <w:p w14:paraId="73F7FDB4" w14:textId="77777777" w:rsidR="001438DF" w:rsidRPr="00F90EAE" w:rsidRDefault="001438DF" w:rsidP="00F90EAE">
      <w:pPr>
        <w:jc w:val="both"/>
        <w:rPr>
          <w:color w:val="000000" w:themeColor="text1"/>
          <w:sz w:val="16"/>
          <w:szCs w:val="16"/>
        </w:rPr>
      </w:pPr>
      <w:r w:rsidRPr="00F90EAE">
        <w:rPr>
          <w:color w:val="000000" w:themeColor="text1"/>
          <w:sz w:val="16"/>
          <w:szCs w:val="16"/>
        </w:rPr>
        <w:t>Наши лётчики в воздушных боях сбили 14 вражеских самолётов. Огнём зенитной артиллерии уничтожено 6 самолётов противника.</w:t>
      </w:r>
    </w:p>
    <w:p w14:paraId="0BCCD303" w14:textId="77777777" w:rsidR="001438DF" w:rsidRPr="00F90EAE" w:rsidRDefault="001438DF" w:rsidP="00F90EAE">
      <w:pPr>
        <w:jc w:val="both"/>
        <w:rPr>
          <w:color w:val="000000" w:themeColor="text1"/>
          <w:sz w:val="16"/>
          <w:szCs w:val="16"/>
        </w:rPr>
      </w:pPr>
      <w:r w:rsidRPr="00F90EAE">
        <w:rPr>
          <w:color w:val="000000" w:themeColor="text1"/>
          <w:sz w:val="16"/>
          <w:szCs w:val="16"/>
        </w:rPr>
        <w:t>На территории Чехословакии северо-западнее города Годонин войска фронта с боями продвигались вперёд. Занят населённый пункт Кржепице, расположенный в 20 километрах южнее города Брно. На одном участке группа гвардейцев-пулемётчиков во главе со старшим лейтенантом Лобазиным скрытно зашла немцам в тыл и устроила засаду у дороги. Вскоре показалась вражеская колонна. Подпустив противника на близкое расстояние, советские пулеметчики внезапно открыли огонь. Немцы в панике начали разбегаться, бросая вооружение. В это время подоспели бойцы подразделения старшего лейтенанта Сорокина. Они с хода атаковали бегущих гитлеровцев, уничтожая их штыками, прикладами и гранатами. 180 немецких солдат и офицеров прекратили сопротивление и сложили оружие. Гвардейцы захватили 200 повозок, 600 лошадей, 2 бронетранспортёра, 38 пулемётов и другие трофеи.</w:t>
      </w:r>
    </w:p>
    <w:p w14:paraId="4BC7CDDD" w14:textId="77777777" w:rsidR="001438DF" w:rsidRPr="00F90EAE" w:rsidRDefault="001438DF" w:rsidP="00F90EAE">
      <w:pPr>
        <w:jc w:val="both"/>
        <w:rPr>
          <w:color w:val="000000" w:themeColor="text1"/>
          <w:sz w:val="16"/>
          <w:szCs w:val="16"/>
        </w:rPr>
      </w:pPr>
      <w:r w:rsidRPr="00F90EAE">
        <w:rPr>
          <w:color w:val="000000" w:themeColor="text1"/>
          <w:sz w:val="16"/>
          <w:szCs w:val="16"/>
        </w:rPr>
        <w:t>В Австрии севернее и западнее города Санкт-Пельтен наши войска с боями продвигались вперёд. Сломив сопротивление немцев, советские части заняли населенный пункт Обер-Вельблинг и вступили в горно-лесистый район. Противник предпринял несколько контратак, но с большими потерями был отброшен. Другие наши части выбили гитлеровцев из ряда населённых пунктов и вышли к реке Пилах. За день боёв нашими войсками захвачено у немцев 32 танка и самоходных орудия, 62 полевых орудия, 32 бронетранспортёра, 188 пулеметов, 210 железнодорожных вагонов с грузами и 42 склада с боеприпасами и разным военным имуществом.» (15102).</w:t>
      </w:r>
    </w:p>
    <w:p w14:paraId="4B3184D4" w14:textId="77777777" w:rsidR="001438DF" w:rsidRPr="00F90EAE" w:rsidRDefault="001438DF" w:rsidP="00F90EAE">
      <w:pPr>
        <w:jc w:val="both"/>
        <w:rPr>
          <w:color w:val="000000" w:themeColor="text1"/>
          <w:sz w:val="16"/>
          <w:szCs w:val="16"/>
        </w:rPr>
      </w:pPr>
    </w:p>
    <w:p w14:paraId="45C1A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не обошелся без потерь для 108 гшап. Самолеты пошли на штурмовку немецких войск близ Гре</w:t>
      </w:r>
      <w:r w:rsidRPr="00F90EAE">
        <w:rPr>
          <w:color w:val="000000" w:themeColor="text1"/>
          <w:sz w:val="16"/>
          <w:szCs w:val="16"/>
        </w:rPr>
        <w:softHyphen/>
        <w:t>ча, Хайнесбрюка и Вейсача. Их встре</w:t>
      </w:r>
      <w:r w:rsidRPr="00F90EAE">
        <w:rPr>
          <w:color w:val="000000" w:themeColor="text1"/>
          <w:sz w:val="16"/>
          <w:szCs w:val="16"/>
        </w:rPr>
        <w:softHyphen/>
        <w:t>тил сильный зенитный огонь. Из первой группы не вернулся экипаж лейтенанта Михайлова. Во второй младший лейте</w:t>
      </w:r>
      <w:r w:rsidRPr="00F90EAE">
        <w:rPr>
          <w:color w:val="000000" w:themeColor="text1"/>
          <w:sz w:val="16"/>
          <w:szCs w:val="16"/>
        </w:rPr>
        <w:softHyphen/>
        <w:t>нант Маклаков совершил вынужденную посадку: примерно в 20 км от аэродрома Охельхермсдорф на его самолете мо</w:t>
      </w:r>
      <w:r w:rsidRPr="00F90EAE">
        <w:rPr>
          <w:color w:val="000000" w:themeColor="text1"/>
          <w:sz w:val="16"/>
          <w:szCs w:val="16"/>
        </w:rPr>
        <w:softHyphen/>
        <w:t>тор начал давать перебои. Летчик про</w:t>
      </w:r>
      <w:r w:rsidRPr="00F90EAE">
        <w:rPr>
          <w:color w:val="000000" w:themeColor="text1"/>
          <w:sz w:val="16"/>
          <w:szCs w:val="16"/>
        </w:rPr>
        <w:softHyphen/>
        <w:t>должил полет, пытаясь дотянуть до по</w:t>
      </w:r>
      <w:r w:rsidRPr="00F90EAE">
        <w:rPr>
          <w:color w:val="000000" w:themeColor="text1"/>
          <w:sz w:val="16"/>
          <w:szCs w:val="16"/>
        </w:rPr>
        <w:softHyphen/>
        <w:t>лосы, но двигатель остановился. Макла</w:t>
      </w:r>
      <w:r w:rsidRPr="00F90EAE">
        <w:rPr>
          <w:color w:val="000000" w:themeColor="text1"/>
          <w:sz w:val="16"/>
          <w:szCs w:val="16"/>
        </w:rPr>
        <w:softHyphen/>
        <w:t>ков сел прямо на лес. Ил-10 был разбит и восстановлению не подлежал. Ране</w:t>
      </w:r>
      <w:r w:rsidRPr="00F90EAE">
        <w:rPr>
          <w:color w:val="000000" w:themeColor="text1"/>
          <w:sz w:val="16"/>
          <w:szCs w:val="16"/>
        </w:rPr>
        <w:softHyphen/>
        <w:t>ных летчика и стрелка отправили в гос</w:t>
      </w:r>
      <w:r w:rsidRPr="00F90EAE">
        <w:rPr>
          <w:color w:val="000000" w:themeColor="text1"/>
          <w:sz w:val="16"/>
          <w:szCs w:val="16"/>
        </w:rPr>
        <w:softHyphen/>
        <w:t>питаль (10681).</w:t>
      </w:r>
    </w:p>
    <w:p w14:paraId="3161C83F" w14:textId="77777777" w:rsidR="00665165" w:rsidRPr="00F90EAE" w:rsidRDefault="00665165" w:rsidP="00F90EAE">
      <w:pPr>
        <w:autoSpaceDE w:val="0"/>
        <w:autoSpaceDN w:val="0"/>
        <w:adjustRightInd w:val="0"/>
        <w:jc w:val="both"/>
        <w:rPr>
          <w:color w:val="000000" w:themeColor="text1"/>
          <w:sz w:val="16"/>
          <w:szCs w:val="16"/>
        </w:rPr>
      </w:pPr>
    </w:p>
    <w:p w14:paraId="0F4BD6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апреля 1945 первый Ил-10 571-го гшап пострадал от немецких истребителей. Пилоты «яков» слишком поздно заметили пару ФВ 109, заходящих снизу-сзади на ведущего группы штурмовиков и его ведомого. Для воздушных стрелков атака также оказалась неожиданной. В результате на Ил-10 ведомого, младшего лейтенан</w:t>
      </w:r>
      <w:r w:rsidRPr="00F90EAE">
        <w:rPr>
          <w:color w:val="000000" w:themeColor="text1"/>
          <w:sz w:val="16"/>
          <w:szCs w:val="16"/>
        </w:rPr>
        <w:softHyphen/>
        <w:t>та Коротаева, пулеметно-пушечным ог</w:t>
      </w:r>
      <w:r w:rsidRPr="00F90EAE">
        <w:rPr>
          <w:color w:val="000000" w:themeColor="text1"/>
          <w:sz w:val="16"/>
          <w:szCs w:val="16"/>
        </w:rPr>
        <w:softHyphen/>
        <w:t>нем были разбиты киль и руль поворота, в нескольких местах пробиты левая кон</w:t>
      </w:r>
      <w:r w:rsidRPr="00F90EAE">
        <w:rPr>
          <w:color w:val="000000" w:themeColor="text1"/>
          <w:sz w:val="16"/>
          <w:szCs w:val="16"/>
        </w:rPr>
        <w:softHyphen/>
        <w:t>соль крыла и кабина стрелка. Стрелок младший сержант Бабиков получил ра</w:t>
      </w:r>
      <w:r w:rsidRPr="00F90EAE">
        <w:rPr>
          <w:color w:val="000000" w:themeColor="text1"/>
          <w:sz w:val="16"/>
          <w:szCs w:val="16"/>
        </w:rPr>
        <w:softHyphen/>
        <w:t>нения. Выполнив одну-единственную атаку, «мессеры» вышли из боя (10681).</w:t>
      </w:r>
    </w:p>
    <w:p w14:paraId="6B72CB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E03EC06" w14:textId="77777777" w:rsidR="0053208B" w:rsidRPr="00F90EAE" w:rsidRDefault="0053208B" w:rsidP="00F90EAE">
      <w:pPr>
        <w:jc w:val="both"/>
        <w:rPr>
          <w:color w:val="000000" w:themeColor="text1"/>
          <w:sz w:val="16"/>
          <w:szCs w:val="16"/>
        </w:rPr>
      </w:pPr>
      <w:r w:rsidRPr="00F90EAE">
        <w:rPr>
          <w:color w:val="000000" w:themeColor="text1"/>
          <w:sz w:val="16"/>
          <w:szCs w:val="16"/>
        </w:rPr>
        <w:t>17 апреля в 1945 году немецкий ас Эрик Хартман в воздушном бою одержал свою 350-ю победу, сбив советский истребитель «Як-9» (15102).</w:t>
      </w:r>
    </w:p>
    <w:p w14:paraId="67827D11" w14:textId="77777777" w:rsidR="0053208B" w:rsidRPr="00F90EAE" w:rsidRDefault="0053208B" w:rsidP="00F90EAE">
      <w:pPr>
        <w:jc w:val="both"/>
        <w:rPr>
          <w:color w:val="000000" w:themeColor="text1"/>
          <w:sz w:val="16"/>
          <w:szCs w:val="16"/>
        </w:rPr>
      </w:pPr>
    </w:p>
    <w:p w14:paraId="02BBA842" w14:textId="77777777" w:rsidR="00DE5890" w:rsidRPr="00F90EAE" w:rsidRDefault="00DE5890" w:rsidP="00F90EAE">
      <w:pPr>
        <w:jc w:val="both"/>
        <w:rPr>
          <w:color w:val="0070C0"/>
          <w:sz w:val="16"/>
          <w:szCs w:val="16"/>
        </w:rPr>
      </w:pPr>
      <w:r w:rsidRPr="00F90EAE">
        <w:rPr>
          <w:color w:val="0070C0"/>
          <w:sz w:val="16"/>
          <w:szCs w:val="16"/>
        </w:rPr>
        <w:t>17 апреля 1945 пара «свободных охотников» Кожедуб и Титаренко из 176-го ГИАП увидела большую группу FW 190, — по их оценке, в ней было 40 машин. Невзирая на подавляющее превосходство противника, они вызвали подкрепление и, не дожидаясь его подхода, вдвоем атаковали штурмовиков. Одна пара Ла-7 заставила всю вражескую группу сбросить бомбы, не долетев до линии фронта, а Титаренко сбил еще одного «Фоккера». Они вышли из боя только после подхода своих сил, которые окончательно «растерзали» врага. Его боевой порядок сразу распался, и на отходе Кожедуб сбил еще один FW 190 — это был его последний 62-й самолет на личном счету (22772).</w:t>
      </w:r>
    </w:p>
    <w:p w14:paraId="7432927D" w14:textId="77777777" w:rsidR="00DE5890" w:rsidRPr="00F90EAE" w:rsidRDefault="00DE5890" w:rsidP="00F90EAE">
      <w:pPr>
        <w:jc w:val="both"/>
        <w:rPr>
          <w:color w:val="0070C0"/>
          <w:sz w:val="16"/>
          <w:szCs w:val="16"/>
        </w:rPr>
      </w:pPr>
    </w:p>
    <w:p w14:paraId="532AAD30" w14:textId="77777777" w:rsidR="00DE5890" w:rsidRPr="00F90EAE" w:rsidRDefault="00DE5890" w:rsidP="00F90EAE">
      <w:pPr>
        <w:jc w:val="both"/>
        <w:rPr>
          <w:color w:val="0070C0"/>
          <w:sz w:val="16"/>
          <w:szCs w:val="16"/>
        </w:rPr>
      </w:pPr>
      <w:r w:rsidRPr="00F90EAE">
        <w:rPr>
          <w:color w:val="0070C0"/>
          <w:sz w:val="16"/>
          <w:szCs w:val="16"/>
        </w:rPr>
        <w:t>17 апреля 1945 года Третий рейх постигла очередная, самая крупная и оттого самая ужасная катастрофа, и опять на Балтике.</w:t>
      </w:r>
    </w:p>
    <w:p w14:paraId="2742EADF" w14:textId="77777777" w:rsidR="00DE5890" w:rsidRPr="00F90EAE" w:rsidRDefault="00DE5890" w:rsidP="00F90EAE">
      <w:pPr>
        <w:jc w:val="both"/>
        <w:rPr>
          <w:color w:val="0070C0"/>
          <w:sz w:val="16"/>
          <w:szCs w:val="16"/>
        </w:rPr>
      </w:pPr>
      <w:r w:rsidRPr="00F90EAE">
        <w:rPr>
          <w:color w:val="0070C0"/>
          <w:sz w:val="16"/>
          <w:szCs w:val="16"/>
        </w:rPr>
        <w:t>Советская подводная лодка « Л-3 — под командованием капитана 3-го ранга В. К. Коновалова 17 апреля 1945 г. атаковала вражеский конвой и потопила транспорт "Гойя" водоизмещением 5230 т. Судно было конфисковано немцами после занятия Норвегии Германией. На борту «Гойя», по оценке Ф. Руге, находились более 7 тысяч человек (по данным М. Морозова, 1500 солдат 4-й танковой дивизии вермахта, 385 раненых военнослужащих, а также не менее 3500 беженцев — гражданских лиц).</w:t>
      </w:r>
    </w:p>
    <w:p w14:paraId="4D393E15" w14:textId="77777777" w:rsidR="00DE5890" w:rsidRPr="00F90EAE" w:rsidRDefault="00DE5890" w:rsidP="00F90EAE">
      <w:pPr>
        <w:jc w:val="both"/>
        <w:rPr>
          <w:color w:val="0070C0"/>
          <w:sz w:val="16"/>
          <w:szCs w:val="16"/>
        </w:rPr>
      </w:pPr>
      <w:r w:rsidRPr="00F90EAE">
        <w:rPr>
          <w:color w:val="0070C0"/>
          <w:sz w:val="16"/>
          <w:szCs w:val="16"/>
        </w:rPr>
        <w:t>По другим данным, на борту «Гойя» всего находилось 5385 человек, в том числе около 1300 подводников — офицеров, курсантов и матросов (около 30 экипажей ПЛ).</w:t>
      </w:r>
    </w:p>
    <w:p w14:paraId="280F9A00" w14:textId="77777777" w:rsidR="00DE5890" w:rsidRPr="00F90EAE" w:rsidRDefault="00DE5890" w:rsidP="00F90EAE">
      <w:pPr>
        <w:jc w:val="both"/>
        <w:rPr>
          <w:color w:val="0070C0"/>
          <w:sz w:val="16"/>
          <w:szCs w:val="16"/>
        </w:rPr>
      </w:pPr>
      <w:r w:rsidRPr="00F90EAE">
        <w:rPr>
          <w:color w:val="0070C0"/>
          <w:sz w:val="16"/>
          <w:szCs w:val="16"/>
        </w:rPr>
        <w:t>Судно затонуло, унося с собой, по различным оценкам, 6-7 тысяч человек. Удалось спасти от 128 до 134 терпящих бедствие.</w:t>
      </w:r>
    </w:p>
    <w:p w14:paraId="7993BAD4" w14:textId="77777777" w:rsidR="00DE5890" w:rsidRPr="00F90EAE" w:rsidRDefault="00DE5890" w:rsidP="00F90EAE">
      <w:pPr>
        <w:jc w:val="both"/>
        <w:rPr>
          <w:color w:val="0070C0"/>
          <w:sz w:val="16"/>
          <w:szCs w:val="16"/>
        </w:rPr>
      </w:pPr>
      <w:r w:rsidRPr="00F90EAE">
        <w:rPr>
          <w:color w:val="0070C0"/>
          <w:sz w:val="16"/>
          <w:szCs w:val="16"/>
        </w:rPr>
        <w:t>Корабль затонул очень быстро - всего за семь минут, так как судно было грузовое и, в отличие от пассажирского, не имело водонепроницаемых переборок. (20190).</w:t>
      </w:r>
    </w:p>
    <w:p w14:paraId="33734623" w14:textId="77777777" w:rsidR="00DE5890" w:rsidRPr="00F90EAE" w:rsidRDefault="00DE5890" w:rsidP="00F90EAE">
      <w:pPr>
        <w:jc w:val="both"/>
        <w:rPr>
          <w:color w:val="0070C0"/>
          <w:sz w:val="16"/>
          <w:szCs w:val="16"/>
        </w:rPr>
      </w:pPr>
    </w:p>
    <w:p w14:paraId="1404DBAE" w14:textId="77777777" w:rsidR="004A3537" w:rsidRPr="00F90EAE" w:rsidRDefault="004A3537" w:rsidP="00F90EAE">
      <w:pPr>
        <w:jc w:val="both"/>
        <w:rPr>
          <w:color w:val="000000" w:themeColor="text1"/>
          <w:sz w:val="16"/>
          <w:szCs w:val="16"/>
        </w:rPr>
      </w:pPr>
      <w:r w:rsidRPr="00F90EAE">
        <w:rPr>
          <w:color w:val="000000" w:themeColor="text1"/>
          <w:sz w:val="16"/>
          <w:szCs w:val="16"/>
        </w:rPr>
        <w:t>Во вторник 17 апреля 1945 г. стало ясно, что советские войска не продвигаются вперед на Берлин. Сталин потребовал усилить натиск любой ценой. Прорыв Зееловских высот неожиданным маневром осуществили танкисты 1-й Гв. ТА генерала Катукова (17459).</w:t>
      </w:r>
    </w:p>
    <w:p w14:paraId="196C6846" w14:textId="77777777" w:rsidR="004A3537" w:rsidRPr="00F90EAE" w:rsidRDefault="004A3537" w:rsidP="00F90EAE">
      <w:pPr>
        <w:jc w:val="both"/>
        <w:rPr>
          <w:color w:val="000000" w:themeColor="text1"/>
          <w:sz w:val="16"/>
          <w:szCs w:val="16"/>
        </w:rPr>
      </w:pPr>
    </w:p>
    <w:p w14:paraId="6EE8F289" w14:textId="77777777" w:rsidR="00E34C33" w:rsidRPr="00F90EAE" w:rsidRDefault="00E34C33" w:rsidP="00F90EAE">
      <w:pPr>
        <w:jc w:val="both"/>
        <w:rPr>
          <w:color w:val="000000" w:themeColor="text1"/>
          <w:sz w:val="16"/>
          <w:szCs w:val="16"/>
        </w:rPr>
      </w:pPr>
      <w:r w:rsidRPr="00F90EAE">
        <w:rPr>
          <w:bCs/>
          <w:color w:val="000000" w:themeColor="text1"/>
          <w:sz w:val="16"/>
          <w:szCs w:val="16"/>
        </w:rPr>
        <w:t xml:space="preserve">17 апреля 1945 Сталин прореагировал в свойственном ему духе, жестко, бескомпромиссно телеграммой Жукову: «Командующему войсками 1-го Белорусского фронта. Получил Вашу шифровку с изложением показания немецкого пленного насчет того, чтобы не уступать русским и биться до последнего человека, если даже американские войска подойдут к ним в тыл. Не обращайте внимания на показания пленного немца. Гитлер плетет паутину в районе Берлина, чтобы вызвать разногласия между русскими и союзниками. Эту паутину нужно разрубить путем взятия Берлина советскими войсками. Рубите немцев без пощады и скоро будете в Берлине. И. Сталин </w:t>
      </w:r>
      <w:r w:rsidRPr="00F90EAE">
        <w:rPr>
          <w:color w:val="000000" w:themeColor="text1"/>
          <w:sz w:val="16"/>
          <w:szCs w:val="16"/>
        </w:rPr>
        <w:t>17 апр. 1945 г.</w:t>
      </w:r>
      <w:r w:rsidRPr="00F90EAE">
        <w:rPr>
          <w:bCs/>
          <w:color w:val="000000" w:themeColor="text1"/>
          <w:sz w:val="16"/>
          <w:szCs w:val="16"/>
        </w:rPr>
        <w:t xml:space="preserve"> 17 часов 50 мин. (17459).</w:t>
      </w:r>
    </w:p>
    <w:p w14:paraId="79AD58F1" w14:textId="77777777" w:rsidR="00E34C33" w:rsidRPr="00F90EAE" w:rsidRDefault="00E34C33" w:rsidP="00F90EAE">
      <w:pPr>
        <w:jc w:val="both"/>
        <w:rPr>
          <w:color w:val="000000" w:themeColor="text1"/>
          <w:sz w:val="16"/>
          <w:szCs w:val="16"/>
        </w:rPr>
      </w:pPr>
    </w:p>
    <w:p w14:paraId="0A3A1A67" w14:textId="77777777" w:rsidR="004A3537" w:rsidRPr="00F90EAE" w:rsidRDefault="004A3537" w:rsidP="00F90EAE">
      <w:pPr>
        <w:jc w:val="both"/>
        <w:rPr>
          <w:color w:val="000000" w:themeColor="text1"/>
          <w:sz w:val="16"/>
          <w:szCs w:val="16"/>
        </w:rPr>
      </w:pPr>
      <w:r w:rsidRPr="00F90EAE">
        <w:rPr>
          <w:bCs/>
          <w:color w:val="000000" w:themeColor="text1"/>
          <w:sz w:val="16"/>
          <w:szCs w:val="16"/>
        </w:rPr>
        <w:lastRenderedPageBreak/>
        <w:t xml:space="preserve">Ночью с </w:t>
      </w:r>
      <w:r w:rsidRPr="00F90EAE">
        <w:rPr>
          <w:color w:val="000000" w:themeColor="text1"/>
          <w:sz w:val="16"/>
          <w:szCs w:val="16"/>
        </w:rPr>
        <w:t>16 на 17 апреля</w:t>
      </w:r>
      <w:r w:rsidRPr="00F90EAE">
        <w:rPr>
          <w:bCs/>
          <w:color w:val="000000" w:themeColor="text1"/>
          <w:sz w:val="16"/>
          <w:szCs w:val="16"/>
        </w:rPr>
        <w:t xml:space="preserve"> 1945 по железной дороге на Высоты прорвался 11-й танковый корпус, за ним пошла пехота, а потом были введены 8-й мехкорпус и все остальные части армии. В 1941 году у Катукова было всего 45 танков, а теперь эта громада: танк к танку, пушка к пушке — занимала пространство в 150 километров. И в эту узкую горловину вошла вся армия Катукова. В течение </w:t>
      </w:r>
      <w:r w:rsidRPr="00F90EAE">
        <w:rPr>
          <w:color w:val="000000" w:themeColor="text1"/>
          <w:sz w:val="16"/>
          <w:szCs w:val="16"/>
        </w:rPr>
        <w:t>17 и 18 апреля</w:t>
      </w:r>
      <w:r w:rsidRPr="00F90EAE">
        <w:rPr>
          <w:bCs/>
          <w:color w:val="000000" w:themeColor="text1"/>
          <w:sz w:val="16"/>
          <w:szCs w:val="16"/>
        </w:rPr>
        <w:t xml:space="preserve"> армия продвинулась на 7–8 километров. Местность была очень трудная: лес, болота, междуозерные пространства, минные поля, сильная противотанковая оборона. К исходу </w:t>
      </w:r>
      <w:r w:rsidRPr="00F90EAE">
        <w:rPr>
          <w:color w:val="000000" w:themeColor="text1"/>
          <w:sz w:val="16"/>
          <w:szCs w:val="16"/>
        </w:rPr>
        <w:t>19 апреля</w:t>
      </w:r>
      <w:r w:rsidRPr="00F90EAE">
        <w:rPr>
          <w:bCs/>
          <w:color w:val="000000" w:themeColor="text1"/>
          <w:sz w:val="16"/>
          <w:szCs w:val="16"/>
        </w:rPr>
        <w:t xml:space="preserve"> войска продвинулись еще на 10–12 километров и прорвали третью оборонительную полосу противника (17459).</w:t>
      </w:r>
    </w:p>
    <w:p w14:paraId="721396D7" w14:textId="77777777" w:rsidR="004A3537" w:rsidRPr="00F90EAE" w:rsidRDefault="004A3537" w:rsidP="00F90EAE">
      <w:pPr>
        <w:jc w:val="both"/>
        <w:rPr>
          <w:color w:val="000000" w:themeColor="text1"/>
          <w:sz w:val="16"/>
          <w:szCs w:val="16"/>
        </w:rPr>
      </w:pPr>
    </w:p>
    <w:p w14:paraId="748EA37F" w14:textId="77777777" w:rsidR="004A3537" w:rsidRPr="00F90EAE" w:rsidRDefault="004A3537" w:rsidP="00F90EAE">
      <w:pPr>
        <w:jc w:val="both"/>
        <w:rPr>
          <w:color w:val="000000" w:themeColor="text1"/>
          <w:sz w:val="16"/>
          <w:szCs w:val="16"/>
        </w:rPr>
      </w:pPr>
      <w:r w:rsidRPr="00F90EAE">
        <w:rPr>
          <w:color w:val="000000" w:themeColor="text1"/>
          <w:sz w:val="16"/>
          <w:szCs w:val="16"/>
        </w:rPr>
        <w:t>17 апреля 1945 г. подавлены последние очаги сопротивления, разрозненные отряды фольксштурма отошли по дорогам на запад. В тот же день 17 апреля 1945 г. Народная партия и коммунисты Австрии объявили о начале политической деятельности (17459).</w:t>
      </w:r>
    </w:p>
    <w:p w14:paraId="1F2346D6" w14:textId="77777777" w:rsidR="004A3537" w:rsidRPr="00F90EAE" w:rsidRDefault="004A3537" w:rsidP="00F90EAE">
      <w:pPr>
        <w:jc w:val="both"/>
        <w:rPr>
          <w:color w:val="000000" w:themeColor="text1"/>
          <w:sz w:val="16"/>
          <w:szCs w:val="16"/>
        </w:rPr>
      </w:pPr>
    </w:p>
    <w:p w14:paraId="2761316C" w14:textId="77777777" w:rsidR="004A353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6B1C01E" w14:textId="77777777" w:rsidR="004A3537" w:rsidRPr="00F90EAE" w:rsidRDefault="004A3537" w:rsidP="00F90EAE">
      <w:pPr>
        <w:autoSpaceDE w:val="0"/>
        <w:autoSpaceDN w:val="0"/>
        <w:adjustRightInd w:val="0"/>
        <w:jc w:val="both"/>
        <w:rPr>
          <w:iCs/>
          <w:color w:val="000000" w:themeColor="text1"/>
          <w:sz w:val="16"/>
          <w:szCs w:val="16"/>
        </w:rPr>
      </w:pPr>
    </w:p>
    <w:p w14:paraId="7C242E77" w14:textId="77777777" w:rsidR="004A3537" w:rsidRPr="00F90EAE" w:rsidRDefault="004A3537" w:rsidP="00F90EAE">
      <w:pPr>
        <w:autoSpaceDE w:val="0"/>
        <w:autoSpaceDN w:val="0"/>
        <w:adjustRightInd w:val="0"/>
        <w:jc w:val="both"/>
        <w:rPr>
          <w:iCs/>
          <w:color w:val="000000" w:themeColor="text1"/>
          <w:sz w:val="16"/>
          <w:szCs w:val="16"/>
        </w:rPr>
      </w:pPr>
      <w:r w:rsidRPr="00F90EAE">
        <w:rPr>
          <w:color w:val="000000" w:themeColor="text1"/>
          <w:sz w:val="16"/>
          <w:szCs w:val="16"/>
        </w:rPr>
        <w:t>17 апреля 1945 г. в Оттаве подписано Соглашение (известное как Четвертый протокол)Британии, США, Канады и СССР о снабжении СССР в целях оказания помощи в ведении войны (17459).</w:t>
      </w:r>
    </w:p>
    <w:p w14:paraId="131776D5" w14:textId="77777777" w:rsidR="004A3537" w:rsidRPr="00F90EAE" w:rsidRDefault="004A3537" w:rsidP="00F90EAE">
      <w:pPr>
        <w:autoSpaceDE w:val="0"/>
        <w:autoSpaceDN w:val="0"/>
        <w:adjustRightInd w:val="0"/>
        <w:jc w:val="both"/>
        <w:rPr>
          <w:iCs/>
          <w:color w:val="000000" w:themeColor="text1"/>
          <w:sz w:val="16"/>
          <w:szCs w:val="16"/>
        </w:rPr>
      </w:pPr>
    </w:p>
    <w:p w14:paraId="06367691"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726F3A17" w14:textId="77777777" w:rsidR="00665165" w:rsidRPr="00F90EAE" w:rsidRDefault="00665165" w:rsidP="00F90EAE">
      <w:pPr>
        <w:autoSpaceDE w:val="0"/>
        <w:autoSpaceDN w:val="0"/>
        <w:adjustRightInd w:val="0"/>
        <w:jc w:val="both"/>
        <w:rPr>
          <w:iCs/>
          <w:color w:val="000000" w:themeColor="text1"/>
          <w:sz w:val="16"/>
          <w:szCs w:val="16"/>
          <w:lang w:val="en-US"/>
        </w:rPr>
      </w:pPr>
    </w:p>
    <w:p w14:paraId="3014850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17th, 1945: German troops of Heeresgruppe B (329,000 men) surrounded in the Ruhr pocket surrender (their commander, FM Model, commits suicide on April 21). The US Ninth Army captures Magdeburg on the Elbe. In the East, the offensive by the Soviet 1st Belorussian Front against Berlin is stalled at the Seelow Heights 2 miles W of the Oder, with great losses in troops and tanks (3819).</w:t>
      </w:r>
    </w:p>
    <w:p w14:paraId="1E3F72EC" w14:textId="77777777" w:rsidR="00665165" w:rsidRPr="00F90EAE" w:rsidRDefault="00665165" w:rsidP="00F90EAE">
      <w:pPr>
        <w:autoSpaceDE w:val="0"/>
        <w:autoSpaceDN w:val="0"/>
        <w:adjustRightInd w:val="0"/>
        <w:jc w:val="both"/>
        <w:rPr>
          <w:color w:val="000000" w:themeColor="text1"/>
          <w:sz w:val="16"/>
          <w:szCs w:val="16"/>
          <w:lang w:val="en-US"/>
        </w:rPr>
      </w:pPr>
    </w:p>
    <w:p w14:paraId="03288F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войска Группы В (329 тыс. чел.), окруженные в Руре, сдались. Модель 21 апреля совершил самоубийство. 9А США заняла Магдебург на Эльбе. Наступление 1БФ на Берлин было остановлено у Зееловских высот (3819).</w:t>
      </w:r>
    </w:p>
    <w:p w14:paraId="4610D580" w14:textId="77777777" w:rsidR="00665165" w:rsidRPr="00F90EAE" w:rsidRDefault="00665165" w:rsidP="00F90EAE">
      <w:pPr>
        <w:autoSpaceDE w:val="0"/>
        <w:autoSpaceDN w:val="0"/>
        <w:adjustRightInd w:val="0"/>
        <w:jc w:val="both"/>
        <w:rPr>
          <w:color w:val="000000" w:themeColor="text1"/>
          <w:sz w:val="16"/>
          <w:szCs w:val="16"/>
        </w:rPr>
      </w:pPr>
    </w:p>
    <w:p w14:paraId="0EDB6CDE"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17 апреля 1945 г.</w:t>
      </w:r>
      <w:r w:rsidRPr="00F90EAE">
        <w:rPr>
          <w:iCs/>
          <w:color w:val="000000" w:themeColor="text1"/>
          <w:sz w:val="16"/>
          <w:szCs w:val="16"/>
        </w:rPr>
        <w:t xml:space="preserve"> завершающая</w:t>
      </w:r>
      <w:r w:rsidRPr="00F90EAE">
        <w:rPr>
          <w:color w:val="000000" w:themeColor="text1"/>
          <w:sz w:val="16"/>
          <w:szCs w:val="16"/>
        </w:rPr>
        <w:t xml:space="preserve"> пятая бомбежка Дрездена</w:t>
      </w:r>
    </w:p>
    <w:p w14:paraId="12EC3134"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Англичане начинают, а затем американцы завершают разрушение Дрездена.</w:t>
      </w:r>
    </w:p>
    <w:p w14:paraId="0A286658"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Бомбежки города следовали в таком порядке:</w:t>
      </w:r>
    </w:p>
    <w:p w14:paraId="4AEAF843"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Ночь с 13 на 14 февраля 800 английских самолетов</w:t>
      </w:r>
    </w:p>
    <w:p w14:paraId="33430851"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День 14 февраля 400 американских самолетов</w:t>
      </w:r>
    </w:p>
    <w:p w14:paraId="2DA2ED6F"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День 15 февраля 200 американских самолетов</w:t>
      </w:r>
    </w:p>
    <w:p w14:paraId="5E7B8547"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День 2 марта 400 американских самолетов</w:t>
      </w:r>
    </w:p>
    <w:p w14:paraId="43B4D959"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День 17 апреля – финал – 572 американских самолета.</w:t>
      </w:r>
    </w:p>
    <w:p w14:paraId="0C02FC09" w14:textId="77777777" w:rsidR="00A2476C" w:rsidRPr="00F90EAE" w:rsidRDefault="00A2476C" w:rsidP="00F90EAE">
      <w:pPr>
        <w:shd w:val="clear" w:color="auto" w:fill="FFFFFF"/>
        <w:jc w:val="both"/>
        <w:rPr>
          <w:color w:val="000000" w:themeColor="text1"/>
          <w:sz w:val="16"/>
          <w:szCs w:val="16"/>
        </w:rPr>
      </w:pPr>
      <w:r w:rsidRPr="00F90EAE">
        <w:rPr>
          <w:color w:val="000000" w:themeColor="text1"/>
          <w:sz w:val="16"/>
          <w:szCs w:val="16"/>
        </w:rPr>
        <w:t>Последний авианалет был особо жесток – бомбили то, что жители города за полтора месяца восстановили (17459).</w:t>
      </w:r>
    </w:p>
    <w:p w14:paraId="698B8A6F" w14:textId="77777777" w:rsidR="00A2476C" w:rsidRPr="00F90EAE" w:rsidRDefault="00A2476C" w:rsidP="00F90EAE">
      <w:pPr>
        <w:jc w:val="both"/>
        <w:rPr>
          <w:color w:val="000000" w:themeColor="text1"/>
          <w:sz w:val="16"/>
          <w:szCs w:val="16"/>
        </w:rPr>
      </w:pPr>
    </w:p>
    <w:p w14:paraId="294AA1C3" w14:textId="77777777" w:rsidR="00DD6117" w:rsidRPr="00F90EAE" w:rsidRDefault="00DD6117" w:rsidP="00F90EAE">
      <w:pPr>
        <w:shd w:val="clear" w:color="auto" w:fill="FFFFFF"/>
        <w:jc w:val="both"/>
        <w:rPr>
          <w:color w:val="000000" w:themeColor="text1"/>
          <w:sz w:val="16"/>
          <w:szCs w:val="16"/>
        </w:rPr>
      </w:pPr>
      <w:r w:rsidRPr="00F90EAE">
        <w:rPr>
          <w:color w:val="000000" w:themeColor="text1"/>
          <w:sz w:val="16"/>
          <w:szCs w:val="16"/>
        </w:rPr>
        <w:t xml:space="preserve">17 – 18 — 19 апреля 1945 г. битва за партийную </w:t>
      </w:r>
      <w:r w:rsidRPr="00F90EAE">
        <w:rPr>
          <w:iCs/>
          <w:color w:val="000000" w:themeColor="text1"/>
          <w:sz w:val="16"/>
          <w:szCs w:val="16"/>
        </w:rPr>
        <w:t>столицу</w:t>
      </w:r>
      <w:r w:rsidRPr="00F90EAE">
        <w:rPr>
          <w:color w:val="000000" w:themeColor="text1"/>
          <w:sz w:val="16"/>
          <w:szCs w:val="16"/>
        </w:rPr>
        <w:t xml:space="preserve"> Нюрнберг — городское ополчение и «вервольф» СС сражаются в городе с американцами (</w:t>
      </w:r>
      <w:r w:rsidRPr="00F90EAE">
        <w:rPr>
          <w:bCs/>
          <w:iCs/>
          <w:color w:val="000000" w:themeColor="text1"/>
          <w:sz w:val="16"/>
          <w:szCs w:val="16"/>
        </w:rPr>
        <w:t>Ф.Рут «Вервольф. Осколки коричневой империи», М., Яуза-пресс, 2007</w:t>
      </w:r>
      <w:r w:rsidR="00A350B4" w:rsidRPr="00F90EAE">
        <w:rPr>
          <w:bCs/>
          <w:iCs/>
          <w:color w:val="000000" w:themeColor="text1"/>
          <w:sz w:val="16"/>
          <w:szCs w:val="16"/>
        </w:rPr>
        <w:t>»:</w:t>
      </w:r>
    </w:p>
    <w:p w14:paraId="2F2C7CB9" w14:textId="77777777" w:rsidR="00DD6117" w:rsidRPr="00F90EAE" w:rsidRDefault="00DD6117" w:rsidP="00F90EAE">
      <w:pPr>
        <w:shd w:val="clear" w:color="auto" w:fill="FFFFFF"/>
        <w:jc w:val="both"/>
        <w:rPr>
          <w:color w:val="000000" w:themeColor="text1"/>
          <w:sz w:val="16"/>
          <w:szCs w:val="16"/>
        </w:rPr>
      </w:pPr>
      <w:r w:rsidRPr="00F90EAE">
        <w:rPr>
          <w:bCs/>
          <w:color w:val="000000" w:themeColor="text1"/>
          <w:sz w:val="16"/>
          <w:szCs w:val="16"/>
        </w:rPr>
        <w:t xml:space="preserve">«Гауляйтер Нюрнберга пошел еще дальше. В народное ополчение он приказал призывать женщин. Когда ему заметили, что на всех не хватит стрелкового оружия, он парировал: «Тогда они будут терзать зубами американские глотки». Расчеты партийного руководства оправдались — бои за Нюрнберг были очень ожесточенными. Гражданские сражались наравне с военными. Американцам удалось прорваться к центру города лишь </w:t>
      </w:r>
      <w:r w:rsidRPr="00F90EAE">
        <w:rPr>
          <w:color w:val="000000" w:themeColor="text1"/>
          <w:sz w:val="16"/>
          <w:szCs w:val="16"/>
        </w:rPr>
        <w:t>19 апреля</w:t>
      </w:r>
      <w:r w:rsidRPr="00F90EAE">
        <w:rPr>
          <w:bCs/>
          <w:color w:val="000000" w:themeColor="text1"/>
          <w:sz w:val="16"/>
          <w:szCs w:val="16"/>
        </w:rPr>
        <w:t xml:space="preserve">. Там их ждали остатки эсэсовских частей и остатки гражданского населения, не намеренные сдаваться. Мальчишки лет четырнадцати подрывали танки. Неизвестные снайперы открывали огонь в оперативном тылу американских частей, в результате чего все дома приходилось прочесывать вновь и вновь. Но, несмотря на все усилия, после четырехдневного сражения Нюрнберг пал. </w:t>
      </w:r>
      <w:r w:rsidRPr="00F90EAE">
        <w:rPr>
          <w:bCs/>
          <w:iCs/>
          <w:color w:val="000000" w:themeColor="text1"/>
          <w:sz w:val="16"/>
          <w:szCs w:val="16"/>
        </w:rPr>
        <w:t>Словно в насмешку</w:t>
      </w:r>
      <w:r w:rsidRPr="00F90EAE">
        <w:rPr>
          <w:bCs/>
          <w:color w:val="000000" w:themeColor="text1"/>
          <w:sz w:val="16"/>
          <w:szCs w:val="16"/>
        </w:rPr>
        <w:t xml:space="preserve">, это произошло 20 апреля — на 56-ю годовщину Адольфа Гитлера. Но, прежде чем сдать город, </w:t>
      </w:r>
      <w:r w:rsidRPr="00F90EAE">
        <w:rPr>
          <w:bCs/>
          <w:iCs/>
          <w:color w:val="000000" w:themeColor="text1"/>
          <w:sz w:val="16"/>
          <w:szCs w:val="16"/>
        </w:rPr>
        <w:t>почти все видные члены партии, оставшиеся в Нюрнберге, покончили с собой.</w:t>
      </w:r>
      <w:r w:rsidRPr="00F90EAE">
        <w:rPr>
          <w:bCs/>
          <w:color w:val="000000" w:themeColor="text1"/>
          <w:sz w:val="16"/>
          <w:szCs w:val="16"/>
        </w:rPr>
        <w:t>» (17459).</w:t>
      </w:r>
    </w:p>
    <w:p w14:paraId="58B9989A" w14:textId="77777777" w:rsidR="00DD6117" w:rsidRPr="00F90EAE" w:rsidRDefault="00DD6117" w:rsidP="00F90EAE">
      <w:pPr>
        <w:jc w:val="both"/>
        <w:rPr>
          <w:color w:val="000000" w:themeColor="text1"/>
          <w:sz w:val="16"/>
          <w:szCs w:val="16"/>
        </w:rPr>
      </w:pPr>
    </w:p>
    <w:p w14:paraId="63202C27" w14:textId="77777777" w:rsidR="001D1E05" w:rsidRPr="00F90EAE" w:rsidRDefault="001D1E05"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17 и 19 апреля 1945 г. состоялись массированные бомбежки города Усти-над-Лабем - крупного транспортного узла между Прагой, Дрезденом и Берлином. Интенсивные бомбардировки военных заводов Чехословакии продолжались и 1-го, и 3-го, и даже 9 мая 1945 г. Причем, в связи с приближением аэродромов союзников, в налетах наряду с «летающими крепостями» участвовали и двухмоторные бомбардировщики В-26 (19083).</w:t>
      </w:r>
    </w:p>
    <w:p w14:paraId="644AB6B2" w14:textId="77777777" w:rsidR="001D1E05" w:rsidRPr="00F90EAE" w:rsidRDefault="001D1E05" w:rsidP="00F90EAE">
      <w:pPr>
        <w:jc w:val="both"/>
        <w:rPr>
          <w:color w:val="000000" w:themeColor="text1"/>
          <w:sz w:val="16"/>
          <w:szCs w:val="16"/>
        </w:rPr>
      </w:pPr>
    </w:p>
    <w:p w14:paraId="214FC566" w14:textId="77777777" w:rsidR="0053208B" w:rsidRPr="00F90EAE" w:rsidRDefault="0053208B" w:rsidP="00F90EAE">
      <w:pPr>
        <w:jc w:val="both"/>
        <w:rPr>
          <w:color w:val="000000" w:themeColor="text1"/>
          <w:sz w:val="16"/>
          <w:szCs w:val="16"/>
        </w:rPr>
      </w:pPr>
      <w:r w:rsidRPr="00F90EAE">
        <w:rPr>
          <w:color w:val="000000" w:themeColor="text1"/>
          <w:sz w:val="16"/>
          <w:szCs w:val="16"/>
        </w:rPr>
        <w:t>17 апреля в 1945 году британские войска освободили заключенных немецкого Бельзенского концентрационного лагеря (15102).</w:t>
      </w:r>
    </w:p>
    <w:p w14:paraId="0C54A1C4" w14:textId="77777777" w:rsidR="0053208B" w:rsidRPr="00F90EAE" w:rsidRDefault="0053208B" w:rsidP="00F90EAE">
      <w:pPr>
        <w:jc w:val="both"/>
        <w:rPr>
          <w:color w:val="000000" w:themeColor="text1"/>
          <w:sz w:val="16"/>
          <w:szCs w:val="16"/>
        </w:rPr>
      </w:pPr>
    </w:p>
    <w:p w14:paraId="25CE8929" w14:textId="77777777" w:rsidR="00A350B4" w:rsidRPr="00F90EAE" w:rsidRDefault="00A350B4" w:rsidP="00F90EAE">
      <w:pPr>
        <w:shd w:val="clear" w:color="auto" w:fill="FFFFFF"/>
        <w:jc w:val="both"/>
        <w:rPr>
          <w:color w:val="000000" w:themeColor="text1"/>
          <w:sz w:val="16"/>
          <w:szCs w:val="16"/>
        </w:rPr>
      </w:pPr>
      <w:r w:rsidRPr="00F90EAE">
        <w:rPr>
          <w:bCs/>
          <w:color w:val="000000" w:themeColor="text1"/>
          <w:sz w:val="16"/>
          <w:szCs w:val="16"/>
        </w:rPr>
        <w:t xml:space="preserve">В ночь с </w:t>
      </w:r>
      <w:r w:rsidRPr="00F90EAE">
        <w:rPr>
          <w:color w:val="000000" w:themeColor="text1"/>
          <w:sz w:val="16"/>
          <w:szCs w:val="16"/>
        </w:rPr>
        <w:t>17 на 18 апреля</w:t>
      </w:r>
      <w:r w:rsidRPr="00F90EAE">
        <w:rPr>
          <w:bCs/>
          <w:color w:val="000000" w:themeColor="text1"/>
          <w:sz w:val="16"/>
          <w:szCs w:val="16"/>
        </w:rPr>
        <w:t xml:space="preserve"> 1945 Кальтенбруннер и Вольф прибыли в Берлин. Присутствие шофера мешало продолжить разговор в пути. Автомобиль остановился у здания рейхсканцелярии, где находился бункер Гитлера. Перед входом Вольф, воспользовавшись тем, что они были одни, припугнул Кальтенбруннера, сказав, что, если тот снова начнет обвинять его в тайных переговорах и показывать фюреру донесения своих агентов, он заявит, что уже сообщал о контактах с Даллесом Гиммлеру и Кальтенбруннеру во время предыдущего приезда в Берлин, но они настояли скрыть это от Гитлера. Рано утром </w:t>
      </w:r>
      <w:r w:rsidRPr="00F90EAE">
        <w:rPr>
          <w:color w:val="000000" w:themeColor="text1"/>
          <w:sz w:val="16"/>
          <w:szCs w:val="16"/>
        </w:rPr>
        <w:t>18 апреля</w:t>
      </w:r>
      <w:r w:rsidRPr="00F90EAE">
        <w:rPr>
          <w:bCs/>
          <w:color w:val="000000" w:themeColor="text1"/>
          <w:sz w:val="16"/>
          <w:szCs w:val="16"/>
        </w:rPr>
        <w:t xml:space="preserve"> они появились в бункере и стали ждать в приемной перед личными апартаментами фюрера. Вскоре появился Гитлер. Он направлялся в конференц-зал, где военные руководители обычно собирались на традиционные «обсуждения положения». Он был удивлен, заметив Вольфа, однако предложил ему подождать. Около пяти часов утра пригласили Вольфа. Во время разговора Гитлера с Вольфом Фегеляйн и Кальтенбруннер хранили молчание. Подробности этой беседы были восстановлены Вольфом позднее, когда всех остальных участников этой встречи уже не было в живых. Трудно судить о достоверности сведений, сообщенных Вольфом, особенно если учесть, что беседа протекала в атмосфере подозрительности и соперничества, когда каждый из нацистских лидеров заботился прежде всего о том, как спасти себя, и больше всего боялся быть обойденным другим. Согласно этим сведениям, Гитлер внешне держался по отношению к Вольфу дружелюбно, хотя был настроен критически. Он расценил близость генерала к союзникам, о которой ему доложил Кальтенбруннер, как «колоссальное игнорирование власти», но не стал обвинять Вольфа в самовольных действиях. Фюреру, по словам Вольфа, не понравилось, что тот «замешан в жизненно важном для всего рейха политическом деле, будучи осведомленным о положении лишь на одном южном участке фронта и поэтому лишенным возможности понять, как его односторонние действия могут повлиять на тотальный план Гитлера».</w:t>
      </w:r>
    </w:p>
    <w:p w14:paraId="7F70C321" w14:textId="77777777" w:rsidR="00A350B4" w:rsidRPr="00F90EAE" w:rsidRDefault="00A350B4" w:rsidP="00F90EAE">
      <w:pPr>
        <w:shd w:val="clear" w:color="auto" w:fill="FFFFFF"/>
        <w:jc w:val="both"/>
        <w:rPr>
          <w:color w:val="000000" w:themeColor="text1"/>
          <w:sz w:val="16"/>
          <w:szCs w:val="16"/>
        </w:rPr>
      </w:pPr>
      <w:r w:rsidRPr="00F90EAE">
        <w:rPr>
          <w:bCs/>
          <w:color w:val="000000" w:themeColor="text1"/>
          <w:sz w:val="16"/>
          <w:szCs w:val="16"/>
        </w:rPr>
        <w:t>Вольф пустился в подробные объяснения ситуации. Он напомнил Гитлеру, что, когда он был у него в прошлый раз и доложил, что к нему засылают своих посланцев Ватикан, англичане и американцы, фюрер не запретил контактов. Вольф использовал это как «активное их узаконение», что таким же образом истолковал реакцию Гитлера и имперский министр иностранных дел. Вольф объяснил, что причиной, по которой он не информировал о встрече с Даллесом 8 марта, послужило то, что, установив этот контакт по собственной инициативе без официального одобрения Гитлера, он тем самым хотел дать фюреру возможность при неблагоприятном исходе остаться в стороне. «Мне было ясно, заявил Вольф,— что если я провалюсь, то вы от меня в интересах рейха должны будете отказаться». В заключение Вольф сообщил, что его затея увенчалась успехом. Он счастлив поведать Гитлеру, что с помощью Даллеса ему удалось проложить канал связи, ведущий прямо к американскому президенту и премьер-министру Великобритании, если, конечно, фюрер найдет нужным воспользоваться им. Вольф умолчал, разумеется, о своих встречах с «военными советниками» в Асконе. Из беседы с Гиммлером и Кальтенбруннером он вынес твердое убеждение, что они, а следовательно, и Гитлер знают лишь о встрече в Цюрихе 8 марта. Гитлер очень внимательно наблюдал за Вольфом, ожидая, что тот опустит глаза под его пристальным взором. Но Вольф внешне держался спокойно, прямо глядя в глаза фюреру, по крайней мере, так он обрисовал беседу некоторое время спустя. — Хорошо,— отвечал Гитлер,— я согласен с вами и принимаю ваши объяснения. Вам фантастически повезло: если бы ваша затея провалилась, я бы действительно отказался от вас так же, как отказался от Гесса. От вас я ожидаю одного: вы должны держать в своих руках ситуацию на итальянском театре военных действий со всеми тамошними интригами и предательством. Вы это делали безупречно. Я рад, что вы добились успеха.</w:t>
      </w:r>
    </w:p>
    <w:p w14:paraId="23FAD601" w14:textId="77777777" w:rsidR="00A350B4" w:rsidRPr="00F90EAE" w:rsidRDefault="00A350B4" w:rsidP="00F90EAE">
      <w:pPr>
        <w:shd w:val="clear" w:color="auto" w:fill="FFFFFF"/>
        <w:jc w:val="both"/>
        <w:rPr>
          <w:color w:val="000000" w:themeColor="text1"/>
          <w:sz w:val="16"/>
          <w:szCs w:val="16"/>
        </w:rPr>
      </w:pPr>
      <w:r w:rsidRPr="00F90EAE">
        <w:rPr>
          <w:bCs/>
          <w:color w:val="000000" w:themeColor="text1"/>
          <w:sz w:val="16"/>
          <w:szCs w:val="16"/>
        </w:rPr>
        <w:t>Затем фюрер спросил, как Вольф представляет себе условия капитуляции. Тот, если верить его более поздним заявлениям, будто бы ответил, что безоговорочная капитуляция неизбежна. Но, вероятно, существует возможность некоторого смягчения условий. Внезапно Гитлер прервал беседу, сказав, что хочет отдохнуть, и предложил Вольфу явиться в 17 часов. Судя по всему, он хотел обдумать ситуацию. Итак, как считал Вольф, он первый круг испытаний прошел. Его «обаяние и искренность» сработали и на этот раз, однако главное впереди. Вольф видел, что Гитлер пребывает в состоянии умственного и физического истощения, и понял, что ему просто повезло, так как в тот момент его объяснения как нельзя более отвечали бродившим в голове Гитлера навязчивым идеям. Кальтенбруннер отмалчивался.</w:t>
      </w:r>
    </w:p>
    <w:p w14:paraId="68F0B881" w14:textId="77777777" w:rsidR="00A350B4" w:rsidRPr="00F90EAE" w:rsidRDefault="00A350B4" w:rsidP="00F90EAE">
      <w:pPr>
        <w:shd w:val="clear" w:color="auto" w:fill="FFFFFF"/>
        <w:jc w:val="both"/>
        <w:rPr>
          <w:color w:val="000000" w:themeColor="text1"/>
          <w:sz w:val="16"/>
          <w:szCs w:val="16"/>
        </w:rPr>
      </w:pPr>
      <w:r w:rsidRPr="00F90EAE">
        <w:rPr>
          <w:bCs/>
          <w:color w:val="000000" w:themeColor="text1"/>
          <w:sz w:val="16"/>
          <w:szCs w:val="16"/>
        </w:rPr>
        <w:t xml:space="preserve">Ожидая на следующий день приема, Вольф обратил внимание на то, что в бункере царила крайне напряженная атмосфера. Для всех, кроме Гитлера, было ясно, что чуда не произойдет и что советские войска будут в Берлине через несколько дней. Начался воздушный налет. После отбоя появился Гитлер и предложил Вольфу прогуляться с ним по площадке, под которой располагался бункер. Здание рейхсканцелярии сильно пострадало, почти весь парк был разбомблен, но на площадке еще оставалась одна пригодная для прогулок дорожка. К ним присоединились Фегеляйн и Кальтенбруннер. Гитлер сказал, что обдумал предложение Вольфа в свете своего тотального плана. Основу его военно-политической стратегии, подчеркнул он, составляет расчет на неизбежность столкновения советских и англо-американских </w:t>
      </w:r>
      <w:r w:rsidRPr="00F90EAE">
        <w:rPr>
          <w:bCs/>
          <w:color w:val="000000" w:themeColor="text1"/>
          <w:sz w:val="16"/>
          <w:szCs w:val="16"/>
        </w:rPr>
        <w:lastRenderedPageBreak/>
        <w:t>войск, на возможность объединения с западными союзниками для совместного продолжения войны против СССР. — Отправляйтесь в Италию,— заключил Гитлер,— поддерживайте контакт с американцами и попытайтесь сторговаться c ними на наилучших условиях.</w:t>
      </w:r>
    </w:p>
    <w:p w14:paraId="75E32C63" w14:textId="77777777" w:rsidR="00A350B4" w:rsidRPr="00F90EAE" w:rsidRDefault="00A350B4" w:rsidP="00F90EAE">
      <w:pPr>
        <w:shd w:val="clear" w:color="auto" w:fill="FFFFFF"/>
        <w:jc w:val="both"/>
        <w:rPr>
          <w:color w:val="000000" w:themeColor="text1"/>
          <w:sz w:val="16"/>
          <w:szCs w:val="16"/>
        </w:rPr>
      </w:pPr>
      <w:r w:rsidRPr="00F90EAE">
        <w:rPr>
          <w:color w:val="000000" w:themeColor="text1"/>
          <w:sz w:val="16"/>
          <w:szCs w:val="16"/>
        </w:rPr>
        <w:t>Вольф 19 апреля 1945 г. вернулся в Мюнхен, в этот же день он улетел в штаб в Фазано в Северную Италию, но переговоры продолжить не сумел, т.к. американцы дали команду своим разведчикам немедленно прервать все контакты. Причина была очевидна – 12 апреля 1945 г. умер президент США Рузвельт, а вице-президент Трумен занимал значительно более жесткую позицию в войне – вскоре он это продемонстрировал, когда 8 мая 1945 г. прекратил ленд-лиз для СССР (кстати, в свой 59-й день рождения, этот же день – 8 мая западные союзники считают Днем победы над Германией), а затем сбросил 2 атомные бомбы — 6 августа 1945 г. на Хиросиму и 8 августа 1945 г. на Нагасаки (17459).</w:t>
      </w:r>
    </w:p>
    <w:p w14:paraId="272AD803" w14:textId="77777777" w:rsidR="00A350B4" w:rsidRPr="00F90EAE" w:rsidRDefault="00A350B4" w:rsidP="00F90EAE">
      <w:pPr>
        <w:jc w:val="both"/>
        <w:rPr>
          <w:color w:val="000000" w:themeColor="text1"/>
          <w:sz w:val="16"/>
          <w:szCs w:val="16"/>
        </w:rPr>
      </w:pPr>
    </w:p>
    <w:p w14:paraId="31ADC348" w14:textId="77777777" w:rsidR="00A350B4" w:rsidRPr="00F90EAE" w:rsidRDefault="00A350B4" w:rsidP="00F90EAE">
      <w:pPr>
        <w:jc w:val="both"/>
        <w:rPr>
          <w:color w:val="000000" w:themeColor="text1"/>
          <w:sz w:val="16"/>
          <w:szCs w:val="16"/>
        </w:rPr>
      </w:pPr>
      <w:r w:rsidRPr="00F90EAE">
        <w:rPr>
          <w:color w:val="000000" w:themeColor="text1"/>
          <w:sz w:val="16"/>
          <w:szCs w:val="16"/>
        </w:rPr>
        <w:t>17 апреля 1945 г. Народная партия и коммунисты Австрии объявили о начале политической деятельности (17459).</w:t>
      </w:r>
    </w:p>
    <w:p w14:paraId="722972FA" w14:textId="77777777" w:rsidR="00A350B4" w:rsidRPr="00F90EAE" w:rsidRDefault="00A350B4" w:rsidP="00F90EAE">
      <w:pPr>
        <w:jc w:val="both"/>
        <w:rPr>
          <w:color w:val="000000" w:themeColor="text1"/>
          <w:sz w:val="16"/>
          <w:szCs w:val="16"/>
        </w:rPr>
      </w:pPr>
    </w:p>
    <w:p w14:paraId="3B2CC826" w14:textId="77777777" w:rsidR="00A350B4" w:rsidRPr="00F90EAE" w:rsidRDefault="00A350B4" w:rsidP="00F90EAE">
      <w:pPr>
        <w:jc w:val="both"/>
        <w:rPr>
          <w:bCs/>
          <w:color w:val="000000" w:themeColor="text1"/>
          <w:sz w:val="16"/>
          <w:szCs w:val="16"/>
        </w:rPr>
      </w:pPr>
      <w:r w:rsidRPr="00F90EAE">
        <w:rPr>
          <w:color w:val="000000" w:themeColor="text1"/>
          <w:sz w:val="16"/>
          <w:szCs w:val="16"/>
        </w:rPr>
        <w:t>17 апреля (1945)</w:t>
      </w:r>
      <w:r w:rsidRPr="00F90EAE">
        <w:rPr>
          <w:bCs/>
          <w:color w:val="000000" w:themeColor="text1"/>
          <w:sz w:val="16"/>
          <w:szCs w:val="16"/>
        </w:rPr>
        <w:t>, восстановился буржуазный лагерь. «Социальные христиане» и Ландбунд (прежде имевший немецко-национальный характер) образовали Австрийскую народную партию (АНП). В тот же день была вновь организована Коммунистическая партия Австрии (КПА), приверженцы которой составляли главную силу Сопротивления (17459).</w:t>
      </w:r>
    </w:p>
    <w:p w14:paraId="40071FDD" w14:textId="77777777" w:rsidR="00A350B4" w:rsidRPr="00F90EAE" w:rsidRDefault="00A350B4" w:rsidP="00F90EAE">
      <w:pPr>
        <w:jc w:val="both"/>
        <w:rPr>
          <w:color w:val="000000" w:themeColor="text1"/>
          <w:sz w:val="16"/>
          <w:szCs w:val="16"/>
        </w:rPr>
      </w:pPr>
    </w:p>
    <w:p w14:paraId="6C5E3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April 17 1945 Alsos group under Gen. Pash seize 1100 tons uranium at Stassfurt, pile at Haigerloch. </w:t>
      </w:r>
      <w:r w:rsidRPr="00F90EAE">
        <w:rPr>
          <w:color w:val="000000" w:themeColor="text1"/>
          <w:sz w:val="16"/>
          <w:szCs w:val="16"/>
        </w:rPr>
        <w:t>This will prevent Russians from getting a-bomb (1052).</w:t>
      </w:r>
    </w:p>
    <w:p w14:paraId="751AB749" w14:textId="77777777" w:rsidR="00665165" w:rsidRPr="00F90EAE" w:rsidRDefault="00665165" w:rsidP="00F90EAE">
      <w:pPr>
        <w:autoSpaceDE w:val="0"/>
        <w:autoSpaceDN w:val="0"/>
        <w:adjustRightInd w:val="0"/>
        <w:jc w:val="both"/>
        <w:rPr>
          <w:color w:val="000000" w:themeColor="text1"/>
          <w:sz w:val="16"/>
          <w:szCs w:val="16"/>
        </w:rPr>
      </w:pPr>
    </w:p>
    <w:p w14:paraId="1CF670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апреля 1945 американцы захватили в Германии 1100 т урана и это задержало разработку советской атомной бомбы (1052).</w:t>
      </w:r>
    </w:p>
    <w:p w14:paraId="3541A1F0" w14:textId="77777777" w:rsidR="00665165" w:rsidRPr="00F90EAE" w:rsidRDefault="00665165" w:rsidP="00F90EAE">
      <w:pPr>
        <w:autoSpaceDE w:val="0"/>
        <w:autoSpaceDN w:val="0"/>
        <w:adjustRightInd w:val="0"/>
        <w:jc w:val="both"/>
        <w:rPr>
          <w:color w:val="000000" w:themeColor="text1"/>
          <w:sz w:val="16"/>
          <w:szCs w:val="16"/>
        </w:rPr>
      </w:pPr>
    </w:p>
    <w:p w14:paraId="31EE3B39" w14:textId="77777777" w:rsidR="0053208B" w:rsidRPr="00F90EAE" w:rsidRDefault="0053208B" w:rsidP="00F90EAE">
      <w:pPr>
        <w:jc w:val="both"/>
        <w:rPr>
          <w:color w:val="000000" w:themeColor="text1"/>
          <w:sz w:val="16"/>
          <w:szCs w:val="16"/>
        </w:rPr>
      </w:pPr>
      <w:r w:rsidRPr="00F90EAE">
        <w:rPr>
          <w:color w:val="000000" w:themeColor="text1"/>
          <w:sz w:val="16"/>
          <w:szCs w:val="16"/>
        </w:rPr>
        <w:t>17 апреля в 1945 году впервые японцами были применены бомбардировщики - камикадзе «Ki.167», когда в район Окинавы стартовали три бомбардировщика с «Сакурадан». Боевая часть «Сакурадан» имела диаметр 1,6 м. Hа самолет она ставилась так, чтобы ударное ядро взрыва направлялось под небольшим углом вниз. Для этого бомбу пришлось установить у центра тяжести самолета так, чтобы она на 0,5 м возвышалась над фюзеляжем. Бомбардировщик при этом приобрел большой обтекатель за кабиной пилота, закрывающий «Сакурадан» (15102).</w:t>
      </w:r>
    </w:p>
    <w:p w14:paraId="1B62B4AE" w14:textId="77777777" w:rsidR="0053208B" w:rsidRPr="00F90EAE" w:rsidRDefault="0053208B" w:rsidP="00F90EAE">
      <w:pPr>
        <w:jc w:val="both"/>
        <w:rPr>
          <w:color w:val="000000" w:themeColor="text1"/>
          <w:sz w:val="16"/>
          <w:szCs w:val="16"/>
        </w:rPr>
      </w:pPr>
    </w:p>
    <w:p w14:paraId="34BA28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4BC96D7" w14:textId="77777777" w:rsidR="00665165" w:rsidRPr="00F90EAE" w:rsidRDefault="00665165" w:rsidP="00F90EAE">
      <w:pPr>
        <w:autoSpaceDE w:val="0"/>
        <w:autoSpaceDN w:val="0"/>
        <w:adjustRightInd w:val="0"/>
        <w:jc w:val="both"/>
        <w:rPr>
          <w:iCs/>
          <w:color w:val="000000" w:themeColor="text1"/>
          <w:sz w:val="16"/>
          <w:szCs w:val="16"/>
        </w:rPr>
      </w:pPr>
    </w:p>
    <w:p w14:paraId="31F3A9CC"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К 18 апреля 1945 полевой вариант заслонки был испытан на серийном самолете Ил-10 зав. № 1892105 и рекомендован для массового применения в войсках.</w:t>
      </w:r>
    </w:p>
    <w:p w14:paraId="6BC5BBF7"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1BC8F02A" w14:textId="77777777" w:rsidR="006E65ED" w:rsidRPr="00F90EAE" w:rsidRDefault="006E65ED" w:rsidP="00F90EAE">
      <w:pPr>
        <w:jc w:val="both"/>
        <w:rPr>
          <w:rStyle w:val="107"/>
          <w:rFonts w:eastAsiaTheme="minorHAnsi"/>
          <w:color w:val="000000" w:themeColor="text1"/>
          <w:sz w:val="16"/>
          <w:szCs w:val="16"/>
        </w:rPr>
      </w:pPr>
    </w:p>
    <w:p w14:paraId="06B23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А.E.Репиным был утвержден отчет о специальных летных испытаниях пушечного вооружения 2-х с-тов Ла-7 №№ 38102660 и 38108459 по три модифицированных пушки калибра 20мм (Б-20с) производства завода № 381, которые проводились с 26 марта по 6 апреля 1945</w:t>
      </w:r>
    </w:p>
    <w:p w14:paraId="7D1F2F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Выполнили 30 полетов, настрел - 6635 выстрелов.</w:t>
      </w:r>
    </w:p>
    <w:p w14:paraId="3066EE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Исполнитель ви 7 отд. 1У ГК НИИ ВВС и-м В.А.Березин</w:t>
      </w:r>
    </w:p>
    <w:p w14:paraId="77DA4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 И 1 от-я 4 У ГК НИИ ВВС Г.В.Минеев</w:t>
      </w:r>
    </w:p>
    <w:p w14:paraId="0CBB43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Опытные синхронные пушки Б-20 (УБ-20) изготовлены в августе 1944 г. и проходили госиспытания в 4У ГК НИИ ВВС и испытания выдержали (отчет от 5 сентября 1944). Постановлением ГКО № 6681 от 10 октября 1944 пушки Б-20с были приняты на вооружение ВВС КА.</w:t>
      </w:r>
    </w:p>
    <w:p w14:paraId="07131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Опытная синхронная установка с-та Ла-7 под 3 пушки Б-20 госиспытания проходили в комплексе с госиспытаниями пушек в августе 1944 и испытания выдержали (отчет 4У ГК НИИ ВВС от 5 сентября 1944 № 02283).</w:t>
      </w:r>
    </w:p>
    <w:p w14:paraId="0315A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Серийное производство с-та Ла-7 с синхронной установкой под 3 пушки Б-20 было организовано на заводе № 381 вместо с-тов с синхронной установкой под 2 пушки ШВАК.</w:t>
      </w:r>
    </w:p>
    <w:p w14:paraId="71CF2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Серийные с-ты Ла-7 з-да № 381, вооруженные синхронными пушками Б-20 проходили контрольные испытания в ГК НИИ ВВС в феврале 1945 г. и в марте 1945 г. Были выявлены следующие основные дефекты: ненадежная работа Б-20, недостаточная прочность силовой рамы лафета установки, недостаточная прочность переднего силового крепления пушек, массовые обрывы синхролнизирующих тяг. Эти с-ты (их было 10) с испытаний были сняты.</w:t>
      </w:r>
    </w:p>
    <w:p w14:paraId="345B5C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них предъявлены данные с-ты с модернизированными пушками Б-20с (с “гусями”) и доведенной синхронизирующей установкой.</w:t>
      </w:r>
    </w:p>
    <w:p w14:paraId="2FF05E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33727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Специальные летные испытания пушечного вооружения с-та Ла-7 ..., предъявленного заводом № 381, прошли неудовлетворительно вследствие ненадежной работы модернизированной пушки Б-20с и недостаточной живучести лафетов синхронизирующей установки.</w:t>
      </w:r>
    </w:p>
    <w:p w14:paraId="48BC84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Летали Прошаков, Кубышкин (741,4).</w:t>
      </w:r>
    </w:p>
    <w:p w14:paraId="032358E5" w14:textId="77777777" w:rsidR="00665165" w:rsidRPr="00F90EAE" w:rsidRDefault="00665165" w:rsidP="00F90EAE">
      <w:pPr>
        <w:autoSpaceDE w:val="0"/>
        <w:autoSpaceDN w:val="0"/>
        <w:adjustRightInd w:val="0"/>
        <w:jc w:val="both"/>
        <w:rPr>
          <w:color w:val="000000" w:themeColor="text1"/>
          <w:sz w:val="16"/>
          <w:szCs w:val="16"/>
        </w:rPr>
      </w:pPr>
    </w:p>
    <w:p w14:paraId="7E15FF10" w14:textId="77777777" w:rsidR="006979C2" w:rsidRPr="00F90EAE" w:rsidRDefault="006979C2" w:rsidP="00F90EAE">
      <w:pPr>
        <w:jc w:val="both"/>
        <w:rPr>
          <w:color w:val="000000" w:themeColor="text1"/>
          <w:sz w:val="16"/>
          <w:szCs w:val="16"/>
        </w:rPr>
      </w:pPr>
      <w:r w:rsidRPr="00F90EAE">
        <w:rPr>
          <w:color w:val="000000" w:themeColor="text1"/>
          <w:sz w:val="16"/>
          <w:szCs w:val="16"/>
        </w:rPr>
        <w:t>18 апреля 1945 г. из ПРИКАЗА НАРОДНОГО КОМИССАРА АВИАЦИОННОЙ ПРОМЫШЛЕННОСТИ СССР «О НАПРАВЛЕНИИ НА ЗАВОД № 153 НКАП 1 500 РАБОЧИХ ИЗ ЧИСЛА ДОСРОЧНО ОСВОБОЖДЕННЫХ ОТ ОТБЫВАНИЯ НАКАЗАНИЯ»</w:t>
      </w:r>
    </w:p>
    <w:p w14:paraId="2CE6F9A9" w14:textId="77777777" w:rsidR="006979C2" w:rsidRPr="00F90EAE" w:rsidRDefault="006979C2" w:rsidP="00F90EAE">
      <w:pPr>
        <w:jc w:val="both"/>
        <w:rPr>
          <w:color w:val="000000" w:themeColor="text1"/>
          <w:sz w:val="16"/>
          <w:szCs w:val="16"/>
        </w:rPr>
      </w:pPr>
      <w:r w:rsidRPr="00F90EAE">
        <w:rPr>
          <w:color w:val="000000" w:themeColor="text1"/>
          <w:sz w:val="16"/>
          <w:szCs w:val="16"/>
        </w:rPr>
        <w:t>Государственный Комитет Обороны распоряжением № 8 037сс от 6 апреля 1945 года обязал:</w:t>
      </w:r>
    </w:p>
    <w:p w14:paraId="340481B7" w14:textId="77777777" w:rsidR="006979C2" w:rsidRPr="00F90EAE" w:rsidRDefault="006979C2" w:rsidP="00F90EAE">
      <w:pPr>
        <w:jc w:val="both"/>
        <w:rPr>
          <w:color w:val="000000" w:themeColor="text1"/>
          <w:sz w:val="16"/>
          <w:szCs w:val="16"/>
        </w:rPr>
      </w:pPr>
      <w:r w:rsidRPr="00F90EAE">
        <w:rPr>
          <w:color w:val="000000" w:themeColor="text1"/>
          <w:sz w:val="16"/>
          <w:szCs w:val="16"/>
        </w:rPr>
        <w:t>1. Прокурора Союза ССР (т. Горшенина) и НКВД СССР (т. Чернышева) отобрать в апреле - мае 1945 г. 1 500 человек из числа лиц, привлеченных к ответственности за самовольный уход с предприятий и бытовые преступления, для работы на заводе № 153 НКАП. Указанные лица должны быть освобождены от дальнейшего отбывания наказания и переданы по месту освобождения представителям НКАП для организованной отправки их к месту работы.</w:t>
      </w:r>
    </w:p>
    <w:p w14:paraId="2BF12199" w14:textId="77777777" w:rsidR="006979C2" w:rsidRPr="00F90EAE" w:rsidRDefault="006979C2" w:rsidP="00F90EAE">
      <w:pPr>
        <w:jc w:val="both"/>
        <w:rPr>
          <w:color w:val="000000" w:themeColor="text1"/>
          <w:sz w:val="16"/>
          <w:szCs w:val="16"/>
        </w:rPr>
      </w:pPr>
      <w:r w:rsidRPr="00F90EAE">
        <w:rPr>
          <w:color w:val="000000" w:themeColor="text1"/>
          <w:sz w:val="16"/>
          <w:szCs w:val="16"/>
        </w:rPr>
        <w:t>2. НКО (т. Смородинова) освободить этих лиц от призыва в Красную Армию.</w:t>
      </w:r>
    </w:p>
    <w:p w14:paraId="5CA2B56F" w14:textId="77777777" w:rsidR="006979C2" w:rsidRPr="00F90EAE" w:rsidRDefault="006979C2" w:rsidP="00F90EAE">
      <w:pPr>
        <w:jc w:val="both"/>
        <w:rPr>
          <w:color w:val="000000" w:themeColor="text1"/>
          <w:sz w:val="16"/>
          <w:szCs w:val="16"/>
        </w:rPr>
      </w:pPr>
      <w:r w:rsidRPr="00F90EAE">
        <w:rPr>
          <w:color w:val="000000" w:themeColor="text1"/>
          <w:sz w:val="16"/>
          <w:szCs w:val="16"/>
        </w:rPr>
        <w:t>В соответствии с этим распоряжением ПРИКАЗЫВАЮ:</w:t>
      </w:r>
    </w:p>
    <w:p w14:paraId="69174EC5" w14:textId="77777777" w:rsidR="006979C2" w:rsidRPr="00F90EAE" w:rsidRDefault="006979C2" w:rsidP="00F90EAE">
      <w:pPr>
        <w:jc w:val="both"/>
        <w:rPr>
          <w:color w:val="000000" w:themeColor="text1"/>
          <w:sz w:val="16"/>
          <w:szCs w:val="16"/>
        </w:rPr>
      </w:pPr>
      <w:r w:rsidRPr="00F90EAE">
        <w:rPr>
          <w:color w:val="000000" w:themeColor="text1"/>
          <w:sz w:val="16"/>
          <w:szCs w:val="16"/>
        </w:rPr>
        <w:t>1. Директору завода № 153 т. Лисицыну В.Н.: подготовить общежития, оснащенные необходимым инвентарем (кровати, матрацы, постельные принадлежности, столы, тумбочки, табуретки, бачки для воды, чайники), а также другие необходимые бытовые условия для размещения 1 500 рабочих; командировать руководящих работников завода в соответствующие областные управления НКВД, где выделяются указанные рабочие, в качестве уполномоченных для отбора, приема и сопровождения их к месту работы. Обеспечить командируемых работников завода денежными средствами на расходы, связанные с перевозкой рабочих. Оплатить проезд направляемых рабочих и выдать им на руки при выезде на место работы за время нахождения в пути суточные из расчета 10 рублей в сутки. Выдать этим рабочим, по прибытии на место работы, аванс в размере 500 рублей каждому с последующим удержанием его из заработной платы в течение шести месяцев. Обеспечить продажу верхней одежды, белья и обуви нуждающимся рабочим, прибывающим на завод, за счет фондов на промтовары, выделяемых Главурсом НКАП.</w:t>
      </w:r>
    </w:p>
    <w:p w14:paraId="3E35C78A" w14:textId="77777777" w:rsidR="006979C2" w:rsidRPr="00F90EAE" w:rsidRDefault="006979C2" w:rsidP="00F90EAE">
      <w:pPr>
        <w:jc w:val="both"/>
        <w:rPr>
          <w:color w:val="000000" w:themeColor="text1"/>
          <w:sz w:val="16"/>
          <w:szCs w:val="16"/>
        </w:rPr>
      </w:pPr>
      <w:r w:rsidRPr="00F90EAE">
        <w:rPr>
          <w:color w:val="000000" w:themeColor="text1"/>
          <w:sz w:val="16"/>
          <w:szCs w:val="16"/>
        </w:rPr>
        <w:t>2. Заместителю народного комиссара - тов. Шорину Г.Ф.: обеспечить выделение фондов на снабжение продовольствием и горячим питанием в пути следования рабочих до места работы; выделить во II квартале дополнительно заводу № 153 фонды на продовольственные товары для вновь поступающих рабочих на 1 500 человек; выделить также дополнительно во II квартале текущего года заводу № 153 фонды на промтовары и пошивку постельных принадлежностей для вновь поступающих рабочих.</w:t>
      </w:r>
    </w:p>
    <w:p w14:paraId="3034C928" w14:textId="77777777" w:rsidR="006979C2" w:rsidRPr="00F90EAE" w:rsidRDefault="006979C2" w:rsidP="00F90EAE">
      <w:pPr>
        <w:jc w:val="both"/>
        <w:rPr>
          <w:color w:val="000000" w:themeColor="text1"/>
          <w:sz w:val="16"/>
          <w:szCs w:val="16"/>
        </w:rPr>
      </w:pPr>
      <w:r w:rsidRPr="00F90EAE">
        <w:rPr>
          <w:color w:val="000000" w:themeColor="text1"/>
          <w:sz w:val="16"/>
          <w:szCs w:val="16"/>
        </w:rPr>
        <w:t>3. Заместителю народного комиссара - тов. Сандлеру СМ. выделить дополнительно заводу № 153 во II квартале: хлопчатобумажных костюмов — 500 штук, обуви - 1 000 пар, хлопчатобумажных тканей для постельных принадлежностей — 20 000 метров.</w:t>
      </w:r>
    </w:p>
    <w:p w14:paraId="7415DD11" w14:textId="77777777" w:rsidR="006979C2" w:rsidRPr="00F90EAE" w:rsidRDefault="006979C2" w:rsidP="00F90EAE">
      <w:pPr>
        <w:jc w:val="both"/>
        <w:rPr>
          <w:color w:val="000000" w:themeColor="text1"/>
          <w:sz w:val="16"/>
          <w:szCs w:val="16"/>
        </w:rPr>
      </w:pPr>
      <w:r w:rsidRPr="00F90EAE">
        <w:rPr>
          <w:color w:val="000000" w:themeColor="text1"/>
          <w:sz w:val="16"/>
          <w:szCs w:val="16"/>
        </w:rPr>
        <w:t>4. Начальнику Транспортного управления — тов. Супруну СИ. обеспечить в апреле и мае 1945 года перевозку выделенных заводу № 153 1 500 человек рабочих до места работы.</w:t>
      </w:r>
    </w:p>
    <w:p w14:paraId="05CED7B4" w14:textId="77777777" w:rsidR="006979C2" w:rsidRPr="00F90EAE" w:rsidRDefault="006979C2" w:rsidP="00F90EAE">
      <w:pPr>
        <w:jc w:val="both"/>
        <w:rPr>
          <w:color w:val="000000" w:themeColor="text1"/>
          <w:sz w:val="16"/>
          <w:szCs w:val="16"/>
        </w:rPr>
      </w:pPr>
      <w:r w:rsidRPr="00F90EAE">
        <w:rPr>
          <w:color w:val="000000" w:themeColor="text1"/>
          <w:sz w:val="16"/>
          <w:szCs w:val="16"/>
        </w:rPr>
        <w:t>п.п. Народный комиссар</w:t>
      </w:r>
    </w:p>
    <w:p w14:paraId="6B35D80C" w14:textId="77777777" w:rsidR="006979C2" w:rsidRPr="00F90EAE" w:rsidRDefault="006979C2" w:rsidP="00F90EAE">
      <w:pPr>
        <w:jc w:val="both"/>
        <w:rPr>
          <w:color w:val="000000" w:themeColor="text1"/>
          <w:sz w:val="16"/>
          <w:szCs w:val="16"/>
        </w:rPr>
      </w:pPr>
      <w:r w:rsidRPr="00F90EAE">
        <w:rPr>
          <w:color w:val="000000" w:themeColor="text1"/>
          <w:sz w:val="16"/>
          <w:szCs w:val="16"/>
        </w:rPr>
        <w:t>авиационной промышленности А. Шахурин</w:t>
      </w:r>
    </w:p>
    <w:p w14:paraId="0BAE4564" w14:textId="77777777" w:rsidR="006979C2" w:rsidRPr="00F90EAE" w:rsidRDefault="006979C2" w:rsidP="00F90EAE">
      <w:pPr>
        <w:jc w:val="both"/>
        <w:rPr>
          <w:color w:val="000000" w:themeColor="text1"/>
          <w:sz w:val="16"/>
          <w:szCs w:val="16"/>
        </w:rPr>
      </w:pPr>
      <w:r w:rsidRPr="00F90EAE">
        <w:rPr>
          <w:color w:val="000000" w:themeColor="text1"/>
          <w:sz w:val="16"/>
          <w:szCs w:val="16"/>
        </w:rPr>
        <w:t>ГАНО. Ф. П-4. Оп. 9. Д. 353. Л. 45-46. Заверенная копия.</w:t>
      </w:r>
    </w:p>
    <w:p w14:paraId="37A8B8B6" w14:textId="77777777" w:rsidR="006979C2" w:rsidRPr="00F90EAE" w:rsidRDefault="006979C2" w:rsidP="00F90EAE">
      <w:pPr>
        <w:jc w:val="both"/>
        <w:rPr>
          <w:color w:val="000000" w:themeColor="text1"/>
          <w:sz w:val="16"/>
          <w:szCs w:val="16"/>
        </w:rPr>
      </w:pPr>
      <w:r w:rsidRPr="00F90EAE">
        <w:rPr>
          <w:color w:val="000000" w:themeColor="text1"/>
          <w:sz w:val="16"/>
          <w:szCs w:val="16"/>
        </w:rPr>
        <w:t>Дата заверения: «18.1V.(19]45 г.» Один из 19 экз. машинописной закладки поступил в обком ВКП(б) 26 апреля 1945 г. В левом верхнем углу резолюция черным карандашом: «т. Зам-чевскому. Прошу проверить выполнение (приказа]». Подпись-росчерк и дата: «27.04.(19J45 г.* (12194).</w:t>
      </w:r>
    </w:p>
    <w:p w14:paraId="5EC2FE79" w14:textId="77777777" w:rsidR="006979C2" w:rsidRPr="00F90EAE" w:rsidRDefault="006979C2" w:rsidP="00F90EAE">
      <w:pPr>
        <w:jc w:val="both"/>
        <w:rPr>
          <w:color w:val="000000" w:themeColor="text1"/>
          <w:sz w:val="16"/>
          <w:szCs w:val="16"/>
        </w:rPr>
      </w:pPr>
    </w:p>
    <w:p w14:paraId="79A9586C" w14:textId="77777777" w:rsidR="006979C2" w:rsidRPr="00F90EAE" w:rsidRDefault="006979C2" w:rsidP="00F90EAE">
      <w:pPr>
        <w:jc w:val="both"/>
        <w:rPr>
          <w:color w:val="000000" w:themeColor="text1"/>
          <w:sz w:val="16"/>
          <w:szCs w:val="16"/>
        </w:rPr>
      </w:pPr>
      <w:r w:rsidRPr="00F90EAE">
        <w:rPr>
          <w:color w:val="000000" w:themeColor="text1"/>
          <w:sz w:val="16"/>
          <w:szCs w:val="16"/>
        </w:rPr>
        <w:t>18 апреля 1945 г. из ПРИКАЗА НАРКОМА АВИАЦИОННОЙ ПРОМЫШЛЕННОСТИ СССР А.И. ШАХУРИНА • О МЕРОПРИЯТИЯХ ПО УЛУЧШЕНИЮ ЖИЛИЩНО-КОММУНАЛЬНОГО ХОЗЯЙСТВА г. НОВОСИБИРСКА»</w:t>
      </w:r>
    </w:p>
    <w:p w14:paraId="70B219B9" w14:textId="77777777" w:rsidR="006979C2" w:rsidRPr="00F90EAE" w:rsidRDefault="006979C2" w:rsidP="00F90EAE">
      <w:pPr>
        <w:jc w:val="both"/>
        <w:rPr>
          <w:color w:val="000000" w:themeColor="text1"/>
          <w:sz w:val="16"/>
          <w:szCs w:val="16"/>
        </w:rPr>
      </w:pPr>
      <w:r w:rsidRPr="00F90EAE">
        <w:rPr>
          <w:color w:val="000000" w:themeColor="text1"/>
          <w:sz w:val="16"/>
          <w:szCs w:val="16"/>
        </w:rPr>
        <w:t>Во исполнение постановления Совета Народных Комиссаров СССР за № 684 от 5 апреля 1945 года «О мероприятиях по улучшению жилищно-коммунального хозяйства г. Новосибирска»,— ПРИКАЗЫВАЮ:</w:t>
      </w:r>
    </w:p>
    <w:p w14:paraId="7B91BD06" w14:textId="77777777" w:rsidR="006979C2" w:rsidRPr="00F90EAE" w:rsidRDefault="006979C2" w:rsidP="00F90EAE">
      <w:pPr>
        <w:jc w:val="both"/>
        <w:rPr>
          <w:color w:val="000000" w:themeColor="text1"/>
          <w:sz w:val="16"/>
          <w:szCs w:val="16"/>
        </w:rPr>
      </w:pPr>
      <w:r w:rsidRPr="00F90EAE">
        <w:rPr>
          <w:color w:val="000000" w:themeColor="text1"/>
          <w:sz w:val="16"/>
          <w:szCs w:val="16"/>
        </w:rPr>
        <w:t>1. Заместителю народного комиссара — тов. Визиряну предусмотреть в плане капитальных работ Наркомавиапрома на 1945 год 4 000 тыс. рублей на окончание расширения городского водопровода в г. Новосибирске.</w:t>
      </w:r>
    </w:p>
    <w:p w14:paraId="210D81E6" w14:textId="77777777" w:rsidR="006979C2" w:rsidRPr="00F90EAE" w:rsidRDefault="006979C2" w:rsidP="00F90EAE">
      <w:pPr>
        <w:jc w:val="both"/>
        <w:rPr>
          <w:color w:val="000000" w:themeColor="text1"/>
          <w:sz w:val="16"/>
          <w:szCs w:val="16"/>
        </w:rPr>
      </w:pPr>
      <w:r w:rsidRPr="00F90EAE">
        <w:rPr>
          <w:color w:val="000000" w:themeColor="text1"/>
          <w:sz w:val="16"/>
          <w:szCs w:val="16"/>
        </w:rPr>
        <w:lastRenderedPageBreak/>
        <w:t>2. Управляющему стройтрестом № 7 т. Капустину: закончить в 1945 году расширение городского водопровода; закончить к 1 августа 1945 года асфальтирование 9-километровой троллейбусной дороги к троллейбусному парку за счет средств Новосибирского горисполкома; построить в 1945 году для завода № 153 и сдать в эксплуатацию 8 000 м2 жилой площади.</w:t>
      </w:r>
    </w:p>
    <w:p w14:paraId="1E3D0BA1" w14:textId="77777777" w:rsidR="006979C2" w:rsidRPr="00F90EAE" w:rsidRDefault="006979C2" w:rsidP="00F90EAE">
      <w:pPr>
        <w:jc w:val="both"/>
        <w:rPr>
          <w:color w:val="000000" w:themeColor="text1"/>
          <w:sz w:val="16"/>
          <w:szCs w:val="16"/>
        </w:rPr>
      </w:pPr>
      <w:r w:rsidRPr="00F90EAE">
        <w:rPr>
          <w:color w:val="000000" w:themeColor="text1"/>
          <w:sz w:val="16"/>
          <w:szCs w:val="16"/>
        </w:rPr>
        <w:t>3. Директору завода № 153 - т. Лисицыну произвести капитальный ремонт трех троллейбусов за счет средств Новосибирского горисполкома.</w:t>
      </w:r>
    </w:p>
    <w:p w14:paraId="26F3E65F" w14:textId="77777777" w:rsidR="006979C2" w:rsidRPr="00F90EAE" w:rsidRDefault="006979C2" w:rsidP="00F90EAE">
      <w:pPr>
        <w:jc w:val="both"/>
        <w:rPr>
          <w:color w:val="000000" w:themeColor="text1"/>
          <w:sz w:val="16"/>
          <w:szCs w:val="16"/>
        </w:rPr>
      </w:pPr>
      <w:r w:rsidRPr="00F90EAE">
        <w:rPr>
          <w:color w:val="000000" w:themeColor="text1"/>
          <w:sz w:val="16"/>
          <w:szCs w:val="16"/>
        </w:rPr>
        <w:t>4. Этим же постановлением СНК СССР обязал наркоматы-поставщики поставить Новосибирскому горисполкому во II квартале 1945 года материалы, согласно приложению.</w:t>
      </w:r>
    </w:p>
    <w:p w14:paraId="75D99DE7" w14:textId="77777777" w:rsidR="006979C2" w:rsidRPr="00F90EAE" w:rsidRDefault="006979C2" w:rsidP="00F90EAE">
      <w:pPr>
        <w:jc w:val="both"/>
        <w:rPr>
          <w:color w:val="000000" w:themeColor="text1"/>
          <w:sz w:val="16"/>
          <w:szCs w:val="16"/>
        </w:rPr>
      </w:pPr>
      <w:r w:rsidRPr="00F90EAE">
        <w:rPr>
          <w:color w:val="000000" w:themeColor="text1"/>
          <w:sz w:val="16"/>
          <w:szCs w:val="16"/>
        </w:rPr>
        <w:t>п.п. Народный комиссар авиационной промышленности А. Шахурин</w:t>
      </w:r>
    </w:p>
    <w:p w14:paraId="388BAD7D" w14:textId="77777777" w:rsidR="006979C2" w:rsidRPr="00F90EAE" w:rsidRDefault="006979C2" w:rsidP="00F90EAE">
      <w:pPr>
        <w:jc w:val="both"/>
        <w:rPr>
          <w:color w:val="000000" w:themeColor="text1"/>
          <w:sz w:val="16"/>
          <w:szCs w:val="16"/>
        </w:rPr>
      </w:pPr>
      <w:r w:rsidRPr="00F90EAE">
        <w:rPr>
          <w:color w:val="000000" w:themeColor="text1"/>
          <w:sz w:val="16"/>
          <w:szCs w:val="16"/>
        </w:rPr>
        <w:t>ГАНО. Ф. П-4. Оп. 34. Д. 188. Л. 319. Заверенная копия.</w:t>
      </w:r>
    </w:p>
    <w:p w14:paraId="618B76F0" w14:textId="77777777" w:rsidR="006979C2" w:rsidRPr="00F90EAE" w:rsidRDefault="006979C2" w:rsidP="00F90EAE">
      <w:pPr>
        <w:jc w:val="both"/>
        <w:rPr>
          <w:color w:val="000000" w:themeColor="text1"/>
          <w:sz w:val="16"/>
          <w:szCs w:val="16"/>
        </w:rPr>
      </w:pPr>
      <w:r w:rsidRPr="00F90EAE">
        <w:rPr>
          <w:color w:val="000000" w:themeColor="text1"/>
          <w:sz w:val="16"/>
          <w:szCs w:val="16"/>
        </w:rPr>
        <w:t>Документ составлен в 19 экз. 18 апреля 1945 г., на копии резолюция карандашом: «Благиреву». Дата поступления в обком «26.IV.1945 г.» (12194).</w:t>
      </w:r>
    </w:p>
    <w:p w14:paraId="3E5ECFEC" w14:textId="77777777" w:rsidR="006979C2" w:rsidRPr="00F90EAE" w:rsidRDefault="006979C2" w:rsidP="00F90EAE">
      <w:pPr>
        <w:jc w:val="both"/>
        <w:rPr>
          <w:color w:val="000000" w:themeColor="text1"/>
          <w:sz w:val="16"/>
          <w:szCs w:val="16"/>
        </w:rPr>
      </w:pPr>
    </w:p>
    <w:p w14:paraId="565B5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18 апреля 1945 в ходе испытаний самолета-снаряда, которые шли с 20 марта, с Пе-8 было совершено 15 сбросов. Бросали с одного Пе-8, так как Ер-2 был оборудован на заводе 51 и прилетел на испытания только 14 апреля 1945. Для ускорения испытаний Залесскому только еще хотели направить второй самолет, а третий Пе-8 в это время оборудовался на 84 заводе в Ташкенте (1873,291).</w:t>
      </w:r>
    </w:p>
    <w:p w14:paraId="095CBA60" w14:textId="77777777" w:rsidR="00665165" w:rsidRPr="00F90EAE" w:rsidRDefault="00665165" w:rsidP="00F90EAE">
      <w:pPr>
        <w:autoSpaceDE w:val="0"/>
        <w:autoSpaceDN w:val="0"/>
        <w:adjustRightInd w:val="0"/>
        <w:jc w:val="both"/>
        <w:rPr>
          <w:color w:val="000000" w:themeColor="text1"/>
          <w:sz w:val="16"/>
          <w:szCs w:val="16"/>
        </w:rPr>
      </w:pPr>
    </w:p>
    <w:p w14:paraId="4566A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вышел приказ НКАП N 152с:</w:t>
      </w:r>
    </w:p>
    <w:p w14:paraId="0E3E57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внедрения в эксплуатацию радиолокационного прибора Сч-3, прошедшего испытания и принятого на вооружение ВВС:</w:t>
      </w:r>
    </w:p>
    <w:p w14:paraId="08ABDE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Нач. 10 ГУ - зам. наркома Кузнецову и ГК С.В.И.... до 15 мая 1945 отработать установку радиолокационного прибора Сч-3 на самолетах Ил-4, Ил-10..."(1827,17).</w:t>
      </w:r>
    </w:p>
    <w:p w14:paraId="448053BC" w14:textId="77777777" w:rsidR="00665165" w:rsidRPr="00F90EAE" w:rsidRDefault="00665165" w:rsidP="00F90EAE">
      <w:pPr>
        <w:autoSpaceDE w:val="0"/>
        <w:autoSpaceDN w:val="0"/>
        <w:adjustRightInd w:val="0"/>
        <w:jc w:val="both"/>
        <w:rPr>
          <w:color w:val="000000" w:themeColor="text1"/>
          <w:sz w:val="16"/>
          <w:szCs w:val="16"/>
        </w:rPr>
      </w:pPr>
    </w:p>
    <w:p w14:paraId="0A193B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года А. Шахурин писал письмо уполномоченному Особого комитета при ГОКО Сабурову М.З.</w:t>
      </w:r>
    </w:p>
    <w:p w14:paraId="0501D1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ГОКО № 8068 от 12 апреля 1945 года НКАП передано оборудование завода авиамоторных деталей в Закрау.</w:t>
      </w:r>
    </w:p>
    <w:p w14:paraId="31BE97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Оборудованием этого завода НКАП рассчитывает в значительной мере укомплектовать завод по производству авиамоторов № 478 в Запорожье и завод № 274 в Ленинграде (8974).</w:t>
      </w:r>
    </w:p>
    <w:p w14:paraId="77D25B67" w14:textId="77777777" w:rsidR="00665165" w:rsidRPr="00F90EAE" w:rsidRDefault="00665165" w:rsidP="00F90EAE">
      <w:pPr>
        <w:autoSpaceDE w:val="0"/>
        <w:autoSpaceDN w:val="0"/>
        <w:adjustRightInd w:val="0"/>
        <w:jc w:val="both"/>
        <w:rPr>
          <w:color w:val="000000" w:themeColor="text1"/>
          <w:sz w:val="16"/>
          <w:szCs w:val="16"/>
        </w:rPr>
      </w:pPr>
    </w:p>
    <w:p w14:paraId="5C0966A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FB394E4" w14:textId="77777777" w:rsidR="00665165" w:rsidRPr="00F90EAE" w:rsidRDefault="00665165" w:rsidP="00F90EAE">
      <w:pPr>
        <w:autoSpaceDE w:val="0"/>
        <w:autoSpaceDN w:val="0"/>
        <w:adjustRightInd w:val="0"/>
        <w:jc w:val="both"/>
        <w:rPr>
          <w:iCs/>
          <w:color w:val="000000" w:themeColor="text1"/>
          <w:sz w:val="16"/>
          <w:szCs w:val="16"/>
        </w:rPr>
      </w:pPr>
    </w:p>
    <w:p w14:paraId="5763DD9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года вышел приказ № 153 НКВ</w:t>
      </w:r>
    </w:p>
    <w:p w14:paraId="2D3815D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ГОКО от 13 апреля 1945 года за № 8127с</w:t>
      </w:r>
    </w:p>
    <w:p w14:paraId="5BAB815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Начальнику ОКБ-172 Иванову Н.А. реэвакуировать с мае 1945 года из Молотова в Ленинград ОКБ № 172 (6448, 59).</w:t>
      </w:r>
    </w:p>
    <w:p w14:paraId="5D8EFB4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4B47A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008E8F3" w14:textId="77777777" w:rsidR="00665165" w:rsidRPr="00F90EAE" w:rsidRDefault="00665165" w:rsidP="00F90EAE">
      <w:pPr>
        <w:autoSpaceDE w:val="0"/>
        <w:autoSpaceDN w:val="0"/>
        <w:adjustRightInd w:val="0"/>
        <w:jc w:val="both"/>
        <w:rPr>
          <w:iCs/>
          <w:color w:val="000000" w:themeColor="text1"/>
          <w:sz w:val="16"/>
          <w:szCs w:val="16"/>
        </w:rPr>
      </w:pPr>
    </w:p>
    <w:p w14:paraId="00DD81DB"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оперативная сводка Совинформбюро:</w:t>
      </w:r>
    </w:p>
    <w:p w14:paraId="4CCB5E4A" w14:textId="77777777" w:rsidR="0053208B" w:rsidRPr="00F90EAE" w:rsidRDefault="0053208B" w:rsidP="00F90EAE">
      <w:pPr>
        <w:jc w:val="both"/>
        <w:rPr>
          <w:color w:val="000000" w:themeColor="text1"/>
          <w:sz w:val="16"/>
          <w:szCs w:val="16"/>
        </w:rPr>
      </w:pPr>
      <w:r w:rsidRPr="00F90EAE">
        <w:rPr>
          <w:color w:val="000000" w:themeColor="text1"/>
          <w:sz w:val="16"/>
          <w:szCs w:val="16"/>
        </w:rPr>
        <w:t>«В течение 18 апреля войска 3-го Белорусского фронта продолжали бои по уничтожению остатков немецких войск, отброшенных в район порта Пиллау. В боях за 17 апреля войска фронта взяли в плен 8.730 немецких солдат и офицеров и захватили следующие трофеи: танков и самоходных орудий — 80, бронетранспортёров — 69, полевых орудий — 544, миномётов — 416, пулемётов — 888, автомашин — 4.000. В числе пленных командир 28-й немецкой пехотной дивизии полковник Темпельхоф.</w:t>
      </w:r>
    </w:p>
    <w:p w14:paraId="30ED0B69" w14:textId="77777777" w:rsidR="0053208B" w:rsidRPr="00F90EAE" w:rsidRDefault="0053208B" w:rsidP="00F90EAE">
      <w:pPr>
        <w:jc w:val="both"/>
        <w:rPr>
          <w:color w:val="000000" w:themeColor="text1"/>
          <w:sz w:val="16"/>
          <w:szCs w:val="16"/>
        </w:rPr>
      </w:pPr>
      <w:r w:rsidRPr="00F90EAE">
        <w:rPr>
          <w:color w:val="000000" w:themeColor="text1"/>
          <w:sz w:val="16"/>
          <w:szCs w:val="16"/>
        </w:rPr>
        <w:t>Юго-западнее и южнее города Ратибор войска 4-го Украинского фронта с боями заняли более 30 населённых пунктов, в том числе крупные населённые пункты Бургфельд, Пилтш, Олдржихов, Краварже, Забржег, Дольный Бенешов, Богуславице, Рогув, Гожыце.</w:t>
      </w:r>
    </w:p>
    <w:p w14:paraId="10DB87E0" w14:textId="77777777" w:rsidR="0053208B" w:rsidRPr="00F90EAE" w:rsidRDefault="0053208B" w:rsidP="00F90EAE">
      <w:pPr>
        <w:jc w:val="both"/>
        <w:rPr>
          <w:color w:val="000000" w:themeColor="text1"/>
          <w:sz w:val="16"/>
          <w:szCs w:val="16"/>
        </w:rPr>
      </w:pPr>
      <w:r w:rsidRPr="00F90EAE">
        <w:rPr>
          <w:color w:val="000000" w:themeColor="text1"/>
          <w:sz w:val="16"/>
          <w:szCs w:val="16"/>
        </w:rPr>
        <w:t>На территории Чехословакии войска 2-го Украинского фронта овладели Городом Иванчице, а также с боями заняли населённые пункты Врацов, Милотице, Клобоуки, Жидлоховице, Райград, Сировице, Мелчаны, Немчицки, Медлов, Смолин. Севернее Вены войска фронта заняли на территории Австрии город Мистельбах, населённые пункты Рабенсбург, Хаусбрунн, Кроицштетен, Гросс Руссбах, Вайнштайг, Гетцманнсдорф, Мольмансдорф, Рюкерсдорф и железнодорожную станцию Ульрих.</w:t>
      </w:r>
    </w:p>
    <w:p w14:paraId="50F84FDA" w14:textId="77777777" w:rsidR="0053208B" w:rsidRPr="00F90EAE" w:rsidRDefault="0053208B"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611C2FDE" w14:textId="77777777" w:rsidR="0053208B" w:rsidRPr="00F90EAE" w:rsidRDefault="0053208B" w:rsidP="00F90EAE">
      <w:pPr>
        <w:jc w:val="both"/>
        <w:rPr>
          <w:color w:val="000000" w:themeColor="text1"/>
          <w:sz w:val="16"/>
          <w:szCs w:val="16"/>
        </w:rPr>
      </w:pPr>
      <w:r w:rsidRPr="00F90EAE">
        <w:rPr>
          <w:color w:val="000000" w:themeColor="text1"/>
          <w:sz w:val="16"/>
          <w:szCs w:val="16"/>
        </w:rPr>
        <w:t>За 17 апреля на всех фронтах подбито и уничтожено 98 немецких танков и самоходных орудий. В воздушных боях и огнём зенитной артиллерии сбито 90 самолётов противника.</w:t>
      </w:r>
    </w:p>
    <w:p w14:paraId="1165310B" w14:textId="77777777" w:rsidR="0053208B" w:rsidRPr="00F90EAE" w:rsidRDefault="0053208B" w:rsidP="00F90EAE">
      <w:pPr>
        <w:jc w:val="both"/>
        <w:rPr>
          <w:color w:val="000000" w:themeColor="text1"/>
          <w:sz w:val="16"/>
          <w:szCs w:val="16"/>
        </w:rPr>
      </w:pPr>
      <w:r w:rsidRPr="00F90EAE">
        <w:rPr>
          <w:color w:val="000000" w:themeColor="text1"/>
          <w:sz w:val="16"/>
          <w:szCs w:val="16"/>
        </w:rPr>
        <w:t>Действия авиации и кораблей Краснознамённого Балтийского флота</w:t>
      </w:r>
    </w:p>
    <w:p w14:paraId="72171ADB" w14:textId="77777777" w:rsidR="0053208B" w:rsidRPr="00F90EAE" w:rsidRDefault="0053208B" w:rsidP="00F90EAE">
      <w:pPr>
        <w:jc w:val="both"/>
        <w:rPr>
          <w:color w:val="000000" w:themeColor="text1"/>
          <w:sz w:val="16"/>
          <w:szCs w:val="16"/>
        </w:rPr>
      </w:pPr>
      <w:r w:rsidRPr="00F90EAE">
        <w:rPr>
          <w:color w:val="000000" w:themeColor="text1"/>
          <w:sz w:val="16"/>
          <w:szCs w:val="16"/>
        </w:rPr>
        <w:t>15 и 16 апреля авиация Краснознаменного Балтийского флота наносила удары по кораблям и транспортам противника в порту Пиллау и в открытом море северо-западнее Пиллау. В результате этих ударов потоплены; восемь транспортов общим водоизмещением в 46.000 тонн, тральщик и четырнадцать сторожевых катеров противника.</w:t>
      </w:r>
    </w:p>
    <w:p w14:paraId="7B6E35AC" w14:textId="77777777" w:rsidR="0053208B" w:rsidRPr="00F90EAE" w:rsidRDefault="0053208B" w:rsidP="00F90EAE">
      <w:pPr>
        <w:jc w:val="both"/>
        <w:rPr>
          <w:color w:val="000000" w:themeColor="text1"/>
          <w:sz w:val="16"/>
          <w:szCs w:val="16"/>
        </w:rPr>
      </w:pPr>
      <w:r w:rsidRPr="00F90EAE">
        <w:rPr>
          <w:color w:val="000000" w:themeColor="text1"/>
          <w:sz w:val="16"/>
          <w:szCs w:val="16"/>
        </w:rPr>
        <w:t>Кораблями флота потоплены два немецких эсминца.</w:t>
      </w:r>
    </w:p>
    <w:p w14:paraId="4E0DF9E6" w14:textId="77777777" w:rsidR="0053208B" w:rsidRPr="00F90EAE" w:rsidRDefault="0053208B" w:rsidP="00F90EAE">
      <w:pPr>
        <w:jc w:val="both"/>
        <w:rPr>
          <w:color w:val="000000" w:themeColor="text1"/>
          <w:sz w:val="16"/>
          <w:szCs w:val="16"/>
        </w:rPr>
      </w:pPr>
      <w:r w:rsidRPr="00F90EAE">
        <w:rPr>
          <w:color w:val="000000" w:themeColor="text1"/>
          <w:sz w:val="16"/>
          <w:szCs w:val="16"/>
        </w:rPr>
        <w:t>Войска 3-го Белорусского фронта продолжали бои по ликвидации войск противника, отброшенных на юго-западную оконечность Земландского полуострова в район порта Пиллау. На подступах к Пиллау немцы оказывают упорное сопротивление, опираясь на заранее подготовленные укрепленные позиции. Наши пехотные и танковые подразделения преодолели несколько линий траншей, а также глубокий противотанковый ров. Гитлеровцы, пытаясь задержать советские войска, устроили в лесу много завалов и заминировали их. Наши артиллеристы и штурмовые группы уничтожают огневые точки противника и расчищают путь советской пехоте. В результате ожесточенного боя гвардейские подразделения выбили немцев из северной части лесного массива и настойчиво продвигаются к Пиллау. На мысе юго-восточнее города Фишхаузена советские танкисты и пехотинцы завершили ликвидацию окруженной группы немецких войск. Захвачено много пленных и трофеев. За день боёв войска фронта уничтожили свыше 5 тысяч вражеских солдат и офицеров. Уничтожено много танков, полевых орудий, миномётов, пулемётов и другого вооружения противника.</w:t>
      </w:r>
    </w:p>
    <w:p w14:paraId="0938D47C" w14:textId="77777777" w:rsidR="0053208B" w:rsidRPr="00F90EAE" w:rsidRDefault="0053208B" w:rsidP="00F90EAE">
      <w:pPr>
        <w:jc w:val="both"/>
        <w:rPr>
          <w:color w:val="000000" w:themeColor="text1"/>
          <w:sz w:val="16"/>
          <w:szCs w:val="16"/>
        </w:rPr>
      </w:pPr>
      <w:r w:rsidRPr="00F90EAE">
        <w:rPr>
          <w:color w:val="000000" w:themeColor="text1"/>
          <w:sz w:val="16"/>
          <w:szCs w:val="16"/>
        </w:rPr>
        <w:t>Юго-западнее и южнее города Ратибор наши войска вели наступательные бои. Стремясь во что бы то ни стало удержать в своих руках крупный промышленный центр город Моравска Острава, противник оказывает яростное сопротивление. Немцы создали в этом районе сильно укреплённую и глубоко эшелонированную оборону. Они построили большое число дотов и траншей, прикрытых проволочными ограждениями, минными полями и противотанковыми рвами. Наши войска артиллерийским огнём и ударами авиации с воздуха разрушили укрепления первой линии вражеской обороны. Вслед за огневым валом двинулись в атаку пехотинцы и танкисты. Сапёры, следовавшие в боевых порядках наступающих частей, проделали проходы в минных полях и проволочных заграждениях. Очистив от немцев окопы и траншеи первой линии, наши войска проникли в глубь обороны противника. Юго-западнее Ратибора советские пехотинцы заняли опорный пункт Пилтш, находящийся в пяти километрах севернее порода Опава. К югу от Ратибора немцы подтянули резервы и неоднократно переходили в контратаки. Отбив контратаки танков и пехоты противника, наши части ворвались в селение Болатице, где скрещиваются две шоссейные дороги. Гранатами и огнем из автоматов советские бойцы выбили немцев из каменных зданий и овладели селением. Развивая успех, наши войска овладели населенным пунктом Дольный Бенешов, вышли к реке Опава и ведут бои за переправы. В этом районе захвачено у немцев 4 самолёта, 6 планёров, 12 орудий и другие трофеи. Населенный пункт Дольный Бенешов расположен в 12 километрах от города Моравска Острава. За два дня боёв нашими войсками подбито и сожжено 35 немецких танков и самоходных орудий. Взято в плен более 700 солдат и офицеров противника.</w:t>
      </w:r>
    </w:p>
    <w:p w14:paraId="643C4A0C" w14:textId="77777777" w:rsidR="0053208B" w:rsidRPr="00F90EAE" w:rsidRDefault="0053208B" w:rsidP="00F90EAE">
      <w:pPr>
        <w:jc w:val="both"/>
        <w:rPr>
          <w:color w:val="000000" w:themeColor="text1"/>
          <w:sz w:val="16"/>
          <w:szCs w:val="16"/>
        </w:rPr>
      </w:pPr>
      <w:r w:rsidRPr="00F90EAE">
        <w:rPr>
          <w:color w:val="000000" w:themeColor="text1"/>
          <w:sz w:val="16"/>
          <w:szCs w:val="16"/>
        </w:rPr>
        <w:t>На территории Чехословакии наши войска продолжали наступление. Советские подвижные соединения и пехота, продвигаясь вдоль реки Йилгава, сегодня заняли город Иванчице, находящийся в 17 километрах к юго-западу от Брно.</w:t>
      </w:r>
    </w:p>
    <w:p w14:paraId="77F1A69E" w14:textId="77777777" w:rsidR="0053208B" w:rsidRPr="00F90EAE" w:rsidRDefault="0053208B" w:rsidP="00F90EAE">
      <w:pPr>
        <w:jc w:val="both"/>
        <w:rPr>
          <w:color w:val="000000" w:themeColor="text1"/>
          <w:sz w:val="16"/>
          <w:szCs w:val="16"/>
        </w:rPr>
      </w:pPr>
      <w:r w:rsidRPr="00F90EAE">
        <w:rPr>
          <w:color w:val="000000" w:themeColor="text1"/>
          <w:sz w:val="16"/>
          <w:szCs w:val="16"/>
        </w:rPr>
        <w:t>На территории Австрии севернее Вены советские части с боями продвигались вперёд. Особенно ожесточенные бои произошли в лесу у населённого пункта Хаусбрунн. Полк вражеской пехоты при поддержке танков контратаковал наши подразделения. Советские бойцы истребили до батальона гитлеровцев и вынудили противника поспешно отступить. Другие наши части на широком фронте переправились через реку Цая, вдоль которой проходил промежуточный рубеж обороны немцев, и завязали бои на подступах к городу Мистельбах. Советские бойцы с юго-востока и юго-запада ворвались на улицы города и овладели им. Противник, отступая под ударами наших войск, несёт большие потери. В течение дня сожжено и подбито 30 немецких танков и 35 бронетранспортёров. Захвачены пленные и трофеи.» (15103).</w:t>
      </w:r>
    </w:p>
    <w:p w14:paraId="0C91E9B2" w14:textId="77777777" w:rsidR="0053208B" w:rsidRPr="00F90EAE" w:rsidRDefault="0053208B" w:rsidP="00F90EAE">
      <w:pPr>
        <w:jc w:val="both"/>
        <w:rPr>
          <w:color w:val="000000" w:themeColor="text1"/>
          <w:sz w:val="16"/>
          <w:szCs w:val="16"/>
        </w:rPr>
      </w:pPr>
    </w:p>
    <w:p w14:paraId="6E6AFF8B" w14:textId="77777777" w:rsidR="00DE5890" w:rsidRPr="00F90EAE" w:rsidRDefault="00DE5890" w:rsidP="00F90EAE">
      <w:pPr>
        <w:jc w:val="both"/>
        <w:rPr>
          <w:color w:val="0070C0"/>
          <w:sz w:val="16"/>
          <w:szCs w:val="16"/>
        </w:rPr>
      </w:pPr>
      <w:r w:rsidRPr="00F90EAE">
        <w:rPr>
          <w:color w:val="0070C0"/>
          <w:sz w:val="16"/>
          <w:szCs w:val="16"/>
        </w:rPr>
        <w:t>18-20 апреля 1945 г. в ходе Берлинской наступательной операции корабли Днепровской военной флотилии при отраже</w:t>
      </w:r>
      <w:r w:rsidRPr="00F90EAE">
        <w:rPr>
          <w:color w:val="0070C0"/>
          <w:sz w:val="16"/>
          <w:szCs w:val="16"/>
        </w:rPr>
        <w:softHyphen/>
        <w:t>нии ударов германской авиации по переправам через Одер уничтожили три управляемые планирующие бом</w:t>
      </w:r>
      <w:r w:rsidRPr="00F90EAE">
        <w:rPr>
          <w:color w:val="0070C0"/>
          <w:sz w:val="16"/>
          <w:szCs w:val="16"/>
        </w:rPr>
        <w:softHyphen/>
        <w:t>бы Хеншель Hs-293 (20120).</w:t>
      </w:r>
    </w:p>
    <w:p w14:paraId="19DA789A" w14:textId="77777777" w:rsidR="00DE5890" w:rsidRPr="00F90EAE" w:rsidRDefault="00DE5890" w:rsidP="00F90EAE">
      <w:pPr>
        <w:jc w:val="both"/>
        <w:rPr>
          <w:color w:val="0070C0"/>
          <w:sz w:val="16"/>
          <w:szCs w:val="16"/>
        </w:rPr>
      </w:pPr>
    </w:p>
    <w:p w14:paraId="54BF1386" w14:textId="77777777" w:rsidR="00DD6117" w:rsidRPr="00F90EAE" w:rsidRDefault="00DD6117" w:rsidP="00F90EAE">
      <w:pPr>
        <w:jc w:val="both"/>
        <w:rPr>
          <w:color w:val="000000" w:themeColor="text1"/>
          <w:sz w:val="16"/>
          <w:szCs w:val="16"/>
        </w:rPr>
      </w:pPr>
      <w:r w:rsidRPr="00F90EAE">
        <w:rPr>
          <w:color w:val="000000" w:themeColor="text1"/>
          <w:sz w:val="16"/>
          <w:szCs w:val="16"/>
        </w:rPr>
        <w:t>К утру 18 апреля 1945 г. высоты были взяты. Форсирована Шпрее – последний рубеж обороны фашистов. 19 апреля 1945 г. немцы стали отходить к Берлину (17459).</w:t>
      </w:r>
    </w:p>
    <w:p w14:paraId="415CEEEB" w14:textId="77777777" w:rsidR="00DD6117" w:rsidRPr="00F90EAE" w:rsidRDefault="00DD6117" w:rsidP="00F90EAE">
      <w:pPr>
        <w:jc w:val="both"/>
        <w:rPr>
          <w:color w:val="000000" w:themeColor="text1"/>
          <w:sz w:val="16"/>
          <w:szCs w:val="16"/>
        </w:rPr>
      </w:pPr>
    </w:p>
    <w:p w14:paraId="25469526"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 xml:space="preserve">18 апреля 1945 группа Ил-10 в районе Коттбуса встретилась с парой FW-190, летевших параллельным курсом справа и выше. Увидев «Ильюшиных», немецкие самолеты развернулись и атаковали одиночный штурмовик, отставший от строя. Один «Фокке-Вульф» вел огонь сверху сзади, второй — снизу сзади. Бортстрелок </w:t>
      </w:r>
      <w:r w:rsidRPr="00F90EAE">
        <w:rPr>
          <w:color w:val="000000" w:themeColor="text1"/>
          <w:sz w:val="16"/>
          <w:szCs w:val="16"/>
        </w:rPr>
        <w:lastRenderedPageBreak/>
        <w:t>стрелял по ним из заднего пулемета. Немцы не стали усердствовать и после одного захода удалились. В итоге Ил-10 получил повреждения, но все же смог вернуться на базу (19522).</w:t>
      </w:r>
    </w:p>
    <w:p w14:paraId="1FD49C3D" w14:textId="77777777" w:rsidR="001D1E05" w:rsidRPr="00F90EAE" w:rsidRDefault="001D1E05" w:rsidP="00F90EAE">
      <w:pPr>
        <w:pStyle w:val="ae"/>
        <w:spacing w:before="0" w:after="0"/>
        <w:jc w:val="both"/>
        <w:textAlignment w:val="baseline"/>
        <w:rPr>
          <w:color w:val="000000" w:themeColor="text1"/>
          <w:sz w:val="16"/>
          <w:szCs w:val="16"/>
        </w:rPr>
      </w:pPr>
    </w:p>
    <w:p w14:paraId="3A7A83F0"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в ходе Берлинской операции севернее Берлина перешли в наступление войска 2-го Белорусского фронта. Их действия имели большое значение для взятия столицы Германии, но непосредственного участия в овладении городом они не принимали (15103).</w:t>
      </w:r>
    </w:p>
    <w:p w14:paraId="09245560" w14:textId="77777777" w:rsidR="0053208B" w:rsidRPr="00F90EAE" w:rsidRDefault="0053208B" w:rsidP="00F90EAE">
      <w:pPr>
        <w:jc w:val="both"/>
        <w:rPr>
          <w:color w:val="000000" w:themeColor="text1"/>
          <w:sz w:val="16"/>
          <w:szCs w:val="16"/>
        </w:rPr>
      </w:pPr>
    </w:p>
    <w:p w14:paraId="51EBE66B"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к исходу дня 18 апреля 1945 соединения 1-го Украинского фронта завершили прорыв Нейссенского рубежа обороны немецких войск и обеспечили условия для окружения Берлина с юга</w:t>
      </w:r>
    </w:p>
    <w:p w14:paraId="61F36698" w14:textId="77777777" w:rsidR="0053208B" w:rsidRPr="00F90EAE" w:rsidRDefault="0053208B" w:rsidP="00F90EAE">
      <w:pPr>
        <w:jc w:val="both"/>
        <w:rPr>
          <w:color w:val="000000" w:themeColor="text1"/>
          <w:sz w:val="16"/>
          <w:szCs w:val="16"/>
        </w:rPr>
      </w:pPr>
    </w:p>
    <w:p w14:paraId="51B3B93F"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при бомбардировке пригорода Берлина Альт Ансбер, зенитным огнем был подбит и загорелся бомбардировщик «Ил-4» Героя Советского Союза Петра Ивановича Романова. Никто из членов экипажа не спасся. Именем Романова была названа бывшая 8-я Кожуховская улица Москвы (15103).</w:t>
      </w:r>
    </w:p>
    <w:p w14:paraId="76D69288" w14:textId="77777777" w:rsidR="0053208B" w:rsidRPr="00F90EAE" w:rsidRDefault="0053208B" w:rsidP="00F90EAE">
      <w:pPr>
        <w:jc w:val="both"/>
        <w:rPr>
          <w:color w:val="000000" w:themeColor="text1"/>
          <w:sz w:val="16"/>
          <w:szCs w:val="16"/>
        </w:rPr>
      </w:pPr>
    </w:p>
    <w:p w14:paraId="20C053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апреля 1945, после нанесения тремя группами по 7, 8 и 6 самолетов Ил-10 весьма эффективных бомбоштурмовых ударов по живой силе и технике про</w:t>
      </w:r>
      <w:r w:rsidRPr="00F90EAE">
        <w:rPr>
          <w:color w:val="000000" w:themeColor="text1"/>
          <w:sz w:val="16"/>
          <w:szCs w:val="16"/>
        </w:rPr>
        <w:softHyphen/>
        <w:t>тивника в районе Мадлов, Гросс-Оссинг, Шеферберг, Клейн-Деберн полк заслу</w:t>
      </w:r>
      <w:r w:rsidRPr="00F90EAE">
        <w:rPr>
          <w:color w:val="000000" w:themeColor="text1"/>
          <w:sz w:val="16"/>
          <w:szCs w:val="16"/>
        </w:rPr>
        <w:softHyphen/>
        <w:t>жил оценку отлично от станции наве</w:t>
      </w:r>
      <w:r w:rsidRPr="00F90EAE">
        <w:rPr>
          <w:color w:val="000000" w:themeColor="text1"/>
          <w:sz w:val="16"/>
          <w:szCs w:val="16"/>
        </w:rPr>
        <w:softHyphen/>
        <w:t>дения. По докладам экипажей в районе целей наблюдались около 12 взрывов большой силы и очагов пожаров, а так</w:t>
      </w:r>
      <w:r w:rsidRPr="00F90EAE">
        <w:rPr>
          <w:color w:val="000000" w:themeColor="text1"/>
          <w:sz w:val="16"/>
          <w:szCs w:val="16"/>
        </w:rPr>
        <w:softHyphen/>
        <w:t>же до 13 горящих автомашин. Удары наносились в период с 12.51 до 13.50. Прикрытие штурмовиков осуществля</w:t>
      </w:r>
      <w:r w:rsidRPr="00F90EAE">
        <w:rPr>
          <w:color w:val="000000" w:themeColor="text1"/>
          <w:sz w:val="16"/>
          <w:szCs w:val="16"/>
        </w:rPr>
        <w:softHyphen/>
        <w:t>лось 12 Ла-5 от 5-го ГИАП. Каждая груп</w:t>
      </w:r>
      <w:r w:rsidRPr="00F90EAE">
        <w:rPr>
          <w:color w:val="000000" w:themeColor="text1"/>
          <w:sz w:val="16"/>
          <w:szCs w:val="16"/>
        </w:rPr>
        <w:softHyphen/>
        <w:t>па Ил-10 выполнила до 7 заходов на цель. Все атаки выполнялись с пикиро</w:t>
      </w:r>
      <w:r w:rsidRPr="00F90EAE">
        <w:rPr>
          <w:color w:val="000000" w:themeColor="text1"/>
          <w:sz w:val="16"/>
          <w:szCs w:val="16"/>
        </w:rPr>
        <w:softHyphen/>
        <w:t>вания под углом 30°. Бомбометание производилось с высот 450-300 м. Две группы имели встречи с 4 истребителя</w:t>
      </w:r>
      <w:r w:rsidRPr="00F90EAE">
        <w:rPr>
          <w:color w:val="000000" w:themeColor="text1"/>
          <w:sz w:val="16"/>
          <w:szCs w:val="16"/>
        </w:rPr>
        <w:softHyphen/>
        <w:t xml:space="preserve">ми </w:t>
      </w:r>
      <w:r w:rsidRPr="00F90EAE">
        <w:rPr>
          <w:smallCaps/>
          <w:color w:val="000000" w:themeColor="text1"/>
          <w:sz w:val="16"/>
          <w:szCs w:val="16"/>
        </w:rPr>
        <w:t xml:space="preserve">руу </w:t>
      </w:r>
      <w:r w:rsidRPr="00F90EAE">
        <w:rPr>
          <w:color w:val="000000" w:themeColor="text1"/>
          <w:sz w:val="16"/>
          <w:szCs w:val="16"/>
        </w:rPr>
        <w:t>190, которые атак не производи-</w:t>
      </w:r>
    </w:p>
    <w:p w14:paraId="0D5AFA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ли и ушли в облачность (11161).</w:t>
      </w:r>
    </w:p>
    <w:p w14:paraId="764A8C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0FFF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12 Ил-10 (ведущий комэск к-н Пилипец) в сопровождении 4 Ла-5 нанесли бомбоштурмовой удар по автомашинам и танкам противника в районе пункта Гросс-Оснинг, дорога Коттбус-Шпремберг. В пяти заходах группа уничтожила и повредила до 14 автомашин, одно орудие и танк (7489).</w:t>
      </w:r>
    </w:p>
    <w:p w14:paraId="71B8B5FE" w14:textId="77777777" w:rsidR="00665165" w:rsidRPr="00F90EAE" w:rsidRDefault="00665165" w:rsidP="00F90EAE">
      <w:pPr>
        <w:autoSpaceDE w:val="0"/>
        <w:autoSpaceDN w:val="0"/>
        <w:adjustRightInd w:val="0"/>
        <w:jc w:val="both"/>
        <w:rPr>
          <w:color w:val="000000" w:themeColor="text1"/>
          <w:sz w:val="16"/>
          <w:szCs w:val="16"/>
        </w:rPr>
      </w:pPr>
    </w:p>
    <w:p w14:paraId="562ABF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апреля 1945 четверка Ла-5 сопровождала 12 Ил-10, которые на шоссе Коттбус-Шпремберг в районе городка Гросс-Оснинг уничтожили и повредили 14 грузовиков, танк и артил</w:t>
      </w:r>
      <w:r w:rsidRPr="00F90EAE">
        <w:rPr>
          <w:color w:val="000000" w:themeColor="text1"/>
          <w:sz w:val="16"/>
          <w:szCs w:val="16"/>
        </w:rPr>
        <w:softHyphen/>
        <w:t>лерийское орудие (11123).</w:t>
      </w:r>
    </w:p>
    <w:p w14:paraId="40FE46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5DC27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советские войска прорвали немецкий одерско-нейсенский рубеж обороны (4963 ).</w:t>
      </w:r>
    </w:p>
    <w:p w14:paraId="19EDF5E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FF49D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советские войска форсировали немецкую реку Шпрее</w:t>
      </w:r>
    </w:p>
    <w:p w14:paraId="54C10D1B" w14:textId="77777777" w:rsidR="00665165" w:rsidRPr="00F90EAE" w:rsidRDefault="00665165" w:rsidP="00F90EAE">
      <w:pPr>
        <w:autoSpaceDE w:val="0"/>
        <w:autoSpaceDN w:val="0"/>
        <w:adjustRightInd w:val="0"/>
        <w:jc w:val="both"/>
        <w:rPr>
          <w:color w:val="000000" w:themeColor="text1"/>
          <w:sz w:val="16"/>
          <w:szCs w:val="16"/>
        </w:rPr>
      </w:pPr>
    </w:p>
    <w:p w14:paraId="0D20A7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апреля 1945 108-й полк наносил удары по жи</w:t>
      </w:r>
      <w:r w:rsidRPr="00F90EAE">
        <w:rPr>
          <w:color w:val="000000" w:themeColor="text1"/>
          <w:sz w:val="16"/>
          <w:szCs w:val="16"/>
        </w:rPr>
        <w:softHyphen/>
        <w:t>вой силе и технике противника в районе Мадлов, Гросс-Оссинг, Шеферберг и Клейн-Деберн. Экипажи насчитали 12 взрывов большой силы и очагов пожа</w:t>
      </w:r>
      <w:r w:rsidRPr="00F90EAE">
        <w:rPr>
          <w:color w:val="000000" w:themeColor="text1"/>
          <w:sz w:val="16"/>
          <w:szCs w:val="16"/>
        </w:rPr>
        <w:softHyphen/>
        <w:t>ров, а также до 13 горящих автомашин. Две группы имели встречи с истребите</w:t>
      </w:r>
      <w:r w:rsidRPr="00F90EAE">
        <w:rPr>
          <w:color w:val="000000" w:themeColor="text1"/>
          <w:sz w:val="16"/>
          <w:szCs w:val="16"/>
        </w:rPr>
        <w:softHyphen/>
        <w:t>лями РУУ 190, которые, однако, ушли в облачность (10681).</w:t>
      </w:r>
    </w:p>
    <w:p w14:paraId="38CC08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66D4E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на дно пошла канонерка "Драхе", которая в 1939 году начала польскую кампанию обстрелом Хеля (2691).</w:t>
      </w:r>
    </w:p>
    <w:p w14:paraId="2A599D2D" w14:textId="77777777" w:rsidR="00665165" w:rsidRPr="00F90EAE" w:rsidRDefault="00665165" w:rsidP="00F90EAE">
      <w:pPr>
        <w:autoSpaceDE w:val="0"/>
        <w:autoSpaceDN w:val="0"/>
        <w:adjustRightInd w:val="0"/>
        <w:jc w:val="both"/>
        <w:rPr>
          <w:color w:val="000000" w:themeColor="text1"/>
          <w:sz w:val="16"/>
          <w:szCs w:val="16"/>
        </w:rPr>
      </w:pPr>
    </w:p>
    <w:p w14:paraId="4AEF928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3D41975" w14:textId="77777777" w:rsidR="00665165" w:rsidRPr="00F90EAE" w:rsidRDefault="00665165" w:rsidP="00F90EAE">
      <w:pPr>
        <w:autoSpaceDE w:val="0"/>
        <w:autoSpaceDN w:val="0"/>
        <w:adjustRightInd w:val="0"/>
        <w:jc w:val="both"/>
        <w:rPr>
          <w:iCs/>
          <w:color w:val="000000" w:themeColor="text1"/>
          <w:sz w:val="16"/>
          <w:szCs w:val="16"/>
        </w:rPr>
      </w:pPr>
    </w:p>
    <w:p w14:paraId="5AE178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приказом № 00315 для содержания арестованных немцев и пересылаемых в СССР советских граждан был организован Отдел спецлагерей НКВД СССР в Германии с подчинением ему спецлагерей: № 1 - в Мюльберге, № 2 - в Бухенвальде, № 3 - в Берлине, № 4 - в Баутцене, № 5 - в Фюрстенвальде, № 6 - в Либе-Розе, № 7 - в Ораниенбурге (Заксенхаузен), № 8 - в Торгау, № 9 - в Нойе-Бранденбурге, а также пересыльной тюрьмы № 10 в Торгау и тюрьмой для осужденных немцев № 5 в Штрелице (7560).</w:t>
      </w:r>
    </w:p>
    <w:p w14:paraId="16EB79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спецлагерей уменьшалось по мере сокращения их контингента, и к 1948 году осталось всего три спецлагеря, которым была присвоена новая нумерация: спецлагерь № 1 - Заксенхаузен, № 2 - Бухенвальд, № 3 - Баутцен (на 1 марта 1950-го штат Отдела спецлагерей в Германии составлял 58 человек, в каждом из спецлагерей содержалось по 242 человека) (7560).</w:t>
      </w:r>
    </w:p>
    <w:p w14:paraId="62AC52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15 мая 1945-го по 1 марта 1950-го в спецлагеря и тюрьмы МВД в Германии поступило: немцев - 122 671 человек, граждан СССР - 34 706, иноподданных - 460 (всего 157 837 человек). Их них в СССР было отправлено: осужденных - 29 804 человека (из них немцев - 1661 человек, граждан СССР - 28 051 человек), спецконтингентов - 10 404 человека (из них немцев - 5037 человек, граждан СССР - 5403 человека). В дисциплинарные батальоны было передано 89 граждан СССР, в лагеря репатриации - 34 гражданина СССР, в военные трибуналы и оперсекторы (так назывались территориальные органы НКГБ-МГБ в Германии) - 6917 человек (из них немцев - 6072, граждан СССР - 811, иноподданных - 34). Расстреляно было 786 человек (немцев - 756, граждан СССР - 28, иноподданных - 2), умерло - 43 035 человек (немцев - 42 889, граждан СССР - 67, иноподданных - 79), бежало 128 человек (112 немцев и 16 советских граждан) (7560).</w:t>
      </w:r>
    </w:p>
    <w:p w14:paraId="07E834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Отдел спецлагерей НКВД-МВД в Германии последовательно возглавляли: в 1945-1947 годах - полковник М. Е. Свиридов (ранее сотрудник Политуправления погранвойск НКВД), в 1947-1949 годах - полковник Н. Т. Цикляев (ранее зам. начальника УМВД Ставропольского края), с 1949-го - полковник В. П. Соколов (ранее начальник ОИТК УМВД Смоленской области) (7560).</w:t>
      </w:r>
    </w:p>
    <w:p w14:paraId="723DA7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основании постановления Совмина СССР № 6021-2251сс от 30 декабря 1949-го и приказа МВД № 0022 от 6 января 1950-го Отдел спецлагерей и сами спецлагеря в Германии будут ликвидированы (7560).</w:t>
      </w:r>
    </w:p>
    <w:p w14:paraId="4255D16A" w14:textId="77777777" w:rsidR="00665165" w:rsidRPr="00F90EAE" w:rsidRDefault="00665165" w:rsidP="00F90EAE">
      <w:pPr>
        <w:autoSpaceDE w:val="0"/>
        <w:autoSpaceDN w:val="0"/>
        <w:adjustRightInd w:val="0"/>
        <w:jc w:val="both"/>
        <w:rPr>
          <w:color w:val="000000" w:themeColor="text1"/>
          <w:sz w:val="16"/>
          <w:szCs w:val="16"/>
        </w:rPr>
      </w:pPr>
    </w:p>
    <w:p w14:paraId="714FB33C" w14:textId="77777777" w:rsidR="00A350B4" w:rsidRPr="00F90EAE" w:rsidRDefault="00A350B4" w:rsidP="00F90EAE">
      <w:pPr>
        <w:autoSpaceDE w:val="0"/>
        <w:autoSpaceDN w:val="0"/>
        <w:adjustRightInd w:val="0"/>
        <w:jc w:val="both"/>
        <w:rPr>
          <w:color w:val="000000" w:themeColor="text1"/>
          <w:sz w:val="16"/>
          <w:szCs w:val="16"/>
        </w:rPr>
      </w:pPr>
      <w:r w:rsidRPr="00F90EAE">
        <w:rPr>
          <w:color w:val="000000" w:themeColor="text1"/>
          <w:sz w:val="16"/>
          <w:szCs w:val="16"/>
        </w:rPr>
        <w:t xml:space="preserve">18 апреля 1945 г. в Одессе англичане на </w:t>
      </w:r>
      <w:r w:rsidRPr="00F90EAE">
        <w:rPr>
          <w:bCs/>
          <w:color w:val="000000" w:themeColor="text1"/>
          <w:sz w:val="16"/>
          <w:szCs w:val="16"/>
        </w:rPr>
        <w:t>"Альманзоре"</w:t>
      </w:r>
      <w:r w:rsidRPr="00F90EAE">
        <w:rPr>
          <w:color w:val="000000" w:themeColor="text1"/>
          <w:sz w:val="16"/>
          <w:szCs w:val="16"/>
        </w:rPr>
        <w:t xml:space="preserve"> привозят русских пленных, расстрелы в порту (17459).</w:t>
      </w:r>
    </w:p>
    <w:p w14:paraId="199BFBEF" w14:textId="77777777" w:rsidR="00A350B4" w:rsidRPr="00F90EAE" w:rsidRDefault="00A350B4" w:rsidP="00F90EAE">
      <w:pPr>
        <w:autoSpaceDE w:val="0"/>
        <w:autoSpaceDN w:val="0"/>
        <w:adjustRightInd w:val="0"/>
        <w:jc w:val="both"/>
        <w:rPr>
          <w:color w:val="000000" w:themeColor="text1"/>
          <w:sz w:val="16"/>
          <w:szCs w:val="16"/>
        </w:rPr>
      </w:pPr>
    </w:p>
    <w:p w14:paraId="101CD27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CC32CD8" w14:textId="77777777" w:rsidR="00665165" w:rsidRPr="00F90EAE" w:rsidRDefault="00665165" w:rsidP="00F90EAE">
      <w:pPr>
        <w:autoSpaceDE w:val="0"/>
        <w:autoSpaceDN w:val="0"/>
        <w:adjustRightInd w:val="0"/>
        <w:jc w:val="both"/>
        <w:rPr>
          <w:iCs/>
          <w:color w:val="000000" w:themeColor="text1"/>
          <w:sz w:val="16"/>
          <w:szCs w:val="16"/>
        </w:rPr>
      </w:pPr>
    </w:p>
    <w:p w14:paraId="735BC2F0" w14:textId="77777777" w:rsidR="00DE5890" w:rsidRPr="00F90EAE" w:rsidRDefault="00DE5890" w:rsidP="00F90EAE">
      <w:pPr>
        <w:jc w:val="both"/>
        <w:rPr>
          <w:color w:val="0070C0"/>
          <w:sz w:val="16"/>
          <w:szCs w:val="16"/>
        </w:rPr>
      </w:pPr>
      <w:r w:rsidRPr="00F90EAE">
        <w:rPr>
          <w:color w:val="0070C0"/>
          <w:sz w:val="16"/>
          <w:szCs w:val="16"/>
        </w:rPr>
        <w:t>18 апреля 1945 немецкий истребитель Messerschmitt Bf 109 перехватил самолет связи Stinson L-5 Sentinel ВВС США, который перевозил генерал-лейтенанта армии США Александра М. Патча из Китцингена в Эринген, Германия. Пилот L-5, технический сержант Роберт Ф. Stretton, маневрируя сумел уклониться от Bf 109 и благополучно достиг земли в Орингене. Позже Стреттон получил за свой полет Знак отличия за полет (20371).</w:t>
      </w:r>
    </w:p>
    <w:p w14:paraId="22526CD2" w14:textId="77777777" w:rsidR="00DE5890" w:rsidRPr="00F90EAE" w:rsidRDefault="00DE5890" w:rsidP="00F90EAE">
      <w:pPr>
        <w:jc w:val="both"/>
        <w:rPr>
          <w:color w:val="0070C0"/>
          <w:sz w:val="16"/>
          <w:szCs w:val="16"/>
        </w:rPr>
      </w:pPr>
    </w:p>
    <w:p w14:paraId="4F25830A" w14:textId="77777777" w:rsidR="00DE5890" w:rsidRPr="00F90EAE" w:rsidRDefault="00DE5890" w:rsidP="00F90EAE">
      <w:pPr>
        <w:jc w:val="both"/>
        <w:rPr>
          <w:color w:val="0070C0"/>
          <w:sz w:val="16"/>
          <w:szCs w:val="16"/>
        </w:rPr>
      </w:pPr>
      <w:r w:rsidRPr="00F90EAE">
        <w:rPr>
          <w:color w:val="0070C0"/>
          <w:sz w:val="16"/>
          <w:szCs w:val="16"/>
        </w:rPr>
        <w:t>18 апреля 1945 немецкий ас Йоханнес Штайнхофф, летавший в составе специализированной истребительной эскадрильи Люфтваффе JV 44, получил серьезные ожоги и почти смертельные травмы, когда его Messerschmitt Me 262 разбился при взлете и взорвался. Он выживает и возобновляет полеты после войны (20371).</w:t>
      </w:r>
    </w:p>
    <w:p w14:paraId="6D20ECCC" w14:textId="77777777" w:rsidR="00DE5890" w:rsidRPr="00F90EAE" w:rsidRDefault="00DE5890" w:rsidP="00F90EAE">
      <w:pPr>
        <w:jc w:val="both"/>
        <w:rPr>
          <w:color w:val="0070C0"/>
          <w:sz w:val="16"/>
          <w:szCs w:val="16"/>
        </w:rPr>
      </w:pPr>
    </w:p>
    <w:p w14:paraId="269C3FD9"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во время Второй мировой войны английские и американские войска освободили от фашистов города Магдебург, Дюссельдорф и Рур (15103).</w:t>
      </w:r>
    </w:p>
    <w:p w14:paraId="534A3874" w14:textId="77777777" w:rsidR="0053208B" w:rsidRPr="00F90EAE" w:rsidRDefault="0053208B" w:rsidP="00F90EAE">
      <w:pPr>
        <w:jc w:val="both"/>
        <w:rPr>
          <w:color w:val="000000" w:themeColor="text1"/>
          <w:sz w:val="16"/>
          <w:szCs w:val="16"/>
        </w:rPr>
      </w:pPr>
    </w:p>
    <w:p w14:paraId="6164A51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американские войска пересекли чешскую границу (4962).</w:t>
      </w:r>
    </w:p>
    <w:p w14:paraId="6D1D385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085B0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германские войска в Рурском бассейне капитулировали союзникам (4962), остатки 5ТА и 15А группы армий B,окружённые в Рурском промышленном районе (4963 ).</w:t>
      </w:r>
    </w:p>
    <w:p w14:paraId="7C98A5C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71DCB9F" w14:textId="77777777" w:rsidR="00EE4B80" w:rsidRPr="00F90EAE" w:rsidRDefault="00EE4B80"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w:t>
      </w:r>
      <w:r w:rsidRPr="00F90EAE">
        <w:rPr>
          <w:bCs/>
          <w:color w:val="000000" w:themeColor="text1"/>
          <w:sz w:val="16"/>
          <w:szCs w:val="16"/>
        </w:rPr>
        <w:t xml:space="preserve"> около 317.000 солдат, в т. ч. 30 генералов, сложили оружие, что было крупнейшей капитуляцией за период войны. Модель покончил с собой.» </w:t>
      </w:r>
      <w:r w:rsidRPr="00F90EAE">
        <w:rPr>
          <w:color w:val="000000" w:themeColor="text1"/>
          <w:sz w:val="16"/>
          <w:szCs w:val="16"/>
        </w:rPr>
        <w:t>21 апреля Модель застрелился (54 года) (17459).</w:t>
      </w:r>
    </w:p>
    <w:p w14:paraId="1D1948F0" w14:textId="77777777" w:rsidR="00EE4B80" w:rsidRPr="00F90EAE" w:rsidRDefault="00EE4B80" w:rsidP="00F90EAE">
      <w:pPr>
        <w:tabs>
          <w:tab w:val="left" w:pos="11199"/>
        </w:tabs>
        <w:autoSpaceDE w:val="0"/>
        <w:autoSpaceDN w:val="0"/>
        <w:adjustRightInd w:val="0"/>
        <w:jc w:val="both"/>
        <w:rPr>
          <w:color w:val="000000" w:themeColor="text1"/>
          <w:sz w:val="16"/>
          <w:szCs w:val="16"/>
        </w:rPr>
      </w:pPr>
    </w:p>
    <w:p w14:paraId="6E0FDF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April</w:t>
      </w:r>
      <w:r w:rsidRPr="00F90EAE">
        <w:rPr>
          <w:color w:val="000000" w:themeColor="text1"/>
          <w:sz w:val="16"/>
          <w:szCs w:val="16"/>
        </w:rPr>
        <w:t xml:space="preserve"> 18 1945 </w:t>
      </w:r>
      <w:r w:rsidRPr="00F90EAE">
        <w:rPr>
          <w:color w:val="000000" w:themeColor="text1"/>
          <w:sz w:val="16"/>
          <w:szCs w:val="16"/>
          <w:lang w:val="en-US"/>
        </w:rPr>
        <w:t>GermanforcesinRuhrpocketsurrender</w:t>
      </w:r>
      <w:r w:rsidRPr="00F90EAE">
        <w:rPr>
          <w:color w:val="000000" w:themeColor="text1"/>
          <w:sz w:val="16"/>
          <w:szCs w:val="16"/>
        </w:rPr>
        <w:t xml:space="preserve"> (1050).</w:t>
      </w:r>
    </w:p>
    <w:p w14:paraId="71F19FD4" w14:textId="77777777" w:rsidR="00665165" w:rsidRPr="00F90EAE" w:rsidRDefault="00665165" w:rsidP="00F90EAE">
      <w:pPr>
        <w:autoSpaceDE w:val="0"/>
        <w:autoSpaceDN w:val="0"/>
        <w:adjustRightInd w:val="0"/>
        <w:jc w:val="both"/>
        <w:rPr>
          <w:color w:val="000000" w:themeColor="text1"/>
          <w:sz w:val="16"/>
          <w:szCs w:val="16"/>
        </w:rPr>
      </w:pPr>
    </w:p>
    <w:p w14:paraId="5D8D8A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немцы сдались в окруженном Руре (1050).</w:t>
      </w:r>
    </w:p>
    <w:p w14:paraId="19FA5ABB" w14:textId="77777777" w:rsidR="00665165" w:rsidRPr="00F90EAE" w:rsidRDefault="00665165" w:rsidP="00F90EAE">
      <w:pPr>
        <w:autoSpaceDE w:val="0"/>
        <w:autoSpaceDN w:val="0"/>
        <w:adjustRightInd w:val="0"/>
        <w:jc w:val="both"/>
        <w:rPr>
          <w:color w:val="000000" w:themeColor="text1"/>
          <w:sz w:val="16"/>
          <w:szCs w:val="16"/>
        </w:rPr>
      </w:pPr>
    </w:p>
    <w:p w14:paraId="347779DF" w14:textId="77777777" w:rsidR="0053208B" w:rsidRPr="00F90EAE" w:rsidRDefault="0053208B" w:rsidP="00F90EAE">
      <w:pPr>
        <w:jc w:val="both"/>
        <w:rPr>
          <w:color w:val="000000" w:themeColor="text1"/>
          <w:sz w:val="16"/>
          <w:szCs w:val="16"/>
        </w:rPr>
      </w:pPr>
      <w:r w:rsidRPr="00F90EAE">
        <w:rPr>
          <w:color w:val="000000" w:themeColor="text1"/>
          <w:sz w:val="16"/>
          <w:szCs w:val="16"/>
        </w:rPr>
        <w:t>18 апреля в 1945 году остатки 5-й танковой армии и 15-й армии группы армий B, окружённые в Рурском промышленном районе, сдались союзникам (15103).</w:t>
      </w:r>
    </w:p>
    <w:p w14:paraId="668B33DB" w14:textId="77777777" w:rsidR="0053208B" w:rsidRPr="00F90EAE" w:rsidRDefault="0053208B" w:rsidP="00F90EAE">
      <w:pPr>
        <w:jc w:val="both"/>
        <w:rPr>
          <w:color w:val="000000" w:themeColor="text1"/>
          <w:sz w:val="16"/>
          <w:szCs w:val="16"/>
        </w:rPr>
      </w:pPr>
    </w:p>
    <w:p w14:paraId="05513C3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lastRenderedPageBreak/>
        <w:t>April 18th, 1945: The British Second Army captures Ulzen and Luneburg. The US Third Army captures Nurnberg and advances into Bohemia. In the East, the Soviet 1st Ukrainian Front captures Forst on the Neisse river. North of Frankfurt, the Soviet 1st Belorussian Front continues its attack to take the Seelow Heights, gradually wearing down the outnumbered German defenders (3819).</w:t>
      </w:r>
    </w:p>
    <w:p w14:paraId="187FD3CA" w14:textId="77777777" w:rsidR="00665165" w:rsidRPr="00F90EAE" w:rsidRDefault="00665165" w:rsidP="00F90EAE">
      <w:pPr>
        <w:autoSpaceDE w:val="0"/>
        <w:autoSpaceDN w:val="0"/>
        <w:adjustRightInd w:val="0"/>
        <w:jc w:val="both"/>
        <w:rPr>
          <w:color w:val="000000" w:themeColor="text1"/>
          <w:sz w:val="16"/>
          <w:szCs w:val="16"/>
          <w:lang w:val="en-US"/>
        </w:rPr>
      </w:pPr>
    </w:p>
    <w:p w14:paraId="7AEC9C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апреля 1945 британская 2А заняла Улцен и Люнебург. 3А США захватила Нюрнберг и продвинулась к Богемии. 1УФ занял Форст на Нейсе. На север от Франкфурта 1БФ продолжил атаки на Зееловских высотах (3819).</w:t>
      </w:r>
    </w:p>
    <w:p w14:paraId="6241F227" w14:textId="77777777" w:rsidR="00665165" w:rsidRPr="00F90EAE" w:rsidRDefault="00665165" w:rsidP="00F90EAE">
      <w:pPr>
        <w:autoSpaceDE w:val="0"/>
        <w:autoSpaceDN w:val="0"/>
        <w:adjustRightInd w:val="0"/>
        <w:jc w:val="both"/>
        <w:rPr>
          <w:color w:val="000000" w:themeColor="text1"/>
          <w:sz w:val="16"/>
          <w:szCs w:val="16"/>
        </w:rPr>
      </w:pPr>
    </w:p>
    <w:p w14:paraId="16F3B36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апреля 1945 Геббельс сжег все документы своей канцелярии (4962).</w:t>
      </w:r>
    </w:p>
    <w:p w14:paraId="1E35A20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96925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D7896E7" w14:textId="77777777" w:rsidR="00665165" w:rsidRPr="00F90EAE" w:rsidRDefault="00665165" w:rsidP="00F90EAE">
      <w:pPr>
        <w:autoSpaceDE w:val="0"/>
        <w:autoSpaceDN w:val="0"/>
        <w:adjustRightInd w:val="0"/>
        <w:jc w:val="both"/>
        <w:rPr>
          <w:iCs/>
          <w:color w:val="000000" w:themeColor="text1"/>
          <w:sz w:val="16"/>
          <w:szCs w:val="16"/>
        </w:rPr>
      </w:pPr>
    </w:p>
    <w:p w14:paraId="2641F576" w14:textId="77777777" w:rsidR="0032140A" w:rsidRPr="00F90EAE" w:rsidRDefault="0032140A" w:rsidP="00F90EAE">
      <w:pPr>
        <w:jc w:val="both"/>
        <w:rPr>
          <w:color w:val="000000" w:themeColor="text1"/>
          <w:sz w:val="16"/>
          <w:szCs w:val="16"/>
        </w:rPr>
      </w:pPr>
      <w:r w:rsidRPr="00F90EAE">
        <w:rPr>
          <w:color w:val="000000" w:themeColor="text1"/>
          <w:sz w:val="16"/>
          <w:szCs w:val="16"/>
        </w:rPr>
        <w:t>19 апреля 1945 г. состоялось техническое совещание по вопросу примене</w:t>
      </w:r>
      <w:r w:rsidRPr="00F90EAE">
        <w:rPr>
          <w:color w:val="000000" w:themeColor="text1"/>
          <w:sz w:val="16"/>
          <w:szCs w:val="16"/>
        </w:rPr>
        <w:softHyphen/>
        <w:t>ния стали ХД-693 толщиной 8 мм в гомогенном варианте.</w:t>
      </w:r>
    </w:p>
    <w:p w14:paraId="4B7265AA" w14:textId="77777777" w:rsidR="0032140A" w:rsidRPr="00F90EAE" w:rsidRDefault="0032140A"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Констатировалось, что сталь КП-2,</w:t>
      </w:r>
      <w:r w:rsidRPr="00F90EAE">
        <w:rPr>
          <w:rFonts w:ascii="Times New Roman" w:cs="Times New Roman"/>
          <w:color w:val="000000" w:themeColor="text1"/>
          <w:sz w:val="16"/>
          <w:szCs w:val="16"/>
        </w:rPr>
        <w:t xml:space="preserve"> «специ</w:t>
      </w:r>
      <w:r w:rsidRPr="00F90EAE">
        <w:rPr>
          <w:rFonts w:ascii="Times New Roman" w:cs="Times New Roman"/>
          <w:color w:val="000000" w:themeColor="text1"/>
          <w:sz w:val="16"/>
          <w:szCs w:val="16"/>
        </w:rPr>
        <w:softHyphen/>
        <w:t>ально рассчитанная на противодействие пуль калибра 7,62-7,92 мм»,</w:t>
      </w:r>
      <w:r w:rsidRPr="00F90EAE">
        <w:rPr>
          <w:rStyle w:val="4e"/>
          <w:rFonts w:ascii="Times New Roman" w:eastAsia="Calibri" w:hAnsi="Times New Roman" w:cs="Times New Roman"/>
          <w:i w:val="0"/>
          <w:color w:val="000000" w:themeColor="text1"/>
          <w:sz w:val="16"/>
          <w:szCs w:val="16"/>
        </w:rPr>
        <w:t xml:space="preserve"> не удовлетворяет по стойкости против пуль крупного калибра и ма</w:t>
      </w:r>
      <w:r w:rsidRPr="00F90EAE">
        <w:rPr>
          <w:rStyle w:val="4e"/>
          <w:rFonts w:ascii="Times New Roman" w:eastAsia="Calibri" w:hAnsi="Times New Roman" w:cs="Times New Roman"/>
          <w:i w:val="0"/>
          <w:color w:val="000000" w:themeColor="text1"/>
          <w:sz w:val="16"/>
          <w:szCs w:val="16"/>
        </w:rPr>
        <w:softHyphen/>
        <w:t>локалиберных снарядов авиационных пушек и зенитных автоматов. Поэтому считалось необ</w:t>
      </w:r>
      <w:r w:rsidRPr="00F90EAE">
        <w:rPr>
          <w:rStyle w:val="4e"/>
          <w:rFonts w:ascii="Times New Roman" w:eastAsia="Calibri" w:hAnsi="Times New Roman" w:cs="Times New Roman"/>
          <w:i w:val="0"/>
          <w:color w:val="000000" w:themeColor="text1"/>
          <w:sz w:val="16"/>
          <w:szCs w:val="16"/>
        </w:rPr>
        <w:softHyphen/>
        <w:t>ходимым незамедлительно начать</w:t>
      </w:r>
      <w:r w:rsidRPr="00F90EAE">
        <w:rPr>
          <w:rFonts w:ascii="Times New Roman" w:cs="Times New Roman"/>
          <w:color w:val="000000" w:themeColor="text1"/>
          <w:sz w:val="16"/>
          <w:szCs w:val="16"/>
        </w:rPr>
        <w:t xml:space="preserve"> «разработку оптимального химсостава броневой стали и технологии термической обработки бронеде</w:t>
      </w:r>
      <w:r w:rsidRPr="00F90EAE">
        <w:rPr>
          <w:rFonts w:ascii="Times New Roman" w:cs="Times New Roman"/>
          <w:color w:val="000000" w:themeColor="text1"/>
          <w:sz w:val="16"/>
          <w:szCs w:val="16"/>
        </w:rPr>
        <w:softHyphen/>
        <w:t>талей, специально рассчитанных на противо</w:t>
      </w:r>
      <w:r w:rsidRPr="00F90EAE">
        <w:rPr>
          <w:rFonts w:ascii="Times New Roman" w:cs="Times New Roman"/>
          <w:color w:val="000000" w:themeColor="text1"/>
          <w:sz w:val="16"/>
          <w:szCs w:val="16"/>
        </w:rPr>
        <w:softHyphen/>
        <w:t>действие калибрам 12,7 мм и более, с предъ</w:t>
      </w:r>
      <w:r w:rsidRPr="00F90EAE">
        <w:rPr>
          <w:rFonts w:ascii="Times New Roman" w:cs="Times New Roman"/>
          <w:color w:val="000000" w:themeColor="text1"/>
          <w:sz w:val="16"/>
          <w:szCs w:val="16"/>
        </w:rPr>
        <w:softHyphen/>
        <w:t>явлением ее на госиспытания в 3-м кв. с.г.» (17479).</w:t>
      </w:r>
    </w:p>
    <w:p w14:paraId="7EB314A1" w14:textId="77777777" w:rsidR="0032140A" w:rsidRPr="00F90EAE" w:rsidRDefault="0032140A" w:rsidP="00F90EAE">
      <w:pPr>
        <w:pStyle w:val="45"/>
        <w:shd w:val="clear" w:color="auto" w:fill="auto"/>
        <w:spacing w:before="0" w:line="240" w:lineRule="auto"/>
        <w:jc w:val="both"/>
        <w:rPr>
          <w:rFonts w:ascii="Times New Roman" w:cs="Times New Roman"/>
          <w:color w:val="000000" w:themeColor="text1"/>
          <w:sz w:val="16"/>
          <w:szCs w:val="16"/>
        </w:rPr>
      </w:pPr>
    </w:p>
    <w:p w14:paraId="372B57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продолжились и проходили до 27 апреля 1945 гос. испытания серийного Як-3 ПФ-2 N 2229 292 завода, выпущенного в ноябре 1944, которые начались с 10 апреля 1945 (805,5).</w:t>
      </w:r>
    </w:p>
    <w:p w14:paraId="14CBA2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29E5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стт-л В.П.Белодеденко</w:t>
      </w:r>
    </w:p>
    <w:p w14:paraId="5968A7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вли к Мванов</w:t>
      </w:r>
    </w:p>
    <w:p w14:paraId="1EF180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31E06C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на 15-19 км/час меньше установленной постановлением ГОКО от 26 октября 1943</w:t>
      </w:r>
    </w:p>
    <w:p w14:paraId="09A552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объем б/б был на 22 л меньше, чем у с-та Як-1 М “дублер”</w:t>
      </w:r>
    </w:p>
    <w:p w14:paraId="265AD9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мала дальность р/передатчика (45 км)</w:t>
      </w:r>
    </w:p>
    <w:p w14:paraId="06525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2031C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3201C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Як-3 № 22-29 с ПФ-2 контрольные испытания прошел неудовлетворительно.</w:t>
      </w:r>
    </w:p>
    <w:p w14:paraId="088A1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нем не устранены следующие основаные дефекты, выявленные при испытаниях с-та № 11-12:</w:t>
      </w:r>
    </w:p>
    <w:p w14:paraId="35972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0269D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максимальная дальность радиопередачи (60 км)</w:t>
      </w:r>
    </w:p>
    <w:p w14:paraId="308DC6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мала емкость б/б (360 л против 372 л у опытного Як-1М “дублер”</w:t>
      </w:r>
    </w:p>
    <w:p w14:paraId="49FDD6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- 3 мая 1945, Лосюков - 4 мая 1945</w:t>
      </w:r>
    </w:p>
    <w:p w14:paraId="2A0CDC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561F31" w:rsidRPr="00F90EAE" w14:paraId="37FC6917" w14:textId="77777777">
        <w:tc>
          <w:tcPr>
            <w:tcW w:w="3369" w:type="dxa"/>
            <w:tcBorders>
              <w:top w:val="single" w:sz="12" w:space="0" w:color="auto"/>
            </w:tcBorders>
          </w:tcPr>
          <w:p w14:paraId="4A814C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1961" w:type="dxa"/>
            <w:tcBorders>
              <w:top w:val="single" w:sz="12" w:space="0" w:color="auto"/>
            </w:tcBorders>
          </w:tcPr>
          <w:p w14:paraId="5D5C9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4420A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34A94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5CE0D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от 26 октября 1943</w:t>
            </w:r>
          </w:p>
        </w:tc>
      </w:tr>
      <w:tr w:rsidR="00561F31" w:rsidRPr="00F90EAE" w14:paraId="70178449" w14:textId="77777777">
        <w:tc>
          <w:tcPr>
            <w:tcW w:w="3369" w:type="dxa"/>
          </w:tcPr>
          <w:p w14:paraId="695856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1961" w:type="dxa"/>
          </w:tcPr>
          <w:p w14:paraId="7CFEEA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961" w:type="dxa"/>
          </w:tcPr>
          <w:p w14:paraId="5A807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961" w:type="dxa"/>
          </w:tcPr>
          <w:p w14:paraId="0EB94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961" w:type="dxa"/>
          </w:tcPr>
          <w:p w14:paraId="754EEE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2670</w:t>
            </w:r>
          </w:p>
        </w:tc>
      </w:tr>
      <w:tr w:rsidR="00561F31" w:rsidRPr="00F90EAE" w14:paraId="1BDE07B1" w14:textId="77777777">
        <w:tc>
          <w:tcPr>
            <w:tcW w:w="3369" w:type="dxa"/>
          </w:tcPr>
          <w:p w14:paraId="513ADF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w:t>
            </w:r>
          </w:p>
        </w:tc>
        <w:tc>
          <w:tcPr>
            <w:tcW w:w="1961" w:type="dxa"/>
          </w:tcPr>
          <w:p w14:paraId="5AA7A7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961" w:type="dxa"/>
          </w:tcPr>
          <w:p w14:paraId="6CD14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tc>
        <w:tc>
          <w:tcPr>
            <w:tcW w:w="1961" w:type="dxa"/>
          </w:tcPr>
          <w:p w14:paraId="3418F7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w:t>
            </w:r>
          </w:p>
        </w:tc>
        <w:tc>
          <w:tcPr>
            <w:tcW w:w="1961" w:type="dxa"/>
          </w:tcPr>
          <w:p w14:paraId="3CE442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2D719C15" w14:textId="77777777">
        <w:tc>
          <w:tcPr>
            <w:tcW w:w="3369" w:type="dxa"/>
          </w:tcPr>
          <w:p w14:paraId="2FD9D0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1-й границе высотности</w:t>
            </w:r>
          </w:p>
        </w:tc>
        <w:tc>
          <w:tcPr>
            <w:tcW w:w="1961" w:type="dxa"/>
          </w:tcPr>
          <w:p w14:paraId="52308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613/2100</w:t>
            </w:r>
          </w:p>
        </w:tc>
        <w:tc>
          <w:tcPr>
            <w:tcW w:w="1961" w:type="dxa"/>
          </w:tcPr>
          <w:p w14:paraId="2A1EF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610/2200</w:t>
            </w:r>
          </w:p>
        </w:tc>
        <w:tc>
          <w:tcPr>
            <w:tcW w:w="1961" w:type="dxa"/>
          </w:tcPr>
          <w:p w14:paraId="01794C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610/1600</w:t>
            </w:r>
          </w:p>
        </w:tc>
        <w:tc>
          <w:tcPr>
            <w:tcW w:w="1961" w:type="dxa"/>
          </w:tcPr>
          <w:p w14:paraId="25724F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2CDD4C1" w14:textId="77777777">
        <w:tc>
          <w:tcPr>
            <w:tcW w:w="3369" w:type="dxa"/>
          </w:tcPr>
          <w:p w14:paraId="7A7D9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границе высотности</w:t>
            </w:r>
          </w:p>
        </w:tc>
        <w:tc>
          <w:tcPr>
            <w:tcW w:w="1961" w:type="dxa"/>
          </w:tcPr>
          <w:p w14:paraId="3EAB6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639/4150</w:t>
            </w:r>
          </w:p>
        </w:tc>
        <w:tc>
          <w:tcPr>
            <w:tcW w:w="1961" w:type="dxa"/>
          </w:tcPr>
          <w:p w14:paraId="503857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631/4200</w:t>
            </w:r>
          </w:p>
        </w:tc>
        <w:tc>
          <w:tcPr>
            <w:tcW w:w="1961" w:type="dxa"/>
          </w:tcPr>
          <w:p w14:paraId="1C717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642/3750</w:t>
            </w:r>
          </w:p>
        </w:tc>
        <w:tc>
          <w:tcPr>
            <w:tcW w:w="1961" w:type="dxa"/>
          </w:tcPr>
          <w:p w14:paraId="48F890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19CC5752" w14:textId="77777777">
        <w:tc>
          <w:tcPr>
            <w:tcW w:w="3369" w:type="dxa"/>
            <w:tcBorders>
              <w:bottom w:val="single" w:sz="12" w:space="0" w:color="auto"/>
            </w:tcBorders>
          </w:tcPr>
          <w:p w14:paraId="2D67A2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w:t>
            </w:r>
          </w:p>
        </w:tc>
        <w:tc>
          <w:tcPr>
            <w:tcW w:w="1961" w:type="dxa"/>
            <w:tcBorders>
              <w:bottom w:val="single" w:sz="12" w:space="0" w:color="auto"/>
            </w:tcBorders>
          </w:tcPr>
          <w:p w14:paraId="7BD92B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961" w:type="dxa"/>
            <w:tcBorders>
              <w:bottom w:val="single" w:sz="12" w:space="0" w:color="auto"/>
            </w:tcBorders>
          </w:tcPr>
          <w:p w14:paraId="55569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961" w:type="dxa"/>
            <w:tcBorders>
              <w:bottom w:val="single" w:sz="12" w:space="0" w:color="auto"/>
            </w:tcBorders>
          </w:tcPr>
          <w:p w14:paraId="76551B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961" w:type="dxa"/>
            <w:tcBorders>
              <w:bottom w:val="single" w:sz="12" w:space="0" w:color="auto"/>
            </w:tcBorders>
          </w:tcPr>
          <w:p w14:paraId="3A0981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4F3EB6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1хТМА-2- ШВАК и 2хБС синхр.</w:t>
      </w:r>
    </w:p>
    <w:p w14:paraId="33DF26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серийного с-та № 11-12, проходившего КИ в сентябре 1944 имеет следующие основные отличия:</w:t>
      </w:r>
    </w:p>
    <w:p w14:paraId="12DF58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планеру</w:t>
      </w:r>
    </w:p>
    <w:p w14:paraId="1D5855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проведены мероприятия по улучшению аэродинамики с-та</w:t>
      </w:r>
    </w:p>
    <w:p w14:paraId="60E1A6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уменьшены щели между крылом и элеронами, между килем и РП и между стабилизатором и РВ</w:t>
      </w:r>
    </w:p>
    <w:p w14:paraId="4BBB2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уменьшены вырезы под кронштейны элеронов и рулей</w:t>
      </w:r>
    </w:p>
    <w:p w14:paraId="6552A4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улучшена герметичность с-та</w:t>
      </w:r>
    </w:p>
    <w:p w14:paraId="2E7E2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поставлены замки на центральные щитки шасси</w:t>
      </w:r>
    </w:p>
    <w:p w14:paraId="39501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повышена прочность крыла:</w:t>
      </w:r>
    </w:p>
    <w:p w14:paraId="4F96BF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увеличена вдвое площадь склейки средней части нервюр 8, 9, 10, 11, 14, 16, 18 с верхней обшивкой</w:t>
      </w:r>
    </w:p>
    <w:p w14:paraId="654004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63ED1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средняя часть и шпон лобовой части обшивки приклеены клеем ВИАМ-Б-3</w:t>
      </w:r>
    </w:p>
    <w:p w14:paraId="1AC23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 ВМГ - установлено приспособление для газового запуска мотора...</w:t>
      </w:r>
    </w:p>
    <w:p w14:paraId="28F92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 - вместо передатчика РСИ-3 установлен РСИ-3М-1...</w:t>
      </w:r>
    </w:p>
    <w:p w14:paraId="78D1AA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1E933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10744E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выполнено 20 полетов с общим налетом 12:16</w:t>
      </w:r>
    </w:p>
    <w:p w14:paraId="58ED3F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2146 при нормальном полетном 2710. Ц/т 24,7%</w:t>
      </w:r>
    </w:p>
    <w:p w14:paraId="209AE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- 90</w:t>
      </w:r>
    </w:p>
    <w:p w14:paraId="7262DC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- 360 л (уд. Вес 0,741) - 267 кг</w:t>
      </w:r>
    </w:p>
    <w:p w14:paraId="55B8B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- 95,5</w:t>
      </w:r>
    </w:p>
    <w:p w14:paraId="2A1357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- 77,5</w:t>
      </w:r>
    </w:p>
    <w:p w14:paraId="42FE8C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- 14</w:t>
      </w:r>
    </w:p>
    <w:p w14:paraId="3A73E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564 кг</w:t>
      </w:r>
    </w:p>
    <w:p w14:paraId="0BED99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3534E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Перечень дефектов и конструктивных недостатков, выявленных при испытаниях:</w:t>
      </w:r>
    </w:p>
    <w:p w14:paraId="48CCC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отсос щитков шасси при полете на повышенной скорости</w:t>
      </w:r>
    </w:p>
    <w:p w14:paraId="72843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отставание обшивки в нижней части конца фюзеляжа, отставание обшивки киля</w:t>
      </w:r>
    </w:p>
    <w:p w14:paraId="5547A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искажения сферического козырька кабины фонаря, видемость через него неудовлетворительна</w:t>
      </w:r>
    </w:p>
    <w:p w14:paraId="383BBB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велики усилия на ручке элеронов и РВ, малая эффективность триммер РВ</w:t>
      </w:r>
    </w:p>
    <w:p w14:paraId="6695F5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22007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Механические бензомеры непригодны для расхода горючего.</w:t>
      </w:r>
    </w:p>
    <w:p w14:paraId="081D45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Радиосвязь на землю с высоты 1000 м - 60 км</w:t>
      </w:r>
    </w:p>
    <w:p w14:paraId="6612A8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74DE6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Вентиляция кабины эффективна</w:t>
      </w:r>
    </w:p>
    <w:p w14:paraId="13341F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Управление огнем пушки и пулеметов - удачное</w:t>
      </w:r>
    </w:p>
    <w:p w14:paraId="51B92C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47E172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Иванов - подписал 30 апреля 1945</w:t>
      </w:r>
    </w:p>
    <w:p w14:paraId="2EECA7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Прошаков, Хомяков, Седов, Антипов, Кувшинов - подписали 30 апреля 1945 (805,5).</w:t>
      </w:r>
    </w:p>
    <w:p w14:paraId="47E8C461" w14:textId="77777777" w:rsidR="00665165" w:rsidRPr="00F90EAE" w:rsidRDefault="00665165" w:rsidP="00F90EAE">
      <w:pPr>
        <w:autoSpaceDE w:val="0"/>
        <w:autoSpaceDN w:val="0"/>
        <w:adjustRightInd w:val="0"/>
        <w:jc w:val="both"/>
        <w:rPr>
          <w:color w:val="000000" w:themeColor="text1"/>
          <w:sz w:val="16"/>
          <w:szCs w:val="16"/>
        </w:rPr>
      </w:pPr>
    </w:p>
    <w:p w14:paraId="47C28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ГОКО № 8206 “Об организации в системе НКБ КБ и опытного завода по РС (8633,10).</w:t>
      </w:r>
    </w:p>
    <w:p w14:paraId="0D2B02F6" w14:textId="77777777" w:rsidR="00665165" w:rsidRPr="00F90EAE" w:rsidRDefault="00665165" w:rsidP="00F90EAE">
      <w:pPr>
        <w:autoSpaceDE w:val="0"/>
        <w:autoSpaceDN w:val="0"/>
        <w:adjustRightInd w:val="0"/>
        <w:jc w:val="both"/>
        <w:rPr>
          <w:color w:val="000000" w:themeColor="text1"/>
          <w:sz w:val="16"/>
          <w:szCs w:val="16"/>
        </w:rPr>
      </w:pPr>
    </w:p>
    <w:p w14:paraId="461D4F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апреля 1945 г. Верховный Главнокомандующий И.В. Сталин под</w:t>
      </w:r>
      <w:r w:rsidRPr="00F90EAE">
        <w:rPr>
          <w:color w:val="000000" w:themeColor="text1"/>
          <w:sz w:val="16"/>
          <w:szCs w:val="16"/>
        </w:rPr>
        <w:softHyphen/>
        <w:t>писал Постановление ГКО №8206 «О создании в системе Нар</w:t>
      </w:r>
      <w:r w:rsidRPr="00F90EAE">
        <w:rPr>
          <w:color w:val="000000" w:themeColor="text1"/>
          <w:sz w:val="16"/>
          <w:szCs w:val="16"/>
        </w:rPr>
        <w:softHyphen/>
        <w:t>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w:t>
      </w:r>
      <w:r w:rsidRPr="00F90EAE">
        <w:rPr>
          <w:color w:val="000000" w:themeColor="text1"/>
          <w:sz w:val="16"/>
          <w:szCs w:val="16"/>
        </w:rPr>
        <w:softHyphen/>
        <w:t>ным снарядам, осколочно-реактивным, бронебойным, зенитным, авиационным снарядам. Предписывалось организо</w:t>
      </w:r>
      <w:r w:rsidRPr="00F90EAE">
        <w:rPr>
          <w:color w:val="000000" w:themeColor="text1"/>
          <w:sz w:val="16"/>
          <w:szCs w:val="16"/>
        </w:rPr>
        <w:softHyphen/>
        <w:t>вать КБ в нереально короткие сроки — всего за две недели! Уже 29 апреля Б.Л. Ванников своим приказом № 169 раз</w:t>
      </w:r>
      <w:r w:rsidRPr="00F90EAE">
        <w:rPr>
          <w:color w:val="000000" w:themeColor="text1"/>
          <w:sz w:val="16"/>
          <w:szCs w:val="16"/>
        </w:rPr>
        <w:softHyphen/>
        <w:t>местил новую организацию в корпусе №5 на территории завода №67. Возгла</w:t>
      </w:r>
      <w:r w:rsidRPr="00F90EAE">
        <w:rPr>
          <w:color w:val="000000" w:themeColor="text1"/>
          <w:sz w:val="16"/>
          <w:szCs w:val="16"/>
        </w:rPr>
        <w:softHyphen/>
        <w:t>вил ГЦКБ-1 Н.И. Крупное, бывший до этого главным технологом ГСКБ-47 НКБ. В задачи ГЦКБ-1, определенные в его уставе,утвержденном Юмая 1945 г.,вхо</w:t>
      </w:r>
      <w:r w:rsidRPr="00F90EAE">
        <w:rPr>
          <w:color w:val="000000" w:themeColor="text1"/>
          <w:sz w:val="16"/>
          <w:szCs w:val="16"/>
        </w:rPr>
        <w:softHyphen/>
        <w:t>дили проведение исследовательских ра</w:t>
      </w:r>
      <w:r w:rsidRPr="00F90EAE">
        <w:rPr>
          <w:color w:val="000000" w:themeColor="text1"/>
          <w:sz w:val="16"/>
          <w:szCs w:val="16"/>
        </w:rPr>
        <w:softHyphen/>
        <w:t>бот и разработка новых с улучшенными боевыми свойствами находящихся на вооружении «специальных боеприпасов согласно утвержденной НКБ номенкла</w:t>
      </w:r>
      <w:r w:rsidRPr="00F90EAE">
        <w:rPr>
          <w:color w:val="000000" w:themeColor="text1"/>
          <w:sz w:val="16"/>
          <w:szCs w:val="16"/>
        </w:rPr>
        <w:softHyphen/>
        <w:t>туре» и оказание технической помощи «заводам СССР в освоении и отработке технологических процессов выпускае</w:t>
      </w:r>
      <w:r w:rsidRPr="00F90EAE">
        <w:rPr>
          <w:color w:val="000000" w:themeColor="text1"/>
          <w:sz w:val="16"/>
          <w:szCs w:val="16"/>
        </w:rPr>
        <w:softHyphen/>
        <w:t>мой заводами продукции данного вида» (11089).</w:t>
      </w:r>
    </w:p>
    <w:p w14:paraId="6D6E0A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ГЦКБ-1, не имея определенной пла</w:t>
      </w:r>
      <w:r w:rsidRPr="00F90EAE">
        <w:rPr>
          <w:color w:val="000000" w:themeColor="text1"/>
          <w:sz w:val="16"/>
          <w:szCs w:val="16"/>
        </w:rPr>
        <w:softHyphen/>
        <w:t>новой тематики, выполняло работы ис</w:t>
      </w:r>
      <w:r w:rsidRPr="00F90EAE">
        <w:rPr>
          <w:color w:val="000000" w:themeColor="text1"/>
          <w:sz w:val="16"/>
          <w:szCs w:val="16"/>
        </w:rPr>
        <w:softHyphen/>
        <w:t>ключительно по собственной инициати</w:t>
      </w:r>
      <w:r w:rsidRPr="00F90EAE">
        <w:rPr>
          <w:color w:val="000000" w:themeColor="text1"/>
          <w:sz w:val="16"/>
          <w:szCs w:val="16"/>
        </w:rPr>
        <w:softHyphen/>
        <w:t>ве. В частности, в 1945 г. по проекту ТТТ ГАУ началось создание дальнобойного порохового реактивного снаряда даль</w:t>
      </w:r>
      <w:r w:rsidRPr="00F90EAE">
        <w:rPr>
          <w:color w:val="000000" w:themeColor="text1"/>
          <w:sz w:val="16"/>
          <w:szCs w:val="16"/>
        </w:rPr>
        <w:softHyphen/>
        <w:t>ностью 20—25 км. Предполагалось раз</w:t>
      </w:r>
      <w:r w:rsidRPr="00F90EAE">
        <w:rPr>
          <w:color w:val="000000" w:themeColor="text1"/>
          <w:sz w:val="16"/>
          <w:szCs w:val="16"/>
        </w:rPr>
        <w:softHyphen/>
        <w:t>работать простую, технологичную кон</w:t>
      </w:r>
      <w:r w:rsidRPr="00F90EAE">
        <w:rPr>
          <w:color w:val="000000" w:themeColor="text1"/>
          <w:sz w:val="16"/>
          <w:szCs w:val="16"/>
        </w:rPr>
        <w:softHyphen/>
        <w:t>струкцию, технологию изготовления порохового заряда необходимых разме</w:t>
      </w:r>
      <w:r w:rsidRPr="00F90EAE">
        <w:rPr>
          <w:color w:val="000000" w:themeColor="text1"/>
          <w:sz w:val="16"/>
          <w:szCs w:val="16"/>
        </w:rPr>
        <w:softHyphen/>
        <w:t>ров, провести теоретические исследова</w:t>
      </w:r>
      <w:r w:rsidRPr="00F90EAE">
        <w:rPr>
          <w:color w:val="000000" w:themeColor="text1"/>
          <w:sz w:val="16"/>
          <w:szCs w:val="16"/>
        </w:rPr>
        <w:softHyphen/>
        <w:t>ния внешнебаллистических параметров и пр. Однако собственного опыта в ре</w:t>
      </w:r>
      <w:r w:rsidRPr="00F90EAE">
        <w:rPr>
          <w:color w:val="000000" w:themeColor="text1"/>
          <w:sz w:val="16"/>
          <w:szCs w:val="16"/>
        </w:rPr>
        <w:softHyphen/>
        <w:t>шении этих проблем не имелось. В этой связи возникла потребность в изучении имевшегося мирового опыта (11089).</w:t>
      </w:r>
    </w:p>
    <w:p w14:paraId="31A4F2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FF1FD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ГОКО N 8155с о демонтаже и вывозе оборудования с моторно-сборочного завода Флюг-Моторен Верке Остмарк в г. Вене на завод 36 в Рыбинске, авиамоторных деталей Штейер Даймлер Пух Швейхотте в Вене на 36 в Рыбинске, авиаприборов фирмы Норма в Вене на 122 в Москве, остатков самолетно-сборочного завода Винер Нойштадт на 135 в Харьков, двух подземных заводов фирмы Хейнкель в районе Вены на 456 в Москве (1874,11).</w:t>
      </w:r>
    </w:p>
    <w:p w14:paraId="218D4D94" w14:textId="77777777" w:rsidR="00665165" w:rsidRPr="00F90EAE" w:rsidRDefault="00665165" w:rsidP="00F90EAE">
      <w:pPr>
        <w:autoSpaceDE w:val="0"/>
        <w:autoSpaceDN w:val="0"/>
        <w:adjustRightInd w:val="0"/>
        <w:jc w:val="both"/>
        <w:rPr>
          <w:color w:val="000000" w:themeColor="text1"/>
          <w:sz w:val="16"/>
          <w:szCs w:val="16"/>
        </w:rPr>
      </w:pPr>
    </w:p>
    <w:p w14:paraId="44E5EB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ГОКО N 8158с о демонтаже и вывозе оборудования с моторно-сборочного завода Радио Верке в г. Вена на 287 в Ленинграде (1874,11).</w:t>
      </w:r>
    </w:p>
    <w:p w14:paraId="438D3031" w14:textId="77777777" w:rsidR="00665165" w:rsidRPr="00F90EAE" w:rsidRDefault="00665165" w:rsidP="00F90EAE">
      <w:pPr>
        <w:autoSpaceDE w:val="0"/>
        <w:autoSpaceDN w:val="0"/>
        <w:adjustRightInd w:val="0"/>
        <w:jc w:val="both"/>
        <w:rPr>
          <w:color w:val="000000" w:themeColor="text1"/>
          <w:sz w:val="16"/>
          <w:szCs w:val="16"/>
        </w:rPr>
      </w:pPr>
    </w:p>
    <w:p w14:paraId="1A7EA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8158 О вывозе оборудования и материалов с завода "Радио-Верк" в г. Вена (Австрия) на завод № 287 на завод № 287 Наркомавиапрома. РГАНИР, Фонд ГКО, д. 401, лл. 67-68 (11012).</w:t>
      </w:r>
    </w:p>
    <w:p w14:paraId="076D9DDB" w14:textId="77777777" w:rsidR="00665165" w:rsidRPr="00F90EAE" w:rsidRDefault="00665165" w:rsidP="00F90EAE">
      <w:pPr>
        <w:autoSpaceDE w:val="0"/>
        <w:autoSpaceDN w:val="0"/>
        <w:adjustRightInd w:val="0"/>
        <w:jc w:val="both"/>
        <w:rPr>
          <w:color w:val="000000" w:themeColor="text1"/>
          <w:sz w:val="16"/>
          <w:szCs w:val="16"/>
        </w:rPr>
      </w:pPr>
    </w:p>
    <w:p w14:paraId="134D9A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ГОКО N 8162с о демонтаже и вывозе оборудования с завода фирмы Петер Пельцер в г. Зоммерфельд в ЦАГИ-Раменское, фирмы Эльтрон Теодор Штибель в г. Зоммерфельд на 489 в Днепропетровске, Пластмасс фирмы АЕГ м. Ное-Мюллер в районе г. Зоммерфельд на 218 в Ленинград, Пластмасс в м. Решен, Зоммерфельд на 218 в Ленинграде, остатки завода по производству реактивных самолетов в г. Шнейдемюль в ЦАГИ-Раменское, авиасборочного завода в г. Хейлигенбейль на завод 36 в Рыбинске (1874,11).</w:t>
      </w:r>
    </w:p>
    <w:p w14:paraId="233D2AB3" w14:textId="77777777" w:rsidR="00665165" w:rsidRPr="00F90EAE" w:rsidRDefault="00665165" w:rsidP="00F90EAE">
      <w:pPr>
        <w:autoSpaceDE w:val="0"/>
        <w:autoSpaceDN w:val="0"/>
        <w:adjustRightInd w:val="0"/>
        <w:jc w:val="both"/>
        <w:rPr>
          <w:color w:val="000000" w:themeColor="text1"/>
          <w:sz w:val="16"/>
          <w:szCs w:val="16"/>
        </w:rPr>
      </w:pPr>
    </w:p>
    <w:p w14:paraId="7C9BD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О№ 8196 вывозе немецких самолетов-истребителей и моторов с авиазавода "Мессершмидт" в г. Винер-Нойштадт в Австрии. РГАНИР, Фонд ГКО, д. 402, лл. 16 (11012).</w:t>
      </w:r>
    </w:p>
    <w:p w14:paraId="0258ECA8" w14:textId="77777777" w:rsidR="00665165" w:rsidRPr="00F90EAE" w:rsidRDefault="00665165" w:rsidP="00F90EAE">
      <w:pPr>
        <w:autoSpaceDE w:val="0"/>
        <w:autoSpaceDN w:val="0"/>
        <w:adjustRightInd w:val="0"/>
        <w:jc w:val="both"/>
        <w:rPr>
          <w:color w:val="000000" w:themeColor="text1"/>
          <w:sz w:val="16"/>
          <w:szCs w:val="16"/>
        </w:rPr>
      </w:pPr>
    </w:p>
    <w:p w14:paraId="287B9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8206 Об организации в системе Наркомата боеприпасов конструкторского бюро и опытного завода по реактивным снарядам. РГАНИР, Фонд ГКО, д. 402, лл. 52-53 (11012).</w:t>
      </w:r>
    </w:p>
    <w:p w14:paraId="284A0340" w14:textId="77777777" w:rsidR="00665165" w:rsidRPr="00F90EAE" w:rsidRDefault="00665165" w:rsidP="00F90EAE">
      <w:pPr>
        <w:autoSpaceDE w:val="0"/>
        <w:autoSpaceDN w:val="0"/>
        <w:adjustRightInd w:val="0"/>
        <w:jc w:val="both"/>
        <w:rPr>
          <w:color w:val="000000" w:themeColor="text1"/>
          <w:sz w:val="16"/>
          <w:szCs w:val="16"/>
        </w:rPr>
      </w:pPr>
    </w:p>
    <w:p w14:paraId="3A6B68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19 апреля 1945 г. в соответствии с пост. ГКО № 8206 и пр. НКБ от 29.04.1945 г. создано ГЦКБ-1 по созданию пороховых </w:t>
      </w:r>
      <w:r w:rsidRPr="00F90EAE">
        <w:rPr>
          <w:color w:val="000000" w:themeColor="text1"/>
          <w:sz w:val="16"/>
          <w:szCs w:val="16"/>
          <w:lang w:val="en-US"/>
        </w:rPr>
        <w:t>PC</w:t>
      </w:r>
      <w:r w:rsidRPr="00F90EAE">
        <w:rPr>
          <w:color w:val="000000" w:themeColor="text1"/>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459C4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16A511BF" w14:textId="77777777" w:rsidR="00DE38A8" w:rsidRPr="00F90EAE" w:rsidRDefault="00DE38A8" w:rsidP="00F90EAE">
      <w:pPr>
        <w:autoSpaceDE w:val="0"/>
        <w:autoSpaceDN w:val="0"/>
        <w:adjustRightInd w:val="0"/>
        <w:jc w:val="both"/>
        <w:rPr>
          <w:color w:val="000000" w:themeColor="text1"/>
          <w:sz w:val="16"/>
          <w:szCs w:val="16"/>
        </w:rPr>
      </w:pPr>
      <w:r w:rsidRPr="00F90EAE">
        <w:rPr>
          <w:color w:val="000000" w:themeColor="text1"/>
          <w:sz w:val="16"/>
          <w:szCs w:val="16"/>
        </w:rPr>
        <w:t xml:space="preserve">(Государственное ЦКБ № 1 (ГЦКБ-1) НКБ, НКСХМ, МСХМ, НИИ пороховых реактивных снарядов (НИИ ПРС) МСХМ, НИИ-1 МСХМ, ММ, МОП, </w:t>
      </w:r>
      <w:r w:rsidRPr="00F90EAE">
        <w:rPr>
          <w:color w:val="000000" w:themeColor="text1"/>
          <w:sz w:val="16"/>
          <w:szCs w:val="16"/>
          <w:lang w:val="en-US"/>
        </w:rPr>
        <w:t>MOM</w:t>
      </w:r>
      <w:r w:rsidRPr="00F90EAE">
        <w:rPr>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5A697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F90EAE">
        <w:rPr>
          <w:color w:val="000000" w:themeColor="text1"/>
          <w:sz w:val="16"/>
          <w:szCs w:val="16"/>
          <w:lang w:val="en-US"/>
        </w:rPr>
        <w:t>ri</w:t>
      </w:r>
      <w:r w:rsidRPr="00F90EAE">
        <w:rPr>
          <w:color w:val="000000" w:themeColor="text1"/>
          <w:sz w:val="16"/>
          <w:szCs w:val="16"/>
        </w:rPr>
        <w:t>/я А-1923» (01.1967 г.-).</w:t>
      </w:r>
    </w:p>
    <w:p w14:paraId="72FF2A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421C54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F90EAE">
        <w:rPr>
          <w:color w:val="000000" w:themeColor="text1"/>
          <w:sz w:val="16"/>
          <w:szCs w:val="16"/>
          <w:lang w:val="en-US"/>
        </w:rPr>
        <w:t>PC</w:t>
      </w:r>
      <w:r w:rsidRPr="00F90EAE">
        <w:rPr>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53E281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339C49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0DB80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69371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012A1B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475D2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1949-50 г. образован НТС института.</w:t>
      </w:r>
    </w:p>
    <w:p w14:paraId="5CD357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Кашляев, В.А. Солоноуц, П.А. Быстрое, М.С. Фетисов).</w:t>
      </w:r>
    </w:p>
    <w:p w14:paraId="32C20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F90EAE">
        <w:rPr>
          <w:color w:val="000000" w:themeColor="text1"/>
          <w:sz w:val="16"/>
          <w:szCs w:val="16"/>
          <w:lang w:val="en-US"/>
        </w:rPr>
        <w:t>PC</w:t>
      </w:r>
      <w:r w:rsidRPr="00F90EAE">
        <w:rPr>
          <w:color w:val="000000" w:themeColor="text1"/>
          <w:sz w:val="16"/>
          <w:szCs w:val="16"/>
        </w:rPr>
        <w:t xml:space="preserve">, на ее базе создан отдел № 10. Проведена НИР по возможности создания управляемого авиационного </w:t>
      </w:r>
      <w:r w:rsidRPr="00F90EAE">
        <w:rPr>
          <w:color w:val="000000" w:themeColor="text1"/>
          <w:sz w:val="16"/>
          <w:szCs w:val="16"/>
          <w:lang w:val="en-US"/>
        </w:rPr>
        <w:t>PC</w:t>
      </w:r>
      <w:r w:rsidRPr="00F90EAE">
        <w:rPr>
          <w:color w:val="000000" w:themeColor="text1"/>
          <w:sz w:val="16"/>
          <w:szCs w:val="16"/>
        </w:rPr>
        <w:t xml:space="preserve"> (А.А. Красовский).</w:t>
      </w:r>
    </w:p>
    <w:p w14:paraId="58178F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12.1951 г. КБ-3 МСХМ передано институту в качестве филиала (1.05.1958 г. преобразован в самостоятельный НИИ-4).</w:t>
      </w:r>
    </w:p>
    <w:p w14:paraId="1AEEF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5CF4B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F90EAE">
        <w:rPr>
          <w:color w:val="000000" w:themeColor="text1"/>
          <w:sz w:val="16"/>
          <w:szCs w:val="16"/>
          <w:vertAlign w:val="superscript"/>
        </w:rPr>
        <w:t>2</w:t>
      </w:r>
      <w:r w:rsidRPr="00F90EAE">
        <w:rPr>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32515F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76DB5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F90EAE">
        <w:rPr>
          <w:color w:val="000000" w:themeColor="text1"/>
          <w:sz w:val="16"/>
          <w:szCs w:val="16"/>
          <w:vertAlign w:val="superscript"/>
        </w:rPr>
        <w:t>2</w:t>
      </w:r>
      <w:r w:rsidRPr="00F90EAE">
        <w:rPr>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57570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40AB0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F90EAE">
        <w:rPr>
          <w:color w:val="000000" w:themeColor="text1"/>
          <w:sz w:val="16"/>
          <w:szCs w:val="16"/>
          <w:lang w:val="en-US"/>
        </w:rPr>
        <w:t>Mi</w:t>
      </w:r>
      <w:r w:rsidRPr="00F90EAE">
        <w:rPr>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7D0C7E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636CE7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РГБ-25 и ориентирной бомбой «Свеча-25»; «Смерч-П» с ПУ РБУ-6000 и бомбой РГБ-60 с взрьшателем УДВ-60; «Смерч-</w:t>
      </w:r>
      <w:r w:rsidRPr="00F90EAE">
        <w:rPr>
          <w:color w:val="000000" w:themeColor="text1"/>
          <w:sz w:val="16"/>
          <w:szCs w:val="16"/>
          <w:lang w:val="en-US"/>
        </w:rPr>
        <w:t>Ill</w:t>
      </w:r>
      <w:r w:rsidRPr="00F90EAE">
        <w:rPr>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63FD6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22.03.1958 г. и приказом ГКОТ № 115 от 2.04.1958 г. был разработан противоградовый комплекс ПГИ для стрельбы </w:t>
      </w:r>
      <w:r w:rsidRPr="00F90EAE">
        <w:rPr>
          <w:color w:val="000000" w:themeColor="text1"/>
          <w:sz w:val="16"/>
          <w:szCs w:val="16"/>
          <w:lang w:val="en-US"/>
        </w:rPr>
        <w:t>PC</w:t>
      </w:r>
      <w:r w:rsidRPr="00F90EAE">
        <w:rPr>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0AA375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исследования воздушных ударных волн в 1958 г. был создан пороховой реактивный генератор ГУТ-46.</w:t>
      </w:r>
    </w:p>
    <w:p w14:paraId="3BEB21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619D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B</w:t>
      </w:r>
      <w:r w:rsidRPr="00F90EAE">
        <w:rPr>
          <w:color w:val="000000" w:themeColor="text1"/>
          <w:sz w:val="16"/>
          <w:szCs w:val="16"/>
        </w:rPr>
        <w:t>. Крюков, Е.А. Ланг).</w:t>
      </w:r>
    </w:p>
    <w:p w14:paraId="29F4E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ПСМ № 829-379 от 21.07.1959 г. начались работы по первой отечественной управляемой </w:t>
      </w:r>
      <w:r w:rsidRPr="00F90EAE">
        <w:rPr>
          <w:color w:val="000000" w:themeColor="text1"/>
          <w:sz w:val="16"/>
          <w:szCs w:val="16"/>
          <w:lang w:val="en-US"/>
        </w:rPr>
        <w:t>OTP</w:t>
      </w:r>
      <w:r w:rsidRPr="00F90EAE">
        <w:rPr>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32A4C1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759F0E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720BAC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44F307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1967 г. МИТ был определен головным по разработке и производству подвижных РК и МБР на твердом топливе.</w:t>
      </w:r>
    </w:p>
    <w:p w14:paraId="3A787C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3B5248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EA84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78591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организовано постоянное представительство института на Боткинском заводе.</w:t>
      </w:r>
    </w:p>
    <w:p w14:paraId="0DFC5D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259AC2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3D2C1B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F90EAE">
        <w:rPr>
          <w:color w:val="000000" w:themeColor="text1"/>
          <w:sz w:val="16"/>
          <w:szCs w:val="16"/>
          <w:lang w:val="en-US"/>
        </w:rPr>
        <w:t>JI</w:t>
      </w:r>
      <w:r w:rsidRPr="00F90EAE">
        <w:rPr>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602418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63BDAD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1992 г. - ОКР «Зарядье 2-58» по продлению сроков эксплуатации МБР «Тополь».</w:t>
      </w:r>
    </w:p>
    <w:p w14:paraId="7EC57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79A2A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F8CFB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F90EAE">
        <w:rPr>
          <w:color w:val="000000" w:themeColor="text1"/>
          <w:sz w:val="16"/>
          <w:szCs w:val="16"/>
          <w:lang w:val="en-US"/>
        </w:rPr>
        <w:t>Mill</w:t>
      </w:r>
      <w:r w:rsidRPr="00F90EAE">
        <w:rPr>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0EAC1C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7BBF3A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722519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144253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F90EAE">
        <w:rPr>
          <w:color w:val="000000" w:themeColor="text1"/>
          <w:sz w:val="16"/>
          <w:szCs w:val="16"/>
          <w:vertAlign w:val="superscript"/>
        </w:rPr>
        <w:t xml:space="preserve">101 </w:t>
      </w:r>
      <w:r w:rsidRPr="00F90EAE">
        <w:rPr>
          <w:color w:val="000000" w:themeColor="text1"/>
          <w:sz w:val="16"/>
          <w:szCs w:val="16"/>
        </w:rPr>
        <w:t>В 2006 г. построен новый производственный корпус площадью 2000 м</w:t>
      </w:r>
      <w:r w:rsidRPr="00F90EAE">
        <w:rPr>
          <w:color w:val="000000" w:themeColor="text1"/>
          <w:sz w:val="16"/>
          <w:szCs w:val="16"/>
          <w:vertAlign w:val="superscript"/>
        </w:rPr>
        <w:t>2</w:t>
      </w:r>
      <w:r w:rsidRPr="00F90EAE">
        <w:rPr>
          <w:color w:val="000000" w:themeColor="text1"/>
          <w:sz w:val="16"/>
          <w:szCs w:val="16"/>
        </w:rPr>
        <w:t xml:space="preserve"> для экспериментального производства.</w:t>
      </w:r>
    </w:p>
    <w:p w14:paraId="4F8331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базе института организован НТЦ «Комплекс-МИТ». Имел дочернее предприятие (2006 г.)- ЗАО «Пусковые услуги».</w:t>
      </w:r>
    </w:p>
    <w:p w14:paraId="77018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07.2009 г. после очередного неудачного пуска «Булавы» Ю.С. Соломонов подал в отставку.</w:t>
      </w:r>
    </w:p>
    <w:p w14:paraId="0F9D5F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производственная (1946 г.)- 900 м</w:t>
      </w:r>
      <w:r w:rsidRPr="00F90EAE">
        <w:rPr>
          <w:color w:val="000000" w:themeColor="text1"/>
          <w:sz w:val="16"/>
          <w:szCs w:val="16"/>
          <w:vertAlign w:val="superscript"/>
        </w:rPr>
        <w:t>2</w:t>
      </w:r>
      <w:r w:rsidRPr="00F90EAE">
        <w:rPr>
          <w:color w:val="000000" w:themeColor="text1"/>
          <w:sz w:val="16"/>
          <w:szCs w:val="16"/>
        </w:rPr>
        <w:t>; общая (1946 г.)- 7330 м</w:t>
      </w:r>
      <w:r w:rsidRPr="00F90EAE">
        <w:rPr>
          <w:color w:val="000000" w:themeColor="text1"/>
          <w:sz w:val="16"/>
          <w:szCs w:val="16"/>
          <w:vertAlign w:val="superscript"/>
        </w:rPr>
        <w:t>2</w:t>
      </w:r>
      <w:r w:rsidRPr="00F90EAE">
        <w:rPr>
          <w:color w:val="000000" w:themeColor="text1"/>
          <w:sz w:val="16"/>
          <w:szCs w:val="16"/>
        </w:rPr>
        <w:t>.</w:t>
      </w:r>
    </w:p>
    <w:p w14:paraId="2363F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(1946 г.)- 545 чел., (1954 г.)- 1384 чел., (1.01.1957 г.)- 1689 чел., (1958 г.)- 1844 чел., (1966 г.)- 4030 чел., (1967 г.)- 4451 чел., (1976 г.)- 7035 чел.</w:t>
      </w:r>
    </w:p>
    <w:p w14:paraId="4C8FD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4599D5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39AA3DA8" w14:textId="77777777" w:rsidR="00665165" w:rsidRPr="00F90EAE" w:rsidRDefault="00665165" w:rsidP="00F90EAE">
      <w:pPr>
        <w:tabs>
          <w:tab w:val="left" w:pos="1366"/>
        </w:tabs>
        <w:autoSpaceDE w:val="0"/>
        <w:autoSpaceDN w:val="0"/>
        <w:adjustRightInd w:val="0"/>
        <w:jc w:val="both"/>
        <w:rPr>
          <w:color w:val="000000" w:themeColor="text1"/>
          <w:sz w:val="16"/>
          <w:szCs w:val="16"/>
        </w:rPr>
      </w:pPr>
      <w:r w:rsidRPr="00F90EAE">
        <w:rPr>
          <w:color w:val="000000" w:themeColor="text1"/>
          <w:sz w:val="16"/>
          <w:szCs w:val="16"/>
        </w:rPr>
        <w:t>A.А.Богатов, (1963 г.-)- В.А. Колычев, (1970-е)- Г.Е. Алпаидзе.</w:t>
      </w:r>
    </w:p>
    <w:p w14:paraId="530C2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14929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F90EAE">
        <w:rPr>
          <w:color w:val="000000" w:themeColor="text1"/>
          <w:sz w:val="16"/>
          <w:szCs w:val="16"/>
          <w:vertAlign w:val="superscript"/>
        </w:rPr>
        <w:t>63</w:t>
      </w:r>
      <w:r w:rsidRPr="00F90EAE">
        <w:rPr>
          <w:color w:val="000000" w:themeColor="text1"/>
          <w:sz w:val="16"/>
          <w:szCs w:val="16"/>
        </w:rPr>
        <w:t xml:space="preserve"> (2005 г.)- Л.С. Соломонов, А.К. Виноградов, А.П. Сухадольский, (2000-е)- В.П. Ефимов.</w:t>
      </w:r>
    </w:p>
    <w:p w14:paraId="575D8B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(05.1946 г.-)- Б.М. Сапрыкин, (05.1947-06.1951 г.)- Н.И. Крупнов, (1959 г.)- А.А. Богатов, (1963 г.-)-</w:t>
      </w:r>
    </w:p>
    <w:p w14:paraId="3AC930B5" w14:textId="77777777" w:rsidR="00665165" w:rsidRPr="00F90EAE" w:rsidRDefault="00665165" w:rsidP="00F90EAE">
      <w:pPr>
        <w:tabs>
          <w:tab w:val="left" w:pos="1352"/>
        </w:tabs>
        <w:autoSpaceDE w:val="0"/>
        <w:autoSpaceDN w:val="0"/>
        <w:adjustRightInd w:val="0"/>
        <w:jc w:val="both"/>
        <w:rPr>
          <w:color w:val="000000" w:themeColor="text1"/>
          <w:sz w:val="16"/>
          <w:szCs w:val="16"/>
        </w:rPr>
      </w:pPr>
      <w:r w:rsidRPr="00F90EAE">
        <w:rPr>
          <w:color w:val="000000" w:themeColor="text1"/>
          <w:sz w:val="16"/>
          <w:szCs w:val="16"/>
        </w:rPr>
        <w:t>B.А.Колычев, С.И. Елагин, А.Л. Юрьев, (2005 г.)- В.Д. Полунин.</w:t>
      </w:r>
    </w:p>
    <w:p w14:paraId="535E65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(1970-е)- Ю.А. Моисеев. Гл. металлург (-1951-74 г.-)- Г.И. Громов. Гл. сварщик (1960 г.)- М.И. Кунис.</w:t>
      </w:r>
    </w:p>
    <w:p w14:paraId="676A84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7C7857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отделения: О.М. Егоров, Ю.Н. Жирухин.</w:t>
      </w:r>
    </w:p>
    <w:p w14:paraId="2FB32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5F73E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Зам. начальника отдела: № 2 (1947 г.-)- Г.П. Герасимов, (1949 г.)- Н.А. Жуков; № 11 (1947 г.-)- К.П. Доррендорф; Ю.М. Николаев, С.А. Кошкин.</w:t>
      </w:r>
    </w:p>
    <w:p w14:paraId="7912F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67FB23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 1 (1946 г.-)- К.П. Доррендорф. Начальник Центра информации- А.И. Лобанов, А.В. Тумаков.</w:t>
      </w:r>
    </w:p>
    <w:p w14:paraId="288EE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0D07828C" w14:textId="77777777" w:rsidR="00665165" w:rsidRPr="00F90EAE" w:rsidRDefault="00665165" w:rsidP="00F90EAE">
      <w:pPr>
        <w:tabs>
          <w:tab w:val="left" w:pos="1357"/>
        </w:tabs>
        <w:autoSpaceDE w:val="0"/>
        <w:autoSpaceDN w:val="0"/>
        <w:adjustRightInd w:val="0"/>
        <w:jc w:val="both"/>
        <w:rPr>
          <w:color w:val="000000" w:themeColor="text1"/>
          <w:sz w:val="16"/>
          <w:szCs w:val="16"/>
        </w:rPr>
      </w:pPr>
      <w:r w:rsidRPr="00F90EAE">
        <w:rPr>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7427F1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3B78EC5C" w14:textId="77777777" w:rsidR="00665165" w:rsidRPr="00F90EAE" w:rsidRDefault="00665165" w:rsidP="00F90EAE">
      <w:pPr>
        <w:tabs>
          <w:tab w:val="left" w:pos="433"/>
        </w:tabs>
        <w:autoSpaceDE w:val="0"/>
        <w:autoSpaceDN w:val="0"/>
        <w:adjustRightInd w:val="0"/>
        <w:jc w:val="both"/>
        <w:rPr>
          <w:color w:val="000000" w:themeColor="text1"/>
          <w:sz w:val="16"/>
          <w:szCs w:val="16"/>
        </w:rPr>
      </w:pPr>
      <w:r w:rsidRPr="00F90EAE">
        <w:rPr>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291068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бюро: отдела № 2 (1947 г.-)- Н.П. Мазуров, расчетного (1947 г.-)- А.А. Голицын; теоретического отдела № 10 (1950-е)-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Перфильев; КБ отдела № 11 (1947 г.-)- Н.Я. Лопухин; (1949 г.)- И.В. Ярополов, (1949 г.)- Г.П. Герасимов.</w:t>
      </w:r>
    </w:p>
    <w:p w14:paraId="7587C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макетной мастерской (1947 г.-)- А.С. Кононенко, С.С. Смирнов.</w:t>
      </w:r>
    </w:p>
    <w:p w14:paraId="761C1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2F1B49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(1940-е)- В.П. Герасимов, (1940-е)- А.А. Голицын.</w:t>
      </w:r>
    </w:p>
    <w:p w14:paraId="44D13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инженеры: (1947 г.-)- Н.П. Мазуров (ДРСП-1), (1947 г.-)- Н.И. Александров (ДРСП-1), (01.1952 г.-)-</w:t>
      </w:r>
    </w:p>
    <w:p w14:paraId="29D50C32" w14:textId="77777777" w:rsidR="00665165" w:rsidRPr="00F90EAE" w:rsidRDefault="00665165" w:rsidP="00F90EAE">
      <w:pPr>
        <w:tabs>
          <w:tab w:val="left" w:pos="438"/>
        </w:tabs>
        <w:autoSpaceDE w:val="0"/>
        <w:autoSpaceDN w:val="0"/>
        <w:adjustRightInd w:val="0"/>
        <w:jc w:val="both"/>
        <w:rPr>
          <w:color w:val="000000" w:themeColor="text1"/>
          <w:sz w:val="16"/>
          <w:szCs w:val="16"/>
        </w:rPr>
      </w:pPr>
      <w:r w:rsidRPr="00F90EAE">
        <w:rPr>
          <w:color w:val="000000" w:themeColor="text1"/>
          <w:sz w:val="16"/>
          <w:szCs w:val="16"/>
        </w:rPr>
        <w:t>B.С.Бабочкин (М-24-ФУД), (1952 г.)- Е.Н. Сухов (АРС-212).</w:t>
      </w:r>
    </w:p>
    <w:p w14:paraId="6D4193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F90EAE">
        <w:rPr>
          <w:color w:val="000000" w:themeColor="text1"/>
          <w:sz w:val="16"/>
          <w:szCs w:val="16"/>
          <w:lang w:val="en-US"/>
        </w:rPr>
        <w:t>Ill</w:t>
      </w:r>
      <w:r w:rsidRPr="00F90EAE">
        <w:rPr>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F90EAE">
        <w:rPr>
          <w:color w:val="000000" w:themeColor="text1"/>
          <w:sz w:val="16"/>
          <w:szCs w:val="16"/>
          <w:lang w:val="en-US"/>
        </w:rPr>
        <w:t>PC</w:t>
      </w:r>
      <w:r w:rsidRPr="00F90EAE">
        <w:rPr>
          <w:color w:val="000000" w:themeColor="text1"/>
          <w:sz w:val="16"/>
          <w:szCs w:val="16"/>
        </w:rPr>
        <w:t xml:space="preserve">-14, пнв 30.12.1975 г.), «Тополь» РТ-2ПМ (15Ж58, РС-12М, пнв 1.12.1988 г.), РТ-2ПМ «Тополь-2» (8К98П), «Тополь-М» </w:t>
      </w:r>
      <w:r w:rsidRPr="00F90EAE">
        <w:rPr>
          <w:color w:val="000000" w:themeColor="text1"/>
          <w:sz w:val="16"/>
          <w:szCs w:val="16"/>
          <w:lang w:val="en-US"/>
        </w:rPr>
        <w:t>PT</w:t>
      </w:r>
      <w:r w:rsidRPr="00F90EAE">
        <w:rPr>
          <w:color w:val="000000" w:themeColor="text1"/>
          <w:sz w:val="16"/>
          <w:szCs w:val="16"/>
        </w:rPr>
        <w:t>-2</w:t>
      </w:r>
      <w:r w:rsidRPr="00F90EAE">
        <w:rPr>
          <w:color w:val="000000" w:themeColor="text1"/>
          <w:sz w:val="16"/>
          <w:szCs w:val="16"/>
          <w:lang w:val="en-US"/>
        </w:rPr>
        <w:t>IIM</w:t>
      </w:r>
      <w:r w:rsidRPr="00F90EAE">
        <w:rPr>
          <w:color w:val="000000" w:themeColor="text1"/>
          <w:sz w:val="16"/>
          <w:szCs w:val="16"/>
        </w:rPr>
        <w:t>2 (8Ж65, 15Ж66, РС-12М2, 20.12.1994 г., пнв 13.07.2000 г.); «Курьер» (15Ж59, опытная, 1990 г.); БРПЛ: РСМ-56 «Булава» на базе «Тополь-М» (3</w:t>
      </w:r>
      <w:r w:rsidRPr="00F90EAE">
        <w:rPr>
          <w:color w:val="000000" w:themeColor="text1"/>
          <w:sz w:val="16"/>
          <w:szCs w:val="16"/>
          <w:lang w:val="en-US"/>
        </w:rPr>
        <w:t>M</w:t>
      </w:r>
      <w:r w:rsidRPr="00F90EAE">
        <w:rPr>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F90EAE">
        <w:rPr>
          <w:color w:val="000000" w:themeColor="text1"/>
          <w:sz w:val="16"/>
          <w:szCs w:val="16"/>
          <w:vertAlign w:val="superscript"/>
        </w:rPr>
        <w:t>58</w:t>
      </w:r>
      <w:r w:rsidRPr="00F90EAE">
        <w:rPr>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F90EAE">
        <w:rPr>
          <w:color w:val="000000" w:themeColor="text1"/>
          <w:sz w:val="16"/>
          <w:szCs w:val="16"/>
          <w:vertAlign w:val="superscript"/>
        </w:rPr>
        <w:t xml:space="preserve">126 </w:t>
      </w:r>
      <w:r w:rsidRPr="00F90EAE">
        <w:rPr>
          <w:color w:val="000000" w:themeColor="text1"/>
          <w:sz w:val="16"/>
          <w:szCs w:val="16"/>
        </w:rPr>
        <w:t>(11982).</w:t>
      </w:r>
    </w:p>
    <w:p w14:paraId="07B294F1" w14:textId="77777777" w:rsidR="00DE38A8" w:rsidRPr="00F90EAE" w:rsidRDefault="00DE38A8" w:rsidP="00F90EAE">
      <w:pPr>
        <w:autoSpaceDE w:val="0"/>
        <w:autoSpaceDN w:val="0"/>
        <w:adjustRightInd w:val="0"/>
        <w:jc w:val="both"/>
        <w:rPr>
          <w:color w:val="000000" w:themeColor="text1"/>
          <w:sz w:val="16"/>
          <w:szCs w:val="16"/>
        </w:rPr>
      </w:pPr>
    </w:p>
    <w:p w14:paraId="69089E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 приказе о принятии на вооружение РЛС "Гнейс-5м" (НК ВМФ №0069) указывались основные ТТХ: дальность обнаружения транспорта 9-12 000 т - 36 км, корабля водоизмещением 750 т - 28 км, катера 50 т - 10,5 км, ширина просматриваемой полосы - 30 км, дальность обнаружения береговой черты - 60 км, наивыгоднейшая высота поиска, от 800 до 4000 м. На войсковые испытания новая станция попала в том же месяце. Проводили их на базе 1-го гмтап ВВС КБФ, который к тому времени оставался единственным действующим флотом. 27 и 28 апреля торпедоносец, пилотировавшийся Героем Советского Союза A.M. Гагиевым, дважды совершал торпедные атаки, отыскав цели в сложных метеоусловиях благодаря "Гнейс-5м", но успеха не добился. Таким образом, отечественная наука решила задачу обеспечения МТА радиолокационной станцией, обладавшей вполне удовлетворительными характеристиками, но произошло это всего за 20 дней до окончания войны (12002).</w:t>
      </w:r>
    </w:p>
    <w:p w14:paraId="0AC56E26" w14:textId="77777777" w:rsidR="00665165" w:rsidRPr="00F90EAE" w:rsidRDefault="00665165" w:rsidP="00F90EAE">
      <w:pPr>
        <w:autoSpaceDE w:val="0"/>
        <w:autoSpaceDN w:val="0"/>
        <w:adjustRightInd w:val="0"/>
        <w:jc w:val="both"/>
        <w:rPr>
          <w:color w:val="000000" w:themeColor="text1"/>
          <w:sz w:val="16"/>
          <w:szCs w:val="16"/>
        </w:rPr>
      </w:pPr>
    </w:p>
    <w:p w14:paraId="686B09D0" w14:textId="77777777" w:rsidR="00DE5890" w:rsidRPr="00F90EAE" w:rsidRDefault="00DE5890" w:rsidP="00F90EAE">
      <w:pPr>
        <w:jc w:val="both"/>
        <w:rPr>
          <w:color w:val="0070C0"/>
          <w:sz w:val="16"/>
          <w:szCs w:val="16"/>
        </w:rPr>
      </w:pPr>
      <w:r w:rsidRPr="00F90EAE">
        <w:rPr>
          <w:color w:val="0070C0"/>
          <w:sz w:val="16"/>
          <w:szCs w:val="16"/>
        </w:rPr>
        <w:t>19 апреля 1945 г. ГКО распорядился вывезти с завода «Мессершмитт» в Винер-Нойштадте 13 новых истребителей, записанных как «109Г-10-Р». Из них три требовалось доставить в НИИ ВВС, а остальные десять - в школу в Люберцах для последующего распределения по летным школам страны (23186).</w:t>
      </w:r>
    </w:p>
    <w:p w14:paraId="6D645C28" w14:textId="77777777" w:rsidR="00DE5890" w:rsidRPr="00F90EAE" w:rsidRDefault="00DE5890" w:rsidP="00F90EAE">
      <w:pPr>
        <w:jc w:val="both"/>
        <w:rPr>
          <w:color w:val="0070C0"/>
          <w:sz w:val="16"/>
          <w:szCs w:val="16"/>
        </w:rPr>
      </w:pPr>
    </w:p>
    <w:p w14:paraId="3E306471" w14:textId="77777777" w:rsidR="00DE5890" w:rsidRPr="00F90EAE" w:rsidRDefault="00DE5890" w:rsidP="00F90EAE">
      <w:pPr>
        <w:jc w:val="both"/>
        <w:rPr>
          <w:color w:val="0070C0"/>
          <w:sz w:val="16"/>
          <w:szCs w:val="16"/>
          <w:shd w:val="clear" w:color="auto" w:fill="FFFFFF"/>
        </w:rPr>
      </w:pPr>
      <w:r w:rsidRPr="00F90EAE">
        <w:rPr>
          <w:color w:val="0070C0"/>
          <w:sz w:val="16"/>
          <w:szCs w:val="16"/>
          <w:shd w:val="clear" w:color="auto" w:fill="FFFFFF"/>
        </w:rPr>
        <w:t>19 апреля 1945 появилось постановление ГКО №8206сс «Об организации в системе Наркомата боеприпасов конструкторского бюро и опытного завода по реактивным снарядам», а 31 мая —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618A0AE8" w14:textId="77777777" w:rsidR="00DE5890" w:rsidRPr="00F90EAE" w:rsidRDefault="00DE5890" w:rsidP="00F90EAE">
      <w:pPr>
        <w:jc w:val="both"/>
        <w:rPr>
          <w:color w:val="0070C0"/>
          <w:sz w:val="16"/>
          <w:szCs w:val="16"/>
          <w:shd w:val="clear" w:color="auto" w:fill="FFFFFF"/>
        </w:rPr>
      </w:pPr>
    </w:p>
    <w:p w14:paraId="531F53F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3E3F780" w14:textId="77777777" w:rsidR="00665165" w:rsidRPr="00F90EAE" w:rsidRDefault="00665165" w:rsidP="00F90EAE">
      <w:pPr>
        <w:autoSpaceDE w:val="0"/>
        <w:autoSpaceDN w:val="0"/>
        <w:adjustRightInd w:val="0"/>
        <w:jc w:val="both"/>
        <w:rPr>
          <w:iCs/>
          <w:color w:val="000000" w:themeColor="text1"/>
          <w:sz w:val="16"/>
          <w:szCs w:val="16"/>
        </w:rPr>
      </w:pPr>
    </w:p>
    <w:p w14:paraId="0B9AD720" w14:textId="77777777" w:rsidR="006979C2" w:rsidRPr="00F90EAE" w:rsidRDefault="006979C2" w:rsidP="00F90EAE">
      <w:pPr>
        <w:jc w:val="both"/>
        <w:rPr>
          <w:color w:val="000000" w:themeColor="text1"/>
          <w:sz w:val="16"/>
          <w:szCs w:val="16"/>
        </w:rPr>
      </w:pPr>
      <w:r w:rsidRPr="00F90EAE">
        <w:rPr>
          <w:color w:val="000000" w:themeColor="text1"/>
          <w:sz w:val="16"/>
          <w:szCs w:val="16"/>
        </w:rPr>
        <w:t>19 апреля 1945 г. Верховный Главнокомандующий И.В. Сталин подписал Постановление ГКО №8206 «О создании в системе Наркомата боеприпасов Государственного центрального конструкторского бюро по ракетным снарядам (ГЦКБ №1)». За ГЦКБ-1 с опытным заводом, созданным по приказу НКБ СССР от 21 апреля 1945 г. за №158, закреплялась тематика по боеприпасам: специальным реактивным снарядам, осколочно-реактивным, бронебойным, зенитным, авиационным снарядам. Предписывалось организовать КБ в нереально короткие сроки — всего за две недели! Уже 29 апреля Б.Л. Ванников своим приказом № 169 разместил новую организацию в корпусе №5 на территории завода №67. Возглавил ГЦКБ-1 Н.И. Крупнов, бывший до этого главным технологом ГСКБ-47 НКБ.</w:t>
      </w:r>
    </w:p>
    <w:p w14:paraId="4E3B9036" w14:textId="77777777" w:rsidR="006979C2" w:rsidRPr="00F90EAE" w:rsidRDefault="006979C2" w:rsidP="00F90EAE">
      <w:pPr>
        <w:jc w:val="both"/>
        <w:rPr>
          <w:color w:val="000000" w:themeColor="text1"/>
          <w:sz w:val="16"/>
          <w:szCs w:val="16"/>
        </w:rPr>
      </w:pPr>
      <w:r w:rsidRPr="00F90EAE">
        <w:rPr>
          <w:color w:val="000000" w:themeColor="text1"/>
          <w:sz w:val="16"/>
          <w:szCs w:val="16"/>
        </w:rPr>
        <w:t>В задачи ГЦКБ-1, определенные в его уставе, утвержденном 10 мая 1945 г., входили проведение исследовательских работ и разработка новых с улучшенными боевыми свойствами находящихся на вооружении «специальных боеприпасов согласно утвержденной НКБ номенклатуре» и оказание технической помощи «заводам СССР в освоении и отработке технологических процессов выпускаемой заводами продукции данного вида».</w:t>
      </w:r>
    </w:p>
    <w:p w14:paraId="5E183A30" w14:textId="77777777" w:rsidR="006979C2" w:rsidRPr="00F90EAE" w:rsidRDefault="006979C2" w:rsidP="00F90EAE">
      <w:pPr>
        <w:jc w:val="both"/>
        <w:rPr>
          <w:color w:val="000000" w:themeColor="text1"/>
          <w:sz w:val="16"/>
          <w:szCs w:val="16"/>
        </w:rPr>
      </w:pPr>
      <w:r w:rsidRPr="00F90EAE">
        <w:rPr>
          <w:color w:val="000000" w:themeColor="text1"/>
          <w:sz w:val="16"/>
          <w:szCs w:val="16"/>
        </w:rPr>
        <w:t>ГЦКБ-1, не имея определенной плановой тематики, выполняло работы исключительно по собственной инициативе. В частности, в 1945 г. по проекту ТТТ ГАУ началось создание дальнобойного порохового реактивного снаряда дальностью 20—25 км. Предполагалось разработать простую, технологичную конструкцию, технологию изготовления порохового заряда необходимых размеров, провести теоретические исследования внешнебаллистических параметров и пр. Однако собственного опыта в решении этих проблем не имелось. В этой связи возникла потребность в изучении имевшегося мирового опыта (12205).</w:t>
      </w:r>
    </w:p>
    <w:p w14:paraId="627D23B8" w14:textId="77777777" w:rsidR="006979C2" w:rsidRPr="00F90EAE" w:rsidRDefault="006979C2" w:rsidP="00F90EAE">
      <w:pPr>
        <w:jc w:val="both"/>
        <w:rPr>
          <w:color w:val="000000" w:themeColor="text1"/>
          <w:sz w:val="16"/>
          <w:szCs w:val="16"/>
        </w:rPr>
      </w:pPr>
    </w:p>
    <w:p w14:paraId="75D03357" w14:textId="77777777" w:rsidR="00F652D0" w:rsidRPr="00F90EAE" w:rsidRDefault="00F652D0" w:rsidP="00F90EAE">
      <w:pPr>
        <w:jc w:val="both"/>
        <w:rPr>
          <w:color w:val="000000" w:themeColor="text1"/>
          <w:sz w:val="16"/>
          <w:szCs w:val="16"/>
        </w:rPr>
      </w:pPr>
      <w:r w:rsidRPr="00F90EAE">
        <w:rPr>
          <w:color w:val="000000" w:themeColor="text1"/>
          <w:sz w:val="16"/>
          <w:szCs w:val="16"/>
        </w:rPr>
        <w:t xml:space="preserve">19 апреля 1945 г. ГОКО принял постановление № 8206, которым создавал КБ по ракетам дальнего действия в системе НКБ. Меньше чем через месяц Б. Л. Ванников и заместитель председателя Госплана СССР Н. А. Борисов обратились к Г. М. Маленкову с просьбой о вывозе именно в НКБ узлов «Фау-2» из Германии. Соответствующее постановление было подписано 31 мая 1945 г. Одновременно оно обязывало НКБ подобрать место для ракетного полигона. 20 июля 1945 г. ГОКО, учитывая, что разработка столь сложных изделий выходит за рамки одного ведомства, образовал межведомственную комиссию по реактивной технике под председательством наркома авиастроения А. И.Шахурина. 25 июля на заседании комиссии был поставлен вопрос о создании промышленной кооперации для производства реактивного вооружения. Предложения наркоматов обобщались в НКАПпод руководством А.И. Шахурина. Итогом работы комиссии стал проект соответствующего постановления ГОКО от 7 августа. 14 августа появляется проект постановления ГОКО «О создании в НКБ научно-исследовательской и опытной базы по реактивной боевой технике». Затем проект дорабатывался в НКБ и 13 сентября Б. Л. Ванниковым доложен Л. П. Берии. Между тем в сентябре 1945 г. Народный комиссариат вооружений начинает проявлять явный интерес к ракетной тематике. Всю осень в правительство поступали предложения и проекты от НКБ по реактивной технике, что свидетельствует о главенствующем положении этого наркомата в складывающейся кооперации. 27 ноября 1945 г. подготовлен проект постановления СНК СССР «Об организации в Наркомате боеприпасов научно-исследовательской работы по реактивной технике». Почти в то же время, 30 ноября, приказом наркома Д. Ф. Устинова в НКВ на базе завода № 88 было создано специальное КБ по реактивной технике. Параллельно идет работа над проектом постановления Совета народных комиссаров (СНК) СССР. Ввиду отсутствия в НКБ научно-технической базы для создания ракетной техники предлагается (январь 1946 г. — Госплан и др.) разделить работы: пороховые ракеты оставить за Наркоматом сельскохозяйственного машиностроения (организован 7 января 1946 г. на базе НКБ), а ракеты с ЖРД передать в НКАП. И здесь срабатывает обоснованное возражение одного из специалистов Госплана против передачи этой тематики НКАП. Предлагалось поручить ее Наркомату вооружения (НКВ). 26 февраля в Госплане сформировалось предложение оставить за НКАП виды реактивного вооружения, </w:t>
      </w:r>
      <w:r w:rsidRPr="00F90EAE">
        <w:rPr>
          <w:color w:val="000000" w:themeColor="text1"/>
          <w:sz w:val="16"/>
          <w:szCs w:val="16"/>
        </w:rPr>
        <w:lastRenderedPageBreak/>
        <w:t>использующие подъемную силу крыла, в НКВ передать все жидкостные ракеты. Но одновременно в Госплане существовала и другая влиятельная точка зрения о предпочтительности передачи НКСМ роли головного ведомства, в то время как НКВ оставляли специализацию по зенитным ракетам. Нарком Д. Ф. Устинов, обдумывая предложение НКВ взять на себя незнакомую тематику, направляет в Германию своего заместителя В.М. Рябикова. После его возвращения 17 апреля Министерство вооружения (с марта 1946 г. Наркоматы преобразованы в Министерства) готовит на имя И. В. Сталина записку с предложением сосредоточить у себя все работы по ракетному вооружению (19800).</w:t>
      </w:r>
    </w:p>
    <w:p w14:paraId="4F4E8737" w14:textId="77777777" w:rsidR="00F652D0" w:rsidRPr="00F90EAE" w:rsidRDefault="00F652D0" w:rsidP="00F90EAE">
      <w:pPr>
        <w:jc w:val="both"/>
        <w:rPr>
          <w:color w:val="000000" w:themeColor="text1"/>
          <w:sz w:val="16"/>
          <w:szCs w:val="16"/>
        </w:rPr>
      </w:pPr>
    </w:p>
    <w:p w14:paraId="12A63781" w14:textId="77777777" w:rsidR="006979C2" w:rsidRPr="00F90EAE" w:rsidRDefault="006979C2" w:rsidP="00F90EAE">
      <w:pPr>
        <w:jc w:val="both"/>
        <w:rPr>
          <w:color w:val="000000" w:themeColor="text1"/>
          <w:sz w:val="16"/>
          <w:szCs w:val="16"/>
        </w:rPr>
      </w:pPr>
      <w:r w:rsidRPr="00F90EAE">
        <w:rPr>
          <w:color w:val="000000" w:themeColor="text1"/>
          <w:sz w:val="16"/>
          <w:szCs w:val="16"/>
        </w:rPr>
        <w:t>19 апреля 1945 г. ПИСЬМО НАРКОМА БОЕПРИПАСОВ Б.Л. ВАННИКОВА, НАЧАЛЬНИКА ГЛАВНОГО АРТИЛЛЕРИЙСКОГО УПРАВЛЕНИЯ КРАСНОЙ АРМИИ МАРШАЛА АРТИЛЛЕРИИ Н. ЯКОВЛЕВА, СЕКРЕТАРЯ НОВОСИБИРСКОГО ОБКОМА ВКП(б) М.В. КУЛАГИНА</w:t>
      </w:r>
    </w:p>
    <w:p w14:paraId="0DAC0045" w14:textId="77777777" w:rsidR="006979C2" w:rsidRPr="00F90EAE" w:rsidRDefault="006979C2" w:rsidP="00F90EAE">
      <w:pPr>
        <w:jc w:val="both"/>
        <w:rPr>
          <w:color w:val="000000" w:themeColor="text1"/>
          <w:sz w:val="16"/>
          <w:szCs w:val="16"/>
        </w:rPr>
      </w:pPr>
      <w:r w:rsidRPr="00F90EAE">
        <w:rPr>
          <w:color w:val="000000" w:themeColor="text1"/>
          <w:sz w:val="16"/>
          <w:szCs w:val="16"/>
        </w:rPr>
        <w:t>Заместителю Председателя Совета Народных Комиссаров Союза ССР</w:t>
      </w:r>
    </w:p>
    <w:p w14:paraId="1A931795" w14:textId="77777777" w:rsidR="006979C2" w:rsidRPr="00F90EAE" w:rsidRDefault="006979C2" w:rsidP="00F90EAE">
      <w:pPr>
        <w:jc w:val="both"/>
        <w:rPr>
          <w:color w:val="000000" w:themeColor="text1"/>
          <w:sz w:val="16"/>
          <w:szCs w:val="16"/>
        </w:rPr>
      </w:pPr>
      <w:r w:rsidRPr="00F90EAE">
        <w:rPr>
          <w:color w:val="000000" w:themeColor="text1"/>
          <w:sz w:val="16"/>
          <w:szCs w:val="16"/>
        </w:rPr>
        <w:t>тов. Берия Л.П.</w:t>
      </w:r>
    </w:p>
    <w:p w14:paraId="17FC71AB" w14:textId="77777777" w:rsidR="006979C2" w:rsidRPr="00F90EAE" w:rsidRDefault="006979C2" w:rsidP="00F90EAE">
      <w:pPr>
        <w:jc w:val="both"/>
        <w:rPr>
          <w:color w:val="000000" w:themeColor="text1"/>
          <w:sz w:val="16"/>
          <w:szCs w:val="16"/>
        </w:rPr>
      </w:pPr>
      <w:r w:rsidRPr="00F90EAE">
        <w:rPr>
          <w:color w:val="000000" w:themeColor="text1"/>
          <w:sz w:val="16"/>
          <w:szCs w:val="16"/>
        </w:rPr>
        <w:t>Комбинат № 179 НКБ является крупнейшим предприятием по производству наиболее важных корпусов снарядов. Систематически совершенствуя технологический процесс, механизируя трудоемкие работы, комбинат успешно справляется с выполнением государственного плана. В начале 1944 года коллектив комбината взял обязательство без дополнительного оборудования и рабочей силы выпуск корпусов к 1 июня 1944 года довести по 76 мм до 1 000 000 штук и 122, 152 мм снарядам до 200,0 тыс. штук в месяц. В мае 1944 года комбинат выполнил это обязательство, дав прирост по сравнению с январем 1944 г. почти на 400,0 тыс. корпусов. В июне 1944 года директор комбината т. Саханицкий, будучи у Вас на приеме, взял обязательство за счет дальнейшего совершенствования технологии производства, без дополнительного оборудования, увеличить выпуск корпусов снарядов на 20—25%. И это обязательство комбинат выполнил, несмотря на особые трудности зимнего времени, достигнув выпуска по 76 мм корпусам — 1 300,0 тыс. штук и 100, 122, 152 мм - до 225,0 тыс. штук. В конце февраля с.г. комбинату было поручено срочно организовать производство 100 мм осколочно-фугасных корпусов. В предельно короткий срок комбинат освоил производство 100 мм корпусов, наладил их массовый выпуск, перевыполняя установленный план ГКО. В текущем году комбинатом разработана новая конструкция 76 мм корпусов снарядов, которая дает только по комбинату экономии металла 1 000 тонн в месяц. Комбинат № 179 в течение 18 месяцев держит переходящее Красное знамя ЦК ВКП(б), в том числе 13 месяцев непрерывно. В настоящее время коллектив комбината работает по дальнейшему наращиванию мощностей, ставя своей целью в ближайшие 2-3 месяца довести выпуск 76 мм корпусов до 1,5—1,6 млн. штук и крупных калибров до 240-250 тыс. штук в месяц, главным образом за счет дальнейшего улучшения технологии и механизации производства. Учитывая особые заслуги комбината в деле обеспечения Красной Армии важнейшими калибрами боеприпасов, считаем возможным просить Вас ходатайствовать о награждении комбината № 179 орденом Красного Знамени, а наиболее отличившихся рабочих, ИТР и служащих представить к награждению орденами и медалями.</w:t>
      </w:r>
    </w:p>
    <w:p w14:paraId="4AA16BFC" w14:textId="77777777" w:rsidR="006979C2" w:rsidRPr="00F90EAE" w:rsidRDefault="006979C2" w:rsidP="00F90EAE">
      <w:pPr>
        <w:jc w:val="both"/>
        <w:rPr>
          <w:color w:val="000000" w:themeColor="text1"/>
          <w:sz w:val="16"/>
          <w:szCs w:val="16"/>
        </w:rPr>
      </w:pPr>
      <w:r w:rsidRPr="00F90EAE">
        <w:rPr>
          <w:color w:val="000000" w:themeColor="text1"/>
          <w:sz w:val="16"/>
          <w:szCs w:val="16"/>
        </w:rPr>
        <w:t>Приложение: Список представленных к правительственным наградам.</w:t>
      </w:r>
    </w:p>
    <w:p w14:paraId="2DB88B99" w14:textId="77777777" w:rsidR="006979C2" w:rsidRPr="00F90EAE" w:rsidRDefault="006979C2" w:rsidP="00F90EAE">
      <w:pPr>
        <w:jc w:val="both"/>
        <w:rPr>
          <w:color w:val="000000" w:themeColor="text1"/>
          <w:sz w:val="16"/>
          <w:szCs w:val="16"/>
        </w:rPr>
      </w:pPr>
      <w:r w:rsidRPr="00F90EAE">
        <w:rPr>
          <w:color w:val="000000" w:themeColor="text1"/>
          <w:sz w:val="16"/>
          <w:szCs w:val="16"/>
        </w:rPr>
        <w:t>Народный комиссар боеприпасов СССР Б. Ванников</w:t>
      </w:r>
    </w:p>
    <w:p w14:paraId="1BD03963" w14:textId="77777777" w:rsidR="006979C2" w:rsidRPr="00F90EAE" w:rsidRDefault="006979C2" w:rsidP="00F90EAE">
      <w:pPr>
        <w:jc w:val="both"/>
        <w:rPr>
          <w:color w:val="000000" w:themeColor="text1"/>
          <w:sz w:val="16"/>
          <w:szCs w:val="16"/>
        </w:rPr>
      </w:pPr>
      <w:r w:rsidRPr="00F90EAE">
        <w:rPr>
          <w:color w:val="000000" w:themeColor="text1"/>
          <w:sz w:val="16"/>
          <w:szCs w:val="16"/>
        </w:rPr>
        <w:t>Начальник Главного артиллерийского управления, маршал артиллерии Н. Яковлев</w:t>
      </w:r>
    </w:p>
    <w:p w14:paraId="1E364569" w14:textId="77777777" w:rsidR="006979C2" w:rsidRPr="00F90EAE" w:rsidRDefault="006979C2" w:rsidP="00F90EAE">
      <w:pPr>
        <w:jc w:val="both"/>
        <w:rPr>
          <w:color w:val="000000" w:themeColor="text1"/>
          <w:sz w:val="16"/>
          <w:szCs w:val="16"/>
        </w:rPr>
      </w:pPr>
      <w:r w:rsidRPr="00F90EAE">
        <w:rPr>
          <w:color w:val="000000" w:themeColor="text1"/>
          <w:sz w:val="16"/>
          <w:szCs w:val="16"/>
        </w:rPr>
        <w:t>Секретарь Новосибирского обкома ВКП(б) М. Кулагин</w:t>
      </w:r>
    </w:p>
    <w:p w14:paraId="23119AB3" w14:textId="77777777" w:rsidR="006979C2" w:rsidRPr="00F90EAE" w:rsidRDefault="006979C2" w:rsidP="00F90EAE">
      <w:pPr>
        <w:jc w:val="both"/>
        <w:rPr>
          <w:color w:val="000000" w:themeColor="text1"/>
          <w:sz w:val="16"/>
          <w:szCs w:val="16"/>
        </w:rPr>
      </w:pPr>
      <w:r w:rsidRPr="00F90EAE">
        <w:rPr>
          <w:color w:val="000000" w:themeColor="text1"/>
          <w:sz w:val="16"/>
          <w:szCs w:val="16"/>
        </w:rPr>
        <w:t>ГАНО. Ф. П-4. О». 9. Д. 348. Л. 77-78. Заверенная копия (12194).</w:t>
      </w:r>
    </w:p>
    <w:p w14:paraId="7568786D" w14:textId="77777777" w:rsidR="006979C2" w:rsidRPr="00F90EAE" w:rsidRDefault="006979C2" w:rsidP="00F90EAE">
      <w:pPr>
        <w:jc w:val="both"/>
        <w:rPr>
          <w:color w:val="000000" w:themeColor="text1"/>
          <w:sz w:val="16"/>
          <w:szCs w:val="16"/>
        </w:rPr>
      </w:pPr>
    </w:p>
    <w:p w14:paraId="43E0DE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8150 О снятии взысканий с Хрулева А.В., Драчева П.И., Сусайкова И.З. и Петрова И.Ф. РГАНИР, Фонд ГКО, д. 400, лл. 98 (11012).</w:t>
      </w:r>
    </w:p>
    <w:p w14:paraId="24CAFD58" w14:textId="77777777" w:rsidR="00665165" w:rsidRPr="00F90EAE" w:rsidRDefault="00665165" w:rsidP="00F90EAE">
      <w:pPr>
        <w:autoSpaceDE w:val="0"/>
        <w:autoSpaceDN w:val="0"/>
        <w:adjustRightInd w:val="0"/>
        <w:jc w:val="both"/>
        <w:rPr>
          <w:color w:val="000000" w:themeColor="text1"/>
          <w:sz w:val="16"/>
          <w:szCs w:val="16"/>
        </w:rPr>
      </w:pPr>
    </w:p>
    <w:p w14:paraId="1A65ED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8151 Об увеличении производства и улучшении качества карманных и наручных часов, выпускаемых заводами Наркомминвооружения. РГАНИР, Фонд ГКО, д. 400, лл. 99-103, 104-130 (11012).</w:t>
      </w:r>
    </w:p>
    <w:p w14:paraId="53602989" w14:textId="77777777" w:rsidR="00665165" w:rsidRPr="00F90EAE" w:rsidRDefault="00665165" w:rsidP="00F90EAE">
      <w:pPr>
        <w:autoSpaceDE w:val="0"/>
        <w:autoSpaceDN w:val="0"/>
        <w:adjustRightInd w:val="0"/>
        <w:jc w:val="both"/>
        <w:rPr>
          <w:color w:val="000000" w:themeColor="text1"/>
          <w:sz w:val="16"/>
          <w:szCs w:val="16"/>
        </w:rPr>
      </w:pPr>
    </w:p>
    <w:p w14:paraId="2B264DB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8152 О распределении металла, труб и метизов на капитальное строительство на II квартал 1945 г. (7327, 131,132-145).</w:t>
      </w:r>
    </w:p>
    <w:p w14:paraId="7780B4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8874F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8153 О плане снабжения продовольственными и промышленными товарами рабочих, инженерно-технических работников и служащих предприятий наркоматов военной, тяжелой промышленности и транспорта на II квартал 1945 г. (7328, 1-2,3-27).</w:t>
      </w:r>
    </w:p>
    <w:p w14:paraId="50FC3FE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2CA4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8154 О мероприятиях по материально-техническому обеспечению предприятий Наркомата электропромышленности во II квартале 1945 года. РГАНИР, Фонд ГКО, д. 401, лл. 28-31, 32-59 (11012).</w:t>
      </w:r>
    </w:p>
    <w:p w14:paraId="63A0B789" w14:textId="77777777" w:rsidR="00665165" w:rsidRPr="00F90EAE" w:rsidRDefault="00665165" w:rsidP="00F90EAE">
      <w:pPr>
        <w:autoSpaceDE w:val="0"/>
        <w:autoSpaceDN w:val="0"/>
        <w:adjustRightInd w:val="0"/>
        <w:jc w:val="both"/>
        <w:rPr>
          <w:color w:val="000000" w:themeColor="text1"/>
          <w:sz w:val="16"/>
          <w:szCs w:val="16"/>
        </w:rPr>
      </w:pPr>
    </w:p>
    <w:p w14:paraId="27ADFC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8156 О вывозе оборудования с артиллерийского завода "Венский арсенал" в г. Вена. РГАНИР, Фонд ГКО, д. 401, лл. 63-64 (11012).</w:t>
      </w:r>
    </w:p>
    <w:p w14:paraId="58B227C4" w14:textId="77777777" w:rsidR="00665165" w:rsidRPr="00F90EAE" w:rsidRDefault="00665165" w:rsidP="00F90EAE">
      <w:pPr>
        <w:autoSpaceDE w:val="0"/>
        <w:autoSpaceDN w:val="0"/>
        <w:adjustRightInd w:val="0"/>
        <w:jc w:val="both"/>
        <w:rPr>
          <w:color w:val="000000" w:themeColor="text1"/>
          <w:sz w:val="16"/>
          <w:szCs w:val="16"/>
        </w:rPr>
      </w:pPr>
    </w:p>
    <w:p w14:paraId="45AC7D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8157 О вывозе оборудования и материалов с машиностроительного завода фирмы "Маннесман Трауцерверк" в г. Вена. РГАНИР, Фонд ГКО, д. 401, лл. 65-66 (11012).</w:t>
      </w:r>
    </w:p>
    <w:p w14:paraId="054CA038" w14:textId="77777777" w:rsidR="00665165" w:rsidRPr="00F90EAE" w:rsidRDefault="00665165" w:rsidP="00F90EAE">
      <w:pPr>
        <w:autoSpaceDE w:val="0"/>
        <w:autoSpaceDN w:val="0"/>
        <w:adjustRightInd w:val="0"/>
        <w:jc w:val="both"/>
        <w:rPr>
          <w:color w:val="000000" w:themeColor="text1"/>
          <w:sz w:val="16"/>
          <w:szCs w:val="16"/>
        </w:rPr>
      </w:pPr>
    </w:p>
    <w:p w14:paraId="67AB3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8159 О вывозе оборудования с радиотехнического, радиолампового и аккумуляторного заводов в г. Вена на заводы Наркомэлектропрома. РГАНИР, Фонд ГКО, д. 401, лл. 69-70 (11012).</w:t>
      </w:r>
    </w:p>
    <w:p w14:paraId="2DEE0BF2" w14:textId="77777777" w:rsidR="00665165" w:rsidRPr="00F90EAE" w:rsidRDefault="00665165" w:rsidP="00F90EAE">
      <w:pPr>
        <w:autoSpaceDE w:val="0"/>
        <w:autoSpaceDN w:val="0"/>
        <w:adjustRightInd w:val="0"/>
        <w:jc w:val="both"/>
        <w:rPr>
          <w:color w:val="000000" w:themeColor="text1"/>
          <w:sz w:val="16"/>
          <w:szCs w:val="16"/>
        </w:rPr>
      </w:pPr>
    </w:p>
    <w:p w14:paraId="204D14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8160 О вывозе оборудования фирмы "Карл-Энглинг" в г. Вормдитт (Восточная Пруссия). РГАНИР, Фонд ГКО, д. 401, лл. 71-72 (11012).</w:t>
      </w:r>
    </w:p>
    <w:p w14:paraId="481E77C1" w14:textId="77777777" w:rsidR="00665165" w:rsidRPr="00F90EAE" w:rsidRDefault="00665165" w:rsidP="00F90EAE">
      <w:pPr>
        <w:autoSpaceDE w:val="0"/>
        <w:autoSpaceDN w:val="0"/>
        <w:adjustRightInd w:val="0"/>
        <w:jc w:val="both"/>
        <w:rPr>
          <w:color w:val="000000" w:themeColor="text1"/>
          <w:sz w:val="16"/>
          <w:szCs w:val="16"/>
        </w:rPr>
      </w:pPr>
    </w:p>
    <w:p w14:paraId="53E4F1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8161 О вывозе турбогенератора мощностью 20 тысяч киловатт и одного котла с электростанции в г. Эльбинг, оборудования высоковольтных сетей из района г. Ландсберга и другого оборудования на предприятия Наркомэлектростанций. РГАНИР, Фонд ГКО, д. 401, лл. 73-75 (11012).</w:t>
      </w:r>
    </w:p>
    <w:p w14:paraId="1106BD79" w14:textId="77777777" w:rsidR="00665165" w:rsidRPr="00F90EAE" w:rsidRDefault="00665165" w:rsidP="00F90EAE">
      <w:pPr>
        <w:autoSpaceDE w:val="0"/>
        <w:autoSpaceDN w:val="0"/>
        <w:adjustRightInd w:val="0"/>
        <w:jc w:val="both"/>
        <w:rPr>
          <w:color w:val="000000" w:themeColor="text1"/>
          <w:sz w:val="16"/>
          <w:szCs w:val="16"/>
        </w:rPr>
      </w:pPr>
    </w:p>
    <w:p w14:paraId="4A9F93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8163 О вывозе оборудования сернокислотных цехов с завода нитроглицериновых порохов фирмы "Альфред Нобель и К'" в г. Бромберг. РГАНИР, Фонд ГКО, д. 401, лл. 79-80 (11012).</w:t>
      </w:r>
    </w:p>
    <w:p w14:paraId="66E715C8" w14:textId="77777777" w:rsidR="00665165" w:rsidRPr="00F90EAE" w:rsidRDefault="00665165" w:rsidP="00F90EAE">
      <w:pPr>
        <w:autoSpaceDE w:val="0"/>
        <w:autoSpaceDN w:val="0"/>
        <w:adjustRightInd w:val="0"/>
        <w:jc w:val="both"/>
        <w:rPr>
          <w:color w:val="000000" w:themeColor="text1"/>
          <w:sz w:val="16"/>
          <w:szCs w:val="16"/>
        </w:rPr>
      </w:pPr>
    </w:p>
    <w:p w14:paraId="4A3B96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8164 О вывозе металлообрабатывающего и металлургического оборудования с немецкого завода "Вайс-Манфред" в г. Будапешт. РГАНИР, Фонд ГКО, д. 401, лл. 81-82 (11012).</w:t>
      </w:r>
    </w:p>
    <w:p w14:paraId="6B06248A" w14:textId="77777777" w:rsidR="00665165" w:rsidRPr="00F90EAE" w:rsidRDefault="00665165" w:rsidP="00F90EAE">
      <w:pPr>
        <w:autoSpaceDE w:val="0"/>
        <w:autoSpaceDN w:val="0"/>
        <w:adjustRightInd w:val="0"/>
        <w:jc w:val="both"/>
        <w:rPr>
          <w:color w:val="000000" w:themeColor="text1"/>
          <w:sz w:val="16"/>
          <w:szCs w:val="16"/>
        </w:rPr>
      </w:pPr>
    </w:p>
    <w:p w14:paraId="65B4BF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8165 О вывозе оборудования немецкого цинкопрокатного завода в г. Олау на предприятия Наркомцветмета. РГАНИР, Фонд ГКО, д. 401, лл. 83-84 (11012).</w:t>
      </w:r>
    </w:p>
    <w:p w14:paraId="6228B3A5" w14:textId="77777777" w:rsidR="00665165" w:rsidRPr="00F90EAE" w:rsidRDefault="00665165" w:rsidP="00F90EAE">
      <w:pPr>
        <w:autoSpaceDE w:val="0"/>
        <w:autoSpaceDN w:val="0"/>
        <w:adjustRightInd w:val="0"/>
        <w:jc w:val="both"/>
        <w:rPr>
          <w:color w:val="000000" w:themeColor="text1"/>
          <w:sz w:val="16"/>
          <w:szCs w:val="16"/>
        </w:rPr>
      </w:pPr>
    </w:p>
    <w:p w14:paraId="4E809C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8166 О вывозе химических производств с комбината фирмы "Динамит Акциенгезельшафт" в г. Христианштадт. РГАНИР, Фонд ГКО, д. 401, лл. 85-86 (11012).</w:t>
      </w:r>
    </w:p>
    <w:p w14:paraId="36F559DF" w14:textId="77777777" w:rsidR="00665165" w:rsidRPr="00F90EAE" w:rsidRDefault="00665165" w:rsidP="00F90EAE">
      <w:pPr>
        <w:autoSpaceDE w:val="0"/>
        <w:autoSpaceDN w:val="0"/>
        <w:adjustRightInd w:val="0"/>
        <w:jc w:val="both"/>
        <w:rPr>
          <w:color w:val="000000" w:themeColor="text1"/>
          <w:sz w:val="16"/>
          <w:szCs w:val="16"/>
        </w:rPr>
      </w:pPr>
    </w:p>
    <w:p w14:paraId="7D8597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8167 О вывозе оборудования с немецкого электродного завода фирмы "Сименс Планиа Верке" в г. Ратибор. РГАНИР, Фонд ГКО, д. 401, лл. 87-88, 89 (11012).</w:t>
      </w:r>
    </w:p>
    <w:p w14:paraId="091E755D" w14:textId="77777777" w:rsidR="00665165" w:rsidRPr="00F90EAE" w:rsidRDefault="00665165" w:rsidP="00F90EAE">
      <w:pPr>
        <w:autoSpaceDE w:val="0"/>
        <w:autoSpaceDN w:val="0"/>
        <w:adjustRightInd w:val="0"/>
        <w:jc w:val="both"/>
        <w:rPr>
          <w:color w:val="000000" w:themeColor="text1"/>
          <w:sz w:val="16"/>
          <w:szCs w:val="16"/>
        </w:rPr>
      </w:pPr>
    </w:p>
    <w:p w14:paraId="708920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8168 О вывозе оборудования с немецких электромеханических и радиотехнических предприятий в г. г. Бреславль, Бриг, Грюнберг, Фрейштадт, Зорау и Кюстрин на заводы Наркомэлектропрома. РГАНИР, Фонд ГКО, д. 401, лл. 90-92 (11012).</w:t>
      </w:r>
    </w:p>
    <w:p w14:paraId="579FF741" w14:textId="77777777" w:rsidR="00665165" w:rsidRPr="00F90EAE" w:rsidRDefault="00665165" w:rsidP="00F90EAE">
      <w:pPr>
        <w:autoSpaceDE w:val="0"/>
        <w:autoSpaceDN w:val="0"/>
        <w:adjustRightInd w:val="0"/>
        <w:jc w:val="both"/>
        <w:rPr>
          <w:color w:val="000000" w:themeColor="text1"/>
          <w:sz w:val="16"/>
          <w:szCs w:val="16"/>
        </w:rPr>
      </w:pPr>
    </w:p>
    <w:p w14:paraId="2EDD5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8169 О вывозе оборудования и материалов с комбината "И.Г. Фарбениндустри" в г. Ландсберг. РГАНИР, Фонд ГКО, д. 401, лл. 93-94 (11012).</w:t>
      </w:r>
    </w:p>
    <w:p w14:paraId="7BBC7D4B" w14:textId="77777777" w:rsidR="00665165" w:rsidRPr="00F90EAE" w:rsidRDefault="00665165" w:rsidP="00F90EAE">
      <w:pPr>
        <w:autoSpaceDE w:val="0"/>
        <w:autoSpaceDN w:val="0"/>
        <w:adjustRightInd w:val="0"/>
        <w:jc w:val="both"/>
        <w:rPr>
          <w:color w:val="000000" w:themeColor="text1"/>
          <w:sz w:val="16"/>
          <w:szCs w:val="16"/>
        </w:rPr>
      </w:pPr>
    </w:p>
    <w:p w14:paraId="091F95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8170 О вывозе оборудования с немецких целлюлозно-бумажных предприятий в г. г. Франфурт-на-Одере, Альтдамм, Реппен, Хокенкруг, Кезлин, Заган, Барге, Крапитц, Бунцлау, Альтэльс, Гайнау, Оберлешен, Ма льтш , Козель и Закрау. РГАНИР, Фонд ГКО, д. 401, лл. 95-99 (11012).</w:t>
      </w:r>
    </w:p>
    <w:p w14:paraId="1BB7B8C1" w14:textId="77777777" w:rsidR="00665165" w:rsidRPr="00F90EAE" w:rsidRDefault="00665165" w:rsidP="00F90EAE">
      <w:pPr>
        <w:autoSpaceDE w:val="0"/>
        <w:autoSpaceDN w:val="0"/>
        <w:adjustRightInd w:val="0"/>
        <w:jc w:val="both"/>
        <w:rPr>
          <w:color w:val="000000" w:themeColor="text1"/>
          <w:sz w:val="16"/>
          <w:szCs w:val="16"/>
        </w:rPr>
      </w:pPr>
    </w:p>
    <w:p w14:paraId="723788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19 апреля 1945 вышло Постановление ГКО № 8171 О вывозе оборудования с электростанции в г. Бельгард на металлургический завод Наркомчермета. РГАНИР, Фонд ГКО, д. 401, лл. 100 (11012).</w:t>
      </w:r>
    </w:p>
    <w:p w14:paraId="5785EFE9" w14:textId="77777777" w:rsidR="00665165" w:rsidRPr="00F90EAE" w:rsidRDefault="00665165" w:rsidP="00F90EAE">
      <w:pPr>
        <w:autoSpaceDE w:val="0"/>
        <w:autoSpaceDN w:val="0"/>
        <w:adjustRightInd w:val="0"/>
        <w:jc w:val="both"/>
        <w:rPr>
          <w:color w:val="000000" w:themeColor="text1"/>
          <w:sz w:val="16"/>
          <w:szCs w:val="16"/>
        </w:rPr>
      </w:pPr>
    </w:p>
    <w:p w14:paraId="4851A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8172 О вывозе оборудования с немецких заводов и шахт на предприятия Наркомугля и Наркомстанкостроения. РГАНИР, Фонд ГКО, д. 401, лл. 101-103 (11012).</w:t>
      </w:r>
    </w:p>
    <w:p w14:paraId="7F6C27DA" w14:textId="77777777" w:rsidR="00665165" w:rsidRPr="00F90EAE" w:rsidRDefault="00665165" w:rsidP="00F90EAE">
      <w:pPr>
        <w:autoSpaceDE w:val="0"/>
        <w:autoSpaceDN w:val="0"/>
        <w:adjustRightInd w:val="0"/>
        <w:jc w:val="both"/>
        <w:rPr>
          <w:color w:val="000000" w:themeColor="text1"/>
          <w:sz w:val="16"/>
          <w:szCs w:val="16"/>
        </w:rPr>
      </w:pPr>
    </w:p>
    <w:p w14:paraId="7341C3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8173 О вывозе оборудования по производству деревообрабатывающих станков и лесопильных рам с немецких заводов фирмы "Тайхерт" и "Губиш" в г. Лигниц. РГАНИР, Фонд ГКО, д. 401, лл. 104-105 (11012).</w:t>
      </w:r>
    </w:p>
    <w:p w14:paraId="3CF0B9A7" w14:textId="77777777" w:rsidR="00665165" w:rsidRPr="00F90EAE" w:rsidRDefault="00665165" w:rsidP="00F90EAE">
      <w:pPr>
        <w:autoSpaceDE w:val="0"/>
        <w:autoSpaceDN w:val="0"/>
        <w:adjustRightInd w:val="0"/>
        <w:jc w:val="both"/>
        <w:rPr>
          <w:color w:val="000000" w:themeColor="text1"/>
          <w:sz w:val="16"/>
          <w:szCs w:val="16"/>
        </w:rPr>
      </w:pPr>
    </w:p>
    <w:p w14:paraId="7A0F00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8175 О вывозе транспортных средств, судового и портового оборудования из немецких морских и речных портов. РГАНИР, Фонд ГКО, д. 401, лл. 108-111, 112-127 (11012).</w:t>
      </w:r>
    </w:p>
    <w:p w14:paraId="2C99D1DA" w14:textId="77777777" w:rsidR="00665165" w:rsidRPr="00F90EAE" w:rsidRDefault="00665165" w:rsidP="00F90EAE">
      <w:pPr>
        <w:autoSpaceDE w:val="0"/>
        <w:autoSpaceDN w:val="0"/>
        <w:adjustRightInd w:val="0"/>
        <w:jc w:val="both"/>
        <w:rPr>
          <w:color w:val="000000" w:themeColor="text1"/>
          <w:sz w:val="16"/>
          <w:szCs w:val="16"/>
        </w:rPr>
      </w:pPr>
    </w:p>
    <w:p w14:paraId="24146C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8176 О вывозе оборудования с немецкого паровозостроительного завода фирмы "Шихау" в г. Эльбинг. РГАНИР, Фонд ГКО, д. 401, лл. 128-129, 130-131 (11012).</w:t>
      </w:r>
    </w:p>
    <w:p w14:paraId="3E8D1EC5" w14:textId="77777777" w:rsidR="00665165" w:rsidRPr="00F90EAE" w:rsidRDefault="00665165" w:rsidP="00F90EAE">
      <w:pPr>
        <w:autoSpaceDE w:val="0"/>
        <w:autoSpaceDN w:val="0"/>
        <w:adjustRightInd w:val="0"/>
        <w:jc w:val="both"/>
        <w:rPr>
          <w:color w:val="000000" w:themeColor="text1"/>
          <w:sz w:val="16"/>
          <w:szCs w:val="16"/>
        </w:rPr>
      </w:pPr>
    </w:p>
    <w:p w14:paraId="46E24B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8177 О вывозе оборудования с машиностроительного завода фирмы "Карл Коенш и К`" в г. Алленштайн. РГАНИР, Фонд ГКО, д. 401, лл. 132-133 (11012).</w:t>
      </w:r>
    </w:p>
    <w:p w14:paraId="726DAE5D" w14:textId="77777777" w:rsidR="00665165" w:rsidRPr="00F90EAE" w:rsidRDefault="00665165" w:rsidP="00F90EAE">
      <w:pPr>
        <w:autoSpaceDE w:val="0"/>
        <w:autoSpaceDN w:val="0"/>
        <w:adjustRightInd w:val="0"/>
        <w:jc w:val="both"/>
        <w:rPr>
          <w:color w:val="000000" w:themeColor="text1"/>
          <w:sz w:val="16"/>
          <w:szCs w:val="16"/>
        </w:rPr>
      </w:pPr>
    </w:p>
    <w:p w14:paraId="74C71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8178 О вывозе оборудования с немецких вагоноремонтных заводов в г. г. Оппельн и Глейвиц. РГАНИР, Фонд ГКО, д. 401, лл. 134-135 (11012).</w:t>
      </w:r>
    </w:p>
    <w:p w14:paraId="14CA4686" w14:textId="77777777" w:rsidR="00665165" w:rsidRPr="00F90EAE" w:rsidRDefault="00665165" w:rsidP="00F90EAE">
      <w:pPr>
        <w:autoSpaceDE w:val="0"/>
        <w:autoSpaceDN w:val="0"/>
        <w:adjustRightInd w:val="0"/>
        <w:jc w:val="both"/>
        <w:rPr>
          <w:color w:val="000000" w:themeColor="text1"/>
          <w:sz w:val="16"/>
          <w:szCs w:val="16"/>
        </w:rPr>
      </w:pPr>
    </w:p>
    <w:p w14:paraId="2F004F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8179 О вывозе оборудования с немецких заводов в г. г. Быдгощ и Крафтборн на заводы Наркомтяжмаша. РГАНИР, Фонд ГКО, д. 401, лл. 136-137 (11012).</w:t>
      </w:r>
    </w:p>
    <w:p w14:paraId="39F042C0" w14:textId="77777777" w:rsidR="00665165" w:rsidRPr="00F90EAE" w:rsidRDefault="00665165" w:rsidP="00F90EAE">
      <w:pPr>
        <w:autoSpaceDE w:val="0"/>
        <w:autoSpaceDN w:val="0"/>
        <w:adjustRightInd w:val="0"/>
        <w:jc w:val="both"/>
        <w:rPr>
          <w:color w:val="000000" w:themeColor="text1"/>
          <w:sz w:val="16"/>
          <w:szCs w:val="16"/>
        </w:rPr>
      </w:pPr>
    </w:p>
    <w:p w14:paraId="513D9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8180 О вывозе металлообрабатывающего оборудования с немецких механических заводов и мастерских в г. г. Парадис, Витце, Арнсвальде, Альт-Варбе (Германия). РГАНИР, Фонд ГКО, д. 401, лл. 138-139 (11012).</w:t>
      </w:r>
    </w:p>
    <w:p w14:paraId="429ECE83" w14:textId="77777777" w:rsidR="00665165" w:rsidRPr="00F90EAE" w:rsidRDefault="00665165" w:rsidP="00F90EAE">
      <w:pPr>
        <w:autoSpaceDE w:val="0"/>
        <w:autoSpaceDN w:val="0"/>
        <w:adjustRightInd w:val="0"/>
        <w:jc w:val="both"/>
        <w:rPr>
          <w:color w:val="000000" w:themeColor="text1"/>
          <w:sz w:val="16"/>
          <w:szCs w:val="16"/>
        </w:rPr>
      </w:pPr>
    </w:p>
    <w:p w14:paraId="61654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8181 О вывозе металлообрабатывающих и деревообрабатывающих станков, электромоторов и материалов со станции Кебанья-Олшу (район г. Будапешт). РГАНИР, Фонд ГКО, д. 401, лл. 140 (11012).</w:t>
      </w:r>
    </w:p>
    <w:p w14:paraId="05BB489B" w14:textId="77777777" w:rsidR="00665165" w:rsidRPr="00F90EAE" w:rsidRDefault="00665165" w:rsidP="00F90EAE">
      <w:pPr>
        <w:autoSpaceDE w:val="0"/>
        <w:autoSpaceDN w:val="0"/>
        <w:adjustRightInd w:val="0"/>
        <w:jc w:val="both"/>
        <w:rPr>
          <w:color w:val="000000" w:themeColor="text1"/>
          <w:sz w:val="16"/>
          <w:szCs w:val="16"/>
        </w:rPr>
      </w:pPr>
    </w:p>
    <w:p w14:paraId="7CDD0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8182 О вывозе станочного оборудования с немецкой модельно-механической фабрики фирмы "Отто Цинке" в г. Ландсберг. РГАНИР, Фонд ГКО, д. 401, лл. 141-142 (11012).</w:t>
      </w:r>
    </w:p>
    <w:p w14:paraId="463DECDA" w14:textId="77777777" w:rsidR="00665165" w:rsidRPr="00F90EAE" w:rsidRDefault="00665165" w:rsidP="00F90EAE">
      <w:pPr>
        <w:autoSpaceDE w:val="0"/>
        <w:autoSpaceDN w:val="0"/>
        <w:adjustRightInd w:val="0"/>
        <w:jc w:val="both"/>
        <w:rPr>
          <w:color w:val="000000" w:themeColor="text1"/>
          <w:sz w:val="16"/>
          <w:szCs w:val="16"/>
        </w:rPr>
      </w:pPr>
    </w:p>
    <w:p w14:paraId="50B42F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8183 О вывозе механизмов, узлов и деталей радиолокационной аппаратуры с немецких складов г. г. Бомст и Швибус. РГАНИР, Фонд ГКО, д. 401, лл. 143 (11012).</w:t>
      </w:r>
    </w:p>
    <w:p w14:paraId="2B94E5F2" w14:textId="77777777" w:rsidR="00665165" w:rsidRPr="00F90EAE" w:rsidRDefault="00665165" w:rsidP="00F90EAE">
      <w:pPr>
        <w:autoSpaceDE w:val="0"/>
        <w:autoSpaceDN w:val="0"/>
        <w:adjustRightInd w:val="0"/>
        <w:jc w:val="both"/>
        <w:rPr>
          <w:color w:val="000000" w:themeColor="text1"/>
          <w:sz w:val="16"/>
          <w:szCs w:val="16"/>
        </w:rPr>
      </w:pPr>
    </w:p>
    <w:p w14:paraId="0A464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8184 О вывозе трофейного оборудования связи. РГАНИР, Фонд ГКО, д. 401, лл. 144-146 (11012).</w:t>
      </w:r>
    </w:p>
    <w:p w14:paraId="45C3D9BC" w14:textId="77777777" w:rsidR="00665165" w:rsidRPr="00F90EAE" w:rsidRDefault="00665165" w:rsidP="00F90EAE">
      <w:pPr>
        <w:autoSpaceDE w:val="0"/>
        <w:autoSpaceDN w:val="0"/>
        <w:adjustRightInd w:val="0"/>
        <w:jc w:val="both"/>
        <w:rPr>
          <w:color w:val="000000" w:themeColor="text1"/>
          <w:sz w:val="16"/>
          <w:szCs w:val="16"/>
        </w:rPr>
      </w:pPr>
    </w:p>
    <w:p w14:paraId="0584D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8185 О вывозе оборудования немецких автоматических телефонных станций в г. г. Нойштеттин и Шлохау и трофейных материалов связи из г. Глейвиц. РГАНИР, Фонд ГКО, д. 401, лл. 147-148 (11012).</w:t>
      </w:r>
    </w:p>
    <w:p w14:paraId="5470240B" w14:textId="77777777" w:rsidR="00665165" w:rsidRPr="00F90EAE" w:rsidRDefault="00665165" w:rsidP="00F90EAE">
      <w:pPr>
        <w:autoSpaceDE w:val="0"/>
        <w:autoSpaceDN w:val="0"/>
        <w:adjustRightInd w:val="0"/>
        <w:jc w:val="both"/>
        <w:rPr>
          <w:color w:val="000000" w:themeColor="text1"/>
          <w:sz w:val="16"/>
          <w:szCs w:val="16"/>
        </w:rPr>
      </w:pPr>
    </w:p>
    <w:p w14:paraId="6D238E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8187 О вывозе метеорологических приборов и оборудования с немецкого склада и механической мастерской в г. Пфертен и из метеорологической обсерватории в г. Бреславль. РГАНИР, Фонд ГКО, д. 401, лл. 151-152 (11012).</w:t>
      </w:r>
    </w:p>
    <w:p w14:paraId="081693FD" w14:textId="77777777" w:rsidR="00665165" w:rsidRPr="00F90EAE" w:rsidRDefault="00665165" w:rsidP="00F90EAE">
      <w:pPr>
        <w:autoSpaceDE w:val="0"/>
        <w:autoSpaceDN w:val="0"/>
        <w:adjustRightInd w:val="0"/>
        <w:jc w:val="both"/>
        <w:rPr>
          <w:color w:val="000000" w:themeColor="text1"/>
          <w:sz w:val="16"/>
          <w:szCs w:val="16"/>
        </w:rPr>
      </w:pPr>
    </w:p>
    <w:p w14:paraId="653801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8188 О вывозе со склада 11-го авторемонтного завода в г. Грейвиц металлорежущих станков для авторемонтных заводов Наркомата автомобильного транспорта РСФСР. РГАНИР, Фонд ГКО, д. 401, лл. 153-154 (11012).</w:t>
      </w:r>
    </w:p>
    <w:p w14:paraId="30B11FC7" w14:textId="77777777" w:rsidR="00665165" w:rsidRPr="00F90EAE" w:rsidRDefault="00665165" w:rsidP="00F90EAE">
      <w:pPr>
        <w:autoSpaceDE w:val="0"/>
        <w:autoSpaceDN w:val="0"/>
        <w:adjustRightInd w:val="0"/>
        <w:jc w:val="both"/>
        <w:rPr>
          <w:color w:val="000000" w:themeColor="text1"/>
          <w:sz w:val="16"/>
          <w:szCs w:val="16"/>
        </w:rPr>
      </w:pPr>
    </w:p>
    <w:p w14:paraId="161CD9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8189 О вывозе оборудования и материалов немецких текстильных предприятий в г. Ландсберг и Гогентаннен (вблизи г. Кенигсвальде) на заводы Наркомтекстиля СССР и склады ГУГМР. РГАНИР, Фонд ГКО, д. 401, лл. 155-156 (11012).</w:t>
      </w:r>
    </w:p>
    <w:p w14:paraId="6BC1A30B" w14:textId="77777777" w:rsidR="00665165" w:rsidRPr="00F90EAE" w:rsidRDefault="00665165" w:rsidP="00F90EAE">
      <w:pPr>
        <w:autoSpaceDE w:val="0"/>
        <w:autoSpaceDN w:val="0"/>
        <w:adjustRightInd w:val="0"/>
        <w:jc w:val="both"/>
        <w:rPr>
          <w:color w:val="000000" w:themeColor="text1"/>
          <w:sz w:val="16"/>
          <w:szCs w:val="16"/>
        </w:rPr>
      </w:pPr>
    </w:p>
    <w:p w14:paraId="7E98C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8190 О вывозе оборудования с немецких мельниц и элеваторов, находящихся в Восточной Пруссии, Бранденбурге и Померании. РГАНИР, Фонд ГКО, д. 401, лл. 157-158, 159-161 (11012).</w:t>
      </w:r>
    </w:p>
    <w:p w14:paraId="46F25BBA" w14:textId="77777777" w:rsidR="00665165" w:rsidRPr="00F90EAE" w:rsidRDefault="00665165" w:rsidP="00F90EAE">
      <w:pPr>
        <w:autoSpaceDE w:val="0"/>
        <w:autoSpaceDN w:val="0"/>
        <w:adjustRightInd w:val="0"/>
        <w:jc w:val="both"/>
        <w:rPr>
          <w:color w:val="000000" w:themeColor="text1"/>
          <w:sz w:val="16"/>
          <w:szCs w:val="16"/>
        </w:rPr>
      </w:pPr>
    </w:p>
    <w:p w14:paraId="5AB5C0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8191 О вывозе оборудования с немецких молоко- и мясоперерабатывающих заводов в Восточной Пруссии, Померании, Брандебурге и Немецкой Силезии. РГАНИР, Фонд ГКО, д. 401, лл. 162-163, 164-169 (11012).</w:t>
      </w:r>
    </w:p>
    <w:p w14:paraId="09B6C2C1" w14:textId="77777777" w:rsidR="00665165" w:rsidRPr="00F90EAE" w:rsidRDefault="00665165" w:rsidP="00F90EAE">
      <w:pPr>
        <w:autoSpaceDE w:val="0"/>
        <w:autoSpaceDN w:val="0"/>
        <w:adjustRightInd w:val="0"/>
        <w:jc w:val="both"/>
        <w:rPr>
          <w:color w:val="000000" w:themeColor="text1"/>
          <w:sz w:val="16"/>
          <w:szCs w:val="16"/>
        </w:rPr>
      </w:pPr>
    </w:p>
    <w:p w14:paraId="435A0F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8192 О вывозе оборудования с немецких сахарных и крахмалопаточных заводов в г. г. Розенбург, Арнсвальде, Грейнфенберг, Андсберг, Лукатц, Кройц, Швибус, Нойдамм и районах г. г. Штаргард и Пириц. РГАНИР, Фонд ГКО, д. 402, лл. 1-2, 3 (11012).</w:t>
      </w:r>
    </w:p>
    <w:p w14:paraId="7107D95F" w14:textId="77777777" w:rsidR="00665165" w:rsidRPr="00F90EAE" w:rsidRDefault="00665165" w:rsidP="00F90EAE">
      <w:pPr>
        <w:autoSpaceDE w:val="0"/>
        <w:autoSpaceDN w:val="0"/>
        <w:adjustRightInd w:val="0"/>
        <w:jc w:val="both"/>
        <w:rPr>
          <w:color w:val="000000" w:themeColor="text1"/>
          <w:sz w:val="16"/>
          <w:szCs w:val="16"/>
        </w:rPr>
      </w:pPr>
    </w:p>
    <w:p w14:paraId="552B0A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8193 О вывозе оборудования с немецких спиртовых и пивоваренных заводов в г. г. Унруштадт, Бомст, Геритц, Швибус, Ландсберг, Шнайдемюль, Кюстрин, Шмарзе, Цюлихау, Реппен, Зольдин, Фридеберг и их районах на заводы Наркомпищепрома СССР. РГАНИР, Фонд ГКО, д. 402, лл. 4-8, 9 (11012).</w:t>
      </w:r>
    </w:p>
    <w:p w14:paraId="6F3F77A4" w14:textId="77777777" w:rsidR="00665165" w:rsidRPr="00F90EAE" w:rsidRDefault="00665165" w:rsidP="00F90EAE">
      <w:pPr>
        <w:autoSpaceDE w:val="0"/>
        <w:autoSpaceDN w:val="0"/>
        <w:adjustRightInd w:val="0"/>
        <w:jc w:val="both"/>
        <w:rPr>
          <w:color w:val="000000" w:themeColor="text1"/>
          <w:sz w:val="16"/>
          <w:szCs w:val="16"/>
        </w:rPr>
      </w:pPr>
    </w:p>
    <w:p w14:paraId="70DDBA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8194 О вывозе электрооборудования, кабельных изделий и электротехнических материалов с немецких складов. РГАНИР, Фонд ГКО, д. 402, лл. 10-11, 12 (11012).</w:t>
      </w:r>
    </w:p>
    <w:p w14:paraId="0558E2C1" w14:textId="77777777" w:rsidR="00665165" w:rsidRPr="00F90EAE" w:rsidRDefault="00665165" w:rsidP="00F90EAE">
      <w:pPr>
        <w:autoSpaceDE w:val="0"/>
        <w:autoSpaceDN w:val="0"/>
        <w:adjustRightInd w:val="0"/>
        <w:jc w:val="both"/>
        <w:rPr>
          <w:color w:val="000000" w:themeColor="text1"/>
          <w:sz w:val="16"/>
          <w:szCs w:val="16"/>
        </w:rPr>
      </w:pPr>
    </w:p>
    <w:p w14:paraId="3DFFB2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8195 О вывозе сельскохозяйственных машин со склада завода фирмы "Гофер-Шранс" в г. Кшипешт (Венгрия). РГАНИР, Фонд ГКО, д. 402, лл. 13, 14-15 (11012).</w:t>
      </w:r>
    </w:p>
    <w:p w14:paraId="1577336E" w14:textId="77777777" w:rsidR="00665165" w:rsidRPr="00F90EAE" w:rsidRDefault="00665165" w:rsidP="00F90EAE">
      <w:pPr>
        <w:autoSpaceDE w:val="0"/>
        <w:autoSpaceDN w:val="0"/>
        <w:adjustRightInd w:val="0"/>
        <w:jc w:val="both"/>
        <w:rPr>
          <w:color w:val="000000" w:themeColor="text1"/>
          <w:sz w:val="16"/>
          <w:szCs w:val="16"/>
        </w:rPr>
      </w:pPr>
    </w:p>
    <w:p w14:paraId="18FCB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8197 О передаче Совнаркому РСФСР колесных тракторов ХТЗ. РГАНИР, Фонд ГКО, д. 402, лл. 17 (11012).</w:t>
      </w:r>
    </w:p>
    <w:p w14:paraId="313200E5" w14:textId="77777777" w:rsidR="00665165" w:rsidRPr="00F90EAE" w:rsidRDefault="00665165" w:rsidP="00F90EAE">
      <w:pPr>
        <w:autoSpaceDE w:val="0"/>
        <w:autoSpaceDN w:val="0"/>
        <w:adjustRightInd w:val="0"/>
        <w:jc w:val="both"/>
        <w:rPr>
          <w:color w:val="000000" w:themeColor="text1"/>
          <w:sz w:val="16"/>
          <w:szCs w:val="16"/>
        </w:rPr>
      </w:pPr>
    </w:p>
    <w:p w14:paraId="66592E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8198 Об организации Особого монтажного управления Наркомтяжмаша по демонтажу немецких заводов тяжелого машиностроения. РГАНИР, Фонд ГКО, д. 402, лл. 18-21 (11012).</w:t>
      </w:r>
    </w:p>
    <w:p w14:paraId="06479E69" w14:textId="77777777" w:rsidR="00665165" w:rsidRPr="00F90EAE" w:rsidRDefault="00665165" w:rsidP="00F90EAE">
      <w:pPr>
        <w:autoSpaceDE w:val="0"/>
        <w:autoSpaceDN w:val="0"/>
        <w:adjustRightInd w:val="0"/>
        <w:jc w:val="both"/>
        <w:rPr>
          <w:color w:val="000000" w:themeColor="text1"/>
          <w:sz w:val="16"/>
          <w:szCs w:val="16"/>
        </w:rPr>
      </w:pPr>
    </w:p>
    <w:p w14:paraId="0494C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8199 О вывозе оборудования с завода органической химии и из химической лаборатории Берлинского политехникума в городе Пархвиц. РГАНИР, Фонд ГКО, д. 402, лл. 22 (11012).</w:t>
      </w:r>
    </w:p>
    <w:p w14:paraId="5B0DDADE" w14:textId="77777777" w:rsidR="00665165" w:rsidRPr="00F90EAE" w:rsidRDefault="00665165" w:rsidP="00F90EAE">
      <w:pPr>
        <w:autoSpaceDE w:val="0"/>
        <w:autoSpaceDN w:val="0"/>
        <w:adjustRightInd w:val="0"/>
        <w:jc w:val="both"/>
        <w:rPr>
          <w:color w:val="000000" w:themeColor="text1"/>
          <w:sz w:val="16"/>
          <w:szCs w:val="16"/>
        </w:rPr>
      </w:pPr>
    </w:p>
    <w:p w14:paraId="3D924E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8200 Об организации особых монтажных управлений Наркомцветмета по демонтажу оборудования немецких предприятий цветной металлургии. РГАНИР, Фонд ГКО, д. 402, лл. 23-26 (11012).</w:t>
      </w:r>
    </w:p>
    <w:p w14:paraId="30ED1FAB" w14:textId="77777777" w:rsidR="00665165" w:rsidRPr="00F90EAE" w:rsidRDefault="00665165" w:rsidP="00F90EAE">
      <w:pPr>
        <w:autoSpaceDE w:val="0"/>
        <w:autoSpaceDN w:val="0"/>
        <w:adjustRightInd w:val="0"/>
        <w:jc w:val="both"/>
        <w:rPr>
          <w:color w:val="000000" w:themeColor="text1"/>
          <w:sz w:val="16"/>
          <w:szCs w:val="16"/>
        </w:rPr>
      </w:pPr>
    </w:p>
    <w:p w14:paraId="13E4C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8201 Об организации Особого монтажного управления Наркомчермета по демонтажу оборудования немецких предприятий черной металлургии. РГАНИР, Фонд ГКО, д. 402, лл. 27-31 (11012).</w:t>
      </w:r>
    </w:p>
    <w:p w14:paraId="49FB31FC" w14:textId="77777777" w:rsidR="00665165" w:rsidRPr="00F90EAE" w:rsidRDefault="00665165" w:rsidP="00F90EAE">
      <w:pPr>
        <w:autoSpaceDE w:val="0"/>
        <w:autoSpaceDN w:val="0"/>
        <w:adjustRightInd w:val="0"/>
        <w:jc w:val="both"/>
        <w:rPr>
          <w:color w:val="000000" w:themeColor="text1"/>
          <w:sz w:val="16"/>
          <w:szCs w:val="16"/>
        </w:rPr>
      </w:pPr>
    </w:p>
    <w:p w14:paraId="44B97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8202 О частичных изменениях в постановлениях ГОКО о вывозе оборудования немецких заводов с территории Польши. РГАНИР, Фонд ГКО, д. 402, лл. 32-33 (11012).</w:t>
      </w:r>
    </w:p>
    <w:p w14:paraId="1AE50A9A" w14:textId="77777777" w:rsidR="00665165" w:rsidRPr="00F90EAE" w:rsidRDefault="00665165" w:rsidP="00F90EAE">
      <w:pPr>
        <w:autoSpaceDE w:val="0"/>
        <w:autoSpaceDN w:val="0"/>
        <w:adjustRightInd w:val="0"/>
        <w:jc w:val="both"/>
        <w:rPr>
          <w:color w:val="000000" w:themeColor="text1"/>
          <w:sz w:val="16"/>
          <w:szCs w:val="16"/>
        </w:rPr>
      </w:pPr>
    </w:p>
    <w:p w14:paraId="5FD471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8203 Об организации перевозок воинских, трофейных, репарационных и экспортно-импортных грузов по реке Дунай в навигацию 1945 года. РГАНИР, Фонд ГКО, д. 402, лл. 34-37, 38-41 (11012).</w:t>
      </w:r>
    </w:p>
    <w:p w14:paraId="740DD832" w14:textId="77777777" w:rsidR="00665165" w:rsidRPr="00F90EAE" w:rsidRDefault="00665165" w:rsidP="00F90EAE">
      <w:pPr>
        <w:autoSpaceDE w:val="0"/>
        <w:autoSpaceDN w:val="0"/>
        <w:adjustRightInd w:val="0"/>
        <w:jc w:val="both"/>
        <w:rPr>
          <w:color w:val="000000" w:themeColor="text1"/>
          <w:sz w:val="16"/>
          <w:szCs w:val="16"/>
        </w:rPr>
      </w:pPr>
    </w:p>
    <w:p w14:paraId="522BE7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8204 О неотложных мерах помощи Красногорской ТЭЦ НКЭС. РГАНИР, Фонд ГКО, д. 402, лл. 42-43, 44-47 (11012).</w:t>
      </w:r>
    </w:p>
    <w:p w14:paraId="794CE046" w14:textId="77777777" w:rsidR="00665165" w:rsidRPr="00F90EAE" w:rsidRDefault="00665165" w:rsidP="00F90EAE">
      <w:pPr>
        <w:autoSpaceDE w:val="0"/>
        <w:autoSpaceDN w:val="0"/>
        <w:adjustRightInd w:val="0"/>
        <w:jc w:val="both"/>
        <w:rPr>
          <w:color w:val="000000" w:themeColor="text1"/>
          <w:sz w:val="16"/>
          <w:szCs w:val="16"/>
        </w:rPr>
      </w:pPr>
    </w:p>
    <w:p w14:paraId="1544E0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8205 О мерах по обеспечению Кизеловского угольного бассейна крепежным лесом. РГАНИР, Фонд ГКО, д. 402, лл. 48-51 (11012).</w:t>
      </w:r>
    </w:p>
    <w:p w14:paraId="0E72FC1E" w14:textId="77777777" w:rsidR="00665165" w:rsidRPr="00F90EAE" w:rsidRDefault="00665165" w:rsidP="00F90EAE">
      <w:pPr>
        <w:autoSpaceDE w:val="0"/>
        <w:autoSpaceDN w:val="0"/>
        <w:adjustRightInd w:val="0"/>
        <w:jc w:val="both"/>
        <w:rPr>
          <w:color w:val="000000" w:themeColor="text1"/>
          <w:sz w:val="16"/>
          <w:szCs w:val="16"/>
        </w:rPr>
      </w:pPr>
    </w:p>
    <w:p w14:paraId="6C3EB4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8207 О плане ремонта бронеавтомобилей, бронетранспортеров, мотоциклов и велосипедов для Красной Армии на второй квартал 1945 года. РГАНИР, Фонд ГКО, д. 402, лл. 54-56, 57-74 (11012).</w:t>
      </w:r>
    </w:p>
    <w:p w14:paraId="3C906C44" w14:textId="77777777" w:rsidR="00665165" w:rsidRPr="00F90EAE" w:rsidRDefault="00665165" w:rsidP="00F90EAE">
      <w:pPr>
        <w:autoSpaceDE w:val="0"/>
        <w:autoSpaceDN w:val="0"/>
        <w:adjustRightInd w:val="0"/>
        <w:jc w:val="both"/>
        <w:rPr>
          <w:color w:val="000000" w:themeColor="text1"/>
          <w:sz w:val="16"/>
          <w:szCs w:val="16"/>
        </w:rPr>
      </w:pPr>
    </w:p>
    <w:p w14:paraId="0B963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8208 О плане ремонта тракторов (арттягачей) для Красной Армии и Военно-Морского Флота на II квартал 1945 г. РГАНИР, Фонд ГКО, д. 402, лл. 75-77, 78-108 (11012).</w:t>
      </w:r>
    </w:p>
    <w:p w14:paraId="1D6DE792" w14:textId="77777777" w:rsidR="00665165" w:rsidRPr="00F90EAE" w:rsidRDefault="00665165" w:rsidP="00F90EAE">
      <w:pPr>
        <w:autoSpaceDE w:val="0"/>
        <w:autoSpaceDN w:val="0"/>
        <w:adjustRightInd w:val="0"/>
        <w:jc w:val="both"/>
        <w:rPr>
          <w:color w:val="000000" w:themeColor="text1"/>
          <w:sz w:val="16"/>
          <w:szCs w:val="16"/>
        </w:rPr>
      </w:pPr>
    </w:p>
    <w:p w14:paraId="1C5983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8209 О плане производства подвижных ремонтных мастерских, бензотары, средств заправки и других специальных машин для Красной Армии и Военно-Морского Флота на II квартал 1945 года. РГАНИР, Фонд ГКО, д. 402, лл. 109-112, 113-132 (11012).</w:t>
      </w:r>
    </w:p>
    <w:p w14:paraId="311335E7" w14:textId="77777777" w:rsidR="00665165" w:rsidRPr="00F90EAE" w:rsidRDefault="00665165" w:rsidP="00F90EAE">
      <w:pPr>
        <w:autoSpaceDE w:val="0"/>
        <w:autoSpaceDN w:val="0"/>
        <w:adjustRightInd w:val="0"/>
        <w:jc w:val="both"/>
        <w:rPr>
          <w:color w:val="000000" w:themeColor="text1"/>
          <w:sz w:val="16"/>
          <w:szCs w:val="16"/>
        </w:rPr>
      </w:pPr>
    </w:p>
    <w:p w14:paraId="4907A1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8210 О производстве и поставке инженерного вооружения и специального оборудования во II квартале 1945 г. Наркомобороны СССР, Наркомвоенморфлоту и войскам НКВД СССР. РГАНИР, Фонд ГКО, д. 402, лл. 133-138, 139-185 (11012).</w:t>
      </w:r>
    </w:p>
    <w:p w14:paraId="44D823B9" w14:textId="77777777" w:rsidR="00665165" w:rsidRPr="00F90EAE" w:rsidRDefault="00665165" w:rsidP="00F90EAE">
      <w:pPr>
        <w:autoSpaceDE w:val="0"/>
        <w:autoSpaceDN w:val="0"/>
        <w:adjustRightInd w:val="0"/>
        <w:jc w:val="both"/>
        <w:rPr>
          <w:color w:val="000000" w:themeColor="text1"/>
          <w:sz w:val="16"/>
          <w:szCs w:val="16"/>
        </w:rPr>
      </w:pPr>
    </w:p>
    <w:p w14:paraId="32DF44A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8211 О плане ремонта автомобилей для Красной Армии, Военно-Морского Флота и централизованного резерва на II квартал 1945 г. (7329, 1-9,10-90).</w:t>
      </w:r>
    </w:p>
    <w:p w14:paraId="3A59895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F6C4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8212 О плане ремонта боевых кораблей, вспомогательных судов и береговых установок Военно-Морского Флота на 1945 год и II квартал 1945 года. РГАНИР, Фонд ГКО, д. 403, лл. 91-96, 97-157 (11012).</w:t>
      </w:r>
    </w:p>
    <w:p w14:paraId="70D07F3C" w14:textId="77777777" w:rsidR="00665165" w:rsidRPr="00F90EAE" w:rsidRDefault="00665165" w:rsidP="00F90EAE">
      <w:pPr>
        <w:autoSpaceDE w:val="0"/>
        <w:autoSpaceDN w:val="0"/>
        <w:adjustRightInd w:val="0"/>
        <w:jc w:val="both"/>
        <w:rPr>
          <w:color w:val="000000" w:themeColor="text1"/>
          <w:sz w:val="16"/>
          <w:szCs w:val="16"/>
        </w:rPr>
      </w:pPr>
    </w:p>
    <w:p w14:paraId="09AE0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8213 О плане производства и ремонта боевых установок М-31, М-13 и М-8 во II квартале 1945 года. РГАНИР, Фонд ГКО, д. 403, лл. 158-162, 163-177 (11012).</w:t>
      </w:r>
    </w:p>
    <w:p w14:paraId="73D980EC" w14:textId="77777777" w:rsidR="00665165" w:rsidRPr="00F90EAE" w:rsidRDefault="00665165" w:rsidP="00F90EAE">
      <w:pPr>
        <w:autoSpaceDE w:val="0"/>
        <w:autoSpaceDN w:val="0"/>
        <w:adjustRightInd w:val="0"/>
        <w:jc w:val="both"/>
        <w:rPr>
          <w:color w:val="000000" w:themeColor="text1"/>
          <w:sz w:val="16"/>
          <w:szCs w:val="16"/>
        </w:rPr>
      </w:pPr>
    </w:p>
    <w:p w14:paraId="7A33D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Постановление ГКО № 8214 Об окончании прокладки трассы ведущих кораблей в Татарском и 1-м Курильском проливах и прокладки трассы ведущего кабеля для подхода к Одесскому порту. РГАНИР, Фонд ГКО, д. 403, лл. 178-181, 182-183 (11012).</w:t>
      </w:r>
    </w:p>
    <w:p w14:paraId="31F8BBF8" w14:textId="77777777" w:rsidR="00665165" w:rsidRPr="00F90EAE" w:rsidRDefault="00665165" w:rsidP="00F90EAE">
      <w:pPr>
        <w:autoSpaceDE w:val="0"/>
        <w:autoSpaceDN w:val="0"/>
        <w:adjustRightInd w:val="0"/>
        <w:jc w:val="both"/>
        <w:rPr>
          <w:color w:val="000000" w:themeColor="text1"/>
          <w:sz w:val="16"/>
          <w:szCs w:val="16"/>
        </w:rPr>
      </w:pPr>
    </w:p>
    <w:p w14:paraId="2E4FE4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вышло Распоряжение ГКО № 8219. О выделении из гослесфонда торфяного массива в Калининской обл. для НКЭС и Главгазтоппрома при СНК СССР. РГАНИР, Фонд ГКО, д. 404, лл. 12 (11012).</w:t>
      </w:r>
    </w:p>
    <w:p w14:paraId="49FFA554" w14:textId="77777777" w:rsidR="00665165" w:rsidRPr="00F90EAE" w:rsidRDefault="00665165" w:rsidP="00F90EAE">
      <w:pPr>
        <w:autoSpaceDE w:val="0"/>
        <w:autoSpaceDN w:val="0"/>
        <w:adjustRightInd w:val="0"/>
        <w:jc w:val="both"/>
        <w:rPr>
          <w:color w:val="000000" w:themeColor="text1"/>
          <w:sz w:val="16"/>
          <w:szCs w:val="16"/>
        </w:rPr>
      </w:pPr>
    </w:p>
    <w:p w14:paraId="6F7652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г. Приказом Народного комиссара ВМФ Н. Г. Кузнецова от РЛС «Гнейс-5М» была принята на вооружение (11026).</w:t>
      </w:r>
    </w:p>
    <w:p w14:paraId="29488B57" w14:textId="77777777" w:rsidR="00665165" w:rsidRPr="00F90EAE" w:rsidRDefault="00665165" w:rsidP="00F90EAE">
      <w:pPr>
        <w:autoSpaceDE w:val="0"/>
        <w:autoSpaceDN w:val="0"/>
        <w:adjustRightInd w:val="0"/>
        <w:jc w:val="both"/>
        <w:rPr>
          <w:color w:val="000000" w:themeColor="text1"/>
          <w:sz w:val="16"/>
          <w:szCs w:val="16"/>
        </w:rPr>
      </w:pPr>
    </w:p>
    <w:p w14:paraId="5F1645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апреля 1945 г. ГКО принял постановление о создании при Наркомате боеприпасов СССР Государственного центрального конструкторского бюро по реактивным снарядам (ГЦКБ № 1) с опытным заводом (на базе московского завода № 671 НКБ) (11254).</w:t>
      </w:r>
    </w:p>
    <w:p w14:paraId="748732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19ED3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На Балтийском заводе спущен на воду 33-й ТЩ (10671).</w:t>
      </w:r>
    </w:p>
    <w:p w14:paraId="45352ADA" w14:textId="77777777" w:rsidR="00665165" w:rsidRPr="00F90EAE" w:rsidRDefault="00665165" w:rsidP="00F90EAE">
      <w:pPr>
        <w:autoSpaceDE w:val="0"/>
        <w:autoSpaceDN w:val="0"/>
        <w:adjustRightInd w:val="0"/>
        <w:jc w:val="both"/>
        <w:rPr>
          <w:color w:val="000000" w:themeColor="text1"/>
          <w:sz w:val="16"/>
          <w:szCs w:val="16"/>
        </w:rPr>
      </w:pPr>
    </w:p>
    <w:p w14:paraId="23B9BB6C" w14:textId="77777777" w:rsidR="001D1E05" w:rsidRPr="00F90EAE" w:rsidRDefault="001D1E05"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757F574" w14:textId="77777777" w:rsidR="001D1E05" w:rsidRPr="00F90EAE" w:rsidRDefault="001D1E05" w:rsidP="00F90EAE">
      <w:pPr>
        <w:autoSpaceDE w:val="0"/>
        <w:autoSpaceDN w:val="0"/>
        <w:adjustRightInd w:val="0"/>
        <w:jc w:val="both"/>
        <w:rPr>
          <w:iCs/>
          <w:color w:val="000000" w:themeColor="text1"/>
          <w:sz w:val="16"/>
          <w:szCs w:val="16"/>
        </w:rPr>
      </w:pPr>
    </w:p>
    <w:p w14:paraId="74702719" w14:textId="77777777" w:rsidR="001D1E05" w:rsidRPr="00F90EAE" w:rsidRDefault="001D1E05" w:rsidP="00F90EAE">
      <w:pPr>
        <w:jc w:val="both"/>
        <w:rPr>
          <w:color w:val="000000" w:themeColor="text1"/>
          <w:sz w:val="16"/>
          <w:szCs w:val="16"/>
        </w:rPr>
      </w:pPr>
      <w:r w:rsidRPr="00F90EAE">
        <w:rPr>
          <w:color w:val="000000" w:themeColor="text1"/>
          <w:sz w:val="16"/>
          <w:szCs w:val="16"/>
        </w:rPr>
        <w:t>19 апреля в 1945 году оперативная сводка Совинформбюро:</w:t>
      </w:r>
    </w:p>
    <w:p w14:paraId="0D98E09F" w14:textId="77777777" w:rsidR="001D1E05" w:rsidRPr="00F90EAE" w:rsidRDefault="001D1E05" w:rsidP="00F90EAE">
      <w:pPr>
        <w:jc w:val="both"/>
        <w:rPr>
          <w:color w:val="000000" w:themeColor="text1"/>
          <w:sz w:val="16"/>
          <w:szCs w:val="16"/>
        </w:rPr>
      </w:pPr>
      <w:r w:rsidRPr="00F90EAE">
        <w:rPr>
          <w:color w:val="000000" w:themeColor="text1"/>
          <w:sz w:val="16"/>
          <w:szCs w:val="16"/>
        </w:rPr>
        <w:t>«За последние три дня в районе Центральной группы наших войск велась силовая разведка, которая переросла в бои по захвату и расширению плацдармов на реке Одер и реке Нейсе.</w:t>
      </w:r>
    </w:p>
    <w:p w14:paraId="3CEDF506" w14:textId="77777777" w:rsidR="001D1E05" w:rsidRPr="00F90EAE" w:rsidRDefault="001D1E05" w:rsidP="00F90EAE">
      <w:pPr>
        <w:jc w:val="both"/>
        <w:rPr>
          <w:color w:val="000000" w:themeColor="text1"/>
          <w:sz w:val="16"/>
          <w:szCs w:val="16"/>
        </w:rPr>
      </w:pPr>
      <w:r w:rsidRPr="00F90EAE">
        <w:rPr>
          <w:color w:val="000000" w:themeColor="text1"/>
          <w:sz w:val="16"/>
          <w:szCs w:val="16"/>
        </w:rPr>
        <w:t>В результате этих боёв наши войска на Дрезденском направлении форсировали реку Нейсе и овладели городами Форст, Мускау, Вейсвассер. Войска 2-й Польской армии заняли город Ротенбург.</w:t>
      </w:r>
    </w:p>
    <w:p w14:paraId="0FDDC90A" w14:textId="77777777" w:rsidR="001D1E05" w:rsidRPr="00F90EAE" w:rsidRDefault="001D1E05" w:rsidP="00F90EAE">
      <w:pPr>
        <w:jc w:val="both"/>
        <w:rPr>
          <w:color w:val="000000" w:themeColor="text1"/>
          <w:sz w:val="16"/>
          <w:szCs w:val="16"/>
        </w:rPr>
      </w:pPr>
      <w:r w:rsidRPr="00F90EAE">
        <w:rPr>
          <w:color w:val="000000" w:themeColor="text1"/>
          <w:sz w:val="16"/>
          <w:szCs w:val="16"/>
        </w:rPr>
        <w:t>На Одере наши войска захватили и расширили плацдарм западнее Кюстрина.</w:t>
      </w:r>
    </w:p>
    <w:p w14:paraId="4A7640A6" w14:textId="77777777" w:rsidR="001D1E05" w:rsidRPr="00F90EAE" w:rsidRDefault="001D1E05" w:rsidP="00F90EAE">
      <w:pPr>
        <w:jc w:val="both"/>
        <w:rPr>
          <w:color w:val="000000" w:themeColor="text1"/>
          <w:sz w:val="16"/>
          <w:szCs w:val="16"/>
        </w:rPr>
      </w:pPr>
      <w:r w:rsidRPr="00F90EAE">
        <w:rPr>
          <w:color w:val="000000" w:themeColor="text1"/>
          <w:sz w:val="16"/>
          <w:szCs w:val="16"/>
        </w:rPr>
        <w:t>В течение 19 апреля на территории Чехословакии северо-восточнее и севернее города Годонин войска 2-го УкраинскогО фронта вели наступательные бои и заняли населённые пункты Козойидки, Лидэровице, Заразице, Бзенец, Скоронице, Ставьешице, Наседловице и железнодорожные станции Лидэровице, Сватоборжице. Севернее Вены войска фронта с боями заняли на территории Австрии населённые пункты Бернгардсталь, Альт Лихтенварт, Вильферсдорф. Зибениртен, Аспарн, Ладендорф и железнодорожные станции Альт Лихтенварт, Аспарн.</w:t>
      </w:r>
    </w:p>
    <w:p w14:paraId="359B0D1A" w14:textId="77777777" w:rsidR="001D1E05" w:rsidRPr="00F90EAE" w:rsidRDefault="001D1E05"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18526E66" w14:textId="77777777" w:rsidR="001D1E05" w:rsidRPr="00F90EAE" w:rsidRDefault="001D1E05" w:rsidP="00F90EAE">
      <w:pPr>
        <w:jc w:val="both"/>
        <w:rPr>
          <w:color w:val="000000" w:themeColor="text1"/>
          <w:sz w:val="16"/>
          <w:szCs w:val="16"/>
        </w:rPr>
      </w:pPr>
      <w:r w:rsidRPr="00F90EAE">
        <w:rPr>
          <w:color w:val="000000" w:themeColor="text1"/>
          <w:sz w:val="16"/>
          <w:szCs w:val="16"/>
        </w:rPr>
        <w:t>За 18 апреля наши войска подбили и уничтожили 96 немецких танков и самоходных орудий. В воздушных боях и огнём зенитной артиллерии сбито 115 самолётов противника.</w:t>
      </w:r>
    </w:p>
    <w:p w14:paraId="2D61EB44" w14:textId="77777777" w:rsidR="001D1E05" w:rsidRPr="00F90EAE" w:rsidRDefault="001D1E05" w:rsidP="00F90EAE">
      <w:pPr>
        <w:jc w:val="both"/>
        <w:rPr>
          <w:color w:val="000000" w:themeColor="text1"/>
          <w:sz w:val="16"/>
          <w:szCs w:val="16"/>
        </w:rPr>
      </w:pPr>
      <w:r w:rsidRPr="00F90EAE">
        <w:rPr>
          <w:color w:val="000000" w:themeColor="text1"/>
          <w:sz w:val="16"/>
          <w:szCs w:val="16"/>
        </w:rPr>
        <w:t>На территории Чехословакии северо-восточнее города Годонина наши войска вели наступательные бои. Советские части, продвигаясь вдоль восточного берега реки Моравы, заняли несколько сильно укреплённых опорных пунктов обороны немцев. Противник выбит из населённого пункта Заразице, находящегося в 5 километрах от города Угерски Острог. Севернее Годонин немецкая пехота и танки, пытаясь задержать наши войска, предприняли несколько контратак, но были отброшены с большими для них потерями. Разгромлен батальон вражеской пехоты. Захвачено всё вооружение батальона и более 200 пленных. Севернее Вены противник пополнил свои потрёпанные войска свежими силами и оказывает упорное сопротивление. Стремительным ударом наши части выбили немцев из населённого пункта и железнодорожной станции Альт Лихтенварт. Захвачены склады с вооружением и военным имуществом. Советские войска, овладевшие вчера городом Мистельбах, отбили ряд вражеских контратак и продвинулись в северном направлении на 6 километров. На поле боя осталось свыше 700 вражеских трупов. Сожжено и подбито 20 немецких танков и самоходных орудий.</w:t>
      </w:r>
    </w:p>
    <w:p w14:paraId="208B49A0" w14:textId="77777777" w:rsidR="001D1E05" w:rsidRPr="00F90EAE" w:rsidRDefault="001D1E05" w:rsidP="00F90EAE">
      <w:pPr>
        <w:jc w:val="both"/>
        <w:rPr>
          <w:color w:val="000000" w:themeColor="text1"/>
          <w:sz w:val="16"/>
          <w:szCs w:val="16"/>
        </w:rPr>
      </w:pPr>
      <w:r w:rsidRPr="00F90EAE">
        <w:rPr>
          <w:color w:val="000000" w:themeColor="text1"/>
          <w:sz w:val="16"/>
          <w:szCs w:val="16"/>
        </w:rPr>
        <w:t>На территории Австрии, западнее города Санкт-Пельтен и восточнее города Грац советские воины в боях с немецко-фашистскими захватчиками проявляют образцы мужества и героизма. Стрелковая рота гвардии лейтенанта Макарова, скрытно пробравшись лесом, зашла противнику во фланг и стремительным ударом овладела высотой, прикрывающей горную дорогу. В короткой схватке советские бойцы уничтожили 24 гитлеровца. Остальные немецкие солдаты разбежались, бросив оружие и радиостанцию. Старший сержант Ширяев, ехавший на повозке с имуществом связи, был обстрелян немцами. Заметив вражеский пулемет, Ширяев незаметно подкрался к нему и очередью из автомата уничтожил немецких пулемётчиков. Гвардии старший сержант Баграмян и гвардии рядовой Фокин в одном бою огнём из пулемёта истребили 30 гитлеровцев. Расчет самоходного орудия младшего лейтенанта Умена за один день сжёг 2 немецких танка и один бронетранспортер. Батарея самоходных орудий младшего лейтенанта Холодцова, вступив в бой с численно превосходящими силами противника, уничтожила 4 немецких танка, 2 бронетранспортёра и 2 полевых орудия.</w:t>
      </w:r>
    </w:p>
    <w:p w14:paraId="1A944243" w14:textId="77777777" w:rsidR="001D1E05" w:rsidRPr="00F90EAE" w:rsidRDefault="001D1E05" w:rsidP="00F90EAE">
      <w:pPr>
        <w:jc w:val="both"/>
        <w:rPr>
          <w:color w:val="000000" w:themeColor="text1"/>
          <w:sz w:val="16"/>
          <w:szCs w:val="16"/>
        </w:rPr>
      </w:pPr>
      <w:r w:rsidRPr="00F90EAE">
        <w:rPr>
          <w:color w:val="000000" w:themeColor="text1"/>
          <w:sz w:val="16"/>
          <w:szCs w:val="16"/>
        </w:rPr>
        <w:t>Разведка Краснознамённого Балтийского флота обнаружила в заливе Фриш-Гаф самоходные десантные баржи, а также большое количество плотов и шлюпок с войсками противника. Советские бронекатеры атаковали немцев и потопили две быстроходные десантные баржи, две баржи и более 100 плотов и шлюпок. Уничтожено и потоплено несколько тысяч немецких солдат и офицеров.</w:t>
      </w:r>
    </w:p>
    <w:p w14:paraId="44BED497" w14:textId="77777777" w:rsidR="001D1E05" w:rsidRPr="00F90EAE" w:rsidRDefault="001D1E05"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южной части Балтийского моря транспорт противника водоизмещением в 5 тысяч тонн.</w:t>
      </w:r>
    </w:p>
    <w:p w14:paraId="67EE6CEF" w14:textId="77777777" w:rsidR="001D1E05" w:rsidRPr="00F90EAE" w:rsidRDefault="001D1E05" w:rsidP="00F90EAE">
      <w:pPr>
        <w:jc w:val="both"/>
        <w:rPr>
          <w:color w:val="000000" w:themeColor="text1"/>
          <w:sz w:val="16"/>
          <w:szCs w:val="16"/>
        </w:rPr>
      </w:pPr>
      <w:r w:rsidRPr="00F90EAE">
        <w:rPr>
          <w:color w:val="000000" w:themeColor="text1"/>
          <w:sz w:val="16"/>
          <w:szCs w:val="16"/>
        </w:rPr>
        <w:t>Население австрийских сёл и городов радушно встречает Красную Армию. Житель города Эйзенштадта профессор Франц Элек рассказывает: «Немецкие военные власти приказали населению в течение трех часов покинуть город, но почти все жители остались на месте. С немцами убежали только бургомистр Брюнер, руководители фашистских организаций и нацистские чиновники. Основная масса жителей не хотела уходить. Мы ждали Красную Армию, мы знали, что она освободит нас от гитлеризма. В 1938 году после оккупации Австрии немцами фашисты арестовали более 400 жителей Эйзенштадта. Многие из них погибли в гестаповских застенках». Рабочий Георг Бабтис сообщил: «Мне 58 лет. Нацисты принуждали меня вступить в фольксштурм, но я отказался. За это меня посадили в тюрьму. Многим старикам пришлось, однако, вступить в фолльксштурм. Как только Красная Армия приблизилась к городу, все они разбежались по домам».</w:t>
      </w:r>
    </w:p>
    <w:p w14:paraId="40D602FD" w14:textId="77777777" w:rsidR="001D1E05" w:rsidRPr="00F90EAE" w:rsidRDefault="001D1E05" w:rsidP="00F90EAE">
      <w:pPr>
        <w:jc w:val="both"/>
        <w:rPr>
          <w:color w:val="000000" w:themeColor="text1"/>
          <w:sz w:val="16"/>
          <w:szCs w:val="16"/>
        </w:rPr>
      </w:pPr>
      <w:r w:rsidRPr="00F90EAE">
        <w:rPr>
          <w:color w:val="000000" w:themeColor="text1"/>
          <w:sz w:val="16"/>
          <w:szCs w:val="16"/>
        </w:rPr>
        <w:lastRenderedPageBreak/>
        <w:t>Священник села Лоймерсдорф Шерлис заявил: «Я часто слушал радиопередачи для Австрии из Москвы и Лондона. Вместе со мной слушали радио и некоторые прихожане. Мы не боялись прихода Красной Армии и не верили гитлеровской пропаганде. Население знало, что Красная Армия несёт нам свободу и независимость» (15104).</w:t>
      </w:r>
    </w:p>
    <w:p w14:paraId="6D3D688B" w14:textId="77777777" w:rsidR="001D1E05" w:rsidRPr="00F90EAE" w:rsidRDefault="001D1E05" w:rsidP="00F90EAE">
      <w:pPr>
        <w:jc w:val="both"/>
        <w:rPr>
          <w:color w:val="000000" w:themeColor="text1"/>
          <w:sz w:val="16"/>
          <w:szCs w:val="16"/>
        </w:rPr>
      </w:pPr>
    </w:p>
    <w:p w14:paraId="67E08505"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19 апреля 1945 командир группы из 21 Ил-2 173-го гв. шап 16 ВА подполковник Лысенко, выйдя в район цели (Альт-Малиш — Дебберин), заметил на северном берегу озера Гроссен позиции двух батарей противотанковой артиллерии, а также две батареи орудий, пехоту в окопах и танки на восточной окраине города Дебберин. На месте оценив обстановку, командир приказал второй подгруппе атаковать артиллерию, третьей подгруппе — непосредственно опорный пункт Дебберин, четвертой — лес в полутора километрах юго-восточнее населенного пункта. Сам Лысенко с первой подгруппой решил заняться пехотой и танками на берегу озера.</w:t>
      </w:r>
    </w:p>
    <w:p w14:paraId="2B5BF9A5"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Бомбометание производилось с первых двух заходов одиночными бомбами и кассетами. При этом каждый летчик самостоятельно выбирал себе цель. В последующих трех заходах штурмовики, встав в круг, снижаясь до бреющего полета, обстреливали пехоту, засевшую в окопах. На пятом заходе экипажи наблюдали, как советская пехота пошла в атаку, почти не встречая организованного сопротивления. Опорный пункт Альт-Марин был взят с ходу[122].</w:t>
      </w:r>
    </w:p>
    <w:p w14:paraId="0284E6D8"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Столь же деморализующий удар по немецким войскам в том же районе был нанесен на следующий день штурмовиками 175-го гв. шап. Когда 14 Ил-2 прибыли в район опорного пункта Дебберин, командир группы старший лейтенант Фатеев увидел внизу траншеи, занятые пехотой, а на одной из высот артиллерию, которая вела огонь по советским войскам. На окраине указанного населенного пункта группами по пять — семь единиц стояли свои танки, которые вели огонь по немецким окопам и пускали сигнальные ракеты в их направлении. Чтобы точно определить расположение своих войск, Фатеев сделал ложный заход.</w:t>
      </w:r>
    </w:p>
    <w:p w14:paraId="3F988CEA"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После этого в 11.35 с планирования, с высоты 300–500 метров первая группа Ил-2 перешла в атаку на позиции артиллерии. Вся высота, на которой они располагались, вскоре была охвачена дымом от разрывов. Затем появились следующие штурмовики, которые уже вели с бреющего полета огонь по траншеям. В результате большая группа немецких солдат оставила позиции и начала разбегаться в разных направлениях. Вскоре населенный пункт Дебберин был занят советскими войсками. Всего же в течение 20 апреля штурмовики 16-й воздушной армии выполнили 872 самолето-вылета[123].</w:t>
      </w:r>
    </w:p>
    <w:p w14:paraId="5A62B970" w14:textId="77777777" w:rsidR="001D1E05" w:rsidRPr="00F90EAE" w:rsidRDefault="001D1E05" w:rsidP="00F90EAE">
      <w:pPr>
        <w:pStyle w:val="ae"/>
        <w:spacing w:before="0" w:after="0"/>
        <w:jc w:val="both"/>
        <w:textAlignment w:val="baseline"/>
        <w:rPr>
          <w:color w:val="000000" w:themeColor="text1"/>
          <w:sz w:val="16"/>
          <w:szCs w:val="16"/>
        </w:rPr>
      </w:pPr>
      <w:r w:rsidRPr="00F90EAE">
        <w:rPr>
          <w:color w:val="000000" w:themeColor="text1"/>
          <w:sz w:val="16"/>
          <w:szCs w:val="16"/>
        </w:rPr>
        <w:t>На волне успехов штурмовикам порой ставились и задачи, не связанные с военными объектами. Так, в приказе по 16-й ВА на 22 апреля говорилось:</w:t>
      </w:r>
    </w:p>
    <w:p w14:paraId="1870D2A9" w14:textId="77777777" w:rsidR="001D1E05" w:rsidRPr="00F90EAE" w:rsidRDefault="001D1E05"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«2, 9 и 6 шак, 2 и 11 гв. шад — небольшими группами или парами, бомбардировочно-штурмовыми ударами уничтожать живую силу и технику противника на северо-восточной и восточной окраинах г. Берлин, обстреливая улицы, дома, создавать панику… Кроме того, 11 гв. шад нанести бомбардировочно-штурмовой удар по Франкфурту н/О» (19522).</w:t>
      </w:r>
    </w:p>
    <w:p w14:paraId="3B4E501F" w14:textId="77777777" w:rsidR="001D1E05" w:rsidRPr="00F90EAE" w:rsidRDefault="001D1E05" w:rsidP="00F90EAE">
      <w:pPr>
        <w:pStyle w:val="ae"/>
        <w:spacing w:before="0" w:after="0"/>
        <w:jc w:val="both"/>
        <w:textAlignment w:val="baseline"/>
        <w:rPr>
          <w:iCs/>
          <w:color w:val="000000" w:themeColor="text1"/>
          <w:sz w:val="16"/>
          <w:szCs w:val="16"/>
          <w:bdr w:val="none" w:sz="0" w:space="0" w:color="auto" w:frame="1"/>
        </w:rPr>
      </w:pPr>
    </w:p>
    <w:p w14:paraId="46648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г. на месте назначения, в Шауляе собрался 118-й полк. Имея 40 самолетов Ил-10, он вошел в 225-ю шад 15-й воздушной армии (10681).</w:t>
      </w:r>
    </w:p>
    <w:p w14:paraId="1AA78C0F" w14:textId="77777777" w:rsidR="00665165" w:rsidRPr="00F90EAE" w:rsidRDefault="00665165" w:rsidP="00F90EAE">
      <w:pPr>
        <w:autoSpaceDE w:val="0"/>
        <w:autoSpaceDN w:val="0"/>
        <w:adjustRightInd w:val="0"/>
        <w:jc w:val="both"/>
        <w:rPr>
          <w:color w:val="000000" w:themeColor="text1"/>
          <w:sz w:val="16"/>
          <w:szCs w:val="16"/>
        </w:rPr>
      </w:pPr>
    </w:p>
    <w:p w14:paraId="28B4E5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апреля 1945 108-й гшап «от</w:t>
      </w:r>
      <w:r w:rsidRPr="00F90EAE">
        <w:rPr>
          <w:color w:val="000000" w:themeColor="text1"/>
          <w:sz w:val="16"/>
          <w:szCs w:val="16"/>
        </w:rPr>
        <w:softHyphen/>
        <w:t>метился» ударом по своим. Восьмерка Ил-10 атаковала войска, двигавшиеся по дороге в районе Шорбуса. В ответ по</w:t>
      </w:r>
      <w:r w:rsidRPr="00F90EAE">
        <w:rPr>
          <w:color w:val="000000" w:themeColor="text1"/>
          <w:sz w:val="16"/>
          <w:szCs w:val="16"/>
        </w:rPr>
        <w:softHyphen/>
        <w:t>летели сигнальные ракеты. Ведущий снизился до бреющего. Оказалось, что войска свои. По счастью, пять экипажей бомб не сбросили, а ведущее звено слегка промазало. Обошлось без жертв.</w:t>
      </w:r>
    </w:p>
    <w:p w14:paraId="3EE5A41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D3FA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апреля 1945 108-й ГШАП «отметился»ударом по своим войскам. В период 10.10 -10.15 группа в соста</w:t>
      </w:r>
      <w:r w:rsidRPr="00F90EAE">
        <w:rPr>
          <w:color w:val="000000" w:themeColor="text1"/>
          <w:sz w:val="16"/>
          <w:szCs w:val="16"/>
        </w:rPr>
        <w:softHyphen/>
        <w:t>ве 8 Ил-10 (ведущий к-н Железняков) атаковала войска в движении на доро</w:t>
      </w:r>
      <w:r w:rsidRPr="00F90EAE">
        <w:rPr>
          <w:color w:val="000000" w:themeColor="text1"/>
          <w:sz w:val="16"/>
          <w:szCs w:val="16"/>
        </w:rPr>
        <w:softHyphen/>
        <w:t>ге в районе Шорбус. В ответ полетели сигнальные ракеты. Железняков сни</w:t>
      </w:r>
      <w:r w:rsidRPr="00F90EAE">
        <w:rPr>
          <w:color w:val="000000" w:themeColor="text1"/>
          <w:sz w:val="16"/>
          <w:szCs w:val="16"/>
        </w:rPr>
        <w:softHyphen/>
        <w:t>зился до бреющего. Оказалось, что вой</w:t>
      </w:r>
      <w:r w:rsidRPr="00F90EAE">
        <w:rPr>
          <w:color w:val="000000" w:themeColor="text1"/>
          <w:sz w:val="16"/>
          <w:szCs w:val="16"/>
        </w:rPr>
        <w:softHyphen/>
        <w:t>ска свои. По счастью, пять экипажей из состава группы бомб не сбросили, а ведущее звено слегка промазало. Обо</w:t>
      </w:r>
      <w:r w:rsidRPr="00F90EAE">
        <w:rPr>
          <w:color w:val="000000" w:themeColor="text1"/>
          <w:sz w:val="16"/>
          <w:szCs w:val="16"/>
        </w:rPr>
        <w:softHyphen/>
        <w:t>шлось без жертв. Станция наведения на запросы ведущего группы не отвечала.</w:t>
      </w:r>
    </w:p>
    <w:p w14:paraId="01399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Установив, что атакованные войска свои, группа прошла на запад в район Кошендорф, но противника не обнару</w:t>
      </w:r>
      <w:r w:rsidRPr="00F90EAE">
        <w:rPr>
          <w:color w:val="000000" w:themeColor="text1"/>
          <w:sz w:val="16"/>
          <w:szCs w:val="16"/>
        </w:rPr>
        <w:softHyphen/>
        <w:t>жила и возвратилась на свой аэродром...(11161).</w:t>
      </w:r>
    </w:p>
    <w:p w14:paraId="1A34DF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96DCE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19 апреля 1945 г. после окончания переучивания в 1-й ЗАБ летный и технический состав 118 гвардейского штурмового полка су</w:t>
      </w:r>
      <w:r w:rsidRPr="00F90EAE">
        <w:rPr>
          <w:color w:val="000000" w:themeColor="text1"/>
          <w:sz w:val="16"/>
          <w:szCs w:val="16"/>
        </w:rPr>
        <w:softHyphen/>
        <w:t>мел собраться на аэродроме г. Шауляй. Полк в составе 40 экипажей и 40 самолетов Ил-10 вошел в состав 225-й ШАД 15 ВА. Сразу же по прибы</w:t>
      </w:r>
      <w:r w:rsidRPr="00F90EAE">
        <w:rPr>
          <w:color w:val="000000" w:themeColor="text1"/>
          <w:sz w:val="16"/>
          <w:szCs w:val="16"/>
        </w:rPr>
        <w:softHyphen/>
        <w:t>тию полка на аэродром г. Шауляй лет</w:t>
      </w:r>
      <w:r w:rsidRPr="00F90EAE">
        <w:rPr>
          <w:color w:val="000000" w:themeColor="text1"/>
          <w:sz w:val="16"/>
          <w:szCs w:val="16"/>
        </w:rPr>
        <w:softHyphen/>
        <w:t>ный состав приступил к интенсивной учебно-боевой подготовке по програм</w:t>
      </w:r>
      <w:r w:rsidRPr="00F90EAE">
        <w:rPr>
          <w:color w:val="000000" w:themeColor="text1"/>
          <w:sz w:val="16"/>
          <w:szCs w:val="16"/>
        </w:rPr>
        <w:softHyphen/>
        <w:t>ме, утвержденной лично командиром 225-й ШАД полковником Корнуковым. К началу боевых действий из общего числа имевшихся ъ наличии экипажей только 4 экипажа не закончили про</w:t>
      </w:r>
      <w:r w:rsidRPr="00F90EAE">
        <w:rPr>
          <w:color w:val="000000" w:themeColor="text1"/>
          <w:sz w:val="16"/>
          <w:szCs w:val="16"/>
        </w:rPr>
        <w:softHyphen/>
        <w:t>грамму по вводу в бой. Остальные эки</w:t>
      </w:r>
      <w:r w:rsidRPr="00F90EAE">
        <w:rPr>
          <w:color w:val="000000" w:themeColor="text1"/>
          <w:sz w:val="16"/>
          <w:szCs w:val="16"/>
        </w:rPr>
        <w:softHyphen/>
        <w:t>пажи могли выполнять боевые задания днем в простых метеоусловиях (11161).</w:t>
      </w:r>
    </w:p>
    <w:p w14:paraId="049F48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DA5E56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апреля 1945 советские войска прорвали 1-ю полосу немецкого одерско-нейсенского рубежа обороны в Германии, форсировали Ост-Одер и вышли к Вест-Одеру (4963 ).</w:t>
      </w:r>
    </w:p>
    <w:p w14:paraId="105F619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62E98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апреля 1945 г. с 20.10 до 20.50 авиация противника произ</w:t>
      </w:r>
      <w:r w:rsidRPr="00F90EAE">
        <w:rPr>
          <w:color w:val="000000" w:themeColor="text1"/>
          <w:sz w:val="16"/>
          <w:szCs w:val="16"/>
        </w:rPr>
        <w:softHyphen/>
        <w:t>вела налет на переправы и железно</w:t>
      </w:r>
      <w:r w:rsidRPr="00F90EAE">
        <w:rPr>
          <w:color w:val="000000" w:themeColor="text1"/>
          <w:sz w:val="16"/>
          <w:szCs w:val="16"/>
        </w:rPr>
        <w:softHyphen/>
        <w:t>дорожный мост через р. Одер у насе</w:t>
      </w:r>
      <w:r w:rsidRPr="00F90EAE">
        <w:rPr>
          <w:color w:val="000000" w:themeColor="text1"/>
          <w:sz w:val="16"/>
          <w:szCs w:val="16"/>
        </w:rPr>
        <w:softHyphen/>
        <w:t>ленного пункта Штейнау. В налете уча</w:t>
      </w:r>
      <w:r w:rsidRPr="00F90EAE">
        <w:rPr>
          <w:color w:val="000000" w:themeColor="text1"/>
          <w:sz w:val="16"/>
          <w:szCs w:val="16"/>
        </w:rPr>
        <w:softHyphen/>
        <w:t>ствовало 4 Ю-88 и 3 ФВ-190, причем лишь один Ю-88 действовал самосто</w:t>
      </w:r>
      <w:r w:rsidRPr="00F90EAE">
        <w:rPr>
          <w:color w:val="000000" w:themeColor="text1"/>
          <w:sz w:val="16"/>
          <w:szCs w:val="16"/>
        </w:rPr>
        <w:softHyphen/>
        <w:t>ятельно как бомбардировщик, а три шли «спаренными» с ФВ-190. Встречен</w:t>
      </w:r>
      <w:r w:rsidRPr="00F90EAE">
        <w:rPr>
          <w:color w:val="000000" w:themeColor="text1"/>
          <w:sz w:val="16"/>
          <w:szCs w:val="16"/>
        </w:rPr>
        <w:softHyphen/>
        <w:t>ные сильным зенитным огнем «спарки» расчленялись, истребители ФВ-190 «снимались» с Ю-88 и с разворотом уходили от зоны огня. Ю-88 входили в пикирование, падали и взрывались. Как оказалось, они применялись без эки</w:t>
      </w:r>
      <w:r w:rsidRPr="00F90EAE">
        <w:rPr>
          <w:color w:val="000000" w:themeColor="text1"/>
          <w:sz w:val="16"/>
          <w:szCs w:val="16"/>
        </w:rPr>
        <w:softHyphen/>
        <w:t>пажей как бомбы, их фюзеляжи были наполнены взрывчатым веществом. На месте падения на берегу обнаружена воронка диаметром 10 м, глубиной 4 м, разбитые части моторов, фюзеля</w:t>
      </w:r>
      <w:r w:rsidRPr="00F90EAE">
        <w:rPr>
          <w:color w:val="000000" w:themeColor="text1"/>
          <w:sz w:val="16"/>
          <w:szCs w:val="16"/>
        </w:rPr>
        <w:softHyphen/>
        <w:t>жа и шасси. Зенитчиками сбиты три Ю-88 и один ФВ-190. Объекты не по</w:t>
      </w:r>
      <w:r w:rsidRPr="00F90EAE">
        <w:rPr>
          <w:color w:val="000000" w:themeColor="text1"/>
          <w:sz w:val="16"/>
          <w:szCs w:val="16"/>
        </w:rPr>
        <w:softHyphen/>
        <w:t>страдали, жертв не было. Всего в апреле 1945 г. было отмече</w:t>
      </w:r>
      <w:r w:rsidRPr="00F90EAE">
        <w:rPr>
          <w:color w:val="000000" w:themeColor="text1"/>
          <w:sz w:val="16"/>
          <w:szCs w:val="16"/>
        </w:rPr>
        <w:softHyphen/>
        <w:t>но 14 случаев сбрасывания «самоле</w:t>
      </w:r>
      <w:r w:rsidRPr="00F90EAE">
        <w:rPr>
          <w:color w:val="000000" w:themeColor="text1"/>
          <w:sz w:val="16"/>
          <w:szCs w:val="16"/>
        </w:rPr>
        <w:softHyphen/>
        <w:t>тов-бомб» Ю-88 на наши переправы (10791).</w:t>
      </w:r>
    </w:p>
    <w:p w14:paraId="349FE8EA" w14:textId="77777777" w:rsidR="00665165" w:rsidRPr="00F90EAE" w:rsidRDefault="00665165" w:rsidP="00F90EAE">
      <w:pPr>
        <w:autoSpaceDE w:val="0"/>
        <w:autoSpaceDN w:val="0"/>
        <w:adjustRightInd w:val="0"/>
        <w:jc w:val="both"/>
        <w:rPr>
          <w:color w:val="000000" w:themeColor="text1"/>
          <w:sz w:val="16"/>
          <w:szCs w:val="16"/>
        </w:rPr>
      </w:pPr>
    </w:p>
    <w:p w14:paraId="75B72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360-й Гв. ТСАП в Берлинской операции поддерживал наступление 388-й стрелковой дивизии. Части дивизии овладели одной из рощ восточнее Лихтенберга где и закрепились. На другой день противник, силою до полка пехоты при поддержке 15 танков начал контратаковать. При отражении атак в течение дня огнем тяжелых САУ было уничтожено 10 немецких танков и до 300 солдат и офицеров. (3862).</w:t>
      </w:r>
    </w:p>
    <w:p w14:paraId="0E045914" w14:textId="77777777" w:rsidR="00665165" w:rsidRPr="00F90EAE" w:rsidRDefault="00665165" w:rsidP="00F90EAE">
      <w:pPr>
        <w:autoSpaceDE w:val="0"/>
        <w:autoSpaceDN w:val="0"/>
        <w:adjustRightInd w:val="0"/>
        <w:jc w:val="both"/>
        <w:rPr>
          <w:color w:val="000000" w:themeColor="text1"/>
          <w:sz w:val="16"/>
          <w:szCs w:val="16"/>
        </w:rPr>
      </w:pPr>
    </w:p>
    <w:p w14:paraId="57DA17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3 чехословацкий шап выполнил 7 заданий по скоплениям войск в районе Zabrlkov, Kopytov, Novy Bihumin. В одном из боев один Ил-2 был сбит (241,39).</w:t>
      </w:r>
    </w:p>
    <w:p w14:paraId="64B23B50" w14:textId="77777777" w:rsidR="00665165" w:rsidRPr="00F90EAE" w:rsidRDefault="00665165" w:rsidP="00F90EAE">
      <w:pPr>
        <w:autoSpaceDE w:val="0"/>
        <w:autoSpaceDN w:val="0"/>
        <w:adjustRightInd w:val="0"/>
        <w:jc w:val="both"/>
        <w:rPr>
          <w:color w:val="000000" w:themeColor="text1"/>
          <w:sz w:val="16"/>
          <w:szCs w:val="16"/>
        </w:rPr>
      </w:pPr>
    </w:p>
    <w:p w14:paraId="249A48C0" w14:textId="77777777" w:rsidR="00EB192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DE5BBAD" w14:textId="77777777" w:rsidR="00EB192F" w:rsidRPr="00F90EAE" w:rsidRDefault="00EB192F" w:rsidP="00F90EAE">
      <w:pPr>
        <w:autoSpaceDE w:val="0"/>
        <w:autoSpaceDN w:val="0"/>
        <w:adjustRightInd w:val="0"/>
        <w:jc w:val="both"/>
        <w:rPr>
          <w:iCs/>
          <w:color w:val="000000" w:themeColor="text1"/>
          <w:sz w:val="16"/>
          <w:szCs w:val="16"/>
        </w:rPr>
      </w:pPr>
    </w:p>
    <w:p w14:paraId="015DB218" w14:textId="77777777" w:rsidR="00EB192F" w:rsidRPr="00F90EAE" w:rsidRDefault="00EB192F" w:rsidP="00F90EAE">
      <w:pPr>
        <w:jc w:val="both"/>
        <w:rPr>
          <w:color w:val="000000" w:themeColor="text1"/>
          <w:sz w:val="16"/>
          <w:szCs w:val="16"/>
        </w:rPr>
      </w:pPr>
      <w:r w:rsidRPr="00F90EAE">
        <w:rPr>
          <w:color w:val="000000" w:themeColor="text1"/>
          <w:sz w:val="16"/>
          <w:szCs w:val="16"/>
        </w:rPr>
        <w:t>19 апреля в 1945 году архиепископ Армянской Апостольской Церкви Геворк Чорекчьян встретился со Сталиным и представил главе СССР список просьб, среди которых: открыть новые армянские церкви, обеспечить их валютными счетами, расширить связи с армянской диаспорой и т.д (15104).</w:t>
      </w:r>
    </w:p>
    <w:p w14:paraId="0285F8D2" w14:textId="77777777" w:rsidR="00EB192F" w:rsidRPr="00F90EAE" w:rsidRDefault="00EB192F" w:rsidP="00F90EAE">
      <w:pPr>
        <w:jc w:val="both"/>
        <w:rPr>
          <w:color w:val="000000" w:themeColor="text1"/>
          <w:sz w:val="16"/>
          <w:szCs w:val="16"/>
        </w:rPr>
      </w:pPr>
    </w:p>
    <w:p w14:paraId="68A7494F" w14:textId="77777777" w:rsidR="00A350B4" w:rsidRPr="00F90EAE" w:rsidRDefault="00A350B4" w:rsidP="00F90EAE">
      <w:pPr>
        <w:jc w:val="both"/>
        <w:rPr>
          <w:color w:val="000000" w:themeColor="text1"/>
          <w:sz w:val="16"/>
          <w:szCs w:val="16"/>
        </w:rPr>
      </w:pPr>
      <w:r w:rsidRPr="00F90EAE">
        <w:rPr>
          <w:color w:val="000000" w:themeColor="text1"/>
          <w:sz w:val="16"/>
          <w:szCs w:val="16"/>
        </w:rPr>
        <w:t>19 апреля 1945 года.</w:t>
      </w:r>
      <w:r w:rsidRPr="00F90EAE">
        <w:rPr>
          <w:bCs/>
          <w:color w:val="000000" w:themeColor="text1"/>
          <w:sz w:val="16"/>
          <w:szCs w:val="16"/>
        </w:rPr>
        <w:t xml:space="preserve"> Москва. СССР. Армянский архиепископ Геворк Чорекчьян, используя связи в высших коридорах власти Советского Союза члена армянской террористической организации “Дашнакцутюн” Анастаса Микояна, встретился со Сталиным. Армянский священник представил главе коммунистического режима список просьб, среди которых: открыть новые армянские церкви, обеспечить их валютными счетами, расширить связи с армянской диаспорой и т.д. Просьба по тем временам, когда главенствовал воинствующий атеизм, не укладывалась в рамки официальной политики, проводимой государством в отношении религий: христианской православной, христианской католической, мусульманской, иудаизма и других конфессий. По необъяснимым причинам А. Микояну удалось заставить Сталина пойти против собственной же линии и пообещать выполнить все просьбы архиепископа (17459).</w:t>
      </w:r>
    </w:p>
    <w:p w14:paraId="74B449CD" w14:textId="77777777" w:rsidR="00A350B4" w:rsidRPr="00F90EAE" w:rsidRDefault="00A350B4" w:rsidP="00F90EAE">
      <w:pPr>
        <w:jc w:val="both"/>
        <w:rPr>
          <w:color w:val="000000" w:themeColor="text1"/>
          <w:sz w:val="16"/>
          <w:szCs w:val="16"/>
        </w:rPr>
      </w:pPr>
    </w:p>
    <w:p w14:paraId="438036D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8C5534A" w14:textId="77777777" w:rsidR="00665165" w:rsidRPr="00F90EAE" w:rsidRDefault="00665165" w:rsidP="00F90EAE">
      <w:pPr>
        <w:autoSpaceDE w:val="0"/>
        <w:autoSpaceDN w:val="0"/>
        <w:adjustRightInd w:val="0"/>
        <w:jc w:val="both"/>
        <w:rPr>
          <w:iCs/>
          <w:color w:val="000000" w:themeColor="text1"/>
          <w:sz w:val="16"/>
          <w:szCs w:val="16"/>
        </w:rPr>
      </w:pPr>
    </w:p>
    <w:p w14:paraId="35190EA8" w14:textId="77777777" w:rsidR="00EB192F" w:rsidRPr="00F90EAE" w:rsidRDefault="00EB192F" w:rsidP="00F90EAE">
      <w:pPr>
        <w:jc w:val="both"/>
        <w:rPr>
          <w:color w:val="000000" w:themeColor="text1"/>
          <w:sz w:val="16"/>
          <w:szCs w:val="16"/>
        </w:rPr>
      </w:pPr>
      <w:r w:rsidRPr="00F90EAE">
        <w:rPr>
          <w:color w:val="000000" w:themeColor="text1"/>
          <w:sz w:val="16"/>
          <w:szCs w:val="16"/>
        </w:rPr>
        <w:t>19 апреля в 1945 году впервые полетел переоборудованный в палубный многоцелевой истребитель "Хорнет" «D.H.103» - «Hornet» «F.Мк.I.» 2 октября его показали прессе в числе новых самолетов, поступавших на вооружение английского флота. Рядом стоял "Хорнет" со сложенными крыльями, а третий прототип к тому времени уже летал с палубы авианосца "Океан". В конце 1944-го четыре "Хорнета" «F.Мк.I» переоборудовали фирмой Гестон Эйркрафт в морские истребители-бомбардировщики. Самолеты, как и положено палубным, получили складывающееся крыло, тормозной гак под задней частью фюзеляжа, усиленные стойки шасси, специальную систему ремней на кресле пилота и "морское" радиооборудование (15104).</w:t>
      </w:r>
    </w:p>
    <w:p w14:paraId="1D541588" w14:textId="77777777" w:rsidR="00EB192F" w:rsidRPr="00F90EAE" w:rsidRDefault="00EB192F" w:rsidP="00F90EAE">
      <w:pPr>
        <w:jc w:val="both"/>
        <w:rPr>
          <w:color w:val="000000" w:themeColor="text1"/>
          <w:sz w:val="16"/>
          <w:szCs w:val="16"/>
        </w:rPr>
      </w:pPr>
    </w:p>
    <w:p w14:paraId="45BFF6D9" w14:textId="77777777" w:rsidR="00DE5890" w:rsidRPr="00F90EAE" w:rsidRDefault="00DE5890" w:rsidP="00F90EAE">
      <w:pPr>
        <w:jc w:val="both"/>
        <w:rPr>
          <w:color w:val="0070C0"/>
          <w:sz w:val="16"/>
          <w:szCs w:val="16"/>
        </w:rPr>
      </w:pPr>
      <w:r w:rsidRPr="00F90EAE">
        <w:rPr>
          <w:color w:val="0070C0"/>
          <w:sz w:val="16"/>
          <w:szCs w:val="16"/>
        </w:rPr>
        <w:t>19 апреля 1945 первый полет прототипа PX212 компании de Havilland Sea Hornet (20371).</w:t>
      </w:r>
    </w:p>
    <w:p w14:paraId="706DC7FC" w14:textId="77777777" w:rsidR="00DE5890" w:rsidRPr="00F90EAE" w:rsidRDefault="00DE5890" w:rsidP="00F90EAE">
      <w:pPr>
        <w:jc w:val="both"/>
        <w:rPr>
          <w:color w:val="0070C0"/>
          <w:sz w:val="16"/>
          <w:szCs w:val="16"/>
        </w:rPr>
      </w:pPr>
    </w:p>
    <w:p w14:paraId="4124F9C5" w14:textId="77777777" w:rsidR="00DE5890" w:rsidRPr="00F90EAE" w:rsidRDefault="00DE5890" w:rsidP="00F90EAE">
      <w:pPr>
        <w:jc w:val="both"/>
        <w:rPr>
          <w:color w:val="0070C0"/>
          <w:sz w:val="16"/>
          <w:szCs w:val="16"/>
          <w:shd w:val="clear" w:color="auto" w:fill="FFFFFF"/>
        </w:rPr>
      </w:pPr>
      <w:r w:rsidRPr="00F90EAE">
        <w:rPr>
          <w:color w:val="0070C0"/>
          <w:sz w:val="16"/>
          <w:szCs w:val="16"/>
        </w:rPr>
        <w:t>До 19 апреля 1945 г. продолжался выпуск Ме-262, завершившись постройкой 1 433 самолетов различных модификаций (22776).</w:t>
      </w:r>
    </w:p>
    <w:p w14:paraId="428EE08B" w14:textId="77777777" w:rsidR="00DE5890" w:rsidRPr="00F90EAE" w:rsidRDefault="00DE5890" w:rsidP="00F90EAE">
      <w:pPr>
        <w:jc w:val="both"/>
        <w:rPr>
          <w:color w:val="0070C0"/>
          <w:sz w:val="16"/>
          <w:szCs w:val="16"/>
          <w:shd w:val="clear" w:color="auto" w:fill="FFFFFF"/>
        </w:rPr>
      </w:pPr>
    </w:p>
    <w:p w14:paraId="3DCAB55C" w14:textId="77777777" w:rsidR="00EB192F" w:rsidRPr="00F90EAE" w:rsidRDefault="00EB192F" w:rsidP="00F90EAE">
      <w:pPr>
        <w:jc w:val="both"/>
        <w:rPr>
          <w:color w:val="000000" w:themeColor="text1"/>
          <w:sz w:val="16"/>
          <w:szCs w:val="16"/>
        </w:rPr>
      </w:pPr>
      <w:r w:rsidRPr="00F90EAE">
        <w:rPr>
          <w:color w:val="000000" w:themeColor="text1"/>
          <w:sz w:val="16"/>
          <w:szCs w:val="16"/>
        </w:rPr>
        <w:t xml:space="preserve">19 апреля в 1945 году несколько «Не-162А-2» из I/JG1 поднялись с аэродрома Лекк, чтобы перехватить истребители-бомбардировщики союзников, появившиеся над Шлезвиг-Гольштейном. Вероятно, именно во время этого вылета была одержана первая победа на «Не-162», когда фельдфебель Гюнтер Кирхнер (Gunter Kirchner) сообщил по радио, что сбил английский истребитель. Во всяком случае, один из английских пилотов, сбитых и попавших в плен в тот день, утверждал, что был сбит </w:t>
      </w:r>
      <w:r w:rsidRPr="00F90EAE">
        <w:rPr>
          <w:color w:val="000000" w:themeColor="text1"/>
          <w:sz w:val="16"/>
          <w:szCs w:val="16"/>
        </w:rPr>
        <w:lastRenderedPageBreak/>
        <w:t>небольшим реактивным истребителем. Сам Кирхнер уточнить обстоятельства своей победы не смог, поскольку уже через несколько минут сам был сбит американским «Р-47» и погиб. Он стал единственным пилотом JG1, погибшим в бою на «Не-162». Как дельфин напоминаю, что серийная модификация «Не-162А-2» вооружалась 20-мм пушками «MG-151», а в конце войны появилась модификация «Не-162А-3», с усиленной носовой частью, на которой вновь, как на «Не-162А-1», были установлены 30-мм пушки «МК-108» (15104).</w:t>
      </w:r>
    </w:p>
    <w:p w14:paraId="249C51AE" w14:textId="77777777" w:rsidR="00EB192F" w:rsidRPr="00F90EAE" w:rsidRDefault="00EB192F" w:rsidP="00F90EAE">
      <w:pPr>
        <w:jc w:val="both"/>
        <w:rPr>
          <w:color w:val="000000" w:themeColor="text1"/>
          <w:sz w:val="16"/>
          <w:szCs w:val="16"/>
        </w:rPr>
      </w:pPr>
    </w:p>
    <w:p w14:paraId="1BF6501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апреля 1945 американские войска освободили от фашистов Лейпциг (4962).</w:t>
      </w:r>
    </w:p>
    <w:p w14:paraId="536B279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DAD6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союзниками был освобожден концлагерь Бухенвальд (2248,5).</w:t>
      </w:r>
    </w:p>
    <w:p w14:paraId="76687AE2" w14:textId="77777777" w:rsidR="00665165" w:rsidRPr="00F90EAE" w:rsidRDefault="00665165" w:rsidP="00F90EAE">
      <w:pPr>
        <w:autoSpaceDE w:val="0"/>
        <w:autoSpaceDN w:val="0"/>
        <w:adjustRightInd w:val="0"/>
        <w:jc w:val="both"/>
        <w:rPr>
          <w:color w:val="000000" w:themeColor="text1"/>
          <w:sz w:val="16"/>
          <w:szCs w:val="16"/>
        </w:rPr>
      </w:pPr>
    </w:p>
    <w:p w14:paraId="213F2A3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19th, 1945: The US Ninth Army captures Leipzig. In the East, the Red Army breaks through the German defenses both N and S of Frankfurt, and despite heavy losses in men and tanks (over 400 in two days), continues to advance toward Berlin. On the eve of Hitler's 56th birthday, Dr. Goebbels exhorts the nation and predicts that in spite of all misfortunes Germany will yet prevail, that the "perverse coalition between Bolshevism and Plutocracy" is about to break up, and that it is Adolf Hitler ("Our Hitler!") who will still turn back the tide and save Europe, as he has thus far, from falling into the clutches of the Kremlin (3819).</w:t>
      </w:r>
    </w:p>
    <w:p w14:paraId="0F441CA3" w14:textId="77777777" w:rsidR="00665165" w:rsidRPr="00F90EAE" w:rsidRDefault="00665165" w:rsidP="00F90EAE">
      <w:pPr>
        <w:autoSpaceDE w:val="0"/>
        <w:autoSpaceDN w:val="0"/>
        <w:adjustRightInd w:val="0"/>
        <w:jc w:val="both"/>
        <w:rPr>
          <w:color w:val="000000" w:themeColor="text1"/>
          <w:sz w:val="16"/>
          <w:szCs w:val="16"/>
          <w:lang w:val="en-US"/>
        </w:rPr>
      </w:pPr>
    </w:p>
    <w:p w14:paraId="430B4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апреля 1945 9А США заняла Лейпциг. КА прорвалась через немецкую оборону с юга и севера от Франкфурта и несмотря на тяжелые потери в живой силе и технике (400 т) продолжили наступление на Берлин (3819).</w:t>
      </w:r>
    </w:p>
    <w:p w14:paraId="23D7907C" w14:textId="77777777" w:rsidR="00665165" w:rsidRPr="00F90EAE" w:rsidRDefault="00665165" w:rsidP="00F90EAE">
      <w:pPr>
        <w:autoSpaceDE w:val="0"/>
        <w:autoSpaceDN w:val="0"/>
        <w:adjustRightInd w:val="0"/>
        <w:jc w:val="both"/>
        <w:rPr>
          <w:color w:val="000000" w:themeColor="text1"/>
          <w:sz w:val="16"/>
          <w:szCs w:val="16"/>
        </w:rPr>
      </w:pPr>
    </w:p>
    <w:p w14:paraId="1FCE9BE6" w14:textId="77777777" w:rsidR="00902F85" w:rsidRPr="00F90EAE" w:rsidRDefault="00902F85" w:rsidP="00F90EAE">
      <w:pPr>
        <w:jc w:val="both"/>
        <w:rPr>
          <w:bCs/>
          <w:color w:val="000000" w:themeColor="text1"/>
          <w:sz w:val="16"/>
          <w:szCs w:val="16"/>
        </w:rPr>
      </w:pPr>
      <w:r w:rsidRPr="00F90EAE">
        <w:rPr>
          <w:color w:val="000000" w:themeColor="text1"/>
          <w:sz w:val="16"/>
          <w:szCs w:val="16"/>
        </w:rPr>
        <w:t>19 и 21 апреля 1945 г.</w:t>
      </w:r>
      <w:r w:rsidRPr="00F90EAE">
        <w:rPr>
          <w:bCs/>
          <w:color w:val="000000" w:themeColor="text1"/>
          <w:sz w:val="16"/>
          <w:szCs w:val="16"/>
        </w:rPr>
        <w:t xml:space="preserve"> Гиммлер обратился к Англии и США с предложением о капитуляции немецко-фашистских войск на западе. Предложение было сделано в Стокгольме устно графу Бернадотту, который являлся заместителем председателя шведского общества Красного Креста. Союзники не отвергли предложений, но дали понять, что примут такую капитуляцию лишь совместно с СССР. В тот же день, 21 апреля, британская и американская военные миссии сообщили советскому Генеральному штабу, что в ближайшем будущем возможна безоговорочная капитуляция крупных сил противника на любом из участков главных фронтов. Они писали: «Начальники объединенного штаба считают, что каждая из главных союзных держав, если она этого пожелает, должна получить возможность послать своих представителей для присутствия на переговорах по поводу любой из подобных капитуляций. Однако никакому предложению о сдаче не может быть дано отказа только потому, что будут отсутствовать представители одного из трех союзников…</w:t>
      </w:r>
    </w:p>
    <w:p w14:paraId="543F7888" w14:textId="77777777" w:rsidR="00902F85" w:rsidRPr="00F90EAE" w:rsidRDefault="00902F85" w:rsidP="00F90EAE">
      <w:pPr>
        <w:jc w:val="both"/>
        <w:rPr>
          <w:color w:val="000000" w:themeColor="text1"/>
          <w:sz w:val="16"/>
          <w:szCs w:val="16"/>
        </w:rPr>
      </w:pPr>
      <w:r w:rsidRPr="00F90EAE">
        <w:rPr>
          <w:color w:val="000000" w:themeColor="text1"/>
          <w:sz w:val="16"/>
          <w:szCs w:val="16"/>
        </w:rPr>
        <w:t>Сотрудничество с немцами, пусть и в рамках Красного Креста, привело через 3 года к гибели самого посредника – графа Фолька Бернадотта – он будет убит евреями в Палестине при очередном посредничестве 17 сентября 1948 г.</w:t>
      </w:r>
      <w:r w:rsidRPr="00F90EAE">
        <w:rPr>
          <w:bCs/>
          <w:color w:val="000000" w:themeColor="text1"/>
          <w:sz w:val="16"/>
          <w:szCs w:val="16"/>
        </w:rPr>
        <w:t xml:space="preserve"> (17459).</w:t>
      </w:r>
    </w:p>
    <w:p w14:paraId="21FFD92B" w14:textId="77777777" w:rsidR="00902F85" w:rsidRPr="00F90EAE" w:rsidRDefault="00902F85" w:rsidP="00F90EAE">
      <w:pPr>
        <w:jc w:val="both"/>
        <w:rPr>
          <w:color w:val="000000" w:themeColor="text1"/>
          <w:sz w:val="16"/>
          <w:szCs w:val="16"/>
        </w:rPr>
      </w:pPr>
    </w:p>
    <w:p w14:paraId="6F3AFF57" w14:textId="77777777" w:rsidR="00902F85" w:rsidRPr="00F90EAE" w:rsidRDefault="00902F85" w:rsidP="00F90EAE">
      <w:pPr>
        <w:jc w:val="both"/>
        <w:rPr>
          <w:color w:val="000000" w:themeColor="text1"/>
          <w:sz w:val="16"/>
          <w:szCs w:val="16"/>
        </w:rPr>
      </w:pPr>
      <w:r w:rsidRPr="00F90EAE">
        <w:rPr>
          <w:color w:val="000000" w:themeColor="text1"/>
          <w:sz w:val="16"/>
          <w:szCs w:val="16"/>
        </w:rPr>
        <w:t>Около полуночи с 19 на 20 апреля</w:t>
      </w:r>
      <w:r w:rsidRPr="00F90EAE">
        <w:rPr>
          <w:bCs/>
          <w:color w:val="000000" w:themeColor="text1"/>
          <w:sz w:val="16"/>
          <w:szCs w:val="16"/>
        </w:rPr>
        <w:t xml:space="preserve"> 1945 личный штаб Гитлера приходил к нему с поздравлениями. На этот раз Гитлер заранее предупредил, что не будет принимать поздравлений, А с теми, кто все же пришел, он провел короткое совещание. Во время этого совещания Гитлер внезапно выпрямился, бросил цветные карандаши, его лицо налилось кровью, глаза были широко раскрыты. Отступив на один шаг от стола, он закричал срывающимся голосом: – Ни на что не похоже! В этих условиях я больше не в состоянии командовать! Война проиграна! Но если вы, господа, думаете, что я покину Берлин, то вы глубоко ошибаетесь! Я лучше пущу себе пулю в лоб! (17459).</w:t>
      </w:r>
    </w:p>
    <w:p w14:paraId="456299B3" w14:textId="77777777" w:rsidR="00902F85" w:rsidRPr="00F90EAE" w:rsidRDefault="00902F85" w:rsidP="00F90EAE">
      <w:pPr>
        <w:jc w:val="both"/>
        <w:rPr>
          <w:color w:val="000000" w:themeColor="text1"/>
          <w:sz w:val="16"/>
          <w:szCs w:val="16"/>
        </w:rPr>
      </w:pPr>
    </w:p>
    <w:p w14:paraId="72AF53D9" w14:textId="77777777" w:rsidR="00EB192F" w:rsidRPr="00F90EAE" w:rsidRDefault="00EB192F" w:rsidP="00F90EAE">
      <w:pPr>
        <w:jc w:val="both"/>
        <w:rPr>
          <w:color w:val="000000" w:themeColor="text1"/>
          <w:sz w:val="16"/>
          <w:szCs w:val="16"/>
        </w:rPr>
      </w:pPr>
      <w:r w:rsidRPr="00F90EAE">
        <w:rPr>
          <w:color w:val="000000" w:themeColor="text1"/>
          <w:sz w:val="16"/>
          <w:szCs w:val="16"/>
        </w:rPr>
        <w:t>19 апреля в 1945 году основана Международная ассоциация воздушного транспорта (ИАТА) (15104).</w:t>
      </w:r>
    </w:p>
    <w:p w14:paraId="4B309448" w14:textId="77777777" w:rsidR="00EB192F" w:rsidRPr="00F90EAE" w:rsidRDefault="00EB192F" w:rsidP="00F90EAE">
      <w:pPr>
        <w:jc w:val="both"/>
        <w:rPr>
          <w:color w:val="000000" w:themeColor="text1"/>
          <w:sz w:val="16"/>
          <w:szCs w:val="16"/>
        </w:rPr>
      </w:pPr>
    </w:p>
    <w:p w14:paraId="4090E46F" w14:textId="77777777" w:rsidR="0021629B" w:rsidRPr="00F90EAE" w:rsidRDefault="0021629B" w:rsidP="00F90EAE">
      <w:pPr>
        <w:jc w:val="both"/>
        <w:rPr>
          <w:color w:val="0070C0"/>
          <w:sz w:val="16"/>
          <w:szCs w:val="16"/>
        </w:rPr>
      </w:pPr>
      <w:r w:rsidRPr="00F90EAE">
        <w:rPr>
          <w:color w:val="0070C0"/>
          <w:sz w:val="16"/>
          <w:szCs w:val="16"/>
        </w:rPr>
        <w:t>19 апреля 1945 в Гаване, Куба, основана Международная ассоциация воздушного транспорта, в которую входят 57 авиакомпаний из 31 страны (20371).</w:t>
      </w:r>
    </w:p>
    <w:p w14:paraId="119846F3" w14:textId="77777777" w:rsidR="0021629B" w:rsidRPr="00F90EAE" w:rsidRDefault="0021629B" w:rsidP="00F90EAE">
      <w:pPr>
        <w:jc w:val="both"/>
        <w:rPr>
          <w:color w:val="0070C0"/>
          <w:sz w:val="16"/>
          <w:szCs w:val="16"/>
        </w:rPr>
      </w:pPr>
    </w:p>
    <w:p w14:paraId="21B5701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899E557" w14:textId="77777777" w:rsidR="00665165" w:rsidRPr="00F90EAE" w:rsidRDefault="00665165" w:rsidP="00F90EAE">
      <w:pPr>
        <w:autoSpaceDE w:val="0"/>
        <w:autoSpaceDN w:val="0"/>
        <w:adjustRightInd w:val="0"/>
        <w:jc w:val="both"/>
        <w:rPr>
          <w:iCs/>
          <w:color w:val="000000" w:themeColor="text1"/>
          <w:sz w:val="16"/>
          <w:szCs w:val="16"/>
        </w:rPr>
      </w:pPr>
    </w:p>
    <w:p w14:paraId="53002348"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По состоянию на 20 апреля 1945 серийный самолет Ил-10 зав. № 1892002, который в течение февраля - апреля 1945 на заводе № 18 проходил испытания на выносливость, налетал 47 ч 43 мин в воздухе и наработал 11 ч 47 мин, передвигаясь по аэродрому. Мотор АМ-42 № 451065, «установленный на самолет вместо снятого и отправленного на завод № 24 для установки причин появления стружки в маслофильтре мотора АМ № 45515», наработал 19 ч 02 мин в воздухе и 8 ч 02 мин - на земле.</w:t>
      </w:r>
    </w:p>
    <w:p w14:paraId="4756517B"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было произведено 157 посадок с нормальным полетным весом, в том числе 87 - нормальных посадок, 25 - на две точки с выпущенными щитками, 25 - «с плюхом» (высоким выравниванием) и 20 - на одну стойку шасси (правую и левую).</w:t>
      </w:r>
    </w:p>
    <w:p w14:paraId="5580AABB"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Выполнено 400 виражей, 200 пикирований и 200 боевых разворотов. При виражах скорость составляла 340-350 км/ч, крен - 60-70°, перегрузка - 2,0-3,5 единицы. Ввод в пикирование осуществлялся на высоте 2500 м, вывод на высоте - 1000 м, скорость при вводе - 270-280 км/ч, на выводе - 540-560 км/ч. Перегрузка на выводе ограничивалась 2,8-3,0 единицы. Набор высоты за один боевой разворот при скорости ввода в маневр 470-490 км/ч и вывода в горизонтальный полет 270 км/ч достигал 800-1000 м. Перегрузка при выполнении маневра не превышала 2,0-2,6 единицы.</w:t>
      </w:r>
    </w:p>
    <w:p w14:paraId="4422B9F9"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Закончен отстрел всего оружия в воздухе: пулеметы ШКАС - левый - 6300, правый - 4705, пушки ВЯ - правая - 1460, левая - 1600, пулемет УБК - 2350 выстрелов.</w:t>
      </w:r>
    </w:p>
    <w:p w14:paraId="034570D5"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20 апреля при посадке на одну стойку на пробеге «срезался болт, соединяющий рычаги, предохраняющие колесо от поворачивания левой ноги». Болт найти не удалось. Причина дефекта осталась невыясненной.</w:t>
      </w:r>
    </w:p>
    <w:p w14:paraId="1A065A06"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В ряду основных дефектов самолета зав. № 1892002 отмечалось появление течи масла и бензина из всех соединений моторных агрегатов и масла из-под штуцера левого маслобака. В полете произошло отсоединение тяги нормального газа. Самолет сел на вынужденную посадку без поломок.</w:t>
      </w:r>
    </w:p>
    <w:p w14:paraId="00B845F8"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По итогам испытаний был усилен контроль при монтажах бензо - и маслопроводки. Контровку керном болта четырехзвенника тяги нормального газа заменили шплинтом (17490).</w:t>
      </w:r>
    </w:p>
    <w:p w14:paraId="3860DE89" w14:textId="77777777" w:rsidR="006E65ED" w:rsidRPr="00F90EAE" w:rsidRDefault="006E65ED" w:rsidP="00F90EAE">
      <w:pPr>
        <w:jc w:val="both"/>
        <w:rPr>
          <w:color w:val="000000" w:themeColor="text1"/>
          <w:sz w:val="16"/>
          <w:szCs w:val="16"/>
        </w:rPr>
      </w:pPr>
    </w:p>
    <w:p w14:paraId="77460462"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К 20 апреля 1945 новый вариант всасывающего патрубка был смонтирован на Ил-10 зав. № 1890404 и с положительным результатом испытан на земле и в воздухе.</w:t>
      </w:r>
    </w:p>
    <w:p w14:paraId="54232E5E"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64B6B545"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закрытые сеткой «Дельбак» в один слой.</w:t>
      </w:r>
    </w:p>
    <w:p w14:paraId="50551233"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AA80B36" w14:textId="77777777" w:rsidR="006E65ED" w:rsidRPr="00F90EAE" w:rsidRDefault="006E65ED"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4BC30AE8" w14:textId="77777777" w:rsidR="006E65ED" w:rsidRPr="00F90EAE" w:rsidRDefault="006E65ED" w:rsidP="00F90EAE">
      <w:pPr>
        <w:jc w:val="both"/>
        <w:rPr>
          <w:rStyle w:val="107"/>
          <w:rFonts w:eastAsiaTheme="minorHAnsi"/>
          <w:color w:val="000000" w:themeColor="text1"/>
          <w:sz w:val="16"/>
          <w:szCs w:val="16"/>
        </w:rPr>
      </w:pPr>
    </w:p>
    <w:p w14:paraId="14863C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20 апреля 1945 на серийный самолет Ил-10.(зав. № 1890404) был смонтирован всасывающий патрубок с воздухоочиститель</w:t>
      </w:r>
      <w:r w:rsidRPr="00F90EAE">
        <w:rPr>
          <w:color w:val="000000" w:themeColor="text1"/>
          <w:sz w:val="16"/>
          <w:szCs w:val="16"/>
        </w:rPr>
        <w:softHyphen/>
        <w:t>ным фильтром кассетной конструкции с сеткой типа «Дельбак» заводского варианта установки.</w:t>
      </w:r>
    </w:p>
    <w:p w14:paraId="7CCCBD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Всасывающий патрубок с пылефильтром состоял из собст</w:t>
      </w:r>
      <w:r w:rsidRPr="00F90EAE">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F90EAE">
        <w:rPr>
          <w:color w:val="000000" w:themeColor="text1"/>
          <w:sz w:val="16"/>
          <w:szCs w:val="16"/>
        </w:rPr>
        <w:softHyphen/>
        <w:t>татель. При выпуске шасси заслонка поворачивается, перекры</w:t>
      </w:r>
      <w:r w:rsidRPr="00F90EAE">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F90EAE">
        <w:rPr>
          <w:color w:val="000000" w:themeColor="text1"/>
          <w:sz w:val="16"/>
          <w:szCs w:val="16"/>
        </w:rPr>
        <w:softHyphen/>
        <w:t>вающий патрубок снизу.</w:t>
      </w:r>
    </w:p>
    <w:p w14:paraId="5580ED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завершились к началу мая. Мотор на всех ре</w:t>
      </w:r>
      <w:r w:rsidRPr="00F90EAE">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F90EAE">
        <w:rPr>
          <w:color w:val="000000" w:themeColor="text1"/>
          <w:sz w:val="16"/>
          <w:szCs w:val="16"/>
        </w:rPr>
        <w:softHyphen/>
        <w:t>ла 525 км/ч, а на высоте 2500 м — 475 км/ч (11474,514).</w:t>
      </w:r>
    </w:p>
    <w:p w14:paraId="4E22AA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F59F2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20 апреля 1945 состояние опытного строительства на заводе № 81 было следующим:</w:t>
      </w:r>
    </w:p>
    <w:p w14:paraId="43E7F4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АШ-82ФН с 2 пушками НС-23 - летные испытания закончены. После устранения мелких дефектов с-т будет направлен в ГК НИИ ВВС (738,36).</w:t>
      </w:r>
    </w:p>
    <w:p w14:paraId="348BC410" w14:textId="77777777" w:rsidR="00665165" w:rsidRPr="00F90EAE" w:rsidRDefault="00665165" w:rsidP="00F90EAE">
      <w:pPr>
        <w:widowControl w:val="0"/>
        <w:autoSpaceDE w:val="0"/>
        <w:autoSpaceDN w:val="0"/>
        <w:adjustRightInd w:val="0"/>
        <w:jc w:val="both"/>
        <w:rPr>
          <w:color w:val="000000" w:themeColor="text1"/>
          <w:sz w:val="16"/>
          <w:szCs w:val="16"/>
        </w:rPr>
      </w:pPr>
    </w:p>
    <w:p w14:paraId="70ED6C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года приказом НКАП за № 151сс завод № 25 был реорганизован в ОКБ завода № 150.</w:t>
      </w:r>
    </w:p>
    <w:p w14:paraId="5F556C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конструктором ОКБ завода № 150 был назначен Жданов К.И.</w:t>
      </w:r>
    </w:p>
    <w:p w14:paraId="6B317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При заводе № 150 ОКБ находилось всего 11 месяцев, так как ввиду возросшего объема опытных работ – необходимости создания воздушных винтов к мощным моторам для самолетов дальнего действия, нужно было создать самостоятельную современную производственную экспериментальную базу отечественного винтостроения.</w:t>
      </w:r>
    </w:p>
    <w:p w14:paraId="636801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базе ОКБ завода № 150 приказом МАП за № 155сс от 25 марта 1946 года ОКБ было реорганизовано в опытный завод № 120. Директором и гл. конструктором опытного завода № 120 был назначен Жданов К.И.</w:t>
      </w:r>
    </w:p>
    <w:p w14:paraId="28021B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приказа МАП № 417сс от 17 июня 1946 года, на базе опытного завода № 120 были созданы серийный завод № 120 по изготовлению воздушных винтов и ОКБ завода № 120 по проектированию и изготовлению новых опытных образцов воздушных винтов. Гл. конструктором ОКБ завода № 120 был назначен Жданов К.И.</w:t>
      </w:r>
    </w:p>
    <w:p w14:paraId="73E7C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от 26 июня 1957 года № 713-342 и приказа МАП от 20 августа 1957 года № 544 ОКБ завода № 120 реорганизовано в самостоятельную уставную организацию и является Государственным союзным ОКБ № 120 ГК СМ по авиационной технике.</w:t>
      </w:r>
    </w:p>
    <w:p w14:paraId="1D064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период существования с 1 августа 1938 года до 1 января 1959 года ОКБ № 120 были созданы и переданы в серийное производство следующие основные образцы воздушных винтов: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561F31" w:rsidRPr="00F90EAE" w14:paraId="79F79937" w14:textId="77777777">
        <w:tc>
          <w:tcPr>
            <w:tcW w:w="3868" w:type="dxa"/>
          </w:tcPr>
          <w:p w14:paraId="14F4E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самолета</w:t>
            </w:r>
          </w:p>
        </w:tc>
        <w:tc>
          <w:tcPr>
            <w:tcW w:w="3868" w:type="dxa"/>
          </w:tcPr>
          <w:p w14:paraId="134567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Шифр винта</w:t>
            </w:r>
          </w:p>
        </w:tc>
        <w:tc>
          <w:tcPr>
            <w:tcW w:w="3868" w:type="dxa"/>
          </w:tcPr>
          <w:p w14:paraId="68A76C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Год передачи в серийное производство</w:t>
            </w:r>
          </w:p>
        </w:tc>
      </w:tr>
      <w:tr w:rsidR="00561F31" w:rsidRPr="00F90EAE" w14:paraId="25B5857C" w14:textId="77777777">
        <w:tc>
          <w:tcPr>
            <w:tcW w:w="3868" w:type="dxa"/>
          </w:tcPr>
          <w:p w14:paraId="2ABDCA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И-15</w:t>
            </w:r>
          </w:p>
        </w:tc>
        <w:tc>
          <w:tcPr>
            <w:tcW w:w="3868" w:type="dxa"/>
          </w:tcPr>
          <w:p w14:paraId="4E085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АВ-1</w:t>
            </w:r>
          </w:p>
        </w:tc>
        <w:tc>
          <w:tcPr>
            <w:tcW w:w="3868" w:type="dxa"/>
          </w:tcPr>
          <w:p w14:paraId="306820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w:t>
            </w:r>
          </w:p>
        </w:tc>
      </w:tr>
      <w:tr w:rsidR="00561F31" w:rsidRPr="00F90EAE" w14:paraId="70090C7D" w14:textId="77777777">
        <w:tc>
          <w:tcPr>
            <w:tcW w:w="3868" w:type="dxa"/>
          </w:tcPr>
          <w:p w14:paraId="3FCEAB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И-16</w:t>
            </w:r>
          </w:p>
        </w:tc>
        <w:tc>
          <w:tcPr>
            <w:tcW w:w="3868" w:type="dxa"/>
          </w:tcPr>
          <w:p w14:paraId="769EFB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АВ-1</w:t>
            </w:r>
          </w:p>
        </w:tc>
        <w:tc>
          <w:tcPr>
            <w:tcW w:w="3868" w:type="dxa"/>
          </w:tcPr>
          <w:p w14:paraId="4C338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w:t>
            </w:r>
          </w:p>
        </w:tc>
      </w:tr>
      <w:tr w:rsidR="00561F31" w:rsidRPr="00F90EAE" w14:paraId="2CB1177F" w14:textId="77777777">
        <w:tc>
          <w:tcPr>
            <w:tcW w:w="3868" w:type="dxa"/>
          </w:tcPr>
          <w:p w14:paraId="2630FD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3868" w:type="dxa"/>
          </w:tcPr>
          <w:p w14:paraId="408400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ВИШ-23</w:t>
            </w:r>
          </w:p>
        </w:tc>
        <w:tc>
          <w:tcPr>
            <w:tcW w:w="3868" w:type="dxa"/>
          </w:tcPr>
          <w:p w14:paraId="23130B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w:t>
            </w:r>
          </w:p>
        </w:tc>
      </w:tr>
      <w:tr w:rsidR="00561F31" w:rsidRPr="00F90EAE" w14:paraId="63CA061F" w14:textId="77777777">
        <w:tc>
          <w:tcPr>
            <w:tcW w:w="3868" w:type="dxa"/>
          </w:tcPr>
          <w:p w14:paraId="20DF22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3868" w:type="dxa"/>
          </w:tcPr>
          <w:p w14:paraId="2B4DA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ВИШ-21</w:t>
            </w:r>
          </w:p>
        </w:tc>
        <w:tc>
          <w:tcPr>
            <w:tcW w:w="3868" w:type="dxa"/>
          </w:tcPr>
          <w:p w14:paraId="5C3477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w:t>
            </w:r>
          </w:p>
        </w:tc>
      </w:tr>
      <w:tr w:rsidR="00561F31" w:rsidRPr="00F90EAE" w14:paraId="38D1EF99" w14:textId="77777777">
        <w:tc>
          <w:tcPr>
            <w:tcW w:w="3868" w:type="dxa"/>
          </w:tcPr>
          <w:p w14:paraId="5859B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Миг-3</w:t>
            </w:r>
          </w:p>
        </w:tc>
        <w:tc>
          <w:tcPr>
            <w:tcW w:w="3868" w:type="dxa"/>
          </w:tcPr>
          <w:p w14:paraId="061E4F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АВ-5Л-123</w:t>
            </w:r>
          </w:p>
        </w:tc>
        <w:tc>
          <w:tcPr>
            <w:tcW w:w="3868" w:type="dxa"/>
          </w:tcPr>
          <w:p w14:paraId="53ECA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r>
      <w:tr w:rsidR="00561F31" w:rsidRPr="00F90EAE" w14:paraId="7EF59863" w14:textId="77777777">
        <w:tc>
          <w:tcPr>
            <w:tcW w:w="3868" w:type="dxa"/>
          </w:tcPr>
          <w:p w14:paraId="68E19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3868" w:type="dxa"/>
          </w:tcPr>
          <w:p w14:paraId="30A361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АВ-5Л-139</w:t>
            </w:r>
          </w:p>
        </w:tc>
        <w:tc>
          <w:tcPr>
            <w:tcW w:w="3868" w:type="dxa"/>
          </w:tcPr>
          <w:p w14:paraId="06EAF6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r>
      <w:tr w:rsidR="00561F31" w:rsidRPr="00F90EAE" w14:paraId="5D0E7E42" w14:textId="77777777">
        <w:tc>
          <w:tcPr>
            <w:tcW w:w="3868" w:type="dxa"/>
          </w:tcPr>
          <w:p w14:paraId="2EE415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3868" w:type="dxa"/>
          </w:tcPr>
          <w:p w14:paraId="7F172C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АВ-5Л-116</w:t>
            </w:r>
          </w:p>
        </w:tc>
        <w:tc>
          <w:tcPr>
            <w:tcW w:w="3868" w:type="dxa"/>
          </w:tcPr>
          <w:p w14:paraId="371C8B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r>
      <w:tr w:rsidR="00561F31" w:rsidRPr="00F90EAE" w14:paraId="09B6D037" w14:textId="77777777">
        <w:tc>
          <w:tcPr>
            <w:tcW w:w="3868" w:type="dxa"/>
          </w:tcPr>
          <w:p w14:paraId="100E8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3868" w:type="dxa"/>
          </w:tcPr>
          <w:p w14:paraId="186AD4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ВИШ-22Т</w:t>
            </w:r>
          </w:p>
        </w:tc>
        <w:tc>
          <w:tcPr>
            <w:tcW w:w="3868" w:type="dxa"/>
          </w:tcPr>
          <w:p w14:paraId="5567C9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r>
      <w:tr w:rsidR="00561F31" w:rsidRPr="00F90EAE" w14:paraId="4F2F3BF0" w14:textId="77777777">
        <w:tc>
          <w:tcPr>
            <w:tcW w:w="3868" w:type="dxa"/>
          </w:tcPr>
          <w:p w14:paraId="455E8D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3868" w:type="dxa"/>
          </w:tcPr>
          <w:p w14:paraId="576DC2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АВ-5В-167</w:t>
            </w:r>
          </w:p>
        </w:tc>
        <w:tc>
          <w:tcPr>
            <w:tcW w:w="3868" w:type="dxa"/>
          </w:tcPr>
          <w:p w14:paraId="28BBFE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r>
      <w:tr w:rsidR="00561F31" w:rsidRPr="00F90EAE" w14:paraId="771F0177" w14:textId="77777777">
        <w:tc>
          <w:tcPr>
            <w:tcW w:w="3868" w:type="dxa"/>
          </w:tcPr>
          <w:p w14:paraId="621B33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3868" w:type="dxa"/>
          </w:tcPr>
          <w:p w14:paraId="488E5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АВ-5Л-158</w:t>
            </w:r>
          </w:p>
        </w:tc>
        <w:tc>
          <w:tcPr>
            <w:tcW w:w="3868" w:type="dxa"/>
          </w:tcPr>
          <w:p w14:paraId="173C15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r>
      <w:tr w:rsidR="00561F31" w:rsidRPr="00F90EAE" w14:paraId="40A522A1" w14:textId="77777777">
        <w:tc>
          <w:tcPr>
            <w:tcW w:w="3868" w:type="dxa"/>
          </w:tcPr>
          <w:p w14:paraId="7B8838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3868" w:type="dxa"/>
          </w:tcPr>
          <w:p w14:paraId="33DB34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АВ-7НЕ-161</w:t>
            </w:r>
          </w:p>
        </w:tc>
        <w:tc>
          <w:tcPr>
            <w:tcW w:w="3868" w:type="dxa"/>
          </w:tcPr>
          <w:p w14:paraId="7B77DE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1947</w:t>
            </w:r>
          </w:p>
        </w:tc>
      </w:tr>
      <w:tr w:rsidR="00561F31" w:rsidRPr="00F90EAE" w14:paraId="44EC9E71" w14:textId="77777777">
        <w:tc>
          <w:tcPr>
            <w:tcW w:w="3868" w:type="dxa"/>
          </w:tcPr>
          <w:p w14:paraId="1A2E4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3868" w:type="dxa"/>
          </w:tcPr>
          <w:p w14:paraId="7C7782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АВ-9ВФ-21К</w:t>
            </w:r>
          </w:p>
        </w:tc>
        <w:tc>
          <w:tcPr>
            <w:tcW w:w="3868" w:type="dxa"/>
          </w:tcPr>
          <w:p w14:paraId="0FD3A1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1947</w:t>
            </w:r>
          </w:p>
        </w:tc>
      </w:tr>
      <w:tr w:rsidR="00561F31" w:rsidRPr="00F90EAE" w14:paraId="01DBACE5" w14:textId="77777777">
        <w:tc>
          <w:tcPr>
            <w:tcW w:w="3868" w:type="dxa"/>
          </w:tcPr>
          <w:p w14:paraId="44871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3868" w:type="dxa"/>
          </w:tcPr>
          <w:p w14:paraId="0ED72C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АВ-7Н-161</w:t>
            </w:r>
          </w:p>
        </w:tc>
        <w:tc>
          <w:tcPr>
            <w:tcW w:w="3868" w:type="dxa"/>
          </w:tcPr>
          <w:p w14:paraId="6FDCBA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1948</w:t>
            </w:r>
          </w:p>
        </w:tc>
      </w:tr>
      <w:tr w:rsidR="00561F31" w:rsidRPr="00F90EAE" w14:paraId="27D00B5F" w14:textId="77777777">
        <w:tc>
          <w:tcPr>
            <w:tcW w:w="3868" w:type="dxa"/>
          </w:tcPr>
          <w:p w14:paraId="63848B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Ил-12</w:t>
            </w:r>
          </w:p>
        </w:tc>
        <w:tc>
          <w:tcPr>
            <w:tcW w:w="3868" w:type="dxa"/>
          </w:tcPr>
          <w:p w14:paraId="6ED59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АВ-9В-91</w:t>
            </w:r>
          </w:p>
        </w:tc>
        <w:tc>
          <w:tcPr>
            <w:tcW w:w="3868" w:type="dxa"/>
          </w:tcPr>
          <w:p w14:paraId="1465F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1949</w:t>
            </w:r>
          </w:p>
        </w:tc>
      </w:tr>
      <w:tr w:rsidR="00561F31" w:rsidRPr="00F90EAE" w14:paraId="765D82B4" w14:textId="77777777">
        <w:tc>
          <w:tcPr>
            <w:tcW w:w="3868" w:type="dxa"/>
          </w:tcPr>
          <w:p w14:paraId="7350FC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Ил-12</w:t>
            </w:r>
          </w:p>
        </w:tc>
        <w:tc>
          <w:tcPr>
            <w:tcW w:w="3868" w:type="dxa"/>
          </w:tcPr>
          <w:p w14:paraId="04EFBA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АВ-9Е-91</w:t>
            </w:r>
          </w:p>
        </w:tc>
        <w:tc>
          <w:tcPr>
            <w:tcW w:w="3868" w:type="dxa"/>
          </w:tcPr>
          <w:p w14:paraId="7BD00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1949</w:t>
            </w:r>
          </w:p>
        </w:tc>
      </w:tr>
      <w:tr w:rsidR="00561F31" w:rsidRPr="00F90EAE" w14:paraId="7F79510F" w14:textId="77777777">
        <w:tc>
          <w:tcPr>
            <w:tcW w:w="3868" w:type="dxa"/>
          </w:tcPr>
          <w:p w14:paraId="7C6C37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Ил-12</w:t>
            </w:r>
          </w:p>
        </w:tc>
        <w:tc>
          <w:tcPr>
            <w:tcW w:w="3868" w:type="dxa"/>
          </w:tcPr>
          <w:p w14:paraId="5E8E19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АВ-9-91</w:t>
            </w:r>
          </w:p>
        </w:tc>
        <w:tc>
          <w:tcPr>
            <w:tcW w:w="3868" w:type="dxa"/>
          </w:tcPr>
          <w:p w14:paraId="0C7F0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1949</w:t>
            </w:r>
          </w:p>
        </w:tc>
      </w:tr>
      <w:tr w:rsidR="00561F31" w:rsidRPr="00F90EAE" w14:paraId="5B710A01" w14:textId="77777777">
        <w:tc>
          <w:tcPr>
            <w:tcW w:w="3868" w:type="dxa"/>
          </w:tcPr>
          <w:p w14:paraId="6C27B1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Ил-14</w:t>
            </w:r>
          </w:p>
        </w:tc>
        <w:tc>
          <w:tcPr>
            <w:tcW w:w="3868" w:type="dxa"/>
          </w:tcPr>
          <w:p w14:paraId="49D50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АВ-50</w:t>
            </w:r>
          </w:p>
        </w:tc>
        <w:tc>
          <w:tcPr>
            <w:tcW w:w="3868" w:type="dxa"/>
          </w:tcPr>
          <w:p w14:paraId="0D359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1952</w:t>
            </w:r>
          </w:p>
        </w:tc>
      </w:tr>
      <w:tr w:rsidR="00561F31" w:rsidRPr="00F90EAE" w14:paraId="277E7818" w14:textId="77777777">
        <w:tc>
          <w:tcPr>
            <w:tcW w:w="3868" w:type="dxa"/>
          </w:tcPr>
          <w:p w14:paraId="1A99B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Ту-95</w:t>
            </w:r>
          </w:p>
        </w:tc>
        <w:tc>
          <w:tcPr>
            <w:tcW w:w="3868" w:type="dxa"/>
          </w:tcPr>
          <w:p w14:paraId="15ADD7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АВ-60</w:t>
            </w:r>
          </w:p>
        </w:tc>
        <w:tc>
          <w:tcPr>
            <w:tcW w:w="3868" w:type="dxa"/>
          </w:tcPr>
          <w:p w14:paraId="491E39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1954</w:t>
            </w:r>
          </w:p>
        </w:tc>
      </w:tr>
      <w:tr w:rsidR="00561F31" w:rsidRPr="00F90EAE" w14:paraId="6A8958E8" w14:textId="77777777">
        <w:tc>
          <w:tcPr>
            <w:tcW w:w="3868" w:type="dxa"/>
          </w:tcPr>
          <w:p w14:paraId="39D1ED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Ан-10</w:t>
            </w:r>
          </w:p>
        </w:tc>
        <w:tc>
          <w:tcPr>
            <w:tcW w:w="3868" w:type="dxa"/>
          </w:tcPr>
          <w:p w14:paraId="45851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АВ-68</w:t>
            </w:r>
          </w:p>
        </w:tc>
        <w:tc>
          <w:tcPr>
            <w:tcW w:w="3868" w:type="dxa"/>
          </w:tcPr>
          <w:p w14:paraId="1D6945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1956</w:t>
            </w:r>
          </w:p>
        </w:tc>
      </w:tr>
      <w:tr w:rsidR="00561F31" w:rsidRPr="00F90EAE" w14:paraId="27EC6248" w14:textId="77777777">
        <w:tc>
          <w:tcPr>
            <w:tcW w:w="3868" w:type="dxa"/>
          </w:tcPr>
          <w:p w14:paraId="3224AD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Ан-12</w:t>
            </w:r>
          </w:p>
        </w:tc>
        <w:tc>
          <w:tcPr>
            <w:tcW w:w="3868" w:type="dxa"/>
          </w:tcPr>
          <w:p w14:paraId="442C4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АВ-68И сер. 02</w:t>
            </w:r>
          </w:p>
        </w:tc>
        <w:tc>
          <w:tcPr>
            <w:tcW w:w="3868" w:type="dxa"/>
          </w:tcPr>
          <w:p w14:paraId="726F03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1958</w:t>
            </w:r>
          </w:p>
        </w:tc>
      </w:tr>
      <w:tr w:rsidR="00561F31" w:rsidRPr="00F90EAE" w14:paraId="6F1D82B9" w14:textId="77777777">
        <w:tc>
          <w:tcPr>
            <w:tcW w:w="3868" w:type="dxa"/>
          </w:tcPr>
          <w:p w14:paraId="32832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Ту-114</w:t>
            </w:r>
          </w:p>
        </w:tc>
        <w:tc>
          <w:tcPr>
            <w:tcW w:w="3868" w:type="dxa"/>
          </w:tcPr>
          <w:p w14:paraId="6DC64A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АВ-60Н сер. 03</w:t>
            </w:r>
          </w:p>
        </w:tc>
        <w:tc>
          <w:tcPr>
            <w:tcW w:w="3868" w:type="dxa"/>
          </w:tcPr>
          <w:p w14:paraId="6B171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1958</w:t>
            </w:r>
          </w:p>
        </w:tc>
      </w:tr>
      <w:tr w:rsidR="00561F31" w:rsidRPr="00F90EAE" w14:paraId="01C7D48E" w14:textId="77777777">
        <w:tc>
          <w:tcPr>
            <w:tcW w:w="3868" w:type="dxa"/>
          </w:tcPr>
          <w:p w14:paraId="5A2CD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Ил-18</w:t>
            </w:r>
          </w:p>
        </w:tc>
        <w:tc>
          <w:tcPr>
            <w:tcW w:w="3868" w:type="dxa"/>
          </w:tcPr>
          <w:p w14:paraId="064CB9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АВ-68 сер. 02</w:t>
            </w:r>
          </w:p>
        </w:tc>
        <w:tc>
          <w:tcPr>
            <w:tcW w:w="3868" w:type="dxa"/>
          </w:tcPr>
          <w:p w14:paraId="4883C2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1958</w:t>
            </w:r>
          </w:p>
        </w:tc>
      </w:tr>
    </w:tbl>
    <w:p w14:paraId="6A31FB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(9381)</w:t>
      </w:r>
    </w:p>
    <w:p w14:paraId="1A7A8158" w14:textId="77777777" w:rsidR="00665165" w:rsidRPr="00F90EAE" w:rsidRDefault="00665165" w:rsidP="00F90EAE">
      <w:pPr>
        <w:autoSpaceDE w:val="0"/>
        <w:autoSpaceDN w:val="0"/>
        <w:adjustRightInd w:val="0"/>
        <w:jc w:val="both"/>
        <w:rPr>
          <w:color w:val="000000" w:themeColor="text1"/>
          <w:sz w:val="16"/>
          <w:szCs w:val="16"/>
        </w:rPr>
      </w:pPr>
    </w:p>
    <w:p w14:paraId="68C0CB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года по приказу НКАП № 161с на заводе №150 вновь была начата организация винтового производства на основе трофейного оборудования, прибывшего из Германии. Однако, в 1946 году это производство было выделено в самостоятельный завод № 120 МАП и вошло в состав завода № 150 (приказ МАП № 155с от 25 марта 1946 года) (9504).</w:t>
      </w:r>
    </w:p>
    <w:p w14:paraId="47419476" w14:textId="77777777" w:rsidR="00665165" w:rsidRPr="00F90EAE" w:rsidRDefault="00665165" w:rsidP="00F90EAE">
      <w:pPr>
        <w:autoSpaceDE w:val="0"/>
        <w:autoSpaceDN w:val="0"/>
        <w:adjustRightInd w:val="0"/>
        <w:jc w:val="both"/>
        <w:rPr>
          <w:color w:val="000000" w:themeColor="text1"/>
          <w:sz w:val="16"/>
          <w:szCs w:val="16"/>
        </w:rPr>
      </w:pPr>
    </w:p>
    <w:p w14:paraId="39E960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года Приказом НКАП за № 151 опытный завод № 25 был реорганизован в ОКБ завода № 150.</w:t>
      </w:r>
    </w:p>
    <w:p w14:paraId="492D2B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создания производственно-технической базы приказом МАП за № 155с от 25 марта 1946 года ОКБ завода № 150 было вторично реорганизовано в опытный завод по винтам и регуляторам под № 120. Директором и гл. конструктором опытного завода № 120 был назначен Жданов К.И. Завод выпускал малые серии воздушных винтов и регуляторов, необходимых для окончательной их обработки перед запуском в серийное производство.</w:t>
      </w:r>
    </w:p>
    <w:p w14:paraId="64D86E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за № 417 от 17 июня 1948 года опытный завод № 120 был реорганизован в серийный завод по производству воздушных винтов за № 120. Директором завода № 120 был назначен Терентьев Н.В., гл. конструктором Жданов К.И. (9679).</w:t>
      </w:r>
    </w:p>
    <w:p w14:paraId="5E237912" w14:textId="77777777" w:rsidR="00665165" w:rsidRPr="00F90EAE" w:rsidRDefault="00665165" w:rsidP="00F90EAE">
      <w:pPr>
        <w:autoSpaceDE w:val="0"/>
        <w:autoSpaceDN w:val="0"/>
        <w:adjustRightInd w:val="0"/>
        <w:jc w:val="both"/>
        <w:rPr>
          <w:color w:val="000000" w:themeColor="text1"/>
          <w:sz w:val="16"/>
          <w:szCs w:val="16"/>
        </w:rPr>
      </w:pPr>
    </w:p>
    <w:p w14:paraId="11E889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г. по приказу НКАП № 161с завод № 25 объединен с заводом № 150 НКАП 9ГУ. Основной состав коллектива влился в ОКБ завода № 150 НКАП.</w:t>
      </w:r>
    </w:p>
    <w:p w14:paraId="20F46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(1944 г.-)- М.С. Бондалетов.</w:t>
      </w:r>
    </w:p>
    <w:p w14:paraId="5B873F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(1944 г.-)- Д.М. Дубровский.</w:t>
      </w:r>
    </w:p>
    <w:p w14:paraId="6E8900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(1944 г.-)- К.И. Жданов.</w:t>
      </w:r>
    </w:p>
    <w:p w14:paraId="18F080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по НИР (1944 г.-)-  Г.И. Кузьмин; по винтам (1944 г.-)- Н.Н. Петров; по регуляторам (1944 г.-)- А.Н. Петелин (11982).</w:t>
      </w:r>
    </w:p>
    <w:p w14:paraId="5D7DB796" w14:textId="77777777" w:rsidR="00DE38A8" w:rsidRPr="00F90EAE" w:rsidRDefault="00DE38A8" w:rsidP="00F90EAE">
      <w:pPr>
        <w:autoSpaceDE w:val="0"/>
        <w:autoSpaceDN w:val="0"/>
        <w:adjustRightInd w:val="0"/>
        <w:jc w:val="both"/>
        <w:rPr>
          <w:color w:val="000000" w:themeColor="text1"/>
          <w:sz w:val="16"/>
          <w:szCs w:val="16"/>
        </w:rPr>
      </w:pPr>
    </w:p>
    <w:p w14:paraId="3AF8E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г. по приказу № 161с в состав завода № 150 влит опытный завод № 25 НКАП ( г. Ступино) с образованием винтового ОКБ с опытным цехом комбината № 150. На заводе № 150 началось производство в/винтов. Далее винтовое производство выделено в самостоятельный серийный завод № 120.</w:t>
      </w:r>
    </w:p>
    <w:p w14:paraId="7A727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1946 г. заводу поставлено 764 трофейных металлорежущих станка.</w:t>
      </w:r>
    </w:p>
    <w:p w14:paraId="135E08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713-342 от 26.06.1957 г. передан в ведение СНХ РСФСР. Возможно, имел наименование «п/я А-1977» (1971 г.).</w:t>
      </w:r>
    </w:p>
    <w:p w14:paraId="1974C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(1990-е-2000-е  г.): полуфабрикаты из алюминиевых, титановых, жаропрочных сплавов для авиационной и космической промышленности; кованые и прессованные заготовки; автомобильные диски, радиаторы.</w:t>
      </w:r>
      <w:r w:rsidRPr="00F90EAE">
        <w:rPr>
          <w:color w:val="000000" w:themeColor="text1"/>
          <w:sz w:val="16"/>
          <w:szCs w:val="16"/>
          <w:vertAlign w:val="superscript"/>
        </w:rPr>
        <w:t>69</w:t>
      </w:r>
    </w:p>
    <w:p w14:paraId="30E3A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Входил в состав НПО «Авиатехнология». В 1997 г. ОАО СМК преобразовано в ЗАО. В 2002 г. завод был обанкрочен, на его базе создано ЗАО «Ступинский металлургический завод». По Указу Президента РФ № 1009 от 4.08.2004 г. ОАО СМК вошло в число стратегических оборонных предприятий.</w:t>
      </w:r>
    </w:p>
    <w:p w14:paraId="29E1A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(1936-11.1940 г.)-  Г.В. Визирян, (-11.1940-41 г.)- И.В. Окунев, (1941 г.-)- А.И. Марочкин, (1942- 03.1946 г.-)- А.Ф. Белов, Е.В. Никонов, (1996 г.)- А.И. Батурин, (-1998-2002 г.-)- Н.М. Рябыкин.</w:t>
      </w:r>
      <w:r w:rsidRPr="00F90EAE">
        <w:rPr>
          <w:color w:val="000000" w:themeColor="text1"/>
          <w:sz w:val="16"/>
          <w:szCs w:val="16"/>
          <w:vertAlign w:val="superscript"/>
        </w:rPr>
        <w:t>49</w:t>
      </w:r>
      <w:r w:rsidRPr="00F90EAE">
        <w:rPr>
          <w:color w:val="000000" w:themeColor="text1"/>
          <w:sz w:val="16"/>
          <w:szCs w:val="16"/>
        </w:rPr>
        <w:t xml:space="preserve"> Гендиректор (2003 г.)- В. Дмитрии, А. Черников.</w:t>
      </w:r>
    </w:p>
    <w:p w14:paraId="51E4F2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(06.1937 г.)- В.В. Алле; по ПВО и охране (17.12.1938 г.-)- А.В. Волков.</w:t>
      </w:r>
    </w:p>
    <w:p w14:paraId="572BC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исполнительный (2004 г.)- М. Корнеев; технический (2005 г.)- С. Кононов.</w:t>
      </w:r>
    </w:p>
    <w:p w14:paraId="449CD0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(1936-; 13.02.1938 г.-)- А.И. Еремеев, (-06.1937-19.01.1938 г.)- В.В. Алле (снят), (-10.1940 г.)- А.Х. Пивоварчук, (1941-45 г.)- В.К. Державцев, (1951-77 г.)- В.А. Ливанов.</w:t>
      </w:r>
    </w:p>
    <w:p w14:paraId="4EF6A8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К.И. Жданов.</w:t>
      </w:r>
    </w:p>
    <w:p w14:paraId="67B37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(1936 г.)- Н.П. Фирюбин, А.С. Штейнбер г. Начальник управления продаж (2005 г.)- А.А. Костин.</w:t>
      </w:r>
    </w:p>
    <w:p w14:paraId="69FD9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прокатного завода (11.1938 г.)- Ю. Г. Музалевский.</w:t>
      </w:r>
    </w:p>
    <w:p w14:paraId="406A4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комбината № 150 НКАП, ОКБ-150 НКАП гл. конструктора К.И. Жданова</w:t>
      </w:r>
    </w:p>
    <w:p w14:paraId="47E040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 авиакомбината № 150 образовано 22.03.1939 г. по приказу НКАП № 80/к от 21.03.1939 г. на базе его опытного производства.</w:t>
      </w:r>
    </w:p>
    <w:p w14:paraId="011E1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Его гл. конструктор в 1938-1972г,- видный конструктор воздушных винтов К.И. Жданов {1906-86}, работавший до этого нач. конструкторской бригады завода № 28. Перед войной созданы в/винты ВИШ-23, -21, - 26, -28, АВ-2П-2.</w:t>
      </w:r>
    </w:p>
    <w:p w14:paraId="79C22A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10.1941 г. эвакуировалось в Куйбышев вместе с авиакомбинатом № 150 на площадку завода № 122. Монтаж оборудования здесь закончен в 11.1941 г.</w:t>
      </w:r>
    </w:p>
    <w:p w14:paraId="28F055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ОКБ-150 МАП гл. конструктора К.И. Жданова</w:t>
      </w:r>
    </w:p>
    <w:p w14:paraId="270B59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01.1944 г. ОКБ тогда уже завода № 35 вместе с винтовым ОКБ завода № 28 и регуляторным ОКБ-132 возвращаются в Ступино на территорию винтового производства авиакомбината № 150 и образуют опытный винтостроительный завод № 25. Директором назначается М.С. Бондалетов, гл. инженером- Д.М. Дубровский. Гл. конструктором остается Жданов.</w:t>
      </w:r>
    </w:p>
    <w:p w14:paraId="796AB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161с от 20.04.1945 г. завод № 25 реорганизуется в ОКБ комбината № 150.</w:t>
      </w:r>
    </w:p>
    <w:p w14:paraId="0D5D2D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155с от 25.03.1946 г. ОКБ-150 снова преобразуется в самостоятельный опытный завод № 120. Директором- гл. конструктором назначен Жданов, гл. инженером- Б.А. Пережогин.</w:t>
      </w:r>
    </w:p>
    <w:p w14:paraId="4A95C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МАП № 417 от 17.06.1948 г. на базе опытного завода № 120 образованы два самостоятельных предприятия: серийный завод № 120 и ОКБ-120 (11982).</w:t>
      </w:r>
    </w:p>
    <w:p w14:paraId="6F173928" w14:textId="77777777" w:rsidR="00DE38A8" w:rsidRPr="00F90EAE" w:rsidRDefault="00DE38A8" w:rsidP="00F90EAE">
      <w:pPr>
        <w:autoSpaceDE w:val="0"/>
        <w:autoSpaceDN w:val="0"/>
        <w:adjustRightInd w:val="0"/>
        <w:jc w:val="both"/>
        <w:rPr>
          <w:iCs/>
          <w:color w:val="000000" w:themeColor="text1"/>
          <w:sz w:val="16"/>
          <w:szCs w:val="16"/>
        </w:rPr>
      </w:pPr>
    </w:p>
    <w:p w14:paraId="68F8A80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6539938" w14:textId="77777777" w:rsidR="00665165" w:rsidRPr="00F90EAE" w:rsidRDefault="00665165" w:rsidP="00F90EAE">
      <w:pPr>
        <w:autoSpaceDE w:val="0"/>
        <w:autoSpaceDN w:val="0"/>
        <w:adjustRightInd w:val="0"/>
        <w:jc w:val="both"/>
        <w:rPr>
          <w:iCs/>
          <w:color w:val="000000" w:themeColor="text1"/>
          <w:sz w:val="16"/>
          <w:szCs w:val="16"/>
        </w:rPr>
      </w:pPr>
    </w:p>
    <w:p w14:paraId="7029D068"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20 апреля 1945 ЧКЗ начал выполнять апрельскую программу по ИС-2. Вместе с тем, даже эти танки поначалу не значились окончательно принятыми. Как указывалось в отчёте ЧКЗ, их подвергли стационарным испытанием в цехе СБ-2 и лишь потом (в мае 1945 года) приняли. К тому же при приёмке первой серийной машины выявилось 35 различных дефектов. При такой ситуации становится понятным, почему Малышев настоял на том, чтобы принять на вооружение ИС-3, а не Объект 701. Только на освоение производства пришлось бы потратить несколько месяцев, а первые танки дались бы ещё более мучительно. В связи с выявленными проблемами системы охлаждения танки продолжали оставаться на заводе, параллельно проводились изыскания по улучшению ситуации. В этих работах задействовали и опытный образец Объекта 704. На испытаниях выяснилось, что температура воды в системе ИС-3 превышает ИС-2 на 15-20 градусов. Что же касается Объекта 704, то там температурный режим был на уровне ИС-2 и </w:t>
      </w:r>
      <w:hyperlink r:id="rId101" w:history="1">
        <w:r w:rsidRPr="00F90EAE">
          <w:rPr>
            <w:rStyle w:val="a5"/>
            <w:rFonts w:eastAsiaTheme="majorEastAsia"/>
            <w:bCs/>
            <w:i/>
            <w:iCs/>
            <w:color w:val="000000" w:themeColor="text1"/>
            <w:sz w:val="16"/>
            <w:szCs w:val="16"/>
            <w:bdr w:val="none" w:sz="0" w:space="0" w:color="auto" w:frame="1"/>
          </w:rPr>
          <w:t>ИСУ-152</w:t>
        </w:r>
      </w:hyperlink>
      <w:r w:rsidRPr="00F90EAE">
        <w:rPr>
          <w:color w:val="000000" w:themeColor="text1"/>
          <w:sz w:val="16"/>
          <w:szCs w:val="16"/>
        </w:rPr>
        <w:t>. Одним словом, работы продолжались.</w:t>
      </w:r>
    </w:p>
    <w:p w14:paraId="0F2D2889"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Из-за сложности новых танков их стоимость оказалась выше ИС-2: ИС-3 выпуска второго квартала 1945 года обходился в 310 000 рублей за штуку, в то время как его предшественник стоил 250 000. Впрочем, высокая цена на тот момент являлась наименьшей проблемой: как это часто бывало на ЧКЗ, новые танки начинали сдавать ближе к концу месяца. На 21 мая ни одной машины не сдали. 100 штук, положенных по плану, удалось сдать к 1 июня, из них один танк (серийный номер 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278C1E5"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7DB35BE2"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64D8EA4E"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70A1A041"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038DC95D"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7172B00D"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7D8D690" w14:textId="77777777" w:rsidR="007060B9" w:rsidRPr="00F90EAE" w:rsidRDefault="007060B9" w:rsidP="00F90EAE">
      <w:pPr>
        <w:pStyle w:val="ae"/>
        <w:shd w:val="clear" w:color="auto" w:fill="FFFFFF"/>
        <w:spacing w:before="0" w:after="0"/>
        <w:jc w:val="both"/>
        <w:textAlignment w:val="baseline"/>
        <w:rPr>
          <w:i/>
          <w:iCs/>
          <w:color w:val="000000" w:themeColor="text1"/>
          <w:sz w:val="16"/>
          <w:szCs w:val="16"/>
        </w:rPr>
      </w:pPr>
      <w:r w:rsidRPr="00F90EAE">
        <w:rPr>
          <w:i/>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34AC2542"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1E31BD" w14:textId="77777777" w:rsidR="007060B9" w:rsidRPr="00F90EAE" w:rsidRDefault="007060B9" w:rsidP="00F90EAE">
      <w:pPr>
        <w:pStyle w:val="ae"/>
        <w:shd w:val="clear" w:color="auto" w:fill="FFFFFF"/>
        <w:spacing w:before="0" w:after="0"/>
        <w:jc w:val="both"/>
        <w:textAlignment w:val="baseline"/>
        <w:rPr>
          <w:color w:val="000000" w:themeColor="text1"/>
          <w:sz w:val="16"/>
          <w:szCs w:val="16"/>
        </w:rPr>
      </w:pPr>
    </w:p>
    <w:p w14:paraId="6066F48D" w14:textId="77777777" w:rsidR="007060B9" w:rsidRPr="00F90EAE" w:rsidRDefault="007060B9" w:rsidP="00F90EAE">
      <w:pPr>
        <w:jc w:val="both"/>
        <w:rPr>
          <w:color w:val="000000" w:themeColor="text1"/>
          <w:sz w:val="16"/>
          <w:szCs w:val="16"/>
        </w:rPr>
      </w:pPr>
      <w:r w:rsidRPr="00F90EAE">
        <w:rPr>
          <w:color w:val="000000" w:themeColor="text1"/>
          <w:sz w:val="16"/>
          <w:szCs w:val="16"/>
        </w:rPr>
        <w:t>20–25 апреля 1945 года на Гороховецком АНИОП также проходил следующий этап испытаний СУ-85Б. За это время было произведено 604 выстрела, машина прошла 502 километра. Практическая скорострельность находилась в пределах 8–11 выстрелов в минуту, в зависимости от укладок, которыми пользовался заряжающий. Максимальная скорострельность составила 12 выстрелов в минуту.</w:t>
      </w:r>
    </w:p>
    <w:p w14:paraId="68C0BDB5" w14:textId="77777777" w:rsidR="007060B9" w:rsidRPr="00F90EAE" w:rsidRDefault="007060B9" w:rsidP="00F90EAE">
      <w:pPr>
        <w:jc w:val="both"/>
        <w:rPr>
          <w:color w:val="000000" w:themeColor="text1"/>
          <w:sz w:val="16"/>
          <w:szCs w:val="16"/>
        </w:rPr>
      </w:pPr>
      <w:r w:rsidRPr="00F90EAE">
        <w:rPr>
          <w:color w:val="000000" w:themeColor="text1"/>
          <w:sz w:val="16"/>
          <w:szCs w:val="16"/>
        </w:rPr>
        <w:t>Выяснилось, что, в отличие от СУ-85А, САУ с системой ЛБ-2 вполне успешно могла стрелять по движущимся целям на дистанциях 900 метров и дальше. Неплохо показала себя СУ-85Б и при стрельбе с ходу, правда, вырывающиеся из дульного тормоза пороховые газы немного мешали. При стрельбе с ходу удалось добиться 20% попаданий, а с коротких остановок — 85% попаданий. Устойчивость при стрельбе оказалась в 1,5–2 раза выше, чем у СУ-85А.</w:t>
      </w:r>
    </w:p>
    <w:p w14:paraId="453AA597" w14:textId="77777777" w:rsidR="007060B9" w:rsidRPr="00F90EAE" w:rsidRDefault="007060B9" w:rsidP="00F90EAE">
      <w:pPr>
        <w:jc w:val="both"/>
        <w:rPr>
          <w:color w:val="000000" w:themeColor="text1"/>
          <w:sz w:val="16"/>
          <w:szCs w:val="16"/>
        </w:rPr>
      </w:pPr>
      <w:r w:rsidRPr="00F90EAE">
        <w:rPr>
          <w:color w:val="000000" w:themeColor="text1"/>
          <w:sz w:val="16"/>
          <w:szCs w:val="16"/>
        </w:rPr>
        <w:t>СУ-85Б признали выдержавшей испытания. Обнаруженные дефекты системы не были серьёзными. Успешными оказались и испытания, проведённые 25 апреля – 3 мая 1945 года на НИБТ Полигоне.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75EF6DB7" w14:textId="77777777" w:rsidR="007060B9" w:rsidRPr="00F90EAE" w:rsidRDefault="007060B9" w:rsidP="00F90EAE">
      <w:pPr>
        <w:jc w:val="both"/>
        <w:rPr>
          <w:color w:val="000000" w:themeColor="text1"/>
          <w:sz w:val="16"/>
          <w:szCs w:val="16"/>
        </w:rPr>
      </w:pPr>
    </w:p>
    <w:p w14:paraId="7D50F9D7" w14:textId="77777777" w:rsidR="007060B9" w:rsidRPr="00F90EAE" w:rsidRDefault="007060B9" w:rsidP="00F90EAE">
      <w:pPr>
        <w:jc w:val="both"/>
        <w:rPr>
          <w:color w:val="000000" w:themeColor="text1"/>
          <w:sz w:val="16"/>
          <w:szCs w:val="16"/>
        </w:rPr>
      </w:pPr>
      <w:r w:rsidRPr="00F90EAE">
        <w:rPr>
          <w:color w:val="000000" w:themeColor="text1"/>
          <w:sz w:val="16"/>
          <w:szCs w:val="16"/>
        </w:rPr>
        <w:t>20 апреля 1945 года Согласно указанию заместителя начальника ГБТУ И.А. Лебедева на срок до 15 мая были назначены дополнительные испытания канадского снегохода по различным грунтам и дорогам в условиях весенней распутицы. Второй этап испытаний правильнее называть весенне-летним, поскольку температура окружающего воздуха к его началу держалась на уровне +15 градусов и выше. Как и в случае с зимне-весенними испытаниями, у канадского снегохода имелись соперники: американский полугусеничный тягач M2 и лёгкий танк </w:t>
      </w:r>
      <w:hyperlink r:id="rId102" w:history="1">
        <w:r w:rsidRPr="00F90EAE">
          <w:rPr>
            <w:rStyle w:val="a5"/>
            <w:color w:val="000000" w:themeColor="text1"/>
            <w:sz w:val="16"/>
            <w:szCs w:val="16"/>
          </w:rPr>
          <w:t>М5А1</w:t>
        </w:r>
      </w:hyperlink>
      <w:r w:rsidRPr="00F90EAE">
        <w:rPr>
          <w:color w:val="000000" w:themeColor="text1"/>
          <w:sz w:val="16"/>
          <w:szCs w:val="16"/>
        </w:rPr>
        <w:t>.</w:t>
      </w:r>
    </w:p>
    <w:p w14:paraId="268DB0C2" w14:textId="77777777" w:rsidR="007060B9" w:rsidRPr="00F90EAE" w:rsidRDefault="007060B9" w:rsidP="00F90EAE">
      <w:pPr>
        <w:jc w:val="both"/>
        <w:rPr>
          <w:color w:val="000000" w:themeColor="text1"/>
          <w:sz w:val="16"/>
          <w:szCs w:val="16"/>
        </w:rPr>
      </w:pPr>
      <w:r w:rsidRPr="00F90EAE">
        <w:rPr>
          <w:color w:val="000000" w:themeColor="text1"/>
          <w:sz w:val="16"/>
          <w:szCs w:val="16"/>
        </w:rPr>
        <w:t>В отличие от Weasel, получившего более универсальную ходовую часть, канадский снегоход имел ряд ограничений с точки зрения езды по обычной поверхности. Тем не менее канадская машина выдержала 228 км форменного издевательства, из них 40 км по шоссе Москва-Минск, 108 км по просёлочным дорогам, 59 км по целине и 21 км по болотам.</w:t>
      </w:r>
    </w:p>
    <w:p w14:paraId="24C2BB80" w14:textId="77777777" w:rsidR="007060B9" w:rsidRPr="00F90EAE" w:rsidRDefault="007060B9" w:rsidP="00F90EAE">
      <w:pPr>
        <w:jc w:val="both"/>
        <w:rPr>
          <w:color w:val="000000" w:themeColor="text1"/>
          <w:sz w:val="16"/>
          <w:szCs w:val="16"/>
        </w:rPr>
      </w:pPr>
      <w:r w:rsidRPr="00F90EAE">
        <w:rPr>
          <w:color w:val="000000" w:themeColor="text1"/>
          <w:sz w:val="16"/>
          <w:szCs w:val="16"/>
        </w:rPr>
        <w:lastRenderedPageBreak/>
        <w:t>Первым делом машины испытали на болоте глубиной 20–40 см. Из борьбы тут же выбыл тягач М2, застрявший на 24-м метре испытаний. Что касается канадского снегохода, то он легко прошёл участок, кроме того, ему пришлось вытаскивать 9-тонную американскую машину. Лёгкий танк М5А1 первый этап испытаний прошёл, но болото глубиной 50–75 см оказалось для него непреодолимым препятствием — машина застряла уже через 43 м после начала движения. Armoured Snowmobile Mk.I уверенно прошёл и второй участок болота, не проблемой для него оказалось и болото глубиной 1,5 м.</w:t>
      </w:r>
    </w:p>
    <w:p w14:paraId="5D9FD9BE" w14:textId="77777777" w:rsidR="007060B9" w:rsidRPr="00F90EAE" w:rsidRDefault="007060B9" w:rsidP="00F90EAE">
      <w:pPr>
        <w:jc w:val="both"/>
        <w:rPr>
          <w:color w:val="000000" w:themeColor="text1"/>
          <w:sz w:val="16"/>
          <w:szCs w:val="16"/>
        </w:rPr>
      </w:pPr>
      <w:r w:rsidRPr="00F90EAE">
        <w:rPr>
          <w:color w:val="000000" w:themeColor="text1"/>
          <w:sz w:val="16"/>
          <w:szCs w:val="16"/>
        </w:rPr>
        <w:t>Следующим этапом испытаний стал пробег по целине, плавно переходивший в езду по разбитым грунтовым дорогам. Канадская машина выдержала и эти испытания, но уже на целине двигатель, система охлаждения которого была рассчитана на зимние условия эксплуатации, начал перегреваться. Отмечалось снижение скорости, что, учитывая специфику творения Бомбардье, неудивительно. В последнюю очередь машину ждал пробег по шоссе, где машина развила скорость 30–32 км/ч. На этом этапе за пределы возможностей начала выходить ходовая часть, рассчитанная на мягкую поверхность: стали отмечаться поломки металлических планок, соединяющих гусеницы.</w:t>
      </w:r>
    </w:p>
    <w:p w14:paraId="5871295C" w14:textId="77777777" w:rsidR="007060B9" w:rsidRPr="00F90EAE" w:rsidRDefault="007060B9" w:rsidP="00F90EAE">
      <w:pPr>
        <w:jc w:val="both"/>
        <w:rPr>
          <w:color w:val="000000" w:themeColor="text1"/>
          <w:sz w:val="16"/>
          <w:szCs w:val="16"/>
        </w:rPr>
      </w:pPr>
      <w:r w:rsidRPr="00F90EAE">
        <w:rPr>
          <w:color w:val="000000" w:themeColor="text1"/>
          <w:sz w:val="16"/>
          <w:szCs w:val="16"/>
        </w:rPr>
        <w:t>Заключение по итогам испытаний было очевидным: машина не приспособлена для продолжительной эксплуатации в весенне-летних условиях. Вместе с тем отмечалась высокая проходимость канадского снегохода по болотам и целине. Несмотря на кажущуюся нелепость данных испытаний, назвать их бесполезными никак нельзя: было доказано, что ходовая часть снегохода прекрасно себя показала в условиях тяжёлого бездорожья. При некоторых переделках подобную ходовую часть можно было использовать при создании снегоболотохода отечественной конструкции, что и отмечалось в отчёте.</w:t>
      </w:r>
    </w:p>
    <w:p w14:paraId="084C9860" w14:textId="77777777" w:rsidR="007060B9" w:rsidRPr="00F90EAE" w:rsidRDefault="007060B9" w:rsidP="00F90EAE">
      <w:pPr>
        <w:jc w:val="both"/>
        <w:rPr>
          <w:color w:val="000000" w:themeColor="text1"/>
          <w:sz w:val="16"/>
          <w:szCs w:val="16"/>
        </w:rPr>
      </w:pPr>
      <w:r w:rsidRPr="00F90EAE">
        <w:rPr>
          <w:color w:val="000000" w:themeColor="text1"/>
          <w:sz w:val="16"/>
          <w:szCs w:val="16"/>
        </w:rPr>
        <w:t>После испытаний Armoured Snowmobile Mk.I вместе с полугусеничным собратом занял место на музейной площадке НИБТ Полигона. Ныне эту машину можно видеть в парке «Патриот», недавно она прошла косметическую реставрацию. Ещё один диверсионный снегоход находится в итальянском Триесте, данный экземпляр является одним из десяти снегоходов, которые использовались канадскими войсками зимой 1945 года. Что же касается компании Bombarider, то она продолжала выпускать модель B12, продав к 1951 году 2817 машин данного типа. База B12 стала основной для создания целого ряда других машин, в том числе и чисто гусеничных. Bombardier строила на этой же базе транспортный трактор Muskeg и лесовоз J5, ходовая часть снегохода оказалась вполне уместной и для машин, ездящих совсем не по снегу (18251).</w:t>
      </w:r>
    </w:p>
    <w:p w14:paraId="7D7E4834" w14:textId="77777777" w:rsidR="007060B9" w:rsidRPr="00F90EAE" w:rsidRDefault="007060B9" w:rsidP="00F90EAE">
      <w:pPr>
        <w:jc w:val="both"/>
        <w:rPr>
          <w:color w:val="000000" w:themeColor="text1"/>
          <w:sz w:val="16"/>
          <w:szCs w:val="16"/>
        </w:rPr>
      </w:pPr>
    </w:p>
    <w:p w14:paraId="70A4EE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8215 Об отгрузке калиброванных сталей и смазочных масел заводам Наркомбоеприпасов, изготовляющим корпуса авиационных снарядов. РГАНИР, Фонд ГКО, д. 404, лл. 1-3, 4-6 (11012).</w:t>
      </w:r>
    </w:p>
    <w:p w14:paraId="02709882" w14:textId="77777777" w:rsidR="00665165" w:rsidRPr="00F90EAE" w:rsidRDefault="00665165" w:rsidP="00F90EAE">
      <w:pPr>
        <w:autoSpaceDE w:val="0"/>
        <w:autoSpaceDN w:val="0"/>
        <w:adjustRightInd w:val="0"/>
        <w:jc w:val="both"/>
        <w:rPr>
          <w:color w:val="000000" w:themeColor="text1"/>
          <w:sz w:val="16"/>
          <w:szCs w:val="16"/>
        </w:rPr>
      </w:pPr>
    </w:p>
    <w:p w14:paraId="349762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8216 О мерах по обеспечению мазутом Наркомтанкопрома в апреле 1945 года. РГАНИР, Фонд ГКО, д. 404, лл. 7-9 (11012).</w:t>
      </w:r>
    </w:p>
    <w:p w14:paraId="2EB65FCB" w14:textId="77777777" w:rsidR="00665165" w:rsidRPr="00F90EAE" w:rsidRDefault="00665165" w:rsidP="00F90EAE">
      <w:pPr>
        <w:autoSpaceDE w:val="0"/>
        <w:autoSpaceDN w:val="0"/>
        <w:adjustRightInd w:val="0"/>
        <w:jc w:val="both"/>
        <w:rPr>
          <w:color w:val="000000" w:themeColor="text1"/>
          <w:sz w:val="16"/>
          <w:szCs w:val="16"/>
        </w:rPr>
      </w:pPr>
    </w:p>
    <w:p w14:paraId="2585A8E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8217 О продлении срока работы мобилизованных рабочих на железнодорожном строительстве дорог Урала и Сибири. (7330, 10).</w:t>
      </w:r>
    </w:p>
    <w:p w14:paraId="13AD0AD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86D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8218. О дополнительной поставке угля заводу № 15 НКБ. РГАНИР, Фонд ГКО, д. 404, лл. 11 (11012).</w:t>
      </w:r>
    </w:p>
    <w:p w14:paraId="7F08D0C2" w14:textId="77777777" w:rsidR="00665165" w:rsidRPr="00F90EAE" w:rsidRDefault="00665165" w:rsidP="00F90EAE">
      <w:pPr>
        <w:autoSpaceDE w:val="0"/>
        <w:autoSpaceDN w:val="0"/>
        <w:adjustRightInd w:val="0"/>
        <w:jc w:val="both"/>
        <w:rPr>
          <w:color w:val="000000" w:themeColor="text1"/>
          <w:sz w:val="16"/>
          <w:szCs w:val="16"/>
        </w:rPr>
      </w:pPr>
    </w:p>
    <w:p w14:paraId="103D8E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8220 [Об изменении плана перевозок лесных грузов на апрель 1945 г.] (7330, 13,14-16).</w:t>
      </w:r>
    </w:p>
    <w:p w14:paraId="2483226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CB47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8221. О выделении Центральной военной базе № 36 ГАУ КА импортного железнодорожного крана. РГАНИР, Фонд ГКО, д. 404, лл. 17 (11012).</w:t>
      </w:r>
    </w:p>
    <w:p w14:paraId="727BEB54" w14:textId="77777777" w:rsidR="00665165" w:rsidRPr="00F90EAE" w:rsidRDefault="00665165" w:rsidP="00F90EAE">
      <w:pPr>
        <w:autoSpaceDE w:val="0"/>
        <w:autoSpaceDN w:val="0"/>
        <w:adjustRightInd w:val="0"/>
        <w:jc w:val="both"/>
        <w:rPr>
          <w:color w:val="000000" w:themeColor="text1"/>
          <w:sz w:val="16"/>
          <w:szCs w:val="16"/>
        </w:rPr>
      </w:pPr>
    </w:p>
    <w:p w14:paraId="16FFEDD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8222 [О мерах по усилению геофизической службы в нефтяной промышленности.] (7330, 18-20,21-23).</w:t>
      </w:r>
    </w:p>
    <w:p w14:paraId="7354933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EA1A39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8223 [О мерах по изысканию и подготовке к разработке нефтяных и газовых месторождений в Удмуртской АССР.] (7330, 24-26).</w:t>
      </w:r>
    </w:p>
    <w:p w14:paraId="6A0CB6D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4CEFC5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8225 Об организации на Одесском заводе имени Январского восстания Наркомтяжмаша производства станков-качалок для нефтяной промышленности. (7330, 28-31).</w:t>
      </w:r>
    </w:p>
    <w:p w14:paraId="13B2A1B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6F1DD3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8226 О замене дефектных рельсов на грузонапряженных участках железных дорог Урало-Сибирского направления. (7330, 32-33).</w:t>
      </w:r>
    </w:p>
    <w:p w14:paraId="47C05F9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A212C0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8227 О мероприятиях по использованию автомобильных колонн централизованного резерва. (7330, 34-37).</w:t>
      </w:r>
    </w:p>
    <w:p w14:paraId="25A2FD8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E42C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8228 Об изготовлении хлебных щитов для перевозки по железным дорогам зерна урожая 1945 г. (7330, 38-42,43-46).</w:t>
      </w:r>
    </w:p>
    <w:p w14:paraId="648A623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BE7A0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8229 О развитии добычи гумбрина и магнетитовых песков для нефтяной промышленности. РГАНИР, Фонд ГКО, д. 404, лл. 47-51, 52-53 (11012).</w:t>
      </w:r>
    </w:p>
    <w:p w14:paraId="7017FA26" w14:textId="77777777" w:rsidR="00665165" w:rsidRPr="00F90EAE" w:rsidRDefault="00665165" w:rsidP="00F90EAE">
      <w:pPr>
        <w:autoSpaceDE w:val="0"/>
        <w:autoSpaceDN w:val="0"/>
        <w:adjustRightInd w:val="0"/>
        <w:jc w:val="both"/>
        <w:rPr>
          <w:color w:val="000000" w:themeColor="text1"/>
          <w:sz w:val="16"/>
          <w:szCs w:val="16"/>
        </w:rPr>
      </w:pPr>
    </w:p>
    <w:p w14:paraId="62E48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8230 Об увеличении производства фталевого ангидрида и дибутилфталата. РГАНИР, Фонд ГКО, д. 404, лл. 54-58, 59-65 (11012).</w:t>
      </w:r>
    </w:p>
    <w:p w14:paraId="7438CC01" w14:textId="77777777" w:rsidR="00665165" w:rsidRPr="00F90EAE" w:rsidRDefault="00665165" w:rsidP="00F90EAE">
      <w:pPr>
        <w:autoSpaceDE w:val="0"/>
        <w:autoSpaceDN w:val="0"/>
        <w:adjustRightInd w:val="0"/>
        <w:jc w:val="both"/>
        <w:rPr>
          <w:color w:val="000000" w:themeColor="text1"/>
          <w:sz w:val="16"/>
          <w:szCs w:val="16"/>
        </w:rPr>
      </w:pPr>
    </w:p>
    <w:p w14:paraId="41F73A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8231 О восстановлении и капитальном ремонте оборудования Грозненских нефтеперерабатывающих заводов. РГАНИР, Фонд ГКО, д. 404, лл. 66-70, 71-76 (11012).</w:t>
      </w:r>
    </w:p>
    <w:p w14:paraId="449973AB" w14:textId="77777777" w:rsidR="00665165" w:rsidRPr="00F90EAE" w:rsidRDefault="00665165" w:rsidP="00F90EAE">
      <w:pPr>
        <w:autoSpaceDE w:val="0"/>
        <w:autoSpaceDN w:val="0"/>
        <w:adjustRightInd w:val="0"/>
        <w:jc w:val="both"/>
        <w:rPr>
          <w:color w:val="000000" w:themeColor="text1"/>
          <w:sz w:val="16"/>
          <w:szCs w:val="16"/>
        </w:rPr>
      </w:pPr>
    </w:p>
    <w:p w14:paraId="4DF742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Распоряжение ГКО № 8232. О мерах по переносу производства радиостанций А-7 с завода № 564 НКБ. РГАНИР, Фонд ГКО, д. 404, лл. 77-78 (11012).</w:t>
      </w:r>
    </w:p>
    <w:p w14:paraId="21D18B8D" w14:textId="77777777" w:rsidR="00665165" w:rsidRPr="00F90EAE" w:rsidRDefault="00665165" w:rsidP="00F90EAE">
      <w:pPr>
        <w:autoSpaceDE w:val="0"/>
        <w:autoSpaceDN w:val="0"/>
        <w:adjustRightInd w:val="0"/>
        <w:jc w:val="both"/>
        <w:rPr>
          <w:color w:val="000000" w:themeColor="text1"/>
          <w:sz w:val="16"/>
          <w:szCs w:val="16"/>
        </w:rPr>
      </w:pPr>
    </w:p>
    <w:p w14:paraId="7EE35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8233 Об изготовлении опытной партии электронных микроскопов в Государственном оптическом институте НКВ. РГАНИР, Фонд ГКО, д. 404, лл. 79-80, 81-83 (11012).</w:t>
      </w:r>
    </w:p>
    <w:p w14:paraId="729025E0" w14:textId="77777777" w:rsidR="00665165" w:rsidRPr="00F90EAE" w:rsidRDefault="00665165" w:rsidP="00F90EAE">
      <w:pPr>
        <w:autoSpaceDE w:val="0"/>
        <w:autoSpaceDN w:val="0"/>
        <w:adjustRightInd w:val="0"/>
        <w:jc w:val="both"/>
        <w:rPr>
          <w:color w:val="000000" w:themeColor="text1"/>
          <w:sz w:val="16"/>
          <w:szCs w:val="16"/>
        </w:rPr>
      </w:pPr>
    </w:p>
    <w:p w14:paraId="1F0A08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8234 Об обеспечении средствами проводной связи военно-морских баз и объектов береговой обороны Прибалтики. РГАНИР, Фонд ГКО, д. 404, лл. 84-86, 87-88 (11012).</w:t>
      </w:r>
    </w:p>
    <w:p w14:paraId="5EF7AF2A" w14:textId="77777777" w:rsidR="00665165" w:rsidRPr="00F90EAE" w:rsidRDefault="00665165" w:rsidP="00F90EAE">
      <w:pPr>
        <w:autoSpaceDE w:val="0"/>
        <w:autoSpaceDN w:val="0"/>
        <w:adjustRightInd w:val="0"/>
        <w:jc w:val="both"/>
        <w:rPr>
          <w:color w:val="000000" w:themeColor="text1"/>
          <w:sz w:val="16"/>
          <w:szCs w:val="16"/>
        </w:rPr>
      </w:pPr>
    </w:p>
    <w:p w14:paraId="5F07CE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8235 О вводе в эксплуатацию первой очереди Сызранской ТЭЦ НКЭС. РГАНИР, Фонд ГКО, д. 404, лл. 89-91 (11012).</w:t>
      </w:r>
    </w:p>
    <w:p w14:paraId="497E629A" w14:textId="77777777" w:rsidR="00665165" w:rsidRPr="00F90EAE" w:rsidRDefault="00665165" w:rsidP="00F90EAE">
      <w:pPr>
        <w:autoSpaceDE w:val="0"/>
        <w:autoSpaceDN w:val="0"/>
        <w:adjustRightInd w:val="0"/>
        <w:jc w:val="both"/>
        <w:rPr>
          <w:color w:val="000000" w:themeColor="text1"/>
          <w:sz w:val="16"/>
          <w:szCs w:val="16"/>
        </w:rPr>
      </w:pPr>
    </w:p>
    <w:p w14:paraId="1099934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8236 О мероприятиях по восстановлению хозяйства Наркомречфлота в Западно-Двинском бассейне. (7330, 92-95,96-100).</w:t>
      </w:r>
    </w:p>
    <w:p w14:paraId="6EB2C7E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BABD7F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8237 О строительстве электрифицированной железнодорожной линии Сураханы - Бузовны. (7330, 101-102).</w:t>
      </w:r>
    </w:p>
    <w:p w14:paraId="6A88D9B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147FF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8238 О мерах по восстановлению Рижского морского порта и Рижского судоремонтного завода Наркомморфлота. (7330, 103-110,111-115).</w:t>
      </w:r>
    </w:p>
    <w:p w14:paraId="707F168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69112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8239 О частичном восстановлении Рижской городской электростанции. РГАНИР, Фонд ГКО, д. 404, лл. 116-118, 119-122 (11012).</w:t>
      </w:r>
    </w:p>
    <w:p w14:paraId="168F5FDF" w14:textId="77777777" w:rsidR="00665165" w:rsidRPr="00F90EAE" w:rsidRDefault="00665165" w:rsidP="00F90EAE">
      <w:pPr>
        <w:autoSpaceDE w:val="0"/>
        <w:autoSpaceDN w:val="0"/>
        <w:adjustRightInd w:val="0"/>
        <w:jc w:val="both"/>
        <w:rPr>
          <w:color w:val="000000" w:themeColor="text1"/>
          <w:sz w:val="16"/>
          <w:szCs w:val="16"/>
        </w:rPr>
      </w:pPr>
    </w:p>
    <w:p w14:paraId="155D9EB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39EAEDE" w14:textId="77777777" w:rsidR="00665165" w:rsidRPr="00F90EAE" w:rsidRDefault="00665165" w:rsidP="00F90EAE">
      <w:pPr>
        <w:autoSpaceDE w:val="0"/>
        <w:autoSpaceDN w:val="0"/>
        <w:adjustRightInd w:val="0"/>
        <w:jc w:val="both"/>
        <w:rPr>
          <w:iCs/>
          <w:color w:val="000000" w:themeColor="text1"/>
          <w:sz w:val="16"/>
          <w:szCs w:val="16"/>
        </w:rPr>
      </w:pPr>
    </w:p>
    <w:p w14:paraId="39A75311" w14:textId="77777777" w:rsidR="00DE38A8" w:rsidRPr="00F90EAE" w:rsidRDefault="00DE38A8" w:rsidP="00F90EAE">
      <w:pPr>
        <w:jc w:val="both"/>
        <w:rPr>
          <w:color w:val="000000" w:themeColor="text1"/>
          <w:sz w:val="16"/>
          <w:szCs w:val="16"/>
        </w:rPr>
      </w:pPr>
      <w:r w:rsidRPr="00F90EAE">
        <w:rPr>
          <w:color w:val="000000" w:themeColor="text1"/>
          <w:sz w:val="16"/>
          <w:szCs w:val="16"/>
        </w:rPr>
        <w:t>20 апреля в 1945 году оперативная сводка Совинформбюро:</w:t>
      </w:r>
    </w:p>
    <w:p w14:paraId="632A738A" w14:textId="77777777" w:rsidR="00DE38A8" w:rsidRPr="00F90EAE" w:rsidRDefault="00DE38A8" w:rsidP="00F90EAE">
      <w:pPr>
        <w:jc w:val="both"/>
        <w:rPr>
          <w:color w:val="000000" w:themeColor="text1"/>
          <w:sz w:val="16"/>
          <w:szCs w:val="16"/>
        </w:rPr>
      </w:pPr>
      <w:r w:rsidRPr="00F90EAE">
        <w:rPr>
          <w:color w:val="000000" w:themeColor="text1"/>
          <w:sz w:val="16"/>
          <w:szCs w:val="16"/>
        </w:rPr>
        <w:lastRenderedPageBreak/>
        <w:t>«Центральная группа наших войск вела наступательные бои западнее реки Одер и реки Нейсе. В результате этих боёв наши войска заняли города Бад-Фрайен-Вальде, Врицен, Зеелов, Лебус, Клиттен, Ниски, Шпремберг, Гойерсверда и подошли к городам Каменц и Бауцен (на Дрезденском направлении).</w:t>
      </w:r>
    </w:p>
    <w:p w14:paraId="6E9F5018" w14:textId="77777777" w:rsidR="00DE38A8" w:rsidRPr="00F90EAE" w:rsidRDefault="00DE38A8" w:rsidP="00F90EAE">
      <w:pPr>
        <w:jc w:val="both"/>
        <w:rPr>
          <w:color w:val="000000" w:themeColor="text1"/>
          <w:sz w:val="16"/>
          <w:szCs w:val="16"/>
        </w:rPr>
      </w:pPr>
      <w:r w:rsidRPr="00F90EAE">
        <w:rPr>
          <w:color w:val="000000" w:themeColor="text1"/>
          <w:sz w:val="16"/>
          <w:szCs w:val="16"/>
        </w:rPr>
        <w:t>Юго-западнее и южнее Ратибора войска 4-го Украинского фронта, преодолевая сопротивление противника, заняли населённые пункты Комаров, Мокре Лазце, Хабичов, Пишт, Крейценорт, Нойдэрфель, Ольза.</w:t>
      </w:r>
    </w:p>
    <w:p w14:paraId="70D09630" w14:textId="77777777" w:rsidR="00DE38A8" w:rsidRPr="00F90EAE" w:rsidRDefault="00DE38A8" w:rsidP="00F90EAE">
      <w:pPr>
        <w:jc w:val="both"/>
        <w:rPr>
          <w:color w:val="000000" w:themeColor="text1"/>
          <w:sz w:val="16"/>
          <w:szCs w:val="16"/>
        </w:rPr>
      </w:pPr>
      <w:r w:rsidRPr="00F90EAE">
        <w:rPr>
          <w:color w:val="000000" w:themeColor="text1"/>
          <w:sz w:val="16"/>
          <w:szCs w:val="16"/>
        </w:rPr>
        <w:t>На территории Австрии севернее Вены войска 2-го Украинского фронта, продолжая наступление, с боями заняли населённые пункты Альт Хефлайн, Гинцерсдорф, Эрдберг, Ветцельсдорф, Амеис, Штаатц, Вультендорф, Фраттингсдорф, Поосдорф, Нидерляйс, Штейнбах и железнодорожные станции Шлетц, Нидерляйс.</w:t>
      </w:r>
    </w:p>
    <w:p w14:paraId="0D1E97D1" w14:textId="77777777" w:rsidR="00DE38A8" w:rsidRPr="00F90EAE" w:rsidRDefault="00DE38A8" w:rsidP="00F90EAE">
      <w:pPr>
        <w:jc w:val="both"/>
        <w:rPr>
          <w:color w:val="000000" w:themeColor="text1"/>
          <w:sz w:val="16"/>
          <w:szCs w:val="16"/>
        </w:rPr>
      </w:pPr>
      <w:r w:rsidRPr="00F90EAE">
        <w:rPr>
          <w:color w:val="000000" w:themeColor="text1"/>
          <w:sz w:val="16"/>
          <w:szCs w:val="16"/>
        </w:rPr>
        <w:t>На остальных участках фронта — бои местного значения и поиски разведчиков.</w:t>
      </w:r>
    </w:p>
    <w:p w14:paraId="69B2E173" w14:textId="77777777" w:rsidR="00DE38A8" w:rsidRPr="00F90EAE" w:rsidRDefault="00DE38A8" w:rsidP="00F90EAE">
      <w:pPr>
        <w:jc w:val="both"/>
        <w:rPr>
          <w:color w:val="000000" w:themeColor="text1"/>
          <w:sz w:val="16"/>
          <w:szCs w:val="16"/>
        </w:rPr>
      </w:pPr>
      <w:r w:rsidRPr="00F90EAE">
        <w:rPr>
          <w:color w:val="000000" w:themeColor="text1"/>
          <w:sz w:val="16"/>
          <w:szCs w:val="16"/>
        </w:rPr>
        <w:t>За 19 апреля на всех фронтах подбито и уничтожено 129 немецких танков. В воздушных боях и огнём зенитной артиллерии сбито 140 самолётов противника.</w:t>
      </w:r>
    </w:p>
    <w:p w14:paraId="0E7FDF48" w14:textId="77777777" w:rsidR="00DE38A8" w:rsidRPr="00F90EAE" w:rsidRDefault="00DE38A8" w:rsidP="00F90EAE">
      <w:pPr>
        <w:jc w:val="both"/>
        <w:rPr>
          <w:color w:val="000000" w:themeColor="text1"/>
          <w:sz w:val="16"/>
          <w:szCs w:val="16"/>
        </w:rPr>
      </w:pPr>
      <w:r w:rsidRPr="00F90EAE">
        <w:rPr>
          <w:color w:val="000000" w:themeColor="text1"/>
          <w:sz w:val="16"/>
          <w:szCs w:val="16"/>
        </w:rPr>
        <w:t>Центральная группа наших войск вела наступательные бои западнее реки Одер и реки Нейсе. На Дрезденском направлении наши войска, переправившись через реку Нейсе, прорвали укреплённые позиции противника. В образовавшиеся бреши двинулись подвижные соединения. Несмотря на трудные условия лесистой местности, изобилующей озёрами и реками, наши войска продвинулись вперёд на 15 километров и вышли к реке Шпрее. На подступах к Шпрее противник сопротивлялся с необычайной яростью. Усилив свои войска тремя танковыми и одной моторизованной дивизиями, гитлеровцы неоднократно переходили в контратаки. Отбрасывая врага, советские пехотинцы, артиллеристы и танкисты уничтожили 56 немецких танков и самоходных орудий. Противник оставил на поле боя тысячи трупов своих солдат и офицеров. Наши войска переправились через реку Шпрее южнее города Шпремберг и, совершив обходный маневр, зажали вражеский гарнизон города в клещи. Немцы понесли тяжёлые потери и в беспорядке отступили. В этом районе захвачено 15 немецких самолетов, 60 орудий и другие трофеи. Развивая успех, наши пехотинцы штурмом овладели городом Гойерсверда. Одновременно советские части подошли к городам Каменц и Бауцен и завязали бои на окраинах этих сильных опорных пунктов обороны противника. Город Каменц находится в 32 километрах северо-восточнее Дрездена.</w:t>
      </w:r>
    </w:p>
    <w:p w14:paraId="5AA59337" w14:textId="77777777" w:rsidR="00DE38A8" w:rsidRPr="00F90EAE" w:rsidRDefault="00DE38A8" w:rsidP="00F90EAE">
      <w:pPr>
        <w:jc w:val="both"/>
        <w:rPr>
          <w:color w:val="000000" w:themeColor="text1"/>
          <w:sz w:val="16"/>
          <w:szCs w:val="16"/>
        </w:rPr>
      </w:pPr>
      <w:r w:rsidRPr="00F90EAE">
        <w:rPr>
          <w:color w:val="000000" w:themeColor="text1"/>
          <w:sz w:val="16"/>
          <w:szCs w:val="16"/>
        </w:rPr>
        <w:t>Западнее раки Одер наши войска, преодолевая мощные укрепления немцев, овладели городом Бад-Фрайенвальде. Другие наши части, продвигаясь вперёд, завязали бои за крупный узел путей сообщения — город Врицен. Советские пехотинцы ворвались в город с юга и в ожесточенном бою разгромили вражеский гарнизон. В боях за Врицен уничтожено свыше 2 тысяч немецких солдат и офицеров.</w:t>
      </w:r>
    </w:p>
    <w:p w14:paraId="1D0D7874" w14:textId="77777777" w:rsidR="00DE38A8" w:rsidRPr="00F90EAE" w:rsidRDefault="00DE38A8" w:rsidP="00F90EAE">
      <w:pPr>
        <w:jc w:val="both"/>
        <w:rPr>
          <w:color w:val="000000" w:themeColor="text1"/>
          <w:sz w:val="16"/>
          <w:szCs w:val="16"/>
        </w:rPr>
      </w:pPr>
      <w:r w:rsidRPr="00F90EAE">
        <w:rPr>
          <w:color w:val="000000" w:themeColor="text1"/>
          <w:sz w:val="16"/>
          <w:szCs w:val="16"/>
        </w:rPr>
        <w:t>Наша авиация оказывала мощную поддержку наземным войскам. Советские летчики бомбардировочными и штурмовыми ударами разрушают оборонительные сооружения противника и уничтожают его живую силу и технику. В воздушных боях за день сбито 90 немецких самолётов. Кроме того, 34 самолёта противника сбиты огнём нашей зенитной артиллерии.</w:t>
      </w:r>
    </w:p>
    <w:p w14:paraId="28D2BAF5" w14:textId="77777777" w:rsidR="00DE38A8" w:rsidRPr="00F90EAE" w:rsidRDefault="00DE38A8" w:rsidP="00F90EAE">
      <w:pPr>
        <w:jc w:val="both"/>
        <w:rPr>
          <w:color w:val="000000" w:themeColor="text1"/>
          <w:sz w:val="16"/>
          <w:szCs w:val="16"/>
        </w:rPr>
      </w:pPr>
      <w:r w:rsidRPr="00F90EAE">
        <w:rPr>
          <w:color w:val="000000" w:themeColor="text1"/>
          <w:sz w:val="16"/>
          <w:szCs w:val="16"/>
        </w:rPr>
        <w:t>Юго-западнее и южнее города Ратибор войска 4-го Украинского фронта с боями продвигались вперёд. Сломив сопротивление противника, наши подразделения переправились через реку Опава и захватили несколько высот. Вся прибрежная местность в этом районе изрезана линиями окопов и траншей, прикрытых несколькими рядами колючей проволоки и минными полями. Опираясь на этот рубеж, немцы предприняли несколько контратак. Советские пехотинцы отбили вражеские контратаки, а затем стремительным ударом овладели населённым пунктом Хабичов. Железная дорога, связывающая города Опава и Моравска Острава, перерезана. Продолжая бои по расширению плацдарма, наши войска натолкнулись на сеть долговременных бетонированных сооружений. Советские штурмовые группы к исходу дня овладели несколькими дотами противника. После упорного боя занят опорный пункт Комаров, расположенный в 4 километрах юго-восточнее города Опава.</w:t>
      </w:r>
    </w:p>
    <w:p w14:paraId="375B010D" w14:textId="77777777" w:rsidR="00DE38A8" w:rsidRPr="00F90EAE" w:rsidRDefault="00DE38A8" w:rsidP="00F90EAE">
      <w:pPr>
        <w:jc w:val="both"/>
        <w:rPr>
          <w:color w:val="000000" w:themeColor="text1"/>
          <w:sz w:val="16"/>
          <w:szCs w:val="16"/>
        </w:rPr>
      </w:pPr>
      <w:r w:rsidRPr="00F90EAE">
        <w:rPr>
          <w:color w:val="000000" w:themeColor="text1"/>
          <w:sz w:val="16"/>
          <w:szCs w:val="16"/>
        </w:rPr>
        <w:t>Севернее Вены войска 2-го Украинского фронта продолжали наступление. Противник, укрепившись на промежуточных рубежах обороны, оказывает упорное сопротивление и часто переходит в контратаки. В ожесточённом бою советские гвардейские части выбили немцев из нескольких населенных пунктов. Другие наши части, наступающие вдоль автострады на север, продвинулись вперёд на 10 километров. В одном районе танкисты гвардии капитана Новосёлова лощинами скрытно обошли сильно укреплённый узел сопротивления противника и атаковали его с тыла. В непродолжительном бою немецкий гарнизон был разгромлен. Советские танкисты уничтожили более 200 гитлеровцев. Взяты пленные, в числе которых командир отдельного артиллерийского дивизиона противника.</w:t>
      </w:r>
    </w:p>
    <w:p w14:paraId="39442478" w14:textId="77777777" w:rsidR="00DE38A8" w:rsidRPr="00F90EAE" w:rsidRDefault="00DE38A8" w:rsidP="00F90EAE">
      <w:pPr>
        <w:jc w:val="both"/>
        <w:rPr>
          <w:color w:val="000000" w:themeColor="text1"/>
          <w:sz w:val="16"/>
          <w:szCs w:val="16"/>
        </w:rPr>
      </w:pPr>
      <w:r w:rsidRPr="00F90EAE">
        <w:rPr>
          <w:color w:val="000000" w:themeColor="text1"/>
          <w:sz w:val="16"/>
          <w:szCs w:val="16"/>
        </w:rPr>
        <w:t>За день боёв на разных участках захвачено у немцев 15 танков, 30 орущий, 8 бронетранспортеров, 40 паровозов, 457 железнодорожных вагонов и 126 цистерн, а также 17 складов с боеприпасами и разным военным имуществом. Взято в плен 960 немецких солдат и офицеров.</w:t>
      </w:r>
    </w:p>
    <w:p w14:paraId="0637D3C8" w14:textId="77777777" w:rsidR="00DE38A8" w:rsidRPr="00F90EAE" w:rsidRDefault="00DE38A8" w:rsidP="00F90EAE">
      <w:pPr>
        <w:jc w:val="both"/>
        <w:rPr>
          <w:color w:val="000000" w:themeColor="text1"/>
          <w:sz w:val="16"/>
          <w:szCs w:val="16"/>
        </w:rPr>
      </w:pPr>
      <w:r w:rsidRPr="00F90EAE">
        <w:rPr>
          <w:color w:val="000000" w:themeColor="text1"/>
          <w:sz w:val="16"/>
          <w:szCs w:val="16"/>
        </w:rPr>
        <w:t>Авиацией Краснознаменого Балтийского флота в порту Пиллау и северо-западнее Пиллау потоплены четыре немецких транспорта общим водоизмещением в 15 тысяч тонн и четыре танкера водоизмещением в 14 тысяч танн.</w:t>
      </w:r>
    </w:p>
    <w:p w14:paraId="26C45E60" w14:textId="77777777" w:rsidR="00DE38A8" w:rsidRPr="00F90EAE" w:rsidRDefault="00DE38A8" w:rsidP="00F90EAE">
      <w:pPr>
        <w:jc w:val="both"/>
        <w:rPr>
          <w:color w:val="000000" w:themeColor="text1"/>
          <w:sz w:val="16"/>
          <w:szCs w:val="16"/>
        </w:rPr>
      </w:pPr>
      <w:r w:rsidRPr="00F90EAE">
        <w:rPr>
          <w:color w:val="000000" w:themeColor="text1"/>
          <w:sz w:val="16"/>
          <w:szCs w:val="16"/>
        </w:rPr>
        <w:t>Кораблями флота в Балтийском маре потоплен транспорт противника водоизмещением в 8 тысяч тонн.» (15105).</w:t>
      </w:r>
    </w:p>
    <w:p w14:paraId="56653DA0" w14:textId="77777777" w:rsidR="00DE38A8" w:rsidRPr="00F90EAE" w:rsidRDefault="00DE38A8" w:rsidP="00F90EAE">
      <w:pPr>
        <w:jc w:val="both"/>
        <w:rPr>
          <w:color w:val="000000" w:themeColor="text1"/>
          <w:sz w:val="16"/>
          <w:szCs w:val="16"/>
        </w:rPr>
      </w:pPr>
    </w:p>
    <w:p w14:paraId="04F9F82C" w14:textId="77777777" w:rsidR="00DE38A8" w:rsidRPr="00F90EAE" w:rsidRDefault="00DE38A8" w:rsidP="00F90EAE">
      <w:pPr>
        <w:jc w:val="both"/>
        <w:rPr>
          <w:color w:val="000000" w:themeColor="text1"/>
          <w:sz w:val="16"/>
          <w:szCs w:val="16"/>
        </w:rPr>
      </w:pPr>
      <w:r w:rsidRPr="00F90EAE">
        <w:rPr>
          <w:color w:val="000000" w:themeColor="text1"/>
          <w:sz w:val="16"/>
          <w:szCs w:val="16"/>
        </w:rPr>
        <w:t>20 апреля в 1945 году директива Ставки ВГК о доведении до войск знаков и сигналов для опознавания при встрече советских и американо-английских войск (15105).</w:t>
      </w:r>
    </w:p>
    <w:p w14:paraId="04B269AF" w14:textId="77777777" w:rsidR="00DE38A8" w:rsidRPr="00F90EAE" w:rsidRDefault="00DE38A8" w:rsidP="00F90EAE">
      <w:pPr>
        <w:jc w:val="both"/>
        <w:rPr>
          <w:color w:val="000000" w:themeColor="text1"/>
          <w:sz w:val="16"/>
          <w:szCs w:val="16"/>
        </w:rPr>
      </w:pPr>
    </w:p>
    <w:p w14:paraId="4B8D0C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когда во время штурмовки войск в районе деревни Дарвец был сбит экипаж младшего лейтенанта Кутьева со стрелком сержантом Мартыновым. Это были первые потери в 108 шап В этот же день, выполняя третий вылет в район Берлина, был сбит зенитками экипаж младшего лейтенанта Древаля со стрелком сержантом Прянишниковым. Летчик успел выпрыгнуть с парашютом, а стрелок погиб еще в воздухе (8683,37).</w:t>
      </w:r>
    </w:p>
    <w:p w14:paraId="7D311772" w14:textId="77777777" w:rsidR="00665165" w:rsidRPr="00F90EAE" w:rsidRDefault="00665165" w:rsidP="00F90EAE">
      <w:pPr>
        <w:autoSpaceDE w:val="0"/>
        <w:autoSpaceDN w:val="0"/>
        <w:adjustRightInd w:val="0"/>
        <w:jc w:val="both"/>
        <w:rPr>
          <w:color w:val="000000" w:themeColor="text1"/>
          <w:sz w:val="16"/>
          <w:szCs w:val="16"/>
        </w:rPr>
      </w:pPr>
    </w:p>
    <w:p w14:paraId="5F5D5D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на шестой день участия 108 гшап в боевых действиях был сбит самолет младшего лейтенанта Кутьева. В него попал зе</w:t>
      </w:r>
      <w:r w:rsidRPr="00F90EAE">
        <w:rPr>
          <w:color w:val="000000" w:themeColor="text1"/>
          <w:sz w:val="16"/>
          <w:szCs w:val="16"/>
        </w:rPr>
        <w:softHyphen/>
        <w:t>нитный снаряд среднего калибра. По докладам экипажей, у штурмовика ото</w:t>
      </w:r>
      <w:r w:rsidRPr="00F90EAE">
        <w:rPr>
          <w:color w:val="000000" w:themeColor="text1"/>
          <w:sz w:val="16"/>
          <w:szCs w:val="16"/>
        </w:rPr>
        <w:softHyphen/>
        <w:t>рвало плоскость, он перешел в штопор и взорвался при ударе о землю. В этот же день имел место первый и единственный воздушный бой. На пути следо</w:t>
      </w:r>
      <w:r w:rsidRPr="00F90EAE">
        <w:rPr>
          <w:color w:val="000000" w:themeColor="text1"/>
          <w:sz w:val="16"/>
          <w:szCs w:val="16"/>
        </w:rPr>
        <w:softHyphen/>
        <w:t>вания к цели семерки капитана Сироткина крайний в строю штурмовик неожи</w:t>
      </w:r>
      <w:r w:rsidRPr="00F90EAE">
        <w:rPr>
          <w:color w:val="000000" w:themeColor="text1"/>
          <w:sz w:val="16"/>
          <w:szCs w:val="16"/>
        </w:rPr>
        <w:softHyphen/>
        <w:t>данно был атакован парой ФВ190. Ата</w:t>
      </w:r>
      <w:r w:rsidRPr="00F90EAE">
        <w:rPr>
          <w:color w:val="000000" w:themeColor="text1"/>
          <w:sz w:val="16"/>
          <w:szCs w:val="16"/>
        </w:rPr>
        <w:softHyphen/>
        <w:t>ка производилась одновременно снизу и сверху. Ил-10 получил шесть пробоин в крыле. Стрелки отогнали немцев. Больше истребители противника летчи</w:t>
      </w:r>
      <w:r w:rsidRPr="00F90EAE">
        <w:rPr>
          <w:color w:val="000000" w:themeColor="text1"/>
          <w:sz w:val="16"/>
          <w:szCs w:val="16"/>
        </w:rPr>
        <w:softHyphen/>
        <w:t>кам полка вообще не попадались. 20 апреля, не вернул</w:t>
      </w:r>
      <w:r w:rsidRPr="00F90EAE">
        <w:rPr>
          <w:color w:val="000000" w:themeColor="text1"/>
          <w:sz w:val="16"/>
          <w:szCs w:val="16"/>
        </w:rPr>
        <w:softHyphen/>
        <w:t>ся с боевого задания экипаж младшего лейтенанта Древаля, вылетевший в со</w:t>
      </w:r>
      <w:r w:rsidRPr="00F90EAE">
        <w:rPr>
          <w:color w:val="000000" w:themeColor="text1"/>
          <w:sz w:val="16"/>
          <w:szCs w:val="16"/>
        </w:rPr>
        <w:softHyphen/>
        <w:t>ставе десятки Ил-10 для нанесения уда</w:t>
      </w:r>
      <w:r w:rsidRPr="00F90EAE">
        <w:rPr>
          <w:color w:val="000000" w:themeColor="text1"/>
          <w:sz w:val="16"/>
          <w:szCs w:val="16"/>
        </w:rPr>
        <w:softHyphen/>
        <w:t>ра по артиллерийским позициям на се</w:t>
      </w:r>
      <w:r w:rsidRPr="00F90EAE">
        <w:rPr>
          <w:color w:val="000000" w:themeColor="text1"/>
          <w:sz w:val="16"/>
          <w:szCs w:val="16"/>
        </w:rPr>
        <w:softHyphen/>
        <w:t>веро-восточной окраине Коттбуса. По докладам экипажей, самолет Древаля загорелся над целью в результате пря</w:t>
      </w:r>
      <w:r w:rsidRPr="00F90EAE">
        <w:rPr>
          <w:color w:val="000000" w:themeColor="text1"/>
          <w:sz w:val="16"/>
          <w:szCs w:val="16"/>
        </w:rPr>
        <w:softHyphen/>
        <w:t>мого попадания малокалиберного зенит</w:t>
      </w:r>
      <w:r w:rsidRPr="00F90EAE">
        <w:rPr>
          <w:color w:val="000000" w:themeColor="text1"/>
          <w:sz w:val="16"/>
          <w:szCs w:val="16"/>
        </w:rPr>
        <w:softHyphen/>
        <w:t>ного снаряда. Летчик стал тянуть на свою территорию. У шоссе Кляйн-Лисков из самолета выбросился один пара</w:t>
      </w:r>
      <w:r w:rsidRPr="00F90EAE">
        <w:rPr>
          <w:color w:val="000000" w:themeColor="text1"/>
          <w:sz w:val="16"/>
          <w:szCs w:val="16"/>
        </w:rPr>
        <w:softHyphen/>
        <w:t>шютист. Штурмовик врезался в землю в полукилометре от шоссе и взорвался. Вернувшийся через несколько дней в часть Древаль рассказал, как развива</w:t>
      </w:r>
      <w:r w:rsidRPr="00F90EAE">
        <w:rPr>
          <w:color w:val="000000" w:themeColor="text1"/>
          <w:sz w:val="16"/>
          <w:szCs w:val="16"/>
        </w:rPr>
        <w:softHyphen/>
        <w:t>лись события. На маршруте к цели мо</w:t>
      </w:r>
      <w:r w:rsidRPr="00F90EAE">
        <w:rPr>
          <w:color w:val="000000" w:themeColor="text1"/>
          <w:sz w:val="16"/>
          <w:szCs w:val="16"/>
        </w:rPr>
        <w:softHyphen/>
        <w:t>тор стал перегреваться. Принимая ме</w:t>
      </w:r>
      <w:r w:rsidRPr="00F90EAE">
        <w:rPr>
          <w:color w:val="000000" w:themeColor="text1"/>
          <w:sz w:val="16"/>
          <w:szCs w:val="16"/>
        </w:rPr>
        <w:softHyphen/>
        <w:t>ры для его охлаждения, Древаль вместе с группой долетел до Коттбуса. На выхо</w:t>
      </w:r>
      <w:r w:rsidRPr="00F90EAE">
        <w:rPr>
          <w:color w:val="000000" w:themeColor="text1"/>
          <w:sz w:val="16"/>
          <w:szCs w:val="16"/>
        </w:rPr>
        <w:softHyphen/>
        <w:t>де из атаки мотор стал давать сильные перебои, из патрубков показался белый дым, который начал проникать в кабину. Древаль развернул самолет на юго-вос</w:t>
      </w:r>
      <w:r w:rsidRPr="00F90EAE">
        <w:rPr>
          <w:color w:val="000000" w:themeColor="text1"/>
          <w:sz w:val="16"/>
          <w:szCs w:val="16"/>
        </w:rPr>
        <w:softHyphen/>
        <w:t>ток и предпринял попытку планировать на свою территорию. Когда в кабине по</w:t>
      </w:r>
      <w:r w:rsidRPr="00F90EAE">
        <w:rPr>
          <w:color w:val="000000" w:themeColor="text1"/>
          <w:sz w:val="16"/>
          <w:szCs w:val="16"/>
        </w:rPr>
        <w:softHyphen/>
        <w:t>явилось пламя, летчик дал команду стрелку прыгать и сам оставил самолет. Спускаясь на парашюте, он наблюдал взрыв, а после приземления потерял со</w:t>
      </w:r>
      <w:r w:rsidRPr="00F90EAE">
        <w:rPr>
          <w:color w:val="000000" w:themeColor="text1"/>
          <w:sz w:val="16"/>
          <w:szCs w:val="16"/>
        </w:rPr>
        <w:softHyphen/>
        <w:t>знание. Пришел в себя, когда немецкие солдаты снимали с него парашют. Затем были плен, побег в ночь с 28 на 29 апре</w:t>
      </w:r>
      <w:r w:rsidRPr="00F90EAE">
        <w:rPr>
          <w:color w:val="000000" w:themeColor="text1"/>
          <w:sz w:val="16"/>
          <w:szCs w:val="16"/>
        </w:rPr>
        <w:softHyphen/>
        <w:t>ля, счастливая встреча с пехотинцами из 77-й стрелковой дивизии и радостное возвращение в родной полк 1 мая (10681).</w:t>
      </w:r>
    </w:p>
    <w:p w14:paraId="1BE1CFBD" w14:textId="77777777" w:rsidR="00665165" w:rsidRPr="00F90EAE" w:rsidRDefault="00665165" w:rsidP="00F90EAE">
      <w:pPr>
        <w:autoSpaceDE w:val="0"/>
        <w:autoSpaceDN w:val="0"/>
        <w:adjustRightInd w:val="0"/>
        <w:jc w:val="both"/>
        <w:rPr>
          <w:color w:val="000000" w:themeColor="text1"/>
          <w:sz w:val="16"/>
          <w:szCs w:val="16"/>
        </w:rPr>
      </w:pPr>
    </w:p>
    <w:p w14:paraId="40EB42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апреля 1945 от огня немецких зенитчиков из района Ширизов был сбит экипаж мл. л-та Кутьева (воздушный стрелок ст. сер</w:t>
      </w:r>
      <w:r w:rsidRPr="00F90EAE">
        <w:rPr>
          <w:color w:val="000000" w:themeColor="text1"/>
          <w:sz w:val="16"/>
          <w:szCs w:val="16"/>
        </w:rPr>
        <w:softHyphen/>
        <w:t>жант Мартынов). В Ил-10 (зав. № 103904) Кутьева попал зенитный снаряд среднего калибра. По докла</w:t>
      </w:r>
      <w:r w:rsidRPr="00F90EAE">
        <w:rPr>
          <w:color w:val="000000" w:themeColor="text1"/>
          <w:sz w:val="16"/>
          <w:szCs w:val="16"/>
        </w:rPr>
        <w:softHyphen/>
        <w:t>дам экипажей у самолета была отбита плоскость, самолет перешел в штопор и взорвался при ударе о землю в 500 м к востоку от Ширизов.</w:t>
      </w:r>
    </w:p>
    <w:p w14:paraId="1C5D55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Группа в составе 7 Ил-10 (ведущий к-н Сироткин) провела первый и един</w:t>
      </w:r>
      <w:r w:rsidRPr="00F90EAE">
        <w:rPr>
          <w:color w:val="000000" w:themeColor="text1"/>
          <w:sz w:val="16"/>
          <w:szCs w:val="16"/>
        </w:rPr>
        <w:softHyphen/>
        <w:t>ственный, воздушный бой с немецки</w:t>
      </w:r>
      <w:r w:rsidRPr="00F90EAE">
        <w:rPr>
          <w:color w:val="000000" w:themeColor="text1"/>
          <w:sz w:val="16"/>
          <w:szCs w:val="16"/>
        </w:rPr>
        <w:softHyphen/>
        <w:t>ми истребителями. На пути следования к цели крайний в строю штурмовик неожиданно был атакован парой ФВ190. Атака производилась одновре</w:t>
      </w:r>
      <w:r w:rsidRPr="00F90EAE">
        <w:rPr>
          <w:color w:val="000000" w:themeColor="text1"/>
          <w:sz w:val="16"/>
          <w:szCs w:val="16"/>
        </w:rPr>
        <w:softHyphen/>
        <w:t>менно снизу и сверху. В результате Ил-10 (зав. № 1890603) получил 6 про</w:t>
      </w:r>
      <w:r w:rsidRPr="00F90EAE">
        <w:rPr>
          <w:color w:val="000000" w:themeColor="text1"/>
          <w:sz w:val="16"/>
          <w:szCs w:val="16"/>
        </w:rPr>
        <w:softHyphen/>
        <w:t>боин в плоскости. Организованным ог</w:t>
      </w:r>
      <w:r w:rsidRPr="00F90EAE">
        <w:rPr>
          <w:color w:val="000000" w:themeColor="text1"/>
          <w:sz w:val="16"/>
          <w:szCs w:val="16"/>
        </w:rPr>
        <w:softHyphen/>
        <w:t>нем воздушных стрелков истребители противника были отогнаны и больше атак не производили. В дальнейшем, ни встреч с истребителями люфтваффе, ни воздушных боев не отмечалось. Авиа</w:t>
      </w:r>
      <w:r w:rsidRPr="00F90EAE">
        <w:rPr>
          <w:color w:val="000000" w:themeColor="text1"/>
          <w:sz w:val="16"/>
          <w:szCs w:val="16"/>
        </w:rPr>
        <w:softHyphen/>
        <w:t>ционные гранаты АГ-2 экипажами в воздушных боях не применялись.</w:t>
      </w:r>
    </w:p>
    <w:p w14:paraId="43A520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этот день не вернулся из боевого задания экипаж мл. л-та Древаль (воз</w:t>
      </w:r>
      <w:r w:rsidRPr="00F90EAE">
        <w:rPr>
          <w:color w:val="000000" w:themeColor="text1"/>
          <w:sz w:val="16"/>
          <w:szCs w:val="16"/>
        </w:rPr>
        <w:softHyphen/>
        <w:t>душный стрелок мл. сержант Прянич</w:t>
      </w:r>
      <w:r w:rsidRPr="00F90EAE">
        <w:rPr>
          <w:color w:val="000000" w:themeColor="text1"/>
          <w:sz w:val="16"/>
          <w:szCs w:val="16"/>
        </w:rPr>
        <w:softHyphen/>
        <w:t>ников), который в период 15.55-16.55 вылетал в составе группы из 10 Ил-10 (ведущий к-н Новиков) для нанесения бомбоштурмового удара по артилле</w:t>
      </w:r>
      <w:r w:rsidRPr="00F90EAE">
        <w:rPr>
          <w:color w:val="000000" w:themeColor="text1"/>
          <w:sz w:val="16"/>
          <w:szCs w:val="16"/>
        </w:rPr>
        <w:softHyphen/>
        <w:t>рийским позициям на северо-восточ</w:t>
      </w:r>
      <w:r w:rsidRPr="00F90EAE">
        <w:rPr>
          <w:color w:val="000000" w:themeColor="text1"/>
          <w:sz w:val="16"/>
          <w:szCs w:val="16"/>
        </w:rPr>
        <w:softHyphen/>
        <w:t>ной окраине Коттбуса. По докладам эки</w:t>
      </w:r>
      <w:r w:rsidRPr="00F90EAE">
        <w:rPr>
          <w:color w:val="000000" w:themeColor="text1"/>
          <w:sz w:val="16"/>
          <w:szCs w:val="16"/>
        </w:rPr>
        <w:softHyphen/>
        <w:t>пажей из состава группы самолет Древаля загорелся над целью в результате прямого попадания малокалиберного зенитного снаряда. Летчик стал тянуть на свою территорию. После того, как самолет достиг шоссе Кляйн Лисков, из самолета выбросился один парашю</w:t>
      </w:r>
      <w:r w:rsidRPr="00F90EAE">
        <w:rPr>
          <w:color w:val="000000" w:themeColor="text1"/>
          <w:sz w:val="16"/>
          <w:szCs w:val="16"/>
        </w:rPr>
        <w:softHyphen/>
        <w:t>тист. Самолет врезался в землю в 500 м к юго-востоку от шоссе и взорвался.</w:t>
      </w:r>
    </w:p>
    <w:p w14:paraId="30EC3A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Вернувшийся через несколько дней мл. л-т Древаль уточнил как развива</w:t>
      </w:r>
      <w:r w:rsidRPr="00F90EAE">
        <w:rPr>
          <w:color w:val="000000" w:themeColor="text1"/>
          <w:sz w:val="16"/>
          <w:szCs w:val="16"/>
        </w:rPr>
        <w:softHyphen/>
        <w:t>лись события в тот злополучный день. На маршруте к цели мотор его самоле</w:t>
      </w:r>
      <w:r w:rsidRPr="00F90EAE">
        <w:rPr>
          <w:color w:val="000000" w:themeColor="text1"/>
          <w:sz w:val="16"/>
          <w:szCs w:val="16"/>
        </w:rPr>
        <w:softHyphen/>
        <w:t>та стал перегреваться. Принимая все меры для охлаждения мотора, Древаль вышел вместе с группой в район Кот-тбус. На выходе из атаки мотор стал давать сильные перебои, из патрубков показался белый дым, который стал проникать в кабину. Древаль развер</w:t>
      </w:r>
      <w:r w:rsidRPr="00F90EAE">
        <w:rPr>
          <w:color w:val="000000" w:themeColor="text1"/>
          <w:sz w:val="16"/>
          <w:szCs w:val="16"/>
        </w:rPr>
        <w:softHyphen/>
        <w:t>нул самолет на юго-восток и с высоты 800 м начал планировать на свою тер</w:t>
      </w:r>
      <w:r w:rsidRPr="00F90EAE">
        <w:rPr>
          <w:color w:val="000000" w:themeColor="text1"/>
          <w:sz w:val="16"/>
          <w:szCs w:val="16"/>
        </w:rPr>
        <w:softHyphen/>
        <w:t>риторию. Когда в кабине появилось пламя, летчик дал команду воздушно</w:t>
      </w:r>
      <w:r w:rsidRPr="00F90EAE">
        <w:rPr>
          <w:color w:val="000000" w:themeColor="text1"/>
          <w:sz w:val="16"/>
          <w:szCs w:val="16"/>
        </w:rPr>
        <w:softHyphen/>
        <w:t>му стрелку прыгать с парашютом. При</w:t>
      </w:r>
      <w:r w:rsidRPr="00F90EAE">
        <w:rPr>
          <w:color w:val="000000" w:themeColor="text1"/>
          <w:sz w:val="16"/>
          <w:szCs w:val="16"/>
        </w:rPr>
        <w:softHyphen/>
        <w:t>мерно на высоте 200 м Древаль оста</w:t>
      </w:r>
      <w:r w:rsidRPr="00F90EAE">
        <w:rPr>
          <w:color w:val="000000" w:themeColor="text1"/>
          <w:sz w:val="16"/>
          <w:szCs w:val="16"/>
        </w:rPr>
        <w:softHyphen/>
        <w:t>вил самолет. Спускаясь на парашюте, наблюдал взрыв самолета при ударе о землю. После приземления потерял сознание. Пришел в себя, когда немец</w:t>
      </w:r>
      <w:r w:rsidRPr="00F90EAE">
        <w:rPr>
          <w:color w:val="000000" w:themeColor="text1"/>
          <w:sz w:val="16"/>
          <w:szCs w:val="16"/>
        </w:rPr>
        <w:softHyphen/>
        <w:t>кие солдаты-Снимали с него парашют. Затем были плен, побег из плена в ночь с 28 на 29 апреля, счастливая встреча с пехотинцами из 77-й стрелковой дивизии и радостное возвращение в родной полк 1 мая.</w:t>
      </w:r>
    </w:p>
    <w:p w14:paraId="718283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701B3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и 21 апреля 1941 571-м гшап велись воздушные бои велись. Высокая активность вражеских истребителей и зенитной артиллерии объясняется важностью для немецкого командования района Моравска-Остра-ва. Во всех случаях нападение осуще</w:t>
      </w:r>
      <w:r w:rsidRPr="00F90EAE">
        <w:rPr>
          <w:color w:val="000000" w:themeColor="text1"/>
          <w:sz w:val="16"/>
          <w:szCs w:val="16"/>
        </w:rPr>
        <w:softHyphen/>
        <w:t>ствляли одна-две пары или шесть - де</w:t>
      </w:r>
      <w:r w:rsidRPr="00F90EAE">
        <w:rPr>
          <w:color w:val="000000" w:themeColor="text1"/>
          <w:sz w:val="16"/>
          <w:szCs w:val="16"/>
        </w:rPr>
        <w:softHyphen/>
        <w:t>вять самолетов, которые пытались про</w:t>
      </w:r>
      <w:r w:rsidRPr="00F90EAE">
        <w:rPr>
          <w:color w:val="000000" w:themeColor="text1"/>
          <w:sz w:val="16"/>
          <w:szCs w:val="16"/>
        </w:rPr>
        <w:softHyphen/>
        <w:t>вести одну неожиданную, но результа</w:t>
      </w:r>
      <w:r w:rsidRPr="00F90EAE">
        <w:rPr>
          <w:color w:val="000000" w:themeColor="text1"/>
          <w:sz w:val="16"/>
          <w:szCs w:val="16"/>
        </w:rPr>
        <w:softHyphen/>
        <w:t>тивную атаку, используя для маскировки солнце и облачность. В затяжные бои немецкие пилоты старались не ввязы</w:t>
      </w:r>
      <w:r w:rsidRPr="00F90EAE">
        <w:rPr>
          <w:color w:val="000000" w:themeColor="text1"/>
          <w:sz w:val="16"/>
          <w:szCs w:val="16"/>
        </w:rPr>
        <w:softHyphen/>
        <w:t>ваться. Авиационные гранаты АГ-2 ни в одном из воздушных боев экипажами штурмовиков не применялись. При появлении истребителей против</w:t>
      </w:r>
      <w:r w:rsidRPr="00F90EAE">
        <w:rPr>
          <w:color w:val="000000" w:themeColor="text1"/>
          <w:sz w:val="16"/>
          <w:szCs w:val="16"/>
        </w:rPr>
        <w:softHyphen/>
        <w:t>ника Ил-10 становились в оборонитель</w:t>
      </w:r>
      <w:r w:rsidRPr="00F90EAE">
        <w:rPr>
          <w:color w:val="000000" w:themeColor="text1"/>
          <w:sz w:val="16"/>
          <w:szCs w:val="16"/>
        </w:rPr>
        <w:softHyphen/>
        <w:t>ный круг. Дистанция между самолетами в круге из шести - восьми машин со</w:t>
      </w:r>
      <w:r w:rsidRPr="00F90EAE">
        <w:rPr>
          <w:color w:val="000000" w:themeColor="text1"/>
          <w:sz w:val="16"/>
          <w:szCs w:val="16"/>
        </w:rPr>
        <w:softHyphen/>
        <w:t>ставляла 200 - 300 м. При попытке ата</w:t>
      </w:r>
      <w:r w:rsidRPr="00F90EAE">
        <w:rPr>
          <w:color w:val="000000" w:themeColor="text1"/>
          <w:sz w:val="16"/>
          <w:szCs w:val="16"/>
        </w:rPr>
        <w:softHyphen/>
        <w:t>ковать штурмовики, ведомые энергич</w:t>
      </w:r>
      <w:r w:rsidRPr="00F90EAE">
        <w:rPr>
          <w:color w:val="000000" w:themeColor="text1"/>
          <w:sz w:val="16"/>
          <w:szCs w:val="16"/>
        </w:rPr>
        <w:softHyphen/>
      </w:r>
      <w:r w:rsidRPr="00F90EAE">
        <w:rPr>
          <w:color w:val="000000" w:themeColor="text1"/>
          <w:sz w:val="16"/>
          <w:szCs w:val="16"/>
        </w:rPr>
        <w:lastRenderedPageBreak/>
        <w:t>ным отворотом на 30 - 45° в сторону ис</w:t>
      </w:r>
      <w:r w:rsidRPr="00F90EAE">
        <w:rPr>
          <w:color w:val="000000" w:themeColor="text1"/>
          <w:sz w:val="16"/>
          <w:szCs w:val="16"/>
        </w:rPr>
        <w:softHyphen/>
        <w:t>требителей, отражали атаки и затем легко возвращались на свое место в строю за счет «запаса скорости, манев</w:t>
      </w:r>
      <w:r w:rsidRPr="00F90EAE">
        <w:rPr>
          <w:color w:val="000000" w:themeColor="text1"/>
          <w:sz w:val="16"/>
          <w:szCs w:val="16"/>
        </w:rPr>
        <w:softHyphen/>
        <w:t>ренности и легкости в управлении». Пилоты Люфтваффе искусно взаимо</w:t>
      </w:r>
      <w:r w:rsidRPr="00F90EAE">
        <w:rPr>
          <w:color w:val="000000" w:themeColor="text1"/>
          <w:sz w:val="16"/>
          <w:szCs w:val="16"/>
        </w:rPr>
        <w:softHyphen/>
        <w:t>действовали со своими зенитчиками. Как правило, противник огнем зенитной ар</w:t>
      </w:r>
      <w:r w:rsidRPr="00F90EAE">
        <w:rPr>
          <w:color w:val="000000" w:themeColor="text1"/>
          <w:sz w:val="16"/>
          <w:szCs w:val="16"/>
        </w:rPr>
        <w:softHyphen/>
        <w:t>тиллерии пытался разбить строй группы штурмовиков, чтобы истребители имели возможность атаковать отдельные само</w:t>
      </w:r>
      <w:r w:rsidRPr="00F90EAE">
        <w:rPr>
          <w:color w:val="000000" w:themeColor="text1"/>
          <w:sz w:val="16"/>
          <w:szCs w:val="16"/>
        </w:rPr>
        <w:softHyphen/>
        <w:t>леты. И наоборот, истребители имитиро</w:t>
      </w:r>
      <w:r w:rsidRPr="00F90EAE">
        <w:rPr>
          <w:color w:val="000000" w:themeColor="text1"/>
          <w:sz w:val="16"/>
          <w:szCs w:val="16"/>
        </w:rPr>
        <w:softHyphen/>
        <w:t>вали атаки на штурмовики, заставляя по</w:t>
      </w:r>
      <w:r w:rsidRPr="00F90EAE">
        <w:rPr>
          <w:color w:val="000000" w:themeColor="text1"/>
          <w:sz w:val="16"/>
          <w:szCs w:val="16"/>
        </w:rPr>
        <w:softHyphen/>
        <w:t>следних сближаться, что облегчало рас</w:t>
      </w:r>
      <w:r w:rsidRPr="00F90EAE">
        <w:rPr>
          <w:color w:val="000000" w:themeColor="text1"/>
          <w:sz w:val="16"/>
          <w:szCs w:val="16"/>
        </w:rPr>
        <w:softHyphen/>
        <w:t>четам на земле ведение огня. Фронтовой дебют Ил-10 был доста</w:t>
      </w:r>
      <w:r w:rsidRPr="00F90EAE">
        <w:rPr>
          <w:color w:val="000000" w:themeColor="text1"/>
          <w:sz w:val="16"/>
          <w:szCs w:val="16"/>
        </w:rPr>
        <w:softHyphen/>
        <w:t>точно успешным. 27 апреля за отличную работу на поле боя в районе Тржебовице и Поруба 571-й шап получил благо</w:t>
      </w:r>
      <w:r w:rsidRPr="00F90EAE">
        <w:rPr>
          <w:color w:val="000000" w:themeColor="text1"/>
          <w:sz w:val="16"/>
          <w:szCs w:val="16"/>
        </w:rPr>
        <w:softHyphen/>
        <w:t>дарность от командующего 60-й армией генерала П.А. Курочкина (10681).</w:t>
      </w:r>
    </w:p>
    <w:p w14:paraId="575F5F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E89FB2"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20 и 21 апреля 1945 Ил-10 571 шап велись велись воздушные бои также. Во всех случаях встречались группы истребителей люфтваффе обычно в составе одной -двух пар или 6-9 самолетов, которые пытались провести одну неожиданную, но результативную атаку, используя для этого солнце и облачность. В затяжные воздушные бои немецкие пилоты старались не ввязываться.</w:t>
      </w:r>
    </w:p>
    <w:p w14:paraId="77430E75"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Стоявшие на вооружении Ил-10 авиационные гранаты АГ-2 ни в одном из воздушных боев экипажами не применялись.</w:t>
      </w:r>
    </w:p>
    <w:p w14:paraId="628E9171"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Из 54 групп штурмовиков, вылетавших на выполнение боевых задач в течение апреля, 31 группа была обстреляна огнем малокалиберной и среднекалиберной зенитной артиллерии (от 1 до 3 батарей), а 13 групп имели встречи с истребителями противника, из которых 6 вели с ними воздушные бои. При этом, как и прежде, пилоты люфтваффе весьма искусно взаимодействовали со своими зенитчиками. Как правило, противник зенитным огнем пытался «разбить» строй группы штурмовиков с тем, чтобы истребители имели возможность атаковать отдельные самолеты. И наоборот, истребители имитировали атаки на штурмовиков, заставляя последних принимать более компактные строи, что в свою очер едь облегчало зенитным расчетам ведение огня.</w:t>
      </w:r>
    </w:p>
    <w:p w14:paraId="126E99DC"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Активность истребителей люфтваффе и зенитной артиллерии объясняется важностью для немецкого командования района Моравска-Острава.</w:t>
      </w:r>
    </w:p>
    <w:p w14:paraId="38113F6D" w14:textId="77777777" w:rsidR="00173F5C" w:rsidRPr="00F90EAE" w:rsidRDefault="00173F5C"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27 апреля за отличную работу на поле боя в районе Тржебовице, Поруба 571 шап получил благодарность от командующего 60 А генерала П. А. Курочкина (17490).</w:t>
      </w:r>
    </w:p>
    <w:p w14:paraId="08BAFC69" w14:textId="77777777" w:rsidR="00173F5C" w:rsidRPr="00F90EAE" w:rsidRDefault="00173F5C" w:rsidP="00F90EAE">
      <w:pPr>
        <w:jc w:val="both"/>
        <w:rPr>
          <w:color w:val="000000" w:themeColor="text1"/>
          <w:sz w:val="16"/>
          <w:szCs w:val="16"/>
        </w:rPr>
      </w:pPr>
    </w:p>
    <w:p w14:paraId="08720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семерка Ил-10 (ведущий - штурман полка м-р Жигарин) нанесла бомбоштурмовой удар по подходящим резервам противника на дорогах Гросскерис-Тройнитц, Эродорф-Топ-хин. Обнаружив большую колонну немецких танков и автомашин, прикрытых зенитной артиллерией, группа стремительной атакой подавила огонь зениток, а затем в 12 заходах подожгла 15 автомашин и один танк (7489).</w:t>
      </w:r>
    </w:p>
    <w:p w14:paraId="1A051AF6" w14:textId="77777777" w:rsidR="00665165" w:rsidRPr="00F90EAE" w:rsidRDefault="00665165" w:rsidP="00F90EAE">
      <w:pPr>
        <w:autoSpaceDE w:val="0"/>
        <w:autoSpaceDN w:val="0"/>
        <w:adjustRightInd w:val="0"/>
        <w:jc w:val="both"/>
        <w:rPr>
          <w:color w:val="000000" w:themeColor="text1"/>
          <w:sz w:val="16"/>
          <w:szCs w:val="16"/>
        </w:rPr>
      </w:pPr>
    </w:p>
    <w:p w14:paraId="50E7FC2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впервые за всю войну дальнобойная артиллерия 79-го советского стрелкового корпуса 3-й Ударной армии открыла огонь по столице Германии Берлину (4963 ).</w:t>
      </w:r>
    </w:p>
    <w:p w14:paraId="6EC215A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C57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3 чехословацкий шап опять действовал в районе Zabrlkov, Kopytov, Novy Bihumin, а также выполнил два разведывательных полета. В одном из этих боев была вынужденная посадка на нейтральной полосе машины N 38, которая теперь демонстрируется в Пражском музее авиации и космонавтики в Кбелы (241,39).</w:t>
      </w:r>
    </w:p>
    <w:p w14:paraId="7F6E27C5" w14:textId="77777777" w:rsidR="00665165" w:rsidRPr="00F90EAE" w:rsidRDefault="00665165" w:rsidP="00F90EAE">
      <w:pPr>
        <w:autoSpaceDE w:val="0"/>
        <w:autoSpaceDN w:val="0"/>
        <w:adjustRightInd w:val="0"/>
        <w:jc w:val="both"/>
        <w:rPr>
          <w:color w:val="000000" w:themeColor="text1"/>
          <w:sz w:val="16"/>
          <w:szCs w:val="16"/>
        </w:rPr>
      </w:pPr>
    </w:p>
    <w:p w14:paraId="3FF8A934" w14:textId="77777777" w:rsidR="00DD6117" w:rsidRPr="00F90EAE" w:rsidRDefault="00DD6117" w:rsidP="00F90EAE">
      <w:pPr>
        <w:autoSpaceDE w:val="0"/>
        <w:autoSpaceDN w:val="0"/>
        <w:adjustRightInd w:val="0"/>
        <w:jc w:val="both"/>
        <w:rPr>
          <w:color w:val="000000" w:themeColor="text1"/>
          <w:sz w:val="16"/>
          <w:szCs w:val="16"/>
        </w:rPr>
      </w:pPr>
      <w:r w:rsidRPr="00F90EAE">
        <w:rPr>
          <w:bCs/>
          <w:color w:val="000000" w:themeColor="text1"/>
          <w:sz w:val="16"/>
          <w:szCs w:val="16"/>
        </w:rPr>
        <w:t>20 апреля 1941 наша дальнобойная артиллерия открыла огонь по Берлину, а 21 апреля войска.1-го Белорусского фронта ворвались на окраины Берлина. Сталин распорядился повернуть танковые армии 1-го Украинского фронта также на Берлин. 25 апреля оба фронта сомкнули кольцо окружения вокруг Берлина (17459).</w:t>
      </w:r>
    </w:p>
    <w:p w14:paraId="417FF473" w14:textId="77777777" w:rsidR="00DD6117" w:rsidRPr="00F90EAE" w:rsidRDefault="00DD6117" w:rsidP="00F90EAE">
      <w:pPr>
        <w:autoSpaceDE w:val="0"/>
        <w:autoSpaceDN w:val="0"/>
        <w:adjustRightInd w:val="0"/>
        <w:jc w:val="both"/>
        <w:rPr>
          <w:color w:val="000000" w:themeColor="text1"/>
          <w:sz w:val="16"/>
          <w:szCs w:val="16"/>
        </w:rPr>
      </w:pPr>
    </w:p>
    <w:p w14:paraId="64D1C1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20-21 апреля 1945 войска Конева и Жукова вышли на окраины Берлина (2070,234).</w:t>
      </w:r>
    </w:p>
    <w:p w14:paraId="5DF2C6C0" w14:textId="77777777" w:rsidR="00665165" w:rsidRPr="00F90EAE" w:rsidRDefault="00665165" w:rsidP="00F90EAE">
      <w:pPr>
        <w:autoSpaceDE w:val="0"/>
        <w:autoSpaceDN w:val="0"/>
        <w:adjustRightInd w:val="0"/>
        <w:jc w:val="both"/>
        <w:rPr>
          <w:color w:val="000000" w:themeColor="text1"/>
          <w:sz w:val="16"/>
          <w:szCs w:val="16"/>
        </w:rPr>
      </w:pPr>
    </w:p>
    <w:p w14:paraId="45BF8A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20-21 апреля 1945 30% сил 2ВА участвовало в отражении контрудара Герлицкой группировки из Форст, Гроссе-Цшаксдорф, Кебельн, Мускау. Выполнили 4400 вылетов и уничтожили 50 танков, подавили 10 батарей оказав помощь 1УФ (518,145).</w:t>
      </w:r>
    </w:p>
    <w:p w14:paraId="60379092" w14:textId="77777777" w:rsidR="00665165" w:rsidRPr="00F90EAE" w:rsidRDefault="00665165" w:rsidP="00F90EAE">
      <w:pPr>
        <w:autoSpaceDE w:val="0"/>
        <w:autoSpaceDN w:val="0"/>
        <w:adjustRightInd w:val="0"/>
        <w:jc w:val="both"/>
        <w:rPr>
          <w:color w:val="000000" w:themeColor="text1"/>
          <w:sz w:val="16"/>
          <w:szCs w:val="16"/>
        </w:rPr>
      </w:pPr>
    </w:p>
    <w:p w14:paraId="4EB21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20-х числах апреля 1945 л штурмовику Ил-2 1ВА М.Г.Гарееву в один день вручили 2 золотых звезды ГСС и ОЛ. Его стрелок А.Кирьянов имел 3 Ославы и был полным кавалером. Вместе участвовали в Параде победы (455,168).</w:t>
      </w:r>
    </w:p>
    <w:p w14:paraId="205DBFA5" w14:textId="77777777" w:rsidR="00665165" w:rsidRPr="00F90EAE" w:rsidRDefault="00665165" w:rsidP="00F90EAE">
      <w:pPr>
        <w:autoSpaceDE w:val="0"/>
        <w:autoSpaceDN w:val="0"/>
        <w:adjustRightInd w:val="0"/>
        <w:jc w:val="both"/>
        <w:rPr>
          <w:color w:val="000000" w:themeColor="text1"/>
          <w:sz w:val="16"/>
          <w:szCs w:val="16"/>
        </w:rPr>
      </w:pPr>
    </w:p>
    <w:p w14:paraId="478DD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April 21 1945 Soviets reach Berlin (1050).</w:t>
      </w:r>
    </w:p>
    <w:p w14:paraId="27BABC73" w14:textId="77777777" w:rsidR="00665165" w:rsidRPr="00F90EAE" w:rsidRDefault="00665165" w:rsidP="00F90EAE">
      <w:pPr>
        <w:autoSpaceDE w:val="0"/>
        <w:autoSpaceDN w:val="0"/>
        <w:adjustRightInd w:val="0"/>
        <w:jc w:val="both"/>
        <w:rPr>
          <w:color w:val="000000" w:themeColor="text1"/>
          <w:sz w:val="16"/>
          <w:szCs w:val="16"/>
        </w:rPr>
      </w:pPr>
    </w:p>
    <w:p w14:paraId="41DC45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в ночь на 21 апреля 1945 по сообщению Совинформбюро АДД бомбила Берлин, вызвав 50 пожаров (438,989).</w:t>
      </w:r>
    </w:p>
    <w:p w14:paraId="3A750BCB" w14:textId="77777777" w:rsidR="00665165" w:rsidRPr="00F90EAE" w:rsidRDefault="00665165" w:rsidP="00F90EAE">
      <w:pPr>
        <w:autoSpaceDE w:val="0"/>
        <w:autoSpaceDN w:val="0"/>
        <w:adjustRightInd w:val="0"/>
        <w:jc w:val="both"/>
        <w:rPr>
          <w:color w:val="000000" w:themeColor="text1"/>
          <w:sz w:val="16"/>
          <w:szCs w:val="16"/>
        </w:rPr>
      </w:pPr>
    </w:p>
    <w:p w14:paraId="37523646"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20th, 1945: From its Oder bridgeheads S of Stettin, the Soviet 2nd Belorussian Front (Rokossovsky) launches an offensive toward Neubrandenburg, Stralsund and Rostock, while Soviet heavy artillery begins a continuous bombardment of Berlin. But the cost of victory is high: In the battle for Berlin, Soviet tank losses between April 1 and 19 amount to 2,807. During the same period, the Allies in the West lose 1,079 tanks (3819).</w:t>
      </w:r>
    </w:p>
    <w:p w14:paraId="67F8F8DD" w14:textId="77777777" w:rsidR="00665165" w:rsidRPr="00F90EAE" w:rsidRDefault="00665165" w:rsidP="00F90EAE">
      <w:pPr>
        <w:autoSpaceDE w:val="0"/>
        <w:autoSpaceDN w:val="0"/>
        <w:adjustRightInd w:val="0"/>
        <w:jc w:val="both"/>
        <w:rPr>
          <w:color w:val="000000" w:themeColor="text1"/>
          <w:sz w:val="16"/>
          <w:szCs w:val="16"/>
          <w:lang w:val="en-US"/>
        </w:rPr>
      </w:pPr>
    </w:p>
    <w:p w14:paraId="557023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2БФ (Рокосовский) с плацдарма на Одере на юг от Штецина начал наступление на Нойбранденбург, Штральзунд и Росток. Артиллерия КА начала обстрел Берлина. С 1 по 19 апреля 1945 в битве за Берлин КА потеряла 2807 т, а союзнике на западе - 1079 (3918).</w:t>
      </w:r>
    </w:p>
    <w:p w14:paraId="4A0FEBCD" w14:textId="77777777" w:rsidR="00665165" w:rsidRPr="00F90EAE" w:rsidRDefault="00665165" w:rsidP="00F90EAE">
      <w:pPr>
        <w:autoSpaceDE w:val="0"/>
        <w:autoSpaceDN w:val="0"/>
        <w:adjustRightInd w:val="0"/>
        <w:jc w:val="both"/>
        <w:rPr>
          <w:color w:val="000000" w:themeColor="text1"/>
          <w:sz w:val="16"/>
          <w:szCs w:val="16"/>
        </w:rPr>
      </w:pPr>
    </w:p>
    <w:p w14:paraId="5FD5F7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вышло Постановление ГКО № 8224 О переводе личного состава ТОФ и Амурской флотилии на довольствие по норме № 2. РГАНИР, Фонд ГКО, д. 404, лл. 27 (11012).</w:t>
      </w:r>
    </w:p>
    <w:p w14:paraId="2E8BB0BE" w14:textId="77777777" w:rsidR="00665165" w:rsidRPr="00F90EAE" w:rsidRDefault="00665165" w:rsidP="00F90EAE">
      <w:pPr>
        <w:autoSpaceDE w:val="0"/>
        <w:autoSpaceDN w:val="0"/>
        <w:adjustRightInd w:val="0"/>
        <w:jc w:val="both"/>
        <w:rPr>
          <w:color w:val="000000" w:themeColor="text1"/>
          <w:sz w:val="16"/>
          <w:szCs w:val="16"/>
        </w:rPr>
      </w:pPr>
    </w:p>
    <w:p w14:paraId="4CDB3B0B" w14:textId="0A2F0EC5" w:rsidR="00BA20E6" w:rsidRPr="00F90EAE" w:rsidRDefault="00BA20E6" w:rsidP="00F90EAE">
      <w:pPr>
        <w:autoSpaceDE w:val="0"/>
        <w:autoSpaceDN w:val="0"/>
        <w:adjustRightInd w:val="0"/>
        <w:jc w:val="both"/>
        <w:rPr>
          <w:i/>
          <w:iCs/>
          <w:color w:val="000000" w:themeColor="text1"/>
          <w:sz w:val="16"/>
          <w:szCs w:val="16"/>
        </w:rPr>
      </w:pPr>
      <w:r w:rsidRPr="00F90EAE">
        <w:rPr>
          <w:i/>
          <w:iCs/>
          <w:color w:val="000000" w:themeColor="text1"/>
          <w:sz w:val="16"/>
          <w:szCs w:val="16"/>
        </w:rPr>
        <w:t>Внешняя политика:</w:t>
      </w:r>
    </w:p>
    <w:p w14:paraId="4F292BD6" w14:textId="77777777" w:rsidR="00BA20E6" w:rsidRPr="00F90EAE" w:rsidRDefault="00BA20E6" w:rsidP="00F90EAE">
      <w:pPr>
        <w:autoSpaceDE w:val="0"/>
        <w:autoSpaceDN w:val="0"/>
        <w:adjustRightInd w:val="0"/>
        <w:jc w:val="both"/>
        <w:rPr>
          <w:i/>
          <w:iCs/>
          <w:color w:val="000000" w:themeColor="text1"/>
          <w:sz w:val="16"/>
          <w:szCs w:val="16"/>
        </w:rPr>
      </w:pPr>
    </w:p>
    <w:p w14:paraId="4A565CC1" w14:textId="77777777" w:rsidR="00BA20E6" w:rsidRPr="00F90EAE" w:rsidRDefault="00BA20E6" w:rsidP="00F90EAE">
      <w:pPr>
        <w:jc w:val="both"/>
        <w:rPr>
          <w:color w:val="0070C0"/>
          <w:sz w:val="16"/>
          <w:szCs w:val="16"/>
        </w:rPr>
      </w:pPr>
      <w:r w:rsidRPr="00F90EAE">
        <w:rPr>
          <w:color w:val="0070C0"/>
          <w:sz w:val="16"/>
          <w:szCs w:val="16"/>
        </w:rPr>
        <w:t>20 апреля 1945 г.</w:t>
      </w:r>
    </w:p>
    <w:p w14:paraId="6E313300" w14:textId="77777777" w:rsidR="00BA20E6" w:rsidRPr="00F90EAE" w:rsidRDefault="00BA20E6" w:rsidP="00F90EAE">
      <w:pPr>
        <w:jc w:val="both"/>
        <w:rPr>
          <w:color w:val="0070C0"/>
          <w:sz w:val="16"/>
          <w:szCs w:val="16"/>
        </w:rPr>
      </w:pPr>
      <w:r w:rsidRPr="00F90EAE">
        <w:rPr>
          <w:color w:val="0070C0"/>
          <w:sz w:val="16"/>
          <w:szCs w:val="16"/>
        </w:rPr>
        <w:t>ДОКЛАДНАЯ ЗАПИСКА НАЧАЛЬНИКА ГЕНЕРАЛЬНОГО ШТАБА КРАСНОЙ АРМИИ НАРОДНОМУ КОМИССАРУ ОБОРОНЫ СССР ОБ ОТПРАВКЕ САМОЛЕТОВ ДЛЯ ВВС БОЛГАРСКОЙ АРМИИ</w:t>
      </w:r>
    </w:p>
    <w:p w14:paraId="707E6D80" w14:textId="77777777" w:rsidR="00BA20E6" w:rsidRPr="00F90EAE" w:rsidRDefault="00BA20E6" w:rsidP="00F90EAE">
      <w:pPr>
        <w:jc w:val="both"/>
        <w:rPr>
          <w:color w:val="0070C0"/>
          <w:sz w:val="16"/>
          <w:szCs w:val="16"/>
        </w:rPr>
      </w:pPr>
      <w:r w:rsidRPr="00F90EAE">
        <w:rPr>
          <w:color w:val="0070C0"/>
          <w:sz w:val="16"/>
          <w:szCs w:val="16"/>
        </w:rPr>
        <w:t>Москва</w:t>
      </w:r>
      <w:r w:rsidRPr="00F90EAE">
        <w:rPr>
          <w:color w:val="0070C0"/>
          <w:sz w:val="16"/>
          <w:szCs w:val="16"/>
        </w:rPr>
        <w:tab/>
        <w:t>Не позднее 20 апреля 1945 г.</w:t>
      </w:r>
    </w:p>
    <w:p w14:paraId="3D3BB3EC" w14:textId="77777777" w:rsidR="00BA20E6" w:rsidRPr="00F90EAE" w:rsidRDefault="00BA20E6" w:rsidP="00F90EAE">
      <w:pPr>
        <w:jc w:val="both"/>
        <w:rPr>
          <w:color w:val="0070C0"/>
          <w:sz w:val="16"/>
          <w:szCs w:val="16"/>
        </w:rPr>
      </w:pPr>
      <w:r w:rsidRPr="00F90EAE">
        <w:rPr>
          <w:color w:val="0070C0"/>
          <w:sz w:val="16"/>
          <w:szCs w:val="16"/>
        </w:rPr>
        <w:t>Докладываю:</w:t>
      </w:r>
    </w:p>
    <w:p w14:paraId="36723848" w14:textId="77777777" w:rsidR="00BA20E6" w:rsidRPr="00F90EAE" w:rsidRDefault="00BA20E6" w:rsidP="00F90EAE">
      <w:pPr>
        <w:jc w:val="both"/>
        <w:rPr>
          <w:color w:val="0070C0"/>
          <w:sz w:val="16"/>
          <w:szCs w:val="16"/>
        </w:rPr>
      </w:pPr>
      <w:r w:rsidRPr="00F90EAE">
        <w:rPr>
          <w:color w:val="0070C0"/>
          <w:sz w:val="16"/>
          <w:szCs w:val="16"/>
        </w:rPr>
        <w:t>На основании постановления ГОКО от 13.3.45 г. для ВВС болгарской армии отпускается самолетов:</w:t>
      </w:r>
    </w:p>
    <w:p w14:paraId="56E5E9F0" w14:textId="77777777" w:rsidR="00BA20E6" w:rsidRPr="00F90EAE" w:rsidRDefault="00BA20E6" w:rsidP="00F90EAE">
      <w:pPr>
        <w:jc w:val="both"/>
        <w:rPr>
          <w:color w:val="0070C0"/>
          <w:sz w:val="16"/>
          <w:szCs w:val="16"/>
        </w:rPr>
      </w:pPr>
      <w:r w:rsidRPr="00F90EAE">
        <w:rPr>
          <w:color w:val="0070C0"/>
          <w:sz w:val="16"/>
          <w:szCs w:val="16"/>
        </w:rPr>
        <w:t>Як-9 с</w:t>
      </w:r>
      <w:r w:rsidRPr="00F90EAE">
        <w:rPr>
          <w:color w:val="0070C0"/>
          <w:sz w:val="16"/>
          <w:szCs w:val="16"/>
        </w:rPr>
        <w:tab/>
        <w:t>мотором</w:t>
      </w:r>
      <w:r w:rsidRPr="00F90EAE">
        <w:rPr>
          <w:color w:val="0070C0"/>
          <w:sz w:val="16"/>
          <w:szCs w:val="16"/>
        </w:rPr>
        <w:tab/>
        <w:t>М-105</w:t>
      </w:r>
      <w:r w:rsidRPr="00F90EAE">
        <w:rPr>
          <w:color w:val="0070C0"/>
          <w:sz w:val="16"/>
          <w:szCs w:val="16"/>
        </w:rPr>
        <w:tab/>
        <w:t xml:space="preserve">  120</w:t>
      </w:r>
      <w:r w:rsidRPr="00F90EAE">
        <w:rPr>
          <w:color w:val="0070C0"/>
          <w:sz w:val="16"/>
          <w:szCs w:val="16"/>
        </w:rPr>
        <w:tab/>
        <w:t>штук</w:t>
      </w:r>
    </w:p>
    <w:p w14:paraId="4D4C767A" w14:textId="77777777" w:rsidR="00BA20E6" w:rsidRPr="00F90EAE" w:rsidRDefault="00BA20E6" w:rsidP="00F90EAE">
      <w:pPr>
        <w:jc w:val="both"/>
        <w:rPr>
          <w:color w:val="0070C0"/>
          <w:sz w:val="16"/>
          <w:szCs w:val="16"/>
        </w:rPr>
      </w:pPr>
      <w:r w:rsidRPr="00F90EAE">
        <w:rPr>
          <w:color w:val="0070C0"/>
          <w:sz w:val="16"/>
          <w:szCs w:val="16"/>
        </w:rPr>
        <w:t>Ил-2..............................120</w:t>
      </w:r>
      <w:r w:rsidRPr="00F90EAE">
        <w:rPr>
          <w:color w:val="0070C0"/>
          <w:sz w:val="16"/>
          <w:szCs w:val="16"/>
        </w:rPr>
        <w:tab/>
        <w:t>»</w:t>
      </w:r>
    </w:p>
    <w:p w14:paraId="0969FB71" w14:textId="77777777" w:rsidR="00BA20E6" w:rsidRPr="00F90EAE" w:rsidRDefault="00BA20E6" w:rsidP="00F90EAE">
      <w:pPr>
        <w:jc w:val="both"/>
        <w:rPr>
          <w:color w:val="0070C0"/>
          <w:sz w:val="16"/>
          <w:szCs w:val="16"/>
        </w:rPr>
      </w:pPr>
      <w:r w:rsidRPr="00F90EAE">
        <w:rPr>
          <w:color w:val="0070C0"/>
          <w:sz w:val="16"/>
          <w:szCs w:val="16"/>
        </w:rPr>
        <w:t>Пе-2.............................. 96</w:t>
      </w:r>
      <w:r w:rsidRPr="00F90EAE">
        <w:rPr>
          <w:color w:val="0070C0"/>
          <w:sz w:val="16"/>
          <w:szCs w:val="16"/>
        </w:rPr>
        <w:tab/>
        <w:t>»</w:t>
      </w:r>
    </w:p>
    <w:p w14:paraId="41DFDEB7" w14:textId="77777777" w:rsidR="00BA20E6" w:rsidRPr="00F90EAE" w:rsidRDefault="00BA20E6" w:rsidP="00F90EAE">
      <w:pPr>
        <w:jc w:val="both"/>
        <w:rPr>
          <w:color w:val="0070C0"/>
          <w:sz w:val="16"/>
          <w:szCs w:val="16"/>
        </w:rPr>
      </w:pPr>
      <w:r w:rsidRPr="00F90EAE">
        <w:rPr>
          <w:color w:val="0070C0"/>
          <w:sz w:val="16"/>
          <w:szCs w:val="16"/>
        </w:rPr>
        <w:t>Як-7............................... 3</w:t>
      </w:r>
      <w:r w:rsidRPr="00F90EAE">
        <w:rPr>
          <w:color w:val="0070C0"/>
          <w:sz w:val="16"/>
          <w:szCs w:val="16"/>
        </w:rPr>
        <w:tab/>
        <w:t>»</w:t>
      </w:r>
    </w:p>
    <w:p w14:paraId="446FE2F4" w14:textId="77777777" w:rsidR="00BA20E6" w:rsidRPr="00F90EAE" w:rsidRDefault="00BA20E6" w:rsidP="00F90EAE">
      <w:pPr>
        <w:jc w:val="both"/>
        <w:rPr>
          <w:color w:val="0070C0"/>
          <w:sz w:val="16"/>
          <w:szCs w:val="16"/>
        </w:rPr>
      </w:pPr>
      <w:r w:rsidRPr="00F90EAE">
        <w:rPr>
          <w:color w:val="0070C0"/>
          <w:sz w:val="16"/>
          <w:szCs w:val="16"/>
        </w:rPr>
        <w:t>Ил-2 с</w:t>
      </w:r>
      <w:r w:rsidRPr="00F90EAE">
        <w:rPr>
          <w:color w:val="0070C0"/>
          <w:sz w:val="16"/>
          <w:szCs w:val="16"/>
        </w:rPr>
        <w:tab/>
        <w:t>двойным</w:t>
      </w:r>
      <w:r w:rsidRPr="00F90EAE">
        <w:rPr>
          <w:color w:val="0070C0"/>
          <w:sz w:val="16"/>
          <w:szCs w:val="16"/>
        </w:rPr>
        <w:tab/>
        <w:t>управлением</w:t>
      </w:r>
      <w:r w:rsidRPr="00F90EAE">
        <w:rPr>
          <w:color w:val="0070C0"/>
          <w:sz w:val="16"/>
          <w:szCs w:val="16"/>
        </w:rPr>
        <w:tab/>
        <w:t>....</w:t>
      </w:r>
      <w:r w:rsidRPr="00F90EAE">
        <w:rPr>
          <w:color w:val="0070C0"/>
          <w:sz w:val="16"/>
          <w:szCs w:val="16"/>
        </w:rPr>
        <w:tab/>
        <w:t>3</w:t>
      </w:r>
      <w:r w:rsidRPr="00F90EAE">
        <w:rPr>
          <w:color w:val="0070C0"/>
          <w:sz w:val="16"/>
          <w:szCs w:val="16"/>
        </w:rPr>
        <w:tab/>
        <w:t>»</w:t>
      </w:r>
    </w:p>
    <w:p w14:paraId="136287A1" w14:textId="77777777" w:rsidR="00BA20E6" w:rsidRPr="00F90EAE" w:rsidRDefault="00BA20E6" w:rsidP="00F90EAE">
      <w:pPr>
        <w:jc w:val="both"/>
        <w:rPr>
          <w:color w:val="0070C0"/>
          <w:sz w:val="16"/>
          <w:szCs w:val="16"/>
        </w:rPr>
      </w:pPr>
      <w:r w:rsidRPr="00F90EAE">
        <w:rPr>
          <w:color w:val="0070C0"/>
          <w:sz w:val="16"/>
          <w:szCs w:val="16"/>
        </w:rPr>
        <w:t>Пе-4 с</w:t>
      </w:r>
      <w:r w:rsidRPr="00F90EAE">
        <w:rPr>
          <w:color w:val="0070C0"/>
          <w:sz w:val="16"/>
          <w:szCs w:val="16"/>
        </w:rPr>
        <w:tab/>
        <w:t>двойным</w:t>
      </w:r>
      <w:r w:rsidRPr="00F90EAE">
        <w:rPr>
          <w:color w:val="0070C0"/>
          <w:sz w:val="16"/>
          <w:szCs w:val="16"/>
        </w:rPr>
        <w:tab/>
        <w:t>управлением</w:t>
      </w:r>
      <w:r w:rsidRPr="00F90EAE">
        <w:rPr>
          <w:color w:val="0070C0"/>
          <w:sz w:val="16"/>
          <w:szCs w:val="16"/>
        </w:rPr>
        <w:tab/>
        <w:t>....</w:t>
      </w:r>
      <w:r w:rsidRPr="00F90EAE">
        <w:rPr>
          <w:color w:val="0070C0"/>
          <w:sz w:val="16"/>
          <w:szCs w:val="16"/>
        </w:rPr>
        <w:tab/>
        <w:t>2</w:t>
      </w:r>
      <w:r w:rsidRPr="00F90EAE">
        <w:rPr>
          <w:color w:val="0070C0"/>
          <w:sz w:val="16"/>
          <w:szCs w:val="16"/>
        </w:rPr>
        <w:tab/>
        <w:t>»</w:t>
      </w:r>
    </w:p>
    <w:p w14:paraId="45F9EEEC" w14:textId="77777777" w:rsidR="00BA20E6" w:rsidRPr="00F90EAE" w:rsidRDefault="00BA20E6" w:rsidP="00F90EAE">
      <w:pPr>
        <w:jc w:val="both"/>
        <w:rPr>
          <w:color w:val="0070C0"/>
          <w:sz w:val="16"/>
          <w:szCs w:val="16"/>
        </w:rPr>
      </w:pPr>
      <w:r w:rsidRPr="00F90EAE">
        <w:rPr>
          <w:color w:val="0070C0"/>
          <w:sz w:val="16"/>
          <w:szCs w:val="16"/>
        </w:rPr>
        <w:t>Всего....................... 344 самолета1</w:t>
      </w:r>
    </w:p>
    <w:p w14:paraId="204FBFDC" w14:textId="77777777" w:rsidR="00BA20E6" w:rsidRPr="00F90EAE" w:rsidRDefault="00BA20E6" w:rsidP="00F90EAE">
      <w:pPr>
        <w:jc w:val="both"/>
        <w:rPr>
          <w:color w:val="0070C0"/>
          <w:sz w:val="16"/>
          <w:szCs w:val="16"/>
        </w:rPr>
      </w:pPr>
      <w:r w:rsidRPr="00F90EAE">
        <w:rPr>
          <w:color w:val="0070C0"/>
          <w:sz w:val="16"/>
          <w:szCs w:val="16"/>
        </w:rPr>
        <w:t>В связи с предстоящей перегонкой этих самолетов в Болгарию болгарское правительство просит отпустить нижепоименованное авиационно-техническое имущество, не оговоренное постановлением ГОКО.</w:t>
      </w:r>
    </w:p>
    <w:p w14:paraId="2E801285" w14:textId="77777777" w:rsidR="00BA20E6" w:rsidRPr="00F90EAE" w:rsidRDefault="00BA20E6" w:rsidP="00F90EAE">
      <w:pPr>
        <w:jc w:val="both"/>
        <w:rPr>
          <w:color w:val="0070C0"/>
          <w:sz w:val="16"/>
          <w:szCs w:val="16"/>
        </w:rPr>
      </w:pPr>
      <w:r w:rsidRPr="00F90EAE">
        <w:rPr>
          <w:color w:val="0070C0"/>
          <w:sz w:val="16"/>
          <w:szCs w:val="16"/>
        </w:rPr>
        <w:t>1. Авиагорючего Б-78 — 7000 тонн, за счет сокращения на 5000 тонн отпускаемого им горючего Б-70, Б-73, так как это горючее не подходит к моторам, установленным на Як-9, Ил-2 и Пе-2.</w:t>
      </w:r>
    </w:p>
    <w:p w14:paraId="0253499E" w14:textId="77777777" w:rsidR="00BA20E6" w:rsidRPr="00F90EAE" w:rsidRDefault="00BA20E6" w:rsidP="00F90EAE">
      <w:pPr>
        <w:jc w:val="both"/>
        <w:rPr>
          <w:color w:val="0070C0"/>
          <w:sz w:val="16"/>
          <w:szCs w:val="16"/>
        </w:rPr>
      </w:pPr>
      <w:r w:rsidRPr="00F90EAE">
        <w:rPr>
          <w:color w:val="0070C0"/>
          <w:sz w:val="16"/>
          <w:szCs w:val="16"/>
        </w:rPr>
        <w:t>2. Продукт Р-9 (титро-этиловая жидкость) — 45 тонн для добавления к горючему Б-78.</w:t>
      </w:r>
    </w:p>
    <w:p w14:paraId="503BE8F2" w14:textId="77777777" w:rsidR="00BA20E6" w:rsidRPr="00F90EAE" w:rsidRDefault="00BA20E6" w:rsidP="00F90EAE">
      <w:pPr>
        <w:jc w:val="both"/>
        <w:rPr>
          <w:color w:val="0070C0"/>
          <w:sz w:val="16"/>
          <w:szCs w:val="16"/>
        </w:rPr>
      </w:pPr>
      <w:r w:rsidRPr="00F90EAE">
        <w:rPr>
          <w:color w:val="0070C0"/>
          <w:sz w:val="16"/>
          <w:szCs w:val="16"/>
        </w:rPr>
        <w:t>3. 4 аэрофотоаппарата на самолеты Пе-2 с установками и два проявительных прибора.</w:t>
      </w:r>
    </w:p>
    <w:p w14:paraId="25646EC0" w14:textId="77777777" w:rsidR="00BA20E6" w:rsidRPr="00F90EAE" w:rsidRDefault="00BA20E6" w:rsidP="00F90EAE">
      <w:pPr>
        <w:jc w:val="both"/>
        <w:rPr>
          <w:color w:val="0070C0"/>
          <w:sz w:val="16"/>
          <w:szCs w:val="16"/>
        </w:rPr>
      </w:pPr>
      <w:r w:rsidRPr="00F90EAE">
        <w:rPr>
          <w:color w:val="0070C0"/>
          <w:sz w:val="16"/>
          <w:szCs w:val="16"/>
        </w:rPr>
        <w:t>4. Боеприпасов (бомбы, патроны, снаряды) к отпускаемым самолетам Пе-2, Як-9, Ил-2 — 50 боекомплектов.</w:t>
      </w:r>
    </w:p>
    <w:p w14:paraId="18F97646" w14:textId="77777777" w:rsidR="00BA20E6" w:rsidRPr="00F90EAE" w:rsidRDefault="00BA20E6" w:rsidP="00F90EAE">
      <w:pPr>
        <w:jc w:val="both"/>
        <w:rPr>
          <w:color w:val="0070C0"/>
          <w:sz w:val="16"/>
          <w:szCs w:val="16"/>
        </w:rPr>
      </w:pPr>
      <w:r w:rsidRPr="00F90EAE">
        <w:rPr>
          <w:color w:val="0070C0"/>
          <w:sz w:val="16"/>
          <w:szCs w:val="16"/>
        </w:rPr>
        <w:t>5. Парашютов — 648 штук.</w:t>
      </w:r>
    </w:p>
    <w:p w14:paraId="353B0996" w14:textId="77777777" w:rsidR="00BA20E6" w:rsidRPr="00F90EAE" w:rsidRDefault="00BA20E6" w:rsidP="00F90EAE">
      <w:pPr>
        <w:jc w:val="both"/>
        <w:rPr>
          <w:color w:val="0070C0"/>
          <w:sz w:val="16"/>
          <w:szCs w:val="16"/>
        </w:rPr>
      </w:pPr>
      <w:r w:rsidRPr="00F90EAE">
        <w:rPr>
          <w:color w:val="0070C0"/>
          <w:sz w:val="16"/>
          <w:szCs w:val="16"/>
        </w:rPr>
        <w:t>6. Шлемофонов — 648 штук.</w:t>
      </w:r>
    </w:p>
    <w:p w14:paraId="34EB9523" w14:textId="77777777" w:rsidR="00BA20E6" w:rsidRPr="00F90EAE" w:rsidRDefault="00BA20E6" w:rsidP="00F90EAE">
      <w:pPr>
        <w:jc w:val="both"/>
        <w:rPr>
          <w:color w:val="0070C0"/>
          <w:sz w:val="16"/>
          <w:szCs w:val="16"/>
        </w:rPr>
      </w:pPr>
      <w:r w:rsidRPr="00F90EAE">
        <w:rPr>
          <w:color w:val="0070C0"/>
          <w:sz w:val="16"/>
          <w:szCs w:val="16"/>
        </w:rPr>
        <w:t>7. Для помощи в освоении передаваемых самолетов болгары просят направить к ним:</w:t>
      </w:r>
    </w:p>
    <w:p w14:paraId="4CC52ACB" w14:textId="77777777" w:rsidR="00BA20E6" w:rsidRPr="00F90EAE" w:rsidRDefault="00BA20E6" w:rsidP="00F90EAE">
      <w:pPr>
        <w:jc w:val="both"/>
        <w:rPr>
          <w:color w:val="0070C0"/>
          <w:sz w:val="16"/>
          <w:szCs w:val="16"/>
        </w:rPr>
      </w:pPr>
      <w:r w:rsidRPr="00F90EAE">
        <w:rPr>
          <w:color w:val="0070C0"/>
          <w:sz w:val="16"/>
          <w:szCs w:val="16"/>
        </w:rPr>
        <w:t>инструкторов-летчиков (по типам самолетов).................3</w:t>
      </w:r>
    </w:p>
    <w:p w14:paraId="430787BC" w14:textId="77777777" w:rsidR="00BA20E6" w:rsidRPr="00F90EAE" w:rsidRDefault="00BA20E6" w:rsidP="00F90EAE">
      <w:pPr>
        <w:jc w:val="both"/>
        <w:rPr>
          <w:color w:val="0070C0"/>
          <w:sz w:val="16"/>
          <w:szCs w:val="16"/>
        </w:rPr>
      </w:pPr>
      <w:r w:rsidRPr="00F90EAE">
        <w:rPr>
          <w:color w:val="0070C0"/>
          <w:sz w:val="16"/>
          <w:szCs w:val="16"/>
        </w:rPr>
        <w:t>инструкторов-штурманов................ 1</w:t>
      </w:r>
    </w:p>
    <w:p w14:paraId="12EF16E9" w14:textId="77777777" w:rsidR="00BA20E6" w:rsidRPr="00F90EAE" w:rsidRDefault="00BA20E6" w:rsidP="00F90EAE">
      <w:pPr>
        <w:jc w:val="both"/>
        <w:rPr>
          <w:color w:val="0070C0"/>
          <w:sz w:val="16"/>
          <w:szCs w:val="16"/>
        </w:rPr>
      </w:pPr>
      <w:r w:rsidRPr="00F90EAE">
        <w:rPr>
          <w:color w:val="0070C0"/>
          <w:sz w:val="16"/>
          <w:szCs w:val="16"/>
        </w:rPr>
        <w:t>инженеров..............................3</w:t>
      </w:r>
    </w:p>
    <w:p w14:paraId="794E936D" w14:textId="77777777" w:rsidR="00BA20E6" w:rsidRPr="00F90EAE" w:rsidRDefault="00BA20E6" w:rsidP="00F90EAE">
      <w:pPr>
        <w:jc w:val="both"/>
        <w:rPr>
          <w:color w:val="0070C0"/>
          <w:sz w:val="16"/>
          <w:szCs w:val="16"/>
        </w:rPr>
      </w:pPr>
      <w:r w:rsidRPr="00F90EAE">
        <w:rPr>
          <w:color w:val="0070C0"/>
          <w:sz w:val="16"/>
          <w:szCs w:val="16"/>
        </w:rPr>
        <w:t>авиатехников ......................... 9</w:t>
      </w:r>
    </w:p>
    <w:p w14:paraId="567AB1EF" w14:textId="77777777" w:rsidR="00BA20E6" w:rsidRPr="00F90EAE" w:rsidRDefault="00BA20E6" w:rsidP="00F90EAE">
      <w:pPr>
        <w:jc w:val="both"/>
        <w:rPr>
          <w:color w:val="0070C0"/>
          <w:sz w:val="16"/>
          <w:szCs w:val="16"/>
        </w:rPr>
      </w:pPr>
      <w:r w:rsidRPr="00F90EAE">
        <w:rPr>
          <w:color w:val="0070C0"/>
          <w:sz w:val="16"/>
          <w:szCs w:val="16"/>
        </w:rPr>
        <w:t>инженеров по спецоборудованию . . .</w:t>
      </w:r>
      <w:r w:rsidRPr="00F90EAE">
        <w:rPr>
          <w:color w:val="0070C0"/>
          <w:sz w:val="16"/>
          <w:szCs w:val="16"/>
        </w:rPr>
        <w:tab/>
        <w:t>1</w:t>
      </w:r>
    </w:p>
    <w:p w14:paraId="3C09090C" w14:textId="77777777" w:rsidR="00BA20E6" w:rsidRPr="00F90EAE" w:rsidRDefault="00BA20E6" w:rsidP="00F90EAE">
      <w:pPr>
        <w:jc w:val="both"/>
        <w:rPr>
          <w:color w:val="0070C0"/>
          <w:sz w:val="16"/>
          <w:szCs w:val="16"/>
        </w:rPr>
      </w:pPr>
      <w:r w:rsidRPr="00F90EAE">
        <w:rPr>
          <w:color w:val="0070C0"/>
          <w:sz w:val="16"/>
          <w:szCs w:val="16"/>
        </w:rPr>
        <w:t>инженеров по вооружению................3</w:t>
      </w:r>
    </w:p>
    <w:p w14:paraId="41ACE86D" w14:textId="77777777" w:rsidR="00BA20E6" w:rsidRPr="00F90EAE" w:rsidRDefault="00BA20E6" w:rsidP="00F90EAE">
      <w:pPr>
        <w:jc w:val="both"/>
        <w:rPr>
          <w:color w:val="0070C0"/>
          <w:sz w:val="16"/>
          <w:szCs w:val="16"/>
        </w:rPr>
      </w:pPr>
      <w:r w:rsidRPr="00F90EAE">
        <w:rPr>
          <w:color w:val="0070C0"/>
          <w:sz w:val="16"/>
          <w:szCs w:val="16"/>
        </w:rPr>
        <w:t>техников по приборам ................. 3</w:t>
      </w:r>
    </w:p>
    <w:p w14:paraId="215D79FD" w14:textId="77777777" w:rsidR="00BA20E6" w:rsidRPr="00F90EAE" w:rsidRDefault="00BA20E6" w:rsidP="00F90EAE">
      <w:pPr>
        <w:jc w:val="both"/>
        <w:rPr>
          <w:color w:val="0070C0"/>
          <w:sz w:val="16"/>
          <w:szCs w:val="16"/>
        </w:rPr>
      </w:pPr>
      <w:r w:rsidRPr="00F90EAE">
        <w:rPr>
          <w:color w:val="0070C0"/>
          <w:sz w:val="16"/>
          <w:szCs w:val="16"/>
        </w:rPr>
        <w:lastRenderedPageBreak/>
        <w:t>Всего.23 человека, а также несекретную литературу по тактике ВВС, наставления по штурмовой, бомбардировочной и истребительной авиации и журнал «Вестник Воздушного Флота» за 1943—1944 гг.</w:t>
      </w:r>
    </w:p>
    <w:p w14:paraId="1A1D90F7" w14:textId="77777777" w:rsidR="00BA20E6" w:rsidRPr="00F90EAE" w:rsidRDefault="00BA20E6" w:rsidP="00F90EAE">
      <w:pPr>
        <w:jc w:val="both"/>
        <w:rPr>
          <w:color w:val="0070C0"/>
          <w:sz w:val="16"/>
          <w:szCs w:val="16"/>
        </w:rPr>
      </w:pPr>
      <w:r w:rsidRPr="00F90EAE">
        <w:rPr>
          <w:color w:val="0070C0"/>
          <w:sz w:val="16"/>
          <w:szCs w:val="16"/>
        </w:rPr>
        <w:t>Прошу Ваших указаний.</w:t>
      </w:r>
    </w:p>
    <w:p w14:paraId="7B4F1417" w14:textId="77777777" w:rsidR="00BA20E6" w:rsidRPr="00F90EAE" w:rsidRDefault="00BA20E6" w:rsidP="00F90EAE">
      <w:pPr>
        <w:jc w:val="both"/>
        <w:rPr>
          <w:color w:val="0070C0"/>
          <w:sz w:val="16"/>
          <w:szCs w:val="16"/>
        </w:rPr>
      </w:pPr>
      <w:r w:rsidRPr="00F90EAE">
        <w:rPr>
          <w:color w:val="0070C0"/>
          <w:sz w:val="16"/>
          <w:szCs w:val="16"/>
        </w:rPr>
        <w:t>Начальник Генерального штаба Красной Армии генерал армии Антонов</w:t>
      </w:r>
    </w:p>
    <w:p w14:paraId="23C2B7AF" w14:textId="77777777" w:rsidR="00BA20E6" w:rsidRPr="00F90EAE" w:rsidRDefault="00BA20E6" w:rsidP="00F90EAE">
      <w:pPr>
        <w:jc w:val="both"/>
        <w:rPr>
          <w:color w:val="0070C0"/>
          <w:sz w:val="16"/>
          <w:szCs w:val="16"/>
        </w:rPr>
      </w:pPr>
      <w:r w:rsidRPr="00F90EAE">
        <w:rPr>
          <w:color w:val="0070C0"/>
          <w:sz w:val="16"/>
          <w:szCs w:val="16"/>
        </w:rPr>
        <w:t>Печ. по архиву.</w:t>
      </w:r>
    </w:p>
    <w:p w14:paraId="000D7BD6" w14:textId="77777777" w:rsidR="00BA20E6" w:rsidRPr="00F90EAE" w:rsidRDefault="00BA20E6" w:rsidP="00F90EAE">
      <w:pPr>
        <w:jc w:val="both"/>
        <w:rPr>
          <w:color w:val="0070C0"/>
          <w:sz w:val="16"/>
          <w:szCs w:val="16"/>
        </w:rPr>
      </w:pPr>
      <w:r w:rsidRPr="00F90EAE">
        <w:rPr>
          <w:color w:val="0070C0"/>
          <w:sz w:val="16"/>
          <w:szCs w:val="16"/>
        </w:rPr>
        <w:t>На документе имеется пометка: «Самолеты с комплектами запасных</w:t>
      </w:r>
    </w:p>
    <w:p w14:paraId="20546A41" w14:textId="77777777" w:rsidR="00BA20E6" w:rsidRPr="00F90EAE" w:rsidRDefault="00BA20E6" w:rsidP="00F90EAE">
      <w:pPr>
        <w:jc w:val="both"/>
        <w:rPr>
          <w:color w:val="0070C0"/>
          <w:sz w:val="16"/>
          <w:szCs w:val="16"/>
        </w:rPr>
      </w:pPr>
      <w:r w:rsidRPr="00F90EAE">
        <w:rPr>
          <w:color w:val="0070C0"/>
          <w:sz w:val="16"/>
          <w:szCs w:val="16"/>
        </w:rPr>
        <w:t>частей переданы Болгарии 19.11.45 г.».</w:t>
      </w:r>
    </w:p>
    <w:p w14:paraId="617D0B37" w14:textId="77777777" w:rsidR="00BA20E6" w:rsidRPr="00F90EAE" w:rsidRDefault="00BA20E6" w:rsidP="00F90EAE">
      <w:pPr>
        <w:jc w:val="both"/>
        <w:rPr>
          <w:color w:val="0070C0"/>
          <w:sz w:val="16"/>
          <w:szCs w:val="16"/>
        </w:rPr>
      </w:pPr>
      <w:r w:rsidRPr="00F90EAE">
        <w:rPr>
          <w:color w:val="0070C0"/>
          <w:sz w:val="16"/>
          <w:szCs w:val="16"/>
        </w:rPr>
        <w:t>Решением Советского правительства в болгарскую Народную армию было направлено 23 авиаспециалиста сроком на два месяца (20593).</w:t>
      </w:r>
    </w:p>
    <w:p w14:paraId="15242F06" w14:textId="77777777" w:rsidR="00BA20E6" w:rsidRPr="00F90EAE" w:rsidRDefault="00BA20E6" w:rsidP="00F90EAE">
      <w:pPr>
        <w:jc w:val="both"/>
        <w:rPr>
          <w:color w:val="0070C0"/>
          <w:sz w:val="16"/>
          <w:szCs w:val="16"/>
        </w:rPr>
      </w:pPr>
    </w:p>
    <w:p w14:paraId="40083D65" w14:textId="1174F6B5"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7281367" w14:textId="77777777" w:rsidR="00665165" w:rsidRPr="00F90EAE" w:rsidRDefault="00665165" w:rsidP="00F90EAE">
      <w:pPr>
        <w:autoSpaceDE w:val="0"/>
        <w:autoSpaceDN w:val="0"/>
        <w:adjustRightInd w:val="0"/>
        <w:jc w:val="both"/>
        <w:rPr>
          <w:iCs/>
          <w:color w:val="000000" w:themeColor="text1"/>
          <w:sz w:val="16"/>
          <w:szCs w:val="16"/>
        </w:rPr>
      </w:pPr>
    </w:p>
    <w:p w14:paraId="777D035F" w14:textId="77777777" w:rsidR="00DE38A8" w:rsidRPr="00F90EAE" w:rsidRDefault="00DE38A8" w:rsidP="00F90EAE">
      <w:pPr>
        <w:jc w:val="both"/>
        <w:rPr>
          <w:color w:val="000000" w:themeColor="text1"/>
          <w:sz w:val="16"/>
          <w:szCs w:val="16"/>
        </w:rPr>
      </w:pPr>
      <w:r w:rsidRPr="00F90EAE">
        <w:rPr>
          <w:color w:val="000000" w:themeColor="text1"/>
          <w:sz w:val="16"/>
          <w:szCs w:val="16"/>
        </w:rPr>
        <w:t>20 апреля в 1945 году поднялся в воздух первый серийный истребитель «D.H.100» «Vampire» (разработчик: «de Havilland», Великобритания) (15105).</w:t>
      </w:r>
    </w:p>
    <w:p w14:paraId="11F7531E" w14:textId="77777777" w:rsidR="00DE38A8" w:rsidRPr="00F90EAE" w:rsidRDefault="00DE38A8" w:rsidP="00F90EAE">
      <w:pPr>
        <w:jc w:val="both"/>
        <w:rPr>
          <w:color w:val="000000" w:themeColor="text1"/>
          <w:sz w:val="16"/>
          <w:szCs w:val="16"/>
        </w:rPr>
      </w:pPr>
    </w:p>
    <w:p w14:paraId="432A708C" w14:textId="77777777" w:rsidR="00BA20E6" w:rsidRPr="00F90EAE" w:rsidRDefault="00BA20E6" w:rsidP="00F90EAE">
      <w:pPr>
        <w:jc w:val="both"/>
        <w:rPr>
          <w:color w:val="0070C0"/>
          <w:sz w:val="16"/>
          <w:szCs w:val="16"/>
        </w:rPr>
      </w:pPr>
      <w:r w:rsidRPr="00F90EAE">
        <w:rPr>
          <w:color w:val="0070C0"/>
          <w:sz w:val="16"/>
          <w:szCs w:val="16"/>
        </w:rPr>
        <w:t>20 апреля 1945 - Поднялся в воздух первый серийный истребитель D.H.100 Vampire F.1 (TG274/G) (de Havilland, Великобритания) (22529).</w:t>
      </w:r>
    </w:p>
    <w:p w14:paraId="4E2C878C" w14:textId="77777777" w:rsidR="00BA20E6" w:rsidRPr="00F90EAE" w:rsidRDefault="00BA20E6" w:rsidP="00F90EAE">
      <w:pPr>
        <w:jc w:val="both"/>
        <w:rPr>
          <w:color w:val="0070C0"/>
          <w:sz w:val="16"/>
          <w:szCs w:val="16"/>
        </w:rPr>
      </w:pPr>
    </w:p>
    <w:p w14:paraId="583C664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американские войска взяли Нюрнберг (4962).</w:t>
      </w:r>
    </w:p>
    <w:p w14:paraId="202BF34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21BE7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апреля 1945 французские войска взяли Штутгарт (4962).</w:t>
      </w:r>
    </w:p>
    <w:p w14:paraId="1693DD5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19F9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американцы в день рождения А.Гитлера последний раз бомбили Берлин (3445).</w:t>
      </w:r>
    </w:p>
    <w:p w14:paraId="22D226CA" w14:textId="77777777" w:rsidR="00665165" w:rsidRPr="00F90EAE" w:rsidRDefault="00665165" w:rsidP="00F90EAE">
      <w:pPr>
        <w:autoSpaceDE w:val="0"/>
        <w:autoSpaceDN w:val="0"/>
        <w:adjustRightInd w:val="0"/>
        <w:jc w:val="both"/>
        <w:rPr>
          <w:color w:val="000000" w:themeColor="text1"/>
          <w:sz w:val="16"/>
          <w:szCs w:val="16"/>
        </w:rPr>
      </w:pPr>
    </w:p>
    <w:p w14:paraId="7326DD2F" w14:textId="77777777" w:rsidR="00DE38A8" w:rsidRPr="00F90EAE" w:rsidRDefault="00DE38A8" w:rsidP="00F90EAE">
      <w:pPr>
        <w:jc w:val="both"/>
        <w:rPr>
          <w:color w:val="000000" w:themeColor="text1"/>
          <w:sz w:val="16"/>
          <w:szCs w:val="16"/>
        </w:rPr>
      </w:pPr>
      <w:r w:rsidRPr="00F90EAE">
        <w:rPr>
          <w:color w:val="000000" w:themeColor="text1"/>
          <w:sz w:val="16"/>
          <w:szCs w:val="16"/>
        </w:rPr>
        <w:t>20 апреля в 1945 году Генрих Гиммлер и Герман Геринг покинули Берлин. Герман Геринг обосновался в Оберзальцберге (15105).</w:t>
      </w:r>
    </w:p>
    <w:p w14:paraId="3500510E" w14:textId="77777777" w:rsidR="00DE38A8" w:rsidRPr="00F90EAE" w:rsidRDefault="00DE38A8" w:rsidP="00F90EAE">
      <w:pPr>
        <w:jc w:val="both"/>
        <w:rPr>
          <w:color w:val="000000" w:themeColor="text1"/>
          <w:sz w:val="16"/>
          <w:szCs w:val="16"/>
        </w:rPr>
      </w:pPr>
    </w:p>
    <w:p w14:paraId="68325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 состоялась последняя операция англо-итальянских человекоуправляемых торпед и потопили недостроеннный авианосец Аквилла (3961, 66).</w:t>
      </w:r>
    </w:p>
    <w:p w14:paraId="6F745A52" w14:textId="77777777" w:rsidR="00665165" w:rsidRPr="00F90EAE" w:rsidRDefault="00665165" w:rsidP="00F90EAE">
      <w:pPr>
        <w:autoSpaceDE w:val="0"/>
        <w:autoSpaceDN w:val="0"/>
        <w:adjustRightInd w:val="0"/>
        <w:jc w:val="both"/>
        <w:rPr>
          <w:color w:val="000000" w:themeColor="text1"/>
          <w:sz w:val="16"/>
          <w:szCs w:val="16"/>
        </w:rPr>
      </w:pPr>
    </w:p>
    <w:p w14:paraId="51E3F0E8" w14:textId="77777777" w:rsidR="00BA20E6" w:rsidRPr="00F90EAE" w:rsidRDefault="00BA20E6" w:rsidP="00F90EAE">
      <w:pPr>
        <w:jc w:val="both"/>
        <w:rPr>
          <w:color w:val="0070C0"/>
          <w:sz w:val="16"/>
          <w:szCs w:val="16"/>
        </w:rPr>
      </w:pPr>
      <w:r w:rsidRPr="00F90EAE">
        <w:rPr>
          <w:color w:val="0070C0"/>
          <w:sz w:val="16"/>
          <w:szCs w:val="16"/>
        </w:rPr>
        <w:t>20 апреля 1945 авианосцы Британского Тихоокеанского флота наносят удары по Сакисима Гунто (20371).</w:t>
      </w:r>
    </w:p>
    <w:p w14:paraId="309DC761" w14:textId="77777777" w:rsidR="00BA20E6" w:rsidRPr="00F90EAE" w:rsidRDefault="00BA20E6" w:rsidP="00F90EAE">
      <w:pPr>
        <w:jc w:val="both"/>
        <w:rPr>
          <w:color w:val="0070C0"/>
          <w:sz w:val="16"/>
          <w:szCs w:val="16"/>
        </w:rPr>
      </w:pPr>
    </w:p>
    <w:p w14:paraId="2FF69893" w14:textId="77777777" w:rsidR="00BA20E6" w:rsidRPr="00F90EAE" w:rsidRDefault="00BA20E6" w:rsidP="00F90EAE">
      <w:pPr>
        <w:jc w:val="both"/>
        <w:rPr>
          <w:color w:val="0070C0"/>
          <w:sz w:val="16"/>
          <w:szCs w:val="16"/>
        </w:rPr>
      </w:pPr>
      <w:r w:rsidRPr="00F90EAE">
        <w:rPr>
          <w:color w:val="0070C0"/>
          <w:sz w:val="16"/>
          <w:szCs w:val="16"/>
        </w:rPr>
        <w:t>20 апреля 1945 Swordfish с торгового авианосца (или «MAC-корабль») MV Empire MacAndrew сбросил две глубинные бомбы на п/л на перископной глубине в последней атаке на подводнцю лодку. Во время Второй мировой войны ни одна подводная лодка не совершила успешной атаки на конвой с кораблем MAC в составе. Самолеты корабля MAC атаковали 12 немецких подводных лодок; хотя они никогда не топили ни одной, их действия оказались очень эффективными при защите конвоев (20371).</w:t>
      </w:r>
    </w:p>
    <w:p w14:paraId="22480C0E" w14:textId="77777777" w:rsidR="00BA20E6" w:rsidRPr="00F90EAE" w:rsidRDefault="00BA20E6" w:rsidP="00F90EAE">
      <w:pPr>
        <w:jc w:val="both"/>
        <w:rPr>
          <w:color w:val="0070C0"/>
          <w:sz w:val="16"/>
          <w:szCs w:val="16"/>
        </w:rPr>
      </w:pPr>
    </w:p>
    <w:p w14:paraId="5DB9E044" w14:textId="77777777" w:rsidR="00DE38A8" w:rsidRPr="00F90EAE" w:rsidRDefault="00DE38A8" w:rsidP="00F90EAE">
      <w:pPr>
        <w:jc w:val="both"/>
        <w:rPr>
          <w:color w:val="000000" w:themeColor="text1"/>
          <w:sz w:val="16"/>
          <w:szCs w:val="16"/>
        </w:rPr>
      </w:pPr>
      <w:r w:rsidRPr="00F90EAE">
        <w:rPr>
          <w:color w:val="000000" w:themeColor="text1"/>
          <w:sz w:val="16"/>
          <w:szCs w:val="16"/>
        </w:rPr>
        <w:t>20 апреля в 1945 году в Японии Высший совет по руководству войной принял «Общие принципы мероприятий в случае капитуляции Германии» (15105).</w:t>
      </w:r>
    </w:p>
    <w:p w14:paraId="3EDD80DF" w14:textId="77777777" w:rsidR="00DE38A8" w:rsidRPr="00F90EAE" w:rsidRDefault="00DE38A8" w:rsidP="00F90EAE">
      <w:pPr>
        <w:jc w:val="both"/>
        <w:rPr>
          <w:color w:val="000000" w:themeColor="text1"/>
          <w:sz w:val="16"/>
          <w:szCs w:val="16"/>
        </w:rPr>
      </w:pPr>
    </w:p>
    <w:p w14:paraId="52A5C1A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C02166E" w14:textId="77777777" w:rsidR="00665165" w:rsidRPr="00F90EAE" w:rsidRDefault="00665165" w:rsidP="00F90EAE">
      <w:pPr>
        <w:autoSpaceDE w:val="0"/>
        <w:autoSpaceDN w:val="0"/>
        <w:adjustRightInd w:val="0"/>
        <w:jc w:val="both"/>
        <w:rPr>
          <w:iCs/>
          <w:color w:val="000000" w:themeColor="text1"/>
          <w:sz w:val="16"/>
          <w:szCs w:val="16"/>
        </w:rPr>
      </w:pPr>
    </w:p>
    <w:p w14:paraId="372344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г заместителем командующего ВВС КА маршалом Ф.Я.Фалалеевым были утверждены Технические требования к самолету У Ил-10 (Ил-10УТ) (7489).</w:t>
      </w:r>
    </w:p>
    <w:p w14:paraId="5F10EB23" w14:textId="77777777" w:rsidR="00665165" w:rsidRPr="00F90EAE" w:rsidRDefault="00665165" w:rsidP="00F90EAE">
      <w:pPr>
        <w:autoSpaceDE w:val="0"/>
        <w:autoSpaceDN w:val="0"/>
        <w:adjustRightInd w:val="0"/>
        <w:jc w:val="both"/>
        <w:rPr>
          <w:color w:val="000000" w:themeColor="text1"/>
          <w:sz w:val="16"/>
          <w:szCs w:val="16"/>
        </w:rPr>
      </w:pPr>
    </w:p>
    <w:p w14:paraId="27198DCF"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заместителем командующего ВВС КА маршалом Ф.Я.Фалалеевым утверждены технические требования к самолету «УИл-10» («Ил-10У»). В соответствии с постановлением ГОКО № 7560 от 21 февраля 1945 г. и приказом НКАП № 76 от 26 февраля 1945 года учебно-тренировочный вариант штурмовика «Ил-10» строился на авиазаводе № 1</w:t>
      </w:r>
    </w:p>
    <w:p w14:paraId="1A620DDA" w14:textId="77777777" w:rsidR="00DE38A8" w:rsidRPr="00F90EAE" w:rsidRDefault="00DE38A8" w:rsidP="00F90EAE">
      <w:pPr>
        <w:jc w:val="both"/>
        <w:rPr>
          <w:color w:val="000000" w:themeColor="text1"/>
          <w:sz w:val="16"/>
          <w:szCs w:val="16"/>
        </w:rPr>
      </w:pPr>
    </w:p>
    <w:p w14:paraId="3EBA1A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года вышел приказ НКАП:</w:t>
      </w:r>
    </w:p>
    <w:p w14:paraId="04A68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Семенова М.А. директором завода № 469 (8958)</w:t>
      </w:r>
    </w:p>
    <w:p w14:paraId="0492E8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апреля 1945 заместитель ко</w:t>
      </w:r>
      <w:r w:rsidRPr="00F90EAE">
        <w:rPr>
          <w:color w:val="000000" w:themeColor="text1"/>
          <w:sz w:val="16"/>
          <w:szCs w:val="16"/>
        </w:rPr>
        <w:softHyphen/>
        <w:t>мандующего ВВС маршал Ф.Я. Фалалеев утвердил Техничес</w:t>
      </w:r>
      <w:r w:rsidRPr="00F90EAE">
        <w:rPr>
          <w:color w:val="000000" w:themeColor="text1"/>
          <w:sz w:val="16"/>
          <w:szCs w:val="16"/>
        </w:rPr>
        <w:softHyphen/>
        <w:t>кие требования к УИл-10. Опытного образца, по-видимому, не было. Сразу начали с небольшой серии, выпущенной на заводе №1. Кабину стрелка переоборудовали для размеще</w:t>
      </w:r>
      <w:r w:rsidRPr="00F90EAE">
        <w:rPr>
          <w:color w:val="000000" w:themeColor="text1"/>
          <w:sz w:val="16"/>
          <w:szCs w:val="16"/>
        </w:rPr>
        <w:softHyphen/>
        <w:t>ния летчика-инструктора; там смонтиро</w:t>
      </w:r>
      <w:r w:rsidRPr="00F90EAE">
        <w:rPr>
          <w:color w:val="000000" w:themeColor="text1"/>
          <w:sz w:val="16"/>
          <w:szCs w:val="16"/>
        </w:rPr>
        <w:softHyphen/>
        <w:t>вали второе управление самолетом, установили приборную доску с указате</w:t>
      </w:r>
      <w:r w:rsidRPr="00F90EAE">
        <w:rPr>
          <w:color w:val="000000" w:themeColor="text1"/>
          <w:sz w:val="16"/>
          <w:szCs w:val="16"/>
        </w:rPr>
        <w:softHyphen/>
        <w:t>лями скорости и поворота, авиагоризон</w:t>
      </w:r>
      <w:r w:rsidRPr="00F90EAE">
        <w:rPr>
          <w:color w:val="000000" w:themeColor="text1"/>
          <w:sz w:val="16"/>
          <w:szCs w:val="16"/>
        </w:rPr>
        <w:softHyphen/>
        <w:t>том, высотомером, компасом. Сняли броневую перегородку между местами пилота и стрелка. Из вооружения оста</w:t>
      </w:r>
      <w:r w:rsidRPr="00F90EAE">
        <w:rPr>
          <w:color w:val="000000" w:themeColor="text1"/>
          <w:sz w:val="16"/>
          <w:szCs w:val="16"/>
        </w:rPr>
        <w:softHyphen/>
        <w:t>вили пулеметы ШКАС, две балки РО, внутреннюю и наружную подвеску бомб. При этом был изменен механизм закры</w:t>
      </w:r>
      <w:r w:rsidRPr="00F90EAE">
        <w:rPr>
          <w:color w:val="000000" w:themeColor="text1"/>
          <w:sz w:val="16"/>
          <w:szCs w:val="16"/>
        </w:rPr>
        <w:softHyphen/>
        <w:t>вания бомболюков (10681).</w:t>
      </w:r>
    </w:p>
    <w:p w14:paraId="12E38A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E4C02FD"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21 апреля 1945 заместитель командующего ВВС маршал Ф. Я. Фалалеев утвердил Технические требования к учебно-тренировочному варианту штурмовика Ил-10 - УИл-10.</w:t>
      </w:r>
    </w:p>
    <w:p w14:paraId="051B6C38" w14:textId="77777777" w:rsidR="00173F5C" w:rsidRPr="00F90EAE" w:rsidRDefault="00173F5C" w:rsidP="00F90EAE">
      <w:pPr>
        <w:jc w:val="both"/>
        <w:rPr>
          <w:color w:val="000000" w:themeColor="text1"/>
          <w:sz w:val="16"/>
          <w:szCs w:val="16"/>
        </w:rPr>
      </w:pPr>
      <w:r w:rsidRPr="00F90EAE">
        <w:rPr>
          <w:rStyle w:val="107"/>
          <w:rFonts w:eastAsiaTheme="minorHAnsi"/>
          <w:color w:val="000000" w:themeColor="text1"/>
          <w:sz w:val="16"/>
          <w:szCs w:val="16"/>
        </w:rPr>
        <w:t>Опытного образца, по -видимому, не было. Сразу начали с небольшой серии, выпущенной на заводе № 1. Кабину стрелка переоборудовали для размещения летчика-инструктора. Там смонтировали второе управление самолетом, установили приборную доску с указателями скорости и поворота, авиагоризонтом, высотомером, компасом. Сняли броневую перегородку между местами пилота и стрелка. Из вооружения оставили пулеметы ШКАС, две балки РО, внутреннюю и наружную подвески бомб. При этом был изменен механизм закрывания бомболюков (17490).</w:t>
      </w:r>
    </w:p>
    <w:p w14:paraId="08135EB0" w14:textId="77777777" w:rsidR="00173F5C" w:rsidRPr="00F90EAE" w:rsidRDefault="00173F5C" w:rsidP="00F90EAE">
      <w:pPr>
        <w:jc w:val="both"/>
        <w:rPr>
          <w:color w:val="000000" w:themeColor="text1"/>
          <w:sz w:val="16"/>
          <w:szCs w:val="16"/>
        </w:rPr>
      </w:pPr>
    </w:p>
    <w:p w14:paraId="6A243E3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B7360E8" w14:textId="77777777" w:rsidR="00665165" w:rsidRPr="00F90EAE" w:rsidRDefault="00665165" w:rsidP="00F90EAE">
      <w:pPr>
        <w:autoSpaceDE w:val="0"/>
        <w:autoSpaceDN w:val="0"/>
        <w:adjustRightInd w:val="0"/>
        <w:jc w:val="both"/>
        <w:rPr>
          <w:iCs/>
          <w:color w:val="000000" w:themeColor="text1"/>
          <w:sz w:val="16"/>
          <w:szCs w:val="16"/>
        </w:rPr>
      </w:pPr>
    </w:p>
    <w:p w14:paraId="64595C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апреля 1945 в Челябинске комиссия под председательством инженер-подполковника П. Ворошилова закончила испытытания вновь изготовленного «Объекта 701» № 6, которые проходили с 6 апреля. В своих выводах она отмечала, что «моторная установка, трансмиссия и ходовая часть работали надежно и достаточно отработаны для серийного производства». Руководство ЧКЗ рассчитывало на быстрое принятие на вооружение «Объекта 701» (11135).</w:t>
      </w:r>
    </w:p>
    <w:p w14:paraId="532F37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576ABDA"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С 21 апреля по 24 мая 1945 года происходили ходовые испытания американского легкого танка М-24 на НИИБТ Полигон. Всего машина прошла 859 километров, из них 145 по асфальтированному шоссе. В качестве машин, которые сравнивали с М24, выступали легкий танк М5А1 и советская САУ СУ-76М. Неверная информация о реальной мощности моторов ввела испытателей в заблуждение. По ней получалось, что СУ-76М имела чуть более высокую удельную мощность – 12,38 л.с. на тонну. Удельную мощность М5А1 оценили в 15,7 л.с на тонну, а М24 – 12,2 л.с. на тонну. В реальности удельная мощность М5А1 составляла 19,5 л.с. на тонну, а у М24 – 16,08 л.с. на тонну.</w:t>
      </w:r>
    </w:p>
    <w:p w14:paraId="44ABAE26"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Максимальная скорость М24 оказалась меньше скорости предшественника – 55 км/ч. Правда, у СУ-76М она оказалась куда ниже – 41 км/ч. Более высокую скорость американской бронетехники советские специалисты объяснили иным подбором передаточных чисел трансмиссии, упустив по упомянутой выше причине тот факт, что силовая установка М24 была мощнее мотора ГАЗ-203 в 2 с лишним раза. Весьма высокой оказалась и средняя скорость по шоссе – 30,05 км/ч, при этом средний расход топлива составил 203 литра на 100 километров, то есть в полтора раза больше, чем у М5А1 (135 литров). Движение по шоссе осуществлялось на 4-й передаче.</w:t>
      </w:r>
    </w:p>
    <w:p w14:paraId="0944CD7C"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Во время ходовых испытаний, проводившихся на проселочной дороге, средняя скорость танка составила лишь 17,45 км/ч. Связано это было с тем, что проселок был покрыт глубоким слоем грязи. Двигаться приходилось в основном на 3-й передаче, расход топлива при этом составил 300 литров на 100 километров. СУ-76М в тех же условиях потребляла 215 литров на 100 километров и имела среднюю скорость 16,2 км/ч. Справедливости ради следует помнить, что М24 был тяжелее советской САУ более чем в полтора раза, так что более высокий расход топлива вполне объясним. Еще одной причиной увеличения расхода топлива было названо использование демультипликатора с механическим переключением. Для сравнения, имевший боевую массу 15 тонн легкий танк М5А1 расходовал на 100 километров 197 литров, но и ехал он по сухому проселку.</w:t>
      </w:r>
    </w:p>
    <w:p w14:paraId="2F8BD42E"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Еще одним фактором, повлиявшим на расход, стали проблемы с двигателями М24. Вследствие ослабления затяжки силовых шпилек головки блока происходило постепенное прогорание прокладки левого двигателя. Кроме того, засорился фильтр топливоприемника и нарушилась регулировка тяг переключения демультипликатора. Имелись проблемы и с ходовой частью: на 396-м километре испытаний отслоился бандаж опорного катка с правой стороны. В общей сложности на ремонт различных неисправностей ушло больше недели.</w:t>
      </w:r>
    </w:p>
    <w:p w14:paraId="2257C327"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Испытания по преодолению препятствий показали, что на грунте без дерна максимальным преодолеваемым углом подъема для М24 стал угол в 30о. Более крутой подъем с 1-й передачи не давала преодолеть пробуксовывающая гидромуфта. Предельным углом крена стал угол в 32о, далее танк сползал. Испытания показали, что минимальный радиус разворота танка составляет от 5 до 5,35 метров.</w:t>
      </w:r>
    </w:p>
    <w:p w14:paraId="1BE66BDD"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lastRenderedPageBreak/>
        <w:t>Крайне любопытными оказались и испытания на разгон. Сравнивались динамические характеристики М24 и GMC T70. Выяснилось, что для достижения скорости 16 км/ч легкому танку требуется 23 метра, а 32 км/ч – 80 метров. Те же самые показатели для легкой самоходной установки составляли 180 и 360 метров соответственно. И это при значительно более мощном двигателе!</w:t>
      </w:r>
    </w:p>
    <w:p w14:paraId="71C4B5B4"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Испытания вооружения показали, что при стрельбе из орудия у танка наблюдается хорошая устойчивость. Это предопределило и довольно высокую кучность. Прицельная скорострельность составила 9–10 выстрелов в минуту, снижавшаяся до 7,2–7,7 выстрелов в минуту при использовании укладки под сиденьем командира. В ходе испытания при движении на скорости 11–13 км/ч меткость стрельбы без стабилизатора составила 30–40%, а на скорости 24–26 км/ч – 10–20%. При включении стабилизатора меткость вырастала до 70–80%.</w:t>
      </w:r>
    </w:p>
    <w:p w14:paraId="227BB1FA"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Что касается конструкции 75-мм орудия M5, то в нем специалистов заинтересовало, прежде всего, устройство противооткатных механизмов. А вот характеристики бронепробития показались испытателям недостаточными. Борт тяжелого немецкого танка Pz.Kpfw. Tiger Ausf.E снаряд M61 пробивал на дистанции 500 метров, а борт среднего танка Pz.Kpfw. Panther – с 1500 метров. Довольно любопытными оказались результаты испытаний на загазованность боевого отделения при стрельбе. Как выяснилось, вентилятор не способствует уменьшению загазованности, а действует скорее даже во вред в виду создаваемых завихрений воздушного потока. Самым лучшим «вентилятором» оказались работающие двигатели танка.</w:t>
      </w:r>
    </w:p>
    <w:p w14:paraId="7E6799C2" w14:textId="77777777" w:rsidR="00063378" w:rsidRPr="00F90EAE" w:rsidRDefault="00063378" w:rsidP="00F90EAE">
      <w:pPr>
        <w:shd w:val="clear" w:color="auto" w:fill="FFFFFF"/>
        <w:jc w:val="both"/>
        <w:rPr>
          <w:color w:val="000000" w:themeColor="text1"/>
          <w:sz w:val="16"/>
          <w:szCs w:val="16"/>
        </w:rPr>
      </w:pPr>
      <w:r w:rsidRPr="00F90EAE">
        <w:rPr>
          <w:color w:val="000000" w:themeColor="text1"/>
          <w:sz w:val="16"/>
          <w:szCs w:val="16"/>
        </w:rPr>
        <w:t xml:space="preserve">Финальный вердикт по итогу испытаний американского танка отказался весьма неожиданным. Испытатели НИБТ Полигона признали Light Tank M24 не отвечающим современным требованиям. Прежде всего, это касалось мощности вооружения и толщины брони, составлявшей всего 25–38 мм. Заключение получилось, мягко говоря, весьма спорным. Оно, впрочем, легко объясняется крайне специфическим взглядом советских военных на то, каким должен быть современный легкий танк. Достаточно сказать, что еще в марте 1944 года они требовали легкий танк с лобовой броней, достигающей толщины 90 мм, а также вооружение в виде 85-мм пушки. Получившийся </w:t>
      </w:r>
      <w:hyperlink r:id="rId103" w:history="1">
        <w:r w:rsidRPr="00F90EAE">
          <w:rPr>
            <w:color w:val="000000" w:themeColor="text1"/>
            <w:sz w:val="16"/>
            <w:szCs w:val="16"/>
          </w:rPr>
          <w:t>«легкий танк тяжелого бронирования»</w:t>
        </w:r>
      </w:hyperlink>
      <w:r w:rsidRPr="00F90EAE">
        <w:rPr>
          <w:color w:val="000000" w:themeColor="text1"/>
          <w:sz w:val="16"/>
          <w:szCs w:val="16"/>
        </w:rPr>
        <w:t xml:space="preserve"> к лету 1945 года выглядел еще более жутко, особенно с точки зрения брони. Простая истина, что легкий танк предназначен слегка для других целей, чем средний или тяжелый, пришла в голову далеко не сразу – к концу 40-х годов (17684).</w:t>
      </w:r>
    </w:p>
    <w:p w14:paraId="6782B4CA" w14:textId="77777777" w:rsidR="00063378" w:rsidRPr="00F90EAE" w:rsidRDefault="00063378" w:rsidP="00F90EAE">
      <w:pPr>
        <w:jc w:val="both"/>
        <w:rPr>
          <w:rStyle w:val="107"/>
          <w:rFonts w:eastAsiaTheme="minorHAnsi"/>
          <w:color w:val="000000" w:themeColor="text1"/>
          <w:sz w:val="16"/>
          <w:szCs w:val="16"/>
        </w:rPr>
      </w:pPr>
    </w:p>
    <w:p w14:paraId="072326ED" w14:textId="77777777" w:rsidR="00143828" w:rsidRPr="00F90EAE" w:rsidRDefault="00143828" w:rsidP="00F90EAE">
      <w:pPr>
        <w:jc w:val="both"/>
        <w:rPr>
          <w:color w:val="0070C0"/>
          <w:sz w:val="16"/>
          <w:szCs w:val="16"/>
        </w:rPr>
      </w:pPr>
      <w:r w:rsidRPr="00F90EAE">
        <w:rPr>
          <w:color w:val="0070C0"/>
          <w:sz w:val="16"/>
          <w:szCs w:val="16"/>
        </w:rPr>
        <w:t>C 21 апреля по июнь 1945 года ГАВТУКА были организованы сравнительные ис</w:t>
      </w:r>
      <w:r w:rsidRPr="00F90EAE">
        <w:rPr>
          <w:color w:val="0070C0"/>
          <w:sz w:val="16"/>
          <w:szCs w:val="16"/>
        </w:rPr>
        <w:softHyphen/>
        <w:t>пытания четырех типов бензоцистерн всех четырех заводов (№ 29 ГУШОСДОР, ВМЗ-1, № 709 и Сантехоборудования). При этом машины взяли не новые, а полученные из 26-го автополка Московского военного округа (п/п 26464) и выпущенные в 1944 году. Правда, к финалу испытаний (отчет о них был составлен в августе) уже и война за кончилась, а послевоенное обновление ав</w:t>
      </w:r>
      <w:r w:rsidRPr="00F90EAE">
        <w:rPr>
          <w:color w:val="0070C0"/>
          <w:sz w:val="16"/>
          <w:szCs w:val="16"/>
        </w:rPr>
        <w:softHyphen/>
        <w:t>топарка страны с разработкой принципиаль</w:t>
      </w:r>
      <w:r w:rsidRPr="00F90EAE">
        <w:rPr>
          <w:color w:val="0070C0"/>
          <w:sz w:val="16"/>
          <w:szCs w:val="16"/>
        </w:rPr>
        <w:softHyphen/>
        <w:t>но новых моделей грузовых автомобилей сделало выбор лучшей конструкции среди заведомо упрощенных машин не слишком актуальным (21626).</w:t>
      </w:r>
    </w:p>
    <w:p w14:paraId="6A9909B1" w14:textId="77777777" w:rsidR="00143828" w:rsidRPr="00F90EAE" w:rsidRDefault="00143828" w:rsidP="00F90EAE">
      <w:pPr>
        <w:jc w:val="both"/>
        <w:rPr>
          <w:color w:val="0070C0"/>
          <w:sz w:val="16"/>
          <w:szCs w:val="16"/>
        </w:rPr>
      </w:pPr>
    </w:p>
    <w:p w14:paraId="0C15C2F7" w14:textId="77777777" w:rsidR="00143828" w:rsidRPr="00F90EAE" w:rsidRDefault="00143828" w:rsidP="00F90EAE">
      <w:pPr>
        <w:jc w:val="both"/>
        <w:rPr>
          <w:color w:val="0070C0"/>
          <w:sz w:val="16"/>
          <w:szCs w:val="16"/>
          <w:lang w:bidi="ru-RU"/>
        </w:rPr>
      </w:pPr>
      <w:r w:rsidRPr="00F90EAE">
        <w:rPr>
          <w:color w:val="0070C0"/>
          <w:sz w:val="16"/>
          <w:szCs w:val="16"/>
          <w:lang w:bidi="ru-RU"/>
        </w:rPr>
        <w:t>С 21 апреля по июнь 1945 года прошли сравнительные ис</w:t>
      </w:r>
      <w:r w:rsidRPr="00F90EAE">
        <w:rPr>
          <w:color w:val="0070C0"/>
          <w:sz w:val="16"/>
          <w:szCs w:val="16"/>
          <w:lang w:bidi="ru-RU"/>
        </w:rPr>
        <w:softHyphen/>
        <w:t>пытания бензовозов Главного автотранспортного управ</w:t>
      </w:r>
      <w:r w:rsidRPr="00F90EAE">
        <w:rPr>
          <w:color w:val="0070C0"/>
          <w:sz w:val="16"/>
          <w:szCs w:val="16"/>
          <w:lang w:bidi="ru-RU"/>
        </w:rPr>
        <w:softHyphen/>
        <w:t>ления Красной Армии (ГАВТУКА) (22296).</w:t>
      </w:r>
    </w:p>
    <w:p w14:paraId="39E53447" w14:textId="77777777" w:rsidR="00143828" w:rsidRPr="00F90EAE" w:rsidRDefault="00143828" w:rsidP="00F90EAE">
      <w:pPr>
        <w:jc w:val="both"/>
        <w:rPr>
          <w:color w:val="0070C0"/>
          <w:sz w:val="16"/>
          <w:szCs w:val="16"/>
          <w:lang w:bidi="ru-RU"/>
        </w:rPr>
      </w:pPr>
    </w:p>
    <w:p w14:paraId="1C5E9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спущен на воду 27-й ТЩ (10671).</w:t>
      </w:r>
    </w:p>
    <w:p w14:paraId="742FCD18" w14:textId="77777777" w:rsidR="00665165" w:rsidRPr="00F90EAE" w:rsidRDefault="00665165" w:rsidP="00F90EAE">
      <w:pPr>
        <w:autoSpaceDE w:val="0"/>
        <w:autoSpaceDN w:val="0"/>
        <w:adjustRightInd w:val="0"/>
        <w:jc w:val="both"/>
        <w:rPr>
          <w:color w:val="000000" w:themeColor="text1"/>
          <w:sz w:val="16"/>
          <w:szCs w:val="16"/>
        </w:rPr>
      </w:pPr>
    </w:p>
    <w:p w14:paraId="68DC194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EC20FCE" w14:textId="77777777" w:rsidR="00665165" w:rsidRPr="00F90EAE" w:rsidRDefault="00665165" w:rsidP="00F90EAE">
      <w:pPr>
        <w:autoSpaceDE w:val="0"/>
        <w:autoSpaceDN w:val="0"/>
        <w:adjustRightInd w:val="0"/>
        <w:jc w:val="both"/>
        <w:rPr>
          <w:iCs/>
          <w:color w:val="000000" w:themeColor="text1"/>
          <w:sz w:val="16"/>
          <w:szCs w:val="16"/>
        </w:rPr>
      </w:pPr>
    </w:p>
    <w:p w14:paraId="55E54453"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оперативная сводка Совинформбюро:</w:t>
      </w:r>
    </w:p>
    <w:p w14:paraId="577B12F8" w14:textId="77777777" w:rsidR="00DE38A8" w:rsidRPr="00F90EAE" w:rsidRDefault="00DE38A8" w:rsidP="00F90EAE">
      <w:pPr>
        <w:jc w:val="both"/>
        <w:rPr>
          <w:color w:val="000000" w:themeColor="text1"/>
          <w:sz w:val="16"/>
          <w:szCs w:val="16"/>
        </w:rPr>
      </w:pPr>
      <w:r w:rsidRPr="00F90EAE">
        <w:rPr>
          <w:color w:val="000000" w:themeColor="text1"/>
          <w:sz w:val="16"/>
          <w:szCs w:val="16"/>
        </w:rPr>
        <w:t>«В течение 21 апреля Центральная группа наших войск продолжала вести наступательные бои западнее реки Одер и реки Нейсе.</w:t>
      </w:r>
    </w:p>
    <w:p w14:paraId="2793A6BC" w14:textId="77777777" w:rsidR="00DE38A8" w:rsidRPr="00F90EAE" w:rsidRDefault="00DE38A8" w:rsidP="00F90EAE">
      <w:pPr>
        <w:jc w:val="both"/>
        <w:rPr>
          <w:color w:val="000000" w:themeColor="text1"/>
          <w:sz w:val="16"/>
          <w:szCs w:val="16"/>
        </w:rPr>
      </w:pPr>
      <w:r w:rsidRPr="00F90EAE">
        <w:rPr>
          <w:color w:val="000000" w:themeColor="text1"/>
          <w:sz w:val="16"/>
          <w:szCs w:val="16"/>
        </w:rPr>
        <w:t>В результате этих боёв наши войска на Дрезденском направлении заняли города Калау, Лнжкау, Ной.Вельцов, Зенфтенберг, Лаутаверк, Каменц, Бауцен и вели бой за Кенигсбрюк.</w:t>
      </w:r>
    </w:p>
    <w:p w14:paraId="667050B0" w14:textId="77777777" w:rsidR="00DE38A8" w:rsidRPr="00F90EAE" w:rsidRDefault="00DE38A8" w:rsidP="00F90EAE">
      <w:pPr>
        <w:jc w:val="both"/>
        <w:rPr>
          <w:color w:val="000000" w:themeColor="text1"/>
          <w:sz w:val="16"/>
          <w:szCs w:val="16"/>
        </w:rPr>
      </w:pPr>
      <w:r w:rsidRPr="00F90EAE">
        <w:rPr>
          <w:color w:val="000000" w:themeColor="text1"/>
          <w:sz w:val="16"/>
          <w:szCs w:val="16"/>
        </w:rPr>
        <w:t>Западнее Одера наши войска заняли города Бернау, Вернойхен, Штраусберг, Альт-Ландсберг, Буков, Мюнхеберг, Херцфельде, Зркнер и завязали бои в пригородах Берлина.</w:t>
      </w:r>
    </w:p>
    <w:p w14:paraId="7DD45A55" w14:textId="77777777" w:rsidR="00DE38A8" w:rsidRPr="00F90EAE" w:rsidRDefault="00DE38A8" w:rsidP="00F90EAE">
      <w:pPr>
        <w:jc w:val="both"/>
        <w:rPr>
          <w:color w:val="000000" w:themeColor="text1"/>
          <w:sz w:val="16"/>
          <w:szCs w:val="16"/>
        </w:rPr>
      </w:pPr>
      <w:r w:rsidRPr="00F90EAE">
        <w:rPr>
          <w:color w:val="000000" w:themeColor="text1"/>
          <w:sz w:val="16"/>
          <w:szCs w:val="16"/>
        </w:rPr>
        <w:t>На территории Австрии севернее Вены войска 2-го Украинского фронта, продолжая наступление, с боями заняли населённые пункты Райнталь, Катцельсдорф, Шраттенберг, Херрнбаумгартэн, Вильгелыуюдорф, Фальбах, Михльштеттен, Клемент, Эрнстбрунн, Обер Гензерндорф и железнодорожные станции Грофскрут, Вельтерскирхен Наглерн. Одновременно на территории Чехословакии юго-западнее Годонина войска фронта заняли город Валтице.</w:t>
      </w:r>
    </w:p>
    <w:p w14:paraId="569A6C62" w14:textId="77777777" w:rsidR="00DE38A8" w:rsidRPr="00F90EAE" w:rsidRDefault="00DE38A8"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7D3CCF07" w14:textId="77777777" w:rsidR="00DE38A8" w:rsidRPr="00F90EAE" w:rsidRDefault="00DE38A8" w:rsidP="00F90EAE">
      <w:pPr>
        <w:jc w:val="both"/>
        <w:rPr>
          <w:color w:val="000000" w:themeColor="text1"/>
          <w:sz w:val="16"/>
          <w:szCs w:val="16"/>
        </w:rPr>
      </w:pPr>
      <w:r w:rsidRPr="00F90EAE">
        <w:rPr>
          <w:color w:val="000000" w:themeColor="text1"/>
          <w:sz w:val="16"/>
          <w:szCs w:val="16"/>
        </w:rPr>
        <w:t>За 20 апреля на всех фронтах подбито и уничтожено 120 немецких танков и самоходных орудий. В воздушных боях и огнём зенитной артиллерии сбито 103 самолёта противника.</w:t>
      </w:r>
    </w:p>
    <w:p w14:paraId="20DF412C" w14:textId="77777777" w:rsidR="00DE38A8" w:rsidRPr="00F90EAE" w:rsidRDefault="00DE38A8" w:rsidP="00F90EAE">
      <w:pPr>
        <w:jc w:val="both"/>
        <w:rPr>
          <w:color w:val="000000" w:themeColor="text1"/>
          <w:sz w:val="16"/>
          <w:szCs w:val="16"/>
        </w:rPr>
      </w:pPr>
      <w:r w:rsidRPr="00F90EAE">
        <w:rPr>
          <w:color w:val="000000" w:themeColor="text1"/>
          <w:sz w:val="16"/>
          <w:szCs w:val="16"/>
        </w:rPr>
        <w:t>Массированный удар нашей авиации по Берлину</w:t>
      </w:r>
    </w:p>
    <w:p w14:paraId="2FD3F1C1" w14:textId="77777777" w:rsidR="00DE38A8" w:rsidRPr="00F90EAE" w:rsidRDefault="00DE38A8" w:rsidP="00F90EAE">
      <w:pPr>
        <w:jc w:val="both"/>
        <w:rPr>
          <w:color w:val="000000" w:themeColor="text1"/>
          <w:sz w:val="16"/>
          <w:szCs w:val="16"/>
        </w:rPr>
      </w:pPr>
      <w:r w:rsidRPr="00F90EAE">
        <w:rPr>
          <w:color w:val="000000" w:themeColor="text1"/>
          <w:sz w:val="16"/>
          <w:szCs w:val="16"/>
        </w:rPr>
        <w:t>В ночь на 21 апреля наши тяжелые бомбардировщики нанесли массированный удар по военным объектам Берлина. В результате этого удара возникло более 50 больших пожаров, сопровождавшихся сильными взрывами.</w:t>
      </w:r>
    </w:p>
    <w:p w14:paraId="70EE3880" w14:textId="77777777" w:rsidR="00DE38A8" w:rsidRPr="00F90EAE" w:rsidRDefault="00DE38A8" w:rsidP="00F90EAE">
      <w:pPr>
        <w:jc w:val="both"/>
        <w:rPr>
          <w:color w:val="000000" w:themeColor="text1"/>
          <w:sz w:val="16"/>
          <w:szCs w:val="16"/>
        </w:rPr>
      </w:pPr>
      <w:r w:rsidRPr="00F90EAE">
        <w:rPr>
          <w:color w:val="000000" w:themeColor="text1"/>
          <w:sz w:val="16"/>
          <w:szCs w:val="16"/>
        </w:rPr>
        <w:t>Центральная группа наших войск продолжала вести наступательные бои.</w:t>
      </w:r>
    </w:p>
    <w:p w14:paraId="7DFA79F6" w14:textId="77777777" w:rsidR="00DE38A8" w:rsidRPr="00F90EAE" w:rsidRDefault="00DE38A8" w:rsidP="00F90EAE">
      <w:pPr>
        <w:jc w:val="both"/>
        <w:rPr>
          <w:color w:val="000000" w:themeColor="text1"/>
          <w:sz w:val="16"/>
          <w:szCs w:val="16"/>
        </w:rPr>
      </w:pPr>
      <w:r w:rsidRPr="00F90EAE">
        <w:rPr>
          <w:color w:val="000000" w:themeColor="text1"/>
          <w:sz w:val="16"/>
          <w:szCs w:val="16"/>
        </w:rPr>
        <w:t>На Дрезденском направлении советские части, форсировав реку Шпрее, стремительно продвигаются вперед. Немцы спешно подтянули в этот район крупные подкрепления и с хода бросают их в бой. Однако все попытки гитлеровцев контратаками остановить наши наступающие части успеха не имели. Под ударами наших войск противник оставляет одну позицию за другой. Советские пехотинцы и танкисты, действующие в сложных условиях лесисто-болотистой местности, с боями продвинулись вперед на 30-40 километров и штурмом овладели городом Люккау. Другие наши части в результате ожесточенных уличных боев заняли города Ной-Вельцов и Зенфтенберг. В этом районе советские летчики подвергли бомбардировке и пушечно-пулеметному обстрелу колонны немецких войск. Гитлеровцы, бросив более 500 автомашин и много вооружения, разбежались по лесам. Советские и польские части окружили город Каменц и ворвались на его улицы. Вражеский гарнизон оказывал упорное сопротивление, но был разгромлен. Ожесточенные бои произошли и в районе города Бауцен. Сосредоточив здесь много танков и пехоты, немцы предприняли ряд контратак. Наши подвижные подразделения и пехота измотали противника, а затем нанесли ему мощный удар. Бои переместились на улицы города. Сегодня советские бойцы подавили сопротивление немецкого гарнизона и полностью овладели городом Бауцен – узлом четырех железных и многих шоссейных дорог.</w:t>
      </w:r>
    </w:p>
    <w:p w14:paraId="0D25CF20" w14:textId="77777777" w:rsidR="00DE38A8" w:rsidRPr="00F90EAE" w:rsidRDefault="00DE38A8" w:rsidP="00F90EAE">
      <w:pPr>
        <w:jc w:val="both"/>
        <w:rPr>
          <w:color w:val="000000" w:themeColor="text1"/>
          <w:sz w:val="16"/>
          <w:szCs w:val="16"/>
        </w:rPr>
      </w:pPr>
      <w:r w:rsidRPr="00F90EAE">
        <w:rPr>
          <w:color w:val="000000" w:themeColor="text1"/>
          <w:sz w:val="16"/>
          <w:szCs w:val="16"/>
        </w:rPr>
        <w:t>К исходу дня наши войска вели бои за город Кенигсбрюк, находящийся в 24 километрах от Дрездена.</w:t>
      </w:r>
    </w:p>
    <w:p w14:paraId="7E87C2BB" w14:textId="77777777" w:rsidR="00DE38A8" w:rsidRPr="00F90EAE" w:rsidRDefault="00DE38A8" w:rsidP="00F90EAE">
      <w:pPr>
        <w:jc w:val="both"/>
        <w:rPr>
          <w:color w:val="000000" w:themeColor="text1"/>
          <w:sz w:val="16"/>
          <w:szCs w:val="16"/>
        </w:rPr>
      </w:pPr>
      <w:r w:rsidRPr="00F90EAE">
        <w:rPr>
          <w:color w:val="000000" w:themeColor="text1"/>
          <w:sz w:val="16"/>
          <w:szCs w:val="16"/>
        </w:rPr>
        <w:t>Западнее Одера наши войска, преодолевая упорное сопротивление противника, с боями продвигались вперед. Немцы пытались любой ценой не допустить выхода наших войск к Берлину. Они сняли с других участков фронта ряд дивизий и ввели в бой все запасные части. Гитлеровцы построили огромное количество долговременных сооружений, а также широко разветвленные полевые укрепления. Наши войска мощными ударами сломили ожесточенное сопротивление противника. Западнее города Врицен советские пехотинцы и танкисты, поддержанные авиацией и артиллерией, преодолели лесной массив и, громя на своем пути узлы вражеского сопротивления, в полдень ворвались в город Бернау. Завязались уличные бои. Советские бойцы штурмом брали баррикады и дома, превращенные немцами в доты. К исходу дня наши войска овладели гордом Бернау. Другие наши части, сломив вражеское сопротивление заняли города Штраусберг, Альт-Ландсберг, Мнюхеберг, Херцфельде, Эркнер и завязали бои в пригородах Берлина. Противник несет огромные потери. Места боев завалены тысячами трупов немецких солдат и офицеров. Захвачено много трофеев и пленных.</w:t>
      </w:r>
    </w:p>
    <w:p w14:paraId="39468468" w14:textId="77777777" w:rsidR="00DE38A8" w:rsidRPr="00F90EAE" w:rsidRDefault="00DE38A8" w:rsidP="00F90EAE">
      <w:pPr>
        <w:jc w:val="both"/>
        <w:rPr>
          <w:color w:val="000000" w:themeColor="text1"/>
          <w:sz w:val="16"/>
          <w:szCs w:val="16"/>
        </w:rPr>
      </w:pPr>
      <w:r w:rsidRPr="00F90EAE">
        <w:rPr>
          <w:color w:val="000000" w:themeColor="text1"/>
          <w:sz w:val="16"/>
          <w:szCs w:val="16"/>
        </w:rPr>
        <w:t>Советские летчики активно поддерживали боевые действия центральной группы наших войск. Наши бомбардировщики и штурмовики массированными ударами подавляли узлы сопротивления и огневые средства противника, уничтожали его живую силу и технику. В воздушных боях за день наши летчики сбили 62 немецких самолета. Летчик-истребитель гвардии капитан Найденов в одном воздушном бою уничтожил три немецких истребителя «Фокке-Вульф-190». Группа штурмовиков гвардии майора Смирнова атаковала артиллерийские позиции противника, уничтожила 4 полевых и 3 зенитных орудия. Четыре наших истребителя во главе со старшим лейтенантом Марииным встретили в воздухе шесть немецких истребителей. Советские летчики атаковали врага и в ожесточенном бою сбили три немецких самолета. Четрые истребителя во главе с майором Ренцем заметили 80 вражеских самолетов, направляющихся к расположению наших войск. Отважные летчики врезались в строй самолетов противника. Майор Ренц сбил два немецких истребителя, лейтенант Виноградов и младшие лейтенанты Петренко и Герасимов – по одному. Остальные самолеты противника потеряли строй и были рассеяны.</w:t>
      </w:r>
    </w:p>
    <w:p w14:paraId="61526903" w14:textId="77777777" w:rsidR="00DE38A8" w:rsidRPr="00F90EAE" w:rsidRDefault="00DE38A8" w:rsidP="00F90EAE">
      <w:pPr>
        <w:jc w:val="both"/>
        <w:rPr>
          <w:color w:val="000000" w:themeColor="text1"/>
          <w:sz w:val="16"/>
          <w:szCs w:val="16"/>
        </w:rPr>
      </w:pPr>
      <w:r w:rsidRPr="00F90EAE">
        <w:rPr>
          <w:color w:val="000000" w:themeColor="text1"/>
          <w:sz w:val="16"/>
          <w:szCs w:val="16"/>
        </w:rPr>
        <w:t>На териритории Австрии севернее Вены войска 2-го Украинского фронта с боями продвигались вперед и заняли несколько населенных пунктов. Советские артиллеристы и танкисты, отражая вражеские атаки, подбили и сожгли 18 немецких танков и уничтожили до батальона гитлеровцев.</w:t>
      </w:r>
    </w:p>
    <w:p w14:paraId="31939320" w14:textId="77777777" w:rsidR="00DE38A8" w:rsidRPr="00F90EAE" w:rsidRDefault="00DE38A8" w:rsidP="00F90EAE">
      <w:pPr>
        <w:jc w:val="both"/>
        <w:rPr>
          <w:color w:val="000000" w:themeColor="text1"/>
          <w:sz w:val="16"/>
          <w:szCs w:val="16"/>
        </w:rPr>
      </w:pPr>
      <w:r w:rsidRPr="00F90EAE">
        <w:rPr>
          <w:color w:val="000000" w:themeColor="text1"/>
          <w:sz w:val="16"/>
          <w:szCs w:val="16"/>
        </w:rPr>
        <w:t>В Чехословакии юго-западнее города Годонин немцы, пытаясь вернуть потерянные накануне позиции, несколько раз переходили в контратаки. Советские части успешно отбилди вражеские контратаки. Затем наши подразделения стремительно атаковали противника и, продвинувшись вперед на 5 километров, заняли город Валтице. Валтице – важный узел дорог и сильно укрепленный опорный пункт обороны немцев. В боях в этом районе уничтожено свыше 800 вражеских солдат и офицеров.</w:t>
      </w:r>
    </w:p>
    <w:p w14:paraId="057FEFD8" w14:textId="77777777" w:rsidR="00DE38A8" w:rsidRPr="00F90EAE" w:rsidRDefault="00DE38A8" w:rsidP="00F90EAE">
      <w:pPr>
        <w:jc w:val="both"/>
        <w:rPr>
          <w:color w:val="000000" w:themeColor="text1"/>
          <w:sz w:val="16"/>
          <w:szCs w:val="16"/>
        </w:rPr>
      </w:pPr>
      <w:r w:rsidRPr="00F90EAE">
        <w:rPr>
          <w:color w:val="000000" w:themeColor="text1"/>
          <w:sz w:val="16"/>
          <w:szCs w:val="16"/>
        </w:rPr>
        <w:t>Наша авиация наносила удары по боевым порядкам и подходящим резервам немецких войск. Уничтожено до 100 автомашин, разбито 15 вагонов и взорван склад противника с боеприпасами.» (15106).</w:t>
      </w:r>
    </w:p>
    <w:p w14:paraId="1820F44F" w14:textId="77777777" w:rsidR="00DE38A8" w:rsidRPr="00F90EAE" w:rsidRDefault="00DE38A8" w:rsidP="00F90EAE">
      <w:pPr>
        <w:jc w:val="both"/>
        <w:rPr>
          <w:color w:val="000000" w:themeColor="text1"/>
          <w:sz w:val="16"/>
          <w:szCs w:val="16"/>
        </w:rPr>
      </w:pPr>
    </w:p>
    <w:p w14:paraId="43492F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21 апреля 1947 Ла-7 32-го гв. иап впервые появились над столицей рейха. А Ла-7 9-го гв. иап 25 апреля блокировали аэродром Темпельгоф, препятствуя бегству германского руководства. На земле они сожгли большую четырёхмоторную машину. Позже таким же образом попытались парализовать временную взлётную площадку, сооружённую немцами в парке Тиргартен, недалеко от рейхсканцелярии. Над этим местом велись ожесточённые воздушные бои, в ходе которых наши </w:t>
      </w:r>
      <w:r w:rsidRPr="00F90EAE">
        <w:rPr>
          <w:color w:val="000000" w:themeColor="text1"/>
          <w:sz w:val="16"/>
          <w:szCs w:val="16"/>
        </w:rPr>
        <w:lastRenderedPageBreak/>
        <w:t>лётчики сбили семь и повредили два вражеских истребителя. Несколько раз там встречались с немецкими реактивными истребителями, но ни один из них уничтожить не удалось (11986).</w:t>
      </w:r>
    </w:p>
    <w:p w14:paraId="699FC477" w14:textId="77777777" w:rsidR="00665165" w:rsidRPr="00F90EAE" w:rsidRDefault="00665165" w:rsidP="00F90EAE">
      <w:pPr>
        <w:autoSpaceDE w:val="0"/>
        <w:autoSpaceDN w:val="0"/>
        <w:adjustRightInd w:val="0"/>
        <w:jc w:val="both"/>
        <w:rPr>
          <w:color w:val="000000" w:themeColor="text1"/>
          <w:sz w:val="16"/>
          <w:szCs w:val="16"/>
        </w:rPr>
      </w:pPr>
    </w:p>
    <w:p w14:paraId="3140FDE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апреля 1945 советские войска ворвались на южную окраину Берлина (4962), советские танки ворвались на северные окраины Берлина; 3-я советская гвардейская танковая армия вышла к южным окраинам Берлина; 4-я советская гвардейская танковая армия вышла на южные подступы к Потсдаму под Берлином. 63-я советская гвардейская танковая бригада заняла немецкий город Бабельсберг в районе Берлина и освободила около 7000 узников концентрационных лагерей, в том числе бывшего премьер-министра Франции Эдуарда Эррио с супругой. 5-я советская гвардейская армия закончила разгром немецкой группировки (10-я, 21-я и ''Охрана Фюрера'' танковые дивизии, 344-я пехотная дивизия, 125-й моторизованный полк, 785-й пехотный полк и части усиления) под Шпрембергом на востоке Германии. Части 5-й американской армии вступили в освобожденную силами итальянского Сопротивления Болонью (4963 ).</w:t>
      </w:r>
    </w:p>
    <w:p w14:paraId="25590CE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5134DD"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в 6 часов 21 апреля 1945 года передовые части 171-й стрелковой дивизии, под командованием полковника А.И.Негоды, первыми ворвались на северо-восточную окраину Берлина (15106).</w:t>
      </w:r>
    </w:p>
    <w:p w14:paraId="1A65E38B" w14:textId="77777777" w:rsidR="00DE38A8" w:rsidRPr="00F90EAE" w:rsidRDefault="00DE38A8" w:rsidP="00F90EAE">
      <w:pPr>
        <w:jc w:val="both"/>
        <w:rPr>
          <w:color w:val="000000" w:themeColor="text1"/>
          <w:sz w:val="16"/>
          <w:szCs w:val="16"/>
        </w:rPr>
      </w:pPr>
    </w:p>
    <w:p w14:paraId="51D71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СА вышла к Берлину (1050). Это были войска 47А, 3УА, 9ГТА, 1МК и 2ГТА, которые перерезали берлинскую окружную дорогу и вошли в город с севера (3263,192).</w:t>
      </w:r>
    </w:p>
    <w:p w14:paraId="446CF52D" w14:textId="77777777" w:rsidR="00665165" w:rsidRPr="00F90EAE" w:rsidRDefault="00665165" w:rsidP="00F90EAE">
      <w:pPr>
        <w:autoSpaceDE w:val="0"/>
        <w:autoSpaceDN w:val="0"/>
        <w:adjustRightInd w:val="0"/>
        <w:jc w:val="both"/>
        <w:rPr>
          <w:color w:val="000000" w:themeColor="text1"/>
          <w:sz w:val="16"/>
          <w:szCs w:val="16"/>
        </w:rPr>
      </w:pPr>
    </w:p>
    <w:p w14:paraId="23068C4D"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21 апреля 1945 танковые части уже находились в предместьях германской столицы и завязали там уличные бои. С этого момента там стали регулярно появляться и Ил-2. Экипажам ставились задачи уничтожать огневые точки, технику, а также солдат, засевших в домах и подвалах. Учитывая опыт, полученный ранее во время авиаударов по Бреслау, когда немцы превращали в укрепленные узлы сопротивления в основном крепкие каменные здания, во время налетов на город применялись преимущественно фугасные бомбы ФАБ-250 (19522).</w:t>
      </w:r>
    </w:p>
    <w:p w14:paraId="4D412E5A" w14:textId="77777777" w:rsidR="00A278CB" w:rsidRPr="00F90EAE" w:rsidRDefault="00A278CB" w:rsidP="00F90EAE">
      <w:pPr>
        <w:pStyle w:val="ae"/>
        <w:spacing w:before="0" w:after="0"/>
        <w:jc w:val="both"/>
        <w:textAlignment w:val="baseline"/>
        <w:rPr>
          <w:color w:val="000000" w:themeColor="text1"/>
          <w:sz w:val="16"/>
          <w:szCs w:val="16"/>
        </w:rPr>
      </w:pPr>
    </w:p>
    <w:p w14:paraId="589C1E5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21st, 1945: The Soviet 1st Ukrainian Front captures Bautzen and Cottbus 70 miles SE of Berlin. In East Prussia, remnants of AOK Ostpreussen (von Saucken) are still resisting in the port of Pillau, the Frische Nehrung and the Vistula delta between Danzig and Marienburg. In the West, continued German resistance around Elbingerode in the Harz Mountains. In Italy, heavy fighting near Bologna and along the Po river (3819).</w:t>
      </w:r>
    </w:p>
    <w:p w14:paraId="7845D6A9" w14:textId="77777777" w:rsidR="00665165" w:rsidRPr="00F90EAE" w:rsidRDefault="00665165" w:rsidP="00F90EAE">
      <w:pPr>
        <w:autoSpaceDE w:val="0"/>
        <w:autoSpaceDN w:val="0"/>
        <w:adjustRightInd w:val="0"/>
        <w:jc w:val="both"/>
        <w:rPr>
          <w:color w:val="000000" w:themeColor="text1"/>
          <w:sz w:val="16"/>
          <w:szCs w:val="16"/>
          <w:lang w:val="en-US"/>
        </w:rPr>
      </w:pPr>
    </w:p>
    <w:p w14:paraId="2A48FB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1УФ занял Баутцен и Коттбус. В Восточной Пруссии остатки немецких войск Восточная Пруссия продолжали сопротивление у портов Пилау, Фрише Нейрунг и в устье Вислы между Данцигом и Мариенбургом (3819).</w:t>
      </w:r>
    </w:p>
    <w:p w14:paraId="4CE2129C" w14:textId="77777777" w:rsidR="00665165" w:rsidRPr="00F90EAE" w:rsidRDefault="00665165" w:rsidP="00F90EAE">
      <w:pPr>
        <w:autoSpaceDE w:val="0"/>
        <w:autoSpaceDN w:val="0"/>
        <w:adjustRightInd w:val="0"/>
        <w:jc w:val="both"/>
        <w:rPr>
          <w:color w:val="000000" w:themeColor="text1"/>
          <w:sz w:val="16"/>
          <w:szCs w:val="16"/>
        </w:rPr>
      </w:pPr>
    </w:p>
    <w:p w14:paraId="17F0C33D"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Центральная группа наших войск продолжала вести наступательные бои западнее реки Одер и реки Нейсе. В результате этих боев наши войска на Дрезденском направлении заняли города Калау, Люккау, Ной-Вельцов, Зенфтенберг, Лаутаверк, Каменц, Бауцен и вели бой за Кенигсбрюк. Западнее Одера наши войска заняли города Бернау, Вернойхен, Штраусберг, Альт-Ландсберг, Буков, Мюнхеберг, Херцфельде, Эркнер и завязали бои в пригородах Берлина. Это были войска 47-й армии, 3-й ударной армии, 9-й гвардейский танковый корпус и 1-й механизированный корпус 2-й гвардейской танковой армии, перерезавшие берлинскую окружную автостраду и ворвавшиеся на северную окраину Берлина. На территории Австрии севернее Вены войска 2-го Украинского фронта заняли населенные пункты Райнталь, Катцельсдорф, Шраттенберг, Херрнбаумгартэн, Вильгельмсдорф, Фальбах, Михльштеттен, Клемент, Эрнстбрунн, Обер Гензерндорф и железнодорожные станции Грфоскрут, Вельтерскирхен, Наглерн. Одновременно на территории Чехословакии юго-западнее Годонина войска фронта заняли город Валтице (15106).</w:t>
      </w:r>
    </w:p>
    <w:p w14:paraId="0A7EC977" w14:textId="77777777" w:rsidR="00DE38A8" w:rsidRPr="00F90EAE" w:rsidRDefault="00DE38A8" w:rsidP="00F90EAE">
      <w:pPr>
        <w:jc w:val="both"/>
        <w:rPr>
          <w:color w:val="000000" w:themeColor="text1"/>
          <w:sz w:val="16"/>
          <w:szCs w:val="16"/>
        </w:rPr>
      </w:pPr>
    </w:p>
    <w:p w14:paraId="3D038697" w14:textId="77777777" w:rsidR="00DE38A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B4F16B6" w14:textId="77777777" w:rsidR="00DE38A8" w:rsidRPr="00F90EAE" w:rsidRDefault="00DE38A8" w:rsidP="00F90EAE">
      <w:pPr>
        <w:autoSpaceDE w:val="0"/>
        <w:autoSpaceDN w:val="0"/>
        <w:adjustRightInd w:val="0"/>
        <w:jc w:val="both"/>
        <w:rPr>
          <w:iCs/>
          <w:color w:val="000000" w:themeColor="text1"/>
          <w:sz w:val="16"/>
          <w:szCs w:val="16"/>
        </w:rPr>
      </w:pPr>
    </w:p>
    <w:p w14:paraId="34272560"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советские власти начали первую послевоенную массовую ссылку жителей Литвы (21 апреля -2 мая) (15106).</w:t>
      </w:r>
    </w:p>
    <w:p w14:paraId="5CD1A4DF" w14:textId="77777777" w:rsidR="00DE38A8" w:rsidRPr="00F90EAE" w:rsidRDefault="00DE38A8" w:rsidP="00F90EAE">
      <w:pPr>
        <w:jc w:val="both"/>
        <w:rPr>
          <w:color w:val="000000" w:themeColor="text1"/>
          <w:sz w:val="16"/>
          <w:szCs w:val="16"/>
        </w:rPr>
      </w:pPr>
    </w:p>
    <w:p w14:paraId="71AEE66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DCA3D75" w14:textId="77777777" w:rsidR="00665165" w:rsidRPr="00F90EAE" w:rsidRDefault="00665165" w:rsidP="00F90EAE">
      <w:pPr>
        <w:autoSpaceDE w:val="0"/>
        <w:autoSpaceDN w:val="0"/>
        <w:adjustRightInd w:val="0"/>
        <w:jc w:val="both"/>
        <w:rPr>
          <w:iCs/>
          <w:color w:val="000000" w:themeColor="text1"/>
          <w:sz w:val="16"/>
          <w:szCs w:val="16"/>
        </w:rPr>
      </w:pPr>
    </w:p>
    <w:p w14:paraId="32A4A05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апреля 1945 в Москве подписан советско-польский договор о дружбе и послевоенном сотрудничестве (4962).</w:t>
      </w:r>
    </w:p>
    <w:p w14:paraId="70A75C6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91BE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апреля 1945 был подписан договор с Временным правительством Польши о дружбе, взаимной помощи и послевоенном сотрудничестве (1348,247).</w:t>
      </w:r>
    </w:p>
    <w:p w14:paraId="75406D2A" w14:textId="77777777" w:rsidR="00665165" w:rsidRPr="00F90EAE" w:rsidRDefault="00665165" w:rsidP="00F90EAE">
      <w:pPr>
        <w:autoSpaceDE w:val="0"/>
        <w:autoSpaceDN w:val="0"/>
        <w:adjustRightInd w:val="0"/>
        <w:jc w:val="both"/>
        <w:rPr>
          <w:color w:val="000000" w:themeColor="text1"/>
          <w:sz w:val="16"/>
          <w:szCs w:val="16"/>
        </w:rPr>
      </w:pPr>
    </w:p>
    <w:p w14:paraId="43A8E8BB"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в Москве сроком на двадцать лет подписан Договор о дружбе, взаимной помощи и послевоенном сотрудничестве между СССР и Польшей (15106).</w:t>
      </w:r>
    </w:p>
    <w:p w14:paraId="41F52D2B" w14:textId="77777777" w:rsidR="00DE38A8" w:rsidRPr="00F90EAE" w:rsidRDefault="00DE38A8" w:rsidP="00F90EAE">
      <w:pPr>
        <w:jc w:val="both"/>
        <w:rPr>
          <w:color w:val="000000" w:themeColor="text1"/>
          <w:sz w:val="16"/>
          <w:szCs w:val="16"/>
        </w:rPr>
      </w:pPr>
    </w:p>
    <w:p w14:paraId="75D29F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1945.04.21 СССР и Польша подписали договор о дружбе (7451).</w:t>
      </w:r>
    </w:p>
    <w:p w14:paraId="2C35BD77" w14:textId="77777777" w:rsidR="00665165" w:rsidRPr="00F90EAE" w:rsidRDefault="00665165" w:rsidP="00F90EAE">
      <w:pPr>
        <w:autoSpaceDE w:val="0"/>
        <w:autoSpaceDN w:val="0"/>
        <w:adjustRightInd w:val="0"/>
        <w:jc w:val="both"/>
        <w:rPr>
          <w:color w:val="000000" w:themeColor="text1"/>
          <w:sz w:val="16"/>
          <w:szCs w:val="16"/>
        </w:rPr>
      </w:pPr>
    </w:p>
    <w:p w14:paraId="24B2412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579E3C8" w14:textId="77777777" w:rsidR="00665165" w:rsidRPr="00F90EAE" w:rsidRDefault="00665165" w:rsidP="00F90EAE">
      <w:pPr>
        <w:autoSpaceDE w:val="0"/>
        <w:autoSpaceDN w:val="0"/>
        <w:adjustRightInd w:val="0"/>
        <w:jc w:val="both"/>
        <w:rPr>
          <w:iCs/>
          <w:color w:val="000000" w:themeColor="text1"/>
          <w:sz w:val="16"/>
          <w:szCs w:val="16"/>
        </w:rPr>
      </w:pPr>
    </w:p>
    <w:p w14:paraId="10246A78"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фирме «Supermarine» заказали пару прототипов нового самолета, получившего название «Supermarine Seafang». Через неделю после получения задания на производство прототипов (регистрационные номера VB893 и VB895), фирму осчастливили заказом на полторы сотни серийных машин (15106).</w:t>
      </w:r>
    </w:p>
    <w:p w14:paraId="601525E7" w14:textId="77777777" w:rsidR="00DE38A8" w:rsidRPr="00F90EAE" w:rsidRDefault="00DE38A8" w:rsidP="00F90EAE">
      <w:pPr>
        <w:jc w:val="both"/>
        <w:rPr>
          <w:color w:val="000000" w:themeColor="text1"/>
          <w:sz w:val="16"/>
          <w:szCs w:val="16"/>
        </w:rPr>
      </w:pPr>
    </w:p>
    <w:p w14:paraId="265C047B"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поспешно загруженный багажом генеральном штаба, последний «Focke-Wulf» «Fw.200» «Condor» стартовал на Барселону через Мюнхен. Его пилот - флюг-капитан Кюнстль - был уверен в отсутствии угрозы со стороны истребителей союзников из-за плохой погоды на маршруте. Самолет благополучно достиг Мюнхена, взлетел и исчез... Расследование обстоятельств его исчезновения велось в Германии, Испании и Швейцарии в течение нескольких лет, но только в 1954 г загадка была решена. В Баварии под Пизенкофеном были найдены доказательства того, что горящий самолет рухнул на землю, погребя всех своих пассажиров (15106).</w:t>
      </w:r>
    </w:p>
    <w:p w14:paraId="3324BC4D" w14:textId="77777777" w:rsidR="00DE38A8" w:rsidRPr="00F90EAE" w:rsidRDefault="00DE38A8" w:rsidP="00F90EAE">
      <w:pPr>
        <w:jc w:val="both"/>
        <w:rPr>
          <w:color w:val="000000" w:themeColor="text1"/>
          <w:sz w:val="16"/>
          <w:szCs w:val="16"/>
        </w:rPr>
      </w:pPr>
    </w:p>
    <w:p w14:paraId="4614263C" w14:textId="77777777" w:rsidR="00143828" w:rsidRPr="00F90EAE" w:rsidRDefault="00143828" w:rsidP="00F90EAE">
      <w:pPr>
        <w:jc w:val="both"/>
        <w:rPr>
          <w:color w:val="0070C0"/>
          <w:sz w:val="16"/>
          <w:szCs w:val="16"/>
        </w:rPr>
      </w:pPr>
      <w:r w:rsidRPr="00F90EAE">
        <w:rPr>
          <w:color w:val="0070C0"/>
          <w:sz w:val="16"/>
          <w:szCs w:val="16"/>
        </w:rPr>
        <w:t>21 апреля 1945 Focke-Wulf Fw 200KB-1 Condor Hessen (регистрация D-ASHH) совершает последний в истории Deutsche Luft Hansa рейс по расписанию - рейс из Берлина в Мюнхен. Лайнер разбился и сгорел недалеко от Пизенкофена незадолго до запланированного прибытия в Мюнхен, в результате чего погиб 21 человек на борту (29371).</w:t>
      </w:r>
    </w:p>
    <w:p w14:paraId="0E0BACC2" w14:textId="77777777" w:rsidR="00143828" w:rsidRPr="00F90EAE" w:rsidRDefault="00143828" w:rsidP="00F90EAE">
      <w:pPr>
        <w:jc w:val="both"/>
        <w:rPr>
          <w:color w:val="0070C0"/>
          <w:sz w:val="16"/>
          <w:szCs w:val="16"/>
        </w:rPr>
      </w:pPr>
    </w:p>
    <w:p w14:paraId="235892B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апреля 1945 польские войска взяли Болонью (4962).</w:t>
      </w:r>
    </w:p>
    <w:p w14:paraId="1802426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9BAA99C" w14:textId="77777777" w:rsidR="00DE38A8" w:rsidRPr="00F90EAE" w:rsidRDefault="00DE38A8" w:rsidP="00F90EAE">
      <w:pPr>
        <w:jc w:val="both"/>
        <w:rPr>
          <w:color w:val="000000" w:themeColor="text1"/>
          <w:sz w:val="16"/>
          <w:szCs w:val="16"/>
        </w:rPr>
      </w:pPr>
      <w:r w:rsidRPr="00F90EAE">
        <w:rPr>
          <w:color w:val="000000" w:themeColor="text1"/>
          <w:sz w:val="16"/>
          <w:szCs w:val="16"/>
        </w:rPr>
        <w:t>21 апреля в 1945 году развал германского фронта в Италии (15106).</w:t>
      </w:r>
    </w:p>
    <w:p w14:paraId="79099BFC" w14:textId="77777777" w:rsidR="00DE38A8" w:rsidRPr="00F90EAE" w:rsidRDefault="00DE38A8" w:rsidP="00F90EAE">
      <w:pPr>
        <w:jc w:val="both"/>
        <w:rPr>
          <w:color w:val="000000" w:themeColor="text1"/>
          <w:sz w:val="16"/>
          <w:szCs w:val="16"/>
        </w:rPr>
      </w:pPr>
    </w:p>
    <w:p w14:paraId="00B21C5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апреля 1945 в окружении застрелился немецкий фельдмаршал В. Модель (4962).</w:t>
      </w:r>
    </w:p>
    <w:p w14:paraId="4BF610F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F4D78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0FC28AA" w14:textId="77777777" w:rsidR="00665165" w:rsidRPr="00F90EAE" w:rsidRDefault="00665165" w:rsidP="00F90EAE">
      <w:pPr>
        <w:autoSpaceDE w:val="0"/>
        <w:autoSpaceDN w:val="0"/>
        <w:adjustRightInd w:val="0"/>
        <w:jc w:val="both"/>
        <w:rPr>
          <w:iCs/>
          <w:color w:val="000000" w:themeColor="text1"/>
          <w:sz w:val="16"/>
          <w:szCs w:val="16"/>
        </w:rPr>
      </w:pPr>
    </w:p>
    <w:p w14:paraId="64B0A9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постановление ГКО N 8241, согласно которому завод 84 перешел на выпуск транспортного Ли-2Т с грузовой дверью (1168,20).</w:t>
      </w:r>
    </w:p>
    <w:p w14:paraId="6853E56B" w14:textId="77777777" w:rsidR="00665165" w:rsidRPr="00F90EAE" w:rsidRDefault="00665165" w:rsidP="00F90EAE">
      <w:pPr>
        <w:autoSpaceDE w:val="0"/>
        <w:autoSpaceDN w:val="0"/>
        <w:adjustRightInd w:val="0"/>
        <w:jc w:val="both"/>
        <w:rPr>
          <w:color w:val="000000" w:themeColor="text1"/>
          <w:sz w:val="16"/>
          <w:szCs w:val="16"/>
        </w:rPr>
      </w:pPr>
    </w:p>
    <w:p w14:paraId="75952E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это было постановления ГКО N 8241сс "О самолетах Ли-2 в пассажирском и транспортном вариантах" (1826,31).</w:t>
      </w:r>
    </w:p>
    <w:p w14:paraId="7718B122" w14:textId="77777777" w:rsidR="00665165" w:rsidRPr="00F90EAE" w:rsidRDefault="00665165" w:rsidP="00F90EAE">
      <w:pPr>
        <w:autoSpaceDE w:val="0"/>
        <w:autoSpaceDN w:val="0"/>
        <w:adjustRightInd w:val="0"/>
        <w:jc w:val="both"/>
        <w:rPr>
          <w:color w:val="000000" w:themeColor="text1"/>
          <w:sz w:val="16"/>
          <w:szCs w:val="16"/>
        </w:rPr>
      </w:pPr>
    </w:p>
    <w:p w14:paraId="09506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закончились работы по вывозу немецких пусковых устройств для самолетов-снарядов со ст. Шпек (р-н Альтдам) в СССР на завод 458 в Савелово (1874,13).</w:t>
      </w:r>
    </w:p>
    <w:p w14:paraId="6CBC45AD" w14:textId="77777777" w:rsidR="00665165" w:rsidRPr="00F90EAE" w:rsidRDefault="00665165" w:rsidP="00F90EAE">
      <w:pPr>
        <w:autoSpaceDE w:val="0"/>
        <w:autoSpaceDN w:val="0"/>
        <w:adjustRightInd w:val="0"/>
        <w:jc w:val="both"/>
        <w:rPr>
          <w:color w:val="000000" w:themeColor="text1"/>
          <w:sz w:val="16"/>
          <w:szCs w:val="16"/>
        </w:rPr>
      </w:pPr>
    </w:p>
    <w:p w14:paraId="0DC9E3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Постановление ГКО № 8240 О перевооружении 317-й истребительной авиационной дивизии ПВО на самолеты Як-9 с 37 мм пушками. РГАНИР, Фонд ГКО, д. 404, лл. 123 (11012).</w:t>
      </w:r>
    </w:p>
    <w:p w14:paraId="1521D8B7" w14:textId="77777777" w:rsidR="00665165" w:rsidRPr="00F90EAE" w:rsidRDefault="00665165" w:rsidP="00F90EAE">
      <w:pPr>
        <w:autoSpaceDE w:val="0"/>
        <w:autoSpaceDN w:val="0"/>
        <w:adjustRightInd w:val="0"/>
        <w:jc w:val="both"/>
        <w:rPr>
          <w:color w:val="000000" w:themeColor="text1"/>
          <w:sz w:val="16"/>
          <w:szCs w:val="16"/>
        </w:rPr>
      </w:pPr>
    </w:p>
    <w:p w14:paraId="4E83B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22 апреля 1945 вышло Постановление ГКО № 8241 О самолетах Ли-2 в пассажирском и транспортном вариантах. РГАНИР, Фонд ГКО, д. 404, лл. 124 (11012).</w:t>
      </w:r>
    </w:p>
    <w:p w14:paraId="2D715540" w14:textId="77777777" w:rsidR="00665165" w:rsidRPr="00F90EAE" w:rsidRDefault="00665165" w:rsidP="00F90EAE">
      <w:pPr>
        <w:autoSpaceDE w:val="0"/>
        <w:autoSpaceDN w:val="0"/>
        <w:adjustRightInd w:val="0"/>
        <w:jc w:val="both"/>
        <w:rPr>
          <w:color w:val="000000" w:themeColor="text1"/>
          <w:sz w:val="16"/>
          <w:szCs w:val="16"/>
        </w:rPr>
      </w:pPr>
    </w:p>
    <w:p w14:paraId="6FE03B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86A142F" w14:textId="77777777" w:rsidR="00665165" w:rsidRPr="00F90EAE" w:rsidRDefault="00665165" w:rsidP="00F90EAE">
      <w:pPr>
        <w:autoSpaceDE w:val="0"/>
        <w:autoSpaceDN w:val="0"/>
        <w:adjustRightInd w:val="0"/>
        <w:jc w:val="both"/>
        <w:rPr>
          <w:iCs/>
          <w:color w:val="000000" w:themeColor="text1"/>
          <w:sz w:val="16"/>
          <w:szCs w:val="16"/>
        </w:rPr>
      </w:pPr>
    </w:p>
    <w:p w14:paraId="6894F6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8242 [О мерах по строительству и оборудованию долговременных оборонительных сооружений в укрепленных районах ДВФ, ЗабФ и ЗакФ.] (7330, 125,126-129).</w:t>
      </w:r>
    </w:p>
    <w:p w14:paraId="35B8421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CCD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8243. О выделении импортного плавучего крана для гидротехнических работ на восстановлении заводов № 444 и 445 НКСП. РГАНИР, Фонд ГКО, д. 404, лл. 130 (11012).</w:t>
      </w:r>
    </w:p>
    <w:p w14:paraId="64680F19" w14:textId="77777777" w:rsidR="00665165" w:rsidRPr="00F90EAE" w:rsidRDefault="00665165" w:rsidP="00F90EAE">
      <w:pPr>
        <w:autoSpaceDE w:val="0"/>
        <w:autoSpaceDN w:val="0"/>
        <w:adjustRightInd w:val="0"/>
        <w:jc w:val="both"/>
        <w:rPr>
          <w:color w:val="000000" w:themeColor="text1"/>
          <w:sz w:val="16"/>
          <w:szCs w:val="16"/>
        </w:rPr>
      </w:pPr>
    </w:p>
    <w:p w14:paraId="071826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Постановление ГКО № 8244 Об организации Государственного научно-исследовательского института Наркомата боеприпасов по созданию трубок, взрывателей и средств воспламенения к боеприпасам. РГАНИР, Фонд ГКО, д. 404, лл. 131-133 (11012).</w:t>
      </w:r>
    </w:p>
    <w:p w14:paraId="448200E2" w14:textId="77777777" w:rsidR="00665165" w:rsidRPr="00F90EAE" w:rsidRDefault="00665165" w:rsidP="00F90EAE">
      <w:pPr>
        <w:autoSpaceDE w:val="0"/>
        <w:autoSpaceDN w:val="0"/>
        <w:adjustRightInd w:val="0"/>
        <w:jc w:val="both"/>
        <w:rPr>
          <w:color w:val="000000" w:themeColor="text1"/>
          <w:sz w:val="16"/>
          <w:szCs w:val="16"/>
        </w:rPr>
      </w:pPr>
    </w:p>
    <w:p w14:paraId="4A68BE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года на основании постановления ГКО от № 8244с и 29 апреля 1945 года согласно приказа НКБ № 164с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2F681E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ГНИИ был присвоен № 22 (ГНИИ-22).</w:t>
      </w:r>
    </w:p>
    <w:p w14:paraId="486A2042" w14:textId="77777777" w:rsidR="00665165" w:rsidRPr="00F90EAE" w:rsidRDefault="00665165" w:rsidP="00F90EAE">
      <w:pPr>
        <w:autoSpaceDE w:val="0"/>
        <w:autoSpaceDN w:val="0"/>
        <w:adjustRightInd w:val="0"/>
        <w:jc w:val="both"/>
        <w:rPr>
          <w:color w:val="000000" w:themeColor="text1"/>
          <w:sz w:val="16"/>
          <w:szCs w:val="16"/>
        </w:rPr>
      </w:pPr>
    </w:p>
    <w:p w14:paraId="2A644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650028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5224C0B2" w14:textId="77777777" w:rsidR="00665165" w:rsidRPr="00F90EAE" w:rsidRDefault="00665165" w:rsidP="00F90EAE">
      <w:pPr>
        <w:autoSpaceDE w:val="0"/>
        <w:autoSpaceDN w:val="0"/>
        <w:adjustRightInd w:val="0"/>
        <w:jc w:val="both"/>
        <w:rPr>
          <w:color w:val="000000" w:themeColor="text1"/>
          <w:sz w:val="16"/>
          <w:szCs w:val="16"/>
        </w:rPr>
      </w:pPr>
    </w:p>
    <w:p w14:paraId="67015CA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8246 [Об укреплении дисциплины и улучшении материально-бытового обслуживания на судах Дальстроя НКВД, работающих на перевозке импортных грузов.] (7330, 144).</w:t>
      </w:r>
    </w:p>
    <w:p w14:paraId="3A4D6E4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78B94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8248. О мерах по проведению моторных испытаний новых образцов авиационных и автотракторных топлив и масел. РГАНИР, Фонд ГКО, д. 404, лл. 147-149 (11012).</w:t>
      </w:r>
    </w:p>
    <w:p w14:paraId="50D82023" w14:textId="77777777" w:rsidR="00665165" w:rsidRPr="00F90EAE" w:rsidRDefault="00665165" w:rsidP="00F90EAE">
      <w:pPr>
        <w:autoSpaceDE w:val="0"/>
        <w:autoSpaceDN w:val="0"/>
        <w:adjustRightInd w:val="0"/>
        <w:jc w:val="both"/>
        <w:rPr>
          <w:color w:val="000000" w:themeColor="text1"/>
          <w:sz w:val="16"/>
          <w:szCs w:val="16"/>
        </w:rPr>
      </w:pPr>
    </w:p>
    <w:p w14:paraId="0E55CA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8249. О разрешении увеличить хлебный паек до 1 кг 90 вольнонаемным и 850 заключенным, занятым на работах по сплаву леса для НКАП. РГАНИР, Фонд ГКО, д. 404, лл. 150 (11012).</w:t>
      </w:r>
    </w:p>
    <w:p w14:paraId="0C3C52BE" w14:textId="77777777" w:rsidR="00665165" w:rsidRPr="00F90EAE" w:rsidRDefault="00665165" w:rsidP="00F90EAE">
      <w:pPr>
        <w:autoSpaceDE w:val="0"/>
        <w:autoSpaceDN w:val="0"/>
        <w:adjustRightInd w:val="0"/>
        <w:jc w:val="both"/>
        <w:rPr>
          <w:color w:val="000000" w:themeColor="text1"/>
          <w:sz w:val="16"/>
          <w:szCs w:val="16"/>
        </w:rPr>
      </w:pPr>
    </w:p>
    <w:p w14:paraId="013EE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8250. Об увеличении производства бензина для НКРП в Грозном. РГАНИР, Фонд ГКО, д. 404, лл. 151 (11012).</w:t>
      </w:r>
    </w:p>
    <w:p w14:paraId="656CB639" w14:textId="77777777" w:rsidR="00665165" w:rsidRPr="00F90EAE" w:rsidRDefault="00665165" w:rsidP="00F90EAE">
      <w:pPr>
        <w:autoSpaceDE w:val="0"/>
        <w:autoSpaceDN w:val="0"/>
        <w:adjustRightInd w:val="0"/>
        <w:jc w:val="both"/>
        <w:rPr>
          <w:color w:val="000000" w:themeColor="text1"/>
          <w:sz w:val="16"/>
          <w:szCs w:val="16"/>
        </w:rPr>
      </w:pPr>
    </w:p>
    <w:p w14:paraId="1697A7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8251. О дополнительном выделении мазута заводам НКРП Ярославской обл. РГАНИР, Фонд ГКО, д. 404, лл. 152 (11012).</w:t>
      </w:r>
    </w:p>
    <w:p w14:paraId="5309D1D9" w14:textId="77777777" w:rsidR="00665165" w:rsidRPr="00F90EAE" w:rsidRDefault="00665165" w:rsidP="00F90EAE">
      <w:pPr>
        <w:autoSpaceDE w:val="0"/>
        <w:autoSpaceDN w:val="0"/>
        <w:adjustRightInd w:val="0"/>
        <w:jc w:val="both"/>
        <w:rPr>
          <w:color w:val="000000" w:themeColor="text1"/>
          <w:sz w:val="16"/>
          <w:szCs w:val="16"/>
        </w:rPr>
      </w:pPr>
    </w:p>
    <w:p w14:paraId="3AC45EC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8252 [О мерах по форсированию строительства объектов цистерностроения на Мариупольском заводе НКТП.] (7330, 153-155).</w:t>
      </w:r>
    </w:p>
    <w:p w14:paraId="1A74D62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496D0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8253 [О материально-технических поставках НКГБ.] (7330, 156,157-166).</w:t>
      </w:r>
    </w:p>
    <w:p w14:paraId="0EE8F9A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BED1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спущен на воду 34-й МТ,</w:t>
      </w:r>
    </w:p>
    <w:p w14:paraId="256CF862" w14:textId="77777777" w:rsidR="00665165" w:rsidRPr="00F90EAE" w:rsidRDefault="00665165" w:rsidP="00F90EAE">
      <w:pPr>
        <w:autoSpaceDE w:val="0"/>
        <w:autoSpaceDN w:val="0"/>
        <w:adjustRightInd w:val="0"/>
        <w:jc w:val="both"/>
        <w:rPr>
          <w:iCs/>
          <w:color w:val="000000" w:themeColor="text1"/>
          <w:sz w:val="16"/>
          <w:szCs w:val="16"/>
        </w:rPr>
      </w:pPr>
    </w:p>
    <w:p w14:paraId="6081936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01B5E8" w14:textId="77777777" w:rsidR="00665165" w:rsidRPr="00F90EAE" w:rsidRDefault="00665165" w:rsidP="00F90EAE">
      <w:pPr>
        <w:autoSpaceDE w:val="0"/>
        <w:autoSpaceDN w:val="0"/>
        <w:adjustRightInd w:val="0"/>
        <w:jc w:val="both"/>
        <w:rPr>
          <w:iCs/>
          <w:color w:val="000000" w:themeColor="text1"/>
          <w:sz w:val="16"/>
          <w:szCs w:val="16"/>
        </w:rPr>
      </w:pPr>
    </w:p>
    <w:p w14:paraId="6AAC620A" w14:textId="77777777" w:rsidR="00DE38A8" w:rsidRPr="00F90EAE" w:rsidRDefault="00DE38A8" w:rsidP="00F90EAE">
      <w:pPr>
        <w:jc w:val="both"/>
        <w:rPr>
          <w:color w:val="000000" w:themeColor="text1"/>
          <w:sz w:val="16"/>
          <w:szCs w:val="16"/>
        </w:rPr>
      </w:pPr>
      <w:r w:rsidRPr="00F90EAE">
        <w:rPr>
          <w:color w:val="000000" w:themeColor="text1"/>
          <w:sz w:val="16"/>
          <w:szCs w:val="16"/>
        </w:rPr>
        <w:t>22 апреля в 1945 году оперативная сводка Совинформбюро:</w:t>
      </w:r>
    </w:p>
    <w:p w14:paraId="723A14E3" w14:textId="77777777" w:rsidR="00DE38A8" w:rsidRPr="00F90EAE" w:rsidRDefault="00DE38A8" w:rsidP="00F90EAE">
      <w:pPr>
        <w:jc w:val="both"/>
        <w:rPr>
          <w:color w:val="000000" w:themeColor="text1"/>
          <w:sz w:val="16"/>
          <w:szCs w:val="16"/>
        </w:rPr>
      </w:pPr>
      <w:r w:rsidRPr="00F90EAE">
        <w:rPr>
          <w:color w:val="000000" w:themeColor="text1"/>
          <w:sz w:val="16"/>
          <w:szCs w:val="16"/>
        </w:rPr>
        <w:t>«В течение 22 апреля Центральная группа наших войск продолжала вести наступательные бои на Дрезденском и Берлинском направлениях.</w:t>
      </w:r>
    </w:p>
    <w:p w14:paraId="394040F3" w14:textId="77777777" w:rsidR="00DE38A8" w:rsidRPr="00F90EAE" w:rsidRDefault="00DE38A8" w:rsidP="00F90EAE">
      <w:pPr>
        <w:jc w:val="both"/>
        <w:rPr>
          <w:color w:val="000000" w:themeColor="text1"/>
          <w:sz w:val="16"/>
          <w:szCs w:val="16"/>
        </w:rPr>
      </w:pPr>
      <w:r w:rsidRPr="00F90EAE">
        <w:rPr>
          <w:color w:val="000000" w:themeColor="text1"/>
          <w:sz w:val="16"/>
          <w:szCs w:val="16"/>
        </w:rPr>
        <w:t>На Дрезденском направлении наши войска заняли города Любенау, Даме, Шлибен, Зонневальде, Финстервальде, Руланд, Ельстерверда, Швепнитц, Буркау, Бишофсверда. По предварительным данным, с 17 по 21 апреля на этом направлении наши войска взяли в плен более 10.000 немецких солдат и офицеров и захватили 96 самолётов и свыше 150 танков и самоходных орудий противника.</w:t>
      </w:r>
    </w:p>
    <w:p w14:paraId="7108871C" w14:textId="77777777" w:rsidR="00DE38A8" w:rsidRPr="00F90EAE" w:rsidRDefault="00DE38A8" w:rsidP="00F90EAE">
      <w:pPr>
        <w:jc w:val="both"/>
        <w:rPr>
          <w:color w:val="000000" w:themeColor="text1"/>
          <w:sz w:val="16"/>
          <w:szCs w:val="16"/>
        </w:rPr>
      </w:pPr>
      <w:r w:rsidRPr="00F90EAE">
        <w:rPr>
          <w:color w:val="000000" w:themeColor="text1"/>
          <w:sz w:val="16"/>
          <w:szCs w:val="16"/>
        </w:rPr>
        <w:t>На Берлинском направлении наши войска заняли города Бизенталь, Кальберге, Клейншене6ек, Фридрихсхаген, Фюрстенвальде и пригороды Берлина — Глиникке, Любарс, Бланкенфельде, Розенталб", Буххольц, Каров, Бланкенбург, Мальхов, Вейсензее, Хозншонхауезен, Марцан, Бисдорф, Мальсдорф, Шенэйхе, Фихтенау, Вильгельмсхаген. По предварительным данным, с 17 по 21 апреля на этом направлении наши войска взяли в плен более 13.000 немецких солдат и офицеров и захватили следующие трофеи: самолётов — 60, танков и самоходных орудий — свыше 100, полевых орудий — более 500.</w:t>
      </w:r>
    </w:p>
    <w:p w14:paraId="6F343F65" w14:textId="77777777" w:rsidR="00DE38A8" w:rsidRPr="00F90EAE" w:rsidRDefault="00DE38A8" w:rsidP="00F90EAE">
      <w:pPr>
        <w:jc w:val="both"/>
        <w:rPr>
          <w:color w:val="000000" w:themeColor="text1"/>
          <w:sz w:val="16"/>
          <w:szCs w:val="16"/>
        </w:rPr>
      </w:pPr>
      <w:r w:rsidRPr="00F90EAE">
        <w:rPr>
          <w:color w:val="000000" w:themeColor="text1"/>
          <w:sz w:val="16"/>
          <w:szCs w:val="16"/>
        </w:rPr>
        <w:t>Севернее Вены войска 2-го Украинского фронта, продолжая наступление, с боями заняли на территории Австрии более 30 населённых пунктов и среди них Драсенхофен, Оттенталь, Вильдендюрбах, Нойдорф, Альтенмаркт, Айхенбрунн, Меркерсдорф, Симонофельд.</w:t>
      </w:r>
    </w:p>
    <w:p w14:paraId="4270FA35" w14:textId="77777777" w:rsidR="00DE38A8" w:rsidRPr="00F90EAE" w:rsidRDefault="00DE38A8"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033B881E" w14:textId="77777777" w:rsidR="00DE38A8" w:rsidRPr="00F90EAE" w:rsidRDefault="00DE38A8" w:rsidP="00F90EAE">
      <w:pPr>
        <w:jc w:val="both"/>
        <w:rPr>
          <w:color w:val="000000" w:themeColor="text1"/>
          <w:sz w:val="16"/>
          <w:szCs w:val="16"/>
        </w:rPr>
      </w:pPr>
      <w:r w:rsidRPr="00F90EAE">
        <w:rPr>
          <w:color w:val="000000" w:themeColor="text1"/>
          <w:sz w:val="16"/>
          <w:szCs w:val="16"/>
        </w:rPr>
        <w:t>За 21 апреля на всех фронтах подбито и уничтожено 156 немецких танков и самоходных орудий. В воздушных боях и огнём зенитной артиллерии сбито 56 самолётов противника.</w:t>
      </w:r>
    </w:p>
    <w:p w14:paraId="1DE1979B" w14:textId="77777777" w:rsidR="00DE38A8" w:rsidRPr="00F90EAE" w:rsidRDefault="00DE38A8" w:rsidP="00F90EAE">
      <w:pPr>
        <w:jc w:val="both"/>
        <w:rPr>
          <w:color w:val="000000" w:themeColor="text1"/>
          <w:sz w:val="16"/>
          <w:szCs w:val="16"/>
        </w:rPr>
      </w:pPr>
      <w:r w:rsidRPr="00F90EAE">
        <w:rPr>
          <w:color w:val="000000" w:themeColor="text1"/>
          <w:sz w:val="16"/>
          <w:szCs w:val="16"/>
        </w:rPr>
        <w:t>Центральная группа наших войск продолжала вести наступательные бои.</w:t>
      </w:r>
    </w:p>
    <w:p w14:paraId="7281CB55" w14:textId="77777777" w:rsidR="00DE38A8" w:rsidRPr="00F90EAE" w:rsidRDefault="00DE38A8" w:rsidP="00F90EAE">
      <w:pPr>
        <w:jc w:val="both"/>
        <w:rPr>
          <w:color w:val="000000" w:themeColor="text1"/>
          <w:sz w:val="16"/>
          <w:szCs w:val="16"/>
        </w:rPr>
      </w:pPr>
      <w:r w:rsidRPr="00F90EAE">
        <w:rPr>
          <w:color w:val="000000" w:themeColor="text1"/>
          <w:sz w:val="16"/>
          <w:szCs w:val="16"/>
        </w:rPr>
        <w:t>На Дрезденском направлении наши войска после упорного боя овладели городом Финстервальде – важным узлом шоссейных дорог. Вражеский гарнизон разгромлен. В городе имеются машиностроительные и литейные заводы, а также велосипедный завод и другие предприятия. Другие наши части выбили немцев из города Руланд, расположенного на канале Шварце-Ельстер. Развивая успех, наши войска с боями продвинулись вперед на 20 километров и овладели городом Ельстерверда.</w:t>
      </w:r>
    </w:p>
    <w:p w14:paraId="78626B4B" w14:textId="77777777" w:rsidR="00DE38A8" w:rsidRPr="00F90EAE" w:rsidRDefault="00DE38A8" w:rsidP="00F90EAE">
      <w:pPr>
        <w:jc w:val="both"/>
        <w:rPr>
          <w:color w:val="000000" w:themeColor="text1"/>
          <w:sz w:val="16"/>
          <w:szCs w:val="16"/>
        </w:rPr>
      </w:pPr>
      <w:r w:rsidRPr="00F90EAE">
        <w:rPr>
          <w:color w:val="000000" w:themeColor="text1"/>
          <w:sz w:val="16"/>
          <w:szCs w:val="16"/>
        </w:rPr>
        <w:t>На Берлинском направлении наши войска вели ожесточенные бои с упорно сопротивляющимся противником. Немецкое командование, стремясь преградить путь советским войскам, бросило в бой все имеющиеся силы. Берлинские военные школы прекратили занятия, а курсанты школ и обслуживающий персонал посланы на фронт. Гитлеровцы объявили в Берлине поголовную мобилизацию мужчин от 15 до 65 лет включительно. Все зенитные орудия противовоздушной обороны германской столицы также используются в качестве противотанковой артиллерии. Наши войска, преодолевая все препятствия, наносят противнику один удар за другим. Советские пехотинцы выбивают гитлеровцев из укрепленных зданий и артиллерийским огнем разрушают узлы сопротивления, а также баррикады из камня и кирпича, построенные на улицах пригородов Берлина. Наши танки и пехота, наступающие с северо-востока, заняли пригороды Бланкенбург, Мальхов и ворвались в пригород Вейсензее. Весь день шли ожесточенные бои. Советские штурмовые группы, усиленные орудиями, очищали квартал за кварталом, подавляя вражеские узлы сопротивления. Заняты фабрика «Ределер», трамвайный парк, электростанция и ряд промышленных предприятий, превращенных немцами в опорные пункты обороны. К исходу дня наши войска полностью заняли пригород Вейсензее и ведут бои в районе окружной железной дороги. Наши войска, наступающие с востока, мощным ударом прорвали долговременную оборону немцев в полосе озер и заняли пригороды Мальсдорф, Фихтенау и Вильгельмсхаген. Ожесточенные бои произошли также за город Фюрстенвальде – мощный опорный пункт обороны немцев юго-восточнее Берлина. Сильными ударами советские части выбили гитлеровцев из северной части города. К исходу дня вражеский гарнизон был полностью разгромлен и в беспорядке отступил. Противник несет огромные потери. По неполным данным, за день уничтожено до 8 тысяч немецких солдат и офицеров, 47 танков и самоходных орудий, более 150 полевых орудий и минометов. Бои на Берлинском направлении продолжаются днем и ночью, не стихая ни на час.</w:t>
      </w:r>
    </w:p>
    <w:p w14:paraId="72BB2058" w14:textId="77777777" w:rsidR="00DE38A8" w:rsidRPr="00F90EAE" w:rsidRDefault="00DE38A8" w:rsidP="00F90EAE">
      <w:pPr>
        <w:jc w:val="both"/>
        <w:rPr>
          <w:color w:val="000000" w:themeColor="text1"/>
          <w:sz w:val="16"/>
          <w:szCs w:val="16"/>
        </w:rPr>
      </w:pPr>
      <w:r w:rsidRPr="00F90EAE">
        <w:rPr>
          <w:color w:val="000000" w:themeColor="text1"/>
          <w:sz w:val="16"/>
          <w:szCs w:val="16"/>
        </w:rPr>
        <w:t>Советская авиация оказывает активную поддержку Центральной группе наших войск. Наши летчики атакуют боевые порядки и артиллерийские позиции противника, а также прикрывают советские наземные войска от нападений немецкой авиации. Группа истребителей под командованием капитана Четверткова встретила в воздухе 50 вражеских истребителей. Советские летчики атаковали противника. Лейтенант Бродский врезался в строй немецких самолетов и сбил один «Фокке-Вульф-190». На Бродского набросилось 6 истребителей противника. Умелым маневром лейтенант скрылся за облаками, а потом, неожиданно выйдя из-за облаков, сбил еще один вражеский самолет. Капитан Четвертков в этом бою сбил 2 немецких истребителя. Группа истребителей, ведомая старшим лейтенантом Лобачевым, встпила в бой с 14 вражескими самолетами. В результате боя советские летчики сбили 5 истребителей противника. Старший лейтенант Лобачев и младший лейтенант Кузоваткин в этом бою сбили по 2 немецких самолета каждый.</w:t>
      </w:r>
    </w:p>
    <w:p w14:paraId="0FD4B2CD" w14:textId="77777777" w:rsidR="00DE38A8" w:rsidRPr="00F90EAE" w:rsidRDefault="00DE38A8" w:rsidP="00F90EAE">
      <w:pPr>
        <w:jc w:val="both"/>
        <w:rPr>
          <w:color w:val="000000" w:themeColor="text1"/>
          <w:sz w:val="16"/>
          <w:szCs w:val="16"/>
        </w:rPr>
      </w:pPr>
      <w:r w:rsidRPr="00F90EAE">
        <w:rPr>
          <w:color w:val="000000" w:themeColor="text1"/>
          <w:sz w:val="16"/>
          <w:szCs w:val="16"/>
        </w:rPr>
        <w:t xml:space="preserve">Севернее Вены войска 2-го Украинского фронта продолжали наступление. Советские части, действующие в районе шоссе Вена – Брно, продвинулись вперед на 10 километров и ведут бои недалеко от города Микулов. Другие наши части встретили упорное сопротивление танков и пехоты противника в районе города Лаа. Отразив </w:t>
      </w:r>
      <w:r w:rsidRPr="00F90EAE">
        <w:rPr>
          <w:color w:val="000000" w:themeColor="text1"/>
          <w:sz w:val="16"/>
          <w:szCs w:val="16"/>
        </w:rPr>
        <w:lastRenderedPageBreak/>
        <w:t>пять вражеских контратак, советские бойцы овладели опорным пунктом Альтенмаркт, находящимся в 5 километрах южнее города Лаа. За день боев уничтожено 23 немецких танка. Захвачены две артиллерийские батареи и свыше 200 пленных.</w:t>
      </w:r>
    </w:p>
    <w:p w14:paraId="6DDC2C6D" w14:textId="77777777" w:rsidR="00DE38A8" w:rsidRPr="00F90EAE" w:rsidRDefault="00DE38A8" w:rsidP="00F90EAE">
      <w:pPr>
        <w:jc w:val="both"/>
        <w:rPr>
          <w:color w:val="000000" w:themeColor="text1"/>
          <w:sz w:val="16"/>
          <w:szCs w:val="16"/>
        </w:rPr>
      </w:pPr>
      <w:r w:rsidRPr="00F90EAE">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8 тысяч тонн. Авиация флота наносила удары по судам противника в порту Пиллау и северо-западнее Пиллау. В результате этих ударов потоплены: один транспорт водоизмещением в 6 тысяч тонн, две быстроходные десантные баржи, две сухогрузные баржи и два катера.» (15107).</w:t>
      </w:r>
    </w:p>
    <w:p w14:paraId="32A13627" w14:textId="77777777" w:rsidR="00DE38A8" w:rsidRPr="00F90EAE" w:rsidRDefault="00DE38A8" w:rsidP="00F90EAE">
      <w:pPr>
        <w:jc w:val="both"/>
        <w:rPr>
          <w:color w:val="000000" w:themeColor="text1"/>
          <w:sz w:val="16"/>
          <w:szCs w:val="16"/>
        </w:rPr>
      </w:pPr>
    </w:p>
    <w:p w14:paraId="6DA7470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Постановление ГКО № 8245 Об обеспечении восстановления и строительства пограничных застав, зданий войск НКВД СССР и органов НКВД - НКГБ СССР. (7330, 134-136,137-143).</w:t>
      </w:r>
    </w:p>
    <w:p w14:paraId="455C3DE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C035B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апреля 1945 вышло Постановление ГКО № 8247 О сокращении численности местной противовоздушной обороны гор. Москвы. (7330, 145-146).</w:t>
      </w:r>
    </w:p>
    <w:p w14:paraId="2ED9830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854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после ремонта B-17G (№ 43-38902), совершивший вынужденную посадку в Польше, севернее Жешува, близ аэродрома 341-го полка, перегнали в Полтаву. Это была первая "Крепость", поступившая в 45-ю дивизию (3457,112).</w:t>
      </w:r>
    </w:p>
    <w:p w14:paraId="3A0D823B" w14:textId="77777777" w:rsidR="00665165" w:rsidRPr="00F90EAE" w:rsidRDefault="00665165" w:rsidP="00F90EAE">
      <w:pPr>
        <w:autoSpaceDE w:val="0"/>
        <w:autoSpaceDN w:val="0"/>
        <w:adjustRightInd w:val="0"/>
        <w:jc w:val="both"/>
        <w:rPr>
          <w:color w:val="000000" w:themeColor="text1"/>
          <w:sz w:val="16"/>
          <w:szCs w:val="16"/>
        </w:rPr>
      </w:pPr>
    </w:p>
    <w:p w14:paraId="3349E8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с использованием PBI-1 Номад БФ был спасен пилот торпедоносца, сбитого восточнее маяка Хела (3457,130).</w:t>
      </w:r>
    </w:p>
    <w:p w14:paraId="35667304" w14:textId="77777777" w:rsidR="00665165" w:rsidRPr="00F90EAE" w:rsidRDefault="00665165" w:rsidP="00F90EAE">
      <w:pPr>
        <w:autoSpaceDE w:val="0"/>
        <w:autoSpaceDN w:val="0"/>
        <w:adjustRightInd w:val="0"/>
        <w:jc w:val="both"/>
        <w:rPr>
          <w:color w:val="000000" w:themeColor="text1"/>
          <w:sz w:val="16"/>
          <w:szCs w:val="16"/>
        </w:rPr>
      </w:pPr>
    </w:p>
    <w:p w14:paraId="36573CF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BCB9C43" w14:textId="77777777" w:rsidR="00665165" w:rsidRPr="00F90EAE" w:rsidRDefault="00665165" w:rsidP="00F90EAE">
      <w:pPr>
        <w:autoSpaceDE w:val="0"/>
        <w:autoSpaceDN w:val="0"/>
        <w:adjustRightInd w:val="0"/>
        <w:jc w:val="both"/>
        <w:rPr>
          <w:iCs/>
          <w:color w:val="000000" w:themeColor="text1"/>
          <w:sz w:val="16"/>
          <w:szCs w:val="16"/>
        </w:rPr>
      </w:pPr>
    </w:p>
    <w:p w14:paraId="5D369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апреля 1945 вышло Распоряжение ГКО № 8255. О режиме содержания и использования интернированных немцев. РГАНИР, Фонд ГКО, д. 404, лл. 170 (11012).</w:t>
      </w:r>
    </w:p>
    <w:p w14:paraId="11F83E5E" w14:textId="77777777" w:rsidR="00665165" w:rsidRPr="00F90EAE" w:rsidRDefault="00665165" w:rsidP="00F90EAE">
      <w:pPr>
        <w:autoSpaceDE w:val="0"/>
        <w:autoSpaceDN w:val="0"/>
        <w:adjustRightInd w:val="0"/>
        <w:jc w:val="both"/>
        <w:rPr>
          <w:color w:val="000000" w:themeColor="text1"/>
          <w:sz w:val="16"/>
          <w:szCs w:val="16"/>
        </w:rPr>
      </w:pPr>
    </w:p>
    <w:p w14:paraId="7B7D5C35" w14:textId="77777777" w:rsidR="00DE38A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3476913" w14:textId="77777777" w:rsidR="00DE38A8" w:rsidRPr="00F90EAE" w:rsidRDefault="00DE38A8" w:rsidP="00F90EAE">
      <w:pPr>
        <w:autoSpaceDE w:val="0"/>
        <w:autoSpaceDN w:val="0"/>
        <w:adjustRightInd w:val="0"/>
        <w:jc w:val="both"/>
        <w:rPr>
          <w:iCs/>
          <w:color w:val="000000" w:themeColor="text1"/>
          <w:sz w:val="16"/>
          <w:szCs w:val="16"/>
        </w:rPr>
      </w:pPr>
    </w:p>
    <w:p w14:paraId="4184D505" w14:textId="77777777" w:rsidR="00143828" w:rsidRPr="00F90EAE" w:rsidRDefault="00143828" w:rsidP="00F90EAE">
      <w:pPr>
        <w:jc w:val="both"/>
        <w:rPr>
          <w:color w:val="0070C0"/>
          <w:sz w:val="16"/>
          <w:szCs w:val="16"/>
        </w:rPr>
      </w:pPr>
      <w:r w:rsidRPr="00F90EAE">
        <w:rPr>
          <w:color w:val="0070C0"/>
          <w:sz w:val="16"/>
          <w:szCs w:val="16"/>
        </w:rPr>
        <w:t>22 апреля 1945 совершается последний рейс в истории Deutsche Luft Hansa, нерегулярный рейс из Берлина в Варнемюнде . После капитуляции Германии в мае союзники распускают авиакомпанию и захватывают ее самолеты (20371).</w:t>
      </w:r>
    </w:p>
    <w:p w14:paraId="1FECF3D7" w14:textId="77777777" w:rsidR="00143828" w:rsidRPr="00F90EAE" w:rsidRDefault="00143828" w:rsidP="00F90EAE">
      <w:pPr>
        <w:jc w:val="both"/>
        <w:rPr>
          <w:color w:val="0070C0"/>
          <w:sz w:val="16"/>
          <w:szCs w:val="16"/>
        </w:rPr>
      </w:pPr>
    </w:p>
    <w:p w14:paraId="3596AF48" w14:textId="77777777" w:rsidR="00DE38A8" w:rsidRPr="00F90EAE" w:rsidRDefault="00DE38A8" w:rsidP="00F90EAE">
      <w:pPr>
        <w:jc w:val="both"/>
        <w:rPr>
          <w:color w:val="000000" w:themeColor="text1"/>
          <w:sz w:val="16"/>
          <w:szCs w:val="16"/>
        </w:rPr>
      </w:pPr>
      <w:r w:rsidRPr="00F90EAE">
        <w:rPr>
          <w:color w:val="000000" w:themeColor="text1"/>
          <w:sz w:val="16"/>
          <w:szCs w:val="16"/>
        </w:rPr>
        <w:t>22 апреля в 1945 году Адольф Гитлер принимает решение остаться в Берлине (15107).</w:t>
      </w:r>
    </w:p>
    <w:p w14:paraId="70CF2B87" w14:textId="77777777" w:rsidR="00DE38A8" w:rsidRPr="00F90EAE" w:rsidRDefault="00DE38A8" w:rsidP="00F90EAE">
      <w:pPr>
        <w:jc w:val="both"/>
        <w:rPr>
          <w:color w:val="000000" w:themeColor="text1"/>
          <w:sz w:val="16"/>
          <w:szCs w:val="16"/>
        </w:rPr>
      </w:pPr>
    </w:p>
    <w:p w14:paraId="56C5DA1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F4CB4E3" w14:textId="77777777" w:rsidR="00665165" w:rsidRPr="00F90EAE" w:rsidRDefault="00665165" w:rsidP="00F90EAE">
      <w:pPr>
        <w:autoSpaceDE w:val="0"/>
        <w:autoSpaceDN w:val="0"/>
        <w:adjustRightInd w:val="0"/>
        <w:jc w:val="both"/>
        <w:rPr>
          <w:iCs/>
          <w:color w:val="000000" w:themeColor="text1"/>
          <w:sz w:val="16"/>
          <w:szCs w:val="16"/>
        </w:rPr>
      </w:pPr>
    </w:p>
    <w:p w14:paraId="3CC477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был готов Як-3У с АШ-82ФН, который строился с 20 января 1945 сначала в Новосибирске, а затем в Москве. С 29 апреля по 9 июня он проходил заводские испытания на ЦА и первый вылет был 12 мая (П.Я.Федрови). 25 сентября доделали, но запускать не стали, так как пошел Як-11 (65,198).</w:t>
      </w:r>
    </w:p>
    <w:p w14:paraId="58268051" w14:textId="77777777" w:rsidR="00665165" w:rsidRPr="00F90EAE" w:rsidRDefault="00665165" w:rsidP="00F90EAE">
      <w:pPr>
        <w:autoSpaceDE w:val="0"/>
        <w:autoSpaceDN w:val="0"/>
        <w:adjustRightInd w:val="0"/>
        <w:jc w:val="both"/>
        <w:rPr>
          <w:color w:val="000000" w:themeColor="text1"/>
          <w:sz w:val="16"/>
          <w:szCs w:val="16"/>
        </w:rPr>
      </w:pPr>
    </w:p>
    <w:p w14:paraId="58157698"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завершена постройка истребителя ОКБ Яковлева «Як-ЗУ» (постройка по постановлению ГКО начата 20 января в Hовосибирске и закончена в Москве) (15108).</w:t>
      </w:r>
    </w:p>
    <w:p w14:paraId="4A7396E2" w14:textId="77777777" w:rsidR="003755B5" w:rsidRPr="00F90EAE" w:rsidRDefault="003755B5" w:rsidP="00F90EAE">
      <w:pPr>
        <w:jc w:val="both"/>
        <w:rPr>
          <w:color w:val="000000" w:themeColor="text1"/>
          <w:sz w:val="16"/>
          <w:szCs w:val="16"/>
        </w:rPr>
      </w:pPr>
    </w:p>
    <w:p w14:paraId="4F704A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23 апреля по 30 апреля 1945 проходили гос. испытания модифицированного Ла-7 N 38109658 производства 381 завода с 3 мягкими бензобаками - 1 в центроплане, 2 - в консолях. Баки были разработаны С.А.Л. совместно с ВИАМ в сентябре 1944. И.М.Тимофеев выполнил 63 полета продолжительностью 8 час. 35 мин. (475,1).</w:t>
      </w:r>
    </w:p>
    <w:p w14:paraId="21F9EB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0BDB0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Проходили с 23 апреля по 30 апреля 1945. 63 полета с налетом 8:35</w:t>
      </w:r>
    </w:p>
    <w:p w14:paraId="6DE99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 исп. Инж-м Черняев</w:t>
      </w:r>
    </w:p>
    <w:p w14:paraId="35D0B6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ГСС м И.М.Тимофеев</w:t>
      </w:r>
    </w:p>
    <w:p w14:paraId="22E851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рез-ты испытаний и результаты предыдущих испытаний.</w:t>
      </w:r>
    </w:p>
    <w:p w14:paraId="459808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747EC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3EE14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разработаны т. С.А.Л. совместно с ВИАМ НКАП.</w:t>
      </w:r>
    </w:p>
    <w:p w14:paraId="634E34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A51E0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421AF4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1F1C59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настоящему времени приказ не реализован.</w:t>
      </w:r>
    </w:p>
    <w:p w14:paraId="1D91A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является первым с-том з-да № 381, оборудованным мягкими б/б</w:t>
      </w:r>
    </w:p>
    <w:p w14:paraId="77060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мм За протектирующими элементами следует внешний силовой слой из облегченного кожезаменителя толщиной в 2,5-3 мм.</w:t>
      </w:r>
    </w:p>
    <w:p w14:paraId="3CFD03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174FF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10782A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6CFCA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3478A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Модтфицированный с-т Ла-7 №... с крыльевыми мягкими б/б госиспытания прошел удовлетворительно.</w:t>
      </w:r>
    </w:p>
    <w:p w14:paraId="13E755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2CD2BF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5 мая 1945 Лосюков, Сафронов, ... (475,1).</w:t>
      </w:r>
    </w:p>
    <w:p w14:paraId="2C116BBB" w14:textId="77777777" w:rsidR="00665165" w:rsidRPr="00F90EAE" w:rsidRDefault="00665165" w:rsidP="00F90EAE">
      <w:pPr>
        <w:autoSpaceDE w:val="0"/>
        <w:autoSpaceDN w:val="0"/>
        <w:adjustRightInd w:val="0"/>
        <w:jc w:val="both"/>
        <w:rPr>
          <w:color w:val="000000" w:themeColor="text1"/>
          <w:sz w:val="16"/>
          <w:szCs w:val="16"/>
        </w:rPr>
      </w:pPr>
    </w:p>
    <w:p w14:paraId="335EAA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закончились гос. испытания машины 62 - ДБ А.Н.Т., сделанного на основе Ту-2 N 718, которые приходили с 20 ноября 1944. Нормальная взлетная масса - 11400 кг, макс. скорость - 539 км/час, тех. дальность - 2830 км, потолок - 10250 м. На основании испытаний НИИ ВВС сделало заключение о возможности создания путем модификации серийного Ту-2 ДБ, удовлетворяющего требованиям ТТТ ВВС к Ту-2Д. На вооружение не приняли, так как выявили множество конструктивных дефектов и требовала доработок. До 1947 использовали для опытных работ (1835,60).</w:t>
      </w:r>
    </w:p>
    <w:p w14:paraId="51CA0621" w14:textId="77777777" w:rsidR="00665165" w:rsidRPr="00F90EAE" w:rsidRDefault="00665165" w:rsidP="00F90EAE">
      <w:pPr>
        <w:autoSpaceDE w:val="0"/>
        <w:autoSpaceDN w:val="0"/>
        <w:adjustRightInd w:val="0"/>
        <w:jc w:val="both"/>
        <w:rPr>
          <w:color w:val="000000" w:themeColor="text1"/>
          <w:sz w:val="16"/>
          <w:szCs w:val="16"/>
        </w:rPr>
      </w:pPr>
    </w:p>
    <w:p w14:paraId="4E5A1387" w14:textId="77777777" w:rsidR="00A278CB" w:rsidRPr="00F90EAE" w:rsidRDefault="00A278CB" w:rsidP="00F90EAE">
      <w:pPr>
        <w:jc w:val="both"/>
        <w:rPr>
          <w:color w:val="000000" w:themeColor="text1"/>
          <w:sz w:val="16"/>
          <w:szCs w:val="16"/>
        </w:rPr>
      </w:pPr>
      <w:r w:rsidRPr="00F90EAE">
        <w:rPr>
          <w:color w:val="000000" w:themeColor="text1"/>
          <w:sz w:val="16"/>
          <w:szCs w:val="16"/>
        </w:rPr>
        <w:t>23 апреля 1945 г., в Германию вылетела группа генерала Н. И. Петрова, начальника Научного института самолетного оборудования, с задачей выявления чертежей и опытных образцов немецких ракет. Через месяц, 18 мая, в уже побежденную Германию выехала вторая группа под началом первого заместителя наркома боеприпасов П. Н. Горемыкина (19800).</w:t>
      </w:r>
    </w:p>
    <w:p w14:paraId="70ABFF53" w14:textId="77777777" w:rsidR="00A278CB" w:rsidRPr="00F90EAE" w:rsidRDefault="00A278CB" w:rsidP="00F90EAE">
      <w:pPr>
        <w:jc w:val="both"/>
        <w:rPr>
          <w:color w:val="000000" w:themeColor="text1"/>
          <w:sz w:val="16"/>
          <w:szCs w:val="16"/>
        </w:rPr>
      </w:pPr>
    </w:p>
    <w:p w14:paraId="116F18D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E18324A" w14:textId="77777777" w:rsidR="00665165" w:rsidRPr="00F90EAE" w:rsidRDefault="00665165" w:rsidP="00F90EAE">
      <w:pPr>
        <w:autoSpaceDE w:val="0"/>
        <w:autoSpaceDN w:val="0"/>
        <w:adjustRightInd w:val="0"/>
        <w:jc w:val="both"/>
        <w:rPr>
          <w:iCs/>
          <w:color w:val="000000" w:themeColor="text1"/>
          <w:sz w:val="16"/>
          <w:szCs w:val="16"/>
        </w:rPr>
      </w:pPr>
    </w:p>
    <w:p w14:paraId="314E205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года вышел приказ № 142с НКБ Москва</w:t>
      </w:r>
    </w:p>
    <w:p w14:paraId="1D3B93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СНК № 6294рс от 17 апреля 1945 года реорганизовать с 1 апреля 1945 года особый завод № 862 в НИИ № 862 НКБ 6 Гл. Управления (5761, 68).</w:t>
      </w:r>
    </w:p>
    <w:p w14:paraId="118FE2A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7F79C33" w14:textId="77777777" w:rsidR="005D233C" w:rsidRPr="00F90EAE" w:rsidRDefault="005D233C" w:rsidP="00F90EAE">
      <w:pPr>
        <w:jc w:val="both"/>
        <w:rPr>
          <w:color w:val="000000" w:themeColor="text1"/>
          <w:sz w:val="16"/>
          <w:szCs w:val="16"/>
        </w:rPr>
      </w:pPr>
      <w:r w:rsidRPr="00F90EAE">
        <w:rPr>
          <w:color w:val="000000" w:themeColor="text1"/>
          <w:sz w:val="16"/>
          <w:szCs w:val="16"/>
        </w:rPr>
        <w:t xml:space="preserve">23 апреля в 1945 году по распоряжению Совета Народных комиссариата по боеприпасам. №142 на базе особого завода №862, продукция которого поставлялась на фронт образовано ФГУП "ФНПЦ "НИИ прикладной химии". В 1966 НИИ-862 переименован в НИИ прикладной химии, а в 1999 г. институту присвоен статус Федерального научно-производственного центра по пиротехнике. Институт является головным предприятием России по разработке, производству и утилизации пиротехнической продукции военного и гражданского назначения. Основной задачей института на 1945 год и первые послевоенные годы являлось создание новых более совершенных пиротехнических средств, отвечающих требованиям, которые выявились в ходе Великой Отечественной войны и второй мировой войны в целом. В соответствии с задачами, поставленными руководством НКБ, а затем Министерством сельхозмашиностроения, в подчинение которого был передан институт в 1946 </w:t>
      </w:r>
      <w:r w:rsidRPr="00F90EAE">
        <w:rPr>
          <w:color w:val="000000" w:themeColor="text1"/>
          <w:sz w:val="16"/>
          <w:szCs w:val="16"/>
        </w:rPr>
        <w:lastRenderedPageBreak/>
        <w:t>году, работы в 1945-1947 годах проводились в направлениях совершенствования и разработки новых пиротехнических средств для сигнализации на большие расстояния и аэрофотосъемки, сигнальных и осветительных средств ближнего действия, дымовых маскирующих средств, учебных и имитационных изделий, механизации технологических процессов. В соответствии с Приказом МСХМ СССР от 11 февраля 1949 года, в институте создается технологический отдел для разработки и внедрения на пиротехнических заводах передовой технологии, средств механизации и автоматизации технологических процессов. С 1945 по 1950 год было выполнено 250 НИР и ОКР, в результате выполнения которых Министерство обороны получило новые более эффективные пиротехнические средства, а промышленность- заказы на их изготовление. К началу 1960-х годов в институте были разработаны и освоены в серийном производстве новые виды снаряжения для боеприпасов, разработанных ГСКБ-47 и НИИ-24, и новые изделия, а именно: факелы для осветительных авиабомб, артиллерийских снарядов и мин; снаряжение для фотоосветительных авиабомб; трассеры для артиллерийских снарядов, ракет и самолетов-мишеней; ручные реактивные сигнальные и осветительные патроны и др. В этот же период институтом разрабатываются первые промышленные образцы гражданской пиротехнической продукции: парковые фейерверочные изделия; пестицидные дымовые шашки; осадковызывающие составы, которые явились основой для развития в институте в дальнейшем целого направления по созданию противоградовых пиротехнических изделий и средств искусственного вызывания осадков для тушения лесных пожаров и осаждения туманов на взлетно-посадочных полосах аэродромов. В период с 1960 по 1980 годы конструкторскими службами института для опытного производства и серийных заводов было разработано современное технологическое оборудование для всех основных фаз изготовления пиротехнических средств: измельчения материалов, сушки компонентов и составов, усреднения металлических порошков, приготовления составов и высокочувствительных к внешним воздействиям смесей. В 1980-е годы работы в институте проводились по следующим основным научно-техническим направлениям: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научно-методическое обеспечение разработок и испытаний пиротехнических средств; разработка и автоматизация технологических процессов; создание нестандартного технологического оборудования; обеспечение безопасных условий труда. Всего с 1980 по 1992 год было разработано и передано в серийное производство более 80 видов новых пиротехнических средств военного и гражданского назначения. В конце 1980-х годов в связи с уменьшением заказа по оборонной тематике в институте были развернуты интенсивные работы по созданию пиротехнической гражданской продукции и товаров народного потребления. В 1990-х годах институтом были созданы экологически безопасные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и конструкций, средства охранной сигнализации и оружие самозащиты. Была разработана уникальная экологически чистая технология фильтрационного сжигания биологических отходов, в том числе зараженных опасными инфекционными носителями. В 1990-х годах была разработана и освоена в производстве широкая номенклатура средств развлекательной пиротехники: настольные и концертные искристые фонтаны, малогабаритные ракеты и салюты, восходящие искристые динамические игрушки-«бабочки», безопасные звуковые петарды, огненные колеса, бенгальские свечи, хлопушки и др. В настоящее время институт в своем составе имеет научно-исследовательские, опытно-конструкторские, технологические подразделения и подразделения по маркетингу, рекламе и сбыту, опытное производство, испытательную базу с полигоном и способен проводить весь комплекс работ- от поисковых исследований до промышленного выпуска практически всей пиротехнической продукции и реализации ее на потребительском рынке. Номенклатура разработанных, принятых на вооружение и освоенных в производстве с 1945 года специальных пиротехнических средств, предназначенных для оснащения всех родов войск, превышает 550 наименований, в том числе более 200 пиротехнических изделий (воспламенители, заряды твердого топлива, средства пироавтоматики) используется в ракетных, ракетно-космических и артиллерийских системах. Номенклатура разработанных и освоенных в серийном производстве изделий гражданского назначения составляет свыше 170 наименований. На разработанные институтом составы, изделия, приборы, технологии и нестандартное оборудование было получено более 1550 авторских свидетельств на изобретение СССР. Разработки института отмечены 328-ю наградами ВДНХ (15108).</w:t>
      </w:r>
    </w:p>
    <w:p w14:paraId="513047D0" w14:textId="77777777" w:rsidR="005D233C" w:rsidRPr="00F90EAE" w:rsidRDefault="005D233C" w:rsidP="00F90EAE">
      <w:pPr>
        <w:jc w:val="both"/>
        <w:rPr>
          <w:color w:val="000000" w:themeColor="text1"/>
          <w:sz w:val="16"/>
          <w:szCs w:val="16"/>
        </w:rPr>
      </w:pPr>
    </w:p>
    <w:p w14:paraId="443FD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23 апреля 1945г. Приказом НКБ Особый завод № 862 (Особый завод № 862 НКБ, НИИ-862 НКБ, МСХМ, ГКОТ, ММ, МОП, </w:t>
      </w:r>
      <w:r w:rsidRPr="00F90EAE">
        <w:rPr>
          <w:color w:val="000000" w:themeColor="text1"/>
          <w:sz w:val="16"/>
          <w:szCs w:val="16"/>
          <w:lang w:val="en-US"/>
        </w:rPr>
        <w:t>MOM</w:t>
      </w:r>
      <w:r w:rsidRPr="00F90EAE">
        <w:rPr>
          <w:color w:val="000000" w:themeColor="text1"/>
          <w:sz w:val="16"/>
          <w:szCs w:val="16"/>
        </w:rPr>
        <w:t>, НИИ прикладной химии (НИИПХ), ГУП, ФГУП «ФНПЦ НИИПХ» Росбоеприпаса /141313 (141300) г. Сергиев Посад Московской обл. ул. Академика Силина, 3; ул. Институтская, 5 тел. 40-616 (2005г.)/) был реорганизован в НИИ-862 в ведении 6ГУ НКБ. Основной задачей стало создание новых пиротехнических (дымовых, осветительных, фотоосветительных, сигнальных) средств и механизация опасных и трудоемких техпроцессов.</w:t>
      </w:r>
    </w:p>
    <w:p w14:paraId="6027C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Чебоксарское ОТБ-320, которое располагалось на заводе № 320, перебазировалось в г. Сергиев Посад (и вошло в состав НИИ-862). В составе НИИ-862 (1948г.)- Особое бюро.</w:t>
      </w:r>
    </w:p>
    <w:p w14:paraId="70D89F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1945-47г. велось совершенствование и разработка новых пиротехнических средств для сигнализации на большие расстояния и аэрофотосъемки, сигнальных и осветительных средств ближнего действия, дымовых и маскирующих средств, учебных и имитационных изделий. С 1949г. вырос объем работ по созданию зарядов для снаряжения крупногабаритных изделий (специальных снарядов и авиабомб). По приказу МСХМ от 11.02.1949г. создан технологический отдел для разработки внедрения на пиротехнических заводах передовой технологии, средств механизации и автоматизации технологических процессов. В 1945-50г. выполнено 250 НИОКР. В 1950-е г. созданы твердотопливные заряды на гидрореагирующем топливе (в качестве окислителя используется морская вода). К началу 1960-х г. созданы новые виды снаряжений: факелы для осветительных авиабомб, артиллерийских снарядов и мин, трассеры для снарядов, ракет и самолетов-мишеней, ручные реактивные сигнальные и осветительные патроны. В это же время разработаны первые образцы гражданской пиротехнической продукции: парковые фейерверки, пестицидные дымовые шашки, осадковызывающие составы. С конца 1950-х г. начаты работы по созданию новых нетрадиционных пиротехнических средств: твердых топлив для ракетно-прямоточных двигателей, воспламенителей для РДТТ, пиротехнических нагревателей, средств пироавтоматики для авиационно-космической техники. С 1960-х г. разрабатывались различные сигналы бедствия - сигнальные ракеты, патроны, шашки (световые, звуковые, дымовые), создан сигнальный буй для ПЛ (для глубин до 450 м). В 1965г. закончена модернизация существующих и введены в эксплуатацию новые испытательные стенды в институте и на полигоне. В 1960-80г. для ОП и серийных заводов разработано технологическое оборудование для всех основных фаз производства: измельчения материалов, сушки компонентов, усреднения металлических порошков, приготовления составов и высокочувствительных к внешним воздействиям смесей. Освоены в производстве твердое топливо и заряды из него для двигателей зенитных ракет и ракето-торпед, пиротехнические ложные цели и помехи для противодействия высокоточному оружию. В эти годы ежегодно передавалось в производство более 70 новых изделий.</w:t>
      </w:r>
    </w:p>
    <w:p w14:paraId="415D57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Направления работ (1980-е г.): осветительные и фотоосветительные составы и средства; сигнальные и фейерверочные составы и изделия; аэрозолеобразующие составы и средства; твердые зажигательные составы и огнесмеси: составы и средства пироавтоматики; твердые топлива и газогенерирующие составы; пиротехнические воспламенители; помехи и средства искажения; составы и средства активного воздействия на атмосферные явления; бронирующие и крепящие составы и покрытия; специальные виды сырья и материалов, научно- методическое обеспечение разработок и испытаний; разработка и автоматизация техпроцессов; создание нестандартного технологического оборудования. Начинает развиваться новое направление - термобарические смеси и пиротехнические источники тока. В 1980-92г. разработано и передано в производство более 80 новых средств военного и гражданского назначения. В 1990-е г. разработаны пиротехнические инсектицидные и бактерицидные аэрозольные шашки для борьбы с вредными насекомыми, бактериями и болезнями растений, комплекс газогенерирующих устройств для получения кислорода, азота и других газов, малогабаритные пиротехнические генераторы, пиротехнические средства для сварки и резки стальных деталей, средства охранной сигнализации и оружие самозащиты. Разработана уникальная экологически чистая технология фильтрационного сжигания биологических отходов ПСФГ, в т.ч. зараженных опасными инфекциями. В 1990-е г. разработана и внедрена широкая номенклатура развлекательной пиротехники. Всего к 2000-м г. разработано и принято на вооружение более 550 наименований средств, в т.ч. более 200 пиротехнических изделий. Гражданских изделий создано и освоено в производстве более 170.</w:t>
      </w:r>
    </w:p>
    <w:p w14:paraId="34F0EC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1946г. НИИ-862 - в ведении МСХМ. В 1966г. НИИ-862 переименован в НИИПХ. В 1999г. присвоен статус ФНПЦ. По Указу Президента РФ № 1009 от 4.08.2004г. вошел в число стратегических оборонных предприятий. В 2005г. в соответствии с Федеральной целевой программой, утвержденной пост, правительства № 173 от 11.10.2001г., велось создание Государственного научно-производственного комплекса (ГНПК) «Пиротехнические изделия и помеховые боеприпасы», в который должны войти: НИИПХ (головной), Краснозаводский химзавод, Чебоксарское ПО им. Чапаева и «Сигнал».</w:t>
      </w:r>
    </w:p>
    <w:p w14:paraId="19A488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2004г. НИИПХ - головное предприятие фейерверочной промышленности России.</w:t>
      </w:r>
      <w:r w:rsidRPr="00F90EAE">
        <w:rPr>
          <w:color w:val="000000" w:themeColor="text1"/>
          <w:sz w:val="16"/>
          <w:szCs w:val="16"/>
          <w:vertAlign w:val="superscript"/>
        </w:rPr>
        <w:t>127</w:t>
      </w:r>
      <w:r w:rsidRPr="00F90EAE">
        <w:rPr>
          <w:color w:val="000000" w:themeColor="text1"/>
          <w:sz w:val="16"/>
          <w:szCs w:val="16"/>
        </w:rPr>
        <w:t xml:space="preserve"> Создано свыше 1000 наименований изделий.</w:t>
      </w:r>
    </w:p>
    <w:p w14:paraId="58071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Совместно с ЛТИ им. Ленсовета проведена работа по созданию термоэлектрических источников тока.</w:t>
      </w:r>
    </w:p>
    <w:p w14:paraId="245F8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Спроектированы: линии подготовки компонентов; агрегаты смешения и грануляции составов; роторные прессы; поточная линия изготовления эластичных пиронагревателей; установки для проходного прессования; уникальная гидростатическая установка для прессования зарядов из сыпучих составов; установки для приготовления жидких и вязких композиций; оснастка для изготовления алюминиевых гильз (всего более 670 наименований оборудования).</w:t>
      </w:r>
    </w:p>
    <w:p w14:paraId="7EC1B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(2000г.): ОКР «Игрушка» по разработке ряда еврокалибров экологически чистых высотных фейерверков.</w:t>
      </w:r>
    </w:p>
    <w:p w14:paraId="693F88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Разработка (2005г.): пассивные тепловые ложные цели и противо-РЛ средства; дымовые маскирующие и защитные составы; средства гидроакустического противодействия; металлизированные огнесмеси, термобарические и зажигательные составы для снаряжения боеприпасов; осветительные, фотоосветительные и сигнальные средства; плазменные ложные цели; твердые пиротехнические топлива для ПВРД и гидрореактивных двигателей; источники низкотемпературного азота для систем управления и ориентации; воспламенители для РДТТ и ЖРД, средства пироавтоматики; антитеррористические средства для нейтрализации преступников; автономные пиротехнические малогабаритные источники тока; пожаротушащие аэрозоли, средства вызывания осадков; устройства для резки и сварки металлов; </w:t>
      </w:r>
      <w:r w:rsidRPr="00F90EAE">
        <w:rPr>
          <w:color w:val="000000" w:themeColor="text1"/>
          <w:sz w:val="16"/>
          <w:szCs w:val="16"/>
        </w:rPr>
        <w:lastRenderedPageBreak/>
        <w:t>заряды для восстановления нефтегазовых скважин; технологии утилизации биологических объектов, вредных химических соединений; разработка приборов для оценки эффективности действия изделий и контроля качества производства; установки для исследования процессов воспламенения, горения, тепломассообмена; оборудование для определения параметров дымовых средств, оптических, микрофизических и электрофизических характеристик продуктов горения.</w:t>
      </w:r>
    </w:p>
    <w:p w14:paraId="457022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2005г. разработано более 450 пиротехнических изделий военного назначения.</w:t>
      </w:r>
      <w:r w:rsidRPr="00F90EAE">
        <w:rPr>
          <w:color w:val="000000" w:themeColor="text1"/>
          <w:sz w:val="16"/>
          <w:szCs w:val="16"/>
          <w:vertAlign w:val="superscript"/>
        </w:rPr>
        <w:t>101</w:t>
      </w:r>
    </w:p>
    <w:p w14:paraId="79F2DA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имел (2005г.) опытное производство, экспериментальную базу, полигон.</w:t>
      </w:r>
    </w:p>
    <w:p w14:paraId="74C482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(-1945-07.1948г.)- А.П. Андрощук, (07.1948-начало 1950-х г.)- Ф.В. Козлов, (1964-90-е)- Н.А. Силин, (1994г.-)- Н.М. Вареных. Гендиректор (2004г.)- Н.М. Вареных.</w:t>
      </w:r>
    </w:p>
    <w:p w14:paraId="31D4C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директора по НИОКР- В.Н. Емельянов. Зам. директора: по ОКР (1964г.-)- П.В. Коваленко; по научной работе (1981-89г.)- В.Д. Борисов, по НИОКР (1991г.-)- В.Н. Емельянов, А.И. Спорыхин; по производству- В.А. Подсобляев; по экономике- В.И. Нистратов; по общим вопросам- С.М. Пухович; (1964г.-)- Е.С. Шахиджанов.</w:t>
      </w:r>
    </w:p>
    <w:p w14:paraId="4BBF05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(-1945-07.1948г.)- А.И. Флегонтов, (07.1948-начало 1950-х г.)- И.И. Вернидуб, (1964г.-)- Е.С. Берендаков, (1997г.-)- С.М. Пухович, В.И. Подсобляев.</w:t>
      </w:r>
    </w:p>
    <w:p w14:paraId="7A37D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(1965г.)- Е.Д. Раков.</w:t>
      </w:r>
    </w:p>
    <w:p w14:paraId="4C0B87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(2004г.)- П. Пороховников. Начальник ТД «Русский фейерверк»- А.В. Усилии.</w:t>
      </w:r>
    </w:p>
    <w:p w14:paraId="715C5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внедрения передовых технологий (02.1949г.-)- И.А. Челноков; реализации оружия самообороны, фейерверочных изделий и спецпродукции- И.А. Чупринко.</w:t>
      </w:r>
    </w:p>
    <w:p w14:paraId="7D796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Руководители конструкторских подразделений: В.М. Бритов, В.И. Коновалов, К.А. Митин, В.П. Чулков.</w:t>
      </w:r>
    </w:p>
    <w:p w14:paraId="353FCB90"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запальное устройство для ракеты «036», заряд для пирозапала к форкамерам ПВРД, АБ, дымовые и световые трассеры (для К-7), комбинированный заряд к двигателю РАТ-52, воспламенитель к РДТТ для РАТ- 52М, топливо для РДТТ; механизированная линия ЛП-1 по производству асбестовых шайб пиронагревателей для РКТ (1971); пистолеты: четырехствольный ПБ-4М с электронным воспламенением капсюля комплекса самообороны «Оса»; двуствольный ПБ-2; противоградовая ракета комплекса «Кристалл»; дымовые шашки: для борьбы с насекомыми Д-20, Г-17, нейтральные НДШ (1970-е);</w:t>
      </w:r>
      <w:r w:rsidRPr="00F90EAE">
        <w:rPr>
          <w:iCs/>
          <w:color w:val="000000" w:themeColor="text1"/>
          <w:sz w:val="16"/>
          <w:szCs w:val="16"/>
        </w:rPr>
        <w:t xml:space="preserve"> гранаты:</w:t>
      </w:r>
      <w:r w:rsidRPr="00F90EAE">
        <w:rPr>
          <w:color w:val="000000" w:themeColor="text1"/>
          <w:sz w:val="16"/>
          <w:szCs w:val="16"/>
        </w:rPr>
        <w:t xml:space="preserve"> ручная РГ-60ТБ; дымовые: ЗД6, ЗД6М, ЗД17, ручная РГД-М (2000-е); светозвуковые: стационарная «Пламя», ручная «Заря-2», «Взлет-М», ВГ-40СЗ (2000-е); ослепляющего и оглушающего действия ГСЗ; термобарическая ВГ-40ТБ (2000-е); фейерверочные изделия (2000-е); пожаротушащие комплектующие: пускатель автономный кнопочный ПАК, аэрозольные генераторы ПАГ-04, -0,6, -1, -1,3, -2,6; патрон для огнетушителя ГГП-5, датчик электрический тепловой ДЭТА, азотогенерирующее средство; резак пиротехнический, фальшфейер Ф-ЗК, линемет УЛМ-1 (2000-е); ракеты: сигнальные РОЗ-ЗО, РОК-ЗО, парашютная ПРБ-40, звуковая ЗРБ-40 (2000-е); буй светодымящий БСД-97 (11982).</w:t>
      </w:r>
    </w:p>
    <w:p w14:paraId="6B71220F" w14:textId="77777777" w:rsidR="00665165" w:rsidRPr="00F90EAE" w:rsidRDefault="00665165" w:rsidP="00F90EAE">
      <w:pPr>
        <w:autoSpaceDE w:val="0"/>
        <w:autoSpaceDN w:val="0"/>
        <w:adjustRightInd w:val="0"/>
        <w:jc w:val="both"/>
        <w:rPr>
          <w:color w:val="000000" w:themeColor="text1"/>
          <w:sz w:val="16"/>
          <w:szCs w:val="16"/>
        </w:rPr>
      </w:pPr>
    </w:p>
    <w:p w14:paraId="6E3495FA" w14:textId="77777777" w:rsidR="006979C2" w:rsidRPr="00F90EAE" w:rsidRDefault="006979C2" w:rsidP="00F90EAE">
      <w:pPr>
        <w:jc w:val="both"/>
        <w:rPr>
          <w:color w:val="000000" w:themeColor="text1"/>
          <w:sz w:val="16"/>
          <w:szCs w:val="16"/>
        </w:rPr>
      </w:pPr>
      <w:r w:rsidRPr="00F90EAE">
        <w:rPr>
          <w:color w:val="000000" w:themeColor="text1"/>
          <w:sz w:val="16"/>
          <w:szCs w:val="16"/>
        </w:rPr>
        <w:t>23-29 апреля 1945 года — в той же машине Т-34-100 испытали 100-мм пушку Д-10Т завода № 9 НКВ, предназначенную для вооружения танка Т-54. Вывод: «Пушка испытание выдержала. По сравнению с пушкой ЛБ-1 имеет недостатки в отношении устойчивости, безопасности в работе заражающего, экстракции гильз и прочности экстрактора».</w:t>
      </w:r>
    </w:p>
    <w:p w14:paraId="726A93D3" w14:textId="77777777" w:rsidR="006979C2" w:rsidRPr="00F90EAE" w:rsidRDefault="006979C2" w:rsidP="00F90EAE">
      <w:pPr>
        <w:jc w:val="both"/>
        <w:rPr>
          <w:color w:val="000000" w:themeColor="text1"/>
          <w:sz w:val="16"/>
          <w:szCs w:val="16"/>
        </w:rPr>
      </w:pPr>
      <w:r w:rsidRPr="00F90EAE">
        <w:rPr>
          <w:color w:val="000000" w:themeColor="text1"/>
          <w:sz w:val="16"/>
          <w:szCs w:val="16"/>
        </w:rPr>
        <w:t>Однако уже первые испытания Т-34-85со 100-мм пушкой показали, что такой калибр для этого танка уже чрезмерен, требуется переконструирование большого количества узлов и механизмов. Поэтому испытания 1945 года можно рассматривать как работы по выбору артсисте- мы для новых типов средних танков, а Т-34-100 - как стенд для испытания 100-мм орудий (12217).</w:t>
      </w:r>
    </w:p>
    <w:p w14:paraId="7DB5F72A" w14:textId="77777777" w:rsidR="006979C2" w:rsidRPr="00F90EAE" w:rsidRDefault="006979C2" w:rsidP="00F90EAE">
      <w:pPr>
        <w:jc w:val="both"/>
        <w:rPr>
          <w:color w:val="000000" w:themeColor="text1"/>
          <w:sz w:val="16"/>
          <w:szCs w:val="16"/>
        </w:rPr>
      </w:pPr>
    </w:p>
    <w:p w14:paraId="48D80DA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года вышел приказ № 0202/145с НКБ Москва</w:t>
      </w:r>
    </w:p>
    <w:p w14:paraId="2390A23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ГОКО № 8043с о передаче в систему НКБ завода № 13 Наркомстроя (временно до окончания войны для размещения на нем вывозимого из Германии завода “Стальбау Хандлер Зооне” по производству авиабомб (5761, 80).</w:t>
      </w:r>
    </w:p>
    <w:p w14:paraId="7EAB52E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D9809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вышло Постановление ГКО № 8256 О мерах по обеспечению строительства железнодорожной линии Комсомольск - бухта Ванино и паромной переправы через реку Амур. (7330, 171-177,178-179).</w:t>
      </w:r>
    </w:p>
    <w:p w14:paraId="1CA822B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94966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вышло Постановление ГКО № 8257 Об организации второй базы по производству авто-аэро и веловинтелей. РГАНИР, Фонд ГКО, д. 404, лл. 180-184, 185-188 (11012).</w:t>
      </w:r>
    </w:p>
    <w:p w14:paraId="0FEE4566" w14:textId="77777777" w:rsidR="00665165" w:rsidRPr="00F90EAE" w:rsidRDefault="00665165" w:rsidP="00F90EAE">
      <w:pPr>
        <w:autoSpaceDE w:val="0"/>
        <w:autoSpaceDN w:val="0"/>
        <w:adjustRightInd w:val="0"/>
        <w:jc w:val="both"/>
        <w:rPr>
          <w:color w:val="000000" w:themeColor="text1"/>
          <w:sz w:val="16"/>
          <w:szCs w:val="16"/>
        </w:rPr>
      </w:pPr>
    </w:p>
    <w:p w14:paraId="42E9082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вышло Постановление ГКО № 8258 Об обеспечении перевозок грузов черной металлургии во II квартале 1945 г. (7331, 1-2,3-33).</w:t>
      </w:r>
    </w:p>
    <w:p w14:paraId="00E9F56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A77C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вышло Постановление ГКО № 8259 О плане выработки электроэнергии, производства промышленной продукции, ввода в действие новых энергетических мощностей и обеспечения бесперебойной работы электростанций НКЭС во II квартале 1945 года. РГАНИР, Фонд ГКО, д. 405, лл. 34-39, 40-99 (11012).</w:t>
      </w:r>
    </w:p>
    <w:p w14:paraId="50EE30A8" w14:textId="77777777" w:rsidR="00665165" w:rsidRPr="00F90EAE" w:rsidRDefault="00665165" w:rsidP="00F90EAE">
      <w:pPr>
        <w:autoSpaceDE w:val="0"/>
        <w:autoSpaceDN w:val="0"/>
        <w:adjustRightInd w:val="0"/>
        <w:jc w:val="both"/>
        <w:rPr>
          <w:color w:val="000000" w:themeColor="text1"/>
          <w:sz w:val="16"/>
          <w:szCs w:val="16"/>
        </w:rPr>
      </w:pPr>
    </w:p>
    <w:p w14:paraId="5CCD8B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спущен на воду 35-й ТЩ (10671).</w:t>
      </w:r>
    </w:p>
    <w:p w14:paraId="5473C6D5" w14:textId="77777777" w:rsidR="00665165" w:rsidRPr="00F90EAE" w:rsidRDefault="00665165" w:rsidP="00F90EAE">
      <w:pPr>
        <w:autoSpaceDE w:val="0"/>
        <w:autoSpaceDN w:val="0"/>
        <w:adjustRightInd w:val="0"/>
        <w:jc w:val="both"/>
        <w:rPr>
          <w:color w:val="000000" w:themeColor="text1"/>
          <w:sz w:val="16"/>
          <w:szCs w:val="16"/>
        </w:rPr>
      </w:pPr>
    </w:p>
    <w:p w14:paraId="789FBD8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337EB2C" w14:textId="77777777" w:rsidR="00665165" w:rsidRPr="00F90EAE" w:rsidRDefault="00665165" w:rsidP="00F90EAE">
      <w:pPr>
        <w:autoSpaceDE w:val="0"/>
        <w:autoSpaceDN w:val="0"/>
        <w:adjustRightInd w:val="0"/>
        <w:jc w:val="both"/>
        <w:rPr>
          <w:iCs/>
          <w:color w:val="000000" w:themeColor="text1"/>
          <w:sz w:val="16"/>
          <w:szCs w:val="16"/>
        </w:rPr>
      </w:pPr>
    </w:p>
    <w:p w14:paraId="3345B0C1" w14:textId="77777777" w:rsidR="005D233C" w:rsidRPr="00F90EAE" w:rsidRDefault="005D233C" w:rsidP="00F90EAE">
      <w:pPr>
        <w:jc w:val="both"/>
        <w:rPr>
          <w:color w:val="000000" w:themeColor="text1"/>
          <w:sz w:val="16"/>
          <w:szCs w:val="16"/>
        </w:rPr>
      </w:pPr>
      <w:r w:rsidRPr="00F90EAE">
        <w:rPr>
          <w:color w:val="000000" w:themeColor="text1"/>
          <w:sz w:val="16"/>
          <w:szCs w:val="16"/>
        </w:rPr>
        <w:t>23 апреля в 1945 году оперативная сводка Совинформбюро:</w:t>
      </w:r>
    </w:p>
    <w:p w14:paraId="139AB7AE" w14:textId="77777777" w:rsidR="005D233C" w:rsidRPr="00F90EAE" w:rsidRDefault="005D233C" w:rsidP="00F90EAE">
      <w:pPr>
        <w:jc w:val="both"/>
        <w:rPr>
          <w:color w:val="000000" w:themeColor="text1"/>
          <w:sz w:val="16"/>
          <w:szCs w:val="16"/>
        </w:rPr>
      </w:pPr>
      <w:r w:rsidRPr="00F90EAE">
        <w:rPr>
          <w:color w:val="000000" w:themeColor="text1"/>
          <w:sz w:val="16"/>
          <w:szCs w:val="16"/>
        </w:rPr>
        <w:t>«Войска 1-го Белорусского фронта, перейдя в наступление с плацдармов на западном берегу Одера, при поддержке массированных ударов артиллерии и авиации, прорвали сильно укреплённую, глубоко эшелонированную оборону немцев, прикрывавшую Берлин с востока, продвинулись вперёд от 60 до 100 километров, овладели городами Франкфурт-на-Одере, Вандлитц, Ораниенбург, Биркенвердер, Геннигсдорф, Панков, Фридрихсфельде, Карлсхорст, Кепеник и ворвались в столицу Германии Берлин. В боях за 22 апреля войска фронта взяли в плен свыше 4.000 немецких солдат и офицеров и захватили 85 полевых орудий, 3.100 автомашин, 67 паровозов, 1.800 железнодорожных вагонов и 30 складов с различным военным имуществом.</w:t>
      </w:r>
    </w:p>
    <w:p w14:paraId="31854057" w14:textId="77777777" w:rsidR="005D233C" w:rsidRPr="00F90EAE" w:rsidRDefault="005D233C" w:rsidP="00F90EAE">
      <w:pPr>
        <w:jc w:val="both"/>
        <w:rPr>
          <w:color w:val="000000" w:themeColor="text1"/>
          <w:sz w:val="16"/>
          <w:szCs w:val="16"/>
        </w:rPr>
      </w:pPr>
      <w:r w:rsidRPr="00F90EAE">
        <w:rPr>
          <w:color w:val="000000" w:themeColor="text1"/>
          <w:sz w:val="16"/>
          <w:szCs w:val="16"/>
        </w:rPr>
        <w:t>Войска 1-го Украинского фронта, перейдя в наступление, прорвали при поддержке массированных ударов артиллерии и авиации сильно укреплённую и глубоко эшелонированную оборону немцев на реке Нейсе, продвинулись вперёд от 80 до 160 километров, овладели городами Коттбус, Люббен, Цоссен, Беелитц, Лукенвальде, Тройенбритцен, Цана, Мариенфельде, Треббин, Рангсдорф, Дидерсдорф, Тельтов и ворвались с юга в столицу Германии Берлин.</w:t>
      </w:r>
    </w:p>
    <w:p w14:paraId="600210F0" w14:textId="77777777" w:rsidR="005D233C" w:rsidRPr="00F90EAE" w:rsidRDefault="005D233C" w:rsidP="00F90EAE">
      <w:pPr>
        <w:jc w:val="both"/>
        <w:rPr>
          <w:color w:val="000000" w:themeColor="text1"/>
          <w:sz w:val="16"/>
          <w:szCs w:val="16"/>
        </w:rPr>
      </w:pPr>
      <w:r w:rsidRPr="00F90EAE">
        <w:rPr>
          <w:color w:val="000000" w:themeColor="text1"/>
          <w:sz w:val="16"/>
          <w:szCs w:val="16"/>
        </w:rPr>
        <w:t>Одновременно на Дрезденском направлении войска фронта с боями заняли города Эссен, Кирххайн, Фалькенберг, Мюльберг, Пульснитц и вышли на реку Эльба северо-западнее Дрездена.</w:t>
      </w:r>
    </w:p>
    <w:p w14:paraId="4A509E07" w14:textId="77777777" w:rsidR="005D233C" w:rsidRPr="00F90EAE" w:rsidRDefault="005D233C" w:rsidP="00F90EAE">
      <w:pPr>
        <w:jc w:val="both"/>
        <w:rPr>
          <w:color w:val="000000" w:themeColor="text1"/>
          <w:sz w:val="16"/>
          <w:szCs w:val="16"/>
        </w:rPr>
      </w:pPr>
      <w:r w:rsidRPr="00F90EAE">
        <w:rPr>
          <w:color w:val="000000" w:themeColor="text1"/>
          <w:sz w:val="16"/>
          <w:szCs w:val="16"/>
        </w:rPr>
        <w:t>В боях за 22 апреля войска фронта взяли в плен более 7.000 немецких солдат и офицеров и захватили 200 танков, 105 полевых орудий и 3.000 автомашин.</w:t>
      </w:r>
    </w:p>
    <w:p w14:paraId="11CB6064" w14:textId="77777777" w:rsidR="005D233C" w:rsidRPr="00F90EAE" w:rsidRDefault="005D233C"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к исходу 22 апреля на территории Чехословакии штурмом овладели городом Опава (Троппау) — важным узлом дорог и сильным опорным пунктом обороны немцев.</w:t>
      </w:r>
    </w:p>
    <w:p w14:paraId="423D9ABE" w14:textId="77777777" w:rsidR="005D233C" w:rsidRPr="00F90EAE" w:rsidRDefault="005D233C" w:rsidP="00F90EAE">
      <w:pPr>
        <w:jc w:val="both"/>
        <w:rPr>
          <w:color w:val="000000" w:themeColor="text1"/>
          <w:sz w:val="16"/>
          <w:szCs w:val="16"/>
        </w:rPr>
      </w:pPr>
      <w:r w:rsidRPr="00F90EAE">
        <w:rPr>
          <w:color w:val="000000" w:themeColor="text1"/>
          <w:sz w:val="16"/>
          <w:szCs w:val="16"/>
        </w:rPr>
        <w:t>На территории Чехословакии юго-западнее Годонина войска 2-го Украинского фронта с боями заняли город Микулов и населённые пункты Леднице, Пулгари, Павлов, Перна, Пратлсбрун, Дольные Дунаевице, Доброе Поле.</w:t>
      </w:r>
    </w:p>
    <w:p w14:paraId="506650A0" w14:textId="77777777" w:rsidR="005D233C" w:rsidRPr="00F90EAE" w:rsidRDefault="005D233C"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было.</w:t>
      </w:r>
    </w:p>
    <w:p w14:paraId="002FEFA8" w14:textId="77777777" w:rsidR="005D233C" w:rsidRPr="00F90EAE" w:rsidRDefault="005D233C" w:rsidP="00F90EAE">
      <w:pPr>
        <w:jc w:val="both"/>
        <w:rPr>
          <w:color w:val="000000" w:themeColor="text1"/>
          <w:sz w:val="16"/>
          <w:szCs w:val="16"/>
        </w:rPr>
      </w:pPr>
      <w:r w:rsidRPr="00F90EAE">
        <w:rPr>
          <w:color w:val="000000" w:themeColor="text1"/>
          <w:sz w:val="16"/>
          <w:szCs w:val="16"/>
        </w:rPr>
        <w:t>За 22 апреля наши войска на всех фронтах подбили и уничтожили 165 немецких танков и самоходных орудий. В воздушных боях и огнём зенитной артиллерии сбит 61 самолёт противника.</w:t>
      </w:r>
    </w:p>
    <w:p w14:paraId="4A09B83A" w14:textId="77777777" w:rsidR="005D233C" w:rsidRPr="00F90EAE" w:rsidRDefault="005D233C" w:rsidP="00F90EAE">
      <w:pPr>
        <w:jc w:val="both"/>
        <w:rPr>
          <w:color w:val="000000" w:themeColor="text1"/>
          <w:sz w:val="16"/>
          <w:szCs w:val="16"/>
        </w:rPr>
      </w:pPr>
      <w:r w:rsidRPr="00F90EAE">
        <w:rPr>
          <w:color w:val="000000" w:themeColor="text1"/>
          <w:sz w:val="16"/>
          <w:szCs w:val="16"/>
        </w:rPr>
        <w:t>Войска 1-го Белорусского фронта развивали успешное наступление и ворвались в столицу Германии Берлин. Противник яростно сопротивляется, но под ударами советских войск оставляет одну позицию за другой. В результате обходного маневра и решительного штурма занят город Франкфурт-на-Одере – мощная крепость немцев на реке Одер и крупный промышленный центр. Обходя Берлин с севера, наши войска в результате стремительных ударов заняли город Биркенвердер. Продвигаясь по густо населенной местности, уничтожая вражеские узлы сопротивления и преодолевая на своем пути всевозможные препятствия, наши бойцы с хода переправились через Ггенцоллерн-канал. После упорных боев занят город Геннигсдорф на западном берегу канала. Одновременно советская пехота и конница владели городом Ораниенбург – центром металлургической и химической промышленности. Ожесточенные бои произошли в северо-восточной части Берлина. Немцы ввели в бой несколько пехотных полков и до 40 отдельных батальонов. Опираясь на укрепления, построенные у линии окруженной железной дороги, противник неоднократно переходил в контратаки. После сильного артиллерийского обстрела вражеских позиций наши войска прорвали немецкую оборону. Занят газовый завод и ряд городских кварталов. Советские танкисты и пехотинцы, наступающие с востока, выбили гитлеровцев из города Кепеник и, наращивая удары, ворвались в пригород Берлина – Карлсхорст. Занят аэродром и несколько заводов. В ходе боев противник несет огромные потери. Места боев завалены трупами вражеских солдат и офицеров. По неполным данным, за день сожжено и подбито 53 танкоа и уничтожено более 160 орудий противника.</w:t>
      </w:r>
    </w:p>
    <w:p w14:paraId="71ED6BC0" w14:textId="77777777" w:rsidR="005D233C" w:rsidRPr="00F90EAE" w:rsidRDefault="005D233C" w:rsidP="00F90EAE">
      <w:pPr>
        <w:jc w:val="both"/>
        <w:rPr>
          <w:color w:val="000000" w:themeColor="text1"/>
          <w:sz w:val="16"/>
          <w:szCs w:val="16"/>
        </w:rPr>
      </w:pPr>
      <w:r w:rsidRPr="00F90EAE">
        <w:rPr>
          <w:color w:val="000000" w:themeColor="text1"/>
          <w:sz w:val="16"/>
          <w:szCs w:val="16"/>
        </w:rPr>
        <w:t>Немецкое командование принимает самые крутые меры для усиления сопротивления своих войск. Вчера немецким артиллерийским частям был передан по радио приказ – стрелять по своей отступающей пехоте осколочными снарядами. На все просьбы командиров частей разрешить отход немецкое командование неизменно отвечает: «Держитесь при любых обстоятельствах. Кто отойдет, тот будет расстрелян».</w:t>
      </w:r>
    </w:p>
    <w:p w14:paraId="3C4B9571" w14:textId="77777777" w:rsidR="005D233C" w:rsidRPr="00F90EAE" w:rsidRDefault="005D233C" w:rsidP="00F90EAE">
      <w:pPr>
        <w:jc w:val="both"/>
        <w:rPr>
          <w:color w:val="000000" w:themeColor="text1"/>
          <w:sz w:val="16"/>
          <w:szCs w:val="16"/>
        </w:rPr>
      </w:pPr>
      <w:r w:rsidRPr="00F90EAE">
        <w:rPr>
          <w:color w:val="000000" w:themeColor="text1"/>
          <w:sz w:val="16"/>
          <w:szCs w:val="16"/>
        </w:rPr>
        <w:t xml:space="preserve">Войска 1-го Украинского фронта продолжали успешное наступление. Ожесточенные бои произошли за город Коттбус – сильно укрепленный пункт обороны немцев на реке Шпрее. Усилив гарнизон города танковой дивизией, противник оказывал упорное сопротивление. Сильными ударами советские части выбили гитлеровцев из </w:t>
      </w:r>
      <w:r w:rsidRPr="00F90EAE">
        <w:rPr>
          <w:color w:val="000000" w:themeColor="text1"/>
          <w:sz w:val="16"/>
          <w:szCs w:val="16"/>
        </w:rPr>
        <w:lastRenderedPageBreak/>
        <w:t>восточной части города. Одновременно наши войска переправились через реку Шпрее, обошли Коттбус с запада. А затем предприняли штурм города. В уличных боях вражеский гарнизон был разбит и в беспорядке отступил. Коттбус является важным узлом путей сообщения. К нему сходятся восем железных и ряд шоссейных дорог. Кроме текстильных предприятий, в горое имеются 25 военных заводов. В боях за Коттбус войсками фронта уничтожено до 5 тысяч немецких солдат и офицеров и захвачены большие трофеи, в числе которых 100 танков и самоходных орудий. Северо-западнее города Шпремберг наши войска ликвидировали окруженную группу немецких войск. В состав этой группы входили части 10-й танковой дивизии СС, танковой дивизии «Охрана фюрера» и других соединений противника. Только в этом районе взято в плен свыше 3 тысяч гитлеровцев.</w:t>
      </w:r>
    </w:p>
    <w:p w14:paraId="3AB0F115" w14:textId="77777777" w:rsidR="005D233C" w:rsidRPr="00F90EAE" w:rsidRDefault="005D233C" w:rsidP="00F90EAE">
      <w:pPr>
        <w:jc w:val="both"/>
        <w:rPr>
          <w:color w:val="000000" w:themeColor="text1"/>
          <w:sz w:val="16"/>
          <w:szCs w:val="16"/>
        </w:rPr>
      </w:pPr>
      <w:r w:rsidRPr="00F90EAE">
        <w:rPr>
          <w:color w:val="000000" w:themeColor="text1"/>
          <w:sz w:val="16"/>
          <w:szCs w:val="16"/>
        </w:rPr>
        <w:t>Уничтожая подходящие к фронту резервы противника, наши войска за день продвинулись вперед на 50 километров и встретили сильно укрепленную и глубоко эшелонированную оборону немцев, прикрывавшую Берлин с юга. Мощными ударами артиллерии, авиации, танковых соединений и пехоты советские войска сокрушили вражескую оборону и с юга ворвались на улицы Берлина.</w:t>
      </w:r>
    </w:p>
    <w:p w14:paraId="311D9516" w14:textId="77777777" w:rsidR="005D233C" w:rsidRPr="00F90EAE" w:rsidRDefault="005D233C"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Советские части, переправившиеся через реку Опава, встретили развитую сеть долговременных железобетонных укреплений немцев. Особенно ожесточенный бой произошел за укрепленную высоту, прикрывающую подступы к городу Опава с востока. Наши подразделения блокировали на склонах высоты более тридцати дотов и дзотов и ликвидировали их гарнизоны. Развивая успех, войска фронта завязали бои на подступах к городу Опава. Немцы построили на окраинах города ряд восьмиамбразурных железобетонных дотов. Все каменные здания были превращены в узлы сопротивления. Советские танки с десантами пехоты на броне стремительным броском ворвались в восточную часть города. Действуя умело и решительно, наши штурмовые группы выбивали гитлеровцев из зданий и очищали от врага квартал за кварталом. Вчера к исходу дня наши войска завершили разгром вражеского гарнизона и полностью овладели Опавой – крупным промышленным городом Чехословакии и важным узлом железных и шоссейных дорог. Только на восточной окраине города уничтожено два батальона немецкой пехоты. Захвачены большие трофеи и взято в плен более 800 немецких солдат и офицеров.</w:t>
      </w:r>
    </w:p>
    <w:p w14:paraId="56ED3A64" w14:textId="77777777" w:rsidR="005D233C" w:rsidRPr="00F90EAE" w:rsidRDefault="005D233C" w:rsidP="00F90EAE">
      <w:pPr>
        <w:jc w:val="both"/>
        <w:rPr>
          <w:color w:val="000000" w:themeColor="text1"/>
          <w:sz w:val="16"/>
          <w:szCs w:val="16"/>
        </w:rPr>
      </w:pPr>
      <w:r w:rsidRPr="00F90EAE">
        <w:rPr>
          <w:color w:val="000000" w:themeColor="text1"/>
          <w:sz w:val="16"/>
          <w:szCs w:val="16"/>
        </w:rPr>
        <w:t>Кораблями Краснознаменного Балтийского флота в южной части Балтийского моря потоплены два немецких транспорта общим водоизмещением в 12 тысяч тонн.» (15108).</w:t>
      </w:r>
    </w:p>
    <w:p w14:paraId="65E60084" w14:textId="77777777" w:rsidR="005D233C" w:rsidRPr="00F90EAE" w:rsidRDefault="005D233C" w:rsidP="00F90EAE">
      <w:pPr>
        <w:jc w:val="both"/>
        <w:rPr>
          <w:color w:val="000000" w:themeColor="text1"/>
          <w:sz w:val="16"/>
          <w:szCs w:val="16"/>
        </w:rPr>
      </w:pPr>
    </w:p>
    <w:p w14:paraId="43AEC143"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период с 23 апреля по 20 мая 1945 108 гшап базировался на полевом аэродроме Коло (район Губен, Форст). Аэродром с суглинистой почвой, засеянный клевером, имел укатанную полосу размерами 1000^250 м. При выпадении осадков «аэродром размокал до такой степени, что руление и взлет самолетов были невозможны».</w:t>
      </w:r>
    </w:p>
    <w:p w14:paraId="2239041A"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Пока на фронте было затишье, материальную часть подготовили к летней эксплуатации и войсковым испытаниям, а также выполнили ряд доработок по устранению выявленных в ходе перелета новых конструктивных и производственных дефектов как на самолете, так и на моторе. Все работы выполнялись бригадами заводов № 1, 18 и 24 непосредственно на аэродроме Шпроттау.</w:t>
      </w:r>
    </w:p>
    <w:p w14:paraId="005F2E5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 итогам перелета летчики отметили «плохой обзор вперед при рулежке и в полете в сложных метеоусловиях (снег, дождь)/./, так как наклон переднего стекла неудачен, вода остается на стекле и видимость через него совершенно исчезает, а открытие фонаря в воздухе для улучшения обзора не предусмотрено».</w:t>
      </w:r>
    </w:p>
    <w:p w14:paraId="5E8191BA"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Ручка управления закрывает компас, пионер и другие приборы - «невозможно считать показания в полете». Предлагалось «выполнить ручку по типу самолета Ме-109».</w:t>
      </w:r>
    </w:p>
    <w:p w14:paraId="2BC0696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Летчики жаловались на трудное открывание и закрывание фонаря кабины. Ограничительные тросы открытия фонаря быстро изнашивались и рвались. При полном капоте экипаж покинуть самолет без посторонней помощи не мог. Вентиляция кабин летчика и стрелка оценивалась как неэффективная, управление заслонкой вентиляции неудобное (примитивное). В кабине было душно и, главное, жарко. Когда температура наружного воздуха поднялась выше +10-12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температура в кабинах летчика и стрелка достигала +40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xml:space="preserve"> и выше.</w:t>
      </w:r>
    </w:p>
    <w:p w14:paraId="0F98A50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ряду массовых дефектов значилась негерметичность воздушной системы самолета, а ее емкости оказалось недостаточно для нормальной работы. За один полет в атмосферу стравливалось столько воздуха, что к моменту посадки давления в системе уже не хватало для уверенного выпуска шасси.</w:t>
      </w:r>
    </w:p>
    <w:p w14:paraId="6DFFED1C"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Конструкция механических указателей шасси «в эксплуатации ненадежная (ломаются, массовое явление)». Отмечалось низкое качество пластинчатых пружин в замках смотровых лючков. Пружины быстро теряли упругость и ломались. Ряд замков пришлось заменить новыми и даже ставить трофейные замки, которые удалось найти на аэродроме Шпроттау.</w:t>
      </w:r>
    </w:p>
    <w:p w14:paraId="0E3836C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Совершенно неудовлетворительной оказалась конструкция системы уборки и выпуска шасси. Выпуск шасси был возможен только на минимальных скоростях полета 250-270 км/ч и «сопровождается большой потерей высоты до 100-150 м». При этом в случае неисправной воздушной системы (низкое давление воздуха) выпустить шасси при помощи аварийной лебедки было невозможно, «так как тросы лебедки недостаточно прочны и обрываются». К тому же «для работы с аварийной лебедкой требуются очень большие усилия». Как отмечалось в отчете по войсковым испытаниям, «во всех случаях невыхода шасси аварийный выпуск шасси результатов не дал или из-за обрыва тросов, или из-за недостатка физических сил летчика».</w:t>
      </w:r>
    </w:p>
    <w:p w14:paraId="1D99F71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Именно по причине «ненормальной работы агрегатов шасси» в ходе перелета на фронт «было разбито 3 самолета и повреждено 3 самолета».</w:t>
      </w:r>
    </w:p>
    <w:p w14:paraId="36A9DB5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Обтекатели (лопухи) колес шасси при рулежке, взлете и пробеге по мягкому грунту и снежному покрову «зарываются, деформируются и тормозят движение самолета». При уборке шасси на повышенных скоростях 300-320 км/ч «обтекатели колес шасси проскакивают в купола центроплана, что приводит к их заеданию и посадке самолета с убранным шасси». В то же время «ремонт и подгонка обтекателей по месту требует затраты 15-20 ч/часов рабочими ПАРМ-3».</w:t>
      </w:r>
    </w:p>
    <w:p w14:paraId="2D4F8CB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ряде самолетов имела место несинхронная уборка и выпуск шасси, «достигающая 20-30 сек даже при повышенном давлении воздуха в системе до 38 атм».</w:t>
      </w:r>
    </w:p>
    <w:p w14:paraId="5FD61D9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Буксировочный трос с хомутами оказался неудобен, поэтому им не пользовались. «Вместо прилагаемого к самолету троса с хомутами» предлагалось установить на шасси постоянные крюки или кольца.</w:t>
      </w:r>
    </w:p>
    <w:p w14:paraId="343A5D9C"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Отмечались массовые случаи течи бензина в дюритовых соединениях бензофильтра с бензопомпой и из-под штуцеров подвода бензина к карбюраторам, воды из дюритовых соединений и фланцев трубок раздельного подвода воды к цилиндрам мотора, а также выбивание смазки из штауфера водопомпы через манжетное уплотнение поршня.</w:t>
      </w:r>
    </w:p>
    <w:p w14:paraId="3E25FA25"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 xml:space="preserve">Система запуска моторов не обеспечивала повышенного до 0,4-0,5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давления бензина перед карбюратором, что сильно затрудняло запуск мотора.</w:t>
      </w:r>
    </w:p>
    <w:p w14:paraId="51FA3A6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При посадке самолета с убранным шасси, как оказалось, нельзя слить воду из системы («при отрицательных температурах зимой обязательно приведет к разрыву сот водорадиатора»).</w:t>
      </w:r>
    </w:p>
    <w:p w14:paraId="07A0516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большинстве самолетов при перемещении сектора нормального газа синхронно с ним сдвигался и сектор высотного корректора («в следствие наличия люфта упорного кронштейна в месте посадки его на оси секторов»).</w:t>
      </w:r>
    </w:p>
    <w:p w14:paraId="2C5F7BD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Во время перелетов самолетов на фронт наблюдалось падение мощности мотора. Так, например, «первые отрезки маршрута при соблюдении скорости 340-350 км/ч режим работы мотора был 800-750 мм рт. ст. и 1850 об/мин, а последние отрезки маршрута на этом же режиме работы мотора скорость была 320-330 км/ч».</w:t>
      </w:r>
    </w:p>
    <w:p w14:paraId="661DB885"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Одновременно с работами по доводке самолетов решили дать дополнительную тренировку в боевом применении на Ил -10 как «старикам», так и молодому пополнению полка. Отработку упражнений предполагалось проводить на ближайшем полигоне. Но сначала, 30 марта и 1 апреля, наиболее опытными летчиками полка были выполнены испытательные полеты с целью определения надежности в работе стрелково -пушечного и бомбового вооружения «десятки». Всего было выполнено 8 испытательных полетов с налетом 5 ч 26 мин. Пушки и пулеметы работали без замечаний. Зависания бомб не наблюдалось. Только в одном случае произошел отказ электросбрасывателя ЭСБР -3п.</w:t>
      </w:r>
    </w:p>
    <w:p w14:paraId="1D3CBDF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Начиная с 5 апреля началась усиленная отработка летным составом полка бомбоштурмовых ударов по наземным целям, а также тренировка в технике пилотирования. В течение одного учебного дня в среднем выполнялось около 20-30 учебно-тренировочных полетов на Ил-10.</w:t>
      </w:r>
    </w:p>
    <w:p w14:paraId="3E50FCB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8 апреля из-за отказа в работе мотора младший лейтенант А. И. Дорох на Ил-10 зав. № 1892602 произвел вынужденную посадку с убранным шасси недалеко от аэродрома. При осмотре маслофильтра обнаружили большое количество стружки свинцовистой бронзы. Оказалось, что разрушились вкладыши подшипников коленчатого вала. К моменту аварии мотор АМ-42 зав. № 45232 наработал 29 часов. Самолет восстановили в ПАРМ-3, а мотор списали.</w:t>
      </w:r>
    </w:p>
    <w:p w14:paraId="43FC74C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12 апреля двумя экипажами было выполнено два экспериментальных полета на отработку методики бомбометания с постоянным углом упреждения 7°.</w:t>
      </w:r>
    </w:p>
    <w:p w14:paraId="47184D15"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общей сложности на отработку боевого применения и техники пилотирования полком произведено 150 самолето -вылетов с общим налетом 74 ч 24 мин, из них 9 полетов (6 ч 22 мин) - на изучение района и облет аэродрома с бомбовой нагрузкой 350 кг.</w:t>
      </w:r>
    </w:p>
    <w:p w14:paraId="0A51FC3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Каждый летчик сделал по 3-4 вылета на полигон со стрельбой и бомбометанием, выполняя упражнения № 1, 2, 3, 4 и 7 по Курсу боевой подготовки штурмовой авиации 1944 года.</w:t>
      </w:r>
    </w:p>
    <w:p w14:paraId="06459EC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Полеты на бомбометание производились в составе от 2 до 8 самолетов в группе, одновременно в комплексе отрабатывая строй, выход на цель, выдерживание дистанции в кругу над целью и уход от цели.</w:t>
      </w:r>
    </w:p>
    <w:p w14:paraId="37E9E9A0"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Полк отработал строи и боевые порядки пары, четверки и восьмерки самолетов при полете к цели (основной строй - колонна четверок в правом пеленге), выход группы на цель, атака цели с круга (выдерживание дистанции между самолетами), уход от цели и сбор после удара.</w:t>
      </w:r>
    </w:p>
    <w:p w14:paraId="23B4801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Бомбометание выполнялось с планирования под углом 20-25° и 30° со сбрасыванием бомб с высоты 300-400 м и стрельбой по мишеням до бреющего полета.</w:t>
      </w:r>
    </w:p>
    <w:p w14:paraId="5EA2811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Также были проведены тренировочные полеты групп из 6 самолетов Ил-10 в сопровождении 3-4 истребителей Ла-5фн от 5 гиап по маршруту к цели и обратно с бомбометанием и стрельбой на полигоне.</w:t>
      </w:r>
    </w:p>
    <w:p w14:paraId="1B402D6C"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Выяснилось, что Ла-5фн свободно сопровождает самолет Ил-10. Идя группой 6 Ил-10 по маршруту на скорости 350 км/ч, истребитель держит наддув 600-700 мм рт. ст. и обороты 1600-1700 об/мин. На маршруте, над целью и при отходе от цели, затруднений для истребителей сопровождения не отмечалось.</w:t>
      </w:r>
    </w:p>
    <w:p w14:paraId="081B53B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 выполнению боевых заданий полк был подготовлен с общей оценкой по бомбометанию 4,3 балла и по стрельбе - 3,9.</w:t>
      </w:r>
    </w:p>
    <w:p w14:paraId="1B665D6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lastRenderedPageBreak/>
        <w:t>В ходе отработки бомбометания на полигоне были выявлены конструктивные дефекты створок бомболюков и системы управления ими. Недостаточная прочность мест крепления передних петель створок. Обрыв тросов в системе управления запиранием створок бомболюков («на участке от компенсатора до створок бомболюков») и обрыв шарика («при этом терялась пружина из трубки»). Штурвальное закрытие люков крайне неудачное, «отнимает много времени и сил у летчика». Закрыть створки бомболюков в воздухе полностью не удавалось («остается зазор 100-200 мм»). По этим причинам «около 50 % всех тренировочных полетов на полигоне прошли при открытых люках из -за обрыва тросов или невозможности плотно закрыть их». Летный состав предложил «сделать закрытие люков посредством электромотора».</w:t>
      </w:r>
    </w:p>
    <w:p w14:paraId="411A29C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 целью устранения дефектов на всех самолетах пришлось выполнить ряд доработок. Так, усилили места крепления петель на створках бомболюков путем постановки дюралевых пластин, пластины и петли скрепили сквозными болтами, трос ТОГ-2,0 диаметром 2 мм заменили тросом диаметром 4 мм ТОГ-4,0, под шарик установили текстолитовую опору.</w:t>
      </w:r>
    </w:p>
    <w:p w14:paraId="23C1D70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Однако проведенные мероприятия не исключили случаев обрыва троса у шарика. Более того, «повлекли за собой поломку литых кронштейнов углового ролика в отсеке (8 случаев)».</w:t>
      </w:r>
    </w:p>
    <w:p w14:paraId="5E637E5C"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качестве эксперимента на одном самолете сняли колесо штурвала (радиусом 100 мм) и вместо него установили ручку -трещотку с плечом 400 мм. Эта доработка обеспечила «полное закрытие створок бомболюков при меньшем затрате усилия за 10-12 движений ручки».</w:t>
      </w:r>
    </w:p>
    <w:p w14:paraId="29F3868F"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Для поднятия авторитета нового штурмовика командование организовало показательный воздушный бой с истребителем Ла-5 фн. Штурмовик пилотировал помощник командира полка по воздушно -стрелковой службе капитан А. И. Сироткин (воздушный стрелок А. М Аветян), а «лавочкин» - командир 1-й эскадрильи 5 гиап (тоже базировавшегося в Шпроттау) Герой Советского Союза капитан В. И. Попков, лично сбивший к этому времени 37 немецких самолетов.</w:t>
      </w:r>
    </w:p>
    <w:p w14:paraId="7E7DEE7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Как следует из отчета по войсковым испытаниям, сначала бой был на виражах, затем Попков атаковал Ил-10 сверху-сзади, а Сироткин энергичным маневрированием в вертикальной и горизонтальной плоскости пытался сорвать атаку.</w:t>
      </w:r>
    </w:p>
    <w:p w14:paraId="403164B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воздушном бою Ил-10 выполнял виражи на скорости 270-300 км/ч. На этой скорости радиус виража самолета Ил-10 был почти равен виражу Ла-5фн. Только после третьего виража Ла-5фн зашел в хвост Ил-10, но Попков не смог взять необходимого упреждения для стрельбы. При этом воздушный стрелок штурмовика «имел возможность в момент подтягивания летчиком ручки в целях сокращения радиуса виража» вести прицельный огонь по истребителю. На скорости 270 км/ч Ил-10 виражил вполне устойчиво, но при перетягивании ручки летчиком наблюдалось вздрагивание самолета - признак срыва самолета в штопор.</w:t>
      </w:r>
    </w:p>
    <w:p w14:paraId="41F2213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При атаках Ил-10 «в задней полусфере (сверху, справа и слева-сзади), при наличии сплошного бронеэкрана сзади летчика, летчику обнаружить истребитель невозможно». В то же время «при обнаружении истребителя с помощью стрелка сорвать атаку последнего возможно при условии, если самолет Ил-10 во время атаки имеет скорость порядка 450 км/ч». В воздушном бою самолет Ла-5фн дважды успешно атаковал Ил-10 сверху и сзади, «когда последний имел скорость 400 км/ч».</w:t>
      </w:r>
    </w:p>
    <w:p w14:paraId="00F024A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Капитан Сироткин позже вспоминал: «Первым упражнением по согласованной программе была погоня истребителя за штурмовиком при крутом планировании. Набрали высоту две тысячи метров, начали. Я дал газ мотору и понесся к земле, как с крутой, градусов 40, горы. «Лавочкин» от меня отстал. Далее мы выполняли горку с набором высоты. На удивление всем, и здесь вначале я опережал «Ла-пятый», но вскоре он меня догнал и обошел. Затем мы демонстрировали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w:t>
      </w:r>
    </w:p>
    <w:p w14:paraId="17BBCC7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Здесь следует сказать, что капитан Сироткин до прихода в 108 гшап воевал в полку истребителей, поэтому понимал, как надо отбиваться от их атак.</w:t>
      </w:r>
    </w:p>
    <w:p w14:paraId="1A9F3C2F"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 результатам выполнения программы боевой подготовки и готовности материальной части 108 гшап приказом командующего 2 ВА был включен в боевой расчет армии и 14 апреля в составе 27 самолетов перебазировался на оперативный аэродром Охельхермсдорф.</w:t>
      </w:r>
    </w:p>
    <w:p w14:paraId="69D4A55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Уже на следующий день 8 экипажей полка (штурман полка, командиры эскадрилий и звеньев) выполнили облет района боевых действий с бомбометанием по мишеням на полигоне.</w:t>
      </w:r>
    </w:p>
    <w:p w14:paraId="1DD7B6AA"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 xml:space="preserve">К этому времени противник, отойдя за реку Нейсе, перешел к обороне, улучшая свои позиции в инженерном отношении и подтягивая резервы к линии боевого соприкосновения. Авиация противника мелкими группами по 2-4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штурмовала наши колонны по шоссе юго -западнее Бунцлау, патрулированием прикрывала районы Форст, Коттбус, Шпренберг и одиночными самолетами вела разведку до рубежа реки Одер. Ночью противник транспортными самолетами доставлял боеприпасы окруженному гарнизону в Бреслау. Линия боевого соприкосновения с противником перед фронтом 3-й гвардейской армии проходила по реке Нейсе, исключая Губен и Форст (17490).</w:t>
      </w:r>
    </w:p>
    <w:p w14:paraId="77874E74" w14:textId="77777777" w:rsidR="00E773F9" w:rsidRPr="00F90EAE" w:rsidRDefault="00E773F9" w:rsidP="00F90EAE">
      <w:pPr>
        <w:jc w:val="both"/>
        <w:rPr>
          <w:color w:val="000000" w:themeColor="text1"/>
          <w:sz w:val="16"/>
          <w:szCs w:val="16"/>
        </w:rPr>
      </w:pPr>
    </w:p>
    <w:p w14:paraId="1CD9A8E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23 апреля 1945 108 полк всеми исправными самолетами перелетел на аэродром Коло, площадка которого была не такой пыльной и полоса и мела открытые подходы. С него полк продолжил боевую работу. С целью защиты моторов от пыли и грязи технический состав смазывал тавотом всасывающий патрубок, закрывал патрубки промасленными салфетками до прогрева мотора перед взлетом на старте. Но это помогало мало. Моторы постепенно теряли мощность. Вскоре из строя вышли еще три Ил-10 и все по причине износа поршневых колец мотора. Летать на остальных самолетах становилось опасным.</w:t>
      </w:r>
    </w:p>
    <w:p w14:paraId="6531B45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 состоянию на 30 апреля из строя вышли 18 (!) Ил-10. К этому времени моторы неисправных «десяток» наработали от 29 до 51 ч (из них в воздухе от 16 до 36 ч) при средней наработке 37 ч (в том числе 24 ч в воздухе). При этом наработка моторов на земле на пыльном аэродроме в среднем составила всего 1 ч 20 мин.</w:t>
      </w:r>
    </w:p>
    <w:p w14:paraId="3EE0EC5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оставшихся в боевом строю условно исправных самолетах Ил-10 также отмечалась потеря компрессии, износ и усадка поршневых колец («периодические хлопки белого дыма и прорыв воздуха в картер при проворачивании винта воздухом на холостом моторе»). Эти самолеты к боевым полетам оказались непригодными, «полеты на них могут быть разрешены только в районе аэродрома». Причем по заключению комиссии «моторы годны не более чем на 5 полетов».</w:t>
      </w:r>
    </w:p>
    <w:p w14:paraId="55D87570"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Итоговые выводы комиссии были неутешительны: «Дальнейшие полеты на этих самолетах из -за потери мощности моторов производить невозможно./.. ./После восстановления моторов и доукомплектования самолетами полк может на самолетах Ил-10 выполнять боевую работу».</w:t>
      </w:r>
    </w:p>
    <w:p w14:paraId="6C1E38B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Кроме массового выхода моторов из строя по потере компрессии, износу и усадке поршневых колец, за этот же период вр емени вышли из строя по другим причинам еще 6 моторов.</w:t>
      </w:r>
    </w:p>
    <w:p w14:paraId="5E733F1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Так, на Ил-10 зав. № 1890804 (мотор зав. № 45419) было обнаружено большое количество бронзовой стружки. Причиной появления стружки является разрушение бронзовой втулки прицепного шатуна мотора.</w:t>
      </w:r>
    </w:p>
    <w:p w14:paraId="06492C02"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Самолет зав. № 1892602 (мотор зав. № 45232) произвел вынужденную посадку с убранным шасси в районе своего аэродрома. При осмотре маслофильтра оказалось большое количество стружки свинцовистой бронзы как результат разрушения вкладышей коренных подшипников.</w:t>
      </w:r>
    </w:p>
    <w:p w14:paraId="4029EE7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Ил-10 зав. № 1893502 (мотор зав. № 45387) в полете на эксплуатационном режиме неоднократно появлялся выброс масла из суфлера мотора. При этом температура входящего масла доходила до 115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Причиной дефекта предположительно является повышенная теплоотдача в масло («нарушение нормальной работы поддона»).</w:t>
      </w:r>
    </w:p>
    <w:p w14:paraId="23AF203B"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маслофильтре мотора зав. № 45384 (Ил-10 зав. № 104071) появилась мелкая алюминиевая стружка. С мотора был «снят водо - маслоагрегат, на сетке которого обнаружено большое количество мелких частиц алюминия». Причина осталась невыясненной, так как мотор полностью разобрать не удалось. Наработка мотора составила 40 ч, из них в воздухе 25 ч.</w:t>
      </w:r>
    </w:p>
    <w:p w14:paraId="107443B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После наработки 43 ч, из них в воздухе 32 ч, на маслофильтре мотора зав. № 45508 (Ил-10 зав. № 104062) обнаружена стальная стружка и два фрагмента разрушенной гайки. Мотор подлежит съемке с самолета и переборке.</w:t>
      </w:r>
    </w:p>
    <w:p w14:paraId="57567382"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«десятке» инспектора Главного управления боевой подготовки фронтовой авиации ВВС КА мотор вышел из строя в результате течи воды в картер мотора.</w:t>
      </w:r>
    </w:p>
    <w:p w14:paraId="2A9A2CA0"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Тем временем 25 апреля из Куйбышева срочным бортом с завода № 24 прибыли три мотора АМ-42 под замену и 28 комплектов поршневых колец. Начиная со следующего дня часть технического состава полка под руководством инженера ЭРО завода № 24 П. С. Захарова занялась восстановлением неисправных моторов, доводя самолеты до боевой готовности. Моторы снимали с самолета, разбирали, заменяли поршневые кольца. Затем моторы собирались и устанавливались на самолет. Это очень трудоемкая и сложная процедура, особенно в полевых условиях.</w:t>
      </w:r>
    </w:p>
    <w:p w14:paraId="77AECD43"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Таким образом, за все время боевых действий в 108 гшап вышли из строя 92 % моторов, из них 76 % - по причине износа поршневых колец и 16 % - по причине появления бронзовой, стальной и алюминиевой стружек, попадания воды в картер и выбрасывания масла.</w:t>
      </w:r>
    </w:p>
    <w:p w14:paraId="08058D10"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Помимо этого, к числу серьезных дефектов АМ-42 относили трудный запуск «холодных моторов при наружной температуре воздуха ниже +18 °С».</w:t>
      </w:r>
    </w:p>
    <w:p w14:paraId="58014CE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 xml:space="preserve">Оказалось, что «существующая схема работы карбюратора К -42БП-А на малом газе не обеспечивает хорошего распыления топливной смеси и требует повышенного давления бензина в момент запуска (0,4-0,5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В то же время «установленная одна пусковая катушка КП-4716 в момент запуска мотора не обеспечивает достаточной мощности искры».</w:t>
      </w:r>
    </w:p>
    <w:p w14:paraId="44EFBBD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Полковые умельцы предложили «для облегчения пуска мотора» к правому магнето подключать вторую пусковую катушку.</w:t>
      </w:r>
    </w:p>
    <w:p w14:paraId="3C0702D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ходе эксплуатации карбюраторов К-42БП-А имели место три случая произвольного забеднения и два случая забогащения смеси. При разборке и осмотре карбюраторов причину дефекта установить не удалось.</w:t>
      </w:r>
    </w:p>
    <w:p w14:paraId="74051872"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Один карбюратор был заменен по причине отказа в работе на режиме ниже 1600 об/мин. Причина отказа также не установлена.</w:t>
      </w:r>
    </w:p>
    <w:p w14:paraId="0287B08C"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 xml:space="preserve">Авиационные свечи типа АС-132 производства завода № 161 установленный ресурс 30 ч не вырабатывали. Свечи выходили из строя в среднем через 11 ч режимной работы при максимальной наработке отдельных свечей в 22-25 ч. При использовании в топливе американских присадок тетроэтилового свинца свечи работали еще </w:t>
      </w:r>
      <w:r w:rsidRPr="00F90EAE">
        <w:rPr>
          <w:rStyle w:val="107"/>
          <w:rFonts w:eastAsiaTheme="minorHAnsi"/>
          <w:color w:val="000000" w:themeColor="text1"/>
          <w:sz w:val="16"/>
          <w:szCs w:val="16"/>
        </w:rPr>
        <w:lastRenderedPageBreak/>
        <w:t>хуже. Наработка на отказ уменьшалась в среднем до 6 ч. Основной причиной отказов в работе свечей считался «перегрев центрального электрода и отложение свинца на электродах».</w:t>
      </w:r>
    </w:p>
    <w:p w14:paraId="2A8CAA53"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Как отмечалось в отчете по результатам войсковых испытаний, «после 224 боевых самолето-вылетов/.../108 Гвардейский штурмовой Рава-Русский ордена Суворова полк на самолетах Ил-10 с мотором АМ-42 по вине моторов вышел из строя боевых частей».</w:t>
      </w:r>
    </w:p>
    <w:p w14:paraId="716F063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Командир 6-й гвардейской штурмовой авиадивизии генерал-майор А. Ф. Курочкин доложил командиру 2-го гвардейского штурмового авиакорпуса генерал-майору С. В. Слюсареву, что «1. Задача, поставленная приказом командующего 2 ВА № 044 от 24.3.45 г. по боевому испытанию самолета Ил-10 с мотором АМ-42 108 Гв.</w:t>
      </w:r>
    </w:p>
    <w:p w14:paraId="4B4EA1E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ШАРРОСП - выполнена. 2. Самолет Ил-10 с мотором АМ-42 к дальнейшей эксплуатации в боевых условиях и в условиях пыльных аэродромов не пригоден. Может быть принят на эксплуатацию при устранении отмеченных недочетов в материале».</w:t>
      </w:r>
    </w:p>
    <w:p w14:paraId="22A61C0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 течение мая полк ни боевой, ни учебно -боевой работы на самолетах Ил-10 не вел, а занимался ремонтом неисправной матчасти и получением новой на авиабазе в г. Львове.</w:t>
      </w:r>
    </w:p>
    <w:p w14:paraId="598DC46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Всего в период с 16 по 30 апреля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2EB3B1E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3EBCBDA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69C4046F"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1FEAF795"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1428E02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7F2B130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3285C07F"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5036909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855E37F"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205558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51AF067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4296F43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3422DF28"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 xml:space="preserve">190 и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38D7D5D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самолето-вылетов (80 ч 45 мин).</w:t>
      </w:r>
    </w:p>
    <w:p w14:paraId="4B32E6C1"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7ACB518D"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5048D73"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7AB35F1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4E54389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100CED07"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AEDE10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72DEF8A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6EF5E519"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6A62E664"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6F2D8356"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4014617E" w14:textId="77777777" w:rsidR="00E773F9" w:rsidRPr="00F90EAE" w:rsidRDefault="00E773F9" w:rsidP="00F90EAE">
      <w:pPr>
        <w:jc w:val="both"/>
        <w:rPr>
          <w:color w:val="000000" w:themeColor="text1"/>
          <w:sz w:val="16"/>
          <w:szCs w:val="16"/>
        </w:rPr>
      </w:pPr>
      <w:r w:rsidRPr="00F90EAE">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68ED044D" w14:textId="77777777" w:rsidR="00E773F9" w:rsidRPr="00F90EAE" w:rsidRDefault="00E773F9" w:rsidP="00F90EAE">
      <w:pPr>
        <w:jc w:val="both"/>
        <w:rPr>
          <w:rStyle w:val="107"/>
          <w:rFonts w:eastAsiaTheme="minorHAnsi"/>
          <w:color w:val="000000" w:themeColor="text1"/>
          <w:sz w:val="16"/>
          <w:szCs w:val="16"/>
        </w:rPr>
      </w:pPr>
    </w:p>
    <w:p w14:paraId="67CADC88" w14:textId="77777777" w:rsidR="005D233C" w:rsidRPr="00F90EAE" w:rsidRDefault="005D233C" w:rsidP="00F90EAE">
      <w:pPr>
        <w:jc w:val="both"/>
        <w:rPr>
          <w:color w:val="000000" w:themeColor="text1"/>
          <w:sz w:val="16"/>
          <w:szCs w:val="16"/>
        </w:rPr>
      </w:pPr>
      <w:r w:rsidRPr="00F90EAE">
        <w:rPr>
          <w:color w:val="000000" w:themeColor="text1"/>
          <w:sz w:val="16"/>
          <w:szCs w:val="16"/>
        </w:rPr>
        <w:t>23 апреля в 1945 году утром делегатом связи капитаном Д.Г.Посиделовым, посланном на самолете «По-2», была установлена связь между штабами ворвавшихся на окраины Берлина 1-й и 3-й гвардейских танковых армий</w:t>
      </w:r>
    </w:p>
    <w:p w14:paraId="6C7B3016" w14:textId="77777777" w:rsidR="005D233C" w:rsidRPr="00F90EAE" w:rsidRDefault="005D233C" w:rsidP="00F90EAE">
      <w:pPr>
        <w:jc w:val="both"/>
        <w:rPr>
          <w:color w:val="000000" w:themeColor="text1"/>
          <w:sz w:val="16"/>
          <w:szCs w:val="16"/>
        </w:rPr>
      </w:pPr>
    </w:p>
    <w:p w14:paraId="4CF09E4C" w14:textId="77777777" w:rsidR="006979C2" w:rsidRPr="00F90EAE" w:rsidRDefault="006979C2" w:rsidP="00F90EAE">
      <w:pPr>
        <w:jc w:val="both"/>
        <w:rPr>
          <w:color w:val="000000" w:themeColor="text1"/>
          <w:sz w:val="16"/>
          <w:szCs w:val="16"/>
        </w:rPr>
      </w:pPr>
      <w:r w:rsidRPr="00F90EAE">
        <w:rPr>
          <w:color w:val="000000" w:themeColor="text1"/>
          <w:sz w:val="16"/>
          <w:szCs w:val="16"/>
        </w:rPr>
        <w:t>В течение 23 апреля 1945 части 3-й гвардейской танковой армии занимались подготовкой к продолжению наступления. При этом армию усилили артиллерией (артиллерийский корпус и артдивизия прорыва РГК, зенитная дивизия, бригада «катюш», инженерно-штурмовые части).</w:t>
      </w:r>
    </w:p>
    <w:p w14:paraId="45F5AF70" w14:textId="77777777" w:rsidR="006979C2" w:rsidRPr="00F90EAE" w:rsidRDefault="006979C2" w:rsidP="00F90EAE">
      <w:pPr>
        <w:jc w:val="both"/>
        <w:rPr>
          <w:color w:val="000000" w:themeColor="text1"/>
          <w:sz w:val="16"/>
          <w:szCs w:val="16"/>
        </w:rPr>
      </w:pPr>
      <w:r w:rsidRPr="00F90EAE">
        <w:rPr>
          <w:color w:val="000000" w:themeColor="text1"/>
          <w:sz w:val="16"/>
          <w:szCs w:val="16"/>
        </w:rPr>
        <w:t>Утром 24 апреля после артподготовки части армии приступили к форсированию канала, и несмотря на ожесточенное сопротивление противника к полудню в нескольких местах переправились на другой берег, а к исходу дня вышли на линию железной дороги Берлин-Потсдам и заняли станцию Целендорф.</w:t>
      </w:r>
    </w:p>
    <w:p w14:paraId="7D582FC1" w14:textId="77777777" w:rsidR="006979C2" w:rsidRPr="00F90EAE" w:rsidRDefault="006979C2" w:rsidP="00F90EAE">
      <w:pPr>
        <w:jc w:val="both"/>
        <w:rPr>
          <w:color w:val="000000" w:themeColor="text1"/>
          <w:sz w:val="16"/>
          <w:szCs w:val="16"/>
        </w:rPr>
      </w:pPr>
      <w:r w:rsidRPr="00F90EAE">
        <w:rPr>
          <w:color w:val="000000" w:themeColor="text1"/>
          <w:sz w:val="16"/>
          <w:szCs w:val="16"/>
        </w:rPr>
        <w:t>25 апреля части 3-й гвардейской танковой армии продолжали уличные бои в Берлине. Штаб армии об этом докладывал так:</w:t>
      </w:r>
    </w:p>
    <w:p w14:paraId="3B2CF7AC" w14:textId="77777777" w:rsidR="006979C2" w:rsidRPr="00F90EAE" w:rsidRDefault="006979C2" w:rsidP="00F90EAE">
      <w:pPr>
        <w:jc w:val="both"/>
        <w:rPr>
          <w:color w:val="000000" w:themeColor="text1"/>
          <w:sz w:val="16"/>
          <w:szCs w:val="16"/>
        </w:rPr>
      </w:pPr>
      <w:r w:rsidRPr="00F90EAE">
        <w:rPr>
          <w:color w:val="000000" w:themeColor="text1"/>
          <w:sz w:val="16"/>
          <w:szCs w:val="16"/>
        </w:rPr>
        <w:t>«Таким образом, войска армии, форсировав канал Тельтов, развернулись на фронте 10 км, охватывая Берлин с юго-запада, там, где противник менее всего ожидал наше наступление и менее всего был подготовлен к обороне. Выходом во фланг обороне противника в Штеглиц была решена участь этого района».</w:t>
      </w:r>
    </w:p>
    <w:p w14:paraId="4726655D" w14:textId="77777777" w:rsidR="006979C2" w:rsidRPr="00F90EAE" w:rsidRDefault="006979C2" w:rsidP="00F90EAE">
      <w:pPr>
        <w:jc w:val="both"/>
        <w:rPr>
          <w:color w:val="000000" w:themeColor="text1"/>
          <w:sz w:val="16"/>
          <w:szCs w:val="16"/>
        </w:rPr>
      </w:pPr>
      <w:r w:rsidRPr="00F90EAE">
        <w:rPr>
          <w:color w:val="000000" w:themeColor="text1"/>
          <w:sz w:val="16"/>
          <w:szCs w:val="16"/>
        </w:rPr>
        <w:lastRenderedPageBreak/>
        <w:t>26—27 апреля части армии вышли к окружной железной дороге и проходящему по ней внутреннему оборонительному обводу Берлина на участке от станции Шенеберг до станции Шмаргендорф. Передний край проходил по железнодорожной насыпи и являлся естественным рубежом и препятствием не только для танков, но и во многих местах для пехоты. Все мосты и виадуки в большинстве своем были взорваны, а сохранившиеся проходы в них преграждены надолбами в 2-3 ряда и забаррикадированы:</w:t>
      </w:r>
    </w:p>
    <w:p w14:paraId="270B7F7F" w14:textId="77777777" w:rsidR="006979C2" w:rsidRPr="00F90EAE" w:rsidRDefault="006979C2" w:rsidP="00F90EAE">
      <w:pPr>
        <w:jc w:val="both"/>
        <w:rPr>
          <w:color w:val="000000" w:themeColor="text1"/>
          <w:sz w:val="16"/>
          <w:szCs w:val="16"/>
        </w:rPr>
      </w:pPr>
      <w:r w:rsidRPr="00F90EAE">
        <w:rPr>
          <w:color w:val="000000" w:themeColor="text1"/>
          <w:sz w:val="16"/>
          <w:szCs w:val="16"/>
        </w:rPr>
        <w:t>«Огневые сооружения на переднем крае расположены непосредственно в насыпи в виде ДЗОТов для пулеметов, артиллерийских позиций и отдельно закопанных танков. Сохранившиеся здания, главным образом станционные постройки, вокзалы превращены в опорные пункты. Улицы, примыкающие к этим опорным пунктам, завалены ломом, забаррикадированы железнодорожными вагонами. Эта часть города наиболее сильно разрушена, имеет ничтожное количество сохранившихся зданий. Улицы превращены в руины и движение танков по ним затруднено. Помимо «естественных» (образовавшихся вследствие бомбежки авиации), встречаются барьеры, баррикады из камня и дерева, завалы из домашней утвари и т.д. В наиболее ответственных местах баррикады усилены взрывными заграждениями (очаги мин. фугасы).</w:t>
      </w:r>
    </w:p>
    <w:p w14:paraId="7F26F563" w14:textId="77777777" w:rsidR="006979C2" w:rsidRPr="00F90EAE" w:rsidRDefault="006979C2" w:rsidP="00F90EAE">
      <w:pPr>
        <w:jc w:val="both"/>
        <w:rPr>
          <w:color w:val="000000" w:themeColor="text1"/>
          <w:sz w:val="16"/>
          <w:szCs w:val="16"/>
        </w:rPr>
      </w:pPr>
      <w:r w:rsidRPr="00F90EAE">
        <w:rPr>
          <w:color w:val="000000" w:themeColor="text1"/>
          <w:sz w:val="16"/>
          <w:szCs w:val="16"/>
        </w:rPr>
        <w:t>Под огневые сооружения приспособлены, главным образом, подвалы и остатки разрушенных стен. В сохранившихся зданиях квартала противник организовал основные узлы сопротивления. Около них он сосредоточивал основные силы и технику (вкапывал танки, располагал артиллерию)».</w:t>
      </w:r>
    </w:p>
    <w:p w14:paraId="14A0D765" w14:textId="77777777" w:rsidR="006979C2" w:rsidRPr="00F90EAE" w:rsidRDefault="006979C2" w:rsidP="00F90EAE">
      <w:pPr>
        <w:jc w:val="both"/>
        <w:rPr>
          <w:color w:val="000000" w:themeColor="text1"/>
          <w:sz w:val="16"/>
          <w:szCs w:val="16"/>
        </w:rPr>
      </w:pPr>
      <w:r w:rsidRPr="00F90EAE">
        <w:rPr>
          <w:color w:val="000000" w:themeColor="text1"/>
          <w:sz w:val="16"/>
          <w:szCs w:val="16"/>
        </w:rPr>
        <w:t>К вечеру 27 апреля части армии вышли на Хаупт штрассе и Вильгельм плац — в центральные кварталы Берлина в районе Шенеберг и «выйдя на основную магистраль, ведущую к Рейхстагу», а также соединились с частями 8-й ударной и 2-й танковой армий 1-го Белорусского фронта.</w:t>
      </w:r>
    </w:p>
    <w:p w14:paraId="7973FE0D" w14:textId="77777777" w:rsidR="006979C2" w:rsidRPr="00F90EAE" w:rsidRDefault="006979C2" w:rsidP="00F90EAE">
      <w:pPr>
        <w:jc w:val="both"/>
        <w:rPr>
          <w:color w:val="000000" w:themeColor="text1"/>
          <w:sz w:val="16"/>
          <w:szCs w:val="16"/>
        </w:rPr>
      </w:pPr>
      <w:r w:rsidRPr="00F90EAE">
        <w:rPr>
          <w:color w:val="000000" w:themeColor="text1"/>
          <w:sz w:val="16"/>
          <w:szCs w:val="16"/>
        </w:rPr>
        <w:t>28 апреля 3-я гвардейская танковая армия, преодолевая сильное сопротивление противника, вышла на перекресток улиц Курфюрстен штрассе и Войрш штрассе, к Винтерфельдт плац, Берлинер штрассе и заняла станции Весткройц и Халензее.</w:t>
      </w:r>
    </w:p>
    <w:p w14:paraId="71E63A0C" w14:textId="77777777" w:rsidR="006979C2" w:rsidRPr="00F90EAE" w:rsidRDefault="006979C2" w:rsidP="00F90EAE">
      <w:pPr>
        <w:jc w:val="both"/>
        <w:rPr>
          <w:color w:val="000000" w:themeColor="text1"/>
          <w:sz w:val="16"/>
          <w:szCs w:val="16"/>
        </w:rPr>
      </w:pPr>
      <w:r w:rsidRPr="00F90EAE">
        <w:rPr>
          <w:color w:val="000000" w:themeColor="text1"/>
          <w:sz w:val="16"/>
          <w:szCs w:val="16"/>
        </w:rPr>
        <w:t>Вечером того же дня командование фронтом сообщило штабу армии, что директивой Ставки Верховного Главнокомандования с 24 часов 28 апреля изменяется разгран- линия между 1-м Белорусским и 1-м Украинским фронтами в Берлине. Новая линия проходила через Мари- ендорф, станцию Темпельхоф, Виктор-Луизе плац и по железной дороге на станции Шарлоттенбург, Вес- ткройц, Рулебен. Таким образом, «эта разгранлиния отрезала для 1 -го Белорусского фронта центральную часть Берлина с Рейхстагом, Тир- гартеном и частью центра у Ландвер канала, куда 28.4 вышли части 9-го мехкорпуса. В новых границах на 29.4.45 перед 3-й гвардейской танковой армией осталось очистить площадь около 4 км городского района Вильмерсдорф».</w:t>
      </w:r>
    </w:p>
    <w:p w14:paraId="284DCBFB" w14:textId="77777777" w:rsidR="006979C2" w:rsidRPr="00F90EAE" w:rsidRDefault="006979C2" w:rsidP="00F90EAE">
      <w:pPr>
        <w:jc w:val="both"/>
        <w:rPr>
          <w:color w:val="000000" w:themeColor="text1"/>
          <w:sz w:val="16"/>
          <w:szCs w:val="16"/>
        </w:rPr>
      </w:pPr>
      <w:r w:rsidRPr="00F90EAE">
        <w:rPr>
          <w:color w:val="000000" w:themeColor="text1"/>
          <w:sz w:val="16"/>
          <w:szCs w:val="16"/>
        </w:rPr>
        <w:t>29-30 апреля части армии вели уличные бои и продолжали сжимать окруженную группировку противника в районах Шенеберг и Вильмерсдорф, в результате чего к вечеру 1 мая 1945 года «не очищенной от противника осталась территория меньше одного квадратного километра» (12217).</w:t>
      </w:r>
    </w:p>
    <w:p w14:paraId="4B972C22" w14:textId="77777777" w:rsidR="006979C2" w:rsidRPr="00F90EAE" w:rsidRDefault="006979C2" w:rsidP="00F90EAE">
      <w:pPr>
        <w:jc w:val="both"/>
        <w:rPr>
          <w:color w:val="000000" w:themeColor="text1"/>
          <w:sz w:val="16"/>
          <w:szCs w:val="16"/>
        </w:rPr>
      </w:pPr>
    </w:p>
    <w:p w14:paraId="0184E6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29-я советская гвардейская мотострелковая бригада форсировала канал Тельтов на южной окраине Берлина. 35-я советская гвардейская механизированная бригада разгромила части немецкой пехотной дивизии ''Фридрих Людвиг Ян'' на южной окраине Берлина (4963 ).</w:t>
      </w:r>
    </w:p>
    <w:p w14:paraId="629BCC0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DEE9E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войска Первого Украинского и Первого Белорусского фронтов с востока, севера и запада вошли в Берлин (271,223).</w:t>
      </w:r>
    </w:p>
    <w:p w14:paraId="1654D25B" w14:textId="77777777" w:rsidR="00665165" w:rsidRPr="00F90EAE" w:rsidRDefault="00665165" w:rsidP="00F90EAE">
      <w:pPr>
        <w:autoSpaceDE w:val="0"/>
        <w:autoSpaceDN w:val="0"/>
        <w:adjustRightInd w:val="0"/>
        <w:jc w:val="both"/>
        <w:rPr>
          <w:color w:val="000000" w:themeColor="text1"/>
          <w:sz w:val="16"/>
          <w:szCs w:val="16"/>
        </w:rPr>
      </w:pPr>
    </w:p>
    <w:p w14:paraId="4F16AD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к американцам отправился посланник Ашенбреннера капитан Теодор Оберлендер (Oberlander), также занимавшийся прежде “русским вопросом”. Ему удалось выйти на начштаба XII корпуса 3-й американской армии бригадного генерала Ральфа Канаяна, но тот потребовал встречи с руководителями власовцев. Вскоре американцы увидели рослого летчика в голубом комбинезоне, без знаков различия, с автоматом на груди и в фуражке с русской трехцветной кокардой и золотым шнуром - единственным знаком его генеральского чина. Вместе с Мальцевым приехал и Ашенбреннер. Условия американцев оказались для них не очень утешительными: бригадный генерал не имел полномочий вести речь о предоставлении политического убежища без санкции президента или Конгресса и предложил им сдаваться под свое личное обещание не выдать их советским представителям. Мальцеву и его офицерам не оставалось ни чего другого, как принять эти гарантии, надеясь на зреющие противоречия между союзниками (4538).</w:t>
      </w:r>
    </w:p>
    <w:p w14:paraId="33FC63B7" w14:textId="77777777" w:rsidR="00665165" w:rsidRPr="00F90EAE" w:rsidRDefault="00665165" w:rsidP="00F90EAE">
      <w:pPr>
        <w:autoSpaceDE w:val="0"/>
        <w:autoSpaceDN w:val="0"/>
        <w:adjustRightInd w:val="0"/>
        <w:jc w:val="both"/>
        <w:rPr>
          <w:color w:val="000000" w:themeColor="text1"/>
          <w:sz w:val="16"/>
          <w:szCs w:val="16"/>
        </w:rPr>
      </w:pPr>
    </w:p>
    <w:p w14:paraId="748A3B1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6090856" w14:textId="77777777" w:rsidR="00665165" w:rsidRPr="00F90EAE" w:rsidRDefault="00665165" w:rsidP="00F90EAE">
      <w:pPr>
        <w:autoSpaceDE w:val="0"/>
        <w:autoSpaceDN w:val="0"/>
        <w:adjustRightInd w:val="0"/>
        <w:jc w:val="both"/>
        <w:rPr>
          <w:iCs/>
          <w:color w:val="000000" w:themeColor="text1"/>
          <w:sz w:val="16"/>
          <w:szCs w:val="16"/>
        </w:rPr>
      </w:pPr>
    </w:p>
    <w:p w14:paraId="5391D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Трумэн принял Молотова (тот направлялся в Сан-Франциско на учреждение ООН) и в очень резких выражениях высказал недовольство позицией Москвы по польскому вопросу. Эта встреча была разительным контрастом по сравнению со всеми предыдущими беседами советских лидеров с западными коллегами (3871).</w:t>
      </w:r>
    </w:p>
    <w:p w14:paraId="1C6D1832" w14:textId="77777777" w:rsidR="00665165" w:rsidRPr="00F90EAE" w:rsidRDefault="00665165" w:rsidP="00F90EAE">
      <w:pPr>
        <w:autoSpaceDE w:val="0"/>
        <w:autoSpaceDN w:val="0"/>
        <w:adjustRightInd w:val="0"/>
        <w:jc w:val="both"/>
        <w:rPr>
          <w:color w:val="000000" w:themeColor="text1"/>
          <w:sz w:val="16"/>
          <w:szCs w:val="16"/>
        </w:rPr>
      </w:pPr>
    </w:p>
    <w:p w14:paraId="2045FF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вышло Постановление ГКО № 8254 Вопросы Польши. РГАНИР, Фонд ГКО, д. 404, лл. 167-169 (11012).</w:t>
      </w:r>
    </w:p>
    <w:p w14:paraId="3865849E" w14:textId="77777777" w:rsidR="00665165" w:rsidRPr="00F90EAE" w:rsidRDefault="00665165" w:rsidP="00F90EAE">
      <w:pPr>
        <w:autoSpaceDE w:val="0"/>
        <w:autoSpaceDN w:val="0"/>
        <w:adjustRightInd w:val="0"/>
        <w:jc w:val="both"/>
        <w:rPr>
          <w:color w:val="000000" w:themeColor="text1"/>
          <w:sz w:val="16"/>
          <w:szCs w:val="16"/>
        </w:rPr>
      </w:pPr>
    </w:p>
    <w:p w14:paraId="299D70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7FE16D0" w14:textId="77777777" w:rsidR="00665165" w:rsidRPr="00F90EAE" w:rsidRDefault="00665165" w:rsidP="00F90EAE">
      <w:pPr>
        <w:autoSpaceDE w:val="0"/>
        <w:autoSpaceDN w:val="0"/>
        <w:adjustRightInd w:val="0"/>
        <w:jc w:val="both"/>
        <w:rPr>
          <w:iCs/>
          <w:color w:val="000000" w:themeColor="text1"/>
          <w:sz w:val="16"/>
          <w:szCs w:val="16"/>
        </w:rPr>
      </w:pPr>
    </w:p>
    <w:p w14:paraId="09BDD9F8"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Джо Бартон облетал первый «P-51J». При взлетном весе 7550 фунтов ожидалась максимальная скорость 491 миля в час на высоте 27400 футов. Но самолет такой скорости не достиг из-за недостижения двигателем «Allison» спецификационной мощности. В связи с этим первый прототип «XP-51J» был арендован компанией «Allison» и использовался для доводки двигателя (15108).</w:t>
      </w:r>
    </w:p>
    <w:p w14:paraId="535FBF9B" w14:textId="77777777" w:rsidR="003755B5" w:rsidRPr="00F90EAE" w:rsidRDefault="003755B5" w:rsidP="00F90EAE">
      <w:pPr>
        <w:jc w:val="both"/>
        <w:rPr>
          <w:color w:val="000000" w:themeColor="text1"/>
          <w:sz w:val="16"/>
          <w:szCs w:val="16"/>
        </w:rPr>
      </w:pPr>
    </w:p>
    <w:p w14:paraId="1B468636"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в конце Второй Мировой войны перед командованием шведских ВВС стал вопрос о замене истребительного парка (ведь например к 1944 году из закупленных Re 2000 в строю было только 25%). Уже в октябре 1944 г. в Британию отправилась военная делегация, в задачи которой была закупка 70 истребителей «P-51D» "Мустанг". Уже в феврале 1945 г. был подписан контракт на 7 млн USD на поставку 50 истребителей. 23 апреля первых 43 самолета «P-51D» «Мустанг» были перегнаны из США в Швецию (с промежуточной посадкой в Ливерпуле). Интересно, что над Северным морем американские летчики встретили немцев и даже сбили один «Messerschmitt 109» (15108).</w:t>
      </w:r>
    </w:p>
    <w:p w14:paraId="7B97847B" w14:textId="77777777" w:rsidR="003755B5" w:rsidRPr="00F90EAE" w:rsidRDefault="003755B5" w:rsidP="00F90EAE">
      <w:pPr>
        <w:jc w:val="both"/>
        <w:rPr>
          <w:color w:val="000000" w:themeColor="text1"/>
          <w:sz w:val="16"/>
          <w:szCs w:val="16"/>
        </w:rPr>
      </w:pPr>
    </w:p>
    <w:p w14:paraId="7EC24BBB"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крайний вылет во время второй мировой войны «Do-335A-02». Во время полета машина попала под огонь зенитной артиллерии. Налет на аэродром посадки причинил аэродрому большой ущерб, но «Do-335» уцелел. Отдав документы, пилот Лерхе снова поднял машину в воздух и взял курс на Оберпфаффенхофен. Чтобы не искушать судьбу, пилот не убирал шасси и благополучно достиг цели своего путешествия. Как оказалось, то был последний полет «Do-335» во время войны. Самолет «Do-335A-02» был действительно самой счастливой машиной этого типа. Он не только пережил войну, но и благополучно сохранился до наших дней (15108).</w:t>
      </w:r>
    </w:p>
    <w:p w14:paraId="7EE0383F" w14:textId="77777777" w:rsidR="003755B5" w:rsidRPr="00F90EAE" w:rsidRDefault="003755B5" w:rsidP="00F90EAE">
      <w:pPr>
        <w:jc w:val="both"/>
        <w:rPr>
          <w:color w:val="000000" w:themeColor="text1"/>
          <w:sz w:val="16"/>
          <w:szCs w:val="16"/>
        </w:rPr>
      </w:pPr>
    </w:p>
    <w:p w14:paraId="3DAC79EC" w14:textId="77777777" w:rsidR="00143828" w:rsidRPr="00F90EAE" w:rsidRDefault="00143828" w:rsidP="00F90EAE">
      <w:pPr>
        <w:jc w:val="both"/>
        <w:rPr>
          <w:color w:val="0070C0"/>
          <w:sz w:val="16"/>
          <w:szCs w:val="16"/>
        </w:rPr>
      </w:pPr>
      <w:r w:rsidRPr="00F90EAE">
        <w:rPr>
          <w:color w:val="0070C0"/>
          <w:sz w:val="16"/>
          <w:szCs w:val="16"/>
        </w:rPr>
        <w:t>23 апреля 1945 ВМС США приводят в действие свою первую управляемую бомбу SWOD-9 «Bat», сбрасывая ее с Consolidated PB4Y Liberators на японское судоходство в гавани Баликпапан (20371).</w:t>
      </w:r>
    </w:p>
    <w:p w14:paraId="1CCE1E7D" w14:textId="77777777" w:rsidR="00143828" w:rsidRPr="00F90EAE" w:rsidRDefault="00143828" w:rsidP="00F90EAE">
      <w:pPr>
        <w:jc w:val="both"/>
        <w:rPr>
          <w:color w:val="0070C0"/>
          <w:sz w:val="16"/>
          <w:szCs w:val="16"/>
        </w:rPr>
      </w:pPr>
    </w:p>
    <w:p w14:paraId="2A746D64" w14:textId="77777777" w:rsidR="00143828" w:rsidRPr="00F90EAE" w:rsidRDefault="00143828" w:rsidP="00F90EAE">
      <w:pPr>
        <w:jc w:val="both"/>
        <w:rPr>
          <w:color w:val="0070C0"/>
          <w:sz w:val="16"/>
          <w:szCs w:val="16"/>
        </w:rPr>
      </w:pPr>
      <w:r w:rsidRPr="00F90EAE">
        <w:rPr>
          <w:color w:val="0070C0"/>
          <w:sz w:val="16"/>
          <w:szCs w:val="16"/>
        </w:rPr>
        <w:t>23 апреля 1945 - Самолеты ВМС США впервые используют свою первую радиолокационную бомбу SWOD-9 «Bat», сбросив ее с бомбардировщика PB4Y-2 Privateer на японские корабли в гавани Баликпапан (22526).</w:t>
      </w:r>
    </w:p>
    <w:p w14:paraId="4F954FD9" w14:textId="77777777" w:rsidR="00143828" w:rsidRPr="00F90EAE" w:rsidRDefault="00143828" w:rsidP="00F90EAE">
      <w:pPr>
        <w:jc w:val="both"/>
        <w:rPr>
          <w:color w:val="0070C0"/>
          <w:sz w:val="16"/>
          <w:szCs w:val="16"/>
        </w:rPr>
      </w:pPr>
    </w:p>
    <w:p w14:paraId="7ADAB7B4"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Герман Геринг в радиограмме Адольфу Гитлеру предложил считать вступившим в силу указ от 29 июня 1941 года, согласно которому он являлся преемником Гитлера. Получив этот ультиматум, АдольфГитлер приказал лишить Германа Геринга всех званий и должностей и арестовать его и его ближайших помошников (15108).</w:t>
      </w:r>
    </w:p>
    <w:p w14:paraId="33C6671B" w14:textId="77777777" w:rsidR="003755B5" w:rsidRPr="00F90EAE" w:rsidRDefault="003755B5" w:rsidP="00F90EAE">
      <w:pPr>
        <w:jc w:val="both"/>
        <w:rPr>
          <w:color w:val="000000" w:themeColor="text1"/>
          <w:sz w:val="16"/>
          <w:szCs w:val="16"/>
        </w:rPr>
      </w:pPr>
    </w:p>
    <w:p w14:paraId="5D6E54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г. Гитлер приказал генералу Шпейделю взорвать все парижские мосты и другие важные сооружения, «даже если при этом могут быть уничтожены памятники искусства». Однако Шпейдель отказался выполнить приказ. Когда 2-я французская танковая дивизия генерала Жака Леклерка и американская 4-я пехотная дивизия ворвались в Париж, то они обнаружили, что власть в большей части города уже находится в руках отрядов французского Сопротивления, а мосты через Сену, многие из которых являлись настоящими произведениями искусства, уцелели. Генерал сообщил союзникам, что сразу после сдачи немцами Парижа Гитлер приказал разрушить его тяжелой артиллерией и самолетами-снарядами (11686).</w:t>
      </w:r>
    </w:p>
    <w:p w14:paraId="6CA2BBC4" w14:textId="77777777" w:rsidR="00665165" w:rsidRPr="00F90EAE" w:rsidRDefault="00665165" w:rsidP="00F90EAE">
      <w:pPr>
        <w:autoSpaceDE w:val="0"/>
        <w:autoSpaceDN w:val="0"/>
        <w:adjustRightInd w:val="0"/>
        <w:jc w:val="both"/>
        <w:rPr>
          <w:color w:val="000000" w:themeColor="text1"/>
          <w:sz w:val="16"/>
          <w:szCs w:val="16"/>
        </w:rPr>
      </w:pPr>
    </w:p>
    <w:p w14:paraId="3A0A47F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Гитлер лишил Геринга всех титулов и званий (4962).</w:t>
      </w:r>
    </w:p>
    <w:p w14:paraId="377788A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C231CD"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Генрих Гиммлер встретился в шведском консульстве в Любеке с председателем шведского Красного Креста графом Ф.Бернадотом и сказал своему собеседнику, что фюрер – это политический метвец, который может быть легко устранен и физически. На Западе немецкие войска должны прекратить совпротивления, а на востоке борьба должна продолжаться, пока войска западных держав не встретятся с советскими и не выступят против них (15108).</w:t>
      </w:r>
    </w:p>
    <w:p w14:paraId="57FD7C15" w14:textId="77777777" w:rsidR="003755B5" w:rsidRPr="00F90EAE" w:rsidRDefault="003755B5" w:rsidP="00F90EAE">
      <w:pPr>
        <w:jc w:val="both"/>
        <w:rPr>
          <w:color w:val="000000" w:themeColor="text1"/>
          <w:sz w:val="16"/>
          <w:szCs w:val="16"/>
        </w:rPr>
      </w:pPr>
    </w:p>
    <w:p w14:paraId="328E2026" w14:textId="77777777" w:rsidR="003755B5" w:rsidRPr="00F90EAE" w:rsidRDefault="003755B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lastRenderedPageBreak/>
        <w:t>April 23 1945 Heinrich Himmler 's offer to surrender German forces to Western Allies is rejected (1037).</w:t>
      </w:r>
    </w:p>
    <w:p w14:paraId="11742893" w14:textId="77777777" w:rsidR="003755B5" w:rsidRPr="00F90EAE" w:rsidRDefault="003755B5" w:rsidP="00F90EAE">
      <w:pPr>
        <w:autoSpaceDE w:val="0"/>
        <w:autoSpaceDN w:val="0"/>
        <w:adjustRightInd w:val="0"/>
        <w:jc w:val="both"/>
        <w:rPr>
          <w:color w:val="000000" w:themeColor="text1"/>
          <w:sz w:val="16"/>
          <w:szCs w:val="16"/>
          <w:lang w:val="en-US"/>
        </w:rPr>
      </w:pPr>
    </w:p>
    <w:p w14:paraId="30454FEB" w14:textId="77777777" w:rsidR="003755B5" w:rsidRPr="00F90EAE" w:rsidRDefault="003755B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А.Гитлер отказался от предложения Г.Гимлера сдаться западным союзникам (1037).</w:t>
      </w:r>
    </w:p>
    <w:p w14:paraId="6E17ACE8" w14:textId="77777777" w:rsidR="003755B5" w:rsidRPr="00F90EAE" w:rsidRDefault="003755B5" w:rsidP="00F90EAE">
      <w:pPr>
        <w:autoSpaceDE w:val="0"/>
        <w:autoSpaceDN w:val="0"/>
        <w:adjustRightInd w:val="0"/>
        <w:jc w:val="both"/>
        <w:rPr>
          <w:color w:val="000000" w:themeColor="text1"/>
          <w:sz w:val="16"/>
          <w:szCs w:val="16"/>
        </w:rPr>
      </w:pPr>
    </w:p>
    <w:p w14:paraId="1D512583" w14:textId="77777777" w:rsidR="003755B5" w:rsidRPr="00F90EAE" w:rsidRDefault="003755B5" w:rsidP="00F90EAE">
      <w:pPr>
        <w:jc w:val="both"/>
        <w:rPr>
          <w:color w:val="000000" w:themeColor="text1"/>
          <w:sz w:val="16"/>
          <w:szCs w:val="16"/>
        </w:rPr>
      </w:pPr>
      <w:r w:rsidRPr="00F90EAE">
        <w:rPr>
          <w:color w:val="000000" w:themeColor="text1"/>
          <w:sz w:val="16"/>
          <w:szCs w:val="16"/>
        </w:rPr>
        <w:t>23 апреля в 1945 году союзниками освобождены узники концлагеря Равенсбрюк (15108).</w:t>
      </w:r>
    </w:p>
    <w:p w14:paraId="4D18D55A" w14:textId="77777777" w:rsidR="003755B5" w:rsidRPr="00F90EAE" w:rsidRDefault="003755B5" w:rsidP="00F90EAE">
      <w:pPr>
        <w:jc w:val="both"/>
        <w:rPr>
          <w:color w:val="000000" w:themeColor="text1"/>
          <w:sz w:val="16"/>
          <w:szCs w:val="16"/>
        </w:rPr>
      </w:pPr>
    </w:p>
    <w:p w14:paraId="4CBDB17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апреля 1945 Муссолини отправил Черчиллю тайное письмо с просьбой прислать доверенное лицо для передачи ему неких документов (4962).</w:t>
      </w:r>
    </w:p>
    <w:p w14:paraId="244DFEE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394B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 xml:space="preserve">April 23rd, 1945: In the West, units of the British Second Army reach Harburg across the Elbe from Hamburg. Reichsfuhrer-SS Himmler begins secret negotiations for a separate peace in the West with Count Bernadotte, head of the Swedish Red Cross. In the battle for Berlin, the attacking Soviet armies have now completely surrounded the city and are systematically decimating the motley ranks, consisting of various Wehrmacht and Waffen-SS units (including numbers of Dutch, Danish, Norwegian, Swedish, Latvian and French volunteers) as well as Volkssturm and Hitler Youth, of the exhausted and badly outmanned and outgunned defenders who are now under the command of General Weidling, CO of LVI. </w:t>
      </w:r>
      <w:r w:rsidRPr="00F90EAE">
        <w:rPr>
          <w:color w:val="000000" w:themeColor="text1"/>
          <w:sz w:val="16"/>
          <w:szCs w:val="16"/>
        </w:rPr>
        <w:t>Panzerkorps (3819).</w:t>
      </w:r>
    </w:p>
    <w:p w14:paraId="340A78DA" w14:textId="77777777" w:rsidR="00665165" w:rsidRPr="00F90EAE" w:rsidRDefault="00665165" w:rsidP="00F90EAE">
      <w:pPr>
        <w:autoSpaceDE w:val="0"/>
        <w:autoSpaceDN w:val="0"/>
        <w:adjustRightInd w:val="0"/>
        <w:jc w:val="both"/>
        <w:rPr>
          <w:color w:val="000000" w:themeColor="text1"/>
          <w:sz w:val="16"/>
          <w:szCs w:val="16"/>
        </w:rPr>
      </w:pPr>
    </w:p>
    <w:p w14:paraId="10CB1FA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23 апреля 1945 британская 2А достигла Харбурга на другой стороне Эльбы напротив Гамбурга. Рейхсфюрер СС начал секретные сепаратные переговоры с графом Бернадоттом, главой шведского Красного креста. БерлинбылполностьюокруженКА</w:t>
      </w:r>
      <w:r w:rsidRPr="00F90EAE">
        <w:rPr>
          <w:color w:val="000000" w:themeColor="text1"/>
          <w:sz w:val="16"/>
          <w:szCs w:val="16"/>
          <w:lang w:val="en-US"/>
        </w:rPr>
        <w:t xml:space="preserve"> (3819).</w:t>
      </w:r>
    </w:p>
    <w:p w14:paraId="5B8A4F6A" w14:textId="77777777" w:rsidR="00665165" w:rsidRPr="00F90EAE" w:rsidRDefault="00665165" w:rsidP="00F90EAE">
      <w:pPr>
        <w:autoSpaceDE w:val="0"/>
        <w:autoSpaceDN w:val="0"/>
        <w:adjustRightInd w:val="0"/>
        <w:jc w:val="both"/>
        <w:rPr>
          <w:color w:val="000000" w:themeColor="text1"/>
          <w:sz w:val="16"/>
          <w:szCs w:val="16"/>
          <w:lang w:val="en-US"/>
        </w:rPr>
      </w:pPr>
    </w:p>
    <w:p w14:paraId="6415781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23 1945 PB4Y's of Patrol Bombing Squadron 109 launched two Bat glide bombs against the enemy shipping in Balikpapan Harbor, Borneo, in the first combat employment of the only automatic homing bomb to be used in World War II (1090).</w:t>
      </w:r>
    </w:p>
    <w:p w14:paraId="26ADCBE0" w14:textId="77777777" w:rsidR="00665165" w:rsidRPr="00F90EAE" w:rsidRDefault="00665165" w:rsidP="00F90EAE">
      <w:pPr>
        <w:autoSpaceDE w:val="0"/>
        <w:autoSpaceDN w:val="0"/>
        <w:adjustRightInd w:val="0"/>
        <w:jc w:val="both"/>
        <w:rPr>
          <w:color w:val="000000" w:themeColor="text1"/>
          <w:sz w:val="16"/>
          <w:szCs w:val="16"/>
          <w:lang w:val="en-US"/>
        </w:rPr>
      </w:pPr>
    </w:p>
    <w:p w14:paraId="747313F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23, 1945. Flying Consolidated PB4Y-2 Privateers, Navy crews from VPB-109 launch two Bat missiles against Japanese ships in Balikpapan Harbor, Borneo. This is the first known use of automatic homing missiles during World War II (1089).</w:t>
      </w:r>
    </w:p>
    <w:p w14:paraId="7DD1980F" w14:textId="77777777" w:rsidR="00665165" w:rsidRPr="00F90EAE" w:rsidRDefault="00665165" w:rsidP="00F90EAE">
      <w:pPr>
        <w:autoSpaceDE w:val="0"/>
        <w:autoSpaceDN w:val="0"/>
        <w:adjustRightInd w:val="0"/>
        <w:jc w:val="both"/>
        <w:rPr>
          <w:color w:val="000000" w:themeColor="text1"/>
          <w:sz w:val="16"/>
          <w:szCs w:val="16"/>
          <w:lang w:val="en-US"/>
        </w:rPr>
      </w:pPr>
    </w:p>
    <w:p w14:paraId="6CC373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апреля 1945 с PB4Y было сброшено две управляемых бомбы по кораблям в бухте Баликпапан на Борнео. Это был единственный случай в течение ВМВ (1090;1089).</w:t>
      </w:r>
    </w:p>
    <w:p w14:paraId="2136DA67" w14:textId="77777777" w:rsidR="00665165" w:rsidRPr="00F90EAE" w:rsidRDefault="00665165" w:rsidP="00F90EAE">
      <w:pPr>
        <w:autoSpaceDE w:val="0"/>
        <w:autoSpaceDN w:val="0"/>
        <w:adjustRightInd w:val="0"/>
        <w:jc w:val="both"/>
        <w:rPr>
          <w:color w:val="000000" w:themeColor="text1"/>
          <w:sz w:val="16"/>
          <w:szCs w:val="16"/>
        </w:rPr>
      </w:pPr>
    </w:p>
    <w:p w14:paraId="506553D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A4E68AC" w14:textId="77777777" w:rsidR="00665165" w:rsidRPr="00F90EAE" w:rsidRDefault="00665165" w:rsidP="00F90EAE">
      <w:pPr>
        <w:autoSpaceDE w:val="0"/>
        <w:autoSpaceDN w:val="0"/>
        <w:adjustRightInd w:val="0"/>
        <w:jc w:val="both"/>
        <w:rPr>
          <w:iCs/>
          <w:color w:val="000000" w:themeColor="text1"/>
          <w:sz w:val="16"/>
          <w:szCs w:val="16"/>
        </w:rPr>
      </w:pPr>
    </w:p>
    <w:p w14:paraId="0D127B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 апреля 1945 года после доработки гидравличе</w:t>
      </w:r>
      <w:r w:rsidRPr="00F90EAE">
        <w:rPr>
          <w:color w:val="000000" w:themeColor="text1"/>
          <w:sz w:val="16"/>
          <w:szCs w:val="16"/>
        </w:rPr>
        <w:softHyphen/>
        <w:t>ской системы и улучшения охлаждения головок цилин</w:t>
      </w:r>
      <w:r w:rsidRPr="00F90EAE">
        <w:rPr>
          <w:color w:val="000000" w:themeColor="text1"/>
          <w:sz w:val="16"/>
          <w:szCs w:val="16"/>
        </w:rPr>
        <w:softHyphen/>
        <w:t>дров двигателей машина ДВБ-102 с моторами М-71 и турбокомпрессорами ТК-3 в подмосковной Чкаловской вновь ушла в полет. Пред</w:t>
      </w:r>
      <w:r w:rsidRPr="00F90EAE">
        <w:rPr>
          <w:color w:val="000000" w:themeColor="text1"/>
          <w:sz w:val="16"/>
          <w:szCs w:val="16"/>
        </w:rPr>
        <w:softHyphen/>
        <w:t>стояло проверить работу силовой установки, высотной аппаратуры и систем обогрева гермокабин. Начиная с высоты 8000 метров стекла передней кабины начали покрываться изморозью, в то время как температура воздуха в ней доходила до 30 градусов по Цельсию. Но полет не прервали и достигли высоты 9400 метров (11446).</w:t>
      </w:r>
    </w:p>
    <w:p w14:paraId="190D69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8AF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года вышел приказ № 150 НКАП О восстановлении и строительстве ЦКБ-17 и его опытного завода (8963).</w:t>
      </w:r>
    </w:p>
    <w:p w14:paraId="18921052" w14:textId="77777777" w:rsidR="00665165" w:rsidRPr="00F90EAE" w:rsidRDefault="00665165" w:rsidP="00F90EAE">
      <w:pPr>
        <w:autoSpaceDE w:val="0"/>
        <w:autoSpaceDN w:val="0"/>
        <w:adjustRightInd w:val="0"/>
        <w:jc w:val="both"/>
        <w:rPr>
          <w:color w:val="000000" w:themeColor="text1"/>
          <w:sz w:val="16"/>
          <w:szCs w:val="16"/>
        </w:rPr>
      </w:pPr>
    </w:p>
    <w:p w14:paraId="3688E07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C175A45" w14:textId="77777777" w:rsidR="00665165" w:rsidRPr="00F90EAE" w:rsidRDefault="00665165" w:rsidP="00F90EAE">
      <w:pPr>
        <w:autoSpaceDE w:val="0"/>
        <w:autoSpaceDN w:val="0"/>
        <w:adjustRightInd w:val="0"/>
        <w:jc w:val="both"/>
        <w:rPr>
          <w:iCs/>
          <w:color w:val="000000" w:themeColor="text1"/>
          <w:sz w:val="16"/>
          <w:szCs w:val="16"/>
        </w:rPr>
      </w:pPr>
    </w:p>
    <w:p w14:paraId="66EECF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 апреля 1945 г. было подготовлено СООБЩЕНИЕ НАРОДНОГО КОМИССАРА ТАНКОВОЙ ПРОМЫШЛЕННОСТИ СССР ЗАМЕСТИТЕЛЮ НАЧАЛЬНИКА ГБТУ КА ПО ИСПОЛЬЗОВАНИЮ НА ТАНКАХ РАЗЛИЧНЫХ ТИПОВ ОПОРНЫХ КАТКОВ</w:t>
      </w:r>
    </w:p>
    <w:p w14:paraId="729291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Практика эксплуатации средних танков показала, что опорные катки с наружной обрезинкой создают более благоприятные условия для работы ходовой части и обеспечивают более высокие динамические качества танка.</w:t>
      </w:r>
    </w:p>
    <w:p w14:paraId="7BF19D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Надежность работы траков, подшипников колес и их осей при внешней обрезинке катков значи</w:t>
      </w:r>
      <w:r w:rsidRPr="00F90EAE">
        <w:rPr>
          <w:color w:val="000000" w:themeColor="text1"/>
          <w:sz w:val="16"/>
          <w:szCs w:val="16"/>
        </w:rPr>
        <w:softHyphen/>
        <w:t>тельно выше, чем при катках с внутренней амортизацией.</w:t>
      </w:r>
    </w:p>
    <w:p w14:paraId="7F3AD5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изложенным причинам для средних танков предпочтение нами отдается каткам с внешней обрезинкой.</w:t>
      </w:r>
    </w:p>
    <w:p w14:paraId="0F0D5B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учитывая тенденцию к дальнейшему увеличению веса средних танков, заводу №183 было выдано задание на разработку катков с внутренней амортизацией. Конструкция этих катков значи</w:t>
      </w:r>
      <w:r w:rsidRPr="00F90EAE">
        <w:rPr>
          <w:color w:val="000000" w:themeColor="text1"/>
          <w:sz w:val="16"/>
          <w:szCs w:val="16"/>
        </w:rPr>
        <w:softHyphen/>
        <w:t>тельно проще рекомендуемых Вами к постройке катков танка Тигр Б и, кроме того, вес комплекта катков завода №183 меньше на 1000 кг комплекта катков танка Тигр Б.</w:t>
      </w:r>
    </w:p>
    <w:p w14:paraId="0E7736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настоящее время на заводе №183 ведется подготовка к изготовлению партии опытных колес с внутренней амортизацией.</w:t>
      </w:r>
    </w:p>
    <w:p w14:paraId="0E64A2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Народный комиссар танковой промышленности СССР В. Малышев</w:t>
      </w:r>
    </w:p>
    <w:p w14:paraId="45B6FA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2715. Л. 98. Подлинник (11420).</w:t>
      </w:r>
    </w:p>
    <w:p w14:paraId="17A373C8" w14:textId="77777777" w:rsidR="00665165" w:rsidRPr="00F90EAE" w:rsidRDefault="00665165" w:rsidP="00F90EAE">
      <w:pPr>
        <w:autoSpaceDE w:val="0"/>
        <w:autoSpaceDN w:val="0"/>
        <w:adjustRightInd w:val="0"/>
        <w:jc w:val="both"/>
        <w:rPr>
          <w:color w:val="000000" w:themeColor="text1"/>
          <w:sz w:val="16"/>
          <w:szCs w:val="16"/>
        </w:rPr>
      </w:pPr>
    </w:p>
    <w:p w14:paraId="749D75D4"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введена в действие первая очередь Владимирского тракторного завода (теперь ОАО). В этот день с конвейера сошли первые 500 тракторов (15109).</w:t>
      </w:r>
    </w:p>
    <w:p w14:paraId="57BE2C5E" w14:textId="77777777" w:rsidR="00F77ACE" w:rsidRPr="00F90EAE" w:rsidRDefault="00F77ACE" w:rsidP="00F90EAE">
      <w:pPr>
        <w:jc w:val="both"/>
        <w:rPr>
          <w:color w:val="000000" w:themeColor="text1"/>
          <w:sz w:val="16"/>
          <w:szCs w:val="16"/>
        </w:rPr>
      </w:pPr>
    </w:p>
    <w:p w14:paraId="35B8F0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8260. О реэвакуации в Москву и Ленинград населения для работы в промышленности, строительстве и на транспорте. РГАНИР, Фонд ГКО, д. 405, лл. 100, 101-102 (11012).</w:t>
      </w:r>
    </w:p>
    <w:p w14:paraId="12FA124F" w14:textId="77777777" w:rsidR="00665165" w:rsidRPr="00F90EAE" w:rsidRDefault="00665165" w:rsidP="00F90EAE">
      <w:pPr>
        <w:autoSpaceDE w:val="0"/>
        <w:autoSpaceDN w:val="0"/>
        <w:adjustRightInd w:val="0"/>
        <w:jc w:val="both"/>
        <w:rPr>
          <w:color w:val="000000" w:themeColor="text1"/>
          <w:sz w:val="16"/>
          <w:szCs w:val="16"/>
        </w:rPr>
      </w:pPr>
    </w:p>
    <w:p w14:paraId="1E9D18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8261. О дополнительном выделении угля для Сталинградского гидролизного завода в мае-июне 1945 г. РГАНИР, Фонд ГКО, д. 405, лл. 103 (11012).</w:t>
      </w:r>
    </w:p>
    <w:p w14:paraId="0BC28C86" w14:textId="77777777" w:rsidR="00665165" w:rsidRPr="00F90EAE" w:rsidRDefault="00665165" w:rsidP="00F90EAE">
      <w:pPr>
        <w:autoSpaceDE w:val="0"/>
        <w:autoSpaceDN w:val="0"/>
        <w:adjustRightInd w:val="0"/>
        <w:jc w:val="both"/>
        <w:rPr>
          <w:color w:val="000000" w:themeColor="text1"/>
          <w:sz w:val="16"/>
          <w:szCs w:val="16"/>
        </w:rPr>
      </w:pPr>
    </w:p>
    <w:p w14:paraId="41959A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Постановление ГКО № 8262 О дополнительной поставке угля в связи с увеличением плана производства металла во II кв. 1945 г. РГАНИР, Фонд ГКО, д. 405, лл. 104-105 (11012).</w:t>
      </w:r>
    </w:p>
    <w:p w14:paraId="2362F43E" w14:textId="77777777" w:rsidR="00665165" w:rsidRPr="00F90EAE" w:rsidRDefault="00665165" w:rsidP="00F90EAE">
      <w:pPr>
        <w:autoSpaceDE w:val="0"/>
        <w:autoSpaceDN w:val="0"/>
        <w:adjustRightInd w:val="0"/>
        <w:jc w:val="both"/>
        <w:rPr>
          <w:color w:val="000000" w:themeColor="text1"/>
          <w:sz w:val="16"/>
          <w:szCs w:val="16"/>
        </w:rPr>
      </w:pPr>
    </w:p>
    <w:p w14:paraId="2640AD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8263. О дополнительном выделении бензина НКлесу во II кв. 1945 г. РГАНИР, Фонд ГКО, д. 405, лл. 106 (11012).</w:t>
      </w:r>
    </w:p>
    <w:p w14:paraId="1A59D73E" w14:textId="77777777" w:rsidR="00665165" w:rsidRPr="00F90EAE" w:rsidRDefault="00665165" w:rsidP="00F90EAE">
      <w:pPr>
        <w:autoSpaceDE w:val="0"/>
        <w:autoSpaceDN w:val="0"/>
        <w:adjustRightInd w:val="0"/>
        <w:jc w:val="both"/>
        <w:rPr>
          <w:color w:val="000000" w:themeColor="text1"/>
          <w:sz w:val="16"/>
          <w:szCs w:val="16"/>
        </w:rPr>
      </w:pPr>
    </w:p>
    <w:p w14:paraId="03A319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8264. О плане постройки кораблей и катеров для охраны морских государственных границ. РГАНИР, Фонд ГКО, д. 405, лл. 107, 108 (11012).</w:t>
      </w:r>
    </w:p>
    <w:p w14:paraId="2319E5A4" w14:textId="77777777" w:rsidR="00665165" w:rsidRPr="00F90EAE" w:rsidRDefault="00665165" w:rsidP="00F90EAE">
      <w:pPr>
        <w:autoSpaceDE w:val="0"/>
        <w:autoSpaceDN w:val="0"/>
        <w:adjustRightInd w:val="0"/>
        <w:jc w:val="both"/>
        <w:rPr>
          <w:color w:val="000000" w:themeColor="text1"/>
          <w:sz w:val="16"/>
          <w:szCs w:val="16"/>
        </w:rPr>
      </w:pPr>
    </w:p>
    <w:p w14:paraId="338B7D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8265. О мерах по восстановлению и развитию производства башен и открытых артиллерийских установок для ВМФ. РГАНИР, Фонд ГКО, д. 405, лл. 109-110 (11012).</w:t>
      </w:r>
    </w:p>
    <w:p w14:paraId="09473A3A" w14:textId="77777777" w:rsidR="00665165" w:rsidRPr="00F90EAE" w:rsidRDefault="00665165" w:rsidP="00F90EAE">
      <w:pPr>
        <w:autoSpaceDE w:val="0"/>
        <w:autoSpaceDN w:val="0"/>
        <w:adjustRightInd w:val="0"/>
        <w:jc w:val="both"/>
        <w:rPr>
          <w:color w:val="000000" w:themeColor="text1"/>
          <w:sz w:val="16"/>
          <w:szCs w:val="16"/>
        </w:rPr>
      </w:pPr>
    </w:p>
    <w:p w14:paraId="0C9172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вышло Распоряжение ГКО № 8266. О мерах по ускорению строительства второго Бакинского водопровода. РГАНИР, Фонд ГКО, д. 405, лл. 111, 112-113 (11012).</w:t>
      </w:r>
    </w:p>
    <w:p w14:paraId="42E83142" w14:textId="77777777" w:rsidR="00665165" w:rsidRPr="00F90EAE" w:rsidRDefault="00665165" w:rsidP="00F90EAE">
      <w:pPr>
        <w:autoSpaceDE w:val="0"/>
        <w:autoSpaceDN w:val="0"/>
        <w:adjustRightInd w:val="0"/>
        <w:jc w:val="both"/>
        <w:rPr>
          <w:color w:val="000000" w:themeColor="text1"/>
          <w:sz w:val="16"/>
          <w:szCs w:val="16"/>
        </w:rPr>
      </w:pPr>
    </w:p>
    <w:p w14:paraId="60B67A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385A1CA" w14:textId="77777777" w:rsidR="00665165" w:rsidRPr="00F90EAE" w:rsidRDefault="00665165" w:rsidP="00F90EAE">
      <w:pPr>
        <w:autoSpaceDE w:val="0"/>
        <w:autoSpaceDN w:val="0"/>
        <w:adjustRightInd w:val="0"/>
        <w:jc w:val="both"/>
        <w:rPr>
          <w:iCs/>
          <w:color w:val="000000" w:themeColor="text1"/>
          <w:sz w:val="16"/>
          <w:szCs w:val="16"/>
        </w:rPr>
      </w:pPr>
    </w:p>
    <w:p w14:paraId="489CABCF" w14:textId="77777777" w:rsidR="00F30912" w:rsidRPr="00F90EAE" w:rsidRDefault="00F30912" w:rsidP="00F90EAE">
      <w:pPr>
        <w:jc w:val="both"/>
        <w:rPr>
          <w:color w:val="000000" w:themeColor="text1"/>
          <w:sz w:val="16"/>
          <w:szCs w:val="16"/>
        </w:rPr>
      </w:pPr>
      <w:r w:rsidRPr="00F90EAE">
        <w:rPr>
          <w:color w:val="000000" w:themeColor="text1"/>
          <w:sz w:val="16"/>
          <w:szCs w:val="16"/>
        </w:rPr>
        <w:t>24 апреля в 1945 году оперативная сводка Совинформбюро:</w:t>
      </w:r>
    </w:p>
    <w:p w14:paraId="3D77ED7B" w14:textId="77777777" w:rsidR="00F30912" w:rsidRPr="00F90EAE" w:rsidRDefault="00F30912" w:rsidP="00F90EAE">
      <w:pPr>
        <w:jc w:val="both"/>
        <w:rPr>
          <w:color w:val="000000" w:themeColor="text1"/>
          <w:sz w:val="16"/>
          <w:szCs w:val="16"/>
        </w:rPr>
      </w:pPr>
      <w:r w:rsidRPr="00F90EAE">
        <w:rPr>
          <w:color w:val="000000" w:themeColor="text1"/>
          <w:sz w:val="16"/>
          <w:szCs w:val="16"/>
        </w:rPr>
        <w:t>«В течение 24 апреля северо-западнее Берлина войска 1-го Белорусского фронта, продолжая наступление, овладели городами Креммен, Флатов, Вельтен, Науен. Юго-восточнее Берлина войска фронта форсировали реку Даме и заняли пригороды Адлерсхоф, Рудов, Альт-Глиникке, Бонсдорф, где соединились с наступающими с юга войсками 1-го Украинского фронта. Одновременно войска фронта вели уличные бои в северной и восточной части Берлина, заняв при этом городские районы Тегель, Витенау, Рейникендорф, Силезский вокзал и городские кварталы, расположенные севернее и восточнее Силезского вокзала. Южнее Франкфурта-на-Одере войска фронта овладели городами Фюрстенберг и Губен. В боях за 23 апреля войска фронта взяли в плен более 3.000 немецких солдат и офицеров и захватили следующие трофеи: танков — 48, полевых орудий — более 200, автомашин — 2.550, паровозов — 88, железнодорожных вагонов — более 1.000, складов с военным имуществом — 113.</w:t>
      </w:r>
    </w:p>
    <w:p w14:paraId="3CDE53E3" w14:textId="77777777" w:rsidR="00F30912" w:rsidRPr="00F90EAE" w:rsidRDefault="00F30912" w:rsidP="00F90EAE">
      <w:pPr>
        <w:jc w:val="both"/>
        <w:rPr>
          <w:color w:val="000000" w:themeColor="text1"/>
          <w:sz w:val="16"/>
          <w:szCs w:val="16"/>
        </w:rPr>
      </w:pPr>
      <w:r w:rsidRPr="00F90EAE">
        <w:rPr>
          <w:color w:val="000000" w:themeColor="text1"/>
          <w:sz w:val="16"/>
          <w:szCs w:val="16"/>
        </w:rPr>
        <w:t xml:space="preserve">Войска 1-го Украинского фронта с боями заняли в южной части Берлина городские районы Мариендорф, Ланквиц, Осдорф, Штансдорф и соединились с войсками 1-го Белорусского фронта, форсировавшими реку Даме юго-восточнее Берлина. На Дрезденском направлении войска фронта овладели городом Гроссен-Хайн. В боях </w:t>
      </w:r>
      <w:r w:rsidRPr="00F90EAE">
        <w:rPr>
          <w:color w:val="000000" w:themeColor="text1"/>
          <w:sz w:val="16"/>
          <w:szCs w:val="16"/>
        </w:rPr>
        <w:lastRenderedPageBreak/>
        <w:t>за 23 апреля войска фронта взяли в плен более 6.000 немецких солдат и офицеров и захватили 38 танков. В числе пленных командир дивизии «Фридрих Людвиг Ян» полковник Берменбляйн.</w:t>
      </w:r>
    </w:p>
    <w:p w14:paraId="3844FAE4" w14:textId="77777777" w:rsidR="00F30912" w:rsidRPr="00F90EAE" w:rsidRDefault="00F30912"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4959C4FC" w14:textId="77777777" w:rsidR="00F30912" w:rsidRPr="00F90EAE" w:rsidRDefault="00F30912" w:rsidP="00F90EAE">
      <w:pPr>
        <w:jc w:val="both"/>
        <w:rPr>
          <w:color w:val="000000" w:themeColor="text1"/>
          <w:sz w:val="16"/>
          <w:szCs w:val="16"/>
        </w:rPr>
      </w:pPr>
      <w:r w:rsidRPr="00F90EAE">
        <w:rPr>
          <w:color w:val="000000" w:themeColor="text1"/>
          <w:sz w:val="16"/>
          <w:szCs w:val="16"/>
        </w:rPr>
        <w:t>За 23 апреля на всех фронтах подбито и уничтожено 110 немецких танков. В воздушных боях и огнём зенитной артиллерии сбито 60 самолётов противника.</w:t>
      </w:r>
    </w:p>
    <w:p w14:paraId="13E6CE51" w14:textId="77777777" w:rsidR="00F30912" w:rsidRPr="00F90EAE" w:rsidRDefault="00F30912" w:rsidP="00F90EAE">
      <w:pPr>
        <w:jc w:val="both"/>
        <w:rPr>
          <w:color w:val="000000" w:themeColor="text1"/>
          <w:sz w:val="16"/>
          <w:szCs w:val="16"/>
        </w:rPr>
      </w:pPr>
      <w:r w:rsidRPr="00F90EAE">
        <w:rPr>
          <w:color w:val="000000" w:themeColor="text1"/>
          <w:sz w:val="16"/>
          <w:szCs w:val="16"/>
        </w:rPr>
        <w:t>Войска 1-го Белорусского фронта продолжали успешное наступление. Советские части, продвигающиеся вдоль Руппинер-канала, стремительным ударом заняли город Креммен. Наши танковые соединения и пехота, форсировав Гогенцоллерн-канал, с боями продвинулись вперёд на 20 километров и овладели важным узлом путей сообщения городом Науен. Железнодорожная магистраль Берлин—Гамбург перерезана. Железная дорога Берлин—Ганновер обстреливается советской артиллерией.</w:t>
      </w:r>
    </w:p>
    <w:p w14:paraId="1885B9F1" w14:textId="77777777" w:rsidR="00F30912" w:rsidRPr="00F90EAE" w:rsidRDefault="00F30912" w:rsidP="00F90EAE">
      <w:pPr>
        <w:jc w:val="both"/>
        <w:rPr>
          <w:color w:val="000000" w:themeColor="text1"/>
          <w:sz w:val="16"/>
          <w:szCs w:val="16"/>
        </w:rPr>
      </w:pPr>
      <w:r w:rsidRPr="00F90EAE">
        <w:rPr>
          <w:color w:val="000000" w:themeColor="text1"/>
          <w:sz w:val="16"/>
          <w:szCs w:val="16"/>
        </w:rPr>
        <w:t>В северных и восточных районах Берлина продолжалось ожесточённое сражение. Противник бросает в бой кадровые части, войска СС, технические и инженерные части, а также наспех сформированные в Берлине батальоны «фольксштурма». Отмечено несколько случаев, когда гитлеровцы из пулемётов расстреливали фольксштурмовцев, оставивших свои позиции при появлении советских танков. Наши войска, наступающие с севера по берегу озера Тегелер-Зее ворвались на территорию паровозостроительного и артиллерийского заводов и очистили их от гитлеровцев. Советские части, тесня противника к Тегельскому лесу, вышли на улицу Бернауэрштрассе. В восточной части Берлина наши войска настойчиво продвигались вперёд, уничтожая на своём пути вражеские узлы сопротивления. Решительными действиями советские бойцы очистили от немцев территорию железнодорожных ремонтных мастерских, Силезский вокзал и городские кварталы восточнее и севернее Селезского вокзала.</w:t>
      </w:r>
    </w:p>
    <w:p w14:paraId="5D3B1516" w14:textId="77777777" w:rsidR="00F30912" w:rsidRPr="00F90EAE" w:rsidRDefault="00F30912" w:rsidP="00F90EAE">
      <w:pPr>
        <w:jc w:val="both"/>
        <w:rPr>
          <w:color w:val="000000" w:themeColor="text1"/>
          <w:sz w:val="16"/>
          <w:szCs w:val="16"/>
        </w:rPr>
      </w:pPr>
      <w:r w:rsidRPr="00F90EAE">
        <w:rPr>
          <w:color w:val="000000" w:themeColor="text1"/>
          <w:sz w:val="16"/>
          <w:szCs w:val="16"/>
        </w:rPr>
        <w:t>Юго-восточнее Берлина войска фронта, сломив упорное сопротивление противника, переправились через реку Даме. Развивая успех, советские части ворвались в пригород Адлерсхоф, овладели авиасборочным заводом и авиационным научно-исследовательским институтом. Отбрасывая врага и нанося ему непрерывные удары, войска 1-го Белорусского фронта заняли ряд пригородов Берлина и соединились с наступающими с юга войсками 1-го Украинского фронта. За день боёв уничтожено свыше 6 тысяч немецких солдат и офицеров, 150 орудий и миномётов, подбито и сожжено 20 немецких танков.</w:t>
      </w:r>
    </w:p>
    <w:p w14:paraId="3EA4D239" w14:textId="77777777" w:rsidR="00F30912" w:rsidRPr="00F90EAE" w:rsidRDefault="00F30912" w:rsidP="00F90EAE">
      <w:pPr>
        <w:jc w:val="both"/>
        <w:rPr>
          <w:color w:val="000000" w:themeColor="text1"/>
          <w:sz w:val="16"/>
          <w:szCs w:val="16"/>
        </w:rPr>
      </w:pPr>
      <w:r w:rsidRPr="00F90EAE">
        <w:rPr>
          <w:color w:val="000000" w:themeColor="text1"/>
          <w:sz w:val="16"/>
          <w:szCs w:val="16"/>
        </w:rPr>
        <w:t>Наша авиация оказывала поддержку наземным войскам, участвующим в боях за Берлин. Бомбо-штурмовыми ударами советские лётчики уничтожали танки, автомашины, артиллерийские и миномётные батареи и батареи зенитной артиллерии противника. В воздушных боях за день сбито 26 немецких самолётов.</w:t>
      </w:r>
    </w:p>
    <w:p w14:paraId="54219764" w14:textId="77777777" w:rsidR="00F30912" w:rsidRPr="00F90EAE" w:rsidRDefault="00F30912"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Ожесточённые уличные бои идут в южной части Берлина. Противник, опираясь на заранее подготовленные опорные пункты обороны, яростно сопротивляется. Немцы установили на чердаках домов пулемёты, а подвалы приспособили под артиллерийские позиции. Вражеские танки и пехота неоднократно переходили в контратаки, но были отброшены с большими для них потерями. Советские части выбили гитлеровцев с территории танкостроительного и авиационного заводов, заняли Мариендорф и ведут бои за переправы через Тельтон-канал. В ожесточённых уличных боях советские штурмовые отряды, усиленные танками и самоходными орудиями, разгромили узлы сопротивления немцев в казармах зенитного полка и у гавани и овладели городскими районами Ланквиц, Осдорф и Штансдорф. На улицах осталось много вражеских трупов и разбитой техники противника. Продвигаясь вперёд, войска 1-го Украинского фронта соединились с войсками 1-го Белорусского фронта, переправившимися через реку Даме. На одном участке фронта немцы ввели в бой пехотную дивизию «Фридрих Людвиг Ян». Она участвовала в боях всего лишь один день. Советские танкисты и пехотинцы разгромили эту дивизию противника. Командир дивизии взят в плен.</w:t>
      </w:r>
    </w:p>
    <w:p w14:paraId="27B9CA7F" w14:textId="77777777" w:rsidR="00F30912" w:rsidRPr="00F90EAE" w:rsidRDefault="00F30912" w:rsidP="00F90EAE">
      <w:pPr>
        <w:jc w:val="both"/>
        <w:rPr>
          <w:color w:val="000000" w:themeColor="text1"/>
          <w:sz w:val="16"/>
          <w:szCs w:val="16"/>
        </w:rPr>
      </w:pPr>
      <w:r w:rsidRPr="00F90EAE">
        <w:rPr>
          <w:color w:val="000000" w:themeColor="text1"/>
          <w:sz w:val="16"/>
          <w:szCs w:val="16"/>
        </w:rPr>
        <w:t>На Дрезденском направлении наши войска форсировали канал Шварце Ельстер, продвинулись вперед на 20 километров и заняли город Гроссенхайн — узел четырёх железных дорог. Гроссенхайн — промышленный город. В нём имеются машиностроительные и металлообрабатывающие предприятия. Наши кавалеристы в этом районе захватили 6 железнодорожных эшелонов и большое число автомашин.</w:t>
      </w:r>
    </w:p>
    <w:p w14:paraId="1D9A2495" w14:textId="77777777" w:rsidR="00F30912" w:rsidRPr="00F90EAE" w:rsidRDefault="00F30912" w:rsidP="00F90EAE">
      <w:pPr>
        <w:jc w:val="both"/>
        <w:rPr>
          <w:color w:val="000000" w:themeColor="text1"/>
          <w:sz w:val="16"/>
          <w:szCs w:val="16"/>
        </w:rPr>
      </w:pPr>
      <w:r w:rsidRPr="00F90EAE">
        <w:rPr>
          <w:color w:val="000000" w:themeColor="text1"/>
          <w:sz w:val="16"/>
          <w:szCs w:val="16"/>
        </w:rPr>
        <w:t>Войска фронта освободили из фашистской неволи десятки тысяч военнопленных различных национальностей.</w:t>
      </w:r>
    </w:p>
    <w:p w14:paraId="3D7A35AE" w14:textId="77777777" w:rsidR="00F30912" w:rsidRPr="00F90EAE" w:rsidRDefault="00F30912" w:rsidP="00F90EAE">
      <w:pPr>
        <w:jc w:val="both"/>
        <w:rPr>
          <w:color w:val="000000" w:themeColor="text1"/>
          <w:sz w:val="16"/>
          <w:szCs w:val="16"/>
        </w:rPr>
      </w:pPr>
      <w:r w:rsidRPr="00F90EAE">
        <w:rPr>
          <w:color w:val="000000" w:themeColor="text1"/>
          <w:sz w:val="16"/>
          <w:szCs w:val="16"/>
        </w:rPr>
        <w:t>Советские лётчики, несмотря на неблагоприятную погоду, наносили удары по боевым порядкам и колоннам немецких войск.</w:t>
      </w:r>
    </w:p>
    <w:p w14:paraId="146A2DFA" w14:textId="77777777" w:rsidR="00F30912" w:rsidRPr="00F90EAE" w:rsidRDefault="00F30912" w:rsidP="00F90EAE">
      <w:pPr>
        <w:jc w:val="both"/>
        <w:rPr>
          <w:color w:val="000000" w:themeColor="text1"/>
          <w:sz w:val="16"/>
          <w:szCs w:val="16"/>
        </w:rPr>
      </w:pPr>
      <w:r w:rsidRPr="00F90EAE">
        <w:rPr>
          <w:color w:val="000000" w:themeColor="text1"/>
          <w:sz w:val="16"/>
          <w:szCs w:val="16"/>
        </w:rPr>
        <w:t>Авиация Краснознамённого Балтийского флота потопила в Балтийском море транспорт, быстроходную десантную баржу и самоходный понтон противника.</w:t>
      </w:r>
    </w:p>
    <w:p w14:paraId="48729A86" w14:textId="77777777" w:rsidR="00F30912" w:rsidRPr="00F90EAE" w:rsidRDefault="00F30912" w:rsidP="00F90EAE">
      <w:pPr>
        <w:jc w:val="both"/>
        <w:rPr>
          <w:color w:val="000000" w:themeColor="text1"/>
          <w:sz w:val="16"/>
          <w:szCs w:val="16"/>
        </w:rPr>
      </w:pPr>
      <w:r w:rsidRPr="00F90EAE">
        <w:rPr>
          <w:color w:val="000000" w:themeColor="text1"/>
          <w:sz w:val="16"/>
          <w:szCs w:val="16"/>
        </w:rPr>
        <w:t>Нашими кораблями в Баренцевом море потоплена немецкая подводная лодка.» (15109).</w:t>
      </w:r>
    </w:p>
    <w:p w14:paraId="6F9EE430" w14:textId="77777777" w:rsidR="00F30912" w:rsidRPr="00F90EAE" w:rsidRDefault="00F30912" w:rsidP="00F90EAE">
      <w:pPr>
        <w:jc w:val="both"/>
        <w:rPr>
          <w:color w:val="000000" w:themeColor="text1"/>
          <w:sz w:val="16"/>
          <w:szCs w:val="16"/>
        </w:rPr>
      </w:pPr>
    </w:p>
    <w:p w14:paraId="3DA4F9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л К.Ф.Михайленко 45 гап на У-2 уничтожил в Берлине мост через Шпее использовав связку двух ФАБ-50, соединенных троссом. Ранее использоват то же прием против моста через Днепр в районе Жлобино. Этот прием предлагался еще по результатам финской войны (4544, 38).</w:t>
      </w:r>
    </w:p>
    <w:p w14:paraId="7D0A4B03" w14:textId="77777777" w:rsidR="00665165" w:rsidRPr="00F90EAE" w:rsidRDefault="00665165" w:rsidP="00F90EAE">
      <w:pPr>
        <w:autoSpaceDE w:val="0"/>
        <w:autoSpaceDN w:val="0"/>
        <w:adjustRightInd w:val="0"/>
        <w:jc w:val="both"/>
        <w:rPr>
          <w:color w:val="000000" w:themeColor="text1"/>
          <w:sz w:val="16"/>
          <w:szCs w:val="16"/>
        </w:rPr>
      </w:pPr>
    </w:p>
    <w:p w14:paraId="0EECC0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24 апреля 1945 с использованием Ту-2 2М-82ФН 47 ГДРАП, который из района Смоленска летал на разведку Берлина, был подготовлен фотопланшет всего города. Сделали три фильма. Сталкивались с Ме-262, но потерь не имели (1835,29).</w:t>
      </w:r>
    </w:p>
    <w:p w14:paraId="2B8EC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числу легендарных, но в наши дни уже малоизвестных летчиков можно смело отнести Николая Богданова. Богданов одинаково прославился как своей отвагой, так и склонностью к алкоголю. В настоящее время о нем известно немного, причем разные источники часто друг другу противоречат. Он служил в разных частях, в том числе в 18-м ШАП (ставшим позднее 8 ГШАП) и в 47-м ШАП. Богданов летал на штурмовых УТ-1, вооруженных ракетами РС-82, а также на И-16 и Ил-2. Он летал как дьявол, и по воспоминаниям его однополчан его не менее десяти раз награждали орденом Красного Знамени! То, что Богданов много пил не было ничего удивительного - на войне людям часто приходится прибегать к алкоголю. Но Богданов в пьяном виде часто вытворял самые невероятные вещи. Когда после освобождения Новороссийска командование направило бумаги с ходатайством о награждении его Золотой Звездой, Богданов выпил пару стаканов, сел в Ил-2 и полетел: навестить свою маму. Один раз его отправили в штрафбат, откуда он вернулся кавалером медали "За отвагу" и имея при себе ППШ, с которым никогда больше не расставался. В феврале 1944 года его приговорили к 8 годам лагерей с отсрочкой исполнения приговора до конца войны и разжаловали в рядовые. На его счастье, через три месяца приговор отменили. Хотя и реже, Богданов продолжал совершать боевые вылеты. Обычно он держался в некотором отдалении от основных сил, но в бою вел себя как лев, не теряя при этом осмотрительности. Однажды его направили на высшие офицерские курсы в Моздоке. Там Богданов ежедневно заходил на базар, напивался там допьяна и ни о каких занятиях уже не могло быть и речи. Погиб Богданов 24 апреля 1945 года. Его самолет нарвался под Пилау на зенитную батарею противника, получил серьезные повреждения и по пути на базу взорвался в воздухе. Нам не известно точное число боевых вылетов Богданова, но точно можно сказать, что их было больше ста (2691). Другой колоритной личностью балтийской авиации был Виктор Глухов из 47-го ШАП. Глухов совершил 149 боевых вылетов, был награжден многочисленными наградами, в том числе четырьмя орденами Красного Знамени и орденом Ленина. Действуя в одиночку, Глухов отправил на дно транспорт водоизмещением 4000 тонн, кроме того, на его боевом счету несколько других потопленных судов и кораблей. В апреле 1945 года командование полка решило представить Глухова к Герою, но начальник главного политического управления ВМФ, генерал И. Рогов не позволил наградить летчика. Поводом к отказу стало то, что по партийной линии за Глуховым числились кое-какие грешки. Непорядок в партийных документах перевесил участие в сотне боевых вылетов. Ходили слухи (впрочем, вполне достоверные), что Глухов подрался с офицером-однополчанином и сильно побил его. Кроме того, Глухова на три дня посадили под арест за "воздушное хулиганство". В вину Глухову вменили то, что он пошел в атаку на такой низкой высоте, что винты задевали верхушки деревьев. Доказательством "преступления" были листья, прилипшие к обшивке самолета. Но несмотря ни на что, 13 мая 1946 года его наградили орденом Ленина, но вскоре после этого уволили из армии и исключили из партии. Вероятно, причиной наказания стало то, что Глухов задавал лишние вопросы. При этом у него отобрали все награды. Лишь добившись приема у наркома ВМФ Н.Г. Кузнецова, Глухов смог вернуть себе награды, но в партию опять вступать отказался (2691).</w:t>
      </w:r>
    </w:p>
    <w:p w14:paraId="1E9E5A7F" w14:textId="77777777" w:rsidR="00665165" w:rsidRPr="00F90EAE" w:rsidRDefault="00665165" w:rsidP="00F90EAE">
      <w:pPr>
        <w:autoSpaceDE w:val="0"/>
        <w:autoSpaceDN w:val="0"/>
        <w:adjustRightInd w:val="0"/>
        <w:jc w:val="both"/>
        <w:rPr>
          <w:color w:val="000000" w:themeColor="text1"/>
          <w:sz w:val="16"/>
          <w:szCs w:val="16"/>
        </w:rPr>
      </w:pPr>
    </w:p>
    <w:p w14:paraId="3C0277F4"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С 24 апреля по 2 мая 1945 значительная часть штурмовиков 2-й воздушной армии была задействована в атаках окруженной немецкой группировки юго-восточнее Берлина. В первую очередь наносились авиаудары по частям, пытавшимся вырваться из котла (19522).</w:t>
      </w:r>
    </w:p>
    <w:p w14:paraId="45C09FDC" w14:textId="77777777" w:rsidR="00A278CB" w:rsidRPr="00F90EAE" w:rsidRDefault="00A278CB" w:rsidP="00F90EAE">
      <w:pPr>
        <w:pStyle w:val="ae"/>
        <w:spacing w:before="0" w:after="0"/>
        <w:jc w:val="both"/>
        <w:textAlignment w:val="baseline"/>
        <w:rPr>
          <w:color w:val="000000" w:themeColor="text1"/>
          <w:sz w:val="16"/>
          <w:szCs w:val="16"/>
        </w:rPr>
      </w:pPr>
    </w:p>
    <w:p w14:paraId="09C19B0F"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24 апреля 1945 18 Ил-2 из 141-го гв. шап получили приказ нанести удар по позициям артиллерии в пригороде Берлина — Тельтов. Атака производилась звеньями с пологого планирования под углом 30–35°. Штурмовики подходили к цели на высоте 1200 метров, затем переходили к снижению и сбрасывали бомбы с высоты 400 метров. В результате, по донесениям летчиков, были разрушены три здания, в которых были укрыты огневые точки (19522).</w:t>
      </w:r>
    </w:p>
    <w:p w14:paraId="636643A5" w14:textId="77777777" w:rsidR="00A278CB" w:rsidRPr="00F90EAE" w:rsidRDefault="00A278CB" w:rsidP="00F90EAE">
      <w:pPr>
        <w:pStyle w:val="ae"/>
        <w:spacing w:before="0" w:after="0"/>
        <w:jc w:val="both"/>
        <w:textAlignment w:val="baseline"/>
        <w:rPr>
          <w:color w:val="000000" w:themeColor="text1"/>
          <w:sz w:val="16"/>
          <w:szCs w:val="16"/>
        </w:rPr>
      </w:pPr>
    </w:p>
    <w:p w14:paraId="653E0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войска КА окружили франкфуртско-губенскую группировку (2438,97).</w:t>
      </w:r>
    </w:p>
    <w:p w14:paraId="18F0CC72" w14:textId="77777777" w:rsidR="00665165" w:rsidRPr="00F90EAE" w:rsidRDefault="00665165" w:rsidP="00F90EAE">
      <w:pPr>
        <w:autoSpaceDE w:val="0"/>
        <w:autoSpaceDN w:val="0"/>
        <w:adjustRightInd w:val="0"/>
        <w:jc w:val="both"/>
        <w:rPr>
          <w:color w:val="000000" w:themeColor="text1"/>
          <w:sz w:val="16"/>
          <w:szCs w:val="16"/>
        </w:rPr>
      </w:pPr>
    </w:p>
    <w:p w14:paraId="68DFE1E4"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(24 апреля - 1 мая) войска 1-го Белорусского и 1-го Украинского фронтов ликвидировали франкфуртско-губенскую группировку немецких войск, окруженную южнее Берлина (15109).</w:t>
      </w:r>
    </w:p>
    <w:p w14:paraId="6FE9D5AC" w14:textId="77777777" w:rsidR="00F77ACE" w:rsidRPr="00F90EAE" w:rsidRDefault="00F77ACE" w:rsidP="00F90EAE">
      <w:pPr>
        <w:jc w:val="both"/>
        <w:rPr>
          <w:color w:val="000000" w:themeColor="text1"/>
          <w:sz w:val="16"/>
          <w:szCs w:val="16"/>
        </w:rPr>
      </w:pPr>
    </w:p>
    <w:p w14:paraId="78B70C43" w14:textId="77777777" w:rsidR="00F30912" w:rsidRPr="00F90EAE" w:rsidRDefault="00F30912" w:rsidP="00F90EAE">
      <w:pPr>
        <w:pStyle w:val="book"/>
        <w:ind w:firstLine="0"/>
        <w:jc w:val="both"/>
        <w:rPr>
          <w:color w:val="000000" w:themeColor="text1"/>
          <w:sz w:val="16"/>
          <w:szCs w:val="16"/>
        </w:rPr>
      </w:pPr>
      <w:r w:rsidRPr="00F90EAE">
        <w:rPr>
          <w:color w:val="000000" w:themeColor="text1"/>
          <w:sz w:val="16"/>
          <w:szCs w:val="16"/>
        </w:rPr>
        <w:t>24 апреля 1945 г. старший морской начальник Штеттина капитан 1-го ранга В. Кахлер отдал по радио приказ специальной команде, находившейся на авианосце «Граф Цеппелин». Взрывы очень грамотно заложенных зарядов привели в полную негодность главные турбины, электрогенераторы и самолетоподъемники. Ко времени вступления в город советских войск через небольшие пробоины, трещины и неплотности наружной обшивки во внутренние отсеки корпуса корабля проникла забортная вода, и авианосец поэтому находился в притопленном состоянии. Летом 1945 г. силами аварийно-спасательной службы Балтийского флота «Граф Цеппелин» был поднят, а 19 августа его зачислили в состав ВМФ СССР. 19 марта 1947 г. вышло Постановление Совмина № 601—209сс «об уничтожении в 1947 г. бывших немецких кораблей категории "С"». 14 августа 1947 г. пять буксиров вывели авианосец на рейд Сименюнде</w:t>
      </w:r>
      <w:hyperlink r:id="rId104" w:anchor="n_2" w:tooltip="    Свинемюнде (Swinemünde, после 1945 г. — Świnoujście) — OCR   " w:history="1">
        <w:r w:rsidRPr="00F90EAE">
          <w:rPr>
            <w:rStyle w:val="a5"/>
            <w:color w:val="000000" w:themeColor="text1"/>
            <w:sz w:val="16"/>
            <w:szCs w:val="16"/>
            <w:vertAlign w:val="superscript"/>
          </w:rPr>
          <w:t>[2]</w:t>
        </w:r>
      </w:hyperlink>
      <w:r w:rsidRPr="00F90EAE">
        <w:rPr>
          <w:color w:val="000000" w:themeColor="text1"/>
          <w:sz w:val="16"/>
          <w:szCs w:val="16"/>
        </w:rPr>
        <w:t xml:space="preserve">, а затем в открытое море. К утру 16 августа «Цеппелин» был доставлен в намеченное место. Для начала авианосец подорвали заранее заложенными бомбами ФАБ-1000 (в дымовой трубе), тремя ФАБ-100 и </w:t>
      </w:r>
      <w:r w:rsidRPr="00F90EAE">
        <w:rPr>
          <w:color w:val="000000" w:themeColor="text1"/>
          <w:sz w:val="16"/>
          <w:szCs w:val="16"/>
        </w:rPr>
        <w:lastRenderedPageBreak/>
        <w:t>двумя 180-мм артиллерийскими снарядами под полетной палубой. Во время второго подрыва взорвали еще одну ФАБ-1000 на полетной палубе. Третья серия одновременных подрывов заключалась в одновременной детонации ФАБ-250 и двух 180-мм снарядов. Бомба взорвалась на полетной палубе, снаряды — на верхней ангарной. Четвертая серия включала одновременный подрыв ФАБ-500 на высоте 2,7 м над полетной палубой (бомба вывешивалась на треноге), ФАБ-250 на палубе верхнего ангара, ФАБ-250 на полетной палубе и ФАБ-100 на палубе «С» (батарейной). Наконец, пятая серия заключалась в одновременном подрыве ФАБ-500 и ФАБ-100 на полетной палубе. Необходимо отметить, что часть бомб на полетной палубе в месте подрыва размещалась с заглублением — в настиле палубы вырезался колодец, в который бомба вывешивалась почти по стабилизатор. Это как бы имитировало проникающий эффект при кинетическом ударе. Несмотря на отсутствие экипажа, ведущего борьбу за живучесть, «Цеппелин» упорно не хотел тонуть. Тогда вице-адмирал Ю.Ф. Ралль, герой этой славной виктории нашего флота, приказал потопить его торпедами. В дело были введены торпедные катера ТК-248, ТК-425 и ТК-503 (типа «Элко», полученные по ленд-лизу), а также эсминцы «Славный», «Строгий» и «Стройный». Первыми к авианосцу подошли катера. Атака Т-248 оказалась безуспешной — торпеда, не взорвавшись, прошла под килем «Цеппелина». Через 15 минут ТК-503 попал торпедой в правый борт в районе 130 шпангоута. Взрывом разрушило конструкции буля, но находившийся за ним броневой пояс остался неповрежденным. Через час подошли эсминцы. «Славный» попал торпедой в правый борт в районе 180 шпангоута, то есть в район носового самолетоподъемника, где ниже ватерлинии не было ни булей, ни другой подводной конструктивной защиты. Только после этого авианосец начал медленно погружаться и через 25 минут затонул. Координаты гибели «Цеппелина» до сих пор скрываются нашими «любителями гласности» (15225).</w:t>
      </w:r>
    </w:p>
    <w:p w14:paraId="215E4C05" w14:textId="77777777" w:rsidR="00F30912" w:rsidRPr="00F90EAE" w:rsidRDefault="00F30912" w:rsidP="00F90EAE">
      <w:pPr>
        <w:pStyle w:val="book"/>
        <w:ind w:firstLine="0"/>
        <w:jc w:val="both"/>
        <w:rPr>
          <w:color w:val="000000" w:themeColor="text1"/>
          <w:sz w:val="16"/>
          <w:szCs w:val="16"/>
        </w:rPr>
      </w:pPr>
    </w:p>
    <w:p w14:paraId="39972206" w14:textId="77777777" w:rsidR="00F77AC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6012195" w14:textId="77777777" w:rsidR="00F77ACE" w:rsidRPr="00F90EAE" w:rsidRDefault="00F77ACE" w:rsidP="00F90EAE">
      <w:pPr>
        <w:autoSpaceDE w:val="0"/>
        <w:autoSpaceDN w:val="0"/>
        <w:adjustRightInd w:val="0"/>
        <w:jc w:val="both"/>
        <w:rPr>
          <w:iCs/>
          <w:color w:val="000000" w:themeColor="text1"/>
          <w:sz w:val="16"/>
          <w:szCs w:val="16"/>
        </w:rPr>
      </w:pPr>
    </w:p>
    <w:p w14:paraId="2472566E"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(24-27 апреля) XI сессия Верховного Совета СССР первого созыва, на которой был принят Закон о Государственном бюджете Союза Советских Социалистических Республик на 1945 год (15109).</w:t>
      </w:r>
    </w:p>
    <w:p w14:paraId="516A72D5" w14:textId="77777777" w:rsidR="00F77ACE" w:rsidRPr="00F90EAE" w:rsidRDefault="00F77ACE" w:rsidP="00F90EAE">
      <w:pPr>
        <w:jc w:val="both"/>
        <w:rPr>
          <w:color w:val="000000" w:themeColor="text1"/>
          <w:sz w:val="16"/>
          <w:szCs w:val="16"/>
        </w:rPr>
      </w:pPr>
    </w:p>
    <w:p w14:paraId="7BC42A0B"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в Берлин прибыла специальная бригада Всесоюзного радио (писатель А.Медников, журналист М.Гус, редактор М.Шалашников, звукооператор А.Спасский). Она вела репортажи о боях на улицах, производила записи на пленку, которые передавались в Москву. В ночь с 8 на 9 мая была запечатлена на магнитофонную пленку процедура подписания Акта о капитуляции вооруженных сил фашистской Германии (15109).</w:t>
      </w:r>
    </w:p>
    <w:p w14:paraId="2F8DF1F1" w14:textId="77777777" w:rsidR="00F77ACE" w:rsidRPr="00F90EAE" w:rsidRDefault="00F77ACE" w:rsidP="00F90EAE">
      <w:pPr>
        <w:jc w:val="both"/>
        <w:rPr>
          <w:color w:val="000000" w:themeColor="text1"/>
          <w:sz w:val="16"/>
          <w:szCs w:val="16"/>
        </w:rPr>
      </w:pPr>
    </w:p>
    <w:p w14:paraId="73876D7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D7F2993" w14:textId="77777777" w:rsidR="00665165" w:rsidRPr="00F90EAE" w:rsidRDefault="00665165" w:rsidP="00F90EAE">
      <w:pPr>
        <w:autoSpaceDE w:val="0"/>
        <w:autoSpaceDN w:val="0"/>
        <w:adjustRightInd w:val="0"/>
        <w:jc w:val="both"/>
        <w:rPr>
          <w:iCs/>
          <w:color w:val="000000" w:themeColor="text1"/>
          <w:sz w:val="16"/>
          <w:szCs w:val="16"/>
        </w:rPr>
      </w:pPr>
    </w:p>
    <w:p w14:paraId="026AC0DA"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во время очередного вылета «Не-162А-2» командира II/JG1 обер-лейтенанта Пауля-Генриха Дехне потерпел аварию при посадке на аэродроме Варнемюнде. В последний момент Дехне решил катапультироваться, однако система аварийного сброса фонаря кабины не сработала, и он получил смертельные травмы головы (15109).</w:t>
      </w:r>
    </w:p>
    <w:p w14:paraId="54751381" w14:textId="77777777" w:rsidR="00F77ACE" w:rsidRPr="00F90EAE" w:rsidRDefault="00F77ACE" w:rsidP="00F90EAE">
      <w:pPr>
        <w:jc w:val="both"/>
        <w:rPr>
          <w:color w:val="000000" w:themeColor="text1"/>
          <w:sz w:val="16"/>
          <w:szCs w:val="16"/>
        </w:rPr>
      </w:pPr>
    </w:p>
    <w:p w14:paraId="64C80AAF" w14:textId="77777777" w:rsidR="00143828" w:rsidRPr="00F90EAE" w:rsidRDefault="00143828" w:rsidP="00F90EAE">
      <w:pPr>
        <w:jc w:val="both"/>
        <w:rPr>
          <w:color w:val="0070C0"/>
          <w:sz w:val="16"/>
          <w:szCs w:val="16"/>
        </w:rPr>
      </w:pPr>
      <w:r w:rsidRPr="00F90EAE">
        <w:rPr>
          <w:color w:val="0070C0"/>
          <w:sz w:val="16"/>
          <w:szCs w:val="16"/>
        </w:rPr>
        <w:t>24 апреля 1945 летчик на Messerschmitt Me 262, ас Люфтваффе Гюнтер Лютцов погиб в бою с P-47 Thunderbolts ВВС США около Донаувёрта, Германия. Ему приписывают 110 побед (20371).</w:t>
      </w:r>
    </w:p>
    <w:p w14:paraId="694EB590" w14:textId="77777777" w:rsidR="00143828" w:rsidRPr="00F90EAE" w:rsidRDefault="00143828" w:rsidP="00F90EAE">
      <w:pPr>
        <w:jc w:val="both"/>
        <w:rPr>
          <w:color w:val="0070C0"/>
          <w:sz w:val="16"/>
          <w:szCs w:val="16"/>
        </w:rPr>
      </w:pPr>
    </w:p>
    <w:p w14:paraId="2A7A316E"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немецкая 12-я армия предпринимает попытку контрнаступления на берлинском направлении с запада (15109).</w:t>
      </w:r>
    </w:p>
    <w:p w14:paraId="2CC71337" w14:textId="77777777" w:rsidR="00F77ACE" w:rsidRPr="00F90EAE" w:rsidRDefault="00F77ACE" w:rsidP="00F90EAE">
      <w:pPr>
        <w:jc w:val="both"/>
        <w:rPr>
          <w:color w:val="000000" w:themeColor="text1"/>
          <w:sz w:val="16"/>
          <w:szCs w:val="16"/>
        </w:rPr>
      </w:pPr>
    </w:p>
    <w:p w14:paraId="6C38FF0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апреля 1945 Генрих Гиммлер предложил Англии и США безоговорочную капитуляцию германских войск на западном фронте в обмен на продолжение войны с СССР (4962).</w:t>
      </w:r>
    </w:p>
    <w:p w14:paraId="619D2F9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636E780" w14:textId="77777777" w:rsidR="00F77ACE" w:rsidRPr="00F90EAE" w:rsidRDefault="00F77ACE" w:rsidP="00F90EAE">
      <w:pPr>
        <w:jc w:val="both"/>
        <w:rPr>
          <w:color w:val="000000" w:themeColor="text1"/>
          <w:sz w:val="16"/>
          <w:szCs w:val="16"/>
        </w:rPr>
      </w:pPr>
      <w:r w:rsidRPr="00F90EAE">
        <w:rPr>
          <w:color w:val="000000" w:themeColor="text1"/>
          <w:sz w:val="16"/>
          <w:szCs w:val="16"/>
        </w:rPr>
        <w:t>24 апреля в 1945 году министр иностранных дел Швеции Х.Гюнтер сообщил послам США и Великобритании о предложении Генриха Гиммлера прекратить сопротивление на западном фронте в обмен на продолжение войны с СССР (15109).</w:t>
      </w:r>
    </w:p>
    <w:p w14:paraId="635C162E" w14:textId="77777777" w:rsidR="00F77ACE" w:rsidRPr="00F90EAE" w:rsidRDefault="00F77ACE" w:rsidP="00F90EAE">
      <w:pPr>
        <w:jc w:val="both"/>
        <w:rPr>
          <w:color w:val="000000" w:themeColor="text1"/>
          <w:sz w:val="16"/>
          <w:szCs w:val="16"/>
        </w:rPr>
      </w:pPr>
    </w:p>
    <w:p w14:paraId="5ECBC62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апреля 1945 Гитлер приказал арестовать Геринга (4962).</w:t>
      </w:r>
    </w:p>
    <w:p w14:paraId="4A7D2E5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F67A29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апреля 1945 итальянские коммунисты подняли антифашистское восстание в Северной Италии (4962).</w:t>
      </w:r>
    </w:p>
    <w:p w14:paraId="05D52C5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E11A8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Г.Гимлер безуспешно пытался через шведского дипломата Фольке Бернадотта предложить Великобритании и США безоговорочную капитуляцию на ЗФ с тем, чтобы продолжить сопротивление на востоке (3263,198).</w:t>
      </w:r>
    </w:p>
    <w:p w14:paraId="66688390" w14:textId="77777777" w:rsidR="00665165" w:rsidRPr="00F90EAE" w:rsidRDefault="00665165" w:rsidP="00F90EAE">
      <w:pPr>
        <w:autoSpaceDE w:val="0"/>
        <w:autoSpaceDN w:val="0"/>
        <w:adjustRightInd w:val="0"/>
        <w:jc w:val="both"/>
        <w:rPr>
          <w:color w:val="000000" w:themeColor="text1"/>
          <w:sz w:val="16"/>
          <w:szCs w:val="16"/>
        </w:rPr>
      </w:pPr>
    </w:p>
    <w:p w14:paraId="528C15C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24th, 1945: In the West, the US Seventh Army (Patch) crosses the Danube at Dillingen and captures Ulm. In the battle of Berlin, the Soviet armies are tightening their grip and are slowly advancing toward the center of the city (3819).</w:t>
      </w:r>
    </w:p>
    <w:p w14:paraId="632C9E21" w14:textId="77777777" w:rsidR="00665165" w:rsidRPr="00F90EAE" w:rsidRDefault="00665165" w:rsidP="00F90EAE">
      <w:pPr>
        <w:autoSpaceDE w:val="0"/>
        <w:autoSpaceDN w:val="0"/>
        <w:adjustRightInd w:val="0"/>
        <w:jc w:val="both"/>
        <w:rPr>
          <w:color w:val="000000" w:themeColor="text1"/>
          <w:sz w:val="16"/>
          <w:szCs w:val="16"/>
          <w:lang w:val="en-US"/>
        </w:rPr>
      </w:pPr>
    </w:p>
    <w:p w14:paraId="41BB37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апреля 1945 7А США форсировала Дунай у Диллингена и заняла Ульм (3819).</w:t>
      </w:r>
    </w:p>
    <w:p w14:paraId="46425A60" w14:textId="77777777" w:rsidR="00665165" w:rsidRPr="00F90EAE" w:rsidRDefault="00665165" w:rsidP="00F90EAE">
      <w:pPr>
        <w:autoSpaceDE w:val="0"/>
        <w:autoSpaceDN w:val="0"/>
        <w:adjustRightInd w:val="0"/>
        <w:jc w:val="both"/>
        <w:rPr>
          <w:color w:val="000000" w:themeColor="text1"/>
          <w:sz w:val="16"/>
          <w:szCs w:val="16"/>
        </w:rPr>
      </w:pPr>
    </w:p>
    <w:p w14:paraId="7A91F87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CF56357" w14:textId="77777777" w:rsidR="00665165" w:rsidRPr="00F90EAE" w:rsidRDefault="00665165" w:rsidP="00F90EAE">
      <w:pPr>
        <w:autoSpaceDE w:val="0"/>
        <w:autoSpaceDN w:val="0"/>
        <w:adjustRightInd w:val="0"/>
        <w:jc w:val="both"/>
        <w:rPr>
          <w:iCs/>
          <w:color w:val="000000" w:themeColor="text1"/>
          <w:sz w:val="16"/>
          <w:szCs w:val="16"/>
        </w:rPr>
      </w:pPr>
    </w:p>
    <w:p w14:paraId="7CF0DB57"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25 апреля 1945 генерал-лейтенант Лапин в официальном письме на имя Ильюшина поставил вопрос о необходимости усиления конструкции самолета Ил-10 и перевода его из класса Б (неманевренные самолеты) в класс А (маневренные самолеты). Ильюшин и тогда ничего не ответил.</w:t>
      </w:r>
    </w:p>
    <w:p w14:paraId="3F1B9789" w14:textId="77777777" w:rsidR="004F7EC9" w:rsidRPr="00F90EAE" w:rsidRDefault="004F7EC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Между тем генерал Лапин в своем письме обращал внимание Ильюшина на следующие обстоятельства: «В заключении ЦАГИ № 121 с от 2.02.45 г. по статиспытаниям самолета Ил-10 указано о необходимости повысить прочность самолета Ил-10 до требований норм прочности 1943 г. по классу «А». В последующих заключениях ЦАГИ № 396с от 19.04.45 г. по статическим испытаниям Ил-10, проведенным на заводе № 18, и № 397с от 19.04.45 г. по статическим испытаниям самолета Ил-10, проведенных на заводе № 1, повторно указывается пожелание о повышении прочности самолета Ил-10 до требований норм прочности 1943 года по классу «А». Проведенные заводом № 18 статические испытания крыла самолета Ил-10 с повышенной прочностью, выполненной в соответствии с рекомендациями ЦАГИ, выявили запас прочности, удовлетворяющий по случаю А' требованиям норм прочности как по классу «Б», так и по классу «А» маневренных самолетов». Лапин просил Ильюшина сообщить свое мнение по этому вопросу, а также какие принимаются меры.</w:t>
      </w:r>
    </w:p>
    <w:p w14:paraId="20913139"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Действительно, уже с мая 1945 года в производство на заводах № 1 и № 18 было внедрено усиленное крыло. Тогда же в строевые части выехали специальные бригады заводов для проведения соответствующих доработок самолетов на местах (17490).</w:t>
      </w:r>
    </w:p>
    <w:p w14:paraId="7D1A11FF" w14:textId="77777777" w:rsidR="004F7EC9" w:rsidRPr="00F90EAE" w:rsidRDefault="004F7EC9" w:rsidP="00F90EAE">
      <w:pPr>
        <w:jc w:val="both"/>
        <w:rPr>
          <w:rStyle w:val="107"/>
          <w:rFonts w:eastAsiaTheme="minorHAnsi"/>
          <w:color w:val="000000" w:themeColor="text1"/>
          <w:sz w:val="16"/>
          <w:szCs w:val="16"/>
        </w:rPr>
      </w:pPr>
    </w:p>
    <w:p w14:paraId="6C316F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на Пе-2М В.М.М. в полете на высоте 4500 м загорелся правый двигатель. Летчик-испытатель А. Пальчиков сумел посадить машину на аэродром и вместе с ведущим инженером Н.Лашкевичем ликвидировать пожар (3337).</w:t>
      </w:r>
    </w:p>
    <w:p w14:paraId="3FA1ABE7" w14:textId="77777777" w:rsidR="00665165" w:rsidRPr="00F90EAE" w:rsidRDefault="00665165" w:rsidP="00F90EAE">
      <w:pPr>
        <w:autoSpaceDE w:val="0"/>
        <w:autoSpaceDN w:val="0"/>
        <w:adjustRightInd w:val="0"/>
        <w:jc w:val="both"/>
        <w:rPr>
          <w:color w:val="000000" w:themeColor="text1"/>
          <w:sz w:val="16"/>
          <w:szCs w:val="16"/>
        </w:rPr>
      </w:pPr>
    </w:p>
    <w:p w14:paraId="384C8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построили второй ДБ-I-108, который-то, и получил обозначение ДБ-П-108. На нем продолжили летные испытания. Однако в связи с требованием ВВС об установке полностью электрифицированных стрелковых установок, не выпускавшихся отечественной промышленностью, в 1945 г. все работы по ДБ "Москито" прекратили. Самолет ДБ-1-108 послужил основой для многочисленных проектов, последним из которых стал ДБ-П-108 с носовой кабиной штурмана, предложенный ВВС в мае 1945 г. (3337).</w:t>
      </w:r>
    </w:p>
    <w:p w14:paraId="6BED31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ДБ-II-108 В.М.М. произошла катастрофа. В этот день у заводского летчика-испытателя А.Г.Васильченко на высоте 1500 м сорвало крышку капота левого двигателя и оттуда вырвалось пламя. Васильченко решил увеличить скорость захода на посадку и тем самым спасти машину. Но случилось непредвиденное: перед "ДБ" неожиданно появился заходящий на посадку Пе-2. Пытаясь уклониться от столкновения, "ДБ" задел правой консолью жилой дом и упал, не долетев до аэродрома. В результате катастрофы был потерян не только самолет, но и погибли ведущий инженер Л.Дьяконов и трое гражданских лиц, среди них - двоих детей.</w:t>
      </w:r>
    </w:p>
    <w:p w14:paraId="058D561A" w14:textId="77777777" w:rsidR="00665165" w:rsidRPr="00F90EAE" w:rsidRDefault="00665165" w:rsidP="00F90EAE">
      <w:pPr>
        <w:autoSpaceDE w:val="0"/>
        <w:autoSpaceDN w:val="0"/>
        <w:adjustRightInd w:val="0"/>
        <w:jc w:val="both"/>
        <w:rPr>
          <w:color w:val="000000" w:themeColor="text1"/>
          <w:sz w:val="16"/>
          <w:szCs w:val="16"/>
        </w:rPr>
      </w:pPr>
    </w:p>
    <w:p w14:paraId="1A2CC5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1944 по</w:t>
      </w:r>
      <w:r w:rsidRPr="00F90EAE">
        <w:rPr>
          <w:color w:val="000000" w:themeColor="text1"/>
          <w:sz w:val="16"/>
          <w:szCs w:val="16"/>
        </w:rPr>
        <w:softHyphen/>
        <w:t>строили вторую машину. На ней-то, получившей обо</w:t>
      </w:r>
      <w:r w:rsidRPr="00F90EAE">
        <w:rPr>
          <w:color w:val="000000" w:themeColor="text1"/>
          <w:sz w:val="16"/>
          <w:szCs w:val="16"/>
        </w:rPr>
        <w:softHyphen/>
        <w:t>значение ДБ-П-108, и продолжили летные испытания. Однако в связи с требованием ВВС об установке пол</w:t>
      </w:r>
      <w:r w:rsidRPr="00F90EAE">
        <w:rPr>
          <w:color w:val="000000" w:themeColor="text1"/>
          <w:sz w:val="16"/>
          <w:szCs w:val="16"/>
        </w:rPr>
        <w:softHyphen/>
        <w:t>ностью электрифицированных стрелковых установок, не выпускавшихся отечественной промышленностью, в 1945 году все работы по «ДБ» «Москито» прекратили. Самолет ДБ-И 08 послужил основой для многочис</w:t>
      </w:r>
      <w:r w:rsidRPr="00F90EAE">
        <w:rPr>
          <w:color w:val="000000" w:themeColor="text1"/>
          <w:sz w:val="16"/>
          <w:szCs w:val="16"/>
        </w:rPr>
        <w:softHyphen/>
        <w:t>ленных проектов, последним из которых стал ДБ-1\/-108 с носовой кабиной штурмана, предложенный ВВС в мае 1945 года (11446).</w:t>
      </w:r>
    </w:p>
    <w:p w14:paraId="42A30B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F991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года закончились войсковые испытания сорока машин Як-9ДД первых двух серий, проходивших в 368-м иап (командир М.К. Жулин) 334-й иад 6-го бомбардировочного авиакорпуса с 9 марта.</w:t>
      </w:r>
    </w:p>
    <w:p w14:paraId="18511F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"Войсковые испытания, - писал ведущий инженер НИИ ВВС А.Т. Степанец, -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предъявлявшимся к истребителям сопровождения такого скоростного бомбардировщика, как Ту-2 по следующим причинам:</w:t>
      </w:r>
    </w:p>
    <w:p w14:paraId="7B258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отражения атак противника. Для устранения этого недостатка Як-9ДД, как истребителя сопровождения, необходимо было улучшить его аэродинамику по типу Як-9У и Як-3 и установить на нем более мощный двигатель, например М-105ПФ2, но этот двигатель обладал недостаточной, по сравнению с двигателями Ту-2, высотностью.</w:t>
      </w:r>
    </w:p>
    <w:p w14:paraId="6A6F9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Заниженная скороподъемность и недостаточная маневренность, особенно при полной полетной массе.</w:t>
      </w:r>
    </w:p>
    <w:p w14:paraId="56A1A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Ухудшившаяся живучесть из-за установки центропланного бензобака (90 литров) под ногами летчика и отсутствия протекторов на крайних консольных бензобаках. Живучесть самолета ухудшилась и вследствие большой площади поражения восьми бензобаков в крыле.</w:t>
      </w:r>
    </w:p>
    <w:p w14:paraId="11C1AC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Большая полетная масса, большой разнос масс, а также малая мощность двигателя являлись главными причинами ухудшения летно-пилотажных и маневренных качеств Як-9ДД. Поэтому летчики относились к Як-9ДД сдержанно, называя его между собой "летающая цистерна" (12046).</w:t>
      </w:r>
    </w:p>
    <w:p w14:paraId="4DFDA188" w14:textId="77777777" w:rsidR="00665165" w:rsidRPr="00F90EAE" w:rsidRDefault="00665165" w:rsidP="00F90EAE">
      <w:pPr>
        <w:autoSpaceDE w:val="0"/>
        <w:autoSpaceDN w:val="0"/>
        <w:adjustRightInd w:val="0"/>
        <w:jc w:val="both"/>
        <w:rPr>
          <w:color w:val="000000" w:themeColor="text1"/>
          <w:sz w:val="16"/>
          <w:szCs w:val="16"/>
        </w:rPr>
      </w:pPr>
    </w:p>
    <w:p w14:paraId="162AB806"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завершились войсковые испытания (начало 9 марта) «Як-9ДД». Войсковые испытания на боевое применение проводились в 368-ом истребительном авиационном полку (командир - майор А.Г.Жулин) 334-й истребительной авиационной дивизии 6-го бомбардировочного авиационного корпуса) 3-й Воздушной Армии. Всего проходило испытания 40 «Як-9ДД» 1-й и 2-й серий выпуска мая - августа 1944 г. Войсковые испытания в 368-м истребительном авиационном полкуп проходили в период ликвидации группировок противника в Восточной Пруссии и проведения наступательных операций в центральной Германии на города Штеттин и Берлин. Воздушные бои приходилось вести преимущественно с «FW-190». «Як-9ДД» использовались в основном для сопровождения бомбардировщиков «Пе-2» и «Ту-2», действовавших на малых высотах по переднему краю обороны противника, и поэтому не могли полностью проявить себя. В частности, они не вполне удовлетворяли требованиям, предъявляемым к истребителям сопровождения такого скоростного бомбардировщика, как «Ту-2» по следующим причинам: Относительно малая максимальная скорость. При полете «Ту-2» на максимальной скорости «Як-9ДД» не имели необходимого преимущества (на 25...30%) для совместных действий, особенно в моменты ухода «Ту-2» от цели и отражения атак противника.Для устранения этого недостатка «Як-9ДД» как истребителя сопровождения необходимо было улучшить его аэродинамику по типу «Як-9У» и «Як-З» и установить на нем более мощный двигатель,например «М-105ПФ2», но этот двигатель обладал недостаточной по сравнению с двигателями «Ту-2» высотностью (15110).</w:t>
      </w:r>
    </w:p>
    <w:p w14:paraId="7FE27AF1" w14:textId="77777777" w:rsidR="00B307A0" w:rsidRPr="00F90EAE" w:rsidRDefault="00B307A0" w:rsidP="00F90EAE">
      <w:pPr>
        <w:jc w:val="both"/>
        <w:rPr>
          <w:color w:val="000000" w:themeColor="text1"/>
          <w:sz w:val="16"/>
          <w:szCs w:val="16"/>
        </w:rPr>
      </w:pPr>
    </w:p>
    <w:p w14:paraId="2E937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года закончились государственные испытания Як-3Т, которые шли с 17 февраля. К мотор-пушке Н-37 в процессе испытаний практически не было претензий. Механизмы орудия работали надежно. Позитивную роль сыграло уменьшение силы отдачи. При стрельбе очередью изтрех-четырех снарядов наводка не сбивалась, позволяя вести прицельную стрельбу очередями. Синхронные установки Б-20С тоже работали надежно, но их проверка не завершилась ввиду поломки лафета. Летные характеристики, полученные в НИИ ВВС, оказались ниже, чем при заводских испытаниях. Максимальная скорость, зафиксированная у земли, не превышала 560 км/ч, а на высоте 4100 метров - 629 км/ч. Серьезный дефект машины - отсос щитков шасси в полете, свойственный серийным "якам" сохранился и на Як-ЗТ. Однако основной причиной снятия самолета с испытаний все же был сильный выброс масла. Изменением схемы дренажа маслобака (в испытаниях имел место большой перерыв для доводки маслосистемы с 23 февраля по 7 апреля 1945 года) не удалось устранить данное явление полностью, добились лишь снижения выброса масла до четырех- шести литров в час.</w:t>
      </w:r>
    </w:p>
    <w:p w14:paraId="6AFC1C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в ОКБ занимались доводкой машины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64D94CC4" w14:textId="77777777" w:rsidR="00665165" w:rsidRPr="00F90EAE" w:rsidRDefault="00665165" w:rsidP="00F90EAE">
      <w:pPr>
        <w:autoSpaceDE w:val="0"/>
        <w:autoSpaceDN w:val="0"/>
        <w:adjustRightInd w:val="0"/>
        <w:jc w:val="both"/>
        <w:rPr>
          <w:color w:val="000000" w:themeColor="text1"/>
          <w:sz w:val="16"/>
          <w:szCs w:val="16"/>
        </w:rPr>
      </w:pPr>
    </w:p>
    <w:p w14:paraId="7F62D68A"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 25 по 29 апреля 1945 г. были осуществлены полеты на БИ № 9. Цифру «9» на его киле по какой-то причине пере красили в цифру «6», и самолет получил в дальнейшем обо значение БИ № 6 взамен ушедшего на испытания в ЦАГИ «настоящего» БИ № 6. Летчики М.А. Байкалов и Б.Н. Кудрин провели испытания этого самолета с максималь но возможной нагрузкой на крыло (взлетная масса была доведена с 872 до 1300 кг) на всех скоростях в диапазоне ве 220...36О км/ч.</w:t>
      </w:r>
    </w:p>
    <w:p w14:paraId="0DCD5616"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Следы самолета БИ № 8 в архивах не были обнаружены. Судьба этого самолета сегодня не известна.</w:t>
      </w:r>
    </w:p>
    <w:p w14:paraId="196C377A"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общей сложности на самолетах БИ было осуществлено 12 полетов.</w:t>
      </w:r>
    </w:p>
    <w:p w14:paraId="6799009C"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Было сделано семь полетов с двигателем Д-1А-1100 кон струкции Л.С. Душкина, два полета с двигателем РД-1 кон струкции A.M. Исаева и три полета с ПВРД. В испытаниях нашего первого ракетного самолета принимали участие Г.Я. Бахчиванджи, К.А. Груздев, Б.Н. Кудрин и М.А. Байкалов.</w:t>
      </w:r>
    </w:p>
    <w:p w14:paraId="73B950D6"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заключение о самолете БИ надо подчеркнуть тот факт, что программу испытаний «ближнего истребителя» так до конца завершить не удалось, но результаты испытательных полетов дали возможность сделать один немаловажный вы вод, что самолет БИ с ЖРД летать может (19586).</w:t>
      </w:r>
    </w:p>
    <w:p w14:paraId="275F1EB9" w14:textId="77777777" w:rsidR="00A278CB" w:rsidRPr="00F90EAE" w:rsidRDefault="00A278CB" w:rsidP="00F90EAE">
      <w:pPr>
        <w:pStyle w:val="ae"/>
        <w:shd w:val="clear" w:color="auto" w:fill="FFFFFF"/>
        <w:spacing w:before="0" w:after="0"/>
        <w:jc w:val="both"/>
        <w:rPr>
          <w:color w:val="000000" w:themeColor="text1"/>
          <w:sz w:val="16"/>
          <w:szCs w:val="16"/>
        </w:rPr>
      </w:pPr>
    </w:p>
    <w:p w14:paraId="072A78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А.И.Ш. писал письмо N Н-22/1927 в ГКО ГМ.М.:</w:t>
      </w:r>
    </w:p>
    <w:p w14:paraId="035014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о ходе испытаний самолетов-снарядов.</w:t>
      </w:r>
    </w:p>
    <w:p w14:paraId="32327C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самолетов-снарядов начались 20 марта с.г. На 18 апреля 1945 было сброшено с самолета Пе-8 пятнадцать самолетов-снарядов... Тов. Залесскому отправлено до сего времени 37 экз. самолетов-снарядов и необходимое количество запасных решеток с клапанами 0.2 мм, автопилотов, автоматов питания и редукторов, проверенных на заводах 51 и 122.</w:t>
      </w:r>
    </w:p>
    <w:p w14:paraId="55E336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Следующий этап испытаний, к которому т. Залесский приступил, это испытания на дальность полета и определение рассеивания с одновременным испытанием работы взрывателей.</w:t>
      </w:r>
    </w:p>
    <w:p w14:paraId="08AAF4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возможности использования самолета Ер-2 в качестве буксировщика самолетов-снарядов, заводом 51 был оборудован самолет Пе-02 подвеской для самолетов-снарядов и отправлен т. Залесскому, куда прибыл 14 апреля 1945.</w:t>
      </w:r>
    </w:p>
    <w:p w14:paraId="21622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ускорения испытаний к т. Залесскому направляется второй самолет Пе-8, оборудованный подвеской и третий самолет Пе-8 оборудуется на заводе 84 в г. Ташкенте" (1873,291).</w:t>
      </w:r>
    </w:p>
    <w:p w14:paraId="4E069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о ходе испытаний самолетов-снарядов.</w:t>
      </w:r>
    </w:p>
    <w:p w14:paraId="6D8EE2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самолетов-снарядов начались 20 марта с.г. На 18 апреля 1945 было сброшено с самолета Пе-8 пятнадцать самолетов-снарядов.</w:t>
      </w:r>
    </w:p>
    <w:p w14:paraId="1D9685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марта был сделан первый сброс. Самолёт-снаряд, отцеп</w:t>
      </w:r>
      <w:r w:rsidRPr="00F90EAE">
        <w:rPr>
          <w:color w:val="000000" w:themeColor="text1"/>
          <w:sz w:val="16"/>
          <w:szCs w:val="16"/>
        </w:rPr>
        <w:softHyphen/>
        <w:t>ленный от самолёта Пе-8 на высоте 700 метров, устойчиво про</w:t>
      </w:r>
      <w:r w:rsidRPr="00F90EAE">
        <w:rPr>
          <w:color w:val="000000" w:themeColor="text1"/>
          <w:sz w:val="16"/>
          <w:szCs w:val="16"/>
        </w:rPr>
        <w:softHyphen/>
        <w:t xml:space="preserve">шёл </w:t>
      </w:r>
      <w:r w:rsidRPr="00F90EAE">
        <w:rPr>
          <w:iCs/>
          <w:color w:val="000000" w:themeColor="text1"/>
          <w:sz w:val="16"/>
          <w:szCs w:val="16"/>
        </w:rPr>
        <w:t>22 киломе</w:t>
      </w:r>
      <w:r w:rsidRPr="00F90EAE">
        <w:rPr>
          <w:color w:val="000000" w:themeColor="text1"/>
          <w:sz w:val="16"/>
          <w:szCs w:val="16"/>
        </w:rPr>
        <w:t>тра» при эаданеых 20 километрах, хоропо сохраняя курс.</w:t>
      </w:r>
    </w:p>
    <w:p w14:paraId="329336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марта, после отцепки от Пе-8, самолет-снаряд сразу перешел в крутое пикирование и пролетел всего 3 километра. Предполагается, гзто заглох двигатель»</w:t>
      </w:r>
    </w:p>
    <w:p w14:paraId="549557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 марта самолёт-снаряд после отцепки сразу перешел в пи кирование и упал.</w:t>
      </w:r>
    </w:p>
    <w:p w14:paraId="0057D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25 марта по 4 апреля был период нелётной погода из-за сильных дождей и буранов.</w:t>
      </w:r>
    </w:p>
    <w:p w14:paraId="453E04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апреля самолёт-снаряд был отцеплен от самолёта Пе-8 на высоте 1000 метров на скорости Пе-8 - 365 км/час. Самолёт-снаряд пролетел 62 километра при задашх 70 километрах.</w:t>
      </w:r>
    </w:p>
    <w:p w14:paraId="7749B3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выявлением трудности запуска реактивного двигателя самолёта-снаряда в полёте, оказалось необходимой замена клапанов решетки двигателя толщиной 0,25 ммна более тонкие - 0,2 мм.</w:t>
      </w:r>
    </w:p>
    <w:p w14:paraId="6188D3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6-го апреля было произведено два сброса.</w:t>
      </w:r>
    </w:p>
    <w:p w14:paraId="59197E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Самолет-снаряд в первом случае прошёл 160 километров при заданных 150 км, а во втором случае, будучи выпущен с полной зарядкой бензина, прошёл 213 км вместо расчетных 240 км.</w:t>
      </w:r>
    </w:p>
    <w:p w14:paraId="422132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Работа двигателя и автопилота была хорошая. Самолёты-снаряды летели со скоростью более 475 км/час по прибору сопровождающих их самолетов Ла-5, которые от них отстали. В конце полёта самолёт-снаряд отклонился от курса на 10 градусов.</w:t>
      </w:r>
    </w:p>
    <w:p w14:paraId="0E9062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апрели самоелт-снаряд, будучи отпплен на высоте 1000 метров при скорости 350 км/час, пошёл со снижением с постоянно уменьшающейся скоростью и пролетел всего 30 .км вместо заданных 83 км. Предполагается, что падение скорости самолета-снаряда произошло из-за уменьшения- тяги двигателя вследствже неисправной работа автомата питания или редук</w:t>
      </w:r>
      <w:r w:rsidRPr="00F90EAE">
        <w:rPr>
          <w:color w:val="000000" w:themeColor="text1"/>
          <w:sz w:val="16"/>
          <w:szCs w:val="16"/>
        </w:rPr>
        <w:softHyphen/>
        <w:t>тора воздуха.</w:t>
      </w:r>
    </w:p>
    <w:p w14:paraId="54196E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апреля полет оказался неудовлетворительным. Самолёт-снаряд после отцепка прошёл, только 9 км, вместо задашшх 150 км.</w:t>
      </w:r>
    </w:p>
    <w:p w14:paraId="6EBDC9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апреля саколет-снаряд пролетел 112 км</w:t>
      </w:r>
      <w:r w:rsidRPr="00F90EAE">
        <w:rPr>
          <w:smallCaps/>
          <w:color w:val="000000" w:themeColor="text1"/>
          <w:sz w:val="16"/>
          <w:szCs w:val="16"/>
        </w:rPr>
        <w:t xml:space="preserve"> и</w:t>
      </w:r>
      <w:r w:rsidRPr="00F90EAE">
        <w:rPr>
          <w:color w:val="000000" w:themeColor="text1"/>
          <w:sz w:val="16"/>
          <w:szCs w:val="16"/>
        </w:rPr>
        <w:t xml:space="preserve"> упал после полного израсходования горючего. Отклонение от курса соста</w:t>
      </w:r>
      <w:r w:rsidRPr="00F90EAE">
        <w:rPr>
          <w:color w:val="000000" w:themeColor="text1"/>
          <w:sz w:val="16"/>
          <w:szCs w:val="16"/>
        </w:rPr>
        <w:softHyphen/>
        <w:t>вило 6,5 градусов.</w:t>
      </w:r>
    </w:p>
    <w:p w14:paraId="01E08C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этом полёте тяга двигателя по-видшому, была ведостаточной, так как самолет-снаряд летел со скоростью всего 370 км/час.</w:t>
      </w:r>
    </w:p>
    <w:p w14:paraId="1E82A7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11 апреля самолёт-снаряд был сброшен по ошибке экспе</w:t>
      </w:r>
      <w:r w:rsidRPr="00F90EAE">
        <w:rPr>
          <w:color w:val="000000" w:themeColor="text1"/>
          <w:sz w:val="16"/>
          <w:szCs w:val="16"/>
        </w:rPr>
        <w:softHyphen/>
        <w:t>риментаторов неудачно.</w:t>
      </w:r>
    </w:p>
    <w:p w14:paraId="155E49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апреля самолет-снаряд после отцепки от самолета Пе-8 на высоте 1000 метров при скорости 350 км/час, вышел на заданную высоту 1250 метров и полетел на скорости 480 км/чаес. Через 6 минут полёта скорость самолета-снаряда и высота полёта нача</w:t>
      </w:r>
      <w:r w:rsidRPr="00F90EAE">
        <w:rPr>
          <w:color w:val="000000" w:themeColor="text1"/>
          <w:sz w:val="16"/>
          <w:szCs w:val="16"/>
        </w:rPr>
        <w:softHyphen/>
        <w:t>ли умешньшаться. Через 9 швут скорость упала до 300 км/час и самолёт-снаряд, войдя в</w:t>
      </w:r>
      <w:r w:rsidRPr="00F90EAE">
        <w:rPr>
          <w:smallCaps/>
          <w:color w:val="000000" w:themeColor="text1"/>
          <w:sz w:val="16"/>
          <w:szCs w:val="16"/>
        </w:rPr>
        <w:t xml:space="preserve"> пикирование,</w:t>
      </w:r>
      <w:r w:rsidRPr="00F90EAE">
        <w:rPr>
          <w:color w:val="000000" w:themeColor="text1"/>
          <w:sz w:val="16"/>
          <w:szCs w:val="16"/>
        </w:rPr>
        <w:t xml:space="preserve"> упал, пролетев с отклонением от курса в 22,5° вместо заданннх 150 км всего 65-70 км.</w:t>
      </w:r>
    </w:p>
    <w:p w14:paraId="5D38C3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апреля отцепка была произведена на высоте 300 метров на скорости 320 км/час при сильной болтанке. Самолёт-снаряд прошёл при сильных колебаниях всего 40 км с отклонением от курса на 2 градуса влево.</w:t>
      </w:r>
    </w:p>
    <w:p w14:paraId="65B3A2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апреля попутно начались испытания для отработки взрывателя. Первый полет оказался неудачным. При отпепке самолета снаряда тросс, выдергивающий чеку взрывателей, зацепился за стыковой болт самолёта-снаряда, вследствие чего последний при сбросе получил большой крен и угол атаки. Самолёт-снаряд не смор выровняться и сделав два круга на вираже врезался в землю.</w:t>
      </w:r>
    </w:p>
    <w:p w14:paraId="377F98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апреля самолёт-снаряд после отцепки на скорости 335 км/час на ввсоте 1300 метров выдерживал заданную ему траек</w:t>
      </w:r>
      <w:r w:rsidRPr="00F90EAE">
        <w:rPr>
          <w:color w:val="000000" w:themeColor="text1"/>
          <w:sz w:val="16"/>
          <w:szCs w:val="16"/>
        </w:rPr>
        <w:softHyphen/>
        <w:t>торию и пролетел 140 км на скорости 486 км/час, израсходовав всё залитое горюче. Отклонение от курса 1 градус влево.</w:t>
      </w:r>
    </w:p>
    <w:p w14:paraId="351A82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апреля самолёт-снаряд после отцепки от самолёта Пе-8 на высоте 1060 метров на скорости 335 км/час сразу же перешёл в пике иутал. Предполагается, что преждевременно сработал автомат переводе в пикирование.</w:t>
      </w:r>
    </w:p>
    <w:p w14:paraId="55114B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сброшено 16 еамолётов-снярвдов: из которых 6 поле</w:t>
      </w:r>
      <w:r w:rsidRPr="00F90EAE">
        <w:rPr>
          <w:color w:val="000000" w:themeColor="text1"/>
          <w:sz w:val="16"/>
          <w:szCs w:val="16"/>
        </w:rPr>
        <w:softHyphen/>
        <w:t>тов оказалась вполне удовлетворительными.</w:t>
      </w:r>
    </w:p>
    <w:p w14:paraId="137FBE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Этими полетами был закончен перий этап испытания самолетов-снарядов, имевшие целью проверить будут ли работать в условиях самостоятельного полета двигатель и автоматика самолёта-снаряда, обеспечат ли подобранные параметры регулировки автоматики, возможность полета самолета-снарядаа, какие из агрегатов его требуют доработки.</w:t>
      </w:r>
    </w:p>
    <w:p w14:paraId="26BCD4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прореденных испытаний установлено, что все агрегаты самолёта-спаряда; как-то: двигатель, автовшт питания, автопилот и т.д. в полёте работают и могут обеспечить полет самолета-снаряда по расчитанной траектории, т.е. установлено, что конструктивное выполнение агрегатов и уставов ленные рас четом параметре их регулировки, принципиально выбраны правильно.</w:t>
      </w:r>
    </w:p>
    <w:p w14:paraId="35433A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проведении испытаний встретились трудности, вытекающие изнеобходвмости: обучения, в процессе испытания, самих акспериментаторов, устранения в ходе испытания дефектов, связанных с производственным изготовлением опытной партии самолётов-снарядов и их агрегатов, и, наконец, вследствие необхо</w:t>
      </w:r>
      <w:r w:rsidRPr="00F90EAE">
        <w:rPr>
          <w:color w:val="000000" w:themeColor="text1"/>
          <w:sz w:val="16"/>
          <w:szCs w:val="16"/>
        </w:rPr>
        <w:softHyphen/>
        <w:t>димости создания методов и аппаратура для контроая работы агрегатов самолёта-снаряда и определения причин их неисправ</w:t>
      </w:r>
      <w:r w:rsidRPr="00F90EAE">
        <w:rPr>
          <w:color w:val="000000" w:themeColor="text1"/>
          <w:sz w:val="16"/>
          <w:szCs w:val="16"/>
        </w:rPr>
        <w:softHyphen/>
        <w:t>ностей.</w:t>
      </w:r>
    </w:p>
    <w:p w14:paraId="6F2596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этих испытаний выявлено, что основнымиде</w:t>
      </w:r>
      <w:r w:rsidRPr="00F90EAE">
        <w:rPr>
          <w:color w:val="000000" w:themeColor="text1"/>
          <w:sz w:val="16"/>
          <w:szCs w:val="16"/>
        </w:rPr>
        <w:softHyphen/>
        <w:t>фектами в рботе агрегатов самолёта-снаряда является:</w:t>
      </w:r>
    </w:p>
    <w:p w14:paraId="100504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недостаточная тяга отдельных экземпляров двигателей и падение тяги по времени полета вследствие неудовлетворительной работы автомата питания и воздушного редуктора;</w:t>
      </w:r>
    </w:p>
    <w:p w14:paraId="2B9744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неудовлетворительная работа электросчётчика пути в ме</w:t>
      </w:r>
      <w:r w:rsidRPr="00F90EAE">
        <w:rPr>
          <w:color w:val="000000" w:themeColor="text1"/>
          <w:sz w:val="16"/>
          <w:szCs w:val="16"/>
        </w:rPr>
        <w:softHyphen/>
        <w:t>ханизма перевода в пикирование, срабатывающих преждевременно;</w:t>
      </w:r>
    </w:p>
    <w:p w14:paraId="6518D8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изучения и устранения этих дефектов на заводе № 51 производятся соответствующие испытания пяти самолётов-снаря</w:t>
      </w:r>
      <w:r w:rsidRPr="00F90EAE">
        <w:rPr>
          <w:color w:val="000000" w:themeColor="text1"/>
          <w:sz w:val="16"/>
          <w:szCs w:val="16"/>
        </w:rPr>
        <w:softHyphen/>
        <w:t>дов в условиях, приближенных к условиям работн в полёте и бу</w:t>
      </w:r>
      <w:r w:rsidRPr="00F90EAE">
        <w:rPr>
          <w:color w:val="000000" w:themeColor="text1"/>
          <w:sz w:val="16"/>
          <w:szCs w:val="16"/>
        </w:rPr>
        <w:softHyphen/>
        <w:t>дут произведена дополнителыные испытания работы двигателя на самолете Пе-2. Резко увелячены требования к качеству изготов</w:t>
      </w:r>
      <w:r w:rsidRPr="00F90EAE">
        <w:rPr>
          <w:color w:val="000000" w:themeColor="text1"/>
          <w:sz w:val="16"/>
          <w:szCs w:val="16"/>
        </w:rPr>
        <w:softHyphen/>
        <w:t>ления и проверке электросчетчиков и других агрегатов.</w:t>
      </w:r>
    </w:p>
    <w:p w14:paraId="053262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Тов. Залеескону отправлено до сего времени 37 экземпляров самолётов-снарядов и необходимое количество запасных решеток с клапанами 0,2 мм,автопилотов, автоматов питания и редукторов, проверенных на заводах №№ 51 и 122.</w:t>
      </w:r>
    </w:p>
    <w:p w14:paraId="78EA36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Следущий этап испнтаний, к которому т.Залесскйй приступил, это испытание на дальность полета и определение рассеива</w:t>
      </w:r>
      <w:r w:rsidRPr="00F90EAE">
        <w:rPr>
          <w:color w:val="000000" w:themeColor="text1"/>
          <w:sz w:val="16"/>
          <w:szCs w:val="16"/>
        </w:rPr>
        <w:softHyphen/>
        <w:t>ния с одновременнвм испытанием работы взрывателей.</w:t>
      </w:r>
    </w:p>
    <w:p w14:paraId="4C48B2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проверки возможности использования самолета Ер-2 в качестве букксировщика самолетовв-снарядов, заводом № 31 бвл оборудован самолет Ер-2 с подвеской для самолётов-снарядов и отправлен т.3алесскому, куда прибыл 14 апреля.</w:t>
      </w:r>
    </w:p>
    <w:p w14:paraId="1BF6B0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ускорения испытаний т. 3алесскоку направляется вто</w:t>
      </w:r>
      <w:r w:rsidRPr="00F90EAE">
        <w:rPr>
          <w:color w:val="000000" w:themeColor="text1"/>
          <w:sz w:val="16"/>
          <w:szCs w:val="16"/>
        </w:rPr>
        <w:softHyphen/>
        <w:t>рой самолет Пе-8, оборудовааннй подвеской и третий самолёт Пе-8 оборудуется на заводе № 84 в г.'Ташкенте (1873,291).</w:t>
      </w:r>
    </w:p>
    <w:p w14:paraId="61DC14D3" w14:textId="77777777" w:rsidR="00665165" w:rsidRPr="00F90EAE" w:rsidRDefault="00665165" w:rsidP="00F90EAE">
      <w:pPr>
        <w:autoSpaceDE w:val="0"/>
        <w:autoSpaceDN w:val="0"/>
        <w:adjustRightInd w:val="0"/>
        <w:jc w:val="both"/>
        <w:rPr>
          <w:color w:val="000000" w:themeColor="text1"/>
          <w:sz w:val="16"/>
          <w:szCs w:val="16"/>
        </w:rPr>
      </w:pPr>
    </w:p>
    <w:p w14:paraId="5317D5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47293BB" w14:textId="77777777" w:rsidR="00665165" w:rsidRPr="00F90EAE" w:rsidRDefault="00665165" w:rsidP="00F90EAE">
      <w:pPr>
        <w:autoSpaceDE w:val="0"/>
        <w:autoSpaceDN w:val="0"/>
        <w:adjustRightInd w:val="0"/>
        <w:jc w:val="both"/>
        <w:rPr>
          <w:iCs/>
          <w:color w:val="000000" w:themeColor="text1"/>
          <w:sz w:val="16"/>
          <w:szCs w:val="16"/>
        </w:rPr>
      </w:pPr>
    </w:p>
    <w:p w14:paraId="4A9A60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1945 г. начальник ТУ ГЕТУ КА инженер-полковникА.И. Благонравов подпи</w:t>
      </w:r>
      <w:r w:rsidRPr="00F90EAE">
        <w:rPr>
          <w:color w:val="000000" w:themeColor="text1"/>
          <w:sz w:val="16"/>
          <w:szCs w:val="16"/>
        </w:rPr>
        <w:softHyphen/>
        <w:t>сал заключение по отчету об испытаниях опытного образца модернизированного тан</w:t>
      </w:r>
      <w:r w:rsidRPr="00F90EAE">
        <w:rPr>
          <w:color w:val="000000" w:themeColor="text1"/>
          <w:sz w:val="16"/>
          <w:szCs w:val="16"/>
        </w:rPr>
        <w:softHyphen/>
        <w:t>ка Т-44(Т-54).</w:t>
      </w:r>
    </w:p>
    <w:p w14:paraId="1F823E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«В связи с тем, что танк Т-54 в этом виде, как он представлен в опытном образце, еще нуждается в дальнейшей доработке в соот</w:t>
      </w:r>
      <w:r w:rsidRPr="00F90EAE">
        <w:rPr>
          <w:iCs/>
          <w:color w:val="000000" w:themeColor="text1"/>
          <w:sz w:val="16"/>
          <w:szCs w:val="16"/>
        </w:rPr>
        <w:softHyphen/>
        <w:t>ветствии с требованиями Военного Совета БТи МВ КА от 14 июня 1944 г. в отношении усиления бронирования (в частности, углов наклона брони), улучшения трансмиссии и ходовой части, необходимо до принятия его на вооружение изготовить еще один опыт</w:t>
      </w:r>
      <w:r w:rsidRPr="00F90EAE">
        <w:rPr>
          <w:iCs/>
          <w:color w:val="000000" w:themeColor="text1"/>
          <w:sz w:val="16"/>
          <w:szCs w:val="16"/>
        </w:rPr>
        <w:softHyphen/>
        <w:t>ный образец, наиболее полно отвечающий упомянутым требованиям.</w:t>
      </w:r>
    </w:p>
    <w:p w14:paraId="62A83E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Отчет комиссии по испытаниям опытно</w:t>
      </w:r>
      <w:r w:rsidRPr="00F90EAE">
        <w:rPr>
          <w:iCs/>
          <w:color w:val="000000" w:themeColor="text1"/>
          <w:sz w:val="16"/>
          <w:szCs w:val="16"/>
        </w:rPr>
        <w:softHyphen/>
        <w:t>го образца модернизированного танка Т-44-100 с замечаниями и предложениями, изло</w:t>
      </w:r>
      <w:r w:rsidRPr="00F90EAE">
        <w:rPr>
          <w:iCs/>
          <w:color w:val="000000" w:themeColor="text1"/>
          <w:sz w:val="16"/>
          <w:szCs w:val="16"/>
        </w:rPr>
        <w:softHyphen/>
        <w:t>женными выше, считаю возможным доло</w:t>
      </w:r>
      <w:r w:rsidRPr="00F90EAE">
        <w:rPr>
          <w:iCs/>
          <w:color w:val="000000" w:themeColor="text1"/>
          <w:sz w:val="16"/>
          <w:szCs w:val="16"/>
        </w:rPr>
        <w:softHyphen/>
        <w:t>жить для утверждения. Благонравов».</w:t>
      </w:r>
    </w:p>
    <w:p w14:paraId="6B6A54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материалов проведенных испытаний нарком танковой промышленно</w:t>
      </w:r>
      <w:r w:rsidRPr="00F90EAE">
        <w:rPr>
          <w:color w:val="000000" w:themeColor="text1"/>
          <w:sz w:val="16"/>
          <w:szCs w:val="16"/>
        </w:rPr>
        <w:softHyphen/>
        <w:t>сти ВА Малышев дал указание директору завода №183 генерал-майору инженерно-танковой службы Ю.Е. Максареву об изго</w:t>
      </w:r>
      <w:r w:rsidRPr="00F90EAE">
        <w:rPr>
          <w:color w:val="000000" w:themeColor="text1"/>
          <w:sz w:val="16"/>
          <w:szCs w:val="16"/>
        </w:rPr>
        <w:softHyphen/>
        <w:t>товлении двух опытных образцов танка Т-54 к июню 1945 г. На одном из танков должна была быть установлена планетарная транс</w:t>
      </w:r>
      <w:r w:rsidRPr="00F90EAE">
        <w:rPr>
          <w:color w:val="000000" w:themeColor="text1"/>
          <w:sz w:val="16"/>
          <w:szCs w:val="16"/>
        </w:rPr>
        <w:softHyphen/>
        <w:t>миссией, на другом — планетарные механиз</w:t>
      </w:r>
      <w:r w:rsidRPr="00F90EAE">
        <w:rPr>
          <w:color w:val="000000" w:themeColor="text1"/>
          <w:sz w:val="16"/>
          <w:szCs w:val="16"/>
        </w:rPr>
        <w:softHyphen/>
        <w:t>мы поворота (ПМП).</w:t>
      </w:r>
    </w:p>
    <w:p w14:paraId="692684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конструкцию нового танка тре</w:t>
      </w:r>
      <w:r w:rsidRPr="00F90EAE">
        <w:rPr>
          <w:color w:val="000000" w:themeColor="text1"/>
          <w:sz w:val="16"/>
          <w:szCs w:val="16"/>
        </w:rPr>
        <w:softHyphen/>
        <w:t>бовалось внести 68 изменений. Однако от</w:t>
      </w:r>
      <w:r w:rsidRPr="00F90EAE">
        <w:rPr>
          <w:color w:val="000000" w:themeColor="text1"/>
          <w:sz w:val="16"/>
          <w:szCs w:val="16"/>
        </w:rPr>
        <w:softHyphen/>
        <w:t>работка чертежей и опытного образца по данным предложениям на заводе № 183 дли</w:t>
      </w:r>
      <w:r w:rsidRPr="00F90EAE">
        <w:rPr>
          <w:color w:val="000000" w:themeColor="text1"/>
          <w:sz w:val="16"/>
          <w:szCs w:val="16"/>
        </w:rPr>
        <w:softHyphen/>
        <w:t>тельное время не производилась (11468).</w:t>
      </w:r>
    </w:p>
    <w:p w14:paraId="05BFD5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7AE734" w14:textId="77777777" w:rsidR="00A278CB" w:rsidRPr="00F90EAE" w:rsidRDefault="00A278CB" w:rsidP="00F90EAE">
      <w:pPr>
        <w:jc w:val="both"/>
        <w:rPr>
          <w:color w:val="000000" w:themeColor="text1"/>
          <w:sz w:val="16"/>
          <w:szCs w:val="16"/>
        </w:rPr>
      </w:pPr>
      <w:r w:rsidRPr="00F90EAE">
        <w:rPr>
          <w:color w:val="000000" w:themeColor="text1"/>
          <w:sz w:val="16"/>
          <w:szCs w:val="16"/>
        </w:rPr>
        <w:t>25 апреля – 3 мая 1945 года на НИБТ Полигоне успешно прошли испытания СУ-86Б. Машина прошла 1004 километра, из её орудия произвели 800 выстрелов. Отмечалось более лёгкое по сравнению с СУ-76М управление, более удобное для обслуживания боевое отделение, а также небольшое увеличение скоростных характеристик. Даже дефект ведущего колеса не омрачил картину — СУ-85Б рекомендовалась к запуску в серию (18098).</w:t>
      </w:r>
    </w:p>
    <w:p w14:paraId="250490C8" w14:textId="77777777" w:rsidR="00A278CB" w:rsidRPr="00F90EAE" w:rsidRDefault="00A278CB" w:rsidP="00F90EAE">
      <w:pPr>
        <w:jc w:val="both"/>
        <w:rPr>
          <w:color w:val="000000" w:themeColor="text1"/>
          <w:sz w:val="16"/>
          <w:szCs w:val="16"/>
        </w:rPr>
      </w:pPr>
    </w:p>
    <w:p w14:paraId="3B3308CC" w14:textId="77777777" w:rsidR="004F7EC9" w:rsidRPr="00F90EAE" w:rsidRDefault="004F7EC9" w:rsidP="00F90EAE">
      <w:pPr>
        <w:shd w:val="clear" w:color="auto" w:fill="FFFFFF"/>
        <w:jc w:val="both"/>
        <w:rPr>
          <w:color w:val="000000" w:themeColor="text1"/>
          <w:sz w:val="16"/>
          <w:szCs w:val="16"/>
        </w:rPr>
      </w:pPr>
      <w:r w:rsidRPr="00F90EAE">
        <w:rPr>
          <w:color w:val="000000" w:themeColor="text1"/>
          <w:sz w:val="16"/>
          <w:szCs w:val="16"/>
        </w:rPr>
        <w:t>25 апреля 1945 числа транспорт SS August Belmont в составе конвоя JW-66, который отправился в Мурманск 16 апреля 1945 года, прибыл на место назначения. В отличие от JW-65, этот конвой потерь не имел. Для изучения в СССР был доставлен Heavy Tank T26E3 с регистрационным номером 30119961. Это была серийная машина, но советские специалисты её обозначили как опытную. Связано это было с тем, что под индексом M26, как уже говорилось, поначалу фигурировал T26E1 (17693).</w:t>
      </w:r>
    </w:p>
    <w:p w14:paraId="2FE5402B" w14:textId="77777777" w:rsidR="004F7EC9" w:rsidRPr="00F90EAE" w:rsidRDefault="004F7EC9" w:rsidP="00F90EAE">
      <w:pPr>
        <w:jc w:val="both"/>
        <w:rPr>
          <w:rStyle w:val="107"/>
          <w:rFonts w:eastAsiaTheme="minorHAnsi"/>
          <w:color w:val="000000" w:themeColor="text1"/>
          <w:sz w:val="16"/>
          <w:szCs w:val="16"/>
        </w:rPr>
      </w:pPr>
    </w:p>
    <w:p w14:paraId="08DB85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На заводе им. А. А. Жданова спущен на воду 12-й ТЩ (10671).</w:t>
      </w:r>
    </w:p>
    <w:p w14:paraId="688DAA88" w14:textId="77777777" w:rsidR="00665165" w:rsidRPr="00F90EAE" w:rsidRDefault="00665165" w:rsidP="00F90EAE">
      <w:pPr>
        <w:autoSpaceDE w:val="0"/>
        <w:autoSpaceDN w:val="0"/>
        <w:adjustRightInd w:val="0"/>
        <w:jc w:val="both"/>
        <w:rPr>
          <w:color w:val="000000" w:themeColor="text1"/>
          <w:sz w:val="16"/>
          <w:szCs w:val="16"/>
        </w:rPr>
      </w:pPr>
    </w:p>
    <w:p w14:paraId="1DD401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95683AB" w14:textId="77777777" w:rsidR="00665165" w:rsidRPr="00F90EAE" w:rsidRDefault="00665165" w:rsidP="00F90EAE">
      <w:pPr>
        <w:autoSpaceDE w:val="0"/>
        <w:autoSpaceDN w:val="0"/>
        <w:adjustRightInd w:val="0"/>
        <w:jc w:val="both"/>
        <w:rPr>
          <w:iCs/>
          <w:color w:val="000000" w:themeColor="text1"/>
          <w:sz w:val="16"/>
          <w:szCs w:val="16"/>
        </w:rPr>
      </w:pPr>
    </w:p>
    <w:p w14:paraId="370621AC" w14:textId="77777777" w:rsidR="00F77ACE" w:rsidRPr="00F90EAE" w:rsidRDefault="00F77ACE" w:rsidP="00F90EAE">
      <w:pPr>
        <w:jc w:val="both"/>
        <w:rPr>
          <w:color w:val="000000" w:themeColor="text1"/>
          <w:sz w:val="16"/>
          <w:szCs w:val="16"/>
        </w:rPr>
      </w:pPr>
      <w:r w:rsidRPr="00F90EAE">
        <w:rPr>
          <w:color w:val="000000" w:themeColor="text1"/>
          <w:sz w:val="16"/>
          <w:szCs w:val="16"/>
        </w:rPr>
        <w:t>25 апреля в 1945 году оперативная сводка Совинформбюро:</w:t>
      </w:r>
    </w:p>
    <w:p w14:paraId="01468234"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3-го Белорусского фронта 25 апреля овладели последним опорным пунктом обороны немцев на Земландском полуострове городом и крепостью Пиллау — крупным портом и военно-морской базой немцев на Балтийском море, а также заняли населённые пункты Лохштадт, Нойхойзер, Химмельрайх, Плантаге, Камстигалл.</w:t>
      </w:r>
    </w:p>
    <w:p w14:paraId="08FDB9A5"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1-го Белорусского фронта перерезали все пути, идущие из Берлина на запад, и 25 апреля соединились северо-западнее Потсдама с войсками 1-го Украинского фронта, завершив, таким образом, полное окружение Берлина.</w:t>
      </w:r>
    </w:p>
    <w:p w14:paraId="08C79DA0" w14:textId="77777777" w:rsidR="00F77ACE" w:rsidRPr="00F90EAE" w:rsidRDefault="00F77ACE" w:rsidP="00F90EAE">
      <w:pPr>
        <w:jc w:val="both"/>
        <w:rPr>
          <w:color w:val="000000" w:themeColor="text1"/>
          <w:sz w:val="16"/>
          <w:szCs w:val="16"/>
        </w:rPr>
      </w:pPr>
      <w:r w:rsidRPr="00F90EAE">
        <w:rPr>
          <w:color w:val="000000" w:themeColor="text1"/>
          <w:sz w:val="16"/>
          <w:szCs w:val="16"/>
        </w:rPr>
        <w:t>В ходе боёв войска 1-го Белорусского фронта овладели городами Эльшталь, Рорбек, Марквардт и заняли пригороды Берлина: Фалькензее, Фалькенхаген, Лагердебериц. Одновременно войска фронта продолжали вести уличные бои в северной, восточной и юго-восточной части Берлина, заняв при этом городские районы Трептов и Бриц. Юго-западнее Франкфурта-на-Одере войска фронта с боем заняли города Мюлльрозе и Фридланд. В боях за 24 апреля войска фронта взяли в плен более 3.500 немецких солдат и офицеров и захватили следующие трофеи: самолётов — 297, полевых орудий — 110, автомашин — 1.130, паровозов — 16, железнодорожных вагонов — 1.311.</w:t>
      </w:r>
    </w:p>
    <w:p w14:paraId="6CF6C852"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1-го Украинского фронта с боями заняли город Кетцин и в юго-западной части Берлина городские районы Лихтерфельде, Целендорф. Севернее города Коттбус войска фронта заняли более 40 населённых пунктов, в том числе город Пейтц и крупные населённые пункты Диссен, Бург, Краусник, Бризен. Северо-западнее Дрездена войска фронта форсировали реку Эльба и на западном берегу реки заняли город РИЗА. В районе Бауцен наши войска отбивали контратаки крупных сил пехоты и танков противника и нанесли ему большой урон. В боях за 24 апреля войска фронта взяли в плен более 3.000 немецких солдат и офицеров и захватили 22 самолёта и 70 полевых орудий.</w:t>
      </w:r>
    </w:p>
    <w:p w14:paraId="526FD508" w14:textId="77777777" w:rsidR="00F77ACE" w:rsidRPr="00F90EAE" w:rsidRDefault="00F77ACE" w:rsidP="00F90EAE">
      <w:pPr>
        <w:jc w:val="both"/>
        <w:rPr>
          <w:color w:val="000000" w:themeColor="text1"/>
          <w:sz w:val="16"/>
          <w:szCs w:val="16"/>
        </w:rPr>
      </w:pPr>
      <w:r w:rsidRPr="00F90EAE">
        <w:rPr>
          <w:color w:val="000000" w:themeColor="text1"/>
          <w:sz w:val="16"/>
          <w:szCs w:val="16"/>
        </w:rPr>
        <w:t>Западнее Берлина войска 1-го Украинского фронта освободили из немецкого плена бывшего премьер-министра Французской республики Эррио.</w:t>
      </w:r>
    </w:p>
    <w:p w14:paraId="274C710B" w14:textId="77777777" w:rsidR="00F77ACE" w:rsidRPr="00F90EAE" w:rsidRDefault="00F77ACE" w:rsidP="00F90EAE">
      <w:pPr>
        <w:jc w:val="both"/>
        <w:rPr>
          <w:color w:val="000000" w:themeColor="text1"/>
          <w:sz w:val="16"/>
          <w:szCs w:val="16"/>
        </w:rPr>
      </w:pPr>
      <w:r w:rsidRPr="00F90EAE">
        <w:rPr>
          <w:color w:val="000000" w:themeColor="text1"/>
          <w:sz w:val="16"/>
          <w:szCs w:val="16"/>
        </w:rPr>
        <w:lastRenderedPageBreak/>
        <w:t>На территории Чехословакии северо-западнее города Годонина войска 2-го Украинского фронта, продолжая наступление, заняли более 50 населённых пунктов и среди них Милешовице, Лингартскеважани, Блажовице, Тварожна, Лишен, Черновице, Пржизженице, Остоповице, Омице и завязали бой на окраинах города Брно. На аэродроме юго-восточнее Брно войска фронта захватили 18 самолётов противника.</w:t>
      </w:r>
    </w:p>
    <w:p w14:paraId="3A99845E" w14:textId="77777777" w:rsidR="00F77ACE" w:rsidRPr="00F90EAE" w:rsidRDefault="00F77ACE"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2E77EE07" w14:textId="77777777" w:rsidR="00F77ACE" w:rsidRPr="00F90EAE" w:rsidRDefault="00F77ACE" w:rsidP="00F90EAE">
      <w:pPr>
        <w:jc w:val="both"/>
        <w:rPr>
          <w:color w:val="000000" w:themeColor="text1"/>
          <w:sz w:val="16"/>
          <w:szCs w:val="16"/>
        </w:rPr>
      </w:pPr>
      <w:r w:rsidRPr="00F90EAE">
        <w:rPr>
          <w:color w:val="000000" w:themeColor="text1"/>
          <w:sz w:val="16"/>
          <w:szCs w:val="16"/>
        </w:rPr>
        <w:t>За 24 апреля на всех фронтах подбито и уничтожено 76 немецких танков и самоходных орудий. В воздушных боях и огнём зенитной артиллерии сбито 99 самолётов противника.</w:t>
      </w:r>
    </w:p>
    <w:p w14:paraId="49F36141"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3-го Белорусского фронта сегодня овладели городом и крепостью Пиллау. Противник упорно защищал этот последний опорный пункт своей обороны на Земландском полуострове. Развивая наступление, советские части очистили от немцев лесной массив и достигли оборонительного рубежа, построенного в двух-трех километрах от Пиллау. Оборонительный рубеж состоял из противотанкового рва шириною в 6-8 метров и глубиною в 4 метра, нескольких линий траншей, проволочных заграждений и сплошных минных полей. Наши артиллеристы подвергли немецкие позиции ураганному обстрелу. Одновременно советские бомбардировщики и штурмовики нанесли мощные удары с воздуха по укреплениям противника. В результате ожесточенного боя наши войска прорвали вражескую оборону. Не давая гитлеровцам опомниться и организовать сопротивление, гвардейские пехотные и танковые части стремительными ударами с севера и востока ворвались в город Пиллау. Отборные немецкие подразделения засели в каменных домах и сопротивлялись с отчаянием людей, обреченных на гибель. Очищая от гитлеровцев квартал за кварталом, наши бойцы овладели приморской частью Пиллау. К исходу дня войска фронта подавили последние очаги вражеского сопротивления в казармах, в районе верфи и на железнодорожной станции. В боях за Пиллау немцы понесли огромные потери. Захвачено много трофеев и пленных.</w:t>
      </w:r>
    </w:p>
    <w:p w14:paraId="18E6C4DF"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1-го Белорусского фронта развивали успешное наступление. Советские танкисты и пехотинцы овладели городом Науон, расположенным северо-западнее Берлина. Затем наши войска нанесли удар в южном направлении и, продвинувшись вперед на 20 километров, перерезали все пути, идущие из Берлина на запад. Сегодня войска 1-го Белорусского фронта соединились с наступающими с юга войсками 1-го Украинского фронта и полностью окружили Берлин.</w:t>
      </w:r>
    </w:p>
    <w:p w14:paraId="681B52B6" w14:textId="77777777" w:rsidR="00F77ACE" w:rsidRPr="00F90EAE" w:rsidRDefault="00F77ACE" w:rsidP="00F90EAE">
      <w:pPr>
        <w:jc w:val="both"/>
        <w:rPr>
          <w:color w:val="000000" w:themeColor="text1"/>
          <w:sz w:val="16"/>
          <w:szCs w:val="16"/>
        </w:rPr>
      </w:pPr>
      <w:r w:rsidRPr="00F90EAE">
        <w:rPr>
          <w:color w:val="000000" w:themeColor="text1"/>
          <w:sz w:val="16"/>
          <w:szCs w:val="16"/>
        </w:rPr>
        <w:t>Уличные бои в Берлине не стихают ни днем, ни ночью. Противник бросил в бой различные специальные части и батальоны «фольксштурма». На ряде участков немцы предприняли яростные контратаки, но были отброшены с большими для них потерями. Советские танки и пехота, действующие в северных районах Берлина, ворвались в Тегельский лес и разгромили укрепившихся в нем гитлеровцев. В восточных и юго-восточных районах Берлина войска фронта вышли к реке Шпрее южнее Силезского вокзала. Ночью наши подразделения на подручных средствах переправились через Шпрее и завязали бои в городском районе Трептов. Гитлеровцы оказывали упорное сопротивление. Советские пехотинцы, действуя мелкими группами, дворами обошли вражеские узлы сопротивления и разгромили их. Другие наши части сломили сопротивление противника и прорвались в район Бриц. Оба эти района сегодня заняты нашими войсками. В боях за день уничтожено до 6 тысяч немецких солдат и офицеров.</w:t>
      </w:r>
    </w:p>
    <w:p w14:paraId="7B40F6B1" w14:textId="77777777" w:rsidR="00F77ACE" w:rsidRPr="00F90EAE" w:rsidRDefault="00F77ACE" w:rsidP="00F90EAE">
      <w:pPr>
        <w:jc w:val="both"/>
        <w:rPr>
          <w:color w:val="000000" w:themeColor="text1"/>
          <w:sz w:val="16"/>
          <w:szCs w:val="16"/>
        </w:rPr>
      </w:pPr>
      <w:r w:rsidRPr="00F90EAE">
        <w:rPr>
          <w:color w:val="000000" w:themeColor="text1"/>
          <w:sz w:val="16"/>
          <w:szCs w:val="16"/>
        </w:rPr>
        <w:t>Наша авиация активно поддерживала действия наземных войск, наступающих в районе Берлина. Бомбо-штурмовыми ударами уничтожено много автомашин, взорвано 8 складов с боеприпасами, подавлен огонь 30 артиллерийских и минометных батарей. В воздушных боях сбито 35 немецких самолетов.</w:t>
      </w:r>
    </w:p>
    <w:p w14:paraId="0644D7B2" w14:textId="77777777" w:rsidR="00F77ACE" w:rsidRPr="00F90EAE" w:rsidRDefault="00F77ACE" w:rsidP="00F90EAE">
      <w:pPr>
        <w:jc w:val="both"/>
        <w:rPr>
          <w:color w:val="000000" w:themeColor="text1"/>
          <w:sz w:val="16"/>
          <w:szCs w:val="16"/>
        </w:rPr>
      </w:pPr>
      <w:r w:rsidRPr="00F90EAE">
        <w:rPr>
          <w:color w:val="000000" w:themeColor="text1"/>
          <w:sz w:val="16"/>
          <w:szCs w:val="16"/>
        </w:rPr>
        <w:t>Войска 1-го Украинского фронта продолжали успешное наступление. Наши пехотинцы и танкисты, с боями продвигаясь вперед, перерезали железнодорожные магистрали Берлин – Бельциг и Берлин – Магдебург. Преодолев сильно заболоченную местность, советские части с хода переправились через реку Хавель и овладели городом Кетцин. Пройдя с боями 25 километров, войска 1-го Украинского фронта сегодня северо-западнее Потсдама соединились с войсками 1-го Белорусского фронта и завершили полное окружение Берлина.</w:t>
      </w:r>
    </w:p>
    <w:p w14:paraId="1A1370A7" w14:textId="77777777" w:rsidR="00F77ACE" w:rsidRPr="00F90EAE" w:rsidRDefault="00F77ACE" w:rsidP="00F90EAE">
      <w:pPr>
        <w:jc w:val="both"/>
        <w:rPr>
          <w:color w:val="000000" w:themeColor="text1"/>
          <w:sz w:val="16"/>
          <w:szCs w:val="16"/>
        </w:rPr>
      </w:pPr>
      <w:r w:rsidRPr="00F90EAE">
        <w:rPr>
          <w:color w:val="000000" w:themeColor="text1"/>
          <w:sz w:val="16"/>
          <w:szCs w:val="16"/>
        </w:rPr>
        <w:t>В юго-западной части Берлина противник упорно оборонялся на рубеже судоходного канала Тельтов. Под прикрытием артиллерийского огня советские саперы быстро навели мосты, по которым переправились танки, артиллерия и пехота. Подавив вражеское сопротивление на северном берегу канала, наши войска ворвались на улицы городских районов Лихтерфельде и Целендорф. Советские части выбили гитлеровцев из военных казарм, электростанции, нефтесклада и овладели районами Лихтерфельде и Целендорф.</w:t>
      </w:r>
    </w:p>
    <w:p w14:paraId="76D577DA" w14:textId="77777777" w:rsidR="00F77ACE" w:rsidRPr="00F90EAE" w:rsidRDefault="00F77ACE" w:rsidP="00F90EAE">
      <w:pPr>
        <w:jc w:val="both"/>
        <w:rPr>
          <w:color w:val="000000" w:themeColor="text1"/>
          <w:sz w:val="16"/>
          <w:szCs w:val="16"/>
        </w:rPr>
      </w:pPr>
      <w:r w:rsidRPr="00F90EAE">
        <w:rPr>
          <w:color w:val="000000" w:themeColor="text1"/>
          <w:sz w:val="16"/>
          <w:szCs w:val="16"/>
        </w:rPr>
        <w:t>В районе города Бауцен крупные силы пехоты и танков противника контратаковали наши войска. Завязались ожесточенные бои. Отражая вражеские контратаки, советские артиллеристы сожгли и подбили до 40 немецких танков и самоходных орудий. На подступах к нашим позициям осталось много вражеских трупов.</w:t>
      </w:r>
    </w:p>
    <w:p w14:paraId="7663E772" w14:textId="77777777" w:rsidR="00F77ACE" w:rsidRPr="00F90EAE" w:rsidRDefault="00F77ACE" w:rsidP="00F90EAE">
      <w:pPr>
        <w:jc w:val="both"/>
        <w:rPr>
          <w:color w:val="000000" w:themeColor="text1"/>
          <w:sz w:val="16"/>
          <w:szCs w:val="16"/>
        </w:rPr>
      </w:pPr>
      <w:r w:rsidRPr="00F90EAE">
        <w:rPr>
          <w:color w:val="000000" w:themeColor="text1"/>
          <w:sz w:val="16"/>
          <w:szCs w:val="16"/>
        </w:rPr>
        <w:t>Корабли Краснознаменного Балтийского флота потопили в южной части Балтийского моря немецкий транспорт водоизмещением в 10 тысяч тонн.</w:t>
      </w:r>
    </w:p>
    <w:p w14:paraId="71B2E6FD" w14:textId="77777777" w:rsidR="00F77ACE" w:rsidRPr="00F90EAE" w:rsidRDefault="00F77ACE" w:rsidP="00F90EAE">
      <w:pPr>
        <w:jc w:val="both"/>
        <w:rPr>
          <w:color w:val="000000" w:themeColor="text1"/>
          <w:sz w:val="16"/>
          <w:szCs w:val="16"/>
        </w:rPr>
      </w:pPr>
      <w:r w:rsidRPr="00F90EAE">
        <w:rPr>
          <w:color w:val="000000" w:themeColor="text1"/>
          <w:sz w:val="16"/>
          <w:szCs w:val="16"/>
        </w:rPr>
        <w:t>Авиация флота потопила в Балтийском море четыре транспорта общим водоизмещением в 18 тысяч тонн, сторожевой корабль, быстроходную десантную баржу и три мотобота противника.» (15110).</w:t>
      </w:r>
    </w:p>
    <w:p w14:paraId="77546B5F" w14:textId="77777777" w:rsidR="00F77ACE" w:rsidRPr="00F90EAE" w:rsidRDefault="00F77ACE" w:rsidP="00F90EAE">
      <w:pPr>
        <w:jc w:val="both"/>
        <w:rPr>
          <w:color w:val="000000" w:themeColor="text1"/>
          <w:sz w:val="16"/>
          <w:szCs w:val="16"/>
        </w:rPr>
      </w:pPr>
    </w:p>
    <w:p w14:paraId="7CA81844"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25 апреля 1945 18 Ил-2 из 140-го гв. шап во главе с командиром полка майором Нестеренко получили задачу атаковать артиллерию и минометы на юго-западной окраине Берлина. Налет был выполнен в 15.35–15.47 с высоты 1000–300 метров с двух заходов. Попутно с артиллерийскими позициями штурмовики обстреляли автотранспорт, двигавшийся по соседним улицам. По наблюдению экипажей и данным аэрофотосъемки, было уничтожено и повреждено семь автомашин и подавлен огонь двух батарей. Вскоре советские войска заняли предместье Штеглиц.</w:t>
      </w:r>
    </w:p>
    <w:p w14:paraId="57B7D32D"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Однако в дальнейшем при штурме самого Берлина действия штурмовых полков носили очень ограниченный характер. В отчете о боевых действиях 2-й воздушной армии по этому поводу указано:</w:t>
      </w:r>
    </w:p>
    <w:p w14:paraId="422D4388" w14:textId="77777777" w:rsidR="00A278CB" w:rsidRPr="00F90EAE" w:rsidRDefault="00A278CB" w:rsidP="00F90EAE">
      <w:pPr>
        <w:pStyle w:val="ae"/>
        <w:spacing w:before="0" w:after="0"/>
        <w:jc w:val="both"/>
        <w:textAlignment w:val="baseline"/>
        <w:rPr>
          <w:color w:val="000000" w:themeColor="text1"/>
          <w:sz w:val="16"/>
          <w:szCs w:val="16"/>
        </w:rPr>
      </w:pPr>
      <w:r w:rsidRPr="00F90EAE">
        <w:rPr>
          <w:iCs/>
          <w:color w:val="000000" w:themeColor="text1"/>
          <w:sz w:val="16"/>
          <w:szCs w:val="16"/>
          <w:bdr w:val="none" w:sz="0" w:space="0" w:color="auto" w:frame="1"/>
        </w:rPr>
        <w:t>«Действия штурмовиков в г. Берлин в последующие дни встречали большие затруднения. Обстановка была исключительно сложной. Очень трудно было определить местоположение своих войск в городе. Обозначение линии боевого соприкосновения встречало большие затруднения, тем более что могло привести к ударам по своим войскам… Большое насыщение района боев артиллерией и танками создавало плотный огонь и часто исключало необходимость непосредственной авиационной поддержки атаки пехоты в городе»</w:t>
      </w:r>
      <w:r w:rsidRPr="00F90EAE">
        <w:rPr>
          <w:color w:val="000000" w:themeColor="text1"/>
          <w:sz w:val="16"/>
          <w:szCs w:val="16"/>
        </w:rPr>
        <w:t xml:space="preserve"> (19522).</w:t>
      </w:r>
    </w:p>
    <w:p w14:paraId="5D849E9B" w14:textId="77777777" w:rsidR="00A278CB" w:rsidRPr="00F90EAE" w:rsidRDefault="00A278CB" w:rsidP="00F90EAE">
      <w:pPr>
        <w:pStyle w:val="ae"/>
        <w:spacing w:before="0" w:after="0"/>
        <w:jc w:val="both"/>
        <w:textAlignment w:val="baseline"/>
        <w:rPr>
          <w:color w:val="000000" w:themeColor="text1"/>
          <w:sz w:val="16"/>
          <w:szCs w:val="16"/>
        </w:rPr>
      </w:pPr>
    </w:p>
    <w:p w14:paraId="6D7589E9" w14:textId="77777777" w:rsidR="007048F1" w:rsidRPr="00F90EAE" w:rsidRDefault="007048F1" w:rsidP="00F90EAE">
      <w:pPr>
        <w:pStyle w:val="36"/>
        <w:shd w:val="clear" w:color="auto" w:fill="auto"/>
        <w:spacing w:after="0" w:line="240" w:lineRule="auto"/>
        <w:jc w:val="both"/>
        <w:rPr>
          <w:rFonts w:ascii="Times New Roman" w:cs="Times New Roman"/>
          <w:i/>
          <w:iCs/>
          <w:color w:val="0070C0"/>
          <w:spacing w:val="0"/>
          <w:sz w:val="16"/>
          <w:szCs w:val="16"/>
        </w:rPr>
      </w:pPr>
      <w:r w:rsidRPr="00F90EAE">
        <w:rPr>
          <w:rFonts w:ascii="Times New Roman" w:cs="Times New Roman"/>
          <w:color w:val="0070C0"/>
          <w:spacing w:val="0"/>
          <w:sz w:val="16"/>
          <w:szCs w:val="16"/>
        </w:rPr>
        <w:t>25 апреля 1945 г. под Берлином восьмерка Ил-2 летчика 211 -го ШАП Ю.С. Афанасьева наносила, удар по двум танковым колоннам и под</w:t>
      </w:r>
      <w:r w:rsidRPr="00F90EAE">
        <w:rPr>
          <w:rFonts w:ascii="Times New Roman" w:cs="Times New Roman"/>
          <w:color w:val="0070C0"/>
          <w:spacing w:val="0"/>
          <w:sz w:val="16"/>
          <w:szCs w:val="16"/>
        </w:rPr>
        <w:softHyphen/>
        <w:t>верглась атаке 32 истребителей против</w:t>
      </w:r>
      <w:r w:rsidRPr="00F90EAE">
        <w:rPr>
          <w:rFonts w:ascii="Times New Roman" w:cs="Times New Roman"/>
          <w:color w:val="0070C0"/>
          <w:spacing w:val="0"/>
          <w:sz w:val="16"/>
          <w:szCs w:val="16"/>
        </w:rPr>
        <w:softHyphen/>
        <w:t xml:space="preserve">ника. Афанасьев сбил </w:t>
      </w:r>
      <w:r w:rsidRPr="00F90EAE">
        <w:rPr>
          <w:rFonts w:ascii="Times New Roman" w:cs="Times New Roman"/>
          <w:color w:val="0070C0"/>
          <w:spacing w:val="0"/>
          <w:sz w:val="16"/>
          <w:szCs w:val="16"/>
          <w:lang w:val="en-US"/>
        </w:rPr>
        <w:t>FW</w:t>
      </w:r>
      <w:r w:rsidRPr="00F90EAE">
        <w:rPr>
          <w:rFonts w:ascii="Times New Roman" w:cs="Times New Roman"/>
          <w:color w:val="0070C0"/>
          <w:spacing w:val="0"/>
          <w:sz w:val="16"/>
          <w:szCs w:val="16"/>
        </w:rPr>
        <w:t xml:space="preserve"> 190, но затем группа потеряла три Ил-2. Ситуация усложнилась:</w:t>
      </w:r>
      <w:r w:rsidRPr="00F90EAE">
        <w:rPr>
          <w:rStyle w:val="1pt1"/>
          <w:rFonts w:ascii="Times New Roman" w:hAnsi="Times New Roman" w:cs="Times New Roman"/>
          <w:color w:val="0070C0"/>
          <w:spacing w:val="0"/>
          <w:sz w:val="16"/>
          <w:szCs w:val="16"/>
        </w:rPr>
        <w:t xml:space="preserve"> </w:t>
      </w:r>
      <w:r w:rsidRPr="00F90EAE">
        <w:rPr>
          <w:rStyle w:val="1pt1"/>
          <w:rFonts w:ascii="Times New Roman" w:hAnsi="Times New Roman" w:cs="Times New Roman"/>
          <w:i w:val="0"/>
          <w:iCs w:val="0"/>
          <w:color w:val="0070C0"/>
          <w:spacing w:val="0"/>
          <w:sz w:val="16"/>
          <w:szCs w:val="16"/>
        </w:rPr>
        <w:t>«Я пристраиваюсь к чет</w:t>
      </w:r>
      <w:r w:rsidRPr="00F90EAE">
        <w:rPr>
          <w:rStyle w:val="1pt1"/>
          <w:rFonts w:ascii="Times New Roman" w:hAnsi="Times New Roman" w:cs="Times New Roman"/>
          <w:i w:val="0"/>
          <w:iCs w:val="0"/>
          <w:color w:val="0070C0"/>
          <w:spacing w:val="0"/>
          <w:sz w:val="16"/>
          <w:szCs w:val="16"/>
        </w:rPr>
        <w:softHyphen/>
        <w:t>верке слева. Они низко идут, а я еще ниже, буквально по веткам. Когда само</w:t>
      </w:r>
      <w:r w:rsidRPr="00F90EAE">
        <w:rPr>
          <w:rStyle w:val="1pt1"/>
          <w:rFonts w:ascii="Times New Roman" w:hAnsi="Times New Roman" w:cs="Times New Roman"/>
          <w:i w:val="0"/>
          <w:iCs w:val="0"/>
          <w:color w:val="0070C0"/>
          <w:spacing w:val="0"/>
          <w:sz w:val="16"/>
          <w:szCs w:val="16"/>
        </w:rPr>
        <w:softHyphen/>
        <w:t>леты низко идут, к ним не подойти... Но вот гляжу — пара истребителей нас до</w:t>
      </w:r>
      <w:r w:rsidRPr="00F90EAE">
        <w:rPr>
          <w:rStyle w:val="1pt1"/>
          <w:rFonts w:ascii="Times New Roman" w:hAnsi="Times New Roman" w:cs="Times New Roman"/>
          <w:i w:val="0"/>
          <w:iCs w:val="0"/>
          <w:color w:val="0070C0"/>
          <w:spacing w:val="0"/>
          <w:sz w:val="16"/>
          <w:szCs w:val="16"/>
        </w:rPr>
        <w:softHyphen/>
        <w:t xml:space="preserve">гоняет и дает две очереди залпом... С четвертого номера Костиного звена </w:t>
      </w:r>
      <w:r w:rsidRPr="00F90EAE">
        <w:rPr>
          <w:rFonts w:ascii="Times New Roman" w:cs="Times New Roman"/>
          <w:i/>
          <w:iCs/>
          <w:color w:val="0070C0"/>
          <w:spacing w:val="0"/>
          <w:sz w:val="16"/>
          <w:szCs w:val="16"/>
        </w:rPr>
        <w:t>(</w:t>
      </w:r>
      <w:r w:rsidRPr="00F90EAE">
        <w:rPr>
          <w:rFonts w:ascii="Times New Roman" w:cs="Times New Roman"/>
          <w:color w:val="0070C0"/>
          <w:spacing w:val="0"/>
          <w:sz w:val="16"/>
          <w:szCs w:val="16"/>
        </w:rPr>
        <w:t>замкомэска Константин Балашов</w:t>
      </w:r>
      <w:r w:rsidRPr="00F90EAE">
        <w:rPr>
          <w:rFonts w:ascii="Times New Roman" w:cs="Times New Roman"/>
          <w:i/>
          <w:iCs/>
          <w:color w:val="0070C0"/>
          <w:spacing w:val="0"/>
          <w:sz w:val="16"/>
          <w:szCs w:val="16"/>
        </w:rPr>
        <w:t>)</w:t>
      </w:r>
      <w:r w:rsidRPr="00F90EAE">
        <w:rPr>
          <w:rStyle w:val="1pt1"/>
          <w:rFonts w:ascii="Times New Roman" w:hAnsi="Times New Roman" w:cs="Times New Roman"/>
          <w:i w:val="0"/>
          <w:iCs w:val="0"/>
          <w:color w:val="0070C0"/>
          <w:spacing w:val="0"/>
          <w:sz w:val="16"/>
          <w:szCs w:val="16"/>
        </w:rPr>
        <w:t xml:space="preserve"> вся обшивка слетела. Четверо нас осталось. Вот здесь я малость струхнул.</w:t>
      </w:r>
    </w:p>
    <w:p w14:paraId="5138AB6D" w14:textId="77777777" w:rsidR="007048F1" w:rsidRPr="00F90EAE" w:rsidRDefault="007048F1" w:rsidP="00F90EAE">
      <w:pPr>
        <w:pStyle w:val="121"/>
        <w:shd w:val="clear" w:color="auto" w:fill="auto"/>
        <w:spacing w:line="240" w:lineRule="auto"/>
        <w:jc w:val="both"/>
        <w:rPr>
          <w:rFonts w:ascii="Times New Roman" w:hAnsi="Times New Roman" w:cs="Times New Roman"/>
          <w:b w:val="0"/>
          <w:bCs w:val="0"/>
          <w:color w:val="0070C0"/>
          <w:sz w:val="16"/>
          <w:szCs w:val="16"/>
        </w:rPr>
      </w:pPr>
      <w:r w:rsidRPr="00F90EAE">
        <w:rPr>
          <w:rFonts w:ascii="Times New Roman" w:hAnsi="Times New Roman" w:cs="Times New Roman"/>
          <w:b w:val="0"/>
          <w:bCs w:val="0"/>
          <w:color w:val="0070C0"/>
          <w:sz w:val="16"/>
          <w:szCs w:val="16"/>
        </w:rPr>
        <w:t>Немцы били нас по всем правилам. У ведущего срубили антенну — значит, он остался без радио. У второго выва</w:t>
      </w:r>
      <w:r w:rsidRPr="00F90EAE">
        <w:rPr>
          <w:rFonts w:ascii="Times New Roman" w:hAnsi="Times New Roman" w:cs="Times New Roman"/>
          <w:b w:val="0"/>
          <w:bCs w:val="0"/>
          <w:color w:val="0070C0"/>
          <w:sz w:val="16"/>
          <w:szCs w:val="16"/>
        </w:rPr>
        <w:softHyphen/>
        <w:t>лились щитки. Чувствую, он пытается ими управлять, но только закроет, они опять открываются. Эти щитки забира</w:t>
      </w:r>
      <w:r w:rsidRPr="00F90EAE">
        <w:rPr>
          <w:rFonts w:ascii="Times New Roman" w:hAnsi="Times New Roman" w:cs="Times New Roman"/>
          <w:b w:val="0"/>
          <w:bCs w:val="0"/>
          <w:color w:val="0070C0"/>
          <w:sz w:val="16"/>
          <w:szCs w:val="16"/>
        </w:rPr>
        <w:softHyphen/>
        <w:t>ют 30-40 км скорости... А у третьего — сквозная дыра метрового размера в фюзеляже, и масло льет. А у меня все в порядке, как ни странно. Еле до нашей территории дошли... Немцы от нас от</w:t>
      </w:r>
      <w:r w:rsidRPr="00F90EAE">
        <w:rPr>
          <w:rFonts w:ascii="Times New Roman" w:hAnsi="Times New Roman" w:cs="Times New Roman"/>
          <w:b w:val="0"/>
          <w:bCs w:val="0"/>
          <w:color w:val="0070C0"/>
          <w:sz w:val="16"/>
          <w:szCs w:val="16"/>
        </w:rPr>
        <w:softHyphen/>
        <w:t>валили — начали стрелять наши зенит</w:t>
      </w:r>
      <w:r w:rsidRPr="00F90EAE">
        <w:rPr>
          <w:rFonts w:ascii="Times New Roman" w:hAnsi="Times New Roman" w:cs="Times New Roman"/>
          <w:b w:val="0"/>
          <w:bCs w:val="0"/>
          <w:color w:val="0070C0"/>
          <w:sz w:val="16"/>
          <w:szCs w:val="16"/>
        </w:rPr>
        <w:softHyphen/>
        <w:t>ки. Нас вернулось четверо» (19854).</w:t>
      </w:r>
    </w:p>
    <w:p w14:paraId="06155123" w14:textId="77777777" w:rsidR="007048F1" w:rsidRPr="00F90EAE" w:rsidRDefault="007048F1" w:rsidP="00F90EAE">
      <w:pPr>
        <w:pStyle w:val="121"/>
        <w:shd w:val="clear" w:color="auto" w:fill="auto"/>
        <w:spacing w:line="240" w:lineRule="auto"/>
        <w:jc w:val="both"/>
        <w:rPr>
          <w:rFonts w:ascii="Times New Roman" w:hAnsi="Times New Roman" w:cs="Times New Roman"/>
          <w:b w:val="0"/>
          <w:bCs w:val="0"/>
          <w:color w:val="0070C0"/>
          <w:sz w:val="16"/>
          <w:szCs w:val="16"/>
        </w:rPr>
      </w:pPr>
    </w:p>
    <w:p w14:paraId="43C597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две группы штурмовиков участвовали вместе с танкистами в захвате аэродрома Темпельхоф, который упорно оборонялся и поддерживался в состоянии боевой готовности. Приземлившись на аэродром 9 Ил-2 развернулись и начали обстрел из хвостовых пулеметов аэродромных зданий. Одновременно на поле ворвались Т-34 (24,324). Таким же путем было захвачено и несколько других аэродромов, например, Шенефельд (24,329).</w:t>
      </w:r>
    </w:p>
    <w:p w14:paraId="0E47234D" w14:textId="77777777" w:rsidR="00665165" w:rsidRPr="00F90EAE" w:rsidRDefault="00665165" w:rsidP="00F90EAE">
      <w:pPr>
        <w:autoSpaceDE w:val="0"/>
        <w:autoSpaceDN w:val="0"/>
        <w:adjustRightInd w:val="0"/>
        <w:jc w:val="both"/>
        <w:rPr>
          <w:color w:val="000000" w:themeColor="text1"/>
          <w:sz w:val="16"/>
          <w:szCs w:val="16"/>
        </w:rPr>
      </w:pPr>
    </w:p>
    <w:p w14:paraId="5A2200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года из крупнокалиберной пушки 75-мм, установленной на В-25G "Митчел" в боевой обстановке стреляли морские летчики. Это был, похоже, единственный раз: экипаж майора Наконечного из 118-го полка атаковал немецкую подводную лодку, сделав несколько выстрелов из пушки и сбросив глубинные бомбы. Субмарина по советским данным считается поврежденной, экипаж получил ордена и медали (3457,95).</w:t>
      </w:r>
    </w:p>
    <w:p w14:paraId="6571DD04" w14:textId="77777777" w:rsidR="00665165" w:rsidRPr="00F90EAE" w:rsidRDefault="00665165" w:rsidP="00F90EAE">
      <w:pPr>
        <w:autoSpaceDE w:val="0"/>
        <w:autoSpaceDN w:val="0"/>
        <w:adjustRightInd w:val="0"/>
        <w:jc w:val="both"/>
        <w:rPr>
          <w:color w:val="000000" w:themeColor="text1"/>
          <w:sz w:val="16"/>
          <w:szCs w:val="16"/>
        </w:rPr>
      </w:pPr>
    </w:p>
    <w:p w14:paraId="52DEA333" w14:textId="77777777" w:rsidR="009B2258" w:rsidRPr="00F90EAE" w:rsidRDefault="009B2258" w:rsidP="00F90EAE">
      <w:pPr>
        <w:jc w:val="both"/>
        <w:rPr>
          <w:color w:val="0070C0"/>
          <w:sz w:val="16"/>
          <w:szCs w:val="16"/>
        </w:rPr>
      </w:pPr>
      <w:r w:rsidRPr="00F90EAE">
        <w:rPr>
          <w:color w:val="0070C0"/>
          <w:sz w:val="16"/>
          <w:szCs w:val="16"/>
        </w:rPr>
        <w:t>25 апреля 1945 6-го ОВДААН</w:t>
      </w:r>
    </w:p>
    <w:p w14:paraId="4227CEFE" w14:textId="77777777" w:rsidR="009B2258" w:rsidRPr="00F90EAE" w:rsidRDefault="009B2258" w:rsidP="00F90EAE">
      <w:pPr>
        <w:jc w:val="both"/>
        <w:rPr>
          <w:color w:val="0070C0"/>
          <w:sz w:val="16"/>
          <w:szCs w:val="16"/>
        </w:rPr>
      </w:pPr>
      <w:r w:rsidRPr="00F90EAE">
        <w:rPr>
          <w:color w:val="0070C0"/>
          <w:sz w:val="16"/>
          <w:szCs w:val="16"/>
        </w:rPr>
        <w:t>1-й отряд провёл исключительно удачную коррек</w:t>
      </w:r>
      <w:r w:rsidRPr="00F90EAE">
        <w:rPr>
          <w:color w:val="0070C0"/>
          <w:sz w:val="16"/>
          <w:szCs w:val="16"/>
        </w:rPr>
        <w:softHyphen/>
        <w:t>тировку артогня по аэродрому Темпельгоф, в ходе которой были уничтожены 22 самолёта (из них че</w:t>
      </w:r>
      <w:r w:rsidRPr="00F90EAE">
        <w:rPr>
          <w:color w:val="0070C0"/>
          <w:sz w:val="16"/>
          <w:szCs w:val="16"/>
        </w:rPr>
        <w:softHyphen/>
        <w:t>тыре загорелись на взлёте). Отряды 6-го ОВДААН заняли позиции: 1-й — на аэродроме Темпельгоф,</w:t>
      </w:r>
    </w:p>
    <w:p w14:paraId="0C3CBC98" w14:textId="77777777" w:rsidR="009B2258" w:rsidRPr="00F90EAE" w:rsidRDefault="009B2258" w:rsidP="00F90EAE">
      <w:pPr>
        <w:jc w:val="both"/>
        <w:rPr>
          <w:color w:val="0070C0"/>
          <w:sz w:val="16"/>
          <w:szCs w:val="16"/>
        </w:rPr>
      </w:pPr>
      <w:r w:rsidRPr="00F90EAE">
        <w:rPr>
          <w:color w:val="0070C0"/>
          <w:sz w:val="16"/>
          <w:szCs w:val="16"/>
        </w:rPr>
        <w:t>2-й — в Кернер-парке, 3-й — в Трептов-парке (20120).</w:t>
      </w:r>
    </w:p>
    <w:p w14:paraId="111BD04A" w14:textId="77777777" w:rsidR="009B2258" w:rsidRPr="00F90EAE" w:rsidRDefault="009B2258" w:rsidP="00F90EAE">
      <w:pPr>
        <w:jc w:val="both"/>
        <w:rPr>
          <w:color w:val="0070C0"/>
          <w:sz w:val="16"/>
          <w:szCs w:val="16"/>
        </w:rPr>
      </w:pPr>
    </w:p>
    <w:p w14:paraId="5C38B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3-й бак утром послал на Берлин 156 Пе-2. В Берлинской операции участвовали 743 пикировщика Пе-2 и Ту-2 (3542).</w:t>
      </w:r>
    </w:p>
    <w:p w14:paraId="07B359E3" w14:textId="77777777" w:rsidR="00665165" w:rsidRPr="00F90EAE" w:rsidRDefault="00665165" w:rsidP="00F90EAE">
      <w:pPr>
        <w:autoSpaceDE w:val="0"/>
        <w:autoSpaceDN w:val="0"/>
        <w:adjustRightInd w:val="0"/>
        <w:jc w:val="both"/>
        <w:rPr>
          <w:color w:val="000000" w:themeColor="text1"/>
          <w:sz w:val="16"/>
          <w:szCs w:val="16"/>
        </w:rPr>
      </w:pPr>
    </w:p>
    <w:p w14:paraId="068C11E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апреля 1945 советские войска завершили окружение Берлина (4962).</w:t>
      </w:r>
    </w:p>
    <w:p w14:paraId="469702B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A4EEFE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апреля 1945 у Торгау на реке Эльба состоялась встреча советских и американских войск (4962).</w:t>
      </w:r>
    </w:p>
    <w:p w14:paraId="315571B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5F75CC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25 April 1945 American and Russian troops meet up at Torgau (270).</w:t>
      </w:r>
    </w:p>
    <w:p w14:paraId="6DB02BF1" w14:textId="77777777" w:rsidR="00665165" w:rsidRPr="00F90EAE" w:rsidRDefault="00665165" w:rsidP="00F90EAE">
      <w:pPr>
        <w:autoSpaceDE w:val="0"/>
        <w:autoSpaceDN w:val="0"/>
        <w:adjustRightInd w:val="0"/>
        <w:jc w:val="both"/>
        <w:rPr>
          <w:color w:val="000000" w:themeColor="text1"/>
          <w:sz w:val="16"/>
          <w:szCs w:val="16"/>
          <w:lang w:val="en-US"/>
        </w:rPr>
      </w:pPr>
    </w:p>
    <w:p w14:paraId="1A92A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состоялась встреча советской (1УФ) и американской армии (1А) на Эльбе в районе Тогау (270).</w:t>
      </w:r>
    </w:p>
    <w:p w14:paraId="06F6312E" w14:textId="77777777" w:rsidR="00665165" w:rsidRPr="00F90EAE" w:rsidRDefault="00665165" w:rsidP="00F90EAE">
      <w:pPr>
        <w:autoSpaceDE w:val="0"/>
        <w:autoSpaceDN w:val="0"/>
        <w:adjustRightInd w:val="0"/>
        <w:jc w:val="both"/>
        <w:rPr>
          <w:color w:val="000000" w:themeColor="text1"/>
          <w:sz w:val="16"/>
          <w:szCs w:val="16"/>
        </w:rPr>
      </w:pPr>
    </w:p>
    <w:p w14:paraId="2DC95E85" w14:textId="77777777" w:rsidR="00F77ACE" w:rsidRPr="00F90EAE" w:rsidRDefault="00F77ACE" w:rsidP="00F90EAE">
      <w:pPr>
        <w:jc w:val="both"/>
        <w:rPr>
          <w:color w:val="000000" w:themeColor="text1"/>
          <w:sz w:val="16"/>
          <w:szCs w:val="16"/>
        </w:rPr>
      </w:pPr>
      <w:r w:rsidRPr="00F90EAE">
        <w:rPr>
          <w:color w:val="000000" w:themeColor="text1"/>
          <w:sz w:val="16"/>
          <w:szCs w:val="16"/>
        </w:rPr>
        <w:t xml:space="preserve">25 апреля в 1945 году на реке Эльбе в районе города Торгау состоялась историческая встреча войск 1-го Украинского фронта и 1-й американской армии. К середине апреля 1945 года войска 1-го Белорусского фронта (командующий Маршал Советского Союза Г.К.Жуков) находились в 60-70 километрах от Берлина. 16 апреля </w:t>
      </w:r>
      <w:r w:rsidRPr="00F90EAE">
        <w:rPr>
          <w:color w:val="000000" w:themeColor="text1"/>
          <w:sz w:val="16"/>
          <w:szCs w:val="16"/>
        </w:rPr>
        <w:lastRenderedPageBreak/>
        <w:t>главные силы 1-го Белорусского, а затем 2-го Белорусского и 1-го Украинского фронтов приступили к операции по взятию Берлина. К ее началу немецкое командование перебросило дополнительные силы на советско-германский фронт, где находилось 214 дивизий, в том числе 34 танковых. На западном фронте оставалось 60 дивизий, из них 5 танковых. Войска западных союзников форсировали в апреле Рейн и завершили ликвидацию рурской группировки противника. Они освободили Дрезден, Магдебург, ряд других крупных городов Германии. Действия Красной Армии и войск западных союзников координировались в соответствии с договоренностями, достигнутыми на Ялтинской конференции руководителей трех ведущих держав антигитлеровской коалиции - Ф.Д.Рузвельта, И.В.Сталина и У.Черчилля 4-11 февраля 1945 года.</w:t>
      </w:r>
    </w:p>
    <w:p w14:paraId="213BDF9F" w14:textId="77777777" w:rsidR="00F77ACE" w:rsidRPr="00F90EAE" w:rsidRDefault="00F77ACE" w:rsidP="00F90EAE">
      <w:pPr>
        <w:jc w:val="both"/>
        <w:rPr>
          <w:color w:val="000000" w:themeColor="text1"/>
          <w:sz w:val="16"/>
          <w:szCs w:val="16"/>
        </w:rPr>
      </w:pPr>
      <w:r w:rsidRPr="00F90EAE">
        <w:rPr>
          <w:color w:val="000000" w:themeColor="text1"/>
          <w:sz w:val="16"/>
          <w:szCs w:val="16"/>
        </w:rPr>
        <w:t>Историческая встреча союзников произошла на Эльбе 25 апреля 1945 года недалеко от города Торгау. Тогда встретились части и подразделения 69-й пехотной дивизии 1-й американской армии и 58-й стрелковой дивизии, входящей в состав войск 1-го Украинского фронта. Снимок советского и американского лейтенантов, которые первыми пожали друг другу руки во время братания войск союзников на Эльбе, сделанный корреспондентом журнала «Лайф», в считанные часы обошел издания всего мира. Москва салютовала встрече в Торгау 24 залпами из 324 орудий, такие же торжества прошли на Таймс-сквер в Нью-Йорке. Встречи солдат армий США, Англии с советскими солдатами и офицерами вылились в демонстрацию дружбы соратников по оружию.</w:t>
      </w:r>
    </w:p>
    <w:p w14:paraId="10FE9F4C" w14:textId="77777777" w:rsidR="00F77ACE" w:rsidRPr="00F90EAE" w:rsidRDefault="00F77ACE" w:rsidP="00F90EAE">
      <w:pPr>
        <w:jc w:val="both"/>
        <w:rPr>
          <w:color w:val="000000" w:themeColor="text1"/>
          <w:sz w:val="16"/>
          <w:szCs w:val="16"/>
        </w:rPr>
      </w:pPr>
      <w:r w:rsidRPr="00F90EAE">
        <w:rPr>
          <w:color w:val="000000" w:themeColor="text1"/>
          <w:sz w:val="16"/>
          <w:szCs w:val="16"/>
        </w:rPr>
        <w:t>В результате встречи войск союзников остатки вооруженных сил Германии были расколоты на две части - северную и южную. Это значительно ослабило их сопротивление, лишило маневренности, нарушило единую систему управления, ускорило окончательный разгром вермахта (15110).</w:t>
      </w:r>
    </w:p>
    <w:p w14:paraId="1331D37F" w14:textId="77777777" w:rsidR="00F77ACE" w:rsidRPr="00F90EAE" w:rsidRDefault="00F77ACE" w:rsidP="00F90EAE">
      <w:pPr>
        <w:jc w:val="both"/>
        <w:rPr>
          <w:color w:val="000000" w:themeColor="text1"/>
          <w:sz w:val="16"/>
          <w:szCs w:val="16"/>
        </w:rPr>
      </w:pPr>
    </w:p>
    <w:p w14:paraId="798B5B0B" w14:textId="77777777" w:rsidR="00B307A0" w:rsidRPr="00F90EAE" w:rsidRDefault="00B307A0" w:rsidP="00F90EAE">
      <w:pPr>
        <w:pStyle w:val="book"/>
        <w:ind w:firstLine="0"/>
        <w:jc w:val="both"/>
        <w:rPr>
          <w:color w:val="000000" w:themeColor="text1"/>
          <w:sz w:val="16"/>
          <w:szCs w:val="16"/>
        </w:rPr>
      </w:pPr>
      <w:r w:rsidRPr="00F90EAE">
        <w:rPr>
          <w:color w:val="000000" w:themeColor="text1"/>
          <w:sz w:val="16"/>
          <w:szCs w:val="16"/>
        </w:rPr>
        <w:t>25 апреля 1945 г. в Берлин выехали пятеро офицеров московского Центрального музея Красной армии (ЦМКА). Миссия группы была необычной — собирать реликвии фашистской Германии, в том числе все, что касалось руководителей Третьего рейха. Руководил экспедицией начальник ЦМКА. полковник И. А. Горюшкин, с ним были подполковник П.А. Логинов, майоры И.А. Волков и П.А. Зубанов, капитан В.К. Житенев (15225).</w:t>
      </w:r>
    </w:p>
    <w:p w14:paraId="72309FC4" w14:textId="77777777" w:rsidR="00B307A0" w:rsidRPr="00F90EAE" w:rsidRDefault="00B307A0" w:rsidP="00F90EAE">
      <w:pPr>
        <w:pStyle w:val="book"/>
        <w:ind w:firstLine="0"/>
        <w:jc w:val="both"/>
        <w:rPr>
          <w:color w:val="000000" w:themeColor="text1"/>
          <w:sz w:val="16"/>
          <w:szCs w:val="16"/>
        </w:rPr>
      </w:pPr>
    </w:p>
    <w:p w14:paraId="4E6E1C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машинист А.Е.Лесников привел в Берлин первый поезд (3398,159).</w:t>
      </w:r>
    </w:p>
    <w:p w14:paraId="713F0C21" w14:textId="77777777" w:rsidR="00665165" w:rsidRPr="00F90EAE" w:rsidRDefault="00665165" w:rsidP="00F90EAE">
      <w:pPr>
        <w:autoSpaceDE w:val="0"/>
        <w:autoSpaceDN w:val="0"/>
        <w:adjustRightInd w:val="0"/>
        <w:jc w:val="both"/>
        <w:rPr>
          <w:color w:val="000000" w:themeColor="text1"/>
          <w:sz w:val="16"/>
          <w:szCs w:val="16"/>
        </w:rPr>
      </w:pPr>
    </w:p>
    <w:p w14:paraId="1AC14D5E"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в самый разгар боев за Берлин машинист паровоза сержант железнодорожных войск А.Е.Лесников привел на станцию Берлин-Лихтенберг первый поезд с вооружением, боеприпасами и продовольствием. День воинской славы отмечают военные железнодорожники России (15110).</w:t>
      </w:r>
    </w:p>
    <w:p w14:paraId="04C1E0E6" w14:textId="77777777" w:rsidR="00B307A0" w:rsidRPr="00F90EAE" w:rsidRDefault="00B307A0" w:rsidP="00F90EAE">
      <w:pPr>
        <w:jc w:val="both"/>
        <w:rPr>
          <w:color w:val="000000" w:themeColor="text1"/>
          <w:sz w:val="16"/>
          <w:szCs w:val="16"/>
        </w:rPr>
      </w:pPr>
    </w:p>
    <w:p w14:paraId="1CDD91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окружили берлинскую группировку (2438,97).</w:t>
      </w:r>
    </w:p>
    <w:p w14:paraId="7B259853" w14:textId="77777777" w:rsidR="00665165" w:rsidRPr="00F90EAE" w:rsidRDefault="00665165" w:rsidP="00F90EAE">
      <w:pPr>
        <w:autoSpaceDE w:val="0"/>
        <w:autoSpaceDN w:val="0"/>
        <w:adjustRightInd w:val="0"/>
        <w:jc w:val="both"/>
        <w:rPr>
          <w:color w:val="000000" w:themeColor="text1"/>
          <w:sz w:val="16"/>
          <w:szCs w:val="16"/>
        </w:rPr>
      </w:pPr>
    </w:p>
    <w:p w14:paraId="6C519A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вышло Постановление ГКО № 8267 О перебазировании Качинской школы пилотов в г. Саки. РГАНИР, Фонд ГКО, д. 405, лл. 114 (11012).</w:t>
      </w:r>
    </w:p>
    <w:p w14:paraId="11A67466" w14:textId="77777777" w:rsidR="00665165" w:rsidRPr="00F90EAE" w:rsidRDefault="00665165" w:rsidP="00F90EAE">
      <w:pPr>
        <w:autoSpaceDE w:val="0"/>
        <w:autoSpaceDN w:val="0"/>
        <w:adjustRightInd w:val="0"/>
        <w:jc w:val="both"/>
        <w:rPr>
          <w:color w:val="000000" w:themeColor="text1"/>
          <w:sz w:val="16"/>
          <w:szCs w:val="16"/>
        </w:rPr>
      </w:pPr>
    </w:p>
    <w:p w14:paraId="39CC3968"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26-я гвардейская Краснознамённая ордена Суворова Восточно-Сибирская Городокская стрелковая дивизия взяла морскую крепость Пилау в Восточной Пруссии (ныне Балтийск) (15110).</w:t>
      </w:r>
    </w:p>
    <w:p w14:paraId="6AC32824" w14:textId="77777777" w:rsidR="00B307A0" w:rsidRPr="00F90EAE" w:rsidRDefault="00B307A0" w:rsidP="00F90EAE">
      <w:pPr>
        <w:jc w:val="both"/>
        <w:rPr>
          <w:color w:val="000000" w:themeColor="text1"/>
          <w:sz w:val="16"/>
          <w:szCs w:val="16"/>
        </w:rPr>
      </w:pPr>
    </w:p>
    <w:p w14:paraId="5BE7D35B"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Внешняя</w:t>
      </w:r>
      <w:r w:rsidRPr="00F90EAE">
        <w:rPr>
          <w:i/>
          <w:iCs/>
          <w:color w:val="000000" w:themeColor="text1"/>
          <w:sz w:val="16"/>
          <w:szCs w:val="16"/>
          <w:lang w:val="en-US"/>
        </w:rPr>
        <w:t xml:space="preserve"> </w:t>
      </w:r>
      <w:r w:rsidRPr="00F90EAE">
        <w:rPr>
          <w:i/>
          <w:iCs/>
          <w:color w:val="000000" w:themeColor="text1"/>
          <w:sz w:val="16"/>
          <w:szCs w:val="16"/>
        </w:rPr>
        <w:t>политика</w:t>
      </w:r>
      <w:r w:rsidRPr="00F90EAE">
        <w:rPr>
          <w:i/>
          <w:iCs/>
          <w:color w:val="000000" w:themeColor="text1"/>
          <w:sz w:val="16"/>
          <w:szCs w:val="16"/>
          <w:lang w:val="en-US"/>
        </w:rPr>
        <w:t>:</w:t>
      </w:r>
    </w:p>
    <w:p w14:paraId="67A42193" w14:textId="77777777" w:rsidR="00665165" w:rsidRPr="00F90EAE" w:rsidRDefault="00665165" w:rsidP="00F90EAE">
      <w:pPr>
        <w:autoSpaceDE w:val="0"/>
        <w:autoSpaceDN w:val="0"/>
        <w:adjustRightInd w:val="0"/>
        <w:jc w:val="both"/>
        <w:rPr>
          <w:iCs/>
          <w:color w:val="000000" w:themeColor="text1"/>
          <w:sz w:val="16"/>
          <w:szCs w:val="16"/>
          <w:lang w:val="en-US"/>
        </w:rPr>
      </w:pPr>
    </w:p>
    <w:p w14:paraId="1EA8E43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25 1945 San Francisco Conference opens (adopts United Nations Charter June 26).</w:t>
      </w:r>
    </w:p>
    <w:p w14:paraId="5048B7D9" w14:textId="77777777" w:rsidR="00665165" w:rsidRPr="00F90EAE" w:rsidRDefault="00665165" w:rsidP="00F90EAE">
      <w:pPr>
        <w:autoSpaceDE w:val="0"/>
        <w:autoSpaceDN w:val="0"/>
        <w:adjustRightInd w:val="0"/>
        <w:jc w:val="both"/>
        <w:rPr>
          <w:color w:val="000000" w:themeColor="text1"/>
          <w:sz w:val="16"/>
          <w:szCs w:val="16"/>
          <w:lang w:val="en-US"/>
        </w:rPr>
      </w:pPr>
    </w:p>
    <w:p w14:paraId="10C1E8C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25-June 26, 1945. Conferees: Delegates from forty-six nations. Main result: Adoption of the United Nations Charter (1052).</w:t>
      </w:r>
    </w:p>
    <w:p w14:paraId="7A0D1307" w14:textId="77777777" w:rsidR="00665165" w:rsidRPr="00F90EAE" w:rsidRDefault="00665165" w:rsidP="00F90EAE">
      <w:pPr>
        <w:autoSpaceDE w:val="0"/>
        <w:autoSpaceDN w:val="0"/>
        <w:adjustRightInd w:val="0"/>
        <w:jc w:val="both"/>
        <w:rPr>
          <w:color w:val="000000" w:themeColor="text1"/>
          <w:sz w:val="16"/>
          <w:szCs w:val="16"/>
          <w:lang w:val="en-US"/>
        </w:rPr>
      </w:pPr>
    </w:p>
    <w:p w14:paraId="629FFED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On April 25, 1945, delegates of 50 nations and representatives of U.S. citizens' groups serving as consultants to the U.S. delegation met in San Francisco for the conference known officially as the United Nations Conference on International Organization. The delegates drew up a 111-article charter, which was adopted unanimously on June 25, 1945. They signed it the next day in the Veterans Memorial Auditorium (now Herbst Theatre) (1286).</w:t>
      </w:r>
    </w:p>
    <w:p w14:paraId="2F0024FF" w14:textId="77777777" w:rsidR="00665165" w:rsidRPr="00F90EAE" w:rsidRDefault="00665165" w:rsidP="00F90EAE">
      <w:pPr>
        <w:autoSpaceDE w:val="0"/>
        <w:autoSpaceDN w:val="0"/>
        <w:adjustRightInd w:val="0"/>
        <w:jc w:val="both"/>
        <w:rPr>
          <w:color w:val="000000" w:themeColor="text1"/>
          <w:sz w:val="16"/>
          <w:szCs w:val="16"/>
          <w:lang w:val="en-US"/>
        </w:rPr>
      </w:pPr>
    </w:p>
    <w:p w14:paraId="339808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апреля по 26 июня 1945 состоялась конференция в Сан-Франциско, на которой 46 стран одобрили хартию ООН (1052;1286).</w:t>
      </w:r>
    </w:p>
    <w:p w14:paraId="6A8BFE3A" w14:textId="77777777" w:rsidR="00665165" w:rsidRPr="00F90EAE" w:rsidRDefault="00665165" w:rsidP="00F90EAE">
      <w:pPr>
        <w:autoSpaceDE w:val="0"/>
        <w:autoSpaceDN w:val="0"/>
        <w:adjustRightInd w:val="0"/>
        <w:jc w:val="both"/>
        <w:rPr>
          <w:color w:val="000000" w:themeColor="text1"/>
          <w:sz w:val="16"/>
          <w:szCs w:val="16"/>
        </w:rPr>
      </w:pPr>
    </w:p>
    <w:p w14:paraId="17A4F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г. открылась учредительная конференция в Сан-Франциско. Сталин отказался посылать Молотова на конференцию, если варшавское правительство (еще не обновленное и не признанное Западом) не будет приглашено в качестве представителя Польши. Однако в конечном счете Сталину пришлось уступить.</w:t>
      </w:r>
    </w:p>
    <w:p w14:paraId="2F0266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Конференция должна была принять Устав ООН. Политические принципы, заложенные в основу новой международной организации, казались бесспорными. Вопрос состоял в политических механизмах действия этого форума.</w:t>
      </w:r>
    </w:p>
    <w:p w14:paraId="0A1D5F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Конференция приняла решение об ответственности Совета Безопасности за поддержание мира, ограничив полномочия Ассамблеи дискуссией и рекомендациями. Малые державы пытались протестовать против предложенной формулы "скрытого вето". Согласно ялтинской договоренности, великая держава, интересы которой затрагивались голосованием, права голоса не имела, но остальные четыре великие державы должны были голосовать единодушно. Стоило одной из них проголосовать против, как действия Совета Безопасности были заблокированы. С учетом того, что великие державы находились в непрестанном взаимодействии, их поддержка друг друга казалась малым странам неизбежной. Однако великие державы именно в силу этого обстоятельства менять устав не пожелали.</w:t>
      </w:r>
    </w:p>
    <w:p w14:paraId="23EBD5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Британская делегация добилась поправки, касающейся выборов в Совет Безопасности. Теперь требовалось равномерное географическое представительство держав, а также учет их вклада в обеспечение международной безопасности.</w:t>
      </w:r>
    </w:p>
    <w:p w14:paraId="2977BE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США и СССР были недовольны предполагавшейся подчиненностью региональных организаций и договоров решениям Совета: Вашингтон опасался за сферу своего влияния в Западном полушарии, а Москва - за систему договоров в Европе. Новая статья предусматривала право на индивидуальную или коллективную самозащиту в случае агрессии - до принятия Советом Безопасности соответствующих мер.</w:t>
      </w:r>
    </w:p>
    <w:p w14:paraId="71D5D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Советская сторона настаивала, чтобы великая держава имела право вето на обсуждение (не голосование!) вопроса, который ее не касается. Обсуждение, настаивала советская сторона, это важный политический акт с серьезными последствиями. Советский демарш вызвал противодействие Запада. Конфликт удалось погасить через Гопкинса, который в это время был в Москве. Сталин согласился снять свое предложение.</w:t>
      </w:r>
    </w:p>
    <w:p w14:paraId="348FD2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Американская делегация представила конференции предложения о системе опеки. Всеобъемлющей концепции, которую желал видеть Рузвельт, не получилось; американский проект основывался на предложениях для островов Тихого океана. Американцы предложили две категории мандатных территорий. Первая определялась как стратегические районы; здесь опеку обеспечивал Совет Безопасности. В остальных районах, зачисленных во вторую категорию, опеку обеспечивала Ассамблея через Совет по опеке (3871).</w:t>
      </w:r>
    </w:p>
    <w:p w14:paraId="0C8DA712" w14:textId="77777777" w:rsidR="00665165" w:rsidRPr="00F90EAE" w:rsidRDefault="00665165" w:rsidP="00F90EAE">
      <w:pPr>
        <w:autoSpaceDE w:val="0"/>
        <w:autoSpaceDN w:val="0"/>
        <w:adjustRightInd w:val="0"/>
        <w:jc w:val="both"/>
        <w:rPr>
          <w:color w:val="000000" w:themeColor="text1"/>
          <w:sz w:val="16"/>
          <w:szCs w:val="16"/>
        </w:rPr>
      </w:pPr>
    </w:p>
    <w:p w14:paraId="314F1F54"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в Сан-Франциско (США) открылась конференция 50-ти государств-учредителей Организации Объединенных Наций (ООН); 26 июня был подписан Устав ООН. Организация Объединенных Наций (ООН) - международная организация государств, созданная в целях поддержания и укрепления международного мира, безопасности, развития сотрудничества между странами. 26 июня 1945 года 51 государство-участник Сан-Францисской конференции, работавшей два месяца, подписали Устав ООН. В преамбуле Устава говорилось о решимости народов Объединенных Наций «избавить грядущие поколения от бедствий войны». Целями ООН, закрепленными в ее Уставе, являются поддержание международного мира и безопасности, предотвращение и устранение угрозы миру и подавление актов агрессии, улаживание или разрешение мирными средствами международных споров, развитие дружественных отношений между нациями на основе уважения принципа равноправия и самоопределения народов; осуществление международного сотрудничества в экономических, социальных, культурных и гуманитарных областях, поощрение и развитие уважения к правам человека и основным свободам для всех, без различия расы, пола, языка и религии. Члены ООН обязались действовать в соответствии со следующими принципами: суверенное равенство государств; разрешение международных споров мирными средствами; отказ в международных отношениях от угрозы силой или ее применение против территориальной неприкосновенности или политической независимости любого государства. 24 октября 1945 года Устав Организации Объединенных Наций вступил в силу. С 1948 года этот день отмечается как День Организации Объединенных Наций. В настоящее время членами ООН является 191 государство мира. ООН имеет ряд собственных специализированных учреждений - международных межправительственных организаций по экономическим, социальным и гуманитарным вопросам (ЮНЕСКО, ВОЗ, ФАО, МВФ, МОТ, ЮНИДО и другие). Большинство членов ООН - участники специализированных учреждений ООН. В общую систему ООН входят также автономные организации, такие, как Всемирная торговая организация (ВТО) и Международное агентство по атомной энергии (МАГАТЭ) (15110).</w:t>
      </w:r>
    </w:p>
    <w:p w14:paraId="43719F6D" w14:textId="77777777" w:rsidR="00B307A0" w:rsidRPr="00F90EAE" w:rsidRDefault="00B307A0" w:rsidP="00F90EAE">
      <w:pPr>
        <w:jc w:val="both"/>
        <w:rPr>
          <w:color w:val="000000" w:themeColor="text1"/>
          <w:sz w:val="16"/>
          <w:szCs w:val="16"/>
        </w:rPr>
      </w:pPr>
    </w:p>
    <w:p w14:paraId="78FDDE2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E3F8768" w14:textId="77777777" w:rsidR="00665165" w:rsidRPr="00F90EAE" w:rsidRDefault="00665165" w:rsidP="00F90EAE">
      <w:pPr>
        <w:autoSpaceDE w:val="0"/>
        <w:autoSpaceDN w:val="0"/>
        <w:adjustRightInd w:val="0"/>
        <w:jc w:val="both"/>
        <w:rPr>
          <w:iCs/>
          <w:color w:val="000000" w:themeColor="text1"/>
          <w:sz w:val="16"/>
          <w:szCs w:val="16"/>
        </w:rPr>
      </w:pPr>
    </w:p>
    <w:p w14:paraId="263A7E85"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впервые поднявшийся в воздух третий экземпляр вертолёта «Bell» «Model 30» имел четырехколесное шасси, цилиндрическую хвостовую балку, открытую одноместную кабину (позднее закрытую с каплевидным фонарем) и усовершенствованное оборудование. На базе этих экспериментальных вертолетов были разработаны и выпущены в большом количестве серийные вертолеты «Bell» «Model 47» (15110).</w:t>
      </w:r>
    </w:p>
    <w:p w14:paraId="2D1470B6" w14:textId="77777777" w:rsidR="00B307A0" w:rsidRPr="00F90EAE" w:rsidRDefault="00B307A0" w:rsidP="00F90EAE">
      <w:pPr>
        <w:jc w:val="both"/>
        <w:rPr>
          <w:color w:val="000000" w:themeColor="text1"/>
          <w:sz w:val="16"/>
          <w:szCs w:val="16"/>
        </w:rPr>
      </w:pPr>
    </w:p>
    <w:p w14:paraId="440B43AD" w14:textId="77777777" w:rsidR="00143828" w:rsidRPr="00F90EAE" w:rsidRDefault="00143828" w:rsidP="00F90EAE">
      <w:pPr>
        <w:jc w:val="both"/>
        <w:rPr>
          <w:color w:val="0070C0"/>
          <w:sz w:val="16"/>
          <w:szCs w:val="16"/>
        </w:rPr>
      </w:pPr>
      <w:r w:rsidRPr="00F90EAE">
        <w:rPr>
          <w:color w:val="0070C0"/>
          <w:sz w:val="16"/>
          <w:szCs w:val="16"/>
        </w:rPr>
        <w:t>25 апреля 1945 - 8-я воздушная армия ВВС США совершила свой последний налёт на промышленную цель во время Второй мировой войны. В-17 устроили налет на завод по выпуску вооружений «Шкода» в Пльзени, в Чехословакии, а В-24 атаковали железнодорожные объекты вокруг запасного логова Гитлера в Берхтесгадене (22524).</w:t>
      </w:r>
    </w:p>
    <w:p w14:paraId="7F301FB0" w14:textId="77777777" w:rsidR="00143828" w:rsidRPr="00F90EAE" w:rsidRDefault="00143828" w:rsidP="00F90EAE">
      <w:pPr>
        <w:jc w:val="both"/>
        <w:rPr>
          <w:color w:val="0070C0"/>
          <w:sz w:val="16"/>
          <w:szCs w:val="16"/>
        </w:rPr>
      </w:pPr>
    </w:p>
    <w:p w14:paraId="75300BBF" w14:textId="77777777" w:rsidR="00143828" w:rsidRPr="00F90EAE" w:rsidRDefault="00143828" w:rsidP="00F90EAE">
      <w:pPr>
        <w:jc w:val="both"/>
        <w:rPr>
          <w:color w:val="0070C0"/>
          <w:sz w:val="16"/>
          <w:szCs w:val="16"/>
        </w:rPr>
      </w:pPr>
      <w:r w:rsidRPr="00F90EAE">
        <w:rPr>
          <w:color w:val="0070C0"/>
          <w:sz w:val="16"/>
          <w:szCs w:val="16"/>
        </w:rPr>
        <w:t>25 апреля 1945 незавершенный немецкий авианосец Graf Zeppelin затоплен в Штеттине, чтобы предотвратить его захват Советским Союзом (20371).</w:t>
      </w:r>
    </w:p>
    <w:p w14:paraId="4F3FA435" w14:textId="77777777" w:rsidR="00143828" w:rsidRPr="00F90EAE" w:rsidRDefault="00143828" w:rsidP="00F90EAE">
      <w:pPr>
        <w:jc w:val="both"/>
        <w:rPr>
          <w:color w:val="0070C0"/>
          <w:sz w:val="16"/>
          <w:szCs w:val="16"/>
        </w:rPr>
      </w:pPr>
    </w:p>
    <w:p w14:paraId="0434B908"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гиммлеровское предложение мира доходит до Лондона. Черчилль поначалу согласился с предложением об односторонеем прекращении военных действий на западном фронте, однако Г.Трумэн категорически потребовал всеобщей безоговорочной капитуляции Германии на всех фронтах (15110).</w:t>
      </w:r>
    </w:p>
    <w:p w14:paraId="75AB233F" w14:textId="77777777" w:rsidR="00B307A0" w:rsidRPr="00F90EAE" w:rsidRDefault="00B307A0" w:rsidP="00F90EAE">
      <w:pPr>
        <w:jc w:val="both"/>
        <w:rPr>
          <w:color w:val="000000" w:themeColor="text1"/>
          <w:sz w:val="16"/>
          <w:szCs w:val="16"/>
        </w:rPr>
      </w:pPr>
    </w:p>
    <w:p w14:paraId="417422B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апреля 1945 английской авиацией разрушен дом Гитлера в Берхтесгадене (4962).</w:t>
      </w:r>
    </w:p>
    <w:p w14:paraId="1F63D56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3FF19AD"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«Ланкастеры» из 5-ой группы днем атаковали убежище Гитлера в Берхтесгадене (с эскортом «Р-51» «Мустанг» 8-х ВВС США) (15110).</w:t>
      </w:r>
    </w:p>
    <w:p w14:paraId="7C88D756" w14:textId="77777777" w:rsidR="00B307A0" w:rsidRPr="00F90EAE" w:rsidRDefault="00B307A0" w:rsidP="00F90EAE">
      <w:pPr>
        <w:jc w:val="both"/>
        <w:rPr>
          <w:color w:val="000000" w:themeColor="text1"/>
          <w:sz w:val="16"/>
          <w:szCs w:val="16"/>
        </w:rPr>
      </w:pPr>
    </w:p>
    <w:p w14:paraId="28BA081D" w14:textId="77777777" w:rsidR="00B307A0" w:rsidRPr="00F90EAE" w:rsidRDefault="00B307A0"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английская авиация разбомбила горное убежище А.Гитлера Berchstesgarden (2248,5).</w:t>
      </w:r>
    </w:p>
    <w:p w14:paraId="03D5FC68" w14:textId="77777777" w:rsidR="00B307A0" w:rsidRPr="00F90EAE" w:rsidRDefault="00B307A0" w:rsidP="00F90EAE">
      <w:pPr>
        <w:autoSpaceDE w:val="0"/>
        <w:autoSpaceDN w:val="0"/>
        <w:adjustRightInd w:val="0"/>
        <w:jc w:val="both"/>
        <w:rPr>
          <w:color w:val="000000" w:themeColor="text1"/>
          <w:sz w:val="16"/>
          <w:szCs w:val="16"/>
        </w:rPr>
      </w:pPr>
    </w:p>
    <w:p w14:paraId="1D140052" w14:textId="77777777" w:rsidR="007048F1" w:rsidRPr="00F90EAE" w:rsidRDefault="007048F1" w:rsidP="00F90EAE">
      <w:pPr>
        <w:jc w:val="both"/>
        <w:rPr>
          <w:color w:val="0070C0"/>
          <w:sz w:val="16"/>
          <w:szCs w:val="16"/>
        </w:rPr>
      </w:pPr>
      <w:r w:rsidRPr="00F90EAE">
        <w:rPr>
          <w:color w:val="0070C0"/>
          <w:sz w:val="16"/>
          <w:szCs w:val="16"/>
        </w:rPr>
        <w:t>25 апреля 1945 - "Ланкастеры" из 5-ой группы днем атаковала убежище Гитлера в Берхтесгадене (с эскортом Р-51 "Мустанг" 8-х ВВС США) (22524).</w:t>
      </w:r>
    </w:p>
    <w:p w14:paraId="235D09EE" w14:textId="77777777" w:rsidR="007048F1" w:rsidRPr="00F90EAE" w:rsidRDefault="007048F1" w:rsidP="00F90EAE">
      <w:pPr>
        <w:jc w:val="both"/>
        <w:rPr>
          <w:color w:val="0070C0"/>
          <w:sz w:val="16"/>
          <w:szCs w:val="16"/>
        </w:rPr>
      </w:pPr>
    </w:p>
    <w:p w14:paraId="4340DA47" w14:textId="77777777" w:rsidR="00A278CB" w:rsidRPr="00F90EAE" w:rsidRDefault="00A278CB" w:rsidP="00F90EAE">
      <w:pPr>
        <w:pStyle w:val="11b"/>
        <w:shd w:val="clear" w:color="auto" w:fill="auto"/>
        <w:spacing w:after="0"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25 апреля 1945 307 «летающих крепостей» бомбили Пльзень. Шесть В-17 были сбиты и четыре повреждены так, что не подлежали восстановлению. Бомбежки союзников, приводившие к большим жертвам среди мирного населения, практически не сказывались на производстве чешских заводов. В качестве примера приведу данные по выпуску противотанковых САУ «Хетцер» на заводе «Шкода» за 1944-1945 гг. (19083).</w:t>
      </w:r>
    </w:p>
    <w:tbl>
      <w:tblPr>
        <w:tblW w:w="0" w:type="auto"/>
        <w:tblLayout w:type="fixed"/>
        <w:tblCellMar>
          <w:left w:w="10" w:type="dxa"/>
          <w:right w:w="10" w:type="dxa"/>
        </w:tblCellMar>
        <w:tblLook w:val="04A0" w:firstRow="1" w:lastRow="0" w:firstColumn="1" w:lastColumn="0" w:noHBand="0" w:noVBand="1"/>
      </w:tblPr>
      <w:tblGrid>
        <w:gridCol w:w="839"/>
        <w:gridCol w:w="695"/>
        <w:gridCol w:w="659"/>
        <w:gridCol w:w="724"/>
        <w:gridCol w:w="659"/>
        <w:gridCol w:w="752"/>
        <w:gridCol w:w="637"/>
      </w:tblGrid>
      <w:tr w:rsidR="00561F31" w:rsidRPr="00F90EAE" w14:paraId="5368554D" w14:textId="77777777" w:rsidTr="00F0626F">
        <w:trPr>
          <w:trHeight w:val="313"/>
        </w:trPr>
        <w:tc>
          <w:tcPr>
            <w:tcW w:w="839" w:type="dxa"/>
            <w:tcBorders>
              <w:top w:val="single" w:sz="4" w:space="0" w:color="auto"/>
              <w:left w:val="single" w:sz="4" w:space="0" w:color="auto"/>
              <w:bottom w:val="single" w:sz="4" w:space="0" w:color="auto"/>
            </w:tcBorders>
            <w:shd w:val="clear" w:color="auto" w:fill="auto"/>
          </w:tcPr>
          <w:p w14:paraId="2A02ADFC" w14:textId="77777777" w:rsidR="00A278CB" w:rsidRPr="00F90EAE" w:rsidRDefault="00A278CB" w:rsidP="00F90EAE">
            <w:pPr>
              <w:framePr w:wrap="notBeside" w:vAnchor="text" w:hAnchor="text" w:xAlign="center" w:y="1"/>
              <w:jc w:val="both"/>
              <w:rPr>
                <w:color w:val="000000" w:themeColor="text1"/>
                <w:sz w:val="16"/>
                <w:szCs w:val="16"/>
              </w:rPr>
            </w:pPr>
            <w:r w:rsidRPr="00F90EAE">
              <w:rPr>
                <w:rFonts w:eastAsiaTheme="minorHAnsi"/>
                <w:color w:val="000000" w:themeColor="text1"/>
                <w:sz w:val="16"/>
                <w:szCs w:val="16"/>
              </w:rPr>
              <w:t>Год</w:t>
            </w:r>
          </w:p>
        </w:tc>
        <w:tc>
          <w:tcPr>
            <w:tcW w:w="2078" w:type="dxa"/>
            <w:gridSpan w:val="3"/>
            <w:tcBorders>
              <w:top w:val="single" w:sz="4" w:space="0" w:color="auto"/>
              <w:bottom w:val="single" w:sz="4" w:space="0" w:color="auto"/>
            </w:tcBorders>
            <w:shd w:val="clear" w:color="auto" w:fill="auto"/>
          </w:tcPr>
          <w:p w14:paraId="43D96E5E" w14:textId="77777777" w:rsidR="00A278CB" w:rsidRPr="00F90EAE" w:rsidRDefault="00A278CB" w:rsidP="00F90EAE">
            <w:pPr>
              <w:framePr w:wrap="notBeside" w:vAnchor="text" w:hAnchor="text" w:xAlign="center" w:y="1"/>
              <w:jc w:val="both"/>
              <w:rPr>
                <w:color w:val="000000" w:themeColor="text1"/>
                <w:sz w:val="16"/>
                <w:szCs w:val="16"/>
              </w:rPr>
            </w:pPr>
            <w:r w:rsidRPr="00F90EAE">
              <w:rPr>
                <w:rFonts w:eastAsiaTheme="minorHAnsi"/>
                <w:color w:val="000000" w:themeColor="text1"/>
                <w:sz w:val="16"/>
                <w:szCs w:val="16"/>
              </w:rPr>
              <w:t>1944</w:t>
            </w:r>
          </w:p>
        </w:tc>
        <w:tc>
          <w:tcPr>
            <w:tcW w:w="2048" w:type="dxa"/>
            <w:gridSpan w:val="3"/>
            <w:tcBorders>
              <w:top w:val="single" w:sz="4" w:space="0" w:color="auto"/>
              <w:bottom w:val="single" w:sz="4" w:space="0" w:color="auto"/>
              <w:right w:val="single" w:sz="4" w:space="0" w:color="auto"/>
            </w:tcBorders>
            <w:shd w:val="clear" w:color="auto" w:fill="auto"/>
          </w:tcPr>
          <w:p w14:paraId="076BF37A" w14:textId="77777777" w:rsidR="00A278CB" w:rsidRPr="00F90EAE" w:rsidRDefault="00A278CB" w:rsidP="00F90EAE">
            <w:pPr>
              <w:framePr w:wrap="notBeside" w:vAnchor="text" w:hAnchor="text" w:xAlign="center" w:y="1"/>
              <w:jc w:val="both"/>
              <w:rPr>
                <w:color w:val="000000" w:themeColor="text1"/>
                <w:sz w:val="16"/>
                <w:szCs w:val="16"/>
              </w:rPr>
            </w:pPr>
            <w:r w:rsidRPr="00F90EAE">
              <w:rPr>
                <w:rFonts w:eastAsiaTheme="minorHAnsi"/>
                <w:color w:val="000000" w:themeColor="text1"/>
                <w:sz w:val="16"/>
                <w:szCs w:val="16"/>
              </w:rPr>
              <w:t>1945</w:t>
            </w:r>
          </w:p>
        </w:tc>
      </w:tr>
      <w:tr w:rsidR="00561F31" w:rsidRPr="00F90EAE" w14:paraId="37CD08AD" w14:textId="77777777" w:rsidTr="00F0626F">
        <w:trPr>
          <w:trHeight w:val="439"/>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649D5DD6"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Месяц</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0425C60B"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октябрь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82B4BAB"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ноябрь</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7002B762"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декабрь</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334229C2"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январь</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0C48B466"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февраль</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3D5404"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март</w:t>
            </w:r>
          </w:p>
        </w:tc>
      </w:tr>
      <w:tr w:rsidR="00561F31" w:rsidRPr="00F90EAE" w14:paraId="18DCD3B1" w14:textId="77777777" w:rsidTr="00F0626F">
        <w:trPr>
          <w:trHeight w:val="403"/>
        </w:trPr>
        <w:tc>
          <w:tcPr>
            <w:tcW w:w="839" w:type="dxa"/>
            <w:tcBorders>
              <w:top w:val="single" w:sz="4" w:space="0" w:color="auto"/>
              <w:left w:val="single" w:sz="4" w:space="0" w:color="auto"/>
              <w:bottom w:val="single" w:sz="4" w:space="0" w:color="auto"/>
              <w:right w:val="single" w:sz="4" w:space="0" w:color="auto"/>
            </w:tcBorders>
            <w:shd w:val="clear" w:color="auto" w:fill="FFFFFF"/>
          </w:tcPr>
          <w:p w14:paraId="4FD2ABEA"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Число САУ</w:t>
            </w:r>
          </w:p>
        </w:tc>
        <w:tc>
          <w:tcPr>
            <w:tcW w:w="695" w:type="dxa"/>
            <w:tcBorders>
              <w:top w:val="single" w:sz="4" w:space="0" w:color="auto"/>
              <w:left w:val="single" w:sz="4" w:space="0" w:color="auto"/>
              <w:bottom w:val="single" w:sz="4" w:space="0" w:color="auto"/>
              <w:right w:val="single" w:sz="4" w:space="0" w:color="auto"/>
            </w:tcBorders>
            <w:shd w:val="clear" w:color="auto" w:fill="FFFFFF"/>
          </w:tcPr>
          <w:p w14:paraId="601A0C65"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51</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625A571B"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89</w:t>
            </w:r>
          </w:p>
        </w:tc>
        <w:tc>
          <w:tcPr>
            <w:tcW w:w="724" w:type="dxa"/>
            <w:tcBorders>
              <w:top w:val="single" w:sz="4" w:space="0" w:color="auto"/>
              <w:left w:val="single" w:sz="4" w:space="0" w:color="auto"/>
              <w:bottom w:val="single" w:sz="4" w:space="0" w:color="auto"/>
              <w:right w:val="single" w:sz="4" w:space="0" w:color="auto"/>
            </w:tcBorders>
            <w:shd w:val="clear" w:color="auto" w:fill="FFFFFF"/>
          </w:tcPr>
          <w:p w14:paraId="3ECC8D89"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104</w:t>
            </w:r>
          </w:p>
        </w:tc>
        <w:tc>
          <w:tcPr>
            <w:tcW w:w="659" w:type="dxa"/>
            <w:tcBorders>
              <w:top w:val="single" w:sz="4" w:space="0" w:color="auto"/>
              <w:left w:val="single" w:sz="4" w:space="0" w:color="auto"/>
              <w:bottom w:val="single" w:sz="4" w:space="0" w:color="auto"/>
              <w:right w:val="single" w:sz="4" w:space="0" w:color="auto"/>
            </w:tcBorders>
            <w:shd w:val="clear" w:color="auto" w:fill="FFFFFF"/>
          </w:tcPr>
          <w:p w14:paraId="485E9BBB"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145</w:t>
            </w:r>
          </w:p>
        </w:tc>
        <w:tc>
          <w:tcPr>
            <w:tcW w:w="752" w:type="dxa"/>
            <w:tcBorders>
              <w:top w:val="single" w:sz="4" w:space="0" w:color="auto"/>
              <w:left w:val="single" w:sz="4" w:space="0" w:color="auto"/>
              <w:bottom w:val="single" w:sz="4" w:space="0" w:color="auto"/>
              <w:right w:val="single" w:sz="4" w:space="0" w:color="auto"/>
            </w:tcBorders>
            <w:shd w:val="clear" w:color="auto" w:fill="FFFFFF"/>
          </w:tcPr>
          <w:p w14:paraId="70894267"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123</w:t>
            </w:r>
          </w:p>
        </w:tc>
        <w:tc>
          <w:tcPr>
            <w:tcW w:w="637" w:type="dxa"/>
            <w:tcBorders>
              <w:top w:val="single" w:sz="4" w:space="0" w:color="auto"/>
              <w:left w:val="single" w:sz="4" w:space="0" w:color="auto"/>
              <w:bottom w:val="single" w:sz="4" w:space="0" w:color="auto"/>
              <w:right w:val="single" w:sz="4" w:space="0" w:color="auto"/>
            </w:tcBorders>
            <w:shd w:val="clear" w:color="auto" w:fill="FFFFFF"/>
          </w:tcPr>
          <w:p w14:paraId="5CC551B7" w14:textId="77777777" w:rsidR="00A278CB" w:rsidRPr="00F90EAE" w:rsidRDefault="00A278CB" w:rsidP="00F90EAE">
            <w:pPr>
              <w:framePr w:wrap="notBeside" w:vAnchor="text" w:hAnchor="text" w:xAlign="center" w:y="1"/>
              <w:jc w:val="both"/>
              <w:rPr>
                <w:color w:val="000000" w:themeColor="text1"/>
                <w:sz w:val="16"/>
                <w:szCs w:val="16"/>
              </w:rPr>
            </w:pPr>
            <w:r w:rsidRPr="00F90EAE">
              <w:rPr>
                <w:color w:val="000000" w:themeColor="text1"/>
                <w:sz w:val="16"/>
                <w:szCs w:val="16"/>
              </w:rPr>
              <w:t>153</w:t>
            </w:r>
          </w:p>
        </w:tc>
      </w:tr>
    </w:tbl>
    <w:p w14:paraId="6AB1EA97" w14:textId="77777777" w:rsidR="00A278CB" w:rsidRPr="00F90EAE" w:rsidRDefault="00A278CB" w:rsidP="00F90EAE">
      <w:pPr>
        <w:pStyle w:val="11b"/>
        <w:shd w:val="clear" w:color="auto" w:fill="auto"/>
        <w:spacing w:after="0" w:line="240" w:lineRule="auto"/>
        <w:jc w:val="both"/>
        <w:rPr>
          <w:rFonts w:ascii="Times New Roman" w:hAnsi="Times New Roman" w:cs="Times New Roman"/>
          <w:color w:val="000000" w:themeColor="text1"/>
          <w:sz w:val="16"/>
          <w:szCs w:val="16"/>
        </w:rPr>
      </w:pPr>
    </w:p>
    <w:p w14:paraId="49484032" w14:textId="77777777" w:rsidR="007048F1" w:rsidRPr="00F90EAE" w:rsidRDefault="007048F1" w:rsidP="00F90EAE">
      <w:pPr>
        <w:jc w:val="both"/>
        <w:rPr>
          <w:color w:val="0070C0"/>
          <w:sz w:val="16"/>
          <w:szCs w:val="16"/>
        </w:rPr>
      </w:pPr>
      <w:r w:rsidRPr="00F90EAE">
        <w:rPr>
          <w:color w:val="0070C0"/>
          <w:sz w:val="16"/>
          <w:szCs w:val="16"/>
        </w:rPr>
        <w:t>25 апреля 1945 275 B-17 в сопровождении четырех групп P-51 Mustang атакуют оружейный завод Plzen -Škoda в Чехословакии. Это последняя тяжелая бомбардировочная миссия против промышленного объекта (20371).</w:t>
      </w:r>
    </w:p>
    <w:p w14:paraId="73D39C92" w14:textId="77777777" w:rsidR="007048F1" w:rsidRPr="00F90EAE" w:rsidRDefault="007048F1" w:rsidP="00F90EAE">
      <w:pPr>
        <w:jc w:val="both"/>
        <w:rPr>
          <w:color w:val="0070C0"/>
          <w:sz w:val="16"/>
          <w:szCs w:val="16"/>
        </w:rPr>
      </w:pPr>
    </w:p>
    <w:p w14:paraId="46819306" w14:textId="77777777" w:rsidR="00B307A0" w:rsidRPr="00F90EAE" w:rsidRDefault="00B307A0"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г. «Ланкастеры» совершили свой последний боевой вылет, когда бомбардировщики 5-й группы под прикрытием американских «Мустангов» («Mustang») атаковали днем отступающие части вермахта у Берхтсгадена. Той же ночью 119 «авро» группы совершили налет на базу подлодок в одном из фьордов под Осло (11860).</w:t>
      </w:r>
    </w:p>
    <w:p w14:paraId="73F223CB" w14:textId="77777777" w:rsidR="00B307A0" w:rsidRPr="00F90EAE" w:rsidRDefault="00B307A0" w:rsidP="00F90EAE">
      <w:pPr>
        <w:autoSpaceDE w:val="0"/>
        <w:autoSpaceDN w:val="0"/>
        <w:adjustRightInd w:val="0"/>
        <w:jc w:val="both"/>
        <w:rPr>
          <w:color w:val="000000" w:themeColor="text1"/>
          <w:sz w:val="16"/>
          <w:szCs w:val="16"/>
        </w:rPr>
      </w:pPr>
    </w:p>
    <w:p w14:paraId="2B54220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апреля 1945 войска союзников освободила узников концлагерей Маутхаузен и Равенсбрюк (4962).</w:t>
      </w:r>
    </w:p>
    <w:p w14:paraId="55AB179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FB44DDA" w14:textId="77777777" w:rsidR="00665165" w:rsidRPr="00F90EAE" w:rsidRDefault="00665165" w:rsidP="00F90EAE">
      <w:pPr>
        <w:tabs>
          <w:tab w:val="left" w:pos="11199"/>
        </w:tabs>
        <w:autoSpaceDE w:val="0"/>
        <w:autoSpaceDN w:val="0"/>
        <w:adjustRightInd w:val="0"/>
        <w:jc w:val="both"/>
        <w:rPr>
          <w:color w:val="000000" w:themeColor="text1"/>
          <w:sz w:val="16"/>
          <w:szCs w:val="16"/>
          <w:lang w:val="en-US"/>
        </w:rPr>
      </w:pPr>
      <w:r w:rsidRPr="00F90EAE">
        <w:rPr>
          <w:color w:val="000000" w:themeColor="text1"/>
          <w:sz w:val="16"/>
          <w:szCs w:val="16"/>
        </w:rPr>
        <w:t xml:space="preserve">25 апреля 1945 Муссолини принял решение бежать в Швейцарию </w:t>
      </w:r>
      <w:r w:rsidRPr="00F90EAE">
        <w:rPr>
          <w:color w:val="000000" w:themeColor="text1"/>
          <w:sz w:val="16"/>
          <w:szCs w:val="16"/>
          <w:lang w:val="en-US"/>
        </w:rPr>
        <w:t>(4962).</w:t>
      </w:r>
    </w:p>
    <w:p w14:paraId="631B69CD" w14:textId="77777777" w:rsidR="00665165" w:rsidRPr="00F90EAE" w:rsidRDefault="00665165" w:rsidP="00F90EAE">
      <w:pPr>
        <w:tabs>
          <w:tab w:val="left" w:pos="11199"/>
        </w:tabs>
        <w:autoSpaceDE w:val="0"/>
        <w:autoSpaceDN w:val="0"/>
        <w:adjustRightInd w:val="0"/>
        <w:jc w:val="both"/>
        <w:rPr>
          <w:color w:val="000000" w:themeColor="text1"/>
          <w:sz w:val="16"/>
          <w:szCs w:val="16"/>
          <w:lang w:val="en-US"/>
        </w:rPr>
      </w:pPr>
    </w:p>
    <w:p w14:paraId="2DB6D3D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25th, 1945: Units of the US Ninth Army (Simpson) and the Soviet 1st Ukrainian Front (Konev) meet on the Elbe at Torgau, 100 miles SW of Berlin. In Berlin, the battle continues with unabated ferocity, both sides suffering heavy casualties in bitter house-to-house fighting. The relief attack by III.Panzerkorps (Steiner) from the area of Eberswalde 50 miles NE of Berlin fails for lack of forces. The isolated fortress of Breslau is still holding out. In Italy, US and British forces cross the Po river and capture Parma and Mantua. German U-boats sink 5 Allied supply ships in the English Channel. Beginning of the San Francisco Conference convened to discuss the founding of the United Nations (3819).</w:t>
      </w:r>
    </w:p>
    <w:p w14:paraId="59EA7876" w14:textId="77777777" w:rsidR="00665165" w:rsidRPr="00F90EAE" w:rsidRDefault="00665165" w:rsidP="00F90EAE">
      <w:pPr>
        <w:autoSpaceDE w:val="0"/>
        <w:autoSpaceDN w:val="0"/>
        <w:adjustRightInd w:val="0"/>
        <w:jc w:val="both"/>
        <w:rPr>
          <w:color w:val="000000" w:themeColor="text1"/>
          <w:sz w:val="16"/>
          <w:szCs w:val="16"/>
          <w:lang w:val="en-US"/>
        </w:rPr>
      </w:pPr>
    </w:p>
    <w:p w14:paraId="131C23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в оккупированных немцами северных областях Италии всеобщая забастовка переросла по призыву компартии в вооруженное восстание. Партизаны к концу месяца освободили Милан, Геную, Турин еще до прихода англо-американцев (3263,200).</w:t>
      </w:r>
    </w:p>
    <w:p w14:paraId="3978AD6B" w14:textId="77777777" w:rsidR="00665165" w:rsidRPr="00F90EAE" w:rsidRDefault="00665165" w:rsidP="00F90EAE">
      <w:pPr>
        <w:autoSpaceDE w:val="0"/>
        <w:autoSpaceDN w:val="0"/>
        <w:adjustRightInd w:val="0"/>
        <w:jc w:val="both"/>
        <w:rPr>
          <w:color w:val="000000" w:themeColor="text1"/>
          <w:sz w:val="16"/>
          <w:szCs w:val="16"/>
        </w:rPr>
      </w:pPr>
    </w:p>
    <w:p w14:paraId="65A1AE98" w14:textId="77777777" w:rsidR="00B307A0" w:rsidRPr="00F90EAE" w:rsidRDefault="00B307A0" w:rsidP="00F90EAE">
      <w:pPr>
        <w:jc w:val="both"/>
        <w:rPr>
          <w:color w:val="000000" w:themeColor="text1"/>
          <w:sz w:val="16"/>
          <w:szCs w:val="16"/>
        </w:rPr>
      </w:pPr>
      <w:r w:rsidRPr="00F90EAE">
        <w:rPr>
          <w:color w:val="000000" w:themeColor="text1"/>
          <w:sz w:val="16"/>
          <w:szCs w:val="16"/>
        </w:rPr>
        <w:t>25 апреля в 1945 году английские войска заняли Верону (15110).</w:t>
      </w:r>
    </w:p>
    <w:p w14:paraId="06B3FD6D" w14:textId="77777777" w:rsidR="00B307A0" w:rsidRPr="00F90EAE" w:rsidRDefault="00B307A0" w:rsidP="00F90EAE">
      <w:pPr>
        <w:jc w:val="both"/>
        <w:rPr>
          <w:color w:val="000000" w:themeColor="text1"/>
          <w:sz w:val="16"/>
          <w:szCs w:val="16"/>
        </w:rPr>
      </w:pPr>
    </w:p>
    <w:p w14:paraId="420DE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апреля 1945 новый президент США Г.Трумэн узнал атомный секрет (1287).</w:t>
      </w:r>
    </w:p>
    <w:p w14:paraId="2AD342AC" w14:textId="77777777" w:rsidR="00665165" w:rsidRPr="00F90EAE" w:rsidRDefault="00665165" w:rsidP="00F90EAE">
      <w:pPr>
        <w:autoSpaceDE w:val="0"/>
        <w:autoSpaceDN w:val="0"/>
        <w:adjustRightInd w:val="0"/>
        <w:jc w:val="both"/>
        <w:rPr>
          <w:color w:val="000000" w:themeColor="text1"/>
          <w:sz w:val="16"/>
          <w:szCs w:val="16"/>
        </w:rPr>
      </w:pPr>
    </w:p>
    <w:p w14:paraId="05B18EB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In April 1945, the new President learned the most closely-held secret of the war (1287).As Vice President, Harry Truman had not known about the development of the atomic bomb. On the day he assumed the presidency at the death of Franklin D. Roosevelt, Secretary of War Henry L. Stimson had spoken to him briefly and told him that the United States was working on a weapon of extraordinary power. Twelve days later, on April 25, 1945, Stimson and Maj. Gen. Leslie R. Groves, director of the Manhattan Project, briefed President Truman in detail on the secret of the atomic bomb (1287).</w:t>
      </w:r>
    </w:p>
    <w:p w14:paraId="07BCA7E0" w14:textId="77777777" w:rsidR="00665165" w:rsidRPr="00F90EAE" w:rsidRDefault="00665165" w:rsidP="00F90EAE">
      <w:pPr>
        <w:autoSpaceDE w:val="0"/>
        <w:autoSpaceDN w:val="0"/>
        <w:adjustRightInd w:val="0"/>
        <w:jc w:val="both"/>
        <w:rPr>
          <w:color w:val="000000" w:themeColor="text1"/>
          <w:sz w:val="16"/>
          <w:szCs w:val="16"/>
          <w:lang w:val="en-US"/>
        </w:rPr>
      </w:pPr>
    </w:p>
    <w:p w14:paraId="6B80E1F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A6A87CB" w14:textId="77777777" w:rsidR="00665165" w:rsidRPr="00F90EAE" w:rsidRDefault="00665165" w:rsidP="00F90EAE">
      <w:pPr>
        <w:autoSpaceDE w:val="0"/>
        <w:autoSpaceDN w:val="0"/>
        <w:adjustRightInd w:val="0"/>
        <w:jc w:val="both"/>
        <w:rPr>
          <w:iCs/>
          <w:color w:val="000000" w:themeColor="text1"/>
          <w:sz w:val="16"/>
          <w:szCs w:val="16"/>
        </w:rPr>
      </w:pPr>
    </w:p>
    <w:p w14:paraId="73E84B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F90EAE">
        <w:rPr>
          <w:color w:val="000000" w:themeColor="text1"/>
          <w:sz w:val="16"/>
          <w:szCs w:val="16"/>
        </w:rPr>
        <w:softHyphen/>
        <w:t>тор (зав. № 45760). Перед отправ</w:t>
      </w:r>
      <w:r w:rsidRPr="00F90EAE">
        <w:rPr>
          <w:color w:val="000000" w:themeColor="text1"/>
          <w:sz w:val="16"/>
          <w:szCs w:val="16"/>
        </w:rPr>
        <w:softHyphen/>
        <w:t>кой в утиль "старый" мотор нарабо</w:t>
      </w:r>
      <w:r w:rsidRPr="00F90EAE">
        <w:rPr>
          <w:color w:val="000000" w:themeColor="text1"/>
          <w:sz w:val="16"/>
          <w:szCs w:val="16"/>
        </w:rPr>
        <w:softHyphen/>
        <w:t>тал 22 часа 48 минут в воздухе и 16 часов - на земле. Однако АМ-42 с новым номером работал не лучше прежнего. После двух полетов 3 мая в маслофильтре мотора было обна</w:t>
      </w:r>
      <w:r w:rsidRPr="00F90EAE">
        <w:rPr>
          <w:color w:val="000000" w:themeColor="text1"/>
          <w:sz w:val="16"/>
          <w:szCs w:val="16"/>
        </w:rPr>
        <w:softHyphen/>
        <w:t xml:space="preserve">ружено </w:t>
      </w:r>
      <w:r w:rsidRPr="00F90EAE">
        <w:rPr>
          <w:iCs/>
          <w:color w:val="000000" w:themeColor="text1"/>
          <w:sz w:val="16"/>
          <w:szCs w:val="16"/>
        </w:rPr>
        <w:t>"большое количество метал</w:t>
      </w:r>
      <w:r w:rsidRPr="00F90EAE">
        <w:rPr>
          <w:iCs/>
          <w:color w:val="000000" w:themeColor="text1"/>
          <w:sz w:val="16"/>
          <w:szCs w:val="16"/>
        </w:rPr>
        <w:softHyphen/>
        <w:t xml:space="preserve">лической стружки". </w:t>
      </w:r>
      <w:r w:rsidRPr="00F90EAE">
        <w:rPr>
          <w:color w:val="000000" w:themeColor="text1"/>
          <w:sz w:val="16"/>
          <w:szCs w:val="16"/>
        </w:rPr>
        <w:t>Мотор был снят. Через два дня на Ил-8 № 1 устано</w:t>
      </w:r>
      <w:r w:rsidRPr="00F90EAE">
        <w:rPr>
          <w:color w:val="000000" w:themeColor="text1"/>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319F25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полетном весе 7540 кг (1 000 кг бомб) самолет показал мак</w:t>
      </w:r>
      <w:r w:rsidRPr="00F90EAE">
        <w:rPr>
          <w:color w:val="000000" w:themeColor="text1"/>
          <w:sz w:val="16"/>
          <w:szCs w:val="16"/>
        </w:rPr>
        <w:softHyphen/>
        <w:t>симальную скорость 473 км/ч у зем</w:t>
      </w:r>
      <w:r w:rsidRPr="00F90EAE">
        <w:rPr>
          <w:color w:val="000000" w:themeColor="text1"/>
          <w:sz w:val="16"/>
          <w:szCs w:val="16"/>
        </w:rPr>
        <w:softHyphen/>
        <w:t>ли и 516 км/ч на высоте 2720 м. Время подъема на высоту 1000 м со</w:t>
      </w:r>
      <w:r w:rsidRPr="00F90EAE">
        <w:rPr>
          <w:color w:val="000000" w:themeColor="text1"/>
          <w:sz w:val="16"/>
          <w:szCs w:val="16"/>
        </w:rPr>
        <w:softHyphen/>
        <w:t>ставило 2,2 минут. Разбег на фор</w:t>
      </w:r>
      <w:r w:rsidRPr="00F90EAE">
        <w:rPr>
          <w:color w:val="000000" w:themeColor="text1"/>
          <w:sz w:val="16"/>
          <w:szCs w:val="16"/>
        </w:rPr>
        <w:softHyphen/>
        <w:t>саже и с отклоненными на 17° щит</w:t>
      </w:r>
      <w:r w:rsidRPr="00F90EAE">
        <w:rPr>
          <w:color w:val="000000" w:themeColor="text1"/>
          <w:sz w:val="16"/>
          <w:szCs w:val="16"/>
        </w:rPr>
        <w:softHyphen/>
        <w:t>ками равнялся 526 м. С предельно возможной заправкой горючим и маслом (полетный вес 7830 кг) даль</w:t>
      </w:r>
      <w:r w:rsidRPr="00F90EAE">
        <w:rPr>
          <w:color w:val="000000" w:themeColor="text1"/>
          <w:sz w:val="16"/>
          <w:szCs w:val="16"/>
        </w:rPr>
        <w:softHyphen/>
        <w:t>ность полета на высоте 680 м при скорости по прибору 297 км/ч дос</w:t>
      </w:r>
      <w:r w:rsidRPr="00F90EAE">
        <w:rPr>
          <w:color w:val="000000" w:themeColor="text1"/>
          <w:sz w:val="16"/>
          <w:szCs w:val="16"/>
        </w:rPr>
        <w:softHyphen/>
        <w:t>тигала 1270 км.</w:t>
      </w:r>
    </w:p>
    <w:p w14:paraId="41639C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 В. К. Коккинаки дал хо</w:t>
      </w:r>
      <w:r w:rsidRPr="00F90EAE">
        <w:rPr>
          <w:color w:val="000000" w:themeColor="text1"/>
          <w:sz w:val="16"/>
          <w:szCs w:val="16"/>
        </w:rPr>
        <w:softHyphen/>
        <w:t>рошую оценку летным качествам са</w:t>
      </w:r>
      <w:r w:rsidRPr="00F90EAE">
        <w:rPr>
          <w:color w:val="000000" w:themeColor="text1"/>
          <w:sz w:val="16"/>
          <w:szCs w:val="16"/>
        </w:rPr>
        <w:softHyphen/>
        <w:t>молета, отметив простоту и легкость управления, а также устойчивость ма</w:t>
      </w:r>
      <w:r w:rsidRPr="00F90EAE">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F90EAE">
        <w:rPr>
          <w:color w:val="000000" w:themeColor="text1"/>
          <w:sz w:val="16"/>
          <w:szCs w:val="16"/>
        </w:rPr>
        <w:softHyphen/>
        <w:t>каких особенностей не имел. Посад</w:t>
      </w:r>
      <w:r w:rsidRPr="00F90EAE">
        <w:rPr>
          <w:color w:val="000000" w:themeColor="text1"/>
          <w:sz w:val="16"/>
          <w:szCs w:val="16"/>
        </w:rPr>
        <w:softHyphen/>
        <w:t>ка была простой, тенденций к свали</w:t>
      </w:r>
      <w:r w:rsidRPr="00F90EAE">
        <w:rPr>
          <w:color w:val="000000" w:themeColor="text1"/>
          <w:sz w:val="16"/>
          <w:szCs w:val="16"/>
        </w:rPr>
        <w:softHyphen/>
        <w:t>ванию при высоком выравнивании не наблюдалось. В качестве недостат</w:t>
      </w:r>
      <w:r w:rsidRPr="00F90EAE">
        <w:rPr>
          <w:color w:val="000000" w:themeColor="text1"/>
          <w:sz w:val="16"/>
          <w:szCs w:val="16"/>
        </w:rPr>
        <w:softHyphen/>
        <w:t>ков указывались отсутствие тримме</w:t>
      </w:r>
      <w:r w:rsidRPr="00F90EAE">
        <w:rPr>
          <w:color w:val="000000" w:themeColor="text1"/>
          <w:sz w:val="16"/>
          <w:szCs w:val="16"/>
        </w:rPr>
        <w:softHyphen/>
        <w:t>ра на элеронах и неравномерный обдув маслорадиатора.</w:t>
      </w:r>
    </w:p>
    <w:p w14:paraId="25701057" w14:textId="77777777" w:rsidR="00665165" w:rsidRPr="00F90EAE" w:rsidRDefault="00665165" w:rsidP="00F90EAE">
      <w:pPr>
        <w:shd w:val="clear" w:color="auto" w:fill="FFFFFF"/>
        <w:autoSpaceDE w:val="0"/>
        <w:autoSpaceDN w:val="0"/>
        <w:adjustRightInd w:val="0"/>
        <w:jc w:val="both"/>
        <w:rPr>
          <w:iCs/>
          <w:color w:val="000000" w:themeColor="text1"/>
          <w:sz w:val="16"/>
          <w:szCs w:val="16"/>
        </w:rPr>
      </w:pPr>
      <w:r w:rsidRPr="00F90EAE">
        <w:rPr>
          <w:color w:val="000000" w:themeColor="text1"/>
          <w:sz w:val="16"/>
          <w:szCs w:val="16"/>
        </w:rPr>
        <w:t xml:space="preserve">В заключение отчета Ил-8 № 1 рекомендовался </w:t>
      </w:r>
      <w:r w:rsidRPr="00F90EAE">
        <w:rPr>
          <w:iCs/>
          <w:color w:val="000000" w:themeColor="text1"/>
          <w:sz w:val="16"/>
          <w:szCs w:val="16"/>
        </w:rPr>
        <w:t>"к внедрению в се</w:t>
      </w:r>
      <w:r w:rsidRPr="00F90EAE">
        <w:rPr>
          <w:iCs/>
          <w:color w:val="000000" w:themeColor="text1"/>
          <w:sz w:val="16"/>
          <w:szCs w:val="16"/>
        </w:rPr>
        <w:softHyphen/>
        <w:t>рийное производство в качестве штурмовика-бомбардировщика " (11431).</w:t>
      </w:r>
    </w:p>
    <w:p w14:paraId="572F8F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9A6C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г. А.Н. Туполев предъявил макетной комиссии четырехмоторный дальний высотный бомбардировщик "64" с двигателями АМ-43 и турбокомпрессорами ТК-300Б. Проект был похоронен после принятия решения о постройке самолета Ту-4 (9032).</w:t>
      </w:r>
    </w:p>
    <w:p w14:paraId="7D3E3C14" w14:textId="77777777" w:rsidR="00665165" w:rsidRPr="00F90EAE" w:rsidRDefault="00665165" w:rsidP="00F90EAE">
      <w:pPr>
        <w:autoSpaceDE w:val="0"/>
        <w:autoSpaceDN w:val="0"/>
        <w:adjustRightInd w:val="0"/>
        <w:jc w:val="both"/>
        <w:rPr>
          <w:color w:val="000000" w:themeColor="text1"/>
          <w:sz w:val="16"/>
          <w:szCs w:val="16"/>
        </w:rPr>
      </w:pPr>
    </w:p>
    <w:p w14:paraId="5793C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г. А.Н.Туполев предъявил макетной комиссии четырехмоторный дальний высотный бомбардировщик 64 с двига</w:t>
      </w:r>
      <w:r w:rsidRPr="00F90EAE">
        <w:rPr>
          <w:color w:val="000000" w:themeColor="text1"/>
          <w:sz w:val="16"/>
          <w:szCs w:val="16"/>
        </w:rPr>
        <w:softHyphen/>
        <w:t>телями АМ-43 и турбокомпрессорами ТК-300Б. Проект был похо</w:t>
      </w:r>
      <w:r w:rsidRPr="00F90EAE">
        <w:rPr>
          <w:color w:val="000000" w:themeColor="text1"/>
          <w:sz w:val="16"/>
          <w:szCs w:val="16"/>
        </w:rPr>
        <w:softHyphen/>
        <w:t>ронен после принятия решения о постройке самолета Ту-4 (10781).</w:t>
      </w:r>
    </w:p>
    <w:p w14:paraId="5BE32D10" w14:textId="77777777" w:rsidR="00665165" w:rsidRPr="00F90EAE" w:rsidRDefault="00665165" w:rsidP="00F90EAE">
      <w:pPr>
        <w:autoSpaceDE w:val="0"/>
        <w:autoSpaceDN w:val="0"/>
        <w:adjustRightInd w:val="0"/>
        <w:jc w:val="both"/>
        <w:rPr>
          <w:color w:val="000000" w:themeColor="text1"/>
          <w:sz w:val="16"/>
          <w:szCs w:val="16"/>
        </w:rPr>
      </w:pPr>
    </w:p>
    <w:p w14:paraId="35449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и от удара об землю у него отломилась хвостовая часть фюзеляжа. Несмотря на серьезные повреждения, самолет было решено восстановить (5852,40).</w:t>
      </w:r>
    </w:p>
    <w:p w14:paraId="22FD37B7" w14:textId="77777777" w:rsidR="00665165" w:rsidRPr="00F90EAE" w:rsidRDefault="00665165" w:rsidP="00F90EAE">
      <w:pPr>
        <w:autoSpaceDE w:val="0"/>
        <w:autoSpaceDN w:val="0"/>
        <w:adjustRightInd w:val="0"/>
        <w:jc w:val="both"/>
        <w:rPr>
          <w:color w:val="000000" w:themeColor="text1"/>
          <w:sz w:val="16"/>
          <w:szCs w:val="16"/>
        </w:rPr>
      </w:pPr>
    </w:p>
    <w:p w14:paraId="674F1F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26 ап</w:t>
      </w:r>
      <w:r w:rsidRPr="00F90EAE">
        <w:rPr>
          <w:color w:val="000000" w:themeColor="text1"/>
          <w:sz w:val="16"/>
          <w:szCs w:val="16"/>
        </w:rPr>
        <w:softHyphen/>
        <w:t>реля 1945 г. в шестнадцатом полете второй экземпляр истребителя И—225 потерпел аварию. При разбеге стала преждевременно убирать</w:t>
      </w:r>
      <w:r w:rsidRPr="00F90EAE">
        <w:rPr>
          <w:color w:val="000000" w:themeColor="text1"/>
          <w:sz w:val="16"/>
          <w:szCs w:val="16"/>
        </w:rPr>
        <w:softHyphen/>
        <w:t>ся правая стойка шасси, летчик убрал газ, но самолет все же успел выскочить на пашню. Истребитель рез</w:t>
      </w:r>
      <w:r w:rsidRPr="00F90EAE">
        <w:rPr>
          <w:color w:val="000000" w:themeColor="text1"/>
          <w:sz w:val="16"/>
          <w:szCs w:val="16"/>
        </w:rPr>
        <w:softHyphen/>
        <w:t>ко развернуло, а затем от удара о землю у него отло</w:t>
      </w:r>
      <w:r w:rsidRPr="00F90EAE">
        <w:rPr>
          <w:color w:val="000000" w:themeColor="text1"/>
          <w:sz w:val="16"/>
          <w:szCs w:val="16"/>
        </w:rPr>
        <w:softHyphen/>
        <w:t>милась хвостовая часть фюзеляжа. Несмотря на серь</w:t>
      </w:r>
      <w:r w:rsidRPr="00F90EAE">
        <w:rPr>
          <w:color w:val="000000" w:themeColor="text1"/>
          <w:sz w:val="16"/>
          <w:szCs w:val="16"/>
        </w:rPr>
        <w:softHyphen/>
        <w:t>езные повреждения самолет решили восстановить (9984).</w:t>
      </w:r>
    </w:p>
    <w:p w14:paraId="616DD3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D502C01" w14:textId="77777777" w:rsidR="00C55BB4" w:rsidRPr="00F90EAE" w:rsidRDefault="00C55BB4" w:rsidP="00F90EAE">
      <w:pPr>
        <w:jc w:val="both"/>
        <w:rPr>
          <w:color w:val="000000" w:themeColor="text1"/>
          <w:sz w:val="16"/>
          <w:szCs w:val="16"/>
        </w:rPr>
      </w:pPr>
      <w:r w:rsidRPr="00F90EAE">
        <w:rPr>
          <w:color w:val="000000" w:themeColor="text1"/>
          <w:sz w:val="16"/>
          <w:szCs w:val="16"/>
        </w:rPr>
        <w:t>26 апреля в 1945 году в 16-м полете самолет «И-225» потерпел аварию при перелете с места вынужденной посадки около деревни Лузгарино в районе Шатуры. При разбеге преждевременно стала убираться правая стойка шасси, летчик сразу убрал газ, но самолет все же выскочил на пашню, развернулся на 180 градусов, и от удара об землю у него отломилась хвостовая часть фюзеляжа. Несмотря на серьезные повреждения, самолет было решено восстановить (15111).</w:t>
      </w:r>
    </w:p>
    <w:p w14:paraId="17B505F2" w14:textId="77777777" w:rsidR="00C55BB4" w:rsidRPr="00F90EAE" w:rsidRDefault="00C55BB4" w:rsidP="00F90EAE">
      <w:pPr>
        <w:jc w:val="both"/>
        <w:rPr>
          <w:color w:val="000000" w:themeColor="text1"/>
          <w:sz w:val="16"/>
          <w:szCs w:val="16"/>
        </w:rPr>
      </w:pPr>
    </w:p>
    <w:p w14:paraId="16B1D7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ГОКО N 8278с о демонтаже и вывозе оборудования с завода бронезащиты самолетов в г. Дитцдорф (Бреслау) на 125 в Подольске, авиадеталей в Нойен-Кирхене (Вена) на 489 в Днепропетровске, фирмы Шустер Компания в Вене на 284 в Сарапуле (1874,10).</w:t>
      </w:r>
    </w:p>
    <w:p w14:paraId="3FAEBB7D" w14:textId="77777777" w:rsidR="00665165" w:rsidRPr="00F90EAE" w:rsidRDefault="00665165" w:rsidP="00F90EAE">
      <w:pPr>
        <w:autoSpaceDE w:val="0"/>
        <w:autoSpaceDN w:val="0"/>
        <w:adjustRightInd w:val="0"/>
        <w:jc w:val="both"/>
        <w:rPr>
          <w:color w:val="000000" w:themeColor="text1"/>
          <w:sz w:val="16"/>
          <w:szCs w:val="16"/>
        </w:rPr>
      </w:pPr>
    </w:p>
    <w:p w14:paraId="2D5B82F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BC7F1F" w14:textId="77777777" w:rsidR="00665165" w:rsidRPr="00F90EAE" w:rsidRDefault="00665165" w:rsidP="00F90EAE">
      <w:pPr>
        <w:autoSpaceDE w:val="0"/>
        <w:autoSpaceDN w:val="0"/>
        <w:adjustRightInd w:val="0"/>
        <w:jc w:val="both"/>
        <w:rPr>
          <w:iCs/>
          <w:color w:val="000000" w:themeColor="text1"/>
          <w:sz w:val="16"/>
          <w:szCs w:val="16"/>
        </w:rPr>
      </w:pPr>
    </w:p>
    <w:p w14:paraId="1C659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Распоряжение ГКО № 8268. О выделении квашеных и соленых овощей для снабжения рабочих НКХП. РГАНИР, Фонд ГКО, д. 405, лл. 115, 116 (11012).</w:t>
      </w:r>
    </w:p>
    <w:p w14:paraId="00F77D68" w14:textId="77777777" w:rsidR="00665165" w:rsidRPr="00F90EAE" w:rsidRDefault="00665165" w:rsidP="00F90EAE">
      <w:pPr>
        <w:autoSpaceDE w:val="0"/>
        <w:autoSpaceDN w:val="0"/>
        <w:adjustRightInd w:val="0"/>
        <w:jc w:val="both"/>
        <w:rPr>
          <w:color w:val="000000" w:themeColor="text1"/>
          <w:sz w:val="16"/>
          <w:szCs w:val="16"/>
        </w:rPr>
      </w:pPr>
    </w:p>
    <w:p w14:paraId="3192B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8269 О вывозе оборудования с немецких автомобильных заводов фирм "Зауэр", "Греф-Ун-Штифт" и "Австро-Фиат" в г. Вена. РГАНИР, Фонд ГКО, д. 405, лл. 117-118 (11012).</w:t>
      </w:r>
    </w:p>
    <w:p w14:paraId="64E9F2D8" w14:textId="77777777" w:rsidR="00665165" w:rsidRPr="00F90EAE" w:rsidRDefault="00665165" w:rsidP="00F90EAE">
      <w:pPr>
        <w:autoSpaceDE w:val="0"/>
        <w:autoSpaceDN w:val="0"/>
        <w:adjustRightInd w:val="0"/>
        <w:jc w:val="both"/>
        <w:rPr>
          <w:color w:val="000000" w:themeColor="text1"/>
          <w:sz w:val="16"/>
          <w:szCs w:val="16"/>
        </w:rPr>
      </w:pPr>
    </w:p>
    <w:p w14:paraId="7E163B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8271 О вывозе оборудования по производству паровозных тендеров с немецкого завода "Винер Нейштадт локомотив фабрик" в г. Винер Нейштадт. РГАНИР, Фонд ГКО, д. 405, лл. 120-121 (11012).</w:t>
      </w:r>
    </w:p>
    <w:p w14:paraId="35F08713" w14:textId="77777777" w:rsidR="00665165" w:rsidRPr="00F90EAE" w:rsidRDefault="00665165" w:rsidP="00F90EAE">
      <w:pPr>
        <w:autoSpaceDE w:val="0"/>
        <w:autoSpaceDN w:val="0"/>
        <w:adjustRightInd w:val="0"/>
        <w:jc w:val="both"/>
        <w:rPr>
          <w:color w:val="000000" w:themeColor="text1"/>
          <w:sz w:val="16"/>
          <w:szCs w:val="16"/>
        </w:rPr>
      </w:pPr>
    </w:p>
    <w:p w14:paraId="677AB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8273 О вывозе оборудования по производству корпусов артиллерийских снарядов с немецкого завода акционерного общества "Эксцельдмоталверке" в м. Экцельфельдорф (Австрия). РГАНИР, Фонд ГКО, д. 405, лл. 123-124 (11012).</w:t>
      </w:r>
    </w:p>
    <w:p w14:paraId="6A9FF5C3" w14:textId="77777777" w:rsidR="00665165" w:rsidRPr="00F90EAE" w:rsidRDefault="00665165" w:rsidP="00F90EAE">
      <w:pPr>
        <w:autoSpaceDE w:val="0"/>
        <w:autoSpaceDN w:val="0"/>
        <w:adjustRightInd w:val="0"/>
        <w:jc w:val="both"/>
        <w:rPr>
          <w:color w:val="000000" w:themeColor="text1"/>
          <w:sz w:val="16"/>
          <w:szCs w:val="16"/>
        </w:rPr>
      </w:pPr>
    </w:p>
    <w:p w14:paraId="15A42E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8274 О вывозе оборудования по производству корпусов артиллерийских снарядов с немецкого завода бывшего владельца Розановского в г. Эльбинг (Восточная Пруссия). РГАНИР, Фонд ГКО, д. 405, лл. 125-126 (11012).</w:t>
      </w:r>
    </w:p>
    <w:p w14:paraId="56A45D11" w14:textId="77777777" w:rsidR="00665165" w:rsidRPr="00F90EAE" w:rsidRDefault="00665165" w:rsidP="00F90EAE">
      <w:pPr>
        <w:autoSpaceDE w:val="0"/>
        <w:autoSpaceDN w:val="0"/>
        <w:adjustRightInd w:val="0"/>
        <w:jc w:val="both"/>
        <w:rPr>
          <w:color w:val="000000" w:themeColor="text1"/>
          <w:sz w:val="16"/>
          <w:szCs w:val="16"/>
        </w:rPr>
      </w:pPr>
    </w:p>
    <w:p w14:paraId="7A933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8275 О вывозе оборудования по производству корпусов артиллерийских снарядов и мин с завода немецкой фирмы "Браудер Гофман" в г. Заган (Германия). РГАНИР, Фонд ГКО, д. 405, лл. 127-128 (11012).</w:t>
      </w:r>
    </w:p>
    <w:p w14:paraId="7C14F766" w14:textId="77777777" w:rsidR="00665165" w:rsidRPr="00F90EAE" w:rsidRDefault="00665165" w:rsidP="00F90EAE">
      <w:pPr>
        <w:autoSpaceDE w:val="0"/>
        <w:autoSpaceDN w:val="0"/>
        <w:adjustRightInd w:val="0"/>
        <w:jc w:val="both"/>
        <w:rPr>
          <w:color w:val="000000" w:themeColor="text1"/>
          <w:sz w:val="16"/>
          <w:szCs w:val="16"/>
        </w:rPr>
      </w:pPr>
    </w:p>
    <w:p w14:paraId="4B63ED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8276 О вывозе всего оборудования с немецкой гидроэлектростанции "Бобер-Крафтверке" (Бранденбург) мощностью 69 тыс. киловатт, семи турбогенераторов на общую мощность 115 тыс. киловатт с электростанций в Немецкой Силезии и трансформаторов из Восточной Пруссии. РГАНИР, Фонд ГКО, д. 405, лл. 129-131 (11012).</w:t>
      </w:r>
    </w:p>
    <w:p w14:paraId="539A510A" w14:textId="77777777" w:rsidR="00665165" w:rsidRPr="00F90EAE" w:rsidRDefault="00665165" w:rsidP="00F90EAE">
      <w:pPr>
        <w:autoSpaceDE w:val="0"/>
        <w:autoSpaceDN w:val="0"/>
        <w:adjustRightInd w:val="0"/>
        <w:jc w:val="both"/>
        <w:rPr>
          <w:color w:val="000000" w:themeColor="text1"/>
          <w:sz w:val="16"/>
          <w:szCs w:val="16"/>
        </w:rPr>
      </w:pPr>
    </w:p>
    <w:p w14:paraId="6223B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8277 О вывозе оборудования с приборостроительных заводов фирм "Пинч" и "Шауер" в г. Вена. РГАНИР, Фонд ГКО, д. 405, лл. 132-133 (11012).</w:t>
      </w:r>
    </w:p>
    <w:p w14:paraId="10820D24" w14:textId="77777777" w:rsidR="00665165" w:rsidRPr="00F90EAE" w:rsidRDefault="00665165" w:rsidP="00F90EAE">
      <w:pPr>
        <w:autoSpaceDE w:val="0"/>
        <w:autoSpaceDN w:val="0"/>
        <w:adjustRightInd w:val="0"/>
        <w:jc w:val="both"/>
        <w:rPr>
          <w:color w:val="000000" w:themeColor="text1"/>
          <w:sz w:val="16"/>
          <w:szCs w:val="16"/>
        </w:rPr>
      </w:pPr>
    </w:p>
    <w:p w14:paraId="683EE6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8278 О вывозе на заводы Наркомавиапрома оборудования из г. Дитцдорф (район г. Бреслау) и из района г. Вена. РГАНИР, Фонд ГКО, д. 405, лл. 134-135 (11012).</w:t>
      </w:r>
    </w:p>
    <w:p w14:paraId="5021C1EB" w14:textId="77777777" w:rsidR="00665165" w:rsidRPr="00F90EAE" w:rsidRDefault="00665165" w:rsidP="00F90EAE">
      <w:pPr>
        <w:autoSpaceDE w:val="0"/>
        <w:autoSpaceDN w:val="0"/>
        <w:adjustRightInd w:val="0"/>
        <w:jc w:val="both"/>
        <w:rPr>
          <w:color w:val="000000" w:themeColor="text1"/>
          <w:sz w:val="16"/>
          <w:szCs w:val="16"/>
        </w:rPr>
      </w:pPr>
    </w:p>
    <w:p w14:paraId="3A192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8279 О вывозе оборудования цеха элементарной серы с цинкового завода в г. Шопенице (Верхняя Силезия). РГАНИР, Фонд ГКО, д. 405, лл. 136-137 (11012).</w:t>
      </w:r>
    </w:p>
    <w:p w14:paraId="71EC4C59" w14:textId="77777777" w:rsidR="00665165" w:rsidRPr="00F90EAE" w:rsidRDefault="00665165" w:rsidP="00F90EAE">
      <w:pPr>
        <w:autoSpaceDE w:val="0"/>
        <w:autoSpaceDN w:val="0"/>
        <w:adjustRightInd w:val="0"/>
        <w:jc w:val="both"/>
        <w:rPr>
          <w:color w:val="000000" w:themeColor="text1"/>
          <w:sz w:val="16"/>
          <w:szCs w:val="16"/>
        </w:rPr>
      </w:pPr>
    </w:p>
    <w:p w14:paraId="1139EC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8280 О вывозе оборудования немецкого медеплавильного завода, обогатительной фабрики и медных рудников фирмы "Бухат" и "Силезского химического акционерного общества" (Силезия) в районе г. Бунцлау. РГАНИР, Фонд ГКО, д. 405, лл. 138-139 (11012).</w:t>
      </w:r>
    </w:p>
    <w:p w14:paraId="762BAE2C" w14:textId="77777777" w:rsidR="00665165" w:rsidRPr="00F90EAE" w:rsidRDefault="00665165" w:rsidP="00F90EAE">
      <w:pPr>
        <w:autoSpaceDE w:val="0"/>
        <w:autoSpaceDN w:val="0"/>
        <w:adjustRightInd w:val="0"/>
        <w:jc w:val="both"/>
        <w:rPr>
          <w:color w:val="000000" w:themeColor="text1"/>
          <w:sz w:val="16"/>
          <w:szCs w:val="16"/>
        </w:rPr>
      </w:pPr>
    </w:p>
    <w:p w14:paraId="04C5CA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8281 О вывозе оборудования моечной фабрики марганцевого рудника "Уркут" (Венгрия) и фабрики стальных тросов в г. Эльбинг. РГАНИР, Фонд ГКО, д. 405, лл. 140-141 (11012).</w:t>
      </w:r>
    </w:p>
    <w:p w14:paraId="32F6FF99" w14:textId="77777777" w:rsidR="00665165" w:rsidRPr="00F90EAE" w:rsidRDefault="00665165" w:rsidP="00F90EAE">
      <w:pPr>
        <w:autoSpaceDE w:val="0"/>
        <w:autoSpaceDN w:val="0"/>
        <w:adjustRightInd w:val="0"/>
        <w:jc w:val="both"/>
        <w:rPr>
          <w:color w:val="000000" w:themeColor="text1"/>
          <w:sz w:val="16"/>
          <w:szCs w:val="16"/>
        </w:rPr>
      </w:pPr>
    </w:p>
    <w:p w14:paraId="48B85B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8282 Об укомплектовании оборудованием завода № 800 Наркомтанкопрома в г. Ленинграде для производства судовых дизелей М-50. РГАНИР, Фонд ГКО, д. 405, лл. 142-143 (11012).</w:t>
      </w:r>
    </w:p>
    <w:p w14:paraId="63A13C62" w14:textId="77777777" w:rsidR="00665165" w:rsidRPr="00F90EAE" w:rsidRDefault="00665165" w:rsidP="00F90EAE">
      <w:pPr>
        <w:autoSpaceDE w:val="0"/>
        <w:autoSpaceDN w:val="0"/>
        <w:adjustRightInd w:val="0"/>
        <w:jc w:val="both"/>
        <w:rPr>
          <w:color w:val="000000" w:themeColor="text1"/>
          <w:sz w:val="16"/>
          <w:szCs w:val="16"/>
        </w:rPr>
      </w:pPr>
    </w:p>
    <w:p w14:paraId="3B965B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8283 О вывозе оборудования с немецких заводов в г. г. Ратибор, Бунцлау, Вена и Нейсе на заводы Наркомата станкостроения. РГАНИР, Фонд ГКО, д. 405, лл. 144-145, 146 (11012).</w:t>
      </w:r>
    </w:p>
    <w:p w14:paraId="1235F7C5" w14:textId="77777777" w:rsidR="00665165" w:rsidRPr="00F90EAE" w:rsidRDefault="00665165" w:rsidP="00F90EAE">
      <w:pPr>
        <w:autoSpaceDE w:val="0"/>
        <w:autoSpaceDN w:val="0"/>
        <w:adjustRightInd w:val="0"/>
        <w:jc w:val="both"/>
        <w:rPr>
          <w:color w:val="000000" w:themeColor="text1"/>
          <w:sz w:val="16"/>
          <w:szCs w:val="16"/>
        </w:rPr>
      </w:pPr>
    </w:p>
    <w:p w14:paraId="3B6EE9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8284 О вывозе оборудования с завода сельскохозяйственных машин фирмы "Август Грузе" в г. Шнайдемюль и оборудования по производству шрифта с завода фирмы "Ирис Тофпе" (район г. Циленциг). РГАНИР, Фонд ГКО, д. 405, лл. 147-148 (11012).</w:t>
      </w:r>
    </w:p>
    <w:p w14:paraId="28F44E6C" w14:textId="77777777" w:rsidR="00665165" w:rsidRPr="00F90EAE" w:rsidRDefault="00665165" w:rsidP="00F90EAE">
      <w:pPr>
        <w:autoSpaceDE w:val="0"/>
        <w:autoSpaceDN w:val="0"/>
        <w:adjustRightInd w:val="0"/>
        <w:jc w:val="both"/>
        <w:rPr>
          <w:color w:val="000000" w:themeColor="text1"/>
          <w:sz w:val="16"/>
          <w:szCs w:val="16"/>
        </w:rPr>
      </w:pPr>
    </w:p>
    <w:p w14:paraId="3F714E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8285 О вывозе оборудования по производству и ремонту сельскохозяйственных машин немецких заводов "Денцер", "Фенске", "Витт и Цвендзен" и оборудования механического завода в г. Штольп. РГАНИР, Фонд ГКО, д. 405, лл. 149-150 (11012).</w:t>
      </w:r>
    </w:p>
    <w:p w14:paraId="78D82A69" w14:textId="77777777" w:rsidR="00665165" w:rsidRPr="00F90EAE" w:rsidRDefault="00665165" w:rsidP="00F90EAE">
      <w:pPr>
        <w:autoSpaceDE w:val="0"/>
        <w:autoSpaceDN w:val="0"/>
        <w:adjustRightInd w:val="0"/>
        <w:jc w:val="both"/>
        <w:rPr>
          <w:color w:val="000000" w:themeColor="text1"/>
          <w:sz w:val="16"/>
          <w:szCs w:val="16"/>
        </w:rPr>
      </w:pPr>
    </w:p>
    <w:p w14:paraId="17DFFC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8286 О вывозе оборудования и материалов с немецких предприятий в г. г. Вена и Вимпасинг на заводы Наркомтяжмаша. РГАНИР, Фонд ГКО, д. 405, лл. 151-152, 153 (11012).</w:t>
      </w:r>
    </w:p>
    <w:p w14:paraId="06DA11E8" w14:textId="77777777" w:rsidR="00665165" w:rsidRPr="00F90EAE" w:rsidRDefault="00665165" w:rsidP="00F90EAE">
      <w:pPr>
        <w:autoSpaceDE w:val="0"/>
        <w:autoSpaceDN w:val="0"/>
        <w:adjustRightInd w:val="0"/>
        <w:jc w:val="both"/>
        <w:rPr>
          <w:color w:val="000000" w:themeColor="text1"/>
          <w:sz w:val="16"/>
          <w:szCs w:val="16"/>
        </w:rPr>
      </w:pPr>
    </w:p>
    <w:p w14:paraId="76EDB6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8287 О вывозе оборудования эбонитового цеха немецкого аккумуляторного завода в г. Познань. РГАНИР, Фонд ГКО, д. 405, лл. 154 (11012).</w:t>
      </w:r>
    </w:p>
    <w:p w14:paraId="1885793E" w14:textId="77777777" w:rsidR="00665165" w:rsidRPr="00F90EAE" w:rsidRDefault="00665165" w:rsidP="00F90EAE">
      <w:pPr>
        <w:autoSpaceDE w:val="0"/>
        <w:autoSpaceDN w:val="0"/>
        <w:adjustRightInd w:val="0"/>
        <w:jc w:val="both"/>
        <w:rPr>
          <w:color w:val="000000" w:themeColor="text1"/>
          <w:sz w:val="16"/>
          <w:szCs w:val="16"/>
        </w:rPr>
      </w:pPr>
    </w:p>
    <w:p w14:paraId="5388FF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8288 О вывозе оборудования сажевого завода в г. Глейвиц. РГАНИР, Фонд ГКО, д. 405, лл. 155 (11012).</w:t>
      </w:r>
    </w:p>
    <w:p w14:paraId="49B0C3B9" w14:textId="77777777" w:rsidR="00665165" w:rsidRPr="00F90EAE" w:rsidRDefault="00665165" w:rsidP="00F90EAE">
      <w:pPr>
        <w:autoSpaceDE w:val="0"/>
        <w:autoSpaceDN w:val="0"/>
        <w:adjustRightInd w:val="0"/>
        <w:jc w:val="both"/>
        <w:rPr>
          <w:color w:val="000000" w:themeColor="text1"/>
          <w:sz w:val="16"/>
          <w:szCs w:val="16"/>
        </w:rPr>
      </w:pPr>
    </w:p>
    <w:p w14:paraId="1D515A2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8289 О разборке узкоколейных железнодорожных линий на территории Восточной Пруссии. (7331, 156,157-158).</w:t>
      </w:r>
    </w:p>
    <w:p w14:paraId="54FCBB7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AFF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8290 О вывозе оборудования с немецкого завода мелких металлоконструкций фирмы "Кох" в г. Ратибор и с немецких складов на станции Тщебиния железной дороги Краков-Сосновец и из поселка Кодыник в районе г. Эльбинг. РГАНИР, Фонд ГКО, д. 405, лл. 159-160 (11012).</w:t>
      </w:r>
    </w:p>
    <w:p w14:paraId="404F42D9" w14:textId="77777777" w:rsidR="00665165" w:rsidRPr="00F90EAE" w:rsidRDefault="00665165" w:rsidP="00F90EAE">
      <w:pPr>
        <w:autoSpaceDE w:val="0"/>
        <w:autoSpaceDN w:val="0"/>
        <w:adjustRightInd w:val="0"/>
        <w:jc w:val="both"/>
        <w:rPr>
          <w:color w:val="000000" w:themeColor="text1"/>
          <w:sz w:val="16"/>
          <w:szCs w:val="16"/>
        </w:rPr>
      </w:pPr>
    </w:p>
    <w:p w14:paraId="3BC45C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8291 О вывозе установки по производству формальдегида с завода "Хиаг" немецкой фирмы "Хиаг Верке" в г. Вена (станция Лизинг). РГАНИР, Фонд ГКО, д. 405, лл. 161-162 (11012).</w:t>
      </w:r>
    </w:p>
    <w:p w14:paraId="771489F2" w14:textId="77777777" w:rsidR="00665165" w:rsidRPr="00F90EAE" w:rsidRDefault="00665165" w:rsidP="00F90EAE">
      <w:pPr>
        <w:autoSpaceDE w:val="0"/>
        <w:autoSpaceDN w:val="0"/>
        <w:adjustRightInd w:val="0"/>
        <w:jc w:val="both"/>
        <w:rPr>
          <w:color w:val="000000" w:themeColor="text1"/>
          <w:sz w:val="16"/>
          <w:szCs w:val="16"/>
        </w:rPr>
      </w:pPr>
    </w:p>
    <w:p w14:paraId="69FD02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8292 О вывозе оборудования с завода фирмы "Шрок Эриксон" и завода фирмы "Петрович" в г. Вена. РГАНИР, Фонд ГКО, д. 405, лл. 163-164 (11012).</w:t>
      </w:r>
    </w:p>
    <w:p w14:paraId="2A5C60C5" w14:textId="77777777" w:rsidR="00665165" w:rsidRPr="00F90EAE" w:rsidRDefault="00665165" w:rsidP="00F90EAE">
      <w:pPr>
        <w:autoSpaceDE w:val="0"/>
        <w:autoSpaceDN w:val="0"/>
        <w:adjustRightInd w:val="0"/>
        <w:jc w:val="both"/>
        <w:rPr>
          <w:color w:val="000000" w:themeColor="text1"/>
          <w:sz w:val="16"/>
          <w:szCs w:val="16"/>
        </w:rPr>
      </w:pPr>
    </w:p>
    <w:p w14:paraId="34F928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8293 О вывозе оборудования и сырья с завода художественных красок немецкой фирмы "Вюрцбург Эхингер" в г. Вена. РГАНИР, Фонд ГКО, д. 405, лл. 165 (11012).</w:t>
      </w:r>
    </w:p>
    <w:p w14:paraId="559B51A3" w14:textId="77777777" w:rsidR="00665165" w:rsidRPr="00F90EAE" w:rsidRDefault="00665165" w:rsidP="00F90EAE">
      <w:pPr>
        <w:autoSpaceDE w:val="0"/>
        <w:autoSpaceDN w:val="0"/>
        <w:adjustRightInd w:val="0"/>
        <w:jc w:val="both"/>
        <w:rPr>
          <w:color w:val="000000" w:themeColor="text1"/>
          <w:sz w:val="16"/>
          <w:szCs w:val="16"/>
        </w:rPr>
      </w:pPr>
    </w:p>
    <w:p w14:paraId="4297C8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апреля 1945 вышло Постановление ГКО № 8295 О вывозе оборудования механических заводов и мастерских в г. г. Бриг и Нейсе (Немецкая Силезия) на предприятия Наркомрезинпрома. РГАНИР, Фонд ГКО, д. 405, лл. 168 (11012).</w:t>
      </w:r>
    </w:p>
    <w:p w14:paraId="53F9CB31" w14:textId="77777777" w:rsidR="00665165" w:rsidRPr="00F90EAE" w:rsidRDefault="00665165" w:rsidP="00F90EAE">
      <w:pPr>
        <w:autoSpaceDE w:val="0"/>
        <w:autoSpaceDN w:val="0"/>
        <w:adjustRightInd w:val="0"/>
        <w:jc w:val="both"/>
        <w:rPr>
          <w:color w:val="000000" w:themeColor="text1"/>
          <w:sz w:val="16"/>
          <w:szCs w:val="16"/>
        </w:rPr>
      </w:pPr>
    </w:p>
    <w:p w14:paraId="30F50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8296 О демонтаже металлорежущего и электротехнического оборудования с немецких предприятий в г. Беутен (Немецкая Силезия). РГАНИР, Фонд ГКО, д. 405, лл. 169 (11012).</w:t>
      </w:r>
    </w:p>
    <w:p w14:paraId="4252D7A2" w14:textId="77777777" w:rsidR="00665165" w:rsidRPr="00F90EAE" w:rsidRDefault="00665165" w:rsidP="00F90EAE">
      <w:pPr>
        <w:autoSpaceDE w:val="0"/>
        <w:autoSpaceDN w:val="0"/>
        <w:adjustRightInd w:val="0"/>
        <w:jc w:val="both"/>
        <w:rPr>
          <w:color w:val="000000" w:themeColor="text1"/>
          <w:sz w:val="16"/>
          <w:szCs w:val="16"/>
        </w:rPr>
      </w:pPr>
    </w:p>
    <w:p w14:paraId="7F274A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8297 О вывозе оборудования с механического завода пластмасс фирмы "Унион Верке" в г. Осьвенцим. РГАНИР, Фонд ГКО, д. 405, лл. 170 (11012).</w:t>
      </w:r>
    </w:p>
    <w:p w14:paraId="2165CD3D" w14:textId="77777777" w:rsidR="00665165" w:rsidRPr="00F90EAE" w:rsidRDefault="00665165" w:rsidP="00F90EAE">
      <w:pPr>
        <w:autoSpaceDE w:val="0"/>
        <w:autoSpaceDN w:val="0"/>
        <w:adjustRightInd w:val="0"/>
        <w:jc w:val="both"/>
        <w:rPr>
          <w:color w:val="000000" w:themeColor="text1"/>
          <w:sz w:val="16"/>
          <w:szCs w:val="16"/>
        </w:rPr>
      </w:pPr>
    </w:p>
    <w:p w14:paraId="597F6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8298 О вывозе электрооборудования, кабельных изделий и электротехнических материалов с немецкого склада в район г. Мускау. РГАНИР, Фонд ГКО, д. 405, лл. 171 (11012).</w:t>
      </w:r>
    </w:p>
    <w:p w14:paraId="07CBE648" w14:textId="77777777" w:rsidR="00665165" w:rsidRPr="00F90EAE" w:rsidRDefault="00665165" w:rsidP="00F90EAE">
      <w:pPr>
        <w:autoSpaceDE w:val="0"/>
        <w:autoSpaceDN w:val="0"/>
        <w:adjustRightInd w:val="0"/>
        <w:jc w:val="both"/>
        <w:rPr>
          <w:color w:val="000000" w:themeColor="text1"/>
          <w:sz w:val="16"/>
          <w:szCs w:val="16"/>
        </w:rPr>
      </w:pPr>
    </w:p>
    <w:p w14:paraId="344E15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8300 О вывозе оборудования цеха литейных концентратов из района г. Реппен (ст. Штенбокверке) на Камской сульфитно-спиртовый завод Главлесоспирта при СНК СССР. РГАНИР, Фонд ГКО, д. 405, лл. 173-174 (11012).</w:t>
      </w:r>
    </w:p>
    <w:p w14:paraId="329C8674" w14:textId="77777777" w:rsidR="00665165" w:rsidRPr="00F90EAE" w:rsidRDefault="00665165" w:rsidP="00F90EAE">
      <w:pPr>
        <w:autoSpaceDE w:val="0"/>
        <w:autoSpaceDN w:val="0"/>
        <w:adjustRightInd w:val="0"/>
        <w:jc w:val="both"/>
        <w:rPr>
          <w:color w:val="000000" w:themeColor="text1"/>
          <w:sz w:val="16"/>
          <w:szCs w:val="16"/>
        </w:rPr>
      </w:pPr>
    </w:p>
    <w:p w14:paraId="39DEE2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8301 О вывозе оборудования с завода фирмы "Донасмаркхютте" в г. Гинденбург. РГАНИР, Фонд ГКО, д. 405, лл. 175 (11012).</w:t>
      </w:r>
    </w:p>
    <w:p w14:paraId="36A96088" w14:textId="77777777" w:rsidR="00665165" w:rsidRPr="00F90EAE" w:rsidRDefault="00665165" w:rsidP="00F90EAE">
      <w:pPr>
        <w:autoSpaceDE w:val="0"/>
        <w:autoSpaceDN w:val="0"/>
        <w:adjustRightInd w:val="0"/>
        <w:jc w:val="both"/>
        <w:rPr>
          <w:color w:val="000000" w:themeColor="text1"/>
          <w:sz w:val="16"/>
          <w:szCs w:val="16"/>
        </w:rPr>
      </w:pPr>
    </w:p>
    <w:p w14:paraId="1AE908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8302 О вывозе оборудования с немецкого рыбоконсервного завода в г. Штольпмюнде. РГАНИР, Фонд ГКО, д. 405, лл. 176 (11012).</w:t>
      </w:r>
    </w:p>
    <w:p w14:paraId="78FE31A1" w14:textId="77777777" w:rsidR="00665165" w:rsidRPr="00F90EAE" w:rsidRDefault="00665165" w:rsidP="00F90EAE">
      <w:pPr>
        <w:autoSpaceDE w:val="0"/>
        <w:autoSpaceDN w:val="0"/>
        <w:adjustRightInd w:val="0"/>
        <w:jc w:val="both"/>
        <w:rPr>
          <w:color w:val="000000" w:themeColor="text1"/>
          <w:sz w:val="16"/>
          <w:szCs w:val="16"/>
        </w:rPr>
      </w:pPr>
    </w:p>
    <w:p w14:paraId="4AC2DF7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8303 О возвращении имущества научно-исследовательского института почвоведения Украинской академии наук, вывезенного немцами в г. Быдгощь [Быдгощ] (Бромберг). (7331, 177).</w:t>
      </w:r>
    </w:p>
    <w:p w14:paraId="3103499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62C22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8304 О вывозе оборудования с заводов электротехнической промышленности, находящихся в г. Вена. РГАНИР, Фонд ГКО, д. 406, лл. 1-4 (11012).</w:t>
      </w:r>
    </w:p>
    <w:p w14:paraId="46340B6C" w14:textId="77777777" w:rsidR="00665165" w:rsidRPr="00F90EAE" w:rsidRDefault="00665165" w:rsidP="00F90EAE">
      <w:pPr>
        <w:autoSpaceDE w:val="0"/>
        <w:autoSpaceDN w:val="0"/>
        <w:adjustRightInd w:val="0"/>
        <w:jc w:val="both"/>
        <w:rPr>
          <w:color w:val="000000" w:themeColor="text1"/>
          <w:sz w:val="16"/>
          <w:szCs w:val="16"/>
        </w:rPr>
      </w:pPr>
    </w:p>
    <w:p w14:paraId="55A70B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8305 О вывозе оборудования с немецких цементных заводов и завода огнеупоров в г. г. Оппельн, Гросс-Стрелиц и Глейвиц (Германия, Силезия) на заводы Наркомстройматериалов и Нармомцветмета СССР. РГАНИР, Фонд ГКО, д. 406, лл. 5-7, 8 (11012).</w:t>
      </w:r>
    </w:p>
    <w:p w14:paraId="04692D04" w14:textId="77777777" w:rsidR="00665165" w:rsidRPr="00F90EAE" w:rsidRDefault="00665165" w:rsidP="00F90EAE">
      <w:pPr>
        <w:autoSpaceDE w:val="0"/>
        <w:autoSpaceDN w:val="0"/>
        <w:adjustRightInd w:val="0"/>
        <w:jc w:val="both"/>
        <w:rPr>
          <w:color w:val="000000" w:themeColor="text1"/>
          <w:sz w:val="16"/>
          <w:szCs w:val="16"/>
        </w:rPr>
      </w:pPr>
    </w:p>
    <w:p w14:paraId="51F0B4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8306 О вывозе металла, труб и троса с предприятий Венгрии на Московскую базу № 4088 ГУГМР. РГАНИР, Фонд ГКО, д. 406, лл. 9-10 (11012).</w:t>
      </w:r>
    </w:p>
    <w:p w14:paraId="1A39B4B1" w14:textId="77777777" w:rsidR="00665165" w:rsidRPr="00F90EAE" w:rsidRDefault="00665165" w:rsidP="00F90EAE">
      <w:pPr>
        <w:autoSpaceDE w:val="0"/>
        <w:autoSpaceDN w:val="0"/>
        <w:adjustRightInd w:val="0"/>
        <w:jc w:val="both"/>
        <w:rPr>
          <w:color w:val="000000" w:themeColor="text1"/>
          <w:sz w:val="16"/>
          <w:szCs w:val="16"/>
        </w:rPr>
      </w:pPr>
    </w:p>
    <w:p w14:paraId="32D5B8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8307 О вывозе 5750 тонн проката черных металлов из г. Данциг на базу Наркомчермета. РГАНИР, Фонд ГКО, д. 406, лл. 11 (11012).</w:t>
      </w:r>
    </w:p>
    <w:p w14:paraId="4C039F92" w14:textId="77777777" w:rsidR="00665165" w:rsidRPr="00F90EAE" w:rsidRDefault="00665165" w:rsidP="00F90EAE">
      <w:pPr>
        <w:autoSpaceDE w:val="0"/>
        <w:autoSpaceDN w:val="0"/>
        <w:adjustRightInd w:val="0"/>
        <w:jc w:val="both"/>
        <w:rPr>
          <w:color w:val="000000" w:themeColor="text1"/>
          <w:sz w:val="16"/>
          <w:szCs w:val="16"/>
        </w:rPr>
      </w:pPr>
    </w:p>
    <w:p w14:paraId="420D88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8308 О вывозе трофейных цветных металлов. РГАНИР, Фонд ГКО, д. 406, лл. 12 (11012).</w:t>
      </w:r>
    </w:p>
    <w:p w14:paraId="1C43BFA9" w14:textId="77777777" w:rsidR="00665165" w:rsidRPr="00F90EAE" w:rsidRDefault="00665165" w:rsidP="00F90EAE">
      <w:pPr>
        <w:autoSpaceDE w:val="0"/>
        <w:autoSpaceDN w:val="0"/>
        <w:adjustRightInd w:val="0"/>
        <w:jc w:val="both"/>
        <w:rPr>
          <w:color w:val="000000" w:themeColor="text1"/>
          <w:sz w:val="16"/>
          <w:szCs w:val="16"/>
        </w:rPr>
      </w:pPr>
    </w:p>
    <w:p w14:paraId="6E1C7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8309 О вывозе сельскохозяйственных машин и инвентаря с трофейных складов Земландской группы войск. РГАНИР, Фонд ГКО, д. 406, лл. 13, 14-16 (11012).</w:t>
      </w:r>
    </w:p>
    <w:p w14:paraId="5574E665" w14:textId="77777777" w:rsidR="00665165" w:rsidRPr="00F90EAE" w:rsidRDefault="00665165" w:rsidP="00F90EAE">
      <w:pPr>
        <w:autoSpaceDE w:val="0"/>
        <w:autoSpaceDN w:val="0"/>
        <w:adjustRightInd w:val="0"/>
        <w:jc w:val="both"/>
        <w:rPr>
          <w:color w:val="000000" w:themeColor="text1"/>
          <w:sz w:val="16"/>
          <w:szCs w:val="16"/>
        </w:rPr>
      </w:pPr>
    </w:p>
    <w:p w14:paraId="00B796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8310 О вывозе трофейных сельскохозяйственных машин и имущества со складов 3-го Белорусского фронта. РГАНИР, Фонд ГКО, д. 406, лл. 17, 18 (11012).</w:t>
      </w:r>
    </w:p>
    <w:p w14:paraId="1E277F9D" w14:textId="77777777" w:rsidR="00665165" w:rsidRPr="00F90EAE" w:rsidRDefault="00665165" w:rsidP="00F90EAE">
      <w:pPr>
        <w:autoSpaceDE w:val="0"/>
        <w:autoSpaceDN w:val="0"/>
        <w:adjustRightInd w:val="0"/>
        <w:jc w:val="both"/>
        <w:rPr>
          <w:color w:val="000000" w:themeColor="text1"/>
          <w:sz w:val="16"/>
          <w:szCs w:val="16"/>
        </w:rPr>
      </w:pPr>
    </w:p>
    <w:p w14:paraId="6C576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8311 О вывозе оборудования немецких кирпично-черепичных заводов из Восточной Пруссии. РГАНИР, Фонд ГКО, д. 406, лл. 19-22 (11012).</w:t>
      </w:r>
    </w:p>
    <w:p w14:paraId="6F913D6A" w14:textId="77777777" w:rsidR="00665165" w:rsidRPr="00F90EAE" w:rsidRDefault="00665165" w:rsidP="00F90EAE">
      <w:pPr>
        <w:autoSpaceDE w:val="0"/>
        <w:autoSpaceDN w:val="0"/>
        <w:adjustRightInd w:val="0"/>
        <w:jc w:val="both"/>
        <w:rPr>
          <w:color w:val="000000" w:themeColor="text1"/>
          <w:sz w:val="16"/>
          <w:szCs w:val="16"/>
        </w:rPr>
      </w:pPr>
    </w:p>
    <w:p w14:paraId="31EE03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8312 О вывозе оборудования с немецкого машиностроительного и вагоностроительного заводов в г. Яуэр и Остероде на предприятия НКПС. РГАНИР, Фонд ГКО, д. 406, лл. 23-24 (11012).</w:t>
      </w:r>
    </w:p>
    <w:p w14:paraId="12FC659C" w14:textId="77777777" w:rsidR="00665165" w:rsidRPr="00F90EAE" w:rsidRDefault="00665165" w:rsidP="00F90EAE">
      <w:pPr>
        <w:autoSpaceDE w:val="0"/>
        <w:autoSpaceDN w:val="0"/>
        <w:adjustRightInd w:val="0"/>
        <w:jc w:val="both"/>
        <w:rPr>
          <w:color w:val="000000" w:themeColor="text1"/>
          <w:sz w:val="16"/>
          <w:szCs w:val="16"/>
        </w:rPr>
      </w:pPr>
    </w:p>
    <w:p w14:paraId="77D2D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8314 О вывозе оборудования с немецких заводов "Рудольф Гаар" в г. Вена и "Фишер и Шнабель" в г. Зоммерфельдых машин, тракторов и сельхозинвентаря на предприятия и базы Наркомзема СССР. РГАНИР, Фонд ГКО, д. 406, лл. 27-28 (11012).</w:t>
      </w:r>
    </w:p>
    <w:p w14:paraId="6E4658ED" w14:textId="77777777" w:rsidR="00665165" w:rsidRPr="00F90EAE" w:rsidRDefault="00665165" w:rsidP="00F90EAE">
      <w:pPr>
        <w:autoSpaceDE w:val="0"/>
        <w:autoSpaceDN w:val="0"/>
        <w:adjustRightInd w:val="0"/>
        <w:jc w:val="both"/>
        <w:rPr>
          <w:color w:val="000000" w:themeColor="text1"/>
          <w:sz w:val="16"/>
          <w:szCs w:val="16"/>
        </w:rPr>
      </w:pPr>
    </w:p>
    <w:p w14:paraId="1BCE80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8315 О вывозе немецких машин, оборудования и материалов с 1-го, 2-го и 3-го Белорусских фронтов. РГАНИР, Фонд ГКО, д. 406, лл. 29-30, 31-32 (11012).</w:t>
      </w:r>
    </w:p>
    <w:p w14:paraId="5C24607A" w14:textId="77777777" w:rsidR="00665165" w:rsidRPr="00F90EAE" w:rsidRDefault="00665165" w:rsidP="00F90EAE">
      <w:pPr>
        <w:autoSpaceDE w:val="0"/>
        <w:autoSpaceDN w:val="0"/>
        <w:adjustRightInd w:val="0"/>
        <w:jc w:val="both"/>
        <w:rPr>
          <w:color w:val="000000" w:themeColor="text1"/>
          <w:sz w:val="16"/>
          <w:szCs w:val="16"/>
        </w:rPr>
      </w:pPr>
    </w:p>
    <w:p w14:paraId="7A9608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8316 О вывозе дорожных машин и строительных материалов с трофейных складов в районах г. г. Лигниц, Бриг, Беутен, Мальч. РГАНИР, Фонд ГКО, д. 406, лл. 33, 34-35 (11012).</w:t>
      </w:r>
    </w:p>
    <w:p w14:paraId="68C0C659" w14:textId="77777777" w:rsidR="00665165" w:rsidRPr="00F90EAE" w:rsidRDefault="00665165" w:rsidP="00F90EAE">
      <w:pPr>
        <w:autoSpaceDE w:val="0"/>
        <w:autoSpaceDN w:val="0"/>
        <w:adjustRightInd w:val="0"/>
        <w:jc w:val="both"/>
        <w:rPr>
          <w:color w:val="000000" w:themeColor="text1"/>
          <w:sz w:val="16"/>
          <w:szCs w:val="16"/>
        </w:rPr>
      </w:pPr>
    </w:p>
    <w:p w14:paraId="46863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8317 О вывозе оборудования немецких сульфитно-спиртовых заводов в г. г. Мальч, Оберлешен, Козель на предприятия Главлесоспирт при СНК СССР. РГАНИР, Фонд ГКО, д. 406, лл. 36-37 (11012).</w:t>
      </w:r>
    </w:p>
    <w:p w14:paraId="2525EE4B" w14:textId="77777777" w:rsidR="00665165" w:rsidRPr="00F90EAE" w:rsidRDefault="00665165" w:rsidP="00F90EAE">
      <w:pPr>
        <w:autoSpaceDE w:val="0"/>
        <w:autoSpaceDN w:val="0"/>
        <w:adjustRightInd w:val="0"/>
        <w:jc w:val="both"/>
        <w:rPr>
          <w:color w:val="000000" w:themeColor="text1"/>
          <w:sz w:val="16"/>
          <w:szCs w:val="16"/>
        </w:rPr>
      </w:pPr>
    </w:p>
    <w:p w14:paraId="3B337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8318 О вывозе оборудования и материалов с немецких обувных, шорно-седельной и прядильно-ткацкой фабрик и кожевенного завода в г. г. Фридеберг, Диршау, Ландсберг, Бартенштейн и Бранденбург на заводы Наркомлегпрома СССР. РГАНИР, Фонд ГКО, д. 406, лл. 38-39 (11012).</w:t>
      </w:r>
    </w:p>
    <w:p w14:paraId="3F8B06C6" w14:textId="77777777" w:rsidR="00665165" w:rsidRPr="00F90EAE" w:rsidRDefault="00665165" w:rsidP="00F90EAE">
      <w:pPr>
        <w:autoSpaceDE w:val="0"/>
        <w:autoSpaceDN w:val="0"/>
        <w:adjustRightInd w:val="0"/>
        <w:jc w:val="both"/>
        <w:rPr>
          <w:color w:val="000000" w:themeColor="text1"/>
          <w:sz w:val="16"/>
          <w:szCs w:val="16"/>
        </w:rPr>
      </w:pPr>
    </w:p>
    <w:p w14:paraId="538FB1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8319 О вывозе оборудования с немецких керамических заводов спецстекла и гравийно-песчаных карьеров на заводы Наркомстройматериалов СССР. РГАНИР, Фонд ГКО, д. 406, лл. 41-42, 43 (11012).</w:t>
      </w:r>
    </w:p>
    <w:p w14:paraId="4AA5A19A" w14:textId="77777777" w:rsidR="00665165" w:rsidRPr="00F90EAE" w:rsidRDefault="00665165" w:rsidP="00F90EAE">
      <w:pPr>
        <w:autoSpaceDE w:val="0"/>
        <w:autoSpaceDN w:val="0"/>
        <w:adjustRightInd w:val="0"/>
        <w:jc w:val="both"/>
        <w:rPr>
          <w:color w:val="000000" w:themeColor="text1"/>
          <w:sz w:val="16"/>
          <w:szCs w:val="16"/>
        </w:rPr>
      </w:pPr>
    </w:p>
    <w:p w14:paraId="4F3562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8320 О вывозе трофейного оборудования связи с территории Германии и Австрии. РГАНИР, Фонд ГКО, д. 406, лл. 44-45 (11012).</w:t>
      </w:r>
    </w:p>
    <w:p w14:paraId="4E0C812D" w14:textId="77777777" w:rsidR="00665165" w:rsidRPr="00F90EAE" w:rsidRDefault="00665165" w:rsidP="00F90EAE">
      <w:pPr>
        <w:autoSpaceDE w:val="0"/>
        <w:autoSpaceDN w:val="0"/>
        <w:adjustRightInd w:val="0"/>
        <w:jc w:val="both"/>
        <w:rPr>
          <w:color w:val="000000" w:themeColor="text1"/>
          <w:sz w:val="16"/>
          <w:szCs w:val="16"/>
        </w:rPr>
      </w:pPr>
    </w:p>
    <w:p w14:paraId="50C475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8322 О вывозе оборудования с немецких заводов в городах Ламсдорф, Нейссе, Ратибор, Нейзальц, Рыбник и Бойрун на предприятия Наркомугля. РГАНИР, Фонд ГКО, д. 406, лл. 49-51 (11012).</w:t>
      </w:r>
    </w:p>
    <w:p w14:paraId="1BED42D2" w14:textId="77777777" w:rsidR="00665165" w:rsidRPr="00F90EAE" w:rsidRDefault="00665165" w:rsidP="00F90EAE">
      <w:pPr>
        <w:autoSpaceDE w:val="0"/>
        <w:autoSpaceDN w:val="0"/>
        <w:adjustRightInd w:val="0"/>
        <w:jc w:val="both"/>
        <w:rPr>
          <w:color w:val="000000" w:themeColor="text1"/>
          <w:sz w:val="16"/>
          <w:szCs w:val="16"/>
        </w:rPr>
      </w:pPr>
    </w:p>
    <w:p w14:paraId="782922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8323 О вывозе семян, сельскохозяйственных машин, двигателей и электрооборудования с трофейных складов 1-го, 2-го, 3-го Белорусских и 1-го Украинского фронтов. РГАНИР, Фонд ГКО, д. 406, лл. 52-54, 55-56 (11012).</w:t>
      </w:r>
    </w:p>
    <w:p w14:paraId="5D1C2790" w14:textId="77777777" w:rsidR="00665165" w:rsidRPr="00F90EAE" w:rsidRDefault="00665165" w:rsidP="00F90EAE">
      <w:pPr>
        <w:autoSpaceDE w:val="0"/>
        <w:autoSpaceDN w:val="0"/>
        <w:adjustRightInd w:val="0"/>
        <w:jc w:val="both"/>
        <w:rPr>
          <w:color w:val="000000" w:themeColor="text1"/>
          <w:sz w:val="16"/>
          <w:szCs w:val="16"/>
        </w:rPr>
      </w:pPr>
    </w:p>
    <w:p w14:paraId="1C26B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8324 О вывозе оборудования двух заводов резиновых технических изделий "Рекорд" немецкой фирмы "Герберт Миндельман" в г. Швибус на предприятия Наркомрезинпрома. РГАНИР, Фонд ГКО, д. 406, лл. 57-58 (11012).</w:t>
      </w:r>
    </w:p>
    <w:p w14:paraId="13F00F40" w14:textId="77777777" w:rsidR="00665165" w:rsidRPr="00F90EAE" w:rsidRDefault="00665165" w:rsidP="00F90EAE">
      <w:pPr>
        <w:autoSpaceDE w:val="0"/>
        <w:autoSpaceDN w:val="0"/>
        <w:adjustRightInd w:val="0"/>
        <w:jc w:val="both"/>
        <w:rPr>
          <w:color w:val="000000" w:themeColor="text1"/>
          <w:sz w:val="16"/>
          <w:szCs w:val="16"/>
        </w:rPr>
      </w:pPr>
    </w:p>
    <w:p w14:paraId="7B85CF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8325 О вывозе оборудования завода резиновых технических изделий фирмы "Семперит" из г. Энгерау (Австрия). РГАНИР, Фонд ГКО, д. 406, лл. 59-60 (11012).</w:t>
      </w:r>
    </w:p>
    <w:p w14:paraId="576CFBFB" w14:textId="77777777" w:rsidR="00665165" w:rsidRPr="00F90EAE" w:rsidRDefault="00665165" w:rsidP="00F90EAE">
      <w:pPr>
        <w:autoSpaceDE w:val="0"/>
        <w:autoSpaceDN w:val="0"/>
        <w:adjustRightInd w:val="0"/>
        <w:jc w:val="both"/>
        <w:rPr>
          <w:color w:val="000000" w:themeColor="text1"/>
          <w:sz w:val="16"/>
          <w:szCs w:val="16"/>
        </w:rPr>
      </w:pPr>
    </w:p>
    <w:p w14:paraId="0B0BA0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апреля 1945 вышло Постановление ГКО № 8326 О вывозе оборудования с немецких лесопильных и деревообрабатывающих предприятий. РГАНИР, Фонд ГКО, д. 406, лл. 61-62, 63-81 (11012).</w:t>
      </w:r>
    </w:p>
    <w:p w14:paraId="58128FAE" w14:textId="77777777" w:rsidR="00665165" w:rsidRPr="00F90EAE" w:rsidRDefault="00665165" w:rsidP="00F90EAE">
      <w:pPr>
        <w:autoSpaceDE w:val="0"/>
        <w:autoSpaceDN w:val="0"/>
        <w:adjustRightInd w:val="0"/>
        <w:jc w:val="both"/>
        <w:rPr>
          <w:color w:val="000000" w:themeColor="text1"/>
          <w:sz w:val="16"/>
          <w:szCs w:val="16"/>
        </w:rPr>
      </w:pPr>
    </w:p>
    <w:p w14:paraId="5B1EE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вышло Постановление ГКО № 8327 О вывозе оборудования с немецких текстильных предприятий в г. г. Руммельбург, Шипенбайль и Буда. РГАНИР, Фонд ГКО, д. 406, лл. 82-83 (11012).</w:t>
      </w:r>
    </w:p>
    <w:p w14:paraId="4B665A4F" w14:textId="77777777" w:rsidR="00665165" w:rsidRPr="00F90EAE" w:rsidRDefault="00665165" w:rsidP="00F90EAE">
      <w:pPr>
        <w:autoSpaceDE w:val="0"/>
        <w:autoSpaceDN w:val="0"/>
        <w:adjustRightInd w:val="0"/>
        <w:jc w:val="both"/>
        <w:rPr>
          <w:color w:val="000000" w:themeColor="text1"/>
          <w:sz w:val="16"/>
          <w:szCs w:val="16"/>
        </w:rPr>
      </w:pPr>
    </w:p>
    <w:p w14:paraId="30A35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На Петрозаводе завершен ремонт эскадренных тральщиков "Владимир Полухин" и "Василий Громов" (10671).</w:t>
      </w:r>
    </w:p>
    <w:p w14:paraId="04C933AC" w14:textId="77777777" w:rsidR="00665165" w:rsidRPr="00F90EAE" w:rsidRDefault="00665165" w:rsidP="00F90EAE">
      <w:pPr>
        <w:autoSpaceDE w:val="0"/>
        <w:autoSpaceDN w:val="0"/>
        <w:adjustRightInd w:val="0"/>
        <w:jc w:val="both"/>
        <w:rPr>
          <w:color w:val="000000" w:themeColor="text1"/>
          <w:sz w:val="16"/>
          <w:szCs w:val="16"/>
        </w:rPr>
      </w:pPr>
    </w:p>
    <w:p w14:paraId="35D0131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A794FBF" w14:textId="77777777" w:rsidR="00665165" w:rsidRPr="00F90EAE" w:rsidRDefault="00665165" w:rsidP="00F90EAE">
      <w:pPr>
        <w:autoSpaceDE w:val="0"/>
        <w:autoSpaceDN w:val="0"/>
        <w:adjustRightInd w:val="0"/>
        <w:jc w:val="both"/>
        <w:rPr>
          <w:iCs/>
          <w:color w:val="000000" w:themeColor="text1"/>
          <w:sz w:val="16"/>
          <w:szCs w:val="16"/>
        </w:rPr>
      </w:pPr>
    </w:p>
    <w:p w14:paraId="6AF5058F" w14:textId="77777777" w:rsidR="00C55BB4" w:rsidRPr="00F90EAE" w:rsidRDefault="00C55BB4" w:rsidP="00F90EAE">
      <w:pPr>
        <w:jc w:val="both"/>
        <w:rPr>
          <w:color w:val="000000" w:themeColor="text1"/>
          <w:sz w:val="16"/>
          <w:szCs w:val="16"/>
        </w:rPr>
      </w:pPr>
      <w:r w:rsidRPr="00F90EAE">
        <w:rPr>
          <w:color w:val="000000" w:themeColor="text1"/>
          <w:sz w:val="16"/>
          <w:szCs w:val="16"/>
        </w:rPr>
        <w:t>26 апреля в 1945 году оперативная сводка Совинформбюро:</w:t>
      </w:r>
    </w:p>
    <w:p w14:paraId="54E34179" w14:textId="77777777" w:rsidR="00C55BB4" w:rsidRPr="00F90EAE" w:rsidRDefault="00C55BB4" w:rsidP="00F90EAE">
      <w:pPr>
        <w:jc w:val="both"/>
        <w:rPr>
          <w:color w:val="000000" w:themeColor="text1"/>
          <w:sz w:val="16"/>
          <w:szCs w:val="16"/>
        </w:rPr>
      </w:pPr>
      <w:r w:rsidRPr="00F90EAE">
        <w:rPr>
          <w:color w:val="000000" w:themeColor="text1"/>
          <w:sz w:val="16"/>
          <w:szCs w:val="16"/>
        </w:rPr>
        <w:t>«В течение 26 апреля юго-западнее города Пиллау войска 3-го Белорусского фронта форсировали канал, соединяющий Балтийское море с заливом Фриш-Гаф, и развивали наступление по косе Фриш-Нерунг.</w:t>
      </w:r>
    </w:p>
    <w:p w14:paraId="2D53A8FB"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2-го Белорусского фронта форсировали восточный и западный Одер южнее Штеттина, прорвали сильно укреплённую оборону немцев на западном берегу Одера и продвинулись вперёд на 30 километров. В ходе боёв войска фронта овладели главным городом Померании и крупным морским портом Штеттин, а также заняли города Гартц, Пенкун, Назеков, Шведт. крупные населённые пункты Штевен, Швенненц, Глазов, Багемюль, Фридефельд, Грюнц, Вартин, Блюмберг, Штенделль, Фирраден и форсировали канал Рандов.</w:t>
      </w:r>
    </w:p>
    <w:p w14:paraId="7D867FD8"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1-го Белорусского фронта продолжали вести упорные уличные бои в Берлине и овладели городскими районами Гартенштадт, Сименсштадт и в восточной части города заняли Герлицкий вокзал. Северо-восточнее Берлина войска фронта заняли крупные населённые пункты Финов, Финовфурт, Мариенвердер. Западнее и юго-западнее Франнфурта-на-Одере войска фронта с боями заняли города Кенигс-Вустерхаузен, Нойе-Мюле, Шторков, Беесков, Либерозе и крупные населённые пункты Зенциг, Гуссов, Гросс-Шауэн, Дамсдорф, Херцберг, Герс-Дорф, Штреммен, Требач, Митвейде, Гросс-Лейтен, МохоВ. В боях за 25 апреля войска фронта взяли в плен более 2.000 немецких солдат и офицеров и захватили следующие трофеи: самолётов — 70, танков и самоходных орудий — 30, полевых орудий — 248, автомашин —1.467, паровозов — 53, железнодорожных вагонов — 3.404.</w:t>
      </w:r>
    </w:p>
    <w:p w14:paraId="2BE3796E"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1-го Украинского фронта продолжали вести уличные бои в юго-западной части Берлина и заняли городской район Далем. На западном берегу реки Эльбы войска фронта заняли города Торгау и Стрела. В районе Бауцена войска фронта продолжали отбивать контратаки крупных сил пехоты и танков противника. В боях за 25 апреля войска фронта взяли в плен 1.500 немецких солдат и офицеров и захватили 238 танков и самоходных орудий и 236 полевых орудий.</w:t>
      </w:r>
    </w:p>
    <w:p w14:paraId="50B64375" w14:textId="77777777" w:rsidR="00C55BB4" w:rsidRPr="00F90EAE" w:rsidRDefault="00C55BB4" w:rsidP="00F90EAE">
      <w:pPr>
        <w:jc w:val="both"/>
        <w:rPr>
          <w:color w:val="000000" w:themeColor="text1"/>
          <w:sz w:val="16"/>
          <w:szCs w:val="16"/>
        </w:rPr>
      </w:pPr>
      <w:r w:rsidRPr="00F90EAE">
        <w:rPr>
          <w:color w:val="000000" w:themeColor="text1"/>
          <w:sz w:val="16"/>
          <w:szCs w:val="16"/>
        </w:rPr>
        <w:t>В Бреслау наши войска вели уличные бои в западной части города, где заняли 26 кварталов, несколько заводских районов и большую часть арсенала, в котором захватили 110 орудий.</w:t>
      </w:r>
    </w:p>
    <w:p w14:paraId="7B46B8D1"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26 апреля в результате умелого обходного манёвра и атаки с фронта овладели крупным промышленным центром Чехословакии городом Брно (Брюн) — важным узлом дорог и мощным опорным пунктом обороны немцев, а также с боями заняли на территории Чехословакии более 30 населённых пунктов, в том числе Велешовице, Езера, Мокра, Маломержице, Обржаны, Когоутовице, Жебетин.</w:t>
      </w:r>
    </w:p>
    <w:p w14:paraId="632D178B" w14:textId="77777777" w:rsidR="00C55BB4" w:rsidRPr="00F90EAE" w:rsidRDefault="00C55BB4"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53ED25CF" w14:textId="77777777" w:rsidR="00C55BB4" w:rsidRPr="00F90EAE" w:rsidRDefault="00C55BB4" w:rsidP="00F90EAE">
      <w:pPr>
        <w:jc w:val="both"/>
        <w:rPr>
          <w:color w:val="000000" w:themeColor="text1"/>
          <w:sz w:val="16"/>
          <w:szCs w:val="16"/>
        </w:rPr>
      </w:pPr>
      <w:r w:rsidRPr="00F90EAE">
        <w:rPr>
          <w:color w:val="000000" w:themeColor="text1"/>
          <w:sz w:val="16"/>
          <w:szCs w:val="16"/>
        </w:rPr>
        <w:t>За 25 апреля на всех фронтах подбито и уничтожено 125 немецких танков и самоходных орудий. В воздушных боях и огнем зенитной артиллерии сбито 82 самолёта противника.</w:t>
      </w:r>
    </w:p>
    <w:p w14:paraId="4BD048C5"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2-го Белорусского фронта, расположенные на восточном берегу реки Одер, южнее Штеттина, перешли в наступление. Советским бойцам предстояла труднейшая задача — форсировать восточный и западный Одер и находящуюся между ними заболоченную пойму шириною от 2 до 4 километров. При поддержке авиации и артиллерии наши подразделения, прикрываясь дымовой завесой, переправились на паромах и лодках через восточный Одер. Сапёры быстро навели переправы и проложили настильные дороги через болота. Затем советские пехотинцы форсировали западный Одер и завязали бои за расширение плацдарма на его левом берегу. Немцы, опираясь на мощные оборонительные укрепления, оказывали упорное сопротивление. Они много раз переходили в контратаки, пытаясь любой ценой отбросить наши войска. Вражеские лётчики сбросили в Одер сотни плавучих мин, стараясь взорвать наведённые мосты. Вылавливая немецкие мины или расстреливая их в воде, советские сапёры предотвратили эту угрозу. Группы немецких диверсантов в водолазных костюмах пытались подобраться к мостам и взорвать их. Гитлеровские лазутчики были своевременно обнаружены и обезврежены. Сосредоточив на западном берегу Одера крупные силы, наши войска перешли в наступление и прорвали сильно укреплённую оборону немцев. Противник спешно перебросил в район боёв свежие резервы, но не смог сдержать стремительного натиска советских частей. Развивая успех, сегодня войска фронта овладели главным городом Померании — Штеттин. В ходе боёв только на подступах к городу уничтожено более 3 тысяч немецких солдат и офицеров.</w:t>
      </w:r>
    </w:p>
    <w:p w14:paraId="10848DDA" w14:textId="77777777" w:rsidR="00C55BB4" w:rsidRPr="00F90EAE" w:rsidRDefault="00C55BB4" w:rsidP="00F90EAE">
      <w:pPr>
        <w:jc w:val="both"/>
        <w:rPr>
          <w:color w:val="000000" w:themeColor="text1"/>
          <w:sz w:val="16"/>
          <w:szCs w:val="16"/>
        </w:rPr>
      </w:pPr>
      <w:r w:rsidRPr="00F90EAE">
        <w:rPr>
          <w:color w:val="000000" w:themeColor="text1"/>
          <w:sz w:val="16"/>
          <w:szCs w:val="16"/>
        </w:rPr>
        <w:t>Штеттин — третий по значению морской порт Германии и крупный промышленный центр. В нём имеются большие судостроительные верфи, автомобильные, металлургические и машиностроительные заводы.</w:t>
      </w:r>
    </w:p>
    <w:p w14:paraId="4842A755"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1-го Белорусского фронта продолжали успешное наступление. В северных районах Берлина советские пехотинцы и танкисты очистили от гитлеровцев Тегельский лес, заняли военные казармы и на широком фронте вышли на северный берег канала Берлин — Шпандауер Шиффартс. Мощными ударами советские артиллеристы и лётчики подавили немецкие батареи, установленные в Фолькс парке на южном берегу канала. Под прикрытием артиллерийского огня наши войска переправились через канал и завязали бои в заводском районе Сименсштадт. Немцы, засевшие в полуразрушенных зданиях заводов Сименса, оказывали отчаянное сопротивление. Наши штурмовые группы заняли завод распределительных устройств, завод динамомашин и ряд других предприятий. К исходу дня советские части овладели районом Сименсштадт и вышли к реке Шпрее. В восточной части Берлина войска фронта, расширяя плацдарм за рекой Шпрее, сломили упорное сопротивление противника и овладели Герлицким вокзалом и товарной станцией.</w:t>
      </w:r>
    </w:p>
    <w:p w14:paraId="401A3821" w14:textId="77777777" w:rsidR="00C55BB4" w:rsidRPr="00F90EAE" w:rsidRDefault="00C55BB4" w:rsidP="00F90EAE">
      <w:pPr>
        <w:jc w:val="both"/>
        <w:rPr>
          <w:color w:val="000000" w:themeColor="text1"/>
          <w:sz w:val="16"/>
          <w:szCs w:val="16"/>
        </w:rPr>
      </w:pPr>
      <w:r w:rsidRPr="00F90EAE">
        <w:rPr>
          <w:color w:val="000000" w:themeColor="text1"/>
          <w:sz w:val="16"/>
          <w:szCs w:val="16"/>
        </w:rPr>
        <w:t>Наша авиация наносила удары по войскам и военным объектам противника. В воздушных боях за день и огнём зенитной артиллерии сбито 29 немецких самолётов.</w:t>
      </w:r>
    </w:p>
    <w:p w14:paraId="48E81212"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1-го Украинского фронта вели уличные бои в юго-западной части Берлина. Наша пехота днём и ночью штурмует кварталы города, выбивая немцев из укрытий. Пехотинцев активно поддерживают артиллерия и танки, подавляя огневые точки и разрушая узлы вражеского сопротивления. Советские части ворвались на улицы городского района Далем и после упорного боя овладели территорией Ботанического сада, шестью станциями метрополитена и казармами артиллерийского полка. К исходу дня район Далем был полностью очищен от войск противника. На одном участке немцы предприняли контратаку, но, потеряв сотни солдат и офицеров убитыми, поспешно отступили.</w:t>
      </w:r>
    </w:p>
    <w:p w14:paraId="0A0A0C57" w14:textId="77777777" w:rsidR="00C55BB4" w:rsidRPr="00F90EAE" w:rsidRDefault="00C55BB4" w:rsidP="00F90EAE">
      <w:pPr>
        <w:jc w:val="both"/>
        <w:rPr>
          <w:color w:val="000000" w:themeColor="text1"/>
          <w:sz w:val="16"/>
          <w:szCs w:val="16"/>
        </w:rPr>
      </w:pPr>
      <w:r w:rsidRPr="00F90EAE">
        <w:rPr>
          <w:color w:val="000000" w:themeColor="text1"/>
          <w:sz w:val="16"/>
          <w:szCs w:val="16"/>
        </w:rPr>
        <w:t>Советские лётчики в воздушных боях сбили 22 немецких истребителя.</w:t>
      </w:r>
    </w:p>
    <w:p w14:paraId="3E882A3D" w14:textId="77777777" w:rsidR="00C55BB4" w:rsidRPr="00F90EAE" w:rsidRDefault="00C55BB4"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Советские части прорвали долговременную оборону немцев и ворвались на восточные окраины города Брно. Тем временем другие наши части, обходя Брно с запада, отрезали вражескому гарнизону все пути отхода и ворвались в город с северо-запада. Завязались ожесточённые уличные бои. Советские штурмовые группы, усиленные орудиями и танками, настойчиво продвигались вперёд, очищая от гитлеровцев квартал за кварталом. Противник безуспешно пытался с запада пробиться на помощь к своему гарнизону. После упорных боёв наши войска сегодня днём разгромили немецкий гарнизон и овладели Брно — вторым после Праги городом Чехословакии. Захвачены большие трофеи и много пленных.» (15111).</w:t>
      </w:r>
    </w:p>
    <w:p w14:paraId="08C94EB0" w14:textId="77777777" w:rsidR="00C55BB4" w:rsidRPr="00F90EAE" w:rsidRDefault="00C55BB4" w:rsidP="00F90EAE">
      <w:pPr>
        <w:jc w:val="both"/>
        <w:rPr>
          <w:color w:val="000000" w:themeColor="text1"/>
          <w:sz w:val="16"/>
          <w:szCs w:val="16"/>
        </w:rPr>
      </w:pPr>
    </w:p>
    <w:p w14:paraId="2DDC7853"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26 апреля 1945 восемь Ил-2 в сопровождении четырех Як-1 атаковала противника, двигавшегося по дороге от Барут на Хальме. Самолеты шли на цель в боевом порядке «кильватер четверок». Вылет начался после тщательного предполетного инструктажа в 15.10. Через двадцать семь минут полета штурмовики вышли на цель и с высоты 100–300 метров нанесли бомбово-штурмовой удар по автоколонне из 70 единиц, двигавшейся по проселочной дороге в лесу. Атака производилась с востока на запад с последующим левым разворотом. Бомбы сбрасывались серийным способом с трех заходов с высоты 300 метров с одновременным ведением огня из пушек и пуском реактивных снарядов.</w:t>
      </w:r>
    </w:p>
    <w:p w14:paraId="7E00DF71" w14:textId="77777777" w:rsidR="00A278CB" w:rsidRPr="00F90EAE" w:rsidRDefault="00A278CB" w:rsidP="00F90EAE">
      <w:pPr>
        <w:pStyle w:val="ae"/>
        <w:spacing w:before="0" w:after="0"/>
        <w:jc w:val="both"/>
        <w:textAlignment w:val="baseline"/>
        <w:rPr>
          <w:iCs/>
          <w:color w:val="000000" w:themeColor="text1"/>
          <w:sz w:val="16"/>
          <w:szCs w:val="16"/>
          <w:bdr w:val="none" w:sz="0" w:space="0" w:color="auto" w:frame="1"/>
        </w:rPr>
      </w:pPr>
      <w:r w:rsidRPr="00F90EAE">
        <w:rPr>
          <w:iCs/>
          <w:color w:val="000000" w:themeColor="text1"/>
          <w:sz w:val="16"/>
          <w:szCs w:val="16"/>
          <w:bdr w:val="none" w:sz="0" w:space="0" w:color="auto" w:frame="1"/>
        </w:rPr>
        <w:t>«В результате 23-минутного воздействия на противника, по наблюдению экипажей штурмовиков и истребителей прикрытия, уничтожено и ранено до 30 солдат и офицеров, — сообщалось в отчете . — Тем временем наши войска сумели организовать отражение врагу и его попытке прорваться» (19522).</w:t>
      </w:r>
    </w:p>
    <w:p w14:paraId="0288E359"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29 апреля 1945 немцы из района Беелиц пытались прорваться на восток для соединения с окруженными войсками. В атаке участвовало, по советским данным, 30–40 танков и бронетранспортеров. Штурмовики получили приказ поддержать оборонявшуюся в этом районе танковую бригаду 4-й гвардейской танковой армии.</w:t>
      </w:r>
    </w:p>
    <w:p w14:paraId="58867305" w14:textId="77777777" w:rsidR="00A278CB" w:rsidRPr="00F90EAE" w:rsidRDefault="00A278CB" w:rsidP="00F90EAE">
      <w:pPr>
        <w:pStyle w:val="ae"/>
        <w:spacing w:before="0" w:after="0"/>
        <w:jc w:val="both"/>
        <w:textAlignment w:val="baseline"/>
        <w:rPr>
          <w:color w:val="000000" w:themeColor="text1"/>
          <w:sz w:val="16"/>
          <w:szCs w:val="16"/>
        </w:rPr>
      </w:pPr>
      <w:r w:rsidRPr="00F90EAE">
        <w:rPr>
          <w:color w:val="000000" w:themeColor="text1"/>
          <w:sz w:val="16"/>
          <w:szCs w:val="16"/>
        </w:rPr>
        <w:t>Командир корпуса генерал Рязанов лично руководил действиями подопечных с крыши высокого здания на окраине Беелица.</w:t>
      </w:r>
    </w:p>
    <w:p w14:paraId="38F76EAC" w14:textId="77777777" w:rsidR="00A278CB" w:rsidRPr="00F90EAE" w:rsidRDefault="00A278CB" w:rsidP="00F90EAE">
      <w:pPr>
        <w:jc w:val="both"/>
        <w:rPr>
          <w:color w:val="000000" w:themeColor="text1"/>
          <w:sz w:val="16"/>
          <w:szCs w:val="16"/>
        </w:rPr>
      </w:pPr>
      <w:r w:rsidRPr="00F90EAE">
        <w:rPr>
          <w:color w:val="000000" w:themeColor="text1"/>
          <w:sz w:val="16"/>
          <w:szCs w:val="16"/>
        </w:rPr>
        <w:t>Несколько раз ему приходилось менять свое местоположение вследствие немецких контратак и артобстрелов. Штурмовики непрерывно наносили удары по переднему краю немецких войск, бомбы и ракеты взрывались в 500–1000 метрах от передовых позиций советских солдат. Упорные бои в этом районе продолжались и 30 апреля. Во второй половине дня немцы перешли в наступление с целью овладеть Беелицем. И снова вся надежда была на рязановские штурмовики. Решающий удар в период с 15.25 до 15.45 выполнили 16 Ил-2 из 155-го гв. шап во главе с его командиром подполковником Чернецовым. Группа сделала пять заходов на цель и наносила авиаудары до полного израсходования боеприпасов. Командир 1-го шак снова лично руководил действиями подчиненных со своего КП, отдавая приказы чуть ли не конкретным пилотам. В итоге противнику так и не удалось прорваться к окруженным (19522).</w:t>
      </w:r>
    </w:p>
    <w:p w14:paraId="075D7D87" w14:textId="77777777" w:rsidR="00A278CB" w:rsidRPr="00F90EAE" w:rsidRDefault="00A278CB" w:rsidP="00F90EAE">
      <w:pPr>
        <w:pStyle w:val="ae"/>
        <w:spacing w:before="0" w:after="0"/>
        <w:jc w:val="both"/>
        <w:textAlignment w:val="baseline"/>
        <w:rPr>
          <w:color w:val="000000" w:themeColor="text1"/>
          <w:sz w:val="16"/>
          <w:szCs w:val="16"/>
        </w:rPr>
      </w:pPr>
    </w:p>
    <w:p w14:paraId="28A54A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апреля 1945 9 Ил-10 (ведущий комэск к-н Железняков) нанесла бомбоштурмовой удар по населенному пункту Шлейтинг, уничтожив до 30 повозок с грузами (7489).</w:t>
      </w:r>
    </w:p>
    <w:p w14:paraId="682CF13B" w14:textId="77777777" w:rsidR="00665165" w:rsidRPr="00F90EAE" w:rsidRDefault="00665165" w:rsidP="00F90EAE">
      <w:pPr>
        <w:autoSpaceDE w:val="0"/>
        <w:autoSpaceDN w:val="0"/>
        <w:adjustRightInd w:val="0"/>
        <w:jc w:val="both"/>
        <w:rPr>
          <w:color w:val="000000" w:themeColor="text1"/>
          <w:sz w:val="16"/>
          <w:szCs w:val="16"/>
        </w:rPr>
      </w:pPr>
    </w:p>
    <w:p w14:paraId="21D1471C" w14:textId="77777777" w:rsidR="009B2258" w:rsidRPr="00F90EAE" w:rsidRDefault="009B2258" w:rsidP="00F90EAE">
      <w:pPr>
        <w:jc w:val="both"/>
        <w:rPr>
          <w:color w:val="0070C0"/>
          <w:sz w:val="16"/>
          <w:szCs w:val="16"/>
        </w:rPr>
      </w:pPr>
      <w:r w:rsidRPr="00F90EAE">
        <w:rPr>
          <w:color w:val="0070C0"/>
          <w:sz w:val="16"/>
          <w:szCs w:val="16"/>
        </w:rPr>
        <w:t>26/27 апреля (ночь) 1945 563 бомбардировщиков ВВС советской 18 -й воздушной армии бомбят Берлин (20371).</w:t>
      </w:r>
    </w:p>
    <w:p w14:paraId="74A1B31E" w14:textId="77777777" w:rsidR="009B2258" w:rsidRPr="00F90EAE" w:rsidRDefault="009B2258" w:rsidP="00F90EAE">
      <w:pPr>
        <w:jc w:val="both"/>
        <w:rPr>
          <w:color w:val="0070C0"/>
          <w:sz w:val="16"/>
          <w:szCs w:val="16"/>
        </w:rPr>
      </w:pPr>
    </w:p>
    <w:p w14:paraId="1F2F501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советские войска освободили от фашистов г. Брно (Чехословакия) (4962).</w:t>
      </w:r>
    </w:p>
    <w:p w14:paraId="7520F65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C9691D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советские танки прорвались к центру Берлина (4962).</w:t>
      </w:r>
    </w:p>
    <w:p w14:paraId="0764B34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3F6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СА (2УФ - Р.Я.Малиновский) освободила Брно (2438,1130).</w:t>
      </w:r>
    </w:p>
    <w:p w14:paraId="44C0A16F" w14:textId="77777777" w:rsidR="00665165" w:rsidRPr="00F90EAE" w:rsidRDefault="00665165" w:rsidP="00F90EAE">
      <w:pPr>
        <w:autoSpaceDE w:val="0"/>
        <w:autoSpaceDN w:val="0"/>
        <w:adjustRightInd w:val="0"/>
        <w:jc w:val="both"/>
        <w:rPr>
          <w:color w:val="000000" w:themeColor="text1"/>
          <w:sz w:val="16"/>
          <w:szCs w:val="16"/>
        </w:rPr>
      </w:pPr>
    </w:p>
    <w:p w14:paraId="2CFDF20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26th, 1945: The British Second Army (Dempsey) enters Bremen. In the East, the Soviet 3rd Belorussian Front (Vassilevsky) captures the port of Pillau 20 miles W of Konigsberg, while the 2nd Belorussian Front (Rokossovsky) occupies Stettin at the mouth of the Oder. The remnants of 9.Armee (Busse) are cut off and surrounded in the Halbe pocket 30 miles SW of Frankfurt (3819).</w:t>
      </w:r>
    </w:p>
    <w:p w14:paraId="253B7E38" w14:textId="77777777" w:rsidR="00665165" w:rsidRPr="00F90EAE" w:rsidRDefault="00665165" w:rsidP="00F90EAE">
      <w:pPr>
        <w:autoSpaceDE w:val="0"/>
        <w:autoSpaceDN w:val="0"/>
        <w:adjustRightInd w:val="0"/>
        <w:jc w:val="both"/>
        <w:rPr>
          <w:color w:val="000000" w:themeColor="text1"/>
          <w:sz w:val="16"/>
          <w:szCs w:val="16"/>
          <w:lang w:val="en-US"/>
        </w:rPr>
      </w:pPr>
    </w:p>
    <w:p w14:paraId="7665E53C" w14:textId="77777777" w:rsidR="00A278CB" w:rsidRPr="00F90EAE" w:rsidRDefault="00A278CB"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E182628" w14:textId="77777777" w:rsidR="00A278CB" w:rsidRPr="00F90EAE" w:rsidRDefault="00A278CB" w:rsidP="00F90EAE">
      <w:pPr>
        <w:autoSpaceDE w:val="0"/>
        <w:autoSpaceDN w:val="0"/>
        <w:adjustRightInd w:val="0"/>
        <w:jc w:val="both"/>
        <w:rPr>
          <w:iCs/>
          <w:color w:val="000000" w:themeColor="text1"/>
          <w:sz w:val="16"/>
          <w:szCs w:val="16"/>
        </w:rPr>
      </w:pPr>
    </w:p>
    <w:p w14:paraId="3F7CB402" w14:textId="77777777" w:rsidR="00A278CB" w:rsidRPr="00F90EAE" w:rsidRDefault="00A278CB" w:rsidP="00F90EAE">
      <w:pPr>
        <w:jc w:val="both"/>
        <w:rPr>
          <w:color w:val="000000" w:themeColor="text1"/>
          <w:sz w:val="16"/>
          <w:szCs w:val="16"/>
        </w:rPr>
      </w:pPr>
      <w:r w:rsidRPr="00F90EAE">
        <w:rPr>
          <w:color w:val="000000" w:themeColor="text1"/>
          <w:sz w:val="16"/>
          <w:szCs w:val="16"/>
        </w:rPr>
        <w:t>26 апреля 1945 г. Совнарком СССР постановил предоставить органам Государственной автомобильной инспекции Главного управления милиции НКВД СССР право изъятия автотранспортных средств в административном порядке в отношении тех автомобилей и мотоциклов, владельцы которых не могли документально подтвердить законность их приобретения (19647).</w:t>
      </w:r>
    </w:p>
    <w:p w14:paraId="2E1284A6" w14:textId="77777777" w:rsidR="00A278CB" w:rsidRPr="00F90EAE" w:rsidRDefault="00A278CB" w:rsidP="00F90EAE">
      <w:pPr>
        <w:jc w:val="both"/>
        <w:rPr>
          <w:color w:val="000000" w:themeColor="text1"/>
          <w:sz w:val="16"/>
          <w:szCs w:val="16"/>
        </w:rPr>
      </w:pPr>
    </w:p>
    <w:p w14:paraId="17779891" w14:textId="77777777" w:rsidR="00C55BB4"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224B85B" w14:textId="77777777" w:rsidR="00C55BB4" w:rsidRPr="00F90EAE" w:rsidRDefault="00C55BB4" w:rsidP="00F90EAE">
      <w:pPr>
        <w:autoSpaceDE w:val="0"/>
        <w:autoSpaceDN w:val="0"/>
        <w:adjustRightInd w:val="0"/>
        <w:jc w:val="both"/>
        <w:rPr>
          <w:iCs/>
          <w:color w:val="000000" w:themeColor="text1"/>
          <w:sz w:val="16"/>
          <w:szCs w:val="16"/>
        </w:rPr>
      </w:pPr>
    </w:p>
    <w:p w14:paraId="35C1786A" w14:textId="77777777" w:rsidR="00816E1B" w:rsidRPr="00F90EAE" w:rsidRDefault="00816E1B" w:rsidP="00F90EAE">
      <w:pPr>
        <w:jc w:val="both"/>
        <w:rPr>
          <w:color w:val="000000" w:themeColor="text1"/>
          <w:sz w:val="16"/>
          <w:szCs w:val="16"/>
        </w:rPr>
      </w:pPr>
      <w:r w:rsidRPr="00F90EAE">
        <w:rPr>
          <w:color w:val="000000" w:themeColor="text1"/>
          <w:sz w:val="16"/>
          <w:szCs w:val="16"/>
        </w:rPr>
        <w:t xml:space="preserve">26 апреля </w:t>
      </w:r>
      <w:bookmarkStart w:id="7" w:name="YANDEX_5"/>
      <w:bookmarkEnd w:id="7"/>
      <w:r w:rsidRPr="00F90EAE">
        <w:rPr>
          <w:color w:val="000000" w:themeColor="text1"/>
          <w:sz w:val="16"/>
          <w:szCs w:val="16"/>
        </w:rPr>
        <w:t> 1945  г. состоялась беседа президента США Г. Трумэна с В. М. Молотовым. Трумэн вел себя крайне некорректно по отношению к советскому министру. Его требования противоречили уже достигнутым в Ялте договоренностям. Согласно воспоминаниям Трумэна, Молотов сказал, что никогда в жизни с ним так бесцеремонно не разговаривали. На это президент США ответил: «Выполняйте наши требования по Польше, и мы будем говорить в менее грубой манере». Услышав эти слова, Молотов побледнел от ярости (переводчик Болен пишет, что он стал «пепельным»).</w:t>
      </w:r>
    </w:p>
    <w:p w14:paraId="5A354FED" w14:textId="77777777" w:rsidR="00816E1B" w:rsidRPr="00F90EAE" w:rsidRDefault="00816E1B" w:rsidP="00F90EAE">
      <w:pPr>
        <w:jc w:val="both"/>
        <w:rPr>
          <w:color w:val="000000" w:themeColor="text1"/>
          <w:sz w:val="16"/>
          <w:szCs w:val="16"/>
        </w:rPr>
      </w:pPr>
      <w:r w:rsidRPr="00F90EAE">
        <w:rPr>
          <w:color w:val="000000" w:themeColor="text1"/>
          <w:sz w:val="16"/>
          <w:szCs w:val="16"/>
        </w:rPr>
        <w:t>Посол США в СССР А. Гарриман вспоминал: «Я был шокирован, когда президент столь энергично атаковал Молотова. Я считаю правдой то, что ни один иностранец не говорил с Молотовым таким образом... Я сожалею, что Трумэн поступил таким образом; его поведение позволило Молотову сказать Сталину, что политика Рузвельта отставлена».</w:t>
      </w:r>
    </w:p>
    <w:p w14:paraId="4A4813A2" w14:textId="77777777" w:rsidR="00816E1B" w:rsidRPr="00F90EAE" w:rsidRDefault="00816E1B" w:rsidP="00F90EAE">
      <w:pPr>
        <w:jc w:val="both"/>
        <w:rPr>
          <w:color w:val="000000" w:themeColor="text1"/>
          <w:sz w:val="16"/>
          <w:szCs w:val="16"/>
        </w:rPr>
      </w:pPr>
      <w:r w:rsidRPr="00F90EAE">
        <w:rPr>
          <w:color w:val="000000" w:themeColor="text1"/>
          <w:sz w:val="16"/>
          <w:szCs w:val="16"/>
        </w:rPr>
        <w:t xml:space="preserve">За день до беседы с Молотовым (24 апреля </w:t>
      </w:r>
      <w:bookmarkStart w:id="8" w:name="YANDEX_6"/>
      <w:bookmarkEnd w:id="8"/>
      <w:r w:rsidRPr="00F90EAE">
        <w:rPr>
          <w:color w:val="000000" w:themeColor="text1"/>
          <w:sz w:val="16"/>
          <w:szCs w:val="16"/>
        </w:rPr>
        <w:t> 1945  г.) Трумэн принял военного министра США Г. Стимсона, который сообщил: «В течение четырех месяцев мы завершим создание самого ужасного в человеческой истории оружия, одна бомба которого может разрушить целый город. В настоящий момент только США способны создать такое оружие. Единственной державой, способной создать подобное оружие в течение нескольких лет, является Россия» (17449).</w:t>
      </w:r>
    </w:p>
    <w:p w14:paraId="4A261434" w14:textId="77777777" w:rsidR="00816E1B" w:rsidRPr="00F90EAE" w:rsidRDefault="00816E1B" w:rsidP="00F90EAE">
      <w:pPr>
        <w:jc w:val="both"/>
        <w:rPr>
          <w:color w:val="000000" w:themeColor="text1"/>
          <w:sz w:val="16"/>
          <w:szCs w:val="16"/>
        </w:rPr>
      </w:pPr>
    </w:p>
    <w:p w14:paraId="31E1ED60" w14:textId="77777777" w:rsidR="00C55BB4" w:rsidRPr="00F90EAE" w:rsidRDefault="00C55BB4" w:rsidP="00F90EAE">
      <w:pPr>
        <w:jc w:val="both"/>
        <w:rPr>
          <w:color w:val="000000" w:themeColor="text1"/>
          <w:sz w:val="16"/>
          <w:szCs w:val="16"/>
        </w:rPr>
      </w:pPr>
      <w:r w:rsidRPr="00F90EAE">
        <w:rPr>
          <w:color w:val="000000" w:themeColor="text1"/>
          <w:sz w:val="16"/>
          <w:szCs w:val="16"/>
        </w:rPr>
        <w:t>26 апреля в 1945 году правительства США и Великобритании сообщили Советскому правительству о предложении Гиммлера об одностороннем прекращении военных действий на западном фронте и своем отказе принять его (15111).</w:t>
      </w:r>
    </w:p>
    <w:p w14:paraId="435C5796" w14:textId="77777777" w:rsidR="00C55BB4" w:rsidRPr="00F90EAE" w:rsidRDefault="00C55BB4" w:rsidP="00F90EAE">
      <w:pPr>
        <w:jc w:val="both"/>
        <w:rPr>
          <w:color w:val="000000" w:themeColor="text1"/>
          <w:sz w:val="16"/>
          <w:szCs w:val="16"/>
        </w:rPr>
      </w:pPr>
    </w:p>
    <w:p w14:paraId="4898FBE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0054BD3" w14:textId="77777777" w:rsidR="00665165" w:rsidRPr="00F90EAE" w:rsidRDefault="00665165" w:rsidP="00F90EAE">
      <w:pPr>
        <w:autoSpaceDE w:val="0"/>
        <w:autoSpaceDN w:val="0"/>
        <w:adjustRightInd w:val="0"/>
        <w:jc w:val="both"/>
        <w:rPr>
          <w:iCs/>
          <w:color w:val="000000" w:themeColor="text1"/>
          <w:sz w:val="16"/>
          <w:szCs w:val="16"/>
        </w:rPr>
      </w:pPr>
    </w:p>
    <w:p w14:paraId="563AB5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апреля 1945 британская 2А вошла в Бремен. 3УФ и 3БФ заняли Пиллау, а 2БФ занял Штецин. Остатки немецкой 9А были отрезаны и окружены (3819).</w:t>
      </w:r>
    </w:p>
    <w:p w14:paraId="2547F254" w14:textId="77777777" w:rsidR="00665165" w:rsidRPr="00F90EAE" w:rsidRDefault="00665165" w:rsidP="00F90EAE">
      <w:pPr>
        <w:autoSpaceDE w:val="0"/>
        <w:autoSpaceDN w:val="0"/>
        <w:adjustRightInd w:val="0"/>
        <w:jc w:val="both"/>
        <w:rPr>
          <w:color w:val="000000" w:themeColor="text1"/>
          <w:sz w:val="16"/>
          <w:szCs w:val="16"/>
        </w:rPr>
      </w:pPr>
    </w:p>
    <w:p w14:paraId="54283C1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арестован Петен (4963 ).</w:t>
      </w:r>
    </w:p>
    <w:p w14:paraId="2695DAF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DFE917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апреля 1945 на франко-швейцарской границе арестован глава вишистского правительства Франции, маршал А. Петен (4962).</w:t>
      </w:r>
    </w:p>
    <w:p w14:paraId="0A20857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CACCEE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C8AD90D" w14:textId="77777777" w:rsidR="00665165" w:rsidRPr="00F90EAE" w:rsidRDefault="00665165" w:rsidP="00F90EAE">
      <w:pPr>
        <w:autoSpaceDE w:val="0"/>
        <w:autoSpaceDN w:val="0"/>
        <w:adjustRightInd w:val="0"/>
        <w:jc w:val="both"/>
        <w:rPr>
          <w:iCs/>
          <w:color w:val="000000" w:themeColor="text1"/>
          <w:sz w:val="16"/>
          <w:szCs w:val="16"/>
        </w:rPr>
      </w:pPr>
    </w:p>
    <w:p w14:paraId="65B58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закончились гос. испытания серийного Як-3 ПФ-2 N 2229 292 завода, выпущенного в ноябре 1944, которые начались с 10 апреля 1945 и продолжились после перерыва с 19 апреля 1945 (805,5).</w:t>
      </w:r>
    </w:p>
    <w:p w14:paraId="00E4C6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27 апреля 1945 1943 (805,5).</w:t>
      </w:r>
    </w:p>
    <w:p w14:paraId="63B0B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стт-л В.П.Белодеденко</w:t>
      </w:r>
    </w:p>
    <w:p w14:paraId="0DC2CB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вли к Мванов</w:t>
      </w:r>
    </w:p>
    <w:p w14:paraId="04F450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2BB36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на 15-19 км/час меньше установленной постановлением ГОКО от 26 октября 1943</w:t>
      </w:r>
    </w:p>
    <w:p w14:paraId="1D316D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объем б/б был на 22 л меньше, чем у с-та Як-1 М “дублер”</w:t>
      </w:r>
    </w:p>
    <w:p w14:paraId="0C4804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мала дальность р/передатчика (45 км)</w:t>
      </w:r>
    </w:p>
    <w:p w14:paraId="41E60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3159A8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57A26E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Як-3 № 22-29 с ПФ-2 контрольные испытания прошел неудовлетворительно.</w:t>
      </w:r>
    </w:p>
    <w:p w14:paraId="0D8268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нем не устранены следующие основаные дефекты, выявленные при испытаниях с-та № 11-12:</w:t>
      </w:r>
    </w:p>
    <w:p w14:paraId="5EE434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73B79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максимальная дальность радиопередачи (60 км)</w:t>
      </w:r>
    </w:p>
    <w:p w14:paraId="64DB83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мала емкость б/б (360 л против 372 л у опытного Як-1М “дублер”</w:t>
      </w:r>
    </w:p>
    <w:p w14:paraId="543E8A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- 3 мая 1945, Лосюков - 4 мая 1945</w:t>
      </w:r>
    </w:p>
    <w:p w14:paraId="7E56D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561F31" w:rsidRPr="00F90EAE" w14:paraId="11E2AA6F" w14:textId="77777777">
        <w:tc>
          <w:tcPr>
            <w:tcW w:w="3369" w:type="dxa"/>
            <w:tcBorders>
              <w:top w:val="single" w:sz="12" w:space="0" w:color="auto"/>
            </w:tcBorders>
          </w:tcPr>
          <w:p w14:paraId="63FD25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1961" w:type="dxa"/>
            <w:tcBorders>
              <w:top w:val="single" w:sz="12" w:space="0" w:color="auto"/>
            </w:tcBorders>
          </w:tcPr>
          <w:p w14:paraId="019762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27A20A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0E7A6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09475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от 26 октября 1943</w:t>
            </w:r>
          </w:p>
        </w:tc>
      </w:tr>
      <w:tr w:rsidR="00561F31" w:rsidRPr="00F90EAE" w14:paraId="16107F54" w14:textId="77777777">
        <w:tc>
          <w:tcPr>
            <w:tcW w:w="3369" w:type="dxa"/>
          </w:tcPr>
          <w:p w14:paraId="3FB10C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1961" w:type="dxa"/>
          </w:tcPr>
          <w:p w14:paraId="063D28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961" w:type="dxa"/>
          </w:tcPr>
          <w:p w14:paraId="7346B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961" w:type="dxa"/>
          </w:tcPr>
          <w:p w14:paraId="7C227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961" w:type="dxa"/>
          </w:tcPr>
          <w:p w14:paraId="50D1A7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2670</w:t>
            </w:r>
          </w:p>
        </w:tc>
      </w:tr>
      <w:tr w:rsidR="00561F31" w:rsidRPr="00F90EAE" w14:paraId="1E92A184" w14:textId="77777777">
        <w:tc>
          <w:tcPr>
            <w:tcW w:w="3369" w:type="dxa"/>
          </w:tcPr>
          <w:p w14:paraId="11F169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w:t>
            </w:r>
          </w:p>
        </w:tc>
        <w:tc>
          <w:tcPr>
            <w:tcW w:w="1961" w:type="dxa"/>
          </w:tcPr>
          <w:p w14:paraId="756DC3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961" w:type="dxa"/>
          </w:tcPr>
          <w:p w14:paraId="0EFC09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tc>
        <w:tc>
          <w:tcPr>
            <w:tcW w:w="1961" w:type="dxa"/>
          </w:tcPr>
          <w:p w14:paraId="75FAB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w:t>
            </w:r>
          </w:p>
        </w:tc>
        <w:tc>
          <w:tcPr>
            <w:tcW w:w="1961" w:type="dxa"/>
          </w:tcPr>
          <w:p w14:paraId="2DC2A0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0EC5D34D" w14:textId="77777777">
        <w:tc>
          <w:tcPr>
            <w:tcW w:w="3369" w:type="dxa"/>
          </w:tcPr>
          <w:p w14:paraId="7A4B05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1-й границе высотности</w:t>
            </w:r>
          </w:p>
        </w:tc>
        <w:tc>
          <w:tcPr>
            <w:tcW w:w="1961" w:type="dxa"/>
          </w:tcPr>
          <w:p w14:paraId="2B2BEE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613/2100</w:t>
            </w:r>
          </w:p>
        </w:tc>
        <w:tc>
          <w:tcPr>
            <w:tcW w:w="1961" w:type="dxa"/>
          </w:tcPr>
          <w:p w14:paraId="4F68D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610/2200</w:t>
            </w:r>
          </w:p>
        </w:tc>
        <w:tc>
          <w:tcPr>
            <w:tcW w:w="1961" w:type="dxa"/>
          </w:tcPr>
          <w:p w14:paraId="04C2F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610/1600</w:t>
            </w:r>
          </w:p>
        </w:tc>
        <w:tc>
          <w:tcPr>
            <w:tcW w:w="1961" w:type="dxa"/>
          </w:tcPr>
          <w:p w14:paraId="46FA63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07E6D84" w14:textId="77777777">
        <w:tc>
          <w:tcPr>
            <w:tcW w:w="3369" w:type="dxa"/>
          </w:tcPr>
          <w:p w14:paraId="5647DE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границе высотности</w:t>
            </w:r>
          </w:p>
        </w:tc>
        <w:tc>
          <w:tcPr>
            <w:tcW w:w="1961" w:type="dxa"/>
          </w:tcPr>
          <w:p w14:paraId="1E1CAC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639/4150</w:t>
            </w:r>
          </w:p>
        </w:tc>
        <w:tc>
          <w:tcPr>
            <w:tcW w:w="1961" w:type="dxa"/>
          </w:tcPr>
          <w:p w14:paraId="4D153F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631/4200</w:t>
            </w:r>
          </w:p>
        </w:tc>
        <w:tc>
          <w:tcPr>
            <w:tcW w:w="1961" w:type="dxa"/>
          </w:tcPr>
          <w:p w14:paraId="43349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642/3750</w:t>
            </w:r>
          </w:p>
        </w:tc>
        <w:tc>
          <w:tcPr>
            <w:tcW w:w="1961" w:type="dxa"/>
          </w:tcPr>
          <w:p w14:paraId="53C7BB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4DAC0017" w14:textId="77777777">
        <w:tc>
          <w:tcPr>
            <w:tcW w:w="3369" w:type="dxa"/>
            <w:tcBorders>
              <w:bottom w:val="single" w:sz="12" w:space="0" w:color="auto"/>
            </w:tcBorders>
          </w:tcPr>
          <w:p w14:paraId="7D3C3A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w:t>
            </w:r>
          </w:p>
        </w:tc>
        <w:tc>
          <w:tcPr>
            <w:tcW w:w="1961" w:type="dxa"/>
            <w:tcBorders>
              <w:bottom w:val="single" w:sz="12" w:space="0" w:color="auto"/>
            </w:tcBorders>
          </w:tcPr>
          <w:p w14:paraId="0A915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961" w:type="dxa"/>
            <w:tcBorders>
              <w:bottom w:val="single" w:sz="12" w:space="0" w:color="auto"/>
            </w:tcBorders>
          </w:tcPr>
          <w:p w14:paraId="03C846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961" w:type="dxa"/>
            <w:tcBorders>
              <w:bottom w:val="single" w:sz="12" w:space="0" w:color="auto"/>
            </w:tcBorders>
          </w:tcPr>
          <w:p w14:paraId="353D37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961" w:type="dxa"/>
            <w:tcBorders>
              <w:bottom w:val="single" w:sz="12" w:space="0" w:color="auto"/>
            </w:tcBorders>
          </w:tcPr>
          <w:p w14:paraId="088E14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5A8C63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1хТМА-2- ШВАК и 2хБС синхр.</w:t>
      </w:r>
    </w:p>
    <w:p w14:paraId="56D4C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серийного с-та № 11-12, проходившего КИ в сентябре 1944 имеет следующие основные отличия:</w:t>
      </w:r>
    </w:p>
    <w:p w14:paraId="3B5C5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планеру</w:t>
      </w:r>
    </w:p>
    <w:p w14:paraId="60A98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проведены мероприятия по улучшению аэродинамики с-та</w:t>
      </w:r>
    </w:p>
    <w:p w14:paraId="62CD1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уменьшены щели между крылом и элеронами, между килем и РП и между стабилизатором и РВ</w:t>
      </w:r>
    </w:p>
    <w:p w14:paraId="71D0C2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уменьшены вырезы под кронштейны элеронов и рулей</w:t>
      </w:r>
    </w:p>
    <w:p w14:paraId="70B349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улучшена герметичность с-та</w:t>
      </w:r>
    </w:p>
    <w:p w14:paraId="29109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поставлены замки на центральные щитки шасси</w:t>
      </w:r>
    </w:p>
    <w:p w14:paraId="7D2DD0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повышена прочность крыла:</w:t>
      </w:r>
    </w:p>
    <w:p w14:paraId="61ADB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увеличена вдвое площадь склейки средней части нервюр 8, 9, 10, 11, 14, 16, 18 с верхней обшивкой</w:t>
      </w:r>
    </w:p>
    <w:p w14:paraId="605935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5960AF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средняя часть и шпон лобовой части обшивки приклеены клеем ВИАМ-Б-3</w:t>
      </w:r>
    </w:p>
    <w:p w14:paraId="6D2BAB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 ВМГ - установлено приспособление для газового запуска мотора...</w:t>
      </w:r>
    </w:p>
    <w:p w14:paraId="3F66F8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 - вместо передатчика РСИ-3 установлен РСИ-3М-1...</w:t>
      </w:r>
    </w:p>
    <w:p w14:paraId="6C44E9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2AB125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69032E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выполнено 20 полетов с общим налетом 12:16</w:t>
      </w:r>
    </w:p>
    <w:p w14:paraId="3A1C5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2146 при нормальном полетном 2710. Ц/т 24,7%</w:t>
      </w:r>
    </w:p>
    <w:p w14:paraId="6BF67D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- 90</w:t>
      </w:r>
    </w:p>
    <w:p w14:paraId="6A2E0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- 360 л (уд. Вес 0,741) - 267 кг</w:t>
      </w:r>
    </w:p>
    <w:p w14:paraId="039AF3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- 95,5</w:t>
      </w:r>
    </w:p>
    <w:p w14:paraId="6A6B8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- 77,5</w:t>
      </w:r>
    </w:p>
    <w:p w14:paraId="3A44A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- 14</w:t>
      </w:r>
    </w:p>
    <w:p w14:paraId="7663C5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564 кг</w:t>
      </w:r>
    </w:p>
    <w:p w14:paraId="6C9707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79170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Перечень дефектов и конструктивных недостатков, выявленных при испытаниях:</w:t>
      </w:r>
    </w:p>
    <w:p w14:paraId="044D0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отсос щитков шасси при полете на повышенной скорости</w:t>
      </w:r>
    </w:p>
    <w:p w14:paraId="1AFE6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отставание обшивки в нижней части конца фюзеляжа, отставание обшивки киля</w:t>
      </w:r>
    </w:p>
    <w:p w14:paraId="2D507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искажения сферического козырька кабины фонаря, видемость через него неудовлетворительна</w:t>
      </w:r>
    </w:p>
    <w:p w14:paraId="03FB63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велики усилия на ручке элеронов и РВ, малая эффективность триммер РВ</w:t>
      </w:r>
    </w:p>
    <w:p w14:paraId="5E33A1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7DD41B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Механические бензомеры непригодны для расхода горючего.</w:t>
      </w:r>
    </w:p>
    <w:p w14:paraId="4D3D72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Радиосвязь на землю с высоты 1000 м - 60 км</w:t>
      </w:r>
    </w:p>
    <w:p w14:paraId="49541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3A9B9E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Вентиляция кабины эффективна</w:t>
      </w:r>
    </w:p>
    <w:p w14:paraId="7F20FD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огнем пушки и пулеметов - удачное</w:t>
      </w:r>
    </w:p>
    <w:p w14:paraId="2FA133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56345F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Иванов - подписал 30 апреля 1945</w:t>
      </w:r>
    </w:p>
    <w:p w14:paraId="323B9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Прошаков, Хомяков, Седов, Антипов, Кувшинов - подписали 30 апреля 1945 (805,5).</w:t>
      </w:r>
    </w:p>
    <w:p w14:paraId="323D9177" w14:textId="77777777" w:rsidR="00665165" w:rsidRPr="00F90EAE" w:rsidRDefault="00665165" w:rsidP="00F90EAE">
      <w:pPr>
        <w:autoSpaceDE w:val="0"/>
        <w:autoSpaceDN w:val="0"/>
        <w:adjustRightInd w:val="0"/>
        <w:jc w:val="both"/>
        <w:rPr>
          <w:color w:val="000000" w:themeColor="text1"/>
          <w:sz w:val="16"/>
          <w:szCs w:val="16"/>
        </w:rPr>
      </w:pPr>
    </w:p>
    <w:p w14:paraId="7F0250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Л.М.Кувшинов закончил гос. испытания Як-3Т, вооруженного Н-37, которые проводились с 17 февраля 1945. Уступал лишь Як-9У со сменным вооружением. При стрельбе был устойчивым и за 3-4 выстрела прицеливание не сбивалось. Были и дефекты. Потом дорабатывали с 12 мая до 2 июля 1945. Хотя все работы закончили к 24 мая и потом проверяли эффективность доделок (65,181).</w:t>
      </w:r>
    </w:p>
    <w:p w14:paraId="16D56442" w14:textId="77777777" w:rsidR="00665165" w:rsidRPr="00F90EAE" w:rsidRDefault="00665165" w:rsidP="00F90EAE">
      <w:pPr>
        <w:autoSpaceDE w:val="0"/>
        <w:autoSpaceDN w:val="0"/>
        <w:adjustRightInd w:val="0"/>
        <w:jc w:val="both"/>
        <w:rPr>
          <w:color w:val="000000" w:themeColor="text1"/>
          <w:sz w:val="16"/>
          <w:szCs w:val="16"/>
        </w:rPr>
      </w:pPr>
    </w:p>
    <w:p w14:paraId="13740408"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в HИИ ВВС закончились (начались с 17 февраля) испытания ударного истребителя «Як-ЗТ» (летчик Л.М.Кувшинов, инженеры: по самолету - В.П.Белодеденко, по вооружению - А.Г.Аронов; техник - В.Ф.Сбитнев). Выполнено 44 полета общей продолжительностью 26 ч 5 мин. В отчете по госиспытаниям отмечалось, что «Як-ЗТ», вооруженный легкой 37-мм пушкой «H-37» и двумя синхронными 20-мм пушками «Б-20С», является нужным для ВВС самолетом. Предлагалось передать самолет в ОКБ для устранения дефектов  (15112).</w:t>
      </w:r>
    </w:p>
    <w:p w14:paraId="64CB6864" w14:textId="77777777" w:rsidR="009B0E9A" w:rsidRPr="00F90EAE" w:rsidRDefault="009B0E9A" w:rsidP="00F90EAE">
      <w:pPr>
        <w:jc w:val="both"/>
        <w:rPr>
          <w:color w:val="000000" w:themeColor="text1"/>
          <w:sz w:val="16"/>
          <w:szCs w:val="16"/>
        </w:rPr>
      </w:pPr>
    </w:p>
    <w:p w14:paraId="6A70BB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утвердили макет машины 64 А.Н.Т. и начали готовить чертежи. Жил потом 2 года и даже сделали новый макет с учетом опыта изучения В-29 (2397,56).</w:t>
      </w:r>
    </w:p>
    <w:p w14:paraId="01C63761" w14:textId="77777777" w:rsidR="00665165" w:rsidRPr="00F90EAE" w:rsidRDefault="00665165" w:rsidP="00F90EAE">
      <w:pPr>
        <w:autoSpaceDE w:val="0"/>
        <w:autoSpaceDN w:val="0"/>
        <w:adjustRightInd w:val="0"/>
        <w:jc w:val="both"/>
        <w:rPr>
          <w:color w:val="000000" w:themeColor="text1"/>
          <w:sz w:val="16"/>
          <w:szCs w:val="16"/>
        </w:rPr>
      </w:pPr>
    </w:p>
    <w:p w14:paraId="2C47256F"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макетная комиссия утвердила макет "самолета 64" с четырьмя двигателями «АМ-43ТК-300Б». Работы по самолету продолжались и с окончанием Великой Отечественной войны и с первыми раскатами "холодной войны" между вчерашними союзниками приобрели первостепенное значение для советского военно-политического руководства. Летом 1945 г. американцы взорвали свое первое ядерное устройство, атомная бомба стала реальностью. В СССР работы Курчатова и его коллег приближали день появления советского ядерного оружия. Вопрос о скорейшем создании авиационного носителя нового оружия приобретал крайне острую форму (15112).</w:t>
      </w:r>
    </w:p>
    <w:p w14:paraId="4073D8B6" w14:textId="77777777" w:rsidR="009B0E9A" w:rsidRPr="00F90EAE" w:rsidRDefault="009B0E9A" w:rsidP="00F90EAE">
      <w:pPr>
        <w:jc w:val="both"/>
        <w:rPr>
          <w:color w:val="000000" w:themeColor="text1"/>
          <w:sz w:val="16"/>
          <w:szCs w:val="16"/>
        </w:rPr>
      </w:pPr>
    </w:p>
    <w:p w14:paraId="374D903D"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1945 г. макетная комиссия наконец утвердила макет «самолета 64» с четырьмя двигателями АМ-43ТК-З00Б. Работы по самолету продолжались и с окончанием Великой Отечественной войны и с первыми раскатами «холодной войны» между вчерашними союзниками приобрели первостепенное значение для советского военно-политического руководства. ОКБ приступило к выпуску чертежей «самолета 64» и к постройке стапелей для сборки первого экземпляра. По планеру и силовой установке практически вопросов не было. Камнем преткновения стало оснащение самолета в нужные сроки современным оборудованием, соответствующим требованиям ВВС. Предприятия-смежники ОКБ А.Н. Туполева не могли на этом этапе обеспечить «самолет 64» не только заказанным навигационным и радиолокационным оборудованием, но и автоматизированной дистанционной системой управления стрелково-пушечным вооружением. Основы этой системы базировались на «лженауке» — кибернетике, отношение к которой в идеологическом руководстве страны было крайне негативным.</w:t>
      </w:r>
    </w:p>
    <w:p w14:paraId="35A350FF" w14:textId="77777777" w:rsidR="009B0E9A" w:rsidRPr="00F90EAE" w:rsidRDefault="009B0E9A" w:rsidP="00F90EAE">
      <w:pPr>
        <w:jc w:val="both"/>
        <w:rPr>
          <w:color w:val="000000" w:themeColor="text1"/>
          <w:sz w:val="16"/>
          <w:szCs w:val="16"/>
        </w:rPr>
      </w:pPr>
      <w:r w:rsidRPr="00F90EAE">
        <w:rPr>
          <w:color w:val="000000" w:themeColor="text1"/>
          <w:sz w:val="16"/>
          <w:szCs w:val="16"/>
        </w:rPr>
        <w:t>Ввиду того что работы по «самолету 64» имели государственное значение, все подробности докладывались Л. П. Берии, курировавшему атомную программу, и непосредственно И. В. Сталину. Информация о причинах задержек и сбоев в проектировании и постройке самолета была им хорошо известна и привела руководителей страны к принятию кардинального решения по созданию стратегического авиационного носителя. Сталин счел наиболее целесообразным скопировать американский В-29, четыре экземпляра которого были интернированы СССР на Дальнем Востоке после их вынужденной посадки на нашей территории. Работы по копированию и освоению самолета серийным производством были поручены ОКБ А. Н. Туполева и заводу № 22 в Казани (15568).</w:t>
      </w:r>
    </w:p>
    <w:p w14:paraId="5567227F" w14:textId="77777777" w:rsidR="009B0E9A" w:rsidRPr="00F90EAE" w:rsidRDefault="009B0E9A" w:rsidP="00F90EAE">
      <w:pPr>
        <w:jc w:val="both"/>
        <w:rPr>
          <w:color w:val="000000" w:themeColor="text1"/>
          <w:sz w:val="16"/>
          <w:szCs w:val="16"/>
        </w:rPr>
      </w:pPr>
    </w:p>
    <w:p w14:paraId="70A35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вышел приказ НКАП N 174с "О самолетах Ли-2 в пассажирском и транспортном вариантах":</w:t>
      </w:r>
    </w:p>
    <w:p w14:paraId="453A49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исполнение постановления ГКО от 22 апреля 1945 N 8241сс:</w:t>
      </w:r>
    </w:p>
    <w:p w14:paraId="682AA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Нач. 10 ГУ - зам. наркома Кузнецову и директору завода 84 Ярунину с мая 1945 перевести завод на выпуск самолетов Ли-2 в транспортном и пассажирском варианте и из них в пассажирском варианте выпускать по 5 самолетов в месяц.</w:t>
      </w:r>
    </w:p>
    <w:p w14:paraId="46CD9F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Самолеты Ли-2 в транспортном и пассажирском вариантах выпускать без бомбардировочного и стрелкового вооружения.</w:t>
      </w:r>
    </w:p>
    <w:p w14:paraId="5963A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Этим же постановлением ГКО установил след. план распределения самолетов Ли-2 на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561F31" w:rsidRPr="00F90EAE" w14:paraId="4FAE3115" w14:textId="77777777">
        <w:tc>
          <w:tcPr>
            <w:tcW w:w="3757" w:type="dxa"/>
          </w:tcPr>
          <w:p w14:paraId="5FDA9854" w14:textId="77777777" w:rsidR="00665165" w:rsidRPr="00F90EAE" w:rsidRDefault="00665165" w:rsidP="00F90EAE">
            <w:pPr>
              <w:autoSpaceDE w:val="0"/>
              <w:autoSpaceDN w:val="0"/>
              <w:adjustRightInd w:val="0"/>
              <w:jc w:val="both"/>
              <w:rPr>
                <w:color w:val="000000" w:themeColor="text1"/>
                <w:sz w:val="16"/>
                <w:szCs w:val="16"/>
              </w:rPr>
            </w:pPr>
          </w:p>
        </w:tc>
        <w:tc>
          <w:tcPr>
            <w:tcW w:w="3757" w:type="dxa"/>
          </w:tcPr>
          <w:p w14:paraId="6012BA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ВВС</w:t>
            </w:r>
          </w:p>
        </w:tc>
        <w:tc>
          <w:tcPr>
            <w:tcW w:w="3757" w:type="dxa"/>
          </w:tcPr>
          <w:p w14:paraId="49835D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ГВФ</w:t>
            </w:r>
          </w:p>
        </w:tc>
      </w:tr>
      <w:tr w:rsidR="00561F31" w:rsidRPr="00F90EAE" w14:paraId="152A8E34" w14:textId="77777777">
        <w:tc>
          <w:tcPr>
            <w:tcW w:w="3757" w:type="dxa"/>
          </w:tcPr>
          <w:p w14:paraId="689DCE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апреле </w:t>
            </w:r>
            <w:r w:rsidR="009B0E9A" w:rsidRPr="00F90EAE">
              <w:rPr>
                <w:color w:val="000000" w:themeColor="text1"/>
                <w:sz w:val="16"/>
                <w:szCs w:val="16"/>
              </w:rPr>
              <w:t>–</w:t>
            </w:r>
            <w:r w:rsidRPr="00F90EAE">
              <w:rPr>
                <w:color w:val="000000" w:themeColor="text1"/>
                <w:sz w:val="16"/>
                <w:szCs w:val="16"/>
              </w:rPr>
              <w:t xml:space="preserve"> августе</w:t>
            </w:r>
          </w:p>
        </w:tc>
        <w:tc>
          <w:tcPr>
            <w:tcW w:w="3757" w:type="dxa"/>
          </w:tcPr>
          <w:p w14:paraId="08F646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3757" w:type="dxa"/>
          </w:tcPr>
          <w:p w14:paraId="6AFD5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40907AEA" w14:textId="77777777">
        <w:tc>
          <w:tcPr>
            <w:tcW w:w="3757" w:type="dxa"/>
          </w:tcPr>
          <w:p w14:paraId="1C9E2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сентябре-декабре</w:t>
            </w:r>
          </w:p>
        </w:tc>
        <w:tc>
          <w:tcPr>
            <w:tcW w:w="3757" w:type="dxa"/>
          </w:tcPr>
          <w:p w14:paraId="7B90BD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3757" w:type="dxa"/>
          </w:tcPr>
          <w:p w14:paraId="7AAFA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(1826,31)</w:t>
            </w:r>
          </w:p>
        </w:tc>
      </w:tr>
    </w:tbl>
    <w:p w14:paraId="01C82CF7" w14:textId="77777777" w:rsidR="00665165" w:rsidRPr="00F90EAE" w:rsidRDefault="00665165" w:rsidP="00F90EAE">
      <w:pPr>
        <w:autoSpaceDE w:val="0"/>
        <w:autoSpaceDN w:val="0"/>
        <w:adjustRightInd w:val="0"/>
        <w:jc w:val="both"/>
        <w:rPr>
          <w:color w:val="000000" w:themeColor="text1"/>
          <w:sz w:val="16"/>
          <w:szCs w:val="16"/>
        </w:rPr>
      </w:pPr>
    </w:p>
    <w:p w14:paraId="7771B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Ком. ВВС в лице Фалалеева и Шиманова писали письмо N 730570с А.И.Ш. (вход. (N Н-32/2176):</w:t>
      </w:r>
    </w:p>
    <w:p w14:paraId="618FD7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 боевых действий ночных бомбардировщиков 18 ВА полностью подтвердил необходимость иметь на каждом самолете два канала связи: один для связи с командным пунктом, второй для связи между самолетами и для связи со стартовой рацией, при взлетах и посадках.</w:t>
      </w:r>
    </w:p>
    <w:p w14:paraId="66489F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на отечественных самолетах Ер-2, Ил-4, Ли-2 только одной РСБ-3-бис не дает возможности поддерживать одновременно связь с КП и самолетами группы, требует в каждом отдельном случае перестройки рации с одной волны на другую, что лишает возможности постоянно управлять самолетами, в целях их взаимодействия и может вообще привести к полной потере связи.</w:t>
      </w:r>
    </w:p>
    <w:p w14:paraId="0B296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Боевым применением самолетов В-25 и самолетов Ил-4, оборудованных командными станциями, установлено значительное улучшение в управлении самолетами, что позволило изменить боевые порядки и получить лучшие результаты поражения цели.</w:t>
      </w:r>
    </w:p>
    <w:p w14:paraId="4EAB3A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повышения эффективности взаимодействия отечественных бомбардировщиков, прошу Вашего распоряжения заводам НКАП выпускать самолеты Ер-2 и Ил-4 только оборудованными двумя радиостанциями РСБ-3-бис и РСИ-4 по ТТТ ГК НИИ ВВВС КА." (1879,141).</w:t>
      </w:r>
    </w:p>
    <w:p w14:paraId="19E356F2" w14:textId="77777777" w:rsidR="00665165" w:rsidRPr="00F90EAE" w:rsidRDefault="00665165" w:rsidP="00F90EAE">
      <w:pPr>
        <w:autoSpaceDE w:val="0"/>
        <w:autoSpaceDN w:val="0"/>
        <w:adjustRightInd w:val="0"/>
        <w:jc w:val="both"/>
        <w:rPr>
          <w:color w:val="000000" w:themeColor="text1"/>
          <w:sz w:val="16"/>
          <w:szCs w:val="16"/>
        </w:rPr>
      </w:pPr>
    </w:p>
    <w:p w14:paraId="418B34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года вышел приказ НКАП № 174, согласно которому с 1 мая 1945 завод № 84 переходил на выпуск гражданских машин – транспортных ЛИ-2Т и пассажирских ЛИ-2П (9461).</w:t>
      </w:r>
    </w:p>
    <w:p w14:paraId="1475100A" w14:textId="77777777" w:rsidR="00665165" w:rsidRPr="00F90EAE" w:rsidRDefault="00665165" w:rsidP="00F90EAE">
      <w:pPr>
        <w:autoSpaceDE w:val="0"/>
        <w:autoSpaceDN w:val="0"/>
        <w:adjustRightInd w:val="0"/>
        <w:jc w:val="both"/>
        <w:rPr>
          <w:color w:val="000000" w:themeColor="text1"/>
          <w:sz w:val="16"/>
          <w:szCs w:val="16"/>
        </w:rPr>
      </w:pPr>
    </w:p>
    <w:p w14:paraId="69F4FD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г. по пр. НКАП № 174 завод (Завод № 84 им. Героя Советского Союза В.П. Чкалова НКТП, НКОП, НКАП, Ташкентский авиационный завод им. В.П. Чкалова, Ташкентское авиационное ПО им. В.П. Чкалова (ТАПОиЧ), Государственное АО (ГАО) «ТАПОиЧ» / г. Химки Московской обл./ /700016 Узбекистан  г. Ташкент, ул. Кучкар-Турдыева; ул. Элбек, 61 тел. 136-11-67/) с 1.05.1945 г. переведен на выпуск только пассажирского Ли-2П и грузового Ли-2 Г. Производство прекращено в соответствии с ПСМ № 947-407 от 1.04.1953 г.</w:t>
      </w:r>
    </w:p>
    <w:p w14:paraId="76A4E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735с от 8.12.1943 г. с завода № 84 переведена группа специалистов для усиления ОКБ завода № 219 НКАП. В 12.1943 г. заводу был передан завод № 600 из Китая и все его работы.</w:t>
      </w:r>
    </w:p>
    <w:p w14:paraId="2EEF66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1950-е  г. завод располагался на двух площадках: старой (СКО, заготовительные и механические цеха) и новой (сборочные цеха, лаборатории, ЛИС).</w:t>
      </w:r>
    </w:p>
    <w:p w14:paraId="3137B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1954 г. на заводе организовано представительство ОКБ Ильюшина (представитель (1954 г.)- А.А. Масленников, (1954 г.)- К.Д. Усиков, Н.Ф. Зотов, (1970-е)- В.И. Воронин, Л.А. Шмугляков, (2003 г.)- В.М. Тулупов; зам. представителя (2003 г.)- Ч.А. Тимашев).</w:t>
      </w:r>
    </w:p>
    <w:p w14:paraId="421D5D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713-342 от 26.06.1957 г. передан в ведение СНХ Узбекской ССР.</w:t>
      </w:r>
    </w:p>
    <w:p w14:paraId="7B9E6D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 № 373-184 от 4.04.1957 г. на заводе начато освоение производства Ан-8 с двигателями АИ-20Д.</w:t>
      </w:r>
    </w:p>
    <w:p w14:paraId="07CCDA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ГКАТ от 29.07.1959 г. на заводе образован филиал ОКБ-473, в 1973 г. он преобразован в КО завода. Начальник филиала: (1959 г.-)- В.Ф. Ерошин, (1961-65 г.)- П.В. Балабуев, Х. Г. Сарымсаков, Н.А. Погорелов, Я.Н. Приходько. В 1980-х  г. организовано представительство ОКБ на заводе № 84, руководитель- И. Г. Ермохин.</w:t>
      </w:r>
    </w:p>
    <w:p w14:paraId="58D93A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освоения производства Ан-12 завод был реконструирован, куплено много новейшего оборудования, в т.ч. импортного.</w:t>
      </w:r>
    </w:p>
    <w:p w14:paraId="209597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приказом МАП № 119 от 10.06.1965 г. на заводе начался выпуск Ан-22.</w:t>
      </w:r>
    </w:p>
    <w:p w14:paraId="25E9E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1973 г. на базе завода создано ТАПОиЧ.</w:t>
      </w:r>
    </w:p>
    <w:p w14:paraId="1A1FB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2000-е  г. велись работы по освоению выпуска Ил-114 и Ан-70. На 11.2005 г. в производстве находилось 4 Ил-76МФ и один Ил-76ТФ; на 11.2007 г.- 20 Ил-76 в разной степени готовности; в 2006-07 г. построено два Ил- 76ТД-90ВД.</w:t>
      </w:r>
    </w:p>
    <w:p w14:paraId="4D403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05.2006 г. подписан контракт с ЗАО «Техноспецсталь-Инжиниринг» на поставку 30 Ил-114 до 2008 г.; на II.2007 г. на заводе находилось 30 заложенных Ил-114. Велось их производство (примерно 1 самолет в год).</w:t>
      </w:r>
    </w:p>
    <w:p w14:paraId="33E8C3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2007 г. планировалось вхождение ТАПОиЧ в </w:t>
      </w:r>
      <w:r w:rsidRPr="00F90EAE">
        <w:rPr>
          <w:color w:val="000000" w:themeColor="text1"/>
          <w:sz w:val="16"/>
          <w:szCs w:val="16"/>
          <w:lang w:val="en-US"/>
        </w:rPr>
        <w:t>OAK</w:t>
      </w:r>
      <w:r w:rsidRPr="00F90EAE">
        <w:rPr>
          <w:color w:val="000000" w:themeColor="text1"/>
          <w:sz w:val="16"/>
          <w:szCs w:val="16"/>
        </w:rPr>
        <w:t>.</w:t>
      </w:r>
    </w:p>
    <w:p w14:paraId="038F8E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 (11.1940 г.)- 477 металлорежущих станков.</w:t>
      </w:r>
    </w:p>
    <w:p w14:paraId="354C81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(1980-е)- около 50 тыс. чел., (2005 г.)~ 12.000 чел.</w:t>
      </w:r>
    </w:p>
    <w:p w14:paraId="5322FC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(-01-4.07.1937 г.)- Ф.П. Мурашев (снят), (3.08.1937-2.02.1938 г.)- С.И. Савышев, (2.02-08.1938 г.-)- П.И. Осипенко, (1939-47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Ярунин, (1947 г.-)- А.Н. Рудин, Кабишев, (1969-73 г.)- В.Н. Сивец. Гендиректор (1973-84 г.)- В.Н. Сивец, (1996-11.2006 г.)- В.П. Кучеров.</w:t>
      </w:r>
    </w:p>
    <w:p w14:paraId="003253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(27.05-20.08.1937 г.)- С.И. Беляйкин, (06.1937 г.)- А.Р. Рубенчик, (-10.1940 г.)- А.П. Бугров, (12.1940 г.-)- Б.П. Лисунов.</w:t>
      </w:r>
    </w:p>
    <w:p w14:paraId="25B72B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Технический директор (21.01.1938 г.-)- Б.П. Лисунов, (2002 г.)- Н.А. Кузнецов. Директор: по производству (2002 г.)- Д.Х. Гулямов; по экономической работе (2002 г.)- В.А. Хлевной.</w:t>
      </w:r>
    </w:p>
    <w:p w14:paraId="7F1562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(-06-15.12.1937 г.)- А.Р. Рубенчик, (12.1940-46 г.)- Б.П. Лисунов.</w:t>
      </w:r>
    </w:p>
    <w:p w14:paraId="726063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(05(07). 1936-37</w:t>
      </w:r>
      <w:r w:rsidRPr="00F90EAE">
        <w:rPr>
          <w:color w:val="000000" w:themeColor="text1"/>
          <w:sz w:val="16"/>
          <w:szCs w:val="16"/>
          <w:lang w:val="en-US"/>
        </w:rPr>
        <w:t>r</w:t>
      </w:r>
      <w:r w:rsidRPr="00F90EAE">
        <w:rPr>
          <w:color w:val="000000" w:themeColor="text1"/>
          <w:sz w:val="16"/>
          <w:szCs w:val="16"/>
        </w:rPr>
        <w:t>.)- Н.Н. Поликарпов (одновременно- гл. конструктор завода № 21), (1937- 38 г.)- В.М. Мясищев (репрессирован), (7.08.1938-40 г.)- А.А. Сеньков, (1940-46 г.)- И.П. Мосолов, (1950-е)-, А.П. Голубков.</w:t>
      </w:r>
    </w:p>
    <w:p w14:paraId="76D6BF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Начальшки отделов: ОКС и.о. (1938 г.)- Дьяков; АХО (1938 г.)- Дорофеев. Начальник УКС (08.2938 г.)- Белозеров.</w:t>
      </w:r>
    </w:p>
    <w:p w14:paraId="277BB2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отдела: ОТК (07.1943 г.-)- М.И. Гудков.</w:t>
      </w:r>
    </w:p>
    <w:p w14:paraId="4F85B2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отделений: гошово-шаблонного (-04.1938 г.)- Козлов.</w:t>
      </w:r>
    </w:p>
    <w:p w14:paraId="5728C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Комендант завода (-16.07.1938 г.)- Самочкин (снят).</w:t>
      </w:r>
    </w:p>
    <w:p w14:paraId="51A58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Летчики-испытатели: (1996 г.)- В.И. Свиридов.</w:t>
      </w:r>
    </w:p>
    <w:p w14:paraId="5742803B"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 самолеты:</w:t>
      </w:r>
      <w:r w:rsidRPr="00F90EAE">
        <w:rPr>
          <w:color w:val="000000" w:themeColor="text1"/>
          <w:sz w:val="16"/>
          <w:szCs w:val="16"/>
        </w:rPr>
        <w:t xml:space="preserve"> И-15, И-16, И-153, ПС-84 (Ли-2, 1938-53)- 4574, Ил-14 (1954-58), Ка-22 (1961)-3, Ан-8 (1958-61)- 151 (вместе с заводом № 473), Ан-12 (1962-72)- 830, Ан-22 (1965-76)- 66, Ил-76 (1973-)-73, Ил-78 (1984-90)- 45, Ил-114 (-2005-09-); подвесные баки (ВОВ); центроплан и крыло, детали фюзеляжа для Ан-124 и Ан-225, комплектующие для ОК «Буран», крыло для Ан-70.</w:t>
      </w:r>
      <w:r w:rsidRPr="00F90EAE">
        <w:rPr>
          <w:color w:val="000000" w:themeColor="text1"/>
          <w:sz w:val="16"/>
          <w:szCs w:val="16"/>
          <w:vertAlign w:val="superscript"/>
        </w:rPr>
        <w:t>69</w:t>
      </w:r>
    </w:p>
    <w:p w14:paraId="2D3E4E0C"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Заводской номер:</w:t>
      </w:r>
      <w:r w:rsidRPr="00F90EAE">
        <w:rPr>
          <w:color w:val="000000" w:themeColor="text1"/>
          <w:sz w:val="16"/>
          <w:szCs w:val="16"/>
        </w:rPr>
        <w:t xml:space="preserve"> в 1958-59 г. был семизначным: 5340110-</w:t>
      </w:r>
      <w:r w:rsidRPr="00F90EAE">
        <w:rPr>
          <w:iCs/>
          <w:color w:val="000000" w:themeColor="text1"/>
          <w:sz w:val="16"/>
          <w:szCs w:val="16"/>
        </w:rPr>
        <w:t xml:space="preserve"> 1-я цифра - год выпуска; следующие две- шифр завода; далее-серийный номер (две цифры- номер серии, следующие две- номер самолет а в серии).</w:t>
      </w:r>
      <w:r w:rsidRPr="00F90EAE">
        <w:rPr>
          <w:color w:val="000000" w:themeColor="text1"/>
          <w:sz w:val="16"/>
          <w:szCs w:val="16"/>
        </w:rPr>
        <w:t xml:space="preserve"> С 1960 г. номер (для Ан-8) буквенно-цифровой:</w:t>
      </w:r>
      <w:r w:rsidRPr="00F90EAE">
        <w:rPr>
          <w:iCs/>
          <w:color w:val="000000" w:themeColor="text1"/>
          <w:sz w:val="16"/>
          <w:szCs w:val="16"/>
        </w:rPr>
        <w:t xml:space="preserve"> 1-я цифра (0 </w:t>
      </w:r>
      <w:r w:rsidRPr="00F90EAE">
        <w:rPr>
          <w:iCs/>
          <w:color w:val="000000" w:themeColor="text1"/>
          <w:sz w:val="16"/>
          <w:szCs w:val="16"/>
          <w:lang w:val="en-US"/>
        </w:rPr>
        <w:t>wiul</w:t>
      </w:r>
      <w:r w:rsidRPr="00F90EAE">
        <w:rPr>
          <w:iCs/>
          <w:color w:val="000000" w:themeColor="text1"/>
          <w:sz w:val="16"/>
          <w:szCs w:val="16"/>
        </w:rPr>
        <w:t>)- год выпуска, затем буква обозначала серию (А-Ж-для машин 1960 г., 3-К-для машин 1961 г.). Для</w:t>
      </w:r>
      <w:r w:rsidRPr="00F90EAE">
        <w:rPr>
          <w:color w:val="000000" w:themeColor="text1"/>
          <w:sz w:val="16"/>
          <w:szCs w:val="16"/>
        </w:rPr>
        <w:t xml:space="preserve"> Ан-12 до 06.1973 г. номер был восьмизначным:</w:t>
      </w:r>
      <w:r w:rsidRPr="00F90EAE">
        <w:rPr>
          <w:iCs/>
          <w:color w:val="000000" w:themeColor="text1"/>
          <w:sz w:val="16"/>
          <w:szCs w:val="16"/>
        </w:rPr>
        <w:t xml:space="preserve"> первые две цифры - год выпуска; следующие две- шифр завода; дапее-серийный номер (две цифры- номер серии, следующие две- номер самолет а в серии).</w:t>
      </w:r>
      <w:r w:rsidRPr="00F90EAE">
        <w:rPr>
          <w:color w:val="000000" w:themeColor="text1"/>
          <w:sz w:val="16"/>
          <w:szCs w:val="16"/>
        </w:rPr>
        <w:t xml:space="preserve"> С 06.1973 г. заводской номер- девятизначный: 053483311-</w:t>
      </w:r>
      <w:r w:rsidRPr="00F90EAE">
        <w:rPr>
          <w:iCs/>
          <w:color w:val="000000" w:themeColor="text1"/>
          <w:sz w:val="16"/>
          <w:szCs w:val="16"/>
        </w:rPr>
        <w:t xml:space="preserve"> первые 4 цифры сохранили свое значение, остальные- не имели смысла (но первой была 8) (11982).</w:t>
      </w:r>
    </w:p>
    <w:p w14:paraId="4A44EA71" w14:textId="77777777" w:rsidR="00665165" w:rsidRPr="00F90EAE" w:rsidRDefault="00665165" w:rsidP="00F90EAE">
      <w:pPr>
        <w:autoSpaceDE w:val="0"/>
        <w:autoSpaceDN w:val="0"/>
        <w:adjustRightInd w:val="0"/>
        <w:jc w:val="both"/>
        <w:rPr>
          <w:color w:val="000000" w:themeColor="text1"/>
          <w:sz w:val="16"/>
          <w:szCs w:val="16"/>
        </w:rPr>
      </w:pPr>
    </w:p>
    <w:p w14:paraId="50E2C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вышло Распоряжение ГКО № 8328. Об установлении на II квартал 1945 года плана производства 37 мм авиационных пушек. РГАНИР, Фонд ГКО, д. 406, лл. 84 (11012).</w:t>
      </w:r>
    </w:p>
    <w:p w14:paraId="260D2FD5" w14:textId="77777777" w:rsidR="00665165" w:rsidRPr="00F90EAE" w:rsidRDefault="00665165" w:rsidP="00F90EAE">
      <w:pPr>
        <w:autoSpaceDE w:val="0"/>
        <w:autoSpaceDN w:val="0"/>
        <w:adjustRightInd w:val="0"/>
        <w:jc w:val="both"/>
        <w:rPr>
          <w:color w:val="000000" w:themeColor="text1"/>
          <w:sz w:val="16"/>
          <w:szCs w:val="16"/>
        </w:rPr>
      </w:pPr>
    </w:p>
    <w:p w14:paraId="62F0C08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91756E2" w14:textId="77777777" w:rsidR="00665165" w:rsidRPr="00F90EAE" w:rsidRDefault="00665165" w:rsidP="00F90EAE">
      <w:pPr>
        <w:autoSpaceDE w:val="0"/>
        <w:autoSpaceDN w:val="0"/>
        <w:adjustRightInd w:val="0"/>
        <w:jc w:val="both"/>
        <w:rPr>
          <w:iCs/>
          <w:color w:val="000000" w:themeColor="text1"/>
          <w:sz w:val="16"/>
          <w:szCs w:val="16"/>
        </w:rPr>
      </w:pPr>
    </w:p>
    <w:p w14:paraId="1F6CF365"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27 апреля 1945, то есть раньше заданного срока, в испытательный пробег отправился первый образец Уралмаш-1. Как и следовало из приказа НКТП №107с, первой изготовили СУ-101, вооружённую 100-мм пушкой Д-10С.</w:t>
      </w:r>
    </w:p>
    <w:p w14:paraId="31C2349F"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сравнению с исходным проектом СУ-100М2 произошли существенные изменения, в том числе с точки зрения компоновки машины. От идеи размещения трансмиссии и ведущих колёс благоразумно отказались, поскольку это снижало объём боевого отделения и усложняло моторно-трансмиссионную группу. Теперь ведущие колёса и трансмиссия размещались в лобовой части корпуса. Разумеется, это усложняло обслуживание, вместе с тем ситуация выглядела не столь критично. Дело в том, что надмоторная плита состояла из двух секций, при этом для демонтажа коробки передач требовалось повернуть орудие максимально влево, поднять переднюю секцию плиты и снять радиатор, после чего можно было приступать к демонтажу КПП. Сложно, но по сравнению с чудесами эквилибристики, которые требовались для монтажа КПП у Jagdpanther, не так и проблемно. Сложнее обстояли дела с демонтажем и обслуживанием силовой установки. Там без демонтажа орудийной установки обойтись уже было невозможно.</w:t>
      </w:r>
    </w:p>
    <w:p w14:paraId="026983D1"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Существенным образом переработали и боевое отделение. В связи с обеспечением большей защиты бортов объём боевого отделения уменьшился, что привело к снижению боекомплекта. Вместо 40 патронов к Д-10С вместилось 36 штук. Вместе с тем за счёт исчезновения из боевого отделения элементов трансмиссии и кожуха вала его высота выросла. Кроме того, на уменьшение боекомплекта к Д-10С повлияла установка зенитного пулемёта ДШКМ. Боекомплект к зенитному пулемёту составил 7 коробок, не считая 16 дисков к пистолетам-пулемётам </w:t>
      </w:r>
      <w:hyperlink r:id="rId105" w:history="1">
        <w:r w:rsidRPr="00F90EAE">
          <w:rPr>
            <w:rStyle w:val="a5"/>
            <w:rFonts w:eastAsiaTheme="majorEastAsia"/>
            <w:bCs/>
            <w:iCs/>
            <w:color w:val="000000" w:themeColor="text1"/>
            <w:sz w:val="16"/>
            <w:szCs w:val="16"/>
            <w:bdr w:val="none" w:sz="0" w:space="0" w:color="auto" w:frame="1"/>
          </w:rPr>
          <w:t>ППШ</w:t>
        </w:r>
      </w:hyperlink>
      <w:r w:rsidRPr="00F90EAE">
        <w:rPr>
          <w:color w:val="000000" w:themeColor="text1"/>
          <w:sz w:val="16"/>
          <w:szCs w:val="16"/>
        </w:rPr>
        <w:t>.</w:t>
      </w:r>
    </w:p>
    <w:p w14:paraId="24F2AA6A"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Перекомпоновка и увеличение броневой защиты сказались на боевой массе СУ-101. Она составила 34,09 т, то есть на 1,5 т больше проекта, подготовленного в марте 1945 года. С другой стороны, кормовое расположение боевого отделения позволило распределить эту нагрузку более равномерно. Кроме того, по результатам переработки проекта вылет ствола за пределы корпуса составил всего 600 мм. Вместе с тем срочность разработки машины не позволила реализовать некоторые из требований по доработке «Уралмаш-1». Например, тоннель из отделения управления в боевое отделение был предусмотрен, но отсутствовала изоляция моторно-трансмиссионного отделения. Имелись и другие недоработки, которые выявились уже в ходе заводских испытаний.</w:t>
      </w:r>
    </w:p>
    <w:p w14:paraId="0C8074E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результатам первой обкатки СУ-100, проведённой 27 апреля 1945 года, были получены предварительные результаты. Отмечалось равномерное распределение нагрузки на опорные катки и хорошая работа торсионной подвески. Как показали первые испытания, подвижность СУ-101 не уступала СУ-100, поскольку на машине стоял более мощный двигатель В-44. Отмечался и хороший обзор с места механика-водителя. В отличие от Т-44, люк механика-водителя не вращался вокруг своей оси, но сохранился перископический прибор MK-IV, а также возможность ехать в походном положении, высунувшись из люка. Также похвалы удостоился люк-дверца в кормовом листе рубки, облегчавший попадание внутрь боевого отделения и упрощавший загрузку боекомплекта.</w:t>
      </w:r>
    </w:p>
    <w:p w14:paraId="3711D54E"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Впрочем, хватало и отрицательных моментов. Одним из главнейших стал перегрев отделения управления. Виной тому стало отсутствие подобающей изоляции моторно-трансмиссионного отделения. Конечно, можно вспомнить Т-60, </w:t>
      </w:r>
      <w:hyperlink r:id="rId106" w:history="1">
        <w:r w:rsidRPr="00F90EAE">
          <w:rPr>
            <w:rStyle w:val="a5"/>
            <w:rFonts w:eastAsiaTheme="majorEastAsia"/>
            <w:bCs/>
            <w:iCs/>
            <w:color w:val="000000" w:themeColor="text1"/>
            <w:sz w:val="16"/>
            <w:szCs w:val="16"/>
            <w:bdr w:val="none" w:sz="0" w:space="0" w:color="auto" w:frame="1"/>
          </w:rPr>
          <w:t>Т-70</w:t>
        </w:r>
      </w:hyperlink>
      <w:r w:rsidRPr="00F90EAE">
        <w:rPr>
          <w:color w:val="000000" w:themeColor="text1"/>
          <w:sz w:val="16"/>
          <w:szCs w:val="16"/>
        </w:rPr>
        <w:t> и СУ-76М, где также по большей части отсутствовала моторная перегородка, но сравнивать лёгкие машины со средней САУ, имеющей куда более крупный и мощный мотор, некорректно. К тому же перегрев шёл и от коробки передач, и от тормозных лент. В результате уже весной ощущался серьёзный перегрев, от которого страдал прежде всего механик-водитель. Даже при открытом люке механик-водитель смог проехать по шоссе не более 7 км, после чего ему пришлось покинуть СУ-101. При этом температура воды и масла составляла 100-110 градусов. О марше длиной 10-15 км пришлось и вовсе забыть.</w:t>
      </w:r>
    </w:p>
    <w:p w14:paraId="4230CFD4"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Проблемы выявились не только с перегревом. Работа рычагом КПП оказалась неудобной: он был слишком сильно смещён вправо, не говоря уже о том, что сильно </w:t>
      </w:r>
      <w:r w:rsidRPr="00F90EAE">
        <w:rPr>
          <w:color w:val="000000" w:themeColor="text1"/>
          <w:sz w:val="16"/>
          <w:szCs w:val="16"/>
        </w:rPr>
        <w:lastRenderedPageBreak/>
        <w:t>нагревался. Неудачной признали и идею с монтажом рычагов управления на верхнем лобовом листе. При попадании снарядов в верхний лобовой лист существовал высокий риск вывода их из строя, да и само расположение оказывалось неудобным. По этой причине во время испытания корпуса СУ-101 обстрелом размещение рычагов управления не учитывали.</w:t>
      </w:r>
    </w:p>
    <w:p w14:paraId="65A1BE3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Проблемы, выявившиеся по результатам первых заводских испытаний, заставили существенно дорабатывать вторую опытную машину. В результате на испытания опытный образец СУ-102 вышел существенно позже графика — 24 июня 1945 года. Изначально от СУ-101 данная машина должна была отличаться орудийной установкой. В связи с тем, что система Д-25с отличалась большей массой, СУ-102 получилась тяжелее — 34,77 т. Боекомплект при этом снизился до 28 выстрелов. Впрочем, у СУ-122П боекомплект был ещё меньше (26 выстрелов), также не следует забывать о наличии в боекомплекте 4 коробов к ДШКМ.</w:t>
      </w:r>
    </w:p>
    <w:p w14:paraId="090B721E"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в конструкцию СУ-102 внесли 10 пунктов изменений. Для начала, система управления оказалась перекомпонованной. С верхнего лобового листа крепления большей части рычагов перенесли на пол. Сиденье механика-водителя перенесли на 250 мм назад, установили новые смотровые приборы в люке механика-водителя. Много работы было проведено и с точки зрения улучшения ситуации с температурным режимом. Ввели дополнительный вентилятор для обдува КПП и бортовых фрикционов, а также обдув коллектора мотора. Для снижения перегрева были установлены моторные перегородки, которые также прикрывали элементы трансмиссии; наконец, был увеличен водяной радиатор.</w:t>
      </w:r>
    </w:p>
    <w:p w14:paraId="1725A17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второго обкаточного пробега выяснилось, что благодаря перекомпоновке системы управления управлять СУ-102 оказалось не менее удобно, чем СУ-100. Улучшилась ситуация и с температурным режимом. По крайней мере теперь машина могла безостановочно пройти 25-30 км. Впрочем, на низших передачах перегрев никуда не делся, что констатировали и представители УЗТМ. В результате обе машины отправились на доработку. Перед проведением основного этапа заводских испытаний обе машины прошли модернизацию. Теперь засос воздуха для двигателя осуществлялся не из моторного, а из боевого отделения. Для улучшения ситуации в отделении управления были сделаны двойные металлические стенки с асбестовой прокладкой, а секции перегородок герметизировали.</w:t>
      </w:r>
    </w:p>
    <w:p w14:paraId="19B057C1"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Перед пробеговыми испытаниями обе машины проверили на стрельбище. Расчёт СУ-101 смог произвести 10 выстрелов за 2 минуты 15 секунд, при этом были задействованы укладки как слева, так и справа. Отмечалось, что загазованность внутри боевого отделения оставалась в пределах нормы, нормально работал и электроспуск. Аналогичным образом прошли и огневые испытания СУ-102. При стрельбе была получена скорострельность 2 выстрела в минуту (19525).</w:t>
      </w:r>
    </w:p>
    <w:p w14:paraId="1D2354D1"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p>
    <w:p w14:paraId="6F79974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апреля 1945 года вышел приказ № 158с НКБ Москва</w:t>
      </w:r>
    </w:p>
    <w:p w14:paraId="26ACCE2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 от 19 апреля 1945 года за № 8206/сс “об организации в системе НКБ КБ и опытного завода по реактивным снарядам”:</w:t>
      </w:r>
    </w:p>
    <w:p w14:paraId="4E6DFF9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Организовать ГЦКБ № 1 НКБ с опытным заводом для изготовления новых образцов и опытных партий реактивных снарядов.</w:t>
      </w:r>
    </w:p>
    <w:p w14:paraId="6CF337F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Возложить на ГЦКБ № 1 НКБ задачу усовершенствования существующих и разработку новых конструкций реактивных снарядов (5761, 104-106).</w:t>
      </w:r>
    </w:p>
    <w:p w14:paraId="49B7F9F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1FC775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D7AB71E" w14:textId="77777777" w:rsidR="00665165" w:rsidRPr="00F90EAE" w:rsidRDefault="00665165" w:rsidP="00F90EAE">
      <w:pPr>
        <w:autoSpaceDE w:val="0"/>
        <w:autoSpaceDN w:val="0"/>
        <w:adjustRightInd w:val="0"/>
        <w:jc w:val="both"/>
        <w:rPr>
          <w:iCs/>
          <w:color w:val="000000" w:themeColor="text1"/>
          <w:sz w:val="16"/>
          <w:szCs w:val="16"/>
        </w:rPr>
      </w:pPr>
    </w:p>
    <w:p w14:paraId="27CFDF6E"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оперативная сводка Совинформбюро:</w:t>
      </w:r>
    </w:p>
    <w:p w14:paraId="6CBB3728" w14:textId="77777777" w:rsidR="009B0E9A" w:rsidRPr="00F90EAE" w:rsidRDefault="009B0E9A" w:rsidP="00F90EAE">
      <w:pPr>
        <w:jc w:val="both"/>
        <w:rPr>
          <w:color w:val="000000" w:themeColor="text1"/>
          <w:sz w:val="16"/>
          <w:szCs w:val="16"/>
        </w:rPr>
      </w:pPr>
      <w:r w:rsidRPr="00F90EAE">
        <w:rPr>
          <w:color w:val="000000" w:themeColor="text1"/>
          <w:sz w:val="16"/>
          <w:szCs w:val="16"/>
        </w:rPr>
        <w:t>«В течение 27 апреля юго-западнее города Пиллау войска 3-го Белорусского фронта, продолжая наступление на косе Фриш-Нерунг, продвинулись вперёд до 10 километров. В боях за 26 апреля в этом районе войска фронта взяли в плен более 3.000 немецких солдат и офицеров.</w:t>
      </w:r>
    </w:p>
    <w:p w14:paraId="653FDC36"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27 апреля овладели городами Пренцлау, Ангермюнде — важными опорными пунктами обороны немцев в западной Померании, а также заняли город Пелитц и крупные населённые пункты Ясенитц, Хаммер, Штольценбург, Пампов, Мевеген, Боок, Лекнитц, Бергхольц, Брюссов, Фаренвальде, Клоков, Бертиков, Грамцов, Пассов, Хоэн Ландин.</w:t>
      </w:r>
    </w:p>
    <w:p w14:paraId="5DEFE5FF"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Белорусского фронта, продолжая наступление, 27 апреля овладели городами Ратенов, Шпандау, Потсдам — важными узлами дорог и мощными опорными пунктами обороны немцев в центральной Германии. Одновременно войска фронта продолжали уличные бои в Берлине и заняли городские районы Нейкелльн, Темпельхоф и аэропорт Темпельхоф. В боях за 26 апреля в Берлине войска фронта взяли в плен более 8.500 немецких солдат и офицеров и захватили следующие трофеи: самолётов — 26, танков — 200, полевых орудий — 290.</w:t>
      </w:r>
    </w:p>
    <w:p w14:paraId="5757546E"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Украинского фронта и союзные нам англо-американские войска ударом с востока и запада рассекли фронт немецких войск и 25 апреля в 13 часов-30 минут соединились в центре Германии в районе города Торгау. Тем самым немецкие войска, находящиеся в северной Германии, отрезаны от немецких войск в южных районах Германии.</w:t>
      </w:r>
    </w:p>
    <w:p w14:paraId="4C4EF646"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войска фронта с боем овладели городом Виттенберг — важным опорным пунктом обороны немцев на реке Эльба и продолжали вести уличные бои в юго-западной части Берлина, где заняли городские районы Штеглиц и Шмаргендорф. В боях за 26 апреля войска фронта взяли в плен свыше 3.000 немецких солдат и офицеров и захватили 85 самолётов противника.</w:t>
      </w:r>
    </w:p>
    <w:p w14:paraId="0C4AAE01" w14:textId="77777777" w:rsidR="009B0E9A" w:rsidRPr="00F90EAE" w:rsidRDefault="009B0E9A" w:rsidP="00F90EAE">
      <w:pPr>
        <w:jc w:val="both"/>
        <w:rPr>
          <w:color w:val="000000" w:themeColor="text1"/>
          <w:sz w:val="16"/>
          <w:szCs w:val="16"/>
        </w:rPr>
      </w:pPr>
      <w:r w:rsidRPr="00F90EAE">
        <w:rPr>
          <w:color w:val="000000" w:themeColor="text1"/>
          <w:sz w:val="16"/>
          <w:szCs w:val="16"/>
        </w:rPr>
        <w:t>На территории Чехословакии войска 2-го Украинского фронта овладели городами Угерски Брод и Угерски Острог, а также заняли населённые пункты Суха Лоз, Хавржице, Влчнов, Глук и Блатнице.</w:t>
      </w:r>
    </w:p>
    <w:p w14:paraId="28021649" w14:textId="77777777" w:rsidR="009B0E9A" w:rsidRPr="00F90EAE" w:rsidRDefault="009B0E9A"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731DB1A7" w14:textId="77777777" w:rsidR="009B0E9A" w:rsidRPr="00F90EAE" w:rsidRDefault="009B0E9A" w:rsidP="00F90EAE">
      <w:pPr>
        <w:jc w:val="both"/>
        <w:rPr>
          <w:color w:val="000000" w:themeColor="text1"/>
          <w:sz w:val="16"/>
          <w:szCs w:val="16"/>
        </w:rPr>
      </w:pPr>
      <w:r w:rsidRPr="00F90EAE">
        <w:rPr>
          <w:color w:val="000000" w:themeColor="text1"/>
          <w:sz w:val="16"/>
          <w:szCs w:val="16"/>
        </w:rPr>
        <w:t>За 26 апреля на всех фронтах подбито и уничтожено 110 немецких танков и самоходных орудий. В воздушных боях и огнём зенитной артиллерии сбито 33 самолёта противника.</w:t>
      </w:r>
    </w:p>
    <w:p w14:paraId="55354A47" w14:textId="77777777" w:rsidR="009B0E9A" w:rsidRPr="00F90EAE" w:rsidRDefault="009B0E9A" w:rsidP="00F90EAE">
      <w:pPr>
        <w:jc w:val="both"/>
        <w:rPr>
          <w:color w:val="000000" w:themeColor="text1"/>
          <w:sz w:val="16"/>
          <w:szCs w:val="16"/>
        </w:rPr>
      </w:pPr>
      <w:r w:rsidRPr="00F90EAE">
        <w:rPr>
          <w:color w:val="000000" w:themeColor="text1"/>
          <w:sz w:val="16"/>
          <w:szCs w:val="16"/>
        </w:rPr>
        <w:t>Налёты нашей авиации на Свинемюнде и Грайфсвальд</w:t>
      </w:r>
    </w:p>
    <w:p w14:paraId="786F744F" w14:textId="77777777" w:rsidR="009B0E9A" w:rsidRPr="00F90EAE" w:rsidRDefault="009B0E9A" w:rsidP="00F90EAE">
      <w:pPr>
        <w:jc w:val="both"/>
        <w:rPr>
          <w:color w:val="000000" w:themeColor="text1"/>
          <w:sz w:val="16"/>
          <w:szCs w:val="16"/>
        </w:rPr>
      </w:pPr>
      <w:r w:rsidRPr="00F90EAE">
        <w:rPr>
          <w:color w:val="000000" w:themeColor="text1"/>
          <w:sz w:val="16"/>
          <w:szCs w:val="16"/>
        </w:rPr>
        <w:t>В ночь на 27 апреля наши тяжёлые бомбардировщики нанесли удары по военным объектам немцев в портах Свинемюнде и Грайфсвальде.</w:t>
      </w:r>
    </w:p>
    <w:p w14:paraId="66CDF7D4" w14:textId="77777777" w:rsidR="009B0E9A" w:rsidRPr="00F90EAE" w:rsidRDefault="009B0E9A" w:rsidP="00F90EAE">
      <w:pPr>
        <w:jc w:val="both"/>
        <w:rPr>
          <w:color w:val="000000" w:themeColor="text1"/>
          <w:sz w:val="16"/>
          <w:szCs w:val="16"/>
        </w:rPr>
      </w:pPr>
      <w:r w:rsidRPr="00F90EAE">
        <w:rPr>
          <w:color w:val="000000" w:themeColor="text1"/>
          <w:sz w:val="16"/>
          <w:szCs w:val="16"/>
        </w:rPr>
        <w:t>В результате бомбардировки в Свинемюнде на территории судостроительной верфи и в порту возникло более 20 пожаров, сопровождавшихся сильными взрывами. Отмечены прямые попадания бомб в два немецких транспорта, стоявших у причалов. В Грайфсвальде бомбардировкой вызваны большие пожары.</w:t>
      </w:r>
    </w:p>
    <w:p w14:paraId="06A9670C"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2-го Белорусского фронта развивали наступление. Противник подтянул свежие силы, в том числе части морской пехоты, и пытался задержать советские войска на урочище Рандов-Брух. Немцы взорвали все переправы через болота урочища и, опираясь на заранее подготовленный оборонительный рубеж, оказывали упорное сопротивление. Наши части переправились через Рандов-Брух и сломили вражеское сопротивление. Советские подвижные соединения с боями продвинулись вперёд на 20 километров и штурмом заняли город Пренцлау — важный узел железных и шоссейных дорог. Другие наши части овладели городом Ангермюнде— сильно укреплённым опорным пунктом обороны немцев. К Ангермюнде сходятся пять железных и несколько шоссейных дорог. Нашими войсками захвачены 57 орудий и другие трофеи. Взято в плен более 600 немецких солдат и офицеров.</w:t>
      </w:r>
    </w:p>
    <w:p w14:paraId="2BE2E178"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Белорусского фронта продолжали наступление. Наши части, продвигаясь вперёд, ворвались на улицы города Ратенов, расположенного в 60 километрах западнее Берлина. Укрепившиеся в каменных зданиях немцы упорно сопротивлялись. Советские кавалеристы обошли Ратенов с юга и в результате стремительного удара овладели городом. Наши войска, наступающие на Берлин с запада, с боями вступили в город Шпандау и прижали немцев к реке Хавель. Одновременно советские артиллеристы из северо-западных районов Берлина нанести огневой удар противнику с фланга и тыла. После непродолжительного, но ожесточённого боя наши войска разгромили вражеский гарнизон и овладели городом Шпандау. Захвачено 200 орудий и много других трофеев. Ожесточённые бои произошли за Потсдам. Закрепившись у канала и в полосе озёр, прикрывающих город с севера, противник оказывал отчаянное сопротивление. Советские танкисты и пехотинцы переправились через канал и в результате уличных боёв овладели городом Потсдам. Потсдам — бывшая резиденция королей Пруссии.</w:t>
      </w:r>
    </w:p>
    <w:p w14:paraId="39F09595" w14:textId="77777777" w:rsidR="009B0E9A" w:rsidRPr="00F90EAE" w:rsidRDefault="009B0E9A" w:rsidP="00F90EAE">
      <w:pPr>
        <w:jc w:val="both"/>
        <w:rPr>
          <w:color w:val="000000" w:themeColor="text1"/>
          <w:sz w:val="16"/>
          <w:szCs w:val="16"/>
        </w:rPr>
      </w:pPr>
      <w:r w:rsidRPr="00F90EAE">
        <w:rPr>
          <w:color w:val="000000" w:themeColor="text1"/>
          <w:sz w:val="16"/>
          <w:szCs w:val="16"/>
        </w:rPr>
        <w:t>В Берлине наши танки и пехота переправились через каналы Ландвер и Тельтов и ворвались на улицы городского района Нейкелльн. Немцы оборонялись у железнодорожной станции, превращенной в узел сопротивления. Советские бойцы, наступающие с востока, продвинулись в район кладбища Св. Фомы и ударом с тыла опрокинули противника. Преодолевая огневое сопротивление и отбивая вражеские контратаки, наши войска очистили от немцев городской район Темпельхоф и овладели аэропортом Темпельхоф. Заняты широковещательная радиостанция, здание Рейхсбанка, авиасборочный завод, электрокабельный завод и другие предприятия. В ходе уличных боёв в Берлине за день уничтожено свыше 8 тысяч немецких солдат и офицеров.</w:t>
      </w:r>
    </w:p>
    <w:p w14:paraId="5DA73890"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Украинского фронта продолжали наступление. Советские пехотинцы, продвигаясь вперёд, вышли к восточным окраинам города Виттенберга — сильного опорного пункта обороны немцев на реке Эльба. Завязались ожесточённые бои, неоднократно переходившие в рукопашные схватки. Истребив на подступах к городу до батальона гитлеровцев, наши бойцы ворвались на улицы Виттенберга. Другие наши части обошли город с севера. Ударами с двух сторон немецкий гарнизон был прижат к Эльбе и разгромлен. Часть немецких солдат прекратила сопротивление и сдалась в плен.</w:t>
      </w:r>
    </w:p>
    <w:p w14:paraId="7331D86E" w14:textId="77777777" w:rsidR="009B0E9A" w:rsidRPr="00F90EAE" w:rsidRDefault="009B0E9A" w:rsidP="00F90EAE">
      <w:pPr>
        <w:jc w:val="both"/>
        <w:rPr>
          <w:color w:val="000000" w:themeColor="text1"/>
          <w:sz w:val="16"/>
          <w:szCs w:val="16"/>
        </w:rPr>
      </w:pPr>
      <w:r w:rsidRPr="00F90EAE">
        <w:rPr>
          <w:color w:val="000000" w:themeColor="text1"/>
          <w:sz w:val="16"/>
          <w:szCs w:val="16"/>
        </w:rPr>
        <w:t>Советские кавалеристы захватили на одном из аэродромов 85 немецких самолётов.</w:t>
      </w:r>
    </w:p>
    <w:p w14:paraId="5A48F848" w14:textId="77777777" w:rsidR="009B0E9A" w:rsidRPr="00F90EAE" w:rsidRDefault="009B0E9A"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Балтийском море транспорт водоизмещением в 7 тысяч тонн и две быстроходные десантные баржи противника.</w:t>
      </w:r>
    </w:p>
    <w:p w14:paraId="3C69D9F8" w14:textId="77777777" w:rsidR="009B0E9A" w:rsidRPr="00F90EAE" w:rsidRDefault="009B0E9A" w:rsidP="00F90EAE">
      <w:pPr>
        <w:jc w:val="both"/>
        <w:rPr>
          <w:color w:val="000000" w:themeColor="text1"/>
          <w:sz w:val="16"/>
          <w:szCs w:val="16"/>
        </w:rPr>
      </w:pPr>
      <w:r w:rsidRPr="00F90EAE">
        <w:rPr>
          <w:color w:val="000000" w:themeColor="text1"/>
          <w:sz w:val="16"/>
          <w:szCs w:val="16"/>
        </w:rPr>
        <w:t>Авиацией флота в южной части Балтийского моря потоплены транспорт водоизмещением в 3 тысячи тонн, шесть быстроходных десантных барж и девять немецких катеров.» (15112).</w:t>
      </w:r>
    </w:p>
    <w:p w14:paraId="43DBC394" w14:textId="77777777" w:rsidR="009B0E9A" w:rsidRPr="00F90EAE" w:rsidRDefault="009B0E9A" w:rsidP="00F90EAE">
      <w:pPr>
        <w:jc w:val="both"/>
        <w:rPr>
          <w:color w:val="000000" w:themeColor="text1"/>
          <w:sz w:val="16"/>
          <w:szCs w:val="16"/>
        </w:rPr>
      </w:pPr>
    </w:p>
    <w:p w14:paraId="60EADF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w:t>
      </w:r>
    </w:p>
    <w:p w14:paraId="2D8770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561F31" w:rsidRPr="00F90EAE" w14:paraId="637DCADA" w14:textId="77777777">
        <w:tc>
          <w:tcPr>
            <w:tcW w:w="1601" w:type="dxa"/>
            <w:tcBorders>
              <w:top w:val="single" w:sz="12" w:space="0" w:color="auto"/>
            </w:tcBorders>
          </w:tcPr>
          <w:p w14:paraId="3FFAE6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Периоды </w:t>
            </w:r>
          </w:p>
        </w:tc>
        <w:tc>
          <w:tcPr>
            <w:tcW w:w="1601" w:type="dxa"/>
            <w:tcBorders>
              <w:top w:val="single" w:sz="12" w:space="0" w:color="auto"/>
            </w:tcBorders>
          </w:tcPr>
          <w:p w14:paraId="1768CE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27.06.42-18.09.42</w:t>
            </w:r>
          </w:p>
        </w:tc>
        <w:tc>
          <w:tcPr>
            <w:tcW w:w="1601" w:type="dxa"/>
            <w:tcBorders>
              <w:top w:val="single" w:sz="12" w:space="0" w:color="auto"/>
            </w:tcBorders>
          </w:tcPr>
          <w:p w14:paraId="2ACCD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26.01.43-01.04.43</w:t>
            </w:r>
          </w:p>
        </w:tc>
        <w:tc>
          <w:tcPr>
            <w:tcW w:w="1601" w:type="dxa"/>
            <w:tcBorders>
              <w:top w:val="single" w:sz="12" w:space="0" w:color="auto"/>
            </w:tcBorders>
          </w:tcPr>
          <w:p w14:paraId="0E9E7B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05.07.43-30.07.43</w:t>
            </w:r>
          </w:p>
        </w:tc>
        <w:tc>
          <w:tcPr>
            <w:tcW w:w="1601" w:type="dxa"/>
            <w:tcBorders>
              <w:top w:val="single" w:sz="12" w:space="0" w:color="auto"/>
            </w:tcBorders>
          </w:tcPr>
          <w:p w14:paraId="70F736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01.08.43-31.08.43 </w:t>
            </w:r>
          </w:p>
        </w:tc>
        <w:tc>
          <w:tcPr>
            <w:tcW w:w="1601" w:type="dxa"/>
            <w:tcBorders>
              <w:top w:val="single" w:sz="12" w:space="0" w:color="auto"/>
            </w:tcBorders>
          </w:tcPr>
          <w:p w14:paraId="570306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01.09.43-27.04.45</w:t>
            </w:r>
          </w:p>
        </w:tc>
        <w:tc>
          <w:tcPr>
            <w:tcW w:w="1601" w:type="dxa"/>
            <w:tcBorders>
              <w:top w:val="single" w:sz="12" w:space="0" w:color="auto"/>
            </w:tcBorders>
          </w:tcPr>
          <w:p w14:paraId="2A1786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27.06.42-27.04.45</w:t>
            </w:r>
          </w:p>
        </w:tc>
      </w:tr>
      <w:tr w:rsidR="00561F31" w:rsidRPr="00F90EAE" w14:paraId="1FBB3473" w14:textId="77777777">
        <w:tc>
          <w:tcPr>
            <w:tcW w:w="1601" w:type="dxa"/>
          </w:tcPr>
          <w:p w14:paraId="6BDC07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Общее кол-во боевых вылетов полка</w:t>
            </w:r>
          </w:p>
        </w:tc>
        <w:tc>
          <w:tcPr>
            <w:tcW w:w="1601" w:type="dxa"/>
          </w:tcPr>
          <w:p w14:paraId="730F1E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236</w:t>
            </w:r>
          </w:p>
        </w:tc>
        <w:tc>
          <w:tcPr>
            <w:tcW w:w="1601" w:type="dxa"/>
          </w:tcPr>
          <w:p w14:paraId="260B74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w:t>
            </w:r>
          </w:p>
        </w:tc>
        <w:tc>
          <w:tcPr>
            <w:tcW w:w="1601" w:type="dxa"/>
          </w:tcPr>
          <w:p w14:paraId="20917E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258</w:t>
            </w:r>
          </w:p>
        </w:tc>
        <w:tc>
          <w:tcPr>
            <w:tcW w:w="1601" w:type="dxa"/>
          </w:tcPr>
          <w:p w14:paraId="089D2C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253</w:t>
            </w:r>
          </w:p>
        </w:tc>
        <w:tc>
          <w:tcPr>
            <w:tcW w:w="1601" w:type="dxa"/>
          </w:tcPr>
          <w:p w14:paraId="10C44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3325</w:t>
            </w:r>
          </w:p>
        </w:tc>
        <w:tc>
          <w:tcPr>
            <w:tcW w:w="1601" w:type="dxa"/>
          </w:tcPr>
          <w:p w14:paraId="53D7FA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4282</w:t>
            </w:r>
          </w:p>
        </w:tc>
      </w:tr>
      <w:tr w:rsidR="00561F31" w:rsidRPr="00F90EAE" w14:paraId="5FD3CE28" w14:textId="77777777">
        <w:tc>
          <w:tcPr>
            <w:tcW w:w="1601" w:type="dxa"/>
          </w:tcPr>
          <w:p w14:paraId="6BD7E9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Кол-во боевых дней по отношению к общему кол-ву дней пребывания полка на фронте, %</w:t>
            </w:r>
          </w:p>
        </w:tc>
        <w:tc>
          <w:tcPr>
            <w:tcW w:w="1601" w:type="dxa"/>
          </w:tcPr>
          <w:p w14:paraId="5514B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w:t>
            </w:r>
          </w:p>
        </w:tc>
        <w:tc>
          <w:tcPr>
            <w:tcW w:w="1601" w:type="dxa"/>
          </w:tcPr>
          <w:p w14:paraId="15C9C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34,9</w:t>
            </w:r>
          </w:p>
        </w:tc>
        <w:tc>
          <w:tcPr>
            <w:tcW w:w="1601" w:type="dxa"/>
          </w:tcPr>
          <w:p w14:paraId="78C42E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63,3</w:t>
            </w:r>
          </w:p>
        </w:tc>
        <w:tc>
          <w:tcPr>
            <w:tcW w:w="1601" w:type="dxa"/>
          </w:tcPr>
          <w:p w14:paraId="19422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1601" w:type="dxa"/>
          </w:tcPr>
          <w:p w14:paraId="1A06A2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w:t>
            </w:r>
          </w:p>
        </w:tc>
        <w:tc>
          <w:tcPr>
            <w:tcW w:w="1601" w:type="dxa"/>
          </w:tcPr>
          <w:p w14:paraId="0B8A9D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w:t>
            </w:r>
          </w:p>
        </w:tc>
      </w:tr>
      <w:tr w:rsidR="00561F31" w:rsidRPr="00F90EAE" w14:paraId="330A2F48" w14:textId="77777777">
        <w:tc>
          <w:tcPr>
            <w:tcW w:w="1601" w:type="dxa"/>
          </w:tcPr>
          <w:p w14:paraId="5B98BF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Кол-во боевых вылетов, приходящихся на одну боевую потерю Ил-2</w:t>
            </w:r>
          </w:p>
        </w:tc>
        <w:tc>
          <w:tcPr>
            <w:tcW w:w="1601" w:type="dxa"/>
          </w:tcPr>
          <w:p w14:paraId="0E0406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1601" w:type="dxa"/>
          </w:tcPr>
          <w:p w14:paraId="4B68F8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w:t>
            </w:r>
          </w:p>
        </w:tc>
        <w:tc>
          <w:tcPr>
            <w:tcW w:w="1601" w:type="dxa"/>
          </w:tcPr>
          <w:p w14:paraId="1524DA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w:t>
            </w:r>
          </w:p>
        </w:tc>
        <w:tc>
          <w:tcPr>
            <w:tcW w:w="1601" w:type="dxa"/>
          </w:tcPr>
          <w:p w14:paraId="41E6E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w:t>
            </w:r>
          </w:p>
        </w:tc>
        <w:tc>
          <w:tcPr>
            <w:tcW w:w="1601" w:type="dxa"/>
          </w:tcPr>
          <w:p w14:paraId="52680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69,3</w:t>
            </w:r>
          </w:p>
        </w:tc>
        <w:tc>
          <w:tcPr>
            <w:tcW w:w="1601" w:type="dxa"/>
          </w:tcPr>
          <w:p w14:paraId="7CA72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w:t>
            </w:r>
          </w:p>
        </w:tc>
      </w:tr>
      <w:tr w:rsidR="00561F31" w:rsidRPr="00F90EAE" w14:paraId="48114505" w14:textId="77777777">
        <w:tc>
          <w:tcPr>
            <w:tcW w:w="1601" w:type="dxa"/>
            <w:tcBorders>
              <w:bottom w:val="single" w:sz="12" w:space="0" w:color="auto"/>
            </w:tcBorders>
          </w:tcPr>
          <w:p w14:paraId="28C4BD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1E98DB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18,2</w:t>
            </w:r>
          </w:p>
        </w:tc>
        <w:tc>
          <w:tcPr>
            <w:tcW w:w="1601" w:type="dxa"/>
            <w:tcBorders>
              <w:bottom w:val="single" w:sz="12" w:space="0" w:color="auto"/>
            </w:tcBorders>
          </w:tcPr>
          <w:p w14:paraId="693169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601" w:type="dxa"/>
            <w:tcBorders>
              <w:bottom w:val="single" w:sz="12" w:space="0" w:color="auto"/>
            </w:tcBorders>
          </w:tcPr>
          <w:p w14:paraId="279AB7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w:t>
            </w:r>
          </w:p>
        </w:tc>
        <w:tc>
          <w:tcPr>
            <w:tcW w:w="1601" w:type="dxa"/>
            <w:tcBorders>
              <w:bottom w:val="single" w:sz="12" w:space="0" w:color="auto"/>
            </w:tcBorders>
          </w:tcPr>
          <w:p w14:paraId="75734A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84,3</w:t>
            </w:r>
          </w:p>
        </w:tc>
        <w:tc>
          <w:tcPr>
            <w:tcW w:w="1601" w:type="dxa"/>
            <w:tcBorders>
              <w:bottom w:val="single" w:sz="12" w:space="0" w:color="auto"/>
            </w:tcBorders>
          </w:tcPr>
          <w:p w14:paraId="62F011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127,9</w:t>
            </w:r>
          </w:p>
        </w:tc>
        <w:tc>
          <w:tcPr>
            <w:tcW w:w="1601" w:type="dxa"/>
            <w:tcBorders>
              <w:bottom w:val="single" w:sz="12" w:space="0" w:color="auto"/>
            </w:tcBorders>
          </w:tcPr>
          <w:p w14:paraId="2ED8A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55,9</w:t>
            </w:r>
          </w:p>
        </w:tc>
      </w:tr>
    </w:tbl>
    <w:p w14:paraId="59919E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(12020).</w:t>
      </w:r>
    </w:p>
    <w:p w14:paraId="426F962C" w14:textId="77777777" w:rsidR="00665165" w:rsidRPr="00F90EAE" w:rsidRDefault="00665165" w:rsidP="00F90EAE">
      <w:pPr>
        <w:autoSpaceDE w:val="0"/>
        <w:autoSpaceDN w:val="0"/>
        <w:adjustRightInd w:val="0"/>
        <w:jc w:val="both"/>
        <w:rPr>
          <w:color w:val="000000" w:themeColor="text1"/>
          <w:sz w:val="16"/>
          <w:szCs w:val="16"/>
        </w:rPr>
      </w:pPr>
    </w:p>
    <w:p w14:paraId="4DE0E8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 апреля 1945 за отличную работу на поле боя в районе Тржебовице, Поруба 571-й шап получил благодарность от командующего 60А генерала П. А. Курочкина (11157).</w:t>
      </w:r>
    </w:p>
    <w:p w14:paraId="4854CF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C89A0D0" w14:textId="77777777" w:rsidR="009B2258" w:rsidRPr="00F90EAE" w:rsidRDefault="009B2258" w:rsidP="00F90EAE">
      <w:pPr>
        <w:jc w:val="both"/>
        <w:rPr>
          <w:color w:val="0070C0"/>
          <w:sz w:val="16"/>
          <w:szCs w:val="16"/>
        </w:rPr>
      </w:pPr>
      <w:r w:rsidRPr="00F90EAE">
        <w:rPr>
          <w:color w:val="0070C0"/>
          <w:sz w:val="16"/>
          <w:szCs w:val="16"/>
        </w:rPr>
        <w:t>27 апреля 1945 г. воздухоплаватель 1-го отряда старший лейтенант А.С. Гринёв за один подъём про</w:t>
      </w:r>
      <w:r w:rsidRPr="00F90EAE">
        <w:rPr>
          <w:color w:val="0070C0"/>
          <w:sz w:val="16"/>
          <w:szCs w:val="16"/>
        </w:rPr>
        <w:softHyphen/>
        <w:t>вёл две корректировки огня. В результате подавлено 2 вражеские батареи (20120).</w:t>
      </w:r>
    </w:p>
    <w:p w14:paraId="36EB2687" w14:textId="77777777" w:rsidR="009B2258" w:rsidRPr="00F90EAE" w:rsidRDefault="009B2258" w:rsidP="00F90EAE">
      <w:pPr>
        <w:jc w:val="both"/>
        <w:rPr>
          <w:color w:val="0070C0"/>
          <w:sz w:val="16"/>
          <w:szCs w:val="16"/>
        </w:rPr>
      </w:pPr>
    </w:p>
    <w:p w14:paraId="789E929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апреля 1945 советские войска заняли г. Потсдам (Германия) (4962).</w:t>
      </w:r>
    </w:p>
    <w:p w14:paraId="766AF01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8899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части ВВС РОА на дороге между Цвизелем и Реген-сбургом начали сдавать оружие, переходя в плен к американцам. Мальцев успел еще связаться с Власовым, предложив ему перелететь в нейтральную страну, Испанию или Португалию, где тот мог бы укрыться. К вылету был подготовлен FJ156 “Шторх” капитана Анти-левского, но Власов отверг эту мысль, сочтя невозможным покинуть свою армию в тяжелейшую минуту (4538).</w:t>
      </w:r>
    </w:p>
    <w:p w14:paraId="3662E407" w14:textId="77777777" w:rsidR="00665165" w:rsidRPr="00F90EAE" w:rsidRDefault="00665165" w:rsidP="00F90EAE">
      <w:pPr>
        <w:autoSpaceDE w:val="0"/>
        <w:autoSpaceDN w:val="0"/>
        <w:adjustRightInd w:val="0"/>
        <w:jc w:val="both"/>
        <w:rPr>
          <w:color w:val="000000" w:themeColor="text1"/>
          <w:sz w:val="16"/>
          <w:szCs w:val="16"/>
        </w:rPr>
      </w:pPr>
    </w:p>
    <w:p w14:paraId="0AD2B5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 апреля 1945 за отличную работу на поле боя в районе Тржебовице и Поруба 571-й шап получил благо</w:t>
      </w:r>
      <w:r w:rsidRPr="00F90EAE">
        <w:rPr>
          <w:color w:val="000000" w:themeColor="text1"/>
          <w:sz w:val="16"/>
          <w:szCs w:val="16"/>
        </w:rPr>
        <w:softHyphen/>
        <w:t>дарность от командующего 60-й армией генерала П.А. Курочкина (10681).</w:t>
      </w:r>
    </w:p>
    <w:p w14:paraId="508D1B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066C4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199628A" w14:textId="77777777" w:rsidR="00665165" w:rsidRPr="00F90EAE" w:rsidRDefault="00665165" w:rsidP="00F90EAE">
      <w:pPr>
        <w:autoSpaceDE w:val="0"/>
        <w:autoSpaceDN w:val="0"/>
        <w:adjustRightInd w:val="0"/>
        <w:jc w:val="both"/>
        <w:rPr>
          <w:iCs/>
          <w:color w:val="000000" w:themeColor="text1"/>
          <w:sz w:val="16"/>
          <w:szCs w:val="16"/>
        </w:rPr>
      </w:pPr>
    </w:p>
    <w:p w14:paraId="44660F17"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под управлением Хорста Зигфрида состоялся первый полет опытного экземпляра «Р-2.01» швейцарского УТС «Р-2». Заводские испытания прошли вполне успешно в сентябре 1945 года самолёт был представлен для тестовых полетов ВВС Швейцарии. Одновременно для статических испытаний был подготовлен «Р-2.02» (15112).</w:t>
      </w:r>
    </w:p>
    <w:p w14:paraId="1A5DBFB9" w14:textId="77777777" w:rsidR="009B0E9A" w:rsidRPr="00F90EAE" w:rsidRDefault="009B0E9A" w:rsidP="00F90EAE">
      <w:pPr>
        <w:jc w:val="both"/>
        <w:rPr>
          <w:color w:val="000000" w:themeColor="text1"/>
          <w:sz w:val="16"/>
          <w:szCs w:val="16"/>
        </w:rPr>
      </w:pPr>
    </w:p>
    <w:p w14:paraId="28EAFDC7" w14:textId="77777777" w:rsidR="009B2258" w:rsidRPr="00F90EAE" w:rsidRDefault="009B2258" w:rsidP="00F90EAE">
      <w:pPr>
        <w:jc w:val="both"/>
        <w:rPr>
          <w:color w:val="0070C0"/>
          <w:sz w:val="16"/>
          <w:szCs w:val="16"/>
        </w:rPr>
      </w:pPr>
      <w:r w:rsidRPr="00F90EAE">
        <w:rPr>
          <w:color w:val="0070C0"/>
          <w:sz w:val="16"/>
          <w:szCs w:val="16"/>
        </w:rPr>
        <w:t>27 апреля 1945 первый полет Pilatus P-2 (20371).</w:t>
      </w:r>
    </w:p>
    <w:p w14:paraId="5A1685FF" w14:textId="77777777" w:rsidR="009B2258" w:rsidRPr="00F90EAE" w:rsidRDefault="009B2258" w:rsidP="00F90EAE">
      <w:pPr>
        <w:jc w:val="both"/>
        <w:rPr>
          <w:color w:val="0070C0"/>
          <w:sz w:val="16"/>
          <w:szCs w:val="16"/>
        </w:rPr>
      </w:pPr>
    </w:p>
    <w:p w14:paraId="2D1F6526" w14:textId="77777777" w:rsidR="009B2258" w:rsidRPr="00F90EAE" w:rsidRDefault="009B2258" w:rsidP="00F90EAE">
      <w:pPr>
        <w:jc w:val="both"/>
        <w:rPr>
          <w:color w:val="0070C0"/>
          <w:sz w:val="16"/>
          <w:szCs w:val="16"/>
        </w:rPr>
      </w:pPr>
      <w:r w:rsidRPr="00F90EAE">
        <w:rPr>
          <w:color w:val="0070C0"/>
          <w:sz w:val="16"/>
          <w:szCs w:val="16"/>
        </w:rPr>
        <w:t>27 апреля 1945 года — первый полёт учебно-тренировочного самолёта Pilatus P-2</w:t>
      </w:r>
    </w:p>
    <w:p w14:paraId="287830A8" w14:textId="77777777" w:rsidR="009B2258" w:rsidRPr="00F90EAE" w:rsidRDefault="009B2258" w:rsidP="00F90EAE">
      <w:pPr>
        <w:jc w:val="both"/>
        <w:rPr>
          <w:color w:val="0070C0"/>
          <w:sz w:val="16"/>
          <w:szCs w:val="16"/>
        </w:rPr>
      </w:pPr>
      <w:r w:rsidRPr="00F90EAE">
        <w:rPr>
          <w:color w:val="0070C0"/>
          <w:sz w:val="16"/>
          <w:szCs w:val="16"/>
        </w:rPr>
        <w:t>С началом Второй мировой войны швейцарские ВВС ощутили проблемы с поставками учебных самолётов. Попытка приобрести лицензию на производство немецкого Arado Ar-96 или итальянского Ambrosini SAI.7T успехом не увенчалась. Было принято решение о разработке собственного самолёта для обучения.</w:t>
      </w:r>
    </w:p>
    <w:p w14:paraId="25EF6C4F" w14:textId="77777777" w:rsidR="009B2258" w:rsidRPr="00F90EAE" w:rsidRDefault="009B2258" w:rsidP="00F90EAE">
      <w:pPr>
        <w:jc w:val="both"/>
        <w:rPr>
          <w:color w:val="0070C0"/>
          <w:sz w:val="16"/>
          <w:szCs w:val="16"/>
        </w:rPr>
      </w:pPr>
      <w:r w:rsidRPr="00F90EAE">
        <w:rPr>
          <w:color w:val="0070C0"/>
          <w:sz w:val="16"/>
          <w:szCs w:val="16"/>
        </w:rPr>
        <w:t>У конструкторов Pilatus получился двухместный низкоплан с убираемым шасси и закрытой кабиной. Конструкция P-2 была смешанной — металл, дерево и полотно. Существовало 2 основных модификации самолёта — без вооружения и с 7,62-мм пулемётом MG-17 под капотом</w:t>
      </w:r>
    </w:p>
    <w:p w14:paraId="6D1ACCEB" w14:textId="77777777" w:rsidR="009B2258" w:rsidRPr="00F90EAE" w:rsidRDefault="009B2258" w:rsidP="00F90EAE">
      <w:pPr>
        <w:jc w:val="both"/>
        <w:rPr>
          <w:color w:val="0070C0"/>
          <w:sz w:val="16"/>
          <w:szCs w:val="16"/>
        </w:rPr>
      </w:pPr>
      <w:r w:rsidRPr="00F90EAE">
        <w:rPr>
          <w:color w:val="0070C0"/>
          <w:sz w:val="16"/>
          <w:szCs w:val="16"/>
        </w:rPr>
        <w:t>Всего было произведено 55 единиц Pilatus P-2 — по 26 каждой модификации + 3 прототипа. Самолёт стоял на вооружении ВВС Швейцарии с 1946 по 1981 год. После этого уцелевшие машины в количестве 48 штук продали частным владельцам (22300).</w:t>
      </w:r>
    </w:p>
    <w:p w14:paraId="38343262" w14:textId="77777777" w:rsidR="009B2258" w:rsidRPr="00F90EAE" w:rsidRDefault="009B2258" w:rsidP="00F90EAE">
      <w:pPr>
        <w:jc w:val="both"/>
        <w:rPr>
          <w:color w:val="0070C0"/>
          <w:sz w:val="16"/>
          <w:szCs w:val="16"/>
        </w:rPr>
      </w:pPr>
    </w:p>
    <w:p w14:paraId="1990D1EF"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немецкая 12-я армия остановлена к западу от Берлина (15112).</w:t>
      </w:r>
    </w:p>
    <w:p w14:paraId="63D27A5D" w14:textId="77777777" w:rsidR="009B0E9A" w:rsidRPr="00F90EAE" w:rsidRDefault="009B0E9A" w:rsidP="00F90EAE">
      <w:pPr>
        <w:jc w:val="both"/>
        <w:rPr>
          <w:color w:val="000000" w:themeColor="text1"/>
          <w:sz w:val="16"/>
          <w:szCs w:val="16"/>
        </w:rPr>
      </w:pPr>
    </w:p>
    <w:p w14:paraId="1CAD3900"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Адольф Гитлер отдает приказ об открытии шлюзов на реке Шпрее и затоплении станций метро, после того как узнает, что в метро проникли советские солдаты. Погибают тысячи людей, - раненые немецкие солдаты, женщины, дети. Очевидцы напишут, что в эти дни "физически Гитлер являл собой страшную картину: он передвигался с трудом и неуклюже, выбрасывая верхнюю часть туловища вперед, волоча ноги... С трудом мог сохранять равновесие. Левая рука ему не подчинялась, а правая постоянно дрожала... Глаза были налиты кровью" (15112).</w:t>
      </w:r>
    </w:p>
    <w:p w14:paraId="3C70681A" w14:textId="77777777" w:rsidR="009B0E9A" w:rsidRPr="00F90EAE" w:rsidRDefault="009B0E9A" w:rsidP="00F90EAE">
      <w:pPr>
        <w:jc w:val="both"/>
        <w:rPr>
          <w:color w:val="000000" w:themeColor="text1"/>
          <w:sz w:val="16"/>
          <w:szCs w:val="16"/>
        </w:rPr>
      </w:pPr>
    </w:p>
    <w:p w14:paraId="3F5682A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апреля 1945 Гиммлер получил отказ союзников вести с ним переговоры о частичной капитуляции (4962).</w:t>
      </w:r>
    </w:p>
    <w:p w14:paraId="74DE953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0F04F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27th, 1945: The US First Army (Hodges) captures Straubing and Kempten in Bavaria, while in Italy the US Fifth Army (Clark) enters Genoa. In the battle of Berlin, Red Army units reach the government center, close to the Reichstag and Hitler's bunker beneath the Reich Chancellery. The German 12. Armee (Wenck) defending against US forces on the Elbe is ordered to launch a relief attack east toward Potsdam and Berlin. The Soviet 2nd Belorussian Front captures Prenzlau and Tangermnde 70 NW of Berlin (3819).</w:t>
      </w:r>
    </w:p>
    <w:p w14:paraId="4D3E7B87" w14:textId="77777777" w:rsidR="00665165" w:rsidRPr="00F90EAE" w:rsidRDefault="00665165" w:rsidP="00F90EAE">
      <w:pPr>
        <w:autoSpaceDE w:val="0"/>
        <w:autoSpaceDN w:val="0"/>
        <w:adjustRightInd w:val="0"/>
        <w:jc w:val="both"/>
        <w:rPr>
          <w:color w:val="000000" w:themeColor="text1"/>
          <w:sz w:val="16"/>
          <w:szCs w:val="16"/>
          <w:lang w:val="en-US"/>
        </w:rPr>
      </w:pPr>
    </w:p>
    <w:p w14:paraId="7115D749"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американскик войска вступили в Геную (15112).</w:t>
      </w:r>
    </w:p>
    <w:p w14:paraId="6DF10547" w14:textId="77777777" w:rsidR="009B0E9A" w:rsidRPr="00F90EAE" w:rsidRDefault="009B0E9A" w:rsidP="00F90EAE">
      <w:pPr>
        <w:jc w:val="both"/>
        <w:rPr>
          <w:color w:val="000000" w:themeColor="text1"/>
          <w:sz w:val="16"/>
          <w:szCs w:val="16"/>
        </w:rPr>
      </w:pPr>
    </w:p>
    <w:p w14:paraId="52645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1А США заняла Штраусбинг и Кемптен. В Италии 5А США вошла в Геную. 12А Венка, оборонявшейся на Эльбе, было приказано повернуть на Берлин через Потсдам. 2БФ занял Пренцлау и Тагермонде (3819).</w:t>
      </w:r>
    </w:p>
    <w:p w14:paraId="6E20A379" w14:textId="77777777" w:rsidR="00665165" w:rsidRPr="00F90EAE" w:rsidRDefault="00665165" w:rsidP="00F90EAE">
      <w:pPr>
        <w:autoSpaceDE w:val="0"/>
        <w:autoSpaceDN w:val="0"/>
        <w:adjustRightInd w:val="0"/>
        <w:jc w:val="both"/>
        <w:rPr>
          <w:color w:val="000000" w:themeColor="text1"/>
          <w:sz w:val="16"/>
          <w:szCs w:val="16"/>
        </w:rPr>
      </w:pPr>
    </w:p>
    <w:p w14:paraId="752C56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Первое заседание Временного правительства Австрии во главе с К. Реннером, на котором был утвержден текст декларации о независимости страны. Установление Второй Австрийской республики (7444).</w:t>
      </w:r>
    </w:p>
    <w:p w14:paraId="4100B018" w14:textId="77777777" w:rsidR="00665165" w:rsidRPr="00F90EAE" w:rsidRDefault="00665165" w:rsidP="00F90EAE">
      <w:pPr>
        <w:autoSpaceDE w:val="0"/>
        <w:autoSpaceDN w:val="0"/>
        <w:adjustRightInd w:val="0"/>
        <w:jc w:val="both"/>
        <w:rPr>
          <w:color w:val="000000" w:themeColor="text1"/>
          <w:sz w:val="16"/>
          <w:szCs w:val="16"/>
        </w:rPr>
      </w:pPr>
    </w:p>
    <w:p w14:paraId="527058F7"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Австрия освобождается от фашистской оккупации. Создается временное правительство из представителей Социалистической партии, Христианско-социальной и коммунистической партий во главе с социалистом Карлом Реннером. На первом его заседании будет принята Декларация о независимости Австрии и провозглашено создание второй Австрийской Республики (15112).</w:t>
      </w:r>
    </w:p>
    <w:p w14:paraId="3B11EA2D" w14:textId="77777777" w:rsidR="009B0E9A" w:rsidRPr="00F90EAE" w:rsidRDefault="009B0E9A" w:rsidP="00F90EAE">
      <w:pPr>
        <w:jc w:val="both"/>
        <w:rPr>
          <w:color w:val="000000" w:themeColor="text1"/>
          <w:sz w:val="16"/>
          <w:szCs w:val="16"/>
        </w:rPr>
      </w:pPr>
    </w:p>
    <w:p w14:paraId="39519026"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первое заседание Временного правительства Австрии, состоящего из представителей Народной, Коммунистической и Социалистической партий, во главе с К.Реннером, на котором был утвержден текст декларации о независимости страны (15112).</w:t>
      </w:r>
    </w:p>
    <w:p w14:paraId="0913C671" w14:textId="77777777" w:rsidR="009B0E9A" w:rsidRPr="00F90EAE" w:rsidRDefault="009B0E9A" w:rsidP="00F90EAE">
      <w:pPr>
        <w:jc w:val="both"/>
        <w:rPr>
          <w:color w:val="000000" w:themeColor="text1"/>
          <w:sz w:val="16"/>
          <w:szCs w:val="16"/>
        </w:rPr>
      </w:pPr>
    </w:p>
    <w:p w14:paraId="56B09F36" w14:textId="77777777" w:rsidR="009B0E9A" w:rsidRPr="00F90EAE" w:rsidRDefault="009B0E9A" w:rsidP="00F90EAE">
      <w:pPr>
        <w:jc w:val="both"/>
        <w:rPr>
          <w:color w:val="000000" w:themeColor="text1"/>
          <w:sz w:val="16"/>
          <w:szCs w:val="16"/>
        </w:rPr>
      </w:pPr>
      <w:r w:rsidRPr="00F90EAE">
        <w:rPr>
          <w:color w:val="000000" w:themeColor="text1"/>
          <w:sz w:val="16"/>
          <w:szCs w:val="16"/>
        </w:rPr>
        <w:t>27 апреля в 1945 году в Нью-Йорке на Таймс-сквер проходят торжества и производится салют в честь встречи англо-американских и советских войск в Торгау (15112).</w:t>
      </w:r>
    </w:p>
    <w:p w14:paraId="50D8C35E" w14:textId="77777777" w:rsidR="009B0E9A" w:rsidRPr="00F90EAE" w:rsidRDefault="009B0E9A" w:rsidP="00F90EAE">
      <w:pPr>
        <w:jc w:val="both"/>
        <w:rPr>
          <w:color w:val="000000" w:themeColor="text1"/>
          <w:sz w:val="16"/>
          <w:szCs w:val="16"/>
        </w:rPr>
      </w:pPr>
    </w:p>
    <w:p w14:paraId="26CBC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27–28 апреля 1945 японцы провели четвертую операцию «Кикусуй». В ней было задействовано 125 самолетов-камикадзе (75 морских и 50 армейских). Воздушное прикрытие обеспечивали 100 истребителей. 28 апреля камикадзе предприняли решающую атаку. В ней участвовало 120 морских и 45 армейских самолетов.</w:t>
      </w:r>
    </w:p>
    <w:p w14:paraId="723BE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состав 80 самолетов-камикадзе входило и четыре бомбардировщика Бетти с самолетами Ока.</w:t>
      </w:r>
    </w:p>
    <w:p w14:paraId="002582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Удар должен был быть ночным. Штаб предполагал, что это поможет избежать атак вражеских истребителей. Летчики корпуса «Боги грома» приняли это известие без восторга: как пилоты самолета Ока найдут цель в темноте? Тем не менее началась подготовка к вылету. В процессе самоубийственной атаки опасения подтвердились: только два бомбардировщика смогли сбросить самолеты Ока в районе предполагаемого нахождения американских кораблей. Пилоты Ока должны были наводить свои реактивные снаряды по вспышкам зенитных орудий. Не удивительно, что попаданий в корабли самолетов-снарядов во время этого вылета не было (11686).</w:t>
      </w:r>
    </w:p>
    <w:p w14:paraId="3A021FB9" w14:textId="77777777" w:rsidR="00665165" w:rsidRPr="00F90EAE" w:rsidRDefault="00665165" w:rsidP="00F90EAE">
      <w:pPr>
        <w:autoSpaceDE w:val="0"/>
        <w:autoSpaceDN w:val="0"/>
        <w:adjustRightInd w:val="0"/>
        <w:jc w:val="both"/>
        <w:rPr>
          <w:color w:val="000000" w:themeColor="text1"/>
          <w:sz w:val="16"/>
          <w:szCs w:val="16"/>
        </w:rPr>
      </w:pPr>
    </w:p>
    <w:p w14:paraId="6197EBA5" w14:textId="77777777" w:rsidR="009B2258" w:rsidRPr="00F90EAE" w:rsidRDefault="009B2258" w:rsidP="00F90EAE">
      <w:pPr>
        <w:jc w:val="both"/>
        <w:rPr>
          <w:color w:val="0070C0"/>
          <w:sz w:val="16"/>
          <w:szCs w:val="16"/>
        </w:rPr>
      </w:pPr>
      <w:r w:rsidRPr="00F90EAE">
        <w:rPr>
          <w:color w:val="0070C0"/>
          <w:sz w:val="16"/>
          <w:szCs w:val="16"/>
        </w:rPr>
        <w:t>27–28 апреля 1945 была четвертая японская атака кикусуи на корабли у Окинавы и включилп 115 камикадзе. Они потопили корабль с боеприпасами и повредили четыре эсминца и госпитальный корабль USS Comfort (20371).</w:t>
      </w:r>
    </w:p>
    <w:p w14:paraId="1C37FE52" w14:textId="77777777" w:rsidR="009B2258" w:rsidRPr="00F90EAE" w:rsidRDefault="009B2258" w:rsidP="00F90EAE">
      <w:pPr>
        <w:jc w:val="both"/>
        <w:rPr>
          <w:color w:val="0070C0"/>
          <w:sz w:val="16"/>
          <w:szCs w:val="16"/>
        </w:rPr>
      </w:pPr>
    </w:p>
    <w:p w14:paraId="7E87D39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27, 1945 - The first meeting of the Target Committee to select targets for atomic bombing. Seventeen targets are selected for study: Tokyo Bay (for a non-lethal demonstration), Yokohama, Nagoya, Osaka, Kobe, Hiroshima, Kokura, Fukuoka, Nagasaki, and Sasebo (some of these are soon dropped because they had already been burned down) (1039).</w:t>
      </w:r>
    </w:p>
    <w:p w14:paraId="3BCC8EB0" w14:textId="77777777" w:rsidR="00665165" w:rsidRPr="00F90EAE" w:rsidRDefault="00665165" w:rsidP="00F90EAE">
      <w:pPr>
        <w:autoSpaceDE w:val="0"/>
        <w:autoSpaceDN w:val="0"/>
        <w:adjustRightInd w:val="0"/>
        <w:jc w:val="both"/>
        <w:rPr>
          <w:color w:val="000000" w:themeColor="text1"/>
          <w:sz w:val="16"/>
          <w:szCs w:val="16"/>
          <w:lang w:val="en-US"/>
        </w:rPr>
      </w:pPr>
    </w:p>
    <w:p w14:paraId="318AB9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апреля 1945 было выбрано 17 целей для атомной бомбардировки, но от некоторых пришлось отказаться, так как они уже были уничтожены (1039).</w:t>
      </w:r>
    </w:p>
    <w:p w14:paraId="31EDBE06" w14:textId="77777777" w:rsidR="00665165" w:rsidRPr="00F90EAE" w:rsidRDefault="00665165" w:rsidP="00F90EAE">
      <w:pPr>
        <w:autoSpaceDE w:val="0"/>
        <w:autoSpaceDN w:val="0"/>
        <w:adjustRightInd w:val="0"/>
        <w:jc w:val="both"/>
        <w:rPr>
          <w:color w:val="000000" w:themeColor="text1"/>
          <w:sz w:val="16"/>
          <w:szCs w:val="16"/>
        </w:rPr>
      </w:pPr>
    </w:p>
    <w:p w14:paraId="089FB02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1352540" w14:textId="77777777" w:rsidR="00665165" w:rsidRPr="00F90EAE" w:rsidRDefault="00665165" w:rsidP="00F90EAE">
      <w:pPr>
        <w:autoSpaceDE w:val="0"/>
        <w:autoSpaceDN w:val="0"/>
        <w:adjustRightInd w:val="0"/>
        <w:jc w:val="both"/>
        <w:rPr>
          <w:iCs/>
          <w:color w:val="000000" w:themeColor="text1"/>
          <w:sz w:val="16"/>
          <w:szCs w:val="16"/>
        </w:rPr>
      </w:pPr>
    </w:p>
    <w:p w14:paraId="1EE2EF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 самый разгар битвы за Берлин вышло постановление СНК СССР и приказ наркома авиапромышленности СССР (№ 180сс) об организации выпуска малой серии двигателей ЮМО-004 под обозначением РД-10 на заводе № 26. В соответствии с приказом поручалось:</w:t>
      </w:r>
    </w:p>
    <w:p w14:paraId="031386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тов. Баландину и главному конструктору тов. Климову не позднее 1 июля 1945 г. изготовить детальные чертежи, проработать монтажные допуска и зазоры с имеющегося в НИИ-1 двигателя ЮМО-004 на детали и агрегаты.</w:t>
      </w:r>
    </w:p>
    <w:p w14:paraId="1F1E3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разрешив ему иметь заместителя по этой работе".</w:t>
      </w:r>
    </w:p>
    <w:p w14:paraId="64BA0C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Следует добавить, что на эту должность В.Я. Климов назначил Николая Дмитриевича Кузнецова.</w:t>
      </w:r>
    </w:p>
    <w:p w14:paraId="508BA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этому приказу завод должен уже в сентябре выпустить 15 двигателей. Забегая вперед, следует сказать, что этот приказ был выполнен (9033).</w:t>
      </w:r>
    </w:p>
    <w:p w14:paraId="18D908F0" w14:textId="77777777" w:rsidR="00665165" w:rsidRPr="00F90EAE" w:rsidRDefault="00665165" w:rsidP="00F90EAE">
      <w:pPr>
        <w:autoSpaceDE w:val="0"/>
        <w:autoSpaceDN w:val="0"/>
        <w:adjustRightInd w:val="0"/>
        <w:jc w:val="both"/>
        <w:rPr>
          <w:color w:val="000000" w:themeColor="text1"/>
          <w:sz w:val="16"/>
          <w:szCs w:val="16"/>
        </w:rPr>
      </w:pPr>
    </w:p>
    <w:p w14:paraId="5938A7F1" w14:textId="77777777" w:rsidR="009B0E9A" w:rsidRPr="00F90EAE" w:rsidRDefault="009B0E9A"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28 апреля 1945 г. вышло Постановление СНК СССР и приказ наркома авиапромышленности СССР № 180 об организации выпуска малой серии двигателей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под обозначением РД-10 на заводе № 26. Поручалось:</w:t>
      </w:r>
    </w:p>
    <w:p w14:paraId="6D8FB0B3" w14:textId="77777777" w:rsidR="009B0E9A" w:rsidRPr="00F90EAE" w:rsidRDefault="009B0E9A"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«1. Директору завода тов. Баландину и главному конструктору тов. Климову не позд</w:t>
      </w:r>
      <w:r w:rsidRPr="00F90EAE">
        <w:rPr>
          <w:rFonts w:ascii="Times New Roman" w:cs="Times New Roman"/>
          <w:color w:val="000000" w:themeColor="text1"/>
          <w:spacing w:val="0"/>
          <w:sz w:val="16"/>
          <w:szCs w:val="16"/>
        </w:rPr>
        <w:softHyphen/>
        <w:t xml:space="preserve">нее 1 июля 1945 г. изготовить детальные чертежи, проработать монтажные допуска и зазоры, с имеющегося в НИИ-1 двигателя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на детали и агрегаты.</w:t>
      </w:r>
    </w:p>
    <w:p w14:paraId="3C7AAF4D" w14:textId="77777777" w:rsidR="009B0E9A" w:rsidRPr="00F90EAE" w:rsidRDefault="009B0E9A"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 Возложить непосредственное руководство по изготовлению технической документа</w:t>
      </w:r>
      <w:r w:rsidRPr="00F90EAE">
        <w:rPr>
          <w:rFonts w:ascii="Times New Roman" w:cs="Times New Roman"/>
          <w:color w:val="000000" w:themeColor="text1"/>
          <w:spacing w:val="0"/>
          <w:sz w:val="16"/>
          <w:szCs w:val="16"/>
        </w:rPr>
        <w:softHyphen/>
        <w:t>ции и выпуску опытной серии двигателей РД-10 на главного конструктора завода № 26 тов. Климова, разрешив ему иметь заместителя по этой работе». Следует добавить, что на эту должность В.Я. Климов назначил Николая Дмитриевича Кузнецова.</w:t>
      </w:r>
    </w:p>
    <w:p w14:paraId="49A3E295" w14:textId="77777777" w:rsidR="009B0E9A" w:rsidRPr="00F90EAE" w:rsidRDefault="009B0E9A"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Уже в сентябре завод должен был выпустить 15 двигателей- Забегая вперед, скажу, что приказ выполнили: к 30 сентября выпустили первые РД-10, — правда, используя поя</w:t>
      </w:r>
      <w:r w:rsidRPr="00F90EAE">
        <w:rPr>
          <w:rFonts w:ascii="Times New Roman" w:cs="Times New Roman"/>
          <w:color w:val="000000" w:themeColor="text1"/>
          <w:spacing w:val="0"/>
          <w:sz w:val="16"/>
          <w:szCs w:val="16"/>
        </w:rPr>
        <w:softHyphen/>
        <w:t>вившиеся к тому времени в достаточном количестве немецкие детали, узлы и агрегаты (15791).</w:t>
      </w:r>
    </w:p>
    <w:p w14:paraId="2F383E27" w14:textId="77777777" w:rsidR="009B0E9A" w:rsidRPr="00F90EAE" w:rsidRDefault="009B0E9A" w:rsidP="00F90EAE">
      <w:pPr>
        <w:pStyle w:val="36"/>
        <w:shd w:val="clear" w:color="auto" w:fill="auto"/>
        <w:spacing w:after="0" w:line="240" w:lineRule="auto"/>
        <w:jc w:val="both"/>
        <w:rPr>
          <w:rFonts w:ascii="Times New Roman" w:cs="Times New Roman"/>
          <w:color w:val="000000" w:themeColor="text1"/>
          <w:spacing w:val="0"/>
          <w:sz w:val="16"/>
          <w:szCs w:val="16"/>
        </w:rPr>
      </w:pPr>
    </w:p>
    <w:p w14:paraId="1BB537B6" w14:textId="77777777" w:rsidR="00BF0005" w:rsidRPr="00F90EAE" w:rsidRDefault="00BF0005" w:rsidP="00F90EAE">
      <w:pPr>
        <w:jc w:val="both"/>
        <w:rPr>
          <w:color w:val="000000" w:themeColor="text1"/>
          <w:sz w:val="16"/>
          <w:szCs w:val="16"/>
        </w:rPr>
      </w:pPr>
      <w:r w:rsidRPr="00F90EAE">
        <w:rPr>
          <w:color w:val="000000" w:themeColor="text1"/>
          <w:sz w:val="16"/>
          <w:szCs w:val="16"/>
        </w:rPr>
        <w:t>28 апреля в 1945 году приказом НКАП главному конструктору В.Я.Климову поручили выпустить рабочие чертежи ЮМО-004Б и внедрить его в серийное производство под маркой РД-10 на уфимском заводе №26 (непосредственно работами руководил первый заместитель Климова Н.Д.Кузнецов) (15113).</w:t>
      </w:r>
    </w:p>
    <w:p w14:paraId="1226F6EB" w14:textId="77777777" w:rsidR="00BF0005" w:rsidRPr="00F90EAE" w:rsidRDefault="00BF0005" w:rsidP="00F90EAE">
      <w:pPr>
        <w:jc w:val="both"/>
        <w:rPr>
          <w:color w:val="000000" w:themeColor="text1"/>
          <w:sz w:val="16"/>
          <w:szCs w:val="16"/>
        </w:rPr>
      </w:pPr>
    </w:p>
    <w:p w14:paraId="7BDB58E1"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28 апреля 1945 г. Приказом НКАП главного конструк тора В.Я. Климова обязали освоить и обеспечить конструкторс ким руководством серийное производство ТРД Jumo-004 под маркой РД-Ю (основные характеристики приведены в табл. прил. 1) на заводе № 26. В 1945 г. ОКБ В.Я. Климова занялось внедрением в производство этого двигателя. Двигатель имел осевой восьмиступенчатый компрессор, камеру сгорания с шес тью индивидуальными жаровыми трубами, расположенными по окружности, и одноступенчатую турбину. Регулирование тяги осуществлялось единым рычагом за счет изменения подачи топ лива и площади выходного сечения сопла путем перемещения в сопле подвижного конуса. В качестве основного топлива ис пользовался керосин, для запуска двигателя применялся бен зин. Раскрутка турбины при запуске осуществлялась специаль ным двухцилиндровым бензиновым пусковым двигателем с от дельной бензосистемой. </w:t>
      </w:r>
    </w:p>
    <w:p w14:paraId="28EDA2D4"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1946—1949 гг. двигатели РД-10А/РД-10Ф выпускались на Уфимском заводе № 26 (сейчас ОАО «Уфимское МПО»).</w:t>
      </w:r>
    </w:p>
    <w:p w14:paraId="3F8C78DB"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1946 г. было выпущено 59 двигателей, в 1947 г. — 447, в 1948 г. — 833.</w:t>
      </w:r>
    </w:p>
    <w:p w14:paraId="0B053B3C" w14:textId="77777777" w:rsidR="00A278CB" w:rsidRPr="00F90EAE" w:rsidRDefault="00A278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РД-10 серийно производился до 1953 года. В самолетост роительных ОКБ А.С. Яковлева и С.А. Лавочкина совместно с ЦИАМ были разработаны несколько конструкций двигателя РД-10Ф с дополнительным впрыском (дожиганием) топлива за турбиной — в реактивное сопло, что позволило увеличить тягу двигателя на старте на 20...25 % и на 60...100 % при мак симальной скорости полета (19586).</w:t>
      </w:r>
    </w:p>
    <w:p w14:paraId="62BE1FD2" w14:textId="77777777" w:rsidR="00A278CB" w:rsidRPr="00F90EAE" w:rsidRDefault="00A278CB" w:rsidP="00F90EAE">
      <w:pPr>
        <w:jc w:val="both"/>
        <w:rPr>
          <w:color w:val="000000" w:themeColor="text1"/>
          <w:sz w:val="16"/>
          <w:szCs w:val="16"/>
        </w:rPr>
      </w:pPr>
    </w:p>
    <w:p w14:paraId="32D7AF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28 апреля по 12 мая 1945 были проведены гос. испытания двухкамерного ЖРД Л.С.Душкина РД-2М3Ц с насосной подачей топлива, построенного в феврале 1945 и в марте 1945 прошедшего заводские испытания (2928,98).</w:t>
      </w:r>
    </w:p>
    <w:p w14:paraId="1783167E" w14:textId="77777777" w:rsidR="00665165" w:rsidRPr="00F90EAE" w:rsidRDefault="00665165" w:rsidP="00F90EAE">
      <w:pPr>
        <w:autoSpaceDE w:val="0"/>
        <w:autoSpaceDN w:val="0"/>
        <w:adjustRightInd w:val="0"/>
        <w:jc w:val="both"/>
        <w:rPr>
          <w:color w:val="000000" w:themeColor="text1"/>
          <w:sz w:val="16"/>
          <w:szCs w:val="16"/>
        </w:rPr>
      </w:pPr>
    </w:p>
    <w:p w14:paraId="1B02AB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вышел приказ НКАП, которым В.Я.Климова обязали освоить и обеспечить конструкторским руководством ТРД JuMO-004 и постройка под маркой РД-10 была поручена 26 заводу (2449,13).</w:t>
      </w:r>
    </w:p>
    <w:p w14:paraId="5083C5A2" w14:textId="77777777" w:rsidR="00665165" w:rsidRPr="00F90EAE" w:rsidRDefault="00665165" w:rsidP="00F90EAE">
      <w:pPr>
        <w:autoSpaceDE w:val="0"/>
        <w:autoSpaceDN w:val="0"/>
        <w:adjustRightInd w:val="0"/>
        <w:jc w:val="both"/>
        <w:rPr>
          <w:color w:val="000000" w:themeColor="text1"/>
          <w:sz w:val="16"/>
          <w:szCs w:val="16"/>
        </w:rPr>
      </w:pPr>
    </w:p>
    <w:p w14:paraId="6A41A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было полностью демонтировано и погружено для отправки в СССР на завод 64 в Воронеже оборудование двух немецких заводов Фокке Вульф в г. Зорау (1874,13).</w:t>
      </w:r>
    </w:p>
    <w:p w14:paraId="747E8E27" w14:textId="77777777" w:rsidR="00665165" w:rsidRPr="00F90EAE" w:rsidRDefault="00665165" w:rsidP="00F90EAE">
      <w:pPr>
        <w:autoSpaceDE w:val="0"/>
        <w:autoSpaceDN w:val="0"/>
        <w:adjustRightInd w:val="0"/>
        <w:jc w:val="both"/>
        <w:rPr>
          <w:color w:val="000000" w:themeColor="text1"/>
          <w:sz w:val="16"/>
          <w:szCs w:val="16"/>
        </w:rPr>
      </w:pPr>
    </w:p>
    <w:p w14:paraId="36205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8343 О ремонте самолетов, авиационных моторов и материально-техническом обеспечении ВВС Красной Армии, ВВС Военно-Морского Флота и Гражданского воздушного флота во II квартале 1945 г. РГАНИР, Фонд ГКО, д. 407, лл. 1-6, 7-178 (11012).</w:t>
      </w:r>
    </w:p>
    <w:p w14:paraId="1300BDD0" w14:textId="77777777" w:rsidR="00665165" w:rsidRPr="00F90EAE" w:rsidRDefault="00665165" w:rsidP="00F90EAE">
      <w:pPr>
        <w:autoSpaceDE w:val="0"/>
        <w:autoSpaceDN w:val="0"/>
        <w:adjustRightInd w:val="0"/>
        <w:jc w:val="both"/>
        <w:rPr>
          <w:color w:val="000000" w:themeColor="text1"/>
          <w:sz w:val="16"/>
          <w:szCs w:val="16"/>
        </w:rPr>
      </w:pPr>
    </w:p>
    <w:p w14:paraId="1E7E9BB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A29B74A" w14:textId="77777777" w:rsidR="00665165" w:rsidRPr="00F90EAE" w:rsidRDefault="00665165" w:rsidP="00F90EAE">
      <w:pPr>
        <w:autoSpaceDE w:val="0"/>
        <w:autoSpaceDN w:val="0"/>
        <w:adjustRightInd w:val="0"/>
        <w:jc w:val="both"/>
        <w:rPr>
          <w:iCs/>
          <w:color w:val="000000" w:themeColor="text1"/>
          <w:sz w:val="16"/>
          <w:szCs w:val="16"/>
        </w:rPr>
      </w:pPr>
    </w:p>
    <w:p w14:paraId="2D6987F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28 апреля 1945 года на УЗТМ поступило указание из НКТП и ГБТУ КА о проведении испытаний корпуса Уралмаш-1. Программа проведения испытаний поступила два дня спустя. Согласно программе, обстрел корпуса проводился 85-мм пушкой, 100-мм орудием Д-10С, а также немецкой 88-мм пушкой Pak 43 L/71. Помимо бронебойных снарядов, испытания обстрелом проводились осколочно-фугасными снарядами. Собственно говоря, с обстрела 88-мм осколочно-фугасными снарядами испытания и начались. При попадании в лоб рубки отмечалось срезание болтов крепления неподвижной бронировки орудия. Хуже ситуация оказалась при стрельбе этими же снарядами по бортам корпуса: отмечались разрушения швов соединения днища рубки с бортом корпуса. Ещё два попадания было по левому борту рубки, при этом разошлась приварка крыши командирской башенки к козырьку. Похожие по характеру разрушения наблюдались и при стрельбе по правому борту. Наиболее критичным стало попадание в правый кормовой лист корпуса — его разрушило, а также вырвало кормовой люк.</w:t>
      </w:r>
    </w:p>
    <w:p w14:paraId="44921920" w14:textId="77777777" w:rsidR="00A278CB" w:rsidRPr="00F90EAE" w:rsidRDefault="00A278CB" w:rsidP="00F90EAE">
      <w:pPr>
        <w:shd w:val="clear" w:color="auto" w:fill="FFFFFF"/>
        <w:jc w:val="both"/>
        <w:textAlignment w:val="baseline"/>
        <w:rPr>
          <w:color w:val="000000" w:themeColor="text1"/>
          <w:sz w:val="16"/>
          <w:szCs w:val="16"/>
        </w:rPr>
      </w:pPr>
      <w:r w:rsidRPr="00F90EAE">
        <w:rPr>
          <w:color w:val="000000" w:themeColor="text1"/>
          <w:sz w:val="16"/>
          <w:szCs w:val="16"/>
        </w:rPr>
        <w:t>Лоб рубки оказался неуязвим для снарядов калибра 85-100 мм. Вместе с тем ударной волной срезало часть болтов крепления неподвижной бронировки орудия</w:t>
      </w:r>
    </w:p>
    <w:p w14:paraId="33DAA6E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Всего по корпусу было проведено 11 выстрелов 88-мм осколочно-фугасными снарядами. Несмотря на неоднозначные результаты стрельбы по бортовым и кормовым листам, общую прочность конструкции признали удовлетворительной. Для усиления соединений бортовых листов было предложено два варианта сборки. Оба варианта предполагали замковое соединение листов, которое обеспечивало более высокую прочность.</w:t>
      </w:r>
    </w:p>
    <w:p w14:paraId="6641FAA8"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Наибольший объём поражений корпуса (52 штуки) пришелся на немецкие бронебойные снаряды калибра 88 мм. Выяснилось, что верхняя лобовая деталь корпуса, а также верхняя лобовая деталь рубки неуязвимы для всех дистанций поражения. Нижняя лобовая деталь оказалась поражена, расчёты показали, что предельная дистанция, на которой она не пробивается, составляет 740 м. Хуже дела обстояли с бортами рубки. Расчёты показали, что предельная дистанция непробития борта рубки составляет 867 м, при этом левый борт менее прочен из-за наличия выступа под командирскую башенку, а также повышенной шиферности металла. Что же касается вертикальных бортов толщиной 75 мм, то они не являлись серьёзной преградой для немецкой пушки и пробивались на любой дистанции поражения.</w:t>
      </w:r>
    </w:p>
    <w:p w14:paraId="0C39D9D9"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Испытания отечественными бронебойными снарядами калибра 85 и 100 мм показали похожие результаты. Объём испытаний ими оказался небольшим: 3 выстрела из орудия Д-10С и 22 выстрела из пушки калибра 85 мм. Как и в случае с Pak 43, верхние лобовые листы корпуса и рубки оказались не поражены. В целом же результаты обстрела показали удовлетворительную прочность корпуса, хотя пищи для размышлений хватало. Для начала, выявились случаи разрушения сварных швов (этот дефект был вполне рядовым явлением для УЗТМ). Также имелись претензии к прочности соединения листов днища корпуса. Уязвимым оказался козырёк </w:t>
      </w:r>
      <w:r w:rsidRPr="00F90EAE">
        <w:rPr>
          <w:color w:val="000000" w:themeColor="text1"/>
          <w:sz w:val="16"/>
          <w:szCs w:val="16"/>
        </w:rPr>
        <w:lastRenderedPageBreak/>
        <w:t>командирской башенки, который поражался и осколочно-фугасными, и бронебойными снарядами. Имелись претензии к конструкции выхлопных карманов.</w:t>
      </w:r>
    </w:p>
    <w:p w14:paraId="22671301"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 итогам испытаний комиссия указала на необходимость обеспечения надёжной защиты нижнего лобового листа корпуса и усиления козырька командирской башенки. Также требовалось отдельно испытать бронировку орудия в сборе. В связи с неудовлетворительными результатами испытаний обстрелом кормы требовалось увеличить её стойкость до уровня СУ-100. Усиливались и выхлопные карманы, а также дорабатывались соединения листов корпуса.</w:t>
      </w:r>
    </w:p>
    <w:p w14:paraId="6750D78A"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Особое мнение высказал представитель НИИ-48 Г.И. Федосеенко. По его мнению, снижение высоты редана днища не имело смысла, поскольку вероятность его поражения огнём была низкой, а выбор оптимальной брони требовалось решить совместно с НИИ-48. К слову, в отчёте, который НИИ-48 подготовил по результату изучения СУ-101, отмечалось, что КБ УЗТМ провело большую работу, создав очень удачную конструкцию корпуса и рубки. Её прочность по сравнению с предшествующими средними и тяжёлыми САУ существенно выросла. Более того, на момент создания «Уралмаш-1» обладал наиболее мощной защитой среди всех имевшихся тогда САУ среднего типа (19525).</w:t>
      </w:r>
    </w:p>
    <w:p w14:paraId="2369C298" w14:textId="77777777" w:rsidR="00A278CB" w:rsidRPr="00F90EAE" w:rsidRDefault="00A278CB" w:rsidP="00F90EAE">
      <w:pPr>
        <w:pStyle w:val="ae"/>
        <w:shd w:val="clear" w:color="auto" w:fill="FFFFFF"/>
        <w:spacing w:before="0" w:after="0"/>
        <w:jc w:val="both"/>
        <w:textAlignment w:val="baseline"/>
        <w:rPr>
          <w:color w:val="000000" w:themeColor="text1"/>
          <w:sz w:val="16"/>
          <w:szCs w:val="16"/>
        </w:rPr>
      </w:pPr>
    </w:p>
    <w:p w14:paraId="2B5B05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8329 О направлении рабочей силы Свердловскому горисполкому. РГАНИР, Фонд ГКО, д. 406, лл. 85 (11012).</w:t>
      </w:r>
    </w:p>
    <w:p w14:paraId="5DF0E53C" w14:textId="77777777" w:rsidR="00665165" w:rsidRPr="00F90EAE" w:rsidRDefault="00665165" w:rsidP="00F90EAE">
      <w:pPr>
        <w:autoSpaceDE w:val="0"/>
        <w:autoSpaceDN w:val="0"/>
        <w:adjustRightInd w:val="0"/>
        <w:jc w:val="both"/>
        <w:rPr>
          <w:color w:val="000000" w:themeColor="text1"/>
          <w:sz w:val="16"/>
          <w:szCs w:val="16"/>
        </w:rPr>
      </w:pPr>
    </w:p>
    <w:p w14:paraId="7D9728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8330. О дополнительном выделении угля заводу № 154 НКАП. РГАНИР, Фонд ГКО, д. 406, лл. 86 (11012).</w:t>
      </w:r>
    </w:p>
    <w:p w14:paraId="2AE790B3" w14:textId="77777777" w:rsidR="00665165" w:rsidRPr="00F90EAE" w:rsidRDefault="00665165" w:rsidP="00F90EAE">
      <w:pPr>
        <w:autoSpaceDE w:val="0"/>
        <w:autoSpaceDN w:val="0"/>
        <w:adjustRightInd w:val="0"/>
        <w:jc w:val="both"/>
        <w:rPr>
          <w:color w:val="000000" w:themeColor="text1"/>
          <w:sz w:val="16"/>
          <w:szCs w:val="16"/>
        </w:rPr>
      </w:pPr>
    </w:p>
    <w:p w14:paraId="10A6FC1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8331 [О мерах по обеспечению оборудованием паровозных депо и пунктов водоснабжения Карагандинской железной дороги.] (7332, 87-88).</w:t>
      </w:r>
    </w:p>
    <w:p w14:paraId="7122E39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82DA4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8332 [Об использовании для снабжения ремесленных училищ и лечебных учреждений остатка переработанных овощей и картофеля.] (7332, 89).</w:t>
      </w:r>
    </w:p>
    <w:p w14:paraId="50FC79F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0E08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8333. О дополнительном выделении угля Главлесоспирту. РГАНИР, Фонд ГКО, д. 406, лл. 90 (11012).</w:t>
      </w:r>
    </w:p>
    <w:p w14:paraId="40D2E35B" w14:textId="77777777" w:rsidR="00665165" w:rsidRPr="00F90EAE" w:rsidRDefault="00665165" w:rsidP="00F90EAE">
      <w:pPr>
        <w:autoSpaceDE w:val="0"/>
        <w:autoSpaceDN w:val="0"/>
        <w:adjustRightInd w:val="0"/>
        <w:jc w:val="both"/>
        <w:rPr>
          <w:color w:val="000000" w:themeColor="text1"/>
          <w:sz w:val="16"/>
          <w:szCs w:val="16"/>
        </w:rPr>
      </w:pPr>
    </w:p>
    <w:p w14:paraId="7568E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8334. О дополнительной поставке хлопчатобумажной пряжи НКБ для изготовления бикфордова шнура. РГАНИР, Фонд ГКО, д. 406, лл. 91-92 (11012).</w:t>
      </w:r>
    </w:p>
    <w:p w14:paraId="54AF8F38" w14:textId="77777777" w:rsidR="00665165" w:rsidRPr="00F90EAE" w:rsidRDefault="00665165" w:rsidP="00F90EAE">
      <w:pPr>
        <w:autoSpaceDE w:val="0"/>
        <w:autoSpaceDN w:val="0"/>
        <w:adjustRightInd w:val="0"/>
        <w:jc w:val="both"/>
        <w:rPr>
          <w:color w:val="000000" w:themeColor="text1"/>
          <w:sz w:val="16"/>
          <w:szCs w:val="16"/>
        </w:rPr>
      </w:pPr>
    </w:p>
    <w:p w14:paraId="6E16312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8335 [О мерах по увеличению производства электробатарей и электромоторов для электроторпед.] (7332, 93-94).</w:t>
      </w:r>
    </w:p>
    <w:p w14:paraId="6469A9B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A1DD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8336. О мерах неотложной помощи торпедному заводу № 175 и торпедно-пристрелочным станциям НКСП. РГАНИР, Фонд ГКО, д. 406, лл. 95-97 (11012).</w:t>
      </w:r>
    </w:p>
    <w:p w14:paraId="10CBA943" w14:textId="77777777" w:rsidR="00665165" w:rsidRPr="00F90EAE" w:rsidRDefault="00665165" w:rsidP="00F90EAE">
      <w:pPr>
        <w:autoSpaceDE w:val="0"/>
        <w:autoSpaceDN w:val="0"/>
        <w:adjustRightInd w:val="0"/>
        <w:jc w:val="both"/>
        <w:rPr>
          <w:color w:val="000000" w:themeColor="text1"/>
          <w:sz w:val="16"/>
          <w:szCs w:val="16"/>
        </w:rPr>
      </w:pPr>
    </w:p>
    <w:p w14:paraId="702932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8337. О мерах по увеличению прочности пластмассовых корпусов взрывателей М-4 для 120 и 82 мм мин. РГАНИР, Фонд ГКО, д. 406, лл. 98-99, 100-101 (11012).</w:t>
      </w:r>
    </w:p>
    <w:p w14:paraId="7790A1EB" w14:textId="77777777" w:rsidR="00665165" w:rsidRPr="00F90EAE" w:rsidRDefault="00665165" w:rsidP="00F90EAE">
      <w:pPr>
        <w:autoSpaceDE w:val="0"/>
        <w:autoSpaceDN w:val="0"/>
        <w:adjustRightInd w:val="0"/>
        <w:jc w:val="both"/>
        <w:rPr>
          <w:color w:val="000000" w:themeColor="text1"/>
          <w:sz w:val="16"/>
          <w:szCs w:val="16"/>
        </w:rPr>
      </w:pPr>
    </w:p>
    <w:p w14:paraId="02A0B4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8338. О распространении действия распоряжения ГКО № 5998 от 3 июня 1944 г. на ряд лесотехнических учебных заведений. РГАНИР, Фонд ГКО, д. 406, лл. 102 (11012).</w:t>
      </w:r>
    </w:p>
    <w:p w14:paraId="6A3C3D26" w14:textId="77777777" w:rsidR="00665165" w:rsidRPr="00F90EAE" w:rsidRDefault="00665165" w:rsidP="00F90EAE">
      <w:pPr>
        <w:autoSpaceDE w:val="0"/>
        <w:autoSpaceDN w:val="0"/>
        <w:adjustRightInd w:val="0"/>
        <w:jc w:val="both"/>
        <w:rPr>
          <w:color w:val="000000" w:themeColor="text1"/>
          <w:sz w:val="16"/>
          <w:szCs w:val="16"/>
        </w:rPr>
      </w:pPr>
    </w:p>
    <w:p w14:paraId="2402BB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8339. О досрочном освобождении 600 осужденных за бытовые преступления и самовольный уход с предприятий и направлении их на предприятия НКТМ и НКЭП на Урале. РГАНИР, Фонд ГКО, д. 406, лл. 103 (11012).</w:t>
      </w:r>
    </w:p>
    <w:p w14:paraId="17D31B5E" w14:textId="77777777" w:rsidR="00665165" w:rsidRPr="00F90EAE" w:rsidRDefault="00665165" w:rsidP="00F90EAE">
      <w:pPr>
        <w:autoSpaceDE w:val="0"/>
        <w:autoSpaceDN w:val="0"/>
        <w:adjustRightInd w:val="0"/>
        <w:jc w:val="both"/>
        <w:rPr>
          <w:color w:val="000000" w:themeColor="text1"/>
          <w:sz w:val="16"/>
          <w:szCs w:val="16"/>
        </w:rPr>
      </w:pPr>
    </w:p>
    <w:p w14:paraId="18CDA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8340. О мерах по восстановлению производства в 1945 году газоматорных компрессоров МК-2 на заводе № 414 "Борец" НКНП. РГАНИР, Фонд ГКО, д. 406, лл. 104-106, 107-110 (11012).</w:t>
      </w:r>
    </w:p>
    <w:p w14:paraId="24BAE8E6" w14:textId="77777777" w:rsidR="00665165" w:rsidRPr="00F90EAE" w:rsidRDefault="00665165" w:rsidP="00F90EAE">
      <w:pPr>
        <w:autoSpaceDE w:val="0"/>
        <w:autoSpaceDN w:val="0"/>
        <w:adjustRightInd w:val="0"/>
        <w:jc w:val="both"/>
        <w:rPr>
          <w:color w:val="000000" w:themeColor="text1"/>
          <w:sz w:val="16"/>
          <w:szCs w:val="16"/>
        </w:rPr>
      </w:pPr>
    </w:p>
    <w:p w14:paraId="31858BC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8341 Об обеспечении погрузки и выгрузки на железных дорогах в дни 1 и 2 мая 1945 г. (7332, 111-112).</w:t>
      </w:r>
    </w:p>
    <w:p w14:paraId="6B4F60E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F4546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8344 О мероприятиях по материально-техническому обеспечению предприятий черной металлургии во II квартале 1945 г. РГАНИР, Фонд ГКО, д. 408, лл. 1-3, 4-130 (11012).</w:t>
      </w:r>
    </w:p>
    <w:p w14:paraId="7F9E1DBE" w14:textId="77777777" w:rsidR="00665165" w:rsidRPr="00F90EAE" w:rsidRDefault="00665165" w:rsidP="00F90EAE">
      <w:pPr>
        <w:autoSpaceDE w:val="0"/>
        <w:autoSpaceDN w:val="0"/>
        <w:adjustRightInd w:val="0"/>
        <w:jc w:val="both"/>
        <w:rPr>
          <w:color w:val="000000" w:themeColor="text1"/>
          <w:sz w:val="16"/>
          <w:szCs w:val="16"/>
        </w:rPr>
      </w:pPr>
    </w:p>
    <w:p w14:paraId="6FE7EFD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8345 О мероприятиях по обеспечению ввода в действие в 1945 г. строек черной металлургии, осуществляемых Челябметаллургстроем НКВД СССР. (7333, 131-134,135-151).</w:t>
      </w:r>
    </w:p>
    <w:p w14:paraId="2FE9FC9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E8B870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8346 О мероприятиях по обеспечению ввода в действие в 1945 г. строек черной металлургии, осуществляемых Закавказметаллургстроем НКВД СССР. (7333, 152-156,157-174).</w:t>
      </w:r>
    </w:p>
    <w:p w14:paraId="09C788B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6D46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8347. О неотложных ремонтных работах на Челябинской ТЭЦ и Кизеловской ГРЭС. РГАНИР, Фонд ГКО, д. 408, лл. 175 (11012).</w:t>
      </w:r>
    </w:p>
    <w:p w14:paraId="5CE49390" w14:textId="77777777" w:rsidR="00665165" w:rsidRPr="00F90EAE" w:rsidRDefault="00665165" w:rsidP="00F90EAE">
      <w:pPr>
        <w:autoSpaceDE w:val="0"/>
        <w:autoSpaceDN w:val="0"/>
        <w:adjustRightInd w:val="0"/>
        <w:jc w:val="both"/>
        <w:rPr>
          <w:color w:val="000000" w:themeColor="text1"/>
          <w:sz w:val="16"/>
          <w:szCs w:val="16"/>
        </w:rPr>
      </w:pPr>
    </w:p>
    <w:p w14:paraId="47FDD74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8348 [О дополнительном выделении угля управлениям НКГБ Хабаровского и Приморского краев в мае-июне 1945 г.] (7333, 176).</w:t>
      </w:r>
    </w:p>
    <w:p w14:paraId="7037873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D4B48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8349. О дополнительном выделении угля заводу № 129 НКБ. РГАНИР, Фонд ГКО, д. 408, лл. 177 (11012).</w:t>
      </w:r>
    </w:p>
    <w:p w14:paraId="6C26A31D" w14:textId="77777777" w:rsidR="00665165" w:rsidRPr="00F90EAE" w:rsidRDefault="00665165" w:rsidP="00F90EAE">
      <w:pPr>
        <w:autoSpaceDE w:val="0"/>
        <w:autoSpaceDN w:val="0"/>
        <w:adjustRightInd w:val="0"/>
        <w:jc w:val="both"/>
        <w:rPr>
          <w:color w:val="000000" w:themeColor="text1"/>
          <w:sz w:val="16"/>
          <w:szCs w:val="16"/>
        </w:rPr>
      </w:pPr>
    </w:p>
    <w:p w14:paraId="214C72B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8350 [Об использовании репатриируемых советских граждан для работы на судах трофейного флота на территории Германии.] (7333, 178).</w:t>
      </w:r>
    </w:p>
    <w:p w14:paraId="0CDAA96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BA0DD9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8351 Об использовании нефтяного газа промыслов трестов "Кинельнефть" и "Бугурусланнефть." (7333, 179-181,182-183).</w:t>
      </w:r>
    </w:p>
    <w:p w14:paraId="256173D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A51F3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8352 О мерах форсирования разведочных работ на газ в Краснодарском крае. (7333, 184-186).</w:t>
      </w:r>
    </w:p>
    <w:p w14:paraId="27AAAE3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9E925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8353 О приеме, размещении и хозяйственном устройстве репатриируемых из Швеции советских граждан. (7333, 187-190).</w:t>
      </w:r>
    </w:p>
    <w:p w14:paraId="6060E1A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BE3E8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8354 О переводе на Краснознаменный Балтийский флот боевых кораблей Военно-Морского Флота. (7333, 191-195).</w:t>
      </w:r>
    </w:p>
    <w:p w14:paraId="40719FF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13190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Распоряжение ГКО № 8355 [О передаче 51 тыс. т сена ГУГМР.] (7333, 196,197).</w:t>
      </w:r>
    </w:p>
    <w:p w14:paraId="11B502C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83789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8356 О строительстве вторых очередей Красноводского и Куйбышевского импортных нефтеперерабатывающих заводов. РГАНИР, Фонд ГКО, д. 408, лл. 198-201 (11012).</w:t>
      </w:r>
    </w:p>
    <w:p w14:paraId="35AA3480" w14:textId="77777777" w:rsidR="00665165" w:rsidRPr="00F90EAE" w:rsidRDefault="00665165" w:rsidP="00F90EAE">
      <w:pPr>
        <w:autoSpaceDE w:val="0"/>
        <w:autoSpaceDN w:val="0"/>
        <w:adjustRightInd w:val="0"/>
        <w:jc w:val="both"/>
        <w:rPr>
          <w:color w:val="000000" w:themeColor="text1"/>
          <w:sz w:val="16"/>
          <w:szCs w:val="16"/>
        </w:rPr>
      </w:pPr>
    </w:p>
    <w:p w14:paraId="5DACE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28.10.1944 г. - постановление ГКО № 6819 о подготовке завода на импортном оборудовании (Завод № 443 НК нефти, Куйбышевский крекинг-завод, ОАО «Куйбышевский нефтеперерабатывающий завод» (НПЗ) /ст. Кряж Куйбышевской обл./ /443004  г. Самара ул. Грозненская, 1 тел. 30-18-09/) к пуску; 28.04.1945 г. - постановление ГКО № 8356 о строительстве 2-й очереди завода. 9.08.1945 г. были введены в эксплуатацию первый турбоагрегат и два котла ТЭЦ Куйбышевского крекинг-завода, 27.08.1945 г. пущен второй энергоблок ТЭЦ. 6.09.1945 г. на технологических установках ЭЛОУ-1 и ККУ-1 получен первый бензин А-56. В 09-10.1945 г. продолжены пусконаладочные работы, и в конце 12.1945 г. завод был включен в состав действующих предприятий.</w:t>
      </w:r>
    </w:p>
    <w:p w14:paraId="4E1615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Производство (2002 г.): алкилбензин; авиационный и автомобильный бензин; дизтопливо; сжиженный газ; мазут; автомобильное моторное масло; октол, полибутен; техническая сера.</w:t>
      </w:r>
    </w:p>
    <w:p w14:paraId="404C4E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завода (2006 г.)- 6,27 млн. т переработки нефти в год.</w:t>
      </w:r>
    </w:p>
    <w:p w14:paraId="4A7A93BB" w14:textId="77777777" w:rsidR="00665165" w:rsidRPr="00F90EAE" w:rsidRDefault="00665165" w:rsidP="00F90EAE">
      <w:pPr>
        <w:autoSpaceDE w:val="0"/>
        <w:autoSpaceDN w:val="0"/>
        <w:adjustRightInd w:val="0"/>
        <w:jc w:val="both"/>
        <w:rPr>
          <w:color w:val="000000" w:themeColor="text1"/>
          <w:sz w:val="16"/>
          <w:szCs w:val="16"/>
          <w:vertAlign w:val="superscript"/>
        </w:rPr>
      </w:pPr>
      <w:r w:rsidRPr="00F90EAE">
        <w:rPr>
          <w:color w:val="000000" w:themeColor="text1"/>
          <w:sz w:val="16"/>
          <w:szCs w:val="16"/>
        </w:rPr>
        <w:t>Директор (2002 г.)- М.И. Радаев (11982).</w:t>
      </w:r>
    </w:p>
    <w:p w14:paraId="5B825B27" w14:textId="77777777" w:rsidR="00665165" w:rsidRPr="00F90EAE" w:rsidRDefault="00665165" w:rsidP="00F90EAE">
      <w:pPr>
        <w:autoSpaceDE w:val="0"/>
        <w:autoSpaceDN w:val="0"/>
        <w:adjustRightInd w:val="0"/>
        <w:jc w:val="both"/>
        <w:rPr>
          <w:color w:val="000000" w:themeColor="text1"/>
          <w:sz w:val="16"/>
          <w:szCs w:val="16"/>
        </w:rPr>
      </w:pPr>
    </w:p>
    <w:p w14:paraId="32EFC8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8357 О мерах помощи строительству Казахского металлургического завода Наркомчермета. РГАНИР, Фонд ГКО, д. 408, лл. 202-206, 207-214 (11012).</w:t>
      </w:r>
    </w:p>
    <w:p w14:paraId="33E8CE99" w14:textId="77777777" w:rsidR="00665165" w:rsidRPr="00F90EAE" w:rsidRDefault="00665165" w:rsidP="00F90EAE">
      <w:pPr>
        <w:autoSpaceDE w:val="0"/>
        <w:autoSpaceDN w:val="0"/>
        <w:adjustRightInd w:val="0"/>
        <w:jc w:val="both"/>
        <w:rPr>
          <w:color w:val="000000" w:themeColor="text1"/>
          <w:sz w:val="16"/>
          <w:szCs w:val="16"/>
        </w:rPr>
      </w:pPr>
    </w:p>
    <w:p w14:paraId="054A8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8358 О мероприятиях по восстановлению комбината "Печенганикель" Наркомцветмета. РГАНИР, Фонд ГКО, д. 408, лл. 215-217, 218-251 (11012).</w:t>
      </w:r>
    </w:p>
    <w:p w14:paraId="16CE94B7" w14:textId="77777777" w:rsidR="00665165" w:rsidRPr="00F90EAE" w:rsidRDefault="00665165" w:rsidP="00F90EAE">
      <w:pPr>
        <w:autoSpaceDE w:val="0"/>
        <w:autoSpaceDN w:val="0"/>
        <w:adjustRightInd w:val="0"/>
        <w:jc w:val="both"/>
        <w:rPr>
          <w:color w:val="000000" w:themeColor="text1"/>
          <w:sz w:val="16"/>
          <w:szCs w:val="16"/>
        </w:rPr>
      </w:pPr>
    </w:p>
    <w:p w14:paraId="0E2BF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28-29 апреля 1945 Балтийцы заложили на стапельных местах по одному ТЩ (42-й и 43-й), спустили на воду 30-й ТЩ. (10671).</w:t>
      </w:r>
    </w:p>
    <w:p w14:paraId="47F6FB98" w14:textId="77777777" w:rsidR="00665165" w:rsidRPr="00F90EAE" w:rsidRDefault="00665165" w:rsidP="00F90EAE">
      <w:pPr>
        <w:autoSpaceDE w:val="0"/>
        <w:autoSpaceDN w:val="0"/>
        <w:adjustRightInd w:val="0"/>
        <w:jc w:val="both"/>
        <w:rPr>
          <w:color w:val="000000" w:themeColor="text1"/>
          <w:sz w:val="16"/>
          <w:szCs w:val="16"/>
        </w:rPr>
      </w:pPr>
    </w:p>
    <w:p w14:paraId="691ED0B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E3A7FF5" w14:textId="77777777" w:rsidR="00665165" w:rsidRPr="00F90EAE" w:rsidRDefault="00665165" w:rsidP="00F90EAE">
      <w:pPr>
        <w:autoSpaceDE w:val="0"/>
        <w:autoSpaceDN w:val="0"/>
        <w:adjustRightInd w:val="0"/>
        <w:jc w:val="both"/>
        <w:rPr>
          <w:iCs/>
          <w:color w:val="000000" w:themeColor="text1"/>
          <w:sz w:val="16"/>
          <w:szCs w:val="16"/>
        </w:rPr>
      </w:pPr>
    </w:p>
    <w:p w14:paraId="054BB4AC" w14:textId="77777777" w:rsidR="009B0E9A" w:rsidRPr="00F90EAE" w:rsidRDefault="009B0E9A" w:rsidP="00F90EAE">
      <w:pPr>
        <w:jc w:val="both"/>
        <w:rPr>
          <w:color w:val="000000" w:themeColor="text1"/>
          <w:sz w:val="16"/>
          <w:szCs w:val="16"/>
        </w:rPr>
      </w:pPr>
      <w:r w:rsidRPr="00F90EAE">
        <w:rPr>
          <w:color w:val="000000" w:themeColor="text1"/>
          <w:sz w:val="16"/>
          <w:szCs w:val="16"/>
        </w:rPr>
        <w:t>28 апреля в 1945 году оперативная сводка Совинформбюро:</w:t>
      </w:r>
    </w:p>
    <w:p w14:paraId="445ED5B8"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2-го Белорусского фронта 28 апреля с боями овладели городами Эггезин, Торгелов, Пазевальк, Штрасбург, Темплин—важными опорными пунктами обороны немцев в западной Померании, а также заняли крупные населённые пункты Рит, Луков, Гаммер, Вальдесхез, Блюменхаген, Гютерберг, Ташенберг, Краатц, Пармен, Веггун, Бойценбург, Харденбек, Хасленбен, Герсвальде, Рингенвальде, Фридрихсвальде. В боях за 27 апреля войска фронта взяли в плен более 1.000 немецких солдат и офицеров и захватили на аэродромах 70 самолётов противника.</w:t>
      </w:r>
    </w:p>
    <w:p w14:paraId="0539C645"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Белорусского фронта продолжали вести уличные бои в Берлине и заняли северо-западную часть городского района Шарлоттенбург до Бисмарк штрассе, западную половину городского района Моабит и восточную часть городского района Шенеберг. В боях за 27 апреля в Берлине войска фронта взяли в плен свыше 9.000 немецких солдат и офицеров и захватили более 100 полевых орудий, 135 пулемётов, 1.800 автомашин и 50 складов с различным военным имуществом.</w:t>
      </w:r>
    </w:p>
    <w:p w14:paraId="1477F10D"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Украинского фронта вели уличные бои в юго-западной части Берлина и заняли городские районы Фриденау, Груневальд и Рулебен, соединившись в этом районе с войсками 1-го Белорусского фронта, занявшими Сименсштадт.</w:t>
      </w:r>
    </w:p>
    <w:p w14:paraId="58674B19" w14:textId="77777777" w:rsidR="009B0E9A" w:rsidRPr="00F90EAE" w:rsidRDefault="009B0E9A" w:rsidP="00F90EAE">
      <w:pPr>
        <w:jc w:val="both"/>
        <w:rPr>
          <w:color w:val="000000" w:themeColor="text1"/>
          <w:sz w:val="16"/>
          <w:szCs w:val="16"/>
        </w:rPr>
      </w:pPr>
      <w:r w:rsidRPr="00F90EAE">
        <w:rPr>
          <w:color w:val="000000" w:themeColor="text1"/>
          <w:sz w:val="16"/>
          <w:szCs w:val="16"/>
        </w:rPr>
        <w:t>Юго-восточнее Берлина в лесисто-озёрном районе войска 1-го Белорусского и 1-го Украинского фронтов окружили значительную группу немецких войск и вели бои по её уничтожению.</w:t>
      </w:r>
    </w:p>
    <w:p w14:paraId="0DB8F3F3" w14:textId="77777777" w:rsidR="009B0E9A" w:rsidRPr="00F90EAE" w:rsidRDefault="009B0E9A" w:rsidP="00F90EAE">
      <w:pPr>
        <w:jc w:val="both"/>
        <w:rPr>
          <w:color w:val="000000" w:themeColor="text1"/>
          <w:sz w:val="16"/>
          <w:szCs w:val="16"/>
        </w:rPr>
      </w:pPr>
      <w:r w:rsidRPr="00F90EAE">
        <w:rPr>
          <w:color w:val="000000" w:themeColor="text1"/>
          <w:sz w:val="16"/>
          <w:szCs w:val="16"/>
        </w:rPr>
        <w:t>В боях за 27 апреля войска 1-го Украинского фронта взяли в плен более 18.000 немецких солдат и офицеров, из них 14.000 из состава окружённой группы немцев юго-восточнее Берлина. Кроме того, войска фронта захватили следующие трофеи: танков — 55, полевых орудий — 268, автомашин — 2.150, паровозов—39, железнодорожных вагонов—900, складов с различным военным имуществом — 150.</w:t>
      </w:r>
    </w:p>
    <w:p w14:paraId="0B735A0B" w14:textId="77777777" w:rsidR="009B0E9A" w:rsidRPr="00F90EAE" w:rsidRDefault="009B0E9A" w:rsidP="00F90EAE">
      <w:pPr>
        <w:jc w:val="both"/>
        <w:rPr>
          <w:color w:val="000000" w:themeColor="text1"/>
          <w:sz w:val="16"/>
          <w:szCs w:val="16"/>
        </w:rPr>
      </w:pPr>
      <w:r w:rsidRPr="00F90EAE">
        <w:rPr>
          <w:color w:val="000000" w:themeColor="text1"/>
          <w:sz w:val="16"/>
          <w:szCs w:val="16"/>
        </w:rPr>
        <w:t>На территории Чехословакии, восточнее и юго-восточнее города Брно, войска 2-го Украинского фронта, продолжая наступление, с боями заняли населённые пункты Поповице, Куновице, Жеравице, Киев, Жарошице, Рашовице, Летонице, Козланы, Богдалице, Нэмояны, Табровани.</w:t>
      </w:r>
    </w:p>
    <w:p w14:paraId="63520447" w14:textId="77777777" w:rsidR="009B0E9A" w:rsidRPr="00F90EAE" w:rsidRDefault="009B0E9A"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5C7AFF0B" w14:textId="77777777" w:rsidR="009B0E9A" w:rsidRPr="00F90EAE" w:rsidRDefault="009B0E9A" w:rsidP="00F90EAE">
      <w:pPr>
        <w:jc w:val="both"/>
        <w:rPr>
          <w:color w:val="000000" w:themeColor="text1"/>
          <w:sz w:val="16"/>
          <w:szCs w:val="16"/>
        </w:rPr>
      </w:pPr>
      <w:r w:rsidRPr="00F90EAE">
        <w:rPr>
          <w:color w:val="000000" w:themeColor="text1"/>
          <w:sz w:val="16"/>
          <w:szCs w:val="16"/>
        </w:rPr>
        <w:t>За 27 апреля на всех фронтах подбито и уничтожено 170 немецких танков и самоходных орудий. В воздушных боях и огнём зенитной артиллерии сбит 41 самолёт противника.».</w:t>
      </w:r>
    </w:p>
    <w:p w14:paraId="75972E5F" w14:textId="77777777" w:rsidR="009B0E9A" w:rsidRPr="00F90EAE" w:rsidRDefault="009B0E9A" w:rsidP="00F90EAE">
      <w:pPr>
        <w:jc w:val="both"/>
        <w:rPr>
          <w:color w:val="000000" w:themeColor="text1"/>
          <w:sz w:val="16"/>
          <w:szCs w:val="16"/>
        </w:rPr>
      </w:pPr>
      <w:r w:rsidRPr="00F90EAE">
        <w:rPr>
          <w:color w:val="000000" w:themeColor="text1"/>
          <w:sz w:val="16"/>
          <w:szCs w:val="16"/>
        </w:rPr>
        <w:t>Налёты нашей авиации на Свинемюнде и Штральзунд.</w:t>
      </w:r>
    </w:p>
    <w:p w14:paraId="43DAE97F" w14:textId="77777777" w:rsidR="009B0E9A" w:rsidRPr="00F90EAE" w:rsidRDefault="009B0E9A" w:rsidP="00F90EAE">
      <w:pPr>
        <w:jc w:val="both"/>
        <w:rPr>
          <w:color w:val="000000" w:themeColor="text1"/>
          <w:sz w:val="16"/>
          <w:szCs w:val="16"/>
        </w:rPr>
      </w:pPr>
      <w:r w:rsidRPr="00F90EAE">
        <w:rPr>
          <w:color w:val="000000" w:themeColor="text1"/>
          <w:sz w:val="16"/>
          <w:szCs w:val="16"/>
        </w:rPr>
        <w:t>«В ночь на 28 апреля наши тяжёлые бомбардировщики нанесли удары по военным объектам немцев в портах Свинемюнде и Штральзунде.</w:t>
      </w:r>
    </w:p>
    <w:p w14:paraId="403C980F" w14:textId="77777777" w:rsidR="009B0E9A" w:rsidRPr="00F90EAE" w:rsidRDefault="009B0E9A" w:rsidP="00F90EAE">
      <w:pPr>
        <w:jc w:val="both"/>
        <w:rPr>
          <w:color w:val="000000" w:themeColor="text1"/>
          <w:sz w:val="16"/>
          <w:szCs w:val="16"/>
        </w:rPr>
      </w:pPr>
      <w:r w:rsidRPr="00F90EAE">
        <w:rPr>
          <w:color w:val="000000" w:themeColor="text1"/>
          <w:sz w:val="16"/>
          <w:szCs w:val="16"/>
        </w:rPr>
        <w:t>В результате бомбардировки в Свинемюнде на территории судостроительных верфей, железнодорожного узла и в порту возникло 18 пожаров, сопровождавшихся сильными взрывами.</w:t>
      </w:r>
    </w:p>
    <w:p w14:paraId="6FA25901" w14:textId="77777777" w:rsidR="009B0E9A" w:rsidRPr="00F90EAE" w:rsidRDefault="009B0E9A" w:rsidP="00F90EAE">
      <w:pPr>
        <w:jc w:val="both"/>
        <w:rPr>
          <w:color w:val="000000" w:themeColor="text1"/>
          <w:sz w:val="16"/>
          <w:szCs w:val="16"/>
        </w:rPr>
      </w:pPr>
      <w:r w:rsidRPr="00F90EAE">
        <w:rPr>
          <w:color w:val="000000" w:themeColor="text1"/>
          <w:sz w:val="16"/>
          <w:szCs w:val="16"/>
        </w:rPr>
        <w:t>В Штральзунде бомбардировкой вызваны большие пожары.».</w:t>
      </w:r>
    </w:p>
    <w:p w14:paraId="423D683C"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Наши части, наступающие вдоль Штеттинской гавани на северо-запад, очистили от противника лесные массивы и овладели городами Эггезин и Торгелов. Другие советские части, с боями продвигаясь вперёд, вышли к городу Пазевальк — важному опорному пункту обороны немцев на реке Юкер. Гитлеровцы закрепились на подступах к городу и оказывали упорное сопротивление. Советские артиллеристы и танкисты подавили вражеские огневые точки. Ночью наши бойцы ворвались на улицы города и разгромили немецкий гарнизон. Развивая успех, советские части переправились через реку Юкер и выбили немцев из оборонительного рубежа, построенного на её западном берегу. Во второй половине дня нашими войсками занят город и узел шоссейных дорог Штрасбург, находящийся в 15 километрах к западу от Пазевалька. В другом районе советские кавалерийские части, совершив рейд по труднопроходимой местности, настигли и разгромили несколько вражеских колонн. Отступая под ударами наших войск, противник взрывает мосты, минирует дороги и объезды. Захвачено у немцев 44 орудия, несколько паровозов и много железнодорожных вагонов. В одном из лагерей наши бойцы освободили военнопленных различных национальностей.</w:t>
      </w:r>
    </w:p>
    <w:p w14:paraId="48D49CCA"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Белорусского фронта продолжали вести уличные бои в Берлине. Советские пехотинцы и танкисты переправились через реку Шпрее и ворвались в один из центральных районов германской столицы — Шарлоттенбург. Преодолевая упорное сопротивление противника, наши стрелки и автоматчики выбивают гитлеровцев из подвалов домов и станций метрополитена. Сапёры под огнем противника разбирают завалы и баррикады. Артиллеристы, действующие в составе штурмовых групп, разрушают укрепления и уничтожают вражеские огневые точки. Нашими войсками заняты казармы зенитного полка, водопроводная станция и товарная железнодорожная станция Вестенд. Другие советские части переправились через канал Фербиндунгс и ведут бои в городском районе Моабит. Штурмом занят завод Электрического Общества и электрозавод «Леве», превращенные немцами в сильно укреплённые узлы сопротивления. За день боёв в Берлине войска фронта уничтожили свыше 6 тысяч солдат и офицеров противника.</w:t>
      </w:r>
    </w:p>
    <w:p w14:paraId="1F8FC6CE" w14:textId="77777777" w:rsidR="009B0E9A" w:rsidRPr="00F90EAE" w:rsidRDefault="009B0E9A" w:rsidP="00F90EAE">
      <w:pPr>
        <w:jc w:val="both"/>
        <w:rPr>
          <w:color w:val="000000" w:themeColor="text1"/>
          <w:sz w:val="16"/>
          <w:szCs w:val="16"/>
        </w:rPr>
      </w:pPr>
      <w:r w:rsidRPr="00F90EAE">
        <w:rPr>
          <w:color w:val="000000" w:themeColor="text1"/>
          <w:sz w:val="16"/>
          <w:szCs w:val="16"/>
        </w:rPr>
        <w:t>Войска 1-го Украинского фронта вели уличные бои в юго-западных районах Берлина. Наши танкисты и пехотинцы прорвались между озёрами Крумме-Ланке и Груневальд-Зее к железной дороге и автостраде Берлин — Потсдам. Взломав немецкую оборону в районе этих дорог, наши войска вышли в городской район Берлина — Рулебен и соединились с войсками 1-го Белорусского фронта. Развернувшись фронтом на восток, советские бойцы разгромили ненцев, оборонявших сортировочную станцию метрополитена. Заняты площадь «Адольф Гитлер», пять станций метро и другие опорные пункты гитлеровцев. В ходе боёв очищены от войск противника городские районы Груневальд и Фриденау. Овладев этими районами, наши войска штурмом прорвали полосу обороны немцев, проходившую вдоль окружной железной дороги, и завязали бои на улицах района Вильмерсдорф.</w:t>
      </w:r>
    </w:p>
    <w:p w14:paraId="69CA8302" w14:textId="77777777" w:rsidR="009B0E9A" w:rsidRPr="00F90EAE" w:rsidRDefault="009B0E9A" w:rsidP="00F90EAE">
      <w:pPr>
        <w:jc w:val="both"/>
        <w:rPr>
          <w:color w:val="000000" w:themeColor="text1"/>
          <w:sz w:val="16"/>
          <w:szCs w:val="16"/>
        </w:rPr>
      </w:pPr>
      <w:r w:rsidRPr="00F90EAE">
        <w:rPr>
          <w:color w:val="000000" w:themeColor="text1"/>
          <w:sz w:val="16"/>
          <w:szCs w:val="16"/>
        </w:rPr>
        <w:t>Наша авиация прикрывает наземные войска от нападений самолётов противника. Четыре истребителя майора Лебедева вступили в бой с четырьмя немецкими истребителями и сбили 3 самолёта противника. Два из них сбил майор Лебедев. Четвёрка истребителей старшего лейтенанта Коняева атаковала над Берлином 8 вражеских истребителей. Немцы уклонились от боя. Преследуя врага, советские лётчики сбили четыре самолёта противника. Группа истребителей подполковника Ерёмина, патрулируя над Берлином, встретила 18 вражеских самолётов. Вступив в бой, наши летчики сбили 4 немецких самолёта.</w:t>
      </w:r>
    </w:p>
    <w:p w14:paraId="1910CA15" w14:textId="77777777" w:rsidR="009B0E9A" w:rsidRPr="00F90EAE" w:rsidRDefault="009B0E9A" w:rsidP="00F90EAE">
      <w:pPr>
        <w:jc w:val="both"/>
        <w:rPr>
          <w:color w:val="000000" w:themeColor="text1"/>
          <w:sz w:val="16"/>
          <w:szCs w:val="16"/>
        </w:rPr>
      </w:pPr>
      <w:r w:rsidRPr="00F90EAE">
        <w:rPr>
          <w:color w:val="000000" w:themeColor="text1"/>
          <w:sz w:val="16"/>
          <w:szCs w:val="16"/>
        </w:rPr>
        <w:t>Юго-восточнее Берлина войска 1-го Белорусского и 1-го Украинского фронтов вели бои по ликвидации окружённой группы немецких войск. Крупные силы пехоты и танков противника предприняли отчаянную попытку пробиться на юго-запад. Наши войска отбили контратаки гитлеровцев и нанесли им удар во фланг. В результате ожесточённых боёв в лесу немецкие части, пытавшиеся вырваться из «котла», разгромлены. Места боёв усеяны тысячами трупов гитлеровцев. За два дня в этом районе сожжено и подбито более 120 немецких танков и самоходных орудий. Попытки немцев прорваться в западном направлении также не имели успеха. Наши войска всё теснее сжимают кольцо окружения и наносят противнику один удар за другим.» (15113).</w:t>
      </w:r>
    </w:p>
    <w:p w14:paraId="34253FC0" w14:textId="77777777" w:rsidR="009B0E9A" w:rsidRPr="00F90EAE" w:rsidRDefault="009B0E9A" w:rsidP="00F90EAE">
      <w:pPr>
        <w:jc w:val="both"/>
        <w:rPr>
          <w:color w:val="000000" w:themeColor="text1"/>
          <w:sz w:val="16"/>
          <w:szCs w:val="16"/>
        </w:rPr>
      </w:pPr>
    </w:p>
    <w:p w14:paraId="140B84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года 1 г мтап к северо-западу от маяка Риксхефт торпедировали немецкий танкер (3457,109).</w:t>
      </w:r>
    </w:p>
    <w:p w14:paraId="18E5894C" w14:textId="77777777" w:rsidR="00665165" w:rsidRPr="00F90EAE" w:rsidRDefault="00665165" w:rsidP="00F90EAE">
      <w:pPr>
        <w:autoSpaceDE w:val="0"/>
        <w:autoSpaceDN w:val="0"/>
        <w:adjustRightInd w:val="0"/>
        <w:jc w:val="both"/>
        <w:rPr>
          <w:color w:val="000000" w:themeColor="text1"/>
          <w:sz w:val="16"/>
          <w:szCs w:val="16"/>
        </w:rPr>
      </w:pPr>
    </w:p>
    <w:p w14:paraId="38D0E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наши авиачасти перебазировались на берлинские аэродромы Темпельхоф и Шенефельд (1217,238).</w:t>
      </w:r>
    </w:p>
    <w:p w14:paraId="4155959E" w14:textId="77777777" w:rsidR="00665165" w:rsidRPr="00F90EAE" w:rsidRDefault="00665165" w:rsidP="00F90EAE">
      <w:pPr>
        <w:autoSpaceDE w:val="0"/>
        <w:autoSpaceDN w:val="0"/>
        <w:adjustRightInd w:val="0"/>
        <w:jc w:val="both"/>
        <w:rPr>
          <w:color w:val="000000" w:themeColor="text1"/>
          <w:sz w:val="16"/>
          <w:szCs w:val="16"/>
        </w:rPr>
      </w:pPr>
    </w:p>
    <w:p w14:paraId="0B59B534" w14:textId="77777777" w:rsidR="00BF0005" w:rsidRPr="00F90EAE" w:rsidRDefault="00BF0005" w:rsidP="00F90EAE">
      <w:pPr>
        <w:jc w:val="both"/>
        <w:rPr>
          <w:color w:val="000000" w:themeColor="text1"/>
          <w:sz w:val="16"/>
          <w:szCs w:val="16"/>
        </w:rPr>
      </w:pPr>
      <w:r w:rsidRPr="00F90EAE">
        <w:rPr>
          <w:color w:val="000000" w:themeColor="text1"/>
          <w:sz w:val="16"/>
          <w:szCs w:val="16"/>
        </w:rPr>
        <w:t>28 апреля в 1945 году советские самолеты садятся на аэродроме Берлин-Темпльгоф после его захвата советскими войсками (15113).</w:t>
      </w:r>
    </w:p>
    <w:p w14:paraId="0B894776" w14:textId="77777777" w:rsidR="00BF0005" w:rsidRPr="00F90EAE" w:rsidRDefault="00BF0005" w:rsidP="00F90EAE">
      <w:pPr>
        <w:jc w:val="both"/>
        <w:rPr>
          <w:color w:val="000000" w:themeColor="text1"/>
          <w:sz w:val="16"/>
          <w:szCs w:val="16"/>
        </w:rPr>
      </w:pPr>
    </w:p>
    <w:p w14:paraId="2C873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3 чехословацкий шап выполнил задание, повлекшее тяжелые потери. Штурмовали артиллерийское позиции около деревни Ludgerovice. Повредили красную двойку, а у голубой 30 около Wodzislav зенитным огнем разбили двигатель. При посадке взорвался задний бензобак и п Jarolim Gusman погиб (последний Словак в войне), а стрелок был тяжело ранен. К концу дня осталось 15 боеспособных машин и раскисшее поле остановило дальнейшие полеты до 2 мая 1945 (241,40).</w:t>
      </w:r>
    </w:p>
    <w:p w14:paraId="5B365FDE" w14:textId="77777777" w:rsidR="00665165" w:rsidRPr="00F90EAE" w:rsidRDefault="00665165" w:rsidP="00F90EAE">
      <w:pPr>
        <w:autoSpaceDE w:val="0"/>
        <w:autoSpaceDN w:val="0"/>
        <w:adjustRightInd w:val="0"/>
        <w:jc w:val="both"/>
        <w:rPr>
          <w:color w:val="000000" w:themeColor="text1"/>
          <w:sz w:val="16"/>
          <w:szCs w:val="16"/>
        </w:rPr>
      </w:pPr>
    </w:p>
    <w:p w14:paraId="5008BE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года Кертисс Командо С-46А-60-СК (№43-47271), выпущенный заводом в Луисвилле в 1945 году поздней серии, с моторами R-2800-75, прибыл в Фэрбенкс и 15 мая прошел советскую военную приемку. В отличие от обычной практики эстафетного движения но трассе, "Коммандо" от Фэрбенкса до Москвы вел один и тот же экипаж старшего лейтенанта Матвеева (3457,140).</w:t>
      </w:r>
    </w:p>
    <w:p w14:paraId="7A7AB84A" w14:textId="77777777" w:rsidR="00665165" w:rsidRPr="00F90EAE" w:rsidRDefault="00665165" w:rsidP="00F90EAE">
      <w:pPr>
        <w:autoSpaceDE w:val="0"/>
        <w:autoSpaceDN w:val="0"/>
        <w:adjustRightInd w:val="0"/>
        <w:jc w:val="both"/>
        <w:rPr>
          <w:color w:val="000000" w:themeColor="text1"/>
          <w:sz w:val="16"/>
          <w:szCs w:val="16"/>
        </w:rPr>
      </w:pPr>
    </w:p>
    <w:p w14:paraId="50FCE0E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04DA942" w14:textId="77777777" w:rsidR="00665165" w:rsidRPr="00F90EAE" w:rsidRDefault="00665165" w:rsidP="00F90EAE">
      <w:pPr>
        <w:autoSpaceDE w:val="0"/>
        <w:autoSpaceDN w:val="0"/>
        <w:adjustRightInd w:val="0"/>
        <w:jc w:val="both"/>
        <w:rPr>
          <w:iCs/>
          <w:color w:val="000000" w:themeColor="text1"/>
          <w:sz w:val="16"/>
          <w:szCs w:val="16"/>
        </w:rPr>
      </w:pPr>
    </w:p>
    <w:p w14:paraId="0E63158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вышло Постановление ГКО № 8342 Об изменении режима затемнения на части территории Советского Союза. (7332, 113-114).</w:t>
      </w:r>
    </w:p>
    <w:p w14:paraId="0A3EB47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29EF95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7CFBDCB" w14:textId="77777777" w:rsidR="00665165" w:rsidRPr="00F90EAE" w:rsidRDefault="00665165" w:rsidP="00F90EAE">
      <w:pPr>
        <w:autoSpaceDE w:val="0"/>
        <w:autoSpaceDN w:val="0"/>
        <w:adjustRightInd w:val="0"/>
        <w:jc w:val="both"/>
        <w:rPr>
          <w:iCs/>
          <w:color w:val="000000" w:themeColor="text1"/>
          <w:sz w:val="16"/>
          <w:szCs w:val="16"/>
        </w:rPr>
      </w:pPr>
    </w:p>
    <w:p w14:paraId="07B0EA05" w14:textId="77777777" w:rsidR="00BF0005" w:rsidRPr="00F90EAE" w:rsidRDefault="00BF0005" w:rsidP="00F90EAE">
      <w:pPr>
        <w:jc w:val="both"/>
        <w:rPr>
          <w:color w:val="000000" w:themeColor="text1"/>
          <w:sz w:val="16"/>
          <w:szCs w:val="16"/>
        </w:rPr>
      </w:pPr>
      <w:r w:rsidRPr="00F90EAE">
        <w:rPr>
          <w:color w:val="000000" w:themeColor="text1"/>
          <w:sz w:val="16"/>
          <w:szCs w:val="16"/>
        </w:rPr>
        <w:t>28 апреля в 1946 году взлетел шведский опытный самолет «СААБ» «J-29». Кстати он явился первым серийным истребителем со стреловидным крылом европейской конструкции. В окончательном варианте на реактивный истребитель решили установить лицензионный двигатель «Гоуст» 45 («RМ-2»), котоый обеспечивал достаточный запас мощности. У этого двигателя был большой поперечный разрез, и поэтому фюзеляж конструкторы вынуждены были сделать коротким и объемным, что с точки зрения аэродинамики являлось недостатком. Но при этом имелись и плюсы в наличии такого объемного фюзеляжа - можно было без особых проблем разместить вооружение, состоявшее из четырех авиационных пушек «Бофорс» 20-миллиметрового калибра под входным воздухозаборником, а также топливных баков (все первые моторы, несмотря на то что имели небольшую мощность, были очень "прожорливыми) (15113).</w:t>
      </w:r>
    </w:p>
    <w:p w14:paraId="290E6A0E" w14:textId="77777777" w:rsidR="00BF0005" w:rsidRPr="00F90EAE" w:rsidRDefault="00BF0005" w:rsidP="00F90EAE">
      <w:pPr>
        <w:jc w:val="both"/>
        <w:rPr>
          <w:color w:val="000000" w:themeColor="text1"/>
          <w:sz w:val="16"/>
          <w:szCs w:val="16"/>
        </w:rPr>
      </w:pPr>
    </w:p>
    <w:p w14:paraId="2907635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после заявления Би-Би-Си о секретных переговорах Гиммлера с союзниками Гитлер приказал арестовать его (4962).</w:t>
      </w:r>
    </w:p>
    <w:p w14:paraId="1B79F82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1321FA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28th, 1945: The Canadian First Army (Crerar) captures Emden and Wilhelmshaven, while the US Seventh Army (Patch) occupies Augsburg, Regensburg and Ingolstadt. In the battle of Berlin, the Red Army reaches the Anhalt Station and is within half a mile of the Fuhrerbunker. Hitler marries his mistress, Eva Braun, and dictates his political testament in which he justifies the political and military actions of his 12-year-rule, blaming the war on international Jewry and exhorting the German people even after defeat to adhere to the principles of National Socialism, especially its racial laws; he appoints Grossadmiral Donitz as his successor. In the English Channel, German U-boats have sunk 8 Allied ships, 3 destroyers and 2 corvettes (3819).</w:t>
      </w:r>
    </w:p>
    <w:p w14:paraId="6AF50C94" w14:textId="77777777" w:rsidR="00665165" w:rsidRPr="00F90EAE" w:rsidRDefault="00665165" w:rsidP="00F90EAE">
      <w:pPr>
        <w:autoSpaceDE w:val="0"/>
        <w:autoSpaceDN w:val="0"/>
        <w:adjustRightInd w:val="0"/>
        <w:jc w:val="both"/>
        <w:rPr>
          <w:color w:val="000000" w:themeColor="text1"/>
          <w:sz w:val="16"/>
          <w:szCs w:val="16"/>
          <w:lang w:val="en-US"/>
        </w:rPr>
      </w:pPr>
    </w:p>
    <w:p w14:paraId="55F06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канадская 1А заняла Эмден и Вильхельмсхаффен. 7А США заняла Аусбург, Регенсбург и Инголштадт. Немецкие п/л потопили 8 судов союзников, 3 миноносца и 2 фрегата (3819).</w:t>
      </w:r>
    </w:p>
    <w:p w14:paraId="0357D568" w14:textId="77777777" w:rsidR="00665165" w:rsidRPr="00F90EAE" w:rsidRDefault="00665165" w:rsidP="00F90EAE">
      <w:pPr>
        <w:autoSpaceDE w:val="0"/>
        <w:autoSpaceDN w:val="0"/>
        <w:adjustRightInd w:val="0"/>
        <w:jc w:val="both"/>
        <w:rPr>
          <w:color w:val="000000" w:themeColor="text1"/>
          <w:sz w:val="16"/>
          <w:szCs w:val="16"/>
        </w:rPr>
      </w:pPr>
    </w:p>
    <w:p w14:paraId="5BA29F17" w14:textId="77777777" w:rsidR="00FC1867" w:rsidRPr="00F90EAE" w:rsidRDefault="00FC1867" w:rsidP="00F90EAE">
      <w:pPr>
        <w:jc w:val="both"/>
        <w:rPr>
          <w:color w:val="000000" w:themeColor="text1"/>
          <w:sz w:val="16"/>
          <w:szCs w:val="16"/>
        </w:rPr>
      </w:pPr>
      <w:r w:rsidRPr="00F90EAE">
        <w:rPr>
          <w:color w:val="000000" w:themeColor="text1"/>
          <w:sz w:val="16"/>
          <w:szCs w:val="16"/>
        </w:rPr>
        <w:t>28 апреля в 1945 году произошло антифашистское восстание в концлагере Дахау, 29 апреля лагерь был освобожден. Дахау - один из первых концентрационных лагерей на территории Германии. Основан в марте 1933 неподалеку от Мюнхена.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войны Дахау приобрел зловещую известность как один из самых страшных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Генрих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Фарбениндустри". За все время существования концлагеря Дахау через него прошли около 250 тысяч человек из 24 стран. Из них 70 тысяч погибли. Среди замученных - 12 тысяч советских военнопленных. В момент освобождения в лагере находились 30 тысяч узников. 28 апреля 1945 года, за день до прихода американских войск, действовавшая в Дахау подпольная организация заключенных во главе с интернациональным комитетом подняла восстание, сорвав фашистский план уничтожения оставшихся в живых заключенных. После окончания второй мировой войны комендант лагеря и члены охраны предстали перед Международным военным трибуналом в Нюрнберге. Осуществлявшие в лагере медицинские эксперименты врачи также предстали перед судом. При поддержке баварского правительства и Международного комитета бывших узников Дахау на территории лагеря был открыт мемориальный комплекс (15113).</w:t>
      </w:r>
    </w:p>
    <w:p w14:paraId="08BE2AEC" w14:textId="77777777" w:rsidR="00FC1867" w:rsidRPr="00F90EAE" w:rsidRDefault="00FC1867" w:rsidP="00F90EAE">
      <w:pPr>
        <w:jc w:val="both"/>
        <w:rPr>
          <w:color w:val="000000" w:themeColor="text1"/>
          <w:sz w:val="16"/>
          <w:szCs w:val="16"/>
        </w:rPr>
      </w:pPr>
    </w:p>
    <w:p w14:paraId="028152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голландское население страдало от голода и союзники сбрасывали продовольствие с самолетов в районе Гааги, Лейдена и Роттердама (2248,5).</w:t>
      </w:r>
    </w:p>
    <w:p w14:paraId="365970AE" w14:textId="77777777" w:rsidR="00665165" w:rsidRPr="00F90EAE" w:rsidRDefault="00665165" w:rsidP="00F90EAE">
      <w:pPr>
        <w:autoSpaceDE w:val="0"/>
        <w:autoSpaceDN w:val="0"/>
        <w:adjustRightInd w:val="0"/>
        <w:jc w:val="both"/>
        <w:rPr>
          <w:color w:val="000000" w:themeColor="text1"/>
          <w:sz w:val="16"/>
          <w:szCs w:val="16"/>
        </w:rPr>
      </w:pPr>
    </w:p>
    <w:p w14:paraId="2044829B" w14:textId="77777777" w:rsidR="00BF0005" w:rsidRPr="00F90EAE" w:rsidRDefault="00BF0005" w:rsidP="00F90EAE">
      <w:pPr>
        <w:jc w:val="both"/>
        <w:rPr>
          <w:color w:val="000000" w:themeColor="text1"/>
          <w:sz w:val="16"/>
          <w:szCs w:val="16"/>
        </w:rPr>
      </w:pPr>
      <w:r w:rsidRPr="00F90EAE">
        <w:rPr>
          <w:color w:val="000000" w:themeColor="text1"/>
          <w:sz w:val="16"/>
          <w:szCs w:val="16"/>
        </w:rPr>
        <w:t>28 апреля в 1945 году американо-английские войска заняли Аугсбург (15113).</w:t>
      </w:r>
    </w:p>
    <w:p w14:paraId="7F53320C" w14:textId="77777777" w:rsidR="00BF0005" w:rsidRPr="00F90EAE" w:rsidRDefault="00BF0005" w:rsidP="00F90EAE">
      <w:pPr>
        <w:jc w:val="both"/>
        <w:rPr>
          <w:color w:val="000000" w:themeColor="text1"/>
          <w:sz w:val="16"/>
          <w:szCs w:val="16"/>
        </w:rPr>
      </w:pPr>
    </w:p>
    <w:p w14:paraId="35B3E9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April 28 1945 Allies take Venice (1050).</w:t>
      </w:r>
    </w:p>
    <w:p w14:paraId="5223D9C9" w14:textId="77777777" w:rsidR="00665165" w:rsidRPr="00F90EAE" w:rsidRDefault="00665165" w:rsidP="00F90EAE">
      <w:pPr>
        <w:autoSpaceDE w:val="0"/>
        <w:autoSpaceDN w:val="0"/>
        <w:adjustRightInd w:val="0"/>
        <w:jc w:val="both"/>
        <w:rPr>
          <w:color w:val="000000" w:themeColor="text1"/>
          <w:sz w:val="16"/>
          <w:szCs w:val="16"/>
        </w:rPr>
      </w:pPr>
    </w:p>
    <w:p w14:paraId="4466D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союзники взяли Венецию (1050).</w:t>
      </w:r>
    </w:p>
    <w:p w14:paraId="3833543D" w14:textId="77777777" w:rsidR="00665165" w:rsidRPr="00F90EAE" w:rsidRDefault="00665165" w:rsidP="00F90EAE">
      <w:pPr>
        <w:autoSpaceDE w:val="0"/>
        <w:autoSpaceDN w:val="0"/>
        <w:adjustRightInd w:val="0"/>
        <w:jc w:val="both"/>
        <w:rPr>
          <w:color w:val="000000" w:themeColor="text1"/>
          <w:sz w:val="16"/>
          <w:szCs w:val="16"/>
        </w:rPr>
      </w:pPr>
    </w:p>
    <w:p w14:paraId="2433847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 Италии партизанами расстрелян один из основателей партии фашистов Роберто Фариначчи (4962).</w:t>
      </w:r>
    </w:p>
    <w:p w14:paraId="676DE76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53454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апреля 1945 в Италии повешены Бенито Муссолини и его любовница Клара Петаччи (4962).</w:t>
      </w:r>
    </w:p>
    <w:p w14:paraId="5B951C4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26B33F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28 1945 Mussolini is captured and killed by Italian partisans (1037).</w:t>
      </w:r>
    </w:p>
    <w:p w14:paraId="65B4CEC9" w14:textId="77777777" w:rsidR="00665165" w:rsidRPr="00F90EAE" w:rsidRDefault="00665165" w:rsidP="00F90EAE">
      <w:pPr>
        <w:autoSpaceDE w:val="0"/>
        <w:autoSpaceDN w:val="0"/>
        <w:adjustRightInd w:val="0"/>
        <w:jc w:val="both"/>
        <w:rPr>
          <w:color w:val="000000" w:themeColor="text1"/>
          <w:sz w:val="16"/>
          <w:szCs w:val="16"/>
          <w:lang w:val="en-US"/>
        </w:rPr>
      </w:pPr>
    </w:p>
    <w:p w14:paraId="646DE9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апреля 1945 итальянскими партизанами был захвачен и убит Б.Муссолини (1050).</w:t>
      </w:r>
    </w:p>
    <w:p w14:paraId="67998912" w14:textId="77777777" w:rsidR="00665165" w:rsidRPr="00F90EAE" w:rsidRDefault="00665165" w:rsidP="00F90EAE">
      <w:pPr>
        <w:autoSpaceDE w:val="0"/>
        <w:autoSpaceDN w:val="0"/>
        <w:adjustRightInd w:val="0"/>
        <w:jc w:val="both"/>
        <w:rPr>
          <w:color w:val="000000" w:themeColor="text1"/>
          <w:sz w:val="16"/>
          <w:szCs w:val="16"/>
        </w:rPr>
      </w:pPr>
    </w:p>
    <w:p w14:paraId="082C756C" w14:textId="77777777" w:rsidR="00BF0005" w:rsidRPr="00F90EAE" w:rsidRDefault="00BF0005" w:rsidP="00F90EAE">
      <w:pPr>
        <w:jc w:val="both"/>
        <w:rPr>
          <w:color w:val="000000" w:themeColor="text1"/>
          <w:sz w:val="16"/>
          <w:szCs w:val="16"/>
        </w:rPr>
      </w:pPr>
      <w:r w:rsidRPr="00F90EAE">
        <w:rPr>
          <w:color w:val="000000" w:themeColor="text1"/>
          <w:sz w:val="16"/>
          <w:szCs w:val="16"/>
        </w:rPr>
        <w:t>28 апреля в 1945 году казнен фашистский диктатор Италии в 1922-1943 годах Бенито Муссолини (родился в 1883 году). Политическую карьеру начал в социалистической партии, из которой был исключен. В 1919 году основал и возглавил фашистскую партию "Союз борьбы", главной целью которой провозгласил борьбу за интересы нации. В октябре 1922 года Муссолини со своими сторонниками, построенными в многотысячные колонны, осуществил известный поход на Рим, где парламент Италии большинством голосов передал ему власть. Несколько лет Муссолини не осмеливался открыто действовать только насилием, но в 1926 году он наконец уничтожил остатки оппозиции в стране. Им были изданы чрезвычайные законы, по которым все политические партии, кроме фашистской, запрещались и распускались, а их депутаты изгонялись из парламента. Тогда же Муссолини создал фашистский трибунал, осудивший с 1927 по 1937 год около 3 тысяч антифашистов. В сентябре 1938 года Муссолини был одним из организаторов Мюнхенского сговора, предопределившего захват Германией Чехословакии и способствовавшего развязыванию второй мировой войны. После начала военных действий США и Англии в июле 1943 года на Сицилии, а затем и в самой Италии, в сентябре 1943 года Муссолини был арестован, но вскоре по личному распоряжению Гитлера был освобожден немецкими парашютистами и отправлен под охраной на север Италии. 17 сентября 1943 года была провозглашена Итальянская Социальная Республика во главе с Муссолини. Новое фашистское правительство расположилось в городишке Сало на озере Гарда, который дал название режиму. Власть «режима Сало» распространялась только на Северную Италию, оккупированную немецкими войсками. Настоящими хозяевами страны стали эсесовцы, контролировавшие все государственные учреждения, правительство и даже самого Муссолини. Эсесовцы и фанатики из «черных бригад» развернули террор, какого фашистская Италия еще не знала. Начались массовые расстрелы тысяч заложников и «дезертиров», отказавшихся вступать в армию «Сало». Десятки тысячи людей были насильственно депортированы в Германию на каторжные работы. Но террор уже не мог остановить народное сопротивление. На юге Италии высадились англо-американские войска и продвигались на севере. Кольцо сжималось. 25 апреля 1945 года дуче решил бежать из Милана. Вместе с любовницей Кларой Печаччи и несколькими министрами он присоединился к колонне немецких войск. 27 апреля в городишке Донго колонна была задержана партизанами из 52-й бригады имени Гарибальди. Во время обыска одного из грузовиков немецкой части Муссолини был обнаружен. На следующий день в обстановке полной секретности он был вывезен в деревню Джулио ди Медзетро, где был расстрелян. Вместе с дуче погибла и его подруга Клара Печаччи (15113).</w:t>
      </w:r>
    </w:p>
    <w:p w14:paraId="2CA169B5" w14:textId="77777777" w:rsidR="00BF0005" w:rsidRPr="00F90EAE" w:rsidRDefault="00BF0005" w:rsidP="00F90EAE">
      <w:pPr>
        <w:jc w:val="both"/>
        <w:rPr>
          <w:color w:val="000000" w:themeColor="text1"/>
          <w:sz w:val="16"/>
          <w:szCs w:val="16"/>
        </w:rPr>
      </w:pPr>
    </w:p>
    <w:p w14:paraId="47610471" w14:textId="77777777" w:rsidR="00902F85" w:rsidRPr="00F90EAE" w:rsidRDefault="00902F85" w:rsidP="00F90EAE">
      <w:pPr>
        <w:autoSpaceDE w:val="0"/>
        <w:autoSpaceDN w:val="0"/>
        <w:adjustRightInd w:val="0"/>
        <w:jc w:val="both"/>
        <w:rPr>
          <w:iCs/>
          <w:color w:val="000000" w:themeColor="text1"/>
          <w:sz w:val="16"/>
          <w:szCs w:val="16"/>
        </w:rPr>
      </w:pPr>
      <w:r w:rsidRPr="00F90EAE">
        <w:rPr>
          <w:color w:val="000000" w:themeColor="text1"/>
          <w:sz w:val="16"/>
          <w:szCs w:val="16"/>
        </w:rPr>
        <w:t>28 апреля 1945 г. Муссолини и его подруга Кларетта были расстреляны без объяснений и суда на вилле у озера Комо (17459).</w:t>
      </w:r>
    </w:p>
    <w:p w14:paraId="6FF44C06" w14:textId="77777777" w:rsidR="00902F85" w:rsidRPr="00F90EAE" w:rsidRDefault="00902F85" w:rsidP="00F90EAE">
      <w:pPr>
        <w:autoSpaceDE w:val="0"/>
        <w:autoSpaceDN w:val="0"/>
        <w:adjustRightInd w:val="0"/>
        <w:jc w:val="both"/>
        <w:rPr>
          <w:iCs/>
          <w:color w:val="000000" w:themeColor="text1"/>
          <w:sz w:val="16"/>
          <w:szCs w:val="16"/>
        </w:rPr>
      </w:pPr>
    </w:p>
    <w:p w14:paraId="0A156E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3383DCD" w14:textId="77777777" w:rsidR="00665165" w:rsidRPr="00F90EAE" w:rsidRDefault="00665165" w:rsidP="00F90EAE">
      <w:pPr>
        <w:autoSpaceDE w:val="0"/>
        <w:autoSpaceDN w:val="0"/>
        <w:adjustRightInd w:val="0"/>
        <w:jc w:val="both"/>
        <w:rPr>
          <w:iCs/>
          <w:color w:val="000000" w:themeColor="text1"/>
          <w:sz w:val="16"/>
          <w:szCs w:val="16"/>
        </w:rPr>
      </w:pPr>
    </w:p>
    <w:p w14:paraId="4FA7D5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29 апреля по 9 июня 1945 проходили заводские испытания на ЦА Як-3У с АШ-82ФН, построенного с 20 января по 23 апреля 1945 сначала в Новосибирске, а затем в Москве. Первый вылет был 12 мая (летал П.Я.Федрови). 25 сентября доделали, но запускать не стали, так как пошел Як-11 (65,198) или Як-У, с АШ-21 и ВИШ-IIIВ-20, созданный год спустя (2608,4).</w:t>
      </w:r>
    </w:p>
    <w:p w14:paraId="74A3B186" w14:textId="77777777" w:rsidR="00665165" w:rsidRPr="00F90EAE" w:rsidRDefault="00665165" w:rsidP="00F90EAE">
      <w:pPr>
        <w:autoSpaceDE w:val="0"/>
        <w:autoSpaceDN w:val="0"/>
        <w:adjustRightInd w:val="0"/>
        <w:jc w:val="both"/>
        <w:rPr>
          <w:color w:val="000000" w:themeColor="text1"/>
          <w:sz w:val="16"/>
          <w:szCs w:val="16"/>
        </w:rPr>
      </w:pPr>
    </w:p>
    <w:p w14:paraId="46DE4E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года, на Центральном аэродроме в Москве начались заводские испытания последней модификации истребителя - Як-ЗУ с поршневым звездообразным мотором АШ-82ФН, с винтом ВИШ-Ю5В4 диаметром 3,1 метра и маслорадиатором типа 555. Это была попытка уйти не только от двигателя ВК- 107А, но и создать машину, превосходившую Ла-7.</w:t>
      </w:r>
    </w:p>
    <w:p w14:paraId="5986A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Истребитель разрабатывался в соответствии с постановлением ГКО от 23 апреля 1945 года. Ведущий конструктор - В.В. Барсуков.</w:t>
      </w:r>
    </w:p>
    <w:p w14:paraId="1EC05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самолете деревянную обшивку фюзеляжа заменили металлической. Крыло предполагалось металлическим, но на опытной машине осталось прежнее - смешанной конструкции, но увеличенного размаха (из-за большей ширины фюзеляжа) до 9,4 метра (площадь - 15,35 м2). Это утяжелило машину на 35 кг.</w:t>
      </w:r>
    </w:p>
    <w:p w14:paraId="546545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требуемой центровки и увеличения противокапотажного угла несущую поверхность сместили вперед на 219 мм (вместо 200 мм по проекту), а кабину пилота подняли на 84 мм для улучшения обзора. Но это помогло незначительно, и противокапотажный угол получился меньше, чем на серийном Як-3, что делало машину опасной на рулежке.</w:t>
      </w:r>
    </w:p>
    <w:p w14:paraId="4C27E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Ножное и ручное управление самолетом по сравнению с серийным Як-3 смонтировали на фюзеляже, что было значительно удобнее при изготовлении его поточным методом и его расстыковке. Пол кабины был сделан легкосъемным для крепления педалей.</w:t>
      </w:r>
    </w:p>
    <w:p w14:paraId="32EC1A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установили мягкие (вместо металлических) баки, вмещавшие 340 кг горючего.</w:t>
      </w:r>
    </w:p>
    <w:p w14:paraId="26C6D6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предотвращения отсоса посадочных щитков и щитков шасси, а также самопроизвольного выпадания костыльного колеса их снабдили дополнительными замками.</w:t>
      </w:r>
    </w:p>
    <w:p w14:paraId="350E8D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Расчеты показали, что при полетном весе 2792 кг максимальная скорость на высоте 6100 метров достигнет 705 км/ч, а время набора высоты 5000 метров - 4 минуты (12047).</w:t>
      </w:r>
    </w:p>
    <w:p w14:paraId="0A5F428E" w14:textId="77777777" w:rsidR="00665165" w:rsidRPr="00F90EAE" w:rsidRDefault="00665165" w:rsidP="00F90EAE">
      <w:pPr>
        <w:autoSpaceDE w:val="0"/>
        <w:autoSpaceDN w:val="0"/>
        <w:adjustRightInd w:val="0"/>
        <w:jc w:val="both"/>
        <w:rPr>
          <w:color w:val="000000" w:themeColor="text1"/>
          <w:sz w:val="16"/>
          <w:szCs w:val="16"/>
        </w:rPr>
      </w:pPr>
    </w:p>
    <w:p w14:paraId="03890759" w14:textId="77777777" w:rsidR="00DB35FE" w:rsidRPr="00F90EAE" w:rsidRDefault="00DB35FE" w:rsidP="00F90EAE">
      <w:pPr>
        <w:jc w:val="both"/>
        <w:rPr>
          <w:color w:val="000000" w:themeColor="text1"/>
          <w:sz w:val="16"/>
          <w:szCs w:val="16"/>
        </w:rPr>
      </w:pPr>
      <w:r w:rsidRPr="00F90EAE">
        <w:rPr>
          <w:color w:val="000000" w:themeColor="text1"/>
          <w:sz w:val="16"/>
          <w:szCs w:val="16"/>
        </w:rPr>
        <w:t>29 апреля в 1945 году на Центральном аэродроме Москвы начались заводские испытания модификации истребителя «Як-3» со звездообразным мотором «АШ-82ФН». Во время испытаний летчик П.Я.Федрови достиг скорости 682 км/ч на высоте 6000 м. Время набора высоты 5000 м не превышало 3,9 минуты. Однако, несмотря на столь высокие характеристики, самолет так и остался невостребованным (15114).</w:t>
      </w:r>
    </w:p>
    <w:p w14:paraId="3AEB98EE" w14:textId="77777777" w:rsidR="00DB35FE" w:rsidRPr="00F90EAE" w:rsidRDefault="00DB35FE" w:rsidP="00F90EAE">
      <w:pPr>
        <w:jc w:val="both"/>
        <w:rPr>
          <w:color w:val="000000" w:themeColor="text1"/>
          <w:sz w:val="16"/>
          <w:szCs w:val="16"/>
        </w:rPr>
      </w:pPr>
    </w:p>
    <w:p w14:paraId="7B56B3C1" w14:textId="77777777" w:rsidR="00A278CB" w:rsidRPr="00F90EAE" w:rsidRDefault="00A278CB" w:rsidP="00F90EAE">
      <w:pPr>
        <w:shd w:val="clear" w:color="auto" w:fill="FFFFFF"/>
        <w:jc w:val="both"/>
        <w:rPr>
          <w:color w:val="000000" w:themeColor="text1"/>
          <w:sz w:val="16"/>
          <w:szCs w:val="16"/>
        </w:rPr>
      </w:pPr>
      <w:r w:rsidRPr="00F90EAE">
        <w:rPr>
          <w:color w:val="000000" w:themeColor="text1"/>
          <w:sz w:val="16"/>
          <w:szCs w:val="16"/>
        </w:rPr>
        <w:t>29 апреля 1945 г. началась установка РД-1ХЗ на Ла-7Р-2. Двигатель РД-1ХЗ оказался не надежнее своего пред шественника. 12 мая 1945 г. при наземных огневых испытани ях на Ла-7Р-2 разорвалась камера сгорания РД-1ХЗ.</w:t>
      </w:r>
    </w:p>
    <w:p w14:paraId="483AF663" w14:textId="77777777" w:rsidR="00A278CB" w:rsidRPr="00F90EAE" w:rsidRDefault="00A278CB" w:rsidP="00F90EAE">
      <w:pPr>
        <w:shd w:val="clear" w:color="auto" w:fill="FFFFFF"/>
        <w:jc w:val="both"/>
        <w:rPr>
          <w:color w:val="000000" w:themeColor="text1"/>
          <w:sz w:val="16"/>
          <w:szCs w:val="16"/>
        </w:rPr>
      </w:pPr>
      <w:r w:rsidRPr="00F90EAE">
        <w:rPr>
          <w:color w:val="000000" w:themeColor="text1"/>
          <w:sz w:val="16"/>
          <w:szCs w:val="16"/>
        </w:rPr>
        <w:t>Лабораторные исследования показали, что причиной взры вов явились гидравлические удары в камере сгорания, возни кавшие вследствие резкого повышения давления в рубашках камеры сгорания в момент открытия топливных клапанов. Гидравлический удар сбивал факел зажигания, происходило накопление компонентов внутри камеры сгорания, зажигание которых приводило к взрыву (19586).</w:t>
      </w:r>
    </w:p>
    <w:p w14:paraId="190B16CC" w14:textId="77777777" w:rsidR="00A278CB" w:rsidRPr="00F90EAE" w:rsidRDefault="00A278CB" w:rsidP="00F90EAE">
      <w:pPr>
        <w:shd w:val="clear" w:color="auto" w:fill="FFFFFF"/>
        <w:jc w:val="both"/>
        <w:rPr>
          <w:color w:val="000000" w:themeColor="text1"/>
          <w:sz w:val="16"/>
          <w:szCs w:val="16"/>
        </w:rPr>
      </w:pPr>
    </w:p>
    <w:p w14:paraId="59765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в ходе контрольного полета после планового ремонта потерпел катастрофу Ер-2 М-105 N 1850405, построенный (сданный) в июне 1941 с экипажем П.К.Маслюженко. Машину в 1943 передали на завод 26 для перевозки грузов и испытания силовых установок. Машина имела свидетельство для гражданской эксплуатации и номер Н-586 (2865,9).</w:t>
      </w:r>
    </w:p>
    <w:p w14:paraId="2C671C7F" w14:textId="77777777" w:rsidR="00665165" w:rsidRPr="00F90EAE" w:rsidRDefault="00665165" w:rsidP="00F90EAE">
      <w:pPr>
        <w:autoSpaceDE w:val="0"/>
        <w:autoSpaceDN w:val="0"/>
        <w:adjustRightInd w:val="0"/>
        <w:jc w:val="both"/>
        <w:rPr>
          <w:color w:val="000000" w:themeColor="text1"/>
          <w:sz w:val="16"/>
          <w:szCs w:val="16"/>
        </w:rPr>
      </w:pPr>
    </w:p>
    <w:p w14:paraId="0ABD08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 в ходе контрольного полет после планового ремонта при пробе двигателей ВК-105ПФ2, стоявших на машине, все работало нормально. Однако вскоре после взлета на высоте 60 - 80 м левый мотор стал давать перебои, и из него вырвались языки пламени. Ер-2 развернулся в сторону сдавшего двигателя и, планируя под углом около 20°, ударился о землю левой консолью крыла. Пожар почти полностью уничтожил машину вместе с экипажем летчика П.К. Маслюженко (11994).</w:t>
      </w:r>
    </w:p>
    <w:p w14:paraId="110D6A29" w14:textId="77777777" w:rsidR="00665165" w:rsidRPr="00F90EAE" w:rsidRDefault="00665165" w:rsidP="00F90EAE">
      <w:pPr>
        <w:autoSpaceDE w:val="0"/>
        <w:autoSpaceDN w:val="0"/>
        <w:adjustRightInd w:val="0"/>
        <w:jc w:val="both"/>
        <w:rPr>
          <w:color w:val="000000" w:themeColor="text1"/>
          <w:sz w:val="16"/>
          <w:szCs w:val="16"/>
        </w:rPr>
      </w:pPr>
    </w:p>
    <w:p w14:paraId="4AAE61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А.В.Чесаловым был утвержден отчет о заводских испытаниях Ли-2 с АШ-82ФН, которые проходили в ЛИИ в марте-апреле 1945. Машина была сделана еще в 1943.</w:t>
      </w:r>
    </w:p>
    <w:p w14:paraId="1EDED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Г.И.Поярков, вл С.Ф.Машковский, облетывал А.Н.Гринчик (3404, 13).</w:t>
      </w:r>
    </w:p>
    <w:p w14:paraId="6573F013" w14:textId="77777777" w:rsidR="00665165" w:rsidRPr="00F90EAE" w:rsidRDefault="00665165" w:rsidP="00F90EAE">
      <w:pPr>
        <w:autoSpaceDE w:val="0"/>
        <w:autoSpaceDN w:val="0"/>
        <w:adjustRightInd w:val="0"/>
        <w:jc w:val="both"/>
        <w:rPr>
          <w:color w:val="000000" w:themeColor="text1"/>
          <w:sz w:val="16"/>
          <w:szCs w:val="16"/>
        </w:rPr>
      </w:pPr>
    </w:p>
    <w:p w14:paraId="2BCDFA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вышел приказ НКБ, которым ГЦКБ-1 (организованное в соответствиии с постановлением ГОКО от 19 апреля 1945) разместили в корпусе № 5 на территории завода № 67, но всоре перевели на ул. Верхнюю на те. Завода № 775 (8633,10).</w:t>
      </w:r>
    </w:p>
    <w:p w14:paraId="18183B50" w14:textId="77777777" w:rsidR="00665165" w:rsidRPr="00F90EAE" w:rsidRDefault="00665165" w:rsidP="00F90EAE">
      <w:pPr>
        <w:autoSpaceDE w:val="0"/>
        <w:autoSpaceDN w:val="0"/>
        <w:adjustRightInd w:val="0"/>
        <w:jc w:val="both"/>
        <w:rPr>
          <w:color w:val="000000" w:themeColor="text1"/>
          <w:sz w:val="16"/>
          <w:szCs w:val="16"/>
        </w:rPr>
      </w:pPr>
    </w:p>
    <w:p w14:paraId="74A83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было полностью демонтировано и погружено для отправки в СССР на завод 287 в Ленинграде оборудование и немецкого завода фирмы Шмидт в г. Мариенвердер (1874,14).</w:t>
      </w:r>
    </w:p>
    <w:p w14:paraId="74555A32" w14:textId="77777777" w:rsidR="00665165" w:rsidRPr="00F90EAE" w:rsidRDefault="00665165" w:rsidP="00F90EAE">
      <w:pPr>
        <w:autoSpaceDE w:val="0"/>
        <w:autoSpaceDN w:val="0"/>
        <w:adjustRightInd w:val="0"/>
        <w:jc w:val="both"/>
        <w:rPr>
          <w:color w:val="000000" w:themeColor="text1"/>
          <w:sz w:val="16"/>
          <w:szCs w:val="16"/>
        </w:rPr>
      </w:pPr>
    </w:p>
    <w:p w14:paraId="09721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года вышел приказ № 165 НКАП</w:t>
      </w:r>
    </w:p>
    <w:p w14:paraId="787209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развитие приказа НКАП № 111с от 22 марта 1945 года об организации на заводе № 87 ремонта электротеплоизмерительных приборов:</w:t>
      </w:r>
    </w:p>
    <w:p w14:paraId="49D19E19"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Организовать при заводе № 87 производство ремонта электротеплоизмерительных приборов.</w:t>
      </w:r>
    </w:p>
    <w:p w14:paraId="09AAFA6E"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Директору завода № 87 Литинецкому выделить под производство электротеплоизмерительных приборов помещение по ул. Оболенского, 16 (8964).</w:t>
      </w:r>
    </w:p>
    <w:p w14:paraId="7F55FD2A"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20DE1E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 Центральная балансовая комиссия Главного управления ГВФ оформила списание ПС-30 своим протоколом. Но на самом деле лодка еще довольно долго находилась в Хабаровске, и ДВУ отчитывалось за нее как за числящуюся в штате, но неисправную (8943).</w:t>
      </w:r>
    </w:p>
    <w:p w14:paraId="044DCA1F" w14:textId="77777777" w:rsidR="00665165" w:rsidRPr="00F90EAE" w:rsidRDefault="00665165" w:rsidP="00F90EAE">
      <w:pPr>
        <w:autoSpaceDE w:val="0"/>
        <w:autoSpaceDN w:val="0"/>
        <w:adjustRightInd w:val="0"/>
        <w:jc w:val="both"/>
        <w:rPr>
          <w:color w:val="000000" w:themeColor="text1"/>
          <w:sz w:val="16"/>
          <w:szCs w:val="16"/>
        </w:rPr>
      </w:pPr>
    </w:p>
    <w:p w14:paraId="374FC71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A9600FF" w14:textId="77777777" w:rsidR="00665165" w:rsidRPr="00F90EAE" w:rsidRDefault="00665165" w:rsidP="00F90EAE">
      <w:pPr>
        <w:autoSpaceDE w:val="0"/>
        <w:autoSpaceDN w:val="0"/>
        <w:adjustRightInd w:val="0"/>
        <w:jc w:val="both"/>
        <w:rPr>
          <w:iCs/>
          <w:color w:val="000000" w:themeColor="text1"/>
          <w:sz w:val="16"/>
          <w:szCs w:val="16"/>
        </w:rPr>
      </w:pPr>
    </w:p>
    <w:p w14:paraId="37B0F43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года вышел приказ № 164с НКБ Москва</w:t>
      </w:r>
    </w:p>
    <w:p w14:paraId="1A963A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ГОКО № 8244с от 22 апреля 1945 года:</w:t>
      </w:r>
    </w:p>
    <w:p w14:paraId="10589DE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Организовать в Ленинграде на площадях опытного завода № 323 НКБ ГНИИ по созданию новых типов трубок, взрывателей и средств воспламенения ко всем видам боеприпасов, включив в его состав: Союзное ГЦКБ № 22 НКБ, КБ механических трубок и взрывателей завода № 42 НКБ, Государственный союзный институт № 44 НКБ и опытный завод № 323 НКБ.</w:t>
      </w:r>
    </w:p>
    <w:p w14:paraId="32ADC18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Присвоить № 22 вновь организуемому ГНИИ НКБ № 22, подчинив его 2 Гл. Управлению (5762, 23).</w:t>
      </w:r>
    </w:p>
    <w:p w14:paraId="4EE6AE3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2B546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года была подготовлена справка:</w:t>
      </w:r>
    </w:p>
    <w:p w14:paraId="7F53C9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Ленинградский комбинат № 757 НКХП возобновил изготовление пресспорошков, бакелитового лака и пластмасс (8972).</w:t>
      </w:r>
    </w:p>
    <w:p w14:paraId="4C768568" w14:textId="77777777" w:rsidR="00665165" w:rsidRPr="00F90EAE" w:rsidRDefault="00665165" w:rsidP="00F90EAE">
      <w:pPr>
        <w:autoSpaceDE w:val="0"/>
        <w:autoSpaceDN w:val="0"/>
        <w:adjustRightInd w:val="0"/>
        <w:jc w:val="both"/>
        <w:rPr>
          <w:color w:val="000000" w:themeColor="text1"/>
          <w:sz w:val="16"/>
          <w:szCs w:val="16"/>
        </w:rPr>
      </w:pPr>
    </w:p>
    <w:p w14:paraId="79E8B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года согласно приказа НКБ № 164с и на основании постановления ГКО от 22 апреля 1945 года № 8244с и на площадях завода № 323 был организован ГНИИ, в состав которого вошли ЦКБ-22, КБ завода № 42, Государственный специальный институт № 44 и опытный завод № 323.</w:t>
      </w:r>
    </w:p>
    <w:p w14:paraId="70DC2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ГНИИ был присвоен № 22 (ГНИИ-22).</w:t>
      </w:r>
    </w:p>
    <w:p w14:paraId="4929C3FE" w14:textId="77777777" w:rsidR="00665165" w:rsidRPr="00F90EAE" w:rsidRDefault="00665165" w:rsidP="00F90EAE">
      <w:pPr>
        <w:autoSpaceDE w:val="0"/>
        <w:autoSpaceDN w:val="0"/>
        <w:adjustRightInd w:val="0"/>
        <w:jc w:val="both"/>
        <w:rPr>
          <w:color w:val="000000" w:themeColor="text1"/>
          <w:sz w:val="16"/>
          <w:szCs w:val="16"/>
        </w:rPr>
      </w:pPr>
    </w:p>
    <w:p w14:paraId="6250D0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СНК от 15 ноября 1945 года № 28930848сс и приказом НКБ от 22 ноября 1945 года № 409сс на базе заводов № 504 и № 604 был организован ГНИИ-604.</w:t>
      </w:r>
    </w:p>
    <w:p w14:paraId="51632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СНК от 7 января 1946 года № 23с на базе гл управлений ликвидированного НКБ было организовано Гл. управление боеприпасов НК с/х машиностроения (10118).</w:t>
      </w:r>
    </w:p>
    <w:p w14:paraId="64A79EE6" w14:textId="77777777" w:rsidR="00665165" w:rsidRPr="00F90EAE" w:rsidRDefault="00665165" w:rsidP="00F90EAE">
      <w:pPr>
        <w:autoSpaceDE w:val="0"/>
        <w:autoSpaceDN w:val="0"/>
        <w:adjustRightInd w:val="0"/>
        <w:jc w:val="both"/>
        <w:rPr>
          <w:color w:val="000000" w:themeColor="text1"/>
          <w:sz w:val="16"/>
          <w:szCs w:val="16"/>
        </w:rPr>
      </w:pPr>
    </w:p>
    <w:p w14:paraId="0D87D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29 апреля 1945 г. пр. НКБ и 19 апреля 1945 г. в соответствии с пост. ГКО № 8206 и от создано ГЦКБ-1 по созданию пороховых </w:t>
      </w:r>
      <w:r w:rsidRPr="00F90EAE">
        <w:rPr>
          <w:color w:val="000000" w:themeColor="text1"/>
          <w:sz w:val="16"/>
          <w:szCs w:val="16"/>
          <w:lang w:val="en-US"/>
        </w:rPr>
        <w:t>PC</w:t>
      </w:r>
      <w:r w:rsidRPr="00F90EAE">
        <w:rPr>
          <w:color w:val="000000" w:themeColor="text1"/>
          <w:sz w:val="16"/>
          <w:szCs w:val="16"/>
        </w:rPr>
        <w:t xml:space="preserve"> с опытным заводом. С 1946 г. - в ведении МСХМ. В соответствии с ПСМ № 1017-419сс/оп от 13.05.1946 г. и приказом МСХМ № 114 от 15.05.1946 г. на базе ГЦКБ-1 был создан НИИ ПРС, в состав которого вошел также завод пусковых установок (бывший завод автомобильных полуприцепов; вероятно, это завод № 775) и часть коллектива СТБ-1 (другая часть переведена в ГСПИ-4). Приказом МСХМ № 118 от 18.05.1946 г. НИИ ПРС переименован в НИИ-1 МСХМ.</w:t>
      </w:r>
    </w:p>
    <w:p w14:paraId="2EC39F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Вначале ГЦКБ-1 было размещено на площадке завода № 67, но из-за стесненности оно было перебазировано (возможно, на площадку своего опытного завода № 775). 9.10.1946 г. институт перебазирован в Ново-Владыкино на площаду бывшего Филиала № 2 НИИ-1 МАП и завода ПУ. На территории имелось три небольших здания (бывшей канатной фабрики, построенной в 1902 г.). Начато строительство новых цехов, был возведен стенд для огневых испытаний, сформированы отделы (один из первых - отдел по найму и увольнению, ОНУ) и службы, опытное производство было оснащено станками, вывезенными из Германии. Несколько цехов было размещено в корпусах бывших коровников учхоза «Отрадное». В 1946 г. институт имел 60 станков. В числе первых специалистов НИИ-1 были работавшие еще в ГЦКБ-1 Н.А. Жуков, Г.П. Герасимов, Н.П. Мазуров, Н.И. Александров, Н.М. Лобанов, М.А. Ляпунов, А.А. Голицын, С.П. Стрелков, Г.В. Яковлевский и др. Приказом МСХМ № 126 от 1.04.1947 г. было утверждено положение о институте. Были организованы отделы: конструкторские, расчетно-теоретические, технологические; бюро информации; группа расчетов (6 чел.).</w:t>
      </w:r>
    </w:p>
    <w:p w14:paraId="21BC6565" w14:textId="77777777" w:rsidR="00BF0005" w:rsidRPr="00F90EAE" w:rsidRDefault="00BF000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xml:space="preserve">(Государственное ЦКБ № 1 (ГЦКБ-1) НКБ, НКСХМ, МСХМ, НИИ пороховых реактивных снарядов (НИИ ПРС) МСХМ, НИИ-1 МСХМ, ММ, МОП, </w:t>
      </w:r>
      <w:r w:rsidRPr="00F90EAE">
        <w:rPr>
          <w:color w:val="000000" w:themeColor="text1"/>
          <w:sz w:val="16"/>
          <w:szCs w:val="16"/>
          <w:lang w:val="en-US"/>
        </w:rPr>
        <w:t>MOM</w:t>
      </w:r>
      <w:r w:rsidRPr="00F90EAE">
        <w:rPr>
          <w:color w:val="000000" w:themeColor="text1"/>
          <w:sz w:val="16"/>
          <w:szCs w:val="16"/>
        </w:rPr>
        <w:t>, ГКОТ, п/я-2227, ГП «Московский институт теплотехники» (МИТ) МОП, А-1923, ФГУП «МИТ» РКА, РАКА, ФКА /г. Москва ул. Верхняя, 34; г. Москва, 40 Ленинградское ш, 9А (1945 г.); г. Москва, 106 Щербаковский р-н (1946 г.); Ново-Владыкино /127276 г. Москва Березовая аллея, 10/1 тел. 907-15-00/)</w:t>
      </w:r>
    </w:p>
    <w:p w14:paraId="538A94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1947-51 г. НИИ-1- в подчинении МСХМ, затем ММ (1952-53 г.), 6ГУ МОП (с 1954 г.), ГКОТ (-1959-60 г.-). По приказу МОП № 110 от 6.03.1966 г. НИИ-1 с 2.01.1967 г. переименован в ГП «МИТ» МОП. Имел наименования «п/я 2227» (-1952-67 г.), «</w:t>
      </w:r>
      <w:r w:rsidRPr="00F90EAE">
        <w:rPr>
          <w:color w:val="000000" w:themeColor="text1"/>
          <w:sz w:val="16"/>
          <w:szCs w:val="16"/>
          <w:lang w:val="en-US"/>
        </w:rPr>
        <w:t>ri</w:t>
      </w:r>
      <w:r w:rsidRPr="00F90EAE">
        <w:rPr>
          <w:color w:val="000000" w:themeColor="text1"/>
          <w:sz w:val="16"/>
          <w:szCs w:val="16"/>
        </w:rPr>
        <w:t>/я А-1923» (01.1967 г.-).</w:t>
      </w:r>
    </w:p>
    <w:p w14:paraId="066477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измерений характеристик создаваемых НУРС в институте было организовано приборное направление: в 1946 г. создан конструкторский отдел № 11 (в 1958 г. преобразован в отдел А-2, с 1962 г.- № 22, с 1974 г. и на 2005 г.- отдел № 96). В состав отдела вошли: КБ, лаборатории разработки и исследования характеристик приборов, проведения испытаний и макетная мастерская.</w:t>
      </w:r>
    </w:p>
    <w:p w14:paraId="575465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Первыми работами института стали: разработка для СВ дальнобойного реактивного порохового снаряда ДРСП-1; осколочного </w:t>
      </w:r>
      <w:r w:rsidRPr="00F90EAE">
        <w:rPr>
          <w:color w:val="000000" w:themeColor="text1"/>
          <w:sz w:val="16"/>
          <w:szCs w:val="16"/>
          <w:lang w:val="en-US"/>
        </w:rPr>
        <w:t>PC</w:t>
      </w:r>
      <w:r w:rsidRPr="00F90EAE">
        <w:rPr>
          <w:color w:val="000000" w:themeColor="text1"/>
          <w:sz w:val="16"/>
          <w:szCs w:val="16"/>
        </w:rPr>
        <w:t xml:space="preserve"> калибра 100 мм; мощного фугасного снаряда; НИР по созданию сверхдальнобойной пороховой ракеты типа ФАУ-2.</w:t>
      </w:r>
    </w:p>
    <w:p w14:paraId="5BCAFA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 правительства № 1401-370 от 7.05.1947 г. институт определен головным по разработке РСЗО БМД-20 на базе ДРСП-1. Приказом МСХМ № 104 от 30.06.1947 г. утвержден план работ по ДРСП-1 («Шторм», «объект 0- 43»). В соответствии с пост, правительства № 5766-2166 от 27.12.1949 г. начата разработка фугасного снаряда МД-20Ф и осколочно-фугасного ТРС-140 (М-140Ф). Пост. № 4964-1935 на вооружение принят снаряд М-140Ф, а пост. № 4965-1936 от 22.11.1952 г. - МД-20. Кроме того, в соответствии с ПСМ № 2469-1022 от 19.09.1953 г. были разработаны М-14С «Белка», оснащенный БЧ с ОВ, и М-14Д «Куница» для постановки дымовых завес.</w:t>
      </w:r>
    </w:p>
    <w:p w14:paraId="150158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1173-440 от 4.04.1948 г. начата разработка РСЗО БМ-24 с ТРС М-31А (М-24Ф). В 1950 г. создана экспериментальная боевая машина для РСЗО М-24 (Ю.Н. Хажинский). Пост. № 875-441 от 22.03.1951 г. БМ-24 со снарядом М-24Ф пнв. В соответствии с пост. № 2469-1022 от 19.09.1953 г. разрабатывался вариант с увеличенной дальностью М-24ФУД (0-44ФУД «Сурок»), в 1955 г. он пнв. Позже был разработан МС-24 «Ласка». Дальнейшим развитием стал снаряд МД-24Ф, созданный в соответствии с ПСМ № 144-85 от 4.02.1956 г. Приказом МО № 0071 от 20.06.1962 г. он принят на вооружение вместе с химическим вариантом МС-24УД.</w:t>
      </w:r>
    </w:p>
    <w:p w14:paraId="6F9A25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1947 г. велись работы по авиационным турбореактивным снарядам. Создана реактивная система АС-1 в составе снаряда С-1-ОФ («Скоба») и однозарядного реактивного орудия ОРО-212. Пост, правительства № 5195- 1016 от 16.12.1952 г. АС-1 пнв. Продолжены работы по снарядам ТРС-82 и ТРС-132, начатые еще в НИИ-3 НКБ и в КБ-2 МСХМ. Созданы системы АС-2 со снарядом С-2 (ТРС-132, «Шкиф») и АС-3 со снарядом С-3 (ТРС-82, «Винт»), приказом МО № 00560 от 22.03.1956 г. они пнв. В соответствии с ПСМ № 1175-440 от 14.04.1948 г. с 1953 г. велась разработка авиационного противотанкового снаряда С-ЗК («Стрела»), приказом МО № 0013 от 13.02.1961 г. система АС-ЗК со снарядом С-ЗК пнв.</w:t>
      </w:r>
    </w:p>
    <w:p w14:paraId="079EC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5119-2226 от 15.12.1951 г. и приказом МАП № 1264 от 26.12.1951 г. велась разработка авиационного АРС-212 (тема 0-21, шифр «Овод»), пост. № 658-335 от 27.02.1953 г. и приказом МО № 0030 от 10.03.1953 г. система АС-21 со снарядом С-21 («Орел») и электровзрывателем В-21 пнв. Велись работы по модернизированному АРС-212М и АРС-160, но не были закончены. Разработан АРС-140-150 (1953 г.), на вооружение не принят.</w:t>
      </w:r>
    </w:p>
    <w:p w14:paraId="712B11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2469-1022 от 19.09.1953 г. начата разработка АРС-160 «Пика» и АРС-280 «Буран», приказом МО № 00111 от 22.08.1960 г. система АС-24 со снарядом С-24 с механическим взрывателем В-24А пнв. В 1975 г. разработан и пнв бездымный С-24Б.</w:t>
      </w:r>
    </w:p>
    <w:p w14:paraId="1C501F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1949-50 г. образован НТС института.</w:t>
      </w:r>
    </w:p>
    <w:p w14:paraId="48C84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12.1951-01.1952 г. в институт переведен отдел во главе с Н.П. Горбачевым с тематикой НУРС из расформированного КБ-2 МСХМ. По приказу МСХМ от 28.12.1952 г. в институт переведена группа ИТР из ГСКБ-47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Кашляев, В.А. Солоноуц, П.А. Быстрое, М.С. Фетисов).</w:t>
      </w:r>
    </w:p>
    <w:p w14:paraId="45831B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середине 1950-х г. в институт из НИИ-642 переведена группа специалистов под руководством Э.Н. Кашерининова с тематикой управляемых твердотопливных </w:t>
      </w:r>
      <w:r w:rsidRPr="00F90EAE">
        <w:rPr>
          <w:color w:val="000000" w:themeColor="text1"/>
          <w:sz w:val="16"/>
          <w:szCs w:val="16"/>
          <w:lang w:val="en-US"/>
        </w:rPr>
        <w:t>PC</w:t>
      </w:r>
      <w:r w:rsidRPr="00F90EAE">
        <w:rPr>
          <w:color w:val="000000" w:themeColor="text1"/>
          <w:sz w:val="16"/>
          <w:szCs w:val="16"/>
        </w:rPr>
        <w:t xml:space="preserve">, на ее базе создан отдел № 10. Проведена НИР по возможности создания управляемого авиационного </w:t>
      </w:r>
      <w:r w:rsidRPr="00F90EAE">
        <w:rPr>
          <w:color w:val="000000" w:themeColor="text1"/>
          <w:sz w:val="16"/>
          <w:szCs w:val="16"/>
          <w:lang w:val="en-US"/>
        </w:rPr>
        <w:t>PC</w:t>
      </w:r>
      <w:r w:rsidRPr="00F90EAE">
        <w:rPr>
          <w:color w:val="000000" w:themeColor="text1"/>
          <w:sz w:val="16"/>
          <w:szCs w:val="16"/>
        </w:rPr>
        <w:t xml:space="preserve"> (А.А. Красовский).</w:t>
      </w:r>
    </w:p>
    <w:p w14:paraId="51C24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12.1951 г. КБ-3 МСХМ передано институту в качестве филиала (1.05.1958 г. преобразован в самостоятельный НИИ-4).</w:t>
      </w:r>
    </w:p>
    <w:p w14:paraId="26342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1950-е г. в институте работало около 10 самостоятельных конструкторских отделов, полностью разрабатывавших каждый свое изделие. Имелись также: теоретический отдел; ЦЗЛ, лаборатория пиротехнических составов (огневых стендовых испытаний), располагавшаяся на институтской лабораторной базе на Софринском полигоне.</w:t>
      </w:r>
    </w:p>
    <w:p w14:paraId="39413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институт получил новый 12-этажный инженерный корпус, ему также передано здание школы. Начато строительство производственных и лабораторных корпусов. Была организована единая система конструкторских отделов по агрегатам и узлам, проектные службы и расчетно-теоретические отделы (по аэродинамике, баллистике, динамике, прочности, аэродинамическому нагреву, вычислительной технике). Группы отделов объединены в СКБ (специальные КБ), а технологические службы и ОП - в СТБ (технологические). Созданы: СКБ-1 (ракетное), СКБ-2 (приборное), СКБ-3 (РДТТ), СКБ-4 (тактические ракеты сухопутного и морского базирования), СТБ-5. В 1963 г. образованы центральная лаборатория института, сектора: сбрки и перспективной технологии. Были построены конструкторско-лабораторный корпус, корпуса 128-138, склад металлов; цеха: термический № 12, обработки крупных деталей № 20, сборочный № 1. Были введены в строй залы статических и вибрационных испытаний площадью 720 м</w:t>
      </w:r>
      <w:r w:rsidRPr="00F90EAE">
        <w:rPr>
          <w:color w:val="000000" w:themeColor="text1"/>
          <w:sz w:val="16"/>
          <w:szCs w:val="16"/>
          <w:vertAlign w:val="superscript"/>
        </w:rPr>
        <w:t>2</w:t>
      </w:r>
      <w:r w:rsidRPr="00F90EAE">
        <w:rPr>
          <w:color w:val="000000" w:themeColor="text1"/>
          <w:sz w:val="16"/>
          <w:szCs w:val="16"/>
        </w:rPr>
        <w:t>. В 1964 г. образованы отделы газовой динамики, внутренней баллистики, проектирования и отработки зарядов (далее- № 34). В 1965 г. создан отдел надежности (далее- № 19). В 1966 г. СТБ-5 преобразовано в отделение № 7, в его составе: отделы: теплозащитных покрытий (ТЗП) № 74, сварки № 75, полигонного оборудования № 76, сборки-испытаний № 77, РЭА; лаборатории: перспективной технологии и прогнозирования, прогрессивных заготовок, резания; сектор АСУ ТП.</w:t>
      </w:r>
    </w:p>
    <w:p w14:paraId="1735D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в институте установлена первая ЭВМ «Урал-1», в 1962 г. - «Урал-2», а затем — «Днепр-1» и МН-14. В 1970-е г. введены в строй БЭСМ-4, а затем ЕС-1030, -1033, -1040, -1045, -1060, -1066 и малые ЭВМ «Проминь», «Наири», «Мир-2».</w:t>
      </w:r>
    </w:p>
    <w:p w14:paraId="072332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1960-е г. было отделение № 1. В его составе действовала группа по разработке СУ, преобразованная затем в проектный сектор. В 1971 г. сектор преобразован в отдел по проектированию управляемых БР с РДТТ. В 1970 г. в составе института: 5 основных отделений - № 1 (проектирования ракет), № 2, № 3, № 4 и № 5 (наземного оборудования); сектор, преобразованный затем в специальный комплексный отдел. В 1971 г. создано комплексное отделение № 6, в его составе отделы: № 601, эксплуатации; сектора (затем- отделы): по электроснабжению, прицеливания и навигации, боевого управления и связи. Начиная с 1971 г. были введены в строй: антенный павильон в составе лаборатории антенно-фидерных устройств (550 м</w:t>
      </w:r>
      <w:r w:rsidRPr="00F90EAE">
        <w:rPr>
          <w:color w:val="000000" w:themeColor="text1"/>
          <w:sz w:val="16"/>
          <w:szCs w:val="16"/>
          <w:vertAlign w:val="superscript"/>
        </w:rPr>
        <w:t>2</w:t>
      </w:r>
      <w:r w:rsidRPr="00F90EAE">
        <w:rPr>
          <w:color w:val="000000" w:themeColor="text1"/>
          <w:sz w:val="16"/>
          <w:szCs w:val="16"/>
        </w:rPr>
        <w:t>); комплекс стендового оборудования на Софринском полигоне. Лаборатория прочностных испытаний отдела прочности преобразована в самостоятельный отдел, в его составе: лаборатории: статиспытаний, вибрационных и динамических испытаний. Отдел стендовых испытаний отделения № 3 выделен в самостоятельное отделение. В составе Центральной лаборатории образована физическая лаборатория. В 1972 г. созданы отделы перспективных разработок: по комплексам № 54, по ракетам и РДТТ № 134. Созданы стенды для натурной отработки исполнительных органов управления ракеты.</w:t>
      </w:r>
    </w:p>
    <w:p w14:paraId="6C67E2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1974 г. отделение № 5 разделено на две части: основная часть («наземщики») перешла в отделение № 6, разработчики контейнера для ракеты- в отделение № 1. Организованы также отделения: испытаний № 8, телеметрическое № 9. В 1976 г. образовано новое отделение № 5 - автоматизации разработок (в 1995 г. оно преобразовано в вычислительный центр). Было организовано отделение эксплуатации № 10. В 1980 г. создана система авторского надзора и сопровождения. К началу 1989 г. из состава отделения № 6 выделились самостоятельные отделения № 14 (системы боевого управления, связи и КП) и № 15 (агрегаты и системы наземного оборудования).</w:t>
      </w:r>
    </w:p>
    <w:p w14:paraId="685B24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1950-х г. проведена НИР, а затем и создана первая в СССР экспериментальная твердотопливная тактическая ракета «Нептун» (Н.П. Мазуров). В соответствии с ПСМ № 1745-793 от 26.08.1954 г. на базе «Марс» начата разработка ракеты ЗР1 с тактической ядерной БЧ. Пост, правительства от 13.10.1955 г.. была задана разработка ОТРК «Филин» с ракетой ЗР2, пост, от 17.08.1958 г. он принят на снабжение СА. Разработан также вариант «Филин-3» с более легкой БЧ. В декабре 1956 г. вышло постановление № 1796-965 по продолжению работ по ОТРК «Марс», пост. № 328-15 от 20.03.1958 г. комплекс 2К1 «Марс» с ракетой ЗР1 пнв (в 1960 г. «Марс» и «Филин» сняты с вооружения). С 1953 г. начата разработка ракеты ЗР9 «Луна» с фугасной БЧ ЗН15; пост. СМ СССР № 9(5)98-281 от 18.05.1957 г. задано создание ОТРК 2К6 «Луна» с ракетой ЗР9. В соответствии с ПСМ № 378-180 от 8.04.1959 г. для комплекса «Луна» начата разработка ракеты ЗРЮ с ЯБЧ ЗН14. Пост. № 609-260 от 6.07.1961 г. комплекс пнв. В соответствии с ПСМ № 247-104 от 16.03.1961 г. начата разработка ОТРК 9К52 «Луна- </w:t>
      </w:r>
      <w:r w:rsidRPr="00F90EAE">
        <w:rPr>
          <w:color w:val="000000" w:themeColor="text1"/>
          <w:sz w:val="16"/>
          <w:szCs w:val="16"/>
          <w:lang w:val="en-US"/>
        </w:rPr>
        <w:t>Mi</w:t>
      </w:r>
      <w:r w:rsidRPr="00F90EAE">
        <w:rPr>
          <w:color w:val="000000" w:themeColor="text1"/>
          <w:sz w:val="16"/>
          <w:szCs w:val="16"/>
        </w:rPr>
        <w:t>» с ракетой 9М21, пост. № 663-270 от 6.08.1964 г. он пнв. 4.08.1962 г. вышло ПСМ № 799-339 «О создании агитационной головной части к ракете «Луна-М». В соответствии с распоряжением правительства № 433-рс от 22.02.1967 г. начата разработка тропической модификации 9К52ТС, распоряжением № 1480-рс от 7.07.1972 г. он пнв. 29.03.1961 г. начата разработка ракетно-вертолетного комплекса (для переброски вертолетом Ми-6) 9К53 «Луна-МВ», 5.02.1962 г. разработка утверждена пост, правительства № 135-66.</w:t>
      </w:r>
    </w:p>
    <w:p w14:paraId="0B92D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конца 1940-х г. велись разработки противолодочного оружия. В 1950 г. пнв бомба повышенной скорости БПС. Институт определен головным по разработке реактивной бомбометной установки (РБУ) для флота. С 1950 г. отделом А.А. Богатова разрабатывалась реактивная глубинная бомба РГБ-12, пост. СМ № 648-327 от 26.02.1953 г. и приказом МСХМ № 136 от 5.03.1953 г. рекомендована к пнв. В соответствии с ПСМ № 4145-1752 от 5.10.1950 г. начата разработка РБУ «Ураган», пост. № 648-327 от 26.02.1053 г. РБУ-1200 с бомбами РГБ-12 пнв. В соответствии с ПСМ № 2469-1022 от 19.09.1953 г. разрабатывались системы: «Смерч» с ПУ РБУ-2500, бомбой</w:t>
      </w:r>
    </w:p>
    <w:p w14:paraId="1C013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РГБ-25 и ориентирной бомбой «Свеча-25»; «Смерч-П» с ПУ РБУ-6000 и бомбой РГБ-60 с взрьшателем УДВ-60; «Смерч-</w:t>
      </w:r>
      <w:r w:rsidRPr="00F90EAE">
        <w:rPr>
          <w:color w:val="000000" w:themeColor="text1"/>
          <w:sz w:val="16"/>
          <w:szCs w:val="16"/>
          <w:lang w:val="en-US"/>
        </w:rPr>
        <w:t>Ill</w:t>
      </w:r>
      <w:r w:rsidRPr="00F90EAE">
        <w:rPr>
          <w:color w:val="000000" w:themeColor="text1"/>
          <w:sz w:val="16"/>
          <w:szCs w:val="16"/>
        </w:rPr>
        <w:t>» с ПУ РБУ-1000 и бомбой РГБ-10. В соответствии с Г1СМ № 483-294 от 12.03.1955 г. разрабатывалась система «Бурун» с ПУ РКУ и реактивной кормовой бомбой РКБ, пост. № 36-17 от 14.01.1957 г. системы «Смерч» и «Бурун» пнв. Системы «Смерч-П, -III» пнв приказом МО № 0205 от 22.09.1961 г. В соответствии с ПСМ № 657-311 от 20.06.1958 г. велась разработка РГБ «Метель».</w:t>
      </w:r>
    </w:p>
    <w:p w14:paraId="74B9AC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ПСМ № 3170-1324 от 14.07.1950 г. разработан инженерный реактивный тросомет ИТР-1 для переброски троса через преграды, приказом Главкома ВМФ № 022 от 15.05.1957 г. он пнв. В 1955 г. для Минрыбпрома разработан реактивный линемет ЛУ-1. В соответствии с распоряжением правительства № 906 от </w:t>
      </w:r>
      <w:r w:rsidRPr="00F90EAE">
        <w:rPr>
          <w:color w:val="000000" w:themeColor="text1"/>
          <w:sz w:val="16"/>
          <w:szCs w:val="16"/>
        </w:rPr>
        <w:lastRenderedPageBreak/>
        <w:t xml:space="preserve">22.03.1958 г. и приказом ГКОТ № 115 от 2.04.1958 г. был разработан противоградовый комплекс ПГИ для стрельбы </w:t>
      </w:r>
      <w:r w:rsidRPr="00F90EAE">
        <w:rPr>
          <w:color w:val="000000" w:themeColor="text1"/>
          <w:sz w:val="16"/>
          <w:szCs w:val="16"/>
          <w:lang w:val="en-US"/>
        </w:rPr>
        <w:t>PC</w:t>
      </w:r>
      <w:r w:rsidRPr="00F90EAE">
        <w:rPr>
          <w:color w:val="000000" w:themeColor="text1"/>
          <w:sz w:val="16"/>
          <w:szCs w:val="16"/>
        </w:rPr>
        <w:t xml:space="preserve"> по градовым облакам, серийно выпускавшийся в 1961-68 г. На его базе к 1990 г. был разработан проект автоматизированного противоградового комплекса.</w:t>
      </w:r>
    </w:p>
    <w:p w14:paraId="120DDD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исследования воздушных ударных волн в 1958 г. был создан пороховой реактивный генератор ГУТ-46.</w:t>
      </w:r>
    </w:p>
    <w:p w14:paraId="38F5B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в институте впервые в стране были внедрены техпроцессы изготовления тонкостенных гнутоштампосварных крупногабаритных конструкций; в 1960 г. впервые в стране освоен процесс жаропрочной пайки; в 1962 г. освоена технология прокатки клиновидных листов из молибденового сплава. В 1967 г. впервые в отрасли отработана технология ротационной вытяжки крупногабаритных тонкостенных узлов из стали 25-ЗОХСНВФА. В 1969 г. впервые в стране освоены технологии прокатки алюминиевых листов с вафельным оребрением, изготовления крупногабаритных плит из вольфрамового сплава В-МП. В 1974 г. впервые в отрасли создана стыкосварочная машина К-607 для получения кольцевых профилей из алюминиевых и титановых сплавов.</w:t>
      </w:r>
    </w:p>
    <w:p w14:paraId="46BD7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1958 г. в институт из ОКБ-52 начальником СКВ переведен А.Д. Надирадзе для организации работ по УР. В 1959 г. из НИИ-642 переведена группа специалистов по УР (Е.Н. Владимирская, В.И. Гоголев,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B</w:t>
      </w:r>
      <w:r w:rsidRPr="00F90EAE">
        <w:rPr>
          <w:color w:val="000000" w:themeColor="text1"/>
          <w:sz w:val="16"/>
          <w:szCs w:val="16"/>
        </w:rPr>
        <w:t>. Крюков, Е.А. Ланг).</w:t>
      </w:r>
    </w:p>
    <w:p w14:paraId="6E96E7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ПСМ № 829-379 от 21.07.1959 г. начались работы по первой отечественной управляемой </w:t>
      </w:r>
      <w:r w:rsidRPr="00F90EAE">
        <w:rPr>
          <w:color w:val="000000" w:themeColor="text1"/>
          <w:sz w:val="16"/>
          <w:szCs w:val="16"/>
          <w:lang w:val="en-US"/>
        </w:rPr>
        <w:t>OTP</w:t>
      </w:r>
      <w:r w:rsidRPr="00F90EAE">
        <w:rPr>
          <w:color w:val="000000" w:themeColor="text1"/>
          <w:sz w:val="16"/>
          <w:szCs w:val="16"/>
        </w:rPr>
        <w:t xml:space="preserve"> с РДТТ «Темп» (научный руководитель С.П. Королев). Пост. № 800-273 от 16.07.1963 г. работы по «Темпу» прекращены в пользу ракеты увеличенной дальности. По распоряжению СМ СССР № 1645 от 7.07.1964 г. на базе «Темпа» был разработан проект геофизической ракеты РГ-35, реализован не был. В соответствии с ПСМ № 934- 405 от 5.09.1962 г. начато создание подвижного грунтового комплекса 9К76 с ракетой 9М76Б «Темп-С», пост. № 517-180 от 8.05.1963 г. уточнены требования к комплексу. Пост. № 1139-382 от 29.12.1965 г. «Темп-С» пнв. По приказу МОП № 24 от 15.04.1965 г. начаты работы по созданию подвижного грунтового комплекса с МБР «Темп- С2М», в том же году переименованной в «Темп-2С». Разработка комплекса была задана пост. СМ СССР № 185- 60 от 6.03.1966 г., решением ВПК № 156 от 17.07.1967 г. были уточнены требования к ракете. Пост. № 374-142 от 24.05.1968 г. была задана разработка рабочего проекта комплекса на колесном и гусеничном шасси. В 1974 г. он прошел испытания, пост. № 1066-357 от 30.12.1975 г. пнв. Построено около 70 ракет. 21.02.1976 г. поставлены на боевое дежурство, в 1979 г. по Договору ОСВ-2 все ракеты уничтожены. Пост, правительства № 544-146 от 20.06.1975 г. задана разработка ракеты 15Ж47 «Темп-2СМ1» с выходом на летные испытания в середине 1976 г. (работы прекращены). Дальнейшее развитие - ракету 15Ж48 «Темп-2СМ2» (в 1976 г. переименована в «Тополь») планировалось создать к 1979 г.</w:t>
      </w:r>
    </w:p>
    <w:p w14:paraId="2E424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657-311 от 20.06.1958 г. начато создание корабельного противолодочного РК «Пурга» (отдел Н.П. Мазурова), пост. № 1111-463 от 13.10.1960 г. работы переданы в ГСКБ-47. Этим же пост, задана разработка первого отечественного ПЛ комплекса с ЯБЧ ТАЗ - РПК-1 «Вихрь» с ракетой 82Р, пост. № 440-168 от 12.06.1968 г. РПК-1 пнв. В соответствии с ПСМ № 366-136 от 30.04.1965 г. начата разработка ПЛ РПК «Метель». В соответствии с ПСМ № 530-152 от 23.04.1971 г. разрабатывалась БР сЯБЧ «Вихрь-М», в 08.1973 г. на ее базе разработан проект с малогабаритной торпедой «Колибри» вместо ЯБЧ. В конце 1950-е г. начата разработка реактивной кавитирующей торпеды РКТ-45. В 1960(3)г. работы переданы в НИИ-24. По решению ВПК № 241 от 12.09.1972 г. начата разработка ПЛ РПК «Ливень» с ракетой 89Р, в 1982 г. он пнв. В соответствии с ПСМ № 635-188 от 5.07.1981 г. начата разработка малогабаритного ПЛ РК «Метелица» (далее- «Медведка») с ракетой-торпедой МГГГ-1У.</w:t>
      </w:r>
    </w:p>
    <w:p w14:paraId="403710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1960 г. разрабатывались пороховые РД для КА. По приказам ГКОТ № 200 от 28.03.1964 г. и № 330 от 23.05.1964 г. созданы ПД2-ЗК-А для сброса обтекателя космического корабля «Восход». По решению ВПК от 28.12.1964 г. разработан ПД4-7К для РН «Союз».</w:t>
      </w:r>
    </w:p>
    <w:p w14:paraId="1B7E40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1963-64 г. разрабатывались проекты ракет с прямоточными двигателями - МБР «Луч» и глобальной ракеты «Луч-20» (Ю. В. Иерусалимский), работы не завершены. По решению ВПК от 7.06.1966 г. начата разработка ОТРК «Байкал», не завершена. Пост, правительства от 17.10.1967 г. была задана разработка ОТРК «Уран», вскоре работы прекращены.</w:t>
      </w:r>
    </w:p>
    <w:p w14:paraId="55796D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1967 г. МИТ был определен головным по разработке и производству подвижных РК и МБР на твердом топливе.</w:t>
      </w:r>
    </w:p>
    <w:p w14:paraId="2E606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от 6.10.1969 г. в МИТ передана вся документация по мобильному комплексу РТ-20П, разработанному в ОКБ-586.</w:t>
      </w:r>
    </w:p>
    <w:p w14:paraId="43F65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1971 г. начаты работы по ракете РСД-10 для мобильного комплекса «Пионер». В соответствии с ПСМ № 280-95 от 28.04.1973 г. начата разработка РК. 9.01.1976 г. комплекс пнв, а 11.03.1976 г. пост, правительства он поставлен на боевое дежурство. В соответствии с ПСМ № 544-166 от 20.06.1975 г. начата разработка «Пионер-М» с ракетой 15Ж46, далее - «Пионер-УТТХ», пост. № 397-115 от 23.04.1981 г. он пнв. Пост. № 1011-289 от</w:t>
      </w:r>
    </w:p>
    <w:p w14:paraId="5CB14E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12.11.1979 г. задана разработка «Пионер-3» с ракетой 15Ж57, пост. № 300-120 от 6.04.1983 г. устанавливалось трехблочное оснащение ГЧ ракеты. В 1986 г., в связи с подписанием Договора между СССР и США работы прекращены.</w:t>
      </w:r>
    </w:p>
    <w:p w14:paraId="190C47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организовано постоянное представительство института на Боткинском заводе.</w:t>
      </w:r>
    </w:p>
    <w:p w14:paraId="0722C0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544-166 от 20.07.1975 г. начата разработка ракеты РС-12М для мобильного комплекса «Тополь» на базе ракеты РС-12, созданной в ОКБ-1. Пост, правительства № 668-212 от 19.07.1977 г. гл. конструктором комплекса утвержден Надирадзе и уточнены требования к ракете. Для ракеты создан комплекс средств подготовки и записи информации (КСПЗИ). В соответствии с ПСМ № 1275-340 от 28.12.1984 г. начато серийное производство, с 23.06.1985 г. комплекс поставлен на боевое дежурство, а 1.12.1988 г. официально пнв. По решению ВПК № 323 от 9.09.1989 г. на базе ракеты РТ-2ПМ (8К98П) институту поручено создать подвижный грунтовый РК «Универсал» с ракетой РТ-2ПМ2 (8Ж65). В 1991 г. институт продолжил работу и по стационарному шахтному варианту (до этого разрабатывавшийся в КБЮ), в 1992 г. получившему название «Тополь-М». Первый пуск- 20.12.1994 г., 24.12.1997 г. «Тополь-М» шахтного базирования поставлен на боевое дежурство, Указом Президента РФ от 13.07.2000 г. он пнв. Наряду с шахтным был разработан подвижный грунтовой РК, боевая ступень которого была оснащена уникальным двигателем глубокого регулирования по тяге (ДГР). Первый пуск- 27.09.2000 г.</w:t>
      </w:r>
    </w:p>
    <w:p w14:paraId="5B3055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МОП/МАП от 27.07.1978 г. велась разработка авиационной управляемой БР. «Агат» для перспективного гиперзвукового самолета, а также ОТРК «Агат-1». Работы прекращены.</w:t>
      </w:r>
    </w:p>
    <w:p w14:paraId="685D2C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1979-82 г. совместно с заводом «Арсенал» проведена НИР «Марс» по созданию СУ БР на новых физических принципах. В результате создана лазерная система определения углового положения 15</w:t>
      </w:r>
      <w:r w:rsidRPr="00F90EAE">
        <w:rPr>
          <w:color w:val="000000" w:themeColor="text1"/>
          <w:sz w:val="16"/>
          <w:szCs w:val="16"/>
          <w:lang w:val="en-US"/>
        </w:rPr>
        <w:t>JI</w:t>
      </w:r>
      <w:r w:rsidRPr="00F90EAE">
        <w:rPr>
          <w:color w:val="000000" w:themeColor="text1"/>
          <w:sz w:val="16"/>
          <w:szCs w:val="16"/>
        </w:rPr>
        <w:t>845 для головной части перспективной ракеты «Скорость». БРСД «Скорость» 15Ж66 создавалась с 1983 г., пост. № 42-10 от 9.01.1984 г. определен срок ее готовности к испытаниям - 9 месяцев. В 1986 г. работы прекращены.</w:t>
      </w:r>
    </w:p>
    <w:p w14:paraId="59840E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696-213 от 21.07.1983 г. начата разработка подвижного комплекса с малогабаритной МБР «Курьер» 15Ж59. Пост. № 696-213 от 22.07.1985 г. МИТ определен головным по проведению ОКР по комплексу.</w:t>
      </w:r>
    </w:p>
    <w:p w14:paraId="3A2ED0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1992 г. - ОКР «Зарядье 2-58» по продлению сроков эксплуатации МБР «Тополь».</w:t>
      </w:r>
    </w:p>
    <w:p w14:paraId="30F234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1990-х г. начата разработка новой твердотопливной БРПЛ Р-30 «Булава-30» для ПЛ пр. 941 и 955. Бросковые испытания начаты в 2003 г., первый реальный пуск- 27.09.2005 г.</w:t>
      </w:r>
    </w:p>
    <w:p w14:paraId="56D92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2005 г. создано и сдано на вооружение более 70 образцов ракетной техники, в т.ч.: для РВСН- 12; для Сухопутных войск- 28; для ВМФ- 12; для авиации- 9.</w:t>
      </w:r>
    </w:p>
    <w:p w14:paraId="632971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1989 г. в порядке конверсии институт определен головным по разработке линий розлива пищевых продуктов. Кроме того, были разработаны цехи быстрой заморозки и сушки сельхозпродукции, цехи первичной переработки льна. Также были созданы: мобильный лечебно-диагостический комплекс «Эскулап» (1995 г.); мобильный ветроэнергетический комплекс «Жаворонок» (1997 г.); установка промышленного озонирования воды ОУ-25; мобильный комплекс для глубокопроникающего гидроразрыва нефтяных пластов (МК ГТРП) (начало 1990-х, В.П. Ефимов). Пост, правительства № 686 от 20.07.1993 г. производство МК ГГРП передано в ЦКБ «Титан». В соответствии с пост, правительства № ИЗО от 5.11.1990 г. создан комплекс технических средств для поисково-спасательных работ «Феникс». На базе отделения перспективных разработок была создана Служба зам. директора/ген. конструктора по гражданским разработкам. Для разработки сложного медицинского оборудования в 1991 г. создано ЗАО </w:t>
      </w:r>
      <w:r w:rsidRPr="00F90EAE">
        <w:rPr>
          <w:color w:val="000000" w:themeColor="text1"/>
          <w:sz w:val="16"/>
          <w:szCs w:val="16"/>
          <w:lang w:val="en-US"/>
        </w:rPr>
        <w:t>Mill</w:t>
      </w:r>
      <w:r w:rsidRPr="00F90EAE">
        <w:rPr>
          <w:color w:val="000000" w:themeColor="text1"/>
          <w:sz w:val="16"/>
          <w:szCs w:val="16"/>
        </w:rPr>
        <w:t xml:space="preserve"> «Абрис»; НПЦ «Огонек». В соответствии с распоряжением № 777-рп от 17.07.1998 г. и пост, правительства Москвы № 463-пп от 22.05.2001 г. была разработана Московская монорельсовая дорога. В соответствии с распоряжениями правительства Москвы № 434-рп от 3.04.2002 г. и № 1849-рр от 16.10.2003 г. разработана технология и оборудование для производства строительных блоков из легкого бетона.</w:t>
      </w:r>
    </w:p>
    <w:p w14:paraId="47E54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1990 г. МИТ- в ведении МОП. С 31.01.1992 г. - ГП «МИТ». В 1998 г. институт получил статус ФГУП (зарегистрировано 20.09.2001 г.). По Указу Президента РФ № 1009 от 4.08.2004 г. ФГУП МИТ вошло в число стратегических оборонных предприятий. По указу № 526 от 11.05.2009 г. предприятие исключено из перечня стратегических. В 2009 г. - в ведении ФКА.</w:t>
      </w:r>
    </w:p>
    <w:p w14:paraId="4201E8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твердотопливных МБР и РН легкого класса; (2005 г.): разделяющиеся головные части индивидуального наведения для РС-12М1 «Тополь-М»; работы по совместному с Казахстаном проекту комплекса «Ишим» по выводу малых КА с помощью ракеты, стартующей с МиГ-31; испытания БРПЛ РСМ-56 «Булава».</w:t>
      </w:r>
    </w:p>
    <w:p w14:paraId="5E51E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МИТ- головная организация (2005 г.) по стратегическим РК наземного (шахтного и мобильного) и морского базирования.</w:t>
      </w:r>
    </w:p>
    <w:p w14:paraId="07F9DF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составе института (2005 г.): отделения: проектные, летных испытаний, авторского надзора, технологическое (№ 5, 12); лабораторно-испытательная база; стендовая испытательная база; центр информации; ВЦ; функциональные подразделения; опытное производство. В составе экспериментальной базы: специализированный центр по сертификации конструкционных материалов; стенды для прочностных, вибрационных и динамических испытаний элементов конструкций и изделий целиком; стенды для наземной отработки узлов, газогенераторов и двигателей; комплекс климатических испытаний и на длительное хранение.</w:t>
      </w:r>
      <w:r w:rsidRPr="00F90EAE">
        <w:rPr>
          <w:color w:val="000000" w:themeColor="text1"/>
          <w:sz w:val="16"/>
          <w:szCs w:val="16"/>
          <w:vertAlign w:val="superscript"/>
        </w:rPr>
        <w:t xml:space="preserve">101 </w:t>
      </w:r>
      <w:r w:rsidRPr="00F90EAE">
        <w:rPr>
          <w:color w:val="000000" w:themeColor="text1"/>
          <w:sz w:val="16"/>
          <w:szCs w:val="16"/>
        </w:rPr>
        <w:t>В 2006 г. построен новый производственный корпус площадью 2000 м</w:t>
      </w:r>
      <w:r w:rsidRPr="00F90EAE">
        <w:rPr>
          <w:color w:val="000000" w:themeColor="text1"/>
          <w:sz w:val="16"/>
          <w:szCs w:val="16"/>
          <w:vertAlign w:val="superscript"/>
        </w:rPr>
        <w:t>2</w:t>
      </w:r>
      <w:r w:rsidRPr="00F90EAE">
        <w:rPr>
          <w:color w:val="000000" w:themeColor="text1"/>
          <w:sz w:val="16"/>
          <w:szCs w:val="16"/>
        </w:rPr>
        <w:t xml:space="preserve"> для экспериментального производства.</w:t>
      </w:r>
    </w:p>
    <w:p w14:paraId="17FBBC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базе института организован НТЦ «Комплекс-МИТ». Имел дочернее предприятие (2006 г.)- ЗАО «Пусковые услуги».</w:t>
      </w:r>
    </w:p>
    <w:p w14:paraId="2F85A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07.2009 г. после очередного неудачного пуска «Булавы» Ю.С. Соломонов подал в отставку.</w:t>
      </w:r>
    </w:p>
    <w:p w14:paraId="35BD0A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производственная (1946 г.)- 900 м</w:t>
      </w:r>
      <w:r w:rsidRPr="00F90EAE">
        <w:rPr>
          <w:color w:val="000000" w:themeColor="text1"/>
          <w:sz w:val="16"/>
          <w:szCs w:val="16"/>
          <w:vertAlign w:val="superscript"/>
        </w:rPr>
        <w:t>2</w:t>
      </w:r>
      <w:r w:rsidRPr="00F90EAE">
        <w:rPr>
          <w:color w:val="000000" w:themeColor="text1"/>
          <w:sz w:val="16"/>
          <w:szCs w:val="16"/>
        </w:rPr>
        <w:t>; общая (1946 г.)- 7330 м</w:t>
      </w:r>
      <w:r w:rsidRPr="00F90EAE">
        <w:rPr>
          <w:color w:val="000000" w:themeColor="text1"/>
          <w:sz w:val="16"/>
          <w:szCs w:val="16"/>
          <w:vertAlign w:val="superscript"/>
        </w:rPr>
        <w:t>2</w:t>
      </w:r>
      <w:r w:rsidRPr="00F90EAE">
        <w:rPr>
          <w:color w:val="000000" w:themeColor="text1"/>
          <w:sz w:val="16"/>
          <w:szCs w:val="16"/>
        </w:rPr>
        <w:t>.</w:t>
      </w:r>
    </w:p>
    <w:p w14:paraId="303854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(1946 г.)- 545 чел., (1954 г.)- 1384 чел., (1.01.1957 г.)- 1689 чел., (1958 г.)- 1844 чел., (1966 г.)- 4030 чел., (1967 г.)- 4451 чел., (1976 г.)- 7035 чел.</w:t>
      </w:r>
    </w:p>
    <w:p w14:paraId="7C120E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Начальник (1945 г.)- Н.И. Крупнов, (05.1946-47 г.)- г-м А.В. Саханицкий. Директор (05.1947-50 г.)- Д.Г. Дятлов; и.о. (-06.1951 г.)- Н.И. Крупнов, (12.07.1951 г.-)- Г.И. Громов; (28.05.1952-19.11.1960 г.)- г-м С.Я. Бодров; и.о. (10.1960 г.-)- А.А. Богатов, (1961 г.)- Л.И. Лившиц; (1961-3.09.1987 г.)- академик (1981 г.) А.Д. Надирадзе {20.08.1914-3.09.1987}, (09.1987-97 г.)- Б.Н. Лагутин {15.09.1927-}, (03.1997-07.2009 г.)- Ю.С. Соломонов; и.о. (21.07-09.2009 г.)- А.А. Дорофеев; (09.2009 г.-)- С.П. Никулин.</w:t>
      </w:r>
    </w:p>
    <w:p w14:paraId="5BD488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директора (1960-е)- В.И. Гоголев, (1970-87 г.)- Б.Н. Лагутин, (1987 г.-)- А.К. Виноградов, (-2002-09 г.-)- А.А. Дорофеев. Зам. директора: по науке (-1947-50 г.)- Р.Е. Соркин, (1950 г.-)- А.В. Андрианов, по научной части и проектированию (1960-е)- В.И. Гоголев, (-1963-70 г.)- Б.Н. Лагутин; по ОКР (1959-61 г.)- А.Д. Надирадзе; по кадрам (1950-е)- С.Д. Ченцов; по гражданской продукции (1990-е)- Н.В. Карягин; (1950-е)- В.И. Гоголев, (1959 г.)-</w:t>
      </w:r>
    </w:p>
    <w:p w14:paraId="037CB2FC" w14:textId="77777777" w:rsidR="00665165" w:rsidRPr="00F90EAE" w:rsidRDefault="00665165" w:rsidP="00F90EAE">
      <w:pPr>
        <w:tabs>
          <w:tab w:val="left" w:pos="1366"/>
        </w:tabs>
        <w:autoSpaceDE w:val="0"/>
        <w:autoSpaceDN w:val="0"/>
        <w:adjustRightInd w:val="0"/>
        <w:jc w:val="both"/>
        <w:rPr>
          <w:color w:val="000000" w:themeColor="text1"/>
          <w:sz w:val="16"/>
          <w:szCs w:val="16"/>
        </w:rPr>
      </w:pPr>
      <w:r w:rsidRPr="00F90EAE">
        <w:rPr>
          <w:color w:val="000000" w:themeColor="text1"/>
          <w:sz w:val="16"/>
          <w:szCs w:val="16"/>
        </w:rPr>
        <w:t>A.А.Богатов, (1963 г.-)- В.А. Колычев, (1970-е)- Г.Е. Алпаидзе.</w:t>
      </w:r>
    </w:p>
    <w:p w14:paraId="61EB20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(1959-3.09.1987 г.)- А.Д. Надирадзе. Ген. Конструктор (09.1987-97 г.)- Б.Н. Лагутин, (03.1997- 07.2009 г.)- Ю.С. Соломонов {3.11.1945-}; и.о. (21.07.2009 г.-&gt; А.А. Дорофеев.</w:t>
      </w:r>
    </w:p>
    <w:p w14:paraId="145BD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Гл., Ген. конструктора (1960-е)- В.И. Гоголев, (1970-87 г.)- Б.Н. Лагутин, (-1997 г.)- Ю.С. Соломонов, (-2002-09 г.-)- А.А. Дорофеев. Зам. гл. конструктора (1966 г.)- В.И. Гоголев, (1970-е)- В.А. Ряполов, (1970-е)- Л.В. Крюков, (1970-е)- Ю.С. Васильев. Зам. ген. конструктора: по гражданской продукции (1990-е)- Н.В. Карягин; (1990-е)- Ю.С. Соломонов,</w:t>
      </w:r>
      <w:r w:rsidRPr="00F90EAE">
        <w:rPr>
          <w:color w:val="000000" w:themeColor="text1"/>
          <w:sz w:val="16"/>
          <w:szCs w:val="16"/>
          <w:vertAlign w:val="superscript"/>
        </w:rPr>
        <w:t>63</w:t>
      </w:r>
      <w:r w:rsidRPr="00F90EAE">
        <w:rPr>
          <w:color w:val="000000" w:themeColor="text1"/>
          <w:sz w:val="16"/>
          <w:szCs w:val="16"/>
        </w:rPr>
        <w:t xml:space="preserve"> (2005 г.)- Л.С. Соломонов, А.К. Виноградов, А.П. Сухадольский, (2000-е)- В.П. Ефимов.</w:t>
      </w:r>
    </w:p>
    <w:p w14:paraId="22067E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(05.1946 г.-)- Б.М. Сапрыкин, (05.1947-06.1951 г.)- Н.И. Крупнов, (1959 г.)- А.А. Богатов, (1963 г.-)-</w:t>
      </w:r>
    </w:p>
    <w:p w14:paraId="6E374083" w14:textId="77777777" w:rsidR="00665165" w:rsidRPr="00F90EAE" w:rsidRDefault="00665165" w:rsidP="00F90EAE">
      <w:pPr>
        <w:tabs>
          <w:tab w:val="left" w:pos="1352"/>
        </w:tabs>
        <w:autoSpaceDE w:val="0"/>
        <w:autoSpaceDN w:val="0"/>
        <w:adjustRightInd w:val="0"/>
        <w:jc w:val="both"/>
        <w:rPr>
          <w:color w:val="000000" w:themeColor="text1"/>
          <w:sz w:val="16"/>
          <w:szCs w:val="16"/>
        </w:rPr>
      </w:pPr>
      <w:r w:rsidRPr="00F90EAE">
        <w:rPr>
          <w:color w:val="000000" w:themeColor="text1"/>
          <w:sz w:val="16"/>
          <w:szCs w:val="16"/>
        </w:rPr>
        <w:t>B.А.Колычев, С.И. Елагин, А.Л. Юрьев, (2005 г.)- В.Д. Полунин.</w:t>
      </w:r>
    </w:p>
    <w:p w14:paraId="58B2D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(1970-е)- Ю.А. Моисеев. Гл. металлург (-1951-74 г.-)- Г.И. Громов. Гл. сварщик (1960 г.)- М.И. Кунис.</w:t>
      </w:r>
    </w:p>
    <w:p w14:paraId="5FF7A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СКВ: (1958-59 г.)- А.Д. Надирадзе; опытного производства (2005 г.)- В.Е. Меркулов. Начальники отделений: № 1 (1970-е-87 г.)- В.И. Гоголев, (1987 г.-)- Ю.С. Соломонов, (1997 г.-)- А.П. Сухадольский; № 2 (1974 г.-)- Л.В. Крюков; № 3 (1970-е)- В.А. Солоноуц; № 4 (1970 г.)- Н.П. Мазуров; № 5 ? (1970 г.)- А.А. Ганьшин, (1973-74; 2000-е)- В.П. Ефимов; № 5 (1976 г.-&gt; Б.И. Татарков; № 6 (1971-83 г.-&gt; А.К. Виноградов, (2005 г.)- Л.С. Соломонов; № 7 (1970-е)- Ю.А. Моисеев; № 8 (1970 г.-)- К.Г. Валяев, (1970-е&gt; Г.А. Ясинский; № 9 (1974-84 г.-)- В.А. Ряполов; № Ю- К.Г. Валяев; № 11 (1983 г.)- Н.В. Карягин; № 14 (1989 г.-)- В.Г. Романовский; № 15 (1989 г.-)- В.П. Ефимов; перспективных разработок- И.Г. Яковлев; стендовых испытаний (1970-е)- К.П. Савицкий.</w:t>
      </w:r>
    </w:p>
    <w:p w14:paraId="3BAD2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отделения: О.М. Егоров, Ю.Н. Жирухин.</w:t>
      </w:r>
    </w:p>
    <w:p w14:paraId="7BE7E3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отделов: № 2 (24.10.1947 г.-)- А.Н. Жуков, (-1948-49 г.-)- Н.П. Горбачев; № 3 (24.10.1947 г.-)- С.П. Стрелков; № 4 (24.10.1947 г.-)- Н.М. Лобанов; № 6 (24.10.1947 г.-)- Г.И. Громов; № 8 (24.10.1947 г.-)- П.И. Иванов; № 9 (24.10.1947 г.-)- С.С. Акулов, (1950 г.)- Ю.Н. Хажинский; № 11 (24.10.1947 г.-)- Сибейкин; № 16 (24.10.1947 г.- )- Ю.А. Самсонов; № 18 (24.10.1947 г.-)- Бакеев; № 19 (1965 г.-)- Т.Н. Фрейдин, Н.В. Иванова, О.Е. Стпанов; № 26 (1970-е)- В.Б. Брейман, (2005 г.)- И.Н. Кожевникова; № 34 (1960-е)- А.Л. Цылов, Н.Н. Калинина, В.И. Челноков, Ю.Б. Андреев, В.А. Кирилин; № 54 (1972 г.-)- Е.А. Печерский; № 74 (1966 г.-)- Ю.Б. Кузнецов; № 75 (1966 г.-)- М.И. Кунис; № 76 (1966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Баринов; № 77 (1966 г.-)- Ю.А. Куликов; № 92 (2005 г.)- Н.В. Соколова; № 134 (1972 г.)- Ю.Д. Новодворский; № 601 (1971 г.-)- Л.С. Соломонов; ОНУ (1946 г.-)- В.М. Корнеев; РЭА (1966 г.-)- Е.И. Горгораки; эксплуатации отделения № 6 (1971 г.-)- А.И. Морозов; по электроснабжению (1970-е)- А.А. Енгуразов; прицеливания и навигации (1970-е)- Л.П. Каменский; боевого управления и связи (1970-е)- В.Г. Романовский; прочностных испытаний (1970-е)- В.Д. Протасов; Ю.В. Иерусалимский, Ю.С. Соломонов, (2005 г.)- В.Я. Хохлов; (1960-е)- Е.А. Ланг, Н.М. Нефедов, (-2005 г.)- О.М. Егоров; Л.М. Перфильев, (2005 г.)- Е.П. Жучкова; (1950 г.)- А.А. Богатов, А.Б. Бобович, (-1970-2005 г.-)- Ю.С. Васильев, (1961 г.-)- Б.Н. Лагутин, И.А. Медведков, (1950-е)- Н.П. Мазуров, Н.А. Судаков.</w:t>
      </w:r>
    </w:p>
    <w:p w14:paraId="0A1953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отдела: № 2 (1947 г.-)- Г.П. Герасимов, (1949 г.)- Н.А. Жуков; № 11 (1947 г.-)- К.П. Доррендорф; Ю.М. Николаев, С.А. Кошкин.</w:t>
      </w:r>
    </w:p>
    <w:p w14:paraId="08B0E6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(1947-49 г.-)- Н.А. Жуков (ДРСП-1), (1950 г.)- А.Ю. Бергер (РБУ-1200), (1951-52 г.-)- Н.П. Горбачев (М-13А, М-24ФУД), (-1955-69 г.-&gt; М.А. Ляпунов (ЛУ-1, ПГИ), (-1957-61 г.-)- Н.П. Мазуров («Нептун», 2К6,9К52); направления (2003 г.)- О.Н. Иванов («легкий бетон»). Зам. гл. конструкторов: (1970-е)- С.В. Поляков. Председатель НТС (1950 г.-)- С.Я. Бодров.</w:t>
      </w:r>
    </w:p>
    <w:p w14:paraId="0595B5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 1 (1946 г.-)- К.П. Доррендорф. Начальник Центра информации- А.И. Лобанов, А.В. Тумаков.</w:t>
      </w:r>
    </w:p>
    <w:p w14:paraId="5B519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лабораторий: № 1 (24.10.1947 г.-)- Караванов; № 2 (24.10.1947 г.-)- Рутковский; № 3 (24.10.1947 г.- )- Вульфович; центральной (1963 г.-)- Н.С. Французов; перспективной технологии и прогнозирования (1966-76 г.)-</w:t>
      </w:r>
    </w:p>
    <w:p w14:paraId="6495D571" w14:textId="77777777" w:rsidR="00665165" w:rsidRPr="00F90EAE" w:rsidRDefault="00665165" w:rsidP="00F90EAE">
      <w:pPr>
        <w:tabs>
          <w:tab w:val="left" w:pos="1357"/>
        </w:tabs>
        <w:autoSpaceDE w:val="0"/>
        <w:autoSpaceDN w:val="0"/>
        <w:adjustRightInd w:val="0"/>
        <w:jc w:val="both"/>
        <w:rPr>
          <w:color w:val="000000" w:themeColor="text1"/>
          <w:sz w:val="16"/>
          <w:szCs w:val="16"/>
        </w:rPr>
      </w:pPr>
      <w:r w:rsidRPr="00F90EAE">
        <w:rPr>
          <w:color w:val="000000" w:themeColor="text1"/>
          <w:sz w:val="16"/>
          <w:szCs w:val="16"/>
        </w:rPr>
        <w:t>C.И.Елагин, (1976 г.-)- А.Н. Гибисов; прогрессивных заготовок (1970-е)- А.Н. Маршалкин; резания (1970-е)- В.А. Антонихин; ТЗП (1960-е)- А.А. Лебедев; антенно-фидерных устройств (1970-е)- Е.А. Галанин; статиспытаний (1970-е)- В.П. Георгиевский; вибрационных и динамических испытаний (1970-е)- О.В. Кузнецов; физической (1970-е)- Н.Ф. Миронов; механических испытаний (1970-е)- Ю.А. Поросков; (1947 г.-)- Р.К. Закржевский.</w:t>
      </w:r>
    </w:p>
    <w:p w14:paraId="632A4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секторов: № 19- А.К. Виноградов; проектного- Г.К. Хромов, Ю.В. Иерусалимский; металлургического (1959 г.)- А.Ф. Камаев; сборки (1963 г.-)- Ю.А. Моисеев; перспективной технологии (1963 г.-)-</w:t>
      </w:r>
    </w:p>
    <w:p w14:paraId="684D2B2E" w14:textId="77777777" w:rsidR="00665165" w:rsidRPr="00F90EAE" w:rsidRDefault="00665165" w:rsidP="00F90EAE">
      <w:pPr>
        <w:tabs>
          <w:tab w:val="left" w:pos="433"/>
        </w:tabs>
        <w:autoSpaceDE w:val="0"/>
        <w:autoSpaceDN w:val="0"/>
        <w:adjustRightInd w:val="0"/>
        <w:jc w:val="both"/>
        <w:rPr>
          <w:color w:val="000000" w:themeColor="text1"/>
          <w:sz w:val="16"/>
          <w:szCs w:val="16"/>
        </w:rPr>
      </w:pPr>
      <w:r w:rsidRPr="00F90EAE">
        <w:rPr>
          <w:color w:val="000000" w:themeColor="text1"/>
          <w:sz w:val="16"/>
          <w:szCs w:val="16"/>
        </w:rPr>
        <w:t>A.Б.Шор; АСУТП (1966 г.-)- А.В. Мухин; (1970-е)- А.И(М). Тарасов; залов испытаний: статических (1960-е)- Е.И. Прусс, Б.Я. Мушин; вибрационных (1960-е)- О.В. Кузнецов; Ю.С. Соломонов.</w:t>
      </w:r>
    </w:p>
    <w:p w14:paraId="737E7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бюро: отдела № 2 (1947 г.-)- Н.П. Мазуров, расчетного (1947 г.-)- А.А. Голицын; теоретического отдела № 10 (1950-е)-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Перфильев; КБ отдела № 11 (1947 г.-)- Н.Я. Лопухин; (1949 г.)- И.В. Ярополов, (1949 г.)- Г.П. Герасимов.</w:t>
      </w:r>
    </w:p>
    <w:p w14:paraId="56D9C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макетной мастерской (1947 г.-)- А.С. Кононенко, С.С. Смирнов.</w:t>
      </w:r>
    </w:p>
    <w:p w14:paraId="7AFC94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групп: отдела № 2 (1947 г.-)- Н.И. Александров; отдела № 34 (1960-е)- Е.Н. Трофимова; СУ (1965 г.)- Г.К. Хромов; (1963 г.)- Ю.В. Иерусалимский.</w:t>
      </w:r>
    </w:p>
    <w:p w14:paraId="46E5F1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(1940-е)- В.П. Герасимов, (1940-е)- А.А. Голицын.</w:t>
      </w:r>
    </w:p>
    <w:p w14:paraId="7E79A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Ведущие инженеры: (1947 г.-)- Н.П. Мазуров (ДРСП-1), (1947 г.-)- Н.И. Александров (ДРСП-1), (01.1952 г.-)-</w:t>
      </w:r>
    </w:p>
    <w:p w14:paraId="1B106C8E" w14:textId="77777777" w:rsidR="00665165" w:rsidRPr="00F90EAE" w:rsidRDefault="00665165" w:rsidP="00F90EAE">
      <w:pPr>
        <w:tabs>
          <w:tab w:val="left" w:pos="438"/>
        </w:tabs>
        <w:autoSpaceDE w:val="0"/>
        <w:autoSpaceDN w:val="0"/>
        <w:adjustRightInd w:val="0"/>
        <w:jc w:val="both"/>
        <w:rPr>
          <w:color w:val="000000" w:themeColor="text1"/>
          <w:sz w:val="16"/>
          <w:szCs w:val="16"/>
        </w:rPr>
      </w:pPr>
      <w:r w:rsidRPr="00F90EAE">
        <w:rPr>
          <w:color w:val="000000" w:themeColor="text1"/>
          <w:sz w:val="16"/>
          <w:szCs w:val="16"/>
        </w:rPr>
        <w:t>B.С.Бабочкин (М-24-ФУД), (1952 г.)- Е.Н. Сухов (АРС-212).</w:t>
      </w:r>
    </w:p>
    <w:p w14:paraId="602153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Создано: НУРС: С-1-ОФ («Скоба», пнв 16.12.1952 г.), С-2 (ТРС-132, «Шкиф», пнв 22.03.1952 г.), С-3 (ТРС-82, «Винт», пнв 22.03.1952 г.), С-ЗК («Стрела», пнв 13.02.1961 г.), С-21 (АРС-212-ОФ, «Орел», пнв 10.03.1953 г.), кассетный КАРС-212 (1953), АРС-140-150 (1953), С-24 (9А-357, «Буран», пнв 22.08.1960 г.), С-24Б (9А-744, 1975); проекты: С-19, ТРС-85, ТРС-45, ТРС-122, ТРС «339», АРС-212М, АРС-160; РСЗО: БМ-14 (8У32, М-140Ф, пнв 22.11.1952 г.), БМ-14-17 (8У36, М-140Ф, пнв в 1952 г.), БМД-20Ф (8УЗЗ, МД-20, пнв 22.11.1952 г.), БМ-24 (М-24Ф, пнв 22.03.1951 г., М-24ФУД, пнв в 1955 г., МД-24Ф, пнв в 1962 г.); противолодочные реактивные системы: РБУ-1200 «Ураган» с бомбой РГБ-12 (пнв 26.02.1953 г.), «Бурун» с бомбой РКБ (пнв 14.01.1957 г.), РБУ-2500 «Смерч» с бомбами РГБ-25 и «Свеча-25» (пнв 14.01.1957 г.), РБУ-6000 «Смерч-П» с бомбой РГБ-60 (пнв 22.09.1961 г.), РБУ-1000 «Смерч-</w:t>
      </w:r>
      <w:r w:rsidRPr="00F90EAE">
        <w:rPr>
          <w:color w:val="000000" w:themeColor="text1"/>
          <w:sz w:val="16"/>
          <w:szCs w:val="16"/>
          <w:lang w:val="en-US"/>
        </w:rPr>
        <w:t>Ill</w:t>
      </w:r>
      <w:r w:rsidRPr="00F90EAE">
        <w:rPr>
          <w:color w:val="000000" w:themeColor="text1"/>
          <w:sz w:val="16"/>
          <w:szCs w:val="16"/>
        </w:rPr>
        <w:t>» с РГБ-10 (пнв 22.09.1961 г.); глубинные бомбы БПС (пнв в 1950 г.), «Метель» (1960-е); ПТУР: «Кобра» (проект, 1957); ИКР: «Вихрь» РПК-1 (82Р, пнв в 1968 г.), «Вихрь-М» (1973, не реализован); «Ливень» РПК-5 (К89Р, пнв в 1982 г.), «Медведка» (МПТ-1У, опытная, 1980-е); МБР: «Темп-2С» 15Ж42 (</w:t>
      </w:r>
      <w:r w:rsidRPr="00F90EAE">
        <w:rPr>
          <w:color w:val="000000" w:themeColor="text1"/>
          <w:sz w:val="16"/>
          <w:szCs w:val="16"/>
          <w:lang w:val="en-US"/>
        </w:rPr>
        <w:t>PC</w:t>
      </w:r>
      <w:r w:rsidRPr="00F90EAE">
        <w:rPr>
          <w:color w:val="000000" w:themeColor="text1"/>
          <w:sz w:val="16"/>
          <w:szCs w:val="16"/>
        </w:rPr>
        <w:t xml:space="preserve">-14, пнв 30.12.1975 г.), «Тополь» РТ-2ПМ (15Ж58, РС-12М, пнв 1.12.1988 г.), РТ-2ПМ «Тополь-2» (8К98П), «Тополь-М» </w:t>
      </w:r>
      <w:r w:rsidRPr="00F90EAE">
        <w:rPr>
          <w:color w:val="000000" w:themeColor="text1"/>
          <w:sz w:val="16"/>
          <w:szCs w:val="16"/>
          <w:lang w:val="en-US"/>
        </w:rPr>
        <w:t>PT</w:t>
      </w:r>
      <w:r w:rsidRPr="00F90EAE">
        <w:rPr>
          <w:color w:val="000000" w:themeColor="text1"/>
          <w:sz w:val="16"/>
          <w:szCs w:val="16"/>
        </w:rPr>
        <w:t>-2</w:t>
      </w:r>
      <w:r w:rsidRPr="00F90EAE">
        <w:rPr>
          <w:color w:val="000000" w:themeColor="text1"/>
          <w:sz w:val="16"/>
          <w:szCs w:val="16"/>
          <w:lang w:val="en-US"/>
        </w:rPr>
        <w:t>IIM</w:t>
      </w:r>
      <w:r w:rsidRPr="00F90EAE">
        <w:rPr>
          <w:color w:val="000000" w:themeColor="text1"/>
          <w:sz w:val="16"/>
          <w:szCs w:val="16"/>
        </w:rPr>
        <w:t>2 (8Ж65, 15Ж66, РС-12М2, 20.12.1994 г., пнв 13.07.2000 г.); «Курьер» (15Ж59, опытная, 1990 г.); БРПЛ: РСМ-56 «Булава» на базе «Тополь-М» (3</w:t>
      </w:r>
      <w:r w:rsidRPr="00F90EAE">
        <w:rPr>
          <w:color w:val="000000" w:themeColor="text1"/>
          <w:sz w:val="16"/>
          <w:szCs w:val="16"/>
          <w:lang w:val="en-US"/>
        </w:rPr>
        <w:t>M</w:t>
      </w:r>
      <w:r w:rsidRPr="00F90EAE">
        <w:rPr>
          <w:color w:val="000000" w:themeColor="text1"/>
          <w:sz w:val="16"/>
          <w:szCs w:val="16"/>
        </w:rPr>
        <w:t>30,2000-е); БРСД: «Пионер» (15Ж45, РСД-10, пнв 9.01.1976 г.), «Пионер-УТТХ» (15Ж53, пнв 23.04.1981 г.), «Пионер-3» (15Ж57, 1983, опытный), «Скорость» (15Ж66, 1985, опытная); ОТРК: «Нептун» (опытная, 1950-е); «Марс» 2К1 (ЗР1, пнв 20.03.1958 г.), «Филин» (ЗР2, 1958); «Луна» 2К6 (ЗР9, ЗРЮ, пнв 6.07.1961 г.), «Луна-М» 9К52 (9М21, пнв 6.08.1964 г.) с ЯБЧ АА22, АА38; 9К52ТС «Луна-ТС» (пнв 7.07.1972 г.), 9К53 «Луна-МВ» (1965), 9К52М «Луна-3» (1968-71); ПР-90 «Грач» (1963- 66); «Темп» (9М71, опытный, 1959), «Темп-Е» (1961, не реализована), «Темп-С» 9К76 (ОТР-22, 9М76, пнв 29.12.1965 г.), «Эльбрус» (1970-е, не реализован);</w:t>
      </w:r>
      <w:r w:rsidRPr="00F90EAE">
        <w:rPr>
          <w:color w:val="000000" w:themeColor="text1"/>
          <w:sz w:val="16"/>
          <w:szCs w:val="16"/>
          <w:vertAlign w:val="superscript"/>
        </w:rPr>
        <w:t>58</w:t>
      </w:r>
      <w:r w:rsidRPr="00F90EAE">
        <w:rPr>
          <w:color w:val="000000" w:themeColor="text1"/>
          <w:sz w:val="16"/>
          <w:szCs w:val="16"/>
        </w:rPr>
        <w:t xml:space="preserve"> геофизическая ракета РГ-35 (1964, не реализована); РН: «Старт-1» (1993) и «Старт» (1995) на базе РТ-2ПМ; инженерный реактивный тросомет ИТР-1 (пнв 15.05.1957 г.); пороховой реактивный генератор ГУТ-46 (1958); самописцы давления ГМС-5, ГМС-6, ЦМСД (1940-е); ПРД: ПД1-2Д для КА «Полет-1» (1963), ПД2-ЗК-А для РН «Восход» (1964), ПД4-7К (1965) и 11Д834 (1970) для РН «Союз».</w:t>
      </w:r>
      <w:r w:rsidRPr="00F90EAE">
        <w:rPr>
          <w:color w:val="000000" w:themeColor="text1"/>
          <w:sz w:val="16"/>
          <w:szCs w:val="16"/>
          <w:vertAlign w:val="superscript"/>
        </w:rPr>
        <w:t xml:space="preserve">126 </w:t>
      </w:r>
      <w:r w:rsidRPr="00F90EAE">
        <w:rPr>
          <w:color w:val="000000" w:themeColor="text1"/>
          <w:sz w:val="16"/>
          <w:szCs w:val="16"/>
        </w:rPr>
        <w:t>(11982).</w:t>
      </w:r>
    </w:p>
    <w:p w14:paraId="799A00D2" w14:textId="77777777" w:rsidR="00BF0005" w:rsidRPr="00F90EAE" w:rsidRDefault="00BF0005" w:rsidP="00F90EAE">
      <w:pPr>
        <w:autoSpaceDE w:val="0"/>
        <w:autoSpaceDN w:val="0"/>
        <w:adjustRightInd w:val="0"/>
        <w:jc w:val="both"/>
        <w:rPr>
          <w:color w:val="000000" w:themeColor="text1"/>
          <w:sz w:val="16"/>
          <w:szCs w:val="16"/>
        </w:rPr>
      </w:pPr>
    </w:p>
    <w:p w14:paraId="241E6E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вышло Распоряжение ГКО № 8359. О дополнительном выделении автобензина СНК Татарской АССР. РГАНИР, Фонд ГКО, д. 408, лл. 252 (11012).</w:t>
      </w:r>
    </w:p>
    <w:p w14:paraId="3E801CDA" w14:textId="77777777" w:rsidR="00665165" w:rsidRPr="00F90EAE" w:rsidRDefault="00665165" w:rsidP="00F90EAE">
      <w:pPr>
        <w:autoSpaceDE w:val="0"/>
        <w:autoSpaceDN w:val="0"/>
        <w:adjustRightInd w:val="0"/>
        <w:jc w:val="both"/>
        <w:rPr>
          <w:color w:val="000000" w:themeColor="text1"/>
          <w:sz w:val="16"/>
          <w:szCs w:val="16"/>
        </w:rPr>
      </w:pPr>
    </w:p>
    <w:p w14:paraId="53DFA05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51674C8" w14:textId="77777777" w:rsidR="00665165" w:rsidRPr="00F90EAE" w:rsidRDefault="00665165" w:rsidP="00F90EAE">
      <w:pPr>
        <w:autoSpaceDE w:val="0"/>
        <w:autoSpaceDN w:val="0"/>
        <w:adjustRightInd w:val="0"/>
        <w:jc w:val="both"/>
        <w:rPr>
          <w:iCs/>
          <w:color w:val="000000" w:themeColor="text1"/>
          <w:sz w:val="16"/>
          <w:szCs w:val="16"/>
        </w:rPr>
      </w:pPr>
    </w:p>
    <w:p w14:paraId="098AF453" w14:textId="77777777" w:rsidR="00BF0005" w:rsidRPr="00F90EAE" w:rsidRDefault="00BF0005" w:rsidP="00F90EAE">
      <w:pPr>
        <w:jc w:val="both"/>
        <w:rPr>
          <w:color w:val="000000" w:themeColor="text1"/>
          <w:sz w:val="16"/>
          <w:szCs w:val="16"/>
        </w:rPr>
      </w:pPr>
      <w:r w:rsidRPr="00F90EAE">
        <w:rPr>
          <w:color w:val="000000" w:themeColor="text1"/>
          <w:sz w:val="16"/>
          <w:szCs w:val="16"/>
        </w:rPr>
        <w:t>29 апреля в 1945 году оперативная сводка Совинформбюро:</w:t>
      </w:r>
    </w:p>
    <w:p w14:paraId="32CBDB8F" w14:textId="77777777" w:rsidR="00BF0005" w:rsidRPr="00F90EAE" w:rsidRDefault="00BF0005"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29 апреля овладели городами и важными узлами дорог Анклам, Фридланд, Нойбранденбург, Лихен и вступили на территорию провинции Мекленбург, а также заняли крупные населённые пункты Юкермюнде, Менкебуде, Розенхаген, Духеров, Путцар, Шенбек, Вольдегк, Кельпин, Бург-Штаргард, Грамелов, Ганденитц, Хаммельшпринг. В боях за 28 апреля войска фронта взяли в плен до 2.000 немецких солдат и офицеров и захватили 106 полевых орудий.</w:t>
      </w:r>
    </w:p>
    <w:p w14:paraId="51B2DAC2" w14:textId="77777777" w:rsidR="00BF0005" w:rsidRPr="00F90EAE" w:rsidRDefault="00BF0005" w:rsidP="00F90EAE">
      <w:pPr>
        <w:jc w:val="both"/>
        <w:rPr>
          <w:color w:val="000000" w:themeColor="text1"/>
          <w:sz w:val="16"/>
          <w:szCs w:val="16"/>
        </w:rPr>
      </w:pPr>
      <w:r w:rsidRPr="00F90EAE">
        <w:rPr>
          <w:color w:val="000000" w:themeColor="text1"/>
          <w:sz w:val="16"/>
          <w:szCs w:val="16"/>
        </w:rPr>
        <w:t>Войска 1-го Белорусского фронта, продолжая вести уличные бои в Берлине, овладели городским районом Моабит, Ангальтсним вокзалом и заняли 177 кварталов в центральной части города. Севернее Берлина войска фронта с боями заняли крупные населённые пункты Иохимсталь, Гросс-Делльн, Гросс-Шенебек, Кландорф, Мариенвердер, Везендорф, Либенталь, Хаммер, Либенвальде. В боях за 28 апреля в Берлине войска фронта взяли в плен более 6.000 немецких солдат и офицеров и захватили следующие трофеи: самолётов—83, полевых орудий — 150, пулемётов — 480, автомашин — 2.500, паровозов — 139, железнодорожных вагонов — 3.090, складов с военным имуществом — 30.</w:t>
      </w:r>
    </w:p>
    <w:p w14:paraId="557F2E33" w14:textId="77777777" w:rsidR="00BF0005" w:rsidRPr="00F90EAE" w:rsidRDefault="00BF0005" w:rsidP="00F90EAE">
      <w:pPr>
        <w:jc w:val="both"/>
        <w:rPr>
          <w:color w:val="000000" w:themeColor="text1"/>
          <w:sz w:val="16"/>
          <w:szCs w:val="16"/>
        </w:rPr>
      </w:pPr>
      <w:r w:rsidRPr="00F90EAE">
        <w:rPr>
          <w:color w:val="000000" w:themeColor="text1"/>
          <w:sz w:val="16"/>
          <w:szCs w:val="16"/>
        </w:rPr>
        <w:lastRenderedPageBreak/>
        <w:t>Войска 1-го Украинского фронта вели уличные бои в юго-западной части Берлина и заняли южную часть городского района Вильмерсдорф до Берлинер штрассе, железнодорожные станции на окружной железной дороге — Гогенцоллерндамм, Халензее. В боях за 28 апреля в этом районе войска фронта взяли в плен свыше 5.000 немецких солдат и офицеров.</w:t>
      </w:r>
    </w:p>
    <w:p w14:paraId="0B1C3FAF" w14:textId="77777777" w:rsidR="00BF0005" w:rsidRPr="00F90EAE" w:rsidRDefault="00BF0005" w:rsidP="00F90EAE">
      <w:pPr>
        <w:jc w:val="both"/>
        <w:rPr>
          <w:color w:val="000000" w:themeColor="text1"/>
          <w:sz w:val="16"/>
          <w:szCs w:val="16"/>
        </w:rPr>
      </w:pPr>
      <w:r w:rsidRPr="00F90EAE">
        <w:rPr>
          <w:color w:val="000000" w:themeColor="text1"/>
          <w:sz w:val="16"/>
          <w:szCs w:val="16"/>
        </w:rPr>
        <w:t>Юго-восточнее Берлина, в районе населённого пункта Вендиш-Бухгольц, войска 1-го Белорусского и 1-го Украинского фронтов завершали ликвидацию окружённой группы немецких войск. В боях за 28 и 29 апреля в этом районе наши войска взяли в плен более 40.000 немецких солдат и офицеров, из них свыше 34.000 взяты войсками 1-го Белорусского фронта.</w:t>
      </w:r>
    </w:p>
    <w:p w14:paraId="55C3D84B" w14:textId="77777777" w:rsidR="00BF0005" w:rsidRPr="00F90EAE" w:rsidRDefault="00BF0005" w:rsidP="00F90EAE">
      <w:pPr>
        <w:jc w:val="both"/>
        <w:rPr>
          <w:color w:val="000000" w:themeColor="text1"/>
          <w:sz w:val="16"/>
          <w:szCs w:val="16"/>
        </w:rPr>
      </w:pPr>
      <w:r w:rsidRPr="00F90EAE">
        <w:rPr>
          <w:color w:val="000000" w:themeColor="text1"/>
          <w:sz w:val="16"/>
          <w:szCs w:val="16"/>
        </w:rPr>
        <w:t>На территории Чехословакии восточнее города Брно войска 2-го Украинского фронта, продолжая наступление, с боями заняли крупные населённые пункты Боршице, Освьетыманы, Вржесовице, Нехвалин, Ловчице, Ждянице, Бучовице, Орловице, Моравски Прусы, Дрновице.</w:t>
      </w:r>
    </w:p>
    <w:p w14:paraId="554D862B" w14:textId="77777777" w:rsidR="00BF0005" w:rsidRPr="00F90EAE" w:rsidRDefault="00BF0005"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произошло.</w:t>
      </w:r>
    </w:p>
    <w:p w14:paraId="1A21000E" w14:textId="77777777" w:rsidR="00BF0005" w:rsidRPr="00F90EAE" w:rsidRDefault="00BF0005" w:rsidP="00F90EAE">
      <w:pPr>
        <w:jc w:val="both"/>
        <w:rPr>
          <w:color w:val="000000" w:themeColor="text1"/>
          <w:sz w:val="16"/>
          <w:szCs w:val="16"/>
        </w:rPr>
      </w:pPr>
      <w:r w:rsidRPr="00F90EAE">
        <w:rPr>
          <w:color w:val="000000" w:themeColor="text1"/>
          <w:sz w:val="16"/>
          <w:szCs w:val="16"/>
        </w:rPr>
        <w:t>За 28 апреля на всех фронтах подбито и уничтожено 50 немецких танков и самоходных орудий. В воздушных боях и огнём зенитной артиллерии сбито 17 самолётов противника.</w:t>
      </w:r>
    </w:p>
    <w:p w14:paraId="7F0BEA28" w14:textId="77777777" w:rsidR="00BF0005" w:rsidRPr="00F90EAE" w:rsidRDefault="00BF0005"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Советские части, быстро продвигаясь вперёд, обходят вражеские опорные пункты, а затем мощными ударами вынуждают гитлеровцев оставлять одну позицию за другой. Наши войска, продвигающиеся вдоль Штеттинской гавани, преодолевая сопротивление противника и инженерно-минные заграждения на лесных дорогах, вышли к городу Анклам. Вражеский гарнизон упорно сопротивлялся, но был разгромлен. К западу от порода Пренцлау вчера завязались бои в полосе озёр. Немцы сильно укрепили проходы между озёрами и сосредоточили здесь много огневых средств. Наши пехотные и танковые части взломали вражескую оборону и, стремительно продвинувшись на северо-запад, в ночном бою овладели крупным населённым пунктом и железнодорожной станцией Вольдегк. Развивая успех, войска фронта продвинулись вперёд на 20 километров и штурмом заняли город Нойбранденбург — сильный опорный пункт обороны немцев у озера Толлензе-вее. Нойбранденбург является важным узлом путей сообщений. К нему сходятся шесть железных и несколько шоссейных дорог.</w:t>
      </w:r>
    </w:p>
    <w:p w14:paraId="0722EEE8" w14:textId="77777777" w:rsidR="00BF0005" w:rsidRPr="00F90EAE" w:rsidRDefault="00BF0005" w:rsidP="00F90EAE">
      <w:pPr>
        <w:jc w:val="both"/>
        <w:rPr>
          <w:color w:val="000000" w:themeColor="text1"/>
          <w:sz w:val="16"/>
          <w:szCs w:val="16"/>
        </w:rPr>
      </w:pPr>
      <w:r w:rsidRPr="00F90EAE">
        <w:rPr>
          <w:color w:val="000000" w:themeColor="text1"/>
          <w:sz w:val="16"/>
          <w:szCs w:val="16"/>
        </w:rPr>
        <w:t>В ходе боёв противник несёт тяжёлые потери. Пленные сообщают, что немецкая моторизованная дивизия «Остзее» в последних боях потеряла убитыми и пленными 80 процентов своего личного состава. 27-й артиллерийский полк и 3-й артиллерийский полк резерва главного командования потеряли всю свою материальную часть.</w:t>
      </w:r>
    </w:p>
    <w:p w14:paraId="6233DCD2" w14:textId="77777777" w:rsidR="00BF0005" w:rsidRPr="00F90EAE" w:rsidRDefault="00BF0005" w:rsidP="00F90EAE">
      <w:pPr>
        <w:jc w:val="both"/>
        <w:rPr>
          <w:color w:val="000000" w:themeColor="text1"/>
          <w:sz w:val="16"/>
          <w:szCs w:val="16"/>
        </w:rPr>
      </w:pPr>
      <w:r w:rsidRPr="00F90EAE">
        <w:rPr>
          <w:color w:val="000000" w:themeColor="text1"/>
          <w:sz w:val="16"/>
          <w:szCs w:val="16"/>
        </w:rPr>
        <w:t>В районе Штаргарда приземлился немецкий самолёт «Мессершмитт-110». Немецкий лётчик добровольно сдался в плен.</w:t>
      </w:r>
    </w:p>
    <w:p w14:paraId="7AAB5A5F" w14:textId="77777777" w:rsidR="00BF0005" w:rsidRPr="00F90EAE" w:rsidRDefault="00BF0005" w:rsidP="00F90EAE">
      <w:pPr>
        <w:jc w:val="both"/>
        <w:rPr>
          <w:color w:val="000000" w:themeColor="text1"/>
          <w:sz w:val="16"/>
          <w:szCs w:val="16"/>
        </w:rPr>
      </w:pPr>
      <w:r w:rsidRPr="00F90EAE">
        <w:rPr>
          <w:color w:val="000000" w:themeColor="text1"/>
          <w:sz w:val="16"/>
          <w:szCs w:val="16"/>
        </w:rPr>
        <w:t>Войска 1-го Белорусского фронта продолжали бои на улицах Берлина. Немецкие войска, зажатые в центральных районах германской столицы, оказывают отчаянное сопротивление. Советские части вчера прорвались по северному берегу реки Шпрее в городской район Моабит. Очищая на своём пути кварталы, прилегающие к улице Альт Моабит, наши бойцы вышли к известной Моабитской тюрьме и штурмом овладели ею. Отряды противника пытались удержать позиции у Лертерской товарной станции и на территории фотохимического завода. Сильными ударами гитлеровцы были прижаты к Шпрее и уничтожены. Очищая одну за другой улицы Моабита, наши войска заняли 14 заводов и освободили 12 тысяч военнопленных различных национальностей. Советские танкисты и пехотинцы, прорвавшиеся к центру города с юго-востока, в ходе ожесточённых боёв очищают от противника квартал за кварталом. Наши штурмовые группы блокируют станции метрополитена и укреплённые здания и уничижают засев-ших в них гитлеровцев. В результате упорных боёв занят Ангальтский вокзал. В течение дня уничтожено более 8 тысяч немецких солдат и офицеров.</w:t>
      </w:r>
    </w:p>
    <w:p w14:paraId="1AB6F8E8" w14:textId="77777777" w:rsidR="00BF0005" w:rsidRPr="00F90EAE" w:rsidRDefault="00BF0005" w:rsidP="00F90EAE">
      <w:pPr>
        <w:jc w:val="both"/>
        <w:rPr>
          <w:color w:val="000000" w:themeColor="text1"/>
          <w:sz w:val="16"/>
          <w:szCs w:val="16"/>
        </w:rPr>
      </w:pPr>
      <w:r w:rsidRPr="00F90EAE">
        <w:rPr>
          <w:color w:val="000000" w:themeColor="text1"/>
          <w:sz w:val="16"/>
          <w:szCs w:val="16"/>
        </w:rPr>
        <w:t>Войска 1-го Украинского фронта вели уличные бои в юго-западной части Берлина. Противник оказывал сопротивление, опираясь на оборонительные укрепления, построенные вдоль окружной железной дороги. Советские части при поддержке артиллерии прорвали вражескую оборону и заняли железнодорожные станции Гогенцоллерндамм и Халензее. Немцы пытались закрепиться в районе Гинденбург-парка. Однако наши бойцы преодолели многочисленные баррикады, сооружённые из брусчатки разобранных мостовых, очистили парк от противника и ведут бои в районе Берлинер-штрассе. Ожесточённые бои продолжались в городском районе Шенеберг. Нашими войсками занято здание ратуши, несколько станций метрополитена, трамвайный парк и казармы. Захвачены большие трофеи, в числе которых 150 полевых орудий.</w:t>
      </w:r>
    </w:p>
    <w:p w14:paraId="7877A2A3" w14:textId="77777777" w:rsidR="00BF0005" w:rsidRPr="00F90EAE" w:rsidRDefault="00BF0005" w:rsidP="00F90EAE">
      <w:pPr>
        <w:jc w:val="both"/>
        <w:rPr>
          <w:color w:val="000000" w:themeColor="text1"/>
          <w:sz w:val="16"/>
          <w:szCs w:val="16"/>
        </w:rPr>
      </w:pPr>
      <w:r w:rsidRPr="00F90EAE">
        <w:rPr>
          <w:color w:val="000000" w:themeColor="text1"/>
          <w:sz w:val="16"/>
          <w:szCs w:val="16"/>
        </w:rPr>
        <w:t>Юго-восточнее Берлина войска 1-го Белорусского и 1-го Украинского фронтов завершали ликвидацию окружённой группы войск противника. Немцы, прикрываясь с востока цепью озёр, пытались прорваться в западном направлении. Только на одном участке они предприняли двенадцать контратак. Гитлеровцы потеряли убитыми свыше 4.000 солдат и офицеров, но успеха не добились. На других участках все вражеские контратаки также были успешно отражены мощным огнём советской артиллерии, миномётов и ударами танков и пехоты. Сжимая кольцо окружения, наши войска загнали немцев на узкий участок. Деморализованные группы противника складывают оружие и сдаются в плен.</w:t>
      </w:r>
    </w:p>
    <w:p w14:paraId="20A7368F" w14:textId="77777777" w:rsidR="00BF0005" w:rsidRPr="00F90EAE" w:rsidRDefault="00BF0005" w:rsidP="00F90EAE">
      <w:pPr>
        <w:jc w:val="both"/>
        <w:rPr>
          <w:color w:val="000000" w:themeColor="text1"/>
          <w:sz w:val="16"/>
          <w:szCs w:val="16"/>
        </w:rPr>
      </w:pPr>
      <w:r w:rsidRPr="00F90EAE">
        <w:rPr>
          <w:color w:val="000000" w:themeColor="text1"/>
          <w:sz w:val="16"/>
          <w:szCs w:val="16"/>
        </w:rPr>
        <w:t>Авиацией Краснознамённого Балтийского флота в южной части Балтийского моря потоплен немецкий транспорт. Прямым попаданием бомб повреждены два транспорта противника (15114).</w:t>
      </w:r>
    </w:p>
    <w:p w14:paraId="49E4E2CA" w14:textId="77777777" w:rsidR="00BF0005" w:rsidRPr="00F90EAE" w:rsidRDefault="00BF0005" w:rsidP="00F90EAE">
      <w:pPr>
        <w:jc w:val="both"/>
        <w:rPr>
          <w:color w:val="000000" w:themeColor="text1"/>
          <w:sz w:val="16"/>
          <w:szCs w:val="16"/>
        </w:rPr>
      </w:pPr>
    </w:p>
    <w:p w14:paraId="20B0CC74" w14:textId="77777777" w:rsidR="00B12671" w:rsidRPr="00F90EAE" w:rsidRDefault="00B12671" w:rsidP="00F90EAE">
      <w:pPr>
        <w:jc w:val="both"/>
        <w:rPr>
          <w:color w:val="0070C0"/>
          <w:sz w:val="16"/>
          <w:szCs w:val="16"/>
        </w:rPr>
      </w:pPr>
      <w:r w:rsidRPr="00F90EAE">
        <w:rPr>
          <w:color w:val="0070C0"/>
          <w:sz w:val="16"/>
          <w:szCs w:val="16"/>
        </w:rPr>
        <w:t>29 апреля 1945 1-й отряд (командир — майор В.А. Бассарев) предпринял первую корректиров</w:t>
      </w:r>
      <w:r w:rsidRPr="00F90EAE">
        <w:rPr>
          <w:color w:val="0070C0"/>
          <w:sz w:val="16"/>
          <w:szCs w:val="16"/>
        </w:rPr>
        <w:softHyphen/>
        <w:t>ку артогня по рейхстагу. Её провели воздухопла</w:t>
      </w:r>
      <w:r w:rsidRPr="00F90EAE">
        <w:rPr>
          <w:color w:val="0070C0"/>
          <w:sz w:val="16"/>
          <w:szCs w:val="16"/>
        </w:rPr>
        <w:softHyphen/>
        <w:t>ватели Василий Митин, Константин Ващенко, Гематудинов, а их работу обеспечивал Константин Карнович. Наблюдатели увидели рейхстаг и, не дожидаясь приказа, скомандовали: «По рейхста</w:t>
      </w:r>
      <w:r w:rsidRPr="00F90EAE">
        <w:rPr>
          <w:color w:val="0070C0"/>
          <w:sz w:val="16"/>
          <w:szCs w:val="16"/>
        </w:rPr>
        <w:softHyphen/>
        <w:t>гу — огонь!» После нескольких выстрелов насту</w:t>
      </w:r>
      <w:r w:rsidRPr="00F90EAE">
        <w:rPr>
          <w:color w:val="0070C0"/>
          <w:sz w:val="16"/>
          <w:szCs w:val="16"/>
        </w:rPr>
        <w:softHyphen/>
        <w:t>пила команда: «Отставить! Рано!..» В тот же день командир 3-го отряда капитан Груздев получил радиограмму с приказом немедленно поднять аэростат для корректировки артиллерийского огня по скоплению противника в районе Кёнигсплац и рейхстага. С восходом солнца в воздухе висел аэростат, из корзины которого старший лейтенант Лабутин и приданный офицер-артил</w:t>
      </w:r>
      <w:r w:rsidRPr="00F90EAE">
        <w:rPr>
          <w:color w:val="0070C0"/>
          <w:sz w:val="16"/>
          <w:szCs w:val="16"/>
        </w:rPr>
        <w:softHyphen/>
        <w:t>лерист вели наблюдение за районом рейхстага. За</w:t>
      </w:r>
      <w:r w:rsidRPr="00F90EAE">
        <w:rPr>
          <w:color w:val="0070C0"/>
          <w:sz w:val="16"/>
          <w:szCs w:val="16"/>
        </w:rPr>
        <w:softHyphen/>
        <w:t>тем артиллериста сменил Анатолий Вениамино</w:t>
      </w:r>
      <w:r w:rsidRPr="00F90EAE">
        <w:rPr>
          <w:color w:val="0070C0"/>
          <w:sz w:val="16"/>
          <w:szCs w:val="16"/>
        </w:rPr>
        <w:softHyphen/>
        <w:t>вич Сельдешов, поднявшийся вместе с Николаем Лабутиным, а затем — с Валентином Петровским. Петровский захватил трофейный фотоаппарат, и воздухоплаватели сфотографировали друг дру</w:t>
      </w:r>
      <w:r w:rsidRPr="00F90EAE">
        <w:rPr>
          <w:color w:val="0070C0"/>
          <w:sz w:val="16"/>
          <w:szCs w:val="16"/>
        </w:rPr>
        <w:softHyphen/>
        <w:t>га в берлинском небе на фоне батальной панора</w:t>
      </w:r>
      <w:r w:rsidRPr="00F90EAE">
        <w:rPr>
          <w:color w:val="0070C0"/>
          <w:sz w:val="16"/>
          <w:szCs w:val="16"/>
        </w:rPr>
        <w:softHyphen/>
        <w:t>мы. Затем Петровского сменил Василий Трухан, выполнивший аэрофотосъёмку в интересах ар</w:t>
      </w:r>
      <w:r w:rsidRPr="00F90EAE">
        <w:rPr>
          <w:color w:val="0070C0"/>
          <w:sz w:val="16"/>
          <w:szCs w:val="16"/>
        </w:rPr>
        <w:softHyphen/>
        <w:t>тиллерийской дивизии. После Трухана А.В. Сель</w:t>
      </w:r>
      <w:r w:rsidRPr="00F90EAE">
        <w:rPr>
          <w:color w:val="0070C0"/>
          <w:sz w:val="16"/>
          <w:szCs w:val="16"/>
        </w:rPr>
        <w:softHyphen/>
        <w:t>дешов находился в воздухе в одиночку ещё почти полтора часа, наблюдая за центральной частью города, рейхстагом и рейхсканцелярией (20120).</w:t>
      </w:r>
    </w:p>
    <w:p w14:paraId="39A04DB7" w14:textId="77777777" w:rsidR="00B12671" w:rsidRPr="00F90EAE" w:rsidRDefault="00B12671" w:rsidP="00F90EAE">
      <w:pPr>
        <w:jc w:val="both"/>
        <w:rPr>
          <w:color w:val="0070C0"/>
          <w:sz w:val="16"/>
          <w:szCs w:val="16"/>
        </w:rPr>
      </w:pPr>
    </w:p>
    <w:p w14:paraId="6CDD4D3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в бою у рейхсканцелярии в Берлине погиб шеф гестапо Г. Мюллер (по некоторым данным, он не погиб, а бежал на Запад) (4962).</w:t>
      </w:r>
    </w:p>
    <w:p w14:paraId="00E88ED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4BD008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советскими войсками создано временное правительство Австрии (4962).</w:t>
      </w:r>
    </w:p>
    <w:p w14:paraId="11C967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69D0A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Ил-2 3 ад в сопровождении Як-9 10 иап атаковали авиабазу в Neuruppin (241,37).</w:t>
      </w:r>
    </w:p>
    <w:p w14:paraId="019C8F16" w14:textId="77777777" w:rsidR="00665165" w:rsidRPr="00F90EAE" w:rsidRDefault="00665165" w:rsidP="00F90EAE">
      <w:pPr>
        <w:autoSpaceDE w:val="0"/>
        <w:autoSpaceDN w:val="0"/>
        <w:adjustRightInd w:val="0"/>
        <w:jc w:val="both"/>
        <w:rPr>
          <w:color w:val="000000" w:themeColor="text1"/>
          <w:sz w:val="16"/>
          <w:szCs w:val="16"/>
        </w:rPr>
      </w:pPr>
    </w:p>
    <w:p w14:paraId="6E29E295" w14:textId="77777777" w:rsidR="00FC186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7E652AF" w14:textId="77777777" w:rsidR="00FC1867" w:rsidRPr="00F90EAE" w:rsidRDefault="00FC1867" w:rsidP="00F90EAE">
      <w:pPr>
        <w:autoSpaceDE w:val="0"/>
        <w:autoSpaceDN w:val="0"/>
        <w:adjustRightInd w:val="0"/>
        <w:jc w:val="both"/>
        <w:rPr>
          <w:iCs/>
          <w:color w:val="000000" w:themeColor="text1"/>
          <w:sz w:val="16"/>
          <w:szCs w:val="16"/>
        </w:rPr>
      </w:pPr>
    </w:p>
    <w:p w14:paraId="39FEDFD0" w14:textId="77777777" w:rsidR="00FC1867" w:rsidRPr="00F90EAE" w:rsidRDefault="00FC1867" w:rsidP="00F90EAE">
      <w:pPr>
        <w:jc w:val="both"/>
        <w:rPr>
          <w:color w:val="000000" w:themeColor="text1"/>
          <w:sz w:val="16"/>
          <w:szCs w:val="16"/>
        </w:rPr>
      </w:pPr>
      <w:r w:rsidRPr="00F90EAE">
        <w:rPr>
          <w:color w:val="000000" w:themeColor="text1"/>
          <w:sz w:val="16"/>
          <w:szCs w:val="16"/>
        </w:rPr>
        <w:t>29 апреля в 1945 году в Москве отменено ночное затемнение (15114).</w:t>
      </w:r>
    </w:p>
    <w:p w14:paraId="01DCF90C" w14:textId="77777777" w:rsidR="00FC1867" w:rsidRPr="00F90EAE" w:rsidRDefault="00FC1867" w:rsidP="00F90EAE">
      <w:pPr>
        <w:jc w:val="both"/>
        <w:rPr>
          <w:color w:val="000000" w:themeColor="text1"/>
          <w:sz w:val="16"/>
          <w:szCs w:val="16"/>
        </w:rPr>
      </w:pPr>
    </w:p>
    <w:p w14:paraId="154AE39B" w14:textId="77777777" w:rsidR="00DB35FE"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50A6529" w14:textId="77777777" w:rsidR="00DB35FE" w:rsidRPr="00F90EAE" w:rsidRDefault="00DB35FE" w:rsidP="00F90EAE">
      <w:pPr>
        <w:autoSpaceDE w:val="0"/>
        <w:autoSpaceDN w:val="0"/>
        <w:adjustRightInd w:val="0"/>
        <w:jc w:val="both"/>
        <w:rPr>
          <w:iCs/>
          <w:color w:val="000000" w:themeColor="text1"/>
          <w:sz w:val="16"/>
          <w:szCs w:val="16"/>
        </w:rPr>
      </w:pPr>
    </w:p>
    <w:p w14:paraId="2AD7BB0D" w14:textId="77777777" w:rsidR="00DB35FE" w:rsidRPr="00F90EAE" w:rsidRDefault="00DB35FE" w:rsidP="00F90EAE">
      <w:pPr>
        <w:jc w:val="both"/>
        <w:rPr>
          <w:color w:val="000000" w:themeColor="text1"/>
          <w:sz w:val="16"/>
          <w:szCs w:val="16"/>
        </w:rPr>
      </w:pPr>
      <w:r w:rsidRPr="00F90EAE">
        <w:rPr>
          <w:color w:val="000000" w:themeColor="text1"/>
          <w:sz w:val="16"/>
          <w:szCs w:val="16"/>
        </w:rPr>
        <w:t>29 апреля в 1945 году советскими войсками создано временное правительство Австрии (15114).</w:t>
      </w:r>
    </w:p>
    <w:p w14:paraId="312F9D97" w14:textId="77777777" w:rsidR="00DB35FE" w:rsidRPr="00F90EAE" w:rsidRDefault="00DB35FE" w:rsidP="00F90EAE">
      <w:pPr>
        <w:jc w:val="both"/>
        <w:rPr>
          <w:color w:val="000000" w:themeColor="text1"/>
          <w:sz w:val="16"/>
          <w:szCs w:val="16"/>
        </w:rPr>
      </w:pPr>
    </w:p>
    <w:p w14:paraId="0ABD88B8" w14:textId="77777777" w:rsidR="00DB35FE" w:rsidRPr="00F90EAE" w:rsidRDefault="00DB35FE" w:rsidP="00F90EAE">
      <w:pPr>
        <w:jc w:val="both"/>
        <w:rPr>
          <w:color w:val="000000" w:themeColor="text1"/>
          <w:sz w:val="16"/>
          <w:szCs w:val="16"/>
        </w:rPr>
      </w:pPr>
      <w:r w:rsidRPr="00F90EAE">
        <w:rPr>
          <w:color w:val="000000" w:themeColor="text1"/>
          <w:sz w:val="16"/>
          <w:szCs w:val="16"/>
        </w:rPr>
        <w:t>29 апреля в 1945 году признание Советским правительством Временного правительства Австрии (15114).</w:t>
      </w:r>
    </w:p>
    <w:p w14:paraId="2432ACAC" w14:textId="77777777" w:rsidR="00DB35FE" w:rsidRPr="00F90EAE" w:rsidRDefault="00DB35FE" w:rsidP="00F90EAE">
      <w:pPr>
        <w:jc w:val="both"/>
        <w:rPr>
          <w:color w:val="000000" w:themeColor="text1"/>
          <w:sz w:val="16"/>
          <w:szCs w:val="16"/>
        </w:rPr>
      </w:pPr>
    </w:p>
    <w:p w14:paraId="4717144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B72DBA9" w14:textId="77777777" w:rsidR="00665165" w:rsidRPr="00F90EAE" w:rsidRDefault="00665165" w:rsidP="00F90EAE">
      <w:pPr>
        <w:autoSpaceDE w:val="0"/>
        <w:autoSpaceDN w:val="0"/>
        <w:adjustRightInd w:val="0"/>
        <w:jc w:val="both"/>
        <w:rPr>
          <w:iCs/>
          <w:color w:val="000000" w:themeColor="text1"/>
          <w:sz w:val="16"/>
          <w:szCs w:val="16"/>
        </w:rPr>
      </w:pPr>
    </w:p>
    <w:p w14:paraId="6061CEBD" w14:textId="77777777" w:rsidR="008D6E07" w:rsidRPr="00F90EAE" w:rsidRDefault="008D6E07" w:rsidP="00F90EAE">
      <w:pPr>
        <w:jc w:val="both"/>
        <w:rPr>
          <w:color w:val="000000" w:themeColor="text1"/>
          <w:sz w:val="16"/>
          <w:szCs w:val="16"/>
        </w:rPr>
      </w:pPr>
      <w:r w:rsidRPr="00F90EAE">
        <w:rPr>
          <w:color w:val="000000" w:themeColor="text1"/>
          <w:sz w:val="16"/>
          <w:szCs w:val="16"/>
        </w:rPr>
        <w:t>29 апреля в 1945 году утвержден новый текст присяги РОА, однако, без слов о верности германскому фюреру (15114).</w:t>
      </w:r>
    </w:p>
    <w:p w14:paraId="23451B87" w14:textId="77777777" w:rsidR="008D6E07" w:rsidRPr="00F90EAE" w:rsidRDefault="008D6E07" w:rsidP="00F90EAE">
      <w:pPr>
        <w:jc w:val="both"/>
        <w:rPr>
          <w:color w:val="000000" w:themeColor="text1"/>
          <w:sz w:val="16"/>
          <w:szCs w:val="16"/>
        </w:rPr>
      </w:pPr>
    </w:p>
    <w:p w14:paraId="2D3DCEF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американские войска освободили заключенных концлагеря Дахау, при этом казнив 122 охранника лагеря (4962).</w:t>
      </w:r>
    </w:p>
    <w:p w14:paraId="373A2AD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8AEBD3" w14:textId="77777777" w:rsidR="008D6E07" w:rsidRPr="00F90EAE" w:rsidRDefault="008D6E07"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29 1945 U.S. 7th Army liberates Dachau concentration camp (1050).</w:t>
      </w:r>
    </w:p>
    <w:p w14:paraId="6585D671" w14:textId="77777777" w:rsidR="008D6E07" w:rsidRPr="00F90EAE" w:rsidRDefault="008D6E07" w:rsidP="00F90EAE">
      <w:pPr>
        <w:autoSpaceDE w:val="0"/>
        <w:autoSpaceDN w:val="0"/>
        <w:adjustRightInd w:val="0"/>
        <w:jc w:val="both"/>
        <w:rPr>
          <w:color w:val="000000" w:themeColor="text1"/>
          <w:sz w:val="16"/>
          <w:szCs w:val="16"/>
          <w:lang w:val="en-US"/>
        </w:rPr>
      </w:pPr>
    </w:p>
    <w:p w14:paraId="5A809041" w14:textId="77777777" w:rsidR="008D6E07" w:rsidRPr="00F90EAE" w:rsidRDefault="008D6E07"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29 1945 American soldiers discover Dachau concentration camp, near Munich, with 39 boxcars of corpses (1769).</w:t>
      </w:r>
    </w:p>
    <w:p w14:paraId="112AFA56" w14:textId="77777777" w:rsidR="008D6E07" w:rsidRPr="00F90EAE" w:rsidRDefault="008D6E07" w:rsidP="00F90EAE">
      <w:pPr>
        <w:autoSpaceDE w:val="0"/>
        <w:autoSpaceDN w:val="0"/>
        <w:adjustRightInd w:val="0"/>
        <w:jc w:val="both"/>
        <w:rPr>
          <w:color w:val="000000" w:themeColor="text1"/>
          <w:sz w:val="16"/>
          <w:szCs w:val="16"/>
          <w:lang w:val="en-US"/>
        </w:rPr>
      </w:pPr>
    </w:p>
    <w:p w14:paraId="38D27E39" w14:textId="77777777" w:rsidR="008D6E07" w:rsidRPr="00F90EAE" w:rsidRDefault="008D6E07"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американские войска освободили концлагерь Дахау, где обнаружили 39 вагонов трупов (1050;1769).</w:t>
      </w:r>
    </w:p>
    <w:p w14:paraId="7E412765" w14:textId="77777777" w:rsidR="008D6E07" w:rsidRPr="00F90EAE" w:rsidRDefault="008D6E07" w:rsidP="00F90EAE">
      <w:pPr>
        <w:autoSpaceDE w:val="0"/>
        <w:autoSpaceDN w:val="0"/>
        <w:adjustRightInd w:val="0"/>
        <w:jc w:val="both"/>
        <w:rPr>
          <w:color w:val="000000" w:themeColor="text1"/>
          <w:sz w:val="16"/>
          <w:szCs w:val="16"/>
        </w:rPr>
      </w:pPr>
    </w:p>
    <w:p w14:paraId="249153F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Гитлер и Ева Браун обвенчались накануне гибели (4962).</w:t>
      </w:r>
    </w:p>
    <w:p w14:paraId="764EF16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8F47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А.Г. и Е.Браун в бункере поженились с тем, чтобы умереть на следующий день (3263,204).</w:t>
      </w:r>
    </w:p>
    <w:p w14:paraId="0CC309A6" w14:textId="77777777" w:rsidR="00665165" w:rsidRPr="00F90EAE" w:rsidRDefault="00665165" w:rsidP="00F90EAE">
      <w:pPr>
        <w:autoSpaceDE w:val="0"/>
        <w:autoSpaceDN w:val="0"/>
        <w:adjustRightInd w:val="0"/>
        <w:jc w:val="both"/>
        <w:rPr>
          <w:color w:val="000000" w:themeColor="text1"/>
          <w:sz w:val="16"/>
          <w:szCs w:val="16"/>
        </w:rPr>
      </w:pPr>
    </w:p>
    <w:p w14:paraId="3155EE49" w14:textId="77777777" w:rsidR="00DB35FE" w:rsidRPr="00F90EAE" w:rsidRDefault="00DB35FE" w:rsidP="00F90EAE">
      <w:pPr>
        <w:jc w:val="both"/>
        <w:rPr>
          <w:color w:val="000000" w:themeColor="text1"/>
          <w:sz w:val="16"/>
          <w:szCs w:val="16"/>
        </w:rPr>
      </w:pPr>
      <w:r w:rsidRPr="00F90EAE">
        <w:rPr>
          <w:color w:val="000000" w:themeColor="text1"/>
          <w:sz w:val="16"/>
          <w:szCs w:val="16"/>
        </w:rPr>
        <w:t>29 апреля в 1945 году в окруженном советскими войсками Берлине в подземном бункере имперской канцелярии проходит свадьба Адольфа Гитлера и Евы Браун. На следующий день молодожены покончат с собой (15114).</w:t>
      </w:r>
    </w:p>
    <w:p w14:paraId="48A33D36" w14:textId="77777777" w:rsidR="00DB35FE" w:rsidRPr="00F90EAE" w:rsidRDefault="00DB35FE" w:rsidP="00F90EAE">
      <w:pPr>
        <w:jc w:val="both"/>
        <w:rPr>
          <w:color w:val="000000" w:themeColor="text1"/>
          <w:sz w:val="16"/>
          <w:szCs w:val="16"/>
        </w:rPr>
      </w:pPr>
    </w:p>
    <w:p w14:paraId="39702087" w14:textId="77777777" w:rsidR="008D6E07" w:rsidRPr="00F90EAE" w:rsidRDefault="008D6E07" w:rsidP="00F90EAE">
      <w:pPr>
        <w:jc w:val="both"/>
        <w:rPr>
          <w:color w:val="000000" w:themeColor="text1"/>
          <w:sz w:val="16"/>
          <w:szCs w:val="16"/>
        </w:rPr>
      </w:pPr>
      <w:r w:rsidRPr="00F90EAE">
        <w:rPr>
          <w:color w:val="000000" w:themeColor="text1"/>
          <w:sz w:val="16"/>
          <w:szCs w:val="16"/>
        </w:rPr>
        <w:t>29 апреля в 1945 году в бою у рейхсканцелярии в Берлине погибает шеф гестапо Г.Мюллер (по некоторым данным, он не погиб, а бежал на Запад) (15114).</w:t>
      </w:r>
    </w:p>
    <w:p w14:paraId="1D9CA1B4" w14:textId="77777777" w:rsidR="008D6E07" w:rsidRPr="00F90EAE" w:rsidRDefault="008D6E07" w:rsidP="00F90EAE">
      <w:pPr>
        <w:jc w:val="both"/>
        <w:rPr>
          <w:color w:val="000000" w:themeColor="text1"/>
          <w:sz w:val="16"/>
          <w:szCs w:val="16"/>
        </w:rPr>
      </w:pPr>
    </w:p>
    <w:p w14:paraId="1CF434E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апреля 1945 капитулировали войскам союзником германские войска в Северной Италии (4962).</w:t>
      </w:r>
    </w:p>
    <w:p w14:paraId="5F9D884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83201B" w14:textId="77777777" w:rsidR="008D6E07" w:rsidRPr="00F90EAE" w:rsidRDefault="008D6E07" w:rsidP="00F90EAE">
      <w:pPr>
        <w:jc w:val="both"/>
        <w:rPr>
          <w:color w:val="000000" w:themeColor="text1"/>
          <w:sz w:val="16"/>
          <w:szCs w:val="16"/>
        </w:rPr>
      </w:pPr>
      <w:r w:rsidRPr="00F90EAE">
        <w:rPr>
          <w:color w:val="000000" w:themeColor="text1"/>
          <w:sz w:val="16"/>
          <w:szCs w:val="16"/>
        </w:rPr>
        <w:t>29 апреля в 1945 году немецкая армия в Италии сдается Союзникам под командованием британского генерала Александра (Alexander) (15114).</w:t>
      </w:r>
    </w:p>
    <w:p w14:paraId="76738ABD" w14:textId="77777777" w:rsidR="008D6E07" w:rsidRPr="00F90EAE" w:rsidRDefault="008D6E07" w:rsidP="00F90EAE">
      <w:pPr>
        <w:jc w:val="both"/>
        <w:rPr>
          <w:color w:val="000000" w:themeColor="text1"/>
          <w:sz w:val="16"/>
          <w:szCs w:val="16"/>
        </w:rPr>
      </w:pPr>
    </w:p>
    <w:p w14:paraId="499E7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ф-м Александер принял капитуляцию в Италии (2248,5).</w:t>
      </w:r>
    </w:p>
    <w:p w14:paraId="5FC22AEC" w14:textId="77777777" w:rsidR="00665165" w:rsidRPr="00F90EAE" w:rsidRDefault="00665165" w:rsidP="00F90EAE">
      <w:pPr>
        <w:autoSpaceDE w:val="0"/>
        <w:autoSpaceDN w:val="0"/>
        <w:adjustRightInd w:val="0"/>
        <w:jc w:val="both"/>
        <w:rPr>
          <w:color w:val="000000" w:themeColor="text1"/>
          <w:sz w:val="16"/>
          <w:szCs w:val="16"/>
        </w:rPr>
      </w:pPr>
    </w:p>
    <w:p w14:paraId="36F5955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29th, 1945: The British Second Army crosses the Elbe at Lauenburg, 20 miles E of Hamburg, and advances toward Schwerin and Wismar in Mecklenburg. The French First Army (de Tassigny) captures Friedrichshafen on Lake Constance. In the battle of Berlin, the Red Army has now captured most of the city except for the area around the Brandenburg Gate, the Reichskanzlei and the Reichstag which is still fiercely defended by isolated units of the Waffen-SS (3819).</w:t>
      </w:r>
    </w:p>
    <w:p w14:paraId="06703E19" w14:textId="77777777" w:rsidR="00665165" w:rsidRPr="00F90EAE" w:rsidRDefault="00665165" w:rsidP="00F90EAE">
      <w:pPr>
        <w:autoSpaceDE w:val="0"/>
        <w:autoSpaceDN w:val="0"/>
        <w:adjustRightInd w:val="0"/>
        <w:jc w:val="both"/>
        <w:rPr>
          <w:color w:val="000000" w:themeColor="text1"/>
          <w:sz w:val="16"/>
          <w:szCs w:val="16"/>
          <w:lang w:val="en-US"/>
        </w:rPr>
      </w:pPr>
    </w:p>
    <w:p w14:paraId="1B0AFD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апреля 1945 британская 2А форсировала Эльбу и Лауенбурга в 20 милях от Гамбурга и продвинулась к Шверину и Висмара в Мекленбурге. Французская 1А заняла Фридрихсхаффен на о Констанца (3819).</w:t>
      </w:r>
    </w:p>
    <w:p w14:paraId="0FB4AEB3" w14:textId="77777777" w:rsidR="00665165" w:rsidRPr="00F90EAE" w:rsidRDefault="00665165" w:rsidP="00F90EAE">
      <w:pPr>
        <w:autoSpaceDE w:val="0"/>
        <w:autoSpaceDN w:val="0"/>
        <w:adjustRightInd w:val="0"/>
        <w:jc w:val="both"/>
        <w:rPr>
          <w:color w:val="000000" w:themeColor="text1"/>
          <w:sz w:val="16"/>
          <w:szCs w:val="16"/>
        </w:rPr>
      </w:pPr>
    </w:p>
    <w:p w14:paraId="219ED2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29 апреля по 8 мая 1945 г. проводилсь операция «Манна» (очень красноречивое название) и за это время нуждающиеся жители Роттердама, Гааги и других голландских городов получили более методом сброса 6000 т столь необходимых им вещей (было совершено 3156 самолето-вылетов). После наступления мира в Европе «Ланкастеры» потрудились в качестве воздушных извозчиков, вывезя с 4 по 28 мая более 75000 пленных из Германии в Англию (каждый самолет брал за один рейс 25 человек) (11860).</w:t>
      </w:r>
    </w:p>
    <w:p w14:paraId="65026C62" w14:textId="77777777" w:rsidR="00665165" w:rsidRPr="00F90EAE" w:rsidRDefault="00665165" w:rsidP="00F90EAE">
      <w:pPr>
        <w:autoSpaceDE w:val="0"/>
        <w:autoSpaceDN w:val="0"/>
        <w:adjustRightInd w:val="0"/>
        <w:jc w:val="both"/>
        <w:rPr>
          <w:color w:val="000000" w:themeColor="text1"/>
          <w:sz w:val="16"/>
          <w:szCs w:val="16"/>
        </w:rPr>
      </w:pPr>
    </w:p>
    <w:p w14:paraId="2904D0E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8CF1DF0" w14:textId="77777777" w:rsidR="00665165" w:rsidRPr="00F90EAE" w:rsidRDefault="00665165" w:rsidP="00F90EAE">
      <w:pPr>
        <w:autoSpaceDE w:val="0"/>
        <w:autoSpaceDN w:val="0"/>
        <w:adjustRightInd w:val="0"/>
        <w:jc w:val="both"/>
        <w:rPr>
          <w:iCs/>
          <w:color w:val="000000" w:themeColor="text1"/>
          <w:sz w:val="16"/>
          <w:szCs w:val="16"/>
        </w:rPr>
      </w:pPr>
    </w:p>
    <w:p w14:paraId="7CBC4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вышел приказ НКАП N 185с:</w:t>
      </w:r>
    </w:p>
    <w:p w14:paraId="5E444D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предохранения мотора АМ-42 самолетов Ил-10 от попадания пыли через всасываюший патрубок:</w:t>
      </w:r>
    </w:p>
    <w:p w14:paraId="7D6AAE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1 Литвинову и директору завода 18 Белянскому с 15 мая с.г. выпускать все самолеты Ил-10 с установкой пылефильтра, отработанного и испытанного заводом 18 на самолете Ил-10 N 404.</w:t>
      </w:r>
    </w:p>
    <w:p w14:paraId="00B49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всех самолетах Ил-10, выпущенных без пылефильтра, установить силами бригад заводов 1 и 18 в 2-х месячный срок полевой вариант пылефильтров (с наружной заслонкой)." (1828,90).</w:t>
      </w:r>
    </w:p>
    <w:p w14:paraId="2B1861CE" w14:textId="77777777" w:rsidR="00665165" w:rsidRPr="00F90EAE" w:rsidRDefault="00665165" w:rsidP="00F90EAE">
      <w:pPr>
        <w:autoSpaceDE w:val="0"/>
        <w:autoSpaceDN w:val="0"/>
        <w:adjustRightInd w:val="0"/>
        <w:jc w:val="both"/>
        <w:rPr>
          <w:color w:val="000000" w:themeColor="text1"/>
          <w:sz w:val="16"/>
          <w:szCs w:val="16"/>
        </w:rPr>
      </w:pPr>
    </w:p>
    <w:p w14:paraId="616CE81D" w14:textId="77777777" w:rsidR="00063378" w:rsidRPr="00F90EAE" w:rsidRDefault="00063378" w:rsidP="00F90EAE">
      <w:pPr>
        <w:jc w:val="both"/>
        <w:rPr>
          <w:color w:val="000000" w:themeColor="text1"/>
          <w:sz w:val="16"/>
          <w:szCs w:val="16"/>
        </w:rPr>
      </w:pPr>
      <w:r w:rsidRPr="00F90EAE">
        <w:rPr>
          <w:rStyle w:val="107"/>
          <w:rFonts w:eastAsiaTheme="minorHAnsi"/>
          <w:color w:val="000000" w:themeColor="text1"/>
          <w:sz w:val="16"/>
          <w:szCs w:val="16"/>
        </w:rPr>
        <w:t>30 апреля 1945 Приказом НКАП № 185с от директора заводов № 1 и № 18 обязывались с 15 мая 1945 года выпускать все самолеты Ил-10 с противопыльным фильтром по образцу пылефильтра завода № 18, а на всех самолетах, выпущенных без пылефильтров, «установить силами бригад заводов 1 и № 18 в двухмесячный срок полевой вариант пылефильтра».</w:t>
      </w:r>
    </w:p>
    <w:p w14:paraId="2A11826E" w14:textId="77777777" w:rsidR="00063378" w:rsidRPr="00F90EAE" w:rsidRDefault="00063378" w:rsidP="00F90EAE">
      <w:pPr>
        <w:jc w:val="both"/>
        <w:rPr>
          <w:color w:val="000000" w:themeColor="text1"/>
          <w:sz w:val="16"/>
          <w:szCs w:val="16"/>
        </w:rPr>
      </w:pPr>
      <w:r w:rsidRPr="00F90EAE">
        <w:rPr>
          <w:rStyle w:val="107"/>
          <w:rFonts w:eastAsiaTheme="minorHAnsi"/>
          <w:color w:val="000000" w:themeColor="text1"/>
          <w:sz w:val="16"/>
          <w:szCs w:val="16"/>
        </w:rPr>
        <w:t>В серийное производство пылефильтры были внедрены во второй половине мая: на заводе № 1 - с 1-й машины 7-й серии, а на заводе № 18 - с 1-й машины 8-й серии (17490).</w:t>
      </w:r>
    </w:p>
    <w:p w14:paraId="7CC588AE" w14:textId="77777777" w:rsidR="00063378" w:rsidRPr="00F90EAE" w:rsidRDefault="00063378" w:rsidP="00F90EAE">
      <w:pPr>
        <w:jc w:val="both"/>
        <w:rPr>
          <w:rStyle w:val="107"/>
          <w:rFonts w:eastAsiaTheme="minorHAnsi"/>
          <w:color w:val="000000" w:themeColor="text1"/>
          <w:sz w:val="16"/>
          <w:szCs w:val="16"/>
        </w:rPr>
      </w:pPr>
    </w:p>
    <w:p w14:paraId="411969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исходу 30 апреля 1945 в во 2-й ВА всего за 10 дней боевой работы 108-го гшап в полку оставалось боеспособ</w:t>
      </w:r>
      <w:r w:rsidRPr="00F90EAE">
        <w:rPr>
          <w:color w:val="000000" w:themeColor="text1"/>
          <w:sz w:val="16"/>
          <w:szCs w:val="16"/>
        </w:rPr>
        <w:softHyphen/>
        <w:t>ными всего 11 самолетов Ил-10. вследствие износа поршневых колец, приводившего к потере компрессии, из строя вышло 76% находившихся в эксплуатации моторов АМ-42. Еще 16% моторов АМ-42 "вышли из строя по причине появления бронзовой, стальной и алюминиевой стру</w:t>
      </w:r>
      <w:r w:rsidRPr="00F90EAE">
        <w:rPr>
          <w:color w:val="000000" w:themeColor="text1"/>
          <w:sz w:val="16"/>
          <w:szCs w:val="16"/>
        </w:rPr>
        <w:softHyphen/>
        <w:t>жек, попадания воды в картер и выбрасывания масла.Остальные 18 (!) «десяток» были неисправны и требовали ремонта. Если учесть, что к ис</w:t>
      </w:r>
      <w:r w:rsidRPr="00F90EAE">
        <w:rPr>
          <w:color w:val="000000" w:themeColor="text1"/>
          <w:sz w:val="16"/>
          <w:szCs w:val="16"/>
        </w:rPr>
        <w:softHyphen/>
        <w:t>ходу первого дня боевых действий в составе полка имелось 34 исправных самолетов Ил-10, то процент ежедневного выхода из строя матчасти просто ужасает. Аппроксимация «отхода» Ил-10 по неисправности и боевым причинам позволяет сде</w:t>
      </w:r>
      <w:r w:rsidRPr="00F90EAE">
        <w:rPr>
          <w:color w:val="000000" w:themeColor="text1"/>
          <w:sz w:val="16"/>
          <w:szCs w:val="16"/>
        </w:rPr>
        <w:softHyphen/>
        <w:t>лать вывод, что еще одна неделя боев, и 108-й гшап остался бы без боеготовых самолетов. Собственно, так и получилось. В те</w:t>
      </w:r>
      <w:r w:rsidRPr="00F90EAE">
        <w:rPr>
          <w:color w:val="000000" w:themeColor="text1"/>
          <w:sz w:val="16"/>
          <w:szCs w:val="16"/>
        </w:rPr>
        <w:softHyphen/>
        <w:t>чение мая месяца полк ни боевой, ни учебно-боевой работы на самолетах Ил-10 не вел, а занимался ремонтом неисправной матчасти и получением новой на авиабазе в г. Львов (11474,512).</w:t>
      </w:r>
    </w:p>
    <w:p w14:paraId="06EE82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094F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г. закончились войсковые испытания Ил-10, которые проходили с 16 апреля 1945. Летчики 108-го гшап выполнили 450 боевых вылетов. При этом, в самом конце войсковых испытаний, 30 апреля, был потерян один самолет: в Ил-10 летчика Городецкого попал крупнокалиберный зенитный снаряд. От машины отделился винт, носовая часть раскрылась железным “цветком”. Экипаж погиб (9528).</w:t>
      </w:r>
    </w:p>
    <w:p w14:paraId="0B30A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боевой деятельности Ил-10 анализировала бригада ГК НИИ ВВС во главе с ведущим инженером полковником П.Т.Аброщенко, в ее состав входили сотрудники ОКБ С.В.Ильюшина, ОКБ А.А.Микулина, серийных заводов № 18 и № 24.</w:t>
      </w:r>
    </w:p>
    <w:p w14:paraId="658C1D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выводах отчета по результатам войсковых испытаний Ил-10 отмечалось, что “...бомбовая нагрузка самолета по весу, назначению и калибру подвешиваемых авиабомб обеспечивает выполнение возлагаемых на самолет-штурмовик задач.</w:t>
      </w:r>
    </w:p>
    <w:p w14:paraId="4B632B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большого диапазона скоростей и лучшей маневренности облегчает задачу истребителей сопровождения и позволяет Ил-10 вступать в активный воздушный бой с противником.</w:t>
      </w:r>
    </w:p>
    <w:p w14:paraId="369A5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Живучесть конструкции (бронирование экипажа и винтомоторной группы) лучше, чем на самолете Ил-2, и в целом является достаточной.</w:t>
      </w:r>
    </w:p>
    <w:p w14:paraId="597FA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...Простота в технике пилотирования и сравнительно легкий переход к эксплуатации Ил-10 как летным, так и техническим составом дают возможность перевооружить штурмовые авиачасти на этот самолет в самые кратчайшие сроки”.</w:t>
      </w:r>
    </w:p>
    <w:p w14:paraId="11050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Великой Отечественной войны высокие боевые качества самолетов Ил-10 с успехом использовали уже несколько штурмовых авиаполков (9528).</w:t>
      </w:r>
    </w:p>
    <w:p w14:paraId="0A31BB23" w14:textId="77777777" w:rsidR="00665165" w:rsidRPr="00F90EAE" w:rsidRDefault="00665165" w:rsidP="00F90EAE">
      <w:pPr>
        <w:autoSpaceDE w:val="0"/>
        <w:autoSpaceDN w:val="0"/>
        <w:adjustRightInd w:val="0"/>
        <w:jc w:val="both"/>
        <w:rPr>
          <w:color w:val="000000" w:themeColor="text1"/>
          <w:sz w:val="16"/>
          <w:szCs w:val="16"/>
        </w:rPr>
      </w:pPr>
    </w:p>
    <w:p w14:paraId="30E4E2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Лосюков и Сафронов подписали Отчет по гос. испытаниям Ту-2 2 АШ-82ФН с винтами АВ-5В-37 N 16/7 производства 23 завода, которые проходили в марте-апреле 1945</w:t>
      </w:r>
    </w:p>
    <w:p w14:paraId="57CB04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2279B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В.А.Шубранов</w:t>
      </w:r>
    </w:p>
    <w:p w14:paraId="336F9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 М.А.Нюхтиков</w:t>
      </w:r>
    </w:p>
    <w:p w14:paraId="5BD77D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м-р М.П.Субботин</w:t>
      </w:r>
    </w:p>
    <w:p w14:paraId="74EC56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29D118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559FE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этого этот винт не был рекомендован</w:t>
      </w:r>
    </w:p>
    <w:p w14:paraId="727833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08515C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345F62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винтами серийными АВ-5В-167А в марте 1945 были получены:</w:t>
      </w:r>
    </w:p>
    <w:p w14:paraId="4A4356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- 477 км/час</w:t>
      </w:r>
    </w:p>
    <w:p w14:paraId="14497C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высотности 2600 м - 530 км/час</w:t>
      </w:r>
    </w:p>
    <w:p w14:paraId="6243C2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 высотности 5700 м - 544 км/час</w:t>
      </w:r>
    </w:p>
    <w:p w14:paraId="5C9889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- 9,3</w:t>
      </w:r>
    </w:p>
    <w:p w14:paraId="62D865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9650 м, время набора - 38</w:t>
      </w:r>
    </w:p>
    <w:p w14:paraId="22B7FC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- 690 м</w:t>
      </w:r>
    </w:p>
    <w:p w14:paraId="0762C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режим - обороты - 2500, Рк 1180.</w:t>
      </w:r>
    </w:p>
    <w:p w14:paraId="73E1F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12720 кг</w:t>
      </w:r>
    </w:p>
    <w:p w14:paraId="3F81EA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 190 км/час (807,5).</w:t>
      </w:r>
    </w:p>
    <w:p w14:paraId="75FBECE0" w14:textId="77777777" w:rsidR="00665165" w:rsidRPr="00F90EAE" w:rsidRDefault="00665165" w:rsidP="00F90EAE">
      <w:pPr>
        <w:autoSpaceDE w:val="0"/>
        <w:autoSpaceDN w:val="0"/>
        <w:adjustRightInd w:val="0"/>
        <w:jc w:val="both"/>
        <w:rPr>
          <w:color w:val="000000" w:themeColor="text1"/>
          <w:sz w:val="16"/>
          <w:szCs w:val="16"/>
        </w:rPr>
      </w:pPr>
    </w:p>
    <w:p w14:paraId="5CBB4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30 апреля 1945 закончились гос. испытания модифицированного Ла-7 N 38109658 производства 381 завода с 3 мягкими бензобаками, которые начались с 23 апреля 1945 (475,1).</w:t>
      </w:r>
    </w:p>
    <w:p w14:paraId="16CD2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853E1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Проходили с 23 апреля по 30 апреля 1945. 63 полета с налетом 8:35</w:t>
      </w:r>
    </w:p>
    <w:p w14:paraId="24FBC2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 исп. Инж-м Черняев</w:t>
      </w:r>
    </w:p>
    <w:p w14:paraId="69665E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ГСС м И.М.Тимофеев</w:t>
      </w:r>
    </w:p>
    <w:p w14:paraId="174511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рез-ты испытаний и результаты предыдущих испытаний.</w:t>
      </w:r>
    </w:p>
    <w:p w14:paraId="4FC988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018BF6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71724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разработаны т. С.А.Л. совместно с ВИАМ НКАП.</w:t>
      </w:r>
    </w:p>
    <w:p w14:paraId="477D48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2C6643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6A299F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59DDB3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настоящему времени приказ не реализован.</w:t>
      </w:r>
    </w:p>
    <w:p w14:paraId="292E22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является первым с-том з-да № 381, оборудованным мягкими б/б</w:t>
      </w:r>
    </w:p>
    <w:p w14:paraId="69F8F6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мм За протектирующими элементами следует внешний силовой слой из облегченного кожезаменителя толщиной в 2,5-3 мм.</w:t>
      </w:r>
    </w:p>
    <w:p w14:paraId="0F1CF2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649642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73726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05ECB0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6439C3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Модтфицированный с-т Ла-7 №... с крыльевыми мягкими б/б госиспытания прошел удовлетворительно.</w:t>
      </w:r>
    </w:p>
    <w:p w14:paraId="171A81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6EEB6F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5 мая 1945 Лосюков, Сафронов, ... (475,1).</w:t>
      </w:r>
    </w:p>
    <w:p w14:paraId="5931B5A8" w14:textId="77777777" w:rsidR="00665165" w:rsidRPr="00F90EAE" w:rsidRDefault="00665165" w:rsidP="00F90EAE">
      <w:pPr>
        <w:autoSpaceDE w:val="0"/>
        <w:autoSpaceDN w:val="0"/>
        <w:adjustRightInd w:val="0"/>
        <w:jc w:val="both"/>
        <w:rPr>
          <w:color w:val="000000" w:themeColor="text1"/>
          <w:sz w:val="16"/>
          <w:szCs w:val="16"/>
        </w:rPr>
      </w:pPr>
    </w:p>
    <w:p w14:paraId="6312D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на аэродром выкатили первый Як-3 с мотором ВК-107А, вооруженного тремя пушками Б-20 и выпущенного на заводе № 292 в инициативном порядке. В мае на ней планировалась отработка топливной и масляной систем двигателя, отстрел вооружения и испытания в воздухе. 16 мая 1945 года первый серийный самолет Як-3 В К- 107А завода №292 поднялся в воздух. До конца мая на самолете выполнили три полета, показав максимальную скорость у земли 594 км/ч и 707 км/ч - на второй границы высотности.</w:t>
      </w:r>
    </w:p>
    <w:p w14:paraId="63E37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2885C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E43F3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7FD929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49081F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7A2C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1C073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5B1E2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2F6BCE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55CB59C6" w14:textId="77777777" w:rsidR="00665165" w:rsidRPr="00F90EAE" w:rsidRDefault="00665165" w:rsidP="00F90EAE">
      <w:pPr>
        <w:autoSpaceDE w:val="0"/>
        <w:autoSpaceDN w:val="0"/>
        <w:adjustRightInd w:val="0"/>
        <w:jc w:val="both"/>
        <w:rPr>
          <w:color w:val="000000" w:themeColor="text1"/>
          <w:sz w:val="16"/>
          <w:szCs w:val="16"/>
        </w:rPr>
      </w:pPr>
    </w:p>
    <w:p w14:paraId="082D356F" w14:textId="77777777" w:rsidR="00B12671" w:rsidRPr="00F90EAE" w:rsidRDefault="00B12671" w:rsidP="00F90EAE">
      <w:pPr>
        <w:jc w:val="both"/>
        <w:rPr>
          <w:color w:val="0070C0"/>
          <w:sz w:val="16"/>
          <w:szCs w:val="16"/>
        </w:rPr>
      </w:pPr>
      <w:r w:rsidRPr="00F90EAE">
        <w:rPr>
          <w:color w:val="0070C0"/>
          <w:sz w:val="16"/>
          <w:szCs w:val="16"/>
        </w:rPr>
        <w:t>30 апреля 1945 г.</w:t>
      </w:r>
    </w:p>
    <w:p w14:paraId="4967906E" w14:textId="77777777" w:rsidR="00B12671" w:rsidRPr="00F90EAE" w:rsidRDefault="00B12671" w:rsidP="00F90EAE">
      <w:pPr>
        <w:jc w:val="both"/>
        <w:rPr>
          <w:color w:val="0070C0"/>
          <w:sz w:val="16"/>
          <w:szCs w:val="16"/>
        </w:rPr>
      </w:pPr>
      <w:r w:rsidRPr="00F90EAE">
        <w:rPr>
          <w:color w:val="0070C0"/>
          <w:sz w:val="16"/>
          <w:szCs w:val="16"/>
        </w:rPr>
        <w:t>ИЗ ПИСЬМА СЕКРЕТАРЯ НОВОСИБИРСКОГО ОБКОМА ВКП(б) М.В. КУЛАГИНА СЕКРЕТАРЮ ЦК ВКП(б) Г.М. МАЛЕНКОВУ</w:t>
      </w:r>
    </w:p>
    <w:p w14:paraId="251CB324" w14:textId="77777777" w:rsidR="00B12671" w:rsidRPr="00F90EAE" w:rsidRDefault="00B12671" w:rsidP="00F90EAE">
      <w:pPr>
        <w:jc w:val="both"/>
        <w:rPr>
          <w:color w:val="0070C0"/>
          <w:sz w:val="16"/>
          <w:szCs w:val="16"/>
        </w:rPr>
      </w:pPr>
      <w:r w:rsidRPr="00F90EAE">
        <w:rPr>
          <w:color w:val="0070C0"/>
          <w:sz w:val="16"/>
          <w:szCs w:val="16"/>
        </w:rPr>
        <w:t>30 апреля 1945 г.</w:t>
      </w:r>
    </w:p>
    <w:p w14:paraId="59112420" w14:textId="77777777" w:rsidR="00B12671" w:rsidRPr="00F90EAE" w:rsidRDefault="00B12671" w:rsidP="00F90EAE">
      <w:pPr>
        <w:jc w:val="both"/>
        <w:rPr>
          <w:color w:val="0070C0"/>
          <w:sz w:val="16"/>
          <w:szCs w:val="16"/>
        </w:rPr>
      </w:pPr>
      <w:r w:rsidRPr="00F90EAE">
        <w:rPr>
          <w:color w:val="0070C0"/>
          <w:sz w:val="16"/>
          <w:szCs w:val="16"/>
        </w:rPr>
        <w:t>Секретарю ЦК ВКП(б) тов. Маленкову Г.М.</w:t>
      </w:r>
    </w:p>
    <w:p w14:paraId="01A3B45F" w14:textId="77777777" w:rsidR="00B12671" w:rsidRPr="00F90EAE" w:rsidRDefault="00B12671" w:rsidP="00F90EAE">
      <w:pPr>
        <w:jc w:val="both"/>
        <w:rPr>
          <w:color w:val="0070C0"/>
          <w:sz w:val="16"/>
          <w:szCs w:val="16"/>
        </w:rPr>
      </w:pPr>
      <w:r w:rsidRPr="00F90EAE">
        <w:rPr>
          <w:color w:val="0070C0"/>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w:t>
      </w:r>
    </w:p>
    <w:p w14:paraId="004B64B3" w14:textId="77777777" w:rsidR="00B12671" w:rsidRPr="00F90EAE" w:rsidRDefault="00B12671" w:rsidP="00F90EAE">
      <w:pPr>
        <w:jc w:val="both"/>
        <w:rPr>
          <w:color w:val="0070C0"/>
          <w:sz w:val="16"/>
          <w:szCs w:val="16"/>
        </w:rPr>
      </w:pPr>
      <w:r w:rsidRPr="00F90EAE">
        <w:rPr>
          <w:color w:val="0070C0"/>
          <w:sz w:val="16"/>
          <w:szCs w:val="16"/>
        </w:rPr>
        <w:t>В течение 20 месяцев подряд ему присуждается знамя ГКО. Основной тип машины ЯК-9 с ВК-105ПФ, вооруженный пушкой МП-20, вытесняется постепенно машиной ЯК-9 с ВК-107А.</w:t>
      </w:r>
    </w:p>
    <w:p w14:paraId="6762E5BE" w14:textId="77777777" w:rsidR="00B12671" w:rsidRPr="00F90EAE" w:rsidRDefault="00B12671" w:rsidP="00F90EAE">
      <w:pPr>
        <w:jc w:val="both"/>
        <w:rPr>
          <w:color w:val="0070C0"/>
          <w:sz w:val="16"/>
          <w:szCs w:val="16"/>
        </w:rPr>
      </w:pPr>
      <w:r w:rsidRPr="00F90EAE">
        <w:rPr>
          <w:color w:val="0070C0"/>
          <w:sz w:val="16"/>
          <w:szCs w:val="16"/>
        </w:rPr>
        <w:t>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w:t>
      </w:r>
    </w:p>
    <w:p w14:paraId="581490A2" w14:textId="77777777" w:rsidR="00B12671" w:rsidRPr="00F90EAE" w:rsidRDefault="00B12671" w:rsidP="00F90EAE">
      <w:pPr>
        <w:jc w:val="both"/>
        <w:rPr>
          <w:color w:val="0070C0"/>
          <w:sz w:val="16"/>
          <w:szCs w:val="16"/>
        </w:rPr>
      </w:pPr>
      <w:r w:rsidRPr="00F90EAE">
        <w:rPr>
          <w:color w:val="0070C0"/>
          <w:sz w:val="16"/>
          <w:szCs w:val="16"/>
        </w:rPr>
        <w:t>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w:t>
      </w:r>
    </w:p>
    <w:p w14:paraId="27FD8CCA" w14:textId="77777777" w:rsidR="00B12671" w:rsidRPr="00F90EAE" w:rsidRDefault="00B12671" w:rsidP="00F90EAE">
      <w:pPr>
        <w:jc w:val="both"/>
        <w:rPr>
          <w:color w:val="0070C0"/>
          <w:sz w:val="16"/>
          <w:szCs w:val="16"/>
        </w:rPr>
      </w:pPr>
      <w:r w:rsidRPr="00F90EAE">
        <w:rPr>
          <w:color w:val="0070C0"/>
          <w:sz w:val="16"/>
          <w:szCs w:val="16"/>
        </w:rPr>
        <w:t>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w:t>
      </w:r>
    </w:p>
    <w:p w14:paraId="450EF77A" w14:textId="77777777" w:rsidR="00B12671" w:rsidRPr="00F90EAE" w:rsidRDefault="00B12671" w:rsidP="00F90EAE">
      <w:pPr>
        <w:jc w:val="both"/>
        <w:rPr>
          <w:color w:val="0070C0"/>
          <w:sz w:val="16"/>
          <w:szCs w:val="16"/>
        </w:rPr>
      </w:pPr>
      <w:r w:rsidRPr="00F90EAE">
        <w:rPr>
          <w:color w:val="0070C0"/>
          <w:sz w:val="16"/>
          <w:szCs w:val="16"/>
        </w:rPr>
        <w:t xml:space="preserve">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w:t>
      </w:r>
      <w:r w:rsidRPr="00F90EAE">
        <w:rPr>
          <w:color w:val="0070C0"/>
          <w:sz w:val="16"/>
          <w:szCs w:val="16"/>
        </w:rPr>
        <w:lastRenderedPageBreak/>
        <w:t>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w:t>
      </w:r>
    </w:p>
    <w:p w14:paraId="6A38D1D8" w14:textId="77777777" w:rsidR="00B12671" w:rsidRPr="00F90EAE" w:rsidRDefault="00B12671" w:rsidP="00F90EAE">
      <w:pPr>
        <w:jc w:val="both"/>
        <w:rPr>
          <w:color w:val="0070C0"/>
          <w:sz w:val="16"/>
          <w:szCs w:val="16"/>
        </w:rPr>
      </w:pPr>
      <w:r w:rsidRPr="00F90EAE">
        <w:rPr>
          <w:color w:val="0070C0"/>
          <w:sz w:val="16"/>
          <w:szCs w:val="16"/>
        </w:rPr>
        <w:t>Поэтому Новосибирский обком ВКП(б) просит Вас рассмотреть вопрос о максимальном сокращении типажа машин, выпускаемых заводом № 153.</w:t>
      </w:r>
    </w:p>
    <w:p w14:paraId="20D73319" w14:textId="77777777" w:rsidR="00B12671" w:rsidRPr="00F90EAE" w:rsidRDefault="00B12671" w:rsidP="00F90EAE">
      <w:pPr>
        <w:jc w:val="both"/>
        <w:rPr>
          <w:color w:val="0070C0"/>
          <w:sz w:val="16"/>
          <w:szCs w:val="16"/>
        </w:rPr>
      </w:pPr>
      <w:r w:rsidRPr="00F90EAE">
        <w:rPr>
          <w:color w:val="0070C0"/>
          <w:sz w:val="16"/>
          <w:szCs w:val="16"/>
        </w:rPr>
        <w:t>Секретарь Новосибирского обкома ВКП(б)</w:t>
      </w:r>
      <w:r w:rsidRPr="00F90EAE">
        <w:rPr>
          <w:color w:val="0070C0"/>
          <w:sz w:val="16"/>
          <w:szCs w:val="16"/>
        </w:rPr>
        <w:tab/>
        <w:t>М. Кулагин</w:t>
      </w:r>
    </w:p>
    <w:p w14:paraId="7AD00192" w14:textId="77777777" w:rsidR="00B12671" w:rsidRPr="00F90EAE" w:rsidRDefault="00B12671" w:rsidP="00F90EAE">
      <w:pPr>
        <w:jc w:val="both"/>
        <w:rPr>
          <w:color w:val="0070C0"/>
          <w:sz w:val="16"/>
          <w:szCs w:val="16"/>
        </w:rPr>
      </w:pPr>
      <w:r w:rsidRPr="00F90EAE">
        <w:rPr>
          <w:color w:val="0070C0"/>
          <w:sz w:val="16"/>
          <w:szCs w:val="16"/>
        </w:rPr>
        <w:t>ГАНО. Ф. П—4. Оп. 9. Д. 12. Л. 14-15. Подлинник (21084).</w:t>
      </w:r>
    </w:p>
    <w:p w14:paraId="18D946C9" w14:textId="77777777" w:rsidR="00B12671" w:rsidRPr="00F90EAE" w:rsidRDefault="00B12671" w:rsidP="00F90EAE">
      <w:pPr>
        <w:jc w:val="both"/>
        <w:rPr>
          <w:color w:val="0070C0"/>
          <w:sz w:val="16"/>
          <w:szCs w:val="16"/>
        </w:rPr>
      </w:pPr>
    </w:p>
    <w:p w14:paraId="753FF777"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в ходе проведение заводских испытаний «И-250» выполнен полет на высоту 7000 м с включением ВРДК для определения максимальной скорости. ВРДК дал незначительную тягу по причине малой подачи топлива помпой (15115).</w:t>
      </w:r>
    </w:p>
    <w:p w14:paraId="320577B5" w14:textId="77777777" w:rsidR="00893AF7" w:rsidRPr="00F90EAE" w:rsidRDefault="00893AF7" w:rsidP="00F90EAE">
      <w:pPr>
        <w:jc w:val="both"/>
        <w:rPr>
          <w:color w:val="000000" w:themeColor="text1"/>
          <w:sz w:val="16"/>
          <w:szCs w:val="16"/>
        </w:rPr>
      </w:pPr>
    </w:p>
    <w:p w14:paraId="16CE2EC0" w14:textId="77777777" w:rsidR="006979C2" w:rsidRPr="00F90EAE" w:rsidRDefault="006979C2" w:rsidP="00F90EAE">
      <w:pPr>
        <w:jc w:val="both"/>
        <w:rPr>
          <w:color w:val="000000" w:themeColor="text1"/>
          <w:sz w:val="16"/>
          <w:szCs w:val="16"/>
        </w:rPr>
      </w:pPr>
      <w:r w:rsidRPr="00F90EAE">
        <w:rPr>
          <w:color w:val="000000" w:themeColor="text1"/>
          <w:sz w:val="16"/>
          <w:szCs w:val="16"/>
        </w:rPr>
        <w:t>30 апреля 1945 г. из ПИСЬМА СЕКРЕТАРЯ НОВОСИБИРСКОГО ОБКОМА ВКП(б) М.В. КУЛАГИНА СЕКРЕТАРЮ ЦК ВКП(б) Г.М. МАЛЕНКОВУ</w:t>
      </w:r>
    </w:p>
    <w:p w14:paraId="7EE446F9" w14:textId="77777777" w:rsidR="006979C2" w:rsidRPr="00F90EAE" w:rsidRDefault="006979C2" w:rsidP="00F90EAE">
      <w:pPr>
        <w:jc w:val="both"/>
        <w:rPr>
          <w:color w:val="000000" w:themeColor="text1"/>
          <w:sz w:val="16"/>
          <w:szCs w:val="16"/>
        </w:rPr>
      </w:pPr>
      <w:r w:rsidRPr="00F90EAE">
        <w:rPr>
          <w:color w:val="000000" w:themeColor="text1"/>
          <w:sz w:val="16"/>
          <w:szCs w:val="16"/>
        </w:rPr>
        <w:t>Секретарю ЦК ВКП(б) тов. Маленкову Г.М.</w:t>
      </w:r>
    </w:p>
    <w:p w14:paraId="1683CCC0" w14:textId="77777777" w:rsidR="006979C2" w:rsidRPr="00F90EAE" w:rsidRDefault="006979C2" w:rsidP="00F90EAE">
      <w:pPr>
        <w:jc w:val="both"/>
        <w:rPr>
          <w:color w:val="000000" w:themeColor="text1"/>
          <w:sz w:val="16"/>
          <w:szCs w:val="16"/>
        </w:rPr>
      </w:pPr>
      <w:r w:rsidRPr="00F90EAE">
        <w:rPr>
          <w:color w:val="000000" w:themeColor="text1"/>
          <w:sz w:val="16"/>
          <w:szCs w:val="16"/>
        </w:rPr>
        <w:t>Завод № 153 НКАП за годы Великой Отечественной войны развился в крупнейший самолетостроительный завод страны. Еще в июне месяце 1944 года он достиг рекордной цифры выпуска самолетов - 20 единиц в сутки и удерживает эту производительность по настоящее время. В течение 20 месяцев подряд ему присуждается знамя ГКО. Основной тип машины ЯК-9 с ВК-105ПФ, вооруженный пушкой МП-20, вытесняется постепенно машиной ЯК-9 с ВК-107А. Наряду с этим, завод выпускает следующие модификации самолета ЯК-9 с ВК-105ПФ: истребитель с пушкой 37 мм, истребитель дальнего сопровождения, истребитель ПВО, истребитель с пушкой 45 мм. Кроме того, в стадии освоения находится истребитель, вооруженный тремя пушками. Каждая из этих модификаций существенно отличается от основной машины (с МП-20). Так, при общем количестве наименований деталей, входящих в машину с пушкой МП-20 (без нормалей),- 7 883 в модификации входят следующие количества наименований отличных деталей: в истребитель с пушкой 37 мм — 789 наименований, истребитель дальнего сопровождения - 1 278 наименований, истребитель ПВО - 419 наименований, истребитель с пушкой 45 мм — 799 наименований, истребитель с мотором ВК-107А - 5 005 наименований. В результате этого на заводе выпускается: фюзеляжей - три типа, крыльев - четыре типа, пушечных установок — пять типов, пулеметных установок - три типа, бензобаков — три типа, радиоустановок — три типа, пультов управления - три типа и т.д. Только крупносерийный характер производства на заводе, основанный на принципах потока, может обеспечить сохранение достигнутого уровня выпуска. Многочисленность же типажа (6 типов), включенного в программу завода, превращает его в завод малых серий и дезорганизует ход производства. В силу этого, а также потому, что каждая из модификаций, выпускаемых заводом, превышает по трудоемкости на 15-40% основной тип - завод испытывает серьезные трудности, могущие привести к срыву графика. Поэтому Новосибирский обком ВКП(б) просит Вас рассмотреть вопрос о максимальном сокращении типажа машин, выпускаемых заводом N° 153.</w:t>
      </w:r>
    </w:p>
    <w:p w14:paraId="595292D4" w14:textId="77777777" w:rsidR="006979C2" w:rsidRPr="00F90EAE" w:rsidRDefault="006979C2" w:rsidP="00F90EAE">
      <w:pPr>
        <w:jc w:val="both"/>
        <w:rPr>
          <w:color w:val="000000" w:themeColor="text1"/>
          <w:sz w:val="16"/>
          <w:szCs w:val="16"/>
        </w:rPr>
      </w:pPr>
      <w:r w:rsidRPr="00F90EAE">
        <w:rPr>
          <w:color w:val="000000" w:themeColor="text1"/>
          <w:sz w:val="16"/>
          <w:szCs w:val="16"/>
        </w:rPr>
        <w:t>Секретарь Новосибирского обкома ВКП(б) М. Кулагин</w:t>
      </w:r>
    </w:p>
    <w:p w14:paraId="4FD7A7E1" w14:textId="77777777" w:rsidR="006979C2" w:rsidRPr="00F90EAE" w:rsidRDefault="006979C2" w:rsidP="00F90EAE">
      <w:pPr>
        <w:jc w:val="both"/>
        <w:rPr>
          <w:color w:val="000000" w:themeColor="text1"/>
          <w:sz w:val="16"/>
          <w:szCs w:val="16"/>
        </w:rPr>
      </w:pPr>
      <w:r w:rsidRPr="00F90EAE">
        <w:rPr>
          <w:color w:val="000000" w:themeColor="text1"/>
          <w:sz w:val="16"/>
          <w:szCs w:val="16"/>
        </w:rPr>
        <w:t>ГАНО. Ф. П-4. Оп. 9. Д. 12. Л. 14-15. Подлинник.</w:t>
      </w:r>
    </w:p>
    <w:p w14:paraId="1F504CEA" w14:textId="77777777" w:rsidR="006979C2" w:rsidRPr="00F90EAE" w:rsidRDefault="006979C2" w:rsidP="00F90EAE">
      <w:pPr>
        <w:jc w:val="both"/>
        <w:rPr>
          <w:color w:val="000000" w:themeColor="text1"/>
          <w:sz w:val="16"/>
          <w:szCs w:val="16"/>
        </w:rPr>
      </w:pPr>
      <w:r w:rsidRPr="00F90EAE">
        <w:rPr>
          <w:color w:val="000000" w:themeColor="text1"/>
          <w:sz w:val="16"/>
          <w:szCs w:val="16"/>
        </w:rPr>
        <w:t>Документ - один из экземпляров машинописной закладки, составлен на бланке Новосибирского областного комитета ВКП(б). имеется квадратный делопроизводственный штампе номером 532 и датой поступления: « 13.V. 1945 р.», В верхнем правом углу помета Кулагина: «т. Замчевскнй. Переговорите со мной. 30.IV» (12194).</w:t>
      </w:r>
    </w:p>
    <w:p w14:paraId="66A36F3E" w14:textId="77777777" w:rsidR="006979C2" w:rsidRPr="00F90EAE" w:rsidRDefault="006979C2" w:rsidP="00F90EAE">
      <w:pPr>
        <w:jc w:val="both"/>
        <w:rPr>
          <w:color w:val="000000" w:themeColor="text1"/>
          <w:sz w:val="16"/>
          <w:szCs w:val="16"/>
        </w:rPr>
      </w:pPr>
    </w:p>
    <w:p w14:paraId="26EF8D3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F0A56B1" w14:textId="77777777" w:rsidR="00665165" w:rsidRPr="00F90EAE" w:rsidRDefault="00665165" w:rsidP="00F90EAE">
      <w:pPr>
        <w:autoSpaceDE w:val="0"/>
        <w:autoSpaceDN w:val="0"/>
        <w:adjustRightInd w:val="0"/>
        <w:jc w:val="both"/>
        <w:rPr>
          <w:iCs/>
          <w:color w:val="000000" w:themeColor="text1"/>
          <w:sz w:val="16"/>
          <w:szCs w:val="16"/>
        </w:rPr>
      </w:pPr>
    </w:p>
    <w:p w14:paraId="5AACB5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вышло Распоряжение ГКО № 8360. О поставках арматуры Мосгорисполкому для газового хозяйства. РГАНИР, Фонд ГКО, д. 408, лл. 253 (11012).</w:t>
      </w:r>
    </w:p>
    <w:p w14:paraId="2ECDB3A0" w14:textId="77777777" w:rsidR="00665165" w:rsidRPr="00F90EAE" w:rsidRDefault="00665165" w:rsidP="00F90EAE">
      <w:pPr>
        <w:autoSpaceDE w:val="0"/>
        <w:autoSpaceDN w:val="0"/>
        <w:adjustRightInd w:val="0"/>
        <w:jc w:val="both"/>
        <w:rPr>
          <w:color w:val="000000" w:themeColor="text1"/>
          <w:sz w:val="16"/>
          <w:szCs w:val="16"/>
        </w:rPr>
      </w:pPr>
    </w:p>
    <w:p w14:paraId="2470D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8361 Об окончании строительства и ввода в эксплуатацию 1-й очереди завода № 726 Наркомминвооружения. РГАНИР, Фонд ГКО, д. 408, лл. 254-256, 257-260 (11012).</w:t>
      </w:r>
    </w:p>
    <w:p w14:paraId="179012C9" w14:textId="77777777" w:rsidR="00665165" w:rsidRPr="00F90EAE" w:rsidRDefault="00665165" w:rsidP="00F90EAE">
      <w:pPr>
        <w:autoSpaceDE w:val="0"/>
        <w:autoSpaceDN w:val="0"/>
        <w:adjustRightInd w:val="0"/>
        <w:jc w:val="both"/>
        <w:rPr>
          <w:color w:val="000000" w:themeColor="text1"/>
          <w:sz w:val="16"/>
          <w:szCs w:val="16"/>
        </w:rPr>
      </w:pPr>
    </w:p>
    <w:p w14:paraId="0D2D6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8362 Об отгрузке лесоматериалов предприятиям Наркомнефти в мае 1945 года. РГАНИР, Фонд ГКО, д. 408, лл. 261-263, 264-267 (11012).</w:t>
      </w:r>
    </w:p>
    <w:p w14:paraId="22CBE895" w14:textId="77777777" w:rsidR="00665165" w:rsidRPr="00F90EAE" w:rsidRDefault="00665165" w:rsidP="00F90EAE">
      <w:pPr>
        <w:autoSpaceDE w:val="0"/>
        <w:autoSpaceDN w:val="0"/>
        <w:adjustRightInd w:val="0"/>
        <w:jc w:val="both"/>
        <w:rPr>
          <w:color w:val="000000" w:themeColor="text1"/>
          <w:sz w:val="16"/>
          <w:szCs w:val="16"/>
        </w:rPr>
      </w:pPr>
    </w:p>
    <w:p w14:paraId="03A66AE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8363 О плане и мерах по обеспечению перевозок народохозяйственных грузов по железнодорожному и морскому транспорту на май 1945 г. (7334, 1-11, 12-159).</w:t>
      </w:r>
    </w:p>
    <w:p w14:paraId="225F0FE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F20CC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8364 Об общем плане перевозок по железнодорожному и морскому транспорту на май 1945 г. (7335, 1).</w:t>
      </w:r>
    </w:p>
    <w:p w14:paraId="67E0EB6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AB4E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8365 О заготовке картофеля из урожая 1944 года на вновь освобожденной территории Польши и переработке его на спирт, крахмал, патоку и декстрин на заводах в Польше. РГАНИР, Фонд ГКО, д. 411, лл. 2-3 (11012).</w:t>
      </w:r>
    </w:p>
    <w:p w14:paraId="488A9D72" w14:textId="77777777" w:rsidR="00665165" w:rsidRPr="00F90EAE" w:rsidRDefault="00665165" w:rsidP="00F90EAE">
      <w:pPr>
        <w:autoSpaceDE w:val="0"/>
        <w:autoSpaceDN w:val="0"/>
        <w:adjustRightInd w:val="0"/>
        <w:jc w:val="both"/>
        <w:rPr>
          <w:color w:val="000000" w:themeColor="text1"/>
          <w:sz w:val="16"/>
          <w:szCs w:val="16"/>
        </w:rPr>
      </w:pPr>
    </w:p>
    <w:p w14:paraId="08C6F69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8366 Об обеспечении угольной и горнорудной промышленности крепежным лесом и железных дорог дровами и шпалами. (7335, 4-14,15-40).</w:t>
      </w:r>
    </w:p>
    <w:p w14:paraId="53EF6A2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2C75B5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8367 [О выделении 900 т зерна для распределения среди нетрудоспособных немцев-спецпереселенцев в Казахской ССР.] (7335, 41).</w:t>
      </w:r>
    </w:p>
    <w:p w14:paraId="5506F86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774A0A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8368 О мероприятиях по усилению охраны нефтяных и газовых промыслов, газонефтеперерабатывающих и газолиновых заводов в Западной Украине. (7335, 42-43).</w:t>
      </w:r>
    </w:p>
    <w:p w14:paraId="2043C53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2F2933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8369 О строительстве автомобильной дороги Иркутск - Слюдянка - Улан-Удэ. (7335, 44-48).</w:t>
      </w:r>
    </w:p>
    <w:p w14:paraId="0F05BD6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A40FD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8370 О неотложных мерах по обеспечению строительства Байкальской переправы. (7335, 49-55,56-57).</w:t>
      </w:r>
    </w:p>
    <w:p w14:paraId="5A5391F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3132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8371 О неотложных мероприятиях по восстановлению важнейших объектов военно-морской базы Кронштадт и Кронштадтского морского оборонительного района Краснознаменного Балтийского флота на 1945 гоРГАНИР, Фонд ГКО, д. РГАНИР, Фонд ГКО, д. 411, лл. 58-62, 63-66 (11012).</w:t>
      </w:r>
    </w:p>
    <w:p w14:paraId="214CFAC4" w14:textId="77777777" w:rsidR="00665165" w:rsidRPr="00F90EAE" w:rsidRDefault="00665165" w:rsidP="00F90EAE">
      <w:pPr>
        <w:autoSpaceDE w:val="0"/>
        <w:autoSpaceDN w:val="0"/>
        <w:adjustRightInd w:val="0"/>
        <w:jc w:val="both"/>
        <w:rPr>
          <w:color w:val="000000" w:themeColor="text1"/>
          <w:sz w:val="16"/>
          <w:szCs w:val="16"/>
        </w:rPr>
      </w:pPr>
    </w:p>
    <w:p w14:paraId="213D07E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вышло Постановление ГКО № 8372 О неотложных мерах по усилению пропускной способности Свердловской железной дороги. (7335, 67-78,79-91).</w:t>
      </w:r>
    </w:p>
    <w:p w14:paraId="3D64BC1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C90F8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Ждановцы и балтийцы заложили по одному ТЩ (19-й и 44-й) (10671).</w:t>
      </w:r>
    </w:p>
    <w:p w14:paraId="408AE24D" w14:textId="77777777" w:rsidR="00665165" w:rsidRPr="00F90EAE" w:rsidRDefault="00665165" w:rsidP="00F90EAE">
      <w:pPr>
        <w:autoSpaceDE w:val="0"/>
        <w:autoSpaceDN w:val="0"/>
        <w:adjustRightInd w:val="0"/>
        <w:jc w:val="both"/>
        <w:rPr>
          <w:color w:val="000000" w:themeColor="text1"/>
          <w:sz w:val="16"/>
          <w:szCs w:val="16"/>
        </w:rPr>
      </w:pPr>
    </w:p>
    <w:p w14:paraId="2B186A2F" w14:textId="77777777" w:rsidR="00475979" w:rsidRPr="00F90EAE" w:rsidRDefault="00475979" w:rsidP="00F90EAE">
      <w:pPr>
        <w:pStyle w:val="book"/>
        <w:ind w:firstLine="0"/>
        <w:jc w:val="both"/>
        <w:rPr>
          <w:color w:val="000000" w:themeColor="text1"/>
          <w:sz w:val="16"/>
          <w:szCs w:val="16"/>
        </w:rPr>
      </w:pPr>
      <w:r w:rsidRPr="00F90EAE">
        <w:rPr>
          <w:color w:val="000000" w:themeColor="text1"/>
          <w:sz w:val="16"/>
          <w:szCs w:val="16"/>
        </w:rPr>
        <w:t xml:space="preserve">30 апреля 1945 г. «Горх Фок-I» после обстрела корабля с берега советскими танками он был по приказу немецкого командования подорван и затоплен. Парсуник был построен в 1933 г. в Гамбурге на верфи «Блом и Фосс» под названием «Горх Фок-I». Он был первым барком из пяти серийных. Замечу, что два судна серии — «Хорст Вессель» и «Сагреш-II» — были захвачены в мае 1945 г. американцами и плавали у них под названием «Игл» и «Гуанабара». Барк «Горх Фок-I» строился специально для учебных целей. Поэтому было спроектировано сравнительно небольшое, но мореходное и надежное судно с хорошими ходовыми качествами. Корпус судна стальной клепаный, двухостровного типа с удлиненным баком и ютом и двумя непрерывными палубами. Длина судна 82,1 м, ширина 12 м, осадка 5,2 м. Грузовместимость 1510 т. Высота главной мачты с 23 парусами — 41,3 м. Через 100 дней после закладки, 3 мая 1933 г., корабль был спущен со стапелей. По типу парусного вооружения это был классический бриг. Его фок- и грот-мачты несут прямые паруса, а бизань-мачта — косые. Основной рангоут — стальной, брам- и бом-брам-стеньги, а также все брам-реи деревянные. Весной 1945 г. «Горх Фок-I» был отбуксирован к острову Рюген, где с него частично сняли такелаж. В 1947 г. парусник был поднят со дна моря штральзундской фирмой «В. Staude Schiffsbergung». В том же году на ростокской верфи «Neptun» был обновлен его корпус, а в 1947—1951 гг. барк прошел капитальный ремонт на судоремонтном заводе в Висмаре.. 15 июня 1950 г. барк, получивший название «Товарищ», приняла советская команда. К осени 1950 г. он пришел в Лиепаю (Латвия). Там судно оснастили новым парусным вооружением и укомплектовали штатом. Моряков, знающих парусное дело, было мало, а курсантов, прибывших на практику, требовалось обучать. Дважды «Товарищ» выходил в Балтийское море, чтобы команда научилась ходить под парусами. Во время второго похода барк чуть не перевернулся: из-за не вовремя убранных парусов судно достигало крена в 48°. 8 июля 1951 г. «Товарищ» вышел из Ленинграда и, обойдя вокруг Европы с заходом по пути в Плимут, Гибралтар и Стамбул, 28 августа прибыл в Одессу. А уже 6 сентября 1951 г, судно с новой группой </w:t>
      </w:r>
      <w:r w:rsidRPr="00F90EAE">
        <w:rPr>
          <w:color w:val="000000" w:themeColor="text1"/>
          <w:sz w:val="16"/>
          <w:szCs w:val="16"/>
        </w:rPr>
        <w:lastRenderedPageBreak/>
        <w:t>практикантов на борту отправилось в очередной рейс — теперь по Черному морю. В том же 1951 году «Товарищ» был передан Херсонскому мореходному училищу им. Шмидта, где он становится базой для прохождения судовой практики курсантов мореходных училищ Одессы и Херсона.</w:t>
      </w:r>
    </w:p>
    <w:p w14:paraId="62AE481E" w14:textId="77777777" w:rsidR="00475979" w:rsidRPr="00F90EAE" w:rsidRDefault="00475979" w:rsidP="00F90EAE">
      <w:pPr>
        <w:pStyle w:val="book"/>
        <w:ind w:firstLine="0"/>
        <w:jc w:val="both"/>
        <w:rPr>
          <w:color w:val="000000" w:themeColor="text1"/>
          <w:sz w:val="16"/>
          <w:szCs w:val="16"/>
        </w:rPr>
      </w:pPr>
      <w:r w:rsidRPr="00F90EAE">
        <w:rPr>
          <w:color w:val="000000" w:themeColor="text1"/>
          <w:sz w:val="16"/>
          <w:szCs w:val="16"/>
        </w:rPr>
        <w:t>Первое большое плавание парусника под советским флагом состоялось в 1957 г. под командованием опытного парусного капитана В.В. Васильева. Третьим помощником капитана тогда был Олег Ванденко, будущий капитан «Товарища-II». Маршрут был из Черного моря через Атлантический океан вокруг Африки, к берегам Индонезии, Индии и обратно в Одессу. 12 июля 1972 г. «Товарищ-II» вышел из Одессы в трансатлантический рейс — до Бермудских островов с заходом на остров Тенерифе, стоянка в порту Гамильтон, а оттуда в Балтимор, на обратном пути попал в ураган «Кери». В 1976 г. после текущего ремонта «Товарищ-II» принял участие в очередной регате «Операция Парус — 76». На первом этапе пришел первым к рейду порта Санта-Крус-де-Тенерифе. Также и на втором этапе был первым. На третьем же парусник пришел четвертым. Но по сумме трех этапов «Товарищ-II» завоевал первое место в классе А. В 1977 г. барк по официальному приглашению Бельгии посетил порт Гент, для принятия участия в празднования 150-летия открытия канала Тернезен-Гент. В 1980 г. «Товарищ-П» прошел капитальный ремонт на верфи в Югославии. После чего выполнил рейс к берегам Южной Америки.</w:t>
      </w:r>
    </w:p>
    <w:p w14:paraId="531185D5" w14:textId="77777777" w:rsidR="00475979" w:rsidRPr="00F90EAE" w:rsidRDefault="00475979" w:rsidP="00F90EAE">
      <w:pPr>
        <w:pStyle w:val="book"/>
        <w:ind w:firstLine="0"/>
        <w:jc w:val="both"/>
        <w:rPr>
          <w:color w:val="000000" w:themeColor="text1"/>
          <w:sz w:val="16"/>
          <w:szCs w:val="16"/>
        </w:rPr>
      </w:pPr>
      <w:r w:rsidRPr="00F90EAE">
        <w:rPr>
          <w:color w:val="000000" w:themeColor="text1"/>
          <w:sz w:val="16"/>
          <w:szCs w:val="16"/>
        </w:rPr>
        <w:t>После распада СССР и провозглашения Украиной государственной независимости, несмотря на заявленную возможность ремонта на Херсонском судоремонтном заводе, барк был направлен для ремонта в Великобританию. В 1993 г. из-за плохого технического состояния срочно потребовалась замена главного дизельного двигателя. С этой целью немецкое общество Друзей парусного флота организовало свою первую акцию поддержки «Товарища». В Германии выпустили благотворительные сертификаты по сто марок с твердым процентом — один день на борту корабля. В том же году «Товарищ» участвовал в регате у берегов Великобритании. С воспитательной целью несколько дней на его борту провела группа «трудных» английских подростков. Участники плавания и организаторы были очень высокого мнения о педагогических результатах и захотели повторить акцию. Но в 1994 г. из-за плохого состояния барк получил разрешение лишь на рейсы по Черному морю. Английская сторона выразила готовность оплатить ремонт с условием, что «Товарищ» регулярно будет посещать Ньюкасл. Весной 1995 г. барк отправился на верфь в Ньюкасл. Часть расходов на топливо и провиант взяло на себя немецкое «Общество друзья парусника». Новый детальный осмотр в сухом доке Ньюкасла показал, что состояние барка намного хуже, чем первоначально предполагали эксперты в Херсоне. Теперь смета увеличилась до 2 млн. фунтов стерлингов. Английские спонсоры готовы были повысить сумму до 500 тысяч. Срок действия судовых сертификатов подошел к концу. Из-за отсутствия валюты у владельца — Министерства образования Украины — ремонтные работы так и не начались. Из-за аварийного состояния и отсутствия сертификатов выход в море «Товарищу» был запрещен, и парусник законсервировали. В 1999 г., будучи в плохом состоянии, при отсутствии финансирования со стороны Украины, но при. финансовой поддержке немецкого товарищества Друзей парусного флота «Товарищ-II» был отбуксирован в город Вильгельмсхафен, где в 2000 г. должна была состояться морская часть международной выставки EXPO. С 1999 по 2003 год в Вильхельмсхафене барк за счет немецкой стороны прошел капитальный ремонт. В 2000 г. он служил флагманским кораблем на всемирной выставке «Экспо-2000», и украинские хозяева барка надеялись с помощью парусника на ней заработать. Немецкое общество Друзей парусного флота, согласно договору, продолжало содержать парусник и оставшуюся с ним украинскую команду, искать деньги и сухой док для ремонта. Однако отношения с хозяином парусника — министерством образования Украины — неуклонно ухудшались. В 2000 г. немецкие энтузиасты начали переговоры с городскими властями Штральзунда, предложив выкупить корабль и вернуть его в первый порт приписки. Городские власти отнеслись к этой идее положительно. Они гарантировали бесплатное место для стоянки барка и его финансовую поддержку. Украина требовала за корабль один миллион евро, но затем в процессе переговоров цена была снижена до 500 тысяч евро, и сделка состоялась. В 2003 г. общество Друзей парусного флота за добровольные денежные пожертвования выкупило «Товарищ» у украинского министерства образования. В том же году в плавучем доке «Condock V» барк был отправлен на родину — в город Штральзунд, где 25 сентября его встретили власти и население. В 2004—2010 гг. на «Народной верфи» Штральзунда барк был в несколько этапов подвергнут реставрации. 29 ноября 2003 г. ему официально возвращено прежнее имя «Горх Фок-I», с которым он под номером 3675 зарегистрирован в Немецком морском Регистре. С 2005 г. «Горх Фок-I» используется в качестве плавучего музея в гавани города Штральзунд, который и был его первоначальным портом приписки (15225).</w:t>
      </w:r>
    </w:p>
    <w:p w14:paraId="62481B89" w14:textId="77777777" w:rsidR="00475979" w:rsidRPr="00F90EAE" w:rsidRDefault="00475979" w:rsidP="00F90EAE">
      <w:pPr>
        <w:pStyle w:val="book"/>
        <w:ind w:firstLine="0"/>
        <w:jc w:val="both"/>
        <w:rPr>
          <w:color w:val="000000" w:themeColor="text1"/>
          <w:sz w:val="16"/>
          <w:szCs w:val="16"/>
        </w:rPr>
      </w:pPr>
    </w:p>
    <w:p w14:paraId="03554AD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A24B514" w14:textId="77777777" w:rsidR="00665165" w:rsidRPr="00F90EAE" w:rsidRDefault="00665165" w:rsidP="00F90EAE">
      <w:pPr>
        <w:autoSpaceDE w:val="0"/>
        <w:autoSpaceDN w:val="0"/>
        <w:adjustRightInd w:val="0"/>
        <w:jc w:val="both"/>
        <w:rPr>
          <w:iCs/>
          <w:color w:val="000000" w:themeColor="text1"/>
          <w:sz w:val="16"/>
          <w:szCs w:val="16"/>
        </w:rPr>
      </w:pPr>
    </w:p>
    <w:p w14:paraId="6D43A917" w14:textId="77777777" w:rsidR="00475979" w:rsidRPr="00F90EAE" w:rsidRDefault="00475979" w:rsidP="00F90EAE">
      <w:pPr>
        <w:jc w:val="both"/>
        <w:rPr>
          <w:color w:val="000000" w:themeColor="text1"/>
          <w:sz w:val="16"/>
          <w:szCs w:val="16"/>
        </w:rPr>
      </w:pPr>
      <w:r w:rsidRPr="00F90EAE">
        <w:rPr>
          <w:color w:val="000000" w:themeColor="text1"/>
          <w:sz w:val="16"/>
          <w:szCs w:val="16"/>
        </w:rPr>
        <w:t>30 апреля в 1945 году оперативная сводка Совинформбюро:</w:t>
      </w:r>
    </w:p>
    <w:p w14:paraId="57BACC9E"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30 апреля овладели городами Грайфсвальд, Трептов, Нойштрелитц, Фюрстенберг, Гранзее — важными узлами дорог в северо-западной части Померании и в Мекленбурге, а также заняли города Лассан, Вольгаст, Райнсберг и крупные населённые пункты Хансхаген, Цюссов, Гютцков, Ярмен, Бартов, Буров, Заров, Вольде, Пенцлин, Штрелитц, Менц, Гросс Вольтерсдорф, Долгов. В боях за 29 апреля войска фронта взяли в плен более 1.500 немецких солдат и офицеров и захватили 27 самолётов и 55 полевых орудий.</w:t>
      </w:r>
    </w:p>
    <w:p w14:paraId="3448AD94" w14:textId="77777777" w:rsidR="00475979" w:rsidRPr="00F90EAE" w:rsidRDefault="00475979" w:rsidP="00F90EAE">
      <w:pPr>
        <w:jc w:val="both"/>
        <w:rPr>
          <w:color w:val="000000" w:themeColor="text1"/>
          <w:sz w:val="16"/>
          <w:szCs w:val="16"/>
        </w:rPr>
      </w:pPr>
      <w:r w:rsidRPr="00F90EAE">
        <w:rPr>
          <w:color w:val="000000" w:themeColor="text1"/>
          <w:sz w:val="16"/>
          <w:szCs w:val="16"/>
        </w:rPr>
        <w:t>Севернее Берлина войска 1-го Белорусского фронта с боями заняли город Цеденик и крупные населённые пункты Клайн-Мутц, Бергсдорф, Фалькенталь, Гутен Гермендорф, Левенберг, Грюнеберг, Тешендорф, Нассенхайде. В Берлине войска фронта, продолжая вести уличные бои в центре города, овладели зданием германского рейхстага, на котором водрузили знамя победы. Нашими войсками также заняты главный почтамт, министерство внутренних дел и до 200 кварталов в центральной части города. В боях за 29 апреля в Берлине войска фронта взяли в плен более 9.000 немецких солдат и офицеров.</w:t>
      </w:r>
    </w:p>
    <w:p w14:paraId="6337DAFC"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1-го Украинского фронта продолжали вести уличные бои в юго-западной части Берлина и заняли ряд кварталов в городском районе Вильмерсдорф и железнодорожную станцию Весткройц.</w:t>
      </w:r>
    </w:p>
    <w:p w14:paraId="70D8D5AD" w14:textId="77777777" w:rsidR="00475979" w:rsidRPr="00F90EAE" w:rsidRDefault="00475979" w:rsidP="00F90EAE">
      <w:pPr>
        <w:jc w:val="both"/>
        <w:rPr>
          <w:color w:val="000000" w:themeColor="text1"/>
          <w:sz w:val="16"/>
          <w:szCs w:val="16"/>
        </w:rPr>
      </w:pPr>
      <w:r w:rsidRPr="00F90EAE">
        <w:rPr>
          <w:color w:val="000000" w:themeColor="text1"/>
          <w:sz w:val="16"/>
          <w:szCs w:val="16"/>
        </w:rPr>
        <w:t>Юго-восточнее Берлина наши войска уничтожали остатки окружённой группы немецких войск в лесах западнее населённого пункта Вендиш-Бухгольц.</w:t>
      </w:r>
    </w:p>
    <w:p w14:paraId="498A4FC6"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4-го Украинского фронта 30 апреля штурмом овладели городом Моравска Острава — крупным промышленным центром и мощным опорным пунктом обороны немцев в Чехословакии.</w:t>
      </w:r>
    </w:p>
    <w:p w14:paraId="5A233792" w14:textId="77777777" w:rsidR="00475979" w:rsidRPr="00F90EAE" w:rsidRDefault="00475979" w:rsidP="00F90EAE">
      <w:pPr>
        <w:jc w:val="both"/>
        <w:rPr>
          <w:color w:val="000000" w:themeColor="text1"/>
          <w:sz w:val="16"/>
          <w:szCs w:val="16"/>
        </w:rPr>
      </w:pPr>
      <w:r w:rsidRPr="00F90EAE">
        <w:rPr>
          <w:color w:val="000000" w:themeColor="text1"/>
          <w:sz w:val="16"/>
          <w:szCs w:val="16"/>
        </w:rPr>
        <w:t>Одновременно войска фронта овладели городом Жилина — важным узлом дорог в полосе Западных Карпат.</w:t>
      </w:r>
    </w:p>
    <w:p w14:paraId="1417B14F" w14:textId="77777777" w:rsidR="00475979" w:rsidRPr="00F90EAE" w:rsidRDefault="00475979" w:rsidP="00F90EAE">
      <w:pPr>
        <w:jc w:val="both"/>
        <w:rPr>
          <w:color w:val="000000" w:themeColor="text1"/>
          <w:sz w:val="16"/>
          <w:szCs w:val="16"/>
        </w:rPr>
      </w:pPr>
      <w:r w:rsidRPr="00F90EAE">
        <w:rPr>
          <w:color w:val="000000" w:themeColor="text1"/>
          <w:sz w:val="16"/>
          <w:szCs w:val="16"/>
        </w:rPr>
        <w:t>Восточнее города Брно войска 2-го Украинского фронта, продолжая наступление, с боями заняли крупные населённые пункты Бухловице, Ступава, Коричаны, Немотице, Милоныце, Шваберице, Ивановице, Дедице.</w:t>
      </w:r>
    </w:p>
    <w:p w14:paraId="6BF9F24C" w14:textId="77777777" w:rsidR="00475979" w:rsidRPr="00F90EAE" w:rsidRDefault="00475979" w:rsidP="00F90EAE">
      <w:pPr>
        <w:jc w:val="both"/>
        <w:rPr>
          <w:color w:val="000000" w:themeColor="text1"/>
          <w:sz w:val="16"/>
          <w:szCs w:val="16"/>
        </w:rPr>
      </w:pPr>
      <w:r w:rsidRPr="00F90EAE">
        <w:rPr>
          <w:color w:val="000000" w:themeColor="text1"/>
          <w:sz w:val="16"/>
          <w:szCs w:val="16"/>
        </w:rPr>
        <w:t>На других участках фронта — бои местного значения и поиски разведчиков.</w:t>
      </w:r>
    </w:p>
    <w:p w14:paraId="6ED13C33" w14:textId="77777777" w:rsidR="00475979" w:rsidRPr="00F90EAE" w:rsidRDefault="00475979" w:rsidP="00F90EAE">
      <w:pPr>
        <w:jc w:val="both"/>
        <w:rPr>
          <w:color w:val="000000" w:themeColor="text1"/>
          <w:sz w:val="16"/>
          <w:szCs w:val="16"/>
        </w:rPr>
      </w:pPr>
      <w:r w:rsidRPr="00F90EAE">
        <w:rPr>
          <w:color w:val="000000" w:themeColor="text1"/>
          <w:sz w:val="16"/>
          <w:szCs w:val="16"/>
        </w:rPr>
        <w:t>За 29 апреля на всех фронтах подбито и уничтожено 110 немецких танков и самоходных орудий. В воздушных боях и огнём зенитной артиллерии сбито 79 самолётов противника.</w:t>
      </w:r>
    </w:p>
    <w:p w14:paraId="6BFF74A0"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Советская пехота, поддержанная танками и самоходными орудиями, переправилась в районе порода Анклам через реку Пеене. Всю ночь шли бои по преодолению вражеского рубежа обороны. Рано утром наши войска сломили сопротивление немцев. Развивая стремительное наступление, советские части продвинулись вперёд на 30 километров и заняли город и порт Грайфсвальд — опорный пункт обороны немцев и важный узел путей сообщения. Другие наши части вели бои на подступах к городу Нойштрелитц. Противник перебросил в этот район танки и мотопехоту и сильными контратаками пытался задержать наши войска в лесах восточнее города. Немцы устроили на всех дорогах завалы и минировали их. Советские автоматчики, миномётчики и артиллеристы выбили гитлеровцев из лесного массива и ворвались с юга и юго-востока в город Нойштрелитц. Тем временем наши сапёры расчистили дорогу танкам. Совместным ударом пехоты и танков противник был выбит из города Нойштрелиц. В боях в этом районе уничтожено до 2 тысяч немецких солдат и офицеров. Наши лётчики в воздушных боях за день сбили 22 самолёта и один аэростат противника. Кроме того, на одном из аэродромов сожжено семь немецких самолётов.</w:t>
      </w:r>
    </w:p>
    <w:p w14:paraId="422A00F5"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1-го Белорусского фронта продолжали веста бои на улицах Берлина. Противник, зажатый в центральных кварталах города, упорно сопротивляется. Гитлеровцы ведут сильный огонь по перекрёсткам улиц и домам, уничтожая при этом мирное население города. Наши части, овладевшие вчера городским районом Моабит, переправились через реку Шпрее в восточной части парка Тиргартен и заняли здание министерства внутренних дел. Немцы предприняли отчаянную попытку восстановить положение. Наши пехотинцы в ближнем бою разгромили противника, достигли Цельтен аллее, а затем предприняли штурм здания германского рейхстага с запада. Одновременно наши части, вышедшие на набережную Рейхстагс-Уфер, ворвались в рейхстаг с севера. Бои продолжались, не стихая, всю ночь. Сегодня в четырнадцать часов советские бойцы овладели зданием немецкого рейхстага и водрузили на нём знамя победы.</w:t>
      </w:r>
    </w:p>
    <w:p w14:paraId="607380F5" w14:textId="77777777" w:rsidR="00475979" w:rsidRPr="00F90EAE" w:rsidRDefault="00475979" w:rsidP="00F90EAE">
      <w:pPr>
        <w:jc w:val="both"/>
        <w:rPr>
          <w:color w:val="000000" w:themeColor="text1"/>
          <w:sz w:val="16"/>
          <w:szCs w:val="16"/>
        </w:rPr>
      </w:pPr>
      <w:r w:rsidRPr="00F90EAE">
        <w:rPr>
          <w:color w:val="000000" w:themeColor="text1"/>
          <w:sz w:val="16"/>
          <w:szCs w:val="16"/>
        </w:rPr>
        <w:t>Юго-восточнее Берлина окружённая группа немецких войск предприняла ещё одну попытку прорвать железное кольцо советских войск. Пехота противника шла в атаку колоннами. Советские артиллеристы и пулеметчики обрушили на немцев шквал огня. Стреляя по сплошным колоннам гитлеровцев, наши пулемётчики нанесли противнику очень большие потери. Только одно наше соединение уничтожило более 5 тысяч немецких солдат и офицеров. Захвачено огромное количество орудий, миномётов, пулеметов, автомашин и другое военное имущество.</w:t>
      </w:r>
    </w:p>
    <w:p w14:paraId="4A271B8F" w14:textId="77777777" w:rsidR="00475979" w:rsidRPr="00F90EAE" w:rsidRDefault="00475979" w:rsidP="00F90EAE">
      <w:pPr>
        <w:jc w:val="both"/>
        <w:rPr>
          <w:color w:val="000000" w:themeColor="text1"/>
          <w:sz w:val="16"/>
          <w:szCs w:val="16"/>
        </w:rPr>
      </w:pPr>
      <w:r w:rsidRPr="00F90EAE">
        <w:rPr>
          <w:color w:val="000000" w:themeColor="text1"/>
          <w:sz w:val="16"/>
          <w:szCs w:val="16"/>
        </w:rPr>
        <w:t>Войска 4-го Украинского фронта штурмом овладели городом Моравска Острава. Противник упорно оборонял подступы к городу — важному узлу обороны и крупнейшей промышленной базе, снабжавшей немецкую армию водружением, боеприпасами и военным снаряжением. На подступах к Моравской Остраве немцы создали полосу обороны глубиной до 30 километров. Три оборонительных рубежа, состоящих из траншей, дотов, бронеплощадок для артиллерии и пулемётов, противотанковых рвов и широких минных полей, прикрывали город с трёх сторон. Советские части, взламывая вражескую оборону, настойчиво продвигались вперёд и перерезали дороги, идущие от Моравской Остравы на запад и юго-запад. Развивая успех, наши войска переправились через реку Одра и в результате умело проведённого штурма сегодня овладели городом. Захвачено много пленных и трофеев.</w:t>
      </w:r>
    </w:p>
    <w:p w14:paraId="59590DA5" w14:textId="77777777" w:rsidR="00475979" w:rsidRPr="00F90EAE" w:rsidRDefault="00475979" w:rsidP="00F90EAE">
      <w:pPr>
        <w:jc w:val="both"/>
        <w:rPr>
          <w:color w:val="000000" w:themeColor="text1"/>
          <w:sz w:val="16"/>
          <w:szCs w:val="16"/>
        </w:rPr>
      </w:pPr>
      <w:r w:rsidRPr="00F90EAE">
        <w:rPr>
          <w:color w:val="000000" w:themeColor="text1"/>
          <w:sz w:val="16"/>
          <w:szCs w:val="16"/>
        </w:rPr>
        <w:t>Корабли Краснознамённого Балтийского флота потопили в южной части Балтийского моря транспорт противника водоизмещением в 6 тысяч тонн. Авиацией флота потоплена немецкая подводная лодка.» (15115).</w:t>
      </w:r>
    </w:p>
    <w:p w14:paraId="486D64D5" w14:textId="77777777" w:rsidR="00475979" w:rsidRPr="00F90EAE" w:rsidRDefault="00475979" w:rsidP="00F90EAE">
      <w:pPr>
        <w:jc w:val="both"/>
        <w:rPr>
          <w:color w:val="000000" w:themeColor="text1"/>
          <w:sz w:val="16"/>
          <w:szCs w:val="16"/>
        </w:rPr>
      </w:pPr>
    </w:p>
    <w:p w14:paraId="27C21CD1"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lastRenderedPageBreak/>
        <w:t>30 апреля 1945, как только поступили донесения из 118 и 108 гшап о выходе полков из строя по причине недостаточной прочности планера и массовых дефектов мотора и винтомоторной группы Ил-10, заместитель главного инженера ВВС генерал-лейтенант А. А. Лапин незамедлительно проинформировал о случившемся С. В. Ильюшина.</w:t>
      </w:r>
    </w:p>
    <w:p w14:paraId="5CD844CE"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Из письма Лапина следовало, что в 118 гшап три Ил-10 «признаны негодными для боевого применения по причине деформации обшивки». Еще 7 самолетов вывели из эксплуатации по дефектам шасси и винтомоторной группы. В 108-м гвардейском шап «из 32 самолетов, проходивших войсковые испытания, 14 самолетов не могут выполнить боевые задания из-за падения мощности моторов АМ-42, повышенного расхода масла, прорыва газов в картер, отказа свечей, появления стружки».</w:t>
      </w:r>
    </w:p>
    <w:p w14:paraId="6FD48C98" w14:textId="77777777" w:rsidR="004F7EC9" w:rsidRPr="00F90EAE" w:rsidRDefault="004F7EC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заключение Лапин просил Ильюшина принять срочные меры «по устранению указанных дефектов на самолетах Ил-10».</w:t>
      </w:r>
    </w:p>
    <w:p w14:paraId="4822836D" w14:textId="77777777" w:rsidR="004F7EC9" w:rsidRPr="00F90EAE" w:rsidRDefault="004F7EC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Известно, что Ильюшин вместо ответа генералу Лапину (его письмо он переадресовал на завод № 18 своему заместителю Бугайскому) направил 15 июня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(17490).</w:t>
      </w:r>
    </w:p>
    <w:p w14:paraId="6F18CF20" w14:textId="77777777" w:rsidR="004F7EC9" w:rsidRPr="00F90EAE" w:rsidRDefault="004F7EC9" w:rsidP="00F90EAE">
      <w:pPr>
        <w:jc w:val="both"/>
        <w:rPr>
          <w:rStyle w:val="107"/>
          <w:rFonts w:eastAsiaTheme="minorHAnsi"/>
          <w:color w:val="000000" w:themeColor="text1"/>
          <w:sz w:val="16"/>
          <w:szCs w:val="16"/>
        </w:rPr>
      </w:pPr>
    </w:p>
    <w:p w14:paraId="25CEF95C"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30 апреля 1945 оказался самым интенсивным боевым днем 571 шап. В этот день экипажи 571 шап группами по 8-12 самолетов Ил-10 в сопровождении 6-8 истребителей Ла-5 от 181 иап выполнили в общей сложности 115 самолето -вылетов. Это был своеобразный рекорд. Ни один штурмовой авиаполк на самолетах Ил-10 столько боевых вылетов в течение одного дня не выполнял.</w:t>
      </w:r>
    </w:p>
    <w:p w14:paraId="10410648" w14:textId="77777777" w:rsidR="004F7EC9" w:rsidRPr="00F90EAE" w:rsidRDefault="004F7EC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Бомбоштурмовые удары наносились в районе Моравска-Острава, Старабела, Витковице, Прошивау, Грушов, Якловице</w:t>
      </w:r>
    </w:p>
    <w:p w14:paraId="299AB30D"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Первая группа в составе 12 Ил-10 (ведущий майор Зацепа) в 9.30-9.40 нанесла удар по войскам противника в районе Витковице. Полет по маршруту выполнялся в правом пеленге на высоте 600 м. Подойдя к цели, экипажи группы замкнули круг в районе западной окраины Витковице и произвели «холостой» заход для уточнения расположения целей и своих войск. Получив дополнительное целеуказание от станции наведения «Береза», группа завертела «колесо». Атаки выполнялись одиночными самолетами с круга с высоты 800-600 м и до 200 м. Угол пикирования - 25-35°. Всего было выполнено 5 заходов. На отходе от цели «Береза» передала благодарность наземного командования.</w:t>
      </w:r>
    </w:p>
    <w:p w14:paraId="2ED3CAB9"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За первой группой последовали вылеты еще 12 групп штурмовиков. Крайней оказалась группа старшего лейтенанта Смирного в составе 12 Ил-10, которая вылетала на боевое задание в район Грушов в период 19.03-19.53. На подходе к району нанесения удара группа была нацелена станцией наведения «Береза» на уничтожение ж. -д. моста через р. Одра юго-западнее Грушов. Бомбометание производилось с пикирования под углом 40-45°. Сброс бомб осуществлялся на выходе из пикирования с высоты 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0E14DC40"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Всего же в течение дня, по докладам экипажей и станции наведения, удалось уничтожить и повредить 12 автомашин, 4 автобензоцистерны, одно орудие зенитной артиллерии, два орудия полевой артиллерии, 4 миномета, один паровоз, 4 железнодорожных вагона и уже упоминавшийся ж. д. мост через р. Одра. Средняя бомбовая нагрузка на один самолет составила 360 кг (17490).</w:t>
      </w:r>
    </w:p>
    <w:p w14:paraId="515229D6" w14:textId="77777777" w:rsidR="004F7EC9" w:rsidRPr="00F90EAE" w:rsidRDefault="004F7EC9" w:rsidP="00F90EAE">
      <w:pPr>
        <w:jc w:val="both"/>
        <w:rPr>
          <w:rStyle w:val="107"/>
          <w:rFonts w:eastAsiaTheme="minorHAnsi"/>
          <w:color w:val="000000" w:themeColor="text1"/>
          <w:sz w:val="16"/>
          <w:szCs w:val="16"/>
        </w:rPr>
      </w:pPr>
    </w:p>
    <w:p w14:paraId="581BE57C"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 30 апреля с 16 апреля 1945 летчиками 108 гшап было выполнено 224 боевых самолетовылета с общим налетом 242 ч 15 мин, в том числе 4 самолето-вылета (4 ч 45 мин) на разведку войск противника и 220 (237 ч 30 мин) - на уничтожение живой силы и техники противника.</w:t>
      </w:r>
    </w:p>
    <w:p w14:paraId="413FB1B8"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Суммарный бомбовый тоннаж, сброшенный на противника, составил 60 460 кг при средней бомбовой нагрузке на один боевой самолето -вылет 290 кг (максимальная нагрузка - 400 кг, минимальная - 200 кг).</w:t>
      </w:r>
    </w:p>
    <w:p w14:paraId="4391BA5B"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 официальным данным, уничтожено два и повреждено четыре немецких танка, уничтожено четыре бронетранспортера, сожжено 60 и повреждено свыше 100 автомашин, уничтожено четыре орудия полевой артиллерии, обстрелян и поврежден бронепоезд, уничтожено до 50 повозок с грузами, создано около 15 очагов пожаров, подавлен огонь двух батарей зенитной артиллерии.</w:t>
      </w:r>
    </w:p>
    <w:p w14:paraId="48A71F15"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Неполная бомбовая нагрузка самолетов бомбами объяснялась рыхлым песчаным грунтом аэродрома Охельхермсдорф и его малыми размер ами, слабым грунтом аэродрома Коло, с которого полк выполнил 61 боевой вылет с бомбовой нагрузкой до 250 кг, а также плохой работой моторов АМ-42.</w:t>
      </w:r>
    </w:p>
    <w:p w14:paraId="4E60434B"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Штурмовые удары наносились группами в количестве от 4 до 24 самолетов с интервалом времени между группами одной восьмерки от другой до 5 минут. Полеты группы лимитировались характером заданий и тактической обстановкой.</w:t>
      </w:r>
    </w:p>
    <w:p w14:paraId="5E0265D7"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Полеты групп, как правило, совершались в строю правого пеленга, близкого к фронту, в колонне по 4 или 8 самолетов с интервалом 200-300 м. Строй плотный. Дистанция выдерживалась в 1,5-2 размаха крыла самолета.</w:t>
      </w:r>
    </w:p>
    <w:p w14:paraId="1D09E1E4"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Полет к цели выполнялся на высоте от 600 до 1600 м в зависимости от метеоусловий на скорости 320-380 км/ч. Над целью по сигналу ведущего группы (после уточнения цели станцией наведения) становились в круг и начинали штурмовку и бомбардирование цели. Скорость ввода в пикирование при этом была 320-350 км/ч. Сбрасывание бомб производилось на высоте 300-400 м. Скорость на выводе из планирования была 420-550 км/ч. Группа делала от одного до 7 заходов на цель и от двух до 12 атак. Обстрел целей из пушек и пулеметов производили с высоты 200-300 м до бреющего полета. Для «ухода» от зенитного огня применялся энергичный противозенитный маневр.</w:t>
      </w:r>
    </w:p>
    <w:p w14:paraId="1F2BBA2D"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После окончания штурмовки экипажи правым или левым разворотом уходили от цели на высоте 100-200 м, собирались по четыре и в строю правого пеленга шли на аэродром.</w:t>
      </w:r>
    </w:p>
    <w:p w14:paraId="6B921BB9"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Цель после бомбометания фотографировалась фотоаппаратами АФА-ИМ, установленными на восьми самолетах. Однако большинство фотоснимков оказались неудачными из-за недостаточной тренировки летного состава.</w:t>
      </w:r>
    </w:p>
    <w:p w14:paraId="5F3E7E11"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Радиосвязь в воздухе работала вполне удовлетворительно. Были случаи, когда ведущий группы «не вступал в связь с рацией наведения по причинам неудобства пользования механизмом подстройки и ручкой регулятора громкости, а также перегорания предохранителей на умформере РУ-11А».</w:t>
      </w:r>
    </w:p>
    <w:p w14:paraId="7B7747BC"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Взаимодействие с истребителями непосредственного прикрытия осуществлялось штабом 6 гшад, который боевым распоряжением сообщал в штаб полка место, время, высоту подхода к аэродрому и фамилию ведущего группы истребителей.</w:t>
      </w:r>
    </w:p>
    <w:p w14:paraId="2A07F747"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Боевые вылеты под прикрытием истребителей выполняли 19 групп. Остальные 12 групп вылетали на задания без прикрытия, «так как позволяла обстановка над полем боя».</w:t>
      </w:r>
    </w:p>
    <w:p w14:paraId="0EA61B90"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На группу в 6-8 Ил-10, как правило, выделялось четыре истребителя Ла-5, на группу из четырех штурмовиков - два истребителя. Метод и приемы сопровождения те же, что и для самолета Ил-2, с той лишь разницей, что «при сопровождении самолетов Ил -2 истребителям приходилось делать маневры над группой из-за малой скорости Ил-2, а самолеты Ил-10 сопровождались без маневра».</w:t>
      </w:r>
    </w:p>
    <w:p w14:paraId="157C22B4"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 xml:space="preserve">За все время испытаний только в пяти случаях имели место встречи с истребителями противника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 xml:space="preserve">190 и </w:t>
      </w:r>
      <w:r w:rsidRPr="00F90EAE">
        <w:rPr>
          <w:rStyle w:val="107"/>
          <w:rFonts w:eastAsiaTheme="minorHAnsi"/>
          <w:color w:val="000000" w:themeColor="text1"/>
          <w:sz w:val="16"/>
          <w:szCs w:val="16"/>
          <w:lang w:val="en-US"/>
        </w:rPr>
        <w:t>Bf</w:t>
      </w:r>
      <w:r w:rsidRPr="00F90EAE">
        <w:rPr>
          <w:rStyle w:val="107"/>
          <w:rFonts w:eastAsiaTheme="minorHAnsi"/>
          <w:color w:val="000000" w:themeColor="text1"/>
          <w:sz w:val="16"/>
          <w:szCs w:val="16"/>
        </w:rPr>
        <w:t>109. Из них лишь одна встреча закончилась воздушным боем. Пара «фоккеров» севернее Коттбуса произвела одну атаку на Ил-10 зав. № 1890603, который получил повреждения крыла, но благополучно возвратился на свой аэродром. Во всех остальных случаях истребители противника боя не принимали.</w:t>
      </w:r>
    </w:p>
    <w:p w14:paraId="564C207E"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Из общего количества 31 группового вылета на боевые задания в четырех случаях противник оказывал противодействие зенитным огнем. В результате два самолета Ил-10 были сбиты над целью и один - не вернулся с боевого задания (предположительно подбит огнем с земли). Еще 7 самолетов получили повреждения. Из этого числа один Ил-10 произвел вынужденную посадку вне аэродрома на своей территории, остальные самолеты возвратились на свой аэродром. Безвозвратные потери при выполнении боевых заданий, не связанные с воздействием противника, составили три машины, все - по причине отказа мотора. Произошло пять летных происшествий: две аварии и три поломки самолета. Погибли три летчика и три воздушных стрелка. Еще один летчик и два стрелка получили ранения и направлены в госпиталь. Налет на одну боевую потерю «десятки» составил около 75 самолето-вылетов (80 ч 45 мин).</w:t>
      </w:r>
    </w:p>
    <w:p w14:paraId="41875817"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За время войсковых испытаний имели место два случая поражения огнем зенитной артиллерии агрегатов мотора и бронекорпуса самолета.</w:t>
      </w:r>
    </w:p>
    <w:p w14:paraId="004B4DCA"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Самолет зав. № 104062 вернулся с боевого задания с пробоинами от малокалиберной зенитной артиллерии. В нижнем третьем люке бронекорпуса мотора снарядом «выбило кусок брони размером 150^200 мм», но мотор повреждений не получил. Пробоина бронелюка «заделана путем сварки нового куска брони».</w:t>
      </w:r>
    </w:p>
    <w:p w14:paraId="63F3F348"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На Ил-10 зав. № 1892307 пуля крупного калибра пробила дюралевый обтекатель водорадиатора и под углом проникла в моторную часть, пробила протектор верхнего бензобака. Самолет вернулся на аэродром.</w:t>
      </w:r>
    </w:p>
    <w:p w14:paraId="20C8F424"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Опыт боевой работы показал, что для запуска моторов и выруливания на исполнительный старт группы из 8 самолетов Ил -10 требуется минимум 4 минуты, для взлета всей группы (по одному) - 2,5-3,5 минуты, для сбора в воздухе - 3-4 минуты, и посадка всей группы занимает 3,5-4,5 минуты.</w:t>
      </w:r>
    </w:p>
    <w:p w14:paraId="584AC8EA"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Взлетно-посадочные качества Ил-10 позволяли с бомбовой нагрузкой 400 кг и с полной заправкой топливом вести работу с полевых аэродромов длиной 1000 м при наличии хороших подходов.</w:t>
      </w:r>
    </w:p>
    <w:p w14:paraId="480AAFEB"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Полеты на задания с таких аэродромов приводили к грубым посадкам и взлетам. Однако случаев поломки и нарушения прочности шасси и хвостового колеса не наблюдалось. При аварийных посадках, как правило, «ломалось не шасси, а силовая рама крепления шасси и складывающийся подкос шасси». Это обстоятельство в значительной степени усложняло ремонт самолета.</w:t>
      </w:r>
    </w:p>
    <w:p w14:paraId="5D0BAE53"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lastRenderedPageBreak/>
        <w:t>К окончанию боевых действий на всех самолетах «появилась остаточная деформация на щелевых лентах стыковочных узлов консолей с центропланом». Но деформации обшивки крыла, как это было в других полках, не было. Имели место пять случаев обрыва в полете обшивки в колодцах уборки шасси.</w:t>
      </w:r>
    </w:p>
    <w:p w14:paraId="242B8BD5"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На рулежке, взлете и пробеге «от ударов твердых частиц, летящих в струе воздуха от винта, деформируется передняя кромка стабилизатора».</w:t>
      </w:r>
    </w:p>
    <w:p w14:paraId="35A03083"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Отмечалась недостаточная эффективность тормозов. В четырех случаях при посадке разрушились покрышки колес шасси (800x260 мм).</w:t>
      </w:r>
    </w:p>
    <w:p w14:paraId="5D71EC07"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Слабая конструкция каркаса обтекателя хвостовой части фюзеляжа и самого обтекателя приводила к его деформации. По этой причине имели место случаи частичного заклинения руля поворота.</w:t>
      </w:r>
    </w:p>
    <w:p w14:paraId="7678AB98"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Обзор летчику назад из кабины отсутствовал. Предлагалось в бронеспинке сделать вставки из прозрачного бронестекла по типу самолета Ил-2.</w:t>
      </w:r>
    </w:p>
    <w:p w14:paraId="0E5BEB5F" w14:textId="77777777" w:rsidR="004F7EC9" w:rsidRPr="00F90EAE" w:rsidRDefault="004F7EC9" w:rsidP="00F90EAE">
      <w:pPr>
        <w:jc w:val="both"/>
        <w:rPr>
          <w:color w:val="000000" w:themeColor="text1"/>
          <w:sz w:val="16"/>
          <w:szCs w:val="16"/>
        </w:rPr>
      </w:pPr>
      <w:r w:rsidRPr="00F90EAE">
        <w:rPr>
          <w:rStyle w:val="107"/>
          <w:rFonts w:eastAsiaTheme="minorHAnsi"/>
          <w:color w:val="000000" w:themeColor="text1"/>
          <w:sz w:val="16"/>
          <w:szCs w:val="16"/>
        </w:rPr>
        <w:t>Системой объединенного управления винтом и газом «винт-газ» ЦИАМ-1744, установленной на Ил-10, летчики пользовались неохотно, и «полеты производились в большинстве случаев с раздельным управлением винтом и газом». Дело в том, что «блокировать винт и газ» можно было только на номинальном режиме работы мотора. На эксплуатационном режиме и средних режимах работы мотора «блокировка не обеспечивает нужных соотношений наддува по оборотам». К тому же с включенной блокировкой усложнялась работа секторами управления мотором и винтом вследствие появления дополнительных усилий и люфтов (17490).</w:t>
      </w:r>
    </w:p>
    <w:p w14:paraId="77614671" w14:textId="77777777" w:rsidR="004F7EC9" w:rsidRPr="00F90EAE" w:rsidRDefault="004F7EC9" w:rsidP="00F90EAE">
      <w:pPr>
        <w:jc w:val="both"/>
        <w:rPr>
          <w:rStyle w:val="107"/>
          <w:rFonts w:eastAsiaTheme="minorHAnsi"/>
          <w:color w:val="000000" w:themeColor="text1"/>
          <w:sz w:val="16"/>
          <w:szCs w:val="16"/>
        </w:rPr>
      </w:pPr>
    </w:p>
    <w:p w14:paraId="69D860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была последняя потеря 108 полка, когда четверка Ил-10 в сопровождении шестерки Ла-5 из 5 ГИАП вылетела на штурмовку немецких войск в район города Барут. В первом заходе на цель было уничтожено три автомашины. На втором заходе в Ил-10, ведомый младшим лейтенантом Городецким со стрелком сержантом Яковлевым, попал зенитный снаряд. Самолет вышел из строя и, дымя, ушел на запад. Больше этот экипаж никто не видел, и он числился пропавшим без вести (8683,37).</w:t>
      </w:r>
    </w:p>
    <w:p w14:paraId="2CF432FC" w14:textId="77777777" w:rsidR="00665165" w:rsidRPr="00F90EAE" w:rsidRDefault="00665165" w:rsidP="00F90EAE">
      <w:pPr>
        <w:autoSpaceDE w:val="0"/>
        <w:autoSpaceDN w:val="0"/>
        <w:adjustRightInd w:val="0"/>
        <w:jc w:val="both"/>
        <w:rPr>
          <w:color w:val="000000" w:themeColor="text1"/>
          <w:sz w:val="16"/>
          <w:szCs w:val="16"/>
        </w:rPr>
      </w:pPr>
    </w:p>
    <w:p w14:paraId="2F54B7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108 гшап понес первую потерю. При отходе от цели группы штурмовиков комэска Железнякова в Ил-10-й летчика Городецкого попал крупнокалиберный зенитный снаряд - от машины отделился винт, а носовая часть раскрылась железным "цветком"... Экипаж погиб (7489).</w:t>
      </w:r>
    </w:p>
    <w:p w14:paraId="600DA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Анализ боевых возможностей штурмовика Ил-10 показывает, что летчик-штурмовик с хорошей летной и стрелковой подготовкой, атакуя в боевых условиях немецкий истребитель танков типа Jg Pz 38 (t) "Hetzer" с пикирования под углом 45-50 , вполне мог обеспечить при стрельбе из пушек с дистанции 400 м вероятность поражения последнего около 0,6, а танка Pz. IV Ausf J/H - с вероятностью 0,32. То ес-тьэффективность Ил-10-го при действиях по немецким средним танкам, по сравнению с Ил-2, возросла значительно, даже несмотря на уменьшенную бомбовую загрузку противотанковыми авиабомбами и химическими ампулами. Однако пилотирование и прицеливание в этом случае требовали от летчиков повышенного внимания и были не под силу молодым летчикам (7489).</w:t>
      </w:r>
    </w:p>
    <w:p w14:paraId="07E01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углах планирования 25-30° эффективность ударов штурмовиков Ил-10 по немецкой бронетехнике практически не отличалась от таковой для Ил-2 с ВЯ-23 (7489).</w:t>
      </w:r>
    </w:p>
    <w:p w14:paraId="3AB4BD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Принимая во внимание качественный состав панцерваффе на завершающем этапе войны, приходится констатировать, что принятие на вооружение штурмовика Ил-10 все же не повысило в должной мере противотанковых свойств штурмовой авиации Красной Армии, а штурмовые самолеты семейства "Ил" так и не стали "грозой" для танков вермахта.. (7489).</w:t>
      </w:r>
    </w:p>
    <w:p w14:paraId="42D0B9ED" w14:textId="77777777" w:rsidR="00665165" w:rsidRPr="00F90EAE" w:rsidRDefault="00665165" w:rsidP="00F90EAE">
      <w:pPr>
        <w:autoSpaceDE w:val="0"/>
        <w:autoSpaceDN w:val="0"/>
        <w:adjustRightInd w:val="0"/>
        <w:jc w:val="both"/>
        <w:rPr>
          <w:color w:val="000000" w:themeColor="text1"/>
          <w:sz w:val="16"/>
          <w:szCs w:val="16"/>
        </w:rPr>
      </w:pPr>
    </w:p>
    <w:p w14:paraId="5C7994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в Ил-10 Городецкого попал крупнокалиберный снаряд и это был первый потерянный Ил-10. Первые 45 Ил-10 предназначались для войсковых испытаний в 108 гшап пп О.В.Топилина. Полк освоил машину в 1 заб и в марте 1945 перебазировался в Германию на полевой а Шпротау. Перед боем поработали на полигоне по мишеням. Боевые возможности оказались более широкими. Боевые вылеты начали в ходе наступления на Берлин. Почти неделю летали беспрерывно. В отчете было написано:</w:t>
      </w:r>
    </w:p>
    <w:p w14:paraId="3F461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большого диапазона скоростей и лучшая маневренность облегчают задачу истребителей сопровождения и позволяют самолету вступать в воздушный бой с противником.</w:t>
      </w:r>
    </w:p>
    <w:p w14:paraId="7DE134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Полное бронирование кабины экипажа повышают живучесть самолета.</w:t>
      </w:r>
    </w:p>
    <w:p w14:paraId="43B77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...Простота в технике пилотирования и сравнительно легкий переход к эксплуатации как летным, так и техническим составом дают возможность перевооружить строевые части на этот самолет в кратчайшие сроки..." (1605,3).</w:t>
      </w:r>
    </w:p>
    <w:p w14:paraId="718656E6" w14:textId="77777777" w:rsidR="00665165" w:rsidRPr="00F90EAE" w:rsidRDefault="00665165" w:rsidP="00F90EAE">
      <w:pPr>
        <w:autoSpaceDE w:val="0"/>
        <w:autoSpaceDN w:val="0"/>
        <w:adjustRightInd w:val="0"/>
        <w:jc w:val="both"/>
        <w:rPr>
          <w:color w:val="000000" w:themeColor="text1"/>
          <w:sz w:val="16"/>
          <w:szCs w:val="16"/>
        </w:rPr>
      </w:pPr>
    </w:p>
    <w:p w14:paraId="49C0BC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апреля 1945 108 гшап понес последние боевые потери. Во второй половине дня три четверки наносили бомбош-турмовой удар по окруженному про</w:t>
      </w:r>
      <w:r w:rsidRPr="00F90EAE">
        <w:rPr>
          <w:color w:val="000000" w:themeColor="text1"/>
          <w:sz w:val="16"/>
          <w:szCs w:val="16"/>
        </w:rPr>
        <w:softHyphen/>
        <w:t>тивнику в районе высот в 8-10 км вос-точнее населенного пункта, Барут.</w:t>
      </w:r>
    </w:p>
    <w:p w14:paraId="021AB9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Группы атаковали цели с высоты 800-700 м с пикирования. Каждая группа выполнила от 2 до б заходов.</w:t>
      </w:r>
    </w:p>
    <w:p w14:paraId="563887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Истребителей противника в райо</w:t>
      </w:r>
      <w:r w:rsidRPr="00F90EAE">
        <w:rPr>
          <w:color w:val="000000" w:themeColor="text1"/>
          <w:sz w:val="16"/>
          <w:szCs w:val="16"/>
        </w:rPr>
        <w:softHyphen/>
        <w:t>не боя не наблюдалось, но с земли вел</w:t>
      </w:r>
      <w:r w:rsidRPr="00F90EAE">
        <w:rPr>
          <w:color w:val="000000" w:themeColor="text1"/>
          <w:sz w:val="16"/>
          <w:szCs w:val="16"/>
        </w:rPr>
        <w:softHyphen/>
        <w:t>ся интенсивный огонь крупнокали</w:t>
      </w:r>
      <w:r w:rsidRPr="00F90EAE">
        <w:rPr>
          <w:color w:val="000000" w:themeColor="text1"/>
          <w:sz w:val="16"/>
          <w:szCs w:val="16"/>
        </w:rPr>
        <w:softHyphen/>
        <w:t>берных зенитных пулеметов. «Десят</w:t>
      </w:r>
      <w:r w:rsidRPr="00F90EAE">
        <w:rPr>
          <w:color w:val="000000" w:themeColor="text1"/>
          <w:sz w:val="16"/>
          <w:szCs w:val="16"/>
        </w:rPr>
        <w:softHyphen/>
        <w:t>ка» (зав. № 2802) мл. л-та Городецко</w:t>
      </w:r>
      <w:r w:rsidRPr="00F90EAE">
        <w:rPr>
          <w:color w:val="000000" w:themeColor="text1"/>
          <w:sz w:val="16"/>
          <w:szCs w:val="16"/>
        </w:rPr>
        <w:softHyphen/>
        <w:t>го (воздушный стрелок сержант Яков</w:t>
      </w:r>
      <w:r w:rsidRPr="00F90EAE">
        <w:rPr>
          <w:color w:val="000000" w:themeColor="text1"/>
          <w:sz w:val="16"/>
          <w:szCs w:val="16"/>
        </w:rPr>
        <w:softHyphen/>
        <w:t>лев) из первой группы уже в первом заходе на цель примерно в 15.50 по</w:t>
      </w:r>
      <w:r w:rsidRPr="00F90EAE">
        <w:rPr>
          <w:color w:val="000000" w:themeColor="text1"/>
          <w:sz w:val="16"/>
          <w:szCs w:val="16"/>
        </w:rPr>
        <w:softHyphen/>
        <w:t>лучила повреждения. По докладам ве</w:t>
      </w:r>
      <w:r w:rsidRPr="00F90EAE">
        <w:rPr>
          <w:color w:val="000000" w:themeColor="text1"/>
          <w:sz w:val="16"/>
          <w:szCs w:val="16"/>
        </w:rPr>
        <w:softHyphen/>
        <w:t>дущего группы к-на Миронова и эки</w:t>
      </w:r>
      <w:r w:rsidRPr="00F90EAE">
        <w:rPr>
          <w:color w:val="000000" w:themeColor="text1"/>
          <w:sz w:val="16"/>
          <w:szCs w:val="16"/>
        </w:rPr>
        <w:softHyphen/>
        <w:t>пажей Городецкий «отвалил» от цели со снижением и ушел в западном на</w:t>
      </w:r>
      <w:r w:rsidRPr="00F90EAE">
        <w:rPr>
          <w:color w:val="000000" w:themeColor="text1"/>
          <w:sz w:val="16"/>
          <w:szCs w:val="16"/>
        </w:rPr>
        <w:softHyphen/>
        <w:t>правлении. Мотор давал белые выхло</w:t>
      </w:r>
      <w:r w:rsidRPr="00F90EAE">
        <w:rPr>
          <w:color w:val="000000" w:themeColor="text1"/>
          <w:sz w:val="16"/>
          <w:szCs w:val="16"/>
        </w:rPr>
        <w:softHyphen/>
        <w:t>пы, а за самолетом тянулся шлейф бе</w:t>
      </w:r>
      <w:r w:rsidRPr="00F90EAE">
        <w:rPr>
          <w:color w:val="000000" w:themeColor="text1"/>
          <w:sz w:val="16"/>
          <w:szCs w:val="16"/>
        </w:rPr>
        <w:softHyphen/>
        <w:t>лого дыма. Места посадки никто из экипажей не наблюдал, так как выпол</w:t>
      </w:r>
      <w:r w:rsidRPr="00F90EAE">
        <w:rPr>
          <w:color w:val="000000" w:themeColor="text1"/>
          <w:sz w:val="16"/>
          <w:szCs w:val="16"/>
        </w:rPr>
        <w:softHyphen/>
        <w:t>няли 2-й заход на цель. На свой аэро</w:t>
      </w:r>
      <w:r w:rsidRPr="00F90EAE">
        <w:rPr>
          <w:color w:val="000000" w:themeColor="text1"/>
          <w:sz w:val="16"/>
          <w:szCs w:val="16"/>
        </w:rPr>
        <w:softHyphen/>
        <w:t>дром экипаж подбитого штурмовика не вернулся. В живых остался только воз</w:t>
      </w:r>
      <w:r w:rsidRPr="00F90EAE">
        <w:rPr>
          <w:color w:val="000000" w:themeColor="text1"/>
          <w:sz w:val="16"/>
          <w:szCs w:val="16"/>
        </w:rPr>
        <w:softHyphen/>
        <w:t>душный стрелок, который с тяжелым ранением долгое время находился в госпитале.</w:t>
      </w:r>
    </w:p>
    <w:p w14:paraId="51B4EF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атаки третьей группы в период 17.25-17.40 зенитным огнем был подбит Ил-10 (зав. № 2021) мл. л-та Кузьмина (воздушный стрелок ст. сержант Никитин). Мотор стал давать перебои. Из патрубков пошел белый дым, упало давление масла, мотор по</w:t>
      </w:r>
      <w:r w:rsidRPr="00F90EAE">
        <w:rPr>
          <w:color w:val="000000" w:themeColor="text1"/>
          <w:sz w:val="16"/>
          <w:szCs w:val="16"/>
        </w:rPr>
        <w:softHyphen/>
        <w:t>терял мощность. Ведущй группы к-н Мазуров доложил, что Кузьмин вышел из боевого порядка группы только после выполнения боевого задания и затем сел на вынужденную у населен</w:t>
      </w:r>
      <w:r w:rsidRPr="00F90EAE">
        <w:rPr>
          <w:color w:val="000000" w:themeColor="text1"/>
          <w:sz w:val="16"/>
          <w:szCs w:val="16"/>
        </w:rPr>
        <w:softHyphen/>
        <w:t>ного пункта Приров в 1 км к востоку от Гольки. Экипаж целым и невреди</w:t>
      </w:r>
      <w:r w:rsidRPr="00F90EAE">
        <w:rPr>
          <w:color w:val="000000" w:themeColor="text1"/>
          <w:sz w:val="16"/>
          <w:szCs w:val="16"/>
        </w:rPr>
        <w:softHyphen/>
        <w:t>мым 2 мая возвратился в полк. Самолет был разбит и требовал ремонта.</w:t>
      </w:r>
    </w:p>
    <w:p w14:paraId="255263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период с 16 по 30 апреля летчиками 108-го ГШАП было уничто</w:t>
      </w:r>
      <w:r w:rsidRPr="00F90EAE">
        <w:rPr>
          <w:color w:val="000000" w:themeColor="text1"/>
          <w:sz w:val="16"/>
          <w:szCs w:val="16"/>
        </w:rPr>
        <w:softHyphen/>
        <w:t>жено два и повреждено четыре немец</w:t>
      </w:r>
      <w:r w:rsidRPr="00F90EAE">
        <w:rPr>
          <w:color w:val="000000" w:themeColor="text1"/>
          <w:sz w:val="16"/>
          <w:szCs w:val="16"/>
        </w:rPr>
        <w:softHyphen/>
        <w:t>ких танков, уничтожено четыре бро</w:t>
      </w:r>
      <w:r w:rsidRPr="00F90EAE">
        <w:rPr>
          <w:color w:val="000000" w:themeColor="text1"/>
          <w:sz w:val="16"/>
          <w:szCs w:val="16"/>
        </w:rPr>
        <w:softHyphen/>
        <w:t>нетранспортера, сожжено 60 и по</w:t>
      </w:r>
      <w:r w:rsidRPr="00F90EAE">
        <w:rPr>
          <w:color w:val="000000" w:themeColor="text1"/>
          <w:sz w:val="16"/>
          <w:szCs w:val="16"/>
        </w:rPr>
        <w:softHyphen/>
        <w:t>вреждено свыше 100 автомашин,уничтожено четыре орудия полевой артил</w:t>
      </w:r>
      <w:r w:rsidRPr="00F90EAE">
        <w:rPr>
          <w:color w:val="000000" w:themeColor="text1"/>
          <w:sz w:val="16"/>
          <w:szCs w:val="16"/>
        </w:rPr>
        <w:softHyphen/>
        <w:t>лерии, обстрелян и поврежден броне</w:t>
      </w:r>
      <w:r w:rsidRPr="00F90EAE">
        <w:rPr>
          <w:color w:val="000000" w:themeColor="text1"/>
          <w:sz w:val="16"/>
          <w:szCs w:val="16"/>
        </w:rPr>
        <w:softHyphen/>
        <w:t>поезд, уничтожено до 50 повозок с грузами, создано около 15 очагов по</w:t>
      </w:r>
      <w:r w:rsidRPr="00F90EAE">
        <w:rPr>
          <w:color w:val="000000" w:themeColor="text1"/>
          <w:sz w:val="16"/>
          <w:szCs w:val="16"/>
        </w:rPr>
        <w:softHyphen/>
        <w:t>жаров, подавлен огонь двух батарей зенитной артиллерии.</w:t>
      </w:r>
    </w:p>
    <w:p w14:paraId="64C1AC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Согласно официальным данным, безвозвратные боевые потери 108-го гшап составили три самолета Ил-10, из которых один был сбит огнем зенит</w:t>
      </w:r>
      <w:r w:rsidRPr="00F90EAE">
        <w:rPr>
          <w:color w:val="000000" w:themeColor="text1"/>
          <w:sz w:val="16"/>
          <w:szCs w:val="16"/>
        </w:rPr>
        <w:softHyphen/>
        <w:t>ной артиллерией противника и два -не вернулись с боевого задан-ия. По</w:t>
      </w:r>
      <w:r w:rsidRPr="00F90EAE">
        <w:rPr>
          <w:color w:val="000000" w:themeColor="text1"/>
          <w:sz w:val="16"/>
          <w:szCs w:val="16"/>
        </w:rPr>
        <w:softHyphen/>
        <w:t>гибли два летчика и четыре воздушных стрелка. Налет на одну боевую поте</w:t>
      </w:r>
      <w:r w:rsidRPr="00F90EAE">
        <w:rPr>
          <w:color w:val="000000" w:themeColor="text1"/>
          <w:sz w:val="16"/>
          <w:szCs w:val="16"/>
        </w:rPr>
        <w:softHyphen/>
        <w:t>рю «десятки» составил 74 самолето</w:t>
      </w:r>
      <w:r w:rsidRPr="00F90EAE">
        <w:rPr>
          <w:color w:val="000000" w:themeColor="text1"/>
          <w:sz w:val="16"/>
          <w:szCs w:val="16"/>
        </w:rPr>
        <w:softHyphen/>
        <w:t>вылетов или 76 ч 04 мин.</w:t>
      </w:r>
    </w:p>
    <w:p w14:paraId="750D39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этого, от огня зенитной ар</w:t>
      </w:r>
      <w:r w:rsidRPr="00F90EAE">
        <w:rPr>
          <w:color w:val="000000" w:themeColor="text1"/>
          <w:sz w:val="16"/>
          <w:szCs w:val="16"/>
        </w:rPr>
        <w:softHyphen/>
        <w:t>тиллерии получили повреждения и выбыли в ремонт 7 самолетов. Небое</w:t>
      </w:r>
      <w:r w:rsidRPr="00F90EAE">
        <w:rPr>
          <w:color w:val="000000" w:themeColor="text1"/>
          <w:sz w:val="16"/>
          <w:szCs w:val="16"/>
        </w:rPr>
        <w:softHyphen/>
        <w:t>вые потери составили 4 машины, из них 3 - по причине отказа мотора. Про</w:t>
      </w:r>
      <w:r w:rsidRPr="00F90EAE">
        <w:rPr>
          <w:color w:val="000000" w:themeColor="text1"/>
          <w:sz w:val="16"/>
          <w:szCs w:val="16"/>
        </w:rPr>
        <w:softHyphen/>
        <w:t>изошло 5 летных происшествий: 2 ава</w:t>
      </w:r>
      <w:r w:rsidRPr="00F90EAE">
        <w:rPr>
          <w:color w:val="000000" w:themeColor="text1"/>
          <w:sz w:val="16"/>
          <w:szCs w:val="16"/>
        </w:rPr>
        <w:softHyphen/>
        <w:t>рии и 3 поломки самолета.</w:t>
      </w:r>
    </w:p>
    <w:p w14:paraId="1754CE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Надо сказать, нормальное боевое использование штурмовика затрудня</w:t>
      </w:r>
      <w:r w:rsidRPr="00F90EAE">
        <w:rPr>
          <w:color w:val="000000" w:themeColor="text1"/>
          <w:sz w:val="16"/>
          <w:szCs w:val="16"/>
        </w:rPr>
        <w:softHyphen/>
        <w:t>ли низкая надежность мотора АМ-42 и малые сроки его службы.</w:t>
      </w:r>
    </w:p>
    <w:p w14:paraId="2B85AA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все время боевых действий 108-го ГШАП вышли из строя 76% моторов по причине сильного износа поршне</w:t>
      </w:r>
      <w:r w:rsidRPr="00F90EAE">
        <w:rPr>
          <w:color w:val="000000" w:themeColor="text1"/>
          <w:sz w:val="16"/>
          <w:szCs w:val="16"/>
        </w:rPr>
        <w:softHyphen/>
        <w:t>вых колец, приводившего к потере компрессии. В 16% случаях АМ-42 вы</w:t>
      </w:r>
      <w:r w:rsidRPr="00F90EAE">
        <w:rPr>
          <w:color w:val="000000" w:themeColor="text1"/>
          <w:sz w:val="16"/>
          <w:szCs w:val="16"/>
        </w:rPr>
        <w:softHyphen/>
        <w:t>ходили из строя по причине появле</w:t>
      </w:r>
      <w:r w:rsidRPr="00F90EAE">
        <w:rPr>
          <w:color w:val="000000" w:themeColor="text1"/>
          <w:sz w:val="16"/>
          <w:szCs w:val="16"/>
        </w:rPr>
        <w:softHyphen/>
        <w:t>ния бронзовой, стальной и алюмини</w:t>
      </w:r>
      <w:r w:rsidRPr="00F90EAE">
        <w:rPr>
          <w:color w:val="000000" w:themeColor="text1"/>
          <w:sz w:val="16"/>
          <w:szCs w:val="16"/>
        </w:rPr>
        <w:softHyphen/>
        <w:t>евой стружек, попадания воды в кар</w:t>
      </w:r>
      <w:r w:rsidRPr="00F90EAE">
        <w:rPr>
          <w:color w:val="000000" w:themeColor="text1"/>
          <w:sz w:val="16"/>
          <w:szCs w:val="16"/>
        </w:rPr>
        <w:softHyphen/>
        <w:t>тер и выбрасывания масла.</w:t>
      </w:r>
    </w:p>
    <w:p w14:paraId="41E52D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Частому выходу моторов из строя способствовало и отсутствие на само</w:t>
      </w:r>
      <w:r w:rsidRPr="00F90EAE">
        <w:rPr>
          <w:color w:val="000000" w:themeColor="text1"/>
          <w:sz w:val="16"/>
          <w:szCs w:val="16"/>
        </w:rPr>
        <w:softHyphen/>
        <w:t>летах в системе забора воздуха в мо</w:t>
      </w:r>
      <w:r w:rsidRPr="00F90EAE">
        <w:rPr>
          <w:color w:val="000000" w:themeColor="text1"/>
          <w:sz w:val="16"/>
          <w:szCs w:val="16"/>
        </w:rPr>
        <w:softHyphen/>
        <w:t>тор противопыльного фильтра. После подсыхания площадки аэродрома мо</w:t>
      </w:r>
      <w:r w:rsidRPr="00F90EAE">
        <w:rPr>
          <w:color w:val="000000" w:themeColor="text1"/>
          <w:sz w:val="16"/>
          <w:szCs w:val="16"/>
        </w:rPr>
        <w:softHyphen/>
        <w:t>торы, которые к этому времени нара</w:t>
      </w:r>
      <w:r w:rsidRPr="00F90EAE">
        <w:rPr>
          <w:color w:val="000000" w:themeColor="text1"/>
          <w:sz w:val="16"/>
          <w:szCs w:val="16"/>
        </w:rPr>
        <w:softHyphen/>
        <w:t>ботали от 30 до 50 часов (так сказать, «критический» рубеж), начали бук</w:t>
      </w:r>
      <w:r w:rsidRPr="00F90EAE">
        <w:rPr>
          <w:color w:val="000000" w:themeColor="text1"/>
          <w:sz w:val="16"/>
          <w:szCs w:val="16"/>
        </w:rPr>
        <w:softHyphen/>
        <w:t>вально сыпаться. В итоге, к исходу 30 апреля в полку оставалось боеспособ</w:t>
      </w:r>
      <w:r w:rsidRPr="00F90EAE">
        <w:rPr>
          <w:color w:val="000000" w:themeColor="text1"/>
          <w:sz w:val="16"/>
          <w:szCs w:val="16"/>
        </w:rPr>
        <w:softHyphen/>
        <w:t>ными всего 11 самолетов Ил-10. Ос</w:t>
      </w:r>
      <w:r w:rsidRPr="00F90EAE">
        <w:rPr>
          <w:color w:val="000000" w:themeColor="text1"/>
          <w:sz w:val="16"/>
          <w:szCs w:val="16"/>
        </w:rPr>
        <w:softHyphen/>
        <w:t>тальные 18 (!) «десяток» были неисп</w:t>
      </w:r>
      <w:r w:rsidRPr="00F90EAE">
        <w:rPr>
          <w:color w:val="000000" w:themeColor="text1"/>
          <w:sz w:val="16"/>
          <w:szCs w:val="16"/>
        </w:rPr>
        <w:softHyphen/>
        <w:t>равны и требовали ремонта. Если учесть, что к исходу первого дня бое</w:t>
      </w:r>
      <w:r w:rsidRPr="00F90EAE">
        <w:rPr>
          <w:color w:val="000000" w:themeColor="text1"/>
          <w:sz w:val="16"/>
          <w:szCs w:val="16"/>
        </w:rPr>
        <w:softHyphen/>
        <w:t>вых действий в составе полка имелось 34 исправных самолетов Ил-10, то процент ежедневного выхода из строя матчасти просто ужасает. Аппроксима</w:t>
      </w:r>
      <w:r w:rsidRPr="00F90EAE">
        <w:rPr>
          <w:color w:val="000000" w:themeColor="text1"/>
          <w:sz w:val="16"/>
          <w:szCs w:val="16"/>
        </w:rPr>
        <w:softHyphen/>
        <w:t>ция «отхода» Ил-10 по неисправности и боевым причинам позволяет сделать вывод, что еще одна неделя боев и 108-й ГШАП остался бы без боеготовых са</w:t>
      </w:r>
      <w:r w:rsidRPr="00F90EAE">
        <w:rPr>
          <w:color w:val="000000" w:themeColor="text1"/>
          <w:sz w:val="16"/>
          <w:szCs w:val="16"/>
        </w:rPr>
        <w:softHyphen/>
        <w:t>молетов. Собственно,так и получилось. В течение мая месяца полк ни боевой, ни учебно-боевой работы на самоле</w:t>
      </w:r>
      <w:r w:rsidRPr="00F90EAE">
        <w:rPr>
          <w:color w:val="000000" w:themeColor="text1"/>
          <w:sz w:val="16"/>
          <w:szCs w:val="16"/>
        </w:rPr>
        <w:softHyphen/>
        <w:t>тах Ил-10 не вел, а занимался ремонтом неисправной матчасти и получением новой на авиабазе в г. Львов (11161).</w:t>
      </w:r>
    </w:p>
    <w:p w14:paraId="100D0D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FC65C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апреля 1945 оказался самым интенсив</w:t>
      </w:r>
      <w:r w:rsidRPr="00F90EAE">
        <w:rPr>
          <w:color w:val="000000" w:themeColor="text1"/>
          <w:sz w:val="16"/>
          <w:szCs w:val="16"/>
        </w:rPr>
        <w:softHyphen/>
        <w:t>ным боевым днем полка. В этот день эки</w:t>
      </w:r>
      <w:r w:rsidRPr="00F90EAE">
        <w:rPr>
          <w:color w:val="000000" w:themeColor="text1"/>
          <w:sz w:val="16"/>
          <w:szCs w:val="16"/>
        </w:rPr>
        <w:softHyphen/>
        <w:t>пажи 571-го шап группами по 8-12 са</w:t>
      </w:r>
      <w:r w:rsidRPr="00F90EAE">
        <w:rPr>
          <w:color w:val="000000" w:themeColor="text1"/>
          <w:sz w:val="16"/>
          <w:szCs w:val="16"/>
        </w:rPr>
        <w:softHyphen/>
        <w:t>молетов Ил-10 в сопровождении 6-8 истребителей Ла-5 от 181-го иап выпол</w:t>
      </w:r>
      <w:r w:rsidRPr="00F90EAE">
        <w:rPr>
          <w:color w:val="000000" w:themeColor="text1"/>
          <w:sz w:val="16"/>
          <w:szCs w:val="16"/>
        </w:rPr>
        <w:softHyphen/>
        <w:t>нили в общей сложности 115 самолето</w:t>
      </w:r>
      <w:r w:rsidRPr="00F90EAE">
        <w:rPr>
          <w:color w:val="000000" w:themeColor="text1"/>
          <w:sz w:val="16"/>
          <w:szCs w:val="16"/>
        </w:rPr>
        <w:softHyphen/>
        <w:t>вылетов. Это был своеобразный рекорд. Ни один штурмовой авиаполк на само</w:t>
      </w:r>
      <w:r w:rsidRPr="00F90EAE">
        <w:rPr>
          <w:color w:val="000000" w:themeColor="text1"/>
          <w:sz w:val="16"/>
          <w:szCs w:val="16"/>
        </w:rPr>
        <w:softHyphen/>
        <w:t>летах Ил-10 столько боевых вылетов в течение одного дня не выполнял.</w:t>
      </w:r>
    </w:p>
    <w:p w14:paraId="57E826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Первая группа в составе 12 Ил-10 (ведущий м-р Зацепа) в 9.30-9.40 на</w:t>
      </w:r>
      <w:r w:rsidRPr="00F90EAE">
        <w:rPr>
          <w:color w:val="000000" w:themeColor="text1"/>
          <w:sz w:val="16"/>
          <w:szCs w:val="16"/>
        </w:rPr>
        <w:softHyphen/>
        <w:t>несла удар по войскам противника в районе Витковице. Полет по маршру</w:t>
      </w:r>
      <w:r w:rsidRPr="00F90EAE">
        <w:rPr>
          <w:color w:val="000000" w:themeColor="text1"/>
          <w:sz w:val="16"/>
          <w:szCs w:val="16"/>
        </w:rPr>
        <w:softHyphen/>
        <w:t>ту выполнялся в правом пеленге на высоте 600 м. Подойдя к цели, экипа</w:t>
      </w:r>
      <w:r w:rsidRPr="00F90EAE">
        <w:rPr>
          <w:color w:val="000000" w:themeColor="text1"/>
          <w:sz w:val="16"/>
          <w:szCs w:val="16"/>
        </w:rPr>
        <w:softHyphen/>
        <w:t>жи группы замкнули круг в районе за</w:t>
      </w:r>
      <w:r w:rsidRPr="00F90EAE">
        <w:rPr>
          <w:color w:val="000000" w:themeColor="text1"/>
          <w:sz w:val="16"/>
          <w:szCs w:val="16"/>
        </w:rPr>
        <w:softHyphen/>
        <w:t>падной окраины Витковице и произ</w:t>
      </w:r>
      <w:r w:rsidRPr="00F90EAE">
        <w:rPr>
          <w:color w:val="000000" w:themeColor="text1"/>
          <w:sz w:val="16"/>
          <w:szCs w:val="16"/>
        </w:rPr>
        <w:softHyphen/>
        <w:t>вели «холостой» заход для уточнения расположения целей и своих войск. Получив дополнительное целеуказа</w:t>
      </w:r>
      <w:r w:rsidRPr="00F90EAE">
        <w:rPr>
          <w:color w:val="000000" w:themeColor="text1"/>
          <w:sz w:val="16"/>
          <w:szCs w:val="16"/>
        </w:rPr>
        <w:softHyphen/>
        <w:t>ние от станции наведения «Береза», группа завертела «колесо». Атаки вы</w:t>
      </w:r>
      <w:r w:rsidRPr="00F90EAE">
        <w:rPr>
          <w:color w:val="000000" w:themeColor="text1"/>
          <w:sz w:val="16"/>
          <w:szCs w:val="16"/>
        </w:rPr>
        <w:softHyphen/>
        <w:t>полнялись одиночными самолетами с «круга» с высоты 800-600 м и до 200 м. Угол пикирования 25-35°. Всего было выполнено 5 заходов. На отходе от цели «Береза» передала благодар</w:t>
      </w:r>
      <w:r w:rsidRPr="00F90EAE">
        <w:rPr>
          <w:color w:val="000000" w:themeColor="text1"/>
          <w:sz w:val="16"/>
          <w:szCs w:val="16"/>
        </w:rPr>
        <w:softHyphen/>
        <w:t>ность наземного командования.</w:t>
      </w:r>
    </w:p>
    <w:p w14:paraId="00272D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первой группой последовали вы</w:t>
      </w:r>
      <w:r w:rsidRPr="00F90EAE">
        <w:rPr>
          <w:color w:val="000000" w:themeColor="text1"/>
          <w:sz w:val="16"/>
          <w:szCs w:val="16"/>
        </w:rPr>
        <w:softHyphen/>
        <w:t>леты еще 12 групп штурмовиков. Край</w:t>
      </w:r>
      <w:r w:rsidRPr="00F90EAE">
        <w:rPr>
          <w:color w:val="000000" w:themeColor="text1"/>
          <w:sz w:val="16"/>
          <w:szCs w:val="16"/>
        </w:rPr>
        <w:softHyphen/>
        <w:t>ней оказалась группа ст. л-та Смирного в составе 12 Ил-10, которая вылетала на боевое задание в район Грушов в пери</w:t>
      </w:r>
      <w:r w:rsidRPr="00F90EAE">
        <w:rPr>
          <w:color w:val="000000" w:themeColor="text1"/>
          <w:sz w:val="16"/>
          <w:szCs w:val="16"/>
        </w:rPr>
        <w:softHyphen/>
        <w:t>од 19.03-19.53. На подходе к району нанесения удара группа была нацелена станцией наведения «Береза» на унич</w:t>
      </w:r>
      <w:r w:rsidRPr="00F90EAE">
        <w:rPr>
          <w:color w:val="000000" w:themeColor="text1"/>
          <w:sz w:val="16"/>
          <w:szCs w:val="16"/>
        </w:rPr>
        <w:softHyphen/>
        <w:t>тожение ж.д. моста через р. Одра юго-западнее Грушов. Бомбометание произ</w:t>
      </w:r>
      <w:r w:rsidRPr="00F90EAE">
        <w:rPr>
          <w:color w:val="000000" w:themeColor="text1"/>
          <w:sz w:val="16"/>
          <w:szCs w:val="16"/>
        </w:rPr>
        <w:softHyphen/>
        <w:t>водилось с пикирования под углами 40-45°. Сброс бомб осуществлялся на вы</w:t>
      </w:r>
      <w:r w:rsidRPr="00F90EAE">
        <w:rPr>
          <w:color w:val="000000" w:themeColor="text1"/>
          <w:sz w:val="16"/>
          <w:szCs w:val="16"/>
        </w:rPr>
        <w:softHyphen/>
        <w:t>ходе из пикирования с высоты около 400-450 м. Использовались фугасные авиабомбы ФАБ-100. Согласно боевым документам полка после трех заходов в результате прямых попаданий бомб мост был разрушен.</w:t>
      </w:r>
    </w:p>
    <w:p w14:paraId="7A0932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Всего же в течение дня по докладам экипажей и станции наведения удалось уничтожить и повредить 12 автомашин, 4 автобензоцистерны, одно орудие зе</w:t>
      </w:r>
      <w:r w:rsidRPr="00F90EAE">
        <w:rPr>
          <w:color w:val="000000" w:themeColor="text1"/>
          <w:sz w:val="16"/>
          <w:szCs w:val="16"/>
        </w:rPr>
        <w:softHyphen/>
        <w:t>нитной артиллерии, два орудия поле</w:t>
      </w:r>
      <w:r w:rsidRPr="00F90EAE">
        <w:rPr>
          <w:color w:val="000000" w:themeColor="text1"/>
          <w:sz w:val="16"/>
          <w:szCs w:val="16"/>
        </w:rPr>
        <w:softHyphen/>
        <w:t>вой артиллерии, 4 миномета, один па</w:t>
      </w:r>
      <w:r w:rsidRPr="00F90EAE">
        <w:rPr>
          <w:color w:val="000000" w:themeColor="text1"/>
          <w:sz w:val="16"/>
          <w:szCs w:val="16"/>
        </w:rPr>
        <w:softHyphen/>
        <w:t>ровоз, 4 железнодорожных вагона и уже упоминавшийся ж.д. мост через р.Одра. Средняя бомбовая нагрузка на один самолет составила 360 кг.</w:t>
      </w:r>
    </w:p>
    <w:p w14:paraId="4DEC28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экипажи 571-го шап при на</w:t>
      </w:r>
      <w:r w:rsidRPr="00F90EAE">
        <w:rPr>
          <w:color w:val="000000" w:themeColor="text1"/>
          <w:sz w:val="16"/>
          <w:szCs w:val="16"/>
        </w:rPr>
        <w:softHyphen/>
        <w:t>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w:t>
      </w:r>
      <w:r w:rsidRPr="00F90EAE">
        <w:rPr>
          <w:color w:val="000000" w:themeColor="text1"/>
          <w:sz w:val="16"/>
          <w:szCs w:val="16"/>
        </w:rPr>
        <w:softHyphen/>
        <w:t>действие немецких зенитчиков. Две «десятки» (зав. № 1890802 и 1894603) были сбиты. Погибли мл. л-т Г.Д. За-гурский и воздушный стрелок сержант П. А. Котов, мл. л-т П.И. Полигалов и воздушный стрелок рядовой М. М. Вар-ташов. К исходу дня в составе полка осталось 30 самолетов Ил-10, из кото</w:t>
      </w:r>
      <w:r w:rsidRPr="00F90EAE">
        <w:rPr>
          <w:color w:val="000000" w:themeColor="text1"/>
          <w:sz w:val="16"/>
          <w:szCs w:val="16"/>
        </w:rPr>
        <w:softHyphen/>
        <w:t>рых 25 машин были боеготовыми.</w:t>
      </w:r>
    </w:p>
    <w:p w14:paraId="77E2FB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Надо сказать, эксплуатация и бое</w:t>
      </w:r>
      <w:r w:rsidRPr="00F90EAE">
        <w:rPr>
          <w:color w:val="000000" w:themeColor="text1"/>
          <w:sz w:val="16"/>
          <w:szCs w:val="16"/>
        </w:rPr>
        <w:softHyphen/>
        <w:t>вое применение Ил-10 сопровожда</w:t>
      </w:r>
      <w:r w:rsidRPr="00F90EAE">
        <w:rPr>
          <w:color w:val="000000" w:themeColor="text1"/>
          <w:sz w:val="16"/>
          <w:szCs w:val="16"/>
        </w:rPr>
        <w:softHyphen/>
        <w:t>лись многочисленными отказами агре</w:t>
      </w:r>
      <w:r w:rsidRPr="00F90EAE">
        <w:rPr>
          <w:color w:val="000000" w:themeColor="text1"/>
          <w:sz w:val="16"/>
          <w:szCs w:val="16"/>
        </w:rPr>
        <w:softHyphen/>
        <w:t>гатов и систем самолета. Только на моторах АМ-42 к 7 мая обнаружилось 24 дефекта, в том числе: 10 случаев по причине отказа в работе карбюрато</w:t>
      </w:r>
      <w:r w:rsidRPr="00F90EAE">
        <w:rPr>
          <w:color w:val="000000" w:themeColor="text1"/>
          <w:sz w:val="16"/>
          <w:szCs w:val="16"/>
        </w:rPr>
        <w:softHyphen/>
        <w:t>ра, бензосистемы и свечей АС-132, 5 случаев тряски мотора на всех режи</w:t>
      </w:r>
      <w:r w:rsidRPr="00F90EAE">
        <w:rPr>
          <w:color w:val="000000" w:themeColor="text1"/>
          <w:sz w:val="16"/>
          <w:szCs w:val="16"/>
        </w:rPr>
        <w:softHyphen/>
        <w:t>мах работы, даже на номинальном, два случая деформации мембран карбюра</w:t>
      </w:r>
      <w:r w:rsidRPr="00F90EAE">
        <w:rPr>
          <w:color w:val="000000" w:themeColor="text1"/>
          <w:sz w:val="16"/>
          <w:szCs w:val="16"/>
        </w:rPr>
        <w:softHyphen/>
        <w:t>тора и в остальных случаях наблюда</w:t>
      </w:r>
      <w:r w:rsidRPr="00F90EAE">
        <w:rPr>
          <w:color w:val="000000" w:themeColor="text1"/>
          <w:sz w:val="16"/>
          <w:szCs w:val="16"/>
        </w:rPr>
        <w:softHyphen/>
        <w:t>лась течь масло- и водорадиаторов по причине плохой пайки. Подходы к све</w:t>
      </w:r>
      <w:r w:rsidRPr="00F90EAE">
        <w:rPr>
          <w:color w:val="000000" w:themeColor="text1"/>
          <w:sz w:val="16"/>
          <w:szCs w:val="16"/>
        </w:rPr>
        <w:softHyphen/>
        <w:t>чам и различного рода агрегатам и уз</w:t>
      </w:r>
      <w:r w:rsidRPr="00F90EAE">
        <w:rPr>
          <w:color w:val="000000" w:themeColor="text1"/>
          <w:sz w:val="16"/>
          <w:szCs w:val="16"/>
        </w:rPr>
        <w:softHyphen/>
        <w:t>лам мотора были крайне неудобными. Например, замена карбюратора и от</w:t>
      </w:r>
      <w:r w:rsidRPr="00F90EAE">
        <w:rPr>
          <w:color w:val="000000" w:themeColor="text1"/>
          <w:sz w:val="16"/>
          <w:szCs w:val="16"/>
        </w:rPr>
        <w:softHyphen/>
        <w:t>ладка мотора занимала до 30-33 часов рабочего времени.</w:t>
      </w:r>
    </w:p>
    <w:p w14:paraId="59DA23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Постоянно рвались троса бомбо-люков, створки бомболюков деформи</w:t>
      </w:r>
      <w:r w:rsidRPr="00F90EAE">
        <w:rPr>
          <w:color w:val="000000" w:themeColor="text1"/>
          <w:sz w:val="16"/>
          <w:szCs w:val="16"/>
        </w:rPr>
        <w:softHyphen/>
        <w:t>ровались при загрузке мелких бомб и повреждались при сбросе бомб круп</w:t>
      </w:r>
      <w:r w:rsidRPr="00F90EAE">
        <w:rPr>
          <w:color w:val="000000" w:themeColor="text1"/>
          <w:sz w:val="16"/>
          <w:szCs w:val="16"/>
        </w:rPr>
        <w:softHyphen/>
        <w:t>ного калибра. Обшивка консолей и центроплана крыла, а также заклепки крыла не выдерживали нагрузок. Ли</w:t>
      </w:r>
      <w:r w:rsidRPr="00F90EAE">
        <w:rPr>
          <w:color w:val="000000" w:themeColor="text1"/>
          <w:sz w:val="16"/>
          <w:szCs w:val="16"/>
        </w:rPr>
        <w:softHyphen/>
        <w:t>сты шли волной, заклепки срезались и выпадали. Ломались складывающиеся подкосы шасси и обтекатели хвосто</w:t>
      </w:r>
      <w:r w:rsidRPr="00F90EAE">
        <w:rPr>
          <w:color w:val="000000" w:themeColor="text1"/>
          <w:sz w:val="16"/>
          <w:szCs w:val="16"/>
        </w:rPr>
        <w:softHyphen/>
        <w:t>вого колеса.</w:t>
      </w:r>
    </w:p>
    <w:p w14:paraId="208AEB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Удивительно, но техническому со</w:t>
      </w:r>
      <w:r w:rsidRPr="00F90EAE">
        <w:rPr>
          <w:color w:val="000000" w:themeColor="text1"/>
          <w:sz w:val="16"/>
          <w:szCs w:val="16"/>
        </w:rPr>
        <w:softHyphen/>
        <w:t>ставу 571-го шап все же удавалось поддерживать боеготовность матчас-ти на уровне, обеспечивающем выпол</w:t>
      </w:r>
      <w:r w:rsidRPr="00F90EAE">
        <w:rPr>
          <w:color w:val="000000" w:themeColor="text1"/>
          <w:sz w:val="16"/>
          <w:szCs w:val="16"/>
        </w:rPr>
        <w:softHyphen/>
        <w:t>нение полком поставленных боевых задач. Ежедневная боеготовность пол</w:t>
      </w:r>
      <w:r w:rsidRPr="00F90EAE">
        <w:rPr>
          <w:color w:val="000000" w:themeColor="text1"/>
          <w:sz w:val="16"/>
          <w:szCs w:val="16"/>
        </w:rPr>
        <w:softHyphen/>
        <w:t>ка в среднем составляла 72,8% теку</w:t>
      </w:r>
      <w:r w:rsidRPr="00F90EAE">
        <w:rPr>
          <w:color w:val="000000" w:themeColor="text1"/>
          <w:sz w:val="16"/>
          <w:szCs w:val="16"/>
        </w:rPr>
        <w:softHyphen/>
        <w:t>щего боевого состава (11157).</w:t>
      </w:r>
    </w:p>
    <w:p w14:paraId="0C744D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4CAB4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апреля 1945 оказался самым интенсив</w:t>
      </w:r>
      <w:r w:rsidRPr="00F90EAE">
        <w:rPr>
          <w:color w:val="000000" w:themeColor="text1"/>
          <w:sz w:val="16"/>
          <w:szCs w:val="16"/>
        </w:rPr>
        <w:softHyphen/>
        <w:t>ным боевым днем для 571-го полка. Группами по 8 - 12 самолетов штурмовики в со</w:t>
      </w:r>
      <w:r w:rsidRPr="00F90EAE">
        <w:rPr>
          <w:color w:val="000000" w:themeColor="text1"/>
          <w:sz w:val="16"/>
          <w:szCs w:val="16"/>
        </w:rPr>
        <w:softHyphen/>
        <w:t>провождении шести - восьми истреби</w:t>
      </w:r>
      <w:r w:rsidRPr="00F90EAE">
        <w:rPr>
          <w:color w:val="000000" w:themeColor="text1"/>
          <w:sz w:val="16"/>
          <w:szCs w:val="16"/>
        </w:rPr>
        <w:softHyphen/>
        <w:t>телей Ла-5 из 181-го иап выполнили в общей сложности 115 самолето-выле</w:t>
      </w:r>
      <w:r w:rsidRPr="00F90EAE">
        <w:rPr>
          <w:color w:val="000000" w:themeColor="text1"/>
          <w:sz w:val="16"/>
          <w:szCs w:val="16"/>
        </w:rPr>
        <w:softHyphen/>
        <w:t>тов. Это был своеобразный рекорд. Ни один штурмовой полк на Ил-10 столько боевых вылетов в течение одного дня не совершал. Удары наносились в районе Морав-ска-Острава, Старабела, Витковице, Прошивау, Грушов, Якловице. Первая группа в составе 12 Ил-10, которую вел майор Зацепа, в полдесятого утра ата</w:t>
      </w:r>
      <w:r w:rsidRPr="00F90EAE">
        <w:rPr>
          <w:color w:val="000000" w:themeColor="text1"/>
          <w:sz w:val="16"/>
          <w:szCs w:val="16"/>
        </w:rPr>
        <w:softHyphen/>
        <w:t>ковала войска противника около Витко</w:t>
      </w:r>
      <w:r w:rsidRPr="00F90EAE">
        <w:rPr>
          <w:color w:val="000000" w:themeColor="text1"/>
          <w:sz w:val="16"/>
          <w:szCs w:val="16"/>
        </w:rPr>
        <w:softHyphen/>
        <w:t>вице. Подойдя к цели, экипажи замкнули круг и произвели холостой заход для уточнения расположения немцев и сво</w:t>
      </w:r>
      <w:r w:rsidRPr="00F90EAE">
        <w:rPr>
          <w:color w:val="000000" w:themeColor="text1"/>
          <w:sz w:val="16"/>
          <w:szCs w:val="16"/>
        </w:rPr>
        <w:softHyphen/>
        <w:t>их войск. Получив дополнительное це</w:t>
      </w:r>
      <w:r w:rsidRPr="00F90EAE">
        <w:rPr>
          <w:color w:val="000000" w:themeColor="text1"/>
          <w:sz w:val="16"/>
          <w:szCs w:val="16"/>
        </w:rPr>
        <w:softHyphen/>
        <w:t>леуказание от станции наведения «Бе</w:t>
      </w:r>
      <w:r w:rsidRPr="00F90EAE">
        <w:rPr>
          <w:color w:val="000000" w:themeColor="text1"/>
          <w:sz w:val="16"/>
          <w:szCs w:val="16"/>
        </w:rPr>
        <w:softHyphen/>
        <w:t>реза», группа завертела «колесо». Ата</w:t>
      </w:r>
      <w:r w:rsidRPr="00F90EAE">
        <w:rPr>
          <w:color w:val="000000" w:themeColor="text1"/>
          <w:sz w:val="16"/>
          <w:szCs w:val="16"/>
        </w:rPr>
        <w:softHyphen/>
        <w:t>ки выполнялись одиночными самолета</w:t>
      </w:r>
      <w:r w:rsidRPr="00F90EAE">
        <w:rPr>
          <w:color w:val="000000" w:themeColor="text1"/>
          <w:sz w:val="16"/>
          <w:szCs w:val="16"/>
        </w:rPr>
        <w:softHyphen/>
        <w:t>ми с высоты 800 - 600 м со снижением до 200 м. Угол пикирования 25° - 35°. Всего сделали пять заходов. На отходе «Береза» передала летчикам благодар</w:t>
      </w:r>
      <w:r w:rsidRPr="00F90EAE">
        <w:rPr>
          <w:color w:val="000000" w:themeColor="text1"/>
          <w:sz w:val="16"/>
          <w:szCs w:val="16"/>
        </w:rPr>
        <w:softHyphen/>
        <w:t>ность наземного командования. За первой группой последовали выле</w:t>
      </w:r>
      <w:r w:rsidRPr="00F90EAE">
        <w:rPr>
          <w:color w:val="000000" w:themeColor="text1"/>
          <w:sz w:val="16"/>
          <w:szCs w:val="16"/>
        </w:rPr>
        <w:softHyphen/>
        <w:t>ты еще дюжины. Последней поднялась в воздух группа старшего лейтенанта Смирного в составе 12 Ил-10. На подхо</w:t>
      </w:r>
      <w:r w:rsidRPr="00F90EAE">
        <w:rPr>
          <w:color w:val="000000" w:themeColor="text1"/>
          <w:sz w:val="16"/>
          <w:szCs w:val="16"/>
        </w:rPr>
        <w:softHyphen/>
        <w:t>де к месту назначения группу по радио перенацелили на железнодорожный мост через Одру, находившийся юго-за</w:t>
      </w:r>
      <w:r w:rsidRPr="00F90EAE">
        <w:rPr>
          <w:color w:val="000000" w:themeColor="text1"/>
          <w:sz w:val="16"/>
          <w:szCs w:val="16"/>
        </w:rPr>
        <w:softHyphen/>
        <w:t>паднее Грушова. Бомбили с пикирова</w:t>
      </w:r>
      <w:r w:rsidRPr="00F90EAE">
        <w:rPr>
          <w:color w:val="000000" w:themeColor="text1"/>
          <w:sz w:val="16"/>
          <w:szCs w:val="16"/>
        </w:rPr>
        <w:softHyphen/>
        <w:t>ния под углами 40° - 45°. Сброс осуще</w:t>
      </w:r>
      <w:r w:rsidRPr="00F90EAE">
        <w:rPr>
          <w:color w:val="000000" w:themeColor="text1"/>
          <w:sz w:val="16"/>
          <w:szCs w:val="16"/>
        </w:rPr>
        <w:softHyphen/>
        <w:t>ствлялся на выходе из пикирования с высоты 400 - 450 м. Использовались бомбы ФАБ-100. Согласно документам полка, после трех заходов мост был раз</w:t>
      </w:r>
      <w:r w:rsidRPr="00F90EAE">
        <w:rPr>
          <w:color w:val="000000" w:themeColor="text1"/>
          <w:sz w:val="16"/>
          <w:szCs w:val="16"/>
        </w:rPr>
        <w:softHyphen/>
        <w:t>рушен прямыми попаданиями. Всего же в течение дня удалось уничтожить и по</w:t>
      </w:r>
      <w:r w:rsidRPr="00F90EAE">
        <w:rPr>
          <w:color w:val="000000" w:themeColor="text1"/>
          <w:sz w:val="16"/>
          <w:szCs w:val="16"/>
        </w:rPr>
        <w:softHyphen/>
        <w:t>вредить 12 автомашин, 4 бензовоза, 1 зе</w:t>
      </w:r>
      <w:r w:rsidRPr="00F90EAE">
        <w:rPr>
          <w:color w:val="000000" w:themeColor="text1"/>
          <w:sz w:val="16"/>
          <w:szCs w:val="16"/>
        </w:rPr>
        <w:softHyphen/>
        <w:t>нитное орудие и 2 полевых, 4 миномета, 1 паровоз, 4 железнодорожных вагона и уже упоминавшийся мост (10681).</w:t>
      </w:r>
    </w:p>
    <w:p w14:paraId="4F73AA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36CDA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апреля 1945 108-й полк понес последние боевые потери. Во второй половине дня три четверки Ил-10 штурмовали немецкие части, окруженные у населенного пунк</w:t>
      </w:r>
      <w:r w:rsidRPr="00F90EAE">
        <w:rPr>
          <w:color w:val="000000" w:themeColor="text1"/>
          <w:sz w:val="16"/>
          <w:szCs w:val="16"/>
        </w:rPr>
        <w:softHyphen/>
        <w:t>та Барут. Они бомбили и обстреливали их с пологого пикирования. С земли вел</w:t>
      </w:r>
      <w:r w:rsidRPr="00F90EAE">
        <w:rPr>
          <w:color w:val="000000" w:themeColor="text1"/>
          <w:sz w:val="16"/>
          <w:szCs w:val="16"/>
        </w:rPr>
        <w:softHyphen/>
        <w:t>ся интенсивный огонь из крупнокали</w:t>
      </w:r>
      <w:r w:rsidRPr="00F90EAE">
        <w:rPr>
          <w:color w:val="000000" w:themeColor="text1"/>
          <w:sz w:val="16"/>
          <w:szCs w:val="16"/>
        </w:rPr>
        <w:softHyphen/>
        <w:t>берных пулеметов. «Десятка» младше</w:t>
      </w:r>
      <w:r w:rsidRPr="00F90EAE">
        <w:rPr>
          <w:color w:val="000000" w:themeColor="text1"/>
          <w:sz w:val="16"/>
          <w:szCs w:val="16"/>
        </w:rPr>
        <w:softHyphen/>
        <w:t>го лейтенанта Городецкого уже на пер</w:t>
      </w:r>
      <w:r w:rsidRPr="00F90EAE">
        <w:rPr>
          <w:color w:val="000000" w:themeColor="text1"/>
          <w:sz w:val="16"/>
          <w:szCs w:val="16"/>
        </w:rPr>
        <w:softHyphen/>
        <w:t>вом заходе получила повреждения. Го</w:t>
      </w:r>
      <w:r w:rsidRPr="00F90EAE">
        <w:rPr>
          <w:color w:val="000000" w:themeColor="text1"/>
          <w:sz w:val="16"/>
          <w:szCs w:val="16"/>
        </w:rPr>
        <w:softHyphen/>
        <w:t>родецкий «отвалил» от цели со сниже</w:t>
      </w:r>
      <w:r w:rsidRPr="00F90EAE">
        <w:rPr>
          <w:color w:val="000000" w:themeColor="text1"/>
          <w:sz w:val="16"/>
          <w:szCs w:val="16"/>
        </w:rPr>
        <w:softHyphen/>
        <w:t>нием и ушел в западном направлении. За самолетом тянулся шлейф белого дыма. Больше его никто не видел, судь</w:t>
      </w:r>
      <w:r w:rsidRPr="00F90EAE">
        <w:rPr>
          <w:color w:val="000000" w:themeColor="text1"/>
          <w:sz w:val="16"/>
          <w:szCs w:val="16"/>
        </w:rPr>
        <w:softHyphen/>
        <w:t>ба экипажа осталась неизвестной. Во время атаки третьей четверки зе</w:t>
      </w:r>
      <w:r w:rsidRPr="00F90EAE">
        <w:rPr>
          <w:color w:val="000000" w:themeColor="text1"/>
          <w:sz w:val="16"/>
          <w:szCs w:val="16"/>
        </w:rPr>
        <w:softHyphen/>
        <w:t>нитным огнем был подбит Ил-10 млад</w:t>
      </w:r>
      <w:r w:rsidRPr="00F90EAE">
        <w:rPr>
          <w:color w:val="000000" w:themeColor="text1"/>
          <w:sz w:val="16"/>
          <w:szCs w:val="16"/>
        </w:rPr>
        <w:softHyphen/>
        <w:t>шего лейтенанта Кузьмина. Мотор стал давать перебои. Из патрубков пошел белый дым, упало давление масла. Но Кузьмин вышел из боевого порядка только после выполнения задания, а за</w:t>
      </w:r>
      <w:r w:rsidRPr="00F90EAE">
        <w:rPr>
          <w:color w:val="000000" w:themeColor="text1"/>
          <w:sz w:val="16"/>
          <w:szCs w:val="16"/>
        </w:rPr>
        <w:softHyphen/>
        <w:t>тем сел на вынужденную у населенного пункта Приров. Экипаж целым и невре</w:t>
      </w:r>
      <w:r w:rsidRPr="00F90EAE">
        <w:rPr>
          <w:color w:val="000000" w:themeColor="text1"/>
          <w:sz w:val="16"/>
          <w:szCs w:val="16"/>
        </w:rPr>
        <w:softHyphen/>
        <w:t>димым 2 мая возвратился в полк. Само</w:t>
      </w:r>
      <w:r w:rsidRPr="00F90EAE">
        <w:rPr>
          <w:color w:val="000000" w:themeColor="text1"/>
          <w:sz w:val="16"/>
          <w:szCs w:val="16"/>
        </w:rPr>
        <w:softHyphen/>
        <w:t>лет же пошел в ремонт (10681).</w:t>
      </w:r>
    </w:p>
    <w:p w14:paraId="21FEEB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9D64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К вечеру 30 апреля 1945 в 571-м </w:t>
      </w:r>
      <w:r w:rsidRPr="00F90EAE">
        <w:rPr>
          <w:iCs/>
          <w:color w:val="000000" w:themeColor="text1"/>
          <w:sz w:val="16"/>
          <w:szCs w:val="16"/>
        </w:rPr>
        <w:t>шап</w:t>
      </w:r>
      <w:r w:rsidRPr="00F90EAE">
        <w:rPr>
          <w:color w:val="000000" w:themeColor="text1"/>
          <w:sz w:val="16"/>
          <w:szCs w:val="16"/>
        </w:rPr>
        <w:t xml:space="preserve"> насчитывалось всего 11 боеспособных самолетов. Осталь</w:t>
      </w:r>
      <w:r w:rsidRPr="00F90EAE">
        <w:rPr>
          <w:color w:val="000000" w:themeColor="text1"/>
          <w:sz w:val="16"/>
          <w:szCs w:val="16"/>
        </w:rPr>
        <w:softHyphen/>
        <w:t>ные 18 "десяток" требовали ремон</w:t>
      </w:r>
      <w:r w:rsidRPr="00F90EAE">
        <w:rPr>
          <w:color w:val="000000" w:themeColor="text1"/>
          <w:sz w:val="16"/>
          <w:szCs w:val="16"/>
        </w:rPr>
        <w:softHyphen/>
        <w:t>та. Еще одна неделя боев, и летать было бы не на чем.</w:t>
      </w:r>
    </w:p>
    <w:p w14:paraId="70198B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тылу положение дел было не лучше. Например, в двух дивизиях 7-го </w:t>
      </w:r>
      <w:r w:rsidRPr="00F90EAE">
        <w:rPr>
          <w:iCs/>
          <w:color w:val="000000" w:themeColor="text1"/>
          <w:sz w:val="16"/>
          <w:szCs w:val="16"/>
        </w:rPr>
        <w:t xml:space="preserve">шак, </w:t>
      </w:r>
      <w:r w:rsidRPr="00F90EAE">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F90EAE">
        <w:rPr>
          <w:color w:val="000000" w:themeColor="text1"/>
          <w:sz w:val="16"/>
          <w:szCs w:val="16"/>
        </w:rPr>
        <w:softHyphen/>
        <w:t>исправными.</w:t>
      </w:r>
    </w:p>
    <w:p w14:paraId="1F118B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w:t>
      </w:r>
      <w:r w:rsidRPr="00F90EAE">
        <w:rPr>
          <w:color w:val="000000" w:themeColor="text1"/>
          <w:sz w:val="16"/>
          <w:szCs w:val="16"/>
        </w:rPr>
        <w:softHyphen/>
        <w:t>мации верхней и нижней обшивки консольной части крыла, срез и от</w:t>
      </w:r>
      <w:r w:rsidRPr="00F90EAE">
        <w:rPr>
          <w:color w:val="000000" w:themeColor="text1"/>
          <w:sz w:val="16"/>
          <w:szCs w:val="16"/>
        </w:rPr>
        <w:softHyphen/>
        <w:t>рыв заклепок. На некоторых маши</w:t>
      </w:r>
      <w:r w:rsidRPr="00F90EAE">
        <w:rPr>
          <w:color w:val="000000" w:themeColor="text1"/>
          <w:sz w:val="16"/>
          <w:szCs w:val="16"/>
        </w:rPr>
        <w:softHyphen/>
        <w:t>нах наблюдалось отставание листов нижней обшивки центроплана, со</w:t>
      </w:r>
      <w:r w:rsidRPr="00F90EAE">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F90EAE">
        <w:rPr>
          <w:color w:val="000000" w:themeColor="text1"/>
          <w:sz w:val="16"/>
          <w:szCs w:val="16"/>
        </w:rPr>
        <w:softHyphen/>
        <w:t>лабления заклепочных швов обшив</w:t>
      </w:r>
      <w:r w:rsidRPr="00F90EAE">
        <w:rPr>
          <w:color w:val="000000" w:themeColor="text1"/>
          <w:sz w:val="16"/>
          <w:szCs w:val="16"/>
        </w:rPr>
        <w:softHyphen/>
        <w:t>ки фюзеляжа в области крепления костыльной установки, а также по листу перехода килевой части фю</w:t>
      </w:r>
      <w:r w:rsidRPr="00F90EAE">
        <w:rPr>
          <w:color w:val="000000" w:themeColor="text1"/>
          <w:sz w:val="16"/>
          <w:szCs w:val="16"/>
        </w:rPr>
        <w:softHyphen/>
        <w:t>зеляжа. Система шасси оказалась довольно слабой в прочностном от</w:t>
      </w:r>
      <w:r w:rsidRPr="00F90EAE">
        <w:rPr>
          <w:color w:val="000000" w:themeColor="text1"/>
          <w:sz w:val="16"/>
          <w:szCs w:val="16"/>
        </w:rPr>
        <w:softHyphen/>
        <w:t>ношении и ненадежной: ломались складывающиеся подкосы шасси и обтекатели хвостового колеса, на</w:t>
      </w:r>
      <w:r w:rsidRPr="00F90EAE">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7F2C0F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Много проблем было и с воору</w:t>
      </w:r>
      <w:r w:rsidRPr="00F90EAE">
        <w:rPr>
          <w:color w:val="000000" w:themeColor="text1"/>
          <w:sz w:val="16"/>
          <w:szCs w:val="16"/>
        </w:rPr>
        <w:softHyphen/>
        <w:t>жением. Постоянно рвались и зае</w:t>
      </w:r>
      <w:r w:rsidRPr="00F90EAE">
        <w:rPr>
          <w:color w:val="000000" w:themeColor="text1"/>
          <w:sz w:val="16"/>
          <w:szCs w:val="16"/>
        </w:rPr>
        <w:softHyphen/>
        <w:t>дали троса бомболюков, створки бомболюков деформировались при загрузке мелких бомб и поврежда</w:t>
      </w:r>
      <w:r w:rsidRPr="00F90EAE">
        <w:rPr>
          <w:color w:val="000000" w:themeColor="text1"/>
          <w:sz w:val="16"/>
          <w:szCs w:val="16"/>
        </w:rPr>
        <w:softHyphen/>
        <w:t>лись при сбросе бомб крупного ка</w:t>
      </w:r>
      <w:r w:rsidRPr="00F90EAE">
        <w:rPr>
          <w:color w:val="000000" w:themeColor="text1"/>
          <w:sz w:val="16"/>
          <w:szCs w:val="16"/>
        </w:rPr>
        <w:softHyphen/>
        <w:t>либра. Все это приводило к тому, что</w:t>
      </w:r>
    </w:p>
    <w:p w14:paraId="586938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 целью экипажи после сброса бомб зачастую продолжали выпол</w:t>
      </w:r>
      <w:r w:rsidRPr="00F90EAE">
        <w:rPr>
          <w:color w:val="000000" w:themeColor="text1"/>
          <w:sz w:val="16"/>
          <w:szCs w:val="16"/>
        </w:rPr>
        <w:softHyphen/>
        <w:t xml:space="preserve">нять атаки с открытыми бомболюка-ми. В результате </w:t>
      </w:r>
      <w:r w:rsidRPr="00F90EAE">
        <w:rPr>
          <w:iCs/>
          <w:color w:val="000000" w:themeColor="text1"/>
          <w:sz w:val="16"/>
          <w:szCs w:val="16"/>
        </w:rPr>
        <w:t xml:space="preserve">"самолет терял в маневренности". </w:t>
      </w:r>
      <w:r w:rsidRPr="00F90EAE">
        <w:rPr>
          <w:color w:val="000000" w:themeColor="text1"/>
          <w:sz w:val="16"/>
          <w:szCs w:val="16"/>
        </w:rPr>
        <w:t>Кроме этого, име</w:t>
      </w:r>
      <w:r w:rsidRPr="00F90EAE">
        <w:rPr>
          <w:color w:val="000000" w:themeColor="text1"/>
          <w:sz w:val="16"/>
          <w:szCs w:val="16"/>
        </w:rPr>
        <w:softHyphen/>
        <w:t>лись случаи, когда створки бомбо</w:t>
      </w:r>
      <w:r w:rsidRPr="00F90EAE">
        <w:rPr>
          <w:color w:val="000000" w:themeColor="text1"/>
          <w:sz w:val="16"/>
          <w:szCs w:val="16"/>
        </w:rPr>
        <w:softHyphen/>
        <w:t>вых отсеков открывались не полнос</w:t>
      </w:r>
      <w:r w:rsidRPr="00F90EAE">
        <w:rPr>
          <w:color w:val="000000" w:themeColor="text1"/>
          <w:sz w:val="16"/>
          <w:szCs w:val="16"/>
        </w:rPr>
        <w:softHyphen/>
        <w:t>тью и бомбы зависали.</w:t>
      </w:r>
    </w:p>
    <w:p w14:paraId="5799F4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Специальная комиссия ВВС в се</w:t>
      </w:r>
      <w:r w:rsidRPr="00F90EAE">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484659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судя по до</w:t>
      </w:r>
      <w:r w:rsidRPr="00F90EAE">
        <w:rPr>
          <w:color w:val="000000" w:themeColor="text1"/>
          <w:sz w:val="16"/>
          <w:szCs w:val="16"/>
        </w:rPr>
        <w:softHyphen/>
        <w:t>кументам, недостатки и дефекты мо</w:t>
      </w:r>
      <w:r w:rsidRPr="00F90EAE">
        <w:rPr>
          <w:color w:val="000000" w:themeColor="text1"/>
          <w:sz w:val="16"/>
          <w:szCs w:val="16"/>
        </w:rPr>
        <w:softHyphen/>
        <w:t>тора АМ-42 обуславливались не только объективными трудностями, но также и "особым" отношением мо</w:t>
      </w:r>
      <w:r w:rsidRPr="00F90EAE">
        <w:rPr>
          <w:color w:val="000000" w:themeColor="text1"/>
          <w:sz w:val="16"/>
          <w:szCs w:val="16"/>
        </w:rPr>
        <w:softHyphen/>
        <w:t>тористов к вопросу выяснения истин</w:t>
      </w:r>
      <w:r w:rsidRPr="00F90EAE">
        <w:rPr>
          <w:color w:val="000000" w:themeColor="text1"/>
          <w:sz w:val="16"/>
          <w:szCs w:val="16"/>
        </w:rPr>
        <w:softHyphen/>
        <w:t xml:space="preserve">ных причин </w:t>
      </w:r>
      <w:r w:rsidRPr="00F90EAE">
        <w:rPr>
          <w:iCs/>
          <w:color w:val="000000" w:themeColor="text1"/>
          <w:sz w:val="16"/>
          <w:szCs w:val="16"/>
        </w:rPr>
        <w:t xml:space="preserve">"летных происшествий, происходящих по причине отказа моторов". </w:t>
      </w:r>
      <w:r w:rsidRPr="00F90EAE">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F90EAE">
        <w:rPr>
          <w:iCs/>
          <w:color w:val="000000" w:themeColor="text1"/>
          <w:sz w:val="16"/>
          <w:szCs w:val="16"/>
        </w:rPr>
        <w:t>"...представители завода запу</w:t>
      </w:r>
      <w:r w:rsidRPr="00F90EAE">
        <w:rPr>
          <w:iCs/>
          <w:color w:val="000000" w:themeColor="text1"/>
          <w:sz w:val="16"/>
          <w:szCs w:val="16"/>
        </w:rPr>
        <w:softHyphen/>
        <w:t>тывают расследования причин отка</w:t>
      </w:r>
      <w:r w:rsidRPr="00F90EAE">
        <w:rPr>
          <w:iCs/>
          <w:color w:val="000000" w:themeColor="text1"/>
          <w:sz w:val="16"/>
          <w:szCs w:val="16"/>
        </w:rPr>
        <w:softHyphen/>
        <w:t>зов моторов, а значит, стремятся за</w:t>
      </w:r>
      <w:r w:rsidRPr="00F90EAE">
        <w:rPr>
          <w:iCs/>
          <w:color w:val="000000" w:themeColor="text1"/>
          <w:sz w:val="16"/>
          <w:szCs w:val="16"/>
        </w:rPr>
        <w:softHyphen/>
        <w:t>мазать их. Расследования затягива</w:t>
      </w:r>
      <w:r w:rsidRPr="00F90EAE">
        <w:rPr>
          <w:iCs/>
          <w:color w:val="000000" w:themeColor="text1"/>
          <w:sz w:val="16"/>
          <w:szCs w:val="16"/>
        </w:rPr>
        <w:softHyphen/>
        <w:t>ются на полгода и более. Такое "рас</w:t>
      </w:r>
      <w:r w:rsidRPr="00F90EAE">
        <w:rPr>
          <w:iCs/>
          <w:color w:val="000000" w:themeColor="text1"/>
          <w:sz w:val="16"/>
          <w:szCs w:val="16"/>
        </w:rPr>
        <w:softHyphen/>
        <w:t>следование" не может предупредить вовремя повторение летных проис</w:t>
      </w:r>
      <w:r w:rsidRPr="00F90EAE">
        <w:rPr>
          <w:iCs/>
          <w:color w:val="000000" w:themeColor="text1"/>
          <w:sz w:val="16"/>
          <w:szCs w:val="16"/>
        </w:rPr>
        <w:softHyphen/>
        <w:t>шествий по тем же причинам. Завя</w:t>
      </w:r>
      <w:r w:rsidRPr="00F90EAE">
        <w:rPr>
          <w:iCs/>
          <w:color w:val="000000" w:themeColor="text1"/>
          <w:sz w:val="16"/>
          <w:szCs w:val="16"/>
        </w:rPr>
        <w:softHyphen/>
        <w:t>зывается бессмысленная переписка, в результате которой все же Вам при</w:t>
      </w:r>
      <w:r w:rsidRPr="00F90EAE">
        <w:rPr>
          <w:iCs/>
          <w:color w:val="000000" w:themeColor="text1"/>
          <w:sz w:val="16"/>
          <w:szCs w:val="16"/>
        </w:rPr>
        <w:softHyphen/>
        <w:t>ходиться признавать вину за заво</w:t>
      </w:r>
      <w:r w:rsidRPr="00F90EAE">
        <w:rPr>
          <w:iCs/>
          <w:color w:val="000000" w:themeColor="text1"/>
          <w:sz w:val="16"/>
          <w:szCs w:val="16"/>
        </w:rPr>
        <w:softHyphen/>
        <w:t>дом. Нелогичность "особых" мнений и отсутствие в них обоснования го</w:t>
      </w:r>
      <w:r w:rsidRPr="00F90EAE">
        <w:rPr>
          <w:iCs/>
          <w:color w:val="000000" w:themeColor="text1"/>
          <w:sz w:val="16"/>
          <w:szCs w:val="16"/>
        </w:rPr>
        <w:softHyphen/>
        <w:t>ворит о чрезвычайно низкой техни</w:t>
      </w:r>
      <w:r w:rsidRPr="00F90EAE">
        <w:rPr>
          <w:iCs/>
          <w:color w:val="000000" w:themeColor="text1"/>
          <w:sz w:val="16"/>
          <w:szCs w:val="16"/>
        </w:rPr>
        <w:softHyphen/>
        <w:t>ческой грамотности представителей завода, работающих в бригаде..."</w:t>
      </w:r>
    </w:p>
    <w:p w14:paraId="4DD8CC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Забегая вперед, укажем, что до</w:t>
      </w:r>
      <w:r w:rsidRPr="00F90EAE">
        <w:rPr>
          <w:color w:val="000000" w:themeColor="text1"/>
          <w:sz w:val="16"/>
          <w:szCs w:val="16"/>
        </w:rPr>
        <w:softHyphen/>
        <w:t>водка АМ-42 затянулась фактически до середины 1947 г., когда были вне</w:t>
      </w:r>
      <w:r w:rsidRPr="00F90EAE">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F90EAE">
        <w:rPr>
          <w:color w:val="000000" w:themeColor="text1"/>
          <w:sz w:val="16"/>
          <w:szCs w:val="16"/>
        </w:rPr>
        <w:softHyphen/>
        <w:t>мени, недостаточная его надежность определяла и довольно высокую ава</w:t>
      </w:r>
      <w:r w:rsidRPr="00F90EAE">
        <w:rPr>
          <w:color w:val="000000" w:themeColor="text1"/>
          <w:sz w:val="16"/>
          <w:szCs w:val="16"/>
        </w:rPr>
        <w:softHyphen/>
        <w:t xml:space="preserve">рийность в частях ВВС. Например, в феврале-марте 1946 г. в частях 10-й </w:t>
      </w:r>
      <w:r w:rsidRPr="00F90EAE">
        <w:rPr>
          <w:iCs/>
          <w:color w:val="000000" w:themeColor="text1"/>
          <w:sz w:val="16"/>
          <w:szCs w:val="16"/>
        </w:rPr>
        <w:t xml:space="preserve">гшад </w:t>
      </w:r>
      <w:r w:rsidRPr="00F90EAE">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13A59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проблем с мотором, се</w:t>
      </w:r>
      <w:r w:rsidRPr="00F90EAE">
        <w:rPr>
          <w:color w:val="000000" w:themeColor="text1"/>
          <w:sz w:val="16"/>
          <w:szCs w:val="16"/>
        </w:rPr>
        <w:softHyphen/>
        <w:t>рийные Ил-10 характеризовались и пониженными летными данными в сравнении с опытной машиной. Ут</w:t>
      </w:r>
      <w:r w:rsidRPr="00F90EAE">
        <w:rPr>
          <w:color w:val="000000" w:themeColor="text1"/>
          <w:sz w:val="16"/>
          <w:szCs w:val="16"/>
        </w:rPr>
        <w:softHyphen/>
        <w:t>вержденные на совместном совеща</w:t>
      </w:r>
      <w:r w:rsidRPr="00F90EAE">
        <w:rPr>
          <w:color w:val="000000" w:themeColor="text1"/>
          <w:sz w:val="16"/>
          <w:szCs w:val="16"/>
        </w:rPr>
        <w:softHyphen/>
        <w:t>нии ВВС и НКАП в январе 1945 г. технические условия на самолет Ил-10 оказались для заводов высокими.</w:t>
      </w:r>
    </w:p>
    <w:p w14:paraId="06995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4361DB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C1B56B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над рейхстагом водружено Красное Знамя Победы (4962).</w:t>
      </w:r>
    </w:p>
    <w:p w14:paraId="5FDA311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997F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бойцы 1СБ 756П к. С.А. Неустроева - М.Егоров и М.Кантария водрузили знамя победы (3263,206).</w:t>
      </w:r>
    </w:p>
    <w:p w14:paraId="2BAF6EBB" w14:textId="77777777" w:rsidR="00665165" w:rsidRPr="00F90EAE" w:rsidRDefault="00665165" w:rsidP="00F90EAE">
      <w:pPr>
        <w:autoSpaceDE w:val="0"/>
        <w:autoSpaceDN w:val="0"/>
        <w:adjustRightInd w:val="0"/>
        <w:jc w:val="both"/>
        <w:rPr>
          <w:color w:val="000000" w:themeColor="text1"/>
          <w:sz w:val="16"/>
          <w:szCs w:val="16"/>
        </w:rPr>
      </w:pPr>
    </w:p>
    <w:p w14:paraId="0437CFEF" w14:textId="77777777" w:rsidR="00475979" w:rsidRPr="00F90EAE" w:rsidRDefault="00475979" w:rsidP="00F90EAE">
      <w:pPr>
        <w:jc w:val="both"/>
        <w:rPr>
          <w:color w:val="000000" w:themeColor="text1"/>
          <w:sz w:val="16"/>
          <w:szCs w:val="16"/>
        </w:rPr>
      </w:pPr>
      <w:r w:rsidRPr="00F90EAE">
        <w:rPr>
          <w:color w:val="000000" w:themeColor="text1"/>
          <w:sz w:val="16"/>
          <w:szCs w:val="16"/>
        </w:rPr>
        <w:t xml:space="preserve">30 апреля в 1945 году советские воины водрузили Знамя Победы над рейхстагом в Берлине.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 Флаг </w:t>
      </w:r>
      <w:r w:rsidRPr="00F90EAE">
        <w:rPr>
          <w:color w:val="000000" w:themeColor="text1"/>
          <w:sz w:val="16"/>
          <w:szCs w:val="16"/>
        </w:rPr>
        <w:lastRenderedPageBreak/>
        <w:t>№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w:t>
      </w:r>
    </w:p>
    <w:p w14:paraId="6C30A8B0" w14:textId="77777777" w:rsidR="00475979" w:rsidRPr="00F90EAE" w:rsidRDefault="00475979" w:rsidP="00F90EAE">
      <w:pPr>
        <w:jc w:val="both"/>
        <w:rPr>
          <w:color w:val="000000" w:themeColor="text1"/>
          <w:sz w:val="16"/>
          <w:szCs w:val="16"/>
        </w:rPr>
      </w:pPr>
      <w:r w:rsidRPr="00F90EAE">
        <w:rPr>
          <w:color w:val="000000" w:themeColor="text1"/>
          <w:sz w:val="16"/>
          <w:szCs w:val="16"/>
        </w:rPr>
        <w:t>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(15115).</w:t>
      </w:r>
    </w:p>
    <w:p w14:paraId="21C44FDD" w14:textId="77777777" w:rsidR="00475979" w:rsidRPr="00F90EAE" w:rsidRDefault="00475979" w:rsidP="00F90EAE">
      <w:pPr>
        <w:jc w:val="both"/>
        <w:rPr>
          <w:color w:val="000000" w:themeColor="text1"/>
          <w:sz w:val="16"/>
          <w:szCs w:val="16"/>
        </w:rPr>
      </w:pPr>
    </w:p>
    <w:p w14:paraId="0338A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целями "пешек" были здание гестапо и мост через р. Шпрее в Берлине. На город сыпались бомбы с надписями "Для Гитлера", "Для Геринга", "В логово зверя" (3542).</w:t>
      </w:r>
    </w:p>
    <w:p w14:paraId="2FADC070" w14:textId="77777777" w:rsidR="00665165" w:rsidRPr="00F90EAE" w:rsidRDefault="00665165" w:rsidP="00F90EAE">
      <w:pPr>
        <w:autoSpaceDE w:val="0"/>
        <w:autoSpaceDN w:val="0"/>
        <w:adjustRightInd w:val="0"/>
        <w:jc w:val="both"/>
        <w:rPr>
          <w:color w:val="000000" w:themeColor="text1"/>
          <w:sz w:val="16"/>
          <w:szCs w:val="16"/>
        </w:rPr>
      </w:pPr>
    </w:p>
    <w:p w14:paraId="37BC4C8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30 1945 Soviet troops reach Reichstag; Adolf Hitler commits suicide (1050).</w:t>
      </w:r>
    </w:p>
    <w:p w14:paraId="4DCFA3BD" w14:textId="77777777" w:rsidR="00665165" w:rsidRPr="00F90EAE" w:rsidRDefault="00665165" w:rsidP="00F90EAE">
      <w:pPr>
        <w:autoSpaceDE w:val="0"/>
        <w:autoSpaceDN w:val="0"/>
        <w:adjustRightInd w:val="0"/>
        <w:jc w:val="both"/>
        <w:rPr>
          <w:color w:val="000000" w:themeColor="text1"/>
          <w:sz w:val="16"/>
          <w:szCs w:val="16"/>
          <w:lang w:val="en-US"/>
        </w:rPr>
      </w:pPr>
    </w:p>
    <w:p w14:paraId="31C9705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30 1945 With Soviet forces approaching, Hitler commits suicide with his wife of a few hours, Eva Braun, in The Bunker in Berlin. Bormann burns the bodies on the back steps (1242).</w:t>
      </w:r>
    </w:p>
    <w:p w14:paraId="17E6810F" w14:textId="77777777" w:rsidR="00665165" w:rsidRPr="00F90EAE" w:rsidRDefault="00665165" w:rsidP="00F90EAE">
      <w:pPr>
        <w:autoSpaceDE w:val="0"/>
        <w:autoSpaceDN w:val="0"/>
        <w:adjustRightInd w:val="0"/>
        <w:jc w:val="both"/>
        <w:rPr>
          <w:color w:val="000000" w:themeColor="text1"/>
          <w:sz w:val="16"/>
          <w:szCs w:val="16"/>
          <w:lang w:val="en-US"/>
        </w:rPr>
      </w:pPr>
    </w:p>
    <w:p w14:paraId="00F1E7A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30 1945 Hitler commits suicide in Berlin, Germany by (according to his valet Heinz Linge) shooting himself in his right temple with a 7.62mm pistol. His wife of one day, Eva Braun, committs suicide by cyanide. Recent information suggests that the Soviets keep the Hitlers' bones until they are ordered destroyed by KGB chief Yuri Andropov in 1970 (1769).</w:t>
      </w:r>
    </w:p>
    <w:p w14:paraId="5B51BFC6" w14:textId="77777777" w:rsidR="00665165" w:rsidRPr="00F90EAE" w:rsidRDefault="00665165" w:rsidP="00F90EAE">
      <w:pPr>
        <w:autoSpaceDE w:val="0"/>
        <w:autoSpaceDN w:val="0"/>
        <w:adjustRightInd w:val="0"/>
        <w:jc w:val="both"/>
        <w:rPr>
          <w:color w:val="000000" w:themeColor="text1"/>
          <w:sz w:val="16"/>
          <w:szCs w:val="16"/>
          <w:lang w:val="en-US"/>
        </w:rPr>
      </w:pPr>
    </w:p>
    <w:p w14:paraId="6A36E6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СА вышла к Рейхстагу и А.Гитлер вместе с Е.Браун и семьей Геббельса совершили самоубийство. Борман сжег тела. СССР хранил тела в тайне до 70-х (1050;1242;1769).</w:t>
      </w:r>
    </w:p>
    <w:p w14:paraId="572DCEF8" w14:textId="77777777" w:rsidR="00665165" w:rsidRPr="00F90EAE" w:rsidRDefault="00665165" w:rsidP="00F90EAE">
      <w:pPr>
        <w:autoSpaceDE w:val="0"/>
        <w:autoSpaceDN w:val="0"/>
        <w:adjustRightInd w:val="0"/>
        <w:jc w:val="both"/>
        <w:rPr>
          <w:color w:val="000000" w:themeColor="text1"/>
          <w:sz w:val="16"/>
          <w:szCs w:val="16"/>
        </w:rPr>
      </w:pPr>
    </w:p>
    <w:p w14:paraId="1369E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начался штурм Рейхстага (455,172).</w:t>
      </w:r>
    </w:p>
    <w:p w14:paraId="60B7A207" w14:textId="77777777" w:rsidR="00665165" w:rsidRPr="00F90EAE" w:rsidRDefault="00665165" w:rsidP="00F90EAE">
      <w:pPr>
        <w:autoSpaceDE w:val="0"/>
        <w:autoSpaceDN w:val="0"/>
        <w:adjustRightInd w:val="0"/>
        <w:jc w:val="both"/>
        <w:rPr>
          <w:color w:val="000000" w:themeColor="text1"/>
          <w:sz w:val="16"/>
          <w:szCs w:val="16"/>
        </w:rPr>
      </w:pPr>
    </w:p>
    <w:p w14:paraId="7FCFC65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советскими войсками освобождены узники фашистского концлагеря Равенсбрюк (4962).</w:t>
      </w:r>
    </w:p>
    <w:p w14:paraId="60FA36E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1B7240A" w14:textId="77777777" w:rsidR="00B12671" w:rsidRPr="00F90EAE" w:rsidRDefault="00B12671" w:rsidP="00F90EAE">
      <w:pPr>
        <w:jc w:val="both"/>
        <w:rPr>
          <w:color w:val="0070C0"/>
          <w:sz w:val="16"/>
          <w:szCs w:val="16"/>
        </w:rPr>
      </w:pPr>
      <w:r w:rsidRPr="00F90EAE">
        <w:rPr>
          <w:color w:val="0070C0"/>
          <w:sz w:val="16"/>
          <w:szCs w:val="16"/>
        </w:rPr>
        <w:t>30 апреля 1945 начался штурм рейхстага. Коррек</w:t>
      </w:r>
      <w:r w:rsidRPr="00F90EAE">
        <w:rPr>
          <w:color w:val="0070C0"/>
          <w:sz w:val="16"/>
          <w:szCs w:val="16"/>
        </w:rPr>
        <w:softHyphen/>
        <w:t>тировку артиллерийского огня вёл Александр Егупов — воздухоплаватель 2-го отряда 6-го ОВДААН. На аэростат спикировала пара само</w:t>
      </w:r>
      <w:r w:rsidRPr="00F90EAE">
        <w:rPr>
          <w:color w:val="0070C0"/>
          <w:sz w:val="16"/>
          <w:szCs w:val="16"/>
        </w:rPr>
        <w:softHyphen/>
        <w:t>лётов противника, но советские истребители её отогнали.</w:t>
      </w:r>
    </w:p>
    <w:p w14:paraId="29EE6143" w14:textId="77777777" w:rsidR="00B12671" w:rsidRPr="00F90EAE" w:rsidRDefault="00B12671" w:rsidP="00F90EAE">
      <w:pPr>
        <w:jc w:val="both"/>
        <w:rPr>
          <w:color w:val="0070C0"/>
          <w:sz w:val="16"/>
          <w:szCs w:val="16"/>
        </w:rPr>
      </w:pPr>
      <w:r w:rsidRPr="00F90EAE">
        <w:rPr>
          <w:color w:val="0070C0"/>
          <w:sz w:val="16"/>
          <w:szCs w:val="16"/>
        </w:rPr>
        <w:t>О боевой работе 10-го ОВДААН, также дейст</w:t>
      </w:r>
      <w:r w:rsidRPr="00F90EAE">
        <w:rPr>
          <w:color w:val="0070C0"/>
          <w:sz w:val="16"/>
          <w:szCs w:val="16"/>
        </w:rPr>
        <w:softHyphen/>
        <w:t>вовавшем в Берлине, рассказывают следующие скупые строки донесения:</w:t>
      </w:r>
    </w:p>
    <w:p w14:paraId="391601B6" w14:textId="77777777" w:rsidR="00B12671" w:rsidRPr="00F90EAE" w:rsidRDefault="00B12671" w:rsidP="00F90EAE">
      <w:pPr>
        <w:jc w:val="both"/>
        <w:rPr>
          <w:color w:val="0070C0"/>
          <w:sz w:val="16"/>
          <w:szCs w:val="16"/>
        </w:rPr>
      </w:pPr>
      <w:r w:rsidRPr="00F90EAE">
        <w:rPr>
          <w:color w:val="0070C0"/>
          <w:sz w:val="16"/>
          <w:szCs w:val="16"/>
        </w:rPr>
        <w:t>Первый подъём 30.04.45 года произведён в 9.30</w:t>
      </w:r>
      <w:r w:rsidRPr="00F90EAE">
        <w:rPr>
          <w:color w:val="0070C0"/>
          <w:sz w:val="16"/>
          <w:szCs w:val="16"/>
        </w:rPr>
        <w:softHyphen/>
        <w:t>9.50. Наблюдатель лейтенант Демин.</w:t>
      </w:r>
    </w:p>
    <w:p w14:paraId="1C4C69B4" w14:textId="77777777" w:rsidR="00B12671" w:rsidRPr="00F90EAE" w:rsidRDefault="00B12671" w:rsidP="00F90EAE">
      <w:pPr>
        <w:jc w:val="both"/>
        <w:rPr>
          <w:color w:val="0070C0"/>
          <w:sz w:val="16"/>
          <w:szCs w:val="16"/>
        </w:rPr>
      </w:pPr>
      <w:r w:rsidRPr="00F90EAE">
        <w:rPr>
          <w:color w:val="0070C0"/>
          <w:sz w:val="16"/>
          <w:szCs w:val="16"/>
        </w:rPr>
        <w:t>9.30. В центре города Берлина до 50 пожаров.</w:t>
      </w:r>
    </w:p>
    <w:p w14:paraId="3A7FD5EA" w14:textId="77777777" w:rsidR="00B12671" w:rsidRPr="00F90EAE" w:rsidRDefault="00B12671" w:rsidP="00F90EAE">
      <w:pPr>
        <w:jc w:val="both"/>
        <w:rPr>
          <w:color w:val="0070C0"/>
          <w:sz w:val="16"/>
          <w:szCs w:val="16"/>
        </w:rPr>
      </w:pPr>
      <w:r w:rsidRPr="00F90EAE">
        <w:rPr>
          <w:color w:val="0070C0"/>
          <w:sz w:val="16"/>
          <w:szCs w:val="16"/>
        </w:rPr>
        <w:t>9.40. Произведена фотосъёмка города Берлина.</w:t>
      </w:r>
    </w:p>
    <w:p w14:paraId="553E3C56" w14:textId="77777777" w:rsidR="00B12671" w:rsidRPr="00F90EAE" w:rsidRDefault="00B12671" w:rsidP="00F90EAE">
      <w:pPr>
        <w:jc w:val="both"/>
        <w:rPr>
          <w:color w:val="0070C0"/>
          <w:sz w:val="16"/>
          <w:szCs w:val="16"/>
        </w:rPr>
      </w:pPr>
      <w:r w:rsidRPr="00F90EAE">
        <w:rPr>
          <w:color w:val="0070C0"/>
          <w:sz w:val="16"/>
          <w:szCs w:val="16"/>
        </w:rPr>
        <w:t>Второй подъём. 15.05-15.40. Наблюдатель лейте</w:t>
      </w:r>
      <w:r w:rsidRPr="00F90EAE">
        <w:rPr>
          <w:color w:val="0070C0"/>
          <w:sz w:val="16"/>
          <w:szCs w:val="16"/>
        </w:rPr>
        <w:softHyphen/>
        <w:t>нант Демин.</w:t>
      </w:r>
    </w:p>
    <w:p w14:paraId="4F9D9046" w14:textId="77777777" w:rsidR="00B12671" w:rsidRPr="00F90EAE" w:rsidRDefault="00B12671" w:rsidP="00F90EAE">
      <w:pPr>
        <w:jc w:val="both"/>
        <w:rPr>
          <w:color w:val="0070C0"/>
          <w:sz w:val="16"/>
          <w:szCs w:val="16"/>
        </w:rPr>
      </w:pPr>
      <w:r w:rsidRPr="00F90EAE">
        <w:rPr>
          <w:color w:val="0070C0"/>
          <w:sz w:val="16"/>
          <w:szCs w:val="16"/>
        </w:rPr>
        <w:t>15.10. Засечена 105-мм 3-х орудийная батарея. Ко</w:t>
      </w:r>
      <w:r w:rsidRPr="00F90EAE">
        <w:rPr>
          <w:color w:val="0070C0"/>
          <w:sz w:val="16"/>
          <w:szCs w:val="16"/>
        </w:rPr>
        <w:softHyphen/>
        <w:t>ординаты: X-86800, Y-20700, вела огонь.</w:t>
      </w:r>
    </w:p>
    <w:p w14:paraId="6AB4AFE2" w14:textId="77777777" w:rsidR="00B12671" w:rsidRPr="00F90EAE" w:rsidRDefault="00B12671" w:rsidP="00F90EAE">
      <w:pPr>
        <w:jc w:val="both"/>
        <w:rPr>
          <w:color w:val="0070C0"/>
          <w:sz w:val="16"/>
          <w:szCs w:val="16"/>
        </w:rPr>
      </w:pPr>
      <w:r w:rsidRPr="00F90EAE">
        <w:rPr>
          <w:color w:val="0070C0"/>
          <w:sz w:val="16"/>
          <w:szCs w:val="16"/>
        </w:rPr>
        <w:t>Третий подъём. 20.35-21.30. Наблюдатель лейте</w:t>
      </w:r>
      <w:r w:rsidRPr="00F90EAE">
        <w:rPr>
          <w:color w:val="0070C0"/>
          <w:sz w:val="16"/>
          <w:szCs w:val="16"/>
        </w:rPr>
        <w:softHyphen/>
        <w:t>нант Демин. 20.45. В центре Берлина до 50 пожаров.</w:t>
      </w:r>
    </w:p>
    <w:p w14:paraId="30CC64DE" w14:textId="77777777" w:rsidR="00B12671" w:rsidRPr="00F90EAE" w:rsidRDefault="00B12671" w:rsidP="00F90EAE">
      <w:pPr>
        <w:jc w:val="both"/>
        <w:rPr>
          <w:color w:val="0070C0"/>
          <w:sz w:val="16"/>
          <w:szCs w:val="16"/>
        </w:rPr>
      </w:pPr>
      <w:r w:rsidRPr="00F90EAE">
        <w:rPr>
          <w:color w:val="0070C0"/>
          <w:sz w:val="16"/>
          <w:szCs w:val="16"/>
        </w:rPr>
        <w:t>20.50. В районе (20-88) интенсивное движение ав</w:t>
      </w:r>
      <w:r w:rsidRPr="00F90EAE">
        <w:rPr>
          <w:color w:val="0070C0"/>
          <w:sz w:val="16"/>
          <w:szCs w:val="16"/>
        </w:rPr>
        <w:softHyphen/>
        <w:t>томашин.</w:t>
      </w:r>
    </w:p>
    <w:p w14:paraId="2C46647A" w14:textId="77777777" w:rsidR="00B12671" w:rsidRPr="00F90EAE" w:rsidRDefault="00B12671" w:rsidP="00F90EAE">
      <w:pPr>
        <w:jc w:val="both"/>
        <w:rPr>
          <w:color w:val="0070C0"/>
          <w:sz w:val="16"/>
          <w:szCs w:val="16"/>
        </w:rPr>
      </w:pPr>
      <w:r w:rsidRPr="00F90EAE">
        <w:rPr>
          <w:color w:val="0070C0"/>
          <w:sz w:val="16"/>
          <w:szCs w:val="16"/>
        </w:rPr>
        <w:t>20.55. Произведена фотосъёмка города Берлина37.</w:t>
      </w:r>
    </w:p>
    <w:p w14:paraId="23896F45" w14:textId="77777777" w:rsidR="00B12671" w:rsidRPr="00F90EAE" w:rsidRDefault="00B12671" w:rsidP="00F90EAE">
      <w:pPr>
        <w:jc w:val="both"/>
        <w:rPr>
          <w:color w:val="0070C0"/>
          <w:sz w:val="16"/>
          <w:szCs w:val="16"/>
        </w:rPr>
      </w:pPr>
      <w:r w:rsidRPr="00F90EAE">
        <w:rPr>
          <w:color w:val="0070C0"/>
          <w:sz w:val="16"/>
          <w:szCs w:val="16"/>
        </w:rPr>
        <w:t>В ходе боев за Берлин командование ВДААН изменило способы применения ААН. Аэростаты значительно приблизили к переднему краю, а вы</w:t>
      </w:r>
      <w:r w:rsidRPr="00F90EAE">
        <w:rPr>
          <w:color w:val="0070C0"/>
          <w:sz w:val="16"/>
          <w:szCs w:val="16"/>
        </w:rPr>
        <w:softHyphen/>
        <w:t>соту их подъёма увеличили до 1000-1100 м, что позволило расширить поле видимости. Серьёз</w:t>
      </w:r>
      <w:r w:rsidRPr="00F90EAE">
        <w:rPr>
          <w:color w:val="0070C0"/>
          <w:sz w:val="16"/>
          <w:szCs w:val="16"/>
        </w:rPr>
        <w:softHyphen/>
        <w:t>ной помехой при корректировании огня стал дым уличных пожаров, заволакивавший цели. Однако и эти затруднения преодолевались. При корректировке огня по почти невидимому из-за дыма рейхстагу наблюдатель с аэростата сначала произвёл пристрелку по парку, расположенному недалеко от последнего, а затем перенёс огонь непосредственно по зданию. Так как ААН распо</w:t>
      </w:r>
      <w:r w:rsidRPr="00F90EAE">
        <w:rPr>
          <w:color w:val="0070C0"/>
          <w:sz w:val="16"/>
          <w:szCs w:val="16"/>
        </w:rPr>
        <w:softHyphen/>
        <w:t>лагались недалеко от переднего края, то площад</w:t>
      </w:r>
      <w:r w:rsidRPr="00F90EAE">
        <w:rPr>
          <w:color w:val="0070C0"/>
          <w:sz w:val="16"/>
          <w:szCs w:val="16"/>
        </w:rPr>
        <w:softHyphen/>
        <w:t>ки для их подъёмов выбирали в местах, менее уязвимых от огня противника: в узких улицах с высокими зданиями или в парках с густой рас</w:t>
      </w:r>
      <w:r w:rsidRPr="00F90EAE">
        <w:rPr>
          <w:color w:val="0070C0"/>
          <w:sz w:val="16"/>
          <w:szCs w:val="16"/>
        </w:rPr>
        <w:softHyphen/>
        <w:t>тительностью. При ветреной погоде учитыва</w:t>
      </w:r>
      <w:r w:rsidRPr="00F90EAE">
        <w:rPr>
          <w:color w:val="0070C0"/>
          <w:sz w:val="16"/>
          <w:szCs w:val="16"/>
        </w:rPr>
        <w:softHyphen/>
        <w:t>лось, что трос и телефонный провод провисают и задевают за дома. Поэтому подъёмы старались делать на улицах, идущих по направлению ветра, чтобы провисание было вдоль улиц, и исключа</w:t>
      </w:r>
      <w:r w:rsidRPr="00F90EAE">
        <w:rPr>
          <w:color w:val="0070C0"/>
          <w:sz w:val="16"/>
          <w:szCs w:val="16"/>
        </w:rPr>
        <w:softHyphen/>
        <w:t>лось трение троса и провода о здания. Взаимное целеуказание с земли и аэростата трудностей не встречало, так как в городе было много хорошо видимых ориентиров. Советская авиация господ</w:t>
      </w:r>
      <w:r w:rsidRPr="00F90EAE">
        <w:rPr>
          <w:color w:val="0070C0"/>
          <w:sz w:val="16"/>
          <w:szCs w:val="16"/>
        </w:rPr>
        <w:softHyphen/>
        <w:t>ствовала в воздухе, и ААН специальным прикры</w:t>
      </w:r>
      <w:r w:rsidRPr="00F90EAE">
        <w:rPr>
          <w:color w:val="0070C0"/>
          <w:sz w:val="16"/>
          <w:szCs w:val="16"/>
        </w:rPr>
        <w:softHyphen/>
        <w:t>тием почти не обеспечивались (20120).</w:t>
      </w:r>
    </w:p>
    <w:p w14:paraId="6A7E6076" w14:textId="77777777" w:rsidR="00B12671" w:rsidRPr="00F90EAE" w:rsidRDefault="00B12671" w:rsidP="00F90EAE">
      <w:pPr>
        <w:jc w:val="both"/>
        <w:rPr>
          <w:color w:val="0070C0"/>
          <w:sz w:val="16"/>
          <w:szCs w:val="16"/>
        </w:rPr>
      </w:pPr>
    </w:p>
    <w:p w14:paraId="7A1A0B3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30 апреля 1945 на аэродроме Мехрабат под Тегераном закончился ремонт Стирлинга, предназначавшегося для СССР. Приняли в начале мая и перегнали в Кратово на аэродром ЛИИ. Там летал экипаж Г.М.Шиянова, но машину признали устаревшей. Потомвесной</w:t>
      </w:r>
      <w:r w:rsidRPr="00F90EAE">
        <w:rPr>
          <w:color w:val="000000" w:themeColor="text1"/>
          <w:sz w:val="16"/>
          <w:szCs w:val="16"/>
          <w:lang w:val="en-US"/>
        </w:rPr>
        <w:t xml:space="preserve"> 1946 </w:t>
      </w:r>
      <w:r w:rsidRPr="00F90EAE">
        <w:rPr>
          <w:color w:val="000000" w:themeColor="text1"/>
          <w:sz w:val="16"/>
          <w:szCs w:val="16"/>
        </w:rPr>
        <w:t>отдаливУПАГУСМП</w:t>
      </w:r>
      <w:r w:rsidRPr="00F90EAE">
        <w:rPr>
          <w:color w:val="000000" w:themeColor="text1"/>
          <w:sz w:val="16"/>
          <w:szCs w:val="16"/>
          <w:lang w:val="en-US"/>
        </w:rPr>
        <w:t xml:space="preserve"> (4835,26).</w:t>
      </w:r>
    </w:p>
    <w:p w14:paraId="542D5D7A" w14:textId="77777777" w:rsidR="00665165" w:rsidRPr="00F90EAE" w:rsidRDefault="00665165" w:rsidP="00F90EAE">
      <w:pPr>
        <w:autoSpaceDE w:val="0"/>
        <w:autoSpaceDN w:val="0"/>
        <w:adjustRightInd w:val="0"/>
        <w:jc w:val="both"/>
        <w:rPr>
          <w:color w:val="000000" w:themeColor="text1"/>
          <w:sz w:val="16"/>
          <w:szCs w:val="16"/>
          <w:lang w:val="en-US"/>
        </w:rPr>
      </w:pPr>
    </w:p>
    <w:p w14:paraId="6B67EE2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April 30th, 1945: The battle of Berlin is reaching its bloody climax. Isolated pockets of German resistance throughout the city are overpowered and systematically destroyed. With Red Army infantry only a few hundred yards away, Hitler and Eva Braun commit suicide at about 3:00 p.m., their bodies being immediately incinerated with gasoline by SS bodyguards. The US Seventh Army (Patch) enters Munich. The defenders of Breslau, decimated by relentless Soviet attacks, are still holding out (3819).</w:t>
      </w:r>
    </w:p>
    <w:p w14:paraId="0D285066" w14:textId="77777777" w:rsidR="00665165" w:rsidRPr="00F90EAE" w:rsidRDefault="00665165" w:rsidP="00F90EAE">
      <w:pPr>
        <w:autoSpaceDE w:val="0"/>
        <w:autoSpaceDN w:val="0"/>
        <w:adjustRightInd w:val="0"/>
        <w:jc w:val="both"/>
        <w:rPr>
          <w:color w:val="000000" w:themeColor="text1"/>
          <w:sz w:val="16"/>
          <w:szCs w:val="16"/>
          <w:lang w:val="en-US"/>
        </w:rPr>
      </w:pPr>
    </w:p>
    <w:p w14:paraId="5EA100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7А США вошла в Мюнхен (3819).</w:t>
      </w:r>
    </w:p>
    <w:p w14:paraId="61AA2340" w14:textId="77777777" w:rsidR="00665165" w:rsidRPr="00F90EAE" w:rsidRDefault="00665165" w:rsidP="00F90EAE">
      <w:pPr>
        <w:autoSpaceDE w:val="0"/>
        <w:autoSpaceDN w:val="0"/>
        <w:adjustRightInd w:val="0"/>
        <w:jc w:val="both"/>
        <w:rPr>
          <w:color w:val="000000" w:themeColor="text1"/>
          <w:sz w:val="16"/>
          <w:szCs w:val="16"/>
        </w:rPr>
      </w:pPr>
    </w:p>
    <w:p w14:paraId="571744B6" w14:textId="77777777" w:rsidR="00893AF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2B3DAA0" w14:textId="77777777" w:rsidR="00893AF7" w:rsidRPr="00F90EAE" w:rsidRDefault="00893AF7" w:rsidP="00F90EAE">
      <w:pPr>
        <w:autoSpaceDE w:val="0"/>
        <w:autoSpaceDN w:val="0"/>
        <w:adjustRightInd w:val="0"/>
        <w:jc w:val="both"/>
        <w:rPr>
          <w:iCs/>
          <w:color w:val="000000" w:themeColor="text1"/>
          <w:sz w:val="16"/>
          <w:szCs w:val="16"/>
        </w:rPr>
      </w:pPr>
    </w:p>
    <w:p w14:paraId="38D7042B" w14:textId="77777777" w:rsidR="00A278CB" w:rsidRPr="00F90EAE" w:rsidRDefault="00A278CB" w:rsidP="00F90EAE">
      <w:pPr>
        <w:jc w:val="both"/>
        <w:rPr>
          <w:color w:val="000000" w:themeColor="text1"/>
          <w:sz w:val="16"/>
          <w:szCs w:val="16"/>
        </w:rPr>
      </w:pPr>
      <w:r w:rsidRPr="00F90EAE">
        <w:rPr>
          <w:color w:val="000000" w:themeColor="text1"/>
          <w:sz w:val="16"/>
          <w:szCs w:val="16"/>
        </w:rPr>
        <w:t>30 апреля 1945. Исполком Моссовета принял решение с этого дня отменить в Москве затемнение и светомаскировку (18688).</w:t>
      </w:r>
    </w:p>
    <w:p w14:paraId="2BC7A982" w14:textId="77777777" w:rsidR="00A278CB" w:rsidRPr="00F90EAE" w:rsidRDefault="00A278CB" w:rsidP="00F90EAE">
      <w:pPr>
        <w:jc w:val="both"/>
        <w:rPr>
          <w:color w:val="000000" w:themeColor="text1"/>
          <w:sz w:val="16"/>
          <w:szCs w:val="16"/>
        </w:rPr>
      </w:pPr>
    </w:p>
    <w:p w14:paraId="25BEA96F"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ленинградские альпинисты сняли со шпиля Адмиралтейства маскировочные чехлы. Вновь засияла знаменитая Адмиралтейская игла, укрытая от бомбежек и артобстрелов в первые месяцы блокады Ленинграда (15115).</w:t>
      </w:r>
    </w:p>
    <w:p w14:paraId="1E76CC8F" w14:textId="77777777" w:rsidR="00893AF7" w:rsidRPr="00F90EAE" w:rsidRDefault="00893AF7" w:rsidP="00F90EAE">
      <w:pPr>
        <w:jc w:val="both"/>
        <w:rPr>
          <w:color w:val="000000" w:themeColor="text1"/>
          <w:sz w:val="16"/>
          <w:szCs w:val="16"/>
        </w:rPr>
      </w:pPr>
    </w:p>
    <w:p w14:paraId="4E925D7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01998EB" w14:textId="77777777" w:rsidR="00665165" w:rsidRPr="00F90EAE" w:rsidRDefault="00665165" w:rsidP="00F90EAE">
      <w:pPr>
        <w:autoSpaceDE w:val="0"/>
        <w:autoSpaceDN w:val="0"/>
        <w:adjustRightInd w:val="0"/>
        <w:jc w:val="both"/>
        <w:rPr>
          <w:iCs/>
          <w:color w:val="000000" w:themeColor="text1"/>
          <w:sz w:val="16"/>
          <w:szCs w:val="16"/>
        </w:rPr>
      </w:pPr>
    </w:p>
    <w:p w14:paraId="510C49A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апреля 1945 в берлинском бункере покончил с собой А. Гитлер (4962).</w:t>
      </w:r>
    </w:p>
    <w:p w14:paraId="5F72AD8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77619E"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покончил жизнь самоубийством Адольф Гитлер (Шикльгрубер, 1889-1945), главный нацистский военный преступник. 28 апреля 1945 года на военном совещании генерал Вейдлинг сообщил Гитлеру о том, что берлинский гарнизон сможет оказывать сопротивление советским войскам не более двух дней. Гитлер приказал фельдмаршалу Грейму срочно вылететь на один из аэродромов под Берлином и собрать все самолеты для поддержки созданной из разрозненных частей армии генерала Венка. Однако к вечеру последняя надежда рухнула: Гитлер понял, что армия Венка не сможет прорваться к Берлину. Фюрер вызвал секретаршу Тройдль Юнге и продиктовал два завещания: личное и политическое. В последнем он объявил своими преемниками гросс-адмирала Деница и Геббельса, а для Бормана придумал титул «рейхсминистра по делам партии». В конце Гитлер продиктовал: «Моя жена и я выбираем смерть, с тем чтобы наши тела были немедленно сожжены...» В ночь на 29 апреля состоялось бракосочетание Гитлера и Евы Браун, спешно организованное Борманом и Геббельсом. Следующий день прошел в томительном ожидании: несмотря на слова о решимости покончить с собой, фюрер колебался и продолжал ждать Венка. В это время Геббельс принес сообщение из Италии: Бенито Муссолини и его любовница Клара Петаччи были пойманы партизанами, убиты и повешены за ноги на городской площади Милана. Это был точный психологический удар: Гитлер более всего боялся позорного плена. Мысль о том, что победители посадят его в железную клетку и выставят на всеобщее обозрение, постоянно преследовала фюрера. "Я не попаду в руки врага ни живым, ни мертым", - тут же заявил он. На последнем военном совещании, состоявшемся вечером 29 апреля, генерал Вейдлинг сообщил, что берлинский гарнизон практически разбит и битва за столицу закончится в течении 24 часов. Он посоветовал прорываться из Берлина, но Гитлер отказался, заявив, что не собирается "бегать по лесам". Уже за полночь он попрощался с последними соратниками, офицерами и секретаршами. 30 апреля примерно в 15 часов 30 минут Адольф Гитлер и Ева Гитлер (урожденная Браун) были мертвы (15115).</w:t>
      </w:r>
    </w:p>
    <w:p w14:paraId="77E8BADE" w14:textId="77777777" w:rsidR="00893AF7" w:rsidRPr="00F90EAE" w:rsidRDefault="00893AF7" w:rsidP="00F90EAE">
      <w:pPr>
        <w:jc w:val="both"/>
        <w:rPr>
          <w:color w:val="000000" w:themeColor="text1"/>
          <w:sz w:val="16"/>
          <w:szCs w:val="16"/>
        </w:rPr>
      </w:pPr>
    </w:p>
    <w:p w14:paraId="3655DA00"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после самоубийства А.Гитлера обязанности Рейхсканцлера Германской Империи взял на себя Й.Геббельс (15115).</w:t>
      </w:r>
    </w:p>
    <w:p w14:paraId="1698F583" w14:textId="77777777" w:rsidR="00893AF7" w:rsidRPr="00F90EAE" w:rsidRDefault="00893AF7" w:rsidP="00F90EAE">
      <w:pPr>
        <w:jc w:val="both"/>
        <w:rPr>
          <w:color w:val="000000" w:themeColor="text1"/>
          <w:sz w:val="16"/>
          <w:szCs w:val="16"/>
        </w:rPr>
      </w:pPr>
    </w:p>
    <w:p w14:paraId="050F6F52"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американские войска вступили в Мюнхен (15115).</w:t>
      </w:r>
    </w:p>
    <w:p w14:paraId="3C2E5044" w14:textId="77777777" w:rsidR="00893AF7" w:rsidRPr="00F90EAE" w:rsidRDefault="00893AF7" w:rsidP="00F90EAE">
      <w:pPr>
        <w:jc w:val="both"/>
        <w:rPr>
          <w:color w:val="000000" w:themeColor="text1"/>
          <w:sz w:val="16"/>
          <w:szCs w:val="16"/>
        </w:rPr>
      </w:pPr>
    </w:p>
    <w:p w14:paraId="57CA1260" w14:textId="77777777" w:rsidR="00893AF7" w:rsidRPr="00F90EAE" w:rsidRDefault="00893AF7" w:rsidP="00F90EAE">
      <w:pPr>
        <w:jc w:val="both"/>
        <w:rPr>
          <w:color w:val="000000" w:themeColor="text1"/>
          <w:sz w:val="16"/>
          <w:szCs w:val="16"/>
        </w:rPr>
      </w:pPr>
      <w:r w:rsidRPr="00F90EAE">
        <w:rPr>
          <w:color w:val="000000" w:themeColor="text1"/>
          <w:sz w:val="16"/>
          <w:szCs w:val="16"/>
        </w:rPr>
        <w:t>30 апреля в 1945 году У.Черчилль предлагает американскому командованию брать Прагу (15115).</w:t>
      </w:r>
    </w:p>
    <w:p w14:paraId="7E2FC643" w14:textId="77777777" w:rsidR="00893AF7" w:rsidRPr="00F90EAE" w:rsidRDefault="00893AF7" w:rsidP="00F90EAE">
      <w:pPr>
        <w:jc w:val="both"/>
        <w:rPr>
          <w:bCs/>
          <w:color w:val="000000" w:themeColor="text1"/>
          <w:sz w:val="16"/>
          <w:szCs w:val="16"/>
        </w:rPr>
      </w:pPr>
    </w:p>
    <w:p w14:paraId="09D5EC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 1945 американцы освободили в Дахау 30 тыс. евреев (2248,6).</w:t>
      </w:r>
    </w:p>
    <w:p w14:paraId="6EEF3236" w14:textId="77777777" w:rsidR="00665165" w:rsidRPr="00F90EAE" w:rsidRDefault="00665165" w:rsidP="00F90EAE">
      <w:pPr>
        <w:autoSpaceDE w:val="0"/>
        <w:autoSpaceDN w:val="0"/>
        <w:adjustRightInd w:val="0"/>
        <w:jc w:val="both"/>
        <w:rPr>
          <w:color w:val="000000" w:themeColor="text1"/>
          <w:sz w:val="16"/>
          <w:szCs w:val="16"/>
        </w:rPr>
      </w:pPr>
    </w:p>
    <w:p w14:paraId="745149F6" w14:textId="77777777" w:rsidR="00E70305" w:rsidRPr="00F90EAE" w:rsidRDefault="00E70305" w:rsidP="00F90EAE">
      <w:pPr>
        <w:jc w:val="both"/>
        <w:rPr>
          <w:color w:val="0070C0"/>
          <w:sz w:val="16"/>
          <w:szCs w:val="16"/>
        </w:rPr>
      </w:pPr>
      <w:r w:rsidRPr="00F90EAE">
        <w:rPr>
          <w:color w:val="0070C0"/>
          <w:sz w:val="16"/>
          <w:szCs w:val="16"/>
        </w:rPr>
        <w:t>30 апреля - 7 мая 1945 чтобы отвлечь внимание Японии от операции «Дракула» и подавить японскую авиацию на Андаманских и Никобарских островах, самолеты британских авианосцев HMS Empress и HMS Shah совершили 400 боевых вылетов в течение восьми дней против японских аэродромов и судов на островах, потеряв один самолет (20371).</w:t>
      </w:r>
    </w:p>
    <w:p w14:paraId="6D8F5E5F" w14:textId="77777777" w:rsidR="00E70305" w:rsidRPr="00F90EAE" w:rsidRDefault="00E70305" w:rsidP="00F90EAE">
      <w:pPr>
        <w:jc w:val="both"/>
        <w:rPr>
          <w:color w:val="0070C0"/>
          <w:sz w:val="16"/>
          <w:szCs w:val="16"/>
        </w:rPr>
      </w:pPr>
    </w:p>
    <w:p w14:paraId="696633F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0E41F0A" w14:textId="77777777" w:rsidR="00665165" w:rsidRPr="00F90EAE" w:rsidRDefault="00665165" w:rsidP="00F90EAE">
      <w:pPr>
        <w:autoSpaceDE w:val="0"/>
        <w:autoSpaceDN w:val="0"/>
        <w:adjustRightInd w:val="0"/>
        <w:jc w:val="both"/>
        <w:rPr>
          <w:iCs/>
          <w:color w:val="000000" w:themeColor="text1"/>
          <w:sz w:val="16"/>
          <w:szCs w:val="16"/>
        </w:rPr>
      </w:pPr>
    </w:p>
    <w:p w14:paraId="1A877EBA" w14:textId="77777777" w:rsidR="00893AF7" w:rsidRPr="00F90EAE" w:rsidRDefault="00893AF7" w:rsidP="00F90EAE">
      <w:pPr>
        <w:pStyle w:val="a3"/>
        <w:rPr>
          <w:color w:val="000000" w:themeColor="text1"/>
          <w:lang w:val="ru-RU"/>
        </w:rPr>
      </w:pPr>
      <w:r w:rsidRPr="00F90EAE">
        <w:rPr>
          <w:color w:val="000000" w:themeColor="text1"/>
          <w:lang w:val="ru-RU"/>
        </w:rPr>
        <w:t>В конце апреля 1945, когда грунтовые аэродромы подсохли, столкнулись с массовым выходом моторов из строя из-за разрушения нагнетателей. Попадавшая внутрь пыль способствовала чрезвычайно быстрому износу валика крыльчатки.</w:t>
      </w:r>
    </w:p>
    <w:p w14:paraId="5B1572F8" w14:textId="77777777" w:rsidR="00893AF7" w:rsidRPr="00F90EAE" w:rsidRDefault="00893AF7" w:rsidP="00F90EAE">
      <w:pPr>
        <w:pStyle w:val="a3"/>
        <w:rPr>
          <w:color w:val="000000" w:themeColor="text1"/>
          <w:lang w:val="ru-RU"/>
        </w:rPr>
      </w:pPr>
      <w:r w:rsidRPr="00F90EAE">
        <w:rPr>
          <w:color w:val="000000" w:themeColor="text1"/>
          <w:lang w:val="ru-RU"/>
        </w:rPr>
        <w:t>Всего за 10 дней боевой работы в 108 гшап из-за износа поршневых колец, приводившего к потере компрессии, из строя вышло 76% находившихся в эксплуатации моторов АМ-42. Ещё 16% моторов вышли из строя по причине появления бронзовой, стальной и алюминиевой стру</w:t>
      </w:r>
      <w:r w:rsidRPr="00F90EAE">
        <w:rPr>
          <w:color w:val="000000" w:themeColor="text1"/>
          <w:lang w:val="ru-RU"/>
        </w:rPr>
        <w:softHyphen/>
        <w:t>жек, попадания воды в картер и выбрасывания масла.</w:t>
      </w:r>
    </w:p>
    <w:p w14:paraId="60E88648" w14:textId="77777777" w:rsidR="00893AF7" w:rsidRPr="00F90EAE" w:rsidRDefault="00893AF7" w:rsidP="00F90EAE">
      <w:pPr>
        <w:pStyle w:val="a3"/>
        <w:rPr>
          <w:color w:val="000000" w:themeColor="text1"/>
          <w:lang w:val="ru-RU"/>
        </w:rPr>
      </w:pPr>
      <w:r w:rsidRPr="00F90EAE">
        <w:rPr>
          <w:color w:val="000000" w:themeColor="text1"/>
          <w:lang w:val="ru-RU"/>
        </w:rPr>
        <w:t>В 571 шап «по</w:t>
      </w:r>
      <w:r w:rsidRPr="00F90EAE">
        <w:rPr>
          <w:rStyle w:val="245"/>
          <w:rFonts w:ascii="Times New Roman" w:hAnsi="Times New Roman" w:cs="Times New Roman"/>
          <w:i w:val="0"/>
          <w:color w:val="000000" w:themeColor="text1"/>
          <w:sz w:val="16"/>
          <w:szCs w:val="16"/>
          <w:lang w:val="ru-RU"/>
        </w:rPr>
        <w:t xml:space="preserve"> причине производственно-конструктивных дефектов нагнетателя»</w:t>
      </w:r>
      <w:r w:rsidRPr="00F90EAE">
        <w:rPr>
          <w:color w:val="000000" w:themeColor="text1"/>
          <w:lang w:val="ru-RU"/>
        </w:rPr>
        <w:t xml:space="preserve"> в период с 15 апреля по 8 мая из строя вышли 17 АМ-42. Причём 8 отказов моторов произошло в один день 8 мая: 5 - на земле, 3 - в воздухе.</w:t>
      </w:r>
    </w:p>
    <w:p w14:paraId="53747177" w14:textId="77777777" w:rsidR="00893AF7" w:rsidRPr="00F90EAE" w:rsidRDefault="00893AF7" w:rsidP="00F90EAE">
      <w:pPr>
        <w:pStyle w:val="a3"/>
        <w:rPr>
          <w:color w:val="000000" w:themeColor="text1"/>
          <w:lang w:val="ru-RU"/>
        </w:rPr>
      </w:pPr>
      <w:r w:rsidRPr="00F90EAE">
        <w:rPr>
          <w:color w:val="000000" w:themeColor="text1"/>
          <w:lang w:val="ru-RU"/>
        </w:rPr>
        <w:t>Осмотр матчасти полка комиссией показал, что основной причиной выхода моторов из строя является разрушение крыльчатки нагнетателя. При этом'как минимум ещё 6 самолётов выпускать в полёт нельзя - «большой</w:t>
      </w:r>
      <w:r w:rsidRPr="00F90EAE">
        <w:rPr>
          <w:rStyle w:val="245"/>
          <w:rFonts w:ascii="Times New Roman" w:hAnsi="Times New Roman" w:cs="Times New Roman"/>
          <w:i w:val="0"/>
          <w:color w:val="000000" w:themeColor="text1"/>
          <w:sz w:val="16"/>
          <w:szCs w:val="16"/>
          <w:lang w:val="ru-RU"/>
        </w:rPr>
        <w:t xml:space="preserve"> люфт между основной крыльчаткой и направляющей</w:t>
      </w:r>
      <w:r w:rsidRPr="00F90EAE">
        <w:rPr>
          <w:color w:val="000000" w:themeColor="text1"/>
          <w:lang w:val="ru-RU"/>
        </w:rPr>
        <w:t xml:space="preserve"> в </w:t>
      </w:r>
      <w:r w:rsidRPr="00F90EAE">
        <w:rPr>
          <w:rStyle w:val="245"/>
          <w:rFonts w:ascii="Times New Roman" w:hAnsi="Times New Roman" w:cs="Times New Roman"/>
          <w:i w:val="0"/>
          <w:color w:val="000000" w:themeColor="text1"/>
          <w:sz w:val="16"/>
          <w:szCs w:val="16"/>
          <w:lang w:val="ru-RU"/>
        </w:rPr>
        <w:t>самих шлицах, /.../ в нагнетателях также много пыли».</w:t>
      </w:r>
    </w:p>
    <w:p w14:paraId="3531BEFE" w14:textId="77777777" w:rsidR="00893AF7" w:rsidRPr="00F90EAE" w:rsidRDefault="00893AF7" w:rsidP="00F90EAE">
      <w:pPr>
        <w:pStyle w:val="a3"/>
        <w:rPr>
          <w:color w:val="000000" w:themeColor="text1"/>
          <w:lang w:val="ru-RU"/>
        </w:rPr>
      </w:pPr>
      <w:r w:rsidRPr="00F90EAE">
        <w:rPr>
          <w:color w:val="000000" w:themeColor="text1"/>
          <w:lang w:val="ru-RU"/>
        </w:rPr>
        <w:t>Как указывалось в отчёте старшего инженера полка майора Жиленкова, «для вос</w:t>
      </w:r>
      <w:r w:rsidRPr="00F90EAE">
        <w:rPr>
          <w:color w:val="000000" w:themeColor="text1"/>
          <w:lang w:val="ru-RU"/>
        </w:rPr>
        <w:softHyphen/>
        <w:t>становления всех</w:t>
      </w:r>
      <w:r w:rsidRPr="00F90EAE">
        <w:rPr>
          <w:rStyle w:val="245"/>
          <w:rFonts w:ascii="Times New Roman" w:hAnsi="Times New Roman" w:cs="Times New Roman"/>
          <w:i w:val="0"/>
          <w:color w:val="000000" w:themeColor="text1"/>
          <w:sz w:val="16"/>
          <w:szCs w:val="16"/>
          <w:lang w:val="ru-RU"/>
        </w:rPr>
        <w:t xml:space="preserve"> самолётов полку требуется 14 моторов АМ-42 и 18 нагнетателей».</w:t>
      </w:r>
      <w:r w:rsidRPr="00F90EAE">
        <w:rPr>
          <w:color w:val="000000" w:themeColor="text1"/>
          <w:lang w:val="ru-RU"/>
        </w:rPr>
        <w:t xml:space="preserve"> С учетом потерь, понесённых в ходе боевых действий, 571 шап фактически утратил бое</w:t>
      </w:r>
      <w:r w:rsidRPr="00F90EAE">
        <w:rPr>
          <w:color w:val="000000" w:themeColor="text1"/>
          <w:lang w:val="ru-RU"/>
        </w:rPr>
        <w:softHyphen/>
        <w:t>способность. Специальная комиссия ВВС в середине мая запретила эксплуатацию Ил-1 0 в строевых ча</w:t>
      </w:r>
      <w:r w:rsidRPr="00F90EAE">
        <w:rPr>
          <w:color w:val="000000" w:themeColor="text1"/>
          <w:lang w:val="ru-RU"/>
        </w:rPr>
        <w:softHyphen/>
        <w:t>стях до проведения необходимых доработок машины.</w:t>
      </w:r>
    </w:p>
    <w:p w14:paraId="5078EB2B" w14:textId="77777777" w:rsidR="00893AF7" w:rsidRPr="00F90EAE" w:rsidRDefault="00893AF7" w:rsidP="00F90EAE">
      <w:pPr>
        <w:pStyle w:val="a3"/>
        <w:rPr>
          <w:color w:val="000000" w:themeColor="text1"/>
          <w:lang w:val="ru-RU"/>
        </w:rPr>
      </w:pPr>
      <w:r w:rsidRPr="00F90EAE">
        <w:rPr>
          <w:color w:val="000000" w:themeColor="text1"/>
          <w:lang w:val="ru-RU"/>
        </w:rPr>
        <w:t>Самолётостроители довольно быстро довели Ил-10 до вполне нормального уровня надёж</w:t>
      </w:r>
      <w:r w:rsidRPr="00F90EAE">
        <w:rPr>
          <w:color w:val="000000" w:themeColor="text1"/>
          <w:lang w:val="ru-RU"/>
        </w:rPr>
        <w:softHyphen/>
        <w:t>ности. Конструкцию Ил-10 и ряд его узлов усилили, увеличили ресурс мотора АМ-42, отладили работу винтомоторной группы. Путем уменьшения жёсткости подвески мотора</w:t>
      </w:r>
      <w:r w:rsidRPr="00F90EAE">
        <w:rPr>
          <w:rStyle w:val="233"/>
          <w:rFonts w:ascii="Times New Roman" w:hAnsi="Times New Roman" w:cs="Times New Roman"/>
          <w:i w:val="0"/>
          <w:color w:val="000000" w:themeColor="text1"/>
          <w:sz w:val="16"/>
          <w:szCs w:val="16"/>
          <w:lang w:val="ru-RU"/>
        </w:rPr>
        <w:t xml:space="preserve"> «резонанс</w:t>
      </w:r>
      <w:r w:rsidRPr="00F90EAE">
        <w:rPr>
          <w:rStyle w:val="721"/>
          <w:rFonts w:ascii="Times New Roman" w:hAnsi="Times New Roman" w:cs="Times New Roman"/>
          <w:b w:val="0"/>
          <w:color w:val="000000" w:themeColor="text1"/>
          <w:sz w:val="16"/>
          <w:szCs w:val="16"/>
          <w:lang w:val="ru-RU"/>
        </w:rPr>
        <w:t xml:space="preserve"> сдви</w:t>
      </w:r>
      <w:r w:rsidRPr="00F90EAE">
        <w:rPr>
          <w:rStyle w:val="721"/>
          <w:rFonts w:ascii="Times New Roman" w:hAnsi="Times New Roman" w:cs="Times New Roman"/>
          <w:b w:val="0"/>
          <w:color w:val="000000" w:themeColor="text1"/>
          <w:sz w:val="16"/>
          <w:szCs w:val="16"/>
          <w:lang w:val="ru-RU"/>
        </w:rPr>
        <w:softHyphen/>
      </w:r>
      <w:r w:rsidRPr="00F90EAE">
        <w:rPr>
          <w:rStyle w:val="233"/>
          <w:rFonts w:ascii="Times New Roman" w:hAnsi="Times New Roman" w:cs="Times New Roman"/>
          <w:i w:val="0"/>
          <w:color w:val="000000" w:themeColor="text1"/>
          <w:sz w:val="16"/>
          <w:szCs w:val="16"/>
          <w:lang w:val="ru-RU"/>
        </w:rPr>
        <w:t>нули в область низких оборотов мотора».</w:t>
      </w:r>
      <w:r w:rsidRPr="00F90EAE">
        <w:rPr>
          <w:color w:val="000000" w:themeColor="text1"/>
          <w:lang w:val="ru-RU"/>
        </w:rPr>
        <w:t xml:space="preserve"> Тряска уменьшилась. Условия прицеливания улучши</w:t>
      </w:r>
      <w:r w:rsidRPr="00F90EAE">
        <w:rPr>
          <w:color w:val="000000" w:themeColor="text1"/>
          <w:lang w:val="ru-RU"/>
        </w:rPr>
        <w:softHyphen/>
        <w:t>лись. Повысили боевую мощь, установив в крыле четыре пушки НС-23, четыре ракетных орудия РО-82, оборонительную пушку Б-20Т. Модифицировали бомбовое вооружение. Неоднократ</w:t>
      </w:r>
      <w:r w:rsidRPr="00F90EAE">
        <w:rPr>
          <w:color w:val="000000" w:themeColor="text1"/>
          <w:lang w:val="ru-RU"/>
        </w:rPr>
        <w:softHyphen/>
        <w:t>но совершенствовались радиосвязное и навигационное оборудование. Но прицельное «хозяй</w:t>
      </w:r>
      <w:r w:rsidRPr="00F90EAE">
        <w:rPr>
          <w:color w:val="000000" w:themeColor="text1"/>
          <w:lang w:val="ru-RU"/>
        </w:rPr>
        <w:softHyphen/>
        <w:t>ство» осталось без изменений (15978).</w:t>
      </w:r>
    </w:p>
    <w:p w14:paraId="49E2A2BE" w14:textId="77777777" w:rsidR="00893AF7" w:rsidRPr="00F90EAE" w:rsidRDefault="00893AF7" w:rsidP="00F90EAE">
      <w:pPr>
        <w:pStyle w:val="a3"/>
        <w:rPr>
          <w:color w:val="000000" w:themeColor="text1"/>
          <w:lang w:val="ru-RU"/>
        </w:rPr>
      </w:pPr>
    </w:p>
    <w:p w14:paraId="168A2FDD" w14:textId="77777777" w:rsidR="00893AF7" w:rsidRPr="00F90EAE" w:rsidRDefault="00893AF7" w:rsidP="00F90EAE">
      <w:pPr>
        <w:shd w:val="clear" w:color="auto" w:fill="FFFFFF"/>
        <w:jc w:val="both"/>
        <w:rPr>
          <w:color w:val="000000" w:themeColor="text1"/>
          <w:sz w:val="16"/>
          <w:szCs w:val="16"/>
        </w:rPr>
      </w:pPr>
      <w:r w:rsidRPr="00F90EAE">
        <w:rPr>
          <w:color w:val="000000" w:themeColor="text1"/>
          <w:sz w:val="16"/>
          <w:szCs w:val="16"/>
        </w:rPr>
        <w:t>В конце апреля 1945 двигатели, поступившие на завод № 39,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4E5AE6C9" w14:textId="77777777" w:rsidR="00893AF7" w:rsidRPr="00F90EAE" w:rsidRDefault="00893AF7" w:rsidP="00F90EAE">
      <w:pPr>
        <w:shd w:val="clear" w:color="auto" w:fill="FFFFFF"/>
        <w:jc w:val="both"/>
        <w:rPr>
          <w:color w:val="000000" w:themeColor="text1"/>
          <w:sz w:val="16"/>
          <w:szCs w:val="16"/>
        </w:rPr>
      </w:pPr>
    </w:p>
    <w:p w14:paraId="10547B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вторая машина Ер-2ОН проходила летные испытания, а остальные были закончены производством к моменту окончания войны с Германией (3322,44).</w:t>
      </w:r>
    </w:p>
    <w:p w14:paraId="14004C08" w14:textId="77777777" w:rsidR="00665165" w:rsidRPr="00F90EAE" w:rsidRDefault="00665165" w:rsidP="00F90EAE">
      <w:pPr>
        <w:autoSpaceDE w:val="0"/>
        <w:autoSpaceDN w:val="0"/>
        <w:adjustRightInd w:val="0"/>
        <w:jc w:val="both"/>
        <w:rPr>
          <w:color w:val="000000" w:themeColor="text1"/>
          <w:sz w:val="16"/>
          <w:szCs w:val="16"/>
        </w:rPr>
      </w:pPr>
    </w:p>
    <w:p w14:paraId="6A7180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закончились испытания Ла-7Р-1 с РД-1 и Ла-7Р-2 с РД-1ХЗ, которые шли с конца лета 1944 и с января 1945. Максимальная скорость была до 795 км/час на 6300, а максимальный прирост скорости - 162 км/час. В заключении отчета написано "...результаты испытаний самолета ла-7Р с однокамерным реактивным двигателем РД-1 и РД-1ХЗ...показали полную возможность использования РД-1ХЗ как вспомогательного двигателя-ускорителя..." (173,416).</w:t>
      </w:r>
    </w:p>
    <w:p w14:paraId="1F6A3DDD" w14:textId="77777777" w:rsidR="00665165" w:rsidRPr="00F90EAE" w:rsidRDefault="00665165" w:rsidP="00F90EAE">
      <w:pPr>
        <w:autoSpaceDE w:val="0"/>
        <w:autoSpaceDN w:val="0"/>
        <w:adjustRightInd w:val="0"/>
        <w:jc w:val="both"/>
        <w:rPr>
          <w:color w:val="000000" w:themeColor="text1"/>
          <w:sz w:val="16"/>
          <w:szCs w:val="16"/>
        </w:rPr>
      </w:pPr>
    </w:p>
    <w:p w14:paraId="49D400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вышел приказ НКАП N 186 о проведении совместных заводских и гос. испытаний ЛЛ-143 Г.М.Б. и назначении комиссии в составе Нач. 3 ВМАУ ВМФ (Нач.) В.Ф.Залыгина, вл Н.П.Котлякова (завод 477), Ф.С.Лещенко (ЛИИ ВВС ВМФ), ви А.С.Корытина (447) и Л.И.Кудрявцева (ЛИИ ВВС ВМФ) (3827,18).</w:t>
      </w:r>
    </w:p>
    <w:p w14:paraId="65111375" w14:textId="77777777" w:rsidR="00665165" w:rsidRPr="00F90EAE" w:rsidRDefault="00665165" w:rsidP="00F90EAE">
      <w:pPr>
        <w:autoSpaceDE w:val="0"/>
        <w:autoSpaceDN w:val="0"/>
        <w:adjustRightInd w:val="0"/>
        <w:jc w:val="both"/>
        <w:rPr>
          <w:color w:val="000000" w:themeColor="text1"/>
          <w:sz w:val="16"/>
          <w:szCs w:val="16"/>
        </w:rPr>
      </w:pPr>
    </w:p>
    <w:p w14:paraId="4AE9F6DC" w14:textId="77777777" w:rsidR="00E70305" w:rsidRPr="00F90EAE" w:rsidRDefault="00E70305" w:rsidP="00F90EAE">
      <w:pPr>
        <w:shd w:val="clear" w:color="auto" w:fill="FFFFFF"/>
        <w:jc w:val="both"/>
        <w:rPr>
          <w:color w:val="0070C0"/>
          <w:sz w:val="16"/>
          <w:szCs w:val="16"/>
        </w:rPr>
      </w:pPr>
      <w:r w:rsidRPr="00F90EAE">
        <w:rPr>
          <w:rStyle w:val="690"/>
          <w:rFonts w:ascii="Times New Roman" w:hAnsi="Times New Roman" w:cs="Times New Roman"/>
          <w:color w:val="0070C0"/>
          <w:sz w:val="16"/>
          <w:szCs w:val="16"/>
        </w:rPr>
        <w:t>В конце апреля 1945 было принято решении о развертыва</w:t>
      </w:r>
      <w:r w:rsidRPr="00F90EAE">
        <w:rPr>
          <w:rStyle w:val="690"/>
          <w:rFonts w:ascii="Times New Roman" w:hAnsi="Times New Roman" w:cs="Times New Roman"/>
          <w:color w:val="0070C0"/>
          <w:sz w:val="16"/>
          <w:szCs w:val="16"/>
        </w:rPr>
        <w:softHyphen/>
        <w:t>нии серийного производства ЮМ0-004 под наименованием РД-10, поэтому львиная доля кондиционных моторов - 11 штук из 39 двигателей ЮМ0-004, поступивших в Москву, достались заводу № 300, 5 - заводу № 26, две штуки отправили в ЛИИ</w:t>
      </w:r>
    </w:p>
    <w:p w14:paraId="0CB0237A" w14:textId="77777777" w:rsidR="00E70305" w:rsidRPr="00F90EAE" w:rsidRDefault="00E70305" w:rsidP="00F90EAE">
      <w:pPr>
        <w:shd w:val="clear" w:color="auto" w:fill="FFFFFF"/>
        <w:jc w:val="both"/>
        <w:rPr>
          <w:color w:val="0070C0"/>
          <w:sz w:val="16"/>
          <w:szCs w:val="16"/>
        </w:rPr>
      </w:pPr>
    </w:p>
    <w:p w14:paraId="5B245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для поиска и изучения немецкого авиационного оборудования вылетела комиссия НКАП во главе с Н.И.Петровым - нач. Института самолетного оборудования и во время боев в Берлине осмотрели DVL и много другое. Нашли отчеты по испытаниям самолетов и частей в трубах в 1939-1944 и образцы (1795,59).</w:t>
      </w:r>
    </w:p>
    <w:p w14:paraId="1CD0679B" w14:textId="77777777" w:rsidR="00665165" w:rsidRPr="00F90EAE" w:rsidRDefault="00665165" w:rsidP="00F90EAE">
      <w:pPr>
        <w:autoSpaceDE w:val="0"/>
        <w:autoSpaceDN w:val="0"/>
        <w:adjustRightInd w:val="0"/>
        <w:jc w:val="both"/>
        <w:rPr>
          <w:color w:val="000000" w:themeColor="text1"/>
          <w:sz w:val="16"/>
          <w:szCs w:val="16"/>
        </w:rPr>
      </w:pPr>
    </w:p>
    <w:p w14:paraId="02236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для поиска и изучения немецкого авиационного оборудования в Германию вылетела специальная комиссия НКАП во главе с начальником Института самолетного оборудования генерал-майором Н. И. Петровым. В ее состав входили представители ведущих авиационных организаций: заместитель начальника Центральногот института авиационного моторостроения (ЦИАМ) В. В. Владимиров, заместитель начальника Центрального аэрогидродинамического института (ЦАГИ) К. И. Суржин, заместитель начальника Всесоюзного института авиационных материалов (ВИАМ) Р. С. Амбарцу-мян, заместитель начальника Летно-исследовательского института (ЛИИ) Д. Зосим и еще несколько человек. Свою миссию они начали с Берлина и его пригородов. Они обследовали территории Авиационного научно-исследовательского института, Всегерманского института испытания материалов, опытного завода фирмы «Теле-функен» (производство радиолокаторов), предприятия компаний «Хейнкель», «БМВ», «Сименс» и «Аскания». Среди наиболее ценных находок комиссии были полный комплект отчетов группы по испытанию самолетов и их частей в скоростной аэродинамической трубе за 1939—1944 годы, образцы самолетных и наземных радиолокационных установок, пилотируемый вариант самолета-снаряда V-1, фюзеляж реактивного самолета Не-162, стенды для испытания двигателя БМВ-003 (11765).</w:t>
      </w:r>
    </w:p>
    <w:p w14:paraId="22429AFC" w14:textId="77777777" w:rsidR="00665165" w:rsidRPr="00F90EAE" w:rsidRDefault="00665165" w:rsidP="00F90EAE">
      <w:pPr>
        <w:autoSpaceDE w:val="0"/>
        <w:autoSpaceDN w:val="0"/>
        <w:adjustRightInd w:val="0"/>
        <w:jc w:val="both"/>
        <w:rPr>
          <w:color w:val="000000" w:themeColor="text1"/>
          <w:sz w:val="16"/>
          <w:szCs w:val="16"/>
        </w:rPr>
      </w:pPr>
    </w:p>
    <w:p w14:paraId="704080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 начале мая 1945 в Австрию поехала группа НКАП и в Вене исследовали КБ и заводы Хейнкеля (1795,60).</w:t>
      </w:r>
    </w:p>
    <w:p w14:paraId="757F4C05" w14:textId="77777777" w:rsidR="00665165" w:rsidRPr="00F90EAE" w:rsidRDefault="00665165" w:rsidP="00F90EAE">
      <w:pPr>
        <w:autoSpaceDE w:val="0"/>
        <w:autoSpaceDN w:val="0"/>
        <w:adjustRightInd w:val="0"/>
        <w:jc w:val="both"/>
        <w:rPr>
          <w:color w:val="000000" w:themeColor="text1"/>
          <w:sz w:val="16"/>
          <w:szCs w:val="16"/>
        </w:rPr>
      </w:pPr>
    </w:p>
    <w:p w14:paraId="2F944F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последней декаде апреля 1945 г. военпреды завода № 500 выявили массовый брак коленчатых валов (8984).</w:t>
      </w:r>
    </w:p>
    <w:p w14:paraId="67B2538C" w14:textId="77777777" w:rsidR="00665165" w:rsidRPr="00F90EAE" w:rsidRDefault="00665165" w:rsidP="00F90EAE">
      <w:pPr>
        <w:autoSpaceDE w:val="0"/>
        <w:autoSpaceDN w:val="0"/>
        <w:adjustRightInd w:val="0"/>
        <w:jc w:val="both"/>
        <w:rPr>
          <w:color w:val="000000" w:themeColor="text1"/>
          <w:sz w:val="16"/>
          <w:szCs w:val="16"/>
        </w:rPr>
      </w:pPr>
    </w:p>
    <w:p w14:paraId="3F3C0C4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AF171D" w14:textId="77777777" w:rsidR="00665165" w:rsidRPr="00F90EAE" w:rsidRDefault="00665165" w:rsidP="00F90EAE">
      <w:pPr>
        <w:autoSpaceDE w:val="0"/>
        <w:autoSpaceDN w:val="0"/>
        <w:adjustRightInd w:val="0"/>
        <w:jc w:val="both"/>
        <w:rPr>
          <w:iCs/>
          <w:color w:val="000000" w:themeColor="text1"/>
          <w:sz w:val="16"/>
          <w:szCs w:val="16"/>
        </w:rPr>
      </w:pPr>
    </w:p>
    <w:p w14:paraId="4116BD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последних числах апреля 1945 г. согласно Герою Советского Союза гвардии капитану В.А.Кумскову 2-й Украинский фронт успешно вел наступление в Чехословакии. Немецкие войска отступали по всему фронту.</w:t>
      </w:r>
    </w:p>
    <w:p w14:paraId="20673B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Только на участке Брно-Вышков враг все еще упорно сопротивлялся.</w:t>
      </w:r>
    </w:p>
    <w:p w14:paraId="33517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Частям штурмовой дивизии была поставлена задача: уничтожать живую силу и технику противника на участке Брно-Вышков. Управлять действиями штурмовиков должен был командир корпуса с КП наземных войск.</w:t>
      </w:r>
    </w:p>
    <w:p w14:paraId="583A0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полка поставил задачу: группе самолетов в составе 6 Ил-2 под прикрытием 4 Як-9 подавить живую силу противника в населенном пункте и станции Лулец.</w:t>
      </w:r>
    </w:p>
    <w:p w14:paraId="44B18F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 сопровождения базировались на одном с ш аэродроме. Мы имели большой опыт совместных действий.</w:t>
      </w:r>
    </w:p>
    <w:p w14:paraId="6AD20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эскадрильи назначил Кумского своим заместителем в группе. Каждому летчику было указано место в строю и его обязанности. Замыкающему летчику, опытному фотосъемщику, командир приказал сфотографировать результат боевых действий группы. После взлета и построения в боевой порядок правый "пеленг" ш легли на курс.</w:t>
      </w:r>
    </w:p>
    <w:p w14:paraId="165CFF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Кумсков с ведущим проверили связь между собой и с остальными экипажами. При подходе к КПП ведущий не мог установить с ним связь и дал команду связаться Кумскову. Кумсков установил связь и получил приказание идти на свою цель, которое передал ведущему. Он понял. Подходя к пункту Лулец, командир эскадрильи принял решение атаковать этот пункт, где находилось до 6-8 автомашин. Цель, конечно, бедная. Но как только он перешел в планирование на цель, Кумсков заметил на станции Лулец эшелон с крытыми вагонами. Паровоз был под парами, медлить было нельзя, он мог уйти. Кумсков передал ведущему об обнаруженной цели, а сам стал доворачивать на эшелон.</w:t>
      </w:r>
    </w:p>
    <w:p w14:paraId="08B488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Ведущий приказал атаковать эшелон. Кумсков находился в очень выгодном положении для атаки и немедленно перешел в планирование с высоты 900 м, за Кумским последовали остальные самолеты.</w:t>
      </w:r>
    </w:p>
    <w:p w14:paraId="10E96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Планируя с углом 300, ш вели пулеметно-пушечный огонь по эшелону, а бомбометание производили на выводе из планирования с высоты 250-300 м. Кумсков и другие экипажи первый заход произвели удачно. Основная масса бомб попала в эшелон, остальная часть - в станционные постройки. Начали рваться боеприпасы. Ш сделали еще три захода из боевого порядка "круг". Пушечным огнем был взорван паровоз, который, бросив эшелон, хотел уйти. Истребители прикрывали ш двумя </w:t>
      </w:r>
      <w:r w:rsidRPr="00F90EAE">
        <w:rPr>
          <w:color w:val="000000" w:themeColor="text1"/>
          <w:sz w:val="16"/>
          <w:szCs w:val="16"/>
        </w:rPr>
        <w:lastRenderedPageBreak/>
        <w:t>парами, патрулируя с обратным кругом. Противодействия с земли не было оказано, а истребители противника были связаны боем в соседнем районе. Замыкающий летчик сфотографировал результаты удара. Ш собрались в прежний боевой порядок и легли на обратный курс. Пролетая КПП, я передал о принятом решении и о результатах атаки. Командир корпуса одобрил решение Кумскова и приказал идти на свой аэродром. Фотоснимок подтвердил результаты. Группа без потерь вернулась на свой аэродром.</w:t>
      </w:r>
    </w:p>
    <w:p w14:paraId="641C5F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Благодаря разумно проявленной инициативе ведущего и использованию всех возможностей радиосвязи группа уничтожила более важную по своему значению цель - взорвала эшелон с боеприпасами (3207).</w:t>
      </w:r>
    </w:p>
    <w:p w14:paraId="2F90CB7E" w14:textId="77777777" w:rsidR="00665165" w:rsidRPr="00F90EAE" w:rsidRDefault="00665165" w:rsidP="00F90EAE">
      <w:pPr>
        <w:autoSpaceDE w:val="0"/>
        <w:autoSpaceDN w:val="0"/>
        <w:adjustRightInd w:val="0"/>
        <w:jc w:val="both"/>
        <w:rPr>
          <w:color w:val="000000" w:themeColor="text1"/>
          <w:sz w:val="16"/>
          <w:szCs w:val="16"/>
        </w:rPr>
      </w:pPr>
    </w:p>
    <w:p w14:paraId="60DB7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командира эскадрильи П.Однобокова сбил сразу два Bf-109 - те проскочили вперед и одного подбили пушки, а другого - ведомого - стрелок (1605,3).</w:t>
      </w:r>
    </w:p>
    <w:p w14:paraId="5F4C27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Считается, что 108 шап, вооруженный Ил-10 активно воевал не менее месяца c апреля 1945 до конца войны и выполнила свыше 450 боевых вылетов (337,86).</w:t>
      </w:r>
    </w:p>
    <w:p w14:paraId="07845016" w14:textId="77777777" w:rsidR="00665165" w:rsidRPr="00F90EAE" w:rsidRDefault="00665165" w:rsidP="00F90EAE">
      <w:pPr>
        <w:autoSpaceDE w:val="0"/>
        <w:autoSpaceDN w:val="0"/>
        <w:adjustRightInd w:val="0"/>
        <w:jc w:val="both"/>
        <w:rPr>
          <w:color w:val="000000" w:themeColor="text1"/>
          <w:sz w:val="16"/>
          <w:szCs w:val="16"/>
        </w:rPr>
      </w:pPr>
    </w:p>
    <w:p w14:paraId="7A010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апреля 1945 г. управляющий делами нацистской партии М.Борман получил задание устроить Гитлеру интервью, как оказалось, последнее. К Гитлеру был доставлен швейцарский журналист Курт Шпейдель. Он сумел задать всего пять вопросов. На четвертый вопрос: "Оглядываясь назад, вы не пугаетесь некоторых своих поступков? Скажем, т.н. окончательного решения еврейского вопроса?" - получил злой ответ - "В этот трагический для Германии час я не могу думать о евреях". Возможно, Гитлер уже понял, что сионизм его просто использовал, даже помимо его воли. Да еще как использовал!</w:t>
      </w:r>
    </w:p>
    <w:p w14:paraId="15902235" w14:textId="77777777" w:rsidR="00665165" w:rsidRPr="00F90EAE" w:rsidRDefault="00665165" w:rsidP="00F90EAE">
      <w:pPr>
        <w:autoSpaceDE w:val="0"/>
        <w:autoSpaceDN w:val="0"/>
        <w:adjustRightInd w:val="0"/>
        <w:jc w:val="both"/>
        <w:rPr>
          <w:iCs/>
          <w:color w:val="000000" w:themeColor="text1"/>
          <w:sz w:val="16"/>
          <w:szCs w:val="16"/>
        </w:rPr>
      </w:pPr>
    </w:p>
    <w:p w14:paraId="557D15CE" w14:textId="77777777" w:rsidR="00893AF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ABA75C6" w14:textId="77777777" w:rsidR="00893AF7" w:rsidRPr="00F90EAE" w:rsidRDefault="00893AF7" w:rsidP="00F90EAE">
      <w:pPr>
        <w:autoSpaceDE w:val="0"/>
        <w:autoSpaceDN w:val="0"/>
        <w:adjustRightInd w:val="0"/>
        <w:jc w:val="both"/>
        <w:rPr>
          <w:iCs/>
          <w:color w:val="000000" w:themeColor="text1"/>
          <w:sz w:val="16"/>
          <w:szCs w:val="16"/>
        </w:rPr>
      </w:pPr>
    </w:p>
    <w:p w14:paraId="1E450306" w14:textId="77777777" w:rsidR="00893AF7" w:rsidRPr="00F90EAE" w:rsidRDefault="00893AF7" w:rsidP="00F90EAE">
      <w:pPr>
        <w:pStyle w:val="a3"/>
        <w:rPr>
          <w:color w:val="000000" w:themeColor="text1"/>
          <w:lang w:val="ru-RU"/>
        </w:rPr>
      </w:pPr>
      <w:r w:rsidRPr="00F90EAE">
        <w:rPr>
          <w:color w:val="000000" w:themeColor="text1"/>
          <w:lang w:val="ru-RU"/>
        </w:rPr>
        <w:t>В конце апреля 1945 10 Ва.349А, вооружённые НАР, были размещены под Штутгартом и готовились к первому боевому вылету. Но раньше, чем американские бомбардировщики, появилось «лучшее в мире средство ПВО - танки на аэродроме противника». Американ</w:t>
      </w:r>
      <w:r w:rsidRPr="00F90EAE">
        <w:rPr>
          <w:color w:val="000000" w:themeColor="text1"/>
          <w:lang w:val="ru-RU"/>
        </w:rPr>
        <w:softHyphen/>
        <w:t>цы захватили несколько целехоньких самолётов, технический и лётный персонал и доку</w:t>
      </w:r>
      <w:r w:rsidRPr="00F90EAE">
        <w:rPr>
          <w:color w:val="000000" w:themeColor="text1"/>
          <w:lang w:val="ru-RU"/>
        </w:rPr>
        <w:softHyphen/>
        <w:t>ментацию (15841).</w:t>
      </w:r>
    </w:p>
    <w:p w14:paraId="5891CBB4" w14:textId="77777777" w:rsidR="00893AF7" w:rsidRPr="00F90EAE" w:rsidRDefault="00893AF7" w:rsidP="00F90EAE">
      <w:pPr>
        <w:pStyle w:val="a3"/>
        <w:rPr>
          <w:color w:val="000000" w:themeColor="text1"/>
          <w:lang w:val="ru-RU"/>
        </w:rPr>
      </w:pPr>
    </w:p>
    <w:p w14:paraId="6C40A00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6479B50" w14:textId="77777777" w:rsidR="00665165" w:rsidRPr="00F90EAE" w:rsidRDefault="00665165" w:rsidP="00F90EAE">
      <w:pPr>
        <w:autoSpaceDE w:val="0"/>
        <w:autoSpaceDN w:val="0"/>
        <w:adjustRightInd w:val="0"/>
        <w:jc w:val="both"/>
        <w:rPr>
          <w:iCs/>
          <w:color w:val="000000" w:themeColor="text1"/>
          <w:sz w:val="16"/>
          <w:szCs w:val="16"/>
        </w:rPr>
      </w:pPr>
    </w:p>
    <w:p w14:paraId="041E0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в НИИ ВВС КА был предъявлен Ил-2КР (зав. № 308099) постройки завода № 30 с удли</w:t>
      </w:r>
      <w:r w:rsidRPr="00F90EAE">
        <w:rPr>
          <w:color w:val="000000" w:themeColor="text1"/>
          <w:sz w:val="16"/>
          <w:szCs w:val="16"/>
        </w:rPr>
        <w:softHyphen/>
        <w:t>ненным бронекорпусом, который включал бронирование воздушного стрелка. Кроме того, на самолете была введена увеличенная на 6° стрельчатость крыла и уменьшена (на 135 мм) длина дере</w:t>
      </w:r>
      <w:r w:rsidRPr="00F90EAE">
        <w:rPr>
          <w:color w:val="000000" w:themeColor="text1"/>
          <w:sz w:val="16"/>
          <w:szCs w:val="16"/>
        </w:rPr>
        <w:softHyphen/>
        <w:t>вянной части фюзеляжа.</w:t>
      </w:r>
    </w:p>
    <w:p w14:paraId="0F2E9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благоприятный отзыв Госкомиссии, этот вариант Ил-2 в серий</w:t>
      </w:r>
      <w:r w:rsidRPr="00F90EAE">
        <w:rPr>
          <w:color w:val="000000" w:themeColor="text1"/>
          <w:sz w:val="16"/>
          <w:szCs w:val="16"/>
        </w:rPr>
        <w:softHyphen/>
        <w:t>ное производство запущен не был как в связи с окончанием войны, так и в свя</w:t>
      </w:r>
      <w:r w:rsidRPr="00F90EAE">
        <w:rPr>
          <w:color w:val="000000" w:themeColor="text1"/>
          <w:sz w:val="16"/>
          <w:szCs w:val="16"/>
        </w:rPr>
        <w:softHyphen/>
        <w:t>зи с осознанием того факта, что для це</w:t>
      </w:r>
      <w:r w:rsidRPr="00F90EAE">
        <w:rPr>
          <w:color w:val="000000" w:themeColor="text1"/>
          <w:sz w:val="16"/>
          <w:szCs w:val="16"/>
        </w:rPr>
        <w:softHyphen/>
        <w:t>лей разведки и корректировки артил</w:t>
      </w:r>
      <w:r w:rsidRPr="00F90EAE">
        <w:rPr>
          <w:color w:val="000000" w:themeColor="text1"/>
          <w:sz w:val="16"/>
          <w:szCs w:val="16"/>
        </w:rPr>
        <w:softHyphen/>
        <w:t>лерийского огня необходимо создавать специальный самолет со значительно лучшими обзором и летно-тактическими данными. В строевых частях на серийных Ил-2 силами технического состава монтировались различного рода самостийные аэрофотоустановки, обес</w:t>
      </w:r>
      <w:r w:rsidRPr="00F90EAE">
        <w:rPr>
          <w:color w:val="000000" w:themeColor="text1"/>
          <w:sz w:val="16"/>
          <w:szCs w:val="16"/>
        </w:rPr>
        <w:softHyphen/>
        <w:t>печивающие маловысотную перспектив</w:t>
      </w:r>
      <w:r w:rsidRPr="00F90EAE">
        <w:rPr>
          <w:color w:val="000000" w:themeColor="text1"/>
          <w:sz w:val="16"/>
          <w:szCs w:val="16"/>
        </w:rPr>
        <w:softHyphen/>
        <w:t>ную фоторазведку (6467).</w:t>
      </w:r>
    </w:p>
    <w:p w14:paraId="08E90D8C" w14:textId="77777777" w:rsidR="00665165" w:rsidRPr="00F90EAE" w:rsidRDefault="00665165" w:rsidP="00F90EAE">
      <w:pPr>
        <w:autoSpaceDE w:val="0"/>
        <w:autoSpaceDN w:val="0"/>
        <w:adjustRightInd w:val="0"/>
        <w:jc w:val="both"/>
        <w:rPr>
          <w:color w:val="000000" w:themeColor="text1"/>
          <w:sz w:val="16"/>
          <w:szCs w:val="16"/>
        </w:rPr>
      </w:pPr>
    </w:p>
    <w:p w14:paraId="6FB960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в НИИ ВВС для производства госу</w:t>
      </w:r>
      <w:r w:rsidRPr="00F90EAE">
        <w:rPr>
          <w:color w:val="000000" w:themeColor="text1"/>
          <w:sz w:val="16"/>
          <w:szCs w:val="16"/>
        </w:rPr>
        <w:softHyphen/>
        <w:t>дарственных летных испыта</w:t>
      </w:r>
      <w:r w:rsidRPr="00F90EAE">
        <w:rPr>
          <w:color w:val="000000" w:themeColor="text1"/>
          <w:sz w:val="16"/>
          <w:szCs w:val="16"/>
        </w:rPr>
        <w:softHyphen/>
        <w:t>ний поступил Ил-2КР (зав. № 308099) с удлиненным бро</w:t>
      </w:r>
      <w:r w:rsidRPr="00F90EAE">
        <w:rPr>
          <w:color w:val="000000" w:themeColor="text1"/>
          <w:sz w:val="16"/>
          <w:szCs w:val="16"/>
        </w:rPr>
        <w:softHyphen/>
        <w:t>некорпусом постройки завода № 30. Ведущим инженером был назначен старший лейте</w:t>
      </w:r>
      <w:r w:rsidRPr="00F90EAE">
        <w:rPr>
          <w:color w:val="000000" w:themeColor="text1"/>
          <w:sz w:val="16"/>
          <w:szCs w:val="16"/>
        </w:rPr>
        <w:softHyphen/>
        <w:t>нант Л.Н. Мартынов. Летал летчик-испытатель А.И. Котов. По устойчивости и про</w:t>
      </w:r>
      <w:r w:rsidRPr="00F90EAE">
        <w:rPr>
          <w:color w:val="000000" w:themeColor="text1"/>
          <w:sz w:val="16"/>
          <w:szCs w:val="16"/>
        </w:rPr>
        <w:softHyphen/>
        <w:t>стоте пилотирования новый «следопыт» оценивался выше штурмовых вариантов самоле</w:t>
      </w:r>
      <w:r w:rsidRPr="00F90EAE">
        <w:rPr>
          <w:color w:val="000000" w:themeColor="text1"/>
          <w:sz w:val="16"/>
          <w:szCs w:val="16"/>
        </w:rPr>
        <w:softHyphen/>
        <w:t>та Ил-2. В то же время отмеча</w:t>
      </w:r>
      <w:r w:rsidRPr="00F90EAE">
        <w:rPr>
          <w:color w:val="000000" w:themeColor="text1"/>
          <w:sz w:val="16"/>
          <w:szCs w:val="16"/>
        </w:rPr>
        <w:softHyphen/>
        <w:t>лось, что «Ил-2 корректиров</w:t>
      </w:r>
      <w:r w:rsidRPr="00F90EAE">
        <w:rPr>
          <w:color w:val="000000" w:themeColor="text1"/>
          <w:sz w:val="16"/>
          <w:szCs w:val="16"/>
        </w:rPr>
        <w:softHyphen/>
        <w:t>щик не берет бомб и РС», а установка одного фотоаппа</w:t>
      </w:r>
      <w:r w:rsidRPr="00F90EAE">
        <w:rPr>
          <w:color w:val="000000" w:themeColor="text1"/>
          <w:sz w:val="16"/>
          <w:szCs w:val="16"/>
        </w:rPr>
        <w:softHyphen/>
        <w:t>рата АФА-ИМ для планового фотографирования «имеет ма</w:t>
      </w:r>
      <w:r w:rsidRPr="00F90EAE">
        <w:rPr>
          <w:color w:val="000000" w:themeColor="text1"/>
          <w:sz w:val="16"/>
          <w:szCs w:val="16"/>
        </w:rPr>
        <w:softHyphen/>
        <w:t>лый захват фотографируемой площади по ширине, из-за чего на площадь, подлежащую фотографированию, необхо</w:t>
      </w:r>
      <w:r w:rsidRPr="00F90EAE">
        <w:rPr>
          <w:color w:val="000000" w:themeColor="text1"/>
          <w:sz w:val="16"/>
          <w:szCs w:val="16"/>
        </w:rPr>
        <w:softHyphen/>
        <w:t>димо производить несколько заходов». Требовалось оснастить самолет двумя сменными комплектами фотооборудова</w:t>
      </w:r>
      <w:r w:rsidRPr="00F90EAE">
        <w:rPr>
          <w:color w:val="000000" w:themeColor="text1"/>
          <w:sz w:val="16"/>
          <w:szCs w:val="16"/>
        </w:rPr>
        <w:softHyphen/>
        <w:t>ния: первый — три фотоаппарата АФА-ИМ (один в типовой установке и два с наклоненными в сторону оптическими ося</w:t>
      </w:r>
      <w:r w:rsidRPr="00F90EAE">
        <w:rPr>
          <w:color w:val="000000" w:themeColor="text1"/>
          <w:sz w:val="16"/>
          <w:szCs w:val="16"/>
        </w:rPr>
        <w:softHyphen/>
        <w:t>ми), и второй — один фотоаппарат АФА-З-С/50 на качающейся установке.</w:t>
      </w:r>
    </w:p>
    <w:p w14:paraId="35C40B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благоприятный в целом отзыв Госкомиссии, Ил-2КР с улучшенным бронированием в серийное производ</w:t>
      </w:r>
      <w:r w:rsidRPr="00F90EAE">
        <w:rPr>
          <w:color w:val="000000" w:themeColor="text1"/>
          <w:sz w:val="16"/>
          <w:szCs w:val="16"/>
        </w:rPr>
        <w:softHyphen/>
        <w:t>ство не запускался. Для целей разведки и корректировки ар</w:t>
      </w:r>
      <w:r w:rsidRPr="00F90EAE">
        <w:rPr>
          <w:color w:val="000000" w:themeColor="text1"/>
          <w:sz w:val="16"/>
          <w:szCs w:val="16"/>
        </w:rPr>
        <w:softHyphen/>
        <w:t>тиллерийского огня решили строить специальный самолет со значительно лучшими обзором и летно-тактическими данны</w:t>
      </w:r>
      <w:r w:rsidRPr="00F90EAE">
        <w:rPr>
          <w:color w:val="000000" w:themeColor="text1"/>
          <w:sz w:val="16"/>
          <w:szCs w:val="16"/>
        </w:rPr>
        <w:softHyphen/>
        <w:t>ми. К тому же в связи с окончанием войны острота проблемы спала.</w:t>
      </w:r>
    </w:p>
    <w:p w14:paraId="3CED30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Штурмовики с «длинным» бронекорпусом на фронт не по</w:t>
      </w:r>
      <w:r w:rsidRPr="00F90EAE">
        <w:rPr>
          <w:color w:val="000000" w:themeColor="text1"/>
          <w:sz w:val="16"/>
          <w:szCs w:val="16"/>
        </w:rPr>
        <w:softHyphen/>
        <w:t>пали, но дополнительная броня стрелка была с успехом испы</w:t>
      </w:r>
      <w:r w:rsidRPr="00F90EAE">
        <w:rPr>
          <w:color w:val="000000" w:themeColor="text1"/>
          <w:sz w:val="16"/>
          <w:szCs w:val="16"/>
        </w:rPr>
        <w:softHyphen/>
        <w:t>тана в боях. Так, в 311-й шад 1-й ВА был случай, когда в каби</w:t>
      </w:r>
      <w:r w:rsidRPr="00F90EAE">
        <w:rPr>
          <w:color w:val="000000" w:themeColor="text1"/>
          <w:sz w:val="16"/>
          <w:szCs w:val="16"/>
        </w:rPr>
        <w:softHyphen/>
        <w:t>ну воздушного стрелка попали два 20-мм снаряда, но стрелок остался жив...(11474,390).</w:t>
      </w:r>
    </w:p>
    <w:p w14:paraId="727D0E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2A27EB2" w14:textId="77777777" w:rsidR="00893AF7" w:rsidRPr="00F90EAE" w:rsidRDefault="00893AF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апреле 1945 г. в НИИ ВВС КА был предъявлен Ил-2КР по</w:t>
      </w:r>
      <w:r w:rsidRPr="00F90EAE">
        <w:rPr>
          <w:rFonts w:ascii="Times New Roman" w:cs="Times New Roman"/>
          <w:color w:val="000000" w:themeColor="text1"/>
          <w:spacing w:val="0"/>
        </w:rPr>
        <w:softHyphen/>
        <w:t>стройки завода №30 с удлиненным бронекорпусом, который включал брониро</w:t>
      </w:r>
      <w:r w:rsidRPr="00F90EAE">
        <w:rPr>
          <w:rFonts w:ascii="Times New Roman" w:cs="Times New Roman"/>
          <w:color w:val="000000" w:themeColor="text1"/>
          <w:spacing w:val="0"/>
        </w:rPr>
        <w:softHyphen/>
        <w:t>вание воздушного стрелка. Кроме того, на самолете была введена увеличенная «стрелка» крыла.</w:t>
      </w:r>
    </w:p>
    <w:p w14:paraId="6EE35B09" w14:textId="77777777" w:rsidR="00893AF7" w:rsidRPr="00F90EAE" w:rsidRDefault="00893AF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Однако в серию самолет не пошел - война кончалась и, соответственно, вре</w:t>
      </w:r>
      <w:r w:rsidRPr="00F90EAE">
        <w:rPr>
          <w:rFonts w:ascii="Times New Roman" w:cs="Times New Roman"/>
          <w:color w:val="000000" w:themeColor="text1"/>
          <w:spacing w:val="0"/>
        </w:rPr>
        <w:softHyphen/>
        <w:t>мя «самоделок на коленке» прошло (15762).</w:t>
      </w:r>
    </w:p>
    <w:p w14:paraId="23286973" w14:textId="77777777" w:rsidR="00893AF7" w:rsidRPr="00F90EAE" w:rsidRDefault="00893AF7" w:rsidP="00F90EAE">
      <w:pPr>
        <w:jc w:val="both"/>
        <w:rPr>
          <w:color w:val="000000" w:themeColor="text1"/>
          <w:sz w:val="16"/>
          <w:szCs w:val="16"/>
        </w:rPr>
      </w:pPr>
    </w:p>
    <w:p w14:paraId="606219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апреля 1945 г. (с 8-й се</w:t>
      </w:r>
      <w:r w:rsidRPr="00F90EAE">
        <w:rPr>
          <w:color w:val="000000" w:themeColor="text1"/>
          <w:sz w:val="16"/>
          <w:szCs w:val="16"/>
        </w:rPr>
        <w:softHyphen/>
        <w:t>рии завода № 18) все машины стали выпускаться с усилен</w:t>
      </w:r>
      <w:r w:rsidRPr="00F90EAE">
        <w:rPr>
          <w:color w:val="000000" w:themeColor="text1"/>
          <w:sz w:val="16"/>
          <w:szCs w:val="16"/>
        </w:rPr>
        <w:softHyphen/>
        <w:t>ными рамами хвостовой части фюзеляжа, а с мая (с 9-й серии завода № 18) — с доработан</w:t>
      </w:r>
      <w:r w:rsidRPr="00F90EAE">
        <w:rPr>
          <w:color w:val="000000" w:themeColor="text1"/>
          <w:sz w:val="16"/>
          <w:szCs w:val="16"/>
        </w:rPr>
        <w:softHyphen/>
        <w:t>ным крылом. В строевые части выехали специальные бригады для доработки штурмовиков на местах (11474,510).</w:t>
      </w:r>
    </w:p>
    <w:p w14:paraId="2E8A4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30E0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Начиная с апреля 1945 г. для повышения боевой эффек</w:t>
      </w:r>
      <w:r w:rsidRPr="00F90EAE">
        <w:rPr>
          <w:color w:val="000000" w:themeColor="text1"/>
          <w:sz w:val="16"/>
          <w:szCs w:val="16"/>
        </w:rPr>
        <w:softHyphen/>
        <w:t>тивности Ил-10, его вооружение усилили. Под консолями стали устанавливать четыре ракетных орудия РО-82. за</w:t>
      </w:r>
      <w:r w:rsidRPr="00F90EAE">
        <w:rPr>
          <w:color w:val="000000" w:themeColor="text1"/>
          <w:sz w:val="16"/>
          <w:szCs w:val="16"/>
        </w:rPr>
        <w:softHyphen/>
        <w:t>вод № 1 приступил к монтажу, на</w:t>
      </w:r>
      <w:r w:rsidRPr="00F90EAE">
        <w:rPr>
          <w:color w:val="000000" w:themeColor="text1"/>
          <w:sz w:val="16"/>
          <w:szCs w:val="16"/>
        </w:rPr>
        <w:softHyphen/>
        <w:t>чиная с самолета № 107107, а за</w:t>
      </w:r>
      <w:r w:rsidRPr="00F90EAE">
        <w:rPr>
          <w:color w:val="000000" w:themeColor="text1"/>
          <w:sz w:val="16"/>
          <w:szCs w:val="16"/>
        </w:rPr>
        <w:softHyphen/>
        <w:t>вод № 18 - с самолета № 1891106. На ручке управления саолетом была смонтирована дополнитель</w:t>
      </w:r>
      <w:r w:rsidRPr="00F90EAE">
        <w:rPr>
          <w:color w:val="000000" w:themeColor="text1"/>
          <w:sz w:val="16"/>
          <w:szCs w:val="16"/>
        </w:rPr>
        <w:softHyphen/>
        <w:t>ная боевая кнопка «РО». Все три боевые кнопки («Б», «ОР», «РО»), установленные на ручке управле</w:t>
      </w:r>
      <w:r w:rsidRPr="00F90EAE">
        <w:rPr>
          <w:color w:val="000000" w:themeColor="text1"/>
          <w:sz w:val="16"/>
          <w:szCs w:val="16"/>
        </w:rPr>
        <w:softHyphen/>
        <w:t>ния самолетом, закрывались общим предохранительным колпачком. Стрельба ракетами осуществлялась с помощью второго электробомбос</w:t>
      </w:r>
      <w:r w:rsidRPr="00F90EAE">
        <w:rPr>
          <w:color w:val="000000" w:themeColor="text1"/>
          <w:sz w:val="16"/>
          <w:szCs w:val="16"/>
        </w:rPr>
        <w:softHyphen/>
        <w:t>брасывателя ЭСБР-Зп.</w:t>
      </w:r>
    </w:p>
    <w:p w14:paraId="102538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Торопясь, конструкторы как сле</w:t>
      </w:r>
      <w:r w:rsidRPr="00F90EAE">
        <w:rPr>
          <w:color w:val="000000" w:themeColor="text1"/>
          <w:sz w:val="16"/>
          <w:szCs w:val="16"/>
        </w:rPr>
        <w:softHyphen/>
        <w:t>дует не продумали установку кно</w:t>
      </w:r>
      <w:r w:rsidRPr="00F90EAE">
        <w:rPr>
          <w:color w:val="000000" w:themeColor="text1"/>
          <w:sz w:val="16"/>
          <w:szCs w:val="16"/>
        </w:rPr>
        <w:softHyphen/>
        <w:t>пок. В крайнем переднем положе</w:t>
      </w:r>
      <w:r w:rsidRPr="00F90EAE">
        <w:rPr>
          <w:color w:val="000000" w:themeColor="text1"/>
          <w:sz w:val="16"/>
          <w:szCs w:val="16"/>
        </w:rPr>
        <w:softHyphen/>
        <w:t>нии (на пикировании) зазор между откинутым колпачком на ручке и кронштейном прицела ПБП-16 по</w:t>
      </w:r>
      <w:r w:rsidRPr="00F90EAE">
        <w:rPr>
          <w:color w:val="000000" w:themeColor="text1"/>
          <w:sz w:val="16"/>
          <w:szCs w:val="16"/>
        </w:rPr>
        <w:softHyphen/>
        <w:t>лучился очень маленьким. На ряде машин из-за неточного изготовле</w:t>
      </w:r>
      <w:r w:rsidRPr="00F90EAE">
        <w:rPr>
          <w:color w:val="000000" w:themeColor="text1"/>
          <w:sz w:val="16"/>
          <w:szCs w:val="16"/>
        </w:rPr>
        <w:softHyphen/>
        <w:t>ния колпачок запросто цеплялся за кронштейн и заклинивал ручку в самый неподходящий момент. Уже с августа все Ил-10 стали выпус</w:t>
      </w:r>
      <w:r w:rsidRPr="00F90EAE">
        <w:rPr>
          <w:color w:val="000000" w:themeColor="text1"/>
          <w:sz w:val="16"/>
          <w:szCs w:val="16"/>
        </w:rPr>
        <w:softHyphen/>
        <w:t>каться с укороченной на 30 мм руч</w:t>
      </w:r>
      <w:r w:rsidRPr="00F90EAE">
        <w:rPr>
          <w:color w:val="000000" w:themeColor="text1"/>
          <w:sz w:val="16"/>
          <w:szCs w:val="16"/>
        </w:rPr>
        <w:softHyphen/>
        <w:t>кой, а на всех уже выпущенных са</w:t>
      </w:r>
      <w:r w:rsidRPr="00F90EAE">
        <w:rPr>
          <w:color w:val="000000" w:themeColor="text1"/>
          <w:sz w:val="16"/>
          <w:szCs w:val="16"/>
        </w:rPr>
        <w:softHyphen/>
        <w:t>молетах строевым частям предпи</w:t>
      </w:r>
      <w:r w:rsidRPr="00F90EAE">
        <w:rPr>
          <w:color w:val="000000" w:themeColor="text1"/>
          <w:sz w:val="16"/>
          <w:szCs w:val="16"/>
        </w:rPr>
        <w:softHyphen/>
        <w:t>сывалось срочно устранить дефект путем перестановки зажимной ру</w:t>
      </w:r>
      <w:r w:rsidRPr="00F90EAE">
        <w:rPr>
          <w:color w:val="000000" w:themeColor="text1"/>
          <w:sz w:val="16"/>
          <w:szCs w:val="16"/>
        </w:rPr>
        <w:softHyphen/>
        <w:t>коятки прицела на шлицах так, что</w:t>
      </w:r>
      <w:r w:rsidRPr="00F90EAE">
        <w:rPr>
          <w:color w:val="000000" w:themeColor="text1"/>
          <w:sz w:val="16"/>
          <w:szCs w:val="16"/>
        </w:rPr>
        <w:softHyphen/>
        <w:t>бы в затянутом положении она на</w:t>
      </w:r>
      <w:r w:rsidRPr="00F90EAE">
        <w:rPr>
          <w:color w:val="000000" w:themeColor="text1"/>
          <w:sz w:val="16"/>
          <w:szCs w:val="16"/>
        </w:rPr>
        <w:softHyphen/>
        <w:t>ходилась в горизонтальном поло</w:t>
      </w:r>
      <w:r w:rsidRPr="00F90EAE">
        <w:rPr>
          <w:color w:val="000000" w:themeColor="text1"/>
          <w:sz w:val="16"/>
          <w:szCs w:val="16"/>
        </w:rPr>
        <w:softHyphen/>
        <w:t>жении, а при отжатии уходила к пе</w:t>
      </w:r>
      <w:r w:rsidRPr="00F90EAE">
        <w:rPr>
          <w:color w:val="000000" w:themeColor="text1"/>
          <w:sz w:val="16"/>
          <w:szCs w:val="16"/>
        </w:rPr>
        <w:softHyphen/>
        <w:t>реднему стеклу.</w:t>
      </w:r>
    </w:p>
    <w:p w14:paraId="7EECEE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Затем оказалось, что при стрель</w:t>
      </w:r>
      <w:r w:rsidRPr="00F90EAE">
        <w:rPr>
          <w:color w:val="000000" w:themeColor="text1"/>
          <w:sz w:val="16"/>
          <w:szCs w:val="16"/>
        </w:rPr>
        <w:softHyphen/>
        <w:t>бе ракетами одновременно откры</w:t>
      </w:r>
      <w:r w:rsidRPr="00F90EAE">
        <w:rPr>
          <w:color w:val="000000" w:themeColor="text1"/>
          <w:sz w:val="16"/>
          <w:szCs w:val="16"/>
        </w:rPr>
        <w:softHyphen/>
        <w:t>вались створки бомболюков. При</w:t>
      </w:r>
      <w:r w:rsidRPr="00F90EAE">
        <w:rPr>
          <w:color w:val="000000" w:themeColor="text1"/>
          <w:sz w:val="16"/>
          <w:szCs w:val="16"/>
        </w:rPr>
        <w:softHyphen/>
        <w:t>чиной являлась неправильная схе</w:t>
      </w:r>
      <w:r w:rsidRPr="00F90EAE">
        <w:rPr>
          <w:color w:val="000000" w:themeColor="text1"/>
          <w:sz w:val="16"/>
          <w:szCs w:val="16"/>
        </w:rPr>
        <w:softHyphen/>
        <w:t>ма подключения второго ЭСБР-Зп в электросеть самолета. Начиная с самолетов № 1890108 (завод № 18) и № 107101 (завод № 1) схему из</w:t>
      </w:r>
      <w:r w:rsidRPr="00F90EAE">
        <w:rPr>
          <w:color w:val="000000" w:themeColor="text1"/>
          <w:sz w:val="16"/>
          <w:szCs w:val="16"/>
        </w:rPr>
        <w:softHyphen/>
        <w:t>менили, минуя АСШ-141.</w:t>
      </w:r>
    </w:p>
    <w:p w14:paraId="62924E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общем, проблем с матчастью хватало в избытке. Однако по абсо</w:t>
      </w:r>
      <w:r w:rsidRPr="00F90EAE">
        <w:rPr>
          <w:color w:val="000000" w:themeColor="text1"/>
          <w:sz w:val="16"/>
          <w:szCs w:val="16"/>
        </w:rPr>
        <w:softHyphen/>
        <w:t>лютным показателям официальной статистики «десятка» выглядела не так уж и плохо. Начальник штаба 1-й заб п-к Журавлев докладывал командующему ВВС ПриВО, что за первый квартал 1945 гю. в бригаде произошло 46 летных происше</w:t>
      </w:r>
      <w:r w:rsidRPr="00F90EAE">
        <w:rPr>
          <w:color w:val="000000" w:themeColor="text1"/>
          <w:sz w:val="16"/>
          <w:szCs w:val="16"/>
        </w:rPr>
        <w:softHyphen/>
        <w:t>ствий, из них: на Ил-10 - 19, на Ил-2 - 20, на УИл-2 - 4, на УТ-2 - 1, на По-2 - 1. Кроме этого, управление бригады имело два летных проис</w:t>
      </w:r>
      <w:r w:rsidRPr="00F90EAE">
        <w:rPr>
          <w:color w:val="000000" w:themeColor="text1"/>
          <w:sz w:val="16"/>
          <w:szCs w:val="16"/>
        </w:rPr>
        <w:softHyphen/>
        <w:t>шествия: одно - на Ил-10 и одно -на УТ-2. Если же взять за основу для анализа удельные параметры, то Ил-10 серьезно уступал Ил-2. Средний налет «десятки» на одно летное происшествие в 1-м квар</w:t>
      </w:r>
      <w:r w:rsidRPr="00F90EAE">
        <w:rPr>
          <w:color w:val="000000" w:themeColor="text1"/>
          <w:sz w:val="16"/>
          <w:szCs w:val="16"/>
        </w:rPr>
        <w:softHyphen/>
        <w:t>тале составил 85 ч 28 мин (или 280 посадок), тогда как у «двойки» -389 ч 10 мин (или 510 посадок). При этом по недоученности летного со</w:t>
      </w:r>
      <w:r w:rsidRPr="00F90EAE">
        <w:rPr>
          <w:color w:val="000000" w:themeColor="text1"/>
          <w:sz w:val="16"/>
          <w:szCs w:val="16"/>
        </w:rPr>
        <w:softHyphen/>
        <w:t>става произошло 17,3% летных происшествий, по недисциплини</w:t>
      </w:r>
      <w:r w:rsidRPr="00F90EAE">
        <w:rPr>
          <w:color w:val="000000" w:themeColor="text1"/>
          <w:sz w:val="16"/>
          <w:szCs w:val="16"/>
        </w:rPr>
        <w:softHyphen/>
        <w:t>рованности (главным образом, на</w:t>
      </w:r>
      <w:r w:rsidRPr="00F90EAE">
        <w:rPr>
          <w:color w:val="000000" w:themeColor="text1"/>
          <w:sz w:val="16"/>
          <w:szCs w:val="16"/>
        </w:rPr>
        <w:softHyphen/>
        <w:t>рушение наставления по производ</w:t>
      </w:r>
      <w:r w:rsidRPr="00F90EAE">
        <w:rPr>
          <w:color w:val="000000" w:themeColor="text1"/>
          <w:sz w:val="16"/>
          <w:szCs w:val="16"/>
        </w:rPr>
        <w:softHyphen/>
        <w:t>ству полетов) - 46% и по вине ма</w:t>
      </w:r>
      <w:r w:rsidRPr="00F90EAE">
        <w:rPr>
          <w:color w:val="000000" w:themeColor="text1"/>
          <w:sz w:val="16"/>
          <w:szCs w:val="16"/>
        </w:rPr>
        <w:softHyphen/>
        <w:t>териальной части (конструктивно-производственные дефекты) 36,7%. Для сравнения, в июле-ав</w:t>
      </w:r>
      <w:r w:rsidRPr="00F90EAE">
        <w:rPr>
          <w:color w:val="000000" w:themeColor="text1"/>
          <w:sz w:val="16"/>
          <w:szCs w:val="16"/>
        </w:rPr>
        <w:softHyphen/>
        <w:t>густе 1941 г. при переучивании в 1-й заб маршевых авиаполков на самолете Ил-2 налет на одно лет</w:t>
      </w:r>
      <w:r w:rsidRPr="00F90EAE">
        <w:rPr>
          <w:color w:val="000000" w:themeColor="text1"/>
          <w:sz w:val="16"/>
          <w:szCs w:val="16"/>
        </w:rPr>
        <w:softHyphen/>
        <w:t>ное происшествие составил 157 ч 03 мин при среднем налете на од</w:t>
      </w:r>
      <w:r w:rsidRPr="00F90EAE">
        <w:rPr>
          <w:color w:val="000000" w:themeColor="text1"/>
          <w:sz w:val="16"/>
          <w:szCs w:val="16"/>
        </w:rPr>
        <w:softHyphen/>
        <w:t>ного летчика перед убытием на фронт 4 ч 20 мин. (11132).</w:t>
      </w:r>
    </w:p>
    <w:p w14:paraId="21C9D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68FB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апреля 1945 г. для повышения боевой эффективнос</w:t>
      </w:r>
      <w:r w:rsidRPr="00F90EAE">
        <w:rPr>
          <w:color w:val="000000" w:themeColor="text1"/>
          <w:sz w:val="16"/>
          <w:szCs w:val="16"/>
        </w:rPr>
        <w:softHyphen/>
        <w:t>ти Ил-10 вооружение усилили. Под консолями стали устанавливать четыре ракетных орудия РО-82. Завод № 1 приступил к их монтажу начиная с самолета № 107107, а завод № 18 - с № 1891106. На ручке управления самолетом была смонтиро</w:t>
      </w:r>
      <w:r w:rsidRPr="00F90EAE">
        <w:rPr>
          <w:color w:val="000000" w:themeColor="text1"/>
          <w:sz w:val="16"/>
          <w:szCs w:val="16"/>
        </w:rPr>
        <w:softHyphen/>
        <w:t>вана дополнительная боевая кнопка «РО». Все три боевые кнопки («Б», «ОР», «РО»), установленные на ручке управления самолетом, закрывались общим предохранительным колпачком. Стрельба ракетами осуществлялась с помощью второго электробомбосбра</w:t>
      </w:r>
      <w:r w:rsidRPr="00F90EAE">
        <w:rPr>
          <w:color w:val="000000" w:themeColor="text1"/>
          <w:sz w:val="16"/>
          <w:szCs w:val="16"/>
        </w:rPr>
        <w:softHyphen/>
        <w:t>сывателя ЭСБР-Зп. Торопясь, конструкторы как следует не продумали установку кнопок. В край</w:t>
      </w:r>
      <w:r w:rsidRPr="00F90EAE">
        <w:rPr>
          <w:color w:val="000000" w:themeColor="text1"/>
          <w:sz w:val="16"/>
          <w:szCs w:val="16"/>
        </w:rPr>
        <w:softHyphen/>
        <w:t>нем переднем положении зазор между откинутым колпачком на ручке и крон</w:t>
      </w:r>
      <w:r w:rsidRPr="00F90EAE">
        <w:rPr>
          <w:color w:val="000000" w:themeColor="text1"/>
          <w:sz w:val="16"/>
          <w:szCs w:val="16"/>
        </w:rPr>
        <w:softHyphen/>
        <w:t>штейном прицела ПБП-1б получился очень маленьким. На ряде машин из-за неточного изготовления колпачок мог запросто зацепиться за кронштейн и за</w:t>
      </w:r>
      <w:r w:rsidRPr="00F90EAE">
        <w:rPr>
          <w:color w:val="000000" w:themeColor="text1"/>
          <w:sz w:val="16"/>
          <w:szCs w:val="16"/>
        </w:rPr>
        <w:softHyphen/>
        <w:t>клинить ручку в самый неподходящий момент. Уже с августа все Ил-10 стали выпускаться с укороченной на 30 мм ручкой, а на уже выпущенных самоле</w:t>
      </w:r>
      <w:r w:rsidRPr="00F90EAE">
        <w:rPr>
          <w:color w:val="000000" w:themeColor="text1"/>
          <w:sz w:val="16"/>
          <w:szCs w:val="16"/>
        </w:rPr>
        <w:softHyphen/>
        <w:t>тах строевым частям предписывалось срочно устранить дефект путем пере</w:t>
      </w:r>
      <w:r w:rsidRPr="00F90EAE">
        <w:rPr>
          <w:color w:val="000000" w:themeColor="text1"/>
          <w:sz w:val="16"/>
          <w:szCs w:val="16"/>
        </w:rPr>
        <w:softHyphen/>
        <w:t>становки зажимной рукоятки прицела на шлицах так, чтобы в затянутом состоя</w:t>
      </w:r>
      <w:r w:rsidRPr="00F90EAE">
        <w:rPr>
          <w:color w:val="000000" w:themeColor="text1"/>
          <w:sz w:val="16"/>
          <w:szCs w:val="16"/>
        </w:rPr>
        <w:softHyphen/>
        <w:t>нии она находилась в горизонтальном положении, а при отжатии уходила вверх к переднему стеклу. Затем оказалось, что при стрельбе ракетами одновременно открывались створки бомболюков. Причиной явля</w:t>
      </w:r>
      <w:r w:rsidRPr="00F90EAE">
        <w:rPr>
          <w:color w:val="000000" w:themeColor="text1"/>
          <w:sz w:val="16"/>
          <w:szCs w:val="16"/>
        </w:rPr>
        <w:softHyphen/>
        <w:t>лась неправильная схема подключения второго ЭСБР-Зп в электросеть самоле</w:t>
      </w:r>
      <w:r w:rsidRPr="00F90EAE">
        <w:rPr>
          <w:color w:val="000000" w:themeColor="text1"/>
          <w:sz w:val="16"/>
          <w:szCs w:val="16"/>
        </w:rPr>
        <w:softHyphen/>
        <w:t>та. Начиная с машин № 1890108 (завода № 18) и № 107101 (завода № 1) схе</w:t>
      </w:r>
      <w:r w:rsidRPr="00F90EAE">
        <w:rPr>
          <w:color w:val="000000" w:themeColor="text1"/>
          <w:sz w:val="16"/>
          <w:szCs w:val="16"/>
        </w:rPr>
        <w:softHyphen/>
        <w:t>му изменили, минуя АСШ-141 (10680).</w:t>
      </w:r>
    </w:p>
    <w:p w14:paraId="4E8A65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E6D2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самолетов с 1940 по апрель 1945: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5396"/>
      </w:tblGrid>
      <w:tr w:rsidR="00561F31" w:rsidRPr="00F90EAE" w14:paraId="6FC029DF" w14:textId="77777777">
        <w:tc>
          <w:tcPr>
            <w:tcW w:w="867" w:type="dxa"/>
          </w:tcPr>
          <w:p w14:paraId="2C2F6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w:t>
            </w:r>
          </w:p>
        </w:tc>
        <w:tc>
          <w:tcPr>
            <w:tcW w:w="867" w:type="dxa"/>
          </w:tcPr>
          <w:p w14:paraId="31AA2DAC"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68A6EBAF"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66AC8E5C"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04DE4DF2"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5F60ED51" w14:textId="77777777" w:rsidR="00665165" w:rsidRPr="00F90EAE" w:rsidRDefault="00665165" w:rsidP="00F90EAE">
            <w:pPr>
              <w:autoSpaceDE w:val="0"/>
              <w:autoSpaceDN w:val="0"/>
              <w:adjustRightInd w:val="0"/>
              <w:jc w:val="both"/>
              <w:rPr>
                <w:color w:val="000000" w:themeColor="text1"/>
                <w:sz w:val="16"/>
                <w:szCs w:val="16"/>
              </w:rPr>
            </w:pPr>
          </w:p>
        </w:tc>
        <w:tc>
          <w:tcPr>
            <w:tcW w:w="5396" w:type="dxa"/>
          </w:tcPr>
          <w:p w14:paraId="247D234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AD04EC1" w14:textId="77777777">
        <w:tc>
          <w:tcPr>
            <w:tcW w:w="867" w:type="dxa"/>
          </w:tcPr>
          <w:p w14:paraId="3A13353E"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0DEE4E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867" w:type="dxa"/>
          </w:tcPr>
          <w:p w14:paraId="0A3E1A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867" w:type="dxa"/>
          </w:tcPr>
          <w:p w14:paraId="0B8365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867" w:type="dxa"/>
          </w:tcPr>
          <w:p w14:paraId="4ADC5F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867" w:type="dxa"/>
          </w:tcPr>
          <w:p w14:paraId="035A5C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5396" w:type="dxa"/>
          </w:tcPr>
          <w:p w14:paraId="3CAD98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1945</w:t>
            </w:r>
          </w:p>
        </w:tc>
      </w:tr>
      <w:tr w:rsidR="00561F31" w:rsidRPr="00F90EAE" w14:paraId="64BB1CB3" w14:textId="77777777">
        <w:tc>
          <w:tcPr>
            <w:tcW w:w="867" w:type="dxa"/>
          </w:tcPr>
          <w:p w14:paraId="546A24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мы</w:t>
            </w:r>
          </w:p>
        </w:tc>
        <w:tc>
          <w:tcPr>
            <w:tcW w:w="867" w:type="dxa"/>
          </w:tcPr>
          <w:p w14:paraId="070F8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867" w:type="dxa"/>
          </w:tcPr>
          <w:p w14:paraId="790208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15000</w:t>
            </w:r>
          </w:p>
        </w:tc>
        <w:tc>
          <w:tcPr>
            <w:tcW w:w="867" w:type="dxa"/>
          </w:tcPr>
          <w:p w14:paraId="5E130F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25000</w:t>
            </w:r>
          </w:p>
        </w:tc>
        <w:tc>
          <w:tcPr>
            <w:tcW w:w="867" w:type="dxa"/>
          </w:tcPr>
          <w:p w14:paraId="1C36BB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35000</w:t>
            </w:r>
          </w:p>
        </w:tc>
        <w:tc>
          <w:tcPr>
            <w:tcW w:w="867" w:type="dxa"/>
          </w:tcPr>
          <w:p w14:paraId="7AB67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40241</w:t>
            </w:r>
          </w:p>
        </w:tc>
        <w:tc>
          <w:tcPr>
            <w:tcW w:w="5396" w:type="dxa"/>
          </w:tcPr>
          <w:p w14:paraId="456C3F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20900 (88,159)</w:t>
            </w:r>
          </w:p>
        </w:tc>
      </w:tr>
      <w:tr w:rsidR="00561F31" w:rsidRPr="00F90EAE" w14:paraId="65104463" w14:textId="77777777">
        <w:tc>
          <w:tcPr>
            <w:tcW w:w="867" w:type="dxa"/>
          </w:tcPr>
          <w:p w14:paraId="7948F676"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7F23FB3C"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226A1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9777</w:t>
            </w:r>
          </w:p>
        </w:tc>
        <w:tc>
          <w:tcPr>
            <w:tcW w:w="867" w:type="dxa"/>
          </w:tcPr>
          <w:p w14:paraId="5BC38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25436</w:t>
            </w:r>
          </w:p>
        </w:tc>
        <w:tc>
          <w:tcPr>
            <w:tcW w:w="867" w:type="dxa"/>
          </w:tcPr>
          <w:p w14:paraId="77444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34884</w:t>
            </w:r>
          </w:p>
        </w:tc>
        <w:tc>
          <w:tcPr>
            <w:tcW w:w="867" w:type="dxa"/>
          </w:tcPr>
          <w:p w14:paraId="114FB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40241</w:t>
            </w:r>
          </w:p>
        </w:tc>
        <w:tc>
          <w:tcPr>
            <w:tcW w:w="5396" w:type="dxa"/>
          </w:tcPr>
          <w:p w14:paraId="3A6C3A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15317</w:t>
            </w:r>
          </w:p>
        </w:tc>
      </w:tr>
      <w:tr w:rsidR="00561F31" w:rsidRPr="00F90EAE" w14:paraId="04267F4E" w14:textId="77777777">
        <w:tc>
          <w:tcPr>
            <w:tcW w:w="867" w:type="dxa"/>
          </w:tcPr>
          <w:p w14:paraId="3C1C7723"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2B134625"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1D76B7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пол.)</w:t>
            </w:r>
          </w:p>
        </w:tc>
        <w:tc>
          <w:tcPr>
            <w:tcW w:w="867" w:type="dxa"/>
          </w:tcPr>
          <w:p w14:paraId="6E66F2EF"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7E82B913"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780310A6" w14:textId="77777777" w:rsidR="00665165" w:rsidRPr="00F90EAE" w:rsidRDefault="00665165" w:rsidP="00F90EAE">
            <w:pPr>
              <w:autoSpaceDE w:val="0"/>
              <w:autoSpaceDN w:val="0"/>
              <w:adjustRightInd w:val="0"/>
              <w:jc w:val="both"/>
              <w:rPr>
                <w:color w:val="000000" w:themeColor="text1"/>
                <w:sz w:val="16"/>
                <w:szCs w:val="16"/>
              </w:rPr>
            </w:pPr>
          </w:p>
        </w:tc>
        <w:tc>
          <w:tcPr>
            <w:tcW w:w="5396" w:type="dxa"/>
          </w:tcPr>
          <w:p w14:paraId="28A2AF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(62,19)</w:t>
            </w:r>
          </w:p>
        </w:tc>
      </w:tr>
      <w:tr w:rsidR="00561F31" w:rsidRPr="00F90EAE" w14:paraId="12F6286B" w14:textId="77777777">
        <w:tc>
          <w:tcPr>
            <w:tcW w:w="867" w:type="dxa"/>
          </w:tcPr>
          <w:p w14:paraId="53EE8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немцы</w:t>
            </w:r>
          </w:p>
        </w:tc>
        <w:tc>
          <w:tcPr>
            <w:tcW w:w="867" w:type="dxa"/>
          </w:tcPr>
          <w:p w14:paraId="014F0462"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4F67E264"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5F64F869"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3F9AB088"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2C7329D3" w14:textId="77777777" w:rsidR="00665165" w:rsidRPr="00F90EAE" w:rsidRDefault="00665165" w:rsidP="00F90EAE">
            <w:pPr>
              <w:autoSpaceDE w:val="0"/>
              <w:autoSpaceDN w:val="0"/>
              <w:adjustRightInd w:val="0"/>
              <w:jc w:val="both"/>
              <w:rPr>
                <w:color w:val="000000" w:themeColor="text1"/>
                <w:sz w:val="16"/>
                <w:szCs w:val="16"/>
              </w:rPr>
            </w:pPr>
          </w:p>
        </w:tc>
        <w:tc>
          <w:tcPr>
            <w:tcW w:w="5396" w:type="dxa"/>
          </w:tcPr>
          <w:p w14:paraId="591844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37900</w:t>
            </w:r>
          </w:p>
        </w:tc>
      </w:tr>
      <w:tr w:rsidR="00561F31" w:rsidRPr="00F90EAE" w14:paraId="3785398F" w14:textId="77777777">
        <w:tc>
          <w:tcPr>
            <w:tcW w:w="867" w:type="dxa"/>
          </w:tcPr>
          <w:p w14:paraId="087957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потери</w:t>
            </w:r>
          </w:p>
        </w:tc>
        <w:tc>
          <w:tcPr>
            <w:tcW w:w="867" w:type="dxa"/>
          </w:tcPr>
          <w:p w14:paraId="3230FA1F"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1BF84B1C"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1F662E77"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2E115509" w14:textId="77777777" w:rsidR="00665165" w:rsidRPr="00F90EAE" w:rsidRDefault="00665165" w:rsidP="00F90EAE">
            <w:pPr>
              <w:autoSpaceDE w:val="0"/>
              <w:autoSpaceDN w:val="0"/>
              <w:adjustRightInd w:val="0"/>
              <w:jc w:val="both"/>
              <w:rPr>
                <w:color w:val="000000" w:themeColor="text1"/>
                <w:sz w:val="16"/>
                <w:szCs w:val="16"/>
              </w:rPr>
            </w:pPr>
          </w:p>
        </w:tc>
        <w:tc>
          <w:tcPr>
            <w:tcW w:w="867" w:type="dxa"/>
          </w:tcPr>
          <w:p w14:paraId="69F810E2" w14:textId="77777777" w:rsidR="00665165" w:rsidRPr="00F90EAE" w:rsidRDefault="00665165" w:rsidP="00F90EAE">
            <w:pPr>
              <w:autoSpaceDE w:val="0"/>
              <w:autoSpaceDN w:val="0"/>
              <w:adjustRightInd w:val="0"/>
              <w:jc w:val="both"/>
              <w:rPr>
                <w:color w:val="000000" w:themeColor="text1"/>
                <w:sz w:val="16"/>
                <w:szCs w:val="16"/>
              </w:rPr>
            </w:pPr>
          </w:p>
        </w:tc>
        <w:tc>
          <w:tcPr>
            <w:tcW w:w="5396" w:type="dxa"/>
          </w:tcPr>
          <w:p w14:paraId="6CACAD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22000 (88,162)</w:t>
            </w:r>
          </w:p>
        </w:tc>
      </w:tr>
    </w:tbl>
    <w:p w14:paraId="0CFE0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Динамика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796"/>
        <w:gridCol w:w="796"/>
        <w:gridCol w:w="796"/>
        <w:gridCol w:w="796"/>
        <w:gridCol w:w="796"/>
        <w:gridCol w:w="4952"/>
      </w:tblGrid>
      <w:tr w:rsidR="00561F31" w:rsidRPr="00F90EAE" w14:paraId="738C7259" w14:textId="77777777">
        <w:tc>
          <w:tcPr>
            <w:tcW w:w="1668" w:type="dxa"/>
          </w:tcPr>
          <w:p w14:paraId="087590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796" w:type="dxa"/>
          </w:tcPr>
          <w:p w14:paraId="2132B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796" w:type="dxa"/>
          </w:tcPr>
          <w:p w14:paraId="320C18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796" w:type="dxa"/>
          </w:tcPr>
          <w:p w14:paraId="151E1A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796" w:type="dxa"/>
          </w:tcPr>
          <w:p w14:paraId="3EF4F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796" w:type="dxa"/>
          </w:tcPr>
          <w:p w14:paraId="56A2EE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4952" w:type="dxa"/>
          </w:tcPr>
          <w:p w14:paraId="439984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2736FAEF" w14:textId="77777777">
        <w:tc>
          <w:tcPr>
            <w:tcW w:w="1668" w:type="dxa"/>
          </w:tcPr>
          <w:p w14:paraId="6E0BB7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796" w:type="dxa"/>
          </w:tcPr>
          <w:p w14:paraId="5295C8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7081</w:t>
            </w:r>
          </w:p>
        </w:tc>
        <w:tc>
          <w:tcPr>
            <w:tcW w:w="796" w:type="dxa"/>
          </w:tcPr>
          <w:p w14:paraId="57423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9918</w:t>
            </w:r>
          </w:p>
        </w:tc>
        <w:tc>
          <w:tcPr>
            <w:tcW w:w="796" w:type="dxa"/>
          </w:tcPr>
          <w:p w14:paraId="226D1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14627</w:t>
            </w:r>
          </w:p>
        </w:tc>
        <w:tc>
          <w:tcPr>
            <w:tcW w:w="796" w:type="dxa"/>
          </w:tcPr>
          <w:p w14:paraId="4D603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17895</w:t>
            </w:r>
          </w:p>
        </w:tc>
        <w:tc>
          <w:tcPr>
            <w:tcW w:w="796" w:type="dxa"/>
          </w:tcPr>
          <w:p w14:paraId="7F913A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11136</w:t>
            </w:r>
          </w:p>
        </w:tc>
        <w:tc>
          <w:tcPr>
            <w:tcW w:w="4952" w:type="dxa"/>
          </w:tcPr>
          <w:p w14:paraId="0186B0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60657</w:t>
            </w:r>
          </w:p>
        </w:tc>
      </w:tr>
      <w:tr w:rsidR="00561F31" w:rsidRPr="00F90EAE" w14:paraId="5BDAE163" w14:textId="77777777">
        <w:tc>
          <w:tcPr>
            <w:tcW w:w="1668" w:type="dxa"/>
          </w:tcPr>
          <w:p w14:paraId="034566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w:t>
            </w:r>
          </w:p>
        </w:tc>
        <w:tc>
          <w:tcPr>
            <w:tcW w:w="796" w:type="dxa"/>
          </w:tcPr>
          <w:p w14:paraId="186B29DC"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6231AB69"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2689C31C"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0E0ED0CF"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696D3B30" w14:textId="77777777" w:rsidR="00665165" w:rsidRPr="00F90EAE" w:rsidRDefault="00665165" w:rsidP="00F90EAE">
            <w:pPr>
              <w:autoSpaceDE w:val="0"/>
              <w:autoSpaceDN w:val="0"/>
              <w:adjustRightInd w:val="0"/>
              <w:jc w:val="both"/>
              <w:rPr>
                <w:color w:val="000000" w:themeColor="text1"/>
                <w:sz w:val="16"/>
                <w:szCs w:val="16"/>
              </w:rPr>
            </w:pPr>
          </w:p>
        </w:tc>
        <w:tc>
          <w:tcPr>
            <w:tcW w:w="4952" w:type="dxa"/>
          </w:tcPr>
          <w:p w14:paraId="1E847DC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075FE98" w14:textId="77777777">
        <w:tc>
          <w:tcPr>
            <w:tcW w:w="1668" w:type="dxa"/>
          </w:tcPr>
          <w:p w14:paraId="77056A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ровщики</w:t>
            </w:r>
          </w:p>
        </w:tc>
        <w:tc>
          <w:tcPr>
            <w:tcW w:w="796" w:type="dxa"/>
          </w:tcPr>
          <w:p w14:paraId="25D2D0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3754</w:t>
            </w:r>
          </w:p>
        </w:tc>
        <w:tc>
          <w:tcPr>
            <w:tcW w:w="796" w:type="dxa"/>
          </w:tcPr>
          <w:p w14:paraId="23963E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3534</w:t>
            </w:r>
          </w:p>
        </w:tc>
        <w:tc>
          <w:tcPr>
            <w:tcW w:w="796" w:type="dxa"/>
          </w:tcPr>
          <w:p w14:paraId="55D875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4057</w:t>
            </w:r>
          </w:p>
        </w:tc>
        <w:tc>
          <w:tcPr>
            <w:tcW w:w="796" w:type="dxa"/>
          </w:tcPr>
          <w:p w14:paraId="6C155A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4200</w:t>
            </w:r>
          </w:p>
        </w:tc>
        <w:tc>
          <w:tcPr>
            <w:tcW w:w="796" w:type="dxa"/>
          </w:tcPr>
          <w:p w14:paraId="0A372D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3120</w:t>
            </w:r>
          </w:p>
        </w:tc>
        <w:tc>
          <w:tcPr>
            <w:tcW w:w="4952" w:type="dxa"/>
          </w:tcPr>
          <w:p w14:paraId="01E59A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18665</w:t>
            </w:r>
          </w:p>
        </w:tc>
      </w:tr>
      <w:tr w:rsidR="00561F31" w:rsidRPr="00F90EAE" w14:paraId="5D776484" w14:textId="77777777">
        <w:tc>
          <w:tcPr>
            <w:tcW w:w="1668" w:type="dxa"/>
          </w:tcPr>
          <w:p w14:paraId="29B4EE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796" w:type="dxa"/>
          </w:tcPr>
          <w:p w14:paraId="1D2AC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1542</w:t>
            </w:r>
          </w:p>
        </w:tc>
        <w:tc>
          <w:tcPr>
            <w:tcW w:w="796" w:type="dxa"/>
          </w:tcPr>
          <w:p w14:paraId="0D0C0C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8229</w:t>
            </w:r>
          </w:p>
        </w:tc>
        <w:tc>
          <w:tcPr>
            <w:tcW w:w="796" w:type="dxa"/>
          </w:tcPr>
          <w:p w14:paraId="223E2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11193</w:t>
            </w:r>
          </w:p>
        </w:tc>
        <w:tc>
          <w:tcPr>
            <w:tcW w:w="796" w:type="dxa"/>
          </w:tcPr>
          <w:p w14:paraId="45729B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11110</w:t>
            </w:r>
          </w:p>
        </w:tc>
        <w:tc>
          <w:tcPr>
            <w:tcW w:w="796" w:type="dxa"/>
          </w:tcPr>
          <w:p w14:paraId="58BEC5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6644</w:t>
            </w:r>
          </w:p>
        </w:tc>
        <w:tc>
          <w:tcPr>
            <w:tcW w:w="4952" w:type="dxa"/>
          </w:tcPr>
          <w:p w14:paraId="299894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38718</w:t>
            </w:r>
          </w:p>
        </w:tc>
      </w:tr>
      <w:tr w:rsidR="00561F31" w:rsidRPr="00F90EAE" w14:paraId="4FCDF058" w14:textId="77777777">
        <w:tc>
          <w:tcPr>
            <w:tcW w:w="1668" w:type="dxa"/>
          </w:tcPr>
          <w:p w14:paraId="485814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Транспортные</w:t>
            </w:r>
          </w:p>
        </w:tc>
        <w:tc>
          <w:tcPr>
            <w:tcW w:w="796" w:type="dxa"/>
          </w:tcPr>
          <w:p w14:paraId="7614E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257</w:t>
            </w:r>
          </w:p>
        </w:tc>
        <w:tc>
          <w:tcPr>
            <w:tcW w:w="796" w:type="dxa"/>
          </w:tcPr>
          <w:p w14:paraId="1B4F9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469</w:t>
            </w:r>
          </w:p>
        </w:tc>
        <w:tc>
          <w:tcPr>
            <w:tcW w:w="796" w:type="dxa"/>
          </w:tcPr>
          <w:p w14:paraId="5728C3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1241</w:t>
            </w:r>
          </w:p>
        </w:tc>
        <w:tc>
          <w:tcPr>
            <w:tcW w:w="796" w:type="dxa"/>
          </w:tcPr>
          <w:p w14:paraId="51E67C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1543</w:t>
            </w:r>
          </w:p>
        </w:tc>
        <w:tc>
          <w:tcPr>
            <w:tcW w:w="796" w:type="dxa"/>
          </w:tcPr>
          <w:p w14:paraId="12334E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1231</w:t>
            </w:r>
          </w:p>
        </w:tc>
        <w:tc>
          <w:tcPr>
            <w:tcW w:w="4952" w:type="dxa"/>
          </w:tcPr>
          <w:p w14:paraId="555598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4741</w:t>
            </w:r>
          </w:p>
        </w:tc>
      </w:tr>
      <w:tr w:rsidR="00561F31" w:rsidRPr="00F90EAE" w14:paraId="4406BA8C" w14:textId="77777777">
        <w:tc>
          <w:tcPr>
            <w:tcW w:w="1668" w:type="dxa"/>
          </w:tcPr>
          <w:p w14:paraId="2A8A4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w:t>
            </w:r>
          </w:p>
        </w:tc>
        <w:tc>
          <w:tcPr>
            <w:tcW w:w="796" w:type="dxa"/>
          </w:tcPr>
          <w:p w14:paraId="164E0F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3101</w:t>
            </w:r>
          </w:p>
        </w:tc>
        <w:tc>
          <w:tcPr>
            <w:tcW w:w="796" w:type="dxa"/>
          </w:tcPr>
          <w:p w14:paraId="4BB759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3286</w:t>
            </w:r>
          </w:p>
        </w:tc>
        <w:tc>
          <w:tcPr>
            <w:tcW w:w="796" w:type="dxa"/>
          </w:tcPr>
          <w:p w14:paraId="53EFB1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3766</w:t>
            </w:r>
          </w:p>
        </w:tc>
        <w:tc>
          <w:tcPr>
            <w:tcW w:w="796" w:type="dxa"/>
          </w:tcPr>
          <w:p w14:paraId="2D6807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5493</w:t>
            </w:r>
          </w:p>
        </w:tc>
        <w:tc>
          <w:tcPr>
            <w:tcW w:w="796" w:type="dxa"/>
          </w:tcPr>
          <w:p w14:paraId="0AF4BA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4347</w:t>
            </w:r>
          </w:p>
        </w:tc>
        <w:tc>
          <w:tcPr>
            <w:tcW w:w="4952" w:type="dxa"/>
          </w:tcPr>
          <w:p w14:paraId="69963F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19993</w:t>
            </w:r>
          </w:p>
        </w:tc>
      </w:tr>
      <w:tr w:rsidR="00561F31" w:rsidRPr="00F90EAE" w14:paraId="015D67B5" w14:textId="77777777">
        <w:tc>
          <w:tcPr>
            <w:tcW w:w="1668" w:type="dxa"/>
          </w:tcPr>
          <w:p w14:paraId="512F5D55"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211C62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15735</w:t>
            </w:r>
          </w:p>
        </w:tc>
        <w:tc>
          <w:tcPr>
            <w:tcW w:w="796" w:type="dxa"/>
          </w:tcPr>
          <w:p w14:paraId="5909A2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25436</w:t>
            </w:r>
          </w:p>
        </w:tc>
        <w:tc>
          <w:tcPr>
            <w:tcW w:w="796" w:type="dxa"/>
          </w:tcPr>
          <w:p w14:paraId="619BE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34886</w:t>
            </w:r>
          </w:p>
        </w:tc>
        <w:tc>
          <w:tcPr>
            <w:tcW w:w="796" w:type="dxa"/>
          </w:tcPr>
          <w:p w14:paraId="35B002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40241</w:t>
            </w:r>
          </w:p>
        </w:tc>
        <w:tc>
          <w:tcPr>
            <w:tcW w:w="796" w:type="dxa"/>
          </w:tcPr>
          <w:p w14:paraId="3C64D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36478</w:t>
            </w:r>
          </w:p>
        </w:tc>
        <w:tc>
          <w:tcPr>
            <w:tcW w:w="4952" w:type="dxa"/>
          </w:tcPr>
          <w:p w14:paraId="02C2A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142774</w:t>
            </w:r>
          </w:p>
        </w:tc>
      </w:tr>
    </w:tbl>
    <w:p w14:paraId="77602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(237,207).</w:t>
      </w:r>
    </w:p>
    <w:p w14:paraId="3FDC01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также 208875 моторов (237,207).</w:t>
      </w:r>
    </w:p>
    <w:p w14:paraId="76381C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войны СССР произвел 136.8 тыс. самолетов (6500 Ил-4, 36 тыс. Ил-2), Германия - , США - 297 тыс. (14 тыс. - пошли в СССР).</w:t>
      </w:r>
    </w:p>
    <w:p w14:paraId="61A5EF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 Ил-2: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561F31" w:rsidRPr="00F90EAE" w14:paraId="6177C722" w14:textId="77777777">
        <w:tc>
          <w:tcPr>
            <w:tcW w:w="2254" w:type="dxa"/>
          </w:tcPr>
          <w:p w14:paraId="35D0FE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с 22 июня</w:t>
            </w:r>
          </w:p>
        </w:tc>
        <w:tc>
          <w:tcPr>
            <w:tcW w:w="2254" w:type="dxa"/>
          </w:tcPr>
          <w:p w14:paraId="2DB785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2254" w:type="dxa"/>
          </w:tcPr>
          <w:p w14:paraId="7489FA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2254" w:type="dxa"/>
          </w:tcPr>
          <w:p w14:paraId="6C64D9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2254" w:type="dxa"/>
          </w:tcPr>
          <w:p w14:paraId="7400E5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на 9.5</w:t>
            </w:r>
          </w:p>
        </w:tc>
      </w:tr>
      <w:tr w:rsidR="00561F31" w:rsidRPr="00F90EAE" w14:paraId="54191741" w14:textId="77777777">
        <w:tc>
          <w:tcPr>
            <w:tcW w:w="2254" w:type="dxa"/>
          </w:tcPr>
          <w:p w14:paraId="4B1F40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1061</w:t>
            </w:r>
          </w:p>
        </w:tc>
        <w:tc>
          <w:tcPr>
            <w:tcW w:w="2254" w:type="dxa"/>
          </w:tcPr>
          <w:p w14:paraId="08F9C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7654</w:t>
            </w:r>
          </w:p>
        </w:tc>
        <w:tc>
          <w:tcPr>
            <w:tcW w:w="2254" w:type="dxa"/>
          </w:tcPr>
          <w:p w14:paraId="7231F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11254</w:t>
            </w:r>
          </w:p>
        </w:tc>
        <w:tc>
          <w:tcPr>
            <w:tcW w:w="2254" w:type="dxa"/>
          </w:tcPr>
          <w:p w14:paraId="02187E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10297</w:t>
            </w:r>
          </w:p>
        </w:tc>
        <w:tc>
          <w:tcPr>
            <w:tcW w:w="2254" w:type="dxa"/>
          </w:tcPr>
          <w:p w14:paraId="00B8FE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3664</w:t>
            </w:r>
          </w:p>
        </w:tc>
      </w:tr>
    </w:tbl>
    <w:p w14:paraId="619DEF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33930 (494).</w:t>
      </w:r>
    </w:p>
    <w:p w14:paraId="030648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том числе Ил-10 с АМ-42: 4 кварт 1944 - 41 (495); за 4 месяца 1945 по 1 мая - 785 (4124).</w:t>
      </w:r>
    </w:p>
    <w:p w14:paraId="232656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13 боевых вылетов на потерю одного самолета (497) (правда не ясно, за какой период эти данные).</w:t>
      </w:r>
    </w:p>
    <w:p w14:paraId="10E35EA3" w14:textId="77777777" w:rsidR="00665165" w:rsidRPr="00F90EAE" w:rsidRDefault="00665165" w:rsidP="00F90EAE">
      <w:pPr>
        <w:autoSpaceDE w:val="0"/>
        <w:autoSpaceDN w:val="0"/>
        <w:adjustRightInd w:val="0"/>
        <w:jc w:val="both"/>
        <w:rPr>
          <w:color w:val="000000" w:themeColor="text1"/>
          <w:sz w:val="16"/>
          <w:szCs w:val="16"/>
        </w:rPr>
      </w:pPr>
    </w:p>
    <w:p w14:paraId="7DB244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В.К.К. выполнил первый полет на Ил-16 АМ-43НВ (3846,21).</w:t>
      </w:r>
    </w:p>
    <w:p w14:paraId="3B0CA8F3" w14:textId="77777777" w:rsidR="00665165" w:rsidRPr="00F90EAE" w:rsidRDefault="00665165" w:rsidP="00F90EAE">
      <w:pPr>
        <w:autoSpaceDE w:val="0"/>
        <w:autoSpaceDN w:val="0"/>
        <w:adjustRightInd w:val="0"/>
        <w:jc w:val="both"/>
        <w:rPr>
          <w:color w:val="000000" w:themeColor="text1"/>
          <w:sz w:val="16"/>
          <w:szCs w:val="16"/>
        </w:rPr>
      </w:pPr>
    </w:p>
    <w:p w14:paraId="6FBA376F" w14:textId="77777777" w:rsidR="005F32F4" w:rsidRPr="00F90EAE" w:rsidRDefault="005F32F4" w:rsidP="00F90EAE">
      <w:pPr>
        <w:pStyle w:val="7"/>
        <w:shd w:val="clear" w:color="auto" w:fill="auto"/>
        <w:spacing w:line="240" w:lineRule="auto"/>
        <w:rPr>
          <w:rFonts w:ascii="Times New Roman" w:cs="Times New Roman"/>
          <w:color w:val="000000" w:themeColor="text1"/>
          <w:spacing w:val="0"/>
          <w:sz w:val="16"/>
          <w:szCs w:val="16"/>
        </w:rPr>
      </w:pPr>
      <w:r w:rsidRPr="00F90EAE">
        <w:rPr>
          <w:rStyle w:val="7a"/>
          <w:rFonts w:ascii="Times New Roman" w:hAnsi="Times New Roman" w:cs="Times New Roman"/>
          <w:i w:val="0"/>
          <w:color w:val="000000" w:themeColor="text1"/>
          <w:sz w:val="16"/>
          <w:szCs w:val="16"/>
        </w:rPr>
        <w:t>В апреле 1945 г. временно исполняющий долж</w:t>
      </w:r>
      <w:r w:rsidRPr="00F90EAE">
        <w:rPr>
          <w:rStyle w:val="7a"/>
          <w:rFonts w:ascii="Times New Roman" w:hAnsi="Times New Roman" w:cs="Times New Roman"/>
          <w:i w:val="0"/>
          <w:color w:val="000000" w:themeColor="text1"/>
          <w:sz w:val="16"/>
          <w:szCs w:val="16"/>
        </w:rPr>
        <w:softHyphen/>
        <w:t>ность командующего ВВС КА маршал авиации Ф.Я. Фалалеев писал управде</w:t>
      </w:r>
      <w:r w:rsidRPr="00F90EAE">
        <w:rPr>
          <w:rStyle w:val="7a"/>
          <w:rFonts w:ascii="Times New Roman" w:hAnsi="Times New Roman" w:cs="Times New Roman"/>
          <w:i w:val="0"/>
          <w:color w:val="000000" w:themeColor="text1"/>
          <w:sz w:val="16"/>
          <w:szCs w:val="16"/>
        </w:rPr>
        <w:softHyphen/>
        <w:t>лами СНК СССР Я.Е. Чадаеву (ему под контр</w:t>
      </w:r>
      <w:r w:rsidRPr="00F90EAE">
        <w:rPr>
          <w:rStyle w:val="7a"/>
          <w:rFonts w:ascii="Times New Roman" w:hAnsi="Times New Roman" w:cs="Times New Roman"/>
          <w:i w:val="0"/>
          <w:color w:val="000000" w:themeColor="text1"/>
          <w:sz w:val="16"/>
          <w:szCs w:val="16"/>
        </w:rPr>
        <w:softHyphen/>
        <w:t>оль было передано разбирательство по этому вопросу</w:t>
      </w:r>
      <w:r w:rsidRPr="00F90EAE">
        <w:rPr>
          <w:rFonts w:ascii="Times New Roman" w:cs="Times New Roman"/>
          <w:color w:val="000000" w:themeColor="text1"/>
          <w:spacing w:val="0"/>
          <w:sz w:val="16"/>
          <w:szCs w:val="16"/>
        </w:rPr>
        <w:t>),</w:t>
      </w:r>
      <w:r w:rsidRPr="00F90EAE">
        <w:rPr>
          <w:rStyle w:val="7a"/>
          <w:rFonts w:ascii="Times New Roman" w:hAnsi="Times New Roman" w:cs="Times New Roman"/>
          <w:i w:val="0"/>
          <w:color w:val="000000" w:themeColor="text1"/>
          <w:sz w:val="16"/>
          <w:szCs w:val="16"/>
        </w:rPr>
        <w:t xml:space="preserve"> что</w:t>
      </w:r>
      <w:r w:rsidRPr="00F90EAE">
        <w:rPr>
          <w:rFonts w:ascii="Times New Roman" w:cs="Times New Roman"/>
          <w:color w:val="000000" w:themeColor="text1"/>
          <w:spacing w:val="0"/>
          <w:sz w:val="16"/>
          <w:szCs w:val="16"/>
        </w:rPr>
        <w:t xml:space="preserve"> «...необходимые оптические качества прозрачной брони могут быть получены лишь путем применения более совершенной шлифовки и полировки силикат</w:t>
      </w:r>
      <w:r w:rsidRPr="00F90EAE">
        <w:rPr>
          <w:rFonts w:ascii="Times New Roman" w:cs="Times New Roman"/>
          <w:color w:val="000000" w:themeColor="text1"/>
          <w:spacing w:val="0"/>
          <w:sz w:val="16"/>
          <w:szCs w:val="16"/>
        </w:rPr>
        <w:softHyphen/>
        <w:t>ного стекла. Последнее, отнюдь не связано с необходимостью получения американского конвейера, поскольку далеко еще не исполь</w:t>
      </w:r>
      <w:r w:rsidRPr="00F90EAE">
        <w:rPr>
          <w:rFonts w:ascii="Times New Roman" w:cs="Times New Roman"/>
          <w:color w:val="000000" w:themeColor="text1"/>
          <w:spacing w:val="0"/>
          <w:sz w:val="16"/>
          <w:szCs w:val="16"/>
        </w:rPr>
        <w:softHyphen/>
        <w:t>зованы все возможности имеющегося в про</w:t>
      </w:r>
      <w:r w:rsidRPr="00F90EAE">
        <w:rPr>
          <w:rFonts w:ascii="Times New Roman" w:cs="Times New Roman"/>
          <w:color w:val="000000" w:themeColor="text1"/>
          <w:spacing w:val="0"/>
          <w:sz w:val="16"/>
          <w:szCs w:val="16"/>
        </w:rPr>
        <w:softHyphen/>
        <w:t>мышленности отечественного оборудования. На основе изложенного ВВС КА считает не</w:t>
      </w:r>
      <w:r w:rsidRPr="00F90EAE">
        <w:rPr>
          <w:rFonts w:ascii="Times New Roman" w:cs="Times New Roman"/>
          <w:color w:val="000000" w:themeColor="text1"/>
          <w:spacing w:val="0"/>
          <w:sz w:val="16"/>
          <w:szCs w:val="16"/>
        </w:rPr>
        <w:softHyphen/>
        <w:t>обходимым обязать Наркомстройматериалов продолжать работы по созданию прозрачной брони по типу заграничной».</w:t>
      </w:r>
    </w:p>
    <w:p w14:paraId="55ED9043" w14:textId="77777777" w:rsidR="005F32F4" w:rsidRPr="00F90EAE" w:rsidRDefault="005F32F4" w:rsidP="00F90EAE">
      <w:pPr>
        <w:jc w:val="both"/>
        <w:rPr>
          <w:color w:val="000000" w:themeColor="text1"/>
          <w:sz w:val="16"/>
          <w:szCs w:val="16"/>
        </w:rPr>
      </w:pPr>
      <w:r w:rsidRPr="00F90EAE">
        <w:rPr>
          <w:color w:val="000000" w:themeColor="text1"/>
          <w:sz w:val="16"/>
          <w:szCs w:val="16"/>
        </w:rPr>
        <w:t>Предпринятые вскоре после окончания войны шаги позволили к 1949 г. разработать несколько типов прозрачной брони хороше</w:t>
      </w:r>
      <w:r w:rsidRPr="00F90EAE">
        <w:rPr>
          <w:color w:val="000000" w:themeColor="text1"/>
          <w:sz w:val="16"/>
          <w:szCs w:val="16"/>
        </w:rPr>
        <w:softHyphen/>
        <w:t>го оптического качества, обеспечивающих вполне надежную защиту от бронебойных пуль калибра 12,7 мм и снарядов калибра 20 мм и не дающих при поражении большого числа осколков. Броня этого типа устанавли</w:t>
      </w:r>
      <w:r w:rsidRPr="00F90EAE">
        <w:rPr>
          <w:color w:val="000000" w:themeColor="text1"/>
          <w:sz w:val="16"/>
          <w:szCs w:val="16"/>
        </w:rPr>
        <w:softHyphen/>
        <w:t>валась в лобовом стекле (100 мм) и в боко</w:t>
      </w:r>
      <w:r w:rsidRPr="00F90EAE">
        <w:rPr>
          <w:color w:val="000000" w:themeColor="text1"/>
          <w:sz w:val="16"/>
          <w:szCs w:val="16"/>
        </w:rPr>
        <w:softHyphen/>
        <w:t>вых стеклах (65 мм) фонаря кабины летчика и кабины воздушного стрелка опытного штур</w:t>
      </w:r>
      <w:r w:rsidRPr="00F90EAE">
        <w:rPr>
          <w:color w:val="000000" w:themeColor="text1"/>
          <w:sz w:val="16"/>
          <w:szCs w:val="16"/>
        </w:rPr>
        <w:softHyphen/>
        <w:t>мовика Ил-20 М-47, а также реактивного бро</w:t>
      </w:r>
      <w:r w:rsidRPr="00F90EAE">
        <w:rPr>
          <w:color w:val="000000" w:themeColor="text1"/>
          <w:sz w:val="16"/>
          <w:szCs w:val="16"/>
        </w:rPr>
        <w:softHyphen/>
        <w:t>нированного штурмовика Ил-40 2АМ-5ф (124 и 65 мм).</w:t>
      </w:r>
    </w:p>
    <w:p w14:paraId="15C44CC2" w14:textId="77777777" w:rsidR="005F32F4" w:rsidRPr="00F90EAE" w:rsidRDefault="005F32F4" w:rsidP="00F90EAE">
      <w:pPr>
        <w:jc w:val="both"/>
        <w:rPr>
          <w:color w:val="000000" w:themeColor="text1"/>
          <w:sz w:val="16"/>
          <w:szCs w:val="16"/>
        </w:rPr>
      </w:pPr>
      <w:r w:rsidRPr="00F90EAE">
        <w:rPr>
          <w:color w:val="000000" w:themeColor="text1"/>
          <w:sz w:val="16"/>
          <w:szCs w:val="16"/>
        </w:rPr>
        <w:t>Отрабатывалась и прозрачная броня про</w:t>
      </w:r>
      <w:r w:rsidRPr="00F90EAE">
        <w:rPr>
          <w:color w:val="000000" w:themeColor="text1"/>
          <w:sz w:val="16"/>
          <w:szCs w:val="16"/>
        </w:rPr>
        <w:softHyphen/>
        <w:t>тив снарядов калибра 37 мм - так называе</w:t>
      </w:r>
      <w:r w:rsidRPr="00F90EAE">
        <w:rPr>
          <w:color w:val="000000" w:themeColor="text1"/>
          <w:sz w:val="16"/>
          <w:szCs w:val="16"/>
        </w:rPr>
        <w:softHyphen/>
        <w:t>мая «броня тяжелого типа». Но практического применения она не нашла из-за непропорци</w:t>
      </w:r>
      <w:r w:rsidRPr="00F90EAE">
        <w:rPr>
          <w:color w:val="000000" w:themeColor="text1"/>
          <w:sz w:val="16"/>
          <w:szCs w:val="16"/>
        </w:rPr>
        <w:softHyphen/>
        <w:t>онально больших весов стеклобоков по срав</w:t>
      </w:r>
      <w:r w:rsidRPr="00F90EAE">
        <w:rPr>
          <w:color w:val="000000" w:themeColor="text1"/>
          <w:sz w:val="16"/>
          <w:szCs w:val="16"/>
        </w:rPr>
        <w:softHyphen/>
        <w:t>нению с получаемым на деле защитным эф</w:t>
      </w:r>
      <w:r w:rsidRPr="00F90EAE">
        <w:rPr>
          <w:color w:val="000000" w:themeColor="text1"/>
          <w:sz w:val="16"/>
          <w:szCs w:val="16"/>
        </w:rPr>
        <w:softHyphen/>
        <w:t>фектом.</w:t>
      </w:r>
    </w:p>
    <w:p w14:paraId="26C16FF7" w14:textId="77777777" w:rsidR="005F32F4" w:rsidRPr="00F90EAE" w:rsidRDefault="005F32F4" w:rsidP="00F90EAE">
      <w:pPr>
        <w:jc w:val="both"/>
        <w:rPr>
          <w:color w:val="000000" w:themeColor="text1"/>
          <w:sz w:val="16"/>
          <w:szCs w:val="16"/>
        </w:rPr>
      </w:pPr>
      <w:r w:rsidRPr="00F90EAE">
        <w:rPr>
          <w:color w:val="000000" w:themeColor="text1"/>
          <w:sz w:val="16"/>
          <w:szCs w:val="16"/>
        </w:rPr>
        <w:t>Таким образом, несмотря на выход ряда постановлений ГОКО и большую работу специ</w:t>
      </w:r>
      <w:r w:rsidRPr="00F90EAE">
        <w:rPr>
          <w:color w:val="000000" w:themeColor="text1"/>
          <w:sz w:val="16"/>
          <w:szCs w:val="16"/>
        </w:rPr>
        <w:softHyphen/>
        <w:t>алистов наркоматов химической промышлен</w:t>
      </w:r>
      <w:r w:rsidRPr="00F90EAE">
        <w:rPr>
          <w:color w:val="000000" w:themeColor="text1"/>
          <w:sz w:val="16"/>
          <w:szCs w:val="16"/>
        </w:rPr>
        <w:softHyphen/>
        <w:t>ности и промышленности строительных мате</w:t>
      </w:r>
      <w:r w:rsidRPr="00F90EAE">
        <w:rPr>
          <w:color w:val="000000" w:themeColor="text1"/>
          <w:sz w:val="16"/>
          <w:szCs w:val="16"/>
        </w:rPr>
        <w:softHyphen/>
        <w:t>риалов, в ходе войны так и не удалось обеспе</w:t>
      </w:r>
      <w:r w:rsidRPr="00F90EAE">
        <w:rPr>
          <w:color w:val="000000" w:themeColor="text1"/>
          <w:sz w:val="16"/>
          <w:szCs w:val="16"/>
        </w:rPr>
        <w:softHyphen/>
        <w:t>чить требуемое ВВС КА качество прозрачной брони как по оптическим свойствам, так и по пулестойкости (17481).</w:t>
      </w:r>
    </w:p>
    <w:p w14:paraId="65F12720" w14:textId="77777777" w:rsidR="005F32F4" w:rsidRPr="00F90EAE" w:rsidRDefault="005F32F4" w:rsidP="00F90EAE">
      <w:pPr>
        <w:jc w:val="both"/>
        <w:rPr>
          <w:color w:val="000000" w:themeColor="text1"/>
          <w:sz w:val="16"/>
          <w:szCs w:val="16"/>
        </w:rPr>
      </w:pPr>
    </w:p>
    <w:p w14:paraId="6F76F3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закончились гос. испытания Ту-2 2АШ-82ФН с винтами АВ-5В-37 N 16/7 производства 23 завода, которые проводились с марта 1945 (807,5).</w:t>
      </w:r>
    </w:p>
    <w:p w14:paraId="41555B49" w14:textId="77777777" w:rsidR="00665165" w:rsidRPr="00F90EAE" w:rsidRDefault="00665165" w:rsidP="00F90EAE">
      <w:pPr>
        <w:autoSpaceDE w:val="0"/>
        <w:autoSpaceDN w:val="0"/>
        <w:adjustRightInd w:val="0"/>
        <w:jc w:val="both"/>
        <w:rPr>
          <w:color w:val="000000" w:themeColor="text1"/>
          <w:sz w:val="16"/>
          <w:szCs w:val="16"/>
        </w:rPr>
      </w:pPr>
    </w:p>
    <w:p w14:paraId="029BC4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на государственных испытаниях двух опытных Пе-2И № 5/465 и № 15/465 отмечаются неудовлетворительные взлетные свойства - длина разбега 650 метров и взлетная дистанция 1500 метров. На машине № 5 после испытаний планировалось установка на нее новых винтов.</w:t>
      </w:r>
    </w:p>
    <w:p w14:paraId="2CE09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Тогда же шли статические испытания первой опытной машины Пе-2М из агрегатов Пе-2И (12049).</w:t>
      </w:r>
    </w:p>
    <w:p w14:paraId="3E7E9FDA" w14:textId="77777777" w:rsidR="00665165" w:rsidRPr="00F90EAE" w:rsidRDefault="00665165" w:rsidP="00F90EAE">
      <w:pPr>
        <w:autoSpaceDE w:val="0"/>
        <w:autoSpaceDN w:val="0"/>
        <w:adjustRightInd w:val="0"/>
        <w:jc w:val="both"/>
        <w:rPr>
          <w:color w:val="000000" w:themeColor="text1"/>
          <w:sz w:val="16"/>
          <w:szCs w:val="16"/>
        </w:rPr>
      </w:pPr>
    </w:p>
    <w:p w14:paraId="1AC73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 КБ П.О.С. приступили к докаботке Ер-2№ 7063901 и № 7023901. На самолете № 7063901 с моторами АЧ-30Б и винтами АВ-5ЛВ-116 диаметром 4,1 м, в частности, заменили жалюзи водорадиаторов заслонками ЦАГИ, маслорадиаторы перенесли с передней кромки отъемной части крыла под мотогондолы, установили обтекатель на нижнюю стрелковую точку, механический стопор хвостового колеса и упоры колес шасси в убранном положении, сделали новый нижний входной люк с лестницей и переделали капоты, коки винтов и выхлопные насадки. Тогда же самолет герметизировали (11994).</w:t>
      </w:r>
    </w:p>
    <w:p w14:paraId="68126ABC" w14:textId="77777777" w:rsidR="00665165" w:rsidRPr="00F90EAE" w:rsidRDefault="00665165" w:rsidP="00F90EAE">
      <w:pPr>
        <w:autoSpaceDE w:val="0"/>
        <w:autoSpaceDN w:val="0"/>
        <w:adjustRightInd w:val="0"/>
        <w:jc w:val="both"/>
        <w:rPr>
          <w:color w:val="000000" w:themeColor="text1"/>
          <w:sz w:val="16"/>
          <w:szCs w:val="16"/>
        </w:rPr>
      </w:pPr>
    </w:p>
    <w:p w14:paraId="2595A50F" w14:textId="77777777" w:rsidR="00AA7BA7" w:rsidRPr="00F90EAE" w:rsidRDefault="00AA7BA7" w:rsidP="00F90EAE">
      <w:pPr>
        <w:shd w:val="clear" w:color="auto" w:fill="FFFFFF"/>
        <w:jc w:val="both"/>
        <w:rPr>
          <w:color w:val="000000" w:themeColor="text1"/>
          <w:sz w:val="16"/>
          <w:szCs w:val="16"/>
        </w:rPr>
      </w:pPr>
      <w:r w:rsidRPr="00F90EAE">
        <w:rPr>
          <w:color w:val="000000" w:themeColor="text1"/>
          <w:sz w:val="16"/>
          <w:szCs w:val="16"/>
        </w:rPr>
        <w:t>В апреле 1945 года построили второй Ер-2ОН: в начале июня экипаж Героя Советского Союза Коростылева осуществил перегон самолета в Москву. Третий и четвертый экземпляры варианта Ер-2ОН были закончены производством в октябре 1945 года (15223).</w:t>
      </w:r>
    </w:p>
    <w:p w14:paraId="78EA0677" w14:textId="77777777" w:rsidR="00AA7BA7" w:rsidRPr="00F90EAE" w:rsidRDefault="00AA7BA7" w:rsidP="00F90EAE">
      <w:pPr>
        <w:shd w:val="clear" w:color="auto" w:fill="FFFFFF"/>
        <w:jc w:val="both"/>
        <w:rPr>
          <w:color w:val="000000" w:themeColor="text1"/>
          <w:sz w:val="16"/>
          <w:szCs w:val="16"/>
        </w:rPr>
      </w:pPr>
    </w:p>
    <w:p w14:paraId="4506F126" w14:textId="77777777" w:rsidR="00AA7BA7" w:rsidRPr="00F90EAE" w:rsidRDefault="00AA7BA7" w:rsidP="00F90EAE">
      <w:pPr>
        <w:pStyle w:val="a3"/>
        <w:rPr>
          <w:color w:val="000000" w:themeColor="text1"/>
          <w:lang w:val="ru-RU"/>
        </w:rPr>
      </w:pPr>
      <w:r w:rsidRPr="00F90EAE">
        <w:rPr>
          <w:color w:val="000000" w:themeColor="text1"/>
          <w:lang w:val="ru-RU"/>
        </w:rPr>
        <w:t>В апреле 1945 приступили к доработкам машин Ер-2 №№ 7063901 и 7023901. Ер-2ММ № 7063901 проходил заво</w:t>
      </w:r>
      <w:r w:rsidRPr="00F90EAE">
        <w:rPr>
          <w:color w:val="000000" w:themeColor="text1"/>
          <w:lang w:val="ru-RU"/>
        </w:rPr>
        <w:softHyphen/>
        <w:t>дские лётные испытания с 26 мая по 17 октября. С 18 октября по 3 ноября самолёт под</w:t>
      </w:r>
      <w:r w:rsidRPr="00F90EAE">
        <w:rPr>
          <w:color w:val="000000" w:themeColor="text1"/>
          <w:lang w:val="ru-RU"/>
        </w:rPr>
        <w:softHyphen/>
        <w:t>вергся дополнительным доработкам, выполненным по результатам лётных испытаний и продувок. 9 декабря на ЛИС завода № 134 приступили ко второму этапу заводских лётных испытаний. В начале января 1946 г. тему Ер-2ММ закрыли, но испытания по особой программе (с разрешения зам. наркома С.Н. Шишкина) с перерывами продол</w:t>
      </w:r>
      <w:r w:rsidRPr="00F90EAE">
        <w:rPr>
          <w:color w:val="000000" w:themeColor="text1"/>
          <w:lang w:val="ru-RU"/>
        </w:rPr>
        <w:softHyphen/>
        <w:t>жались до апреля 1946 г. и прервались из-за выхода из строя правого двигателя (15810).</w:t>
      </w:r>
    </w:p>
    <w:p w14:paraId="365E2AA1" w14:textId="77777777" w:rsidR="00AA7BA7" w:rsidRPr="00F90EAE" w:rsidRDefault="00AA7BA7" w:rsidP="00F90EAE">
      <w:pPr>
        <w:pStyle w:val="a3"/>
        <w:rPr>
          <w:color w:val="000000" w:themeColor="text1"/>
          <w:lang w:val="ru-RU"/>
        </w:rPr>
      </w:pPr>
    </w:p>
    <w:p w14:paraId="55962493" w14:textId="77777777" w:rsidR="00AA7BA7" w:rsidRPr="00F90EAE" w:rsidRDefault="00AA7BA7" w:rsidP="00F90EAE">
      <w:pPr>
        <w:shd w:val="clear" w:color="auto" w:fill="FFFFFF"/>
        <w:jc w:val="both"/>
        <w:rPr>
          <w:color w:val="000000" w:themeColor="text1"/>
          <w:sz w:val="16"/>
          <w:szCs w:val="16"/>
        </w:rPr>
      </w:pPr>
      <w:r w:rsidRPr="00F90EAE">
        <w:rPr>
          <w:color w:val="000000" w:themeColor="text1"/>
          <w:sz w:val="16"/>
          <w:szCs w:val="16"/>
        </w:rPr>
        <w:t>В апреле 1945 заводу № 39 на программу и замену ранее забракованных недоставало 45 двигателей. Полученные в конце апреля двигатели были с резко ухудшенным качеством. В мае месяце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7C05FD2E" w14:textId="77777777" w:rsidR="00AA7BA7" w:rsidRPr="00F90EAE" w:rsidRDefault="00AA7BA7" w:rsidP="00F90EAE">
      <w:pPr>
        <w:shd w:val="clear" w:color="auto" w:fill="FFFFFF"/>
        <w:jc w:val="both"/>
        <w:rPr>
          <w:color w:val="000000" w:themeColor="text1"/>
          <w:sz w:val="16"/>
          <w:szCs w:val="16"/>
        </w:rPr>
      </w:pPr>
    </w:p>
    <w:p w14:paraId="0CCEC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началось серийное производство Як-3П с 3хБ-20 и шло параллельно с Як-3 обычным (1728,33).</w:t>
      </w:r>
    </w:p>
    <w:p w14:paraId="74FAB8F6" w14:textId="77777777" w:rsidR="00665165" w:rsidRPr="00F90EAE" w:rsidRDefault="00665165" w:rsidP="00F90EAE">
      <w:pPr>
        <w:autoSpaceDE w:val="0"/>
        <w:autoSpaceDN w:val="0"/>
        <w:adjustRightInd w:val="0"/>
        <w:jc w:val="both"/>
        <w:rPr>
          <w:color w:val="000000" w:themeColor="text1"/>
          <w:sz w:val="16"/>
          <w:szCs w:val="16"/>
        </w:rPr>
      </w:pPr>
    </w:p>
    <w:p w14:paraId="5196A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был готов цельнометаллический Як-3 с ВК-107А и выпущен на испытания и со второй половины 1945 его начали производить на 31 заводе в Тбилиси. Потом делали и на 292 (1708,35).</w:t>
      </w:r>
    </w:p>
    <w:p w14:paraId="1C36A595" w14:textId="77777777" w:rsidR="00665165" w:rsidRPr="00F90EAE" w:rsidRDefault="00665165" w:rsidP="00F90EAE">
      <w:pPr>
        <w:autoSpaceDE w:val="0"/>
        <w:autoSpaceDN w:val="0"/>
        <w:adjustRightInd w:val="0"/>
        <w:jc w:val="both"/>
        <w:rPr>
          <w:color w:val="000000" w:themeColor="text1"/>
          <w:sz w:val="16"/>
          <w:szCs w:val="16"/>
        </w:rPr>
      </w:pPr>
    </w:p>
    <w:p w14:paraId="32841FFF" w14:textId="77777777" w:rsidR="00E70305" w:rsidRPr="00F90EAE" w:rsidRDefault="00E70305" w:rsidP="00F90EAE">
      <w:pPr>
        <w:shd w:val="clear" w:color="auto" w:fill="FFFFFF"/>
        <w:jc w:val="both"/>
        <w:rPr>
          <w:color w:val="0070C0"/>
          <w:sz w:val="16"/>
          <w:szCs w:val="16"/>
        </w:rPr>
      </w:pPr>
      <w:r w:rsidRPr="00F90EAE">
        <w:rPr>
          <w:color w:val="0070C0"/>
          <w:sz w:val="16"/>
          <w:szCs w:val="16"/>
        </w:rPr>
        <w:t>В апреле 1945 г. начались поставки Як-3П с тремя улучшенными пушками Б-20М/С. Благодаря повышенной начальной скорости снаряда они превзошли трехточечный Ла-7 по залпу на 17 %, а по дульной мощности почти вдвое. К тому же батарея «Яка» работала лучше из-за меньшего уровня вибраций и температуры в ее зоне (22772).</w:t>
      </w:r>
    </w:p>
    <w:p w14:paraId="11CC5AF9" w14:textId="77777777" w:rsidR="00E70305" w:rsidRPr="00F90EAE" w:rsidRDefault="00E70305" w:rsidP="00F90EAE">
      <w:pPr>
        <w:shd w:val="clear" w:color="auto" w:fill="FFFFFF"/>
        <w:jc w:val="both"/>
        <w:rPr>
          <w:color w:val="0070C0"/>
          <w:sz w:val="16"/>
          <w:szCs w:val="16"/>
        </w:rPr>
      </w:pPr>
    </w:p>
    <w:p w14:paraId="777AFB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апреля 1945 года завод № 153 перешел на крупносерийный выпуск самолетов Як-9у, одновременно сокращая выпуск самолетов типа “М”, “Т” и “Ю” (9503).</w:t>
      </w:r>
    </w:p>
    <w:p w14:paraId="4404BF74" w14:textId="77777777" w:rsidR="00665165" w:rsidRPr="00F90EAE" w:rsidRDefault="00665165" w:rsidP="00F90EAE">
      <w:pPr>
        <w:autoSpaceDE w:val="0"/>
        <w:autoSpaceDN w:val="0"/>
        <w:adjustRightInd w:val="0"/>
        <w:jc w:val="both"/>
        <w:rPr>
          <w:color w:val="000000" w:themeColor="text1"/>
          <w:sz w:val="16"/>
          <w:szCs w:val="16"/>
        </w:rPr>
      </w:pPr>
    </w:p>
    <w:p w14:paraId="0531A7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завод № 82 предъявил на контрольные испытания еще один истребитель Як-9У № 10-10 с прежним вооружением. За этот срок на самолете улучшили герметизацию, изменили передаточные числа качалок управления рулем высоты (теперь они отклонялись вверх на 20 градусов, а вниз - на 25 градусов) и элеронами, улучшили аэродинамическую компенсацию элеронов, обрезав их задние кромки. Сферический козырек заменили граненым. Усилили крепление обшивки крыла к нервюрам. Установили мотор с дополнительной маслопомпой и новый водорадиатор, допускавший больший расход охлаждающей жидкости. Передатчик РСИ-3 заменили РСИ-ЗМ-1.</w:t>
      </w:r>
    </w:p>
    <w:p w14:paraId="5D0005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Но перечень дефектов по-прежнему оставался большим. Сохранились большие нагрузки на ручку управления самолетом от элеронов и руля высоты, отсутствовали переднее бронестекло и бронеподлокотник; при наборе высоты температура охлаждающей жидкости и выходящего масла превышали максимально-допустимые </w:t>
      </w:r>
      <w:r w:rsidRPr="00F90EAE">
        <w:rPr>
          <w:color w:val="000000" w:themeColor="text1"/>
          <w:sz w:val="16"/>
          <w:szCs w:val="16"/>
        </w:rPr>
        <w:lastRenderedPageBreak/>
        <w:t>значения; пулеметы УБС самопроизвольно переходили со стрельбы очередями на одиночные выстрелы. Максимальные скорости горизонтального полета из-за поверхности крыла, испорченной установкой специальных болтов ремонтного варианта (выступавших в поток), усиления крепления обшивки к полкам нервюр, снизились на 12-16 км/ч. Отмечались и другие недостатки. А ведь на дворе была весна 1945 г. До окончания войны оставалось чуть больше двух месяцев, а серийные заводы так и не научились выпускать доброкачественную продукцию. Ставка на увеличение выпуска военной продукции неизбежно приводила к ухудшению ее качества и, как следствие, к неоправданным потерям летного состава.</w:t>
      </w:r>
    </w:p>
    <w:p w14:paraId="64E37E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унифицированных истребителей Як-9У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61F31" w:rsidRPr="00F90EAE" w14:paraId="29173D56" w14:textId="77777777">
        <w:tc>
          <w:tcPr>
            <w:tcW w:w="1868" w:type="dxa"/>
            <w:tcBorders>
              <w:top w:val="single" w:sz="12" w:space="0" w:color="auto"/>
            </w:tcBorders>
          </w:tcPr>
          <w:p w14:paraId="066766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1868" w:type="dxa"/>
            <w:tcBorders>
              <w:top w:val="single" w:sz="12" w:space="0" w:color="auto"/>
            </w:tcBorders>
          </w:tcPr>
          <w:p w14:paraId="47D15C28"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Borders>
              <w:top w:val="single" w:sz="12" w:space="0" w:color="auto"/>
            </w:tcBorders>
          </w:tcPr>
          <w:p w14:paraId="45C94E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c>
          <w:tcPr>
            <w:tcW w:w="1868" w:type="dxa"/>
            <w:tcBorders>
              <w:top w:val="single" w:sz="12" w:space="0" w:color="auto"/>
            </w:tcBorders>
          </w:tcPr>
          <w:p w14:paraId="56CF10F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Borders>
              <w:top w:val="single" w:sz="12" w:space="0" w:color="auto"/>
            </w:tcBorders>
          </w:tcPr>
          <w:p w14:paraId="60CB61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ЯК-9УТ</w:t>
            </w:r>
          </w:p>
        </w:tc>
        <w:tc>
          <w:tcPr>
            <w:tcW w:w="1868" w:type="dxa"/>
            <w:tcBorders>
              <w:top w:val="single" w:sz="12" w:space="0" w:color="auto"/>
            </w:tcBorders>
          </w:tcPr>
          <w:p w14:paraId="75787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ЯК-9УВ</w:t>
            </w:r>
          </w:p>
        </w:tc>
      </w:tr>
      <w:tr w:rsidR="00561F31" w:rsidRPr="00F90EAE" w14:paraId="21CB0005" w14:textId="77777777">
        <w:tc>
          <w:tcPr>
            <w:tcW w:w="1868" w:type="dxa"/>
          </w:tcPr>
          <w:p w14:paraId="7B98C78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F2ABA11"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530F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1868" w:type="dxa"/>
          </w:tcPr>
          <w:p w14:paraId="119F0F07"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E102E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40-022</w:t>
            </w:r>
          </w:p>
        </w:tc>
        <w:tc>
          <w:tcPr>
            <w:tcW w:w="1868" w:type="dxa"/>
          </w:tcPr>
          <w:p w14:paraId="6DC4610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8B33EE5" w14:textId="77777777">
        <w:tc>
          <w:tcPr>
            <w:tcW w:w="1868" w:type="dxa"/>
          </w:tcPr>
          <w:p w14:paraId="03CC75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w:t>
            </w:r>
          </w:p>
        </w:tc>
        <w:tc>
          <w:tcPr>
            <w:tcW w:w="1868" w:type="dxa"/>
          </w:tcPr>
          <w:p w14:paraId="55C0524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E2206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М-105ПФ21</w:t>
            </w:r>
          </w:p>
        </w:tc>
        <w:tc>
          <w:tcPr>
            <w:tcW w:w="1868" w:type="dxa"/>
          </w:tcPr>
          <w:p w14:paraId="0A67D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868" w:type="dxa"/>
          </w:tcPr>
          <w:p w14:paraId="4D192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868" w:type="dxa"/>
          </w:tcPr>
          <w:p w14:paraId="597716D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E10FCB0" w14:textId="77777777">
        <w:tc>
          <w:tcPr>
            <w:tcW w:w="1868" w:type="dxa"/>
          </w:tcPr>
          <w:p w14:paraId="1F80B1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1868" w:type="dxa"/>
          </w:tcPr>
          <w:p w14:paraId="2722B0EF"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8EA85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581481C5"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5C343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4EF3E7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r>
      <w:tr w:rsidR="00561F31" w:rsidRPr="00F90EAE" w14:paraId="4B7BD36D" w14:textId="77777777">
        <w:tc>
          <w:tcPr>
            <w:tcW w:w="1868" w:type="dxa"/>
          </w:tcPr>
          <w:p w14:paraId="6CBAD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868" w:type="dxa"/>
          </w:tcPr>
          <w:p w14:paraId="57922EF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E2086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868" w:type="dxa"/>
          </w:tcPr>
          <w:p w14:paraId="60DBAFF4"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66FA0F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868" w:type="dxa"/>
          </w:tcPr>
          <w:p w14:paraId="222A4A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r>
      <w:tr w:rsidR="00561F31" w:rsidRPr="00F90EAE" w14:paraId="1E96FAA0" w14:textId="77777777">
        <w:tc>
          <w:tcPr>
            <w:tcW w:w="1868" w:type="dxa"/>
          </w:tcPr>
          <w:p w14:paraId="686AD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мг</w:t>
            </w:r>
          </w:p>
        </w:tc>
        <w:tc>
          <w:tcPr>
            <w:tcW w:w="1868" w:type="dxa"/>
          </w:tcPr>
          <w:p w14:paraId="65D0F6EF"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C9E2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7A625E04"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ABDB1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4A439A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r>
      <w:tr w:rsidR="00561F31" w:rsidRPr="00F90EAE" w14:paraId="44199DC0" w14:textId="77777777">
        <w:tc>
          <w:tcPr>
            <w:tcW w:w="1868" w:type="dxa"/>
          </w:tcPr>
          <w:p w14:paraId="211996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868" w:type="dxa"/>
          </w:tcPr>
          <w:p w14:paraId="6DB0A10A"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C1F0155"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3C82E7B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500C03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8DA91D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8D94853" w14:textId="77777777">
        <w:tc>
          <w:tcPr>
            <w:tcW w:w="1868" w:type="dxa"/>
          </w:tcPr>
          <w:p w14:paraId="25C5B4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w:t>
            </w:r>
          </w:p>
        </w:tc>
        <w:tc>
          <w:tcPr>
            <w:tcW w:w="1868" w:type="dxa"/>
          </w:tcPr>
          <w:p w14:paraId="2CB8E55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C423C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2900</w:t>
            </w:r>
          </w:p>
        </w:tc>
        <w:tc>
          <w:tcPr>
            <w:tcW w:w="1868" w:type="dxa"/>
          </w:tcPr>
          <w:p w14:paraId="2417DFC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2F1AB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3260</w:t>
            </w:r>
          </w:p>
        </w:tc>
        <w:tc>
          <w:tcPr>
            <w:tcW w:w="1868" w:type="dxa"/>
          </w:tcPr>
          <w:p w14:paraId="4C4CC9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3128</w:t>
            </w:r>
          </w:p>
        </w:tc>
      </w:tr>
      <w:tr w:rsidR="00561F31" w:rsidRPr="00F90EAE" w14:paraId="7320A7E9" w14:textId="77777777">
        <w:tc>
          <w:tcPr>
            <w:tcW w:w="1868" w:type="dxa"/>
          </w:tcPr>
          <w:p w14:paraId="02B862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868" w:type="dxa"/>
          </w:tcPr>
          <w:p w14:paraId="769B6A3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3474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2244</w:t>
            </w:r>
          </w:p>
        </w:tc>
        <w:tc>
          <w:tcPr>
            <w:tcW w:w="1868" w:type="dxa"/>
          </w:tcPr>
          <w:p w14:paraId="2149E1D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A6A6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2467</w:t>
            </w:r>
          </w:p>
        </w:tc>
        <w:tc>
          <w:tcPr>
            <w:tcW w:w="1868" w:type="dxa"/>
          </w:tcPr>
          <w:p w14:paraId="4EE64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2505</w:t>
            </w:r>
          </w:p>
        </w:tc>
      </w:tr>
      <w:tr w:rsidR="00561F31" w:rsidRPr="00F90EAE" w14:paraId="7F6FFA70" w14:textId="77777777">
        <w:tc>
          <w:tcPr>
            <w:tcW w:w="1868" w:type="dxa"/>
          </w:tcPr>
          <w:p w14:paraId="46D680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1868" w:type="dxa"/>
          </w:tcPr>
          <w:p w14:paraId="2DFDDD1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F1754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318</w:t>
            </w:r>
          </w:p>
        </w:tc>
        <w:tc>
          <w:tcPr>
            <w:tcW w:w="1868" w:type="dxa"/>
          </w:tcPr>
          <w:p w14:paraId="3D1E3FED"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C874B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380</w:t>
            </w:r>
          </w:p>
        </w:tc>
        <w:tc>
          <w:tcPr>
            <w:tcW w:w="1868" w:type="dxa"/>
          </w:tcPr>
          <w:p w14:paraId="7D59F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346</w:t>
            </w:r>
          </w:p>
        </w:tc>
      </w:tr>
      <w:tr w:rsidR="00561F31" w:rsidRPr="00F90EAE" w14:paraId="1CB9A5E1" w14:textId="77777777">
        <w:tc>
          <w:tcPr>
            <w:tcW w:w="1868" w:type="dxa"/>
          </w:tcPr>
          <w:p w14:paraId="05E79B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w:t>
            </w:r>
          </w:p>
        </w:tc>
        <w:tc>
          <w:tcPr>
            <w:tcW w:w="1868" w:type="dxa"/>
          </w:tcPr>
          <w:p w14:paraId="21562CC4"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200283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5B142EC8"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3053963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1B6612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D2F21B2" w14:textId="77777777">
        <w:tc>
          <w:tcPr>
            <w:tcW w:w="1868" w:type="dxa"/>
          </w:tcPr>
          <w:p w14:paraId="191D6F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 земли</w:t>
            </w:r>
          </w:p>
        </w:tc>
        <w:tc>
          <w:tcPr>
            <w:tcW w:w="1868" w:type="dxa"/>
          </w:tcPr>
          <w:p w14:paraId="194FFA29"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C3CB0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558</w:t>
            </w:r>
          </w:p>
        </w:tc>
        <w:tc>
          <w:tcPr>
            <w:tcW w:w="1868" w:type="dxa"/>
          </w:tcPr>
          <w:p w14:paraId="2F552531"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0809D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578</w:t>
            </w:r>
          </w:p>
        </w:tc>
        <w:tc>
          <w:tcPr>
            <w:tcW w:w="1868" w:type="dxa"/>
          </w:tcPr>
          <w:p w14:paraId="111A68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564</w:t>
            </w:r>
          </w:p>
        </w:tc>
      </w:tr>
      <w:tr w:rsidR="00561F31" w:rsidRPr="00F90EAE" w14:paraId="0AED7CFA" w14:textId="77777777">
        <w:tc>
          <w:tcPr>
            <w:tcW w:w="1868" w:type="dxa"/>
          </w:tcPr>
          <w:p w14:paraId="542C8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1-й гр. высотности, м</w:t>
            </w:r>
          </w:p>
        </w:tc>
        <w:tc>
          <w:tcPr>
            <w:tcW w:w="1868" w:type="dxa"/>
          </w:tcPr>
          <w:p w14:paraId="4BB2128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97E32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600/1800</w:t>
            </w:r>
          </w:p>
        </w:tc>
        <w:tc>
          <w:tcPr>
            <w:tcW w:w="1868" w:type="dxa"/>
          </w:tcPr>
          <w:p w14:paraId="497236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625/2200</w:t>
            </w:r>
          </w:p>
        </w:tc>
        <w:tc>
          <w:tcPr>
            <w:tcW w:w="1868" w:type="dxa"/>
          </w:tcPr>
          <w:p w14:paraId="3D9C14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27C6A67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E02697D" w14:textId="77777777">
        <w:tc>
          <w:tcPr>
            <w:tcW w:w="1868" w:type="dxa"/>
          </w:tcPr>
          <w:p w14:paraId="53E030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2-й гр. высотности, м</w:t>
            </w:r>
          </w:p>
        </w:tc>
        <w:tc>
          <w:tcPr>
            <w:tcW w:w="1868" w:type="dxa"/>
          </w:tcPr>
          <w:p w14:paraId="5AAF9D5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E3507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620/3850</w:t>
            </w:r>
          </w:p>
        </w:tc>
        <w:tc>
          <w:tcPr>
            <w:tcW w:w="1868" w:type="dxa"/>
          </w:tcPr>
          <w:p w14:paraId="735D3B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671/4900</w:t>
            </w:r>
          </w:p>
        </w:tc>
        <w:tc>
          <w:tcPr>
            <w:tcW w:w="1868" w:type="dxa"/>
          </w:tcPr>
          <w:p w14:paraId="5AB79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623/4100</w:t>
            </w:r>
          </w:p>
        </w:tc>
        <w:tc>
          <w:tcPr>
            <w:tcW w:w="1868" w:type="dxa"/>
          </w:tcPr>
          <w:p w14:paraId="504DA6B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50E444F" w14:textId="77777777">
        <w:tc>
          <w:tcPr>
            <w:tcW w:w="1868" w:type="dxa"/>
          </w:tcPr>
          <w:p w14:paraId="4D95CF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w:t>
            </w:r>
          </w:p>
        </w:tc>
        <w:tc>
          <w:tcPr>
            <w:tcW w:w="1868" w:type="dxa"/>
          </w:tcPr>
          <w:p w14:paraId="0747563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56C2821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F04D86F"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7F009BD"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EB29BC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FE5D00F" w14:textId="77777777">
        <w:tc>
          <w:tcPr>
            <w:tcW w:w="1868" w:type="dxa"/>
          </w:tcPr>
          <w:p w14:paraId="7F5F5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высоты 5000 м, мин</w:t>
            </w:r>
          </w:p>
        </w:tc>
        <w:tc>
          <w:tcPr>
            <w:tcW w:w="1868" w:type="dxa"/>
          </w:tcPr>
          <w:p w14:paraId="073C8F5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39544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868" w:type="dxa"/>
          </w:tcPr>
          <w:p w14:paraId="70D826F9"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F5C21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w:t>
            </w:r>
          </w:p>
        </w:tc>
        <w:tc>
          <w:tcPr>
            <w:tcW w:w="1868" w:type="dxa"/>
          </w:tcPr>
          <w:p w14:paraId="7C8405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r>
      <w:tr w:rsidR="00561F31" w:rsidRPr="00F90EAE" w14:paraId="62954139" w14:textId="77777777">
        <w:tc>
          <w:tcPr>
            <w:tcW w:w="1868" w:type="dxa"/>
          </w:tcPr>
          <w:p w14:paraId="5E6BCF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868" w:type="dxa"/>
          </w:tcPr>
          <w:p w14:paraId="68F30C7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F3172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10400</w:t>
            </w:r>
          </w:p>
        </w:tc>
        <w:tc>
          <w:tcPr>
            <w:tcW w:w="1868" w:type="dxa"/>
          </w:tcPr>
          <w:p w14:paraId="370BAA2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558A9C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10700</w:t>
            </w:r>
          </w:p>
        </w:tc>
        <w:tc>
          <w:tcPr>
            <w:tcW w:w="1868" w:type="dxa"/>
          </w:tcPr>
          <w:p w14:paraId="419A96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11300</w:t>
            </w:r>
          </w:p>
        </w:tc>
      </w:tr>
      <w:tr w:rsidR="00561F31" w:rsidRPr="00F90EAE" w14:paraId="6ACC9CF2" w14:textId="77777777">
        <w:tc>
          <w:tcPr>
            <w:tcW w:w="1868" w:type="dxa"/>
          </w:tcPr>
          <w:p w14:paraId="12F417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w:t>
            </w:r>
          </w:p>
        </w:tc>
        <w:tc>
          <w:tcPr>
            <w:tcW w:w="1868" w:type="dxa"/>
          </w:tcPr>
          <w:p w14:paraId="3944C2F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DF96337"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35FFFC3"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4E399F5"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A9615B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F4D5CB" w14:textId="77777777">
        <w:tc>
          <w:tcPr>
            <w:tcW w:w="1868" w:type="dxa"/>
          </w:tcPr>
          <w:p w14:paraId="46ADC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1000 м,</w:t>
            </w:r>
          </w:p>
        </w:tc>
        <w:tc>
          <w:tcPr>
            <w:tcW w:w="1868" w:type="dxa"/>
          </w:tcPr>
          <w:p w14:paraId="14A03D2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62578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868" w:type="dxa"/>
          </w:tcPr>
          <w:p w14:paraId="52A8272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7F40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06CBC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5170E1DC" w14:textId="77777777">
        <w:tc>
          <w:tcPr>
            <w:tcW w:w="1868" w:type="dxa"/>
          </w:tcPr>
          <w:p w14:paraId="72BAC2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868" w:type="dxa"/>
          </w:tcPr>
          <w:p w14:paraId="01B1AAD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7F37A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850</w:t>
            </w:r>
          </w:p>
        </w:tc>
        <w:tc>
          <w:tcPr>
            <w:tcW w:w="1868" w:type="dxa"/>
          </w:tcPr>
          <w:p w14:paraId="72B456B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B70A9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c>
          <w:tcPr>
            <w:tcW w:w="1868" w:type="dxa"/>
          </w:tcPr>
          <w:p w14:paraId="7C1875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295FC83D" w14:textId="77777777">
        <w:tc>
          <w:tcPr>
            <w:tcW w:w="1868" w:type="dxa"/>
            <w:tcBorders>
              <w:bottom w:val="single" w:sz="12" w:space="0" w:color="auto"/>
            </w:tcBorders>
          </w:tcPr>
          <w:p w14:paraId="729589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Разбег/пробег, м</w:t>
            </w:r>
          </w:p>
        </w:tc>
        <w:tc>
          <w:tcPr>
            <w:tcW w:w="1868" w:type="dxa"/>
            <w:tcBorders>
              <w:bottom w:val="single" w:sz="12" w:space="0" w:color="auto"/>
            </w:tcBorders>
          </w:tcPr>
          <w:p w14:paraId="6DDAA8C9"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Borders>
              <w:bottom w:val="single" w:sz="12" w:space="0" w:color="auto"/>
            </w:tcBorders>
          </w:tcPr>
          <w:p w14:paraId="788A22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320/575</w:t>
            </w:r>
          </w:p>
        </w:tc>
        <w:tc>
          <w:tcPr>
            <w:tcW w:w="1868" w:type="dxa"/>
            <w:tcBorders>
              <w:bottom w:val="single" w:sz="12" w:space="0" w:color="auto"/>
            </w:tcBorders>
          </w:tcPr>
          <w:p w14:paraId="664C103F"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Borders>
              <w:bottom w:val="single" w:sz="12" w:space="0" w:color="auto"/>
            </w:tcBorders>
          </w:tcPr>
          <w:p w14:paraId="0F182D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Borders>
              <w:bottom w:val="single" w:sz="12" w:space="0" w:color="auto"/>
            </w:tcBorders>
          </w:tcPr>
          <w:p w14:paraId="2D838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390/560</w:t>
            </w:r>
          </w:p>
        </w:tc>
      </w:tr>
    </w:tbl>
    <w:p w14:paraId="5A9182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Наддув двигателя 1100 мм рт. ст. (12046).</w:t>
      </w:r>
    </w:p>
    <w:p w14:paraId="1B503C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истребителей Як-9У с двигателями М-107А (ВК-107А)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561F31" w:rsidRPr="00F90EAE" w14:paraId="316A3704" w14:textId="77777777">
        <w:tc>
          <w:tcPr>
            <w:tcW w:w="1868" w:type="dxa"/>
            <w:tcBorders>
              <w:top w:val="single" w:sz="12" w:space="0" w:color="auto"/>
            </w:tcBorders>
          </w:tcPr>
          <w:p w14:paraId="703110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1868" w:type="dxa"/>
            <w:tcBorders>
              <w:top w:val="single" w:sz="12" w:space="0" w:color="auto"/>
            </w:tcBorders>
          </w:tcPr>
          <w:p w14:paraId="254DEA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c>
          <w:tcPr>
            <w:tcW w:w="1868" w:type="dxa"/>
            <w:tcBorders>
              <w:top w:val="single" w:sz="12" w:space="0" w:color="auto"/>
            </w:tcBorders>
          </w:tcPr>
          <w:p w14:paraId="391A9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c>
          <w:tcPr>
            <w:tcW w:w="1868" w:type="dxa"/>
            <w:tcBorders>
              <w:top w:val="single" w:sz="12" w:space="0" w:color="auto"/>
            </w:tcBorders>
          </w:tcPr>
          <w:p w14:paraId="4BF869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Як-9У2</w:t>
            </w:r>
          </w:p>
        </w:tc>
        <w:tc>
          <w:tcPr>
            <w:tcW w:w="1868" w:type="dxa"/>
            <w:tcBorders>
              <w:top w:val="single" w:sz="12" w:space="0" w:color="auto"/>
            </w:tcBorders>
          </w:tcPr>
          <w:p w14:paraId="14051F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c>
          <w:tcPr>
            <w:tcW w:w="1868" w:type="dxa"/>
            <w:tcBorders>
              <w:top w:val="single" w:sz="12" w:space="0" w:color="auto"/>
            </w:tcBorders>
          </w:tcPr>
          <w:p w14:paraId="2391F4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ЯК-9У</w:t>
            </w:r>
          </w:p>
        </w:tc>
      </w:tr>
      <w:tr w:rsidR="00561F31" w:rsidRPr="00F90EAE" w14:paraId="5F1C8485" w14:textId="77777777">
        <w:tc>
          <w:tcPr>
            <w:tcW w:w="1868" w:type="dxa"/>
          </w:tcPr>
          <w:p w14:paraId="52CD71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w:t>
            </w:r>
          </w:p>
        </w:tc>
        <w:tc>
          <w:tcPr>
            <w:tcW w:w="1868" w:type="dxa"/>
          </w:tcPr>
          <w:p w14:paraId="2E8E5F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1868" w:type="dxa"/>
          </w:tcPr>
          <w:p w14:paraId="26E321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w:t>
            </w:r>
          </w:p>
        </w:tc>
        <w:tc>
          <w:tcPr>
            <w:tcW w:w="1868" w:type="dxa"/>
          </w:tcPr>
          <w:p w14:paraId="729614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 и 115</w:t>
            </w:r>
          </w:p>
        </w:tc>
        <w:tc>
          <w:tcPr>
            <w:tcW w:w="1868" w:type="dxa"/>
          </w:tcPr>
          <w:p w14:paraId="02916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w:t>
            </w:r>
          </w:p>
        </w:tc>
        <w:tc>
          <w:tcPr>
            <w:tcW w:w="1868" w:type="dxa"/>
          </w:tcPr>
          <w:p w14:paraId="1E7DE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w:t>
            </w:r>
          </w:p>
        </w:tc>
      </w:tr>
      <w:tr w:rsidR="00561F31" w:rsidRPr="00F90EAE" w14:paraId="7BFBE7F0" w14:textId="77777777">
        <w:tc>
          <w:tcPr>
            <w:tcW w:w="1868" w:type="dxa"/>
          </w:tcPr>
          <w:p w14:paraId="6414D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w:t>
            </w:r>
          </w:p>
        </w:tc>
        <w:tc>
          <w:tcPr>
            <w:tcW w:w="1868" w:type="dxa"/>
          </w:tcPr>
          <w:p w14:paraId="0F264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опытный</w:t>
            </w:r>
          </w:p>
        </w:tc>
        <w:tc>
          <w:tcPr>
            <w:tcW w:w="1868" w:type="dxa"/>
          </w:tcPr>
          <w:p w14:paraId="4A76A5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39-083</w:t>
            </w:r>
          </w:p>
        </w:tc>
        <w:tc>
          <w:tcPr>
            <w:tcW w:w="1868" w:type="dxa"/>
          </w:tcPr>
          <w:p w14:paraId="44A98C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41-038</w:t>
            </w:r>
          </w:p>
        </w:tc>
        <w:tc>
          <w:tcPr>
            <w:tcW w:w="1868" w:type="dxa"/>
          </w:tcPr>
          <w:p w14:paraId="377176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52-082</w:t>
            </w:r>
          </w:p>
        </w:tc>
        <w:tc>
          <w:tcPr>
            <w:tcW w:w="1868" w:type="dxa"/>
          </w:tcPr>
          <w:p w14:paraId="16E57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10-10</w:t>
            </w:r>
          </w:p>
        </w:tc>
      </w:tr>
      <w:tr w:rsidR="00561F31" w:rsidRPr="00F90EAE" w14:paraId="0E653EB5" w14:textId="77777777">
        <w:tc>
          <w:tcPr>
            <w:tcW w:w="1868" w:type="dxa"/>
          </w:tcPr>
          <w:p w14:paraId="09FDED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л.с.</w:t>
            </w:r>
          </w:p>
        </w:tc>
        <w:tc>
          <w:tcPr>
            <w:tcW w:w="1868" w:type="dxa"/>
          </w:tcPr>
          <w:p w14:paraId="6D9D9428"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5149B46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39B70A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D3E3D5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67C5128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1D4C0ED" w14:textId="77777777">
        <w:tc>
          <w:tcPr>
            <w:tcW w:w="1868" w:type="dxa"/>
          </w:tcPr>
          <w:p w14:paraId="5D236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взлетная</w:t>
            </w:r>
          </w:p>
        </w:tc>
        <w:tc>
          <w:tcPr>
            <w:tcW w:w="1868" w:type="dxa"/>
          </w:tcPr>
          <w:p w14:paraId="31706F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41632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c>
          <w:tcPr>
            <w:tcW w:w="1868" w:type="dxa"/>
          </w:tcPr>
          <w:p w14:paraId="13C969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1650</w:t>
            </w:r>
          </w:p>
        </w:tc>
        <w:tc>
          <w:tcPr>
            <w:tcW w:w="1868" w:type="dxa"/>
          </w:tcPr>
          <w:p w14:paraId="30D87B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1650</w:t>
            </w:r>
          </w:p>
        </w:tc>
        <w:tc>
          <w:tcPr>
            <w:tcW w:w="1868" w:type="dxa"/>
          </w:tcPr>
          <w:p w14:paraId="7C0D35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r>
      <w:tr w:rsidR="00561F31" w:rsidRPr="00F90EAE" w14:paraId="558956B8" w14:textId="77777777">
        <w:tc>
          <w:tcPr>
            <w:tcW w:w="1868" w:type="dxa"/>
          </w:tcPr>
          <w:p w14:paraId="79FA0F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w:t>
            </w:r>
          </w:p>
        </w:tc>
        <w:tc>
          <w:tcPr>
            <w:tcW w:w="1868" w:type="dxa"/>
          </w:tcPr>
          <w:p w14:paraId="092DAA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1600/1800</w:t>
            </w:r>
          </w:p>
        </w:tc>
        <w:tc>
          <w:tcPr>
            <w:tcW w:w="1868" w:type="dxa"/>
          </w:tcPr>
          <w:p w14:paraId="3803FF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1550/1200</w:t>
            </w:r>
          </w:p>
        </w:tc>
        <w:tc>
          <w:tcPr>
            <w:tcW w:w="1868" w:type="dxa"/>
          </w:tcPr>
          <w:p w14:paraId="0C6E89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1600/1800</w:t>
            </w:r>
          </w:p>
        </w:tc>
        <w:tc>
          <w:tcPr>
            <w:tcW w:w="1868" w:type="dxa"/>
          </w:tcPr>
          <w:p w14:paraId="07AF1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1600/1800'</w:t>
            </w:r>
          </w:p>
        </w:tc>
        <w:tc>
          <w:tcPr>
            <w:tcW w:w="1868" w:type="dxa"/>
          </w:tcPr>
          <w:p w14:paraId="638738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550/1200</w:t>
            </w:r>
          </w:p>
        </w:tc>
      </w:tr>
      <w:tr w:rsidR="00561F31" w:rsidRPr="00F90EAE" w14:paraId="6CD9DB82" w14:textId="77777777">
        <w:tc>
          <w:tcPr>
            <w:tcW w:w="1868" w:type="dxa"/>
          </w:tcPr>
          <w:p w14:paraId="10D0A704"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FA3F3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1500/4500</w:t>
            </w:r>
          </w:p>
        </w:tc>
        <w:tc>
          <w:tcPr>
            <w:tcW w:w="1868" w:type="dxa"/>
          </w:tcPr>
          <w:p w14:paraId="3FC47E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1450/3800</w:t>
            </w:r>
          </w:p>
        </w:tc>
        <w:tc>
          <w:tcPr>
            <w:tcW w:w="1868" w:type="dxa"/>
          </w:tcPr>
          <w:p w14:paraId="703AE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1500/4500</w:t>
            </w:r>
          </w:p>
        </w:tc>
        <w:tc>
          <w:tcPr>
            <w:tcW w:w="1868" w:type="dxa"/>
          </w:tcPr>
          <w:p w14:paraId="1FF2D7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1500/3800'</w:t>
            </w:r>
          </w:p>
        </w:tc>
        <w:tc>
          <w:tcPr>
            <w:tcW w:w="1868" w:type="dxa"/>
          </w:tcPr>
          <w:p w14:paraId="4241A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450/3800</w:t>
            </w:r>
          </w:p>
        </w:tc>
      </w:tr>
      <w:tr w:rsidR="00561F31" w:rsidRPr="00F90EAE" w14:paraId="77621331" w14:textId="77777777">
        <w:tc>
          <w:tcPr>
            <w:tcW w:w="1868" w:type="dxa"/>
          </w:tcPr>
          <w:p w14:paraId="7CC6E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крыла,м</w:t>
            </w:r>
          </w:p>
        </w:tc>
        <w:tc>
          <w:tcPr>
            <w:tcW w:w="1868" w:type="dxa"/>
          </w:tcPr>
          <w:p w14:paraId="75F168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4950FF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43672F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68A7D5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c>
          <w:tcPr>
            <w:tcW w:w="1868" w:type="dxa"/>
          </w:tcPr>
          <w:p w14:paraId="09B171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9,74</w:t>
            </w:r>
          </w:p>
        </w:tc>
      </w:tr>
      <w:tr w:rsidR="00561F31" w:rsidRPr="00F90EAE" w14:paraId="37E94699" w14:textId="77777777">
        <w:tc>
          <w:tcPr>
            <w:tcW w:w="1868" w:type="dxa"/>
          </w:tcPr>
          <w:p w14:paraId="08874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868" w:type="dxa"/>
          </w:tcPr>
          <w:p w14:paraId="486911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868" w:type="dxa"/>
          </w:tcPr>
          <w:p w14:paraId="01BEE5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868" w:type="dxa"/>
          </w:tcPr>
          <w:p w14:paraId="13641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868" w:type="dxa"/>
          </w:tcPr>
          <w:p w14:paraId="020614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868" w:type="dxa"/>
          </w:tcPr>
          <w:p w14:paraId="3E4D56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r>
      <w:tr w:rsidR="00561F31" w:rsidRPr="00F90EAE" w14:paraId="49026A7A" w14:textId="77777777">
        <w:tc>
          <w:tcPr>
            <w:tcW w:w="1868" w:type="dxa"/>
          </w:tcPr>
          <w:p w14:paraId="0B462B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мг</w:t>
            </w:r>
          </w:p>
        </w:tc>
        <w:tc>
          <w:tcPr>
            <w:tcW w:w="1868" w:type="dxa"/>
          </w:tcPr>
          <w:p w14:paraId="1DEF93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0B0425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39296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04F046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c>
          <w:tcPr>
            <w:tcW w:w="1868" w:type="dxa"/>
          </w:tcPr>
          <w:p w14:paraId="10DEA8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w:t>
            </w:r>
          </w:p>
        </w:tc>
      </w:tr>
      <w:tr w:rsidR="00561F31" w:rsidRPr="00F90EAE" w14:paraId="50D16779" w14:textId="77777777">
        <w:tc>
          <w:tcPr>
            <w:tcW w:w="1868" w:type="dxa"/>
          </w:tcPr>
          <w:p w14:paraId="7CBBAB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868" w:type="dxa"/>
          </w:tcPr>
          <w:p w14:paraId="46BD9D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3204</w:t>
            </w:r>
          </w:p>
        </w:tc>
        <w:tc>
          <w:tcPr>
            <w:tcW w:w="1868" w:type="dxa"/>
          </w:tcPr>
          <w:p w14:paraId="734650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3204</w:t>
            </w:r>
          </w:p>
        </w:tc>
        <w:tc>
          <w:tcPr>
            <w:tcW w:w="1868" w:type="dxa"/>
          </w:tcPr>
          <w:p w14:paraId="6B999D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3145</w:t>
            </w:r>
          </w:p>
        </w:tc>
        <w:tc>
          <w:tcPr>
            <w:tcW w:w="1868" w:type="dxa"/>
          </w:tcPr>
          <w:p w14:paraId="7F2EE4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3268</w:t>
            </w:r>
          </w:p>
        </w:tc>
        <w:tc>
          <w:tcPr>
            <w:tcW w:w="1868" w:type="dxa"/>
          </w:tcPr>
          <w:p w14:paraId="44F046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3197</w:t>
            </w:r>
          </w:p>
        </w:tc>
      </w:tr>
      <w:tr w:rsidR="00561F31" w:rsidRPr="00F90EAE" w14:paraId="697D1BF9" w14:textId="77777777">
        <w:tc>
          <w:tcPr>
            <w:tcW w:w="1868" w:type="dxa"/>
          </w:tcPr>
          <w:p w14:paraId="0C7B6B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868" w:type="dxa"/>
          </w:tcPr>
          <w:p w14:paraId="75D889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0F24EE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2512</w:t>
            </w:r>
          </w:p>
        </w:tc>
        <w:tc>
          <w:tcPr>
            <w:tcW w:w="1868" w:type="dxa"/>
          </w:tcPr>
          <w:p w14:paraId="16D15A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2498</w:t>
            </w:r>
          </w:p>
        </w:tc>
        <w:tc>
          <w:tcPr>
            <w:tcW w:w="1868" w:type="dxa"/>
          </w:tcPr>
          <w:p w14:paraId="78844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2596</w:t>
            </w:r>
          </w:p>
        </w:tc>
        <w:tc>
          <w:tcPr>
            <w:tcW w:w="1868" w:type="dxa"/>
          </w:tcPr>
          <w:p w14:paraId="06EA66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2529</w:t>
            </w:r>
          </w:p>
        </w:tc>
      </w:tr>
      <w:tr w:rsidR="00561F31" w:rsidRPr="00F90EAE" w14:paraId="2910C214" w14:textId="77777777">
        <w:tc>
          <w:tcPr>
            <w:tcW w:w="1868" w:type="dxa"/>
          </w:tcPr>
          <w:p w14:paraId="7FA6FE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1868" w:type="dxa"/>
          </w:tcPr>
          <w:p w14:paraId="447181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w:t>
            </w:r>
          </w:p>
        </w:tc>
        <w:tc>
          <w:tcPr>
            <w:tcW w:w="1868" w:type="dxa"/>
          </w:tcPr>
          <w:p w14:paraId="519048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380</w:t>
            </w:r>
          </w:p>
        </w:tc>
        <w:tc>
          <w:tcPr>
            <w:tcW w:w="1868" w:type="dxa"/>
          </w:tcPr>
          <w:p w14:paraId="273AB7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w:t>
            </w:r>
          </w:p>
        </w:tc>
        <w:tc>
          <w:tcPr>
            <w:tcW w:w="1868" w:type="dxa"/>
          </w:tcPr>
          <w:p w14:paraId="129082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w:t>
            </w:r>
          </w:p>
        </w:tc>
        <w:tc>
          <w:tcPr>
            <w:tcW w:w="1868" w:type="dxa"/>
          </w:tcPr>
          <w:p w14:paraId="4CEFDD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2665BD3" w14:textId="77777777">
        <w:tc>
          <w:tcPr>
            <w:tcW w:w="1868" w:type="dxa"/>
          </w:tcPr>
          <w:p w14:paraId="02F23F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w:t>
            </w:r>
          </w:p>
        </w:tc>
        <w:tc>
          <w:tcPr>
            <w:tcW w:w="1868" w:type="dxa"/>
          </w:tcPr>
          <w:p w14:paraId="227CC63D"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7CDC69D"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C494536"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41F0E9B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52437ED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02284FC" w14:textId="77777777">
        <w:tc>
          <w:tcPr>
            <w:tcW w:w="1868" w:type="dxa"/>
          </w:tcPr>
          <w:p w14:paraId="2BDD4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 земли</w:t>
            </w:r>
          </w:p>
        </w:tc>
        <w:tc>
          <w:tcPr>
            <w:tcW w:w="1868" w:type="dxa"/>
          </w:tcPr>
          <w:p w14:paraId="63DEC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868" w:type="dxa"/>
          </w:tcPr>
          <w:p w14:paraId="73FCF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575</w:t>
            </w:r>
          </w:p>
        </w:tc>
        <w:tc>
          <w:tcPr>
            <w:tcW w:w="1868" w:type="dxa"/>
          </w:tcPr>
          <w:p w14:paraId="4BD71A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577</w:t>
            </w:r>
          </w:p>
        </w:tc>
        <w:tc>
          <w:tcPr>
            <w:tcW w:w="1868" w:type="dxa"/>
          </w:tcPr>
          <w:p w14:paraId="16338F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w:t>
            </w:r>
          </w:p>
        </w:tc>
        <w:tc>
          <w:tcPr>
            <w:tcW w:w="1868" w:type="dxa"/>
          </w:tcPr>
          <w:p w14:paraId="5326B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564</w:t>
            </w:r>
          </w:p>
        </w:tc>
      </w:tr>
      <w:tr w:rsidR="00561F31" w:rsidRPr="00F90EAE" w14:paraId="72073FD1" w14:textId="77777777">
        <w:tc>
          <w:tcPr>
            <w:tcW w:w="1868" w:type="dxa"/>
          </w:tcPr>
          <w:p w14:paraId="17547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1-й гр. высотности, м</w:t>
            </w:r>
          </w:p>
        </w:tc>
        <w:tc>
          <w:tcPr>
            <w:tcW w:w="1868" w:type="dxa"/>
          </w:tcPr>
          <w:p w14:paraId="1F3858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676/3000</w:t>
            </w:r>
          </w:p>
        </w:tc>
        <w:tc>
          <w:tcPr>
            <w:tcW w:w="1868" w:type="dxa"/>
          </w:tcPr>
          <w:p w14:paraId="4FB06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636/2500</w:t>
            </w:r>
          </w:p>
        </w:tc>
        <w:tc>
          <w:tcPr>
            <w:tcW w:w="1868" w:type="dxa"/>
          </w:tcPr>
          <w:p w14:paraId="3CD701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641/2950</w:t>
            </w:r>
          </w:p>
        </w:tc>
        <w:tc>
          <w:tcPr>
            <w:tcW w:w="1868" w:type="dxa"/>
          </w:tcPr>
          <w:p w14:paraId="1F731D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648/3300</w:t>
            </w:r>
          </w:p>
        </w:tc>
        <w:tc>
          <w:tcPr>
            <w:tcW w:w="1868" w:type="dxa"/>
          </w:tcPr>
          <w:p w14:paraId="1E4256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632/2700</w:t>
            </w:r>
          </w:p>
        </w:tc>
      </w:tr>
      <w:tr w:rsidR="00561F31" w:rsidRPr="00F90EAE" w14:paraId="7B0ED063" w14:textId="77777777">
        <w:tc>
          <w:tcPr>
            <w:tcW w:w="1868" w:type="dxa"/>
          </w:tcPr>
          <w:p w14:paraId="1B2831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2-й гр. высотности, м</w:t>
            </w:r>
          </w:p>
        </w:tc>
        <w:tc>
          <w:tcPr>
            <w:tcW w:w="1868" w:type="dxa"/>
          </w:tcPr>
          <w:p w14:paraId="70124A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700/5500</w:t>
            </w:r>
          </w:p>
        </w:tc>
        <w:tc>
          <w:tcPr>
            <w:tcW w:w="1868" w:type="dxa"/>
          </w:tcPr>
          <w:p w14:paraId="08B421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672/5000</w:t>
            </w:r>
          </w:p>
        </w:tc>
        <w:tc>
          <w:tcPr>
            <w:tcW w:w="1868" w:type="dxa"/>
          </w:tcPr>
          <w:p w14:paraId="016C4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676/5900</w:t>
            </w:r>
          </w:p>
        </w:tc>
        <w:tc>
          <w:tcPr>
            <w:tcW w:w="1868" w:type="dxa"/>
          </w:tcPr>
          <w:p w14:paraId="3310F0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680/5850</w:t>
            </w:r>
          </w:p>
        </w:tc>
        <w:tc>
          <w:tcPr>
            <w:tcW w:w="1868" w:type="dxa"/>
          </w:tcPr>
          <w:p w14:paraId="2BE13D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668/5300</w:t>
            </w:r>
          </w:p>
        </w:tc>
      </w:tr>
      <w:tr w:rsidR="00561F31" w:rsidRPr="00F90EAE" w14:paraId="000A0300" w14:textId="77777777">
        <w:tc>
          <w:tcPr>
            <w:tcW w:w="1868" w:type="dxa"/>
          </w:tcPr>
          <w:p w14:paraId="025D5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w:t>
            </w:r>
          </w:p>
        </w:tc>
        <w:tc>
          <w:tcPr>
            <w:tcW w:w="1868" w:type="dxa"/>
          </w:tcPr>
          <w:p w14:paraId="51AB7DEC"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3B0A9E8E"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171739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86B748B"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6D62BD6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A51C252" w14:textId="77777777">
        <w:tc>
          <w:tcPr>
            <w:tcW w:w="1868" w:type="dxa"/>
          </w:tcPr>
          <w:p w14:paraId="1B21C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высоты 5000 м, мин</w:t>
            </w:r>
          </w:p>
        </w:tc>
        <w:tc>
          <w:tcPr>
            <w:tcW w:w="1868" w:type="dxa"/>
          </w:tcPr>
          <w:p w14:paraId="7A27FE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868" w:type="dxa"/>
          </w:tcPr>
          <w:p w14:paraId="6B5E6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868" w:type="dxa"/>
          </w:tcPr>
          <w:p w14:paraId="1EA86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868" w:type="dxa"/>
          </w:tcPr>
          <w:p w14:paraId="3D2306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5,4/4,4</w:t>
            </w:r>
          </w:p>
        </w:tc>
        <w:tc>
          <w:tcPr>
            <w:tcW w:w="1868" w:type="dxa"/>
          </w:tcPr>
          <w:p w14:paraId="03CF1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r>
      <w:tr w:rsidR="00561F31" w:rsidRPr="00F90EAE" w14:paraId="1295E48F" w14:textId="77777777">
        <w:tc>
          <w:tcPr>
            <w:tcW w:w="1868" w:type="dxa"/>
          </w:tcPr>
          <w:p w14:paraId="6D98A5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868" w:type="dxa"/>
          </w:tcPr>
          <w:p w14:paraId="1411CD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0A089B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10650</w:t>
            </w:r>
          </w:p>
        </w:tc>
        <w:tc>
          <w:tcPr>
            <w:tcW w:w="1868" w:type="dxa"/>
          </w:tcPr>
          <w:p w14:paraId="0750D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10850</w:t>
            </w:r>
          </w:p>
        </w:tc>
        <w:tc>
          <w:tcPr>
            <w:tcW w:w="1868" w:type="dxa"/>
          </w:tcPr>
          <w:p w14:paraId="44378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2113E0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507DA3D" w14:textId="77777777">
        <w:tc>
          <w:tcPr>
            <w:tcW w:w="1868" w:type="dxa"/>
          </w:tcPr>
          <w:p w14:paraId="1B6DFA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w:t>
            </w:r>
          </w:p>
        </w:tc>
        <w:tc>
          <w:tcPr>
            <w:tcW w:w="1868" w:type="dxa"/>
          </w:tcPr>
          <w:p w14:paraId="652DBF9A"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271C6F22"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08E02C51"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1B10E569" w14:textId="77777777" w:rsidR="00665165" w:rsidRPr="00F90EAE" w:rsidRDefault="00665165" w:rsidP="00F90EAE">
            <w:pPr>
              <w:autoSpaceDE w:val="0"/>
              <w:autoSpaceDN w:val="0"/>
              <w:adjustRightInd w:val="0"/>
              <w:jc w:val="both"/>
              <w:rPr>
                <w:color w:val="000000" w:themeColor="text1"/>
                <w:sz w:val="16"/>
                <w:szCs w:val="16"/>
              </w:rPr>
            </w:pPr>
          </w:p>
        </w:tc>
        <w:tc>
          <w:tcPr>
            <w:tcW w:w="1868" w:type="dxa"/>
          </w:tcPr>
          <w:p w14:paraId="723DB9A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7CDC0E6" w14:textId="77777777">
        <w:tc>
          <w:tcPr>
            <w:tcW w:w="1868" w:type="dxa"/>
          </w:tcPr>
          <w:p w14:paraId="594C34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1000 м,</w:t>
            </w:r>
          </w:p>
        </w:tc>
        <w:tc>
          <w:tcPr>
            <w:tcW w:w="1868" w:type="dxa"/>
          </w:tcPr>
          <w:p w14:paraId="5B7B3A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1868" w:type="dxa"/>
          </w:tcPr>
          <w:p w14:paraId="217D6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62DBB6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22069B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Pr>
          <w:p w14:paraId="728307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05308B3" w14:textId="77777777">
        <w:tc>
          <w:tcPr>
            <w:tcW w:w="1868" w:type="dxa"/>
            <w:tcBorders>
              <w:bottom w:val="single" w:sz="12" w:space="0" w:color="auto"/>
            </w:tcBorders>
          </w:tcPr>
          <w:p w14:paraId="1B6DF1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868" w:type="dxa"/>
            <w:tcBorders>
              <w:bottom w:val="single" w:sz="12" w:space="0" w:color="auto"/>
            </w:tcBorders>
          </w:tcPr>
          <w:p w14:paraId="63CA18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884</w:t>
            </w:r>
          </w:p>
        </w:tc>
        <w:tc>
          <w:tcPr>
            <w:tcW w:w="1868" w:type="dxa"/>
            <w:tcBorders>
              <w:bottom w:val="single" w:sz="12" w:space="0" w:color="auto"/>
            </w:tcBorders>
          </w:tcPr>
          <w:p w14:paraId="5B2CE9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675"</w:t>
            </w:r>
          </w:p>
        </w:tc>
        <w:tc>
          <w:tcPr>
            <w:tcW w:w="1868" w:type="dxa"/>
            <w:tcBorders>
              <w:bottom w:val="single" w:sz="12" w:space="0" w:color="auto"/>
            </w:tcBorders>
          </w:tcPr>
          <w:p w14:paraId="64FAC3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10603)</w:t>
            </w:r>
          </w:p>
        </w:tc>
        <w:tc>
          <w:tcPr>
            <w:tcW w:w="1868" w:type="dxa"/>
            <w:tcBorders>
              <w:bottom w:val="single" w:sz="12" w:space="0" w:color="auto"/>
            </w:tcBorders>
          </w:tcPr>
          <w:p w14:paraId="03266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868" w:type="dxa"/>
            <w:tcBorders>
              <w:bottom w:val="single" w:sz="12" w:space="0" w:color="auto"/>
            </w:tcBorders>
          </w:tcPr>
          <w:p w14:paraId="72E9D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7855</w:t>
            </w:r>
          </w:p>
        </w:tc>
      </w:tr>
    </w:tbl>
    <w:p w14:paraId="5C816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результатам испытаний</w:t>
      </w:r>
      <w:r w:rsidRPr="00F90EAE">
        <w:rPr>
          <w:color w:val="000000" w:themeColor="text1"/>
          <w:sz w:val="16"/>
          <w:szCs w:val="16"/>
        </w:rPr>
        <w:tab/>
        <w:t>в январе 1941 г.</w:t>
      </w:r>
      <w:r w:rsidRPr="00F90EAE">
        <w:rPr>
          <w:color w:val="000000" w:themeColor="text1"/>
          <w:sz w:val="16"/>
          <w:szCs w:val="16"/>
        </w:rPr>
        <w:tab/>
      </w:r>
      <w:r w:rsidRPr="00F90EAE">
        <w:rPr>
          <w:color w:val="000000" w:themeColor="text1"/>
          <w:sz w:val="16"/>
          <w:szCs w:val="16"/>
        </w:rPr>
        <w:tab/>
      </w:r>
      <w:r w:rsidRPr="00F90EAE">
        <w:rPr>
          <w:color w:val="000000" w:themeColor="text1"/>
          <w:sz w:val="16"/>
          <w:szCs w:val="16"/>
        </w:rPr>
        <w:tab/>
      </w:r>
      <w:r w:rsidRPr="00F90EAE">
        <w:rPr>
          <w:color w:val="000000" w:themeColor="text1"/>
          <w:sz w:val="16"/>
          <w:szCs w:val="16"/>
        </w:rPr>
        <w:tab/>
      </w:r>
    </w:p>
    <w:p w14:paraId="6B7668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Эталон 1945 г.</w:t>
      </w:r>
    </w:p>
    <w:p w14:paraId="38875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 наивыгоднейшем режиме (скорость 314 км/ч и высота 1000 м), продолжительность полета 3 часа 23 минуты. На режиме скоростной дальности (0,9 от максимальной) - 640 км и продолжительность 1 час 18 минут).</w:t>
      </w:r>
    </w:p>
    <w:p w14:paraId="3A87F9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На скорости 508 км/ч и высоте 5070 м, продолжительность полета 1 час 21 минута.</w:t>
      </w:r>
    </w:p>
    <w:p w14:paraId="0D8C95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На скорости 509 км/ч и высоте 5040 м, продолжительность полета 1 час 33 минуты) (12046).</w:t>
      </w:r>
    </w:p>
    <w:p w14:paraId="6556E2BD" w14:textId="77777777" w:rsidR="00665165" w:rsidRPr="00F90EAE" w:rsidRDefault="00665165" w:rsidP="00F90EAE">
      <w:pPr>
        <w:autoSpaceDE w:val="0"/>
        <w:autoSpaceDN w:val="0"/>
        <w:adjustRightInd w:val="0"/>
        <w:jc w:val="both"/>
        <w:rPr>
          <w:color w:val="000000" w:themeColor="text1"/>
          <w:sz w:val="16"/>
          <w:szCs w:val="16"/>
        </w:rPr>
      </w:pPr>
    </w:p>
    <w:p w14:paraId="51456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в одном из полков 5-й воздушной армии была катастрофа с Ла-7 и выяснилось, что на заводе при установке консолей крыла стыковочные отверстия центроплана и консолей не совпали, и слесарь-сборщик решил этот вопрос по- своему - посадил болты лонжерона с помощью кувалды...(11986).</w:t>
      </w:r>
    </w:p>
    <w:p w14:paraId="6E461946" w14:textId="77777777" w:rsidR="00665165" w:rsidRPr="00F90EAE" w:rsidRDefault="00665165" w:rsidP="00F90EAE">
      <w:pPr>
        <w:autoSpaceDE w:val="0"/>
        <w:autoSpaceDN w:val="0"/>
        <w:adjustRightInd w:val="0"/>
        <w:jc w:val="both"/>
        <w:rPr>
          <w:color w:val="000000" w:themeColor="text1"/>
          <w:sz w:val="16"/>
          <w:szCs w:val="16"/>
        </w:rPr>
      </w:pPr>
    </w:p>
    <w:p w14:paraId="124494A8" w14:textId="77777777" w:rsidR="00A278CB" w:rsidRPr="00F90EAE" w:rsidRDefault="00A278CB" w:rsidP="00F90EAE">
      <w:pPr>
        <w:jc w:val="both"/>
        <w:rPr>
          <w:color w:val="000000" w:themeColor="text1"/>
          <w:sz w:val="16"/>
          <w:szCs w:val="16"/>
        </w:rPr>
      </w:pPr>
      <w:r w:rsidRPr="00F90EAE">
        <w:rPr>
          <w:color w:val="000000" w:themeColor="text1"/>
          <w:sz w:val="16"/>
          <w:szCs w:val="16"/>
        </w:rPr>
        <w:t>В апреле 1945 г., через год после организации серийного производства Ла-7, в строевые части стали поступать истребители с тремя 20-мм пушками Березина (в серии они назывались Б-20). В числе опытных вариантов вооружения, опробованных на Ла-7 в годы войны, можно указать три: - с двумя синхронными 23-мм пушками НС-23 разработки ОКБ-16; - с тремя 20-мм пушками СШ-20 разработки ОКБ-15; - с тремя опытными пушками Ш-23 разработки ОКБ-15. Все эти варианты были забракованы из-за неудовлетворительной надежности. А в 1946 г. испытывался опытный истребитель «126» (цельнометаллический Ла-7) с четырьмя синхронными пушками НС-23, ставший промежуточным шагом на пути к Ла-9 (18999).</w:t>
      </w:r>
    </w:p>
    <w:p w14:paraId="6C07BF2E" w14:textId="77777777" w:rsidR="00A278CB" w:rsidRPr="00F90EAE" w:rsidRDefault="00A278CB" w:rsidP="00F90EAE">
      <w:pPr>
        <w:jc w:val="both"/>
        <w:rPr>
          <w:color w:val="000000" w:themeColor="text1"/>
          <w:sz w:val="16"/>
          <w:szCs w:val="16"/>
        </w:rPr>
      </w:pPr>
    </w:p>
    <w:p w14:paraId="003E32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года в отчете старшего военпреда завода №19 инженер-майора И.К. Четверика от</w:t>
      </w:r>
      <w:r w:rsidRPr="00F90EAE">
        <w:rPr>
          <w:color w:val="000000" w:themeColor="text1"/>
          <w:sz w:val="16"/>
          <w:szCs w:val="16"/>
        </w:rPr>
        <w:softHyphen/>
        <w:t>мечалось:</w:t>
      </w:r>
    </w:p>
    <w:p w14:paraId="6D31F2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«Рекламации: По АШ-82ФН - по</w:t>
      </w:r>
      <w:r w:rsidRPr="00F90EAE">
        <w:rPr>
          <w:color w:val="000000" w:themeColor="text1"/>
          <w:sz w:val="16"/>
          <w:szCs w:val="16"/>
        </w:rPr>
        <w:softHyphen/>
        <w:t>ступило 147, принято 22, отклонено 125...</w:t>
      </w:r>
    </w:p>
    <w:p w14:paraId="30244A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Надо отметить, что почти все от</w:t>
      </w:r>
      <w:r w:rsidRPr="00F90EAE">
        <w:rPr>
          <w:color w:val="000000" w:themeColor="text1"/>
          <w:sz w:val="16"/>
          <w:szCs w:val="16"/>
        </w:rPr>
        <w:softHyphen/>
        <w:t>клоненные рекламации относятся к числу односторонних, которых в ап</w:t>
      </w:r>
      <w:r w:rsidRPr="00F90EAE">
        <w:rPr>
          <w:color w:val="000000" w:themeColor="text1"/>
          <w:sz w:val="16"/>
          <w:szCs w:val="16"/>
        </w:rPr>
        <w:softHyphen/>
        <w:t>реле поступило особенно много, и рекламаций по износу гильз цилин</w:t>
      </w:r>
      <w:r w:rsidRPr="00F90EAE">
        <w:rPr>
          <w:color w:val="000000" w:themeColor="text1"/>
          <w:sz w:val="16"/>
          <w:szCs w:val="16"/>
        </w:rPr>
        <w:softHyphen/>
        <w:t>дров на Ла-7, которые завод также не принимает, считая виновником завод №21 и №381...» (10730).</w:t>
      </w:r>
    </w:p>
    <w:p w14:paraId="7B3A4C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6904BA1"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апреле 1945 г. предварительное проектирование самолета Ла-150 было закончено. В мае 1945 г. в ОКБ и на заводе № 81 при ступили к изготовлению рабочих чертежей и макета самоле та,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68B209AC"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самолета Не 162). К концу августа </w:t>
      </w:r>
      <w:r w:rsidRPr="00F90EAE">
        <w:rPr>
          <w:color w:val="000000" w:themeColor="text1"/>
          <w:sz w:val="16"/>
          <w:szCs w:val="16"/>
        </w:rPr>
        <w:lastRenderedPageBreak/>
        <w:t>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1129EF71" w14:textId="77777777" w:rsidR="00715145" w:rsidRPr="00F90EAE" w:rsidRDefault="00715145" w:rsidP="00F90EAE">
      <w:pPr>
        <w:jc w:val="both"/>
        <w:rPr>
          <w:color w:val="000000" w:themeColor="text1"/>
          <w:sz w:val="16"/>
          <w:szCs w:val="16"/>
        </w:rPr>
      </w:pPr>
    </w:p>
    <w:p w14:paraId="10D3815E"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апреле 1945 г. в ОКБ С.А. Лавочкина был выпущен про ект тяжелого двухдвигательного реактивного истребителя «160» (одновременно с проектом самолета «150») под два ТРД Jumo-004.</w:t>
      </w:r>
    </w:p>
    <w:p w14:paraId="1D16B949"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Причин такого подхода были две. Первая лежала в облас ти техники: тяга одного Jurao и, тем более, BMW была недо статочной для создания полноценного однодвигательного ис требителя с летными данными, сравнимыми (кроме, конечно, максимальной скорости) с данными тогдашних поршневых истребителей. Чтобы обеспечить приемлемые взлетно-посадоч ные характеристики, маневренность и скороподъемность, при ходилось максимально ограничивать количество горючего и вооружение, что снижало боевые качества самолета. Не слу чайно в Германии и Великобритании первыми серийными ре активными самолетами стали именно двухдвигательные «Мес сершмитт-262» и Глостер «Метеор». В отличие от заграницы в СССР сложилась концепция «массового легкого маневрен ного истребителя», предназначенного в первую очередь для воз душного боя и завоевания превосходства в воздухе. Задачи, решаемые немецким Ме-262 — перехват тяжелых бомбарди ровщиков и нанесение бомбоштурмовых ударов, были нашим истребителям в значительной мере несвойственны, особенно в конце войны. Естественно, что С.А. Лавочкин считал, что эту линию необходимо продолжать при создании реактивных ис требителей.</w:t>
      </w:r>
    </w:p>
    <w:p w14:paraId="0BCED999"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Однако в ОКБ вырос и теперь претендовал на выработку собственных решений такой способный конструктор и руково дитель, как СМ. Алексеев, приложивший руку к проектиро ванию Ла-ВРД. Теперь именно благодаря его влиянию (это вторая причина) наряду с легким истребителем «150» был спро ектирован более тяжелый самолет «160» с более мощным воо ружением и большим запасом горючего.</w:t>
      </w:r>
    </w:p>
    <w:p w14:paraId="197E7F47"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Вооружение состояло из трех пушек НС-23 с боезапасом по 80 патронов к каждой в носовой части фюзеляжа на общем лафете;</w:t>
      </w:r>
    </w:p>
    <w:p w14:paraId="24E57F37"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бронирование, исходя из основного назначения само лета — борьба с тяжелыми бомбардировщиками, — только спе реди;</w:t>
      </w:r>
    </w:p>
    <w:p w14:paraId="134E3235"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кабина рассчитана на полную герметизацию. Несмотря на то, что самолет «160» по компоновке и своим функциям аналогичен немецкому Ме-262 и английскому «Метеору» и мог считаться «тяжелым» истребителем, его проектный полетный вес был намного меньше: 4020 кг вместо 6500...7000 кг у пос ледних, в основном из-за меньшего запаса горючего. Правда, во время войны у нас сильно занижали предполагаемые по летные массы иностранных самолетов. Так, например, счита лось, что полетная масса Ме-262 составляет всего около 4500 кг.</w:t>
      </w:r>
    </w:p>
    <w:p w14:paraId="39E8CAD6"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Самолет «160», спроектированный для тех же задач, что и Ме-262, имел значительно меньшую расчетную полетную массу.</w:t>
      </w:r>
    </w:p>
    <w:p w14:paraId="32BA3455" w14:textId="77777777" w:rsidR="00715145" w:rsidRPr="00F90EAE" w:rsidRDefault="00715145"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Сил у ОКБ и производства явно не хватало для параллель ной работы над двумя реактивными самолетами. А так как создание легкого маневренного истребителя для воздушного боя считалось первоочередной задачей, проект «160» был от ложен. В 1946 г. С.А. Лавочкин благословил своего замести-, теля СМ. Алексеева на самостоятельную работу. Став главным конструктором ОКБ-21 в Горьком, тот направил усилия в первую очередь на разработку двухдвигательных истребителей (19586).</w:t>
      </w:r>
    </w:p>
    <w:p w14:paraId="2C766A63" w14:textId="77777777" w:rsidR="00715145" w:rsidRPr="00F90EAE" w:rsidRDefault="00715145" w:rsidP="00F90EAE">
      <w:pPr>
        <w:pStyle w:val="ae"/>
        <w:shd w:val="clear" w:color="auto" w:fill="FFFFFF"/>
        <w:spacing w:before="0" w:after="0"/>
        <w:jc w:val="both"/>
        <w:rPr>
          <w:color w:val="000000" w:themeColor="text1"/>
          <w:sz w:val="16"/>
          <w:szCs w:val="16"/>
        </w:rPr>
      </w:pPr>
    </w:p>
    <w:p w14:paraId="55DC12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 НИИ ВВС или ЛИИ испытывали Спитфайр LF-IX с Р-Р Мерлин-66 (173,245).</w:t>
      </w:r>
    </w:p>
    <w:p w14:paraId="76C6932D" w14:textId="77777777" w:rsidR="00665165" w:rsidRPr="00F90EAE" w:rsidRDefault="00665165" w:rsidP="00F90EAE">
      <w:pPr>
        <w:autoSpaceDE w:val="0"/>
        <w:autoSpaceDN w:val="0"/>
        <w:adjustRightInd w:val="0"/>
        <w:jc w:val="both"/>
        <w:rPr>
          <w:color w:val="000000" w:themeColor="text1"/>
          <w:sz w:val="16"/>
          <w:szCs w:val="16"/>
        </w:rPr>
      </w:pPr>
    </w:p>
    <w:p w14:paraId="3B0914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667720A0" w14:textId="77777777" w:rsidR="00665165" w:rsidRPr="00F90EAE" w:rsidRDefault="00665165" w:rsidP="00F90EAE">
      <w:pPr>
        <w:autoSpaceDE w:val="0"/>
        <w:autoSpaceDN w:val="0"/>
        <w:adjustRightInd w:val="0"/>
        <w:jc w:val="both"/>
        <w:rPr>
          <w:color w:val="000000" w:themeColor="text1"/>
          <w:sz w:val="16"/>
          <w:szCs w:val="16"/>
        </w:rPr>
      </w:pPr>
    </w:p>
    <w:p w14:paraId="032B77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по просьбе А.Н. Туполева два дизеля АЧ-30БФ отправились в ОКБ-156: они предназначались для самолета "67", начало летных испытаний которого планировалось на конец мая (8984).</w:t>
      </w:r>
    </w:p>
    <w:p w14:paraId="3593B653" w14:textId="77777777" w:rsidR="00665165" w:rsidRPr="00F90EAE" w:rsidRDefault="00665165" w:rsidP="00F90EAE">
      <w:pPr>
        <w:autoSpaceDE w:val="0"/>
        <w:autoSpaceDN w:val="0"/>
        <w:adjustRightInd w:val="0"/>
        <w:jc w:val="both"/>
        <w:rPr>
          <w:color w:val="000000" w:themeColor="text1"/>
          <w:sz w:val="16"/>
          <w:szCs w:val="16"/>
        </w:rPr>
      </w:pPr>
    </w:p>
    <w:p w14:paraId="7EC665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апреля 1945 г. на АЧ-30Б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1C3747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FD05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завод 22 собрал опытный высотный бомбардировщик "ВБ" с гермокабиной, рассчитанный под проектировавшиеся двигатели ВК-109. Оснащенные двухступенчатыми центробежными нагнетателями, они имели также многоскоростную систему регулирования давления на входе в цилиндры. Ожидалось, что у земли двигатель будет развивать мощность 2075 л.с., а на высоте 8000 м - 1530 л.с. Ведущим конструктором по ВБ-109 был М.К.Янгель. Но в связи с отсутствием двигателей ВК-109, которые, в соответствии с приказом НКАП № 358 от 27 мая 1944 г., должны были поставить ОКБ 1 января 1945 г., установили менее мощные ВК-108. Казалось, что эта замена все же позволит, хотя и не в полном объеме, определить летные характеристики машины, испытать высотное оборудование и гермокабину. Но и на этом пути встретилось препятствие - задержалась поставка в ОКБ-482 с завода № 26 кабинных нагнетателей. В итоге наземные заводские испытания начались лишь в декабре 1945 г. (3337).</w:t>
      </w:r>
    </w:p>
    <w:p w14:paraId="47DEB973" w14:textId="77777777" w:rsidR="00665165" w:rsidRPr="00F90EAE" w:rsidRDefault="00665165" w:rsidP="00F90EAE">
      <w:pPr>
        <w:autoSpaceDE w:val="0"/>
        <w:autoSpaceDN w:val="0"/>
        <w:adjustRightInd w:val="0"/>
        <w:jc w:val="both"/>
        <w:rPr>
          <w:color w:val="000000" w:themeColor="text1"/>
          <w:sz w:val="16"/>
          <w:szCs w:val="16"/>
        </w:rPr>
      </w:pPr>
    </w:p>
    <w:p w14:paraId="467D5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испытывался Пе-8 (ТБ-7) для спецрейсов в салоне на 12 чел., но так и не использовался толком (4,163).</w:t>
      </w:r>
    </w:p>
    <w:p w14:paraId="51258F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29083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3B171B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00948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5D1116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73A24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33729D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4F1216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408C4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5F6DC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12B98E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3973C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0BEF8B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7FD485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1708F9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4E627E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38C00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1CF99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2E5BB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FB066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7D59E5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7CB594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5D0D8A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B8AE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4A26F1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30D54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6FF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9B9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FD5D8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19DC0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28DADC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6F3DE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34E88B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584141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5A7DB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24D815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10B123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76A73D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08F88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4121AE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44373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165BEC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5F8AD1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6B8FCC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06A38A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AFBD3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39E33C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D8E1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2F2240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5015C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41C1EFC0" w14:textId="77777777">
        <w:tc>
          <w:tcPr>
            <w:tcW w:w="4219" w:type="dxa"/>
            <w:tcBorders>
              <w:top w:val="single" w:sz="12" w:space="0" w:color="auto"/>
            </w:tcBorders>
          </w:tcPr>
          <w:p w14:paraId="6ED9BD35" w14:textId="77777777" w:rsidR="00665165" w:rsidRPr="00F90EAE" w:rsidRDefault="00665165"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323C99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59E18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3CFFF0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5D9652F3" w14:textId="77777777">
        <w:tc>
          <w:tcPr>
            <w:tcW w:w="4219" w:type="dxa"/>
          </w:tcPr>
          <w:p w14:paraId="48176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440D19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459CEF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308AF2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462C1950" w14:textId="77777777">
        <w:tc>
          <w:tcPr>
            <w:tcW w:w="4219" w:type="dxa"/>
          </w:tcPr>
          <w:p w14:paraId="6AF92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726E06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01F231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43524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1C887E6F" w14:textId="77777777">
        <w:tc>
          <w:tcPr>
            <w:tcW w:w="4219" w:type="dxa"/>
          </w:tcPr>
          <w:p w14:paraId="24D3E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70363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6B1A4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6AA6D0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3A018807" w14:textId="77777777">
        <w:tc>
          <w:tcPr>
            <w:tcW w:w="4219" w:type="dxa"/>
          </w:tcPr>
          <w:p w14:paraId="3B671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7CFE80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4A9526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56E21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1C9718AD" w14:textId="77777777">
        <w:tc>
          <w:tcPr>
            <w:tcW w:w="4219" w:type="dxa"/>
          </w:tcPr>
          <w:p w14:paraId="67CC58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255D8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0FFC3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59EE0D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49050A5F" w14:textId="77777777">
        <w:tc>
          <w:tcPr>
            <w:tcW w:w="4219" w:type="dxa"/>
          </w:tcPr>
          <w:p w14:paraId="6B9A77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1FE9E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6AD8A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14EC51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26A20230" w14:textId="77777777">
        <w:tc>
          <w:tcPr>
            <w:tcW w:w="4219" w:type="dxa"/>
          </w:tcPr>
          <w:p w14:paraId="616BB9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7CC2C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56E29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4E2619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17DAF5A8" w14:textId="77777777">
        <w:tc>
          <w:tcPr>
            <w:tcW w:w="4219" w:type="dxa"/>
          </w:tcPr>
          <w:p w14:paraId="303AAF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566D6B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3ED3E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6284B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3F422E8D" w14:textId="77777777">
        <w:tc>
          <w:tcPr>
            <w:tcW w:w="4219" w:type="dxa"/>
          </w:tcPr>
          <w:p w14:paraId="460EF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463B4F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6C6161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6EE76C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036778E4" w14:textId="77777777">
        <w:tc>
          <w:tcPr>
            <w:tcW w:w="4219" w:type="dxa"/>
          </w:tcPr>
          <w:p w14:paraId="6900A6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58F1D7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50DFFE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3C2F73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60EBAC27" w14:textId="77777777">
        <w:tc>
          <w:tcPr>
            <w:tcW w:w="4219" w:type="dxa"/>
          </w:tcPr>
          <w:p w14:paraId="339578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083BBC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76B204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267491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227DD575" w14:textId="77777777">
        <w:tc>
          <w:tcPr>
            <w:tcW w:w="4219" w:type="dxa"/>
          </w:tcPr>
          <w:p w14:paraId="4C3837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23B124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5DC7D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5720D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30C6D314" w14:textId="77777777">
        <w:tc>
          <w:tcPr>
            <w:tcW w:w="4219" w:type="dxa"/>
          </w:tcPr>
          <w:p w14:paraId="5072B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5ADCF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6A660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663F9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3D1F7CF1" w14:textId="77777777">
        <w:tc>
          <w:tcPr>
            <w:tcW w:w="4219" w:type="dxa"/>
          </w:tcPr>
          <w:p w14:paraId="569C85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4DB77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11F56F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0FBC1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6EFA7F8E" w14:textId="77777777">
        <w:tc>
          <w:tcPr>
            <w:tcW w:w="4219" w:type="dxa"/>
          </w:tcPr>
          <w:p w14:paraId="7C08F0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7DF9C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7227F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02B4D9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340AFD44" w14:textId="77777777">
        <w:tc>
          <w:tcPr>
            <w:tcW w:w="4219" w:type="dxa"/>
          </w:tcPr>
          <w:p w14:paraId="1AFC70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6165C6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188E3D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23E8C6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24AE98CC" w14:textId="77777777">
        <w:tc>
          <w:tcPr>
            <w:tcW w:w="4219" w:type="dxa"/>
          </w:tcPr>
          <w:p w14:paraId="24A2D6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15F960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1AE96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07BE2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343A2B3D" w14:textId="77777777">
        <w:tc>
          <w:tcPr>
            <w:tcW w:w="4219" w:type="dxa"/>
            <w:tcBorders>
              <w:bottom w:val="single" w:sz="12" w:space="0" w:color="auto"/>
            </w:tcBorders>
          </w:tcPr>
          <w:p w14:paraId="592887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02E503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26D5E9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775C8A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36999B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3DFAD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5BF33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1C104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Допустимая нагрузка при перегрузке: горючее - 5300, масло 200, всего 5500</w:t>
      </w:r>
    </w:p>
    <w:p w14:paraId="37DB05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56761FE3" w14:textId="77777777">
        <w:tc>
          <w:tcPr>
            <w:tcW w:w="675" w:type="dxa"/>
            <w:tcBorders>
              <w:top w:val="single" w:sz="12" w:space="0" w:color="auto"/>
            </w:tcBorders>
          </w:tcPr>
          <w:p w14:paraId="687A1F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30175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0B023F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70502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4D9B3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20D7E619" w14:textId="77777777">
        <w:tc>
          <w:tcPr>
            <w:tcW w:w="675" w:type="dxa"/>
          </w:tcPr>
          <w:p w14:paraId="0CB22F05" w14:textId="77777777" w:rsidR="00665165" w:rsidRPr="00F90EAE" w:rsidRDefault="00665165" w:rsidP="00F90EAE">
            <w:pPr>
              <w:autoSpaceDE w:val="0"/>
              <w:autoSpaceDN w:val="0"/>
              <w:adjustRightInd w:val="0"/>
              <w:jc w:val="both"/>
              <w:rPr>
                <w:color w:val="000000" w:themeColor="text1"/>
                <w:sz w:val="16"/>
                <w:szCs w:val="16"/>
              </w:rPr>
            </w:pPr>
          </w:p>
        </w:tc>
        <w:tc>
          <w:tcPr>
            <w:tcW w:w="993" w:type="dxa"/>
          </w:tcPr>
          <w:p w14:paraId="2AC28758"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03CEFB1D"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684273B"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06E1D5E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A3C6EB0" w14:textId="77777777">
        <w:tc>
          <w:tcPr>
            <w:tcW w:w="675" w:type="dxa"/>
          </w:tcPr>
          <w:p w14:paraId="15A305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2A0897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26B1CB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DD812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35549D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07453560" w14:textId="77777777">
        <w:tc>
          <w:tcPr>
            <w:tcW w:w="675" w:type="dxa"/>
          </w:tcPr>
          <w:p w14:paraId="4B6F0F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7EB78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62E088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5ACF3B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5B2A77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172D8B02" w14:textId="77777777">
        <w:tc>
          <w:tcPr>
            <w:tcW w:w="675" w:type="dxa"/>
          </w:tcPr>
          <w:p w14:paraId="051D6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5308B9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10C9A1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23E28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45B3A0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120C30C0" w14:textId="77777777">
        <w:tc>
          <w:tcPr>
            <w:tcW w:w="675" w:type="dxa"/>
          </w:tcPr>
          <w:p w14:paraId="493A82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64B5D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2F654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5A9111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0A4B9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7E8ECFFA" w14:textId="77777777">
        <w:tc>
          <w:tcPr>
            <w:tcW w:w="675" w:type="dxa"/>
          </w:tcPr>
          <w:p w14:paraId="78B6F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1EDE68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554AD4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2CEBB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3FF394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6782ED4E" w14:textId="77777777">
        <w:tc>
          <w:tcPr>
            <w:tcW w:w="675" w:type="dxa"/>
          </w:tcPr>
          <w:p w14:paraId="47CDAC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3850F6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1505EE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1F976D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0F4866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34CDB61C" w14:textId="77777777">
        <w:tc>
          <w:tcPr>
            <w:tcW w:w="675" w:type="dxa"/>
          </w:tcPr>
          <w:p w14:paraId="24D6C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5F12A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692691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7A72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336B4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7EE58B83" w14:textId="77777777">
        <w:tc>
          <w:tcPr>
            <w:tcW w:w="675" w:type="dxa"/>
          </w:tcPr>
          <w:p w14:paraId="52D017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142E06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44B03C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381944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3C616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37188D4C" w14:textId="77777777">
        <w:tc>
          <w:tcPr>
            <w:tcW w:w="675" w:type="dxa"/>
            <w:tcBorders>
              <w:bottom w:val="single" w:sz="12" w:space="0" w:color="auto"/>
            </w:tcBorders>
          </w:tcPr>
          <w:p w14:paraId="47262D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1E996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7E4A5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04FF5C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538883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43F17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189056CB" w14:textId="77777777">
        <w:tc>
          <w:tcPr>
            <w:tcW w:w="1868" w:type="dxa"/>
            <w:tcBorders>
              <w:top w:val="single" w:sz="12" w:space="0" w:color="auto"/>
            </w:tcBorders>
          </w:tcPr>
          <w:p w14:paraId="21206E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высота</w:t>
            </w:r>
          </w:p>
        </w:tc>
        <w:tc>
          <w:tcPr>
            <w:tcW w:w="1075" w:type="dxa"/>
            <w:tcBorders>
              <w:top w:val="single" w:sz="12" w:space="0" w:color="auto"/>
            </w:tcBorders>
          </w:tcPr>
          <w:p w14:paraId="742A2E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11411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0A6D74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240FD7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0EC50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3792DF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7E4EFB26" w14:textId="77777777">
        <w:tc>
          <w:tcPr>
            <w:tcW w:w="1868" w:type="dxa"/>
          </w:tcPr>
          <w:p w14:paraId="745E79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676114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126AF0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2BA0F1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58623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C0470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616BC4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6CC90CFF" w14:textId="77777777">
        <w:tc>
          <w:tcPr>
            <w:tcW w:w="1868" w:type="dxa"/>
          </w:tcPr>
          <w:p w14:paraId="3705DB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76C6E4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4743C9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0E8A0C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60FE4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6D195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016A79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45217AE3" w14:textId="77777777">
        <w:tc>
          <w:tcPr>
            <w:tcW w:w="1868" w:type="dxa"/>
          </w:tcPr>
          <w:p w14:paraId="780487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75" w:type="dxa"/>
          </w:tcPr>
          <w:p w14:paraId="60E152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3F1644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545637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0A995D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8B1C3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16AB4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555C646C" w14:textId="77777777">
        <w:tc>
          <w:tcPr>
            <w:tcW w:w="1868" w:type="dxa"/>
          </w:tcPr>
          <w:p w14:paraId="30742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7279C8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450E1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489A9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6E0F9E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682EE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6A22D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45C1680C" w14:textId="77777777">
        <w:tc>
          <w:tcPr>
            <w:tcW w:w="1868" w:type="dxa"/>
          </w:tcPr>
          <w:p w14:paraId="548571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1E5E50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233F2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493D1C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486CC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FBE2A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0D63B9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6789DBFA" w14:textId="77777777">
        <w:tc>
          <w:tcPr>
            <w:tcW w:w="1868" w:type="dxa"/>
          </w:tcPr>
          <w:p w14:paraId="27C17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451A50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1D861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3B78E6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282B83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84EE2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75415C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130984A7" w14:textId="77777777">
        <w:tc>
          <w:tcPr>
            <w:tcW w:w="1868" w:type="dxa"/>
          </w:tcPr>
          <w:p w14:paraId="2EC8F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6FE4F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3D2F0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4F22F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0B50C0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3E44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56FBC0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3F36F8B4" w14:textId="77777777">
        <w:tc>
          <w:tcPr>
            <w:tcW w:w="1868" w:type="dxa"/>
          </w:tcPr>
          <w:p w14:paraId="6F32B4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0743E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532CC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77100B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3D934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5690E0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0F049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45280DB7" w14:textId="77777777">
        <w:tc>
          <w:tcPr>
            <w:tcW w:w="1868" w:type="dxa"/>
            <w:tcBorders>
              <w:bottom w:val="single" w:sz="12" w:space="0" w:color="auto"/>
            </w:tcBorders>
          </w:tcPr>
          <w:p w14:paraId="3AEFDE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1F45BD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51818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72143A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0D0D4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5168E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41ADD7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2CA300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044F1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6A0FE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004A5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3F8BA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6CAFF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34D867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6D0D1C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2B095D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21460CC2" w14:textId="77777777" w:rsidR="00665165" w:rsidRPr="00F90EAE" w:rsidRDefault="00665165" w:rsidP="00F90EAE">
      <w:pPr>
        <w:autoSpaceDE w:val="0"/>
        <w:autoSpaceDN w:val="0"/>
        <w:adjustRightInd w:val="0"/>
        <w:jc w:val="both"/>
        <w:rPr>
          <w:color w:val="000000" w:themeColor="text1"/>
          <w:sz w:val="16"/>
          <w:szCs w:val="16"/>
        </w:rPr>
      </w:pPr>
    </w:p>
    <w:p w14:paraId="176445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началось проектирование многоместного дальнего пассажирского самолета Ил-18 с 4хАЧ-72 А.Д.Чаромского. Д7б. перевозить 60-65 пассажиров на расстояние до 5000 км со скоростью 450 км/час (3846,21).</w:t>
      </w:r>
    </w:p>
    <w:p w14:paraId="7CCCC1E1" w14:textId="77777777" w:rsidR="00665165" w:rsidRPr="00F90EAE" w:rsidRDefault="00665165" w:rsidP="00F90EAE">
      <w:pPr>
        <w:autoSpaceDE w:val="0"/>
        <w:autoSpaceDN w:val="0"/>
        <w:adjustRightInd w:val="0"/>
        <w:jc w:val="both"/>
        <w:rPr>
          <w:color w:val="000000" w:themeColor="text1"/>
          <w:sz w:val="16"/>
          <w:szCs w:val="16"/>
        </w:rPr>
      </w:pPr>
    </w:p>
    <w:p w14:paraId="5636D3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М.М.Куликом был сделан связной вариант По-2 с высоким прозрачным фонарем и нижними крыльями, укороченными на 1 м (1076,728).</w:t>
      </w:r>
    </w:p>
    <w:p w14:paraId="105D55AF" w14:textId="77777777" w:rsidR="00665165" w:rsidRPr="00F90EAE" w:rsidRDefault="00665165" w:rsidP="00F90EAE">
      <w:pPr>
        <w:autoSpaceDE w:val="0"/>
        <w:autoSpaceDN w:val="0"/>
        <w:adjustRightInd w:val="0"/>
        <w:jc w:val="both"/>
        <w:rPr>
          <w:color w:val="000000" w:themeColor="text1"/>
          <w:sz w:val="16"/>
          <w:szCs w:val="16"/>
        </w:rPr>
      </w:pPr>
    </w:p>
    <w:p w14:paraId="67ACCF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закончились заводские испытания ВРДК в ЦИАМ и были получены следующие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2663"/>
      </w:tblGrid>
      <w:tr w:rsidR="00561F31" w:rsidRPr="00F90EAE" w14:paraId="7FB71CE4" w14:textId="77777777">
        <w:tc>
          <w:tcPr>
            <w:tcW w:w="5635" w:type="dxa"/>
            <w:tcBorders>
              <w:top w:val="single" w:sz="12" w:space="0" w:color="auto"/>
            </w:tcBorders>
            <w:shd w:val="clear" w:color="auto" w:fill="FFFFFF"/>
          </w:tcPr>
          <w:p w14:paraId="6B94B8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сила тяги, кг</w:t>
            </w:r>
          </w:p>
        </w:tc>
        <w:tc>
          <w:tcPr>
            <w:tcW w:w="2663" w:type="dxa"/>
            <w:tcBorders>
              <w:top w:val="single" w:sz="12" w:space="0" w:color="auto"/>
            </w:tcBorders>
            <w:shd w:val="clear" w:color="auto" w:fill="FFFFFF"/>
          </w:tcPr>
          <w:p w14:paraId="43752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344</w:t>
            </w:r>
          </w:p>
        </w:tc>
      </w:tr>
      <w:tr w:rsidR="00561F31" w:rsidRPr="00F90EAE" w14:paraId="521BB993" w14:textId="77777777">
        <w:tc>
          <w:tcPr>
            <w:tcW w:w="5635" w:type="dxa"/>
            <w:shd w:val="clear" w:color="auto" w:fill="FFFFFF"/>
          </w:tcPr>
          <w:p w14:paraId="2EDC6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горючего на номинальном режиме, кг/час</w:t>
            </w:r>
          </w:p>
        </w:tc>
        <w:tc>
          <w:tcPr>
            <w:tcW w:w="2663" w:type="dxa"/>
            <w:shd w:val="clear" w:color="auto" w:fill="FFFFFF"/>
          </w:tcPr>
          <w:p w14:paraId="577C2E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1235</w:t>
            </w:r>
          </w:p>
        </w:tc>
      </w:tr>
      <w:tr w:rsidR="00561F31" w:rsidRPr="00F90EAE" w14:paraId="584852E4" w14:textId="77777777">
        <w:tc>
          <w:tcPr>
            <w:tcW w:w="5635" w:type="dxa"/>
            <w:tcBorders>
              <w:bottom w:val="single" w:sz="12" w:space="0" w:color="auto"/>
            </w:tcBorders>
            <w:shd w:val="clear" w:color="auto" w:fill="FFFFFF"/>
          </w:tcPr>
          <w:p w14:paraId="0CAB0D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Масса двигательной установки, кг</w:t>
            </w:r>
          </w:p>
        </w:tc>
        <w:tc>
          <w:tcPr>
            <w:tcW w:w="2663" w:type="dxa"/>
            <w:tcBorders>
              <w:bottom w:val="single" w:sz="12" w:space="0" w:color="auto"/>
            </w:tcBorders>
            <w:shd w:val="clear" w:color="auto" w:fill="FFFFFF"/>
          </w:tcPr>
          <w:p w14:paraId="192269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140,9 (10669).</w:t>
            </w:r>
          </w:p>
        </w:tc>
      </w:tr>
    </w:tbl>
    <w:p w14:paraId="69A0E212" w14:textId="77777777" w:rsidR="00665165" w:rsidRPr="00F90EAE" w:rsidRDefault="00665165" w:rsidP="00F90EAE">
      <w:pPr>
        <w:autoSpaceDE w:val="0"/>
        <w:autoSpaceDN w:val="0"/>
        <w:adjustRightInd w:val="0"/>
        <w:jc w:val="both"/>
        <w:rPr>
          <w:iCs/>
          <w:color w:val="000000" w:themeColor="text1"/>
          <w:sz w:val="16"/>
          <w:szCs w:val="16"/>
        </w:rPr>
      </w:pPr>
    </w:p>
    <w:p w14:paraId="5C0DC6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КБ С.А.Л. выпустило 2 проекта реактивных истребителей 150 под один Юмо-004 и тяжелый двухдвигательный Ла-160 под два Юмо-004 (2449,13).</w:t>
      </w:r>
    </w:p>
    <w:p w14:paraId="177D31D2" w14:textId="77777777" w:rsidR="00665165" w:rsidRPr="00F90EAE" w:rsidRDefault="00665165" w:rsidP="00F90EAE">
      <w:pPr>
        <w:autoSpaceDE w:val="0"/>
        <w:autoSpaceDN w:val="0"/>
        <w:adjustRightInd w:val="0"/>
        <w:jc w:val="both"/>
        <w:rPr>
          <w:color w:val="000000" w:themeColor="text1"/>
          <w:sz w:val="16"/>
          <w:szCs w:val="16"/>
        </w:rPr>
      </w:pPr>
    </w:p>
    <w:p w14:paraId="38ED01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апреле 1945 г . в ЦНЭБ ВВС КА была создана небольшая группа под руководством инженера С.И. Новикова для продолжения работ, начатых еще в 1935 г .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w:t>
      </w:r>
    </w:p>
    <w:p w14:paraId="775DB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После этого группа С.И. Новикова была передана в 1945 г . в ЦИАМ. </w:t>
      </w:r>
    </w:p>
    <w:p w14:paraId="61B08E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Для проведения работ по ВРД периодического сгорания в ЦИАМ был организован отдел № 8. </w:t>
      </w:r>
    </w:p>
    <w:p w14:paraId="4D478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Параллельно, еще 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4D46B9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2D42ED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1946 г .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(11649).</w:t>
      </w:r>
    </w:p>
    <w:p w14:paraId="7B9DF581" w14:textId="77777777" w:rsidR="00665165" w:rsidRPr="00F90EAE" w:rsidRDefault="00665165" w:rsidP="00F90EAE">
      <w:pPr>
        <w:autoSpaceDE w:val="0"/>
        <w:autoSpaceDN w:val="0"/>
        <w:adjustRightInd w:val="0"/>
        <w:jc w:val="both"/>
        <w:rPr>
          <w:color w:val="000000" w:themeColor="text1"/>
          <w:sz w:val="16"/>
          <w:szCs w:val="16"/>
        </w:rPr>
      </w:pPr>
    </w:p>
    <w:p w14:paraId="75E04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вышло постановление КО "О посылке комиссии по вывозу оборудования и изучению работы немецкого Ракетного Института в Пенемюнде. Руководителем комиссии назначили Ю.А.Победоносцева (1795,59).</w:t>
      </w:r>
    </w:p>
    <w:p w14:paraId="379AFB38" w14:textId="77777777" w:rsidR="00665165" w:rsidRPr="00F90EAE" w:rsidRDefault="00665165" w:rsidP="00F90EAE">
      <w:pPr>
        <w:autoSpaceDE w:val="0"/>
        <w:autoSpaceDN w:val="0"/>
        <w:adjustRightInd w:val="0"/>
        <w:jc w:val="both"/>
        <w:rPr>
          <w:color w:val="000000" w:themeColor="text1"/>
          <w:sz w:val="16"/>
          <w:szCs w:val="16"/>
        </w:rPr>
      </w:pPr>
    </w:p>
    <w:p w14:paraId="4FA473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 Восточной Пруссии нашли Ме-262, совершивший вынужденную посадку и загоревшегося и его потом испытывал А.Г.Кочетков (1204,112).</w:t>
      </w:r>
    </w:p>
    <w:p w14:paraId="72F4AA9F" w14:textId="77777777" w:rsidR="00665165" w:rsidRPr="00F90EAE" w:rsidRDefault="00665165" w:rsidP="00F90EAE">
      <w:pPr>
        <w:autoSpaceDE w:val="0"/>
        <w:autoSpaceDN w:val="0"/>
        <w:adjustRightInd w:val="0"/>
        <w:jc w:val="both"/>
        <w:rPr>
          <w:color w:val="000000" w:themeColor="text1"/>
          <w:sz w:val="16"/>
          <w:szCs w:val="16"/>
        </w:rPr>
      </w:pPr>
    </w:p>
    <w:p w14:paraId="2F428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захватили Arado Ar 234B-2, который потом испытывали в НИИ ВВС (2466,148).</w:t>
      </w:r>
    </w:p>
    <w:p w14:paraId="27100708" w14:textId="77777777" w:rsidR="00665165" w:rsidRPr="00F90EAE" w:rsidRDefault="00665165" w:rsidP="00F90EAE">
      <w:pPr>
        <w:autoSpaceDE w:val="0"/>
        <w:autoSpaceDN w:val="0"/>
        <w:adjustRightInd w:val="0"/>
        <w:jc w:val="both"/>
        <w:rPr>
          <w:color w:val="000000" w:themeColor="text1"/>
          <w:sz w:val="16"/>
          <w:szCs w:val="16"/>
        </w:rPr>
      </w:pPr>
    </w:p>
    <w:p w14:paraId="2CEA94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апреля 1945 г. на заводе № 19 в Молотове выпускался АШ-83ФН. Всего изготовили 93 экз. АШ-83 (АШ-83ФН) - дальнейшее развитие АШ-82ФН с форсированием по наддуву и оборо</w:t>
      </w:r>
      <w:r w:rsidRPr="00F90EAE">
        <w:rPr>
          <w:color w:val="000000" w:themeColor="text1"/>
          <w:sz w:val="16"/>
          <w:szCs w:val="16"/>
        </w:rPr>
        <w:softHyphen/>
        <w:t>там. Изменен носок картера, усилен коленвал, увеличен диаметр крыльчат</w:t>
      </w:r>
      <w:r w:rsidRPr="00F90EAE">
        <w:rPr>
          <w:color w:val="000000" w:themeColor="text1"/>
          <w:sz w:val="16"/>
          <w:szCs w:val="16"/>
        </w:rPr>
        <w:softHyphen/>
        <w:t>ки ПЦН, на крыльчатке ликвидированы вырезы, гильза параболического профиля (позднее с технологическим сужением) с усиленным фланцем, небольшие изменения в механизме газораспределения и маслосистеме. Новый агрегат непосредственного впрыска</w:t>
      </w:r>
    </w:p>
    <w:p w14:paraId="3E5671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Характеристики:</w:t>
      </w:r>
    </w:p>
    <w:p w14:paraId="1547BF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14-цилиндровый двухрядный звездообразный, воздушного охлаждения, редукторный, с одноступенчатым двухскоростным ПЦН;</w:t>
      </w:r>
    </w:p>
    <w:p w14:paraId="7C8392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диаметр цилиндра/ход поршня 155,5/155 мм;</w:t>
      </w:r>
    </w:p>
    <w:p w14:paraId="5E858C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объем 41,2 л;</w:t>
      </w:r>
    </w:p>
    <w:p w14:paraId="446BFD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степень сжатия 6,9;</w:t>
      </w:r>
    </w:p>
    <w:p w14:paraId="7DF503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мощность по проекту 1500/1900 л.с., реально доведена до 1585/1900 л.с.;</w:t>
      </w:r>
    </w:p>
    <w:p w14:paraId="3B8CB3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вес 915 кг (по другим данным, 921 кг).</w:t>
      </w:r>
    </w:p>
    <w:p w14:paraId="1FBC2E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АШ-83 устанавливался на опытных самолетах Ту-2, Ла-7 (Ла-120). Его использование предполагалось в проектах «64» (Ту-10), И-211 (11852).</w:t>
      </w:r>
    </w:p>
    <w:p w14:paraId="1149A4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12783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АШ-21 прошел совмест</w:t>
      </w:r>
      <w:r w:rsidRPr="00F90EAE">
        <w:rPr>
          <w:color w:val="000000" w:themeColor="text1"/>
          <w:sz w:val="16"/>
          <w:szCs w:val="16"/>
        </w:rPr>
        <w:softHyphen/>
        <w:t>ные испытания, в ноябре 1946 г. - государственные. АШ-21 - мотор — «половинка» от АШ-82. Проектировался в 1944 г. в ОКБ-29 в Омске под руководством В.С. Нитченко. В нем было использовано большое количество деталей от АШ-82ФН, однако непосредственный впрыск замени</w:t>
      </w:r>
      <w:r w:rsidRPr="00F90EAE">
        <w:rPr>
          <w:color w:val="000000" w:themeColor="text1"/>
          <w:sz w:val="16"/>
          <w:szCs w:val="16"/>
        </w:rPr>
        <w:softHyphen/>
        <w:t>ли более дешевым карбюратором. В сентябре 1947 г мотор был доведен до ресурса 200 ч. При этом изменили носок картера главный шатун и внесли мелкие изменения в головках цилиндров. Серийно выпускался с 1947 г. на заводе № 29 в Омске. Производство прекращено в 1955 г. Всего выпустили 7636 экз.</w:t>
      </w:r>
    </w:p>
    <w:p w14:paraId="73F18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Характеристики:</w:t>
      </w:r>
    </w:p>
    <w:p w14:paraId="143342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7-цилиндровый звездообразный, воз</w:t>
      </w:r>
      <w:r w:rsidRPr="00F90EAE">
        <w:rPr>
          <w:color w:val="000000" w:themeColor="text1"/>
          <w:sz w:val="16"/>
          <w:szCs w:val="16"/>
        </w:rPr>
        <w:softHyphen/>
        <w:t>душного охлаждения, редукторный, с одноступенчатым односкоростным ПЦН, карбюраторный;</w:t>
      </w:r>
    </w:p>
    <w:p w14:paraId="0D953D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диаметр цилиндра/ход поршня 155,5/155 мм;</w:t>
      </w:r>
    </w:p>
    <w:p w14:paraId="3160AC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объем 20,6 л;</w:t>
      </w:r>
    </w:p>
    <w:p w14:paraId="64D2D4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степень сжатия 6,4;</w:t>
      </w:r>
    </w:p>
    <w:p w14:paraId="072C0E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мощность 615/700 л.с.;</w:t>
      </w:r>
    </w:p>
    <w:p w14:paraId="404080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вес 497 кг.</w:t>
      </w:r>
    </w:p>
    <w:p w14:paraId="05925B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Экспортировался в Чехословакию, Австрию, Албанию, Алжир, Болгарию, Вьетнам, Гвинею, ГДР, Египет, Ирак, Йемен, Польшу, Румынию, Сирию.</w:t>
      </w:r>
    </w:p>
    <w:p w14:paraId="5AC489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1952 г. выпускался по лицензии в Чехословакии на заводе им. Ди</w:t>
      </w:r>
      <w:r w:rsidRPr="00F90EAE">
        <w:rPr>
          <w:color w:val="000000" w:themeColor="text1"/>
          <w:sz w:val="16"/>
          <w:szCs w:val="16"/>
        </w:rPr>
        <w:softHyphen/>
        <w:t>митрова как М-21 (вес 495 кг).</w:t>
      </w:r>
    </w:p>
    <w:p w14:paraId="40E0F9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АШ-21 устанавливался на серийных самолетах Як-11 и УТБ, опытных ТА (ТА-1), ТАФ, Як-16, Як-200. Его использование предусматривалось проектами Ан-2 и амфибии-разведчика Четверикова. Узлы и агрегаты АШ-21 были использованы при создании двигателя М-26 (АИ-26) (11852).</w:t>
      </w:r>
    </w:p>
    <w:p w14:paraId="11D806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77C02A8" w14:textId="77777777" w:rsidR="00AA7BA7" w:rsidRPr="00F90EAE" w:rsidRDefault="00AA7BA7" w:rsidP="00F90EAE">
      <w:pPr>
        <w:jc w:val="both"/>
        <w:rPr>
          <w:color w:val="000000" w:themeColor="text1"/>
          <w:sz w:val="16"/>
          <w:szCs w:val="16"/>
        </w:rPr>
      </w:pPr>
      <w:r w:rsidRPr="00F90EAE">
        <w:rPr>
          <w:color w:val="000000" w:themeColor="text1"/>
          <w:sz w:val="16"/>
          <w:szCs w:val="16"/>
        </w:rPr>
        <w:t>В апреле 1945 в отчёте старшего военпреда завода №19 инженер-майора И.К. Четверика отмеча</w:t>
      </w:r>
      <w:r w:rsidRPr="00F90EAE">
        <w:rPr>
          <w:color w:val="000000" w:themeColor="text1"/>
          <w:sz w:val="16"/>
          <w:szCs w:val="16"/>
        </w:rPr>
        <w:softHyphen/>
        <w:t>лось:</w:t>
      </w:r>
    </w:p>
    <w:p w14:paraId="5B7EA632" w14:textId="77777777" w:rsidR="00AA7BA7" w:rsidRPr="00F90EAE" w:rsidRDefault="00AA7BA7" w:rsidP="00F90EAE">
      <w:pPr>
        <w:jc w:val="both"/>
        <w:rPr>
          <w:color w:val="000000" w:themeColor="text1"/>
          <w:sz w:val="16"/>
          <w:szCs w:val="16"/>
        </w:rPr>
      </w:pPr>
      <w:r w:rsidRPr="00F90EAE">
        <w:rPr>
          <w:color w:val="000000" w:themeColor="text1"/>
          <w:sz w:val="16"/>
          <w:szCs w:val="16"/>
        </w:rPr>
        <w:t>«Рекламации: По АШ-82ФН — поступило 147, принято 22, отклонено 125...</w:t>
      </w:r>
    </w:p>
    <w:p w14:paraId="24BAAABA" w14:textId="77777777" w:rsidR="00AA7BA7" w:rsidRPr="00F90EAE" w:rsidRDefault="00AA7BA7" w:rsidP="00F90EAE">
      <w:pPr>
        <w:jc w:val="both"/>
        <w:rPr>
          <w:color w:val="000000" w:themeColor="text1"/>
          <w:sz w:val="16"/>
          <w:szCs w:val="16"/>
        </w:rPr>
      </w:pPr>
      <w:r w:rsidRPr="00F90EAE">
        <w:rPr>
          <w:color w:val="000000" w:themeColor="text1"/>
          <w:sz w:val="16"/>
          <w:szCs w:val="16"/>
        </w:rPr>
        <w:t>Надо отметить, что почти все отклоненные рекламации относятся к числу односторон</w:t>
      </w:r>
      <w:r w:rsidRPr="00F90EAE">
        <w:rPr>
          <w:color w:val="000000" w:themeColor="text1"/>
          <w:sz w:val="16"/>
          <w:szCs w:val="16"/>
        </w:rPr>
        <w:softHyphen/>
        <w:t>них, их в апреле поступило особенно много, и рекламаций по износу гильз цилиндров на Ла-7, которые завод также не принимает, считая виновником завод № 21 и № 381...» (15829).</w:t>
      </w:r>
    </w:p>
    <w:p w14:paraId="28345DE4" w14:textId="77777777" w:rsidR="00AA7BA7" w:rsidRPr="00F90EAE" w:rsidRDefault="00AA7BA7" w:rsidP="00F90EAE">
      <w:pPr>
        <w:jc w:val="both"/>
        <w:rPr>
          <w:color w:val="000000" w:themeColor="text1"/>
          <w:sz w:val="16"/>
          <w:szCs w:val="16"/>
        </w:rPr>
      </w:pPr>
    </w:p>
    <w:p w14:paraId="7C02AFC4" w14:textId="77777777" w:rsidR="00AA7BA7" w:rsidRPr="00F90EAE" w:rsidRDefault="00AA7BA7"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апреле 1945 г. на участке 2-го Белорусского фронта в Ростоке об</w:t>
      </w:r>
      <w:r w:rsidRPr="00F90EAE">
        <w:rPr>
          <w:rFonts w:ascii="Times New Roman" w:cs="Times New Roman"/>
          <w:color w:val="000000" w:themeColor="text1"/>
          <w:spacing w:val="0"/>
          <w:sz w:val="16"/>
          <w:szCs w:val="16"/>
        </w:rPr>
        <w:softHyphen/>
        <w:t xml:space="preserve">наружили ящики с двигателями </w:t>
      </w:r>
      <w:r w:rsidRPr="00F90EAE">
        <w:rPr>
          <w:rFonts w:ascii="Times New Roman" w:cs="Times New Roman"/>
          <w:color w:val="000000" w:themeColor="text1"/>
          <w:spacing w:val="0"/>
          <w:sz w:val="16"/>
          <w:szCs w:val="16"/>
          <w:lang w:val="en-US"/>
        </w:rPr>
        <w:t>BMW</w:t>
      </w:r>
      <w:r w:rsidRPr="00F90EAE">
        <w:rPr>
          <w:rFonts w:ascii="Times New Roman" w:cs="Times New Roman"/>
          <w:color w:val="000000" w:themeColor="text1"/>
          <w:spacing w:val="0"/>
          <w:sz w:val="16"/>
          <w:szCs w:val="16"/>
        </w:rPr>
        <w:t xml:space="preserve">-003. Тогда же на аэродроме в Пенемюнде в запасных комплектах к Ме-262 нашлись и двигатели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 (15791).</w:t>
      </w:r>
    </w:p>
    <w:p w14:paraId="0E1DFE66" w14:textId="77777777" w:rsidR="00AA7BA7" w:rsidRPr="00F90EAE" w:rsidRDefault="00AA7BA7" w:rsidP="00F90EAE">
      <w:pPr>
        <w:pStyle w:val="36"/>
        <w:shd w:val="clear" w:color="auto" w:fill="auto"/>
        <w:spacing w:after="0" w:line="240" w:lineRule="auto"/>
        <w:jc w:val="both"/>
        <w:rPr>
          <w:rFonts w:ascii="Times New Roman" w:cs="Times New Roman"/>
          <w:color w:val="000000" w:themeColor="text1"/>
          <w:spacing w:val="0"/>
          <w:sz w:val="16"/>
          <w:szCs w:val="16"/>
        </w:rPr>
      </w:pPr>
    </w:p>
    <w:p w14:paraId="2FB53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приказом №161 Наркома авиационной промышленности опытный завод №25 под наименованием ОКБ-150 включают в состав металлургического комбината №150. Нарком авиационной промышленности принял такое решение, продиктованное тем, что полноценная работа винтового ОКБ зависела не столько от наличия квалифицированных ИТР и рабочих кадров (этот ресурс все же можно было как-то восполнить), сколько от наличия собственной производственной базы, жилищно - бытового фонда и экспериментальной площади со всеми ее атрибутами и звеньями. Коллективу ОКБ по возвращении из эвакуации домой, выстоять самостоятельно в условиях всеобщей разрухи было очень сложно. В то время весь жилищно-бытовой фонд в городе находился в ведомственном подчинении и в большей своей части принадлежал комбинату №150. К концу войны комбинат стал единственным градообразующим предприятием Ступина. В результате вхождения ОКБ в структуру комбината №150 его материально-производственная база несколько укрепилась, а жилищная проблема у работников ОКБ стала решаться положительно. Это позволило сконцентрировать основные усилия на создании новых воздушных винтов, в частности, с флюгерными свойствами для двух и четырехмоторных самолетов с одноканальным и двухканальным подводом масла от регулятора к винту. ОКБ самолетных заводов требовались воздушные винты для новых и модифицируемых самолетов с форсированными по мощности двигателями. Для этих самолетов под номерами «220», «225» ступинцы разработали, изготовили и испытали винты АВ-6Л-126Е, АВ-5Л-26А, AB-5Л-22Д (деревянные лопасти), АВ-5Л-22Е, для самолета под номером «250»-винты АВ-10П-50, АВ-10П-60. Под форсированные двигатели ВК-105ПФ для бомбардировщика Пе-2 создали винты АВ-5ЛВ-б4,бб,7б; для новых двигателей ВК-107А к модификации самолета Пе-2И - винты АВ-10ЛВ-44 и АВ-10ЛВ-48. Для новых спортивных самолетов Главного конструктора А.С. Яковлева разработали и направили на испытания винты АВ-12, АВ-13, AB-14. Проводились работы по созданию перспективных воздушных винтов AB-15 и АВ-16 для самолетов с мощными поршневыми двигателями (до 4000 л.с.). Основным компоновщиком винтов большого диаметра с флюгерными и реверсивными свойствами являлся ведущий конструктор Б.П. Казанский. Разрабатывалось несколько вариантов конструкций винтов АВ-16 и его модификаций, все они отличались оригинальными техническими решениями. В работах по АВ-16, которые продолжались до 1952 года, кроме Б.П. Казанского участвовали Н.П. Кузьмичев, А.А. Лужин, B.C. Панфилов, В.В. Пичугин, М.Я.Руденко, А.И. Стрельцов. Работами руководили К.И. Жданов, Л.М. Ногтев, А.А. Мальян. Параллельно велись работы по регулятору Р-16 и ряду его модификаций, в создании которых наиболее творческое участие приняли Л.М. Ногтев, И.Л. Алексеев, А.Г. Томилин. Воздушные винты АВ-16 и ряд его модификаций, а также регуляторы Р-16, Р-16Н, Р-16У были изготовлены малыми опытными партиями и успешно прошли моторные и летные испытания на объекте «80».</w:t>
      </w:r>
    </w:p>
    <w:p w14:paraId="56EBB6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работы ступинских винтовиков за период 1939-1945 г.г. (12103).</w:t>
      </w:r>
    </w:p>
    <w:p w14:paraId="2BD4C1F7" w14:textId="77777777" w:rsidR="00665165" w:rsidRPr="00F90EAE" w:rsidRDefault="00665165" w:rsidP="00F90EAE">
      <w:pPr>
        <w:autoSpaceDE w:val="0"/>
        <w:autoSpaceDN w:val="0"/>
        <w:adjustRightInd w:val="0"/>
        <w:jc w:val="both"/>
        <w:rPr>
          <w:color w:val="000000" w:themeColor="text1"/>
          <w:sz w:val="16"/>
          <w:szCs w:val="16"/>
        </w:rPr>
      </w:pPr>
    </w:p>
    <w:p w14:paraId="1C21F8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на участке 2-го Белорусского фронта в Ростоке были найдены ящики с двигателями БМВ-003. Тогда же на аэродроме в Вернемюнде были обнаружены в запасных комплектах к Ме-262 двигатели ЮМО-004 (10781).</w:t>
      </w:r>
    </w:p>
    <w:p w14:paraId="5E5467AF" w14:textId="77777777" w:rsidR="00665165" w:rsidRPr="00F90EAE" w:rsidRDefault="00665165" w:rsidP="00F90EAE">
      <w:pPr>
        <w:autoSpaceDE w:val="0"/>
        <w:autoSpaceDN w:val="0"/>
        <w:adjustRightInd w:val="0"/>
        <w:jc w:val="both"/>
        <w:rPr>
          <w:color w:val="000000" w:themeColor="text1"/>
          <w:sz w:val="16"/>
          <w:szCs w:val="16"/>
        </w:rPr>
      </w:pPr>
    </w:p>
    <w:p w14:paraId="671A90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 в ЦНЭБ ВВС КА была создана небольшая группа под руководством инженера С.И. Новикова для продолжения работ, начатых еще в 1935 г . В результате ЦНЭБ ВВС КА на экспериментальной установке был отработан процесс периодического сгорания, приближающийся к циклу сгорания при постоянном объеме. На опытной камере были получены показатели, превышающие по своим данным показатели силовой установки «Фау-1». После этого группа С.И. Новикова была передана в 1945 г . в ЦИАМ.</w:t>
      </w:r>
    </w:p>
    <w:p w14:paraId="0113FB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Для проведения работ по ВРД периодического сгорания в ЦИАМ был организован отдел № 8. </w:t>
      </w:r>
    </w:p>
    <w:p w14:paraId="76AF4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Параллельно, еще в августе 1944 г ., в ЦИАМе был организован отдел № 6 под руководством профессора В.Н. Челомея, в задачи которого входила разработка и исследования ВРД периодического сгорания. </w:t>
      </w:r>
    </w:p>
    <w:p w14:paraId="3CE023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результате работ, проведенных под руководством В.Н. Челомея, был создан и исследован ВРД периодического сгорания и внедрен в серийное производство под шифром Д-3. </w:t>
      </w:r>
    </w:p>
    <w:p w14:paraId="7DB7E8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1946 г . образована лаборатория спецдвигателей (отдел № 8 и отдел № 6 были объединены по признаку сходства исследуемых процессов и общности тематического направления работ) (11561).</w:t>
      </w:r>
    </w:p>
    <w:p w14:paraId="1361CC1C" w14:textId="77777777" w:rsidR="00665165" w:rsidRPr="00F90EAE" w:rsidRDefault="00665165" w:rsidP="00F90EAE">
      <w:pPr>
        <w:autoSpaceDE w:val="0"/>
        <w:autoSpaceDN w:val="0"/>
        <w:adjustRightInd w:val="0"/>
        <w:jc w:val="both"/>
        <w:rPr>
          <w:color w:val="000000" w:themeColor="text1"/>
          <w:sz w:val="16"/>
          <w:szCs w:val="16"/>
        </w:rPr>
      </w:pPr>
    </w:p>
    <w:p w14:paraId="29E001F3" w14:textId="77777777" w:rsidR="006979C2" w:rsidRPr="00F90EAE" w:rsidRDefault="006979C2" w:rsidP="00F90EAE">
      <w:pPr>
        <w:jc w:val="both"/>
        <w:rPr>
          <w:color w:val="000000" w:themeColor="text1"/>
          <w:sz w:val="16"/>
          <w:szCs w:val="16"/>
        </w:rPr>
      </w:pPr>
      <w:r w:rsidRPr="00F90EAE">
        <w:rPr>
          <w:color w:val="000000" w:themeColor="text1"/>
          <w:sz w:val="16"/>
          <w:szCs w:val="16"/>
        </w:rPr>
        <w:t>С апреля по сентябрь 1945 г. на полигоне в Голодной степи (между Ташкентом и Сырдарьей) было запущено 63 ракеты 10Х. Только 30 % пусков были удачными. Для испытаний 10Х были переоборудованы 3 бомбардировщика Пе-8.</w:t>
      </w:r>
    </w:p>
    <w:p w14:paraId="11B78E76" w14:textId="77777777" w:rsidR="006979C2" w:rsidRPr="00F90EAE" w:rsidRDefault="006979C2" w:rsidP="00F90EAE">
      <w:pPr>
        <w:jc w:val="both"/>
        <w:rPr>
          <w:color w:val="000000" w:themeColor="text1"/>
          <w:sz w:val="16"/>
          <w:szCs w:val="16"/>
        </w:rPr>
      </w:pPr>
      <w:r w:rsidRPr="00F90EAE">
        <w:rPr>
          <w:color w:val="000000" w:themeColor="text1"/>
          <w:sz w:val="16"/>
          <w:szCs w:val="16"/>
        </w:rPr>
        <w:t>В 1946 г. в носители 10Х было переоборудовано еще 2 бомбардировщика Пе-8. С 15 по 20 декабря 1948 г. было проведено еще 73 пуска ракет 10Х воздушного базирования. (Вскоре наземный вариант получил индекс 10ХН.).</w:t>
      </w:r>
    </w:p>
    <w:p w14:paraId="49E10DC6" w14:textId="77777777" w:rsidR="006979C2" w:rsidRPr="00F90EAE" w:rsidRDefault="006979C2" w:rsidP="00F90EAE">
      <w:pPr>
        <w:jc w:val="both"/>
        <w:rPr>
          <w:color w:val="000000" w:themeColor="text1"/>
          <w:sz w:val="16"/>
          <w:szCs w:val="16"/>
        </w:rPr>
      </w:pPr>
      <w:r w:rsidRPr="00F90EAE">
        <w:rPr>
          <w:color w:val="000000" w:themeColor="text1"/>
          <w:sz w:val="16"/>
          <w:szCs w:val="16"/>
        </w:rPr>
        <w:t xml:space="preserve">Аэродинамическая схема ракеты 10Х нормальная самолетная. Длина ракеты 8,0 м. Максимальный диаметр корпуса 1,05 м. Размах крыльев 6,0 м. Первые образцы 10Х имели металлические крылья, последующие - деревянные. Двигатель пульсирующий Д-3 с тягой 310 кг. Стартовый вес ракеты 2,126 - 2,13 т. Вес боевой части 800 кг. Максимальная скорость полета 550-600 м/с. </w:t>
      </w:r>
    </w:p>
    <w:p w14:paraId="59DA34A7" w14:textId="77777777" w:rsidR="006979C2" w:rsidRPr="00F90EAE" w:rsidRDefault="006979C2" w:rsidP="00F90EAE">
      <w:pPr>
        <w:jc w:val="both"/>
        <w:rPr>
          <w:color w:val="000000" w:themeColor="text1"/>
          <w:sz w:val="16"/>
          <w:szCs w:val="16"/>
        </w:rPr>
      </w:pPr>
      <w:r w:rsidRPr="00F90EAE">
        <w:rPr>
          <w:color w:val="000000" w:themeColor="text1"/>
          <w:sz w:val="16"/>
          <w:szCs w:val="16"/>
        </w:rPr>
        <w:t xml:space="preserve">По результатам летный испытаний 10Х была рекомендована к принятию на вооружение, но руководство ВВС фактически отказалось это сделать. Понять его очень легко. Ракета имела малую дальность и скорость, меньшую скорости винтомоторных истребителей того времени. Инерциальная система наведения допускала стрельбу лишь по крупным городам. Попадание в квадрат 5 х 5 км считалось удачным, и это с расстояния 200-300 км! Наконец, в ВВС практически не было носителей для 10Х. Пе-8 состояло на вооружении всего несколько десятков, а Ту-4 еще не было. </w:t>
      </w:r>
    </w:p>
    <w:p w14:paraId="2322CEB3" w14:textId="77777777" w:rsidR="006979C2" w:rsidRPr="00F90EAE" w:rsidRDefault="006979C2" w:rsidP="00F90EAE">
      <w:pPr>
        <w:jc w:val="both"/>
        <w:rPr>
          <w:color w:val="000000" w:themeColor="text1"/>
          <w:sz w:val="16"/>
          <w:szCs w:val="16"/>
        </w:rPr>
      </w:pPr>
      <w:r w:rsidRPr="00F90EAE">
        <w:rPr>
          <w:color w:val="000000" w:themeColor="text1"/>
          <w:sz w:val="16"/>
          <w:szCs w:val="16"/>
        </w:rPr>
        <w:t>Но Челомей был упрям и продолжал гнуть линию ФАУ-1, как и позже, с 1955 до 1984 г. он будет гнуть линию П-5.</w:t>
      </w:r>
    </w:p>
    <w:p w14:paraId="09606F50" w14:textId="77777777" w:rsidR="006979C2" w:rsidRPr="00F90EAE" w:rsidRDefault="006979C2" w:rsidP="00F90EAE">
      <w:pPr>
        <w:jc w:val="both"/>
        <w:rPr>
          <w:color w:val="000000" w:themeColor="text1"/>
          <w:sz w:val="16"/>
          <w:szCs w:val="16"/>
        </w:rPr>
      </w:pPr>
      <w:r w:rsidRPr="00F90EAE">
        <w:rPr>
          <w:color w:val="000000" w:themeColor="text1"/>
          <w:sz w:val="16"/>
          <w:szCs w:val="16"/>
        </w:rPr>
        <w:t>Еще в 1946 г. Челомей спроектировал авиационную ракету 14Х с двумя более мощными пульсирующими двигателями Д-5. Аэродинамическая схема 14Х нормальная самолетная. Длина ракеты 7,6 м. Максимальный диаметр корпуса 0,85 м. Размах деревянного крыла 6,5 м. Стартовый вес 2,5 т. Два двигателя Д-5 развивали тягу по 420 кг. Проектная скорость 800 км/час. Дальность до 250 км. Боевая часть та же, что и у 10Х. Система управления инерциальная. Рассматривался вариант 14Х с системой наведения по проекту ракеты &lt;Кометы&gt;, но вскоре он был отвергнут. А ракета 14Х тихо скончалась, вопрос о ее принятии на вооружение даже не ставился (12414).</w:t>
      </w:r>
    </w:p>
    <w:p w14:paraId="539B1213" w14:textId="77777777" w:rsidR="006979C2" w:rsidRPr="00F90EAE" w:rsidRDefault="006979C2" w:rsidP="00F90EAE">
      <w:pPr>
        <w:jc w:val="both"/>
        <w:rPr>
          <w:color w:val="000000" w:themeColor="text1"/>
          <w:sz w:val="16"/>
          <w:szCs w:val="16"/>
        </w:rPr>
      </w:pPr>
    </w:p>
    <w:p w14:paraId="7F113DB6" w14:textId="77777777" w:rsidR="005A0732" w:rsidRPr="00F90EAE" w:rsidRDefault="005A0732" w:rsidP="00F90EAE">
      <w:pPr>
        <w:jc w:val="both"/>
        <w:rPr>
          <w:color w:val="000000" w:themeColor="text1"/>
          <w:sz w:val="16"/>
          <w:szCs w:val="16"/>
        </w:rPr>
      </w:pPr>
      <w:r w:rsidRPr="00F90EAE">
        <w:rPr>
          <w:color w:val="000000" w:themeColor="text1"/>
          <w:sz w:val="16"/>
          <w:szCs w:val="16"/>
        </w:rPr>
        <w:t>В апреле 1945 года сотрудники армейской контрразведки арестовали в Берлине главного технического советника по реактивным самолетам инженера Э.Пурукера. Уже через несколько дней начальник ГРУ генерал Ф.Кузнецов сообщал министру авиационной промышленности СССР А.Шахурину: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 Именно от Пурукера стало известно о том, где именно хранилась техническая документация на Ме-262 и другие опытные самолеты люфтваффе. За чертежами были отправлены специальные группы, которые тщательно обыскали конструкторские бюро в Ческе-Будеевице, Винер-Нойштадте и Бергкристалле восточнее Линца. Высокопоставленный инженер сообщил также о секретном аэродроме в окрестностях Праги, на котором базировалось около 60 машин. Пурукер оказался очень ценным информатором, потому что именно он рассказал о технических трудностях, с которыми столкнулись немцы в процессе «доведения до ума» своих реактивных «Ласточек». Он же уточнил, что наибольшее количество выпуска Ме-262 германская авиапромышленность достигла в марте 1945 года, приняв с конвейеров 237 машин. (Благодарим за ссылку на  (19687).</w:t>
      </w:r>
    </w:p>
    <w:p w14:paraId="53797503" w14:textId="77777777" w:rsidR="005A0732" w:rsidRPr="00F90EAE" w:rsidRDefault="005A0732" w:rsidP="00F90EAE">
      <w:pPr>
        <w:jc w:val="both"/>
        <w:rPr>
          <w:color w:val="000000" w:themeColor="text1"/>
          <w:sz w:val="16"/>
          <w:szCs w:val="16"/>
        </w:rPr>
      </w:pPr>
    </w:p>
    <w:p w14:paraId="10CEAC34" w14:textId="77777777" w:rsidR="00E70305" w:rsidRPr="00F90EAE" w:rsidRDefault="00E70305" w:rsidP="00F90EAE">
      <w:pPr>
        <w:pStyle w:val="ae"/>
        <w:shd w:val="clear" w:color="auto" w:fill="FFFFFF"/>
        <w:spacing w:before="0" w:after="0"/>
        <w:jc w:val="both"/>
        <w:textAlignment w:val="baseline"/>
        <w:rPr>
          <w:color w:val="0070C0"/>
          <w:sz w:val="16"/>
          <w:szCs w:val="16"/>
        </w:rPr>
      </w:pPr>
      <w:r w:rsidRPr="00F90EAE">
        <w:rPr>
          <w:color w:val="0070C0"/>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63B0F798" w14:textId="77777777" w:rsidR="00E70305" w:rsidRPr="00F90EAE" w:rsidRDefault="00E70305" w:rsidP="00F90EAE">
      <w:pPr>
        <w:pStyle w:val="ae"/>
        <w:shd w:val="clear" w:color="auto" w:fill="FFFFFF"/>
        <w:spacing w:before="0" w:after="0"/>
        <w:jc w:val="both"/>
        <w:textAlignment w:val="baseline"/>
        <w:rPr>
          <w:color w:val="0070C0"/>
          <w:sz w:val="16"/>
          <w:szCs w:val="16"/>
        </w:rPr>
      </w:pPr>
      <w:r w:rsidRPr="00F90EAE">
        <w:rPr>
          <w:color w:val="0070C0"/>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17175E9C" w14:textId="77777777" w:rsidR="00E70305" w:rsidRPr="00F90EAE" w:rsidRDefault="00E70305" w:rsidP="00F90EAE">
      <w:pPr>
        <w:shd w:val="clear" w:color="auto" w:fill="FFFFFF"/>
        <w:jc w:val="both"/>
        <w:rPr>
          <w:color w:val="0070C0"/>
          <w:sz w:val="16"/>
          <w:szCs w:val="16"/>
        </w:rPr>
      </w:pPr>
    </w:p>
    <w:p w14:paraId="758AE4B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C74CDD1" w14:textId="77777777" w:rsidR="00665165" w:rsidRPr="00F90EAE" w:rsidRDefault="00665165" w:rsidP="00F90EAE">
      <w:pPr>
        <w:autoSpaceDE w:val="0"/>
        <w:autoSpaceDN w:val="0"/>
        <w:adjustRightInd w:val="0"/>
        <w:jc w:val="both"/>
        <w:rPr>
          <w:iCs/>
          <w:color w:val="000000" w:themeColor="text1"/>
          <w:sz w:val="16"/>
          <w:szCs w:val="16"/>
        </w:rPr>
      </w:pPr>
    </w:p>
    <w:p w14:paraId="5808B1A7" w14:textId="77777777" w:rsidR="000409C9" w:rsidRPr="00F90EAE" w:rsidRDefault="000409C9" w:rsidP="00F90EAE">
      <w:pPr>
        <w:pStyle w:val="ae"/>
        <w:spacing w:before="0" w:after="0"/>
        <w:jc w:val="both"/>
        <w:textAlignment w:val="baseline"/>
        <w:rPr>
          <w:color w:val="000000" w:themeColor="text1"/>
          <w:sz w:val="16"/>
          <w:szCs w:val="16"/>
        </w:rPr>
      </w:pPr>
      <w:r w:rsidRPr="00F90EAE">
        <w:rPr>
          <w:color w:val="000000" w:themeColor="text1"/>
          <w:sz w:val="16"/>
          <w:szCs w:val="16"/>
        </w:rPr>
        <w:t xml:space="preserve">В апреле 1945 года из-за неудовлетворительной бронепробиваемости гранату РПГ-6 сняли с производства. Гранаты РПГ-43 производились и после войны, а на </w:t>
      </w:r>
      <w:r w:rsidRPr="00F90EAE">
        <w:rPr>
          <w:color w:val="000000" w:themeColor="text1"/>
          <w:sz w:val="16"/>
          <w:szCs w:val="16"/>
        </w:rPr>
        <w:lastRenderedPageBreak/>
        <w:t>вооружении Советской армии состояли как минимум до середины 50-х годов (18876).</w:t>
      </w:r>
    </w:p>
    <w:p w14:paraId="60942EB4" w14:textId="77777777" w:rsidR="000409C9" w:rsidRPr="00F90EAE" w:rsidRDefault="000409C9" w:rsidP="00F90EAE">
      <w:pPr>
        <w:pStyle w:val="ae"/>
        <w:spacing w:before="0" w:after="0"/>
        <w:jc w:val="both"/>
        <w:textAlignment w:val="baseline"/>
        <w:rPr>
          <w:color w:val="000000" w:themeColor="text1"/>
          <w:sz w:val="16"/>
          <w:szCs w:val="16"/>
        </w:rPr>
      </w:pPr>
    </w:p>
    <w:p w14:paraId="2FD0A3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были закончены полигонные испытания 152-мм пушка БЛ-7. На вооружение БЛ-7 не поступала (3861).</w:t>
      </w:r>
    </w:p>
    <w:p w14:paraId="7229E031" w14:textId="77777777" w:rsidR="00665165" w:rsidRPr="00F90EAE" w:rsidRDefault="00665165" w:rsidP="00F90EAE">
      <w:pPr>
        <w:autoSpaceDE w:val="0"/>
        <w:autoSpaceDN w:val="0"/>
        <w:adjustRightInd w:val="0"/>
        <w:jc w:val="both"/>
        <w:rPr>
          <w:color w:val="000000" w:themeColor="text1"/>
          <w:sz w:val="16"/>
          <w:szCs w:val="16"/>
        </w:rPr>
      </w:pPr>
    </w:p>
    <w:p w14:paraId="4B8AB2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второй образец машины Объект 701 в Челябинске на ЧКЗ также был подвергнут дополнительным ходовым ио пытаниям. Обе машины и эти испытания выдержали. Комиссия третий раз рекомендовала принять танк "Объект 701" на вооружен РККА (10703).</w:t>
      </w:r>
    </w:p>
    <w:p w14:paraId="22EA39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EB5BC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был изго</w:t>
      </w:r>
      <w:r w:rsidRPr="00F90EAE">
        <w:rPr>
          <w:color w:val="000000" w:themeColor="text1"/>
          <w:sz w:val="16"/>
          <w:szCs w:val="16"/>
        </w:rPr>
        <w:softHyphen/>
        <w:t>товлен опытный образец уста</w:t>
      </w:r>
      <w:r w:rsidRPr="00F90EAE">
        <w:rPr>
          <w:color w:val="000000" w:themeColor="text1"/>
          <w:sz w:val="16"/>
          <w:szCs w:val="16"/>
        </w:rPr>
        <w:softHyphen/>
        <w:t>новки СУ-101, получивший заводское наименование "Уралмаш-1". В течение лета - осени 1945 г. машина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F90EAE">
        <w:rPr>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F90EAE">
        <w:rPr>
          <w:color w:val="000000" w:themeColor="text1"/>
          <w:sz w:val="16"/>
          <w:szCs w:val="16"/>
        </w:rPr>
        <w:softHyphen/>
        <w:t>пу полностью бронированных самоходных установок и являлась проти</w:t>
      </w:r>
      <w:r w:rsidRPr="00F90EAE">
        <w:rPr>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F90EAE">
        <w:rPr>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F90EAE">
        <w:rPr>
          <w:color w:val="000000" w:themeColor="text1"/>
          <w:sz w:val="16"/>
          <w:szCs w:val="16"/>
        </w:rPr>
        <w:softHyphen/>
        <w:t>нию проходимости из-за перегрузки передних опорных катков (10703).</w:t>
      </w:r>
    </w:p>
    <w:p w14:paraId="6D1B1C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41DD5D7" w14:textId="77777777" w:rsidR="000409C9" w:rsidRPr="00F90EAE" w:rsidRDefault="000409C9" w:rsidP="00F90EAE">
      <w:pPr>
        <w:jc w:val="both"/>
        <w:rPr>
          <w:color w:val="000000" w:themeColor="text1"/>
          <w:sz w:val="16"/>
          <w:szCs w:val="16"/>
        </w:rPr>
      </w:pPr>
      <w:r w:rsidRPr="00F90EAE">
        <w:rPr>
          <w:color w:val="000000" w:themeColor="text1"/>
          <w:sz w:val="16"/>
          <w:szCs w:val="16"/>
        </w:rPr>
        <w:t>В апреле 1945 года Кировский завод окончательно сдал первые свои пять ИСУ-152. При этом 1 мая на заводе имелось ещё 16 машин, которые были собраны, но ещё не приняты заказчиком. Кроме того, в апреле завод выпустил по 15 КПП и планетарных механизмов поворота, 16 бортовых редукторов и прочие элементы. Правда, по некоторым группам узлов и агрегатов имелись существенные проблемы, что и стало причиной мизерных объёмов сданных машин. Качество ленинградских ИСУ-152 оставляло желать лучшего.</w:t>
      </w:r>
    </w:p>
    <w:p w14:paraId="47A16FF2" w14:textId="77777777" w:rsidR="000409C9" w:rsidRPr="00F90EAE" w:rsidRDefault="000409C9" w:rsidP="00F90EAE">
      <w:pPr>
        <w:jc w:val="both"/>
        <w:rPr>
          <w:color w:val="000000" w:themeColor="text1"/>
          <w:sz w:val="16"/>
          <w:szCs w:val="16"/>
        </w:rPr>
      </w:pPr>
      <w:r w:rsidRPr="00F90EAE">
        <w:rPr>
          <w:color w:val="000000" w:themeColor="text1"/>
          <w:sz w:val="16"/>
          <w:szCs w:val="16"/>
        </w:rPr>
        <w:t>Из-за запаздывания документации самоходные установки Кировского завода не оснащались пулемётами ДШК и дымовыми шашками МДШ. Завод планировал, что пулемёты и дымовые шашки будут отсутствовать на первых 50 машинах, но Главное бронетанковое управление Красной армии готово было принять в таком состоянии лишь первые 15 машин (5 апрельских, 5 майских и 5 июньских), после чего требовало оснащать машины так же, как и челябинские ИСУ-152.</w:t>
      </w:r>
    </w:p>
    <w:p w14:paraId="175084C3" w14:textId="77777777" w:rsidR="000409C9" w:rsidRPr="00F90EAE" w:rsidRDefault="000409C9" w:rsidP="00F90EAE">
      <w:pPr>
        <w:jc w:val="both"/>
        <w:rPr>
          <w:color w:val="000000" w:themeColor="text1"/>
          <w:sz w:val="16"/>
          <w:szCs w:val="16"/>
        </w:rPr>
      </w:pPr>
      <w:r w:rsidRPr="00F90EAE">
        <w:rPr>
          <w:color w:val="000000" w:themeColor="text1"/>
          <w:sz w:val="16"/>
          <w:szCs w:val="16"/>
        </w:rPr>
        <w:t>Обходились ленинградские машины дороже челябинских: 300 тысяч рублей против 230 (цена челябинской ИСУ-152 в 1945 году). Такой была плата за организацию дополнительного мелкосерийного производства. Тем не менее небольшой ручеёк ленинградских машин потихоньку рос. В апреле, мае и июне 1945 года завод сдал по пять машин, на такой же объём разгрузили производство ЧКЗ. В июле и августе в Ленинграде сдали по десять машин, в сентябре-ноябре по 15, а в декабре 20 машин. Всего за 1945 год на Кировском заводе выпустили 100 машин.</w:t>
      </w:r>
    </w:p>
    <w:p w14:paraId="0701EB42" w14:textId="77777777" w:rsidR="000409C9" w:rsidRPr="00F90EAE" w:rsidRDefault="000409C9" w:rsidP="00F90EAE">
      <w:pPr>
        <w:jc w:val="both"/>
        <w:rPr>
          <w:color w:val="000000" w:themeColor="text1"/>
          <w:sz w:val="16"/>
          <w:szCs w:val="16"/>
        </w:rPr>
      </w:pPr>
      <w:r w:rsidRPr="00F90EAE">
        <w:rPr>
          <w:color w:val="000000" w:themeColor="text1"/>
          <w:sz w:val="16"/>
          <w:szCs w:val="16"/>
        </w:rPr>
        <w:t>На Кировском заводе производство ИСУ-152 продолжилось и после того, как эти САУ перестал выпускать ЧКЗ. В 1946 году в Ленинграде построили ещё 200 ИСУ-152, а в 1947 — 50. Таким образом, всего Кировский завод сдал 350 ИСУ-152. Для сравнения, немецких самоходных установок Jagdpanther, наиболее близких к ИСУ среди немецких машин по ТТХ, было построено всего 413 штук, причём усилиями трёх заводов.</w:t>
      </w:r>
    </w:p>
    <w:p w14:paraId="6FAB0237" w14:textId="77777777" w:rsidR="000409C9" w:rsidRPr="00F90EAE" w:rsidRDefault="000409C9" w:rsidP="00F90EAE">
      <w:pPr>
        <w:jc w:val="both"/>
        <w:rPr>
          <w:color w:val="000000" w:themeColor="text1"/>
          <w:sz w:val="16"/>
          <w:szCs w:val="16"/>
        </w:rPr>
      </w:pPr>
      <w:r w:rsidRPr="00F90EAE">
        <w:rPr>
          <w:color w:val="000000" w:themeColor="text1"/>
          <w:sz w:val="16"/>
          <w:szCs w:val="16"/>
        </w:rPr>
        <w:t>Всего же с ноября 1943 по 1947 год было сдано 2815 ИСУ-152. Эта машина стала самой массовой тяжёлой САУ в истории. При этом второе место занимает тоже советская машина — однотипная ИСУ-122 (18171).</w:t>
      </w:r>
    </w:p>
    <w:p w14:paraId="0E80DD83" w14:textId="77777777" w:rsidR="000409C9" w:rsidRPr="00F90EAE" w:rsidRDefault="000409C9" w:rsidP="00F90EAE">
      <w:pPr>
        <w:jc w:val="both"/>
        <w:rPr>
          <w:color w:val="000000" w:themeColor="text1"/>
          <w:sz w:val="16"/>
          <w:szCs w:val="16"/>
        </w:rPr>
      </w:pPr>
    </w:p>
    <w:p w14:paraId="00BEA2DD" w14:textId="77777777" w:rsidR="000409C9" w:rsidRPr="00F90EAE" w:rsidRDefault="000409C9" w:rsidP="00F90EAE">
      <w:pPr>
        <w:jc w:val="both"/>
        <w:rPr>
          <w:color w:val="000000" w:themeColor="text1"/>
          <w:sz w:val="16"/>
          <w:szCs w:val="16"/>
        </w:rPr>
      </w:pPr>
      <w:r w:rsidRPr="00F90EAE">
        <w:rPr>
          <w:color w:val="000000" w:themeColor="text1"/>
          <w:sz w:val="16"/>
          <w:szCs w:val="16"/>
        </w:rPr>
        <w:t>В апреле 1945 продолжались доработки СУ-100 и — в частности, изменилась конструкция буксирных тросов, а вместо радиостанций 9-РМ стали ставить более совершенную 9-РС. Также с конца апреля завод перешёл на фундамент двигателя по типу завода №112. Изменения, вносимые в конструкцию корпусов, повысили их качество. Например, при проверке корпусов СУ-100 в феврале 1945 года дефектов было обнаружено 5,6%, а в марте — 3,2%. Правда, при этом наблюдалась масса дефектов по коробкам передач. Борьба за улучшение качества продукции слабо влияла на объём выпуска. За январь 1945 года завод сдал 210 машин, за февраль — 215, за март — 211, за апрель — 214. Таким образом, к 1 мая 1945 года УЗТМ сдал 1350 единиц СУ-100 (18252).</w:t>
      </w:r>
    </w:p>
    <w:p w14:paraId="2C7ABB93" w14:textId="77777777" w:rsidR="000409C9" w:rsidRPr="00F90EAE" w:rsidRDefault="000409C9" w:rsidP="00F90EAE">
      <w:pPr>
        <w:jc w:val="both"/>
        <w:rPr>
          <w:color w:val="000000" w:themeColor="text1"/>
          <w:sz w:val="16"/>
          <w:szCs w:val="16"/>
        </w:rPr>
      </w:pPr>
    </w:p>
    <w:p w14:paraId="7B7AAE39" w14:textId="77777777" w:rsidR="000409C9" w:rsidRPr="00F90EAE" w:rsidRDefault="000409C9" w:rsidP="00F90EAE">
      <w:pPr>
        <w:jc w:val="both"/>
        <w:rPr>
          <w:color w:val="000000" w:themeColor="text1"/>
          <w:sz w:val="16"/>
          <w:szCs w:val="16"/>
        </w:rPr>
      </w:pPr>
      <w:r w:rsidRPr="00F90EAE">
        <w:rPr>
          <w:color w:val="000000" w:themeColor="text1"/>
          <w:sz w:val="16"/>
          <w:szCs w:val="16"/>
        </w:rPr>
        <w:t>В апреле 1945 года ГАЗ и завод № 40 перешли к производству СУ-76М с модернизированным боевым отделением. Машины заводов №40 и ГАЗ им. Молотова отличалась друг от друга. Например, в апреле 1945 года на мытищинских САУ всё ещё не было дверок для доступа из отделения управления в боевое отделение и ограждения мотора. Также на заводе №40 работали над сумками для восьми пулемётных дисков и подыскивали место для их крепления. Имелись отличия и в конструкции тента. В отличие от горьковских машин, по крайней мере на части мытищинских передней откидной секции не было (18172).</w:t>
      </w:r>
    </w:p>
    <w:p w14:paraId="2C7AB26A" w14:textId="77777777" w:rsidR="000409C9" w:rsidRPr="00F90EAE" w:rsidRDefault="000409C9" w:rsidP="00F90EAE">
      <w:pPr>
        <w:jc w:val="both"/>
        <w:rPr>
          <w:color w:val="000000" w:themeColor="text1"/>
          <w:sz w:val="16"/>
          <w:szCs w:val="16"/>
        </w:rPr>
      </w:pPr>
    </w:p>
    <w:p w14:paraId="7A1B4560" w14:textId="77777777" w:rsidR="000409C9" w:rsidRPr="00F90EAE" w:rsidRDefault="000409C9" w:rsidP="00F90EAE">
      <w:pPr>
        <w:jc w:val="both"/>
        <w:rPr>
          <w:color w:val="000000" w:themeColor="text1"/>
          <w:sz w:val="16"/>
          <w:szCs w:val="16"/>
        </w:rPr>
      </w:pPr>
      <w:r w:rsidRPr="00F90EAE">
        <w:rPr>
          <w:color w:val="000000" w:themeColor="text1"/>
          <w:sz w:val="16"/>
          <w:szCs w:val="16"/>
        </w:rPr>
        <w:t>За апрель 1945 ГАЗ сдал 454 СУ-76М, а завод №40 — 150 штук. В мае выпуск составил 440 и 160 машин соответственно, столько же САУ построили в июне. С июля темпы производства начали падать. Если завод №40 сдал те же 160 СУ-76М, то ГАЗ уменьшил выпуск до 420 штук, в августе заводы сдали 160 и 400 машин соответственно. 2 сентября война и объёмы ежемесячного производства уменьшились ещё больше. За сентябрь ГАЗ сдал 250 СУ-76М, а завод №40 — 120 штук (18172).</w:t>
      </w:r>
    </w:p>
    <w:p w14:paraId="03416EE9" w14:textId="77777777" w:rsidR="000409C9" w:rsidRPr="00F90EAE" w:rsidRDefault="000409C9" w:rsidP="00F90EAE">
      <w:pPr>
        <w:jc w:val="both"/>
        <w:rPr>
          <w:color w:val="000000" w:themeColor="text1"/>
          <w:sz w:val="16"/>
          <w:szCs w:val="16"/>
        </w:rPr>
      </w:pPr>
    </w:p>
    <w:p w14:paraId="00489E04" w14:textId="77777777" w:rsidR="000409C9" w:rsidRPr="00F90EAE" w:rsidRDefault="000409C9" w:rsidP="00F90EAE">
      <w:pPr>
        <w:pStyle w:val="ae"/>
        <w:spacing w:before="0" w:after="0"/>
        <w:jc w:val="both"/>
        <w:textAlignment w:val="baseline"/>
        <w:rPr>
          <w:color w:val="000000" w:themeColor="text1"/>
          <w:sz w:val="16"/>
          <w:szCs w:val="16"/>
        </w:rPr>
      </w:pPr>
      <w:r w:rsidRPr="00F90EAE">
        <w:rPr>
          <w:color w:val="000000" w:themeColor="text1"/>
          <w:sz w:val="16"/>
          <w:szCs w:val="16"/>
        </w:rPr>
        <w:t>С апреля 1945 года начались полноценные поставки Т-44 в войска. В этот месяц завод №75 отправил 72 машины, в мае ушло 88, а в июне – 104. Далее начались проблемы с КПП и подшипниками, в результате за 3-й квартал 1945 года завод №75 покинуло всего 83 танка. Снова крупномасштабные поставки начались в конце 1945 года – 218 в октябре, 90 – в ноябре, и 29 – в декабре. Такой рваный график продолжался и дальше, поскольку периодически завод сталкивался с теми или иными дефектами (19047).</w:t>
      </w:r>
    </w:p>
    <w:p w14:paraId="7CE2A9DD" w14:textId="77777777" w:rsidR="000409C9" w:rsidRPr="00F90EAE" w:rsidRDefault="000409C9" w:rsidP="00F90EAE">
      <w:pPr>
        <w:pStyle w:val="ae"/>
        <w:spacing w:before="0" w:after="0"/>
        <w:jc w:val="both"/>
        <w:textAlignment w:val="baseline"/>
        <w:rPr>
          <w:color w:val="000000" w:themeColor="text1"/>
          <w:sz w:val="16"/>
          <w:szCs w:val="16"/>
        </w:rPr>
      </w:pPr>
    </w:p>
    <w:p w14:paraId="1E9B6C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был изготовлен опытный образец машины СУ-102, которая разрабатывалась в КБ УЗТМ под руководством Л.И. Горлицкого одновременно с самоходной установкой СУ-101. ко</w:t>
      </w:r>
      <w:r w:rsidRPr="00F90EAE">
        <w:rPr>
          <w:color w:val="000000" w:themeColor="text1"/>
          <w:sz w:val="16"/>
          <w:szCs w:val="16"/>
        </w:rPr>
        <w:softHyphen/>
        <w:t>торый, как и самоходная установка СУ-101, имел заводское наименова</w:t>
      </w:r>
      <w:r w:rsidRPr="00F90EAE">
        <w:rPr>
          <w:color w:val="000000" w:themeColor="text1"/>
          <w:sz w:val="16"/>
          <w:szCs w:val="16"/>
        </w:rPr>
        <w:softHyphen/>
        <w:t>ние "Уралмаш-1". 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F90EAE">
        <w:rPr>
          <w:color w:val="000000" w:themeColor="text1"/>
          <w:sz w:val="16"/>
          <w:szCs w:val="16"/>
        </w:rPr>
        <w:softHyphen/>
        <w:t>ния боевых машин артиллерии в послевоенный период. Самоходная установка СУ-102 относилась к типу полностью брони</w:t>
      </w:r>
      <w:r w:rsidRPr="00F90EAE">
        <w:rPr>
          <w:color w:val="000000" w:themeColor="text1"/>
          <w:sz w:val="16"/>
          <w:szCs w:val="16"/>
        </w:rPr>
        <w:softHyphen/>
        <w:t>рованных самоходных установок и по компоновке и общему устройст</w:t>
      </w:r>
      <w:r w:rsidRPr="00F90EAE">
        <w:rPr>
          <w:color w:val="000000" w:themeColor="text1"/>
          <w:sz w:val="16"/>
          <w:szCs w:val="16"/>
        </w:rPr>
        <w:softHyphen/>
        <w:t>ву, кроме вооружения, не отличалась от установки СУ-101. Экипаж ма</w:t>
      </w:r>
      <w:r w:rsidRPr="00F90EAE">
        <w:rPr>
          <w:color w:val="000000" w:themeColor="text1"/>
          <w:sz w:val="16"/>
          <w:szCs w:val="16"/>
        </w:rPr>
        <w:softHyphen/>
        <w:t>шины состоял из четырех человек (10703).</w:t>
      </w:r>
    </w:p>
    <w:p w14:paraId="4BA8F4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C11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было выдано тактико-техническое задание на разработку гидродинамического взрывателя донных неконтактных мин. Действие взрывателя предусматривалось как самостоятельно, так и в комбинации с акустическим. индукционным и магнитным каналами. Взрыватель должен был срабатывать при прохождении корабля водоизмещением более 180 т на глубинах от 5 до 30 м. С окончанием Великой Отечественной войны создание неконтактных мин становится главным направлением в развитии минного оружия в советском флоте.</w:t>
      </w:r>
    </w:p>
    <w:p w14:paraId="2A676734" w14:textId="77777777" w:rsidR="00665165" w:rsidRPr="00F90EAE" w:rsidRDefault="00665165" w:rsidP="00F90EAE">
      <w:pPr>
        <w:autoSpaceDE w:val="0"/>
        <w:autoSpaceDN w:val="0"/>
        <w:adjustRightInd w:val="0"/>
        <w:jc w:val="both"/>
        <w:rPr>
          <w:color w:val="000000" w:themeColor="text1"/>
          <w:sz w:val="16"/>
          <w:szCs w:val="16"/>
        </w:rPr>
      </w:pPr>
    </w:p>
    <w:p w14:paraId="5BEEF654"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В апреле 1945 г. на завод № 264 начало поступать оборудование с немецкого завода фирмы «Гута-Банкова», находившегося в Польше. Этот завод был хорошо оборудован для производства бронекорпусов танков. Трофейные службы в составе наступающей Красной армии демонтировали все оборудование и отправили на завод № 264 (15225).</w:t>
      </w:r>
    </w:p>
    <w:p w14:paraId="796CD672" w14:textId="77777777" w:rsidR="00FF11DB" w:rsidRPr="00F90EAE" w:rsidRDefault="00FF11DB" w:rsidP="00F90EAE">
      <w:pPr>
        <w:pStyle w:val="book"/>
        <w:ind w:firstLine="0"/>
        <w:jc w:val="both"/>
        <w:rPr>
          <w:color w:val="000000" w:themeColor="text1"/>
          <w:sz w:val="16"/>
          <w:szCs w:val="16"/>
        </w:rPr>
      </w:pPr>
    </w:p>
    <w:p w14:paraId="5F6BBC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апрель 1945 г. за период с 1930 в нашей стране произведено 114 734 мотоцикла, в числе которых отечественные и трофей</w:t>
      </w:r>
      <w:r w:rsidRPr="00F90EAE">
        <w:rPr>
          <w:color w:val="000000" w:themeColor="text1"/>
          <w:sz w:val="16"/>
          <w:szCs w:val="16"/>
        </w:rPr>
        <w:softHyphen/>
        <w:t>ные мотоциклы (табл. 29). Из которых 75 837 (66,1%) были но</w:t>
      </w:r>
      <w:r w:rsidRPr="00F90EAE">
        <w:rPr>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43356D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Серийный выпуск мотоциклов в СССР за период 1930 г. - апрель 1945 г.</w:t>
      </w:r>
    </w:p>
    <w:tbl>
      <w:tblPr>
        <w:tblW w:w="0" w:type="auto"/>
        <w:tblInd w:w="40" w:type="dxa"/>
        <w:tblLayout w:type="fixed"/>
        <w:tblCellMar>
          <w:left w:w="40" w:type="dxa"/>
          <w:right w:w="40" w:type="dxa"/>
        </w:tblCellMar>
        <w:tblLook w:val="0000" w:firstRow="0" w:lastRow="0" w:firstColumn="0" w:lastColumn="0" w:noHBand="0" w:noVBand="0"/>
      </w:tblPr>
      <w:tblGrid>
        <w:gridCol w:w="1402"/>
        <w:gridCol w:w="480"/>
        <w:gridCol w:w="480"/>
        <w:gridCol w:w="480"/>
        <w:gridCol w:w="480"/>
        <w:gridCol w:w="470"/>
        <w:gridCol w:w="480"/>
        <w:gridCol w:w="490"/>
        <w:gridCol w:w="480"/>
        <w:gridCol w:w="595"/>
        <w:gridCol w:w="595"/>
        <w:gridCol w:w="480"/>
        <w:gridCol w:w="605"/>
        <w:gridCol w:w="470"/>
        <w:gridCol w:w="605"/>
        <w:gridCol w:w="595"/>
        <w:gridCol w:w="480"/>
        <w:gridCol w:w="730"/>
      </w:tblGrid>
      <w:tr w:rsidR="00561F31" w:rsidRPr="00F90EAE" w14:paraId="356893AB" w14:textId="77777777">
        <w:trPr>
          <w:trHeight w:val="374"/>
        </w:trPr>
        <w:tc>
          <w:tcPr>
            <w:tcW w:w="1402" w:type="dxa"/>
            <w:tcBorders>
              <w:top w:val="single" w:sz="6" w:space="0" w:color="auto"/>
              <w:left w:val="single" w:sz="6" w:space="0" w:color="auto"/>
              <w:bottom w:val="nil"/>
              <w:right w:val="single" w:sz="6" w:space="0" w:color="auto"/>
            </w:tcBorders>
          </w:tcPr>
          <w:p w14:paraId="73BCF1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Модель</w:t>
            </w:r>
          </w:p>
          <w:p w14:paraId="327713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265" w:type="dxa"/>
            <w:gridSpan w:val="16"/>
            <w:tcBorders>
              <w:top w:val="single" w:sz="6" w:space="0" w:color="auto"/>
              <w:left w:val="single" w:sz="6" w:space="0" w:color="auto"/>
              <w:bottom w:val="single" w:sz="6" w:space="0" w:color="auto"/>
              <w:right w:val="single" w:sz="6" w:space="0" w:color="auto"/>
            </w:tcBorders>
          </w:tcPr>
          <w:p w14:paraId="1D38AD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Выпуск мотоциклов по годам</w:t>
            </w:r>
          </w:p>
          <w:p w14:paraId="2269BE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4DBB13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1CDF16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01EA88B" w14:textId="77777777">
        <w:trPr>
          <w:trHeight w:val="365"/>
        </w:trPr>
        <w:tc>
          <w:tcPr>
            <w:tcW w:w="1402" w:type="dxa"/>
            <w:tcBorders>
              <w:top w:val="nil"/>
              <w:left w:val="single" w:sz="6" w:space="0" w:color="auto"/>
              <w:bottom w:val="single" w:sz="6" w:space="0" w:color="auto"/>
              <w:right w:val="single" w:sz="6" w:space="0" w:color="auto"/>
            </w:tcBorders>
          </w:tcPr>
          <w:p w14:paraId="07F5EA54" w14:textId="77777777" w:rsidR="00665165" w:rsidRPr="00F90EAE" w:rsidRDefault="00665165" w:rsidP="00F90EAE">
            <w:pPr>
              <w:autoSpaceDE w:val="0"/>
              <w:autoSpaceDN w:val="0"/>
              <w:adjustRightInd w:val="0"/>
              <w:jc w:val="both"/>
              <w:rPr>
                <w:color w:val="000000" w:themeColor="text1"/>
                <w:sz w:val="16"/>
                <w:szCs w:val="16"/>
              </w:rPr>
            </w:pPr>
          </w:p>
          <w:p w14:paraId="002B5EE1" w14:textId="77777777" w:rsidR="00665165" w:rsidRPr="00F90EAE" w:rsidRDefault="00665165" w:rsidP="00F90EAE">
            <w:pPr>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1AE380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24BFF9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73DD29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1931</w:t>
            </w:r>
          </w:p>
          <w:p w14:paraId="067C73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6F5D1E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1932</w:t>
            </w:r>
          </w:p>
          <w:p w14:paraId="626E01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3146F4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1933</w:t>
            </w:r>
          </w:p>
          <w:p w14:paraId="0A2852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7E650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w:t>
            </w:r>
          </w:p>
          <w:p w14:paraId="69A3C2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A5A9D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w:t>
            </w:r>
          </w:p>
          <w:p w14:paraId="11494A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single" w:sz="6" w:space="0" w:color="auto"/>
              <w:right w:val="single" w:sz="6" w:space="0" w:color="auto"/>
            </w:tcBorders>
          </w:tcPr>
          <w:p w14:paraId="43CC62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12EDB0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38A09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1937</w:t>
            </w:r>
          </w:p>
          <w:p w14:paraId="21A6B8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12BE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2E1424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5DB0E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4FB68E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298830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w:t>
            </w:r>
          </w:p>
          <w:p w14:paraId="68CB10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44F5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5D7C21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E227A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w:t>
            </w:r>
          </w:p>
          <w:p w14:paraId="0BB6BB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C36FC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w:t>
            </w:r>
          </w:p>
          <w:p w14:paraId="647E7D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A614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p w14:paraId="7561E7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single" w:sz="6" w:space="0" w:color="auto"/>
              <w:right w:val="single" w:sz="6" w:space="0" w:color="auto"/>
            </w:tcBorders>
          </w:tcPr>
          <w:p w14:paraId="4804C1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w:t>
            </w:r>
          </w:p>
          <w:p w14:paraId="7977F6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0A2CAC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E206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D559303" w14:textId="77777777">
        <w:trPr>
          <w:trHeight w:val="355"/>
        </w:trPr>
        <w:tc>
          <w:tcPr>
            <w:tcW w:w="1402" w:type="dxa"/>
            <w:tcBorders>
              <w:top w:val="single" w:sz="6" w:space="0" w:color="auto"/>
              <w:left w:val="single" w:sz="6" w:space="0" w:color="auto"/>
              <w:bottom w:val="nil"/>
              <w:right w:val="single" w:sz="6" w:space="0" w:color="auto"/>
            </w:tcBorders>
          </w:tcPr>
          <w:p w14:paraId="6334C8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Л-300</w:t>
            </w:r>
          </w:p>
          <w:p w14:paraId="7AEA34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05EBB2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w:t>
            </w:r>
          </w:p>
          <w:p w14:paraId="3E2A55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79125F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0F743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p w14:paraId="38ECB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6D5465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w:t>
            </w:r>
          </w:p>
          <w:p w14:paraId="59B675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47C3A3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w:t>
            </w:r>
          </w:p>
          <w:p w14:paraId="375AA1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2AE3F8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06B00A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2A8059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w:t>
            </w:r>
          </w:p>
          <w:p w14:paraId="18EA8D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single" w:sz="6" w:space="0" w:color="auto"/>
              <w:left w:val="single" w:sz="6" w:space="0" w:color="auto"/>
              <w:bottom w:val="nil"/>
              <w:right w:val="single" w:sz="6" w:space="0" w:color="auto"/>
            </w:tcBorders>
          </w:tcPr>
          <w:p w14:paraId="793627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2500</w:t>
            </w:r>
          </w:p>
          <w:p w14:paraId="2DA954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40D3E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3597</w:t>
            </w:r>
          </w:p>
          <w:p w14:paraId="1B2167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6B93C7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4800</w:t>
            </w:r>
          </w:p>
          <w:p w14:paraId="1F60BB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5D0D99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4500</w:t>
            </w:r>
          </w:p>
          <w:p w14:paraId="6DB9E9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1051F0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756F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5E4B77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0354A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single" w:sz="6" w:space="0" w:color="auto"/>
              <w:left w:val="single" w:sz="6" w:space="0" w:color="auto"/>
              <w:bottom w:val="nil"/>
              <w:right w:val="single" w:sz="6" w:space="0" w:color="auto"/>
            </w:tcBorders>
          </w:tcPr>
          <w:p w14:paraId="6782EB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493FE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5CA10D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9853F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single" w:sz="6" w:space="0" w:color="auto"/>
              <w:left w:val="single" w:sz="6" w:space="0" w:color="auto"/>
              <w:bottom w:val="nil"/>
              <w:right w:val="single" w:sz="6" w:space="0" w:color="auto"/>
            </w:tcBorders>
          </w:tcPr>
          <w:p w14:paraId="77D31B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8D66A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single" w:sz="6" w:space="0" w:color="auto"/>
              <w:left w:val="single" w:sz="6" w:space="0" w:color="auto"/>
              <w:bottom w:val="nil"/>
              <w:right w:val="single" w:sz="6" w:space="0" w:color="auto"/>
            </w:tcBorders>
          </w:tcPr>
          <w:p w14:paraId="54CC8A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5E087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51B17F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19 060</w:t>
            </w:r>
          </w:p>
          <w:p w14:paraId="2173AA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8A0AEAD" w14:textId="77777777">
        <w:trPr>
          <w:trHeight w:val="221"/>
        </w:trPr>
        <w:tc>
          <w:tcPr>
            <w:tcW w:w="1402" w:type="dxa"/>
            <w:tcBorders>
              <w:top w:val="nil"/>
              <w:left w:val="single" w:sz="6" w:space="0" w:color="auto"/>
              <w:bottom w:val="nil"/>
              <w:right w:val="single" w:sz="6" w:space="0" w:color="auto"/>
            </w:tcBorders>
          </w:tcPr>
          <w:p w14:paraId="06F5B9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Л-8</w:t>
            </w:r>
          </w:p>
          <w:p w14:paraId="1BCDBA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E6B5C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7DA07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582A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5173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EBBC8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FC6A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2963F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1D4E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46B24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6193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37146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AE04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DEF36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D0520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8AC12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C4703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B70F0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B524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E5066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76E4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53562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448</w:t>
            </w:r>
          </w:p>
          <w:p w14:paraId="5C0E89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4BFD3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1169</w:t>
            </w:r>
          </w:p>
          <w:p w14:paraId="3E2BF5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774F2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C8EE1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063CD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DB40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93B32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F0A85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B023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D47AD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1D8B2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1617</w:t>
            </w:r>
          </w:p>
          <w:p w14:paraId="313210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DFFFC0F" w14:textId="77777777">
        <w:trPr>
          <w:trHeight w:val="221"/>
        </w:trPr>
        <w:tc>
          <w:tcPr>
            <w:tcW w:w="1402" w:type="dxa"/>
            <w:tcBorders>
              <w:top w:val="nil"/>
              <w:left w:val="single" w:sz="6" w:space="0" w:color="auto"/>
              <w:bottom w:val="nil"/>
              <w:right w:val="single" w:sz="6" w:space="0" w:color="auto"/>
            </w:tcBorders>
          </w:tcPr>
          <w:p w14:paraId="775A1F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ИЖ-7</w:t>
            </w:r>
          </w:p>
          <w:p w14:paraId="576442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C5354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3F027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37B9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7CFD7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B7B7C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B5796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A3A4E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19E308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5C43B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111</w:t>
            </w:r>
          </w:p>
          <w:p w14:paraId="443864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264E7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451</w:t>
            </w:r>
          </w:p>
          <w:p w14:paraId="340D34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9B632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2007</w:t>
            </w:r>
          </w:p>
          <w:p w14:paraId="5DB30D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90E6E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ЗОЮ</w:t>
            </w:r>
          </w:p>
          <w:p w14:paraId="79A704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75733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6514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BE106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BFF8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9AA91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FA405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2683D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0A99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5B867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7357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A02DB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AA200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3F5C3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5A41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8F74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82FF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5A1F9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5589</w:t>
            </w:r>
          </w:p>
          <w:p w14:paraId="61FDBB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9896431" w14:textId="77777777">
        <w:trPr>
          <w:trHeight w:val="221"/>
        </w:trPr>
        <w:tc>
          <w:tcPr>
            <w:tcW w:w="1402" w:type="dxa"/>
            <w:tcBorders>
              <w:top w:val="nil"/>
              <w:left w:val="single" w:sz="6" w:space="0" w:color="auto"/>
              <w:bottom w:val="nil"/>
              <w:right w:val="single" w:sz="6" w:space="0" w:color="auto"/>
            </w:tcBorders>
          </w:tcPr>
          <w:p w14:paraId="4075B1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ИЖ-8</w:t>
            </w:r>
          </w:p>
          <w:p w14:paraId="7E38A3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ECDD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2FA38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454F3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A0351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C59C6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B3369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E5861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A576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9BE70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DE4F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09386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97AE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4088E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4EFD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6196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E650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B262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4020</w:t>
            </w:r>
          </w:p>
          <w:p w14:paraId="32687F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DDF69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4317</w:t>
            </w:r>
          </w:p>
          <w:p w14:paraId="2EE6A6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822E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1556</w:t>
            </w:r>
          </w:p>
          <w:p w14:paraId="5A4713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3D41E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AB7E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D2CE9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F64C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9F018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EC7C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D79A8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4750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DE73B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DAD0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788A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9893</w:t>
            </w:r>
          </w:p>
          <w:p w14:paraId="210A77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9093275" w14:textId="77777777">
        <w:trPr>
          <w:trHeight w:val="221"/>
        </w:trPr>
        <w:tc>
          <w:tcPr>
            <w:tcW w:w="1402" w:type="dxa"/>
            <w:tcBorders>
              <w:top w:val="nil"/>
              <w:left w:val="single" w:sz="6" w:space="0" w:color="auto"/>
              <w:bottom w:val="nil"/>
              <w:right w:val="single" w:sz="6" w:space="0" w:color="auto"/>
            </w:tcBorders>
          </w:tcPr>
          <w:p w14:paraId="16D563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ИЖ-9</w:t>
            </w:r>
          </w:p>
          <w:p w14:paraId="1358D1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15A5A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4A6B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C0C9C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AE433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F94CE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AD567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7FDC2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1D89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12E95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25A8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6C0A5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7AB75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7C119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055C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6A82F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D2EE7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B7A6A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6318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EBC1D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1C024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3422B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833</w:t>
            </w:r>
          </w:p>
          <w:p w14:paraId="6C959A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24A7A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5392</w:t>
            </w:r>
          </w:p>
          <w:p w14:paraId="3E450C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A0874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16677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2F5BD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87989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98EB2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646C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1A2EA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1FCAA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5386B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6225</w:t>
            </w:r>
          </w:p>
          <w:p w14:paraId="408D55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F26E765" w14:textId="77777777">
        <w:trPr>
          <w:trHeight w:val="221"/>
        </w:trPr>
        <w:tc>
          <w:tcPr>
            <w:tcW w:w="1402" w:type="dxa"/>
            <w:tcBorders>
              <w:top w:val="nil"/>
              <w:left w:val="single" w:sz="6" w:space="0" w:color="auto"/>
              <w:bottom w:val="nil"/>
              <w:right w:val="single" w:sz="6" w:space="0" w:color="auto"/>
            </w:tcBorders>
          </w:tcPr>
          <w:p w14:paraId="40E172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ИЖ-12</w:t>
            </w:r>
          </w:p>
          <w:p w14:paraId="23E6AA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3325A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DB862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A9AE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A24C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24F46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611A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4100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B670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00F84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4B04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F0316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47EDA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19E1B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9CB1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B61DA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407B2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165D37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1267E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C3F8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5115F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6888B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0F6F13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33983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w:t>
            </w:r>
          </w:p>
          <w:p w14:paraId="408239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EDBF8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7CD27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46D45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0A6A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DA89F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EDF2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6B01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323DC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1D172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w:t>
            </w:r>
          </w:p>
          <w:p w14:paraId="3B1712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7225C6F" w14:textId="77777777">
        <w:trPr>
          <w:trHeight w:val="442"/>
        </w:trPr>
        <w:tc>
          <w:tcPr>
            <w:tcW w:w="1402" w:type="dxa"/>
            <w:tcBorders>
              <w:top w:val="nil"/>
              <w:left w:val="single" w:sz="6" w:space="0" w:color="auto"/>
              <w:bottom w:val="nil"/>
              <w:right w:val="single" w:sz="6" w:space="0" w:color="auto"/>
            </w:tcBorders>
          </w:tcPr>
          <w:p w14:paraId="128807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«Стрела» МЛ-3</w:t>
            </w:r>
          </w:p>
          <w:p w14:paraId="0792A7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1FD3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12E1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F62C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A715B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CD36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0C1AD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21E5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779F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42F37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266E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B0F1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231BA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28C015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w:t>
            </w:r>
          </w:p>
          <w:p w14:paraId="6BFD49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EEDB5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246</w:t>
            </w:r>
          </w:p>
          <w:p w14:paraId="304826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AEB17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FB0C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50FC6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30FC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75CB8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7B1358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03E41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w:t>
            </w:r>
          </w:p>
          <w:p w14:paraId="5F6F95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6C1F1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95E21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B425C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BDCF3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67978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D15F9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F0EC0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F19E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675B8D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356 168</w:t>
            </w:r>
          </w:p>
          <w:p w14:paraId="3E6300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3083ADD" w14:textId="77777777">
        <w:trPr>
          <w:trHeight w:val="211"/>
        </w:trPr>
        <w:tc>
          <w:tcPr>
            <w:tcW w:w="1402" w:type="dxa"/>
            <w:tcBorders>
              <w:top w:val="nil"/>
              <w:left w:val="single" w:sz="6" w:space="0" w:color="auto"/>
              <w:bottom w:val="nil"/>
              <w:right w:val="single" w:sz="6" w:space="0" w:color="auto"/>
            </w:tcBorders>
          </w:tcPr>
          <w:p w14:paraId="7C4115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МПЗ-750</w:t>
            </w:r>
          </w:p>
          <w:p w14:paraId="67EB16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C635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EF859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8CF9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49CA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0ED4C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9DE3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62080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7DB4D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632F74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2E9554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1C652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2060D2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3D6E1C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1005</w:t>
            </w:r>
          </w:p>
          <w:p w14:paraId="445264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7DE69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1259</w:t>
            </w:r>
          </w:p>
          <w:p w14:paraId="1A93DE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5CFAA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2180</w:t>
            </w:r>
          </w:p>
          <w:p w14:paraId="7AD7CF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452F7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w:t>
            </w:r>
          </w:p>
          <w:p w14:paraId="3DDF54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BC41B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D4F9E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227B36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BDEB3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990E1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6320B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9002F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3AA2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F7C1D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7242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56B21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9FF2C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D57FE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4636</w:t>
            </w:r>
          </w:p>
          <w:p w14:paraId="43D8E6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2439B63" w14:textId="77777777">
        <w:trPr>
          <w:trHeight w:val="230"/>
        </w:trPr>
        <w:tc>
          <w:tcPr>
            <w:tcW w:w="1402" w:type="dxa"/>
            <w:tcBorders>
              <w:top w:val="nil"/>
              <w:left w:val="single" w:sz="6" w:space="0" w:color="auto"/>
              <w:bottom w:val="nil"/>
              <w:right w:val="single" w:sz="6" w:space="0" w:color="auto"/>
            </w:tcBorders>
          </w:tcPr>
          <w:p w14:paraId="1DC72C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ТИЗ-АМ-600</w:t>
            </w:r>
            <w:r w:rsidRPr="00F90EAE">
              <w:rPr>
                <w:color w:val="000000" w:themeColor="text1"/>
                <w:sz w:val="16"/>
                <w:szCs w:val="16"/>
                <w:vertAlign w:val="superscript"/>
              </w:rPr>
              <w:t>1</w:t>
            </w:r>
          </w:p>
          <w:p w14:paraId="7CF544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57CA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F614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D70B4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CB53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E500E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454D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DB257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DDACB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DCE85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EB80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39CB8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521</w:t>
            </w:r>
          </w:p>
          <w:p w14:paraId="3E5D47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1B969C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p w14:paraId="7BFE5E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87833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1545</w:t>
            </w:r>
          </w:p>
          <w:p w14:paraId="6660EF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FD740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1530</w:t>
            </w:r>
          </w:p>
          <w:p w14:paraId="6FD600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FD958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p w14:paraId="50143A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3264D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2826</w:t>
            </w:r>
          </w:p>
          <w:p w14:paraId="5F809D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6415FC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2970</w:t>
            </w:r>
          </w:p>
          <w:p w14:paraId="3A8B43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BA875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187</w:t>
            </w:r>
          </w:p>
          <w:p w14:paraId="58BE71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D0BBF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427</w:t>
            </w:r>
          </w:p>
          <w:p w14:paraId="66CCD8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B99B3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98BC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7426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F40C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4F8310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13 006</w:t>
            </w:r>
          </w:p>
          <w:p w14:paraId="720DB0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013B751" w14:textId="77777777">
        <w:trPr>
          <w:trHeight w:val="230"/>
        </w:trPr>
        <w:tc>
          <w:tcPr>
            <w:tcW w:w="1402" w:type="dxa"/>
            <w:tcBorders>
              <w:top w:val="nil"/>
              <w:left w:val="single" w:sz="6" w:space="0" w:color="auto"/>
              <w:bottom w:val="nil"/>
              <w:right w:val="single" w:sz="6" w:space="0" w:color="auto"/>
            </w:tcBorders>
          </w:tcPr>
          <w:p w14:paraId="46ACD7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Л-600</w:t>
            </w:r>
          </w:p>
          <w:p w14:paraId="6FCFFA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CB20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39C5B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05D92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D012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6EC9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A2E3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8F8F8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6979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3696C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E6C51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C6EA8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C35DC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594995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FB46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0D3F9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26C1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CD26B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117</w:t>
            </w:r>
          </w:p>
          <w:p w14:paraId="7F65C2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DED75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19C288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70E67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95CF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45940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FA36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01A92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7A73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2B3C8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18FF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80538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B4449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5D5D9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809B9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8127B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w:t>
            </w:r>
          </w:p>
          <w:p w14:paraId="680EEF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9B8BB6B" w14:textId="77777777">
        <w:trPr>
          <w:trHeight w:val="211"/>
        </w:trPr>
        <w:tc>
          <w:tcPr>
            <w:tcW w:w="1402" w:type="dxa"/>
            <w:tcBorders>
              <w:top w:val="nil"/>
              <w:left w:val="single" w:sz="6" w:space="0" w:color="auto"/>
              <w:bottom w:val="nil"/>
              <w:right w:val="nil"/>
            </w:tcBorders>
          </w:tcPr>
          <w:p w14:paraId="2F6C58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М-72</w:t>
            </w:r>
          </w:p>
          <w:p w14:paraId="6A8611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nil"/>
              <w:bottom w:val="nil"/>
              <w:right w:val="single" w:sz="6" w:space="0" w:color="auto"/>
            </w:tcBorders>
          </w:tcPr>
          <w:p w14:paraId="3458F8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4F3E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F1F77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525E5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9EE4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DD45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CC41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1ED95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12835E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C607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C1680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64C0A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7E317C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92AE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53198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A87C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CBB09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E7365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7BFE0E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86B3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695CB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ACBF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D45D3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1751</w:t>
            </w:r>
          </w:p>
          <w:p w14:paraId="1AC984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FE273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2875</w:t>
            </w:r>
          </w:p>
          <w:p w14:paraId="6D8215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327DFF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3424</w:t>
            </w:r>
          </w:p>
          <w:p w14:paraId="26AC60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DF407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5401</w:t>
            </w:r>
          </w:p>
          <w:p w14:paraId="55C44A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668F6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1595</w:t>
            </w:r>
          </w:p>
          <w:p w14:paraId="63BF5C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3F4395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15 046</w:t>
            </w:r>
          </w:p>
          <w:p w14:paraId="1ED62E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5DA1C0F" w14:textId="77777777">
        <w:trPr>
          <w:trHeight w:val="221"/>
        </w:trPr>
        <w:tc>
          <w:tcPr>
            <w:tcW w:w="1402" w:type="dxa"/>
            <w:tcBorders>
              <w:top w:val="nil"/>
              <w:left w:val="single" w:sz="6" w:space="0" w:color="auto"/>
              <w:bottom w:val="nil"/>
              <w:right w:val="single" w:sz="6" w:space="0" w:color="auto"/>
            </w:tcBorders>
          </w:tcPr>
          <w:p w14:paraId="5EFAC8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БТРЗ № 20</w:t>
            </w:r>
            <w:r w:rsidRPr="00F90EAE">
              <w:rPr>
                <w:color w:val="000000" w:themeColor="text1"/>
                <w:sz w:val="16"/>
                <w:szCs w:val="16"/>
                <w:vertAlign w:val="superscript"/>
              </w:rPr>
              <w:t>2</w:t>
            </w:r>
          </w:p>
          <w:p w14:paraId="55F8D4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5EBC3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BE8C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91678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22EB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CB2DC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BA12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1683A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8796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0A9F08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1BDD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520710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21F2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5562CE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A992F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1C27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C12BB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05B627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809A8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59568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C466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C9853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ACA50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E8E20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87A1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273C34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w:t>
            </w:r>
          </w:p>
          <w:p w14:paraId="4BBC5B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140A96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w:t>
            </w:r>
          </w:p>
          <w:p w14:paraId="75367C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64D15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w:t>
            </w:r>
          </w:p>
          <w:p w14:paraId="1644B8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55B8B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04032A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87407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10000</w:t>
            </w:r>
          </w:p>
          <w:p w14:paraId="66437B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4030E2C" w14:textId="77777777">
        <w:trPr>
          <w:trHeight w:val="490"/>
        </w:trPr>
        <w:tc>
          <w:tcPr>
            <w:tcW w:w="1402" w:type="dxa"/>
            <w:tcBorders>
              <w:top w:val="nil"/>
              <w:left w:val="single" w:sz="6" w:space="0" w:color="auto"/>
              <w:bottom w:val="nil"/>
              <w:right w:val="single" w:sz="6" w:space="0" w:color="auto"/>
            </w:tcBorders>
          </w:tcPr>
          <w:p w14:paraId="5B733E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Трофейные</w:t>
            </w:r>
          </w:p>
          <w:p w14:paraId="6F3904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Ленд-лиз</w:t>
            </w:r>
          </w:p>
          <w:p w14:paraId="797F2F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F51D4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1497D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B63BC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4398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85068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D1E4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225D3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01DC8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31AA53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5F82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113AF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3175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4386CE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5B1F1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367CFF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644E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473526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01AB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40BBB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12637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23AAD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00C83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B1B4B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1763</w:t>
            </w:r>
          </w:p>
          <w:p w14:paraId="613542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533CF4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1423 457</w:t>
            </w:r>
          </w:p>
          <w:p w14:paraId="6469FC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5115B7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1449 8900</w:t>
            </w:r>
          </w:p>
          <w:p w14:paraId="493032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5908B0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1437 10781</w:t>
            </w:r>
          </w:p>
          <w:p w14:paraId="3D6786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47A657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537648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2387</w:t>
            </w:r>
          </w:p>
          <w:p w14:paraId="7BB6C9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E64D3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6372 22 525</w:t>
            </w:r>
          </w:p>
          <w:p w14:paraId="6D2448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2C028D2" w14:textId="77777777">
        <w:trPr>
          <w:trHeight w:val="288"/>
        </w:trPr>
        <w:tc>
          <w:tcPr>
            <w:tcW w:w="1402" w:type="dxa"/>
            <w:tcBorders>
              <w:top w:val="nil"/>
              <w:left w:val="single" w:sz="6" w:space="0" w:color="auto"/>
              <w:bottom w:val="nil"/>
              <w:right w:val="single" w:sz="6" w:space="0" w:color="auto"/>
            </w:tcBorders>
          </w:tcPr>
          <w:p w14:paraId="244385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по годам</w:t>
            </w:r>
          </w:p>
          <w:p w14:paraId="4D56FF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DA714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2DC973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45DCD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p w14:paraId="3DA83E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7A7AB6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w:t>
            </w:r>
          </w:p>
          <w:p w14:paraId="50B01D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F67E7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510</w:t>
            </w:r>
          </w:p>
          <w:p w14:paraId="20252D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4D52C5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1112</w:t>
            </w:r>
          </w:p>
          <w:p w14:paraId="7B627E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0C98EE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2981</w:t>
            </w:r>
          </w:p>
          <w:p w14:paraId="620FA6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90" w:type="dxa"/>
            <w:tcBorders>
              <w:top w:val="nil"/>
              <w:left w:val="single" w:sz="6" w:space="0" w:color="auto"/>
              <w:bottom w:val="nil"/>
              <w:right w:val="single" w:sz="6" w:space="0" w:color="auto"/>
            </w:tcBorders>
          </w:tcPr>
          <w:p w14:paraId="0D7F6B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7122</w:t>
            </w:r>
          </w:p>
          <w:p w14:paraId="6C445E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15F706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9657</w:t>
            </w:r>
          </w:p>
          <w:p w14:paraId="40CF45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6AA235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12 647</w:t>
            </w:r>
          </w:p>
          <w:p w14:paraId="6BEB2E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38644E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10 574</w:t>
            </w:r>
          </w:p>
          <w:p w14:paraId="7B2748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2D0E79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5785</w:t>
            </w:r>
          </w:p>
          <w:p w14:paraId="1F6001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4130ED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13 140</w:t>
            </w:r>
          </w:p>
          <w:p w14:paraId="0D1EFE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0" w:type="dxa"/>
            <w:tcBorders>
              <w:top w:val="nil"/>
              <w:left w:val="single" w:sz="6" w:space="0" w:color="auto"/>
              <w:bottom w:val="nil"/>
              <w:right w:val="single" w:sz="6" w:space="0" w:color="auto"/>
            </w:tcBorders>
          </w:tcPr>
          <w:p w14:paraId="790BD8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7942</w:t>
            </w:r>
          </w:p>
          <w:p w14:paraId="567C9F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05F65F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17 200</w:t>
            </w:r>
          </w:p>
          <w:p w14:paraId="57C7DC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95" w:type="dxa"/>
            <w:tcBorders>
              <w:top w:val="nil"/>
              <w:left w:val="single" w:sz="6" w:space="0" w:color="auto"/>
              <w:bottom w:val="nil"/>
              <w:right w:val="single" w:sz="6" w:space="0" w:color="auto"/>
            </w:tcBorders>
          </w:tcPr>
          <w:p w14:paraId="2962FE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20619</w:t>
            </w:r>
          </w:p>
          <w:p w14:paraId="55BA2E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80" w:type="dxa"/>
            <w:tcBorders>
              <w:top w:val="nil"/>
              <w:left w:val="single" w:sz="6" w:space="0" w:color="auto"/>
              <w:bottom w:val="nil"/>
              <w:right w:val="single" w:sz="6" w:space="0" w:color="auto"/>
            </w:tcBorders>
          </w:tcPr>
          <w:p w14:paraId="629565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5282</w:t>
            </w:r>
          </w:p>
          <w:p w14:paraId="1875B3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767A28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114734</w:t>
            </w:r>
          </w:p>
          <w:p w14:paraId="477807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C5EC062" w14:textId="77777777">
        <w:trPr>
          <w:trHeight w:val="595"/>
        </w:trPr>
        <w:tc>
          <w:tcPr>
            <w:tcW w:w="6912" w:type="dxa"/>
            <w:gridSpan w:val="12"/>
            <w:tcBorders>
              <w:top w:val="nil"/>
              <w:left w:val="single" w:sz="6" w:space="0" w:color="auto"/>
              <w:bottom w:val="single" w:sz="6" w:space="0" w:color="auto"/>
              <w:right w:val="nil"/>
            </w:tcBorders>
          </w:tcPr>
          <w:p w14:paraId="00EAE1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Примечания: Мотоциклы, изготовленные на ТМЗ в 1942 и 1943 г. в количестве 187 и 427 БТРЗ № 20 по годам автором не выявлен, поэтому приведена ориентировочная оценка.</w:t>
            </w:r>
          </w:p>
          <w:p w14:paraId="4DDB88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85" w:type="dxa"/>
            <w:gridSpan w:val="6"/>
            <w:tcBorders>
              <w:top w:val="nil"/>
              <w:left w:val="nil"/>
              <w:bottom w:val="single" w:sz="6" w:space="0" w:color="auto"/>
              <w:right w:val="single" w:sz="6" w:space="0" w:color="auto"/>
            </w:tcBorders>
          </w:tcPr>
          <w:p w14:paraId="7A1E20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шт. назывались АМ-600. </w:t>
            </w:r>
            <w:r w:rsidRPr="00F90EAE">
              <w:rPr>
                <w:color w:val="000000" w:themeColor="text1"/>
                <w:sz w:val="16"/>
                <w:szCs w:val="16"/>
                <w:vertAlign w:val="superscript"/>
              </w:rPr>
              <w:t>2</w:t>
            </w:r>
            <w:r w:rsidRPr="00F90EAE">
              <w:rPr>
                <w:color w:val="000000" w:themeColor="text1"/>
                <w:sz w:val="16"/>
                <w:szCs w:val="16"/>
              </w:rPr>
              <w:t xml:space="preserve"> Выпуск мотоциклов</w:t>
            </w:r>
          </w:p>
          <w:p w14:paraId="70E355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3A074A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(11429).</w:t>
      </w:r>
    </w:p>
    <w:p w14:paraId="44C743A7" w14:textId="77777777" w:rsidR="00665165" w:rsidRPr="00F90EAE" w:rsidRDefault="00665165" w:rsidP="00F90EAE">
      <w:pPr>
        <w:autoSpaceDE w:val="0"/>
        <w:autoSpaceDN w:val="0"/>
        <w:adjustRightInd w:val="0"/>
        <w:jc w:val="both"/>
        <w:rPr>
          <w:color w:val="000000" w:themeColor="text1"/>
          <w:sz w:val="16"/>
          <w:szCs w:val="16"/>
        </w:rPr>
      </w:pPr>
    </w:p>
    <w:p w14:paraId="2B7B41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Перечень отечественных мотоциклов (1899-1945)</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10"/>
        <w:gridCol w:w="3402"/>
        <w:gridCol w:w="1422"/>
        <w:gridCol w:w="567"/>
        <w:gridCol w:w="14"/>
        <w:gridCol w:w="1241"/>
        <w:gridCol w:w="1300"/>
      </w:tblGrid>
      <w:tr w:rsidR="00561F31" w:rsidRPr="00F90EAE" w14:paraId="2CBE4FE0" w14:textId="77777777">
        <w:trPr>
          <w:trHeight w:val="384"/>
        </w:trPr>
        <w:tc>
          <w:tcPr>
            <w:tcW w:w="2410" w:type="dxa"/>
            <w:tcBorders>
              <w:top w:val="single" w:sz="12" w:space="0" w:color="auto"/>
            </w:tcBorders>
          </w:tcPr>
          <w:p w14:paraId="3299F6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Марка, обозначение</w:t>
            </w:r>
          </w:p>
          <w:p w14:paraId="578130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Borders>
              <w:top w:val="single" w:sz="12" w:space="0" w:color="auto"/>
            </w:tcBorders>
          </w:tcPr>
          <w:p w14:paraId="123C1D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Изготовитель</w:t>
            </w:r>
          </w:p>
          <w:p w14:paraId="273606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12" w:space="0" w:color="auto"/>
            </w:tcBorders>
          </w:tcPr>
          <w:p w14:paraId="5EADE1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Город</w:t>
            </w:r>
          </w:p>
          <w:p w14:paraId="4FAEA9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2" w:type="dxa"/>
            <w:gridSpan w:val="3"/>
            <w:tcBorders>
              <w:top w:val="single" w:sz="12" w:space="0" w:color="auto"/>
            </w:tcBorders>
          </w:tcPr>
          <w:p w14:paraId="7AA010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w:t>
            </w:r>
          </w:p>
          <w:p w14:paraId="69A43D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Borders>
              <w:top w:val="single" w:sz="12" w:space="0" w:color="auto"/>
            </w:tcBorders>
          </w:tcPr>
          <w:p w14:paraId="5CCFD8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w:t>
            </w:r>
          </w:p>
        </w:tc>
      </w:tr>
      <w:tr w:rsidR="00561F31" w:rsidRPr="00F90EAE" w14:paraId="64BAACBC" w14:textId="77777777">
        <w:trPr>
          <w:trHeight w:val="566"/>
        </w:trPr>
        <w:tc>
          <w:tcPr>
            <w:tcW w:w="2410" w:type="dxa"/>
          </w:tcPr>
          <w:p w14:paraId="1C0B1ED1" w14:textId="77777777" w:rsidR="00665165" w:rsidRPr="00F90EAE" w:rsidRDefault="00665165" w:rsidP="00F90EAE">
            <w:pPr>
              <w:autoSpaceDE w:val="0"/>
              <w:autoSpaceDN w:val="0"/>
              <w:adjustRightInd w:val="0"/>
              <w:jc w:val="both"/>
              <w:rPr>
                <w:color w:val="000000" w:themeColor="text1"/>
                <w:sz w:val="16"/>
                <w:szCs w:val="16"/>
              </w:rPr>
            </w:pPr>
          </w:p>
          <w:p w14:paraId="71A9F49D" w14:textId="77777777" w:rsidR="00665165" w:rsidRPr="00F90EAE" w:rsidRDefault="00665165" w:rsidP="00F90EAE">
            <w:pPr>
              <w:autoSpaceDE w:val="0"/>
              <w:autoSpaceDN w:val="0"/>
              <w:adjustRightInd w:val="0"/>
              <w:jc w:val="both"/>
              <w:rPr>
                <w:color w:val="000000" w:themeColor="text1"/>
                <w:sz w:val="16"/>
                <w:szCs w:val="16"/>
              </w:rPr>
            </w:pPr>
          </w:p>
        </w:tc>
        <w:tc>
          <w:tcPr>
            <w:tcW w:w="3402" w:type="dxa"/>
          </w:tcPr>
          <w:p w14:paraId="201A302F" w14:textId="77777777" w:rsidR="00665165" w:rsidRPr="00F90EAE" w:rsidRDefault="00665165" w:rsidP="00F90EAE">
            <w:pPr>
              <w:autoSpaceDE w:val="0"/>
              <w:autoSpaceDN w:val="0"/>
              <w:adjustRightInd w:val="0"/>
              <w:jc w:val="both"/>
              <w:rPr>
                <w:color w:val="000000" w:themeColor="text1"/>
                <w:sz w:val="16"/>
                <w:szCs w:val="16"/>
              </w:rPr>
            </w:pPr>
          </w:p>
          <w:p w14:paraId="27B74C60" w14:textId="77777777" w:rsidR="00665165" w:rsidRPr="00F90EAE" w:rsidRDefault="00665165" w:rsidP="00F90EAE">
            <w:pPr>
              <w:autoSpaceDE w:val="0"/>
              <w:autoSpaceDN w:val="0"/>
              <w:adjustRightInd w:val="0"/>
              <w:jc w:val="both"/>
              <w:rPr>
                <w:color w:val="000000" w:themeColor="text1"/>
                <w:sz w:val="16"/>
                <w:szCs w:val="16"/>
              </w:rPr>
            </w:pPr>
          </w:p>
        </w:tc>
        <w:tc>
          <w:tcPr>
            <w:tcW w:w="1418" w:type="dxa"/>
          </w:tcPr>
          <w:p w14:paraId="3DF9B56C" w14:textId="77777777" w:rsidR="00665165" w:rsidRPr="00F90EAE" w:rsidRDefault="00665165" w:rsidP="00F90EAE">
            <w:pPr>
              <w:autoSpaceDE w:val="0"/>
              <w:autoSpaceDN w:val="0"/>
              <w:adjustRightInd w:val="0"/>
              <w:jc w:val="both"/>
              <w:rPr>
                <w:color w:val="000000" w:themeColor="text1"/>
                <w:sz w:val="16"/>
                <w:szCs w:val="16"/>
              </w:rPr>
            </w:pPr>
          </w:p>
          <w:p w14:paraId="2FB1D311" w14:textId="77777777" w:rsidR="00665165" w:rsidRPr="00F90EAE" w:rsidRDefault="00665165" w:rsidP="00F90EAE">
            <w:pPr>
              <w:autoSpaceDE w:val="0"/>
              <w:autoSpaceDN w:val="0"/>
              <w:adjustRightInd w:val="0"/>
              <w:jc w:val="both"/>
              <w:rPr>
                <w:color w:val="000000" w:themeColor="text1"/>
                <w:sz w:val="16"/>
                <w:szCs w:val="16"/>
              </w:rPr>
            </w:pPr>
          </w:p>
        </w:tc>
        <w:tc>
          <w:tcPr>
            <w:tcW w:w="567" w:type="dxa"/>
          </w:tcPr>
          <w:p w14:paraId="53FAFD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созда</w:t>
            </w:r>
            <w:r w:rsidRPr="00F90EAE">
              <w:rPr>
                <w:color w:val="000000" w:themeColor="text1"/>
                <w:sz w:val="16"/>
                <w:szCs w:val="16"/>
              </w:rPr>
              <w:softHyphen/>
              <w:t>ние</w:t>
            </w:r>
          </w:p>
          <w:p w14:paraId="5ECADF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27F39E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выпуск</w:t>
            </w:r>
          </w:p>
          <w:p w14:paraId="480CE1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313359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F846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C72B8DE" w14:textId="77777777">
        <w:trPr>
          <w:trHeight w:val="403"/>
        </w:trPr>
        <w:tc>
          <w:tcPr>
            <w:tcW w:w="2410" w:type="dxa"/>
          </w:tcPr>
          <w:p w14:paraId="68819A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«Россия»</w:t>
            </w:r>
          </w:p>
          <w:p w14:paraId="4F0221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1FB8EE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Фирма «А. Лейтнер и К°»</w:t>
            </w:r>
          </w:p>
          <w:p w14:paraId="149D5F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7458D8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Рига</w:t>
            </w:r>
          </w:p>
          <w:p w14:paraId="0F70C5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74545F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1899</w:t>
            </w:r>
          </w:p>
          <w:p w14:paraId="63D68E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392237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1899-1907</w:t>
            </w:r>
          </w:p>
          <w:p w14:paraId="70BEA0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5C0EA8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3969D7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46B0630" w14:textId="77777777">
        <w:trPr>
          <w:trHeight w:val="230"/>
        </w:trPr>
        <w:tc>
          <w:tcPr>
            <w:tcW w:w="2410" w:type="dxa"/>
          </w:tcPr>
          <w:p w14:paraId="482AEC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«Мото-Рев»</w:t>
            </w:r>
          </w:p>
          <w:p w14:paraId="31C37C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337EC4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Фирма «Дукс»</w:t>
            </w:r>
          </w:p>
          <w:p w14:paraId="214359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2FC4C9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w:t>
            </w:r>
          </w:p>
          <w:p w14:paraId="2B6173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548896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1909</w:t>
            </w:r>
          </w:p>
          <w:p w14:paraId="16F1CE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5597C3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1909-1915</w:t>
            </w:r>
          </w:p>
          <w:p w14:paraId="3A3C78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3CF926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598</w:t>
            </w:r>
          </w:p>
          <w:p w14:paraId="3D3EFC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87BD110" w14:textId="77777777">
        <w:trPr>
          <w:trHeight w:val="221"/>
        </w:trPr>
        <w:tc>
          <w:tcPr>
            <w:tcW w:w="2410" w:type="dxa"/>
          </w:tcPr>
          <w:p w14:paraId="08D920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CD0F4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474082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Решетников</w:t>
            </w:r>
          </w:p>
          <w:p w14:paraId="10CE00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49E637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Симбирск</w:t>
            </w:r>
          </w:p>
          <w:p w14:paraId="1FF52F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1C1E5D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1913</w:t>
            </w:r>
          </w:p>
          <w:p w14:paraId="540841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5BBAF5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1913</w:t>
            </w:r>
          </w:p>
          <w:p w14:paraId="2E73DD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2E122E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AA073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E81FEA1" w14:textId="77777777">
        <w:trPr>
          <w:trHeight w:val="230"/>
        </w:trPr>
        <w:tc>
          <w:tcPr>
            <w:tcW w:w="2410" w:type="dxa"/>
          </w:tcPr>
          <w:p w14:paraId="51102B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45A16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3F2474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Щербан</w:t>
            </w:r>
          </w:p>
          <w:p w14:paraId="74A7EF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6993AF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1B7A5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5D4EA1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1913</w:t>
            </w:r>
          </w:p>
          <w:p w14:paraId="2C9EE2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66697C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1913</w:t>
            </w:r>
          </w:p>
          <w:p w14:paraId="77D658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751010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4676B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6A9B86F" w14:textId="77777777">
        <w:trPr>
          <w:trHeight w:val="211"/>
        </w:trPr>
        <w:tc>
          <w:tcPr>
            <w:tcW w:w="2410" w:type="dxa"/>
          </w:tcPr>
          <w:p w14:paraId="2C122F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«Союз»</w:t>
            </w:r>
          </w:p>
          <w:p w14:paraId="50B3E5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207001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ОСОАВИАХИМ № 1</w:t>
            </w:r>
          </w:p>
          <w:p w14:paraId="03F39F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343F55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w:t>
            </w:r>
          </w:p>
          <w:p w14:paraId="7CB664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7C46AD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1924</w:t>
            </w:r>
          </w:p>
          <w:p w14:paraId="3E8264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2B5A20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1924</w:t>
            </w:r>
          </w:p>
          <w:p w14:paraId="3BA9C6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7B3498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2BD6B3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0F01142" w14:textId="77777777">
        <w:trPr>
          <w:trHeight w:val="230"/>
        </w:trPr>
        <w:tc>
          <w:tcPr>
            <w:tcW w:w="2410" w:type="dxa"/>
          </w:tcPr>
          <w:p w14:paraId="181579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«Э.М. </w:t>
            </w:r>
            <w:r w:rsidRPr="00F90EAE">
              <w:rPr>
                <w:color w:val="000000" w:themeColor="text1"/>
                <w:sz w:val="16"/>
                <w:szCs w:val="16"/>
                <w:lang w:val="en-US"/>
              </w:rPr>
              <w:t>III»</w:t>
            </w:r>
          </w:p>
          <w:p w14:paraId="0AD980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553363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Э.П. Мауэр</w:t>
            </w:r>
          </w:p>
          <w:p w14:paraId="2F85C4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39DB5A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F3116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093BEC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1925</w:t>
            </w:r>
          </w:p>
          <w:p w14:paraId="5AF867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06B278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1925-1929</w:t>
            </w:r>
          </w:p>
          <w:p w14:paraId="07CFBC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477FC8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C2C77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7B5C6B4" w14:textId="77777777">
        <w:trPr>
          <w:trHeight w:val="221"/>
        </w:trPr>
        <w:tc>
          <w:tcPr>
            <w:tcW w:w="2410" w:type="dxa"/>
          </w:tcPr>
          <w:p w14:paraId="34D2E2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МТ-2</w:t>
            </w:r>
          </w:p>
          <w:p w14:paraId="194AF3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6B78B7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 Токарев</w:t>
            </w:r>
          </w:p>
          <w:p w14:paraId="1137A3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1E838F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Тула</w:t>
            </w:r>
          </w:p>
          <w:p w14:paraId="3833D4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376D09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6D1042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23D0BA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199CBE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2D3E1F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33A89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F64BBFF" w14:textId="77777777">
        <w:trPr>
          <w:trHeight w:val="221"/>
        </w:trPr>
        <w:tc>
          <w:tcPr>
            <w:tcW w:w="2410" w:type="dxa"/>
          </w:tcPr>
          <w:p w14:paraId="5394A7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ИЖ-1</w:t>
            </w:r>
          </w:p>
          <w:p w14:paraId="08DD73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3295E1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Ижевский оружейный завод</w:t>
            </w:r>
          </w:p>
          <w:p w14:paraId="3AEF13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00C008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w:t>
            </w:r>
          </w:p>
          <w:p w14:paraId="621139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49CBA1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23F636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37947D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56900A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6EE87D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68339E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88EC959" w14:textId="77777777">
        <w:trPr>
          <w:trHeight w:val="211"/>
        </w:trPr>
        <w:tc>
          <w:tcPr>
            <w:tcW w:w="2410" w:type="dxa"/>
          </w:tcPr>
          <w:p w14:paraId="768CED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ИЖ-2</w:t>
            </w:r>
          </w:p>
          <w:p w14:paraId="1782BB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0D6F59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3D788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7E984F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441EA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5FCE8D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121B9A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480A96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59414A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38D5AF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78AF4F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75CF148" w14:textId="77777777">
        <w:trPr>
          <w:trHeight w:val="221"/>
        </w:trPr>
        <w:tc>
          <w:tcPr>
            <w:tcW w:w="2410" w:type="dxa"/>
          </w:tcPr>
          <w:p w14:paraId="18CF50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ИЖ-3</w:t>
            </w:r>
          </w:p>
          <w:p w14:paraId="645F3A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3462B3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99FA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332702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A9209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4F82F5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6E14CB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2ED82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34CBD9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0B510E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3FA13A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8233B31" w14:textId="77777777">
        <w:trPr>
          <w:trHeight w:val="221"/>
        </w:trPr>
        <w:tc>
          <w:tcPr>
            <w:tcW w:w="2410" w:type="dxa"/>
          </w:tcPr>
          <w:p w14:paraId="33A110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ИЖ-4</w:t>
            </w:r>
          </w:p>
          <w:p w14:paraId="44FC30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19E4EF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ECED0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5F151A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7B9A1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37869D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425BCA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567DAD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2E6841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709D1C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566127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7C87E67" w14:textId="77777777">
        <w:trPr>
          <w:trHeight w:val="221"/>
        </w:trPr>
        <w:tc>
          <w:tcPr>
            <w:tcW w:w="2410" w:type="dxa"/>
          </w:tcPr>
          <w:p w14:paraId="2AA2A6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ИЖ-5</w:t>
            </w:r>
          </w:p>
          <w:p w14:paraId="3CCB5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608DF3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0C95D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0818DA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C8431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3658C3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065246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1D5DB2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2EA173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02D73B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161467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6AE5678" w14:textId="77777777">
        <w:trPr>
          <w:trHeight w:val="221"/>
        </w:trPr>
        <w:tc>
          <w:tcPr>
            <w:tcW w:w="2410" w:type="dxa"/>
          </w:tcPr>
          <w:p w14:paraId="51A602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68BE5E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6A3C5A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Солдатенко</w:t>
            </w:r>
          </w:p>
          <w:p w14:paraId="285C25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721C24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w:t>
            </w:r>
          </w:p>
          <w:p w14:paraId="3CA661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56074B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70EE83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093EC2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1929</w:t>
            </w:r>
          </w:p>
          <w:p w14:paraId="47CB4B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5D2928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EF48C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5E8184B" w14:textId="77777777">
        <w:trPr>
          <w:trHeight w:val="221"/>
        </w:trPr>
        <w:tc>
          <w:tcPr>
            <w:tcW w:w="2410" w:type="dxa"/>
          </w:tcPr>
          <w:p w14:paraId="793821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97642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48D52D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Константинов</w:t>
            </w:r>
          </w:p>
          <w:p w14:paraId="35333B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097F0F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Тула</w:t>
            </w:r>
          </w:p>
          <w:p w14:paraId="6A8EAF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7EE03A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7B3814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3187C1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401F0F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029323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61D225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81AB12E" w14:textId="77777777">
        <w:trPr>
          <w:trHeight w:val="211"/>
        </w:trPr>
        <w:tc>
          <w:tcPr>
            <w:tcW w:w="2410" w:type="dxa"/>
          </w:tcPr>
          <w:p w14:paraId="43F8DE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D8BD5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3885AA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Шитиков</w:t>
            </w:r>
          </w:p>
          <w:p w14:paraId="7ADA91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2E18BC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604F9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07EF41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00B94E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600F99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516DB9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79710A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0AA16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F72CD5F" w14:textId="77777777">
        <w:trPr>
          <w:trHeight w:val="336"/>
        </w:trPr>
        <w:tc>
          <w:tcPr>
            <w:tcW w:w="2410" w:type="dxa"/>
          </w:tcPr>
          <w:p w14:paraId="530BE7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ABD5B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402" w:type="dxa"/>
          </w:tcPr>
          <w:p w14:paraId="1D6FFE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 Лабура</w:t>
            </w:r>
          </w:p>
          <w:p w14:paraId="6C7DD9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Pr>
          <w:p w14:paraId="33201B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w:t>
            </w:r>
          </w:p>
          <w:p w14:paraId="71C7C7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67" w:type="dxa"/>
          </w:tcPr>
          <w:p w14:paraId="184DF8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023AE8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55" w:type="dxa"/>
            <w:gridSpan w:val="2"/>
          </w:tcPr>
          <w:p w14:paraId="28E52B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7AB9A2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97" w:type="dxa"/>
          </w:tcPr>
          <w:p w14:paraId="3EA76D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382C88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35A081F" w14:textId="77777777">
        <w:trPr>
          <w:trHeight w:val="317"/>
        </w:trPr>
        <w:tc>
          <w:tcPr>
            <w:tcW w:w="2410" w:type="dxa"/>
          </w:tcPr>
          <w:p w14:paraId="123D87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D750F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6EE40C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Волков</w:t>
            </w:r>
          </w:p>
          <w:p w14:paraId="3DC2E2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86702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E0C3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23B36A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351BC8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5E3A0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089C0D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65C075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7FDDBFE" w14:textId="77777777">
        <w:trPr>
          <w:trHeight w:val="202"/>
        </w:trPr>
        <w:tc>
          <w:tcPr>
            <w:tcW w:w="2410" w:type="dxa"/>
          </w:tcPr>
          <w:p w14:paraId="4FF649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66615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055711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Нейман</w:t>
            </w:r>
          </w:p>
          <w:p w14:paraId="7852DE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1E2B1C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E07B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1CEA5C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65DF3B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3FE898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592D0E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09324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65DC468C" w14:textId="77777777">
        <w:trPr>
          <w:trHeight w:val="202"/>
        </w:trPr>
        <w:tc>
          <w:tcPr>
            <w:tcW w:w="2410" w:type="dxa"/>
          </w:tcPr>
          <w:p w14:paraId="00ED64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E46E1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7058C9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Кондратьев</w:t>
            </w:r>
          </w:p>
          <w:p w14:paraId="192606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2C5C8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A4E1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85A38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4835F6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594E51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2C8F70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15C948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79A3BD54" w14:textId="77777777">
        <w:trPr>
          <w:trHeight w:val="182"/>
        </w:trPr>
        <w:tc>
          <w:tcPr>
            <w:tcW w:w="2410" w:type="dxa"/>
          </w:tcPr>
          <w:p w14:paraId="4E8B50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19007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1D7986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Махурин</w:t>
            </w:r>
          </w:p>
          <w:p w14:paraId="5A32C5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8D336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9D533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533417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107779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527352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2D34F3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637424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56438BC" w14:textId="77777777">
        <w:trPr>
          <w:trHeight w:val="202"/>
        </w:trPr>
        <w:tc>
          <w:tcPr>
            <w:tcW w:w="2410" w:type="dxa"/>
          </w:tcPr>
          <w:p w14:paraId="19A32C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Модель «М»</w:t>
            </w:r>
          </w:p>
          <w:p w14:paraId="23F068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58ED68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Харьковский автозавод</w:t>
            </w:r>
          </w:p>
          <w:p w14:paraId="26C370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32B34D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w:t>
            </w:r>
          </w:p>
          <w:p w14:paraId="23B701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3EC7DC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146603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89AF7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5C221D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23D6E0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tc>
      </w:tr>
      <w:tr w:rsidR="00561F31" w:rsidRPr="00F90EAE" w14:paraId="216FC9C9" w14:textId="77777777">
        <w:trPr>
          <w:trHeight w:val="221"/>
        </w:trPr>
        <w:tc>
          <w:tcPr>
            <w:tcW w:w="2410" w:type="dxa"/>
          </w:tcPr>
          <w:p w14:paraId="70E131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Тремасс-300</w:t>
            </w:r>
          </w:p>
          <w:p w14:paraId="0A4262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2FD5D8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«ПРОМЕТ», «Красный</w:t>
            </w:r>
          </w:p>
          <w:p w14:paraId="39CE2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34077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w:t>
            </w:r>
          </w:p>
          <w:p w14:paraId="1D23A9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C39E5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w:t>
            </w:r>
          </w:p>
          <w:p w14:paraId="542FC0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6FDBE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1930-1931</w:t>
            </w:r>
          </w:p>
          <w:p w14:paraId="0F7773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74955F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1CC394E" w14:textId="77777777">
        <w:trPr>
          <w:trHeight w:val="173"/>
        </w:trPr>
        <w:tc>
          <w:tcPr>
            <w:tcW w:w="2410" w:type="dxa"/>
          </w:tcPr>
          <w:p w14:paraId="589CF8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8F4BB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7FD982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Октябрь»</w:t>
            </w:r>
          </w:p>
          <w:p w14:paraId="566F82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0EE680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BE5B8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6E087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EBF41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A536A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2366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22E35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tc>
      </w:tr>
      <w:tr w:rsidR="00561F31" w:rsidRPr="00F90EAE" w14:paraId="40A9FAE6" w14:textId="77777777">
        <w:trPr>
          <w:trHeight w:val="202"/>
        </w:trPr>
        <w:tc>
          <w:tcPr>
            <w:tcW w:w="2410" w:type="dxa"/>
          </w:tcPr>
          <w:p w14:paraId="02BF3A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Л-300</w:t>
            </w:r>
          </w:p>
          <w:p w14:paraId="7D3AFA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5AB38E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«Красный Октябрь»</w:t>
            </w:r>
          </w:p>
          <w:p w14:paraId="3578EA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AC1FB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w:t>
            </w:r>
          </w:p>
          <w:p w14:paraId="7EDDCB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1DDCE8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1931</w:t>
            </w:r>
          </w:p>
          <w:p w14:paraId="3ED7DD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A6A21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1932-1939</w:t>
            </w:r>
          </w:p>
          <w:p w14:paraId="54A322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117495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18985</w:t>
            </w:r>
          </w:p>
        </w:tc>
      </w:tr>
      <w:tr w:rsidR="00561F31" w:rsidRPr="00F90EAE" w14:paraId="2CA78D65" w14:textId="77777777">
        <w:trPr>
          <w:trHeight w:val="192"/>
        </w:trPr>
        <w:tc>
          <w:tcPr>
            <w:tcW w:w="2410" w:type="dxa"/>
          </w:tcPr>
          <w:p w14:paraId="540B1F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Л-350</w:t>
            </w:r>
          </w:p>
          <w:p w14:paraId="49B2F2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711BEA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700A8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4F590B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62A7C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6FDD7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w:t>
            </w:r>
          </w:p>
          <w:p w14:paraId="1351B2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03BDD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w:t>
            </w:r>
          </w:p>
          <w:p w14:paraId="53A9C7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34D04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69F1C52C" w14:textId="77777777">
        <w:trPr>
          <w:trHeight w:val="211"/>
        </w:trPr>
        <w:tc>
          <w:tcPr>
            <w:tcW w:w="2410" w:type="dxa"/>
          </w:tcPr>
          <w:p w14:paraId="32E826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Л-500</w:t>
            </w:r>
          </w:p>
          <w:p w14:paraId="0F100E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76079A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CD09D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0A461B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E9812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6B1DA3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w:t>
            </w:r>
          </w:p>
          <w:p w14:paraId="6B03BD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98010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w:t>
            </w:r>
          </w:p>
          <w:p w14:paraId="10FA47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6C894A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CA16FD2" w14:textId="77777777">
        <w:trPr>
          <w:trHeight w:val="211"/>
        </w:trPr>
        <w:tc>
          <w:tcPr>
            <w:tcW w:w="2410" w:type="dxa"/>
          </w:tcPr>
          <w:p w14:paraId="7B2620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Л-8</w:t>
            </w:r>
          </w:p>
          <w:p w14:paraId="00A837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5074DC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«Красный Октябрь»</w:t>
            </w:r>
          </w:p>
          <w:p w14:paraId="2E4B50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1A67A7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58B40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1A25C4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35EAE4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F565F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1938-1941</w:t>
            </w:r>
          </w:p>
          <w:p w14:paraId="7FA37B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DD12C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2073</w:t>
            </w:r>
          </w:p>
        </w:tc>
      </w:tr>
      <w:tr w:rsidR="00561F31" w:rsidRPr="00F90EAE" w14:paraId="0DF00217" w14:textId="77777777">
        <w:trPr>
          <w:trHeight w:val="192"/>
        </w:trPr>
        <w:tc>
          <w:tcPr>
            <w:tcW w:w="2410" w:type="dxa"/>
          </w:tcPr>
          <w:p w14:paraId="784B7D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0E99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622719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Ленинградский мотозавод</w:t>
            </w:r>
          </w:p>
          <w:p w14:paraId="10FC21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338C7E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FEB8B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A63B9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EE151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4F70A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1940-1941</w:t>
            </w:r>
          </w:p>
          <w:p w14:paraId="14589D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269DC7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0594E3" w14:textId="77777777">
        <w:trPr>
          <w:trHeight w:val="221"/>
        </w:trPr>
        <w:tc>
          <w:tcPr>
            <w:tcW w:w="2410" w:type="dxa"/>
          </w:tcPr>
          <w:p w14:paraId="4B8CEA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81D2C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1250C3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Серпуховской мотозавод</w:t>
            </w:r>
          </w:p>
          <w:p w14:paraId="3F7960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2E8521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Серпухов</w:t>
            </w:r>
          </w:p>
          <w:p w14:paraId="4452B1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33665B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8C214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8A75E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57DC0E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0196A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54431BC" w14:textId="77777777">
        <w:trPr>
          <w:trHeight w:val="192"/>
        </w:trPr>
        <w:tc>
          <w:tcPr>
            <w:tcW w:w="2410" w:type="dxa"/>
          </w:tcPr>
          <w:p w14:paraId="232DBC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Л-9</w:t>
            </w:r>
          </w:p>
          <w:p w14:paraId="2CA38E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19ACED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«Красный Октябрь»</w:t>
            </w:r>
          </w:p>
          <w:p w14:paraId="1A31AD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EE8CE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w:t>
            </w:r>
          </w:p>
          <w:p w14:paraId="4439B5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4F737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4B262D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12B958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6B96B6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0FE8E9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29F13987" w14:textId="77777777">
        <w:trPr>
          <w:trHeight w:val="173"/>
        </w:trPr>
        <w:tc>
          <w:tcPr>
            <w:tcW w:w="2410" w:type="dxa"/>
          </w:tcPr>
          <w:p w14:paraId="5434F3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С-1</w:t>
            </w:r>
          </w:p>
          <w:p w14:paraId="0E715F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2E6545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E155B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14540A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7124A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13D019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3170C8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EBA83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6458E2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0F249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58E6A667" w14:textId="77777777">
        <w:trPr>
          <w:trHeight w:val="202"/>
        </w:trPr>
        <w:tc>
          <w:tcPr>
            <w:tcW w:w="2410" w:type="dxa"/>
          </w:tcPr>
          <w:p w14:paraId="2638AD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Л-600</w:t>
            </w:r>
          </w:p>
          <w:p w14:paraId="676A05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6962F8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ПРОМЕТ</w:t>
            </w:r>
          </w:p>
          <w:p w14:paraId="14E5A0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484DE4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F344B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4416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1932</w:t>
            </w:r>
          </w:p>
          <w:p w14:paraId="1BCFD2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EDC01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1932-1939</w:t>
            </w:r>
          </w:p>
          <w:p w14:paraId="293CF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23218B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A0B8516" w14:textId="77777777">
        <w:trPr>
          <w:trHeight w:val="211"/>
        </w:trPr>
        <w:tc>
          <w:tcPr>
            <w:tcW w:w="2410" w:type="dxa"/>
          </w:tcPr>
          <w:p w14:paraId="238AAD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В-125</w:t>
            </w:r>
          </w:p>
          <w:p w14:paraId="1A1E0B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0D9967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Ленинградский завод «Вулкан»</w:t>
            </w:r>
          </w:p>
          <w:p w14:paraId="5132EA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296A29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8D882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5521DA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0ECD84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D5ECC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38C8CE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0A9D27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EC48CBD" w14:textId="77777777">
        <w:trPr>
          <w:trHeight w:val="192"/>
        </w:trPr>
        <w:tc>
          <w:tcPr>
            <w:tcW w:w="2410" w:type="dxa"/>
          </w:tcPr>
          <w:p w14:paraId="36FD72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ИЖ-7</w:t>
            </w:r>
          </w:p>
          <w:p w14:paraId="3423A2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5615F1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Ижевский мотозавод</w:t>
            </w:r>
          </w:p>
          <w:p w14:paraId="22D46A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4A02E8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w:t>
            </w:r>
          </w:p>
          <w:p w14:paraId="6CAEC1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073FAA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1933</w:t>
            </w:r>
          </w:p>
          <w:p w14:paraId="3078D4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673D3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1933-1937</w:t>
            </w:r>
          </w:p>
          <w:p w14:paraId="448881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3EE0F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5581</w:t>
            </w:r>
          </w:p>
        </w:tc>
      </w:tr>
      <w:tr w:rsidR="00561F31" w:rsidRPr="00F90EAE" w14:paraId="2FA2976A" w14:textId="77777777">
        <w:trPr>
          <w:trHeight w:val="202"/>
        </w:trPr>
        <w:tc>
          <w:tcPr>
            <w:tcW w:w="2410" w:type="dxa"/>
          </w:tcPr>
          <w:p w14:paraId="755803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ИЖ-8</w:t>
            </w:r>
          </w:p>
          <w:p w14:paraId="4C95D0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2A65AA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94489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55028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F3BAC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F596A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1937</w:t>
            </w:r>
          </w:p>
          <w:p w14:paraId="345314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24C4F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1938-1940</w:t>
            </w:r>
          </w:p>
          <w:p w14:paraId="749ED6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0C8A45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9893</w:t>
            </w:r>
          </w:p>
        </w:tc>
      </w:tr>
      <w:tr w:rsidR="00561F31" w:rsidRPr="00F90EAE" w14:paraId="502819C2" w14:textId="77777777">
        <w:trPr>
          <w:trHeight w:val="192"/>
        </w:trPr>
        <w:tc>
          <w:tcPr>
            <w:tcW w:w="2410" w:type="dxa"/>
          </w:tcPr>
          <w:p w14:paraId="0B978D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ИЖ-9</w:t>
            </w:r>
          </w:p>
          <w:p w14:paraId="502EB3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2A9C62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C788E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481284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967C3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6CB44C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5BEC9F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1FA8D6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1940-1941</w:t>
            </w:r>
          </w:p>
          <w:p w14:paraId="2B431B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885CD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6225</w:t>
            </w:r>
          </w:p>
        </w:tc>
      </w:tr>
      <w:tr w:rsidR="00561F31" w:rsidRPr="00F90EAE" w14:paraId="5056526F" w14:textId="77777777">
        <w:trPr>
          <w:trHeight w:val="202"/>
        </w:trPr>
        <w:tc>
          <w:tcPr>
            <w:tcW w:w="2410" w:type="dxa"/>
          </w:tcPr>
          <w:p w14:paraId="2D7104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ИЖ-10</w:t>
            </w:r>
          </w:p>
          <w:p w14:paraId="63D64B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2F2A3D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27B93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59E65A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52C34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3BE717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2B802C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6F3E03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w:t>
            </w:r>
          </w:p>
          <w:p w14:paraId="390996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FD7AE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0748F877" w14:textId="77777777">
        <w:trPr>
          <w:trHeight w:val="202"/>
        </w:trPr>
        <w:tc>
          <w:tcPr>
            <w:tcW w:w="2410" w:type="dxa"/>
          </w:tcPr>
          <w:p w14:paraId="1AA54F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ИЖ-12</w:t>
            </w:r>
          </w:p>
          <w:p w14:paraId="52F17A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14F097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CFE84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B292C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59235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052DF6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w:t>
            </w:r>
          </w:p>
          <w:p w14:paraId="4F45A4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3DD1D4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35E255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6F6DB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w:t>
            </w:r>
          </w:p>
        </w:tc>
      </w:tr>
      <w:tr w:rsidR="00561F31" w:rsidRPr="00F90EAE" w14:paraId="6C422FC1" w14:textId="77777777">
        <w:trPr>
          <w:trHeight w:val="211"/>
        </w:trPr>
        <w:tc>
          <w:tcPr>
            <w:tcW w:w="2410" w:type="dxa"/>
          </w:tcPr>
          <w:p w14:paraId="1570A3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НАТИ-А-750</w:t>
            </w:r>
          </w:p>
          <w:p w14:paraId="1D422C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0EAD7D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Ижевский мотозавод</w:t>
            </w:r>
          </w:p>
          <w:p w14:paraId="30BCFF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5D9124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Ижевск</w:t>
            </w:r>
          </w:p>
          <w:p w14:paraId="243FD9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0980F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4A88F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18C90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1933-1934</w:t>
            </w:r>
          </w:p>
          <w:p w14:paraId="388B6B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57AB93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221E2C3F" w14:textId="77777777">
        <w:trPr>
          <w:trHeight w:val="355"/>
        </w:trPr>
        <w:tc>
          <w:tcPr>
            <w:tcW w:w="2410" w:type="dxa"/>
          </w:tcPr>
          <w:p w14:paraId="422EE3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BD848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5359D1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Подольский механич. завод</w:t>
            </w:r>
          </w:p>
          <w:p w14:paraId="37B45E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1D9FB1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Подольск</w:t>
            </w:r>
          </w:p>
          <w:p w14:paraId="12736D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12FD0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26296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B406E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1934-1935</w:t>
            </w:r>
          </w:p>
          <w:p w14:paraId="61DEBC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38E0C6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5EA50401" w14:textId="77777777">
        <w:trPr>
          <w:trHeight w:val="355"/>
        </w:trPr>
        <w:tc>
          <w:tcPr>
            <w:tcW w:w="2410" w:type="dxa"/>
          </w:tcPr>
          <w:p w14:paraId="7A9426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ПМЗ-А-750</w:t>
            </w:r>
          </w:p>
        </w:tc>
        <w:tc>
          <w:tcPr>
            <w:tcW w:w="3398" w:type="dxa"/>
          </w:tcPr>
          <w:p w14:paraId="208A97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FDDE2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E41F5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369C4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BA659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1934</w:t>
            </w:r>
          </w:p>
          <w:p w14:paraId="47C901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053942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1935-1939</w:t>
            </w:r>
          </w:p>
          <w:p w14:paraId="00B29A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5ECE04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4636</w:t>
            </w:r>
          </w:p>
          <w:p w14:paraId="2089B9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6EBBE98" w14:textId="77777777">
        <w:trPr>
          <w:trHeight w:val="355"/>
        </w:trPr>
        <w:tc>
          <w:tcPr>
            <w:tcW w:w="2410" w:type="dxa"/>
          </w:tcPr>
          <w:p w14:paraId="7B9772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«Стрела»</w:t>
            </w:r>
          </w:p>
        </w:tc>
        <w:tc>
          <w:tcPr>
            <w:tcW w:w="3398" w:type="dxa"/>
          </w:tcPr>
          <w:p w14:paraId="7C0703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42E6C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406FB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E819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52457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1E422D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6BCEDC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1936-1937</w:t>
            </w:r>
          </w:p>
          <w:p w14:paraId="79FA45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11509C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356</w:t>
            </w:r>
          </w:p>
          <w:p w14:paraId="5C9478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4599CAB" w14:textId="77777777">
        <w:trPr>
          <w:trHeight w:val="355"/>
        </w:trPr>
        <w:tc>
          <w:tcPr>
            <w:tcW w:w="2410" w:type="dxa"/>
          </w:tcPr>
          <w:p w14:paraId="5CFBB0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ПМЗ-125</w:t>
            </w:r>
          </w:p>
        </w:tc>
        <w:tc>
          <w:tcPr>
            <w:tcW w:w="3398" w:type="dxa"/>
          </w:tcPr>
          <w:p w14:paraId="3EBA6B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0B390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53B8F1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90C18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60249B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77771C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F9852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01A72E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05B864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F613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AAD7C19" w14:textId="77777777">
        <w:trPr>
          <w:trHeight w:val="355"/>
        </w:trPr>
        <w:tc>
          <w:tcPr>
            <w:tcW w:w="2410" w:type="dxa"/>
          </w:tcPr>
          <w:p w14:paraId="6CDC11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МЛ-3</w:t>
            </w:r>
          </w:p>
          <w:p w14:paraId="5194CB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ТИЗ-АМ-600</w:t>
            </w:r>
          </w:p>
          <w:p w14:paraId="5450C0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БН-1200</w:t>
            </w:r>
          </w:p>
        </w:tc>
        <w:tc>
          <w:tcPr>
            <w:tcW w:w="3398" w:type="dxa"/>
          </w:tcPr>
          <w:p w14:paraId="38F7B8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Серпуховской мотозавод</w:t>
            </w:r>
          </w:p>
          <w:p w14:paraId="12600B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Таганрогский мотозавод</w:t>
            </w:r>
          </w:p>
          <w:p w14:paraId="09A71A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AB82B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3656A7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Серпухов</w:t>
            </w:r>
          </w:p>
          <w:p w14:paraId="355FB1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Таганрог</w:t>
            </w:r>
          </w:p>
          <w:p w14:paraId="332806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991D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0A15E7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1938 1935 1936</w:t>
            </w:r>
          </w:p>
          <w:p w14:paraId="055A04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697CA5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1940-1941</w:t>
            </w:r>
          </w:p>
          <w:p w14:paraId="6DD8E9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1936-1941</w:t>
            </w:r>
          </w:p>
          <w:p w14:paraId="357A9C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1937</w:t>
            </w:r>
          </w:p>
          <w:p w14:paraId="3BC300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305D8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525C51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52C2CAF" w14:textId="77777777">
        <w:trPr>
          <w:trHeight w:val="355"/>
        </w:trPr>
        <w:tc>
          <w:tcPr>
            <w:tcW w:w="2410" w:type="dxa"/>
          </w:tcPr>
          <w:p w14:paraId="2C7EA4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ТИЗ-4</w:t>
            </w:r>
          </w:p>
        </w:tc>
        <w:tc>
          <w:tcPr>
            <w:tcW w:w="3398" w:type="dxa"/>
          </w:tcPr>
          <w:p w14:paraId="1172C4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AE6F7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09A052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68D2C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50EDDC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5026E2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EBB21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p w14:paraId="6BFC6E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E2698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12392</w:t>
            </w:r>
          </w:p>
          <w:p w14:paraId="39A90B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1962F27" w14:textId="77777777">
        <w:trPr>
          <w:trHeight w:val="355"/>
        </w:trPr>
        <w:tc>
          <w:tcPr>
            <w:tcW w:w="2410" w:type="dxa"/>
          </w:tcPr>
          <w:p w14:paraId="2ABB0B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ТИЗ-5</w:t>
            </w:r>
          </w:p>
        </w:tc>
        <w:tc>
          <w:tcPr>
            <w:tcW w:w="3398" w:type="dxa"/>
          </w:tcPr>
          <w:p w14:paraId="64C6ED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E83E2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486EF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798D7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2D870C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30F522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73914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73D99B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7E2B0D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B43D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556AA97" w14:textId="77777777">
        <w:trPr>
          <w:trHeight w:val="355"/>
        </w:trPr>
        <w:tc>
          <w:tcPr>
            <w:tcW w:w="2410" w:type="dxa"/>
          </w:tcPr>
          <w:p w14:paraId="199BBD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ТИЗ-7</w:t>
            </w:r>
          </w:p>
        </w:tc>
        <w:tc>
          <w:tcPr>
            <w:tcW w:w="3398" w:type="dxa"/>
          </w:tcPr>
          <w:p w14:paraId="06BF5C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64AE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33AC00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88EFB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50454A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0D3B7F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3EA00B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1939</w:t>
            </w:r>
          </w:p>
          <w:p w14:paraId="1CE788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796B4D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48AA1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98E634F" w14:textId="77777777">
        <w:trPr>
          <w:trHeight w:val="355"/>
        </w:trPr>
        <w:tc>
          <w:tcPr>
            <w:tcW w:w="2410" w:type="dxa"/>
          </w:tcPr>
          <w:p w14:paraId="18DB62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ТИЗ-500</w:t>
            </w:r>
          </w:p>
        </w:tc>
        <w:tc>
          <w:tcPr>
            <w:tcW w:w="3398" w:type="dxa"/>
          </w:tcPr>
          <w:p w14:paraId="335469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861D9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CEF70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8C1F5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0402CD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7AA2A3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4C5480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60D1D9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6D84B1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69FBF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2709B9C" w14:textId="77777777">
        <w:trPr>
          <w:trHeight w:val="355"/>
        </w:trPr>
        <w:tc>
          <w:tcPr>
            <w:tcW w:w="2410" w:type="dxa"/>
          </w:tcPr>
          <w:p w14:paraId="368491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Велосипед с подвесным мотором</w:t>
            </w:r>
          </w:p>
        </w:tc>
        <w:tc>
          <w:tcPr>
            <w:tcW w:w="3398" w:type="dxa"/>
          </w:tcPr>
          <w:p w14:paraId="16DD70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«Красный Профинтерн» (г. Одесса)</w:t>
            </w:r>
          </w:p>
          <w:p w14:paraId="48256F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5F3FC6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CB67A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6F8EDF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572C98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64D34A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18EF26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29AA3D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0C85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BCB57C6" w14:textId="77777777">
        <w:trPr>
          <w:trHeight w:val="355"/>
        </w:trPr>
        <w:tc>
          <w:tcPr>
            <w:tcW w:w="2410" w:type="dxa"/>
          </w:tcPr>
          <w:p w14:paraId="050E62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13F032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Мотор - Мосвелозавод сборка Завод им. Энгельса - мотор,</w:t>
            </w:r>
          </w:p>
          <w:p w14:paraId="00BFDA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5B3046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w:t>
            </w:r>
          </w:p>
          <w:p w14:paraId="661784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2F34AA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1279DE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686061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1936</w:t>
            </w:r>
          </w:p>
          <w:p w14:paraId="548D00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0629B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1EA7D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D743B2C" w14:textId="77777777">
        <w:trPr>
          <w:trHeight w:val="355"/>
        </w:trPr>
        <w:tc>
          <w:tcPr>
            <w:tcW w:w="2410" w:type="dxa"/>
          </w:tcPr>
          <w:p w14:paraId="02F325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44FD8E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ПРОМЕТ- сборка</w:t>
            </w:r>
          </w:p>
          <w:p w14:paraId="4E536F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71DEDC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AC28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209C76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D7FA3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14C19A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25449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568B17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111A8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E357BF9" w14:textId="77777777">
        <w:trPr>
          <w:trHeight w:val="355"/>
        </w:trPr>
        <w:tc>
          <w:tcPr>
            <w:tcW w:w="2410" w:type="dxa"/>
          </w:tcPr>
          <w:p w14:paraId="3F0EB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3361AF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r w:rsidRPr="00F90EAE">
              <w:rPr>
                <w:color w:val="000000" w:themeColor="text1"/>
                <w:sz w:val="16"/>
                <w:szCs w:val="16"/>
                <w:lang w:val="en-US"/>
              </w:rPr>
              <w:t>Root Motor</w:t>
            </w:r>
            <w:r w:rsidRPr="00F90EAE">
              <w:rPr>
                <w:color w:val="000000" w:themeColor="text1"/>
                <w:sz w:val="16"/>
                <w:szCs w:val="16"/>
              </w:rPr>
              <w:t>» - мотор, Мосвелозавод</w:t>
            </w:r>
          </w:p>
          <w:p w14:paraId="45853C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237185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w:t>
            </w:r>
          </w:p>
          <w:p w14:paraId="5516B9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63EA4A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1937</w:t>
            </w:r>
          </w:p>
          <w:p w14:paraId="2E4161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1D5720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1937</w:t>
            </w:r>
          </w:p>
          <w:p w14:paraId="3273D5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20C601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7262A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E569DC6" w14:textId="77777777">
        <w:trPr>
          <w:trHeight w:val="355"/>
        </w:trPr>
        <w:tc>
          <w:tcPr>
            <w:tcW w:w="2410" w:type="dxa"/>
          </w:tcPr>
          <w:p w14:paraId="24E1CF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05D03C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сборка</w:t>
            </w:r>
          </w:p>
          <w:p w14:paraId="209A9A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626EE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9108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1CF422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D02B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3924CA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367FC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575A71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3CEC4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59A6929" w14:textId="77777777">
        <w:trPr>
          <w:trHeight w:val="355"/>
        </w:trPr>
        <w:tc>
          <w:tcPr>
            <w:tcW w:w="2410" w:type="dxa"/>
          </w:tcPr>
          <w:p w14:paraId="0BEFA5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Pr>
          <w:p w14:paraId="03A346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«Ринко» - мотор, ЦНИИМЭ сборка</w:t>
            </w:r>
          </w:p>
          <w:p w14:paraId="29D50D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6D7854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C41D3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44590C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w:t>
            </w:r>
          </w:p>
          <w:p w14:paraId="27487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229913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w:t>
            </w:r>
          </w:p>
          <w:p w14:paraId="6593BE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700387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269F2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798BF4D" w14:textId="77777777">
        <w:trPr>
          <w:trHeight w:val="355"/>
        </w:trPr>
        <w:tc>
          <w:tcPr>
            <w:tcW w:w="2410" w:type="dxa"/>
          </w:tcPr>
          <w:p w14:paraId="4FC120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М-72</w:t>
            </w:r>
          </w:p>
        </w:tc>
        <w:tc>
          <w:tcPr>
            <w:tcW w:w="3398" w:type="dxa"/>
          </w:tcPr>
          <w:p w14:paraId="3F0EDA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Московский завод «Искра»</w:t>
            </w:r>
          </w:p>
          <w:p w14:paraId="37D871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0598F5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820A1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76CF62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0D117F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734C6D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56240F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084A8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C32E5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A93006A" w14:textId="77777777">
        <w:trPr>
          <w:trHeight w:val="355"/>
        </w:trPr>
        <w:tc>
          <w:tcPr>
            <w:tcW w:w="2410" w:type="dxa"/>
          </w:tcPr>
          <w:p w14:paraId="09EF96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АМ-600</w:t>
            </w:r>
          </w:p>
        </w:tc>
        <w:tc>
          <w:tcPr>
            <w:tcW w:w="3398" w:type="dxa"/>
          </w:tcPr>
          <w:p w14:paraId="47729E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Московский мотозавод</w:t>
            </w:r>
          </w:p>
          <w:p w14:paraId="13333E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Pr>
          <w:p w14:paraId="2FF12B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2165C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Pr>
          <w:p w14:paraId="3EDDB6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AB7CF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Pr>
          <w:p w14:paraId="589656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1A911D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Pr>
          <w:p w14:paraId="4C1B52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1090</w:t>
            </w:r>
          </w:p>
          <w:p w14:paraId="4F3AB7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71795D4" w14:textId="77777777">
        <w:trPr>
          <w:trHeight w:val="355"/>
        </w:trPr>
        <w:tc>
          <w:tcPr>
            <w:tcW w:w="2410" w:type="dxa"/>
            <w:tcBorders>
              <w:bottom w:val="single" w:sz="12" w:space="0" w:color="auto"/>
            </w:tcBorders>
          </w:tcPr>
          <w:p w14:paraId="148390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398" w:type="dxa"/>
            <w:tcBorders>
              <w:bottom w:val="single" w:sz="12" w:space="0" w:color="auto"/>
            </w:tcBorders>
          </w:tcPr>
          <w:p w14:paraId="16519F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Ленинградский</w:t>
            </w:r>
          </w:p>
          <w:p w14:paraId="545CFD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Харьковский</w:t>
            </w:r>
          </w:p>
          <w:p w14:paraId="0E75CB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Горьковский</w:t>
            </w:r>
          </w:p>
          <w:p w14:paraId="57FE6A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Ирбитский</w:t>
            </w:r>
          </w:p>
          <w:p w14:paraId="563E50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Тюменский</w:t>
            </w:r>
          </w:p>
          <w:p w14:paraId="2FB422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Тюменский</w:t>
            </w:r>
          </w:p>
          <w:p w14:paraId="2CAB49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4230FC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Ленинград</w:t>
            </w:r>
          </w:p>
          <w:p w14:paraId="6C4A7A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Харьков</w:t>
            </w:r>
          </w:p>
          <w:p w14:paraId="005C53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Горький</w:t>
            </w:r>
          </w:p>
          <w:p w14:paraId="710627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Ирбит</w:t>
            </w:r>
          </w:p>
          <w:p w14:paraId="142239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Тюмень</w:t>
            </w:r>
          </w:p>
          <w:p w14:paraId="00026D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Тюмень</w:t>
            </w:r>
          </w:p>
          <w:p w14:paraId="7831C1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81" w:type="dxa"/>
            <w:gridSpan w:val="2"/>
            <w:tcBorders>
              <w:bottom w:val="single" w:sz="12" w:space="0" w:color="auto"/>
            </w:tcBorders>
          </w:tcPr>
          <w:p w14:paraId="27E08C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8392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EA033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2E37D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4EA7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06D12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1935</w:t>
            </w:r>
          </w:p>
          <w:p w14:paraId="037B9A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7" w:type="dxa"/>
            <w:tcBorders>
              <w:bottom w:val="single" w:sz="12" w:space="0" w:color="auto"/>
            </w:tcBorders>
          </w:tcPr>
          <w:p w14:paraId="37F598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63EF0A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w:t>
            </w:r>
          </w:p>
          <w:p w14:paraId="647683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1941-1945</w:t>
            </w:r>
          </w:p>
          <w:p w14:paraId="318E39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1942-1945</w:t>
            </w:r>
          </w:p>
          <w:p w14:paraId="384785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w:t>
            </w:r>
          </w:p>
          <w:p w14:paraId="2AD0D0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1942-1943</w:t>
            </w:r>
          </w:p>
          <w:p w14:paraId="27CA8C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0" w:type="dxa"/>
            <w:tcBorders>
              <w:bottom w:val="single" w:sz="12" w:space="0" w:color="auto"/>
            </w:tcBorders>
          </w:tcPr>
          <w:p w14:paraId="206C3F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3DFC8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212</w:t>
            </w:r>
          </w:p>
          <w:p w14:paraId="6B202A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8004</w:t>
            </w:r>
          </w:p>
          <w:p w14:paraId="4C1D30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12 007</w:t>
            </w:r>
          </w:p>
          <w:p w14:paraId="16D4D8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E8EA7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614</w:t>
            </w:r>
          </w:p>
          <w:p w14:paraId="41CB80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1EDBA974" w14:textId="77777777" w:rsidR="00665165" w:rsidRPr="00F90EAE" w:rsidRDefault="00665165" w:rsidP="00F90EAE">
      <w:pPr>
        <w:autoSpaceDE w:val="0"/>
        <w:autoSpaceDN w:val="0"/>
        <w:adjustRightInd w:val="0"/>
        <w:jc w:val="both"/>
        <w:rPr>
          <w:color w:val="000000" w:themeColor="text1"/>
          <w:sz w:val="16"/>
          <w:szCs w:val="16"/>
        </w:rPr>
      </w:pPr>
    </w:p>
    <w:p w14:paraId="6C008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6C2A3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П-61, ул. Скороходова, д. 16</w:t>
      </w:r>
    </w:p>
    <w:p w14:paraId="29BA66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EF741FA" w14:textId="77777777" w:rsidR="00665165" w:rsidRPr="00F90EAE" w:rsidRDefault="00665165" w:rsidP="00F90EAE">
      <w:pPr>
        <w:autoSpaceDE w:val="0"/>
        <w:autoSpaceDN w:val="0"/>
        <w:adjustRightInd w:val="0"/>
        <w:jc w:val="both"/>
        <w:rPr>
          <w:color w:val="000000" w:themeColor="text1"/>
          <w:sz w:val="16"/>
          <w:szCs w:val="16"/>
        </w:rPr>
      </w:pPr>
    </w:p>
    <w:p w14:paraId="1EAAF5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на вооружение приняли РЛС Рнейс-5М для авиации ВМФ (2629,26).</w:t>
      </w:r>
    </w:p>
    <w:p w14:paraId="1F9450E6" w14:textId="77777777" w:rsidR="00665165" w:rsidRPr="00F90EAE" w:rsidRDefault="00665165" w:rsidP="00F90EAE">
      <w:pPr>
        <w:autoSpaceDE w:val="0"/>
        <w:autoSpaceDN w:val="0"/>
        <w:adjustRightInd w:val="0"/>
        <w:jc w:val="both"/>
        <w:rPr>
          <w:color w:val="000000" w:themeColor="text1"/>
          <w:sz w:val="16"/>
          <w:szCs w:val="16"/>
        </w:rPr>
      </w:pPr>
    </w:p>
    <w:p w14:paraId="17F04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в записке В.А. Махнева Л.П. Берии о сроках создания атомной бомбы, в частности, отмечается, что диффузионный завод при Лаборатории No. 2 для получения урана-235 предполагается пустить в 1947 году. Его производительность оценивалась в 25 кг U-235 в год. Исходя из затрат от 1 до 10 кг U-235 на изготовление одной атомной бомбы, предполагалось, что в 1947 году можно будет изготовить от 2 до 25 опытных бомб (10549).</w:t>
      </w:r>
    </w:p>
    <w:p w14:paraId="77BC0090" w14:textId="77777777" w:rsidR="00665165" w:rsidRPr="00F90EAE" w:rsidRDefault="00665165" w:rsidP="00F90EAE">
      <w:pPr>
        <w:autoSpaceDE w:val="0"/>
        <w:autoSpaceDN w:val="0"/>
        <w:adjustRightInd w:val="0"/>
        <w:jc w:val="both"/>
        <w:rPr>
          <w:color w:val="000000" w:themeColor="text1"/>
          <w:sz w:val="16"/>
          <w:szCs w:val="16"/>
        </w:rPr>
      </w:pPr>
    </w:p>
    <w:p w14:paraId="026E9C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апреля 1945 года в советской оккупационной зоне Германии работали многочисленные команды специалистов из различных советских наркоматов. Их основная цель — сбор сохранившейся документации и образцов. В Советском Союзе координировал их деятельность заместитель наркома НКВД СССР, видный строитель и организатор А. П. Завенягин (впоследствии заместитель председателя Совета Министров СССР). В этой акции активное участие принимали и сотрудники советской разведки, которыми руководил полковник А. Коротков — руководитель резидентуры ПГУ в советской зоне оккупации Германии. Во время поисков они часто использовали еще довоенные данные. А вот с агентурой было плохо: часть ее была арестована гестапо, часть погибла или пропала без вести во время войны. В 1946 году изучением научно-технических достижений Германии занимались высококвалифицированные специалисты из 52 министерств. По состоянию на 1 декабря 1945 года их насчитывалось 9 323 человека. Правда, к 1 августа 1946 года их число сократилось до 5076 человек. Они организовали более 200 технических бюро, в которых было занято около 8 тысяч специалистов и 11 тысяч рабочих, и около 50 экспериментальных цехов и лабораторий. В итоге их работы в соответствующие советские министерства было направлено свыше 3 тысяч законченных научно-технических работ, опытных образцов двигателей, приборов, металлорежущих станков, электромашин, мотоциклов и др. Многое из доставленного демонстрировалось на Выставке германской техники, устроенной в Москве. Контроль и руководство основной группой советских научно-технических организаций осуществлялся уполномоченным Особого комитета, состоящего из технического отдела и ученого совета. Однако руководство комитета считало, что должный контроль над немецкими исследованиями из-за недостатка высококвалифицированных специачистов отсутствовал в то время. Руководители советских предприятий и научно-исследовательских учреждений неохотно отпускали своих специалистов, считая их командировку в Германию напрасной тратой времени (11765).</w:t>
      </w:r>
    </w:p>
    <w:p w14:paraId="6866B090" w14:textId="77777777" w:rsidR="00665165" w:rsidRPr="00F90EAE" w:rsidRDefault="00665165" w:rsidP="00F90EAE">
      <w:pPr>
        <w:autoSpaceDE w:val="0"/>
        <w:autoSpaceDN w:val="0"/>
        <w:adjustRightInd w:val="0"/>
        <w:jc w:val="both"/>
        <w:rPr>
          <w:color w:val="000000" w:themeColor="text1"/>
          <w:sz w:val="16"/>
          <w:szCs w:val="16"/>
        </w:rPr>
      </w:pPr>
    </w:p>
    <w:p w14:paraId="46906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было выдано подробное ТТЗ на корректи</w:t>
      </w:r>
      <w:r w:rsidRPr="00F90EAE">
        <w:rPr>
          <w:color w:val="000000" w:themeColor="text1"/>
          <w:sz w:val="16"/>
          <w:szCs w:val="16"/>
        </w:rPr>
        <w:softHyphen/>
        <w:t>ровку крейсера пр. 68 и положено в основу пр. 68К, по которому все пять крейсеров и были достроены после войны (3898).</w:t>
      </w:r>
    </w:p>
    <w:p w14:paraId="2C44FDAA" w14:textId="77777777" w:rsidR="00665165" w:rsidRPr="00F90EAE" w:rsidRDefault="00665165" w:rsidP="00F90EAE">
      <w:pPr>
        <w:autoSpaceDE w:val="0"/>
        <w:autoSpaceDN w:val="0"/>
        <w:adjustRightInd w:val="0"/>
        <w:jc w:val="both"/>
        <w:rPr>
          <w:color w:val="000000" w:themeColor="text1"/>
          <w:sz w:val="16"/>
          <w:szCs w:val="16"/>
        </w:rPr>
      </w:pPr>
    </w:p>
    <w:p w14:paraId="6DC41B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катеростроители передали флоту 7 боевых катеров, отремонтировали 5 (10671). На Адмиралтейском заводе заложены 2 МБК по ленинградскому проекту. Спущены на воду 4 БМО (с 51-го по 54-й); заложен 1 БМО; в постройке находились 15 БМО (10671). Балтийцы сдали заказчику 1 ТЩ и бензоналивную баржу. На Петрозаводе заложен 1 ТЩ (10671). На заводе им. А. А. Жданова в разной степени технической готовности находились 16 ТЩ. Одновременно строился СКР "Зоркий", ремонтировались СКР "Вихрь", эсминцы "Стерегущий" и "Опытный" (10671). Адмиралтейцы изготовили 80 мин, 30 катерных тралов, 20 понтонов, запасные части для тракторов. Ремонтировали 10 БМО, закончили ремонт на 5 БМО (10671). Велась разработка проекта ТЩ III серии (10671).</w:t>
      </w:r>
    </w:p>
    <w:p w14:paraId="174DC532" w14:textId="77777777" w:rsidR="00665165" w:rsidRPr="00F90EAE" w:rsidRDefault="00665165" w:rsidP="00F90EAE">
      <w:pPr>
        <w:autoSpaceDE w:val="0"/>
        <w:autoSpaceDN w:val="0"/>
        <w:adjustRightInd w:val="0"/>
        <w:jc w:val="both"/>
        <w:rPr>
          <w:color w:val="000000" w:themeColor="text1"/>
          <w:sz w:val="16"/>
          <w:szCs w:val="16"/>
        </w:rPr>
      </w:pPr>
    </w:p>
    <w:p w14:paraId="1D92C723"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В апреле 1945 г. грузопассажирское судно под названием «Гамбург» (построено в 1926 г. на верфи в Гамбурге) был затоплено и лишь в сентябре 1950 г. поднято и доставлено для перестройки в Антверпен, затем в ГДР на предприятие «Варноверфь» в порту Варнемюнде. Перестроенное в китобойную базу судно было спущено на воду в марте 1960 г. и получило новое имя — «Юрий Долгорукий». Судно прибыло в порт Балтийск, где 20 июня на нем был поднят государственный флаг. В первый рейс флотилия вышла 16 ноября 1960 г. С 1960 по 1975 г. китобойная флотилия «Юрий Долгорукий» ходила в Антарктику 15 раз на промысел китов во всех промысловых районах южно-полярных вод Атлантического, Индийского и Тихого океанов, совершая кругополярные рейсы с пересечением линии дат и заходом за Полярный круг. Флотилия была расформирована в 1975 г (15225).</w:t>
      </w:r>
    </w:p>
    <w:p w14:paraId="22EE577E" w14:textId="77777777" w:rsidR="00FF11DB" w:rsidRPr="00F90EAE" w:rsidRDefault="00FF11DB" w:rsidP="00F90EAE">
      <w:pPr>
        <w:pStyle w:val="book"/>
        <w:ind w:firstLine="0"/>
        <w:jc w:val="both"/>
        <w:rPr>
          <w:color w:val="000000" w:themeColor="text1"/>
          <w:sz w:val="16"/>
          <w:szCs w:val="16"/>
        </w:rPr>
      </w:pPr>
    </w:p>
    <w:p w14:paraId="2C9F451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529F4F7" w14:textId="77777777" w:rsidR="00665165" w:rsidRPr="00F90EAE" w:rsidRDefault="00665165" w:rsidP="00F90EAE">
      <w:pPr>
        <w:autoSpaceDE w:val="0"/>
        <w:autoSpaceDN w:val="0"/>
        <w:adjustRightInd w:val="0"/>
        <w:jc w:val="both"/>
        <w:rPr>
          <w:iCs/>
          <w:color w:val="000000" w:themeColor="text1"/>
          <w:sz w:val="16"/>
          <w:szCs w:val="16"/>
        </w:rPr>
      </w:pPr>
    </w:p>
    <w:p w14:paraId="65A7ACBA" w14:textId="77777777" w:rsidR="00715145" w:rsidRPr="00F90EAE" w:rsidRDefault="00715145" w:rsidP="00F90EAE">
      <w:pPr>
        <w:pStyle w:val="ae"/>
        <w:spacing w:before="0" w:after="0"/>
        <w:jc w:val="both"/>
        <w:textAlignment w:val="baseline"/>
        <w:rPr>
          <w:color w:val="000000" w:themeColor="text1"/>
          <w:sz w:val="16"/>
          <w:szCs w:val="16"/>
        </w:rPr>
      </w:pPr>
      <w:r w:rsidRPr="00F90EAE">
        <w:rPr>
          <w:color w:val="000000" w:themeColor="text1"/>
          <w:sz w:val="16"/>
          <w:szCs w:val="16"/>
        </w:rPr>
        <w:t>В апреле 1945 г. (включая Берлинскую операцию) штурмовики 16-й воздушной армии совершили 7860 самолето-вылетов, из которых больше всего — 2760 — пришлось на 9-й шак. По выполняемым задачам большинство вылетов (6946) пришлось по прямому назначению, то есть на штурмовку наземных войск. Летчики заявили в общей сложности о 132 уничтоженных танках, 8 бронемашинах, 16 тягачах, 14 паровозах, 530 вагонах, 2824 автомашинах, 711 повозках, 434 противотанковых орудиях, 214 зенитках, 134 минометах, 12 бронетранспортерах. Также было заявлено о разрушении 69 домов и двух заводов. Точно посчитали даже созданные очаги пожара — 243, взрывы — 73 и попадания в железнодорожное полотно — 230. Урон противнику в живой силе оценили в 14 436 солдат и офицеров. Хотя многие из этих показателей конечно же вызывают сомнение, все же ущерб, нанесенный «горбатыми» противнику на завершающем этапе войны, был весьма значительным.</w:t>
      </w:r>
    </w:p>
    <w:p w14:paraId="6C9A454B" w14:textId="77777777" w:rsidR="00715145" w:rsidRPr="00F90EAE" w:rsidRDefault="00715145" w:rsidP="00F90EAE">
      <w:pPr>
        <w:pStyle w:val="ae"/>
        <w:spacing w:before="0" w:after="0"/>
        <w:jc w:val="both"/>
        <w:textAlignment w:val="baseline"/>
        <w:rPr>
          <w:color w:val="000000" w:themeColor="text1"/>
          <w:sz w:val="16"/>
          <w:szCs w:val="16"/>
        </w:rPr>
      </w:pPr>
      <w:r w:rsidRPr="00F90EAE">
        <w:rPr>
          <w:color w:val="000000" w:themeColor="text1"/>
          <w:sz w:val="16"/>
          <w:szCs w:val="16"/>
        </w:rPr>
        <w:t>Собственные потери составили 129 Ил-2, из которых 25 было сбито истребителями и 28 зенитной артиллерией. Еще 17 машин «не вернулись с боевого задания». Кроме того, 41 штурмовик был подбит зенитками и истребителями и затем разбился во время вынужденной посадки. Велик был и уровень небоевых потерь. Три «черных смерти» разбились из-за отказа матчасти, один в результате катастрофы, 13 потерпели аварии, еще один был потерян по «прочим причинам». Наибольшие потери — 42 Ил-2 понес 9-й шак. Однако по количеству вылетов на одну боевую потерю впереди всех оказалась 2-я гв. шад — 53.</w:t>
      </w:r>
    </w:p>
    <w:p w14:paraId="75613365" w14:textId="77777777" w:rsidR="00715145" w:rsidRPr="00F90EAE" w:rsidRDefault="00715145" w:rsidP="00F90EAE">
      <w:pPr>
        <w:pStyle w:val="ae"/>
        <w:spacing w:before="0" w:after="0"/>
        <w:jc w:val="both"/>
        <w:textAlignment w:val="baseline"/>
        <w:rPr>
          <w:color w:val="000000" w:themeColor="text1"/>
          <w:sz w:val="16"/>
          <w:szCs w:val="16"/>
        </w:rPr>
      </w:pPr>
      <w:r w:rsidRPr="00F90EAE">
        <w:rPr>
          <w:color w:val="000000" w:themeColor="text1"/>
          <w:sz w:val="16"/>
          <w:szCs w:val="16"/>
        </w:rPr>
        <w:t>Потери личного состава составили 126 летчиков, в том числе один штурман полка и два командира эскадрилий. Больше всего — 49 летчиков лишился 6-й шак (19522).</w:t>
      </w:r>
    </w:p>
    <w:p w14:paraId="2CFDB24A" w14:textId="77777777" w:rsidR="00715145" w:rsidRPr="00F90EAE" w:rsidRDefault="00715145" w:rsidP="00F90EAE">
      <w:pPr>
        <w:pStyle w:val="ae"/>
        <w:spacing w:before="0" w:after="0"/>
        <w:jc w:val="both"/>
        <w:textAlignment w:val="baseline"/>
        <w:rPr>
          <w:color w:val="000000" w:themeColor="text1"/>
          <w:sz w:val="16"/>
          <w:szCs w:val="16"/>
        </w:rPr>
      </w:pPr>
    </w:p>
    <w:p w14:paraId="1BAD79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для поднятия авторитета нового штурмовика командование организова</w:t>
      </w:r>
      <w:r w:rsidRPr="00F90EAE">
        <w:rPr>
          <w:color w:val="000000" w:themeColor="text1"/>
          <w:sz w:val="16"/>
          <w:szCs w:val="16"/>
        </w:rPr>
        <w:softHyphen/>
        <w:t>ло показательный воздушный бой Ил-10 с истребителем Ла-5ФН. Штурмовик пи</w:t>
      </w:r>
      <w:r w:rsidRPr="00F90EAE">
        <w:rPr>
          <w:color w:val="000000" w:themeColor="text1"/>
          <w:sz w:val="16"/>
          <w:szCs w:val="16"/>
        </w:rPr>
        <w:softHyphen/>
        <w:t>лотировал капитан А.И. Сироткин, а «лавочкин» - летчик 5-го гиап (тоже ба</w:t>
      </w:r>
      <w:r w:rsidRPr="00F90EAE">
        <w:rPr>
          <w:color w:val="000000" w:themeColor="text1"/>
          <w:sz w:val="16"/>
          <w:szCs w:val="16"/>
        </w:rPr>
        <w:softHyphen/>
        <w:t>зировавшегося в Шпроттау), Герой Со</w:t>
      </w:r>
      <w:r w:rsidRPr="00F90EAE">
        <w:rPr>
          <w:color w:val="000000" w:themeColor="text1"/>
          <w:sz w:val="16"/>
          <w:szCs w:val="16"/>
        </w:rPr>
        <w:softHyphen/>
        <w:t>ветского Союза капитан В.И. Попков, сбивший к этому времени 37 немецких самолетов. Сироткин позже вспоминал: «Первым упражнением по согласованной про</w:t>
      </w:r>
      <w:r w:rsidRPr="00F90EAE">
        <w:rPr>
          <w:color w:val="000000" w:themeColor="text1"/>
          <w:sz w:val="16"/>
          <w:szCs w:val="16"/>
        </w:rPr>
        <w:softHyphen/>
        <w:t>грамме была погоня истребителя за штурмовиком при крутом планировании. Набрали высоту две тысячи метров, на</w:t>
      </w:r>
      <w:r w:rsidRPr="00F90EAE">
        <w:rPr>
          <w:color w:val="000000" w:themeColor="text1"/>
          <w:sz w:val="16"/>
          <w:szCs w:val="16"/>
        </w:rPr>
        <w:softHyphen/>
        <w:t>чали. Я дал газ мотору и понесся к зем</w:t>
      </w:r>
      <w:r w:rsidRPr="00F90EAE">
        <w:rPr>
          <w:color w:val="000000" w:themeColor="text1"/>
          <w:sz w:val="16"/>
          <w:szCs w:val="16"/>
        </w:rPr>
        <w:softHyphen/>
        <w:t>ле, как с крутой, градусов 40, горы. «Ла</w:t>
      </w:r>
      <w:r w:rsidRPr="00F90EAE">
        <w:rPr>
          <w:color w:val="000000" w:themeColor="text1"/>
          <w:sz w:val="16"/>
          <w:szCs w:val="16"/>
        </w:rPr>
        <w:softHyphen/>
        <w:t>вочкин» от меня отстал. Далее мы вы</w:t>
      </w:r>
      <w:r w:rsidRPr="00F90EAE">
        <w:rPr>
          <w:color w:val="000000" w:themeColor="text1"/>
          <w:sz w:val="16"/>
          <w:szCs w:val="16"/>
        </w:rPr>
        <w:softHyphen/>
        <w:t>полняли горку с набором высоты. На удивление всем, и здесь вначале я опе</w:t>
      </w:r>
      <w:r w:rsidRPr="00F90EAE">
        <w:rPr>
          <w:color w:val="000000" w:themeColor="text1"/>
          <w:sz w:val="16"/>
          <w:szCs w:val="16"/>
        </w:rPr>
        <w:softHyphen/>
        <w:t>режал «Ла-пятый», но вскоре он меня догнал и обошел. Затем мы демонстри</w:t>
      </w:r>
      <w:r w:rsidRPr="00F90EAE">
        <w:rPr>
          <w:color w:val="000000" w:themeColor="text1"/>
          <w:sz w:val="16"/>
          <w:szCs w:val="16"/>
        </w:rPr>
        <w:softHyphen/>
        <w:t>ровали бой на виражах и выполнение различных фигур высшего пилотажа. Как Попков ни старался, но его «Ла-пя-тому» редко удавалось зайти мне в хвост для атаки. Зато и мой стрелок, и я несколько раз ловили его в перекрестья своих прицелов. После проявления пленки фотокинопулеметов, которыми мы «воевали» в том полете, было уста</w:t>
      </w:r>
      <w:r w:rsidRPr="00F90EAE">
        <w:rPr>
          <w:color w:val="000000" w:themeColor="text1"/>
          <w:sz w:val="16"/>
          <w:szCs w:val="16"/>
        </w:rPr>
        <w:softHyphen/>
        <w:t>новлено, что по «Ла-пятому» несколько раз прошлись очереди нашего оружия. Конечно, из сказанного нельзя делать вывод, что штурмовик Ил-10-й превос</w:t>
      </w:r>
      <w:r w:rsidRPr="00F90EAE">
        <w:rPr>
          <w:color w:val="000000" w:themeColor="text1"/>
          <w:sz w:val="16"/>
          <w:szCs w:val="16"/>
        </w:rPr>
        <w:softHyphen/>
        <w:t>ходил истребитель Ла-5 по скорости и маневренности. Но этот бой показал, что новый штурмовик уверенно может постоять за себя и в воздушном бою с немецкими истребителями» (10681).</w:t>
      </w:r>
    </w:p>
    <w:p w14:paraId="691936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744F5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поднятия авторитета нового штурмовика командование организо</w:t>
      </w:r>
      <w:r w:rsidRPr="00F90EAE">
        <w:rPr>
          <w:color w:val="000000" w:themeColor="text1"/>
          <w:sz w:val="16"/>
          <w:szCs w:val="16"/>
        </w:rPr>
        <w:softHyphen/>
        <w:t>вало показательный воздушный бой с истребителем Ла-5ФН. Штурмовик пи</w:t>
      </w:r>
      <w:r w:rsidRPr="00F90EAE">
        <w:rPr>
          <w:color w:val="000000" w:themeColor="text1"/>
          <w:sz w:val="16"/>
          <w:szCs w:val="16"/>
        </w:rPr>
        <w:softHyphen/>
        <w:t>лотировал начальник воздушно-стрелковой службы полка к-н А. И. Сироткин, а «лавочкин» - летчик 5-го гиап (тоже базировавшегося в Шпрот</w:t>
      </w:r>
      <w:r w:rsidRPr="00F90EAE">
        <w:rPr>
          <w:color w:val="000000" w:themeColor="text1"/>
          <w:sz w:val="16"/>
          <w:szCs w:val="16"/>
        </w:rPr>
        <w:softHyphen/>
        <w:t>тау) Герой Советского Союза к-н В. И. Попков, лично сбивший к этому вре</w:t>
      </w:r>
      <w:r w:rsidRPr="00F90EAE">
        <w:rPr>
          <w:color w:val="000000" w:themeColor="text1"/>
          <w:sz w:val="16"/>
          <w:szCs w:val="16"/>
        </w:rPr>
        <w:softHyphen/>
        <w:t>мени 37 немецких самолетов.</w:t>
      </w:r>
    </w:p>
    <w:p w14:paraId="7B91AF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Сироткин позже вспоминал: «Пер</w:t>
      </w:r>
      <w:r w:rsidRPr="00F90EAE">
        <w:rPr>
          <w:color w:val="000000" w:themeColor="text1"/>
          <w:sz w:val="16"/>
          <w:szCs w:val="16"/>
        </w:rPr>
        <w:softHyphen/>
        <w:t>вым упражнением по согласованной программе была погоня истребителя за штурмовиком при крутом планиро</w:t>
      </w:r>
      <w:r w:rsidRPr="00F90EAE">
        <w:rPr>
          <w:color w:val="000000" w:themeColor="text1"/>
          <w:sz w:val="16"/>
          <w:szCs w:val="16"/>
        </w:rPr>
        <w:softHyphen/>
        <w:t>вании. Набрали высоту две тысячи мет</w:t>
      </w:r>
      <w:r w:rsidRPr="00F90EAE">
        <w:rPr>
          <w:color w:val="000000" w:themeColor="text1"/>
          <w:sz w:val="16"/>
          <w:szCs w:val="16"/>
        </w:rPr>
        <w:softHyphen/>
        <w:t>ров, начали. Я дал газ мотору и понес</w:t>
      </w:r>
      <w:r w:rsidRPr="00F90EAE">
        <w:rPr>
          <w:color w:val="000000" w:themeColor="text1"/>
          <w:sz w:val="16"/>
          <w:szCs w:val="16"/>
        </w:rPr>
        <w:softHyphen/>
        <w:t>ся к земле, как с крутой, градусов 40, горы. «Лавочкин» от меня отстал. Да</w:t>
      </w:r>
      <w:r w:rsidRPr="00F90EAE">
        <w:rPr>
          <w:color w:val="000000" w:themeColor="text1"/>
          <w:sz w:val="16"/>
          <w:szCs w:val="16"/>
        </w:rPr>
        <w:softHyphen/>
        <w:t>лее мы выполняли горку с набором высоты. На удивление всем, и здесь вначале я опережал «Ла-пятый», но вскоре он меня догнал и обошел. За</w:t>
      </w:r>
      <w:r w:rsidRPr="00F90EAE">
        <w:rPr>
          <w:color w:val="000000" w:themeColor="text1"/>
          <w:sz w:val="16"/>
          <w:szCs w:val="16"/>
        </w:rPr>
        <w:softHyphen/>
        <w:t>тем мы демонстрировали бой на вира</w:t>
      </w:r>
      <w:r w:rsidRPr="00F90EAE">
        <w:rPr>
          <w:color w:val="000000" w:themeColor="text1"/>
          <w:sz w:val="16"/>
          <w:szCs w:val="16"/>
        </w:rPr>
        <w:softHyphen/>
        <w:t>жах и выполнение различных фигур высшего пилотажа. Как Попков ни ста</w:t>
      </w:r>
      <w:r w:rsidRPr="00F90EAE">
        <w:rPr>
          <w:color w:val="000000" w:themeColor="text1"/>
          <w:sz w:val="16"/>
          <w:szCs w:val="16"/>
        </w:rPr>
        <w:softHyphen/>
        <w:t>рался, но его «Ла-пятому» редко уда</w:t>
      </w:r>
      <w:r w:rsidRPr="00F90EAE">
        <w:rPr>
          <w:color w:val="000000" w:themeColor="text1"/>
          <w:sz w:val="16"/>
          <w:szCs w:val="16"/>
        </w:rPr>
        <w:softHyphen/>
        <w:t>валось зайти мне в хвост для атаки. Зато и мой стрелок, и я несколько раз ловили его в перекрестья своих при</w:t>
      </w:r>
      <w:r w:rsidRPr="00F90EAE">
        <w:rPr>
          <w:color w:val="000000" w:themeColor="text1"/>
          <w:sz w:val="16"/>
          <w:szCs w:val="16"/>
        </w:rPr>
        <w:softHyphen/>
        <w:t>целов. После проявления пленки фотокинопулеметов, которыми мы «вое</w:t>
      </w:r>
      <w:r w:rsidRPr="00F90EAE">
        <w:rPr>
          <w:color w:val="000000" w:themeColor="text1"/>
          <w:sz w:val="16"/>
          <w:szCs w:val="16"/>
        </w:rPr>
        <w:softHyphen/>
        <w:t>вали» в том полете, было установлено, что по «Ла-пятому» несколько раз прошлись очереди нашего оружия. Конечно, из сказанного нельзя делать вывод, что штурмовик Ил-10-й превос</w:t>
      </w:r>
      <w:r w:rsidRPr="00F90EAE">
        <w:rPr>
          <w:color w:val="000000" w:themeColor="text1"/>
          <w:sz w:val="16"/>
          <w:szCs w:val="16"/>
        </w:rPr>
        <w:softHyphen/>
        <w:t>ходил истребитель Ла-5 по скорости и маневренности. Но этот бой пока</w:t>
      </w:r>
      <w:r w:rsidRPr="00F90EAE">
        <w:rPr>
          <w:color w:val="000000" w:themeColor="text1"/>
          <w:sz w:val="16"/>
          <w:szCs w:val="16"/>
        </w:rPr>
        <w:softHyphen/>
        <w:t>зал, что новый штурмовик уверенно может постоять за себя и в воздушном бою с немецкими истребителями» (11157).</w:t>
      </w:r>
    </w:p>
    <w:p w14:paraId="1EFA86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C1603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на фронт убыло сразу 7 маршевых авиапол</w:t>
      </w:r>
      <w:r w:rsidRPr="00F90EAE">
        <w:rPr>
          <w:color w:val="000000" w:themeColor="text1"/>
          <w:sz w:val="16"/>
          <w:szCs w:val="16"/>
        </w:rPr>
        <w:softHyphen/>
        <w:t>ков (7-й, 59-й, 75-й и 132-й гвардей</w:t>
      </w:r>
      <w:r w:rsidRPr="00F90EAE">
        <w:rPr>
          <w:color w:val="000000" w:themeColor="text1"/>
          <w:sz w:val="16"/>
          <w:szCs w:val="16"/>
        </w:rPr>
        <w:softHyphen/>
        <w:t>ские, и 723-й, 899-й и 995-й штур</w:t>
      </w:r>
      <w:r w:rsidRPr="00F90EAE">
        <w:rPr>
          <w:color w:val="000000" w:themeColor="text1"/>
          <w:sz w:val="16"/>
          <w:szCs w:val="16"/>
        </w:rPr>
        <w:softHyphen/>
        <w:t>мовые авиаполки), имевшие в сво</w:t>
      </w:r>
      <w:r w:rsidRPr="00F90EAE">
        <w:rPr>
          <w:color w:val="000000" w:themeColor="text1"/>
          <w:sz w:val="16"/>
          <w:szCs w:val="16"/>
        </w:rPr>
        <w:softHyphen/>
        <w:t>ем составе в общей сложности 192 летчика, подготовленных на само</w:t>
      </w:r>
      <w:r w:rsidRPr="00F90EAE">
        <w:rPr>
          <w:color w:val="000000" w:themeColor="text1"/>
          <w:sz w:val="16"/>
          <w:szCs w:val="16"/>
        </w:rPr>
        <w:softHyphen/>
        <w:t>лете Ил-10. Из этого числа летом на Ил-10 убыло 186 экипажей. Осталь</w:t>
      </w:r>
      <w:r w:rsidRPr="00F90EAE">
        <w:rPr>
          <w:color w:val="000000" w:themeColor="text1"/>
          <w:sz w:val="16"/>
          <w:szCs w:val="16"/>
        </w:rPr>
        <w:softHyphen/>
        <w:t>ные отправились на фронт поездом. Кроме этого, в летные школы было отправлено 4 инструктора, пере</w:t>
      </w:r>
      <w:r w:rsidRPr="00F90EAE">
        <w:rPr>
          <w:color w:val="000000" w:themeColor="text1"/>
          <w:sz w:val="16"/>
          <w:szCs w:val="16"/>
        </w:rPr>
        <w:softHyphen/>
        <w:t>учившихся на Ил-10. В апреле началась подготовка полков для 7-го штурмового авиа</w:t>
      </w:r>
      <w:r w:rsidRPr="00F90EAE">
        <w:rPr>
          <w:color w:val="000000" w:themeColor="text1"/>
          <w:sz w:val="16"/>
          <w:szCs w:val="16"/>
        </w:rPr>
        <w:softHyphen/>
        <w:t>корпуса резерва Верховного Глав</w:t>
      </w:r>
      <w:r w:rsidRPr="00F90EAE">
        <w:rPr>
          <w:color w:val="000000" w:themeColor="text1"/>
          <w:sz w:val="16"/>
          <w:szCs w:val="16"/>
        </w:rPr>
        <w:softHyphen/>
        <w:t>ного Командования. В разное вре</w:t>
      </w:r>
      <w:r w:rsidRPr="00F90EAE">
        <w:rPr>
          <w:color w:val="000000" w:themeColor="text1"/>
          <w:sz w:val="16"/>
          <w:szCs w:val="16"/>
        </w:rPr>
        <w:softHyphen/>
        <w:t>мя с 5 по 24 апреля к переучива</w:t>
      </w:r>
      <w:r w:rsidRPr="00F90EAE">
        <w:rPr>
          <w:color w:val="000000" w:themeColor="text1"/>
          <w:sz w:val="16"/>
          <w:szCs w:val="16"/>
        </w:rPr>
        <w:softHyphen/>
        <w:t>нию на самолете Ил-10 приступили 686-й, 947-й и 232-й штурмовые авиаполки 289-й шад и 503-й, 806-й и 807-й шап 206-й шад (11132).</w:t>
      </w:r>
    </w:p>
    <w:p w14:paraId="43A00F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E83759D"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В апреле месяце 1945 на фронт убыло сразу 7 маршевых авиаполков (7, 59, 75 и 132 -й гвардейские и 723, 899 и 995-й штурмовые авиаполки), имевшие в своем составе в общей сложности 192 летчиков, подготовленных на самолете Ил-10. Из этого числа летом на Ил-10 убыло 186 экипажей. Остальные отправились на фронт поездом. Кроме этого, в летные школы было отправлено 4 инструктора, переучившихся на Ил-10.</w:t>
      </w:r>
    </w:p>
    <w:p w14:paraId="4443ECBD" w14:textId="77777777" w:rsidR="003B3957" w:rsidRPr="00F90EAE" w:rsidRDefault="003B3957"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апреле началась подготовка полков для 7-го штурмового авиакорпуса резерва Верховного главного командования. В разное время с 5 по 24 апреля к переучиванию на самолете Ил-10 приступили 686, 947 и 232-й штурмовые авиаполки 289 шад и 503, 806 и 807 шап 206 шад (17490).</w:t>
      </w:r>
    </w:p>
    <w:p w14:paraId="7CDDED4B" w14:textId="77777777" w:rsidR="003B3957" w:rsidRPr="00F90EAE" w:rsidRDefault="003B3957" w:rsidP="00F90EAE">
      <w:pPr>
        <w:jc w:val="both"/>
        <w:rPr>
          <w:color w:val="000000" w:themeColor="text1"/>
          <w:sz w:val="16"/>
          <w:szCs w:val="16"/>
        </w:rPr>
      </w:pPr>
    </w:p>
    <w:p w14:paraId="68E53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апреле 1945 два полка Ер-2 - 327 и 329 приняли участие в боевых действиях. Бомбили Кенигсберг, Зееловские высоты и Берлин. Это были разовые операции. Для сравнения следует отметить, что только в марте 1945 в 18 ВА было выполнено 5126 вылетов, включая 1864 на Ил-4, 1846 - на В-25, 1224 на Ли-2 и 192 на А-20G (3322,49).</w:t>
      </w:r>
    </w:p>
    <w:p w14:paraId="3DD11287" w14:textId="77777777" w:rsidR="00665165" w:rsidRPr="00F90EAE" w:rsidRDefault="00665165" w:rsidP="00F90EAE">
      <w:pPr>
        <w:autoSpaceDE w:val="0"/>
        <w:autoSpaceDN w:val="0"/>
        <w:adjustRightInd w:val="0"/>
        <w:jc w:val="both"/>
        <w:rPr>
          <w:color w:val="000000" w:themeColor="text1"/>
          <w:sz w:val="16"/>
          <w:szCs w:val="16"/>
        </w:rPr>
      </w:pPr>
    </w:p>
    <w:p w14:paraId="5F1B38B9" w14:textId="77777777" w:rsidR="004F4C5F" w:rsidRPr="00F90EAE" w:rsidRDefault="004F4C5F" w:rsidP="00F90EAE">
      <w:pPr>
        <w:shd w:val="clear" w:color="auto" w:fill="FFFFFF"/>
        <w:jc w:val="both"/>
        <w:rPr>
          <w:color w:val="0070C0"/>
          <w:sz w:val="16"/>
          <w:szCs w:val="16"/>
        </w:rPr>
      </w:pPr>
      <w:r w:rsidRPr="00F90EAE">
        <w:rPr>
          <w:color w:val="0070C0"/>
          <w:sz w:val="16"/>
          <w:szCs w:val="16"/>
        </w:rPr>
        <w:t>В апреле 1945 г. над всем фронтом снова царила плохая погода, но действия авиации активизировались. В отношении группировки Ла-7 и Ла-5ФН их сдерживало не столько это, сколько отсутствие неповрежденных аэродромов и внезапно возникший дефицит моторов АШ-82ФН для замены изношенных. Такая недостача имела место даже в морской авиации, где число самолетов Ла-7 было меньше. Вопрос пришлось решать срочной переброской двигателей воздушным транспортом прямо на места базирования полков (22772).</w:t>
      </w:r>
    </w:p>
    <w:p w14:paraId="325BF457" w14:textId="77777777" w:rsidR="004F4C5F" w:rsidRPr="00F90EAE" w:rsidRDefault="004F4C5F" w:rsidP="00F90EAE">
      <w:pPr>
        <w:shd w:val="clear" w:color="auto" w:fill="FFFFFF"/>
        <w:jc w:val="both"/>
        <w:rPr>
          <w:color w:val="0070C0"/>
          <w:sz w:val="16"/>
          <w:szCs w:val="16"/>
        </w:rPr>
      </w:pPr>
    </w:p>
    <w:p w14:paraId="18C092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самолеты Пе-2 внесли вклад во взятие Кенигсберга и военно-морской базы Пиллау, когда ПВО противника уже была малоэффективна, а истребители встречались редко. С Пе-2 сбрасывали бомбы крупных калибров - 250 и 500 кг. Например, при штурме крепости Кюстрин капитан В.П.Мельник из 96-го гв. бап с первого же захода поразил ФАБ-500 крупный склад боеприпасов, вызвав огромный взрыв (3542).</w:t>
      </w:r>
    </w:p>
    <w:p w14:paraId="2ECD4A99" w14:textId="77777777" w:rsidR="00665165" w:rsidRPr="00F90EAE" w:rsidRDefault="00665165" w:rsidP="00F90EAE">
      <w:pPr>
        <w:autoSpaceDE w:val="0"/>
        <w:autoSpaceDN w:val="0"/>
        <w:adjustRightInd w:val="0"/>
        <w:jc w:val="both"/>
        <w:rPr>
          <w:color w:val="000000" w:themeColor="text1"/>
          <w:sz w:val="16"/>
          <w:szCs w:val="16"/>
        </w:rPr>
      </w:pPr>
    </w:p>
    <w:p w14:paraId="14B38D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по решению ГКО болгарские ВВС получили 96 боевых Пе-2 и две учебные машины. Они прибыли уже после окончания войны для замены находившихся до этого на вооружении болгарской авиации бомбардировщиков немецких типов. В отличие от Польши и Чехословакии никаких существенных переделок болгарские "петляковы" не претерпели. После войны машины этого типа передавались также ВВС Югославии. В частности, сразу после окончания боевых действий в Европе туда отправили 62 Пе-2 и 9 УПе-2. Возрожденные югославские ВВС также получили на вооружение два полка "пешек" (12042).</w:t>
      </w:r>
    </w:p>
    <w:p w14:paraId="4758755E" w14:textId="77777777" w:rsidR="00665165" w:rsidRPr="00F90EAE" w:rsidRDefault="00665165" w:rsidP="00F90EAE">
      <w:pPr>
        <w:autoSpaceDE w:val="0"/>
        <w:autoSpaceDN w:val="0"/>
        <w:adjustRightInd w:val="0"/>
        <w:jc w:val="both"/>
        <w:rPr>
          <w:color w:val="000000" w:themeColor="text1"/>
          <w:sz w:val="16"/>
          <w:szCs w:val="16"/>
        </w:rPr>
      </w:pPr>
    </w:p>
    <w:p w14:paraId="279B8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 соответствии с указания Генштаба штаб ВВС разработал план перегруппировки авиасоединений с запада на ДВ. По воздуху перебрасывался 6 гбак (г И.П.Скок) в составе 326 и 334 бад; 7 бак (г В.А.Ушаков) в составе 113 и 179 бад; 190 отд. иад без матчасти (п В.В.Фокин); 54 тр и 25 гв. тр. ад (г В.А.Щелкин и И.М.Горский).</w:t>
      </w:r>
    </w:p>
    <w:p w14:paraId="13A8F04C" w14:textId="77777777" w:rsidR="00665165" w:rsidRPr="00F90EAE" w:rsidRDefault="00665165" w:rsidP="00F90EAE">
      <w:pPr>
        <w:autoSpaceDE w:val="0"/>
        <w:autoSpaceDN w:val="0"/>
        <w:adjustRightInd w:val="0"/>
        <w:jc w:val="both"/>
        <w:rPr>
          <w:color w:val="000000" w:themeColor="text1"/>
          <w:sz w:val="16"/>
          <w:szCs w:val="16"/>
        </w:rPr>
      </w:pPr>
    </w:p>
    <w:p w14:paraId="531753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PBI-1 "Номад" 118-го полка при проводке конвоя самостоятельно уничтожил немецкую подводную лодку, поразив ее глубинными бомбами (3457,130).</w:t>
      </w:r>
    </w:p>
    <w:p w14:paraId="40E93353" w14:textId="77777777" w:rsidR="00665165" w:rsidRPr="00F90EAE" w:rsidRDefault="00665165" w:rsidP="00F90EAE">
      <w:pPr>
        <w:autoSpaceDE w:val="0"/>
        <w:autoSpaceDN w:val="0"/>
        <w:adjustRightInd w:val="0"/>
        <w:jc w:val="both"/>
        <w:rPr>
          <w:color w:val="000000" w:themeColor="text1"/>
          <w:sz w:val="16"/>
          <w:szCs w:val="16"/>
        </w:rPr>
      </w:pPr>
    </w:p>
    <w:p w14:paraId="4D62D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подполковник Гордиловский, командир 250-го полка, сбросив связку разноцветных осветительных бомб, подал сигнал к штурму Зееловских высот под Берлином (3457,97).</w:t>
      </w:r>
    </w:p>
    <w:p w14:paraId="647C807C" w14:textId="77777777" w:rsidR="00665165" w:rsidRPr="00F90EAE" w:rsidRDefault="00665165" w:rsidP="00F90EAE">
      <w:pPr>
        <w:autoSpaceDE w:val="0"/>
        <w:autoSpaceDN w:val="0"/>
        <w:adjustRightInd w:val="0"/>
        <w:jc w:val="both"/>
        <w:rPr>
          <w:color w:val="000000" w:themeColor="text1"/>
          <w:sz w:val="16"/>
          <w:szCs w:val="16"/>
        </w:rPr>
      </w:pPr>
    </w:p>
    <w:p w14:paraId="175A01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два полка из семи, вооруженных "Ерами" - 327-й и 329-й бапы - приняли участие в боевых действиях (8984).</w:t>
      </w:r>
    </w:p>
    <w:p w14:paraId="72FA0BEF" w14:textId="77777777" w:rsidR="00665165" w:rsidRPr="00F90EAE" w:rsidRDefault="00665165" w:rsidP="00F90EAE">
      <w:pPr>
        <w:autoSpaceDE w:val="0"/>
        <w:autoSpaceDN w:val="0"/>
        <w:adjustRightInd w:val="0"/>
        <w:jc w:val="both"/>
        <w:rPr>
          <w:color w:val="000000" w:themeColor="text1"/>
          <w:sz w:val="16"/>
          <w:szCs w:val="16"/>
        </w:rPr>
      </w:pPr>
    </w:p>
    <w:p w14:paraId="7DA8B2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1945 г., когда задача про</w:t>
      </w:r>
      <w:r w:rsidRPr="00F90EAE">
        <w:rPr>
          <w:color w:val="000000" w:themeColor="text1"/>
          <w:sz w:val="16"/>
          <w:szCs w:val="16"/>
        </w:rPr>
        <w:softHyphen/>
        <w:t>тиводействия воздушному противнику была передвинута еще дальше на за</w:t>
      </w:r>
      <w:r w:rsidRPr="00F90EAE">
        <w:rPr>
          <w:color w:val="000000" w:themeColor="text1"/>
          <w:sz w:val="16"/>
          <w:szCs w:val="16"/>
        </w:rPr>
        <w:softHyphen/>
        <w:t>пад, в 328 иад был разработан новый план боевого использования частей, в котором определялось: «Задача час</w:t>
      </w:r>
      <w:r w:rsidRPr="00F90EAE">
        <w:rPr>
          <w:color w:val="000000" w:themeColor="text1"/>
          <w:sz w:val="16"/>
          <w:szCs w:val="16"/>
        </w:rPr>
        <w:softHyphen/>
        <w:t>тей: надежно прикрыть с воздуха сто</w:t>
      </w:r>
      <w:r w:rsidRPr="00F90EAE">
        <w:rPr>
          <w:color w:val="000000" w:themeColor="text1"/>
          <w:sz w:val="16"/>
          <w:szCs w:val="16"/>
        </w:rPr>
        <w:softHyphen/>
        <w:t>лицу Белорусской ССР г. Минск, с вхо</w:t>
      </w:r>
      <w:r w:rsidRPr="00F90EAE">
        <w:rPr>
          <w:color w:val="000000" w:themeColor="text1"/>
          <w:sz w:val="16"/>
          <w:szCs w:val="16"/>
        </w:rPr>
        <w:softHyphen/>
        <w:t>дящими в него объектами (железнодо</w:t>
      </w:r>
      <w:r w:rsidRPr="00F90EAE">
        <w:rPr>
          <w:color w:val="000000" w:themeColor="text1"/>
          <w:sz w:val="16"/>
          <w:szCs w:val="16"/>
        </w:rPr>
        <w:softHyphen/>
        <w:t>рожный узел, Дом правительства, про</w:t>
      </w:r>
      <w:r w:rsidRPr="00F90EAE">
        <w:rPr>
          <w:color w:val="000000" w:themeColor="text1"/>
          <w:sz w:val="16"/>
          <w:szCs w:val="16"/>
        </w:rPr>
        <w:softHyphen/>
        <w:t>мышленные предприятия], а также же</w:t>
      </w:r>
      <w:r w:rsidRPr="00F90EAE">
        <w:rPr>
          <w:color w:val="000000" w:themeColor="text1"/>
          <w:sz w:val="16"/>
          <w:szCs w:val="16"/>
        </w:rPr>
        <w:softHyphen/>
        <w:t>лезнодорожные участки..., не допускать проникновения самолетов-разведчи</w:t>
      </w:r>
      <w:r w:rsidRPr="00F90EAE">
        <w:rPr>
          <w:color w:val="000000" w:themeColor="text1"/>
          <w:sz w:val="16"/>
          <w:szCs w:val="16"/>
        </w:rPr>
        <w:softHyphen/>
        <w:t>ков, бомбардировщиков, самолетов-снарядов и их буксировщиков в грани</w:t>
      </w:r>
      <w:r w:rsidRPr="00F90EAE">
        <w:rPr>
          <w:color w:val="000000" w:themeColor="text1"/>
          <w:sz w:val="16"/>
          <w:szCs w:val="16"/>
        </w:rPr>
        <w:softHyphen/>
        <w:t>цах: с запада Сморгонь - Столбцы, Сморгонь - Долгиново, Долгиново -Борисов, Борисов - Осиповичи - Стол</w:t>
      </w:r>
      <w:r w:rsidRPr="00F90EAE">
        <w:rPr>
          <w:color w:val="000000" w:themeColor="text1"/>
          <w:sz w:val="16"/>
          <w:szCs w:val="16"/>
        </w:rPr>
        <w:softHyphen/>
        <w:t>бцы» (10791).</w:t>
      </w:r>
    </w:p>
    <w:p w14:paraId="4BE340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CC1C783" w14:textId="77777777" w:rsidR="004F4C5F" w:rsidRPr="00F90EAE" w:rsidRDefault="004F4C5F" w:rsidP="00F90EAE">
      <w:pPr>
        <w:jc w:val="both"/>
        <w:rPr>
          <w:color w:val="0070C0"/>
          <w:sz w:val="16"/>
          <w:szCs w:val="16"/>
        </w:rPr>
      </w:pPr>
      <w:r w:rsidRPr="00F90EAE">
        <w:rPr>
          <w:color w:val="0070C0"/>
          <w:sz w:val="16"/>
          <w:szCs w:val="16"/>
        </w:rPr>
        <w:t>В апреле 1945 г. разработали новый план обо</w:t>
      </w:r>
      <w:r w:rsidRPr="00F90EAE">
        <w:rPr>
          <w:color w:val="0070C0"/>
          <w:sz w:val="16"/>
          <w:szCs w:val="16"/>
        </w:rPr>
        <w:softHyphen/>
        <w:t>роны административных центров СССР от кры</w:t>
      </w:r>
      <w:r w:rsidRPr="00F90EAE">
        <w:rPr>
          <w:color w:val="0070C0"/>
          <w:sz w:val="16"/>
          <w:szCs w:val="16"/>
        </w:rPr>
        <w:softHyphen/>
        <w:t>латых ракет, предусматривавший также защиту Минска на рубежах Сморгонь — Столбцы, Смор- гонь — Долгиново, Долгиново — Борисов и Бо</w:t>
      </w:r>
      <w:r w:rsidRPr="00F90EAE">
        <w:rPr>
          <w:color w:val="0070C0"/>
          <w:sz w:val="16"/>
          <w:szCs w:val="16"/>
        </w:rPr>
        <w:softHyphen/>
        <w:t>рисов — Осиповичи — Столбцы (20120).</w:t>
      </w:r>
    </w:p>
    <w:p w14:paraId="110FCFB9" w14:textId="77777777" w:rsidR="004F4C5F" w:rsidRPr="00F90EAE" w:rsidRDefault="004F4C5F" w:rsidP="00F90EAE">
      <w:pPr>
        <w:jc w:val="both"/>
        <w:rPr>
          <w:color w:val="0070C0"/>
          <w:sz w:val="16"/>
          <w:szCs w:val="16"/>
        </w:rPr>
      </w:pPr>
    </w:p>
    <w:p w14:paraId="6834E5B7" w14:textId="77777777" w:rsidR="003B3957" w:rsidRPr="00F90EAE" w:rsidRDefault="003B3957"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 апреля 1945 года M4A2E8 стали поступать в учебные части Красной армии первые. При этом и в апреле, и даже в мае 1945 года в СССР поступали не только машины с новой ходовой частью, но и M4A2(76)W. 25 мая 1945 года отдел приёмки Горьковского АБТ Центра докладывал о 177 танках обеих модификаций, а к 5 июня их число выросло до 212. Между тем за апрель 1945 года в СССР прибыл 181 танк, а в мае — 128. Последние M4A2 поступили в Советский Союз в июне 1945 года. Всего за 1945 год в СССР поступило 1088 M4A2(76)W и M4A2E8. Даже в американских документах эти машины не разделяли между собой, что не даёт возможности вычислить точное количество попавших в СССР M4A2E8. Похоже, что их было около 350 штук. Всего же из 4102 отправленных в СССР M4A2 всех типов к месту назначения прибыло 3938 штук (17725).</w:t>
      </w:r>
    </w:p>
    <w:p w14:paraId="505D9883" w14:textId="77777777" w:rsidR="003B3957" w:rsidRPr="00F90EAE" w:rsidRDefault="003B3957" w:rsidP="00F90EAE">
      <w:pPr>
        <w:jc w:val="both"/>
        <w:rPr>
          <w:color w:val="000000" w:themeColor="text1"/>
          <w:sz w:val="16"/>
          <w:szCs w:val="16"/>
        </w:rPr>
      </w:pPr>
    </w:p>
    <w:p w14:paraId="31B0BD2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45603D2" w14:textId="77777777" w:rsidR="00665165" w:rsidRPr="00F90EAE" w:rsidRDefault="00665165" w:rsidP="00F90EAE">
      <w:pPr>
        <w:autoSpaceDE w:val="0"/>
        <w:autoSpaceDN w:val="0"/>
        <w:adjustRightInd w:val="0"/>
        <w:jc w:val="both"/>
        <w:rPr>
          <w:iCs/>
          <w:color w:val="000000" w:themeColor="text1"/>
          <w:sz w:val="16"/>
          <w:szCs w:val="16"/>
        </w:rPr>
      </w:pPr>
    </w:p>
    <w:p w14:paraId="52DD6A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конвойные войска НКВД СССР охраняли 710 лагерей, тюрем и др. Только на охрану военнопленных ежедневно выделялось 30000 чел. (4550).</w:t>
      </w:r>
    </w:p>
    <w:p w14:paraId="1339671C" w14:textId="77777777" w:rsidR="00665165" w:rsidRPr="00F90EAE" w:rsidRDefault="00665165" w:rsidP="00F90EAE">
      <w:pPr>
        <w:autoSpaceDE w:val="0"/>
        <w:autoSpaceDN w:val="0"/>
        <w:adjustRightInd w:val="0"/>
        <w:jc w:val="both"/>
        <w:rPr>
          <w:color w:val="000000" w:themeColor="text1"/>
          <w:sz w:val="16"/>
          <w:szCs w:val="16"/>
        </w:rPr>
      </w:pPr>
    </w:p>
    <w:p w14:paraId="1C356B7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868D3AD" w14:textId="77777777" w:rsidR="00665165" w:rsidRPr="00F90EAE" w:rsidRDefault="00665165" w:rsidP="00F90EAE">
      <w:pPr>
        <w:autoSpaceDE w:val="0"/>
        <w:autoSpaceDN w:val="0"/>
        <w:adjustRightInd w:val="0"/>
        <w:jc w:val="both"/>
        <w:rPr>
          <w:iCs/>
          <w:color w:val="000000" w:themeColor="text1"/>
          <w:sz w:val="16"/>
          <w:szCs w:val="16"/>
        </w:rPr>
      </w:pPr>
    </w:p>
    <w:p w14:paraId="788D8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французский бомбардировочный полк "Бретань" располагал 34 пикирующими бомбардировщиками Пе-2 и продолжал боевую подготовку; полностью переученными считались 16 экипажей. До окончания боевых действий в Европе "Бретань" так и не достигла боеготового состояния. После окончания войны французские экипажи без всякой помпы (в отличие от "Нормандии-Неман") уехали на родину.</w:t>
      </w:r>
    </w:p>
    <w:p w14:paraId="67C3A7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заключительном этапе войны советское руководство приняло предложение французов о развертывании в СССР помимо известного авиаполка "Нормандия" еще двух частей - истребительного авиаполка "Париж" и бомбардировочного полка "Бретань". Последний должен был летать на бомбардировщиках Пе-2. Подготовка французского летного персонала инструкторами 9-м зап началась поздней осенью 1944 г. Ходу работы однако мешало отсутствие переводчиков. Самолет оказался довольно сложным для французов, поэтому подготовка затянулась (12042).</w:t>
      </w:r>
    </w:p>
    <w:p w14:paraId="57FB1E78" w14:textId="77777777" w:rsidR="00665165" w:rsidRPr="00F90EAE" w:rsidRDefault="00665165" w:rsidP="00F90EAE">
      <w:pPr>
        <w:autoSpaceDE w:val="0"/>
        <w:autoSpaceDN w:val="0"/>
        <w:adjustRightInd w:val="0"/>
        <w:jc w:val="both"/>
        <w:rPr>
          <w:color w:val="000000" w:themeColor="text1"/>
          <w:sz w:val="16"/>
          <w:szCs w:val="16"/>
        </w:rPr>
      </w:pPr>
    </w:p>
    <w:p w14:paraId="57CCD6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Югославия была первой страной, с которой И.В.С. подписал договор о дружбе, взаимопомощи и послевоенном сотрудничестве еще в апреле 1945. Договор предусматривал военную помощь в формировании 12 армий и двух авиадивизий (241,38).</w:t>
      </w:r>
    </w:p>
    <w:p w14:paraId="685E5388" w14:textId="77777777" w:rsidR="00665165" w:rsidRPr="00F90EAE" w:rsidRDefault="00665165" w:rsidP="00F90EAE">
      <w:pPr>
        <w:autoSpaceDE w:val="0"/>
        <w:autoSpaceDN w:val="0"/>
        <w:adjustRightInd w:val="0"/>
        <w:jc w:val="both"/>
        <w:rPr>
          <w:color w:val="000000" w:themeColor="text1"/>
          <w:sz w:val="16"/>
          <w:szCs w:val="16"/>
        </w:rPr>
      </w:pPr>
    </w:p>
    <w:p w14:paraId="05B777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апреля 1945 в Москве проходили переговоры с Чан-Кай-Ши, которые завершились 14 августа и подписали договор о дружбе (2070,246).</w:t>
      </w:r>
    </w:p>
    <w:p w14:paraId="6A7F972E" w14:textId="77777777" w:rsidR="00665165" w:rsidRPr="00F90EAE" w:rsidRDefault="00665165" w:rsidP="00F90EAE">
      <w:pPr>
        <w:autoSpaceDE w:val="0"/>
        <w:autoSpaceDN w:val="0"/>
        <w:adjustRightInd w:val="0"/>
        <w:jc w:val="both"/>
        <w:rPr>
          <w:color w:val="000000" w:themeColor="text1"/>
          <w:sz w:val="16"/>
          <w:szCs w:val="16"/>
        </w:rPr>
      </w:pPr>
    </w:p>
    <w:p w14:paraId="3BD7BDB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E96E96E" w14:textId="77777777" w:rsidR="00665165" w:rsidRPr="00F90EAE" w:rsidRDefault="00665165" w:rsidP="00F90EAE">
      <w:pPr>
        <w:autoSpaceDE w:val="0"/>
        <w:autoSpaceDN w:val="0"/>
        <w:adjustRightInd w:val="0"/>
        <w:jc w:val="both"/>
        <w:rPr>
          <w:iCs/>
          <w:color w:val="000000" w:themeColor="text1"/>
          <w:sz w:val="16"/>
          <w:szCs w:val="16"/>
        </w:rPr>
      </w:pPr>
    </w:p>
    <w:p w14:paraId="5E85FE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апреле 1945 года генерал-фельдмаршалом решил длительный спор о патентном праве на авторство </w:t>
      </w:r>
      <w:r w:rsidRPr="00F90EAE">
        <w:rPr>
          <w:color w:val="000000" w:themeColor="text1"/>
          <w:sz w:val="16"/>
          <w:szCs w:val="16"/>
          <w:lang w:val="en-US"/>
        </w:rPr>
        <w:t>V</w:t>
      </w:r>
      <w:r w:rsidRPr="00F90EAE">
        <w:rPr>
          <w:color w:val="000000" w:themeColor="text1"/>
          <w:sz w:val="16"/>
          <w:szCs w:val="16"/>
        </w:rPr>
        <w:t>1. «Во время войны владельцем двигателя Пауля Шмидта стала двигателестроительная фирма «Аргус» в Берлине, и двигатель был установлен на «Фау-1». Впредь двигатель должен называться трубой Аргуса-Шмидта». После войны Пауль Шмидт руководит инженерной фирмой в Мюнхене. С точки зрения техники для его изобретения и сегодня есть дальнейшие возможности развития. Среди самых известных на сегодняшний день способов применения двигателя известны его использование в качестве двигателя крылатой ракеты, а также в качестве горелки для нагрева (11561).</w:t>
      </w:r>
    </w:p>
    <w:p w14:paraId="558BB54A" w14:textId="77777777" w:rsidR="00665165" w:rsidRPr="00F90EAE" w:rsidRDefault="00665165" w:rsidP="00F90EAE">
      <w:pPr>
        <w:autoSpaceDE w:val="0"/>
        <w:autoSpaceDN w:val="0"/>
        <w:adjustRightInd w:val="0"/>
        <w:jc w:val="both"/>
        <w:rPr>
          <w:color w:val="000000" w:themeColor="text1"/>
          <w:sz w:val="16"/>
          <w:szCs w:val="16"/>
        </w:rPr>
      </w:pPr>
    </w:p>
    <w:p w14:paraId="6BB6B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года, когда на территорию завода вступили американские войска производство «V-2» на заводе «Миттельверк» продолжалось. Всего на заводе было изготовлено 5940 ракет «V-2», причем иногда их ежемесячное производство достигало от 600 до 690 единиц. Еще 238 ракет было изготовлено в Пенемюнде. Вместе с 80 серийными ракетами производства завода «Миттельверк» они использовались для пробных запусков (11688).</w:t>
      </w:r>
    </w:p>
    <w:p w14:paraId="5C7EE459" w14:textId="77777777" w:rsidR="00FF11DB" w:rsidRPr="00F90EAE" w:rsidRDefault="00FF11DB" w:rsidP="00F90EAE">
      <w:pPr>
        <w:autoSpaceDE w:val="0"/>
        <w:autoSpaceDN w:val="0"/>
        <w:adjustRightInd w:val="0"/>
        <w:jc w:val="both"/>
        <w:rPr>
          <w:color w:val="000000" w:themeColor="text1"/>
          <w:sz w:val="16"/>
          <w:szCs w:val="16"/>
        </w:rPr>
      </w:pPr>
    </w:p>
    <w:p w14:paraId="0B0B2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1945-го появился опытный образец NC701 "Мартинет" - самолета Зибель, доработанного французскими конструкторами. На нем монтировались двигатели "Рено" 12S, являвшиеся местной копией As 411 ТА. Немецкие двухлопастные пропеллеры сменили на отечественные "Ратье" - трехлопастные. Французские винты внешне также отличались удлиненными гладкими коками (коки немецких винтов имели характерные ребра) (5741,13).</w:t>
      </w:r>
    </w:p>
    <w:p w14:paraId="45186AB4" w14:textId="77777777" w:rsidR="00665165" w:rsidRPr="00F90EAE" w:rsidRDefault="00665165" w:rsidP="00F90EAE">
      <w:pPr>
        <w:autoSpaceDE w:val="0"/>
        <w:autoSpaceDN w:val="0"/>
        <w:adjustRightInd w:val="0"/>
        <w:jc w:val="both"/>
        <w:rPr>
          <w:color w:val="000000" w:themeColor="text1"/>
          <w:sz w:val="16"/>
          <w:szCs w:val="16"/>
        </w:rPr>
      </w:pPr>
    </w:p>
    <w:p w14:paraId="54C24857" w14:textId="77777777" w:rsidR="00FF11DB" w:rsidRPr="00F90EAE" w:rsidRDefault="00FF11DB" w:rsidP="00F90EAE">
      <w:pPr>
        <w:jc w:val="both"/>
        <w:rPr>
          <w:color w:val="000000" w:themeColor="text1"/>
          <w:sz w:val="16"/>
          <w:szCs w:val="16"/>
        </w:rPr>
      </w:pPr>
      <w:r w:rsidRPr="00F90EAE">
        <w:rPr>
          <w:color w:val="000000" w:themeColor="text1"/>
          <w:sz w:val="16"/>
          <w:szCs w:val="16"/>
        </w:rPr>
        <w:t>В апреле 1945 10 "Hаттеров" А-серии были размещены у Кирхейма под Штудтгартом, для отражения налетов американских бомбардировщиков. Но вступить в бой детищу Бахема не дали танки союзников, которых дождались раньше бомбардировщиков. "Hаттеры" и их пусковые установки были уничтожены собственными расчетами (15139).</w:t>
      </w:r>
    </w:p>
    <w:p w14:paraId="3C5E205A" w14:textId="77777777" w:rsidR="00FF11DB" w:rsidRPr="00F90EAE" w:rsidRDefault="00FF11DB" w:rsidP="00F90EAE">
      <w:pPr>
        <w:jc w:val="both"/>
        <w:rPr>
          <w:color w:val="000000" w:themeColor="text1"/>
          <w:sz w:val="16"/>
          <w:szCs w:val="16"/>
        </w:rPr>
      </w:pPr>
    </w:p>
    <w:p w14:paraId="020BE202" w14:textId="77777777" w:rsidR="00FF11DB" w:rsidRPr="00F90EAE" w:rsidRDefault="00FF11DB" w:rsidP="00F90EAE">
      <w:pPr>
        <w:jc w:val="both"/>
        <w:rPr>
          <w:color w:val="000000" w:themeColor="text1"/>
          <w:sz w:val="16"/>
          <w:szCs w:val="16"/>
        </w:rPr>
      </w:pPr>
      <w:r w:rsidRPr="00F90EAE">
        <w:rPr>
          <w:color w:val="000000" w:themeColor="text1"/>
          <w:sz w:val="16"/>
          <w:szCs w:val="16"/>
        </w:rPr>
        <w:lastRenderedPageBreak/>
        <w:t>На апрель 1945 г в 40-й авиатранспортной эскадрилье были три вертолета Fa.223. Один из них к концу войны был разбит, а два других достались американцам. Fa.223 (#14) был перегнан в Англию немецким экипажем, став первым вертолетом, пересекшим Ла-Манш (15139).</w:t>
      </w:r>
    </w:p>
    <w:p w14:paraId="1CEA1AE1" w14:textId="77777777" w:rsidR="00FF11DB" w:rsidRPr="00F90EAE" w:rsidRDefault="00FF11DB" w:rsidP="00F90EAE">
      <w:pPr>
        <w:jc w:val="both"/>
        <w:rPr>
          <w:color w:val="000000" w:themeColor="text1"/>
          <w:sz w:val="16"/>
          <w:szCs w:val="16"/>
        </w:rPr>
      </w:pPr>
    </w:p>
    <w:p w14:paraId="4F14E8A3" w14:textId="77777777" w:rsidR="004F4C5F" w:rsidRPr="00F90EAE" w:rsidRDefault="004F4C5F" w:rsidP="00F90EAE">
      <w:pPr>
        <w:jc w:val="both"/>
        <w:rPr>
          <w:color w:val="0070C0"/>
          <w:sz w:val="16"/>
          <w:szCs w:val="16"/>
        </w:rPr>
      </w:pPr>
      <w:r w:rsidRPr="00F90EAE">
        <w:rPr>
          <w:color w:val="0070C0"/>
          <w:sz w:val="16"/>
          <w:szCs w:val="16"/>
        </w:rPr>
        <w:t>В апреле 1945 г. состоялся первый пуск ракеты «И-Го» Тип 1-а.</w:t>
      </w:r>
    </w:p>
    <w:p w14:paraId="702D8250" w14:textId="77777777" w:rsidR="004F4C5F" w:rsidRPr="00F90EAE" w:rsidRDefault="004F4C5F" w:rsidP="00F90EAE">
      <w:pPr>
        <w:jc w:val="both"/>
        <w:rPr>
          <w:color w:val="0070C0"/>
          <w:sz w:val="16"/>
          <w:szCs w:val="16"/>
        </w:rPr>
      </w:pPr>
      <w:r w:rsidRPr="00F90EAE">
        <w:rPr>
          <w:color w:val="0070C0"/>
          <w:sz w:val="16"/>
          <w:szCs w:val="16"/>
        </w:rPr>
        <w:t>Самолет-снаряд фирмы «Мицубиси» Ki 147 «И-Го» Тип 1-а (1-Ko). Он слегка напоминал немецкую ракету Hs 293A (о ней рассказывал предыдущий выпуск «Авиакаталога»), но в дополнительной гондоле, размещенной над основным корпусом, размещались только баки для горючего и окислителя, а сам жидкостный ракетный двигатель Мицубиси «Токуро» Тип 3 поставили горизонтально в основном корпусе, напоминавшем торпеду. Боеголовка была почти вдвое тяжелее немецкой — 800 кг против 500 при несколько большей дальности пуска, соответственно, и сам снаряд получился крупнее, чем Hs 293. Хотя снаряд заказало армейское командование, он предназначался для поражения крупных боевых кораблей. Радиокомандное наведение по методу трех точек было аналогично немецкому, но оператор, управляя полетом снаряда командами «выше — ниже» или «вправо — влево», не имел оптического прицела, аналогичного немецкому. После сброса с дистанции 11 км на высоте 1500 м, ракета за первые 6 км полета снижалась до высоты 30…150 м, где стабилизировалась и управлялась только по азимуту до момента, когда оператор переводил ее в пикирование</w:t>
      </w:r>
    </w:p>
    <w:p w14:paraId="1CED33BF" w14:textId="77777777" w:rsidR="004F4C5F" w:rsidRPr="00F90EAE" w:rsidRDefault="004F4C5F" w:rsidP="00F90EAE">
      <w:pPr>
        <w:jc w:val="both"/>
        <w:rPr>
          <w:color w:val="0070C0"/>
          <w:sz w:val="16"/>
          <w:szCs w:val="16"/>
        </w:rPr>
      </w:pPr>
      <w:r w:rsidRPr="00F90EAE">
        <w:rPr>
          <w:color w:val="0070C0"/>
          <w:sz w:val="16"/>
          <w:szCs w:val="16"/>
        </w:rPr>
        <w:t>Все системы были отработаны на стендах и функционировали без сбоев, но конструкторы не предусмотрели ни трассера, ни дымогенератора, лишь для ночных пусков на хвосте могла ставиться лампа. С расстояния свыше 5-7 км остроты зрения среднего человека без оптического визира не хватало для точного наведения ракеты «И-Го», и недолеты составляли до 300 м, а перелеты — сто. Ни одного прямого попадания в мишень достичь не удалось. Всего было построено 15 таких ракет опытной серии. Рассматривался вопрос использования с борта самолета Ki 67 предназначенных для средних бомбардировщиков снарядов меньшей размерности Ki 148 «И-Го» Тип 1-b (1-Otsu), которых успели построить 180 штук, но, кроме аналогичных проблем с наведением, они страдали дефектами электросистемы (22951).</w:t>
      </w:r>
    </w:p>
    <w:p w14:paraId="52E6E374" w14:textId="77777777" w:rsidR="004F4C5F" w:rsidRPr="00F90EAE" w:rsidRDefault="004F4C5F" w:rsidP="00F90EAE">
      <w:pPr>
        <w:jc w:val="both"/>
        <w:rPr>
          <w:color w:val="0070C0"/>
          <w:sz w:val="16"/>
          <w:szCs w:val="16"/>
        </w:rPr>
      </w:pPr>
    </w:p>
    <w:p w14:paraId="5C15ED66"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В апреле 1945 г. руководство британской разведслужбы МИ-5 решило провести тайную операцию по изучению переписки королевской семьи с их германскими родственниками. Так, английский король Георг VI и его мать королева Мария переписывались со своими немецкими родственниками, а королева частенько и подолгу гостила в замке Хессе, в 1945 г. вошедшем в американскую зону оккупации. И королевская семья опасалась, что переписка и другие документы, находившиеся в Хессе, могли попасть к американцам и впоследствии использоваться для шантажа. И ваг Георг VI дает главному книгохранителю библиотеки Виндзорского дворца Оуэну Моршеду и хранителю королевских картин Антони Бланту деликатное поручение — поехать в занятые американцами районы Западной Германии, в Коронберг. Замечу, что Антони Блант — близкий родственник королевы, майор британской разведки МИ-5, а по совместительству высокопоставленный сотрудник НКВД.</w:t>
      </w:r>
    </w:p>
    <w:p w14:paraId="504153B8"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В замке Хессе, принадлежавшем принцу Вольфгангу, хранилось несколько сот (!) документов, интересовавших британскую королевскую семью, как непосредственно ее переписка, так и иные компрометирующие документы. Блант и Моршед действовали быстро и оперативно — они подогнали грузовик к воротам замка, чтобы погрузить в него документы. Но тут вмешалась капитан из женского армейского корпуса США Кэтлин Нэш. Она запретила вывозить документы, сославшись на то, что они являются американской собственностью.</w:t>
      </w:r>
    </w:p>
    <w:p w14:paraId="7535A8BC"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Бланту удалось обмануть Кэтлин Нэш, а скорее всего, произошло полюбовное соглашение. Блант и Моршед забрали документы, а Кэтлин и другие американские офицеры присвоили драгоценности принца. На 3 млн. долларов в ценах 1945 года!</w:t>
      </w:r>
    </w:p>
    <w:p w14:paraId="26972DE8" w14:textId="77777777" w:rsidR="00FF11DB" w:rsidRPr="00F90EAE" w:rsidRDefault="00FF11DB" w:rsidP="00F90EAE">
      <w:pPr>
        <w:pStyle w:val="book"/>
        <w:ind w:firstLine="0"/>
        <w:jc w:val="both"/>
        <w:rPr>
          <w:color w:val="000000" w:themeColor="text1"/>
          <w:sz w:val="16"/>
          <w:szCs w:val="16"/>
        </w:rPr>
      </w:pPr>
      <w:r w:rsidRPr="00F90EAE">
        <w:rPr>
          <w:color w:val="000000" w:themeColor="text1"/>
          <w:sz w:val="16"/>
          <w:szCs w:val="16"/>
        </w:rPr>
        <w:t>Самое забавное, что принц Вольфганг не был ни военным преступником, ни видным нацистом. Он не был даже военным. Вся его вина состояла в том, что принц был богат и состоял в переписке со своей британской родней (15225).</w:t>
      </w:r>
    </w:p>
    <w:p w14:paraId="10C8EFA1" w14:textId="77777777" w:rsidR="00FF11DB" w:rsidRPr="00F90EAE" w:rsidRDefault="00FF11DB" w:rsidP="00F90EAE">
      <w:pPr>
        <w:pStyle w:val="book"/>
        <w:ind w:firstLine="0"/>
        <w:jc w:val="both"/>
        <w:rPr>
          <w:color w:val="000000" w:themeColor="text1"/>
          <w:sz w:val="16"/>
          <w:szCs w:val="16"/>
        </w:rPr>
      </w:pPr>
    </w:p>
    <w:p w14:paraId="079DBE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г. правительство Кайсо в Токио, не сумев найти политический выход из войны, ушло в отставку (3871).</w:t>
      </w:r>
    </w:p>
    <w:p w14:paraId="49B01A26" w14:textId="77777777" w:rsidR="00665165" w:rsidRPr="00F90EAE" w:rsidRDefault="00665165" w:rsidP="00F90EAE">
      <w:pPr>
        <w:autoSpaceDE w:val="0"/>
        <w:autoSpaceDN w:val="0"/>
        <w:adjustRightInd w:val="0"/>
        <w:jc w:val="both"/>
        <w:rPr>
          <w:color w:val="000000" w:themeColor="text1"/>
          <w:sz w:val="16"/>
          <w:szCs w:val="16"/>
        </w:rPr>
      </w:pPr>
    </w:p>
    <w:p w14:paraId="03E7F2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1945 в США прошли испытания вертолета Сикорского HOS-1, вооруженного сонаром (4082).</w:t>
      </w:r>
    </w:p>
    <w:p w14:paraId="745F671B" w14:textId="77777777" w:rsidR="00665165" w:rsidRPr="00F90EAE" w:rsidRDefault="00665165" w:rsidP="00F90EAE">
      <w:pPr>
        <w:autoSpaceDE w:val="0"/>
        <w:autoSpaceDN w:val="0"/>
        <w:adjustRightInd w:val="0"/>
        <w:jc w:val="both"/>
        <w:rPr>
          <w:color w:val="000000" w:themeColor="text1"/>
          <w:sz w:val="16"/>
          <w:szCs w:val="16"/>
        </w:rPr>
      </w:pPr>
    </w:p>
    <w:p w14:paraId="0B035E10" w14:textId="77777777" w:rsidR="000409C9" w:rsidRPr="00F90EAE" w:rsidRDefault="000409C9" w:rsidP="00F90EAE">
      <w:pPr>
        <w:jc w:val="both"/>
        <w:rPr>
          <w:color w:val="000000" w:themeColor="text1"/>
          <w:sz w:val="16"/>
          <w:szCs w:val="16"/>
        </w:rPr>
      </w:pPr>
      <w:r w:rsidRPr="00F90EAE">
        <w:rPr>
          <w:color w:val="000000" w:themeColor="text1"/>
          <w:sz w:val="16"/>
          <w:szCs w:val="16"/>
        </w:rPr>
        <w:t>В апреле 1945 по приказу генерала Гровза было вывезено 1200 т урановых окисей (почти весь немецкий запас) из соляных копей в Штасфурте, попадавших в советскую зону (19847).</w:t>
      </w:r>
    </w:p>
    <w:p w14:paraId="1B3C4AFB" w14:textId="77777777" w:rsidR="000409C9" w:rsidRPr="00F90EAE" w:rsidRDefault="000409C9" w:rsidP="00F90EAE">
      <w:pPr>
        <w:jc w:val="both"/>
        <w:rPr>
          <w:color w:val="000000" w:themeColor="text1"/>
          <w:sz w:val="16"/>
          <w:szCs w:val="16"/>
        </w:rPr>
      </w:pPr>
    </w:p>
    <w:p w14:paraId="731537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FFA66EC" w14:textId="77777777" w:rsidR="00665165" w:rsidRPr="00F90EAE" w:rsidRDefault="00665165" w:rsidP="00F90EAE">
      <w:pPr>
        <w:autoSpaceDE w:val="0"/>
        <w:autoSpaceDN w:val="0"/>
        <w:adjustRightInd w:val="0"/>
        <w:jc w:val="both"/>
        <w:rPr>
          <w:iCs/>
          <w:color w:val="000000" w:themeColor="text1"/>
          <w:sz w:val="16"/>
          <w:szCs w:val="16"/>
        </w:rPr>
      </w:pPr>
    </w:p>
    <w:p w14:paraId="144B27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апреля 1945 до середины 1946 заводы 292 и 31 делали серию Як-3П с 3 Б-20 (560,10) и получилось 596 (65,178).</w:t>
      </w:r>
    </w:p>
    <w:p w14:paraId="2240DD8C" w14:textId="77777777" w:rsidR="00665165" w:rsidRPr="00F90EAE" w:rsidRDefault="00665165" w:rsidP="00F90EAE">
      <w:pPr>
        <w:autoSpaceDE w:val="0"/>
        <w:autoSpaceDN w:val="0"/>
        <w:adjustRightInd w:val="0"/>
        <w:jc w:val="both"/>
        <w:rPr>
          <w:color w:val="000000" w:themeColor="text1"/>
          <w:sz w:val="16"/>
          <w:szCs w:val="16"/>
        </w:rPr>
      </w:pPr>
    </w:p>
    <w:p w14:paraId="2D8013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апреле-мае 1945 в НИИ ВВС в Чкаловском испытывали Пе-8 (ТБ-7) ОН N 42712 с АЧ-30Б и ВИШ-61В1. Был еще и 42612 (1103,143).</w:t>
      </w:r>
    </w:p>
    <w:p w14:paraId="2584BE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70976B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7C114D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3ED086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60B668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50C62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5D4E1A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184D4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688B85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B94C0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24A409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440D2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48A86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000931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BA971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2E6DF4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B3AFE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143AD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0C5973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B658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1460E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639F0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66124A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66BD7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0CCDBA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4B7620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DC4B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E273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9A73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 Акт разослать:</w:t>
      </w:r>
    </w:p>
    <w:p w14:paraId="50553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6FAB6C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1E60E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07DF7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22053D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3E1D46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042E74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053A4D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28BCAA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8DE3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2F9694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3ED0B3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678480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614E70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19417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7F5A5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F436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ED1C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510031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0F68E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46A47F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147AC90D" w14:textId="77777777">
        <w:tc>
          <w:tcPr>
            <w:tcW w:w="4219" w:type="dxa"/>
            <w:tcBorders>
              <w:top w:val="single" w:sz="12" w:space="0" w:color="auto"/>
            </w:tcBorders>
          </w:tcPr>
          <w:p w14:paraId="2FB788ED" w14:textId="77777777" w:rsidR="00665165" w:rsidRPr="00F90EAE" w:rsidRDefault="00665165"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2F0CBA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16494E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155261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0AD30683" w14:textId="77777777">
        <w:tc>
          <w:tcPr>
            <w:tcW w:w="4219" w:type="dxa"/>
          </w:tcPr>
          <w:p w14:paraId="457FB3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4F27E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48B204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705513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6B00A833" w14:textId="77777777">
        <w:tc>
          <w:tcPr>
            <w:tcW w:w="4219" w:type="dxa"/>
          </w:tcPr>
          <w:p w14:paraId="5CAD7B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065F0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05E7F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2FF87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2171FAF1" w14:textId="77777777">
        <w:tc>
          <w:tcPr>
            <w:tcW w:w="4219" w:type="dxa"/>
          </w:tcPr>
          <w:p w14:paraId="13419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56A994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42C5A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347902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60193966" w14:textId="77777777">
        <w:tc>
          <w:tcPr>
            <w:tcW w:w="4219" w:type="dxa"/>
          </w:tcPr>
          <w:p w14:paraId="2CB4B5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2BB37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1E8DF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46F5D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65085EE5" w14:textId="77777777">
        <w:tc>
          <w:tcPr>
            <w:tcW w:w="4219" w:type="dxa"/>
          </w:tcPr>
          <w:p w14:paraId="42BBE2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3CFCCA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48FEEE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771468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2015D01E" w14:textId="77777777">
        <w:tc>
          <w:tcPr>
            <w:tcW w:w="4219" w:type="dxa"/>
          </w:tcPr>
          <w:p w14:paraId="0D2D6B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227E4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6105AD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31E458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4B3616C3" w14:textId="77777777">
        <w:tc>
          <w:tcPr>
            <w:tcW w:w="4219" w:type="dxa"/>
          </w:tcPr>
          <w:p w14:paraId="7FDDD8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7CC6A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6C3710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177053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1A08F7AD" w14:textId="77777777">
        <w:tc>
          <w:tcPr>
            <w:tcW w:w="4219" w:type="dxa"/>
          </w:tcPr>
          <w:p w14:paraId="75141B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1F6602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27806E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050E8B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45EB15AB" w14:textId="77777777">
        <w:tc>
          <w:tcPr>
            <w:tcW w:w="4219" w:type="dxa"/>
          </w:tcPr>
          <w:p w14:paraId="65125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0BCAB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7AC3BE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42796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169A1EAB" w14:textId="77777777">
        <w:tc>
          <w:tcPr>
            <w:tcW w:w="4219" w:type="dxa"/>
          </w:tcPr>
          <w:p w14:paraId="66AB17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4CBA8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2ACA8C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37857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08D3365B" w14:textId="77777777">
        <w:tc>
          <w:tcPr>
            <w:tcW w:w="4219" w:type="dxa"/>
          </w:tcPr>
          <w:p w14:paraId="319755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15C24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58A94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7051A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1DF08203" w14:textId="77777777">
        <w:tc>
          <w:tcPr>
            <w:tcW w:w="4219" w:type="dxa"/>
          </w:tcPr>
          <w:p w14:paraId="29D8E8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015E12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10EA82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0FADE9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57D4D594" w14:textId="77777777">
        <w:tc>
          <w:tcPr>
            <w:tcW w:w="4219" w:type="dxa"/>
          </w:tcPr>
          <w:p w14:paraId="2EB85E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721F9F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422887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27D2AA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4E0B4755" w14:textId="77777777">
        <w:tc>
          <w:tcPr>
            <w:tcW w:w="4219" w:type="dxa"/>
          </w:tcPr>
          <w:p w14:paraId="1B126D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2D074B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0BDC3E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1B48AC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5082C0B0" w14:textId="77777777">
        <w:tc>
          <w:tcPr>
            <w:tcW w:w="4219" w:type="dxa"/>
          </w:tcPr>
          <w:p w14:paraId="21BC66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53A739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516485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18716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39AF6B92" w14:textId="77777777">
        <w:tc>
          <w:tcPr>
            <w:tcW w:w="4219" w:type="dxa"/>
          </w:tcPr>
          <w:p w14:paraId="4326F7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48FE5C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6128D3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76586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5E8F8600" w14:textId="77777777">
        <w:tc>
          <w:tcPr>
            <w:tcW w:w="4219" w:type="dxa"/>
          </w:tcPr>
          <w:p w14:paraId="19BE8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3DDD7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7465E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0559BC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4F553D52" w14:textId="77777777">
        <w:tc>
          <w:tcPr>
            <w:tcW w:w="4219" w:type="dxa"/>
            <w:tcBorders>
              <w:bottom w:val="single" w:sz="12" w:space="0" w:color="auto"/>
            </w:tcBorders>
          </w:tcPr>
          <w:p w14:paraId="43149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08891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0DC96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02ECB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141E40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67917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531A62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364A7D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Допустимая нагрузка при перегрузке: горючее - 5300, масло 200, всего 5500</w:t>
      </w:r>
    </w:p>
    <w:p w14:paraId="62BE2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0BB00ACF" w14:textId="77777777">
        <w:tc>
          <w:tcPr>
            <w:tcW w:w="675" w:type="dxa"/>
            <w:tcBorders>
              <w:top w:val="single" w:sz="12" w:space="0" w:color="auto"/>
            </w:tcBorders>
          </w:tcPr>
          <w:p w14:paraId="34B00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5FDDF6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614A73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00492A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11F554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0DAFE50E" w14:textId="77777777">
        <w:tc>
          <w:tcPr>
            <w:tcW w:w="675" w:type="dxa"/>
          </w:tcPr>
          <w:p w14:paraId="7B9B5A34" w14:textId="77777777" w:rsidR="00665165" w:rsidRPr="00F90EAE" w:rsidRDefault="00665165" w:rsidP="00F90EAE">
            <w:pPr>
              <w:autoSpaceDE w:val="0"/>
              <w:autoSpaceDN w:val="0"/>
              <w:adjustRightInd w:val="0"/>
              <w:jc w:val="both"/>
              <w:rPr>
                <w:color w:val="000000" w:themeColor="text1"/>
                <w:sz w:val="16"/>
                <w:szCs w:val="16"/>
              </w:rPr>
            </w:pPr>
          </w:p>
        </w:tc>
        <w:tc>
          <w:tcPr>
            <w:tcW w:w="993" w:type="dxa"/>
          </w:tcPr>
          <w:p w14:paraId="11E07955"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B9B61E8"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4307EBAE"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21E9495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DDCDBFC" w14:textId="77777777">
        <w:tc>
          <w:tcPr>
            <w:tcW w:w="675" w:type="dxa"/>
          </w:tcPr>
          <w:p w14:paraId="2FF2F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17219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7EE657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65A580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193C00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210BEB6D" w14:textId="77777777">
        <w:tc>
          <w:tcPr>
            <w:tcW w:w="675" w:type="dxa"/>
          </w:tcPr>
          <w:p w14:paraId="0CF013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712F0E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3544FD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2C50E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4CD1A0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604C10C3" w14:textId="77777777">
        <w:tc>
          <w:tcPr>
            <w:tcW w:w="675" w:type="dxa"/>
          </w:tcPr>
          <w:p w14:paraId="61536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58424D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029B4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18FEF4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07EE69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619C3669" w14:textId="77777777">
        <w:tc>
          <w:tcPr>
            <w:tcW w:w="675" w:type="dxa"/>
          </w:tcPr>
          <w:p w14:paraId="612BE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6B594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5A4F3C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CCA7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6DC961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5FFF70D8" w14:textId="77777777">
        <w:tc>
          <w:tcPr>
            <w:tcW w:w="675" w:type="dxa"/>
          </w:tcPr>
          <w:p w14:paraId="40E057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79899E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2FA279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72B9F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2F9AC8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185240F5" w14:textId="77777777">
        <w:tc>
          <w:tcPr>
            <w:tcW w:w="675" w:type="dxa"/>
          </w:tcPr>
          <w:p w14:paraId="6598F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38063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61EBD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F56B0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2BB34B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3BF687A8" w14:textId="77777777">
        <w:tc>
          <w:tcPr>
            <w:tcW w:w="675" w:type="dxa"/>
          </w:tcPr>
          <w:p w14:paraId="2692C2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67437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2275D1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1CE4D9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1278B6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7353FBB2" w14:textId="77777777">
        <w:tc>
          <w:tcPr>
            <w:tcW w:w="675" w:type="dxa"/>
          </w:tcPr>
          <w:p w14:paraId="7BBF1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6BDB4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5718B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69D37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70B88F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1D00140A" w14:textId="77777777">
        <w:tc>
          <w:tcPr>
            <w:tcW w:w="675" w:type="dxa"/>
            <w:tcBorders>
              <w:bottom w:val="single" w:sz="12" w:space="0" w:color="auto"/>
            </w:tcBorders>
          </w:tcPr>
          <w:p w14:paraId="77EBDB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2E41E6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313BD1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5ED61E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576371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270D79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705680E5" w14:textId="77777777">
        <w:tc>
          <w:tcPr>
            <w:tcW w:w="1868" w:type="dxa"/>
            <w:tcBorders>
              <w:top w:val="single" w:sz="12" w:space="0" w:color="auto"/>
            </w:tcBorders>
          </w:tcPr>
          <w:p w14:paraId="4B00FA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7F94CE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0AB516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601B6B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16EE6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53C4C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3E7A2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670A4F3A" w14:textId="77777777">
        <w:tc>
          <w:tcPr>
            <w:tcW w:w="1868" w:type="dxa"/>
          </w:tcPr>
          <w:p w14:paraId="419BC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10D40B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31DCC4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7D75AD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269E60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4EF7E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12E144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4FF2C1E8" w14:textId="77777777">
        <w:tc>
          <w:tcPr>
            <w:tcW w:w="1868" w:type="dxa"/>
          </w:tcPr>
          <w:p w14:paraId="118E5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1BCCA4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14BF7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10F9FD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6175C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F898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5AE64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43CBBC42" w14:textId="77777777">
        <w:tc>
          <w:tcPr>
            <w:tcW w:w="1868" w:type="dxa"/>
          </w:tcPr>
          <w:p w14:paraId="2F05BD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75" w:type="dxa"/>
          </w:tcPr>
          <w:p w14:paraId="0A4D01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473BD5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5D761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15A8FD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F221A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2A5CC3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1CC9F089" w14:textId="77777777">
        <w:tc>
          <w:tcPr>
            <w:tcW w:w="1868" w:type="dxa"/>
          </w:tcPr>
          <w:p w14:paraId="7A020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3AA70F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3608A2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045BF9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578B3C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3A2FD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6EE9D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0584FBD0" w14:textId="77777777">
        <w:tc>
          <w:tcPr>
            <w:tcW w:w="1868" w:type="dxa"/>
          </w:tcPr>
          <w:p w14:paraId="0A1D75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273A8F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0C9E2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2B3268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47D4FD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511919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4AE9C7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4615B1AF" w14:textId="77777777">
        <w:tc>
          <w:tcPr>
            <w:tcW w:w="1868" w:type="dxa"/>
          </w:tcPr>
          <w:p w14:paraId="59BD0A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4451EC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15FDC1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42F688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06EDC6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6AE9C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265280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368787F3" w14:textId="77777777">
        <w:tc>
          <w:tcPr>
            <w:tcW w:w="1868" w:type="dxa"/>
          </w:tcPr>
          <w:p w14:paraId="494E6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6000</w:t>
            </w:r>
          </w:p>
        </w:tc>
        <w:tc>
          <w:tcPr>
            <w:tcW w:w="1075" w:type="dxa"/>
          </w:tcPr>
          <w:p w14:paraId="603164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61EA8E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7E77D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566176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41AAE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3EB165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0D47C753" w14:textId="77777777">
        <w:tc>
          <w:tcPr>
            <w:tcW w:w="1868" w:type="dxa"/>
          </w:tcPr>
          <w:p w14:paraId="08773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6020D1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661B26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3A9F5E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0F04A1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3FB2E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4E682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1CF84526" w14:textId="77777777">
        <w:tc>
          <w:tcPr>
            <w:tcW w:w="1868" w:type="dxa"/>
            <w:tcBorders>
              <w:bottom w:val="single" w:sz="12" w:space="0" w:color="auto"/>
            </w:tcBorders>
          </w:tcPr>
          <w:p w14:paraId="15B660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109FA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56E118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1486F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18A866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0F6D36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6BD9C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7B818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3349D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336F3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4BD47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317036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38E1A3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435CE8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5E4F08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191840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5267AFE0" w14:textId="77777777" w:rsidR="00665165" w:rsidRPr="00F90EAE" w:rsidRDefault="00665165" w:rsidP="00F90EAE">
      <w:pPr>
        <w:autoSpaceDE w:val="0"/>
        <w:autoSpaceDN w:val="0"/>
        <w:adjustRightInd w:val="0"/>
        <w:jc w:val="both"/>
        <w:rPr>
          <w:color w:val="000000" w:themeColor="text1"/>
          <w:sz w:val="16"/>
          <w:szCs w:val="16"/>
        </w:rPr>
      </w:pPr>
    </w:p>
    <w:p w14:paraId="6ED2FF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 июле 1945 года ВК-107Р летал И-107 (Су-5). ВК-107Р выпускался серийно на заводе № 466 (с по</w:t>
      </w:r>
      <w:r w:rsidRPr="00F90EAE">
        <w:rPr>
          <w:color w:val="000000" w:themeColor="text1"/>
          <w:sz w:val="16"/>
          <w:szCs w:val="16"/>
        </w:rPr>
        <w:softHyphen/>
        <w:t>ставкой моторов ВК-107А с завода № 26) со второй половины 1945 г. для истребителей И-250 (11852).</w:t>
      </w:r>
    </w:p>
    <w:p w14:paraId="2F9D53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19C5F7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706EDA9" w14:textId="77777777" w:rsidR="00665165" w:rsidRPr="00F90EAE" w:rsidRDefault="00665165" w:rsidP="00F90EAE">
      <w:pPr>
        <w:autoSpaceDE w:val="0"/>
        <w:autoSpaceDN w:val="0"/>
        <w:adjustRightInd w:val="0"/>
        <w:jc w:val="both"/>
        <w:rPr>
          <w:iCs/>
          <w:color w:val="000000" w:themeColor="text1"/>
          <w:sz w:val="16"/>
          <w:szCs w:val="16"/>
        </w:rPr>
      </w:pPr>
    </w:p>
    <w:p w14:paraId="4FD844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апреле-мае 1945 г. состоялось подведение итогов эскизного проектирования и в результате анализа ро</w:t>
      </w:r>
      <w:r w:rsidRPr="00F90EAE">
        <w:rPr>
          <w:color w:val="000000" w:themeColor="text1"/>
          <w:sz w:val="16"/>
          <w:szCs w:val="16"/>
        </w:rPr>
        <w:softHyphen/>
        <w:t>дились требования к новой машине «объект 260», получив</w:t>
      </w:r>
      <w:r w:rsidRPr="00F90EAE">
        <w:rPr>
          <w:color w:val="000000" w:themeColor="text1"/>
          <w:sz w:val="16"/>
          <w:szCs w:val="16"/>
        </w:rPr>
        <w:softHyphen/>
        <w:t>шей вскоре индекс ИС-7. Рабочие чертежи машины были выполнены в крайне сжатые сроки, уже 9 сентября 1945 г. их подписал к сборке главный конструктор Ж. Котин. Новый танк отличался от других машин, разработан</w:t>
      </w:r>
      <w:r w:rsidRPr="00F90EAE">
        <w:rPr>
          <w:color w:val="000000" w:themeColor="text1"/>
          <w:sz w:val="16"/>
          <w:szCs w:val="16"/>
        </w:rPr>
        <w:softHyphen/>
        <w:t>ных кировцами в годы войны. Лобовая часть — трехгран</w:t>
      </w:r>
      <w:r w:rsidRPr="00F90EAE">
        <w:rPr>
          <w:color w:val="000000" w:themeColor="text1"/>
          <w:sz w:val="16"/>
          <w:szCs w:val="16"/>
        </w:rPr>
        <w:softHyphen/>
        <w:t>ная, по типу ИС-3. Л. Горлицкий считал, что корпус этого танка задумывался Ж. Котиным еще в 1944 г. и корпус тан</w:t>
      </w:r>
      <w:r w:rsidRPr="00F90EAE">
        <w:rPr>
          <w:color w:val="000000" w:themeColor="text1"/>
          <w:sz w:val="16"/>
          <w:szCs w:val="16"/>
        </w:rPr>
        <w:softHyphen/>
        <w:t>ка ИС-3 был получен из него, но с более тонкой броней.</w:t>
      </w:r>
    </w:p>
    <w:p w14:paraId="36C080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Силовая установка должна была состоять из двух дизе</w:t>
      </w:r>
      <w:r w:rsidRPr="00F90EAE">
        <w:rPr>
          <w:color w:val="000000" w:themeColor="text1"/>
          <w:sz w:val="16"/>
          <w:szCs w:val="16"/>
        </w:rPr>
        <w:softHyphen/>
        <w:t>лей В-11 или В-16 общей мощностью 1200 л.е. Электричес</w:t>
      </w:r>
      <w:r w:rsidRPr="00F90EAE">
        <w:rPr>
          <w:color w:val="000000" w:themeColor="text1"/>
          <w:sz w:val="16"/>
          <w:szCs w:val="16"/>
        </w:rPr>
        <w:softHyphen/>
        <w:t>кая трансмиссия была аналогична установленной УЗТМ на танке ИС-6. Топливные баки располагались в подмотор-ном фундаменте.</w:t>
      </w:r>
    </w:p>
    <w:p w14:paraId="121B3C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Артиллерийское вооружение ИС-7 сначала должно было состоять из 122-мм пушки большой мощности с нач. скорос тью бронебойного снаряда около 1000 м/с. Однако указанная пушка до конца года изготовлена не была и в начале 1946 г., по просьбе Ж. Котина, ЦАКБ спроектировало 130-мм пушку С-26 с баллистикой, близкой к морскому 130-мм орудию Б-13. Пулеметное вооружение предполагалось в виде трех пулеметов ДТМ и двух 14,5-мм пулеметов Владимирова обр. 1944 г. (КПВ). Несмотря на большую массу, достигав</w:t>
      </w:r>
      <w:r w:rsidRPr="00F90EAE">
        <w:rPr>
          <w:color w:val="000000" w:themeColor="text1"/>
          <w:sz w:val="16"/>
          <w:szCs w:val="16"/>
        </w:rPr>
        <w:softHyphen/>
        <w:t>шую 65 т, машина получилась очень компактной. Был пост</w:t>
      </w:r>
      <w:r w:rsidRPr="00F90EAE">
        <w:rPr>
          <w:color w:val="000000" w:themeColor="text1"/>
          <w:sz w:val="16"/>
          <w:szCs w:val="16"/>
        </w:rPr>
        <w:softHyphen/>
        <w:t>роен деревянный макет танка в натуральную величину. По результатам работы макетной комиссии в 1946 г. на</w:t>
      </w:r>
      <w:r w:rsidRPr="00F90EAE">
        <w:rPr>
          <w:color w:val="000000" w:themeColor="text1"/>
          <w:sz w:val="16"/>
          <w:szCs w:val="16"/>
        </w:rPr>
        <w:softHyphen/>
        <w:t>чалось проектирование другого варианта «объекта 260» (11135).</w:t>
      </w:r>
    </w:p>
    <w:p w14:paraId="39F955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D51EA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апреле - мае 1945 г. опытный образец Самоходной установки СУ-85Б (СУ-15Б), которая была разработана в КБ Горковского автозавода под руководством Н.А. Астрова в 1944 г. и явля</w:t>
      </w:r>
      <w:r w:rsidRPr="00F90EAE">
        <w:rPr>
          <w:color w:val="000000" w:themeColor="text1"/>
          <w:sz w:val="16"/>
          <w:szCs w:val="16"/>
        </w:rPr>
        <w:softHyphen/>
        <w:t>лась модернизированным вариантом СУ-85А, ус</w:t>
      </w:r>
      <w:r w:rsidRPr="00F90EAE">
        <w:rPr>
          <w:color w:val="000000" w:themeColor="text1"/>
          <w:sz w:val="16"/>
          <w:szCs w:val="16"/>
        </w:rPr>
        <w:softHyphen/>
        <w:t>пешно выдержал испытания на НИБТ полигоне и был рекомендован для принятия на вооружение. В связи с окончанием Великой Отечест</w:t>
      </w:r>
      <w:r w:rsidRPr="00F90EAE">
        <w:rPr>
          <w:color w:val="000000" w:themeColor="text1"/>
          <w:sz w:val="16"/>
          <w:szCs w:val="16"/>
        </w:rPr>
        <w:softHyphen/>
        <w:t>венной войны в серийном производстве СУ-85Б не состояла. Машина была создана на базе установки СУ-85А и отличалась от последней вооружением, броневой защитой и увеличенной мощностью силовой установки. Кроме того, была улучшена обзорность из броневой рубки. Экипаж состоял из четырех человек (10703).</w:t>
      </w:r>
    </w:p>
    <w:p w14:paraId="3A8E3E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13201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EC2E454" w14:textId="77777777" w:rsidR="00665165" w:rsidRPr="00F90EAE" w:rsidRDefault="00665165" w:rsidP="00F90EAE">
      <w:pPr>
        <w:autoSpaceDE w:val="0"/>
        <w:autoSpaceDN w:val="0"/>
        <w:adjustRightInd w:val="0"/>
        <w:jc w:val="both"/>
        <w:rPr>
          <w:iCs/>
          <w:color w:val="000000" w:themeColor="text1"/>
          <w:sz w:val="16"/>
          <w:szCs w:val="16"/>
        </w:rPr>
      </w:pPr>
    </w:p>
    <w:p w14:paraId="55BE39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Весь апрель-май 1945 года по АЛСИБу потоком шли С-47А, затем они начали перемежаться с B-25J. После капитуляции Германии американцы продолжали сдавать самолеты, включенные в так называемое "приложение III" - список поставок для Дальневосточного театра военных действий (3457,137).</w:t>
      </w:r>
    </w:p>
    <w:p w14:paraId="7DB33B5A" w14:textId="77777777" w:rsidR="00665165" w:rsidRPr="00F90EAE" w:rsidRDefault="00665165" w:rsidP="00F90EAE">
      <w:pPr>
        <w:autoSpaceDE w:val="0"/>
        <w:autoSpaceDN w:val="0"/>
        <w:adjustRightInd w:val="0"/>
        <w:jc w:val="both"/>
        <w:rPr>
          <w:color w:val="000000" w:themeColor="text1"/>
          <w:sz w:val="16"/>
          <w:szCs w:val="16"/>
        </w:rPr>
      </w:pPr>
    </w:p>
    <w:p w14:paraId="5FF8D711" w14:textId="77777777" w:rsidR="007C630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85F8C40" w14:textId="77777777" w:rsidR="007C630F" w:rsidRPr="00F90EAE" w:rsidRDefault="007C630F" w:rsidP="00F90EAE">
      <w:pPr>
        <w:autoSpaceDE w:val="0"/>
        <w:autoSpaceDN w:val="0"/>
        <w:adjustRightInd w:val="0"/>
        <w:jc w:val="both"/>
        <w:rPr>
          <w:iCs/>
          <w:color w:val="000000" w:themeColor="text1"/>
          <w:sz w:val="16"/>
          <w:szCs w:val="16"/>
        </w:rPr>
      </w:pPr>
    </w:p>
    <w:p w14:paraId="349474BA"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В апреле—мае 1945 г. музейные ценности из Германии вывозились по распоряжениям ГКО и Совнаркома СССР. Разрешения выдавало также Главное трофейное управление тыла Красной армии. Так, его начальник разрешил сотрудникам Малого театра самим отбирать для себя трофейные ценности. В числе их получателей были Музей изобразительного искусства имени Пушкина, Третьяковская галерея, Главное управление снабжения Комитета по делам искусств. С союзниками не согласовывалось ни одного разрешения (15225).</w:t>
      </w:r>
    </w:p>
    <w:p w14:paraId="3E4ED89D" w14:textId="77777777" w:rsidR="007C630F" w:rsidRPr="00F90EAE" w:rsidRDefault="007C630F" w:rsidP="00F90EAE">
      <w:pPr>
        <w:pStyle w:val="book"/>
        <w:ind w:firstLine="0"/>
        <w:jc w:val="both"/>
        <w:rPr>
          <w:color w:val="000000" w:themeColor="text1"/>
          <w:sz w:val="16"/>
          <w:szCs w:val="16"/>
        </w:rPr>
      </w:pPr>
    </w:p>
    <w:p w14:paraId="71D8DF1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7F37051" w14:textId="77777777" w:rsidR="00665165" w:rsidRPr="00F90EAE" w:rsidRDefault="00665165" w:rsidP="00F90EAE">
      <w:pPr>
        <w:autoSpaceDE w:val="0"/>
        <w:autoSpaceDN w:val="0"/>
        <w:adjustRightInd w:val="0"/>
        <w:jc w:val="both"/>
        <w:rPr>
          <w:iCs/>
          <w:color w:val="000000" w:themeColor="text1"/>
          <w:sz w:val="16"/>
          <w:szCs w:val="16"/>
        </w:rPr>
      </w:pPr>
    </w:p>
    <w:p w14:paraId="41288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апреле-июне 1945 г. американские силы начали операцию по захвату принадлежавшего Японии архипелага Рюкю со стратегически важным островом Окинава. Эта операция была нацелена на то, чтобы окончательно отсечь Японские острова от последнего доступного источника энергосырья - каменного угля из Северо-Восточного Китая. Положение Японии было критическим (3871).</w:t>
      </w:r>
    </w:p>
    <w:p w14:paraId="4B3958AD" w14:textId="77777777" w:rsidR="00665165" w:rsidRPr="00F90EAE" w:rsidRDefault="00665165" w:rsidP="00F90EAE">
      <w:pPr>
        <w:autoSpaceDE w:val="0"/>
        <w:autoSpaceDN w:val="0"/>
        <w:adjustRightInd w:val="0"/>
        <w:jc w:val="both"/>
        <w:rPr>
          <w:color w:val="000000" w:themeColor="text1"/>
          <w:sz w:val="16"/>
          <w:szCs w:val="16"/>
        </w:rPr>
      </w:pPr>
    </w:p>
    <w:p w14:paraId="720BBB1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7153DD1" w14:textId="77777777" w:rsidR="00665165" w:rsidRPr="00F90EAE" w:rsidRDefault="00665165" w:rsidP="00F90EAE">
      <w:pPr>
        <w:autoSpaceDE w:val="0"/>
        <w:autoSpaceDN w:val="0"/>
        <w:adjustRightInd w:val="0"/>
        <w:jc w:val="both"/>
        <w:rPr>
          <w:iCs/>
          <w:color w:val="000000" w:themeColor="text1"/>
          <w:sz w:val="16"/>
          <w:szCs w:val="16"/>
        </w:rPr>
      </w:pPr>
    </w:p>
    <w:p w14:paraId="14F15A7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маю 1945 и окон</w:t>
      </w:r>
      <w:r w:rsidRPr="00F90EAE">
        <w:rPr>
          <w:rFonts w:ascii="Times New Roman" w:hAnsi="Times New Roman" w:cs="Times New Roman"/>
          <w:color w:val="000000" w:themeColor="text1"/>
          <w:sz w:val="16"/>
          <w:szCs w:val="16"/>
        </w:rPr>
        <w:softHyphen/>
        <w:t>чанию войны сформировались два ос</w:t>
      </w:r>
      <w:r w:rsidRPr="00F90EAE">
        <w:rPr>
          <w:rFonts w:ascii="Times New Roman" w:hAnsi="Times New Roman" w:cs="Times New Roman"/>
          <w:color w:val="000000" w:themeColor="text1"/>
          <w:sz w:val="16"/>
          <w:szCs w:val="16"/>
        </w:rPr>
        <w:softHyphen/>
        <w:t>новных направления развития самолета штурмового типа ВВС КА: двухмоторный и одномоторный штурмовик.</w:t>
      </w:r>
    </w:p>
    <w:p w14:paraId="0A282B0D"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Двухмоторный бронированный штурмовик был представлен опытным самолетом Су-8 с двумя моторами воз</w:t>
      </w:r>
      <w:r w:rsidRPr="00F90EAE">
        <w:rPr>
          <w:rFonts w:ascii="Times New Roman" w:hAnsi="Times New Roman" w:cs="Times New Roman"/>
          <w:color w:val="000000" w:themeColor="text1"/>
          <w:sz w:val="16"/>
          <w:szCs w:val="16"/>
        </w:rPr>
        <w:softHyphen/>
        <w:t>душного охлаждения М-71ф, который с марта 1944 г. проходил заводские испы</w:t>
      </w:r>
      <w:r w:rsidRPr="00F90EAE">
        <w:rPr>
          <w:rFonts w:ascii="Times New Roman" w:hAnsi="Times New Roman" w:cs="Times New Roman"/>
          <w:color w:val="000000" w:themeColor="text1"/>
          <w:sz w:val="16"/>
          <w:szCs w:val="16"/>
        </w:rPr>
        <w:softHyphen/>
        <w:t>тания.</w:t>
      </w:r>
    </w:p>
    <w:p w14:paraId="42083E7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Самолет имел очень мощное воо</w:t>
      </w:r>
      <w:r w:rsidRPr="00F90EAE">
        <w:rPr>
          <w:rFonts w:ascii="Times New Roman" w:hAnsi="Times New Roman" w:cs="Times New Roman"/>
          <w:color w:val="000000" w:themeColor="text1"/>
          <w:sz w:val="16"/>
          <w:szCs w:val="16"/>
        </w:rPr>
        <w:softHyphen/>
        <w:t>ружение. В подфюзеляжной пушечной установке размещались четыре пушки НС-45 калибра 45 мм, в каждой консоли крыла - по четыре пулемета ШКАС, на верхней турели - пулемет УБТ и в люко</w:t>
      </w:r>
      <w:r w:rsidRPr="00F90EAE">
        <w:rPr>
          <w:rFonts w:ascii="Times New Roman" w:hAnsi="Times New Roman" w:cs="Times New Roman"/>
          <w:color w:val="000000" w:themeColor="text1"/>
          <w:sz w:val="16"/>
          <w:szCs w:val="16"/>
        </w:rPr>
        <w:softHyphen/>
        <w:t>вой оборонительной установке - пуле</w:t>
      </w:r>
      <w:r w:rsidRPr="00F90EAE">
        <w:rPr>
          <w:rFonts w:ascii="Times New Roman" w:hAnsi="Times New Roman" w:cs="Times New Roman"/>
          <w:color w:val="000000" w:themeColor="text1"/>
          <w:sz w:val="16"/>
          <w:szCs w:val="16"/>
        </w:rPr>
        <w:softHyphen/>
        <w:t>мет ШКАС. Ракетное вооружение сос</w:t>
      </w:r>
      <w:r w:rsidRPr="00F90EAE">
        <w:rPr>
          <w:rFonts w:ascii="Times New Roman" w:hAnsi="Times New Roman" w:cs="Times New Roman"/>
          <w:color w:val="000000" w:themeColor="text1"/>
          <w:sz w:val="16"/>
          <w:szCs w:val="16"/>
        </w:rPr>
        <w:softHyphen/>
        <w:t>тояло из шести ракетных орудий РО-82 или РО-132. В перегрузку допускалась установка 10 ракетных орудий. Вес нор</w:t>
      </w:r>
      <w:r w:rsidRPr="00F90EAE">
        <w:rPr>
          <w:rFonts w:ascii="Times New Roman" w:hAnsi="Times New Roman" w:cs="Times New Roman"/>
          <w:color w:val="000000" w:themeColor="text1"/>
          <w:sz w:val="16"/>
          <w:szCs w:val="16"/>
        </w:rPr>
        <w:softHyphen/>
        <w:t>мальной бомбовой нагрузки - 600 кг, в перегрузку - 1400 кг. Под фюзеляжем предусматривалась возможность под</w:t>
      </w:r>
      <w:r w:rsidRPr="00F90EAE">
        <w:rPr>
          <w:rFonts w:ascii="Times New Roman" w:hAnsi="Times New Roman" w:cs="Times New Roman"/>
          <w:color w:val="000000" w:themeColor="text1"/>
          <w:sz w:val="16"/>
          <w:szCs w:val="16"/>
        </w:rPr>
        <w:softHyphen/>
        <w:t>вески трех бомб калибра 250 кг, либо двух бомб калибра 500 кг.</w:t>
      </w:r>
    </w:p>
    <w:p w14:paraId="5150D2D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Схема бронирования обеспечива</w:t>
      </w:r>
      <w:r w:rsidRPr="00F90EAE">
        <w:rPr>
          <w:rFonts w:ascii="Times New Roman" w:hAnsi="Times New Roman" w:cs="Times New Roman"/>
          <w:color w:val="000000" w:themeColor="text1"/>
          <w:sz w:val="16"/>
          <w:szCs w:val="16"/>
        </w:rPr>
        <w:softHyphen/>
        <w:t>ла защиту от огня крупнокалиберных пулеметов: летчика, стрелка-радиста, моторов (не забронированы только ци</w:t>
      </w:r>
      <w:r w:rsidRPr="00F90EAE">
        <w:rPr>
          <w:rFonts w:ascii="Times New Roman" w:hAnsi="Times New Roman" w:cs="Times New Roman"/>
          <w:color w:val="000000" w:themeColor="text1"/>
          <w:sz w:val="16"/>
          <w:szCs w:val="16"/>
        </w:rPr>
        <w:softHyphen/>
        <w:t>линдры), крыльевых бензобаков, масло</w:t>
      </w:r>
      <w:r w:rsidRPr="00F90EAE">
        <w:rPr>
          <w:rFonts w:ascii="Times New Roman" w:hAnsi="Times New Roman" w:cs="Times New Roman"/>
          <w:color w:val="000000" w:themeColor="text1"/>
          <w:sz w:val="16"/>
          <w:szCs w:val="16"/>
        </w:rPr>
        <w:softHyphen/>
        <w:t>баков, маслорадиаторов и цилиндров винтов. Спереди летчика защищали бронестекла толщиной 64 мм. Общий вес брони на самолете достигал 1680 кг.</w:t>
      </w:r>
    </w:p>
    <w:p w14:paraId="24B54EC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нормальном полетном весе 12413 кг (600 кг бомб) максимальная скорость полета составляла у земли - 500 км/ч, на высоте 4600 м - 550 км/ч. Время подъема на высоту 4000 м - 7,26 мин. Дальность полета на высоте 1000 м (скорость 335 км/ч) - 1000 км (в перегрузку 1500 км).</w:t>
      </w:r>
    </w:p>
    <w:p w14:paraId="5A9B3B59"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Поскольку, постановлением ГОКО от 23 июля 1944 г. в массовое производст</w:t>
      </w:r>
      <w:r w:rsidRPr="00F90EAE">
        <w:rPr>
          <w:rFonts w:ascii="Times New Roman" w:hAnsi="Times New Roman" w:cs="Times New Roman"/>
          <w:color w:val="000000" w:themeColor="text1"/>
          <w:sz w:val="16"/>
          <w:szCs w:val="16"/>
        </w:rPr>
        <w:softHyphen/>
        <w:t>во был запущен одномоторный брони</w:t>
      </w:r>
      <w:r w:rsidRPr="00F90EAE">
        <w:rPr>
          <w:rFonts w:ascii="Times New Roman" w:hAnsi="Times New Roman" w:cs="Times New Roman"/>
          <w:color w:val="000000" w:themeColor="text1"/>
          <w:sz w:val="16"/>
          <w:szCs w:val="16"/>
        </w:rPr>
        <w:softHyphen/>
        <w:t>рованный штурмовик Ил-10 с мотором жидкостного охлаждения АМ-42, то воп</w:t>
      </w:r>
      <w:r w:rsidRPr="00F90EAE">
        <w:rPr>
          <w:rFonts w:ascii="Times New Roman" w:hAnsi="Times New Roman" w:cs="Times New Roman"/>
          <w:color w:val="000000" w:themeColor="text1"/>
          <w:sz w:val="16"/>
          <w:szCs w:val="16"/>
        </w:rPr>
        <w:softHyphen/>
        <w:t>рос об организации серийного выпуска мотора М-71 с повестки дня был снят.</w:t>
      </w:r>
    </w:p>
    <w:p w14:paraId="10409B21"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этой связи П.О. Сухой оперативно разрабатывал проект Су-8 под мотор АМ-42 практически без изменений в аэродинамической компоновке и конст</w:t>
      </w:r>
      <w:r w:rsidRPr="00F90EAE">
        <w:rPr>
          <w:rFonts w:ascii="Times New Roman" w:hAnsi="Times New Roman" w:cs="Times New Roman"/>
          <w:color w:val="000000" w:themeColor="text1"/>
          <w:sz w:val="16"/>
          <w:szCs w:val="16"/>
        </w:rPr>
        <w:softHyphen/>
        <w:t>рукции уже летавшего самолета.</w:t>
      </w:r>
    </w:p>
    <w:p w14:paraId="198BF3A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Полетный вес возрос до 12774 кг. По расчетам максимальная скорость у земли на номинальном режиме работы мотора составляла 485 км/ч, на высоте 2500 м - 525 км/ч. Время подъема на высоту 4000 м - 8,5 мин. Скоростная дальность полета на высоте 1000 м - 620 км. Правда, развития этот проект не получил.</w:t>
      </w:r>
    </w:p>
    <w:p w14:paraId="290EAC5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этому времени у руководства стра</w:t>
      </w:r>
      <w:r w:rsidRPr="00F90EAE">
        <w:rPr>
          <w:rFonts w:ascii="Times New Roman" w:hAnsi="Times New Roman" w:cs="Times New Roman"/>
          <w:color w:val="000000" w:themeColor="text1"/>
          <w:sz w:val="16"/>
          <w:szCs w:val="16"/>
        </w:rPr>
        <w:softHyphen/>
        <w:t>ны, ВВС и НКАП сложилось устойчивое мнение, что войну можно выиграть</w:t>
      </w:r>
      <w:r w:rsidRPr="00F90EAE">
        <w:rPr>
          <w:rStyle w:val="aff9"/>
          <w:rFonts w:ascii="Times New Roman" w:eastAsia="Calibri" w:hAnsi="Times New Roman" w:cs="Times New Roman"/>
          <w:b w:val="0"/>
          <w:color w:val="000000" w:themeColor="text1"/>
          <w:spacing w:val="0"/>
          <w:sz w:val="16"/>
          <w:szCs w:val="16"/>
        </w:rPr>
        <w:t xml:space="preserve"> и</w:t>
      </w:r>
      <w:r w:rsidRPr="00F90EAE">
        <w:rPr>
          <w:rFonts w:ascii="Times New Roman" w:hAnsi="Times New Roman" w:cs="Times New Roman"/>
          <w:color w:val="000000" w:themeColor="text1"/>
          <w:sz w:val="16"/>
          <w:szCs w:val="16"/>
        </w:rPr>
        <w:t xml:space="preserve"> без столь дорогой и сложной</w:t>
      </w:r>
      <w:r w:rsidRPr="00F90EAE">
        <w:rPr>
          <w:rStyle w:val="aff9"/>
          <w:rFonts w:ascii="Times New Roman" w:eastAsia="Calibri" w:hAnsi="Times New Roman" w:cs="Times New Roman"/>
          <w:b w:val="0"/>
          <w:color w:val="000000" w:themeColor="text1"/>
          <w:spacing w:val="0"/>
          <w:sz w:val="16"/>
          <w:szCs w:val="16"/>
        </w:rPr>
        <w:t xml:space="preserve"> машины как </w:t>
      </w:r>
      <w:r w:rsidRPr="00F90EAE">
        <w:rPr>
          <w:rFonts w:ascii="Times New Roman" w:hAnsi="Times New Roman" w:cs="Times New Roman"/>
          <w:color w:val="000000" w:themeColor="text1"/>
          <w:sz w:val="16"/>
          <w:szCs w:val="16"/>
        </w:rPr>
        <w:t>Су-8, пусть даже значительно</w:t>
      </w:r>
      <w:r w:rsidRPr="00F90EAE">
        <w:rPr>
          <w:rStyle w:val="aff9"/>
          <w:rFonts w:ascii="Times New Roman" w:eastAsia="Calibri" w:hAnsi="Times New Roman" w:cs="Times New Roman"/>
          <w:b w:val="0"/>
          <w:color w:val="000000" w:themeColor="text1"/>
          <w:spacing w:val="0"/>
          <w:sz w:val="16"/>
          <w:szCs w:val="16"/>
        </w:rPr>
        <w:t xml:space="preserve"> более эф</w:t>
      </w:r>
      <w:r w:rsidRPr="00F90EAE">
        <w:rPr>
          <w:rStyle w:val="aff9"/>
          <w:rFonts w:ascii="Times New Roman" w:eastAsia="Calibri" w:hAnsi="Times New Roman" w:cs="Times New Roman"/>
          <w:b w:val="0"/>
          <w:color w:val="000000" w:themeColor="text1"/>
          <w:spacing w:val="0"/>
          <w:sz w:val="16"/>
          <w:szCs w:val="16"/>
        </w:rPr>
        <w:softHyphen/>
      </w:r>
      <w:r w:rsidRPr="00F90EAE">
        <w:rPr>
          <w:rFonts w:ascii="Times New Roman" w:hAnsi="Times New Roman" w:cs="Times New Roman"/>
          <w:color w:val="000000" w:themeColor="text1"/>
          <w:sz w:val="16"/>
          <w:szCs w:val="16"/>
        </w:rPr>
        <w:t>фективной, чем более</w:t>
      </w:r>
      <w:r w:rsidRPr="00F90EAE">
        <w:rPr>
          <w:rStyle w:val="aff9"/>
          <w:rFonts w:ascii="Times New Roman" w:eastAsia="Calibri" w:hAnsi="Times New Roman" w:cs="Times New Roman"/>
          <w:b w:val="0"/>
          <w:color w:val="000000" w:themeColor="text1"/>
          <w:spacing w:val="0"/>
          <w:sz w:val="16"/>
          <w:szCs w:val="16"/>
        </w:rPr>
        <w:t xml:space="preserve"> дешевые в про</w:t>
      </w:r>
      <w:r w:rsidRPr="00F90EAE">
        <w:rPr>
          <w:rStyle w:val="aff9"/>
          <w:rFonts w:ascii="Times New Roman" w:eastAsia="Calibri" w:hAnsi="Times New Roman" w:cs="Times New Roman"/>
          <w:b w:val="0"/>
          <w:color w:val="000000" w:themeColor="text1"/>
          <w:spacing w:val="0"/>
          <w:sz w:val="16"/>
          <w:szCs w:val="16"/>
        </w:rPr>
        <w:softHyphen/>
      </w:r>
      <w:r w:rsidRPr="00F90EAE">
        <w:rPr>
          <w:rFonts w:ascii="Times New Roman" w:hAnsi="Times New Roman" w:cs="Times New Roman"/>
          <w:color w:val="000000" w:themeColor="text1"/>
          <w:sz w:val="16"/>
          <w:szCs w:val="16"/>
        </w:rPr>
        <w:t>изводстве одномоторные</w:t>
      </w:r>
      <w:r w:rsidRPr="00F90EAE">
        <w:rPr>
          <w:rStyle w:val="aff9"/>
          <w:rFonts w:ascii="Times New Roman" w:eastAsia="Calibri" w:hAnsi="Times New Roman" w:cs="Times New Roman"/>
          <w:b w:val="0"/>
          <w:color w:val="000000" w:themeColor="text1"/>
          <w:spacing w:val="0"/>
          <w:sz w:val="16"/>
          <w:szCs w:val="16"/>
        </w:rPr>
        <w:t xml:space="preserve"> штурмовики. </w:t>
      </w:r>
      <w:r w:rsidRPr="00F90EAE">
        <w:rPr>
          <w:rFonts w:ascii="Times New Roman" w:hAnsi="Times New Roman" w:cs="Times New Roman"/>
          <w:color w:val="000000" w:themeColor="text1"/>
          <w:sz w:val="16"/>
          <w:szCs w:val="16"/>
        </w:rPr>
        <w:t>К тому же Су-8 не мог бомбить</w:t>
      </w:r>
      <w:r w:rsidRPr="00F90EAE">
        <w:rPr>
          <w:rStyle w:val="aff9"/>
          <w:rFonts w:ascii="Times New Roman" w:eastAsia="Calibri" w:hAnsi="Times New Roman" w:cs="Times New Roman"/>
          <w:b w:val="0"/>
          <w:color w:val="000000" w:themeColor="text1"/>
          <w:spacing w:val="0"/>
          <w:sz w:val="16"/>
          <w:szCs w:val="16"/>
        </w:rPr>
        <w:t xml:space="preserve"> с пики</w:t>
      </w:r>
      <w:r w:rsidRPr="00F90EAE">
        <w:rPr>
          <w:rStyle w:val="aff9"/>
          <w:rFonts w:ascii="Times New Roman" w:eastAsia="Calibri" w:hAnsi="Times New Roman" w:cs="Times New Roman"/>
          <w:b w:val="0"/>
          <w:color w:val="000000" w:themeColor="text1"/>
          <w:spacing w:val="0"/>
          <w:sz w:val="16"/>
          <w:szCs w:val="16"/>
        </w:rPr>
        <w:softHyphen/>
      </w:r>
      <w:r w:rsidRPr="00F90EAE">
        <w:rPr>
          <w:rFonts w:ascii="Times New Roman" w:hAnsi="Times New Roman" w:cs="Times New Roman"/>
          <w:color w:val="000000" w:themeColor="text1"/>
          <w:sz w:val="16"/>
          <w:szCs w:val="16"/>
        </w:rPr>
        <w:t>рования под углами 50-60°.</w:t>
      </w:r>
      <w:r w:rsidRPr="00F90EAE">
        <w:rPr>
          <w:rStyle w:val="aff9"/>
          <w:rFonts w:ascii="Times New Roman" w:eastAsia="Calibri" w:hAnsi="Times New Roman" w:cs="Times New Roman"/>
          <w:b w:val="0"/>
          <w:color w:val="000000" w:themeColor="text1"/>
          <w:spacing w:val="0"/>
          <w:sz w:val="16"/>
          <w:szCs w:val="16"/>
        </w:rPr>
        <w:t xml:space="preserve"> Для этого</w:t>
      </w:r>
      <w:r w:rsidRPr="00F90EAE">
        <w:rPr>
          <w:rFonts w:ascii="Times New Roman" w:hAnsi="Times New Roman" w:cs="Times New Roman"/>
          <w:color w:val="000000" w:themeColor="text1"/>
          <w:sz w:val="16"/>
          <w:szCs w:val="16"/>
        </w:rPr>
        <w:t>требовалась кардинальная</w:t>
      </w:r>
      <w:r w:rsidRPr="00F90EAE">
        <w:rPr>
          <w:rStyle w:val="aff9"/>
          <w:rFonts w:ascii="Times New Roman" w:eastAsia="Calibri" w:hAnsi="Times New Roman" w:cs="Times New Roman"/>
          <w:b w:val="0"/>
          <w:color w:val="000000" w:themeColor="text1"/>
          <w:spacing w:val="0"/>
          <w:sz w:val="16"/>
          <w:szCs w:val="16"/>
        </w:rPr>
        <w:t xml:space="preserve"> переделка </w:t>
      </w:r>
      <w:r w:rsidRPr="00F90EAE">
        <w:rPr>
          <w:rFonts w:ascii="Times New Roman" w:hAnsi="Times New Roman" w:cs="Times New Roman"/>
          <w:color w:val="000000" w:themeColor="text1"/>
          <w:sz w:val="16"/>
          <w:szCs w:val="16"/>
        </w:rPr>
        <w:t>самолета. По этим причинам</w:t>
      </w:r>
      <w:r w:rsidRPr="00F90EAE">
        <w:rPr>
          <w:rStyle w:val="aff9"/>
          <w:rFonts w:ascii="Times New Roman" w:eastAsia="Calibri" w:hAnsi="Times New Roman" w:cs="Times New Roman"/>
          <w:b w:val="0"/>
          <w:color w:val="000000" w:themeColor="text1"/>
          <w:spacing w:val="0"/>
          <w:sz w:val="16"/>
          <w:szCs w:val="16"/>
        </w:rPr>
        <w:t xml:space="preserve"> интерес к </w:t>
      </w:r>
      <w:r w:rsidRPr="00F90EAE">
        <w:rPr>
          <w:rFonts w:ascii="Times New Roman" w:hAnsi="Times New Roman" w:cs="Times New Roman"/>
          <w:color w:val="000000" w:themeColor="text1"/>
          <w:sz w:val="16"/>
          <w:szCs w:val="16"/>
        </w:rPr>
        <w:t xml:space="preserve">Су-8 неуклонно снижался. </w:t>
      </w:r>
    </w:p>
    <w:p w14:paraId="32F5CC83"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Заводские испытания Су-8 про</w:t>
      </w:r>
      <w:r w:rsidRPr="00F90EAE">
        <w:rPr>
          <w:rFonts w:ascii="Times New Roman" w:hAnsi="Times New Roman" w:cs="Times New Roman"/>
          <w:color w:val="000000" w:themeColor="text1"/>
          <w:sz w:val="16"/>
          <w:szCs w:val="16"/>
        </w:rPr>
        <w:softHyphen/>
        <w:t>должались с небольшими перерывами до весны 1945 г. После окончания вой</w:t>
      </w:r>
      <w:r w:rsidRPr="00F90EAE">
        <w:rPr>
          <w:rFonts w:ascii="Times New Roman" w:hAnsi="Times New Roman" w:cs="Times New Roman"/>
          <w:color w:val="000000" w:themeColor="text1"/>
          <w:sz w:val="16"/>
          <w:szCs w:val="16"/>
        </w:rPr>
        <w:softHyphen/>
        <w:t>ны интерес к машине и вовсе исчез. Все работы по ней были прекращены.  На государственные испытания самолет не предъявлялся.</w:t>
      </w:r>
    </w:p>
    <w:p w14:paraId="1AB387B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Линия одномоторного штурмовика включала тяжелый штурмовик-бомбар</w:t>
      </w:r>
      <w:r w:rsidRPr="00F90EAE">
        <w:rPr>
          <w:rFonts w:ascii="Times New Roman" w:hAnsi="Times New Roman" w:cs="Times New Roman"/>
          <w:color w:val="000000" w:themeColor="text1"/>
          <w:sz w:val="16"/>
          <w:szCs w:val="16"/>
        </w:rPr>
        <w:softHyphen/>
        <w:t>дировщик и легкий маневренный штур</w:t>
      </w:r>
      <w:r w:rsidRPr="00F90EAE">
        <w:rPr>
          <w:rFonts w:ascii="Times New Roman" w:hAnsi="Times New Roman" w:cs="Times New Roman"/>
          <w:color w:val="000000" w:themeColor="text1"/>
          <w:sz w:val="16"/>
          <w:szCs w:val="16"/>
        </w:rPr>
        <w:softHyphen/>
        <w:t>мовик. В первом случае наращивалась броневая защита и усиливалось воору</w:t>
      </w:r>
      <w:r w:rsidRPr="00F90EAE">
        <w:rPr>
          <w:rFonts w:ascii="Times New Roman" w:hAnsi="Times New Roman" w:cs="Times New Roman"/>
          <w:color w:val="000000" w:themeColor="text1"/>
          <w:sz w:val="16"/>
          <w:szCs w:val="16"/>
        </w:rPr>
        <w:softHyphen/>
        <w:t>жение самолета, во втором - делался упор на улучшение летных данных, обес</w:t>
      </w:r>
      <w:r w:rsidRPr="00F90EAE">
        <w:rPr>
          <w:rFonts w:ascii="Times New Roman" w:hAnsi="Times New Roman" w:cs="Times New Roman"/>
          <w:color w:val="000000" w:themeColor="text1"/>
          <w:sz w:val="16"/>
          <w:szCs w:val="16"/>
        </w:rPr>
        <w:softHyphen/>
        <w:t>печивая повышение подвижности.</w:t>
      </w:r>
    </w:p>
    <w:p w14:paraId="746983C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Успех этого направления связывал</w:t>
      </w:r>
      <w:r w:rsidRPr="00F90EAE">
        <w:rPr>
          <w:rFonts w:ascii="Times New Roman" w:hAnsi="Times New Roman" w:cs="Times New Roman"/>
          <w:color w:val="000000" w:themeColor="text1"/>
          <w:sz w:val="16"/>
          <w:szCs w:val="16"/>
        </w:rPr>
        <w:softHyphen/>
        <w:t>ся с мотором М-43 (АМ-43), который представлял собой дальнейшее разви</w:t>
      </w:r>
      <w:r w:rsidRPr="00F90EAE">
        <w:rPr>
          <w:rFonts w:ascii="Times New Roman" w:hAnsi="Times New Roman" w:cs="Times New Roman"/>
          <w:color w:val="000000" w:themeColor="text1"/>
          <w:sz w:val="16"/>
          <w:szCs w:val="16"/>
        </w:rPr>
        <w:softHyphen/>
        <w:t>тие мотора АМ-42 и отличался от него односкоростным нагнетателем, блоком головок увеличенной жесткости, клапа</w:t>
      </w:r>
      <w:r w:rsidRPr="00F90EAE">
        <w:rPr>
          <w:rFonts w:ascii="Times New Roman" w:hAnsi="Times New Roman" w:cs="Times New Roman"/>
          <w:color w:val="000000" w:themeColor="text1"/>
          <w:sz w:val="16"/>
          <w:szCs w:val="16"/>
        </w:rPr>
        <w:softHyphen/>
        <w:t>нами большего диаметра, новыми вса</w:t>
      </w:r>
      <w:r w:rsidRPr="00F90EAE">
        <w:rPr>
          <w:rFonts w:ascii="Times New Roman" w:hAnsi="Times New Roman" w:cs="Times New Roman"/>
          <w:color w:val="000000" w:themeColor="text1"/>
          <w:sz w:val="16"/>
          <w:szCs w:val="16"/>
        </w:rPr>
        <w:softHyphen/>
        <w:t>сывающими патрубками и распредели</w:t>
      </w:r>
      <w:r w:rsidRPr="00F90EAE">
        <w:rPr>
          <w:rFonts w:ascii="Times New Roman" w:hAnsi="Times New Roman" w:cs="Times New Roman"/>
          <w:color w:val="000000" w:themeColor="text1"/>
          <w:sz w:val="16"/>
          <w:szCs w:val="16"/>
        </w:rPr>
        <w:softHyphen/>
        <w:t xml:space="preserve">тельными валами. Мотор </w:t>
      </w:r>
      <w:r w:rsidRPr="00F90EAE">
        <w:rPr>
          <w:rFonts w:ascii="Times New Roman" w:hAnsi="Times New Roman" w:cs="Times New Roman"/>
          <w:color w:val="000000" w:themeColor="text1"/>
          <w:sz w:val="16"/>
          <w:szCs w:val="16"/>
        </w:rPr>
        <w:lastRenderedPageBreak/>
        <w:t>форсировали по оборотам. В ходе доводки внедрили систему непосредственного впрыска топлива в цилиндры, поставили водо- воздушный радиатор за нагнетателем, изменили механизм газораспределе</w:t>
      </w:r>
      <w:r w:rsidRPr="00F90EAE">
        <w:rPr>
          <w:rFonts w:ascii="Times New Roman" w:hAnsi="Times New Roman" w:cs="Times New Roman"/>
          <w:color w:val="000000" w:themeColor="text1"/>
          <w:sz w:val="16"/>
          <w:szCs w:val="16"/>
        </w:rPr>
        <w:softHyphen/>
        <w:t>ния. Взлетная мощность М-43 достигла 2300 л.с. На границе высотности 2000 м мощность на номинальном режиме со</w:t>
      </w:r>
      <w:r w:rsidRPr="00F90EAE">
        <w:rPr>
          <w:rFonts w:ascii="Times New Roman" w:hAnsi="Times New Roman" w:cs="Times New Roman"/>
          <w:color w:val="000000" w:themeColor="text1"/>
          <w:sz w:val="16"/>
          <w:szCs w:val="16"/>
        </w:rPr>
        <w:softHyphen/>
        <w:t>ставила 2150 л.с., на боевом режиме - 2300 л.с. Расход топлива на режиме 0,75 номинальной мощности ожидался на уровне 230 гр/л.с.-ч.</w:t>
      </w:r>
    </w:p>
    <w:p w14:paraId="0EF1CB35"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Мотор разрабатывался по поста</w:t>
      </w:r>
      <w:r w:rsidRPr="00F90EAE">
        <w:rPr>
          <w:rFonts w:ascii="Times New Roman" w:hAnsi="Times New Roman" w:cs="Times New Roman"/>
          <w:color w:val="000000" w:themeColor="text1"/>
          <w:sz w:val="16"/>
          <w:szCs w:val="16"/>
        </w:rPr>
        <w:softHyphen/>
        <w:t>новлению ГОКО от 18 февраля 1943 г. Согласно заданию, завод №300 должен был не позже октября 1943 г. построить и предъявить на совместные 50-часовые испытания мотор М-43. Однако за</w:t>
      </w:r>
      <w:r w:rsidRPr="00F90EAE">
        <w:rPr>
          <w:rFonts w:ascii="Times New Roman" w:hAnsi="Times New Roman" w:cs="Times New Roman"/>
          <w:color w:val="000000" w:themeColor="text1"/>
          <w:sz w:val="16"/>
          <w:szCs w:val="16"/>
        </w:rPr>
        <w:softHyphen/>
        <w:t>вод №300 эту работу «завалил». В итоге постройку мотора передали СКБ завода №24, которым руководил М.Р Флисский (17469).</w:t>
      </w:r>
    </w:p>
    <w:p w14:paraId="6D0D563D"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3B265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маю 1945 года в "наземном" строю находилось 32 самолета Пе-8 (7685).</w:t>
      </w:r>
    </w:p>
    <w:p w14:paraId="5DFB7587" w14:textId="77777777" w:rsidR="00665165" w:rsidRPr="00F90EAE" w:rsidRDefault="00665165" w:rsidP="00F90EAE">
      <w:pPr>
        <w:autoSpaceDE w:val="0"/>
        <w:autoSpaceDN w:val="0"/>
        <w:adjustRightInd w:val="0"/>
        <w:jc w:val="both"/>
        <w:rPr>
          <w:color w:val="000000" w:themeColor="text1"/>
          <w:sz w:val="16"/>
          <w:szCs w:val="16"/>
        </w:rPr>
      </w:pPr>
    </w:p>
    <w:p w14:paraId="12D8A180"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К маю 1945 г. снаряды Троммсдорфа не вышли из стадии опытно-конструкторских работ. Сам же конструктор оказался в советской зоне оккупации Германии. Естественно, советские специалисты не прошли мимо таких уникальных снарядов. Снарядами Троммсфорда занялось КБ-4 института «Берлин». Руководителем этого КБ стал Н.А. Судаков, а ведущим конструктором — сам В. Троммсдорф. Перед КБ-4 ставилась задача закончить разработку технического проекта 283-мм активно-реактивного снаряда с прямоточным воздушно-реактивным двигателем (ПВРД), выпустить рабочие чертежи снаряда, чертежи моделей для стендовых испытаний и изготовить их, а также изготовить образцы снаряда и испытать их в период с октября 1946 г. по начало 1947 г. По штату в КБ-4 должно было быть 36 немецких и 21 советский специалист, фактически же в июле 1946 г. было 17 немцев во главе в Троммсдорфом и четыре советских специалиста. К середине августа прибавилось еще два советских специалиста. Понятно, что возможности КБ-4 для реализации такого сложного проекта были недостаточны. Поэтому в КБ-4 были выполнены лишь следующие работы:</w:t>
      </w:r>
    </w:p>
    <w:p w14:paraId="1BB85CBB"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 разработан технический проект снаряда с ПВРД;</w:t>
      </w:r>
    </w:p>
    <w:p w14:paraId="0ACA3260"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 разработаны чертежи моделей снаряда и изготовлены 3 модели для продувок в сверхзвуковом аэродинамическом канале.</w:t>
      </w:r>
    </w:p>
    <w:p w14:paraId="09FB4872"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К сожалению, снаряд Троммсдорфа так и не поступил на вооружение Советской армии. На мой взгляд, основных причин тут три. Первая — субъективная: гибель Троммсдорфа в авиационной катастрофе в 1946 г.; вторая — для изготовления таких снарядов требовались высокие технологии, а их в конце 1940-х годов в СССР не было; третья причина — смещение приоритетов советского руководства в сторону ядерного оружия, баллистических и зенитных управляемых ракет (15225).</w:t>
      </w:r>
    </w:p>
    <w:p w14:paraId="08170067" w14:textId="77777777" w:rsidR="007C630F" w:rsidRPr="00F90EAE" w:rsidRDefault="007C630F" w:rsidP="00F90EAE">
      <w:pPr>
        <w:pStyle w:val="book"/>
        <w:ind w:firstLine="0"/>
        <w:jc w:val="both"/>
        <w:rPr>
          <w:color w:val="000000" w:themeColor="text1"/>
          <w:sz w:val="16"/>
          <w:szCs w:val="16"/>
        </w:rPr>
      </w:pPr>
    </w:p>
    <w:p w14:paraId="757731BA"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К маю 1945 г. ракета «Вассерфаль» была готова к серийному производству. «Вассерфаль» («Водопад») была разработана в Пенемюнде под руководством Вернера фон Брауна и внешне ракета представляла собой в два раза уменьшенную копию баллистической ракеты ФАУ-2. «Вассерфаль» имела радиокомандную систему наведения с использованием двух РЛС. Одна РЛС следила за целью, а вторая отслеживала ЗУР. При этом обе отметки (от цели и от ракеты) выводились на одну электронно-лучевую трубку. Оператор с помощью ручки управления на так называемом «кнюппеле» старался совместить на экране отметки от цели и ЗУР. Сигналы от «кнюппеля» поступали в счетно-решающее устройство фирмы «Сименс», где вырабатывались необходимые команды, которые через передатчик по радиоканалу передавали на ракету. Пуск ракеты производился вертикально с особого пускового стола. В полете ракета управлялась с помощью газовых и аэродинамических рулей. Боевая часть ракеты «Вассерфаль» содержала от 100 до 150 кг взрывчатого вещества. Для ракеты было спроектировано четыре типа взрывателей (два радиовзрывателя, один инфракрасный и один оптический). В 1947 году рабочие чертежи ракеты Р-101, созданной на базе «Вассерфаль», были запущены в производство. В кооперацию по разработке ракеты Р-101 входили: НИИ-49 — работы по счетно-решающему прибору; НИИ-504 — неконтактные взрыватели; НИИ-885 МПСС — головной по системе управления и по радиоканалу управления; завод № 528 — самонаводящиеся головки; завод № 523 — газовые рули; НИИ-20 MB — по радиопеленгационному визированию; НИИ-627 — источники питания. В ноябре 1948 г. на полигон Капустин Яр была отправлена первая партия ракет Р-101 в количестве 12 штук с комплексом наземного оборудования, и еще две ракеты для огневых испытаний на передвижном огневом стенде. Ракеты были изготовлены из отечественных материалов, за исключением бортовых приборов управления, изготовленных в Германии. На ракетах стоял ЖРД C08.10L разработанный по немецкому образцу ЖРД для «Вассерфаль» в отделе № 8 Н.Л. Уманского. Первый этап испытаний в объеме 12 пусков Р-101 был проведен с 1 января по 1 марта 1949 г. При первом же пуске выявилась неустойчивость полета по крену (вращение). На дальнейших пусках наблюдались колебания ракеты по тангажу и крену. В основном все последующие пуски были посвящены устранению этих неполадок, но при этом дополнительно в программу экспериментальных пусков включались различные параметры. Ракеты запускались в разных комплектациях. В результате этих пусков были выявлены недостатки использования четырех рулей для компенсации крена. По результатам испытаний была произведена доработка и модернизация ракеты. К концу 1949 г. изготовили 18 ракет Р-101 со схемными и конструктивными изменениями. Летные испытания второго этапа начались в декабре 1949 г. и были закончены в январе 1950 г. Теперь ракета имела улучшенную аэродинамическую схему, а также ряд конструктивных улучшений в аппаратуре управления. В ходе второго этапа летных испытаний выяснилось, что изменения, внесенные в конструкцию ракеты, в основном устранили недостатки, имевшиеся при первом этапе летных испытаний. Был отмечен ряд значительных достижений в части устойчивого прохождения зоны звуковой скорости и управляемости ракеты. Но при этом обнаружился ряд новых существенных недостатков, которые не позволяли довести конструкцию ракеты до боевого образца. И вновь начались доработки ракеты. Были разработаны три новые модификации — Р-101А, Р-101Б и Р-101В. Разработка ракеты сильно затянулась. Из-за этого, а также в связи с началом работ по теме «Беркут» 17 августа 1951 г. работы над Р-101 были прекращены. Любопытно, что с 1947 г. в ЦКБ-17 был разработан проект вооружения зенитными ракетами «Вассерфаль» надводных кораблей советского флота. Так, было создано два варианта вооружения зенитными ракетами Р-101 (типа «Вассерфаль») эсминца проекта 41. В первом варианте на эсминце размещалась одна пусковая установка и 9 ракет, а во втором — две пусковые установки и 15 ракет. В обоих вариантах 130-мм артустановки демонтировались. Вариант установки Р-101 на крейсере проекта 68К предусматривал установку четырех пусковых установок и 43 ракет. Эти варианты не были реализованы в связи с прекращением работ над Р-101. Тем не менее работы над Р-101 не пропали даром. В 1951 г. в НИИ-88 был разработан эскизный проект малогабаритной и долго хранящейся в заправленном состоянии баллистической ракеты Р-11. В ракете Р-11 были использованы узлы и агрегаты от Р-101. Да и первые стрельбы Р-11 весной 1953 г. на полигоне Капустин Яр производились с помощью пускового оборудования от Р-101 (15225).</w:t>
      </w:r>
    </w:p>
    <w:p w14:paraId="78BBA341" w14:textId="77777777" w:rsidR="007C630F" w:rsidRPr="00F90EAE" w:rsidRDefault="007C630F" w:rsidP="00F90EAE">
      <w:pPr>
        <w:pStyle w:val="book"/>
        <w:ind w:firstLine="0"/>
        <w:jc w:val="both"/>
        <w:rPr>
          <w:color w:val="000000" w:themeColor="text1"/>
          <w:sz w:val="16"/>
          <w:szCs w:val="16"/>
        </w:rPr>
      </w:pPr>
    </w:p>
    <w:p w14:paraId="5172EA06" w14:textId="77777777" w:rsidR="00823A00"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088DA4C" w14:textId="77777777" w:rsidR="00823A00" w:rsidRPr="00F90EAE" w:rsidRDefault="00823A00" w:rsidP="00F90EAE">
      <w:pPr>
        <w:autoSpaceDE w:val="0"/>
        <w:autoSpaceDN w:val="0"/>
        <w:adjustRightInd w:val="0"/>
        <w:jc w:val="both"/>
        <w:rPr>
          <w:iCs/>
          <w:color w:val="000000" w:themeColor="text1"/>
          <w:sz w:val="16"/>
          <w:szCs w:val="16"/>
        </w:rPr>
      </w:pPr>
    </w:p>
    <w:p w14:paraId="5D2B6196"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К маю 1945 года был готов предварительный вариант нового тяжелого танка «объект 257», также получившего обозначение ИС-7 конструкторского бюро опытного завода № 100. Он был одобрен руководством наркомата танковой промышленности, и к сентябрю было подготовлено четыре эскизных проекта ИС-7 («объект 258», «объект 259», «объект 260» и «объект 261»), причем каждый в двух вариантах. Между собой они отличались массой (самый легкий 59,7 тонны, самый тяжелый -65,2), артиллерийским вооружением (122-мм пушка БЛ-13-1 или 130-мм С-26), экипажем (четыре или пять человек в зависимости от орудия), силовой установкой (дизель КЧ-30 в 1200 л.с. или спарка дизелей В-16 по 600 л.с. каждый) и трансмиссией (механическая или электромеханическая). По бронированию все машины имели одинаковые параметры (лоб корпуса 150 мм, борт 100 мм, корма 70 мм, лоб литой башни 240–350 мм, борт башни 185–240 мм).</w:t>
      </w:r>
    </w:p>
    <w:p w14:paraId="644B985F"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ходовой части предполагалось использование индивидуальной двухвальной торсионной подвески по схеме «торсион в трубе», гидроамортизаторов двухстороннего действия, опорных катков большого диаметра с внутренней амортизацией и гусеницы с резинометаллическим шарниром. Максимальная расчетная скорость должна была составлять 60 км/ч.</w:t>
      </w:r>
    </w:p>
    <w:p w14:paraId="43216F65"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Для более эффективного ведения огня все машины предполагалось оснастить оптическим дальномером и приборами ночного видения для командира танка и механика-водителя.</w:t>
      </w:r>
    </w:p>
    <w:p w14:paraId="74BB4B55"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целом предполагалось, что новая боевая машина воплотит в себе весь опыт, накопленный при конструировании, эксплуатации и боевом применении тяжелых танков в годы войны, а также все новые достижения в науке и оборонной промышленности.</w:t>
      </w:r>
    </w:p>
    <w:p w14:paraId="5045ED52"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октябре 1945 года проекты представили на рассмотрение технического совета наркомата танковой промышленности, а также Главного бронетанкового управления командования Бронетанковых и механизированных войск. Также в обсуждении вариантов нового тяжелого танка участвовали представители наркоматов вооружения и авиационной промышленности (последний разрабатывал двигатель для нового тяжелого танка).</w:t>
      </w:r>
    </w:p>
    <w:p w14:paraId="25AE3CEE"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целом представленные конструкторами опытного завода № 100 разработки получили одобрение. Но для изготовления опытных образцов требовалось получить «добро» в правительстве СССР. Поэтому по результатам рассмотрения проектов нового тяжелого танка была составлена пояснительная записка на имя Л. Берия</w:t>
      </w:r>
      <w:hyperlink r:id="rId107" w:anchor="n_5" w:history="1">
        <w:r w:rsidRPr="00F90EAE">
          <w:rPr>
            <w:rStyle w:val="a5"/>
            <w:color w:val="000000" w:themeColor="text1"/>
            <w:sz w:val="16"/>
            <w:szCs w:val="16"/>
          </w:rPr>
          <w:t>[5]</w:t>
        </w:r>
      </w:hyperlink>
      <w:r w:rsidRPr="00F90EAE">
        <w:rPr>
          <w:color w:val="000000" w:themeColor="text1"/>
          <w:sz w:val="16"/>
          <w:szCs w:val="16"/>
        </w:rPr>
        <w:t>, в которой говорилось:</w:t>
      </w:r>
    </w:p>
    <w:p w14:paraId="28643DA5"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«Конструкторское бюро тов. Котина разработало новый тяжелый танк, значительно превосходящий все существующие отечественные и зарубежные образцы. При весе в 65 тонн он вооружен 130-мм пушкой конструкции ЦАКБ НКВ, бронебойный снаряд которой при массе 34 кг имеет начальную скорость 900 м/с. Эта пушка по дульной энергии (1380 тонно-метров) в 1,9 раза превосходит 122-мм танковую пушку Д-25Т, и обеспечивает пробитие брони толщиной в 230 мм на дистанции 1000 м.</w:t>
      </w:r>
    </w:p>
    <w:p w14:paraId="289DABD9"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Для облегчения заряжания орудия предусмотрен специальный механизм, что обеспечивает скорострельность до 6–8 выстрелов в минуту…</w:t>
      </w:r>
    </w:p>
    <w:p w14:paraId="43D6738E"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Для повышения эффективности огня предполагается установить угломер, а также приборы ночного видения.</w:t>
      </w:r>
    </w:p>
    <w:p w14:paraId="151BF29E"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Лобовая броня танка не пробивается 128-мм бронебойными снарядами с любой дистанции при курсовых углах в 30 градусов, а также выдерживает попадание кумулятивных гранат типа «Фаустпатрон» калибра 150 мм…</w:t>
      </w:r>
    </w:p>
    <w:p w14:paraId="6C375DAE"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В качестве силовой установки используется агрегат из двух дизельных двигателей В-16 общей мощностью 1200 л.с., который в ближайшем будущем будет заменен дизелем такой же мощности. Это позволит танку иметь максимальную скорость не менее 60 км/ч».</w:t>
      </w:r>
    </w:p>
    <w:p w14:paraId="2311C497"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lastRenderedPageBreak/>
        <w:t>В конце документа предлагалось поручить Кировскому заводу в Ленинграде изготовить в 1946 году два образца нового тяжелого танка и провести их испытания. Кроме того, видимо по инициативе В. Малышева в этой же записке предлагалось перевести из Челябинска в Ленинград главного конструктора опытного завода № 100 Ж. Котина и ряд инженеров его КБ. Однако решение по данному документу последовало только в новом, 1946 году.</w:t>
      </w:r>
    </w:p>
    <w:p w14:paraId="7BAF8960" w14:textId="77777777" w:rsidR="00092917" w:rsidRPr="00F90EAE" w:rsidRDefault="00092917" w:rsidP="00F90EAE">
      <w:pPr>
        <w:pStyle w:val="ae"/>
        <w:spacing w:before="0" w:after="0"/>
        <w:jc w:val="both"/>
        <w:rPr>
          <w:color w:val="000000" w:themeColor="text1"/>
          <w:sz w:val="16"/>
          <w:szCs w:val="16"/>
        </w:rPr>
      </w:pPr>
      <w:r w:rsidRPr="00F90EAE">
        <w:rPr>
          <w:color w:val="000000" w:themeColor="text1"/>
          <w:sz w:val="16"/>
          <w:szCs w:val="16"/>
        </w:rPr>
        <w:t>Несмотря на это до конца 1945 года конструкторы опытного завода № 100 провели ряд опытных работ, необходимых для дальнейшей разработки нового тяжелого танка. Например, совместно с ЦАКБ наркомата вооружения изучили возможности установки 122 и 130-мм артсистем с механизмом заряжания, а с НИИ-48 отработали вариант броневого корпуса и способы крепления броневых листов (17434).</w:t>
      </w:r>
    </w:p>
    <w:p w14:paraId="183634BE" w14:textId="77777777" w:rsidR="00092917" w:rsidRPr="00F90EAE" w:rsidRDefault="00092917" w:rsidP="00F90EAE">
      <w:pPr>
        <w:pStyle w:val="ae"/>
        <w:spacing w:before="0" w:after="0"/>
        <w:jc w:val="both"/>
        <w:rPr>
          <w:color w:val="000000" w:themeColor="text1"/>
          <w:sz w:val="16"/>
          <w:szCs w:val="16"/>
        </w:rPr>
      </w:pPr>
    </w:p>
    <w:p w14:paraId="72922314" w14:textId="77777777" w:rsidR="00823A00" w:rsidRPr="00F90EAE" w:rsidRDefault="00823A00" w:rsidP="00F90EAE">
      <w:pPr>
        <w:jc w:val="both"/>
        <w:rPr>
          <w:color w:val="000000" w:themeColor="text1"/>
          <w:sz w:val="16"/>
          <w:szCs w:val="16"/>
        </w:rPr>
      </w:pPr>
      <w:r w:rsidRPr="00F90EAE">
        <w:rPr>
          <w:color w:val="000000" w:themeColor="text1"/>
          <w:sz w:val="16"/>
          <w:szCs w:val="16"/>
        </w:rPr>
        <w:t>К маю 1945 за период Великой Отечественной войны завод № 174 ввел в производство целый ряд конструктивных изменений и улучшений танка Т-34 как по приказам головного завода № 183, так и по собственной инициативе. Наиболее существенными из них были следующие:</w:t>
      </w:r>
    </w:p>
    <w:p w14:paraId="6B58B019" w14:textId="77777777" w:rsidR="00823A00" w:rsidRPr="00F90EAE" w:rsidRDefault="00823A00" w:rsidP="00F90EAE">
      <w:pPr>
        <w:jc w:val="both"/>
        <w:rPr>
          <w:color w:val="000000" w:themeColor="text1"/>
          <w:sz w:val="16"/>
          <w:szCs w:val="16"/>
        </w:rPr>
      </w:pPr>
      <w:r w:rsidRPr="00F90EAE">
        <w:rPr>
          <w:color w:val="000000" w:themeColor="text1"/>
          <w:sz w:val="16"/>
          <w:szCs w:val="16"/>
        </w:rPr>
        <w:t>«1. Введен маслоперепускной кран, позволяющий производить разжижение масла газойлем, чем улучшились условия эксплуатации в зимнее время.</w:t>
      </w:r>
    </w:p>
    <w:p w14:paraId="44689669" w14:textId="77777777" w:rsidR="00823A00" w:rsidRPr="00F90EAE" w:rsidRDefault="00823A00" w:rsidP="00F90EAE">
      <w:pPr>
        <w:jc w:val="both"/>
        <w:rPr>
          <w:color w:val="000000" w:themeColor="text1"/>
          <w:sz w:val="16"/>
          <w:szCs w:val="16"/>
        </w:rPr>
      </w:pPr>
      <w:r w:rsidRPr="00F90EAE">
        <w:rPr>
          <w:color w:val="000000" w:themeColor="text1"/>
          <w:sz w:val="16"/>
          <w:szCs w:val="16"/>
        </w:rPr>
        <w:t>2. В 1943 году завод ввел в производство пятискоростную короб- Разборкатанков Т-34, прибывших для ремонта на завод № 180. Саратов, 1943год (РГАЭ).</w:t>
      </w:r>
    </w:p>
    <w:p w14:paraId="7B5F0033" w14:textId="77777777" w:rsidR="00823A00" w:rsidRPr="00F90EAE" w:rsidRDefault="00823A00" w:rsidP="00F90EAE">
      <w:pPr>
        <w:jc w:val="both"/>
        <w:rPr>
          <w:color w:val="000000" w:themeColor="text1"/>
          <w:sz w:val="16"/>
          <w:szCs w:val="16"/>
        </w:rPr>
      </w:pPr>
      <w:r w:rsidRPr="00F90EAE">
        <w:rPr>
          <w:color w:val="000000" w:themeColor="text1"/>
          <w:sz w:val="16"/>
          <w:szCs w:val="16"/>
        </w:rPr>
        <w:t>ку перемены передач, облегчающую переключение скоростей и увеличивающую, по сравнению с 4-х скоростной КПП, среднюю скорость движения. По узлу 5-ти скоростной КПП завод № 174 с 1944 г. является головным заводом.</w:t>
      </w:r>
    </w:p>
    <w:p w14:paraId="06979E5D" w14:textId="77777777" w:rsidR="00823A00" w:rsidRPr="00F90EAE" w:rsidRDefault="00823A00" w:rsidP="00F90EAE">
      <w:pPr>
        <w:jc w:val="both"/>
        <w:rPr>
          <w:color w:val="000000" w:themeColor="text1"/>
          <w:sz w:val="16"/>
          <w:szCs w:val="16"/>
        </w:rPr>
      </w:pPr>
      <w:r w:rsidRPr="00F90EAE">
        <w:rPr>
          <w:color w:val="000000" w:themeColor="text1"/>
          <w:sz w:val="16"/>
          <w:szCs w:val="16"/>
        </w:rPr>
        <w:t>3. Введен усиленный кривошип ленивца, устраняющий случаи изгиба кривошипа ленивца.</w:t>
      </w:r>
    </w:p>
    <w:p w14:paraId="01A316C1" w14:textId="77777777" w:rsidR="00823A00" w:rsidRPr="00F90EAE" w:rsidRDefault="00823A00" w:rsidP="00F90EAE">
      <w:pPr>
        <w:jc w:val="both"/>
        <w:rPr>
          <w:color w:val="000000" w:themeColor="text1"/>
          <w:sz w:val="16"/>
          <w:szCs w:val="16"/>
        </w:rPr>
      </w:pPr>
      <w:r w:rsidRPr="00F90EAE">
        <w:rPr>
          <w:color w:val="000000" w:themeColor="text1"/>
          <w:sz w:val="16"/>
          <w:szCs w:val="16"/>
        </w:rPr>
        <w:t>4. Для вентиляции боевого отделения введена установка вентилятора в башне.</w:t>
      </w:r>
    </w:p>
    <w:p w14:paraId="68AC89BB" w14:textId="77777777" w:rsidR="00823A00" w:rsidRPr="00F90EAE" w:rsidRDefault="00823A00" w:rsidP="00F90EAE">
      <w:pPr>
        <w:jc w:val="both"/>
        <w:rPr>
          <w:color w:val="000000" w:themeColor="text1"/>
          <w:sz w:val="16"/>
          <w:szCs w:val="16"/>
        </w:rPr>
      </w:pPr>
      <w:r w:rsidRPr="00F90EAE">
        <w:rPr>
          <w:color w:val="000000" w:themeColor="text1"/>
          <w:sz w:val="16"/>
          <w:szCs w:val="16"/>
        </w:rPr>
        <w:t>5. Для устранения перегрева масла в 1943 г. введен масляный радиатор.</w:t>
      </w:r>
    </w:p>
    <w:p w14:paraId="3E2CBDCD" w14:textId="77777777" w:rsidR="00823A00" w:rsidRPr="00F90EAE" w:rsidRDefault="00823A00" w:rsidP="00F90EAE">
      <w:pPr>
        <w:jc w:val="both"/>
        <w:rPr>
          <w:color w:val="000000" w:themeColor="text1"/>
          <w:sz w:val="16"/>
          <w:szCs w:val="16"/>
        </w:rPr>
      </w:pPr>
      <w:r w:rsidRPr="00F90EAE">
        <w:rPr>
          <w:color w:val="000000" w:themeColor="text1"/>
          <w:sz w:val="16"/>
          <w:szCs w:val="16"/>
        </w:rPr>
        <w:t>6. Введен увеличенный бункер воздухоочистителя, увеличивающий период между чистками бункера.</w:t>
      </w:r>
    </w:p>
    <w:p w14:paraId="557A31DF" w14:textId="77777777" w:rsidR="00823A00" w:rsidRPr="00F90EAE" w:rsidRDefault="00823A00" w:rsidP="00F90EAE">
      <w:pPr>
        <w:jc w:val="both"/>
        <w:rPr>
          <w:color w:val="000000" w:themeColor="text1"/>
          <w:sz w:val="16"/>
          <w:szCs w:val="16"/>
        </w:rPr>
      </w:pPr>
      <w:r w:rsidRPr="00F90EAE">
        <w:rPr>
          <w:color w:val="000000" w:themeColor="text1"/>
          <w:sz w:val="16"/>
          <w:szCs w:val="16"/>
        </w:rPr>
        <w:t>7. По инициативе завода проведен целый ряд мероприятий, устранивший течи масла по различным узлам машины.</w:t>
      </w:r>
    </w:p>
    <w:p w14:paraId="4BD80E07" w14:textId="77777777" w:rsidR="00823A00" w:rsidRPr="00F90EAE" w:rsidRDefault="00823A00" w:rsidP="00F90EAE">
      <w:pPr>
        <w:jc w:val="both"/>
        <w:rPr>
          <w:color w:val="000000" w:themeColor="text1"/>
          <w:sz w:val="16"/>
          <w:szCs w:val="16"/>
        </w:rPr>
      </w:pPr>
      <w:r w:rsidRPr="00F90EAE">
        <w:rPr>
          <w:color w:val="000000" w:themeColor="text1"/>
          <w:sz w:val="16"/>
          <w:szCs w:val="16"/>
        </w:rPr>
        <w:t>8. Введена усиленная струна бортовой передачи, устранившая имевшие место дефекты.</w:t>
      </w:r>
    </w:p>
    <w:p w14:paraId="3A9F1077" w14:textId="77777777" w:rsidR="00823A00" w:rsidRPr="00F90EAE" w:rsidRDefault="00823A00" w:rsidP="00F90EAE">
      <w:pPr>
        <w:jc w:val="both"/>
        <w:rPr>
          <w:color w:val="000000" w:themeColor="text1"/>
          <w:sz w:val="16"/>
          <w:szCs w:val="16"/>
        </w:rPr>
      </w:pPr>
      <w:r w:rsidRPr="00F90EAE">
        <w:rPr>
          <w:color w:val="000000" w:themeColor="text1"/>
          <w:sz w:val="16"/>
          <w:szCs w:val="16"/>
        </w:rPr>
        <w:t>9. В 1943 г. заводом начат выпуск танков с установкой улучшенного огнемета АТО-42 (ТО-43).</w:t>
      </w:r>
    </w:p>
    <w:p w14:paraId="03476A9E" w14:textId="77777777" w:rsidR="00823A00" w:rsidRPr="00F90EAE" w:rsidRDefault="00823A00" w:rsidP="00F90EAE">
      <w:pPr>
        <w:jc w:val="both"/>
        <w:rPr>
          <w:color w:val="000000" w:themeColor="text1"/>
          <w:sz w:val="16"/>
          <w:szCs w:val="16"/>
        </w:rPr>
      </w:pPr>
      <w:r w:rsidRPr="00F90EAE">
        <w:rPr>
          <w:color w:val="000000" w:themeColor="text1"/>
          <w:sz w:val="16"/>
          <w:szCs w:val="16"/>
        </w:rPr>
        <w:t>10. Для обеспечения кругового обзора из башни введена установка смотрового прибора МК-1У.</w:t>
      </w:r>
    </w:p>
    <w:p w14:paraId="65D1EA84" w14:textId="77777777" w:rsidR="00823A00" w:rsidRPr="00F90EAE" w:rsidRDefault="00823A00" w:rsidP="00F90EAE">
      <w:pPr>
        <w:jc w:val="both"/>
        <w:rPr>
          <w:color w:val="000000" w:themeColor="text1"/>
          <w:sz w:val="16"/>
          <w:szCs w:val="16"/>
        </w:rPr>
      </w:pPr>
      <w:r w:rsidRPr="00F90EAE">
        <w:rPr>
          <w:color w:val="000000" w:themeColor="text1"/>
          <w:sz w:val="16"/>
          <w:szCs w:val="16"/>
        </w:rPr>
        <w:t>11. Введена установка дымовых шашек МДШ.</w:t>
      </w:r>
    </w:p>
    <w:p w14:paraId="411EAFDC" w14:textId="77777777" w:rsidR="00823A00" w:rsidRPr="00F90EAE" w:rsidRDefault="00823A00" w:rsidP="00F90EAE">
      <w:pPr>
        <w:jc w:val="both"/>
        <w:rPr>
          <w:color w:val="000000" w:themeColor="text1"/>
          <w:sz w:val="16"/>
          <w:szCs w:val="16"/>
        </w:rPr>
      </w:pPr>
      <w:r w:rsidRPr="00F90EAE">
        <w:rPr>
          <w:color w:val="000000" w:themeColor="text1"/>
          <w:sz w:val="16"/>
          <w:szCs w:val="16"/>
        </w:rPr>
        <w:t>12. Введены в корпусе башни лючки для стрельбы из ручного оружия.</w:t>
      </w:r>
    </w:p>
    <w:p w14:paraId="514D5699" w14:textId="77777777" w:rsidR="00823A00" w:rsidRPr="00F90EAE" w:rsidRDefault="00823A00" w:rsidP="00F90EAE">
      <w:pPr>
        <w:jc w:val="both"/>
        <w:rPr>
          <w:color w:val="000000" w:themeColor="text1"/>
          <w:sz w:val="16"/>
          <w:szCs w:val="16"/>
        </w:rPr>
      </w:pPr>
      <w:r w:rsidRPr="00F90EAE">
        <w:rPr>
          <w:color w:val="000000" w:themeColor="text1"/>
          <w:sz w:val="16"/>
          <w:szCs w:val="16"/>
        </w:rPr>
        <w:t>13. В 1944 г. завод начал устанавливать улучшенный воздухоочиститель типа «Мультициклон».</w:t>
      </w:r>
    </w:p>
    <w:p w14:paraId="1F0016F5" w14:textId="77777777" w:rsidR="00823A00" w:rsidRPr="00F90EAE" w:rsidRDefault="00823A00" w:rsidP="00F90EAE">
      <w:pPr>
        <w:jc w:val="both"/>
        <w:rPr>
          <w:color w:val="000000" w:themeColor="text1"/>
          <w:sz w:val="16"/>
          <w:szCs w:val="16"/>
        </w:rPr>
      </w:pPr>
      <w:r w:rsidRPr="00F90EAE">
        <w:rPr>
          <w:color w:val="000000" w:themeColor="text1"/>
          <w:sz w:val="16"/>
          <w:szCs w:val="16"/>
        </w:rPr>
        <w:t>14. Для повышения работоспособности резины на опорных катка, в грузошинах были отменены вентиляционные отверстия.</w:t>
      </w:r>
    </w:p>
    <w:p w14:paraId="617D73A4" w14:textId="77777777" w:rsidR="00823A00" w:rsidRPr="00F90EAE" w:rsidRDefault="00823A00" w:rsidP="00F90EAE">
      <w:pPr>
        <w:jc w:val="both"/>
        <w:rPr>
          <w:color w:val="000000" w:themeColor="text1"/>
          <w:sz w:val="16"/>
          <w:szCs w:val="16"/>
        </w:rPr>
      </w:pPr>
      <w:r w:rsidRPr="00F90EAE">
        <w:rPr>
          <w:color w:val="000000" w:themeColor="text1"/>
          <w:sz w:val="16"/>
          <w:szCs w:val="16"/>
        </w:rPr>
        <w:t>15. В 1944 г. завод освоил и перешел на производство танка Т-34-85.</w:t>
      </w:r>
    </w:p>
    <w:p w14:paraId="24CA5516" w14:textId="77777777" w:rsidR="00823A00" w:rsidRPr="00F90EAE" w:rsidRDefault="00823A00" w:rsidP="00F90EAE">
      <w:pPr>
        <w:jc w:val="both"/>
        <w:rPr>
          <w:color w:val="000000" w:themeColor="text1"/>
          <w:sz w:val="16"/>
          <w:szCs w:val="16"/>
        </w:rPr>
      </w:pPr>
      <w:r w:rsidRPr="00F90EAE">
        <w:rPr>
          <w:color w:val="000000" w:themeColor="text1"/>
          <w:sz w:val="16"/>
          <w:szCs w:val="16"/>
        </w:rPr>
        <w:t>16. Вместо ножного спуска введен электроспуск у башенному пулемету.</w:t>
      </w:r>
    </w:p>
    <w:p w14:paraId="012F0629" w14:textId="77777777" w:rsidR="00823A00" w:rsidRPr="00F90EAE" w:rsidRDefault="00823A00" w:rsidP="00F90EAE">
      <w:pPr>
        <w:jc w:val="both"/>
        <w:rPr>
          <w:color w:val="000000" w:themeColor="text1"/>
          <w:sz w:val="16"/>
          <w:szCs w:val="16"/>
        </w:rPr>
      </w:pPr>
      <w:r w:rsidRPr="00F90EAE">
        <w:rPr>
          <w:color w:val="000000" w:themeColor="text1"/>
          <w:sz w:val="16"/>
          <w:szCs w:val="16"/>
        </w:rPr>
        <w:t>17. Для машин с установкой АТО-42 введен резервуар для огнесмеси увеличенной емкости.</w:t>
      </w:r>
    </w:p>
    <w:p w14:paraId="040C0C38" w14:textId="77777777" w:rsidR="00823A00" w:rsidRPr="00F90EAE" w:rsidRDefault="00823A00" w:rsidP="00F90EAE">
      <w:pPr>
        <w:jc w:val="both"/>
        <w:rPr>
          <w:color w:val="000000" w:themeColor="text1"/>
          <w:sz w:val="16"/>
          <w:szCs w:val="16"/>
        </w:rPr>
      </w:pPr>
      <w:r w:rsidRPr="00F90EAE">
        <w:rPr>
          <w:color w:val="000000" w:themeColor="text1"/>
          <w:sz w:val="16"/>
          <w:szCs w:val="16"/>
        </w:rPr>
        <w:t>18. В 1945 г. введена командирская башенка улучшенной конструкции.</w:t>
      </w:r>
    </w:p>
    <w:p w14:paraId="5D3D7219" w14:textId="77777777" w:rsidR="00823A00" w:rsidRPr="00F90EAE" w:rsidRDefault="00823A00" w:rsidP="00F90EAE">
      <w:pPr>
        <w:jc w:val="both"/>
        <w:rPr>
          <w:color w:val="000000" w:themeColor="text1"/>
          <w:sz w:val="16"/>
          <w:szCs w:val="16"/>
        </w:rPr>
      </w:pPr>
      <w:r w:rsidRPr="00F90EAE">
        <w:rPr>
          <w:color w:val="000000" w:themeColor="text1"/>
          <w:sz w:val="16"/>
          <w:szCs w:val="16"/>
        </w:rPr>
        <w:t>19. Для облегчения демонтажа системы взамен приварного введен</w:t>
      </w:r>
    </w:p>
    <w:p w14:paraId="194EFF6F" w14:textId="77777777" w:rsidR="00823A00" w:rsidRPr="00F90EAE" w:rsidRDefault="00823A00" w:rsidP="00F90EAE">
      <w:pPr>
        <w:jc w:val="both"/>
        <w:rPr>
          <w:color w:val="000000" w:themeColor="text1"/>
          <w:sz w:val="16"/>
          <w:szCs w:val="16"/>
        </w:rPr>
      </w:pPr>
      <w:r w:rsidRPr="00F90EAE">
        <w:rPr>
          <w:color w:val="000000" w:themeColor="text1"/>
          <w:sz w:val="16"/>
          <w:szCs w:val="16"/>
        </w:rPr>
        <w:t>съмныйщиток.</w:t>
      </w:r>
    </w:p>
    <w:p w14:paraId="06AA1175" w14:textId="77777777" w:rsidR="00823A00" w:rsidRPr="00F90EAE" w:rsidRDefault="00823A00" w:rsidP="00F90EAE">
      <w:pPr>
        <w:jc w:val="both"/>
        <w:rPr>
          <w:color w:val="000000" w:themeColor="text1"/>
          <w:sz w:val="16"/>
          <w:szCs w:val="16"/>
        </w:rPr>
      </w:pPr>
      <w:r w:rsidRPr="00F90EAE">
        <w:rPr>
          <w:color w:val="000000" w:themeColor="text1"/>
          <w:sz w:val="16"/>
          <w:szCs w:val="16"/>
        </w:rPr>
        <w:t>20. Введен новый кронштейн под- вескиприцелаТШ-15, обеспечиваю щий возможность регулировки подвески в горизонтальном и вертикальном направлениях.</w:t>
      </w:r>
    </w:p>
    <w:p w14:paraId="456C5799" w14:textId="77777777" w:rsidR="00823A00" w:rsidRPr="00F90EAE" w:rsidRDefault="00823A00" w:rsidP="00F90EAE">
      <w:pPr>
        <w:jc w:val="both"/>
        <w:rPr>
          <w:color w:val="000000" w:themeColor="text1"/>
          <w:sz w:val="16"/>
          <w:szCs w:val="16"/>
        </w:rPr>
      </w:pPr>
      <w:r w:rsidRPr="00F90EAE">
        <w:rPr>
          <w:color w:val="000000" w:themeColor="text1"/>
          <w:sz w:val="16"/>
          <w:szCs w:val="16"/>
        </w:rPr>
        <w:t>21 . Введена защита прицела ТШ-15 м пулемета ДТ.</w:t>
      </w:r>
    </w:p>
    <w:p w14:paraId="686954DB" w14:textId="77777777" w:rsidR="00823A00" w:rsidRPr="00F90EAE" w:rsidRDefault="00823A00" w:rsidP="00F90EAE">
      <w:pPr>
        <w:jc w:val="both"/>
        <w:rPr>
          <w:color w:val="000000" w:themeColor="text1"/>
          <w:sz w:val="16"/>
          <w:szCs w:val="16"/>
        </w:rPr>
      </w:pPr>
      <w:r w:rsidRPr="00F90EAE">
        <w:rPr>
          <w:color w:val="000000" w:themeColor="text1"/>
          <w:sz w:val="16"/>
          <w:szCs w:val="16"/>
        </w:rPr>
        <w:t>22. Изменен материал цапфы и стопора пушки на ст.40СХ и введена полировка цапф по диаметру 75 х 3.</w:t>
      </w:r>
    </w:p>
    <w:p w14:paraId="2BE95251" w14:textId="77777777" w:rsidR="00823A00" w:rsidRPr="00F90EAE" w:rsidRDefault="00823A00" w:rsidP="00F90EAE">
      <w:pPr>
        <w:jc w:val="both"/>
        <w:rPr>
          <w:color w:val="000000" w:themeColor="text1"/>
          <w:sz w:val="16"/>
          <w:szCs w:val="16"/>
        </w:rPr>
      </w:pPr>
      <w:r w:rsidRPr="00F90EAE">
        <w:rPr>
          <w:color w:val="000000" w:themeColor="text1"/>
          <w:sz w:val="16"/>
          <w:szCs w:val="16"/>
        </w:rPr>
        <w:t>23. Введен удлинитель ствола пулемета ДТ для предотвращения попадания пороховых газов в башню.</w:t>
      </w:r>
    </w:p>
    <w:p w14:paraId="3107B176" w14:textId="77777777" w:rsidR="00823A00" w:rsidRPr="00F90EAE" w:rsidRDefault="00823A00" w:rsidP="00F90EAE">
      <w:pPr>
        <w:jc w:val="both"/>
        <w:rPr>
          <w:color w:val="000000" w:themeColor="text1"/>
          <w:sz w:val="16"/>
          <w:szCs w:val="16"/>
        </w:rPr>
      </w:pPr>
      <w:r w:rsidRPr="00F90EAE">
        <w:rPr>
          <w:color w:val="000000" w:themeColor="text1"/>
          <w:sz w:val="16"/>
          <w:szCs w:val="16"/>
        </w:rPr>
        <w:t>24. Введен прицел ППУ-8Т кносо- вому пулемету ДТ и увеличен угол снижения пулемета ДТ».</w:t>
      </w:r>
    </w:p>
    <w:p w14:paraId="0F2FD303" w14:textId="77777777" w:rsidR="00823A00" w:rsidRPr="00F90EAE" w:rsidRDefault="00823A00" w:rsidP="00F90EAE">
      <w:pPr>
        <w:jc w:val="both"/>
        <w:rPr>
          <w:color w:val="000000" w:themeColor="text1"/>
          <w:sz w:val="16"/>
          <w:szCs w:val="16"/>
        </w:rPr>
      </w:pPr>
      <w:r w:rsidRPr="00F90EAE">
        <w:rPr>
          <w:color w:val="000000" w:themeColor="text1"/>
          <w:sz w:val="16"/>
          <w:szCs w:val="16"/>
        </w:rPr>
        <w:t>Кроме того, конструкторы завода №174 за войну проделали большой объем работ по проведению различных опытных работ, направленных на улучшение конструкции танка Т-34. Основными из них были:</w:t>
      </w:r>
    </w:p>
    <w:p w14:paraId="38BED715" w14:textId="77777777" w:rsidR="00823A00" w:rsidRPr="00F90EAE" w:rsidRDefault="00823A00" w:rsidP="00F90EAE">
      <w:pPr>
        <w:jc w:val="both"/>
        <w:rPr>
          <w:color w:val="000000" w:themeColor="text1"/>
          <w:sz w:val="16"/>
          <w:szCs w:val="16"/>
        </w:rPr>
      </w:pPr>
      <w:r w:rsidRPr="00F90EAE">
        <w:rPr>
          <w:color w:val="000000" w:themeColor="text1"/>
          <w:sz w:val="16"/>
          <w:szCs w:val="16"/>
        </w:rPr>
        <w:t>«В течение 1942-1943 гг. проведены следующие испытания:</w:t>
      </w:r>
    </w:p>
    <w:p w14:paraId="0C4E14ED" w14:textId="77777777" w:rsidR="00823A00" w:rsidRPr="00F90EAE" w:rsidRDefault="00823A00" w:rsidP="00F90EAE">
      <w:pPr>
        <w:jc w:val="both"/>
        <w:rPr>
          <w:color w:val="000000" w:themeColor="text1"/>
          <w:sz w:val="16"/>
          <w:szCs w:val="16"/>
        </w:rPr>
      </w:pPr>
      <w:r w:rsidRPr="00F90EAE">
        <w:rPr>
          <w:color w:val="000000" w:themeColor="text1"/>
          <w:sz w:val="16"/>
          <w:szCs w:val="16"/>
        </w:rPr>
        <w:t>1. Грузошин с пониженным резиновым массивом. Испытания показали хороший результат.</w:t>
      </w:r>
    </w:p>
    <w:p w14:paraId="2A8588D6" w14:textId="77777777" w:rsidR="00823A00" w:rsidRPr="00F90EAE" w:rsidRDefault="00823A00" w:rsidP="00F90EAE">
      <w:pPr>
        <w:jc w:val="both"/>
        <w:rPr>
          <w:color w:val="000000" w:themeColor="text1"/>
          <w:sz w:val="16"/>
          <w:szCs w:val="16"/>
        </w:rPr>
      </w:pPr>
      <w:r w:rsidRPr="00F90EAE">
        <w:rPr>
          <w:color w:val="000000" w:themeColor="text1"/>
          <w:sz w:val="16"/>
          <w:szCs w:val="16"/>
        </w:rPr>
        <w:t>2. Унифицированных радиаторов 26/УШ - 6/1Х-43 г.</w:t>
      </w:r>
    </w:p>
    <w:p w14:paraId="5FDF512F" w14:textId="77777777" w:rsidR="00823A00" w:rsidRPr="00F90EAE" w:rsidRDefault="00823A00" w:rsidP="00F90EAE">
      <w:pPr>
        <w:jc w:val="both"/>
        <w:rPr>
          <w:color w:val="000000" w:themeColor="text1"/>
          <w:sz w:val="16"/>
          <w:szCs w:val="16"/>
        </w:rPr>
      </w:pPr>
      <w:r w:rsidRPr="00F90EAE">
        <w:rPr>
          <w:color w:val="000000" w:themeColor="text1"/>
          <w:sz w:val="16"/>
          <w:szCs w:val="16"/>
        </w:rPr>
        <w:t>3. Усиленной конической пары КПП, которая введена в серию 27/УП1 - 13/1Х-43 г.</w:t>
      </w:r>
    </w:p>
    <w:p w14:paraId="153A50F1" w14:textId="77777777" w:rsidR="00823A00" w:rsidRPr="00F90EAE" w:rsidRDefault="00823A00" w:rsidP="00F90EAE">
      <w:pPr>
        <w:jc w:val="both"/>
        <w:rPr>
          <w:color w:val="000000" w:themeColor="text1"/>
          <w:sz w:val="16"/>
          <w:szCs w:val="16"/>
        </w:rPr>
      </w:pPr>
      <w:r w:rsidRPr="00F90EAE">
        <w:rPr>
          <w:color w:val="000000" w:themeColor="text1"/>
          <w:sz w:val="16"/>
          <w:szCs w:val="16"/>
        </w:rPr>
        <w:t>4. Гусениц со штампованными безгребневыми траками, состоящие из двух половин...</w:t>
      </w:r>
    </w:p>
    <w:p w14:paraId="793FF15C" w14:textId="77777777" w:rsidR="00823A00" w:rsidRPr="00F90EAE" w:rsidRDefault="00823A00" w:rsidP="00F90EAE">
      <w:pPr>
        <w:jc w:val="both"/>
        <w:rPr>
          <w:color w:val="000000" w:themeColor="text1"/>
          <w:sz w:val="16"/>
          <w:szCs w:val="16"/>
        </w:rPr>
      </w:pPr>
      <w:r w:rsidRPr="00F90EAE">
        <w:rPr>
          <w:color w:val="000000" w:themeColor="text1"/>
          <w:sz w:val="16"/>
          <w:szCs w:val="16"/>
        </w:rPr>
        <w:t>В 1944-1945 гг.</w:t>
      </w:r>
    </w:p>
    <w:p w14:paraId="251B3F06" w14:textId="77777777" w:rsidR="00823A00" w:rsidRPr="00F90EAE" w:rsidRDefault="00823A00" w:rsidP="00F90EAE">
      <w:pPr>
        <w:jc w:val="both"/>
        <w:rPr>
          <w:color w:val="000000" w:themeColor="text1"/>
          <w:sz w:val="16"/>
          <w:szCs w:val="16"/>
        </w:rPr>
      </w:pPr>
      <w:r w:rsidRPr="00F90EAE">
        <w:rPr>
          <w:color w:val="000000" w:themeColor="text1"/>
          <w:sz w:val="16"/>
          <w:szCs w:val="16"/>
        </w:rPr>
        <w:t>1. Испытание опытного модернизированного танка Т-34-85 на гарантийный километраж (1000 км), май 1944 г. Введено в серию с небольшими изменениями.</w:t>
      </w:r>
    </w:p>
    <w:p w14:paraId="214D9289" w14:textId="77777777" w:rsidR="00823A00" w:rsidRPr="00F90EAE" w:rsidRDefault="00823A00" w:rsidP="00F90EAE">
      <w:pPr>
        <w:jc w:val="both"/>
        <w:rPr>
          <w:color w:val="000000" w:themeColor="text1"/>
          <w:sz w:val="16"/>
          <w:szCs w:val="16"/>
        </w:rPr>
      </w:pPr>
      <w:r w:rsidRPr="00F90EAE">
        <w:rPr>
          <w:color w:val="000000" w:themeColor="text1"/>
          <w:sz w:val="16"/>
          <w:szCs w:val="16"/>
        </w:rPr>
        <w:t>2. Испытание опытной партии резины опорных катков из рецепта 120С (июль-сентябрь 1944 г.).</w:t>
      </w:r>
    </w:p>
    <w:p w14:paraId="37FB64F1" w14:textId="77777777" w:rsidR="00823A00" w:rsidRPr="00F90EAE" w:rsidRDefault="00823A00" w:rsidP="00F90EAE">
      <w:pPr>
        <w:jc w:val="both"/>
        <w:rPr>
          <w:color w:val="000000" w:themeColor="text1"/>
          <w:sz w:val="16"/>
          <w:szCs w:val="16"/>
        </w:rPr>
      </w:pPr>
      <w:r w:rsidRPr="00F90EAE">
        <w:rPr>
          <w:color w:val="000000" w:themeColor="text1"/>
          <w:sz w:val="16"/>
          <w:szCs w:val="16"/>
        </w:rPr>
        <w:t>3. Испытание 3-х комплектов радиостанции и переговорного устройства Р-19 с приемником «Малютка» 1944 г. август месяц.</w:t>
      </w:r>
    </w:p>
    <w:p w14:paraId="425C3CDB" w14:textId="77777777" w:rsidR="00823A00" w:rsidRPr="00F90EAE" w:rsidRDefault="00823A00" w:rsidP="00F90EAE">
      <w:pPr>
        <w:jc w:val="both"/>
        <w:rPr>
          <w:color w:val="000000" w:themeColor="text1"/>
          <w:sz w:val="16"/>
          <w:szCs w:val="16"/>
        </w:rPr>
      </w:pPr>
      <w:r w:rsidRPr="00F90EAE">
        <w:rPr>
          <w:color w:val="000000" w:themeColor="text1"/>
          <w:sz w:val="16"/>
          <w:szCs w:val="16"/>
        </w:rPr>
        <w:t>4. Испытание пробегом на 300 км и стрельбой двух огнеметных танков ТО-34-85 с резервуаром увеличенной емкости (двадцать выстрелов вместо десяти), 28/Х - 1/Х-44 г.</w:t>
      </w:r>
    </w:p>
    <w:p w14:paraId="67976616" w14:textId="77777777" w:rsidR="00823A00" w:rsidRPr="00F90EAE" w:rsidRDefault="00823A00" w:rsidP="00F90EAE">
      <w:pPr>
        <w:jc w:val="both"/>
        <w:rPr>
          <w:color w:val="000000" w:themeColor="text1"/>
          <w:sz w:val="16"/>
          <w:szCs w:val="16"/>
        </w:rPr>
      </w:pPr>
      <w:r w:rsidRPr="00F90EAE">
        <w:rPr>
          <w:color w:val="000000" w:themeColor="text1"/>
          <w:sz w:val="16"/>
          <w:szCs w:val="16"/>
        </w:rPr>
        <w:t>5. Испытание безроликовых ведущих колес с опытной гусеницей (измененный профиль гребня) на 1500 км с целью увеличения срока службы гусеницы и удешевления производства. Испытания показали положительные результаты.</w:t>
      </w:r>
    </w:p>
    <w:p w14:paraId="3634539A" w14:textId="77777777" w:rsidR="00823A00" w:rsidRPr="00F90EAE" w:rsidRDefault="00823A00" w:rsidP="00F90EAE">
      <w:pPr>
        <w:jc w:val="both"/>
        <w:rPr>
          <w:color w:val="000000" w:themeColor="text1"/>
          <w:sz w:val="16"/>
          <w:szCs w:val="16"/>
        </w:rPr>
      </w:pPr>
      <w:r w:rsidRPr="00F90EAE">
        <w:rPr>
          <w:color w:val="000000" w:themeColor="text1"/>
          <w:sz w:val="16"/>
          <w:szCs w:val="16"/>
        </w:rPr>
        <w:t>6. Испытание опытной КПП с постоянным зацеплением шестерен заднего хода на 1500 км. Испытания показали полное устранение дефектов, характерных для данного узла серийной КПП. Рекомендовано для ввода в серийное производство» (12217).</w:t>
      </w:r>
    </w:p>
    <w:p w14:paraId="10780D38" w14:textId="77777777" w:rsidR="00823A00" w:rsidRPr="00F90EAE" w:rsidRDefault="00823A00" w:rsidP="00F90EAE">
      <w:pPr>
        <w:jc w:val="both"/>
        <w:rPr>
          <w:color w:val="000000" w:themeColor="text1"/>
          <w:sz w:val="16"/>
          <w:szCs w:val="16"/>
        </w:rPr>
      </w:pPr>
    </w:p>
    <w:p w14:paraId="689FE1C0"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К маю 1945 г. было построено 297 лодок «Зеехунд», из них с января по май 1945 г. в боевых действиях участвовало около ста лодок. Водоизмещение «Зеехунда» составляло всего 15 т. В качестве двигателя подводного хода был использован дизель мощностью 60 л. с. с грузовика «Бюссинг-Наг». Под водой работали электрические батареи. Надводный ход лодки составлял 7,7 узла, а подводный — 6 узлов. В надводном положении лодка могла пройти 300 миль с 7-узловой скоростью, а в подводном положении — 63 мили с 3-узловой скоростью. Под корпусом лодки подвешивались две 53-см торпеды G7 или две донные мины. Экипаж «Зеехунда» состоял из двух человек. Когда советские войска заняли город Эльбинг, на фирме «Шихау» находились секции и отдельные заготовки для сборки 58 лодок (U-6253 ÷ U-6300). Испытание подводных лодок типа «Зеехунд» было поручено ленинградскому заводу «Судомех» (№ 196). В начале 1947 г. с верфи «Шихау» на завод № 196 прибыли два «Зеехунда», несколько комплектов секций лодок, различное оборудование и документация. Работами над «Зеехундом» ведало конструкторское бюро под руководством В.М. Мудрова. Первую лодку с германским заводским номером 244 спустили на воду 2 ноября 1947 г. С 5 по 20 ноября приемная комиссия ВМС провела ходовые испытания (за исключением торпедных стрельб и глубоководных погружений). Но из-за наступивших морозов и ледостава испытания прекратили, а лодку подняли на стенку завода, демонтировали и законсервировали на зимний период. В 1948 г. завод закончил швартовые испытания подводной лодки «Зеехунд» и сдал ее флоту. Так «Зеехунд» с заводским номером 244 стал первой сверхмалой подводной лодкой, вступившей в строй нашего флота. В 1948 г. эту лодку передали Отряду подводного плавания в Кронштадте для определения боевых возможностей сверхмалых подводных лодок. Что стало с остальными лодками «Зеехунд», попавшими в СССР, автору неизвестно. Опыт по сборке и обслуживанию «Зеехунда» впоследствии пригодился «Судомеху» при создании сверхмалых подводных лодок и различных подводных аппаратов (15225).</w:t>
      </w:r>
    </w:p>
    <w:p w14:paraId="58A47CBB" w14:textId="77777777" w:rsidR="007C630F" w:rsidRPr="00F90EAE" w:rsidRDefault="007C630F" w:rsidP="00F90EAE">
      <w:pPr>
        <w:pStyle w:val="book"/>
        <w:ind w:firstLine="0"/>
        <w:jc w:val="both"/>
        <w:rPr>
          <w:color w:val="000000" w:themeColor="text1"/>
          <w:sz w:val="16"/>
          <w:szCs w:val="16"/>
        </w:rPr>
      </w:pPr>
    </w:p>
    <w:p w14:paraId="3952070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AE52D88" w14:textId="77777777" w:rsidR="00665165" w:rsidRPr="00F90EAE" w:rsidRDefault="00665165" w:rsidP="00F90EAE">
      <w:pPr>
        <w:autoSpaceDE w:val="0"/>
        <w:autoSpaceDN w:val="0"/>
        <w:adjustRightInd w:val="0"/>
        <w:jc w:val="both"/>
        <w:rPr>
          <w:iCs/>
          <w:color w:val="000000" w:themeColor="text1"/>
          <w:sz w:val="16"/>
          <w:szCs w:val="16"/>
        </w:rPr>
      </w:pPr>
    </w:p>
    <w:p w14:paraId="651069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маю 1945 года на захваченной СА территории было выявлено 14 Р-51 разных модификаций, которые в конце войны были сбиты в странах Восточной Европы - Польше, Венгрии, Чехословакии, Румынии. Впоследствии несколько P-51D восстановили и перегнали на аэродром ЛИИ в Кратово. Полных летных испытаний не проводили, но общее впечатление о машине получили. Отметили простоту пилотирования. На малых и средних высотах P-51D по прежнему уступал отечественным истребителям по динамике - сказывался существенно больший вес. Оп проигрывал в скороподъемности и характеристиках горизонтального маневра, хотя быстро разгонялся и устойчиво вел себя на пикировании. Зато на высотах больше 5000 м наши истребители уже не могли с ним сравниться, превосходил он и немецкий Bf-109K (3457,88).</w:t>
      </w:r>
    </w:p>
    <w:p w14:paraId="41AD9046" w14:textId="77777777" w:rsidR="00665165" w:rsidRPr="00F90EAE" w:rsidRDefault="00665165" w:rsidP="00F90EAE">
      <w:pPr>
        <w:autoSpaceDE w:val="0"/>
        <w:autoSpaceDN w:val="0"/>
        <w:adjustRightInd w:val="0"/>
        <w:jc w:val="both"/>
        <w:rPr>
          <w:color w:val="000000" w:themeColor="text1"/>
          <w:sz w:val="16"/>
          <w:szCs w:val="16"/>
        </w:rPr>
      </w:pPr>
    </w:p>
    <w:p w14:paraId="3A84AF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маю 1945 года в Европе КА нашла в различном состоянии 73 штуки B-24 "Либерейтор". Так же как и "Летающие крепости", первоначально их восстанавливали в порядке личной инициативы различные полки и дивизии. Так, в 17-й воздушной армии отремонтировали по меньшей мере один В-24, в 16-й-три, в 15-й - один (3457,117).</w:t>
      </w:r>
    </w:p>
    <w:p w14:paraId="0F53C542" w14:textId="77777777" w:rsidR="00665165" w:rsidRPr="00F90EAE" w:rsidRDefault="00665165" w:rsidP="00F90EAE">
      <w:pPr>
        <w:autoSpaceDE w:val="0"/>
        <w:autoSpaceDN w:val="0"/>
        <w:adjustRightInd w:val="0"/>
        <w:jc w:val="both"/>
        <w:rPr>
          <w:color w:val="000000" w:themeColor="text1"/>
          <w:sz w:val="16"/>
          <w:szCs w:val="16"/>
        </w:rPr>
      </w:pPr>
    </w:p>
    <w:p w14:paraId="1BC326CE" w14:textId="77777777" w:rsidR="006979C2" w:rsidRPr="00F90EAE" w:rsidRDefault="006979C2" w:rsidP="00F90EAE">
      <w:pPr>
        <w:jc w:val="both"/>
        <w:rPr>
          <w:color w:val="000000" w:themeColor="text1"/>
          <w:sz w:val="16"/>
          <w:szCs w:val="16"/>
        </w:rPr>
      </w:pPr>
      <w:r w:rsidRPr="00F90EAE">
        <w:rPr>
          <w:color w:val="000000" w:themeColor="text1"/>
          <w:sz w:val="16"/>
          <w:szCs w:val="16"/>
        </w:rPr>
        <w:t xml:space="preserve">К маю 1945 г. части Красной армии имели огромное количество неучтенной материальной части и оборудования. Чтобы изъять трофейные ценности из частей РККА, потребовались специальные постановления ГКО: Постановление № 7824 от 14 марта 1945 г. «О вывозе с трофейных складов 3-го Украинского фронта картона, бумаги и меховых шкурок». Постановление № 7893 от 21 марта 1945 г. «О вывозе трофейного имущества со складов 1-го Белорусского фронта». Постановление № 8786 от </w:t>
      </w:r>
      <w:r w:rsidRPr="00F90EAE">
        <w:rPr>
          <w:color w:val="000000" w:themeColor="text1"/>
          <w:sz w:val="16"/>
          <w:szCs w:val="16"/>
        </w:rPr>
        <w:lastRenderedPageBreak/>
        <w:t>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 Постановление № 9164 от 21 июня 1945 г. «О передаче 15 000 трофейных автомашин с 1 -го и 2-го Украинских, 2-го Белорусского и Ленинградского фронтов для народного хозяйства» (12687).</w:t>
      </w:r>
    </w:p>
    <w:p w14:paraId="28B47EA9" w14:textId="77777777" w:rsidR="006979C2" w:rsidRPr="00F90EAE" w:rsidRDefault="006979C2" w:rsidP="00F90EAE">
      <w:pPr>
        <w:jc w:val="both"/>
        <w:rPr>
          <w:color w:val="000000" w:themeColor="text1"/>
          <w:sz w:val="16"/>
          <w:szCs w:val="16"/>
        </w:rPr>
      </w:pPr>
    </w:p>
    <w:p w14:paraId="2F6BDA5C"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К маю 1945 г. части Красной армии имели огромное количество неучтенной материальной части и оборудования.</w:t>
      </w:r>
    </w:p>
    <w:p w14:paraId="57A4C167"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Чтобы изъять трофейные ценности из частей РККА, потребовались специальные постановления ГКО:</w:t>
      </w:r>
    </w:p>
    <w:p w14:paraId="669C7F48"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Постановление № 7824 от 14 марта 1945 г. «О вывозе с трофейных складов 3-го Украинского фронта картона, бумаги и меховых шкурок».</w:t>
      </w:r>
    </w:p>
    <w:p w14:paraId="1CCBD875"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Постановление № 7893 от 21 марта 1945 г. «О вывозе трофейного имущества со складов 1-го Белорусского фронта».</w:t>
      </w:r>
    </w:p>
    <w:p w14:paraId="533BB82D"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Постановление № 8786 от 26 мая 1945 г. «О перегонке неиспользуемых фронтами трофейных лошадей с территории Германии на территорию СССР и передачи этих лошадей колхозам и наркоматам».</w:t>
      </w:r>
    </w:p>
    <w:p w14:paraId="35156E9D" w14:textId="77777777" w:rsidR="007C630F" w:rsidRPr="00F90EAE" w:rsidRDefault="007C630F" w:rsidP="00F90EAE">
      <w:pPr>
        <w:pStyle w:val="book"/>
        <w:ind w:firstLine="0"/>
        <w:jc w:val="both"/>
        <w:rPr>
          <w:color w:val="000000" w:themeColor="text1"/>
          <w:sz w:val="16"/>
          <w:szCs w:val="16"/>
        </w:rPr>
      </w:pPr>
      <w:r w:rsidRPr="00F90EAE">
        <w:rPr>
          <w:color w:val="000000" w:themeColor="text1"/>
          <w:sz w:val="16"/>
          <w:szCs w:val="16"/>
        </w:rPr>
        <w:t>Постановление № 9164 от 21 июня 1945 г. «О передаче 15 000 трофейных автомашин с 1-го и 2-го Украинских, 2-го Белорусского и Ленинградского фронтов для народного хозяйства» (15225).</w:t>
      </w:r>
    </w:p>
    <w:p w14:paraId="124155D4" w14:textId="77777777" w:rsidR="007C630F" w:rsidRPr="00F90EAE" w:rsidRDefault="007C630F" w:rsidP="00F90EAE">
      <w:pPr>
        <w:pStyle w:val="book"/>
        <w:ind w:firstLine="0"/>
        <w:jc w:val="both"/>
        <w:rPr>
          <w:color w:val="000000" w:themeColor="text1"/>
          <w:sz w:val="16"/>
          <w:szCs w:val="16"/>
        </w:rPr>
      </w:pPr>
    </w:p>
    <w:p w14:paraId="6F8662DB" w14:textId="77777777" w:rsidR="007C630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18B5848" w14:textId="77777777" w:rsidR="007C630F" w:rsidRPr="00F90EAE" w:rsidRDefault="007C630F" w:rsidP="00F90EAE">
      <w:pPr>
        <w:autoSpaceDE w:val="0"/>
        <w:autoSpaceDN w:val="0"/>
        <w:adjustRightInd w:val="0"/>
        <w:jc w:val="both"/>
        <w:rPr>
          <w:iCs/>
          <w:color w:val="000000" w:themeColor="text1"/>
          <w:sz w:val="16"/>
          <w:szCs w:val="16"/>
        </w:rPr>
      </w:pPr>
    </w:p>
    <w:p w14:paraId="29C68B37" w14:textId="77777777" w:rsidR="007C630F" w:rsidRPr="00F90EAE" w:rsidRDefault="007C630F" w:rsidP="00F90EAE">
      <w:pPr>
        <w:pStyle w:val="36"/>
        <w:shd w:val="clear" w:color="auto" w:fill="auto"/>
        <w:tabs>
          <w:tab w:val="left" w:pos="5622"/>
        </w:tabs>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К маю 1945 создали модификацию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-004</w:t>
      </w:r>
      <w:r w:rsidRPr="00F90EAE">
        <w:rPr>
          <w:rFonts w:ascii="Times New Roman" w:cs="Times New Roman"/>
          <w:color w:val="000000" w:themeColor="text1"/>
          <w:spacing w:val="0"/>
          <w:sz w:val="16"/>
          <w:szCs w:val="16"/>
          <w:lang w:val="en-US"/>
        </w:rPr>
        <w:t>D</w:t>
      </w:r>
      <w:r w:rsidRPr="00F90EAE">
        <w:rPr>
          <w:rFonts w:ascii="Times New Roman" w:cs="Times New Roman"/>
          <w:color w:val="000000" w:themeColor="text1"/>
          <w:spacing w:val="0"/>
          <w:sz w:val="16"/>
          <w:szCs w:val="16"/>
        </w:rPr>
        <w:t>-4, с тягой около 1050 кгс, но за</w:t>
      </w:r>
      <w:r w:rsidRPr="00F90EAE">
        <w:rPr>
          <w:rFonts w:ascii="Times New Roman" w:cs="Times New Roman"/>
          <w:color w:val="000000" w:themeColor="text1"/>
          <w:spacing w:val="0"/>
          <w:sz w:val="16"/>
          <w:szCs w:val="16"/>
        </w:rPr>
        <w:softHyphen/>
        <w:t xml:space="preserve">пустить её в серию не успели (15791). </w:t>
      </w:r>
    </w:p>
    <w:p w14:paraId="40D77447" w14:textId="77777777" w:rsidR="007C630F" w:rsidRPr="00F90EAE" w:rsidRDefault="007C630F" w:rsidP="00F90EAE">
      <w:pPr>
        <w:pStyle w:val="36"/>
        <w:shd w:val="clear" w:color="auto" w:fill="auto"/>
        <w:spacing w:after="0" w:line="240" w:lineRule="auto"/>
        <w:jc w:val="both"/>
        <w:rPr>
          <w:rFonts w:ascii="Times New Roman" w:cs="Times New Roman"/>
          <w:color w:val="000000" w:themeColor="text1"/>
          <w:spacing w:val="0"/>
          <w:sz w:val="16"/>
          <w:szCs w:val="16"/>
        </w:rPr>
      </w:pPr>
    </w:p>
    <w:p w14:paraId="2494A395" w14:textId="77777777" w:rsidR="007C630F" w:rsidRPr="00F90EAE" w:rsidRDefault="007C630F"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К маю 1945 изготовили дета</w:t>
      </w:r>
      <w:r w:rsidRPr="00F90EAE">
        <w:rPr>
          <w:rFonts w:ascii="Times New Roman" w:cs="Times New Roman"/>
          <w:color w:val="000000" w:themeColor="text1"/>
          <w:spacing w:val="0"/>
          <w:sz w:val="16"/>
          <w:szCs w:val="16"/>
        </w:rPr>
        <w:softHyphen/>
        <w:t xml:space="preserve">ли и собрали некоторые узлы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-012, но все они, вместе с имеющейся конструктор</w:t>
      </w:r>
      <w:r w:rsidRPr="00F90EAE">
        <w:rPr>
          <w:rFonts w:ascii="Times New Roman" w:cs="Times New Roman"/>
          <w:color w:val="000000" w:themeColor="text1"/>
          <w:spacing w:val="0"/>
          <w:sz w:val="16"/>
          <w:szCs w:val="16"/>
        </w:rPr>
        <w:softHyphen/>
        <w:t xml:space="preserve">ской документацией, во время оккупации Дессау захватили американцы. Перспективный ТРД </w:t>
      </w:r>
      <w:r w:rsidRPr="00F90EAE">
        <w:rPr>
          <w:rFonts w:ascii="Times New Roman" w:cs="Times New Roman"/>
          <w:color w:val="000000" w:themeColor="text1"/>
          <w:spacing w:val="0"/>
          <w:sz w:val="16"/>
          <w:szCs w:val="16"/>
          <w:lang w:val="en-US"/>
        </w:rPr>
        <w:t>Jumo</w:t>
      </w:r>
      <w:r w:rsidRPr="00F90EAE">
        <w:rPr>
          <w:rFonts w:ascii="Times New Roman" w:cs="Times New Roman"/>
          <w:color w:val="000000" w:themeColor="text1"/>
          <w:spacing w:val="0"/>
          <w:sz w:val="16"/>
          <w:szCs w:val="16"/>
        </w:rPr>
        <w:t>-012 с одиннадцатиступен- чатым осевым компрессором и двухступенчатой турбиной с расчётной тягой 2720 кгс и весом 1985 кг, диаметром 1070 мм и длиной 4500 мм (15791).</w:t>
      </w:r>
    </w:p>
    <w:p w14:paraId="75545228" w14:textId="77777777" w:rsidR="007C630F" w:rsidRPr="00F90EAE" w:rsidRDefault="007C630F" w:rsidP="00F90EAE">
      <w:pPr>
        <w:pStyle w:val="36"/>
        <w:shd w:val="clear" w:color="auto" w:fill="auto"/>
        <w:spacing w:after="0" w:line="240" w:lineRule="auto"/>
        <w:jc w:val="both"/>
        <w:rPr>
          <w:rFonts w:ascii="Times New Roman" w:cs="Times New Roman"/>
          <w:color w:val="000000" w:themeColor="text1"/>
          <w:spacing w:val="0"/>
          <w:sz w:val="16"/>
          <w:szCs w:val="16"/>
        </w:rPr>
      </w:pPr>
    </w:p>
    <w:p w14:paraId="3EE0D03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1A1191C" w14:textId="77777777" w:rsidR="00665165" w:rsidRPr="00F90EAE" w:rsidRDefault="00665165" w:rsidP="00F90EAE">
      <w:pPr>
        <w:autoSpaceDE w:val="0"/>
        <w:autoSpaceDN w:val="0"/>
        <w:adjustRightInd w:val="0"/>
        <w:jc w:val="both"/>
        <w:rPr>
          <w:iCs/>
          <w:color w:val="000000" w:themeColor="text1"/>
          <w:sz w:val="16"/>
          <w:szCs w:val="16"/>
        </w:rPr>
      </w:pPr>
    </w:p>
    <w:p w14:paraId="2C4D31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1 мая 1945 г. авиазаводами НКАП № 1 и 18 было передано ВВС 785 Ил-10. Однако не все из них попали на фронт (7489).</w:t>
      </w:r>
    </w:p>
    <w:p w14:paraId="286DC571" w14:textId="77777777" w:rsidR="00665165" w:rsidRPr="00F90EAE" w:rsidRDefault="00665165" w:rsidP="00F90EAE">
      <w:pPr>
        <w:autoSpaceDE w:val="0"/>
        <w:autoSpaceDN w:val="0"/>
        <w:adjustRightInd w:val="0"/>
        <w:jc w:val="both"/>
        <w:rPr>
          <w:color w:val="000000" w:themeColor="text1"/>
          <w:sz w:val="16"/>
          <w:szCs w:val="16"/>
        </w:rPr>
      </w:pPr>
    </w:p>
    <w:p w14:paraId="163C45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был готов еще один фронтовой скоростной бомбардировщик - модификация Ту-2 под АМ-39ФНВ. Получил обозначение 68 и Ту-4, а затем - Ту-10. Уширили фонарь носовой части фюзеляжа, три окна стрелка заменили на одно большое, установили водорадиаторы в центроплане, увеличили ВО, сделали управляемый стабилизатор, стрелковую установку штурмана ВУШ заменили на ВУС-1, а стрелка - ВУБ-2 на ВУБ-65 и увеличили вынос колес на 125 мм, а также поставили более крупное хвостовое колесо (1835,57).</w:t>
      </w:r>
    </w:p>
    <w:p w14:paraId="213AD511" w14:textId="77777777" w:rsidR="00665165" w:rsidRPr="00F90EAE" w:rsidRDefault="00665165" w:rsidP="00F90EAE">
      <w:pPr>
        <w:autoSpaceDE w:val="0"/>
        <w:autoSpaceDN w:val="0"/>
        <w:adjustRightInd w:val="0"/>
        <w:jc w:val="both"/>
        <w:rPr>
          <w:color w:val="000000" w:themeColor="text1"/>
          <w:sz w:val="16"/>
          <w:szCs w:val="16"/>
        </w:rPr>
      </w:pPr>
    </w:p>
    <w:p w14:paraId="690CB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был парад и шли Пе-8, 72 бомбардировщика, 144 истребителя и 144 штурмовика (2470,6). Это были только Ил-2 (3846,21).</w:t>
      </w:r>
    </w:p>
    <w:p w14:paraId="2786F54B" w14:textId="77777777" w:rsidR="00665165" w:rsidRPr="00F90EAE" w:rsidRDefault="00665165" w:rsidP="00F90EAE">
      <w:pPr>
        <w:autoSpaceDE w:val="0"/>
        <w:autoSpaceDN w:val="0"/>
        <w:adjustRightInd w:val="0"/>
        <w:jc w:val="both"/>
        <w:rPr>
          <w:color w:val="000000" w:themeColor="text1"/>
          <w:sz w:val="16"/>
          <w:szCs w:val="16"/>
        </w:rPr>
      </w:pPr>
    </w:p>
    <w:p w14:paraId="7F7D13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w:t>
      </w:r>
    </w:p>
    <w:p w14:paraId="7C5CBD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несколько дней до окончания Великой Отечественной войны в советском руководстве решили ознаменовать Первомайский праздник 1945 г. большим воздушным парадом. Флаг-штурман ВВС КА Б.В.Стерлигов так описал это событие:</w:t>
      </w:r>
    </w:p>
    <w:p w14:paraId="0CEAA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 о проведении первого мая воздушного парада над Москвой был отдан 10 апреля. Командующим парадом был назначен возглавлявший ВВС МВО генерал- лейтенант Сбытов, а я - главным штурманом.</w:t>
      </w:r>
    </w:p>
    <w:p w14:paraId="20CD07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время подготовки парада произошла смена руководства штабом ВВС. Маршал</w:t>
      </w:r>
    </w:p>
    <w:p w14:paraId="749A1C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Худяков, назначенный на пост командующего 12 воздушной армии на Дальнем Востоке, сдал свои обязанности начальника штаба маршалу авиации Ф.Я.Фалалееву.</w:t>
      </w:r>
    </w:p>
    <w:p w14:paraId="5737A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апреля мы сосредоточились на подготовке воздушного парада. Все участники парада с чувством большой радости старались как можно лучше продемонстрировать мошь советской авиации. Ведь бои шли уже за Берлин, воздушный парад над Москвой мог стать парадом Победы.</w:t>
      </w:r>
    </w:p>
    <w:p w14:paraId="0DDC2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Флагманским самолетом парада был выбран четырехмоторный дальний бомбардировщик Пе-8. На нем летели мы с генералом Сбытовым. Парадная колонна состояла из пяти авиационных дивизий в строю "девяток", всего сорок "девяток", или 361 самолет вместе с флагманом.Первая дивизия самолетов-штурмовиков Ил-2, командир дивизии полковник Царев;</w:t>
      </w:r>
    </w:p>
    <w:p w14:paraId="50D05D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Вторая дивизия новых самолетов-штурмовиков Ил-10. Ее вел генерал-майор авиации Белоконь.</w:t>
      </w:r>
    </w:p>
    <w:p w14:paraId="649459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Третья дивизия самолетов-истребителей Як-3 шла под командованием генерал-майо- ра авиации Жукова.</w:t>
      </w:r>
    </w:p>
    <w:p w14:paraId="2A4B9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Четвертая дивизия самолетов-истребите- лей Ла-7, командир дивизии полковник Хо- лодцев.</w:t>
      </w:r>
    </w:p>
    <w:p w14:paraId="304990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Парад замыкала дивизия самолетов-бом- бардировщиков Ту-2 под командованием генерал-майора авиации Трифонова.</w:t>
      </w:r>
    </w:p>
    <w:p w14:paraId="113BC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Погода стояла отличная, видимость прекрасная. Между Клином и Калинином, секунда в секунду согласно расчету, корабль начал разворот на Москву с заданным радиусом.</w:t>
      </w:r>
    </w:p>
    <w:p w14:paraId="3CAA07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Дивизии парадного расчета, одна за другой, становились нам в хвост. Веду корабль "Кайбицкий колхозник" по прицелу на Красную площадь. Улицы многолюдны, полны празднично украшенными колоннами демонстрантов. С Красной площади уходят танки и самоходная артиллерия.</w:t>
      </w:r>
    </w:p>
    <w:p w14:paraId="61FFD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11 часов 49 минут 55 секунд наш корабль проходит над Мавзолеем Ленина. Точность - 5 секунд! Неплохо.</w:t>
      </w:r>
    </w:p>
    <w:p w14:paraId="303A86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меня это был двенадцатый воздушный парад над столицей. Он прошел успешно" (12025).</w:t>
      </w:r>
    </w:p>
    <w:p w14:paraId="504F8F0C" w14:textId="77777777" w:rsidR="00665165" w:rsidRPr="00F90EAE" w:rsidRDefault="00665165" w:rsidP="00F90EAE">
      <w:pPr>
        <w:autoSpaceDE w:val="0"/>
        <w:autoSpaceDN w:val="0"/>
        <w:adjustRightInd w:val="0"/>
        <w:jc w:val="both"/>
        <w:rPr>
          <w:color w:val="000000" w:themeColor="text1"/>
          <w:sz w:val="16"/>
          <w:szCs w:val="16"/>
        </w:rPr>
      </w:pPr>
    </w:p>
    <w:p w14:paraId="172F94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 мая 1945 по приказу НКАП № 174 от 27 апреля 1945 года завод № 84 перешел на выпуск гражданских машин – транспортных ЛИ-2Т и пассажирских ЛИ-2П (9461).</w:t>
      </w:r>
    </w:p>
    <w:p w14:paraId="175D137B" w14:textId="77777777" w:rsidR="00665165" w:rsidRPr="00F90EAE" w:rsidRDefault="00665165" w:rsidP="00F90EAE">
      <w:pPr>
        <w:autoSpaceDE w:val="0"/>
        <w:autoSpaceDN w:val="0"/>
        <w:adjustRightInd w:val="0"/>
        <w:jc w:val="both"/>
        <w:rPr>
          <w:color w:val="000000" w:themeColor="text1"/>
          <w:sz w:val="16"/>
          <w:szCs w:val="16"/>
        </w:rPr>
      </w:pPr>
    </w:p>
    <w:p w14:paraId="68C103E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FC0049E" w14:textId="77777777" w:rsidR="00665165" w:rsidRPr="00F90EAE" w:rsidRDefault="00665165" w:rsidP="00F90EAE">
      <w:pPr>
        <w:autoSpaceDE w:val="0"/>
        <w:autoSpaceDN w:val="0"/>
        <w:adjustRightInd w:val="0"/>
        <w:jc w:val="both"/>
        <w:rPr>
          <w:iCs/>
          <w:color w:val="000000" w:themeColor="text1"/>
          <w:sz w:val="16"/>
          <w:szCs w:val="16"/>
        </w:rPr>
      </w:pPr>
    </w:p>
    <w:p w14:paraId="147E0E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состоянию на 1 мая 1945 г. ЧКЗ было изготовлено 25 танков ИС-3, которые в то время находились на заводе. Таким образом, на завершающем этапе Великой Отечественной вой</w:t>
      </w:r>
      <w:r w:rsidRPr="00F90EAE">
        <w:rPr>
          <w:color w:val="000000" w:themeColor="text1"/>
          <w:sz w:val="16"/>
          <w:szCs w:val="16"/>
        </w:rPr>
        <w:softHyphen/>
        <w:t>ны эти машины участия не принимали. Кроме того, не только танки ИС-3, но даже танки ИС-2 в боевых действиях по разгрому милитарист</w:t>
      </w:r>
      <w:r w:rsidRPr="00F90EAE">
        <w:rPr>
          <w:color w:val="000000" w:themeColor="text1"/>
          <w:sz w:val="16"/>
          <w:szCs w:val="16"/>
        </w:rPr>
        <w:softHyphen/>
        <w:t>ской Японии (9 августа - 2 сентября 1945 г.) участия не принимали. В боевых действиях на Дальнем Востоке из танковых частей, воору</w:t>
      </w:r>
      <w:r w:rsidRPr="00F90EAE">
        <w:rPr>
          <w:color w:val="000000" w:themeColor="text1"/>
          <w:sz w:val="16"/>
          <w:szCs w:val="16"/>
        </w:rPr>
        <w:softHyphen/>
        <w:t>женных тяжелыми танками, участвовал лишь один 48-й отдельный тя</w:t>
      </w:r>
      <w:r w:rsidRPr="00F90EAE">
        <w:rPr>
          <w:color w:val="000000" w:themeColor="text1"/>
          <w:sz w:val="16"/>
          <w:szCs w:val="16"/>
        </w:rPr>
        <w:softHyphen/>
        <w:t>желый танковый полк, в составе которого был 21 танк КВ-1С (10703).</w:t>
      </w:r>
    </w:p>
    <w:p w14:paraId="430783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4164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 мая 1945 г. ЧКЗ изготовил только 25 шт. ИС-3, часть которых еще проходила заводскую обкатку...(11135).</w:t>
      </w:r>
    </w:p>
    <w:p w14:paraId="71B340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4BEB271" w14:textId="77777777" w:rsidR="004252F4" w:rsidRPr="00F90EAE" w:rsidRDefault="004252F4" w:rsidP="00F90EAE">
      <w:pPr>
        <w:jc w:val="both"/>
        <w:rPr>
          <w:color w:val="000000" w:themeColor="text1"/>
          <w:sz w:val="16"/>
          <w:szCs w:val="16"/>
        </w:rPr>
      </w:pPr>
      <w:r w:rsidRPr="00F90EAE">
        <w:rPr>
          <w:color w:val="000000" w:themeColor="text1"/>
          <w:sz w:val="16"/>
          <w:szCs w:val="16"/>
        </w:rPr>
        <w:t>С 1 мая 1945 на СУ-100 вводилась безбалочная носовая часть корпуса, также ликвидировались «косынки» на месте стыка бортов рубки и корпуса. Часть майских машин ещё имела корпуса старого типа, в подобном виде они производились до израсходования задела по корпусам. Одновременно толщина нижней лобовой детали корпуса выросла до 60 мм, а петли люков на крыше рубки унифицировали. Май стал самым «ударным» месяцем с точки зрения изменения внешнего вида СУ-100. Тогда же и окончательно решили проблему разрушения передних опорных катков. В мае же решили проблему с орудиями: в серию запустили Д-10СК.</w:t>
      </w:r>
    </w:p>
    <w:p w14:paraId="22D04C3B" w14:textId="77777777" w:rsidR="004252F4" w:rsidRPr="00F90EAE" w:rsidRDefault="004252F4" w:rsidP="00F90EAE">
      <w:pPr>
        <w:jc w:val="both"/>
        <w:rPr>
          <w:color w:val="000000" w:themeColor="text1"/>
          <w:sz w:val="16"/>
          <w:szCs w:val="16"/>
        </w:rPr>
      </w:pPr>
      <w:r w:rsidRPr="00F90EAE">
        <w:rPr>
          <w:color w:val="000000" w:themeColor="text1"/>
          <w:sz w:val="16"/>
          <w:szCs w:val="16"/>
        </w:rPr>
        <w:t>Ещё одно внешнее изменение произошло в июне: ввели ящик ЗИП на правой стороне рубки. Другие изменения лета 1945 года выглядели не столь существенно. Например, с июля 1945 года появились крепления для прибора самовытаскивания (18252).</w:t>
      </w:r>
    </w:p>
    <w:p w14:paraId="2C09293C" w14:textId="77777777" w:rsidR="004252F4" w:rsidRPr="00F90EAE" w:rsidRDefault="004252F4" w:rsidP="00F90EAE">
      <w:pPr>
        <w:jc w:val="both"/>
        <w:rPr>
          <w:color w:val="000000" w:themeColor="text1"/>
          <w:sz w:val="16"/>
          <w:szCs w:val="16"/>
        </w:rPr>
      </w:pPr>
    </w:p>
    <w:p w14:paraId="4246282F" w14:textId="77777777" w:rsidR="00326301" w:rsidRPr="00F90EAE" w:rsidRDefault="00326301" w:rsidP="00F90EAE">
      <w:pPr>
        <w:jc w:val="both"/>
        <w:rPr>
          <w:color w:val="0070C0"/>
          <w:sz w:val="16"/>
          <w:szCs w:val="16"/>
        </w:rPr>
      </w:pPr>
      <w:r w:rsidRPr="00F90EAE">
        <w:rPr>
          <w:color w:val="0070C0"/>
          <w:sz w:val="16"/>
          <w:szCs w:val="16"/>
        </w:rPr>
        <w:t>С 1 мая 1945 Приказом ОГК УЗТМ на Су-100 вводится без</w:t>
      </w:r>
      <w:r w:rsidRPr="00F90EAE">
        <w:rPr>
          <w:color w:val="0070C0"/>
          <w:sz w:val="16"/>
          <w:szCs w:val="16"/>
        </w:rPr>
        <w:softHyphen/>
        <w:t>балочный корпус - верхняя и нижняя лобо</w:t>
      </w:r>
      <w:r w:rsidRPr="00F90EAE">
        <w:rPr>
          <w:color w:val="0070C0"/>
          <w:sz w:val="16"/>
          <w:szCs w:val="16"/>
        </w:rPr>
        <w:softHyphen/>
        <w:t>вые детали должны теперь свариваться друг с другом встык. На практике, конечно, это не означало, что «взмахом волшебной палочки» все начатые постройкой СУ-100 в цехах УЗТМ разом обзавелись новыми носами. Корпуса, которые начали до 1 мая сваривать с балка</w:t>
      </w:r>
      <w:r w:rsidRPr="00F90EAE">
        <w:rPr>
          <w:color w:val="0070C0"/>
          <w:sz w:val="16"/>
          <w:szCs w:val="16"/>
        </w:rPr>
        <w:softHyphen/>
        <w:t>ми, так и сдали военной приемке в мае. Так что сохранились самоходки с майскими номерами и с литой балкой (например, № 81388 в музейном комплексе Прохоровка - похоже, сданная в мае машина еще с «апрель</w:t>
      </w:r>
      <w:r w:rsidRPr="00F90EAE">
        <w:rPr>
          <w:color w:val="0070C0"/>
          <w:sz w:val="16"/>
          <w:szCs w:val="16"/>
        </w:rPr>
        <w:softHyphen/>
        <w:t>ским корпусом» - и № 81458 в Музее танка Т- 34 из подмосковного Шолохово).</w:t>
      </w:r>
    </w:p>
    <w:p w14:paraId="188065B9" w14:textId="77777777" w:rsidR="00326301" w:rsidRPr="00F90EAE" w:rsidRDefault="00326301" w:rsidP="00F90EAE">
      <w:pPr>
        <w:jc w:val="both"/>
        <w:rPr>
          <w:color w:val="0070C0"/>
          <w:sz w:val="16"/>
          <w:szCs w:val="16"/>
        </w:rPr>
      </w:pPr>
      <w:r w:rsidRPr="00F90EAE">
        <w:rPr>
          <w:color w:val="0070C0"/>
          <w:sz w:val="16"/>
          <w:szCs w:val="16"/>
        </w:rPr>
        <w:t>Поскольку безбалочный нос получился на 100 мм длиннее, сдвигаются вперед бонки для крепления запасных траков на ВЛД и изменяются передние брызговики, сохраняя, впрочем, все ту же округлую форму и не при</w:t>
      </w:r>
      <w:r w:rsidRPr="00F90EAE">
        <w:rPr>
          <w:color w:val="0070C0"/>
          <w:sz w:val="16"/>
          <w:szCs w:val="16"/>
        </w:rPr>
        <w:softHyphen/>
        <w:t>обретая возможности откидываться, подобно коробчатым брызговикам Т-34-85. Сбороч</w:t>
      </w:r>
      <w:r w:rsidRPr="00F90EAE">
        <w:rPr>
          <w:color w:val="0070C0"/>
          <w:sz w:val="16"/>
          <w:szCs w:val="16"/>
        </w:rPr>
        <w:softHyphen/>
        <w:t>ные чертежи головного завода №183 на коробчатые передние грязевые щитки дати</w:t>
      </w:r>
      <w:r w:rsidRPr="00F90EAE">
        <w:rPr>
          <w:color w:val="0070C0"/>
          <w:sz w:val="16"/>
          <w:szCs w:val="16"/>
        </w:rPr>
        <w:softHyphen/>
        <w:t>рованы были еще октябрем 1944 года, но на УЗТМ такие щитки так и не были внедрены до самого конца производства СУ-100.</w:t>
      </w:r>
    </w:p>
    <w:p w14:paraId="10CB2B19" w14:textId="77777777" w:rsidR="00326301" w:rsidRPr="00F90EAE" w:rsidRDefault="00326301" w:rsidP="00F90EAE">
      <w:pPr>
        <w:jc w:val="both"/>
        <w:rPr>
          <w:color w:val="0070C0"/>
          <w:sz w:val="16"/>
          <w:szCs w:val="16"/>
        </w:rPr>
      </w:pPr>
      <w:r w:rsidRPr="00F90EAE">
        <w:rPr>
          <w:color w:val="0070C0"/>
          <w:sz w:val="16"/>
          <w:szCs w:val="16"/>
        </w:rPr>
        <w:t>На майских машинах исчезают приварен</w:t>
      </w:r>
      <w:r w:rsidRPr="00F90EAE">
        <w:rPr>
          <w:color w:val="0070C0"/>
          <w:sz w:val="16"/>
          <w:szCs w:val="16"/>
        </w:rPr>
        <w:softHyphen/>
        <w:t>ные между задней стенкой рубки и МТО тре</w:t>
      </w:r>
      <w:r w:rsidRPr="00F90EAE">
        <w:rPr>
          <w:color w:val="0070C0"/>
          <w:sz w:val="16"/>
          <w:szCs w:val="16"/>
        </w:rPr>
        <w:softHyphen/>
        <w:t>угольные «косынки» - они тоже были источ</w:t>
      </w:r>
      <w:r w:rsidRPr="00F90EAE">
        <w:rPr>
          <w:color w:val="0070C0"/>
          <w:sz w:val="16"/>
          <w:szCs w:val="16"/>
        </w:rPr>
        <w:softHyphen/>
        <w:t>ником образования трещин корпуса из-за неизбежной сварки по закаленной броне.</w:t>
      </w:r>
    </w:p>
    <w:p w14:paraId="5D411D18" w14:textId="77777777" w:rsidR="00326301" w:rsidRPr="00F90EAE" w:rsidRDefault="00326301" w:rsidP="00F90EAE">
      <w:pPr>
        <w:pStyle w:val="260"/>
        <w:shd w:val="clear" w:color="auto" w:fill="auto"/>
        <w:spacing w:line="240" w:lineRule="auto"/>
        <w:jc w:val="both"/>
        <w:rPr>
          <w:rFonts w:ascii="Times New Roman" w:hAnsi="Times New Roman"/>
          <w:color w:val="0070C0"/>
          <w:sz w:val="16"/>
          <w:szCs w:val="16"/>
        </w:rPr>
      </w:pPr>
      <w:r w:rsidRPr="00F90EAE">
        <w:rPr>
          <w:rFonts w:ascii="Times New Roman" w:hAnsi="Times New Roman"/>
          <w:color w:val="0070C0"/>
          <w:sz w:val="16"/>
          <w:szCs w:val="16"/>
        </w:rPr>
        <w:lastRenderedPageBreak/>
        <w:t>В мае 1945 г. начинают приваривать к ВЛД планки для нового варианта приспособ</w:t>
      </w:r>
      <w:r w:rsidRPr="00F90EAE">
        <w:rPr>
          <w:rFonts w:ascii="Times New Roman" w:hAnsi="Times New Roman"/>
          <w:color w:val="0070C0"/>
          <w:sz w:val="16"/>
          <w:szCs w:val="16"/>
        </w:rPr>
        <w:softHyphen/>
        <w:t>ления введения в зацепления кривошипа направляющего колеса и при этом лючки для прохода стержня такого приспособления через боковую стенку грязевого щитка раз</w:t>
      </w:r>
      <w:r w:rsidRPr="00F90EAE">
        <w:rPr>
          <w:rFonts w:ascii="Times New Roman" w:hAnsi="Times New Roman"/>
          <w:color w:val="0070C0"/>
          <w:sz w:val="16"/>
          <w:szCs w:val="16"/>
        </w:rPr>
        <w:softHyphen/>
        <w:t>ворачивают вертикально и смещают вперед, чтобы они приходились напротив планок. На ранних майских машинах с литой передней балкой (в корпусах апрельской программы) планки приваривают на стык этой детали с ВЛД поверх сварного шва. На музейных самоходках можно видеть такие планки, смещенные еще ближе к носу - на торец НЛД новых, или на литую балку старых корпусов. Но туда планки начнут переносить только в ходе последующих модернизаций при уста</w:t>
      </w:r>
      <w:r w:rsidRPr="00F90EAE">
        <w:rPr>
          <w:rFonts w:ascii="Times New Roman" w:hAnsi="Times New Roman"/>
          <w:color w:val="0070C0"/>
          <w:sz w:val="16"/>
          <w:szCs w:val="16"/>
        </w:rPr>
        <w:softHyphen/>
        <w:t>новке на все СУ-100 коробчатых грязевых щитков.</w:t>
      </w:r>
    </w:p>
    <w:p w14:paraId="260618B5" w14:textId="77777777" w:rsidR="00326301" w:rsidRPr="00F90EAE" w:rsidRDefault="00326301" w:rsidP="00F90EAE">
      <w:pPr>
        <w:jc w:val="both"/>
        <w:rPr>
          <w:color w:val="0070C0"/>
          <w:sz w:val="16"/>
          <w:szCs w:val="16"/>
        </w:rPr>
      </w:pPr>
      <w:r w:rsidRPr="00F90EAE">
        <w:rPr>
          <w:color w:val="0070C0"/>
          <w:sz w:val="16"/>
          <w:szCs w:val="16"/>
        </w:rPr>
        <w:t>Толщина нижней лобовой бронедетали была увеличена с 45 до 60 мм. Из-за этого на ранних машинах выпуска июня 1945 года ста</w:t>
      </w:r>
      <w:r w:rsidRPr="00F90EAE">
        <w:rPr>
          <w:color w:val="0070C0"/>
          <w:sz w:val="16"/>
          <w:szCs w:val="16"/>
        </w:rPr>
        <w:softHyphen/>
        <w:t>рый 45-мм лючок для доступа к гайке стопора кривошипа натяжения правой гусеницы был несколько утоплен, но уже в конце месяца начали ставить новые лючки, так что они опять оказались вровень с НЛД.</w:t>
      </w:r>
    </w:p>
    <w:p w14:paraId="52EE9C50" w14:textId="77777777" w:rsidR="00326301" w:rsidRPr="00F90EAE" w:rsidRDefault="00326301" w:rsidP="00F90EAE">
      <w:pPr>
        <w:jc w:val="both"/>
        <w:rPr>
          <w:color w:val="0070C0"/>
          <w:sz w:val="16"/>
          <w:szCs w:val="16"/>
        </w:rPr>
      </w:pPr>
      <w:r w:rsidRPr="00F90EAE">
        <w:rPr>
          <w:color w:val="0070C0"/>
          <w:sz w:val="16"/>
          <w:szCs w:val="16"/>
        </w:rPr>
        <w:t>С первого корпуса майской программы были изменены люк панорамы и люк-лаз заряжающего (при этом ряд майских машин сдавались еще со старыми апрельскими кор</w:t>
      </w:r>
      <w:r w:rsidRPr="00F90EAE">
        <w:rPr>
          <w:color w:val="0070C0"/>
          <w:sz w:val="16"/>
          <w:szCs w:val="16"/>
        </w:rPr>
        <w:softHyphen/>
        <w:t>пусами). Петли люка заряжающего унифици</w:t>
      </w:r>
      <w:r w:rsidRPr="00F90EAE">
        <w:rPr>
          <w:color w:val="0070C0"/>
          <w:sz w:val="16"/>
          <w:szCs w:val="16"/>
        </w:rPr>
        <w:softHyphen/>
        <w:t>ровали с петлями люка панорамы прицела: «гребенка» состояла теперь из четырех шар</w:t>
      </w:r>
      <w:r w:rsidRPr="00F90EAE">
        <w:rPr>
          <w:color w:val="0070C0"/>
          <w:sz w:val="16"/>
          <w:szCs w:val="16"/>
        </w:rPr>
        <w:softHyphen/>
        <w:t>ниров, вместо прежних шести. При этом защелка фиксатора люка в открытом положе</w:t>
      </w:r>
      <w:r w:rsidRPr="00F90EAE">
        <w:rPr>
          <w:color w:val="0070C0"/>
          <w:sz w:val="16"/>
          <w:szCs w:val="16"/>
        </w:rPr>
        <w:softHyphen/>
        <w:t>нии осталась на правой петле, а угольник ограничителя открытого положения на новой более короткой петле уже не помещался, и его вместе с резиновым упором перенесли на левую петлю. Ранее фиксатор и ограничитель вместе стояли на правой петле. Меняются также размеры крышки люка панорамы: на ранних машинах эти люки имели те же разме</w:t>
      </w:r>
      <w:r w:rsidRPr="00F90EAE">
        <w:rPr>
          <w:color w:val="0070C0"/>
          <w:sz w:val="16"/>
          <w:szCs w:val="16"/>
        </w:rPr>
        <w:softHyphen/>
        <w:t>ры, что были еще на СУ-85 (разумеется, в той части, которая была сходной на обеих маши</w:t>
      </w:r>
      <w:r w:rsidRPr="00F90EAE">
        <w:rPr>
          <w:color w:val="0070C0"/>
          <w:sz w:val="16"/>
          <w:szCs w:val="16"/>
        </w:rPr>
        <w:softHyphen/>
        <w:t>нах). Люк панорамы с 600x580 мм увеличива</w:t>
      </w:r>
      <w:r w:rsidRPr="00F90EAE">
        <w:rPr>
          <w:color w:val="0070C0"/>
          <w:sz w:val="16"/>
          <w:szCs w:val="16"/>
        </w:rPr>
        <w:softHyphen/>
        <w:t>ется до 670x650 мм (планки петель люка большего размера со стороны колпака стопо</w:t>
      </w:r>
      <w:r w:rsidRPr="00F90EAE">
        <w:rPr>
          <w:color w:val="0070C0"/>
          <w:sz w:val="16"/>
          <w:szCs w:val="16"/>
        </w:rPr>
        <w:softHyphen/>
        <w:t>ра орудия уже не умещаются между люком и этим колпаком, так что в стенке колпака под них делают вырезы и варят колпак прямо на планки петель). Фланец смотрового прибора Мк. 4 на левой створке крышки старого люка панорамы не помещался, так что ради его размещения подрезали планку левой перед</w:t>
      </w:r>
      <w:r w:rsidRPr="00F90EAE">
        <w:rPr>
          <w:color w:val="0070C0"/>
          <w:sz w:val="16"/>
          <w:szCs w:val="16"/>
        </w:rPr>
        <w:softHyphen/>
        <w:t>ней петли на створке.</w:t>
      </w:r>
    </w:p>
    <w:p w14:paraId="26EF8A9F" w14:textId="77777777" w:rsidR="00326301" w:rsidRPr="00F90EAE" w:rsidRDefault="00326301" w:rsidP="00F90EAE">
      <w:pPr>
        <w:jc w:val="both"/>
        <w:rPr>
          <w:color w:val="0070C0"/>
          <w:sz w:val="16"/>
          <w:szCs w:val="16"/>
        </w:rPr>
      </w:pPr>
      <w:r w:rsidRPr="00F90EAE">
        <w:rPr>
          <w:color w:val="0070C0"/>
          <w:sz w:val="16"/>
          <w:szCs w:val="16"/>
        </w:rPr>
        <w:t>Также и крышка люка заряжающего (он же люк-лаз) увеличилась в размерах с 700x500 мм до 760x570 мм. Конструкцию люков изменили для предотвращения прони</w:t>
      </w:r>
      <w:r w:rsidRPr="00F90EAE">
        <w:rPr>
          <w:color w:val="0070C0"/>
          <w:sz w:val="16"/>
          <w:szCs w:val="16"/>
        </w:rPr>
        <w:softHyphen/>
        <w:t>кания дождевой воды в боевое отделение: прежние крышки врезались заподлицо с кры</w:t>
      </w:r>
      <w:r w:rsidRPr="00F90EAE">
        <w:rPr>
          <w:color w:val="0070C0"/>
          <w:sz w:val="16"/>
          <w:szCs w:val="16"/>
        </w:rPr>
        <w:softHyphen/>
        <w:t>шей рубки и для борьбы с протечками имели лишь жестяные отбортовки и низкие окан</w:t>
      </w:r>
      <w:r w:rsidRPr="00F90EAE">
        <w:rPr>
          <w:color w:val="0070C0"/>
          <w:sz w:val="16"/>
          <w:szCs w:val="16"/>
        </w:rPr>
        <w:softHyphen/>
        <w:t>товки по периметру проемов люков на рубке. Новые крышки стали накладными (дополни</w:t>
      </w:r>
      <w:r w:rsidRPr="00F90EAE">
        <w:rPr>
          <w:color w:val="0070C0"/>
          <w:sz w:val="16"/>
          <w:szCs w:val="16"/>
        </w:rPr>
        <w:softHyphen/>
        <w:t>тельно их еще снабдили уплотняющими про</w:t>
      </w:r>
      <w:r w:rsidRPr="00F90EAE">
        <w:rPr>
          <w:color w:val="0070C0"/>
          <w:sz w:val="16"/>
          <w:szCs w:val="16"/>
        </w:rPr>
        <w:softHyphen/>
        <w:t>кладками), а вырезы под них в крыше рубки оборудовали полноценными комингсами.</w:t>
      </w:r>
    </w:p>
    <w:p w14:paraId="4EA5BC45" w14:textId="77777777" w:rsidR="00326301" w:rsidRPr="00F90EAE" w:rsidRDefault="00326301" w:rsidP="00F90EAE">
      <w:pPr>
        <w:jc w:val="both"/>
        <w:rPr>
          <w:color w:val="0070C0"/>
          <w:sz w:val="16"/>
          <w:szCs w:val="16"/>
        </w:rPr>
      </w:pPr>
      <w:r w:rsidRPr="00F90EAE">
        <w:rPr>
          <w:color w:val="0070C0"/>
          <w:sz w:val="16"/>
          <w:szCs w:val="16"/>
        </w:rPr>
        <w:t>В мае, наконец, исцелили и еще одну все</w:t>
      </w:r>
      <w:r w:rsidRPr="00F90EAE">
        <w:rPr>
          <w:color w:val="0070C0"/>
          <w:sz w:val="16"/>
          <w:szCs w:val="16"/>
        </w:rPr>
        <w:softHyphen/>
        <w:t>гдашнюю «болячку» СУ-100 - разрушение передних опорных катков, перегруженных из-за утолщения лобовой брони и установки мощного орудия. Особенно часто страдали передний левый каток и два передних пра</w:t>
      </w:r>
      <w:r w:rsidRPr="00F90EAE">
        <w:rPr>
          <w:color w:val="0070C0"/>
          <w:sz w:val="16"/>
          <w:szCs w:val="16"/>
        </w:rPr>
        <w:softHyphen/>
        <w:t>вых, поскольку орудие смещено от продоль</w:t>
      </w:r>
      <w:r w:rsidRPr="00F90EAE">
        <w:rPr>
          <w:color w:val="0070C0"/>
          <w:sz w:val="16"/>
          <w:szCs w:val="16"/>
        </w:rPr>
        <w:softHyphen/>
        <w:t>ной оси машины как раз вправо. Перегрузка передних катков приводила к деформации их дисков, разрушению резиновой грузошины и шарикоподшипников ступиц.</w:t>
      </w:r>
    </w:p>
    <w:p w14:paraId="473479FC" w14:textId="77777777" w:rsidR="00326301" w:rsidRPr="00F90EAE" w:rsidRDefault="00326301" w:rsidP="00F90EAE">
      <w:pPr>
        <w:jc w:val="both"/>
        <w:rPr>
          <w:color w:val="0070C0"/>
          <w:sz w:val="16"/>
          <w:szCs w:val="16"/>
        </w:rPr>
      </w:pPr>
      <w:r w:rsidRPr="00F90EAE">
        <w:rPr>
          <w:color w:val="0070C0"/>
          <w:sz w:val="16"/>
          <w:szCs w:val="16"/>
        </w:rPr>
        <w:t>Испытания трех вариантов усиления передних катков провели еще в марте: со сту</w:t>
      </w:r>
      <w:r w:rsidRPr="00F90EAE">
        <w:rPr>
          <w:color w:val="0070C0"/>
          <w:sz w:val="16"/>
          <w:szCs w:val="16"/>
        </w:rPr>
        <w:softHyphen/>
        <w:t>пицей на трех подшипниках, с утолщенным диском катка и старый каток, но со ступицей на трех подшипниках. В итоге, с сотой маши</w:t>
      </w:r>
      <w:r w:rsidRPr="00F90EAE">
        <w:rPr>
          <w:color w:val="0070C0"/>
          <w:sz w:val="16"/>
          <w:szCs w:val="16"/>
        </w:rPr>
        <w:softHyphen/>
        <w:t>ны майской программы УЗТМ вместо двух подшипников ступицы начали ставить три, диски катков с этого же момента штамповали из листовой стали толщиной 16 мм вместо прежней 10-мм и еще усилили конструкцию заменой 16-мм стяжных болтов дисков внеш</w:t>
      </w:r>
      <w:r w:rsidRPr="00F90EAE">
        <w:rPr>
          <w:color w:val="0070C0"/>
          <w:sz w:val="16"/>
          <w:szCs w:val="16"/>
        </w:rPr>
        <w:softHyphen/>
        <w:t>него и внутреннего «блинов» болтами увели</w:t>
      </w:r>
      <w:r w:rsidRPr="00F90EAE">
        <w:rPr>
          <w:color w:val="0070C0"/>
          <w:sz w:val="16"/>
          <w:szCs w:val="16"/>
        </w:rPr>
        <w:softHyphen/>
        <w:t>ченного до 20 мм диаметра. Из всех этих изменений снаружи видны только увеличен</w:t>
      </w:r>
      <w:r w:rsidRPr="00F90EAE">
        <w:rPr>
          <w:color w:val="0070C0"/>
          <w:sz w:val="16"/>
          <w:szCs w:val="16"/>
        </w:rPr>
        <w:softHyphen/>
        <w:t>ные головки новых болтов внешнего ряда - они на передних катках нового типа такие же, как и головки болтов крепления катка к сту</w:t>
      </w:r>
      <w:r w:rsidRPr="00F90EAE">
        <w:rPr>
          <w:color w:val="0070C0"/>
          <w:sz w:val="16"/>
          <w:szCs w:val="16"/>
        </w:rPr>
        <w:softHyphen/>
        <w:t>пице (размер под ключ 30 мм, диаметр опи</w:t>
      </w:r>
      <w:r w:rsidRPr="00F90EAE">
        <w:rPr>
          <w:color w:val="0070C0"/>
          <w:sz w:val="16"/>
          <w:szCs w:val="16"/>
        </w:rPr>
        <w:softHyphen/>
        <w:t>санной окружности 33 мм). На втором-пятом катках головки болтов внешнего ряда оста</w:t>
      </w:r>
      <w:r w:rsidRPr="00F90EAE">
        <w:rPr>
          <w:color w:val="0070C0"/>
          <w:sz w:val="16"/>
          <w:szCs w:val="16"/>
        </w:rPr>
        <w:softHyphen/>
        <w:t>лись прежние - меньшего размера (под ключ - 24 мм, диаметр описанной окружности 26,2 мм) (19927).</w:t>
      </w:r>
    </w:p>
    <w:p w14:paraId="433886FF" w14:textId="77777777" w:rsidR="00326301" w:rsidRPr="00F90EAE" w:rsidRDefault="00326301" w:rsidP="00F90EAE">
      <w:pPr>
        <w:jc w:val="both"/>
        <w:rPr>
          <w:color w:val="0070C0"/>
          <w:sz w:val="16"/>
          <w:szCs w:val="16"/>
        </w:rPr>
      </w:pPr>
    </w:p>
    <w:p w14:paraId="767FA64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вышло Постановление ГКО № 8373 [О мерах по обеспечению перевозок грузов Норильского комбината НКВД из Архангельска в Дудинку.] (7335, 92).</w:t>
      </w:r>
    </w:p>
    <w:p w14:paraId="1A1BF16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09BC7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вышло Распоряжение ГКО № 8376 [О выделении 4,7 тыс. военнослужащих на сплавные и выгрузочные работы Наркомлеса, НКБП и НКПС.] (7335, 95).</w:t>
      </w:r>
    </w:p>
    <w:p w14:paraId="398EE65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A2830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года мощность Ростсельмаша по выпуску 120 мм мин составляла 30000 штук в месяц. После войны цех по выпуску мин использован под общежитие Лагеря военнопленных (9663).</w:t>
      </w:r>
    </w:p>
    <w:p w14:paraId="32E569CA" w14:textId="77777777" w:rsidR="00665165" w:rsidRPr="00F90EAE" w:rsidRDefault="00665165" w:rsidP="00F90EAE">
      <w:pPr>
        <w:autoSpaceDE w:val="0"/>
        <w:autoSpaceDN w:val="0"/>
        <w:adjustRightInd w:val="0"/>
        <w:jc w:val="both"/>
        <w:rPr>
          <w:color w:val="000000" w:themeColor="text1"/>
          <w:sz w:val="16"/>
          <w:szCs w:val="16"/>
        </w:rPr>
      </w:pPr>
    </w:p>
    <w:p w14:paraId="261836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Балтийцы строили 17 ТЩ типа МТ-2: 6 находились на плаву, 5 готовились к спуску на воду, 3 - на поточной линии, 3 заложены. В ремонте у заводского пирса стояли линкор, 2 крейсера, 2 эсминца и 3 ПЛ (10671).</w:t>
      </w:r>
    </w:p>
    <w:p w14:paraId="09E1A8B2" w14:textId="77777777" w:rsidR="00665165" w:rsidRPr="00F90EAE" w:rsidRDefault="00665165" w:rsidP="00F90EAE">
      <w:pPr>
        <w:autoSpaceDE w:val="0"/>
        <w:autoSpaceDN w:val="0"/>
        <w:adjustRightInd w:val="0"/>
        <w:jc w:val="both"/>
        <w:rPr>
          <w:color w:val="000000" w:themeColor="text1"/>
          <w:sz w:val="16"/>
          <w:szCs w:val="16"/>
        </w:rPr>
      </w:pPr>
    </w:p>
    <w:p w14:paraId="31116F2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4E33299" w14:textId="77777777" w:rsidR="00665165" w:rsidRPr="00F90EAE" w:rsidRDefault="00665165" w:rsidP="00F90EAE">
      <w:pPr>
        <w:autoSpaceDE w:val="0"/>
        <w:autoSpaceDN w:val="0"/>
        <w:adjustRightInd w:val="0"/>
        <w:jc w:val="both"/>
        <w:rPr>
          <w:iCs/>
          <w:color w:val="000000" w:themeColor="text1"/>
          <w:sz w:val="16"/>
          <w:szCs w:val="16"/>
        </w:rPr>
      </w:pPr>
    </w:p>
    <w:p w14:paraId="1B18C6DD"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оперативная сводка Совинформбюро: </w:t>
      </w:r>
    </w:p>
    <w:p w14:paraId="2091D75E" w14:textId="77777777" w:rsidR="007D65F3" w:rsidRPr="00F90EAE" w:rsidRDefault="007D65F3" w:rsidP="00F90EAE">
      <w:pPr>
        <w:jc w:val="both"/>
        <w:rPr>
          <w:color w:val="000000" w:themeColor="text1"/>
          <w:sz w:val="16"/>
          <w:szCs w:val="16"/>
        </w:rPr>
      </w:pPr>
      <w:r w:rsidRPr="00F90EAE">
        <w:rPr>
          <w:color w:val="000000" w:themeColor="text1"/>
          <w:sz w:val="16"/>
          <w:szCs w:val="16"/>
        </w:rPr>
        <w:t>«В течение 1 мая юго-западнее города и порта Пиллау войска 3-го Белорусского фронта вели бои по очищению от противника косы Фриш-Нерунг и заняли населённые пункты Нармельн, Брандхайдшер, Нойкруг и Феглерс.</w:t>
      </w:r>
    </w:p>
    <w:p w14:paraId="15FFE4C7" w14:textId="77777777" w:rsidR="007D65F3" w:rsidRPr="00F90EAE" w:rsidRDefault="007D65F3" w:rsidP="00F90EAE">
      <w:pPr>
        <w:jc w:val="both"/>
        <w:rPr>
          <w:color w:val="000000" w:themeColor="text1"/>
          <w:sz w:val="16"/>
          <w:szCs w:val="16"/>
        </w:rPr>
      </w:pPr>
      <w:r w:rsidRPr="00F90EAE">
        <w:rPr>
          <w:color w:val="000000" w:themeColor="text1"/>
          <w:sz w:val="16"/>
          <w:szCs w:val="16"/>
        </w:rPr>
        <w:t>Войска 2-го Белорусского фронта, развивая стремительное наступление, 1 мая овладели городами Штральзунд, Гриммен, Деммин, Мальхин, Варен, Везен-Берг — важными узлами дорог и сильными опорными пунктами обороны немцев, а также заняли крупные населённые пункты Штейнхаген, Абтсхаген, Гремерс-Дорф, Дейельсдорф, Гнойен, Даргун, Нойкален, Штавенхаген, Гилов, Швинкендорф, Мелленхаген, Кратцебург, Квальцов, Штразен. В боях за 30 апреля войска фронта взяли в плен 8.500 немецких солдат и офицеров и захватили 66 самолётов и 100 полевых орудий.</w:t>
      </w:r>
    </w:p>
    <w:p w14:paraId="14F85F8B" w14:textId="77777777" w:rsidR="007D65F3" w:rsidRPr="00F90EAE" w:rsidRDefault="007D65F3" w:rsidP="00F90EAE">
      <w:pPr>
        <w:jc w:val="both"/>
        <w:rPr>
          <w:color w:val="000000" w:themeColor="text1"/>
          <w:sz w:val="16"/>
          <w:szCs w:val="16"/>
        </w:rPr>
      </w:pPr>
      <w:r w:rsidRPr="00F90EAE">
        <w:rPr>
          <w:color w:val="000000" w:themeColor="text1"/>
          <w:sz w:val="16"/>
          <w:szCs w:val="16"/>
        </w:rPr>
        <w:t>Войска 1-го Белорусского фронта 1 мая штурмом овладели городом Бранденбург — центром Бранденбургской провинции и мощным опорным пунктом обороны немцев в Центральной Германии. Одновременно северо-западнее Берлина войска фронта, продолжая наступление, с боями заняли город ЛИНДОВ и крупные населённые пункты Альтруппин, Херцберг, Вутенов, Лихтенберг, Нарве, Беетц, Зоммерфельд. В Берлине войска фронта очистили от противника городские районы Шарлоттенбург, Шенеберг и в центральной части города заняли более 100 кварталов. В боях за 30 апреля войска фронта взяли в плен более 14.000 немецких солдат и офицеров.</w:t>
      </w:r>
    </w:p>
    <w:p w14:paraId="17760248" w14:textId="77777777" w:rsidR="007D65F3" w:rsidRPr="00F90EAE" w:rsidRDefault="007D65F3" w:rsidP="00F90EAE">
      <w:pPr>
        <w:jc w:val="both"/>
        <w:rPr>
          <w:color w:val="000000" w:themeColor="text1"/>
          <w:sz w:val="16"/>
          <w:szCs w:val="16"/>
        </w:rPr>
      </w:pPr>
      <w:r w:rsidRPr="00F90EAE">
        <w:rPr>
          <w:color w:val="000000" w:themeColor="text1"/>
          <w:sz w:val="16"/>
          <w:szCs w:val="16"/>
        </w:rPr>
        <w:t>Южнее Берлина наши войска продолжали вести бои по уничтожению остатков окружённой группы немецких войск в лесах восточнее города Лукенвальде. В ходе боёв наши войска расчленили противника на две изолированные друг от друга части и вели успешные бои по их уничтожению.</w:t>
      </w:r>
    </w:p>
    <w:p w14:paraId="25425322" w14:textId="77777777" w:rsidR="007D65F3" w:rsidRPr="00F90EAE" w:rsidRDefault="007D65F3"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1 мая овладели городами Богумин, Фриштат, Скочув, Чадца и Великая Битча — важными узлами дорог и сильными опорными пунктами обороны немцев в полосе Западных Карпат, а также заняли крупные населённые пункты Скржипов, Маркерсдорф, Слатина, Биловец, Климковице, Витковице, Дьетмаровице, Петровице, Скалите, Догубари, Оходница, Нове Место, Плевник.</w:t>
      </w:r>
    </w:p>
    <w:p w14:paraId="7C7C040F" w14:textId="77777777" w:rsidR="007D65F3" w:rsidRPr="00F90EAE" w:rsidRDefault="007D65F3" w:rsidP="00F90EAE">
      <w:pPr>
        <w:jc w:val="both"/>
        <w:rPr>
          <w:color w:val="000000" w:themeColor="text1"/>
          <w:sz w:val="16"/>
          <w:szCs w:val="16"/>
        </w:rPr>
      </w:pPr>
      <w:r w:rsidRPr="00F90EAE">
        <w:rPr>
          <w:color w:val="000000" w:themeColor="text1"/>
          <w:sz w:val="16"/>
          <w:szCs w:val="16"/>
        </w:rPr>
        <w:t>Восточнее города Брно войска 2-го Украинского фронта с боями заняли город Вышков и крупные населённые пункты Пухов, Ледницке, Кошеца, Илява, Дубница, Немшова, Житкова, Бискупице, Биловице, Бабице, Роштын, Пустимерж.</w:t>
      </w:r>
    </w:p>
    <w:p w14:paraId="3CB4A2F1" w14:textId="77777777" w:rsidR="007D65F3" w:rsidRPr="00F90EAE" w:rsidRDefault="007D65F3"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78DBDC2D" w14:textId="77777777" w:rsidR="007D65F3" w:rsidRPr="00F90EAE" w:rsidRDefault="007D65F3" w:rsidP="00F90EAE">
      <w:pPr>
        <w:jc w:val="both"/>
        <w:rPr>
          <w:color w:val="000000" w:themeColor="text1"/>
          <w:sz w:val="16"/>
          <w:szCs w:val="16"/>
        </w:rPr>
      </w:pPr>
      <w:r w:rsidRPr="00F90EAE">
        <w:rPr>
          <w:color w:val="000000" w:themeColor="text1"/>
          <w:sz w:val="16"/>
          <w:szCs w:val="16"/>
        </w:rPr>
        <w:t>За 30 апреля на всех фронтах подбито и уничтожено 98 немецких танков и самоходных орудий. В воздушных боях и огнём зенитной артиллерии сбито 26 самолётов противника.»</w:t>
      </w:r>
    </w:p>
    <w:p w14:paraId="259AA861" w14:textId="77777777" w:rsidR="007D65F3" w:rsidRPr="00F90EAE" w:rsidRDefault="007D65F3" w:rsidP="00F90EAE">
      <w:pPr>
        <w:jc w:val="both"/>
        <w:rPr>
          <w:color w:val="000000" w:themeColor="text1"/>
          <w:sz w:val="16"/>
          <w:szCs w:val="16"/>
        </w:rPr>
      </w:pPr>
      <w:r w:rsidRPr="00F90EAE">
        <w:rPr>
          <w:color w:val="000000" w:themeColor="text1"/>
          <w:sz w:val="16"/>
          <w:szCs w:val="16"/>
        </w:rPr>
        <w:t>Налёт нашей авиации на Свинемюнде:</w:t>
      </w:r>
    </w:p>
    <w:p w14:paraId="393A58CC" w14:textId="77777777" w:rsidR="007D65F3" w:rsidRPr="00F90EAE" w:rsidRDefault="007D65F3" w:rsidP="00F90EAE">
      <w:pPr>
        <w:jc w:val="both"/>
        <w:rPr>
          <w:color w:val="000000" w:themeColor="text1"/>
          <w:sz w:val="16"/>
          <w:szCs w:val="16"/>
        </w:rPr>
      </w:pPr>
      <w:r w:rsidRPr="00F90EAE">
        <w:rPr>
          <w:color w:val="000000" w:themeColor="text1"/>
          <w:sz w:val="16"/>
          <w:szCs w:val="16"/>
        </w:rPr>
        <w:t>«В ночь на 1 мая наши тяжёлые бомбардировщики нанесли массированный удар по военным объектам противника в Свинемюнде. В результате этого удара на территории судоверфей и в порту возникло 14 пожаров, сопровождавшихся взрывами большой силы.»</w:t>
      </w:r>
    </w:p>
    <w:p w14:paraId="0E6D4F7F" w14:textId="77777777" w:rsidR="007D65F3" w:rsidRPr="00F90EAE" w:rsidRDefault="007D65F3" w:rsidP="00F90EAE">
      <w:pPr>
        <w:jc w:val="both"/>
        <w:rPr>
          <w:color w:val="000000" w:themeColor="text1"/>
          <w:sz w:val="16"/>
          <w:szCs w:val="16"/>
        </w:rPr>
      </w:pPr>
      <w:r w:rsidRPr="00F90EAE">
        <w:rPr>
          <w:color w:val="000000" w:themeColor="text1"/>
          <w:sz w:val="16"/>
          <w:szCs w:val="16"/>
        </w:rPr>
        <w:t>«Войска 2-го Белорусского фронта продолжали успешное наступление. Все попытки противника задержаться на промежуточных рубежах сорваны решительными действиями советских войск. На шоссейной дороге Грайфсвальд — Штральзунд наши танкисты атаковали и разгромили большие колонны немецкой пехоты. Взято несколько тысяч пленных. Сегодня наши войска с боями продвинулись вперёд на 30 километров и стремительным ударом овладели городом Штральзунд — сильным опорным пунктом обороны немцев. Штрадьзунд — крупный узел железных, и шоссейных дорог и порт на Балтийском море. Захвачено у немцев 23 паровоза, свыше тысячи вагонов и много других трофеев.</w:t>
      </w:r>
    </w:p>
    <w:p w14:paraId="128F7642" w14:textId="77777777" w:rsidR="007D65F3" w:rsidRPr="00F90EAE" w:rsidRDefault="007D65F3" w:rsidP="00F90EAE">
      <w:pPr>
        <w:jc w:val="both"/>
        <w:rPr>
          <w:color w:val="000000" w:themeColor="text1"/>
          <w:sz w:val="16"/>
          <w:szCs w:val="16"/>
        </w:rPr>
      </w:pPr>
      <w:r w:rsidRPr="00F90EAE">
        <w:rPr>
          <w:color w:val="000000" w:themeColor="text1"/>
          <w:sz w:val="16"/>
          <w:szCs w:val="16"/>
        </w:rPr>
        <w:t>Войска 1-го Белорусского фронта продолжали наступление. Советские пехотинцы, танкисты и кавалеристы обошли цепь озёр, прикрывающую город Бранденбург. Сломив упорное вражеское сопротивление, наши части ворвались в Бранденбург с севера и штурмом овладеет городом. Бранденбург — крупный промышленный центр. В нём имеются автомобильные, машиностроительные, химические заводы и судостроительные верфи.</w:t>
      </w:r>
    </w:p>
    <w:p w14:paraId="24B88185" w14:textId="77777777" w:rsidR="007D65F3" w:rsidRPr="00F90EAE" w:rsidRDefault="007D65F3" w:rsidP="00F90EAE">
      <w:pPr>
        <w:jc w:val="both"/>
        <w:rPr>
          <w:color w:val="000000" w:themeColor="text1"/>
          <w:sz w:val="16"/>
          <w:szCs w:val="16"/>
        </w:rPr>
      </w:pPr>
      <w:r w:rsidRPr="00F90EAE">
        <w:rPr>
          <w:color w:val="000000" w:themeColor="text1"/>
          <w:sz w:val="16"/>
          <w:szCs w:val="16"/>
        </w:rPr>
        <w:t>В Берлине войска фронта вели ожесточённые уличные бои. Советские части подавили узлы сопротивления противника на улице Бисмарк-штрассе и подошли к парку Тиргартен с запада. Бои идут за каждую улицу, квартал, отдельные дома, квартиры и подвалы, в которых засели гитлеровцы. Наши штурмовые группы сегодня с боями заняли более ста кварталов в центре города. К исходу дня городские районы Шарлоттен-бург и Шенеберг были полностью очищены от противника. За день боёв уничтожено свыше 8 тысяч немецких солдат и офицеров. Захвачено много трофеев.</w:t>
      </w:r>
    </w:p>
    <w:p w14:paraId="554D7FFD" w14:textId="77777777" w:rsidR="007D65F3" w:rsidRPr="00F90EAE" w:rsidRDefault="007D65F3" w:rsidP="00F90EAE">
      <w:pPr>
        <w:jc w:val="both"/>
        <w:rPr>
          <w:color w:val="000000" w:themeColor="text1"/>
          <w:sz w:val="16"/>
          <w:szCs w:val="16"/>
        </w:rPr>
      </w:pPr>
      <w:r w:rsidRPr="00F90EAE">
        <w:rPr>
          <w:color w:val="000000" w:themeColor="text1"/>
          <w:sz w:val="16"/>
          <w:szCs w:val="16"/>
        </w:rPr>
        <w:t>Южнее Берлина окружённая группа немецких войск, не считаясь с огромными потерями, продолжает явно безнадёжные попытки прорваться на запад. Советские пехотинцы, танкисты и артиллеристы обложили врага непроницаемой стеной и огнём из всех видов оружия истребляют гитлеровцев. Только одно наше пехотное соединение за день уничтожило 4 тысячи немецких солдат и офицеров. Бойцы этого соединения захватили 28 танков, 31 бронетранспортёр, 78 орудий и другие трофеи. Наши войска расчленили окружённую группу немецких войск на две изолированные друг от друга части и наносят им непрерывные удары.</w:t>
      </w:r>
    </w:p>
    <w:p w14:paraId="1934015A" w14:textId="77777777" w:rsidR="007D65F3" w:rsidRPr="00F90EAE" w:rsidRDefault="007D65F3" w:rsidP="00F90EAE">
      <w:pPr>
        <w:jc w:val="both"/>
        <w:rPr>
          <w:color w:val="000000" w:themeColor="text1"/>
          <w:sz w:val="16"/>
          <w:szCs w:val="16"/>
        </w:rPr>
      </w:pPr>
      <w:r w:rsidRPr="00F90EAE">
        <w:rPr>
          <w:color w:val="000000" w:themeColor="text1"/>
          <w:sz w:val="16"/>
          <w:szCs w:val="16"/>
        </w:rPr>
        <w:lastRenderedPageBreak/>
        <w:t>С величайшей радостью и огромным воодушевлением советский народ встретил первомайский приказ Верховного Главнокомандующего Маршала Советского Союза товарища Сталина. С исключительным подъёмом проходят митинги и собрания рабочих, колхозников и советской интеллигенции, участники которых шлют слова любви и приветствия товарищу Сталину и Красной Армии.</w:t>
      </w:r>
    </w:p>
    <w:p w14:paraId="7B249782" w14:textId="77777777" w:rsidR="007D65F3" w:rsidRPr="00F90EAE" w:rsidRDefault="007D65F3" w:rsidP="00F90EAE">
      <w:pPr>
        <w:jc w:val="both"/>
        <w:rPr>
          <w:color w:val="000000" w:themeColor="text1"/>
          <w:sz w:val="16"/>
          <w:szCs w:val="16"/>
        </w:rPr>
      </w:pPr>
      <w:r w:rsidRPr="00F90EAE">
        <w:rPr>
          <w:color w:val="000000" w:themeColor="text1"/>
          <w:sz w:val="16"/>
          <w:szCs w:val="16"/>
        </w:rPr>
        <w:t>В Москве на собрании рабочих механического цеха 1-го Государственного подшипникового завода имени Кагановича выступил фрезеровщик Кашутин. «Мы переживаем,— сказал он,— счастливое время. Наш Верховный Главнокомандующий товарищ Сталин возвестил о том, что мировая война, развязанная германскими империалистами, подходит к концу. Крушение гитлеровской Германии — дело самого ближайшего будущего. Наша родная и славная Красная Армия громит немецко-фашистских захватчиков в Берлине и далеко за Берлином. В ответ на приказ товарища Сталина мы будем неутомимо трудиться и дадим Красной Армии всё, что необходимо для победоносного окончания завершающих боёв».</w:t>
      </w:r>
    </w:p>
    <w:p w14:paraId="45D550CF" w14:textId="77777777" w:rsidR="007D65F3" w:rsidRPr="00F90EAE" w:rsidRDefault="007D65F3" w:rsidP="00F90EAE">
      <w:pPr>
        <w:jc w:val="both"/>
        <w:rPr>
          <w:color w:val="000000" w:themeColor="text1"/>
          <w:sz w:val="16"/>
          <w:szCs w:val="16"/>
        </w:rPr>
      </w:pPr>
      <w:r w:rsidRPr="00F90EAE">
        <w:rPr>
          <w:color w:val="000000" w:themeColor="text1"/>
          <w:sz w:val="16"/>
          <w:szCs w:val="16"/>
        </w:rPr>
        <w:t>В Ленинграде на митинге коллектива завода имени Карла Маркса горячую и взволнованную речь произнёс стахановец тов. Мышкин. Он сказал: «В первомайском приказе товарищ Сталин назвал Ленинград городом-героем. Читая сталинские слова, вспоминаешь всё то, что мы пережили за эти годы. Мы жили и боролись, не щадя своих сил, думая лишь о победе. Великий Сталин провёл нас сквозь все невзгоды и испытания к нынешним радостным дням. В течение всей войны я выполнял задание на двести процентов. Теперь буду работать ещё лучше. Пусть это будет моим салютом нашим воинам-победителям».</w:t>
      </w:r>
    </w:p>
    <w:p w14:paraId="2389F556" w14:textId="77777777" w:rsidR="007D65F3" w:rsidRPr="00F90EAE" w:rsidRDefault="007D65F3" w:rsidP="00F90EAE">
      <w:pPr>
        <w:jc w:val="both"/>
        <w:rPr>
          <w:color w:val="000000" w:themeColor="text1"/>
          <w:sz w:val="16"/>
          <w:szCs w:val="16"/>
        </w:rPr>
      </w:pPr>
      <w:r w:rsidRPr="00F90EAE">
        <w:rPr>
          <w:color w:val="000000" w:themeColor="text1"/>
          <w:sz w:val="16"/>
          <w:szCs w:val="16"/>
        </w:rPr>
        <w:t>В Киеве на митинге рабочих Киевской ТЭЦ выступил котельщик тов. Команышко: «Немецко-фашистские захватчики,— заявил он,— разрушили энергетическое хозяйство столицы Советской Украины. Мы приложим все усилия, чтобы быстрее залечить раны, нанесённые гитлеровцами славному городу Киеву. Приказ товарища Сталина вселяет в нас новые силы, зовёт на новые трудовые подвиги во славу нашей Родины».</w:t>
      </w:r>
    </w:p>
    <w:p w14:paraId="7E959970" w14:textId="77777777" w:rsidR="007D65F3" w:rsidRPr="00F90EAE" w:rsidRDefault="007D65F3" w:rsidP="00F90EAE">
      <w:pPr>
        <w:jc w:val="both"/>
        <w:rPr>
          <w:color w:val="000000" w:themeColor="text1"/>
          <w:sz w:val="16"/>
          <w:szCs w:val="16"/>
        </w:rPr>
      </w:pPr>
      <w:r w:rsidRPr="00F90EAE">
        <w:rPr>
          <w:color w:val="000000" w:themeColor="text1"/>
          <w:sz w:val="16"/>
          <w:szCs w:val="16"/>
        </w:rPr>
        <w:t>В Баку на митинге рабочих 13 промысла треста «Лениннефть» выступил нефтяник Алиев. «Друзья,— сказал он,— над Берлином реет наше знамя победы. Дни гитлеровской Германии сочтены. Нас, тружеников тыла, товарищ Сталин призвал упорным и неутомимым трудом умножать всестороннюю помощь фронту. Мы дали сверх апрельского плана 11 тысяч тонн нефти. Будем работать ещё лучше. Дадим фронту и стране ещё больше горючего».</w:t>
      </w:r>
    </w:p>
    <w:p w14:paraId="4C2C5C8A" w14:textId="77777777" w:rsidR="007D65F3" w:rsidRPr="00F90EAE" w:rsidRDefault="007D65F3" w:rsidP="00F90EAE">
      <w:pPr>
        <w:jc w:val="both"/>
        <w:rPr>
          <w:color w:val="000000" w:themeColor="text1"/>
          <w:sz w:val="16"/>
          <w:szCs w:val="16"/>
        </w:rPr>
      </w:pPr>
      <w:r w:rsidRPr="00F90EAE">
        <w:rPr>
          <w:color w:val="000000" w:themeColor="text1"/>
          <w:sz w:val="16"/>
          <w:szCs w:val="16"/>
        </w:rPr>
        <w:t>На колхозных полях Дона днём и ночью кипит работа. Первомайский приказ товарища Сталина вызвал небывалый патриотический подъём среди колхозников. «Нашему району немцы нанесли тяжёлые раны, — сказал бригадир сельскохозяйственной артели Сельмаш Пеклинского района т. Заруба.— Мы возродили колхозы и заново отстроили станицы. Наш колхоз 25 апреля выполнил план сева ранних колосовых. Мы продолжаем сеять сверх плана. Мы клянемся любимому Сталину собрать высокий урожай и поднять ещё выше мощь нашего советского государства» (14878).</w:t>
      </w:r>
    </w:p>
    <w:p w14:paraId="5CE707E7" w14:textId="77777777" w:rsidR="007D65F3" w:rsidRPr="00F90EAE" w:rsidRDefault="007D65F3" w:rsidP="00F90EAE">
      <w:pPr>
        <w:jc w:val="both"/>
        <w:rPr>
          <w:color w:val="000000" w:themeColor="text1"/>
          <w:sz w:val="16"/>
          <w:szCs w:val="16"/>
        </w:rPr>
      </w:pPr>
    </w:p>
    <w:p w14:paraId="262706BB" w14:textId="77777777" w:rsidR="003B3957" w:rsidRPr="00F90EAE" w:rsidRDefault="003B3957" w:rsidP="00F90EAE">
      <w:pPr>
        <w:jc w:val="both"/>
        <w:rPr>
          <w:color w:val="000000" w:themeColor="text1"/>
          <w:sz w:val="16"/>
          <w:szCs w:val="16"/>
        </w:rPr>
      </w:pPr>
      <w:r w:rsidRPr="00F90EAE">
        <w:rPr>
          <w:color w:val="000000" w:themeColor="text1"/>
          <w:sz w:val="16"/>
          <w:szCs w:val="16"/>
        </w:rPr>
        <w:t>До 1 мая 1945 года 1-й запасной штурмовой авиабригадой на современном штурмовом самолете Ил-10 было переучено 11 маршевых авиаполков, из которых большая часть так и не успела попасть на фронт (17490).</w:t>
      </w:r>
    </w:p>
    <w:p w14:paraId="4239F74B" w14:textId="77777777" w:rsidR="003B3957" w:rsidRPr="00F90EAE" w:rsidRDefault="003B3957" w:rsidP="00F90EAE">
      <w:pPr>
        <w:jc w:val="both"/>
        <w:rPr>
          <w:color w:val="000000" w:themeColor="text1"/>
          <w:sz w:val="16"/>
          <w:szCs w:val="16"/>
        </w:rPr>
      </w:pPr>
    </w:p>
    <w:p w14:paraId="44D0DD66"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До 1 мая 1945 года 1-й запасной штурмовой авиабригадой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 5 года в составе воздушных армий фронтов насчитывалось 146 самолетов Ил-10. Кроме этого, 12 «десяток» имелось в ВВС ВМФ.</w:t>
      </w:r>
    </w:p>
    <w:p w14:paraId="1BCA7423"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Следует учитывать, что реальный уровень освоения самолета Ил-10 переученных полков был все же не настолько высоким, как того хотелось бы. Установленные нормативные сроки и налет по программе подготовки оказались излишне оптимистичными и не в полной мере отвечали изменившимся (по сравнению с Ил-2) летным данным и взлетно-посадочным качествам самолета Ил-10.</w:t>
      </w:r>
    </w:p>
    <w:p w14:paraId="40D633A3" w14:textId="77777777" w:rsidR="003B3957" w:rsidRPr="00F90EAE" w:rsidRDefault="003B3957"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Например, инструкторский состав запасных авиаполков 1 заб в ходе летно -тактических учений в конце апреля 1945 года смог выполнить упражнения по бомбометанию и стрельбе по наземной цели на полигоне только с оценкой «удовлетворительно» - средний балл вылетавших групп составил 3,5. При этом из 10 групп (всего 57 экипажей) задание по стрельбе с оценкой «отлично» выполнили только три группы, с оценкой «хорошо» - одна группа, «посредственно» - три группы и три группы задания не выполнили вовсе. Бомбометание с отличными результатами отработали всего шесть экипажей, с оценкой «хорошо» - 21 экипаж и «удовлетворительно» - 30 экипажей. Между тем налет инструкторов бригады на Ил-2 достигал 800-1200 часов, а количество вылетов на боевое применение исчислялось сотнями.</w:t>
      </w:r>
    </w:p>
    <w:p w14:paraId="7487D4A5" w14:textId="77777777" w:rsidR="003B3957" w:rsidRPr="00F90EAE" w:rsidRDefault="003B3957"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Инструкторы жаловались, что из-за повышенной скорости при пикировании они не успевают точно определить дальность до цели, учесть поправку на ветер, прицелиться, ввести поправку в прицеливание и выполнить положенную очередь из пушек и пулеметов в 10 и 40 патронов соответственно. По этим же причинам ошибка в определении момента сброса бомб вызывала заметно больший промах бомб по сравнению с самолетом Ил-2. Естественное желание «притормозить» на пикировании путем уменьшения угла пикирования при атаке цели приводило к снижению точности стрельбы и бомбометания уже за счет малых углов. Летчики предлагали увеличить количество заходов для стрельбы и бомбометания при отработке упражнений согласно «Курсу боевой подготовки штурмовой авиации 1944 г.», «так как Курс рассчитан на Ил -2, а Ил-10 сложнее».</w:t>
      </w:r>
    </w:p>
    <w:p w14:paraId="19F5B561"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Опять же из-за повышенной скорости полета инструкторам с большим трудом поначалу удавалось соблюдать компактный боевой порядок как во время атаки цели, так на выходе из атаки и отходе от цели. Маневр по вертикали, главное достоинство Ил-10, выполнялся неэнергичный.</w:t>
      </w:r>
    </w:p>
    <w:p w14:paraId="023C1266"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Летчики маршевых полков и вовсе показывали далеко не лучшие результаты. Так, при проведении проверки летно -боевой готовности полков 7 шак в мае 45-го выяснилось, что экипажи 807, 686, 503 и 806 шап «абсолютно не имеют представления о бомбометании с пикирования, высоту сбрасывания не выдерживают, маневрирование не выполняют, большинство сбрасывают бомбы не прицельно». 17 летчиками 686 шап было сброшено 34 бомбы. На полигоне было найдено только 9 бомб, из них 3 бомбы попали в цель, 3 бомбы «размазаны» по полигону и 3 бомбы группы майора Белова сброшены точно на КП полигона. Примерно так же отработал и 807-й штурмовой авиаполк, который «разбросал все бомбы по полигону». В 503 шап бомбометание с оценкой «отлично» выполнили только 2 экипажа, «хорошо» - 4 экипажа, «посредственно» - 4 экипажа и 16 экипажей задание не выполнили... (17490).</w:t>
      </w:r>
    </w:p>
    <w:p w14:paraId="559A8375" w14:textId="77777777" w:rsidR="003B3957" w:rsidRPr="00F90EAE" w:rsidRDefault="003B3957" w:rsidP="00F90EAE">
      <w:pPr>
        <w:jc w:val="both"/>
        <w:rPr>
          <w:rStyle w:val="107"/>
          <w:rFonts w:eastAsiaTheme="minorHAnsi"/>
          <w:color w:val="000000" w:themeColor="text1"/>
          <w:sz w:val="16"/>
          <w:szCs w:val="16"/>
        </w:rPr>
      </w:pPr>
    </w:p>
    <w:p w14:paraId="23B20663"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К 1 мая 1945 из Львова на аэродром Шрода перебросили 10 самолетов Ил-10 78 полка. Одновременно все имевшиеся в наличии штурмовики Ил-2 передавались в другие части дивизии.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вылетала на Ил-10. Однако к этому времени война подошла к концу и 78 гшап в бой не вводился.</w:t>
      </w:r>
    </w:p>
    <w:p w14:paraId="7FABB723" w14:textId="77777777" w:rsidR="003B3957" w:rsidRPr="00F90EAE" w:rsidRDefault="003B3957" w:rsidP="00F90EAE">
      <w:pPr>
        <w:jc w:val="both"/>
        <w:rPr>
          <w:color w:val="000000" w:themeColor="text1"/>
          <w:sz w:val="16"/>
          <w:szCs w:val="16"/>
        </w:rPr>
      </w:pPr>
      <w:r w:rsidRPr="00F90EAE">
        <w:rPr>
          <w:rStyle w:val="107"/>
          <w:rFonts w:eastAsiaTheme="minorHAnsi"/>
          <w:color w:val="000000" w:themeColor="text1"/>
          <w:sz w:val="16"/>
          <w:szCs w:val="16"/>
        </w:rPr>
        <w:t>Изучение новой материальной части самолетов Ил-10 и моторов АМ-42 летным и техническим составом 108-го гвардейского шап производилось на заводах № 1, 18 и 24 в период с 12 октября по 19 декабря 1944 года. Уровень знаний самолета и мотора летным составом оценивался средним баллом в 4,6, а технического состава - 4,4. Считалось, что полк вполне подготовлен для получения с заводов новой матчасти и переучивания летного состава на самолетах Ил-10 АМ-42 (17490).</w:t>
      </w:r>
    </w:p>
    <w:p w14:paraId="799DBC3D" w14:textId="77777777" w:rsidR="003B3957" w:rsidRPr="00F90EAE" w:rsidRDefault="003B3957" w:rsidP="00F90EAE">
      <w:pPr>
        <w:jc w:val="both"/>
        <w:rPr>
          <w:rStyle w:val="107"/>
          <w:rFonts w:eastAsiaTheme="minorHAnsi"/>
          <w:color w:val="000000" w:themeColor="text1"/>
          <w:sz w:val="16"/>
          <w:szCs w:val="16"/>
        </w:rPr>
      </w:pPr>
    </w:p>
    <w:p w14:paraId="334B5A2F" w14:textId="77777777" w:rsidR="007D65F3" w:rsidRPr="00F90EAE" w:rsidRDefault="007D65F3" w:rsidP="00F90EAE">
      <w:pPr>
        <w:jc w:val="both"/>
        <w:rPr>
          <w:color w:val="000000" w:themeColor="text1"/>
          <w:sz w:val="16"/>
          <w:szCs w:val="16"/>
        </w:rPr>
      </w:pPr>
      <w:r w:rsidRPr="00F90EAE">
        <w:rPr>
          <w:color w:val="000000" w:themeColor="text1"/>
          <w:sz w:val="16"/>
          <w:szCs w:val="16"/>
        </w:rPr>
        <w:t>На 1 мая 1945 г. в 30 бригадах и 4 полках было 760 гаубиц Б-4 (15132).</w:t>
      </w:r>
    </w:p>
    <w:p w14:paraId="6CCF97CF" w14:textId="77777777" w:rsidR="007D65F3" w:rsidRPr="00F90EAE" w:rsidRDefault="007D65F3" w:rsidP="00F90EAE">
      <w:pPr>
        <w:jc w:val="both"/>
        <w:rPr>
          <w:color w:val="000000" w:themeColor="text1"/>
          <w:sz w:val="16"/>
          <w:szCs w:val="16"/>
        </w:rPr>
      </w:pPr>
    </w:p>
    <w:p w14:paraId="72FFDF20"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лётчики 2-й воздушной армии во время полета над Берлином сбросили на столицу фашистской Германии два красных полотнища с надписью: на первом "Победа" (на обратной стороне "Слава советским воинам, водрузившим Знамя Победы над Берлином"), на втором "Да здравствует 1 Мая!" (14878).</w:t>
      </w:r>
    </w:p>
    <w:p w14:paraId="5D1FC370" w14:textId="77777777" w:rsidR="007D65F3" w:rsidRPr="00F90EAE" w:rsidRDefault="007D65F3" w:rsidP="00F90EAE">
      <w:pPr>
        <w:jc w:val="both"/>
        <w:rPr>
          <w:color w:val="000000" w:themeColor="text1"/>
          <w:sz w:val="16"/>
          <w:szCs w:val="16"/>
        </w:rPr>
      </w:pPr>
    </w:p>
    <w:p w14:paraId="269980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 мая 1945 г. на аэродром Шрода было перегнано 10 самолетов Ил-10, что увеличило численный состав 78-го гшап до 18 штурмовиков этого типа. Помимо «десяток», полк имел пару Ил-2, один УИл-2 и один По-2. Считалось, что к боевым действиям подготовлены все летчики полка (43 человека), так как молодежь уже самостоятельно вы</w:t>
      </w:r>
      <w:r w:rsidRPr="00F90EAE">
        <w:rPr>
          <w:color w:val="000000" w:themeColor="text1"/>
          <w:sz w:val="16"/>
          <w:szCs w:val="16"/>
        </w:rPr>
        <w:softHyphen/>
        <w:t>летала на Ил-10. Однако к этому вре</w:t>
      </w:r>
      <w:r w:rsidRPr="00F90EAE">
        <w:rPr>
          <w:color w:val="000000" w:themeColor="text1"/>
          <w:sz w:val="16"/>
          <w:szCs w:val="16"/>
        </w:rPr>
        <w:softHyphen/>
        <w:t>мени война подошла к концу и 78-й гшап в бой не вводился (11131).</w:t>
      </w:r>
    </w:p>
    <w:p w14:paraId="69E075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314B0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1 мая 1945 г. 1-й запасной штурмовой авиабри</w:t>
      </w:r>
      <w:r w:rsidRPr="00F90EAE">
        <w:rPr>
          <w:color w:val="000000" w:themeColor="text1"/>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F90EAE">
        <w:rPr>
          <w:color w:val="000000" w:themeColor="text1"/>
          <w:sz w:val="16"/>
          <w:szCs w:val="16"/>
        </w:rPr>
        <w:softHyphen/>
        <w:t>правных и 26 неисправных самоле</w:t>
      </w:r>
      <w:r w:rsidRPr="00F90EAE">
        <w:rPr>
          <w:color w:val="000000" w:themeColor="text1"/>
          <w:sz w:val="16"/>
          <w:szCs w:val="16"/>
        </w:rPr>
        <w:softHyphen/>
        <w:t>тов Ил-10. Кроме этого, 12 «деся</w:t>
      </w:r>
      <w:r w:rsidRPr="00F90EAE">
        <w:rPr>
          <w:color w:val="000000" w:themeColor="text1"/>
          <w:sz w:val="16"/>
          <w:szCs w:val="16"/>
        </w:rPr>
        <w:softHyphen/>
        <w:t>ток» имелось в ВВС ВМФ (11132).</w:t>
      </w:r>
    </w:p>
    <w:p w14:paraId="2BCFE5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1B33C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 1-й ГМТАП располагал 6/5 Ил-4 на аэродроме Грабштейн (главный аэродром полка с конца февраля 1945 г.) и 4/4 на аэродроме Паланга. 3-я эскадрилья включала 10 боевых экипажей, половина из которых имела опыт ночных полетов. Интересно отметить, что к августу 1945 г. число Ил-4 в составе ВВС КБФ даже несколько возросло и составило 17/13 машин. Очевидно, что объяснение этому достаточно просто - так же, как и на Севере, пополнение осуществлялось за счет передачи самолетов, ранее успевших послужить в Авиации Дальнего Действия (9965).</w:t>
      </w:r>
    </w:p>
    <w:p w14:paraId="3432A661" w14:textId="77777777" w:rsidR="00665165" w:rsidRPr="00F90EAE" w:rsidRDefault="00665165" w:rsidP="00F90EAE">
      <w:pPr>
        <w:autoSpaceDE w:val="0"/>
        <w:autoSpaceDN w:val="0"/>
        <w:adjustRightInd w:val="0"/>
        <w:jc w:val="both"/>
        <w:rPr>
          <w:color w:val="000000" w:themeColor="text1"/>
          <w:sz w:val="16"/>
          <w:szCs w:val="16"/>
        </w:rPr>
      </w:pPr>
    </w:p>
    <w:p w14:paraId="1625A4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с двух групп Яков (17 машин 115 иап и ? машин 1 иап) в 12:25 над Рейхстагом спустили 2 знамени. Знамя 115 иап было 6 м длины с надписью Победа и Слава советским воинам, водрузившим знамя победы над Берлином. Сбросили с машины К.В.Новоселова. Знамя 1 иап имело надпись Победа! Да здравствует 1 Мая. Бросал с со второго сидения Як-9УТ командира полка В.К.Ищенко сотрудник армейской газеты А.М.Хорунжий (455,174).</w:t>
      </w:r>
    </w:p>
    <w:p w14:paraId="3D29F368" w14:textId="77777777" w:rsidR="00665165" w:rsidRPr="00F90EAE" w:rsidRDefault="00665165" w:rsidP="00F90EAE">
      <w:pPr>
        <w:autoSpaceDE w:val="0"/>
        <w:autoSpaceDN w:val="0"/>
        <w:adjustRightInd w:val="0"/>
        <w:jc w:val="both"/>
        <w:rPr>
          <w:color w:val="000000" w:themeColor="text1"/>
          <w:sz w:val="16"/>
          <w:szCs w:val="16"/>
        </w:rPr>
      </w:pPr>
    </w:p>
    <w:p w14:paraId="0D6BA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 Ил-10 успели поступить на вооружение 12 полков (9528).</w:t>
      </w:r>
    </w:p>
    <w:p w14:paraId="77414F54" w14:textId="77777777" w:rsidR="00665165" w:rsidRPr="00F90EAE" w:rsidRDefault="00665165" w:rsidP="00F90EAE">
      <w:pPr>
        <w:autoSpaceDE w:val="0"/>
        <w:autoSpaceDN w:val="0"/>
        <w:adjustRightInd w:val="0"/>
        <w:jc w:val="both"/>
        <w:rPr>
          <w:color w:val="000000" w:themeColor="text1"/>
          <w:sz w:val="16"/>
          <w:szCs w:val="16"/>
        </w:rPr>
      </w:pPr>
    </w:p>
    <w:p w14:paraId="1F8D44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К 1 мая 1945 г. в составе 78-го гшап на</w:t>
      </w:r>
      <w:r w:rsidRPr="00F90EAE">
        <w:rPr>
          <w:color w:val="000000" w:themeColor="text1"/>
          <w:sz w:val="16"/>
          <w:szCs w:val="16"/>
        </w:rPr>
        <w:softHyphen/>
        <w:t>ходилось 18 Ил-10, пара Ил-2, один УИл-2 и один По-2. Считалось, что к бое</w:t>
      </w:r>
      <w:r w:rsidRPr="00F90EAE">
        <w:rPr>
          <w:color w:val="000000" w:themeColor="text1"/>
          <w:sz w:val="16"/>
          <w:szCs w:val="16"/>
        </w:rPr>
        <w:softHyphen/>
        <w:t>вым действиям подготовлены все летчи</w:t>
      </w:r>
      <w:r w:rsidRPr="00F90EAE">
        <w:rPr>
          <w:color w:val="000000" w:themeColor="text1"/>
          <w:sz w:val="16"/>
          <w:szCs w:val="16"/>
        </w:rPr>
        <w:softHyphen/>
        <w:t>ки (43 человека), так как молодежь уже самостоятельно вылетала на Ил-10. Однако к этому времени война подо</w:t>
      </w:r>
      <w:r w:rsidRPr="00F90EAE">
        <w:rPr>
          <w:color w:val="000000" w:themeColor="text1"/>
          <w:sz w:val="16"/>
          <w:szCs w:val="16"/>
        </w:rPr>
        <w:softHyphen/>
        <w:t>шла к концу, и 78-й полк в бой так и не вступил (10681).</w:t>
      </w:r>
    </w:p>
    <w:p w14:paraId="099432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553D9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 1-й заб было переучено и отправлено в действу</w:t>
      </w:r>
      <w:r w:rsidRPr="00F90EAE">
        <w:rPr>
          <w:color w:val="000000" w:themeColor="text1"/>
          <w:sz w:val="16"/>
          <w:szCs w:val="16"/>
        </w:rPr>
        <w:softHyphen/>
        <w:t>ющую армию в общей сложности 11 пол</w:t>
      </w:r>
      <w:r w:rsidRPr="00F90EAE">
        <w:rPr>
          <w:color w:val="000000" w:themeColor="text1"/>
          <w:sz w:val="16"/>
          <w:szCs w:val="16"/>
        </w:rPr>
        <w:softHyphen/>
        <w:t>ков на Ил-10, из которых большая часть так и не успела попасть на передовую. По состоянию на 10 мая в составе воз</w:t>
      </w:r>
      <w:r w:rsidRPr="00F90EAE">
        <w:rPr>
          <w:color w:val="000000" w:themeColor="text1"/>
          <w:sz w:val="16"/>
          <w:szCs w:val="16"/>
        </w:rPr>
        <w:softHyphen/>
        <w:t>душных армий фронтов насчитывалось 120 исправных и 26 неисправных Ил-10. Кроме этого, дюжина «десяток» име</w:t>
      </w:r>
      <w:r w:rsidRPr="00F90EAE">
        <w:rPr>
          <w:color w:val="000000" w:themeColor="text1"/>
          <w:sz w:val="16"/>
          <w:szCs w:val="16"/>
        </w:rPr>
        <w:softHyphen/>
        <w:t>лась в морской авиации (10681).</w:t>
      </w:r>
    </w:p>
    <w:p w14:paraId="4CC928B4" w14:textId="77777777" w:rsidR="00665165" w:rsidRPr="00F90EAE" w:rsidRDefault="00665165" w:rsidP="00F90EAE">
      <w:pPr>
        <w:autoSpaceDE w:val="0"/>
        <w:autoSpaceDN w:val="0"/>
        <w:adjustRightInd w:val="0"/>
        <w:jc w:val="both"/>
        <w:rPr>
          <w:color w:val="000000" w:themeColor="text1"/>
          <w:sz w:val="16"/>
          <w:szCs w:val="16"/>
        </w:rPr>
      </w:pPr>
    </w:p>
    <w:p w14:paraId="5C2B4F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 в строю польских ВВС числилось 107 Пе-2 и УПе-2. Из них 91 самолет входил в 1-ю бомбардировочную дивизию, 12 - в авиашколу в Деблине, 2 - в 15-й запасной полк; еще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 по две-три машины из каждой серии (4476).</w:t>
      </w:r>
    </w:p>
    <w:p w14:paraId="049FEBE5" w14:textId="77777777" w:rsidR="00665165" w:rsidRPr="00F90EAE" w:rsidRDefault="00665165" w:rsidP="00F90EAE">
      <w:pPr>
        <w:autoSpaceDE w:val="0"/>
        <w:autoSpaceDN w:val="0"/>
        <w:adjustRightInd w:val="0"/>
        <w:jc w:val="both"/>
        <w:rPr>
          <w:color w:val="000000" w:themeColor="text1"/>
          <w:sz w:val="16"/>
          <w:szCs w:val="16"/>
        </w:rPr>
      </w:pPr>
    </w:p>
    <w:p w14:paraId="06297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I мая 1945 г. в строю польских ВВС числилось 107 Пе-2 и УПс-2. Из них 91 самолет принадлежал 1-й бомбардировочной дивизии, 12 - авиашколе в Деблине, два 15-му запасному полку; еше две машины находились в распоряжении командования корпуса и ВВС. Поставки продолжались до сентября 1945 г. Всего Советский Союз передал Польше 113 боевых Пе-2 и 11 УПе-2. Это были самолеты выпуска 1944-1945 гг. различных серий - от 308-й до 442-й, а УПе-2 - с 354-й по 470-ю.</w:t>
      </w:r>
    </w:p>
    <w:p w14:paraId="7F512C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второй половине 1945 г. польские ВВС подверглись реорганизации. 4-й и 5-й полки расформировали, 3-й переименовали в 7-й отдельный полк пикирующих бомбардировщиков. Часть самолетов в связи с этим законсервировали. На I июля 1947 г. эксплуатировались только 49 Пе-2 и 9 УПе-2. 28 октября 1948 г. воссоздали польскую морскую авиацию в виде отдельной эскадры авиации ВМФ. В нее входило разведывательно-бомбардировочное звено на Пе-2 (три самолета). Пе-2, переданные из состава ВВС, были уже порядком изношены, и пикировать на них не разрешали, поэтому использовали в основном в качестве разведчиков.</w:t>
      </w:r>
    </w:p>
    <w:p w14:paraId="682DCF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польских послевоенных ВВС на бомбардировщиках Пе-2 летала целая авиадивизия.</w:t>
      </w:r>
    </w:p>
    <w:p w14:paraId="407AC2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1950-1951 гг. в Польшу начали поступать Ту-2, частично вытеснившие устаревшие бомбардировщики Петлякова, однако Пе-2 фактически дослужили до появления первых Ил-28. В учебных подразделениях УПе-2 вместе с УТБ (на базе Ту-2) эксплуатировались и во второй половине 1950-х годов. Некоторые "пешки" в начале того десятилетия применялись для буксировки мишеней для воздушной стрельбы, аэрофотосъемки и других вспомогательных целей. Один разоруженный самолет превратили в летающий стенд для испытания реактивных двигателей. Двигатель монтировался над "спиной" самолета на громоздкой ферме из труб (12042).</w:t>
      </w:r>
    </w:p>
    <w:p w14:paraId="4074C91E" w14:textId="77777777" w:rsidR="00665165" w:rsidRPr="00F90EAE" w:rsidRDefault="00665165" w:rsidP="00F90EAE">
      <w:pPr>
        <w:autoSpaceDE w:val="0"/>
        <w:autoSpaceDN w:val="0"/>
        <w:adjustRightInd w:val="0"/>
        <w:jc w:val="both"/>
        <w:rPr>
          <w:color w:val="000000" w:themeColor="text1"/>
          <w:sz w:val="16"/>
          <w:szCs w:val="16"/>
        </w:rPr>
      </w:pPr>
    </w:p>
    <w:p w14:paraId="5B545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в полках ПВО уже числился 51 Р-63. В первую очередь "Кингкобрами" пополняли части, ранее вооруженные Р-39. Первым Р-63 получил 28-й полк под Москвой (3457,78).</w:t>
      </w:r>
    </w:p>
    <w:p w14:paraId="4DDF3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импортных самолетов на 1 мая 1945 г. (единиц) (4110)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786"/>
        <w:gridCol w:w="1547"/>
        <w:gridCol w:w="1134"/>
        <w:gridCol w:w="992"/>
        <w:gridCol w:w="1276"/>
        <w:gridCol w:w="1563"/>
      </w:tblGrid>
      <w:tr w:rsidR="00561F31" w:rsidRPr="00F90EAE" w14:paraId="092C9A96" w14:textId="77777777">
        <w:tc>
          <w:tcPr>
            <w:tcW w:w="2518" w:type="dxa"/>
          </w:tcPr>
          <w:p w14:paraId="072262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786" w:type="dxa"/>
          </w:tcPr>
          <w:p w14:paraId="4D290AE9" w14:textId="77777777" w:rsidR="00665165" w:rsidRPr="00F90EAE" w:rsidRDefault="00665165" w:rsidP="00F90EAE">
            <w:pPr>
              <w:autoSpaceDE w:val="0"/>
              <w:autoSpaceDN w:val="0"/>
              <w:adjustRightInd w:val="0"/>
              <w:jc w:val="both"/>
              <w:rPr>
                <w:color w:val="000000" w:themeColor="text1"/>
                <w:sz w:val="16"/>
                <w:szCs w:val="16"/>
              </w:rPr>
            </w:pPr>
          </w:p>
        </w:tc>
        <w:tc>
          <w:tcPr>
            <w:tcW w:w="1547" w:type="dxa"/>
          </w:tcPr>
          <w:p w14:paraId="3A945AA5"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8664926"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7113582"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2A3E9BFD" w14:textId="77777777" w:rsidR="00665165" w:rsidRPr="00F90EAE" w:rsidRDefault="00665165" w:rsidP="00F90EAE">
            <w:pPr>
              <w:autoSpaceDE w:val="0"/>
              <w:autoSpaceDN w:val="0"/>
              <w:adjustRightInd w:val="0"/>
              <w:jc w:val="both"/>
              <w:rPr>
                <w:color w:val="000000" w:themeColor="text1"/>
                <w:sz w:val="16"/>
                <w:szCs w:val="16"/>
              </w:rPr>
            </w:pPr>
          </w:p>
        </w:tc>
        <w:tc>
          <w:tcPr>
            <w:tcW w:w="1563" w:type="dxa"/>
          </w:tcPr>
          <w:p w14:paraId="3EF2F1A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2B1724B" w14:textId="77777777">
        <w:tc>
          <w:tcPr>
            <w:tcW w:w="2518" w:type="dxa"/>
          </w:tcPr>
          <w:p w14:paraId="0F333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самолетов</w:t>
            </w:r>
          </w:p>
        </w:tc>
        <w:tc>
          <w:tcPr>
            <w:tcW w:w="786" w:type="dxa"/>
          </w:tcPr>
          <w:p w14:paraId="3A101F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547" w:type="dxa"/>
          </w:tcPr>
          <w:p w14:paraId="179E04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действ. армии</w:t>
            </w:r>
          </w:p>
        </w:tc>
        <w:tc>
          <w:tcPr>
            <w:tcW w:w="1134" w:type="dxa"/>
          </w:tcPr>
          <w:p w14:paraId="2419C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воен. окр.</w:t>
            </w:r>
          </w:p>
        </w:tc>
        <w:tc>
          <w:tcPr>
            <w:tcW w:w="992" w:type="dxa"/>
          </w:tcPr>
          <w:p w14:paraId="0CB81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ПВО</w:t>
            </w:r>
          </w:p>
        </w:tc>
        <w:tc>
          <w:tcPr>
            <w:tcW w:w="1276" w:type="dxa"/>
          </w:tcPr>
          <w:p w14:paraId="0D9967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пути</w:t>
            </w:r>
          </w:p>
        </w:tc>
        <w:tc>
          <w:tcPr>
            <w:tcW w:w="1563" w:type="dxa"/>
          </w:tcPr>
          <w:p w14:paraId="5116CC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Безвозвр. потери на 1.05.45 г. (ед.)</w:t>
            </w:r>
          </w:p>
        </w:tc>
      </w:tr>
      <w:tr w:rsidR="00561F31" w:rsidRPr="00F90EAE" w14:paraId="7D2B9836" w14:textId="77777777">
        <w:tc>
          <w:tcPr>
            <w:tcW w:w="2518" w:type="dxa"/>
          </w:tcPr>
          <w:p w14:paraId="1C7A8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Аэрокобра Р-39, К-1, Л-1, М-1</w:t>
            </w:r>
          </w:p>
        </w:tc>
        <w:tc>
          <w:tcPr>
            <w:tcW w:w="786" w:type="dxa"/>
          </w:tcPr>
          <w:p w14:paraId="24C7E2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1547" w:type="dxa"/>
          </w:tcPr>
          <w:p w14:paraId="235A20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1134" w:type="dxa"/>
          </w:tcPr>
          <w:p w14:paraId="53AD00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w:t>
            </w:r>
          </w:p>
        </w:tc>
        <w:tc>
          <w:tcPr>
            <w:tcW w:w="992" w:type="dxa"/>
          </w:tcPr>
          <w:p w14:paraId="2EEEA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1276" w:type="dxa"/>
          </w:tcPr>
          <w:p w14:paraId="14A68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5469E2B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C8423C" w14:textId="77777777">
        <w:tc>
          <w:tcPr>
            <w:tcW w:w="2518" w:type="dxa"/>
          </w:tcPr>
          <w:p w14:paraId="0C7B5A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Аэрокобра Р-39, О-1, О-5, О-20</w:t>
            </w:r>
          </w:p>
        </w:tc>
        <w:tc>
          <w:tcPr>
            <w:tcW w:w="786" w:type="dxa"/>
          </w:tcPr>
          <w:p w14:paraId="735E4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1903</w:t>
            </w:r>
          </w:p>
        </w:tc>
        <w:tc>
          <w:tcPr>
            <w:tcW w:w="1547" w:type="dxa"/>
          </w:tcPr>
          <w:p w14:paraId="033DE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817</w:t>
            </w:r>
          </w:p>
        </w:tc>
        <w:tc>
          <w:tcPr>
            <w:tcW w:w="1134" w:type="dxa"/>
          </w:tcPr>
          <w:p w14:paraId="78728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432</w:t>
            </w:r>
          </w:p>
        </w:tc>
        <w:tc>
          <w:tcPr>
            <w:tcW w:w="992" w:type="dxa"/>
          </w:tcPr>
          <w:p w14:paraId="5D011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556</w:t>
            </w:r>
          </w:p>
        </w:tc>
        <w:tc>
          <w:tcPr>
            <w:tcW w:w="1276" w:type="dxa"/>
          </w:tcPr>
          <w:p w14:paraId="0CF0E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c>
          <w:tcPr>
            <w:tcW w:w="1563" w:type="dxa"/>
          </w:tcPr>
          <w:p w14:paraId="11F44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2022</w:t>
            </w:r>
          </w:p>
        </w:tc>
      </w:tr>
      <w:tr w:rsidR="00561F31" w:rsidRPr="00F90EAE" w14:paraId="04A9F0F8" w14:textId="77777777">
        <w:tc>
          <w:tcPr>
            <w:tcW w:w="2518" w:type="dxa"/>
          </w:tcPr>
          <w:p w14:paraId="37A1EB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Аэрокобра Р-39, Д, Д-1, Дz</w:t>
            </w:r>
          </w:p>
        </w:tc>
        <w:tc>
          <w:tcPr>
            <w:tcW w:w="786" w:type="dxa"/>
          </w:tcPr>
          <w:p w14:paraId="59D99F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547" w:type="dxa"/>
          </w:tcPr>
          <w:p w14:paraId="0CB604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3DE762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992" w:type="dxa"/>
          </w:tcPr>
          <w:p w14:paraId="70ACF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276" w:type="dxa"/>
          </w:tcPr>
          <w:p w14:paraId="36856D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37C466D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59DF820" w14:textId="77777777">
        <w:tc>
          <w:tcPr>
            <w:tcW w:w="2518" w:type="dxa"/>
          </w:tcPr>
          <w:p w14:paraId="068E0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 Р-63А Кингкобра</w:t>
            </w:r>
          </w:p>
        </w:tc>
        <w:tc>
          <w:tcPr>
            <w:tcW w:w="786" w:type="dxa"/>
          </w:tcPr>
          <w:p w14:paraId="1215F2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1466</w:t>
            </w:r>
          </w:p>
        </w:tc>
        <w:tc>
          <w:tcPr>
            <w:tcW w:w="1547" w:type="dxa"/>
          </w:tcPr>
          <w:p w14:paraId="6F027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134" w:type="dxa"/>
          </w:tcPr>
          <w:p w14:paraId="4D6344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1313</w:t>
            </w:r>
          </w:p>
        </w:tc>
        <w:tc>
          <w:tcPr>
            <w:tcW w:w="992" w:type="dxa"/>
          </w:tcPr>
          <w:p w14:paraId="74576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c>
          <w:tcPr>
            <w:tcW w:w="1276" w:type="dxa"/>
          </w:tcPr>
          <w:p w14:paraId="574C26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w:t>
            </w:r>
          </w:p>
        </w:tc>
        <w:tc>
          <w:tcPr>
            <w:tcW w:w="1563" w:type="dxa"/>
          </w:tcPr>
          <w:p w14:paraId="1F5BF3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73A223A9" w14:textId="77777777">
        <w:tc>
          <w:tcPr>
            <w:tcW w:w="2518" w:type="dxa"/>
          </w:tcPr>
          <w:p w14:paraId="3844A3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Тандерболт</w:t>
            </w:r>
          </w:p>
        </w:tc>
        <w:tc>
          <w:tcPr>
            <w:tcW w:w="786" w:type="dxa"/>
          </w:tcPr>
          <w:p w14:paraId="3C42BC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w:t>
            </w:r>
          </w:p>
        </w:tc>
        <w:tc>
          <w:tcPr>
            <w:tcW w:w="1547" w:type="dxa"/>
          </w:tcPr>
          <w:p w14:paraId="674C0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6B7A80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992" w:type="dxa"/>
          </w:tcPr>
          <w:p w14:paraId="55AAC8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13CE52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6D4463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2B7DD35" w14:textId="77777777">
        <w:tc>
          <w:tcPr>
            <w:tcW w:w="2518" w:type="dxa"/>
          </w:tcPr>
          <w:p w14:paraId="2E3F0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Томагаук</w:t>
            </w:r>
          </w:p>
        </w:tc>
        <w:tc>
          <w:tcPr>
            <w:tcW w:w="786" w:type="dxa"/>
          </w:tcPr>
          <w:p w14:paraId="441BD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547" w:type="dxa"/>
          </w:tcPr>
          <w:p w14:paraId="7B9E36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7F91AD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92" w:type="dxa"/>
          </w:tcPr>
          <w:p w14:paraId="12A794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1276" w:type="dxa"/>
          </w:tcPr>
          <w:p w14:paraId="41E86F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0CFAF5E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20CE224" w14:textId="77777777">
        <w:tc>
          <w:tcPr>
            <w:tcW w:w="2518" w:type="dxa"/>
          </w:tcPr>
          <w:p w14:paraId="32AE08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Киттихаук</w:t>
            </w:r>
          </w:p>
        </w:tc>
        <w:tc>
          <w:tcPr>
            <w:tcW w:w="786" w:type="dxa"/>
          </w:tcPr>
          <w:p w14:paraId="598DE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1037</w:t>
            </w:r>
          </w:p>
        </w:tc>
        <w:tc>
          <w:tcPr>
            <w:tcW w:w="1547" w:type="dxa"/>
          </w:tcPr>
          <w:p w14:paraId="332AC2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134" w:type="dxa"/>
          </w:tcPr>
          <w:p w14:paraId="0A7271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w:t>
            </w:r>
          </w:p>
        </w:tc>
        <w:tc>
          <w:tcPr>
            <w:tcW w:w="992" w:type="dxa"/>
          </w:tcPr>
          <w:p w14:paraId="6367A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854</w:t>
            </w:r>
          </w:p>
        </w:tc>
        <w:tc>
          <w:tcPr>
            <w:tcW w:w="1276" w:type="dxa"/>
          </w:tcPr>
          <w:p w14:paraId="1A783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1563" w:type="dxa"/>
          </w:tcPr>
          <w:p w14:paraId="1037A6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772</w:t>
            </w:r>
          </w:p>
        </w:tc>
      </w:tr>
      <w:tr w:rsidR="00561F31" w:rsidRPr="00F90EAE" w14:paraId="181AEFA8" w14:textId="77777777">
        <w:tc>
          <w:tcPr>
            <w:tcW w:w="2518" w:type="dxa"/>
          </w:tcPr>
          <w:p w14:paraId="034C5074" w14:textId="77777777" w:rsidR="00665165" w:rsidRPr="00F90EAE" w:rsidRDefault="00665165" w:rsidP="00F90EAE">
            <w:pPr>
              <w:autoSpaceDE w:val="0"/>
              <w:autoSpaceDN w:val="0"/>
              <w:adjustRightInd w:val="0"/>
              <w:jc w:val="both"/>
              <w:rPr>
                <w:color w:val="000000" w:themeColor="text1"/>
                <w:sz w:val="16"/>
                <w:szCs w:val="16"/>
              </w:rPr>
            </w:pPr>
          </w:p>
        </w:tc>
        <w:tc>
          <w:tcPr>
            <w:tcW w:w="786" w:type="dxa"/>
          </w:tcPr>
          <w:p w14:paraId="21B72FA9" w14:textId="77777777" w:rsidR="00665165" w:rsidRPr="00F90EAE" w:rsidRDefault="00665165" w:rsidP="00F90EAE">
            <w:pPr>
              <w:autoSpaceDE w:val="0"/>
              <w:autoSpaceDN w:val="0"/>
              <w:adjustRightInd w:val="0"/>
              <w:jc w:val="both"/>
              <w:rPr>
                <w:color w:val="000000" w:themeColor="text1"/>
                <w:sz w:val="16"/>
                <w:szCs w:val="16"/>
              </w:rPr>
            </w:pPr>
          </w:p>
        </w:tc>
        <w:tc>
          <w:tcPr>
            <w:tcW w:w="1547" w:type="dxa"/>
          </w:tcPr>
          <w:p w14:paraId="0BAC1EBF"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5244047"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AC2DB28"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605E4E91" w14:textId="77777777" w:rsidR="00665165" w:rsidRPr="00F90EAE" w:rsidRDefault="00665165" w:rsidP="00F90EAE">
            <w:pPr>
              <w:autoSpaceDE w:val="0"/>
              <w:autoSpaceDN w:val="0"/>
              <w:adjustRightInd w:val="0"/>
              <w:jc w:val="both"/>
              <w:rPr>
                <w:color w:val="000000" w:themeColor="text1"/>
                <w:sz w:val="16"/>
                <w:szCs w:val="16"/>
              </w:rPr>
            </w:pPr>
          </w:p>
        </w:tc>
        <w:tc>
          <w:tcPr>
            <w:tcW w:w="1563" w:type="dxa"/>
          </w:tcPr>
          <w:p w14:paraId="1CF903F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97EC8C5" w14:textId="77777777">
        <w:tc>
          <w:tcPr>
            <w:tcW w:w="2518" w:type="dxa"/>
          </w:tcPr>
          <w:p w14:paraId="5C68C5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Харрикейн ПА, ПВ</w:t>
            </w:r>
          </w:p>
        </w:tc>
        <w:tc>
          <w:tcPr>
            <w:tcW w:w="786" w:type="dxa"/>
          </w:tcPr>
          <w:p w14:paraId="3A677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c>
          <w:tcPr>
            <w:tcW w:w="1547" w:type="dxa"/>
          </w:tcPr>
          <w:p w14:paraId="2E04E9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1134" w:type="dxa"/>
          </w:tcPr>
          <w:p w14:paraId="0D8EDD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992" w:type="dxa"/>
          </w:tcPr>
          <w:p w14:paraId="3CD06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w:t>
            </w:r>
          </w:p>
        </w:tc>
        <w:tc>
          <w:tcPr>
            <w:tcW w:w="1276" w:type="dxa"/>
          </w:tcPr>
          <w:p w14:paraId="218BD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0BBAD4B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6E3A98D" w14:textId="77777777">
        <w:tc>
          <w:tcPr>
            <w:tcW w:w="2518" w:type="dxa"/>
          </w:tcPr>
          <w:p w14:paraId="2FE8FD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Харрикейн ПС</w:t>
            </w:r>
          </w:p>
        </w:tc>
        <w:tc>
          <w:tcPr>
            <w:tcW w:w="786" w:type="dxa"/>
          </w:tcPr>
          <w:p w14:paraId="184144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574</w:t>
            </w:r>
          </w:p>
        </w:tc>
        <w:tc>
          <w:tcPr>
            <w:tcW w:w="1547" w:type="dxa"/>
          </w:tcPr>
          <w:p w14:paraId="1AE61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071864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992" w:type="dxa"/>
          </w:tcPr>
          <w:p w14:paraId="4DDA19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276" w:type="dxa"/>
          </w:tcPr>
          <w:p w14:paraId="43181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0F71AC1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F2CB88F" w14:textId="77777777">
        <w:tc>
          <w:tcPr>
            <w:tcW w:w="2518" w:type="dxa"/>
          </w:tcPr>
          <w:p w14:paraId="36EC4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Харрикейн ПД</w:t>
            </w:r>
          </w:p>
        </w:tc>
        <w:tc>
          <w:tcPr>
            <w:tcW w:w="786" w:type="dxa"/>
          </w:tcPr>
          <w:p w14:paraId="22487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547" w:type="dxa"/>
          </w:tcPr>
          <w:p w14:paraId="515111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2E1EC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992" w:type="dxa"/>
          </w:tcPr>
          <w:p w14:paraId="6DDC1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276" w:type="dxa"/>
          </w:tcPr>
          <w:p w14:paraId="308D35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345BC1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1813</w:t>
            </w:r>
          </w:p>
        </w:tc>
      </w:tr>
      <w:tr w:rsidR="00561F31" w:rsidRPr="00F90EAE" w14:paraId="166F8DBB" w14:textId="77777777">
        <w:tc>
          <w:tcPr>
            <w:tcW w:w="2518" w:type="dxa"/>
          </w:tcPr>
          <w:p w14:paraId="31B116A6" w14:textId="77777777" w:rsidR="00665165" w:rsidRPr="00F90EAE" w:rsidRDefault="00665165" w:rsidP="00F90EAE">
            <w:pPr>
              <w:autoSpaceDE w:val="0"/>
              <w:autoSpaceDN w:val="0"/>
              <w:adjustRightInd w:val="0"/>
              <w:jc w:val="both"/>
              <w:rPr>
                <w:color w:val="000000" w:themeColor="text1"/>
                <w:sz w:val="16"/>
                <w:szCs w:val="16"/>
              </w:rPr>
            </w:pPr>
          </w:p>
        </w:tc>
        <w:tc>
          <w:tcPr>
            <w:tcW w:w="786" w:type="dxa"/>
          </w:tcPr>
          <w:p w14:paraId="71BEA9D4" w14:textId="77777777" w:rsidR="00665165" w:rsidRPr="00F90EAE" w:rsidRDefault="00665165" w:rsidP="00F90EAE">
            <w:pPr>
              <w:autoSpaceDE w:val="0"/>
              <w:autoSpaceDN w:val="0"/>
              <w:adjustRightInd w:val="0"/>
              <w:jc w:val="both"/>
              <w:rPr>
                <w:color w:val="000000" w:themeColor="text1"/>
                <w:sz w:val="16"/>
                <w:szCs w:val="16"/>
              </w:rPr>
            </w:pPr>
          </w:p>
        </w:tc>
        <w:tc>
          <w:tcPr>
            <w:tcW w:w="1547" w:type="dxa"/>
          </w:tcPr>
          <w:p w14:paraId="3A862DD1"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489871E2"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1B55C578"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44854251" w14:textId="77777777" w:rsidR="00665165" w:rsidRPr="00F90EAE" w:rsidRDefault="00665165" w:rsidP="00F90EAE">
            <w:pPr>
              <w:autoSpaceDE w:val="0"/>
              <w:autoSpaceDN w:val="0"/>
              <w:adjustRightInd w:val="0"/>
              <w:jc w:val="both"/>
              <w:rPr>
                <w:color w:val="000000" w:themeColor="text1"/>
                <w:sz w:val="16"/>
                <w:szCs w:val="16"/>
              </w:rPr>
            </w:pPr>
          </w:p>
        </w:tc>
        <w:tc>
          <w:tcPr>
            <w:tcW w:w="1563" w:type="dxa"/>
          </w:tcPr>
          <w:p w14:paraId="474E005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3D01667" w14:textId="77777777">
        <w:tc>
          <w:tcPr>
            <w:tcW w:w="2518" w:type="dxa"/>
          </w:tcPr>
          <w:p w14:paraId="509CF2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Спитфайер 5В</w:t>
            </w:r>
          </w:p>
        </w:tc>
        <w:tc>
          <w:tcPr>
            <w:tcW w:w="786" w:type="dxa"/>
          </w:tcPr>
          <w:p w14:paraId="2FFE18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547" w:type="dxa"/>
          </w:tcPr>
          <w:p w14:paraId="41FD54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2EAD6E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92" w:type="dxa"/>
          </w:tcPr>
          <w:p w14:paraId="4E7A40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276" w:type="dxa"/>
          </w:tcPr>
          <w:p w14:paraId="430C2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45414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w:t>
            </w:r>
          </w:p>
        </w:tc>
      </w:tr>
      <w:tr w:rsidR="00561F31" w:rsidRPr="00F90EAE" w14:paraId="506FFE98" w14:textId="77777777">
        <w:tc>
          <w:tcPr>
            <w:tcW w:w="2518" w:type="dxa"/>
          </w:tcPr>
          <w:p w14:paraId="10F85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Спитфайер IX</w:t>
            </w:r>
          </w:p>
        </w:tc>
        <w:tc>
          <w:tcPr>
            <w:tcW w:w="786" w:type="dxa"/>
          </w:tcPr>
          <w:p w14:paraId="21A70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848</w:t>
            </w:r>
          </w:p>
        </w:tc>
        <w:tc>
          <w:tcPr>
            <w:tcW w:w="1547" w:type="dxa"/>
          </w:tcPr>
          <w:p w14:paraId="207965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6C3C14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92" w:type="dxa"/>
          </w:tcPr>
          <w:p w14:paraId="57F3CB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821</w:t>
            </w:r>
          </w:p>
        </w:tc>
        <w:tc>
          <w:tcPr>
            <w:tcW w:w="1276" w:type="dxa"/>
          </w:tcPr>
          <w:p w14:paraId="3EC4AD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563" w:type="dxa"/>
          </w:tcPr>
          <w:p w14:paraId="1A447C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r>
      <w:tr w:rsidR="00561F31" w:rsidRPr="00F90EAE" w14:paraId="7A5F0D8B" w14:textId="77777777">
        <w:tc>
          <w:tcPr>
            <w:tcW w:w="2518" w:type="dxa"/>
          </w:tcPr>
          <w:p w14:paraId="7386EF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А-20В</w:t>
            </w:r>
          </w:p>
        </w:tc>
        <w:tc>
          <w:tcPr>
            <w:tcW w:w="786" w:type="dxa"/>
          </w:tcPr>
          <w:p w14:paraId="1AAB4C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c>
          <w:tcPr>
            <w:tcW w:w="1547" w:type="dxa"/>
          </w:tcPr>
          <w:p w14:paraId="38B56F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1134" w:type="dxa"/>
          </w:tcPr>
          <w:p w14:paraId="2393F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992" w:type="dxa"/>
          </w:tcPr>
          <w:p w14:paraId="7F96D3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76" w:type="dxa"/>
          </w:tcPr>
          <w:p w14:paraId="5829C6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55A372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7CA4683" w14:textId="77777777">
        <w:tc>
          <w:tcPr>
            <w:tcW w:w="2518" w:type="dxa"/>
          </w:tcPr>
          <w:p w14:paraId="2B9783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А-20Г, ДБ-7б</w:t>
            </w:r>
          </w:p>
        </w:tc>
        <w:tc>
          <w:tcPr>
            <w:tcW w:w="786" w:type="dxa"/>
          </w:tcPr>
          <w:p w14:paraId="6E972F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w:t>
            </w:r>
          </w:p>
        </w:tc>
        <w:tc>
          <w:tcPr>
            <w:tcW w:w="1547" w:type="dxa"/>
          </w:tcPr>
          <w:p w14:paraId="390AC0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6C8306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w:t>
            </w:r>
          </w:p>
        </w:tc>
        <w:tc>
          <w:tcPr>
            <w:tcW w:w="992" w:type="dxa"/>
          </w:tcPr>
          <w:p w14:paraId="798A3A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276" w:type="dxa"/>
          </w:tcPr>
          <w:p w14:paraId="46E45E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41FCBC2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DA6B42C" w14:textId="77777777">
        <w:tc>
          <w:tcPr>
            <w:tcW w:w="2518" w:type="dxa"/>
          </w:tcPr>
          <w:p w14:paraId="45FFC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А-20Ж (пушечн.)</w:t>
            </w:r>
          </w:p>
        </w:tc>
        <w:tc>
          <w:tcPr>
            <w:tcW w:w="786" w:type="dxa"/>
          </w:tcPr>
          <w:p w14:paraId="7FA078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147</w:t>
            </w:r>
          </w:p>
        </w:tc>
        <w:tc>
          <w:tcPr>
            <w:tcW w:w="1547" w:type="dxa"/>
          </w:tcPr>
          <w:p w14:paraId="4A308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w:t>
            </w:r>
          </w:p>
        </w:tc>
        <w:tc>
          <w:tcPr>
            <w:tcW w:w="1134" w:type="dxa"/>
          </w:tcPr>
          <w:p w14:paraId="41D42D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992" w:type="dxa"/>
          </w:tcPr>
          <w:p w14:paraId="03EB6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78D5A6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3750B11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07EB6FF" w14:textId="77777777">
        <w:tc>
          <w:tcPr>
            <w:tcW w:w="2518" w:type="dxa"/>
          </w:tcPr>
          <w:p w14:paraId="6F5AB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А-20Ж, 10-ДО</w:t>
            </w:r>
          </w:p>
        </w:tc>
        <w:tc>
          <w:tcPr>
            <w:tcW w:w="786" w:type="dxa"/>
          </w:tcPr>
          <w:p w14:paraId="060FA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1547" w:type="dxa"/>
          </w:tcPr>
          <w:p w14:paraId="21A412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2E6C3B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992" w:type="dxa"/>
          </w:tcPr>
          <w:p w14:paraId="09290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05052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318D303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80A0F2" w14:textId="77777777">
        <w:tc>
          <w:tcPr>
            <w:tcW w:w="2518" w:type="dxa"/>
          </w:tcPr>
          <w:p w14:paraId="683F1D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А-20Ж, 20-ДО</w:t>
            </w:r>
          </w:p>
        </w:tc>
        <w:tc>
          <w:tcPr>
            <w:tcW w:w="786" w:type="dxa"/>
          </w:tcPr>
          <w:p w14:paraId="58576D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376</w:t>
            </w:r>
          </w:p>
        </w:tc>
        <w:tc>
          <w:tcPr>
            <w:tcW w:w="1547" w:type="dxa"/>
          </w:tcPr>
          <w:p w14:paraId="2D0FCD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248</w:t>
            </w:r>
          </w:p>
        </w:tc>
        <w:tc>
          <w:tcPr>
            <w:tcW w:w="1134" w:type="dxa"/>
          </w:tcPr>
          <w:p w14:paraId="524F0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128</w:t>
            </w:r>
          </w:p>
        </w:tc>
        <w:tc>
          <w:tcPr>
            <w:tcW w:w="992" w:type="dxa"/>
          </w:tcPr>
          <w:p w14:paraId="3C9C8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5BD3FD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6EA88E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1132</w:t>
            </w:r>
          </w:p>
        </w:tc>
      </w:tr>
      <w:tr w:rsidR="00561F31" w:rsidRPr="00F90EAE" w14:paraId="03AA598D" w14:textId="77777777">
        <w:tc>
          <w:tcPr>
            <w:tcW w:w="2518" w:type="dxa"/>
          </w:tcPr>
          <w:p w14:paraId="08AB45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Бостон А-20У, А-20К</w:t>
            </w:r>
          </w:p>
        </w:tc>
        <w:tc>
          <w:tcPr>
            <w:tcW w:w="786" w:type="dxa"/>
          </w:tcPr>
          <w:p w14:paraId="2D8C59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1547" w:type="dxa"/>
          </w:tcPr>
          <w:p w14:paraId="7C5FE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134" w:type="dxa"/>
          </w:tcPr>
          <w:p w14:paraId="05A68C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992" w:type="dxa"/>
          </w:tcPr>
          <w:p w14:paraId="616E8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675DFF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563" w:type="dxa"/>
          </w:tcPr>
          <w:p w14:paraId="1C18EF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719C04EF" w14:textId="77777777">
        <w:tc>
          <w:tcPr>
            <w:tcW w:w="2518" w:type="dxa"/>
          </w:tcPr>
          <w:p w14:paraId="393A36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АТ-6С</w:t>
            </w:r>
          </w:p>
        </w:tc>
        <w:tc>
          <w:tcPr>
            <w:tcW w:w="786" w:type="dxa"/>
          </w:tcPr>
          <w:p w14:paraId="094CF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547" w:type="dxa"/>
          </w:tcPr>
          <w:p w14:paraId="68249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34" w:type="dxa"/>
          </w:tcPr>
          <w:p w14:paraId="5EB2C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992" w:type="dxa"/>
          </w:tcPr>
          <w:p w14:paraId="0B8812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276" w:type="dxa"/>
          </w:tcPr>
          <w:p w14:paraId="7E32F7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3" w:type="dxa"/>
          </w:tcPr>
          <w:p w14:paraId="0452A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r>
      <w:tr w:rsidR="00561F31" w:rsidRPr="00F90EAE" w14:paraId="0266B6C1" w14:textId="77777777">
        <w:tc>
          <w:tcPr>
            <w:tcW w:w="2518" w:type="dxa"/>
          </w:tcPr>
          <w:p w14:paraId="09764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 О-52</w:t>
            </w:r>
          </w:p>
        </w:tc>
        <w:tc>
          <w:tcPr>
            <w:tcW w:w="786" w:type="dxa"/>
          </w:tcPr>
          <w:p w14:paraId="1A2BC4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1547" w:type="dxa"/>
          </w:tcPr>
          <w:p w14:paraId="1C276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34" w:type="dxa"/>
          </w:tcPr>
          <w:p w14:paraId="2F546D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992" w:type="dxa"/>
          </w:tcPr>
          <w:p w14:paraId="54EC9F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14A82B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563" w:type="dxa"/>
          </w:tcPr>
          <w:p w14:paraId="12A94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587EF0BC" w14:textId="77777777">
        <w:tc>
          <w:tcPr>
            <w:tcW w:w="2518" w:type="dxa"/>
          </w:tcPr>
          <w:p w14:paraId="397DC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Б-25 "Норд-Америкен"</w:t>
            </w:r>
          </w:p>
        </w:tc>
        <w:tc>
          <w:tcPr>
            <w:tcW w:w="786" w:type="dxa"/>
          </w:tcPr>
          <w:p w14:paraId="29F2E3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552</w:t>
            </w:r>
          </w:p>
        </w:tc>
        <w:tc>
          <w:tcPr>
            <w:tcW w:w="1547" w:type="dxa"/>
          </w:tcPr>
          <w:p w14:paraId="661280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398</w:t>
            </w:r>
          </w:p>
        </w:tc>
        <w:tc>
          <w:tcPr>
            <w:tcW w:w="1134" w:type="dxa"/>
          </w:tcPr>
          <w:p w14:paraId="6ECD5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c>
          <w:tcPr>
            <w:tcW w:w="992" w:type="dxa"/>
          </w:tcPr>
          <w:p w14:paraId="56507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76" w:type="dxa"/>
          </w:tcPr>
          <w:p w14:paraId="680BE5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c>
          <w:tcPr>
            <w:tcW w:w="1563" w:type="dxa"/>
          </w:tcPr>
          <w:p w14:paraId="2B7C3E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w:t>
            </w:r>
          </w:p>
        </w:tc>
      </w:tr>
      <w:tr w:rsidR="00561F31" w:rsidRPr="00F90EAE" w14:paraId="490CB5E4" w14:textId="77777777">
        <w:tc>
          <w:tcPr>
            <w:tcW w:w="2518" w:type="dxa"/>
          </w:tcPr>
          <w:p w14:paraId="18E638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Си-47</w:t>
            </w:r>
          </w:p>
        </w:tc>
        <w:tc>
          <w:tcPr>
            <w:tcW w:w="786" w:type="dxa"/>
          </w:tcPr>
          <w:p w14:paraId="53168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w:t>
            </w:r>
          </w:p>
        </w:tc>
        <w:tc>
          <w:tcPr>
            <w:tcW w:w="1547" w:type="dxa"/>
          </w:tcPr>
          <w:p w14:paraId="22BD8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1134" w:type="dxa"/>
          </w:tcPr>
          <w:p w14:paraId="5CA6F8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992" w:type="dxa"/>
          </w:tcPr>
          <w:p w14:paraId="0CAA59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76" w:type="dxa"/>
          </w:tcPr>
          <w:p w14:paraId="7E366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563" w:type="dxa"/>
          </w:tcPr>
          <w:p w14:paraId="08268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(3573)</w:t>
            </w:r>
          </w:p>
        </w:tc>
      </w:tr>
    </w:tbl>
    <w:p w14:paraId="07AAB7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полученных и отправленных частям Советских ВВС импортных самолетов-истребителей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561"/>
        <w:gridCol w:w="1276"/>
      </w:tblGrid>
      <w:tr w:rsidR="00561F31" w:rsidRPr="00F90EAE" w14:paraId="4816B52D" w14:textId="77777777">
        <w:tc>
          <w:tcPr>
            <w:tcW w:w="1127" w:type="dxa"/>
          </w:tcPr>
          <w:p w14:paraId="3B4EBB3C" w14:textId="77777777" w:rsidR="00665165" w:rsidRPr="00F90EAE" w:rsidRDefault="00665165" w:rsidP="00F90EAE">
            <w:pPr>
              <w:autoSpaceDE w:val="0"/>
              <w:autoSpaceDN w:val="0"/>
              <w:adjustRightInd w:val="0"/>
              <w:jc w:val="both"/>
              <w:rPr>
                <w:color w:val="000000" w:themeColor="text1"/>
                <w:sz w:val="16"/>
                <w:szCs w:val="16"/>
              </w:rPr>
            </w:pPr>
          </w:p>
        </w:tc>
        <w:tc>
          <w:tcPr>
            <w:tcW w:w="1127" w:type="dxa"/>
          </w:tcPr>
          <w:p w14:paraId="5671D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22.06.41 г.</w:t>
            </w:r>
          </w:p>
        </w:tc>
        <w:tc>
          <w:tcPr>
            <w:tcW w:w="1127" w:type="dxa"/>
          </w:tcPr>
          <w:p w14:paraId="678A79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1127" w:type="dxa"/>
          </w:tcPr>
          <w:p w14:paraId="46687B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1127" w:type="dxa"/>
          </w:tcPr>
          <w:p w14:paraId="315922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1561" w:type="dxa"/>
          </w:tcPr>
          <w:p w14:paraId="43A068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w:t>
            </w:r>
          </w:p>
        </w:tc>
        <w:tc>
          <w:tcPr>
            <w:tcW w:w="1276" w:type="dxa"/>
          </w:tcPr>
          <w:p w14:paraId="7BDF7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5D78DF65" w14:textId="77777777">
        <w:tc>
          <w:tcPr>
            <w:tcW w:w="1127" w:type="dxa"/>
          </w:tcPr>
          <w:p w14:paraId="2A316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Получено</w:t>
            </w:r>
          </w:p>
        </w:tc>
        <w:tc>
          <w:tcPr>
            <w:tcW w:w="1127" w:type="dxa"/>
          </w:tcPr>
          <w:p w14:paraId="44F4B8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27" w:type="dxa"/>
          </w:tcPr>
          <w:p w14:paraId="7B58F0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27" w:type="dxa"/>
          </w:tcPr>
          <w:p w14:paraId="1E1DE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2738</w:t>
            </w:r>
          </w:p>
        </w:tc>
        <w:tc>
          <w:tcPr>
            <w:tcW w:w="1127" w:type="dxa"/>
          </w:tcPr>
          <w:p w14:paraId="7CCDB4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4551</w:t>
            </w:r>
          </w:p>
        </w:tc>
        <w:tc>
          <w:tcPr>
            <w:tcW w:w="1561" w:type="dxa"/>
          </w:tcPr>
          <w:p w14:paraId="7AA28B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857</w:t>
            </w:r>
          </w:p>
        </w:tc>
        <w:tc>
          <w:tcPr>
            <w:tcW w:w="1276" w:type="dxa"/>
          </w:tcPr>
          <w:p w14:paraId="48D2E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9091</w:t>
            </w:r>
          </w:p>
        </w:tc>
      </w:tr>
      <w:tr w:rsidR="00561F31" w:rsidRPr="00F90EAE" w14:paraId="7BF301C3" w14:textId="77777777">
        <w:tc>
          <w:tcPr>
            <w:tcW w:w="1127" w:type="dxa"/>
          </w:tcPr>
          <w:p w14:paraId="011F1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Отправл.</w:t>
            </w:r>
          </w:p>
        </w:tc>
        <w:tc>
          <w:tcPr>
            <w:tcW w:w="1127" w:type="dxa"/>
          </w:tcPr>
          <w:p w14:paraId="20994F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27" w:type="dxa"/>
          </w:tcPr>
          <w:p w14:paraId="348843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27" w:type="dxa"/>
          </w:tcPr>
          <w:p w14:paraId="6AA431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2072</w:t>
            </w:r>
          </w:p>
        </w:tc>
        <w:tc>
          <w:tcPr>
            <w:tcW w:w="1127" w:type="dxa"/>
          </w:tcPr>
          <w:p w14:paraId="38076C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w:t>
            </w:r>
          </w:p>
        </w:tc>
        <w:tc>
          <w:tcPr>
            <w:tcW w:w="1561" w:type="dxa"/>
          </w:tcPr>
          <w:p w14:paraId="0FCF09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587</w:t>
            </w:r>
          </w:p>
        </w:tc>
        <w:tc>
          <w:tcPr>
            <w:tcW w:w="1276" w:type="dxa"/>
          </w:tcPr>
          <w:p w14:paraId="149D91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7808 (3573)</w:t>
            </w:r>
          </w:p>
        </w:tc>
      </w:tr>
    </w:tbl>
    <w:p w14:paraId="349794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импортных самолетов, полученных АДД по годам войны (4111)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063"/>
        <w:gridCol w:w="1063"/>
        <w:gridCol w:w="1063"/>
        <w:gridCol w:w="1063"/>
        <w:gridCol w:w="1701"/>
        <w:gridCol w:w="2979"/>
      </w:tblGrid>
      <w:tr w:rsidR="00561F31" w:rsidRPr="00F90EAE" w14:paraId="4A9A224F" w14:textId="77777777">
        <w:tc>
          <w:tcPr>
            <w:tcW w:w="1668" w:type="dxa"/>
          </w:tcPr>
          <w:p w14:paraId="362A78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самолета</w:t>
            </w:r>
          </w:p>
        </w:tc>
        <w:tc>
          <w:tcPr>
            <w:tcW w:w="1063" w:type="dxa"/>
          </w:tcPr>
          <w:p w14:paraId="165714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22.06.41 г.</w:t>
            </w:r>
          </w:p>
        </w:tc>
        <w:tc>
          <w:tcPr>
            <w:tcW w:w="1063" w:type="dxa"/>
          </w:tcPr>
          <w:p w14:paraId="25BCE7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1063" w:type="dxa"/>
          </w:tcPr>
          <w:p w14:paraId="5B0FB7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1063" w:type="dxa"/>
          </w:tcPr>
          <w:p w14:paraId="04FF8E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1701" w:type="dxa"/>
          </w:tcPr>
          <w:p w14:paraId="5B07DF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w:t>
            </w:r>
          </w:p>
        </w:tc>
        <w:tc>
          <w:tcPr>
            <w:tcW w:w="2979" w:type="dxa"/>
          </w:tcPr>
          <w:p w14:paraId="58081F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638E969F" w14:textId="77777777">
        <w:tc>
          <w:tcPr>
            <w:tcW w:w="1668" w:type="dxa"/>
          </w:tcPr>
          <w:p w14:paraId="16230C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Б-25 (бомбард.)</w:t>
            </w:r>
          </w:p>
        </w:tc>
        <w:tc>
          <w:tcPr>
            <w:tcW w:w="1063" w:type="dxa"/>
          </w:tcPr>
          <w:p w14:paraId="599D1E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63" w:type="dxa"/>
          </w:tcPr>
          <w:p w14:paraId="7BAFA2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063" w:type="dxa"/>
          </w:tcPr>
          <w:p w14:paraId="1BFDC5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w:t>
            </w:r>
          </w:p>
        </w:tc>
        <w:tc>
          <w:tcPr>
            <w:tcW w:w="1063" w:type="dxa"/>
          </w:tcPr>
          <w:p w14:paraId="7181A0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w:t>
            </w:r>
          </w:p>
        </w:tc>
        <w:tc>
          <w:tcPr>
            <w:tcW w:w="1701" w:type="dxa"/>
          </w:tcPr>
          <w:p w14:paraId="14EC54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128</w:t>
            </w:r>
          </w:p>
        </w:tc>
        <w:tc>
          <w:tcPr>
            <w:tcW w:w="2979" w:type="dxa"/>
          </w:tcPr>
          <w:p w14:paraId="497333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483</w:t>
            </w:r>
          </w:p>
        </w:tc>
      </w:tr>
      <w:tr w:rsidR="00561F31" w:rsidRPr="00F90EAE" w14:paraId="5ABC4845" w14:textId="77777777">
        <w:tc>
          <w:tcPr>
            <w:tcW w:w="1668" w:type="dxa"/>
          </w:tcPr>
          <w:p w14:paraId="703534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Си-47 (транспорт.)</w:t>
            </w:r>
          </w:p>
        </w:tc>
        <w:tc>
          <w:tcPr>
            <w:tcW w:w="1063" w:type="dxa"/>
          </w:tcPr>
          <w:p w14:paraId="441E3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63" w:type="dxa"/>
          </w:tcPr>
          <w:p w14:paraId="5605A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63" w:type="dxa"/>
          </w:tcPr>
          <w:p w14:paraId="31311C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1063" w:type="dxa"/>
          </w:tcPr>
          <w:p w14:paraId="4427C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1701" w:type="dxa"/>
          </w:tcPr>
          <w:p w14:paraId="44D035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2979" w:type="dxa"/>
          </w:tcPr>
          <w:p w14:paraId="02B0FB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r w:rsidR="00561F31" w:rsidRPr="00F90EAE" w14:paraId="3B1FD4CA" w14:textId="77777777">
        <w:tc>
          <w:tcPr>
            <w:tcW w:w="1668" w:type="dxa"/>
          </w:tcPr>
          <w:p w14:paraId="042D7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063" w:type="dxa"/>
          </w:tcPr>
          <w:p w14:paraId="5EF73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63" w:type="dxa"/>
          </w:tcPr>
          <w:p w14:paraId="4C9575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063" w:type="dxa"/>
          </w:tcPr>
          <w:p w14:paraId="1CDCA1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1063" w:type="dxa"/>
          </w:tcPr>
          <w:p w14:paraId="57216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w:t>
            </w:r>
          </w:p>
        </w:tc>
        <w:tc>
          <w:tcPr>
            <w:tcW w:w="1701" w:type="dxa"/>
          </w:tcPr>
          <w:p w14:paraId="3832B4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w:t>
            </w:r>
          </w:p>
        </w:tc>
        <w:tc>
          <w:tcPr>
            <w:tcW w:w="2979" w:type="dxa"/>
          </w:tcPr>
          <w:p w14:paraId="0C4B2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594</w:t>
            </w:r>
          </w:p>
        </w:tc>
      </w:tr>
    </w:tbl>
    <w:p w14:paraId="4F331D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Примечание: За период войны Советский Союз получил импортных бомбардировщиков: 2066 А-20 "Бостон" и 697 Б-25, всего 2763 самолета (4110) (3573).</w:t>
      </w:r>
    </w:p>
    <w:p w14:paraId="76F7FD98" w14:textId="77777777" w:rsidR="00665165" w:rsidRPr="00F90EAE" w:rsidRDefault="00665165" w:rsidP="00F90EAE">
      <w:pPr>
        <w:autoSpaceDE w:val="0"/>
        <w:autoSpaceDN w:val="0"/>
        <w:adjustRightInd w:val="0"/>
        <w:jc w:val="both"/>
        <w:rPr>
          <w:color w:val="000000" w:themeColor="text1"/>
          <w:sz w:val="16"/>
          <w:szCs w:val="16"/>
        </w:rPr>
      </w:pPr>
    </w:p>
    <w:p w14:paraId="22C89C44" w14:textId="77777777" w:rsidR="006979C2" w:rsidRPr="00F90EAE" w:rsidRDefault="006979C2" w:rsidP="00F90EAE">
      <w:pPr>
        <w:jc w:val="both"/>
        <w:rPr>
          <w:color w:val="000000" w:themeColor="text1"/>
          <w:sz w:val="16"/>
          <w:szCs w:val="16"/>
        </w:rPr>
      </w:pPr>
      <w:r w:rsidRPr="00F90EAE">
        <w:rPr>
          <w:color w:val="000000" w:themeColor="text1"/>
          <w:sz w:val="16"/>
          <w:szCs w:val="16"/>
        </w:rPr>
        <w:t>На 1 мая 1945 г. в советской авиации насчитывалось 1473 машины Р-63, но в действующей армии - всего пять Р-63. Они, видимо, использовались только для ознакомления. Никакой информации о совершении ими боевых вылетов нет. Но и потерь тоже практически не было, к 1 мая в авариях и катастрофах разбили только семь самолётов (12265).</w:t>
      </w:r>
    </w:p>
    <w:p w14:paraId="051FB3D9" w14:textId="77777777" w:rsidR="006979C2" w:rsidRPr="00F90EAE" w:rsidRDefault="006979C2" w:rsidP="00F90EAE">
      <w:pPr>
        <w:jc w:val="both"/>
        <w:rPr>
          <w:color w:val="000000" w:themeColor="text1"/>
          <w:sz w:val="16"/>
          <w:szCs w:val="16"/>
        </w:rPr>
      </w:pPr>
    </w:p>
    <w:p w14:paraId="2C434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Динамика роста боевой живучести самолетов ВВС КА по периодам войны (4112; 4113; 4114)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134"/>
        <w:gridCol w:w="803"/>
        <w:gridCol w:w="803"/>
        <w:gridCol w:w="5053"/>
      </w:tblGrid>
      <w:tr w:rsidR="00561F31" w:rsidRPr="00F90EAE" w14:paraId="4744891F" w14:textId="77777777">
        <w:tc>
          <w:tcPr>
            <w:tcW w:w="1668" w:type="dxa"/>
          </w:tcPr>
          <w:p w14:paraId="2C4D9A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Род авиации</w:t>
            </w:r>
          </w:p>
        </w:tc>
        <w:tc>
          <w:tcPr>
            <w:tcW w:w="1134" w:type="dxa"/>
          </w:tcPr>
          <w:p w14:paraId="383E1D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22.06.41 г. - 1.07.42 г.</w:t>
            </w:r>
          </w:p>
        </w:tc>
        <w:tc>
          <w:tcPr>
            <w:tcW w:w="1134" w:type="dxa"/>
          </w:tcPr>
          <w:p w14:paraId="41EBF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август 42 г. - май 43 г.</w:t>
            </w:r>
          </w:p>
        </w:tc>
        <w:tc>
          <w:tcPr>
            <w:tcW w:w="803" w:type="dxa"/>
          </w:tcPr>
          <w:p w14:paraId="14DE9F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ноябрь 44 г.</w:t>
            </w:r>
          </w:p>
        </w:tc>
        <w:tc>
          <w:tcPr>
            <w:tcW w:w="803" w:type="dxa"/>
          </w:tcPr>
          <w:p w14:paraId="3B88C6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4 мес. 45 г.</w:t>
            </w:r>
          </w:p>
        </w:tc>
        <w:tc>
          <w:tcPr>
            <w:tcW w:w="5053" w:type="dxa"/>
          </w:tcPr>
          <w:p w14:paraId="092ABA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Рост 1945 г. к 1-му пер. (раз)</w:t>
            </w:r>
          </w:p>
        </w:tc>
      </w:tr>
      <w:tr w:rsidR="00561F31" w:rsidRPr="00F90EAE" w14:paraId="7CFF0109" w14:textId="77777777">
        <w:tc>
          <w:tcPr>
            <w:tcW w:w="1668" w:type="dxa"/>
          </w:tcPr>
          <w:p w14:paraId="2B4D3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1134" w:type="dxa"/>
          </w:tcPr>
          <w:p w14:paraId="4D3A96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134" w:type="dxa"/>
          </w:tcPr>
          <w:p w14:paraId="5BB167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w:t>
            </w:r>
          </w:p>
        </w:tc>
        <w:tc>
          <w:tcPr>
            <w:tcW w:w="803" w:type="dxa"/>
          </w:tcPr>
          <w:p w14:paraId="3FC9FE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c>
          <w:tcPr>
            <w:tcW w:w="803" w:type="dxa"/>
          </w:tcPr>
          <w:p w14:paraId="43247E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5053" w:type="dxa"/>
          </w:tcPr>
          <w:p w14:paraId="6A05D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6,92</w:t>
            </w:r>
          </w:p>
        </w:tc>
      </w:tr>
      <w:tr w:rsidR="00561F31" w:rsidRPr="00F90EAE" w14:paraId="736A561B" w14:textId="77777777">
        <w:tc>
          <w:tcPr>
            <w:tcW w:w="1668" w:type="dxa"/>
          </w:tcPr>
          <w:p w14:paraId="5DD7AB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1134" w:type="dxa"/>
          </w:tcPr>
          <w:p w14:paraId="35D6A4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134" w:type="dxa"/>
          </w:tcPr>
          <w:p w14:paraId="067ECE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803" w:type="dxa"/>
          </w:tcPr>
          <w:p w14:paraId="49D55F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803" w:type="dxa"/>
          </w:tcPr>
          <w:p w14:paraId="19CAC4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5053" w:type="dxa"/>
          </w:tcPr>
          <w:p w14:paraId="12D0E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6,92</w:t>
            </w:r>
          </w:p>
        </w:tc>
      </w:tr>
      <w:tr w:rsidR="00561F31" w:rsidRPr="00F90EAE" w14:paraId="6FD268C7" w14:textId="77777777">
        <w:tc>
          <w:tcPr>
            <w:tcW w:w="1668" w:type="dxa"/>
          </w:tcPr>
          <w:p w14:paraId="51764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w:t>
            </w:r>
          </w:p>
        </w:tc>
        <w:tc>
          <w:tcPr>
            <w:tcW w:w="1134" w:type="dxa"/>
          </w:tcPr>
          <w:p w14:paraId="411671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134" w:type="dxa"/>
          </w:tcPr>
          <w:p w14:paraId="150AD5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803" w:type="dxa"/>
          </w:tcPr>
          <w:p w14:paraId="5B9CBE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803" w:type="dxa"/>
          </w:tcPr>
          <w:p w14:paraId="275544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w:t>
            </w:r>
          </w:p>
        </w:tc>
        <w:tc>
          <w:tcPr>
            <w:tcW w:w="5053" w:type="dxa"/>
          </w:tcPr>
          <w:p w14:paraId="0D2216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 (3573)</w:t>
            </w:r>
          </w:p>
        </w:tc>
      </w:tr>
    </w:tbl>
    <w:p w14:paraId="760A89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Самолетный парк ВВС КА по состоянию на 1 мая 1945 г. (4115).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701"/>
        <w:gridCol w:w="992"/>
        <w:gridCol w:w="2203"/>
        <w:gridCol w:w="796"/>
        <w:gridCol w:w="797"/>
        <w:gridCol w:w="1595"/>
      </w:tblGrid>
      <w:tr w:rsidR="00561F31" w:rsidRPr="00F90EAE" w14:paraId="662C4246" w14:textId="77777777">
        <w:tc>
          <w:tcPr>
            <w:tcW w:w="2518" w:type="dxa"/>
          </w:tcPr>
          <w:p w14:paraId="0D3AE9E4"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282B86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КА</w:t>
            </w:r>
          </w:p>
        </w:tc>
        <w:tc>
          <w:tcPr>
            <w:tcW w:w="992" w:type="dxa"/>
          </w:tcPr>
          <w:p w14:paraId="28E31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Фронтовая ав.</w:t>
            </w:r>
          </w:p>
        </w:tc>
        <w:tc>
          <w:tcPr>
            <w:tcW w:w="2203" w:type="dxa"/>
          </w:tcPr>
          <w:p w14:paraId="2A5515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 ДБФ</w:t>
            </w:r>
          </w:p>
        </w:tc>
        <w:tc>
          <w:tcPr>
            <w:tcW w:w="796" w:type="dxa"/>
          </w:tcPr>
          <w:p w14:paraId="1D34C5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 ВО</w:t>
            </w:r>
          </w:p>
        </w:tc>
        <w:tc>
          <w:tcPr>
            <w:tcW w:w="797" w:type="dxa"/>
          </w:tcPr>
          <w:p w14:paraId="0C9745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Тыл</w:t>
            </w:r>
          </w:p>
        </w:tc>
        <w:tc>
          <w:tcPr>
            <w:tcW w:w="1595" w:type="dxa"/>
          </w:tcPr>
          <w:p w14:paraId="224257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Школы</w:t>
            </w:r>
          </w:p>
        </w:tc>
      </w:tr>
      <w:tr w:rsidR="00561F31" w:rsidRPr="00F90EAE" w14:paraId="1ED43763" w14:textId="77777777">
        <w:tc>
          <w:tcPr>
            <w:tcW w:w="2518" w:type="dxa"/>
          </w:tcPr>
          <w:p w14:paraId="4AF7711D"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11BB3E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 ПВО)</w:t>
            </w:r>
          </w:p>
        </w:tc>
        <w:tc>
          <w:tcPr>
            <w:tcW w:w="992" w:type="dxa"/>
          </w:tcPr>
          <w:p w14:paraId="57641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 школ)</w:t>
            </w:r>
          </w:p>
        </w:tc>
        <w:tc>
          <w:tcPr>
            <w:tcW w:w="2203" w:type="dxa"/>
          </w:tcPr>
          <w:p w14:paraId="360FE0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 школ)</w:t>
            </w:r>
          </w:p>
        </w:tc>
        <w:tc>
          <w:tcPr>
            <w:tcW w:w="796" w:type="dxa"/>
          </w:tcPr>
          <w:p w14:paraId="1A15F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ВА)</w:t>
            </w:r>
          </w:p>
        </w:tc>
        <w:tc>
          <w:tcPr>
            <w:tcW w:w="797" w:type="dxa"/>
          </w:tcPr>
          <w:p w14:paraId="57ABF11F"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7A4E09A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5AF262D" w14:textId="77777777">
        <w:tc>
          <w:tcPr>
            <w:tcW w:w="2518" w:type="dxa"/>
          </w:tcPr>
          <w:p w14:paraId="4E5D98F8"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77C251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том числе:</w:t>
            </w:r>
          </w:p>
        </w:tc>
        <w:tc>
          <w:tcPr>
            <w:tcW w:w="992" w:type="dxa"/>
          </w:tcPr>
          <w:p w14:paraId="74B54CA3"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6A49F170"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31C04901"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38BD73BF"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570E2BB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CF346D0" w14:textId="77777777">
        <w:tc>
          <w:tcPr>
            <w:tcW w:w="2518" w:type="dxa"/>
          </w:tcPr>
          <w:p w14:paraId="3B587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Бомбардировщики:</w:t>
            </w:r>
          </w:p>
        </w:tc>
        <w:tc>
          <w:tcPr>
            <w:tcW w:w="1701" w:type="dxa"/>
          </w:tcPr>
          <w:p w14:paraId="4BC1F5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10176</w:t>
            </w:r>
          </w:p>
        </w:tc>
        <w:tc>
          <w:tcPr>
            <w:tcW w:w="992" w:type="dxa"/>
          </w:tcPr>
          <w:p w14:paraId="6AE79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5462</w:t>
            </w:r>
          </w:p>
        </w:tc>
        <w:tc>
          <w:tcPr>
            <w:tcW w:w="2203" w:type="dxa"/>
          </w:tcPr>
          <w:p w14:paraId="50B066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796" w:type="dxa"/>
          </w:tcPr>
          <w:p w14:paraId="1A52C3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w:t>
            </w:r>
          </w:p>
        </w:tc>
        <w:tc>
          <w:tcPr>
            <w:tcW w:w="797" w:type="dxa"/>
          </w:tcPr>
          <w:p w14:paraId="74264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2860</w:t>
            </w:r>
          </w:p>
        </w:tc>
        <w:tc>
          <w:tcPr>
            <w:tcW w:w="1595" w:type="dxa"/>
          </w:tcPr>
          <w:p w14:paraId="7AEE2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1203</w:t>
            </w:r>
          </w:p>
        </w:tc>
      </w:tr>
      <w:tr w:rsidR="00561F31" w:rsidRPr="00F90EAE" w14:paraId="754D3B61" w14:textId="77777777">
        <w:tc>
          <w:tcPr>
            <w:tcW w:w="2518" w:type="dxa"/>
          </w:tcPr>
          <w:p w14:paraId="3BF04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Пе-3, Ту-2, Пе-8, Ер-2</w:t>
            </w:r>
          </w:p>
        </w:tc>
        <w:tc>
          <w:tcPr>
            <w:tcW w:w="1701" w:type="dxa"/>
          </w:tcPr>
          <w:p w14:paraId="0CC28A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4551</w:t>
            </w:r>
          </w:p>
        </w:tc>
        <w:tc>
          <w:tcPr>
            <w:tcW w:w="992" w:type="dxa"/>
          </w:tcPr>
          <w:p w14:paraId="1E4A9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1841</w:t>
            </w:r>
          </w:p>
        </w:tc>
        <w:tc>
          <w:tcPr>
            <w:tcW w:w="2203" w:type="dxa"/>
          </w:tcPr>
          <w:p w14:paraId="2EB3EC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796" w:type="dxa"/>
          </w:tcPr>
          <w:p w14:paraId="47808B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797" w:type="dxa"/>
          </w:tcPr>
          <w:p w14:paraId="296619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2082</w:t>
            </w:r>
          </w:p>
        </w:tc>
        <w:tc>
          <w:tcPr>
            <w:tcW w:w="1595" w:type="dxa"/>
          </w:tcPr>
          <w:p w14:paraId="4CEB2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444</w:t>
            </w:r>
          </w:p>
        </w:tc>
      </w:tr>
      <w:tr w:rsidR="00561F31" w:rsidRPr="00F90EAE" w14:paraId="7C68B8C4" w14:textId="77777777">
        <w:tc>
          <w:tcPr>
            <w:tcW w:w="2518" w:type="dxa"/>
          </w:tcPr>
          <w:p w14:paraId="2EEBDC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 Ли-2б, ДБ-3</w:t>
            </w:r>
          </w:p>
        </w:tc>
        <w:tc>
          <w:tcPr>
            <w:tcW w:w="1701" w:type="dxa"/>
          </w:tcPr>
          <w:p w14:paraId="296849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2075</w:t>
            </w:r>
          </w:p>
        </w:tc>
        <w:tc>
          <w:tcPr>
            <w:tcW w:w="992" w:type="dxa"/>
          </w:tcPr>
          <w:p w14:paraId="20DF8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1265</w:t>
            </w:r>
          </w:p>
        </w:tc>
        <w:tc>
          <w:tcPr>
            <w:tcW w:w="2203" w:type="dxa"/>
          </w:tcPr>
          <w:p w14:paraId="3B9C5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796" w:type="dxa"/>
          </w:tcPr>
          <w:p w14:paraId="785DE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797" w:type="dxa"/>
          </w:tcPr>
          <w:p w14:paraId="45B3FE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w:t>
            </w:r>
          </w:p>
        </w:tc>
        <w:tc>
          <w:tcPr>
            <w:tcW w:w="1595" w:type="dxa"/>
          </w:tcPr>
          <w:p w14:paraId="2531A3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447</w:t>
            </w:r>
          </w:p>
        </w:tc>
      </w:tr>
      <w:tr w:rsidR="00561F31" w:rsidRPr="00F90EAE" w14:paraId="23252251" w14:textId="77777777">
        <w:tc>
          <w:tcPr>
            <w:tcW w:w="2518" w:type="dxa"/>
          </w:tcPr>
          <w:p w14:paraId="588522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 Типы и проч.</w:t>
            </w:r>
          </w:p>
        </w:tc>
        <w:tc>
          <w:tcPr>
            <w:tcW w:w="1701" w:type="dxa"/>
          </w:tcPr>
          <w:p w14:paraId="069206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884</w:t>
            </w:r>
          </w:p>
        </w:tc>
        <w:tc>
          <w:tcPr>
            <w:tcW w:w="992" w:type="dxa"/>
          </w:tcPr>
          <w:p w14:paraId="2B058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w:t>
            </w:r>
          </w:p>
        </w:tc>
        <w:tc>
          <w:tcPr>
            <w:tcW w:w="2203" w:type="dxa"/>
          </w:tcPr>
          <w:p w14:paraId="0EC882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332</w:t>
            </w:r>
          </w:p>
        </w:tc>
        <w:tc>
          <w:tcPr>
            <w:tcW w:w="796" w:type="dxa"/>
          </w:tcPr>
          <w:p w14:paraId="3D4580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797" w:type="dxa"/>
          </w:tcPr>
          <w:p w14:paraId="2E715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1595" w:type="dxa"/>
          </w:tcPr>
          <w:p w14:paraId="4CE90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w:t>
            </w:r>
          </w:p>
        </w:tc>
      </w:tr>
      <w:tr w:rsidR="00561F31" w:rsidRPr="00F90EAE" w14:paraId="67FAB50E" w14:textId="77777777">
        <w:tc>
          <w:tcPr>
            <w:tcW w:w="2518" w:type="dxa"/>
          </w:tcPr>
          <w:p w14:paraId="62A24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Импорт.</w:t>
            </w:r>
          </w:p>
        </w:tc>
        <w:tc>
          <w:tcPr>
            <w:tcW w:w="1701" w:type="dxa"/>
          </w:tcPr>
          <w:p w14:paraId="06EC9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1461</w:t>
            </w:r>
          </w:p>
        </w:tc>
        <w:tc>
          <w:tcPr>
            <w:tcW w:w="992" w:type="dxa"/>
          </w:tcPr>
          <w:p w14:paraId="3D1E9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943</w:t>
            </w:r>
          </w:p>
        </w:tc>
        <w:tc>
          <w:tcPr>
            <w:tcW w:w="2203" w:type="dxa"/>
          </w:tcPr>
          <w:p w14:paraId="5904BA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796" w:type="dxa"/>
          </w:tcPr>
          <w:p w14:paraId="257FF4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97" w:type="dxa"/>
          </w:tcPr>
          <w:p w14:paraId="38DADB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405</w:t>
            </w:r>
          </w:p>
        </w:tc>
        <w:tc>
          <w:tcPr>
            <w:tcW w:w="1595" w:type="dxa"/>
          </w:tcPr>
          <w:p w14:paraId="3F1371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r>
      <w:tr w:rsidR="00561F31" w:rsidRPr="00F90EAE" w14:paraId="681D50F9" w14:textId="77777777">
        <w:tc>
          <w:tcPr>
            <w:tcW w:w="2518" w:type="dxa"/>
          </w:tcPr>
          <w:p w14:paraId="1800C1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 ночн.</w:t>
            </w:r>
          </w:p>
        </w:tc>
        <w:tc>
          <w:tcPr>
            <w:tcW w:w="1701" w:type="dxa"/>
          </w:tcPr>
          <w:p w14:paraId="70002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1205</w:t>
            </w:r>
          </w:p>
        </w:tc>
        <w:tc>
          <w:tcPr>
            <w:tcW w:w="992" w:type="dxa"/>
          </w:tcPr>
          <w:p w14:paraId="50BA0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1205</w:t>
            </w:r>
          </w:p>
        </w:tc>
        <w:tc>
          <w:tcPr>
            <w:tcW w:w="2203" w:type="dxa"/>
          </w:tcPr>
          <w:p w14:paraId="0ADC5B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96" w:type="dxa"/>
          </w:tcPr>
          <w:p w14:paraId="42A636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97" w:type="dxa"/>
          </w:tcPr>
          <w:p w14:paraId="7D7BA9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95" w:type="dxa"/>
          </w:tcPr>
          <w:p w14:paraId="0C27A6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7EB8DF5" w14:textId="77777777">
        <w:tc>
          <w:tcPr>
            <w:tcW w:w="2518" w:type="dxa"/>
          </w:tcPr>
          <w:p w14:paraId="47B84C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1701" w:type="dxa"/>
          </w:tcPr>
          <w:p w14:paraId="045BC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20155</w:t>
            </w:r>
          </w:p>
        </w:tc>
        <w:tc>
          <w:tcPr>
            <w:tcW w:w="992" w:type="dxa"/>
          </w:tcPr>
          <w:p w14:paraId="500EF1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7289</w:t>
            </w:r>
          </w:p>
        </w:tc>
        <w:tc>
          <w:tcPr>
            <w:tcW w:w="2203" w:type="dxa"/>
          </w:tcPr>
          <w:p w14:paraId="6865E0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1817</w:t>
            </w:r>
          </w:p>
        </w:tc>
        <w:tc>
          <w:tcPr>
            <w:tcW w:w="796" w:type="dxa"/>
          </w:tcPr>
          <w:p w14:paraId="275CE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619</w:t>
            </w:r>
          </w:p>
        </w:tc>
        <w:tc>
          <w:tcPr>
            <w:tcW w:w="797" w:type="dxa"/>
          </w:tcPr>
          <w:p w14:paraId="32733F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9055</w:t>
            </w:r>
          </w:p>
        </w:tc>
        <w:tc>
          <w:tcPr>
            <w:tcW w:w="1595" w:type="dxa"/>
          </w:tcPr>
          <w:p w14:paraId="0A5CDF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7380125B" w14:textId="77777777">
        <w:tc>
          <w:tcPr>
            <w:tcW w:w="2518" w:type="dxa"/>
          </w:tcPr>
          <w:p w14:paraId="12B1AF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 3, 7, 9, Ла-5, Ла-7</w:t>
            </w:r>
          </w:p>
        </w:tc>
        <w:tc>
          <w:tcPr>
            <w:tcW w:w="1701" w:type="dxa"/>
          </w:tcPr>
          <w:p w14:paraId="459703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16383</w:t>
            </w:r>
          </w:p>
        </w:tc>
        <w:tc>
          <w:tcPr>
            <w:tcW w:w="992" w:type="dxa"/>
          </w:tcPr>
          <w:p w14:paraId="4D66D4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6355</w:t>
            </w:r>
          </w:p>
        </w:tc>
        <w:tc>
          <w:tcPr>
            <w:tcW w:w="2203" w:type="dxa"/>
          </w:tcPr>
          <w:p w14:paraId="7CF31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1550</w:t>
            </w:r>
          </w:p>
        </w:tc>
        <w:tc>
          <w:tcPr>
            <w:tcW w:w="796" w:type="dxa"/>
          </w:tcPr>
          <w:p w14:paraId="1463A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518</w:t>
            </w:r>
          </w:p>
        </w:tc>
        <w:tc>
          <w:tcPr>
            <w:tcW w:w="797" w:type="dxa"/>
          </w:tcPr>
          <w:p w14:paraId="4E6324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6662</w:t>
            </w:r>
          </w:p>
        </w:tc>
        <w:tc>
          <w:tcPr>
            <w:tcW w:w="1595" w:type="dxa"/>
          </w:tcPr>
          <w:p w14:paraId="4C7D06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1298</w:t>
            </w:r>
          </w:p>
        </w:tc>
      </w:tr>
      <w:tr w:rsidR="00561F31" w:rsidRPr="00F90EAE" w14:paraId="2412F7DF" w14:textId="77777777">
        <w:tc>
          <w:tcPr>
            <w:tcW w:w="2518" w:type="dxa"/>
          </w:tcPr>
          <w:p w14:paraId="134D1F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 Типы</w:t>
            </w:r>
          </w:p>
        </w:tc>
        <w:tc>
          <w:tcPr>
            <w:tcW w:w="1701" w:type="dxa"/>
          </w:tcPr>
          <w:p w14:paraId="10CBA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377</w:t>
            </w:r>
          </w:p>
        </w:tc>
        <w:tc>
          <w:tcPr>
            <w:tcW w:w="992" w:type="dxa"/>
          </w:tcPr>
          <w:p w14:paraId="70988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03" w:type="dxa"/>
          </w:tcPr>
          <w:p w14:paraId="25E86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w:t>
            </w:r>
          </w:p>
        </w:tc>
        <w:tc>
          <w:tcPr>
            <w:tcW w:w="796" w:type="dxa"/>
          </w:tcPr>
          <w:p w14:paraId="5EF5A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w:t>
            </w:r>
          </w:p>
        </w:tc>
        <w:tc>
          <w:tcPr>
            <w:tcW w:w="797" w:type="dxa"/>
          </w:tcPr>
          <w:p w14:paraId="101827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595" w:type="dxa"/>
          </w:tcPr>
          <w:p w14:paraId="09B5F2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r>
      <w:tr w:rsidR="00561F31" w:rsidRPr="00F90EAE" w14:paraId="7BA268E1" w14:textId="77777777">
        <w:tc>
          <w:tcPr>
            <w:tcW w:w="2518" w:type="dxa"/>
          </w:tcPr>
          <w:p w14:paraId="06BBED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Импорт.</w:t>
            </w:r>
          </w:p>
        </w:tc>
        <w:tc>
          <w:tcPr>
            <w:tcW w:w="1701" w:type="dxa"/>
          </w:tcPr>
          <w:p w14:paraId="728480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3395</w:t>
            </w:r>
          </w:p>
        </w:tc>
        <w:tc>
          <w:tcPr>
            <w:tcW w:w="992" w:type="dxa"/>
          </w:tcPr>
          <w:p w14:paraId="6036F8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934</w:t>
            </w:r>
          </w:p>
        </w:tc>
        <w:tc>
          <w:tcPr>
            <w:tcW w:w="2203" w:type="dxa"/>
          </w:tcPr>
          <w:p w14:paraId="37E33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796" w:type="dxa"/>
          </w:tcPr>
          <w:p w14:paraId="22F17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97" w:type="dxa"/>
          </w:tcPr>
          <w:p w14:paraId="23E0FD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2365</w:t>
            </w:r>
          </w:p>
        </w:tc>
        <w:tc>
          <w:tcPr>
            <w:tcW w:w="1595" w:type="dxa"/>
          </w:tcPr>
          <w:p w14:paraId="095ACE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w:t>
            </w:r>
          </w:p>
        </w:tc>
      </w:tr>
      <w:tr w:rsidR="00561F31" w:rsidRPr="00F90EAE" w14:paraId="06326374" w14:textId="77777777">
        <w:tc>
          <w:tcPr>
            <w:tcW w:w="2518" w:type="dxa"/>
          </w:tcPr>
          <w:p w14:paraId="209E7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1701" w:type="dxa"/>
          </w:tcPr>
          <w:p w14:paraId="7A20C392"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55FBAA61"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32C42C46"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2AE33586"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69892314"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4D13A87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FFBA092" w14:textId="77777777">
        <w:tc>
          <w:tcPr>
            <w:tcW w:w="2518" w:type="dxa"/>
          </w:tcPr>
          <w:p w14:paraId="561E0F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Ил-10</w:t>
            </w:r>
          </w:p>
        </w:tc>
        <w:tc>
          <w:tcPr>
            <w:tcW w:w="1701" w:type="dxa"/>
          </w:tcPr>
          <w:p w14:paraId="5A46F6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9316</w:t>
            </w:r>
          </w:p>
        </w:tc>
        <w:tc>
          <w:tcPr>
            <w:tcW w:w="992" w:type="dxa"/>
          </w:tcPr>
          <w:p w14:paraId="6F593C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4293</w:t>
            </w:r>
          </w:p>
        </w:tc>
        <w:tc>
          <w:tcPr>
            <w:tcW w:w="2203" w:type="dxa"/>
          </w:tcPr>
          <w:p w14:paraId="4D7922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w:t>
            </w:r>
          </w:p>
        </w:tc>
        <w:tc>
          <w:tcPr>
            <w:tcW w:w="796" w:type="dxa"/>
          </w:tcPr>
          <w:p w14:paraId="3B30F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797" w:type="dxa"/>
          </w:tcPr>
          <w:p w14:paraId="616CBC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3621</w:t>
            </w:r>
          </w:p>
        </w:tc>
        <w:tc>
          <w:tcPr>
            <w:tcW w:w="1595" w:type="dxa"/>
          </w:tcPr>
          <w:p w14:paraId="238853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718</w:t>
            </w:r>
          </w:p>
        </w:tc>
      </w:tr>
      <w:tr w:rsidR="00561F31" w:rsidRPr="00F90EAE" w14:paraId="32D5E45D" w14:textId="77777777">
        <w:tc>
          <w:tcPr>
            <w:tcW w:w="2518" w:type="dxa"/>
          </w:tcPr>
          <w:p w14:paraId="334BDD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Транспортные:</w:t>
            </w:r>
          </w:p>
        </w:tc>
        <w:tc>
          <w:tcPr>
            <w:tcW w:w="1701" w:type="dxa"/>
          </w:tcPr>
          <w:p w14:paraId="0074B747"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18A7C10A"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76A5507B"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3F0D7EB3"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03C26C94"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54CC0B2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363ED61" w14:textId="77777777">
        <w:tc>
          <w:tcPr>
            <w:tcW w:w="2518" w:type="dxa"/>
          </w:tcPr>
          <w:p w14:paraId="52A698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 Си-47, Дуглас</w:t>
            </w:r>
          </w:p>
        </w:tc>
        <w:tc>
          <w:tcPr>
            <w:tcW w:w="1701" w:type="dxa"/>
          </w:tcPr>
          <w:p w14:paraId="5C44B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w:t>
            </w:r>
          </w:p>
        </w:tc>
        <w:tc>
          <w:tcPr>
            <w:tcW w:w="992" w:type="dxa"/>
          </w:tcPr>
          <w:p w14:paraId="541160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269</w:t>
            </w:r>
          </w:p>
        </w:tc>
        <w:tc>
          <w:tcPr>
            <w:tcW w:w="2203" w:type="dxa"/>
          </w:tcPr>
          <w:p w14:paraId="39AB92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796" w:type="dxa"/>
          </w:tcPr>
          <w:p w14:paraId="06315E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797" w:type="dxa"/>
          </w:tcPr>
          <w:p w14:paraId="2EF2EB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289</w:t>
            </w:r>
          </w:p>
        </w:tc>
        <w:tc>
          <w:tcPr>
            <w:tcW w:w="1595" w:type="dxa"/>
          </w:tcPr>
          <w:p w14:paraId="382F23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r>
      <w:tr w:rsidR="00561F31" w:rsidRPr="00F90EAE" w14:paraId="01BE4037" w14:textId="77777777">
        <w:tc>
          <w:tcPr>
            <w:tcW w:w="2518" w:type="dxa"/>
          </w:tcPr>
          <w:p w14:paraId="2B965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Учебные и проч.:</w:t>
            </w:r>
          </w:p>
        </w:tc>
        <w:tc>
          <w:tcPr>
            <w:tcW w:w="1701" w:type="dxa"/>
          </w:tcPr>
          <w:p w14:paraId="41D8F9DA"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BF5EA13"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6421B87C"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7CAF683A"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703E6A96"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258BDD8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113E460" w14:textId="77777777">
        <w:tc>
          <w:tcPr>
            <w:tcW w:w="2518" w:type="dxa"/>
          </w:tcPr>
          <w:p w14:paraId="7AB22B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УТИ-4, Як-7в, УЛа-5,</w:t>
            </w:r>
          </w:p>
        </w:tc>
        <w:tc>
          <w:tcPr>
            <w:tcW w:w="1701" w:type="dxa"/>
          </w:tcPr>
          <w:p w14:paraId="204E509F"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7777A7B8"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446A3461"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396854DD"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728C8424"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13B63B7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96DAAF0" w14:textId="77777777">
        <w:tc>
          <w:tcPr>
            <w:tcW w:w="2518" w:type="dxa"/>
          </w:tcPr>
          <w:p w14:paraId="032D0D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 Ут-2, Ут-1 и проч.</w:t>
            </w:r>
          </w:p>
        </w:tc>
        <w:tc>
          <w:tcPr>
            <w:tcW w:w="1701" w:type="dxa"/>
          </w:tcPr>
          <w:p w14:paraId="7276F3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13541</w:t>
            </w:r>
          </w:p>
        </w:tc>
        <w:tc>
          <w:tcPr>
            <w:tcW w:w="992" w:type="dxa"/>
          </w:tcPr>
          <w:p w14:paraId="585CA5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4456</w:t>
            </w:r>
          </w:p>
        </w:tc>
        <w:tc>
          <w:tcPr>
            <w:tcW w:w="2203" w:type="dxa"/>
          </w:tcPr>
          <w:p w14:paraId="755266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w:t>
            </w:r>
          </w:p>
        </w:tc>
        <w:tc>
          <w:tcPr>
            <w:tcW w:w="796" w:type="dxa"/>
          </w:tcPr>
          <w:p w14:paraId="752D1D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316</w:t>
            </w:r>
          </w:p>
        </w:tc>
        <w:tc>
          <w:tcPr>
            <w:tcW w:w="797" w:type="dxa"/>
          </w:tcPr>
          <w:p w14:paraId="5EE007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4464</w:t>
            </w:r>
          </w:p>
        </w:tc>
        <w:tc>
          <w:tcPr>
            <w:tcW w:w="1595" w:type="dxa"/>
          </w:tcPr>
          <w:p w14:paraId="53889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3733</w:t>
            </w:r>
          </w:p>
        </w:tc>
      </w:tr>
      <w:tr w:rsidR="00561F31" w:rsidRPr="00F90EAE" w14:paraId="7271E255" w14:textId="77777777">
        <w:tc>
          <w:tcPr>
            <w:tcW w:w="2518" w:type="dxa"/>
          </w:tcPr>
          <w:p w14:paraId="3F439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701" w:type="dxa"/>
          </w:tcPr>
          <w:p w14:paraId="1EF07F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53882</w:t>
            </w:r>
          </w:p>
        </w:tc>
        <w:tc>
          <w:tcPr>
            <w:tcW w:w="992" w:type="dxa"/>
          </w:tcPr>
          <w:p w14:paraId="0B4F2F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21769</w:t>
            </w:r>
          </w:p>
        </w:tc>
        <w:tc>
          <w:tcPr>
            <w:tcW w:w="2203" w:type="dxa"/>
          </w:tcPr>
          <w:p w14:paraId="77D7FC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3292</w:t>
            </w:r>
          </w:p>
        </w:tc>
        <w:tc>
          <w:tcPr>
            <w:tcW w:w="796" w:type="dxa"/>
          </w:tcPr>
          <w:p w14:paraId="33EDD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1376</w:t>
            </w:r>
          </w:p>
        </w:tc>
        <w:tc>
          <w:tcPr>
            <w:tcW w:w="797" w:type="dxa"/>
          </w:tcPr>
          <w:p w14:paraId="47063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20289</w:t>
            </w:r>
          </w:p>
        </w:tc>
        <w:tc>
          <w:tcPr>
            <w:tcW w:w="1595" w:type="dxa"/>
          </w:tcPr>
          <w:p w14:paraId="55427A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7156</w:t>
            </w:r>
          </w:p>
        </w:tc>
      </w:tr>
      <w:tr w:rsidR="00561F31" w:rsidRPr="00F90EAE" w14:paraId="39784594" w14:textId="77777777">
        <w:tc>
          <w:tcPr>
            <w:tcW w:w="2518" w:type="dxa"/>
          </w:tcPr>
          <w:p w14:paraId="1604BE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них:</w:t>
            </w:r>
          </w:p>
        </w:tc>
        <w:tc>
          <w:tcPr>
            <w:tcW w:w="1701" w:type="dxa"/>
          </w:tcPr>
          <w:p w14:paraId="4F15DC7B"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14B83EA4"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7B47D8E4" w14:textId="77777777" w:rsidR="00665165" w:rsidRPr="00F90EAE" w:rsidRDefault="00665165" w:rsidP="00F90EAE">
            <w:pPr>
              <w:autoSpaceDE w:val="0"/>
              <w:autoSpaceDN w:val="0"/>
              <w:adjustRightInd w:val="0"/>
              <w:jc w:val="both"/>
              <w:rPr>
                <w:color w:val="000000" w:themeColor="text1"/>
                <w:sz w:val="16"/>
                <w:szCs w:val="16"/>
              </w:rPr>
            </w:pPr>
          </w:p>
        </w:tc>
        <w:tc>
          <w:tcPr>
            <w:tcW w:w="796" w:type="dxa"/>
          </w:tcPr>
          <w:p w14:paraId="0E588F54"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767F3D96"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0A6AACE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0DFDC9B" w14:textId="77777777">
        <w:tc>
          <w:tcPr>
            <w:tcW w:w="2518" w:type="dxa"/>
          </w:tcPr>
          <w:p w14:paraId="56121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Исправны</w:t>
            </w:r>
          </w:p>
        </w:tc>
        <w:tc>
          <w:tcPr>
            <w:tcW w:w="1701" w:type="dxa"/>
          </w:tcPr>
          <w:p w14:paraId="1012D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45291</w:t>
            </w:r>
          </w:p>
        </w:tc>
        <w:tc>
          <w:tcPr>
            <w:tcW w:w="992" w:type="dxa"/>
          </w:tcPr>
          <w:p w14:paraId="3E60AB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17883</w:t>
            </w:r>
          </w:p>
        </w:tc>
        <w:tc>
          <w:tcPr>
            <w:tcW w:w="2203" w:type="dxa"/>
          </w:tcPr>
          <w:p w14:paraId="1DAC0D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2855</w:t>
            </w:r>
          </w:p>
        </w:tc>
        <w:tc>
          <w:tcPr>
            <w:tcW w:w="796" w:type="dxa"/>
          </w:tcPr>
          <w:p w14:paraId="6C7C7D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1222</w:t>
            </w:r>
          </w:p>
        </w:tc>
        <w:tc>
          <w:tcPr>
            <w:tcW w:w="797" w:type="dxa"/>
          </w:tcPr>
          <w:p w14:paraId="7EE51E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17168</w:t>
            </w:r>
          </w:p>
        </w:tc>
        <w:tc>
          <w:tcPr>
            <w:tcW w:w="1595" w:type="dxa"/>
          </w:tcPr>
          <w:p w14:paraId="36DDA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6163</w:t>
            </w:r>
          </w:p>
        </w:tc>
      </w:tr>
      <w:tr w:rsidR="00561F31" w:rsidRPr="00F90EAE" w14:paraId="69A69010" w14:textId="77777777">
        <w:tc>
          <w:tcPr>
            <w:tcW w:w="2518" w:type="dxa"/>
          </w:tcPr>
          <w:p w14:paraId="571F0B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Не исправны </w:t>
            </w:r>
          </w:p>
        </w:tc>
        <w:tc>
          <w:tcPr>
            <w:tcW w:w="1701" w:type="dxa"/>
          </w:tcPr>
          <w:p w14:paraId="5D01D0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8591</w:t>
            </w:r>
          </w:p>
        </w:tc>
        <w:tc>
          <w:tcPr>
            <w:tcW w:w="992" w:type="dxa"/>
          </w:tcPr>
          <w:p w14:paraId="299D5A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3886</w:t>
            </w:r>
          </w:p>
        </w:tc>
        <w:tc>
          <w:tcPr>
            <w:tcW w:w="2203" w:type="dxa"/>
          </w:tcPr>
          <w:p w14:paraId="14A29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437</w:t>
            </w:r>
          </w:p>
        </w:tc>
        <w:tc>
          <w:tcPr>
            <w:tcW w:w="796" w:type="dxa"/>
          </w:tcPr>
          <w:p w14:paraId="3D101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w:t>
            </w:r>
          </w:p>
        </w:tc>
        <w:tc>
          <w:tcPr>
            <w:tcW w:w="797" w:type="dxa"/>
          </w:tcPr>
          <w:p w14:paraId="2C83F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3121</w:t>
            </w:r>
          </w:p>
        </w:tc>
        <w:tc>
          <w:tcPr>
            <w:tcW w:w="1595" w:type="dxa"/>
          </w:tcPr>
          <w:p w14:paraId="5CCAC2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993</w:t>
            </w:r>
          </w:p>
        </w:tc>
      </w:tr>
      <w:tr w:rsidR="00561F31" w:rsidRPr="00F90EAE" w14:paraId="1AE9DAF6" w14:textId="77777777">
        <w:tc>
          <w:tcPr>
            <w:tcW w:w="2518" w:type="dxa"/>
          </w:tcPr>
          <w:p w14:paraId="35F1AC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неисправных</w:t>
            </w:r>
          </w:p>
        </w:tc>
        <w:tc>
          <w:tcPr>
            <w:tcW w:w="1701" w:type="dxa"/>
          </w:tcPr>
          <w:p w14:paraId="1367FA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992" w:type="dxa"/>
          </w:tcPr>
          <w:p w14:paraId="16F13A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w:t>
            </w:r>
          </w:p>
        </w:tc>
        <w:tc>
          <w:tcPr>
            <w:tcW w:w="2203" w:type="dxa"/>
          </w:tcPr>
          <w:p w14:paraId="3F57DF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w:t>
            </w:r>
          </w:p>
        </w:tc>
        <w:tc>
          <w:tcPr>
            <w:tcW w:w="796" w:type="dxa"/>
          </w:tcPr>
          <w:p w14:paraId="29174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w:t>
            </w:r>
          </w:p>
        </w:tc>
        <w:tc>
          <w:tcPr>
            <w:tcW w:w="797" w:type="dxa"/>
          </w:tcPr>
          <w:p w14:paraId="7E3029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w:t>
            </w:r>
          </w:p>
        </w:tc>
        <w:tc>
          <w:tcPr>
            <w:tcW w:w="1595" w:type="dxa"/>
          </w:tcPr>
          <w:p w14:paraId="18C6BA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 (3573)</w:t>
            </w:r>
          </w:p>
        </w:tc>
      </w:tr>
      <w:tr w:rsidR="00561F31" w:rsidRPr="00F90EAE" w14:paraId="029BC1BF" w14:textId="77777777">
        <w:tc>
          <w:tcPr>
            <w:tcW w:w="2518" w:type="dxa"/>
          </w:tcPr>
          <w:p w14:paraId="1881C5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Типы самолетов</w:t>
            </w:r>
          </w:p>
        </w:tc>
        <w:tc>
          <w:tcPr>
            <w:tcW w:w="1701" w:type="dxa"/>
          </w:tcPr>
          <w:p w14:paraId="4575C6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4-й и 6-й воздушные флоты</w:t>
            </w:r>
          </w:p>
        </w:tc>
        <w:tc>
          <w:tcPr>
            <w:tcW w:w="992" w:type="dxa"/>
          </w:tcPr>
          <w:p w14:paraId="523ED314"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4F3480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16 и 17 воздушные армии ВВС РККА</w:t>
            </w:r>
          </w:p>
        </w:tc>
        <w:tc>
          <w:tcPr>
            <w:tcW w:w="796" w:type="dxa"/>
          </w:tcPr>
          <w:p w14:paraId="2C235D7B"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63C61112"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4089D42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B197371" w14:textId="77777777">
        <w:tc>
          <w:tcPr>
            <w:tcW w:w="2518" w:type="dxa"/>
          </w:tcPr>
          <w:p w14:paraId="2C6462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Бомбардировщики</w:t>
            </w:r>
          </w:p>
        </w:tc>
        <w:tc>
          <w:tcPr>
            <w:tcW w:w="1701" w:type="dxa"/>
          </w:tcPr>
          <w:p w14:paraId="22107A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992" w:type="dxa"/>
          </w:tcPr>
          <w:p w14:paraId="6D471B9F"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5BFB95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502</w:t>
            </w:r>
          </w:p>
        </w:tc>
        <w:tc>
          <w:tcPr>
            <w:tcW w:w="796" w:type="dxa"/>
          </w:tcPr>
          <w:p w14:paraId="5DAAE671"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005764E8"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33C6C25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4A8CFE4" w14:textId="77777777">
        <w:tc>
          <w:tcPr>
            <w:tcW w:w="2518" w:type="dxa"/>
          </w:tcPr>
          <w:p w14:paraId="4A6EB2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Штурмовики и пикировщики</w:t>
            </w:r>
          </w:p>
        </w:tc>
        <w:tc>
          <w:tcPr>
            <w:tcW w:w="1701" w:type="dxa"/>
          </w:tcPr>
          <w:p w14:paraId="13BD34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540</w:t>
            </w:r>
          </w:p>
        </w:tc>
        <w:tc>
          <w:tcPr>
            <w:tcW w:w="992" w:type="dxa"/>
          </w:tcPr>
          <w:p w14:paraId="5C840077"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4F12B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c>
          <w:tcPr>
            <w:tcW w:w="796" w:type="dxa"/>
          </w:tcPr>
          <w:p w14:paraId="1B4BD1C8"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46BBAB6A"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28ABDF7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9113549" w14:textId="77777777">
        <w:tc>
          <w:tcPr>
            <w:tcW w:w="2518" w:type="dxa"/>
          </w:tcPr>
          <w:p w14:paraId="3B3C3A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Истребители</w:t>
            </w:r>
          </w:p>
        </w:tc>
        <w:tc>
          <w:tcPr>
            <w:tcW w:w="1701" w:type="dxa"/>
          </w:tcPr>
          <w:p w14:paraId="10A647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992" w:type="dxa"/>
          </w:tcPr>
          <w:p w14:paraId="561176A7"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7701C2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1062</w:t>
            </w:r>
          </w:p>
        </w:tc>
        <w:tc>
          <w:tcPr>
            <w:tcW w:w="796" w:type="dxa"/>
          </w:tcPr>
          <w:p w14:paraId="19860C6F"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4697C97A"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48192E4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56759A9" w14:textId="77777777">
        <w:tc>
          <w:tcPr>
            <w:tcW w:w="2518" w:type="dxa"/>
          </w:tcPr>
          <w:p w14:paraId="7435DC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Ночные бомбардировщики</w:t>
            </w:r>
          </w:p>
        </w:tc>
        <w:tc>
          <w:tcPr>
            <w:tcW w:w="1701" w:type="dxa"/>
          </w:tcPr>
          <w:p w14:paraId="515FCA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992" w:type="dxa"/>
          </w:tcPr>
          <w:p w14:paraId="62EEB24C"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7A3B0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172</w:t>
            </w:r>
          </w:p>
        </w:tc>
        <w:tc>
          <w:tcPr>
            <w:tcW w:w="796" w:type="dxa"/>
          </w:tcPr>
          <w:p w14:paraId="455FE3D0"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0AB386BF"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2444FB3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F2D10EE" w14:textId="77777777">
        <w:tc>
          <w:tcPr>
            <w:tcW w:w="2518" w:type="dxa"/>
          </w:tcPr>
          <w:p w14:paraId="68E75D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Разведчики</w:t>
            </w:r>
          </w:p>
        </w:tc>
        <w:tc>
          <w:tcPr>
            <w:tcW w:w="1701" w:type="dxa"/>
          </w:tcPr>
          <w:p w14:paraId="0EFE68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w:t>
            </w:r>
          </w:p>
        </w:tc>
        <w:tc>
          <w:tcPr>
            <w:tcW w:w="992" w:type="dxa"/>
          </w:tcPr>
          <w:p w14:paraId="5103D573"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1B207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796" w:type="dxa"/>
          </w:tcPr>
          <w:p w14:paraId="4700623E"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74C5C94D"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62C8749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48422F9" w14:textId="77777777">
        <w:tc>
          <w:tcPr>
            <w:tcW w:w="2518" w:type="dxa"/>
          </w:tcPr>
          <w:p w14:paraId="3EEF5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701" w:type="dxa"/>
          </w:tcPr>
          <w:p w14:paraId="7F36F7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2050</w:t>
            </w:r>
          </w:p>
        </w:tc>
        <w:tc>
          <w:tcPr>
            <w:tcW w:w="992" w:type="dxa"/>
          </w:tcPr>
          <w:p w14:paraId="7AC1A570" w14:textId="77777777" w:rsidR="00665165" w:rsidRPr="00F90EAE" w:rsidRDefault="00665165" w:rsidP="00F90EAE">
            <w:pPr>
              <w:autoSpaceDE w:val="0"/>
              <w:autoSpaceDN w:val="0"/>
              <w:adjustRightInd w:val="0"/>
              <w:jc w:val="both"/>
              <w:rPr>
                <w:color w:val="000000" w:themeColor="text1"/>
                <w:sz w:val="16"/>
                <w:szCs w:val="16"/>
              </w:rPr>
            </w:pPr>
          </w:p>
        </w:tc>
        <w:tc>
          <w:tcPr>
            <w:tcW w:w="2203" w:type="dxa"/>
          </w:tcPr>
          <w:p w14:paraId="71F4C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 (3573)</w:t>
            </w:r>
          </w:p>
        </w:tc>
        <w:tc>
          <w:tcPr>
            <w:tcW w:w="796" w:type="dxa"/>
          </w:tcPr>
          <w:p w14:paraId="56581CE2" w14:textId="77777777" w:rsidR="00665165" w:rsidRPr="00F90EAE" w:rsidRDefault="00665165" w:rsidP="00F90EAE">
            <w:pPr>
              <w:autoSpaceDE w:val="0"/>
              <w:autoSpaceDN w:val="0"/>
              <w:adjustRightInd w:val="0"/>
              <w:jc w:val="both"/>
              <w:rPr>
                <w:color w:val="000000" w:themeColor="text1"/>
                <w:sz w:val="16"/>
                <w:szCs w:val="16"/>
              </w:rPr>
            </w:pPr>
          </w:p>
        </w:tc>
        <w:tc>
          <w:tcPr>
            <w:tcW w:w="797" w:type="dxa"/>
          </w:tcPr>
          <w:p w14:paraId="0D58E358" w14:textId="77777777" w:rsidR="00665165" w:rsidRPr="00F90EAE" w:rsidRDefault="00665165" w:rsidP="00F90EAE">
            <w:pPr>
              <w:autoSpaceDE w:val="0"/>
              <w:autoSpaceDN w:val="0"/>
              <w:adjustRightInd w:val="0"/>
              <w:jc w:val="both"/>
              <w:rPr>
                <w:color w:val="000000" w:themeColor="text1"/>
                <w:sz w:val="16"/>
                <w:szCs w:val="16"/>
              </w:rPr>
            </w:pPr>
          </w:p>
        </w:tc>
        <w:tc>
          <w:tcPr>
            <w:tcW w:w="1595" w:type="dxa"/>
          </w:tcPr>
          <w:p w14:paraId="26166742" w14:textId="77777777" w:rsidR="00665165" w:rsidRPr="00F90EAE" w:rsidRDefault="00665165" w:rsidP="00F90EAE">
            <w:pPr>
              <w:autoSpaceDE w:val="0"/>
              <w:autoSpaceDN w:val="0"/>
              <w:adjustRightInd w:val="0"/>
              <w:jc w:val="both"/>
              <w:rPr>
                <w:color w:val="000000" w:themeColor="text1"/>
                <w:sz w:val="16"/>
                <w:szCs w:val="16"/>
              </w:rPr>
            </w:pPr>
          </w:p>
        </w:tc>
      </w:tr>
    </w:tbl>
    <w:p w14:paraId="1C3E75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Самолетный парк Люфтваффе во Второй Мировой войне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841"/>
      </w:tblGrid>
      <w:tr w:rsidR="00561F31" w:rsidRPr="00F90EAE" w14:paraId="5244198B" w14:textId="77777777">
        <w:tc>
          <w:tcPr>
            <w:tcW w:w="3757" w:type="dxa"/>
          </w:tcPr>
          <w:p w14:paraId="2335A2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Месяц, число</w:t>
            </w:r>
          </w:p>
        </w:tc>
        <w:tc>
          <w:tcPr>
            <w:tcW w:w="6841" w:type="dxa"/>
          </w:tcPr>
          <w:p w14:paraId="5BA7DF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w:t>
            </w:r>
          </w:p>
        </w:tc>
      </w:tr>
      <w:tr w:rsidR="00561F31" w:rsidRPr="00F90EAE" w14:paraId="4419558C" w14:textId="77777777">
        <w:tc>
          <w:tcPr>
            <w:tcW w:w="3757" w:type="dxa"/>
          </w:tcPr>
          <w:p w14:paraId="1994D7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 г.</w:t>
            </w:r>
          </w:p>
        </w:tc>
        <w:tc>
          <w:tcPr>
            <w:tcW w:w="6841" w:type="dxa"/>
          </w:tcPr>
          <w:p w14:paraId="7E27489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79620DC" w14:textId="77777777">
        <w:tc>
          <w:tcPr>
            <w:tcW w:w="3757" w:type="dxa"/>
          </w:tcPr>
          <w:p w14:paraId="1AF3C3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 мая</w:t>
            </w:r>
          </w:p>
        </w:tc>
        <w:tc>
          <w:tcPr>
            <w:tcW w:w="6841" w:type="dxa"/>
          </w:tcPr>
          <w:p w14:paraId="14AACD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5298 единиц</w:t>
            </w:r>
          </w:p>
        </w:tc>
      </w:tr>
      <w:tr w:rsidR="00561F31" w:rsidRPr="00F90EAE" w14:paraId="682DC221" w14:textId="77777777">
        <w:tc>
          <w:tcPr>
            <w:tcW w:w="3757" w:type="dxa"/>
          </w:tcPr>
          <w:p w14:paraId="55778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6841" w:type="dxa"/>
          </w:tcPr>
          <w:p w14:paraId="6564D43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F12D3FE" w14:textId="77777777">
        <w:tc>
          <w:tcPr>
            <w:tcW w:w="3757" w:type="dxa"/>
          </w:tcPr>
          <w:p w14:paraId="3E7D53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июня</w:t>
            </w:r>
          </w:p>
        </w:tc>
        <w:tc>
          <w:tcPr>
            <w:tcW w:w="6841" w:type="dxa"/>
          </w:tcPr>
          <w:p w14:paraId="69034F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5599 + 596 в резервных частях. Всего - 6195</w:t>
            </w:r>
          </w:p>
        </w:tc>
      </w:tr>
      <w:tr w:rsidR="00561F31" w:rsidRPr="00F90EAE" w14:paraId="1B01E6DF" w14:textId="77777777">
        <w:tc>
          <w:tcPr>
            <w:tcW w:w="3757" w:type="dxa"/>
          </w:tcPr>
          <w:p w14:paraId="505B7E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декабря</w:t>
            </w:r>
          </w:p>
        </w:tc>
        <w:tc>
          <w:tcPr>
            <w:tcW w:w="6841" w:type="dxa"/>
          </w:tcPr>
          <w:p w14:paraId="610F17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5245</w:t>
            </w:r>
          </w:p>
        </w:tc>
      </w:tr>
      <w:tr w:rsidR="00561F31" w:rsidRPr="00F90EAE" w14:paraId="13F18527" w14:textId="77777777">
        <w:tc>
          <w:tcPr>
            <w:tcW w:w="3757" w:type="dxa"/>
          </w:tcPr>
          <w:p w14:paraId="3302B6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 (3573).</w:t>
            </w:r>
          </w:p>
        </w:tc>
        <w:tc>
          <w:tcPr>
            <w:tcW w:w="6841" w:type="dxa"/>
          </w:tcPr>
          <w:p w14:paraId="0A26F77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DCAFC00" w14:textId="77777777">
        <w:tc>
          <w:tcPr>
            <w:tcW w:w="3757" w:type="dxa"/>
          </w:tcPr>
          <w:p w14:paraId="338DD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января</w:t>
            </w:r>
          </w:p>
        </w:tc>
        <w:tc>
          <w:tcPr>
            <w:tcW w:w="6841" w:type="dxa"/>
          </w:tcPr>
          <w:p w14:paraId="647BD5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5421</w:t>
            </w:r>
          </w:p>
        </w:tc>
      </w:tr>
      <w:tr w:rsidR="00561F31" w:rsidRPr="00F90EAE" w14:paraId="5014AB7D" w14:textId="77777777">
        <w:tc>
          <w:tcPr>
            <w:tcW w:w="3757" w:type="dxa"/>
          </w:tcPr>
          <w:p w14:paraId="6F3285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февраля</w:t>
            </w:r>
          </w:p>
        </w:tc>
        <w:tc>
          <w:tcPr>
            <w:tcW w:w="6841" w:type="dxa"/>
          </w:tcPr>
          <w:p w14:paraId="0036C4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4063</w:t>
            </w:r>
          </w:p>
        </w:tc>
      </w:tr>
      <w:tr w:rsidR="00561F31" w:rsidRPr="00F90EAE" w14:paraId="05977A50" w14:textId="77777777">
        <w:tc>
          <w:tcPr>
            <w:tcW w:w="3757" w:type="dxa"/>
          </w:tcPr>
          <w:p w14:paraId="4403B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марта</w:t>
            </w:r>
          </w:p>
        </w:tc>
        <w:tc>
          <w:tcPr>
            <w:tcW w:w="6841" w:type="dxa"/>
          </w:tcPr>
          <w:p w14:paraId="5C88C2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4442</w:t>
            </w:r>
          </w:p>
        </w:tc>
      </w:tr>
      <w:tr w:rsidR="00561F31" w:rsidRPr="00F90EAE" w14:paraId="3B51FB40" w14:textId="77777777">
        <w:tc>
          <w:tcPr>
            <w:tcW w:w="3757" w:type="dxa"/>
          </w:tcPr>
          <w:p w14:paraId="1F3BF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w:t>
            </w:r>
          </w:p>
        </w:tc>
        <w:tc>
          <w:tcPr>
            <w:tcW w:w="6841" w:type="dxa"/>
          </w:tcPr>
          <w:p w14:paraId="598E1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4684</w:t>
            </w:r>
          </w:p>
        </w:tc>
      </w:tr>
      <w:tr w:rsidR="00561F31" w:rsidRPr="00F90EAE" w14:paraId="4E817307" w14:textId="77777777">
        <w:tc>
          <w:tcPr>
            <w:tcW w:w="3757" w:type="dxa"/>
          </w:tcPr>
          <w:p w14:paraId="53208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w:t>
            </w:r>
          </w:p>
        </w:tc>
        <w:tc>
          <w:tcPr>
            <w:tcW w:w="6841" w:type="dxa"/>
          </w:tcPr>
          <w:p w14:paraId="220FA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5856</w:t>
            </w:r>
          </w:p>
        </w:tc>
      </w:tr>
      <w:tr w:rsidR="00561F31" w:rsidRPr="00F90EAE" w14:paraId="26892955" w14:textId="77777777">
        <w:tc>
          <w:tcPr>
            <w:tcW w:w="3757" w:type="dxa"/>
          </w:tcPr>
          <w:p w14:paraId="5726C2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июня</w:t>
            </w:r>
          </w:p>
        </w:tc>
        <w:tc>
          <w:tcPr>
            <w:tcW w:w="6841" w:type="dxa"/>
          </w:tcPr>
          <w:p w14:paraId="051235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5976</w:t>
            </w:r>
          </w:p>
        </w:tc>
      </w:tr>
      <w:tr w:rsidR="00561F31" w:rsidRPr="00F90EAE" w14:paraId="2125B5DD" w14:textId="77777777">
        <w:tc>
          <w:tcPr>
            <w:tcW w:w="3757" w:type="dxa"/>
          </w:tcPr>
          <w:p w14:paraId="77036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июля</w:t>
            </w:r>
          </w:p>
        </w:tc>
        <w:tc>
          <w:tcPr>
            <w:tcW w:w="6841" w:type="dxa"/>
          </w:tcPr>
          <w:p w14:paraId="58DC93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5740</w:t>
            </w:r>
          </w:p>
        </w:tc>
      </w:tr>
      <w:tr w:rsidR="00561F31" w:rsidRPr="00F90EAE" w14:paraId="70895508" w14:textId="77777777">
        <w:tc>
          <w:tcPr>
            <w:tcW w:w="3757" w:type="dxa"/>
          </w:tcPr>
          <w:p w14:paraId="3EBEA3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августа</w:t>
            </w:r>
          </w:p>
        </w:tc>
        <w:tc>
          <w:tcPr>
            <w:tcW w:w="6841" w:type="dxa"/>
          </w:tcPr>
          <w:p w14:paraId="328698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5819</w:t>
            </w:r>
          </w:p>
        </w:tc>
      </w:tr>
      <w:tr w:rsidR="00561F31" w:rsidRPr="00F90EAE" w14:paraId="1A9923EA" w14:textId="77777777">
        <w:tc>
          <w:tcPr>
            <w:tcW w:w="3757" w:type="dxa"/>
          </w:tcPr>
          <w:p w14:paraId="5F900D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сентября</w:t>
            </w:r>
          </w:p>
        </w:tc>
        <w:tc>
          <w:tcPr>
            <w:tcW w:w="6841" w:type="dxa"/>
          </w:tcPr>
          <w:p w14:paraId="346ED2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5852</w:t>
            </w:r>
          </w:p>
        </w:tc>
      </w:tr>
      <w:tr w:rsidR="00561F31" w:rsidRPr="00F90EAE" w14:paraId="309E0628" w14:textId="77777777">
        <w:tc>
          <w:tcPr>
            <w:tcW w:w="3757" w:type="dxa"/>
          </w:tcPr>
          <w:p w14:paraId="000399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октября</w:t>
            </w:r>
          </w:p>
        </w:tc>
        <w:tc>
          <w:tcPr>
            <w:tcW w:w="6841" w:type="dxa"/>
          </w:tcPr>
          <w:p w14:paraId="2511A2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5904</w:t>
            </w:r>
          </w:p>
        </w:tc>
      </w:tr>
      <w:tr w:rsidR="00561F31" w:rsidRPr="00F90EAE" w14:paraId="40AEA0BB" w14:textId="77777777">
        <w:tc>
          <w:tcPr>
            <w:tcW w:w="3757" w:type="dxa"/>
          </w:tcPr>
          <w:p w14:paraId="395F02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ноября</w:t>
            </w:r>
          </w:p>
        </w:tc>
        <w:tc>
          <w:tcPr>
            <w:tcW w:w="6841" w:type="dxa"/>
          </w:tcPr>
          <w:p w14:paraId="0CF8D2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5451</w:t>
            </w:r>
          </w:p>
        </w:tc>
      </w:tr>
      <w:tr w:rsidR="00561F31" w:rsidRPr="00F90EAE" w14:paraId="3D8EC9E4" w14:textId="77777777">
        <w:tc>
          <w:tcPr>
            <w:tcW w:w="3757" w:type="dxa"/>
          </w:tcPr>
          <w:p w14:paraId="0658F1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декабря</w:t>
            </w:r>
          </w:p>
        </w:tc>
        <w:tc>
          <w:tcPr>
            <w:tcW w:w="6841" w:type="dxa"/>
          </w:tcPr>
          <w:p w14:paraId="1D3CB8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5168 + 1293 в резервных частях. Всего - 6461</w:t>
            </w:r>
          </w:p>
        </w:tc>
      </w:tr>
      <w:tr w:rsidR="00561F31" w:rsidRPr="00F90EAE" w14:paraId="0D1104E7" w14:textId="77777777">
        <w:tc>
          <w:tcPr>
            <w:tcW w:w="3757" w:type="dxa"/>
          </w:tcPr>
          <w:p w14:paraId="29E404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 (3573).</w:t>
            </w:r>
          </w:p>
        </w:tc>
        <w:tc>
          <w:tcPr>
            <w:tcW w:w="6841" w:type="dxa"/>
          </w:tcPr>
          <w:p w14:paraId="2B879FF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56FEDF6" w14:textId="77777777">
        <w:tc>
          <w:tcPr>
            <w:tcW w:w="3757" w:type="dxa"/>
          </w:tcPr>
          <w:p w14:paraId="60F5C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января</w:t>
            </w:r>
          </w:p>
        </w:tc>
        <w:tc>
          <w:tcPr>
            <w:tcW w:w="6841" w:type="dxa"/>
          </w:tcPr>
          <w:p w14:paraId="4FA84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5044</w:t>
            </w:r>
          </w:p>
        </w:tc>
      </w:tr>
      <w:tr w:rsidR="00561F31" w:rsidRPr="00F90EAE" w14:paraId="7E4C6551" w14:textId="77777777">
        <w:tc>
          <w:tcPr>
            <w:tcW w:w="3757" w:type="dxa"/>
          </w:tcPr>
          <w:p w14:paraId="32089E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февраля</w:t>
            </w:r>
          </w:p>
        </w:tc>
        <w:tc>
          <w:tcPr>
            <w:tcW w:w="6841" w:type="dxa"/>
          </w:tcPr>
          <w:p w14:paraId="0FC7C7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5542</w:t>
            </w:r>
          </w:p>
        </w:tc>
      </w:tr>
      <w:tr w:rsidR="00561F31" w:rsidRPr="00F90EAE" w14:paraId="5302CC69" w14:textId="77777777">
        <w:tc>
          <w:tcPr>
            <w:tcW w:w="3757" w:type="dxa"/>
          </w:tcPr>
          <w:p w14:paraId="53D7DF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w:t>
            </w:r>
          </w:p>
        </w:tc>
        <w:tc>
          <w:tcPr>
            <w:tcW w:w="6841" w:type="dxa"/>
          </w:tcPr>
          <w:p w14:paraId="1BA2E3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6434</w:t>
            </w:r>
          </w:p>
        </w:tc>
      </w:tr>
      <w:tr w:rsidR="00561F31" w:rsidRPr="00F90EAE" w14:paraId="22E683F4" w14:textId="77777777">
        <w:tc>
          <w:tcPr>
            <w:tcW w:w="3757" w:type="dxa"/>
          </w:tcPr>
          <w:p w14:paraId="2D68B1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w:t>
            </w:r>
          </w:p>
        </w:tc>
        <w:tc>
          <w:tcPr>
            <w:tcW w:w="6841" w:type="dxa"/>
          </w:tcPr>
          <w:p w14:paraId="247B2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6498 + 1600 в резервных частях. Всего 8098</w:t>
            </w:r>
          </w:p>
        </w:tc>
      </w:tr>
      <w:tr w:rsidR="00561F31" w:rsidRPr="00F90EAE" w14:paraId="2E79457E" w14:textId="77777777">
        <w:tc>
          <w:tcPr>
            <w:tcW w:w="3757" w:type="dxa"/>
          </w:tcPr>
          <w:p w14:paraId="0060F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w:t>
            </w:r>
          </w:p>
        </w:tc>
        <w:tc>
          <w:tcPr>
            <w:tcW w:w="6841" w:type="dxa"/>
          </w:tcPr>
          <w:p w14:paraId="22A852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6882 + 1682 в резервных частях. Всего 8564. Кроме того:</w:t>
            </w:r>
          </w:p>
        </w:tc>
      </w:tr>
      <w:tr w:rsidR="00561F31" w:rsidRPr="00F90EAE" w14:paraId="3BC0F379" w14:textId="77777777">
        <w:tc>
          <w:tcPr>
            <w:tcW w:w="3757" w:type="dxa"/>
          </w:tcPr>
          <w:p w14:paraId="7D6BB7EE"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287C18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почтовых - 321, связи - 139, ночных штурмовиков - 220, морских - 103</w:t>
            </w:r>
          </w:p>
        </w:tc>
      </w:tr>
      <w:tr w:rsidR="00561F31" w:rsidRPr="00F90EAE" w14:paraId="0C7A2CA9" w14:textId="77777777">
        <w:tc>
          <w:tcPr>
            <w:tcW w:w="3757" w:type="dxa"/>
          </w:tcPr>
          <w:p w14:paraId="74492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июня</w:t>
            </w:r>
          </w:p>
        </w:tc>
        <w:tc>
          <w:tcPr>
            <w:tcW w:w="6841" w:type="dxa"/>
          </w:tcPr>
          <w:p w14:paraId="35EE27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7089 + 1595 в резервных частях. Всего - 8684</w:t>
            </w:r>
          </w:p>
        </w:tc>
      </w:tr>
      <w:tr w:rsidR="00561F31" w:rsidRPr="00F90EAE" w14:paraId="1E5DFB7A" w14:textId="77777777">
        <w:tc>
          <w:tcPr>
            <w:tcW w:w="3757" w:type="dxa"/>
          </w:tcPr>
          <w:p w14:paraId="460FF7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июля</w:t>
            </w:r>
          </w:p>
        </w:tc>
        <w:tc>
          <w:tcPr>
            <w:tcW w:w="6841" w:type="dxa"/>
          </w:tcPr>
          <w:p w14:paraId="6D98E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6203 + 1551 в резервных частях. Всего - 7754</w:t>
            </w:r>
          </w:p>
        </w:tc>
      </w:tr>
      <w:tr w:rsidR="00561F31" w:rsidRPr="00F90EAE" w14:paraId="3717BE5D" w14:textId="77777777">
        <w:tc>
          <w:tcPr>
            <w:tcW w:w="3757" w:type="dxa"/>
          </w:tcPr>
          <w:p w14:paraId="168533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августа</w:t>
            </w:r>
          </w:p>
        </w:tc>
        <w:tc>
          <w:tcPr>
            <w:tcW w:w="6841" w:type="dxa"/>
          </w:tcPr>
          <w:p w14:paraId="0F1516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6097 + 1545 в резервных частях. Всего 7642. Кроме того: почтовых - 315,</w:t>
            </w:r>
          </w:p>
        </w:tc>
      </w:tr>
      <w:tr w:rsidR="00561F31" w:rsidRPr="00F90EAE" w14:paraId="3310B503" w14:textId="77777777">
        <w:tc>
          <w:tcPr>
            <w:tcW w:w="3757" w:type="dxa"/>
          </w:tcPr>
          <w:p w14:paraId="24EEC91B"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77A5EA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- 152, ночных штурм. - 206, морских - 112, грузовых планеров - 1535</w:t>
            </w:r>
          </w:p>
        </w:tc>
      </w:tr>
      <w:tr w:rsidR="00561F31" w:rsidRPr="00F90EAE" w14:paraId="6F77C30C" w14:textId="77777777">
        <w:tc>
          <w:tcPr>
            <w:tcW w:w="3757" w:type="dxa"/>
          </w:tcPr>
          <w:p w14:paraId="22FD08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сентября</w:t>
            </w:r>
          </w:p>
        </w:tc>
        <w:tc>
          <w:tcPr>
            <w:tcW w:w="6841" w:type="dxa"/>
          </w:tcPr>
          <w:p w14:paraId="6031BE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6077 + 1542 в резервных частях. Всего - 7619. Кроме того: почтовых - 293,</w:t>
            </w:r>
          </w:p>
        </w:tc>
      </w:tr>
      <w:tr w:rsidR="00561F31" w:rsidRPr="00F90EAE" w14:paraId="7F44C573" w14:textId="77777777">
        <w:tc>
          <w:tcPr>
            <w:tcW w:w="3757" w:type="dxa"/>
          </w:tcPr>
          <w:p w14:paraId="6082A1D6"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0E877F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- 148, ночных штурм. - 228, морских - 111, грузовых планеров - 1446</w:t>
            </w:r>
          </w:p>
        </w:tc>
      </w:tr>
      <w:tr w:rsidR="00561F31" w:rsidRPr="00F90EAE" w14:paraId="611DFE57" w14:textId="77777777">
        <w:tc>
          <w:tcPr>
            <w:tcW w:w="3757" w:type="dxa"/>
          </w:tcPr>
          <w:p w14:paraId="0C57B8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октября</w:t>
            </w:r>
          </w:p>
        </w:tc>
        <w:tc>
          <w:tcPr>
            <w:tcW w:w="6841" w:type="dxa"/>
          </w:tcPr>
          <w:p w14:paraId="1C576D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6334 + 1489 в резервных частях. Всего - 7823. Кроме того: почтовых - 318,</w:t>
            </w:r>
          </w:p>
        </w:tc>
      </w:tr>
      <w:tr w:rsidR="00561F31" w:rsidRPr="00F90EAE" w14:paraId="7D8D5401" w14:textId="77777777">
        <w:tc>
          <w:tcPr>
            <w:tcW w:w="3757" w:type="dxa"/>
          </w:tcPr>
          <w:p w14:paraId="56B327A5"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3204CF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- 147, ночных штурм. - 264, морских - 116, грузовых планеров - 1263</w:t>
            </w:r>
          </w:p>
        </w:tc>
      </w:tr>
      <w:tr w:rsidR="00561F31" w:rsidRPr="00F90EAE" w14:paraId="078EC5CB" w14:textId="77777777">
        <w:tc>
          <w:tcPr>
            <w:tcW w:w="3757" w:type="dxa"/>
          </w:tcPr>
          <w:p w14:paraId="31DC95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ноября</w:t>
            </w:r>
          </w:p>
        </w:tc>
        <w:tc>
          <w:tcPr>
            <w:tcW w:w="6841" w:type="dxa"/>
          </w:tcPr>
          <w:p w14:paraId="7671D1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6476 + 1617 в резервных частях. Всего - 8093. Кроме того: почтовых - 318,</w:t>
            </w:r>
          </w:p>
        </w:tc>
      </w:tr>
      <w:tr w:rsidR="00561F31" w:rsidRPr="00F90EAE" w14:paraId="6A294DC0" w14:textId="77777777">
        <w:tc>
          <w:tcPr>
            <w:tcW w:w="3757" w:type="dxa"/>
          </w:tcPr>
          <w:p w14:paraId="0B46B0D3"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31FA4B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- 152, ночных штурм. - 262, морских - 110, грузовых планеров - 1280</w:t>
            </w:r>
          </w:p>
        </w:tc>
      </w:tr>
      <w:tr w:rsidR="00561F31" w:rsidRPr="00F90EAE" w14:paraId="3A270D07" w14:textId="77777777">
        <w:tc>
          <w:tcPr>
            <w:tcW w:w="3757" w:type="dxa"/>
          </w:tcPr>
          <w:p w14:paraId="4D98B6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декабря</w:t>
            </w:r>
          </w:p>
        </w:tc>
        <w:tc>
          <w:tcPr>
            <w:tcW w:w="6841" w:type="dxa"/>
          </w:tcPr>
          <w:p w14:paraId="7697D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6584 + 1660 в резервных частях. Всего - 8244. Кроме того: почтовых - 323,</w:t>
            </w:r>
          </w:p>
        </w:tc>
      </w:tr>
      <w:tr w:rsidR="00561F31" w:rsidRPr="00F90EAE" w14:paraId="7474B26F" w14:textId="77777777">
        <w:tc>
          <w:tcPr>
            <w:tcW w:w="3757" w:type="dxa"/>
          </w:tcPr>
          <w:p w14:paraId="072B8F34"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2D2160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- 150, ночных штурм. - 296, морских - 98, грузовых планеров - 1310</w:t>
            </w:r>
          </w:p>
        </w:tc>
      </w:tr>
      <w:tr w:rsidR="00561F31" w:rsidRPr="00F90EAE" w14:paraId="2A1E06F1" w14:textId="77777777">
        <w:tc>
          <w:tcPr>
            <w:tcW w:w="3757" w:type="dxa"/>
          </w:tcPr>
          <w:p w14:paraId="3BEE3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 (3573).</w:t>
            </w:r>
          </w:p>
        </w:tc>
        <w:tc>
          <w:tcPr>
            <w:tcW w:w="6841" w:type="dxa"/>
          </w:tcPr>
          <w:p w14:paraId="3D9C240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7A4CCB9" w14:textId="77777777">
        <w:tc>
          <w:tcPr>
            <w:tcW w:w="3757" w:type="dxa"/>
          </w:tcPr>
          <w:p w14:paraId="5CFD17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января</w:t>
            </w:r>
          </w:p>
        </w:tc>
        <w:tc>
          <w:tcPr>
            <w:tcW w:w="6841" w:type="dxa"/>
          </w:tcPr>
          <w:p w14:paraId="747997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6730 + 1660 в резервных частях. Всего - 8390. Кроме того: почтовых - 355,</w:t>
            </w:r>
          </w:p>
        </w:tc>
      </w:tr>
      <w:tr w:rsidR="00561F31" w:rsidRPr="00F90EAE" w14:paraId="7D21AFBE" w14:textId="77777777">
        <w:tc>
          <w:tcPr>
            <w:tcW w:w="3757" w:type="dxa"/>
          </w:tcPr>
          <w:p w14:paraId="084ED0EB"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52B176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- 152, ночных штурм. - 314, морских - 107, грузовых планеров - 1292</w:t>
            </w:r>
          </w:p>
        </w:tc>
      </w:tr>
      <w:tr w:rsidR="00561F31" w:rsidRPr="00F90EAE" w14:paraId="381AAC11" w14:textId="77777777">
        <w:tc>
          <w:tcPr>
            <w:tcW w:w="3757" w:type="dxa"/>
          </w:tcPr>
          <w:p w14:paraId="10600C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февраля</w:t>
            </w:r>
          </w:p>
        </w:tc>
        <w:tc>
          <w:tcPr>
            <w:tcW w:w="6841" w:type="dxa"/>
          </w:tcPr>
          <w:p w14:paraId="4FC79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6771 + 1714 в резервных частях. Всего - 8485. Кроме того: почтовых - 402,</w:t>
            </w:r>
          </w:p>
        </w:tc>
      </w:tr>
      <w:tr w:rsidR="00561F31" w:rsidRPr="00F90EAE" w14:paraId="301B3C08" w14:textId="77777777">
        <w:tc>
          <w:tcPr>
            <w:tcW w:w="3757" w:type="dxa"/>
          </w:tcPr>
          <w:p w14:paraId="7247D307"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48779E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- 136, ночных штурм. - 372, морских - 114, грузовых планеров - 1303</w:t>
            </w:r>
          </w:p>
        </w:tc>
      </w:tr>
      <w:tr w:rsidR="00561F31" w:rsidRPr="00F90EAE" w14:paraId="0D4F7DD4" w14:textId="77777777">
        <w:tc>
          <w:tcPr>
            <w:tcW w:w="3757" w:type="dxa"/>
          </w:tcPr>
          <w:p w14:paraId="1FDADC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марта</w:t>
            </w:r>
          </w:p>
        </w:tc>
        <w:tc>
          <w:tcPr>
            <w:tcW w:w="6841" w:type="dxa"/>
          </w:tcPr>
          <w:p w14:paraId="2A5801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6642 + 1600 в резервных частях. Всего - 8242. Кроме того: почтовых - 427,</w:t>
            </w:r>
          </w:p>
        </w:tc>
      </w:tr>
      <w:tr w:rsidR="00561F31" w:rsidRPr="00F90EAE" w14:paraId="70ED41AE" w14:textId="77777777">
        <w:tc>
          <w:tcPr>
            <w:tcW w:w="3757" w:type="dxa"/>
          </w:tcPr>
          <w:p w14:paraId="3D9AEA7C"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7B226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- 138, ночных штурм. - 417, морских - 129, грузовых планеров - 1258</w:t>
            </w:r>
          </w:p>
        </w:tc>
      </w:tr>
      <w:tr w:rsidR="00561F31" w:rsidRPr="00F90EAE" w14:paraId="4333E530" w14:textId="77777777">
        <w:tc>
          <w:tcPr>
            <w:tcW w:w="3757" w:type="dxa"/>
          </w:tcPr>
          <w:p w14:paraId="58FDAB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апреля</w:t>
            </w:r>
          </w:p>
        </w:tc>
        <w:tc>
          <w:tcPr>
            <w:tcW w:w="6841" w:type="dxa"/>
          </w:tcPr>
          <w:p w14:paraId="16A7E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6488 + 1601 в резервных частях. Всего - 8089. Кроме того: почтовых - 385,</w:t>
            </w:r>
          </w:p>
        </w:tc>
      </w:tr>
      <w:tr w:rsidR="00561F31" w:rsidRPr="00F90EAE" w14:paraId="3C15B6AF" w14:textId="77777777">
        <w:tc>
          <w:tcPr>
            <w:tcW w:w="3757" w:type="dxa"/>
          </w:tcPr>
          <w:p w14:paraId="38EC3A2E"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5980C5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- 116, ночных штурм. - 551, морских - 121, грузовых планеров - 1155</w:t>
            </w:r>
          </w:p>
        </w:tc>
      </w:tr>
      <w:tr w:rsidR="00561F31" w:rsidRPr="00F90EAE" w14:paraId="2066955B" w14:textId="77777777">
        <w:tc>
          <w:tcPr>
            <w:tcW w:w="3757" w:type="dxa"/>
          </w:tcPr>
          <w:p w14:paraId="280E1B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31 мая</w:t>
            </w:r>
          </w:p>
        </w:tc>
        <w:tc>
          <w:tcPr>
            <w:tcW w:w="6841" w:type="dxa"/>
          </w:tcPr>
          <w:p w14:paraId="403A87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6725 + 1567 в резервных частях. Всего - 8292. Кроме того: почтовых - 444,</w:t>
            </w:r>
          </w:p>
        </w:tc>
      </w:tr>
      <w:tr w:rsidR="00561F31" w:rsidRPr="00F90EAE" w14:paraId="70FE72BC" w14:textId="77777777">
        <w:tc>
          <w:tcPr>
            <w:tcW w:w="3757" w:type="dxa"/>
          </w:tcPr>
          <w:p w14:paraId="1A7C96DB"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38B41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- 150, ночных штурм. - 424, морских - 131, грузовых планеров - 814</w:t>
            </w:r>
          </w:p>
        </w:tc>
      </w:tr>
      <w:tr w:rsidR="00561F31" w:rsidRPr="00F90EAE" w14:paraId="097C398C" w14:textId="77777777">
        <w:tc>
          <w:tcPr>
            <w:tcW w:w="3757" w:type="dxa"/>
          </w:tcPr>
          <w:p w14:paraId="6C848E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июня</w:t>
            </w:r>
          </w:p>
        </w:tc>
        <w:tc>
          <w:tcPr>
            <w:tcW w:w="6841" w:type="dxa"/>
          </w:tcPr>
          <w:p w14:paraId="3449A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6519 + 1569 в резервных частях. Всего - 8088. Кроме того: почтовых - 443,</w:t>
            </w:r>
          </w:p>
        </w:tc>
      </w:tr>
      <w:tr w:rsidR="00561F31" w:rsidRPr="00F90EAE" w14:paraId="190BC018" w14:textId="77777777">
        <w:tc>
          <w:tcPr>
            <w:tcW w:w="3757" w:type="dxa"/>
          </w:tcPr>
          <w:p w14:paraId="7DB878D6"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2900A6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- 295, ночных штурм. - 563, морских - 131, грузовых планеров - 839</w:t>
            </w:r>
          </w:p>
        </w:tc>
      </w:tr>
      <w:tr w:rsidR="00561F31" w:rsidRPr="00F90EAE" w14:paraId="3268660D" w14:textId="77777777">
        <w:tc>
          <w:tcPr>
            <w:tcW w:w="3757" w:type="dxa"/>
          </w:tcPr>
          <w:p w14:paraId="72D526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июля</w:t>
            </w:r>
          </w:p>
        </w:tc>
        <w:tc>
          <w:tcPr>
            <w:tcW w:w="6841" w:type="dxa"/>
          </w:tcPr>
          <w:p w14:paraId="762CDE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6590 + 1250 в резервных частях. Всего - 7840. Кроме того: почтовых и связи</w:t>
            </w:r>
          </w:p>
        </w:tc>
      </w:tr>
      <w:tr w:rsidR="00561F31" w:rsidRPr="00F90EAE" w14:paraId="4284E7BC" w14:textId="77777777">
        <w:tc>
          <w:tcPr>
            <w:tcW w:w="3757" w:type="dxa"/>
          </w:tcPr>
          <w:p w14:paraId="6A1FBF49"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5EFA47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 показано, ночных штурм. - 551, морских - 115, грузовых планеров - 638</w:t>
            </w:r>
          </w:p>
        </w:tc>
      </w:tr>
      <w:tr w:rsidR="00561F31" w:rsidRPr="00F90EAE" w14:paraId="2DD3EA73" w14:textId="77777777">
        <w:tc>
          <w:tcPr>
            <w:tcW w:w="3757" w:type="dxa"/>
          </w:tcPr>
          <w:p w14:paraId="7FBAF6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августа</w:t>
            </w:r>
          </w:p>
        </w:tc>
        <w:tc>
          <w:tcPr>
            <w:tcW w:w="6841" w:type="dxa"/>
          </w:tcPr>
          <w:p w14:paraId="429373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6483 + 1344 в резервных частях. Всего - 7827. Кроме того: почтовых - 443,</w:t>
            </w:r>
          </w:p>
        </w:tc>
      </w:tr>
      <w:tr w:rsidR="00561F31" w:rsidRPr="00F90EAE" w14:paraId="57C24AC7" w14:textId="77777777">
        <w:tc>
          <w:tcPr>
            <w:tcW w:w="3757" w:type="dxa"/>
          </w:tcPr>
          <w:p w14:paraId="35D607F5" w14:textId="77777777" w:rsidR="00665165" w:rsidRPr="00F90EAE" w:rsidRDefault="00665165" w:rsidP="00F90EAE">
            <w:pPr>
              <w:autoSpaceDE w:val="0"/>
              <w:autoSpaceDN w:val="0"/>
              <w:adjustRightInd w:val="0"/>
              <w:jc w:val="both"/>
              <w:rPr>
                <w:color w:val="000000" w:themeColor="text1"/>
                <w:sz w:val="16"/>
                <w:szCs w:val="16"/>
              </w:rPr>
            </w:pPr>
          </w:p>
        </w:tc>
        <w:tc>
          <w:tcPr>
            <w:tcW w:w="6841" w:type="dxa"/>
          </w:tcPr>
          <w:p w14:paraId="6EFC15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связи - 245, морских - 118, грузовых планеров - 943</w:t>
            </w:r>
          </w:p>
        </w:tc>
      </w:tr>
      <w:tr w:rsidR="00561F31" w:rsidRPr="00F90EAE" w14:paraId="7DCF3AD4" w14:textId="77777777">
        <w:tc>
          <w:tcPr>
            <w:tcW w:w="3757" w:type="dxa"/>
          </w:tcPr>
          <w:p w14:paraId="53BBA7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сентября</w:t>
            </w:r>
          </w:p>
        </w:tc>
        <w:tc>
          <w:tcPr>
            <w:tcW w:w="6841" w:type="dxa"/>
          </w:tcPr>
          <w:p w14:paraId="610E54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6762 + 1488 в резервных частях. Всего - 8250. Остальные не показаны</w:t>
            </w:r>
          </w:p>
        </w:tc>
      </w:tr>
      <w:tr w:rsidR="00561F31" w:rsidRPr="00F90EAE" w14:paraId="61B3530B" w14:textId="77777777">
        <w:tc>
          <w:tcPr>
            <w:tcW w:w="3757" w:type="dxa"/>
          </w:tcPr>
          <w:p w14:paraId="1210D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октября</w:t>
            </w:r>
          </w:p>
        </w:tc>
        <w:tc>
          <w:tcPr>
            <w:tcW w:w="6841" w:type="dxa"/>
          </w:tcPr>
          <w:p w14:paraId="2AFDB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7338 + 1247 в резервных частях. Всего 8585</w:t>
            </w:r>
          </w:p>
        </w:tc>
      </w:tr>
      <w:tr w:rsidR="00561F31" w:rsidRPr="00F90EAE" w14:paraId="58AB73E0" w14:textId="77777777">
        <w:tc>
          <w:tcPr>
            <w:tcW w:w="3757" w:type="dxa"/>
          </w:tcPr>
          <w:p w14:paraId="3785BD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ноября</w:t>
            </w:r>
          </w:p>
        </w:tc>
        <w:tc>
          <w:tcPr>
            <w:tcW w:w="6841" w:type="dxa"/>
          </w:tcPr>
          <w:p w14:paraId="20C24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7666 + 1523 в резервных частях. Всего 9189</w:t>
            </w:r>
          </w:p>
        </w:tc>
      </w:tr>
      <w:tr w:rsidR="00561F31" w:rsidRPr="00F90EAE" w14:paraId="0EB37EDF" w14:textId="77777777">
        <w:tc>
          <w:tcPr>
            <w:tcW w:w="3757" w:type="dxa"/>
          </w:tcPr>
          <w:p w14:paraId="44894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декабря</w:t>
            </w:r>
          </w:p>
        </w:tc>
        <w:tc>
          <w:tcPr>
            <w:tcW w:w="6841" w:type="dxa"/>
          </w:tcPr>
          <w:p w14:paraId="620FAE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6910 + 1854 в резервных частях. Всего 8764</w:t>
            </w:r>
          </w:p>
        </w:tc>
      </w:tr>
      <w:tr w:rsidR="00561F31" w:rsidRPr="00F90EAE" w14:paraId="45DA57F4" w14:textId="77777777">
        <w:tc>
          <w:tcPr>
            <w:tcW w:w="3757" w:type="dxa"/>
          </w:tcPr>
          <w:p w14:paraId="1716E1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 (3573).</w:t>
            </w:r>
          </w:p>
        </w:tc>
        <w:tc>
          <w:tcPr>
            <w:tcW w:w="6841" w:type="dxa"/>
          </w:tcPr>
          <w:p w14:paraId="63E0E5B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8EDE018" w14:textId="77777777">
        <w:tc>
          <w:tcPr>
            <w:tcW w:w="3757" w:type="dxa"/>
          </w:tcPr>
          <w:p w14:paraId="646D12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января</w:t>
            </w:r>
          </w:p>
        </w:tc>
        <w:tc>
          <w:tcPr>
            <w:tcW w:w="6841" w:type="dxa"/>
          </w:tcPr>
          <w:p w14:paraId="4774D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8764 (в фронтовые соединения вошли и резервные части)</w:t>
            </w:r>
          </w:p>
        </w:tc>
      </w:tr>
      <w:tr w:rsidR="00561F31" w:rsidRPr="00F90EAE" w14:paraId="699E9E50" w14:textId="77777777">
        <w:tc>
          <w:tcPr>
            <w:tcW w:w="3757" w:type="dxa"/>
          </w:tcPr>
          <w:p w14:paraId="08BAE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февраля</w:t>
            </w:r>
          </w:p>
        </w:tc>
        <w:tc>
          <w:tcPr>
            <w:tcW w:w="6841" w:type="dxa"/>
          </w:tcPr>
          <w:p w14:paraId="049F2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8365</w:t>
            </w:r>
          </w:p>
        </w:tc>
      </w:tr>
      <w:tr w:rsidR="00561F31" w:rsidRPr="00F90EAE" w14:paraId="3838E0FF" w14:textId="77777777">
        <w:tc>
          <w:tcPr>
            <w:tcW w:w="3757" w:type="dxa"/>
          </w:tcPr>
          <w:p w14:paraId="052C5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марта</w:t>
            </w:r>
          </w:p>
        </w:tc>
        <w:tc>
          <w:tcPr>
            <w:tcW w:w="6841" w:type="dxa"/>
          </w:tcPr>
          <w:p w14:paraId="11E924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8753</w:t>
            </w:r>
          </w:p>
        </w:tc>
      </w:tr>
      <w:tr w:rsidR="00561F31" w:rsidRPr="00F90EAE" w14:paraId="5104886F" w14:textId="77777777">
        <w:tc>
          <w:tcPr>
            <w:tcW w:w="3757" w:type="dxa"/>
          </w:tcPr>
          <w:p w14:paraId="791C69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w:t>
            </w:r>
          </w:p>
        </w:tc>
        <w:tc>
          <w:tcPr>
            <w:tcW w:w="6841" w:type="dxa"/>
          </w:tcPr>
          <w:p w14:paraId="5216D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7835 (3573)</w:t>
            </w:r>
          </w:p>
        </w:tc>
      </w:tr>
    </w:tbl>
    <w:p w14:paraId="35F2EBE2" w14:textId="77777777" w:rsidR="00665165" w:rsidRPr="00F90EAE" w:rsidRDefault="00665165" w:rsidP="00F90EAE">
      <w:pPr>
        <w:autoSpaceDE w:val="0"/>
        <w:autoSpaceDN w:val="0"/>
        <w:adjustRightInd w:val="0"/>
        <w:jc w:val="both"/>
        <w:rPr>
          <w:color w:val="000000" w:themeColor="text1"/>
          <w:sz w:val="16"/>
          <w:szCs w:val="16"/>
        </w:rPr>
      </w:pPr>
    </w:p>
    <w:p w14:paraId="43500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 мая 1945 г. из-за того, что доля новых самолетов повышалась количество неисправных самолетов возросло до 17,8% (4115), хотя Постановлением ГКО от 13.02.1943 г. процент неисправных самолетов должен быть не более 10-15%) (3573).</w:t>
      </w:r>
    </w:p>
    <w:p w14:paraId="6FA74E96" w14:textId="77777777" w:rsidR="00665165" w:rsidRPr="00F90EAE" w:rsidRDefault="00665165" w:rsidP="00F90EAE">
      <w:pPr>
        <w:autoSpaceDE w:val="0"/>
        <w:autoSpaceDN w:val="0"/>
        <w:adjustRightInd w:val="0"/>
        <w:jc w:val="both"/>
        <w:rPr>
          <w:color w:val="000000" w:themeColor="text1"/>
          <w:sz w:val="16"/>
          <w:szCs w:val="16"/>
        </w:rPr>
      </w:pPr>
    </w:p>
    <w:p w14:paraId="007EC5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 в связи с тем, что немецкое командование для обороны оставшейся своей территории сосредоточило почти всю свою авиацию - 2900 самолетов, численное превосходство советской авиации снизилось до 5. Советская авиация имела над авиацией Люфтваффе численное превосходство: на 1 января 1942 г. в 1,8 раза, на 1 июля 1943 г. - в 3,6, на 1 января 1945 г. - в 9,3 раза. К тому времени во фронтовой авиации мы имели 14607 боевых самолетов, без устаревших типов и легких ночных бомбардировщиков По-2 (4116; 4117; 4118; 4119; 4120; 4121; 4122) (3573).</w:t>
      </w:r>
    </w:p>
    <w:p w14:paraId="1A642212" w14:textId="77777777" w:rsidR="00665165" w:rsidRPr="00F90EAE" w:rsidRDefault="00665165" w:rsidP="00F90EAE">
      <w:pPr>
        <w:autoSpaceDE w:val="0"/>
        <w:autoSpaceDN w:val="0"/>
        <w:adjustRightInd w:val="0"/>
        <w:jc w:val="both"/>
        <w:rPr>
          <w:color w:val="000000" w:themeColor="text1"/>
          <w:sz w:val="16"/>
          <w:szCs w:val="16"/>
        </w:rPr>
      </w:pPr>
    </w:p>
    <w:p w14:paraId="0E7BD3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 на передовой Ла-7 уже было больше, чем Ла-5, - 967 против 676. На новых истребителях советские лётчики сбили немало вражеских машин. Самолёт, обладавший отличной манёвренностью, высокой скоростью и сильным вооружением, как нельзя лучше соответствовал формуле А.И. Покрышкина: "Скорость - манёвр - огонь".</w:t>
      </w:r>
    </w:p>
    <w:p w14:paraId="3F5F3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Наибольшее количество побед на Ла-7 одержал И.Н. Кожедуб из 176-го гв. иап - 14. Фактически их было 16, но два американских "мустанга", опрометчиво атаковавших Кожедуба в апреле 1945 г. и поплатившихся за это, в список не включили. На Ла-7 Кожедубу удалось первым из советских лётчиков сбить реактивный истребитель Me 262. Вот, что вспоминал об этом эпизоде он сам: "19 февраля 1945 г. Дмитрию Титаренко и мне довелось встретиться с немецко-фашистским реактивным самолётом. Дело было так. Мы вели воздушную охоту невдалеке от линии фронта. Внимательно слежу за воздухом. С юга, со стороны Франкфурта, на высоте 3500 м внезапно появился самолёт. Он летит вдоль Одера на скорости, предельной для наших "Лавочкиных". Да это же реактивный самолёт! Быстро разворачиваюсь. Даю мотору полный газ, преследую врага. Лётчик, очевидно, и не смотрел назад, полагаясь на большую скорость. Выжимаю из машины максимальную скорость, стараюсь сократить дистанцию и подойти с небольшим снижением под "брюхо" вражеского самолёта. Хочется подробно рассмотреть его; если удастся - открыть огонь й сбить.</w:t>
      </w:r>
    </w:p>
    <w:p w14:paraId="4299F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Титаренко не отстаёт. Зная, что он может поспешить, предупреждаю: "Дима, не торопись!"</w:t>
      </w:r>
    </w:p>
    <w:p w14:paraId="28237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Подхожу со стороны хвоста на расстояние пятисот метров. Удачный манёвр, быстрота действий, скорость позволили мне приблизиться к реактивному самолёту. Но что такое? В него летят трассы: ясно - мой напарник все-та- ки поторопился! Про себя нещадно его ругаю; уверен, что план моих действий непоправимо нарушен. Но его трассы нежданно-негаданно мне помогли: немецкий самолёт стал разворачиваться влево, в мою сторону. Дистанция резко сократилась, и я сблизился с врагом. С невольным волнением открываю огонь. И реактивный самолёт, разваливаясь на части, падает" (11986).</w:t>
      </w:r>
    </w:p>
    <w:p w14:paraId="7494DC3E" w14:textId="77777777" w:rsidR="00665165" w:rsidRPr="00F90EAE" w:rsidRDefault="00665165" w:rsidP="00F90EAE">
      <w:pPr>
        <w:autoSpaceDE w:val="0"/>
        <w:autoSpaceDN w:val="0"/>
        <w:adjustRightInd w:val="0"/>
        <w:jc w:val="both"/>
        <w:rPr>
          <w:color w:val="000000" w:themeColor="text1"/>
          <w:sz w:val="16"/>
          <w:szCs w:val="16"/>
        </w:rPr>
      </w:pPr>
    </w:p>
    <w:p w14:paraId="0DD23C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закончились испытани стабилизатора для торпеды СН-45 при скоростях сбрасывания 360-380 км/ч, которые проводились на базе 5-го гмтап ВВС ЧФ с 10 февраля. Система была принята на вооружение приказом НК ВМФ №0387 от 17.7.1945. Одновременно торпедам с усиленной хвостовой частью присваивался индекс 45-36АНУ. В приказе констатировалось, что система обеспечивает нормальный сброс торпед на скоростях самолета до 360 км/ч. Лишь в послевоенное время после разработки специальной деревянной наделки на носовую часть торпеды удалось довести скорость сбрасывания до 400 км/ч, а высоту - до 100 м.</w:t>
      </w:r>
    </w:p>
    <w:p w14:paraId="555666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Стабилизатор был создан в результате теоретических и экспериментальных исследований, а также натурных испытаний группой инженеров под руководством профессора Л.И. Седова в 1945 г. . Он представлял собой легкую металлическую конструкцию весом 8 кг, состоящую из нескольких колец, каркаса, вертикальной планки и поворотного крыла.</w:t>
      </w:r>
    </w:p>
    <w:p w14:paraId="6E9BF4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проводились испытания торпед с реактивным тормозящим устройством НРТУ. Устройство представляло собой камеры от реактивных снарядов М-13 и М-31. Очевидно, этот экспромт положительных результатов не дал, поскольку на вооружение его не приняли (12002).</w:t>
      </w:r>
    </w:p>
    <w:p w14:paraId="700EAF68" w14:textId="77777777" w:rsidR="00665165" w:rsidRPr="00F90EAE" w:rsidRDefault="00665165" w:rsidP="00F90EAE">
      <w:pPr>
        <w:autoSpaceDE w:val="0"/>
        <w:autoSpaceDN w:val="0"/>
        <w:adjustRightInd w:val="0"/>
        <w:jc w:val="both"/>
        <w:rPr>
          <w:color w:val="000000" w:themeColor="text1"/>
          <w:sz w:val="16"/>
          <w:szCs w:val="16"/>
        </w:rPr>
      </w:pPr>
    </w:p>
    <w:p w14:paraId="7E6C2E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57 кораблей ВМФ были оснащены радарами. Лишь одна - отечественная. Всего получили 555 английских станций и 641 американскую (9452,41).</w:t>
      </w:r>
    </w:p>
    <w:p w14:paraId="1736543E" w14:textId="77777777" w:rsidR="00665165" w:rsidRPr="00F90EAE" w:rsidRDefault="00665165" w:rsidP="00F90EAE">
      <w:pPr>
        <w:autoSpaceDE w:val="0"/>
        <w:autoSpaceDN w:val="0"/>
        <w:adjustRightInd w:val="0"/>
        <w:jc w:val="both"/>
        <w:rPr>
          <w:color w:val="000000" w:themeColor="text1"/>
          <w:sz w:val="16"/>
          <w:szCs w:val="16"/>
        </w:rPr>
      </w:pPr>
    </w:p>
    <w:p w14:paraId="1A4A9B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в АРГК также было налицо 48 280 мм мортир Шнейдера и Бр-5. Все фугасные снаряды к Бр-5 были спроектированы еще до 1917 года и предназначались для 280-мм мортиры Шнейдера. Ф-674 и Ф-674К русские старые гранаты, а Ф-674Ф французская. Бетонобойный снаряд Г-675 был испытан в 1939 году, но в таблицах боевой комплектации появился лишь в 1942 году. Максимальное давление в канале ствола 1760 кг/см2 (для Г-675) (3861).</w:t>
      </w:r>
    </w:p>
    <w:p w14:paraId="3B2A207A" w14:textId="77777777" w:rsidR="00665165" w:rsidRPr="00F90EAE" w:rsidRDefault="00665165" w:rsidP="00F90EAE">
      <w:pPr>
        <w:autoSpaceDE w:val="0"/>
        <w:autoSpaceDN w:val="0"/>
        <w:adjustRightInd w:val="0"/>
        <w:jc w:val="both"/>
        <w:rPr>
          <w:color w:val="000000" w:themeColor="text1"/>
          <w:sz w:val="16"/>
          <w:szCs w:val="16"/>
        </w:rPr>
      </w:pPr>
    </w:p>
    <w:p w14:paraId="5A2CC6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в составе АРГК было налицо 8 210-мм пушек Бр-17 (Шкода) (3861).</w:t>
      </w:r>
    </w:p>
    <w:p w14:paraId="02C26954" w14:textId="77777777" w:rsidR="00665165" w:rsidRPr="00F90EAE" w:rsidRDefault="00665165" w:rsidP="00F90EAE">
      <w:pPr>
        <w:autoSpaceDE w:val="0"/>
        <w:autoSpaceDN w:val="0"/>
        <w:adjustRightInd w:val="0"/>
        <w:jc w:val="both"/>
        <w:rPr>
          <w:color w:val="000000" w:themeColor="text1"/>
          <w:sz w:val="16"/>
          <w:szCs w:val="16"/>
        </w:rPr>
      </w:pPr>
    </w:p>
    <w:p w14:paraId="774F6D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в составе РВГК имелось 16 трофейных 211-мм мортир обр. 1918 г (3861).</w:t>
      </w:r>
    </w:p>
    <w:p w14:paraId="3D3999C2" w14:textId="77777777" w:rsidR="00665165" w:rsidRPr="00F90EAE" w:rsidRDefault="00665165" w:rsidP="00F90EAE">
      <w:pPr>
        <w:autoSpaceDE w:val="0"/>
        <w:autoSpaceDN w:val="0"/>
        <w:adjustRightInd w:val="0"/>
        <w:jc w:val="both"/>
        <w:rPr>
          <w:color w:val="000000" w:themeColor="text1"/>
          <w:sz w:val="16"/>
          <w:szCs w:val="16"/>
        </w:rPr>
      </w:pPr>
    </w:p>
    <w:p w14:paraId="65CC8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Флот с 22 июня 1941 г. по 1 мая 1945 г. получил от промышленности 62805 снарядов к 130/55-мм и 130/50-мм пушкам с мелкой нарезкой (3861).</w:t>
      </w:r>
    </w:p>
    <w:p w14:paraId="7213CBE3" w14:textId="77777777" w:rsidR="00665165" w:rsidRPr="00F90EAE" w:rsidRDefault="00665165" w:rsidP="00F90EAE">
      <w:pPr>
        <w:autoSpaceDE w:val="0"/>
        <w:autoSpaceDN w:val="0"/>
        <w:adjustRightInd w:val="0"/>
        <w:jc w:val="both"/>
        <w:rPr>
          <w:color w:val="000000" w:themeColor="text1"/>
          <w:sz w:val="16"/>
          <w:szCs w:val="16"/>
        </w:rPr>
      </w:pPr>
    </w:p>
    <w:p w14:paraId="7C81BD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в корпусной артиллерии имелось 289 122-мм пушек обр. 1931 г. и 1931/37 г., и в РВГК 309 тех же пушек. В 1947 году пушки А-19 уже не производились (3861).</w:t>
      </w:r>
    </w:p>
    <w:p w14:paraId="184513FE" w14:textId="77777777" w:rsidR="00665165" w:rsidRPr="00F90EAE" w:rsidRDefault="00665165" w:rsidP="00F90EAE">
      <w:pPr>
        <w:autoSpaceDE w:val="0"/>
        <w:autoSpaceDN w:val="0"/>
        <w:adjustRightInd w:val="0"/>
        <w:jc w:val="both"/>
        <w:rPr>
          <w:color w:val="000000" w:themeColor="text1"/>
          <w:sz w:val="16"/>
          <w:szCs w:val="16"/>
        </w:rPr>
      </w:pPr>
    </w:p>
    <w:p w14:paraId="2D1CBA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число 152-мм пушек Бр-2 в частях РВГК осталось прежним (28). После 1941 года (по крайней мере до 1958 года) пушки Бр-2, Б-30 и Бр-19 серийно не производились (3861).</w:t>
      </w:r>
    </w:p>
    <w:p w14:paraId="422AFE43" w14:textId="77777777" w:rsidR="00665165" w:rsidRPr="00F90EAE" w:rsidRDefault="00665165" w:rsidP="00F90EAE">
      <w:pPr>
        <w:autoSpaceDE w:val="0"/>
        <w:autoSpaceDN w:val="0"/>
        <w:adjustRightInd w:val="0"/>
        <w:jc w:val="both"/>
        <w:rPr>
          <w:color w:val="000000" w:themeColor="text1"/>
          <w:sz w:val="16"/>
          <w:szCs w:val="16"/>
        </w:rPr>
      </w:pPr>
    </w:p>
    <w:p w14:paraId="06693A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 мая 1945 года 203-мм гаубицы Б-4 имелись в 30 бригадах и четырех отдельных полках. Всего по штату должно быть 768 гаубиц, а налицо было 760. В советской армии гаубицы Б-4 до конца войны состояли только в артиллерии РВГК. Лафет Б-4 имел некоторые различия с лафетами Бр-2 и Бр-5. Так, у Бр-2 в лафет введен дополнительный уравновешивающий механизм, а у мортиры Бр-5 изменен профиль шпонок в тормозе отката, усилен кран заряжания и др. В связи с этим и постановка стволов различных калибров на один и тот же лафет могла быть произведена только в заводских условиях (3861).</w:t>
      </w:r>
    </w:p>
    <w:p w14:paraId="0DFC5BEF" w14:textId="77777777" w:rsidR="00665165" w:rsidRPr="00F90EAE" w:rsidRDefault="00665165" w:rsidP="00F90EAE">
      <w:pPr>
        <w:autoSpaceDE w:val="0"/>
        <w:autoSpaceDN w:val="0"/>
        <w:adjustRightInd w:val="0"/>
        <w:jc w:val="both"/>
        <w:rPr>
          <w:color w:val="000000" w:themeColor="text1"/>
          <w:sz w:val="16"/>
          <w:szCs w:val="16"/>
        </w:rPr>
      </w:pPr>
    </w:p>
    <w:p w14:paraId="255FA0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1 мая 1945 бригада А.И.Подольского успела сформировать, обучить и направить из Куйбышева в действующую армию 12 шап, вооруженных Ил-10 (337,85).</w:t>
      </w:r>
    </w:p>
    <w:p w14:paraId="60ADEB1B" w14:textId="77777777" w:rsidR="00665165" w:rsidRPr="00F90EAE" w:rsidRDefault="00665165" w:rsidP="00F90EAE">
      <w:pPr>
        <w:autoSpaceDE w:val="0"/>
        <w:autoSpaceDN w:val="0"/>
        <w:adjustRightInd w:val="0"/>
        <w:jc w:val="both"/>
        <w:rPr>
          <w:color w:val="000000" w:themeColor="text1"/>
          <w:sz w:val="16"/>
          <w:szCs w:val="16"/>
        </w:rPr>
      </w:pPr>
    </w:p>
    <w:p w14:paraId="0B21556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в Берлине соединились части 3-й советской Ударной армии, наступающие с севера, с частями 8-й гвардейской армии, наступающей с юга (4963).</w:t>
      </w:r>
    </w:p>
    <w:p w14:paraId="18D7490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18A8B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советские войска освободили концлагерь Заксенхаузен (4963 ).</w:t>
      </w:r>
    </w:p>
    <w:p w14:paraId="4B0D704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D9896E0" w14:textId="77777777" w:rsidR="00A12CE2" w:rsidRPr="00F90EAE" w:rsidRDefault="00A12CE2" w:rsidP="00F90EAE">
      <w:pPr>
        <w:pStyle w:val="book"/>
        <w:ind w:firstLine="0"/>
        <w:jc w:val="both"/>
        <w:rPr>
          <w:color w:val="000000" w:themeColor="text1"/>
          <w:sz w:val="16"/>
          <w:szCs w:val="16"/>
        </w:rPr>
      </w:pPr>
      <w:r w:rsidRPr="00F90EAE">
        <w:rPr>
          <w:color w:val="000000" w:themeColor="text1"/>
          <w:sz w:val="16"/>
          <w:szCs w:val="16"/>
        </w:rPr>
        <w:lastRenderedPageBreak/>
        <w:t>На 1 мая 1945 г. в Красной армии имелось 664,5 тыс. автомобилей, из них: 58,1% — отечественного производства, 32,8% — автомобили, полученные по ленд-лизу, и 9,1% (примерно 60,5 тысячи) — трофейные (15225).</w:t>
      </w:r>
    </w:p>
    <w:p w14:paraId="41E0F5BA" w14:textId="77777777" w:rsidR="00A12CE2" w:rsidRPr="00F90EAE" w:rsidRDefault="00A12CE2" w:rsidP="00F90EAE">
      <w:pPr>
        <w:pStyle w:val="book"/>
        <w:ind w:firstLine="0"/>
        <w:jc w:val="both"/>
        <w:rPr>
          <w:color w:val="000000" w:themeColor="text1"/>
          <w:sz w:val="16"/>
          <w:szCs w:val="16"/>
        </w:rPr>
      </w:pPr>
    </w:p>
    <w:p w14:paraId="6E3FBF0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E9157CD" w14:textId="77777777" w:rsidR="00665165" w:rsidRPr="00F90EAE" w:rsidRDefault="00665165" w:rsidP="00F90EAE">
      <w:pPr>
        <w:autoSpaceDE w:val="0"/>
        <w:autoSpaceDN w:val="0"/>
        <w:adjustRightInd w:val="0"/>
        <w:jc w:val="both"/>
        <w:rPr>
          <w:iCs/>
          <w:color w:val="000000" w:themeColor="text1"/>
          <w:sz w:val="16"/>
          <w:szCs w:val="16"/>
        </w:rPr>
      </w:pPr>
    </w:p>
    <w:p w14:paraId="48E21389" w14:textId="77777777" w:rsidR="007D65F3" w:rsidRPr="00F90EAE" w:rsidRDefault="007D65F3" w:rsidP="00F90EAE">
      <w:pPr>
        <w:autoSpaceDE w:val="0"/>
        <w:autoSpaceDN w:val="0"/>
        <w:adjustRightInd w:val="0"/>
        <w:jc w:val="both"/>
        <w:rPr>
          <w:color w:val="000000" w:themeColor="text1"/>
          <w:sz w:val="16"/>
          <w:szCs w:val="16"/>
        </w:rPr>
      </w:pPr>
      <w:r w:rsidRPr="00F90EAE">
        <w:rPr>
          <w:color w:val="000000" w:themeColor="text1"/>
          <w:sz w:val="16"/>
          <w:szCs w:val="16"/>
        </w:rPr>
        <w:t>1 мая 1945 на КП был второй за ВОВ военный парад (1836,46).</w:t>
      </w:r>
    </w:p>
    <w:p w14:paraId="24145439" w14:textId="77777777" w:rsidR="007D65F3" w:rsidRPr="00F90EAE" w:rsidRDefault="007D65F3" w:rsidP="00F90EAE">
      <w:pPr>
        <w:autoSpaceDE w:val="0"/>
        <w:autoSpaceDN w:val="0"/>
        <w:adjustRightInd w:val="0"/>
        <w:jc w:val="both"/>
        <w:rPr>
          <w:color w:val="000000" w:themeColor="text1"/>
          <w:sz w:val="16"/>
          <w:szCs w:val="16"/>
        </w:rPr>
      </w:pPr>
    </w:p>
    <w:p w14:paraId="3AEFE64D" w14:textId="77777777" w:rsidR="004252F4" w:rsidRPr="00F90EAE" w:rsidRDefault="004252F4" w:rsidP="00F90EAE">
      <w:pPr>
        <w:jc w:val="both"/>
        <w:rPr>
          <w:color w:val="000000" w:themeColor="text1"/>
          <w:sz w:val="16"/>
          <w:szCs w:val="16"/>
        </w:rPr>
      </w:pPr>
      <w:r w:rsidRPr="00F90EAE">
        <w:rPr>
          <w:color w:val="000000" w:themeColor="text1"/>
          <w:sz w:val="16"/>
          <w:szCs w:val="16"/>
        </w:rPr>
        <w:t>1 мая 1945. На Красной площади впервые за годы войны состоялся первомайский военный парад (18688).</w:t>
      </w:r>
    </w:p>
    <w:p w14:paraId="2062D86A" w14:textId="77777777" w:rsidR="004252F4" w:rsidRPr="00F90EAE" w:rsidRDefault="004252F4" w:rsidP="00F90EAE">
      <w:pPr>
        <w:jc w:val="both"/>
        <w:rPr>
          <w:color w:val="000000" w:themeColor="text1"/>
          <w:sz w:val="16"/>
          <w:szCs w:val="16"/>
        </w:rPr>
      </w:pPr>
    </w:p>
    <w:p w14:paraId="0B151614"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по радио передавался репортаж о военном параде на Красной площади в Москве, посвященном Дню международной солидарности трудящихся. Во время войны традиционные советские праздники происходили без парадов (14878).</w:t>
      </w:r>
    </w:p>
    <w:p w14:paraId="42FCC040" w14:textId="77777777" w:rsidR="007D65F3" w:rsidRPr="00F90EAE" w:rsidRDefault="007D65F3" w:rsidP="00F90EAE">
      <w:pPr>
        <w:jc w:val="both"/>
        <w:rPr>
          <w:color w:val="000000" w:themeColor="text1"/>
          <w:sz w:val="16"/>
          <w:szCs w:val="16"/>
        </w:rPr>
      </w:pPr>
    </w:p>
    <w:p w14:paraId="75683FEC"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в приказе И.В.Сталина впервые упомянуто понятие "город-герой" (тогда - Ленинград, Сталинград, Севастополь и Одесса) (14878).</w:t>
      </w:r>
    </w:p>
    <w:p w14:paraId="3B69376C" w14:textId="77777777" w:rsidR="007D65F3" w:rsidRPr="00F90EAE" w:rsidRDefault="007D65F3" w:rsidP="00F90EAE">
      <w:pPr>
        <w:jc w:val="both"/>
        <w:rPr>
          <w:color w:val="000000" w:themeColor="text1"/>
          <w:sz w:val="16"/>
          <w:szCs w:val="16"/>
        </w:rPr>
      </w:pPr>
    </w:p>
    <w:p w14:paraId="4E7FF9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Севастополь стал городом-героем (3398,167).</w:t>
      </w:r>
    </w:p>
    <w:p w14:paraId="1E8B3133" w14:textId="77777777" w:rsidR="00665165" w:rsidRPr="00F90EAE" w:rsidRDefault="00665165" w:rsidP="00F90EAE">
      <w:pPr>
        <w:autoSpaceDE w:val="0"/>
        <w:autoSpaceDN w:val="0"/>
        <w:adjustRightInd w:val="0"/>
        <w:jc w:val="both"/>
        <w:rPr>
          <w:color w:val="000000" w:themeColor="text1"/>
          <w:sz w:val="16"/>
          <w:szCs w:val="16"/>
        </w:rPr>
      </w:pPr>
    </w:p>
    <w:p w14:paraId="5CEB368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в приказе Сталина впервые упомянуто понятие “город-герой” (тогда - Ленинград, Сталинград, Севастополь и Одесса) (4962).</w:t>
      </w:r>
    </w:p>
    <w:p w14:paraId="46980AC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E222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вышло Постановление ГКО № 8374 О мерах по обеспечению пиломатериалами производства хлебных щитов. РГАНИР, Фонд ГКО, д. 411, лл. 93 (11012).</w:t>
      </w:r>
    </w:p>
    <w:p w14:paraId="6B420C11" w14:textId="77777777" w:rsidR="00665165" w:rsidRPr="00F90EAE" w:rsidRDefault="00665165" w:rsidP="00F90EAE">
      <w:pPr>
        <w:autoSpaceDE w:val="0"/>
        <w:autoSpaceDN w:val="0"/>
        <w:adjustRightInd w:val="0"/>
        <w:jc w:val="both"/>
        <w:rPr>
          <w:color w:val="000000" w:themeColor="text1"/>
          <w:sz w:val="16"/>
          <w:szCs w:val="16"/>
        </w:rPr>
      </w:pPr>
    </w:p>
    <w:p w14:paraId="5FD5C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вышло Распоряжение ГКО № 8375. О строительстве второго домостроительного комбината в Черновицкой обл. РГАНИР, Фонд ГКО, д. 411, лл. 94 (11012).</w:t>
      </w:r>
    </w:p>
    <w:p w14:paraId="27611B1D" w14:textId="77777777" w:rsidR="00665165" w:rsidRPr="00F90EAE" w:rsidRDefault="00665165" w:rsidP="00F90EAE">
      <w:pPr>
        <w:autoSpaceDE w:val="0"/>
        <w:autoSpaceDN w:val="0"/>
        <w:adjustRightInd w:val="0"/>
        <w:jc w:val="both"/>
        <w:rPr>
          <w:color w:val="000000" w:themeColor="text1"/>
          <w:sz w:val="16"/>
          <w:szCs w:val="16"/>
        </w:rPr>
      </w:pPr>
    </w:p>
    <w:p w14:paraId="5359F95B"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на Одере погибла отважный снайпер, инструктор ДСО «Спартак» Н.П.Петрова, полный кавалер трех степеней ордена «Славы» (14878).</w:t>
      </w:r>
    </w:p>
    <w:p w14:paraId="3DBFFF63" w14:textId="77777777" w:rsidR="007D65F3" w:rsidRPr="00F90EAE" w:rsidRDefault="007D65F3" w:rsidP="00F90EAE">
      <w:pPr>
        <w:jc w:val="both"/>
        <w:rPr>
          <w:color w:val="000000" w:themeColor="text1"/>
          <w:sz w:val="16"/>
          <w:szCs w:val="16"/>
        </w:rPr>
      </w:pPr>
    </w:p>
    <w:p w14:paraId="09B53EF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93CBCC8" w14:textId="77777777" w:rsidR="00665165" w:rsidRPr="00F90EAE" w:rsidRDefault="00665165" w:rsidP="00F90EAE">
      <w:pPr>
        <w:autoSpaceDE w:val="0"/>
        <w:autoSpaceDN w:val="0"/>
        <w:adjustRightInd w:val="0"/>
        <w:jc w:val="both"/>
        <w:rPr>
          <w:iCs/>
          <w:color w:val="000000" w:themeColor="text1"/>
          <w:sz w:val="16"/>
          <w:szCs w:val="16"/>
        </w:rPr>
      </w:pPr>
    </w:p>
    <w:p w14:paraId="7A230996" w14:textId="77777777" w:rsidR="00A12CE2" w:rsidRPr="00F90EAE" w:rsidRDefault="00A12CE2"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три опытных палубных истребителя-бомбардировщика «FR-1» «Файрболла» подняли на борт авианосца «Рейнджер» для проведения эксплуатационных испытаний. Но после победы над Японией США уже не нуждались в большом количестве новых истребителей, да и чисто реактивные самолеты оказались более перспективными. Серийное производство было остановлено, а заказ - аннулирован. К этому моменту кампания «Райан» успела построить 66 «FR-1» (14878) (14878).</w:t>
      </w:r>
    </w:p>
    <w:p w14:paraId="2D33C3E4" w14:textId="77777777" w:rsidR="00A12CE2" w:rsidRPr="00F90EAE" w:rsidRDefault="00A12CE2" w:rsidP="00F90EAE">
      <w:pPr>
        <w:jc w:val="both"/>
        <w:rPr>
          <w:color w:val="000000" w:themeColor="text1"/>
          <w:sz w:val="16"/>
          <w:szCs w:val="16"/>
        </w:rPr>
      </w:pPr>
    </w:p>
    <w:p w14:paraId="04D94D31" w14:textId="77777777" w:rsidR="00524AEC" w:rsidRPr="00F90EAE" w:rsidRDefault="00524AEC" w:rsidP="00F90EAE">
      <w:pPr>
        <w:jc w:val="both"/>
        <w:rPr>
          <w:color w:val="0070C0"/>
          <w:sz w:val="16"/>
          <w:szCs w:val="16"/>
        </w:rPr>
      </w:pPr>
      <w:r w:rsidRPr="00F90EAE">
        <w:rPr>
          <w:color w:val="0070C0"/>
          <w:sz w:val="16"/>
          <w:szCs w:val="16"/>
        </w:rPr>
        <w:t>1 мая 1945 самолет ВМС США со смешанной двигательной установкой Ryan FR Fireball становится первым самолетом, включающий реактивный двигатель на борту авианосцев (20371).</w:t>
      </w:r>
    </w:p>
    <w:p w14:paraId="1F731331" w14:textId="77777777" w:rsidR="00524AEC" w:rsidRPr="00F90EAE" w:rsidRDefault="00524AEC" w:rsidP="00F90EAE">
      <w:pPr>
        <w:jc w:val="both"/>
        <w:rPr>
          <w:color w:val="0070C0"/>
          <w:sz w:val="16"/>
          <w:szCs w:val="16"/>
        </w:rPr>
      </w:pPr>
    </w:p>
    <w:p w14:paraId="35EEDA2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американцами арестован немецкий фельдмаршал Г. фон Рунштедт (4962).</w:t>
      </w:r>
    </w:p>
    <w:p w14:paraId="2734836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4A0FF5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Немецкая армия в Италии капитулировала перед союзниками (4963 ).</w:t>
      </w:r>
    </w:p>
    <w:p w14:paraId="4F6FD9E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1069EE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покончил с собой, предварительно убив свою семью, нацистский министр пропаганды Й. Геббельс (4962).</w:t>
      </w:r>
    </w:p>
    <w:p w14:paraId="460BAC2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D968DB" w14:textId="77777777" w:rsidR="007D65F3" w:rsidRPr="00F90EAE" w:rsidRDefault="007D65F3"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покончил с собой, предварительно убив свою семью, нацистский министр пропаганды Й.Геббельс (родился в 1897 году), идеолог фашизма, один из главных нацистских военных преступников. Родился в Ринеланде, стал журналистом. В 1922 году защитил докторскую диссертацию по истории романтической драмы. Пьесы Геббельса «Иуда Искариот» и «Странник» были отвергнуты театрами, его статьи не публиковались в газетах. Самый крупный акт самовыражения Геббельса - роман «Михаэль, или Немецкая судьба на страничках дневника» - увидел свет несколько позднее, при поддержке нацистской партии, к которой Геббельс примкнул в том же году. В 1927-1933 годах Геббельс - издатель нацистской газеты «Ангрифф». В 1928 году возглавил в нацистской партии работу по ведению пропаганды. После захвата фашистами власти в 1933 году - имперский министр народного просвещения и пропаганды. Фашистская пропаганда Геббельса была основана на проповеди расизма, восхвалении насилия и захватнических войн. В мае 1933 года во всех университетских городах Германии запылали костры из книг. Эту акцию организовал Геббельс. А в 1938 году он устроил "Хрустальную ночь" - грандиозный еврейский погром, прокатившийся по всей стране. В августе 1944 года Геббельс был назначен особым уполномоченным по ведению тотальной войны, ему было дано право призывать на войну любого здорового человека в рейхе. В последние дни Берлинского сражения перебрался в бункер фюрера. После вступления советских войск в Берлин 1 мая 1945 года Йозеф Геббельс и его жена Магда покончили жизнь самоубийством, предварительно отравив синильной кислотой шестерых своих детей (14878).</w:t>
      </w:r>
    </w:p>
    <w:p w14:paraId="579874F8" w14:textId="77777777" w:rsidR="007D65F3" w:rsidRPr="00F90EAE" w:rsidRDefault="007D65F3" w:rsidP="00F90EAE">
      <w:pPr>
        <w:jc w:val="both"/>
        <w:rPr>
          <w:color w:val="000000" w:themeColor="text1"/>
          <w:sz w:val="16"/>
          <w:szCs w:val="16"/>
        </w:rPr>
      </w:pPr>
    </w:p>
    <w:p w14:paraId="0ECC3F0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1 May 1945 The suicide of Hitler (270).</w:t>
      </w:r>
    </w:p>
    <w:p w14:paraId="4C9A25AA" w14:textId="77777777" w:rsidR="00665165" w:rsidRPr="00F90EAE" w:rsidRDefault="00665165" w:rsidP="00F90EAE">
      <w:pPr>
        <w:autoSpaceDE w:val="0"/>
        <w:autoSpaceDN w:val="0"/>
        <w:adjustRightInd w:val="0"/>
        <w:jc w:val="both"/>
        <w:rPr>
          <w:color w:val="000000" w:themeColor="text1"/>
          <w:sz w:val="16"/>
          <w:szCs w:val="16"/>
          <w:lang w:val="en-US"/>
        </w:rPr>
      </w:pPr>
    </w:p>
    <w:p w14:paraId="50A3C0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А.Г. совершил самоубийство вместе с женой - Е.Браун (270).</w:t>
      </w:r>
    </w:p>
    <w:p w14:paraId="352A39B9" w14:textId="77777777" w:rsidR="00665165" w:rsidRPr="00F90EAE" w:rsidRDefault="00665165" w:rsidP="00F90EAE">
      <w:pPr>
        <w:autoSpaceDE w:val="0"/>
        <w:autoSpaceDN w:val="0"/>
        <w:adjustRightInd w:val="0"/>
        <w:jc w:val="both"/>
        <w:rPr>
          <w:color w:val="000000" w:themeColor="text1"/>
          <w:sz w:val="16"/>
          <w:szCs w:val="16"/>
        </w:rPr>
      </w:pPr>
    </w:p>
    <w:p w14:paraId="2FF52F7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01 1945 As word of Hitler's death reaches the front, German resistance comes to an almost complete halt. Massive numbers of German soldiers stream westward to surrender and escape Soviet forces (1242).</w:t>
      </w:r>
    </w:p>
    <w:p w14:paraId="6C2AF073" w14:textId="77777777" w:rsidR="00665165" w:rsidRPr="00F90EAE" w:rsidRDefault="00665165" w:rsidP="00F90EAE">
      <w:pPr>
        <w:autoSpaceDE w:val="0"/>
        <w:autoSpaceDN w:val="0"/>
        <w:adjustRightInd w:val="0"/>
        <w:jc w:val="both"/>
        <w:rPr>
          <w:color w:val="000000" w:themeColor="text1"/>
          <w:sz w:val="16"/>
          <w:szCs w:val="16"/>
          <w:lang w:val="en-US"/>
        </w:rPr>
      </w:pPr>
    </w:p>
    <w:p w14:paraId="46574E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когда весть о смерти А.Г. достигла армии, немцы устремились на запад сдаваться американцам (1242).</w:t>
      </w:r>
    </w:p>
    <w:p w14:paraId="1E5E4168" w14:textId="77777777" w:rsidR="00665165" w:rsidRPr="00F90EAE" w:rsidRDefault="00665165" w:rsidP="00F90EAE">
      <w:pPr>
        <w:autoSpaceDE w:val="0"/>
        <w:autoSpaceDN w:val="0"/>
        <w:adjustRightInd w:val="0"/>
        <w:jc w:val="both"/>
        <w:rPr>
          <w:color w:val="000000" w:themeColor="text1"/>
          <w:sz w:val="16"/>
          <w:szCs w:val="16"/>
        </w:rPr>
      </w:pPr>
    </w:p>
    <w:p w14:paraId="20FFE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а Дениц стал Фюрером Германского Рейха и был им до 23 мая 1945 (2248,6). Сопротивление на западе почти прекратилось и немецкие войска стремились сдаться союзникам, чтобы не сдаваться русским (1242).</w:t>
      </w:r>
    </w:p>
    <w:p w14:paraId="13C128B2" w14:textId="77777777" w:rsidR="00665165" w:rsidRPr="00F90EAE" w:rsidRDefault="00665165" w:rsidP="00F90EAE">
      <w:pPr>
        <w:autoSpaceDE w:val="0"/>
        <w:autoSpaceDN w:val="0"/>
        <w:adjustRightInd w:val="0"/>
        <w:jc w:val="both"/>
        <w:rPr>
          <w:color w:val="000000" w:themeColor="text1"/>
          <w:sz w:val="16"/>
          <w:szCs w:val="16"/>
        </w:rPr>
      </w:pPr>
    </w:p>
    <w:p w14:paraId="7442EEF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рейхсканцлером Германии вместо Гитлера стал адмирал Карл Дениц, призвавший немцев сражаться до конца (4962).</w:t>
      </w:r>
    </w:p>
    <w:p w14:paraId="46D612F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DA30944" w14:textId="77777777" w:rsidR="00A12CE2" w:rsidRPr="00F90EAE" w:rsidRDefault="00A12CE2"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начальник Генерального штаба немецких сухопутных войск генерал Кребс по договоренности с советским командованием перешел линию фронта в Берлине и был принят командующим 8-й гвардейской армии генералом В.И.Чуйковым. Кребс сообщил о самоубийстве Гитлера и передал список нового германского правительства во главе с Й.Геббельсом, а также предложение о временном прекращении военных действий и начале мирных переговоров. Это предложение было отвергнуто советским командованием (14878).</w:t>
      </w:r>
    </w:p>
    <w:p w14:paraId="12A746A1" w14:textId="77777777" w:rsidR="00A12CE2" w:rsidRPr="00F90EAE" w:rsidRDefault="00A12CE2" w:rsidP="00F90EAE">
      <w:pPr>
        <w:jc w:val="both"/>
        <w:rPr>
          <w:color w:val="000000" w:themeColor="text1"/>
          <w:sz w:val="16"/>
          <w:szCs w:val="16"/>
        </w:rPr>
      </w:pPr>
    </w:p>
    <w:p w14:paraId="364D488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мая 1945 югославские партизаны И. Тито захватили Триест на несколько часов раньше прибывших туда английских войск (4962).</w:t>
      </w:r>
    </w:p>
    <w:p w14:paraId="4DE5670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4AE192F" w14:textId="77777777" w:rsidR="00A12CE2" w:rsidRPr="00F90EAE" w:rsidRDefault="00A12CE2"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немецкая армия в Италии капитулировала перед союзниками (14878).</w:t>
      </w:r>
    </w:p>
    <w:p w14:paraId="56090F44" w14:textId="77777777" w:rsidR="00A12CE2" w:rsidRPr="00F90EAE" w:rsidRDefault="00A12CE2" w:rsidP="00F90EAE">
      <w:pPr>
        <w:jc w:val="both"/>
        <w:rPr>
          <w:color w:val="000000" w:themeColor="text1"/>
          <w:sz w:val="16"/>
          <w:szCs w:val="16"/>
        </w:rPr>
      </w:pPr>
    </w:p>
    <w:p w14:paraId="349B92D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1st, 1945: Cessation of hostilities and surrender of all German forces in Italy as a result of unauthorized secret negotiations with the Allies by the German C-in-C, General von Vietinghoff. and SS General Wolff. Grossadmiral Donitz, following the death of Hitler, assumes his duties as the new German head of state. He orders utmost resistance on all fronts, especially in the East where tens of thousands of German civilians are still trying to escape from the stampeding Red Army. In the battle of Berlin, the remaining pockets of German resistance in the center of the city are crumbling. General Krebs, head of the OKH after Guderian's dismissal on March 26, begins negotiations with General Chuikov, CO of Eighth Guards Army, about the Soviet terms for a surrender. Goebbels and his wife, after poisoning their six children, commit suicide in the Fuhrerbunker (3819).</w:t>
      </w:r>
    </w:p>
    <w:p w14:paraId="4F5C6A70" w14:textId="77777777" w:rsidR="00665165" w:rsidRPr="00F90EAE" w:rsidRDefault="00665165" w:rsidP="00F90EAE">
      <w:pPr>
        <w:autoSpaceDE w:val="0"/>
        <w:autoSpaceDN w:val="0"/>
        <w:adjustRightInd w:val="0"/>
        <w:jc w:val="both"/>
        <w:rPr>
          <w:color w:val="000000" w:themeColor="text1"/>
          <w:sz w:val="16"/>
          <w:szCs w:val="16"/>
          <w:lang w:val="en-US"/>
        </w:rPr>
      </w:pPr>
    </w:p>
    <w:p w14:paraId="276C36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 немецкие части в Италии прекратили сопротивление и сдались в результате секретных несанкционированных переговоров с союзниками. Кребс начал переговоры с Чуйковым (3819).</w:t>
      </w:r>
    </w:p>
    <w:p w14:paraId="7D8540E6" w14:textId="77777777" w:rsidR="00665165" w:rsidRPr="00F90EAE" w:rsidRDefault="00665165" w:rsidP="00F90EAE">
      <w:pPr>
        <w:autoSpaceDE w:val="0"/>
        <w:autoSpaceDN w:val="0"/>
        <w:adjustRightInd w:val="0"/>
        <w:jc w:val="both"/>
        <w:rPr>
          <w:color w:val="000000" w:themeColor="text1"/>
          <w:sz w:val="16"/>
          <w:szCs w:val="16"/>
        </w:rPr>
      </w:pPr>
    </w:p>
    <w:p w14:paraId="7C17A6F8" w14:textId="77777777" w:rsidR="00A12CE2" w:rsidRPr="00F90EAE" w:rsidRDefault="00A12CE2"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в Португалии по случаю смерти Адольфа Гитлера объявлен траур (14878).</w:t>
      </w:r>
    </w:p>
    <w:p w14:paraId="326D7C32" w14:textId="77777777" w:rsidR="00A12CE2" w:rsidRPr="00F90EAE" w:rsidRDefault="00A12CE2" w:rsidP="00F90EAE">
      <w:pPr>
        <w:jc w:val="both"/>
        <w:rPr>
          <w:color w:val="000000" w:themeColor="text1"/>
          <w:sz w:val="16"/>
          <w:szCs w:val="16"/>
        </w:rPr>
      </w:pPr>
    </w:p>
    <w:p w14:paraId="2D4246A2" w14:textId="77777777" w:rsidR="00A12CE2" w:rsidRPr="00F90EAE" w:rsidRDefault="00A12CE2" w:rsidP="00F90EAE">
      <w:pPr>
        <w:jc w:val="both"/>
        <w:rPr>
          <w:color w:val="000000" w:themeColor="text1"/>
          <w:sz w:val="16"/>
          <w:szCs w:val="16"/>
        </w:rPr>
      </w:pPr>
      <w:r w:rsidRPr="00F90EAE">
        <w:rPr>
          <w:bCs/>
          <w:color w:val="000000" w:themeColor="text1"/>
          <w:sz w:val="16"/>
          <w:szCs w:val="16"/>
        </w:rPr>
        <w:t>1 мая</w:t>
      </w:r>
      <w:r w:rsidRPr="00F90EAE">
        <w:rPr>
          <w:color w:val="000000" w:themeColor="text1"/>
          <w:sz w:val="16"/>
          <w:szCs w:val="16"/>
        </w:rPr>
        <w:t xml:space="preserve"> в 1945 году утверждение Европейской консультативной комиссией Соглашения о контрольном механизме в Германии (14878).</w:t>
      </w:r>
    </w:p>
    <w:p w14:paraId="629C7EBB" w14:textId="77777777" w:rsidR="00A12CE2" w:rsidRPr="00F90EAE" w:rsidRDefault="00A12CE2" w:rsidP="00F90EAE">
      <w:pPr>
        <w:jc w:val="both"/>
        <w:rPr>
          <w:color w:val="000000" w:themeColor="text1"/>
          <w:sz w:val="16"/>
          <w:szCs w:val="16"/>
        </w:rPr>
      </w:pPr>
    </w:p>
    <w:p w14:paraId="28B6A985" w14:textId="77777777" w:rsidR="00A12CE2" w:rsidRPr="00F90EAE" w:rsidRDefault="00A12CE2" w:rsidP="00F90EAE">
      <w:pPr>
        <w:autoSpaceDE w:val="0"/>
        <w:autoSpaceDN w:val="0"/>
        <w:adjustRightInd w:val="0"/>
        <w:jc w:val="both"/>
        <w:rPr>
          <w:color w:val="000000" w:themeColor="text1"/>
          <w:sz w:val="16"/>
          <w:szCs w:val="16"/>
        </w:rPr>
      </w:pPr>
      <w:r w:rsidRPr="00F90EAE">
        <w:rPr>
          <w:color w:val="000000" w:themeColor="text1"/>
          <w:sz w:val="16"/>
          <w:szCs w:val="16"/>
        </w:rPr>
        <w:t>1 мая 1945 массированной бомбардировкой началась операция Дракула - наступление на столицу Бирмы - Рангун и его освободили за 2 дня (2438,101).</w:t>
      </w:r>
    </w:p>
    <w:p w14:paraId="02922824" w14:textId="77777777" w:rsidR="00A12CE2" w:rsidRPr="00F90EAE" w:rsidRDefault="00A12CE2" w:rsidP="00F90EAE">
      <w:pPr>
        <w:autoSpaceDE w:val="0"/>
        <w:autoSpaceDN w:val="0"/>
        <w:adjustRightInd w:val="0"/>
        <w:jc w:val="both"/>
        <w:rPr>
          <w:color w:val="000000" w:themeColor="text1"/>
          <w:sz w:val="16"/>
          <w:szCs w:val="16"/>
        </w:rPr>
      </w:pPr>
    </w:p>
    <w:p w14:paraId="3C1A91D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25AD29B" w14:textId="77777777" w:rsidR="00665165" w:rsidRPr="00F90EAE" w:rsidRDefault="00665165" w:rsidP="00F90EAE">
      <w:pPr>
        <w:autoSpaceDE w:val="0"/>
        <w:autoSpaceDN w:val="0"/>
        <w:adjustRightInd w:val="0"/>
        <w:jc w:val="both"/>
        <w:rPr>
          <w:iCs/>
          <w:color w:val="000000" w:themeColor="text1"/>
          <w:sz w:val="16"/>
          <w:szCs w:val="16"/>
        </w:rPr>
      </w:pPr>
    </w:p>
    <w:p w14:paraId="514E76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г., с одного из подмосковных аэродромов поднялся самолёт, взявший курс на уже поверженный Берлин. Среди его пассажиров были И.К. Кикоин, Ю.Б. Харитон, Л.А. Арцимович и Л.М. Неменов. Присутствие на борту Неменова, впрочем, вызывает сомнения, поскольку находится в противоречии как с собственными воспоминаниями последнего, так и с документами, из которых следует, что он вылетел в Берлин вместе с Д.Л. Симоненко 16 мая. Как бы то ни было, но возглавлял группу А.П. Завенягин, а В.А. Махнев, по выражению Юлия Борисовича, был „кем-то вроде секретаря при нём“. На этих двоих была генеральская форма. Остальные были облачены в полковничью. Как мы уже отметили, следующим самолетом в Берлин летели Д.Л. Симоненко и Л.М. Неменов. Первый был в чине майора, звание второго наша история не сохранила (11291).</w:t>
      </w:r>
    </w:p>
    <w:p w14:paraId="4A305EEE" w14:textId="77777777" w:rsidR="00665165" w:rsidRPr="00F90EAE" w:rsidRDefault="00665165" w:rsidP="00F90EAE">
      <w:pPr>
        <w:autoSpaceDE w:val="0"/>
        <w:autoSpaceDN w:val="0"/>
        <w:adjustRightInd w:val="0"/>
        <w:jc w:val="both"/>
        <w:rPr>
          <w:bCs/>
          <w:color w:val="000000" w:themeColor="text1"/>
          <w:sz w:val="16"/>
          <w:szCs w:val="16"/>
        </w:rPr>
      </w:pPr>
    </w:p>
    <w:p w14:paraId="3CB69CB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4A7D50D" w14:textId="77777777" w:rsidR="00665165" w:rsidRPr="00F90EAE" w:rsidRDefault="00665165" w:rsidP="00F90EAE">
      <w:pPr>
        <w:autoSpaceDE w:val="0"/>
        <w:autoSpaceDN w:val="0"/>
        <w:adjustRightInd w:val="0"/>
        <w:jc w:val="both"/>
        <w:rPr>
          <w:iCs/>
          <w:color w:val="000000" w:themeColor="text1"/>
          <w:sz w:val="16"/>
          <w:szCs w:val="16"/>
        </w:rPr>
      </w:pPr>
    </w:p>
    <w:p w14:paraId="75A53E1E"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оперативная сводка Совинформбюро:</w:t>
      </w:r>
    </w:p>
    <w:p w14:paraId="5F4D0267" w14:textId="77777777" w:rsidR="002471D5" w:rsidRPr="00F90EAE" w:rsidRDefault="002471D5" w:rsidP="00F90EAE">
      <w:pPr>
        <w:jc w:val="both"/>
        <w:rPr>
          <w:color w:val="000000" w:themeColor="text1"/>
          <w:sz w:val="16"/>
          <w:szCs w:val="16"/>
        </w:rPr>
      </w:pPr>
      <w:r w:rsidRPr="00F90EAE">
        <w:rPr>
          <w:color w:val="000000" w:themeColor="text1"/>
          <w:sz w:val="16"/>
          <w:szCs w:val="16"/>
        </w:rPr>
        <w:t>«Войска 1-го Белорусского фронта под командованием Маршала Советского Союза Жукова, при содействии войск 1-го Украинского фронта под командованием Маршала Советского Союза Конева, после упорных уличных боёв завершили разгром Берлинской группы немецких войск и сегодня, 2 мая, полностью овладели столицей Германии городом Берлин — центром немецкого империализма и очагом немецкой агрессии.</w:t>
      </w:r>
    </w:p>
    <w:p w14:paraId="28620CD9" w14:textId="77777777" w:rsidR="002471D5" w:rsidRPr="00F90EAE" w:rsidRDefault="002471D5" w:rsidP="00F90EAE">
      <w:pPr>
        <w:jc w:val="both"/>
        <w:rPr>
          <w:color w:val="000000" w:themeColor="text1"/>
          <w:sz w:val="16"/>
          <w:szCs w:val="16"/>
        </w:rPr>
      </w:pPr>
      <w:r w:rsidRPr="00F90EAE">
        <w:rPr>
          <w:color w:val="000000" w:themeColor="text1"/>
          <w:sz w:val="16"/>
          <w:szCs w:val="16"/>
        </w:rPr>
        <w:t>Берлинский гарнизон, оборонявший город, во главе с начальником обороны Берлина генералом от артиллерии Вейдлингом и его штабом, 2 мая в 15 часов прекратил сопротивление, сложил оружие и сдался в плен.</w:t>
      </w:r>
    </w:p>
    <w:p w14:paraId="5493BC18"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к 21 часу нашими войсками взято в плен в городе Берлине более 70.000 немецких солдат и офицеров. В числе пленных: генералы для особых поручений при начальнике обороны Берлина генерал-лейтенант Курт Веташ и генерал-лейтенант Вальтер Шмидт-Данкварт, представитель ставки вице-адмирал Фосс, начальник штаба обороны Берлина полковник Ганс Рехиор, начальник штаба 56 немецкого танкового корпуса полковник Теодор фон Дифвинг. Взяты также в плен первый заместитель Геббельса по пропаганде и печати—доктор философии и истории Фриче, руководитель печати доктор философии и истории Клик, правительственный советник доктор философии и истории Хайнрихсдорф. Фриче при опросе показал, что Гитлер, Геббельс и вновь назначенный начальник Генерального штаба генерал пехоты Кребс покончили жизнь самоубийством.</w:t>
      </w:r>
    </w:p>
    <w:p w14:paraId="42A3C7B3" w14:textId="77777777" w:rsidR="002471D5" w:rsidRPr="00F90EAE" w:rsidRDefault="002471D5" w:rsidP="00F90EAE">
      <w:pPr>
        <w:jc w:val="both"/>
        <w:rPr>
          <w:color w:val="000000" w:themeColor="text1"/>
          <w:sz w:val="16"/>
          <w:szCs w:val="16"/>
        </w:rPr>
      </w:pPr>
      <w:r w:rsidRPr="00F90EAE">
        <w:rPr>
          <w:color w:val="000000" w:themeColor="text1"/>
          <w:sz w:val="16"/>
          <w:szCs w:val="16"/>
        </w:rPr>
        <w:t>Юго-восточнее Берлина войска 1-го Белорусского и 1-го Украинского фронтов завершили ликвидацию окружённой группы немецких войск.</w:t>
      </w:r>
    </w:p>
    <w:p w14:paraId="2030F5D8" w14:textId="77777777" w:rsidR="002471D5" w:rsidRPr="00F90EAE" w:rsidRDefault="002471D5" w:rsidP="00F90EAE">
      <w:pPr>
        <w:jc w:val="both"/>
        <w:rPr>
          <w:color w:val="000000" w:themeColor="text1"/>
          <w:sz w:val="16"/>
          <w:szCs w:val="16"/>
        </w:rPr>
      </w:pPr>
      <w:r w:rsidRPr="00F90EAE">
        <w:rPr>
          <w:color w:val="000000" w:themeColor="text1"/>
          <w:sz w:val="16"/>
          <w:szCs w:val="16"/>
        </w:rPr>
        <w:t>За время боёв с 24 апреля по 2 мая в этом районе наши войска захватили в плен более 120.000 немецких солдат и офицеров. За это же время немцы потеряли только убитыми более 60.000 человек. В числе пленных заместитель командующего 9 немецкой армией генерал-лейтенант Бернгард, командир 5 немецкого корпуса СС генерал-лейтенант Эккель, командир 21 немецкой танковой дивизии СС генерал-лейтенант Маркс, командир 169 немецной пехотной дивизии генерал-лейтенант Радчий, комендант крепости ФРАНКФУРТ-на-ОДЕРЕ генерал-майор Биль, начальник артиллерии 11 немецкого танкового корпуса СС генерал-майор Штраммер и генерал авиации Цандер. За это же время нашими войсками захвачены следующие трофеи: танков и самоходных орудий — 304, полевых орудий — более 1.500, пулемётов — 2.180, автомашин — 17.600 и много другого вооружения и военного имущества.</w:t>
      </w:r>
    </w:p>
    <w:p w14:paraId="115434D1" w14:textId="77777777" w:rsidR="002471D5" w:rsidRPr="00F90EAE" w:rsidRDefault="002471D5" w:rsidP="00F90EAE">
      <w:pPr>
        <w:jc w:val="both"/>
        <w:rPr>
          <w:color w:val="000000" w:themeColor="text1"/>
          <w:sz w:val="16"/>
          <w:szCs w:val="16"/>
        </w:rPr>
      </w:pPr>
      <w:r w:rsidRPr="00F90EAE">
        <w:rPr>
          <w:color w:val="000000" w:themeColor="text1"/>
          <w:sz w:val="16"/>
          <w:szCs w:val="16"/>
        </w:rPr>
        <w:t>Северо-западнее Берлина войска 1-го Белорусского фронта, продолжая наступление, с боями заняли города Ной-Руппин, Киритц, Вустерхаузен, Нойштадт, Фербеллин, Фризак.</w:t>
      </w:r>
    </w:p>
    <w:p w14:paraId="667AE521" w14:textId="77777777" w:rsidR="002471D5" w:rsidRPr="00F90EAE" w:rsidRDefault="002471D5"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2 мая овладели городами Росток, Варнемюнде — крупными портами и важными военно-морскими базами немцев на Балтийском море, а также заняли города Рибнитц, Марлов, Лааге, Тетеров, Миров и крупные населённые пункты Альтенплен, Рехтенберг, Францбург, Трибзес, Зюльце, Даргун, Тюрков, Ябель, Цехлин, Герц-Шпрунг. В боях за 1 мая войска фронта взяли в плен 5.450 немецких солдат и офицеров и захватили 78 самолётов и 178 полевых орудий.</w:t>
      </w:r>
    </w:p>
    <w:p w14:paraId="13B50D77" w14:textId="77777777" w:rsidR="002471D5" w:rsidRPr="00F90EAE" w:rsidRDefault="002471D5"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полосе Западных Карпат, с боями заняли крупные населённые пункты Ласков, Орлова, Дембовец, Гордзишув, Турзовка, Длге Поле, Великое Ровне, Штявник, Папрадно, Модлатин. В боях за 1 мая войска фронта взяли в плен более 5.000 немецких солдаг и офицеров и захватили 196 полевых орудий.</w:t>
      </w:r>
    </w:p>
    <w:p w14:paraId="23D245FB" w14:textId="77777777" w:rsidR="002471D5" w:rsidRPr="00F90EAE" w:rsidRDefault="002471D5"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восточнее города Брно, с боями заняли крупные населённые пункты Брумов, Валасшке, Клобоуки, Славичин, Лугачовице, Бржазувки, Угерески, Градиштеф, Напаедла.</w:t>
      </w:r>
    </w:p>
    <w:p w14:paraId="54D3670E" w14:textId="77777777" w:rsidR="002471D5" w:rsidRPr="00F90EAE" w:rsidRDefault="002471D5"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4D2558C1" w14:textId="77777777" w:rsidR="002471D5" w:rsidRPr="00F90EAE" w:rsidRDefault="002471D5" w:rsidP="00F90EAE">
      <w:pPr>
        <w:jc w:val="both"/>
        <w:rPr>
          <w:color w:val="000000" w:themeColor="text1"/>
          <w:sz w:val="16"/>
          <w:szCs w:val="16"/>
        </w:rPr>
      </w:pPr>
      <w:r w:rsidRPr="00F90EAE">
        <w:rPr>
          <w:color w:val="000000" w:themeColor="text1"/>
          <w:sz w:val="16"/>
          <w:szCs w:val="16"/>
        </w:rPr>
        <w:t>За 1 мая подбито и уничтожено 37 немецких танков. В воздушных боях и огнём зенитной артиллерии сбито 10 самолётов противника.</w:t>
      </w:r>
    </w:p>
    <w:p w14:paraId="2CCAC7B2" w14:textId="77777777" w:rsidR="002471D5" w:rsidRPr="00F90EAE" w:rsidRDefault="002471D5" w:rsidP="00F90EAE">
      <w:pPr>
        <w:jc w:val="both"/>
        <w:rPr>
          <w:color w:val="000000" w:themeColor="text1"/>
          <w:sz w:val="16"/>
          <w:szCs w:val="16"/>
        </w:rPr>
      </w:pPr>
      <w:r w:rsidRPr="00F90EAE">
        <w:rPr>
          <w:color w:val="000000" w:themeColor="text1"/>
          <w:sz w:val="16"/>
          <w:szCs w:val="16"/>
        </w:rPr>
        <w:t>Налёт нашей авиации на Свинемюнде</w:t>
      </w:r>
    </w:p>
    <w:p w14:paraId="7A5BBA7F" w14:textId="77777777" w:rsidR="002471D5" w:rsidRPr="00F90EAE" w:rsidRDefault="002471D5" w:rsidP="00F90EAE">
      <w:pPr>
        <w:jc w:val="both"/>
        <w:rPr>
          <w:color w:val="000000" w:themeColor="text1"/>
          <w:sz w:val="16"/>
          <w:szCs w:val="16"/>
        </w:rPr>
      </w:pPr>
      <w:r w:rsidRPr="00F90EAE">
        <w:rPr>
          <w:color w:val="000000" w:themeColor="text1"/>
          <w:sz w:val="16"/>
          <w:szCs w:val="16"/>
        </w:rPr>
        <w:t>В ночь на 2 мая наши тяжёлые бомбардировщики нанесли удар по военным объектам немцев в Свинемюнде. В результате этого удара на территории судоверфей и в порту возникло много пожаров, сопровождавшихся сильными взрывами.</w:t>
      </w:r>
    </w:p>
    <w:p w14:paraId="2C0E9B3D" w14:textId="77777777" w:rsidR="002471D5" w:rsidRPr="00F90EAE" w:rsidRDefault="002471D5" w:rsidP="00F90EAE">
      <w:pPr>
        <w:jc w:val="both"/>
        <w:rPr>
          <w:color w:val="000000" w:themeColor="text1"/>
          <w:sz w:val="16"/>
          <w:szCs w:val="16"/>
        </w:rPr>
      </w:pPr>
      <w:r w:rsidRPr="00F90EAE">
        <w:rPr>
          <w:color w:val="000000" w:themeColor="text1"/>
          <w:sz w:val="16"/>
          <w:szCs w:val="16"/>
        </w:rPr>
        <w:t>Войска 1-го Белорусского фронта при содействии войск 1-го Украинского фронта после упорных уличных боёв завершили разгром Берлинской группы немецких войск и сегодня, 2 мая, полностью овладели столицей Германии городом Берлин—центром немецкого империализма и очагом немецкой агрессии. Советские танкисты и пехотинцы при поддержке артиллеристов и гвардейцев-миномётчиков сломили сопротивление немцев, укрепившихся в парке Тиргартен. Продвигаясь с севера и юга, наши войска соединились на Шарлоттенбургер шоссе, проходящем по центру парка. Тем самым главный оплот противника в Берлине был разгромлен советскими войсками. Ожесточённые бои произошли также в районе парка Фридрихс-Хайн. Гитлеровцы, опираясь на сильно укреплённые дома и уличные баррикады, яростно сопротивлялись. Советские штурмовые группы, усиленные танками и орудиями, настойчиво продвигались вперёд, выбивая гитлеровцев из укрытий. Умелыми и решительными действиями наши войска дробили вражеские силы на отдельные изолированные друг от друга части и уничтожали их. Подавленные и деморализованные немецкие солдаты и офицеры группами и в одиночку стали бросать оружие и сдаваться в плен. Начальник обороны Берлина генерал от артиллерии Вейдлинг сегодня перешёл в расположение наших войск и заявил, что Берлинский гарнизон капитулирует. В 15 часов немцы прекратили сопротивление, сложили оружие и сдались в плен. Овладев столицей Германии Берлином, доблестная Красная Армия одержала блестящую победу и навеки прославила свои боевые знамёна.</w:t>
      </w:r>
    </w:p>
    <w:p w14:paraId="47664BCD" w14:textId="77777777" w:rsidR="002471D5" w:rsidRPr="00F90EAE" w:rsidRDefault="002471D5" w:rsidP="00F90EAE">
      <w:pPr>
        <w:jc w:val="both"/>
        <w:rPr>
          <w:color w:val="000000" w:themeColor="text1"/>
          <w:sz w:val="16"/>
          <w:szCs w:val="16"/>
        </w:rPr>
      </w:pPr>
      <w:r w:rsidRPr="00F90EAE">
        <w:rPr>
          <w:color w:val="000000" w:themeColor="text1"/>
          <w:sz w:val="16"/>
          <w:szCs w:val="16"/>
        </w:rPr>
        <w:t>Первомайский приказ Верховного Главнокомандующего Маршала Советского Союза товарища Сталина вызвал огромный подъём в городах и селах нашей страны. На собраниях и митингах трудящиеся единодушно заявляют, что они с честью выполнят указания любимого вождя товарища Сталина.</w:t>
      </w:r>
    </w:p>
    <w:p w14:paraId="3A76CCBE" w14:textId="77777777" w:rsidR="002471D5" w:rsidRPr="00F90EAE" w:rsidRDefault="002471D5" w:rsidP="00F90EAE">
      <w:pPr>
        <w:jc w:val="both"/>
        <w:rPr>
          <w:color w:val="000000" w:themeColor="text1"/>
          <w:sz w:val="16"/>
          <w:szCs w:val="16"/>
        </w:rPr>
      </w:pPr>
      <w:r w:rsidRPr="00F90EAE">
        <w:rPr>
          <w:color w:val="000000" w:themeColor="text1"/>
          <w:sz w:val="16"/>
          <w:szCs w:val="16"/>
        </w:rPr>
        <w:t>С большим подъёмом прошёл многолюдный митинг на артиллерийском заводе, где директором Герой Социалистического Труда тов. Елян. Артиллерийские орудия, сделанные руками рабочих и специалистов этого завода, громили немцев на подступах к Москве, у стен Сталинграда, на Днепре, на Висле и на улицах Берлина.</w:t>
      </w:r>
    </w:p>
    <w:p w14:paraId="7A99639F" w14:textId="77777777" w:rsidR="002471D5" w:rsidRPr="00F90EAE" w:rsidRDefault="002471D5" w:rsidP="00F90EAE">
      <w:pPr>
        <w:jc w:val="both"/>
        <w:rPr>
          <w:color w:val="000000" w:themeColor="text1"/>
          <w:sz w:val="16"/>
          <w:szCs w:val="16"/>
        </w:rPr>
      </w:pPr>
      <w:r w:rsidRPr="00F90EAE">
        <w:rPr>
          <w:color w:val="000000" w:themeColor="text1"/>
          <w:sz w:val="16"/>
          <w:szCs w:val="16"/>
        </w:rPr>
        <w:t>«Наши сердца наполнены великой радостью и гордостью,— заявил слесарь тов. Зорин.— 6 ноября прошлого года товарищ Сталин в своём докладе на торжественном заседании Московского Совета депутатов трудящихся говорил: «Теперь за Красной Армией остаётся её последняя заключительная миссия: довершить вместе с армиями наших союзников дело разгрома немецко-фашистской армии, добить фашистского зверя в его собственном логове и водрузить над Берлином знамя победы». Эти сталинские слова сбылись. Наши войска водрузила над Берлином знамя победы. Победоносное завершение Великой Отечественной войны — дело самого ближайшего будущего. Мы и впредь будем неутомимо трудиться. Мы дадим фронту новые и новые эшелоны грозных орудий».</w:t>
      </w:r>
    </w:p>
    <w:p w14:paraId="698FB95B" w14:textId="77777777" w:rsidR="002471D5" w:rsidRPr="00F90EAE" w:rsidRDefault="002471D5" w:rsidP="00F90EAE">
      <w:pPr>
        <w:jc w:val="both"/>
        <w:rPr>
          <w:color w:val="000000" w:themeColor="text1"/>
          <w:sz w:val="16"/>
          <w:szCs w:val="16"/>
        </w:rPr>
      </w:pPr>
      <w:r w:rsidRPr="00F90EAE">
        <w:rPr>
          <w:color w:val="000000" w:themeColor="text1"/>
          <w:sz w:val="16"/>
          <w:szCs w:val="16"/>
        </w:rPr>
        <w:t>Массовые митинги состоялись в Сталинграде — городе-герое. На митинге в Кировском районе выступил бригадир лучшей молодежной бригады тов. Моисеев. Он сказал: «Под водительством товарища Сталина наша Красная Армия прошла славный героический путь от Сталинграда до Берлина. Фашистская Германия доживает свои последние дни. Товарищ Сталин поставил перед советским народом благородную задачу — умножать помощь фронту, быстрее залечить раны, нанесённые стране войной, и ещё выше поднять мощь Советского государства. Мы клянемся, что выполним эти указания».</w:t>
      </w:r>
    </w:p>
    <w:p w14:paraId="49C6B5CB" w14:textId="77777777" w:rsidR="002471D5" w:rsidRPr="00F90EAE" w:rsidRDefault="002471D5" w:rsidP="00F90EAE">
      <w:pPr>
        <w:jc w:val="both"/>
        <w:rPr>
          <w:color w:val="000000" w:themeColor="text1"/>
          <w:sz w:val="16"/>
          <w:szCs w:val="16"/>
        </w:rPr>
      </w:pPr>
      <w:r w:rsidRPr="00F90EAE">
        <w:rPr>
          <w:color w:val="000000" w:themeColor="text1"/>
          <w:sz w:val="16"/>
          <w:szCs w:val="16"/>
        </w:rPr>
        <w:t>В колхозе имени Сталина, Наманганского района, Узбекской ССР, на митинге выступил бригадир Убаидуллаев. Он сказал: «Сегодня у нас радостный праздник. Красная Армия наголову разбила врага. Вместе с войсками союзников она доконает фашистского зверя. Мы, колхозники, поможем Красной Армии выполнить приказ Верховного Главнокомандующего.</w:t>
      </w:r>
    </w:p>
    <w:p w14:paraId="67390F80" w14:textId="77777777" w:rsidR="002471D5" w:rsidRPr="00F90EAE" w:rsidRDefault="002471D5" w:rsidP="00F90EAE">
      <w:pPr>
        <w:jc w:val="both"/>
        <w:rPr>
          <w:color w:val="000000" w:themeColor="text1"/>
          <w:sz w:val="16"/>
          <w:szCs w:val="16"/>
        </w:rPr>
      </w:pPr>
      <w:r w:rsidRPr="00F90EAE">
        <w:rPr>
          <w:color w:val="000000" w:themeColor="text1"/>
          <w:sz w:val="16"/>
          <w:szCs w:val="16"/>
        </w:rPr>
        <w:t>На митинге в сельхозартели имени Ленина (Туркменская ССР) с речью выступил председатель колхоза Нурмурат. "Колхозники Туркменской ССР,— сказал он, — шлют горячий привет доблестным воинам Красной Армии, находящимся за рубежом советской земли. Почти четыре года идёт Отечественная война. Советские люди отказывали себе во многом и снабжали фронт всем необходимым, чтобы приблизить день победы. Теперь мы знаем, что фашистский зверь находится при последнем издыхании. Славные победы, одержанные Красной Армией, вдохновляют нас на новые трудовые подвиги. Мы заверяем нашего любимого вождя товарища Сталина, что колхозники Туркмении будут трудиться не покладая рук и вырастят в этом году высокий урожай» (14879).</w:t>
      </w:r>
    </w:p>
    <w:p w14:paraId="13148AC7" w14:textId="77777777" w:rsidR="002471D5" w:rsidRPr="00F90EAE" w:rsidRDefault="002471D5" w:rsidP="00F90EAE">
      <w:pPr>
        <w:jc w:val="both"/>
        <w:rPr>
          <w:color w:val="000000" w:themeColor="text1"/>
          <w:sz w:val="16"/>
          <w:szCs w:val="16"/>
        </w:rPr>
      </w:pPr>
    </w:p>
    <w:p w14:paraId="75A38CDD" w14:textId="77777777" w:rsidR="00385035" w:rsidRPr="00F90EAE" w:rsidRDefault="00385035" w:rsidP="00F90EAE">
      <w:pPr>
        <w:jc w:val="both"/>
        <w:rPr>
          <w:color w:val="0070C0"/>
          <w:sz w:val="16"/>
          <w:szCs w:val="16"/>
        </w:rPr>
      </w:pPr>
      <w:r w:rsidRPr="00F90EAE">
        <w:rPr>
          <w:color w:val="0070C0"/>
          <w:sz w:val="16"/>
          <w:szCs w:val="16"/>
        </w:rPr>
        <w:t>2 мая 1945 над Берлином появились три аэростата, вознесшие в голубую высь два Красных знамени и портрет Сталина (20120).</w:t>
      </w:r>
    </w:p>
    <w:p w14:paraId="1E5FE822" w14:textId="77777777" w:rsidR="00385035" w:rsidRPr="00F90EAE" w:rsidRDefault="00385035" w:rsidP="00F90EAE">
      <w:pPr>
        <w:jc w:val="both"/>
        <w:rPr>
          <w:color w:val="0070C0"/>
          <w:sz w:val="16"/>
          <w:szCs w:val="16"/>
        </w:rPr>
      </w:pPr>
    </w:p>
    <w:p w14:paraId="161CAFA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2 мая 1945 вышло Постановление ГКО № 8377 [О назначении и обязанностях уполномоченных НКВД - зам. командующих фронтами по управлению гражданскими делами на территории Германии.] (7335, 96-97).</w:t>
      </w:r>
    </w:p>
    <w:p w14:paraId="658AD4A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0D261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мая 1945 Берлин капитулировал советским войскам (4962), советские войска полностью захватили здание Рейхстага в Берлине. 134-тысячный немецкий гарнизон в Берлине во главе с генералом артиллерии Г. Вейдлингом капитулировали перед советскими войсками (4963 ).</w:t>
      </w:r>
    </w:p>
    <w:p w14:paraId="057A4FB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051DF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3 чехословацким шап было выполнено последнее задание и 8 машин бомбили станцию Tesin (7 долетели) (241,40).</w:t>
      </w:r>
    </w:p>
    <w:p w14:paraId="1FEF6390" w14:textId="77777777" w:rsidR="00665165" w:rsidRPr="00F90EAE" w:rsidRDefault="00665165" w:rsidP="00F90EAE">
      <w:pPr>
        <w:autoSpaceDE w:val="0"/>
        <w:autoSpaceDN w:val="0"/>
        <w:adjustRightInd w:val="0"/>
        <w:jc w:val="both"/>
        <w:rPr>
          <w:color w:val="000000" w:themeColor="text1"/>
          <w:sz w:val="16"/>
          <w:szCs w:val="16"/>
        </w:rPr>
      </w:pPr>
    </w:p>
    <w:p w14:paraId="3DCB4A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по 2 мая 1945 3 шап выполнил 248 боевых вылетов и уничтожил 1 истребитель, 45 грузовиков, 22 других транспортных средств, один локомотив, 37 вагонов и 2 цистерны, 3 склада боеприпасов, 3 здания и 69 зенитных позиции. 8 машин было потеряно в т.ч. 4 вы бою (241,40).</w:t>
      </w:r>
    </w:p>
    <w:p w14:paraId="3AFDA87E" w14:textId="77777777" w:rsidR="00665165" w:rsidRPr="00F90EAE" w:rsidRDefault="00665165" w:rsidP="00F90EAE">
      <w:pPr>
        <w:autoSpaceDE w:val="0"/>
        <w:autoSpaceDN w:val="0"/>
        <w:adjustRightInd w:val="0"/>
        <w:jc w:val="both"/>
        <w:rPr>
          <w:color w:val="000000" w:themeColor="text1"/>
          <w:sz w:val="16"/>
          <w:szCs w:val="16"/>
        </w:rPr>
      </w:pPr>
    </w:p>
    <w:p w14:paraId="3035C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период с 12 января по 2 мая 1945 г. пилоты “Нормандии” совершили 1300 боевых вылетов. Об</w:t>
      </w:r>
      <w:r w:rsidRPr="00F90EAE">
        <w:rPr>
          <w:color w:val="000000" w:themeColor="text1"/>
          <w:sz w:val="16"/>
          <w:szCs w:val="16"/>
        </w:rPr>
        <w:softHyphen/>
        <w:t>щий счет полка вырос на 67 (францу</w:t>
      </w:r>
      <w:r w:rsidRPr="00F90EAE">
        <w:rPr>
          <w:color w:val="000000" w:themeColor="text1"/>
          <w:sz w:val="16"/>
          <w:szCs w:val="16"/>
        </w:rPr>
        <w:softHyphen/>
        <w:t>зы считают - на 72) сбитых вражеских машин, а собственные потери увели</w:t>
      </w:r>
      <w:r w:rsidRPr="00F90EAE">
        <w:rPr>
          <w:color w:val="000000" w:themeColor="text1"/>
          <w:sz w:val="16"/>
          <w:szCs w:val="16"/>
        </w:rPr>
        <w:softHyphen/>
        <w:t>чились на 10 летчиков. Заметим, что на последнем этапе боев сложили го</w:t>
      </w:r>
      <w:r w:rsidRPr="00F90EAE">
        <w:rPr>
          <w:color w:val="000000" w:themeColor="text1"/>
          <w:sz w:val="16"/>
          <w:szCs w:val="16"/>
        </w:rPr>
        <w:softHyphen/>
        <w:t>ловы такие опытные летчики, как Мо</w:t>
      </w:r>
      <w:r w:rsidRPr="00F90EAE">
        <w:rPr>
          <w:color w:val="000000" w:themeColor="text1"/>
          <w:sz w:val="16"/>
          <w:szCs w:val="16"/>
        </w:rPr>
        <w:softHyphen/>
        <w:t>рис Шалль (10 побед) и Жорж Анри (5 побед). Именно Анри записал на бое</w:t>
      </w:r>
      <w:r w:rsidRPr="00F90EAE">
        <w:rPr>
          <w:color w:val="000000" w:themeColor="text1"/>
          <w:sz w:val="16"/>
          <w:szCs w:val="16"/>
        </w:rPr>
        <w:softHyphen/>
        <w:t>вой счет “Нормандии” заключитель</w:t>
      </w:r>
      <w:r w:rsidRPr="00F90EAE">
        <w:rPr>
          <w:color w:val="000000" w:themeColor="text1"/>
          <w:sz w:val="16"/>
          <w:szCs w:val="16"/>
        </w:rPr>
        <w:softHyphen/>
        <w:t>ную, 268-ю победу (по данным фран</w:t>
      </w:r>
      <w:r w:rsidRPr="00F90EAE">
        <w:rPr>
          <w:color w:val="000000" w:themeColor="text1"/>
          <w:sz w:val="16"/>
          <w:szCs w:val="16"/>
        </w:rPr>
        <w:softHyphen/>
        <w:t>цузов - 273-ю). 30 марта 1945 г. ко</w:t>
      </w:r>
      <w:r w:rsidRPr="00F90EAE">
        <w:rPr>
          <w:color w:val="000000" w:themeColor="text1"/>
          <w:sz w:val="16"/>
          <w:szCs w:val="16"/>
        </w:rPr>
        <w:softHyphen/>
        <w:t>мандующий 1-й ВА генерал-полков</w:t>
      </w:r>
      <w:r w:rsidRPr="00F90EAE">
        <w:rPr>
          <w:color w:val="000000" w:themeColor="text1"/>
          <w:sz w:val="16"/>
          <w:szCs w:val="16"/>
        </w:rPr>
        <w:softHyphen/>
        <w:t>ник авиации ТТ. Хрюкин в присутствии генералов Пети и Левандовича вручил майору Дельфино орден Красного Знамени, которым полк был награж</w:t>
      </w:r>
      <w:r w:rsidRPr="00F90EAE">
        <w:rPr>
          <w:color w:val="000000" w:themeColor="text1"/>
          <w:sz w:val="16"/>
          <w:szCs w:val="16"/>
        </w:rPr>
        <w:softHyphen/>
        <w:t>ден за зимние бои. Окончательное на</w:t>
      </w:r>
      <w:r w:rsidRPr="00F90EAE">
        <w:rPr>
          <w:color w:val="000000" w:themeColor="text1"/>
          <w:sz w:val="16"/>
          <w:szCs w:val="16"/>
        </w:rPr>
        <w:softHyphen/>
        <w:t>именование французской авиачасти в советских официальных документах стало звучать так: 1-й отдельный ис</w:t>
      </w:r>
      <w:r w:rsidRPr="00F90EAE">
        <w:rPr>
          <w:color w:val="000000" w:themeColor="text1"/>
          <w:sz w:val="16"/>
          <w:szCs w:val="16"/>
        </w:rPr>
        <w:softHyphen/>
        <w:t>требительный авиационный Красноз</w:t>
      </w:r>
      <w:r w:rsidRPr="00F90EAE">
        <w:rPr>
          <w:color w:val="000000" w:themeColor="text1"/>
          <w:sz w:val="16"/>
          <w:szCs w:val="16"/>
        </w:rPr>
        <w:softHyphen/>
        <w:t>наменный Неманский полк “Норман</w:t>
      </w:r>
      <w:r w:rsidRPr="00F90EAE">
        <w:rPr>
          <w:color w:val="000000" w:themeColor="text1"/>
          <w:sz w:val="16"/>
          <w:szCs w:val="16"/>
        </w:rPr>
        <w:softHyphen/>
        <w:t>дия”. В заключительной оценке, которую дал штаб 1-й воздушной армии работе французских авиаторов на советско-германском фронте, отмечалось, что половину из всех боевых вылетов французы сделали на прикрытие поля боя, 18,6% - на свободную охоту, 17,2% - на прикрытие бомбардиров</w:t>
      </w:r>
      <w:r w:rsidRPr="00F90EAE">
        <w:rPr>
          <w:color w:val="000000" w:themeColor="text1"/>
          <w:sz w:val="16"/>
          <w:szCs w:val="16"/>
        </w:rPr>
        <w:softHyphen/>
        <w:t>щиков, а 7,6% - на перехват самолетов противника. С особым желанием французские летчики выполняли поле</w:t>
      </w:r>
      <w:r w:rsidRPr="00F90EAE">
        <w:rPr>
          <w:color w:val="000000" w:themeColor="text1"/>
          <w:sz w:val="16"/>
          <w:szCs w:val="16"/>
        </w:rPr>
        <w:softHyphen/>
        <w:t>ты на свободную охоту. Глубина про</w:t>
      </w:r>
      <w:r w:rsidRPr="00F90EAE">
        <w:rPr>
          <w:color w:val="000000" w:themeColor="text1"/>
          <w:sz w:val="16"/>
          <w:szCs w:val="16"/>
        </w:rPr>
        <w:softHyphen/>
        <w:t>никновения в немецкий тыл порой дос</w:t>
      </w:r>
      <w:r w:rsidRPr="00F90EAE">
        <w:rPr>
          <w:color w:val="000000" w:themeColor="text1"/>
          <w:sz w:val="16"/>
          <w:szCs w:val="16"/>
        </w:rPr>
        <w:softHyphen/>
        <w:t>тигала 120 км, при этом за каждой па</w:t>
      </w:r>
      <w:r w:rsidRPr="00F90EAE">
        <w:rPr>
          <w:color w:val="000000" w:themeColor="text1"/>
          <w:sz w:val="16"/>
          <w:szCs w:val="16"/>
        </w:rPr>
        <w:softHyphen/>
        <w:t>рой “охотников” на сравнительно про</w:t>
      </w:r>
      <w:r w:rsidRPr="00F90EAE">
        <w:rPr>
          <w:color w:val="000000" w:themeColor="text1"/>
          <w:sz w:val="16"/>
          <w:szCs w:val="16"/>
        </w:rPr>
        <w:softHyphen/>
        <w:t>должительное время закреплялся оп</w:t>
      </w:r>
      <w:r w:rsidRPr="00F90EAE">
        <w:rPr>
          <w:color w:val="000000" w:themeColor="text1"/>
          <w:sz w:val="16"/>
          <w:szCs w:val="16"/>
        </w:rPr>
        <w:softHyphen/>
        <w:t>ределенный сектор воздушного про</w:t>
      </w:r>
      <w:r w:rsidRPr="00F90EAE">
        <w:rPr>
          <w:color w:val="000000" w:themeColor="text1"/>
          <w:sz w:val="16"/>
          <w:szCs w:val="16"/>
        </w:rPr>
        <w:softHyphen/>
        <w:t>странства (3956).</w:t>
      </w:r>
    </w:p>
    <w:p w14:paraId="191715CA" w14:textId="77777777" w:rsidR="00665165" w:rsidRPr="00F90EAE" w:rsidRDefault="00665165" w:rsidP="00F90EAE">
      <w:pPr>
        <w:autoSpaceDE w:val="0"/>
        <w:autoSpaceDN w:val="0"/>
        <w:adjustRightInd w:val="0"/>
        <w:jc w:val="both"/>
        <w:rPr>
          <w:color w:val="000000" w:themeColor="text1"/>
          <w:sz w:val="16"/>
          <w:szCs w:val="16"/>
        </w:rPr>
      </w:pPr>
    </w:p>
    <w:p w14:paraId="25AB9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гарнизон Берлина капитулировал (1074,354) и сопротивление прекратилось в 15:00 (2438,97).</w:t>
      </w:r>
    </w:p>
    <w:p w14:paraId="4370FC23" w14:textId="77777777" w:rsidR="00665165" w:rsidRPr="00F90EAE" w:rsidRDefault="00665165" w:rsidP="00F90EAE">
      <w:pPr>
        <w:autoSpaceDE w:val="0"/>
        <w:autoSpaceDN w:val="0"/>
        <w:adjustRightInd w:val="0"/>
        <w:jc w:val="both"/>
        <w:rPr>
          <w:color w:val="000000" w:themeColor="text1"/>
          <w:sz w:val="16"/>
          <w:szCs w:val="16"/>
        </w:rPr>
      </w:pPr>
    </w:p>
    <w:p w14:paraId="6085A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г. Ил-2 вместе с бомбардировщиками А-20 под прикрытием ЯК-9 потопили учебный линкор Шлезиен (КР, 85.5.13).</w:t>
      </w:r>
    </w:p>
    <w:p w14:paraId="01B910C1" w14:textId="77777777" w:rsidR="00665165" w:rsidRPr="00F90EAE" w:rsidRDefault="00665165" w:rsidP="00F90EAE">
      <w:pPr>
        <w:autoSpaceDE w:val="0"/>
        <w:autoSpaceDN w:val="0"/>
        <w:adjustRightInd w:val="0"/>
        <w:jc w:val="both"/>
        <w:rPr>
          <w:color w:val="000000" w:themeColor="text1"/>
          <w:sz w:val="16"/>
          <w:szCs w:val="16"/>
        </w:rPr>
      </w:pPr>
    </w:p>
    <w:p w14:paraId="33C46B52"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2nd, 1945: General Chuikov, defender of Stalingrad, meets with General Weidling and accepts the unconditional surrender of the surviving defenders of Berlin. Some units refuse to quit and try to break out to the West, but are annihilated in the attempt. Stalin announces the fall of Berlin in his Order of the Day No. 359 (3819).</w:t>
      </w:r>
    </w:p>
    <w:p w14:paraId="1155ECE8" w14:textId="77777777" w:rsidR="00665165" w:rsidRPr="00F90EAE" w:rsidRDefault="00665165" w:rsidP="00F90EAE">
      <w:pPr>
        <w:autoSpaceDE w:val="0"/>
        <w:autoSpaceDN w:val="0"/>
        <w:adjustRightInd w:val="0"/>
        <w:jc w:val="both"/>
        <w:rPr>
          <w:color w:val="000000" w:themeColor="text1"/>
          <w:sz w:val="16"/>
          <w:szCs w:val="16"/>
          <w:lang w:val="en-US"/>
        </w:rPr>
      </w:pPr>
    </w:p>
    <w:p w14:paraId="286E2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г Чуйков встретился с Вейдлингом и тот принял условия безоговорочной капитуляции. Некоторые части отказались и попытались прорваться на запад и были уничтожены. И.В.С. в приказе N 359 объявил о падении Берлина (3819).</w:t>
      </w:r>
    </w:p>
    <w:p w14:paraId="251AFE4A" w14:textId="77777777" w:rsidR="00665165" w:rsidRPr="00F90EAE" w:rsidRDefault="00665165" w:rsidP="00F90EAE">
      <w:pPr>
        <w:autoSpaceDE w:val="0"/>
        <w:autoSpaceDN w:val="0"/>
        <w:adjustRightInd w:val="0"/>
        <w:jc w:val="both"/>
        <w:rPr>
          <w:color w:val="000000" w:themeColor="text1"/>
          <w:sz w:val="16"/>
          <w:szCs w:val="16"/>
        </w:rPr>
      </w:pPr>
    </w:p>
    <w:p w14:paraId="179A32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18B7062" w14:textId="77777777" w:rsidR="00665165" w:rsidRPr="00F90EAE" w:rsidRDefault="00665165" w:rsidP="00F90EAE">
      <w:pPr>
        <w:autoSpaceDE w:val="0"/>
        <w:autoSpaceDN w:val="0"/>
        <w:adjustRightInd w:val="0"/>
        <w:jc w:val="both"/>
        <w:rPr>
          <w:iCs/>
          <w:color w:val="000000" w:themeColor="text1"/>
          <w:sz w:val="16"/>
          <w:szCs w:val="16"/>
        </w:rPr>
      </w:pPr>
    </w:p>
    <w:p w14:paraId="2D631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Утром 2 мая 1945 радио возвестило о взятии Берлина, а в 24 часа 8 мая Верховный Главнокомандующий И.В.Сталин в обращении к советскому народу объявил об окончании войны. День победы официально объявили 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4E21A974" w14:textId="77777777" w:rsidR="00665165" w:rsidRPr="00F90EAE" w:rsidRDefault="00665165" w:rsidP="00F90EAE">
      <w:pPr>
        <w:autoSpaceDE w:val="0"/>
        <w:autoSpaceDN w:val="0"/>
        <w:adjustRightInd w:val="0"/>
        <w:jc w:val="both"/>
        <w:rPr>
          <w:color w:val="000000" w:themeColor="text1"/>
          <w:sz w:val="16"/>
          <w:szCs w:val="16"/>
        </w:rPr>
      </w:pPr>
    </w:p>
    <w:p w14:paraId="7C6E9F54" w14:textId="77777777" w:rsidR="004252F4" w:rsidRPr="00F90EAE" w:rsidRDefault="004252F4" w:rsidP="00F90EAE">
      <w:pPr>
        <w:jc w:val="both"/>
        <w:rPr>
          <w:color w:val="000000" w:themeColor="text1"/>
          <w:sz w:val="16"/>
          <w:szCs w:val="16"/>
        </w:rPr>
      </w:pPr>
      <w:r w:rsidRPr="00F90EAE">
        <w:rPr>
          <w:color w:val="000000" w:themeColor="text1"/>
          <w:sz w:val="16"/>
          <w:szCs w:val="16"/>
        </w:rPr>
        <w:t>2 мая 1945. Салют из трехсот двадцати четырех орудий в честь взятия Берлина (18688).</w:t>
      </w:r>
    </w:p>
    <w:p w14:paraId="3AE351B4" w14:textId="77777777" w:rsidR="004252F4" w:rsidRPr="00F90EAE" w:rsidRDefault="004252F4" w:rsidP="00F90EAE">
      <w:pPr>
        <w:jc w:val="both"/>
        <w:rPr>
          <w:color w:val="000000" w:themeColor="text1"/>
          <w:sz w:val="16"/>
          <w:szCs w:val="16"/>
        </w:rPr>
      </w:pPr>
    </w:p>
    <w:p w14:paraId="3DC2275B"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в Москве в честь взятия Берлина состоялся салют 24 артиллеристскими залпами из 324 орудий (14879).</w:t>
      </w:r>
    </w:p>
    <w:p w14:paraId="5C6C940A" w14:textId="77777777" w:rsidR="002471D5" w:rsidRPr="00F90EAE" w:rsidRDefault="002471D5" w:rsidP="00F90EAE">
      <w:pPr>
        <w:jc w:val="both"/>
        <w:rPr>
          <w:color w:val="000000" w:themeColor="text1"/>
          <w:sz w:val="16"/>
          <w:szCs w:val="16"/>
        </w:rPr>
      </w:pPr>
    </w:p>
    <w:p w14:paraId="4C78367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ACF916F" w14:textId="77777777" w:rsidR="00665165" w:rsidRPr="00F90EAE" w:rsidRDefault="00665165" w:rsidP="00F90EAE">
      <w:pPr>
        <w:autoSpaceDE w:val="0"/>
        <w:autoSpaceDN w:val="0"/>
        <w:adjustRightInd w:val="0"/>
        <w:jc w:val="both"/>
        <w:rPr>
          <w:iCs/>
          <w:color w:val="000000" w:themeColor="text1"/>
          <w:sz w:val="16"/>
          <w:szCs w:val="16"/>
        </w:rPr>
      </w:pPr>
    </w:p>
    <w:p w14:paraId="480B2D5C" w14:textId="77777777" w:rsidR="0032073A" w:rsidRPr="00F90EAE" w:rsidRDefault="0032073A" w:rsidP="00F90EAE">
      <w:pPr>
        <w:jc w:val="both"/>
        <w:rPr>
          <w:color w:val="000000" w:themeColor="text1"/>
          <w:sz w:val="16"/>
          <w:szCs w:val="16"/>
        </w:rPr>
      </w:pPr>
      <w:r w:rsidRPr="00F90EAE">
        <w:rPr>
          <w:color w:val="000000" w:themeColor="text1"/>
          <w:sz w:val="16"/>
          <w:szCs w:val="16"/>
        </w:rPr>
        <w:t>2 мая в 1945 году унтер-офицер Рейхбергер (Reichberger) на реактивном «Не-162А-2» сбил американский «Р-47» (14879).</w:t>
      </w:r>
    </w:p>
    <w:p w14:paraId="6FD7FAAF" w14:textId="77777777" w:rsidR="0032073A" w:rsidRPr="00F90EAE" w:rsidRDefault="0032073A" w:rsidP="00F90EAE">
      <w:pPr>
        <w:jc w:val="both"/>
        <w:rPr>
          <w:color w:val="000000" w:themeColor="text1"/>
          <w:sz w:val="16"/>
          <w:szCs w:val="16"/>
        </w:rPr>
      </w:pPr>
    </w:p>
    <w:p w14:paraId="2AFAC565" w14:textId="77777777" w:rsidR="00385035" w:rsidRPr="00F90EAE" w:rsidRDefault="00385035" w:rsidP="00F90EAE">
      <w:pPr>
        <w:jc w:val="both"/>
        <w:rPr>
          <w:color w:val="0070C0"/>
          <w:sz w:val="16"/>
          <w:szCs w:val="16"/>
        </w:rPr>
      </w:pPr>
      <w:r w:rsidRPr="00F90EAE">
        <w:rPr>
          <w:color w:val="0070C0"/>
          <w:sz w:val="16"/>
          <w:szCs w:val="16"/>
        </w:rPr>
        <w:t>2 мая 1945 - Унтер-офицер Рейхбергер (Reichberger) на реактивном «Не-162А-2» сбил американский Р-47 (22515).</w:t>
      </w:r>
    </w:p>
    <w:p w14:paraId="71737DCB" w14:textId="77777777" w:rsidR="00385035" w:rsidRPr="00F90EAE" w:rsidRDefault="00385035" w:rsidP="00F90EAE">
      <w:pPr>
        <w:jc w:val="both"/>
        <w:rPr>
          <w:color w:val="0070C0"/>
          <w:sz w:val="16"/>
          <w:szCs w:val="16"/>
        </w:rPr>
      </w:pPr>
    </w:p>
    <w:p w14:paraId="4BB90ABA"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руководители ракетного исследовательского центра «Penemunde» Вернер фон Браун (Verner von Braun) и Вальтер Дорнбергер (Walter Dornberger) сдались в плен американским войскам (14879).</w:t>
      </w:r>
    </w:p>
    <w:p w14:paraId="14DD64DA" w14:textId="77777777" w:rsidR="002471D5" w:rsidRPr="00F90EAE" w:rsidRDefault="002471D5" w:rsidP="00F90EAE">
      <w:pPr>
        <w:jc w:val="both"/>
        <w:rPr>
          <w:color w:val="000000" w:themeColor="text1"/>
          <w:sz w:val="16"/>
          <w:szCs w:val="16"/>
        </w:rPr>
      </w:pPr>
    </w:p>
    <w:p w14:paraId="0C72CC86" w14:textId="77777777" w:rsidR="004252F4" w:rsidRPr="00F90EAE" w:rsidRDefault="004252F4" w:rsidP="00F90EAE">
      <w:pPr>
        <w:jc w:val="both"/>
        <w:rPr>
          <w:color w:val="000000" w:themeColor="text1"/>
          <w:sz w:val="16"/>
          <w:szCs w:val="16"/>
        </w:rPr>
      </w:pPr>
      <w:r w:rsidRPr="00F90EAE">
        <w:rPr>
          <w:color w:val="000000" w:themeColor="text1"/>
          <w:sz w:val="16"/>
          <w:szCs w:val="16"/>
        </w:rPr>
        <w:t>2 мая 1945 года сдалась американским войскам. Вернера фон Брауна, штурмбанфюрера СС, запросто могли расстре</w:t>
      </w:r>
      <w:r w:rsidRPr="00F90EAE">
        <w:rPr>
          <w:color w:val="000000" w:themeColor="text1"/>
          <w:sz w:val="16"/>
          <w:szCs w:val="16"/>
        </w:rPr>
        <w:softHyphen/>
        <w:t>лять. Даже его будущий начальник генерал Медарис позднее признался, что, попадись ему Браун в 1945-м, он бы, не задумываясь, его повесил. Но Браун попал в руки совсем других людей из американской миссии “Пейперклип” (“скрепка”), занимавшейся поиском немецких военно-техни</w:t>
      </w:r>
      <w:r w:rsidRPr="00F90EAE">
        <w:rPr>
          <w:color w:val="000000" w:themeColor="text1"/>
          <w:sz w:val="16"/>
          <w:szCs w:val="16"/>
        </w:rPr>
        <w:softHyphen/>
        <w:t>ческих специалистов. “Ракетного ба</w:t>
      </w:r>
      <w:r w:rsidRPr="00F90EAE">
        <w:rPr>
          <w:color w:val="000000" w:themeColor="text1"/>
          <w:sz w:val="16"/>
          <w:szCs w:val="16"/>
        </w:rPr>
        <w:softHyphen/>
        <w:t>рона” и его команду переправили за океан как особо ценный груз. Вместе с ним перебрались в США 492 не</w:t>
      </w:r>
      <w:r w:rsidRPr="00F90EAE">
        <w:rPr>
          <w:color w:val="000000" w:themeColor="text1"/>
          <w:sz w:val="16"/>
          <w:szCs w:val="16"/>
        </w:rPr>
        <w:softHyphen/>
        <w:t>мецких ракетных специалиста и 644 члена их семей. Среди специалистов, перебравшихся в США, кроме Вер</w:t>
      </w:r>
      <w:r w:rsidRPr="00F90EAE">
        <w:rPr>
          <w:color w:val="000000" w:themeColor="text1"/>
          <w:sz w:val="16"/>
          <w:szCs w:val="16"/>
        </w:rPr>
        <w:softHyphen/>
        <w:t>нера фон Брауна — крупнейшего на тот момент конструктора жидкост</w:t>
      </w:r>
      <w:r w:rsidRPr="00F90EAE">
        <w:rPr>
          <w:color w:val="000000" w:themeColor="text1"/>
          <w:sz w:val="16"/>
          <w:szCs w:val="16"/>
        </w:rPr>
        <w:softHyphen/>
        <w:t>ных ракет, нужно отметить генера</w:t>
      </w:r>
      <w:r w:rsidRPr="00F90EAE">
        <w:rPr>
          <w:color w:val="000000" w:themeColor="text1"/>
          <w:sz w:val="16"/>
          <w:szCs w:val="16"/>
        </w:rPr>
        <w:softHyphen/>
        <w:t>ла Вальтера Дорнберга — опытного организатора исследовательских и экспериментальных работ в области ракетостроения, и Артура Рудоль</w:t>
      </w:r>
      <w:r w:rsidRPr="00F90EAE">
        <w:rPr>
          <w:color w:val="000000" w:themeColor="text1"/>
          <w:sz w:val="16"/>
          <w:szCs w:val="16"/>
        </w:rPr>
        <w:softHyphen/>
        <w:t>фа — будущего конструктора многих американских ракет. Американцы вывезли всю техническую докумен</w:t>
      </w:r>
      <w:r w:rsidRPr="00F90EAE">
        <w:rPr>
          <w:color w:val="000000" w:themeColor="text1"/>
          <w:sz w:val="16"/>
          <w:szCs w:val="16"/>
        </w:rPr>
        <w:softHyphen/>
        <w:t>тацию, более 100 готовых к отправке на фронт ракет “Фау-2”, боевые стар</w:t>
      </w:r>
      <w:r w:rsidRPr="00F90EAE">
        <w:rPr>
          <w:color w:val="000000" w:themeColor="text1"/>
          <w:sz w:val="16"/>
          <w:szCs w:val="16"/>
        </w:rPr>
        <w:softHyphen/>
        <w:t>товые позиции вместе с военным пер</w:t>
      </w:r>
      <w:r w:rsidRPr="00F90EAE">
        <w:rPr>
          <w:color w:val="000000" w:themeColor="text1"/>
          <w:sz w:val="16"/>
          <w:szCs w:val="16"/>
        </w:rPr>
        <w:softHyphen/>
        <w:t>соналом, хорошо подготовленным к эксплуатации ракет. На полигон Уайт-Сэндз прибыло из-за океана 115 приборных и 127 топливных отсеков, 180 кислородных баков, 200 турбонасосных агрегатов и 215 двигателей. 16 апреля 1946 г. на полигоне Уайт- Сендз США произвели первый пуск трофейной “Фау-2” (19630).</w:t>
      </w:r>
    </w:p>
    <w:p w14:paraId="2B1CF58A" w14:textId="77777777" w:rsidR="004252F4" w:rsidRPr="00F90EAE" w:rsidRDefault="004252F4" w:rsidP="00F90EAE">
      <w:pPr>
        <w:jc w:val="both"/>
        <w:rPr>
          <w:color w:val="000000" w:themeColor="text1"/>
          <w:sz w:val="16"/>
          <w:szCs w:val="16"/>
        </w:rPr>
      </w:pPr>
    </w:p>
    <w:p w14:paraId="11048634" w14:textId="77777777" w:rsidR="002471D5" w:rsidRPr="00F90EAE" w:rsidRDefault="002471D5" w:rsidP="00F90EAE">
      <w:pPr>
        <w:autoSpaceDE w:val="0"/>
        <w:autoSpaceDN w:val="0"/>
        <w:adjustRightInd w:val="0"/>
        <w:jc w:val="both"/>
        <w:rPr>
          <w:color w:val="000000" w:themeColor="text1"/>
          <w:sz w:val="16"/>
          <w:szCs w:val="16"/>
        </w:rPr>
      </w:pPr>
      <w:r w:rsidRPr="00F90EAE">
        <w:rPr>
          <w:color w:val="000000" w:themeColor="text1"/>
          <w:sz w:val="16"/>
          <w:szCs w:val="16"/>
        </w:rPr>
        <w:t>2 мая 1945 Вернер фон Браун и Вальтер Дорнбергер сдались в плен американцам (2990).</w:t>
      </w:r>
    </w:p>
    <w:p w14:paraId="759D2EE9" w14:textId="77777777" w:rsidR="002471D5" w:rsidRPr="00F90EAE" w:rsidRDefault="002471D5" w:rsidP="00F90EAE">
      <w:pPr>
        <w:autoSpaceDE w:val="0"/>
        <w:autoSpaceDN w:val="0"/>
        <w:adjustRightInd w:val="0"/>
        <w:jc w:val="both"/>
        <w:rPr>
          <w:color w:val="000000" w:themeColor="text1"/>
          <w:sz w:val="16"/>
          <w:szCs w:val="16"/>
        </w:rPr>
      </w:pPr>
    </w:p>
    <w:p w14:paraId="2A1D9F6D" w14:textId="77777777" w:rsidR="002471D5" w:rsidRPr="00F90EAE" w:rsidRDefault="002471D5" w:rsidP="00F90EAE">
      <w:pPr>
        <w:autoSpaceDE w:val="0"/>
        <w:autoSpaceDN w:val="0"/>
        <w:adjustRightInd w:val="0"/>
        <w:jc w:val="both"/>
        <w:rPr>
          <w:color w:val="000000" w:themeColor="text1"/>
          <w:sz w:val="16"/>
          <w:szCs w:val="16"/>
        </w:rPr>
      </w:pPr>
      <w:r w:rsidRPr="00F90EAE">
        <w:rPr>
          <w:color w:val="000000" w:themeColor="text1"/>
          <w:sz w:val="16"/>
          <w:szCs w:val="16"/>
        </w:rPr>
        <w:t>2 мая 1945 г. главный конструктор ракеты Фау-2 фон Браун вместе с группой основных разработчиков ракеты сдался в плен частям 7-й американской армии (11117).</w:t>
      </w:r>
    </w:p>
    <w:p w14:paraId="4D79D8F6" w14:textId="77777777" w:rsidR="002471D5" w:rsidRPr="00F90EAE" w:rsidRDefault="002471D5" w:rsidP="00F90EAE">
      <w:pPr>
        <w:autoSpaceDE w:val="0"/>
        <w:autoSpaceDN w:val="0"/>
        <w:adjustRightInd w:val="0"/>
        <w:jc w:val="both"/>
        <w:rPr>
          <w:color w:val="000000" w:themeColor="text1"/>
          <w:sz w:val="16"/>
          <w:szCs w:val="16"/>
        </w:rPr>
      </w:pPr>
    </w:p>
    <w:p w14:paraId="5685305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мая 1945 английские войска захватили Любек (Германия) (4962).</w:t>
      </w:r>
    </w:p>
    <w:p w14:paraId="4E9BF3F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FEBF2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в Германии части британской армии вышли к Любеку, чтобы предотвратить наступление КА на Данию (3907,256).</w:t>
      </w:r>
    </w:p>
    <w:p w14:paraId="29D042AE" w14:textId="77777777" w:rsidR="00665165" w:rsidRPr="00F90EAE" w:rsidRDefault="00665165" w:rsidP="00F90EAE">
      <w:pPr>
        <w:autoSpaceDE w:val="0"/>
        <w:autoSpaceDN w:val="0"/>
        <w:adjustRightInd w:val="0"/>
        <w:jc w:val="both"/>
        <w:rPr>
          <w:color w:val="000000" w:themeColor="text1"/>
          <w:sz w:val="16"/>
          <w:szCs w:val="16"/>
        </w:rPr>
      </w:pPr>
    </w:p>
    <w:p w14:paraId="359ACA81"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в Германии части британской армии выходят к Любеку (Германия) с целью предотвратить советскую оккупацию Дании (14879).</w:t>
      </w:r>
    </w:p>
    <w:p w14:paraId="0E5780AC" w14:textId="77777777" w:rsidR="002471D5" w:rsidRPr="00F90EAE" w:rsidRDefault="002471D5" w:rsidP="00F90EAE">
      <w:pPr>
        <w:jc w:val="both"/>
        <w:rPr>
          <w:color w:val="000000" w:themeColor="text1"/>
          <w:sz w:val="16"/>
          <w:szCs w:val="16"/>
        </w:rPr>
      </w:pPr>
    </w:p>
    <w:p w14:paraId="4DEFF6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мая 1945 году американские войска освободили концлагерь Маутхаузен (4963 ).</w:t>
      </w:r>
    </w:p>
    <w:p w14:paraId="09D9899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980A3B8"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по официальной версии ближайший соратник Гитлера, начальник Партийной канцелярии НСДАП Мартин Борман отравился цианистым калием. Позже он был заочно приговорен к казни, но, скорее всего, он к тому времени был уже мертв (14879).</w:t>
      </w:r>
    </w:p>
    <w:p w14:paraId="5715D4AF" w14:textId="77777777" w:rsidR="002471D5" w:rsidRPr="00F90EAE" w:rsidRDefault="002471D5" w:rsidP="00F90EAE">
      <w:pPr>
        <w:jc w:val="both"/>
        <w:rPr>
          <w:color w:val="000000" w:themeColor="text1"/>
          <w:sz w:val="16"/>
          <w:szCs w:val="16"/>
        </w:rPr>
      </w:pPr>
    </w:p>
    <w:p w14:paraId="7B8D2DBD"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президент США Гарри Трумен утвердил список членов специального межведомственного Временного комитета, созданного для решения всех вопросов, относящихся к применению атомного оружия (Свое решение, взорвать или не взрывать бомбу, президент должен был принять лишь взвесив рекомендации комитета). Через два дня, 4 мая 1945 г. состоялось его первое заседание (14879).</w:t>
      </w:r>
    </w:p>
    <w:p w14:paraId="7220A8A3" w14:textId="77777777" w:rsidR="002471D5" w:rsidRPr="00F90EAE" w:rsidRDefault="002471D5" w:rsidP="00F90EAE">
      <w:pPr>
        <w:jc w:val="both"/>
        <w:rPr>
          <w:color w:val="000000" w:themeColor="text1"/>
          <w:sz w:val="16"/>
          <w:szCs w:val="16"/>
        </w:rPr>
      </w:pPr>
    </w:p>
    <w:p w14:paraId="69F274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lang w:val="en-US"/>
        </w:rPr>
        <w:t>May</w:t>
      </w:r>
      <w:r w:rsidRPr="00F90EAE">
        <w:rPr>
          <w:color w:val="000000" w:themeColor="text1"/>
          <w:sz w:val="16"/>
          <w:szCs w:val="16"/>
        </w:rPr>
        <w:t xml:space="preserve"> 2 1945 </w:t>
      </w:r>
      <w:r w:rsidRPr="00F90EAE">
        <w:rPr>
          <w:color w:val="000000" w:themeColor="text1"/>
          <w:sz w:val="16"/>
          <w:szCs w:val="16"/>
          <w:lang w:val="en-US"/>
        </w:rPr>
        <w:t>GermantroopsinItalysurrender</w:t>
      </w:r>
      <w:r w:rsidRPr="00F90EAE">
        <w:rPr>
          <w:color w:val="000000" w:themeColor="text1"/>
          <w:sz w:val="16"/>
          <w:szCs w:val="16"/>
        </w:rPr>
        <w:t xml:space="preserve"> (1050).</w:t>
      </w:r>
    </w:p>
    <w:p w14:paraId="156CDD2C" w14:textId="77777777" w:rsidR="00665165" w:rsidRPr="00F90EAE" w:rsidRDefault="00665165" w:rsidP="00F90EAE">
      <w:pPr>
        <w:autoSpaceDE w:val="0"/>
        <w:autoSpaceDN w:val="0"/>
        <w:adjustRightInd w:val="0"/>
        <w:jc w:val="both"/>
        <w:rPr>
          <w:color w:val="000000" w:themeColor="text1"/>
          <w:sz w:val="16"/>
          <w:szCs w:val="16"/>
        </w:rPr>
      </w:pPr>
    </w:p>
    <w:p w14:paraId="0C6DA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немцы сдались в Италии (1050).</w:t>
      </w:r>
    </w:p>
    <w:p w14:paraId="6588C625" w14:textId="77777777" w:rsidR="00665165" w:rsidRPr="00F90EAE" w:rsidRDefault="00665165" w:rsidP="00F90EAE">
      <w:pPr>
        <w:autoSpaceDE w:val="0"/>
        <w:autoSpaceDN w:val="0"/>
        <w:adjustRightInd w:val="0"/>
        <w:jc w:val="both"/>
        <w:rPr>
          <w:color w:val="000000" w:themeColor="text1"/>
          <w:sz w:val="16"/>
          <w:szCs w:val="16"/>
        </w:rPr>
      </w:pPr>
    </w:p>
    <w:p w14:paraId="4B266F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мая 1945 г. прекратились боевые действия на южном направлении в Италии (3871).</w:t>
      </w:r>
    </w:p>
    <w:p w14:paraId="1C9CF18F" w14:textId="77777777" w:rsidR="00665165" w:rsidRPr="00F90EAE" w:rsidRDefault="00665165" w:rsidP="00F90EAE">
      <w:pPr>
        <w:autoSpaceDE w:val="0"/>
        <w:autoSpaceDN w:val="0"/>
        <w:adjustRightInd w:val="0"/>
        <w:jc w:val="both"/>
        <w:rPr>
          <w:color w:val="000000" w:themeColor="text1"/>
          <w:sz w:val="16"/>
          <w:szCs w:val="16"/>
        </w:rPr>
      </w:pPr>
    </w:p>
    <w:p w14:paraId="4BEBB0BF" w14:textId="77777777" w:rsidR="002471D5" w:rsidRPr="00F90EAE" w:rsidRDefault="002471D5" w:rsidP="00F90EAE">
      <w:pPr>
        <w:jc w:val="both"/>
        <w:rPr>
          <w:color w:val="000000" w:themeColor="text1"/>
          <w:sz w:val="16"/>
          <w:szCs w:val="16"/>
        </w:rPr>
      </w:pPr>
      <w:r w:rsidRPr="00F90EAE">
        <w:rPr>
          <w:color w:val="000000" w:themeColor="text1"/>
          <w:sz w:val="16"/>
          <w:szCs w:val="16"/>
        </w:rPr>
        <w:t>2 мая в 1945 году югославские войска заняли Триест (14879).</w:t>
      </w:r>
    </w:p>
    <w:p w14:paraId="2BE87943" w14:textId="77777777" w:rsidR="002471D5" w:rsidRPr="00F90EAE" w:rsidRDefault="002471D5" w:rsidP="00F90EAE">
      <w:pPr>
        <w:jc w:val="both"/>
        <w:rPr>
          <w:color w:val="000000" w:themeColor="text1"/>
          <w:sz w:val="16"/>
          <w:szCs w:val="16"/>
        </w:rPr>
      </w:pPr>
    </w:p>
    <w:p w14:paraId="59C82EAE" w14:textId="77777777" w:rsidR="00385035" w:rsidRPr="00F90EAE" w:rsidRDefault="00385035" w:rsidP="00F90EAE">
      <w:pPr>
        <w:jc w:val="both"/>
        <w:rPr>
          <w:color w:val="0070C0"/>
          <w:sz w:val="16"/>
          <w:szCs w:val="16"/>
        </w:rPr>
      </w:pPr>
      <w:r w:rsidRPr="00F90EAE">
        <w:rPr>
          <w:color w:val="0070C0"/>
          <w:sz w:val="16"/>
          <w:szCs w:val="16"/>
        </w:rPr>
        <w:t xml:space="preserve">2 мая 1945 Британский Ост - Индиский флот, состоящий из авианосцев HMS императора, HMS Hunter, HMS Хедив и HMS Stalker - начать поддержку операции Дракула - британского нападения на Рангун, Бирма. Их самолеты совершают 110 боевых вылетов, бомбят японские войска в поддержку британской высадки морского десанта (20371). </w:t>
      </w:r>
    </w:p>
    <w:p w14:paraId="6FB39C4E" w14:textId="77777777" w:rsidR="00385035" w:rsidRPr="00F90EAE" w:rsidRDefault="00385035" w:rsidP="00F90EAE">
      <w:pPr>
        <w:jc w:val="both"/>
        <w:rPr>
          <w:color w:val="0070C0"/>
          <w:sz w:val="16"/>
          <w:szCs w:val="16"/>
        </w:rPr>
      </w:pPr>
    </w:p>
    <w:p w14:paraId="58804708" w14:textId="77777777" w:rsidR="00385035" w:rsidRPr="00F90EAE" w:rsidRDefault="00385035" w:rsidP="00F90EAE">
      <w:pPr>
        <w:jc w:val="both"/>
        <w:rPr>
          <w:color w:val="0070C0"/>
          <w:sz w:val="16"/>
          <w:szCs w:val="16"/>
        </w:rPr>
      </w:pPr>
      <w:r w:rsidRPr="00F90EAE">
        <w:rPr>
          <w:color w:val="0070C0"/>
          <w:sz w:val="16"/>
          <w:szCs w:val="16"/>
        </w:rPr>
        <w:t>2–3 мая 1945, атакуя вражеские аэродромы, «Москито» Королевских ВВС из группы № 8 проводят последнее наступление в войне (20371).</w:t>
      </w:r>
    </w:p>
    <w:p w14:paraId="4C31F0EC" w14:textId="77777777" w:rsidR="00385035" w:rsidRPr="00F90EAE" w:rsidRDefault="00385035" w:rsidP="00F90EAE">
      <w:pPr>
        <w:jc w:val="both"/>
        <w:rPr>
          <w:color w:val="0070C0"/>
          <w:sz w:val="16"/>
          <w:szCs w:val="16"/>
        </w:rPr>
      </w:pPr>
    </w:p>
    <w:p w14:paraId="1080CC1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8218204" w14:textId="77777777" w:rsidR="00665165" w:rsidRPr="00F90EAE" w:rsidRDefault="00665165" w:rsidP="00F90EAE">
      <w:pPr>
        <w:autoSpaceDE w:val="0"/>
        <w:autoSpaceDN w:val="0"/>
        <w:adjustRightInd w:val="0"/>
        <w:jc w:val="both"/>
        <w:rPr>
          <w:iCs/>
          <w:color w:val="000000" w:themeColor="text1"/>
          <w:sz w:val="16"/>
          <w:szCs w:val="16"/>
        </w:rPr>
      </w:pPr>
    </w:p>
    <w:p w14:paraId="7885A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Г.М.М., А.И.Ш. и А.Новиков писали письмо И.В.С.:</w:t>
      </w:r>
    </w:p>
    <w:p w14:paraId="3A1C96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"Товарищу Сталину</w:t>
      </w:r>
    </w:p>
    <w:p w14:paraId="75B3E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выпускаемых в настоящее время самолетах Ил-2 кабина стрелка не имеет никакой бронезащиты. Для защиты стрелка строевые части вынуждены устанавливать на самолетах Ил-2 дополнительные бронедетали весом 90 кг.</w:t>
      </w:r>
    </w:p>
    <w:p w14:paraId="1181EF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30 НКАП построен и прошел гос. испытания самолет Ил-2 с удлиненным бронекорпусом. Стрелок, кабина которого расположена в удлиненной части бронекорпуса, защищен на этом самолете сзади, снизу, с боков бронелистами толщиной 5-6 мм. Кроме того на удлиненном бронекорпусе 4-х мм нижние и боковые бронелисты в наиболее поражаемых местах заменены бронелистами толщиной 8 мм, а 5-ти мм заслонки маслорпадиатора - бронелистами толщиной 12 мм. Бронь на верхней части бронекорпуса, перед бензобаком, за втулкой винта, где имели место единичные случаи поражения, заменена дюралевыми листами. Вес самолета Ил-2 с удлиненным бронекорпусом оказался на 15 кг меньшим веса того же самолета с дополнительным бронированием кабины стрелка в частях ВВС КА. Вооружение, бомбовая нагрузка и остальные ЛТД не изменились.</w:t>
      </w:r>
    </w:p>
    <w:p w14:paraId="40DAAC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30 уже построил 120 (зачеркнуто - поставлено 70) самолетов Ил-2 с удлиненным бронекорпусом и перевод его на выпуск всех самолетов с удлиненным бронекорпусом трудности не представляет.</w:t>
      </w:r>
    </w:p>
    <w:p w14:paraId="201C4A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Просим утвердить предлагаемый проект постановления ГКО "О выпуске самолетов Ил-2 с удлиненным бронекорпусом". (1870,140).</w:t>
      </w:r>
    </w:p>
    <w:p w14:paraId="786FEB1A" w14:textId="77777777" w:rsidR="00665165" w:rsidRPr="00F90EAE" w:rsidRDefault="00665165" w:rsidP="00F90EAE">
      <w:pPr>
        <w:autoSpaceDE w:val="0"/>
        <w:autoSpaceDN w:val="0"/>
        <w:adjustRightInd w:val="0"/>
        <w:jc w:val="both"/>
        <w:rPr>
          <w:color w:val="000000" w:themeColor="text1"/>
          <w:sz w:val="16"/>
          <w:szCs w:val="16"/>
        </w:rPr>
      </w:pPr>
    </w:p>
    <w:p w14:paraId="789B2B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мая 1945 директор завода Белянский получил телеграмму за подписью заместителя нарко</w:t>
      </w:r>
      <w:r w:rsidRPr="00F90EAE">
        <w:rPr>
          <w:color w:val="000000" w:themeColor="text1"/>
          <w:sz w:val="16"/>
          <w:szCs w:val="16"/>
        </w:rPr>
        <w:softHyphen/>
        <w:t>ма авиапромышленности Кузнецова, в которой приказывалось к 15 мая запустить в серию заводской вариант пылефильтра и, кроме того, изготовить партию пылефильтров полевого вариан</w:t>
      </w:r>
      <w:r w:rsidRPr="00F90EAE">
        <w:rPr>
          <w:color w:val="000000" w:themeColor="text1"/>
          <w:sz w:val="16"/>
          <w:szCs w:val="16"/>
        </w:rPr>
        <w:softHyphen/>
        <w:t>та и вместе с ремонтными бригадами направить их на фронт. Как следует из документов, ремонтные бригады прибыли в полки в середине июня (11474,516).</w:t>
      </w:r>
    </w:p>
    <w:p w14:paraId="73EDF0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3B17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мая 1945 Ил-АМ-42 (экз. № 1) в новом моторе АМ-42 (зав. № 45760) после двух полетов в маслофильтре мотора было обна</w:t>
      </w:r>
      <w:r w:rsidRPr="00F90EAE">
        <w:rPr>
          <w:color w:val="000000" w:themeColor="text1"/>
          <w:sz w:val="16"/>
          <w:szCs w:val="16"/>
        </w:rPr>
        <w:softHyphen/>
        <w:t xml:space="preserve">ружено </w:t>
      </w:r>
      <w:r w:rsidRPr="00F90EAE">
        <w:rPr>
          <w:iCs/>
          <w:color w:val="000000" w:themeColor="text1"/>
          <w:sz w:val="16"/>
          <w:szCs w:val="16"/>
        </w:rPr>
        <w:t>"большое количество метал</w:t>
      </w:r>
      <w:r w:rsidRPr="00F90EAE">
        <w:rPr>
          <w:iCs/>
          <w:color w:val="000000" w:themeColor="text1"/>
          <w:sz w:val="16"/>
          <w:szCs w:val="16"/>
        </w:rPr>
        <w:softHyphen/>
        <w:t xml:space="preserve">лической стружки". </w:t>
      </w:r>
      <w:r w:rsidRPr="00F90EAE">
        <w:rPr>
          <w:color w:val="000000" w:themeColor="text1"/>
          <w:sz w:val="16"/>
          <w:szCs w:val="16"/>
        </w:rPr>
        <w:t>26 апреля 1945 из-за сильного выброса масла в полете, мотор АМ-42 (зав. № 45591) был снят с самолета Ил-АМ-42 (экз. № 1) и вместо него установлен новый мо</w:t>
      </w:r>
      <w:r w:rsidRPr="00F90EAE">
        <w:rPr>
          <w:color w:val="000000" w:themeColor="text1"/>
          <w:sz w:val="16"/>
          <w:szCs w:val="16"/>
        </w:rPr>
        <w:softHyphen/>
        <w:t>тор (зав. № 45760). Перед отправ</w:t>
      </w:r>
      <w:r w:rsidRPr="00F90EAE">
        <w:rPr>
          <w:color w:val="000000" w:themeColor="text1"/>
          <w:sz w:val="16"/>
          <w:szCs w:val="16"/>
        </w:rPr>
        <w:softHyphen/>
        <w:t>кой в утиль "старый" мотор нарабо</w:t>
      </w:r>
      <w:r w:rsidRPr="00F90EAE">
        <w:rPr>
          <w:color w:val="000000" w:themeColor="text1"/>
          <w:sz w:val="16"/>
          <w:szCs w:val="16"/>
        </w:rPr>
        <w:softHyphen/>
        <w:t>тал 22 часа 48 минут в воздухе и 16 часов - на земле. Однако АМ-42 с новым номером работал не лучше прежнего. Мотор был снят. Через два дня на Ил-8 № 1 устано</w:t>
      </w:r>
      <w:r w:rsidRPr="00F90EAE">
        <w:rPr>
          <w:color w:val="000000" w:themeColor="text1"/>
          <w:sz w:val="16"/>
          <w:szCs w:val="16"/>
        </w:rPr>
        <w:softHyphen/>
        <w:t>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8006F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полетном весе 7540 кг (1 000 кг бомб) самолет показал мак</w:t>
      </w:r>
      <w:r w:rsidRPr="00F90EAE">
        <w:rPr>
          <w:color w:val="000000" w:themeColor="text1"/>
          <w:sz w:val="16"/>
          <w:szCs w:val="16"/>
        </w:rPr>
        <w:softHyphen/>
        <w:t>симальную скорость 473 км/ч у зем</w:t>
      </w:r>
      <w:r w:rsidRPr="00F90EAE">
        <w:rPr>
          <w:color w:val="000000" w:themeColor="text1"/>
          <w:sz w:val="16"/>
          <w:szCs w:val="16"/>
        </w:rPr>
        <w:softHyphen/>
        <w:t>ли и 516 км/ч на высоте 2720 м. Время подъема на высоту 1000 м со</w:t>
      </w:r>
      <w:r w:rsidRPr="00F90EAE">
        <w:rPr>
          <w:color w:val="000000" w:themeColor="text1"/>
          <w:sz w:val="16"/>
          <w:szCs w:val="16"/>
        </w:rPr>
        <w:softHyphen/>
        <w:t>ставило 2,2 минут. Разбег на фор</w:t>
      </w:r>
      <w:r w:rsidRPr="00F90EAE">
        <w:rPr>
          <w:color w:val="000000" w:themeColor="text1"/>
          <w:sz w:val="16"/>
          <w:szCs w:val="16"/>
        </w:rPr>
        <w:softHyphen/>
        <w:t>саже и с отклоненными на 17° щит</w:t>
      </w:r>
      <w:r w:rsidRPr="00F90EAE">
        <w:rPr>
          <w:color w:val="000000" w:themeColor="text1"/>
          <w:sz w:val="16"/>
          <w:szCs w:val="16"/>
        </w:rPr>
        <w:softHyphen/>
        <w:t>ками равнялся 526 м. С предельно возможной заправкой горючим и маслом (полетный вес 7830 кг) даль</w:t>
      </w:r>
      <w:r w:rsidRPr="00F90EAE">
        <w:rPr>
          <w:color w:val="000000" w:themeColor="text1"/>
          <w:sz w:val="16"/>
          <w:szCs w:val="16"/>
        </w:rPr>
        <w:softHyphen/>
        <w:t>ность полета на высоте 680 м при скорости по прибору 297 км/ч дос</w:t>
      </w:r>
      <w:r w:rsidRPr="00F90EAE">
        <w:rPr>
          <w:color w:val="000000" w:themeColor="text1"/>
          <w:sz w:val="16"/>
          <w:szCs w:val="16"/>
        </w:rPr>
        <w:softHyphen/>
        <w:t>тигала 1270 км.</w:t>
      </w:r>
    </w:p>
    <w:p w14:paraId="63C8F6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 В. К. Коккинаки дал хо</w:t>
      </w:r>
      <w:r w:rsidRPr="00F90EAE">
        <w:rPr>
          <w:color w:val="000000" w:themeColor="text1"/>
          <w:sz w:val="16"/>
          <w:szCs w:val="16"/>
        </w:rPr>
        <w:softHyphen/>
        <w:t>рошую оценку летным качествам са</w:t>
      </w:r>
      <w:r w:rsidRPr="00F90EAE">
        <w:rPr>
          <w:color w:val="000000" w:themeColor="text1"/>
          <w:sz w:val="16"/>
          <w:szCs w:val="16"/>
        </w:rPr>
        <w:softHyphen/>
        <w:t>молета, отметив простоту и легкость управления, а также устойчивость ма</w:t>
      </w:r>
      <w:r w:rsidRPr="00F90EAE">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F90EAE">
        <w:rPr>
          <w:color w:val="000000" w:themeColor="text1"/>
          <w:sz w:val="16"/>
          <w:szCs w:val="16"/>
        </w:rPr>
        <w:softHyphen/>
        <w:t>каких особенностей не имел. Посад</w:t>
      </w:r>
      <w:r w:rsidRPr="00F90EAE">
        <w:rPr>
          <w:color w:val="000000" w:themeColor="text1"/>
          <w:sz w:val="16"/>
          <w:szCs w:val="16"/>
        </w:rPr>
        <w:softHyphen/>
        <w:t>ка была простой, тенденций к свали</w:t>
      </w:r>
      <w:r w:rsidRPr="00F90EAE">
        <w:rPr>
          <w:color w:val="000000" w:themeColor="text1"/>
          <w:sz w:val="16"/>
          <w:szCs w:val="16"/>
        </w:rPr>
        <w:softHyphen/>
        <w:t>ванию при высоком выравнивании не наблюдалось. В качестве недостат</w:t>
      </w:r>
      <w:r w:rsidRPr="00F90EAE">
        <w:rPr>
          <w:color w:val="000000" w:themeColor="text1"/>
          <w:sz w:val="16"/>
          <w:szCs w:val="16"/>
        </w:rPr>
        <w:softHyphen/>
        <w:t>ков указывались отсутствие тримме</w:t>
      </w:r>
      <w:r w:rsidRPr="00F90EAE">
        <w:rPr>
          <w:color w:val="000000" w:themeColor="text1"/>
          <w:sz w:val="16"/>
          <w:szCs w:val="16"/>
        </w:rPr>
        <w:softHyphen/>
        <w:t>ра на элеронах и неравномерный обдув маслорадиатора.</w:t>
      </w:r>
    </w:p>
    <w:p w14:paraId="2FB2A2BF" w14:textId="77777777" w:rsidR="00665165" w:rsidRPr="00F90EAE" w:rsidRDefault="00665165" w:rsidP="00F90EAE">
      <w:pPr>
        <w:shd w:val="clear" w:color="auto" w:fill="FFFFFF"/>
        <w:autoSpaceDE w:val="0"/>
        <w:autoSpaceDN w:val="0"/>
        <w:adjustRightInd w:val="0"/>
        <w:jc w:val="both"/>
        <w:rPr>
          <w:iCs/>
          <w:color w:val="000000" w:themeColor="text1"/>
          <w:sz w:val="16"/>
          <w:szCs w:val="16"/>
        </w:rPr>
      </w:pPr>
      <w:r w:rsidRPr="00F90EAE">
        <w:rPr>
          <w:color w:val="000000" w:themeColor="text1"/>
          <w:sz w:val="16"/>
          <w:szCs w:val="16"/>
        </w:rPr>
        <w:t xml:space="preserve">В заключение отчета Ил-8 № 1 рекомендовался </w:t>
      </w:r>
      <w:r w:rsidRPr="00F90EAE">
        <w:rPr>
          <w:iCs/>
          <w:color w:val="000000" w:themeColor="text1"/>
          <w:sz w:val="16"/>
          <w:szCs w:val="16"/>
        </w:rPr>
        <w:t>"к внедрению в се</w:t>
      </w:r>
      <w:r w:rsidRPr="00F90EAE">
        <w:rPr>
          <w:iCs/>
          <w:color w:val="000000" w:themeColor="text1"/>
          <w:sz w:val="16"/>
          <w:szCs w:val="16"/>
        </w:rPr>
        <w:softHyphen/>
        <w:t>рийное производство в качестве штурмовика-бомбардировщика " (11431).</w:t>
      </w:r>
    </w:p>
    <w:p w14:paraId="731A50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39E8D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Лапин утвердил Акт по гос. испытаниям Ту-2 2 АШ-82ФН с винтами АВ-5В-37 N 16/7 производства 23 завода, которые проходили в марте-апреле 1945 (807,5).</w:t>
      </w:r>
    </w:p>
    <w:p w14:paraId="04B0E4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В.А.Шубранов</w:t>
      </w:r>
    </w:p>
    <w:p w14:paraId="114955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 М.А.Нюхтиков</w:t>
      </w:r>
    </w:p>
    <w:p w14:paraId="455AEC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м-р М.П.Субботин</w:t>
      </w:r>
    </w:p>
    <w:p w14:paraId="4C2FC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увеличения максимальной скорости с-та Ту-2 ЦАГИ рекомендует новые винты АВ-5В-21А диаметром 3,6 м, вместо серийных винтов АВ-5В-167А д. 3,8 м.</w:t>
      </w:r>
    </w:p>
    <w:p w14:paraId="6143DB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госиспытаниях этих винтов в марте 1945 получено увеличение скорости от 11 до 15 км/ча, но разбег с-та увеличился на 120 м.</w:t>
      </w:r>
    </w:p>
    <w:p w14:paraId="034839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этого этот винт не был рекомендован</w:t>
      </w:r>
    </w:p>
    <w:p w14:paraId="04D0F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уменьшения длины разбега при сохранении макс. скорости ЦАГИ предложен для Ту-2 с 2АШ-82ФН новые винты АВ-5В-37 диаметром 3,6 м.</w:t>
      </w:r>
    </w:p>
    <w:p w14:paraId="5FD35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испытаний и эти винты не были рекомендованы, как значительно ухудшившие взлетные свойства с-та.</w:t>
      </w:r>
    </w:p>
    <w:p w14:paraId="4904B1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Лосюков 30 апреля 1945, Сафронов 30 апреля 1945</w:t>
      </w:r>
    </w:p>
    <w:p w14:paraId="540FD8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винтами серийными АВ-5В-167А в марте 1945 были получены:</w:t>
      </w:r>
    </w:p>
    <w:p w14:paraId="7EF796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 - 477 км/час</w:t>
      </w:r>
    </w:p>
    <w:p w14:paraId="7B433A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 гр. высотности 2600 м - 530 км/час</w:t>
      </w:r>
    </w:p>
    <w:p w14:paraId="5D309D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 высотности 5700 м - 544 км/час</w:t>
      </w:r>
    </w:p>
    <w:p w14:paraId="2D0D9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 - 9,3</w:t>
      </w:r>
    </w:p>
    <w:p w14:paraId="7E3BD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9650 м, время набора - 38</w:t>
      </w:r>
    </w:p>
    <w:p w14:paraId="593BA9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- 690 м</w:t>
      </w:r>
    </w:p>
    <w:p w14:paraId="60E7B3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режим - обороты - 2500, Рк 1180.</w:t>
      </w:r>
    </w:p>
    <w:p w14:paraId="33DA1A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12720 кг</w:t>
      </w:r>
    </w:p>
    <w:p w14:paraId="512783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отрыва 190 км/час (807,5).</w:t>
      </w:r>
    </w:p>
    <w:p w14:paraId="73DF3BBE" w14:textId="77777777" w:rsidR="00665165" w:rsidRPr="00F90EAE" w:rsidRDefault="00665165" w:rsidP="00F90EAE">
      <w:pPr>
        <w:autoSpaceDE w:val="0"/>
        <w:autoSpaceDN w:val="0"/>
        <w:adjustRightInd w:val="0"/>
        <w:jc w:val="both"/>
        <w:rPr>
          <w:color w:val="000000" w:themeColor="text1"/>
          <w:sz w:val="16"/>
          <w:szCs w:val="16"/>
        </w:rPr>
      </w:pPr>
    </w:p>
    <w:p w14:paraId="5603DA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3 мая 1945 с 23 февраля 1945, как следует из отчета ЛИИ, на самолете (ведущий инженер Е.Ф.Шварцбург) в ходе испытаний высотного истребителя-перехватчика Як-ЗПД с двигателем ВК-105ПД с опытным винтом ВИШ-105ТЛ-2 диаметром 3 метра с отшлифованными лопастями, которые проходили с 19 февраля 1945 по 5 мая 1945 г.)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6CDA22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0778A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3A5038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32A411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B44C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78587C15" w14:textId="77777777" w:rsidR="00665165" w:rsidRPr="00F90EAE" w:rsidRDefault="00665165" w:rsidP="00F90EAE">
      <w:pPr>
        <w:autoSpaceDE w:val="0"/>
        <w:autoSpaceDN w:val="0"/>
        <w:adjustRightInd w:val="0"/>
        <w:jc w:val="both"/>
        <w:rPr>
          <w:color w:val="000000" w:themeColor="text1"/>
          <w:sz w:val="16"/>
          <w:szCs w:val="16"/>
        </w:rPr>
      </w:pPr>
    </w:p>
    <w:p w14:paraId="759D3C9E" w14:textId="77777777" w:rsidR="00AD5074"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C2B7781" w14:textId="77777777" w:rsidR="00AD5074" w:rsidRPr="00F90EAE" w:rsidRDefault="00AD5074" w:rsidP="00F90EAE">
      <w:pPr>
        <w:autoSpaceDE w:val="0"/>
        <w:autoSpaceDN w:val="0"/>
        <w:adjustRightInd w:val="0"/>
        <w:jc w:val="both"/>
        <w:rPr>
          <w:iCs/>
          <w:color w:val="000000" w:themeColor="text1"/>
          <w:sz w:val="16"/>
          <w:szCs w:val="16"/>
        </w:rPr>
      </w:pPr>
    </w:p>
    <w:p w14:paraId="1A945E51"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3 мая 1945 года Т-54 прибыл на Гороховецкий АНИОП, где с 10 по 12 мая прошли испытания стрельбой. Интересно, что в отчёте система называлась Д-10Т, хотя по фотографиям и описанию видно, что на самом деле испытывалась другая система — Д-10ТК. На артиллерийских испытаниях кучность признали чуть хуже табличной, при этом прицельная скорострельность оказалась выше — 6,3 выстрела в минуту. Впрочем, весь боекомплект был выпущен за 10 минут 30 секунд. Экипаж чувствовал себя нормально, разве что заряжающий испытывал шум в голове. Испытания в объёме 250 выстрелов орудие выдержало, но повторились претензии к месту командира, а также механизмам наведения орудия — это ещё раз доказывало необходимость доработок (19090).</w:t>
      </w:r>
    </w:p>
    <w:p w14:paraId="48F303B8"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p>
    <w:p w14:paraId="2DE28FD3" w14:textId="77777777" w:rsidR="00AD5074" w:rsidRPr="00F90EAE" w:rsidRDefault="00AD5074" w:rsidP="00F90EAE">
      <w:pPr>
        <w:pStyle w:val="book"/>
        <w:ind w:firstLine="0"/>
        <w:jc w:val="both"/>
        <w:rPr>
          <w:color w:val="000000" w:themeColor="text1"/>
          <w:sz w:val="16"/>
          <w:szCs w:val="16"/>
        </w:rPr>
      </w:pPr>
      <w:r w:rsidRPr="00F90EAE">
        <w:rPr>
          <w:color w:val="000000" w:themeColor="text1"/>
          <w:sz w:val="16"/>
          <w:szCs w:val="16"/>
        </w:rPr>
        <w:t>3 мая 1945 г. после попадания бомбы в районе острова Феймарн по свидетельству документов судно «Дер Дейче» оказалось выброшенным на берег. Первоначально лайнер назывался «Сьерра Марена», в 1934 г. был переименован в «Дер Дейче» («Немец»). Лайнер поступил под управление организации под названием «Немецкий рабочий фронт». Это была профсоюзная организация в Германии в период Третьего рейха. Компания «KdF — Reisen» (Путешествия «Сила через радость») являлась туристической организацией этого профсоюза, в оперативном управлении которого находились пассажирские лайнеры, переоборудованные в туристические. Путевки на эти суда распространялись среди членов профсоюза исключительно через «Немецкий рабочий фронт». Морские круизы «Дер Дейче» совершал в течение пяти лет — до августа 1939 г. Во Владивосток лайнер прибыл в октябре 1950 г. и стал эксплуатироваться на линии Владивосток — Петропавловск-Камчатский. В 1960 г. «Азию» поставили на ремонт на Владивостокском судоремонтном заводе, в ходе которого была модернизирована главная паровая машина, что позволило увеличить скорость хода до 14,5 узла. Котлы были переведены с угля на жидкое топливо. В июле 1961 г. ремонт был завершен, и «Азия» стала использоваться на прежней линии. 21 января 1967 г. лайнер был отправлен в последнее плавание и вскоре разрезан на металлолом (15225).</w:t>
      </w:r>
    </w:p>
    <w:p w14:paraId="67B44D4B" w14:textId="77777777" w:rsidR="00AD5074" w:rsidRPr="00F90EAE" w:rsidRDefault="00AD5074" w:rsidP="00F90EAE">
      <w:pPr>
        <w:pStyle w:val="book"/>
        <w:ind w:firstLine="0"/>
        <w:jc w:val="both"/>
        <w:rPr>
          <w:color w:val="000000" w:themeColor="text1"/>
          <w:sz w:val="16"/>
          <w:szCs w:val="16"/>
        </w:rPr>
      </w:pPr>
    </w:p>
    <w:p w14:paraId="0B062691" w14:textId="77777777" w:rsidR="00AD5074" w:rsidRPr="00F90EAE" w:rsidRDefault="00AD5074" w:rsidP="00F90EAE">
      <w:pPr>
        <w:jc w:val="both"/>
        <w:rPr>
          <w:color w:val="000000" w:themeColor="text1"/>
          <w:sz w:val="16"/>
          <w:szCs w:val="16"/>
        </w:rPr>
      </w:pPr>
      <w:r w:rsidRPr="00F90EAE">
        <w:rPr>
          <w:color w:val="000000" w:themeColor="text1"/>
          <w:sz w:val="16"/>
          <w:szCs w:val="16"/>
        </w:rPr>
        <w:t>3 мая в 1945 году от английских авиабомб в гавани Любек затонуло германское судно «Кап Аркона» «Cap Arcona» (27561 брт), перевозившее 5 тысяч заключенных концлагерей. Вероятно, рабочую силу хотели доставить в Южную Америку, где нацисты планировали возродить «Великий Рейх». Немецкий пассажирский лайнер. Совершал рейсы в Южную Америку. И даже «снялся» в фильме - играл «Титаник». Такая злая усмешка судьбы. Корабль, ныне находящийся в лидерах списка самых крупных морских катастроф, «примерил» на себя роль, сыграв более известный «Титаник».</w:t>
      </w:r>
    </w:p>
    <w:p w14:paraId="060246DF" w14:textId="77777777" w:rsidR="00AD5074" w:rsidRPr="00F90EAE" w:rsidRDefault="00AD5074" w:rsidP="00F90EAE">
      <w:pPr>
        <w:jc w:val="both"/>
        <w:rPr>
          <w:color w:val="000000" w:themeColor="text1"/>
          <w:sz w:val="16"/>
          <w:szCs w:val="16"/>
        </w:rPr>
      </w:pPr>
      <w:r w:rsidRPr="00F90EAE">
        <w:rPr>
          <w:color w:val="000000" w:themeColor="text1"/>
          <w:sz w:val="16"/>
          <w:szCs w:val="16"/>
        </w:rPr>
        <w:t>Получил повреждение и «Дойчланд» («Deutschland») - бывший лайнер компании «HAPAG» (1921 года постройки, 21046 брт, 196.6 м, 20 уз).</w:t>
      </w:r>
    </w:p>
    <w:p w14:paraId="20658359" w14:textId="77777777" w:rsidR="00AD5074" w:rsidRPr="00F90EAE" w:rsidRDefault="00AD5074" w:rsidP="00F90EAE">
      <w:pPr>
        <w:jc w:val="both"/>
        <w:rPr>
          <w:color w:val="000000" w:themeColor="text1"/>
          <w:sz w:val="16"/>
          <w:szCs w:val="16"/>
        </w:rPr>
      </w:pPr>
      <w:r w:rsidRPr="00F90EAE">
        <w:rPr>
          <w:color w:val="000000" w:themeColor="text1"/>
          <w:sz w:val="16"/>
          <w:szCs w:val="16"/>
        </w:rPr>
        <w:t>С середины апреля 1945 в Германии начались так называемые «Марши смерти» - узников концлагерей погнали к морю для эвакуации на кораблях (сопровождались значительной, порядка 50% смертностью среди заключенных). В бухте Любека за прием на борт заключенных отвечали бывшие лайнеры «Cap Arcona» и «Deutschland», транспорты «Thielbek» и «Athen» (1936 года постройки). Не исключено, что "Дойчланд" предназначался не для зеков, так как на него их, по видимому, не грузили. 19 апреля 1945 года началась погрузка заключенных на «Кап Аркону», «Тильбек» и "Афины". Ко 2 мая на судах в бухте Любека находилось более 13000 человек. На «Кап Аркону» уже было доставлено 6500 заключенных и 600 эсэсовцев, на «Афины» - более 2000 человек, на «Тильбек» - 2800 человек. Сколько узников еще оставалось в живых, сказать трудно. Уже почти две недели люди в трюмах не получали ни воды, ни пищи. А баржи и мелкие суда с заключенными продолжали прибывать. На тот момент на их борту было, по разным данным, от 1000 до 2000 узников. 3 мая в 12.30 «Athen» ушел в Нойштадт, чтобы забрать партию заключенных из лагеря Штутхоф. Остальные суда остались на рейде. Тем же утром британские эскадрильи получили приказ об уничтожении немецких судов в гавани Любека. В 13.00 немецкому руководству стало ясно, что суда переполнены, и принять больше узников корабли не могут. Баржи подогнали ближе к берегу. И около 14:00 солдатам СС и бойцам Гитлерюгенд было приказано уничтожить людей на баржах. Огнем со здания школы подводников до начала налета авиации было расстреляно более 500 человек. Практически одновременно с этим, в 14:30, британские самолеты 2-й тактической воздушной армии (263, 198 и 197-я эскадрильи истребителей-бомбардировщиков "тайфун") начали атаку. 263-я атаковала ракетами трехтрубный лайнер (это был «Кап Аркона») и малое судно, пришвартованное к его борту. Большинство из выпущенных 64 ракет по докладам пилотов попали в цель и вскоре лайнер пылал по всей длине, а малое судно затонуло. Второй волной шла 198-я. Пять "тайфунов" атаковали «Германию», четыре - «Тильбек». «Тильбек» пошел ко дну спустя всего 20 минут после атаки. В итоге выжило около 50 членов экипажа и охранников и около 50 заключенных. Довершила разгром 197-я эскадрилья, добившая бомбами то, что еще оставалось на плаву - оба бывших лайнера пошли на дно вслед за "Тильбеком". Освободившиеся от подвесок пилоты прошлись из пушек по находившимся на поверхности моря уцелевшим... С «Кап Арконы» спаслось примерно 490 человек из 600, составлявших экипаж судна и охрану, включая капитана. Судно опрокинулось и позже, британцы спасли успевших выбраться из судна и удержавшихся на киле 314 узников и 2 членов экипажа. Официально считается, что на борту "Кап Арконы" погибло 5594 человека (встречаются оценки до 7000), на борту "Тильбека" - порядка 2800 человек, а всего по оценкам в результате налета и расправы над заключенными со стороны гитлеровцев погибло порядка 13000 человек (количество погибших на борту "Дойчланда" неизвестно). «Тильбек» после войны был поднят, восстановлен и продолжал бороздить океан под новым именем. Долгое время ходил под флагами ФРГ (1949-61 под именем "Reinbek") и Панамы (1961-74 под именами "Magdalene" и затем "Old Warrior"). Разобран в Сплите, Югославия в 1974 году. Это единственный случай, когда судно, на котором погибло столько людей, было позже восстановлено и успешно эксплуатировалось. "Афины" пережил войну, достался по репарациям СССР и был переименован в "Генерал Брусилов". 27 мая 1947 года передан Польше, переименован в "Warynski" и много лет эксплуатировался на линии Гдыня - Гамбург - Буэнос-Айрес. В 1973 году выведен из эксплуатации, и в настоящее время используется в качестве плавсклада NP-ZPS8 в Штеттине (14880).</w:t>
      </w:r>
    </w:p>
    <w:p w14:paraId="716CB8DB" w14:textId="77777777" w:rsidR="00AD5074" w:rsidRPr="00F90EAE" w:rsidRDefault="00AD5074" w:rsidP="00F90EAE">
      <w:pPr>
        <w:jc w:val="both"/>
        <w:rPr>
          <w:color w:val="000000" w:themeColor="text1"/>
          <w:sz w:val="16"/>
          <w:szCs w:val="16"/>
        </w:rPr>
      </w:pPr>
    </w:p>
    <w:p w14:paraId="72FCAD5B" w14:textId="77777777" w:rsidR="004252F4" w:rsidRPr="00F90EAE" w:rsidRDefault="004252F4" w:rsidP="00F90EAE">
      <w:pPr>
        <w:pStyle w:val="ae"/>
        <w:shd w:val="clear" w:color="auto" w:fill="FFFFFF"/>
        <w:spacing w:before="0" w:after="0"/>
        <w:jc w:val="both"/>
        <w:rPr>
          <w:color w:val="000000" w:themeColor="text1"/>
          <w:sz w:val="16"/>
          <w:szCs w:val="16"/>
        </w:rPr>
      </w:pPr>
      <w:r w:rsidRPr="00F90EAE">
        <w:rPr>
          <w:color w:val="000000" w:themeColor="text1"/>
          <w:sz w:val="16"/>
          <w:szCs w:val="16"/>
        </w:rPr>
        <w:t>3 мая 1945 года HК ВМФ выпустил приказ № 0086 о выводе недостроенных немецких ПЛ с верфей Гданьска и Гдыни предписал перевести в Ленинград на завод № 196 корпуса, отдельные секции подлодок XXI серии и три почти готовые подлодки VII серии. ПЛ XXI серии предполагалось достроить с заменой недостающего немецкого оборудования отечественным. Центральное конструкторское бюро № 18 (ЦКБ-18, ныне Центральное конструкторское бюро морской техники «Рубин»27) в Ленинграде разрабатывало проект 61428 — достройки немецких ПЛ XXI серии. Его реализации воспрепятствовало решение Берлинской (Потсдамской) конференции (17 июля — 2 августа 1945 г.): «Большая часть германского подводного флота должна быть потоплена. Не более 30 подводных лодок должны быть сохранены и разделены поровну между СССР, Соединённым Королевством и Соединёнными Штатами для экспериментальных и технических целей». В состав ВМФ СССР наряду с немецкими надводными боевыми кораблями вошли 10 германских подлодок30: 4 — типа VII, одна типа IX и 5 новейших, в т.ч. 4 типа XXI и одна — XXIII. Их изучили советские специалисты. Этому способствовала и эксплуатация трофейных ПЛ (19841).</w:t>
      </w:r>
    </w:p>
    <w:p w14:paraId="62936961" w14:textId="77777777" w:rsidR="004252F4" w:rsidRPr="00F90EAE" w:rsidRDefault="004252F4" w:rsidP="00F90EAE">
      <w:pPr>
        <w:pStyle w:val="ae"/>
        <w:shd w:val="clear" w:color="auto" w:fill="FFFFFF"/>
        <w:spacing w:before="0" w:after="0"/>
        <w:jc w:val="both"/>
        <w:rPr>
          <w:color w:val="000000" w:themeColor="text1"/>
          <w:sz w:val="16"/>
          <w:szCs w:val="16"/>
        </w:rPr>
      </w:pPr>
    </w:p>
    <w:p w14:paraId="4C3E88AD" w14:textId="77777777" w:rsidR="0032073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60E37E8" w14:textId="77777777" w:rsidR="0032073A" w:rsidRPr="00F90EAE" w:rsidRDefault="0032073A" w:rsidP="00F90EAE">
      <w:pPr>
        <w:autoSpaceDE w:val="0"/>
        <w:autoSpaceDN w:val="0"/>
        <w:adjustRightInd w:val="0"/>
        <w:jc w:val="both"/>
        <w:rPr>
          <w:iCs/>
          <w:color w:val="000000" w:themeColor="text1"/>
          <w:sz w:val="16"/>
          <w:szCs w:val="16"/>
        </w:rPr>
      </w:pPr>
    </w:p>
    <w:p w14:paraId="3A8377B4" w14:textId="77777777" w:rsidR="0032073A" w:rsidRPr="00F90EAE" w:rsidRDefault="0032073A" w:rsidP="00F90EAE">
      <w:pPr>
        <w:jc w:val="both"/>
        <w:rPr>
          <w:color w:val="000000" w:themeColor="text1"/>
          <w:sz w:val="16"/>
          <w:szCs w:val="16"/>
        </w:rPr>
      </w:pPr>
      <w:r w:rsidRPr="00F90EAE">
        <w:rPr>
          <w:color w:val="000000" w:themeColor="text1"/>
          <w:sz w:val="16"/>
          <w:szCs w:val="16"/>
        </w:rPr>
        <w:t>3 мая в 1945 году оперативная сводка Совинформбюро:</w:t>
      </w:r>
    </w:p>
    <w:p w14:paraId="6094059C" w14:textId="77777777" w:rsidR="0032073A" w:rsidRPr="00F90EAE" w:rsidRDefault="0032073A" w:rsidP="00F90EAE">
      <w:pPr>
        <w:jc w:val="both"/>
        <w:rPr>
          <w:color w:val="000000" w:themeColor="text1"/>
          <w:sz w:val="16"/>
          <w:szCs w:val="16"/>
        </w:rPr>
      </w:pPr>
      <w:r w:rsidRPr="00F90EAE">
        <w:rPr>
          <w:color w:val="000000" w:themeColor="text1"/>
          <w:sz w:val="16"/>
          <w:szCs w:val="16"/>
        </w:rPr>
        <w:t>«В течение 3 мая юго-западнее города и порта Пиллау войска 3-го Белорусского фронта продолжали вести бои по очищению от противника косы Фриш Нерунг и заняли населённые пункты Кальберг Лип, Кайзерхоф.</w:t>
      </w:r>
    </w:p>
    <w:p w14:paraId="29A82DFB" w14:textId="77777777" w:rsidR="0032073A" w:rsidRPr="00F90EAE" w:rsidRDefault="0032073A" w:rsidP="00F90EAE">
      <w:pPr>
        <w:jc w:val="both"/>
        <w:rPr>
          <w:color w:val="000000" w:themeColor="text1"/>
          <w:sz w:val="16"/>
          <w:szCs w:val="16"/>
        </w:rPr>
      </w:pPr>
      <w:r w:rsidRPr="00F90EAE">
        <w:rPr>
          <w:color w:val="000000" w:themeColor="text1"/>
          <w:sz w:val="16"/>
          <w:szCs w:val="16"/>
        </w:rPr>
        <w:t>Войска 2-го Белорусского фронта, развивая наступление, овладели городами Барт, Бад Доберан, Нойбуков, Варин, Виттенберге и 3 мая на линии Висмар—Виттенберге соединились с союзными нам английскими войсками. Войска фронта заняли также крупные населённые пункты Крепелин, Ной Клосте, Бютцов, Постров, Гольдберг, Каров, Мейенбург, Путлитц, Притцвальк и Перлеберг. В боях за 2 мая войска фронта взяли в плен 10.600 немецких солдат и офицеров и захватили 328 самолётов. В числе пленных командующий 5 Штеттинским округом по делам трудовой повинности генерал-майор Мато.</w:t>
      </w:r>
    </w:p>
    <w:p w14:paraId="33F8B6C6" w14:textId="77777777" w:rsidR="0032073A" w:rsidRPr="00F90EAE" w:rsidRDefault="0032073A" w:rsidP="00F90EAE">
      <w:pPr>
        <w:jc w:val="both"/>
        <w:rPr>
          <w:color w:val="000000" w:themeColor="text1"/>
          <w:sz w:val="16"/>
          <w:szCs w:val="16"/>
        </w:rPr>
      </w:pPr>
      <w:r w:rsidRPr="00F90EAE">
        <w:rPr>
          <w:color w:val="000000" w:themeColor="text1"/>
          <w:sz w:val="16"/>
          <w:szCs w:val="16"/>
        </w:rPr>
        <w:t>Северо-западнее Берлина войска 1-го Белорусского фронта, продолжая наступление, с боями заняли крупные населённые пункты Вильснак, Глевен, Штюденитц, Нитцов, Вельгаст, Штродене, Ринов, Шпатц, Хоэннауен и, выйдя на реку Эльба юго-восточнее города Виттенберге, соединились с союзными нам американскими войсками.</w:t>
      </w:r>
    </w:p>
    <w:p w14:paraId="6788936F" w14:textId="77777777" w:rsidR="0032073A" w:rsidRPr="00F90EAE" w:rsidRDefault="0032073A" w:rsidP="00F90EAE">
      <w:pPr>
        <w:jc w:val="both"/>
        <w:rPr>
          <w:color w:val="000000" w:themeColor="text1"/>
          <w:sz w:val="16"/>
          <w:szCs w:val="16"/>
        </w:rPr>
      </w:pPr>
      <w:r w:rsidRPr="00F90EAE">
        <w:rPr>
          <w:color w:val="000000" w:themeColor="text1"/>
          <w:sz w:val="16"/>
          <w:szCs w:val="16"/>
        </w:rPr>
        <w:t>2 мая после 21 часа в Берлине войска фронта дополнительно взяли в плен более 20.000 немецких солдат и офицеров; кроме того, взято в госпиталях 10.700 раненых немецких солдат. Всего в Берлине 2 мая войсками фронта взято в плен 100.700 немецких солдат и офицеров. В числе пленных командир воздушной правительственной эскадры генерал-лейтенант Баур, начальник медицинской службы полиции Берлина генерал-майор медицинской службы Врубель, генерал-лейтенант полиции Раттенгубер, начальник канцелярии Геббельса — Сайлер.</w:t>
      </w:r>
    </w:p>
    <w:p w14:paraId="7D8CEA6E" w14:textId="77777777" w:rsidR="0032073A" w:rsidRPr="00F90EAE" w:rsidRDefault="0032073A" w:rsidP="00F90EAE">
      <w:pPr>
        <w:jc w:val="both"/>
        <w:rPr>
          <w:color w:val="000000" w:themeColor="text1"/>
          <w:sz w:val="16"/>
          <w:szCs w:val="16"/>
        </w:rPr>
      </w:pPr>
      <w:r w:rsidRPr="00F90EAE">
        <w:rPr>
          <w:color w:val="000000" w:themeColor="text1"/>
          <w:sz w:val="16"/>
          <w:szCs w:val="16"/>
        </w:rPr>
        <w:t>За 2 мая войска 1-го Украинского фронта в районе Берлина взяли в плен более 34.000 немецких солдат и офицеров и захватили 37 танков и свыше 140 полевых орудий. В числе пленных командир 236 немецкой пехотной дивизии генерал-майор Робен.</w:t>
      </w:r>
    </w:p>
    <w:p w14:paraId="220A6763" w14:textId="77777777" w:rsidR="0032073A" w:rsidRPr="00F90EAE" w:rsidRDefault="0032073A" w:rsidP="00F90EAE">
      <w:pPr>
        <w:jc w:val="both"/>
        <w:rPr>
          <w:color w:val="000000" w:themeColor="text1"/>
          <w:sz w:val="16"/>
          <w:szCs w:val="16"/>
        </w:rPr>
      </w:pPr>
      <w:r w:rsidRPr="00F90EAE">
        <w:rPr>
          <w:color w:val="000000" w:themeColor="text1"/>
          <w:sz w:val="16"/>
          <w:szCs w:val="16"/>
        </w:rPr>
        <w:t>Всего, таким образом, в районе Берлина 2 мая взято в плен более 134.000 немецких солдат и офицеров, из коих 100.000 взято войсками 1-го Белорусского фронта и 34.000 войсками 1-го Украинского фронта.</w:t>
      </w:r>
    </w:p>
    <w:p w14:paraId="042D0A53" w14:textId="77777777" w:rsidR="0032073A" w:rsidRPr="00F90EAE" w:rsidRDefault="0032073A"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3 мая овладели городом Цешин, важным узлом дорог и сильным опорным пунктом обороны немцев, а также заняли крупные населённые пункты Вальтерсдорф, Бутовице, Фридэк, Карвинна, Погвиздув, Голешув, Лешна, Маков. В боях за 2 мая войска фронта взяли в плен более 1.400 немецких солдат и офицеров.</w:t>
      </w:r>
    </w:p>
    <w:p w14:paraId="4EF1BEF5" w14:textId="77777777" w:rsidR="0032073A" w:rsidRPr="00F90EAE" w:rsidRDefault="0032073A" w:rsidP="00F90EAE">
      <w:pPr>
        <w:jc w:val="both"/>
        <w:rPr>
          <w:color w:val="000000" w:themeColor="text1"/>
          <w:sz w:val="16"/>
          <w:szCs w:val="16"/>
        </w:rPr>
      </w:pPr>
      <w:r w:rsidRPr="00F90EAE">
        <w:rPr>
          <w:color w:val="000000" w:themeColor="text1"/>
          <w:sz w:val="16"/>
          <w:szCs w:val="16"/>
        </w:rPr>
        <w:lastRenderedPageBreak/>
        <w:t>Войска 2-го Украинского фронта, продолжая наступление восточнее города Брно, с боями заняли крупные населённые пункты Лачнов, Злин, Остроковице, Шелешовице, Ратае, Крженовице. За 2 мая войска фронта взяли в плен более 1.000 немецких солдат и офицеров. Партизанами Чехословакии взят в плен и передан нашим войскам командир 16 немецкой танковой дивизии генерал-майор Мюллер.</w:t>
      </w:r>
    </w:p>
    <w:p w14:paraId="2B37AEAC" w14:textId="77777777" w:rsidR="0032073A" w:rsidRPr="00F90EAE" w:rsidRDefault="0032073A" w:rsidP="00F90EAE">
      <w:pPr>
        <w:jc w:val="both"/>
        <w:rPr>
          <w:color w:val="000000" w:themeColor="text1"/>
          <w:sz w:val="16"/>
          <w:szCs w:val="16"/>
        </w:rPr>
      </w:pPr>
      <w:r w:rsidRPr="00F90EAE">
        <w:rPr>
          <w:color w:val="000000" w:themeColor="text1"/>
          <w:sz w:val="16"/>
          <w:szCs w:val="16"/>
        </w:rPr>
        <w:t>На других участках фронта — существенных изменений не было.</w:t>
      </w:r>
    </w:p>
    <w:p w14:paraId="1234C505" w14:textId="77777777" w:rsidR="0032073A" w:rsidRPr="00F90EAE" w:rsidRDefault="0032073A" w:rsidP="00F90EAE">
      <w:pPr>
        <w:jc w:val="both"/>
        <w:rPr>
          <w:color w:val="000000" w:themeColor="text1"/>
          <w:sz w:val="16"/>
          <w:szCs w:val="16"/>
        </w:rPr>
      </w:pPr>
      <w:r w:rsidRPr="00F90EAE">
        <w:rPr>
          <w:color w:val="000000" w:themeColor="text1"/>
          <w:sz w:val="16"/>
          <w:szCs w:val="16"/>
        </w:rPr>
        <w:t>За 2 мая на всех фронтах подбито и уничтожено 53 немецких танка и самоходных орудия.</w:t>
      </w:r>
    </w:p>
    <w:p w14:paraId="0D76FDB4" w14:textId="77777777" w:rsidR="0032073A" w:rsidRPr="00F90EAE" w:rsidRDefault="0032073A" w:rsidP="00F90EAE">
      <w:pPr>
        <w:jc w:val="both"/>
        <w:rPr>
          <w:color w:val="000000" w:themeColor="text1"/>
          <w:sz w:val="16"/>
          <w:szCs w:val="16"/>
        </w:rPr>
      </w:pPr>
      <w:r w:rsidRPr="00F90EAE">
        <w:rPr>
          <w:color w:val="000000" w:themeColor="text1"/>
          <w:sz w:val="16"/>
          <w:szCs w:val="16"/>
        </w:rPr>
        <w:t>Войска 2-го Белорусского фронта развивали наступление. Овладев городами Росток и Варнемюнде, советские части отрезали пути отхода группе немецких войск, находившейся в районе города Барта. Стремительными ударами наши танкисты и пехотинцы подавили вражеское сопротивление и овладели городом Барт — портом на Балтийском море. Войска фронта, наступающие в западном направлении, продвинулись вперёд до 60 километров и соединились с союзными нам английскими войсками.</w:t>
      </w:r>
    </w:p>
    <w:p w14:paraId="28EF8E4D" w14:textId="77777777" w:rsidR="0032073A" w:rsidRPr="00F90EAE" w:rsidRDefault="0032073A"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Упорное сопротивление противник оказал на подступах к городу Цешин. Немцы превратили Цешин в сильный опорный пункт своей обороны. С севера и востока город прикрывали несколько линий траншей, железобетонные надолбы и широкие минные поля. Каменные здания и заводские корпуса в городе были приспособлены для круговой обороны. Противник стянул в район Цешина крупные силы и неоднократно бросал их в контратаки. Наши гвардейские части сильными ударами сломили сопротивление немцев и с трёх сторон ворвались на улицы города. В ожесточённом бою, переходившем в рукопашные схватки, наши войска разгромили вражеский гарнизон и овладели городом Цешин—узлом четырёх железных и нескольких шоссейных дорог. На подступах к городу и его улицах осталось много вражеских трупов. Захвачено у немцев 42 орудия, 140 пулемётов и др. трофеи.</w:t>
      </w:r>
    </w:p>
    <w:p w14:paraId="0932E463" w14:textId="77777777" w:rsidR="0032073A" w:rsidRPr="00F90EAE" w:rsidRDefault="0032073A" w:rsidP="00F90EAE">
      <w:pPr>
        <w:jc w:val="both"/>
        <w:rPr>
          <w:color w:val="000000" w:themeColor="text1"/>
          <w:sz w:val="16"/>
          <w:szCs w:val="16"/>
        </w:rPr>
      </w:pPr>
      <w:r w:rsidRPr="00F90EAE">
        <w:rPr>
          <w:color w:val="000000" w:themeColor="text1"/>
          <w:sz w:val="16"/>
          <w:szCs w:val="16"/>
        </w:rPr>
        <w:t>С величайшим энтузиазмом встречен в частях Красной Армии и Военно-Морского Флота Первомайский Приказ Верховного Главнокомандующего Маршала Советского Союза товарища Сталина.</w:t>
      </w:r>
    </w:p>
    <w:p w14:paraId="0070573A" w14:textId="77777777" w:rsidR="0032073A" w:rsidRPr="00F90EAE" w:rsidRDefault="0032073A" w:rsidP="00F90EAE">
      <w:pPr>
        <w:jc w:val="both"/>
        <w:rPr>
          <w:color w:val="000000" w:themeColor="text1"/>
          <w:sz w:val="16"/>
          <w:szCs w:val="16"/>
        </w:rPr>
      </w:pPr>
      <w:r w:rsidRPr="00F90EAE">
        <w:rPr>
          <w:color w:val="000000" w:themeColor="text1"/>
          <w:sz w:val="16"/>
          <w:szCs w:val="16"/>
        </w:rPr>
        <w:t>С исключительным подъёмом прошли митинги в войсках, овладевших столицей Германии Берлином. Бойцы, сержанты и офицеры соединений генерал-майора Шатилова и гвардии полковника Негада, занявшие 30 апреля здание германского рейхстага, с гордостью заявили: «Сталинское приветствие и поздравление мы восприняли с огромной радостью. В Первомайском Приказе товарища Сталина говорится и о нас. Мы вместе с другими советскими частями водрузили знамя победы над Берлином». Красноармеец Буга сказал: «Я сражался против немцев в 1918 году на Украине. В дни Отечественной войны я снова бился с немцами на Украине и под Сталинградом. Четыре года я мечтал о том, чтобы побывать в Берлине. И вот моя заветная мечта сбылась. Я горжусь тем, что на мою долю выпало счастье добивать врага в его столице».</w:t>
      </w:r>
    </w:p>
    <w:p w14:paraId="70CEF474" w14:textId="77777777" w:rsidR="0032073A" w:rsidRPr="00F90EAE" w:rsidRDefault="0032073A" w:rsidP="00F90EAE">
      <w:pPr>
        <w:jc w:val="both"/>
        <w:rPr>
          <w:color w:val="000000" w:themeColor="text1"/>
          <w:sz w:val="16"/>
          <w:szCs w:val="16"/>
        </w:rPr>
      </w:pPr>
      <w:r w:rsidRPr="00F90EAE">
        <w:rPr>
          <w:color w:val="000000" w:themeColor="text1"/>
          <w:sz w:val="16"/>
          <w:szCs w:val="16"/>
        </w:rPr>
        <w:t>На 1-м Украинском фронте на митинге бойцов и офицеров батальона, которым командует майор Коровин, выступил старшина Ригин. Он заявил: «В нынешнем году мы празднуем Первое мая в обстановке величайших побед Красной Армии. Эти исторические победы мы одержали потому, что вооружёнными силами советского государства руководит товарищ Сталин. Советские люди знали: где Сталин — там победа».</w:t>
      </w:r>
    </w:p>
    <w:p w14:paraId="4E8502AC" w14:textId="77777777" w:rsidR="0032073A" w:rsidRPr="00F90EAE" w:rsidRDefault="0032073A" w:rsidP="00F90EAE">
      <w:pPr>
        <w:jc w:val="both"/>
        <w:rPr>
          <w:color w:val="000000" w:themeColor="text1"/>
          <w:sz w:val="16"/>
          <w:szCs w:val="16"/>
        </w:rPr>
      </w:pPr>
      <w:r w:rsidRPr="00F90EAE">
        <w:rPr>
          <w:color w:val="000000" w:themeColor="text1"/>
          <w:sz w:val="16"/>
          <w:szCs w:val="16"/>
        </w:rPr>
        <w:t>Герой Советского Союза тов. Никаноров сказал: «Мы в Берлине! Отсюда, из столицы Германии, воины Красной Армии шлют горячие приветствия нашему Верховному Главнокомандующему товарищу Сталину. Бойцы и офицеры приветствуют тружеников советского тыла, которые бесперебойно снабжали фронт всем необходимым и сделали возможными победы, одержанные нашими доблестными войсками».</w:t>
      </w:r>
    </w:p>
    <w:p w14:paraId="5FC46184" w14:textId="77777777" w:rsidR="0032073A" w:rsidRPr="00F90EAE" w:rsidRDefault="0032073A" w:rsidP="00F90EAE">
      <w:pPr>
        <w:jc w:val="both"/>
        <w:rPr>
          <w:color w:val="000000" w:themeColor="text1"/>
          <w:sz w:val="16"/>
          <w:szCs w:val="16"/>
        </w:rPr>
      </w:pPr>
      <w:r w:rsidRPr="00F90EAE">
        <w:rPr>
          <w:color w:val="000000" w:themeColor="text1"/>
          <w:sz w:val="16"/>
          <w:szCs w:val="16"/>
        </w:rPr>
        <w:t>На 2-м Белорусском фронте на митинге бойцов и офицеров части соединения, где начальником политотдела полковник Поволоцкий, выступил механик-водитель старший сержант Бережной. «Мой танк,— сказал он, — прошёл по немецкой земле уже сотни километров, уничтожил немало гитлеровцев и техники врага. Сейчас идёт последний штурм гитлеровской Германии. Мы не успокоимся до тех пор, пока окончательно не добьём ненавистного врага. Заверяем нашего Верховного Главнокомандующего, что везде и всюду мы с честью и с достоинством будем носить высокое звание советского воина, никогда не ослабим бдительности и ни на одну минуту не забудем о своём долге перед Родиной».</w:t>
      </w:r>
    </w:p>
    <w:p w14:paraId="0BDDE76A" w14:textId="77777777" w:rsidR="0032073A" w:rsidRPr="00F90EAE" w:rsidRDefault="0032073A" w:rsidP="00F90EAE">
      <w:pPr>
        <w:jc w:val="both"/>
        <w:rPr>
          <w:color w:val="000000" w:themeColor="text1"/>
          <w:sz w:val="16"/>
          <w:szCs w:val="16"/>
        </w:rPr>
      </w:pPr>
      <w:r w:rsidRPr="00F90EAE">
        <w:rPr>
          <w:color w:val="000000" w:themeColor="text1"/>
          <w:sz w:val="16"/>
          <w:szCs w:val="16"/>
        </w:rPr>
        <w:t>На 3-м Украинском фронте на митинге бойцов и офицеров части подполковника Селиванова с яркой речью выступил автоматчик Глухов. Он сказал: «Мы пережили тяжёлые времена. Мы отбивали бешеные атаки немцев на Дону, обороняли волжскую твердыню — Сталинград. Были дни, когда немецкие полчища угрожали нашей родной Москве и главному городу Ленина. Однако воины Красной Армии и весь советский народ никогда не унывали, не падали духом. Мы знали, что будет и на нашей улице праздник, что великий Сталин приведёт нас к победе. Красная Армия водрузила знамя победы над Берлином. Великие и радостные дни переживает советский народ. Мы клянёмся, что с честью и в кратчайший срок выполним Сталинский приказ. Мы добьём и доконаем фашистского зверя» (14880).</w:t>
      </w:r>
    </w:p>
    <w:p w14:paraId="5B03748B" w14:textId="77777777" w:rsidR="0032073A" w:rsidRPr="00F90EAE" w:rsidRDefault="0032073A" w:rsidP="00F90EAE">
      <w:pPr>
        <w:jc w:val="both"/>
        <w:rPr>
          <w:color w:val="000000" w:themeColor="text1"/>
          <w:sz w:val="16"/>
          <w:szCs w:val="16"/>
        </w:rPr>
      </w:pPr>
    </w:p>
    <w:p w14:paraId="2E9AEAB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82A34E3" w14:textId="77777777" w:rsidR="00665165" w:rsidRPr="00F90EAE" w:rsidRDefault="00665165" w:rsidP="00F90EAE">
      <w:pPr>
        <w:autoSpaceDE w:val="0"/>
        <w:autoSpaceDN w:val="0"/>
        <w:adjustRightInd w:val="0"/>
        <w:jc w:val="both"/>
        <w:rPr>
          <w:iCs/>
          <w:color w:val="000000" w:themeColor="text1"/>
          <w:sz w:val="16"/>
          <w:szCs w:val="16"/>
        </w:rPr>
      </w:pPr>
    </w:p>
    <w:p w14:paraId="563B9EDD" w14:textId="77777777" w:rsidR="00AD5074" w:rsidRPr="00F90EAE" w:rsidRDefault="00AD5074" w:rsidP="00F90EAE">
      <w:pPr>
        <w:jc w:val="both"/>
        <w:rPr>
          <w:color w:val="000000" w:themeColor="text1"/>
          <w:sz w:val="16"/>
          <w:szCs w:val="16"/>
        </w:rPr>
      </w:pPr>
      <w:r w:rsidRPr="00F90EAE">
        <w:rPr>
          <w:color w:val="000000" w:themeColor="text1"/>
          <w:sz w:val="16"/>
          <w:szCs w:val="16"/>
        </w:rPr>
        <w:t xml:space="preserve">3 мая в 1945 году первый полет с включением реактивного двигателя прототипа американского палубного истребителя </w:t>
      </w:r>
      <w:hyperlink r:id="rId108" w:tgtFrame="_blank" w:history="1">
        <w:r w:rsidRPr="00F90EAE">
          <w:rPr>
            <w:color w:val="000000" w:themeColor="text1"/>
            <w:sz w:val="16"/>
            <w:szCs w:val="16"/>
          </w:rPr>
          <w:t>«XF15C-1» (14880).</w:t>
        </w:r>
      </w:hyperlink>
    </w:p>
    <w:p w14:paraId="484A592E" w14:textId="77777777" w:rsidR="00AD5074" w:rsidRPr="00F90EAE" w:rsidRDefault="00AD5074" w:rsidP="00F90EAE">
      <w:pPr>
        <w:jc w:val="both"/>
        <w:rPr>
          <w:color w:val="000000" w:themeColor="text1"/>
          <w:sz w:val="16"/>
          <w:szCs w:val="16"/>
        </w:rPr>
      </w:pPr>
    </w:p>
    <w:p w14:paraId="14C67C2C" w14:textId="77777777" w:rsidR="008628F5" w:rsidRPr="00F90EAE" w:rsidRDefault="008628F5" w:rsidP="00F90EAE">
      <w:pPr>
        <w:jc w:val="both"/>
        <w:rPr>
          <w:color w:val="0070C0"/>
          <w:sz w:val="16"/>
          <w:szCs w:val="16"/>
        </w:rPr>
      </w:pPr>
      <w:r w:rsidRPr="00F90EAE">
        <w:rPr>
          <w:color w:val="0070C0"/>
          <w:sz w:val="16"/>
          <w:szCs w:val="16"/>
        </w:rPr>
        <w:t>3 мая 1945 - Первый полет с включением реактивного двигателя прототипа американского палубного истребителя XF15C-1 (22514).</w:t>
      </w:r>
    </w:p>
    <w:p w14:paraId="1D965331" w14:textId="77777777" w:rsidR="008628F5" w:rsidRPr="00F90EAE" w:rsidRDefault="008628F5" w:rsidP="00F90EAE">
      <w:pPr>
        <w:jc w:val="both"/>
        <w:rPr>
          <w:color w:val="0070C0"/>
          <w:sz w:val="16"/>
          <w:szCs w:val="16"/>
        </w:rPr>
      </w:pPr>
    </w:p>
    <w:p w14:paraId="674C0BD5" w14:textId="77777777" w:rsidR="00AD5074" w:rsidRPr="00F90EAE" w:rsidRDefault="00AD5074" w:rsidP="00F90EAE">
      <w:pPr>
        <w:jc w:val="both"/>
        <w:rPr>
          <w:color w:val="000000" w:themeColor="text1"/>
          <w:sz w:val="16"/>
          <w:szCs w:val="16"/>
        </w:rPr>
      </w:pPr>
      <w:r w:rsidRPr="00F90EAE">
        <w:rPr>
          <w:color w:val="000000" w:themeColor="text1"/>
          <w:sz w:val="16"/>
          <w:szCs w:val="16"/>
        </w:rPr>
        <w:t>3 мая в 1945 году вечером «U-2511» под командованием корветтен-капитана Адальберта Шнее вышла из Бергена в свое первое и последнее плавание в Карибское море - первый случай боевого патрулирования на сверхсовременной "электролодке" XXI серии. 4 мая командир лодки получил приказ о прекращении огня, а несколькими часами позже севернее Фарерских островов «U-2511» заметила британскую оперативную группу. Шнее провел ложную атаку на тяжелый крейсер "Норфолк", сумев подобраться к нему на расстояние 500 м и остаться необнаруженным. Доказав себе и команде способность лодки ХХI серии стать грозным оружием, Шнее развернул «U-2511» и развил под водой скорость 16 узлов. Подводная лодка возвратилась в Берген 6 мая 1945 года. После капитуляции Германии Адальберт Шнее разговаривал с некоторыми офицерами с "Норфолка", которые были в шоке, узнав, что ас-подводник подошел на полностью готовой к применению лодке к боевому кораблю и провел ложную атаку, оставшись незамеченным (14880).</w:t>
      </w:r>
    </w:p>
    <w:p w14:paraId="6B6EC736" w14:textId="77777777" w:rsidR="00AD5074" w:rsidRPr="00F90EAE" w:rsidRDefault="00AD5074" w:rsidP="00F90EAE">
      <w:pPr>
        <w:jc w:val="both"/>
        <w:rPr>
          <w:color w:val="000000" w:themeColor="text1"/>
          <w:sz w:val="16"/>
          <w:szCs w:val="16"/>
        </w:rPr>
      </w:pPr>
    </w:p>
    <w:p w14:paraId="13DD64D8" w14:textId="77777777" w:rsidR="00AD5074" w:rsidRPr="00F90EAE" w:rsidRDefault="00AD5074" w:rsidP="00F90EAE">
      <w:pPr>
        <w:jc w:val="both"/>
        <w:rPr>
          <w:color w:val="000000" w:themeColor="text1"/>
          <w:sz w:val="16"/>
          <w:szCs w:val="16"/>
        </w:rPr>
      </w:pPr>
      <w:r w:rsidRPr="00F90EAE">
        <w:rPr>
          <w:color w:val="000000" w:themeColor="text1"/>
          <w:sz w:val="16"/>
          <w:szCs w:val="16"/>
        </w:rPr>
        <w:t>3 мая в 1945 году части 1-й Русской национальной армии под командованием генерала Б.А.Хольмстона-Смысловского перешли границу Лихтенштейна. В числе отступающих находился Великий Князь Владимир Кириллович со свитой (14880).</w:t>
      </w:r>
    </w:p>
    <w:p w14:paraId="2F72809F" w14:textId="77777777" w:rsidR="00AD5074" w:rsidRPr="00F90EAE" w:rsidRDefault="00AD5074" w:rsidP="00F90EAE">
      <w:pPr>
        <w:jc w:val="both"/>
        <w:rPr>
          <w:color w:val="000000" w:themeColor="text1"/>
          <w:sz w:val="16"/>
          <w:szCs w:val="16"/>
        </w:rPr>
      </w:pPr>
    </w:p>
    <w:p w14:paraId="56BD188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мая 1945 немецкое правительство адмирала Деница переехало в Данию (4962).</w:t>
      </w:r>
    </w:p>
    <w:p w14:paraId="2F6382F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A3D1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в порту Любек англичане разбомбили и Кап Аркону с ЗК (172,265).</w:t>
      </w:r>
    </w:p>
    <w:p w14:paraId="02A966A2" w14:textId="77777777" w:rsidR="00665165" w:rsidRPr="00F90EAE" w:rsidRDefault="00665165" w:rsidP="00F90EAE">
      <w:pPr>
        <w:autoSpaceDE w:val="0"/>
        <w:autoSpaceDN w:val="0"/>
        <w:adjustRightInd w:val="0"/>
        <w:jc w:val="both"/>
        <w:rPr>
          <w:color w:val="000000" w:themeColor="text1"/>
          <w:sz w:val="16"/>
          <w:szCs w:val="16"/>
        </w:rPr>
      </w:pPr>
    </w:p>
    <w:p w14:paraId="40B54559" w14:textId="77777777" w:rsidR="008628F5" w:rsidRPr="00F90EAE" w:rsidRDefault="008628F5" w:rsidP="00F90EAE">
      <w:pPr>
        <w:jc w:val="both"/>
        <w:rPr>
          <w:color w:val="0070C0"/>
          <w:sz w:val="16"/>
          <w:szCs w:val="16"/>
        </w:rPr>
      </w:pPr>
      <w:r w:rsidRPr="00F90EAE">
        <w:rPr>
          <w:color w:val="0070C0"/>
          <w:sz w:val="16"/>
          <w:szCs w:val="16"/>
        </w:rPr>
        <w:t>3 мая 1945 истребители-бомбардировщики Royal Air Force Hawker Typhoon топят немецкие пассажирские корабли SS Cap Arcona и SS Deutschland и немецкий грузовой корабль SS Thielbek в заливе Любек, не подозревая, что корабли перевозят более 10 000 узников концлагерей. Около 5000 человек погибло на борту Cap Arcona (вторая по величине потеря жизней на корабле в истории) и еще около 2750 человек на борту Thielbek, также есть тяжелые человеческие потери на борту Deutschland (20371).</w:t>
      </w:r>
    </w:p>
    <w:p w14:paraId="05323C01" w14:textId="77777777" w:rsidR="008628F5" w:rsidRPr="00F90EAE" w:rsidRDefault="008628F5" w:rsidP="00F90EAE">
      <w:pPr>
        <w:jc w:val="both"/>
        <w:rPr>
          <w:color w:val="0070C0"/>
          <w:sz w:val="16"/>
          <w:szCs w:val="16"/>
        </w:rPr>
      </w:pPr>
    </w:p>
    <w:p w14:paraId="37D318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а Дениц послал г Фриденбурга к г Монтгомери по вопросу безоговорочной капитуляции (2248,6).</w:t>
      </w:r>
    </w:p>
    <w:p w14:paraId="3868D3DE" w14:textId="77777777" w:rsidR="00665165" w:rsidRPr="00F90EAE" w:rsidRDefault="00665165" w:rsidP="00F90EAE">
      <w:pPr>
        <w:autoSpaceDE w:val="0"/>
        <w:autoSpaceDN w:val="0"/>
        <w:adjustRightInd w:val="0"/>
        <w:jc w:val="both"/>
        <w:rPr>
          <w:color w:val="000000" w:themeColor="text1"/>
          <w:sz w:val="16"/>
          <w:szCs w:val="16"/>
        </w:rPr>
      </w:pPr>
    </w:p>
    <w:p w14:paraId="2894C7E3"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3rd, 1945: The British Second Army (Dempsey) occupies Hamburg (3819).</w:t>
      </w:r>
    </w:p>
    <w:p w14:paraId="6EC519F1" w14:textId="77777777" w:rsidR="00665165" w:rsidRPr="00F90EAE" w:rsidRDefault="00665165" w:rsidP="00F90EAE">
      <w:pPr>
        <w:autoSpaceDE w:val="0"/>
        <w:autoSpaceDN w:val="0"/>
        <w:adjustRightInd w:val="0"/>
        <w:jc w:val="both"/>
        <w:rPr>
          <w:color w:val="000000" w:themeColor="text1"/>
          <w:sz w:val="16"/>
          <w:szCs w:val="16"/>
          <w:lang w:val="en-US"/>
        </w:rPr>
      </w:pPr>
    </w:p>
    <w:p w14:paraId="1A8121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британская 2А заняла Гамбург (3819).</w:t>
      </w:r>
    </w:p>
    <w:p w14:paraId="66EFC59A" w14:textId="77777777" w:rsidR="00665165" w:rsidRPr="00F90EAE" w:rsidRDefault="00665165" w:rsidP="00F90EAE">
      <w:pPr>
        <w:autoSpaceDE w:val="0"/>
        <w:autoSpaceDN w:val="0"/>
        <w:adjustRightInd w:val="0"/>
        <w:jc w:val="both"/>
        <w:rPr>
          <w:color w:val="000000" w:themeColor="text1"/>
          <w:sz w:val="16"/>
          <w:szCs w:val="16"/>
        </w:rPr>
      </w:pPr>
    </w:p>
    <w:p w14:paraId="177CA0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В конце Второй мировой войны югославские войска 4А взяли г.Фиуме (7591).</w:t>
      </w:r>
    </w:p>
    <w:p w14:paraId="23235CA0" w14:textId="77777777" w:rsidR="00665165" w:rsidRPr="00F90EAE" w:rsidRDefault="00665165" w:rsidP="00F90EAE">
      <w:pPr>
        <w:autoSpaceDE w:val="0"/>
        <w:autoSpaceDN w:val="0"/>
        <w:adjustRightInd w:val="0"/>
        <w:jc w:val="both"/>
        <w:rPr>
          <w:color w:val="000000" w:themeColor="text1"/>
          <w:sz w:val="16"/>
          <w:szCs w:val="16"/>
        </w:rPr>
      </w:pPr>
    </w:p>
    <w:p w14:paraId="1EA5369A" w14:textId="77777777" w:rsidR="0032073A" w:rsidRPr="00F90EAE" w:rsidRDefault="0032073A" w:rsidP="00F90EAE">
      <w:pPr>
        <w:jc w:val="both"/>
        <w:rPr>
          <w:color w:val="000000" w:themeColor="text1"/>
          <w:sz w:val="16"/>
          <w:szCs w:val="16"/>
        </w:rPr>
      </w:pPr>
      <w:r w:rsidRPr="00F90EAE">
        <w:rPr>
          <w:color w:val="000000" w:themeColor="text1"/>
          <w:sz w:val="16"/>
          <w:szCs w:val="16"/>
        </w:rPr>
        <w:t>3 мая в 1945 году югославские войска освободили Риеку (14880).</w:t>
      </w:r>
    </w:p>
    <w:p w14:paraId="432C6891" w14:textId="77777777" w:rsidR="0032073A" w:rsidRPr="00F90EAE" w:rsidRDefault="0032073A" w:rsidP="00F90EAE">
      <w:pPr>
        <w:jc w:val="both"/>
        <w:rPr>
          <w:color w:val="000000" w:themeColor="text1"/>
          <w:sz w:val="16"/>
          <w:szCs w:val="16"/>
        </w:rPr>
      </w:pPr>
    </w:p>
    <w:p w14:paraId="19B46C7A" w14:textId="77777777" w:rsidR="00AD5074" w:rsidRPr="00F90EAE" w:rsidRDefault="00AD5074"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мая 1945 в Португалии объявлен день траура по Гитлеру (4962).</w:t>
      </w:r>
    </w:p>
    <w:p w14:paraId="39B24A14" w14:textId="77777777" w:rsidR="00AD5074" w:rsidRPr="00F90EAE" w:rsidRDefault="00AD5074" w:rsidP="00F90EAE">
      <w:pPr>
        <w:tabs>
          <w:tab w:val="left" w:pos="11199"/>
        </w:tabs>
        <w:autoSpaceDE w:val="0"/>
        <w:autoSpaceDN w:val="0"/>
        <w:adjustRightInd w:val="0"/>
        <w:jc w:val="both"/>
        <w:rPr>
          <w:color w:val="000000" w:themeColor="text1"/>
          <w:sz w:val="16"/>
          <w:szCs w:val="16"/>
        </w:rPr>
      </w:pPr>
    </w:p>
    <w:p w14:paraId="16C54379" w14:textId="77777777" w:rsidR="008628F5" w:rsidRPr="00F90EAE" w:rsidRDefault="008628F5" w:rsidP="00F90EAE">
      <w:pPr>
        <w:jc w:val="both"/>
        <w:rPr>
          <w:color w:val="0070C0"/>
          <w:sz w:val="16"/>
          <w:szCs w:val="16"/>
        </w:rPr>
      </w:pPr>
      <w:r w:rsidRPr="00F90EAE">
        <w:rPr>
          <w:color w:val="0070C0"/>
          <w:sz w:val="16"/>
          <w:szCs w:val="16"/>
        </w:rPr>
        <w:t>3–4 мая 1945 пятая атака японских кикусуи на корабли у Окинавы, в которой участвуют 125 камикадзе. Они потопили три эсминца и два меньших корабля и повредили авианосец HMS Formidable, легкий крейсер USS Birmingham, четыре эсминца, минный заградитель и три меньших корабля (29371).</w:t>
      </w:r>
    </w:p>
    <w:p w14:paraId="28BA2B29" w14:textId="77777777" w:rsidR="008628F5" w:rsidRPr="00F90EAE" w:rsidRDefault="008628F5" w:rsidP="00F90EAE">
      <w:pPr>
        <w:jc w:val="both"/>
        <w:rPr>
          <w:color w:val="0070C0"/>
          <w:sz w:val="16"/>
          <w:szCs w:val="16"/>
        </w:rPr>
      </w:pPr>
    </w:p>
    <w:p w14:paraId="07D0BF3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мая 1945 американские войска освободили от японцев Рангун (4962).</w:t>
      </w:r>
    </w:p>
    <w:p w14:paraId="6E44E55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202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мая 1945 англичане захватили Рангун в Бирме (2248,6).</w:t>
      </w:r>
    </w:p>
    <w:p w14:paraId="40143648" w14:textId="77777777" w:rsidR="00665165" w:rsidRPr="00F90EAE" w:rsidRDefault="00665165" w:rsidP="00F90EAE">
      <w:pPr>
        <w:autoSpaceDE w:val="0"/>
        <w:autoSpaceDN w:val="0"/>
        <w:adjustRightInd w:val="0"/>
        <w:jc w:val="both"/>
        <w:rPr>
          <w:color w:val="000000" w:themeColor="text1"/>
          <w:sz w:val="16"/>
          <w:szCs w:val="16"/>
        </w:rPr>
      </w:pPr>
    </w:p>
    <w:p w14:paraId="62733209" w14:textId="77777777" w:rsidR="0032073A" w:rsidRPr="00F90EAE" w:rsidRDefault="0032073A" w:rsidP="00F90EAE">
      <w:pPr>
        <w:jc w:val="both"/>
        <w:rPr>
          <w:color w:val="000000" w:themeColor="text1"/>
          <w:sz w:val="16"/>
          <w:szCs w:val="16"/>
        </w:rPr>
      </w:pPr>
      <w:r w:rsidRPr="00F90EAE">
        <w:rPr>
          <w:color w:val="000000" w:themeColor="text1"/>
          <w:sz w:val="16"/>
          <w:szCs w:val="16"/>
        </w:rPr>
        <w:lastRenderedPageBreak/>
        <w:t>3 мая в 1945 году британские оккупационные власти ликвидировали Бирманскую Республику. Британские войска вошли в Рангун (14880).</w:t>
      </w:r>
    </w:p>
    <w:p w14:paraId="785360DA" w14:textId="77777777" w:rsidR="0032073A" w:rsidRPr="00F90EAE" w:rsidRDefault="0032073A" w:rsidP="00F90EAE">
      <w:pPr>
        <w:jc w:val="both"/>
        <w:rPr>
          <w:color w:val="000000" w:themeColor="text1"/>
          <w:sz w:val="16"/>
          <w:szCs w:val="16"/>
        </w:rPr>
      </w:pPr>
    </w:p>
    <w:p w14:paraId="31B78661" w14:textId="77777777" w:rsidR="0032073A" w:rsidRPr="00F90EAE" w:rsidRDefault="0032073A" w:rsidP="00F90EAE">
      <w:pPr>
        <w:jc w:val="both"/>
        <w:rPr>
          <w:color w:val="000000" w:themeColor="text1"/>
          <w:sz w:val="16"/>
          <w:szCs w:val="16"/>
        </w:rPr>
      </w:pPr>
      <w:r w:rsidRPr="00F90EAE">
        <w:rPr>
          <w:color w:val="000000" w:themeColor="text1"/>
          <w:sz w:val="16"/>
          <w:szCs w:val="16"/>
        </w:rPr>
        <w:t>3 мая в 1945 году американские войска заняли Давао (14880).</w:t>
      </w:r>
    </w:p>
    <w:p w14:paraId="68AB0264" w14:textId="77777777" w:rsidR="0032073A" w:rsidRPr="00F90EAE" w:rsidRDefault="0032073A" w:rsidP="00F90EAE">
      <w:pPr>
        <w:jc w:val="both"/>
        <w:rPr>
          <w:color w:val="000000" w:themeColor="text1"/>
          <w:sz w:val="16"/>
          <w:szCs w:val="16"/>
        </w:rPr>
      </w:pPr>
    </w:p>
    <w:p w14:paraId="0387974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3C3A703" w14:textId="77777777" w:rsidR="00665165" w:rsidRPr="00F90EAE" w:rsidRDefault="00665165" w:rsidP="00F90EAE">
      <w:pPr>
        <w:autoSpaceDE w:val="0"/>
        <w:autoSpaceDN w:val="0"/>
        <w:adjustRightInd w:val="0"/>
        <w:jc w:val="both"/>
        <w:rPr>
          <w:iCs/>
          <w:color w:val="000000" w:themeColor="text1"/>
          <w:sz w:val="16"/>
          <w:szCs w:val="16"/>
        </w:rPr>
      </w:pPr>
    </w:p>
    <w:p w14:paraId="03EAC9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зам. Ком. ВВС ма Фалалеев утвердил акт № 60 по результатам госиспытаний модифицированного с-та Ла-7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(с-т № 38101356 производства з-да № 381)</w:t>
      </w:r>
    </w:p>
    <w:p w14:paraId="61376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проходили с 22 февраля и были прерваны 25 февраля, возобновлены 20 марта и закончились 8 апреля 1945.</w:t>
      </w:r>
    </w:p>
    <w:p w14:paraId="25923A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выполнено 24 полета с налетом 15:40</w:t>
      </w:r>
    </w:p>
    <w:p w14:paraId="75E8D4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Вед. Ии ли и Л.А.Радионов</w:t>
      </w:r>
    </w:p>
    <w:p w14:paraId="003D5B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и-м Д.Г.Пикуленко</w:t>
      </w:r>
    </w:p>
    <w:p w14:paraId="4CDD71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Кочетков, Прошаков, Кубышкин, Седор, Тимофеев, Демидов. 15 апреля они рекомендовали внедрить в серийное производство</w:t>
      </w:r>
    </w:p>
    <w:p w14:paraId="665CFE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189331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Модифицированный с-т № 38101356 с объединенным управлением винтом и газом 82ФИ-ВГ, автоматом переключения скоростей нагнетателя Э-67 и автоматом регулировки температуры головок цилиндров АРТЦ-43 госиспытания прошел удовлетворительно.</w:t>
      </w:r>
    </w:p>
    <w:p w14:paraId="61D42C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проверки надежности работы провести войсковые испытания (20 с-тов)</w:t>
      </w:r>
    </w:p>
    <w:p w14:paraId="23B182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82-ВГ испытывался на с-те Ла-5 № 2124 с М-82 в августе 1943 г. В ноябре 1943 испытывался во 2-м у НИИ ВВС удовлетворительно. В апреле 1944 проходил испытания на с-те № 39211618 на заводе 21 удовлетворительно.</w:t>
      </w:r>
    </w:p>
    <w:p w14:paraId="6BF07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июле 1944 испытавался во 2у ГК НИИ ВВС на с-та Ла-5 № 1618 вновь удовлетворительно</w:t>
      </w:r>
    </w:p>
    <w:p w14:paraId="024154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Отмечено, что значительно облегчает управление ВМГ</w:t>
      </w:r>
    </w:p>
    <w:p w14:paraId="1F645A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Э-67 испытывался в мае 1943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67FEF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3B0ED4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АРТЦ-43 - был изготовлен в опытном экз. В 1943 заводом № 194 НКАП согласно плану опытных работ ВВС КА</w:t>
      </w:r>
    </w:p>
    <w:p w14:paraId="43084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2F4625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311E6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758CD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37513C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4281998D" w14:textId="77777777" w:rsidR="00665165" w:rsidRPr="00F90EAE" w:rsidRDefault="00665165" w:rsidP="00F90EAE">
      <w:pPr>
        <w:autoSpaceDE w:val="0"/>
        <w:autoSpaceDN w:val="0"/>
        <w:adjustRightInd w:val="0"/>
        <w:jc w:val="both"/>
        <w:rPr>
          <w:color w:val="000000" w:themeColor="text1"/>
          <w:sz w:val="16"/>
          <w:szCs w:val="16"/>
        </w:rPr>
      </w:pPr>
    </w:p>
    <w:p w14:paraId="2FF27E53" w14:textId="77777777" w:rsidR="008628F5" w:rsidRPr="00F90EAE" w:rsidRDefault="008628F5" w:rsidP="00F90EAE">
      <w:pPr>
        <w:jc w:val="both"/>
        <w:rPr>
          <w:color w:val="0070C0"/>
          <w:sz w:val="16"/>
          <w:szCs w:val="16"/>
        </w:rPr>
      </w:pPr>
      <w:r w:rsidRPr="00F90EAE">
        <w:rPr>
          <w:color w:val="0070C0"/>
          <w:sz w:val="16"/>
          <w:szCs w:val="16"/>
        </w:rPr>
        <w:t>4 мая 1945 командование флота заказало первые 20 комплектов для переоснащения уже имевшихся у морской авиации бомбардировщиков Ту-2 в вариант торпедоносца (21059).</w:t>
      </w:r>
    </w:p>
    <w:p w14:paraId="04E4F10D" w14:textId="77777777" w:rsidR="008628F5" w:rsidRPr="00F90EAE" w:rsidRDefault="008628F5" w:rsidP="00F90EAE">
      <w:pPr>
        <w:jc w:val="both"/>
        <w:rPr>
          <w:color w:val="0070C0"/>
          <w:sz w:val="16"/>
          <w:szCs w:val="16"/>
        </w:rPr>
      </w:pPr>
    </w:p>
    <w:p w14:paraId="00EC8D72" w14:textId="77777777" w:rsidR="008108C0" w:rsidRPr="00F90EAE" w:rsidRDefault="008108C0" w:rsidP="00F90EAE">
      <w:pPr>
        <w:shd w:val="clear" w:color="auto" w:fill="FFFFFF"/>
        <w:jc w:val="both"/>
        <w:rPr>
          <w:color w:val="000000" w:themeColor="text1"/>
          <w:sz w:val="16"/>
          <w:szCs w:val="16"/>
        </w:rPr>
      </w:pPr>
      <w:r w:rsidRPr="00F90EAE">
        <w:rPr>
          <w:color w:val="000000" w:themeColor="text1"/>
          <w:sz w:val="16"/>
          <w:szCs w:val="16"/>
        </w:rPr>
        <w:t>4-го мая 1944 года вышло Постановление Государственного Комитета Обороны № 5800сс, в соответствии с которым, наряду с серийным выпуском бомбардировщиков Ер-2, заводу № 39 поручается изготовить и отправить авиационному заводу № 86 в Таганроге комплект оснастки и приспособлений для производства Ер-2, а также 25 этих машин в агрегатах и деталях. Началом поставки был назван ноябрь 1944 года. Постановление ГКО было выполнено в соответствии с графиком поставки. В начале 1945 года в Таганрог было отправлено еще пять бомбардировщиков в деталях и агрегатах (15223).</w:t>
      </w:r>
    </w:p>
    <w:p w14:paraId="0DFAEC04" w14:textId="77777777" w:rsidR="008108C0" w:rsidRPr="00F90EAE" w:rsidRDefault="008108C0" w:rsidP="00F90EAE">
      <w:pPr>
        <w:shd w:val="clear" w:color="auto" w:fill="FFFFFF"/>
        <w:jc w:val="both"/>
        <w:rPr>
          <w:color w:val="000000" w:themeColor="text1"/>
          <w:sz w:val="16"/>
          <w:szCs w:val="16"/>
        </w:rPr>
      </w:pPr>
    </w:p>
    <w:p w14:paraId="6E3CFF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8391 О вывозе оборудования и материалов с немецкого завода в районе г. Вена на заводы Наркомавиапрома и Наркомцветмета. РГАНИР, Фонд ГКО, д. 411, лл. 122-124 (11012).</w:t>
      </w:r>
    </w:p>
    <w:p w14:paraId="3519A051" w14:textId="77777777" w:rsidR="00665165" w:rsidRPr="00F90EAE" w:rsidRDefault="00665165" w:rsidP="00F90EAE">
      <w:pPr>
        <w:autoSpaceDE w:val="0"/>
        <w:autoSpaceDN w:val="0"/>
        <w:adjustRightInd w:val="0"/>
        <w:jc w:val="both"/>
        <w:rPr>
          <w:color w:val="000000" w:themeColor="text1"/>
          <w:sz w:val="16"/>
          <w:szCs w:val="16"/>
        </w:rPr>
      </w:pPr>
    </w:p>
    <w:p w14:paraId="3328261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64ABC1E" w14:textId="77777777" w:rsidR="00665165" w:rsidRPr="00F90EAE" w:rsidRDefault="00665165" w:rsidP="00F90EAE">
      <w:pPr>
        <w:autoSpaceDE w:val="0"/>
        <w:autoSpaceDN w:val="0"/>
        <w:adjustRightInd w:val="0"/>
        <w:jc w:val="both"/>
        <w:rPr>
          <w:iCs/>
          <w:color w:val="000000" w:themeColor="text1"/>
          <w:sz w:val="16"/>
          <w:szCs w:val="16"/>
        </w:rPr>
      </w:pPr>
    </w:p>
    <w:p w14:paraId="1C1F8A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Распоряжение ГКО № 8379. О порядке приема и доставки посылок от военнослужащих КБФ, Днепровской и Дунайской флотилии и ЧФ, находящихся за рубежом. РГАНИР, Фонд ГКО, д. 411, лл. 100-101 (11012).</w:t>
      </w:r>
    </w:p>
    <w:p w14:paraId="010BE5DC" w14:textId="77777777" w:rsidR="00665165" w:rsidRPr="00F90EAE" w:rsidRDefault="00665165" w:rsidP="00F90EAE">
      <w:pPr>
        <w:autoSpaceDE w:val="0"/>
        <w:autoSpaceDN w:val="0"/>
        <w:adjustRightInd w:val="0"/>
        <w:jc w:val="both"/>
        <w:rPr>
          <w:color w:val="000000" w:themeColor="text1"/>
          <w:sz w:val="16"/>
          <w:szCs w:val="16"/>
        </w:rPr>
      </w:pPr>
    </w:p>
    <w:p w14:paraId="407DD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8380 О вывозе 14 турбогенераторов общей мощностью 324 тысячи киловатт и 34 котлов с немецкой электростанции в г. Брисков и с немецких электростанций в районе г. Вены, а также разного оборудования из г. г. Кюстрин и Шверин. РГАНИР, Фонд ГКО, д. 411, лл. 10 (11012).</w:t>
      </w:r>
    </w:p>
    <w:p w14:paraId="3657D3EB" w14:textId="77777777" w:rsidR="00665165" w:rsidRPr="00F90EAE" w:rsidRDefault="00665165" w:rsidP="00F90EAE">
      <w:pPr>
        <w:autoSpaceDE w:val="0"/>
        <w:autoSpaceDN w:val="0"/>
        <w:adjustRightInd w:val="0"/>
        <w:jc w:val="both"/>
        <w:rPr>
          <w:color w:val="000000" w:themeColor="text1"/>
          <w:sz w:val="16"/>
          <w:szCs w:val="16"/>
        </w:rPr>
      </w:pPr>
    </w:p>
    <w:p w14:paraId="6269C1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8381 О вывозе оборудования радиоцентров из районов городов Берлин, Науен и Целендорф. РГАНИР, Фонд ГКО, д. 411, лл. 106-107 (11012).</w:t>
      </w:r>
    </w:p>
    <w:p w14:paraId="0E341120" w14:textId="77777777" w:rsidR="00665165" w:rsidRPr="00F90EAE" w:rsidRDefault="00665165" w:rsidP="00F90EAE">
      <w:pPr>
        <w:autoSpaceDE w:val="0"/>
        <w:autoSpaceDN w:val="0"/>
        <w:adjustRightInd w:val="0"/>
        <w:jc w:val="both"/>
        <w:rPr>
          <w:color w:val="000000" w:themeColor="text1"/>
          <w:sz w:val="16"/>
          <w:szCs w:val="16"/>
        </w:rPr>
      </w:pPr>
    </w:p>
    <w:p w14:paraId="7E81C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8382 О вывозе оборудования по производству корпусов артиллерийских снарядов, деталей взрывателей и капсюльных втулок с немецкого завода фирмы "Христ и К" в г. Грюнберг (Нижняя Силезия). РГАНИР, Фонд ГКО, д. 411, лл. 108-109 (11012).</w:t>
      </w:r>
    </w:p>
    <w:p w14:paraId="52ED2E00" w14:textId="77777777" w:rsidR="00665165" w:rsidRPr="00F90EAE" w:rsidRDefault="00665165" w:rsidP="00F90EAE">
      <w:pPr>
        <w:autoSpaceDE w:val="0"/>
        <w:autoSpaceDN w:val="0"/>
        <w:adjustRightInd w:val="0"/>
        <w:jc w:val="both"/>
        <w:rPr>
          <w:color w:val="000000" w:themeColor="text1"/>
          <w:sz w:val="16"/>
          <w:szCs w:val="16"/>
        </w:rPr>
      </w:pPr>
    </w:p>
    <w:p w14:paraId="700A95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8383 О вывозе оборудования по производству корпусов снарядов и гильз завода немецкой фирмы "Густав Верке" в м. Хотенбурн (Австрия). РГАНИР, Фонд ГКО, д. 411, лл. 110-111 (11012).</w:t>
      </w:r>
    </w:p>
    <w:p w14:paraId="6128B22C" w14:textId="77777777" w:rsidR="00665165" w:rsidRPr="00F90EAE" w:rsidRDefault="00665165" w:rsidP="00F90EAE">
      <w:pPr>
        <w:autoSpaceDE w:val="0"/>
        <w:autoSpaceDN w:val="0"/>
        <w:adjustRightInd w:val="0"/>
        <w:jc w:val="both"/>
        <w:rPr>
          <w:color w:val="000000" w:themeColor="text1"/>
          <w:sz w:val="16"/>
          <w:szCs w:val="16"/>
        </w:rPr>
      </w:pPr>
    </w:p>
    <w:p w14:paraId="714822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8384 О вывозе оборудования установки по производству ТЭН с завода "Нитрокемика" в м. Фюзфо (Венгрия). РГАНИР, Фонд ГКО, д. 411, лл. 112 (11012).</w:t>
      </w:r>
    </w:p>
    <w:p w14:paraId="7768B36C" w14:textId="77777777" w:rsidR="00665165" w:rsidRPr="00F90EAE" w:rsidRDefault="00665165" w:rsidP="00F90EAE">
      <w:pPr>
        <w:autoSpaceDE w:val="0"/>
        <w:autoSpaceDN w:val="0"/>
        <w:adjustRightInd w:val="0"/>
        <w:jc w:val="both"/>
        <w:rPr>
          <w:color w:val="000000" w:themeColor="text1"/>
          <w:sz w:val="16"/>
          <w:szCs w:val="16"/>
        </w:rPr>
      </w:pPr>
    </w:p>
    <w:p w14:paraId="06B83A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8385 О вывозе оборудования по производству снарядных гильз завода акционерного общества "Экцельметаллверке" в местечке Экцельфельдорф (Австрия). РГАНИР, Фонд ГКО, д. 411, лл. 113-114 (11012).</w:t>
      </w:r>
    </w:p>
    <w:p w14:paraId="64AE3131" w14:textId="77777777" w:rsidR="00665165" w:rsidRPr="00F90EAE" w:rsidRDefault="00665165" w:rsidP="00F90EAE">
      <w:pPr>
        <w:autoSpaceDE w:val="0"/>
        <w:autoSpaceDN w:val="0"/>
        <w:adjustRightInd w:val="0"/>
        <w:jc w:val="both"/>
        <w:rPr>
          <w:color w:val="000000" w:themeColor="text1"/>
          <w:sz w:val="16"/>
          <w:szCs w:val="16"/>
        </w:rPr>
      </w:pPr>
    </w:p>
    <w:p w14:paraId="09A20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8386 4 мая 1945 вышло Постановление ГКО О вывозе оборудования по производству патронов с немецкого завода фирмы "Густав Верке" в м. Хиртемберг (Австрия). РГАНИР, Фонд ГКО, д. 411, лл. 115 (11012).</w:t>
      </w:r>
    </w:p>
    <w:p w14:paraId="2795C109" w14:textId="77777777" w:rsidR="00665165" w:rsidRPr="00F90EAE" w:rsidRDefault="00665165" w:rsidP="00F90EAE">
      <w:pPr>
        <w:autoSpaceDE w:val="0"/>
        <w:autoSpaceDN w:val="0"/>
        <w:adjustRightInd w:val="0"/>
        <w:jc w:val="both"/>
        <w:rPr>
          <w:color w:val="000000" w:themeColor="text1"/>
          <w:sz w:val="16"/>
          <w:szCs w:val="16"/>
        </w:rPr>
      </w:pPr>
    </w:p>
    <w:p w14:paraId="371B3D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8387 О вывозе оборудования оптического завода фирмы "Герц" в г. Вена. РГАНИР, Фонд ГКО, д. 411, лл. 116 (11012).</w:t>
      </w:r>
    </w:p>
    <w:p w14:paraId="2B0014D3" w14:textId="77777777" w:rsidR="00665165" w:rsidRPr="00F90EAE" w:rsidRDefault="00665165" w:rsidP="00F90EAE">
      <w:pPr>
        <w:autoSpaceDE w:val="0"/>
        <w:autoSpaceDN w:val="0"/>
        <w:adjustRightInd w:val="0"/>
        <w:jc w:val="both"/>
        <w:rPr>
          <w:color w:val="000000" w:themeColor="text1"/>
          <w:sz w:val="16"/>
          <w:szCs w:val="16"/>
        </w:rPr>
      </w:pPr>
    </w:p>
    <w:p w14:paraId="3D2BA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8388 О вывозе оборудования с немецкого приборостроительного завода фирмы АЕГ в г. Глогау. РГАНИР, Фонд ГКО, д. 411, лл. 117-118 (11012).</w:t>
      </w:r>
    </w:p>
    <w:p w14:paraId="4E5BC871" w14:textId="77777777" w:rsidR="00665165" w:rsidRPr="00F90EAE" w:rsidRDefault="00665165" w:rsidP="00F90EAE">
      <w:pPr>
        <w:autoSpaceDE w:val="0"/>
        <w:autoSpaceDN w:val="0"/>
        <w:adjustRightInd w:val="0"/>
        <w:jc w:val="both"/>
        <w:rPr>
          <w:color w:val="000000" w:themeColor="text1"/>
          <w:sz w:val="16"/>
          <w:szCs w:val="16"/>
        </w:rPr>
      </w:pPr>
    </w:p>
    <w:p w14:paraId="322572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8389 О вывозе оборудования с заводов электротехнической промышленности в г. Вена на заводы Наркомэлектропрома. РГАНИР, Фонд ГКО, д. 411, лл. 119-120 (11012).</w:t>
      </w:r>
    </w:p>
    <w:p w14:paraId="61A509C8" w14:textId="77777777" w:rsidR="00665165" w:rsidRPr="00F90EAE" w:rsidRDefault="00665165" w:rsidP="00F90EAE">
      <w:pPr>
        <w:autoSpaceDE w:val="0"/>
        <w:autoSpaceDN w:val="0"/>
        <w:adjustRightInd w:val="0"/>
        <w:jc w:val="both"/>
        <w:rPr>
          <w:color w:val="000000" w:themeColor="text1"/>
          <w:sz w:val="16"/>
          <w:szCs w:val="16"/>
        </w:rPr>
      </w:pPr>
    </w:p>
    <w:p w14:paraId="137533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8390 О вывозе оборудования Венского государственного картографического института в гор. Вена. РГАНИР, Фонд ГКО, д. 411, лл. 121 (11012).</w:t>
      </w:r>
    </w:p>
    <w:p w14:paraId="12492451" w14:textId="77777777" w:rsidR="00665165" w:rsidRPr="00F90EAE" w:rsidRDefault="00665165" w:rsidP="00F90EAE">
      <w:pPr>
        <w:autoSpaceDE w:val="0"/>
        <w:autoSpaceDN w:val="0"/>
        <w:adjustRightInd w:val="0"/>
        <w:jc w:val="both"/>
        <w:rPr>
          <w:color w:val="000000" w:themeColor="text1"/>
          <w:sz w:val="16"/>
          <w:szCs w:val="16"/>
        </w:rPr>
      </w:pPr>
    </w:p>
    <w:p w14:paraId="1B02DF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8392 О вывозе металлообрабатывающих станков из немецких мастерских в городах Фридсберг, Драмбург, Шлоппе, Витц , Кюстрин. РГАНИР, Фонд ГКО, д. 411, лл. 125-126 (11012).</w:t>
      </w:r>
    </w:p>
    <w:p w14:paraId="5848651E" w14:textId="77777777" w:rsidR="00665165" w:rsidRPr="00F90EAE" w:rsidRDefault="00665165" w:rsidP="00F90EAE">
      <w:pPr>
        <w:autoSpaceDE w:val="0"/>
        <w:autoSpaceDN w:val="0"/>
        <w:adjustRightInd w:val="0"/>
        <w:jc w:val="both"/>
        <w:rPr>
          <w:color w:val="000000" w:themeColor="text1"/>
          <w:sz w:val="16"/>
          <w:szCs w:val="16"/>
        </w:rPr>
      </w:pPr>
    </w:p>
    <w:p w14:paraId="6C5C1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8393 О вывозе оборудования цеха по обработке коленчатых валов мотора типа "Майбах" м. Штабельвиц (Германия). РГАНИР, Фонд ГКО, д. 411, лл. 127-128 (11012).</w:t>
      </w:r>
    </w:p>
    <w:p w14:paraId="2321FB7F" w14:textId="77777777" w:rsidR="00665165" w:rsidRPr="00F90EAE" w:rsidRDefault="00665165" w:rsidP="00F90EAE">
      <w:pPr>
        <w:autoSpaceDE w:val="0"/>
        <w:autoSpaceDN w:val="0"/>
        <w:adjustRightInd w:val="0"/>
        <w:jc w:val="both"/>
        <w:rPr>
          <w:color w:val="000000" w:themeColor="text1"/>
          <w:sz w:val="16"/>
          <w:szCs w:val="16"/>
        </w:rPr>
      </w:pPr>
    </w:p>
    <w:p w14:paraId="69B9F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8395 О вывозе оборудования с немецкого ферросплавного завода общества "Александр Вагнер" в г. Крафтборн". РГАНИР, Фонд ГКО, д. 411, лл. 132-133 (11012).</w:t>
      </w:r>
    </w:p>
    <w:p w14:paraId="1F4479DC" w14:textId="77777777" w:rsidR="00665165" w:rsidRPr="00F90EAE" w:rsidRDefault="00665165" w:rsidP="00F90EAE">
      <w:pPr>
        <w:autoSpaceDE w:val="0"/>
        <w:autoSpaceDN w:val="0"/>
        <w:adjustRightInd w:val="0"/>
        <w:jc w:val="both"/>
        <w:rPr>
          <w:color w:val="000000" w:themeColor="text1"/>
          <w:sz w:val="16"/>
          <w:szCs w:val="16"/>
        </w:rPr>
      </w:pPr>
    </w:p>
    <w:p w14:paraId="2103BB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8396 О вывозе оборудования с немецких предприятий в г. г. Козель, Вена и в населенном пункте Шпидефельд (район г. Бреслау) на заводы Наркомтяжмаша. РГАНИР, Фонд ГКО, д. 411, лл. 134-135 (11012).</w:t>
      </w:r>
    </w:p>
    <w:p w14:paraId="27380C2C" w14:textId="77777777" w:rsidR="00665165" w:rsidRPr="00F90EAE" w:rsidRDefault="00665165" w:rsidP="00F90EAE">
      <w:pPr>
        <w:autoSpaceDE w:val="0"/>
        <w:autoSpaceDN w:val="0"/>
        <w:adjustRightInd w:val="0"/>
        <w:jc w:val="both"/>
        <w:rPr>
          <w:color w:val="000000" w:themeColor="text1"/>
          <w:sz w:val="16"/>
          <w:szCs w:val="16"/>
        </w:rPr>
      </w:pPr>
    </w:p>
    <w:p w14:paraId="2C37B3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8397 О вывозе оборудования по выработке криптоно-ксенонового газа с филиала завода"Тунгсрам" в г. Айко (Венгрия). РГАНИР, Фонд ГКО, д. 411, лл. 136 (11012).</w:t>
      </w:r>
    </w:p>
    <w:p w14:paraId="6FF1D696" w14:textId="77777777" w:rsidR="00665165" w:rsidRPr="00F90EAE" w:rsidRDefault="00665165" w:rsidP="00F90EAE">
      <w:pPr>
        <w:autoSpaceDE w:val="0"/>
        <w:autoSpaceDN w:val="0"/>
        <w:adjustRightInd w:val="0"/>
        <w:jc w:val="both"/>
        <w:rPr>
          <w:color w:val="000000" w:themeColor="text1"/>
          <w:sz w:val="16"/>
          <w:szCs w:val="16"/>
        </w:rPr>
      </w:pPr>
    </w:p>
    <w:p w14:paraId="2BC228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8398 О вывозе оборудования завода резиновой обуви и резиновых технических изделий фирмы "Семперит" из г. Бимпасинг (Австрия). РГАНИР, Фонд ГКО, д. 411, лл. 137-138 (11012).</w:t>
      </w:r>
    </w:p>
    <w:p w14:paraId="52A471D4" w14:textId="77777777" w:rsidR="00665165" w:rsidRPr="00F90EAE" w:rsidRDefault="00665165" w:rsidP="00F90EAE">
      <w:pPr>
        <w:autoSpaceDE w:val="0"/>
        <w:autoSpaceDN w:val="0"/>
        <w:adjustRightInd w:val="0"/>
        <w:jc w:val="both"/>
        <w:rPr>
          <w:color w:val="000000" w:themeColor="text1"/>
          <w:sz w:val="16"/>
          <w:szCs w:val="16"/>
        </w:rPr>
      </w:pPr>
    </w:p>
    <w:p w14:paraId="09AFA9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8399 О вывозе немецкого оборудования смолоперегонного завода фирмы "Оберхюттен" при заводе "Доннерсмаркхютте" в г. Гинденбург. РГАНИР, Фонд ГКО, д. 411, лл. 139-140 (11012).</w:t>
      </w:r>
    </w:p>
    <w:p w14:paraId="330D65FB" w14:textId="77777777" w:rsidR="00665165" w:rsidRPr="00F90EAE" w:rsidRDefault="00665165" w:rsidP="00F90EAE">
      <w:pPr>
        <w:autoSpaceDE w:val="0"/>
        <w:autoSpaceDN w:val="0"/>
        <w:adjustRightInd w:val="0"/>
        <w:jc w:val="both"/>
        <w:rPr>
          <w:color w:val="000000" w:themeColor="text1"/>
          <w:sz w:val="16"/>
          <w:szCs w:val="16"/>
        </w:rPr>
      </w:pPr>
    </w:p>
    <w:p w14:paraId="240E2B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8400 О вывозе оборудования и готовой продукции с насосного завода "Гарвенсверке Пумпен унд Машинен фабрик" немецкой фирмы "Веркзейнганг унд Варен Юбернахлес" в г. Вена. РГАНИР, Фонд ГКО, д. 411, лл. 141-142 (11012).</w:t>
      </w:r>
    </w:p>
    <w:p w14:paraId="4EBA98FF" w14:textId="77777777" w:rsidR="00665165" w:rsidRPr="00F90EAE" w:rsidRDefault="00665165" w:rsidP="00F90EAE">
      <w:pPr>
        <w:autoSpaceDE w:val="0"/>
        <w:autoSpaceDN w:val="0"/>
        <w:adjustRightInd w:val="0"/>
        <w:jc w:val="both"/>
        <w:rPr>
          <w:color w:val="000000" w:themeColor="text1"/>
          <w:sz w:val="16"/>
          <w:szCs w:val="16"/>
        </w:rPr>
      </w:pPr>
    </w:p>
    <w:p w14:paraId="678C53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8401 О вывозе оборудования с завода фирмы "Симеринг" в г. Вена. РГАНИР, Фонд ГКО, д. 411, лл. 143-144 (11012).</w:t>
      </w:r>
    </w:p>
    <w:p w14:paraId="0D774E78" w14:textId="77777777" w:rsidR="00665165" w:rsidRPr="00F90EAE" w:rsidRDefault="00665165" w:rsidP="00F90EAE">
      <w:pPr>
        <w:autoSpaceDE w:val="0"/>
        <w:autoSpaceDN w:val="0"/>
        <w:adjustRightInd w:val="0"/>
        <w:jc w:val="both"/>
        <w:rPr>
          <w:color w:val="000000" w:themeColor="text1"/>
          <w:sz w:val="16"/>
          <w:szCs w:val="16"/>
        </w:rPr>
      </w:pPr>
    </w:p>
    <w:p w14:paraId="3509F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8402 О вывозе оборудования с немецкого мостостроительного завода "Фон-Шамио" в г. Вена. РГАНИР, Фонд ГКО, д. 411, лл. 145 (11012).</w:t>
      </w:r>
    </w:p>
    <w:p w14:paraId="5B1B4499" w14:textId="77777777" w:rsidR="00665165" w:rsidRPr="00F90EAE" w:rsidRDefault="00665165" w:rsidP="00F90EAE">
      <w:pPr>
        <w:autoSpaceDE w:val="0"/>
        <w:autoSpaceDN w:val="0"/>
        <w:adjustRightInd w:val="0"/>
        <w:jc w:val="both"/>
        <w:rPr>
          <w:color w:val="000000" w:themeColor="text1"/>
          <w:sz w:val="16"/>
          <w:szCs w:val="16"/>
        </w:rPr>
      </w:pPr>
    </w:p>
    <w:p w14:paraId="40239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8404 О вывозе 300 электромоторов с завода фирмы "Мадьяр Броун Бовери" в г. Будапешт. РГАНИР, Фонд ГКО, д. 411, лл. 147 (11012).</w:t>
      </w:r>
    </w:p>
    <w:p w14:paraId="30B21CD3" w14:textId="77777777" w:rsidR="00665165" w:rsidRPr="00F90EAE" w:rsidRDefault="00665165" w:rsidP="00F90EAE">
      <w:pPr>
        <w:autoSpaceDE w:val="0"/>
        <w:autoSpaceDN w:val="0"/>
        <w:adjustRightInd w:val="0"/>
        <w:jc w:val="both"/>
        <w:rPr>
          <w:color w:val="000000" w:themeColor="text1"/>
          <w:sz w:val="16"/>
          <w:szCs w:val="16"/>
        </w:rPr>
      </w:pPr>
    </w:p>
    <w:p w14:paraId="3C089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8405 О вывозе оборудования военного телефоно-телеграфного узла связи из района г. Визенталь (Германия). РГАНИР, Фонд ГКО, д. 411, лл. 148 (11012).</w:t>
      </w:r>
    </w:p>
    <w:p w14:paraId="300EC4CE" w14:textId="77777777" w:rsidR="00665165" w:rsidRPr="00F90EAE" w:rsidRDefault="00665165" w:rsidP="00F90EAE">
      <w:pPr>
        <w:autoSpaceDE w:val="0"/>
        <w:autoSpaceDN w:val="0"/>
        <w:adjustRightInd w:val="0"/>
        <w:jc w:val="both"/>
        <w:rPr>
          <w:color w:val="000000" w:themeColor="text1"/>
          <w:sz w:val="16"/>
          <w:szCs w:val="16"/>
        </w:rPr>
      </w:pPr>
    </w:p>
    <w:p w14:paraId="41A0D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8406 О вывозе полиграфического оборудования с немецких типографий в Восточной Пруссии, Померании, Бранденбурге и Верхней Силезии. РГАНИР, Фонд ГКО, д. 411, лл. 149-152 (11012).</w:t>
      </w:r>
    </w:p>
    <w:p w14:paraId="5209C408" w14:textId="77777777" w:rsidR="00665165" w:rsidRPr="00F90EAE" w:rsidRDefault="00665165" w:rsidP="00F90EAE">
      <w:pPr>
        <w:autoSpaceDE w:val="0"/>
        <w:autoSpaceDN w:val="0"/>
        <w:adjustRightInd w:val="0"/>
        <w:jc w:val="both"/>
        <w:rPr>
          <w:color w:val="000000" w:themeColor="text1"/>
          <w:sz w:val="16"/>
          <w:szCs w:val="16"/>
        </w:rPr>
      </w:pPr>
    </w:p>
    <w:p w14:paraId="5BB25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8407 О вывозе станочного оборудования с заводов "Георг Швабе" и "Анкер Верке" в г. Бяло для сланцехимической промышленности Эстонской ССР. РГАНИР, Фонд ГКО, д. 411, лл. 153 (11012).</w:t>
      </w:r>
    </w:p>
    <w:p w14:paraId="631F71E4" w14:textId="77777777" w:rsidR="00665165" w:rsidRPr="00F90EAE" w:rsidRDefault="00665165" w:rsidP="00F90EAE">
      <w:pPr>
        <w:autoSpaceDE w:val="0"/>
        <w:autoSpaceDN w:val="0"/>
        <w:adjustRightInd w:val="0"/>
        <w:jc w:val="both"/>
        <w:rPr>
          <w:color w:val="000000" w:themeColor="text1"/>
          <w:sz w:val="16"/>
          <w:szCs w:val="16"/>
        </w:rPr>
      </w:pPr>
    </w:p>
    <w:p w14:paraId="48611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8408 О вывозе оборудования, сырья и готовой продукции немецких маргаринового и консервного заводов в г. Вена на заводы Наркомпищепрома СССР. РГАНИР, Фонд ГКО, д. 411, лл. 154-155 (11012).</w:t>
      </w:r>
    </w:p>
    <w:p w14:paraId="4F823832" w14:textId="77777777" w:rsidR="00665165" w:rsidRPr="00F90EAE" w:rsidRDefault="00665165" w:rsidP="00F90EAE">
      <w:pPr>
        <w:autoSpaceDE w:val="0"/>
        <w:autoSpaceDN w:val="0"/>
        <w:adjustRightInd w:val="0"/>
        <w:jc w:val="both"/>
        <w:rPr>
          <w:color w:val="000000" w:themeColor="text1"/>
          <w:sz w:val="16"/>
          <w:szCs w:val="16"/>
        </w:rPr>
      </w:pPr>
    </w:p>
    <w:p w14:paraId="51B2C3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8409 О вывозе оборудования с 8 сахарных, 4 пивоваренных, консервного, 3 спиртовых, винодельческого, крахмало-паточного заводов и с завода сушеных картофельных хлопьев в г. г. Оппельн, Гинденбург, Беутен, Глейвиц, Гайнау, Пархыше, Дейч-Эйлау (11012).</w:t>
      </w:r>
    </w:p>
    <w:p w14:paraId="52052648" w14:textId="77777777" w:rsidR="00665165" w:rsidRPr="00F90EAE" w:rsidRDefault="00665165" w:rsidP="00F90EAE">
      <w:pPr>
        <w:autoSpaceDE w:val="0"/>
        <w:autoSpaceDN w:val="0"/>
        <w:adjustRightInd w:val="0"/>
        <w:jc w:val="both"/>
        <w:rPr>
          <w:color w:val="000000" w:themeColor="text1"/>
          <w:sz w:val="16"/>
          <w:szCs w:val="16"/>
        </w:rPr>
      </w:pPr>
    </w:p>
    <w:p w14:paraId="2A9A70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8410 О вывозе оборудования с немецких стеклотарного завода фирмы "Приворски", машиностроительного завода фирмы "Вейгель-Верке" и ремонтно-механического завода фирмы "Гааке". РГАНИР, Фонд ГКО, д. 411, лл. 163-164 (11012).</w:t>
      </w:r>
    </w:p>
    <w:p w14:paraId="01CC388C" w14:textId="77777777" w:rsidR="00665165" w:rsidRPr="00F90EAE" w:rsidRDefault="00665165" w:rsidP="00F90EAE">
      <w:pPr>
        <w:autoSpaceDE w:val="0"/>
        <w:autoSpaceDN w:val="0"/>
        <w:adjustRightInd w:val="0"/>
        <w:jc w:val="both"/>
        <w:rPr>
          <w:color w:val="000000" w:themeColor="text1"/>
          <w:sz w:val="16"/>
          <w:szCs w:val="16"/>
        </w:rPr>
      </w:pPr>
    </w:p>
    <w:p w14:paraId="12A1F9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8411 Об организации вывоза в Советский Союз оборудования с промышленных предприятий Берлина. РГАНИР, Фонд ГКО, д. 411, лл. 165 (11012).</w:t>
      </w:r>
    </w:p>
    <w:p w14:paraId="6AF9D883" w14:textId="77777777" w:rsidR="00665165" w:rsidRPr="00F90EAE" w:rsidRDefault="00665165" w:rsidP="00F90EAE">
      <w:pPr>
        <w:autoSpaceDE w:val="0"/>
        <w:autoSpaceDN w:val="0"/>
        <w:adjustRightInd w:val="0"/>
        <w:jc w:val="both"/>
        <w:rPr>
          <w:color w:val="000000" w:themeColor="text1"/>
          <w:sz w:val="16"/>
          <w:szCs w:val="16"/>
        </w:rPr>
      </w:pPr>
    </w:p>
    <w:p w14:paraId="0DF407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8412 О вывозе строительных машин, силового, транспортного и станочного оборудования и материалов с немецкого склада на базу Наркомстроя. РГАНИР, Фонд ГКО, д. 411, лл. 166-167 (11012).</w:t>
      </w:r>
    </w:p>
    <w:p w14:paraId="65D6B1CA" w14:textId="77777777" w:rsidR="00665165" w:rsidRPr="00F90EAE" w:rsidRDefault="00665165" w:rsidP="00F90EAE">
      <w:pPr>
        <w:autoSpaceDE w:val="0"/>
        <w:autoSpaceDN w:val="0"/>
        <w:adjustRightInd w:val="0"/>
        <w:jc w:val="both"/>
        <w:rPr>
          <w:color w:val="000000" w:themeColor="text1"/>
          <w:sz w:val="16"/>
          <w:szCs w:val="16"/>
        </w:rPr>
      </w:pPr>
    </w:p>
    <w:p w14:paraId="786F72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8413 О вывозе оборудования с немецких заводов в городах Грюнберг, Зарау на предприятия Наркомугля. РГАНИР, Фонд ГКО, д. 411, лл. 168 (11012).</w:t>
      </w:r>
    </w:p>
    <w:p w14:paraId="668BED62" w14:textId="77777777" w:rsidR="00665165" w:rsidRPr="00F90EAE" w:rsidRDefault="00665165" w:rsidP="00F90EAE">
      <w:pPr>
        <w:autoSpaceDE w:val="0"/>
        <w:autoSpaceDN w:val="0"/>
        <w:adjustRightInd w:val="0"/>
        <w:jc w:val="both"/>
        <w:rPr>
          <w:color w:val="000000" w:themeColor="text1"/>
          <w:sz w:val="16"/>
          <w:szCs w:val="16"/>
        </w:rPr>
      </w:pPr>
    </w:p>
    <w:p w14:paraId="211EC3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8414 О вывозе оборудования механической мастерской "Крушель-Герке" в г. Ландсберг. РГАНИР, Фонд ГКО, д. 411, лл. 169 (11012).</w:t>
      </w:r>
    </w:p>
    <w:p w14:paraId="343B61D2" w14:textId="77777777" w:rsidR="00665165" w:rsidRPr="00F90EAE" w:rsidRDefault="00665165" w:rsidP="00F90EAE">
      <w:pPr>
        <w:autoSpaceDE w:val="0"/>
        <w:autoSpaceDN w:val="0"/>
        <w:adjustRightInd w:val="0"/>
        <w:jc w:val="both"/>
        <w:rPr>
          <w:color w:val="000000" w:themeColor="text1"/>
          <w:sz w:val="16"/>
          <w:szCs w:val="16"/>
        </w:rPr>
      </w:pPr>
    </w:p>
    <w:p w14:paraId="652484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8415 О вывозе оборудования с незаконченного строительством завода фирмы "Кнапе" в г. Каллис и с мастерской конструкторского бюро фирмы "Раймунд Вегерер" в городе Драмбург. РГАНИР, Фонд ГКО, д. 411, лл. 170-171 (11012).</w:t>
      </w:r>
    </w:p>
    <w:p w14:paraId="44FB8906" w14:textId="77777777" w:rsidR="00665165" w:rsidRPr="00F90EAE" w:rsidRDefault="00665165" w:rsidP="00F90EAE">
      <w:pPr>
        <w:autoSpaceDE w:val="0"/>
        <w:autoSpaceDN w:val="0"/>
        <w:adjustRightInd w:val="0"/>
        <w:jc w:val="both"/>
        <w:rPr>
          <w:color w:val="000000" w:themeColor="text1"/>
          <w:sz w:val="16"/>
          <w:szCs w:val="16"/>
        </w:rPr>
      </w:pPr>
    </w:p>
    <w:p w14:paraId="00C48E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8416 О вывозе оборудования, сырья и материалов с 3 обувных, 3 кожевенных, трикотажного, шорно-галантерейного и щетино-щеточного немецких предприятий. РГАНИР, Фонд ГКО, д. 411, лл. 172-173, 174 (11012).</w:t>
      </w:r>
    </w:p>
    <w:p w14:paraId="0F945275" w14:textId="77777777" w:rsidR="00665165" w:rsidRPr="00F90EAE" w:rsidRDefault="00665165" w:rsidP="00F90EAE">
      <w:pPr>
        <w:autoSpaceDE w:val="0"/>
        <w:autoSpaceDN w:val="0"/>
        <w:adjustRightInd w:val="0"/>
        <w:jc w:val="both"/>
        <w:rPr>
          <w:color w:val="000000" w:themeColor="text1"/>
          <w:sz w:val="16"/>
          <w:szCs w:val="16"/>
        </w:rPr>
      </w:pPr>
    </w:p>
    <w:p w14:paraId="482BF9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8417 О вывозе оборудования с механической мастерской "Габридер Кюн" и завода фирмы "Цетлин". РГАНИР, Фонд ГКО, д. 411, лл. 175 (11012).</w:t>
      </w:r>
    </w:p>
    <w:p w14:paraId="5A05A157" w14:textId="77777777" w:rsidR="00665165" w:rsidRPr="00F90EAE" w:rsidRDefault="00665165" w:rsidP="00F90EAE">
      <w:pPr>
        <w:autoSpaceDE w:val="0"/>
        <w:autoSpaceDN w:val="0"/>
        <w:adjustRightInd w:val="0"/>
        <w:jc w:val="both"/>
        <w:rPr>
          <w:color w:val="000000" w:themeColor="text1"/>
          <w:sz w:val="16"/>
          <w:szCs w:val="16"/>
        </w:rPr>
      </w:pPr>
    </w:p>
    <w:p w14:paraId="250B78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8418 О вывозе оборудования с немецких шарикоподшипниковых заводов в г. Заган и Лангенау. РГАНИР, Фонд ГКО, д. 411, лл. 176-177 (11012).</w:t>
      </w:r>
    </w:p>
    <w:p w14:paraId="44203D50" w14:textId="77777777" w:rsidR="00665165" w:rsidRPr="00F90EAE" w:rsidRDefault="00665165" w:rsidP="00F90EAE">
      <w:pPr>
        <w:autoSpaceDE w:val="0"/>
        <w:autoSpaceDN w:val="0"/>
        <w:adjustRightInd w:val="0"/>
        <w:jc w:val="both"/>
        <w:rPr>
          <w:color w:val="000000" w:themeColor="text1"/>
          <w:sz w:val="16"/>
          <w:szCs w:val="16"/>
        </w:rPr>
      </w:pPr>
    </w:p>
    <w:p w14:paraId="23DD0B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8419 О вывозе оборудования с немецкого судоремонтного завода фирмы "Пциласс" в г. Бриг и немецкого механического завода "Хоппа" в г. Прейс ФридлянРГАНИР, Фонд ГКО, д. РГАНИР, Фонд ГКО, д. 411, лл. 178-179 (11012).</w:t>
      </w:r>
    </w:p>
    <w:p w14:paraId="71FE5F51" w14:textId="77777777" w:rsidR="00665165" w:rsidRPr="00F90EAE" w:rsidRDefault="00665165" w:rsidP="00F90EAE">
      <w:pPr>
        <w:autoSpaceDE w:val="0"/>
        <w:autoSpaceDN w:val="0"/>
        <w:adjustRightInd w:val="0"/>
        <w:jc w:val="both"/>
        <w:rPr>
          <w:color w:val="000000" w:themeColor="text1"/>
          <w:sz w:val="16"/>
          <w:szCs w:val="16"/>
        </w:rPr>
      </w:pPr>
    </w:p>
    <w:p w14:paraId="469BA5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8420 О вывозе с трофейных складов при станции Грошевиц (Германия) линейно-строительных материалов связи и 10 пожарных автомашин со 2-го Украинского фронта в г. Ленинград . РГАНИР, Фонд ГКО, д. 411, лл. 180 (11012).</w:t>
      </w:r>
    </w:p>
    <w:p w14:paraId="5C3A6179" w14:textId="77777777" w:rsidR="00665165" w:rsidRPr="00F90EAE" w:rsidRDefault="00665165" w:rsidP="00F90EAE">
      <w:pPr>
        <w:autoSpaceDE w:val="0"/>
        <w:autoSpaceDN w:val="0"/>
        <w:adjustRightInd w:val="0"/>
        <w:jc w:val="both"/>
        <w:rPr>
          <w:color w:val="000000" w:themeColor="text1"/>
          <w:sz w:val="16"/>
          <w:szCs w:val="16"/>
        </w:rPr>
      </w:pPr>
    </w:p>
    <w:p w14:paraId="46BA45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8421 О вывозе оборудования с немецкого сульфат-целлюлозного завода в районе г. Леден. РГАНИР, Фонд ГКО, д. 411, лл. 181-182 (11012).</w:t>
      </w:r>
    </w:p>
    <w:p w14:paraId="72F646B3" w14:textId="77777777" w:rsidR="00665165" w:rsidRPr="00F90EAE" w:rsidRDefault="00665165" w:rsidP="00F90EAE">
      <w:pPr>
        <w:autoSpaceDE w:val="0"/>
        <w:autoSpaceDN w:val="0"/>
        <w:adjustRightInd w:val="0"/>
        <w:jc w:val="both"/>
        <w:rPr>
          <w:color w:val="000000" w:themeColor="text1"/>
          <w:sz w:val="16"/>
          <w:szCs w:val="16"/>
        </w:rPr>
      </w:pPr>
    </w:p>
    <w:p w14:paraId="6D032D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8422 О вывозе оборудования с завода "Остмарк" в г. Цанов и запасных частей к тракторам и сельхозмашинам со складов в г. Бунцлау. РГАНИР, Фонд ГКО, д. 411, лл. 183-184 (11012).</w:t>
      </w:r>
    </w:p>
    <w:p w14:paraId="2DEAC8A3" w14:textId="77777777" w:rsidR="00665165" w:rsidRPr="00F90EAE" w:rsidRDefault="00665165" w:rsidP="00F90EAE">
      <w:pPr>
        <w:autoSpaceDE w:val="0"/>
        <w:autoSpaceDN w:val="0"/>
        <w:adjustRightInd w:val="0"/>
        <w:jc w:val="both"/>
        <w:rPr>
          <w:color w:val="000000" w:themeColor="text1"/>
          <w:sz w:val="16"/>
          <w:szCs w:val="16"/>
        </w:rPr>
      </w:pPr>
    </w:p>
    <w:p w14:paraId="231FE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4 мая 1945 группа Кикоина посетила Кайзер-институт, который в основном был эвакуирован в Западную Германию (в Тюрингию) ещё в феврале, хотя здание Института уцелело. В качестве зам. директора там остался [Людвиг] Бевилогуа, охранявший жалкие остатки оборудования.</w:t>
      </w:r>
    </w:p>
    <w:p w14:paraId="193FD37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„Он нас встретил. Я-то его знал, а ему-то фамилию мою не называли, естественно… Мы были в полковничьих формах. Я попросил, чтобы он показал нам секретные сейфы. Я, правда, мало надеялся, что он покажет их. Конечно, они уничтожены. Однако оказалось, что он не уничтожил. Он нам отдал ключи и показал, где находятся сейфы секретные. Мы их вскрыли. Они набиты были документами, и ничего не было уничтожено. Мы спросили: „Почему не уничтожены сейфы?“ Он сказал, что получил указание такое, что сейф[ы] уничтожить либо по прямому указанию по радио, которое он должен получить, либо придёт с соответствующим паролем человек, который даст ему указание уничтожить сейфы, [и заключил]: „Ни того, ни другого нет, и поэтому сейфы я не уничтожил, не имел право уничтожить сейфы“.</w:t>
      </w:r>
    </w:p>
    <w:p w14:paraId="40A1173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Несмотря на то, что армия вошла в Берлин, он сейфы так и не уничтожил… с немецкой аккуратностью. Но, правда, Институт-то был эвакуирован почти весь, там уже мало что сохранилось. Остался он и несколько сотрудников второстепенных… Но документы остались все!“ </w:t>
      </w:r>
    </w:p>
    <w:p w14:paraId="7F0534C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„Среди секретных документов, — продолжает Кикоин, — мы нашли урановый проект. Мы не ошиблись, действительно Кайзер-институт был основным в этой проблеме. По просмотренным документам нам стало ясно, что немцы нас не обогнали, напротив, — они в интересующих нас вопросах находились на очень низком научно-техническом уровне. Правда, они экспериментально наблюдали начало цепной реакции (размножение нейтронов). В качестве замедлителя они использовали тяжёлую воду, которую получали из Норвегии. Мы обнаружили два пятилитровых бидона с тяжёлой водой, на которых были этикетки с надписью „Norsk Hydro“. Там же мы нашли некоторое количество металлического урана и несколько килограммов окиси урана. </w:t>
      </w:r>
    </w:p>
    <w:p w14:paraId="05C7C52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Кое-что из оставшегося в Кайзер-институте оборудования мы демонтировали и отправили в Москву (электрощиты, приборы). Несколько весьма наивных установок для разделения изотопов мы также отправили в Москву… </w:t>
      </w:r>
    </w:p>
    <w:p w14:paraId="5BE2A4C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Судя по просмотренным документам, профессор Хартек в Гамбурге занимался центробежным методом разделения изотопов, но безуспешно. </w:t>
      </w:r>
    </w:p>
    <w:p w14:paraId="20D78689"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Мы выполнили поручение Правительства и пригласили на работу в СССР профессоров [Густава] Герца, Манфреда фон Арденне и [Петера] Тиссена. Другая группа наших учёных привлекла профессора [Николауса] Риля, крупного специалиста по металлургии урана, и других известных немецких учёных.“ (11291).</w:t>
      </w:r>
    </w:p>
    <w:p w14:paraId="07510A5E" w14:textId="77777777" w:rsidR="00665165" w:rsidRPr="00F90EAE" w:rsidRDefault="00665165" w:rsidP="00F90EAE">
      <w:pPr>
        <w:autoSpaceDE w:val="0"/>
        <w:autoSpaceDN w:val="0"/>
        <w:adjustRightInd w:val="0"/>
        <w:jc w:val="both"/>
        <w:rPr>
          <w:bCs/>
          <w:color w:val="000000" w:themeColor="text1"/>
          <w:sz w:val="16"/>
          <w:szCs w:val="16"/>
        </w:rPr>
      </w:pPr>
    </w:p>
    <w:p w14:paraId="4B076E6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мая 1945 года вышел приказ № 184/0131/0231 НКВ, Наркомата судостроительной промышленности, Наркомата ВМФ</w:t>
      </w:r>
    </w:p>
    <w:p w14:paraId="7723060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ГОКО № 7739сс от 8 марта 1945 года об организации в системе НКВ Морского артиллерийского центрального КБ и объединения в нем проектирования морской корабельной и береговой артиллерии (6447, 70).</w:t>
      </w:r>
    </w:p>
    <w:p w14:paraId="15AA7B7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4EED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6F56CB8" w14:textId="77777777" w:rsidR="00665165" w:rsidRPr="00F90EAE" w:rsidRDefault="00665165" w:rsidP="00F90EAE">
      <w:pPr>
        <w:autoSpaceDE w:val="0"/>
        <w:autoSpaceDN w:val="0"/>
        <w:adjustRightInd w:val="0"/>
        <w:jc w:val="both"/>
        <w:rPr>
          <w:iCs/>
          <w:color w:val="000000" w:themeColor="text1"/>
          <w:sz w:val="16"/>
          <w:szCs w:val="16"/>
        </w:rPr>
      </w:pPr>
    </w:p>
    <w:p w14:paraId="60589773" w14:textId="77777777" w:rsidR="008108C0" w:rsidRPr="00F90EAE" w:rsidRDefault="008108C0" w:rsidP="00F90EAE">
      <w:pPr>
        <w:jc w:val="both"/>
        <w:rPr>
          <w:color w:val="000000" w:themeColor="text1"/>
          <w:sz w:val="16"/>
          <w:szCs w:val="16"/>
        </w:rPr>
      </w:pPr>
      <w:r w:rsidRPr="00F90EAE">
        <w:rPr>
          <w:color w:val="000000" w:themeColor="text1"/>
          <w:sz w:val="16"/>
          <w:szCs w:val="16"/>
        </w:rPr>
        <w:t>4 мая в 1945 году оперативная сводка Совинформбюро:</w:t>
      </w:r>
    </w:p>
    <w:p w14:paraId="41B6F0FE"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 2-го Белорусского фронта, форсировав пролив Дивенов севернее Штеттина, овладели городом Воллин и заняли населённые пункты Люснов, Кертентин, Ярмбов, Кодрам, Реберг, Гросс и Клайн Мократц, Зольдемин. Севернее города Виттенберге войска фронта, продолжая наступление, заняли города Штернберг, Любц, Пархим, Грабов и крупные населённые пункты Дабель, Демен, Гольденбов, Радун, Шпорнитц, Бливенсторф, Цирцов, Ленцен.</w:t>
      </w:r>
    </w:p>
    <w:p w14:paraId="22480E6D" w14:textId="77777777" w:rsidR="008108C0" w:rsidRPr="00F90EAE" w:rsidRDefault="008108C0" w:rsidP="00F90EAE">
      <w:pPr>
        <w:jc w:val="both"/>
        <w:rPr>
          <w:color w:val="000000" w:themeColor="text1"/>
          <w:sz w:val="16"/>
          <w:szCs w:val="16"/>
        </w:rPr>
      </w:pPr>
      <w:r w:rsidRPr="00F90EAE">
        <w:rPr>
          <w:color w:val="000000" w:themeColor="text1"/>
          <w:sz w:val="16"/>
          <w:szCs w:val="16"/>
        </w:rPr>
        <w:t>За 3 мая войска фронта взяли в плен более 22.000 немецких солдат и офицеров и захватили на аэродромах 240 самолётов противника.</w:t>
      </w:r>
    </w:p>
    <w:p w14:paraId="415E3062"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 1-го Белорусского фронта, наступая южнее города Бранденбург, с боями заняли города Бельциг, Визенбург, Нимегк, Косвиг и крупные населённые пункты Геттин, Кране, Гольцов, Гребен, Герцке, Реетц. В боях за 3 мая войска фронта взяли в плен 23.700 немецких солдат и офицеров и захватили на аэродромах 57 самолётов противника. По дополнительным данным, в Берлине взяты в плен полицей-президент города Берлина генерал-лейтенант полиции Герум, начальник берлинской полиции генерал-майор полиции Хайнбург, начальник охраны имперской канцелярии бригадефюрер СС Монке, начальник санслужбы берлинского гарнизона генерал-майор медицинской службы Шрейбер, руководитель Красного Креста города Берлин и провинции Бранденбург генерал-лейтенант медицинской службы Брекенфельд, командир 18 мотодивизии генерал-майор Раух.</w:t>
      </w:r>
    </w:p>
    <w:p w14:paraId="5572EFB3"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в полосе Западных Карпат, с боями заняли город Вигштадтль (Витков) и крупные населённые пункты Пустейов, Мошнов, Брушперк, Домаславице, Остравице, Горная Бечва, Великие Карловице, Говези. В боях за 3 мая войска фронта взяли в плен болев 1.000 немецких солдат и офицеров.</w:t>
      </w:r>
    </w:p>
    <w:p w14:paraId="35628689"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Войсками 2-го Украинского фронта восточнее города Брно с боями заняты крупные населённые пункты Лужна, Поздехов, Ясенна, Визовице, Слушовице, Лужковице, Квасице, Тешновице, Важаны, Злобице, Крженовице.</w:t>
      </w:r>
    </w:p>
    <w:p w14:paraId="1FD00DD0" w14:textId="77777777" w:rsidR="008108C0" w:rsidRPr="00F90EAE" w:rsidRDefault="008108C0"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0BAEA873" w14:textId="77777777" w:rsidR="008108C0" w:rsidRPr="00F90EAE" w:rsidRDefault="008108C0" w:rsidP="00F90EAE">
      <w:pPr>
        <w:jc w:val="both"/>
        <w:rPr>
          <w:color w:val="000000" w:themeColor="text1"/>
          <w:sz w:val="16"/>
          <w:szCs w:val="16"/>
        </w:rPr>
      </w:pPr>
      <w:r w:rsidRPr="00F90EAE">
        <w:rPr>
          <w:color w:val="000000" w:themeColor="text1"/>
          <w:sz w:val="16"/>
          <w:szCs w:val="16"/>
        </w:rPr>
        <w:t>За 3 мая на всех фронтах подбито и уничтожено 50 немецких танков и самоходных орудий.</w:t>
      </w:r>
    </w:p>
    <w:p w14:paraId="46810CFB"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 2-го Белорусского фронта продолжали наступление. Севернее города Штеттин советские части переправились через пролив Дивенов и захватили плацдарм на острове Воллин. Немцы, стремясь отбросить нашли подразделения, предприняли одиннадцать контратак. Советские бойцы отразили вражеские контратаки и после упорных боёв овладели железнодорожной станцией и городом Воллин. Севернее города Виттенберге гитлеровцы, отступая под ударами наших войск, взрывают мосты и устраивают завалы на дорогах. Преодолевая на своём пути всевозможные препятствия, советские пехотинцы стремительно продвигаются вперед, громя колонны войск и гарнизоны опорных пунктов противника. Значительные группы немцев складывают оружие и сдаются в плен. На железнодорожных перегонах и станциях захвачено 110 паровозов и 4 тысячи железнодорожных вагонов.</w:t>
      </w:r>
    </w:p>
    <w:p w14:paraId="5FDBE4C7" w14:textId="77777777" w:rsidR="008108C0" w:rsidRPr="00F90EAE" w:rsidRDefault="008108C0" w:rsidP="00F90EAE">
      <w:pPr>
        <w:jc w:val="both"/>
        <w:rPr>
          <w:color w:val="000000" w:themeColor="text1"/>
          <w:sz w:val="16"/>
          <w:szCs w:val="16"/>
        </w:rPr>
      </w:pPr>
      <w:r w:rsidRPr="00F90EAE">
        <w:rPr>
          <w:color w:val="000000" w:themeColor="text1"/>
          <w:sz w:val="16"/>
          <w:szCs w:val="16"/>
        </w:rPr>
        <w:t>Южнее города Бранденбург войска 1-го Белорусского фронта вели наступательные бои. Советские части преодолели лесной массив и, продвинувшись на 20 километров по болотистой, изрезанной речками местности, овладели городом Бельциг — узлом железных и шоссейных дорог. Группы пехоты и танков противника пытались оказать сопротивление, но были рассеяны. Продолжая наступление, советские части выбили гитлеровцев из города Визенбург. В этом районе захвачены склады с военным имуществом немцев. На одном участке наши подвижные группы настигли вражескую колонну и в непродолжительном бою разгромили её. На дороге осталось свыше 600 трупов немецких солдат и офицеров. Остальные гитлеровцы сложили оружие и сдались в плен.</w:t>
      </w:r>
    </w:p>
    <w:p w14:paraId="11E4A034" w14:textId="77777777" w:rsidR="008108C0" w:rsidRPr="00F90EAE" w:rsidRDefault="008108C0"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Противник, закрепившись в горах, оказывает упорное сопротивление. Советские части обходят вражеские узлы сопротивления и громят их ударами с тыла и флангов. Прорвав промежуточный рубеж обороны немцев, наши войска в результате стремительной атаки, овладели городом Вигштадтль (Витков). Советские гвардейские части с боями продвинулись вперёд на 15 километров и выбили немцев из селения Горная Бечва, превращенного ими в укреплённый опорный пункт. В одном районе наши подразделения, совершив обходный манёвр, отрезали пути отхода немецкой части, отступавшей по узкой горной долине. Попытки гитлеровцев прорваться на запад успеха не имели. Советские бойцы разгромили немцев и захватили 8 танков, 19 орудий, 50 пулемётов и большой обоз с различными грузами.</w:t>
      </w:r>
    </w:p>
    <w:p w14:paraId="0AE2B2AD" w14:textId="77777777" w:rsidR="008108C0" w:rsidRPr="00F90EAE" w:rsidRDefault="008108C0" w:rsidP="00F90EAE">
      <w:pPr>
        <w:jc w:val="both"/>
        <w:rPr>
          <w:color w:val="000000" w:themeColor="text1"/>
          <w:sz w:val="16"/>
          <w:szCs w:val="16"/>
        </w:rPr>
      </w:pPr>
      <w:r w:rsidRPr="00F90EAE">
        <w:rPr>
          <w:color w:val="000000" w:themeColor="text1"/>
          <w:sz w:val="16"/>
          <w:szCs w:val="16"/>
        </w:rPr>
        <w:t>Восточнее города Брно наши войска с боями заняли несколько населенных пунктов. Гитлеровцы оказывают сильное огневое сопротивление и часто переходят в контратаки. Наши войска, наступающие по обеим сторонам реки Моравы, совершили обходный манёвр, овладели селением Крженовице и прижали противника к реке. В результате боя большая часть гитлеровцев, в том числе моторизованный полк СС, уничтожена. На месте боя осталось много вражеских трупов. Сожжено и подбито 16 танков и самоходных орудий противника.»</w:t>
      </w:r>
    </w:p>
    <w:p w14:paraId="35ED4AC6" w14:textId="77777777" w:rsidR="008108C0" w:rsidRPr="00F90EAE" w:rsidRDefault="008108C0" w:rsidP="00F90EAE">
      <w:pPr>
        <w:jc w:val="both"/>
        <w:rPr>
          <w:color w:val="000000" w:themeColor="text1"/>
          <w:sz w:val="16"/>
          <w:szCs w:val="16"/>
        </w:rPr>
      </w:pPr>
    </w:p>
    <w:p w14:paraId="6B5A6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года на летчики отправили на дно учебный броненосец "Шлезиен". Броненосец был главным кораблем эскадры, обстреливающей сухопутные части 2го Белорусского фронта в районе Свиноуйсце. Операция проходила следующим образом. Силы морской авиации были разделены на три отряда, причем основную роль играл первый отряд, а второй и третий должны были вылететь в том случае, если с первого раза не удастся поразить цель. Впервые, операцию координировали с воздуха. Для этого был организован наблюдательный пункт на борту одного из А-20 (2691). В состав первого отряда вошли 2 торпедоносца А-20ТО и 8 топмачтовиков А-20С из 51-го МТАП, 24 Ил-2 из 7-го ГШАП, а также 13 Як-9 из 21-го и 12-го ИАП. Командиром отряда стал капитан Ф.Н. Макарихин, расположившийся на командном А-20. В 11:30 первыми атаковали штурмовики, которые должны были подавить зенитную артиллерию эскадры. Но заметных результатов штурмовикам добиться не удалось. Из-за плотного огня противника и тумана в 11:39 лишь три бомбардировщика смогли сбросить бомбы. Броненосец получил прямое попадание одной ФАБ-500 или ФАБ-1000, которая снесла фокмачту (2691). В 16:40 атаковал второй отряд: 5 А-20С и А-200 лейтенанта А. Богачева, 16 Ил-2 капитана П.А. Гончарова и 16 Як-9. Результаты опять были неутешительными - лишь одна ФАБ-500 легла в непосредственной близости от борта. Александр Богачев докладывал, что немцы отчаянно маневрировали, стараясь уклониться от атаки. Однако в действительности "Шлезиен" не маневрировал! Накануне утром, в 02:00 броненосец наскочил на мину и потерял ход, в результате чего почти весь экипаж корабля к полудню эвакуировали. Тем не менее, командование флота считало броненосец основной целью, поэтому было решено нанести третий удар. На третий вылет отправились один торпедоносец, 4 топмачтовика и 16 Ил-2 в сопровождении 18 Як-9. Атаку провели в 20:03. По до несению, броненосец получил прямое попадание бомбой ФАБ-1000 или торпедой, хотя второй вариант маловероятен, поскольку на мелководье торпеды зарывались в грунт. Фотографии показывали, что "Шлезиен" сидит на мели на ровном днище. Следует подчеркнуть, что все налеты проводились на неподвижный корабль, сидевший на мели и не имевший на борту экипажа. Кроме броненосца, были потоплены два тральщика и средний миноносец. Потери советской стороны составили один Бостон и четыре Ил-2 (2691).</w:t>
      </w:r>
    </w:p>
    <w:p w14:paraId="0596AA64" w14:textId="77777777" w:rsidR="00665165" w:rsidRPr="00F90EAE" w:rsidRDefault="00665165" w:rsidP="00F90EAE">
      <w:pPr>
        <w:autoSpaceDE w:val="0"/>
        <w:autoSpaceDN w:val="0"/>
        <w:adjustRightInd w:val="0"/>
        <w:jc w:val="both"/>
        <w:rPr>
          <w:color w:val="000000" w:themeColor="text1"/>
          <w:sz w:val="16"/>
          <w:szCs w:val="16"/>
        </w:rPr>
      </w:pPr>
    </w:p>
    <w:p w14:paraId="00136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4 мая 1945 два торпедоносца А-20G, 8 топмачтовиков А-20ДО, 24 штурмовика Ил-2 и 13 истребителей Як-9 в районе Свенемюнде атаковали немецкую группу кораблей, включающую учебный линкор "Шлезиен", сильно досаждавший своими четырьмя 280-мм орудиями нашим войскам. Начали в 11730 штурмовики атаковав </w:t>
      </w:r>
      <w:r w:rsidRPr="00F90EAE">
        <w:rPr>
          <w:color w:val="000000" w:themeColor="text1"/>
          <w:sz w:val="16"/>
          <w:szCs w:val="16"/>
        </w:rPr>
        <w:lastRenderedPageBreak/>
        <w:t>штурмовики и эсминцы, зенитным огнем несколько было сбито. В 11.38 прошли торпедоносцы и топмачтовики. Не попали. Второй удар был в 16.30 и выполнялся одним торпедоносцем, пятью бомбардировщиками, шестнадцатью Ил-2. Тоже не вышло. Третья попытка была в 20.03 силами одного торпедоносца, четырех бомбардировщиков и шестнадцати Ил-2. Всадили 1000 кг. Потеряли один А-20ДО и 4 Ил-2 (268,13).</w:t>
      </w:r>
    </w:p>
    <w:p w14:paraId="039D4D8C" w14:textId="77777777" w:rsidR="00665165" w:rsidRPr="00F90EAE" w:rsidRDefault="00665165" w:rsidP="00F90EAE">
      <w:pPr>
        <w:autoSpaceDE w:val="0"/>
        <w:autoSpaceDN w:val="0"/>
        <w:adjustRightInd w:val="0"/>
        <w:jc w:val="both"/>
        <w:rPr>
          <w:color w:val="000000" w:themeColor="text1"/>
          <w:sz w:val="16"/>
          <w:szCs w:val="16"/>
        </w:rPr>
      </w:pPr>
    </w:p>
    <w:p w14:paraId="44B4B32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мая 1945 вышло Постановление ГКО № 8378 О переводе 2-го Ленинградского военного авиационного технического училища и Ленинградских авиационных технических курсов усовершенствования в г. Ригу. (7335, 98-99).</w:t>
      </w:r>
    </w:p>
    <w:p w14:paraId="634A99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FE1A889" w14:textId="77777777" w:rsidR="008108C0" w:rsidRPr="00F90EAE" w:rsidRDefault="008108C0" w:rsidP="00F90EAE">
      <w:pPr>
        <w:jc w:val="both"/>
        <w:rPr>
          <w:color w:val="000000" w:themeColor="text1"/>
          <w:sz w:val="16"/>
          <w:szCs w:val="16"/>
        </w:rPr>
      </w:pPr>
      <w:r w:rsidRPr="00F90EAE">
        <w:rPr>
          <w:color w:val="000000" w:themeColor="text1"/>
          <w:sz w:val="16"/>
          <w:szCs w:val="16"/>
        </w:rPr>
        <w:t>4 мая в 1945 году красноармеец И.Д.Чураков обнаруживает тела Гитлера и Евы Браун, но почему-то четыре дня они пролежат без освидетельствования. Лишь 8 мая они будут доставлены в берлинский морг, и личный стоматолог Гитлера и Евы опознает их по зубам, правда, с некоторыми оговорками. Поскольку Сталин никогда публично не будет говорить о дальнейшей судьбе останков, это породит на Западе всевозможные слухи: тела (или одну голову фюрера) то ли вывезли в Москву, то ли тайно где-то захоронили, то ли Гитлер вовсе сумел сбежать. Лишь накануне 50-летия Победы в Москве будет опубликован "окончательный рапорт" о смерти фюрера. Полусгоревшее тело фюрера будет захоронено (без челюстей, взятых для опознания) возле Магдебурга. В 1970 по приказу председателя КГБ СССР Юрия Андропова останки будут выкопаны, сожжены, а прах развеян (14881).</w:t>
      </w:r>
    </w:p>
    <w:p w14:paraId="4F0B5AEC" w14:textId="77777777" w:rsidR="008108C0" w:rsidRPr="00F90EAE" w:rsidRDefault="008108C0" w:rsidP="00F90EAE">
      <w:pPr>
        <w:jc w:val="both"/>
        <w:rPr>
          <w:color w:val="000000" w:themeColor="text1"/>
          <w:sz w:val="16"/>
          <w:szCs w:val="16"/>
        </w:rPr>
      </w:pPr>
    </w:p>
    <w:p w14:paraId="01ABF0B2" w14:textId="77777777" w:rsidR="008108C0" w:rsidRPr="00F90EAE" w:rsidRDefault="008108C0" w:rsidP="00F90EAE">
      <w:pPr>
        <w:jc w:val="both"/>
        <w:rPr>
          <w:color w:val="000000" w:themeColor="text1"/>
          <w:sz w:val="16"/>
          <w:szCs w:val="16"/>
        </w:rPr>
      </w:pPr>
      <w:r w:rsidRPr="00F90EAE">
        <w:rPr>
          <w:color w:val="000000" w:themeColor="text1"/>
          <w:sz w:val="16"/>
          <w:szCs w:val="16"/>
        </w:rPr>
        <w:t>4 мая в 1945 году рейдер «Орион» затопляется советской авиацией (14881).</w:t>
      </w:r>
    </w:p>
    <w:p w14:paraId="3C3D91CA" w14:textId="77777777" w:rsidR="008108C0" w:rsidRPr="00F90EAE" w:rsidRDefault="008108C0" w:rsidP="00F90EAE">
      <w:pPr>
        <w:jc w:val="both"/>
        <w:rPr>
          <w:color w:val="000000" w:themeColor="text1"/>
          <w:sz w:val="16"/>
          <w:szCs w:val="16"/>
        </w:rPr>
      </w:pPr>
    </w:p>
    <w:p w14:paraId="210EC3E9" w14:textId="77777777" w:rsidR="003E6ED8" w:rsidRPr="00F90EAE" w:rsidRDefault="003E6ED8" w:rsidP="00F90EAE">
      <w:pPr>
        <w:jc w:val="both"/>
        <w:rPr>
          <w:color w:val="000000" w:themeColor="text1"/>
          <w:sz w:val="16"/>
          <w:szCs w:val="16"/>
        </w:rPr>
      </w:pPr>
      <w:r w:rsidRPr="00F90EAE">
        <w:rPr>
          <w:color w:val="000000" w:themeColor="text1"/>
          <w:sz w:val="16"/>
          <w:szCs w:val="16"/>
        </w:rPr>
        <w:t xml:space="preserve">4 мая в 1945 году рейдер </w:t>
      </w:r>
      <w:hyperlink r:id="rId109" w:tgtFrame="_blank" w:history="1">
        <w:r w:rsidRPr="00F90EAE">
          <w:rPr>
            <w:color w:val="000000" w:themeColor="text1"/>
            <w:sz w:val="16"/>
            <w:szCs w:val="16"/>
          </w:rPr>
          <w:t xml:space="preserve">«Орион» </w:t>
        </w:r>
      </w:hyperlink>
      <w:r w:rsidRPr="00F90EAE">
        <w:rPr>
          <w:color w:val="000000" w:themeColor="text1"/>
          <w:sz w:val="16"/>
          <w:szCs w:val="16"/>
        </w:rPr>
        <w:t>затопляется бомбами советской авиации по пути в Копенгаген, вблизи Свинемюнде, в ходе налёта 51-го минно-торпедного авиаполка ВВС КА СССР. Из более чем 4 000 человек, находившихся на борту, спаслось 150 (14881).</w:t>
      </w:r>
    </w:p>
    <w:p w14:paraId="4E7E7DBD" w14:textId="77777777" w:rsidR="003E6ED8" w:rsidRPr="00F90EAE" w:rsidRDefault="003E6ED8" w:rsidP="00F90EAE">
      <w:pPr>
        <w:jc w:val="both"/>
        <w:rPr>
          <w:color w:val="000000" w:themeColor="text1"/>
          <w:sz w:val="16"/>
          <w:szCs w:val="16"/>
        </w:rPr>
      </w:pPr>
    </w:p>
    <w:p w14:paraId="65AA890F" w14:textId="77777777" w:rsidR="003E6ED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A58F6A3" w14:textId="77777777" w:rsidR="003E6ED8" w:rsidRPr="00F90EAE" w:rsidRDefault="003E6ED8" w:rsidP="00F90EAE">
      <w:pPr>
        <w:autoSpaceDE w:val="0"/>
        <w:autoSpaceDN w:val="0"/>
        <w:adjustRightInd w:val="0"/>
        <w:jc w:val="both"/>
        <w:rPr>
          <w:iCs/>
          <w:color w:val="000000" w:themeColor="text1"/>
          <w:sz w:val="16"/>
          <w:szCs w:val="16"/>
        </w:rPr>
      </w:pPr>
    </w:p>
    <w:p w14:paraId="21FAC487"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Д.Эйзенхауэр направил начальнику советского Генерального штаба А.И.Антонову письмо, в котором информировал советское Верховное Главнокомандование о намерении американских войск продолжать наступление в Чехословакии до Праги (14881).</w:t>
      </w:r>
    </w:p>
    <w:p w14:paraId="2C522571" w14:textId="77777777" w:rsidR="003E6ED8" w:rsidRPr="00F90EAE" w:rsidRDefault="003E6ED8" w:rsidP="00F90EAE">
      <w:pPr>
        <w:jc w:val="both"/>
        <w:rPr>
          <w:color w:val="000000" w:themeColor="text1"/>
          <w:sz w:val="16"/>
          <w:szCs w:val="16"/>
        </w:rPr>
      </w:pPr>
    </w:p>
    <w:p w14:paraId="667334F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CC2FA08" w14:textId="77777777" w:rsidR="00665165" w:rsidRPr="00F90EAE" w:rsidRDefault="00665165" w:rsidP="00F90EAE">
      <w:pPr>
        <w:autoSpaceDE w:val="0"/>
        <w:autoSpaceDN w:val="0"/>
        <w:adjustRightInd w:val="0"/>
        <w:jc w:val="both"/>
        <w:rPr>
          <w:iCs/>
          <w:color w:val="000000" w:themeColor="text1"/>
          <w:sz w:val="16"/>
          <w:szCs w:val="16"/>
        </w:rPr>
      </w:pPr>
    </w:p>
    <w:p w14:paraId="0EFF081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мая 1945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(4963 ).</w:t>
      </w:r>
    </w:p>
    <w:p w14:paraId="68E6CFB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9BCA75A"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04 1945 Montgomery accepts the surrender of German forces in The Netherlands, northwest Germany, and Denmark; he also authorizes the acceptance of individual soldiers, as he cannot accept the surrender of those forces fighting against the Soviets (1242).</w:t>
      </w:r>
    </w:p>
    <w:p w14:paraId="556D2726" w14:textId="77777777" w:rsidR="00665165" w:rsidRPr="00F90EAE" w:rsidRDefault="00665165" w:rsidP="00F90EAE">
      <w:pPr>
        <w:autoSpaceDE w:val="0"/>
        <w:autoSpaceDN w:val="0"/>
        <w:adjustRightInd w:val="0"/>
        <w:jc w:val="both"/>
        <w:rPr>
          <w:color w:val="000000" w:themeColor="text1"/>
          <w:sz w:val="16"/>
          <w:szCs w:val="16"/>
          <w:lang w:val="en-US"/>
        </w:rPr>
      </w:pPr>
    </w:p>
    <w:p w14:paraId="5783B5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Монтгомери принял капитуляцию немецких войск в Голландии, северо-западной Германии и Дании (1242).</w:t>
      </w:r>
    </w:p>
    <w:p w14:paraId="72DA6B6C" w14:textId="77777777" w:rsidR="00665165" w:rsidRPr="00F90EAE" w:rsidRDefault="00665165" w:rsidP="00F90EAE">
      <w:pPr>
        <w:autoSpaceDE w:val="0"/>
        <w:autoSpaceDN w:val="0"/>
        <w:adjustRightInd w:val="0"/>
        <w:jc w:val="both"/>
        <w:rPr>
          <w:color w:val="000000" w:themeColor="text1"/>
          <w:sz w:val="16"/>
          <w:szCs w:val="16"/>
        </w:rPr>
      </w:pPr>
    </w:p>
    <w:p w14:paraId="4057F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 штабе Монтгомери был подписан документ о капитуляции германских войск в Северо-Западной Европе (3871).</w:t>
      </w:r>
    </w:p>
    <w:p w14:paraId="0A435210" w14:textId="77777777" w:rsidR="00665165" w:rsidRPr="00F90EAE" w:rsidRDefault="00665165" w:rsidP="00F90EAE">
      <w:pPr>
        <w:autoSpaceDE w:val="0"/>
        <w:autoSpaceDN w:val="0"/>
        <w:adjustRightInd w:val="0"/>
        <w:jc w:val="both"/>
        <w:rPr>
          <w:color w:val="000000" w:themeColor="text1"/>
          <w:sz w:val="16"/>
          <w:szCs w:val="16"/>
        </w:rPr>
      </w:pPr>
    </w:p>
    <w:p w14:paraId="53AFE7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4 мая по 14 июня 1945 были арестованы Шлахт, Фрик, Франк, фон Нейрат, Сейс-Инкварт, Функ, Калтенбрунер, Лей, Розенберг, Денитц, Йодль, Шпеер, Штрейхер и Риббентроп (2248,7).</w:t>
      </w:r>
    </w:p>
    <w:p w14:paraId="1E41F8F6" w14:textId="77777777" w:rsidR="00665165" w:rsidRPr="00F90EAE" w:rsidRDefault="00665165" w:rsidP="00F90EAE">
      <w:pPr>
        <w:autoSpaceDE w:val="0"/>
        <w:autoSpaceDN w:val="0"/>
        <w:adjustRightInd w:val="0"/>
        <w:jc w:val="both"/>
        <w:rPr>
          <w:color w:val="000000" w:themeColor="text1"/>
          <w:sz w:val="16"/>
          <w:szCs w:val="16"/>
        </w:rPr>
      </w:pPr>
    </w:p>
    <w:p w14:paraId="63F8BC66"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4th, 1945: The German forces in northwestern Germany, Holland and Denmark surrender to the Allied 21st Army Group whose C-in-C, FM Montgomery, meets with a German delegation headed by Generaladmiral von Friedeburg at his HQ on Luneburg Heath 30 miles S of Hamburg. The British Second Army occupies Kiel. In the East, fierce fighting continues in Moravia, the Vistula delta and in Kurland (3819).</w:t>
      </w:r>
    </w:p>
    <w:p w14:paraId="58607663" w14:textId="77777777" w:rsidR="00665165" w:rsidRPr="00F90EAE" w:rsidRDefault="00665165" w:rsidP="00F90EAE">
      <w:pPr>
        <w:autoSpaceDE w:val="0"/>
        <w:autoSpaceDN w:val="0"/>
        <w:adjustRightInd w:val="0"/>
        <w:jc w:val="both"/>
        <w:rPr>
          <w:color w:val="000000" w:themeColor="text1"/>
          <w:sz w:val="16"/>
          <w:szCs w:val="16"/>
          <w:lang w:val="en-US"/>
        </w:rPr>
      </w:pPr>
    </w:p>
    <w:p w14:paraId="07AA8B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немецкие части в СЗ Германии, Голландии и Дании сдались 21АГ союзников и ГК Монтгомери встретился с г/а Фриденбургом в Лунебурге в 30 милях от Гамбурга. Британская 2А заняла Киль (3819).</w:t>
      </w:r>
    </w:p>
    <w:p w14:paraId="34C70CBE" w14:textId="77777777" w:rsidR="00665165" w:rsidRPr="00F90EAE" w:rsidRDefault="00665165" w:rsidP="00F90EAE">
      <w:pPr>
        <w:autoSpaceDE w:val="0"/>
        <w:autoSpaceDN w:val="0"/>
        <w:adjustRightInd w:val="0"/>
        <w:jc w:val="both"/>
        <w:rPr>
          <w:color w:val="000000" w:themeColor="text1"/>
          <w:sz w:val="16"/>
          <w:szCs w:val="16"/>
        </w:rPr>
      </w:pPr>
    </w:p>
    <w:p w14:paraId="5340A259"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американские войска вступили в Зальцбург (14881).</w:t>
      </w:r>
    </w:p>
    <w:p w14:paraId="71A11B8D" w14:textId="77777777" w:rsidR="003E6ED8" w:rsidRPr="00F90EAE" w:rsidRDefault="003E6ED8" w:rsidP="00F90EAE">
      <w:pPr>
        <w:jc w:val="both"/>
        <w:rPr>
          <w:color w:val="000000" w:themeColor="text1"/>
          <w:sz w:val="16"/>
          <w:szCs w:val="16"/>
        </w:rPr>
      </w:pPr>
    </w:p>
    <w:p w14:paraId="4CAAEDA7"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адмирал Ганс Георг фон Фрейдебург подписывает в штабе Монтгомери акт о капитуляции немецких частей в Северной Германии, Голландии и Дании (14881).</w:t>
      </w:r>
    </w:p>
    <w:p w14:paraId="546BFC34" w14:textId="77777777" w:rsidR="003E6ED8" w:rsidRPr="00F90EAE" w:rsidRDefault="003E6ED8" w:rsidP="00F90EAE">
      <w:pPr>
        <w:jc w:val="both"/>
        <w:rPr>
          <w:color w:val="000000" w:themeColor="text1"/>
          <w:sz w:val="16"/>
          <w:szCs w:val="16"/>
        </w:rPr>
      </w:pPr>
    </w:p>
    <w:p w14:paraId="4DB73D3E"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получив телеграмму от генерала-фельдмаршала Эриха фон Манштейна о формировании нового правительства Карла Деница, выезжает на автомобиле в Гамбург, чтобы принять назначение и по дороге на Киль под обстрелом британской авиации погибает вместе с женой и дочерью генерал-фельдмаршал вермахта Федор фон Бок (родился в 1880), командующий группой армий "Центр" в начале нападения Германии на СССР. Таким образом, Федор фон Бок стал единственным из фельдмаршалов Гитлера, кто пал от вражеской пули. Ему было 64 года. Начав свою карьеру адъютантом батальона, он окончил ее командующим группами армий "Центр" и "Юг" (14881).</w:t>
      </w:r>
    </w:p>
    <w:p w14:paraId="09B55203" w14:textId="77777777" w:rsidR="003E6ED8" w:rsidRPr="00F90EAE" w:rsidRDefault="003E6ED8" w:rsidP="00F90EAE">
      <w:pPr>
        <w:jc w:val="both"/>
        <w:rPr>
          <w:color w:val="000000" w:themeColor="text1"/>
          <w:sz w:val="16"/>
          <w:szCs w:val="16"/>
        </w:rPr>
      </w:pPr>
    </w:p>
    <w:p w14:paraId="0C17F271"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Верховный главнокомандующий и Рейхсканцлер Германии гросс-адмирал Карл Дениц отдал приказ всем подводным силам флота прекратить военные действия и вернуться в свои базы (14881).</w:t>
      </w:r>
    </w:p>
    <w:p w14:paraId="0DBC991E" w14:textId="77777777" w:rsidR="003E6ED8" w:rsidRPr="00F90EAE" w:rsidRDefault="003E6ED8" w:rsidP="00F90EAE">
      <w:pPr>
        <w:jc w:val="both"/>
        <w:rPr>
          <w:color w:val="000000" w:themeColor="text1"/>
          <w:sz w:val="16"/>
          <w:szCs w:val="16"/>
        </w:rPr>
      </w:pPr>
    </w:p>
    <w:p w14:paraId="0AFFDB06" w14:textId="77777777" w:rsidR="008628F5" w:rsidRPr="00F90EAE" w:rsidRDefault="008628F5" w:rsidP="00F90EAE">
      <w:pPr>
        <w:jc w:val="both"/>
        <w:rPr>
          <w:color w:val="0070C0"/>
          <w:sz w:val="16"/>
          <w:szCs w:val="16"/>
        </w:rPr>
      </w:pPr>
      <w:r w:rsidRPr="00F90EAE">
        <w:rPr>
          <w:color w:val="0070C0"/>
          <w:sz w:val="16"/>
          <w:szCs w:val="16"/>
        </w:rPr>
        <w:t>4 мая 1945 британский флот метрополии проводит свою последнюю операцию во Второй мировой войне - рейд 44 Avengers и Wildcats с авианосцев HMS Queen, HMS Trumpeter и HMS Searcher против Килботна, Норвегия, топят немецкий базовый корабль и подводную лодку. Это последний налет на Норвегию во время Второй мировой войны (20371).</w:t>
      </w:r>
    </w:p>
    <w:p w14:paraId="14821DF2" w14:textId="77777777" w:rsidR="008628F5" w:rsidRPr="00F90EAE" w:rsidRDefault="008628F5" w:rsidP="00F90EAE">
      <w:pPr>
        <w:jc w:val="both"/>
        <w:rPr>
          <w:color w:val="0070C0"/>
          <w:sz w:val="16"/>
          <w:szCs w:val="16"/>
        </w:rPr>
      </w:pPr>
    </w:p>
    <w:p w14:paraId="5EC37932" w14:textId="77777777" w:rsidR="008628F5" w:rsidRPr="00F90EAE" w:rsidRDefault="008628F5" w:rsidP="00F90EAE">
      <w:pPr>
        <w:jc w:val="both"/>
        <w:rPr>
          <w:color w:val="0070C0"/>
          <w:sz w:val="16"/>
          <w:szCs w:val="16"/>
        </w:rPr>
      </w:pPr>
      <w:r w:rsidRPr="00F90EAE">
        <w:rPr>
          <w:color w:val="0070C0"/>
          <w:sz w:val="16"/>
          <w:szCs w:val="16"/>
        </w:rPr>
        <w:t>4 мая 1945 в результате обстрела истребителя-бомбардировщика Королевских ВВС погиб немецкий фельдмаршал Федор фон Бок, его вторая жена и его падчерица, когда они едут по Ленсану, Германия. Он стал единственным немецким фельдмаршалом, убитым врагами во время Второй мировой войны (20371).</w:t>
      </w:r>
    </w:p>
    <w:p w14:paraId="0C0D5A6B" w14:textId="77777777" w:rsidR="008628F5" w:rsidRPr="00F90EAE" w:rsidRDefault="008628F5" w:rsidP="00F90EAE">
      <w:pPr>
        <w:jc w:val="both"/>
        <w:rPr>
          <w:color w:val="0070C0"/>
          <w:sz w:val="16"/>
          <w:szCs w:val="16"/>
        </w:rPr>
      </w:pPr>
    </w:p>
    <w:p w14:paraId="174AD2FE" w14:textId="77777777" w:rsidR="003E6ED8" w:rsidRPr="00F90EAE" w:rsidRDefault="003E6ED8" w:rsidP="00F90EAE">
      <w:pPr>
        <w:jc w:val="both"/>
        <w:rPr>
          <w:color w:val="000000" w:themeColor="text1"/>
          <w:sz w:val="16"/>
          <w:szCs w:val="16"/>
        </w:rPr>
      </w:pPr>
      <w:r w:rsidRPr="00F90EAE">
        <w:rPr>
          <w:color w:val="000000" w:themeColor="text1"/>
          <w:sz w:val="16"/>
          <w:szCs w:val="16"/>
        </w:rPr>
        <w:t>4 мая в 1945 году авианосец Сэнгамон серьезно поврежден камикадзе (14881).</w:t>
      </w:r>
    </w:p>
    <w:p w14:paraId="2C8D0B81" w14:textId="77777777" w:rsidR="003E6ED8" w:rsidRPr="00F90EAE" w:rsidRDefault="003E6ED8" w:rsidP="00F90EAE">
      <w:pPr>
        <w:jc w:val="both"/>
        <w:rPr>
          <w:color w:val="000000" w:themeColor="text1"/>
          <w:sz w:val="16"/>
          <w:szCs w:val="16"/>
        </w:rPr>
      </w:pPr>
    </w:p>
    <w:p w14:paraId="39FF144D" w14:textId="77777777" w:rsidR="003E6ED8" w:rsidRPr="00F90EAE" w:rsidRDefault="003E6ED8" w:rsidP="00F90EAE">
      <w:pPr>
        <w:jc w:val="both"/>
        <w:rPr>
          <w:color w:val="000000" w:themeColor="text1"/>
          <w:sz w:val="16"/>
          <w:szCs w:val="16"/>
        </w:rPr>
      </w:pPr>
      <w:r w:rsidRPr="00F90EAE">
        <w:rPr>
          <w:color w:val="000000" w:themeColor="text1"/>
          <w:sz w:val="16"/>
          <w:szCs w:val="16"/>
        </w:rPr>
        <w:t xml:space="preserve">4 мая в 1945 году поддерживая атаку торпедоносцев "Эвенджер" на свой счет записали последний боевой вылет палубные истребители </w:t>
      </w:r>
      <w:hyperlink r:id="rId110" w:tgtFrame="_blank" w:history="1">
        <w:r w:rsidRPr="00F90EAE">
          <w:rPr>
            <w:color w:val="000000" w:themeColor="text1"/>
            <w:sz w:val="16"/>
            <w:szCs w:val="16"/>
          </w:rPr>
          <w:t xml:space="preserve">«FM-2» «Wildcat Mk.VI» </w:t>
        </w:r>
      </w:hyperlink>
      <w:r w:rsidRPr="00F90EAE">
        <w:rPr>
          <w:color w:val="000000" w:themeColor="text1"/>
          <w:sz w:val="16"/>
          <w:szCs w:val="16"/>
        </w:rPr>
        <w:t>(разработчик: «General Motors», США). Всего к моменту подписания Кейтелем акта о капитуляции английские "Уайлдкэты" успели освоить палубы 11 эскортных авианосцев. Окончание морских сражений Второй мировой войны совпало и с концом боевой карьеры "Уайлдкэта" (14881).</w:t>
      </w:r>
    </w:p>
    <w:p w14:paraId="09BAAFE8" w14:textId="77777777" w:rsidR="003E6ED8" w:rsidRPr="00F90EAE" w:rsidRDefault="003E6ED8" w:rsidP="00F90EAE">
      <w:pPr>
        <w:jc w:val="both"/>
        <w:rPr>
          <w:color w:val="000000" w:themeColor="text1"/>
          <w:sz w:val="16"/>
          <w:szCs w:val="16"/>
        </w:rPr>
      </w:pPr>
    </w:p>
    <w:p w14:paraId="59FB1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 рамках операции «Кикусуй-5» в бесконечных самоубийственных атаках японских летчиков снова приняли участие бомбардировщики Бетти с самолетами Ока. Первый из них, пилотируемый старшиной И. Масайоси, спикировал на минный заградитель «Гауяти». Самолет упал рядом с кораблем, который получил повреждения. Несколько моряков было ранено. Пилот другого самолета Ока младший лейтенант О. Сусуму атаковал эсминец «Уилли». По одним данным самолет удалось сбить и он взорвался в 25 метрах от корабля (Хорикоши Д., Окумия М., Кайдин М. Японская авиация во Второй мировой войне. М.: АСТ, 2001.), по другим данным Охаси удалось поразить эсминец, при этом было убито 118 человек (Иванов Ю.Г. Камикадзе: пилоты-смертники. Смоленск: Русич, 2001.). Эсминец «Уилли» атаковал еще один самолет Ока, но он был сбит огнем 125-мм орудия. Четвертый самолет-снаряд нанес серьезные повреждения минному заградителю «Шеа», впоследствии корабль пришлось списать. Три самолета-снаряда были сбиты вместе со своими носителями, так и не вступив в бой. В рамках наиболее тяжелой для американцев операцииамериканцы понесли наиболее крупные потери. Затонуло 6 кораблей, было списано 4 и более чем на 30 дней вышли из строя еще два корабля. Американцы потеряли 91 моряка, пропали без вести 283 человека, было ранено 280 человек (11686).</w:t>
      </w:r>
    </w:p>
    <w:p w14:paraId="112B8B62" w14:textId="77777777" w:rsidR="00665165" w:rsidRPr="00F90EAE" w:rsidRDefault="00665165" w:rsidP="00F90EAE">
      <w:pPr>
        <w:autoSpaceDE w:val="0"/>
        <w:autoSpaceDN w:val="0"/>
        <w:adjustRightInd w:val="0"/>
        <w:jc w:val="both"/>
        <w:rPr>
          <w:color w:val="000000" w:themeColor="text1"/>
          <w:sz w:val="16"/>
          <w:szCs w:val="16"/>
        </w:rPr>
      </w:pPr>
    </w:p>
    <w:p w14:paraId="4E8ED8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мая 1945 в Бирме британская армия взяла Рангун (3907,256).</w:t>
      </w:r>
    </w:p>
    <w:p w14:paraId="5916DB5C" w14:textId="77777777" w:rsidR="00665165" w:rsidRPr="00F90EAE" w:rsidRDefault="00665165" w:rsidP="00F90EAE">
      <w:pPr>
        <w:autoSpaceDE w:val="0"/>
        <w:autoSpaceDN w:val="0"/>
        <w:adjustRightInd w:val="0"/>
        <w:jc w:val="both"/>
        <w:rPr>
          <w:color w:val="000000" w:themeColor="text1"/>
          <w:sz w:val="16"/>
          <w:szCs w:val="16"/>
        </w:rPr>
      </w:pPr>
    </w:p>
    <w:p w14:paraId="5CEA4A76" w14:textId="77777777" w:rsidR="008108C0" w:rsidRPr="00F90EAE" w:rsidRDefault="008108C0" w:rsidP="00F90EAE">
      <w:pPr>
        <w:jc w:val="both"/>
        <w:rPr>
          <w:color w:val="000000" w:themeColor="text1"/>
          <w:sz w:val="16"/>
          <w:szCs w:val="16"/>
        </w:rPr>
      </w:pPr>
      <w:r w:rsidRPr="00F90EAE">
        <w:rPr>
          <w:color w:val="000000" w:themeColor="text1"/>
          <w:sz w:val="16"/>
          <w:szCs w:val="16"/>
        </w:rPr>
        <w:lastRenderedPageBreak/>
        <w:t>4 мая в 1945 году в Бирме (современная Мьянма) освобождается от японцев Рангун (современный г. Янгон) (14881).</w:t>
      </w:r>
    </w:p>
    <w:p w14:paraId="23377C3E" w14:textId="77777777" w:rsidR="008108C0" w:rsidRPr="00F90EAE" w:rsidRDefault="008108C0" w:rsidP="00F90EAE">
      <w:pPr>
        <w:jc w:val="both"/>
        <w:rPr>
          <w:color w:val="000000" w:themeColor="text1"/>
          <w:sz w:val="16"/>
          <w:szCs w:val="16"/>
        </w:rPr>
      </w:pPr>
    </w:p>
    <w:p w14:paraId="22A6152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886C067" w14:textId="77777777" w:rsidR="00665165" w:rsidRPr="00F90EAE" w:rsidRDefault="00665165" w:rsidP="00F90EAE">
      <w:pPr>
        <w:autoSpaceDE w:val="0"/>
        <w:autoSpaceDN w:val="0"/>
        <w:adjustRightInd w:val="0"/>
        <w:jc w:val="both"/>
        <w:rPr>
          <w:iCs/>
          <w:color w:val="000000" w:themeColor="text1"/>
          <w:sz w:val="16"/>
          <w:szCs w:val="16"/>
        </w:rPr>
      </w:pPr>
    </w:p>
    <w:p w14:paraId="449008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1945 на заводе № 18 к были проведены испытания пяти серийных самолетов Ил-10 с оборонительной установкой ВУ-9 (завод № 454) под пушку калибра 20 мм УБ-20 (завод № 74), выпущенных в соответствии с приказом НКАП от 30 января 1945 г., а затем и указания начальника УЗВиБ ВВС генерал-майора Солдатова и замести</w:t>
      </w:r>
      <w:r w:rsidRPr="00F90EAE">
        <w:rPr>
          <w:color w:val="000000" w:themeColor="text1"/>
          <w:sz w:val="16"/>
          <w:szCs w:val="16"/>
        </w:rPr>
        <w:softHyphen/>
        <w:t>теля начальника УЗСиМ ГУЗ ВВС инженер-полковника Кувенева.</w:t>
      </w:r>
    </w:p>
    <w:p w14:paraId="64A61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самолеты и установки прошли испытания отстрелом в тире в воздухе. Всего было выполнено 12 полетов, в которых произведено 1800 выстрелов. Отмечено 9 задержек в стрельбе, из них 7 неустранимых в воздухе. Пушки имели массу дефек</w:t>
      </w:r>
      <w:r w:rsidRPr="00F90EAE">
        <w:rPr>
          <w:color w:val="000000" w:themeColor="text1"/>
          <w:sz w:val="16"/>
          <w:szCs w:val="16"/>
        </w:rPr>
        <w:softHyphen/>
        <w:t>тов: дополнительный подтяг ленты, переброс патрона через нижний фиксатор затвора, потеря и захват патрона лапками извлекателя затвора, заедание звеньев, потеря ленты.</w:t>
      </w:r>
    </w:p>
    <w:p w14:paraId="5385D2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то что испытания ВУ-9 все же признали успеш</w:t>
      </w:r>
      <w:r w:rsidRPr="00F90EAE">
        <w:rPr>
          <w:color w:val="000000" w:themeColor="text1"/>
          <w:sz w:val="16"/>
          <w:szCs w:val="16"/>
        </w:rPr>
        <w:softHyphen/>
        <w:t>ными, доработка автоматики пушки УБ-20 и боепитания затяну</w:t>
      </w:r>
      <w:r w:rsidRPr="00F90EAE">
        <w:rPr>
          <w:color w:val="000000" w:themeColor="text1"/>
          <w:sz w:val="16"/>
          <w:szCs w:val="16"/>
        </w:rPr>
        <w:softHyphen/>
        <w:t>лась.</w:t>
      </w:r>
    </w:p>
    <w:p w14:paraId="4FF028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концу 1946 г. в трех экземплярах изготовили эталон Ил-10 на 1947 г. Он имел четыре НС-23, модифицированное бомбовое вооружение и оборонительную установку ВУ-9 с пушкой Б-20Т. Вес пустого самолета равнялся 4689 кг, а полет</w:t>
      </w:r>
      <w:r w:rsidRPr="00F90EAE">
        <w:rPr>
          <w:color w:val="000000" w:themeColor="text1"/>
          <w:sz w:val="16"/>
          <w:szCs w:val="16"/>
        </w:rPr>
        <w:softHyphen/>
        <w:t>ный с нормальной нагрузкой — 6360 кг (11474,526).</w:t>
      </w:r>
    </w:p>
    <w:p w14:paraId="4B3DD9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EC4A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в ЛИИ закончились испытания и доводки Як-3ПД с ВК-105ПД, которые проводились с 20 февраля 1945. С.Н.Анохин сделал 18 полетов с 23 февраля по 3 мая 1945. Ви был Е.Ф.Шварцбург. Двигатель ВК-105ПД был с 466 завода N 1012-43 и двухступенчатым нагнетателем Э-100. Из-за ненадежной работы двигателя 14 мая испытания прервали (65,174).</w:t>
      </w:r>
    </w:p>
    <w:p w14:paraId="78F8CE4C" w14:textId="77777777" w:rsidR="00665165" w:rsidRPr="00F90EAE" w:rsidRDefault="00665165" w:rsidP="00F90EAE">
      <w:pPr>
        <w:autoSpaceDE w:val="0"/>
        <w:autoSpaceDN w:val="0"/>
        <w:adjustRightInd w:val="0"/>
        <w:jc w:val="both"/>
        <w:rPr>
          <w:color w:val="000000" w:themeColor="text1"/>
          <w:sz w:val="16"/>
          <w:szCs w:val="16"/>
        </w:rPr>
      </w:pPr>
    </w:p>
    <w:p w14:paraId="7C0F3982" w14:textId="77777777" w:rsidR="002029E1" w:rsidRPr="00F90EAE" w:rsidRDefault="002029E1" w:rsidP="00F90EAE">
      <w:pPr>
        <w:jc w:val="both"/>
        <w:rPr>
          <w:color w:val="000000" w:themeColor="text1"/>
          <w:sz w:val="16"/>
          <w:szCs w:val="16"/>
        </w:rPr>
      </w:pPr>
      <w:r w:rsidRPr="00F90EAE">
        <w:rPr>
          <w:color w:val="000000" w:themeColor="text1"/>
          <w:sz w:val="16"/>
          <w:szCs w:val="16"/>
        </w:rPr>
        <w:t xml:space="preserve">5 мая в 1945 году в ЛИИ закончены испытания и доводка (начались 20 февраля) высотного истребителя </w:t>
      </w:r>
      <w:hyperlink r:id="rId111" w:tgtFrame="_blank" w:history="1">
        <w:r w:rsidRPr="00F90EAE">
          <w:rPr>
            <w:color w:val="000000" w:themeColor="text1"/>
            <w:sz w:val="16"/>
            <w:szCs w:val="16"/>
          </w:rPr>
          <w:t xml:space="preserve">«Як-ЗПД» </w:t>
        </w:r>
      </w:hyperlink>
      <w:r w:rsidRPr="00F90EAE">
        <w:rPr>
          <w:color w:val="000000" w:themeColor="text1"/>
          <w:sz w:val="16"/>
          <w:szCs w:val="16"/>
        </w:rPr>
        <w:t>с двигателем «ВК-105ПД» №1012-43 завода N466 с двухступенчатым нагнетателем «Э-100» (передаточное число 9,72). С 23 февраля по 3 мая было выполнено 18 полетов (летчик С.H.Анохин, ведущий инженер Е.Ф.Шварцбург) и произведена одна замена двигателя ввиду появления стружки в маслофильтре и отказа турбомуфты. Испытания часто прерывались из-за ненанежной работы двигателя и ВМГ (14882).</w:t>
      </w:r>
    </w:p>
    <w:p w14:paraId="6F1E32D3" w14:textId="77777777" w:rsidR="002029E1" w:rsidRPr="00F90EAE" w:rsidRDefault="002029E1" w:rsidP="00F90EAE">
      <w:pPr>
        <w:jc w:val="both"/>
        <w:rPr>
          <w:color w:val="000000" w:themeColor="text1"/>
          <w:sz w:val="16"/>
          <w:szCs w:val="16"/>
        </w:rPr>
      </w:pPr>
    </w:p>
    <w:p w14:paraId="7490B9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5 мая 1945 года (с 19 февраля 1945) в Летно-исследовательском институте закончились дальнейшие испытания высотного истребителя-перехватчика Як-ЗПД с двигателем ВК-105ПД, оснащенным двухступенчатым нагнетателем, который предлагалось вооружить тремя 20-мм пушками Березина с боекомплектом по 150 патронов на ствол и с винтом ВИШ-105ТЛ-2.</w:t>
      </w:r>
    </w:p>
    <w:p w14:paraId="6F2BE5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технического предложения, сделанного весной, на самолете увеличили на 0,5 м2 площадь крыла и изменили вооружение, оставив в его арсенале лишь одну пушку НС-23 с 60 патронами. В итоге машина должна была полегчать до 2580 кг, но расчетный потолок почему-то получился ниже - 12 500 метров, хотя максимальная скорость на высоте 10 800 метров осталась неизменной. В вариант Як-ЗПД доработали серийный самолет №3620, на котором установили двигатель ВК-105ПД с двухступенчатым нагнетателем Э100 разработки ЦИАМ. При этом машина потяжелела до 2616 кг (запас горючего - 270 кг).</w:t>
      </w:r>
    </w:p>
    <w:p w14:paraId="02176E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отчета ЛИИ, на самолете (ведущий инженер Е.Ф.Шварцбург) с опытным винтом ВИШ-105ТЛ-2 диаметром 3 метра с отшлифованными лопастями с 23 февраля по 3 мая летчик-испытатель С.Н. Анохин совершил 18 полетов. При этом, ввиду появившейся стружки в масляном фильтре и отказа турбомуфты, пришлось заменить двигатель.</w:t>
      </w:r>
    </w:p>
    <w:p w14:paraId="57E6A0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Як-ЗПД практический потолок достиг 13 000 метров. Но на номинальном режиме работы двигателя при полностью открытых заслонках водо- и маслорадиаторов высота полета не превышала 10 000 метров.</w:t>
      </w:r>
    </w:p>
    <w:p w14:paraId="45A26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шли рдботы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 Як-ЗРД 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w:t>
      </w:r>
    </w:p>
    <w:p w14:paraId="017713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Летные исследования облагороженной машины начались в июне 1945 года. Доработки благоприятно сказались на ее летных характеристиках. Так, в полете 26 июня была достигнута скорость 7Ю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502C58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05B46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58BCA918" w14:textId="77777777" w:rsidR="00665165" w:rsidRPr="00F90EAE" w:rsidRDefault="00665165" w:rsidP="00F90EAE">
      <w:pPr>
        <w:autoSpaceDE w:val="0"/>
        <w:autoSpaceDN w:val="0"/>
        <w:adjustRightInd w:val="0"/>
        <w:jc w:val="both"/>
        <w:rPr>
          <w:color w:val="000000" w:themeColor="text1"/>
          <w:sz w:val="16"/>
          <w:szCs w:val="16"/>
        </w:rPr>
      </w:pPr>
    </w:p>
    <w:p w14:paraId="58AFE3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НКАП утвердил разработанную ЦАГИ Инструкцию по проведению контрольных статистических испытаний серийных самолетов (323,103).</w:t>
      </w:r>
    </w:p>
    <w:p w14:paraId="6ECA8527" w14:textId="77777777" w:rsidR="00665165" w:rsidRPr="00F90EAE" w:rsidRDefault="00665165" w:rsidP="00F90EAE">
      <w:pPr>
        <w:autoSpaceDE w:val="0"/>
        <w:autoSpaceDN w:val="0"/>
        <w:adjustRightInd w:val="0"/>
        <w:jc w:val="both"/>
        <w:rPr>
          <w:color w:val="000000" w:themeColor="text1"/>
          <w:sz w:val="16"/>
          <w:szCs w:val="16"/>
        </w:rPr>
      </w:pPr>
    </w:p>
    <w:p w14:paraId="6A6309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было образовано двигателестроительное ОКБ И.Г.Ивченко (274).</w:t>
      </w:r>
    </w:p>
    <w:p w14:paraId="745D2B20" w14:textId="77777777" w:rsidR="00665165" w:rsidRPr="00F90EAE" w:rsidRDefault="00665165" w:rsidP="00F90EAE">
      <w:pPr>
        <w:autoSpaceDE w:val="0"/>
        <w:autoSpaceDN w:val="0"/>
        <w:adjustRightInd w:val="0"/>
        <w:jc w:val="both"/>
        <w:rPr>
          <w:color w:val="000000" w:themeColor="text1"/>
          <w:sz w:val="16"/>
          <w:szCs w:val="16"/>
        </w:rPr>
      </w:pPr>
    </w:p>
    <w:p w14:paraId="354C5A92"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при Запорожском авиамоторном заводе было организовано ОКБ-478. Ныне ГП «Запорожское машиностроительное КБ «Прогресс» имени академика А.Г.Ивченко» (Украина) – один из ведущих в мире разработчиков авиадвигателей (14882).</w:t>
      </w:r>
    </w:p>
    <w:p w14:paraId="4D3B54E7" w14:textId="77777777" w:rsidR="002029E1" w:rsidRPr="00F90EAE" w:rsidRDefault="002029E1" w:rsidP="00F90EAE">
      <w:pPr>
        <w:jc w:val="both"/>
        <w:rPr>
          <w:color w:val="000000" w:themeColor="text1"/>
          <w:sz w:val="16"/>
          <w:szCs w:val="16"/>
        </w:rPr>
      </w:pPr>
    </w:p>
    <w:p w14:paraId="7834E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года приказом НКАП Шахурина за № 193 началась организация ОКБ-478. ОКБ-478 расположено на территории завода № 478 в Запорожье на левом берегу Днепра. Начальником ОКБ был назначен Ивченко А.Г.</w:t>
      </w:r>
    </w:p>
    <w:p w14:paraId="21B9C9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момента организации и до 1953 года ОКБ работало над созданием поршневых авиадвигателей для вертолетов и легких самолетов.</w:t>
      </w:r>
    </w:p>
    <w:p w14:paraId="6F74E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этот период ОКБ созданы поршневые авиационные двигатели: М-26, АИ-10, АИ-12, АИ-26ГР, АИ-26ГРФ, АИ-14, АИ-14В, АИ-14Р, АИ-4Г, которые прошли госиспытания.</w:t>
      </w:r>
    </w:p>
    <w:p w14:paraId="723C63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этого числа двигателей АИ-14Р и АИ-26ГРФ переданы и находятся в серийном производстве на заводах №№ 154 и 478.</w:t>
      </w:r>
    </w:p>
    <w:p w14:paraId="11B5C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1953 году в соответствии с приказом МАП за № 375сс и № 431сс РКБ приступило к развертыванию проектных работ и подготовки экспериментальной и производственной базы, необходимых для создания современных газотурбинных авиационных двигателей.</w:t>
      </w:r>
    </w:p>
    <w:p w14:paraId="055899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период 1953-1958 гг. ОКБ создало следующие авиационные двигатели газотурбинного типа:</w:t>
      </w:r>
    </w:p>
    <w:p w14:paraId="32F51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ТВ-2Т, ТВ-2ВК, АИ-20, АИ-20Д и АИ-24 – турбовинтовые двигатели</w:t>
      </w:r>
    </w:p>
    <w:p w14:paraId="000E83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ТС-12, ТС-12Ф и АИ-8 – пусковые двигатели</w:t>
      </w:r>
    </w:p>
    <w:p w14:paraId="47D48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АИ-7 – турбореактивные двигатели</w:t>
      </w:r>
    </w:p>
    <w:p w14:paraId="4075C8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перечисленных двигателей ТС-12, ТС-12Ф, ТВ-2Т и АИ-20 прошли госиспытания. ТС-12Ф и АИ-20 находятся в серийном производстве. Двигатель АИ-20Д в настоящее время предъявлен на госиспытания.</w:t>
      </w:r>
    </w:p>
    <w:p w14:paraId="0197C3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указанных работ ОКБ-478 выполняло ряд работ по отдельным приказам МАП, как например: в 1953 году согласно приказа МАП за № 151 от 11 июня 1953 года, ОКБ создало и в 1954 году проведено госиспытание мотопилы “Дружба” для Министерства лесной промышленности. С 1954 года мотопила “Дружба” находится в серийном производстве на заводе им. Дзержинского (Пермь).</w:t>
      </w:r>
    </w:p>
    <w:p w14:paraId="363AF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Руководство ОКБ на протяжении всего времени его существования – с 1945 года и по настоящее время осуществляет Ивченко А.Г. В начальный период Ивченко был назначен начальником ОКБ, а с 1946 года гл. конструктором ОКБ-478.</w:t>
      </w:r>
    </w:p>
    <w:p w14:paraId="101F95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постановлением СМ от 26 июня 1957 года № 713/372 ОКБ-478 при заводе № 478 реорганизовано в Государственное союзное ОКБ № 478 (ОКБ-478), находящееся в подчинении 3-го гл. управления ГК по авиационной технике при СМ (9404).</w:t>
      </w:r>
    </w:p>
    <w:p w14:paraId="26A6CB93" w14:textId="77777777" w:rsidR="00665165" w:rsidRPr="00F90EAE" w:rsidRDefault="00665165" w:rsidP="00F90EAE">
      <w:pPr>
        <w:autoSpaceDE w:val="0"/>
        <w:autoSpaceDN w:val="0"/>
        <w:adjustRightInd w:val="0"/>
        <w:jc w:val="both"/>
        <w:rPr>
          <w:color w:val="000000" w:themeColor="text1"/>
          <w:sz w:val="16"/>
          <w:szCs w:val="16"/>
        </w:rPr>
      </w:pPr>
    </w:p>
    <w:p w14:paraId="67DC9F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1945 г. при заводе № 478 образовали конструкторское бюро ОКБ-478, которое возглавил А.Г. Ивченко (1903-1968). С 1 июля 1946 г. оно при</w:t>
      </w:r>
      <w:r w:rsidRPr="00F90EAE">
        <w:rPr>
          <w:color w:val="000000" w:themeColor="text1"/>
          <w:sz w:val="16"/>
          <w:szCs w:val="16"/>
        </w:rPr>
        <w:softHyphen/>
        <w:t>обрело самостоятельный статус. В 1945 г. в ОКБ-478 приступили к разработке семейства двигателей для вертолетов. Это были первые специальные вертолетные моторы в Советском Союзе. Ранее к эксплуатации на вертолетах приспосабли</w:t>
      </w:r>
      <w:r w:rsidRPr="00F90EAE">
        <w:rPr>
          <w:color w:val="000000" w:themeColor="text1"/>
          <w:sz w:val="16"/>
          <w:szCs w:val="16"/>
        </w:rPr>
        <w:softHyphen/>
        <w:t>вали самолетные моторы МГ-31Ф, МВ-6 и американские К-975-АМ-1. Семейство должно было состоять из трех однорядных звездообразных двигателей воздушного охлаждения разной мощности, унифицированных друг с другом. Для них приняли размерность цилиндров и ход поршня, свойственные АШ-82ФН. У него же позаимствовали многие конструк</w:t>
      </w:r>
      <w:r w:rsidRPr="00F90EAE">
        <w:rPr>
          <w:color w:val="000000" w:themeColor="text1"/>
          <w:sz w:val="16"/>
          <w:szCs w:val="16"/>
        </w:rPr>
        <w:softHyphen/>
        <w:t xml:space="preserve">тивные решения. Это позволяло упростить и удешевить производство на базе имевшейся оснастки. Но, в отличие от АШ-82ФН, вертолетные моторы оснащались не системой непосредственного впрыска топлива, а карбюраторами. Различную мощность обеспечивало разное количество цилиндров — пять у М-27, семь у М-26 и девять у М-29. Все данные новым двигателям обозначения уже </w:t>
      </w:r>
      <w:r w:rsidRPr="00F90EAE">
        <w:rPr>
          <w:color w:val="000000" w:themeColor="text1"/>
          <w:sz w:val="16"/>
          <w:szCs w:val="16"/>
        </w:rPr>
        <w:lastRenderedPageBreak/>
        <w:t>использовались ранее, но несшие их моторы не имели широкого употребления и к середине 40-х годов уже не существовали. Первым в 1945 г. начали создавать М-26, который имел семь цилиндров в одном ряду, как и АШ-82ФН. Уже в июле 1945 г. начались стендо</w:t>
      </w:r>
      <w:r w:rsidRPr="00F90EAE">
        <w:rPr>
          <w:color w:val="000000" w:themeColor="text1"/>
          <w:sz w:val="16"/>
          <w:szCs w:val="16"/>
        </w:rPr>
        <w:softHyphen/>
        <w:t>вые испытания, а 15 июля один мотор поднялся в воздух на переобо</w:t>
      </w:r>
      <w:r w:rsidRPr="00F90EAE">
        <w:rPr>
          <w:color w:val="000000" w:themeColor="text1"/>
          <w:sz w:val="16"/>
          <w:szCs w:val="16"/>
        </w:rPr>
        <w:softHyphen/>
        <w:t xml:space="preserve">рудованном трофейном самолете </w:t>
      </w:r>
      <w:r w:rsidRPr="00F90EAE">
        <w:rPr>
          <w:color w:val="000000" w:themeColor="text1"/>
          <w:sz w:val="16"/>
          <w:szCs w:val="16"/>
          <w:lang w:val="en-US"/>
        </w:rPr>
        <w:t>Ju</w:t>
      </w:r>
      <w:r w:rsidRPr="00F90EAE">
        <w:rPr>
          <w:color w:val="000000" w:themeColor="text1"/>
          <w:sz w:val="16"/>
          <w:szCs w:val="16"/>
        </w:rPr>
        <w:t xml:space="preserve"> 52/Зт. Эти первые М-26 не имели таких специфических узлов вертолетных двигателей, как принудительное охлаждение и муфта сцепления. Фактически М-26 в таком виде являл</w:t>
      </w:r>
      <w:r w:rsidRPr="00F90EAE">
        <w:rPr>
          <w:color w:val="000000" w:themeColor="text1"/>
          <w:sz w:val="16"/>
          <w:szCs w:val="16"/>
        </w:rPr>
        <w:softHyphen/>
        <w:t>ся аналогом АШ-21, который в это время создавался в ОКБ-29 также на базе «половинки» от АШ-82ФН и тоже оснащался карбюратором. Вес М-26 был несколько больше заданного, и он страдал течами масла. Мотор дважды предъявляли на госиспытания, которые, наконец, заверши</w:t>
      </w:r>
      <w:r w:rsidRPr="00F90EAE">
        <w:rPr>
          <w:color w:val="000000" w:themeColor="text1"/>
          <w:sz w:val="16"/>
          <w:szCs w:val="16"/>
        </w:rPr>
        <w:softHyphen/>
        <w:t>ли в ноябре 1946 г. Вертолетный М-26ГР закончили проектировать в начале 1946 г. К сентябрю прошли заводские испытания. В том же году завод № 478 начал осваивать серийное производство М-26ГР, выпустив к концу года 10 двигателей. С 1947 г. эти моторы выпускались в больших количе</w:t>
      </w:r>
      <w:r w:rsidRPr="00F90EAE">
        <w:rPr>
          <w:color w:val="000000" w:themeColor="text1"/>
          <w:sz w:val="16"/>
          <w:szCs w:val="16"/>
        </w:rPr>
        <w:softHyphen/>
        <w:t>ствах и применялись на различных советских вертолетах, в том числе на широко распространенном Ми-1. С 1948 г. двигатель стал имено</w:t>
      </w:r>
      <w:r w:rsidRPr="00F90EAE">
        <w:rPr>
          <w:color w:val="000000" w:themeColor="text1"/>
          <w:sz w:val="16"/>
          <w:szCs w:val="16"/>
        </w:rPr>
        <w:softHyphen/>
        <w:t>ваться АИ-26В. Он неоднократно модифицировался и выпускался дли</w:t>
      </w:r>
      <w:r w:rsidRPr="00F90EAE">
        <w:rPr>
          <w:color w:val="000000" w:themeColor="text1"/>
          <w:sz w:val="16"/>
          <w:szCs w:val="16"/>
        </w:rPr>
        <w:softHyphen/>
        <w:t>тельное время. Два других мотора этого же семейства, М-27ГР и М-29ГР, оказались менее удачными, и в начале 1948 г. работу над ними прекратили. В том же 1948 г. ОКБ-478 начало проектирование мотора М-4 для лег</w:t>
      </w:r>
      <w:r w:rsidRPr="00F90EAE">
        <w:rPr>
          <w:color w:val="000000" w:themeColor="text1"/>
          <w:sz w:val="16"/>
          <w:szCs w:val="16"/>
        </w:rPr>
        <w:softHyphen/>
        <w:t>кого вертолета. Он был построен и испытан, в том числе на вертолетах Ка-10, но в серийное производство не передавался (11852).</w:t>
      </w:r>
    </w:p>
    <w:p w14:paraId="15EAFC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2F7A8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21FCE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7EE70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000E04B6" w14:textId="77777777" w:rsidR="00665165" w:rsidRPr="00F90EAE" w:rsidRDefault="00665165" w:rsidP="00F90EAE">
      <w:pPr>
        <w:autoSpaceDE w:val="0"/>
        <w:autoSpaceDN w:val="0"/>
        <w:adjustRightInd w:val="0"/>
        <w:jc w:val="both"/>
        <w:rPr>
          <w:color w:val="000000" w:themeColor="text1"/>
          <w:sz w:val="16"/>
          <w:szCs w:val="16"/>
        </w:rPr>
      </w:pPr>
    </w:p>
    <w:p w14:paraId="34D761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г. при заводе (Завод № 478 НКАП, МАП, п/я 18, Запорожский моторостроительный завод, Запорожское ПО «Моторостроитель» им. Великой Октябрьской Социалистической Революции, Завод «Мотор Сич», ОАО «Мотор Сич» / Украина 69068  г. Запорожье, ул. 8-го Марта, 15 тел. 61-47-77/ /Московское представительство: 125252 ул. Новопесчаная, 14 тел. 411-51-11/) образовалось ОКБ-478, в 1959 г. оно выделилось в самостоятельное предприятие. В 1954-62 г. завод № 478 имел наименование «п/я 18». В соответствии с пост. СМ СССР № 713-342 от 26.06.1957 г. завод передан в ведение СНХ УССР (11982).</w:t>
      </w:r>
    </w:p>
    <w:p w14:paraId="45BCC71A" w14:textId="77777777" w:rsidR="00665165" w:rsidRPr="00F90EAE" w:rsidRDefault="00665165" w:rsidP="00F90EAE">
      <w:pPr>
        <w:autoSpaceDE w:val="0"/>
        <w:autoSpaceDN w:val="0"/>
        <w:adjustRightInd w:val="0"/>
        <w:jc w:val="both"/>
        <w:rPr>
          <w:color w:val="000000" w:themeColor="text1"/>
          <w:sz w:val="16"/>
          <w:szCs w:val="16"/>
        </w:rPr>
      </w:pPr>
    </w:p>
    <w:p w14:paraId="762F08C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570E6C8" w14:textId="77777777" w:rsidR="00665165" w:rsidRPr="00F90EAE" w:rsidRDefault="00665165" w:rsidP="00F90EAE">
      <w:pPr>
        <w:autoSpaceDE w:val="0"/>
        <w:autoSpaceDN w:val="0"/>
        <w:adjustRightInd w:val="0"/>
        <w:jc w:val="both"/>
        <w:rPr>
          <w:iCs/>
          <w:color w:val="000000" w:themeColor="text1"/>
          <w:sz w:val="16"/>
          <w:szCs w:val="16"/>
        </w:rPr>
      </w:pPr>
    </w:p>
    <w:p w14:paraId="57523F87"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5 мая 1945 года вышел приказ по НКТП №217сс. В этом документе он дал указание руководству завода №183 разослать по заводам №75, №264, №112, №174 и Мариупольскому заводу чертежи на Т-54. Это было необходимо для того, чтобы заводы начали готовиться к выпуску данного танка. Между тем на заводе №183 не сидели, сложа руки. КБ-520 к маю 1945 года разработало планетарный механизм поворота, планетарную КПП и пятиступенчатую КПП с синхронизаторами. В НКТП на это отреагировали приказом №246с от 19 мая 1945 года, в котором указывалось изготовить и испытать данные агрегаты. В июне к ним добавился воздухоочиститель, разработанный КБ завода №100. На его базе КБ-520 следовало отработать аналогичную конструкцию для Т-54.</w:t>
      </w:r>
    </w:p>
    <w:p w14:paraId="095BF2B7"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p>
    <w:p w14:paraId="277B13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вышло Распоряжение ГКО № 8423. О перенесении срока окончания монтажа двух котлов на Астраханской нефтебазе. РГАНИР, Фонд ГКО, д. 412, лл. 1 (11012).</w:t>
      </w:r>
    </w:p>
    <w:p w14:paraId="37AF7CDD" w14:textId="77777777" w:rsidR="00665165" w:rsidRPr="00F90EAE" w:rsidRDefault="00665165" w:rsidP="00F90EAE">
      <w:pPr>
        <w:autoSpaceDE w:val="0"/>
        <w:autoSpaceDN w:val="0"/>
        <w:adjustRightInd w:val="0"/>
        <w:jc w:val="both"/>
        <w:rPr>
          <w:color w:val="000000" w:themeColor="text1"/>
          <w:sz w:val="16"/>
          <w:szCs w:val="16"/>
        </w:rPr>
      </w:pPr>
    </w:p>
    <w:p w14:paraId="625605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1945 г. в г. Берлине обнаружено имущество Физического института Общества Кайзера Вильгельма. Для приема оборудования 9 мая в Германию отправляется группа советских специалистов во главе с А.П. Завенягиным. В состав группы входят Ю.Б. Харитон, И.К. Кикоин, В.А. Махнев и др. (11254).</w:t>
      </w:r>
    </w:p>
    <w:p w14:paraId="190B8F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B9660A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30812AA" w14:textId="77777777" w:rsidR="00665165" w:rsidRPr="00F90EAE" w:rsidRDefault="00665165" w:rsidP="00F90EAE">
      <w:pPr>
        <w:autoSpaceDE w:val="0"/>
        <w:autoSpaceDN w:val="0"/>
        <w:adjustRightInd w:val="0"/>
        <w:jc w:val="both"/>
        <w:rPr>
          <w:iCs/>
          <w:color w:val="000000" w:themeColor="text1"/>
          <w:sz w:val="16"/>
          <w:szCs w:val="16"/>
        </w:rPr>
      </w:pPr>
    </w:p>
    <w:p w14:paraId="67C0A540"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оперативная сводка Совинформбюро:</w:t>
      </w:r>
    </w:p>
    <w:p w14:paraId="64906982" w14:textId="77777777" w:rsidR="002029E1" w:rsidRPr="00F90EAE" w:rsidRDefault="002029E1" w:rsidP="00F90EAE">
      <w:pPr>
        <w:jc w:val="both"/>
        <w:rPr>
          <w:color w:val="000000" w:themeColor="text1"/>
          <w:sz w:val="16"/>
          <w:szCs w:val="16"/>
        </w:rPr>
      </w:pPr>
      <w:r w:rsidRPr="00F90EAE">
        <w:rPr>
          <w:color w:val="000000" w:themeColor="text1"/>
          <w:sz w:val="16"/>
          <w:szCs w:val="16"/>
        </w:rPr>
        <w:t>«В течение 5 мая войска 3-го Белорусского фронта вели бои по очищению от противника косы Фриш-Нерунг и заняли населённые пункты Лангхакен, Шеллмюль, Шмиргель, Преббернау, Шотланд.</w:t>
      </w:r>
    </w:p>
    <w:p w14:paraId="132C883B"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Белорусского фронта 5 мая овладели городом Свинемюнде — крупным портом и военно-морской базой немцев на Балтийском море, а также полностью очистили от противника острова Воллин и Узедом, заняв при этом крупные населённые пункты Кольцов, Мисдров, Леббин, Альбек, Зеебад Герингсдорф, Узедом, Келпинзее, Цинновитц, Пеенемунде. За 4 мая войска фронта взяли в плен 11.700 немецких солдат и офицеров и захватили следующие трофеи: самолётов — 55, танков — 24, полевых орудий — 88.</w:t>
      </w:r>
    </w:p>
    <w:p w14:paraId="2E72F768"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1-го Белорусского фронта, продвигаясь вперёд юго-западнее города Бранденбург, заняли города Цизар, Лобург, Бург, Меккерн, Гоммерн, Рослау. За 4 мая войска фронта взяли в плен 2.860 немецких солдат и офицеров.</w:t>
      </w:r>
    </w:p>
    <w:p w14:paraId="0B8A1E8F"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4-го Украинского фронта, наступая юго-западнее и южнее города Моравска Острава, с боями заняли города Хоф (Дворце), Берн (Мор Бероун), Фульнек, Мистэк и крупные населённые пункты Мельч, Рауч, Домштадтль, Штадт Либау, Бартошовице, Метиловице, Фридлант, Кунчице, Рожнов. За 4 мая войска фронта взяли в плен 1.100 немецких солдат и офицеров.</w:t>
      </w:r>
    </w:p>
    <w:p w14:paraId="4CC31C41"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Украинского фронта, продолжая наступление северо-восточнее Брно, овладели городом Кромержиж.</w:t>
      </w:r>
    </w:p>
    <w:p w14:paraId="741FCE50" w14:textId="77777777" w:rsidR="002029E1" w:rsidRPr="00F90EAE" w:rsidRDefault="002029E1"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произошло.</w:t>
      </w:r>
    </w:p>
    <w:p w14:paraId="033AD810" w14:textId="77777777" w:rsidR="002029E1" w:rsidRPr="00F90EAE" w:rsidRDefault="002029E1" w:rsidP="00F90EAE">
      <w:pPr>
        <w:jc w:val="both"/>
        <w:rPr>
          <w:color w:val="000000" w:themeColor="text1"/>
          <w:sz w:val="16"/>
          <w:szCs w:val="16"/>
        </w:rPr>
      </w:pPr>
      <w:r w:rsidRPr="00F90EAE">
        <w:rPr>
          <w:color w:val="000000" w:themeColor="text1"/>
          <w:sz w:val="16"/>
          <w:szCs w:val="16"/>
        </w:rPr>
        <w:t>За 4 мая на всех фронтах подбито и уничтожено 26 немецких танков. В воздушных боях и огнём зенитной артиллерии сбито 14 самолётов противника.</w:t>
      </w:r>
    </w:p>
    <w:p w14:paraId="037FA12D"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З-го Белорусского фронта вели бои по очищению от немцев косы Фриш-Нерунг. Советские части наступают по узкой, сплошь покрытой лесом полосе земли.</w:t>
      </w:r>
    </w:p>
    <w:p w14:paraId="5256FA24" w14:textId="77777777" w:rsidR="002029E1" w:rsidRPr="00F90EAE" w:rsidRDefault="002029E1" w:rsidP="00F90EAE">
      <w:pPr>
        <w:jc w:val="both"/>
        <w:rPr>
          <w:color w:val="000000" w:themeColor="text1"/>
          <w:sz w:val="16"/>
          <w:szCs w:val="16"/>
        </w:rPr>
      </w:pPr>
      <w:r w:rsidRPr="00F90EAE">
        <w:rPr>
          <w:color w:val="000000" w:themeColor="text1"/>
          <w:sz w:val="16"/>
          <w:szCs w:val="16"/>
        </w:rPr>
        <w:t>Местность исключает возможность какого-либо манёвра. Противник тщательно подготовился к обороне и оказывает упорное сопротивление. Наши наступающие подразделения на каждом шагу встречают лесные завалы и минные поля. Советские пехотинцы вместе с сопровождающими их артиллеристами, преодолев три противотанковых рва и несколько линий траншей, выбили гитлеровцев из сильно укреплённого опорного пункта Шотланд. В бою за этот населённый пункт уничтожено до 300 немецких солдат и офицеров. Захвачено 14 орудий, 5 миномётов, 40 пулемётов и два склада с боеприпасами.</w:t>
      </w:r>
    </w:p>
    <w:p w14:paraId="6DC709CA"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Белорусского фронта, овладев городом Воллин, сломили сопротивление противника и устремились на север и северо-запад. Одновременно советские части форсировали пролив Пеене, высадили десант на острове Узедом и развернули наступление в восточном направлении. В результате стремительного удара наши войска разгромили вражеский гарнизон и овладели городом Свинемюнде — одним из лучших по оборудованию портов Германии. Войска фронта подавили отдельные очаги сопротивления немцев и полностью очистили от противника острова Воллин и Узедом.</w:t>
      </w:r>
    </w:p>
    <w:p w14:paraId="07CF6952"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1-го Белорусского фронта продвигались вперёд юго-западнее города Бранденбург. Наши пехотные и танковые части в лесисто-болотистой местности преследуют остатки разгромленных соединений противника. Заняты город Цизар, крупный узел железных дорог, и город Бург. Другие наши части овладели городом и узлом железных дорог Рослау на реке Эльба. Советские бойцы прочёсывают леса и очищают их от разрозненных групп гитлеровцев.</w:t>
      </w:r>
    </w:p>
    <w:p w14:paraId="3B0827A9"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4-го Украинского фронта продолжали наступление. Советские части прорвали промежуточный рубеж обороны противника и, развивая успех, продвинулись вперед на 20 километров. Немцы выбиты из городов Хоф (Дворце) и Берн (Мор Бероун). На поле боя осталось свыше 800 вражеских трупов. Захвачены трофеи, в числе которых 32 орудия, 70 пулемётов и несколько складов с военным имуществом. Другие наши части овладели железнодорожной станцией Домштадтль, находящейся в 19 километрах от города Оломоуц. В этом районе разгромлен батальон немецкой пехоты.</w:t>
      </w:r>
    </w:p>
    <w:p w14:paraId="42E65310"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Немцы перебросили в район реки Моравы много артиллерии и, опираясь на заранее подготовленные позиции, оказывают сильное огневое сопротивление. Особенно ожесточенные бои произошли на подступах к городу Кромержиж — опорному пункту противника на реке Морава. Советские пехотинцы, танкисты и артиллеристы подавили огневые точки немцев и ворвались в город Кромержиж. Наши штурмовые группы и ночью и днём выбивали гитлеровцев из каменных зданий и подвалов. К исходу дня наши войска разгромили вражеский гарнизон и овладели городом Кромержиж — важным узлом путей сообщения. Остатки гитлеровцев в беспорядке отступили. Захвачено много вооружения, а также склады с боеприпасами.» (14882).</w:t>
      </w:r>
    </w:p>
    <w:p w14:paraId="190D7065" w14:textId="77777777" w:rsidR="002029E1" w:rsidRPr="00F90EAE" w:rsidRDefault="002029E1" w:rsidP="00F90EAE">
      <w:pPr>
        <w:jc w:val="both"/>
        <w:rPr>
          <w:color w:val="000000" w:themeColor="text1"/>
          <w:sz w:val="16"/>
          <w:szCs w:val="16"/>
        </w:rPr>
      </w:pPr>
    </w:p>
    <w:p w14:paraId="339D9587" w14:textId="77777777" w:rsidR="004252F4" w:rsidRPr="00F90EAE" w:rsidRDefault="004252F4" w:rsidP="00F90EAE">
      <w:pPr>
        <w:jc w:val="both"/>
        <w:rPr>
          <w:color w:val="000000" w:themeColor="text1"/>
          <w:sz w:val="16"/>
          <w:szCs w:val="16"/>
        </w:rPr>
      </w:pPr>
      <w:r w:rsidRPr="00F90EAE">
        <w:rPr>
          <w:color w:val="000000" w:themeColor="text1"/>
          <w:sz w:val="16"/>
          <w:szCs w:val="16"/>
        </w:rPr>
        <w:t>5 мая 1945 года</w:t>
      </w:r>
    </w:p>
    <w:p w14:paraId="3F7E36C8" w14:textId="77777777" w:rsidR="004252F4" w:rsidRPr="00F90EAE" w:rsidRDefault="004252F4" w:rsidP="00F90EAE">
      <w:pPr>
        <w:jc w:val="both"/>
        <w:rPr>
          <w:color w:val="000000" w:themeColor="text1"/>
          <w:sz w:val="16"/>
          <w:szCs w:val="16"/>
        </w:rPr>
      </w:pPr>
      <w:r w:rsidRPr="00F90EAE">
        <w:rPr>
          <w:color w:val="000000" w:themeColor="text1"/>
          <w:sz w:val="16"/>
          <w:szCs w:val="16"/>
        </w:rPr>
        <w:lastRenderedPageBreak/>
        <w:t>«Войска 2-го Белорусского фронта 5 мая овладели городом Свинемюнде, крупным портом и военно-морской базой немцев на Балтийском море, а также полностью очистили от противника острова Волин и Узедом, заняв при этом крупные населенные пункты Кольцов, Мисдров, Леббин, Альбек, Зеебад, Гернгсдорф, Узедом, Келпинзее, Циновитц, Пеенемунде».</w:t>
      </w:r>
    </w:p>
    <w:p w14:paraId="68086F38" w14:textId="77777777" w:rsidR="004252F4" w:rsidRPr="00F90EAE" w:rsidRDefault="004252F4" w:rsidP="00F90EAE">
      <w:pPr>
        <w:jc w:val="both"/>
        <w:rPr>
          <w:color w:val="000000" w:themeColor="text1"/>
          <w:sz w:val="16"/>
          <w:szCs w:val="16"/>
        </w:rPr>
      </w:pPr>
      <w:r w:rsidRPr="00F90EAE">
        <w:rPr>
          <w:color w:val="000000" w:themeColor="text1"/>
          <w:sz w:val="16"/>
          <w:szCs w:val="16"/>
        </w:rPr>
        <w:t>Советское руководство незамедлительно направило в ракетный центр Пенемюнде специальную комиссию для обследования территории и сбора информации о работе Германского реактивного научно-испытательного института ракетного вооружения.</w:t>
      </w:r>
    </w:p>
    <w:p w14:paraId="269FAC02" w14:textId="77777777" w:rsidR="004252F4" w:rsidRPr="00F90EAE" w:rsidRDefault="004252F4" w:rsidP="00F90EAE">
      <w:pPr>
        <w:jc w:val="both"/>
        <w:rPr>
          <w:color w:val="000000" w:themeColor="text1"/>
          <w:sz w:val="16"/>
          <w:szCs w:val="16"/>
        </w:rPr>
      </w:pPr>
      <w:r w:rsidRPr="00F90EAE">
        <w:rPr>
          <w:color w:val="000000" w:themeColor="text1"/>
          <w:sz w:val="16"/>
          <w:szCs w:val="16"/>
        </w:rPr>
        <w:t>Предварительные итоги работы комиссии изложены в документе с длинным названием: «О результатах обследования германского реактивного научно-исследовательского института в Пенемюнде» (19623).</w:t>
      </w:r>
    </w:p>
    <w:p w14:paraId="56969B72" w14:textId="77777777" w:rsidR="004252F4" w:rsidRPr="00F90EAE" w:rsidRDefault="004252F4" w:rsidP="00F90EAE">
      <w:pPr>
        <w:jc w:val="both"/>
        <w:rPr>
          <w:color w:val="000000" w:themeColor="text1"/>
          <w:sz w:val="16"/>
          <w:szCs w:val="16"/>
        </w:rPr>
      </w:pPr>
    </w:p>
    <w:p w14:paraId="6AD652A2"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5 мая 1945 экипажи 571 шап при нанесении ударов по немецким войскам в движении и в местах сосредоточения на дорогах в районе Рауч, Шенвальд, Альвассер, Либау, Хоф, Дейч, Лоденит встретили особенно сильное противодействие немецких зенитчиков. При перелете линии фронта в составе группы 8 Ил-10 под сплошной облачностью на высоте 150 м первым же залпом зенитной артиллерии были сбиты две «десятки» (зав. № 1890802 и № 1894603). Оба самолета упали на территорию противника. Погибли младший лейтенант Г. Д. Загурский и воздушный стрелок сержант П. А. Котов, младший лейтенант П. И. Полигалов и воздушный стрелок рядовой М. М. Варташов. К исходу дня в составе полка осталось 30 самолетов Ил-10, из которых 25 машин были боеготовыми.</w:t>
      </w:r>
    </w:p>
    <w:p w14:paraId="3B2CF21C"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Надо сказать, эксплуатация и боевое применение Ил-10 сопровождались многочисленными отказами агрегатов и систем самолета. Только на моторах АМ-42 к 7 мая обнаружилось 24 дефекта, в том числе 10 случаев по причине отказа в работе карбюратора, бензосистемы и свечей АС -132, 5 случаев тряски мотора на всех режимах работы, даже на номинальном, два случая деформации мембран карбюратора и в остальных случаях наблюдалась течь масло- и водорадиаторов по причине плохой пайки. Подходы к свечам и различного рода агрегатам и узлам мотора были крайне неудобными. Например, замена карбюратора и отладка мотора занимала до 30-33 часов рабочего времени.</w:t>
      </w:r>
    </w:p>
    <w:p w14:paraId="4650ED52"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Постоянно рвались троса бомболюков, а створки бомболюков деформировались при загрузке мелких бомб и повреждались при сбросе бомб крупного калибра. Обшивка консолей и центроплана крыла, а также заклепки крыла не выдерживали нагрузок. Листы шли волной, заклепки срезались и выпадали. Ломались складывающиеся подкосы шасси и обтекатели хвостового колеса.</w:t>
      </w:r>
    </w:p>
    <w:p w14:paraId="29AD31C4"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Удивительно, но техническому составу 571 шап все же удавалось поддерживать боеготовность матчасти на уровне, обеспечивающем выполнение полком поставленных боевых задач. Ежедневная боеготовность полка в среднем составляла 72,8 % текущего боевого состава (17490).</w:t>
      </w:r>
    </w:p>
    <w:p w14:paraId="745AF0E9" w14:textId="77777777" w:rsidR="00B633D2" w:rsidRPr="00F90EAE" w:rsidRDefault="00B633D2" w:rsidP="00F90EAE">
      <w:pPr>
        <w:jc w:val="both"/>
        <w:rPr>
          <w:color w:val="000000" w:themeColor="text1"/>
          <w:sz w:val="16"/>
          <w:szCs w:val="16"/>
        </w:rPr>
      </w:pPr>
    </w:p>
    <w:p w14:paraId="5FD90A2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мая 1945 советское командование предупредило гражданское население датского о-ва Борнхольм в Балтийском море о предстоящих ударах авиации по объектам немецкого гарнизона. Начало советских авиационных налетов на Борнхольм (4963 ).</w:t>
      </w:r>
    </w:p>
    <w:p w14:paraId="2466C55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AD98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May 5 1945 Russian ground forces occupied Peenemnde, Germany (1038).</w:t>
      </w:r>
    </w:p>
    <w:p w14:paraId="3FC56C9F" w14:textId="77777777" w:rsidR="00665165" w:rsidRPr="00F90EAE" w:rsidRDefault="00665165" w:rsidP="00F90EAE">
      <w:pPr>
        <w:autoSpaceDE w:val="0"/>
        <w:autoSpaceDN w:val="0"/>
        <w:adjustRightInd w:val="0"/>
        <w:jc w:val="both"/>
        <w:rPr>
          <w:color w:val="000000" w:themeColor="text1"/>
          <w:sz w:val="16"/>
          <w:szCs w:val="16"/>
        </w:rPr>
      </w:pPr>
    </w:p>
    <w:p w14:paraId="13E4ED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советские части оккупировали Пенемюнде (1038).</w:t>
      </w:r>
    </w:p>
    <w:p w14:paraId="507AE3C3" w14:textId="77777777" w:rsidR="00665165" w:rsidRPr="00F90EAE" w:rsidRDefault="00665165" w:rsidP="00F90EAE">
      <w:pPr>
        <w:autoSpaceDE w:val="0"/>
        <w:autoSpaceDN w:val="0"/>
        <w:adjustRightInd w:val="0"/>
        <w:jc w:val="both"/>
        <w:rPr>
          <w:color w:val="000000" w:themeColor="text1"/>
          <w:sz w:val="16"/>
          <w:szCs w:val="16"/>
        </w:rPr>
      </w:pPr>
    </w:p>
    <w:p w14:paraId="158094FF" w14:textId="77777777" w:rsidR="002029E1" w:rsidRPr="00F90EAE" w:rsidRDefault="002029E1" w:rsidP="00F90EAE">
      <w:pPr>
        <w:autoSpaceDE w:val="0"/>
        <w:autoSpaceDN w:val="0"/>
        <w:adjustRightInd w:val="0"/>
        <w:jc w:val="both"/>
        <w:rPr>
          <w:color w:val="000000" w:themeColor="text1"/>
          <w:sz w:val="16"/>
          <w:szCs w:val="16"/>
        </w:rPr>
      </w:pPr>
      <w:r w:rsidRPr="00F90EAE">
        <w:rPr>
          <w:color w:val="000000" w:themeColor="text1"/>
          <w:sz w:val="16"/>
          <w:szCs w:val="16"/>
        </w:rPr>
        <w:t>5 мая 1945 года войсками советского 2-го Белорусского фронта под командованием маршала Рокоссовского были заняты Порт Свинемюнде и остров Узедом вместе с Пенемюнде. Сам ракетный центр Пенемюнде взяли штурмом подразделения майора Анатолия Вавилова, на которого была возложена ответственность за сохранность оставшегося оборудования (11688).</w:t>
      </w:r>
    </w:p>
    <w:p w14:paraId="00E0B65C" w14:textId="77777777" w:rsidR="002029E1" w:rsidRPr="00F90EAE" w:rsidRDefault="002029E1" w:rsidP="00F90EAE">
      <w:pPr>
        <w:autoSpaceDE w:val="0"/>
        <w:autoSpaceDN w:val="0"/>
        <w:adjustRightInd w:val="0"/>
        <w:jc w:val="both"/>
        <w:rPr>
          <w:color w:val="000000" w:themeColor="text1"/>
          <w:sz w:val="16"/>
          <w:szCs w:val="16"/>
        </w:rPr>
      </w:pPr>
    </w:p>
    <w:p w14:paraId="47C091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1945 экипажи 571-го шап при нанесе</w:t>
      </w:r>
      <w:r w:rsidRPr="00F90EAE">
        <w:rPr>
          <w:color w:val="000000" w:themeColor="text1"/>
          <w:sz w:val="16"/>
          <w:szCs w:val="16"/>
        </w:rPr>
        <w:softHyphen/>
        <w:t>нии ударов по немецким войскам на дорогах в районе Рауч, Шенвальд, Альвассер, Либау, Хоф, Дейч, Лоденит встрети</w:t>
      </w:r>
      <w:r w:rsidRPr="00F90EAE">
        <w:rPr>
          <w:color w:val="000000" w:themeColor="text1"/>
          <w:sz w:val="16"/>
          <w:szCs w:val="16"/>
        </w:rPr>
        <w:softHyphen/>
        <w:t>лись с особенно сильным противодейст</w:t>
      </w:r>
      <w:r w:rsidRPr="00F90EAE">
        <w:rPr>
          <w:color w:val="000000" w:themeColor="text1"/>
          <w:sz w:val="16"/>
          <w:szCs w:val="16"/>
        </w:rPr>
        <w:softHyphen/>
        <w:t>вием вражеских зенитчиков. Две «де</w:t>
      </w:r>
      <w:r w:rsidRPr="00F90EAE">
        <w:rPr>
          <w:color w:val="000000" w:themeColor="text1"/>
          <w:sz w:val="16"/>
          <w:szCs w:val="16"/>
        </w:rPr>
        <w:softHyphen/>
        <w:t>сятки» были сбиты, их экипажи погибли. К исходу дня в полку осталось 30 само</w:t>
      </w:r>
      <w:r w:rsidRPr="00F90EAE">
        <w:rPr>
          <w:color w:val="000000" w:themeColor="text1"/>
          <w:sz w:val="16"/>
          <w:szCs w:val="16"/>
        </w:rPr>
        <w:softHyphen/>
        <w:t>летов (10681).</w:t>
      </w:r>
    </w:p>
    <w:p w14:paraId="41AD2A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48CBF0" w14:textId="77777777" w:rsidR="002029E1"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2C4762E" w14:textId="77777777" w:rsidR="002029E1" w:rsidRPr="00F90EAE" w:rsidRDefault="002029E1" w:rsidP="00F90EAE">
      <w:pPr>
        <w:autoSpaceDE w:val="0"/>
        <w:autoSpaceDN w:val="0"/>
        <w:adjustRightInd w:val="0"/>
        <w:jc w:val="both"/>
        <w:rPr>
          <w:iCs/>
          <w:color w:val="000000" w:themeColor="text1"/>
          <w:sz w:val="16"/>
          <w:szCs w:val="16"/>
        </w:rPr>
      </w:pPr>
    </w:p>
    <w:p w14:paraId="65F67AD5"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в Праге начинается вооруженное восстание против гитлеровских оккупантов. Первыми на призыв о помощи сражающимся с превосходящами силами эсэсовцев повстанцам откликнется находящаяся ближе всех 1-я дивизия РОА, которая 7 мая вступит в бой и очистит город от немцев (14882).</w:t>
      </w:r>
    </w:p>
    <w:p w14:paraId="3BD31917" w14:textId="77777777" w:rsidR="002029E1" w:rsidRPr="00F90EAE" w:rsidRDefault="002029E1" w:rsidP="00F90EAE">
      <w:pPr>
        <w:jc w:val="both"/>
        <w:rPr>
          <w:color w:val="000000" w:themeColor="text1"/>
          <w:sz w:val="16"/>
          <w:szCs w:val="16"/>
        </w:rPr>
      </w:pPr>
    </w:p>
    <w:p w14:paraId="2C766DC9"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советское правительство потребовало от американского командования прекратить продвижение своих войск в Чехословакии. Взамен советское командование остановило продвижение войск к Нижней Эльбе (14882).</w:t>
      </w:r>
    </w:p>
    <w:p w14:paraId="565E771C" w14:textId="77777777" w:rsidR="002029E1" w:rsidRPr="00F90EAE" w:rsidRDefault="002029E1" w:rsidP="00F90EAE">
      <w:pPr>
        <w:jc w:val="both"/>
        <w:rPr>
          <w:color w:val="000000" w:themeColor="text1"/>
          <w:sz w:val="16"/>
          <w:szCs w:val="16"/>
        </w:rPr>
      </w:pPr>
    </w:p>
    <w:p w14:paraId="010C44C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EB6D3A4" w14:textId="77777777" w:rsidR="00665165" w:rsidRPr="00F90EAE" w:rsidRDefault="00665165" w:rsidP="00F90EAE">
      <w:pPr>
        <w:autoSpaceDE w:val="0"/>
        <w:autoSpaceDN w:val="0"/>
        <w:adjustRightInd w:val="0"/>
        <w:jc w:val="both"/>
        <w:rPr>
          <w:iCs/>
          <w:color w:val="000000" w:themeColor="text1"/>
          <w:sz w:val="16"/>
          <w:szCs w:val="16"/>
        </w:rPr>
      </w:pPr>
    </w:p>
    <w:p w14:paraId="56E21C82"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в небе над Гамбургом английскими истребителями сбит последний немецкий самолет в ходе войны (14882).</w:t>
      </w:r>
    </w:p>
    <w:p w14:paraId="3B6C9C0A" w14:textId="77777777" w:rsidR="002029E1" w:rsidRPr="00F90EAE" w:rsidRDefault="002029E1" w:rsidP="00F90EAE">
      <w:pPr>
        <w:jc w:val="both"/>
        <w:rPr>
          <w:color w:val="000000" w:themeColor="text1"/>
          <w:sz w:val="16"/>
          <w:szCs w:val="16"/>
        </w:rPr>
      </w:pPr>
    </w:p>
    <w:p w14:paraId="50AB0C4A" w14:textId="77777777" w:rsidR="002029E1" w:rsidRPr="00F90EAE" w:rsidRDefault="002029E1" w:rsidP="00F90EAE">
      <w:pPr>
        <w:autoSpaceDE w:val="0"/>
        <w:autoSpaceDN w:val="0"/>
        <w:adjustRightInd w:val="0"/>
        <w:jc w:val="both"/>
        <w:rPr>
          <w:color w:val="000000" w:themeColor="text1"/>
          <w:sz w:val="16"/>
          <w:szCs w:val="16"/>
        </w:rPr>
      </w:pPr>
      <w:r w:rsidRPr="00F90EAE">
        <w:rPr>
          <w:color w:val="000000" w:themeColor="text1"/>
          <w:sz w:val="16"/>
          <w:szCs w:val="16"/>
        </w:rPr>
        <w:t>5 мая 1945 Подписание акта о капитуляции германских вооруженных сил перед американо-английскими войсками на южном участке западного фронта - в Баварии и западной части Австрии (7444).</w:t>
      </w:r>
    </w:p>
    <w:p w14:paraId="4D0358DC" w14:textId="77777777" w:rsidR="002029E1" w:rsidRPr="00F90EAE" w:rsidRDefault="002029E1" w:rsidP="00F90EAE">
      <w:pPr>
        <w:autoSpaceDE w:val="0"/>
        <w:autoSpaceDN w:val="0"/>
        <w:adjustRightInd w:val="0"/>
        <w:jc w:val="both"/>
        <w:rPr>
          <w:color w:val="000000" w:themeColor="text1"/>
          <w:sz w:val="16"/>
          <w:szCs w:val="16"/>
        </w:rPr>
      </w:pPr>
    </w:p>
    <w:p w14:paraId="1474D1E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мая 1945 капитулировали немецкие войска в Баварии и Западной Австрии (4962).</w:t>
      </w:r>
    </w:p>
    <w:p w14:paraId="60A6616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F40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был освобожден концлагерь Маутхаузен в Австрии (2248,6).</w:t>
      </w:r>
    </w:p>
    <w:p w14:paraId="514CAA82" w14:textId="77777777" w:rsidR="00665165" w:rsidRPr="00F90EAE" w:rsidRDefault="00665165" w:rsidP="00F90EAE">
      <w:pPr>
        <w:autoSpaceDE w:val="0"/>
        <w:autoSpaceDN w:val="0"/>
        <w:adjustRightInd w:val="0"/>
        <w:jc w:val="both"/>
        <w:rPr>
          <w:color w:val="000000" w:themeColor="text1"/>
          <w:sz w:val="16"/>
          <w:szCs w:val="16"/>
        </w:rPr>
      </w:pPr>
    </w:p>
    <w:p w14:paraId="05362F1F"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танковая бригада армии США освободила узников немецко-фашистского концлагеря Маутхаузен на территории Австрии. С 1998 года этот день отмечается в Австрии как День памяти жертв расизма и нацизма. Ежегодно в канун Дня Победы в первых числах мая в бывшем гитлеровском лагере смерти проводятся мемориальные церемонии (14882).</w:t>
      </w:r>
    </w:p>
    <w:p w14:paraId="0ABA6F56" w14:textId="77777777" w:rsidR="002029E1" w:rsidRPr="00F90EAE" w:rsidRDefault="002029E1" w:rsidP="00F90EAE">
      <w:pPr>
        <w:jc w:val="both"/>
        <w:rPr>
          <w:color w:val="000000" w:themeColor="text1"/>
          <w:sz w:val="16"/>
          <w:szCs w:val="16"/>
        </w:rPr>
      </w:pPr>
    </w:p>
    <w:p w14:paraId="2D4DFD2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5 1945 In an attempt to stall for more time so that German forces could escape the oncoming Soviets, Generaladmiral Hans Georg von Freideburg is sent to Eisenhower's HQ near Reims. von Freideburg states that the unconditional surrender of German field forces is beyond his authority, and contacts Doenitz for further orders (1242).</w:t>
      </w:r>
    </w:p>
    <w:p w14:paraId="23F48806" w14:textId="77777777" w:rsidR="00665165" w:rsidRPr="00F90EAE" w:rsidRDefault="00665165" w:rsidP="00F90EAE">
      <w:pPr>
        <w:autoSpaceDE w:val="0"/>
        <w:autoSpaceDN w:val="0"/>
        <w:adjustRightInd w:val="0"/>
        <w:jc w:val="both"/>
        <w:rPr>
          <w:color w:val="000000" w:themeColor="text1"/>
          <w:sz w:val="16"/>
          <w:szCs w:val="16"/>
          <w:lang w:val="en-US"/>
        </w:rPr>
      </w:pPr>
    </w:p>
    <w:p w14:paraId="77130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немцы пытались сдаться союзникам (1242).</w:t>
      </w:r>
    </w:p>
    <w:p w14:paraId="3027B0B6" w14:textId="77777777" w:rsidR="00665165" w:rsidRPr="00F90EAE" w:rsidRDefault="00665165" w:rsidP="00F90EAE">
      <w:pPr>
        <w:autoSpaceDE w:val="0"/>
        <w:autoSpaceDN w:val="0"/>
        <w:adjustRightInd w:val="0"/>
        <w:jc w:val="both"/>
        <w:rPr>
          <w:color w:val="000000" w:themeColor="text1"/>
          <w:sz w:val="16"/>
          <w:szCs w:val="16"/>
        </w:rPr>
      </w:pPr>
    </w:p>
    <w:p w14:paraId="7DB30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мая 1945 Нидерланды и Дания были освобождены из-под нацистского контроля (2100).</w:t>
      </w:r>
    </w:p>
    <w:p w14:paraId="58A904FC" w14:textId="77777777" w:rsidR="00665165" w:rsidRPr="00F90EAE" w:rsidRDefault="00665165" w:rsidP="00F90EAE">
      <w:pPr>
        <w:autoSpaceDE w:val="0"/>
        <w:autoSpaceDN w:val="0"/>
        <w:adjustRightInd w:val="0"/>
        <w:jc w:val="both"/>
        <w:rPr>
          <w:color w:val="000000" w:themeColor="text1"/>
          <w:sz w:val="16"/>
          <w:szCs w:val="16"/>
        </w:rPr>
      </w:pPr>
    </w:p>
    <w:p w14:paraId="67312D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мая 1945 Голландия и Дания освобождены от фашистов (4962).</w:t>
      </w:r>
    </w:p>
    <w:p w14:paraId="64A2248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B6029EE"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ликвидировано прогерманское правительство Нидерландов во главе с А.А.Муссертом (14882).</w:t>
      </w:r>
    </w:p>
    <w:p w14:paraId="733575F6" w14:textId="77777777" w:rsidR="002029E1" w:rsidRPr="00F90EAE" w:rsidRDefault="002029E1" w:rsidP="00F90EAE">
      <w:pPr>
        <w:jc w:val="both"/>
        <w:rPr>
          <w:color w:val="000000" w:themeColor="text1"/>
          <w:sz w:val="16"/>
          <w:szCs w:val="16"/>
        </w:rPr>
      </w:pPr>
    </w:p>
    <w:p w14:paraId="64FB4A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апреля 1945 началось Пражское восстание, но наступление на Дрезден смогли начать только 5 апреля 1945 (2070,236).</w:t>
      </w:r>
    </w:p>
    <w:p w14:paraId="1770FAEE" w14:textId="77777777" w:rsidR="00665165" w:rsidRPr="00F90EAE" w:rsidRDefault="00665165" w:rsidP="00F90EAE">
      <w:pPr>
        <w:autoSpaceDE w:val="0"/>
        <w:autoSpaceDN w:val="0"/>
        <w:adjustRightInd w:val="0"/>
        <w:jc w:val="both"/>
        <w:rPr>
          <w:color w:val="000000" w:themeColor="text1"/>
          <w:sz w:val="16"/>
          <w:szCs w:val="16"/>
        </w:rPr>
      </w:pPr>
    </w:p>
    <w:p w14:paraId="6457443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мая 1945 атаками японских камикадзе у Окинавы потоплены 17 американских кораблей (4962).</w:t>
      </w:r>
    </w:p>
    <w:p w14:paraId="02E1D8D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C798EA" w14:textId="77777777" w:rsidR="008628F5" w:rsidRPr="00F90EAE" w:rsidRDefault="008628F5" w:rsidP="00F90EAE">
      <w:pPr>
        <w:jc w:val="both"/>
        <w:rPr>
          <w:color w:val="0070C0"/>
          <w:sz w:val="16"/>
          <w:szCs w:val="16"/>
        </w:rPr>
      </w:pPr>
      <w:r w:rsidRPr="00F90EAE">
        <w:rPr>
          <w:color w:val="0070C0"/>
          <w:sz w:val="16"/>
          <w:szCs w:val="16"/>
        </w:rPr>
        <w:t>5-6 мая 1945 британские авианосцы HMS Emperor, HMS Hunter, HMS Хедив и HMS Stalker завершили поддержку операции Дракула - бомбардировки японских войск к югу от Рангуне (20371).</w:t>
      </w:r>
    </w:p>
    <w:p w14:paraId="2C422A91" w14:textId="77777777" w:rsidR="008628F5" w:rsidRPr="00F90EAE" w:rsidRDefault="008628F5" w:rsidP="00F90EAE">
      <w:pPr>
        <w:jc w:val="both"/>
        <w:rPr>
          <w:color w:val="0070C0"/>
          <w:sz w:val="16"/>
          <w:szCs w:val="16"/>
        </w:rPr>
      </w:pPr>
    </w:p>
    <w:p w14:paraId="2D4778AF"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атаками японских камикадзе у Окинавы потопляются 17 американских кораблей (14882).</w:t>
      </w:r>
    </w:p>
    <w:p w14:paraId="29ED923E" w14:textId="77777777" w:rsidR="002029E1" w:rsidRPr="00F90EAE" w:rsidRDefault="002029E1" w:rsidP="00F90EAE">
      <w:pPr>
        <w:jc w:val="both"/>
        <w:rPr>
          <w:color w:val="000000" w:themeColor="text1"/>
          <w:sz w:val="16"/>
          <w:szCs w:val="16"/>
        </w:rPr>
      </w:pPr>
    </w:p>
    <w:p w14:paraId="1A1015A4" w14:textId="77777777" w:rsidR="002029E1" w:rsidRPr="00F90EAE" w:rsidRDefault="002029E1" w:rsidP="00F90EAE">
      <w:pPr>
        <w:jc w:val="both"/>
        <w:rPr>
          <w:color w:val="000000" w:themeColor="text1"/>
          <w:sz w:val="16"/>
          <w:szCs w:val="16"/>
        </w:rPr>
      </w:pPr>
      <w:r w:rsidRPr="00F90EAE">
        <w:rPr>
          <w:color w:val="000000" w:themeColor="text1"/>
          <w:sz w:val="16"/>
          <w:szCs w:val="16"/>
        </w:rPr>
        <w:t>5 мая в 1945 году (5-21 мая) VI съезд Государственно-национальной партии Китая в Чунцине. Чан Кай-ши отверг идею сотрудничества с Коммунистической партией Китая (14882).</w:t>
      </w:r>
    </w:p>
    <w:p w14:paraId="761AE222" w14:textId="77777777" w:rsidR="002029E1" w:rsidRPr="00F90EAE" w:rsidRDefault="002029E1" w:rsidP="00F90EAE">
      <w:pPr>
        <w:jc w:val="both"/>
        <w:rPr>
          <w:color w:val="000000" w:themeColor="text1"/>
          <w:sz w:val="16"/>
          <w:szCs w:val="16"/>
        </w:rPr>
      </w:pPr>
    </w:p>
    <w:p w14:paraId="00621CF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мая 1945 в штате Орегон японской бомбой на воздушном шаре убиты 6 штатских американцев (из десяти убитых за всю войну) (4962).</w:t>
      </w:r>
    </w:p>
    <w:p w14:paraId="4EFE689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FED3B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B0D6642" w14:textId="77777777" w:rsidR="00665165" w:rsidRPr="00F90EAE" w:rsidRDefault="00665165" w:rsidP="00F90EAE">
      <w:pPr>
        <w:autoSpaceDE w:val="0"/>
        <w:autoSpaceDN w:val="0"/>
        <w:adjustRightInd w:val="0"/>
        <w:jc w:val="both"/>
        <w:rPr>
          <w:iCs/>
          <w:color w:val="000000" w:themeColor="text1"/>
          <w:sz w:val="16"/>
          <w:szCs w:val="16"/>
        </w:rPr>
      </w:pPr>
    </w:p>
    <w:p w14:paraId="6C18A3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мая 1945 на Ил-8 № 1 устано</w:t>
      </w:r>
      <w:r w:rsidRPr="00F90EAE">
        <w:rPr>
          <w:color w:val="000000" w:themeColor="text1"/>
          <w:sz w:val="16"/>
          <w:szCs w:val="16"/>
        </w:rPr>
        <w:softHyphen/>
        <w:t>вили другой мотор АМ-42 (зав. № 45733) и 11 мая 1945 он завершил заводские испытания. В общей сложности было выполнено 68 полетов с налетом 34 ч 9 мин.</w:t>
      </w:r>
    </w:p>
    <w:p w14:paraId="084E07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полетном весе 7540 кг (1 000 кг бомб) самолет показал мак</w:t>
      </w:r>
      <w:r w:rsidRPr="00F90EAE">
        <w:rPr>
          <w:color w:val="000000" w:themeColor="text1"/>
          <w:sz w:val="16"/>
          <w:szCs w:val="16"/>
        </w:rPr>
        <w:softHyphen/>
        <w:t>симальную скорость 473 км/ч у зем</w:t>
      </w:r>
      <w:r w:rsidRPr="00F90EAE">
        <w:rPr>
          <w:color w:val="000000" w:themeColor="text1"/>
          <w:sz w:val="16"/>
          <w:szCs w:val="16"/>
        </w:rPr>
        <w:softHyphen/>
        <w:t>ли и 516 км/ч на высоте 2720 м. Время подъема на высоту 1000 м со</w:t>
      </w:r>
      <w:r w:rsidRPr="00F90EAE">
        <w:rPr>
          <w:color w:val="000000" w:themeColor="text1"/>
          <w:sz w:val="16"/>
          <w:szCs w:val="16"/>
        </w:rPr>
        <w:softHyphen/>
        <w:t>ставило 2,2 минут. Разбег на фор</w:t>
      </w:r>
      <w:r w:rsidRPr="00F90EAE">
        <w:rPr>
          <w:color w:val="000000" w:themeColor="text1"/>
          <w:sz w:val="16"/>
          <w:szCs w:val="16"/>
        </w:rPr>
        <w:softHyphen/>
        <w:t>саже и с отклоненными на 17° щит</w:t>
      </w:r>
      <w:r w:rsidRPr="00F90EAE">
        <w:rPr>
          <w:color w:val="000000" w:themeColor="text1"/>
          <w:sz w:val="16"/>
          <w:szCs w:val="16"/>
        </w:rPr>
        <w:softHyphen/>
        <w:t>ками равнялся 526 м. С предельно возможной заправкой горючим и маслом (полетный вес 7830 кг) даль</w:t>
      </w:r>
      <w:r w:rsidRPr="00F90EAE">
        <w:rPr>
          <w:color w:val="000000" w:themeColor="text1"/>
          <w:sz w:val="16"/>
          <w:szCs w:val="16"/>
        </w:rPr>
        <w:softHyphen/>
        <w:t>ность полета на высоте 680 м при скорости по прибору 297 км/ч дос</w:t>
      </w:r>
      <w:r w:rsidRPr="00F90EAE">
        <w:rPr>
          <w:color w:val="000000" w:themeColor="text1"/>
          <w:sz w:val="16"/>
          <w:szCs w:val="16"/>
        </w:rPr>
        <w:softHyphen/>
        <w:t>тигала 1270 км.</w:t>
      </w:r>
    </w:p>
    <w:p w14:paraId="348D95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 В. К. Коккинаки дал хо</w:t>
      </w:r>
      <w:r w:rsidRPr="00F90EAE">
        <w:rPr>
          <w:color w:val="000000" w:themeColor="text1"/>
          <w:sz w:val="16"/>
          <w:szCs w:val="16"/>
        </w:rPr>
        <w:softHyphen/>
        <w:t>рошую оценку летным качествам са</w:t>
      </w:r>
      <w:r w:rsidRPr="00F90EAE">
        <w:rPr>
          <w:color w:val="000000" w:themeColor="text1"/>
          <w:sz w:val="16"/>
          <w:szCs w:val="16"/>
        </w:rPr>
        <w:softHyphen/>
        <w:t>молета, отметив простоту и легкость управления, а также устойчивость ма</w:t>
      </w:r>
      <w:r w:rsidRPr="00F90EAE">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F90EAE">
        <w:rPr>
          <w:color w:val="000000" w:themeColor="text1"/>
          <w:sz w:val="16"/>
          <w:szCs w:val="16"/>
        </w:rPr>
        <w:softHyphen/>
        <w:t>каких особенностей не имел. Посад</w:t>
      </w:r>
      <w:r w:rsidRPr="00F90EAE">
        <w:rPr>
          <w:color w:val="000000" w:themeColor="text1"/>
          <w:sz w:val="16"/>
          <w:szCs w:val="16"/>
        </w:rPr>
        <w:softHyphen/>
        <w:t>ка была простой, тенденций к свали</w:t>
      </w:r>
      <w:r w:rsidRPr="00F90EAE">
        <w:rPr>
          <w:color w:val="000000" w:themeColor="text1"/>
          <w:sz w:val="16"/>
          <w:szCs w:val="16"/>
        </w:rPr>
        <w:softHyphen/>
        <w:t>ванию при высоком выравнивании не наблюдалось. В качестве недостат</w:t>
      </w:r>
      <w:r w:rsidRPr="00F90EAE">
        <w:rPr>
          <w:color w:val="000000" w:themeColor="text1"/>
          <w:sz w:val="16"/>
          <w:szCs w:val="16"/>
        </w:rPr>
        <w:softHyphen/>
        <w:t>ков указывались отсутствие тримме</w:t>
      </w:r>
      <w:r w:rsidRPr="00F90EAE">
        <w:rPr>
          <w:color w:val="000000" w:themeColor="text1"/>
          <w:sz w:val="16"/>
          <w:szCs w:val="16"/>
        </w:rPr>
        <w:softHyphen/>
        <w:t>ра на элеронах и неравномерный обдув маслорадиатора.</w:t>
      </w:r>
    </w:p>
    <w:p w14:paraId="36AEC213" w14:textId="77777777" w:rsidR="00665165" w:rsidRPr="00F90EAE" w:rsidRDefault="00665165" w:rsidP="00F90EAE">
      <w:pPr>
        <w:shd w:val="clear" w:color="auto" w:fill="FFFFFF"/>
        <w:autoSpaceDE w:val="0"/>
        <w:autoSpaceDN w:val="0"/>
        <w:adjustRightInd w:val="0"/>
        <w:jc w:val="both"/>
        <w:rPr>
          <w:iCs/>
          <w:color w:val="000000" w:themeColor="text1"/>
          <w:sz w:val="16"/>
          <w:szCs w:val="16"/>
        </w:rPr>
      </w:pPr>
      <w:r w:rsidRPr="00F90EAE">
        <w:rPr>
          <w:color w:val="000000" w:themeColor="text1"/>
          <w:sz w:val="16"/>
          <w:szCs w:val="16"/>
        </w:rPr>
        <w:t xml:space="preserve">В заключение отчета Ил-8 № 1 рекомендовался </w:t>
      </w:r>
      <w:r w:rsidRPr="00F90EAE">
        <w:rPr>
          <w:iCs/>
          <w:color w:val="000000" w:themeColor="text1"/>
          <w:sz w:val="16"/>
          <w:szCs w:val="16"/>
        </w:rPr>
        <w:t>"к внедрению в се</w:t>
      </w:r>
      <w:r w:rsidRPr="00F90EAE">
        <w:rPr>
          <w:iCs/>
          <w:color w:val="000000" w:themeColor="text1"/>
          <w:sz w:val="16"/>
          <w:szCs w:val="16"/>
        </w:rPr>
        <w:softHyphen/>
        <w:t>рийное производство в качестве штурмовика-бомбардировщика " (11431).</w:t>
      </w:r>
    </w:p>
    <w:p w14:paraId="69581E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A29EB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DB10465" w14:textId="77777777" w:rsidR="00665165" w:rsidRPr="00F90EAE" w:rsidRDefault="00665165" w:rsidP="00F90EAE">
      <w:pPr>
        <w:autoSpaceDE w:val="0"/>
        <w:autoSpaceDN w:val="0"/>
        <w:adjustRightInd w:val="0"/>
        <w:jc w:val="both"/>
        <w:rPr>
          <w:iCs/>
          <w:color w:val="000000" w:themeColor="text1"/>
          <w:sz w:val="16"/>
          <w:szCs w:val="16"/>
        </w:rPr>
      </w:pPr>
    </w:p>
    <w:p w14:paraId="2B0245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8424. О дополнительном выделении угля мельницам НКзага в Хабаровском крае. РГАНИР, Фонд ГКО, д. 412, лл. 2 (11012).</w:t>
      </w:r>
    </w:p>
    <w:p w14:paraId="1137AD0E" w14:textId="77777777" w:rsidR="00665165" w:rsidRPr="00F90EAE" w:rsidRDefault="00665165" w:rsidP="00F90EAE">
      <w:pPr>
        <w:autoSpaceDE w:val="0"/>
        <w:autoSpaceDN w:val="0"/>
        <w:adjustRightInd w:val="0"/>
        <w:jc w:val="both"/>
        <w:rPr>
          <w:color w:val="000000" w:themeColor="text1"/>
          <w:sz w:val="16"/>
          <w:szCs w:val="16"/>
        </w:rPr>
      </w:pPr>
    </w:p>
    <w:p w14:paraId="1FF6B6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8425. О дополнительных поставках в 1945 году стального марганцевого литья для электростанций Наркомата электростанций. РГАНИР, Фонд ГКО, д. 412, лл. 3-4 (11012).</w:t>
      </w:r>
    </w:p>
    <w:p w14:paraId="56B87A46" w14:textId="77777777" w:rsidR="00665165" w:rsidRPr="00F90EAE" w:rsidRDefault="00665165" w:rsidP="00F90EAE">
      <w:pPr>
        <w:autoSpaceDE w:val="0"/>
        <w:autoSpaceDN w:val="0"/>
        <w:adjustRightInd w:val="0"/>
        <w:jc w:val="both"/>
        <w:rPr>
          <w:color w:val="000000" w:themeColor="text1"/>
          <w:sz w:val="16"/>
          <w:szCs w:val="16"/>
        </w:rPr>
      </w:pPr>
    </w:p>
    <w:p w14:paraId="7E37AE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8426. О дополнительном выделении мазута для новосибирских электростанций НКЭС. РГАНИР, Фонд ГКО, д. 412, лл. 5 (11012).</w:t>
      </w:r>
    </w:p>
    <w:p w14:paraId="3934846D" w14:textId="77777777" w:rsidR="00665165" w:rsidRPr="00F90EAE" w:rsidRDefault="00665165" w:rsidP="00F90EAE">
      <w:pPr>
        <w:autoSpaceDE w:val="0"/>
        <w:autoSpaceDN w:val="0"/>
        <w:adjustRightInd w:val="0"/>
        <w:jc w:val="both"/>
        <w:rPr>
          <w:color w:val="000000" w:themeColor="text1"/>
          <w:sz w:val="16"/>
          <w:szCs w:val="16"/>
        </w:rPr>
      </w:pPr>
    </w:p>
    <w:p w14:paraId="2EC92D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8427. О лимите отпуска электроэнергии предприятиям НКБ по Новосибирской энергосистеме. РГАНИР, Фонд ГКО, д. 412, лл. 6 (11012).</w:t>
      </w:r>
    </w:p>
    <w:p w14:paraId="76DCC049" w14:textId="77777777" w:rsidR="00665165" w:rsidRPr="00F90EAE" w:rsidRDefault="00665165" w:rsidP="00F90EAE">
      <w:pPr>
        <w:autoSpaceDE w:val="0"/>
        <w:autoSpaceDN w:val="0"/>
        <w:adjustRightInd w:val="0"/>
        <w:jc w:val="both"/>
        <w:rPr>
          <w:color w:val="000000" w:themeColor="text1"/>
          <w:sz w:val="16"/>
          <w:szCs w:val="16"/>
        </w:rPr>
      </w:pPr>
    </w:p>
    <w:p w14:paraId="0DC9A96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8428 [О мерах по увеличению выработки электроэнергии по Московской и Харьковской энергосистемам.] (7336, 7).</w:t>
      </w:r>
    </w:p>
    <w:p w14:paraId="0C73C7A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BE39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8429. О закреплении на постоянную работу отбывших наказание заключенных на Черниговском фанерном комбинате НКлеса. РГАНИР, Фонд ГКО, д. 412, лл. 8 (11012).</w:t>
      </w:r>
    </w:p>
    <w:p w14:paraId="2CB8ED3C" w14:textId="77777777" w:rsidR="00665165" w:rsidRPr="00F90EAE" w:rsidRDefault="00665165" w:rsidP="00F90EAE">
      <w:pPr>
        <w:autoSpaceDE w:val="0"/>
        <w:autoSpaceDN w:val="0"/>
        <w:adjustRightInd w:val="0"/>
        <w:jc w:val="both"/>
        <w:rPr>
          <w:color w:val="000000" w:themeColor="text1"/>
          <w:sz w:val="16"/>
          <w:szCs w:val="16"/>
        </w:rPr>
      </w:pPr>
    </w:p>
    <w:p w14:paraId="4D71E2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8430. О закреплении за строительным трестом "Курганстрой" 100 рабочих из числа военнообязанных, не годных к строевой службе. РГАНИР, Фонд ГКО, д. 412, лл. 9 (11012).</w:t>
      </w:r>
    </w:p>
    <w:p w14:paraId="2515A6D0" w14:textId="77777777" w:rsidR="00665165" w:rsidRPr="00F90EAE" w:rsidRDefault="00665165" w:rsidP="00F90EAE">
      <w:pPr>
        <w:autoSpaceDE w:val="0"/>
        <w:autoSpaceDN w:val="0"/>
        <w:adjustRightInd w:val="0"/>
        <w:jc w:val="both"/>
        <w:rPr>
          <w:color w:val="000000" w:themeColor="text1"/>
          <w:sz w:val="16"/>
          <w:szCs w:val="16"/>
        </w:rPr>
      </w:pPr>
    </w:p>
    <w:p w14:paraId="4AAD4E1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8431 [О закреплении за Ленинградским торговым портом 1000 красноармейцев.] (7336, 10).</w:t>
      </w:r>
    </w:p>
    <w:p w14:paraId="7599514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CFB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8432. О поставках мясных субпродуктов для строительств военно-морских баз в Прибалтике. РГАНИР, Фонд ГКО, д. 412, лл. 11 (11012).</w:t>
      </w:r>
    </w:p>
    <w:p w14:paraId="5C73165D" w14:textId="77777777" w:rsidR="00665165" w:rsidRPr="00F90EAE" w:rsidRDefault="00665165" w:rsidP="00F90EAE">
      <w:pPr>
        <w:autoSpaceDE w:val="0"/>
        <w:autoSpaceDN w:val="0"/>
        <w:adjustRightInd w:val="0"/>
        <w:jc w:val="both"/>
        <w:rPr>
          <w:color w:val="000000" w:themeColor="text1"/>
          <w:sz w:val="16"/>
          <w:szCs w:val="16"/>
        </w:rPr>
      </w:pPr>
    </w:p>
    <w:p w14:paraId="462DDB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8433 [О выделении 20 импортных автосамосвалов НКТП во II кв. 1945 г. для использования в жилищном строительстве.] (7336, 12).</w:t>
      </w:r>
    </w:p>
    <w:p w14:paraId="684414C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DE32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Распоряжение ГКО № 8434. О мерах по ускорению бурения газовых скважин, строительства компрессорных станций и подаче газа на сажевые заводы предприятиями НКНП в Азербайджанской ССР. РГАНИР, Фонд ГКО, д. 412, лл. 13-14 (11012).</w:t>
      </w:r>
    </w:p>
    <w:p w14:paraId="654D870D" w14:textId="77777777" w:rsidR="00665165" w:rsidRPr="00F90EAE" w:rsidRDefault="00665165" w:rsidP="00F90EAE">
      <w:pPr>
        <w:autoSpaceDE w:val="0"/>
        <w:autoSpaceDN w:val="0"/>
        <w:adjustRightInd w:val="0"/>
        <w:jc w:val="both"/>
        <w:rPr>
          <w:color w:val="000000" w:themeColor="text1"/>
          <w:sz w:val="16"/>
          <w:szCs w:val="16"/>
        </w:rPr>
      </w:pPr>
    </w:p>
    <w:p w14:paraId="6A42EA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8435 Об организации сельхозуправлений при начальниках тыла 1, 2, 3-го Белорусских и 1-го Украинского фронтов. РГАНИР, Фонд ГКО, д. 412, лл. 15-18 (11012).</w:t>
      </w:r>
    </w:p>
    <w:p w14:paraId="24260087" w14:textId="77777777" w:rsidR="00665165" w:rsidRPr="00F90EAE" w:rsidRDefault="00665165" w:rsidP="00F90EAE">
      <w:pPr>
        <w:autoSpaceDE w:val="0"/>
        <w:autoSpaceDN w:val="0"/>
        <w:adjustRightInd w:val="0"/>
        <w:jc w:val="both"/>
        <w:rPr>
          <w:color w:val="000000" w:themeColor="text1"/>
          <w:sz w:val="16"/>
          <w:szCs w:val="16"/>
        </w:rPr>
      </w:pPr>
    </w:p>
    <w:p w14:paraId="60EEE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8436 О строительстве Кутаисского автомобильного завода. РГАНИР, Фонд ГКО, д. 412, лл. 19-20 (11012).</w:t>
      </w:r>
    </w:p>
    <w:p w14:paraId="4966944F" w14:textId="77777777" w:rsidR="00665165" w:rsidRPr="00F90EAE" w:rsidRDefault="00665165" w:rsidP="00F90EAE">
      <w:pPr>
        <w:autoSpaceDE w:val="0"/>
        <w:autoSpaceDN w:val="0"/>
        <w:adjustRightInd w:val="0"/>
        <w:jc w:val="both"/>
        <w:rPr>
          <w:color w:val="000000" w:themeColor="text1"/>
          <w:sz w:val="16"/>
          <w:szCs w:val="16"/>
        </w:rPr>
      </w:pPr>
    </w:p>
    <w:p w14:paraId="7F5464E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8437 О капитальном восстановлении железнодорожных тоннелей через Карпаты. (7336, 21-25,26-27).</w:t>
      </w:r>
    </w:p>
    <w:p w14:paraId="63AEDED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6A77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8438 О плане выработки и распределения электроэнергии на май и июнь 1945 года по Азербайджанской и Северо-Кавказской энергоситемы. РГАНИР, Фонд ГКО, д. 412, лл. 28-29, 30-33 (11012).</w:t>
      </w:r>
    </w:p>
    <w:p w14:paraId="2252B7CA" w14:textId="77777777" w:rsidR="00665165" w:rsidRPr="00F90EAE" w:rsidRDefault="00665165" w:rsidP="00F90EAE">
      <w:pPr>
        <w:autoSpaceDE w:val="0"/>
        <w:autoSpaceDN w:val="0"/>
        <w:adjustRightInd w:val="0"/>
        <w:jc w:val="both"/>
        <w:rPr>
          <w:color w:val="000000" w:themeColor="text1"/>
          <w:sz w:val="16"/>
          <w:szCs w:val="16"/>
        </w:rPr>
      </w:pPr>
    </w:p>
    <w:p w14:paraId="5A618F2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8439 О мерах помощи строительству Богословского алюминиевого завода НКВД СССР и его ТЭЦ. (7336, 34-38,39-55).</w:t>
      </w:r>
    </w:p>
    <w:p w14:paraId="6BBCE18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82480C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8440 О мероприятиях по обеспечению металлургических и оборонных заводов ломом черных металлов во II квартале 1945 г. (7336, 56-71).</w:t>
      </w:r>
    </w:p>
    <w:p w14:paraId="3B6E68C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5B68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8441 О мероприятиях по обеспечению производства тяжелых танков ИС-3 на заводах Наркомтанкопрома. РГАНИР, Фонд ГКО, д. 412, лл. 72-79, 80-109 (11012).</w:t>
      </w:r>
    </w:p>
    <w:p w14:paraId="15DF5384" w14:textId="77777777" w:rsidR="00665165" w:rsidRPr="00F90EAE" w:rsidRDefault="00665165" w:rsidP="00F90EAE">
      <w:pPr>
        <w:autoSpaceDE w:val="0"/>
        <w:autoSpaceDN w:val="0"/>
        <w:adjustRightInd w:val="0"/>
        <w:jc w:val="both"/>
        <w:rPr>
          <w:color w:val="000000" w:themeColor="text1"/>
          <w:sz w:val="16"/>
          <w:szCs w:val="16"/>
        </w:rPr>
      </w:pPr>
    </w:p>
    <w:p w14:paraId="3393A12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8442 Об утверждении перечня гражданских судов, подлежащих передаче в состав Краснознаменной Амурской флотилии для военных нужд. (7336, 110,111-116).</w:t>
      </w:r>
    </w:p>
    <w:p w14:paraId="419A49D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70F43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8443 О мероприятиях по обеспечению ввода в действие в 1945 году объектов черной металлургии, осуществляемых Тагилстроем НКВД СССР. РГАНИР, Фонд ГКО, д. 412, лл. 117-121, 122-139 (11012).</w:t>
      </w:r>
    </w:p>
    <w:p w14:paraId="7F8E044C" w14:textId="77777777" w:rsidR="00665165" w:rsidRPr="00F90EAE" w:rsidRDefault="00665165" w:rsidP="00F90EAE">
      <w:pPr>
        <w:autoSpaceDE w:val="0"/>
        <w:autoSpaceDN w:val="0"/>
        <w:adjustRightInd w:val="0"/>
        <w:jc w:val="both"/>
        <w:rPr>
          <w:color w:val="000000" w:themeColor="text1"/>
          <w:sz w:val="16"/>
          <w:szCs w:val="16"/>
        </w:rPr>
      </w:pPr>
    </w:p>
    <w:p w14:paraId="0647DF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8444 О плане военного судостроения на II кв. 1945 года. РГАНИР, Фонд ГКО, д. 412, лл. 140-147, 148-169 (11012).</w:t>
      </w:r>
    </w:p>
    <w:p w14:paraId="0E4BAB96" w14:textId="77777777" w:rsidR="00665165" w:rsidRPr="00F90EAE" w:rsidRDefault="00665165" w:rsidP="00F90EAE">
      <w:pPr>
        <w:autoSpaceDE w:val="0"/>
        <w:autoSpaceDN w:val="0"/>
        <w:adjustRightInd w:val="0"/>
        <w:jc w:val="both"/>
        <w:rPr>
          <w:color w:val="000000" w:themeColor="text1"/>
          <w:sz w:val="16"/>
          <w:szCs w:val="16"/>
        </w:rPr>
      </w:pPr>
    </w:p>
    <w:p w14:paraId="0802421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8445 О плане подъема кораблей и судов во П квартале 1945 г. (7337, 1-5,6-24).</w:t>
      </w:r>
    </w:p>
    <w:p w14:paraId="59AECA8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19C1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8447 Об утверждении плана заказов Наркомвоенморфлота на 1945 год и II квартал 1945 года по трально-сетевому и штурманскому вооружению, морским артиллерийским приборам. судовому оборудованию и о мероприятиях по его обеспечению. РГАНИР, Фонд ГКО, д. 413 (11012).</w:t>
      </w:r>
    </w:p>
    <w:p w14:paraId="7C890F0A" w14:textId="77777777" w:rsidR="00665165" w:rsidRPr="00F90EAE" w:rsidRDefault="00665165" w:rsidP="00F90EAE">
      <w:pPr>
        <w:autoSpaceDE w:val="0"/>
        <w:autoSpaceDN w:val="0"/>
        <w:adjustRightInd w:val="0"/>
        <w:jc w:val="both"/>
        <w:rPr>
          <w:color w:val="000000" w:themeColor="text1"/>
          <w:sz w:val="16"/>
          <w:szCs w:val="16"/>
        </w:rPr>
      </w:pPr>
    </w:p>
    <w:p w14:paraId="3112F0A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EA77151" w14:textId="77777777" w:rsidR="00665165" w:rsidRPr="00F90EAE" w:rsidRDefault="00665165" w:rsidP="00F90EAE">
      <w:pPr>
        <w:autoSpaceDE w:val="0"/>
        <w:autoSpaceDN w:val="0"/>
        <w:adjustRightInd w:val="0"/>
        <w:jc w:val="both"/>
        <w:rPr>
          <w:iCs/>
          <w:color w:val="000000" w:themeColor="text1"/>
          <w:sz w:val="16"/>
          <w:szCs w:val="16"/>
        </w:rPr>
      </w:pPr>
    </w:p>
    <w:p w14:paraId="38B2F5CF" w14:textId="77777777" w:rsidR="002029E1" w:rsidRPr="00F90EAE" w:rsidRDefault="002029E1" w:rsidP="00F90EAE">
      <w:pPr>
        <w:jc w:val="both"/>
        <w:rPr>
          <w:color w:val="000000" w:themeColor="text1"/>
          <w:sz w:val="16"/>
          <w:szCs w:val="16"/>
        </w:rPr>
      </w:pPr>
      <w:r w:rsidRPr="00F90EAE">
        <w:rPr>
          <w:color w:val="000000" w:themeColor="text1"/>
          <w:sz w:val="16"/>
          <w:szCs w:val="16"/>
        </w:rPr>
        <w:t>6 мая в 1945 году оперативная сводка Совинформбюро:</w:t>
      </w:r>
    </w:p>
    <w:p w14:paraId="448CE7AE"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Белорусского фронта, продолжая наступление, форсировали пролив Штральзундерфарвассер, заняли на острове Рюген города Берген, Гарц, Путбус, Засснитц и 6 мая полностью овладели островом Рюген. В боях за 5 мая войска фронта взяли в плен 4.660 немецких солдат и офицеров и захватили 24 самолёта и 215 полевых орудий. В числе пленных начальник мобилизационного отдела Штеттинского военного округа контр-адмирал Хорстман.</w:t>
      </w:r>
    </w:p>
    <w:p w14:paraId="6CA0E41C" w14:textId="77777777" w:rsidR="002029E1" w:rsidRPr="00F90EAE" w:rsidRDefault="002029E1" w:rsidP="00F90EAE">
      <w:pPr>
        <w:jc w:val="both"/>
        <w:rPr>
          <w:color w:val="000000" w:themeColor="text1"/>
          <w:sz w:val="16"/>
          <w:szCs w:val="16"/>
        </w:rPr>
      </w:pPr>
      <w:r w:rsidRPr="00F90EAE">
        <w:rPr>
          <w:color w:val="000000" w:themeColor="text1"/>
          <w:sz w:val="16"/>
          <w:szCs w:val="16"/>
        </w:rPr>
        <w:lastRenderedPageBreak/>
        <w:t>Войска 1-го Белорусского фронта, продвигаясь вперёд северо-западнее и западнее города Бранденбург, заняли крупные населённые пункты Зандау, Вулькау, Клитц, Ферхель, Фиритц, Шлагентин, Плауе, Гросс-Вустервитц, Каде, Каров. За 5 мая войска фронта взяли в плен 17.120 немецких солдат и офицеров и захватили 119 самолётов и 235 полевых орудий.</w:t>
      </w:r>
    </w:p>
    <w:p w14:paraId="735C0792"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4-го Украинского фронта, наступая западнее и юго-западнее города Моравска Острава, с боями заняли города Бениш, Штернберг, Пржибор, Новый Йичин, Френштат, Валаш Межиричи, Голешов. В боях за 5 мая войска фронта взяли в плен белее 1.000 немецких солдат и офицеров.</w:t>
      </w:r>
    </w:p>
    <w:p w14:paraId="2C9B608E"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Украинского фронта северо-восточнее города Брно с боями заняли город Коетин и крупные населённые пункты Фриштан, Мартинице, Гулин. На других участках фронта существенных изменений не произошло.</w:t>
      </w:r>
    </w:p>
    <w:p w14:paraId="5FD3EC72" w14:textId="77777777" w:rsidR="002029E1" w:rsidRPr="00F90EAE" w:rsidRDefault="002029E1" w:rsidP="00F90EAE">
      <w:pPr>
        <w:jc w:val="both"/>
        <w:rPr>
          <w:color w:val="000000" w:themeColor="text1"/>
          <w:sz w:val="16"/>
          <w:szCs w:val="16"/>
        </w:rPr>
      </w:pPr>
      <w:r w:rsidRPr="00F90EAE">
        <w:rPr>
          <w:color w:val="000000" w:themeColor="text1"/>
          <w:sz w:val="16"/>
          <w:szCs w:val="16"/>
        </w:rPr>
        <w:t>Удары авиации Краснознамённого Балтийского флота по кораблям и транспортам противника</w:t>
      </w:r>
    </w:p>
    <w:p w14:paraId="6022A87B" w14:textId="77777777" w:rsidR="002029E1" w:rsidRPr="00F90EAE" w:rsidRDefault="002029E1" w:rsidP="00F90EAE">
      <w:pPr>
        <w:jc w:val="both"/>
        <w:rPr>
          <w:color w:val="000000" w:themeColor="text1"/>
          <w:sz w:val="16"/>
          <w:szCs w:val="16"/>
        </w:rPr>
      </w:pPr>
      <w:r w:rsidRPr="00F90EAE">
        <w:rPr>
          <w:color w:val="000000" w:themeColor="text1"/>
          <w:sz w:val="16"/>
          <w:szCs w:val="16"/>
        </w:rPr>
        <w:t>3 и 4 мая авиация Краснознамённого Балтийского флота нанесла удары по кораблям и транспортам немцев в Балтийском море севернее Свинемюнде. В результате этих ударов потоплены: учебный линкор «Шлезиен» водоизмещением в 13.600 тонн и 5 транспортов общим водоизмещением в 24.500 тонн.</w:t>
      </w:r>
    </w:p>
    <w:p w14:paraId="2CA65312"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Белорусского фронта, овладевшие городом Штральзунд, в нескольких местах переправились через пролив Штральзундерфарвассер и завязали бои на острове Рюген. Немцы предприняли несколько контратак, пытаясь сбросить наши десантные части в пролив. Советские войска отбили вражеские контратаки, опрокинули гитлеровцев и развернули стремительное наступление. Продвинувшись вперёд на 20 километров, наши части штурмом заняли город Берген — важный узел железных и шоссейных дорог. Ожесточённые бои произошли также за город Засснитц. Используя удобную для обороны лесистую местность, немцы упорно сопротивлялись. Советские автоматчики лесами проникли в тыл противника и ворвались в го-род. Вражеский гарнизон сложил оружие и сдался в плен. Сегодня во второй половине дня наши войска подавили отдельные очаги сопротивления гитлеровцев и полностью овладели островом Рюген. Среди захваченных трофеев 37 складов с вооружением, боеприпасами и различным военным имуществом.</w:t>
      </w:r>
    </w:p>
    <w:p w14:paraId="03CDB1F5" w14:textId="77777777" w:rsidR="002029E1" w:rsidRPr="00F90EAE" w:rsidRDefault="002029E1" w:rsidP="00F90EAE">
      <w:pPr>
        <w:jc w:val="both"/>
        <w:rPr>
          <w:color w:val="000000" w:themeColor="text1"/>
          <w:sz w:val="16"/>
          <w:szCs w:val="16"/>
        </w:rPr>
      </w:pPr>
      <w:r w:rsidRPr="00F90EAE">
        <w:rPr>
          <w:color w:val="000000" w:themeColor="text1"/>
          <w:sz w:val="16"/>
          <w:szCs w:val="16"/>
        </w:rPr>
        <w:t>Северо-западнее и западнее города Бранденбург войска 1-го Белорусского фронта продолжали продвигаться вперед. Пытаясь задержать наши войска у узлов дорог и населённых пунктов, отдельные группы гитлеровцев ведут беспорядочный огонь. Советские части быстро ликвидируют эти очаги сопротивления противника. Захвачено 14 самоходных орудий, склады боеприпасов и авиабомб и другие трофеи. На ряде участков наши войска вышли к реке Эльба.</w:t>
      </w:r>
    </w:p>
    <w:p w14:paraId="0530C45F" w14:textId="77777777" w:rsidR="002029E1" w:rsidRPr="00F90EAE" w:rsidRDefault="002029E1" w:rsidP="00F90EAE">
      <w:pPr>
        <w:jc w:val="both"/>
        <w:rPr>
          <w:color w:val="000000" w:themeColor="text1"/>
          <w:sz w:val="16"/>
          <w:szCs w:val="16"/>
        </w:rPr>
      </w:pPr>
      <w:r w:rsidRPr="00F90EAE">
        <w:rPr>
          <w:color w:val="000000" w:themeColor="text1"/>
          <w:sz w:val="16"/>
          <w:szCs w:val="16"/>
        </w:rPr>
        <w:t>Западнее и юго-западнее города Моравска Острава войска 4-го Украинского фронта продолжали наступление. Немцы сосредотачивают на высотах у дорог и на подступах к населённым пунктам артиллерию и пулеметы и под прикрытием сильного огня часто переходят в контратаки. Наши войска, пробираясь по склонам гор, наносят противнику непрерывные удары и вынуждают его оставлять одну позицию за другой. Продвинувшись вперёд на 20 километров, войска фронта сегодня овладели городом Бениш (Горны Бенешов). Другие наши части в результате обходного манёвра выбили немцев из города Штернберг и ведут бои на подступах к городу Оломоуц. На сторону Красной Армии перешли сапёрная рота 320 немецкой пехотной дивизии и рота 911 охранного батальона. На одном участке стрелковая рота лейтенанта Кулакова, преодолев горы, вышла к долину, по которой отступали немцы. Советские бойцы внезапно атаковали врага и вынудили его сложить оружие. Захвачено 300 пленных и большой обоз с военным имуществом. В другом районе отделение сержанта Осадчего зашло в тыл немцам, укрепившимся на горе. В ожесточённой схватке с численно превосходящим противником наши бойцы уничтожили 35 гитлеровцев, а 18 немецких солдат взяли в плен.</w:t>
      </w:r>
    </w:p>
    <w:p w14:paraId="3AEA251D" w14:textId="77777777" w:rsidR="002029E1" w:rsidRPr="00F90EAE" w:rsidRDefault="002029E1" w:rsidP="00F90EAE">
      <w:pPr>
        <w:jc w:val="both"/>
        <w:rPr>
          <w:color w:val="000000" w:themeColor="text1"/>
          <w:sz w:val="16"/>
          <w:szCs w:val="16"/>
        </w:rPr>
      </w:pPr>
      <w:r w:rsidRPr="00F90EAE">
        <w:rPr>
          <w:color w:val="000000" w:themeColor="text1"/>
          <w:sz w:val="16"/>
          <w:szCs w:val="16"/>
        </w:rPr>
        <w:t>Войска 2-го Украинского фронта продолжали наступление. Отразив контратаки танков и пехоты противника, советские части с боями продвигались вперёд и заняли несколько населённых пунктов. После упорных боёв наши войска овладели городом Коетин—узлом четырёх железных дорог. В боях за город уничтожено до двух батальонов немецкой пехоты. Захвачены трофеи и пленные.»</w:t>
      </w:r>
    </w:p>
    <w:p w14:paraId="439E90A4" w14:textId="77777777" w:rsidR="002029E1" w:rsidRPr="00F90EAE" w:rsidRDefault="002029E1" w:rsidP="00F90EAE">
      <w:pPr>
        <w:jc w:val="both"/>
        <w:rPr>
          <w:color w:val="000000" w:themeColor="text1"/>
          <w:sz w:val="16"/>
          <w:szCs w:val="16"/>
        </w:rPr>
      </w:pPr>
    </w:p>
    <w:p w14:paraId="351FCBE1" w14:textId="77777777" w:rsidR="002029E1" w:rsidRPr="00F90EAE" w:rsidRDefault="002029E1" w:rsidP="00F90EAE">
      <w:pPr>
        <w:jc w:val="both"/>
        <w:rPr>
          <w:color w:val="000000" w:themeColor="text1"/>
          <w:sz w:val="16"/>
          <w:szCs w:val="16"/>
        </w:rPr>
      </w:pPr>
      <w:r w:rsidRPr="00F90EAE">
        <w:rPr>
          <w:color w:val="000000" w:themeColor="text1"/>
          <w:sz w:val="16"/>
          <w:szCs w:val="16"/>
        </w:rPr>
        <w:t>6 мая в 1945 году (6-11 мая) была проведена Пражская операция войск 1-го (И.С.Конев), 2-го (Р.Я.Малиновский) и 4-го (А.И.Еременко) Украинских фронтов – завершающая наступательная операция Великой Отечественной войны в Европе (14883).</w:t>
      </w:r>
    </w:p>
    <w:p w14:paraId="1FDD4A96" w14:textId="77777777" w:rsidR="002029E1" w:rsidRPr="00F90EAE" w:rsidRDefault="002029E1" w:rsidP="00F90EAE">
      <w:pPr>
        <w:jc w:val="both"/>
        <w:rPr>
          <w:color w:val="000000" w:themeColor="text1"/>
          <w:sz w:val="16"/>
          <w:szCs w:val="16"/>
        </w:rPr>
      </w:pPr>
    </w:p>
    <w:p w14:paraId="078319CA" w14:textId="77777777" w:rsidR="002029E1" w:rsidRPr="00F90EAE" w:rsidRDefault="002029E1" w:rsidP="00F90EAE">
      <w:pPr>
        <w:jc w:val="both"/>
        <w:rPr>
          <w:color w:val="000000" w:themeColor="text1"/>
          <w:sz w:val="16"/>
          <w:szCs w:val="16"/>
        </w:rPr>
      </w:pPr>
      <w:r w:rsidRPr="00F90EAE">
        <w:rPr>
          <w:color w:val="000000" w:themeColor="text1"/>
          <w:sz w:val="16"/>
          <w:szCs w:val="16"/>
        </w:rPr>
        <w:t>6 мая в 1945 году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(14883).</w:t>
      </w:r>
    </w:p>
    <w:p w14:paraId="4B80FDD3" w14:textId="77777777" w:rsidR="002029E1" w:rsidRPr="00F90EAE" w:rsidRDefault="002029E1" w:rsidP="00F90EAE">
      <w:pPr>
        <w:jc w:val="both"/>
        <w:rPr>
          <w:color w:val="000000" w:themeColor="text1"/>
          <w:sz w:val="16"/>
          <w:szCs w:val="16"/>
        </w:rPr>
      </w:pPr>
    </w:p>
    <w:p w14:paraId="2E965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6 по 11 мая 1945 была Пражская операция (2443,47) 1У, 2У, 4УФ (3398,173).</w:t>
      </w:r>
    </w:p>
    <w:p w14:paraId="59AB5601" w14:textId="77777777" w:rsidR="00665165" w:rsidRPr="00F90EAE" w:rsidRDefault="00665165" w:rsidP="00F90EAE">
      <w:pPr>
        <w:autoSpaceDE w:val="0"/>
        <w:autoSpaceDN w:val="0"/>
        <w:adjustRightInd w:val="0"/>
        <w:jc w:val="both"/>
        <w:rPr>
          <w:color w:val="000000" w:themeColor="text1"/>
          <w:sz w:val="16"/>
          <w:szCs w:val="16"/>
        </w:rPr>
      </w:pPr>
    </w:p>
    <w:p w14:paraId="1D0F558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советские войска начали Пражскую наступательную операцию (4962).</w:t>
      </w:r>
    </w:p>
    <w:p w14:paraId="70501A5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C0F6BB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Части 5-й советской гвардейской армии, наступающие на Дрезден с севера, натолкнулись на упорное сопротивление 3 немецких дивизий (20-й и ''Герман Геринг'' танковых, 2-й моторизованной) (4963 ).</w:t>
      </w:r>
    </w:p>
    <w:p w14:paraId="06A381A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9B2A6E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прошла капитуляция немецкого города Бреслау командованию 6-й советской армии, в плен сдался 40-тысячный гарнизон под командованием генерала Никгофа (4963 ).</w:t>
      </w:r>
    </w:p>
    <w:p w14:paraId="65BA030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C13CB5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вышло Постановление ГКО № 8446 О мероприятиях по обеспечению строительства и работы воздушной трассы Красноярск - Уэлькаль и о дальнейшем развитии воздушных сообщений на Севере и в восточной части Советского Союза на 1945-1946 гг. (7337, 25-31,32-61).</w:t>
      </w:r>
    </w:p>
    <w:p w14:paraId="0E6D66C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0BEE4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2BFFBEB" w14:textId="77777777" w:rsidR="00665165" w:rsidRPr="00F90EAE" w:rsidRDefault="00665165" w:rsidP="00F90EAE">
      <w:pPr>
        <w:autoSpaceDE w:val="0"/>
        <w:autoSpaceDN w:val="0"/>
        <w:adjustRightInd w:val="0"/>
        <w:jc w:val="both"/>
        <w:rPr>
          <w:iCs/>
          <w:color w:val="000000" w:themeColor="text1"/>
          <w:sz w:val="16"/>
          <w:szCs w:val="16"/>
        </w:rPr>
      </w:pPr>
    </w:p>
    <w:p w14:paraId="7A304B12" w14:textId="77777777" w:rsidR="00666D77" w:rsidRPr="00F90EAE" w:rsidRDefault="00666D77" w:rsidP="00F90EAE">
      <w:pPr>
        <w:jc w:val="both"/>
        <w:rPr>
          <w:color w:val="000000" w:themeColor="text1"/>
          <w:sz w:val="16"/>
          <w:szCs w:val="16"/>
        </w:rPr>
      </w:pPr>
      <w:r w:rsidRPr="00F90EAE">
        <w:rPr>
          <w:color w:val="000000" w:themeColor="text1"/>
          <w:sz w:val="16"/>
          <w:szCs w:val="16"/>
        </w:rPr>
        <w:t>6 мая в 1945 году английские войска подошли к перевалу Бреннер на австрийско-итальянской границе (14883).</w:t>
      </w:r>
    </w:p>
    <w:p w14:paraId="29BCF68A" w14:textId="77777777" w:rsidR="00666D77" w:rsidRPr="00F90EAE" w:rsidRDefault="00666D77" w:rsidP="00F90EAE">
      <w:pPr>
        <w:jc w:val="both"/>
        <w:rPr>
          <w:color w:val="000000" w:themeColor="text1"/>
          <w:sz w:val="16"/>
          <w:szCs w:val="16"/>
        </w:rPr>
      </w:pPr>
    </w:p>
    <w:p w14:paraId="514ACF7E" w14:textId="77777777" w:rsidR="00666D77" w:rsidRPr="00F90EAE" w:rsidRDefault="00666D77" w:rsidP="00F90EAE">
      <w:pPr>
        <w:jc w:val="both"/>
        <w:rPr>
          <w:color w:val="000000" w:themeColor="text1"/>
          <w:sz w:val="16"/>
          <w:szCs w:val="16"/>
        </w:rPr>
      </w:pPr>
      <w:r w:rsidRPr="00F90EAE">
        <w:rPr>
          <w:color w:val="000000" w:themeColor="text1"/>
          <w:sz w:val="16"/>
          <w:szCs w:val="16"/>
        </w:rPr>
        <w:t>6 мая в 1945 году американские войска вступили в Линц (14883).</w:t>
      </w:r>
    </w:p>
    <w:p w14:paraId="3E06F9ED" w14:textId="77777777" w:rsidR="00666D77" w:rsidRPr="00F90EAE" w:rsidRDefault="00666D77" w:rsidP="00F90EAE">
      <w:pPr>
        <w:jc w:val="both"/>
        <w:rPr>
          <w:color w:val="000000" w:themeColor="text1"/>
          <w:sz w:val="16"/>
          <w:szCs w:val="16"/>
        </w:rPr>
      </w:pPr>
    </w:p>
    <w:p w14:paraId="2CAEDB2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американские войска взяли Пльзень (Чехия) (4962).</w:t>
      </w:r>
    </w:p>
    <w:p w14:paraId="4B1B44A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24DB48" w14:textId="77777777" w:rsidR="00666D77" w:rsidRPr="00F90EAE" w:rsidRDefault="00666D77" w:rsidP="00F90EAE">
      <w:pPr>
        <w:jc w:val="both"/>
        <w:rPr>
          <w:color w:val="000000" w:themeColor="text1"/>
          <w:sz w:val="16"/>
          <w:szCs w:val="16"/>
        </w:rPr>
      </w:pPr>
      <w:r w:rsidRPr="00F90EAE">
        <w:rPr>
          <w:color w:val="000000" w:themeColor="text1"/>
          <w:sz w:val="16"/>
          <w:szCs w:val="16"/>
        </w:rPr>
        <w:t>6 мая в 1945 году приостановлено продвижение американских войск в Чехословакии (14883).</w:t>
      </w:r>
    </w:p>
    <w:p w14:paraId="50FD5097" w14:textId="77777777" w:rsidR="00666D77" w:rsidRPr="00F90EAE" w:rsidRDefault="00666D77" w:rsidP="00F90EAE">
      <w:pPr>
        <w:jc w:val="both"/>
        <w:rPr>
          <w:color w:val="000000" w:themeColor="text1"/>
          <w:sz w:val="16"/>
          <w:szCs w:val="16"/>
        </w:rPr>
      </w:pPr>
    </w:p>
    <w:p w14:paraId="21099F6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мая 1945 глава правительства Германии адмирал К. Дениц уволил Г. Гиммлера со всех его постов (4962).</w:t>
      </w:r>
    </w:p>
    <w:p w14:paraId="0933FCA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A70067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06 1945 Generaloberst Jodl arrives at Eisenhower's HQ and attempts to prolong negotiations. Eisenhower states that he will seal the western front if Germany does not rapidly capitulate (1242).</w:t>
      </w:r>
    </w:p>
    <w:p w14:paraId="26B4790B" w14:textId="77777777" w:rsidR="00665165" w:rsidRPr="00F90EAE" w:rsidRDefault="00665165" w:rsidP="00F90EAE">
      <w:pPr>
        <w:autoSpaceDE w:val="0"/>
        <w:autoSpaceDN w:val="0"/>
        <w:adjustRightInd w:val="0"/>
        <w:jc w:val="both"/>
        <w:rPr>
          <w:color w:val="000000" w:themeColor="text1"/>
          <w:sz w:val="16"/>
          <w:szCs w:val="16"/>
          <w:lang w:val="en-US"/>
        </w:rPr>
      </w:pPr>
    </w:p>
    <w:p w14:paraId="749459D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6 мая 1945 Йодль прибыл в штаб Эйзенхауэра и попытался продолжить переговоры. Эйзенхауэротказался</w:t>
      </w:r>
      <w:r w:rsidRPr="00F90EAE">
        <w:rPr>
          <w:color w:val="000000" w:themeColor="text1"/>
          <w:sz w:val="16"/>
          <w:szCs w:val="16"/>
          <w:lang w:val="en-US"/>
        </w:rPr>
        <w:t xml:space="preserve"> (1242).</w:t>
      </w:r>
    </w:p>
    <w:p w14:paraId="7A4835F8" w14:textId="77777777" w:rsidR="00665165" w:rsidRPr="00F90EAE" w:rsidRDefault="00665165" w:rsidP="00F90EAE">
      <w:pPr>
        <w:autoSpaceDE w:val="0"/>
        <w:autoSpaceDN w:val="0"/>
        <w:adjustRightInd w:val="0"/>
        <w:jc w:val="both"/>
        <w:rPr>
          <w:color w:val="000000" w:themeColor="text1"/>
          <w:sz w:val="16"/>
          <w:szCs w:val="16"/>
          <w:lang w:val="en-US"/>
        </w:rPr>
      </w:pPr>
    </w:p>
    <w:p w14:paraId="3F4B5E6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6th, 1945: The US Third Army (Patton) occupies Pilsen in Bohemia and halts all further advances. After an 82-day siege, the remaining defenders of Breslau finally surrender to Soviet forces (3819).</w:t>
      </w:r>
    </w:p>
    <w:p w14:paraId="4971AA9A" w14:textId="77777777" w:rsidR="00665165" w:rsidRPr="00F90EAE" w:rsidRDefault="00665165" w:rsidP="00F90EAE">
      <w:pPr>
        <w:autoSpaceDE w:val="0"/>
        <w:autoSpaceDN w:val="0"/>
        <w:adjustRightInd w:val="0"/>
        <w:jc w:val="both"/>
        <w:rPr>
          <w:color w:val="000000" w:themeColor="text1"/>
          <w:sz w:val="16"/>
          <w:szCs w:val="16"/>
          <w:lang w:val="en-US"/>
        </w:rPr>
      </w:pPr>
    </w:p>
    <w:p w14:paraId="28AAA2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мая 1945 3А США (Паттон) заняла Пльзень в Богемии и остановила наступление. Бреслау сдался после 82-дневной осады (3819).</w:t>
      </w:r>
    </w:p>
    <w:p w14:paraId="351E3B1A" w14:textId="77777777" w:rsidR="00665165" w:rsidRPr="00F90EAE" w:rsidRDefault="00665165" w:rsidP="00F90EAE">
      <w:pPr>
        <w:autoSpaceDE w:val="0"/>
        <w:autoSpaceDN w:val="0"/>
        <w:adjustRightInd w:val="0"/>
        <w:jc w:val="both"/>
        <w:rPr>
          <w:color w:val="000000" w:themeColor="text1"/>
          <w:sz w:val="16"/>
          <w:szCs w:val="16"/>
        </w:rPr>
      </w:pPr>
    </w:p>
    <w:p w14:paraId="63CE187A" w14:textId="77777777" w:rsidR="00666D77" w:rsidRPr="00F90EAE" w:rsidRDefault="00666D77" w:rsidP="00F90EAE">
      <w:pPr>
        <w:jc w:val="both"/>
        <w:rPr>
          <w:color w:val="000000" w:themeColor="text1"/>
          <w:sz w:val="16"/>
          <w:szCs w:val="16"/>
        </w:rPr>
      </w:pPr>
      <w:r w:rsidRPr="00F90EAE">
        <w:rPr>
          <w:color w:val="000000" w:themeColor="text1"/>
          <w:sz w:val="16"/>
          <w:szCs w:val="16"/>
        </w:rPr>
        <w:t>6 мая в 1945 году в Польше принят закон об удалении из польского общества враждебных элементов (под этим понятием объединялись в основном польские немцы) (14883).</w:t>
      </w:r>
    </w:p>
    <w:p w14:paraId="748DFDD3" w14:textId="77777777" w:rsidR="00666D77" w:rsidRPr="00F90EAE" w:rsidRDefault="00666D77" w:rsidP="00F90EAE">
      <w:pPr>
        <w:jc w:val="both"/>
        <w:rPr>
          <w:color w:val="000000" w:themeColor="text1"/>
          <w:sz w:val="16"/>
          <w:szCs w:val="16"/>
        </w:rPr>
      </w:pPr>
    </w:p>
    <w:p w14:paraId="064F6B03" w14:textId="77777777" w:rsidR="00666D77" w:rsidRPr="00F90EAE" w:rsidRDefault="00666D77" w:rsidP="00F90EAE">
      <w:pPr>
        <w:jc w:val="both"/>
        <w:rPr>
          <w:color w:val="000000" w:themeColor="text1"/>
          <w:sz w:val="16"/>
          <w:szCs w:val="16"/>
        </w:rPr>
      </w:pPr>
      <w:r w:rsidRPr="00F90EAE">
        <w:rPr>
          <w:color w:val="000000" w:themeColor="text1"/>
          <w:sz w:val="16"/>
          <w:szCs w:val="16"/>
        </w:rPr>
        <w:t>6 мая в 1945 году (6-18 мая) китайские войска атаковали японские позиции в Фучжоу и после ожесточенных боев овладели городом (14883).</w:t>
      </w:r>
    </w:p>
    <w:p w14:paraId="2FC9002C" w14:textId="77777777" w:rsidR="00666D77" w:rsidRPr="00F90EAE" w:rsidRDefault="00666D77" w:rsidP="00F90EAE">
      <w:pPr>
        <w:jc w:val="both"/>
        <w:rPr>
          <w:color w:val="000000" w:themeColor="text1"/>
          <w:sz w:val="16"/>
          <w:szCs w:val="16"/>
        </w:rPr>
      </w:pPr>
    </w:p>
    <w:p w14:paraId="4D1866A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C273098" w14:textId="77777777" w:rsidR="00665165" w:rsidRPr="00F90EAE" w:rsidRDefault="00665165" w:rsidP="00F90EAE">
      <w:pPr>
        <w:autoSpaceDE w:val="0"/>
        <w:autoSpaceDN w:val="0"/>
        <w:adjustRightInd w:val="0"/>
        <w:jc w:val="both"/>
        <w:rPr>
          <w:iCs/>
          <w:color w:val="000000" w:themeColor="text1"/>
          <w:sz w:val="16"/>
          <w:szCs w:val="16"/>
        </w:rPr>
      </w:pPr>
    </w:p>
    <w:p w14:paraId="46801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мая 1945 В.М.М. предложил взять В-29 за основу будущего советского дальнего бомбардировщика. При этом считал, что следует взять АШ-72, а пулеметы заменить пушками Б-20. Предлагал выполнить всю работу на заводе 22 с привлечением КБ Незваля (7525, 3).</w:t>
      </w:r>
    </w:p>
    <w:p w14:paraId="3A129E82" w14:textId="77777777" w:rsidR="00665165" w:rsidRPr="00F90EAE" w:rsidRDefault="00665165" w:rsidP="00F90EAE">
      <w:pPr>
        <w:autoSpaceDE w:val="0"/>
        <w:autoSpaceDN w:val="0"/>
        <w:adjustRightInd w:val="0"/>
        <w:jc w:val="both"/>
        <w:rPr>
          <w:color w:val="000000" w:themeColor="text1"/>
          <w:sz w:val="16"/>
          <w:szCs w:val="16"/>
        </w:rPr>
      </w:pPr>
    </w:p>
    <w:p w14:paraId="7757C6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начале мая 1945 группа наших ракетчиков из ГУВ КГЧ КА и НКАП (Ю.А.Победоносцев, Г.Н.Абрамович) под руководством А.И.Соколова ездила смотреть Пенемюнде на о. Узедом. Практически все было разрушено английской бомбардировкой и персонал Брауна после этого перебрался в Нордхаузен. Нашли части Вассерфаль, Шметтерлинг и собрали два макета ФАУ-2 без некоторых деталей (1142).</w:t>
      </w:r>
    </w:p>
    <w:p w14:paraId="7D795848" w14:textId="77777777" w:rsidR="00665165" w:rsidRPr="00F90EAE" w:rsidRDefault="00665165" w:rsidP="00F90EAE">
      <w:pPr>
        <w:autoSpaceDE w:val="0"/>
        <w:autoSpaceDN w:val="0"/>
        <w:adjustRightInd w:val="0"/>
        <w:jc w:val="both"/>
        <w:rPr>
          <w:color w:val="000000" w:themeColor="text1"/>
          <w:sz w:val="16"/>
          <w:szCs w:val="16"/>
        </w:rPr>
      </w:pPr>
    </w:p>
    <w:p w14:paraId="333CBE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мая 1945 в самый разгар битвы за Берлин вышло постановление СНК СССР и приказ наркома авиапромышленности СССР № 180сс об организа</w:t>
      </w:r>
      <w:r w:rsidRPr="00F90EAE">
        <w:rPr>
          <w:color w:val="000000" w:themeColor="text1"/>
          <w:sz w:val="16"/>
          <w:szCs w:val="16"/>
        </w:rPr>
        <w:softHyphen/>
        <w:t>ции выпуска малой серии двигателей ЮМО-004 под обозначением РД-10 на заводе № 26. В соответствии с приказом поручалось:</w:t>
      </w:r>
    </w:p>
    <w:p w14:paraId="3C74DB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Директору завода тов.Баландину и главному конструктору тов. Климову не позднее 1 июля 1945 г. изготовить детальные черте</w:t>
      </w:r>
      <w:r w:rsidRPr="00F90EAE">
        <w:rPr>
          <w:color w:val="000000" w:themeColor="text1"/>
          <w:sz w:val="16"/>
          <w:szCs w:val="16"/>
        </w:rPr>
        <w:softHyphen/>
        <w:t>жи, проработать монтажные допуска и зазоры с имеющегося в НИИ-1 двигателя ЮМО-004 на детали и агрегаты.</w:t>
      </w:r>
    </w:p>
    <w:p w14:paraId="6A06EC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Возложить непосредственное руководство по изготовлению технической документации и выпуску опытной серии двигателей РД-10 на главного конструктора завода № 26 тов. Климова, разре</w:t>
      </w:r>
      <w:r w:rsidRPr="00F90EAE">
        <w:rPr>
          <w:color w:val="000000" w:themeColor="text1"/>
          <w:sz w:val="16"/>
          <w:szCs w:val="16"/>
        </w:rPr>
        <w:softHyphen/>
        <w:t>шив ему иметь заместителя по этой работе».</w:t>
      </w:r>
    </w:p>
    <w:p w14:paraId="2698E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этому приказу завод должен уже в сентябре выпустить 15 дви</w:t>
      </w:r>
      <w:r w:rsidRPr="00F90EAE">
        <w:rPr>
          <w:color w:val="000000" w:themeColor="text1"/>
          <w:sz w:val="16"/>
          <w:szCs w:val="16"/>
        </w:rPr>
        <w:softHyphen/>
        <w:t>гателей. Забегая вперед, следует сказать, что этот приказ был выпол</w:t>
      </w:r>
      <w:r w:rsidRPr="00F90EAE">
        <w:rPr>
          <w:color w:val="000000" w:themeColor="text1"/>
          <w:sz w:val="16"/>
          <w:szCs w:val="16"/>
        </w:rPr>
        <w:softHyphen/>
        <w:t>нен: 30 сентября завод выпустил первые РД-10, правда, используя появившиеся к тому времени в достаточном количестве немецкие детали, узлы и агрегаты. Аналогичным приказом № 247сс от 13 ию</w:t>
      </w:r>
      <w:r w:rsidRPr="00F90EAE">
        <w:rPr>
          <w:color w:val="000000" w:themeColor="text1"/>
          <w:sz w:val="16"/>
          <w:szCs w:val="16"/>
        </w:rPr>
        <w:softHyphen/>
        <w:t>ня 1945 г. заводу № 16 поручалось освоить производство реактив</w:t>
      </w:r>
      <w:r w:rsidRPr="00F90EAE">
        <w:rPr>
          <w:color w:val="000000" w:themeColor="text1"/>
          <w:sz w:val="16"/>
          <w:szCs w:val="16"/>
        </w:rPr>
        <w:softHyphen/>
        <w:t>ных двигателей РД-20 (по типу БМВ-003) (10781).</w:t>
      </w:r>
    </w:p>
    <w:p w14:paraId="53079D09" w14:textId="77777777" w:rsidR="00665165" w:rsidRPr="00F90EAE" w:rsidRDefault="00665165" w:rsidP="00F90EAE">
      <w:pPr>
        <w:autoSpaceDE w:val="0"/>
        <w:autoSpaceDN w:val="0"/>
        <w:adjustRightInd w:val="0"/>
        <w:jc w:val="both"/>
        <w:rPr>
          <w:color w:val="000000" w:themeColor="text1"/>
          <w:sz w:val="16"/>
          <w:szCs w:val="16"/>
        </w:rPr>
      </w:pPr>
    </w:p>
    <w:p w14:paraId="662045D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F247F07" w14:textId="77777777" w:rsidR="00665165" w:rsidRPr="00F90EAE" w:rsidRDefault="00665165" w:rsidP="00F90EAE">
      <w:pPr>
        <w:autoSpaceDE w:val="0"/>
        <w:autoSpaceDN w:val="0"/>
        <w:adjustRightInd w:val="0"/>
        <w:jc w:val="both"/>
        <w:rPr>
          <w:iCs/>
          <w:color w:val="000000" w:themeColor="text1"/>
          <w:sz w:val="16"/>
          <w:szCs w:val="16"/>
        </w:rPr>
      </w:pPr>
    </w:p>
    <w:p w14:paraId="362A30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мая 1945 года немецкие гарнизоны в районе Канала капитулировали и батарея "Мирус", вооруженная русскими 12/52-дюймовыми башнями, снятыми французами в Бизерте с линкора "Генерал Алексеев" (бывший "Император Александр III") и потом захваченными немцами невредимой, была сдана англичанам (3861).</w:t>
      </w:r>
    </w:p>
    <w:p w14:paraId="0B990296" w14:textId="77777777" w:rsidR="00665165" w:rsidRPr="00F90EAE" w:rsidRDefault="00665165" w:rsidP="00F90EAE">
      <w:pPr>
        <w:autoSpaceDE w:val="0"/>
        <w:autoSpaceDN w:val="0"/>
        <w:adjustRightInd w:val="0"/>
        <w:jc w:val="both"/>
        <w:rPr>
          <w:color w:val="000000" w:themeColor="text1"/>
          <w:sz w:val="16"/>
          <w:szCs w:val="16"/>
        </w:rPr>
      </w:pPr>
    </w:p>
    <w:p w14:paraId="0804E3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начале мая 1945 г. в Германию для изучения немецкого «атомного на</w:t>
      </w:r>
      <w:r w:rsidRPr="00F90EAE">
        <w:rPr>
          <w:color w:val="000000" w:themeColor="text1"/>
          <w:sz w:val="16"/>
          <w:szCs w:val="16"/>
        </w:rPr>
        <w:softHyphen/>
        <w:t>следства» прибыла специальная правительственная комиссия из Москвы в количестве 15 чел. во главе с зам. наркома внутренних дел СССР гене</w:t>
      </w:r>
      <w:r w:rsidRPr="00F90EAE">
        <w:rPr>
          <w:color w:val="000000" w:themeColor="text1"/>
          <w:sz w:val="16"/>
          <w:szCs w:val="16"/>
        </w:rPr>
        <w:softHyphen/>
        <w:t>рал-лейтенантом А.П. Завенягиным и зам. Л.П. Берии по ГКО В.А. Махневым (В августе 1945 г. А.П. Завенягин был назначен первым зам. начальника Первого главного управления (ПГУ) при СНК СССР. В.А. Махнев был назначен членом Специального комите</w:t>
      </w:r>
      <w:r w:rsidRPr="00F90EAE">
        <w:rPr>
          <w:color w:val="000000" w:themeColor="text1"/>
          <w:sz w:val="16"/>
          <w:szCs w:val="16"/>
        </w:rPr>
        <w:softHyphen/>
        <w:t>та при ГКО, который руководил деятельностью ПГУ и членом Технического совета при Спе</w:t>
      </w:r>
      <w:r w:rsidRPr="00F90EAE">
        <w:rPr>
          <w:color w:val="000000" w:themeColor="text1"/>
          <w:sz w:val="16"/>
          <w:szCs w:val="16"/>
        </w:rPr>
        <w:softHyphen/>
        <w:t>циальном комитете. По этому вопросу см.: Постановление ГКО СССР № 9887сс/оп от 20 ав</w:t>
      </w:r>
      <w:r w:rsidRPr="00F90EAE">
        <w:rPr>
          <w:color w:val="000000" w:themeColor="text1"/>
          <w:sz w:val="16"/>
          <w:szCs w:val="16"/>
        </w:rPr>
        <w:softHyphen/>
        <w:t>густа 1945 г. о создании Специального комитета при ГКО и Первого главного управления при СНК СССР для руководства всеми работами по использованию внутриатомной энергии. РГАСПИ. Ф. 644. Оп. 2. Д. 458. Л. 27-30.). В составе комиссии были известные советские физики Л.А. Арцимо-вич, В.В. Гончаров, И.К. Кикоин, Л.М. Неменов, Ю.Б. Харитон, Г.Н. Флеров, В.М. Шевченко и др. Основной задачей комиссии было обследование не</w:t>
      </w:r>
      <w:r w:rsidRPr="00F90EAE">
        <w:rPr>
          <w:color w:val="000000" w:themeColor="text1"/>
          <w:sz w:val="16"/>
          <w:szCs w:val="16"/>
        </w:rPr>
        <w:softHyphen/>
        <w:t>мецких научных учреждений, связанных с атомными исследованиями, вы</w:t>
      </w:r>
      <w:r w:rsidRPr="00F90EAE">
        <w:rPr>
          <w:color w:val="000000" w:themeColor="text1"/>
          <w:sz w:val="16"/>
          <w:szCs w:val="16"/>
        </w:rPr>
        <w:softHyphen/>
        <w:t>явление и вывоз в СССР немецких ученых-атомщиков, особо ценного об</w:t>
      </w:r>
      <w:r w:rsidRPr="00F90EAE">
        <w:rPr>
          <w:color w:val="000000" w:themeColor="text1"/>
          <w:sz w:val="16"/>
          <w:szCs w:val="16"/>
        </w:rPr>
        <w:softHyphen/>
        <w:t>орудования, научных документов и архивных материалов, а также редких металлов. Один из членов комиссии Г.Н. Флеров, являвшийся ближайшим сотрудником И.В.Курчатова, получил от последнего сугубо конфиденци</w:t>
      </w:r>
      <w:r w:rsidRPr="00F90EAE">
        <w:rPr>
          <w:color w:val="000000" w:themeColor="text1"/>
          <w:sz w:val="16"/>
          <w:szCs w:val="16"/>
        </w:rPr>
        <w:softHyphen/>
        <w:t>альное задание: исследовать места возможных немецких атомных испыта</w:t>
      </w:r>
      <w:r w:rsidRPr="00F90EAE">
        <w:rPr>
          <w:color w:val="000000" w:themeColor="text1"/>
          <w:sz w:val="16"/>
          <w:szCs w:val="16"/>
        </w:rPr>
        <w:softHyphen/>
        <w:t>ний. Об этом недвусмысленно свидетельствовало личное письмо Флерова Курчатову из Дрездена, где он дожидался вывода американских войск из Тюрингии, датированное 29 мая 1945 г. Информируя своего начальника о развертывании работы по опросу бывших военнопленных, которые могли быть свидетелями испытаний, Г.Н. Флеров, в частности, сообщал: «Я думаю, что в результате таких поисков мы сможем наткнуться на то, что нам нуж</w:t>
      </w:r>
      <w:r w:rsidRPr="00F90EAE">
        <w:rPr>
          <w:color w:val="000000" w:themeColor="text1"/>
          <w:sz w:val="16"/>
          <w:szCs w:val="16"/>
        </w:rPr>
        <w:softHyphen/>
        <w:t>но — человека, который случайно был поблизости (там в то время в лесах скиталось много беглецов). В случае удачи мы получим объективное под</w:t>
      </w:r>
      <w:r w:rsidRPr="00F90EAE">
        <w:rPr>
          <w:color w:val="000000" w:themeColor="text1"/>
          <w:sz w:val="16"/>
          <w:szCs w:val="16"/>
        </w:rPr>
        <w:softHyphen/>
        <w:t>тверждение самого факта, не многим меньше того, как если бы мы сами по</w:t>
      </w:r>
      <w:r w:rsidRPr="00F90EAE">
        <w:rPr>
          <w:color w:val="000000" w:themeColor="text1"/>
          <w:sz w:val="16"/>
          <w:szCs w:val="16"/>
        </w:rPr>
        <w:softHyphen/>
        <w:t>бывали на этом месте ... Второе направление связано с тем, о чем я писал в первом письме. Дело в том, что для окончательного выяснения, что же на са</w:t>
      </w:r>
      <w:r w:rsidRPr="00F90EAE">
        <w:rPr>
          <w:color w:val="000000" w:themeColor="text1"/>
          <w:sz w:val="16"/>
          <w:szCs w:val="16"/>
        </w:rPr>
        <w:softHyphen/>
        <w:t>мом деле там испытывалось, необходимо, конечно, искать не естественную, а искусственную радиоактивность. К сожалению, прошло много времени, но, я думаю, что А1-счетчиком Гейгер-Мюллера, а еще лучше сетчатым счетчи ком, оклеенным 10 Си-фольгой, нам удастся выжать достаточную чувстви</w:t>
      </w:r>
      <w:r w:rsidRPr="00F90EAE">
        <w:rPr>
          <w:color w:val="000000" w:themeColor="text1"/>
          <w:sz w:val="16"/>
          <w:szCs w:val="16"/>
        </w:rPr>
        <w:softHyphen/>
        <w:t>тельность»</w:t>
      </w:r>
      <w:r w:rsidRPr="00F90EAE">
        <w:rPr>
          <w:color w:val="000000" w:themeColor="text1"/>
          <w:sz w:val="16"/>
          <w:szCs w:val="16"/>
          <w:vertAlign w:val="superscript"/>
        </w:rPr>
        <w:t>1</w:t>
      </w:r>
      <w:r w:rsidRPr="00F90EAE">
        <w:rPr>
          <w:color w:val="000000" w:themeColor="text1"/>
          <w:sz w:val="16"/>
          <w:szCs w:val="16"/>
        </w:rPr>
        <w:t>. И по сей день достоверно неизвестно, удалось ли Г.Н. Флерову выполнить возложенную на него миссию. Вскоре он был в срочном порядке отозван из Германии в Москву. Возможно, досрочное завершение немецкой командировки было связано с испытаниями 16 июля 1945 г. в Аламогордо (штат Нью-Мексико) американской атомной бомбы. Однако не исключено, что ему удалось добраться до Тюрингии, произвести на месте необходимые измерения и полученный результат потребовал срочных и личных консуль</w:t>
      </w:r>
      <w:r w:rsidRPr="00F90EAE">
        <w:rPr>
          <w:color w:val="000000" w:themeColor="text1"/>
          <w:sz w:val="16"/>
          <w:szCs w:val="16"/>
        </w:rPr>
        <w:softHyphen/>
        <w:t>таций в Москве (Деликатность ситуации для руководителей советского атомного проекта состояла в том, что, с одной стороны, подтвержденная информация о немецких испытаниях уже не имела практического значения: Германия проиграла войну. С другой стороны, совсем не информи</w:t>
      </w:r>
      <w:r w:rsidRPr="00F90EAE">
        <w:rPr>
          <w:color w:val="000000" w:themeColor="text1"/>
          <w:sz w:val="16"/>
          <w:szCs w:val="16"/>
        </w:rPr>
        <w:softHyphen/>
        <w:t>ровать вышестоящие инстанции о немецком технологическом прорыве, если таковой имел место, было небезопасно. С учетом этих обстоятельств немецкая «мини-бомба» была обрече</w:t>
      </w:r>
      <w:r w:rsidRPr="00F90EAE">
        <w:rPr>
          <w:color w:val="000000" w:themeColor="text1"/>
          <w:sz w:val="16"/>
          <w:szCs w:val="16"/>
        </w:rPr>
        <w:softHyphen/>
        <w:t>на на полное забвение. Однако ее создатели и их опыт были востребованы Советским Союзом в полной мере.).</w:t>
      </w:r>
    </w:p>
    <w:p w14:paraId="3E948E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работы комиссии Завенягина — Махнева в Советской зоне оккупации Германии были демонтированы и отправлены в распоряжение лаборатории №2 АН СССР, которой руководил И.В. Курчатов, следующие объекты: оборудование, материалы и библиотека института физики «Общества кайзера Вильгельма» в Берлине; оборудование института-лабо</w:t>
      </w:r>
      <w:r w:rsidRPr="00F90EAE">
        <w:rPr>
          <w:color w:val="000000" w:themeColor="text1"/>
          <w:sz w:val="16"/>
          <w:szCs w:val="16"/>
        </w:rPr>
        <w:softHyphen/>
        <w:t>ратории профессора М. фон Арденне в Берлине; оборудование лаборатории профессора Г. Герца в Берлине; оборудование, библиотека и материалы ин</w:t>
      </w:r>
      <w:r w:rsidRPr="00F90EAE">
        <w:rPr>
          <w:color w:val="000000" w:themeColor="text1"/>
          <w:sz w:val="16"/>
          <w:szCs w:val="16"/>
        </w:rPr>
        <w:softHyphen/>
        <w:t>ститута ядерной физики имперского министерства почт и связи в Цойте-не-Мирсдорфе; оборудование заводов редкоземельных элементов фирмы «Ауэр» в Берлине (получение металлического порошка урана) и в Райнс-берг-Цехлине (переплавка металлического порошка урана в монолитный металл); циклотронная лаборатория электротехнического концерна «Си-менс» в Берлине; оборудование ядерной лаборатории Управления вооруже</w:t>
      </w:r>
      <w:r w:rsidRPr="00F90EAE">
        <w:rPr>
          <w:color w:val="000000" w:themeColor="text1"/>
          <w:sz w:val="16"/>
          <w:szCs w:val="16"/>
        </w:rPr>
        <w:softHyphen/>
        <w:t>ний сухопутных сил вермахта в Готтове под Куммерсдорфом.</w:t>
      </w:r>
    </w:p>
    <w:p w14:paraId="64318B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Москву были отправлена первая партия немецких физиков-«добро</w:t>
      </w:r>
      <w:r w:rsidRPr="00F90EAE">
        <w:rPr>
          <w:color w:val="000000" w:themeColor="text1"/>
          <w:sz w:val="16"/>
          <w:szCs w:val="16"/>
        </w:rPr>
        <w:softHyphen/>
        <w:t>вольцев», обнаруженных в еще горящем Берлине и других местах Советской зоны оккупации и давших согласие работать в советском атомном проекте</w:t>
      </w:r>
      <w:r w:rsidRPr="00F90EAE">
        <w:rPr>
          <w:color w:val="000000" w:themeColor="text1"/>
          <w:sz w:val="16"/>
          <w:szCs w:val="16"/>
          <w:vertAlign w:val="superscript"/>
        </w:rPr>
        <w:t>у</w:t>
      </w:r>
      <w:r w:rsidRPr="00F90EAE">
        <w:rPr>
          <w:color w:val="000000" w:themeColor="text1"/>
          <w:sz w:val="16"/>
          <w:szCs w:val="16"/>
        </w:rPr>
        <w:t>. Среди них были специалист в области электронной и ионной физики барон М. фон Арденне, специалист по диффузному разделению радиоактивных изотопов нобелевский лауреат профессор Г. Герц, профессора Р. Дёпель, М. Фольмер, П.-А. Тиссен, а также физик М. Стеенбек, освобожденный из спецлагеря НКВД № 2 в Познани, и другие немецкие атомщики. Кроме того, в подмосковный город Электросталь для налаживания производства метал</w:t>
      </w:r>
      <w:r w:rsidRPr="00F90EAE">
        <w:rPr>
          <w:color w:val="000000" w:themeColor="text1"/>
          <w:sz w:val="16"/>
          <w:szCs w:val="16"/>
        </w:rPr>
        <w:softHyphen/>
        <w:t>лического урана был отправлен начальник научно-исследовательского от</w:t>
      </w:r>
      <w:r w:rsidRPr="00F90EAE">
        <w:rPr>
          <w:color w:val="000000" w:themeColor="text1"/>
          <w:sz w:val="16"/>
          <w:szCs w:val="16"/>
        </w:rPr>
        <w:softHyphen/>
        <w:t>дела фирмы «Ауэр» доктор Н. Риль с группой своих сотрудников (Г. Ортманн, К. Риве, Г. Вирц, Г. Тиме, В. Кирст, Ф.В. Зоммер, Г. Тобин) (11419).</w:t>
      </w:r>
    </w:p>
    <w:p w14:paraId="5BB86713" w14:textId="77777777" w:rsidR="00665165" w:rsidRPr="00F90EAE" w:rsidRDefault="00665165" w:rsidP="00F90EAE">
      <w:pPr>
        <w:autoSpaceDE w:val="0"/>
        <w:autoSpaceDN w:val="0"/>
        <w:adjustRightInd w:val="0"/>
        <w:jc w:val="both"/>
        <w:rPr>
          <w:color w:val="000000" w:themeColor="text1"/>
          <w:sz w:val="16"/>
          <w:szCs w:val="16"/>
        </w:rPr>
      </w:pPr>
    </w:p>
    <w:p w14:paraId="4C5726A8"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rPr>
        <w:t>В начале мая 1945 г. поврежденный «Виндхук» был захвачен союзниками в Гамбурге и передан СССР. пароход был построен в 1939 г. на германской верфи по заказу Турции. Судно получило название «Салон» («Salon»). По проекту его водоизмещение составляло 4340 т., пассажировместимость — 390 каютных мест. В 1940 г. судно конфисковали для нужд ВМФ Германии и переименовали в «Виндхук» («Windhuk»). После проведения ремонтных работ в Висмаре судно получило новое название — «Приморье». Теперь лайнер мог принять 26 пассажиров 1-го класса, 86 — 2-го и 134 — 3-го. В сентябре 1950 г. «Приморье» прибыло во Владивосток и стало использоваться на Приморской линии. В 1958 г. лайнер прошел модернизацию, теперь его двигательная установка стала работать на жидком топливе. На линии пароход «Приморье» ходил до середины 1970-х годов, а затем был сдан на металл (15225).</w:t>
      </w:r>
    </w:p>
    <w:p w14:paraId="4672E44E" w14:textId="77777777" w:rsidR="009E360D" w:rsidRPr="00F90EAE" w:rsidRDefault="009E360D" w:rsidP="00F90EAE">
      <w:pPr>
        <w:pStyle w:val="book"/>
        <w:ind w:firstLine="0"/>
        <w:jc w:val="both"/>
        <w:rPr>
          <w:color w:val="000000" w:themeColor="text1"/>
          <w:sz w:val="16"/>
          <w:szCs w:val="16"/>
        </w:rPr>
      </w:pPr>
    </w:p>
    <w:p w14:paraId="40AD660B" w14:textId="77777777" w:rsidR="004252F4" w:rsidRPr="00F90EAE" w:rsidRDefault="004252F4"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7308870" w14:textId="77777777" w:rsidR="004252F4" w:rsidRPr="00F90EAE" w:rsidRDefault="004252F4" w:rsidP="00F90EAE">
      <w:pPr>
        <w:autoSpaceDE w:val="0"/>
        <w:autoSpaceDN w:val="0"/>
        <w:adjustRightInd w:val="0"/>
        <w:jc w:val="both"/>
        <w:rPr>
          <w:iCs/>
          <w:color w:val="000000" w:themeColor="text1"/>
          <w:sz w:val="16"/>
          <w:szCs w:val="16"/>
        </w:rPr>
      </w:pPr>
    </w:p>
    <w:p w14:paraId="7BEF25B9"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начале мая 1945 г. назначенный заместителем по экономике Главноначальствующего СВАГ К.И. Коваль перед отъездом в Германию спросил у Майского: «...есть ли в НКИД какие-либо холодные расчеты, обосновывающие запрошенный размер репараций в 10 млрд долларов? Однако “холодного расчета” по размеру германских репараций я не получил». Майский лишь сказал Ковалю, что общий ущерб СССР от войны с Германией исчислен в 128 млрд долларов. Запрошенные 10 млрд составляют 1/12 ущерба [13. С. 60, 68] (19851).</w:t>
      </w:r>
    </w:p>
    <w:p w14:paraId="20871FC6" w14:textId="77777777" w:rsidR="004252F4" w:rsidRPr="00F90EAE" w:rsidRDefault="004252F4" w:rsidP="00F90EAE">
      <w:pPr>
        <w:pStyle w:val="ae"/>
        <w:shd w:val="clear" w:color="auto" w:fill="FFFFFF"/>
        <w:spacing w:before="0" w:after="0"/>
        <w:jc w:val="both"/>
        <w:textAlignment w:val="baseline"/>
        <w:rPr>
          <w:color w:val="000000" w:themeColor="text1"/>
          <w:sz w:val="16"/>
          <w:szCs w:val="16"/>
        </w:rPr>
      </w:pPr>
    </w:p>
    <w:p w14:paraId="7ADAA241" w14:textId="77777777" w:rsidR="004252F4" w:rsidRPr="00F90EAE" w:rsidRDefault="004252F4" w:rsidP="00F90EAE">
      <w:pPr>
        <w:pStyle w:val="rtejustify"/>
        <w:shd w:val="clear" w:color="auto" w:fill="FFFFFF"/>
        <w:spacing w:before="0" w:after="0"/>
        <w:rPr>
          <w:color w:val="000000" w:themeColor="text1"/>
          <w:sz w:val="16"/>
          <w:szCs w:val="16"/>
        </w:rPr>
      </w:pPr>
      <w:r w:rsidRPr="00F90EAE">
        <w:rPr>
          <w:color w:val="000000" w:themeColor="text1"/>
          <w:sz w:val="16"/>
          <w:szCs w:val="16"/>
        </w:rPr>
        <w:t>В начале мая 1945 г. на первом заседании Особого комитета Маленков приказал К.И. Ковалю: «...демонтаж намеченных предприятий для репараций в Восточной Германии, включая все секторы Берлина, разворачивайте немедленно» [13. С. 79]. В Берлине нужно было до прихода англо-американских войск вывезти все ценное промышленное оборудование (19851).</w:t>
      </w:r>
    </w:p>
    <w:p w14:paraId="308F81B7" w14:textId="77777777" w:rsidR="004252F4" w:rsidRPr="00F90EAE" w:rsidRDefault="004252F4" w:rsidP="00F90EAE">
      <w:pPr>
        <w:pStyle w:val="rtejustify"/>
        <w:shd w:val="clear" w:color="auto" w:fill="FFFFFF"/>
        <w:spacing w:before="0" w:after="0"/>
        <w:rPr>
          <w:color w:val="000000" w:themeColor="text1"/>
          <w:sz w:val="16"/>
          <w:szCs w:val="16"/>
        </w:rPr>
      </w:pPr>
    </w:p>
    <w:p w14:paraId="0C7004C1" w14:textId="77777777" w:rsidR="004252F4" w:rsidRPr="00F90EAE" w:rsidRDefault="004252F4"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073073A" w14:textId="77777777" w:rsidR="004252F4" w:rsidRPr="00F90EAE" w:rsidRDefault="004252F4" w:rsidP="00F90EAE">
      <w:pPr>
        <w:autoSpaceDE w:val="0"/>
        <w:autoSpaceDN w:val="0"/>
        <w:adjustRightInd w:val="0"/>
        <w:jc w:val="both"/>
        <w:rPr>
          <w:iCs/>
          <w:color w:val="000000" w:themeColor="text1"/>
          <w:sz w:val="16"/>
          <w:szCs w:val="16"/>
        </w:rPr>
      </w:pPr>
    </w:p>
    <w:p w14:paraId="17E90EDE" w14:textId="77777777" w:rsidR="004252F4" w:rsidRPr="00F90EAE" w:rsidRDefault="004252F4" w:rsidP="00F90EAE">
      <w:pPr>
        <w:jc w:val="both"/>
        <w:rPr>
          <w:color w:val="000000" w:themeColor="text1"/>
          <w:sz w:val="16"/>
          <w:szCs w:val="16"/>
        </w:rPr>
      </w:pPr>
      <w:r w:rsidRPr="00F90EAE">
        <w:rPr>
          <w:color w:val="000000" w:themeColor="text1"/>
          <w:sz w:val="16"/>
          <w:szCs w:val="16"/>
        </w:rPr>
        <w:t>В начале мая 1945 г. Фон Браун, Дорнебергер и еще четыре сотни разработчиков «Фау-2» сдались американцам. Как и 300 вагонов с документацией и матчастью ракет они были вывезены на запад, а затем и в США до того, как этот район, в соответствии с союзнической договоренностью, был передан советской оккупационной администрации. Каммлер, за которым числилось немало грехов и помимо непосредственно связанных с производством и применением «Фау-2», покончил с собой перед самым концом войны (19629).</w:t>
      </w:r>
    </w:p>
    <w:p w14:paraId="62EC2979" w14:textId="77777777" w:rsidR="004252F4" w:rsidRPr="00F90EAE" w:rsidRDefault="004252F4" w:rsidP="00F90EAE">
      <w:pPr>
        <w:jc w:val="both"/>
        <w:rPr>
          <w:color w:val="000000" w:themeColor="text1"/>
          <w:sz w:val="16"/>
          <w:szCs w:val="16"/>
        </w:rPr>
      </w:pPr>
    </w:p>
    <w:p w14:paraId="18FFE41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BDE3E18" w14:textId="77777777" w:rsidR="00665165" w:rsidRPr="00F90EAE" w:rsidRDefault="00665165" w:rsidP="00F90EAE">
      <w:pPr>
        <w:autoSpaceDE w:val="0"/>
        <w:autoSpaceDN w:val="0"/>
        <w:adjustRightInd w:val="0"/>
        <w:jc w:val="both"/>
        <w:rPr>
          <w:iCs/>
          <w:color w:val="000000" w:themeColor="text1"/>
          <w:sz w:val="16"/>
          <w:szCs w:val="16"/>
        </w:rPr>
      </w:pPr>
    </w:p>
    <w:p w14:paraId="0800DC3D"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lastRenderedPageBreak/>
        <w:t>7 мая 1945 генерал-лейтенанту А.А. Лапину поступил доклад инженер-подполковника А.Г. Огилько о результатах его поездки в части 4-й и 1-й ВА. При этом были обследованы все части 4-го шак, 230-й, 232-й и 233-й шад 4-й ВА, а также 1-й гшад и 311-й шад 1-й ВА. В 4-й ВА получили и установили на штурмо</w:t>
      </w:r>
      <w:r w:rsidRPr="00F90EAE">
        <w:rPr>
          <w:rFonts w:ascii="Times New Roman" w:cs="Times New Roman"/>
          <w:color w:val="000000" w:themeColor="text1"/>
          <w:spacing w:val="0"/>
        </w:rPr>
        <w:softHyphen/>
        <w:t>вики 67 комплектов дополнительного бро</w:t>
      </w:r>
      <w:r w:rsidRPr="00F90EAE">
        <w:rPr>
          <w:rFonts w:ascii="Times New Roman" w:cs="Times New Roman"/>
          <w:color w:val="000000" w:themeColor="text1"/>
          <w:spacing w:val="0"/>
        </w:rPr>
        <w:softHyphen/>
        <w:t xml:space="preserve">нирования воздушных стрелков, а в полках 1-й ВА - 18 комплектов. Оказалось, что «в </w:t>
      </w:r>
      <w:r w:rsidRPr="00F90EAE">
        <w:rPr>
          <w:rStyle w:val="46"/>
          <w:rFonts w:ascii="Times New Roman" w:cs="Times New Roman"/>
          <w:color w:val="000000" w:themeColor="text1"/>
          <w:spacing w:val="0"/>
          <w:sz w:val="16"/>
          <w:szCs w:val="16"/>
        </w:rPr>
        <w:t>противоположность заключению ГК НИИ ВВС почти весь летный состав частей отмечает ухудшение маневренности и взлетных качеств самолетов Ил-2 с дополнительной броней, особенно при работе на плохих аэродромах и на старой материальной части».</w:t>
      </w:r>
    </w:p>
    <w:p w14:paraId="240DC882"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На некоторых самолетах (зав. №3156, 0784, 4980, 9629, 5817) установка дополни</w:t>
      </w:r>
      <w:r w:rsidRPr="00F90EAE">
        <w:rPr>
          <w:rFonts w:ascii="Times New Roman" w:cs="Times New Roman"/>
          <w:color w:val="000000" w:themeColor="text1"/>
          <w:spacing w:val="0"/>
        </w:rPr>
        <w:softHyphen/>
        <w:t>тельной брони настолько ухудшила летные ка</w:t>
      </w:r>
      <w:r w:rsidRPr="00F90EAE">
        <w:rPr>
          <w:rFonts w:ascii="Times New Roman" w:cs="Times New Roman"/>
          <w:color w:val="000000" w:themeColor="text1"/>
          <w:spacing w:val="0"/>
        </w:rPr>
        <w:softHyphen/>
        <w:t>чества, что даже</w:t>
      </w:r>
      <w:r w:rsidRPr="00F90EAE">
        <w:rPr>
          <w:rStyle w:val="aff6"/>
          <w:rFonts w:ascii="Times New Roman" w:hAnsi="Times New Roman" w:cs="Times New Roman"/>
          <w:i w:val="0"/>
          <w:color w:val="000000" w:themeColor="text1"/>
          <w:spacing w:val="0"/>
        </w:rPr>
        <w:t xml:space="preserve"> «высококвалифицированные летчики 76 гшап (имевшего в своем составе 16 Героев Советского Союза), работавшие прежде ночными штурмовиками, от этих са</w:t>
      </w:r>
      <w:r w:rsidRPr="00F90EAE">
        <w:rPr>
          <w:rStyle w:val="aff6"/>
          <w:rFonts w:ascii="Times New Roman" w:hAnsi="Times New Roman" w:cs="Times New Roman"/>
          <w:i w:val="0"/>
          <w:color w:val="000000" w:themeColor="text1"/>
          <w:spacing w:val="0"/>
        </w:rPr>
        <w:softHyphen/>
        <w:t>молетов отказывались».</w:t>
      </w:r>
      <w:r w:rsidRPr="00F90EAE">
        <w:rPr>
          <w:rFonts w:ascii="Times New Roman" w:cs="Times New Roman"/>
          <w:color w:val="000000" w:themeColor="text1"/>
          <w:spacing w:val="0"/>
        </w:rPr>
        <w:t xml:space="preserve"> Более того, после неоднократных требований летного состава старший инженер дивизии инженер-полковник Поляков был вынужден снять броню стрелка на Ил-2 зав. №303156.</w:t>
      </w:r>
    </w:p>
    <w:p w14:paraId="3FD1ED7B"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Летчики в один голос утверждали, что Ил-2 с дополнительной броней теряют управ</w:t>
      </w:r>
      <w:r w:rsidRPr="00F90EAE">
        <w:rPr>
          <w:rFonts w:ascii="Times New Roman" w:cs="Times New Roman"/>
          <w:color w:val="000000" w:themeColor="text1"/>
          <w:spacing w:val="0"/>
        </w:rPr>
        <w:softHyphen/>
        <w:t>ляемость при значительно меньших повре</w:t>
      </w:r>
      <w:r w:rsidRPr="00F90EAE">
        <w:rPr>
          <w:rFonts w:ascii="Times New Roman" w:cs="Times New Roman"/>
          <w:color w:val="000000" w:themeColor="text1"/>
          <w:spacing w:val="0"/>
        </w:rPr>
        <w:softHyphen/>
        <w:t>ждениях, чем самолеты без брони стрелка. Не было зафиксировано ни одного случая, чтобы Ил-2 с дополнительным бронированием при серьезных повреждениях хвостовой части самолета (стабилизатора и рулей глубины) сделал нормальную посадку, в то время как на «обычных» Ил-2 такие посадки исчислялись сотнями.</w:t>
      </w:r>
    </w:p>
    <w:p w14:paraId="739061BF"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Так, в 1 -й и 4-й ВА из 78 Ил-2 с дополни</w:t>
      </w:r>
      <w:r w:rsidRPr="00F90EAE">
        <w:rPr>
          <w:rFonts w:ascii="Times New Roman" w:cs="Times New Roman"/>
          <w:color w:val="000000" w:themeColor="text1"/>
          <w:spacing w:val="0"/>
        </w:rPr>
        <w:softHyphen/>
        <w:t>тельной броней в бою потеряли 44 машины, из них только четыре были сбиты над целью, остальные - подбиты и затем разбиты при вы</w:t>
      </w:r>
      <w:r w:rsidRPr="00F90EAE">
        <w:rPr>
          <w:rFonts w:ascii="Times New Roman" w:cs="Times New Roman"/>
          <w:color w:val="000000" w:themeColor="text1"/>
          <w:spacing w:val="0"/>
        </w:rPr>
        <w:softHyphen/>
        <w:t>нужденных посадках из-за плохой управляемо</w:t>
      </w:r>
      <w:r w:rsidRPr="00F90EAE">
        <w:rPr>
          <w:rFonts w:ascii="Times New Roman" w:cs="Times New Roman"/>
          <w:color w:val="000000" w:themeColor="text1"/>
          <w:spacing w:val="0"/>
        </w:rPr>
        <w:softHyphen/>
        <w:t>сти, причем два самолета при подходе к свое</w:t>
      </w:r>
      <w:r w:rsidRPr="00F90EAE">
        <w:rPr>
          <w:rFonts w:ascii="Times New Roman" w:cs="Times New Roman"/>
          <w:color w:val="000000" w:themeColor="text1"/>
          <w:spacing w:val="0"/>
        </w:rPr>
        <w:softHyphen/>
        <w:t>му аэродрому перевернулись в воздухе.</w:t>
      </w:r>
    </w:p>
    <w:p w14:paraId="0502C2F8"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Например, в 953-м шап в октябре 1944 г. установили дополнительную броню на семи Ил-2. К 15 марта 1945 г. в строю остался толь</w:t>
      </w:r>
      <w:r w:rsidRPr="00F90EAE">
        <w:rPr>
          <w:rFonts w:ascii="Times New Roman" w:cs="Times New Roman"/>
          <w:color w:val="000000" w:themeColor="text1"/>
          <w:spacing w:val="0"/>
        </w:rPr>
        <w:softHyphen/>
        <w:t>ко один самолет с этой броней,к шесть - чис</w:t>
      </w:r>
      <w:r w:rsidRPr="00F90EAE">
        <w:rPr>
          <w:rFonts w:ascii="Times New Roman" w:cs="Times New Roman"/>
          <w:color w:val="000000" w:themeColor="text1"/>
          <w:spacing w:val="0"/>
        </w:rPr>
        <w:softHyphen/>
        <w:t>лились не вернувшимися с боевого задания. Детальное изучение этих боевых потерь пока</w:t>
      </w:r>
      <w:r w:rsidRPr="00F90EAE">
        <w:rPr>
          <w:rFonts w:ascii="Times New Roman" w:cs="Times New Roman"/>
          <w:color w:val="000000" w:themeColor="text1"/>
          <w:spacing w:val="0"/>
        </w:rPr>
        <w:softHyphen/>
        <w:t>зало, что только один самолет (зав. №305869) был сбит над целью, а остальные машины (зав. №1881518, 306642, 306660, 305850; но</w:t>
      </w:r>
      <w:r w:rsidRPr="00F90EAE">
        <w:rPr>
          <w:rFonts w:ascii="Times New Roman" w:cs="Times New Roman"/>
          <w:color w:val="000000" w:themeColor="text1"/>
          <w:spacing w:val="0"/>
        </w:rPr>
        <w:softHyphen/>
        <w:t>мер одного Ил-2 не установлен) при выполне</w:t>
      </w:r>
      <w:r w:rsidRPr="00F90EAE">
        <w:rPr>
          <w:rFonts w:ascii="Times New Roman" w:cs="Times New Roman"/>
          <w:color w:val="000000" w:themeColor="text1"/>
          <w:spacing w:val="0"/>
        </w:rPr>
        <w:softHyphen/>
        <w:t>нии боевого задания были подбиты, потеряли управляемость и разбились при вынужденных посадках. По счастью, экипажи этих пяти само</w:t>
      </w:r>
      <w:r w:rsidRPr="00F90EAE">
        <w:rPr>
          <w:rFonts w:ascii="Times New Roman" w:cs="Times New Roman"/>
          <w:color w:val="000000" w:themeColor="text1"/>
          <w:spacing w:val="0"/>
        </w:rPr>
        <w:softHyphen/>
        <w:t>летов остались живы.</w:t>
      </w:r>
    </w:p>
    <w:p w14:paraId="55FE4AD5"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За время эксплуатации самолетов Ил-2 с дополнительной броней в частях 4-й и 1-й ВА имели место:</w:t>
      </w:r>
    </w:p>
    <w:p w14:paraId="1789A3B3"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 8 случаев прямого попадания снарядов МЗА в пол кабины воздушного стрелка. Снаря</w:t>
      </w:r>
      <w:r w:rsidRPr="00F90EAE">
        <w:rPr>
          <w:rFonts w:ascii="Times New Roman" w:cs="Times New Roman"/>
          <w:color w:val="000000" w:themeColor="text1"/>
          <w:sz w:val="16"/>
          <w:szCs w:val="16"/>
        </w:rPr>
        <w:softHyphen/>
        <w:t>дами сильно разрушены фюзеляжи, на полу ка</w:t>
      </w:r>
      <w:r w:rsidRPr="00F90EAE">
        <w:rPr>
          <w:rFonts w:ascii="Times New Roman" w:cs="Times New Roman"/>
          <w:color w:val="000000" w:themeColor="text1"/>
          <w:sz w:val="16"/>
          <w:szCs w:val="16"/>
        </w:rPr>
        <w:softHyphen/>
        <w:t>бины большие вмятины, но броню не пробило. Стрелки во всех случаях остались невредимыми.</w:t>
      </w:r>
    </w:p>
    <w:p w14:paraId="1659C719" w14:textId="77777777" w:rsidR="005F32F4" w:rsidRPr="00F90EAE" w:rsidRDefault="005F32F4" w:rsidP="00F90EAE">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2) 3 случая попадания крупнокалиберных снарядов в плоскость центроплана на рас</w:t>
      </w:r>
      <w:r w:rsidRPr="00F90EAE">
        <w:rPr>
          <w:rFonts w:ascii="Times New Roman" w:cs="Times New Roman"/>
          <w:color w:val="000000" w:themeColor="text1"/>
          <w:sz w:val="16"/>
          <w:szCs w:val="16"/>
        </w:rPr>
        <w:softHyphen/>
        <w:t>стоянии меньше 500 мм от кабины стрелка. В двух случаях разбиты рабочие баллоны и в одном случае совершенно вырван рабочий баллон. На боковой броне кабины стрелка большие вмятины. Броня не пробита. Стрелки невредимы.</w:t>
      </w:r>
    </w:p>
    <w:p w14:paraId="0D37BEFC" w14:textId="77777777" w:rsidR="005F32F4" w:rsidRPr="00F90EAE" w:rsidRDefault="005F32F4" w:rsidP="00F90EAE">
      <w:pPr>
        <w:pStyle w:val="45"/>
        <w:shd w:val="clear" w:color="auto" w:fill="auto"/>
        <w:tabs>
          <w:tab w:val="left" w:pos="500"/>
        </w:tabs>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3) 4 случая разрывов снарядов ЗА в фю</w:t>
      </w:r>
      <w:r w:rsidRPr="00F90EAE">
        <w:rPr>
          <w:rFonts w:ascii="Times New Roman" w:cs="Times New Roman"/>
          <w:color w:val="000000" w:themeColor="text1"/>
          <w:sz w:val="16"/>
          <w:szCs w:val="16"/>
        </w:rPr>
        <w:softHyphen/>
        <w:t>зеляже сзади кабины стрелка на расстоянии меньше 600 мм. Броня не пробита. На задней броне кабины стрелка остались только вмяти</w:t>
      </w:r>
      <w:r w:rsidRPr="00F90EAE">
        <w:rPr>
          <w:rFonts w:ascii="Times New Roman" w:cs="Times New Roman"/>
          <w:color w:val="000000" w:themeColor="text1"/>
          <w:sz w:val="16"/>
          <w:szCs w:val="16"/>
        </w:rPr>
        <w:softHyphen/>
        <w:t>ны. Экипажи невредимы.</w:t>
      </w:r>
    </w:p>
    <w:p w14:paraId="2EA6862A" w14:textId="77777777" w:rsidR="005F32F4" w:rsidRPr="00F90EAE" w:rsidRDefault="005F32F4" w:rsidP="00F90EAE">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4) Один случай попадания крупнокалибер</w:t>
      </w:r>
      <w:r w:rsidRPr="00F90EAE">
        <w:rPr>
          <w:rFonts w:ascii="Times New Roman" w:cs="Times New Roman"/>
          <w:color w:val="000000" w:themeColor="text1"/>
          <w:sz w:val="16"/>
          <w:szCs w:val="16"/>
        </w:rPr>
        <w:softHyphen/>
        <w:t>ного снаряда ЗА в заднюю дверцу кабины воз</w:t>
      </w:r>
      <w:r w:rsidRPr="00F90EAE">
        <w:rPr>
          <w:rFonts w:ascii="Times New Roman" w:cs="Times New Roman"/>
          <w:color w:val="000000" w:themeColor="text1"/>
          <w:sz w:val="16"/>
          <w:szCs w:val="16"/>
        </w:rPr>
        <w:softHyphen/>
        <w:t>душного стрелка, броня пробита, воздушный стрелок ранен в ногу.</w:t>
      </w:r>
    </w:p>
    <w:p w14:paraId="4575D113"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5) Один случай попадания снаряда в зад</w:t>
      </w:r>
      <w:r w:rsidRPr="00F90EAE">
        <w:rPr>
          <w:rFonts w:ascii="Times New Roman" w:cs="Times New Roman"/>
          <w:color w:val="000000" w:themeColor="text1"/>
          <w:sz w:val="16"/>
          <w:szCs w:val="16"/>
        </w:rPr>
        <w:softHyphen/>
        <w:t>ний вертикальный лист кабины стрелка при обстреле истребителем противника. Броня пробита, воздушный стрелок убит».</w:t>
      </w:r>
    </w:p>
    <w:p w14:paraId="53E29B3F"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Всего в 230-й, 232-й, 233-й шад, 4-м шак, 1-й гшад и 311-й шад с января 1944 г. по март 1945 г. было 59 случаев ранения летчиков, 160 случаев ранения воздушных стрелков, три воз</w:t>
      </w:r>
      <w:r w:rsidRPr="00F90EAE">
        <w:rPr>
          <w:rFonts w:ascii="Times New Roman" w:cs="Times New Roman"/>
          <w:color w:val="000000" w:themeColor="text1"/>
          <w:spacing w:val="0"/>
        </w:rPr>
        <w:softHyphen/>
        <w:t>душных стрелка погибли. Из них осколками зенитных снарядов было ранено 94 человека, остальные - огнем истребителей и пулеметно- винтовочным огнем наземных частей против</w:t>
      </w:r>
      <w:r w:rsidRPr="00F90EAE">
        <w:rPr>
          <w:rFonts w:ascii="Times New Roman" w:cs="Times New Roman"/>
          <w:color w:val="000000" w:themeColor="text1"/>
          <w:spacing w:val="0"/>
        </w:rPr>
        <w:softHyphen/>
        <w:t>ника. Также имели место девять случаев ране</w:t>
      </w:r>
      <w:r w:rsidRPr="00F90EAE">
        <w:rPr>
          <w:rFonts w:ascii="Times New Roman" w:cs="Times New Roman"/>
          <w:color w:val="000000" w:themeColor="text1"/>
          <w:spacing w:val="0"/>
        </w:rPr>
        <w:softHyphen/>
        <w:t>ний осколками снарядов и пуль, отраженных от брони летчика. Ранения воздушных стрелков распределялись следующим образом: в голо</w:t>
      </w:r>
      <w:r w:rsidRPr="00F90EAE">
        <w:rPr>
          <w:rFonts w:ascii="Times New Roman" w:cs="Times New Roman"/>
          <w:color w:val="000000" w:themeColor="text1"/>
          <w:spacing w:val="0"/>
        </w:rPr>
        <w:softHyphen/>
        <w:t>ву - 27, в руки и грудь - 43, в ноги - 70, в про</w:t>
      </w:r>
      <w:r w:rsidRPr="00F90EAE">
        <w:rPr>
          <w:rFonts w:ascii="Times New Roman" w:cs="Times New Roman"/>
          <w:color w:val="000000" w:themeColor="text1"/>
          <w:spacing w:val="0"/>
        </w:rPr>
        <w:softHyphen/>
        <w:t>чие места - 20.</w:t>
      </w:r>
    </w:p>
    <w:p w14:paraId="376A9575"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Делался следующий вывод:</w:t>
      </w:r>
      <w:r w:rsidRPr="00F90EAE">
        <w:rPr>
          <w:rFonts w:ascii="Times New Roman" w:cs="Times New Roman"/>
          <w:color w:val="000000" w:themeColor="text1"/>
          <w:sz w:val="16"/>
          <w:szCs w:val="16"/>
        </w:rPr>
        <w:t xml:space="preserve"> «Испытания в ГК НИИ ВВС КА были проведены на хоро</w:t>
      </w:r>
      <w:r w:rsidRPr="00F90EAE">
        <w:rPr>
          <w:rFonts w:ascii="Times New Roman" w:cs="Times New Roman"/>
          <w:color w:val="000000" w:themeColor="text1"/>
          <w:sz w:val="16"/>
          <w:szCs w:val="16"/>
        </w:rPr>
        <w:softHyphen/>
        <w:t>ших аэродромах и совершенно новой мате</w:t>
      </w:r>
      <w:r w:rsidRPr="00F90EAE">
        <w:rPr>
          <w:rFonts w:ascii="Times New Roman" w:cs="Times New Roman"/>
          <w:color w:val="000000" w:themeColor="text1"/>
          <w:sz w:val="16"/>
          <w:szCs w:val="16"/>
        </w:rPr>
        <w:softHyphen/>
        <w:t>риальной части. В действующих частях ВВС КА дополнительная броня устанавливалась на старую материальную часть (во многих случа</w:t>
      </w:r>
      <w:r w:rsidRPr="00F90EAE">
        <w:rPr>
          <w:rFonts w:ascii="Times New Roman" w:cs="Times New Roman"/>
          <w:color w:val="000000" w:themeColor="text1"/>
          <w:sz w:val="16"/>
          <w:szCs w:val="16"/>
        </w:rPr>
        <w:softHyphen/>
        <w:t>ях на</w:t>
      </w:r>
      <w:r w:rsidRPr="00F90EAE">
        <w:rPr>
          <w:rStyle w:val="4e"/>
          <w:rFonts w:ascii="Times New Roman" w:hAnsi="Times New Roman" w:cs="Times New Roman"/>
          <w:i w:val="0"/>
          <w:color w:val="000000" w:themeColor="text1"/>
          <w:sz w:val="16"/>
          <w:szCs w:val="16"/>
        </w:rPr>
        <w:t xml:space="preserve"> самолетах с моторами после</w:t>
      </w:r>
      <w:r w:rsidRPr="00F90EAE">
        <w:rPr>
          <w:rFonts w:ascii="Times New Roman" w:cs="Times New Roman"/>
          <w:color w:val="000000" w:themeColor="text1"/>
          <w:sz w:val="16"/>
          <w:szCs w:val="16"/>
        </w:rPr>
        <w:t xml:space="preserve"> ремонта), а самолеты эксплуатируются в большинстве случаев на очень плохих аэродромах. В этих условиях установка дополнительной брони значительно сказывается на летных качествах самолетов».</w:t>
      </w:r>
      <w:r w:rsidRPr="00F90EAE">
        <w:rPr>
          <w:rStyle w:val="4e"/>
          <w:rFonts w:ascii="Times New Roman" w:hAnsi="Times New Roman" w:cs="Times New Roman"/>
          <w:i w:val="0"/>
          <w:color w:val="000000" w:themeColor="text1"/>
          <w:sz w:val="16"/>
          <w:szCs w:val="16"/>
        </w:rPr>
        <w:t xml:space="preserve"> Кроме того,</w:t>
      </w:r>
      <w:r w:rsidRPr="00F90EAE">
        <w:rPr>
          <w:rFonts w:ascii="Times New Roman" w:cs="Times New Roman"/>
          <w:color w:val="000000" w:themeColor="text1"/>
          <w:sz w:val="16"/>
          <w:szCs w:val="16"/>
        </w:rPr>
        <w:t xml:space="preserve"> «ГК НИИ ВВС КА не мог учесть влияния различных повреждений матчасти на управляемость самолетов Ил-2 с дополнительной броней и без нее, что для са</w:t>
      </w:r>
      <w:r w:rsidRPr="00F90EAE">
        <w:rPr>
          <w:rFonts w:ascii="Times New Roman" w:cs="Times New Roman"/>
          <w:color w:val="000000" w:themeColor="text1"/>
          <w:sz w:val="16"/>
          <w:szCs w:val="16"/>
        </w:rPr>
        <w:softHyphen/>
        <w:t>молетов Ил-2 по условиям их боевой работы имеет особое значение».</w:t>
      </w:r>
    </w:p>
    <w:p w14:paraId="0EF46D9E" w14:textId="77777777" w:rsidR="005F32F4" w:rsidRPr="00F90EAE" w:rsidRDefault="005F32F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Между тем, комплект полевого варианта дополнительного бронирования надежно защи</w:t>
      </w:r>
      <w:r w:rsidRPr="00F90EAE">
        <w:rPr>
          <w:rFonts w:ascii="Times New Roman" w:cs="Times New Roman"/>
          <w:color w:val="000000" w:themeColor="text1"/>
          <w:spacing w:val="0"/>
        </w:rPr>
        <w:softHyphen/>
        <w:t>щал воздушного стрелка от прямых попаданий снарядов зенитной артиллерии мелкого кали</w:t>
      </w:r>
      <w:r w:rsidRPr="00F90EAE">
        <w:rPr>
          <w:rFonts w:ascii="Times New Roman" w:cs="Times New Roman"/>
          <w:color w:val="000000" w:themeColor="text1"/>
          <w:spacing w:val="0"/>
        </w:rPr>
        <w:softHyphen/>
        <w:t>бра и осколков крупнокалиберных снарядов даже с дистанции бреющего полета. По еди</w:t>
      </w:r>
      <w:r w:rsidRPr="00F90EAE">
        <w:rPr>
          <w:rFonts w:ascii="Times New Roman" w:cs="Times New Roman"/>
          <w:color w:val="000000" w:themeColor="text1"/>
          <w:spacing w:val="0"/>
        </w:rPr>
        <w:softHyphen/>
        <w:t>нодушному мнению летного состава, комплект дополнительной брони на Ил-2 был необходим, так как процент раненых стрелков оказался очень большим:</w:t>
      </w:r>
      <w:r w:rsidRPr="00F90EAE">
        <w:rPr>
          <w:rStyle w:val="aff6"/>
          <w:rFonts w:ascii="Times New Roman" w:hAnsi="Times New Roman" w:cs="Times New Roman"/>
          <w:i w:val="0"/>
          <w:color w:val="000000" w:themeColor="text1"/>
          <w:spacing w:val="0"/>
        </w:rPr>
        <w:t xml:space="preserve"> «В частях много летчиков, у ко</w:t>
      </w:r>
      <w:r w:rsidRPr="00F90EAE">
        <w:rPr>
          <w:rStyle w:val="aff6"/>
          <w:rFonts w:ascii="Times New Roman" w:hAnsi="Times New Roman" w:cs="Times New Roman"/>
          <w:i w:val="0"/>
          <w:color w:val="000000" w:themeColor="text1"/>
          <w:spacing w:val="0"/>
        </w:rPr>
        <w:softHyphen/>
        <w:t>торых по причинам ранения сменилось по 3-4 воздушных стрелка».</w:t>
      </w:r>
      <w:r w:rsidRPr="00F90EAE">
        <w:rPr>
          <w:rFonts w:ascii="Times New Roman" w:cs="Times New Roman"/>
          <w:color w:val="000000" w:themeColor="text1"/>
          <w:spacing w:val="0"/>
        </w:rPr>
        <w:t xml:space="preserve"> Но при этом требовалось сохранить центровку самолета на прежнем уровне, например,</w:t>
      </w:r>
      <w:r w:rsidRPr="00F90EAE">
        <w:rPr>
          <w:rStyle w:val="aff6"/>
          <w:rFonts w:ascii="Times New Roman" w:hAnsi="Times New Roman" w:cs="Times New Roman"/>
          <w:i w:val="0"/>
          <w:color w:val="000000" w:themeColor="text1"/>
          <w:spacing w:val="0"/>
        </w:rPr>
        <w:t xml:space="preserve"> «путем уменьшения боковых плит кабины воздушного стрелка».</w:t>
      </w:r>
    </w:p>
    <w:p w14:paraId="521DFE25"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Считалось целесообразным</w:t>
      </w:r>
      <w:r w:rsidRPr="00F90EAE">
        <w:rPr>
          <w:rFonts w:ascii="Times New Roman" w:cs="Times New Roman"/>
          <w:color w:val="000000" w:themeColor="text1"/>
          <w:sz w:val="16"/>
          <w:szCs w:val="16"/>
        </w:rPr>
        <w:t xml:space="preserve"> «боковые плиты кабины воздушного стрелка устанавли</w:t>
      </w:r>
      <w:r w:rsidRPr="00F90EAE">
        <w:rPr>
          <w:rFonts w:ascii="Times New Roman" w:cs="Times New Roman"/>
          <w:color w:val="000000" w:themeColor="text1"/>
          <w:sz w:val="16"/>
          <w:szCs w:val="16"/>
        </w:rPr>
        <w:softHyphen/>
        <w:t xml:space="preserve">вать из противоосколочной брони толщиной </w:t>
      </w:r>
      <w:r w:rsidRPr="00F90EAE">
        <w:rPr>
          <w:rStyle w:val="aff6"/>
          <w:rFonts w:ascii="Times New Roman" w:hAnsi="Times New Roman" w:cs="Times New Roman"/>
          <w:i w:val="0"/>
          <w:color w:val="000000" w:themeColor="text1"/>
        </w:rPr>
        <w:t>2,5 мм,</w:t>
      </w:r>
      <w:r w:rsidRPr="00F90EAE">
        <w:rPr>
          <w:rFonts w:ascii="Times New Roman" w:cs="Times New Roman"/>
          <w:color w:val="000000" w:themeColor="text1"/>
          <w:sz w:val="16"/>
          <w:szCs w:val="16"/>
        </w:rPr>
        <w:t xml:space="preserve"> что позволило бы уменьшить вес комплекта дополнительного бронирования до 55-60 кг. Однако к этому времени война закончилась, строевые части активно пере</w:t>
      </w:r>
      <w:r w:rsidRPr="00F90EAE">
        <w:rPr>
          <w:rFonts w:ascii="Times New Roman" w:cs="Times New Roman"/>
          <w:color w:val="000000" w:themeColor="text1"/>
          <w:sz w:val="16"/>
          <w:szCs w:val="16"/>
        </w:rPr>
        <w:softHyphen/>
        <w:t>вооружались на более скоростной штурмовик Ил-10 АМ-42, выпуск Ил-2 сокращался. В этих условиях усилия НКАП и ОКБ Ильюшина были сосредоточены только на доводке «десятки» (17478).</w:t>
      </w:r>
    </w:p>
    <w:p w14:paraId="63ABB0AC" w14:textId="77777777" w:rsidR="005F32F4" w:rsidRPr="00F90EAE" w:rsidRDefault="005F32F4" w:rsidP="00F90EAE">
      <w:pPr>
        <w:jc w:val="both"/>
        <w:rPr>
          <w:color w:val="000000" w:themeColor="text1"/>
          <w:sz w:val="16"/>
          <w:szCs w:val="16"/>
        </w:rPr>
      </w:pPr>
    </w:p>
    <w:p w14:paraId="4CA5B1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года врид командующего ВВС маршал авиации Фалалеев писал письмо N 741482с Шахурину.</w:t>
      </w:r>
    </w:p>
    <w:p w14:paraId="0B97F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Государственными испытаниями модифицированного самолета ЯК-3 с мотором ВК-105ПФ2 вооруженного тремя пушками Б-20, проведенными в ГК НИИ ВВС в апреле-мае с.г. установлено:</w:t>
      </w:r>
    </w:p>
    <w:p w14:paraId="60266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ЯК-3 с ВК-105ПФ2 с данным вариантом вооружения, является нужным для ВВС самолетом.</w:t>
      </w:r>
    </w:p>
    <w:p w14:paraId="3BA1AF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в процессе испытаний на самолете был выявлен ряд дефектов, основными из которых являются:</w:t>
      </w:r>
    </w:p>
    <w:p w14:paraId="44C537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Максимальные горизонтальные скорости самолета на 15-25 км/час меньше установленных постановлением ГОКО N 4430сс от 12.10.43 г. вследствие отсоса щитков шасси в полете и волнистой поверхности крыла.</w:t>
      </w:r>
    </w:p>
    <w:p w14:paraId="5CFF4D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Отставание обшивки киля.</w:t>
      </w:r>
    </w:p>
    <w:p w14:paraId="494914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Отсутствие переднего бронестекла.</w:t>
      </w:r>
    </w:p>
    <w:p w14:paraId="13AEDE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Валики нагрузки на ручку от элеронов.</w:t>
      </w:r>
    </w:p>
    <w:p w14:paraId="368D3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Недостаточная прочность кронштейна крепления пневмоцилиндра спуска пушки Б-20М.</w:t>
      </w:r>
    </w:p>
    <w:p w14:paraId="62D2EB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Поломки штока пневмоцилиндра спуска пушки Б-20М.</w:t>
      </w:r>
    </w:p>
    <w:p w14:paraId="50AD4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Заклинение конца патронной ленты в 7 штук патронов на выходе из патронных ящиков пушек Б-20С вследствие захлестывания последнего патрона.</w:t>
      </w:r>
    </w:p>
    <w:p w14:paraId="233A1F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Затруднена установка пушек Б-20С.</w:t>
      </w:r>
    </w:p>
    <w:p w14:paraId="07E682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Установка трубки Вентури в выходной части туннеля водорадиатора не обеспечивает перепада давления, необходимого для нормальной работы указателя поворота.</w:t>
      </w:r>
    </w:p>
    <w:p w14:paraId="3139F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Дальность радиопередачи с самолета не соответствует требованиям ВВС.</w:t>
      </w:r>
    </w:p>
    <w:p w14:paraId="17B24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Удлинение ввода передатчика и свертывание части его длины в бухту не обеспечивает постоянства настройки антенны в полете.</w:t>
      </w:r>
    </w:p>
    <w:p w14:paraId="2C670A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Установка регуляторной коробки фильтра генератора на моторе вызывает частые отказы их.</w:t>
      </w:r>
    </w:p>
    <w:p w14:paraId="08041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Отсутствие переднего бронестекла и недостаточная дальность радиосвязи на самолетах ЯК-3 и ЯК-9 отмечается ГК НИИ ВВС во всех отчетах с момента прохождения этими самолетами государственных испытаний.</w:t>
      </w:r>
    </w:p>
    <w:p w14:paraId="1F609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это заводы НКАП до настоящего времени продолжают выпускать самолеты ЯК-3 и ЯК-9 без переднего бронестекла и с недостаточной дальностью радиосвязи.</w:t>
      </w:r>
    </w:p>
    <w:p w14:paraId="587FB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Вас о принятии необходимых мер (2591,69).</w:t>
      </w:r>
    </w:p>
    <w:p w14:paraId="35E1219C" w14:textId="77777777" w:rsidR="00665165" w:rsidRPr="00F90EAE" w:rsidRDefault="00665165" w:rsidP="00F90EAE">
      <w:pPr>
        <w:autoSpaceDE w:val="0"/>
        <w:autoSpaceDN w:val="0"/>
        <w:adjustRightInd w:val="0"/>
        <w:jc w:val="both"/>
        <w:rPr>
          <w:color w:val="000000" w:themeColor="text1"/>
          <w:sz w:val="16"/>
          <w:szCs w:val="16"/>
        </w:rPr>
      </w:pPr>
    </w:p>
    <w:p w14:paraId="18D32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Лапин утвердил Акт по гос. испытаниям серийного Як-3 ПФ-2 N 22-29 292 завода, выпущенного в ноябре 1944, которые проходили с 10 по 19 апреля 1945 1943 (805,5).</w:t>
      </w:r>
    </w:p>
    <w:p w14:paraId="77DAA7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стт-л В.П.Белодеденко</w:t>
      </w:r>
    </w:p>
    <w:p w14:paraId="1A4E04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вли к Мванов</w:t>
      </w:r>
    </w:p>
    <w:p w14:paraId="3E1C32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2-й ст (серии) завода № 292, проходивший полные контрольные испытания. 1-й с-т № 11-12 производства з-да № 292 выпуска июля 1944 проходил испытания в НИИ в августе 1944. Первый с-т прошел контрольные испытания неудовлетворительно:</w:t>
      </w:r>
    </w:p>
    <w:p w14:paraId="5AB7F7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макс. скорость на 15-19 км/час меньше установленной постановлением ГОКО от 26 октября 1943</w:t>
      </w:r>
    </w:p>
    <w:p w14:paraId="5E9C1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объем б/б был на 22 л меньше, чем у с-та Як-1 М “дублер”</w:t>
      </w:r>
    </w:p>
    <w:p w14:paraId="25F806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мала дальность р/передатчика (45 км)</w:t>
      </w:r>
    </w:p>
    <w:p w14:paraId="3713C9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 отсос щитков в полете на повышенной скорости, искажения фонаря козырька пилота, большие усилия перезарядки МП-20 ШВАК</w:t>
      </w:r>
    </w:p>
    <w:p w14:paraId="0D38F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5D620F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с-т Як-3 № 22-29 с ПФ-2 контрольные испытания прошел неудовлетворительно.</w:t>
      </w:r>
    </w:p>
    <w:p w14:paraId="16084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нем не устранены следующие основаные дефекты, выявленные при испытаниях с-та № 11-12:</w:t>
      </w:r>
    </w:p>
    <w:p w14:paraId="57B3D4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занижена макс. скорость против постановлением ГОКО от 26 октября 1943 на 10-11 км/час (при кнепке шасси, поставленной на уборку и на 22-25 км/час при неубирании шасси)</w:t>
      </w:r>
    </w:p>
    <w:p w14:paraId="28DAD7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максимальная дальность радиопередачи (60 км)</w:t>
      </w:r>
    </w:p>
    <w:p w14:paraId="6E858A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мала емкость б/б (360 л против 372 л у опытного Як-1М “дублер”</w:t>
      </w:r>
    </w:p>
    <w:p w14:paraId="141441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 Сафронов - 3 мая 1945, Лосюков - 4 мая 1945</w:t>
      </w:r>
    </w:p>
    <w:p w14:paraId="683450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 основных ЛТД с-тов Як-3 с 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1"/>
        <w:gridCol w:w="1961"/>
        <w:gridCol w:w="1961"/>
        <w:gridCol w:w="1961"/>
      </w:tblGrid>
      <w:tr w:rsidR="00561F31" w:rsidRPr="00F90EAE" w14:paraId="3E1D5A40" w14:textId="77777777">
        <w:tc>
          <w:tcPr>
            <w:tcW w:w="3369" w:type="dxa"/>
            <w:tcBorders>
              <w:top w:val="single" w:sz="12" w:space="0" w:color="auto"/>
            </w:tcBorders>
          </w:tcPr>
          <w:p w14:paraId="3A0F12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w:t>
            </w:r>
          </w:p>
        </w:tc>
        <w:tc>
          <w:tcPr>
            <w:tcW w:w="1961" w:type="dxa"/>
            <w:tcBorders>
              <w:top w:val="single" w:sz="12" w:space="0" w:color="auto"/>
            </w:tcBorders>
          </w:tcPr>
          <w:p w14:paraId="6F529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22-29 производства з-да № 292, испытан в ГК НИИ ВВС в апреле 1945</w:t>
            </w:r>
          </w:p>
        </w:tc>
        <w:tc>
          <w:tcPr>
            <w:tcW w:w="1961" w:type="dxa"/>
            <w:tcBorders>
              <w:top w:val="single" w:sz="12" w:space="0" w:color="auto"/>
            </w:tcBorders>
          </w:tcPr>
          <w:p w14:paraId="4DD6B4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11-12 производства з-да № 292, испытан в ГК НИИ ВВС в сентябре 1944</w:t>
            </w:r>
          </w:p>
        </w:tc>
        <w:tc>
          <w:tcPr>
            <w:tcW w:w="1961" w:type="dxa"/>
            <w:tcBorders>
              <w:top w:val="single" w:sz="12" w:space="0" w:color="auto"/>
            </w:tcBorders>
          </w:tcPr>
          <w:p w14:paraId="40D231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 96-26 производства з-да № 292, испытан в ГК НИИ ВВС в октябре 1944</w:t>
            </w:r>
          </w:p>
        </w:tc>
        <w:tc>
          <w:tcPr>
            <w:tcW w:w="1961" w:type="dxa"/>
            <w:tcBorders>
              <w:top w:val="single" w:sz="12" w:space="0" w:color="auto"/>
            </w:tcBorders>
          </w:tcPr>
          <w:p w14:paraId="5AB71E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от 26 октября 1943</w:t>
            </w:r>
          </w:p>
        </w:tc>
      </w:tr>
      <w:tr w:rsidR="00561F31" w:rsidRPr="00F90EAE" w14:paraId="56C66C37" w14:textId="77777777">
        <w:tc>
          <w:tcPr>
            <w:tcW w:w="3369" w:type="dxa"/>
          </w:tcPr>
          <w:p w14:paraId="071C2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1961" w:type="dxa"/>
          </w:tcPr>
          <w:p w14:paraId="5E6F5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961" w:type="dxa"/>
          </w:tcPr>
          <w:p w14:paraId="6F5E3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961" w:type="dxa"/>
          </w:tcPr>
          <w:p w14:paraId="0D6F84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961" w:type="dxa"/>
          </w:tcPr>
          <w:p w14:paraId="0A32B7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2670</w:t>
            </w:r>
          </w:p>
        </w:tc>
      </w:tr>
      <w:tr w:rsidR="00561F31" w:rsidRPr="00F90EAE" w14:paraId="0B9417A5" w14:textId="77777777">
        <w:tc>
          <w:tcPr>
            <w:tcW w:w="3369" w:type="dxa"/>
          </w:tcPr>
          <w:p w14:paraId="15325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у земли</w:t>
            </w:r>
          </w:p>
        </w:tc>
        <w:tc>
          <w:tcPr>
            <w:tcW w:w="1961" w:type="dxa"/>
          </w:tcPr>
          <w:p w14:paraId="4813E1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961" w:type="dxa"/>
          </w:tcPr>
          <w:p w14:paraId="3DD062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tc>
        <w:tc>
          <w:tcPr>
            <w:tcW w:w="1961" w:type="dxa"/>
          </w:tcPr>
          <w:p w14:paraId="7E4F4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w:t>
            </w:r>
          </w:p>
        </w:tc>
        <w:tc>
          <w:tcPr>
            <w:tcW w:w="1961" w:type="dxa"/>
          </w:tcPr>
          <w:p w14:paraId="4245D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r>
      <w:tr w:rsidR="00561F31" w:rsidRPr="00F90EAE" w14:paraId="2A3AFFA9" w14:textId="77777777">
        <w:tc>
          <w:tcPr>
            <w:tcW w:w="3369" w:type="dxa"/>
          </w:tcPr>
          <w:p w14:paraId="4B5BC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1-й границе высотности</w:t>
            </w:r>
          </w:p>
        </w:tc>
        <w:tc>
          <w:tcPr>
            <w:tcW w:w="1961" w:type="dxa"/>
          </w:tcPr>
          <w:p w14:paraId="1B4FA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613/2100</w:t>
            </w:r>
          </w:p>
        </w:tc>
        <w:tc>
          <w:tcPr>
            <w:tcW w:w="1961" w:type="dxa"/>
          </w:tcPr>
          <w:p w14:paraId="58D11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610/2200</w:t>
            </w:r>
          </w:p>
        </w:tc>
        <w:tc>
          <w:tcPr>
            <w:tcW w:w="1961" w:type="dxa"/>
          </w:tcPr>
          <w:p w14:paraId="69357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610/1600</w:t>
            </w:r>
          </w:p>
        </w:tc>
        <w:tc>
          <w:tcPr>
            <w:tcW w:w="1961" w:type="dxa"/>
          </w:tcPr>
          <w:p w14:paraId="423299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4798F93" w14:textId="77777777">
        <w:tc>
          <w:tcPr>
            <w:tcW w:w="3369" w:type="dxa"/>
          </w:tcPr>
          <w:p w14:paraId="346ECD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2-й границе высотности</w:t>
            </w:r>
          </w:p>
        </w:tc>
        <w:tc>
          <w:tcPr>
            <w:tcW w:w="1961" w:type="dxa"/>
          </w:tcPr>
          <w:p w14:paraId="19BBC5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639/4150</w:t>
            </w:r>
          </w:p>
        </w:tc>
        <w:tc>
          <w:tcPr>
            <w:tcW w:w="1961" w:type="dxa"/>
          </w:tcPr>
          <w:p w14:paraId="53828E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631/4200</w:t>
            </w:r>
          </w:p>
        </w:tc>
        <w:tc>
          <w:tcPr>
            <w:tcW w:w="1961" w:type="dxa"/>
          </w:tcPr>
          <w:p w14:paraId="52A8B4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642/3750</w:t>
            </w:r>
          </w:p>
        </w:tc>
        <w:tc>
          <w:tcPr>
            <w:tcW w:w="1961" w:type="dxa"/>
          </w:tcPr>
          <w:p w14:paraId="2D1046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r>
      <w:tr w:rsidR="00561F31" w:rsidRPr="00F90EAE" w14:paraId="7873173F" w14:textId="77777777">
        <w:tc>
          <w:tcPr>
            <w:tcW w:w="3369" w:type="dxa"/>
            <w:tcBorders>
              <w:bottom w:val="single" w:sz="12" w:space="0" w:color="auto"/>
            </w:tcBorders>
          </w:tcPr>
          <w:p w14:paraId="2685D7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5000 м</w:t>
            </w:r>
          </w:p>
        </w:tc>
        <w:tc>
          <w:tcPr>
            <w:tcW w:w="1961" w:type="dxa"/>
            <w:tcBorders>
              <w:bottom w:val="single" w:sz="12" w:space="0" w:color="auto"/>
            </w:tcBorders>
          </w:tcPr>
          <w:p w14:paraId="77A7BA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961" w:type="dxa"/>
            <w:tcBorders>
              <w:bottom w:val="single" w:sz="12" w:space="0" w:color="auto"/>
            </w:tcBorders>
          </w:tcPr>
          <w:p w14:paraId="78AFC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961" w:type="dxa"/>
            <w:tcBorders>
              <w:bottom w:val="single" w:sz="12" w:space="0" w:color="auto"/>
            </w:tcBorders>
          </w:tcPr>
          <w:p w14:paraId="098649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961" w:type="dxa"/>
            <w:tcBorders>
              <w:bottom w:val="single" w:sz="12" w:space="0" w:color="auto"/>
            </w:tcBorders>
          </w:tcPr>
          <w:p w14:paraId="7FBFB4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724FD2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1хТМА-2- ШВАК и 2хБС синхр.</w:t>
      </w:r>
    </w:p>
    <w:p w14:paraId="7B5DD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серийного с-та № 11-12, проходившего КИ в сентябре 1944 имеет следующие основные отличия:</w:t>
      </w:r>
    </w:p>
    <w:p w14:paraId="59A2B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 планеру</w:t>
      </w:r>
    </w:p>
    <w:p w14:paraId="51D94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проведены мероприятия по улучшению аэродинамики с-та</w:t>
      </w:r>
    </w:p>
    <w:p w14:paraId="185A2E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уменьшены щели между крылом и элеронами, между килем и РП и между стабилизатором и РВ</w:t>
      </w:r>
    </w:p>
    <w:p w14:paraId="56B26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уменьшены вырезы под кронштейны элеронов и рулей</w:t>
      </w:r>
    </w:p>
    <w:p w14:paraId="152C1F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улучшена герметичность с-та</w:t>
      </w:r>
    </w:p>
    <w:p w14:paraId="58B503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поставлены замки на центральные щитки шасси</w:t>
      </w:r>
    </w:p>
    <w:p w14:paraId="3359CC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повышена прочность крыла:</w:t>
      </w:r>
    </w:p>
    <w:p w14:paraId="16FE72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увеличена вдвое площадь склейки средней части нервюр 8, 9, 10, 11, 14, 16, 18 с верхней обшивкой</w:t>
      </w:r>
    </w:p>
    <w:p w14:paraId="3A7C3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усилена куполная часть носка крыла, усилены носки нервюр 6 и 8, усилены лонжероны купола шгасси и его крепление к носку 8 нервюры, увеличена плоскость склейки лонжерона купола шасси с верхней частью лобовой обшивки, удлинен лобовой стрингер до 10 нервюры</w:t>
      </w:r>
    </w:p>
    <w:p w14:paraId="4971DC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средняя часть и шпон лобовой части обшивки приклеены клеем ВИАМ-Б-3</w:t>
      </w:r>
    </w:p>
    <w:p w14:paraId="301741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 ВМГ - установлено приспособление для газового запуска мотора...</w:t>
      </w:r>
    </w:p>
    <w:p w14:paraId="0748C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 - вместо передатчика РСИ-3 установлен РСИ-3М-1...</w:t>
      </w:r>
    </w:p>
    <w:p w14:paraId="0D7ABA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испытаний:</w:t>
      </w:r>
    </w:p>
    <w:p w14:paraId="385DD8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с-та, начатые 10 апреля, прерваны для ремонта киля 12 апреля, возобновлены 19 апреля и закончены 27 апреля 1941. Ремонт был вызван отставанием обшивки киля.</w:t>
      </w:r>
    </w:p>
    <w:p w14:paraId="03452B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выполнено 20 полетов с общим налетом 12:16</w:t>
      </w:r>
    </w:p>
    <w:p w14:paraId="0FAF8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2146 при нормальном полетном 2710. Ц/т 24,7%</w:t>
      </w:r>
    </w:p>
    <w:p w14:paraId="5AEE98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- 90</w:t>
      </w:r>
    </w:p>
    <w:p w14:paraId="0E61AE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- 360 л (уд. Вес 0,741) - 267 кг</w:t>
      </w:r>
    </w:p>
    <w:p w14:paraId="546016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- 95,5</w:t>
      </w:r>
    </w:p>
    <w:p w14:paraId="054A03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боезапас - 77,5</w:t>
      </w:r>
    </w:p>
    <w:p w14:paraId="0380E1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съемное оборудование - 14</w:t>
      </w:r>
    </w:p>
    <w:p w14:paraId="025253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564 кг</w:t>
      </w:r>
    </w:p>
    <w:p w14:paraId="2B46F2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и продолжительность на режиме скоростной дальности на высоте 5000 м и скор. 500, числе оборотов 2300, Рк 825 - 572 км и продолжительность 1:10</w:t>
      </w:r>
    </w:p>
    <w:p w14:paraId="5BE161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Перечень дефектов и конструктивных недостатков, выявленных при испытаниях:</w:t>
      </w:r>
    </w:p>
    <w:p w14:paraId="70731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отсос щитков шасси при полете на повышенной скорости</w:t>
      </w:r>
    </w:p>
    <w:p w14:paraId="0A6D6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отставание обшивки в нижней части конца фюзеляжа, отставание обшивки киля</w:t>
      </w:r>
    </w:p>
    <w:p w14:paraId="229701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искажения сферического козырька кабины фонаря, видемость через него неудовлетворительна</w:t>
      </w:r>
    </w:p>
    <w:p w14:paraId="161211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велики усилия на ручке элеронов и РВ, малая эффективность триммер РВ</w:t>
      </w:r>
    </w:p>
    <w:p w14:paraId="4E38E0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Летная оценка:</w:t>
      </w:r>
    </w:p>
    <w:p w14:paraId="771080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Механические бензомеры непригодны для расхода горючего.</w:t>
      </w:r>
    </w:p>
    <w:p w14:paraId="4F2B0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Радиосвязь на землю с высоты 1000 м - 60 км</w:t>
      </w:r>
    </w:p>
    <w:p w14:paraId="40467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Включение АРТ-41 вызывало уменьшенение слышимости. Автомат регулирования температуры воды АРТ-41 работал хорошо.</w:t>
      </w:r>
    </w:p>
    <w:p w14:paraId="6A6740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Вентиляция кабины эффективна</w:t>
      </w:r>
    </w:p>
    <w:p w14:paraId="162F2F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огнем пушки и пулеметов - удачное</w:t>
      </w:r>
    </w:p>
    <w:p w14:paraId="2B31BE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Механическое перезаряжание пушки требует значительных усилий и пользование им в воздухе не удобно. Желательно установить пневматическую перезарядку</w:t>
      </w:r>
    </w:p>
    <w:p w14:paraId="2E69A0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Иванов - подписал 30 апреля 1945</w:t>
      </w:r>
    </w:p>
    <w:p w14:paraId="25438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облета Прошаков, Хомяков, Седов, Антипов, Кувшинов - подписали 30 апреля 1945 (805,5).</w:t>
      </w:r>
    </w:p>
    <w:p w14:paraId="2AA8380E" w14:textId="77777777" w:rsidR="00665165" w:rsidRPr="00F90EAE" w:rsidRDefault="00665165" w:rsidP="00F90EAE">
      <w:pPr>
        <w:autoSpaceDE w:val="0"/>
        <w:autoSpaceDN w:val="0"/>
        <w:adjustRightInd w:val="0"/>
        <w:jc w:val="both"/>
        <w:rPr>
          <w:color w:val="000000" w:themeColor="text1"/>
          <w:sz w:val="16"/>
          <w:szCs w:val="16"/>
        </w:rPr>
      </w:pPr>
    </w:p>
    <w:p w14:paraId="127B45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г. закончилась программа испытаний Me 410 Б-2, (Me 410 В-2), состоящая из 23 полётов общей продолжительностью 14 часов 25 минут, которая выполнялась с 14 апреля 1945.</w:t>
      </w:r>
    </w:p>
    <w:p w14:paraId="1E246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w:t>
      </w:r>
    </w:p>
    <w:p w14:paraId="74B227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Модификация “мессершмитта” с 50мм пушкой ВК 5 получила в Люфтваффе обозначение Me 410 A-2/U-4. На ней для стрельбы вперёд устанавливались также две 20-мм пушки MG 151 и пара пулемётов MG 17 калибра 7,9 мм. Самолёт, который испытывали в НИИ ВВС, отличался по составу вооружения от стандартного варианта. На нём спереди в дополнение к 50-мм пушке имелась лишь пара 20-мм пулеметов MG 151 и один MG 131 калибра 13 мм. Видимо, во время эксплуатации немцы иногда варьировали состав вооружения и облегчали тяжёлый самолёт - с целью улучшения лётных характеристик.</w:t>
      </w:r>
    </w:p>
    <w:p w14:paraId="71B2FB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Было бы логично и правильно данный конкретный самолёт называть Me 410 A-2/U-4, как и все “четыреста десятые” с 50-мм пушкой, однако, во всех выдержках их отчета использовался индекс Ме-410 Б-2.</w:t>
      </w:r>
    </w:p>
    <w:p w14:paraId="7A646B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 лётчиком-испытателем назначили майора И.П.Пискунова, ведущим инженером инженер-подполковника В.Я.Магона.</w:t>
      </w:r>
    </w:p>
    <w:p w14:paraId="79762A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отличие от американских и английских лётчиков-испытателей, советские пилоты отзывались об управляемости немецкого самолета скорее положительно. Так, в разделе “Лётная оценка самолёта” Акта по испытаниям, помимо нескольких недостатков, отмечалось легкое пилотирование и хорошая манёвренность истребителя. Есть смысл привести ряд выдержек из этого раздела:</w:t>
      </w:r>
    </w:p>
    <w:p w14:paraId="453D67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“...Кабина летчика тесная и сидеть в ней неудобно. Расположение рычагов и секторов управления самолётом и моторами, расположение приборов контроля ВМГ (винто-моторной группы.) и навигационных приборов удобное.</w:t>
      </w:r>
    </w:p>
    <w:p w14:paraId="5FC9C0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Особенно облегчает эксплуатацию самолёта наличие автомата переключения скоростей нагнетателя, автомата, регулирующего температуру масла и объединенного управления винтом и газом...</w:t>
      </w:r>
    </w:p>
    <w:p w14:paraId="59EAC5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Самолёт на рулении устойчив и хорошо управляем как тормозами, так и моторами, но при пользовании тормозами устают ступни ног, так как при торможении приходиться прикладывать большие усилия...</w:t>
      </w:r>
    </w:p>
    <w:p w14:paraId="1EAA28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При взлете самолёт легко поднимает хвост и благодаря хорошей амортизации шасси плавно отрывается от земли. При нормальном полётном весе 10140 кг самолёт отрывается на скорости 150-160 км/ч...</w:t>
      </w:r>
    </w:p>
    <w:p w14:paraId="00CFC6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 наборе высоты самолёт устойчив и хорошо управляем...</w:t>
      </w:r>
    </w:p>
    <w:p w14:paraId="3DF485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гооизонтальном полёте самолёт допускает полёт с освобождённым управлением на всём диапазоне скоростей; нагрузки, возникающие на рулях, легко снимаются триммерами. Самолёт обладает достаточным запасом путевой и поперечной устойчивости, запас продольной устойчивости меньше...</w:t>
      </w:r>
    </w:p>
    <w:p w14:paraId="68BDBE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Расчёт и производство посадки особой трудности не представляют. Рулей для выполнения посадки на три точки хватает, однако нагрузки на руле высоты в этот момент велики. При пробеге самолёт устойчив, тенденции к капотированию при пользовании тормозами не имеет...</w:t>
      </w:r>
    </w:p>
    <w:p w14:paraId="5231B1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 виражах с креном 65-70 градусов (Vnp=380 км/ч), самолёт устойчив, нагрузки на рулях управления нормальные. На виражах с креном 70 градусов (Vnp=390-400 км/ч) при незначительном перетягивании ручки создаётся быстрое уменьшение нагрузки на рулях, и самолёт старается выйти из виража. Управляемость и устойчивость самолёта при выполнении боевого разворота хорошая...</w:t>
      </w:r>
    </w:p>
    <w:p w14:paraId="57724F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При отказе одного из моторов самолёт нетрудно рулями удержать в линии горизонтального полёта. Нагрузки с руля направления снимаются триммерами полностью. На высотах от Н=б000 метров и ниже с нормальным полётным весом возмо/-жен длительный полёт с одним работающим мотором и винтом на не работающем моторе во флюгерном положении на скоростях от Vnp=280 км/ч до максимально возможных. В длительном горизонтальном полёте на режиме номинальной мощности температуры охлаждающей жидкости и масла не выходят за допустимые значения. В полёте с одним мотором возможно выполнять развороты как в сторону работающего, так и в сторону неработающего мотора с креном до 30 градусов...</w:t>
      </w:r>
    </w:p>
    <w:p w14:paraId="5756C0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Выводы. По технике пилотирования сравним с самолётом Пе-2 и практически одинаков с самолётом Ту-2. По управляемости и манёвренности самолёт Me 410 Б-2 превосходит серийные отечественные бомбардировщики...”.</w:t>
      </w:r>
    </w:p>
    <w:p w14:paraId="3629E3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отзывам лётчика добавляется мнение штурмана-испытателя старшего лейтенанта Попцова, летавшего на месте стрелка-радиста. И он, наряду с недостатками, отмечает ряд положительных сторон “мессершмитта”:</w:t>
      </w:r>
    </w:p>
    <w:p w14:paraId="000EF9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Обзор из задней кабины обеспечивает хорошее наблюдение верхней части задней полусферы. Обзор нижней полусферы недостаточен, так как обзору мешают фюзеляж, стабилизатор и плоскости, которые дают большие мертвые конуса.</w:t>
      </w:r>
    </w:p>
    <w:p w14:paraId="59742A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Размеры кабины стрелка-радиста. размещение и объём оборудования, размещение пулемётных установок обеспечивают выполнение стрелком-радистом всех задач, лежащих на нём. Ведение ориентировки из задней кабины невозможно...”.</w:t>
      </w:r>
    </w:p>
    <w:p w14:paraId="58A1A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самолёта в полёте не проверялось, все отстрелы пушек и пулемётов провели на земле, в тире. Главное оружие перехватчика Me 410 A-2/U-4 - 50 мм пушку ВК 5, советские специалисты справедливо посчитали неудачной и неэффективной по сравнению с другими.</w:t>
      </w:r>
    </w:p>
    <w:p w14:paraId="4C167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“Пушка ВК 5 калибра 50 мм, являясь танковой пушкой, приспособленной для установка на самолёт, никакого интереса не представляет, за исключением системы автоматической электропневматической перезарядки. При темпе стрельбы в 40 выстр/мин и начальной скорости примерно 500 м/ сек, пушка имеет вес вместе с агрегатами автоматической перезарядки 592 кг, тогда как отечественная авиационная пушка НС-45 калибра 45 мм при темпе стрельбы 270 выстр/мин и начальной скорости 795 м/сек имеет вес в 3,5 раза меньше, то есть 168 кг. Темп стрельбы в 40 выстр/мин практически обеспечивает ведение прицельного огня только одиночными выстрелами. Эффективность осколоч но-фугасных снарядов пушки ВК 5 при действии по самолетным конструкциям (фюзеляж самолёта “Бостон”), выявленная пробными выстрелами, незначительно превосходит эффективность действия снаряда пушки НС-45...”.</w:t>
      </w:r>
    </w:p>
    <w:p w14:paraId="161659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Гораздо больший интерес вызвала задняя установка с электромеханическим приводом двух пулемётов MG 131 калибра 13 мм, потому что подобного вооружения с дистанционным управлением наши серийные самолёты не имели.</w:t>
      </w:r>
    </w:p>
    <w:p w14:paraId="728727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Пулеметная установка FDSL-B131/1B не сложна и обеспечивает безотказную работу привода и удобную эксплуатацию... Электромеханический привод установки представляет интерес для изучения и возможного использования отдельных конструктивных элементов...".</w:t>
      </w:r>
    </w:p>
    <w:p w14:paraId="4600B6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отзывам специалистов НИИ ВВС, ещё некоторые агрегаты могли быть рекомендованы промышленности для использования при проектировании отечественного оборудования. Интерес представляли тахометры постоянного тока с компактными по размерам генераторами и кислородные приборы 10-137-С-1, обеспечивающие добавочный поток кислорода на высотах свыше 6000 метров.</w:t>
      </w:r>
    </w:p>
    <w:p w14:paraId="2455CE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Основной же состав спецоборудования самолета принципиально не отличался от испытанного ранее в НИИ ВВС оборудования на других немецких машинах. Как всегда безупречно работали радиостанции - коротковолновая FuG 10 для связи с землёй и радиопеленгирования, и ультракоротковолновая командная FuG 16 для обмена информацией между самолётами в строю.</w:t>
      </w:r>
    </w:p>
    <w:p w14:paraId="0AD9DE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Советские лётчики отметили очень надёжную работу винто-моторной группы. Больше всего испытателям понравился объединённый пульт управления. Он позволял пилоту одним рычагом автоматически поддерживать взаимосвязь основных эксплуатационных параметров двигателя (оборотов, наддува, подачи топлива, скорости крыльчатки нагнетателя.) с изменением углов установки лопастей винта изменяемого шага VDM. Такой агрегат значительно облегчает работу лётчика в воздухе, Естественно, что специалисты НИИ ВВС высказали пожелание о целесообразности специальных испытаний пульта - ведь на советских самолётах подобной установки не было. Правда, лётчики института уже были знакомы с аналогичной конструкцией, облетав ранее трофейный “мессерш-митт” Bf 109 G-S с двигателем DB 605.</w:t>
      </w:r>
    </w:p>
    <w:p w14:paraId="63467B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Двигатели DB 603A не только легко управлялись, но и надёжно работали. В отчёте отмечается лёгкий запуск с одной-двух попыток, хорошая приёмистость при резкой даче “газа” и набор оборотов без срывов и хлопков. Не наблюдалось в полёте признаков детонации, перебоев и тряски моторов.</w:t>
      </w:r>
    </w:p>
    <w:p w14:paraId="21FEB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 не менее, после 19-ти часов работы на левом двигателе произошёл прогар поршня в переднем цилиндре левого блока. Возможно, это случилось из-за применения бензина с повышенным октановым числом. В Германии моторы DB 603A эксплуатировались на бензине В4 с октановым числом “87”по немецкой шкале (или “91 ” по шкале, принятой в СССР). А горючее 4Б-78, которым в НИИ ВВС заправляли самолет Me 410, имел октановое число “94,5”.</w:t>
      </w:r>
    </w:p>
    <w:p w14:paraId="440540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Хорошо зарекомендовал себя в эксплуатации немецкий антифриз, состоящий на 50% из гликоля и на 50% из воды. На нём система охлаждения двигателей удовлетворительно работала вплоть до потолка самолёта. Но при опробовании моторов на земле и рулении температура охлаждающей жидкости достигала верхнего предела уже через 3-5 минут. Причиной тому являлось расположение радиаторов под крылом и их недостаточный обдув винтами.</w:t>
      </w:r>
    </w:p>
    <w:p w14:paraId="18755F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Естественно, что наибольшее внимание военные специалисты уделили боевым возможностям немецкого перехватчика. В НИИ ВВС были проведены учебные сражения Me 410 с бомбардировщиком Ту-2, истребителями Як-3 и Ла-7 (6407).</w:t>
      </w:r>
    </w:p>
    <w:p w14:paraId="69ECC5DB" w14:textId="77777777" w:rsidR="00665165" w:rsidRPr="00F90EAE" w:rsidRDefault="00665165" w:rsidP="00F90EAE">
      <w:pPr>
        <w:autoSpaceDE w:val="0"/>
        <w:autoSpaceDN w:val="0"/>
        <w:adjustRightInd w:val="0"/>
        <w:jc w:val="both"/>
        <w:rPr>
          <w:color w:val="000000" w:themeColor="text1"/>
          <w:sz w:val="16"/>
          <w:szCs w:val="16"/>
        </w:rPr>
      </w:pPr>
    </w:p>
    <w:p w14:paraId="3B6F517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894A263" w14:textId="77777777" w:rsidR="00665165" w:rsidRPr="00F90EAE" w:rsidRDefault="00665165" w:rsidP="00F90EAE">
      <w:pPr>
        <w:autoSpaceDE w:val="0"/>
        <w:autoSpaceDN w:val="0"/>
        <w:adjustRightInd w:val="0"/>
        <w:jc w:val="both"/>
        <w:rPr>
          <w:iCs/>
          <w:color w:val="000000" w:themeColor="text1"/>
          <w:sz w:val="16"/>
          <w:szCs w:val="16"/>
        </w:rPr>
      </w:pPr>
    </w:p>
    <w:p w14:paraId="392682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мая 1945 г. было подготовлено СООБЩЕНИЕ НКТП СССР КОМАНДУЮЩЕМУ БТ и МВ КА О РАБОТАХ ПО УСТАНОВКЕ 100-мм ПУШКИ В ТАНКЕ Т-44</w:t>
      </w:r>
    </w:p>
    <w:p w14:paraId="155F22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Сообщаю Вам, что еще в середине февраля сего года мною было дано указание заводу №75 НКТП отработать установку 100-мм пушки в танке Т-44 в башне с погоном 1700 мм.</w:t>
      </w:r>
    </w:p>
    <w:p w14:paraId="7DBE0E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настоящее время уже разработан проект и изготовлены рабочие чертежи этой установки.</w:t>
      </w:r>
    </w:p>
    <w:p w14:paraId="7F4538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мая сего года мною было издано распоряжение об изготовлении опытных образцов танка Т-44 со 100-мм пушкой.</w:t>
      </w:r>
    </w:p>
    <w:p w14:paraId="1D87B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Начало испытаний этих танков намечено на 10 июня с.г.</w:t>
      </w:r>
    </w:p>
    <w:p w14:paraId="7AEB4B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Что касается размещения 50 выстрелов, как это указывается в Вашем письме, то решение этой задачи является крайне затруднительным. Реальным является размещение 34-35 выстрелов. Тем не менее мною дано дополнительное указание заводу №75 о проработке возможности размещения 50 выстрелов.</w:t>
      </w:r>
    </w:p>
    <w:p w14:paraId="2FAD57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результатах проработки Вам будет сообщено дополнительно.</w:t>
      </w:r>
    </w:p>
    <w:p w14:paraId="28038E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Народный комиссар танковой промышленности СССР В. Малышев</w:t>
      </w:r>
    </w:p>
    <w:p w14:paraId="2B777C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3048. Л. 9. Подлинник (11420).</w:t>
      </w:r>
    </w:p>
    <w:p w14:paraId="21F8304E" w14:textId="77777777" w:rsidR="00665165" w:rsidRPr="00F90EAE" w:rsidRDefault="00665165" w:rsidP="00F90EAE">
      <w:pPr>
        <w:autoSpaceDE w:val="0"/>
        <w:autoSpaceDN w:val="0"/>
        <w:adjustRightInd w:val="0"/>
        <w:jc w:val="both"/>
        <w:rPr>
          <w:color w:val="000000" w:themeColor="text1"/>
          <w:sz w:val="16"/>
          <w:szCs w:val="16"/>
        </w:rPr>
      </w:pPr>
    </w:p>
    <w:p w14:paraId="4961E0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вышло Постановление ГКО № 8448 О плане снабжения горюче-смазочными материалами Красной Армии и Военно-Морского флота на май 1945 года. РГАНИР, Фонд ГКО, д. 413, лл. 135-137, 138-166 (11012).</w:t>
      </w:r>
    </w:p>
    <w:p w14:paraId="4AE1EEE5" w14:textId="77777777" w:rsidR="00665165" w:rsidRPr="00F90EAE" w:rsidRDefault="00665165" w:rsidP="00F90EAE">
      <w:pPr>
        <w:autoSpaceDE w:val="0"/>
        <w:autoSpaceDN w:val="0"/>
        <w:adjustRightInd w:val="0"/>
        <w:jc w:val="both"/>
        <w:rPr>
          <w:color w:val="000000" w:themeColor="text1"/>
          <w:sz w:val="16"/>
          <w:szCs w:val="16"/>
        </w:rPr>
      </w:pPr>
    </w:p>
    <w:p w14:paraId="5896A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Балтийцы спустили на воду 3 ТЩ (25, 26, 29-й). Катеростроители сдали флоту 10 катеров типа КМ-4 (10671).</w:t>
      </w:r>
    </w:p>
    <w:p w14:paraId="2730901F" w14:textId="77777777" w:rsidR="00665165" w:rsidRPr="00F90EAE" w:rsidRDefault="00665165" w:rsidP="00F90EAE">
      <w:pPr>
        <w:autoSpaceDE w:val="0"/>
        <w:autoSpaceDN w:val="0"/>
        <w:adjustRightInd w:val="0"/>
        <w:jc w:val="both"/>
        <w:rPr>
          <w:color w:val="000000" w:themeColor="text1"/>
          <w:sz w:val="16"/>
          <w:szCs w:val="16"/>
        </w:rPr>
      </w:pPr>
    </w:p>
    <w:p w14:paraId="0D15BB6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5C2EC22" w14:textId="77777777" w:rsidR="00665165" w:rsidRPr="00F90EAE" w:rsidRDefault="00665165" w:rsidP="00F90EAE">
      <w:pPr>
        <w:autoSpaceDE w:val="0"/>
        <w:autoSpaceDN w:val="0"/>
        <w:adjustRightInd w:val="0"/>
        <w:jc w:val="both"/>
        <w:rPr>
          <w:iCs/>
          <w:color w:val="000000" w:themeColor="text1"/>
          <w:sz w:val="16"/>
          <w:szCs w:val="16"/>
        </w:rPr>
      </w:pPr>
    </w:p>
    <w:p w14:paraId="71E9910A" w14:textId="77777777" w:rsidR="00CF3DC7" w:rsidRPr="00F90EAE" w:rsidRDefault="00CF3DC7" w:rsidP="00F90EAE">
      <w:pPr>
        <w:jc w:val="both"/>
        <w:rPr>
          <w:color w:val="000000" w:themeColor="text1"/>
          <w:sz w:val="16"/>
          <w:szCs w:val="16"/>
        </w:rPr>
      </w:pPr>
      <w:r w:rsidRPr="00F90EAE">
        <w:rPr>
          <w:color w:val="000000" w:themeColor="text1"/>
          <w:sz w:val="16"/>
          <w:szCs w:val="16"/>
        </w:rPr>
        <w:t>7 мая в 1945 году оперативная сводка Совинформбюро:</w:t>
      </w:r>
    </w:p>
    <w:p w14:paraId="286E31C8" w14:textId="77777777" w:rsidR="00CF3DC7" w:rsidRPr="00F90EAE" w:rsidRDefault="00CF3DC7" w:rsidP="00F90EAE">
      <w:pPr>
        <w:jc w:val="both"/>
        <w:rPr>
          <w:color w:val="000000" w:themeColor="text1"/>
          <w:sz w:val="16"/>
          <w:szCs w:val="16"/>
        </w:rPr>
      </w:pPr>
      <w:r w:rsidRPr="00F90EAE">
        <w:rPr>
          <w:color w:val="000000" w:themeColor="text1"/>
          <w:sz w:val="16"/>
          <w:szCs w:val="16"/>
        </w:rPr>
        <w:t>«Войска 1-го Белорусского фронта вышли на реку Эльба севернее и юго-восточнее Магдебурга, заняв при этом города Гектин, Цербст и крупные населённые пункты Шенхаузен, Бергцов, Парей, Шартау, Гервиш, Лейтцкау, Герден, Вальтернинбург, Штойтц. За 6 мая войска фронта взяли в плен 3.100 немецких солдат и офицеров и захватили на аэродромах 34 самолёта противника.</w:t>
      </w:r>
    </w:p>
    <w:p w14:paraId="267896F5" w14:textId="77777777" w:rsidR="00CF3DC7" w:rsidRPr="00F90EAE" w:rsidRDefault="00CF3DC7" w:rsidP="00F90EAE">
      <w:pPr>
        <w:jc w:val="both"/>
        <w:rPr>
          <w:color w:val="000000" w:themeColor="text1"/>
          <w:sz w:val="16"/>
          <w:szCs w:val="16"/>
        </w:rPr>
      </w:pPr>
      <w:r w:rsidRPr="00F90EAE">
        <w:rPr>
          <w:color w:val="000000" w:themeColor="text1"/>
          <w:sz w:val="16"/>
          <w:szCs w:val="16"/>
        </w:rPr>
        <w:t>Войска 1-го Украинского фронта в результате длительной осады 7 мая полностью овладели городом и крепостью Бреславль (Бреслау).</w:t>
      </w:r>
    </w:p>
    <w:p w14:paraId="7B43EB8C" w14:textId="77777777" w:rsidR="00CF3DC7" w:rsidRPr="00F90EAE" w:rsidRDefault="00CF3DC7" w:rsidP="00F90EAE">
      <w:pPr>
        <w:jc w:val="both"/>
        <w:rPr>
          <w:color w:val="000000" w:themeColor="text1"/>
          <w:sz w:val="16"/>
          <w:szCs w:val="16"/>
        </w:rPr>
      </w:pPr>
      <w:r w:rsidRPr="00F90EAE">
        <w:rPr>
          <w:color w:val="000000" w:themeColor="text1"/>
          <w:sz w:val="16"/>
          <w:szCs w:val="16"/>
        </w:rPr>
        <w:t>Гарнизон немецких войск, оборонявший город, во главе с комендантом крепости генералом от инфантерии фон Нигоф и его штабом, прекратил сопротивление, сложил оружие и сдался в плен.</w:t>
      </w:r>
    </w:p>
    <w:p w14:paraId="77B0630D" w14:textId="77777777" w:rsidR="00CF3DC7" w:rsidRPr="00F90EAE" w:rsidRDefault="00CF3DC7" w:rsidP="00F90EAE">
      <w:pPr>
        <w:jc w:val="both"/>
        <w:rPr>
          <w:color w:val="000000" w:themeColor="text1"/>
          <w:sz w:val="16"/>
          <w:szCs w:val="16"/>
        </w:rPr>
      </w:pPr>
      <w:r w:rsidRPr="00F90EAE">
        <w:rPr>
          <w:color w:val="000000" w:themeColor="text1"/>
          <w:sz w:val="16"/>
          <w:szCs w:val="16"/>
        </w:rPr>
        <w:t>7 мая к 19 часам нашими войсками взято в плен в городе Бреславль более 40.000 немецких солдат и офицеров.</w:t>
      </w:r>
    </w:p>
    <w:p w14:paraId="44D4DA0A" w14:textId="77777777" w:rsidR="00CF3DC7" w:rsidRPr="00F90EAE" w:rsidRDefault="00CF3DC7"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западнее и юго-западнее города Моравска Острава, с боями заняли города Фрейденталь, Фридланд на Морау, Мериш-Нейштадт, Штепанов и крупные населённые пункты Вильдгруб, Шумвалд, Медлов, Хвалковице, Шмейль, Спалов, Одры, Палачов, Лешна. В боях за 6 мая войска фронта взяли в плен более 2.000 немецких солдат и офицеров.</w:t>
      </w:r>
    </w:p>
    <w:p w14:paraId="34BD9643" w14:textId="77777777" w:rsidR="00CF3DC7" w:rsidRPr="00F90EAE" w:rsidRDefault="00CF3DC7"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было. За 5 и 6 мая в воздушных боях и огнём зенитной артиллерии сбито 10 немецких самолётов.</w:t>
      </w:r>
    </w:p>
    <w:p w14:paraId="683A6001" w14:textId="77777777" w:rsidR="00CF3DC7" w:rsidRPr="00F90EAE" w:rsidRDefault="00CF3DC7" w:rsidP="00F90EAE">
      <w:pPr>
        <w:jc w:val="both"/>
        <w:rPr>
          <w:color w:val="000000" w:themeColor="text1"/>
          <w:sz w:val="16"/>
          <w:szCs w:val="16"/>
        </w:rPr>
      </w:pPr>
      <w:r w:rsidRPr="00F90EAE">
        <w:rPr>
          <w:color w:val="000000" w:themeColor="text1"/>
          <w:sz w:val="16"/>
          <w:szCs w:val="16"/>
        </w:rPr>
        <w:t>Войска 1-го Белорусского фронта севернее и юго-восточнее города Магдебург вышли к реке Эльба. На отдельных участках противник пытался оказывать сопротивление, но был отброшен ударами советских танков и пехоты. Немцы укрепились на окраинах города Гентин – важного узла дорог. В результате боя наши части ворвались в город и разгромили вражеский гарнизон. Уничтожено более 600 гитлеровцев. Захвачено 19 орудий, 73 пулемета, 3 радиостанции и склад с боеприпасами.</w:t>
      </w:r>
    </w:p>
    <w:p w14:paraId="2281F423" w14:textId="77777777" w:rsidR="00CF3DC7" w:rsidRPr="00F90EAE" w:rsidRDefault="00CF3DC7" w:rsidP="00F90EAE">
      <w:pPr>
        <w:jc w:val="both"/>
        <w:rPr>
          <w:color w:val="000000" w:themeColor="text1"/>
          <w:sz w:val="16"/>
          <w:szCs w:val="16"/>
        </w:rPr>
      </w:pPr>
      <w:r w:rsidRPr="00F90EAE">
        <w:rPr>
          <w:color w:val="000000" w:themeColor="text1"/>
          <w:sz w:val="16"/>
          <w:szCs w:val="16"/>
        </w:rPr>
        <w:lastRenderedPageBreak/>
        <w:t>Войска 1-го Украинского фронта в результате длительной осады сегодня полностью овладели городом и крепостью Бреславль (Бреслау). В середине февраля советские части совершили стремительный обходный маневр и окружили Бреславль. Немцы подготовились к длительной обороне города. Они забаррикадировали улицы и перекопали их противотанковыми рвами. Каждый каменный дом был превращен в дот с большим количеством огневых точек. В ряде мест гитлеровцы, чтобы затруднить продвижение советских войск, взорвали дома и устроили завалы на улицах. Особенно сильные опорные пункты обороны с полевой артиллерией и самоходными орудиями они создали на перекрестках улиц. Наши войска в ходе упорных уличных боев шаг за шагом продвигались вперед, все теснее сжимая кольцо окружения. Наши штурмовые группы выбивали гитлеровцев из укрытий. Артиллеристы и летчики наносили непрерывные удары по узлам сопротивления противника. Окруженный вражеский гарнизон неоднократно предпринимал попытки прорвать кольцо советских войск. Подгоняемые эсэсовцами, немецкие солдаты бросались в контратаки и тысячами гибли под огнем советских орудий, минометов и пулеметов. Советское командование предъявило немецким войскам, окруженным в Бреславле, ультиматум о капитуляции. После непродолжительных переговоров вражеский гарнизон во главе с комендантом крепости генералом от инфантерии фон Нигоф прекратил сопротивление, сложил оружие и сдался в плен. Сегодня к 7 часам вечера в Бреславле взято в плен более 40 тысяч немецких солдат и офицеров.</w:t>
      </w:r>
    </w:p>
    <w:p w14:paraId="6E7F9A29" w14:textId="77777777" w:rsidR="00CF3DC7" w:rsidRPr="00F90EAE" w:rsidRDefault="00CF3DC7" w:rsidP="00F90EAE">
      <w:pPr>
        <w:jc w:val="both"/>
        <w:rPr>
          <w:color w:val="000000" w:themeColor="text1"/>
          <w:sz w:val="16"/>
          <w:szCs w:val="16"/>
        </w:rPr>
      </w:pPr>
      <w:r w:rsidRPr="00F90EAE">
        <w:rPr>
          <w:color w:val="000000" w:themeColor="text1"/>
          <w:sz w:val="16"/>
          <w:szCs w:val="16"/>
        </w:rPr>
        <w:t>Город Бреславль является одним из важнейших железнодорожных узлов и крупным промышленным центром. В нем сосредоточены металлургические и машиностроительные заводы, авиационные и другие военные предприятия.</w:t>
      </w:r>
    </w:p>
    <w:p w14:paraId="304A009F" w14:textId="77777777" w:rsidR="00CF3DC7" w:rsidRPr="00F90EAE" w:rsidRDefault="00CF3DC7" w:rsidP="00F90EAE">
      <w:pPr>
        <w:jc w:val="both"/>
        <w:rPr>
          <w:color w:val="000000" w:themeColor="text1"/>
          <w:sz w:val="16"/>
          <w:szCs w:val="16"/>
        </w:rPr>
      </w:pPr>
      <w:r w:rsidRPr="00F90EAE">
        <w:rPr>
          <w:color w:val="000000" w:themeColor="text1"/>
          <w:sz w:val="16"/>
          <w:szCs w:val="16"/>
        </w:rPr>
        <w:t>Западнее и юго-западнее города Моравска Острава войска 4-го Украинского фронта продолжали наступление. Советские части, действующие в сложных условиях горно-лесистой местности, продвигаются вперед, громя войска противника, укрепившиеся на южных отрогах Судетских гор и в населенных пунктах. Наши танки и пехота прорвали промежуточный рубеж обороны немцев и овладели городом Фрейденталь. Другие наши части продвинулись в западном направлении на 20 километров и заняли город Мериш-Нейштадт. Захвачено у немцев 37 паровозов, 730 вагонов с различными грузами и 8 складов с военным имуществом.</w:t>
      </w:r>
    </w:p>
    <w:p w14:paraId="220692A1" w14:textId="77777777" w:rsidR="00CF3DC7" w:rsidRPr="00F90EAE" w:rsidRDefault="00CF3DC7" w:rsidP="00F90EAE">
      <w:pPr>
        <w:jc w:val="both"/>
        <w:rPr>
          <w:color w:val="000000" w:themeColor="text1"/>
          <w:sz w:val="16"/>
          <w:szCs w:val="16"/>
        </w:rPr>
      </w:pPr>
      <w:r w:rsidRPr="00F90EAE">
        <w:rPr>
          <w:color w:val="000000" w:themeColor="text1"/>
          <w:sz w:val="16"/>
          <w:szCs w:val="16"/>
        </w:rPr>
        <w:t>Авиацией Краснознамённого Балтийского флота 5 мая в районе острова Рюген потоплен транспорт противника водоизмещением в 6 тысяч тонн.» (14884).</w:t>
      </w:r>
    </w:p>
    <w:p w14:paraId="7133ED2C" w14:textId="77777777" w:rsidR="00CF3DC7" w:rsidRPr="00F90EAE" w:rsidRDefault="00CF3DC7" w:rsidP="00F90EAE">
      <w:pPr>
        <w:jc w:val="both"/>
        <w:rPr>
          <w:color w:val="000000" w:themeColor="text1"/>
          <w:sz w:val="16"/>
          <w:szCs w:val="16"/>
        </w:rPr>
      </w:pPr>
    </w:p>
    <w:p w14:paraId="701EA426"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 7 мая 1945 года с 15 апреля 571 шап выполнил 620 боевых вылетов (общий налет 631 ч), из них 362 (налет 369 ч) в апреле. Произведено 82 групповых вылета («по 50 % в каждом месяце»).</w:t>
      </w:r>
    </w:p>
    <w:p w14:paraId="628C26AF"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Из общего количества самолето -вылетов только 20 приходится на разведку, остальные - на атаку войск противника. Удары в основном наносились по живой силе, огневым точкам и боевой технике на поле боя и в ближайшем войсковом тылу.</w:t>
      </w:r>
    </w:p>
    <w:p w14:paraId="35B50288"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В отдельные дни некоторые летчики выполняли по 5-6 боевых вылетов. Наименьшее количество вылетов на Ил-10 за весь период боевых действий у летчиков полка составило 9-10 вылетов, а максимальное - 30-33 вылета.</w:t>
      </w:r>
    </w:p>
    <w:p w14:paraId="7C2EF804"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Боевые потери составили три «десятки». Соответственно, на одну боевую потерю 571 шап приходится около 207 боевых вылетов Ил -10, тогда как другие штурмовые авиаполки, входящие в состав 224 и 227 шад 8 шак, в среднем показывали 113 самолето-вылетов на одну боевую потерю Ил-2.</w:t>
      </w:r>
    </w:p>
    <w:p w14:paraId="30ED9EC6"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 целям сбрасывались в основном ФАБ-100, ФАБ-50, АО-50-100, АО-25, АО-15, АО-10, АО-2,5 и ПТАБ -2,5-1,5. Всего было сброшено 194,5 тонны авиабомб различного типа.</w:t>
      </w:r>
    </w:p>
    <w:p w14:paraId="26F0EC5F"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Средняя бомбовая нагрузка на один самолет, приходящаяся на один боевой самолето -вылет, составила 314 кг (минимальная нагрузка - 200 кг, максимальная - 480 кг).</w:t>
      </w:r>
    </w:p>
    <w:p w14:paraId="03A8B535"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 данным штаба полка, всего было уничтожено и повреждено: один самолет, 8 танков и САУ, 28 орудий полевой артиллерии и минометов, 35 орудий зенитной артиллерии, 272 автомашины, 130 подвод, один паровоз, 88 ж. д. вагонов, 1140 солдат и офицеров противника, создано 40 очагов пожара, разрушен мост через реку.</w:t>
      </w:r>
    </w:p>
    <w:p w14:paraId="7A3C6AAC"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Летчиками отмечалось, что «самолет Ил-10 в сравнении с Ил-2 имеет существенное преимущество в скорости, легкости управления, послушности, маневренности, устойчивости. Обладает хорошим полетным диапазоном скоростей от 300-320 до 450-480 км/ч. Эти качества, а также наличие у летчика прицела ПБП-1б обеспечивают отличную меткость при стрельбе бомбами и из пушек и пулеметов. Превосходные тактико-технические свойства Ил-10 в сравнении с Ил-2 значительно повышают живучесть его, так как уменьшается вероятность поражения от ЗА и ИА противника. При запасе горючего 735 литров самолет на скорости 320-340 км/ч на высоте 500 м при 1500-1550 об/мин и Р</w:t>
      </w:r>
      <w:r w:rsidRPr="00F90EAE">
        <w:rPr>
          <w:rStyle w:val="107"/>
          <w:rFonts w:eastAsiaTheme="minorHAnsi"/>
          <w:color w:val="000000" w:themeColor="text1"/>
          <w:sz w:val="16"/>
          <w:szCs w:val="16"/>
          <w:vertAlign w:val="subscript"/>
        </w:rPr>
        <w:t>а</w:t>
      </w:r>
      <w:r w:rsidRPr="00F90EAE">
        <w:rPr>
          <w:rStyle w:val="107"/>
          <w:rFonts w:eastAsiaTheme="minorHAnsi"/>
          <w:color w:val="000000" w:themeColor="text1"/>
          <w:sz w:val="16"/>
          <w:szCs w:val="16"/>
        </w:rPr>
        <w:t>=725 мм рт. ст. обладает продолжительностью полета 2 часа 38 минут и дальностью 800 км. Запас горючего и хорошая скорость для штурмового самолета позволяют увеличить время пребывания над атакуемой целью. Группа 8 Ил-10 производит до 5-7 атак из боевого порядка круг по одной и той же цели».</w:t>
      </w:r>
    </w:p>
    <w:p w14:paraId="7AD54011"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Как правило, полет к цели выполнялся на высоте 1000-1500 м и скорости 330-340 км/ч. Группа 8 Ил-10 обычно прикрывалась 6 Як-3 или 6 Ла-7 от 10 иак. При подходе к линии фронта группа перестраивалась в боевой порядок «фронт» с интервалом 50 ми увеличивала скорость до 350-360 км/ч. Истребители прикрытия также «производят перестроение для защиты штурмовиков при атаке цели».</w:t>
      </w:r>
    </w:p>
    <w:p w14:paraId="6207C87B"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Обработка цели выполнялась из боевого порядка «круг» одиночными самолетами Ил-10 с дистанцией между ними на кругу 300-500 м при высоте начала атаки 800-1200 м и скорости 340-380 км/ч. Выход в атаку левым разворотом под 90°.</w:t>
      </w:r>
    </w:p>
    <w:p w14:paraId="5FA2FDB5" w14:textId="77777777" w:rsidR="00B633D2" w:rsidRPr="00F90EAE" w:rsidRDefault="00B633D2"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Атаки целей бомбами производились с пикирования под 30-35°, бомбы сбрасывались с высоты 300-400 м. После сброса бомб самолет сразу же выводился из пикирования боевым разворотом и выскакивал на высоту круга. Скорость ввода в пикирование не превышала 300-320 км/ч, скорость на выходе достигала 600 км/ч. При такой скорости «Ил-10 легко выходит из пикирования, имея небольшую просадку, и за боевой разворот набирает вполне успешно до 1000-1200 м, с падением скорости при этом до 300-320 км/ч». Но и «на этой скорости Ил-10 послушен и устойчив в полете».</w:t>
      </w:r>
    </w:p>
    <w:p w14:paraId="0AEBFF98"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Атака цели пулеметно-пушечным огнем производилась с пикирования до 45 °</w:t>
      </w:r>
      <w:r w:rsidRPr="00F90EAE">
        <w:rPr>
          <w:rStyle w:val="107"/>
          <w:rFonts w:eastAsiaTheme="minorHAnsi"/>
          <w:color w:val="000000" w:themeColor="text1"/>
          <w:sz w:val="16"/>
          <w:szCs w:val="16"/>
          <w:lang w:val="en-US"/>
        </w:rPr>
        <w:t>C</w:t>
      </w:r>
      <w:r w:rsidRPr="00F90EAE">
        <w:rPr>
          <w:rStyle w:val="107"/>
          <w:rFonts w:eastAsiaTheme="minorHAnsi"/>
          <w:color w:val="000000" w:themeColor="text1"/>
          <w:sz w:val="16"/>
          <w:szCs w:val="16"/>
        </w:rPr>
        <w:t xml:space="preserve"> выводом из пикирования на высоте 100 м при скорости 650 км/ч. На этой скорости Ил-10 «вполне послушно шел на боевой разворот и выскакивал на высоту круга». Огонь по цели открывался с дистанции 600-800 м.</w:t>
      </w:r>
    </w:p>
    <w:p w14:paraId="1AB920D8"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Очередной самолет в круге начинал пикировать только тогда, когда предыдущий Ил-10 начинал выходить из пикирования после атаки цели. На пикировании самолет устойчив и хорошо управляется, «что обеспечивает высокую огневую меткость при атаке цели».</w:t>
      </w:r>
    </w:p>
    <w:p w14:paraId="4B2DC1E7" w14:textId="77777777" w:rsidR="00B633D2" w:rsidRPr="00F90EAE" w:rsidRDefault="00B633D2"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Начальник штаба 571 шап подполковник Сафонов отмечал: «За отчетный месяц штурмовики выполняли боевые задачи группами по 6-12 Ил-10. Наиболее целесообразный состав групп - 8-10 Ил-10. Такая группа вполне сохраняет свою маневренность, обладает хорошей ударной силой, успешно ведет борьбу с зенитной артиллерией и во взаимодействии с истребителями сопровождения может обороняться от атак прево сходящих сил истребителей противника».</w:t>
      </w:r>
    </w:p>
    <w:p w14:paraId="3574A70A"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После атаки цели группа по команде ведущего перестраивалась в правый пеленг («подобно схеме боевого порядка при полете к цели»), истребители сопровождения занимали свои места.</w:t>
      </w:r>
    </w:p>
    <w:p w14:paraId="57390898"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При перестроении из круга в пеленг ведущий продолжал полет по прямой, а затем, развернувшись на 90° вправо, вставал на о братный маршрут, «ведомые самолеты один за другим пристраиваются к нему справа». Дистанция и интервал такие же, как при полете к цели.</w:t>
      </w:r>
    </w:p>
    <w:p w14:paraId="420B8084"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Нередко, с целью скорейшего выхода из зоны зенитного огня, Ил-10 на повышенной скорости уходили змейкой на высоте 150-100 м.</w:t>
      </w:r>
    </w:p>
    <w:p w14:paraId="4E4E24DD" w14:textId="77777777" w:rsidR="00B633D2" w:rsidRPr="00F90EAE" w:rsidRDefault="00B633D2" w:rsidP="00F90EAE">
      <w:pPr>
        <w:jc w:val="both"/>
        <w:rPr>
          <w:color w:val="000000" w:themeColor="text1"/>
          <w:sz w:val="16"/>
          <w:szCs w:val="16"/>
        </w:rPr>
      </w:pPr>
      <w:r w:rsidRPr="00F90EAE">
        <w:rPr>
          <w:rStyle w:val="107"/>
          <w:rFonts w:eastAsiaTheme="minorHAnsi"/>
          <w:color w:val="000000" w:themeColor="text1"/>
          <w:sz w:val="16"/>
          <w:szCs w:val="16"/>
        </w:rPr>
        <w:t>По заявлениям летчиков, разрывы зенитных снарядов обычно наблюдались позади Ил-10. Последнее обстоятельство объяснялось тем, что «Ил-10 имеет повышенную скорость в сравнении с Ил-2», а «по силуэту/.. ./незначительную разницу от Ил-2»  (17490).</w:t>
      </w:r>
    </w:p>
    <w:p w14:paraId="26E9151E" w14:textId="77777777" w:rsidR="00B633D2" w:rsidRPr="00F90EAE" w:rsidRDefault="00B633D2" w:rsidP="00F90EAE">
      <w:pPr>
        <w:jc w:val="both"/>
        <w:rPr>
          <w:rStyle w:val="107"/>
          <w:rFonts w:eastAsiaTheme="minorHAnsi"/>
          <w:color w:val="000000" w:themeColor="text1"/>
          <w:sz w:val="16"/>
          <w:szCs w:val="16"/>
        </w:rPr>
      </w:pPr>
    </w:p>
    <w:p w14:paraId="56DBE9C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мая 1945 6-й советский танковый корпус вышел на западную окраину Дрездена (4963 ).</w:t>
      </w:r>
    </w:p>
    <w:p w14:paraId="4DA454E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459108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мая 1945 войска 1-го Белорусского фронта вышли к немецкой реке Эльба, части 2-го Белорусского фронта на Эльбе установили связь со 2-й английской армией (4963 ).</w:t>
      </w:r>
    </w:p>
    <w:p w14:paraId="57DD091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B30B6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мая 1945 части 3-й советской гвардейской армии захватили город Мейссен на юго-востоке Германии (4963 ).</w:t>
      </w:r>
    </w:p>
    <w:p w14:paraId="50C949E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251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1УФ овладела крепостью Бреслау, ф 1БФ - вышел к Эльбе (3398,174).</w:t>
      </w:r>
    </w:p>
    <w:p w14:paraId="0B821C4B" w14:textId="77777777" w:rsidR="00665165" w:rsidRPr="00F90EAE" w:rsidRDefault="00665165" w:rsidP="00F90EAE">
      <w:pPr>
        <w:autoSpaceDE w:val="0"/>
        <w:autoSpaceDN w:val="0"/>
        <w:adjustRightInd w:val="0"/>
        <w:jc w:val="both"/>
        <w:rPr>
          <w:color w:val="000000" w:themeColor="text1"/>
          <w:sz w:val="16"/>
          <w:szCs w:val="16"/>
        </w:rPr>
      </w:pPr>
    </w:p>
    <w:p w14:paraId="1984195A" w14:textId="77777777" w:rsidR="00646F42" w:rsidRPr="00F90EAE" w:rsidRDefault="00646F42" w:rsidP="00F90EAE">
      <w:pPr>
        <w:jc w:val="both"/>
        <w:rPr>
          <w:color w:val="000000" w:themeColor="text1"/>
          <w:sz w:val="16"/>
          <w:szCs w:val="16"/>
        </w:rPr>
      </w:pPr>
      <w:r w:rsidRPr="00F90EAE">
        <w:rPr>
          <w:color w:val="000000" w:themeColor="text1"/>
          <w:sz w:val="16"/>
          <w:szCs w:val="16"/>
        </w:rPr>
        <w:t>7 мая в 1945 году американские войска встретились с советскими в Магдебурге (14884).</w:t>
      </w:r>
    </w:p>
    <w:p w14:paraId="7BCD5CB2" w14:textId="77777777" w:rsidR="00646F42" w:rsidRPr="00F90EAE" w:rsidRDefault="00646F42" w:rsidP="00F90EAE">
      <w:pPr>
        <w:jc w:val="both"/>
        <w:rPr>
          <w:color w:val="000000" w:themeColor="text1"/>
          <w:sz w:val="16"/>
          <w:szCs w:val="16"/>
        </w:rPr>
      </w:pPr>
    </w:p>
    <w:p w14:paraId="106A120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0433A17" w14:textId="77777777" w:rsidR="00665165" w:rsidRPr="00F90EAE" w:rsidRDefault="00665165" w:rsidP="00F90EAE">
      <w:pPr>
        <w:autoSpaceDE w:val="0"/>
        <w:autoSpaceDN w:val="0"/>
        <w:adjustRightInd w:val="0"/>
        <w:jc w:val="both"/>
        <w:rPr>
          <w:iCs/>
          <w:color w:val="000000" w:themeColor="text1"/>
          <w:sz w:val="16"/>
          <w:szCs w:val="16"/>
        </w:rPr>
      </w:pPr>
    </w:p>
    <w:p w14:paraId="3E185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г. Первая после Великой Отечественной войны опытная передача МТЦ. Первая в Европе после Второй мировой войны (11482).</w:t>
      </w:r>
    </w:p>
    <w:p w14:paraId="4686A57C" w14:textId="77777777" w:rsidR="00665165" w:rsidRPr="00F90EAE" w:rsidRDefault="00665165" w:rsidP="00F90EAE">
      <w:pPr>
        <w:autoSpaceDE w:val="0"/>
        <w:autoSpaceDN w:val="0"/>
        <w:adjustRightInd w:val="0"/>
        <w:jc w:val="both"/>
        <w:rPr>
          <w:color w:val="000000" w:themeColor="text1"/>
          <w:sz w:val="16"/>
          <w:szCs w:val="16"/>
        </w:rPr>
      </w:pPr>
    </w:p>
    <w:p w14:paraId="36875F5D" w14:textId="77777777" w:rsidR="00BB2377" w:rsidRPr="00F90EAE" w:rsidRDefault="00BB2377" w:rsidP="00F90EAE">
      <w:pPr>
        <w:jc w:val="both"/>
        <w:rPr>
          <w:color w:val="000000" w:themeColor="text1"/>
          <w:sz w:val="16"/>
          <w:szCs w:val="16"/>
        </w:rPr>
      </w:pPr>
      <w:r w:rsidRPr="00F90EAE">
        <w:rPr>
          <w:color w:val="000000" w:themeColor="text1"/>
          <w:sz w:val="16"/>
          <w:szCs w:val="16"/>
        </w:rPr>
        <w:t>7 мая 1945. Состоялась первая передача Московского телецентра, закрытого на реконструкцию еще перед войной (18688).</w:t>
      </w:r>
    </w:p>
    <w:p w14:paraId="02623A0C" w14:textId="77777777" w:rsidR="00BB2377" w:rsidRPr="00F90EAE" w:rsidRDefault="00BB2377" w:rsidP="00F90EAE">
      <w:pPr>
        <w:jc w:val="both"/>
        <w:rPr>
          <w:color w:val="000000" w:themeColor="text1"/>
          <w:sz w:val="16"/>
          <w:szCs w:val="16"/>
        </w:rPr>
      </w:pPr>
    </w:p>
    <w:p w14:paraId="0D5987E0" w14:textId="77777777" w:rsidR="00646F42" w:rsidRPr="00F90EAE" w:rsidRDefault="00646F42" w:rsidP="00F90EAE">
      <w:pPr>
        <w:jc w:val="both"/>
        <w:rPr>
          <w:color w:val="000000" w:themeColor="text1"/>
          <w:sz w:val="16"/>
          <w:szCs w:val="16"/>
        </w:rPr>
      </w:pPr>
      <w:r w:rsidRPr="00F90EAE">
        <w:rPr>
          <w:color w:val="000000" w:themeColor="text1"/>
          <w:sz w:val="16"/>
          <w:szCs w:val="16"/>
        </w:rPr>
        <w:t>7 мая в 1945 году состоялась первая после окончания войны пробная передача Московского телецентра (14884).</w:t>
      </w:r>
    </w:p>
    <w:p w14:paraId="3EBE419E" w14:textId="77777777" w:rsidR="00646F42" w:rsidRPr="00F90EAE" w:rsidRDefault="00646F42" w:rsidP="00F90EAE">
      <w:pPr>
        <w:jc w:val="both"/>
        <w:rPr>
          <w:color w:val="000000" w:themeColor="text1"/>
          <w:sz w:val="16"/>
          <w:szCs w:val="16"/>
        </w:rPr>
      </w:pPr>
    </w:p>
    <w:p w14:paraId="23E81F7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B0B121D" w14:textId="77777777" w:rsidR="00665165" w:rsidRPr="00F90EAE" w:rsidRDefault="00665165" w:rsidP="00F90EAE">
      <w:pPr>
        <w:autoSpaceDE w:val="0"/>
        <w:autoSpaceDN w:val="0"/>
        <w:adjustRightInd w:val="0"/>
        <w:jc w:val="both"/>
        <w:rPr>
          <w:iCs/>
          <w:color w:val="000000" w:themeColor="text1"/>
          <w:sz w:val="16"/>
          <w:szCs w:val="16"/>
        </w:rPr>
      </w:pPr>
    </w:p>
    <w:p w14:paraId="12C290C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7 мая 1945 в Реймсе немецкие генералы подписали акт о безоговорочной капитуляции союзникам (4962), Боевые действия должны были быть прекращены 8-го мая в 23:01 по Берлинскому времени. С немецкой стороны соглашение подписал генерал Альфред Йодль , со стороны - союзников генералы: Вальтер Смит, Иван Суслопаров и Франсуа Сэвэз (4963 ).</w:t>
      </w:r>
    </w:p>
    <w:p w14:paraId="4D388BD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D5897E3" w14:textId="77777777" w:rsidR="00646F42" w:rsidRPr="00F90EAE" w:rsidRDefault="00646F42" w:rsidP="00F90EAE">
      <w:pPr>
        <w:jc w:val="both"/>
        <w:rPr>
          <w:color w:val="000000" w:themeColor="text1"/>
          <w:sz w:val="16"/>
          <w:szCs w:val="16"/>
        </w:rPr>
      </w:pPr>
      <w:r w:rsidRPr="00F90EAE">
        <w:rPr>
          <w:color w:val="000000" w:themeColor="text1"/>
          <w:sz w:val="16"/>
          <w:szCs w:val="16"/>
        </w:rPr>
        <w:t>7 мая в 1945 году в городе Реймсе, Франция, было подписано соглашение о безоговорочной капитуляция всех немецких войск на всех фронтах. Боевые действия должны были быть прекращены 8-го мая в 23:01 по Берлинскому времени. С немецкой стороны соглашение подписал генерал Альфред Йодль , со стороны союзников - генералы: Уолтер Смит , Иван Суслопаров и Франсуа Сэвэз. В Курляндии провозглашена Латвийская республика во главе с председателем Латвийского Народного Совета Я.Андерсоном, однако советские войска, принявшие капитуляцию немецких войск группы армий «Курляндия», немедленно ликвидировали ее (14884).</w:t>
      </w:r>
    </w:p>
    <w:p w14:paraId="1AC79378" w14:textId="77777777" w:rsidR="00646F42" w:rsidRPr="00F90EAE" w:rsidRDefault="00646F42" w:rsidP="00F90EAE">
      <w:pPr>
        <w:jc w:val="both"/>
        <w:rPr>
          <w:color w:val="000000" w:themeColor="text1"/>
          <w:sz w:val="16"/>
          <w:szCs w:val="16"/>
        </w:rPr>
      </w:pPr>
    </w:p>
    <w:p w14:paraId="75711850"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7th, 1945: This day marks the end of hostilities between the Wehrmacht and the Allied armies in Europe. At 2:41 a.m. CET, Generaloberst Jodl signs the instrument of unconditional surrender of all German forces in a schoolroom at Rheims, France, to be effective at noon the following day. Off the Firth of Forth, U-2336 sinks the last Allied ships of the war, the coastal vessels Sneland and Avondale Park, while an RAF Catalina sinks U-320, the last German submarine destroyed in WWII, near Bergen off the coast of Norway (3819).</w:t>
      </w:r>
    </w:p>
    <w:p w14:paraId="0EBEBE56" w14:textId="77777777" w:rsidR="00665165" w:rsidRPr="00F90EAE" w:rsidRDefault="00665165" w:rsidP="00F90EAE">
      <w:pPr>
        <w:autoSpaceDE w:val="0"/>
        <w:autoSpaceDN w:val="0"/>
        <w:adjustRightInd w:val="0"/>
        <w:jc w:val="both"/>
        <w:rPr>
          <w:color w:val="000000" w:themeColor="text1"/>
          <w:sz w:val="16"/>
          <w:szCs w:val="16"/>
          <w:lang w:val="en-US"/>
        </w:rPr>
      </w:pPr>
    </w:p>
    <w:p w14:paraId="469893BA"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7 May 1945 Unconditional surrender of the German Army (270).</w:t>
      </w:r>
    </w:p>
    <w:p w14:paraId="66682008" w14:textId="77777777" w:rsidR="00665165" w:rsidRPr="00F90EAE" w:rsidRDefault="00665165" w:rsidP="00F90EAE">
      <w:pPr>
        <w:autoSpaceDE w:val="0"/>
        <w:autoSpaceDN w:val="0"/>
        <w:adjustRightInd w:val="0"/>
        <w:jc w:val="both"/>
        <w:rPr>
          <w:color w:val="000000" w:themeColor="text1"/>
          <w:sz w:val="16"/>
          <w:szCs w:val="16"/>
          <w:lang w:val="en-US"/>
        </w:rPr>
      </w:pPr>
    </w:p>
    <w:p w14:paraId="43A1CE7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07 1945 At 2:41 in the morning, Germany surrenders, unconditionally to Eisenhower at Luneberg Heath. The order is to take effect at 11:01 the next evening (1242).</w:t>
      </w:r>
    </w:p>
    <w:p w14:paraId="317A72DD" w14:textId="77777777" w:rsidR="00665165" w:rsidRPr="00F90EAE" w:rsidRDefault="00665165" w:rsidP="00F90EAE">
      <w:pPr>
        <w:autoSpaceDE w:val="0"/>
        <w:autoSpaceDN w:val="0"/>
        <w:adjustRightInd w:val="0"/>
        <w:jc w:val="both"/>
        <w:rPr>
          <w:color w:val="000000" w:themeColor="text1"/>
          <w:sz w:val="16"/>
          <w:szCs w:val="16"/>
          <w:lang w:val="en-US"/>
        </w:rPr>
      </w:pPr>
    </w:p>
    <w:p w14:paraId="41955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немецкая армия безоговорочно капитулировала (270;1242) перед Эйзенхауэром (3186). Подписал Йодль (2248,7). Всем немецким подлодкам было приказано вернуться на базы (2248,6).</w:t>
      </w:r>
    </w:p>
    <w:p w14:paraId="18DCCE94" w14:textId="77777777" w:rsidR="00665165" w:rsidRPr="00F90EAE" w:rsidRDefault="00665165" w:rsidP="00F90EAE">
      <w:pPr>
        <w:autoSpaceDE w:val="0"/>
        <w:autoSpaceDN w:val="0"/>
        <w:adjustRightInd w:val="0"/>
        <w:jc w:val="both"/>
        <w:rPr>
          <w:color w:val="000000" w:themeColor="text1"/>
          <w:sz w:val="16"/>
          <w:szCs w:val="16"/>
        </w:rPr>
      </w:pPr>
    </w:p>
    <w:p w14:paraId="69EDC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в штабе Эйзенхауэра в Реймсе была подписана капитуляция всех германских вооруженных сил. Аналогичный документ подписали маршал Г.К. Жуков и В.Кейтель в ночь с 8 на 9 мая (3871).</w:t>
      </w:r>
    </w:p>
    <w:p w14:paraId="6178C1BA" w14:textId="77777777" w:rsidR="00665165" w:rsidRPr="00F90EAE" w:rsidRDefault="00665165" w:rsidP="00F90EAE">
      <w:pPr>
        <w:autoSpaceDE w:val="0"/>
        <w:autoSpaceDN w:val="0"/>
        <w:adjustRightInd w:val="0"/>
        <w:jc w:val="both"/>
        <w:rPr>
          <w:color w:val="000000" w:themeColor="text1"/>
          <w:sz w:val="16"/>
          <w:szCs w:val="16"/>
        </w:rPr>
      </w:pPr>
    </w:p>
    <w:p w14:paraId="70ACDC67" w14:textId="77777777" w:rsidR="009E360D" w:rsidRPr="00F90EAE" w:rsidRDefault="009E360D" w:rsidP="00F90EAE">
      <w:pPr>
        <w:jc w:val="both"/>
        <w:rPr>
          <w:color w:val="000000" w:themeColor="text1"/>
          <w:sz w:val="16"/>
          <w:szCs w:val="16"/>
        </w:rPr>
      </w:pPr>
      <w:r w:rsidRPr="00F90EAE">
        <w:rPr>
          <w:color w:val="000000" w:themeColor="text1"/>
          <w:sz w:val="16"/>
          <w:szCs w:val="16"/>
        </w:rPr>
        <w:t>7 мая в 1945 году немецкие войска в Истрии капитулировали (14884).</w:t>
      </w:r>
    </w:p>
    <w:p w14:paraId="32904179" w14:textId="77777777" w:rsidR="009E360D" w:rsidRPr="00F90EAE" w:rsidRDefault="009E360D" w:rsidP="00F90EAE">
      <w:pPr>
        <w:jc w:val="both"/>
        <w:rPr>
          <w:color w:val="000000" w:themeColor="text1"/>
          <w:sz w:val="16"/>
          <w:szCs w:val="16"/>
        </w:rPr>
      </w:pPr>
    </w:p>
    <w:p w14:paraId="632C81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мая 1945 У-2336 потопила последнее судно союзников в ходе войны у Бергена у побережья Норвегии (3819).</w:t>
      </w:r>
    </w:p>
    <w:p w14:paraId="3D79439D" w14:textId="77777777" w:rsidR="00665165" w:rsidRPr="00F90EAE" w:rsidRDefault="00665165" w:rsidP="00F90EAE">
      <w:pPr>
        <w:autoSpaceDE w:val="0"/>
        <w:autoSpaceDN w:val="0"/>
        <w:adjustRightInd w:val="0"/>
        <w:jc w:val="both"/>
        <w:rPr>
          <w:color w:val="000000" w:themeColor="text1"/>
          <w:sz w:val="16"/>
          <w:szCs w:val="16"/>
        </w:rPr>
      </w:pPr>
    </w:p>
    <w:p w14:paraId="6E5F27C1" w14:textId="77777777" w:rsidR="008628F5" w:rsidRPr="00F90EAE" w:rsidRDefault="008628F5" w:rsidP="00F90EAE">
      <w:pPr>
        <w:jc w:val="both"/>
        <w:rPr>
          <w:color w:val="0070C0"/>
          <w:sz w:val="16"/>
          <w:szCs w:val="16"/>
        </w:rPr>
      </w:pPr>
      <w:r w:rsidRPr="00F90EAE">
        <w:rPr>
          <w:color w:val="0070C0"/>
          <w:sz w:val="16"/>
          <w:szCs w:val="16"/>
        </w:rPr>
        <w:t>7 мая 1945 Королевские ВВС топят немецкую подводную лодку в последний раз во Второй мировой войне (29371).</w:t>
      </w:r>
    </w:p>
    <w:p w14:paraId="53850B2D" w14:textId="77777777" w:rsidR="008628F5" w:rsidRPr="00F90EAE" w:rsidRDefault="008628F5" w:rsidP="00F90EAE">
      <w:pPr>
        <w:jc w:val="both"/>
        <w:rPr>
          <w:color w:val="0070C0"/>
          <w:sz w:val="16"/>
          <w:szCs w:val="16"/>
        </w:rPr>
      </w:pPr>
    </w:p>
    <w:p w14:paraId="7023BAB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5BF1922" w14:textId="77777777" w:rsidR="00665165" w:rsidRPr="00F90EAE" w:rsidRDefault="00665165" w:rsidP="00F90EAE">
      <w:pPr>
        <w:autoSpaceDE w:val="0"/>
        <w:autoSpaceDN w:val="0"/>
        <w:adjustRightInd w:val="0"/>
        <w:jc w:val="both"/>
        <w:rPr>
          <w:iCs/>
          <w:color w:val="000000" w:themeColor="text1"/>
          <w:sz w:val="16"/>
          <w:szCs w:val="16"/>
        </w:rPr>
      </w:pPr>
    </w:p>
    <w:p w14:paraId="2F3403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8 мая 1945 с 15 апреля в 571-м шап 8-й воздушной армии «по причине производ</w:t>
      </w:r>
      <w:r w:rsidRPr="00F90EAE">
        <w:rPr>
          <w:color w:val="000000" w:themeColor="text1"/>
          <w:sz w:val="16"/>
          <w:szCs w:val="16"/>
        </w:rPr>
        <w:softHyphen/>
        <w:t>ственно-конструктивных дефектов нагнетателя» из строя вышли 17 моторов АМ-42. Причем восемь отказов моторов произошло в один день, 8 мая: пять — на земле, три — в воздухе. В результате лейтенант Китайгород</w:t>
      </w:r>
      <w:r w:rsidRPr="00F90EAE">
        <w:rPr>
          <w:color w:val="000000" w:themeColor="text1"/>
          <w:sz w:val="16"/>
          <w:szCs w:val="16"/>
        </w:rPr>
        <w:softHyphen/>
        <w:t>ский и младшие лейтенанты Прищепа и Титов совершили вы</w:t>
      </w:r>
      <w:r w:rsidRPr="00F90EAE">
        <w:rPr>
          <w:color w:val="000000" w:themeColor="text1"/>
          <w:sz w:val="16"/>
          <w:szCs w:val="16"/>
        </w:rPr>
        <w:softHyphen/>
        <w:t>нужденные посадки вне аэродрома. Впоследствии их «десят</w:t>
      </w:r>
      <w:r w:rsidRPr="00F90EAE">
        <w:rPr>
          <w:color w:val="000000" w:themeColor="text1"/>
          <w:sz w:val="16"/>
          <w:szCs w:val="16"/>
        </w:rPr>
        <w:softHyphen/>
        <w:t>ки» (зав. №№ 1893203, 1890604 и 1892604) были списаны. Осмотр моторов, отказавших на земле (зав. №№ 45317, 45541, 45506, 45405, 45663), показал, что основной причиной выхода их из строя является разрушение крыльчатки нагнета</w:t>
      </w:r>
      <w:r w:rsidRPr="00F90EAE">
        <w:rPr>
          <w:color w:val="000000" w:themeColor="text1"/>
          <w:sz w:val="16"/>
          <w:szCs w:val="16"/>
        </w:rPr>
        <w:softHyphen/>
        <w:t>теля мотора. Аналогичный дефект был обнаружен и на мото</w:t>
      </w:r>
      <w:r w:rsidRPr="00F90EAE">
        <w:rPr>
          <w:color w:val="000000" w:themeColor="text1"/>
          <w:sz w:val="16"/>
          <w:szCs w:val="16"/>
        </w:rPr>
        <w:softHyphen/>
        <w:t>рах всех Ил-10, совершивших вынужденные посадки (11474,512).</w:t>
      </w:r>
    </w:p>
    <w:p w14:paraId="797ABA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4588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А.И.Ш. писал письмо N 22/2100 в ГКО Г.М.М.:</w:t>
      </w:r>
    </w:p>
    <w:p w14:paraId="02E39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о выполнении постановлений ГОКО по вывозу оборудования с немецких заводов на предприятия НКАП.</w:t>
      </w:r>
    </w:p>
    <w:p w14:paraId="712D62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выявлено оборудования, подлежащего вывозу с немецких заводов на предприятия НКАП по имеющимся постановлениям ГОКО: 9188 станков, 348 прессов и 747 ед. прочего оборудования. Из этого количества по последующим решениям ГОКО должно быть вывезено другими наркоматами 2204 станка и 180 ед. прочего оборудования.</w:t>
      </w:r>
    </w:p>
    <w:p w14:paraId="753957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 мая 1945 года из указанного количества демонти</w:t>
      </w:r>
      <w:r w:rsidRPr="00F90EAE">
        <w:rPr>
          <w:color w:val="000000" w:themeColor="text1"/>
          <w:sz w:val="16"/>
          <w:szCs w:val="16"/>
        </w:rPr>
        <w:softHyphen/>
        <w:t>ровано 5350 станков, 270 прессов и 135 единиц прочего обор дования и отгрунено 4287 станков, 269 прессов и 63 единиц прочего оборудования.</w:t>
      </w:r>
    </w:p>
    <w:p w14:paraId="33E355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отгружено 2064 вагона из которых прибыло к мест назначения 1437 вагонов.</w:t>
      </w:r>
    </w:p>
    <w:p w14:paraId="335EF6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Производившиеся работн по демонтану и отгрузке обору</w:t>
      </w:r>
      <w:r w:rsidRPr="00F90EAE">
        <w:rPr>
          <w:color w:val="000000" w:themeColor="text1"/>
          <w:sz w:val="16"/>
          <w:szCs w:val="16"/>
        </w:rPr>
        <w:softHyphen/>
        <w:t>дования с немецких заводов на предприятия Наркоглавиапрома по каздому постановлению ГОКО в отдельности характеризуйте, прилагаемой ведомостью.</w:t>
      </w:r>
    </w:p>
    <w:p w14:paraId="5D33EC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Полностью закончена работн по демонтажу и отгрузке оборудования и материалов по заводам:</w:t>
      </w:r>
    </w:p>
    <w:p w14:paraId="2C0184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Хорти Дегет в г.Будапешт (постаноэдение ГОКО а 7442с от 2 февраля 1945 года), самолётно-агрегатннй Фокке-Вульф в г.г.1&amp;рнбаум и Познань (за исключением 8000 тонного гидр пресса, который еце не отгружен), моторно-агрегатному в г.Мезеритц, винтовому в г.Хольбау, крыльевому в г.Бунслау (постановление ГОКО 3 7695 от 6 марта 1945 года), самолётно-агрегатному заводу в г.Торн (постановление ГОКО и 7895с от 21 марта 1945 года) заводу фирмы Шмидт в г.Шриенвердер (постановление ГОКО И 8068с от 12 апреля 1945 года), а также по отгрузке крыльев и пусковых устройств самолётов-снарядов (постановления ГОКО и 7755с от 9 марта 1945 года и 3 8000с от 5 апреля 1946 года).</w:t>
      </w:r>
    </w:p>
    <w:p w14:paraId="5138EB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Полностью закончен демонтаж оборудования на заводах: "Берто Верке" в м.Ланге (цех по обработке коленчатых валов - постановление ГОКО № 7691с от 6 марта 1945 года), на двух : заводах Фокке Вулъф в г. 3орау, механическом заводе в г.Бриг | (постановление ГОКО № 8012 от 5 апреля 1945 года) алшинивво-1 прокатном в г. Шверин, заводе фирмы'Йсснер в м.Реднитц, агрегатном заводе в г. Реппен, винтовом;; заводу Нуго-Гейне в г. Раута (постановление ГОКО и 3068 от 12 апреля 1945 года) (1874,10).</w:t>
      </w:r>
    </w:p>
    <w:p w14:paraId="0FB21A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Приложена Ведомость состояния работ по демонтажу и отгрузке оборудования с немецких заводов на предприятия НКАП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119"/>
        <w:gridCol w:w="979"/>
        <w:gridCol w:w="754"/>
        <w:gridCol w:w="1205"/>
        <w:gridCol w:w="703"/>
        <w:gridCol w:w="703"/>
        <w:gridCol w:w="703"/>
        <w:gridCol w:w="6"/>
        <w:gridCol w:w="697"/>
        <w:gridCol w:w="703"/>
        <w:gridCol w:w="11"/>
        <w:gridCol w:w="2897"/>
        <w:gridCol w:w="10"/>
      </w:tblGrid>
      <w:tr w:rsidR="00561F31" w:rsidRPr="00F90EAE" w14:paraId="6B86233F" w14:textId="77777777">
        <w:tc>
          <w:tcPr>
            <w:tcW w:w="534" w:type="dxa"/>
            <w:tcBorders>
              <w:top w:val="single" w:sz="12" w:space="0" w:color="auto"/>
            </w:tcBorders>
          </w:tcPr>
          <w:p w14:paraId="3EAE9D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п/п</w:t>
            </w:r>
          </w:p>
        </w:tc>
        <w:tc>
          <w:tcPr>
            <w:tcW w:w="1119" w:type="dxa"/>
            <w:tcBorders>
              <w:top w:val="single" w:sz="12" w:space="0" w:color="auto"/>
            </w:tcBorders>
          </w:tcPr>
          <w:p w14:paraId="4BD84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немецких заводов и их местонахождение</w:t>
            </w:r>
          </w:p>
        </w:tc>
        <w:tc>
          <w:tcPr>
            <w:tcW w:w="979" w:type="dxa"/>
            <w:tcBorders>
              <w:top w:val="single" w:sz="12" w:space="0" w:color="auto"/>
            </w:tcBorders>
          </w:tcPr>
          <w:p w14:paraId="43B506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завода-получателя</w:t>
            </w:r>
          </w:p>
        </w:tc>
        <w:tc>
          <w:tcPr>
            <w:tcW w:w="754" w:type="dxa"/>
            <w:tcBorders>
              <w:top w:val="single" w:sz="12" w:space="0" w:color="auto"/>
            </w:tcBorders>
          </w:tcPr>
          <w:p w14:paraId="12CBB1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Срок окончания монтажа и отгрузки</w:t>
            </w:r>
          </w:p>
        </w:tc>
        <w:tc>
          <w:tcPr>
            <w:tcW w:w="4726" w:type="dxa"/>
            <w:gridSpan w:val="8"/>
            <w:tcBorders>
              <w:top w:val="single" w:sz="12" w:space="0" w:color="auto"/>
            </w:tcBorders>
          </w:tcPr>
          <w:p w14:paraId="2B5F3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Состояние на 1 мая</w:t>
            </w:r>
          </w:p>
        </w:tc>
        <w:tc>
          <w:tcPr>
            <w:tcW w:w="2907" w:type="dxa"/>
            <w:gridSpan w:val="2"/>
            <w:tcBorders>
              <w:top w:val="single" w:sz="12" w:space="0" w:color="auto"/>
            </w:tcBorders>
          </w:tcPr>
          <w:p w14:paraId="7FC960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Примечание</w:t>
            </w:r>
          </w:p>
        </w:tc>
      </w:tr>
      <w:tr w:rsidR="00561F31" w:rsidRPr="00F90EAE" w14:paraId="0A88F7D4" w14:textId="77777777">
        <w:tc>
          <w:tcPr>
            <w:tcW w:w="534" w:type="dxa"/>
          </w:tcPr>
          <w:p w14:paraId="14031150"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4BBF36B"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4976230B"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542B284C" w14:textId="77777777" w:rsidR="00665165" w:rsidRPr="00F90EAE" w:rsidRDefault="00665165" w:rsidP="00F90EAE">
            <w:pPr>
              <w:autoSpaceDE w:val="0"/>
              <w:autoSpaceDN w:val="0"/>
              <w:adjustRightInd w:val="0"/>
              <w:jc w:val="both"/>
              <w:rPr>
                <w:color w:val="000000" w:themeColor="text1"/>
                <w:sz w:val="16"/>
                <w:szCs w:val="16"/>
              </w:rPr>
            </w:pPr>
          </w:p>
        </w:tc>
        <w:tc>
          <w:tcPr>
            <w:tcW w:w="3320" w:type="dxa"/>
            <w:gridSpan w:val="5"/>
          </w:tcPr>
          <w:p w14:paraId="16B5DA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w:t>
            </w:r>
          </w:p>
        </w:tc>
        <w:tc>
          <w:tcPr>
            <w:tcW w:w="1411" w:type="dxa"/>
            <w:gridSpan w:val="3"/>
          </w:tcPr>
          <w:p w14:paraId="598C5A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вагонов</w:t>
            </w:r>
          </w:p>
        </w:tc>
        <w:tc>
          <w:tcPr>
            <w:tcW w:w="2907" w:type="dxa"/>
            <w:gridSpan w:val="2"/>
          </w:tcPr>
          <w:p w14:paraId="7869B67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FB8329F" w14:textId="77777777">
        <w:trPr>
          <w:gridAfter w:val="1"/>
          <w:wAfter w:w="6" w:type="dxa"/>
        </w:trPr>
        <w:tc>
          <w:tcPr>
            <w:tcW w:w="534" w:type="dxa"/>
          </w:tcPr>
          <w:p w14:paraId="43982D59"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4010850D"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54CD15C5"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5AC8FC6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6B890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Выявлено</w:t>
            </w:r>
          </w:p>
        </w:tc>
        <w:tc>
          <w:tcPr>
            <w:tcW w:w="703" w:type="dxa"/>
          </w:tcPr>
          <w:p w14:paraId="03F6BA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Демонтировано</w:t>
            </w:r>
          </w:p>
        </w:tc>
        <w:tc>
          <w:tcPr>
            <w:tcW w:w="703" w:type="dxa"/>
          </w:tcPr>
          <w:p w14:paraId="2B56E2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Отгружено</w:t>
            </w:r>
          </w:p>
        </w:tc>
        <w:tc>
          <w:tcPr>
            <w:tcW w:w="703" w:type="dxa"/>
          </w:tcPr>
          <w:p w14:paraId="3F4AE5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Поступило на завод</w:t>
            </w:r>
          </w:p>
        </w:tc>
        <w:tc>
          <w:tcPr>
            <w:tcW w:w="703" w:type="dxa"/>
            <w:gridSpan w:val="2"/>
          </w:tcPr>
          <w:p w14:paraId="3741DB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Отгружено</w:t>
            </w:r>
          </w:p>
        </w:tc>
        <w:tc>
          <w:tcPr>
            <w:tcW w:w="703" w:type="dxa"/>
          </w:tcPr>
          <w:p w14:paraId="7484C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Поступило на завод</w:t>
            </w:r>
          </w:p>
        </w:tc>
        <w:tc>
          <w:tcPr>
            <w:tcW w:w="2907" w:type="dxa"/>
            <w:gridSpan w:val="2"/>
          </w:tcPr>
          <w:p w14:paraId="254E810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ADC2A0F" w14:textId="77777777">
        <w:tc>
          <w:tcPr>
            <w:tcW w:w="11018" w:type="dxa"/>
            <w:gridSpan w:val="14"/>
          </w:tcPr>
          <w:p w14:paraId="687AD2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7442сс от 2 февраля 1945</w:t>
            </w:r>
          </w:p>
        </w:tc>
      </w:tr>
      <w:tr w:rsidR="00561F31" w:rsidRPr="00F90EAE" w14:paraId="229A5738" w14:textId="77777777">
        <w:trPr>
          <w:gridAfter w:val="1"/>
          <w:wAfter w:w="6" w:type="dxa"/>
        </w:trPr>
        <w:tc>
          <w:tcPr>
            <w:tcW w:w="534" w:type="dxa"/>
          </w:tcPr>
          <w:p w14:paraId="7B4654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19" w:type="dxa"/>
          </w:tcPr>
          <w:p w14:paraId="542EE2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Хоти Легет, Будапешт</w:t>
            </w:r>
          </w:p>
        </w:tc>
        <w:tc>
          <w:tcPr>
            <w:tcW w:w="979" w:type="dxa"/>
          </w:tcPr>
          <w:p w14:paraId="25BFDF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 Воронеж</w:t>
            </w:r>
          </w:p>
        </w:tc>
        <w:tc>
          <w:tcPr>
            <w:tcW w:w="754" w:type="dxa"/>
          </w:tcPr>
          <w:p w14:paraId="4CF072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 уст.</w:t>
            </w:r>
          </w:p>
        </w:tc>
        <w:tc>
          <w:tcPr>
            <w:tcW w:w="1205" w:type="dxa"/>
          </w:tcPr>
          <w:p w14:paraId="3F5CD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 станка</w:t>
            </w:r>
          </w:p>
        </w:tc>
        <w:tc>
          <w:tcPr>
            <w:tcW w:w="703" w:type="dxa"/>
          </w:tcPr>
          <w:p w14:paraId="676063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w:t>
            </w:r>
          </w:p>
        </w:tc>
        <w:tc>
          <w:tcPr>
            <w:tcW w:w="703" w:type="dxa"/>
          </w:tcPr>
          <w:p w14:paraId="77E39C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w:t>
            </w:r>
          </w:p>
        </w:tc>
        <w:tc>
          <w:tcPr>
            <w:tcW w:w="703" w:type="dxa"/>
          </w:tcPr>
          <w:p w14:paraId="71F3F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w:t>
            </w:r>
          </w:p>
        </w:tc>
        <w:tc>
          <w:tcPr>
            <w:tcW w:w="703" w:type="dxa"/>
            <w:gridSpan w:val="2"/>
          </w:tcPr>
          <w:p w14:paraId="388D45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w:t>
            </w:r>
          </w:p>
        </w:tc>
        <w:tc>
          <w:tcPr>
            <w:tcW w:w="703" w:type="dxa"/>
          </w:tcPr>
          <w:p w14:paraId="1EBDC7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w:t>
            </w:r>
          </w:p>
        </w:tc>
        <w:tc>
          <w:tcPr>
            <w:tcW w:w="2907" w:type="dxa"/>
            <w:gridSpan w:val="2"/>
          </w:tcPr>
          <w:p w14:paraId="718F54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полностью закончены 24 марта 1945. На заводе 64 идет монтаж оборудования</w:t>
            </w:r>
          </w:p>
        </w:tc>
      </w:tr>
      <w:tr w:rsidR="00561F31" w:rsidRPr="00F90EAE" w14:paraId="7ABDC8E8" w14:textId="77777777">
        <w:trPr>
          <w:gridAfter w:val="1"/>
          <w:wAfter w:w="6" w:type="dxa"/>
        </w:trPr>
        <w:tc>
          <w:tcPr>
            <w:tcW w:w="534" w:type="dxa"/>
          </w:tcPr>
          <w:p w14:paraId="1610B6DE"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1A442CFB"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447E53DA"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3D63B4A7"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51638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 прессов, нижниц, пил</w:t>
            </w:r>
          </w:p>
        </w:tc>
        <w:tc>
          <w:tcPr>
            <w:tcW w:w="703" w:type="dxa"/>
          </w:tcPr>
          <w:p w14:paraId="3071D6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c>
          <w:tcPr>
            <w:tcW w:w="703" w:type="dxa"/>
          </w:tcPr>
          <w:p w14:paraId="1A39A7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c>
          <w:tcPr>
            <w:tcW w:w="703" w:type="dxa"/>
          </w:tcPr>
          <w:p w14:paraId="30CC20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c>
          <w:tcPr>
            <w:tcW w:w="703" w:type="dxa"/>
            <w:gridSpan w:val="2"/>
          </w:tcPr>
          <w:p w14:paraId="2206E39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D5576E2"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52BEBF4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E716E96" w14:textId="77777777">
        <w:trPr>
          <w:gridAfter w:val="1"/>
          <w:wAfter w:w="6" w:type="dxa"/>
        </w:trPr>
        <w:tc>
          <w:tcPr>
            <w:tcW w:w="534" w:type="dxa"/>
          </w:tcPr>
          <w:p w14:paraId="5DD1679D"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4580CB46"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79032314"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0865B0A1"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4035B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компрессоров</w:t>
            </w:r>
          </w:p>
        </w:tc>
        <w:tc>
          <w:tcPr>
            <w:tcW w:w="703" w:type="dxa"/>
          </w:tcPr>
          <w:p w14:paraId="677E0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703" w:type="dxa"/>
          </w:tcPr>
          <w:p w14:paraId="68A586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703" w:type="dxa"/>
          </w:tcPr>
          <w:p w14:paraId="31134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703" w:type="dxa"/>
            <w:gridSpan w:val="2"/>
          </w:tcPr>
          <w:p w14:paraId="4A8E76C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66F10D2"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DE53D6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9E2C6DF" w14:textId="77777777">
        <w:trPr>
          <w:gridAfter w:val="1"/>
          <w:wAfter w:w="6" w:type="dxa"/>
        </w:trPr>
        <w:tc>
          <w:tcPr>
            <w:tcW w:w="534" w:type="dxa"/>
          </w:tcPr>
          <w:p w14:paraId="40AC4623"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2C0B77CB"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4EFF80BC"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3AFA8BE8"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8D61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 электромоторов</w:t>
            </w:r>
          </w:p>
        </w:tc>
        <w:tc>
          <w:tcPr>
            <w:tcW w:w="703" w:type="dxa"/>
          </w:tcPr>
          <w:p w14:paraId="07DA8E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w:t>
            </w:r>
          </w:p>
        </w:tc>
        <w:tc>
          <w:tcPr>
            <w:tcW w:w="703" w:type="dxa"/>
          </w:tcPr>
          <w:p w14:paraId="66AA51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w:t>
            </w:r>
          </w:p>
        </w:tc>
        <w:tc>
          <w:tcPr>
            <w:tcW w:w="703" w:type="dxa"/>
          </w:tcPr>
          <w:p w14:paraId="2F14AD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w:t>
            </w:r>
          </w:p>
        </w:tc>
        <w:tc>
          <w:tcPr>
            <w:tcW w:w="703" w:type="dxa"/>
            <w:gridSpan w:val="2"/>
          </w:tcPr>
          <w:p w14:paraId="4757F73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4B35D8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018FE5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EF14DAA" w14:textId="77777777">
        <w:tc>
          <w:tcPr>
            <w:tcW w:w="11018" w:type="dxa"/>
            <w:gridSpan w:val="14"/>
          </w:tcPr>
          <w:p w14:paraId="2BF41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7691сс от 6 марта 1945</w:t>
            </w:r>
          </w:p>
        </w:tc>
      </w:tr>
      <w:tr w:rsidR="00561F31" w:rsidRPr="00F90EAE" w14:paraId="1CE7E185" w14:textId="77777777">
        <w:trPr>
          <w:gridAfter w:val="1"/>
          <w:wAfter w:w="6" w:type="dxa"/>
        </w:trPr>
        <w:tc>
          <w:tcPr>
            <w:tcW w:w="534" w:type="dxa"/>
          </w:tcPr>
          <w:p w14:paraId="1A3D54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w:t>
            </w:r>
          </w:p>
        </w:tc>
        <w:tc>
          <w:tcPr>
            <w:tcW w:w="1119" w:type="dxa"/>
          </w:tcPr>
          <w:p w14:paraId="3DEC8D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Берто Верке (цех по обработке коленвалов), М.Ланге</w:t>
            </w:r>
          </w:p>
        </w:tc>
        <w:tc>
          <w:tcPr>
            <w:tcW w:w="979" w:type="dxa"/>
          </w:tcPr>
          <w:p w14:paraId="36EB2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 Ступино</w:t>
            </w:r>
          </w:p>
        </w:tc>
        <w:tc>
          <w:tcPr>
            <w:tcW w:w="754" w:type="dxa"/>
          </w:tcPr>
          <w:p w14:paraId="761CB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 уст.</w:t>
            </w:r>
          </w:p>
        </w:tc>
        <w:tc>
          <w:tcPr>
            <w:tcW w:w="1205" w:type="dxa"/>
          </w:tcPr>
          <w:p w14:paraId="46EDF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 станков</w:t>
            </w:r>
          </w:p>
        </w:tc>
        <w:tc>
          <w:tcPr>
            <w:tcW w:w="703" w:type="dxa"/>
          </w:tcPr>
          <w:p w14:paraId="314AFA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703" w:type="dxa"/>
          </w:tcPr>
          <w:p w14:paraId="247644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03" w:type="dxa"/>
          </w:tcPr>
          <w:p w14:paraId="681D64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03" w:type="dxa"/>
            <w:gridSpan w:val="2"/>
          </w:tcPr>
          <w:p w14:paraId="4AA11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03" w:type="dxa"/>
          </w:tcPr>
          <w:p w14:paraId="20ED47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907" w:type="dxa"/>
            <w:gridSpan w:val="2"/>
          </w:tcPr>
          <w:p w14:paraId="49CB72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Демонтаж закончен, начата отгрузка</w:t>
            </w:r>
          </w:p>
        </w:tc>
      </w:tr>
      <w:tr w:rsidR="00561F31" w:rsidRPr="00F90EAE" w14:paraId="137F5C3C" w14:textId="77777777">
        <w:tc>
          <w:tcPr>
            <w:tcW w:w="11018" w:type="dxa"/>
            <w:gridSpan w:val="14"/>
          </w:tcPr>
          <w:p w14:paraId="06C375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7695сс от 6 марта 1945</w:t>
            </w:r>
          </w:p>
        </w:tc>
      </w:tr>
      <w:tr w:rsidR="00561F31" w:rsidRPr="00F90EAE" w14:paraId="68CB4797" w14:textId="77777777">
        <w:trPr>
          <w:gridAfter w:val="1"/>
          <w:wAfter w:w="6" w:type="dxa"/>
        </w:trPr>
        <w:tc>
          <w:tcPr>
            <w:tcW w:w="534" w:type="dxa"/>
          </w:tcPr>
          <w:p w14:paraId="18022E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119" w:type="dxa"/>
          </w:tcPr>
          <w:p w14:paraId="26B09B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авивинтов, Хальбау</w:t>
            </w:r>
          </w:p>
        </w:tc>
        <w:tc>
          <w:tcPr>
            <w:tcW w:w="979" w:type="dxa"/>
          </w:tcPr>
          <w:p w14:paraId="603748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 Ступино</w:t>
            </w:r>
          </w:p>
        </w:tc>
        <w:tc>
          <w:tcPr>
            <w:tcW w:w="754" w:type="dxa"/>
          </w:tcPr>
          <w:p w14:paraId="43DAFB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42F2A8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 станков</w:t>
            </w:r>
          </w:p>
        </w:tc>
        <w:tc>
          <w:tcPr>
            <w:tcW w:w="703" w:type="dxa"/>
          </w:tcPr>
          <w:p w14:paraId="72454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703" w:type="dxa"/>
          </w:tcPr>
          <w:p w14:paraId="666BA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703" w:type="dxa"/>
          </w:tcPr>
          <w:p w14:paraId="4AEC29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703" w:type="dxa"/>
            <w:gridSpan w:val="2"/>
          </w:tcPr>
          <w:p w14:paraId="6113F5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w:t>
            </w:r>
          </w:p>
        </w:tc>
        <w:tc>
          <w:tcPr>
            <w:tcW w:w="703" w:type="dxa"/>
          </w:tcPr>
          <w:p w14:paraId="55C5B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w:t>
            </w:r>
          </w:p>
        </w:tc>
        <w:tc>
          <w:tcPr>
            <w:tcW w:w="2907" w:type="dxa"/>
            <w:gridSpan w:val="2"/>
          </w:tcPr>
          <w:p w14:paraId="1D949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полностью закончены 9 апреля 1945. На заводе 150 идет монтаж оборудования</w:t>
            </w:r>
          </w:p>
        </w:tc>
      </w:tr>
      <w:tr w:rsidR="00561F31" w:rsidRPr="00F90EAE" w14:paraId="46DADD23" w14:textId="77777777">
        <w:trPr>
          <w:gridAfter w:val="1"/>
          <w:wAfter w:w="6" w:type="dxa"/>
        </w:trPr>
        <w:tc>
          <w:tcPr>
            <w:tcW w:w="534" w:type="dxa"/>
          </w:tcPr>
          <w:p w14:paraId="59865368"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113A97AC"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0FD961A0"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2182FD2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937C7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 пресса</w:t>
            </w:r>
          </w:p>
        </w:tc>
        <w:tc>
          <w:tcPr>
            <w:tcW w:w="703" w:type="dxa"/>
          </w:tcPr>
          <w:p w14:paraId="2BEF06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03" w:type="dxa"/>
          </w:tcPr>
          <w:p w14:paraId="0BDFD2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03" w:type="dxa"/>
          </w:tcPr>
          <w:p w14:paraId="24AA6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03" w:type="dxa"/>
            <w:gridSpan w:val="2"/>
          </w:tcPr>
          <w:p w14:paraId="39950E5F"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6553798"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E4276F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61B709" w14:textId="77777777">
        <w:trPr>
          <w:gridAfter w:val="1"/>
          <w:wAfter w:w="6" w:type="dxa"/>
        </w:trPr>
        <w:tc>
          <w:tcPr>
            <w:tcW w:w="534" w:type="dxa"/>
          </w:tcPr>
          <w:p w14:paraId="55626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4. </w:t>
            </w:r>
          </w:p>
        </w:tc>
        <w:tc>
          <w:tcPr>
            <w:tcW w:w="1119" w:type="dxa"/>
          </w:tcPr>
          <w:p w14:paraId="3B33EB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Фокке-Вульф, Познань</w:t>
            </w:r>
          </w:p>
        </w:tc>
        <w:tc>
          <w:tcPr>
            <w:tcW w:w="979" w:type="dxa"/>
          </w:tcPr>
          <w:p w14:paraId="51DF50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 Ленинград</w:t>
            </w:r>
          </w:p>
        </w:tc>
        <w:tc>
          <w:tcPr>
            <w:tcW w:w="754" w:type="dxa"/>
          </w:tcPr>
          <w:p w14:paraId="7F181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59CBE9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 станка</w:t>
            </w:r>
          </w:p>
        </w:tc>
        <w:tc>
          <w:tcPr>
            <w:tcW w:w="703" w:type="dxa"/>
          </w:tcPr>
          <w:p w14:paraId="7EC03E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w:t>
            </w:r>
          </w:p>
        </w:tc>
        <w:tc>
          <w:tcPr>
            <w:tcW w:w="703" w:type="dxa"/>
          </w:tcPr>
          <w:p w14:paraId="3037FB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w:t>
            </w:r>
          </w:p>
        </w:tc>
        <w:tc>
          <w:tcPr>
            <w:tcW w:w="703" w:type="dxa"/>
          </w:tcPr>
          <w:p w14:paraId="6EBEE4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w:t>
            </w:r>
          </w:p>
        </w:tc>
        <w:tc>
          <w:tcPr>
            <w:tcW w:w="703" w:type="dxa"/>
            <w:gridSpan w:val="2"/>
          </w:tcPr>
          <w:p w14:paraId="2C54D0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703" w:type="dxa"/>
          </w:tcPr>
          <w:p w14:paraId="4CC015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2907" w:type="dxa"/>
            <w:gridSpan w:val="2"/>
          </w:tcPr>
          <w:p w14:paraId="7FF7D9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закончены 14 апреля 1945 за исключением отгрузки 8000 т. гидравлического пресса. На заводе 272 идет монтаж оборудования</w:t>
            </w:r>
          </w:p>
        </w:tc>
      </w:tr>
      <w:tr w:rsidR="00561F31" w:rsidRPr="00F90EAE" w14:paraId="6B9248BD" w14:textId="77777777">
        <w:trPr>
          <w:gridAfter w:val="1"/>
          <w:wAfter w:w="6" w:type="dxa"/>
        </w:trPr>
        <w:tc>
          <w:tcPr>
            <w:tcW w:w="534" w:type="dxa"/>
          </w:tcPr>
          <w:p w14:paraId="59B7B2C1"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775171D3"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0A889215"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3458EECB"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52CDC0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деревообр. станков</w:t>
            </w:r>
          </w:p>
        </w:tc>
        <w:tc>
          <w:tcPr>
            <w:tcW w:w="703" w:type="dxa"/>
          </w:tcPr>
          <w:p w14:paraId="3A575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703" w:type="dxa"/>
          </w:tcPr>
          <w:p w14:paraId="4318A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703" w:type="dxa"/>
          </w:tcPr>
          <w:p w14:paraId="2328D2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703" w:type="dxa"/>
            <w:gridSpan w:val="2"/>
          </w:tcPr>
          <w:p w14:paraId="7018CE6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2B33DF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315D83B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E2B6E6C" w14:textId="77777777">
        <w:trPr>
          <w:gridAfter w:val="1"/>
          <w:wAfter w:w="6" w:type="dxa"/>
        </w:trPr>
        <w:tc>
          <w:tcPr>
            <w:tcW w:w="534" w:type="dxa"/>
          </w:tcPr>
          <w:p w14:paraId="65FD5BEA"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43BC1785"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1DF184B"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06B3B9F6"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7F1B5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 пресса</w:t>
            </w:r>
          </w:p>
        </w:tc>
        <w:tc>
          <w:tcPr>
            <w:tcW w:w="703" w:type="dxa"/>
          </w:tcPr>
          <w:p w14:paraId="4EBEB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w:t>
            </w:r>
          </w:p>
        </w:tc>
        <w:tc>
          <w:tcPr>
            <w:tcW w:w="703" w:type="dxa"/>
          </w:tcPr>
          <w:p w14:paraId="068B1D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c>
          <w:tcPr>
            <w:tcW w:w="703" w:type="dxa"/>
          </w:tcPr>
          <w:p w14:paraId="2204FB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703" w:type="dxa"/>
            <w:gridSpan w:val="2"/>
          </w:tcPr>
          <w:p w14:paraId="343520C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53675D6"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55377E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9C2F25A" w14:textId="77777777">
        <w:trPr>
          <w:gridAfter w:val="1"/>
          <w:wAfter w:w="6" w:type="dxa"/>
        </w:trPr>
        <w:tc>
          <w:tcPr>
            <w:tcW w:w="534" w:type="dxa"/>
          </w:tcPr>
          <w:p w14:paraId="53380418"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2701E4E9"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0EB79078"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332E0C8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08A48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компрессоров</w:t>
            </w:r>
          </w:p>
        </w:tc>
        <w:tc>
          <w:tcPr>
            <w:tcW w:w="703" w:type="dxa"/>
          </w:tcPr>
          <w:p w14:paraId="2C3290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tcPr>
          <w:p w14:paraId="2AD7A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tcPr>
          <w:p w14:paraId="2ED938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gridSpan w:val="2"/>
          </w:tcPr>
          <w:p w14:paraId="5E655BD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180ACC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0723E0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35C6A69" w14:textId="77777777">
        <w:trPr>
          <w:gridAfter w:val="1"/>
          <w:wAfter w:w="6" w:type="dxa"/>
        </w:trPr>
        <w:tc>
          <w:tcPr>
            <w:tcW w:w="534" w:type="dxa"/>
          </w:tcPr>
          <w:p w14:paraId="76D8561C"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646C7432"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FB27E1A"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6D9C8069"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27F73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 электромотора</w:t>
            </w:r>
          </w:p>
        </w:tc>
        <w:tc>
          <w:tcPr>
            <w:tcW w:w="703" w:type="dxa"/>
          </w:tcPr>
          <w:p w14:paraId="52B63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w:t>
            </w:r>
          </w:p>
        </w:tc>
        <w:tc>
          <w:tcPr>
            <w:tcW w:w="703" w:type="dxa"/>
          </w:tcPr>
          <w:p w14:paraId="332A60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w:t>
            </w:r>
          </w:p>
        </w:tc>
        <w:tc>
          <w:tcPr>
            <w:tcW w:w="703" w:type="dxa"/>
          </w:tcPr>
          <w:p w14:paraId="7BCD39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w:t>
            </w:r>
          </w:p>
        </w:tc>
        <w:tc>
          <w:tcPr>
            <w:tcW w:w="703" w:type="dxa"/>
            <w:gridSpan w:val="2"/>
          </w:tcPr>
          <w:p w14:paraId="0B1848E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DB069D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33D9BE0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706EA40" w14:textId="77777777">
        <w:trPr>
          <w:gridAfter w:val="1"/>
          <w:wAfter w:w="6" w:type="dxa"/>
        </w:trPr>
        <w:tc>
          <w:tcPr>
            <w:tcW w:w="534" w:type="dxa"/>
          </w:tcPr>
          <w:p w14:paraId="4B6B23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119" w:type="dxa"/>
          </w:tcPr>
          <w:p w14:paraId="68473B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Фокке-Вульф, Бирнбаум</w:t>
            </w:r>
          </w:p>
        </w:tc>
        <w:tc>
          <w:tcPr>
            <w:tcW w:w="979" w:type="dxa"/>
          </w:tcPr>
          <w:p w14:paraId="0FD25E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 Ленинград</w:t>
            </w:r>
          </w:p>
        </w:tc>
        <w:tc>
          <w:tcPr>
            <w:tcW w:w="754" w:type="dxa"/>
          </w:tcPr>
          <w:p w14:paraId="1482C3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778D5C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 станков</w:t>
            </w:r>
          </w:p>
        </w:tc>
        <w:tc>
          <w:tcPr>
            <w:tcW w:w="703" w:type="dxa"/>
          </w:tcPr>
          <w:p w14:paraId="051D4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703" w:type="dxa"/>
          </w:tcPr>
          <w:p w14:paraId="4E6AF8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703" w:type="dxa"/>
          </w:tcPr>
          <w:p w14:paraId="78BFD5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703" w:type="dxa"/>
            <w:gridSpan w:val="2"/>
          </w:tcPr>
          <w:p w14:paraId="727CD2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c>
          <w:tcPr>
            <w:tcW w:w="703" w:type="dxa"/>
          </w:tcPr>
          <w:p w14:paraId="399361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c>
          <w:tcPr>
            <w:tcW w:w="2907" w:type="dxa"/>
            <w:gridSpan w:val="2"/>
          </w:tcPr>
          <w:p w14:paraId="6615A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полностью закончены 26 марта 1945. На заводе 272 идет монтаж оборудования</w:t>
            </w:r>
          </w:p>
        </w:tc>
      </w:tr>
      <w:tr w:rsidR="00561F31" w:rsidRPr="00F90EAE" w14:paraId="0F1083CF" w14:textId="77777777">
        <w:trPr>
          <w:gridAfter w:val="1"/>
          <w:wAfter w:w="6" w:type="dxa"/>
        </w:trPr>
        <w:tc>
          <w:tcPr>
            <w:tcW w:w="534" w:type="dxa"/>
          </w:tcPr>
          <w:p w14:paraId="0F55817B"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E54F232"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7BDC4FF0"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4DF399FB"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15670C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деревообраб. станков</w:t>
            </w:r>
          </w:p>
        </w:tc>
        <w:tc>
          <w:tcPr>
            <w:tcW w:w="703" w:type="dxa"/>
          </w:tcPr>
          <w:p w14:paraId="2D509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703" w:type="dxa"/>
          </w:tcPr>
          <w:p w14:paraId="073113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703" w:type="dxa"/>
          </w:tcPr>
          <w:p w14:paraId="00B86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703" w:type="dxa"/>
            <w:gridSpan w:val="2"/>
          </w:tcPr>
          <w:p w14:paraId="3D8EE71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E438A3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01920E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F137E08" w14:textId="77777777">
        <w:trPr>
          <w:gridAfter w:val="1"/>
          <w:wAfter w:w="6" w:type="dxa"/>
        </w:trPr>
        <w:tc>
          <w:tcPr>
            <w:tcW w:w="534" w:type="dxa"/>
          </w:tcPr>
          <w:p w14:paraId="079D44BD"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3762C467"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631570AB"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48903460"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5F362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прессов</w:t>
            </w:r>
          </w:p>
        </w:tc>
        <w:tc>
          <w:tcPr>
            <w:tcW w:w="703" w:type="dxa"/>
          </w:tcPr>
          <w:p w14:paraId="3AC59B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703" w:type="dxa"/>
          </w:tcPr>
          <w:p w14:paraId="49F7C9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703" w:type="dxa"/>
          </w:tcPr>
          <w:p w14:paraId="41FD7A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703" w:type="dxa"/>
            <w:gridSpan w:val="2"/>
          </w:tcPr>
          <w:p w14:paraId="345DC9B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D1156B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D396CE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8A07BCE" w14:textId="77777777">
        <w:trPr>
          <w:gridAfter w:val="1"/>
          <w:wAfter w:w="6" w:type="dxa"/>
        </w:trPr>
        <w:tc>
          <w:tcPr>
            <w:tcW w:w="534" w:type="dxa"/>
          </w:tcPr>
          <w:p w14:paraId="39D6E807"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04901655"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6B580CA"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1C1A8AEB"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415022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 электромотор</w:t>
            </w:r>
          </w:p>
        </w:tc>
        <w:tc>
          <w:tcPr>
            <w:tcW w:w="703" w:type="dxa"/>
          </w:tcPr>
          <w:p w14:paraId="3A458D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w:t>
            </w:r>
          </w:p>
        </w:tc>
        <w:tc>
          <w:tcPr>
            <w:tcW w:w="703" w:type="dxa"/>
          </w:tcPr>
          <w:p w14:paraId="1948F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w:t>
            </w:r>
          </w:p>
        </w:tc>
        <w:tc>
          <w:tcPr>
            <w:tcW w:w="703" w:type="dxa"/>
          </w:tcPr>
          <w:p w14:paraId="1F7C3E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w:t>
            </w:r>
          </w:p>
        </w:tc>
        <w:tc>
          <w:tcPr>
            <w:tcW w:w="703" w:type="dxa"/>
            <w:gridSpan w:val="2"/>
          </w:tcPr>
          <w:p w14:paraId="7C6C652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5707AF4"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729C61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7BE5A6C" w14:textId="77777777">
        <w:trPr>
          <w:gridAfter w:val="1"/>
          <w:wAfter w:w="6" w:type="dxa"/>
        </w:trPr>
        <w:tc>
          <w:tcPr>
            <w:tcW w:w="534" w:type="dxa"/>
          </w:tcPr>
          <w:p w14:paraId="0FBA4A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1119" w:type="dxa"/>
          </w:tcPr>
          <w:p w14:paraId="78C71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Даймлер-Бенц, Мезериц</w:t>
            </w:r>
          </w:p>
        </w:tc>
        <w:tc>
          <w:tcPr>
            <w:tcW w:w="979" w:type="dxa"/>
          </w:tcPr>
          <w:p w14:paraId="09885B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 Воронеж</w:t>
            </w:r>
          </w:p>
        </w:tc>
        <w:tc>
          <w:tcPr>
            <w:tcW w:w="754" w:type="dxa"/>
          </w:tcPr>
          <w:p w14:paraId="4F253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62545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592 станка</w:t>
            </w:r>
          </w:p>
        </w:tc>
        <w:tc>
          <w:tcPr>
            <w:tcW w:w="703" w:type="dxa"/>
          </w:tcPr>
          <w:p w14:paraId="582378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592</w:t>
            </w:r>
          </w:p>
        </w:tc>
        <w:tc>
          <w:tcPr>
            <w:tcW w:w="703" w:type="dxa"/>
          </w:tcPr>
          <w:p w14:paraId="63D44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592</w:t>
            </w:r>
          </w:p>
        </w:tc>
        <w:tc>
          <w:tcPr>
            <w:tcW w:w="703" w:type="dxa"/>
          </w:tcPr>
          <w:p w14:paraId="627878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592</w:t>
            </w:r>
          </w:p>
        </w:tc>
        <w:tc>
          <w:tcPr>
            <w:tcW w:w="703" w:type="dxa"/>
            <w:gridSpan w:val="2"/>
          </w:tcPr>
          <w:p w14:paraId="42C51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204</w:t>
            </w:r>
          </w:p>
        </w:tc>
        <w:tc>
          <w:tcPr>
            <w:tcW w:w="703" w:type="dxa"/>
          </w:tcPr>
          <w:p w14:paraId="1F1BEA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294</w:t>
            </w:r>
          </w:p>
        </w:tc>
        <w:tc>
          <w:tcPr>
            <w:tcW w:w="2907" w:type="dxa"/>
            <w:gridSpan w:val="2"/>
          </w:tcPr>
          <w:p w14:paraId="0D0F1C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полностью закончены 9 апреля 1945. На заводе 265 идет монтаж оборудования</w:t>
            </w:r>
          </w:p>
        </w:tc>
      </w:tr>
      <w:tr w:rsidR="00561F31" w:rsidRPr="00F90EAE" w14:paraId="6A97CA01" w14:textId="77777777">
        <w:trPr>
          <w:gridAfter w:val="1"/>
          <w:wAfter w:w="6" w:type="dxa"/>
        </w:trPr>
        <w:tc>
          <w:tcPr>
            <w:tcW w:w="534" w:type="dxa"/>
          </w:tcPr>
          <w:p w14:paraId="7C9F92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1119" w:type="dxa"/>
          </w:tcPr>
          <w:p w14:paraId="10C57F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Крыльевой завод, Бунцлау</w:t>
            </w:r>
          </w:p>
        </w:tc>
        <w:tc>
          <w:tcPr>
            <w:tcW w:w="979" w:type="dxa"/>
          </w:tcPr>
          <w:p w14:paraId="03BAAF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 Москва</w:t>
            </w:r>
          </w:p>
        </w:tc>
        <w:tc>
          <w:tcPr>
            <w:tcW w:w="754" w:type="dxa"/>
          </w:tcPr>
          <w:p w14:paraId="2BD91D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433FF5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 станков</w:t>
            </w:r>
          </w:p>
        </w:tc>
        <w:tc>
          <w:tcPr>
            <w:tcW w:w="703" w:type="dxa"/>
          </w:tcPr>
          <w:p w14:paraId="07B905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703" w:type="dxa"/>
          </w:tcPr>
          <w:p w14:paraId="601180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703" w:type="dxa"/>
          </w:tcPr>
          <w:p w14:paraId="1A8B3679"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9B592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703" w:type="dxa"/>
          </w:tcPr>
          <w:p w14:paraId="75D184AD"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1DBDC1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71D9D41" w14:textId="77777777">
        <w:trPr>
          <w:gridAfter w:val="1"/>
          <w:wAfter w:w="6" w:type="dxa"/>
        </w:trPr>
        <w:tc>
          <w:tcPr>
            <w:tcW w:w="534" w:type="dxa"/>
          </w:tcPr>
          <w:p w14:paraId="5C2D6C2B"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59B9C5D"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4DCA8775"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6DBB6E04"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4A787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ед. оборудования</w:t>
            </w:r>
          </w:p>
        </w:tc>
        <w:tc>
          <w:tcPr>
            <w:tcW w:w="703" w:type="dxa"/>
          </w:tcPr>
          <w:p w14:paraId="0AD918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tcPr>
          <w:p w14:paraId="457CD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tcPr>
          <w:p w14:paraId="6044F7C0"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0E179D5"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50BCE98"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101A4D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CC6BDE9" w14:textId="77777777">
        <w:trPr>
          <w:gridAfter w:val="1"/>
          <w:wAfter w:w="6" w:type="dxa"/>
        </w:trPr>
        <w:tc>
          <w:tcPr>
            <w:tcW w:w="534" w:type="dxa"/>
          </w:tcPr>
          <w:p w14:paraId="66269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1119" w:type="dxa"/>
          </w:tcPr>
          <w:p w14:paraId="714586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Фокке-Вульф, Андрухов</w:t>
            </w:r>
          </w:p>
        </w:tc>
        <w:tc>
          <w:tcPr>
            <w:tcW w:w="979" w:type="dxa"/>
          </w:tcPr>
          <w:p w14:paraId="13483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 Ленинград</w:t>
            </w:r>
          </w:p>
        </w:tc>
        <w:tc>
          <w:tcPr>
            <w:tcW w:w="754" w:type="dxa"/>
          </w:tcPr>
          <w:p w14:paraId="53AB90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апреля 1945</w:t>
            </w:r>
          </w:p>
        </w:tc>
        <w:tc>
          <w:tcPr>
            <w:tcW w:w="1205" w:type="dxa"/>
          </w:tcPr>
          <w:p w14:paraId="77D1FC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станков</w:t>
            </w:r>
          </w:p>
        </w:tc>
        <w:tc>
          <w:tcPr>
            <w:tcW w:w="703" w:type="dxa"/>
          </w:tcPr>
          <w:p w14:paraId="4DDFCAF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D7A1D4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0C110F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39B3CE95"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2090CA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03783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прекращены в силу польской принадлежности завода</w:t>
            </w:r>
          </w:p>
        </w:tc>
      </w:tr>
      <w:tr w:rsidR="00561F31" w:rsidRPr="00F90EAE" w14:paraId="662DCAD7" w14:textId="77777777">
        <w:trPr>
          <w:gridAfter w:val="1"/>
          <w:wAfter w:w="5" w:type="dxa"/>
        </w:trPr>
        <w:tc>
          <w:tcPr>
            <w:tcW w:w="11014" w:type="dxa"/>
            <w:gridSpan w:val="13"/>
          </w:tcPr>
          <w:p w14:paraId="0F706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7895сс от 21 марта 1945</w:t>
            </w:r>
          </w:p>
        </w:tc>
      </w:tr>
      <w:tr w:rsidR="00561F31" w:rsidRPr="00F90EAE" w14:paraId="56E84421" w14:textId="77777777">
        <w:trPr>
          <w:gridAfter w:val="1"/>
          <w:wAfter w:w="6" w:type="dxa"/>
        </w:trPr>
        <w:tc>
          <w:tcPr>
            <w:tcW w:w="534" w:type="dxa"/>
          </w:tcPr>
          <w:p w14:paraId="05CB7C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1119" w:type="dxa"/>
          </w:tcPr>
          <w:p w14:paraId="6A794D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самолетных агрегатов, Торн</w:t>
            </w:r>
          </w:p>
        </w:tc>
        <w:tc>
          <w:tcPr>
            <w:tcW w:w="979" w:type="dxa"/>
          </w:tcPr>
          <w:p w14:paraId="4AA23B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485, Ржев</w:t>
            </w:r>
          </w:p>
        </w:tc>
        <w:tc>
          <w:tcPr>
            <w:tcW w:w="754" w:type="dxa"/>
          </w:tcPr>
          <w:p w14:paraId="4CC5E6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мая 1945</w:t>
            </w:r>
          </w:p>
        </w:tc>
        <w:tc>
          <w:tcPr>
            <w:tcW w:w="1205" w:type="dxa"/>
          </w:tcPr>
          <w:p w14:paraId="5F35EC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 станков</w:t>
            </w:r>
          </w:p>
        </w:tc>
        <w:tc>
          <w:tcPr>
            <w:tcW w:w="703" w:type="dxa"/>
          </w:tcPr>
          <w:p w14:paraId="32AE55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703" w:type="dxa"/>
          </w:tcPr>
          <w:p w14:paraId="65070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703" w:type="dxa"/>
          </w:tcPr>
          <w:p w14:paraId="5A82B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703" w:type="dxa"/>
            <w:gridSpan w:val="2"/>
          </w:tcPr>
          <w:p w14:paraId="640D0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w:t>
            </w:r>
          </w:p>
        </w:tc>
        <w:tc>
          <w:tcPr>
            <w:tcW w:w="703" w:type="dxa"/>
          </w:tcPr>
          <w:p w14:paraId="61CC4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w:t>
            </w:r>
          </w:p>
        </w:tc>
        <w:tc>
          <w:tcPr>
            <w:tcW w:w="2907" w:type="dxa"/>
            <w:gridSpan w:val="2"/>
          </w:tcPr>
          <w:p w14:paraId="7518E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полностью закончены 16 апреля 1945. На заводе 485 идет монтаж оборудования</w:t>
            </w:r>
          </w:p>
        </w:tc>
      </w:tr>
      <w:tr w:rsidR="00561F31" w:rsidRPr="00F90EAE" w14:paraId="097EA0DC" w14:textId="77777777">
        <w:trPr>
          <w:gridAfter w:val="1"/>
          <w:wAfter w:w="5" w:type="dxa"/>
        </w:trPr>
        <w:tc>
          <w:tcPr>
            <w:tcW w:w="11014" w:type="dxa"/>
            <w:gridSpan w:val="13"/>
          </w:tcPr>
          <w:p w14:paraId="278A8E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8000сс от 5 апреля 1945</w:t>
            </w:r>
          </w:p>
        </w:tc>
      </w:tr>
      <w:tr w:rsidR="00561F31" w:rsidRPr="00F90EAE" w14:paraId="58C3D779" w14:textId="77777777">
        <w:trPr>
          <w:gridAfter w:val="1"/>
          <w:wAfter w:w="6" w:type="dxa"/>
        </w:trPr>
        <w:tc>
          <w:tcPr>
            <w:tcW w:w="534" w:type="dxa"/>
          </w:tcPr>
          <w:p w14:paraId="59EDD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119" w:type="dxa"/>
          </w:tcPr>
          <w:p w14:paraId="14B781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Пусковые устройства для самолетов-снарядов, ст. Шпек (р-н Альтдам)</w:t>
            </w:r>
          </w:p>
        </w:tc>
        <w:tc>
          <w:tcPr>
            <w:tcW w:w="979" w:type="dxa"/>
          </w:tcPr>
          <w:p w14:paraId="5EF67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458, Савелово</w:t>
            </w:r>
          </w:p>
        </w:tc>
        <w:tc>
          <w:tcPr>
            <w:tcW w:w="754" w:type="dxa"/>
          </w:tcPr>
          <w:p w14:paraId="313E2A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апреля 1945</w:t>
            </w:r>
          </w:p>
        </w:tc>
        <w:tc>
          <w:tcPr>
            <w:tcW w:w="1205" w:type="dxa"/>
          </w:tcPr>
          <w:p w14:paraId="38E9E19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F80C70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A6061F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E99FA8C"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42D95D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3DA2FCC"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4688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работы закончены 22 апреля 1945, пусковые устройства отгружены на завод 458</w:t>
            </w:r>
          </w:p>
        </w:tc>
      </w:tr>
      <w:tr w:rsidR="00561F31" w:rsidRPr="00F90EAE" w14:paraId="40D3EEC5" w14:textId="77777777">
        <w:trPr>
          <w:gridAfter w:val="1"/>
          <w:wAfter w:w="5" w:type="dxa"/>
        </w:trPr>
        <w:tc>
          <w:tcPr>
            <w:tcW w:w="11014" w:type="dxa"/>
            <w:gridSpan w:val="13"/>
          </w:tcPr>
          <w:p w14:paraId="6C2E2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8011с от 5 апреля 1945</w:t>
            </w:r>
          </w:p>
        </w:tc>
      </w:tr>
      <w:tr w:rsidR="00561F31" w:rsidRPr="00F90EAE" w14:paraId="0F1729E5" w14:textId="77777777">
        <w:trPr>
          <w:gridAfter w:val="1"/>
          <w:wAfter w:w="6" w:type="dxa"/>
        </w:trPr>
        <w:tc>
          <w:tcPr>
            <w:tcW w:w="534" w:type="dxa"/>
          </w:tcPr>
          <w:p w14:paraId="1D7BD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119" w:type="dxa"/>
          </w:tcPr>
          <w:p w14:paraId="33DBFB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Дейтше Машинен Верке, Познань</w:t>
            </w:r>
          </w:p>
        </w:tc>
        <w:tc>
          <w:tcPr>
            <w:tcW w:w="979" w:type="dxa"/>
          </w:tcPr>
          <w:p w14:paraId="194314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 Рыбинск</w:t>
            </w:r>
          </w:p>
        </w:tc>
        <w:tc>
          <w:tcPr>
            <w:tcW w:w="754" w:type="dxa"/>
          </w:tcPr>
          <w:p w14:paraId="3D719B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апреля 1945</w:t>
            </w:r>
          </w:p>
        </w:tc>
        <w:tc>
          <w:tcPr>
            <w:tcW w:w="1205" w:type="dxa"/>
          </w:tcPr>
          <w:p w14:paraId="4A603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 станков</w:t>
            </w:r>
          </w:p>
        </w:tc>
        <w:tc>
          <w:tcPr>
            <w:tcW w:w="703" w:type="dxa"/>
          </w:tcPr>
          <w:p w14:paraId="67278EB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39BEF2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032AD1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73274A5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55C80B1"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8C1D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завода демонтировано другими наркоматами по ранее вынесенным решениям</w:t>
            </w:r>
          </w:p>
        </w:tc>
      </w:tr>
      <w:tr w:rsidR="00561F31" w:rsidRPr="00F90EAE" w14:paraId="7EA05E4A" w14:textId="77777777">
        <w:trPr>
          <w:gridAfter w:val="1"/>
          <w:wAfter w:w="5" w:type="dxa"/>
        </w:trPr>
        <w:tc>
          <w:tcPr>
            <w:tcW w:w="11014" w:type="dxa"/>
            <w:gridSpan w:val="13"/>
          </w:tcPr>
          <w:p w14:paraId="06AEE5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8011с от 5 апреля 1945</w:t>
            </w:r>
          </w:p>
        </w:tc>
      </w:tr>
      <w:tr w:rsidR="00561F31" w:rsidRPr="00F90EAE" w14:paraId="5BF5F1DE" w14:textId="77777777">
        <w:trPr>
          <w:gridAfter w:val="1"/>
          <w:wAfter w:w="6" w:type="dxa"/>
        </w:trPr>
        <w:tc>
          <w:tcPr>
            <w:tcW w:w="534" w:type="dxa"/>
          </w:tcPr>
          <w:p w14:paraId="694E45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1119" w:type="dxa"/>
          </w:tcPr>
          <w:p w14:paraId="7ACC3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Два завода Фокке-Вульф, Зорау</w:t>
            </w:r>
          </w:p>
        </w:tc>
        <w:tc>
          <w:tcPr>
            <w:tcW w:w="979" w:type="dxa"/>
          </w:tcPr>
          <w:p w14:paraId="0796F4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 Воронеж</w:t>
            </w:r>
          </w:p>
        </w:tc>
        <w:tc>
          <w:tcPr>
            <w:tcW w:w="754" w:type="dxa"/>
          </w:tcPr>
          <w:p w14:paraId="45391D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w:t>
            </w:r>
          </w:p>
        </w:tc>
        <w:tc>
          <w:tcPr>
            <w:tcW w:w="1205" w:type="dxa"/>
          </w:tcPr>
          <w:p w14:paraId="3B3850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 станков</w:t>
            </w:r>
          </w:p>
        </w:tc>
        <w:tc>
          <w:tcPr>
            <w:tcW w:w="703" w:type="dxa"/>
          </w:tcPr>
          <w:p w14:paraId="7A859B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703" w:type="dxa"/>
          </w:tcPr>
          <w:p w14:paraId="7299D40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267107E"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6F07B6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2BBF3A5"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F7EBB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полностью демонтировано 28 апреля 1945 и погружено</w:t>
            </w:r>
          </w:p>
        </w:tc>
      </w:tr>
      <w:tr w:rsidR="00561F31" w:rsidRPr="00F90EAE" w14:paraId="691DCFF5" w14:textId="77777777">
        <w:trPr>
          <w:gridAfter w:val="1"/>
          <w:wAfter w:w="6" w:type="dxa"/>
        </w:trPr>
        <w:tc>
          <w:tcPr>
            <w:tcW w:w="534" w:type="dxa"/>
          </w:tcPr>
          <w:p w14:paraId="054CBD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119" w:type="dxa"/>
          </w:tcPr>
          <w:p w14:paraId="6C020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МАФ, Заган</w:t>
            </w:r>
          </w:p>
        </w:tc>
        <w:tc>
          <w:tcPr>
            <w:tcW w:w="979" w:type="dxa"/>
          </w:tcPr>
          <w:p w14:paraId="25CF1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 Костино</w:t>
            </w:r>
          </w:p>
        </w:tc>
        <w:tc>
          <w:tcPr>
            <w:tcW w:w="754" w:type="dxa"/>
          </w:tcPr>
          <w:p w14:paraId="15072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w:t>
            </w:r>
          </w:p>
        </w:tc>
        <w:tc>
          <w:tcPr>
            <w:tcW w:w="1205" w:type="dxa"/>
          </w:tcPr>
          <w:p w14:paraId="4F5505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247 станков</w:t>
            </w:r>
          </w:p>
        </w:tc>
        <w:tc>
          <w:tcPr>
            <w:tcW w:w="703" w:type="dxa"/>
          </w:tcPr>
          <w:p w14:paraId="0BC89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w:t>
            </w:r>
          </w:p>
        </w:tc>
        <w:tc>
          <w:tcPr>
            <w:tcW w:w="703" w:type="dxa"/>
          </w:tcPr>
          <w:p w14:paraId="2A03CC1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EBA12E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7373313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534891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B7B02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Демонтаж оборудования продолжается и будет закончен 15 мая 1945</w:t>
            </w:r>
          </w:p>
        </w:tc>
      </w:tr>
      <w:tr w:rsidR="00561F31" w:rsidRPr="00F90EAE" w14:paraId="44D04C03" w14:textId="77777777">
        <w:trPr>
          <w:gridAfter w:val="1"/>
          <w:wAfter w:w="6" w:type="dxa"/>
        </w:trPr>
        <w:tc>
          <w:tcPr>
            <w:tcW w:w="534" w:type="dxa"/>
          </w:tcPr>
          <w:p w14:paraId="37BFE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119" w:type="dxa"/>
          </w:tcPr>
          <w:p w14:paraId="5888C4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авиамоторных деталей, Закрау (Хунсвельд)</w:t>
            </w:r>
          </w:p>
        </w:tc>
        <w:tc>
          <w:tcPr>
            <w:tcW w:w="979" w:type="dxa"/>
          </w:tcPr>
          <w:p w14:paraId="11F79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 Запорожье</w:t>
            </w:r>
          </w:p>
        </w:tc>
        <w:tc>
          <w:tcPr>
            <w:tcW w:w="754" w:type="dxa"/>
          </w:tcPr>
          <w:p w14:paraId="619536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w:t>
            </w:r>
          </w:p>
        </w:tc>
        <w:tc>
          <w:tcPr>
            <w:tcW w:w="1205" w:type="dxa"/>
          </w:tcPr>
          <w:p w14:paraId="345DD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 станков</w:t>
            </w:r>
          </w:p>
        </w:tc>
        <w:tc>
          <w:tcPr>
            <w:tcW w:w="703" w:type="dxa"/>
          </w:tcPr>
          <w:p w14:paraId="0F0CB41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564F76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D74BEC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2C6C7C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EEA288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5822A9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8168 от 19 апреля 1945 этот завод передан НЕЭП. По сообщению представителей НКАП, находящаяся на заводе бригада НКЭП, прибыла на место. Требуется срочная отмена решения по НКЭП за № 8168 от 19 апреля 1945</w:t>
            </w:r>
          </w:p>
        </w:tc>
      </w:tr>
      <w:tr w:rsidR="00561F31" w:rsidRPr="00F90EAE" w14:paraId="156D6EF3" w14:textId="77777777">
        <w:trPr>
          <w:gridAfter w:val="1"/>
          <w:wAfter w:w="6" w:type="dxa"/>
        </w:trPr>
        <w:tc>
          <w:tcPr>
            <w:tcW w:w="534" w:type="dxa"/>
          </w:tcPr>
          <w:p w14:paraId="0600E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119" w:type="dxa"/>
          </w:tcPr>
          <w:p w14:paraId="6AA75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Механический завод, Бриг</w:t>
            </w:r>
          </w:p>
        </w:tc>
        <w:tc>
          <w:tcPr>
            <w:tcW w:w="979" w:type="dxa"/>
          </w:tcPr>
          <w:p w14:paraId="302D2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ЦИАМ, Москва</w:t>
            </w:r>
          </w:p>
        </w:tc>
        <w:tc>
          <w:tcPr>
            <w:tcW w:w="754" w:type="dxa"/>
          </w:tcPr>
          <w:p w14:paraId="4FC160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w:t>
            </w:r>
          </w:p>
        </w:tc>
        <w:tc>
          <w:tcPr>
            <w:tcW w:w="1205" w:type="dxa"/>
          </w:tcPr>
          <w:p w14:paraId="48A8A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 станков</w:t>
            </w:r>
          </w:p>
        </w:tc>
        <w:tc>
          <w:tcPr>
            <w:tcW w:w="703" w:type="dxa"/>
          </w:tcPr>
          <w:p w14:paraId="08B010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703" w:type="dxa"/>
          </w:tcPr>
          <w:p w14:paraId="656A159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1CA5FDA"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3BCBF18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9FEB9B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5C286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демонтировано и подготовлено к отгрузке</w:t>
            </w:r>
          </w:p>
        </w:tc>
      </w:tr>
      <w:tr w:rsidR="00561F31" w:rsidRPr="00F90EAE" w14:paraId="6C8FE20A" w14:textId="77777777">
        <w:trPr>
          <w:gridAfter w:val="1"/>
          <w:wAfter w:w="6" w:type="dxa"/>
        </w:trPr>
        <w:tc>
          <w:tcPr>
            <w:tcW w:w="534" w:type="dxa"/>
          </w:tcPr>
          <w:p w14:paraId="22461A59"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766D9967"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65A2F2C9"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3748F84A"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0569FE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 ед. оборудования</w:t>
            </w:r>
          </w:p>
        </w:tc>
        <w:tc>
          <w:tcPr>
            <w:tcW w:w="703" w:type="dxa"/>
          </w:tcPr>
          <w:p w14:paraId="4E5964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703" w:type="dxa"/>
          </w:tcPr>
          <w:p w14:paraId="566B23E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74CA3D6"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23649E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7BE9BE7"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66FDD7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7940127" w14:textId="77777777">
        <w:trPr>
          <w:gridAfter w:val="1"/>
          <w:wAfter w:w="5" w:type="dxa"/>
        </w:trPr>
        <w:tc>
          <w:tcPr>
            <w:tcW w:w="11014" w:type="dxa"/>
            <w:gridSpan w:val="13"/>
          </w:tcPr>
          <w:p w14:paraId="66DF82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8068с от 12 апреля 1945</w:t>
            </w:r>
          </w:p>
        </w:tc>
      </w:tr>
      <w:tr w:rsidR="00561F31" w:rsidRPr="00F90EAE" w14:paraId="3EB9B5C5" w14:textId="77777777">
        <w:trPr>
          <w:gridAfter w:val="1"/>
          <w:wAfter w:w="6" w:type="dxa"/>
        </w:trPr>
        <w:tc>
          <w:tcPr>
            <w:tcW w:w="534" w:type="dxa"/>
          </w:tcPr>
          <w:p w14:paraId="73FD08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16.</w:t>
            </w:r>
          </w:p>
        </w:tc>
        <w:tc>
          <w:tcPr>
            <w:tcW w:w="1119" w:type="dxa"/>
          </w:tcPr>
          <w:p w14:paraId="4D35BC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Цех картеров фирмы Мерседес-Бенцб р-н Альтдам</w:t>
            </w:r>
          </w:p>
        </w:tc>
        <w:tc>
          <w:tcPr>
            <w:tcW w:w="979" w:type="dxa"/>
          </w:tcPr>
          <w:p w14:paraId="219CFF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 Воронеж</w:t>
            </w:r>
          </w:p>
        </w:tc>
        <w:tc>
          <w:tcPr>
            <w:tcW w:w="754" w:type="dxa"/>
          </w:tcPr>
          <w:p w14:paraId="1EF914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5492E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170 станоков</w:t>
            </w:r>
          </w:p>
        </w:tc>
        <w:tc>
          <w:tcPr>
            <w:tcW w:w="703" w:type="dxa"/>
          </w:tcPr>
          <w:p w14:paraId="22C35F6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C2F291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8472B5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D55C0D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DD36F57"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3632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8282 от 26 апреля это завод передан НКтанкопрому</w:t>
            </w:r>
          </w:p>
        </w:tc>
      </w:tr>
      <w:tr w:rsidR="00561F31" w:rsidRPr="00F90EAE" w14:paraId="250973B6" w14:textId="77777777">
        <w:trPr>
          <w:gridAfter w:val="1"/>
          <w:wAfter w:w="6" w:type="dxa"/>
        </w:trPr>
        <w:tc>
          <w:tcPr>
            <w:tcW w:w="534" w:type="dxa"/>
          </w:tcPr>
          <w:p w14:paraId="757F1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17. </w:t>
            </w:r>
          </w:p>
        </w:tc>
        <w:tc>
          <w:tcPr>
            <w:tcW w:w="1119" w:type="dxa"/>
          </w:tcPr>
          <w:p w14:paraId="282AD1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распределительных валиков, Голлнов</w:t>
            </w:r>
          </w:p>
        </w:tc>
        <w:tc>
          <w:tcPr>
            <w:tcW w:w="979" w:type="dxa"/>
          </w:tcPr>
          <w:p w14:paraId="0DB58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 Воронеж</w:t>
            </w:r>
          </w:p>
        </w:tc>
        <w:tc>
          <w:tcPr>
            <w:tcW w:w="754" w:type="dxa"/>
          </w:tcPr>
          <w:p w14:paraId="0771AD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2F25F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 станков</w:t>
            </w:r>
          </w:p>
        </w:tc>
        <w:tc>
          <w:tcPr>
            <w:tcW w:w="703" w:type="dxa"/>
          </w:tcPr>
          <w:p w14:paraId="5F60F295"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547265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5973DF0"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62FE19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5EE9A5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5DA52F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8282 от 26 апреля это завод передан НКтанкопрому</w:t>
            </w:r>
          </w:p>
        </w:tc>
      </w:tr>
      <w:tr w:rsidR="00561F31" w:rsidRPr="00F90EAE" w14:paraId="3021A43E" w14:textId="77777777">
        <w:trPr>
          <w:gridAfter w:val="1"/>
          <w:wAfter w:w="6" w:type="dxa"/>
        </w:trPr>
        <w:tc>
          <w:tcPr>
            <w:tcW w:w="534" w:type="dxa"/>
          </w:tcPr>
          <w:p w14:paraId="76A8D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119" w:type="dxa"/>
          </w:tcPr>
          <w:p w14:paraId="4732C7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по производству блоков авиамоторов, Хохенкруг (р-н Альтдам)</w:t>
            </w:r>
          </w:p>
        </w:tc>
        <w:tc>
          <w:tcPr>
            <w:tcW w:w="979" w:type="dxa"/>
          </w:tcPr>
          <w:p w14:paraId="022AC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 Запорожье</w:t>
            </w:r>
          </w:p>
        </w:tc>
        <w:tc>
          <w:tcPr>
            <w:tcW w:w="754" w:type="dxa"/>
          </w:tcPr>
          <w:p w14:paraId="3D355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42FBF5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 станков</w:t>
            </w:r>
          </w:p>
        </w:tc>
        <w:tc>
          <w:tcPr>
            <w:tcW w:w="703" w:type="dxa"/>
          </w:tcPr>
          <w:p w14:paraId="5707567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F8D214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443231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EA547C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5C04A6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CF438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8282 от 26 апреля это завод передан НКтанкопрому</w:t>
            </w:r>
          </w:p>
        </w:tc>
      </w:tr>
      <w:tr w:rsidR="00561F31" w:rsidRPr="00F90EAE" w14:paraId="0070150B" w14:textId="77777777">
        <w:trPr>
          <w:gridAfter w:val="1"/>
          <w:wAfter w:w="6" w:type="dxa"/>
        </w:trPr>
        <w:tc>
          <w:tcPr>
            <w:tcW w:w="534" w:type="dxa"/>
          </w:tcPr>
          <w:p w14:paraId="15A69B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1119" w:type="dxa"/>
          </w:tcPr>
          <w:p w14:paraId="3397A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Сборочный цех фирмы Мерседес-Бенц в р-не Альтдам</w:t>
            </w:r>
          </w:p>
        </w:tc>
        <w:tc>
          <w:tcPr>
            <w:tcW w:w="979" w:type="dxa"/>
          </w:tcPr>
          <w:p w14:paraId="5CAF3B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 Запорожье</w:t>
            </w:r>
          </w:p>
        </w:tc>
        <w:tc>
          <w:tcPr>
            <w:tcW w:w="754" w:type="dxa"/>
          </w:tcPr>
          <w:p w14:paraId="498FFE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34154C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 станков</w:t>
            </w:r>
          </w:p>
        </w:tc>
        <w:tc>
          <w:tcPr>
            <w:tcW w:w="703" w:type="dxa"/>
          </w:tcPr>
          <w:p w14:paraId="301EBEAF"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6861CF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210E31B"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CE533F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0074434"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1D05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8282 от 26 апреля это завод передан НКтанкопрому</w:t>
            </w:r>
          </w:p>
        </w:tc>
      </w:tr>
      <w:tr w:rsidR="00561F31" w:rsidRPr="00F90EAE" w14:paraId="794E3539" w14:textId="77777777">
        <w:trPr>
          <w:gridAfter w:val="1"/>
          <w:wAfter w:w="6" w:type="dxa"/>
        </w:trPr>
        <w:tc>
          <w:tcPr>
            <w:tcW w:w="534" w:type="dxa"/>
          </w:tcPr>
          <w:p w14:paraId="66E3E7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119" w:type="dxa"/>
          </w:tcPr>
          <w:p w14:paraId="502CE6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ФАМО, Бреслау</w:t>
            </w:r>
          </w:p>
        </w:tc>
        <w:tc>
          <w:tcPr>
            <w:tcW w:w="979" w:type="dxa"/>
          </w:tcPr>
          <w:p w14:paraId="659CB2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 Ленинград</w:t>
            </w:r>
          </w:p>
        </w:tc>
        <w:tc>
          <w:tcPr>
            <w:tcW w:w="754" w:type="dxa"/>
          </w:tcPr>
          <w:p w14:paraId="477240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05186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 станков</w:t>
            </w:r>
          </w:p>
        </w:tc>
        <w:tc>
          <w:tcPr>
            <w:tcW w:w="703" w:type="dxa"/>
          </w:tcPr>
          <w:p w14:paraId="13F2BA0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1D65DF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7E020B3"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C536DE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7AC594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9EA3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Часть завода в последнее время взята войсками КА. На этой части завода организуется демонтаж оборудования и расчистка завода от завалов</w:t>
            </w:r>
          </w:p>
        </w:tc>
      </w:tr>
      <w:tr w:rsidR="00561F31" w:rsidRPr="00F90EAE" w14:paraId="247BF59D" w14:textId="77777777">
        <w:trPr>
          <w:gridAfter w:val="1"/>
          <w:wAfter w:w="6" w:type="dxa"/>
        </w:trPr>
        <w:tc>
          <w:tcPr>
            <w:tcW w:w="534" w:type="dxa"/>
          </w:tcPr>
          <w:p w14:paraId="485CC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119" w:type="dxa"/>
          </w:tcPr>
          <w:p w14:paraId="2B46B8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30, Будафок</w:t>
            </w:r>
          </w:p>
        </w:tc>
        <w:tc>
          <w:tcPr>
            <w:tcW w:w="979" w:type="dxa"/>
          </w:tcPr>
          <w:p w14:paraId="5322A5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 Запорожье</w:t>
            </w:r>
          </w:p>
        </w:tc>
        <w:tc>
          <w:tcPr>
            <w:tcW w:w="754" w:type="dxa"/>
          </w:tcPr>
          <w:p w14:paraId="732B8D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68E059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 станка</w:t>
            </w:r>
          </w:p>
        </w:tc>
        <w:tc>
          <w:tcPr>
            <w:tcW w:w="703" w:type="dxa"/>
          </w:tcPr>
          <w:p w14:paraId="01CC6F2D"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AD1C80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CF43EC3"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118BDD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D37DCC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31EED2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BB866B0" w14:textId="77777777">
        <w:trPr>
          <w:gridAfter w:val="1"/>
          <w:wAfter w:w="6" w:type="dxa"/>
        </w:trPr>
        <w:tc>
          <w:tcPr>
            <w:tcW w:w="534" w:type="dxa"/>
          </w:tcPr>
          <w:p w14:paraId="428A4D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19" w:type="dxa"/>
          </w:tcPr>
          <w:p w14:paraId="4ED462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Шмидт, Мариенвердер</w:t>
            </w:r>
          </w:p>
        </w:tc>
        <w:tc>
          <w:tcPr>
            <w:tcW w:w="979" w:type="dxa"/>
          </w:tcPr>
          <w:p w14:paraId="44E08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 Ленинград</w:t>
            </w:r>
          </w:p>
        </w:tc>
        <w:tc>
          <w:tcPr>
            <w:tcW w:w="754" w:type="dxa"/>
          </w:tcPr>
          <w:p w14:paraId="73C7DE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55AD08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 станков</w:t>
            </w:r>
          </w:p>
        </w:tc>
        <w:tc>
          <w:tcPr>
            <w:tcW w:w="703" w:type="dxa"/>
          </w:tcPr>
          <w:p w14:paraId="6A24C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w:t>
            </w:r>
          </w:p>
        </w:tc>
        <w:tc>
          <w:tcPr>
            <w:tcW w:w="703" w:type="dxa"/>
          </w:tcPr>
          <w:p w14:paraId="1F746D5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092743F"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D827B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703" w:type="dxa"/>
          </w:tcPr>
          <w:p w14:paraId="31B8F1E8"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F250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по демонтажу оборудования закончены 29 апреля 1945</w:t>
            </w:r>
          </w:p>
        </w:tc>
      </w:tr>
      <w:tr w:rsidR="00561F31" w:rsidRPr="00F90EAE" w14:paraId="74A7BFFB" w14:textId="77777777">
        <w:trPr>
          <w:gridAfter w:val="1"/>
          <w:wAfter w:w="6" w:type="dxa"/>
        </w:trPr>
        <w:tc>
          <w:tcPr>
            <w:tcW w:w="534" w:type="dxa"/>
          </w:tcPr>
          <w:p w14:paraId="1C485A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119" w:type="dxa"/>
          </w:tcPr>
          <w:p w14:paraId="1EC22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и приборы со станции Дейч Айлау</w:t>
            </w:r>
          </w:p>
        </w:tc>
        <w:tc>
          <w:tcPr>
            <w:tcW w:w="979" w:type="dxa"/>
          </w:tcPr>
          <w:p w14:paraId="1A88D1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 Ленинград</w:t>
            </w:r>
          </w:p>
        </w:tc>
        <w:tc>
          <w:tcPr>
            <w:tcW w:w="754" w:type="dxa"/>
          </w:tcPr>
          <w:p w14:paraId="0DE91C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430974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 станков</w:t>
            </w:r>
          </w:p>
        </w:tc>
        <w:tc>
          <w:tcPr>
            <w:tcW w:w="703" w:type="dxa"/>
          </w:tcPr>
          <w:p w14:paraId="5CB59FF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EC5A12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EC3AB95"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739A543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29E6B3A"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28433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со станции Дейч-Айлау 12 апреля 1945 вывезено на склад НКО № 511 в Москву. В силу этого станки и приборы на станции Дейч Айлау по решению № 8068 от 12 апреля 1945 следует за НКАП не числить</w:t>
            </w:r>
          </w:p>
        </w:tc>
      </w:tr>
      <w:tr w:rsidR="00561F31" w:rsidRPr="00F90EAE" w14:paraId="17E9FB1C" w14:textId="77777777">
        <w:trPr>
          <w:gridAfter w:val="1"/>
          <w:wAfter w:w="6" w:type="dxa"/>
        </w:trPr>
        <w:tc>
          <w:tcPr>
            <w:tcW w:w="534" w:type="dxa"/>
          </w:tcPr>
          <w:p w14:paraId="627D0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119" w:type="dxa"/>
          </w:tcPr>
          <w:p w14:paraId="71C97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Дюренер Металлверке, Шверин</w:t>
            </w:r>
          </w:p>
        </w:tc>
        <w:tc>
          <w:tcPr>
            <w:tcW w:w="979" w:type="dxa"/>
          </w:tcPr>
          <w:p w14:paraId="5934AF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 Ступино</w:t>
            </w:r>
          </w:p>
        </w:tc>
        <w:tc>
          <w:tcPr>
            <w:tcW w:w="754" w:type="dxa"/>
          </w:tcPr>
          <w:p w14:paraId="5533F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466E44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станков</w:t>
            </w:r>
          </w:p>
        </w:tc>
        <w:tc>
          <w:tcPr>
            <w:tcW w:w="703" w:type="dxa"/>
          </w:tcPr>
          <w:p w14:paraId="0F5860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703" w:type="dxa"/>
          </w:tcPr>
          <w:p w14:paraId="4C88F3C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CFCC593"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8347FA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1120F0C"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CD80F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полностью демонтировано. Отгрузка оборудования будет закончена 15 мая 1945</w:t>
            </w:r>
          </w:p>
        </w:tc>
      </w:tr>
      <w:tr w:rsidR="00561F31" w:rsidRPr="00F90EAE" w14:paraId="3575B955" w14:textId="77777777">
        <w:trPr>
          <w:gridAfter w:val="1"/>
          <w:wAfter w:w="6" w:type="dxa"/>
        </w:trPr>
        <w:tc>
          <w:tcPr>
            <w:tcW w:w="534" w:type="dxa"/>
          </w:tcPr>
          <w:p w14:paraId="06531C5E"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3D7408A8"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77CEBF3"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7E7497B9"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59ED9B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станков</w:t>
            </w:r>
          </w:p>
        </w:tc>
        <w:tc>
          <w:tcPr>
            <w:tcW w:w="703" w:type="dxa"/>
          </w:tcPr>
          <w:p w14:paraId="0B68E6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703" w:type="dxa"/>
          </w:tcPr>
          <w:p w14:paraId="5253FC1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AFB7FE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D65E66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944ED6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455AA5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539AEEC" w14:textId="77777777">
        <w:trPr>
          <w:gridAfter w:val="1"/>
          <w:wAfter w:w="6" w:type="dxa"/>
        </w:trPr>
        <w:tc>
          <w:tcPr>
            <w:tcW w:w="534" w:type="dxa"/>
          </w:tcPr>
          <w:p w14:paraId="0053BB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1119" w:type="dxa"/>
          </w:tcPr>
          <w:p w14:paraId="275C9E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Гкснер, Рединтц</w:t>
            </w:r>
          </w:p>
        </w:tc>
        <w:tc>
          <w:tcPr>
            <w:tcW w:w="979" w:type="dxa"/>
          </w:tcPr>
          <w:p w14:paraId="27451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451, Москва</w:t>
            </w:r>
          </w:p>
        </w:tc>
        <w:tc>
          <w:tcPr>
            <w:tcW w:w="754" w:type="dxa"/>
          </w:tcPr>
          <w:p w14:paraId="1FB9E9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3A4B0C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 станков</w:t>
            </w:r>
          </w:p>
        </w:tc>
        <w:tc>
          <w:tcPr>
            <w:tcW w:w="703" w:type="dxa"/>
          </w:tcPr>
          <w:p w14:paraId="6C20F4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703" w:type="dxa"/>
          </w:tcPr>
          <w:p w14:paraId="4741338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B63ABB9"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29BFA995"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8D976A5"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9A976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полностью демонтировано. Отгрузка оборудования будет закончена 15 мая 1945</w:t>
            </w:r>
          </w:p>
        </w:tc>
      </w:tr>
      <w:tr w:rsidR="00561F31" w:rsidRPr="00F90EAE" w14:paraId="78C666C0" w14:textId="77777777">
        <w:trPr>
          <w:gridAfter w:val="1"/>
          <w:wAfter w:w="6" w:type="dxa"/>
        </w:trPr>
        <w:tc>
          <w:tcPr>
            <w:tcW w:w="534" w:type="dxa"/>
          </w:tcPr>
          <w:p w14:paraId="50F86D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119" w:type="dxa"/>
          </w:tcPr>
          <w:p w14:paraId="65991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самолетных агрегатов, Реппен</w:t>
            </w:r>
          </w:p>
        </w:tc>
        <w:tc>
          <w:tcPr>
            <w:tcW w:w="979" w:type="dxa"/>
          </w:tcPr>
          <w:p w14:paraId="3C4859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 Подольск</w:t>
            </w:r>
          </w:p>
        </w:tc>
        <w:tc>
          <w:tcPr>
            <w:tcW w:w="754" w:type="dxa"/>
          </w:tcPr>
          <w:p w14:paraId="3EB028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06FE6E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станков</w:t>
            </w:r>
          </w:p>
        </w:tc>
        <w:tc>
          <w:tcPr>
            <w:tcW w:w="703" w:type="dxa"/>
          </w:tcPr>
          <w:p w14:paraId="69EE2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703" w:type="dxa"/>
          </w:tcPr>
          <w:p w14:paraId="6FBA6C1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DD08E3B"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24ED675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2A262C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AB33A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полностью демонтировано. Отгрузка оборудования будет закончена 15 мая 1945</w:t>
            </w:r>
          </w:p>
        </w:tc>
      </w:tr>
      <w:tr w:rsidR="00561F31" w:rsidRPr="00F90EAE" w14:paraId="1C765CE7" w14:textId="77777777">
        <w:trPr>
          <w:gridAfter w:val="1"/>
          <w:wAfter w:w="6" w:type="dxa"/>
        </w:trPr>
        <w:tc>
          <w:tcPr>
            <w:tcW w:w="534" w:type="dxa"/>
          </w:tcPr>
          <w:p w14:paraId="6E60BAC6"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0FEA34D8"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6FA0023"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5FE404F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49A09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 ед. Раскроечно-заготовит. оборудования</w:t>
            </w:r>
          </w:p>
        </w:tc>
        <w:tc>
          <w:tcPr>
            <w:tcW w:w="703" w:type="dxa"/>
          </w:tcPr>
          <w:p w14:paraId="3034B4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703" w:type="dxa"/>
          </w:tcPr>
          <w:p w14:paraId="710CE17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631E953"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3D0C20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AB0A58A"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5CB89E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0E5477E" w14:textId="77777777">
        <w:trPr>
          <w:gridAfter w:val="1"/>
          <w:wAfter w:w="6" w:type="dxa"/>
        </w:trPr>
        <w:tc>
          <w:tcPr>
            <w:tcW w:w="534" w:type="dxa"/>
          </w:tcPr>
          <w:p w14:paraId="03D6D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1119" w:type="dxa"/>
          </w:tcPr>
          <w:p w14:paraId="6442EE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Зафод фирмы Опто-Радио, Грюнберг</w:t>
            </w:r>
          </w:p>
        </w:tc>
        <w:tc>
          <w:tcPr>
            <w:tcW w:w="979" w:type="dxa"/>
          </w:tcPr>
          <w:p w14:paraId="76BC62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 Москва,</w:t>
            </w:r>
          </w:p>
          <w:p w14:paraId="3416E0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w:t>
            </w:r>
          </w:p>
          <w:p w14:paraId="6CAAC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Вильнюс</w:t>
            </w:r>
          </w:p>
        </w:tc>
        <w:tc>
          <w:tcPr>
            <w:tcW w:w="754" w:type="dxa"/>
          </w:tcPr>
          <w:p w14:paraId="6F4C9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68A7CF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 единиц обьорудования</w:t>
            </w:r>
          </w:p>
          <w:p w14:paraId="08CF81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 станков</w:t>
            </w:r>
          </w:p>
        </w:tc>
        <w:tc>
          <w:tcPr>
            <w:tcW w:w="703" w:type="dxa"/>
          </w:tcPr>
          <w:p w14:paraId="1BA88B02" w14:textId="77777777" w:rsidR="00665165" w:rsidRPr="00F90EAE" w:rsidRDefault="00665165" w:rsidP="00F90EAE">
            <w:pPr>
              <w:autoSpaceDE w:val="0"/>
              <w:autoSpaceDN w:val="0"/>
              <w:adjustRightInd w:val="0"/>
              <w:jc w:val="both"/>
              <w:rPr>
                <w:color w:val="000000" w:themeColor="text1"/>
                <w:sz w:val="16"/>
                <w:szCs w:val="16"/>
              </w:rPr>
            </w:pPr>
          </w:p>
          <w:p w14:paraId="2BE98E57" w14:textId="77777777" w:rsidR="00665165" w:rsidRPr="00F90EAE" w:rsidRDefault="00665165" w:rsidP="00F90EAE">
            <w:pPr>
              <w:autoSpaceDE w:val="0"/>
              <w:autoSpaceDN w:val="0"/>
              <w:adjustRightInd w:val="0"/>
              <w:jc w:val="both"/>
              <w:rPr>
                <w:color w:val="000000" w:themeColor="text1"/>
                <w:sz w:val="16"/>
                <w:szCs w:val="16"/>
              </w:rPr>
            </w:pPr>
          </w:p>
          <w:p w14:paraId="3A066570" w14:textId="77777777" w:rsidR="00665165" w:rsidRPr="00F90EAE" w:rsidRDefault="00665165" w:rsidP="00F90EAE">
            <w:pPr>
              <w:autoSpaceDE w:val="0"/>
              <w:autoSpaceDN w:val="0"/>
              <w:adjustRightInd w:val="0"/>
              <w:jc w:val="both"/>
              <w:rPr>
                <w:color w:val="000000" w:themeColor="text1"/>
                <w:sz w:val="16"/>
                <w:szCs w:val="16"/>
              </w:rPr>
            </w:pPr>
          </w:p>
          <w:p w14:paraId="226E5E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703" w:type="dxa"/>
          </w:tcPr>
          <w:p w14:paraId="7F30A09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78D04B1"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7F9B35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1613365"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8FD85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Проводится демонтаж оборудования</w:t>
            </w:r>
          </w:p>
        </w:tc>
      </w:tr>
      <w:tr w:rsidR="00561F31" w:rsidRPr="00F90EAE" w14:paraId="74FC27D2" w14:textId="77777777">
        <w:trPr>
          <w:gridAfter w:val="1"/>
          <w:wAfter w:w="6" w:type="dxa"/>
        </w:trPr>
        <w:tc>
          <w:tcPr>
            <w:tcW w:w="534" w:type="dxa"/>
          </w:tcPr>
          <w:p w14:paraId="06F480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119" w:type="dxa"/>
          </w:tcPr>
          <w:p w14:paraId="6CF151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Винтовой завод Нуго Гейне, Рауша</w:t>
            </w:r>
          </w:p>
        </w:tc>
        <w:tc>
          <w:tcPr>
            <w:tcW w:w="979" w:type="dxa"/>
          </w:tcPr>
          <w:p w14:paraId="00C93C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383, Москва</w:t>
            </w:r>
          </w:p>
        </w:tc>
        <w:tc>
          <w:tcPr>
            <w:tcW w:w="754" w:type="dxa"/>
          </w:tcPr>
          <w:p w14:paraId="4313D4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6ABD4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 станков</w:t>
            </w:r>
          </w:p>
        </w:tc>
        <w:tc>
          <w:tcPr>
            <w:tcW w:w="703" w:type="dxa"/>
          </w:tcPr>
          <w:p w14:paraId="79D2E76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B034D5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8BA684E"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2405B8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A04A9DA"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FF4F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Демонтаж оборудования будет закончен 20 мая 1945</w:t>
            </w:r>
          </w:p>
        </w:tc>
      </w:tr>
      <w:tr w:rsidR="00561F31" w:rsidRPr="00F90EAE" w14:paraId="7E80D63A" w14:textId="77777777">
        <w:trPr>
          <w:gridAfter w:val="1"/>
          <w:wAfter w:w="6" w:type="dxa"/>
        </w:trPr>
        <w:tc>
          <w:tcPr>
            <w:tcW w:w="534" w:type="dxa"/>
          </w:tcPr>
          <w:p w14:paraId="0890A9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19" w:type="dxa"/>
          </w:tcPr>
          <w:p w14:paraId="30C89F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Телефункен, Фрейштадт</w:t>
            </w:r>
          </w:p>
        </w:tc>
        <w:tc>
          <w:tcPr>
            <w:tcW w:w="979" w:type="dxa"/>
          </w:tcPr>
          <w:p w14:paraId="1BABB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ЦКБ-47, Москва</w:t>
            </w:r>
          </w:p>
        </w:tc>
        <w:tc>
          <w:tcPr>
            <w:tcW w:w="754" w:type="dxa"/>
          </w:tcPr>
          <w:p w14:paraId="264CF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71C2C7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 станков</w:t>
            </w:r>
          </w:p>
        </w:tc>
        <w:tc>
          <w:tcPr>
            <w:tcW w:w="703" w:type="dxa"/>
          </w:tcPr>
          <w:p w14:paraId="585A1E59"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44B2F3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35E7C77"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7AD998E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8CBAE3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8E61A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оборудования</w:t>
            </w:r>
          </w:p>
        </w:tc>
      </w:tr>
      <w:tr w:rsidR="00561F31" w:rsidRPr="00F90EAE" w14:paraId="10D15B87" w14:textId="77777777">
        <w:trPr>
          <w:gridAfter w:val="1"/>
          <w:wAfter w:w="6" w:type="dxa"/>
        </w:trPr>
        <w:tc>
          <w:tcPr>
            <w:tcW w:w="534" w:type="dxa"/>
          </w:tcPr>
          <w:p w14:paraId="2FA779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119" w:type="dxa"/>
          </w:tcPr>
          <w:p w14:paraId="46FCCF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Приборный завод, Кюстрин</w:t>
            </w:r>
          </w:p>
        </w:tc>
        <w:tc>
          <w:tcPr>
            <w:tcW w:w="979" w:type="dxa"/>
          </w:tcPr>
          <w:p w14:paraId="6BBD35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 Львов</w:t>
            </w:r>
          </w:p>
        </w:tc>
        <w:tc>
          <w:tcPr>
            <w:tcW w:w="754" w:type="dxa"/>
          </w:tcPr>
          <w:p w14:paraId="54ADFE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320F1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 единиц оборудования</w:t>
            </w:r>
          </w:p>
        </w:tc>
        <w:tc>
          <w:tcPr>
            <w:tcW w:w="703" w:type="dxa"/>
          </w:tcPr>
          <w:p w14:paraId="080634C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12308CF"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815E395"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2AC8CB0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421CE11"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FEB4C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ГОКО № 8168 от 19 апреля 1945 завод передан НКЭП. Необходимо из решения ГОКО по НКАП этот завод исключить</w:t>
            </w:r>
          </w:p>
        </w:tc>
      </w:tr>
      <w:tr w:rsidR="00561F31" w:rsidRPr="00F90EAE" w14:paraId="25243E29" w14:textId="77777777">
        <w:trPr>
          <w:gridAfter w:val="1"/>
          <w:wAfter w:w="6" w:type="dxa"/>
        </w:trPr>
        <w:tc>
          <w:tcPr>
            <w:tcW w:w="534" w:type="dxa"/>
          </w:tcPr>
          <w:p w14:paraId="4AB10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1119" w:type="dxa"/>
          </w:tcPr>
          <w:p w14:paraId="0405FC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Сименс, Заган</w:t>
            </w:r>
          </w:p>
        </w:tc>
        <w:tc>
          <w:tcPr>
            <w:tcW w:w="979" w:type="dxa"/>
          </w:tcPr>
          <w:p w14:paraId="74C643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483, Киев</w:t>
            </w:r>
          </w:p>
        </w:tc>
        <w:tc>
          <w:tcPr>
            <w:tcW w:w="754" w:type="dxa"/>
          </w:tcPr>
          <w:p w14:paraId="750A3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24620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 единиц оборудования</w:t>
            </w:r>
          </w:p>
        </w:tc>
        <w:tc>
          <w:tcPr>
            <w:tcW w:w="703" w:type="dxa"/>
          </w:tcPr>
          <w:p w14:paraId="5FF3836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C03F25D"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E759042"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F2C0FD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868791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AFADE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оборудования</w:t>
            </w:r>
          </w:p>
        </w:tc>
      </w:tr>
      <w:tr w:rsidR="00561F31" w:rsidRPr="00F90EAE" w14:paraId="34476BC0" w14:textId="77777777">
        <w:trPr>
          <w:gridAfter w:val="1"/>
          <w:wAfter w:w="6" w:type="dxa"/>
        </w:trPr>
        <w:tc>
          <w:tcPr>
            <w:tcW w:w="534" w:type="dxa"/>
          </w:tcPr>
          <w:p w14:paraId="7A7164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1119" w:type="dxa"/>
          </w:tcPr>
          <w:p w14:paraId="6B2149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радиодеталей, Мальмитц</w:t>
            </w:r>
          </w:p>
        </w:tc>
        <w:tc>
          <w:tcPr>
            <w:tcW w:w="979" w:type="dxa"/>
          </w:tcPr>
          <w:p w14:paraId="771F7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 Вильнюс</w:t>
            </w:r>
          </w:p>
        </w:tc>
        <w:tc>
          <w:tcPr>
            <w:tcW w:w="754" w:type="dxa"/>
          </w:tcPr>
          <w:p w14:paraId="0CFAEB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апреля 1945</w:t>
            </w:r>
          </w:p>
        </w:tc>
        <w:tc>
          <w:tcPr>
            <w:tcW w:w="1205" w:type="dxa"/>
          </w:tcPr>
          <w:p w14:paraId="112653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 единиц оборудования</w:t>
            </w:r>
          </w:p>
        </w:tc>
        <w:tc>
          <w:tcPr>
            <w:tcW w:w="703" w:type="dxa"/>
          </w:tcPr>
          <w:p w14:paraId="0654568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C884D2F"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406039A"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35C50AC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33B5A58"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705CA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оборудования</w:t>
            </w:r>
          </w:p>
        </w:tc>
      </w:tr>
      <w:tr w:rsidR="00561F31" w:rsidRPr="00F90EAE" w14:paraId="3DD7E79A" w14:textId="77777777">
        <w:trPr>
          <w:gridAfter w:val="1"/>
          <w:wAfter w:w="5" w:type="dxa"/>
        </w:trPr>
        <w:tc>
          <w:tcPr>
            <w:tcW w:w="11014" w:type="dxa"/>
            <w:gridSpan w:val="13"/>
          </w:tcPr>
          <w:p w14:paraId="32FD63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7755с от 9 марта 1945</w:t>
            </w:r>
          </w:p>
        </w:tc>
      </w:tr>
      <w:tr w:rsidR="00561F31" w:rsidRPr="00F90EAE" w14:paraId="3F64A185" w14:textId="77777777">
        <w:trPr>
          <w:gridAfter w:val="1"/>
          <w:wAfter w:w="6" w:type="dxa"/>
        </w:trPr>
        <w:tc>
          <w:tcPr>
            <w:tcW w:w="534" w:type="dxa"/>
          </w:tcPr>
          <w:p w14:paraId="1EDCDC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1119" w:type="dxa"/>
          </w:tcPr>
          <w:p w14:paraId="19F9A2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Крылья самолетов-снарядов со склада, </w:t>
            </w:r>
            <w:r w:rsidRPr="00F90EAE">
              <w:rPr>
                <w:color w:val="000000" w:themeColor="text1"/>
                <w:sz w:val="16"/>
                <w:szCs w:val="16"/>
              </w:rPr>
              <w:lastRenderedPageBreak/>
              <w:t>Китлицтребен</w:t>
            </w:r>
          </w:p>
        </w:tc>
        <w:tc>
          <w:tcPr>
            <w:tcW w:w="979" w:type="dxa"/>
          </w:tcPr>
          <w:p w14:paraId="18E52E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456, Москва</w:t>
            </w:r>
          </w:p>
        </w:tc>
        <w:tc>
          <w:tcPr>
            <w:tcW w:w="754" w:type="dxa"/>
          </w:tcPr>
          <w:p w14:paraId="2B3BE8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1945</w:t>
            </w:r>
          </w:p>
        </w:tc>
        <w:tc>
          <w:tcPr>
            <w:tcW w:w="1205" w:type="dxa"/>
          </w:tcPr>
          <w:p w14:paraId="3460DCC5"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30248C9"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9AF0AF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B450F5D"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36B14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703" w:type="dxa"/>
          </w:tcPr>
          <w:p w14:paraId="7DFF61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2907" w:type="dxa"/>
            <w:gridSpan w:val="2"/>
          </w:tcPr>
          <w:p w14:paraId="49398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Отгрузка окончена 25 марта 1945. 10 апреля груз поступил на завод</w:t>
            </w:r>
          </w:p>
        </w:tc>
      </w:tr>
      <w:tr w:rsidR="00561F31" w:rsidRPr="00F90EAE" w14:paraId="0553ECA5" w14:textId="77777777">
        <w:trPr>
          <w:gridAfter w:val="1"/>
          <w:wAfter w:w="5" w:type="dxa"/>
        </w:trPr>
        <w:tc>
          <w:tcPr>
            <w:tcW w:w="11014" w:type="dxa"/>
            <w:gridSpan w:val="13"/>
          </w:tcPr>
          <w:p w14:paraId="129551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8083с от 12 апреля 1945</w:t>
            </w:r>
          </w:p>
        </w:tc>
      </w:tr>
      <w:tr w:rsidR="00561F31" w:rsidRPr="00F90EAE" w14:paraId="24A7AF72" w14:textId="77777777">
        <w:trPr>
          <w:gridAfter w:val="1"/>
          <w:wAfter w:w="6" w:type="dxa"/>
        </w:trPr>
        <w:tc>
          <w:tcPr>
            <w:tcW w:w="534" w:type="dxa"/>
          </w:tcPr>
          <w:p w14:paraId="7FAA25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19" w:type="dxa"/>
          </w:tcPr>
          <w:p w14:paraId="3D7CA5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Фабрика Вильгельм Беккер, Штольц</w:t>
            </w:r>
          </w:p>
        </w:tc>
        <w:tc>
          <w:tcPr>
            <w:tcW w:w="979" w:type="dxa"/>
          </w:tcPr>
          <w:p w14:paraId="71EAA0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 Ленинград</w:t>
            </w:r>
          </w:p>
        </w:tc>
        <w:tc>
          <w:tcPr>
            <w:tcW w:w="754" w:type="dxa"/>
          </w:tcPr>
          <w:p w14:paraId="510CC9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w:t>
            </w:r>
          </w:p>
        </w:tc>
        <w:tc>
          <w:tcPr>
            <w:tcW w:w="1205" w:type="dxa"/>
          </w:tcPr>
          <w:p w14:paraId="72890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 ед. оборудования</w:t>
            </w:r>
          </w:p>
        </w:tc>
        <w:tc>
          <w:tcPr>
            <w:tcW w:w="703" w:type="dxa"/>
          </w:tcPr>
          <w:p w14:paraId="0E94A86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80D67B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5517BDA"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2092B0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4C51E77"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92E6A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оборудования</w:t>
            </w:r>
          </w:p>
        </w:tc>
      </w:tr>
      <w:tr w:rsidR="00561F31" w:rsidRPr="00F90EAE" w14:paraId="09466091" w14:textId="77777777">
        <w:trPr>
          <w:gridAfter w:val="1"/>
          <w:wAfter w:w="5" w:type="dxa"/>
        </w:trPr>
        <w:tc>
          <w:tcPr>
            <w:tcW w:w="11014" w:type="dxa"/>
            <w:gridSpan w:val="13"/>
          </w:tcPr>
          <w:p w14:paraId="500274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8069с от 12 апреля 1945</w:t>
            </w:r>
          </w:p>
        </w:tc>
      </w:tr>
      <w:tr w:rsidR="00561F31" w:rsidRPr="00F90EAE" w14:paraId="6D1CF75B" w14:textId="77777777">
        <w:trPr>
          <w:gridAfter w:val="1"/>
          <w:wAfter w:w="6" w:type="dxa"/>
        </w:trPr>
        <w:tc>
          <w:tcPr>
            <w:tcW w:w="534" w:type="dxa"/>
          </w:tcPr>
          <w:p w14:paraId="6BF35A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19" w:type="dxa"/>
          </w:tcPr>
          <w:p w14:paraId="71E72A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Пресс-Верк АО Обертхютте, Лобанд (р-н Глейвиц)</w:t>
            </w:r>
          </w:p>
        </w:tc>
        <w:tc>
          <w:tcPr>
            <w:tcW w:w="979" w:type="dxa"/>
          </w:tcPr>
          <w:p w14:paraId="4C515E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 Сетунь</w:t>
            </w:r>
          </w:p>
        </w:tc>
        <w:tc>
          <w:tcPr>
            <w:tcW w:w="754" w:type="dxa"/>
          </w:tcPr>
          <w:p w14:paraId="689D3C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июня 1945</w:t>
            </w:r>
          </w:p>
        </w:tc>
        <w:tc>
          <w:tcPr>
            <w:tcW w:w="1205" w:type="dxa"/>
          </w:tcPr>
          <w:p w14:paraId="731754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подлежит делению на месте между несколькоими наркоматами</w:t>
            </w:r>
          </w:p>
        </w:tc>
        <w:tc>
          <w:tcPr>
            <w:tcW w:w="703" w:type="dxa"/>
          </w:tcPr>
          <w:p w14:paraId="6117BF7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71943F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F517814"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378823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1274CF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BC199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Представители НКАП находятся на месте работ</w:t>
            </w:r>
          </w:p>
        </w:tc>
      </w:tr>
      <w:tr w:rsidR="00561F31" w:rsidRPr="00F90EAE" w14:paraId="3D5A15BF" w14:textId="77777777">
        <w:trPr>
          <w:gridAfter w:val="1"/>
          <w:wAfter w:w="5" w:type="dxa"/>
        </w:trPr>
        <w:tc>
          <w:tcPr>
            <w:tcW w:w="11014" w:type="dxa"/>
            <w:gridSpan w:val="13"/>
          </w:tcPr>
          <w:p w14:paraId="0B4A5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8155с от 19 апреля 1945</w:t>
            </w:r>
          </w:p>
        </w:tc>
      </w:tr>
      <w:tr w:rsidR="00561F31" w:rsidRPr="00F90EAE" w14:paraId="715FE054" w14:textId="77777777">
        <w:trPr>
          <w:gridAfter w:val="1"/>
          <w:wAfter w:w="6" w:type="dxa"/>
        </w:trPr>
        <w:tc>
          <w:tcPr>
            <w:tcW w:w="534" w:type="dxa"/>
          </w:tcPr>
          <w:p w14:paraId="44010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1119" w:type="dxa"/>
          </w:tcPr>
          <w:p w14:paraId="76753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Моторосборочный завод Флюг-моторен-верке Остмарк, Вена</w:t>
            </w:r>
          </w:p>
        </w:tc>
        <w:tc>
          <w:tcPr>
            <w:tcW w:w="979" w:type="dxa"/>
          </w:tcPr>
          <w:p w14:paraId="09A4A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 Рыбинск</w:t>
            </w:r>
          </w:p>
        </w:tc>
        <w:tc>
          <w:tcPr>
            <w:tcW w:w="754" w:type="dxa"/>
          </w:tcPr>
          <w:p w14:paraId="0CE18A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438FD8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 станков</w:t>
            </w:r>
          </w:p>
        </w:tc>
        <w:tc>
          <w:tcPr>
            <w:tcW w:w="703" w:type="dxa"/>
          </w:tcPr>
          <w:p w14:paraId="0066A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703" w:type="dxa"/>
          </w:tcPr>
          <w:p w14:paraId="7D8AD0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703" w:type="dxa"/>
          </w:tcPr>
          <w:p w14:paraId="5162A0ED"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FC48F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703" w:type="dxa"/>
          </w:tcPr>
          <w:p w14:paraId="42BB13D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DF59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и отгрузка оборудования</w:t>
            </w:r>
          </w:p>
        </w:tc>
      </w:tr>
      <w:tr w:rsidR="00561F31" w:rsidRPr="00F90EAE" w14:paraId="1AE1FD15" w14:textId="77777777">
        <w:trPr>
          <w:gridAfter w:val="1"/>
          <w:wAfter w:w="6" w:type="dxa"/>
        </w:trPr>
        <w:tc>
          <w:tcPr>
            <w:tcW w:w="534" w:type="dxa"/>
          </w:tcPr>
          <w:p w14:paraId="062DDD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19" w:type="dxa"/>
          </w:tcPr>
          <w:p w14:paraId="288D6E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авиамоторных деталей Штейер Даймлер Пух Швейхотте, р-н Вены</w:t>
            </w:r>
          </w:p>
        </w:tc>
        <w:tc>
          <w:tcPr>
            <w:tcW w:w="979" w:type="dxa"/>
          </w:tcPr>
          <w:p w14:paraId="54D75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 Рыбинск</w:t>
            </w:r>
          </w:p>
        </w:tc>
        <w:tc>
          <w:tcPr>
            <w:tcW w:w="754" w:type="dxa"/>
          </w:tcPr>
          <w:p w14:paraId="6466B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52CD09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1020 станков</w:t>
            </w:r>
          </w:p>
        </w:tc>
        <w:tc>
          <w:tcPr>
            <w:tcW w:w="703" w:type="dxa"/>
          </w:tcPr>
          <w:p w14:paraId="1EF87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899</w:t>
            </w:r>
          </w:p>
        </w:tc>
        <w:tc>
          <w:tcPr>
            <w:tcW w:w="703" w:type="dxa"/>
          </w:tcPr>
          <w:p w14:paraId="3D34AE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899</w:t>
            </w:r>
          </w:p>
        </w:tc>
        <w:tc>
          <w:tcPr>
            <w:tcW w:w="703" w:type="dxa"/>
          </w:tcPr>
          <w:p w14:paraId="291B48CD"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6C4A7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703" w:type="dxa"/>
          </w:tcPr>
          <w:p w14:paraId="116660A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F97BA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Производится демонтаж и отгрузка оборудования</w:t>
            </w:r>
          </w:p>
        </w:tc>
      </w:tr>
      <w:tr w:rsidR="00561F31" w:rsidRPr="00F90EAE" w14:paraId="542AB2F0" w14:textId="77777777">
        <w:trPr>
          <w:gridAfter w:val="1"/>
          <w:wAfter w:w="6" w:type="dxa"/>
        </w:trPr>
        <w:tc>
          <w:tcPr>
            <w:tcW w:w="534" w:type="dxa"/>
          </w:tcPr>
          <w:p w14:paraId="6AB6C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w:t>
            </w:r>
          </w:p>
        </w:tc>
        <w:tc>
          <w:tcPr>
            <w:tcW w:w="1119" w:type="dxa"/>
          </w:tcPr>
          <w:p w14:paraId="0204A3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авиаприборов фирмы Норма, Вена</w:t>
            </w:r>
          </w:p>
        </w:tc>
        <w:tc>
          <w:tcPr>
            <w:tcW w:w="979" w:type="dxa"/>
          </w:tcPr>
          <w:p w14:paraId="06F4D3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 Москва</w:t>
            </w:r>
          </w:p>
        </w:tc>
        <w:tc>
          <w:tcPr>
            <w:tcW w:w="754" w:type="dxa"/>
          </w:tcPr>
          <w:p w14:paraId="79724D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3125CF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 станков</w:t>
            </w:r>
          </w:p>
        </w:tc>
        <w:tc>
          <w:tcPr>
            <w:tcW w:w="703" w:type="dxa"/>
          </w:tcPr>
          <w:p w14:paraId="129CA0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703" w:type="dxa"/>
          </w:tcPr>
          <w:p w14:paraId="1DCCC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703" w:type="dxa"/>
          </w:tcPr>
          <w:p w14:paraId="52F821F4"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43B6B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703" w:type="dxa"/>
          </w:tcPr>
          <w:p w14:paraId="468A8505"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B1DE01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B5B2B74" w14:textId="77777777">
        <w:trPr>
          <w:gridAfter w:val="1"/>
          <w:wAfter w:w="6" w:type="dxa"/>
        </w:trPr>
        <w:tc>
          <w:tcPr>
            <w:tcW w:w="534" w:type="dxa"/>
          </w:tcPr>
          <w:p w14:paraId="051F8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119" w:type="dxa"/>
          </w:tcPr>
          <w:p w14:paraId="2485E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Остатки самолетосборочного з-да Винер Нейштадт</w:t>
            </w:r>
          </w:p>
        </w:tc>
        <w:tc>
          <w:tcPr>
            <w:tcW w:w="979" w:type="dxa"/>
          </w:tcPr>
          <w:p w14:paraId="3F93DA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 Харьков</w:t>
            </w:r>
          </w:p>
        </w:tc>
        <w:tc>
          <w:tcPr>
            <w:tcW w:w="754" w:type="dxa"/>
          </w:tcPr>
          <w:p w14:paraId="263EB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4F419C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вагонов разного оборудования</w:t>
            </w:r>
          </w:p>
        </w:tc>
        <w:tc>
          <w:tcPr>
            <w:tcW w:w="703" w:type="dxa"/>
          </w:tcPr>
          <w:p w14:paraId="232C070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B16869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A3609AC"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61DFBF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7578BC5"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499CD0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389ED54" w14:textId="77777777">
        <w:trPr>
          <w:gridAfter w:val="1"/>
          <w:wAfter w:w="6" w:type="dxa"/>
        </w:trPr>
        <w:tc>
          <w:tcPr>
            <w:tcW w:w="534" w:type="dxa"/>
          </w:tcPr>
          <w:p w14:paraId="739EFD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119" w:type="dxa"/>
          </w:tcPr>
          <w:p w14:paraId="357F24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Два подземных завода Хейнкель в р-не Вены</w:t>
            </w:r>
          </w:p>
        </w:tc>
        <w:tc>
          <w:tcPr>
            <w:tcW w:w="979" w:type="dxa"/>
          </w:tcPr>
          <w:p w14:paraId="69AE6B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 Москва</w:t>
            </w:r>
          </w:p>
        </w:tc>
        <w:tc>
          <w:tcPr>
            <w:tcW w:w="754" w:type="dxa"/>
          </w:tcPr>
          <w:p w14:paraId="636FE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565AD6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w:t>
            </w:r>
          </w:p>
        </w:tc>
        <w:tc>
          <w:tcPr>
            <w:tcW w:w="703" w:type="dxa"/>
          </w:tcPr>
          <w:p w14:paraId="75E9F559"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B763D0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20F624C"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33ADF0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48A7B64"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1FAC642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4904405" w14:textId="77777777">
        <w:trPr>
          <w:gridAfter w:val="1"/>
          <w:wAfter w:w="5" w:type="dxa"/>
        </w:trPr>
        <w:tc>
          <w:tcPr>
            <w:tcW w:w="11014" w:type="dxa"/>
            <w:gridSpan w:val="13"/>
          </w:tcPr>
          <w:p w14:paraId="4D6270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8158с от 19 апреля 1945</w:t>
            </w:r>
          </w:p>
        </w:tc>
      </w:tr>
      <w:tr w:rsidR="00561F31" w:rsidRPr="00F90EAE" w14:paraId="34DC9CC7" w14:textId="77777777">
        <w:trPr>
          <w:gridAfter w:val="1"/>
          <w:wAfter w:w="6" w:type="dxa"/>
        </w:trPr>
        <w:tc>
          <w:tcPr>
            <w:tcW w:w="534" w:type="dxa"/>
          </w:tcPr>
          <w:p w14:paraId="3D8E5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19" w:type="dxa"/>
          </w:tcPr>
          <w:p w14:paraId="17EF90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Радио Верке, Вена</w:t>
            </w:r>
          </w:p>
        </w:tc>
        <w:tc>
          <w:tcPr>
            <w:tcW w:w="979" w:type="dxa"/>
          </w:tcPr>
          <w:p w14:paraId="5C76F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 Ленинград</w:t>
            </w:r>
          </w:p>
        </w:tc>
        <w:tc>
          <w:tcPr>
            <w:tcW w:w="754" w:type="dxa"/>
          </w:tcPr>
          <w:p w14:paraId="5AAE7B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tc>
        <w:tc>
          <w:tcPr>
            <w:tcW w:w="1205" w:type="dxa"/>
          </w:tcPr>
          <w:p w14:paraId="72D1EF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 станков</w:t>
            </w:r>
          </w:p>
        </w:tc>
        <w:tc>
          <w:tcPr>
            <w:tcW w:w="703" w:type="dxa"/>
          </w:tcPr>
          <w:p w14:paraId="7AE2A5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703" w:type="dxa"/>
          </w:tcPr>
          <w:p w14:paraId="63E16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703" w:type="dxa"/>
          </w:tcPr>
          <w:p w14:paraId="59331E9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9299A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703" w:type="dxa"/>
          </w:tcPr>
          <w:p w14:paraId="6C28D9D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63A47A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199F7C1" w14:textId="77777777">
        <w:trPr>
          <w:gridAfter w:val="1"/>
          <w:wAfter w:w="5" w:type="dxa"/>
        </w:trPr>
        <w:tc>
          <w:tcPr>
            <w:tcW w:w="11014" w:type="dxa"/>
            <w:gridSpan w:val="13"/>
          </w:tcPr>
          <w:p w14:paraId="0E774B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ГОКО № 8062с от 19 апреля 1945</w:t>
            </w:r>
          </w:p>
        </w:tc>
      </w:tr>
      <w:tr w:rsidR="00561F31" w:rsidRPr="00F90EAE" w14:paraId="09CF9745" w14:textId="77777777">
        <w:trPr>
          <w:gridAfter w:val="1"/>
          <w:wAfter w:w="6" w:type="dxa"/>
        </w:trPr>
        <w:tc>
          <w:tcPr>
            <w:tcW w:w="534" w:type="dxa"/>
          </w:tcPr>
          <w:p w14:paraId="5AC25B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119" w:type="dxa"/>
          </w:tcPr>
          <w:p w14:paraId="6D4DE2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Петер Пельцер, Зоммерфельд</w:t>
            </w:r>
          </w:p>
        </w:tc>
        <w:tc>
          <w:tcPr>
            <w:tcW w:w="979" w:type="dxa"/>
          </w:tcPr>
          <w:p w14:paraId="5FEB9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ЦАГИ, Раменское</w:t>
            </w:r>
          </w:p>
        </w:tc>
        <w:tc>
          <w:tcPr>
            <w:tcW w:w="754" w:type="dxa"/>
          </w:tcPr>
          <w:p w14:paraId="6C919C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29250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 станков</w:t>
            </w:r>
          </w:p>
        </w:tc>
        <w:tc>
          <w:tcPr>
            <w:tcW w:w="703" w:type="dxa"/>
          </w:tcPr>
          <w:p w14:paraId="0CE9D52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1A323B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A9E088E"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BBB311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7561351"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C3008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7FDC4109" w14:textId="77777777">
        <w:trPr>
          <w:gridAfter w:val="1"/>
          <w:wAfter w:w="6" w:type="dxa"/>
        </w:trPr>
        <w:tc>
          <w:tcPr>
            <w:tcW w:w="534" w:type="dxa"/>
          </w:tcPr>
          <w:p w14:paraId="7BEAD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119" w:type="dxa"/>
          </w:tcPr>
          <w:p w14:paraId="7AFC73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фирмы Эльтрон Теодор Штибель, Зоммерфельд</w:t>
            </w:r>
          </w:p>
        </w:tc>
        <w:tc>
          <w:tcPr>
            <w:tcW w:w="979" w:type="dxa"/>
          </w:tcPr>
          <w:p w14:paraId="41EC6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489, Днепропетровск</w:t>
            </w:r>
          </w:p>
        </w:tc>
        <w:tc>
          <w:tcPr>
            <w:tcW w:w="754" w:type="dxa"/>
          </w:tcPr>
          <w:p w14:paraId="251A22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76AB4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 станков</w:t>
            </w:r>
          </w:p>
        </w:tc>
        <w:tc>
          <w:tcPr>
            <w:tcW w:w="703" w:type="dxa"/>
          </w:tcPr>
          <w:p w14:paraId="22DC159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0343FD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F8288C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DC61A6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3F0A328"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1B034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65467C43" w14:textId="77777777">
        <w:trPr>
          <w:gridAfter w:val="1"/>
          <w:wAfter w:w="6" w:type="dxa"/>
        </w:trPr>
        <w:tc>
          <w:tcPr>
            <w:tcW w:w="534" w:type="dxa"/>
          </w:tcPr>
          <w:p w14:paraId="3FB7EB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1119" w:type="dxa"/>
          </w:tcPr>
          <w:p w14:paraId="0DC82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Пластмасс фирмы АЕГ, Ноемюллер, р-н Зоммерфельд</w:t>
            </w:r>
          </w:p>
        </w:tc>
        <w:tc>
          <w:tcPr>
            <w:tcW w:w="979" w:type="dxa"/>
          </w:tcPr>
          <w:p w14:paraId="52443B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 Ленинград</w:t>
            </w:r>
          </w:p>
        </w:tc>
        <w:tc>
          <w:tcPr>
            <w:tcW w:w="754" w:type="dxa"/>
          </w:tcPr>
          <w:p w14:paraId="1E9DF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2E5D55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 станка</w:t>
            </w:r>
          </w:p>
        </w:tc>
        <w:tc>
          <w:tcPr>
            <w:tcW w:w="703" w:type="dxa"/>
          </w:tcPr>
          <w:p w14:paraId="4D9FA26D"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02715C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67C2A04"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464E5C6"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DCFAAA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2D1CA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581A7196" w14:textId="77777777">
        <w:trPr>
          <w:gridAfter w:val="1"/>
          <w:wAfter w:w="6" w:type="dxa"/>
        </w:trPr>
        <w:tc>
          <w:tcPr>
            <w:tcW w:w="534" w:type="dxa"/>
          </w:tcPr>
          <w:p w14:paraId="5C19F4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19" w:type="dxa"/>
          </w:tcPr>
          <w:p w14:paraId="6AC97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Пластмасс, Решен, р-н Зоммерфельд</w:t>
            </w:r>
          </w:p>
        </w:tc>
        <w:tc>
          <w:tcPr>
            <w:tcW w:w="979" w:type="dxa"/>
          </w:tcPr>
          <w:p w14:paraId="4F107E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 Ленинград</w:t>
            </w:r>
          </w:p>
        </w:tc>
        <w:tc>
          <w:tcPr>
            <w:tcW w:w="754" w:type="dxa"/>
          </w:tcPr>
          <w:p w14:paraId="46D35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34F589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 станков</w:t>
            </w:r>
          </w:p>
        </w:tc>
        <w:tc>
          <w:tcPr>
            <w:tcW w:w="703" w:type="dxa"/>
          </w:tcPr>
          <w:p w14:paraId="4A96831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B2F25D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ACBEDA5"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C68976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3860B31"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867FB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16C91D35" w14:textId="77777777">
        <w:trPr>
          <w:gridAfter w:val="1"/>
          <w:wAfter w:w="6" w:type="dxa"/>
        </w:trPr>
        <w:tc>
          <w:tcPr>
            <w:tcW w:w="534" w:type="dxa"/>
          </w:tcPr>
          <w:p w14:paraId="09847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119" w:type="dxa"/>
          </w:tcPr>
          <w:p w14:paraId="3A8A9E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Остатки завода по производству реактивных с-тов, Швейдемюль</w:t>
            </w:r>
          </w:p>
        </w:tc>
        <w:tc>
          <w:tcPr>
            <w:tcW w:w="979" w:type="dxa"/>
          </w:tcPr>
          <w:p w14:paraId="72DD53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ЦАГИ, Раменское</w:t>
            </w:r>
          </w:p>
        </w:tc>
        <w:tc>
          <w:tcPr>
            <w:tcW w:w="754" w:type="dxa"/>
          </w:tcPr>
          <w:p w14:paraId="2FCAD1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12D919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станков</w:t>
            </w:r>
          </w:p>
        </w:tc>
        <w:tc>
          <w:tcPr>
            <w:tcW w:w="703" w:type="dxa"/>
          </w:tcPr>
          <w:p w14:paraId="2DC67BC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286CFEB"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8E3294F"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3DB4ABB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72C7A9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0682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Представитель НКАП находится на месте</w:t>
            </w:r>
          </w:p>
        </w:tc>
      </w:tr>
      <w:tr w:rsidR="00561F31" w:rsidRPr="00F90EAE" w14:paraId="506CBE0B" w14:textId="77777777">
        <w:trPr>
          <w:gridAfter w:val="1"/>
          <w:wAfter w:w="6" w:type="dxa"/>
        </w:trPr>
        <w:tc>
          <w:tcPr>
            <w:tcW w:w="534" w:type="dxa"/>
          </w:tcPr>
          <w:p w14:paraId="3C723F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1119" w:type="dxa"/>
          </w:tcPr>
          <w:p w14:paraId="0605F1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Авиасборочный з-д, Хайлигенбейл</w:t>
            </w:r>
          </w:p>
        </w:tc>
        <w:tc>
          <w:tcPr>
            <w:tcW w:w="979" w:type="dxa"/>
          </w:tcPr>
          <w:p w14:paraId="2D0C33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 Рыбинск</w:t>
            </w:r>
          </w:p>
        </w:tc>
        <w:tc>
          <w:tcPr>
            <w:tcW w:w="754" w:type="dxa"/>
          </w:tcPr>
          <w:p w14:paraId="481AB9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июня 1945</w:t>
            </w:r>
          </w:p>
        </w:tc>
        <w:tc>
          <w:tcPr>
            <w:tcW w:w="1205" w:type="dxa"/>
          </w:tcPr>
          <w:p w14:paraId="443CA1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 станков</w:t>
            </w:r>
          </w:p>
        </w:tc>
        <w:tc>
          <w:tcPr>
            <w:tcW w:w="703" w:type="dxa"/>
          </w:tcPr>
          <w:p w14:paraId="65049B93"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CD154B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5AC6D3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42E6A462"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53D0F6E"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3285C1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45347CF3" w14:textId="77777777">
        <w:trPr>
          <w:gridAfter w:val="1"/>
          <w:wAfter w:w="5" w:type="dxa"/>
        </w:trPr>
        <w:tc>
          <w:tcPr>
            <w:tcW w:w="11014" w:type="dxa"/>
            <w:gridSpan w:val="13"/>
          </w:tcPr>
          <w:p w14:paraId="76C380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Постановление ГОКО № 8278с от 26 апреля 1945</w:t>
            </w:r>
          </w:p>
        </w:tc>
      </w:tr>
      <w:tr w:rsidR="00561F31" w:rsidRPr="00F90EAE" w14:paraId="204FFC31" w14:textId="77777777">
        <w:trPr>
          <w:gridAfter w:val="1"/>
          <w:wAfter w:w="6" w:type="dxa"/>
        </w:trPr>
        <w:tc>
          <w:tcPr>
            <w:tcW w:w="534" w:type="dxa"/>
          </w:tcPr>
          <w:p w14:paraId="09AA53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19" w:type="dxa"/>
          </w:tcPr>
          <w:p w14:paraId="66435B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бронезащиты с-тов, Дицдорф, (р-н Бреслау)</w:t>
            </w:r>
          </w:p>
        </w:tc>
        <w:tc>
          <w:tcPr>
            <w:tcW w:w="979" w:type="dxa"/>
          </w:tcPr>
          <w:p w14:paraId="411626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 Подольск</w:t>
            </w:r>
          </w:p>
        </w:tc>
        <w:tc>
          <w:tcPr>
            <w:tcW w:w="754" w:type="dxa"/>
          </w:tcPr>
          <w:p w14:paraId="09BEC4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767D6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 станков</w:t>
            </w:r>
          </w:p>
        </w:tc>
        <w:tc>
          <w:tcPr>
            <w:tcW w:w="703" w:type="dxa"/>
          </w:tcPr>
          <w:p w14:paraId="453C9D09"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161418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B1AC68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D3F32F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C93D6B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EA2382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4185D9B" w14:textId="77777777">
        <w:trPr>
          <w:gridAfter w:val="1"/>
          <w:wAfter w:w="6" w:type="dxa"/>
        </w:trPr>
        <w:tc>
          <w:tcPr>
            <w:tcW w:w="534" w:type="dxa"/>
          </w:tcPr>
          <w:p w14:paraId="378AB21A"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EDF622A"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3AC5D37A"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524ED094"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4A48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прессов и нижниц</w:t>
            </w:r>
          </w:p>
        </w:tc>
        <w:tc>
          <w:tcPr>
            <w:tcW w:w="703" w:type="dxa"/>
          </w:tcPr>
          <w:p w14:paraId="2805B63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7E2D3579"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76951B4"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E702BD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004F0C4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39707E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78489E5" w14:textId="77777777">
        <w:trPr>
          <w:gridAfter w:val="1"/>
          <w:wAfter w:w="6" w:type="dxa"/>
        </w:trPr>
        <w:tc>
          <w:tcPr>
            <w:tcW w:w="534" w:type="dxa"/>
          </w:tcPr>
          <w:p w14:paraId="35CBB5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1119" w:type="dxa"/>
          </w:tcPr>
          <w:p w14:paraId="630D9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авиационных деталей, Нейен Кирхен (р-н Вены)</w:t>
            </w:r>
          </w:p>
        </w:tc>
        <w:tc>
          <w:tcPr>
            <w:tcW w:w="979" w:type="dxa"/>
          </w:tcPr>
          <w:p w14:paraId="1A637F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489, Днепропетровск</w:t>
            </w:r>
          </w:p>
        </w:tc>
        <w:tc>
          <w:tcPr>
            <w:tcW w:w="754" w:type="dxa"/>
          </w:tcPr>
          <w:p w14:paraId="760C13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48454F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 станков</w:t>
            </w:r>
          </w:p>
        </w:tc>
        <w:tc>
          <w:tcPr>
            <w:tcW w:w="703" w:type="dxa"/>
          </w:tcPr>
          <w:p w14:paraId="2602A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w:t>
            </w:r>
          </w:p>
        </w:tc>
        <w:tc>
          <w:tcPr>
            <w:tcW w:w="703" w:type="dxa"/>
          </w:tcPr>
          <w:p w14:paraId="4EB20F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c>
          <w:tcPr>
            <w:tcW w:w="703" w:type="dxa"/>
          </w:tcPr>
          <w:p w14:paraId="201881B6"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6734D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703" w:type="dxa"/>
          </w:tcPr>
          <w:p w14:paraId="71D42E7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740825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отгружено на з-д 125 НКАП</w:t>
            </w:r>
          </w:p>
        </w:tc>
      </w:tr>
      <w:tr w:rsidR="00561F31" w:rsidRPr="00F90EAE" w14:paraId="282584AA" w14:textId="77777777">
        <w:trPr>
          <w:gridAfter w:val="1"/>
          <w:wAfter w:w="6" w:type="dxa"/>
        </w:trPr>
        <w:tc>
          <w:tcPr>
            <w:tcW w:w="534" w:type="dxa"/>
          </w:tcPr>
          <w:p w14:paraId="32AB1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119" w:type="dxa"/>
          </w:tcPr>
          <w:p w14:paraId="68B4F0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З-д фирмы Шустер Компания, Вена</w:t>
            </w:r>
          </w:p>
        </w:tc>
        <w:tc>
          <w:tcPr>
            <w:tcW w:w="979" w:type="dxa"/>
          </w:tcPr>
          <w:p w14:paraId="007631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 Сарапул</w:t>
            </w:r>
          </w:p>
        </w:tc>
        <w:tc>
          <w:tcPr>
            <w:tcW w:w="754" w:type="dxa"/>
          </w:tcPr>
          <w:p w14:paraId="514E0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июня 1945</w:t>
            </w:r>
          </w:p>
        </w:tc>
        <w:tc>
          <w:tcPr>
            <w:tcW w:w="1205" w:type="dxa"/>
          </w:tcPr>
          <w:p w14:paraId="387E00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540 станков</w:t>
            </w:r>
          </w:p>
        </w:tc>
        <w:tc>
          <w:tcPr>
            <w:tcW w:w="703" w:type="dxa"/>
          </w:tcPr>
          <w:p w14:paraId="54DCED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703" w:type="dxa"/>
          </w:tcPr>
          <w:p w14:paraId="3A9D59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703" w:type="dxa"/>
          </w:tcPr>
          <w:p w14:paraId="418706E3"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74200A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703" w:type="dxa"/>
          </w:tcPr>
          <w:p w14:paraId="0C45A0D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638B2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Оборудование демонтируется</w:t>
            </w:r>
          </w:p>
        </w:tc>
      </w:tr>
      <w:tr w:rsidR="00561F31" w:rsidRPr="00F90EAE" w14:paraId="5C7EAD25" w14:textId="77777777">
        <w:trPr>
          <w:gridAfter w:val="1"/>
          <w:wAfter w:w="6" w:type="dxa"/>
        </w:trPr>
        <w:tc>
          <w:tcPr>
            <w:tcW w:w="534" w:type="dxa"/>
          </w:tcPr>
          <w:p w14:paraId="425F3A43"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A4AE1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79" w:type="dxa"/>
          </w:tcPr>
          <w:p w14:paraId="05B11878"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7604657E"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21B691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станков</w:t>
            </w:r>
          </w:p>
        </w:tc>
        <w:tc>
          <w:tcPr>
            <w:tcW w:w="703" w:type="dxa"/>
          </w:tcPr>
          <w:p w14:paraId="740914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9188</w:t>
            </w:r>
          </w:p>
        </w:tc>
        <w:tc>
          <w:tcPr>
            <w:tcW w:w="703" w:type="dxa"/>
          </w:tcPr>
          <w:p w14:paraId="1B5F9A9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DB97189"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E456BD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846CD22"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6F38436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90854C4" w14:textId="77777777">
        <w:trPr>
          <w:gridAfter w:val="1"/>
          <w:wAfter w:w="6" w:type="dxa"/>
        </w:trPr>
        <w:tc>
          <w:tcPr>
            <w:tcW w:w="534" w:type="dxa"/>
          </w:tcPr>
          <w:p w14:paraId="02C53F7C"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64211FC2"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65CC39A8"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66CCCD40"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59EB0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прессов</w:t>
            </w:r>
          </w:p>
        </w:tc>
        <w:tc>
          <w:tcPr>
            <w:tcW w:w="703" w:type="dxa"/>
          </w:tcPr>
          <w:p w14:paraId="2978A8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348</w:t>
            </w:r>
          </w:p>
        </w:tc>
        <w:tc>
          <w:tcPr>
            <w:tcW w:w="703" w:type="dxa"/>
          </w:tcPr>
          <w:p w14:paraId="14E8CE00"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233965D"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501C48BF"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681FB4D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36A1DD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C4623D1" w14:textId="77777777">
        <w:trPr>
          <w:gridAfter w:val="1"/>
          <w:wAfter w:w="6" w:type="dxa"/>
        </w:trPr>
        <w:tc>
          <w:tcPr>
            <w:tcW w:w="534" w:type="dxa"/>
          </w:tcPr>
          <w:p w14:paraId="0FA8C6DC"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58E1AFBA"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651F492F"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7C478F60"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605447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прочего оборудования</w:t>
            </w:r>
          </w:p>
        </w:tc>
        <w:tc>
          <w:tcPr>
            <w:tcW w:w="703" w:type="dxa"/>
          </w:tcPr>
          <w:p w14:paraId="1C3549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747</w:t>
            </w:r>
          </w:p>
        </w:tc>
        <w:tc>
          <w:tcPr>
            <w:tcW w:w="703" w:type="dxa"/>
          </w:tcPr>
          <w:p w14:paraId="4341824C"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3306504"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32A02844"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5357C10"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2FE556F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F17235D" w14:textId="77777777">
        <w:trPr>
          <w:gridAfter w:val="1"/>
          <w:wAfter w:w="6" w:type="dxa"/>
        </w:trPr>
        <w:tc>
          <w:tcPr>
            <w:tcW w:w="534" w:type="dxa"/>
          </w:tcPr>
          <w:p w14:paraId="79D8B37B"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096A7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Передано другим наркоматам</w:t>
            </w:r>
          </w:p>
        </w:tc>
        <w:tc>
          <w:tcPr>
            <w:tcW w:w="979" w:type="dxa"/>
          </w:tcPr>
          <w:p w14:paraId="55364BD4"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1F07F95B"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0FF5DC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станков</w:t>
            </w:r>
          </w:p>
        </w:tc>
        <w:tc>
          <w:tcPr>
            <w:tcW w:w="703" w:type="dxa"/>
          </w:tcPr>
          <w:p w14:paraId="66233A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2204</w:t>
            </w:r>
          </w:p>
        </w:tc>
        <w:tc>
          <w:tcPr>
            <w:tcW w:w="703" w:type="dxa"/>
          </w:tcPr>
          <w:p w14:paraId="708FA34A"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1784BE9"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F05179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5165DB0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B91AFE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D2C5F8E" w14:textId="77777777">
        <w:trPr>
          <w:gridAfter w:val="1"/>
          <w:wAfter w:w="6" w:type="dxa"/>
        </w:trPr>
        <w:tc>
          <w:tcPr>
            <w:tcW w:w="534" w:type="dxa"/>
          </w:tcPr>
          <w:p w14:paraId="25B481D3"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18E549BB"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F4A48C0"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4FD5C1F8"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567F2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прессов</w:t>
            </w:r>
          </w:p>
        </w:tc>
        <w:tc>
          <w:tcPr>
            <w:tcW w:w="703" w:type="dxa"/>
          </w:tcPr>
          <w:p w14:paraId="6710B7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703" w:type="dxa"/>
          </w:tcPr>
          <w:p w14:paraId="07619A58"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466AE94D"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0E8505D1"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203CEA69"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5BF97C8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F8E981C" w14:textId="77777777">
        <w:trPr>
          <w:gridAfter w:val="1"/>
          <w:wAfter w:w="6" w:type="dxa"/>
        </w:trPr>
        <w:tc>
          <w:tcPr>
            <w:tcW w:w="534" w:type="dxa"/>
          </w:tcPr>
          <w:p w14:paraId="7A5A89BF"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7E63694E"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46CBDE88"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1624D15D"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1D809A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прочего оборудования</w:t>
            </w:r>
          </w:p>
        </w:tc>
        <w:tc>
          <w:tcPr>
            <w:tcW w:w="703" w:type="dxa"/>
          </w:tcPr>
          <w:p w14:paraId="69C63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c>
          <w:tcPr>
            <w:tcW w:w="703" w:type="dxa"/>
          </w:tcPr>
          <w:p w14:paraId="74996ED7"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3D3E31E8" w14:textId="77777777" w:rsidR="00665165" w:rsidRPr="00F90EAE" w:rsidRDefault="00665165" w:rsidP="00F90EAE">
            <w:pPr>
              <w:autoSpaceDE w:val="0"/>
              <w:autoSpaceDN w:val="0"/>
              <w:adjustRightInd w:val="0"/>
              <w:jc w:val="both"/>
              <w:rPr>
                <w:color w:val="000000" w:themeColor="text1"/>
                <w:sz w:val="16"/>
                <w:szCs w:val="16"/>
              </w:rPr>
            </w:pPr>
          </w:p>
        </w:tc>
        <w:tc>
          <w:tcPr>
            <w:tcW w:w="703" w:type="dxa"/>
            <w:gridSpan w:val="2"/>
          </w:tcPr>
          <w:p w14:paraId="160D583E" w14:textId="77777777" w:rsidR="00665165" w:rsidRPr="00F90EAE" w:rsidRDefault="00665165" w:rsidP="00F90EAE">
            <w:pPr>
              <w:autoSpaceDE w:val="0"/>
              <w:autoSpaceDN w:val="0"/>
              <w:adjustRightInd w:val="0"/>
              <w:jc w:val="both"/>
              <w:rPr>
                <w:color w:val="000000" w:themeColor="text1"/>
                <w:sz w:val="16"/>
                <w:szCs w:val="16"/>
              </w:rPr>
            </w:pPr>
          </w:p>
        </w:tc>
        <w:tc>
          <w:tcPr>
            <w:tcW w:w="703" w:type="dxa"/>
          </w:tcPr>
          <w:p w14:paraId="18FEF687"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08444EC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2C7019B" w14:textId="77777777">
        <w:trPr>
          <w:gridAfter w:val="1"/>
          <w:wAfter w:w="6" w:type="dxa"/>
        </w:trPr>
        <w:tc>
          <w:tcPr>
            <w:tcW w:w="534" w:type="dxa"/>
          </w:tcPr>
          <w:p w14:paraId="5C6E3B05"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0BDB0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по НКАП</w:t>
            </w:r>
          </w:p>
        </w:tc>
        <w:tc>
          <w:tcPr>
            <w:tcW w:w="979" w:type="dxa"/>
          </w:tcPr>
          <w:p w14:paraId="6CD98759"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702A4F53"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223215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станков</w:t>
            </w:r>
          </w:p>
        </w:tc>
        <w:tc>
          <w:tcPr>
            <w:tcW w:w="703" w:type="dxa"/>
          </w:tcPr>
          <w:p w14:paraId="767DC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6984</w:t>
            </w:r>
          </w:p>
        </w:tc>
        <w:tc>
          <w:tcPr>
            <w:tcW w:w="703" w:type="dxa"/>
          </w:tcPr>
          <w:p w14:paraId="51B1E9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5350</w:t>
            </w:r>
          </w:p>
        </w:tc>
        <w:tc>
          <w:tcPr>
            <w:tcW w:w="703" w:type="dxa"/>
          </w:tcPr>
          <w:p w14:paraId="316609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4287</w:t>
            </w:r>
          </w:p>
        </w:tc>
        <w:tc>
          <w:tcPr>
            <w:tcW w:w="703" w:type="dxa"/>
            <w:gridSpan w:val="2"/>
          </w:tcPr>
          <w:p w14:paraId="32976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2173</w:t>
            </w:r>
          </w:p>
        </w:tc>
        <w:tc>
          <w:tcPr>
            <w:tcW w:w="703" w:type="dxa"/>
          </w:tcPr>
          <w:p w14:paraId="75DE24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1437</w:t>
            </w:r>
          </w:p>
        </w:tc>
        <w:tc>
          <w:tcPr>
            <w:tcW w:w="2907" w:type="dxa"/>
            <w:gridSpan w:val="2"/>
          </w:tcPr>
          <w:p w14:paraId="662133A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0A3AB30" w14:textId="77777777">
        <w:trPr>
          <w:gridAfter w:val="1"/>
          <w:wAfter w:w="6" w:type="dxa"/>
        </w:trPr>
        <w:tc>
          <w:tcPr>
            <w:tcW w:w="534" w:type="dxa"/>
          </w:tcPr>
          <w:p w14:paraId="479567C8"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Pr>
          <w:p w14:paraId="49BB40A4"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Pr>
          <w:p w14:paraId="2FABBD61"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Pr>
          <w:p w14:paraId="6A8CF7F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Pr>
          <w:p w14:paraId="3D12CF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прессов</w:t>
            </w:r>
          </w:p>
        </w:tc>
        <w:tc>
          <w:tcPr>
            <w:tcW w:w="703" w:type="dxa"/>
          </w:tcPr>
          <w:p w14:paraId="15B2F1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348</w:t>
            </w:r>
          </w:p>
        </w:tc>
        <w:tc>
          <w:tcPr>
            <w:tcW w:w="703" w:type="dxa"/>
          </w:tcPr>
          <w:p w14:paraId="0CF62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703" w:type="dxa"/>
          </w:tcPr>
          <w:p w14:paraId="5975C0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269</w:t>
            </w:r>
          </w:p>
        </w:tc>
        <w:tc>
          <w:tcPr>
            <w:tcW w:w="703" w:type="dxa"/>
            <w:gridSpan w:val="2"/>
          </w:tcPr>
          <w:p w14:paraId="1558C8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253</w:t>
            </w:r>
          </w:p>
        </w:tc>
        <w:tc>
          <w:tcPr>
            <w:tcW w:w="703" w:type="dxa"/>
          </w:tcPr>
          <w:p w14:paraId="0A144CCF"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Pr>
          <w:p w14:paraId="47D34FA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DB1C1BF" w14:textId="77777777">
        <w:trPr>
          <w:gridAfter w:val="1"/>
          <w:wAfter w:w="6" w:type="dxa"/>
        </w:trPr>
        <w:tc>
          <w:tcPr>
            <w:tcW w:w="534" w:type="dxa"/>
            <w:tcBorders>
              <w:bottom w:val="single" w:sz="12" w:space="0" w:color="auto"/>
            </w:tcBorders>
          </w:tcPr>
          <w:p w14:paraId="71EB0B07" w14:textId="77777777" w:rsidR="00665165" w:rsidRPr="00F90EAE" w:rsidRDefault="00665165" w:rsidP="00F90EAE">
            <w:pPr>
              <w:autoSpaceDE w:val="0"/>
              <w:autoSpaceDN w:val="0"/>
              <w:adjustRightInd w:val="0"/>
              <w:jc w:val="both"/>
              <w:rPr>
                <w:color w:val="000000" w:themeColor="text1"/>
                <w:sz w:val="16"/>
                <w:szCs w:val="16"/>
              </w:rPr>
            </w:pPr>
          </w:p>
        </w:tc>
        <w:tc>
          <w:tcPr>
            <w:tcW w:w="1119" w:type="dxa"/>
            <w:tcBorders>
              <w:bottom w:val="single" w:sz="12" w:space="0" w:color="auto"/>
            </w:tcBorders>
          </w:tcPr>
          <w:p w14:paraId="61130D64" w14:textId="77777777" w:rsidR="00665165" w:rsidRPr="00F90EAE" w:rsidRDefault="00665165" w:rsidP="00F90EAE">
            <w:pPr>
              <w:autoSpaceDE w:val="0"/>
              <w:autoSpaceDN w:val="0"/>
              <w:adjustRightInd w:val="0"/>
              <w:jc w:val="both"/>
              <w:rPr>
                <w:color w:val="000000" w:themeColor="text1"/>
                <w:sz w:val="16"/>
                <w:szCs w:val="16"/>
              </w:rPr>
            </w:pPr>
          </w:p>
        </w:tc>
        <w:tc>
          <w:tcPr>
            <w:tcW w:w="979" w:type="dxa"/>
            <w:tcBorders>
              <w:bottom w:val="single" w:sz="12" w:space="0" w:color="auto"/>
            </w:tcBorders>
          </w:tcPr>
          <w:p w14:paraId="32F5AD4A" w14:textId="77777777" w:rsidR="00665165" w:rsidRPr="00F90EAE" w:rsidRDefault="00665165" w:rsidP="00F90EAE">
            <w:pPr>
              <w:autoSpaceDE w:val="0"/>
              <w:autoSpaceDN w:val="0"/>
              <w:adjustRightInd w:val="0"/>
              <w:jc w:val="both"/>
              <w:rPr>
                <w:color w:val="000000" w:themeColor="text1"/>
                <w:sz w:val="16"/>
                <w:szCs w:val="16"/>
              </w:rPr>
            </w:pPr>
          </w:p>
        </w:tc>
        <w:tc>
          <w:tcPr>
            <w:tcW w:w="754" w:type="dxa"/>
            <w:tcBorders>
              <w:bottom w:val="single" w:sz="12" w:space="0" w:color="auto"/>
            </w:tcBorders>
          </w:tcPr>
          <w:p w14:paraId="1605C24F" w14:textId="77777777" w:rsidR="00665165" w:rsidRPr="00F90EAE" w:rsidRDefault="00665165" w:rsidP="00F90EAE">
            <w:pPr>
              <w:autoSpaceDE w:val="0"/>
              <w:autoSpaceDN w:val="0"/>
              <w:adjustRightInd w:val="0"/>
              <w:jc w:val="both"/>
              <w:rPr>
                <w:color w:val="000000" w:themeColor="text1"/>
                <w:sz w:val="16"/>
                <w:szCs w:val="16"/>
              </w:rPr>
            </w:pPr>
          </w:p>
        </w:tc>
        <w:tc>
          <w:tcPr>
            <w:tcW w:w="1205" w:type="dxa"/>
            <w:tcBorders>
              <w:bottom w:val="single" w:sz="12" w:space="0" w:color="auto"/>
            </w:tcBorders>
          </w:tcPr>
          <w:p w14:paraId="75FBF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прочего оборудования</w:t>
            </w:r>
          </w:p>
        </w:tc>
        <w:tc>
          <w:tcPr>
            <w:tcW w:w="703" w:type="dxa"/>
            <w:tcBorders>
              <w:bottom w:val="single" w:sz="12" w:space="0" w:color="auto"/>
            </w:tcBorders>
          </w:tcPr>
          <w:p w14:paraId="5F1990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567</w:t>
            </w:r>
          </w:p>
        </w:tc>
        <w:tc>
          <w:tcPr>
            <w:tcW w:w="703" w:type="dxa"/>
            <w:tcBorders>
              <w:bottom w:val="single" w:sz="12" w:space="0" w:color="auto"/>
            </w:tcBorders>
          </w:tcPr>
          <w:p w14:paraId="72DAB0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703" w:type="dxa"/>
            <w:tcBorders>
              <w:bottom w:val="single" w:sz="12" w:space="0" w:color="auto"/>
            </w:tcBorders>
          </w:tcPr>
          <w:p w14:paraId="4AA9E3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03" w:type="dxa"/>
            <w:gridSpan w:val="2"/>
            <w:tcBorders>
              <w:bottom w:val="single" w:sz="12" w:space="0" w:color="auto"/>
            </w:tcBorders>
          </w:tcPr>
          <w:p w14:paraId="729A85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03" w:type="dxa"/>
            <w:tcBorders>
              <w:bottom w:val="single" w:sz="12" w:space="0" w:color="auto"/>
            </w:tcBorders>
          </w:tcPr>
          <w:p w14:paraId="2CFF1C2B" w14:textId="77777777" w:rsidR="00665165" w:rsidRPr="00F90EAE" w:rsidRDefault="00665165" w:rsidP="00F90EAE">
            <w:pPr>
              <w:autoSpaceDE w:val="0"/>
              <w:autoSpaceDN w:val="0"/>
              <w:adjustRightInd w:val="0"/>
              <w:jc w:val="both"/>
              <w:rPr>
                <w:color w:val="000000" w:themeColor="text1"/>
                <w:sz w:val="16"/>
                <w:szCs w:val="16"/>
              </w:rPr>
            </w:pPr>
          </w:p>
        </w:tc>
        <w:tc>
          <w:tcPr>
            <w:tcW w:w="2907" w:type="dxa"/>
            <w:gridSpan w:val="2"/>
            <w:tcBorders>
              <w:bottom w:val="single" w:sz="12" w:space="0" w:color="auto"/>
            </w:tcBorders>
          </w:tcPr>
          <w:p w14:paraId="51E873DD" w14:textId="77777777" w:rsidR="00665165" w:rsidRPr="00F90EAE" w:rsidRDefault="00665165" w:rsidP="00F90EAE">
            <w:pPr>
              <w:autoSpaceDE w:val="0"/>
              <w:autoSpaceDN w:val="0"/>
              <w:adjustRightInd w:val="0"/>
              <w:jc w:val="both"/>
              <w:rPr>
                <w:color w:val="000000" w:themeColor="text1"/>
                <w:sz w:val="16"/>
                <w:szCs w:val="16"/>
              </w:rPr>
            </w:pPr>
          </w:p>
        </w:tc>
      </w:tr>
    </w:tbl>
    <w:p w14:paraId="07629B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(1874,12).</w:t>
      </w:r>
    </w:p>
    <w:p w14:paraId="6CFEB72B" w14:textId="77777777" w:rsidR="00665165" w:rsidRPr="00F90EAE" w:rsidRDefault="00665165" w:rsidP="00F90EAE">
      <w:pPr>
        <w:autoSpaceDE w:val="0"/>
        <w:autoSpaceDN w:val="0"/>
        <w:adjustRightInd w:val="0"/>
        <w:jc w:val="both"/>
        <w:rPr>
          <w:color w:val="000000" w:themeColor="text1"/>
          <w:sz w:val="16"/>
          <w:szCs w:val="16"/>
        </w:rPr>
      </w:pPr>
    </w:p>
    <w:p w14:paraId="02C5EE5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E54A9CF" w14:textId="77777777" w:rsidR="00665165" w:rsidRPr="00F90EAE" w:rsidRDefault="00665165" w:rsidP="00F90EAE">
      <w:pPr>
        <w:autoSpaceDE w:val="0"/>
        <w:autoSpaceDN w:val="0"/>
        <w:adjustRightInd w:val="0"/>
        <w:jc w:val="both"/>
        <w:rPr>
          <w:iCs/>
          <w:color w:val="000000" w:themeColor="text1"/>
          <w:sz w:val="16"/>
          <w:szCs w:val="16"/>
        </w:rPr>
      </w:pPr>
    </w:p>
    <w:p w14:paraId="11036B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года 85-мм противотанковая пушка ЗИС-Д-44 поступила на Гороховецкий полигон. 85-мм противотанковая и дивизионная пушка Д-44 была спроектирована в КБ завода № 9 ("Уралмаш"). Однако опытный образец пушки был изготовлен на заводе № 92 (им. Сталина) и получил сложный индекс ЗИС-Д-44. После испытаний система была доработана на заводе № 9 (3861).</w:t>
      </w:r>
    </w:p>
    <w:p w14:paraId="4B3578BF" w14:textId="77777777" w:rsidR="00665165" w:rsidRPr="00F90EAE" w:rsidRDefault="00665165" w:rsidP="00F90EAE">
      <w:pPr>
        <w:autoSpaceDE w:val="0"/>
        <w:autoSpaceDN w:val="0"/>
        <w:adjustRightInd w:val="0"/>
        <w:jc w:val="both"/>
        <w:rPr>
          <w:color w:val="000000" w:themeColor="text1"/>
          <w:sz w:val="16"/>
          <w:szCs w:val="16"/>
        </w:rPr>
      </w:pPr>
    </w:p>
    <w:p w14:paraId="5D6607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года 85-мм дивизионная пушка ЗИС-Д-44, которая была спроектирована в КБ завода № 9 ("Уралмаш") и т.к. однако опытный образец пушки был изготовлен на заводе № 92 (им. Сталина), получила сложный индекс, поступила на Гороховецкий полигон, где 10 мая начались стрельбы. На испытаниях скорострельность пушки оказалась: с исправлением наводки при угле +20 15 выстр/мин; при угле 0 1113 выстр/мин; а максимальная скорострельность без исправления наводки 20-22 выстр/мин. Испытания обкаткой проводились за автомобилем "Студебеккер", а по бездорожью за трактором "Я-12". Всего с 19 по 25 мая пройдено 1512 км. Из них по булыжной мостовой 810 км со средней скоростью 25,7 км/час, а максимальной 33 км/час. По проселочной дороге 426 км со средней скоростью 21,9 км/час и максимальной 40 км/час. По асфальтовому шоссе 220 км со средней скоростью 41,2 км/час, максимальной 55 км/час. По бездорожью и пересеченной местности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w:t>
      </w:r>
    </w:p>
    <w:p w14:paraId="2E42A0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Ствол серийной пушки Д-44 состоял из трубы-моноблока, казенника, муфты, дульного тормоза и обоймы.</w:t>
      </w:r>
    </w:p>
    <w:p w14:paraId="4D075D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Дульный тормоз активного типа.</w:t>
      </w:r>
    </w:p>
    <w:p w14:paraId="2E9317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Затвор вертикальный клиновой с полуавтоматикой механического (копирного) типа.</w:t>
      </w:r>
    </w:p>
    <w:p w14:paraId="5C0BDD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Тормоз отката гидравлический. Противооткатные устройства помещены в обойме под стволом, при выстреле они откатывались вместе со стволом.</w:t>
      </w:r>
    </w:p>
    <w:p w14:paraId="4E314E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Люлька представляла собой литую цилиндрическую обойму.</w:t>
      </w:r>
    </w:p>
    <w:p w14:paraId="54A083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Подъемный механизм имел один сектор. Поворотный механизм винтового типа.</w:t>
      </w:r>
    </w:p>
    <w:p w14:paraId="2CD9B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Уравновешивающий механизм толкающего типа, с гидравлическим запором воздуха, он состоял из одной колонки, расположенной слева от ствола.</w:t>
      </w:r>
    </w:p>
    <w:p w14:paraId="36D88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Подрессоривание пушки торсионное.</w:t>
      </w:r>
    </w:p>
    <w:p w14:paraId="2C22B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Боевая ось состояла из двух полуосей. Обе полуоси прямые.</w:t>
      </w:r>
    </w:p>
    <w:p w14:paraId="4BD141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Колеса от автомобиля ГАЗ-АА, усиленные с шиной ГК.</w:t>
      </w:r>
    </w:p>
    <w:p w14:paraId="35D7E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Прицельные приспособления: прицел С71-7 (первоначально был панорамный прицел), оптические прицелы ОП1-7, ОП2-7, ОП4-7, ОП4М-7. Кроме того, могут применяться ночные прицелы: АПН-2 или АПН3-7.</w:t>
      </w:r>
    </w:p>
    <w:p w14:paraId="36D6AA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Серийное производство Д-44 велось на заводе № 9.</w:t>
      </w:r>
    </w:p>
    <w:p w14:paraId="64477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1948 года в КБ завода № 9 разработан проект 85-мм самодвижущейся пушки СД-44 и 1.01.1949 г. этот проект был выслан в Министерство вооружений. Проект был одобрен, и в 1949 году завод № 9 приступил к изготовлению опытного образца, который был закончен в I квартале 1950 года. После заводских и полигонных испытаний пушка СД-44 была доработана. В 1954 году три пушки СД-44 прошли войсковые испытания. Постановлением СМ № 2329-1105 от 19.11.1954 г. пушка СД-44 была принята на вооружение.</w:t>
      </w:r>
    </w:p>
    <w:p w14:paraId="244AEF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1954 году завод № 9 переделал 88 пушек Д-44 в самодвижущиеся пушки СД-44, а в 1955 году еще 250.</w:t>
      </w:r>
    </w:p>
    <w:p w14:paraId="69C7D4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1957 году завод № 9 изготовил новых 109 пушек СД-44 и 150 СД-44Н (с ночным прицелом), а также переделал 100 пушек из Д-44 в СД-44.</w:t>
      </w:r>
    </w:p>
    <w:p w14:paraId="322FB2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Ствол и лафет СД-44 были взяты от Д-44 с небольшими изменениями. Баллистика и боеприпасы полностью совпадали с Д-44.</w:t>
      </w:r>
    </w:p>
    <w:p w14:paraId="6ADFB2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одну из станин пушки был установлен двигатель от мотоцикла типа</w:t>
      </w:r>
    </w:p>
    <w:p w14:paraId="22C985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М-72 мощностью 14 л.с. (4000 об/мин.) с обеспечением передачи через карданный вал, дифференциал, полуоси на оба колеса орудия.</w:t>
      </w:r>
    </w:p>
    <w:p w14:paraId="280ACE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СД-44 имела самовытаскиватель (барабан на колесах, трос на щите).</w:t>
      </w:r>
    </w:p>
    <w:p w14:paraId="419A6F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Колеса ведущие: 6,50 20, от автомобиля ГАЗ-АА, усиленные, с шиной ГК.</w:t>
      </w:r>
    </w:p>
    <w:p w14:paraId="5CA2BC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1947 года в КБ завода № 9 была спроектирована 85-мм дивизионная пушка "большой мощности" ЗИС-Д-44А. Пушка была получена наложением нового ствола с улучшенной баллистикой (вес снаряда 9,2 кг, начальная скорость 950 м/с) на лафет пушки ЗИС-Д-44. Опытный образец пушки ЗИС-Д-44А был закончен заводом № 9 26 апреля 1948 года. Пушка была испытана, но на вооружение не поступила.</w:t>
      </w:r>
    </w:p>
    <w:p w14:paraId="6A2693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1947 году в КБ завода № 9 была спроектирована 100-мм дивизионная "облегченная" пушка Д-47. Пушка была получена наложением нового 100-мм ствола на лафет пушки ЗИС-Д-44. Вес ее в боевом положении составлял около 2 тонн, вес снаряда 15,6 кг, начальная скорость 730 м/с. Опытный образец Д-47 был закончен заводом № 9 в декабре 1947 года. Пушка прошла заводские испытания, но на вооружение принята не была (3861).</w:t>
      </w:r>
    </w:p>
    <w:p w14:paraId="6506D17A" w14:textId="77777777" w:rsidR="00665165" w:rsidRPr="00F90EAE" w:rsidRDefault="00665165" w:rsidP="00F90EAE">
      <w:pPr>
        <w:autoSpaceDE w:val="0"/>
        <w:autoSpaceDN w:val="0"/>
        <w:adjustRightInd w:val="0"/>
        <w:jc w:val="both"/>
        <w:rPr>
          <w:color w:val="000000" w:themeColor="text1"/>
          <w:sz w:val="16"/>
          <w:szCs w:val="16"/>
        </w:rPr>
      </w:pPr>
    </w:p>
    <w:p w14:paraId="519F2D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года в соответствии с распоряжения СМ за № 6006 ср и 21 июля 1945 года в соответствии с приказом НКБ за № 269 завод № 52 начал восстанавливаться.</w:t>
      </w:r>
    </w:p>
    <w:p w14:paraId="629BD5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Восстановительные работы начались с 1947 года и в 1950 году был пущен в эксплуатацию цех огнепроводного шнура. Завод находится в стадии строительства.</w:t>
      </w:r>
    </w:p>
    <w:p w14:paraId="0F586B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Адрес: пос. Тосно Ленинградской области, п/я 4</w:t>
      </w:r>
    </w:p>
    <w:p w14:paraId="4E0DD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завода – Мартынов (10024).</w:t>
      </w:r>
    </w:p>
    <w:p w14:paraId="031C37E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C986D4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8451 О вывозе сахалинского угля в навигацию 1945 г. (7338, 6-9,10-15).</w:t>
      </w:r>
    </w:p>
    <w:p w14:paraId="2EA4518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0D76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8452 Об использовании целлюлозно-бумажных предприятий в г. г. Тильзит, Кенигсберг, Клайпеда, Рагнит и Велау. РГАНИР, Фонд ГКО, д. 414, лл. 16-22 (11012).</w:t>
      </w:r>
    </w:p>
    <w:p w14:paraId="11D1FDE8" w14:textId="77777777" w:rsidR="00665165" w:rsidRPr="00F90EAE" w:rsidRDefault="00665165" w:rsidP="00F90EAE">
      <w:pPr>
        <w:autoSpaceDE w:val="0"/>
        <w:autoSpaceDN w:val="0"/>
        <w:adjustRightInd w:val="0"/>
        <w:jc w:val="both"/>
        <w:rPr>
          <w:color w:val="000000" w:themeColor="text1"/>
          <w:sz w:val="16"/>
          <w:szCs w:val="16"/>
        </w:rPr>
      </w:pPr>
    </w:p>
    <w:p w14:paraId="40065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8453 Об обеспечении буровых работ Наркомата нефтяной промышленности буровым оборудованием и рабочей силой. РГАНИР, Фонд ГКО, д. 414, лл. 23-46, 47-54 (11012).</w:t>
      </w:r>
    </w:p>
    <w:p w14:paraId="4F47C952" w14:textId="77777777" w:rsidR="00665165" w:rsidRPr="00F90EAE" w:rsidRDefault="00665165" w:rsidP="00F90EAE">
      <w:pPr>
        <w:autoSpaceDE w:val="0"/>
        <w:autoSpaceDN w:val="0"/>
        <w:adjustRightInd w:val="0"/>
        <w:jc w:val="both"/>
        <w:rPr>
          <w:color w:val="000000" w:themeColor="text1"/>
          <w:sz w:val="16"/>
          <w:szCs w:val="16"/>
        </w:rPr>
      </w:pPr>
    </w:p>
    <w:p w14:paraId="100333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8454 О проектировании и изготовлении опытных образцов радиолокаторов "Юпитер-III" и электрического ПУАЗО в НИИ-10 Наркомсудпрома. РГАНИР, Фонд ГКО, д. 414, лл. 55-58, 59-60 (11012).</w:t>
      </w:r>
    </w:p>
    <w:p w14:paraId="65DE2747" w14:textId="77777777" w:rsidR="00665165" w:rsidRPr="00F90EAE" w:rsidRDefault="00665165" w:rsidP="00F90EAE">
      <w:pPr>
        <w:autoSpaceDE w:val="0"/>
        <w:autoSpaceDN w:val="0"/>
        <w:adjustRightInd w:val="0"/>
        <w:jc w:val="both"/>
        <w:rPr>
          <w:color w:val="000000" w:themeColor="text1"/>
          <w:sz w:val="16"/>
          <w:szCs w:val="16"/>
        </w:rPr>
      </w:pPr>
    </w:p>
    <w:p w14:paraId="1695B453"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rPr>
        <w:t>К 8 мая 1945 г.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 По договоренности с союзниками СССР получил следующие германские подводные лодки.</w:t>
      </w:r>
    </w:p>
    <w:p w14:paraId="08338C5A"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lang w:val="pl-PL"/>
        </w:rPr>
        <w:t xml:space="preserve">XXI </w:t>
      </w:r>
      <w:r w:rsidRPr="00F90EAE">
        <w:rPr>
          <w:color w:val="000000" w:themeColor="text1"/>
          <w:sz w:val="16"/>
          <w:szCs w:val="16"/>
        </w:rPr>
        <w:t>серии</w:t>
      </w:r>
      <w:r w:rsidRPr="00F90EAE">
        <w:rPr>
          <w:color w:val="000000" w:themeColor="text1"/>
          <w:sz w:val="16"/>
          <w:szCs w:val="16"/>
          <w:lang w:val="pl-PL"/>
        </w:rPr>
        <w:t xml:space="preserve">: U-3515, U-2529, U-3035, U-3041. </w:t>
      </w:r>
      <w:r w:rsidRPr="00F90EAE">
        <w:rPr>
          <w:color w:val="000000" w:themeColor="text1"/>
          <w:sz w:val="16"/>
          <w:szCs w:val="16"/>
        </w:rPr>
        <w:t>У нас эти лодки в 1946 г. получили номера: Н-27, Н-28, Н-29, Н-30 (Н — немецкая), а 9 июня 1949 г. их переименовали в Б-27, Б-28, Б-29 и Б-30. Эти лодки находились в боевом составе Балтийского флота почти 10 лет и во второй половине 1955 г. были разоружены и переведены в разряд учебно-тренировочных судов и зарядных станций. Самой долгой оказалась жизнь у U-3515, которую исключили из состава ВМФ СССР только 1 сентября 1972 г. и в 1973 г. сдали на лом. (Сх. 2)</w:t>
      </w:r>
    </w:p>
    <w:p w14:paraId="3C9C1503"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rPr>
        <w:t>VII серии: союзники передали нам 4 лодки — U-1057, U-1058, U-1064 и U-1305. В СССР они получили номера Н-22, Н-23, Н-24 и Н-25, а с 9 июня 1949 г. — С-81, С-82, С-83 и С-84. После почти десятилетней службы в Балтийском флоте в конце 1955 г.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 Подводная лодка С-84 (U-1305) у берегов Новой Земли была потоплена торпедой с ядерной боевой частью, выпущенной подводной лодкой С-144 с расстояния 10 км. С-84 находилась в крейсерском положении в 250 м от эпицентра взрыва.</w:t>
      </w:r>
    </w:p>
    <w:p w14:paraId="4ADEF665"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rPr>
        <w:t>IX серия: союзники передали только одну подводную лодку U-1231. У нас ее назвали Н-26, а с 9 июня 1949 г. — Б-26. 17 августа 1953 г. ее разоружили и переоборудовали в «кабинет боевой подготовки», а с 27 декабря 1956 г. — в учебно-тренировочное судно. Исключили Б-26 из состава ВМФ 13 января 1968 г.</w:t>
      </w:r>
    </w:p>
    <w:p w14:paraId="669F6684" w14:textId="77777777" w:rsidR="009E360D" w:rsidRPr="00F90EAE" w:rsidRDefault="009E360D" w:rsidP="00F90EAE">
      <w:pPr>
        <w:pStyle w:val="book"/>
        <w:ind w:firstLine="0"/>
        <w:jc w:val="both"/>
        <w:rPr>
          <w:color w:val="000000" w:themeColor="text1"/>
          <w:sz w:val="16"/>
          <w:szCs w:val="16"/>
        </w:rPr>
      </w:pPr>
      <w:r w:rsidRPr="00F90EAE">
        <w:rPr>
          <w:color w:val="000000" w:themeColor="text1"/>
          <w:sz w:val="16"/>
          <w:szCs w:val="16"/>
        </w:rPr>
        <w:t>Малые электролодки XXIII серии немцы строили в Гамбурге и Киле, захваченными союзниками. И лишь</w:t>
      </w:r>
    </w:p>
    <w:p w14:paraId="0C2CD064" w14:textId="77777777" w:rsidR="009E360D" w:rsidRPr="00F90EAE" w:rsidRDefault="009E360D" w:rsidP="00F90EAE">
      <w:pPr>
        <w:pStyle w:val="book"/>
        <w:ind w:firstLine="0"/>
        <w:jc w:val="both"/>
        <w:rPr>
          <w:color w:val="000000" w:themeColor="text1"/>
          <w:sz w:val="16"/>
          <w:szCs w:val="16"/>
        </w:rPr>
      </w:pPr>
    </w:p>
    <w:p w14:paraId="2E43382A"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К 8 мая 1945 г. в кригсмарине оставалось около четырехсот боеспособных подводных лодок. Большинство экипажей предпочло затопить свои суда, и лишь 195 лодок попали в руки западных союзников. Англии и США германские подводные лодки нужны были лишь для испытаний, вводить их в состав своих флотов они и не собирались. Это было связано, с одной стороны, с большим числом своих лодок, как в строю, так и на стапелях, которых бы с избытком хватило для войны с единственным потенциальным противником в послевоенном мире — Советским Союзом. С другой стороны, союзники очень боялись введения германских лодок в строй нашего ВМФ. Поэтому Англия и США на переговорах с СССР о разделе германского флота настояли, чтобы большинство германских подводных лодок было потоплено, а страны-победительницы получили бы лишь по несколько лодок.</w:t>
      </w:r>
    </w:p>
    <w:p w14:paraId="63CE60B2"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По договоренности с союзниками СССР получил следующие германские подводные лодки. XXI серии: U-3515, U-2529, U-3035, U-3041. У нас эти лодки в 1946 г. получили номера: Н-27, Н-28, Н-29, Н-30 (Н — немецкая), а 9 июня 1949 г. их переименовали в Б-27, Б-28, Б-29 и Б-30. Эти лодки находились в боевом составе Балтийского флота почти 10 лет и во второй половине 1955 г. были разоружены и переведены в разряд учебно-тренировочных судов и зарядных станций.</w:t>
      </w:r>
    </w:p>
    <w:p w14:paraId="7F608AC4"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Самой долгой оказалась жизнь у U-3515, которую исключили из состава ВМФ СССР только 1 сентября 1972 г. и в 1973 г. сдали на лом.</w:t>
      </w:r>
    </w:p>
    <w:p w14:paraId="35B875F1"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VII серии: союзники передали нам 4 лодки — U-1057, U-1058, U-1064 и U-1305. В СССР они получили номера Н-22, Н-23, Н-24 и Н-25, а с 9 июня 1949 г — С-81, С-82, С-83 и С-84. После почти десятилетней службы в Балтийском флоте в конце 1955 г. лодки С-81, С-82 и С-83 разоружили и перевели в разряд учебно-тренировочных судов и плавучих зарядных станций. Лодка С-84 была переоборудована в опытовую подводную лодку и отправлена на Северный флот.</w:t>
      </w:r>
    </w:p>
    <w:p w14:paraId="00917865"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Подводная лодка С-84 (U-1305) у берегов Новой Земли была потоплена торпедой с ядерной боевой частью, выпущенной подводной лодкой С-144 с расстояния 10 км. С-84 находилась в крейсерском положении в 250 м от эпицентра взрыва.</w:t>
      </w:r>
    </w:p>
    <w:p w14:paraId="67C465FF" w14:textId="77777777" w:rsidR="00BB2377" w:rsidRPr="00F90EAE" w:rsidRDefault="00BB2377" w:rsidP="00F90EAE">
      <w:pPr>
        <w:pStyle w:val="p1"/>
        <w:spacing w:before="0" w:beforeAutospacing="0" w:after="0" w:afterAutospacing="0"/>
        <w:jc w:val="both"/>
        <w:rPr>
          <w:color w:val="000000" w:themeColor="text1"/>
          <w:sz w:val="16"/>
          <w:szCs w:val="16"/>
        </w:rPr>
      </w:pPr>
      <w:r w:rsidRPr="00F90EAE">
        <w:rPr>
          <w:color w:val="000000" w:themeColor="text1"/>
          <w:sz w:val="16"/>
          <w:szCs w:val="16"/>
        </w:rPr>
        <w:t>IX серия: союзники передали только одну подводную лодку U-1231. У нас ее назвали Н-26, а с 9 июня 1949 г. — Б-26. 17 августа 1953 г. ее разоружили и переоборудовали в «кабинет боевой подготовки», а с 27 декабря 1956 г. — в учебно-тренировочное судно. Исключили Б-26 из состава ВМФ 13 января 1968 г. (19682)</w:t>
      </w:r>
    </w:p>
    <w:p w14:paraId="7489E763" w14:textId="77777777" w:rsidR="00BB2377" w:rsidRPr="00F90EAE" w:rsidRDefault="00BB2377" w:rsidP="00F90EAE">
      <w:pPr>
        <w:jc w:val="both"/>
        <w:rPr>
          <w:color w:val="000000" w:themeColor="text1"/>
          <w:sz w:val="16"/>
          <w:szCs w:val="16"/>
        </w:rPr>
      </w:pPr>
    </w:p>
    <w:p w14:paraId="697EC10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EBFA0A0" w14:textId="77777777" w:rsidR="00665165" w:rsidRPr="00F90EAE" w:rsidRDefault="00665165" w:rsidP="00F90EAE">
      <w:pPr>
        <w:autoSpaceDE w:val="0"/>
        <w:autoSpaceDN w:val="0"/>
        <w:adjustRightInd w:val="0"/>
        <w:jc w:val="both"/>
        <w:rPr>
          <w:iCs/>
          <w:color w:val="000000" w:themeColor="text1"/>
          <w:sz w:val="16"/>
          <w:szCs w:val="16"/>
        </w:rPr>
      </w:pPr>
    </w:p>
    <w:p w14:paraId="588202B9" w14:textId="77777777" w:rsidR="009E360D" w:rsidRPr="00F90EAE" w:rsidRDefault="009E360D" w:rsidP="00F90EAE">
      <w:pPr>
        <w:jc w:val="both"/>
        <w:rPr>
          <w:color w:val="000000" w:themeColor="text1"/>
          <w:sz w:val="16"/>
          <w:szCs w:val="16"/>
        </w:rPr>
      </w:pPr>
      <w:r w:rsidRPr="00F90EAE">
        <w:rPr>
          <w:color w:val="000000" w:themeColor="text1"/>
          <w:sz w:val="16"/>
          <w:szCs w:val="16"/>
        </w:rPr>
        <w:t>8 мая в 1945 году оперативная сводка Совинформбюро:</w:t>
      </w:r>
    </w:p>
    <w:p w14:paraId="0EAF62EE" w14:textId="77777777" w:rsidR="009E360D" w:rsidRPr="00F90EAE" w:rsidRDefault="009E360D" w:rsidP="00F90EAE">
      <w:pPr>
        <w:jc w:val="both"/>
        <w:rPr>
          <w:color w:val="000000" w:themeColor="text1"/>
          <w:sz w:val="16"/>
          <w:szCs w:val="16"/>
        </w:rPr>
      </w:pPr>
      <w:r w:rsidRPr="00F90EAE">
        <w:rPr>
          <w:color w:val="000000" w:themeColor="text1"/>
          <w:sz w:val="16"/>
          <w:szCs w:val="16"/>
        </w:rPr>
        <w:t>«В течение 8 мая войска 3-го Белорусского фронта, продолжая бои по очищению от противника косы Фриш-Нерунг, заняли населённые пункты Нойе Вельт и Фогельзанг.</w:t>
      </w:r>
    </w:p>
    <w:p w14:paraId="7972F144" w14:textId="77777777" w:rsidR="009E360D" w:rsidRPr="00F90EAE" w:rsidRDefault="009E360D" w:rsidP="00F90EAE">
      <w:pPr>
        <w:jc w:val="both"/>
        <w:rPr>
          <w:color w:val="000000" w:themeColor="text1"/>
          <w:sz w:val="16"/>
          <w:szCs w:val="16"/>
        </w:rPr>
      </w:pPr>
      <w:r w:rsidRPr="00F90EAE">
        <w:rPr>
          <w:color w:val="000000" w:themeColor="text1"/>
          <w:sz w:val="16"/>
          <w:szCs w:val="16"/>
        </w:rPr>
        <w:t>Войска 1-го Белорусского фронта за 7 мая, при выходе на реку Эльба, взяли в плен 7.150 немецких солдат и офицеров и захватили следующие трофеи: танков—28, полевых орудий — 513, пулемётов — 402, автомашин — 1.700, лошадей — 3.700, подвод с военными грузами — 2.200.</w:t>
      </w:r>
    </w:p>
    <w:p w14:paraId="499EAF5E" w14:textId="77777777" w:rsidR="009E360D" w:rsidRPr="00F90EAE" w:rsidRDefault="009E360D" w:rsidP="00F90EAE">
      <w:pPr>
        <w:jc w:val="both"/>
        <w:rPr>
          <w:color w:val="000000" w:themeColor="text1"/>
          <w:sz w:val="16"/>
          <w:szCs w:val="16"/>
        </w:rPr>
      </w:pPr>
      <w:r w:rsidRPr="00F90EAE">
        <w:rPr>
          <w:color w:val="000000" w:themeColor="text1"/>
          <w:sz w:val="16"/>
          <w:szCs w:val="16"/>
        </w:rPr>
        <w:t>Войска 1-го Украинского фронта после двухдневных боёв сломили сопротивление противника и 8 мая овладели городом Дрезден —важным узлом дорог и мощным опорным пунктом обороны немцев в Саксонии, а также заняли города Мюгельн, Ломмацш, Мейссен, Лайсниг, Дебельн, Харта, Вальдхайм, Росвайн, Носсен Вильсдруфф, Хайнихен, Франкенберг, Фрейберг, Гарандт, Одеран, Сайда и, перейдя чехословацкую границу южнее Дрездена, заняли на территории Чехословакии города Мост, Духцов, Теплице-Шанов. Одновременно восточнее Дрездена войска фронта, сломив сопротивление противника, заняли города Радеберг, Лобау, Райхенбах, Бернштадт, Герлиц. Юго-западнее и южнее Бреславля войска фронта заняли города Штригау, Фрейбург, Мюнстерберг, Оттмахау.</w:t>
      </w:r>
    </w:p>
    <w:p w14:paraId="67BA981D" w14:textId="77777777" w:rsidR="009E360D" w:rsidRPr="00F90EAE" w:rsidRDefault="009E360D" w:rsidP="00F90EAE">
      <w:pPr>
        <w:jc w:val="both"/>
        <w:rPr>
          <w:color w:val="000000" w:themeColor="text1"/>
          <w:sz w:val="16"/>
          <w:szCs w:val="16"/>
        </w:rPr>
      </w:pPr>
      <w:r w:rsidRPr="00F90EAE">
        <w:rPr>
          <w:color w:val="000000" w:themeColor="text1"/>
          <w:sz w:val="16"/>
          <w:szCs w:val="16"/>
        </w:rPr>
        <w:t>Войска 4-го Украинского фронта, продолжая наступление, после ожесточённых боёв 8 мая овладели городом и крупным железнодорожным узлом Оломоуц — важным опорным пунктом обороны немцев на реке Морава, а также заняли города Вюрбенталь, Энгельсберг, Ремерштадт, Бергштадт, Моравский Шенберг, Хоенштадт, Границе, Пржеров. В боях за 7 мая войска фронта взяли в плен до 1.000 немецких солдат и офицеров.</w:t>
      </w:r>
    </w:p>
    <w:p w14:paraId="7C6A911C" w14:textId="77777777" w:rsidR="009E360D" w:rsidRPr="00F90EAE" w:rsidRDefault="009E360D" w:rsidP="00F90EAE">
      <w:pPr>
        <w:jc w:val="both"/>
        <w:rPr>
          <w:color w:val="000000" w:themeColor="text1"/>
          <w:sz w:val="16"/>
          <w:szCs w:val="16"/>
        </w:rPr>
      </w:pPr>
      <w:r w:rsidRPr="00F90EAE">
        <w:rPr>
          <w:color w:val="000000" w:themeColor="text1"/>
          <w:sz w:val="16"/>
          <w:szCs w:val="16"/>
        </w:rPr>
        <w:t>Войска 2-го Украинского фронта 8 мая овладели в Чехословакии городами Яромержице, Зноймо и на территории Австрии городами Голлабрунн и Штоккерау — важными узлами коммуникаций и сильными опорными пунктами обороны немцев.</w:t>
      </w:r>
    </w:p>
    <w:p w14:paraId="1F4DD3B0" w14:textId="77777777" w:rsidR="009E360D" w:rsidRPr="00F90EAE" w:rsidRDefault="009E360D" w:rsidP="00F90EAE">
      <w:pPr>
        <w:jc w:val="both"/>
        <w:rPr>
          <w:color w:val="000000" w:themeColor="text1"/>
          <w:sz w:val="16"/>
          <w:szCs w:val="16"/>
        </w:rPr>
      </w:pPr>
      <w:r w:rsidRPr="00F90EAE">
        <w:rPr>
          <w:color w:val="000000" w:themeColor="text1"/>
          <w:sz w:val="16"/>
          <w:szCs w:val="16"/>
        </w:rPr>
        <w:t>На других участках фронта существенных изменений не было.</w:t>
      </w:r>
    </w:p>
    <w:p w14:paraId="07BECBCD" w14:textId="77777777" w:rsidR="009E360D" w:rsidRPr="00F90EAE" w:rsidRDefault="009E360D" w:rsidP="00F90EAE">
      <w:pPr>
        <w:jc w:val="both"/>
        <w:rPr>
          <w:color w:val="000000" w:themeColor="text1"/>
          <w:sz w:val="16"/>
          <w:szCs w:val="16"/>
        </w:rPr>
      </w:pPr>
      <w:r w:rsidRPr="00F90EAE">
        <w:rPr>
          <w:color w:val="000000" w:themeColor="text1"/>
          <w:sz w:val="16"/>
          <w:szCs w:val="16"/>
        </w:rPr>
        <w:t>Войска 1-го Украинского фронта сегодня овладели городом Дрезден. Два дня тому назад наши разведывательные отряды атаковали немцев северо-западнее Дрездена и выбили их из укрепленных позиций. Затем в бой вступили основные советские силы. Развивая стремительное наступление между реками Эльба и Мульде, наши подвижные соединения и пехота перерезали автостраду Дрезден – Хемниц. Одновременно наши войска начали штурм города Дрездена – мощного опорного пункта обороны немцев. Советские танкисты, наступающие с запада, во встречном бою разгромили группу танков противника и ворвались на западную окраину Дрездена. Другие наши части овладели северной частью города, с хода переправились через реку Эльбу и завязали бои в центре Дрездена. После двухдневных боев наши войска сломили сопротивление противника и овладели Дрезденом – главным городом Саксонии. В боях за Дрезден гитлеровцы нанесли тяжелые потери. Только на западных окраинах города уничтожено до двух тысяч немецких солдат и офицеров, подбито 27 танков и бронетранспортеров противника.</w:t>
      </w:r>
    </w:p>
    <w:p w14:paraId="3D9D282D" w14:textId="77777777" w:rsidR="009E360D" w:rsidRPr="00F90EAE" w:rsidRDefault="009E360D" w:rsidP="00F90EAE">
      <w:pPr>
        <w:jc w:val="both"/>
        <w:rPr>
          <w:color w:val="000000" w:themeColor="text1"/>
          <w:sz w:val="16"/>
          <w:szCs w:val="16"/>
        </w:rPr>
      </w:pPr>
      <w:r w:rsidRPr="00F90EAE">
        <w:rPr>
          <w:color w:val="000000" w:themeColor="text1"/>
          <w:sz w:val="16"/>
          <w:szCs w:val="16"/>
        </w:rPr>
        <w:t>Дрезден – крупный промышленный центр Германии. В нем имеются авиастроительные, оружейные, машиностроительные, химические и другие заводы. В Дрездене насчитывалось более 600 тысяч жителей.</w:t>
      </w:r>
    </w:p>
    <w:p w14:paraId="511B22BC" w14:textId="77777777" w:rsidR="009E360D" w:rsidRPr="00F90EAE" w:rsidRDefault="009E360D" w:rsidP="00F90EAE">
      <w:pPr>
        <w:jc w:val="both"/>
        <w:rPr>
          <w:color w:val="000000" w:themeColor="text1"/>
          <w:sz w:val="16"/>
          <w:szCs w:val="16"/>
        </w:rPr>
      </w:pPr>
      <w:r w:rsidRPr="00F90EAE">
        <w:rPr>
          <w:color w:val="000000" w:themeColor="text1"/>
          <w:sz w:val="16"/>
          <w:szCs w:val="16"/>
        </w:rPr>
        <w:t>Южнее Дрездена наши войска перешли чехословацкую границу, вступили на территорию Чехословакии и освободили от немецких захватчиков города Мост, Духцов и Теплице-Шанов. Город Теплице-Шанов расположен в 70 километрах от столицы Чехословакии Праги.</w:t>
      </w:r>
    </w:p>
    <w:p w14:paraId="19105EB7" w14:textId="77777777" w:rsidR="009E360D" w:rsidRPr="00F90EAE" w:rsidRDefault="009E360D" w:rsidP="00F90EAE">
      <w:pPr>
        <w:jc w:val="both"/>
        <w:rPr>
          <w:color w:val="000000" w:themeColor="text1"/>
          <w:sz w:val="16"/>
          <w:szCs w:val="16"/>
        </w:rPr>
      </w:pPr>
      <w:r w:rsidRPr="00F90EAE">
        <w:rPr>
          <w:color w:val="000000" w:themeColor="text1"/>
          <w:sz w:val="16"/>
          <w:szCs w:val="16"/>
        </w:rPr>
        <w:t xml:space="preserve">Войска 4-го Украинского фронта продолжали наступление. Советские части, сбивая противника с промежуточных рубежей и подавляя сопротивление гарнизонов вражеских опорных пунктов, продвинулись вперед на 20 километров. Ожесточенные бои произошли за важный узел немецкой обороны на реке Морава – город Оломоуц. Прорвав оборонительные укрепления противника, наши бойцы ворвались на улицы города. Гитлеровцы укрепились в каменных зданиях, но не выдержали </w:t>
      </w:r>
      <w:r w:rsidRPr="00F90EAE">
        <w:rPr>
          <w:color w:val="000000" w:themeColor="text1"/>
          <w:sz w:val="16"/>
          <w:szCs w:val="16"/>
        </w:rPr>
        <w:lastRenderedPageBreak/>
        <w:t>стремительных ударов наших войск. К исходу дня крупный немецкий гарнизон был разгромлен и город Оломоуц очищен от противника. На подступах к городу и его улицах осталось много вражеских трупов. Захвачено 13 паровозов, 378 вагонов с грузами и много других трофеев.</w:t>
      </w:r>
    </w:p>
    <w:p w14:paraId="240E52D9" w14:textId="77777777" w:rsidR="009E360D" w:rsidRPr="00F90EAE" w:rsidRDefault="009E360D" w:rsidP="00F90EAE">
      <w:pPr>
        <w:jc w:val="both"/>
        <w:rPr>
          <w:color w:val="000000" w:themeColor="text1"/>
          <w:sz w:val="16"/>
          <w:szCs w:val="16"/>
        </w:rPr>
      </w:pPr>
      <w:r w:rsidRPr="00F90EAE">
        <w:rPr>
          <w:color w:val="000000" w:themeColor="text1"/>
          <w:sz w:val="16"/>
          <w:szCs w:val="16"/>
        </w:rPr>
        <w:t>Авиацией Краснознаменного Балтийского флота в портах острова Борнхольм потоплены 4 транспорта и один сторожевой корабль противника.»</w:t>
      </w:r>
    </w:p>
    <w:p w14:paraId="548D036E" w14:textId="77777777" w:rsidR="009E360D" w:rsidRPr="00F90EAE" w:rsidRDefault="009E360D" w:rsidP="00F90EAE">
      <w:pPr>
        <w:jc w:val="both"/>
        <w:rPr>
          <w:color w:val="000000" w:themeColor="text1"/>
          <w:sz w:val="16"/>
          <w:szCs w:val="16"/>
        </w:rPr>
      </w:pPr>
    </w:p>
    <w:p w14:paraId="40C9806E"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8 мая 1945 стал последним днем войны для летчиков 571 шап. Этот день оказался и самым драматичным боевым днем.</w:t>
      </w:r>
    </w:p>
    <w:p w14:paraId="0D50E444"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Боевым приказом командира 224 шад генерал-майора Котельникова полку ставилась задача нанести в течение дня три бомбоштурмовых удара в составе полка в районе Кржелов, Пржикази, Унговице, Льштадт, Синице.</w:t>
      </w:r>
    </w:p>
    <w:p w14:paraId="7351B22F"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Планирование боевых вылетов выполнялось исходя из наличия в составе полка к исходу 7 мая 27 боеготовых самолетов Ил -10, что составляло три группы по 9 самолетов в каждой.</w:t>
      </w:r>
    </w:p>
    <w:p w14:paraId="202D98BB"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Предполагалось, что при выполнении каждого полкового вылета группы штурмовиков будут вылетать с интервалами в 15 -30 минут. Удар первой группы по целям противника планировался на 10.20, 2-й на 10.40, 3-й - на 11.05. Затем следовал двухчасовой перерыв, и все повторялось заново. Всего планировалось выполнить 88 самолето -вылетов. Прикрытие каждой группы обеспечивалось истребителями от 181 иап в соотношении 2:1.</w:t>
      </w:r>
    </w:p>
    <w:p w14:paraId="104907E4"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«Распечатала» день группа старшего лейтенанта Смирнова в составе 8 самолетов Ил-10, которая вылетела в 9.40 для нанесения бомбоштурмового удара в районе Горка, Скрепень, Кржелов. Штурмовиков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перенацелены на другую цель - войска и техника в районе Кржелов. Замкнув левый круг, экипажи Ил-10 выполнили «холостой» заход. Убедившись о наличии противника в окопах юго-восточнее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5CC07404"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После 6 заходов старший лейтенант Смирнов дал команду уходить, так как боекомплект полностью израсходован.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5E2FB483"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 середине дня на 8 самолетах полка почти в одно время вышли из строя моторы. При этом 5 отказов АМ -42 произошло на земле и три - в воздухе. В результате лейтенант Китайгородский, младший лейтенант Прищепа и младший лейтенант Титов совершили вынужденные посадки вне аэродрома. Впоследствии их «десятки» (зав. № 1893203, 1890604 и 1892604) были списаны.</w:t>
      </w:r>
    </w:p>
    <w:p w14:paraId="672CF77B"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Осмотр моторов, отказавших на земле (зав. № 45317, 45541, 45506, 45405, 45663), показал, что основной причиной выхода их из строя является разрушение крыльчатки нагнетателя мотора. Аналогичный дефект был обнаружен и на моторах всех Ил-10, совершивших вынужденные посадки.</w:t>
      </w:r>
    </w:p>
    <w:p w14:paraId="431F071F"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Массовый выход из строя матчасти поставил под угрозу выполнение полком плановой таблицы боевых вылетов. Однако комдив Котельников потребовал вне зависимости от обстоятельств обеспечить производство всех запланированных на день вылетов. В итоге наиболее оп ытным летчикам полка пришлось по 5 раз вылетать на выполнение боевого задания.</w:t>
      </w:r>
    </w:p>
    <w:p w14:paraId="1860F726"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На исходе дня в 20.20 из штаба дивизии пришло приказание: «Подготовить и выделить группу из 9 Ил-10 для нанесения бомбоштурмового удара по отступающему противнику по дорогам в районе Синице».</w:t>
      </w:r>
    </w:p>
    <w:p w14:paraId="5AF619D6"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Уже через 15 минут вылетела группа старшего лейтенанта Белова в составе 9 Ил-10. Сбор экипажей после взлета был организованным и быстрым. Истребители прикрытия пристроились к штурмовикам через 3 минуты.</w:t>
      </w:r>
    </w:p>
    <w:p w14:paraId="2E4A06F4"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Лететь по маршруту экипажам пришлось в сильной густой дымке с резко ограниченной до 1 км видимостью. Тем не менее на цель вышли точно и произвели атаку с ходу, поскольку цель представляла собой «длинную с небольшими интервалами цепочку движения автомашин, повозок, артиллерии» - промахнуться было сложно. Так поздно немцы не ожидали налета советских штурмовиков. Поэтому зенитного огня не было. Группа прошлась вдоль колонны, и летчики успели выполнить несколько атак. В результате, по докладам экипажей, было уничтожено и повреждено до 20 автомашин и создан большой очаг пожара.</w:t>
      </w:r>
    </w:p>
    <w:p w14:paraId="68F97ACE"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После работы над целью группа собралась также быстро и организованно. На свой аэродром возвращались экипажи уже в сумерках. На подходе к аэродрому старший лейтенант Белов подал команду ведомым: «Посадка с зажженными фарами». К этому времени на самом аэродроме уже был организован старт, зажгли факелы и пускали ракеты. Летчики, не имевшие до этого опыта боевой работы ночью, в 21.31 благополучно произвели посадку. Боевая работа 571-го штурмового авиаполка в Великой Отечественной войне закончилась.</w:t>
      </w:r>
    </w:p>
    <w:p w14:paraId="45E92B92"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Уже на следующий день после окончания боевых действий в полк из управления 8 ВА прибыла специальная комиссия во главе с начальником отдела эксплуатации армии подполковником Ивановым. Для комиссии с четырех исправных самолетов Ил-10 (зав. № 1891903, 1893603, 1894403, 1890903), выбранных членами комиссии наугад, были сняты моторы. На всех моторах была 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моторами в полет выпускать нельзя.</w:t>
      </w:r>
    </w:p>
    <w:p w14:paraId="1D3947BF"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21 мая в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шлицах,/.. ./в нагнетателях также много пыли». Выводы те же: самолеты к эксплуатации допускать нельзя.</w:t>
      </w:r>
    </w:p>
    <w:p w14:paraId="39823DB5" w14:textId="77777777" w:rsidR="00F94742" w:rsidRPr="00F90EAE" w:rsidRDefault="00F94742"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w:t>
      </w:r>
    </w:p>
    <w:p w14:paraId="548621FE"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 середине июня с авиазавода № 24 прибыла бригада во главе с «механиком Кузнецовым и представителем НКАП инженером Серебряковым». В ее задачу входила замена нагнетателей на всех моторах. Кроме этого, с авиазавода № 18 были «доставлены добавочные фильтры для постановки снаружи всасывающей трубы.» (17490).</w:t>
      </w:r>
    </w:p>
    <w:p w14:paraId="38D2F3ED" w14:textId="77777777" w:rsidR="00F94742" w:rsidRPr="00F90EAE" w:rsidRDefault="00F94742" w:rsidP="00F90EAE">
      <w:pPr>
        <w:jc w:val="both"/>
        <w:rPr>
          <w:color w:val="000000" w:themeColor="text1"/>
          <w:sz w:val="16"/>
          <w:szCs w:val="16"/>
        </w:rPr>
      </w:pPr>
    </w:p>
    <w:p w14:paraId="0FE49F18"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8 мая 1945 года, свой первый боевой вылет на Ил-10 выполнили экипажи 118-го гвардейского штурмового авиационного полка.</w:t>
      </w:r>
    </w:p>
    <w:p w14:paraId="50B826F2"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После окончания переучивания в 1 заб летный и технический состав полка только к 19 апреля 1945 года сумел собраться на аэродроме г. Шяуляй. Полк в составе 40 экипажей и 40 самолетов Ил-10 вошел в состав 225 шад 15 ВА. Сразу же по прибытии полка на аэродром г. Шяуляй летный состав приступил к интенсивной учебно-боевой подготовке по программе, утвержденной лично командиром 225 шад полковником Корнуковым. К началу боевых действий из общего числа имевшихся в наличии экипажей только 4 экипажа не закончили программу по вводу в бой. Остальные экипажи могли выполнять боевые задания днем в простых метеоусловиях.</w:t>
      </w:r>
    </w:p>
    <w:p w14:paraId="43BAF9D7"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Уже через неделю при очередном техническом обслуживании на трех самолетах была обнаружена остаточная деформация обшивки центроплана и консоли крыла.</w:t>
      </w:r>
    </w:p>
    <w:p w14:paraId="770F8478"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Так, на Ил-10 зав. № 102018 деформация наблюдалась с правой стороны центроплана, между лонжеронами у пятой нервюр и на левой плоскости, между лонжеронами у третьей нервюры. На самолете зав. № 105035 была частично деформирована обшивка между лонжеронами на правой плоскости у 3-й и 7-й нервюры и на левой плоскости у 7-й нервюры. На «десятке» зав. № 104042 обшивка деформировалась на правой плоскости между лонжеронами у 3-й нервюры. При этом высота «волны» деформации обшивки достигала 7-8 мм. На всех трех самолетах наблюдалось заметное «ослабление отдельных заклепок крепления обшивки к нервюрам на участках, имеющих деформацию».</w:t>
      </w:r>
    </w:p>
    <w:p w14:paraId="2959E7DB"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Отметим, что к этому времени на Ил-10 зав. № 105039 при выпуске шасси в воздухе заклинило обтекатель в куполе центроплана. На самолетах зав. № 106031, 104083, 105014 «произошел срыв болта крепления серпа подвески ног шасси при их уборке». Еще на трех машинах (зав. № 104050, 105071, 105004) были «обнаружены трещины/. ../трубок, идущих от вакуметра к всасывающим патрубкам».</w:t>
      </w:r>
    </w:p>
    <w:p w14:paraId="79208490"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Командир полка подполковник В. Н Верещинский запретил полеты на дефектных самолетах, о чем немедленно доложил в штаб 15 ВА. Оттуда сообщение о случившемся внеочередным донесением ушло в ГУ ИАС ВВС генерал-лейтенанту Лапину.</w:t>
      </w:r>
    </w:p>
    <w:p w14:paraId="6F8A7781"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Таким образом, задолго до начала боевых действий 118-й гвардейский шап работать полным составом уже не мог.</w:t>
      </w:r>
    </w:p>
    <w:p w14:paraId="2E177EFC"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 течение своего первого и единственного боевого дня полк наносил бомбоштурмовые удары по войскам и технике противника в районе Кандава. Работали четверками без прикрытия истребителями. Считалось, что высокая скорость и маневренность «десятки» обеспечат защиту в случае нападения истребителей люфтваффе. В общей сложности в течение дня полк выполнил 60 боевых самолето-вылетов. Безвозвратные потери матчасти составили три самолета Ил-10, из которых один был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566F4B68"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 xml:space="preserve">Как следует из акта расследования летно-боевых потерь от 15 мая 1945 года, первая боевая потеря полка на самолете Ил -10 произошла в 13.20. В ходе атаки четырех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был сбит лейтенант Т. С. Лозовой (воздушный стрелок - адъютант эскадрильи старший лейтенант И. Г. Рыбкин).</w:t>
      </w:r>
    </w:p>
    <w:p w14:paraId="06ACC806"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 xml:space="preserve">После третьего захода на цель в районе Кандава четверка Ил-10, в составе которой вылетал лейтенант Лозовой, на выходе из атаки была атакована двумя парами немецких истребителей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Лозовой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 -2 и два воздушных боя с немецкими истребителями. Оставшаяся часть группы завязала воздушный бой на виражах. Получив отпор, «фокке -вульфы» вышли из боя и «навалились» на Ил-10 лейтенанта Лозового. Атаки производились пилотами люфтваффе парами сбоку, снизу и сверху. Стрельба велась из всех огневых точек средними очередями под ракурсами 2/4-3/4 с дистанции 200-500 м. После примерно двух-трех атак Ил-10, беспорядочно падая, врезался в дома в районе Кандава.</w:t>
      </w:r>
    </w:p>
    <w:p w14:paraId="2D824F98"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 xml:space="preserve">Гибель экипажа и падение «десятки» Лозового наблюдал комполка подполковник Верещинский, вылетавший ведущим одной из групп. По его словам, Лозовой маневрировал и вел огонь из пушек и пулеметов. Старший лейтенант Рыбкин огня не вел. Позже при осмотре останков самолета оказалось, что лейтенант Лозовой </w:t>
      </w:r>
      <w:r w:rsidRPr="00F90EAE">
        <w:rPr>
          <w:rStyle w:val="107"/>
          <w:rFonts w:eastAsiaTheme="minorHAnsi"/>
          <w:color w:val="000000" w:themeColor="text1"/>
          <w:sz w:val="16"/>
          <w:szCs w:val="16"/>
        </w:rPr>
        <w:lastRenderedPageBreak/>
        <w:t>был убит прямыми попаданиями в голову, пулемет УБТ исправен, а боезапас к нему цел. Трудно сказать, как было на самом деле. Не исключено, что Рыбкин даже не знал, как обращаться с оружием. Возможно, что с опытным воздушным стрелком, каковым был «штатный» воздушный стрелок самолета сержант Шапоренко, бой мог бы сложиться иначе. Комдив Корнуков в своих выводах был категоричен: «неподготовленных стрелков в полет не брать...»</w:t>
      </w:r>
    </w:p>
    <w:p w14:paraId="7B3443A5"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 13.35 группа в составе 4 Ил-10 при нанесении бомбоштурмового удара по войскам и технике на выходе из атаки была обстреляна сильным огнем малокалиберной зенитной артиллерии противника. В результате «десятка» младшего лейтенанта В. Ф. Малахова (воздушный стрелок старший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противозенитный маневр и перешла на бреющий полет. Подбитый же экипаж стал выбирать место для вынужденной посадки. Несмотря на быстро развивающийся пожар на моторе, Малахову удалось посадить самолет на фюзеляж в районе Занти в 15 км юго-западнее Кандава. Экипаж получил ушибы, но остался цел, а самолет - разбит и ремонту не подлежал. В этом случае выручил боевой опыт летчика - к этому времени Малахов имел в своем активе 55 боевых вылетов на Ил -2 и два воздушных боя с истребителями люфтваффе.</w:t>
      </w:r>
    </w:p>
    <w:p w14:paraId="1F141172"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Примерно в аналогичной ситуации в 14.05 получил повреждения от зенитного огня и затем был потерян Ил-10 младшего лейтенанта Альмухамедова, который выполнял свой первый боевой вылет на войне.</w:t>
      </w:r>
    </w:p>
    <w:p w14:paraId="5FEE09AB"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На выходе из атаки цели группа из 4 Ил-10 была обстреляна сильным огнем МЗА противника. В результате мотор Ил-10 Альмухамедова был поврежден зенитным снарядом, а боевой порядок группы расстроен. Альмухамедов оторвался от группы, не смог удержать скорость и на обратном маршруте стал сильно отставать от группы.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окончательно отстав от основной группы, потерял ориентировку и, выработав горючее, сел на фюзеляж на заболоченную местность в 30 км юго-восточнее Шяуляя. Самолет подлежал разборке на запчасти ввиду невозможности эвакуации.</w:t>
      </w:r>
    </w:p>
    <w:p w14:paraId="49F5DB5C"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Несмотря на понесенные боевые потери, новые штурмовики, по отзывам летчиков 118 гшап, зарекомендовали себя как надежные и довольно эффективные боевые самолеты при грамотном использовании его боевых качеств. В качестве примера можно привести воздушный бой, который провел утром 8 мая экипаж старшего лейтенанта П. М. Однобокова (воздушный стрелок сержант Н. Аверков).</w:t>
      </w:r>
    </w:p>
    <w:p w14:paraId="77ED2405"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 xml:space="preserve">Все было как обычно. На выходе из атаки ведомые отстали от ведущего группы. В результате Ил-10 Однобокова остался без огневой поддержки и сразу же был атакован сзади-сверху парой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 xml:space="preserve">190. Вовремя заметив атаку противника, Однобоков резко сбросил газ, и очередь немецкого истребителя, слегка зацепив штурмовик, прошла перед носом штурмовика, а следом за ней впереди Ил-10 оказался и сам «фоккер» - пушечная очередь из ВЯ стала для пилота люфтваффе роковой. Не подкачал и воздушный стрелок сержант Аверков. Метким огнем из УБТ Аверков подбил вышедший в атаку ведомый </w:t>
      </w:r>
      <w:r w:rsidRPr="00F90EAE">
        <w:rPr>
          <w:rStyle w:val="107"/>
          <w:rFonts w:eastAsiaTheme="minorHAnsi"/>
          <w:color w:val="000000" w:themeColor="text1"/>
          <w:sz w:val="16"/>
          <w:szCs w:val="16"/>
          <w:lang w:val="en-US"/>
        </w:rPr>
        <w:t>Fw</w:t>
      </w:r>
      <w:r w:rsidRPr="00F90EAE">
        <w:rPr>
          <w:rStyle w:val="107"/>
          <w:rFonts w:eastAsiaTheme="minorHAnsi"/>
          <w:color w:val="000000" w:themeColor="text1"/>
          <w:sz w:val="16"/>
          <w:szCs w:val="16"/>
        </w:rPr>
        <w:t>190. «фокке-вульф» задымил, отвернул в сторону и со снижением ушел в сторону своих позиций.</w:t>
      </w:r>
    </w:p>
    <w:p w14:paraId="5F8BDE95"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Как следует из доклада помощника командира полка по воздушно -стрелковой службе майора Шагинова, экипажу засчитали только одну победу.</w:t>
      </w:r>
    </w:p>
    <w:p w14:paraId="13E6E342"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Вскоре после празднования Победы над Германией в полк прибыла комиссия в составе «Начальника Конструкторского Отдела завода № 1 тов. Усикова и представителя ГУЗ ВВС КА Майора АТС т. Егудина», которая произвела осмотр всех самолетов Ил-10. На 13 самолетах была обнаружена деформация верхней обшивки (высота «складок» от 2-3 до 7-8 мм) и заклепочных швов консолей крыла (11 случаев) и центроплана (2 случая). На этих же самолетах имели место случаи среза отдельных заклепок (от 2 до 7 заклепок) по полкам переднего лонжерона и нервюрам. На всех участках, имеющих деформацию, отмечалось заметное ослабление заклепок крепления обшивки к нервюрам.</w:t>
      </w:r>
    </w:p>
    <w:p w14:paraId="1BA90863"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Выводы комиссии были неутешительны. На трех самолетах (зав. № 102018, 104042, 105035) летать было нельзя, на остальных - только по кругу без выполнения интенсивных маневров.</w:t>
      </w:r>
    </w:p>
    <w:p w14:paraId="3EB3744A"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Что интересно, «выпучивание верхней обшивки» консолей наблюдалось в том числе и «рядом с заводским дополнительным усилением».</w:t>
      </w:r>
    </w:p>
    <w:p w14:paraId="058108D0"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Из «Сводной ведомости дефектов по центроплану и консолям самолетов Ил-10, находящихся в в/ч п. п. 30155 по состоянию на 15 мая 1945 г.», следует, что дефектные самолеты имели всего лишь по 1-2 боевых вылета и 2-7 вылетов на полигон с общим налетом от 3 ч 18 мин до 24 ч 43 мин. Угол пикирования при бомбометании и стрельбе по целям не превышали 30-35°.</w:t>
      </w:r>
    </w:p>
    <w:p w14:paraId="423BC371" w14:textId="77777777" w:rsidR="00F94742" w:rsidRPr="00F90EAE" w:rsidRDefault="00F94742" w:rsidP="00F90EAE">
      <w:pPr>
        <w:jc w:val="both"/>
        <w:rPr>
          <w:color w:val="000000" w:themeColor="text1"/>
          <w:sz w:val="16"/>
          <w:szCs w:val="16"/>
        </w:rPr>
      </w:pPr>
      <w:r w:rsidRPr="00F90EAE">
        <w:rPr>
          <w:rStyle w:val="107"/>
          <w:rFonts w:eastAsiaTheme="minorHAnsi"/>
          <w:color w:val="000000" w:themeColor="text1"/>
          <w:sz w:val="16"/>
          <w:szCs w:val="16"/>
        </w:rPr>
        <w:t>Учитывая реальную «картину» с матчастью в 118 гшап и опираясь на официальные результаты работы комиссии, главный инженер 15-й воздушной армии генерал-майор З. А. Иоффе незамедлительно снял с эксплуатации все Ил-10 из первой партии поставки - всего 45 самолетов производства завода № 1 со 2-й по 5-ю серию. Позже все эти «десятки» были переданы в школы ВВС и запасные авиаполки для целей тренировки молодого летного состава.</w:t>
      </w:r>
    </w:p>
    <w:p w14:paraId="09C5A284" w14:textId="77777777" w:rsidR="00F94742" w:rsidRPr="00F90EAE" w:rsidRDefault="00F94742"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Таким образом, 118 гшап после одного дня войны утратил всякую боеспособность, лишившись всей материальной части (17490).</w:t>
      </w:r>
    </w:p>
    <w:p w14:paraId="7DF85AF8" w14:textId="77777777" w:rsidR="00F94742" w:rsidRPr="00F90EAE" w:rsidRDefault="00F94742" w:rsidP="00F90EAE">
      <w:pPr>
        <w:jc w:val="both"/>
        <w:rPr>
          <w:color w:val="000000" w:themeColor="text1"/>
          <w:sz w:val="16"/>
          <w:szCs w:val="16"/>
        </w:rPr>
      </w:pPr>
    </w:p>
    <w:p w14:paraId="3BC6E5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года состоялся Последний боевой вылет 108 шап. Всего до конца войны, действуя с аэродромов Охельхермсдорф и Коло на берлинском направлении, полк провел на Ил-10 242 боевых вылета, потеряв пять самолетов. За это время было уничтожено: восемь танков, пять бронемашин, 281 автомобиль и другая техника противника (8683,37).</w:t>
      </w:r>
    </w:p>
    <w:p w14:paraId="584E7226" w14:textId="77777777" w:rsidR="00665165" w:rsidRPr="00F90EAE" w:rsidRDefault="00665165" w:rsidP="00F90EAE">
      <w:pPr>
        <w:autoSpaceDE w:val="0"/>
        <w:autoSpaceDN w:val="0"/>
        <w:adjustRightInd w:val="0"/>
        <w:jc w:val="both"/>
        <w:rPr>
          <w:color w:val="000000" w:themeColor="text1"/>
          <w:sz w:val="16"/>
          <w:szCs w:val="16"/>
        </w:rPr>
      </w:pPr>
    </w:p>
    <w:p w14:paraId="547E05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г. свой первый боевой вылет на Ил-10 выполнили экипажи 118-го гшап. На месте назначения, в Шауляе, полк собрался только к 19 апреля 1945 г. Имея 40 самолетов Ил-10, он вошел в 225-ю шад 15-й воздушной армии. В Ша</w:t>
      </w:r>
      <w:r w:rsidRPr="00F90EAE">
        <w:rPr>
          <w:color w:val="000000" w:themeColor="text1"/>
          <w:sz w:val="16"/>
          <w:szCs w:val="16"/>
        </w:rPr>
        <w:softHyphen/>
        <w:t>уляе летный состав приступил к интен</w:t>
      </w:r>
      <w:r w:rsidRPr="00F90EAE">
        <w:rPr>
          <w:color w:val="000000" w:themeColor="text1"/>
          <w:sz w:val="16"/>
          <w:szCs w:val="16"/>
        </w:rPr>
        <w:softHyphen/>
        <w:t>сивной подготовке по программе, утвержденной командиром дивизии пол</w:t>
      </w:r>
      <w:r w:rsidRPr="00F90EAE">
        <w:rPr>
          <w:color w:val="000000" w:themeColor="text1"/>
          <w:sz w:val="16"/>
          <w:szCs w:val="16"/>
        </w:rPr>
        <w:softHyphen/>
        <w:t>ковником Корнуковым. К началу боевых действий из общего числа имевшихся в наличии экипажей только четыре не за</w:t>
      </w:r>
      <w:r w:rsidRPr="00F90EAE">
        <w:rPr>
          <w:color w:val="000000" w:themeColor="text1"/>
          <w:sz w:val="16"/>
          <w:szCs w:val="16"/>
        </w:rPr>
        <w:softHyphen/>
        <w:t>кончили программу по вводу в бой. В течение своего первого и единст</w:t>
      </w:r>
      <w:r w:rsidRPr="00F90EAE">
        <w:rPr>
          <w:color w:val="000000" w:themeColor="text1"/>
          <w:sz w:val="16"/>
          <w:szCs w:val="16"/>
        </w:rPr>
        <w:softHyphen/>
        <w:t>венного боевого дня полк наносил уда</w:t>
      </w:r>
      <w:r w:rsidRPr="00F90EAE">
        <w:rPr>
          <w:color w:val="000000" w:themeColor="text1"/>
          <w:sz w:val="16"/>
          <w:szCs w:val="16"/>
        </w:rPr>
        <w:softHyphen/>
        <w:t>ры по войскам и технике противника в районе Кандавы. Работали четверками, без прикрытия, считая, что высокая ско</w:t>
      </w:r>
      <w:r w:rsidRPr="00F90EAE">
        <w:rPr>
          <w:color w:val="000000" w:themeColor="text1"/>
          <w:sz w:val="16"/>
          <w:szCs w:val="16"/>
        </w:rPr>
        <w:softHyphen/>
        <w:t>рость и маневренность «десятки» обес</w:t>
      </w:r>
      <w:r w:rsidRPr="00F90EAE">
        <w:rPr>
          <w:color w:val="000000" w:themeColor="text1"/>
          <w:sz w:val="16"/>
          <w:szCs w:val="16"/>
        </w:rPr>
        <w:softHyphen/>
        <w:t>печат защиту в случае нападения не</w:t>
      </w:r>
      <w:r w:rsidRPr="00F90EAE">
        <w:rPr>
          <w:color w:val="000000" w:themeColor="text1"/>
          <w:sz w:val="16"/>
          <w:szCs w:val="16"/>
        </w:rPr>
        <w:softHyphen/>
        <w:t>мецких истребителей. Всего полк выполнил 60 боевых самолето-вылетов. Безвозвратные потери составили три Ил-10, из которых один был сбит истре</w:t>
      </w:r>
      <w:r w:rsidRPr="00F90EAE">
        <w:rPr>
          <w:color w:val="000000" w:themeColor="text1"/>
          <w:sz w:val="16"/>
          <w:szCs w:val="16"/>
        </w:rPr>
        <w:softHyphen/>
        <w:t>бителями и два - огнем зенитной артил</w:t>
      </w:r>
      <w:r w:rsidRPr="00F90EAE">
        <w:rPr>
          <w:color w:val="000000" w:themeColor="text1"/>
          <w:sz w:val="16"/>
          <w:szCs w:val="16"/>
        </w:rPr>
        <w:softHyphen/>
        <w:t>лерии. Во втором вылете полка, во второй половине дня, четверка Ил-10 при выхо</w:t>
      </w:r>
      <w:r w:rsidRPr="00F90EAE">
        <w:rPr>
          <w:color w:val="000000" w:themeColor="text1"/>
          <w:sz w:val="16"/>
          <w:szCs w:val="16"/>
        </w:rPr>
        <w:softHyphen/>
        <w:t>де из атаки встретилась с двумя парами ФВ190. Лейтенант Т.С. Лозовой отстал от группы и стал уходить от истребите</w:t>
      </w:r>
      <w:r w:rsidRPr="00F90EAE">
        <w:rPr>
          <w:color w:val="000000" w:themeColor="text1"/>
          <w:sz w:val="16"/>
          <w:szCs w:val="16"/>
        </w:rPr>
        <w:softHyphen/>
        <w:t>лей с набором высоты, чего делать, ко</w:t>
      </w:r>
      <w:r w:rsidRPr="00F90EAE">
        <w:rPr>
          <w:color w:val="000000" w:themeColor="text1"/>
          <w:sz w:val="16"/>
          <w:szCs w:val="16"/>
        </w:rPr>
        <w:softHyphen/>
        <w:t>нечно же, было нельзя. Непроститель</w:t>
      </w:r>
      <w:r w:rsidRPr="00F90EAE">
        <w:rPr>
          <w:color w:val="000000" w:themeColor="text1"/>
          <w:sz w:val="16"/>
          <w:szCs w:val="16"/>
        </w:rPr>
        <w:softHyphen/>
        <w:t>ная ошибка для пилота, совершившего 81 боевой вылет на Ил-2. Остальные штурмовики завязали бой на виражах, «фокке-вульфы» бросили их и атакова</w:t>
      </w:r>
      <w:r w:rsidRPr="00F90EAE">
        <w:rPr>
          <w:color w:val="000000" w:themeColor="text1"/>
          <w:sz w:val="16"/>
          <w:szCs w:val="16"/>
        </w:rPr>
        <w:softHyphen/>
        <w:t>ли одинокий самолет Лозового. Они за</w:t>
      </w:r>
      <w:r w:rsidRPr="00F90EAE">
        <w:rPr>
          <w:color w:val="000000" w:themeColor="text1"/>
          <w:sz w:val="16"/>
          <w:szCs w:val="16"/>
        </w:rPr>
        <w:softHyphen/>
        <w:t>шли на него сбоку, снизу и сверху. Со</w:t>
      </w:r>
      <w:r w:rsidRPr="00F90EAE">
        <w:rPr>
          <w:color w:val="000000" w:themeColor="text1"/>
          <w:sz w:val="16"/>
          <w:szCs w:val="16"/>
        </w:rPr>
        <w:softHyphen/>
        <w:t>ветский пилот маневрировал, стреляя из пушек и пулеметов. После двух-трех атак немцев одинокий «ил», беспоря</w:t>
      </w:r>
      <w:r w:rsidRPr="00F90EAE">
        <w:rPr>
          <w:color w:val="000000" w:themeColor="text1"/>
          <w:sz w:val="16"/>
          <w:szCs w:val="16"/>
        </w:rPr>
        <w:softHyphen/>
        <w:t>дочно падая, врезался в дома внизу. Другая четверка штурмовиков на вы</w:t>
      </w:r>
      <w:r w:rsidRPr="00F90EAE">
        <w:rPr>
          <w:color w:val="000000" w:themeColor="text1"/>
          <w:sz w:val="16"/>
          <w:szCs w:val="16"/>
        </w:rPr>
        <w:softHyphen/>
        <w:t>ходе из атаки была обстреляна сильным огнем МЗА. В результате «десятка» младшего лейтенанта В.Ф. Малахова получила прямое попадание. Снаряд пробил поддон мотора, который начал давать перебои, а затем загорелся. Группа выполнила энергичный противо</w:t>
      </w:r>
      <w:r w:rsidRPr="00F90EAE">
        <w:rPr>
          <w:color w:val="000000" w:themeColor="text1"/>
          <w:sz w:val="16"/>
          <w:szCs w:val="16"/>
        </w:rPr>
        <w:softHyphen/>
        <w:t>зенитный маневр и перешла в бреющий полет. Пилот подбитого самолета стал выбирать место для вынужденной по</w:t>
      </w:r>
      <w:r w:rsidRPr="00F90EAE">
        <w:rPr>
          <w:color w:val="000000" w:themeColor="text1"/>
          <w:sz w:val="16"/>
          <w:szCs w:val="16"/>
        </w:rPr>
        <w:softHyphen/>
        <w:t>садки. Малахову удалось приземлиться на фюзеляж в районе Занти (в 15 км юго-западнее Кандавы). Экипаж полу</w:t>
      </w:r>
      <w:r w:rsidRPr="00F90EAE">
        <w:rPr>
          <w:color w:val="000000" w:themeColor="text1"/>
          <w:sz w:val="16"/>
          <w:szCs w:val="16"/>
        </w:rPr>
        <w:softHyphen/>
        <w:t>чил ушибы, но остался цел, а самолет был разбит и ремонту не подлежал. Примерно в аналогичной ситуации поте</w:t>
      </w:r>
      <w:r w:rsidRPr="00F90EAE">
        <w:rPr>
          <w:color w:val="000000" w:themeColor="text1"/>
          <w:sz w:val="16"/>
          <w:szCs w:val="16"/>
        </w:rPr>
        <w:softHyphen/>
        <w:t>ряли Ил-10 младшего лейтенанта Аль-мухамедова, совершавшего свой пер</w:t>
      </w:r>
      <w:r w:rsidRPr="00F90EAE">
        <w:rPr>
          <w:color w:val="000000" w:themeColor="text1"/>
          <w:sz w:val="16"/>
          <w:szCs w:val="16"/>
        </w:rPr>
        <w:softHyphen/>
        <w:t>вый боевой вылет. Летчик посадил по</w:t>
      </w:r>
      <w:r w:rsidRPr="00F90EAE">
        <w:rPr>
          <w:color w:val="000000" w:themeColor="text1"/>
          <w:sz w:val="16"/>
          <w:szCs w:val="16"/>
        </w:rPr>
        <w:softHyphen/>
        <w:t>врежденную машину в 30 км юго-восточ-нее Шауляя. Позднее этот штурмовик разобрали на запчасти. Несмотря на относительно большие боевые потери, новые штурмовики, по отзывам летчиков 118-го гшап, зареко</w:t>
      </w:r>
      <w:r w:rsidRPr="00F90EAE">
        <w:rPr>
          <w:color w:val="000000" w:themeColor="text1"/>
          <w:sz w:val="16"/>
          <w:szCs w:val="16"/>
        </w:rPr>
        <w:softHyphen/>
        <w:t>мендовали себя как надежные и до</w:t>
      </w:r>
      <w:r w:rsidRPr="00F90EAE">
        <w:rPr>
          <w:color w:val="000000" w:themeColor="text1"/>
          <w:sz w:val="16"/>
          <w:szCs w:val="16"/>
        </w:rPr>
        <w:softHyphen/>
        <w:t>вольно эффективные боевые самоле</w:t>
      </w:r>
      <w:r w:rsidRPr="00F90EAE">
        <w:rPr>
          <w:color w:val="000000" w:themeColor="text1"/>
          <w:sz w:val="16"/>
          <w:szCs w:val="16"/>
        </w:rPr>
        <w:softHyphen/>
        <w:t>ты. Решение использовать их без при</w:t>
      </w:r>
      <w:r w:rsidRPr="00F90EAE">
        <w:rPr>
          <w:color w:val="000000" w:themeColor="text1"/>
          <w:sz w:val="16"/>
          <w:szCs w:val="16"/>
        </w:rPr>
        <w:softHyphen/>
        <w:t>крытия истребителями во многом оказа</w:t>
      </w:r>
      <w:r w:rsidRPr="00F90EAE">
        <w:rPr>
          <w:color w:val="000000" w:themeColor="text1"/>
          <w:sz w:val="16"/>
          <w:szCs w:val="16"/>
        </w:rPr>
        <w:softHyphen/>
        <w:t>лось оправданным. Примером здесь мо</w:t>
      </w:r>
      <w:r w:rsidRPr="00F90EAE">
        <w:rPr>
          <w:color w:val="000000" w:themeColor="text1"/>
          <w:sz w:val="16"/>
          <w:szCs w:val="16"/>
        </w:rPr>
        <w:softHyphen/>
        <w:t>жет служить воздушный бой, который провел утром 8 мая экипаж старшего лейтенанта П.М. Однобокова (воздуш</w:t>
      </w:r>
      <w:r w:rsidRPr="00F90EAE">
        <w:rPr>
          <w:color w:val="000000" w:themeColor="text1"/>
          <w:sz w:val="16"/>
          <w:szCs w:val="16"/>
        </w:rPr>
        <w:softHyphen/>
        <w:t>ный стрелок сержант Н. Аверков). Все было как обычно. На выходе из атаки ведомые отстали от ведущего. В результате Ил-10 Однобокова ли</w:t>
      </w:r>
      <w:r w:rsidRPr="00F90EAE">
        <w:rPr>
          <w:color w:val="000000" w:themeColor="text1"/>
          <w:sz w:val="16"/>
          <w:szCs w:val="16"/>
        </w:rPr>
        <w:softHyphen/>
        <w:t>шился огневой поддержки и сразу же был атакован сзади-сверху парой ФВ190. Вовремя заметив противника, Од-нобоков резко сбросил газ, и очередь немецкого истребителя, слегка зацепив штурмовик, прошла мимо, а следом за ней впереди оказался и сам «фоккер» -пушечная очередь Ил-10 стала для пи</w:t>
      </w:r>
      <w:r w:rsidRPr="00F90EAE">
        <w:rPr>
          <w:color w:val="000000" w:themeColor="text1"/>
          <w:sz w:val="16"/>
          <w:szCs w:val="16"/>
        </w:rPr>
        <w:softHyphen/>
        <w:t>лота Люфтваффе роковой. Не подкачал и воздушный стрелок сержант Н. Аверков. Метким огнем из пулемета он под</w:t>
      </w:r>
      <w:r w:rsidRPr="00F90EAE">
        <w:rPr>
          <w:color w:val="000000" w:themeColor="text1"/>
          <w:sz w:val="16"/>
          <w:szCs w:val="16"/>
        </w:rPr>
        <w:softHyphen/>
        <w:t>бил вышедший в атаку ведомый ФВ190. «Фокке-вульф» задымил, отвернул и со снижением ушел в сторону своих пози</w:t>
      </w:r>
      <w:r w:rsidRPr="00F90EAE">
        <w:rPr>
          <w:color w:val="000000" w:themeColor="text1"/>
          <w:sz w:val="16"/>
          <w:szCs w:val="16"/>
        </w:rPr>
        <w:softHyphen/>
        <w:t>ций... Но экипажу засчитали только одну победу (10681).</w:t>
      </w:r>
    </w:p>
    <w:p w14:paraId="01AF90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532A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г. при вылете на боевое задание 12 экипа</w:t>
      </w:r>
      <w:r w:rsidRPr="00F90EAE">
        <w:rPr>
          <w:color w:val="000000" w:themeColor="text1"/>
          <w:sz w:val="16"/>
          <w:szCs w:val="16"/>
        </w:rPr>
        <w:softHyphen/>
        <w:t>жей 118-го гшап из-за силь</w:t>
      </w:r>
      <w:r w:rsidRPr="00F90EAE">
        <w:rPr>
          <w:color w:val="000000" w:themeColor="text1"/>
          <w:sz w:val="16"/>
          <w:szCs w:val="16"/>
        </w:rPr>
        <w:softHyphen/>
        <w:t>ного бокового ветра взлететь смогли только восемь (10681).</w:t>
      </w:r>
    </w:p>
    <w:p w14:paraId="5CA24B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93434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г. свой первый боевой вылет на Ил-10 выполнили экипажи 118-го гвардейского штурмового авиа</w:t>
      </w:r>
      <w:r w:rsidRPr="00F90EAE">
        <w:rPr>
          <w:color w:val="000000" w:themeColor="text1"/>
          <w:sz w:val="16"/>
          <w:szCs w:val="16"/>
        </w:rPr>
        <w:softHyphen/>
        <w:t>ционного полка.</w:t>
      </w:r>
    </w:p>
    <w:p w14:paraId="42D833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своего первого и един</w:t>
      </w:r>
      <w:r w:rsidRPr="00F90EAE">
        <w:rPr>
          <w:color w:val="000000" w:themeColor="text1"/>
          <w:sz w:val="16"/>
          <w:szCs w:val="16"/>
        </w:rPr>
        <w:softHyphen/>
        <w:t>ственного боевого дня полк наносил бомбоштурмовые удары по войскам и технике противника в районе Канда-ва. Работали четверками без прикры</w:t>
      </w:r>
      <w:r w:rsidRPr="00F90EAE">
        <w:rPr>
          <w:color w:val="000000" w:themeColor="text1"/>
          <w:sz w:val="16"/>
          <w:szCs w:val="16"/>
        </w:rPr>
        <w:softHyphen/>
        <w:t>тия истребителями. Считалось, что вы</w:t>
      </w:r>
      <w:r w:rsidRPr="00F90EAE">
        <w:rPr>
          <w:color w:val="000000" w:themeColor="text1"/>
          <w:sz w:val="16"/>
          <w:szCs w:val="16"/>
        </w:rPr>
        <w:softHyphen/>
        <w:t>сокая скорость и маневренность «де</w:t>
      </w:r>
      <w:r w:rsidRPr="00F90EAE">
        <w:rPr>
          <w:color w:val="000000" w:themeColor="text1"/>
          <w:sz w:val="16"/>
          <w:szCs w:val="16"/>
        </w:rPr>
        <w:softHyphen/>
        <w:t>сятки» обеспечат защиту в случае на</w:t>
      </w:r>
      <w:r w:rsidRPr="00F90EAE">
        <w:rPr>
          <w:color w:val="000000" w:themeColor="text1"/>
          <w:sz w:val="16"/>
          <w:szCs w:val="16"/>
        </w:rPr>
        <w:softHyphen/>
        <w:t>падения истребителей люфтваффе. В общей сложности в течение дня полк выполнил 60 боевых самолето-выле</w:t>
      </w:r>
      <w:r w:rsidRPr="00F90EAE">
        <w:rPr>
          <w:color w:val="000000" w:themeColor="text1"/>
          <w:sz w:val="16"/>
          <w:szCs w:val="16"/>
        </w:rPr>
        <w:softHyphen/>
        <w:t>тов. Безвозвратные потери матчасти составили три самолета Ил-10, из ко</w:t>
      </w:r>
      <w:r w:rsidRPr="00F90EAE">
        <w:rPr>
          <w:color w:val="000000" w:themeColor="text1"/>
          <w:sz w:val="16"/>
          <w:szCs w:val="16"/>
        </w:rPr>
        <w:softHyphen/>
        <w:t>торых один бьй сбит истребителями противника и два - огнем зенитной артиллерии. При этом все потери были понесены полком примерно в одно время - во второй половине дня в ходе второго полкового вылета.</w:t>
      </w:r>
    </w:p>
    <w:p w14:paraId="7B4D72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следует из акта расследования летно-боевых потерь от 15 мая 1945 г. первая боевая потеря полка на са</w:t>
      </w:r>
      <w:r w:rsidRPr="00F90EAE">
        <w:rPr>
          <w:color w:val="000000" w:themeColor="text1"/>
          <w:sz w:val="16"/>
          <w:szCs w:val="16"/>
        </w:rPr>
        <w:softHyphen/>
        <w:t>молете Ил-10 произошла в 13.20 - в результате атаки четырех Р\л/ 190 был сбит л-т Т. С. Лозовой (воздушный стрелок - адъютант эскадрильи ст. л-т И. Г. Рыбкин).</w:t>
      </w:r>
    </w:p>
    <w:p w14:paraId="6541A7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третьего захода на цель в районе Кандава четверка Ил-10, в со</w:t>
      </w:r>
      <w:r w:rsidRPr="00F90EAE">
        <w:rPr>
          <w:color w:val="000000" w:themeColor="text1"/>
          <w:sz w:val="16"/>
          <w:szCs w:val="16"/>
        </w:rPr>
        <w:softHyphen/>
        <w:t xml:space="preserve">ставе которой вылетал л-т Лозовой, на выходе из атаки была атакована двумя парами немецких истребителей </w:t>
      </w:r>
      <w:r w:rsidRPr="00F90EAE">
        <w:rPr>
          <w:smallCaps/>
          <w:color w:val="000000" w:themeColor="text1"/>
          <w:sz w:val="16"/>
          <w:szCs w:val="16"/>
        </w:rPr>
        <w:t xml:space="preserve">руу </w:t>
      </w:r>
      <w:r w:rsidRPr="00F90EAE">
        <w:rPr>
          <w:color w:val="000000" w:themeColor="text1"/>
          <w:sz w:val="16"/>
          <w:szCs w:val="16"/>
        </w:rPr>
        <w:t>190. На выходе из атаки л-т Лозо</w:t>
      </w:r>
      <w:r w:rsidRPr="00F90EAE">
        <w:rPr>
          <w:color w:val="000000" w:themeColor="text1"/>
          <w:sz w:val="16"/>
          <w:szCs w:val="16"/>
        </w:rPr>
        <w:softHyphen/>
        <w:t>вой отстал от группы и стал уходить от истребителей противника с набором высоты, чего делать, конечно же, было нельзя. Непростительная ошибка для летчика, имевшего 81 боевой вылет на Ил-2 и два воздушных боя с немецки</w:t>
      </w:r>
      <w:r w:rsidRPr="00F90EAE">
        <w:rPr>
          <w:color w:val="000000" w:themeColor="text1"/>
          <w:sz w:val="16"/>
          <w:szCs w:val="16"/>
        </w:rPr>
        <w:softHyphen/>
        <w:t xml:space="preserve">ми истребителями. Оставшаяся часть группы завязала воздушный бой на виражах, в результате которого «фок-ке-вульфы» вышли из боя и атаковали одинокий «Ил» л-та Лозового. Атаки производились пилотами </w:t>
      </w:r>
      <w:r w:rsidRPr="00F90EAE">
        <w:rPr>
          <w:color w:val="000000" w:themeColor="text1"/>
          <w:sz w:val="16"/>
          <w:szCs w:val="16"/>
        </w:rPr>
        <w:lastRenderedPageBreak/>
        <w:t>люфтваффе парами сбоку, снизу и сверху. Стрель</w:t>
      </w:r>
      <w:r w:rsidRPr="00F90EAE">
        <w:rPr>
          <w:color w:val="000000" w:themeColor="text1"/>
          <w:sz w:val="16"/>
          <w:szCs w:val="16"/>
        </w:rPr>
        <w:softHyphen/>
        <w:t>ба велась из всех огневых точек сред</w:t>
      </w:r>
      <w:r w:rsidRPr="00F90EAE">
        <w:rPr>
          <w:color w:val="000000" w:themeColor="text1"/>
          <w:sz w:val="16"/>
          <w:szCs w:val="16"/>
        </w:rPr>
        <w:softHyphen/>
        <w:t>ними очередями под раккурсами 2/4-3/4 с дистанции 200-500 м. После примерно двух-трех атак одинокий «Ил», беспорядочно падая, врезался в дома в районе Кандава.</w:t>
      </w:r>
    </w:p>
    <w:p w14:paraId="22C9BE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Падение «десятки» Лозового и ги</w:t>
      </w:r>
      <w:r w:rsidRPr="00F90EAE">
        <w:rPr>
          <w:color w:val="000000" w:themeColor="text1"/>
          <w:sz w:val="16"/>
          <w:szCs w:val="16"/>
        </w:rPr>
        <w:softHyphen/>
        <w:t>бель экипажа наблюдал комполка п/п-к Верещинский, вылетавшим веду</w:t>
      </w:r>
      <w:r w:rsidRPr="00F90EAE">
        <w:rPr>
          <w:color w:val="000000" w:themeColor="text1"/>
          <w:sz w:val="16"/>
          <w:szCs w:val="16"/>
        </w:rPr>
        <w:softHyphen/>
        <w:t>щим одной из групп. По его словам, Лозовой маневрировал и вел огонь из пушек и пулеметов. Старший лейтенант Рыбкин огня не вел. Позже при осмот</w:t>
      </w:r>
      <w:r w:rsidRPr="00F90EAE">
        <w:rPr>
          <w:color w:val="000000" w:themeColor="text1"/>
          <w:sz w:val="16"/>
          <w:szCs w:val="16"/>
        </w:rPr>
        <w:softHyphen/>
        <w:t>ре останков самолета оказалось, что л-т Лозовой был убит прямыми попа</w:t>
      </w:r>
      <w:r w:rsidRPr="00F90EAE">
        <w:rPr>
          <w:color w:val="000000" w:themeColor="text1"/>
          <w:sz w:val="16"/>
          <w:szCs w:val="16"/>
        </w:rPr>
        <w:softHyphen/>
        <w:t>даниями в голову, пулемет УБТ испра</w:t>
      </w:r>
      <w:r w:rsidRPr="00F90EAE">
        <w:rPr>
          <w:color w:val="000000" w:themeColor="text1"/>
          <w:sz w:val="16"/>
          <w:szCs w:val="16"/>
        </w:rPr>
        <w:softHyphen/>
        <w:t>вен, а боезапас к нему цел. Трудно ска</w:t>
      </w:r>
      <w:r w:rsidRPr="00F90EAE">
        <w:rPr>
          <w:color w:val="000000" w:themeColor="text1"/>
          <w:sz w:val="16"/>
          <w:szCs w:val="16"/>
        </w:rPr>
        <w:softHyphen/>
        <w:t>зать, как было на самом деле. Не ис</w:t>
      </w:r>
      <w:r w:rsidRPr="00F90EAE">
        <w:rPr>
          <w:color w:val="000000" w:themeColor="text1"/>
          <w:sz w:val="16"/>
          <w:szCs w:val="16"/>
        </w:rPr>
        <w:softHyphen/>
        <w:t>ключено, что Рыбкин даже не знал, как обращаться с оружием. Возможно, что с опытным воздушным стрелком, како</w:t>
      </w:r>
      <w:r w:rsidRPr="00F90EAE">
        <w:rPr>
          <w:color w:val="000000" w:themeColor="text1"/>
          <w:sz w:val="16"/>
          <w:szCs w:val="16"/>
        </w:rPr>
        <w:softHyphen/>
        <w:t>вым был «штатный» воздушный стре</w:t>
      </w:r>
      <w:r w:rsidRPr="00F90EAE">
        <w:rPr>
          <w:color w:val="000000" w:themeColor="text1"/>
          <w:sz w:val="16"/>
          <w:szCs w:val="16"/>
        </w:rPr>
        <w:softHyphen/>
        <w:t>лок самолета сержант Шапоренко, бой мог бы сложиться иначе. Комдив Корнуков в своих выводах был категори</w:t>
      </w:r>
      <w:r w:rsidRPr="00F90EAE">
        <w:rPr>
          <w:color w:val="000000" w:themeColor="text1"/>
          <w:sz w:val="16"/>
          <w:szCs w:val="16"/>
        </w:rPr>
        <w:softHyphen/>
        <w:t>чен: «неподготовленных стрелков в полет не брать...»</w:t>
      </w:r>
    </w:p>
    <w:p w14:paraId="3090F4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13.35 группа в составе 4 Ил-10 при нанесении бомбоштурмового уда</w:t>
      </w:r>
      <w:r w:rsidRPr="00F90EAE">
        <w:rPr>
          <w:color w:val="000000" w:themeColor="text1"/>
          <w:sz w:val="16"/>
          <w:szCs w:val="16"/>
        </w:rPr>
        <w:softHyphen/>
        <w:t>ра по войскам и технике на выходе из атаки была обстреляна сильным огнем МЗА противника. В результате «десят</w:t>
      </w:r>
      <w:r w:rsidRPr="00F90EAE">
        <w:rPr>
          <w:color w:val="000000" w:themeColor="text1"/>
          <w:sz w:val="16"/>
          <w:szCs w:val="16"/>
        </w:rPr>
        <w:softHyphen/>
        <w:t>ка» мл. л-та В. Ф. Малахова (воздуш</w:t>
      </w:r>
      <w:r w:rsidRPr="00F90EAE">
        <w:rPr>
          <w:color w:val="000000" w:themeColor="text1"/>
          <w:sz w:val="16"/>
          <w:szCs w:val="16"/>
        </w:rPr>
        <w:softHyphen/>
        <w:t>ный стрелок ст. сержант Я. Д. Хрис-тенко) получила прямое попадание зенитного снаряда. Снарядом был пробит поддон мотора, который стал давать перебои и затем загорелся. Группа выполнила энергичный проти</w:t>
      </w:r>
      <w:r w:rsidRPr="00F90EAE">
        <w:rPr>
          <w:color w:val="000000" w:themeColor="text1"/>
          <w:sz w:val="16"/>
          <w:szCs w:val="16"/>
        </w:rPr>
        <w:softHyphen/>
        <w:t>возенитный маневр и перешла на бре</w:t>
      </w:r>
      <w:r w:rsidRPr="00F90EAE">
        <w:rPr>
          <w:color w:val="000000" w:themeColor="text1"/>
          <w:sz w:val="16"/>
          <w:szCs w:val="16"/>
        </w:rPr>
        <w:softHyphen/>
        <w:t>ющий полет. Подбитый же экипаж стал выбирать место для вынужденной по</w:t>
      </w:r>
      <w:r w:rsidRPr="00F90EAE">
        <w:rPr>
          <w:color w:val="000000" w:themeColor="text1"/>
          <w:sz w:val="16"/>
          <w:szCs w:val="16"/>
        </w:rPr>
        <w:softHyphen/>
        <w:t>садки. Несмотря на быстро развива</w:t>
      </w:r>
      <w:r w:rsidRPr="00F90EAE">
        <w:rPr>
          <w:color w:val="000000" w:themeColor="text1"/>
          <w:sz w:val="16"/>
          <w:szCs w:val="16"/>
        </w:rPr>
        <w:softHyphen/>
        <w:t>ющийся пожар на моторе, Малахову уда</w:t>
      </w:r>
      <w:r w:rsidRPr="00F90EAE">
        <w:rPr>
          <w:color w:val="000000" w:themeColor="text1"/>
          <w:sz w:val="16"/>
          <w:szCs w:val="16"/>
        </w:rPr>
        <w:softHyphen/>
        <w:t>лось посадить самолет на фюзеляж в районе Занти в 15 км юго-западнее Кан</w:t>
      </w:r>
      <w:r w:rsidRPr="00F90EAE">
        <w:rPr>
          <w:color w:val="000000" w:themeColor="text1"/>
          <w:sz w:val="16"/>
          <w:szCs w:val="16"/>
        </w:rPr>
        <w:softHyphen/>
        <w:t>дава. Экипаж получил ушибы, но остал</w:t>
      </w:r>
      <w:r w:rsidRPr="00F90EAE">
        <w:rPr>
          <w:color w:val="000000" w:themeColor="text1"/>
          <w:sz w:val="16"/>
          <w:szCs w:val="16"/>
        </w:rPr>
        <w:softHyphen/>
        <w:t>ся цел, а самолет - разбит и ремонту не подлежал. В этом случае выручил бое</w:t>
      </w:r>
      <w:r w:rsidRPr="00F90EAE">
        <w:rPr>
          <w:color w:val="000000" w:themeColor="text1"/>
          <w:sz w:val="16"/>
          <w:szCs w:val="16"/>
        </w:rPr>
        <w:softHyphen/>
        <w:t>вой опыт летчика - к этому времени Ма</w:t>
      </w:r>
      <w:r w:rsidRPr="00F90EAE">
        <w:rPr>
          <w:color w:val="000000" w:themeColor="text1"/>
          <w:sz w:val="16"/>
          <w:szCs w:val="16"/>
        </w:rPr>
        <w:softHyphen/>
        <w:t>лахов имел в своем активе 55 боевых вылетов на Ил-2 и два воздушных боя с истребителями люфтваффе.</w:t>
      </w:r>
    </w:p>
    <w:p w14:paraId="43FFAE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Примерно в аналогичной ситуации, в 14.05 получил повреждения от зе</w:t>
      </w:r>
      <w:r w:rsidRPr="00F90EAE">
        <w:rPr>
          <w:color w:val="000000" w:themeColor="text1"/>
          <w:sz w:val="16"/>
          <w:szCs w:val="16"/>
        </w:rPr>
        <w:softHyphen/>
        <w:t>нитного огня и затем был потерян Ил-10 мл. л-та Альмухамедова, который выполнял свой первый боевой вылет на войне.</w:t>
      </w:r>
    </w:p>
    <w:p w14:paraId="42C44E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выходе из атаки цели группа из 4 Ил-10 была обстреляна сильным ог</w:t>
      </w:r>
      <w:r w:rsidRPr="00F90EAE">
        <w:rPr>
          <w:color w:val="000000" w:themeColor="text1"/>
          <w:sz w:val="16"/>
          <w:szCs w:val="16"/>
        </w:rPr>
        <w:softHyphen/>
        <w:t>нем МЗА противника. В результате мо</w:t>
      </w:r>
      <w:r w:rsidRPr="00F90EAE">
        <w:rPr>
          <w:color w:val="000000" w:themeColor="text1"/>
          <w:sz w:val="16"/>
          <w:szCs w:val="16"/>
        </w:rPr>
        <w:softHyphen/>
        <w:t>тор Ил-10 Альмухамедова был по</w:t>
      </w:r>
      <w:r w:rsidRPr="00F90EAE">
        <w:rPr>
          <w:color w:val="000000" w:themeColor="text1"/>
          <w:sz w:val="16"/>
          <w:szCs w:val="16"/>
        </w:rPr>
        <w:softHyphen/>
        <w:t>врежден зенитным снарядом, а боевой порядок группы расстроен. Альмуха-медов оторвался от группы, не смог удержать скорость и на обратном мар</w:t>
      </w:r>
      <w:r w:rsidRPr="00F90EAE">
        <w:rPr>
          <w:color w:val="000000" w:themeColor="text1"/>
          <w:sz w:val="16"/>
          <w:szCs w:val="16"/>
        </w:rPr>
        <w:softHyphen/>
        <w:t>шруте стал сильно отставать от груп</w:t>
      </w:r>
      <w:r w:rsidRPr="00F90EAE">
        <w:rPr>
          <w:color w:val="000000" w:themeColor="text1"/>
          <w:sz w:val="16"/>
          <w:szCs w:val="16"/>
        </w:rPr>
        <w:softHyphen/>
        <w:t>пы. По докладам экипажей в районе Бэнэ после приема от Альмухамедова по радио доклада: «Плохо работает мотор», - его самолет скрылся из виду. В свою очередь, Альмухамедов, окон</w:t>
      </w:r>
      <w:r w:rsidRPr="00F90EAE">
        <w:rPr>
          <w:color w:val="000000" w:themeColor="text1"/>
          <w:sz w:val="16"/>
          <w:szCs w:val="16"/>
        </w:rPr>
        <w:softHyphen/>
        <w:t>чательно отстав от основной группы, потерял ориентировку и, выработав горючее, сел на фюзеляж на заболо</w:t>
      </w:r>
      <w:r w:rsidRPr="00F90EAE">
        <w:rPr>
          <w:color w:val="000000" w:themeColor="text1"/>
          <w:sz w:val="16"/>
          <w:szCs w:val="16"/>
        </w:rPr>
        <w:softHyphen/>
        <w:t>ченную местность в 30 км юго-восточ-нее Шауляй. Самолет подлежал раз</w:t>
      </w:r>
      <w:r w:rsidRPr="00F90EAE">
        <w:rPr>
          <w:color w:val="000000" w:themeColor="text1"/>
          <w:sz w:val="16"/>
          <w:szCs w:val="16"/>
        </w:rPr>
        <w:softHyphen/>
        <w:t>борке на запчасти ввиду невозможно</w:t>
      </w:r>
      <w:r w:rsidRPr="00F90EAE">
        <w:rPr>
          <w:color w:val="000000" w:themeColor="text1"/>
          <w:sz w:val="16"/>
          <w:szCs w:val="16"/>
        </w:rPr>
        <w:softHyphen/>
        <w:t>сти эвакуации.</w:t>
      </w:r>
    </w:p>
    <w:p w14:paraId="7FF937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столь относительно большие боевые потери, новые штур</w:t>
      </w:r>
      <w:r w:rsidRPr="00F90EAE">
        <w:rPr>
          <w:color w:val="000000" w:themeColor="text1"/>
          <w:sz w:val="16"/>
          <w:szCs w:val="16"/>
        </w:rPr>
        <w:softHyphen/>
        <w:t>мовики, по отзывам летчиков 118-го гшап, зарекомендовали себя как на</w:t>
      </w:r>
      <w:r w:rsidRPr="00F90EAE">
        <w:rPr>
          <w:color w:val="000000" w:themeColor="text1"/>
          <w:sz w:val="16"/>
          <w:szCs w:val="16"/>
        </w:rPr>
        <w:softHyphen/>
        <w:t>дежные и довольно эффективные бо</w:t>
      </w:r>
      <w:r w:rsidRPr="00F90EAE">
        <w:rPr>
          <w:color w:val="000000" w:themeColor="text1"/>
          <w:sz w:val="16"/>
          <w:szCs w:val="16"/>
        </w:rPr>
        <w:softHyphen/>
        <w:t>евые самолеты при грамотном исполь</w:t>
      </w:r>
      <w:r w:rsidRPr="00F90EAE">
        <w:rPr>
          <w:color w:val="000000" w:themeColor="text1"/>
          <w:sz w:val="16"/>
          <w:szCs w:val="16"/>
        </w:rPr>
        <w:softHyphen/>
        <w:t>зовании его боевых качеств. В каче</w:t>
      </w:r>
      <w:r w:rsidRPr="00F90EAE">
        <w:rPr>
          <w:color w:val="000000" w:themeColor="text1"/>
          <w:sz w:val="16"/>
          <w:szCs w:val="16"/>
        </w:rPr>
        <w:softHyphen/>
        <w:t>стве примера можно привести воздуш</w:t>
      </w:r>
      <w:r w:rsidRPr="00F90EAE">
        <w:rPr>
          <w:color w:val="000000" w:themeColor="text1"/>
          <w:sz w:val="16"/>
          <w:szCs w:val="16"/>
        </w:rPr>
        <w:softHyphen/>
        <w:t>ный бой, который провел утром 8 мая экипаж ст. л-та П. М. Однобокова (воз</w:t>
      </w:r>
      <w:r w:rsidRPr="00F90EAE">
        <w:rPr>
          <w:color w:val="000000" w:themeColor="text1"/>
          <w:sz w:val="16"/>
          <w:szCs w:val="16"/>
        </w:rPr>
        <w:softHyphen/>
        <w:t>душный стрелок сержант Н.Аверков).</w:t>
      </w:r>
    </w:p>
    <w:p w14:paraId="16CA41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было как обычно. На выходе из атаки ведомые отстали от ведущего группы. В результате Ил-10 Однобо</w:t>
      </w:r>
      <w:r w:rsidRPr="00F90EAE">
        <w:rPr>
          <w:color w:val="000000" w:themeColor="text1"/>
          <w:sz w:val="16"/>
          <w:szCs w:val="16"/>
        </w:rPr>
        <w:softHyphen/>
        <w:t>кова остался без огневой поддержки и сразу же был атакован сзади-сверху парой Р\л/190. Вовремя заметив атаку противника, Однобокое резко сбросил газ и очередь немецкого истребителя, слегка зацепив штурмовик, прошла перед носом штурмовика, а следом за ней впереди «Ила» оказался и сам «фоккер» - пушечная очередь Ил-10 стала для пилота люфтваффе роковой. Не подкачал и воздушный стрелок сер</w:t>
      </w:r>
      <w:r w:rsidRPr="00F90EAE">
        <w:rPr>
          <w:color w:val="000000" w:themeColor="text1"/>
          <w:sz w:val="16"/>
          <w:szCs w:val="16"/>
        </w:rPr>
        <w:softHyphen/>
        <w:t>жант Аверков. Метким огнем из УБТ Аверков подбил вышедший в атаку ве</w:t>
      </w:r>
      <w:r w:rsidRPr="00F90EAE">
        <w:rPr>
          <w:color w:val="000000" w:themeColor="text1"/>
          <w:sz w:val="16"/>
          <w:szCs w:val="16"/>
        </w:rPr>
        <w:softHyphen/>
        <w:t xml:space="preserve">домый </w:t>
      </w:r>
      <w:r w:rsidRPr="00F90EAE">
        <w:rPr>
          <w:smallCaps/>
          <w:color w:val="000000" w:themeColor="text1"/>
          <w:sz w:val="16"/>
          <w:szCs w:val="16"/>
        </w:rPr>
        <w:t xml:space="preserve">руу </w:t>
      </w:r>
      <w:r w:rsidRPr="00F90EAE">
        <w:rPr>
          <w:color w:val="000000" w:themeColor="text1"/>
          <w:sz w:val="16"/>
          <w:szCs w:val="16"/>
        </w:rPr>
        <w:t>190. «Фокке-вульф» зады</w:t>
      </w:r>
      <w:r w:rsidRPr="00F90EAE">
        <w:rPr>
          <w:color w:val="000000" w:themeColor="text1"/>
          <w:sz w:val="16"/>
          <w:szCs w:val="16"/>
        </w:rPr>
        <w:softHyphen/>
        <w:t>мил, отвернул в сторону и со сниже</w:t>
      </w:r>
      <w:r w:rsidRPr="00F90EAE">
        <w:rPr>
          <w:color w:val="000000" w:themeColor="text1"/>
          <w:sz w:val="16"/>
          <w:szCs w:val="16"/>
        </w:rPr>
        <w:softHyphen/>
        <w:t>нием ушел в сторону своих позиций.</w:t>
      </w:r>
    </w:p>
    <w:p w14:paraId="6830B0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следует из доклада помощника командира полка по воздушно-стрел</w:t>
      </w:r>
      <w:r w:rsidRPr="00F90EAE">
        <w:rPr>
          <w:color w:val="000000" w:themeColor="text1"/>
          <w:sz w:val="16"/>
          <w:szCs w:val="16"/>
        </w:rPr>
        <w:softHyphen/>
        <w:t>ковой службе м-ра Шагинова, экипа</w:t>
      </w:r>
      <w:r w:rsidRPr="00F90EAE">
        <w:rPr>
          <w:color w:val="000000" w:themeColor="text1"/>
          <w:sz w:val="16"/>
          <w:szCs w:val="16"/>
        </w:rPr>
        <w:softHyphen/>
        <w:t>жу засчитали только одну победу (11161).</w:t>
      </w:r>
    </w:p>
    <w:p w14:paraId="2EF01C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C8ED4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стало последним днем войны для летчиков 571-го. Он оказался и са</w:t>
      </w:r>
      <w:r w:rsidRPr="00F90EAE">
        <w:rPr>
          <w:color w:val="000000" w:themeColor="text1"/>
          <w:sz w:val="16"/>
          <w:szCs w:val="16"/>
        </w:rPr>
        <w:softHyphen/>
        <w:t>мым драматичным. Командир 224-й шад поставил задачу нанести в течение дня полным составом полка три удара в рай</w:t>
      </w:r>
      <w:r w:rsidRPr="00F90EAE">
        <w:rPr>
          <w:color w:val="000000" w:themeColor="text1"/>
          <w:sz w:val="16"/>
          <w:szCs w:val="16"/>
        </w:rPr>
        <w:softHyphen/>
        <w:t>оне Кржелов, Пржикази, Унговице, Льштадт, Синице. Планирование боевых вылетов выполнялось исходя из нали</w:t>
      </w:r>
      <w:r w:rsidRPr="00F90EAE">
        <w:rPr>
          <w:color w:val="000000" w:themeColor="text1"/>
          <w:sz w:val="16"/>
          <w:szCs w:val="16"/>
        </w:rPr>
        <w:softHyphen/>
        <w:t>чия к вечеру 7 мая 27 боеготовых Ил-10, которые разбили на три группы по де</w:t>
      </w:r>
      <w:r w:rsidRPr="00F90EAE">
        <w:rPr>
          <w:color w:val="000000" w:themeColor="text1"/>
          <w:sz w:val="16"/>
          <w:szCs w:val="16"/>
        </w:rPr>
        <w:softHyphen/>
        <w:t>вять самолетов. Предполагалось, что группы будут вылетать с интервалами в 15-30 мин. Затем следовал двухчасо</w:t>
      </w:r>
      <w:r w:rsidRPr="00F90EAE">
        <w:rPr>
          <w:color w:val="000000" w:themeColor="text1"/>
          <w:sz w:val="16"/>
          <w:szCs w:val="16"/>
        </w:rPr>
        <w:softHyphen/>
        <w:t>вой перерыв, и все повторялось заново. Планировалось выполнить 88 самолето</w:t>
      </w:r>
      <w:r w:rsidRPr="00F90EAE">
        <w:rPr>
          <w:color w:val="000000" w:themeColor="text1"/>
          <w:sz w:val="16"/>
          <w:szCs w:val="16"/>
        </w:rPr>
        <w:softHyphen/>
        <w:t>вылетов. Прикрытие обеспечивалось ис</w:t>
      </w:r>
      <w:r w:rsidRPr="00F90EAE">
        <w:rPr>
          <w:color w:val="000000" w:themeColor="text1"/>
          <w:sz w:val="16"/>
          <w:szCs w:val="16"/>
        </w:rPr>
        <w:softHyphen/>
        <w:t>требителями 181-го иап. Полк сопровождали шесть Ла-5. На подходе к цели задание уточнили - бомбить вой</w:t>
      </w:r>
      <w:r w:rsidRPr="00F90EAE">
        <w:rPr>
          <w:color w:val="000000" w:themeColor="text1"/>
          <w:sz w:val="16"/>
          <w:szCs w:val="16"/>
        </w:rPr>
        <w:softHyphen/>
        <w:t>ска и технику в районе Кржелова. Замк</w:t>
      </w:r>
      <w:r w:rsidRPr="00F90EAE">
        <w:rPr>
          <w:color w:val="000000" w:themeColor="text1"/>
          <w:sz w:val="16"/>
          <w:szCs w:val="16"/>
        </w:rPr>
        <w:softHyphen/>
        <w:t>нув левый круг, Ил-10 совершили холос</w:t>
      </w:r>
      <w:r w:rsidRPr="00F90EAE">
        <w:rPr>
          <w:color w:val="000000" w:themeColor="text1"/>
          <w:sz w:val="16"/>
          <w:szCs w:val="16"/>
        </w:rPr>
        <w:softHyphen/>
        <w:t>той заход. Убедившись в наличии про</w:t>
      </w:r>
      <w:r w:rsidRPr="00F90EAE">
        <w:rPr>
          <w:color w:val="000000" w:themeColor="text1"/>
          <w:sz w:val="16"/>
          <w:szCs w:val="16"/>
        </w:rPr>
        <w:softHyphen/>
        <w:t>тивника в окопах юго-восточнее Крже</w:t>
      </w:r>
      <w:r w:rsidRPr="00F90EAE">
        <w:rPr>
          <w:color w:val="000000" w:themeColor="text1"/>
          <w:sz w:val="16"/>
          <w:szCs w:val="16"/>
        </w:rPr>
        <w:softHyphen/>
        <w:t>лова и автомашин в самом населенном пункте, группа приступила к штурмовке. Атаки производились с высоты 1200 м под углом пикирования 25° - 30°. Стрельба из пушек и пулеметов осуще</w:t>
      </w:r>
      <w:r w:rsidRPr="00F90EAE">
        <w:rPr>
          <w:color w:val="000000" w:themeColor="text1"/>
          <w:sz w:val="16"/>
          <w:szCs w:val="16"/>
        </w:rPr>
        <w:softHyphen/>
        <w:t>ствлялась с дистанции 400 - 500 м, бом</w:t>
      </w:r>
      <w:r w:rsidRPr="00F90EAE">
        <w:rPr>
          <w:color w:val="000000" w:themeColor="text1"/>
          <w:sz w:val="16"/>
          <w:szCs w:val="16"/>
        </w:rPr>
        <w:softHyphen/>
        <w:t>бометание - на выходе из пикирования с высоты 400 - 450 м. После выполнения шести заходов Смирнов дал команду уходить, так как боекомплект был полностью израсходо</w:t>
      </w:r>
      <w:r w:rsidRPr="00F90EAE">
        <w:rPr>
          <w:color w:val="000000" w:themeColor="text1"/>
          <w:sz w:val="16"/>
          <w:szCs w:val="16"/>
        </w:rPr>
        <w:softHyphen/>
        <w:t>ван. Но станция наведения «Белка-12» попросила произвести еще два холос</w:t>
      </w:r>
      <w:r w:rsidRPr="00F90EAE">
        <w:rPr>
          <w:color w:val="000000" w:themeColor="text1"/>
          <w:sz w:val="16"/>
          <w:szCs w:val="16"/>
        </w:rPr>
        <w:softHyphen/>
        <w:t>тых захода: «Пехота переходит в атаку, поддержите». Штурмовики не отказали и получили с земли благодарность. При возвращении домой им встретились два «мессершмитта», но атаковать немцы не решились. В середине дня на восьми самолетах неожиданно вышли из строя моторы, причем в трех случаях - в воздухе. Лей</w:t>
      </w:r>
      <w:r w:rsidRPr="00F90EAE">
        <w:rPr>
          <w:color w:val="000000" w:themeColor="text1"/>
          <w:sz w:val="16"/>
          <w:szCs w:val="16"/>
        </w:rPr>
        <w:softHyphen/>
        <w:t>тенант Китайгородский и младшие лей</w:t>
      </w:r>
      <w:r w:rsidRPr="00F90EAE">
        <w:rPr>
          <w:color w:val="000000" w:themeColor="text1"/>
          <w:sz w:val="16"/>
          <w:szCs w:val="16"/>
        </w:rPr>
        <w:softHyphen/>
        <w:t>тенанты Прищепа и Титов совершили вынужденные посадки вне аэродрома. Впоследствии их «десятки» были списа</w:t>
      </w:r>
      <w:r w:rsidRPr="00F90EAE">
        <w:rPr>
          <w:color w:val="000000" w:themeColor="text1"/>
          <w:sz w:val="16"/>
          <w:szCs w:val="16"/>
        </w:rPr>
        <w:softHyphen/>
        <w:t>ны. Осмотр двигателей показал, что при</w:t>
      </w:r>
      <w:r w:rsidRPr="00F90EAE">
        <w:rPr>
          <w:color w:val="000000" w:themeColor="text1"/>
          <w:sz w:val="16"/>
          <w:szCs w:val="16"/>
        </w:rPr>
        <w:softHyphen/>
        <w:t>чиной является разрушение крыльчатки нагнетателя. Массовый выход из строя техники поставил под угрозу выполнение полком боевой задачи. Но комдив Ко</w:t>
      </w:r>
      <w:r w:rsidRPr="00F90EAE">
        <w:rPr>
          <w:color w:val="000000" w:themeColor="text1"/>
          <w:sz w:val="16"/>
          <w:szCs w:val="16"/>
        </w:rPr>
        <w:softHyphen/>
        <w:t>тельников потребовал вне зависимости от обстоятельств обеспечить производ</w:t>
      </w:r>
      <w:r w:rsidRPr="00F90EAE">
        <w:rPr>
          <w:color w:val="000000" w:themeColor="text1"/>
          <w:sz w:val="16"/>
          <w:szCs w:val="16"/>
        </w:rPr>
        <w:softHyphen/>
        <w:t>ство всех запланированных на день вы</w:t>
      </w:r>
      <w:r w:rsidRPr="00F90EAE">
        <w:rPr>
          <w:color w:val="000000" w:themeColor="text1"/>
          <w:sz w:val="16"/>
          <w:szCs w:val="16"/>
        </w:rPr>
        <w:softHyphen/>
        <w:t>летов. В итоге наиболее опытным летчи</w:t>
      </w:r>
      <w:r w:rsidRPr="00F90EAE">
        <w:rPr>
          <w:color w:val="000000" w:themeColor="text1"/>
          <w:sz w:val="16"/>
          <w:szCs w:val="16"/>
        </w:rPr>
        <w:softHyphen/>
        <w:t>кам пришлось вылетать по пять раз. Уже на исходе дня из штаба дивизии пришло приказание: «Подготовить и вы</w:t>
      </w:r>
      <w:r w:rsidRPr="00F90EAE">
        <w:rPr>
          <w:color w:val="000000" w:themeColor="text1"/>
          <w:sz w:val="16"/>
          <w:szCs w:val="16"/>
        </w:rPr>
        <w:softHyphen/>
        <w:t>делить группу из 9 Ил-10 для нанесения ударов. На этом боевая работа 571-го шап в Великой Отечественной войне закончи</w:t>
      </w:r>
      <w:r w:rsidRPr="00F90EAE">
        <w:rPr>
          <w:color w:val="000000" w:themeColor="text1"/>
          <w:sz w:val="16"/>
          <w:szCs w:val="16"/>
        </w:rPr>
        <w:softHyphen/>
        <w:t>лась. Прибывшая на следующий день из штаба 8-й воздушной армии комиссия приказала снять моторы с четырех на</w:t>
      </w:r>
      <w:r w:rsidRPr="00F90EAE">
        <w:rPr>
          <w:color w:val="000000" w:themeColor="text1"/>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F90EAE">
        <w:rPr>
          <w:color w:val="000000" w:themeColor="text1"/>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F90EAE">
        <w:rPr>
          <w:color w:val="000000" w:themeColor="text1"/>
          <w:sz w:val="16"/>
          <w:szCs w:val="16"/>
        </w:rPr>
        <w:softHyphen/>
        <w:t>ность. Что было бы, если бы война про</w:t>
      </w:r>
      <w:r w:rsidRPr="00F90EAE">
        <w:rPr>
          <w:color w:val="000000" w:themeColor="text1"/>
          <w:sz w:val="16"/>
          <w:szCs w:val="16"/>
        </w:rPr>
        <w:softHyphen/>
        <w:t>должилась? Первые месяцы боевого применения Ил-10 сопровождались многочисленны</w:t>
      </w:r>
      <w:r w:rsidRPr="00F90EAE">
        <w:rPr>
          <w:color w:val="000000" w:themeColor="text1"/>
          <w:sz w:val="16"/>
          <w:szCs w:val="16"/>
        </w:rPr>
        <w:softHyphen/>
        <w:t>ми отказами агрегатов и систем: карбю</w:t>
      </w:r>
      <w:r w:rsidRPr="00F90EAE">
        <w:rPr>
          <w:color w:val="000000" w:themeColor="text1"/>
          <w:sz w:val="16"/>
          <w:szCs w:val="16"/>
        </w:rPr>
        <w:softHyphen/>
        <w:t>ратора, бензосистемы и свечей; наблю</w:t>
      </w:r>
      <w:r w:rsidRPr="00F90EAE">
        <w:rPr>
          <w:color w:val="000000" w:themeColor="text1"/>
          <w:sz w:val="16"/>
          <w:szCs w:val="16"/>
        </w:rPr>
        <w:softHyphen/>
        <w:t>дались тряска мотора на всех режимах работы, течь масляных и водяных ради</w:t>
      </w:r>
      <w:r w:rsidRPr="00F90EAE">
        <w:rPr>
          <w:color w:val="000000" w:themeColor="text1"/>
          <w:sz w:val="16"/>
          <w:szCs w:val="16"/>
        </w:rPr>
        <w:softHyphen/>
        <w:t>аторов. По мнению механиков, доступ к свечам и некоторым другим агрегатам и узлам мотора был крайне неудобен. На</w:t>
      </w:r>
      <w:r w:rsidRPr="00F90EAE">
        <w:rPr>
          <w:color w:val="000000" w:themeColor="text1"/>
          <w:sz w:val="16"/>
          <w:szCs w:val="16"/>
        </w:rPr>
        <w:softHyphen/>
        <w:t>пример, замена карбюратора и последу</w:t>
      </w:r>
      <w:r w:rsidRPr="00F90EAE">
        <w:rPr>
          <w:color w:val="000000" w:themeColor="text1"/>
          <w:sz w:val="16"/>
          <w:szCs w:val="16"/>
        </w:rPr>
        <w:softHyphen/>
        <w:t>ющая отладка двигателя отнимали до 30-33 ч. Постоянно рвались тросы бомболю-ков, створки деформировались при за</w:t>
      </w:r>
      <w:r w:rsidRPr="00F90EAE">
        <w:rPr>
          <w:color w:val="000000" w:themeColor="text1"/>
          <w:sz w:val="16"/>
          <w:szCs w:val="16"/>
        </w:rPr>
        <w:softHyphen/>
        <w:t>грузке мелких бомб и повреждались при сбросе крупных. Обшивка консолей и центроплана, а также заклепки не вы</w:t>
      </w:r>
      <w:r w:rsidRPr="00F90EAE">
        <w:rPr>
          <w:color w:val="000000" w:themeColor="text1"/>
          <w:sz w:val="16"/>
          <w:szCs w:val="16"/>
        </w:rPr>
        <w:softHyphen/>
        <w:t>держивали нагрузок. Листы шли волной, заклепки срезались и выпадали. Лома</w:t>
      </w:r>
      <w:r w:rsidRPr="00F90EAE">
        <w:rPr>
          <w:color w:val="000000" w:themeColor="text1"/>
          <w:sz w:val="16"/>
          <w:szCs w:val="16"/>
        </w:rPr>
        <w:softHyphen/>
        <w:t>лись складывающиеся подкосы шасси и обтекатели хвостового колеса. Удивительно, но техническому соста</w:t>
      </w:r>
      <w:r w:rsidRPr="00F90EAE">
        <w:rPr>
          <w:color w:val="000000" w:themeColor="text1"/>
          <w:sz w:val="16"/>
          <w:szCs w:val="16"/>
        </w:rPr>
        <w:softHyphen/>
        <w:t>ву все же удавалось поддерживать бое</w:t>
      </w:r>
      <w:r w:rsidRPr="00F90EAE">
        <w:rPr>
          <w:color w:val="000000" w:themeColor="text1"/>
          <w:sz w:val="16"/>
          <w:szCs w:val="16"/>
        </w:rPr>
        <w:softHyphen/>
        <w:t>готовность на уровне, обеспечивавшем выполнение поставленных задач. Еже</w:t>
      </w:r>
      <w:r w:rsidRPr="00F90EAE">
        <w:rPr>
          <w:color w:val="000000" w:themeColor="text1"/>
          <w:sz w:val="16"/>
          <w:szCs w:val="16"/>
        </w:rPr>
        <w:softHyphen/>
        <w:t>дневная готовность самолетов в сред</w:t>
      </w:r>
      <w:r w:rsidRPr="00F90EAE">
        <w:rPr>
          <w:color w:val="000000" w:themeColor="text1"/>
          <w:sz w:val="16"/>
          <w:szCs w:val="16"/>
        </w:rPr>
        <w:softHyphen/>
        <w:t>нем достигала 72,8% состава (10681).</w:t>
      </w:r>
    </w:p>
    <w:p w14:paraId="1E7334F0" w14:textId="77777777" w:rsidR="00665165" w:rsidRPr="00F90EAE" w:rsidRDefault="00665165" w:rsidP="00F90EAE">
      <w:pPr>
        <w:autoSpaceDE w:val="0"/>
        <w:autoSpaceDN w:val="0"/>
        <w:adjustRightInd w:val="0"/>
        <w:jc w:val="both"/>
        <w:rPr>
          <w:color w:val="000000" w:themeColor="text1"/>
          <w:sz w:val="16"/>
          <w:szCs w:val="16"/>
        </w:rPr>
      </w:pPr>
    </w:p>
    <w:p w14:paraId="44C2A0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стал последним днем войны для летчи</w:t>
      </w:r>
      <w:r w:rsidRPr="00F90EAE">
        <w:rPr>
          <w:color w:val="000000" w:themeColor="text1"/>
          <w:sz w:val="16"/>
          <w:szCs w:val="16"/>
        </w:rPr>
        <w:softHyphen/>
        <w:t>ков 571-го шап. Этот день оказался и самым драматичным боевым днем.</w:t>
      </w:r>
    </w:p>
    <w:p w14:paraId="7982C3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Боевым приказом командира 224-й шад генерал-майора Котельникова полку ставилась задача нанести в те</w:t>
      </w:r>
      <w:r w:rsidRPr="00F90EAE">
        <w:rPr>
          <w:color w:val="000000" w:themeColor="text1"/>
          <w:sz w:val="16"/>
          <w:szCs w:val="16"/>
        </w:rPr>
        <w:softHyphen/>
        <w:t>чения дня три бомбоштурмовых удара в составе полка в районе Кржелов, Пржикази, Унговице, Льштадт, Синице.</w:t>
      </w:r>
    </w:p>
    <w:p w14:paraId="289008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Планирование боевых вылетов вы</w:t>
      </w:r>
      <w:r w:rsidRPr="00F90EAE">
        <w:rPr>
          <w:color w:val="000000" w:themeColor="text1"/>
          <w:sz w:val="16"/>
          <w:szCs w:val="16"/>
        </w:rPr>
        <w:softHyphen/>
        <w:t>полнялось исходя из наличия в соста</w:t>
      </w:r>
      <w:r w:rsidRPr="00F90EAE">
        <w:rPr>
          <w:color w:val="000000" w:themeColor="text1"/>
          <w:sz w:val="16"/>
          <w:szCs w:val="16"/>
        </w:rPr>
        <w:softHyphen/>
        <w:t>ве полка к исходу 7 мая 27 боеготовых самолетов Ил-10, что составляло три группы по 9 самолетов в каждой.</w:t>
      </w:r>
    </w:p>
    <w:p w14:paraId="38B584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Предполагалось, что при выполне</w:t>
      </w:r>
      <w:r w:rsidRPr="00F90EAE">
        <w:rPr>
          <w:color w:val="000000" w:themeColor="text1"/>
          <w:sz w:val="16"/>
          <w:szCs w:val="16"/>
        </w:rPr>
        <w:softHyphen/>
        <w:t>нии каждого полкового вылета груп</w:t>
      </w:r>
      <w:r w:rsidRPr="00F90EAE">
        <w:rPr>
          <w:color w:val="000000" w:themeColor="text1"/>
          <w:sz w:val="16"/>
          <w:szCs w:val="16"/>
        </w:rPr>
        <w:softHyphen/>
        <w:t>пы штурмовиков будут вылетать с ин</w:t>
      </w:r>
      <w:r w:rsidRPr="00F90EAE">
        <w:rPr>
          <w:color w:val="000000" w:themeColor="text1"/>
          <w:sz w:val="16"/>
          <w:szCs w:val="16"/>
        </w:rPr>
        <w:softHyphen/>
        <w:t>тервалами в 15-30 минут. Удар первой группы по целям противника плани</w:t>
      </w:r>
      <w:r w:rsidRPr="00F90EAE">
        <w:rPr>
          <w:color w:val="000000" w:themeColor="text1"/>
          <w:sz w:val="16"/>
          <w:szCs w:val="16"/>
        </w:rPr>
        <w:softHyphen/>
        <w:t>ровался на 10.20, 2-й - на 10.40, 3-й -на 11.05. Затем следовал двухчасовой перерыв, и все повторялось заново. Всего планировалось выполнить 88 самолето-вылетов. Прикрытие каждой группы обеспечивалось истребителя</w:t>
      </w:r>
      <w:r w:rsidRPr="00F90EAE">
        <w:rPr>
          <w:color w:val="000000" w:themeColor="text1"/>
          <w:sz w:val="16"/>
          <w:szCs w:val="16"/>
        </w:rPr>
        <w:softHyphen/>
        <w:t>ми от 181-го иап в соотношении 2:1.</w:t>
      </w:r>
    </w:p>
    <w:p w14:paraId="26973A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«Распечатала» день группа ст. л-та Смирнова в составе 8 самолетов Ил-10, которая вылетела в 9.40 для нане</w:t>
      </w:r>
      <w:r w:rsidRPr="00F90EAE">
        <w:rPr>
          <w:color w:val="000000" w:themeColor="text1"/>
          <w:sz w:val="16"/>
          <w:szCs w:val="16"/>
        </w:rPr>
        <w:softHyphen/>
        <w:t>сения бомбоштурмового удара в рай</w:t>
      </w:r>
      <w:r w:rsidRPr="00F90EAE">
        <w:rPr>
          <w:color w:val="000000" w:themeColor="text1"/>
          <w:sz w:val="16"/>
          <w:szCs w:val="16"/>
        </w:rPr>
        <w:softHyphen/>
        <w:t>оне Горка, Скрепень, Кржелов. Штур</w:t>
      </w:r>
      <w:r w:rsidRPr="00F90EAE">
        <w:rPr>
          <w:color w:val="000000" w:themeColor="text1"/>
          <w:sz w:val="16"/>
          <w:szCs w:val="16"/>
        </w:rPr>
        <w:softHyphen/>
        <w:t>мовиков сопровождали 6 Ла-5. Полет к цели выполнялся на высоте 800 м в строю правый пеленг. Линию фронта группа пересекла на высоте 1200 м. На подходе к цели штурмовики были пе</w:t>
      </w:r>
      <w:r w:rsidRPr="00F90EAE">
        <w:rPr>
          <w:color w:val="000000" w:themeColor="text1"/>
          <w:sz w:val="16"/>
          <w:szCs w:val="16"/>
        </w:rPr>
        <w:softHyphen/>
        <w:t>ренацелены на другую цель - войска и технику в районе Кржелов. Замкнув ле</w:t>
      </w:r>
      <w:r w:rsidRPr="00F90EAE">
        <w:rPr>
          <w:color w:val="000000" w:themeColor="text1"/>
          <w:sz w:val="16"/>
          <w:szCs w:val="16"/>
        </w:rPr>
        <w:softHyphen/>
        <w:t>вый круг, экипажи Ил-10 выполнили «холостой» заход. Убедившись о нали</w:t>
      </w:r>
      <w:r w:rsidRPr="00F90EAE">
        <w:rPr>
          <w:color w:val="000000" w:themeColor="text1"/>
          <w:sz w:val="16"/>
          <w:szCs w:val="16"/>
        </w:rPr>
        <w:softHyphen/>
        <w:t>чии противника в окопах юго-восточ-нее Кржелов и автомашин в Кржелов, группа приступила к штурмовке. Атаки производились с высоты 1200 м под углом пикирования 25-30°, Стрельба из пушек и пулеметов с дистанции 400-500 м, бомбометание - на выходе из пикирования с высоты 400-450 м.</w:t>
      </w:r>
    </w:p>
    <w:p w14:paraId="12BDEC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выполнения 6 заходов ст. л-т Смирнов дал команду уходить, так как боекомплект полностью израсхо</w:t>
      </w:r>
      <w:r w:rsidRPr="00F90EAE">
        <w:rPr>
          <w:color w:val="000000" w:themeColor="text1"/>
          <w:sz w:val="16"/>
          <w:szCs w:val="16"/>
        </w:rPr>
        <w:softHyphen/>
        <w:t>дован. Но станция наведения «Белка-12» попросила произвести еще два «холостых» захода: «пехота переходит в атаку, поддержите». Штурмовики не отказали. От наземного командования получена благодарность. На отходе от цели появились два «мессершмитта», но атаковать не решились.</w:t>
      </w:r>
    </w:p>
    <w:p w14:paraId="1B298A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середине дня на 8 самолетах пол</w:t>
      </w:r>
      <w:r w:rsidRPr="00F90EAE">
        <w:rPr>
          <w:color w:val="000000" w:themeColor="text1"/>
          <w:sz w:val="16"/>
          <w:szCs w:val="16"/>
        </w:rPr>
        <w:softHyphen/>
        <w:t>ка почти в одно время вышли из строя моторы. При этом 5 отказов АМ-42 произошло на земле и три - в воздухе. В результате л-т Китайгородский, мл. л-т Прищепа и мл. л-т Титов соверши</w:t>
      </w:r>
      <w:r w:rsidRPr="00F90EAE">
        <w:rPr>
          <w:color w:val="000000" w:themeColor="text1"/>
          <w:sz w:val="16"/>
          <w:szCs w:val="16"/>
        </w:rPr>
        <w:softHyphen/>
        <w:t>ли вынужденные посадки вне аэродро</w:t>
      </w:r>
      <w:r w:rsidRPr="00F90EAE">
        <w:rPr>
          <w:color w:val="000000" w:themeColor="text1"/>
          <w:sz w:val="16"/>
          <w:szCs w:val="16"/>
        </w:rPr>
        <w:softHyphen/>
        <w:t>ма. Впоследствии их «десятки» (зав. №N2 1893203, 1890604 и 1892604) были списаны.</w:t>
      </w:r>
    </w:p>
    <w:p w14:paraId="23C1E4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Осмотр моторов, отказавших на земле (зав. №№ 45317, 45541, 45506, 45405, 45663), показал, что основной причиной выхода их из строя являет</w:t>
      </w:r>
      <w:r w:rsidRPr="00F90EAE">
        <w:rPr>
          <w:color w:val="000000" w:themeColor="text1"/>
          <w:sz w:val="16"/>
          <w:szCs w:val="16"/>
        </w:rPr>
        <w:softHyphen/>
        <w:t>ся разрушение крыльчатки нагнетате</w:t>
      </w:r>
      <w:r w:rsidRPr="00F90EAE">
        <w:rPr>
          <w:color w:val="000000" w:themeColor="text1"/>
          <w:sz w:val="16"/>
          <w:szCs w:val="16"/>
        </w:rPr>
        <w:softHyphen/>
        <w:t>ля мотора. Аналогичный дефект был обнаружен и на моторах всех Ил-10, совершивших вынужденные посадки.</w:t>
      </w:r>
    </w:p>
    <w:p w14:paraId="607671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Массовый выход из строя матчасти поставил под угрозу выполнение пол</w:t>
      </w:r>
      <w:r w:rsidRPr="00F90EAE">
        <w:rPr>
          <w:color w:val="000000" w:themeColor="text1"/>
          <w:sz w:val="16"/>
          <w:szCs w:val="16"/>
        </w:rPr>
        <w:softHyphen/>
        <w:t>ком плановой таблицы боевых выле</w:t>
      </w:r>
      <w:r w:rsidRPr="00F90EAE">
        <w:rPr>
          <w:color w:val="000000" w:themeColor="text1"/>
          <w:sz w:val="16"/>
          <w:szCs w:val="16"/>
        </w:rPr>
        <w:softHyphen/>
        <w:t>тов. Однако комдив Котельников по</w:t>
      </w:r>
      <w:r w:rsidRPr="00F90EAE">
        <w:rPr>
          <w:color w:val="000000" w:themeColor="text1"/>
          <w:sz w:val="16"/>
          <w:szCs w:val="16"/>
        </w:rPr>
        <w:softHyphen/>
        <w:t>требовал вне зависимости от обстоя</w:t>
      </w:r>
      <w:r w:rsidRPr="00F90EAE">
        <w:rPr>
          <w:color w:val="000000" w:themeColor="text1"/>
          <w:sz w:val="16"/>
          <w:szCs w:val="16"/>
        </w:rPr>
        <w:softHyphen/>
        <w:t>тельств обеспечить производство всех запланированных на день вылетов. В итоге наиболее опытным летчикам полка пришлось по 5 раз вылетать на выполнение боевого задания.</w:t>
      </w:r>
    </w:p>
    <w:p w14:paraId="3AE6FC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исходе дня в 20.20 из штаба ди</w:t>
      </w:r>
      <w:r w:rsidRPr="00F90EAE">
        <w:rPr>
          <w:color w:val="000000" w:themeColor="text1"/>
          <w:sz w:val="16"/>
          <w:szCs w:val="16"/>
        </w:rPr>
        <w:softHyphen/>
        <w:t>визии пришло приказание: «Подгото</w:t>
      </w:r>
      <w:r w:rsidRPr="00F90EAE">
        <w:rPr>
          <w:color w:val="000000" w:themeColor="text1"/>
          <w:sz w:val="16"/>
          <w:szCs w:val="16"/>
        </w:rPr>
        <w:softHyphen/>
        <w:t>вить и выделить группу из 9 Ил-10 для нанесения бомбоштурмового удара по отступающему противнику по дорогам в районе Синице».</w:t>
      </w:r>
    </w:p>
    <w:p w14:paraId="4A6382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Уже через 15 минут вылетела груп</w:t>
      </w:r>
      <w:r w:rsidRPr="00F90EAE">
        <w:rPr>
          <w:color w:val="000000" w:themeColor="text1"/>
          <w:sz w:val="16"/>
          <w:szCs w:val="16"/>
        </w:rPr>
        <w:softHyphen/>
        <w:t>па ст. л-та Белова в составе 9 Ил-10.</w:t>
      </w:r>
    </w:p>
    <w:p w14:paraId="66A207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Сбор экипажей после взлета был орга</w:t>
      </w:r>
      <w:r w:rsidRPr="00F90EAE">
        <w:rPr>
          <w:color w:val="000000" w:themeColor="text1"/>
          <w:sz w:val="16"/>
          <w:szCs w:val="16"/>
        </w:rPr>
        <w:softHyphen/>
        <w:t>низованным и быстрым. Истребители прикрытия пристроились к штурмови</w:t>
      </w:r>
      <w:r w:rsidRPr="00F90EAE">
        <w:rPr>
          <w:color w:val="000000" w:themeColor="text1"/>
          <w:sz w:val="16"/>
          <w:szCs w:val="16"/>
        </w:rPr>
        <w:softHyphen/>
        <w:t>кам через 3 минуты.</w:t>
      </w:r>
    </w:p>
    <w:p w14:paraId="70FFDD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Лететь по маршруту экипажам при</w:t>
      </w:r>
      <w:r w:rsidRPr="00F90EAE">
        <w:rPr>
          <w:color w:val="000000" w:themeColor="text1"/>
          <w:sz w:val="16"/>
          <w:szCs w:val="16"/>
        </w:rPr>
        <w:softHyphen/>
        <w:t>шлось в сильной густой дымке с резко ограниченной до 1 км видимостью. Тем не менее, на цель вышли точно и про</w:t>
      </w:r>
      <w:r w:rsidRPr="00F90EAE">
        <w:rPr>
          <w:color w:val="000000" w:themeColor="text1"/>
          <w:sz w:val="16"/>
          <w:szCs w:val="16"/>
        </w:rPr>
        <w:softHyphen/>
        <w:t>извели атаку схода, поскольку цель представляла собой «длинную с не</w:t>
      </w:r>
      <w:r w:rsidRPr="00F90EAE">
        <w:rPr>
          <w:color w:val="000000" w:themeColor="text1"/>
          <w:sz w:val="16"/>
          <w:szCs w:val="16"/>
        </w:rPr>
        <w:softHyphen/>
        <w:t>большими интервалами цепочку дви</w:t>
      </w:r>
      <w:r w:rsidRPr="00F90EAE">
        <w:rPr>
          <w:color w:val="000000" w:themeColor="text1"/>
          <w:sz w:val="16"/>
          <w:szCs w:val="16"/>
        </w:rPr>
        <w:softHyphen/>
        <w:t>жения автомашин, повозок, артилле</w:t>
      </w:r>
      <w:r w:rsidRPr="00F90EAE">
        <w:rPr>
          <w:color w:val="000000" w:themeColor="text1"/>
          <w:sz w:val="16"/>
          <w:szCs w:val="16"/>
        </w:rPr>
        <w:softHyphen/>
        <w:t>рии» - промахнуться было сложно. Так поздно немцы не ожидали налета со</w:t>
      </w:r>
      <w:r w:rsidRPr="00F90EAE">
        <w:rPr>
          <w:color w:val="000000" w:themeColor="text1"/>
          <w:sz w:val="16"/>
          <w:szCs w:val="16"/>
        </w:rPr>
        <w:softHyphen/>
        <w:t>ветских штурмовиков. Поэтому зенит</w:t>
      </w:r>
      <w:r w:rsidRPr="00F90EAE">
        <w:rPr>
          <w:color w:val="000000" w:themeColor="text1"/>
          <w:sz w:val="16"/>
          <w:szCs w:val="16"/>
        </w:rPr>
        <w:softHyphen/>
        <w:t>ного огня не было. Группа прошлась вдоль колонны, и летчики успели вы</w:t>
      </w:r>
      <w:r w:rsidRPr="00F90EAE">
        <w:rPr>
          <w:color w:val="000000" w:themeColor="text1"/>
          <w:sz w:val="16"/>
          <w:szCs w:val="16"/>
        </w:rPr>
        <w:softHyphen/>
        <w:t>полнить несколько атак. В результате по докладам экипажей было уничто</w:t>
      </w:r>
      <w:r w:rsidRPr="00F90EAE">
        <w:rPr>
          <w:color w:val="000000" w:themeColor="text1"/>
          <w:sz w:val="16"/>
          <w:szCs w:val="16"/>
        </w:rPr>
        <w:softHyphen/>
        <w:t>жено и повреждено до 20 автомашин и создан большой очаг пожара.</w:t>
      </w:r>
    </w:p>
    <w:p w14:paraId="22DFB7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работы над целью группа со</w:t>
      </w:r>
      <w:r w:rsidRPr="00F90EAE">
        <w:rPr>
          <w:color w:val="000000" w:themeColor="text1"/>
          <w:sz w:val="16"/>
          <w:szCs w:val="16"/>
        </w:rPr>
        <w:softHyphen/>
        <w:t>бралась также быстро и организован</w:t>
      </w:r>
      <w:r w:rsidRPr="00F90EAE">
        <w:rPr>
          <w:color w:val="000000" w:themeColor="text1"/>
          <w:sz w:val="16"/>
          <w:szCs w:val="16"/>
        </w:rPr>
        <w:softHyphen/>
        <w:t>но. На свой аэродром возвращались экипажи уже в сумерках. На подходе к аэродрому ст. л-т Белов подал команду ведомым: «Посадка с зажженными фа</w:t>
      </w:r>
      <w:r w:rsidRPr="00F90EAE">
        <w:rPr>
          <w:color w:val="000000" w:themeColor="text1"/>
          <w:sz w:val="16"/>
          <w:szCs w:val="16"/>
        </w:rPr>
        <w:softHyphen/>
        <w:t>рами». К этому времени на самом аэро</w:t>
      </w:r>
      <w:r w:rsidRPr="00F90EAE">
        <w:rPr>
          <w:color w:val="000000" w:themeColor="text1"/>
          <w:sz w:val="16"/>
          <w:szCs w:val="16"/>
        </w:rPr>
        <w:softHyphen/>
        <w:t>дроме уже был организован старт, заж</w:t>
      </w:r>
      <w:r w:rsidRPr="00F90EAE">
        <w:rPr>
          <w:color w:val="000000" w:themeColor="text1"/>
          <w:sz w:val="16"/>
          <w:szCs w:val="16"/>
        </w:rPr>
        <w:softHyphen/>
        <w:t>гли факелы и ракеты. Летчики, не имев</w:t>
      </w:r>
      <w:r w:rsidRPr="00F90EAE">
        <w:rPr>
          <w:color w:val="000000" w:themeColor="text1"/>
          <w:sz w:val="16"/>
          <w:szCs w:val="16"/>
        </w:rPr>
        <w:softHyphen/>
        <w:t>шие до этого опыта боевой работы но</w:t>
      </w:r>
      <w:r w:rsidRPr="00F90EAE">
        <w:rPr>
          <w:color w:val="000000" w:themeColor="text1"/>
          <w:sz w:val="16"/>
          <w:szCs w:val="16"/>
        </w:rPr>
        <w:softHyphen/>
        <w:t>чью, в 21.31 благополучно произвели посадку. Боевая работа 571-го штур</w:t>
      </w:r>
      <w:r w:rsidRPr="00F90EAE">
        <w:rPr>
          <w:color w:val="000000" w:themeColor="text1"/>
          <w:sz w:val="16"/>
          <w:szCs w:val="16"/>
        </w:rPr>
        <w:softHyphen/>
        <w:t>мового авиаполка в Великой Отече</w:t>
      </w:r>
      <w:r w:rsidRPr="00F90EAE">
        <w:rPr>
          <w:color w:val="000000" w:themeColor="text1"/>
          <w:sz w:val="16"/>
          <w:szCs w:val="16"/>
        </w:rPr>
        <w:softHyphen/>
        <w:t>ственной войне закончилась.</w:t>
      </w:r>
    </w:p>
    <w:p w14:paraId="7B890C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Уже на следующий день после окончания боевых действий для рас</w:t>
      </w:r>
      <w:r w:rsidRPr="00F90EAE">
        <w:rPr>
          <w:color w:val="000000" w:themeColor="text1"/>
          <w:sz w:val="16"/>
          <w:szCs w:val="16"/>
        </w:rPr>
        <w:softHyphen/>
        <w:t>следования случившегося в полк из управления 8-й ВА прибыла специаль</w:t>
      </w:r>
      <w:r w:rsidRPr="00F90EAE">
        <w:rPr>
          <w:color w:val="000000" w:themeColor="text1"/>
          <w:sz w:val="16"/>
          <w:szCs w:val="16"/>
        </w:rPr>
        <w:softHyphen/>
        <w:t>ная комиссия во главе с начальником отдела эксплуатации армии подпол</w:t>
      </w:r>
      <w:r w:rsidRPr="00F90EAE">
        <w:rPr>
          <w:color w:val="000000" w:themeColor="text1"/>
          <w:sz w:val="16"/>
          <w:szCs w:val="16"/>
        </w:rPr>
        <w:softHyphen/>
        <w:t>ковником Ивановым. Для комиссии с четырех исправных самолетов Ил-10 (зав. №№ 1891903,1893603,1894403, 1890903), выбранных членами комис</w:t>
      </w:r>
      <w:r w:rsidRPr="00F90EAE">
        <w:rPr>
          <w:color w:val="000000" w:themeColor="text1"/>
          <w:sz w:val="16"/>
          <w:szCs w:val="16"/>
        </w:rPr>
        <w:softHyphen/>
        <w:t>сии наугад, были сняты моторы. На всех моторах была обнаружена «боль</w:t>
      </w:r>
      <w:r w:rsidRPr="00F90EAE">
        <w:rPr>
          <w:color w:val="000000" w:themeColor="text1"/>
          <w:sz w:val="16"/>
          <w:szCs w:val="16"/>
        </w:rPr>
        <w:softHyphen/>
        <w:t>шая разработка валиков импеллеров, которые имели большой люфт, а также обнаружено в нагнетателях много пыли и песку». Вывод комиссии был однозначен: самолеты с такими мото</w:t>
      </w:r>
      <w:r w:rsidRPr="00F90EAE">
        <w:rPr>
          <w:color w:val="000000" w:themeColor="text1"/>
          <w:sz w:val="16"/>
          <w:szCs w:val="16"/>
        </w:rPr>
        <w:softHyphen/>
        <w:t>рами в полет выпускать нельзя (11157).</w:t>
      </w:r>
    </w:p>
    <w:p w14:paraId="539F1B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9E8DE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8 мая с 15 апреля 1945 экипажи 571-го, 108-го гвар</w:t>
      </w:r>
      <w:r w:rsidRPr="00F90EAE">
        <w:rPr>
          <w:color w:val="000000" w:themeColor="text1"/>
          <w:sz w:val="16"/>
          <w:szCs w:val="16"/>
        </w:rPr>
        <w:softHyphen/>
        <w:t>дейского и 118-го гвардейского штур</w:t>
      </w:r>
      <w:r w:rsidRPr="00F90EAE">
        <w:rPr>
          <w:color w:val="000000" w:themeColor="text1"/>
          <w:sz w:val="16"/>
          <w:szCs w:val="16"/>
        </w:rPr>
        <w:softHyphen/>
        <w:t>мовых авиаполков выполнили на Ил-10 1019 бо</w:t>
      </w:r>
      <w:r w:rsidRPr="00F90EAE">
        <w:rPr>
          <w:color w:val="000000" w:themeColor="text1"/>
          <w:sz w:val="16"/>
          <w:szCs w:val="16"/>
        </w:rPr>
        <w:softHyphen/>
        <w:t>евых самолето-вылетов, в основном на атаку артиллерии, танков, автомашин и живой силы противника. Из этого чис</w:t>
      </w:r>
      <w:r w:rsidRPr="00F90EAE">
        <w:rPr>
          <w:color w:val="000000" w:themeColor="text1"/>
          <w:sz w:val="16"/>
          <w:szCs w:val="16"/>
        </w:rPr>
        <w:softHyphen/>
        <w:t>ла 735 самолето-вылетов приходится на 571-й ШАП и 224 - на 108-й ГШАП.</w:t>
      </w:r>
    </w:p>
    <w:p w14:paraId="15B844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боевые вылеты выполнялись только в простых метеоусловиях. В среднем в течение одного дня полки выполняли около 30-32 самолето-вылетов группами от 6-8 до 12-24 Ил-10.</w:t>
      </w:r>
    </w:p>
    <w:p w14:paraId="5929B1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Боевая работа велась в основном по точечным целям на переднем крае и в ближайшем тылу. Подавляющее количе</w:t>
      </w:r>
      <w:r w:rsidRPr="00F90EAE">
        <w:rPr>
          <w:color w:val="000000" w:themeColor="text1"/>
          <w:sz w:val="16"/>
          <w:szCs w:val="16"/>
        </w:rPr>
        <w:softHyphen/>
        <w:t>ство боевых вылетов (свыше 98%) было выполнено на атаку танков, автомашин, артиллерии на огневых позициях и жи</w:t>
      </w:r>
      <w:r w:rsidRPr="00F90EAE">
        <w:rPr>
          <w:color w:val="000000" w:themeColor="text1"/>
          <w:sz w:val="16"/>
          <w:szCs w:val="16"/>
        </w:rPr>
        <w:softHyphen/>
        <w:t>вой силы противника на поле боя, в ме</w:t>
      </w:r>
      <w:r w:rsidRPr="00F90EAE">
        <w:rPr>
          <w:color w:val="000000" w:themeColor="text1"/>
          <w:sz w:val="16"/>
          <w:szCs w:val="16"/>
        </w:rPr>
        <w:softHyphen/>
        <w:t>стах сосредоточения и на дорогах.</w:t>
      </w:r>
    </w:p>
    <w:p w14:paraId="2F913F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правило, на боевые задания группы Ил-10 «ходили» в «пеленге» пар, который считался лучшим боевым по</w:t>
      </w:r>
      <w:r w:rsidRPr="00F90EAE">
        <w:rPr>
          <w:color w:val="000000" w:themeColor="text1"/>
          <w:sz w:val="16"/>
          <w:szCs w:val="16"/>
        </w:rPr>
        <w:softHyphen/>
        <w:t>рядком. На подходе к цели ведущий группы оставлял цель слева от себя, «визируя» ее с доворотом на 90° и пос</w:t>
      </w:r>
      <w:r w:rsidRPr="00F90EAE">
        <w:rPr>
          <w:color w:val="000000" w:themeColor="text1"/>
          <w:sz w:val="16"/>
          <w:szCs w:val="16"/>
        </w:rPr>
        <w:softHyphen/>
        <w:t>ледующим пикированием подуглом 15-40°. Выход из атаки с правым или ле</w:t>
      </w:r>
      <w:r w:rsidRPr="00F90EAE">
        <w:rPr>
          <w:color w:val="000000" w:themeColor="text1"/>
          <w:sz w:val="16"/>
          <w:szCs w:val="16"/>
        </w:rPr>
        <w:softHyphen/>
        <w:t>вым разворотом. В первом заходе обыч</w:t>
      </w:r>
      <w:r w:rsidRPr="00F90EAE">
        <w:rPr>
          <w:color w:val="000000" w:themeColor="text1"/>
          <w:sz w:val="16"/>
          <w:szCs w:val="16"/>
        </w:rPr>
        <w:softHyphen/>
        <w:t>но выполнялось бомбометание на вы</w:t>
      </w:r>
      <w:r w:rsidRPr="00F90EAE">
        <w:rPr>
          <w:color w:val="000000" w:themeColor="text1"/>
          <w:sz w:val="16"/>
          <w:szCs w:val="16"/>
        </w:rPr>
        <w:softHyphen/>
        <w:t>ходе из пикирования с высоты 300-400 м. В последующих заходах велся огонь из пушек и пулеметов со снижением вплоть до бреющего. Огонь открывал</w:t>
      </w:r>
      <w:r w:rsidRPr="00F90EAE">
        <w:rPr>
          <w:color w:val="000000" w:themeColor="text1"/>
          <w:sz w:val="16"/>
          <w:szCs w:val="16"/>
        </w:rPr>
        <w:softHyphen/>
        <w:t>ся с дистанции 400-500 м. Одновремен</w:t>
      </w:r>
      <w:r w:rsidRPr="00F90EAE">
        <w:rPr>
          <w:color w:val="000000" w:themeColor="text1"/>
          <w:sz w:val="16"/>
          <w:szCs w:val="16"/>
        </w:rPr>
        <w:softHyphen/>
        <w:t>но подавлялись зенитные средства с отворотом из круга в сторону огневой точки. Благодаря повышенной скорос</w:t>
      </w:r>
      <w:r w:rsidRPr="00F90EAE">
        <w:rPr>
          <w:color w:val="000000" w:themeColor="text1"/>
          <w:sz w:val="16"/>
          <w:szCs w:val="16"/>
        </w:rPr>
        <w:softHyphen/>
        <w:t>ти и маневренности Ил-10 экипаж, ата</w:t>
      </w:r>
      <w:r w:rsidRPr="00F90EAE">
        <w:rPr>
          <w:color w:val="000000" w:themeColor="text1"/>
          <w:sz w:val="16"/>
          <w:szCs w:val="16"/>
        </w:rPr>
        <w:softHyphen/>
        <w:t>ковавший зенитную точку, затем легко возвращался на свое место в строю.</w:t>
      </w:r>
    </w:p>
    <w:p w14:paraId="724BE6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Ввод в пикирование выполнялось на скорости 340-350 км/ч. Самолет Ил-10 пикирует устойчиво, легко набирает ско</w:t>
      </w:r>
      <w:r w:rsidRPr="00F90EAE">
        <w:rPr>
          <w:color w:val="000000" w:themeColor="text1"/>
          <w:sz w:val="16"/>
          <w:szCs w:val="16"/>
        </w:rPr>
        <w:softHyphen/>
        <w:t>рость 550-600 км/ч, после чего «с от</w:t>
      </w:r>
      <w:r w:rsidRPr="00F90EAE">
        <w:rPr>
          <w:color w:val="000000" w:themeColor="text1"/>
          <w:sz w:val="16"/>
          <w:szCs w:val="16"/>
        </w:rPr>
        <w:softHyphen/>
        <w:t>личной координацией и наивыгоднейшим углом набирает высоту за боевой разво</w:t>
      </w:r>
      <w:r w:rsidRPr="00F90EAE">
        <w:rPr>
          <w:color w:val="000000" w:themeColor="text1"/>
          <w:sz w:val="16"/>
          <w:szCs w:val="16"/>
        </w:rPr>
        <w:softHyphen/>
        <w:t>рот в среднем до 800-1000 м».</w:t>
      </w:r>
    </w:p>
    <w:p w14:paraId="64CB99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Летчики отмечали, что «вследствие легкости управления и повышенной скорости легко замыкается «круг», эффективно выполняется противозе</w:t>
      </w:r>
      <w:r w:rsidRPr="00F90EAE">
        <w:rPr>
          <w:color w:val="000000" w:themeColor="text1"/>
          <w:sz w:val="16"/>
          <w:szCs w:val="16"/>
        </w:rPr>
        <w:softHyphen/>
        <w:t>нитный маневр». Противозенитный маневр выполнялся в «пеленге» с ми</w:t>
      </w:r>
      <w:r w:rsidRPr="00F90EAE">
        <w:rPr>
          <w:color w:val="000000" w:themeColor="text1"/>
          <w:sz w:val="16"/>
          <w:szCs w:val="16"/>
        </w:rPr>
        <w:softHyphen/>
        <w:t>нимальной глубиной строя и с увели</w:t>
      </w:r>
      <w:r w:rsidRPr="00F90EAE">
        <w:rPr>
          <w:color w:val="000000" w:themeColor="text1"/>
          <w:sz w:val="16"/>
          <w:szCs w:val="16"/>
        </w:rPr>
        <w:softHyphen/>
        <w:t>ченными интервалами. Маневрирова</w:t>
      </w:r>
      <w:r w:rsidRPr="00F90EAE">
        <w:rPr>
          <w:color w:val="000000" w:themeColor="text1"/>
          <w:sz w:val="16"/>
          <w:szCs w:val="16"/>
        </w:rPr>
        <w:softHyphen/>
        <w:t>ние выполнялось одиночными самоле</w:t>
      </w:r>
      <w:r w:rsidRPr="00F90EAE">
        <w:rPr>
          <w:color w:val="000000" w:themeColor="text1"/>
          <w:sz w:val="16"/>
          <w:szCs w:val="16"/>
        </w:rPr>
        <w:softHyphen/>
        <w:t>тами, как по высоте, так и по курсу: применялись боевые развороты, «змейка», уход от цели на бреющем полете и т.д. Особенно выгоден маневр по высоте, ввиду высокой вертикаль</w:t>
      </w:r>
      <w:r w:rsidRPr="00F90EAE">
        <w:rPr>
          <w:color w:val="000000" w:themeColor="text1"/>
          <w:sz w:val="16"/>
          <w:szCs w:val="16"/>
        </w:rPr>
        <w:softHyphen/>
        <w:t>ной маневренности Ил-10.</w:t>
      </w:r>
    </w:p>
    <w:p w14:paraId="71BF70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большинстве случаев, зенитный огонь по самолетам Ил-10 велся при</w:t>
      </w:r>
      <w:r w:rsidRPr="00F90EAE">
        <w:rPr>
          <w:color w:val="000000" w:themeColor="text1"/>
          <w:sz w:val="16"/>
          <w:szCs w:val="16"/>
        </w:rPr>
        <w:softHyphen/>
        <w:t>цельно и сосредоточивался на веду</w:t>
      </w:r>
      <w:r w:rsidRPr="00F90EAE">
        <w:rPr>
          <w:color w:val="000000" w:themeColor="text1"/>
          <w:sz w:val="16"/>
          <w:szCs w:val="16"/>
        </w:rPr>
        <w:softHyphen/>
        <w:t>щем самолете обычно еще до подхода к цели. При применении экипажами Ил-10 противозенитного маневра раз</w:t>
      </w:r>
      <w:r w:rsidRPr="00F90EAE">
        <w:rPr>
          <w:color w:val="000000" w:themeColor="text1"/>
          <w:sz w:val="16"/>
          <w:szCs w:val="16"/>
        </w:rPr>
        <w:softHyphen/>
        <w:t>рывы наблюдались сзади группы, так как немецкие зенитные расчеты ори</w:t>
      </w:r>
      <w:r w:rsidRPr="00F90EAE">
        <w:rPr>
          <w:color w:val="000000" w:themeColor="text1"/>
          <w:sz w:val="16"/>
          <w:szCs w:val="16"/>
        </w:rPr>
        <w:softHyphen/>
        <w:t>ентировались на летные данные Ил-2, скорость которого меньше.</w:t>
      </w:r>
    </w:p>
    <w:p w14:paraId="585DA0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 же время ввиду повышенной скорости полета Ил-10 поиск целей на поле боя стал более сложным, чем на самолете Ил-2. При атаке цели на Ил-10 прицеливаться легче, чем на Ил-2.</w:t>
      </w:r>
    </w:p>
    <w:p w14:paraId="1AF56A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появлении истребителей про</w:t>
      </w:r>
      <w:r w:rsidRPr="00F90EAE">
        <w:rPr>
          <w:color w:val="000000" w:themeColor="text1"/>
          <w:sz w:val="16"/>
          <w:szCs w:val="16"/>
        </w:rPr>
        <w:softHyphen/>
        <w:t>тивника Ил-10 становились в оборо</w:t>
      </w:r>
      <w:r w:rsidRPr="00F90EAE">
        <w:rPr>
          <w:color w:val="000000" w:themeColor="text1"/>
          <w:sz w:val="16"/>
          <w:szCs w:val="16"/>
        </w:rPr>
        <w:softHyphen/>
        <w:t>нительный «круг». Дистанция между самолетами в круге из 6-8 Ил-10 со</w:t>
      </w:r>
      <w:r w:rsidRPr="00F90EAE">
        <w:rPr>
          <w:color w:val="000000" w:themeColor="text1"/>
          <w:sz w:val="16"/>
          <w:szCs w:val="16"/>
        </w:rPr>
        <w:softHyphen/>
        <w:t>ставляла 200-300 м. Пилотирование в круге выполнялось на скоростях 350-380 км/ч. При попытке пилотов люфт</w:t>
      </w:r>
      <w:r w:rsidRPr="00F90EAE">
        <w:rPr>
          <w:color w:val="000000" w:themeColor="text1"/>
          <w:sz w:val="16"/>
          <w:szCs w:val="16"/>
        </w:rPr>
        <w:softHyphen/>
        <w:t>ваффе атаковать штурмовиков, ведо</w:t>
      </w:r>
      <w:r w:rsidRPr="00F90EAE">
        <w:rPr>
          <w:color w:val="000000" w:themeColor="text1"/>
          <w:sz w:val="16"/>
          <w:szCs w:val="16"/>
        </w:rPr>
        <w:softHyphen/>
        <w:t>мые энергичным отворотом на 30-45° в сторону истребителей отражали их атаки, а затем легко занимали свое ме</w:t>
      </w:r>
      <w:r w:rsidRPr="00F90EAE">
        <w:rPr>
          <w:color w:val="000000" w:themeColor="text1"/>
          <w:sz w:val="16"/>
          <w:szCs w:val="16"/>
        </w:rPr>
        <w:softHyphen/>
        <w:t>сто в круге за счет «запаса скорости, маневренности и легкости в управле</w:t>
      </w:r>
      <w:r w:rsidRPr="00F90EAE">
        <w:rPr>
          <w:color w:val="000000" w:themeColor="text1"/>
          <w:sz w:val="16"/>
          <w:szCs w:val="16"/>
        </w:rPr>
        <w:softHyphen/>
        <w:t>нии».</w:t>
      </w:r>
    </w:p>
    <w:p w14:paraId="53FE5F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отчетных документах особенно отмечалось, что самолет Ил-10 более скоростной и маневренный, чем Ил-2, поэтому борьбу с истребителями про</w:t>
      </w:r>
      <w:r w:rsidRPr="00F90EAE">
        <w:rPr>
          <w:color w:val="000000" w:themeColor="text1"/>
          <w:sz w:val="16"/>
          <w:szCs w:val="16"/>
        </w:rPr>
        <w:softHyphen/>
        <w:t>тивника вести легче.</w:t>
      </w:r>
    </w:p>
    <w:p w14:paraId="60B307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Атаки немецкие пилоты выполняли сзади сверху, снизу и сбоку под раккур-сами 0/4,1/4 и 2/4. Огонь открывался с больших дистанций - 400-500 м, и до дистанции 200 м велся длинными оче</w:t>
      </w:r>
      <w:r w:rsidRPr="00F90EAE">
        <w:rPr>
          <w:color w:val="000000" w:themeColor="text1"/>
          <w:sz w:val="16"/>
          <w:szCs w:val="16"/>
        </w:rPr>
        <w:softHyphen/>
        <w:t>редями, а затем - средними очередями.</w:t>
      </w:r>
    </w:p>
    <w:p w14:paraId="4F3D25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Отмечались случаи встречи с новей-шими истребителями люфтваффе Ри 1900-9. Летчики указывали, что они «обладают большим диапазоном скоро</w:t>
      </w:r>
      <w:r w:rsidRPr="00F90EAE">
        <w:rPr>
          <w:color w:val="000000" w:themeColor="text1"/>
          <w:sz w:val="16"/>
          <w:szCs w:val="16"/>
        </w:rPr>
        <w:softHyphen/>
        <w:t>стей - атака производится на неболь</w:t>
      </w:r>
      <w:r w:rsidRPr="00F90EAE">
        <w:rPr>
          <w:color w:val="000000" w:themeColor="text1"/>
          <w:sz w:val="16"/>
          <w:szCs w:val="16"/>
        </w:rPr>
        <w:softHyphen/>
        <w:t>шой скорости, но подход и уход на боль</w:t>
      </w:r>
      <w:r w:rsidRPr="00F90EAE">
        <w:rPr>
          <w:color w:val="000000" w:themeColor="text1"/>
          <w:sz w:val="16"/>
          <w:szCs w:val="16"/>
        </w:rPr>
        <w:softHyphen/>
        <w:t>ших, и наши истребители не успевают реагировать».</w:t>
      </w:r>
    </w:p>
    <w:p w14:paraId="77E29C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общему мнению летного соста</w:t>
      </w:r>
      <w:r w:rsidRPr="00F90EAE">
        <w:rPr>
          <w:color w:val="000000" w:themeColor="text1"/>
          <w:sz w:val="16"/>
          <w:szCs w:val="16"/>
        </w:rPr>
        <w:softHyphen/>
        <w:t>ва для прикрытия группы из 6-8 само</w:t>
      </w:r>
      <w:r w:rsidRPr="00F90EAE">
        <w:rPr>
          <w:color w:val="000000" w:themeColor="text1"/>
          <w:sz w:val="16"/>
          <w:szCs w:val="16"/>
        </w:rPr>
        <w:softHyphen/>
        <w:t>летов Ил-10 применительно к услови</w:t>
      </w:r>
      <w:r w:rsidRPr="00F90EAE">
        <w:rPr>
          <w:color w:val="000000" w:themeColor="text1"/>
          <w:sz w:val="16"/>
          <w:szCs w:val="16"/>
        </w:rPr>
        <w:softHyphen/>
        <w:t>ям воздушной обстановки конца вой</w:t>
      </w:r>
      <w:r w:rsidRPr="00F90EAE">
        <w:rPr>
          <w:color w:val="000000" w:themeColor="text1"/>
          <w:sz w:val="16"/>
          <w:szCs w:val="16"/>
        </w:rPr>
        <w:softHyphen/>
        <w:t>ны достаточно выделять две пары ис</w:t>
      </w:r>
      <w:r w:rsidRPr="00F90EAE">
        <w:rPr>
          <w:color w:val="000000" w:themeColor="text1"/>
          <w:sz w:val="16"/>
          <w:szCs w:val="16"/>
        </w:rPr>
        <w:softHyphen/>
        <w:t>требителей, на группу из 4 Ил-10 - до</w:t>
      </w:r>
      <w:r w:rsidRPr="00F90EAE">
        <w:rPr>
          <w:color w:val="000000" w:themeColor="text1"/>
          <w:sz w:val="16"/>
          <w:szCs w:val="16"/>
        </w:rPr>
        <w:softHyphen/>
        <w:t>статочно одной пары.</w:t>
      </w:r>
    </w:p>
    <w:p w14:paraId="4BA169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штурмовик сравнивали в первую очередь с его предшественни</w:t>
      </w:r>
      <w:r w:rsidRPr="00F90EAE">
        <w:rPr>
          <w:color w:val="000000" w:themeColor="text1"/>
          <w:sz w:val="16"/>
          <w:szCs w:val="16"/>
        </w:rPr>
        <w:softHyphen/>
        <w:t>ком, знаменитым Ил-2. Ил-10 имел мно</w:t>
      </w:r>
      <w:r w:rsidRPr="00F90EAE">
        <w:rPr>
          <w:color w:val="000000" w:themeColor="text1"/>
          <w:sz w:val="16"/>
          <w:szCs w:val="16"/>
        </w:rPr>
        <w:softHyphen/>
        <w:t>го преимуществ по сравнению с ним. Цельнометаллическая конструкция уп</w:t>
      </w:r>
      <w:r w:rsidRPr="00F90EAE">
        <w:rPr>
          <w:color w:val="000000" w:themeColor="text1"/>
          <w:sz w:val="16"/>
          <w:szCs w:val="16"/>
        </w:rPr>
        <w:softHyphen/>
        <w:t>рощала уход за самолетом и увеличи</w:t>
      </w:r>
      <w:r w:rsidRPr="00F90EAE">
        <w:rPr>
          <w:color w:val="000000" w:themeColor="text1"/>
          <w:sz w:val="16"/>
          <w:szCs w:val="16"/>
        </w:rPr>
        <w:softHyphen/>
        <w:t>вала срок его службы. Этому способ</w:t>
      </w:r>
      <w:r w:rsidRPr="00F90EAE">
        <w:rPr>
          <w:color w:val="000000" w:themeColor="text1"/>
          <w:sz w:val="16"/>
          <w:szCs w:val="16"/>
        </w:rPr>
        <w:softHyphen/>
        <w:t>ствовали также применение потайной клепки и качественная окраска маши</w:t>
      </w:r>
      <w:r w:rsidRPr="00F90EAE">
        <w:rPr>
          <w:color w:val="000000" w:themeColor="text1"/>
          <w:sz w:val="16"/>
          <w:szCs w:val="16"/>
        </w:rPr>
        <w:softHyphen/>
        <w:t>ны. Удобные эксплуатационные люки обеспечивали хороший подход к тру</w:t>
      </w:r>
      <w:r w:rsidRPr="00F90EAE">
        <w:rPr>
          <w:color w:val="000000" w:themeColor="text1"/>
          <w:sz w:val="16"/>
          <w:szCs w:val="16"/>
        </w:rPr>
        <w:softHyphen/>
        <w:t>бопроводам, агрегатам и деталям уп</w:t>
      </w:r>
      <w:r w:rsidRPr="00F90EAE">
        <w:rPr>
          <w:color w:val="000000" w:themeColor="text1"/>
          <w:sz w:val="16"/>
          <w:szCs w:val="16"/>
        </w:rPr>
        <w:softHyphen/>
        <w:t>равления.</w:t>
      </w:r>
    </w:p>
    <w:p w14:paraId="0A524B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документах особо отмечалось, что Ил-10 более скоростной, чем старый Ил-2. Максимальная скорость у земли «десяток» первых серий фиксирова</w:t>
      </w:r>
      <w:r w:rsidRPr="00F90EAE">
        <w:rPr>
          <w:color w:val="000000" w:themeColor="text1"/>
          <w:sz w:val="16"/>
          <w:szCs w:val="16"/>
        </w:rPr>
        <w:softHyphen/>
        <w:t>лась на уровне 500-505 км/ч, что по</w:t>
      </w:r>
      <w:r w:rsidRPr="00F90EAE">
        <w:rPr>
          <w:color w:val="000000" w:themeColor="text1"/>
          <w:sz w:val="16"/>
          <w:szCs w:val="16"/>
        </w:rPr>
        <w:softHyphen/>
        <w:t>зволяло эффективнее бороться с ис</w:t>
      </w:r>
      <w:r w:rsidRPr="00F90EAE">
        <w:rPr>
          <w:color w:val="000000" w:themeColor="text1"/>
          <w:sz w:val="16"/>
          <w:szCs w:val="16"/>
        </w:rPr>
        <w:softHyphen/>
        <w:t>требителями противника и уклонять</w:t>
      </w:r>
      <w:r w:rsidRPr="00F90EAE">
        <w:rPr>
          <w:color w:val="000000" w:themeColor="text1"/>
          <w:sz w:val="16"/>
          <w:szCs w:val="16"/>
        </w:rPr>
        <w:softHyphen/>
        <w:t>ся от огня зенитной артиллерии.</w:t>
      </w:r>
    </w:p>
    <w:p w14:paraId="123794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Нормальная скорость на маршруте составляла около 350 км/ч. Оптималь</w:t>
      </w:r>
      <w:r w:rsidRPr="00F90EAE">
        <w:rPr>
          <w:color w:val="000000" w:themeColor="text1"/>
          <w:sz w:val="16"/>
          <w:szCs w:val="16"/>
        </w:rPr>
        <w:softHyphen/>
        <w:t>ным режимом полета на Ил-10 на вы</w:t>
      </w:r>
      <w:r w:rsidRPr="00F90EAE">
        <w:rPr>
          <w:color w:val="000000" w:themeColor="text1"/>
          <w:sz w:val="16"/>
          <w:szCs w:val="16"/>
        </w:rPr>
        <w:softHyphen/>
        <w:t>соте 500-800 м считался режим: 1500 об/мин и давление на всасывании 725 мм.рт.ст. Однако оказалось, что при длительном полете на этом режиме заб</w:t>
      </w:r>
      <w:r w:rsidRPr="00F90EAE">
        <w:rPr>
          <w:color w:val="000000" w:themeColor="text1"/>
          <w:sz w:val="16"/>
          <w:szCs w:val="16"/>
        </w:rPr>
        <w:softHyphen/>
        <w:t>рызгивались свечи, мотор трясло. По</w:t>
      </w:r>
      <w:r w:rsidRPr="00F90EAE">
        <w:rPr>
          <w:color w:val="000000" w:themeColor="text1"/>
          <w:sz w:val="16"/>
          <w:szCs w:val="16"/>
        </w:rPr>
        <w:softHyphen/>
        <w:t>этому в частях реально летали на ре</w:t>
      </w:r>
      <w:r w:rsidRPr="00F90EAE">
        <w:rPr>
          <w:color w:val="000000" w:themeColor="text1"/>
          <w:sz w:val="16"/>
          <w:szCs w:val="16"/>
        </w:rPr>
        <w:softHyphen/>
        <w:t>жиме: 1700 об/мин и 750 мм.рт.ст. По этой причине не добирали по дально</w:t>
      </w:r>
      <w:r w:rsidRPr="00F90EAE">
        <w:rPr>
          <w:color w:val="000000" w:themeColor="text1"/>
          <w:sz w:val="16"/>
          <w:szCs w:val="16"/>
        </w:rPr>
        <w:softHyphen/>
        <w:t>сти примерно 5 минут полета, что со</w:t>
      </w:r>
      <w:r w:rsidRPr="00F90EAE">
        <w:rPr>
          <w:color w:val="000000" w:themeColor="text1"/>
          <w:sz w:val="16"/>
          <w:szCs w:val="16"/>
        </w:rPr>
        <w:softHyphen/>
        <w:t>вершенно не отражалось на выполне</w:t>
      </w:r>
      <w:r w:rsidRPr="00F90EAE">
        <w:rPr>
          <w:color w:val="000000" w:themeColor="text1"/>
          <w:sz w:val="16"/>
          <w:szCs w:val="16"/>
        </w:rPr>
        <w:softHyphen/>
        <w:t>нии боевых заданий, так как летать на предельный радиус не приходилось. Посадочная скорость со щитками была в пределах 148-150 км/ч, а без щитков - 168 км/ч.</w:t>
      </w:r>
    </w:p>
    <w:p w14:paraId="7947A3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сравнении с Ил-2 самолет Ил-10 при выполнении фигур высшего пи</w:t>
      </w:r>
      <w:r w:rsidRPr="00F90EAE">
        <w:rPr>
          <w:color w:val="000000" w:themeColor="text1"/>
          <w:sz w:val="16"/>
          <w:szCs w:val="16"/>
        </w:rPr>
        <w:softHyphen/>
        <w:t>лотажа оказался более устойчив, осо</w:t>
      </w:r>
      <w:r w:rsidRPr="00F90EAE">
        <w:rPr>
          <w:color w:val="000000" w:themeColor="text1"/>
          <w:sz w:val="16"/>
          <w:szCs w:val="16"/>
        </w:rPr>
        <w:softHyphen/>
        <w:t>бенно на виражах.</w:t>
      </w:r>
    </w:p>
    <w:p w14:paraId="4C5737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общему мнению, для успешного боевого применения и эксплуатации Ил-10 требуется только хорошая и от</w:t>
      </w:r>
      <w:r w:rsidRPr="00F90EAE">
        <w:rPr>
          <w:color w:val="000000" w:themeColor="text1"/>
          <w:sz w:val="16"/>
          <w:szCs w:val="16"/>
        </w:rPr>
        <w:softHyphen/>
        <w:t>личная подготовка летного состава в технике пилотирования самолетом, а также отличные знания материальной части. При этом летчики особо отме</w:t>
      </w:r>
      <w:r w:rsidRPr="00F90EAE">
        <w:rPr>
          <w:color w:val="000000" w:themeColor="text1"/>
          <w:sz w:val="16"/>
          <w:szCs w:val="16"/>
        </w:rPr>
        <w:softHyphen/>
        <w:t>чали, что «десятка» «совершенно не терпит летного состава, недостаточно оттренированного во взлете и посад</w:t>
      </w:r>
      <w:r w:rsidRPr="00F90EAE">
        <w:rPr>
          <w:color w:val="000000" w:themeColor="text1"/>
          <w:sz w:val="16"/>
          <w:szCs w:val="16"/>
        </w:rPr>
        <w:softHyphen/>
        <w:t>ке»: «Самолет требует исключитель</w:t>
      </w:r>
      <w:r w:rsidRPr="00F90EAE">
        <w:rPr>
          <w:color w:val="000000" w:themeColor="text1"/>
          <w:sz w:val="16"/>
          <w:szCs w:val="16"/>
        </w:rPr>
        <w:softHyphen/>
        <w:t>но низкого истребительного подхода, а на взлете в первой половине разбега имеет тенденцию к рысканию, в боль</w:t>
      </w:r>
      <w:r w:rsidRPr="00F90EAE">
        <w:rPr>
          <w:color w:val="000000" w:themeColor="text1"/>
          <w:sz w:val="16"/>
          <w:szCs w:val="16"/>
        </w:rPr>
        <w:softHyphen/>
        <w:t>шинстве случаев с отклонением впра</w:t>
      </w:r>
      <w:r w:rsidRPr="00F90EAE">
        <w:rPr>
          <w:color w:val="000000" w:themeColor="text1"/>
          <w:sz w:val="16"/>
          <w:szCs w:val="16"/>
        </w:rPr>
        <w:softHyphen/>
        <w:t>во. ...Самолет требует исключитель</w:t>
      </w:r>
      <w:r w:rsidRPr="00F90EAE">
        <w:rPr>
          <w:color w:val="000000" w:themeColor="text1"/>
          <w:sz w:val="16"/>
          <w:szCs w:val="16"/>
        </w:rPr>
        <w:softHyphen/>
        <w:t>ного внимания, так как рулит неустой</w:t>
      </w:r>
      <w:r w:rsidRPr="00F90EAE">
        <w:rPr>
          <w:color w:val="000000" w:themeColor="text1"/>
          <w:sz w:val="16"/>
          <w:szCs w:val="16"/>
        </w:rPr>
        <w:softHyphen/>
        <w:t>чиво. При невнимательном или негра</w:t>
      </w:r>
      <w:r w:rsidRPr="00F90EAE">
        <w:rPr>
          <w:color w:val="000000" w:themeColor="text1"/>
          <w:sz w:val="16"/>
          <w:szCs w:val="16"/>
        </w:rPr>
        <w:softHyphen/>
        <w:t>мотном действии можно вращение на 360° и неоднократно».</w:t>
      </w:r>
    </w:p>
    <w:p w14:paraId="48FF65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Тенденция к развороту вправо обуславливалась сильным реактивным моментом вращающегося винта и уз</w:t>
      </w:r>
      <w:r w:rsidRPr="00F90EAE">
        <w:rPr>
          <w:color w:val="000000" w:themeColor="text1"/>
          <w:sz w:val="16"/>
          <w:szCs w:val="16"/>
        </w:rPr>
        <w:softHyphen/>
        <w:t>кой колеей шасси. Последнее в сово</w:t>
      </w:r>
      <w:r w:rsidRPr="00F90EAE">
        <w:rPr>
          <w:color w:val="000000" w:themeColor="text1"/>
          <w:sz w:val="16"/>
          <w:szCs w:val="16"/>
        </w:rPr>
        <w:softHyphen/>
        <w:t>купности с недостаточным обзором вперед приводило к тому, что даже лет</w:t>
      </w:r>
      <w:r w:rsidRPr="00F90EAE">
        <w:rPr>
          <w:color w:val="000000" w:themeColor="text1"/>
          <w:sz w:val="16"/>
          <w:szCs w:val="16"/>
        </w:rPr>
        <w:softHyphen/>
        <w:t>чик с хорошей техникой пилотирова</w:t>
      </w:r>
      <w:r w:rsidRPr="00F90EAE">
        <w:rPr>
          <w:color w:val="000000" w:themeColor="text1"/>
          <w:sz w:val="16"/>
          <w:szCs w:val="16"/>
        </w:rPr>
        <w:softHyphen/>
        <w:t>ния не всегда мог выдержать направ</w:t>
      </w:r>
      <w:r w:rsidRPr="00F90EAE">
        <w:rPr>
          <w:color w:val="000000" w:themeColor="text1"/>
          <w:sz w:val="16"/>
          <w:szCs w:val="16"/>
        </w:rPr>
        <w:softHyphen/>
        <w:t>ление взлета, особенно с сильным бо</w:t>
      </w:r>
      <w:r w:rsidRPr="00F90EAE">
        <w:rPr>
          <w:color w:val="000000" w:themeColor="text1"/>
          <w:sz w:val="16"/>
          <w:szCs w:val="16"/>
        </w:rPr>
        <w:softHyphen/>
        <w:t>ковым ветром. Чтобы взлететь при сильном боковом ветре опытные лет</w:t>
      </w:r>
      <w:r w:rsidRPr="00F90EAE">
        <w:rPr>
          <w:color w:val="000000" w:themeColor="text1"/>
          <w:sz w:val="16"/>
          <w:szCs w:val="16"/>
        </w:rPr>
        <w:softHyphen/>
        <w:t>чики зачастую сознательно шли на на</w:t>
      </w:r>
      <w:r w:rsidRPr="00F90EAE">
        <w:rPr>
          <w:color w:val="000000" w:themeColor="text1"/>
          <w:sz w:val="16"/>
          <w:szCs w:val="16"/>
        </w:rPr>
        <w:softHyphen/>
        <w:t>рушение инструкции: для парирования разворота самолета вследствие сильного ветра кратковременно нажи</w:t>
      </w:r>
      <w:r w:rsidRPr="00F90EAE">
        <w:rPr>
          <w:color w:val="000000" w:themeColor="text1"/>
          <w:sz w:val="16"/>
          <w:szCs w:val="16"/>
        </w:rPr>
        <w:softHyphen/>
        <w:t>мали на тормоз. «Молодые» же подоб</w:t>
      </w:r>
      <w:r w:rsidRPr="00F90EAE">
        <w:rPr>
          <w:color w:val="000000" w:themeColor="text1"/>
          <w:sz w:val="16"/>
          <w:szCs w:val="16"/>
        </w:rPr>
        <w:softHyphen/>
        <w:t>ных вольностей позволить себе не мог</w:t>
      </w:r>
      <w:r w:rsidRPr="00F90EAE">
        <w:rPr>
          <w:color w:val="000000" w:themeColor="text1"/>
          <w:sz w:val="16"/>
          <w:szCs w:val="16"/>
        </w:rPr>
        <w:softHyphen/>
        <w:t>ли - в результате их разворачивало по</w:t>
      </w:r>
      <w:r w:rsidRPr="00F90EAE">
        <w:rPr>
          <w:color w:val="000000" w:themeColor="text1"/>
          <w:sz w:val="16"/>
          <w:szCs w:val="16"/>
        </w:rPr>
        <w:softHyphen/>
        <w:t>перек полосы, и они прекращали взлет. С подобной особенностью Ил-10 стол</w:t>
      </w:r>
      <w:r w:rsidRPr="00F90EAE">
        <w:rPr>
          <w:color w:val="000000" w:themeColor="text1"/>
          <w:sz w:val="16"/>
          <w:szCs w:val="16"/>
        </w:rPr>
        <w:softHyphen/>
        <w:t>кнулись абсолютно во всех штурмовых авиаполках.</w:t>
      </w:r>
    </w:p>
    <w:p w14:paraId="08E0ED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Именно по этой причине л-т Г. А. Веселов из 571-го шап 15 апреля раз</w:t>
      </w:r>
      <w:r w:rsidRPr="00F90EAE">
        <w:rPr>
          <w:color w:val="000000" w:themeColor="text1"/>
          <w:sz w:val="16"/>
          <w:szCs w:val="16"/>
        </w:rPr>
        <w:softHyphen/>
        <w:t>бил свой самолет при взлете на боевое задание.</w:t>
      </w:r>
    </w:p>
    <w:p w14:paraId="3814F6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апреля на взлете потерпел ава</w:t>
      </w:r>
      <w:r w:rsidRPr="00F90EAE">
        <w:rPr>
          <w:color w:val="000000" w:themeColor="text1"/>
          <w:sz w:val="16"/>
          <w:szCs w:val="16"/>
        </w:rPr>
        <w:softHyphen/>
        <w:t>рию командир звена 108-го ГШАП л-т Е. А. Молтаков. В начале разбега само</w:t>
      </w:r>
      <w:r w:rsidRPr="00F90EAE">
        <w:rPr>
          <w:color w:val="000000" w:themeColor="text1"/>
          <w:sz w:val="16"/>
          <w:szCs w:val="16"/>
        </w:rPr>
        <w:softHyphen/>
        <w:t>лет развернулся вправо на 7-8°, сво</w:t>
      </w:r>
      <w:r w:rsidRPr="00F90EAE">
        <w:rPr>
          <w:color w:val="000000" w:themeColor="text1"/>
          <w:sz w:val="16"/>
          <w:szCs w:val="16"/>
        </w:rPr>
        <w:softHyphen/>
        <w:t>евременно парировать разворот лет</w:t>
      </w:r>
      <w:r w:rsidRPr="00F90EAE">
        <w:rPr>
          <w:color w:val="000000" w:themeColor="text1"/>
          <w:sz w:val="16"/>
          <w:szCs w:val="16"/>
        </w:rPr>
        <w:softHyphen/>
        <w:t>чик не смог. Самолет, выйдя с укатан</w:t>
      </w:r>
      <w:r w:rsidRPr="00F90EAE">
        <w:rPr>
          <w:color w:val="000000" w:themeColor="text1"/>
          <w:sz w:val="16"/>
          <w:szCs w:val="16"/>
        </w:rPr>
        <w:softHyphen/>
        <w:t>ной полосы правым колесом, развер</w:t>
      </w:r>
      <w:r w:rsidRPr="00F90EAE">
        <w:rPr>
          <w:color w:val="000000" w:themeColor="text1"/>
          <w:sz w:val="16"/>
          <w:szCs w:val="16"/>
        </w:rPr>
        <w:softHyphen/>
        <w:t>нулся вправо еще больше. Однако Мол</w:t>
      </w:r>
      <w:r w:rsidRPr="00F90EAE">
        <w:rPr>
          <w:color w:val="000000" w:themeColor="text1"/>
          <w:sz w:val="16"/>
          <w:szCs w:val="16"/>
        </w:rPr>
        <w:softHyphen/>
        <w:t>таков взлет не прекратил, «дал форсаж и подорвал машину». Самолет свалил</w:t>
      </w:r>
      <w:r w:rsidRPr="00F90EAE">
        <w:rPr>
          <w:color w:val="000000" w:themeColor="text1"/>
          <w:sz w:val="16"/>
          <w:szCs w:val="16"/>
        </w:rPr>
        <w:softHyphen/>
        <w:t>ся на правое крыло и скапотировал. Экипаж получил ранения и отправлен в госпиталь, а Ил-10 зав. № 103051 -списан.</w:t>
      </w:r>
    </w:p>
    <w:p w14:paraId="174B8A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вылете на боевое задание 12 экипажей 118-го гшап 8 мая из-за сильного бокового ветра взлететь смогли только шестерка Верещинско-го и пара из состава шестерки к-на Свищева - сам Свищев и помощник ко</w:t>
      </w:r>
      <w:r w:rsidRPr="00F90EAE">
        <w:rPr>
          <w:color w:val="000000" w:themeColor="text1"/>
          <w:sz w:val="16"/>
          <w:szCs w:val="16"/>
        </w:rPr>
        <w:softHyphen/>
        <w:t>мандира полка по воздушно-стрелко</w:t>
      </w:r>
      <w:r w:rsidRPr="00F90EAE">
        <w:rPr>
          <w:color w:val="000000" w:themeColor="text1"/>
          <w:sz w:val="16"/>
          <w:szCs w:val="16"/>
        </w:rPr>
        <w:softHyphen/>
        <w:t>вой службе м-р Шагинов.</w:t>
      </w:r>
    </w:p>
    <w:p w14:paraId="4802C8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отношении стрелково-пушечного вооружения нового штурмовика летный состав указывал, что оно не отличается от Ил-2, но пневмо-электрическое уп</w:t>
      </w:r>
      <w:r w:rsidRPr="00F90EAE">
        <w:rPr>
          <w:color w:val="000000" w:themeColor="text1"/>
          <w:sz w:val="16"/>
          <w:szCs w:val="16"/>
        </w:rPr>
        <w:softHyphen/>
        <w:t>равление огнем из пушек и пулеметов «исключительноудобное, облегчает ра</w:t>
      </w:r>
      <w:r w:rsidRPr="00F90EAE">
        <w:rPr>
          <w:color w:val="000000" w:themeColor="text1"/>
          <w:sz w:val="16"/>
          <w:szCs w:val="16"/>
        </w:rPr>
        <w:softHyphen/>
        <w:t>боту летчика и сделано удачно».</w:t>
      </w:r>
    </w:p>
    <w:p w14:paraId="2DDD88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бомбовому вооружению были претензии, поскольку после сброса бомб бомболюки было очень трудно закрыть, так как предусмотренная на самолете механическая система для зак</w:t>
      </w:r>
      <w:r w:rsidRPr="00F90EAE">
        <w:rPr>
          <w:color w:val="000000" w:themeColor="text1"/>
          <w:sz w:val="16"/>
          <w:szCs w:val="16"/>
        </w:rPr>
        <w:softHyphen/>
        <w:t>рытия створок требовала усилий до 20 кг и к тому же была крайне несовер</w:t>
      </w:r>
      <w:r w:rsidRPr="00F90EAE">
        <w:rPr>
          <w:color w:val="000000" w:themeColor="text1"/>
          <w:sz w:val="16"/>
          <w:szCs w:val="16"/>
        </w:rPr>
        <w:softHyphen/>
        <w:t>шенной -тросы часто обрывались и за</w:t>
      </w:r>
      <w:r w:rsidRPr="00F90EAE">
        <w:rPr>
          <w:color w:val="000000" w:themeColor="text1"/>
          <w:sz w:val="16"/>
          <w:szCs w:val="16"/>
        </w:rPr>
        <w:softHyphen/>
        <w:t>едали. Все это приводило ктому, что над целью экипажи после сброса бомб за</w:t>
      </w:r>
      <w:r w:rsidRPr="00F90EAE">
        <w:rPr>
          <w:color w:val="000000" w:themeColor="text1"/>
          <w:sz w:val="16"/>
          <w:szCs w:val="16"/>
        </w:rPr>
        <w:softHyphen/>
        <w:t>частую продолжали выполнять атаки с открытыми бомболюками. В результате «самолет терял в маневренности'», а створки бомболюков деформирова</w:t>
      </w:r>
      <w:r w:rsidRPr="00F90EAE">
        <w:rPr>
          <w:color w:val="000000" w:themeColor="text1"/>
          <w:sz w:val="16"/>
          <w:szCs w:val="16"/>
        </w:rPr>
        <w:softHyphen/>
        <w:t>лись. Кроме этого, имелись случаи, ког</w:t>
      </w:r>
      <w:r w:rsidRPr="00F90EAE">
        <w:rPr>
          <w:color w:val="000000" w:themeColor="text1"/>
          <w:sz w:val="16"/>
          <w:szCs w:val="16"/>
        </w:rPr>
        <w:softHyphen/>
        <w:t>да створки бомбовых отсеков открыва</w:t>
      </w:r>
      <w:r w:rsidRPr="00F90EAE">
        <w:rPr>
          <w:color w:val="000000" w:themeColor="text1"/>
          <w:sz w:val="16"/>
          <w:szCs w:val="16"/>
        </w:rPr>
        <w:softHyphen/>
        <w:t>лись не полностью и бомбы зависали.</w:t>
      </w:r>
    </w:p>
    <w:p w14:paraId="26BF34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Отметили летчики и более низкие возможности Ил-10 в сравнении с Ил-2 по загрузке самолета авиабомбами наиболее ходовых калибров - АО-25, АО-2,5, ПТАБ-2,5-1,5 и ФАБ-50.</w:t>
      </w:r>
    </w:p>
    <w:p w14:paraId="10402F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Что касается вопросов эксплуатации самолета Ил-10, то, помимо недостатков винтомоторной группы, выявилось весь</w:t>
      </w:r>
      <w:r w:rsidRPr="00F90EAE">
        <w:rPr>
          <w:color w:val="000000" w:themeColor="text1"/>
          <w:sz w:val="16"/>
          <w:szCs w:val="16"/>
        </w:rPr>
        <w:softHyphen/>
        <w:t>ма много конструктивных дефектов ма</w:t>
      </w:r>
      <w:r w:rsidRPr="00F90EAE">
        <w:rPr>
          <w:color w:val="000000" w:themeColor="text1"/>
          <w:sz w:val="16"/>
          <w:szCs w:val="16"/>
        </w:rPr>
        <w:softHyphen/>
        <w:t>шины и различных систем. При этом ряд из них были очень и очень серьезными.</w:t>
      </w:r>
    </w:p>
    <w:p w14:paraId="096E2D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деформа</w:t>
      </w:r>
      <w:r w:rsidRPr="00F90EAE">
        <w:rPr>
          <w:color w:val="000000" w:themeColor="text1"/>
          <w:sz w:val="16"/>
          <w:szCs w:val="16"/>
        </w:rPr>
        <w:softHyphen/>
        <w:t>ции верхней и нижней обшивки кон</w:t>
      </w:r>
      <w:r w:rsidRPr="00F90EAE">
        <w:rPr>
          <w:color w:val="000000" w:themeColor="text1"/>
          <w:sz w:val="16"/>
          <w:szCs w:val="16"/>
        </w:rPr>
        <w:softHyphen/>
        <w:t>сольной части крыла, срез и отрыв зак</w:t>
      </w:r>
      <w:r w:rsidRPr="00F90EAE">
        <w:rPr>
          <w:color w:val="000000" w:themeColor="text1"/>
          <w:sz w:val="16"/>
          <w:szCs w:val="16"/>
        </w:rPr>
        <w:softHyphen/>
        <w:t>лепок. На некоторых машинах наблю</w:t>
      </w:r>
      <w:r w:rsidRPr="00F90EAE">
        <w:rPr>
          <w:color w:val="000000" w:themeColor="text1"/>
          <w:sz w:val="16"/>
          <w:szCs w:val="16"/>
        </w:rPr>
        <w:softHyphen/>
        <w:t>далось отставание листов нижней об</w:t>
      </w:r>
      <w:r w:rsidRPr="00F90EAE">
        <w:rPr>
          <w:color w:val="000000" w:themeColor="text1"/>
          <w:sz w:val="16"/>
          <w:szCs w:val="16"/>
        </w:rPr>
        <w:softHyphen/>
        <w:t>шивки центроплана, сопровождавше</w:t>
      </w:r>
      <w:r w:rsidRPr="00F90EAE">
        <w:rPr>
          <w:color w:val="000000" w:themeColor="text1"/>
          <w:sz w:val="16"/>
          <w:szCs w:val="16"/>
        </w:rPr>
        <w:softHyphen/>
        <w:t xml:space="preserve">еся срезом заклепок по шву крепления листов к угольнику на бронекорпусе. </w:t>
      </w:r>
      <w:r w:rsidRPr="00F90EAE">
        <w:rPr>
          <w:color w:val="000000" w:themeColor="text1"/>
          <w:sz w:val="16"/>
          <w:szCs w:val="16"/>
        </w:rPr>
        <w:lastRenderedPageBreak/>
        <w:t>Имелись случаи ослабления заклепоч</w:t>
      </w:r>
      <w:r w:rsidRPr="00F90EAE">
        <w:rPr>
          <w:color w:val="000000" w:themeColor="text1"/>
          <w:sz w:val="16"/>
          <w:szCs w:val="16"/>
        </w:rPr>
        <w:softHyphen/>
        <w:t>ных швов обшивки фюзеляжа в облас</w:t>
      </w:r>
      <w:r w:rsidRPr="00F90EAE">
        <w:rPr>
          <w:color w:val="000000" w:themeColor="text1"/>
          <w:sz w:val="16"/>
          <w:szCs w:val="16"/>
        </w:rPr>
        <w:softHyphen/>
        <w:t>ти крепления костыльной установки, а также по листу перехода килевой час</w:t>
      </w:r>
      <w:r w:rsidRPr="00F90EAE">
        <w:rPr>
          <w:color w:val="000000" w:themeColor="text1"/>
          <w:sz w:val="16"/>
          <w:szCs w:val="16"/>
        </w:rPr>
        <w:softHyphen/>
        <w:t>ти фюзеляжа. Система шасси оказалась довольно слабой в прочностном отно</w:t>
      </w:r>
      <w:r w:rsidRPr="00F90EAE">
        <w:rPr>
          <w:color w:val="000000" w:themeColor="text1"/>
          <w:sz w:val="16"/>
          <w:szCs w:val="16"/>
        </w:rPr>
        <w:softHyphen/>
        <w:t>шении и ненадежной: ломались скла</w:t>
      </w:r>
      <w:r w:rsidRPr="00F90EAE">
        <w:rPr>
          <w:color w:val="000000" w:themeColor="text1"/>
          <w:sz w:val="16"/>
          <w:szCs w:val="16"/>
        </w:rPr>
        <w:softHyphen/>
        <w:t>дывающиеся подкосы шасси и обтека</w:t>
      </w:r>
      <w:r w:rsidRPr="00F90EAE">
        <w:rPr>
          <w:color w:val="000000" w:themeColor="text1"/>
          <w:sz w:val="16"/>
          <w:szCs w:val="16"/>
        </w:rPr>
        <w:softHyphen/>
        <w:t>тели хвостового колеса, наблюдались многочисленные случаи поломок и срывов обтекателя колеса шасси (так называемый «лопух») и т.д.</w:t>
      </w:r>
    </w:p>
    <w:p w14:paraId="62C85D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Летный состав особо указывал, что «самолет Ил-10 на пикировании не терпит резкостей в выводе, не допус</w:t>
      </w:r>
      <w:r w:rsidRPr="00F90EAE">
        <w:rPr>
          <w:color w:val="000000" w:themeColor="text1"/>
          <w:sz w:val="16"/>
          <w:szCs w:val="16"/>
        </w:rPr>
        <w:softHyphen/>
        <w:t>кает перегрузки 5,5 единиц».</w:t>
      </w:r>
    </w:p>
    <w:p w14:paraId="3BC774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Официально результаты и особен</w:t>
      </w:r>
      <w:r w:rsidRPr="00F90EAE">
        <w:rPr>
          <w:color w:val="000000" w:themeColor="text1"/>
          <w:sz w:val="16"/>
          <w:szCs w:val="16"/>
        </w:rPr>
        <w:softHyphen/>
        <w:t>ности боевого применения и эксплу</w:t>
      </w:r>
      <w:r w:rsidRPr="00F90EAE">
        <w:rPr>
          <w:color w:val="000000" w:themeColor="text1"/>
          <w:sz w:val="16"/>
          <w:szCs w:val="16"/>
        </w:rPr>
        <w:softHyphen/>
        <w:t>атации нового штурмовика Ил-10 фик</w:t>
      </w:r>
      <w:r w:rsidRPr="00F90EAE">
        <w:rPr>
          <w:color w:val="000000" w:themeColor="text1"/>
          <w:sz w:val="16"/>
          <w:szCs w:val="16"/>
        </w:rPr>
        <w:softHyphen/>
        <w:t>сировала бригада ГК НИИ ВВС, кото</w:t>
      </w:r>
      <w:r w:rsidRPr="00F90EAE">
        <w:rPr>
          <w:color w:val="000000" w:themeColor="text1"/>
          <w:sz w:val="16"/>
          <w:szCs w:val="16"/>
        </w:rPr>
        <w:softHyphen/>
        <w:t>рая все время находилась в 108-м ГШАП, на базе которого проходили войсковые испытания Ил-10.</w:t>
      </w:r>
    </w:p>
    <w:p w14:paraId="6DCB8A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состав бригады входили: веду</w:t>
      </w:r>
      <w:r w:rsidRPr="00F90EAE">
        <w:rPr>
          <w:color w:val="000000" w:themeColor="text1"/>
          <w:sz w:val="16"/>
          <w:szCs w:val="16"/>
        </w:rPr>
        <w:softHyphen/>
        <w:t>щий инженер-испытатель П. Т. Абро-щенко, ведущий летчик-испытатель А. К. Долгов, инженеры С. Г. Фролов, В. Н. Ковынев, В. Д. Кабанов, С. Т. Глу-щенко. Представителем от Управления ВВС КА был А. И. Алексеев.</w:t>
      </w:r>
    </w:p>
    <w:p w14:paraId="349D07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войсковых испы</w:t>
      </w:r>
      <w:r w:rsidRPr="00F90EAE">
        <w:rPr>
          <w:color w:val="000000" w:themeColor="text1"/>
          <w:sz w:val="16"/>
          <w:szCs w:val="16"/>
        </w:rPr>
        <w:softHyphen/>
        <w:t>таний к 108-му полку были прикоман</w:t>
      </w:r>
      <w:r w:rsidRPr="00F90EAE">
        <w:rPr>
          <w:color w:val="000000" w:themeColor="text1"/>
          <w:sz w:val="16"/>
          <w:szCs w:val="16"/>
        </w:rPr>
        <w:softHyphen/>
        <w:t>дированы также и несколько бригад от предприятий наркомата авиапро</w:t>
      </w:r>
      <w:r w:rsidRPr="00F90EAE">
        <w:rPr>
          <w:color w:val="000000" w:themeColor="text1"/>
          <w:sz w:val="16"/>
          <w:szCs w:val="16"/>
        </w:rPr>
        <w:softHyphen/>
        <w:t>мышленности. Бригаду специалистов 18-го авиазавода возглавлял старший инженер А. С. Руденко, 24-й моторос</w:t>
      </w:r>
      <w:r w:rsidRPr="00F90EAE">
        <w:rPr>
          <w:color w:val="000000" w:themeColor="text1"/>
          <w:sz w:val="16"/>
          <w:szCs w:val="16"/>
        </w:rPr>
        <w:softHyphen/>
        <w:t>троительный завод представлял инже</w:t>
      </w:r>
      <w:r w:rsidRPr="00F90EAE">
        <w:rPr>
          <w:color w:val="000000" w:themeColor="text1"/>
          <w:sz w:val="16"/>
          <w:szCs w:val="16"/>
        </w:rPr>
        <w:softHyphen/>
        <w:t>нер П. С. Захаров, а ОКБ Ильюшина на</w:t>
      </w:r>
      <w:r w:rsidRPr="00F90EAE">
        <w:rPr>
          <w:color w:val="000000" w:themeColor="text1"/>
          <w:sz w:val="16"/>
          <w:szCs w:val="16"/>
        </w:rPr>
        <w:softHyphen/>
        <w:t>правило двух ведущих конструкторов -Д. Л. Коклина (по вооружению) и В. А. Ерофеева (по моторной установке).</w:t>
      </w:r>
    </w:p>
    <w:p w14:paraId="073F3B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выводах отчета по результатам войсковых испытаний самолета Ил-10 указывалось, что:</w:t>
      </w:r>
    </w:p>
    <w:p w14:paraId="1FD597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Бомбовая нагрузка самолета по весу, назначению и калибру подвеши</w:t>
      </w:r>
      <w:r w:rsidRPr="00F90EAE">
        <w:rPr>
          <w:color w:val="000000" w:themeColor="text1"/>
          <w:sz w:val="16"/>
          <w:szCs w:val="16"/>
        </w:rPr>
        <w:softHyphen/>
        <w:t>ваемых авиабомб обеспечивает выпол</w:t>
      </w:r>
      <w:r w:rsidRPr="00F90EAE">
        <w:rPr>
          <w:color w:val="000000" w:themeColor="text1"/>
          <w:sz w:val="16"/>
          <w:szCs w:val="16"/>
        </w:rPr>
        <w:softHyphen/>
        <w:t>нение возлагаемых на самолет-штур</w:t>
      </w:r>
      <w:r w:rsidRPr="00F90EAE">
        <w:rPr>
          <w:color w:val="000000" w:themeColor="text1"/>
          <w:sz w:val="16"/>
          <w:szCs w:val="16"/>
        </w:rPr>
        <w:softHyphen/>
        <w:t>мовик задач.</w:t>
      </w:r>
    </w:p>
    <w:p w14:paraId="60241F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...Вооружение самолета Ил-10 по количеству боевых точек, калибру и боезапасу к ним отличия от вооруже</w:t>
      </w:r>
      <w:r w:rsidRPr="00F90EAE">
        <w:rPr>
          <w:color w:val="000000" w:themeColor="text1"/>
          <w:sz w:val="16"/>
          <w:szCs w:val="16"/>
        </w:rPr>
        <w:softHyphen/>
        <w:t>ния Ил-2 не имеет.</w:t>
      </w:r>
    </w:p>
    <w:p w14:paraId="64EA35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 действии по целям, прикры</w:t>
      </w:r>
      <w:r w:rsidRPr="00F90EAE">
        <w:rPr>
          <w:color w:val="000000" w:themeColor="text1"/>
          <w:sz w:val="16"/>
          <w:szCs w:val="16"/>
        </w:rPr>
        <w:softHyphen/>
        <w:t>тым истребителями противника, само</w:t>
      </w:r>
      <w:r w:rsidRPr="00F90EAE">
        <w:rPr>
          <w:color w:val="000000" w:themeColor="text1"/>
          <w:sz w:val="16"/>
          <w:szCs w:val="16"/>
        </w:rPr>
        <w:softHyphen/>
        <w:t>лет Ил-10 требует сопровождения в такой же степени, как и самолет Ил-2... Наличие большего диапазона скоро</w:t>
      </w:r>
      <w:r w:rsidRPr="00F90EAE">
        <w:rPr>
          <w:color w:val="000000" w:themeColor="text1"/>
          <w:sz w:val="16"/>
          <w:szCs w:val="16"/>
        </w:rPr>
        <w:softHyphen/>
        <w:t>стей и лучшей маневренности облегча</w:t>
      </w:r>
      <w:r w:rsidRPr="00F90EAE">
        <w:rPr>
          <w:color w:val="000000" w:themeColor="text1"/>
          <w:sz w:val="16"/>
          <w:szCs w:val="16"/>
        </w:rPr>
        <w:softHyphen/>
        <w:t>ет задачу истребителей сопровождения и позволяет Ил-10 вступать в актив</w:t>
      </w:r>
      <w:r w:rsidRPr="00F90EAE">
        <w:rPr>
          <w:color w:val="000000" w:themeColor="text1"/>
          <w:sz w:val="16"/>
          <w:szCs w:val="16"/>
        </w:rPr>
        <w:softHyphen/>
        <w:t>ный воздушный бой с противником.</w:t>
      </w:r>
    </w:p>
    <w:p w14:paraId="082547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.Живучесть конструкции (брони</w:t>
      </w:r>
      <w:r w:rsidRPr="00F90EAE">
        <w:rPr>
          <w:color w:val="000000" w:themeColor="text1"/>
          <w:sz w:val="16"/>
          <w:szCs w:val="16"/>
        </w:rPr>
        <w:softHyphen/>
        <w:t>рование экипажа и винтомоторной груп</w:t>
      </w:r>
      <w:r w:rsidRPr="00F90EAE">
        <w:rPr>
          <w:color w:val="000000" w:themeColor="text1"/>
          <w:sz w:val="16"/>
          <w:szCs w:val="16"/>
        </w:rPr>
        <w:softHyphen/>
        <w:t>пы) лучше, чем на самолете Ил-2, и в целом является достаточной. Уязвимы</w:t>
      </w:r>
      <w:r w:rsidRPr="00F90EAE">
        <w:rPr>
          <w:color w:val="000000" w:themeColor="text1"/>
          <w:sz w:val="16"/>
          <w:szCs w:val="16"/>
        </w:rPr>
        <w:softHyphen/>
        <w:t>ми местами могут являться водо- и мас-лорадиаторы. В целом эффективность броневой защиты экипажа и ВМГ от малокалиберной зенитной артиллерии и истребительной авиации в период войс</w:t>
      </w:r>
      <w:r w:rsidRPr="00F90EAE">
        <w:rPr>
          <w:color w:val="000000" w:themeColor="text1"/>
          <w:sz w:val="16"/>
          <w:szCs w:val="16"/>
        </w:rPr>
        <w:softHyphen/>
        <w:t>ковых испытаний в достаточной сте</w:t>
      </w:r>
      <w:r w:rsidRPr="00F90EAE">
        <w:rPr>
          <w:color w:val="000000" w:themeColor="text1"/>
          <w:sz w:val="16"/>
          <w:szCs w:val="16"/>
        </w:rPr>
        <w:softHyphen/>
        <w:t>пени не выявлены и требуют дополни</w:t>
      </w:r>
      <w:r w:rsidRPr="00F90EAE">
        <w:rPr>
          <w:color w:val="000000" w:themeColor="text1"/>
          <w:sz w:val="16"/>
          <w:szCs w:val="16"/>
        </w:rPr>
        <w:softHyphen/>
        <w:t>тельной проверки путем анализа по</w:t>
      </w:r>
      <w:r w:rsidRPr="00F90EAE">
        <w:rPr>
          <w:color w:val="000000" w:themeColor="text1"/>
          <w:sz w:val="16"/>
          <w:szCs w:val="16"/>
        </w:rPr>
        <w:softHyphen/>
        <w:t>вреждений на самолетах, находящихся в других действующих частях ВВС.</w:t>
      </w:r>
    </w:p>
    <w:p w14:paraId="1939D1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..Обзор из кабины летчика, вслед</w:t>
      </w:r>
      <w:r w:rsidRPr="00F90EAE">
        <w:rPr>
          <w:color w:val="000000" w:themeColor="text1"/>
          <w:sz w:val="16"/>
          <w:szCs w:val="16"/>
        </w:rPr>
        <w:softHyphen/>
        <w:t>ствие отсутствия обзора назад и зате</w:t>
      </w:r>
      <w:r w:rsidRPr="00F90EAE">
        <w:rPr>
          <w:color w:val="000000" w:themeColor="text1"/>
          <w:sz w:val="16"/>
          <w:szCs w:val="16"/>
        </w:rPr>
        <w:softHyphen/>
        <w:t>нения переднего стекла в плохих метео</w:t>
      </w:r>
      <w:r w:rsidRPr="00F90EAE">
        <w:rPr>
          <w:color w:val="000000" w:themeColor="text1"/>
          <w:sz w:val="16"/>
          <w:szCs w:val="16"/>
        </w:rPr>
        <w:softHyphen/>
        <w:t>условиях (дождь, снег), в сравнении с обзором на самолете Ил-2-хуже.</w:t>
      </w:r>
    </w:p>
    <w:p w14:paraId="5A3403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...Временной механизм ВМШ-10, также как и ВМШ-2 в боевых условиях при противодействии МЗА и ЗА против</w:t>
      </w:r>
      <w:r w:rsidRPr="00F90EAE">
        <w:rPr>
          <w:color w:val="000000" w:themeColor="text1"/>
          <w:sz w:val="16"/>
          <w:szCs w:val="16"/>
        </w:rPr>
        <w:softHyphen/>
        <w:t>ника использовать невозможно, так как ВМШ-10 требует длительного нахож</w:t>
      </w:r>
      <w:r w:rsidRPr="00F90EAE">
        <w:rPr>
          <w:color w:val="000000" w:themeColor="text1"/>
          <w:sz w:val="16"/>
          <w:szCs w:val="16"/>
        </w:rPr>
        <w:softHyphen/>
        <w:t>дения над целью без ПЗМ.</w:t>
      </w:r>
    </w:p>
    <w:p w14:paraId="187A93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Основным методом бомбомета</w:t>
      </w:r>
      <w:r w:rsidRPr="00F90EAE">
        <w:rPr>
          <w:color w:val="000000" w:themeColor="text1"/>
          <w:sz w:val="16"/>
          <w:szCs w:val="16"/>
        </w:rPr>
        <w:softHyphen/>
        <w:t>ния в боевых условиях на самолете Ил-10 принят" тот же, что и для Ил-2, с той лишь разницей, что:</w:t>
      </w:r>
    </w:p>
    <w:p w14:paraId="317C08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возросли углы планирования с 30° до 50°,</w:t>
      </w:r>
    </w:p>
    <w:p w14:paraId="7E4FB2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возросла скорость ввода в пики</w:t>
      </w:r>
      <w:r w:rsidRPr="00F90EAE">
        <w:rPr>
          <w:color w:val="000000" w:themeColor="text1"/>
          <w:sz w:val="16"/>
          <w:szCs w:val="16"/>
        </w:rPr>
        <w:softHyphen/>
        <w:t>рование от 320 до 350 км/ч,</w:t>
      </w:r>
    </w:p>
    <w:p w14:paraId="528EF9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скорость вывода из пикирования выросла до 500-600 км/ч,</w:t>
      </w:r>
    </w:p>
    <w:p w14:paraId="51F8E7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улучшилась маневренность само</w:t>
      </w:r>
      <w:r w:rsidRPr="00F90EAE">
        <w:rPr>
          <w:color w:val="000000" w:themeColor="text1"/>
          <w:sz w:val="16"/>
          <w:szCs w:val="16"/>
        </w:rPr>
        <w:softHyphen/>
        <w:t>лета.</w:t>
      </w:r>
    </w:p>
    <w:p w14:paraId="54CEF7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обслуживании и эксплуатации Ил-10 проще и удобнее, чем Ил-2, одна</w:t>
      </w:r>
      <w:r w:rsidRPr="00F90EAE">
        <w:rPr>
          <w:color w:val="000000" w:themeColor="text1"/>
          <w:sz w:val="16"/>
          <w:szCs w:val="16"/>
        </w:rPr>
        <w:softHyphen/>
        <w:t>ко ряд производственных и конструк</w:t>
      </w:r>
      <w:r w:rsidRPr="00F90EAE">
        <w:rPr>
          <w:color w:val="000000" w:themeColor="text1"/>
          <w:sz w:val="16"/>
          <w:szCs w:val="16"/>
        </w:rPr>
        <w:softHyphen/>
        <w:t>тивных дефектов усложняет эксплуа-</w:t>
      </w:r>
    </w:p>
    <w:p w14:paraId="22F310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тацию.</w:t>
      </w:r>
    </w:p>
    <w:p w14:paraId="61C842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...Время подготовки Ил-10 к бое</w:t>
      </w:r>
      <w:r w:rsidRPr="00F90EAE">
        <w:rPr>
          <w:color w:val="000000" w:themeColor="text1"/>
          <w:sz w:val="16"/>
          <w:szCs w:val="16"/>
        </w:rPr>
        <w:softHyphen/>
        <w:t>вым вылетам, механиком и мотористом практически такое же, что и время, по</w:t>
      </w:r>
      <w:r w:rsidRPr="00F90EAE">
        <w:rPr>
          <w:color w:val="000000" w:themeColor="text1"/>
          <w:sz w:val="16"/>
          <w:szCs w:val="16"/>
        </w:rPr>
        <w:softHyphen/>
        <w:t>требное для Ил-2...</w:t>
      </w:r>
    </w:p>
    <w:p w14:paraId="5AA3DD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...Взлетно-посадочные свойства Ил-10 позволяют осуществлять его эксплуатацию с таких же аэродромов, что и для Ил-2, но требуются более открытые подходы. Взлетные данные Ил-10 в сравнении с Ил-2 хуже: длина разбега больше на 75-100 м.</w:t>
      </w:r>
    </w:p>
    <w:p w14:paraId="5B7C63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.Цельнометаллическая конструк</w:t>
      </w:r>
      <w:r w:rsidRPr="00F90EAE">
        <w:rPr>
          <w:color w:val="000000" w:themeColor="text1"/>
          <w:sz w:val="16"/>
          <w:szCs w:val="16"/>
        </w:rPr>
        <w:softHyphen/>
        <w:t>ция Ил-10, в сравнении с конструкцией планера Ил-2, упрощает уход за ним и увеличивает срок его службы, этому способствует и применение клепки впотай и хорошей окраски самолета, наряду с очень удобным эксплуатаци</w:t>
      </w:r>
      <w:r w:rsidRPr="00F90EAE">
        <w:rPr>
          <w:color w:val="000000" w:themeColor="text1"/>
          <w:sz w:val="16"/>
          <w:szCs w:val="16"/>
        </w:rPr>
        <w:softHyphen/>
        <w:t>онным люком в фюзеляже, обеспечива</w:t>
      </w:r>
      <w:r w:rsidRPr="00F90EAE">
        <w:rPr>
          <w:color w:val="000000" w:themeColor="text1"/>
          <w:sz w:val="16"/>
          <w:szCs w:val="16"/>
        </w:rPr>
        <w:softHyphen/>
        <w:t>ющим хороший подход к трубопроводам, агрегатам и управлению...»</w:t>
      </w:r>
    </w:p>
    <w:p w14:paraId="4DFD74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отмечалось, что по тех</w:t>
      </w:r>
      <w:r w:rsidRPr="00F90EAE">
        <w:rPr>
          <w:color w:val="000000" w:themeColor="text1"/>
          <w:sz w:val="16"/>
          <w:szCs w:val="16"/>
        </w:rPr>
        <w:softHyphen/>
        <w:t>нике пилотирования самолет прост. Имея лучшую устойчивость, хорошую управляемость и более высокую манев</w:t>
      </w:r>
      <w:r w:rsidRPr="00F90EAE">
        <w:rPr>
          <w:color w:val="000000" w:themeColor="text1"/>
          <w:sz w:val="16"/>
          <w:szCs w:val="16"/>
        </w:rPr>
        <w:softHyphen/>
        <w:t>ренность, Ил-10, в сравнении с Ил-2, охотно прощает летному составу ошиб</w:t>
      </w:r>
      <w:r w:rsidRPr="00F90EAE">
        <w:rPr>
          <w:color w:val="000000" w:themeColor="text1"/>
          <w:sz w:val="16"/>
          <w:szCs w:val="16"/>
        </w:rPr>
        <w:softHyphen/>
        <w:t>ки и не утомляет летчика при полете в болтанку. Переучивание летного и инженерно-технического составов, работавших на самолете Ил-2 АМ-38ф, при переходе на Ил-10 АМ-42 трудно</w:t>
      </w:r>
      <w:r w:rsidRPr="00F90EAE">
        <w:rPr>
          <w:color w:val="000000" w:themeColor="text1"/>
          <w:sz w:val="16"/>
          <w:szCs w:val="16"/>
        </w:rPr>
        <w:softHyphen/>
        <w:t>сти не представляет. Летному составу достаточно 10-15 учебно-тренировоч</w:t>
      </w:r>
      <w:r w:rsidRPr="00F90EAE">
        <w:rPr>
          <w:color w:val="000000" w:themeColor="text1"/>
          <w:sz w:val="16"/>
          <w:szCs w:val="16"/>
        </w:rPr>
        <w:softHyphen/>
        <w:t>ных полетов общим налетом 3-4 часа. Инженерно-технический состав легко осваивает матчасть самолета и мотора непосредственно в ходе эксплуатации.</w:t>
      </w:r>
    </w:p>
    <w:p w14:paraId="0F5DD5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Простота в технике пилотирова</w:t>
      </w:r>
      <w:r w:rsidRPr="00F90EAE">
        <w:rPr>
          <w:color w:val="000000" w:themeColor="text1"/>
          <w:sz w:val="16"/>
          <w:szCs w:val="16"/>
        </w:rPr>
        <w:softHyphen/>
        <w:t>ния и сравнительно легкий переход к экс</w:t>
      </w:r>
      <w:r w:rsidRPr="00F90EAE">
        <w:rPr>
          <w:color w:val="000000" w:themeColor="text1"/>
          <w:sz w:val="16"/>
          <w:szCs w:val="16"/>
        </w:rPr>
        <w:softHyphen/>
        <w:t>плуатации Ил-10 как летным, так и тех</w:t>
      </w:r>
      <w:r w:rsidRPr="00F90EAE">
        <w:rPr>
          <w:color w:val="000000" w:themeColor="text1"/>
          <w:sz w:val="16"/>
          <w:szCs w:val="16"/>
        </w:rPr>
        <w:softHyphen/>
        <w:t>ническим составом дают возможность перевооружить штурмовые авиачасти на этот самолет в самые кратчайшие сро</w:t>
      </w:r>
      <w:r w:rsidRPr="00F90EAE">
        <w:rPr>
          <w:color w:val="000000" w:themeColor="text1"/>
          <w:sz w:val="16"/>
          <w:szCs w:val="16"/>
        </w:rPr>
        <w:softHyphen/>
        <w:t>ки. ..», - указывалось в выводах отчета.</w:t>
      </w:r>
    </w:p>
    <w:p w14:paraId="1DE4FC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качестве основных дефектов Ил-10-го Госкомиссия отметила следующие:</w:t>
      </w:r>
    </w:p>
    <w:p w14:paraId="74B8A4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Неудовлетворительная конст</w:t>
      </w:r>
      <w:r w:rsidRPr="00F90EAE">
        <w:rPr>
          <w:color w:val="000000" w:themeColor="text1"/>
          <w:sz w:val="16"/>
          <w:szCs w:val="16"/>
        </w:rPr>
        <w:softHyphen/>
        <w:t>рукция фонаря кабины (трудно откры</w:t>
      </w:r>
      <w:r w:rsidRPr="00F90EAE">
        <w:rPr>
          <w:color w:val="000000" w:themeColor="text1"/>
          <w:sz w:val="16"/>
          <w:szCs w:val="16"/>
        </w:rPr>
        <w:softHyphen/>
        <w:t>вается на земле, рулежка и полет в сложных метеоусловиях с открытым фонарем невозможны).</w:t>
      </w:r>
    </w:p>
    <w:p w14:paraId="6A8DA9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Отсутствует обзор назад из ка</w:t>
      </w:r>
      <w:r w:rsidRPr="00F90EAE">
        <w:rPr>
          <w:color w:val="000000" w:themeColor="text1"/>
          <w:sz w:val="16"/>
          <w:szCs w:val="16"/>
        </w:rPr>
        <w:softHyphen/>
        <w:t>бины летчика (необходимо сделать в бронеспинке вставку из прозрачного бронестекла по типу самолета Ил-2).</w:t>
      </w:r>
    </w:p>
    <w:p w14:paraId="57A9FD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Велики усилия на ручку управле</w:t>
      </w:r>
      <w:r w:rsidRPr="00F90EAE">
        <w:rPr>
          <w:color w:val="000000" w:themeColor="text1"/>
          <w:sz w:val="16"/>
          <w:szCs w:val="16"/>
        </w:rPr>
        <w:softHyphen/>
        <w:t>ния от элеронов на скорости выше 400 км/час.</w:t>
      </w:r>
    </w:p>
    <w:p w14:paraId="2F5D29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..Обтекатели (лопухи) колес шасси</w:t>
      </w:r>
    </w:p>
    <w:p w14:paraId="241A38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рулежке и посадке на мягком грунте и зимой в снег зарываются, деформиру</w:t>
      </w:r>
      <w:r w:rsidRPr="00F90EAE">
        <w:rPr>
          <w:color w:val="000000" w:themeColor="text1"/>
          <w:sz w:val="16"/>
          <w:szCs w:val="16"/>
        </w:rPr>
        <w:softHyphen/>
        <w:t>ются и тормозят движение самолета.</w:t>
      </w:r>
    </w:p>
    <w:p w14:paraId="1CE9FC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Тросы везде рвутся: и ограничи</w:t>
      </w:r>
      <w:r w:rsidRPr="00F90EAE">
        <w:rPr>
          <w:color w:val="000000" w:themeColor="text1"/>
          <w:sz w:val="16"/>
          <w:szCs w:val="16"/>
        </w:rPr>
        <w:softHyphen/>
        <w:t>тельные тросы фонаря кабины и аварий</w:t>
      </w:r>
      <w:r w:rsidRPr="00F90EAE">
        <w:rPr>
          <w:color w:val="000000" w:themeColor="text1"/>
          <w:sz w:val="16"/>
          <w:szCs w:val="16"/>
        </w:rPr>
        <w:softHyphen/>
        <w:t>ного выпуска шасси, и системы управле</w:t>
      </w:r>
      <w:r w:rsidRPr="00F90EAE">
        <w:rPr>
          <w:color w:val="000000" w:themeColor="text1"/>
          <w:sz w:val="16"/>
          <w:szCs w:val="16"/>
        </w:rPr>
        <w:softHyphen/>
        <w:t>ния, а также тросы стопора костыля.</w:t>
      </w:r>
    </w:p>
    <w:p w14:paraId="5795FD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...Прочность покрышек колес 800x260 мм, как и эффективность тор</w:t>
      </w:r>
      <w:r w:rsidRPr="00F90EAE">
        <w:rPr>
          <w:color w:val="000000" w:themeColor="text1"/>
          <w:sz w:val="16"/>
          <w:szCs w:val="16"/>
        </w:rPr>
        <w:softHyphen/>
        <w:t>мозов недостаточна.</w:t>
      </w:r>
    </w:p>
    <w:p w14:paraId="30217A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 аварийных посадках ломает</w:t>
      </w:r>
      <w:r w:rsidRPr="00F90EAE">
        <w:rPr>
          <w:color w:val="000000" w:themeColor="text1"/>
          <w:sz w:val="16"/>
          <w:szCs w:val="16"/>
        </w:rPr>
        <w:softHyphen/>
        <w:t>ся силовая рама крепления узлов шасси и разрушаются упоры хвостового ко</w:t>
      </w:r>
      <w:r w:rsidRPr="00F90EAE">
        <w:rPr>
          <w:color w:val="000000" w:themeColor="text1"/>
          <w:sz w:val="16"/>
          <w:szCs w:val="16"/>
        </w:rPr>
        <w:softHyphen/>
        <w:t>леса при посадке с убранным костылем, а также ломается рама №14 фюзеля</w:t>
      </w:r>
      <w:r w:rsidRPr="00F90EAE">
        <w:rPr>
          <w:color w:val="000000" w:themeColor="text1"/>
          <w:sz w:val="16"/>
          <w:szCs w:val="16"/>
        </w:rPr>
        <w:softHyphen/>
        <w:t>жа.</w:t>
      </w:r>
    </w:p>
    <w:p w14:paraId="0F555E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Шасси самолета при давлении воз</w:t>
      </w:r>
      <w:r w:rsidRPr="00F90EAE">
        <w:rPr>
          <w:color w:val="000000" w:themeColor="text1"/>
          <w:sz w:val="16"/>
          <w:szCs w:val="16"/>
        </w:rPr>
        <w:softHyphen/>
        <w:t>духа в системе 38 атм. на скоростях свы</w:t>
      </w:r>
      <w:r w:rsidRPr="00F90EAE">
        <w:rPr>
          <w:color w:val="000000" w:themeColor="text1"/>
          <w:sz w:val="16"/>
          <w:szCs w:val="16"/>
        </w:rPr>
        <w:softHyphen/>
        <w:t>ше 260 км/час не выпускаются».</w:t>
      </w:r>
    </w:p>
    <w:p w14:paraId="5922E3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заключении отчета по войсковым испытаниям Государственная комиссия сделала вывод, что Ил-10 АМ-42 войско</w:t>
      </w:r>
      <w:r w:rsidRPr="00F90EAE">
        <w:rPr>
          <w:color w:val="000000" w:themeColor="text1"/>
          <w:sz w:val="16"/>
          <w:szCs w:val="16"/>
        </w:rPr>
        <w:softHyphen/>
        <w:t>вые испытания выдержал удовлетвори</w:t>
      </w:r>
      <w:r w:rsidRPr="00F90EAE">
        <w:rPr>
          <w:color w:val="000000" w:themeColor="text1"/>
          <w:sz w:val="16"/>
          <w:szCs w:val="16"/>
        </w:rPr>
        <w:softHyphen/>
        <w:t>тельно и является вполне современным бронированным штурмовиком ВВС КА.</w:t>
      </w:r>
    </w:p>
    <w:p w14:paraId="2A74BC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сожалению, ряд вопросов боево</w:t>
      </w:r>
      <w:r w:rsidRPr="00F90EAE">
        <w:rPr>
          <w:color w:val="000000" w:themeColor="text1"/>
          <w:sz w:val="16"/>
          <w:szCs w:val="16"/>
        </w:rPr>
        <w:softHyphen/>
        <w:t>го применения самолета Ил-10 в мате</w:t>
      </w:r>
      <w:r w:rsidRPr="00F90EAE">
        <w:rPr>
          <w:color w:val="000000" w:themeColor="text1"/>
          <w:sz w:val="16"/>
          <w:szCs w:val="16"/>
        </w:rPr>
        <w:softHyphen/>
        <w:t>риалах отчета по войсковым испыта</w:t>
      </w:r>
      <w:r w:rsidRPr="00F90EAE">
        <w:rPr>
          <w:color w:val="000000" w:themeColor="text1"/>
          <w:sz w:val="16"/>
          <w:szCs w:val="16"/>
        </w:rPr>
        <w:softHyphen/>
        <w:t>ниям отражены не были. В частности, не была дана оценка реальной боевой эффективности Ил-10 в сравнении с самолетом Ил-2.</w:t>
      </w:r>
    </w:p>
    <w:p w14:paraId="5B7557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 же время анализ расхода бое</w:t>
      </w:r>
      <w:r w:rsidRPr="00F90EAE">
        <w:rPr>
          <w:color w:val="000000" w:themeColor="text1"/>
          <w:sz w:val="16"/>
          <w:szCs w:val="16"/>
        </w:rPr>
        <w:softHyphen/>
        <w:t>комплекта в ходе боевых действий по</w:t>
      </w:r>
      <w:r w:rsidRPr="00F90EAE">
        <w:rPr>
          <w:color w:val="000000" w:themeColor="text1"/>
          <w:sz w:val="16"/>
          <w:szCs w:val="16"/>
        </w:rPr>
        <w:softHyphen/>
        <w:t>казывает, что средняя бомбовая нагруз</w:t>
      </w:r>
      <w:r w:rsidRPr="00F90EAE">
        <w:rPr>
          <w:color w:val="000000" w:themeColor="text1"/>
          <w:sz w:val="16"/>
          <w:szCs w:val="16"/>
        </w:rPr>
        <w:softHyphen/>
        <w:t>ка Ил-10 на один самолето-вылет соста</w:t>
      </w:r>
      <w:r w:rsidRPr="00F90EAE">
        <w:rPr>
          <w:color w:val="000000" w:themeColor="text1"/>
          <w:sz w:val="16"/>
          <w:szCs w:val="16"/>
        </w:rPr>
        <w:softHyphen/>
        <w:t>вила 304 кг (разброс от 400 кг до 200 кг) или 76% нормальной бомбовой заг</w:t>
      </w:r>
      <w:r w:rsidRPr="00F90EAE">
        <w:rPr>
          <w:color w:val="000000" w:themeColor="text1"/>
          <w:sz w:val="16"/>
          <w:szCs w:val="16"/>
        </w:rPr>
        <w:softHyphen/>
        <w:t>рузки самолета. Расход боекомплекта к стрелково-пушечному вооружению в одном боевом вылете в среднем равнял</w:t>
      </w:r>
      <w:r w:rsidRPr="00F90EAE">
        <w:rPr>
          <w:color w:val="000000" w:themeColor="text1"/>
          <w:sz w:val="16"/>
          <w:szCs w:val="16"/>
        </w:rPr>
        <w:softHyphen/>
        <w:t>ся: 26 % - к пушкам ВЯ, 15% - к пулеме</w:t>
      </w:r>
      <w:r w:rsidRPr="00F90EAE">
        <w:rPr>
          <w:color w:val="000000" w:themeColor="text1"/>
          <w:sz w:val="16"/>
          <w:szCs w:val="16"/>
        </w:rPr>
        <w:softHyphen/>
        <w:t>там ШКАС и 3,6% - к пулемету УБТ.</w:t>
      </w:r>
    </w:p>
    <w:p w14:paraId="3F98D9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Безвозвратные боевые потери пол</w:t>
      </w:r>
      <w:r w:rsidRPr="00F90EAE">
        <w:rPr>
          <w:color w:val="000000" w:themeColor="text1"/>
          <w:sz w:val="16"/>
          <w:szCs w:val="16"/>
        </w:rPr>
        <w:softHyphen/>
        <w:t>ков по официальным данным составили 12 самолетов Ил-10, погибли 5 летчиков и 8 воздушных стрелков. Небоевые по</w:t>
      </w:r>
      <w:r w:rsidRPr="00F90EAE">
        <w:rPr>
          <w:color w:val="000000" w:themeColor="text1"/>
          <w:sz w:val="16"/>
          <w:szCs w:val="16"/>
        </w:rPr>
        <w:softHyphen/>
        <w:t>тери составили 11 самолетов. Налет на одну боевую потерю «десятки» соста</w:t>
      </w:r>
      <w:r w:rsidRPr="00F90EAE">
        <w:rPr>
          <w:color w:val="000000" w:themeColor="text1"/>
          <w:sz w:val="16"/>
          <w:szCs w:val="16"/>
        </w:rPr>
        <w:softHyphen/>
        <w:t>вил примерно 85 самолето-вылетов.</w:t>
      </w:r>
    </w:p>
    <w:p w14:paraId="65D706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Оказывается, что по всем этим по</w:t>
      </w:r>
      <w:r w:rsidRPr="00F90EAE">
        <w:rPr>
          <w:color w:val="000000" w:themeColor="text1"/>
          <w:sz w:val="16"/>
          <w:szCs w:val="16"/>
        </w:rPr>
        <w:softHyphen/>
        <w:t>казателям самолет Ил-2 в апреле-мае 1945 г. оказался даже несколько луч</w:t>
      </w:r>
      <w:r w:rsidRPr="00F90EAE">
        <w:rPr>
          <w:color w:val="000000" w:themeColor="text1"/>
          <w:sz w:val="16"/>
          <w:szCs w:val="16"/>
        </w:rPr>
        <w:softHyphen/>
        <w:t>ше самолета Ил-10.</w:t>
      </w:r>
    </w:p>
    <w:p w14:paraId="051F18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боевая живучесть Ил-2 в этот период времени составляла в среднем около 90 боевых самолето-вылетов на одну безвозвратную потерю самолета.</w:t>
      </w:r>
    </w:p>
    <w:p w14:paraId="14FA20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Инженеры полков отмечали, что, несмотря на цельнометаллическую конструкцию, новый штурмовик «держал удар» хуже, чем Ил-2. Виной тому примененный на Ил-10 скоростной профиль крыла МАСА-230. Даже при небольших повреждениях крыла «де</w:t>
      </w:r>
      <w:r w:rsidRPr="00F90EAE">
        <w:rPr>
          <w:color w:val="000000" w:themeColor="text1"/>
          <w:sz w:val="16"/>
          <w:szCs w:val="16"/>
        </w:rPr>
        <w:softHyphen/>
        <w:t>сятка» теряла управляемость, и на вы</w:t>
      </w:r>
      <w:r w:rsidRPr="00F90EAE">
        <w:rPr>
          <w:color w:val="000000" w:themeColor="text1"/>
          <w:sz w:val="16"/>
          <w:szCs w:val="16"/>
        </w:rPr>
        <w:softHyphen/>
        <w:t>нужденных посадках самолеты би</w:t>
      </w:r>
      <w:r w:rsidRPr="00F90EAE">
        <w:rPr>
          <w:color w:val="000000" w:themeColor="text1"/>
          <w:sz w:val="16"/>
          <w:szCs w:val="16"/>
        </w:rPr>
        <w:softHyphen/>
        <w:t>лись. В то же время крыло Ил-2, где использовался профиль С1агк-УН, не теряло несущих свойств даже при зна</w:t>
      </w:r>
      <w:r w:rsidRPr="00F90EAE">
        <w:rPr>
          <w:color w:val="000000" w:themeColor="text1"/>
          <w:sz w:val="16"/>
          <w:szCs w:val="16"/>
        </w:rPr>
        <w:softHyphen/>
        <w:t>чительном разрушении обшивки. Как следствие, процент списанных штур</w:t>
      </w:r>
      <w:r w:rsidRPr="00F90EAE">
        <w:rPr>
          <w:color w:val="000000" w:themeColor="text1"/>
          <w:sz w:val="16"/>
          <w:szCs w:val="16"/>
        </w:rPr>
        <w:softHyphen/>
        <w:t>мовиков Ил-10, поврежденных в бою и выполнивших вынужденные посад</w:t>
      </w:r>
      <w:r w:rsidRPr="00F90EAE">
        <w:rPr>
          <w:color w:val="000000" w:themeColor="text1"/>
          <w:sz w:val="16"/>
          <w:szCs w:val="16"/>
        </w:rPr>
        <w:softHyphen/>
        <w:t>ки, был в 2,5-2 раза выше, чем у Ил-2.</w:t>
      </w:r>
    </w:p>
    <w:p w14:paraId="5AC008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Отметим, что именно по этим при</w:t>
      </w:r>
      <w:r w:rsidRPr="00F90EAE">
        <w:rPr>
          <w:color w:val="000000" w:themeColor="text1"/>
          <w:sz w:val="16"/>
          <w:szCs w:val="16"/>
        </w:rPr>
        <w:softHyphen/>
        <w:t>чинам при создании штурмовика Ил-10М, который представлял собой глубокую модернизацию «десятки», было разработано новое крыло, на котором вновь перешли к менее ско</w:t>
      </w:r>
      <w:r w:rsidRPr="00F90EAE">
        <w:rPr>
          <w:color w:val="000000" w:themeColor="text1"/>
          <w:sz w:val="16"/>
          <w:szCs w:val="16"/>
        </w:rPr>
        <w:softHyphen/>
        <w:t>ростному профилю крыла, применен</w:t>
      </w:r>
      <w:r w:rsidRPr="00F90EAE">
        <w:rPr>
          <w:color w:val="000000" w:themeColor="text1"/>
          <w:sz w:val="16"/>
          <w:szCs w:val="16"/>
        </w:rPr>
        <w:softHyphen/>
        <w:t>ному на самолете Ил-2. Живучесть ока</w:t>
      </w:r>
      <w:r w:rsidRPr="00F90EAE">
        <w:rPr>
          <w:color w:val="000000" w:themeColor="text1"/>
          <w:sz w:val="16"/>
          <w:szCs w:val="16"/>
        </w:rPr>
        <w:softHyphen/>
        <w:t>залась превыше скорости.</w:t>
      </w:r>
    </w:p>
    <w:p w14:paraId="142288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оценке боевой живучести не</w:t>
      </w:r>
      <w:r w:rsidRPr="00F90EAE">
        <w:rPr>
          <w:color w:val="000000" w:themeColor="text1"/>
          <w:sz w:val="16"/>
          <w:szCs w:val="16"/>
        </w:rPr>
        <w:softHyphen/>
        <w:t>обходимо также учитывать и ограни</w:t>
      </w:r>
      <w:r w:rsidRPr="00F90EAE">
        <w:rPr>
          <w:color w:val="000000" w:themeColor="text1"/>
          <w:sz w:val="16"/>
          <w:szCs w:val="16"/>
        </w:rPr>
        <w:softHyphen/>
        <w:t>ченность статистики боевых действий «десятки» в сравнении с Ил-2. Напри</w:t>
      </w:r>
      <w:r w:rsidRPr="00F90EAE">
        <w:rPr>
          <w:color w:val="000000" w:themeColor="text1"/>
          <w:sz w:val="16"/>
          <w:szCs w:val="16"/>
        </w:rPr>
        <w:softHyphen/>
        <w:t>мер, 8-й ШАК, в апреле в среднем имел 113 самолето-вылетов на одну боевую потерю Ил-2, тогда как 571-й ШАП, который входил в состав корпуса в этот период времени, -183 самолето-вылетов на одну боевую потерю Ил-10. Это гово</w:t>
      </w:r>
      <w:r w:rsidRPr="00F90EAE">
        <w:rPr>
          <w:color w:val="000000" w:themeColor="text1"/>
          <w:sz w:val="16"/>
          <w:szCs w:val="16"/>
        </w:rPr>
        <w:softHyphen/>
        <w:t>рит о том, что-летный состав 571-го ШАП сумел белее полно использовать высо</w:t>
      </w:r>
      <w:r w:rsidRPr="00F90EAE">
        <w:rPr>
          <w:color w:val="000000" w:themeColor="text1"/>
          <w:sz w:val="16"/>
          <w:szCs w:val="16"/>
        </w:rPr>
        <w:softHyphen/>
        <w:t>кую маневренность Ил-10, в сравнении с экипажами 108-го и 118-го ГШАП.</w:t>
      </w:r>
    </w:p>
    <w:p w14:paraId="0BEA80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расход боекомплекта са</w:t>
      </w:r>
      <w:r w:rsidRPr="00F90EAE">
        <w:rPr>
          <w:color w:val="000000" w:themeColor="text1"/>
          <w:sz w:val="16"/>
          <w:szCs w:val="16"/>
        </w:rPr>
        <w:softHyphen/>
        <w:t>молетов Ил-2 за последний месяц вой</w:t>
      </w:r>
      <w:r w:rsidRPr="00F90EAE">
        <w:rPr>
          <w:color w:val="000000" w:themeColor="text1"/>
          <w:sz w:val="16"/>
          <w:szCs w:val="16"/>
        </w:rPr>
        <w:softHyphen/>
        <w:t>ны (по опыту 17-й и 8-й ВА) составил: 70% - к пушкам ВЯ, 25% - к пулеметам ШКАС и около 11,5% - к пулемету УБТ.</w:t>
      </w:r>
    </w:p>
    <w:p w14:paraId="3E430C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Этот результат можно объяснить значительно меньшей скоростью на пикировании Ил-2 в сравнении с Ил-10. Это позволяло летчику «двойки» в одном заходе совершенно сво</w:t>
      </w:r>
      <w:r w:rsidRPr="00F90EAE">
        <w:rPr>
          <w:color w:val="000000" w:themeColor="text1"/>
          <w:sz w:val="16"/>
          <w:szCs w:val="16"/>
        </w:rPr>
        <w:softHyphen/>
        <w:t>бодно отстрелять из пушек и пулеме</w:t>
      </w:r>
      <w:r w:rsidRPr="00F90EAE">
        <w:rPr>
          <w:color w:val="000000" w:themeColor="text1"/>
          <w:sz w:val="16"/>
          <w:szCs w:val="16"/>
        </w:rPr>
        <w:softHyphen/>
        <w:t>тов одну-две прицельные очереди продолжительностью 1-2 секунды (20-40 снарядов и 60-120 патронов). Тог</w:t>
      </w:r>
      <w:r w:rsidRPr="00F90EAE">
        <w:rPr>
          <w:color w:val="000000" w:themeColor="text1"/>
          <w:sz w:val="16"/>
          <w:szCs w:val="16"/>
        </w:rPr>
        <w:softHyphen/>
        <w:t>да как летчик «десятки» за один заход прицельно не успевал отстрелять даже одной очереди.</w:t>
      </w:r>
    </w:p>
    <w:p w14:paraId="2D36A9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тому же на Ил-2 стояли четыре ракетных орудия, а это серьезно повы</w:t>
      </w:r>
      <w:r w:rsidRPr="00F90EAE">
        <w:rPr>
          <w:color w:val="000000" w:themeColor="text1"/>
          <w:sz w:val="16"/>
          <w:szCs w:val="16"/>
        </w:rPr>
        <w:softHyphen/>
        <w:t>шало боевые возможности самолета.</w:t>
      </w:r>
    </w:p>
    <w:p w14:paraId="251967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Ил-2 уступал Ил-10 только в подвижности над полем боя - в эффек</w:t>
      </w:r>
      <w:r w:rsidRPr="00F90EAE">
        <w:rPr>
          <w:color w:val="000000" w:themeColor="text1"/>
          <w:sz w:val="16"/>
          <w:szCs w:val="16"/>
        </w:rPr>
        <w:softHyphen/>
        <w:t>тивности выполнения противозенитно</w:t>
      </w:r>
      <w:r w:rsidRPr="00F90EAE">
        <w:rPr>
          <w:color w:val="000000" w:themeColor="text1"/>
          <w:sz w:val="16"/>
          <w:szCs w:val="16"/>
        </w:rPr>
        <w:softHyphen/>
        <w:t>го и противоистребительного маневров.</w:t>
      </w:r>
    </w:p>
    <w:p w14:paraId="5AAA8F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Разумеется, при обработке статис</w:t>
      </w:r>
      <w:r w:rsidRPr="00F90EAE">
        <w:rPr>
          <w:color w:val="000000" w:themeColor="text1"/>
          <w:sz w:val="16"/>
          <w:szCs w:val="16"/>
        </w:rPr>
        <w:softHyphen/>
        <w:t>тики военного времени необходимо де</w:t>
      </w:r>
      <w:r w:rsidRPr="00F90EAE">
        <w:rPr>
          <w:color w:val="000000" w:themeColor="text1"/>
          <w:sz w:val="16"/>
          <w:szCs w:val="16"/>
        </w:rPr>
        <w:softHyphen/>
        <w:t>лать скидку на недостаточное освоение новой техники экипажами, конструктив</w:t>
      </w:r>
      <w:r w:rsidRPr="00F90EAE">
        <w:rPr>
          <w:color w:val="000000" w:themeColor="text1"/>
          <w:sz w:val="16"/>
          <w:szCs w:val="16"/>
        </w:rPr>
        <w:softHyphen/>
        <w:t>ные и технологические дефекты, вызван</w:t>
      </w:r>
      <w:r w:rsidRPr="00F90EAE">
        <w:rPr>
          <w:color w:val="000000" w:themeColor="text1"/>
          <w:sz w:val="16"/>
          <w:szCs w:val="16"/>
        </w:rPr>
        <w:softHyphen/>
        <w:t>ные поспешностью проектирования и внедрения в серийное производство.</w:t>
      </w:r>
    </w:p>
    <w:p w14:paraId="5C4616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Например, инструкторский состав запасных авиаполков 1-й ЗАБ в ходе летно-тактическихучений в конце ап</w:t>
      </w:r>
      <w:r w:rsidRPr="00F90EAE">
        <w:rPr>
          <w:color w:val="000000" w:themeColor="text1"/>
          <w:sz w:val="16"/>
          <w:szCs w:val="16"/>
        </w:rPr>
        <w:softHyphen/>
        <w:t>реля 1945 г. смог выполнить упраж</w:t>
      </w:r>
      <w:r w:rsidRPr="00F90EAE">
        <w:rPr>
          <w:color w:val="000000" w:themeColor="text1"/>
          <w:sz w:val="16"/>
          <w:szCs w:val="16"/>
        </w:rPr>
        <w:softHyphen/>
        <w:t>нения по бомбометанию и стрельбе по наземной цели на полигоне только с оценкой удовлетворительно - средний бал вылетавших групп составил 3,5. При этом из 10 групп (всего 57 экипа</w:t>
      </w:r>
      <w:r w:rsidRPr="00F90EAE">
        <w:rPr>
          <w:color w:val="000000" w:themeColor="text1"/>
          <w:sz w:val="16"/>
          <w:szCs w:val="16"/>
        </w:rPr>
        <w:softHyphen/>
        <w:t>жей) задание по стрельбе с оценкой «отлично» выполнили только 3 груп</w:t>
      </w:r>
      <w:r w:rsidRPr="00F90EAE">
        <w:rPr>
          <w:color w:val="000000" w:themeColor="text1"/>
          <w:sz w:val="16"/>
          <w:szCs w:val="16"/>
        </w:rPr>
        <w:softHyphen/>
        <w:t>пы, с оценкой «хорошо» - одна груп</w:t>
      </w:r>
      <w:r w:rsidRPr="00F90EAE">
        <w:rPr>
          <w:color w:val="000000" w:themeColor="text1"/>
          <w:sz w:val="16"/>
          <w:szCs w:val="16"/>
        </w:rPr>
        <w:softHyphen/>
        <w:t>па, «посредственно»-три группы и три группы задания не выполнили вовсе. Бомбометание с отличными результа</w:t>
      </w:r>
      <w:r w:rsidRPr="00F90EAE">
        <w:rPr>
          <w:color w:val="000000" w:themeColor="text1"/>
          <w:sz w:val="16"/>
          <w:szCs w:val="16"/>
        </w:rPr>
        <w:softHyphen/>
        <w:t>тами отработали всего шесть экипа</w:t>
      </w:r>
      <w:r w:rsidRPr="00F90EAE">
        <w:rPr>
          <w:color w:val="000000" w:themeColor="text1"/>
          <w:sz w:val="16"/>
          <w:szCs w:val="16"/>
        </w:rPr>
        <w:softHyphen/>
        <w:t>жей, с оценкой «хорошо» - 21 экипаж, и «удовлетворительно» - 30 экипажей.</w:t>
      </w:r>
    </w:p>
    <w:p w14:paraId="07ECBD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Оказалось, что инструкторский со</w:t>
      </w:r>
      <w:r w:rsidRPr="00F90EAE">
        <w:rPr>
          <w:color w:val="000000" w:themeColor="text1"/>
          <w:sz w:val="16"/>
          <w:szCs w:val="16"/>
        </w:rPr>
        <w:softHyphen/>
        <w:t>став не умеет удерживать Ил-10 в ус</w:t>
      </w:r>
      <w:r w:rsidRPr="00F90EAE">
        <w:rPr>
          <w:color w:val="000000" w:themeColor="text1"/>
          <w:sz w:val="16"/>
          <w:szCs w:val="16"/>
        </w:rPr>
        <w:softHyphen/>
        <w:t>тойчивом пикировании.Атака выпол</w:t>
      </w:r>
      <w:r w:rsidRPr="00F90EAE">
        <w:rPr>
          <w:color w:val="000000" w:themeColor="text1"/>
          <w:sz w:val="16"/>
          <w:szCs w:val="16"/>
        </w:rPr>
        <w:softHyphen/>
        <w:t>няется с небольшими углами пикиро</w:t>
      </w:r>
      <w:r w:rsidRPr="00F90EAE">
        <w:rPr>
          <w:color w:val="000000" w:themeColor="text1"/>
          <w:sz w:val="16"/>
          <w:szCs w:val="16"/>
        </w:rPr>
        <w:softHyphen/>
        <w:t>вания, что существенно снижает точ</w:t>
      </w:r>
      <w:r w:rsidRPr="00F90EAE">
        <w:rPr>
          <w:color w:val="000000" w:themeColor="text1"/>
          <w:sz w:val="16"/>
          <w:szCs w:val="16"/>
        </w:rPr>
        <w:softHyphen/>
        <w:t>ность стрельбы. Маневр по вертика-</w:t>
      </w:r>
    </w:p>
    <w:p w14:paraId="201F7C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ли выполняется не энергичный. Лет</w:t>
      </w:r>
      <w:r w:rsidRPr="00F90EAE">
        <w:rPr>
          <w:color w:val="000000" w:themeColor="text1"/>
          <w:sz w:val="16"/>
          <w:szCs w:val="16"/>
        </w:rPr>
        <w:softHyphen/>
        <w:t>чики плохо соблюдают боевой поря</w:t>
      </w:r>
      <w:r w:rsidRPr="00F90EAE">
        <w:rPr>
          <w:color w:val="000000" w:themeColor="text1"/>
          <w:sz w:val="16"/>
          <w:szCs w:val="16"/>
        </w:rPr>
        <w:softHyphen/>
        <w:t>док во время атаки и на выходе из ата</w:t>
      </w:r>
      <w:r w:rsidRPr="00F90EAE">
        <w:rPr>
          <w:color w:val="000000" w:themeColor="text1"/>
          <w:sz w:val="16"/>
          <w:szCs w:val="16"/>
        </w:rPr>
        <w:softHyphen/>
        <w:t>ки. Не имеют устойчивых навыков в определении дистанции действитель</w:t>
      </w:r>
      <w:r w:rsidRPr="00F90EAE">
        <w:rPr>
          <w:color w:val="000000" w:themeColor="text1"/>
          <w:sz w:val="16"/>
          <w:szCs w:val="16"/>
        </w:rPr>
        <w:softHyphen/>
        <w:t>ного огня, а также учета поправок на ветер при маневре, при выходе на цель и при прицеливании.</w:t>
      </w:r>
    </w:p>
    <w:p w14:paraId="72F5C7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Летчики маршевых полков и вовсе показывали далеко не лучшие резуль</w:t>
      </w:r>
      <w:r w:rsidRPr="00F90EAE">
        <w:rPr>
          <w:color w:val="000000" w:themeColor="text1"/>
          <w:sz w:val="16"/>
          <w:szCs w:val="16"/>
        </w:rPr>
        <w:softHyphen/>
        <w:t>таты. Так, при проведении проверки летно-боевой готовности полков 7-го ШАК в мае 45-го выяснилось, что эки</w:t>
      </w:r>
      <w:r w:rsidRPr="00F90EAE">
        <w:rPr>
          <w:color w:val="000000" w:themeColor="text1"/>
          <w:sz w:val="16"/>
          <w:szCs w:val="16"/>
        </w:rPr>
        <w:softHyphen/>
        <w:t>пажи 807-го, 686-го, 503-го и 806-го ШАП «абсолютно не имеют представ</w:t>
      </w:r>
      <w:r w:rsidRPr="00F90EAE">
        <w:rPr>
          <w:color w:val="000000" w:themeColor="text1"/>
          <w:sz w:val="16"/>
          <w:szCs w:val="16"/>
        </w:rPr>
        <w:softHyphen/>
        <w:t>ления о бомбометании с пикирования, высоту сбрасывания не выдерживают, маневрирование не выполняют, боль</w:t>
      </w:r>
      <w:r w:rsidRPr="00F90EAE">
        <w:rPr>
          <w:color w:val="000000" w:themeColor="text1"/>
          <w:sz w:val="16"/>
          <w:szCs w:val="16"/>
        </w:rPr>
        <w:softHyphen/>
        <w:t>шинство сбрасывают бомбы не при</w:t>
      </w:r>
      <w:r w:rsidRPr="00F90EAE">
        <w:rPr>
          <w:color w:val="000000" w:themeColor="text1"/>
          <w:sz w:val="16"/>
          <w:szCs w:val="16"/>
        </w:rPr>
        <w:softHyphen/>
        <w:t>цельно». Из 17 летчиков 686-го ШАП и 34 сброшенных бомб, на полигоне было найдено только 9 бомб, из них 3 бомбы попали в цель, 3 бомбы «разма</w:t>
      </w:r>
      <w:r w:rsidRPr="00F90EAE">
        <w:rPr>
          <w:color w:val="000000" w:themeColor="text1"/>
          <w:sz w:val="16"/>
          <w:szCs w:val="16"/>
        </w:rPr>
        <w:softHyphen/>
        <w:t>заны» по полигону, и 3 бомбы группы м-ра Белова сброшены на КП полиго</w:t>
      </w:r>
      <w:r w:rsidRPr="00F90EAE">
        <w:rPr>
          <w:color w:val="000000" w:themeColor="text1"/>
          <w:sz w:val="16"/>
          <w:szCs w:val="16"/>
        </w:rPr>
        <w:softHyphen/>
        <w:t>на. Примерно также отработал и 807-й штурмовой авиаполк, который «раз</w:t>
      </w:r>
      <w:r w:rsidRPr="00F90EAE">
        <w:rPr>
          <w:color w:val="000000" w:themeColor="text1"/>
          <w:sz w:val="16"/>
          <w:szCs w:val="16"/>
        </w:rPr>
        <w:softHyphen/>
        <w:t>бросал все бомбы по полигону». В 503-м ШАП упражнение № 30 по КБП ША-44 г. с оценкой «отлично» выполнило только два экипажа, с оценкой «хоро</w:t>
      </w:r>
      <w:r w:rsidRPr="00F90EAE">
        <w:rPr>
          <w:color w:val="000000" w:themeColor="text1"/>
          <w:sz w:val="16"/>
          <w:szCs w:val="16"/>
        </w:rPr>
        <w:softHyphen/>
        <w:t>шо» - четыре экипажа, с оценкой «по</w:t>
      </w:r>
      <w:r w:rsidRPr="00F90EAE">
        <w:rPr>
          <w:color w:val="000000" w:themeColor="text1"/>
          <w:sz w:val="16"/>
          <w:szCs w:val="16"/>
        </w:rPr>
        <w:softHyphen/>
        <w:t>средственно» - четыре экипажа и 16 экипажей задание не выполнили...</w:t>
      </w:r>
    </w:p>
    <w:p w14:paraId="59EF97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в целом можно сделать вывод, что при переходе от Ил-2 к Ил-10 отечественная авиапромышленность опять выбрала «количество за счет ка</w:t>
      </w:r>
      <w:r w:rsidRPr="00F90EAE">
        <w:rPr>
          <w:color w:val="000000" w:themeColor="text1"/>
          <w:sz w:val="16"/>
          <w:szCs w:val="16"/>
        </w:rPr>
        <w:softHyphen/>
        <w:t>чества». Хотя в целом направление раз</w:t>
      </w:r>
      <w:r w:rsidRPr="00F90EAE">
        <w:rPr>
          <w:color w:val="000000" w:themeColor="text1"/>
          <w:sz w:val="16"/>
          <w:szCs w:val="16"/>
        </w:rPr>
        <w:softHyphen/>
        <w:t>вития в сторону повышения подвиж</w:t>
      </w:r>
      <w:r w:rsidRPr="00F90EAE">
        <w:rPr>
          <w:color w:val="000000" w:themeColor="text1"/>
          <w:sz w:val="16"/>
          <w:szCs w:val="16"/>
        </w:rPr>
        <w:softHyphen/>
        <w:t>ности, а не пассивного наращивания брони было правильным, в серию за</w:t>
      </w:r>
      <w:r w:rsidRPr="00F90EAE">
        <w:rPr>
          <w:color w:val="000000" w:themeColor="text1"/>
          <w:sz w:val="16"/>
          <w:szCs w:val="16"/>
        </w:rPr>
        <w:softHyphen/>
        <w:t>пустили не самый хороший самолет, а самый удобный с точки зрения быстро</w:t>
      </w:r>
      <w:r w:rsidRPr="00F90EAE">
        <w:rPr>
          <w:color w:val="000000" w:themeColor="text1"/>
          <w:sz w:val="16"/>
          <w:szCs w:val="16"/>
        </w:rPr>
        <w:softHyphen/>
        <w:t>ты налаживания массового выпуска.</w:t>
      </w:r>
    </w:p>
    <w:p w14:paraId="579E93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Грубые оценки показывают, что применительно кусловиям воздушных и наземных боев завершающего пери</w:t>
      </w:r>
      <w:r w:rsidRPr="00F90EAE">
        <w:rPr>
          <w:color w:val="000000" w:themeColor="text1"/>
          <w:sz w:val="16"/>
          <w:szCs w:val="16"/>
        </w:rPr>
        <w:softHyphen/>
        <w:t>ода войны самолет Ил-10 первых се</w:t>
      </w:r>
      <w:r w:rsidRPr="00F90EAE">
        <w:rPr>
          <w:color w:val="000000" w:themeColor="text1"/>
          <w:sz w:val="16"/>
          <w:szCs w:val="16"/>
        </w:rPr>
        <w:softHyphen/>
        <w:t>рий (вариант без РС) при решении за</w:t>
      </w:r>
      <w:r w:rsidRPr="00F90EAE">
        <w:rPr>
          <w:color w:val="000000" w:themeColor="text1"/>
          <w:sz w:val="16"/>
          <w:szCs w:val="16"/>
        </w:rPr>
        <w:softHyphen/>
        <w:t>дач непосредственной авиационной поддержки войск в наступлении по боевой эффективности был лучше Ил-2 примерно на 3-4%. В то же время для двухместного Су-б АМ-42 с пушка</w:t>
      </w:r>
      <w:r w:rsidRPr="00F90EAE">
        <w:rPr>
          <w:color w:val="000000" w:themeColor="text1"/>
          <w:sz w:val="16"/>
          <w:szCs w:val="16"/>
        </w:rPr>
        <w:softHyphen/>
        <w:t>ми НС-37 прирост эффективности мог составить свыше 30%. То есть, для вы</w:t>
      </w:r>
      <w:r w:rsidRPr="00F90EAE">
        <w:rPr>
          <w:color w:val="000000" w:themeColor="text1"/>
          <w:sz w:val="16"/>
          <w:szCs w:val="16"/>
        </w:rPr>
        <w:softHyphen/>
        <w:t>полнения тех же задач потребовалось бы меньше самолетов, меньше летчи</w:t>
      </w:r>
      <w:r w:rsidRPr="00F90EAE">
        <w:rPr>
          <w:color w:val="000000" w:themeColor="text1"/>
          <w:sz w:val="16"/>
          <w:szCs w:val="16"/>
        </w:rPr>
        <w:softHyphen/>
        <w:t>ков. Но выбор был сделан...(11161)</w:t>
      </w:r>
    </w:p>
    <w:p w14:paraId="7995DF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5A43E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К исходу 8 мая в 571-м </w:t>
      </w:r>
      <w:r w:rsidRPr="00F90EAE">
        <w:rPr>
          <w:iCs/>
          <w:color w:val="000000" w:themeColor="text1"/>
          <w:sz w:val="16"/>
          <w:szCs w:val="16"/>
        </w:rPr>
        <w:t>шап "по причине производственно-конст</w:t>
      </w:r>
      <w:r w:rsidRPr="00F90EAE">
        <w:rPr>
          <w:iCs/>
          <w:color w:val="000000" w:themeColor="text1"/>
          <w:sz w:val="16"/>
          <w:szCs w:val="16"/>
        </w:rPr>
        <w:softHyphen/>
        <w:t xml:space="preserve">руктивных дефектов" </w:t>
      </w:r>
      <w:r w:rsidRPr="00F90EAE">
        <w:rPr>
          <w:color w:val="000000" w:themeColor="text1"/>
          <w:sz w:val="16"/>
          <w:szCs w:val="16"/>
        </w:rPr>
        <w:t>из строя выш</w:t>
      </w:r>
      <w:r w:rsidRPr="00F90EAE">
        <w:rPr>
          <w:color w:val="000000" w:themeColor="text1"/>
          <w:sz w:val="16"/>
          <w:szCs w:val="16"/>
        </w:rPr>
        <w:softHyphen/>
        <w:t>ло 13 машин Ил-10 — свыше 40% боевого состава к началу боевых действий. Позже выяснилось, что еще на 6 самолетах летать опасно. Как ука</w:t>
      </w:r>
      <w:r w:rsidRPr="00F90EAE">
        <w:rPr>
          <w:color w:val="000000" w:themeColor="text1"/>
          <w:sz w:val="16"/>
          <w:szCs w:val="16"/>
        </w:rPr>
        <w:softHyphen/>
        <w:t>зывалось в отчете ст. инженера пол</w:t>
      </w:r>
      <w:r w:rsidRPr="00F90EAE">
        <w:rPr>
          <w:color w:val="000000" w:themeColor="text1"/>
          <w:sz w:val="16"/>
          <w:szCs w:val="16"/>
        </w:rPr>
        <w:softHyphen/>
        <w:t xml:space="preserve">ка м-ра Жиленкова, </w:t>
      </w:r>
      <w:r w:rsidRPr="00F90EAE">
        <w:rPr>
          <w:iCs/>
          <w:color w:val="000000" w:themeColor="text1"/>
          <w:sz w:val="16"/>
          <w:szCs w:val="16"/>
        </w:rPr>
        <w:t>"для восстанов</w:t>
      </w:r>
      <w:r w:rsidRPr="00F90EAE">
        <w:rPr>
          <w:iCs/>
          <w:color w:val="000000" w:themeColor="text1"/>
          <w:sz w:val="16"/>
          <w:szCs w:val="16"/>
        </w:rPr>
        <w:softHyphen/>
        <w:t>ления всех самолетов полку требу</w:t>
      </w:r>
      <w:r w:rsidRPr="00F90EAE">
        <w:rPr>
          <w:iCs/>
          <w:color w:val="000000" w:themeColor="text1"/>
          <w:sz w:val="16"/>
          <w:szCs w:val="16"/>
        </w:rPr>
        <w:softHyphen/>
        <w:t>ется 14 моторов АМ-42 и 18 нагне</w:t>
      </w:r>
      <w:r w:rsidRPr="00F90EAE">
        <w:rPr>
          <w:iCs/>
          <w:color w:val="000000" w:themeColor="text1"/>
          <w:sz w:val="16"/>
          <w:szCs w:val="16"/>
        </w:rPr>
        <w:softHyphen/>
        <w:t xml:space="preserve">тателей". </w:t>
      </w:r>
      <w:r w:rsidRPr="00F90EAE">
        <w:rPr>
          <w:color w:val="000000" w:themeColor="text1"/>
          <w:sz w:val="16"/>
          <w:szCs w:val="16"/>
        </w:rPr>
        <w:t xml:space="preserve">В 108-м гвардейском </w:t>
      </w:r>
      <w:r w:rsidRPr="00F90EAE">
        <w:rPr>
          <w:iCs/>
          <w:color w:val="000000" w:themeColor="text1"/>
          <w:sz w:val="16"/>
          <w:szCs w:val="16"/>
        </w:rPr>
        <w:t xml:space="preserve">шап </w:t>
      </w:r>
      <w:r w:rsidRPr="00F90EAE">
        <w:rPr>
          <w:color w:val="000000" w:themeColor="text1"/>
          <w:sz w:val="16"/>
          <w:szCs w:val="16"/>
        </w:rPr>
        <w:t>картина была такая же. К вечеру 30 апреля в полку насчитывалось всего 11 боеспособных самолетов. Осталь</w:t>
      </w:r>
      <w:r w:rsidRPr="00F90EAE">
        <w:rPr>
          <w:color w:val="000000" w:themeColor="text1"/>
          <w:sz w:val="16"/>
          <w:szCs w:val="16"/>
        </w:rPr>
        <w:softHyphen/>
        <w:t>ные 18 "десяток" требовали ремон</w:t>
      </w:r>
      <w:r w:rsidRPr="00F90EAE">
        <w:rPr>
          <w:color w:val="000000" w:themeColor="text1"/>
          <w:sz w:val="16"/>
          <w:szCs w:val="16"/>
        </w:rPr>
        <w:softHyphen/>
        <w:t>та. Еще одна неделя боев, и летать было бы не на чем.</w:t>
      </w:r>
    </w:p>
    <w:p w14:paraId="08F311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тылу положение дел было не лучше. Например, в двух дивизиях 7-го </w:t>
      </w:r>
      <w:r w:rsidRPr="00F90EAE">
        <w:rPr>
          <w:iCs/>
          <w:color w:val="000000" w:themeColor="text1"/>
          <w:sz w:val="16"/>
          <w:szCs w:val="16"/>
        </w:rPr>
        <w:t xml:space="preserve">шак, </w:t>
      </w:r>
      <w:r w:rsidRPr="00F90EAE">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F90EAE">
        <w:rPr>
          <w:color w:val="000000" w:themeColor="text1"/>
          <w:sz w:val="16"/>
          <w:szCs w:val="16"/>
        </w:rPr>
        <w:softHyphen/>
        <w:t>исправными.</w:t>
      </w:r>
    </w:p>
    <w:p w14:paraId="6FEF85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w:t>
      </w:r>
      <w:r w:rsidRPr="00F90EAE">
        <w:rPr>
          <w:color w:val="000000" w:themeColor="text1"/>
          <w:sz w:val="16"/>
          <w:szCs w:val="16"/>
        </w:rPr>
        <w:softHyphen/>
        <w:t>мации верхней и нижней обшивки консольной части крыла, срез и от</w:t>
      </w:r>
      <w:r w:rsidRPr="00F90EAE">
        <w:rPr>
          <w:color w:val="000000" w:themeColor="text1"/>
          <w:sz w:val="16"/>
          <w:szCs w:val="16"/>
        </w:rPr>
        <w:softHyphen/>
        <w:t>рыв заклепок. На некоторых маши</w:t>
      </w:r>
      <w:r w:rsidRPr="00F90EAE">
        <w:rPr>
          <w:color w:val="000000" w:themeColor="text1"/>
          <w:sz w:val="16"/>
          <w:szCs w:val="16"/>
        </w:rPr>
        <w:softHyphen/>
        <w:t>нах наблюдалось отставание листов нижней обшивки центроплана, со</w:t>
      </w:r>
      <w:r w:rsidRPr="00F90EAE">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F90EAE">
        <w:rPr>
          <w:color w:val="000000" w:themeColor="text1"/>
          <w:sz w:val="16"/>
          <w:szCs w:val="16"/>
        </w:rPr>
        <w:softHyphen/>
        <w:t>лабления заклепочных швов обшив</w:t>
      </w:r>
      <w:r w:rsidRPr="00F90EAE">
        <w:rPr>
          <w:color w:val="000000" w:themeColor="text1"/>
          <w:sz w:val="16"/>
          <w:szCs w:val="16"/>
        </w:rPr>
        <w:softHyphen/>
        <w:t>ки фюзеляжа в области крепления костыльной установки, а также по листу перехода килевой части фю</w:t>
      </w:r>
      <w:r w:rsidRPr="00F90EAE">
        <w:rPr>
          <w:color w:val="000000" w:themeColor="text1"/>
          <w:sz w:val="16"/>
          <w:szCs w:val="16"/>
        </w:rPr>
        <w:softHyphen/>
        <w:t>зеляжа. Система шасси оказалась довольно слабой в прочностном от</w:t>
      </w:r>
      <w:r w:rsidRPr="00F90EAE">
        <w:rPr>
          <w:color w:val="000000" w:themeColor="text1"/>
          <w:sz w:val="16"/>
          <w:szCs w:val="16"/>
        </w:rPr>
        <w:softHyphen/>
        <w:t>ношении и ненадежной: ломались складывающиеся подкосы шасси и обтекатели хвостового колеса, на</w:t>
      </w:r>
      <w:r w:rsidRPr="00F90EAE">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52DA59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Много проблем было и с воору</w:t>
      </w:r>
      <w:r w:rsidRPr="00F90EAE">
        <w:rPr>
          <w:color w:val="000000" w:themeColor="text1"/>
          <w:sz w:val="16"/>
          <w:szCs w:val="16"/>
        </w:rPr>
        <w:softHyphen/>
        <w:t>жением. Постоянно рвались и зае</w:t>
      </w:r>
      <w:r w:rsidRPr="00F90EAE">
        <w:rPr>
          <w:color w:val="000000" w:themeColor="text1"/>
          <w:sz w:val="16"/>
          <w:szCs w:val="16"/>
        </w:rPr>
        <w:softHyphen/>
        <w:t>дали троса бомболюков, створки бомболюков деформировались при загрузке мелких бомб и поврежда</w:t>
      </w:r>
      <w:r w:rsidRPr="00F90EAE">
        <w:rPr>
          <w:color w:val="000000" w:themeColor="text1"/>
          <w:sz w:val="16"/>
          <w:szCs w:val="16"/>
        </w:rPr>
        <w:softHyphen/>
        <w:t>лись при сбросе бомб крупного ка</w:t>
      </w:r>
      <w:r w:rsidRPr="00F90EAE">
        <w:rPr>
          <w:color w:val="000000" w:themeColor="text1"/>
          <w:sz w:val="16"/>
          <w:szCs w:val="16"/>
        </w:rPr>
        <w:softHyphen/>
        <w:t>либра. Все это приводило к тому, что</w:t>
      </w:r>
    </w:p>
    <w:p w14:paraId="1DAE44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 целью экипажи после сброса бомб зачастую продолжали выпол</w:t>
      </w:r>
      <w:r w:rsidRPr="00F90EAE">
        <w:rPr>
          <w:color w:val="000000" w:themeColor="text1"/>
          <w:sz w:val="16"/>
          <w:szCs w:val="16"/>
        </w:rPr>
        <w:softHyphen/>
        <w:t xml:space="preserve">нять атаки с открытыми бомболюка-ми. В результате </w:t>
      </w:r>
      <w:r w:rsidRPr="00F90EAE">
        <w:rPr>
          <w:iCs/>
          <w:color w:val="000000" w:themeColor="text1"/>
          <w:sz w:val="16"/>
          <w:szCs w:val="16"/>
        </w:rPr>
        <w:t xml:space="preserve">"самолет терял в маневренности". </w:t>
      </w:r>
      <w:r w:rsidRPr="00F90EAE">
        <w:rPr>
          <w:color w:val="000000" w:themeColor="text1"/>
          <w:sz w:val="16"/>
          <w:szCs w:val="16"/>
        </w:rPr>
        <w:t>Кроме этого, име</w:t>
      </w:r>
      <w:r w:rsidRPr="00F90EAE">
        <w:rPr>
          <w:color w:val="000000" w:themeColor="text1"/>
          <w:sz w:val="16"/>
          <w:szCs w:val="16"/>
        </w:rPr>
        <w:softHyphen/>
        <w:t>лись случаи, когда створки бомбо</w:t>
      </w:r>
      <w:r w:rsidRPr="00F90EAE">
        <w:rPr>
          <w:color w:val="000000" w:themeColor="text1"/>
          <w:sz w:val="16"/>
          <w:szCs w:val="16"/>
        </w:rPr>
        <w:softHyphen/>
        <w:t>вых отсеков открывались не полнос</w:t>
      </w:r>
      <w:r w:rsidRPr="00F90EAE">
        <w:rPr>
          <w:color w:val="000000" w:themeColor="text1"/>
          <w:sz w:val="16"/>
          <w:szCs w:val="16"/>
        </w:rPr>
        <w:softHyphen/>
        <w:t>тью и бомбы зависали.</w:t>
      </w:r>
    </w:p>
    <w:p w14:paraId="4191F3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Специальная комиссия ВВС в се</w:t>
      </w:r>
      <w:r w:rsidRPr="00F90EAE">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1737EB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судя по до</w:t>
      </w:r>
      <w:r w:rsidRPr="00F90EAE">
        <w:rPr>
          <w:color w:val="000000" w:themeColor="text1"/>
          <w:sz w:val="16"/>
          <w:szCs w:val="16"/>
        </w:rPr>
        <w:softHyphen/>
        <w:t>кументам, недостатки и дефекты мо</w:t>
      </w:r>
      <w:r w:rsidRPr="00F90EAE">
        <w:rPr>
          <w:color w:val="000000" w:themeColor="text1"/>
          <w:sz w:val="16"/>
          <w:szCs w:val="16"/>
        </w:rPr>
        <w:softHyphen/>
        <w:t>тора АМ-42 обуславливались не только объективными трудностями, но также и "особым" отношением мо</w:t>
      </w:r>
      <w:r w:rsidRPr="00F90EAE">
        <w:rPr>
          <w:color w:val="000000" w:themeColor="text1"/>
          <w:sz w:val="16"/>
          <w:szCs w:val="16"/>
        </w:rPr>
        <w:softHyphen/>
        <w:t>тористов к вопросу выяснения истин</w:t>
      </w:r>
      <w:r w:rsidRPr="00F90EAE">
        <w:rPr>
          <w:color w:val="000000" w:themeColor="text1"/>
          <w:sz w:val="16"/>
          <w:szCs w:val="16"/>
        </w:rPr>
        <w:softHyphen/>
        <w:t xml:space="preserve">ных причин </w:t>
      </w:r>
      <w:r w:rsidRPr="00F90EAE">
        <w:rPr>
          <w:iCs/>
          <w:color w:val="000000" w:themeColor="text1"/>
          <w:sz w:val="16"/>
          <w:szCs w:val="16"/>
        </w:rPr>
        <w:t xml:space="preserve">"летных происшествий, происходящих по причине отказа моторов". </w:t>
      </w:r>
      <w:r w:rsidRPr="00F90EAE">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F90EAE">
        <w:rPr>
          <w:iCs/>
          <w:color w:val="000000" w:themeColor="text1"/>
          <w:sz w:val="16"/>
          <w:szCs w:val="16"/>
        </w:rPr>
        <w:t>"...представители завода запу</w:t>
      </w:r>
      <w:r w:rsidRPr="00F90EAE">
        <w:rPr>
          <w:iCs/>
          <w:color w:val="000000" w:themeColor="text1"/>
          <w:sz w:val="16"/>
          <w:szCs w:val="16"/>
        </w:rPr>
        <w:softHyphen/>
        <w:t>тывают расследования причин отка</w:t>
      </w:r>
      <w:r w:rsidRPr="00F90EAE">
        <w:rPr>
          <w:iCs/>
          <w:color w:val="000000" w:themeColor="text1"/>
          <w:sz w:val="16"/>
          <w:szCs w:val="16"/>
        </w:rPr>
        <w:softHyphen/>
        <w:t>зов моторов, а значит, стремятся за</w:t>
      </w:r>
      <w:r w:rsidRPr="00F90EAE">
        <w:rPr>
          <w:iCs/>
          <w:color w:val="000000" w:themeColor="text1"/>
          <w:sz w:val="16"/>
          <w:szCs w:val="16"/>
        </w:rPr>
        <w:softHyphen/>
        <w:t>мазать их. Расследования затягива</w:t>
      </w:r>
      <w:r w:rsidRPr="00F90EAE">
        <w:rPr>
          <w:iCs/>
          <w:color w:val="000000" w:themeColor="text1"/>
          <w:sz w:val="16"/>
          <w:szCs w:val="16"/>
        </w:rPr>
        <w:softHyphen/>
        <w:t>ются на полгода и более. Такое "рас</w:t>
      </w:r>
      <w:r w:rsidRPr="00F90EAE">
        <w:rPr>
          <w:iCs/>
          <w:color w:val="000000" w:themeColor="text1"/>
          <w:sz w:val="16"/>
          <w:szCs w:val="16"/>
        </w:rPr>
        <w:softHyphen/>
        <w:t>следование" не может предупредить вовремя повторение летных проис</w:t>
      </w:r>
      <w:r w:rsidRPr="00F90EAE">
        <w:rPr>
          <w:iCs/>
          <w:color w:val="000000" w:themeColor="text1"/>
          <w:sz w:val="16"/>
          <w:szCs w:val="16"/>
        </w:rPr>
        <w:softHyphen/>
        <w:t>шествий по тем же причинам. Завя</w:t>
      </w:r>
      <w:r w:rsidRPr="00F90EAE">
        <w:rPr>
          <w:iCs/>
          <w:color w:val="000000" w:themeColor="text1"/>
          <w:sz w:val="16"/>
          <w:szCs w:val="16"/>
        </w:rPr>
        <w:softHyphen/>
        <w:t>зывается бессмысленная переписка, в результате которой все же Вам при</w:t>
      </w:r>
      <w:r w:rsidRPr="00F90EAE">
        <w:rPr>
          <w:iCs/>
          <w:color w:val="000000" w:themeColor="text1"/>
          <w:sz w:val="16"/>
          <w:szCs w:val="16"/>
        </w:rPr>
        <w:softHyphen/>
        <w:t>ходиться признавать вину за заво</w:t>
      </w:r>
      <w:r w:rsidRPr="00F90EAE">
        <w:rPr>
          <w:iCs/>
          <w:color w:val="000000" w:themeColor="text1"/>
          <w:sz w:val="16"/>
          <w:szCs w:val="16"/>
        </w:rPr>
        <w:softHyphen/>
        <w:t>дом. Нелогичность "особых" мнений и отсутствие в них обоснования го</w:t>
      </w:r>
      <w:r w:rsidRPr="00F90EAE">
        <w:rPr>
          <w:iCs/>
          <w:color w:val="000000" w:themeColor="text1"/>
          <w:sz w:val="16"/>
          <w:szCs w:val="16"/>
        </w:rPr>
        <w:softHyphen/>
        <w:t>ворит о чрезвычайно низкой техни</w:t>
      </w:r>
      <w:r w:rsidRPr="00F90EAE">
        <w:rPr>
          <w:iCs/>
          <w:color w:val="000000" w:themeColor="text1"/>
          <w:sz w:val="16"/>
          <w:szCs w:val="16"/>
        </w:rPr>
        <w:softHyphen/>
        <w:t>ческой грамотности представителей завода, работающих в бригаде..."</w:t>
      </w:r>
    </w:p>
    <w:p w14:paraId="5757C0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Забегая вперед, укажем, что до</w:t>
      </w:r>
      <w:r w:rsidRPr="00F90EAE">
        <w:rPr>
          <w:color w:val="000000" w:themeColor="text1"/>
          <w:sz w:val="16"/>
          <w:szCs w:val="16"/>
        </w:rPr>
        <w:softHyphen/>
        <w:t>водка АМ-42 затянулась фактически до середины 1947 г., когда были вне</w:t>
      </w:r>
      <w:r w:rsidRPr="00F90EAE">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F90EAE">
        <w:rPr>
          <w:color w:val="000000" w:themeColor="text1"/>
          <w:sz w:val="16"/>
          <w:szCs w:val="16"/>
        </w:rPr>
        <w:softHyphen/>
        <w:t>мени, недостаточная его надежность определяла и довольно высокую ава</w:t>
      </w:r>
      <w:r w:rsidRPr="00F90EAE">
        <w:rPr>
          <w:color w:val="000000" w:themeColor="text1"/>
          <w:sz w:val="16"/>
          <w:szCs w:val="16"/>
        </w:rPr>
        <w:softHyphen/>
        <w:t xml:space="preserve">рийность в частях ВВС. Например, в феврале-марте 1946 г. в частях 10-й </w:t>
      </w:r>
      <w:r w:rsidRPr="00F90EAE">
        <w:rPr>
          <w:iCs/>
          <w:color w:val="000000" w:themeColor="text1"/>
          <w:sz w:val="16"/>
          <w:szCs w:val="16"/>
        </w:rPr>
        <w:t xml:space="preserve">гшад </w:t>
      </w:r>
      <w:r w:rsidRPr="00F90EAE">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C80EB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проблем с мотором, се</w:t>
      </w:r>
      <w:r w:rsidRPr="00F90EAE">
        <w:rPr>
          <w:color w:val="000000" w:themeColor="text1"/>
          <w:sz w:val="16"/>
          <w:szCs w:val="16"/>
        </w:rPr>
        <w:softHyphen/>
        <w:t>рийные Ил-10 характеризовались и пониженными летными данными в сравнении с опытной машиной. Ут</w:t>
      </w:r>
      <w:r w:rsidRPr="00F90EAE">
        <w:rPr>
          <w:color w:val="000000" w:themeColor="text1"/>
          <w:sz w:val="16"/>
          <w:szCs w:val="16"/>
        </w:rPr>
        <w:softHyphen/>
        <w:t>вержденные на совместном совеща</w:t>
      </w:r>
      <w:r w:rsidRPr="00F90EAE">
        <w:rPr>
          <w:color w:val="000000" w:themeColor="text1"/>
          <w:sz w:val="16"/>
          <w:szCs w:val="16"/>
        </w:rPr>
        <w:softHyphen/>
        <w:t>нии ВВС и НКАП в январе 1945 г. технические условия на самолет Ил-10 оказались для заводов высокими.</w:t>
      </w:r>
    </w:p>
    <w:p w14:paraId="58C847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166301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F3B7B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Одной из последних потерь балтийской авиации стал Пе-2 из 15-го РАП, сбитый 8 мая 1945 года к западу от Лиепаи обер-лейтенантом Тибеном. Вместе с машиной погибли два Героя Советского Союза: Г. Давиденко и А. Грачев. В полдень того же дня, во время налета на Лиепаю погиб один из самых опытных пилотов 47-го ШАП - В. Талдыкин. В. Остапенко из 9-го ИАП сбил один FW-190, который рухнул возле своего аэродрома (2691).</w:t>
      </w:r>
    </w:p>
    <w:p w14:paraId="57F939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за годы Великой Отечественной войны балтийская авиация совершила 158050 боевых вылетов и сбила 2418 самолетов противника (2691).</w:t>
      </w:r>
    </w:p>
    <w:p w14:paraId="0F309637" w14:textId="77777777" w:rsidR="00665165" w:rsidRPr="00F90EAE" w:rsidRDefault="00665165" w:rsidP="00F90EAE">
      <w:pPr>
        <w:autoSpaceDE w:val="0"/>
        <w:autoSpaceDN w:val="0"/>
        <w:adjustRightInd w:val="0"/>
        <w:jc w:val="both"/>
        <w:rPr>
          <w:color w:val="000000" w:themeColor="text1"/>
          <w:sz w:val="16"/>
          <w:szCs w:val="16"/>
        </w:rPr>
      </w:pPr>
    </w:p>
    <w:p w14:paraId="55FF70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г. был, по-видимому, последний боевой вылет Пе-2 на бомбометание в Европе. Советские летчики бомбили порт в г. Лиепае, откуда немцы пытались морем уйти в Швецию. Разведывательные полеты в Чехословакии и Австрии совершались и позже (3542).</w:t>
      </w:r>
    </w:p>
    <w:p w14:paraId="43834BC1" w14:textId="77777777" w:rsidR="00665165" w:rsidRPr="00F90EAE" w:rsidRDefault="00665165" w:rsidP="00F90EAE">
      <w:pPr>
        <w:autoSpaceDE w:val="0"/>
        <w:autoSpaceDN w:val="0"/>
        <w:adjustRightInd w:val="0"/>
        <w:jc w:val="both"/>
        <w:rPr>
          <w:color w:val="000000" w:themeColor="text1"/>
          <w:sz w:val="16"/>
          <w:szCs w:val="16"/>
        </w:rPr>
      </w:pPr>
    </w:p>
    <w:p w14:paraId="1EFDFD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на Пе-2 погибло 2 ГСС л м А.Грачев и ш к Г.Давиденко из 15 рап ВВС КБФ. Сбили 2 FW190D-9, на одном из которых перевозили механика (1841,31).</w:t>
      </w:r>
    </w:p>
    <w:p w14:paraId="10F4431E" w14:textId="77777777" w:rsidR="00665165" w:rsidRPr="00F90EAE" w:rsidRDefault="00665165" w:rsidP="00F90EAE">
      <w:pPr>
        <w:autoSpaceDE w:val="0"/>
        <w:autoSpaceDN w:val="0"/>
        <w:adjustRightInd w:val="0"/>
        <w:jc w:val="both"/>
        <w:rPr>
          <w:color w:val="000000" w:themeColor="text1"/>
          <w:sz w:val="16"/>
          <w:szCs w:val="16"/>
        </w:rPr>
      </w:pPr>
    </w:p>
    <w:p w14:paraId="05BFA1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мая 1945 г. последний Пе-2 не вернулся с задания. В тот день одинокий самолёт-разведчик двух Героев Советского Союза -пилота майора Г.Давиденко и штурмана майора Грачёва - возвращался с задания из района Гдыни. Над серыми волнами Балтики он был внезапно атакован парой Г\Л/190. Ве</w:t>
      </w:r>
      <w:r w:rsidRPr="00F90EAE">
        <w:rPr>
          <w:color w:val="000000" w:themeColor="text1"/>
          <w:sz w:val="16"/>
          <w:szCs w:val="16"/>
        </w:rPr>
        <w:softHyphen/>
        <w:t>дущий истребитель пилотировал командир отряда 7./Л354 обер-лейтенант Герхард Тибен, а его ведомым был фельдфебель Фриц Хангебраук. В закабинном отсеке ведущего истребителя, согнувшись в три погибели и стараясь не касаться тросов управления, сидел механик Тибена. Однако, это не помешало немцам атаковать. Штурман и стре</w:t>
      </w:r>
      <w:r w:rsidRPr="00F90EAE">
        <w:rPr>
          <w:color w:val="000000" w:themeColor="text1"/>
          <w:sz w:val="16"/>
          <w:szCs w:val="16"/>
        </w:rPr>
        <w:softHyphen/>
        <w:t>лок-радист советского бомбардировщика не сумели отбить внезапную атаку «фоккеров». Спустя три минуты горящая «пешка» вместе со экипажем рухнула в море (11392).</w:t>
      </w:r>
    </w:p>
    <w:p w14:paraId="239AF0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013C6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10-я советская гвардейская механизированная бригада заняла чешский город Жатец в 60 км северо-западнее Праги (4963 ).</w:t>
      </w:r>
    </w:p>
    <w:p w14:paraId="6C75DB2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06574C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16-я советская механизированная бригада заняла чешский город Мост (4963 ).</w:t>
      </w:r>
    </w:p>
    <w:p w14:paraId="4F3E022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8E6A3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3-я и 5-я гвардейские, 3-я гвардейская танковая советские армии во взаимодействии с частями 2-й армии Войска Польского полностью захватили немецкий город Дрезден на юго-востоке Германии (4963 ).</w:t>
      </w:r>
    </w:p>
    <w:p w14:paraId="63206EE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4C0AE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5-й советский гвардейский механизированный корпус полностью разгромил штаб немецкой группы армий ''Центр'' северо-западнее Праги (4963 ).</w:t>
      </w:r>
    </w:p>
    <w:p w14:paraId="764A4DF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B9D58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 мая 1945 Э.Хартман сбил последний, 352 самолет в 1425 боевом вылете и 800 бое. Первой победой был Ил-2 в ноябре 1942. В Германии было 106 пилотов, каждый из которых сбил более 100 и в сумме 15547. 27 советских трижды и дважды героев сбили 1044. Кожедуб выполнил 330 вылетов и 120 боев (355,34).</w:t>
      </w:r>
    </w:p>
    <w:p w14:paraId="7E6BC988" w14:textId="77777777" w:rsidR="00665165" w:rsidRPr="00F90EAE" w:rsidRDefault="00665165" w:rsidP="00F90EAE">
      <w:pPr>
        <w:autoSpaceDE w:val="0"/>
        <w:autoSpaceDN w:val="0"/>
        <w:adjustRightInd w:val="0"/>
        <w:jc w:val="both"/>
        <w:rPr>
          <w:color w:val="000000" w:themeColor="text1"/>
          <w:sz w:val="16"/>
          <w:szCs w:val="16"/>
        </w:rPr>
      </w:pPr>
    </w:p>
    <w:p w14:paraId="081F6E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взяли Вроцлав (1348,225).</w:t>
      </w:r>
    </w:p>
    <w:p w14:paraId="38E3D2A8" w14:textId="77777777" w:rsidR="00665165" w:rsidRPr="00F90EAE" w:rsidRDefault="00665165" w:rsidP="00F90EAE">
      <w:pPr>
        <w:autoSpaceDE w:val="0"/>
        <w:autoSpaceDN w:val="0"/>
        <w:adjustRightInd w:val="0"/>
        <w:jc w:val="both"/>
        <w:rPr>
          <w:color w:val="000000" w:themeColor="text1"/>
          <w:sz w:val="16"/>
          <w:szCs w:val="16"/>
        </w:rPr>
      </w:pPr>
    </w:p>
    <w:p w14:paraId="17154B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на аэродром Темпельхоф на Ю-52 под эскортом 8 Як-9 515 иап с Темпельхоф и 10 Як-9 518 иап 16ВА из Шонефельд прибыли представители немецкого командования во главе с Кейтелем для подписания договора о капитуляции. Эти же Яки сопровождали и 5 самолетов, на которых прибыло союзное командование (455,174).</w:t>
      </w:r>
    </w:p>
    <w:p w14:paraId="26FA7620" w14:textId="77777777" w:rsidR="00665165" w:rsidRPr="00F90EAE" w:rsidRDefault="00665165" w:rsidP="00F90EAE">
      <w:pPr>
        <w:autoSpaceDE w:val="0"/>
        <w:autoSpaceDN w:val="0"/>
        <w:adjustRightInd w:val="0"/>
        <w:jc w:val="both"/>
        <w:rPr>
          <w:color w:val="000000" w:themeColor="text1"/>
          <w:sz w:val="16"/>
          <w:szCs w:val="16"/>
        </w:rPr>
      </w:pPr>
    </w:p>
    <w:p w14:paraId="71927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8449 О переводе с 1 июня 1945 г. войск, расположенных на Дальнем Востоке и в Забайкалье на нормы питания и денежное довольствие, установленные для ДА. РГАНИР, Фонд ГКО, д. 414, лл. 1-2 (11012).</w:t>
      </w:r>
    </w:p>
    <w:p w14:paraId="1BD02928" w14:textId="77777777" w:rsidR="00665165" w:rsidRPr="00F90EAE" w:rsidRDefault="00665165" w:rsidP="00F90EAE">
      <w:pPr>
        <w:autoSpaceDE w:val="0"/>
        <w:autoSpaceDN w:val="0"/>
        <w:adjustRightInd w:val="0"/>
        <w:jc w:val="both"/>
        <w:rPr>
          <w:color w:val="000000" w:themeColor="text1"/>
          <w:sz w:val="16"/>
          <w:szCs w:val="16"/>
        </w:rPr>
      </w:pPr>
    </w:p>
    <w:p w14:paraId="1BC7A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вышло Постановление ГКО № 8450 Вопросы Берлина. РГАНИР, Фонд ГКО, д. 414, лл. 3-5 (11012).</w:t>
      </w:r>
    </w:p>
    <w:p w14:paraId="54E76327" w14:textId="77777777" w:rsidR="00665165" w:rsidRPr="00F90EAE" w:rsidRDefault="00665165" w:rsidP="00F90EAE">
      <w:pPr>
        <w:autoSpaceDE w:val="0"/>
        <w:autoSpaceDN w:val="0"/>
        <w:adjustRightInd w:val="0"/>
        <w:jc w:val="both"/>
        <w:rPr>
          <w:color w:val="000000" w:themeColor="text1"/>
          <w:sz w:val="16"/>
          <w:szCs w:val="16"/>
        </w:rPr>
      </w:pPr>
    </w:p>
    <w:p w14:paraId="4BD3BCA3" w14:textId="77777777" w:rsidR="009E360D" w:rsidRPr="00F90EAE" w:rsidRDefault="009E360D"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в Карлхорсте немцами подписан Акт о безоговорочной капитуляции (4962).</w:t>
      </w:r>
    </w:p>
    <w:p w14:paraId="14F8A185" w14:textId="77777777" w:rsidR="009E360D" w:rsidRPr="00F90EAE" w:rsidRDefault="009E360D" w:rsidP="00F90EAE">
      <w:pPr>
        <w:tabs>
          <w:tab w:val="left" w:pos="11199"/>
        </w:tabs>
        <w:autoSpaceDE w:val="0"/>
        <w:autoSpaceDN w:val="0"/>
        <w:adjustRightInd w:val="0"/>
        <w:jc w:val="both"/>
        <w:rPr>
          <w:color w:val="000000" w:themeColor="text1"/>
          <w:sz w:val="16"/>
          <w:szCs w:val="16"/>
        </w:rPr>
      </w:pPr>
    </w:p>
    <w:p w14:paraId="215918CD" w14:textId="77777777" w:rsidR="009E360D" w:rsidRPr="00F90EAE" w:rsidRDefault="009E360D"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08 1945 Germany surrenders the rest of its forces, unconditionally to Soviet forces in Berlin (1242).</w:t>
      </w:r>
    </w:p>
    <w:p w14:paraId="72192DC3" w14:textId="77777777" w:rsidR="009E360D" w:rsidRPr="00F90EAE" w:rsidRDefault="009E360D" w:rsidP="00F90EAE">
      <w:pPr>
        <w:autoSpaceDE w:val="0"/>
        <w:autoSpaceDN w:val="0"/>
        <w:adjustRightInd w:val="0"/>
        <w:jc w:val="both"/>
        <w:rPr>
          <w:color w:val="000000" w:themeColor="text1"/>
          <w:sz w:val="16"/>
          <w:szCs w:val="16"/>
          <w:lang w:val="en-US"/>
        </w:rPr>
      </w:pPr>
    </w:p>
    <w:p w14:paraId="4AFD8202" w14:textId="77777777" w:rsidR="009E360D" w:rsidRPr="00F90EAE" w:rsidRDefault="009E360D" w:rsidP="00F90EAE">
      <w:pPr>
        <w:autoSpaceDE w:val="0"/>
        <w:autoSpaceDN w:val="0"/>
        <w:adjustRightInd w:val="0"/>
        <w:jc w:val="both"/>
        <w:rPr>
          <w:color w:val="000000" w:themeColor="text1"/>
          <w:sz w:val="16"/>
          <w:szCs w:val="16"/>
        </w:rPr>
      </w:pPr>
      <w:r w:rsidRPr="00F90EAE">
        <w:rPr>
          <w:color w:val="000000" w:themeColor="text1"/>
          <w:sz w:val="16"/>
          <w:szCs w:val="16"/>
        </w:rPr>
        <w:t>8 мая 1945 Германия сдалась полностью и безоговорочно советскому командованию в Берлине (1242).</w:t>
      </w:r>
    </w:p>
    <w:p w14:paraId="7A715D6A" w14:textId="77777777" w:rsidR="009E360D" w:rsidRPr="00F90EAE" w:rsidRDefault="009E360D" w:rsidP="00F90EAE">
      <w:pPr>
        <w:autoSpaceDE w:val="0"/>
        <w:autoSpaceDN w:val="0"/>
        <w:adjustRightInd w:val="0"/>
        <w:jc w:val="both"/>
        <w:rPr>
          <w:color w:val="000000" w:themeColor="text1"/>
          <w:sz w:val="16"/>
          <w:szCs w:val="16"/>
        </w:rPr>
      </w:pPr>
    </w:p>
    <w:p w14:paraId="6A19B1C7" w14:textId="77777777" w:rsidR="009E360D" w:rsidRPr="00F90EAE" w:rsidRDefault="009E360D" w:rsidP="00F90EAE">
      <w:pPr>
        <w:jc w:val="both"/>
        <w:rPr>
          <w:color w:val="000000" w:themeColor="text1"/>
          <w:sz w:val="16"/>
          <w:szCs w:val="16"/>
        </w:rPr>
      </w:pPr>
      <w:r w:rsidRPr="00F90EAE">
        <w:rPr>
          <w:color w:val="000000" w:themeColor="text1"/>
          <w:sz w:val="16"/>
          <w:szCs w:val="16"/>
        </w:rPr>
        <w:t>8 мая в 1945 году в пригороде Берлина Карлсхорсте в 22 часа 43 минуты по центрально-европейскому времени (в Москве уже наступил следующий день) подписан окончательный Акт о военной капитуляции Германии. От имени германского Верховного главнокомандования акт подписали начальник штаба верховного главнокомандования вермахта генерал-фельдмаршал В. ейтель, главнокомандующий военно-морскими силами адмирал фон Фридебург, генерал-полковник авиации Г.Ю.Штумпф. Советский Союз представлял заместитель Верховного главнокомандующего маршал Советского Союза Г.К.Жуков, союзников - главный маршал авиации Великобритании А.Теддер. В качестве свидетелей присутствовали командующий стратегическими воздушными силами США генерал К.Спаатс и главнокомандующий французской армией генерал Ж.М.де Латр де Тассиньи. Еще до подписания акта И.В.Сталин подписал указ Президиума Верховного Совета СССР о провозглашении 9 мая Днем Победы. Утром 9 мая Указ был прочитан диктором Левитаном по радио (14885).</w:t>
      </w:r>
    </w:p>
    <w:p w14:paraId="76C60C50" w14:textId="77777777" w:rsidR="009E360D" w:rsidRPr="00F90EAE" w:rsidRDefault="009E360D" w:rsidP="00F90EAE">
      <w:pPr>
        <w:jc w:val="both"/>
        <w:rPr>
          <w:color w:val="000000" w:themeColor="text1"/>
          <w:sz w:val="16"/>
          <w:szCs w:val="16"/>
        </w:rPr>
      </w:pPr>
    </w:p>
    <w:p w14:paraId="26D33DE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0FB26BB" w14:textId="77777777" w:rsidR="00665165" w:rsidRPr="00F90EAE" w:rsidRDefault="00665165" w:rsidP="00F90EAE">
      <w:pPr>
        <w:autoSpaceDE w:val="0"/>
        <w:autoSpaceDN w:val="0"/>
        <w:adjustRightInd w:val="0"/>
        <w:jc w:val="both"/>
        <w:rPr>
          <w:iCs/>
          <w:color w:val="000000" w:themeColor="text1"/>
          <w:sz w:val="16"/>
          <w:szCs w:val="16"/>
        </w:rPr>
      </w:pPr>
    </w:p>
    <w:p w14:paraId="0E099C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мая 1945 было подписано Соглашение об экономическом сотрудничестве с Королевством Румыния (7485,47).</w:t>
      </w:r>
    </w:p>
    <w:p w14:paraId="21D593B4" w14:textId="77777777" w:rsidR="00665165" w:rsidRPr="00F90EAE" w:rsidRDefault="00665165" w:rsidP="00F90EAE">
      <w:pPr>
        <w:autoSpaceDE w:val="0"/>
        <w:autoSpaceDN w:val="0"/>
        <w:adjustRightInd w:val="0"/>
        <w:jc w:val="both"/>
        <w:rPr>
          <w:color w:val="000000" w:themeColor="text1"/>
          <w:sz w:val="16"/>
          <w:szCs w:val="16"/>
        </w:rPr>
      </w:pPr>
    </w:p>
    <w:p w14:paraId="199019F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83FD2D8" w14:textId="77777777" w:rsidR="00665165" w:rsidRPr="00F90EAE" w:rsidRDefault="00665165" w:rsidP="00F90EAE">
      <w:pPr>
        <w:autoSpaceDE w:val="0"/>
        <w:autoSpaceDN w:val="0"/>
        <w:adjustRightInd w:val="0"/>
        <w:jc w:val="both"/>
        <w:rPr>
          <w:iCs/>
          <w:color w:val="000000" w:themeColor="text1"/>
          <w:sz w:val="16"/>
          <w:szCs w:val="16"/>
        </w:rPr>
      </w:pPr>
    </w:p>
    <w:p w14:paraId="53888D52" w14:textId="77777777" w:rsidR="009E360D" w:rsidRPr="00F90EAE" w:rsidRDefault="009E360D" w:rsidP="00F90EAE">
      <w:pPr>
        <w:jc w:val="both"/>
        <w:rPr>
          <w:color w:val="000000" w:themeColor="text1"/>
          <w:sz w:val="16"/>
          <w:szCs w:val="16"/>
        </w:rPr>
      </w:pPr>
      <w:r w:rsidRPr="00F90EAE">
        <w:rPr>
          <w:color w:val="000000" w:themeColor="text1"/>
          <w:sz w:val="16"/>
          <w:szCs w:val="16"/>
        </w:rPr>
        <w:t xml:space="preserve">8 мая в 1945 году взлетел второй опытный экземпляр американского палубного штурмовика </w:t>
      </w:r>
      <w:hyperlink r:id="rId112" w:tgtFrame="_blank" w:history="1">
        <w:r w:rsidRPr="00F90EAE">
          <w:rPr>
            <w:color w:val="000000" w:themeColor="text1"/>
            <w:sz w:val="16"/>
            <w:szCs w:val="16"/>
          </w:rPr>
          <w:t xml:space="preserve">«XBT2D-1» </w:t>
        </w:r>
      </w:hyperlink>
      <w:r w:rsidRPr="00F90EAE">
        <w:rPr>
          <w:color w:val="000000" w:themeColor="text1"/>
          <w:sz w:val="16"/>
          <w:szCs w:val="16"/>
        </w:rPr>
        <w:t>(заводской номер 09086). При его испытаниях выявились некоторые скрытые дефекты в силовой установке, главным виновником которых стал воздушный винт, создававший сильную вибрацию. Высокочастотные колебания двигателя приводили к появлению усталостных трещин даже на выхлопных патрубках. Самолет подвергли специальным виброиспытаниям, а затем его передали в NACA для продувок в натурной аэродинамической трубе. Только к началу августа второй опытный экземпляр «XBT2D-1» вернули на фирму для доработок (14885).</w:t>
      </w:r>
    </w:p>
    <w:p w14:paraId="38A26F5C" w14:textId="77777777" w:rsidR="009E360D" w:rsidRPr="00F90EAE" w:rsidRDefault="009E360D" w:rsidP="00F90EAE">
      <w:pPr>
        <w:jc w:val="both"/>
        <w:rPr>
          <w:color w:val="000000" w:themeColor="text1"/>
          <w:sz w:val="16"/>
          <w:szCs w:val="16"/>
        </w:rPr>
      </w:pPr>
    </w:p>
    <w:p w14:paraId="4A96FDD4" w14:textId="77777777" w:rsidR="009E360D" w:rsidRPr="00F90EAE" w:rsidRDefault="009E360D" w:rsidP="00F90EAE">
      <w:pPr>
        <w:jc w:val="both"/>
        <w:rPr>
          <w:color w:val="000000" w:themeColor="text1"/>
          <w:sz w:val="16"/>
          <w:szCs w:val="16"/>
        </w:rPr>
      </w:pPr>
      <w:r w:rsidRPr="00F90EAE">
        <w:rPr>
          <w:color w:val="000000" w:themeColor="text1"/>
          <w:sz w:val="16"/>
          <w:szCs w:val="16"/>
        </w:rPr>
        <w:t xml:space="preserve">8 мая в 1945 году пеpвый полет поршневого варианта бомбардировщика-разведчика </w:t>
      </w:r>
      <w:hyperlink r:id="rId113" w:tgtFrame="_blank" w:history="1">
        <w:r w:rsidRPr="00F90EAE">
          <w:rPr>
            <w:color w:val="000000" w:themeColor="text1"/>
            <w:sz w:val="16"/>
            <w:szCs w:val="16"/>
          </w:rPr>
          <w:t xml:space="preserve">«Йокосука» «R2Y1» «Кеюн», </w:t>
        </w:r>
      </w:hyperlink>
      <w:r w:rsidRPr="00F90EAE">
        <w:rPr>
          <w:color w:val="000000" w:themeColor="text1"/>
          <w:sz w:val="16"/>
          <w:szCs w:val="16"/>
        </w:rPr>
        <w:t>пилот капитан-лейтенант Китайима. Опытный «R2Y1» по завеpшению сборки в апpеле 1945 года был пеpеведен в Кисаpазу, где выявились пpоблемы с шасси (шимми пеpеднего колеса) и пеpегpев двигателя. К несчастью,первый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(14885).</w:t>
      </w:r>
    </w:p>
    <w:p w14:paraId="1D948CF4" w14:textId="77777777" w:rsidR="009E360D" w:rsidRPr="00F90EAE" w:rsidRDefault="009E360D" w:rsidP="00F90EAE">
      <w:pPr>
        <w:jc w:val="both"/>
        <w:rPr>
          <w:color w:val="000000" w:themeColor="text1"/>
          <w:sz w:val="16"/>
          <w:szCs w:val="16"/>
        </w:rPr>
      </w:pPr>
    </w:p>
    <w:p w14:paraId="68C2E60A" w14:textId="77777777" w:rsidR="008628F5" w:rsidRPr="00F90EAE" w:rsidRDefault="008628F5" w:rsidP="00F90EAE">
      <w:pPr>
        <w:jc w:val="both"/>
        <w:rPr>
          <w:color w:val="0070C0"/>
          <w:sz w:val="16"/>
          <w:szCs w:val="16"/>
        </w:rPr>
      </w:pPr>
      <w:r w:rsidRPr="00F90EAE">
        <w:rPr>
          <w:color w:val="0070C0"/>
          <w:sz w:val="16"/>
          <w:szCs w:val="16"/>
        </w:rPr>
        <w:t>8 мая 1945 первый полет Йокосука R2Y1 кэйун («Красивые облака»), с поршневым двигателем, прототипа R2Y2, проектируемого как первый японский реактивный штурмовик (20371).</w:t>
      </w:r>
    </w:p>
    <w:p w14:paraId="18000A2B" w14:textId="77777777" w:rsidR="008628F5" w:rsidRPr="00F90EAE" w:rsidRDefault="008628F5" w:rsidP="00F90EAE">
      <w:pPr>
        <w:jc w:val="both"/>
        <w:rPr>
          <w:color w:val="0070C0"/>
          <w:sz w:val="16"/>
          <w:szCs w:val="16"/>
        </w:rPr>
      </w:pPr>
    </w:p>
    <w:p w14:paraId="5492C2C0" w14:textId="77777777" w:rsidR="008628F5" w:rsidRPr="00F90EAE" w:rsidRDefault="008628F5" w:rsidP="00F90EAE">
      <w:pPr>
        <w:jc w:val="both"/>
        <w:rPr>
          <w:color w:val="0070C0"/>
          <w:sz w:val="16"/>
          <w:szCs w:val="16"/>
        </w:rPr>
      </w:pPr>
      <w:r w:rsidRPr="00F90EAE">
        <w:rPr>
          <w:color w:val="0070C0"/>
          <w:sz w:val="16"/>
          <w:szCs w:val="16"/>
        </w:rPr>
        <w:t>8 мая 1945 - Пеpвый полет поршневого варианта бомбардировщика-разведчика Йокосука R2Y1 «Кеюн», пилот капитан-лейтенант Китайима (потом спарку двигателей в фюзеляже планировалось заменить на топливный бак, а под крылом установить пару турбореактивных двигателей с осевыми компрессорами Mitsubishi Ne-330 тягой 1320 кг). Опытный R2Y1 по завеpшению сборки в апpеле 1945 года был пеpеведен в Кисаpазу, где выявились пpоблемы с шасси (шимми пеpеднего колеса) и пеpегpев двигателя. К несчастью,первый полет был пpеpван из-за pезкого pоста темпеpатуpы масла. Еще чеpез несколько дней выяснилась необходимость вообще заменить двигатель. Hо pаньше, чем это было сделано, самолет был pазбомблен амеpиканцами. До конца войны в сбоpке все еще находился втоpой R2Y1 и был почти закончен опытный R2Y2 (22509).</w:t>
      </w:r>
    </w:p>
    <w:p w14:paraId="1D462342" w14:textId="77777777" w:rsidR="008628F5" w:rsidRPr="00F90EAE" w:rsidRDefault="008628F5" w:rsidP="00F90EAE">
      <w:pPr>
        <w:jc w:val="both"/>
        <w:rPr>
          <w:color w:val="0070C0"/>
          <w:sz w:val="16"/>
          <w:szCs w:val="16"/>
        </w:rPr>
      </w:pPr>
    </w:p>
    <w:p w14:paraId="004C88AC" w14:textId="77777777" w:rsidR="008628F5" w:rsidRPr="00F90EAE" w:rsidRDefault="008628F5" w:rsidP="00F90EAE">
      <w:pPr>
        <w:jc w:val="both"/>
        <w:rPr>
          <w:color w:val="0070C0"/>
          <w:sz w:val="16"/>
          <w:szCs w:val="16"/>
        </w:rPr>
      </w:pPr>
      <w:r w:rsidRPr="00F90EAE">
        <w:rPr>
          <w:color w:val="0070C0"/>
          <w:sz w:val="16"/>
          <w:szCs w:val="16"/>
        </w:rPr>
        <w:t>8 мая 1945 летчик - истребителя Хартманн на Messerschmitt Bf 109 Люфтваффе совершвет свою последнюю воздушную победу, сбив советский Як-9 над Брно, Словакия . Он является самым результативным асом в истории, совершив 352 победы. Вскоре после этого он сдается союзным войскам (20371).</w:t>
      </w:r>
    </w:p>
    <w:p w14:paraId="1323D24E" w14:textId="77777777" w:rsidR="008628F5" w:rsidRPr="00F90EAE" w:rsidRDefault="008628F5" w:rsidP="00F90EAE">
      <w:pPr>
        <w:jc w:val="both"/>
        <w:rPr>
          <w:color w:val="0070C0"/>
          <w:sz w:val="16"/>
          <w:szCs w:val="16"/>
        </w:rPr>
      </w:pPr>
    </w:p>
    <w:p w14:paraId="6047A711" w14:textId="77777777" w:rsidR="008628F5" w:rsidRPr="00F90EAE" w:rsidRDefault="008628F5" w:rsidP="00F90EAE">
      <w:pPr>
        <w:jc w:val="both"/>
        <w:rPr>
          <w:color w:val="0070C0"/>
          <w:sz w:val="16"/>
          <w:szCs w:val="16"/>
        </w:rPr>
      </w:pPr>
      <w:r w:rsidRPr="00F90EAE">
        <w:rPr>
          <w:color w:val="0070C0"/>
          <w:sz w:val="16"/>
          <w:szCs w:val="16"/>
        </w:rPr>
        <w:t>8 мая 1945 г. английские танки заняли аэродром Лекк, на котором словно на парад были выстроены 31 истребитель Не-162. 5 мая 1945 г. командование группы получило приказ подготовить самолеты к уничтожению, но он выполнен не был (22776).</w:t>
      </w:r>
    </w:p>
    <w:p w14:paraId="37E1303E" w14:textId="77777777" w:rsidR="008628F5" w:rsidRPr="00F90EAE" w:rsidRDefault="008628F5" w:rsidP="00F90EAE">
      <w:pPr>
        <w:jc w:val="both"/>
        <w:rPr>
          <w:color w:val="0070C0"/>
          <w:sz w:val="16"/>
          <w:szCs w:val="16"/>
        </w:rPr>
      </w:pPr>
    </w:p>
    <w:p w14:paraId="55048A3F" w14:textId="77777777" w:rsidR="008628F5" w:rsidRPr="00F90EAE" w:rsidRDefault="008628F5" w:rsidP="00F90EAE">
      <w:pPr>
        <w:jc w:val="both"/>
        <w:rPr>
          <w:color w:val="0070C0"/>
          <w:sz w:val="16"/>
          <w:szCs w:val="16"/>
        </w:rPr>
      </w:pPr>
      <w:r w:rsidRPr="00F90EAE">
        <w:rPr>
          <w:color w:val="0070C0"/>
          <w:sz w:val="16"/>
          <w:szCs w:val="16"/>
        </w:rPr>
        <w:t>8 мая 1945 Германия капитулирует, положив конец Второй мировой войне в Европе. Во время Второй мировой войны ВВС США потеряли более 6500 бомбардировщиков B-17 Flying Fortress и B-24 Liberator над Европой . На Европейском театре военных действий они потеряли 23 805 летчиков убитыми , 9 299 ранеными и 26 064 пленными. На театрах военных действий в Европе, Средиземноморье и Северной Африке вместе они потеряли 115 382 человека (20371).</w:t>
      </w:r>
    </w:p>
    <w:p w14:paraId="2A3876EB" w14:textId="77777777" w:rsidR="008628F5" w:rsidRPr="00F90EAE" w:rsidRDefault="008628F5" w:rsidP="00F90EAE">
      <w:pPr>
        <w:jc w:val="both"/>
        <w:rPr>
          <w:color w:val="0070C0"/>
          <w:sz w:val="16"/>
          <w:szCs w:val="16"/>
        </w:rPr>
      </w:pPr>
    </w:p>
    <w:p w14:paraId="01731DB6" w14:textId="77777777" w:rsidR="008628F5" w:rsidRPr="00F90EAE" w:rsidRDefault="008628F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мая 1945 в Галифаксе (Канада) празднование Дня Победы завершилось массовым мародерством магазинов (4962).</w:t>
      </w:r>
    </w:p>
    <w:p w14:paraId="38477A94" w14:textId="77777777" w:rsidR="008628F5" w:rsidRPr="00F90EAE" w:rsidRDefault="008628F5" w:rsidP="00F90EAE">
      <w:pPr>
        <w:tabs>
          <w:tab w:val="left" w:pos="11199"/>
        </w:tabs>
        <w:autoSpaceDE w:val="0"/>
        <w:autoSpaceDN w:val="0"/>
        <w:adjustRightInd w:val="0"/>
        <w:jc w:val="both"/>
        <w:rPr>
          <w:color w:val="000000" w:themeColor="text1"/>
          <w:sz w:val="16"/>
          <w:szCs w:val="16"/>
        </w:rPr>
      </w:pPr>
    </w:p>
    <w:p w14:paraId="11FD48A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CD98A95" w14:textId="77777777" w:rsidR="00665165" w:rsidRPr="00F90EAE" w:rsidRDefault="00665165" w:rsidP="00F90EAE">
      <w:pPr>
        <w:autoSpaceDE w:val="0"/>
        <w:autoSpaceDN w:val="0"/>
        <w:adjustRightInd w:val="0"/>
        <w:jc w:val="both"/>
        <w:rPr>
          <w:iCs/>
          <w:color w:val="000000" w:themeColor="text1"/>
          <w:sz w:val="16"/>
          <w:szCs w:val="16"/>
        </w:rPr>
      </w:pPr>
    </w:p>
    <w:p w14:paraId="00A654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9 мая 1945 в общей сложности за годы войны было произведено 34943 штурмовиков Ил-2 и 1211 Ил-2У. Из этого числа на долю завода № 1 приходится 11920 Ил-2, 15099 машин этого типа выпущено авиазаводом № 18, 8865 самолетов -авиазаводом № 30 и 270 штурмовиков заводом № 381. К концу 1945 г. на 1-м и 18-м авиазаводах было произведено 2328 штурмовиков Ил-10 и 228 Ил-10У, из них 893 Ил-10 и все Ил-10У выпуще</w:t>
      </w:r>
      <w:r w:rsidRPr="00F90EAE">
        <w:rPr>
          <w:color w:val="000000" w:themeColor="text1"/>
          <w:sz w:val="16"/>
          <w:szCs w:val="16"/>
        </w:rPr>
        <w:softHyphen/>
        <w:t>ны заводом № 1, остальные - заводом № 18.</w:t>
      </w:r>
    </w:p>
    <w:p w14:paraId="08004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 штурмовиков за все годы войны составили 10759 самолетов ВВС КА (28,9% к общему числу поте</w:t>
      </w:r>
      <w:r w:rsidRPr="00F90EAE">
        <w:rPr>
          <w:color w:val="000000" w:themeColor="text1"/>
          <w:sz w:val="16"/>
          <w:szCs w:val="16"/>
        </w:rPr>
        <w:softHyphen/>
        <w:t>рянных в войне самолетов) и 807 "Илов", потерянных ВВС ВМФ КА.</w:t>
      </w:r>
    </w:p>
    <w:p w14:paraId="0DB5D6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Среднее количество боевых вылетов Ил-2, приходящихся на одну боевую по</w:t>
      </w:r>
      <w:r w:rsidRPr="00F90EAE">
        <w:rPr>
          <w:color w:val="000000" w:themeColor="text1"/>
          <w:sz w:val="16"/>
          <w:szCs w:val="16"/>
        </w:rPr>
        <w:softHyphen/>
        <w:t>терю за годы вой</w:t>
      </w:r>
      <w:r w:rsidRPr="00F90EAE">
        <w:rPr>
          <w:color w:val="000000" w:themeColor="text1"/>
          <w:sz w:val="16"/>
          <w:szCs w:val="16"/>
        </w:rPr>
        <w:softHyphen/>
        <w:t>ны составило 53,5 самолето-вылетов. Для сравнения ус</w:t>
      </w:r>
      <w:r w:rsidRPr="00F90EAE">
        <w:rPr>
          <w:color w:val="000000" w:themeColor="text1"/>
          <w:sz w:val="16"/>
          <w:szCs w:val="16"/>
        </w:rPr>
        <w:softHyphen/>
        <w:t>редненная за пери</w:t>
      </w:r>
      <w:r w:rsidRPr="00F90EAE">
        <w:rPr>
          <w:color w:val="000000" w:themeColor="text1"/>
          <w:sz w:val="16"/>
          <w:szCs w:val="16"/>
        </w:rPr>
        <w:softHyphen/>
        <w:t>од войны живучесть истребителей со</w:t>
      </w:r>
      <w:r w:rsidRPr="00F90EAE">
        <w:rPr>
          <w:color w:val="000000" w:themeColor="text1"/>
          <w:sz w:val="16"/>
          <w:szCs w:val="16"/>
        </w:rPr>
        <w:softHyphen/>
        <w:t>ставила 104,5 бое</w:t>
      </w:r>
      <w:r w:rsidRPr="00F90EAE">
        <w:rPr>
          <w:color w:val="000000" w:themeColor="text1"/>
          <w:sz w:val="16"/>
          <w:szCs w:val="16"/>
        </w:rPr>
        <w:softHyphen/>
        <w:t>вых вылетов, а бом</w:t>
      </w:r>
      <w:r w:rsidRPr="00F90EAE">
        <w:rPr>
          <w:color w:val="000000" w:themeColor="text1"/>
          <w:sz w:val="16"/>
          <w:szCs w:val="16"/>
        </w:rPr>
        <w:softHyphen/>
        <w:t>бардировщиков - 80 самолето-вылетов.</w:t>
      </w:r>
    </w:p>
    <w:p w14:paraId="13E512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в годы войны было подго</w:t>
      </w:r>
      <w:r w:rsidRPr="00F90EAE">
        <w:rPr>
          <w:color w:val="000000" w:themeColor="text1"/>
          <w:sz w:val="16"/>
          <w:szCs w:val="16"/>
        </w:rPr>
        <w:softHyphen/>
        <w:t>товлено и отправ</w:t>
      </w:r>
      <w:r w:rsidRPr="00F90EAE">
        <w:rPr>
          <w:color w:val="000000" w:themeColor="text1"/>
          <w:sz w:val="16"/>
          <w:szCs w:val="16"/>
        </w:rPr>
        <w:softHyphen/>
        <w:t>лено на фронт 356 штурмовых авиа</w:t>
      </w:r>
      <w:r w:rsidRPr="00F90EAE">
        <w:rPr>
          <w:color w:val="000000" w:themeColor="text1"/>
          <w:sz w:val="16"/>
          <w:szCs w:val="16"/>
        </w:rPr>
        <w:softHyphen/>
        <w:t>полков, из этого числа 140 полков проходили переформирование в тылу один раз, 103 авиаполка -дважды, 61 -трижды, 31-4 раза и 21 - пять раз.</w:t>
      </w:r>
    </w:p>
    <w:p w14:paraId="56133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Налет при подготовке одного летчи</w:t>
      </w:r>
      <w:r w:rsidRPr="00F90EAE">
        <w:rPr>
          <w:color w:val="000000" w:themeColor="text1"/>
          <w:sz w:val="16"/>
          <w:szCs w:val="16"/>
        </w:rPr>
        <w:softHyphen/>
        <w:t>ка-штурмовика в запасных авиаполках в 1941 г. составил 3-5 часов, в 1942 г. -13 часов и в 44-м - 20 часов.</w:t>
      </w:r>
    </w:p>
    <w:p w14:paraId="3B6807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 летчиков-штурмови</w:t>
      </w:r>
      <w:r w:rsidRPr="00F90EAE">
        <w:rPr>
          <w:color w:val="000000" w:themeColor="text1"/>
          <w:sz w:val="16"/>
          <w:szCs w:val="16"/>
        </w:rPr>
        <w:softHyphen/>
        <w:t>ков за все время войны составили 7837 человек, или 28,4% общих боевых по</w:t>
      </w:r>
      <w:r w:rsidRPr="00F90EAE">
        <w:rPr>
          <w:color w:val="000000" w:themeColor="text1"/>
          <w:sz w:val="16"/>
          <w:szCs w:val="16"/>
        </w:rPr>
        <w:softHyphen/>
        <w:t>терь летного состава ВВС КА. Распре</w:t>
      </w:r>
      <w:r w:rsidRPr="00F90EAE">
        <w:rPr>
          <w:color w:val="000000" w:themeColor="text1"/>
          <w:sz w:val="16"/>
          <w:szCs w:val="16"/>
        </w:rPr>
        <w:softHyphen/>
        <w:t>деление боевых потерь по степени под</w:t>
      </w:r>
      <w:r w:rsidRPr="00F90EAE">
        <w:rPr>
          <w:color w:val="000000" w:themeColor="text1"/>
          <w:sz w:val="16"/>
          <w:szCs w:val="16"/>
        </w:rPr>
        <w:softHyphen/>
        <w:t>готовки летчиков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w:t>
      </w:r>
      <w:r w:rsidRPr="00F90EAE">
        <w:rPr>
          <w:color w:val="000000" w:themeColor="text1"/>
          <w:sz w:val="16"/>
          <w:szCs w:val="16"/>
        </w:rPr>
        <w:softHyphen/>
        <w:t>мерно! 8% - летчики с налетом от 30 до 50 вылетов, около 10% - пилоты с нале</w:t>
      </w:r>
      <w:r w:rsidRPr="00F90EAE">
        <w:rPr>
          <w:color w:val="000000" w:themeColor="text1"/>
          <w:sz w:val="16"/>
          <w:szCs w:val="16"/>
        </w:rPr>
        <w:softHyphen/>
        <w:t>том от 50 до 100 боевых вылетов, 4% -пилоты, имевшие налет от 100 до 150 вылетов и 2% - летчики с налетом свы</w:t>
      </w:r>
      <w:r w:rsidRPr="00F90EAE">
        <w:rPr>
          <w:color w:val="000000" w:themeColor="text1"/>
          <w:sz w:val="16"/>
          <w:szCs w:val="16"/>
        </w:rPr>
        <w:softHyphen/>
        <w:t>ше 150 боевых вылетов.</w:t>
      </w:r>
    </w:p>
    <w:p w14:paraId="20ECB7B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При этом потери комсостава (компол</w:t>
      </w:r>
      <w:r w:rsidRPr="00F90EAE">
        <w:rPr>
          <w:color w:val="000000" w:themeColor="text1"/>
          <w:sz w:val="16"/>
          <w:szCs w:val="16"/>
        </w:rPr>
        <w:softHyphen/>
        <w:t>ка, комэски, комзвена, их заместители и старшие летчики) составили примерно 41% от общего числа потерь летчиков-штурмовиков, остальные потери соста</w:t>
      </w:r>
      <w:r w:rsidRPr="00F90EAE">
        <w:rPr>
          <w:color w:val="000000" w:themeColor="text1"/>
          <w:sz w:val="16"/>
          <w:szCs w:val="16"/>
        </w:rPr>
        <w:softHyphen/>
        <w:t>вили рядовые летчики (6467).</w:t>
      </w:r>
    </w:p>
    <w:p w14:paraId="3451B2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Динамика производства самолетов для Советских ВВС в период с 22.06.1941 г. по 09.05.1945 г. (4125)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891"/>
        <w:gridCol w:w="990"/>
        <w:gridCol w:w="900"/>
        <w:gridCol w:w="990"/>
        <w:gridCol w:w="810"/>
        <w:gridCol w:w="810"/>
      </w:tblGrid>
      <w:tr w:rsidR="00561F31" w:rsidRPr="00F90EAE" w14:paraId="2A7A5ED0" w14:textId="77777777">
        <w:tc>
          <w:tcPr>
            <w:tcW w:w="4077" w:type="dxa"/>
            <w:tcBorders>
              <w:top w:val="single" w:sz="12" w:space="0" w:color="auto"/>
            </w:tcBorders>
          </w:tcPr>
          <w:p w14:paraId="3D3198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самолетов</w:t>
            </w:r>
          </w:p>
        </w:tc>
        <w:tc>
          <w:tcPr>
            <w:tcW w:w="891" w:type="dxa"/>
            <w:tcBorders>
              <w:top w:val="single" w:sz="12" w:space="0" w:color="auto"/>
            </w:tcBorders>
          </w:tcPr>
          <w:p w14:paraId="32B620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22.06.1941 г.</w:t>
            </w:r>
          </w:p>
        </w:tc>
        <w:tc>
          <w:tcPr>
            <w:tcW w:w="990" w:type="dxa"/>
            <w:tcBorders>
              <w:top w:val="single" w:sz="12" w:space="0" w:color="auto"/>
            </w:tcBorders>
          </w:tcPr>
          <w:p w14:paraId="100E9E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900" w:type="dxa"/>
            <w:tcBorders>
              <w:top w:val="single" w:sz="12" w:space="0" w:color="auto"/>
            </w:tcBorders>
          </w:tcPr>
          <w:p w14:paraId="1BDBB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990" w:type="dxa"/>
            <w:tcBorders>
              <w:top w:val="single" w:sz="12" w:space="0" w:color="auto"/>
            </w:tcBorders>
          </w:tcPr>
          <w:p w14:paraId="567BA9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810" w:type="dxa"/>
            <w:tcBorders>
              <w:top w:val="single" w:sz="12" w:space="0" w:color="auto"/>
            </w:tcBorders>
          </w:tcPr>
          <w:p w14:paraId="611079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9.05.1945 г.</w:t>
            </w:r>
          </w:p>
        </w:tc>
        <w:tc>
          <w:tcPr>
            <w:tcW w:w="810" w:type="dxa"/>
            <w:tcBorders>
              <w:top w:val="single" w:sz="12" w:space="0" w:color="auto"/>
            </w:tcBorders>
          </w:tcPr>
          <w:p w14:paraId="5024AF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32D27DDA" w14:textId="77777777">
        <w:tc>
          <w:tcPr>
            <w:tcW w:w="4077" w:type="dxa"/>
          </w:tcPr>
          <w:p w14:paraId="339422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891" w:type="dxa"/>
          </w:tcPr>
          <w:p w14:paraId="55018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3941</w:t>
            </w:r>
          </w:p>
        </w:tc>
        <w:tc>
          <w:tcPr>
            <w:tcW w:w="990" w:type="dxa"/>
          </w:tcPr>
          <w:p w14:paraId="37E04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9490</w:t>
            </w:r>
          </w:p>
        </w:tc>
        <w:tc>
          <w:tcPr>
            <w:tcW w:w="900" w:type="dxa"/>
          </w:tcPr>
          <w:p w14:paraId="31FEE4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14275</w:t>
            </w:r>
          </w:p>
        </w:tc>
        <w:tc>
          <w:tcPr>
            <w:tcW w:w="990" w:type="dxa"/>
          </w:tcPr>
          <w:p w14:paraId="1A9FC0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16346</w:t>
            </w:r>
          </w:p>
        </w:tc>
        <w:tc>
          <w:tcPr>
            <w:tcW w:w="810" w:type="dxa"/>
          </w:tcPr>
          <w:p w14:paraId="7DAD33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6635</w:t>
            </w:r>
          </w:p>
        </w:tc>
        <w:tc>
          <w:tcPr>
            <w:tcW w:w="810" w:type="dxa"/>
          </w:tcPr>
          <w:p w14:paraId="78962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50687</w:t>
            </w:r>
          </w:p>
        </w:tc>
      </w:tr>
      <w:tr w:rsidR="00561F31" w:rsidRPr="00F90EAE" w14:paraId="48880509" w14:textId="77777777">
        <w:tc>
          <w:tcPr>
            <w:tcW w:w="4077" w:type="dxa"/>
          </w:tcPr>
          <w:p w14:paraId="5032F1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891" w:type="dxa"/>
          </w:tcPr>
          <w:p w14:paraId="4D781A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1061</w:t>
            </w:r>
          </w:p>
        </w:tc>
        <w:tc>
          <w:tcPr>
            <w:tcW w:w="990" w:type="dxa"/>
          </w:tcPr>
          <w:p w14:paraId="139299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7634</w:t>
            </w:r>
          </w:p>
        </w:tc>
        <w:tc>
          <w:tcPr>
            <w:tcW w:w="900" w:type="dxa"/>
          </w:tcPr>
          <w:p w14:paraId="7A0E3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11254</w:t>
            </w:r>
          </w:p>
        </w:tc>
        <w:tc>
          <w:tcPr>
            <w:tcW w:w="990" w:type="dxa"/>
          </w:tcPr>
          <w:p w14:paraId="0DFA02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10297</w:t>
            </w:r>
          </w:p>
        </w:tc>
        <w:tc>
          <w:tcPr>
            <w:tcW w:w="810" w:type="dxa"/>
          </w:tcPr>
          <w:p w14:paraId="4B3486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3664</w:t>
            </w:r>
          </w:p>
        </w:tc>
        <w:tc>
          <w:tcPr>
            <w:tcW w:w="810" w:type="dxa"/>
          </w:tcPr>
          <w:p w14:paraId="391A7F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33930</w:t>
            </w:r>
          </w:p>
        </w:tc>
      </w:tr>
      <w:tr w:rsidR="00561F31" w:rsidRPr="00F90EAE" w14:paraId="6F894AC8" w14:textId="77777777">
        <w:tc>
          <w:tcPr>
            <w:tcW w:w="4077" w:type="dxa"/>
          </w:tcPr>
          <w:p w14:paraId="25360D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w:t>
            </w:r>
          </w:p>
        </w:tc>
        <w:tc>
          <w:tcPr>
            <w:tcW w:w="891" w:type="dxa"/>
          </w:tcPr>
          <w:p w14:paraId="25BB47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1891</w:t>
            </w:r>
          </w:p>
        </w:tc>
        <w:tc>
          <w:tcPr>
            <w:tcW w:w="990" w:type="dxa"/>
          </w:tcPr>
          <w:p w14:paraId="1CA5C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2578</w:t>
            </w:r>
          </w:p>
        </w:tc>
        <w:tc>
          <w:tcPr>
            <w:tcW w:w="900" w:type="dxa"/>
          </w:tcPr>
          <w:p w14:paraId="1FF99A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2672</w:t>
            </w:r>
          </w:p>
        </w:tc>
        <w:tc>
          <w:tcPr>
            <w:tcW w:w="990" w:type="dxa"/>
          </w:tcPr>
          <w:p w14:paraId="45A174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3165</w:t>
            </w:r>
          </w:p>
        </w:tc>
        <w:tc>
          <w:tcPr>
            <w:tcW w:w="810" w:type="dxa"/>
          </w:tcPr>
          <w:p w14:paraId="5DF209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1597</w:t>
            </w:r>
          </w:p>
        </w:tc>
        <w:tc>
          <w:tcPr>
            <w:tcW w:w="810" w:type="dxa"/>
          </w:tcPr>
          <w:p w14:paraId="29710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11903</w:t>
            </w:r>
          </w:p>
        </w:tc>
      </w:tr>
      <w:tr w:rsidR="00561F31" w:rsidRPr="00F90EAE" w14:paraId="65B8FE9A" w14:textId="77777777">
        <w:tc>
          <w:tcPr>
            <w:tcW w:w="4077" w:type="dxa"/>
          </w:tcPr>
          <w:p w14:paraId="0106C5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 (ноч. бомб.)</w:t>
            </w:r>
          </w:p>
        </w:tc>
        <w:tc>
          <w:tcPr>
            <w:tcW w:w="891" w:type="dxa"/>
          </w:tcPr>
          <w:p w14:paraId="7BE4F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1009</w:t>
            </w:r>
          </w:p>
        </w:tc>
        <w:tc>
          <w:tcPr>
            <w:tcW w:w="990" w:type="dxa"/>
          </w:tcPr>
          <w:p w14:paraId="1B3168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2130</w:t>
            </w:r>
          </w:p>
        </w:tc>
        <w:tc>
          <w:tcPr>
            <w:tcW w:w="900" w:type="dxa"/>
          </w:tcPr>
          <w:p w14:paraId="517404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2812</w:t>
            </w:r>
          </w:p>
        </w:tc>
        <w:tc>
          <w:tcPr>
            <w:tcW w:w="990" w:type="dxa"/>
          </w:tcPr>
          <w:p w14:paraId="6AEB74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4382</w:t>
            </w:r>
          </w:p>
        </w:tc>
        <w:tc>
          <w:tcPr>
            <w:tcW w:w="810" w:type="dxa"/>
          </w:tcPr>
          <w:p w14:paraId="65DEEA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1585</w:t>
            </w:r>
          </w:p>
        </w:tc>
        <w:tc>
          <w:tcPr>
            <w:tcW w:w="810" w:type="dxa"/>
          </w:tcPr>
          <w:p w14:paraId="33E7FB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11918</w:t>
            </w:r>
          </w:p>
        </w:tc>
      </w:tr>
      <w:tr w:rsidR="00561F31" w:rsidRPr="00F90EAE" w14:paraId="0BF3A2AC" w14:textId="77777777">
        <w:tc>
          <w:tcPr>
            <w:tcW w:w="4077" w:type="dxa"/>
          </w:tcPr>
          <w:p w14:paraId="050C40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(без По-2)</w:t>
            </w:r>
          </w:p>
        </w:tc>
        <w:tc>
          <w:tcPr>
            <w:tcW w:w="891" w:type="dxa"/>
          </w:tcPr>
          <w:p w14:paraId="4219E1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6893</w:t>
            </w:r>
          </w:p>
        </w:tc>
        <w:tc>
          <w:tcPr>
            <w:tcW w:w="990" w:type="dxa"/>
          </w:tcPr>
          <w:p w14:paraId="75EAB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19722</w:t>
            </w:r>
          </w:p>
        </w:tc>
        <w:tc>
          <w:tcPr>
            <w:tcW w:w="900" w:type="dxa"/>
          </w:tcPr>
          <w:p w14:paraId="49D02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28201</w:t>
            </w:r>
          </w:p>
        </w:tc>
        <w:tc>
          <w:tcPr>
            <w:tcW w:w="990" w:type="dxa"/>
          </w:tcPr>
          <w:p w14:paraId="51D128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29808</w:t>
            </w:r>
          </w:p>
        </w:tc>
        <w:tc>
          <w:tcPr>
            <w:tcW w:w="810" w:type="dxa"/>
          </w:tcPr>
          <w:p w14:paraId="600275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11896</w:t>
            </w:r>
          </w:p>
        </w:tc>
        <w:tc>
          <w:tcPr>
            <w:tcW w:w="810" w:type="dxa"/>
          </w:tcPr>
          <w:p w14:paraId="597581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96520 (3573)</w:t>
            </w:r>
          </w:p>
        </w:tc>
      </w:tr>
      <w:tr w:rsidR="00561F31" w:rsidRPr="00F90EAE" w14:paraId="36E7DF83" w14:textId="77777777">
        <w:tc>
          <w:tcPr>
            <w:tcW w:w="4077" w:type="dxa"/>
          </w:tcPr>
          <w:p w14:paraId="1CB45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Отправка самолетов заводами НКАП за годы войны ВВС Красной Армии (4126)</w:t>
            </w:r>
          </w:p>
        </w:tc>
        <w:tc>
          <w:tcPr>
            <w:tcW w:w="891" w:type="dxa"/>
          </w:tcPr>
          <w:p w14:paraId="4CE35797"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48A42056"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5B794CF8"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578ABC1B"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005F34E0"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5F7C196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D2E3B9A" w14:textId="77777777">
        <w:tc>
          <w:tcPr>
            <w:tcW w:w="4077" w:type="dxa"/>
          </w:tcPr>
          <w:p w14:paraId="78766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891" w:type="dxa"/>
          </w:tcPr>
          <w:p w14:paraId="71F1B5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22.06.1941 г.</w:t>
            </w:r>
          </w:p>
        </w:tc>
        <w:tc>
          <w:tcPr>
            <w:tcW w:w="990" w:type="dxa"/>
          </w:tcPr>
          <w:p w14:paraId="60C37B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900" w:type="dxa"/>
          </w:tcPr>
          <w:p w14:paraId="4671EE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990" w:type="dxa"/>
          </w:tcPr>
          <w:p w14:paraId="1BE4C0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810" w:type="dxa"/>
          </w:tcPr>
          <w:p w14:paraId="31AEDF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1.05.1945 г.</w:t>
            </w:r>
          </w:p>
        </w:tc>
        <w:tc>
          <w:tcPr>
            <w:tcW w:w="810" w:type="dxa"/>
          </w:tcPr>
          <w:p w14:paraId="1CBF9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4231C9B4" w14:textId="77777777">
        <w:tc>
          <w:tcPr>
            <w:tcW w:w="4077" w:type="dxa"/>
          </w:tcPr>
          <w:p w14:paraId="71B177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891" w:type="dxa"/>
          </w:tcPr>
          <w:p w14:paraId="403DCEEE"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1E3862B2"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742EFF28"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49FFA016"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6EAD3DE3"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072C1BC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933438D" w14:textId="77777777">
        <w:tc>
          <w:tcPr>
            <w:tcW w:w="4077" w:type="dxa"/>
          </w:tcPr>
          <w:p w14:paraId="0B13CB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 7, 9</w:t>
            </w:r>
          </w:p>
        </w:tc>
        <w:tc>
          <w:tcPr>
            <w:tcW w:w="891" w:type="dxa"/>
          </w:tcPr>
          <w:p w14:paraId="1169D7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776</w:t>
            </w:r>
          </w:p>
        </w:tc>
        <w:tc>
          <w:tcPr>
            <w:tcW w:w="990" w:type="dxa"/>
          </w:tcPr>
          <w:p w14:paraId="247C53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5484</w:t>
            </w:r>
          </w:p>
        </w:tc>
        <w:tc>
          <w:tcPr>
            <w:tcW w:w="900" w:type="dxa"/>
          </w:tcPr>
          <w:p w14:paraId="508D59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7246</w:t>
            </w:r>
          </w:p>
        </w:tc>
        <w:tc>
          <w:tcPr>
            <w:tcW w:w="990" w:type="dxa"/>
          </w:tcPr>
          <w:p w14:paraId="59B609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8709</w:t>
            </w:r>
          </w:p>
        </w:tc>
        <w:tc>
          <w:tcPr>
            <w:tcW w:w="810" w:type="dxa"/>
          </w:tcPr>
          <w:p w14:paraId="378540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3355</w:t>
            </w:r>
          </w:p>
        </w:tc>
        <w:tc>
          <w:tcPr>
            <w:tcW w:w="810" w:type="dxa"/>
          </w:tcPr>
          <w:p w14:paraId="0E143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25570</w:t>
            </w:r>
          </w:p>
        </w:tc>
      </w:tr>
      <w:tr w:rsidR="00561F31" w:rsidRPr="00F90EAE" w14:paraId="5CAA3896" w14:textId="77777777">
        <w:tc>
          <w:tcPr>
            <w:tcW w:w="4077" w:type="dxa"/>
          </w:tcPr>
          <w:p w14:paraId="7EB33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ЛаГГ-3</w:t>
            </w:r>
          </w:p>
        </w:tc>
        <w:tc>
          <w:tcPr>
            <w:tcW w:w="891" w:type="dxa"/>
          </w:tcPr>
          <w:p w14:paraId="3D71C3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1596</w:t>
            </w:r>
          </w:p>
        </w:tc>
        <w:tc>
          <w:tcPr>
            <w:tcW w:w="990" w:type="dxa"/>
          </w:tcPr>
          <w:p w14:paraId="505BD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2937</w:t>
            </w:r>
          </w:p>
        </w:tc>
        <w:tc>
          <w:tcPr>
            <w:tcW w:w="900" w:type="dxa"/>
          </w:tcPr>
          <w:p w14:paraId="6E2F7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959</w:t>
            </w:r>
          </w:p>
        </w:tc>
        <w:tc>
          <w:tcPr>
            <w:tcW w:w="990" w:type="dxa"/>
          </w:tcPr>
          <w:p w14:paraId="2D0994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432</w:t>
            </w:r>
          </w:p>
        </w:tc>
        <w:tc>
          <w:tcPr>
            <w:tcW w:w="810" w:type="dxa"/>
          </w:tcPr>
          <w:p w14:paraId="638CC7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2ACEDA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5924</w:t>
            </w:r>
          </w:p>
        </w:tc>
      </w:tr>
      <w:tr w:rsidR="00561F31" w:rsidRPr="00F90EAE" w14:paraId="27CDFD60" w14:textId="77777777">
        <w:tc>
          <w:tcPr>
            <w:tcW w:w="4077" w:type="dxa"/>
          </w:tcPr>
          <w:p w14:paraId="0949A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МиГ-3</w:t>
            </w:r>
          </w:p>
        </w:tc>
        <w:tc>
          <w:tcPr>
            <w:tcW w:w="891" w:type="dxa"/>
          </w:tcPr>
          <w:p w14:paraId="69AFF2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1569</w:t>
            </w:r>
          </w:p>
        </w:tc>
        <w:tc>
          <w:tcPr>
            <w:tcW w:w="990" w:type="dxa"/>
          </w:tcPr>
          <w:p w14:paraId="1DFE8D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900" w:type="dxa"/>
          </w:tcPr>
          <w:p w14:paraId="498744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990" w:type="dxa"/>
          </w:tcPr>
          <w:p w14:paraId="655B32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76BA74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6A17A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1601</w:t>
            </w:r>
          </w:p>
        </w:tc>
      </w:tr>
      <w:tr w:rsidR="00561F31" w:rsidRPr="00F90EAE" w14:paraId="5FF93B55" w14:textId="77777777">
        <w:tc>
          <w:tcPr>
            <w:tcW w:w="4077" w:type="dxa"/>
          </w:tcPr>
          <w:p w14:paraId="247E10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Ла-5, Ф, ФН</w:t>
            </w:r>
          </w:p>
        </w:tc>
        <w:tc>
          <w:tcPr>
            <w:tcW w:w="891" w:type="dxa"/>
          </w:tcPr>
          <w:p w14:paraId="13467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10DD61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911</w:t>
            </w:r>
          </w:p>
        </w:tc>
        <w:tc>
          <w:tcPr>
            <w:tcW w:w="900" w:type="dxa"/>
          </w:tcPr>
          <w:p w14:paraId="17FAA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4347</w:t>
            </w:r>
          </w:p>
        </w:tc>
        <w:tc>
          <w:tcPr>
            <w:tcW w:w="990" w:type="dxa"/>
          </w:tcPr>
          <w:p w14:paraId="05CDF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4286</w:t>
            </w:r>
          </w:p>
        </w:tc>
        <w:tc>
          <w:tcPr>
            <w:tcW w:w="810" w:type="dxa"/>
          </w:tcPr>
          <w:p w14:paraId="4960C7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20C27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9544</w:t>
            </w:r>
          </w:p>
        </w:tc>
      </w:tr>
      <w:tr w:rsidR="00561F31" w:rsidRPr="00F90EAE" w14:paraId="00B4B9E8" w14:textId="77777777">
        <w:tc>
          <w:tcPr>
            <w:tcW w:w="4077" w:type="dxa"/>
          </w:tcPr>
          <w:p w14:paraId="77661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891" w:type="dxa"/>
          </w:tcPr>
          <w:p w14:paraId="2185C3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23AB61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00BD84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01875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1044</w:t>
            </w:r>
          </w:p>
        </w:tc>
        <w:tc>
          <w:tcPr>
            <w:tcW w:w="810" w:type="dxa"/>
          </w:tcPr>
          <w:p w14:paraId="40E504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1913</w:t>
            </w:r>
          </w:p>
        </w:tc>
        <w:tc>
          <w:tcPr>
            <w:tcW w:w="810" w:type="dxa"/>
          </w:tcPr>
          <w:p w14:paraId="2CEC4F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2957</w:t>
            </w:r>
          </w:p>
        </w:tc>
      </w:tr>
      <w:tr w:rsidR="00561F31" w:rsidRPr="00F90EAE" w14:paraId="7A66D6C8" w14:textId="77777777">
        <w:tc>
          <w:tcPr>
            <w:tcW w:w="4077" w:type="dxa"/>
          </w:tcPr>
          <w:p w14:paraId="304C9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891" w:type="dxa"/>
          </w:tcPr>
          <w:p w14:paraId="059862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41FAAD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48DD02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61AAA3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c>
          <w:tcPr>
            <w:tcW w:w="810" w:type="dxa"/>
          </w:tcPr>
          <w:p w14:paraId="6A472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1016</w:t>
            </w:r>
          </w:p>
        </w:tc>
        <w:tc>
          <w:tcPr>
            <w:tcW w:w="810" w:type="dxa"/>
          </w:tcPr>
          <w:p w14:paraId="46BA76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2356</w:t>
            </w:r>
          </w:p>
        </w:tc>
      </w:tr>
      <w:tr w:rsidR="00561F31" w:rsidRPr="00F90EAE" w14:paraId="5E549B23" w14:textId="77777777">
        <w:tc>
          <w:tcPr>
            <w:tcW w:w="4077" w:type="dxa"/>
          </w:tcPr>
          <w:p w14:paraId="564AA8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891" w:type="dxa"/>
          </w:tcPr>
          <w:p w14:paraId="09421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3941</w:t>
            </w:r>
          </w:p>
        </w:tc>
        <w:tc>
          <w:tcPr>
            <w:tcW w:w="990" w:type="dxa"/>
          </w:tcPr>
          <w:p w14:paraId="48C5C5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9355</w:t>
            </w:r>
          </w:p>
        </w:tc>
        <w:tc>
          <w:tcPr>
            <w:tcW w:w="900" w:type="dxa"/>
          </w:tcPr>
          <w:p w14:paraId="66398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12561</w:t>
            </w:r>
          </w:p>
        </w:tc>
        <w:tc>
          <w:tcPr>
            <w:tcW w:w="990" w:type="dxa"/>
          </w:tcPr>
          <w:p w14:paraId="48C31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15811</w:t>
            </w:r>
          </w:p>
        </w:tc>
        <w:tc>
          <w:tcPr>
            <w:tcW w:w="810" w:type="dxa"/>
          </w:tcPr>
          <w:p w14:paraId="7FB423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6284</w:t>
            </w:r>
          </w:p>
        </w:tc>
        <w:tc>
          <w:tcPr>
            <w:tcW w:w="810" w:type="dxa"/>
          </w:tcPr>
          <w:p w14:paraId="3CCB4C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47952</w:t>
            </w:r>
          </w:p>
        </w:tc>
      </w:tr>
      <w:tr w:rsidR="00561F31" w:rsidRPr="00F90EAE" w14:paraId="6478D1A7" w14:textId="77777777">
        <w:tc>
          <w:tcPr>
            <w:tcW w:w="4077" w:type="dxa"/>
          </w:tcPr>
          <w:p w14:paraId="6ED06D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c>
          <w:tcPr>
            <w:tcW w:w="891" w:type="dxa"/>
          </w:tcPr>
          <w:p w14:paraId="4D101986"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7DB0065D"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64F11212"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0F4F3926"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6D501CE7"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3571A94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5DECBA9" w14:textId="77777777">
        <w:tc>
          <w:tcPr>
            <w:tcW w:w="4077" w:type="dxa"/>
          </w:tcPr>
          <w:p w14:paraId="0A0FD5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10</w:t>
            </w:r>
          </w:p>
        </w:tc>
        <w:tc>
          <w:tcPr>
            <w:tcW w:w="891" w:type="dxa"/>
          </w:tcPr>
          <w:p w14:paraId="1C9097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1061</w:t>
            </w:r>
          </w:p>
        </w:tc>
        <w:tc>
          <w:tcPr>
            <w:tcW w:w="990" w:type="dxa"/>
          </w:tcPr>
          <w:p w14:paraId="72089F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6708</w:t>
            </w:r>
          </w:p>
        </w:tc>
        <w:tc>
          <w:tcPr>
            <w:tcW w:w="900" w:type="dxa"/>
          </w:tcPr>
          <w:p w14:paraId="4FDF36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10220</w:t>
            </w:r>
          </w:p>
        </w:tc>
        <w:tc>
          <w:tcPr>
            <w:tcW w:w="990" w:type="dxa"/>
          </w:tcPr>
          <w:p w14:paraId="412974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10613</w:t>
            </w:r>
          </w:p>
        </w:tc>
        <w:tc>
          <w:tcPr>
            <w:tcW w:w="810" w:type="dxa"/>
          </w:tcPr>
          <w:p w14:paraId="6E6B16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3594</w:t>
            </w:r>
          </w:p>
        </w:tc>
        <w:tc>
          <w:tcPr>
            <w:tcW w:w="810" w:type="dxa"/>
          </w:tcPr>
          <w:p w14:paraId="1D50F5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32196</w:t>
            </w:r>
          </w:p>
        </w:tc>
      </w:tr>
      <w:tr w:rsidR="00561F31" w:rsidRPr="00F90EAE" w14:paraId="132DE07A" w14:textId="77777777">
        <w:tc>
          <w:tcPr>
            <w:tcW w:w="4077" w:type="dxa"/>
          </w:tcPr>
          <w:p w14:paraId="0F37D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891" w:type="dxa"/>
          </w:tcPr>
          <w:p w14:paraId="6CA2CBAB"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3C6C5535"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230DB649"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6016D4CD"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66EEA4D9"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6C36F3A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CA601C3" w14:textId="77777777">
        <w:tc>
          <w:tcPr>
            <w:tcW w:w="4077" w:type="dxa"/>
          </w:tcPr>
          <w:p w14:paraId="62097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891" w:type="dxa"/>
          </w:tcPr>
          <w:p w14:paraId="1F7D4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1014</w:t>
            </w:r>
          </w:p>
        </w:tc>
        <w:tc>
          <w:tcPr>
            <w:tcW w:w="990" w:type="dxa"/>
          </w:tcPr>
          <w:p w14:paraId="24C4FA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2499</w:t>
            </w:r>
          </w:p>
        </w:tc>
        <w:tc>
          <w:tcPr>
            <w:tcW w:w="900" w:type="dxa"/>
          </w:tcPr>
          <w:p w14:paraId="33D6A4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2357</w:t>
            </w:r>
          </w:p>
        </w:tc>
        <w:tc>
          <w:tcPr>
            <w:tcW w:w="990" w:type="dxa"/>
          </w:tcPr>
          <w:p w14:paraId="4C6714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2827</w:t>
            </w:r>
          </w:p>
        </w:tc>
        <w:tc>
          <w:tcPr>
            <w:tcW w:w="810" w:type="dxa"/>
          </w:tcPr>
          <w:p w14:paraId="29873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968</w:t>
            </w:r>
          </w:p>
        </w:tc>
        <w:tc>
          <w:tcPr>
            <w:tcW w:w="810" w:type="dxa"/>
          </w:tcPr>
          <w:p w14:paraId="42F2EE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9665</w:t>
            </w:r>
          </w:p>
        </w:tc>
      </w:tr>
      <w:tr w:rsidR="00561F31" w:rsidRPr="00F90EAE" w14:paraId="45AA4DC3" w14:textId="77777777">
        <w:tc>
          <w:tcPr>
            <w:tcW w:w="4077" w:type="dxa"/>
          </w:tcPr>
          <w:p w14:paraId="079E8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 (ночн бомб.)</w:t>
            </w:r>
          </w:p>
        </w:tc>
        <w:tc>
          <w:tcPr>
            <w:tcW w:w="891" w:type="dxa"/>
          </w:tcPr>
          <w:p w14:paraId="66F817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1009</w:t>
            </w:r>
          </w:p>
        </w:tc>
        <w:tc>
          <w:tcPr>
            <w:tcW w:w="990" w:type="dxa"/>
          </w:tcPr>
          <w:p w14:paraId="56B92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2130</w:t>
            </w:r>
          </w:p>
        </w:tc>
        <w:tc>
          <w:tcPr>
            <w:tcW w:w="900" w:type="dxa"/>
          </w:tcPr>
          <w:p w14:paraId="18237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2812</w:t>
            </w:r>
          </w:p>
        </w:tc>
        <w:tc>
          <w:tcPr>
            <w:tcW w:w="990" w:type="dxa"/>
          </w:tcPr>
          <w:p w14:paraId="237971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4382</w:t>
            </w:r>
          </w:p>
        </w:tc>
        <w:tc>
          <w:tcPr>
            <w:tcW w:w="810" w:type="dxa"/>
          </w:tcPr>
          <w:p w14:paraId="0502C9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1585</w:t>
            </w:r>
          </w:p>
        </w:tc>
        <w:tc>
          <w:tcPr>
            <w:tcW w:w="810" w:type="dxa"/>
          </w:tcPr>
          <w:p w14:paraId="56EFB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11918</w:t>
            </w:r>
          </w:p>
        </w:tc>
      </w:tr>
      <w:tr w:rsidR="00561F31" w:rsidRPr="00F90EAE" w14:paraId="7F44B54C" w14:textId="77777777">
        <w:tc>
          <w:tcPr>
            <w:tcW w:w="4077" w:type="dxa"/>
          </w:tcPr>
          <w:p w14:paraId="31761B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Су-2, Р-5</w:t>
            </w:r>
          </w:p>
        </w:tc>
        <w:tc>
          <w:tcPr>
            <w:tcW w:w="891" w:type="dxa"/>
          </w:tcPr>
          <w:p w14:paraId="1B0F28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w:t>
            </w:r>
          </w:p>
        </w:tc>
        <w:tc>
          <w:tcPr>
            <w:tcW w:w="990" w:type="dxa"/>
          </w:tcPr>
          <w:p w14:paraId="2F8B49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900" w:type="dxa"/>
          </w:tcPr>
          <w:p w14:paraId="0D8421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w:t>
            </w:r>
          </w:p>
        </w:tc>
        <w:tc>
          <w:tcPr>
            <w:tcW w:w="990" w:type="dxa"/>
          </w:tcPr>
          <w:p w14:paraId="20FA0B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33923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0B816D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537</w:t>
            </w:r>
          </w:p>
        </w:tc>
      </w:tr>
      <w:tr w:rsidR="00561F31" w:rsidRPr="00F90EAE" w14:paraId="1C9137A0" w14:textId="77777777">
        <w:tc>
          <w:tcPr>
            <w:tcW w:w="4077" w:type="dxa"/>
          </w:tcPr>
          <w:p w14:paraId="09EC1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Як-4</w:t>
            </w:r>
          </w:p>
        </w:tc>
        <w:tc>
          <w:tcPr>
            <w:tcW w:w="891" w:type="dxa"/>
          </w:tcPr>
          <w:p w14:paraId="428C79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990" w:type="dxa"/>
          </w:tcPr>
          <w:p w14:paraId="222D4D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3F037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02D5A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5A9F4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2B6D5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r>
      <w:tr w:rsidR="00561F31" w:rsidRPr="00F90EAE" w14:paraId="6F9F2CF8" w14:textId="77777777">
        <w:tc>
          <w:tcPr>
            <w:tcW w:w="4077" w:type="dxa"/>
          </w:tcPr>
          <w:p w14:paraId="0A0FBF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Ар-2</w:t>
            </w:r>
          </w:p>
        </w:tc>
        <w:tc>
          <w:tcPr>
            <w:tcW w:w="891" w:type="dxa"/>
          </w:tcPr>
          <w:p w14:paraId="19224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990" w:type="dxa"/>
          </w:tcPr>
          <w:p w14:paraId="5303B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508FD3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38AF4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382E8B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6CAAC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7EC0A235" w14:textId="77777777">
        <w:tc>
          <w:tcPr>
            <w:tcW w:w="4077" w:type="dxa"/>
          </w:tcPr>
          <w:p w14:paraId="488D0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ТБ-7 (Пе-8)</w:t>
            </w:r>
          </w:p>
        </w:tc>
        <w:tc>
          <w:tcPr>
            <w:tcW w:w="891" w:type="dxa"/>
          </w:tcPr>
          <w:p w14:paraId="6590B6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990" w:type="dxa"/>
          </w:tcPr>
          <w:p w14:paraId="7BB8CD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7BB8B4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77F850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0C447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38CBD5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5810C482" w14:textId="77777777">
        <w:tc>
          <w:tcPr>
            <w:tcW w:w="4077" w:type="dxa"/>
          </w:tcPr>
          <w:p w14:paraId="3F1BC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891" w:type="dxa"/>
          </w:tcPr>
          <w:p w14:paraId="26BB2B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w:t>
            </w:r>
          </w:p>
        </w:tc>
        <w:tc>
          <w:tcPr>
            <w:tcW w:w="990" w:type="dxa"/>
          </w:tcPr>
          <w:p w14:paraId="758EFC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0973E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3ED4A7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7F255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w:t>
            </w:r>
          </w:p>
        </w:tc>
        <w:tc>
          <w:tcPr>
            <w:tcW w:w="810" w:type="dxa"/>
          </w:tcPr>
          <w:p w14:paraId="55A28D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w:t>
            </w:r>
          </w:p>
        </w:tc>
      </w:tr>
      <w:tr w:rsidR="00561F31" w:rsidRPr="00F90EAE" w14:paraId="0BCAC058" w14:textId="77777777">
        <w:tc>
          <w:tcPr>
            <w:tcW w:w="4077" w:type="dxa"/>
          </w:tcPr>
          <w:p w14:paraId="164F92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891" w:type="dxa"/>
          </w:tcPr>
          <w:p w14:paraId="05ABB2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990" w:type="dxa"/>
          </w:tcPr>
          <w:p w14:paraId="26FC9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00" w:type="dxa"/>
          </w:tcPr>
          <w:p w14:paraId="437DB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w:t>
            </w:r>
          </w:p>
        </w:tc>
        <w:tc>
          <w:tcPr>
            <w:tcW w:w="990" w:type="dxa"/>
          </w:tcPr>
          <w:p w14:paraId="495086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810" w:type="dxa"/>
          </w:tcPr>
          <w:p w14:paraId="31567B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w:t>
            </w:r>
          </w:p>
        </w:tc>
        <w:tc>
          <w:tcPr>
            <w:tcW w:w="810" w:type="dxa"/>
          </w:tcPr>
          <w:p w14:paraId="5DC28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679</w:t>
            </w:r>
          </w:p>
        </w:tc>
      </w:tr>
      <w:tr w:rsidR="00561F31" w:rsidRPr="00F90EAE" w14:paraId="5B968675" w14:textId="77777777">
        <w:tc>
          <w:tcPr>
            <w:tcW w:w="4077" w:type="dxa"/>
          </w:tcPr>
          <w:p w14:paraId="7C41B9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891" w:type="dxa"/>
          </w:tcPr>
          <w:p w14:paraId="006C98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0" w:type="dxa"/>
          </w:tcPr>
          <w:p w14:paraId="612169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900" w:type="dxa"/>
          </w:tcPr>
          <w:p w14:paraId="59DE8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990" w:type="dxa"/>
          </w:tcPr>
          <w:p w14:paraId="4908E2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338</w:t>
            </w:r>
          </w:p>
        </w:tc>
        <w:tc>
          <w:tcPr>
            <w:tcW w:w="810" w:type="dxa"/>
          </w:tcPr>
          <w:p w14:paraId="74E62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w:t>
            </w:r>
          </w:p>
        </w:tc>
        <w:tc>
          <w:tcPr>
            <w:tcW w:w="810" w:type="dxa"/>
          </w:tcPr>
          <w:p w14:paraId="3C8F2B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764</w:t>
            </w:r>
          </w:p>
        </w:tc>
      </w:tr>
      <w:tr w:rsidR="00561F31" w:rsidRPr="00F90EAE" w14:paraId="06AEF07E" w14:textId="77777777">
        <w:tc>
          <w:tcPr>
            <w:tcW w:w="4077" w:type="dxa"/>
            <w:tcBorders>
              <w:bottom w:val="single" w:sz="12" w:space="0" w:color="auto"/>
            </w:tcBorders>
          </w:tcPr>
          <w:p w14:paraId="38B12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891" w:type="dxa"/>
            <w:tcBorders>
              <w:bottom w:val="single" w:sz="12" w:space="0" w:color="auto"/>
            </w:tcBorders>
          </w:tcPr>
          <w:p w14:paraId="0030B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2900</w:t>
            </w:r>
          </w:p>
        </w:tc>
        <w:tc>
          <w:tcPr>
            <w:tcW w:w="990" w:type="dxa"/>
            <w:tcBorders>
              <w:bottom w:val="single" w:sz="12" w:space="0" w:color="auto"/>
            </w:tcBorders>
          </w:tcPr>
          <w:p w14:paraId="691F15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4708</w:t>
            </w:r>
          </w:p>
        </w:tc>
        <w:tc>
          <w:tcPr>
            <w:tcW w:w="900" w:type="dxa"/>
            <w:tcBorders>
              <w:bottom w:val="single" w:sz="12" w:space="0" w:color="auto"/>
            </w:tcBorders>
          </w:tcPr>
          <w:p w14:paraId="687DC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5484</w:t>
            </w:r>
          </w:p>
        </w:tc>
        <w:tc>
          <w:tcPr>
            <w:tcW w:w="990" w:type="dxa"/>
            <w:tcBorders>
              <w:bottom w:val="single" w:sz="12" w:space="0" w:color="auto"/>
            </w:tcBorders>
          </w:tcPr>
          <w:p w14:paraId="3D1F0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7547</w:t>
            </w:r>
          </w:p>
        </w:tc>
        <w:tc>
          <w:tcPr>
            <w:tcW w:w="810" w:type="dxa"/>
            <w:tcBorders>
              <w:bottom w:val="single" w:sz="12" w:space="0" w:color="auto"/>
            </w:tcBorders>
          </w:tcPr>
          <w:p w14:paraId="6B70CE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3182</w:t>
            </w:r>
          </w:p>
        </w:tc>
        <w:tc>
          <w:tcPr>
            <w:tcW w:w="810" w:type="dxa"/>
            <w:tcBorders>
              <w:bottom w:val="single" w:sz="12" w:space="0" w:color="auto"/>
            </w:tcBorders>
          </w:tcPr>
          <w:p w14:paraId="619E08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23821</w:t>
            </w:r>
          </w:p>
        </w:tc>
      </w:tr>
    </w:tbl>
    <w:p w14:paraId="004CCD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Примечания:</w:t>
      </w:r>
    </w:p>
    <w:p w14:paraId="1D770B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Кроме того отправлено для АДД: Ил-4 - 2474; Ще-2 - 112; Ер-2 - 144; Ли-2 - 1214; Пе-8 - 52. Итого 3996 самолетов (3573).</w:t>
      </w:r>
    </w:p>
    <w:p w14:paraId="7B0395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ОСОАВИАХИМ отправил в ВВС КА: По-2 - 1980; Р-5 - 640; СБ - 440; Рz - 100. Итого 3160 самолетов (3573).</w:t>
      </w:r>
    </w:p>
    <w:p w14:paraId="539DEA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Боевые потери Дальней авиации в самолетах за период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00"/>
        <w:gridCol w:w="990"/>
        <w:gridCol w:w="810"/>
        <w:gridCol w:w="809"/>
      </w:tblGrid>
      <w:tr w:rsidR="00561F31" w:rsidRPr="00F90EAE" w14:paraId="602E2EC2" w14:textId="77777777">
        <w:tc>
          <w:tcPr>
            <w:tcW w:w="3960" w:type="dxa"/>
            <w:tcBorders>
              <w:top w:val="single" w:sz="12" w:space="0" w:color="000000"/>
            </w:tcBorders>
          </w:tcPr>
          <w:p w14:paraId="6C4361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типов самолетов</w:t>
            </w:r>
          </w:p>
        </w:tc>
        <w:tc>
          <w:tcPr>
            <w:tcW w:w="900" w:type="dxa"/>
            <w:tcBorders>
              <w:top w:val="single" w:sz="12" w:space="0" w:color="000000"/>
            </w:tcBorders>
          </w:tcPr>
          <w:p w14:paraId="6FF2DE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 (с 22 июня)</w:t>
            </w:r>
          </w:p>
        </w:tc>
        <w:tc>
          <w:tcPr>
            <w:tcW w:w="990" w:type="dxa"/>
            <w:tcBorders>
              <w:top w:val="single" w:sz="12" w:space="0" w:color="000000"/>
            </w:tcBorders>
          </w:tcPr>
          <w:p w14:paraId="53582D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900" w:type="dxa"/>
            <w:tcBorders>
              <w:top w:val="single" w:sz="12" w:space="0" w:color="000000"/>
            </w:tcBorders>
          </w:tcPr>
          <w:p w14:paraId="78DAAC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990" w:type="dxa"/>
            <w:tcBorders>
              <w:top w:val="single" w:sz="12" w:space="0" w:color="000000"/>
            </w:tcBorders>
          </w:tcPr>
          <w:p w14:paraId="782B2E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810" w:type="dxa"/>
            <w:tcBorders>
              <w:top w:val="single" w:sz="12" w:space="0" w:color="000000"/>
            </w:tcBorders>
          </w:tcPr>
          <w:p w14:paraId="2B9BB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 (до 9.5)</w:t>
            </w:r>
          </w:p>
        </w:tc>
        <w:tc>
          <w:tcPr>
            <w:tcW w:w="809" w:type="dxa"/>
            <w:tcBorders>
              <w:top w:val="single" w:sz="12" w:space="0" w:color="000000"/>
            </w:tcBorders>
          </w:tcPr>
          <w:p w14:paraId="1009B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за войну</w:t>
            </w:r>
          </w:p>
        </w:tc>
      </w:tr>
      <w:tr w:rsidR="00561F31" w:rsidRPr="00F90EAE" w14:paraId="1F9385AB" w14:textId="77777777">
        <w:tc>
          <w:tcPr>
            <w:tcW w:w="3960" w:type="dxa"/>
          </w:tcPr>
          <w:p w14:paraId="66C49F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900" w:type="dxa"/>
          </w:tcPr>
          <w:p w14:paraId="2032137F"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3C22B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259</w:t>
            </w:r>
          </w:p>
        </w:tc>
        <w:tc>
          <w:tcPr>
            <w:tcW w:w="900" w:type="dxa"/>
          </w:tcPr>
          <w:p w14:paraId="1B7408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w:t>
            </w:r>
          </w:p>
        </w:tc>
        <w:tc>
          <w:tcPr>
            <w:tcW w:w="990" w:type="dxa"/>
          </w:tcPr>
          <w:p w14:paraId="4D6ECF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810" w:type="dxa"/>
          </w:tcPr>
          <w:p w14:paraId="2F12D3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809" w:type="dxa"/>
          </w:tcPr>
          <w:p w14:paraId="003C2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954</w:t>
            </w:r>
          </w:p>
        </w:tc>
      </w:tr>
      <w:tr w:rsidR="00561F31" w:rsidRPr="00F90EAE" w14:paraId="7E2EE8C4" w14:textId="77777777">
        <w:tc>
          <w:tcPr>
            <w:tcW w:w="3960" w:type="dxa"/>
          </w:tcPr>
          <w:p w14:paraId="797BAC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900" w:type="dxa"/>
          </w:tcPr>
          <w:p w14:paraId="188B9474"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3DCAD6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900" w:type="dxa"/>
          </w:tcPr>
          <w:p w14:paraId="29815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w:t>
            </w:r>
          </w:p>
        </w:tc>
        <w:tc>
          <w:tcPr>
            <w:tcW w:w="990" w:type="dxa"/>
          </w:tcPr>
          <w:p w14:paraId="627135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169</w:t>
            </w:r>
          </w:p>
        </w:tc>
        <w:tc>
          <w:tcPr>
            <w:tcW w:w="810" w:type="dxa"/>
          </w:tcPr>
          <w:p w14:paraId="2C11E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809" w:type="dxa"/>
          </w:tcPr>
          <w:p w14:paraId="451628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384</w:t>
            </w:r>
          </w:p>
        </w:tc>
      </w:tr>
      <w:tr w:rsidR="00561F31" w:rsidRPr="00F90EAE" w14:paraId="0B2A5D67" w14:textId="77777777">
        <w:tc>
          <w:tcPr>
            <w:tcW w:w="3960" w:type="dxa"/>
          </w:tcPr>
          <w:p w14:paraId="68A4A1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ТБ-3</w:t>
            </w:r>
          </w:p>
        </w:tc>
        <w:tc>
          <w:tcPr>
            <w:tcW w:w="900" w:type="dxa"/>
          </w:tcPr>
          <w:p w14:paraId="0ECB5D23"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2AC0BA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900" w:type="dxa"/>
          </w:tcPr>
          <w:p w14:paraId="3EBA7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990" w:type="dxa"/>
          </w:tcPr>
          <w:p w14:paraId="12E3268D"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2F4AB954" w14:textId="77777777" w:rsidR="00665165" w:rsidRPr="00F90EAE" w:rsidRDefault="00665165" w:rsidP="00F90EAE">
            <w:pPr>
              <w:autoSpaceDE w:val="0"/>
              <w:autoSpaceDN w:val="0"/>
              <w:adjustRightInd w:val="0"/>
              <w:jc w:val="both"/>
              <w:rPr>
                <w:color w:val="000000" w:themeColor="text1"/>
                <w:sz w:val="16"/>
                <w:szCs w:val="16"/>
              </w:rPr>
            </w:pPr>
          </w:p>
        </w:tc>
        <w:tc>
          <w:tcPr>
            <w:tcW w:w="809" w:type="dxa"/>
          </w:tcPr>
          <w:p w14:paraId="60B497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w:t>
            </w:r>
          </w:p>
        </w:tc>
      </w:tr>
      <w:tr w:rsidR="00561F31" w:rsidRPr="00F90EAE" w14:paraId="30F13204" w14:textId="77777777">
        <w:tc>
          <w:tcPr>
            <w:tcW w:w="3960" w:type="dxa"/>
          </w:tcPr>
          <w:p w14:paraId="734DDE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ТБ-7</w:t>
            </w:r>
          </w:p>
        </w:tc>
        <w:tc>
          <w:tcPr>
            <w:tcW w:w="900" w:type="dxa"/>
          </w:tcPr>
          <w:p w14:paraId="0D573946"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663CF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900" w:type="dxa"/>
          </w:tcPr>
          <w:p w14:paraId="4BCAEA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990" w:type="dxa"/>
          </w:tcPr>
          <w:p w14:paraId="42892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810" w:type="dxa"/>
          </w:tcPr>
          <w:p w14:paraId="23608626" w14:textId="77777777" w:rsidR="00665165" w:rsidRPr="00F90EAE" w:rsidRDefault="00665165" w:rsidP="00F90EAE">
            <w:pPr>
              <w:autoSpaceDE w:val="0"/>
              <w:autoSpaceDN w:val="0"/>
              <w:adjustRightInd w:val="0"/>
              <w:jc w:val="both"/>
              <w:rPr>
                <w:color w:val="000000" w:themeColor="text1"/>
                <w:sz w:val="16"/>
                <w:szCs w:val="16"/>
              </w:rPr>
            </w:pPr>
          </w:p>
        </w:tc>
        <w:tc>
          <w:tcPr>
            <w:tcW w:w="809" w:type="dxa"/>
          </w:tcPr>
          <w:p w14:paraId="49071D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r>
      <w:tr w:rsidR="00561F31" w:rsidRPr="00F90EAE" w14:paraId="11C11461" w14:textId="77777777">
        <w:tc>
          <w:tcPr>
            <w:tcW w:w="3960" w:type="dxa"/>
          </w:tcPr>
          <w:p w14:paraId="30189E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900" w:type="dxa"/>
          </w:tcPr>
          <w:p w14:paraId="3B79965E"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428A62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900" w:type="dxa"/>
          </w:tcPr>
          <w:p w14:paraId="51EFA8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90" w:type="dxa"/>
          </w:tcPr>
          <w:p w14:paraId="721FFE5A" w14:textId="77777777" w:rsidR="00665165" w:rsidRPr="00F90EAE" w:rsidRDefault="00665165" w:rsidP="00F90EAE">
            <w:pPr>
              <w:autoSpaceDE w:val="0"/>
              <w:autoSpaceDN w:val="0"/>
              <w:adjustRightInd w:val="0"/>
              <w:jc w:val="both"/>
              <w:rPr>
                <w:color w:val="000000" w:themeColor="text1"/>
                <w:sz w:val="16"/>
                <w:szCs w:val="16"/>
              </w:rPr>
            </w:pPr>
          </w:p>
        </w:tc>
        <w:tc>
          <w:tcPr>
            <w:tcW w:w="810" w:type="dxa"/>
          </w:tcPr>
          <w:p w14:paraId="506DCA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809" w:type="dxa"/>
          </w:tcPr>
          <w:p w14:paraId="1EF756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1CCB91BC" w14:textId="77777777">
        <w:tc>
          <w:tcPr>
            <w:tcW w:w="3960" w:type="dxa"/>
          </w:tcPr>
          <w:p w14:paraId="373791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СИ-47</w:t>
            </w:r>
          </w:p>
        </w:tc>
        <w:tc>
          <w:tcPr>
            <w:tcW w:w="900" w:type="dxa"/>
          </w:tcPr>
          <w:p w14:paraId="69E6E068"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593BD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00" w:type="dxa"/>
          </w:tcPr>
          <w:p w14:paraId="6836C5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990" w:type="dxa"/>
          </w:tcPr>
          <w:p w14:paraId="184F83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810" w:type="dxa"/>
          </w:tcPr>
          <w:p w14:paraId="3D869EE8" w14:textId="77777777" w:rsidR="00665165" w:rsidRPr="00F90EAE" w:rsidRDefault="00665165" w:rsidP="00F90EAE">
            <w:pPr>
              <w:autoSpaceDE w:val="0"/>
              <w:autoSpaceDN w:val="0"/>
              <w:adjustRightInd w:val="0"/>
              <w:jc w:val="both"/>
              <w:rPr>
                <w:color w:val="000000" w:themeColor="text1"/>
                <w:sz w:val="16"/>
                <w:szCs w:val="16"/>
              </w:rPr>
            </w:pPr>
          </w:p>
        </w:tc>
        <w:tc>
          <w:tcPr>
            <w:tcW w:w="809" w:type="dxa"/>
          </w:tcPr>
          <w:p w14:paraId="708AE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r>
      <w:tr w:rsidR="00561F31" w:rsidRPr="00F90EAE" w14:paraId="56D8E4ED" w14:textId="77777777">
        <w:tc>
          <w:tcPr>
            <w:tcW w:w="3960" w:type="dxa"/>
          </w:tcPr>
          <w:p w14:paraId="48A295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Б-25</w:t>
            </w:r>
          </w:p>
        </w:tc>
        <w:tc>
          <w:tcPr>
            <w:tcW w:w="900" w:type="dxa"/>
          </w:tcPr>
          <w:p w14:paraId="20414B1F"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03EB96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900" w:type="dxa"/>
          </w:tcPr>
          <w:p w14:paraId="7FE9C2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990" w:type="dxa"/>
          </w:tcPr>
          <w:p w14:paraId="45CB1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w:t>
            </w:r>
          </w:p>
        </w:tc>
        <w:tc>
          <w:tcPr>
            <w:tcW w:w="810" w:type="dxa"/>
          </w:tcPr>
          <w:p w14:paraId="1C8AF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809" w:type="dxa"/>
          </w:tcPr>
          <w:p w14:paraId="1A0898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r>
      <w:tr w:rsidR="00561F31" w:rsidRPr="00F90EAE" w14:paraId="177DD3AD" w14:textId="77777777">
        <w:tc>
          <w:tcPr>
            <w:tcW w:w="3960" w:type="dxa"/>
          </w:tcPr>
          <w:p w14:paraId="59D336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А-20-Ж</w:t>
            </w:r>
          </w:p>
        </w:tc>
        <w:tc>
          <w:tcPr>
            <w:tcW w:w="900" w:type="dxa"/>
          </w:tcPr>
          <w:p w14:paraId="16DEEDF9"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015C2DA5"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484FD1A8"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392AF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810" w:type="dxa"/>
          </w:tcPr>
          <w:p w14:paraId="400B6C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809" w:type="dxa"/>
          </w:tcPr>
          <w:p w14:paraId="115F7E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r>
      <w:tr w:rsidR="00561F31" w:rsidRPr="00F90EAE" w14:paraId="3F341961" w14:textId="77777777">
        <w:tc>
          <w:tcPr>
            <w:tcW w:w="3960" w:type="dxa"/>
            <w:tcBorders>
              <w:bottom w:val="single" w:sz="12" w:space="0" w:color="000000"/>
            </w:tcBorders>
          </w:tcPr>
          <w:p w14:paraId="512E5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00" w:type="dxa"/>
            <w:tcBorders>
              <w:bottom w:val="single" w:sz="12" w:space="0" w:color="000000"/>
            </w:tcBorders>
          </w:tcPr>
          <w:p w14:paraId="7AB4A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1150{2}</w:t>
            </w:r>
          </w:p>
        </w:tc>
        <w:tc>
          <w:tcPr>
            <w:tcW w:w="990" w:type="dxa"/>
            <w:tcBorders>
              <w:bottom w:val="single" w:sz="12" w:space="0" w:color="000000"/>
            </w:tcBorders>
          </w:tcPr>
          <w:p w14:paraId="7F83C8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396</w:t>
            </w:r>
          </w:p>
        </w:tc>
        <w:tc>
          <w:tcPr>
            <w:tcW w:w="900" w:type="dxa"/>
            <w:tcBorders>
              <w:bottom w:val="single" w:sz="12" w:space="0" w:color="000000"/>
            </w:tcBorders>
          </w:tcPr>
          <w:p w14:paraId="7DA95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516</w:t>
            </w:r>
          </w:p>
        </w:tc>
        <w:tc>
          <w:tcPr>
            <w:tcW w:w="990" w:type="dxa"/>
            <w:tcBorders>
              <w:bottom w:val="single" w:sz="12" w:space="0" w:color="000000"/>
            </w:tcBorders>
          </w:tcPr>
          <w:p w14:paraId="63E5C7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554</w:t>
            </w:r>
          </w:p>
        </w:tc>
        <w:tc>
          <w:tcPr>
            <w:tcW w:w="810" w:type="dxa"/>
            <w:tcBorders>
              <w:bottom w:val="single" w:sz="12" w:space="0" w:color="000000"/>
            </w:tcBorders>
          </w:tcPr>
          <w:p w14:paraId="012005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809" w:type="dxa"/>
            <w:tcBorders>
              <w:bottom w:val="single" w:sz="12" w:space="0" w:color="000000"/>
            </w:tcBorders>
          </w:tcPr>
          <w:p w14:paraId="4481B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2776</w:t>
            </w:r>
          </w:p>
        </w:tc>
      </w:tr>
    </w:tbl>
    <w:p w14:paraId="4CBE6EF0"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Библиотека штаба Дальней авиации, инв.№ 2491, лл.1-18.</w:t>
      </w:r>
    </w:p>
    <w:p w14:paraId="40B2B8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Сведений о потерях по типам самолетов нет (11016).</w:t>
      </w:r>
    </w:p>
    <w:p w14:paraId="23652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 ВВС КА по типам самолетов и годам Великой Отечественной войны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960"/>
        <w:gridCol w:w="900"/>
        <w:gridCol w:w="990"/>
        <w:gridCol w:w="919"/>
        <w:gridCol w:w="1003"/>
        <w:gridCol w:w="13"/>
        <w:gridCol w:w="740"/>
        <w:gridCol w:w="6"/>
        <w:gridCol w:w="830"/>
      </w:tblGrid>
      <w:tr w:rsidR="00561F31" w:rsidRPr="00F90EAE" w14:paraId="7ABBED02" w14:textId="77777777" w:rsidTr="00665165">
        <w:tc>
          <w:tcPr>
            <w:tcW w:w="3960" w:type="dxa"/>
            <w:tcBorders>
              <w:top w:val="single" w:sz="12" w:space="0" w:color="000000"/>
            </w:tcBorders>
          </w:tcPr>
          <w:p w14:paraId="79D2FB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типов самолетов по родам авиации</w:t>
            </w:r>
          </w:p>
        </w:tc>
        <w:tc>
          <w:tcPr>
            <w:tcW w:w="900" w:type="dxa"/>
            <w:gridSpan w:val="8"/>
            <w:tcBorders>
              <w:top w:val="single" w:sz="12" w:space="0" w:color="000000"/>
            </w:tcBorders>
          </w:tcPr>
          <w:p w14:paraId="2DFDC0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w:t>
            </w:r>
          </w:p>
        </w:tc>
      </w:tr>
      <w:tr w:rsidR="00561F31" w:rsidRPr="00F90EAE" w14:paraId="5A283BCF" w14:textId="77777777" w:rsidTr="00665165">
        <w:tc>
          <w:tcPr>
            <w:tcW w:w="3960" w:type="dxa"/>
          </w:tcPr>
          <w:p w14:paraId="16804F3A"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536C3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90" w:type="dxa"/>
            <w:gridSpan w:val="7"/>
          </w:tcPr>
          <w:p w14:paraId="791FF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том числе</w:t>
            </w:r>
          </w:p>
        </w:tc>
      </w:tr>
      <w:tr w:rsidR="00561F31" w:rsidRPr="00F90EAE" w14:paraId="4A0C34CA" w14:textId="77777777">
        <w:tc>
          <w:tcPr>
            <w:tcW w:w="3960" w:type="dxa"/>
          </w:tcPr>
          <w:p w14:paraId="548B5F45" w14:textId="77777777" w:rsidR="00665165" w:rsidRPr="00F90EAE" w:rsidRDefault="00665165" w:rsidP="00F90EAE">
            <w:pPr>
              <w:autoSpaceDE w:val="0"/>
              <w:autoSpaceDN w:val="0"/>
              <w:adjustRightInd w:val="0"/>
              <w:jc w:val="both"/>
              <w:rPr>
                <w:color w:val="000000" w:themeColor="text1"/>
                <w:sz w:val="16"/>
                <w:szCs w:val="16"/>
              </w:rPr>
            </w:pPr>
          </w:p>
        </w:tc>
        <w:tc>
          <w:tcPr>
            <w:tcW w:w="900" w:type="dxa"/>
          </w:tcPr>
          <w:p w14:paraId="01D2C990" w14:textId="77777777" w:rsidR="00665165" w:rsidRPr="00F90EAE" w:rsidRDefault="00665165" w:rsidP="00F90EAE">
            <w:pPr>
              <w:autoSpaceDE w:val="0"/>
              <w:autoSpaceDN w:val="0"/>
              <w:adjustRightInd w:val="0"/>
              <w:jc w:val="both"/>
              <w:rPr>
                <w:color w:val="000000" w:themeColor="text1"/>
                <w:sz w:val="16"/>
                <w:szCs w:val="16"/>
              </w:rPr>
            </w:pPr>
          </w:p>
        </w:tc>
        <w:tc>
          <w:tcPr>
            <w:tcW w:w="990" w:type="dxa"/>
          </w:tcPr>
          <w:p w14:paraId="0E8B5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919" w:type="dxa"/>
          </w:tcPr>
          <w:p w14:paraId="12ABA0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1003" w:type="dxa"/>
          </w:tcPr>
          <w:p w14:paraId="5D36A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759" w:type="dxa"/>
            <w:gridSpan w:val="3"/>
          </w:tcPr>
          <w:p w14:paraId="13C121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830" w:type="dxa"/>
          </w:tcPr>
          <w:p w14:paraId="731D6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r>
      <w:tr w:rsidR="00561F31" w:rsidRPr="00F90EAE" w14:paraId="5286310D" w14:textId="77777777" w:rsidTr="00665165">
        <w:tc>
          <w:tcPr>
            <w:tcW w:w="3960" w:type="dxa"/>
            <w:gridSpan w:val="9"/>
          </w:tcPr>
          <w:p w14:paraId="515204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r>
      <w:tr w:rsidR="00561F31" w:rsidRPr="00F90EAE" w14:paraId="118626A6" w14:textId="77777777">
        <w:tc>
          <w:tcPr>
            <w:tcW w:w="3960" w:type="dxa"/>
          </w:tcPr>
          <w:p w14:paraId="01149B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900" w:type="dxa"/>
          </w:tcPr>
          <w:p w14:paraId="0EA477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2784</w:t>
            </w:r>
          </w:p>
        </w:tc>
        <w:tc>
          <w:tcPr>
            <w:tcW w:w="990" w:type="dxa"/>
          </w:tcPr>
          <w:p w14:paraId="568403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522</w:t>
            </w:r>
          </w:p>
        </w:tc>
        <w:tc>
          <w:tcPr>
            <w:tcW w:w="919" w:type="dxa"/>
          </w:tcPr>
          <w:p w14:paraId="21958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665</w:t>
            </w:r>
          </w:p>
        </w:tc>
        <w:tc>
          <w:tcPr>
            <w:tcW w:w="1003" w:type="dxa"/>
          </w:tcPr>
          <w:p w14:paraId="013F67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721</w:t>
            </w:r>
          </w:p>
        </w:tc>
        <w:tc>
          <w:tcPr>
            <w:tcW w:w="759" w:type="dxa"/>
            <w:gridSpan w:val="3"/>
          </w:tcPr>
          <w:p w14:paraId="787A3E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518</w:t>
            </w:r>
          </w:p>
        </w:tc>
        <w:tc>
          <w:tcPr>
            <w:tcW w:w="830" w:type="dxa"/>
          </w:tcPr>
          <w:p w14:paraId="04CEED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358</w:t>
            </w:r>
          </w:p>
        </w:tc>
      </w:tr>
      <w:tr w:rsidR="00561F31" w:rsidRPr="00F90EAE" w14:paraId="1FC49FF8" w14:textId="77777777">
        <w:tc>
          <w:tcPr>
            <w:tcW w:w="3960" w:type="dxa"/>
          </w:tcPr>
          <w:p w14:paraId="62855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Пе-3</w:t>
            </w:r>
          </w:p>
        </w:tc>
        <w:tc>
          <w:tcPr>
            <w:tcW w:w="900" w:type="dxa"/>
          </w:tcPr>
          <w:p w14:paraId="30AEF6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990" w:type="dxa"/>
          </w:tcPr>
          <w:p w14:paraId="433BC1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919" w:type="dxa"/>
          </w:tcPr>
          <w:p w14:paraId="668B1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1003" w:type="dxa"/>
          </w:tcPr>
          <w:p w14:paraId="01CC7E13"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1D0D414C"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208EC26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A907627" w14:textId="77777777">
        <w:tc>
          <w:tcPr>
            <w:tcW w:w="3960" w:type="dxa"/>
          </w:tcPr>
          <w:p w14:paraId="5539A9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900" w:type="dxa"/>
          </w:tcPr>
          <w:p w14:paraId="202AC3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990" w:type="dxa"/>
          </w:tcPr>
          <w:p w14:paraId="238F0C63"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41DB06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1003" w:type="dxa"/>
          </w:tcPr>
          <w:p w14:paraId="0AA018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759" w:type="dxa"/>
            <w:gridSpan w:val="3"/>
          </w:tcPr>
          <w:p w14:paraId="3ACC3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830" w:type="dxa"/>
          </w:tcPr>
          <w:p w14:paraId="467E69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777E831D" w14:textId="77777777">
        <w:tc>
          <w:tcPr>
            <w:tcW w:w="3960" w:type="dxa"/>
          </w:tcPr>
          <w:p w14:paraId="1311A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w:t>
            </w:r>
          </w:p>
        </w:tc>
        <w:tc>
          <w:tcPr>
            <w:tcW w:w="900" w:type="dxa"/>
          </w:tcPr>
          <w:p w14:paraId="276645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1934</w:t>
            </w:r>
          </w:p>
        </w:tc>
        <w:tc>
          <w:tcPr>
            <w:tcW w:w="990" w:type="dxa"/>
          </w:tcPr>
          <w:p w14:paraId="19755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1746</w:t>
            </w:r>
          </w:p>
        </w:tc>
        <w:tc>
          <w:tcPr>
            <w:tcW w:w="919" w:type="dxa"/>
          </w:tcPr>
          <w:p w14:paraId="455746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173</w:t>
            </w:r>
          </w:p>
        </w:tc>
        <w:tc>
          <w:tcPr>
            <w:tcW w:w="1003" w:type="dxa"/>
          </w:tcPr>
          <w:p w14:paraId="40353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759" w:type="dxa"/>
            <w:gridSpan w:val="3"/>
          </w:tcPr>
          <w:p w14:paraId="54303849"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58EC2CC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1ABC0A0" w14:textId="77777777">
        <w:tc>
          <w:tcPr>
            <w:tcW w:w="3960" w:type="dxa"/>
          </w:tcPr>
          <w:p w14:paraId="4B78F1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Су-2</w:t>
            </w:r>
          </w:p>
        </w:tc>
        <w:tc>
          <w:tcPr>
            <w:tcW w:w="900" w:type="dxa"/>
          </w:tcPr>
          <w:p w14:paraId="79E553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w:t>
            </w:r>
          </w:p>
        </w:tc>
        <w:tc>
          <w:tcPr>
            <w:tcW w:w="990" w:type="dxa"/>
          </w:tcPr>
          <w:p w14:paraId="6DC45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w:t>
            </w:r>
          </w:p>
        </w:tc>
        <w:tc>
          <w:tcPr>
            <w:tcW w:w="919" w:type="dxa"/>
          </w:tcPr>
          <w:p w14:paraId="1F41A8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1003" w:type="dxa"/>
          </w:tcPr>
          <w:p w14:paraId="34E33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759" w:type="dxa"/>
            <w:gridSpan w:val="3"/>
          </w:tcPr>
          <w:p w14:paraId="0BFBFAEB"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5CD5D07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EA2A744" w14:textId="77777777">
        <w:tc>
          <w:tcPr>
            <w:tcW w:w="3960" w:type="dxa"/>
          </w:tcPr>
          <w:p w14:paraId="05096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900" w:type="dxa"/>
          </w:tcPr>
          <w:p w14:paraId="54D888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990" w:type="dxa"/>
          </w:tcPr>
          <w:p w14:paraId="120B358A"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53119F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003" w:type="dxa"/>
          </w:tcPr>
          <w:p w14:paraId="661C71E7"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6C4A9C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830" w:type="dxa"/>
          </w:tcPr>
          <w:p w14:paraId="0551CF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r>
      <w:tr w:rsidR="00561F31" w:rsidRPr="00F90EAE" w14:paraId="3C25EB1E" w14:textId="77777777">
        <w:tc>
          <w:tcPr>
            <w:tcW w:w="3960" w:type="dxa"/>
          </w:tcPr>
          <w:p w14:paraId="30F7B2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Ар-2</w:t>
            </w:r>
          </w:p>
        </w:tc>
        <w:tc>
          <w:tcPr>
            <w:tcW w:w="900" w:type="dxa"/>
          </w:tcPr>
          <w:p w14:paraId="2980C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990" w:type="dxa"/>
          </w:tcPr>
          <w:p w14:paraId="4D3AE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919" w:type="dxa"/>
          </w:tcPr>
          <w:p w14:paraId="6897E698"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26764550"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224DDDB7"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203F6C2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09864BF" w14:textId="77777777">
        <w:tc>
          <w:tcPr>
            <w:tcW w:w="3960" w:type="dxa"/>
          </w:tcPr>
          <w:p w14:paraId="15B99F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Як-4</w:t>
            </w:r>
          </w:p>
        </w:tc>
        <w:tc>
          <w:tcPr>
            <w:tcW w:w="900" w:type="dxa"/>
          </w:tcPr>
          <w:p w14:paraId="0D2A29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990" w:type="dxa"/>
          </w:tcPr>
          <w:p w14:paraId="2577BE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919" w:type="dxa"/>
          </w:tcPr>
          <w:p w14:paraId="7DD748CB"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47109ED0"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63A97032"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764217C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C210A67" w14:textId="77777777">
        <w:tc>
          <w:tcPr>
            <w:tcW w:w="3960" w:type="dxa"/>
          </w:tcPr>
          <w:p w14:paraId="515DD9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ДБ-3 (Ил-4)</w:t>
            </w:r>
          </w:p>
        </w:tc>
        <w:tc>
          <w:tcPr>
            <w:tcW w:w="900" w:type="dxa"/>
          </w:tcPr>
          <w:p w14:paraId="18742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w:t>
            </w:r>
          </w:p>
        </w:tc>
        <w:tc>
          <w:tcPr>
            <w:tcW w:w="990" w:type="dxa"/>
          </w:tcPr>
          <w:p w14:paraId="3AED2B43"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37A18F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003" w:type="dxa"/>
          </w:tcPr>
          <w:p w14:paraId="4C06D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759" w:type="dxa"/>
            <w:gridSpan w:val="3"/>
          </w:tcPr>
          <w:p w14:paraId="3DA4EE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830" w:type="dxa"/>
          </w:tcPr>
          <w:p w14:paraId="7B51C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r>
      <w:tr w:rsidR="00561F31" w:rsidRPr="00F90EAE" w14:paraId="642F99BF" w14:textId="77777777">
        <w:tc>
          <w:tcPr>
            <w:tcW w:w="3960" w:type="dxa"/>
          </w:tcPr>
          <w:p w14:paraId="6A98C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А-20-Б, Ж</w:t>
            </w:r>
          </w:p>
        </w:tc>
        <w:tc>
          <w:tcPr>
            <w:tcW w:w="900" w:type="dxa"/>
          </w:tcPr>
          <w:p w14:paraId="02505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223</w:t>
            </w:r>
          </w:p>
        </w:tc>
        <w:tc>
          <w:tcPr>
            <w:tcW w:w="990" w:type="dxa"/>
          </w:tcPr>
          <w:p w14:paraId="5E33106D"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680A05CE"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638DA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w:t>
            </w:r>
          </w:p>
        </w:tc>
        <w:tc>
          <w:tcPr>
            <w:tcW w:w="759" w:type="dxa"/>
            <w:gridSpan w:val="3"/>
          </w:tcPr>
          <w:p w14:paraId="4CA76C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830" w:type="dxa"/>
          </w:tcPr>
          <w:p w14:paraId="4E0656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r>
      <w:tr w:rsidR="00561F31" w:rsidRPr="00F90EAE" w14:paraId="25F1DD90" w14:textId="77777777">
        <w:tc>
          <w:tcPr>
            <w:tcW w:w="3960" w:type="dxa"/>
          </w:tcPr>
          <w:p w14:paraId="112A2D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Б-3</w:t>
            </w:r>
          </w:p>
        </w:tc>
        <w:tc>
          <w:tcPr>
            <w:tcW w:w="900" w:type="dxa"/>
          </w:tcPr>
          <w:p w14:paraId="1A0E03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381</w:t>
            </w:r>
          </w:p>
        </w:tc>
        <w:tc>
          <w:tcPr>
            <w:tcW w:w="990" w:type="dxa"/>
          </w:tcPr>
          <w:p w14:paraId="26AC8B7A"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446F9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w:t>
            </w:r>
          </w:p>
        </w:tc>
        <w:tc>
          <w:tcPr>
            <w:tcW w:w="1003" w:type="dxa"/>
          </w:tcPr>
          <w:p w14:paraId="07DD06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w:t>
            </w:r>
          </w:p>
        </w:tc>
        <w:tc>
          <w:tcPr>
            <w:tcW w:w="759" w:type="dxa"/>
            <w:gridSpan w:val="3"/>
          </w:tcPr>
          <w:p w14:paraId="455723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830" w:type="dxa"/>
          </w:tcPr>
          <w:p w14:paraId="3AF00B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5095A5D3" w14:textId="77777777">
        <w:tc>
          <w:tcPr>
            <w:tcW w:w="3960" w:type="dxa"/>
          </w:tcPr>
          <w:p w14:paraId="4ACD95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Б-25</w:t>
            </w:r>
          </w:p>
        </w:tc>
        <w:tc>
          <w:tcPr>
            <w:tcW w:w="900" w:type="dxa"/>
          </w:tcPr>
          <w:p w14:paraId="4BF8FE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990" w:type="dxa"/>
          </w:tcPr>
          <w:p w14:paraId="2A441427"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10C5DD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003" w:type="dxa"/>
          </w:tcPr>
          <w:p w14:paraId="11C12756"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3A0ED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830" w:type="dxa"/>
          </w:tcPr>
          <w:p w14:paraId="66EA9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r>
      <w:tr w:rsidR="00561F31" w:rsidRPr="00F90EAE" w14:paraId="60D3673A" w14:textId="77777777">
        <w:tc>
          <w:tcPr>
            <w:tcW w:w="3960" w:type="dxa"/>
          </w:tcPr>
          <w:p w14:paraId="18076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00" w:type="dxa"/>
          </w:tcPr>
          <w:p w14:paraId="6F2A7B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6086</w:t>
            </w:r>
          </w:p>
        </w:tc>
        <w:tc>
          <w:tcPr>
            <w:tcW w:w="990" w:type="dxa"/>
          </w:tcPr>
          <w:p w14:paraId="4BC3B7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2659</w:t>
            </w:r>
          </w:p>
        </w:tc>
        <w:tc>
          <w:tcPr>
            <w:tcW w:w="919" w:type="dxa"/>
          </w:tcPr>
          <w:p w14:paraId="2E5426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1145</w:t>
            </w:r>
          </w:p>
        </w:tc>
        <w:tc>
          <w:tcPr>
            <w:tcW w:w="1003" w:type="dxa"/>
          </w:tcPr>
          <w:p w14:paraId="6D6175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940</w:t>
            </w:r>
          </w:p>
        </w:tc>
        <w:tc>
          <w:tcPr>
            <w:tcW w:w="759" w:type="dxa"/>
            <w:gridSpan w:val="3"/>
          </w:tcPr>
          <w:p w14:paraId="4EF1A9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751</w:t>
            </w:r>
          </w:p>
        </w:tc>
        <w:tc>
          <w:tcPr>
            <w:tcW w:w="830" w:type="dxa"/>
          </w:tcPr>
          <w:p w14:paraId="2804F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591</w:t>
            </w:r>
          </w:p>
        </w:tc>
      </w:tr>
      <w:tr w:rsidR="00561F31" w:rsidRPr="00F90EAE" w14:paraId="178E316C" w14:textId="77777777" w:rsidTr="00665165">
        <w:tc>
          <w:tcPr>
            <w:tcW w:w="3960" w:type="dxa"/>
            <w:gridSpan w:val="9"/>
          </w:tcPr>
          <w:p w14:paraId="292BFC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r>
      <w:tr w:rsidR="00561F31" w:rsidRPr="00F90EAE" w14:paraId="26583B2F" w14:textId="77777777">
        <w:tc>
          <w:tcPr>
            <w:tcW w:w="3960" w:type="dxa"/>
          </w:tcPr>
          <w:p w14:paraId="450AB3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Ил-10</w:t>
            </w:r>
          </w:p>
        </w:tc>
        <w:tc>
          <w:tcPr>
            <w:tcW w:w="900" w:type="dxa"/>
          </w:tcPr>
          <w:p w14:paraId="469EE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10762</w:t>
            </w:r>
          </w:p>
        </w:tc>
        <w:tc>
          <w:tcPr>
            <w:tcW w:w="990" w:type="dxa"/>
          </w:tcPr>
          <w:p w14:paraId="58963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533</w:t>
            </w:r>
          </w:p>
        </w:tc>
        <w:tc>
          <w:tcPr>
            <w:tcW w:w="919" w:type="dxa"/>
          </w:tcPr>
          <w:p w14:paraId="15C3C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1676</w:t>
            </w:r>
          </w:p>
        </w:tc>
        <w:tc>
          <w:tcPr>
            <w:tcW w:w="1003" w:type="dxa"/>
          </w:tcPr>
          <w:p w14:paraId="126D6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3515</w:t>
            </w:r>
          </w:p>
        </w:tc>
        <w:tc>
          <w:tcPr>
            <w:tcW w:w="759" w:type="dxa"/>
            <w:gridSpan w:val="3"/>
          </w:tcPr>
          <w:p w14:paraId="0A9065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3347</w:t>
            </w:r>
          </w:p>
        </w:tc>
        <w:tc>
          <w:tcPr>
            <w:tcW w:w="830" w:type="dxa"/>
          </w:tcPr>
          <w:p w14:paraId="60909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1691</w:t>
            </w:r>
          </w:p>
        </w:tc>
      </w:tr>
      <w:tr w:rsidR="00561F31" w:rsidRPr="00F90EAE" w14:paraId="28595238" w14:textId="77777777" w:rsidTr="00665165">
        <w:tc>
          <w:tcPr>
            <w:tcW w:w="3960" w:type="dxa"/>
            <w:gridSpan w:val="9"/>
          </w:tcPr>
          <w:p w14:paraId="21E34E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r>
      <w:tr w:rsidR="00561F31" w:rsidRPr="00F90EAE" w14:paraId="081AF073" w14:textId="77777777">
        <w:tc>
          <w:tcPr>
            <w:tcW w:w="3960" w:type="dxa"/>
          </w:tcPr>
          <w:p w14:paraId="05B3E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w:t>
            </w:r>
          </w:p>
        </w:tc>
        <w:tc>
          <w:tcPr>
            <w:tcW w:w="900" w:type="dxa"/>
          </w:tcPr>
          <w:p w14:paraId="615E01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3336</w:t>
            </w:r>
          </w:p>
        </w:tc>
        <w:tc>
          <w:tcPr>
            <w:tcW w:w="990" w:type="dxa"/>
          </w:tcPr>
          <w:p w14:paraId="6E7770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325</w:t>
            </w:r>
          </w:p>
        </w:tc>
        <w:tc>
          <w:tcPr>
            <w:tcW w:w="919" w:type="dxa"/>
          </w:tcPr>
          <w:p w14:paraId="771F3C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1301</w:t>
            </w:r>
          </w:p>
        </w:tc>
        <w:tc>
          <w:tcPr>
            <w:tcW w:w="1003" w:type="dxa"/>
          </w:tcPr>
          <w:p w14:paraId="046CC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1056</w:t>
            </w:r>
          </w:p>
        </w:tc>
        <w:tc>
          <w:tcPr>
            <w:tcW w:w="759" w:type="dxa"/>
            <w:gridSpan w:val="3"/>
          </w:tcPr>
          <w:p w14:paraId="5D70B0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575</w:t>
            </w:r>
          </w:p>
        </w:tc>
        <w:tc>
          <w:tcPr>
            <w:tcW w:w="830" w:type="dxa"/>
          </w:tcPr>
          <w:p w14:paraId="47399B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r>
      <w:tr w:rsidR="00561F31" w:rsidRPr="00F90EAE" w14:paraId="732B4AE5" w14:textId="77777777">
        <w:tc>
          <w:tcPr>
            <w:tcW w:w="3960" w:type="dxa"/>
          </w:tcPr>
          <w:p w14:paraId="0C8731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900" w:type="dxa"/>
          </w:tcPr>
          <w:p w14:paraId="398712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w:t>
            </w:r>
          </w:p>
        </w:tc>
        <w:tc>
          <w:tcPr>
            <w:tcW w:w="990" w:type="dxa"/>
          </w:tcPr>
          <w:p w14:paraId="0DE16B20"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1BD7618D"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30C6172B"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3A73A8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w:t>
            </w:r>
          </w:p>
        </w:tc>
        <w:tc>
          <w:tcPr>
            <w:tcW w:w="830" w:type="dxa"/>
          </w:tcPr>
          <w:p w14:paraId="020ACB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r>
      <w:tr w:rsidR="00561F31" w:rsidRPr="00F90EAE" w14:paraId="0EEEFAD4" w14:textId="77777777">
        <w:tc>
          <w:tcPr>
            <w:tcW w:w="3960" w:type="dxa"/>
          </w:tcPr>
          <w:p w14:paraId="5EE530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Як-7</w:t>
            </w:r>
          </w:p>
        </w:tc>
        <w:tc>
          <w:tcPr>
            <w:tcW w:w="900" w:type="dxa"/>
          </w:tcPr>
          <w:p w14:paraId="198CF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1385</w:t>
            </w:r>
          </w:p>
        </w:tc>
        <w:tc>
          <w:tcPr>
            <w:tcW w:w="990" w:type="dxa"/>
          </w:tcPr>
          <w:p w14:paraId="4FEB5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19" w:type="dxa"/>
          </w:tcPr>
          <w:p w14:paraId="125593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1003" w:type="dxa"/>
          </w:tcPr>
          <w:p w14:paraId="7813F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857</w:t>
            </w:r>
          </w:p>
        </w:tc>
        <w:tc>
          <w:tcPr>
            <w:tcW w:w="759" w:type="dxa"/>
            <w:gridSpan w:val="3"/>
          </w:tcPr>
          <w:p w14:paraId="3078A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245</w:t>
            </w:r>
          </w:p>
        </w:tc>
        <w:tc>
          <w:tcPr>
            <w:tcW w:w="830" w:type="dxa"/>
          </w:tcPr>
          <w:p w14:paraId="20A256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r>
      <w:tr w:rsidR="00561F31" w:rsidRPr="00F90EAE" w14:paraId="34FCBD0D" w14:textId="77777777">
        <w:tc>
          <w:tcPr>
            <w:tcW w:w="3960" w:type="dxa"/>
          </w:tcPr>
          <w:p w14:paraId="01195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w:t>
            </w:r>
          </w:p>
        </w:tc>
        <w:tc>
          <w:tcPr>
            <w:tcW w:w="900" w:type="dxa"/>
          </w:tcPr>
          <w:p w14:paraId="44A73A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1821</w:t>
            </w:r>
          </w:p>
        </w:tc>
        <w:tc>
          <w:tcPr>
            <w:tcW w:w="990" w:type="dxa"/>
          </w:tcPr>
          <w:p w14:paraId="5E73ECD8"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2051F61C"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035B49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383</w:t>
            </w:r>
          </w:p>
        </w:tc>
        <w:tc>
          <w:tcPr>
            <w:tcW w:w="759" w:type="dxa"/>
            <w:gridSpan w:val="3"/>
          </w:tcPr>
          <w:p w14:paraId="60169F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990</w:t>
            </w:r>
          </w:p>
        </w:tc>
        <w:tc>
          <w:tcPr>
            <w:tcW w:w="830" w:type="dxa"/>
          </w:tcPr>
          <w:p w14:paraId="5EE93E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448</w:t>
            </w:r>
          </w:p>
        </w:tc>
      </w:tr>
      <w:tr w:rsidR="00561F31" w:rsidRPr="00F90EAE" w14:paraId="6FCC1F23" w14:textId="77777777">
        <w:tc>
          <w:tcPr>
            <w:tcW w:w="3960" w:type="dxa"/>
          </w:tcPr>
          <w:p w14:paraId="5EED6B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Ла-5</w:t>
            </w:r>
          </w:p>
        </w:tc>
        <w:tc>
          <w:tcPr>
            <w:tcW w:w="900" w:type="dxa"/>
          </w:tcPr>
          <w:p w14:paraId="555117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2591</w:t>
            </w:r>
          </w:p>
        </w:tc>
        <w:tc>
          <w:tcPr>
            <w:tcW w:w="990" w:type="dxa"/>
          </w:tcPr>
          <w:p w14:paraId="2305CF0B"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30E49D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1003" w:type="dxa"/>
          </w:tcPr>
          <w:p w14:paraId="4D71B2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1460</w:t>
            </w:r>
          </w:p>
        </w:tc>
        <w:tc>
          <w:tcPr>
            <w:tcW w:w="759" w:type="dxa"/>
            <w:gridSpan w:val="3"/>
          </w:tcPr>
          <w:p w14:paraId="1DDFD4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825</w:t>
            </w:r>
          </w:p>
        </w:tc>
        <w:tc>
          <w:tcPr>
            <w:tcW w:w="830" w:type="dxa"/>
          </w:tcPr>
          <w:p w14:paraId="2EE3AF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233</w:t>
            </w:r>
          </w:p>
        </w:tc>
      </w:tr>
      <w:tr w:rsidR="00561F31" w:rsidRPr="00F90EAE" w14:paraId="6AEDB064" w14:textId="77777777">
        <w:tc>
          <w:tcPr>
            <w:tcW w:w="3960" w:type="dxa"/>
          </w:tcPr>
          <w:p w14:paraId="04D368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Ла-7</w:t>
            </w:r>
          </w:p>
        </w:tc>
        <w:tc>
          <w:tcPr>
            <w:tcW w:w="900" w:type="dxa"/>
          </w:tcPr>
          <w:p w14:paraId="3D4C3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990" w:type="dxa"/>
          </w:tcPr>
          <w:p w14:paraId="2F4618D9"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2F341B05"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7CFD4EA7"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1CBF53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830" w:type="dxa"/>
          </w:tcPr>
          <w:p w14:paraId="72F638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r>
      <w:tr w:rsidR="00561F31" w:rsidRPr="00F90EAE" w14:paraId="11E0D905" w14:textId="77777777">
        <w:tc>
          <w:tcPr>
            <w:tcW w:w="3960" w:type="dxa"/>
          </w:tcPr>
          <w:p w14:paraId="3B94D4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ЛаГГ-3</w:t>
            </w:r>
          </w:p>
        </w:tc>
        <w:tc>
          <w:tcPr>
            <w:tcW w:w="900" w:type="dxa"/>
          </w:tcPr>
          <w:p w14:paraId="57B698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1852</w:t>
            </w:r>
          </w:p>
        </w:tc>
        <w:tc>
          <w:tcPr>
            <w:tcW w:w="990" w:type="dxa"/>
          </w:tcPr>
          <w:p w14:paraId="12F2D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349</w:t>
            </w:r>
          </w:p>
        </w:tc>
        <w:tc>
          <w:tcPr>
            <w:tcW w:w="919" w:type="dxa"/>
          </w:tcPr>
          <w:p w14:paraId="090B84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1101</w:t>
            </w:r>
          </w:p>
        </w:tc>
        <w:tc>
          <w:tcPr>
            <w:tcW w:w="1003" w:type="dxa"/>
          </w:tcPr>
          <w:p w14:paraId="19D69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307</w:t>
            </w:r>
          </w:p>
        </w:tc>
        <w:tc>
          <w:tcPr>
            <w:tcW w:w="759" w:type="dxa"/>
            <w:gridSpan w:val="3"/>
          </w:tcPr>
          <w:p w14:paraId="58C50F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830" w:type="dxa"/>
          </w:tcPr>
          <w:p w14:paraId="1AFDB3A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D0ACDED" w14:textId="77777777">
        <w:tc>
          <w:tcPr>
            <w:tcW w:w="3960" w:type="dxa"/>
          </w:tcPr>
          <w:p w14:paraId="79F24A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МиГ-3</w:t>
            </w:r>
          </w:p>
        </w:tc>
        <w:tc>
          <w:tcPr>
            <w:tcW w:w="900" w:type="dxa"/>
          </w:tcPr>
          <w:p w14:paraId="5F2B12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1432</w:t>
            </w:r>
          </w:p>
        </w:tc>
        <w:tc>
          <w:tcPr>
            <w:tcW w:w="990" w:type="dxa"/>
          </w:tcPr>
          <w:p w14:paraId="127755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1214</w:t>
            </w:r>
          </w:p>
        </w:tc>
        <w:tc>
          <w:tcPr>
            <w:tcW w:w="919" w:type="dxa"/>
          </w:tcPr>
          <w:p w14:paraId="070D7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w:t>
            </w:r>
          </w:p>
        </w:tc>
        <w:tc>
          <w:tcPr>
            <w:tcW w:w="1003" w:type="dxa"/>
          </w:tcPr>
          <w:p w14:paraId="2A19ADFF"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3634E68E"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267DA40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F934CA3" w14:textId="77777777">
        <w:tc>
          <w:tcPr>
            <w:tcW w:w="3960" w:type="dxa"/>
          </w:tcPr>
          <w:p w14:paraId="628AE3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И-16</w:t>
            </w:r>
          </w:p>
        </w:tc>
        <w:tc>
          <w:tcPr>
            <w:tcW w:w="900" w:type="dxa"/>
          </w:tcPr>
          <w:p w14:paraId="053631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1523</w:t>
            </w:r>
          </w:p>
        </w:tc>
        <w:tc>
          <w:tcPr>
            <w:tcW w:w="990" w:type="dxa"/>
          </w:tcPr>
          <w:p w14:paraId="0B258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c>
          <w:tcPr>
            <w:tcW w:w="919" w:type="dxa"/>
          </w:tcPr>
          <w:p w14:paraId="38E9AF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255</w:t>
            </w:r>
          </w:p>
        </w:tc>
        <w:tc>
          <w:tcPr>
            <w:tcW w:w="1003" w:type="dxa"/>
          </w:tcPr>
          <w:p w14:paraId="77F0A2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w:t>
            </w:r>
          </w:p>
        </w:tc>
        <w:tc>
          <w:tcPr>
            <w:tcW w:w="759" w:type="dxa"/>
            <w:gridSpan w:val="3"/>
          </w:tcPr>
          <w:p w14:paraId="65938809"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67D69EB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26B082B" w14:textId="77777777">
        <w:tc>
          <w:tcPr>
            <w:tcW w:w="3960" w:type="dxa"/>
          </w:tcPr>
          <w:p w14:paraId="40EFDC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И-153</w:t>
            </w:r>
          </w:p>
        </w:tc>
        <w:tc>
          <w:tcPr>
            <w:tcW w:w="900" w:type="dxa"/>
          </w:tcPr>
          <w:p w14:paraId="4CEF2C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1190</w:t>
            </w:r>
          </w:p>
        </w:tc>
        <w:tc>
          <w:tcPr>
            <w:tcW w:w="990" w:type="dxa"/>
          </w:tcPr>
          <w:p w14:paraId="0E9996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973</w:t>
            </w:r>
          </w:p>
        </w:tc>
        <w:tc>
          <w:tcPr>
            <w:tcW w:w="919" w:type="dxa"/>
          </w:tcPr>
          <w:p w14:paraId="3526A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177</w:t>
            </w:r>
          </w:p>
        </w:tc>
        <w:tc>
          <w:tcPr>
            <w:tcW w:w="1003" w:type="dxa"/>
          </w:tcPr>
          <w:p w14:paraId="273EF5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759" w:type="dxa"/>
            <w:gridSpan w:val="3"/>
          </w:tcPr>
          <w:p w14:paraId="3558F703"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3109075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845CB3D" w14:textId="77777777">
        <w:tc>
          <w:tcPr>
            <w:tcW w:w="3960" w:type="dxa"/>
          </w:tcPr>
          <w:p w14:paraId="1F252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И-15</w:t>
            </w:r>
          </w:p>
        </w:tc>
        <w:tc>
          <w:tcPr>
            <w:tcW w:w="900" w:type="dxa"/>
          </w:tcPr>
          <w:p w14:paraId="7053D1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w:t>
            </w:r>
          </w:p>
        </w:tc>
        <w:tc>
          <w:tcPr>
            <w:tcW w:w="990" w:type="dxa"/>
          </w:tcPr>
          <w:p w14:paraId="5A9DCF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332</w:t>
            </w:r>
          </w:p>
        </w:tc>
        <w:tc>
          <w:tcPr>
            <w:tcW w:w="919" w:type="dxa"/>
          </w:tcPr>
          <w:p w14:paraId="731CFD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1003" w:type="dxa"/>
          </w:tcPr>
          <w:p w14:paraId="3A290D20"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53E94896"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379272A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3C925A5" w14:textId="77777777">
        <w:tc>
          <w:tcPr>
            <w:tcW w:w="3960" w:type="dxa"/>
          </w:tcPr>
          <w:p w14:paraId="789290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И-5</w:t>
            </w:r>
          </w:p>
        </w:tc>
        <w:tc>
          <w:tcPr>
            <w:tcW w:w="900" w:type="dxa"/>
          </w:tcPr>
          <w:p w14:paraId="29C6A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990" w:type="dxa"/>
          </w:tcPr>
          <w:p w14:paraId="45057C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919" w:type="dxa"/>
          </w:tcPr>
          <w:p w14:paraId="7E88A4A2"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5B20D283"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1538C894"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3E73993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439C986" w14:textId="77777777">
        <w:tc>
          <w:tcPr>
            <w:tcW w:w="3960" w:type="dxa"/>
          </w:tcPr>
          <w:p w14:paraId="06B62F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Аэрокобра</w:t>
            </w:r>
          </w:p>
        </w:tc>
        <w:tc>
          <w:tcPr>
            <w:tcW w:w="900" w:type="dxa"/>
          </w:tcPr>
          <w:p w14:paraId="164015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1030</w:t>
            </w:r>
          </w:p>
        </w:tc>
        <w:tc>
          <w:tcPr>
            <w:tcW w:w="990" w:type="dxa"/>
          </w:tcPr>
          <w:p w14:paraId="33783DA7"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26E20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1003" w:type="dxa"/>
          </w:tcPr>
          <w:p w14:paraId="48B05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759" w:type="dxa"/>
            <w:gridSpan w:val="3"/>
          </w:tcPr>
          <w:p w14:paraId="2F1120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486</w:t>
            </w:r>
          </w:p>
        </w:tc>
        <w:tc>
          <w:tcPr>
            <w:tcW w:w="830" w:type="dxa"/>
          </w:tcPr>
          <w:p w14:paraId="3F261D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r>
      <w:tr w:rsidR="00561F31" w:rsidRPr="00F90EAE" w14:paraId="60F992E3" w14:textId="77777777">
        <w:tc>
          <w:tcPr>
            <w:tcW w:w="3960" w:type="dxa"/>
          </w:tcPr>
          <w:p w14:paraId="27F4D7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Харрикейн</w:t>
            </w:r>
          </w:p>
        </w:tc>
        <w:tc>
          <w:tcPr>
            <w:tcW w:w="900" w:type="dxa"/>
          </w:tcPr>
          <w:p w14:paraId="76F917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341</w:t>
            </w:r>
          </w:p>
        </w:tc>
        <w:tc>
          <w:tcPr>
            <w:tcW w:w="990" w:type="dxa"/>
          </w:tcPr>
          <w:p w14:paraId="4D06D4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19" w:type="dxa"/>
          </w:tcPr>
          <w:p w14:paraId="1A0B6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c>
          <w:tcPr>
            <w:tcW w:w="1003" w:type="dxa"/>
          </w:tcPr>
          <w:p w14:paraId="42D3E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759" w:type="dxa"/>
            <w:gridSpan w:val="3"/>
          </w:tcPr>
          <w:p w14:paraId="561DE5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830" w:type="dxa"/>
          </w:tcPr>
          <w:p w14:paraId="53E706B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7A25983" w14:textId="77777777">
        <w:tc>
          <w:tcPr>
            <w:tcW w:w="3960" w:type="dxa"/>
          </w:tcPr>
          <w:p w14:paraId="61850A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Киттихаук</w:t>
            </w:r>
          </w:p>
        </w:tc>
        <w:tc>
          <w:tcPr>
            <w:tcW w:w="900" w:type="dxa"/>
          </w:tcPr>
          <w:p w14:paraId="47F82E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219</w:t>
            </w:r>
          </w:p>
        </w:tc>
        <w:tc>
          <w:tcPr>
            <w:tcW w:w="990" w:type="dxa"/>
          </w:tcPr>
          <w:p w14:paraId="172263EF"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1D6082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c>
          <w:tcPr>
            <w:tcW w:w="1003" w:type="dxa"/>
          </w:tcPr>
          <w:p w14:paraId="1A6F7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w:t>
            </w:r>
          </w:p>
        </w:tc>
        <w:tc>
          <w:tcPr>
            <w:tcW w:w="759" w:type="dxa"/>
            <w:gridSpan w:val="3"/>
          </w:tcPr>
          <w:p w14:paraId="425E4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830" w:type="dxa"/>
          </w:tcPr>
          <w:p w14:paraId="35479EC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E05E29" w14:textId="77777777">
        <w:tc>
          <w:tcPr>
            <w:tcW w:w="3960" w:type="dxa"/>
          </w:tcPr>
          <w:p w14:paraId="4A50B2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Томагаук</w:t>
            </w:r>
          </w:p>
        </w:tc>
        <w:tc>
          <w:tcPr>
            <w:tcW w:w="900" w:type="dxa"/>
          </w:tcPr>
          <w:p w14:paraId="14E3B0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990" w:type="dxa"/>
          </w:tcPr>
          <w:p w14:paraId="7E0932A5"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41E8DD40"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1D7CBD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759" w:type="dxa"/>
            <w:gridSpan w:val="3"/>
          </w:tcPr>
          <w:p w14:paraId="556ED0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830" w:type="dxa"/>
          </w:tcPr>
          <w:p w14:paraId="174F2F9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94CC03A" w14:textId="77777777">
        <w:tc>
          <w:tcPr>
            <w:tcW w:w="3960" w:type="dxa"/>
          </w:tcPr>
          <w:p w14:paraId="618923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Кертисс</w:t>
            </w:r>
          </w:p>
        </w:tc>
        <w:tc>
          <w:tcPr>
            <w:tcW w:w="900" w:type="dxa"/>
          </w:tcPr>
          <w:p w14:paraId="651994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90" w:type="dxa"/>
          </w:tcPr>
          <w:p w14:paraId="2164EAAC"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378B8F38"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00021CCE" w14:textId="77777777" w:rsidR="00665165" w:rsidRPr="00F90EAE" w:rsidRDefault="00665165" w:rsidP="00F90EAE">
            <w:pPr>
              <w:autoSpaceDE w:val="0"/>
              <w:autoSpaceDN w:val="0"/>
              <w:adjustRightInd w:val="0"/>
              <w:jc w:val="both"/>
              <w:rPr>
                <w:color w:val="000000" w:themeColor="text1"/>
                <w:sz w:val="16"/>
                <w:szCs w:val="16"/>
              </w:rPr>
            </w:pPr>
          </w:p>
        </w:tc>
        <w:tc>
          <w:tcPr>
            <w:tcW w:w="759" w:type="dxa"/>
            <w:gridSpan w:val="3"/>
          </w:tcPr>
          <w:p w14:paraId="6C17CC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830" w:type="dxa"/>
          </w:tcPr>
          <w:p w14:paraId="681D5B8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C53D72" w14:textId="77777777">
        <w:tc>
          <w:tcPr>
            <w:tcW w:w="3960" w:type="dxa"/>
          </w:tcPr>
          <w:p w14:paraId="207752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Спитфайер</w:t>
            </w:r>
          </w:p>
        </w:tc>
        <w:tc>
          <w:tcPr>
            <w:tcW w:w="900" w:type="dxa"/>
          </w:tcPr>
          <w:p w14:paraId="1CAF70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990" w:type="dxa"/>
          </w:tcPr>
          <w:p w14:paraId="1184D157" w14:textId="77777777" w:rsidR="00665165" w:rsidRPr="00F90EAE" w:rsidRDefault="00665165" w:rsidP="00F90EAE">
            <w:pPr>
              <w:autoSpaceDE w:val="0"/>
              <w:autoSpaceDN w:val="0"/>
              <w:adjustRightInd w:val="0"/>
              <w:jc w:val="both"/>
              <w:rPr>
                <w:color w:val="000000" w:themeColor="text1"/>
                <w:sz w:val="16"/>
                <w:szCs w:val="16"/>
              </w:rPr>
            </w:pPr>
          </w:p>
        </w:tc>
        <w:tc>
          <w:tcPr>
            <w:tcW w:w="919" w:type="dxa"/>
          </w:tcPr>
          <w:p w14:paraId="2F5F9F71" w14:textId="77777777" w:rsidR="00665165" w:rsidRPr="00F90EAE" w:rsidRDefault="00665165" w:rsidP="00F90EAE">
            <w:pPr>
              <w:autoSpaceDE w:val="0"/>
              <w:autoSpaceDN w:val="0"/>
              <w:adjustRightInd w:val="0"/>
              <w:jc w:val="both"/>
              <w:rPr>
                <w:color w:val="000000" w:themeColor="text1"/>
                <w:sz w:val="16"/>
                <w:szCs w:val="16"/>
              </w:rPr>
            </w:pPr>
          </w:p>
        </w:tc>
        <w:tc>
          <w:tcPr>
            <w:tcW w:w="1003" w:type="dxa"/>
          </w:tcPr>
          <w:p w14:paraId="02748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759" w:type="dxa"/>
            <w:gridSpan w:val="3"/>
          </w:tcPr>
          <w:p w14:paraId="4C1EDBE3" w14:textId="77777777" w:rsidR="00665165" w:rsidRPr="00F90EAE" w:rsidRDefault="00665165" w:rsidP="00F90EAE">
            <w:pPr>
              <w:autoSpaceDE w:val="0"/>
              <w:autoSpaceDN w:val="0"/>
              <w:adjustRightInd w:val="0"/>
              <w:jc w:val="both"/>
              <w:rPr>
                <w:color w:val="000000" w:themeColor="text1"/>
                <w:sz w:val="16"/>
                <w:szCs w:val="16"/>
              </w:rPr>
            </w:pPr>
          </w:p>
        </w:tc>
        <w:tc>
          <w:tcPr>
            <w:tcW w:w="830" w:type="dxa"/>
          </w:tcPr>
          <w:p w14:paraId="56E6793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54D975B" w14:textId="77777777">
        <w:tc>
          <w:tcPr>
            <w:tcW w:w="3960" w:type="dxa"/>
          </w:tcPr>
          <w:p w14:paraId="43D332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00" w:type="dxa"/>
          </w:tcPr>
          <w:p w14:paraId="18331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17468</w:t>
            </w:r>
          </w:p>
        </w:tc>
        <w:tc>
          <w:tcPr>
            <w:tcW w:w="990" w:type="dxa"/>
          </w:tcPr>
          <w:p w14:paraId="7B97DF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4416</w:t>
            </w:r>
          </w:p>
        </w:tc>
        <w:tc>
          <w:tcPr>
            <w:tcW w:w="919" w:type="dxa"/>
          </w:tcPr>
          <w:p w14:paraId="0C5E42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3888</w:t>
            </w:r>
          </w:p>
        </w:tc>
        <w:tc>
          <w:tcPr>
            <w:tcW w:w="1003" w:type="dxa"/>
          </w:tcPr>
          <w:p w14:paraId="172EA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4642</w:t>
            </w:r>
          </w:p>
        </w:tc>
        <w:tc>
          <w:tcPr>
            <w:tcW w:w="759" w:type="dxa"/>
            <w:gridSpan w:val="3"/>
          </w:tcPr>
          <w:p w14:paraId="74310C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3331</w:t>
            </w:r>
          </w:p>
        </w:tc>
        <w:tc>
          <w:tcPr>
            <w:tcW w:w="830" w:type="dxa"/>
          </w:tcPr>
          <w:p w14:paraId="18CC6B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1191</w:t>
            </w:r>
          </w:p>
        </w:tc>
      </w:tr>
      <w:tr w:rsidR="00561F31" w:rsidRPr="00F90EAE" w14:paraId="74C3F1D8" w14:textId="77777777" w:rsidTr="00665165">
        <w:tc>
          <w:tcPr>
            <w:tcW w:w="3960" w:type="dxa"/>
            <w:gridSpan w:val="9"/>
          </w:tcPr>
          <w:p w14:paraId="3CB487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ПРОЧИЕ САМОЛЕТЫ</w:t>
            </w:r>
          </w:p>
        </w:tc>
      </w:tr>
      <w:tr w:rsidR="00561F31" w:rsidRPr="00F90EAE" w14:paraId="7FD51B1F" w14:textId="77777777">
        <w:tc>
          <w:tcPr>
            <w:tcW w:w="3960" w:type="dxa"/>
          </w:tcPr>
          <w:p w14:paraId="1C21DA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Р-5, Р-3ет, ССС, Р-10</w:t>
            </w:r>
          </w:p>
        </w:tc>
        <w:tc>
          <w:tcPr>
            <w:tcW w:w="900" w:type="dxa"/>
          </w:tcPr>
          <w:p w14:paraId="59D43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481</w:t>
            </w:r>
          </w:p>
        </w:tc>
        <w:tc>
          <w:tcPr>
            <w:tcW w:w="990" w:type="dxa"/>
          </w:tcPr>
          <w:p w14:paraId="3CEB41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919" w:type="dxa"/>
          </w:tcPr>
          <w:p w14:paraId="28338C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269</w:t>
            </w:r>
          </w:p>
        </w:tc>
        <w:tc>
          <w:tcPr>
            <w:tcW w:w="1016" w:type="dxa"/>
            <w:gridSpan w:val="2"/>
          </w:tcPr>
          <w:p w14:paraId="5C9340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740" w:type="dxa"/>
          </w:tcPr>
          <w:p w14:paraId="181E5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831" w:type="dxa"/>
            <w:gridSpan w:val="2"/>
          </w:tcPr>
          <w:p w14:paraId="5E8A6F1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7ABC87B" w14:textId="77777777">
        <w:tc>
          <w:tcPr>
            <w:tcW w:w="3960" w:type="dxa"/>
          </w:tcPr>
          <w:p w14:paraId="2D7E7C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900" w:type="dxa"/>
          </w:tcPr>
          <w:p w14:paraId="688B9C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2060</w:t>
            </w:r>
          </w:p>
        </w:tc>
        <w:tc>
          <w:tcPr>
            <w:tcW w:w="990" w:type="dxa"/>
          </w:tcPr>
          <w:p w14:paraId="4EF796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w:t>
            </w:r>
          </w:p>
        </w:tc>
        <w:tc>
          <w:tcPr>
            <w:tcW w:w="919" w:type="dxa"/>
          </w:tcPr>
          <w:p w14:paraId="0B66E0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1038</w:t>
            </w:r>
          </w:p>
        </w:tc>
        <w:tc>
          <w:tcPr>
            <w:tcW w:w="1016" w:type="dxa"/>
            <w:gridSpan w:val="2"/>
          </w:tcPr>
          <w:p w14:paraId="04CC55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389</w:t>
            </w:r>
          </w:p>
        </w:tc>
        <w:tc>
          <w:tcPr>
            <w:tcW w:w="740" w:type="dxa"/>
          </w:tcPr>
          <w:p w14:paraId="2DFAB3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413</w:t>
            </w:r>
          </w:p>
        </w:tc>
        <w:tc>
          <w:tcPr>
            <w:tcW w:w="831" w:type="dxa"/>
            <w:gridSpan w:val="2"/>
          </w:tcPr>
          <w:p w14:paraId="05C8E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r>
      <w:tr w:rsidR="00561F31" w:rsidRPr="00F90EAE" w14:paraId="409AFE15" w14:textId="77777777">
        <w:tc>
          <w:tcPr>
            <w:tcW w:w="3960" w:type="dxa"/>
          </w:tcPr>
          <w:p w14:paraId="6436DA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Другие типы самолетов</w:t>
            </w:r>
          </w:p>
        </w:tc>
        <w:tc>
          <w:tcPr>
            <w:tcW w:w="900" w:type="dxa"/>
          </w:tcPr>
          <w:p w14:paraId="27661C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w:t>
            </w:r>
          </w:p>
        </w:tc>
        <w:tc>
          <w:tcPr>
            <w:tcW w:w="990" w:type="dxa"/>
          </w:tcPr>
          <w:p w14:paraId="13604E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w:t>
            </w:r>
          </w:p>
        </w:tc>
        <w:tc>
          <w:tcPr>
            <w:tcW w:w="919" w:type="dxa"/>
          </w:tcPr>
          <w:p w14:paraId="70AA32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152</w:t>
            </w:r>
          </w:p>
        </w:tc>
        <w:tc>
          <w:tcPr>
            <w:tcW w:w="1016" w:type="dxa"/>
            <w:gridSpan w:val="2"/>
          </w:tcPr>
          <w:p w14:paraId="4C5C6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740" w:type="dxa"/>
          </w:tcPr>
          <w:p w14:paraId="1017EF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831" w:type="dxa"/>
            <w:gridSpan w:val="2"/>
          </w:tcPr>
          <w:p w14:paraId="0151F7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50E28AB7" w14:textId="77777777">
        <w:tc>
          <w:tcPr>
            <w:tcW w:w="3960" w:type="dxa"/>
          </w:tcPr>
          <w:p w14:paraId="15124A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00" w:type="dxa"/>
          </w:tcPr>
          <w:p w14:paraId="79BAC1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2849</w:t>
            </w:r>
          </w:p>
        </w:tc>
        <w:tc>
          <w:tcPr>
            <w:tcW w:w="990" w:type="dxa"/>
          </w:tcPr>
          <w:p w14:paraId="0C975F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415</w:t>
            </w:r>
          </w:p>
        </w:tc>
        <w:tc>
          <w:tcPr>
            <w:tcW w:w="919" w:type="dxa"/>
          </w:tcPr>
          <w:p w14:paraId="262BF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1459</w:t>
            </w:r>
          </w:p>
        </w:tc>
        <w:tc>
          <w:tcPr>
            <w:tcW w:w="1016" w:type="dxa"/>
            <w:gridSpan w:val="2"/>
          </w:tcPr>
          <w:p w14:paraId="00A7CB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446</w:t>
            </w:r>
          </w:p>
        </w:tc>
        <w:tc>
          <w:tcPr>
            <w:tcW w:w="740" w:type="dxa"/>
          </w:tcPr>
          <w:p w14:paraId="403883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432</w:t>
            </w:r>
          </w:p>
        </w:tc>
        <w:tc>
          <w:tcPr>
            <w:tcW w:w="831" w:type="dxa"/>
            <w:gridSpan w:val="2"/>
          </w:tcPr>
          <w:p w14:paraId="53146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w:t>
            </w:r>
          </w:p>
        </w:tc>
      </w:tr>
      <w:tr w:rsidR="00561F31" w:rsidRPr="00F90EAE" w14:paraId="2B679DBF" w14:textId="77777777">
        <w:tc>
          <w:tcPr>
            <w:tcW w:w="3960" w:type="dxa"/>
            <w:tcBorders>
              <w:bottom w:val="single" w:sz="12" w:space="0" w:color="000000"/>
            </w:tcBorders>
          </w:tcPr>
          <w:p w14:paraId="1DF07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по ВВС:</w:t>
            </w:r>
          </w:p>
        </w:tc>
        <w:tc>
          <w:tcPr>
            <w:tcW w:w="900" w:type="dxa"/>
            <w:tcBorders>
              <w:bottom w:val="single" w:sz="12" w:space="0" w:color="000000"/>
            </w:tcBorders>
          </w:tcPr>
          <w:p w14:paraId="2CEFC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37165</w:t>
            </w:r>
          </w:p>
        </w:tc>
        <w:tc>
          <w:tcPr>
            <w:tcW w:w="990" w:type="dxa"/>
            <w:tcBorders>
              <w:bottom w:val="single" w:sz="12" w:space="0" w:color="000000"/>
            </w:tcBorders>
          </w:tcPr>
          <w:p w14:paraId="06651B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8023</w:t>
            </w:r>
          </w:p>
        </w:tc>
        <w:tc>
          <w:tcPr>
            <w:tcW w:w="919" w:type="dxa"/>
            <w:tcBorders>
              <w:bottom w:val="single" w:sz="12" w:space="0" w:color="000000"/>
            </w:tcBorders>
          </w:tcPr>
          <w:p w14:paraId="6FCEFA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8168</w:t>
            </w:r>
          </w:p>
        </w:tc>
        <w:tc>
          <w:tcPr>
            <w:tcW w:w="1016" w:type="dxa"/>
            <w:gridSpan w:val="2"/>
            <w:tcBorders>
              <w:bottom w:val="single" w:sz="12" w:space="0" w:color="000000"/>
            </w:tcBorders>
          </w:tcPr>
          <w:p w14:paraId="726D4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9543</w:t>
            </w:r>
          </w:p>
        </w:tc>
        <w:tc>
          <w:tcPr>
            <w:tcW w:w="740" w:type="dxa"/>
            <w:tcBorders>
              <w:bottom w:val="single" w:sz="12" w:space="0" w:color="000000"/>
            </w:tcBorders>
          </w:tcPr>
          <w:p w14:paraId="64C4D7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7861</w:t>
            </w:r>
          </w:p>
        </w:tc>
        <w:tc>
          <w:tcPr>
            <w:tcW w:w="831" w:type="dxa"/>
            <w:gridSpan w:val="2"/>
            <w:tcBorders>
              <w:bottom w:val="single" w:sz="12" w:space="0" w:color="000000"/>
            </w:tcBorders>
          </w:tcPr>
          <w:p w14:paraId="6E96D4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3570</w:t>
            </w:r>
          </w:p>
        </w:tc>
      </w:tr>
    </w:tbl>
    <w:p w14:paraId="411B750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Отчет Оперативного управления штаба ВВС КА, инв.№ 77, лл.1-91, отчет отдела учета самолетов и моторов Главного инженера ВВС, инв.№ 366, лл.1-98.</w:t>
      </w:r>
    </w:p>
    <w:p w14:paraId="5565D381"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{2} Потери истребителей, действовавших в качестве штурмовиков, не учтены в связи с отсутствием данных. Они показаны в третьем разделе таблицы, т.е. в потерях истребителей (11016). </w:t>
      </w:r>
    </w:p>
    <w:p w14:paraId="3E6FD1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в ВВС КА отечественных самолетов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532"/>
        <w:gridCol w:w="66"/>
        <w:gridCol w:w="360"/>
        <w:gridCol w:w="124"/>
        <w:gridCol w:w="550"/>
        <w:gridCol w:w="47"/>
        <w:gridCol w:w="360"/>
        <w:gridCol w:w="143"/>
        <w:gridCol w:w="550"/>
        <w:gridCol w:w="28"/>
        <w:gridCol w:w="450"/>
        <w:gridCol w:w="72"/>
        <w:gridCol w:w="550"/>
        <w:gridCol w:w="99"/>
        <w:gridCol w:w="451"/>
        <w:gridCol w:w="550"/>
        <w:gridCol w:w="171"/>
        <w:gridCol w:w="360"/>
        <w:gridCol w:w="19"/>
        <w:gridCol w:w="550"/>
        <w:gridCol w:w="152"/>
        <w:gridCol w:w="450"/>
        <w:gridCol w:w="58"/>
        <w:gridCol w:w="663"/>
      </w:tblGrid>
      <w:tr w:rsidR="00561F31" w:rsidRPr="00F90EAE" w14:paraId="4E941D2A" w14:textId="77777777" w:rsidTr="00665165">
        <w:tc>
          <w:tcPr>
            <w:tcW w:w="2598" w:type="dxa"/>
            <w:gridSpan w:val="2"/>
            <w:tcBorders>
              <w:top w:val="single" w:sz="12" w:space="0" w:color="000000"/>
            </w:tcBorders>
          </w:tcPr>
          <w:p w14:paraId="62CAF3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типов самолетов</w:t>
            </w:r>
          </w:p>
        </w:tc>
        <w:tc>
          <w:tcPr>
            <w:tcW w:w="360" w:type="dxa"/>
            <w:gridSpan w:val="22"/>
            <w:tcBorders>
              <w:top w:val="single" w:sz="12" w:space="0" w:color="000000"/>
            </w:tcBorders>
          </w:tcPr>
          <w:p w14:paraId="1EDAE5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самолетов по годам</w:t>
            </w:r>
          </w:p>
        </w:tc>
      </w:tr>
      <w:tr w:rsidR="00561F31" w:rsidRPr="00F90EAE" w14:paraId="143219AF" w14:textId="77777777" w:rsidTr="00665165">
        <w:tc>
          <w:tcPr>
            <w:tcW w:w="2598" w:type="dxa"/>
            <w:gridSpan w:val="2"/>
          </w:tcPr>
          <w:p w14:paraId="232FC4BA" w14:textId="77777777" w:rsidR="00665165" w:rsidRPr="00F90EAE" w:rsidRDefault="00665165" w:rsidP="00F90EAE">
            <w:pPr>
              <w:autoSpaceDE w:val="0"/>
              <w:autoSpaceDN w:val="0"/>
              <w:adjustRightInd w:val="0"/>
              <w:jc w:val="both"/>
              <w:rPr>
                <w:color w:val="000000" w:themeColor="text1"/>
                <w:sz w:val="16"/>
                <w:szCs w:val="16"/>
              </w:rPr>
            </w:pPr>
          </w:p>
        </w:tc>
        <w:tc>
          <w:tcPr>
            <w:tcW w:w="360" w:type="dxa"/>
            <w:gridSpan w:val="4"/>
          </w:tcPr>
          <w:p w14:paraId="7A9ADF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год</w:t>
            </w:r>
          </w:p>
        </w:tc>
        <w:tc>
          <w:tcPr>
            <w:tcW w:w="360" w:type="dxa"/>
            <w:gridSpan w:val="4"/>
          </w:tcPr>
          <w:p w14:paraId="22849E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год</w:t>
            </w:r>
          </w:p>
        </w:tc>
        <w:tc>
          <w:tcPr>
            <w:tcW w:w="450" w:type="dxa"/>
            <w:gridSpan w:val="4"/>
          </w:tcPr>
          <w:p w14:paraId="54C0C7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год</w:t>
            </w:r>
          </w:p>
        </w:tc>
        <w:tc>
          <w:tcPr>
            <w:tcW w:w="450" w:type="dxa"/>
            <w:gridSpan w:val="3"/>
          </w:tcPr>
          <w:p w14:paraId="02AE7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год</w:t>
            </w:r>
          </w:p>
        </w:tc>
        <w:tc>
          <w:tcPr>
            <w:tcW w:w="360" w:type="dxa"/>
            <w:gridSpan w:val="4"/>
          </w:tcPr>
          <w:p w14:paraId="7941D5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год</w:t>
            </w:r>
          </w:p>
        </w:tc>
        <w:tc>
          <w:tcPr>
            <w:tcW w:w="450" w:type="dxa"/>
            <w:gridSpan w:val="3"/>
          </w:tcPr>
          <w:p w14:paraId="6DB357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044256E9" w14:textId="77777777">
        <w:tc>
          <w:tcPr>
            <w:tcW w:w="2598" w:type="dxa"/>
            <w:gridSpan w:val="2"/>
          </w:tcPr>
          <w:p w14:paraId="61100C3D"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3FB26C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3"/>
          </w:tcPr>
          <w:p w14:paraId="3B0503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c>
          <w:tcPr>
            <w:tcW w:w="360" w:type="dxa"/>
          </w:tcPr>
          <w:p w14:paraId="4A5909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3"/>
          </w:tcPr>
          <w:p w14:paraId="54CBA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c>
          <w:tcPr>
            <w:tcW w:w="450" w:type="dxa"/>
          </w:tcPr>
          <w:p w14:paraId="22D8F2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3"/>
          </w:tcPr>
          <w:p w14:paraId="77D4E0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c>
          <w:tcPr>
            <w:tcW w:w="450" w:type="dxa"/>
          </w:tcPr>
          <w:p w14:paraId="3CB63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2"/>
          </w:tcPr>
          <w:p w14:paraId="35B61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c>
          <w:tcPr>
            <w:tcW w:w="360" w:type="dxa"/>
          </w:tcPr>
          <w:p w14:paraId="263AA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3"/>
          </w:tcPr>
          <w:p w14:paraId="3425C2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c>
          <w:tcPr>
            <w:tcW w:w="450" w:type="dxa"/>
          </w:tcPr>
          <w:p w14:paraId="279079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721" w:type="dxa"/>
            <w:gridSpan w:val="2"/>
          </w:tcPr>
          <w:p w14:paraId="6C8D4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поставки</w:t>
            </w:r>
          </w:p>
        </w:tc>
      </w:tr>
      <w:tr w:rsidR="00561F31" w:rsidRPr="00F90EAE" w14:paraId="060F7DD6" w14:textId="77777777" w:rsidTr="00665165">
        <w:tc>
          <w:tcPr>
            <w:tcW w:w="2598" w:type="dxa"/>
            <w:gridSpan w:val="24"/>
          </w:tcPr>
          <w:p w14:paraId="000CC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r>
      <w:tr w:rsidR="00561F31" w:rsidRPr="00F90EAE" w14:paraId="43680DBF" w14:textId="77777777">
        <w:tc>
          <w:tcPr>
            <w:tcW w:w="2598" w:type="dxa"/>
            <w:gridSpan w:val="2"/>
          </w:tcPr>
          <w:p w14:paraId="1B5B3A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w:t>
            </w:r>
          </w:p>
        </w:tc>
        <w:tc>
          <w:tcPr>
            <w:tcW w:w="360" w:type="dxa"/>
          </w:tcPr>
          <w:p w14:paraId="15F1A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721" w:type="dxa"/>
            <w:gridSpan w:val="3"/>
          </w:tcPr>
          <w:p w14:paraId="72216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w:t>
            </w:r>
          </w:p>
        </w:tc>
        <w:tc>
          <w:tcPr>
            <w:tcW w:w="360" w:type="dxa"/>
          </w:tcPr>
          <w:p w14:paraId="05864FC6"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0CAF15B5"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33E06BC4"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4392FBB8"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78CFA08D"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2"/>
          </w:tcPr>
          <w:p w14:paraId="504F31D7"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0937DF3F"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3F7C3B12"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1BF2EA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721" w:type="dxa"/>
            <w:gridSpan w:val="2"/>
          </w:tcPr>
          <w:p w14:paraId="5118E7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w:t>
            </w:r>
          </w:p>
        </w:tc>
      </w:tr>
      <w:tr w:rsidR="00561F31" w:rsidRPr="00F90EAE" w14:paraId="13480859" w14:textId="77777777">
        <w:tc>
          <w:tcPr>
            <w:tcW w:w="2598" w:type="dxa"/>
            <w:gridSpan w:val="2"/>
          </w:tcPr>
          <w:p w14:paraId="09E41E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Ар-2</w:t>
            </w:r>
          </w:p>
        </w:tc>
        <w:tc>
          <w:tcPr>
            <w:tcW w:w="360" w:type="dxa"/>
          </w:tcPr>
          <w:p w14:paraId="0F796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721" w:type="dxa"/>
            <w:gridSpan w:val="3"/>
          </w:tcPr>
          <w:p w14:paraId="4090D8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c>
          <w:tcPr>
            <w:tcW w:w="360" w:type="dxa"/>
          </w:tcPr>
          <w:p w14:paraId="0FDFC1D0"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161B12BF"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27AAD61F"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5FE52798"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752CE53B"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2"/>
          </w:tcPr>
          <w:p w14:paraId="566301AB"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2F43D311"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5804F3C3"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51086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721" w:type="dxa"/>
            <w:gridSpan w:val="2"/>
          </w:tcPr>
          <w:p w14:paraId="4BB25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r>
      <w:tr w:rsidR="00561F31" w:rsidRPr="00F90EAE" w14:paraId="7D1D18D7" w14:textId="77777777">
        <w:tc>
          <w:tcPr>
            <w:tcW w:w="2598" w:type="dxa"/>
            <w:gridSpan w:val="2"/>
          </w:tcPr>
          <w:p w14:paraId="4D750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Як-4</w:t>
            </w:r>
          </w:p>
        </w:tc>
        <w:tc>
          <w:tcPr>
            <w:tcW w:w="360" w:type="dxa"/>
          </w:tcPr>
          <w:p w14:paraId="1DB1DE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21" w:type="dxa"/>
            <w:gridSpan w:val="3"/>
          </w:tcPr>
          <w:p w14:paraId="4BA79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360" w:type="dxa"/>
          </w:tcPr>
          <w:p w14:paraId="77BBD7A5"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7C4CD211"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2A23E391"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3DDE0239"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090828AA"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2"/>
          </w:tcPr>
          <w:p w14:paraId="190CC113"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1957BC0A"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55D57FB5"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7A9125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721" w:type="dxa"/>
            <w:gridSpan w:val="2"/>
          </w:tcPr>
          <w:p w14:paraId="2D645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r>
      <w:tr w:rsidR="00561F31" w:rsidRPr="00F90EAE" w14:paraId="252289D7" w14:textId="77777777">
        <w:tc>
          <w:tcPr>
            <w:tcW w:w="2598" w:type="dxa"/>
            <w:gridSpan w:val="2"/>
          </w:tcPr>
          <w:p w14:paraId="604EF3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Су-2</w:t>
            </w:r>
          </w:p>
        </w:tc>
        <w:tc>
          <w:tcPr>
            <w:tcW w:w="360" w:type="dxa"/>
          </w:tcPr>
          <w:p w14:paraId="4FDBB3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1006</w:t>
            </w:r>
          </w:p>
        </w:tc>
        <w:tc>
          <w:tcPr>
            <w:tcW w:w="721" w:type="dxa"/>
            <w:gridSpan w:val="3"/>
          </w:tcPr>
          <w:p w14:paraId="3A718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753</w:t>
            </w:r>
          </w:p>
        </w:tc>
        <w:tc>
          <w:tcPr>
            <w:tcW w:w="360" w:type="dxa"/>
          </w:tcPr>
          <w:p w14:paraId="2FCB7D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721" w:type="dxa"/>
            <w:gridSpan w:val="3"/>
          </w:tcPr>
          <w:p w14:paraId="2C98C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450" w:type="dxa"/>
          </w:tcPr>
          <w:p w14:paraId="7BFD294D"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3A26764B"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7094F6E1"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2"/>
          </w:tcPr>
          <w:p w14:paraId="1DD01B90"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53BE26AC"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40DE79A3"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31ED4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1046</w:t>
            </w:r>
          </w:p>
        </w:tc>
        <w:tc>
          <w:tcPr>
            <w:tcW w:w="721" w:type="dxa"/>
            <w:gridSpan w:val="2"/>
          </w:tcPr>
          <w:p w14:paraId="7661E8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793</w:t>
            </w:r>
          </w:p>
        </w:tc>
      </w:tr>
      <w:tr w:rsidR="00561F31" w:rsidRPr="00F90EAE" w14:paraId="790E3D7F" w14:textId="77777777">
        <w:tc>
          <w:tcPr>
            <w:tcW w:w="2598" w:type="dxa"/>
            <w:gridSpan w:val="2"/>
          </w:tcPr>
          <w:p w14:paraId="390EC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360" w:type="dxa"/>
          </w:tcPr>
          <w:p w14:paraId="080B6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2194</w:t>
            </w:r>
          </w:p>
        </w:tc>
        <w:tc>
          <w:tcPr>
            <w:tcW w:w="721" w:type="dxa"/>
            <w:gridSpan w:val="3"/>
          </w:tcPr>
          <w:p w14:paraId="37D1FF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1671</w:t>
            </w:r>
          </w:p>
        </w:tc>
        <w:tc>
          <w:tcPr>
            <w:tcW w:w="360" w:type="dxa"/>
          </w:tcPr>
          <w:p w14:paraId="0E4626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2293</w:t>
            </w:r>
          </w:p>
        </w:tc>
        <w:tc>
          <w:tcPr>
            <w:tcW w:w="721" w:type="dxa"/>
            <w:gridSpan w:val="3"/>
          </w:tcPr>
          <w:p w14:paraId="344B9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2336</w:t>
            </w:r>
          </w:p>
        </w:tc>
        <w:tc>
          <w:tcPr>
            <w:tcW w:w="450" w:type="dxa"/>
          </w:tcPr>
          <w:p w14:paraId="52185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2291</w:t>
            </w:r>
          </w:p>
        </w:tc>
        <w:tc>
          <w:tcPr>
            <w:tcW w:w="721" w:type="dxa"/>
            <w:gridSpan w:val="3"/>
          </w:tcPr>
          <w:p w14:paraId="0B3D93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2311</w:t>
            </w:r>
          </w:p>
        </w:tc>
        <w:tc>
          <w:tcPr>
            <w:tcW w:w="450" w:type="dxa"/>
          </w:tcPr>
          <w:p w14:paraId="54622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2782</w:t>
            </w:r>
          </w:p>
        </w:tc>
        <w:tc>
          <w:tcPr>
            <w:tcW w:w="721" w:type="dxa"/>
            <w:gridSpan w:val="2"/>
          </w:tcPr>
          <w:p w14:paraId="53C602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2805</w:t>
            </w:r>
          </w:p>
        </w:tc>
        <w:tc>
          <w:tcPr>
            <w:tcW w:w="360" w:type="dxa"/>
          </w:tcPr>
          <w:p w14:paraId="6E4A51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c>
          <w:tcPr>
            <w:tcW w:w="721" w:type="dxa"/>
            <w:gridSpan w:val="3"/>
          </w:tcPr>
          <w:p w14:paraId="342CD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1208</w:t>
            </w:r>
          </w:p>
        </w:tc>
        <w:tc>
          <w:tcPr>
            <w:tcW w:w="450" w:type="dxa"/>
          </w:tcPr>
          <w:p w14:paraId="3702E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10720</w:t>
            </w:r>
          </w:p>
        </w:tc>
        <w:tc>
          <w:tcPr>
            <w:tcW w:w="721" w:type="dxa"/>
            <w:gridSpan w:val="2"/>
          </w:tcPr>
          <w:p w14:paraId="049591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10331</w:t>
            </w:r>
          </w:p>
        </w:tc>
      </w:tr>
      <w:tr w:rsidR="00561F31" w:rsidRPr="00F90EAE" w14:paraId="731DF7FC" w14:textId="77777777">
        <w:tc>
          <w:tcPr>
            <w:tcW w:w="2598" w:type="dxa"/>
            <w:gridSpan w:val="2"/>
          </w:tcPr>
          <w:p w14:paraId="325A1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Пе-3</w:t>
            </w:r>
          </w:p>
        </w:tc>
        <w:tc>
          <w:tcPr>
            <w:tcW w:w="360" w:type="dxa"/>
          </w:tcPr>
          <w:p w14:paraId="4685E6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721" w:type="dxa"/>
            <w:gridSpan w:val="3"/>
          </w:tcPr>
          <w:p w14:paraId="19EAE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360" w:type="dxa"/>
          </w:tcPr>
          <w:p w14:paraId="6348FE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721" w:type="dxa"/>
            <w:gridSpan w:val="3"/>
          </w:tcPr>
          <w:p w14:paraId="02653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450" w:type="dxa"/>
          </w:tcPr>
          <w:p w14:paraId="7F685015"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5FD52B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450" w:type="dxa"/>
          </w:tcPr>
          <w:p w14:paraId="0FF546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721" w:type="dxa"/>
            <w:gridSpan w:val="2"/>
          </w:tcPr>
          <w:p w14:paraId="4FABBF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360" w:type="dxa"/>
          </w:tcPr>
          <w:p w14:paraId="0AD52B4F"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2EEB317E"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0FD686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w:t>
            </w:r>
          </w:p>
        </w:tc>
        <w:tc>
          <w:tcPr>
            <w:tcW w:w="721" w:type="dxa"/>
            <w:gridSpan w:val="2"/>
          </w:tcPr>
          <w:p w14:paraId="33F90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397</w:t>
            </w:r>
          </w:p>
        </w:tc>
      </w:tr>
      <w:tr w:rsidR="00561F31" w:rsidRPr="00F90EAE" w14:paraId="68105BA7" w14:textId="77777777">
        <w:tc>
          <w:tcPr>
            <w:tcW w:w="2598" w:type="dxa"/>
            <w:gridSpan w:val="2"/>
          </w:tcPr>
          <w:p w14:paraId="5FBF69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w:t>
            </w:r>
          </w:p>
        </w:tc>
        <w:tc>
          <w:tcPr>
            <w:tcW w:w="360" w:type="dxa"/>
          </w:tcPr>
          <w:p w14:paraId="4D3B22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721" w:type="dxa"/>
            <w:gridSpan w:val="3"/>
          </w:tcPr>
          <w:p w14:paraId="70A4AE86"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78C83F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721" w:type="dxa"/>
            <w:gridSpan w:val="3"/>
          </w:tcPr>
          <w:p w14:paraId="3532E5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450" w:type="dxa"/>
          </w:tcPr>
          <w:p w14:paraId="7CA55F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721" w:type="dxa"/>
            <w:gridSpan w:val="3"/>
          </w:tcPr>
          <w:p w14:paraId="6F3E4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450" w:type="dxa"/>
          </w:tcPr>
          <w:p w14:paraId="440B8A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453</w:t>
            </w:r>
          </w:p>
        </w:tc>
        <w:tc>
          <w:tcPr>
            <w:tcW w:w="721" w:type="dxa"/>
            <w:gridSpan w:val="2"/>
          </w:tcPr>
          <w:p w14:paraId="09CC28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378</w:t>
            </w:r>
          </w:p>
        </w:tc>
        <w:tc>
          <w:tcPr>
            <w:tcW w:w="360" w:type="dxa"/>
          </w:tcPr>
          <w:p w14:paraId="78325A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w:t>
            </w:r>
          </w:p>
        </w:tc>
        <w:tc>
          <w:tcPr>
            <w:tcW w:w="721" w:type="dxa"/>
            <w:gridSpan w:val="3"/>
          </w:tcPr>
          <w:p w14:paraId="3ECD76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709</w:t>
            </w:r>
          </w:p>
        </w:tc>
        <w:tc>
          <w:tcPr>
            <w:tcW w:w="450" w:type="dxa"/>
          </w:tcPr>
          <w:p w14:paraId="6B510D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1479</w:t>
            </w:r>
          </w:p>
        </w:tc>
        <w:tc>
          <w:tcPr>
            <w:tcW w:w="721" w:type="dxa"/>
            <w:gridSpan w:val="2"/>
          </w:tcPr>
          <w:p w14:paraId="1F6E5D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1179</w:t>
            </w:r>
          </w:p>
        </w:tc>
      </w:tr>
      <w:tr w:rsidR="00561F31" w:rsidRPr="00F90EAE" w14:paraId="68A48A00" w14:textId="77777777">
        <w:tc>
          <w:tcPr>
            <w:tcW w:w="2598" w:type="dxa"/>
            <w:gridSpan w:val="2"/>
          </w:tcPr>
          <w:p w14:paraId="569916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w:t>
            </w:r>
          </w:p>
        </w:tc>
        <w:tc>
          <w:tcPr>
            <w:tcW w:w="360" w:type="dxa"/>
          </w:tcPr>
          <w:p w14:paraId="4A13F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721" w:type="dxa"/>
            <w:gridSpan w:val="3"/>
          </w:tcPr>
          <w:p w14:paraId="7BAD9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360" w:type="dxa"/>
          </w:tcPr>
          <w:p w14:paraId="4C8693FF"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61E8815D"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2FB7C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721" w:type="dxa"/>
            <w:gridSpan w:val="3"/>
          </w:tcPr>
          <w:p w14:paraId="37E40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450" w:type="dxa"/>
          </w:tcPr>
          <w:p w14:paraId="41F63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225</w:t>
            </w:r>
          </w:p>
        </w:tc>
        <w:tc>
          <w:tcPr>
            <w:tcW w:w="721" w:type="dxa"/>
            <w:gridSpan w:val="2"/>
          </w:tcPr>
          <w:p w14:paraId="1E5EFC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w:t>
            </w:r>
          </w:p>
        </w:tc>
        <w:tc>
          <w:tcPr>
            <w:tcW w:w="360" w:type="dxa"/>
          </w:tcPr>
          <w:p w14:paraId="3CF6A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c>
          <w:tcPr>
            <w:tcW w:w="721" w:type="dxa"/>
            <w:gridSpan w:val="3"/>
          </w:tcPr>
          <w:p w14:paraId="5DAEE7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w:t>
            </w:r>
          </w:p>
        </w:tc>
        <w:tc>
          <w:tcPr>
            <w:tcW w:w="450" w:type="dxa"/>
          </w:tcPr>
          <w:p w14:paraId="19F5C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635</w:t>
            </w:r>
          </w:p>
        </w:tc>
        <w:tc>
          <w:tcPr>
            <w:tcW w:w="721" w:type="dxa"/>
            <w:gridSpan w:val="2"/>
          </w:tcPr>
          <w:p w14:paraId="055D55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458</w:t>
            </w:r>
          </w:p>
        </w:tc>
      </w:tr>
      <w:tr w:rsidR="00561F31" w:rsidRPr="00F90EAE" w14:paraId="1601B93B" w14:textId="77777777">
        <w:tc>
          <w:tcPr>
            <w:tcW w:w="2598" w:type="dxa"/>
            <w:gridSpan w:val="2"/>
          </w:tcPr>
          <w:p w14:paraId="0B4EFE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360" w:type="dxa"/>
          </w:tcPr>
          <w:p w14:paraId="708D7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772</w:t>
            </w:r>
          </w:p>
        </w:tc>
        <w:tc>
          <w:tcPr>
            <w:tcW w:w="721" w:type="dxa"/>
            <w:gridSpan w:val="3"/>
          </w:tcPr>
          <w:p w14:paraId="7DA2BB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757</w:t>
            </w:r>
          </w:p>
        </w:tc>
        <w:tc>
          <w:tcPr>
            <w:tcW w:w="360" w:type="dxa"/>
          </w:tcPr>
          <w:p w14:paraId="670106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874</w:t>
            </w:r>
          </w:p>
        </w:tc>
        <w:tc>
          <w:tcPr>
            <w:tcW w:w="721" w:type="dxa"/>
            <w:gridSpan w:val="3"/>
          </w:tcPr>
          <w:p w14:paraId="2D6642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w:t>
            </w:r>
          </w:p>
        </w:tc>
        <w:tc>
          <w:tcPr>
            <w:tcW w:w="450" w:type="dxa"/>
          </w:tcPr>
          <w:p w14:paraId="470637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1511</w:t>
            </w:r>
          </w:p>
        </w:tc>
        <w:tc>
          <w:tcPr>
            <w:tcW w:w="721" w:type="dxa"/>
            <w:gridSpan w:val="3"/>
          </w:tcPr>
          <w:p w14:paraId="54829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1561</w:t>
            </w:r>
          </w:p>
        </w:tc>
        <w:tc>
          <w:tcPr>
            <w:tcW w:w="450" w:type="dxa"/>
          </w:tcPr>
          <w:p w14:paraId="2FE30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731</w:t>
            </w:r>
          </w:p>
        </w:tc>
        <w:tc>
          <w:tcPr>
            <w:tcW w:w="721" w:type="dxa"/>
            <w:gridSpan w:val="2"/>
          </w:tcPr>
          <w:p w14:paraId="32C4C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706</w:t>
            </w:r>
          </w:p>
        </w:tc>
        <w:tc>
          <w:tcPr>
            <w:tcW w:w="360" w:type="dxa"/>
          </w:tcPr>
          <w:p w14:paraId="41CF51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452</w:t>
            </w:r>
          </w:p>
        </w:tc>
        <w:tc>
          <w:tcPr>
            <w:tcW w:w="721" w:type="dxa"/>
            <w:gridSpan w:val="3"/>
          </w:tcPr>
          <w:p w14:paraId="49814E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484</w:t>
            </w:r>
          </w:p>
        </w:tc>
        <w:tc>
          <w:tcPr>
            <w:tcW w:w="450" w:type="dxa"/>
          </w:tcPr>
          <w:p w14:paraId="00A6E3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4340</w:t>
            </w:r>
          </w:p>
        </w:tc>
        <w:tc>
          <w:tcPr>
            <w:tcW w:w="721" w:type="dxa"/>
            <w:gridSpan w:val="2"/>
          </w:tcPr>
          <w:p w14:paraId="1D671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4361</w:t>
            </w:r>
          </w:p>
        </w:tc>
      </w:tr>
      <w:tr w:rsidR="00561F31" w:rsidRPr="00F90EAE" w14:paraId="6E583300" w14:textId="77777777">
        <w:tc>
          <w:tcPr>
            <w:tcW w:w="2598" w:type="dxa"/>
            <w:gridSpan w:val="2"/>
          </w:tcPr>
          <w:p w14:paraId="5B2BD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(ТБ-7)</w:t>
            </w:r>
          </w:p>
        </w:tc>
        <w:tc>
          <w:tcPr>
            <w:tcW w:w="360" w:type="dxa"/>
          </w:tcPr>
          <w:p w14:paraId="3CC7F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721" w:type="dxa"/>
            <w:gridSpan w:val="3"/>
          </w:tcPr>
          <w:p w14:paraId="5F4988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360" w:type="dxa"/>
          </w:tcPr>
          <w:p w14:paraId="2302F9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721" w:type="dxa"/>
            <w:gridSpan w:val="3"/>
          </w:tcPr>
          <w:p w14:paraId="443585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450" w:type="dxa"/>
          </w:tcPr>
          <w:p w14:paraId="544DD9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721" w:type="dxa"/>
            <w:gridSpan w:val="3"/>
          </w:tcPr>
          <w:p w14:paraId="49AB8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450" w:type="dxa"/>
          </w:tcPr>
          <w:p w14:paraId="5446F0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721" w:type="dxa"/>
            <w:gridSpan w:val="2"/>
          </w:tcPr>
          <w:p w14:paraId="408F84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60" w:type="dxa"/>
          </w:tcPr>
          <w:p w14:paraId="5CDC8D34"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1421F363"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7582DB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w:t>
            </w:r>
          </w:p>
        </w:tc>
        <w:tc>
          <w:tcPr>
            <w:tcW w:w="721" w:type="dxa"/>
            <w:gridSpan w:val="2"/>
          </w:tcPr>
          <w:p w14:paraId="38213E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w:t>
            </w:r>
          </w:p>
        </w:tc>
      </w:tr>
      <w:tr w:rsidR="00561F31" w:rsidRPr="00F90EAE" w14:paraId="6F080A8A" w14:textId="77777777">
        <w:tc>
          <w:tcPr>
            <w:tcW w:w="2598" w:type="dxa"/>
            <w:gridSpan w:val="2"/>
          </w:tcPr>
          <w:p w14:paraId="48A972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360" w:type="dxa"/>
          </w:tcPr>
          <w:p w14:paraId="27A3E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4591</w:t>
            </w:r>
          </w:p>
        </w:tc>
        <w:tc>
          <w:tcPr>
            <w:tcW w:w="721" w:type="dxa"/>
            <w:gridSpan w:val="3"/>
          </w:tcPr>
          <w:p w14:paraId="567BEC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3754</w:t>
            </w:r>
          </w:p>
        </w:tc>
        <w:tc>
          <w:tcPr>
            <w:tcW w:w="360" w:type="dxa"/>
          </w:tcPr>
          <w:p w14:paraId="6B24CC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3484</w:t>
            </w:r>
          </w:p>
        </w:tc>
        <w:tc>
          <w:tcPr>
            <w:tcW w:w="721" w:type="dxa"/>
            <w:gridSpan w:val="3"/>
          </w:tcPr>
          <w:p w14:paraId="7DB490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3508</w:t>
            </w:r>
          </w:p>
        </w:tc>
        <w:tc>
          <w:tcPr>
            <w:tcW w:w="450" w:type="dxa"/>
          </w:tcPr>
          <w:p w14:paraId="1324A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3868</w:t>
            </w:r>
          </w:p>
        </w:tc>
        <w:tc>
          <w:tcPr>
            <w:tcW w:w="721" w:type="dxa"/>
            <w:gridSpan w:val="3"/>
          </w:tcPr>
          <w:p w14:paraId="7FEB18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3919</w:t>
            </w:r>
          </w:p>
        </w:tc>
        <w:tc>
          <w:tcPr>
            <w:tcW w:w="450" w:type="dxa"/>
          </w:tcPr>
          <w:p w14:paraId="790648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4317</w:t>
            </w:r>
          </w:p>
        </w:tc>
        <w:tc>
          <w:tcPr>
            <w:tcW w:w="721" w:type="dxa"/>
            <w:gridSpan w:val="2"/>
          </w:tcPr>
          <w:p w14:paraId="01256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4058</w:t>
            </w:r>
          </w:p>
        </w:tc>
        <w:tc>
          <w:tcPr>
            <w:tcW w:w="360" w:type="dxa"/>
          </w:tcPr>
          <w:p w14:paraId="120F06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2849</w:t>
            </w:r>
          </w:p>
        </w:tc>
        <w:tc>
          <w:tcPr>
            <w:tcW w:w="721" w:type="dxa"/>
            <w:gridSpan w:val="3"/>
          </w:tcPr>
          <w:p w14:paraId="658854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2638</w:t>
            </w:r>
          </w:p>
        </w:tc>
        <w:tc>
          <w:tcPr>
            <w:tcW w:w="450" w:type="dxa"/>
          </w:tcPr>
          <w:p w14:paraId="3A1D0C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19109</w:t>
            </w:r>
          </w:p>
        </w:tc>
        <w:tc>
          <w:tcPr>
            <w:tcW w:w="721" w:type="dxa"/>
            <w:gridSpan w:val="2"/>
          </w:tcPr>
          <w:p w14:paraId="07875D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17877</w:t>
            </w:r>
          </w:p>
        </w:tc>
      </w:tr>
      <w:tr w:rsidR="00561F31" w:rsidRPr="00F90EAE" w14:paraId="04219B84" w14:textId="77777777" w:rsidTr="00665165">
        <w:tc>
          <w:tcPr>
            <w:tcW w:w="2598" w:type="dxa"/>
            <w:gridSpan w:val="24"/>
          </w:tcPr>
          <w:p w14:paraId="22893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c>
      </w:tr>
      <w:tr w:rsidR="00561F31" w:rsidRPr="00F90EAE" w14:paraId="2E192804" w14:textId="77777777">
        <w:tc>
          <w:tcPr>
            <w:tcW w:w="2598" w:type="dxa"/>
            <w:gridSpan w:val="2"/>
          </w:tcPr>
          <w:p w14:paraId="1857BA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360" w:type="dxa"/>
          </w:tcPr>
          <w:p w14:paraId="788DE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2318</w:t>
            </w:r>
          </w:p>
        </w:tc>
        <w:tc>
          <w:tcPr>
            <w:tcW w:w="721" w:type="dxa"/>
            <w:gridSpan w:val="3"/>
          </w:tcPr>
          <w:p w14:paraId="7797F0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1542</w:t>
            </w:r>
          </w:p>
        </w:tc>
        <w:tc>
          <w:tcPr>
            <w:tcW w:w="360" w:type="dxa"/>
          </w:tcPr>
          <w:p w14:paraId="1B0423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7974</w:t>
            </w:r>
          </w:p>
        </w:tc>
        <w:tc>
          <w:tcPr>
            <w:tcW w:w="721" w:type="dxa"/>
            <w:gridSpan w:val="3"/>
          </w:tcPr>
          <w:p w14:paraId="08DC4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8191</w:t>
            </w:r>
          </w:p>
        </w:tc>
        <w:tc>
          <w:tcPr>
            <w:tcW w:w="450" w:type="dxa"/>
          </w:tcPr>
          <w:p w14:paraId="05634E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10821</w:t>
            </w:r>
          </w:p>
        </w:tc>
        <w:tc>
          <w:tcPr>
            <w:tcW w:w="721" w:type="dxa"/>
            <w:gridSpan w:val="3"/>
          </w:tcPr>
          <w:p w14:paraId="4DB4B5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10773</w:t>
            </w:r>
          </w:p>
        </w:tc>
        <w:tc>
          <w:tcPr>
            <w:tcW w:w="450" w:type="dxa"/>
          </w:tcPr>
          <w:p w14:paraId="289E7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10282</w:t>
            </w:r>
          </w:p>
        </w:tc>
        <w:tc>
          <w:tcPr>
            <w:tcW w:w="721" w:type="dxa"/>
            <w:gridSpan w:val="2"/>
          </w:tcPr>
          <w:p w14:paraId="622DF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10497</w:t>
            </w:r>
          </w:p>
        </w:tc>
        <w:tc>
          <w:tcPr>
            <w:tcW w:w="360" w:type="dxa"/>
          </w:tcPr>
          <w:p w14:paraId="177D6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3579</w:t>
            </w:r>
          </w:p>
        </w:tc>
        <w:tc>
          <w:tcPr>
            <w:tcW w:w="721" w:type="dxa"/>
            <w:gridSpan w:val="3"/>
          </w:tcPr>
          <w:p w14:paraId="41AA09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3689</w:t>
            </w:r>
          </w:p>
        </w:tc>
        <w:tc>
          <w:tcPr>
            <w:tcW w:w="450" w:type="dxa"/>
          </w:tcPr>
          <w:p w14:paraId="3345D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34974</w:t>
            </w:r>
          </w:p>
        </w:tc>
        <w:tc>
          <w:tcPr>
            <w:tcW w:w="721" w:type="dxa"/>
            <w:gridSpan w:val="2"/>
          </w:tcPr>
          <w:p w14:paraId="1A6EF7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34692</w:t>
            </w:r>
          </w:p>
        </w:tc>
      </w:tr>
      <w:tr w:rsidR="00561F31" w:rsidRPr="00F90EAE" w14:paraId="6704D940" w14:textId="77777777">
        <w:tc>
          <w:tcPr>
            <w:tcW w:w="2598" w:type="dxa"/>
            <w:gridSpan w:val="2"/>
          </w:tcPr>
          <w:p w14:paraId="1620D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w:t>
            </w:r>
          </w:p>
        </w:tc>
        <w:tc>
          <w:tcPr>
            <w:tcW w:w="360" w:type="dxa"/>
          </w:tcPr>
          <w:p w14:paraId="05FFAFD7"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3D098FF7" w14:textId="77777777" w:rsidR="00665165" w:rsidRPr="00F90EAE" w:rsidRDefault="00665165" w:rsidP="00F90EAE">
            <w:pPr>
              <w:autoSpaceDE w:val="0"/>
              <w:autoSpaceDN w:val="0"/>
              <w:adjustRightInd w:val="0"/>
              <w:jc w:val="both"/>
              <w:rPr>
                <w:color w:val="000000" w:themeColor="text1"/>
                <w:sz w:val="16"/>
                <w:szCs w:val="16"/>
              </w:rPr>
            </w:pPr>
          </w:p>
        </w:tc>
        <w:tc>
          <w:tcPr>
            <w:tcW w:w="360" w:type="dxa"/>
          </w:tcPr>
          <w:p w14:paraId="32E4CDCC"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0EB7E780"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4038CB8D" w14:textId="77777777" w:rsidR="00665165" w:rsidRPr="00F90EAE" w:rsidRDefault="00665165" w:rsidP="00F90EAE">
            <w:pPr>
              <w:autoSpaceDE w:val="0"/>
              <w:autoSpaceDN w:val="0"/>
              <w:adjustRightInd w:val="0"/>
              <w:jc w:val="both"/>
              <w:rPr>
                <w:color w:val="000000" w:themeColor="text1"/>
                <w:sz w:val="16"/>
                <w:szCs w:val="16"/>
              </w:rPr>
            </w:pPr>
          </w:p>
        </w:tc>
        <w:tc>
          <w:tcPr>
            <w:tcW w:w="721" w:type="dxa"/>
            <w:gridSpan w:val="3"/>
          </w:tcPr>
          <w:p w14:paraId="5DE5C6F3" w14:textId="77777777" w:rsidR="00665165" w:rsidRPr="00F90EAE" w:rsidRDefault="00665165" w:rsidP="00F90EAE">
            <w:pPr>
              <w:autoSpaceDE w:val="0"/>
              <w:autoSpaceDN w:val="0"/>
              <w:adjustRightInd w:val="0"/>
              <w:jc w:val="both"/>
              <w:rPr>
                <w:color w:val="000000" w:themeColor="text1"/>
                <w:sz w:val="16"/>
                <w:szCs w:val="16"/>
              </w:rPr>
            </w:pPr>
          </w:p>
        </w:tc>
        <w:tc>
          <w:tcPr>
            <w:tcW w:w="450" w:type="dxa"/>
          </w:tcPr>
          <w:p w14:paraId="530E33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450</w:t>
            </w:r>
          </w:p>
        </w:tc>
        <w:tc>
          <w:tcPr>
            <w:tcW w:w="721" w:type="dxa"/>
            <w:gridSpan w:val="2"/>
          </w:tcPr>
          <w:p w14:paraId="62D098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w:t>
            </w:r>
          </w:p>
        </w:tc>
        <w:tc>
          <w:tcPr>
            <w:tcW w:w="360" w:type="dxa"/>
          </w:tcPr>
          <w:p w14:paraId="777C40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2358</w:t>
            </w:r>
          </w:p>
        </w:tc>
        <w:tc>
          <w:tcPr>
            <w:tcW w:w="721" w:type="dxa"/>
            <w:gridSpan w:val="3"/>
          </w:tcPr>
          <w:p w14:paraId="74CE59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2326</w:t>
            </w:r>
          </w:p>
        </w:tc>
        <w:tc>
          <w:tcPr>
            <w:tcW w:w="450" w:type="dxa"/>
          </w:tcPr>
          <w:p w14:paraId="2B41E9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2808</w:t>
            </w:r>
          </w:p>
        </w:tc>
        <w:tc>
          <w:tcPr>
            <w:tcW w:w="721" w:type="dxa"/>
            <w:gridSpan w:val="2"/>
          </w:tcPr>
          <w:p w14:paraId="1AB32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2548</w:t>
            </w:r>
          </w:p>
        </w:tc>
      </w:tr>
      <w:tr w:rsidR="00561F31" w:rsidRPr="00F90EAE" w14:paraId="3D34AF4A" w14:textId="77777777">
        <w:tc>
          <w:tcPr>
            <w:tcW w:w="2598" w:type="dxa"/>
            <w:gridSpan w:val="2"/>
          </w:tcPr>
          <w:p w14:paraId="400F67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360" w:type="dxa"/>
          </w:tcPr>
          <w:p w14:paraId="2A0E37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2318</w:t>
            </w:r>
          </w:p>
        </w:tc>
        <w:tc>
          <w:tcPr>
            <w:tcW w:w="721" w:type="dxa"/>
            <w:gridSpan w:val="3"/>
          </w:tcPr>
          <w:p w14:paraId="7E80B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1542</w:t>
            </w:r>
          </w:p>
        </w:tc>
        <w:tc>
          <w:tcPr>
            <w:tcW w:w="360" w:type="dxa"/>
          </w:tcPr>
          <w:p w14:paraId="2A558D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7974</w:t>
            </w:r>
          </w:p>
        </w:tc>
        <w:tc>
          <w:tcPr>
            <w:tcW w:w="721" w:type="dxa"/>
            <w:gridSpan w:val="3"/>
          </w:tcPr>
          <w:p w14:paraId="2F1A5C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8191</w:t>
            </w:r>
          </w:p>
        </w:tc>
        <w:tc>
          <w:tcPr>
            <w:tcW w:w="450" w:type="dxa"/>
          </w:tcPr>
          <w:p w14:paraId="216217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10821</w:t>
            </w:r>
          </w:p>
        </w:tc>
        <w:tc>
          <w:tcPr>
            <w:tcW w:w="721" w:type="dxa"/>
            <w:gridSpan w:val="3"/>
          </w:tcPr>
          <w:p w14:paraId="4B3D29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10773</w:t>
            </w:r>
          </w:p>
        </w:tc>
        <w:tc>
          <w:tcPr>
            <w:tcW w:w="450" w:type="dxa"/>
          </w:tcPr>
          <w:p w14:paraId="04789E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10732</w:t>
            </w:r>
          </w:p>
        </w:tc>
        <w:tc>
          <w:tcPr>
            <w:tcW w:w="721" w:type="dxa"/>
            <w:gridSpan w:val="2"/>
          </w:tcPr>
          <w:p w14:paraId="2255E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10719</w:t>
            </w:r>
          </w:p>
        </w:tc>
        <w:tc>
          <w:tcPr>
            <w:tcW w:w="360" w:type="dxa"/>
          </w:tcPr>
          <w:p w14:paraId="539829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5937</w:t>
            </w:r>
          </w:p>
        </w:tc>
        <w:tc>
          <w:tcPr>
            <w:tcW w:w="721" w:type="dxa"/>
            <w:gridSpan w:val="3"/>
          </w:tcPr>
          <w:p w14:paraId="0F82D4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6015</w:t>
            </w:r>
          </w:p>
        </w:tc>
        <w:tc>
          <w:tcPr>
            <w:tcW w:w="450" w:type="dxa"/>
          </w:tcPr>
          <w:p w14:paraId="29190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37782</w:t>
            </w:r>
          </w:p>
        </w:tc>
        <w:tc>
          <w:tcPr>
            <w:tcW w:w="721" w:type="dxa"/>
            <w:gridSpan w:val="2"/>
          </w:tcPr>
          <w:p w14:paraId="3FC680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37240</w:t>
            </w:r>
          </w:p>
        </w:tc>
      </w:tr>
      <w:tr w:rsidR="00561F31" w:rsidRPr="00F90EAE" w14:paraId="01EC05D6"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12" w:space="0" w:color="000000"/>
              <w:left w:val="single" w:sz="12" w:space="0" w:color="000000"/>
              <w:bottom w:val="single" w:sz="6" w:space="0" w:color="000000"/>
              <w:right w:val="single" w:sz="12" w:space="0" w:color="000000"/>
            </w:tcBorders>
          </w:tcPr>
          <w:p w14:paraId="29356E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r>
      <w:tr w:rsidR="00561F31" w:rsidRPr="00F90EAE" w14:paraId="57F45BE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6A890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И-153</w:t>
            </w:r>
          </w:p>
        </w:tc>
        <w:tc>
          <w:tcPr>
            <w:tcW w:w="550" w:type="dxa"/>
            <w:gridSpan w:val="3"/>
            <w:tcBorders>
              <w:top w:val="single" w:sz="6" w:space="0" w:color="000000"/>
              <w:left w:val="single" w:sz="6" w:space="0" w:color="000000"/>
              <w:bottom w:val="single" w:sz="6" w:space="0" w:color="000000"/>
              <w:right w:val="single" w:sz="6" w:space="0" w:color="000000"/>
            </w:tcBorders>
          </w:tcPr>
          <w:p w14:paraId="1BBD3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550" w:type="dxa"/>
            <w:tcBorders>
              <w:top w:val="single" w:sz="6" w:space="0" w:color="000000"/>
              <w:left w:val="single" w:sz="6" w:space="0" w:color="000000"/>
              <w:bottom w:val="single" w:sz="6" w:space="0" w:color="000000"/>
              <w:right w:val="single" w:sz="6" w:space="0" w:color="000000"/>
            </w:tcBorders>
          </w:tcPr>
          <w:p w14:paraId="45FA7E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550" w:type="dxa"/>
            <w:gridSpan w:val="3"/>
            <w:tcBorders>
              <w:top w:val="single" w:sz="6" w:space="0" w:color="000000"/>
              <w:left w:val="single" w:sz="6" w:space="0" w:color="000000"/>
              <w:bottom w:val="single" w:sz="6" w:space="0" w:color="000000"/>
              <w:right w:val="single" w:sz="6" w:space="0" w:color="000000"/>
            </w:tcBorders>
          </w:tcPr>
          <w:p w14:paraId="35C69395"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E1886C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DF87836"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286E42"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A1AAE20"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C96B46E"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949949"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BC93746"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15A4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660" w:type="dxa"/>
            <w:tcBorders>
              <w:top w:val="single" w:sz="6" w:space="0" w:color="000000"/>
              <w:left w:val="single" w:sz="6" w:space="0" w:color="000000"/>
              <w:bottom w:val="single" w:sz="6" w:space="0" w:color="000000"/>
              <w:right w:val="single" w:sz="12" w:space="0" w:color="000000"/>
            </w:tcBorders>
          </w:tcPr>
          <w:p w14:paraId="6ED40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r>
      <w:tr w:rsidR="00561F31" w:rsidRPr="00F90EAE" w14:paraId="559D55D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4771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И-16</w:t>
            </w:r>
          </w:p>
        </w:tc>
        <w:tc>
          <w:tcPr>
            <w:tcW w:w="550" w:type="dxa"/>
            <w:gridSpan w:val="3"/>
            <w:tcBorders>
              <w:top w:val="single" w:sz="6" w:space="0" w:color="000000"/>
              <w:left w:val="single" w:sz="6" w:space="0" w:color="000000"/>
              <w:bottom w:val="single" w:sz="6" w:space="0" w:color="000000"/>
              <w:right w:val="single" w:sz="6" w:space="0" w:color="000000"/>
            </w:tcBorders>
          </w:tcPr>
          <w:p w14:paraId="77A5DA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w:t>
            </w:r>
          </w:p>
        </w:tc>
        <w:tc>
          <w:tcPr>
            <w:tcW w:w="550" w:type="dxa"/>
            <w:tcBorders>
              <w:top w:val="single" w:sz="6" w:space="0" w:color="000000"/>
              <w:left w:val="single" w:sz="6" w:space="0" w:color="000000"/>
              <w:bottom w:val="single" w:sz="6" w:space="0" w:color="000000"/>
              <w:right w:val="single" w:sz="6" w:space="0" w:color="000000"/>
            </w:tcBorders>
          </w:tcPr>
          <w:p w14:paraId="30ACE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239</w:t>
            </w:r>
          </w:p>
        </w:tc>
        <w:tc>
          <w:tcPr>
            <w:tcW w:w="550" w:type="dxa"/>
            <w:gridSpan w:val="3"/>
            <w:tcBorders>
              <w:top w:val="single" w:sz="6" w:space="0" w:color="000000"/>
              <w:left w:val="single" w:sz="6" w:space="0" w:color="000000"/>
              <w:bottom w:val="single" w:sz="6" w:space="0" w:color="000000"/>
              <w:right w:val="single" w:sz="6" w:space="0" w:color="000000"/>
            </w:tcBorders>
          </w:tcPr>
          <w:p w14:paraId="756C525E"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7A0D6A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5058DF33"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C778961"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0DE56F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CBBC80E"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AF69802"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322CD0"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6CEE08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w:t>
            </w:r>
          </w:p>
        </w:tc>
        <w:tc>
          <w:tcPr>
            <w:tcW w:w="660" w:type="dxa"/>
            <w:tcBorders>
              <w:top w:val="single" w:sz="6" w:space="0" w:color="000000"/>
              <w:left w:val="single" w:sz="6" w:space="0" w:color="000000"/>
              <w:bottom w:val="single" w:sz="6" w:space="0" w:color="000000"/>
              <w:right w:val="single" w:sz="12" w:space="0" w:color="000000"/>
            </w:tcBorders>
          </w:tcPr>
          <w:p w14:paraId="02BE3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239</w:t>
            </w:r>
          </w:p>
        </w:tc>
      </w:tr>
      <w:tr w:rsidR="00561F31" w:rsidRPr="00F90EAE" w14:paraId="18EEF2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FF41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МиГ-3</w:t>
            </w:r>
          </w:p>
        </w:tc>
        <w:tc>
          <w:tcPr>
            <w:tcW w:w="550" w:type="dxa"/>
            <w:gridSpan w:val="3"/>
            <w:tcBorders>
              <w:top w:val="single" w:sz="6" w:space="0" w:color="000000"/>
              <w:left w:val="single" w:sz="6" w:space="0" w:color="000000"/>
              <w:bottom w:val="single" w:sz="6" w:space="0" w:color="000000"/>
              <w:right w:val="single" w:sz="6" w:space="0" w:color="000000"/>
            </w:tcBorders>
          </w:tcPr>
          <w:p w14:paraId="2306F4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3355</w:t>
            </w:r>
          </w:p>
        </w:tc>
        <w:tc>
          <w:tcPr>
            <w:tcW w:w="550" w:type="dxa"/>
            <w:tcBorders>
              <w:top w:val="single" w:sz="6" w:space="0" w:color="000000"/>
              <w:left w:val="single" w:sz="6" w:space="0" w:color="000000"/>
              <w:bottom w:val="single" w:sz="6" w:space="0" w:color="000000"/>
              <w:right w:val="single" w:sz="6" w:space="0" w:color="000000"/>
            </w:tcBorders>
          </w:tcPr>
          <w:p w14:paraId="5CD576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3100</w:t>
            </w:r>
          </w:p>
        </w:tc>
        <w:tc>
          <w:tcPr>
            <w:tcW w:w="550" w:type="dxa"/>
            <w:gridSpan w:val="3"/>
            <w:tcBorders>
              <w:top w:val="single" w:sz="6" w:space="0" w:color="000000"/>
              <w:left w:val="single" w:sz="6" w:space="0" w:color="000000"/>
              <w:bottom w:val="single" w:sz="6" w:space="0" w:color="000000"/>
              <w:right w:val="single" w:sz="6" w:space="0" w:color="000000"/>
            </w:tcBorders>
          </w:tcPr>
          <w:p w14:paraId="0429FD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550" w:type="dxa"/>
            <w:tcBorders>
              <w:top w:val="single" w:sz="6" w:space="0" w:color="000000"/>
              <w:left w:val="single" w:sz="6" w:space="0" w:color="000000"/>
              <w:bottom w:val="single" w:sz="6" w:space="0" w:color="000000"/>
              <w:right w:val="single" w:sz="6" w:space="0" w:color="000000"/>
            </w:tcBorders>
          </w:tcPr>
          <w:p w14:paraId="59E1FD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550" w:type="dxa"/>
            <w:gridSpan w:val="3"/>
            <w:tcBorders>
              <w:top w:val="single" w:sz="6" w:space="0" w:color="000000"/>
              <w:left w:val="single" w:sz="6" w:space="0" w:color="000000"/>
              <w:bottom w:val="single" w:sz="6" w:space="0" w:color="000000"/>
              <w:right w:val="single" w:sz="6" w:space="0" w:color="000000"/>
            </w:tcBorders>
          </w:tcPr>
          <w:p w14:paraId="4DB4443D"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7AAC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550" w:type="dxa"/>
            <w:gridSpan w:val="2"/>
            <w:tcBorders>
              <w:top w:val="single" w:sz="6" w:space="0" w:color="000000"/>
              <w:left w:val="single" w:sz="6" w:space="0" w:color="000000"/>
              <w:bottom w:val="single" w:sz="6" w:space="0" w:color="000000"/>
              <w:right w:val="single" w:sz="6" w:space="0" w:color="000000"/>
            </w:tcBorders>
          </w:tcPr>
          <w:p w14:paraId="0D3E9BD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5EE0FF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8E7C77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EDC9579"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F5F09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3370</w:t>
            </w:r>
          </w:p>
        </w:tc>
        <w:tc>
          <w:tcPr>
            <w:tcW w:w="660" w:type="dxa"/>
            <w:tcBorders>
              <w:top w:val="single" w:sz="6" w:space="0" w:color="000000"/>
              <w:left w:val="single" w:sz="6" w:space="0" w:color="000000"/>
              <w:bottom w:val="single" w:sz="6" w:space="0" w:color="000000"/>
              <w:right w:val="single" w:sz="12" w:space="0" w:color="000000"/>
            </w:tcBorders>
          </w:tcPr>
          <w:p w14:paraId="6C0F10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3154</w:t>
            </w:r>
          </w:p>
        </w:tc>
      </w:tr>
      <w:tr w:rsidR="00561F31" w:rsidRPr="00F90EAE" w14:paraId="3459BF3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1D988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w:t>
            </w:r>
          </w:p>
        </w:tc>
        <w:tc>
          <w:tcPr>
            <w:tcW w:w="550" w:type="dxa"/>
            <w:gridSpan w:val="3"/>
            <w:tcBorders>
              <w:top w:val="single" w:sz="6" w:space="0" w:color="000000"/>
              <w:left w:val="single" w:sz="6" w:space="0" w:color="000000"/>
              <w:bottom w:val="single" w:sz="6" w:space="0" w:color="000000"/>
              <w:right w:val="single" w:sz="6" w:space="0" w:color="000000"/>
            </w:tcBorders>
          </w:tcPr>
          <w:p w14:paraId="31637B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1666</w:t>
            </w:r>
          </w:p>
        </w:tc>
        <w:tc>
          <w:tcPr>
            <w:tcW w:w="550" w:type="dxa"/>
            <w:tcBorders>
              <w:top w:val="single" w:sz="6" w:space="0" w:color="000000"/>
              <w:left w:val="single" w:sz="6" w:space="0" w:color="000000"/>
              <w:bottom w:val="single" w:sz="6" w:space="0" w:color="000000"/>
              <w:right w:val="single" w:sz="6" w:space="0" w:color="000000"/>
            </w:tcBorders>
          </w:tcPr>
          <w:p w14:paraId="5080A8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1333</w:t>
            </w:r>
          </w:p>
        </w:tc>
        <w:tc>
          <w:tcPr>
            <w:tcW w:w="550" w:type="dxa"/>
            <w:gridSpan w:val="3"/>
            <w:tcBorders>
              <w:top w:val="single" w:sz="6" w:space="0" w:color="000000"/>
              <w:left w:val="single" w:sz="6" w:space="0" w:color="000000"/>
              <w:bottom w:val="single" w:sz="6" w:space="0" w:color="000000"/>
              <w:right w:val="single" w:sz="6" w:space="0" w:color="000000"/>
            </w:tcBorders>
          </w:tcPr>
          <w:p w14:paraId="72BED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3425</w:t>
            </w:r>
          </w:p>
        </w:tc>
        <w:tc>
          <w:tcPr>
            <w:tcW w:w="550" w:type="dxa"/>
            <w:tcBorders>
              <w:top w:val="single" w:sz="6" w:space="0" w:color="000000"/>
              <w:left w:val="single" w:sz="6" w:space="0" w:color="000000"/>
              <w:bottom w:val="single" w:sz="6" w:space="0" w:color="000000"/>
              <w:right w:val="single" w:sz="6" w:space="0" w:color="000000"/>
            </w:tcBorders>
          </w:tcPr>
          <w:p w14:paraId="1D83A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3468</w:t>
            </w:r>
          </w:p>
        </w:tc>
        <w:tc>
          <w:tcPr>
            <w:tcW w:w="550" w:type="dxa"/>
            <w:gridSpan w:val="3"/>
            <w:tcBorders>
              <w:top w:val="single" w:sz="6" w:space="0" w:color="000000"/>
              <w:left w:val="single" w:sz="6" w:space="0" w:color="000000"/>
              <w:bottom w:val="single" w:sz="6" w:space="0" w:color="000000"/>
              <w:right w:val="single" w:sz="6" w:space="0" w:color="000000"/>
            </w:tcBorders>
          </w:tcPr>
          <w:p w14:paraId="5DCB37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2535</w:t>
            </w:r>
          </w:p>
        </w:tc>
        <w:tc>
          <w:tcPr>
            <w:tcW w:w="550" w:type="dxa"/>
            <w:tcBorders>
              <w:top w:val="single" w:sz="6" w:space="0" w:color="000000"/>
              <w:left w:val="single" w:sz="6" w:space="0" w:color="000000"/>
              <w:bottom w:val="single" w:sz="6" w:space="0" w:color="000000"/>
              <w:right w:val="single" w:sz="6" w:space="0" w:color="000000"/>
            </w:tcBorders>
          </w:tcPr>
          <w:p w14:paraId="581769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2720</w:t>
            </w:r>
          </w:p>
        </w:tc>
        <w:tc>
          <w:tcPr>
            <w:tcW w:w="550" w:type="dxa"/>
            <w:gridSpan w:val="2"/>
            <w:tcBorders>
              <w:top w:val="single" w:sz="6" w:space="0" w:color="000000"/>
              <w:left w:val="single" w:sz="6" w:space="0" w:color="000000"/>
              <w:bottom w:val="single" w:sz="6" w:space="0" w:color="000000"/>
              <w:right w:val="single" w:sz="6" w:space="0" w:color="000000"/>
            </w:tcBorders>
          </w:tcPr>
          <w:p w14:paraId="15293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1040</w:t>
            </w:r>
          </w:p>
        </w:tc>
        <w:tc>
          <w:tcPr>
            <w:tcW w:w="550" w:type="dxa"/>
            <w:tcBorders>
              <w:top w:val="single" w:sz="6" w:space="0" w:color="000000"/>
              <w:left w:val="single" w:sz="6" w:space="0" w:color="000000"/>
              <w:bottom w:val="single" w:sz="6" w:space="0" w:color="000000"/>
              <w:right w:val="single" w:sz="6" w:space="0" w:color="000000"/>
            </w:tcBorders>
          </w:tcPr>
          <w:p w14:paraId="6A3101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1128</w:t>
            </w:r>
          </w:p>
        </w:tc>
        <w:tc>
          <w:tcPr>
            <w:tcW w:w="550" w:type="dxa"/>
            <w:gridSpan w:val="3"/>
            <w:tcBorders>
              <w:top w:val="single" w:sz="6" w:space="0" w:color="000000"/>
              <w:left w:val="single" w:sz="6" w:space="0" w:color="000000"/>
              <w:bottom w:val="single" w:sz="6" w:space="0" w:color="000000"/>
              <w:right w:val="single" w:sz="6" w:space="0" w:color="000000"/>
            </w:tcBorders>
          </w:tcPr>
          <w:p w14:paraId="75268B25"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2B4FFC7"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4C560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8666</w:t>
            </w:r>
          </w:p>
        </w:tc>
        <w:tc>
          <w:tcPr>
            <w:tcW w:w="660" w:type="dxa"/>
            <w:tcBorders>
              <w:top w:val="single" w:sz="6" w:space="0" w:color="000000"/>
              <w:left w:val="single" w:sz="6" w:space="0" w:color="000000"/>
              <w:bottom w:val="single" w:sz="6" w:space="0" w:color="000000"/>
              <w:right w:val="single" w:sz="12" w:space="0" w:color="000000"/>
            </w:tcBorders>
          </w:tcPr>
          <w:p w14:paraId="33147F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8649</w:t>
            </w:r>
          </w:p>
        </w:tc>
      </w:tr>
      <w:tr w:rsidR="00561F31" w:rsidRPr="00F90EAE" w14:paraId="43EEE54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20906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550" w:type="dxa"/>
            <w:gridSpan w:val="3"/>
            <w:tcBorders>
              <w:top w:val="single" w:sz="6" w:space="0" w:color="000000"/>
              <w:left w:val="single" w:sz="6" w:space="0" w:color="000000"/>
              <w:bottom w:val="single" w:sz="6" w:space="0" w:color="000000"/>
              <w:right w:val="single" w:sz="6" w:space="0" w:color="000000"/>
            </w:tcBorders>
          </w:tcPr>
          <w:p w14:paraId="5F43C510"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EBD1D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2DE6646"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906493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134CA1B"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3A64F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083F6A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2322</w:t>
            </w:r>
          </w:p>
        </w:tc>
        <w:tc>
          <w:tcPr>
            <w:tcW w:w="550" w:type="dxa"/>
            <w:tcBorders>
              <w:top w:val="single" w:sz="6" w:space="0" w:color="000000"/>
              <w:left w:val="single" w:sz="6" w:space="0" w:color="000000"/>
              <w:bottom w:val="single" w:sz="6" w:space="0" w:color="000000"/>
              <w:right w:val="single" w:sz="6" w:space="0" w:color="000000"/>
            </w:tcBorders>
          </w:tcPr>
          <w:p w14:paraId="03E7D7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2180</w:t>
            </w:r>
          </w:p>
        </w:tc>
        <w:tc>
          <w:tcPr>
            <w:tcW w:w="550" w:type="dxa"/>
            <w:gridSpan w:val="3"/>
            <w:tcBorders>
              <w:top w:val="single" w:sz="6" w:space="0" w:color="000000"/>
              <w:left w:val="single" w:sz="6" w:space="0" w:color="000000"/>
              <w:bottom w:val="single" w:sz="6" w:space="0" w:color="000000"/>
              <w:right w:val="single" w:sz="6" w:space="0" w:color="000000"/>
            </w:tcBorders>
          </w:tcPr>
          <w:p w14:paraId="7037A4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2423</w:t>
            </w:r>
          </w:p>
        </w:tc>
        <w:tc>
          <w:tcPr>
            <w:tcW w:w="550" w:type="dxa"/>
            <w:tcBorders>
              <w:top w:val="single" w:sz="6" w:space="0" w:color="000000"/>
              <w:left w:val="single" w:sz="6" w:space="0" w:color="000000"/>
              <w:bottom w:val="single" w:sz="6" w:space="0" w:color="000000"/>
              <w:right w:val="single" w:sz="6" w:space="0" w:color="000000"/>
            </w:tcBorders>
          </w:tcPr>
          <w:p w14:paraId="21BE2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2380</w:t>
            </w:r>
          </w:p>
        </w:tc>
        <w:tc>
          <w:tcPr>
            <w:tcW w:w="660" w:type="dxa"/>
            <w:gridSpan w:val="3"/>
            <w:tcBorders>
              <w:top w:val="single" w:sz="6" w:space="0" w:color="000000"/>
              <w:left w:val="single" w:sz="6" w:space="0" w:color="000000"/>
              <w:bottom w:val="single" w:sz="6" w:space="0" w:color="000000"/>
              <w:right w:val="single" w:sz="6" w:space="0" w:color="000000"/>
            </w:tcBorders>
          </w:tcPr>
          <w:p w14:paraId="17341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4745</w:t>
            </w:r>
          </w:p>
        </w:tc>
        <w:tc>
          <w:tcPr>
            <w:tcW w:w="660" w:type="dxa"/>
            <w:tcBorders>
              <w:top w:val="single" w:sz="6" w:space="0" w:color="000000"/>
              <w:left w:val="single" w:sz="6" w:space="0" w:color="000000"/>
              <w:bottom w:val="single" w:sz="6" w:space="0" w:color="000000"/>
              <w:right w:val="single" w:sz="12" w:space="0" w:color="000000"/>
            </w:tcBorders>
          </w:tcPr>
          <w:p w14:paraId="4376E9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4560</w:t>
            </w:r>
          </w:p>
        </w:tc>
      </w:tr>
      <w:tr w:rsidR="00561F31" w:rsidRPr="00F90EAE" w14:paraId="0BCCAC0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EDE38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Як-7б</w:t>
            </w:r>
          </w:p>
        </w:tc>
        <w:tc>
          <w:tcPr>
            <w:tcW w:w="550" w:type="dxa"/>
            <w:gridSpan w:val="3"/>
            <w:tcBorders>
              <w:top w:val="single" w:sz="6" w:space="0" w:color="000000"/>
              <w:left w:val="single" w:sz="6" w:space="0" w:color="000000"/>
              <w:bottom w:val="single" w:sz="6" w:space="0" w:color="000000"/>
              <w:right w:val="single" w:sz="6" w:space="0" w:color="000000"/>
            </w:tcBorders>
          </w:tcPr>
          <w:p w14:paraId="6E2EF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550" w:type="dxa"/>
            <w:tcBorders>
              <w:top w:val="single" w:sz="6" w:space="0" w:color="000000"/>
              <w:left w:val="single" w:sz="6" w:space="0" w:color="000000"/>
              <w:bottom w:val="single" w:sz="6" w:space="0" w:color="000000"/>
              <w:right w:val="single" w:sz="6" w:space="0" w:color="000000"/>
            </w:tcBorders>
          </w:tcPr>
          <w:p w14:paraId="1B41CA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550" w:type="dxa"/>
            <w:gridSpan w:val="3"/>
            <w:tcBorders>
              <w:top w:val="single" w:sz="6" w:space="0" w:color="000000"/>
              <w:left w:val="single" w:sz="6" w:space="0" w:color="000000"/>
              <w:bottom w:val="single" w:sz="6" w:space="0" w:color="000000"/>
              <w:right w:val="single" w:sz="6" w:space="0" w:color="000000"/>
            </w:tcBorders>
          </w:tcPr>
          <w:p w14:paraId="45F9C5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2131</w:t>
            </w:r>
          </w:p>
        </w:tc>
        <w:tc>
          <w:tcPr>
            <w:tcW w:w="550" w:type="dxa"/>
            <w:tcBorders>
              <w:top w:val="single" w:sz="6" w:space="0" w:color="000000"/>
              <w:left w:val="single" w:sz="6" w:space="0" w:color="000000"/>
              <w:bottom w:val="single" w:sz="6" w:space="0" w:color="000000"/>
              <w:right w:val="single" w:sz="6" w:space="0" w:color="000000"/>
            </w:tcBorders>
          </w:tcPr>
          <w:p w14:paraId="1A1CC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2203</w:t>
            </w:r>
          </w:p>
        </w:tc>
        <w:tc>
          <w:tcPr>
            <w:tcW w:w="550" w:type="dxa"/>
            <w:gridSpan w:val="3"/>
            <w:tcBorders>
              <w:top w:val="single" w:sz="6" w:space="0" w:color="000000"/>
              <w:left w:val="single" w:sz="6" w:space="0" w:color="000000"/>
              <w:bottom w:val="single" w:sz="6" w:space="0" w:color="000000"/>
              <w:right w:val="single" w:sz="6" w:space="0" w:color="000000"/>
            </w:tcBorders>
          </w:tcPr>
          <w:p w14:paraId="5D45CB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2934</w:t>
            </w:r>
          </w:p>
        </w:tc>
        <w:tc>
          <w:tcPr>
            <w:tcW w:w="550" w:type="dxa"/>
            <w:tcBorders>
              <w:top w:val="single" w:sz="6" w:space="0" w:color="000000"/>
              <w:left w:val="single" w:sz="6" w:space="0" w:color="000000"/>
              <w:bottom w:val="single" w:sz="6" w:space="0" w:color="000000"/>
              <w:right w:val="single" w:sz="6" w:space="0" w:color="000000"/>
            </w:tcBorders>
          </w:tcPr>
          <w:p w14:paraId="598E23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2972</w:t>
            </w:r>
          </w:p>
        </w:tc>
        <w:tc>
          <w:tcPr>
            <w:tcW w:w="550" w:type="dxa"/>
            <w:gridSpan w:val="2"/>
            <w:tcBorders>
              <w:top w:val="single" w:sz="6" w:space="0" w:color="000000"/>
              <w:left w:val="single" w:sz="6" w:space="0" w:color="000000"/>
              <w:bottom w:val="single" w:sz="6" w:space="0" w:color="000000"/>
              <w:right w:val="single" w:sz="6" w:space="0" w:color="000000"/>
            </w:tcBorders>
          </w:tcPr>
          <w:p w14:paraId="3CE94B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w:t>
            </w:r>
          </w:p>
        </w:tc>
        <w:tc>
          <w:tcPr>
            <w:tcW w:w="550" w:type="dxa"/>
            <w:tcBorders>
              <w:top w:val="single" w:sz="6" w:space="0" w:color="000000"/>
              <w:left w:val="single" w:sz="6" w:space="0" w:color="000000"/>
              <w:bottom w:val="single" w:sz="6" w:space="0" w:color="000000"/>
              <w:right w:val="single" w:sz="6" w:space="0" w:color="000000"/>
            </w:tcBorders>
          </w:tcPr>
          <w:p w14:paraId="5D040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465</w:t>
            </w:r>
          </w:p>
        </w:tc>
        <w:tc>
          <w:tcPr>
            <w:tcW w:w="550" w:type="dxa"/>
            <w:gridSpan w:val="3"/>
            <w:tcBorders>
              <w:top w:val="single" w:sz="6" w:space="0" w:color="000000"/>
              <w:left w:val="single" w:sz="6" w:space="0" w:color="000000"/>
              <w:bottom w:val="single" w:sz="6" w:space="0" w:color="000000"/>
              <w:right w:val="single" w:sz="6" w:space="0" w:color="000000"/>
            </w:tcBorders>
          </w:tcPr>
          <w:p w14:paraId="7DE24950"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237274"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3EAB7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5428</w:t>
            </w:r>
          </w:p>
        </w:tc>
        <w:tc>
          <w:tcPr>
            <w:tcW w:w="660" w:type="dxa"/>
            <w:tcBorders>
              <w:top w:val="single" w:sz="6" w:space="0" w:color="000000"/>
              <w:left w:val="single" w:sz="6" w:space="0" w:color="000000"/>
              <w:bottom w:val="single" w:sz="6" w:space="0" w:color="000000"/>
              <w:right w:val="single" w:sz="12" w:space="0" w:color="000000"/>
            </w:tcBorders>
          </w:tcPr>
          <w:p w14:paraId="5E94C1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5661</w:t>
            </w:r>
          </w:p>
        </w:tc>
      </w:tr>
      <w:tr w:rsidR="00561F31" w:rsidRPr="00F90EAE" w14:paraId="11D069B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5EFEB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w:t>
            </w:r>
          </w:p>
        </w:tc>
        <w:tc>
          <w:tcPr>
            <w:tcW w:w="550" w:type="dxa"/>
            <w:gridSpan w:val="3"/>
            <w:tcBorders>
              <w:top w:val="single" w:sz="6" w:space="0" w:color="000000"/>
              <w:left w:val="single" w:sz="6" w:space="0" w:color="000000"/>
              <w:bottom w:val="single" w:sz="6" w:space="0" w:color="000000"/>
              <w:right w:val="single" w:sz="6" w:space="0" w:color="000000"/>
            </w:tcBorders>
          </w:tcPr>
          <w:p w14:paraId="2020A8E7"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FFC77AB"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8795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550" w:type="dxa"/>
            <w:tcBorders>
              <w:top w:val="single" w:sz="6" w:space="0" w:color="000000"/>
              <w:left w:val="single" w:sz="6" w:space="0" w:color="000000"/>
              <w:bottom w:val="single" w:sz="6" w:space="0" w:color="000000"/>
              <w:right w:val="single" w:sz="6" w:space="0" w:color="000000"/>
            </w:tcBorders>
          </w:tcPr>
          <w:p w14:paraId="73706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550" w:type="dxa"/>
            <w:gridSpan w:val="3"/>
            <w:tcBorders>
              <w:top w:val="single" w:sz="6" w:space="0" w:color="000000"/>
              <w:left w:val="single" w:sz="6" w:space="0" w:color="000000"/>
              <w:bottom w:val="single" w:sz="6" w:space="0" w:color="000000"/>
              <w:right w:val="single" w:sz="6" w:space="0" w:color="000000"/>
            </w:tcBorders>
          </w:tcPr>
          <w:p w14:paraId="3A9F7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2646</w:t>
            </w:r>
          </w:p>
        </w:tc>
        <w:tc>
          <w:tcPr>
            <w:tcW w:w="550" w:type="dxa"/>
            <w:tcBorders>
              <w:top w:val="single" w:sz="6" w:space="0" w:color="000000"/>
              <w:left w:val="single" w:sz="6" w:space="0" w:color="000000"/>
              <w:bottom w:val="single" w:sz="6" w:space="0" w:color="000000"/>
              <w:right w:val="single" w:sz="6" w:space="0" w:color="000000"/>
            </w:tcBorders>
          </w:tcPr>
          <w:p w14:paraId="1244C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2491</w:t>
            </w:r>
          </w:p>
        </w:tc>
        <w:tc>
          <w:tcPr>
            <w:tcW w:w="550" w:type="dxa"/>
            <w:gridSpan w:val="2"/>
            <w:tcBorders>
              <w:top w:val="single" w:sz="6" w:space="0" w:color="000000"/>
              <w:left w:val="single" w:sz="6" w:space="0" w:color="000000"/>
              <w:bottom w:val="single" w:sz="6" w:space="0" w:color="000000"/>
              <w:right w:val="single" w:sz="6" w:space="0" w:color="000000"/>
            </w:tcBorders>
          </w:tcPr>
          <w:p w14:paraId="74A879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7714</w:t>
            </w:r>
          </w:p>
        </w:tc>
        <w:tc>
          <w:tcPr>
            <w:tcW w:w="550" w:type="dxa"/>
            <w:tcBorders>
              <w:top w:val="single" w:sz="6" w:space="0" w:color="000000"/>
              <w:left w:val="single" w:sz="6" w:space="0" w:color="000000"/>
              <w:bottom w:val="single" w:sz="6" w:space="0" w:color="000000"/>
              <w:right w:val="single" w:sz="6" w:space="0" w:color="000000"/>
            </w:tcBorders>
          </w:tcPr>
          <w:p w14:paraId="7E5211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7831</w:t>
            </w:r>
          </w:p>
        </w:tc>
        <w:tc>
          <w:tcPr>
            <w:tcW w:w="550" w:type="dxa"/>
            <w:gridSpan w:val="3"/>
            <w:tcBorders>
              <w:top w:val="single" w:sz="6" w:space="0" w:color="000000"/>
              <w:left w:val="single" w:sz="6" w:space="0" w:color="000000"/>
              <w:bottom w:val="single" w:sz="6" w:space="0" w:color="000000"/>
              <w:right w:val="single" w:sz="6" w:space="0" w:color="000000"/>
            </w:tcBorders>
          </w:tcPr>
          <w:p w14:paraId="2D7692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4699</w:t>
            </w:r>
          </w:p>
        </w:tc>
        <w:tc>
          <w:tcPr>
            <w:tcW w:w="550" w:type="dxa"/>
            <w:tcBorders>
              <w:top w:val="single" w:sz="6" w:space="0" w:color="000000"/>
              <w:left w:val="single" w:sz="6" w:space="0" w:color="000000"/>
              <w:bottom w:val="single" w:sz="6" w:space="0" w:color="000000"/>
              <w:right w:val="single" w:sz="6" w:space="0" w:color="000000"/>
            </w:tcBorders>
          </w:tcPr>
          <w:p w14:paraId="38E6BB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4744</w:t>
            </w:r>
          </w:p>
        </w:tc>
        <w:tc>
          <w:tcPr>
            <w:tcW w:w="660" w:type="dxa"/>
            <w:gridSpan w:val="3"/>
            <w:tcBorders>
              <w:top w:val="single" w:sz="6" w:space="0" w:color="000000"/>
              <w:left w:val="single" w:sz="6" w:space="0" w:color="000000"/>
              <w:bottom w:val="single" w:sz="6" w:space="0" w:color="000000"/>
              <w:right w:val="single" w:sz="6" w:space="0" w:color="000000"/>
            </w:tcBorders>
          </w:tcPr>
          <w:p w14:paraId="06A8E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15309</w:t>
            </w:r>
          </w:p>
        </w:tc>
        <w:tc>
          <w:tcPr>
            <w:tcW w:w="660" w:type="dxa"/>
            <w:tcBorders>
              <w:top w:val="single" w:sz="6" w:space="0" w:color="000000"/>
              <w:left w:val="single" w:sz="6" w:space="0" w:color="000000"/>
              <w:bottom w:val="single" w:sz="6" w:space="0" w:color="000000"/>
              <w:right w:val="single" w:sz="12" w:space="0" w:color="000000"/>
            </w:tcBorders>
          </w:tcPr>
          <w:p w14:paraId="199204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15125</w:t>
            </w:r>
          </w:p>
        </w:tc>
      </w:tr>
      <w:tr w:rsidR="00561F31" w:rsidRPr="00F90EAE" w14:paraId="51DD94A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73B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ЛаГГ-3</w:t>
            </w:r>
          </w:p>
        </w:tc>
        <w:tc>
          <w:tcPr>
            <w:tcW w:w="550" w:type="dxa"/>
            <w:gridSpan w:val="3"/>
            <w:tcBorders>
              <w:top w:val="single" w:sz="6" w:space="0" w:color="000000"/>
              <w:left w:val="single" w:sz="6" w:space="0" w:color="000000"/>
              <w:bottom w:val="single" w:sz="6" w:space="0" w:color="000000"/>
              <w:right w:val="single" w:sz="6" w:space="0" w:color="000000"/>
            </w:tcBorders>
          </w:tcPr>
          <w:p w14:paraId="094D71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3149</w:t>
            </w:r>
          </w:p>
        </w:tc>
        <w:tc>
          <w:tcPr>
            <w:tcW w:w="550" w:type="dxa"/>
            <w:tcBorders>
              <w:top w:val="single" w:sz="6" w:space="0" w:color="000000"/>
              <w:left w:val="single" w:sz="6" w:space="0" w:color="000000"/>
              <w:bottom w:val="single" w:sz="6" w:space="0" w:color="000000"/>
              <w:right w:val="single" w:sz="6" w:space="0" w:color="000000"/>
            </w:tcBorders>
          </w:tcPr>
          <w:p w14:paraId="7AF8CC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2463</w:t>
            </w:r>
          </w:p>
        </w:tc>
        <w:tc>
          <w:tcPr>
            <w:tcW w:w="550" w:type="dxa"/>
            <w:gridSpan w:val="3"/>
            <w:tcBorders>
              <w:top w:val="single" w:sz="6" w:space="0" w:color="000000"/>
              <w:left w:val="single" w:sz="6" w:space="0" w:color="000000"/>
              <w:bottom w:val="single" w:sz="6" w:space="0" w:color="000000"/>
              <w:right w:val="single" w:sz="6" w:space="0" w:color="000000"/>
            </w:tcBorders>
          </w:tcPr>
          <w:p w14:paraId="35D8D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2819</w:t>
            </w:r>
          </w:p>
        </w:tc>
        <w:tc>
          <w:tcPr>
            <w:tcW w:w="550" w:type="dxa"/>
            <w:tcBorders>
              <w:top w:val="single" w:sz="6" w:space="0" w:color="000000"/>
              <w:left w:val="single" w:sz="6" w:space="0" w:color="000000"/>
              <w:bottom w:val="single" w:sz="6" w:space="0" w:color="000000"/>
              <w:right w:val="single" w:sz="6" w:space="0" w:color="000000"/>
            </w:tcBorders>
          </w:tcPr>
          <w:p w14:paraId="5BA926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2736</w:t>
            </w:r>
          </w:p>
        </w:tc>
        <w:tc>
          <w:tcPr>
            <w:tcW w:w="550" w:type="dxa"/>
            <w:gridSpan w:val="3"/>
            <w:tcBorders>
              <w:top w:val="single" w:sz="6" w:space="0" w:color="000000"/>
              <w:left w:val="single" w:sz="6" w:space="0" w:color="000000"/>
              <w:bottom w:val="single" w:sz="6" w:space="0" w:color="000000"/>
              <w:right w:val="single" w:sz="6" w:space="0" w:color="000000"/>
            </w:tcBorders>
          </w:tcPr>
          <w:p w14:paraId="03358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1111</w:t>
            </w:r>
          </w:p>
        </w:tc>
        <w:tc>
          <w:tcPr>
            <w:tcW w:w="550" w:type="dxa"/>
            <w:tcBorders>
              <w:top w:val="single" w:sz="6" w:space="0" w:color="000000"/>
              <w:left w:val="single" w:sz="6" w:space="0" w:color="000000"/>
              <w:bottom w:val="single" w:sz="6" w:space="0" w:color="000000"/>
              <w:right w:val="single" w:sz="6" w:space="0" w:color="000000"/>
            </w:tcBorders>
          </w:tcPr>
          <w:p w14:paraId="36D80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w:t>
            </w:r>
          </w:p>
        </w:tc>
        <w:tc>
          <w:tcPr>
            <w:tcW w:w="550" w:type="dxa"/>
            <w:gridSpan w:val="2"/>
            <w:tcBorders>
              <w:top w:val="single" w:sz="6" w:space="0" w:color="000000"/>
              <w:left w:val="single" w:sz="6" w:space="0" w:color="000000"/>
              <w:bottom w:val="single" w:sz="6" w:space="0" w:color="000000"/>
              <w:right w:val="single" w:sz="6" w:space="0" w:color="000000"/>
            </w:tcBorders>
          </w:tcPr>
          <w:p w14:paraId="181F6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w:t>
            </w:r>
          </w:p>
        </w:tc>
        <w:tc>
          <w:tcPr>
            <w:tcW w:w="550" w:type="dxa"/>
            <w:tcBorders>
              <w:top w:val="single" w:sz="6" w:space="0" w:color="000000"/>
              <w:left w:val="single" w:sz="6" w:space="0" w:color="000000"/>
              <w:bottom w:val="single" w:sz="6" w:space="0" w:color="000000"/>
              <w:right w:val="single" w:sz="6" w:space="0" w:color="000000"/>
            </w:tcBorders>
          </w:tcPr>
          <w:p w14:paraId="07EF12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229</w:t>
            </w:r>
          </w:p>
        </w:tc>
        <w:tc>
          <w:tcPr>
            <w:tcW w:w="550" w:type="dxa"/>
            <w:gridSpan w:val="3"/>
            <w:tcBorders>
              <w:top w:val="single" w:sz="6" w:space="0" w:color="000000"/>
              <w:left w:val="single" w:sz="6" w:space="0" w:color="000000"/>
              <w:bottom w:val="single" w:sz="6" w:space="0" w:color="000000"/>
              <w:right w:val="single" w:sz="6" w:space="0" w:color="000000"/>
            </w:tcBorders>
          </w:tcPr>
          <w:p w14:paraId="799FDBE3"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4C38177"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5B4A58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7294</w:t>
            </w:r>
          </w:p>
        </w:tc>
        <w:tc>
          <w:tcPr>
            <w:tcW w:w="660" w:type="dxa"/>
            <w:tcBorders>
              <w:top w:val="single" w:sz="6" w:space="0" w:color="000000"/>
              <w:left w:val="single" w:sz="6" w:space="0" w:color="000000"/>
              <w:bottom w:val="single" w:sz="6" w:space="0" w:color="000000"/>
              <w:right w:val="single" w:sz="12" w:space="0" w:color="000000"/>
            </w:tcBorders>
          </w:tcPr>
          <w:p w14:paraId="4E273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6493</w:t>
            </w:r>
          </w:p>
        </w:tc>
      </w:tr>
      <w:tr w:rsidR="00561F31" w:rsidRPr="00F90EAE" w14:paraId="07FE865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C9D3B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Ла-5</w:t>
            </w:r>
          </w:p>
        </w:tc>
        <w:tc>
          <w:tcPr>
            <w:tcW w:w="550" w:type="dxa"/>
            <w:gridSpan w:val="3"/>
            <w:tcBorders>
              <w:top w:val="single" w:sz="6" w:space="0" w:color="000000"/>
              <w:left w:val="single" w:sz="6" w:space="0" w:color="000000"/>
              <w:bottom w:val="single" w:sz="6" w:space="0" w:color="000000"/>
              <w:right w:val="single" w:sz="6" w:space="0" w:color="000000"/>
            </w:tcBorders>
          </w:tcPr>
          <w:p w14:paraId="7705BC0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0BFE6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12BEB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1184</w:t>
            </w:r>
          </w:p>
        </w:tc>
        <w:tc>
          <w:tcPr>
            <w:tcW w:w="550" w:type="dxa"/>
            <w:tcBorders>
              <w:top w:val="single" w:sz="6" w:space="0" w:color="000000"/>
              <w:left w:val="single" w:sz="6" w:space="0" w:color="000000"/>
              <w:bottom w:val="single" w:sz="6" w:space="0" w:color="000000"/>
              <w:right w:val="single" w:sz="6" w:space="0" w:color="000000"/>
            </w:tcBorders>
          </w:tcPr>
          <w:p w14:paraId="5CED89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1129</w:t>
            </w:r>
          </w:p>
        </w:tc>
        <w:tc>
          <w:tcPr>
            <w:tcW w:w="550" w:type="dxa"/>
            <w:gridSpan w:val="3"/>
            <w:tcBorders>
              <w:top w:val="single" w:sz="6" w:space="0" w:color="000000"/>
              <w:left w:val="single" w:sz="6" w:space="0" w:color="000000"/>
              <w:bottom w:val="single" w:sz="6" w:space="0" w:color="000000"/>
              <w:right w:val="single" w:sz="6" w:space="0" w:color="000000"/>
            </w:tcBorders>
          </w:tcPr>
          <w:p w14:paraId="1FCDB3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4826</w:t>
            </w:r>
          </w:p>
        </w:tc>
        <w:tc>
          <w:tcPr>
            <w:tcW w:w="550" w:type="dxa"/>
            <w:tcBorders>
              <w:top w:val="single" w:sz="6" w:space="0" w:color="000000"/>
              <w:left w:val="single" w:sz="6" w:space="0" w:color="000000"/>
              <w:bottom w:val="single" w:sz="6" w:space="0" w:color="000000"/>
              <w:right w:val="single" w:sz="6" w:space="0" w:color="000000"/>
            </w:tcBorders>
          </w:tcPr>
          <w:p w14:paraId="316950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5038</w:t>
            </w:r>
          </w:p>
        </w:tc>
        <w:tc>
          <w:tcPr>
            <w:tcW w:w="550" w:type="dxa"/>
            <w:gridSpan w:val="2"/>
            <w:tcBorders>
              <w:top w:val="single" w:sz="6" w:space="0" w:color="000000"/>
              <w:left w:val="single" w:sz="6" w:space="0" w:color="000000"/>
              <w:bottom w:val="single" w:sz="6" w:space="0" w:color="000000"/>
              <w:right w:val="single" w:sz="6" w:space="0" w:color="000000"/>
            </w:tcBorders>
          </w:tcPr>
          <w:p w14:paraId="3050EA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3995</w:t>
            </w:r>
          </w:p>
        </w:tc>
        <w:tc>
          <w:tcPr>
            <w:tcW w:w="550" w:type="dxa"/>
            <w:tcBorders>
              <w:top w:val="single" w:sz="6" w:space="0" w:color="000000"/>
              <w:left w:val="single" w:sz="6" w:space="0" w:color="000000"/>
              <w:bottom w:val="single" w:sz="6" w:space="0" w:color="000000"/>
              <w:right w:val="single" w:sz="6" w:space="0" w:color="000000"/>
            </w:tcBorders>
          </w:tcPr>
          <w:p w14:paraId="2B48FE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3807</w:t>
            </w:r>
          </w:p>
        </w:tc>
        <w:tc>
          <w:tcPr>
            <w:tcW w:w="550" w:type="dxa"/>
            <w:gridSpan w:val="3"/>
            <w:tcBorders>
              <w:top w:val="single" w:sz="6" w:space="0" w:color="000000"/>
              <w:left w:val="single" w:sz="6" w:space="0" w:color="000000"/>
              <w:bottom w:val="single" w:sz="6" w:space="0" w:color="000000"/>
              <w:right w:val="single" w:sz="6" w:space="0" w:color="000000"/>
            </w:tcBorders>
          </w:tcPr>
          <w:p w14:paraId="2A4D635E"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5E9C963"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24DFDC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10005</w:t>
            </w:r>
          </w:p>
        </w:tc>
        <w:tc>
          <w:tcPr>
            <w:tcW w:w="660" w:type="dxa"/>
            <w:tcBorders>
              <w:top w:val="single" w:sz="6" w:space="0" w:color="000000"/>
              <w:left w:val="single" w:sz="6" w:space="0" w:color="000000"/>
              <w:bottom w:val="single" w:sz="6" w:space="0" w:color="000000"/>
              <w:right w:val="single" w:sz="12" w:space="0" w:color="000000"/>
            </w:tcBorders>
          </w:tcPr>
          <w:p w14:paraId="3B214F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9974</w:t>
            </w:r>
          </w:p>
        </w:tc>
      </w:tr>
      <w:tr w:rsidR="00561F31" w:rsidRPr="00F90EAE" w14:paraId="07C18F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A73C9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w:t>
            </w:r>
          </w:p>
        </w:tc>
        <w:tc>
          <w:tcPr>
            <w:tcW w:w="550" w:type="dxa"/>
            <w:gridSpan w:val="3"/>
            <w:tcBorders>
              <w:top w:val="single" w:sz="6" w:space="0" w:color="000000"/>
              <w:left w:val="single" w:sz="6" w:space="0" w:color="000000"/>
              <w:bottom w:val="single" w:sz="6" w:space="0" w:color="000000"/>
              <w:right w:val="single" w:sz="6" w:space="0" w:color="000000"/>
            </w:tcBorders>
          </w:tcPr>
          <w:p w14:paraId="5701AD63"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665814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F1EA571"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BDAFB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0A4317"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9BC93C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127D6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1791</w:t>
            </w:r>
          </w:p>
        </w:tc>
        <w:tc>
          <w:tcPr>
            <w:tcW w:w="550" w:type="dxa"/>
            <w:tcBorders>
              <w:top w:val="single" w:sz="6" w:space="0" w:color="000000"/>
              <w:left w:val="single" w:sz="6" w:space="0" w:color="000000"/>
              <w:bottom w:val="single" w:sz="6" w:space="0" w:color="000000"/>
              <w:right w:val="single" w:sz="6" w:space="0" w:color="000000"/>
            </w:tcBorders>
          </w:tcPr>
          <w:p w14:paraId="6F116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2232</w:t>
            </w:r>
          </w:p>
        </w:tc>
        <w:tc>
          <w:tcPr>
            <w:tcW w:w="550" w:type="dxa"/>
            <w:gridSpan w:val="3"/>
            <w:tcBorders>
              <w:top w:val="single" w:sz="6" w:space="0" w:color="000000"/>
              <w:left w:val="single" w:sz="6" w:space="0" w:color="000000"/>
              <w:bottom w:val="single" w:sz="6" w:space="0" w:color="000000"/>
              <w:right w:val="single" w:sz="6" w:space="0" w:color="000000"/>
            </w:tcBorders>
          </w:tcPr>
          <w:p w14:paraId="0928F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3301</w:t>
            </w:r>
          </w:p>
        </w:tc>
        <w:tc>
          <w:tcPr>
            <w:tcW w:w="550" w:type="dxa"/>
            <w:tcBorders>
              <w:top w:val="single" w:sz="6" w:space="0" w:color="000000"/>
              <w:left w:val="single" w:sz="6" w:space="0" w:color="000000"/>
              <w:bottom w:val="single" w:sz="6" w:space="0" w:color="000000"/>
              <w:right w:val="single" w:sz="6" w:space="0" w:color="000000"/>
            </w:tcBorders>
          </w:tcPr>
          <w:p w14:paraId="02D15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3451</w:t>
            </w:r>
          </w:p>
        </w:tc>
        <w:tc>
          <w:tcPr>
            <w:tcW w:w="660" w:type="dxa"/>
            <w:gridSpan w:val="3"/>
            <w:tcBorders>
              <w:top w:val="single" w:sz="6" w:space="0" w:color="000000"/>
              <w:left w:val="single" w:sz="6" w:space="0" w:color="000000"/>
              <w:bottom w:val="single" w:sz="6" w:space="0" w:color="000000"/>
              <w:right w:val="single" w:sz="6" w:space="0" w:color="000000"/>
            </w:tcBorders>
          </w:tcPr>
          <w:p w14:paraId="348FA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5092</w:t>
            </w:r>
          </w:p>
        </w:tc>
        <w:tc>
          <w:tcPr>
            <w:tcW w:w="660" w:type="dxa"/>
            <w:tcBorders>
              <w:top w:val="single" w:sz="6" w:space="0" w:color="000000"/>
              <w:left w:val="single" w:sz="6" w:space="0" w:color="000000"/>
              <w:bottom w:val="single" w:sz="6" w:space="0" w:color="000000"/>
              <w:right w:val="single" w:sz="12" w:space="0" w:color="000000"/>
            </w:tcBorders>
          </w:tcPr>
          <w:p w14:paraId="06ABCC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5683</w:t>
            </w:r>
          </w:p>
        </w:tc>
      </w:tr>
      <w:tr w:rsidR="00561F31" w:rsidRPr="00F90EAE" w14:paraId="2417D66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B4D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F24AC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8417</w:t>
            </w:r>
          </w:p>
        </w:tc>
        <w:tc>
          <w:tcPr>
            <w:tcW w:w="550" w:type="dxa"/>
            <w:tcBorders>
              <w:top w:val="single" w:sz="6" w:space="0" w:color="000000"/>
              <w:left w:val="single" w:sz="6" w:space="0" w:color="000000"/>
              <w:bottom w:val="single" w:sz="6" w:space="0" w:color="000000"/>
              <w:right w:val="single" w:sz="6" w:space="0" w:color="000000"/>
            </w:tcBorders>
          </w:tcPr>
          <w:p w14:paraId="1CF6BF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7220</w:t>
            </w:r>
          </w:p>
        </w:tc>
        <w:tc>
          <w:tcPr>
            <w:tcW w:w="550" w:type="dxa"/>
            <w:gridSpan w:val="3"/>
            <w:tcBorders>
              <w:top w:val="single" w:sz="6" w:space="0" w:color="000000"/>
              <w:left w:val="single" w:sz="6" w:space="0" w:color="000000"/>
              <w:bottom w:val="single" w:sz="6" w:space="0" w:color="000000"/>
              <w:right w:val="single" w:sz="6" w:space="0" w:color="000000"/>
            </w:tcBorders>
          </w:tcPr>
          <w:p w14:paraId="4122B0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9824</w:t>
            </w:r>
          </w:p>
        </w:tc>
        <w:tc>
          <w:tcPr>
            <w:tcW w:w="550" w:type="dxa"/>
            <w:tcBorders>
              <w:top w:val="single" w:sz="6" w:space="0" w:color="000000"/>
              <w:left w:val="single" w:sz="6" w:space="0" w:color="000000"/>
              <w:bottom w:val="single" w:sz="6" w:space="0" w:color="000000"/>
              <w:right w:val="single" w:sz="6" w:space="0" w:color="000000"/>
            </w:tcBorders>
          </w:tcPr>
          <w:p w14:paraId="6AD42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9643</w:t>
            </w:r>
          </w:p>
        </w:tc>
        <w:tc>
          <w:tcPr>
            <w:tcW w:w="550" w:type="dxa"/>
            <w:gridSpan w:val="3"/>
            <w:tcBorders>
              <w:top w:val="single" w:sz="6" w:space="0" w:color="000000"/>
              <w:left w:val="single" w:sz="6" w:space="0" w:color="000000"/>
              <w:bottom w:val="single" w:sz="6" w:space="0" w:color="000000"/>
              <w:right w:val="single" w:sz="6" w:space="0" w:color="000000"/>
            </w:tcBorders>
          </w:tcPr>
          <w:p w14:paraId="672526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14052</w:t>
            </w:r>
          </w:p>
        </w:tc>
        <w:tc>
          <w:tcPr>
            <w:tcW w:w="550" w:type="dxa"/>
            <w:tcBorders>
              <w:top w:val="single" w:sz="6" w:space="0" w:color="000000"/>
              <w:left w:val="single" w:sz="6" w:space="0" w:color="000000"/>
              <w:bottom w:val="single" w:sz="6" w:space="0" w:color="000000"/>
              <w:right w:val="single" w:sz="6" w:space="0" w:color="000000"/>
            </w:tcBorders>
          </w:tcPr>
          <w:p w14:paraId="1749CE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14292</w:t>
            </w:r>
          </w:p>
        </w:tc>
        <w:tc>
          <w:tcPr>
            <w:tcW w:w="550" w:type="dxa"/>
            <w:gridSpan w:val="2"/>
            <w:tcBorders>
              <w:top w:val="single" w:sz="6" w:space="0" w:color="000000"/>
              <w:left w:val="single" w:sz="6" w:space="0" w:color="000000"/>
              <w:bottom w:val="single" w:sz="6" w:space="0" w:color="000000"/>
              <w:right w:val="single" w:sz="6" w:space="0" w:color="000000"/>
            </w:tcBorders>
          </w:tcPr>
          <w:p w14:paraId="059650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17398</w:t>
            </w:r>
          </w:p>
        </w:tc>
        <w:tc>
          <w:tcPr>
            <w:tcW w:w="550" w:type="dxa"/>
            <w:tcBorders>
              <w:top w:val="single" w:sz="6" w:space="0" w:color="000000"/>
              <w:left w:val="single" w:sz="6" w:space="0" w:color="000000"/>
              <w:bottom w:val="single" w:sz="6" w:space="0" w:color="000000"/>
              <w:right w:val="single" w:sz="6" w:space="0" w:color="000000"/>
            </w:tcBorders>
          </w:tcPr>
          <w:p w14:paraId="72AE09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17872</w:t>
            </w:r>
          </w:p>
        </w:tc>
        <w:tc>
          <w:tcPr>
            <w:tcW w:w="550" w:type="dxa"/>
            <w:gridSpan w:val="3"/>
            <w:tcBorders>
              <w:top w:val="single" w:sz="6" w:space="0" w:color="000000"/>
              <w:left w:val="single" w:sz="6" w:space="0" w:color="000000"/>
              <w:bottom w:val="single" w:sz="6" w:space="0" w:color="000000"/>
              <w:right w:val="single" w:sz="6" w:space="0" w:color="000000"/>
            </w:tcBorders>
          </w:tcPr>
          <w:p w14:paraId="19C26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10423</w:t>
            </w:r>
          </w:p>
        </w:tc>
        <w:tc>
          <w:tcPr>
            <w:tcW w:w="550" w:type="dxa"/>
            <w:tcBorders>
              <w:top w:val="single" w:sz="6" w:space="0" w:color="000000"/>
              <w:left w:val="single" w:sz="6" w:space="0" w:color="000000"/>
              <w:bottom w:val="single" w:sz="6" w:space="0" w:color="000000"/>
              <w:right w:val="single" w:sz="6" w:space="0" w:color="000000"/>
            </w:tcBorders>
          </w:tcPr>
          <w:p w14:paraId="51080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10575</w:t>
            </w:r>
          </w:p>
        </w:tc>
        <w:tc>
          <w:tcPr>
            <w:tcW w:w="660" w:type="dxa"/>
            <w:gridSpan w:val="3"/>
            <w:tcBorders>
              <w:top w:val="single" w:sz="6" w:space="0" w:color="000000"/>
              <w:left w:val="single" w:sz="6" w:space="0" w:color="000000"/>
              <w:bottom w:val="single" w:sz="6" w:space="0" w:color="000000"/>
              <w:right w:val="single" w:sz="6" w:space="0" w:color="000000"/>
            </w:tcBorders>
          </w:tcPr>
          <w:p w14:paraId="3C18F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60114</w:t>
            </w:r>
          </w:p>
        </w:tc>
        <w:tc>
          <w:tcPr>
            <w:tcW w:w="660" w:type="dxa"/>
            <w:tcBorders>
              <w:top w:val="single" w:sz="6" w:space="0" w:color="000000"/>
              <w:left w:val="single" w:sz="6" w:space="0" w:color="000000"/>
              <w:bottom w:val="single" w:sz="6" w:space="0" w:color="000000"/>
              <w:right w:val="single" w:sz="12" w:space="0" w:color="000000"/>
            </w:tcBorders>
          </w:tcPr>
          <w:p w14:paraId="23DE59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59602</w:t>
            </w:r>
          </w:p>
        </w:tc>
      </w:tr>
      <w:tr w:rsidR="00561F31" w:rsidRPr="00F90EAE" w14:paraId="0D519B2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189D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боевых самолетов:</w:t>
            </w:r>
          </w:p>
        </w:tc>
        <w:tc>
          <w:tcPr>
            <w:tcW w:w="550" w:type="dxa"/>
            <w:gridSpan w:val="3"/>
            <w:tcBorders>
              <w:top w:val="single" w:sz="6" w:space="0" w:color="000000"/>
              <w:left w:val="single" w:sz="6" w:space="0" w:color="000000"/>
              <w:bottom w:val="single" w:sz="6" w:space="0" w:color="000000"/>
              <w:right w:val="single" w:sz="6" w:space="0" w:color="000000"/>
            </w:tcBorders>
          </w:tcPr>
          <w:p w14:paraId="5FAC5E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15326</w:t>
            </w:r>
          </w:p>
        </w:tc>
        <w:tc>
          <w:tcPr>
            <w:tcW w:w="550" w:type="dxa"/>
            <w:tcBorders>
              <w:top w:val="single" w:sz="6" w:space="0" w:color="000000"/>
              <w:left w:val="single" w:sz="6" w:space="0" w:color="000000"/>
              <w:bottom w:val="single" w:sz="6" w:space="0" w:color="000000"/>
              <w:right w:val="single" w:sz="6" w:space="0" w:color="000000"/>
            </w:tcBorders>
          </w:tcPr>
          <w:p w14:paraId="72AA5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12516</w:t>
            </w:r>
          </w:p>
        </w:tc>
        <w:tc>
          <w:tcPr>
            <w:tcW w:w="550" w:type="dxa"/>
            <w:gridSpan w:val="3"/>
            <w:tcBorders>
              <w:top w:val="single" w:sz="6" w:space="0" w:color="000000"/>
              <w:left w:val="single" w:sz="6" w:space="0" w:color="000000"/>
              <w:bottom w:val="single" w:sz="6" w:space="0" w:color="000000"/>
              <w:right w:val="single" w:sz="6" w:space="0" w:color="000000"/>
            </w:tcBorders>
          </w:tcPr>
          <w:p w14:paraId="0BB65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21282</w:t>
            </w:r>
          </w:p>
        </w:tc>
        <w:tc>
          <w:tcPr>
            <w:tcW w:w="550" w:type="dxa"/>
            <w:tcBorders>
              <w:top w:val="single" w:sz="6" w:space="0" w:color="000000"/>
              <w:left w:val="single" w:sz="6" w:space="0" w:color="000000"/>
              <w:bottom w:val="single" w:sz="6" w:space="0" w:color="000000"/>
              <w:right w:val="single" w:sz="6" w:space="0" w:color="000000"/>
            </w:tcBorders>
          </w:tcPr>
          <w:p w14:paraId="6DDFE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21342</w:t>
            </w:r>
          </w:p>
        </w:tc>
        <w:tc>
          <w:tcPr>
            <w:tcW w:w="550" w:type="dxa"/>
            <w:gridSpan w:val="3"/>
            <w:tcBorders>
              <w:top w:val="single" w:sz="6" w:space="0" w:color="000000"/>
              <w:left w:val="single" w:sz="6" w:space="0" w:color="000000"/>
              <w:bottom w:val="single" w:sz="6" w:space="0" w:color="000000"/>
              <w:right w:val="single" w:sz="6" w:space="0" w:color="000000"/>
            </w:tcBorders>
          </w:tcPr>
          <w:p w14:paraId="41EC4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28741</w:t>
            </w:r>
          </w:p>
        </w:tc>
        <w:tc>
          <w:tcPr>
            <w:tcW w:w="550" w:type="dxa"/>
            <w:tcBorders>
              <w:top w:val="single" w:sz="6" w:space="0" w:color="000000"/>
              <w:left w:val="single" w:sz="6" w:space="0" w:color="000000"/>
              <w:bottom w:val="single" w:sz="6" w:space="0" w:color="000000"/>
              <w:right w:val="single" w:sz="6" w:space="0" w:color="000000"/>
            </w:tcBorders>
          </w:tcPr>
          <w:p w14:paraId="1F7D0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28984</w:t>
            </w:r>
          </w:p>
        </w:tc>
        <w:tc>
          <w:tcPr>
            <w:tcW w:w="550" w:type="dxa"/>
            <w:gridSpan w:val="2"/>
            <w:tcBorders>
              <w:top w:val="single" w:sz="6" w:space="0" w:color="000000"/>
              <w:left w:val="single" w:sz="6" w:space="0" w:color="000000"/>
              <w:bottom w:val="single" w:sz="6" w:space="0" w:color="000000"/>
              <w:right w:val="single" w:sz="6" w:space="0" w:color="000000"/>
            </w:tcBorders>
          </w:tcPr>
          <w:p w14:paraId="1A37B4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32447</w:t>
            </w:r>
          </w:p>
        </w:tc>
        <w:tc>
          <w:tcPr>
            <w:tcW w:w="550" w:type="dxa"/>
            <w:tcBorders>
              <w:top w:val="single" w:sz="6" w:space="0" w:color="000000"/>
              <w:left w:val="single" w:sz="6" w:space="0" w:color="000000"/>
              <w:bottom w:val="single" w:sz="6" w:space="0" w:color="000000"/>
              <w:right w:val="single" w:sz="6" w:space="0" w:color="000000"/>
            </w:tcBorders>
          </w:tcPr>
          <w:p w14:paraId="662266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32649</w:t>
            </w:r>
          </w:p>
        </w:tc>
        <w:tc>
          <w:tcPr>
            <w:tcW w:w="550" w:type="dxa"/>
            <w:gridSpan w:val="3"/>
            <w:tcBorders>
              <w:top w:val="single" w:sz="6" w:space="0" w:color="000000"/>
              <w:left w:val="single" w:sz="6" w:space="0" w:color="000000"/>
              <w:bottom w:val="single" w:sz="6" w:space="0" w:color="000000"/>
              <w:right w:val="single" w:sz="6" w:space="0" w:color="000000"/>
            </w:tcBorders>
          </w:tcPr>
          <w:p w14:paraId="50CD36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19209</w:t>
            </w:r>
          </w:p>
        </w:tc>
        <w:tc>
          <w:tcPr>
            <w:tcW w:w="550" w:type="dxa"/>
            <w:tcBorders>
              <w:top w:val="single" w:sz="6" w:space="0" w:color="000000"/>
              <w:left w:val="single" w:sz="6" w:space="0" w:color="000000"/>
              <w:bottom w:val="single" w:sz="6" w:space="0" w:color="000000"/>
              <w:right w:val="single" w:sz="6" w:space="0" w:color="000000"/>
            </w:tcBorders>
          </w:tcPr>
          <w:p w14:paraId="6BC13E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19228</w:t>
            </w:r>
          </w:p>
        </w:tc>
        <w:tc>
          <w:tcPr>
            <w:tcW w:w="660" w:type="dxa"/>
            <w:gridSpan w:val="3"/>
            <w:tcBorders>
              <w:top w:val="single" w:sz="6" w:space="0" w:color="000000"/>
              <w:left w:val="single" w:sz="6" w:space="0" w:color="000000"/>
              <w:bottom w:val="single" w:sz="6" w:space="0" w:color="000000"/>
              <w:right w:val="single" w:sz="6" w:space="0" w:color="000000"/>
            </w:tcBorders>
          </w:tcPr>
          <w:p w14:paraId="6F8685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117005</w:t>
            </w:r>
          </w:p>
        </w:tc>
        <w:tc>
          <w:tcPr>
            <w:tcW w:w="660" w:type="dxa"/>
            <w:tcBorders>
              <w:top w:val="single" w:sz="6" w:space="0" w:color="000000"/>
              <w:left w:val="single" w:sz="6" w:space="0" w:color="000000"/>
              <w:bottom w:val="single" w:sz="6" w:space="0" w:color="000000"/>
              <w:right w:val="single" w:sz="12" w:space="0" w:color="000000"/>
            </w:tcBorders>
          </w:tcPr>
          <w:p w14:paraId="16A9DB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114719</w:t>
            </w:r>
          </w:p>
        </w:tc>
      </w:tr>
      <w:tr w:rsidR="00561F31" w:rsidRPr="00F90EAE" w14:paraId="1CC09169"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0EBA5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ТРАНСПОРТНЫЕ САМОЛЕТЫ</w:t>
            </w:r>
          </w:p>
        </w:tc>
      </w:tr>
      <w:tr w:rsidR="00561F31" w:rsidRPr="00F90EAE" w14:paraId="1A3E00F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2972A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Ли-2</w:t>
            </w:r>
          </w:p>
        </w:tc>
        <w:tc>
          <w:tcPr>
            <w:tcW w:w="550" w:type="dxa"/>
            <w:gridSpan w:val="3"/>
            <w:tcBorders>
              <w:top w:val="single" w:sz="6" w:space="0" w:color="000000"/>
              <w:left w:val="single" w:sz="6" w:space="0" w:color="000000"/>
              <w:bottom w:val="single" w:sz="6" w:space="0" w:color="000000"/>
              <w:right w:val="single" w:sz="6" w:space="0" w:color="000000"/>
            </w:tcBorders>
          </w:tcPr>
          <w:p w14:paraId="1C5118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199</w:t>
            </w:r>
          </w:p>
        </w:tc>
        <w:tc>
          <w:tcPr>
            <w:tcW w:w="550" w:type="dxa"/>
            <w:tcBorders>
              <w:top w:val="single" w:sz="6" w:space="0" w:color="000000"/>
              <w:left w:val="single" w:sz="6" w:space="0" w:color="000000"/>
              <w:bottom w:val="single" w:sz="6" w:space="0" w:color="000000"/>
              <w:right w:val="single" w:sz="6" w:space="0" w:color="000000"/>
            </w:tcBorders>
          </w:tcPr>
          <w:p w14:paraId="6E389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w:t>
            </w:r>
          </w:p>
        </w:tc>
        <w:tc>
          <w:tcPr>
            <w:tcW w:w="550" w:type="dxa"/>
            <w:gridSpan w:val="3"/>
            <w:tcBorders>
              <w:top w:val="single" w:sz="6" w:space="0" w:color="000000"/>
              <w:left w:val="single" w:sz="6" w:space="0" w:color="000000"/>
              <w:bottom w:val="single" w:sz="6" w:space="0" w:color="000000"/>
              <w:right w:val="single" w:sz="6" w:space="0" w:color="000000"/>
            </w:tcBorders>
          </w:tcPr>
          <w:p w14:paraId="0BE139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483</w:t>
            </w:r>
          </w:p>
        </w:tc>
        <w:tc>
          <w:tcPr>
            <w:tcW w:w="550" w:type="dxa"/>
            <w:tcBorders>
              <w:top w:val="single" w:sz="6" w:space="0" w:color="000000"/>
              <w:left w:val="single" w:sz="6" w:space="0" w:color="000000"/>
              <w:bottom w:val="single" w:sz="6" w:space="0" w:color="000000"/>
              <w:right w:val="single" w:sz="6" w:space="0" w:color="000000"/>
            </w:tcBorders>
          </w:tcPr>
          <w:p w14:paraId="5A55A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423</w:t>
            </w:r>
          </w:p>
        </w:tc>
        <w:tc>
          <w:tcPr>
            <w:tcW w:w="550" w:type="dxa"/>
            <w:gridSpan w:val="3"/>
            <w:tcBorders>
              <w:top w:val="single" w:sz="6" w:space="0" w:color="000000"/>
              <w:left w:val="single" w:sz="6" w:space="0" w:color="000000"/>
              <w:bottom w:val="single" w:sz="6" w:space="0" w:color="000000"/>
              <w:right w:val="single" w:sz="6" w:space="0" w:color="000000"/>
            </w:tcBorders>
          </w:tcPr>
          <w:p w14:paraId="22DA7D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584</w:t>
            </w:r>
          </w:p>
        </w:tc>
        <w:tc>
          <w:tcPr>
            <w:tcW w:w="550" w:type="dxa"/>
            <w:tcBorders>
              <w:top w:val="single" w:sz="6" w:space="0" w:color="000000"/>
              <w:left w:val="single" w:sz="6" w:space="0" w:color="000000"/>
              <w:bottom w:val="single" w:sz="6" w:space="0" w:color="000000"/>
              <w:right w:val="single" w:sz="6" w:space="0" w:color="000000"/>
            </w:tcBorders>
          </w:tcPr>
          <w:p w14:paraId="33094A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618</w:t>
            </w:r>
          </w:p>
        </w:tc>
        <w:tc>
          <w:tcPr>
            <w:tcW w:w="550" w:type="dxa"/>
            <w:gridSpan w:val="2"/>
            <w:tcBorders>
              <w:top w:val="single" w:sz="6" w:space="0" w:color="000000"/>
              <w:left w:val="single" w:sz="6" w:space="0" w:color="000000"/>
              <w:bottom w:val="single" w:sz="6" w:space="0" w:color="000000"/>
              <w:right w:val="single" w:sz="6" w:space="0" w:color="000000"/>
            </w:tcBorders>
          </w:tcPr>
          <w:p w14:paraId="06899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66B76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626</w:t>
            </w:r>
          </w:p>
        </w:tc>
        <w:tc>
          <w:tcPr>
            <w:tcW w:w="550" w:type="dxa"/>
            <w:gridSpan w:val="3"/>
            <w:tcBorders>
              <w:top w:val="single" w:sz="6" w:space="0" w:color="000000"/>
              <w:left w:val="single" w:sz="6" w:space="0" w:color="000000"/>
              <w:bottom w:val="single" w:sz="6" w:space="0" w:color="000000"/>
              <w:right w:val="single" w:sz="6" w:space="0" w:color="000000"/>
            </w:tcBorders>
          </w:tcPr>
          <w:p w14:paraId="25A6EF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550" w:type="dxa"/>
            <w:tcBorders>
              <w:top w:val="single" w:sz="6" w:space="0" w:color="000000"/>
              <w:left w:val="single" w:sz="6" w:space="0" w:color="000000"/>
              <w:bottom w:val="single" w:sz="6" w:space="0" w:color="000000"/>
              <w:right w:val="single" w:sz="6" w:space="0" w:color="000000"/>
            </w:tcBorders>
          </w:tcPr>
          <w:p w14:paraId="102E6B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458</w:t>
            </w:r>
          </w:p>
        </w:tc>
        <w:tc>
          <w:tcPr>
            <w:tcW w:w="660" w:type="dxa"/>
            <w:gridSpan w:val="3"/>
            <w:tcBorders>
              <w:top w:val="single" w:sz="6" w:space="0" w:color="000000"/>
              <w:left w:val="single" w:sz="6" w:space="0" w:color="000000"/>
              <w:bottom w:val="single" w:sz="6" w:space="0" w:color="000000"/>
              <w:right w:val="single" w:sz="6" w:space="0" w:color="000000"/>
            </w:tcBorders>
          </w:tcPr>
          <w:p w14:paraId="5FD9C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2452</w:t>
            </w:r>
          </w:p>
        </w:tc>
        <w:tc>
          <w:tcPr>
            <w:tcW w:w="660" w:type="dxa"/>
            <w:tcBorders>
              <w:top w:val="single" w:sz="6" w:space="0" w:color="000000"/>
              <w:left w:val="single" w:sz="6" w:space="0" w:color="000000"/>
              <w:bottom w:val="single" w:sz="6" w:space="0" w:color="000000"/>
              <w:right w:val="single" w:sz="12" w:space="0" w:color="000000"/>
            </w:tcBorders>
          </w:tcPr>
          <w:p w14:paraId="41093B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2362</w:t>
            </w:r>
          </w:p>
        </w:tc>
      </w:tr>
      <w:tr w:rsidR="00561F31" w:rsidRPr="00F90EAE" w14:paraId="5A3C542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B6CE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Як-6</w:t>
            </w:r>
          </w:p>
        </w:tc>
        <w:tc>
          <w:tcPr>
            <w:tcW w:w="550" w:type="dxa"/>
            <w:gridSpan w:val="3"/>
            <w:tcBorders>
              <w:top w:val="single" w:sz="6" w:space="0" w:color="000000"/>
              <w:left w:val="single" w:sz="6" w:space="0" w:color="000000"/>
              <w:bottom w:val="single" w:sz="6" w:space="0" w:color="000000"/>
              <w:right w:val="single" w:sz="6" w:space="0" w:color="000000"/>
            </w:tcBorders>
          </w:tcPr>
          <w:p w14:paraId="1B2D4ED7"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436416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0790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550" w:type="dxa"/>
            <w:tcBorders>
              <w:top w:val="single" w:sz="6" w:space="0" w:color="000000"/>
              <w:left w:val="single" w:sz="6" w:space="0" w:color="000000"/>
              <w:bottom w:val="single" w:sz="6" w:space="0" w:color="000000"/>
              <w:right w:val="single" w:sz="6" w:space="0" w:color="000000"/>
            </w:tcBorders>
          </w:tcPr>
          <w:p w14:paraId="5D7738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550" w:type="dxa"/>
            <w:gridSpan w:val="3"/>
            <w:tcBorders>
              <w:top w:val="single" w:sz="6" w:space="0" w:color="000000"/>
              <w:left w:val="single" w:sz="6" w:space="0" w:color="000000"/>
              <w:bottom w:val="single" w:sz="6" w:space="0" w:color="000000"/>
              <w:right w:val="single" w:sz="6" w:space="0" w:color="000000"/>
            </w:tcBorders>
          </w:tcPr>
          <w:p w14:paraId="41AF4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372</w:t>
            </w:r>
          </w:p>
        </w:tc>
        <w:tc>
          <w:tcPr>
            <w:tcW w:w="550" w:type="dxa"/>
            <w:tcBorders>
              <w:top w:val="single" w:sz="6" w:space="0" w:color="000000"/>
              <w:left w:val="single" w:sz="6" w:space="0" w:color="000000"/>
              <w:bottom w:val="single" w:sz="6" w:space="0" w:color="000000"/>
              <w:right w:val="single" w:sz="6" w:space="0" w:color="000000"/>
            </w:tcBorders>
          </w:tcPr>
          <w:p w14:paraId="7CE11D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c>
          <w:tcPr>
            <w:tcW w:w="550" w:type="dxa"/>
            <w:gridSpan w:val="2"/>
            <w:tcBorders>
              <w:top w:val="single" w:sz="6" w:space="0" w:color="000000"/>
              <w:left w:val="single" w:sz="6" w:space="0" w:color="000000"/>
              <w:bottom w:val="single" w:sz="6" w:space="0" w:color="000000"/>
              <w:right w:val="single" w:sz="6" w:space="0" w:color="000000"/>
            </w:tcBorders>
          </w:tcPr>
          <w:p w14:paraId="63399222"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A7FF7D"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2012FC8"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292EF89"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49FC39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431</w:t>
            </w:r>
          </w:p>
        </w:tc>
        <w:tc>
          <w:tcPr>
            <w:tcW w:w="660" w:type="dxa"/>
            <w:tcBorders>
              <w:top w:val="single" w:sz="6" w:space="0" w:color="000000"/>
              <w:left w:val="single" w:sz="6" w:space="0" w:color="000000"/>
              <w:bottom w:val="single" w:sz="6" w:space="0" w:color="000000"/>
              <w:right w:val="single" w:sz="12" w:space="0" w:color="000000"/>
            </w:tcBorders>
          </w:tcPr>
          <w:p w14:paraId="6C38CD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r>
      <w:tr w:rsidR="00561F31" w:rsidRPr="00F90EAE" w14:paraId="24CB547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74D0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Ще-2</w:t>
            </w:r>
          </w:p>
        </w:tc>
        <w:tc>
          <w:tcPr>
            <w:tcW w:w="550" w:type="dxa"/>
            <w:gridSpan w:val="3"/>
            <w:tcBorders>
              <w:top w:val="single" w:sz="6" w:space="0" w:color="000000"/>
              <w:left w:val="single" w:sz="6" w:space="0" w:color="000000"/>
              <w:bottom w:val="single" w:sz="6" w:space="0" w:color="000000"/>
              <w:right w:val="single" w:sz="6" w:space="0" w:color="000000"/>
            </w:tcBorders>
          </w:tcPr>
          <w:p w14:paraId="37606C48"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926E325"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3E4C5E1"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A880E7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A0F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550" w:type="dxa"/>
            <w:tcBorders>
              <w:top w:val="single" w:sz="6" w:space="0" w:color="000000"/>
              <w:left w:val="single" w:sz="6" w:space="0" w:color="000000"/>
              <w:bottom w:val="single" w:sz="6" w:space="0" w:color="000000"/>
              <w:right w:val="single" w:sz="6" w:space="0" w:color="000000"/>
            </w:tcBorders>
          </w:tcPr>
          <w:p w14:paraId="3AF41C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50" w:type="dxa"/>
            <w:gridSpan w:val="2"/>
            <w:tcBorders>
              <w:top w:val="single" w:sz="6" w:space="0" w:color="000000"/>
              <w:left w:val="single" w:sz="6" w:space="0" w:color="000000"/>
              <w:bottom w:val="single" w:sz="6" w:space="0" w:color="000000"/>
              <w:right w:val="single" w:sz="6" w:space="0" w:color="000000"/>
            </w:tcBorders>
          </w:tcPr>
          <w:p w14:paraId="41F19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w:t>
            </w:r>
          </w:p>
        </w:tc>
        <w:tc>
          <w:tcPr>
            <w:tcW w:w="550" w:type="dxa"/>
            <w:tcBorders>
              <w:top w:val="single" w:sz="6" w:space="0" w:color="000000"/>
              <w:left w:val="single" w:sz="6" w:space="0" w:color="000000"/>
              <w:bottom w:val="single" w:sz="6" w:space="0" w:color="000000"/>
              <w:right w:val="single" w:sz="6" w:space="0" w:color="000000"/>
            </w:tcBorders>
          </w:tcPr>
          <w:p w14:paraId="6B80AA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w:t>
            </w:r>
          </w:p>
        </w:tc>
        <w:tc>
          <w:tcPr>
            <w:tcW w:w="550" w:type="dxa"/>
            <w:gridSpan w:val="3"/>
            <w:tcBorders>
              <w:top w:val="single" w:sz="6" w:space="0" w:color="000000"/>
              <w:left w:val="single" w:sz="6" w:space="0" w:color="000000"/>
              <w:bottom w:val="single" w:sz="6" w:space="0" w:color="000000"/>
              <w:right w:val="single" w:sz="6" w:space="0" w:color="000000"/>
            </w:tcBorders>
          </w:tcPr>
          <w:p w14:paraId="420A6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w:t>
            </w:r>
          </w:p>
        </w:tc>
        <w:tc>
          <w:tcPr>
            <w:tcW w:w="550" w:type="dxa"/>
            <w:tcBorders>
              <w:top w:val="single" w:sz="6" w:space="0" w:color="000000"/>
              <w:left w:val="single" w:sz="6" w:space="0" w:color="000000"/>
              <w:bottom w:val="single" w:sz="6" w:space="0" w:color="000000"/>
              <w:right w:val="single" w:sz="6" w:space="0" w:color="000000"/>
            </w:tcBorders>
          </w:tcPr>
          <w:p w14:paraId="2476C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283</w:t>
            </w:r>
          </w:p>
        </w:tc>
        <w:tc>
          <w:tcPr>
            <w:tcW w:w="660" w:type="dxa"/>
            <w:gridSpan w:val="3"/>
            <w:tcBorders>
              <w:top w:val="single" w:sz="6" w:space="0" w:color="000000"/>
              <w:left w:val="single" w:sz="6" w:space="0" w:color="000000"/>
              <w:bottom w:val="single" w:sz="6" w:space="0" w:color="000000"/>
              <w:right w:val="single" w:sz="6" w:space="0" w:color="000000"/>
            </w:tcBorders>
          </w:tcPr>
          <w:p w14:paraId="7BFC77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576</w:t>
            </w:r>
          </w:p>
        </w:tc>
        <w:tc>
          <w:tcPr>
            <w:tcW w:w="660" w:type="dxa"/>
            <w:tcBorders>
              <w:top w:val="single" w:sz="6" w:space="0" w:color="000000"/>
              <w:left w:val="single" w:sz="6" w:space="0" w:color="000000"/>
              <w:bottom w:val="single" w:sz="6" w:space="0" w:color="000000"/>
              <w:right w:val="single" w:sz="12" w:space="0" w:color="000000"/>
            </w:tcBorders>
          </w:tcPr>
          <w:p w14:paraId="1F6FF3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505</w:t>
            </w:r>
          </w:p>
        </w:tc>
      </w:tr>
      <w:tr w:rsidR="00561F31" w:rsidRPr="00F90EAE" w14:paraId="3029C4F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27755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С-2</w:t>
            </w:r>
          </w:p>
        </w:tc>
        <w:tc>
          <w:tcPr>
            <w:tcW w:w="550" w:type="dxa"/>
            <w:gridSpan w:val="3"/>
            <w:tcBorders>
              <w:top w:val="single" w:sz="6" w:space="0" w:color="000000"/>
              <w:left w:val="single" w:sz="6" w:space="0" w:color="000000"/>
              <w:bottom w:val="single" w:sz="6" w:space="0" w:color="000000"/>
              <w:right w:val="single" w:sz="6" w:space="0" w:color="000000"/>
            </w:tcBorders>
          </w:tcPr>
          <w:p w14:paraId="5B8E73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w:t>
            </w:r>
          </w:p>
        </w:tc>
        <w:tc>
          <w:tcPr>
            <w:tcW w:w="550" w:type="dxa"/>
            <w:tcBorders>
              <w:top w:val="single" w:sz="6" w:space="0" w:color="000000"/>
              <w:left w:val="single" w:sz="6" w:space="0" w:color="000000"/>
              <w:bottom w:val="single" w:sz="6" w:space="0" w:color="000000"/>
              <w:right w:val="single" w:sz="6" w:space="0" w:color="000000"/>
            </w:tcBorders>
          </w:tcPr>
          <w:p w14:paraId="02FB3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550" w:type="dxa"/>
            <w:gridSpan w:val="3"/>
            <w:tcBorders>
              <w:top w:val="single" w:sz="6" w:space="0" w:color="000000"/>
              <w:left w:val="single" w:sz="6" w:space="0" w:color="000000"/>
              <w:bottom w:val="single" w:sz="6" w:space="0" w:color="000000"/>
              <w:right w:val="single" w:sz="6" w:space="0" w:color="000000"/>
            </w:tcBorders>
          </w:tcPr>
          <w:p w14:paraId="7AADF0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550" w:type="dxa"/>
            <w:tcBorders>
              <w:top w:val="single" w:sz="6" w:space="0" w:color="000000"/>
              <w:left w:val="single" w:sz="6" w:space="0" w:color="000000"/>
              <w:bottom w:val="single" w:sz="6" w:space="0" w:color="000000"/>
              <w:right w:val="single" w:sz="6" w:space="0" w:color="000000"/>
            </w:tcBorders>
          </w:tcPr>
          <w:p w14:paraId="7DE95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550" w:type="dxa"/>
            <w:gridSpan w:val="3"/>
            <w:tcBorders>
              <w:top w:val="single" w:sz="6" w:space="0" w:color="000000"/>
              <w:left w:val="single" w:sz="6" w:space="0" w:color="000000"/>
              <w:bottom w:val="single" w:sz="6" w:space="0" w:color="000000"/>
              <w:right w:val="single" w:sz="6" w:space="0" w:color="000000"/>
            </w:tcBorders>
          </w:tcPr>
          <w:p w14:paraId="7CC3FE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248</w:t>
            </w:r>
          </w:p>
        </w:tc>
        <w:tc>
          <w:tcPr>
            <w:tcW w:w="550" w:type="dxa"/>
            <w:tcBorders>
              <w:top w:val="single" w:sz="6" w:space="0" w:color="000000"/>
              <w:left w:val="single" w:sz="6" w:space="0" w:color="000000"/>
              <w:bottom w:val="single" w:sz="6" w:space="0" w:color="000000"/>
              <w:right w:val="single" w:sz="6" w:space="0" w:color="000000"/>
            </w:tcBorders>
          </w:tcPr>
          <w:p w14:paraId="06081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550" w:type="dxa"/>
            <w:gridSpan w:val="2"/>
            <w:tcBorders>
              <w:top w:val="single" w:sz="6" w:space="0" w:color="000000"/>
              <w:left w:val="single" w:sz="6" w:space="0" w:color="000000"/>
              <w:bottom w:val="single" w:sz="6" w:space="0" w:color="000000"/>
              <w:right w:val="single" w:sz="6" w:space="0" w:color="000000"/>
            </w:tcBorders>
          </w:tcPr>
          <w:p w14:paraId="7F55D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616</w:t>
            </w:r>
          </w:p>
        </w:tc>
        <w:tc>
          <w:tcPr>
            <w:tcW w:w="550" w:type="dxa"/>
            <w:tcBorders>
              <w:top w:val="single" w:sz="6" w:space="0" w:color="000000"/>
              <w:left w:val="single" w:sz="6" w:space="0" w:color="000000"/>
              <w:bottom w:val="single" w:sz="6" w:space="0" w:color="000000"/>
              <w:right w:val="single" w:sz="6" w:space="0" w:color="000000"/>
            </w:tcBorders>
          </w:tcPr>
          <w:p w14:paraId="1B446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647</w:t>
            </w:r>
          </w:p>
        </w:tc>
        <w:tc>
          <w:tcPr>
            <w:tcW w:w="550" w:type="dxa"/>
            <w:gridSpan w:val="3"/>
            <w:tcBorders>
              <w:top w:val="single" w:sz="6" w:space="0" w:color="000000"/>
              <w:left w:val="single" w:sz="6" w:space="0" w:color="000000"/>
              <w:bottom w:val="single" w:sz="6" w:space="0" w:color="000000"/>
              <w:right w:val="single" w:sz="6" w:space="0" w:color="000000"/>
            </w:tcBorders>
          </w:tcPr>
          <w:p w14:paraId="2A064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575</w:t>
            </w:r>
          </w:p>
        </w:tc>
        <w:tc>
          <w:tcPr>
            <w:tcW w:w="550" w:type="dxa"/>
            <w:tcBorders>
              <w:top w:val="single" w:sz="6" w:space="0" w:color="000000"/>
              <w:left w:val="single" w:sz="6" w:space="0" w:color="000000"/>
              <w:bottom w:val="single" w:sz="6" w:space="0" w:color="000000"/>
              <w:right w:val="single" w:sz="6" w:space="0" w:color="000000"/>
            </w:tcBorders>
          </w:tcPr>
          <w:p w14:paraId="4D4A3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440</w:t>
            </w:r>
          </w:p>
        </w:tc>
        <w:tc>
          <w:tcPr>
            <w:tcW w:w="660" w:type="dxa"/>
            <w:gridSpan w:val="3"/>
            <w:tcBorders>
              <w:top w:val="single" w:sz="6" w:space="0" w:color="000000"/>
              <w:left w:val="single" w:sz="6" w:space="0" w:color="000000"/>
              <w:bottom w:val="single" w:sz="6" w:space="0" w:color="000000"/>
              <w:right w:val="single" w:sz="6" w:space="0" w:color="000000"/>
            </w:tcBorders>
          </w:tcPr>
          <w:p w14:paraId="34516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1532</w:t>
            </w:r>
          </w:p>
        </w:tc>
        <w:tc>
          <w:tcPr>
            <w:tcW w:w="660" w:type="dxa"/>
            <w:tcBorders>
              <w:top w:val="single" w:sz="6" w:space="0" w:color="000000"/>
              <w:left w:val="single" w:sz="6" w:space="0" w:color="000000"/>
              <w:bottom w:val="single" w:sz="6" w:space="0" w:color="000000"/>
              <w:right w:val="single" w:sz="12" w:space="0" w:color="000000"/>
            </w:tcBorders>
          </w:tcPr>
          <w:p w14:paraId="30F7D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1367</w:t>
            </w:r>
          </w:p>
        </w:tc>
      </w:tr>
      <w:tr w:rsidR="00561F31" w:rsidRPr="00F90EAE" w14:paraId="3E5A7712"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D762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48DCD9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w:t>
            </w:r>
          </w:p>
        </w:tc>
        <w:tc>
          <w:tcPr>
            <w:tcW w:w="550" w:type="dxa"/>
            <w:tcBorders>
              <w:top w:val="single" w:sz="6" w:space="0" w:color="000000"/>
              <w:left w:val="single" w:sz="6" w:space="0" w:color="000000"/>
              <w:bottom w:val="single" w:sz="6" w:space="0" w:color="000000"/>
              <w:right w:val="single" w:sz="6" w:space="0" w:color="000000"/>
            </w:tcBorders>
          </w:tcPr>
          <w:p w14:paraId="5B932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257</w:t>
            </w:r>
          </w:p>
        </w:tc>
        <w:tc>
          <w:tcPr>
            <w:tcW w:w="550" w:type="dxa"/>
            <w:gridSpan w:val="3"/>
            <w:tcBorders>
              <w:top w:val="single" w:sz="6" w:space="0" w:color="000000"/>
              <w:left w:val="single" w:sz="6" w:space="0" w:color="000000"/>
              <w:bottom w:val="single" w:sz="6" w:space="0" w:color="000000"/>
              <w:right w:val="single" w:sz="6" w:space="0" w:color="000000"/>
            </w:tcBorders>
          </w:tcPr>
          <w:p w14:paraId="377C0F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559</w:t>
            </w:r>
          </w:p>
        </w:tc>
        <w:tc>
          <w:tcPr>
            <w:tcW w:w="550" w:type="dxa"/>
            <w:tcBorders>
              <w:top w:val="single" w:sz="6" w:space="0" w:color="000000"/>
              <w:left w:val="single" w:sz="6" w:space="0" w:color="000000"/>
              <w:bottom w:val="single" w:sz="6" w:space="0" w:color="000000"/>
              <w:right w:val="single" w:sz="6" w:space="0" w:color="000000"/>
            </w:tcBorders>
          </w:tcPr>
          <w:p w14:paraId="2D629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466</w:t>
            </w:r>
          </w:p>
        </w:tc>
        <w:tc>
          <w:tcPr>
            <w:tcW w:w="550" w:type="dxa"/>
            <w:gridSpan w:val="3"/>
            <w:tcBorders>
              <w:top w:val="single" w:sz="6" w:space="0" w:color="000000"/>
              <w:left w:val="single" w:sz="6" w:space="0" w:color="000000"/>
              <w:bottom w:val="single" w:sz="6" w:space="0" w:color="000000"/>
              <w:right w:val="single" w:sz="6" w:space="0" w:color="000000"/>
            </w:tcBorders>
          </w:tcPr>
          <w:p w14:paraId="39A48A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1209</w:t>
            </w:r>
          </w:p>
        </w:tc>
        <w:tc>
          <w:tcPr>
            <w:tcW w:w="550" w:type="dxa"/>
            <w:tcBorders>
              <w:top w:val="single" w:sz="6" w:space="0" w:color="000000"/>
              <w:left w:val="single" w:sz="6" w:space="0" w:color="000000"/>
              <w:bottom w:val="single" w:sz="6" w:space="0" w:color="000000"/>
              <w:right w:val="single" w:sz="6" w:space="0" w:color="000000"/>
            </w:tcBorders>
          </w:tcPr>
          <w:p w14:paraId="7864CD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1198</w:t>
            </w:r>
          </w:p>
        </w:tc>
        <w:tc>
          <w:tcPr>
            <w:tcW w:w="550" w:type="dxa"/>
            <w:gridSpan w:val="2"/>
            <w:tcBorders>
              <w:top w:val="single" w:sz="6" w:space="0" w:color="000000"/>
              <w:left w:val="single" w:sz="6" w:space="0" w:color="000000"/>
              <w:bottom w:val="single" w:sz="6" w:space="0" w:color="000000"/>
              <w:right w:val="single" w:sz="6" w:space="0" w:color="000000"/>
            </w:tcBorders>
          </w:tcPr>
          <w:p w14:paraId="4E1BF0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1497</w:t>
            </w:r>
          </w:p>
        </w:tc>
        <w:tc>
          <w:tcPr>
            <w:tcW w:w="550" w:type="dxa"/>
            <w:tcBorders>
              <w:top w:val="single" w:sz="6" w:space="0" w:color="000000"/>
              <w:left w:val="single" w:sz="6" w:space="0" w:color="000000"/>
              <w:bottom w:val="single" w:sz="6" w:space="0" w:color="000000"/>
              <w:right w:val="single" w:sz="6" w:space="0" w:color="000000"/>
            </w:tcBorders>
          </w:tcPr>
          <w:p w14:paraId="20EDC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1495</w:t>
            </w:r>
          </w:p>
        </w:tc>
        <w:tc>
          <w:tcPr>
            <w:tcW w:w="550" w:type="dxa"/>
            <w:gridSpan w:val="3"/>
            <w:tcBorders>
              <w:top w:val="single" w:sz="6" w:space="0" w:color="000000"/>
              <w:left w:val="single" w:sz="6" w:space="0" w:color="000000"/>
              <w:bottom w:val="single" w:sz="6" w:space="0" w:color="000000"/>
              <w:right w:val="single" w:sz="6" w:space="0" w:color="000000"/>
            </w:tcBorders>
          </w:tcPr>
          <w:p w14:paraId="5E4519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1451</w:t>
            </w:r>
          </w:p>
        </w:tc>
        <w:tc>
          <w:tcPr>
            <w:tcW w:w="550" w:type="dxa"/>
            <w:tcBorders>
              <w:top w:val="single" w:sz="6" w:space="0" w:color="000000"/>
              <w:left w:val="single" w:sz="6" w:space="0" w:color="000000"/>
              <w:bottom w:val="single" w:sz="6" w:space="0" w:color="000000"/>
              <w:right w:val="single" w:sz="6" w:space="0" w:color="000000"/>
            </w:tcBorders>
          </w:tcPr>
          <w:p w14:paraId="1BE010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1181</w:t>
            </w:r>
          </w:p>
        </w:tc>
        <w:tc>
          <w:tcPr>
            <w:tcW w:w="660" w:type="dxa"/>
            <w:gridSpan w:val="3"/>
            <w:tcBorders>
              <w:top w:val="single" w:sz="6" w:space="0" w:color="000000"/>
              <w:left w:val="single" w:sz="6" w:space="0" w:color="000000"/>
              <w:bottom w:val="single" w:sz="6" w:space="0" w:color="000000"/>
              <w:right w:val="single" w:sz="6" w:space="0" w:color="000000"/>
            </w:tcBorders>
          </w:tcPr>
          <w:p w14:paraId="7DE2D8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4991</w:t>
            </w:r>
          </w:p>
        </w:tc>
        <w:tc>
          <w:tcPr>
            <w:tcW w:w="660" w:type="dxa"/>
            <w:tcBorders>
              <w:top w:val="single" w:sz="6" w:space="0" w:color="000000"/>
              <w:left w:val="single" w:sz="6" w:space="0" w:color="000000"/>
              <w:bottom w:val="single" w:sz="6" w:space="0" w:color="000000"/>
              <w:right w:val="single" w:sz="12" w:space="0" w:color="000000"/>
            </w:tcBorders>
          </w:tcPr>
          <w:p w14:paraId="028EE1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4597</w:t>
            </w:r>
          </w:p>
        </w:tc>
      </w:tr>
      <w:tr w:rsidR="00561F31" w:rsidRPr="00F90EAE" w14:paraId="451B6C0B" w14:textId="77777777" w:rsidTr="006651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gridSpan w:val="24"/>
            <w:tcBorders>
              <w:top w:val="single" w:sz="6" w:space="0" w:color="000000"/>
              <w:left w:val="single" w:sz="12" w:space="0" w:color="000000"/>
              <w:bottom w:val="single" w:sz="6" w:space="0" w:color="000000"/>
              <w:right w:val="single" w:sz="12" w:space="0" w:color="000000"/>
            </w:tcBorders>
          </w:tcPr>
          <w:p w14:paraId="2F96BE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ЛЕГКОМОТОРНЫЕ И УЧЕБНЫЕ САМОЛЕТЫ</w:t>
            </w:r>
          </w:p>
        </w:tc>
      </w:tr>
      <w:tr w:rsidR="00561F31" w:rsidRPr="00F90EAE" w14:paraId="59C545CF"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480CC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По-2</w:t>
            </w:r>
          </w:p>
        </w:tc>
        <w:tc>
          <w:tcPr>
            <w:tcW w:w="550" w:type="dxa"/>
            <w:gridSpan w:val="3"/>
            <w:tcBorders>
              <w:top w:val="single" w:sz="6" w:space="0" w:color="000000"/>
              <w:left w:val="single" w:sz="6" w:space="0" w:color="000000"/>
              <w:bottom w:val="single" w:sz="6" w:space="0" w:color="000000"/>
              <w:right w:val="single" w:sz="6" w:space="0" w:color="000000"/>
            </w:tcBorders>
          </w:tcPr>
          <w:p w14:paraId="2D663D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631</w:t>
            </w:r>
          </w:p>
        </w:tc>
        <w:tc>
          <w:tcPr>
            <w:tcW w:w="550" w:type="dxa"/>
            <w:tcBorders>
              <w:top w:val="single" w:sz="6" w:space="0" w:color="000000"/>
              <w:left w:val="single" w:sz="6" w:space="0" w:color="000000"/>
              <w:bottom w:val="single" w:sz="6" w:space="0" w:color="000000"/>
              <w:right w:val="single" w:sz="6" w:space="0" w:color="000000"/>
            </w:tcBorders>
          </w:tcPr>
          <w:p w14:paraId="4646DB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1245</w:t>
            </w:r>
          </w:p>
        </w:tc>
        <w:tc>
          <w:tcPr>
            <w:tcW w:w="550" w:type="dxa"/>
            <w:gridSpan w:val="3"/>
            <w:tcBorders>
              <w:top w:val="single" w:sz="6" w:space="0" w:color="000000"/>
              <w:left w:val="single" w:sz="6" w:space="0" w:color="000000"/>
              <w:bottom w:val="single" w:sz="6" w:space="0" w:color="000000"/>
              <w:right w:val="single" w:sz="6" w:space="0" w:color="000000"/>
            </w:tcBorders>
          </w:tcPr>
          <w:p w14:paraId="27717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2138</w:t>
            </w:r>
          </w:p>
        </w:tc>
        <w:tc>
          <w:tcPr>
            <w:tcW w:w="550" w:type="dxa"/>
            <w:tcBorders>
              <w:top w:val="single" w:sz="6" w:space="0" w:color="000000"/>
              <w:left w:val="single" w:sz="6" w:space="0" w:color="000000"/>
              <w:bottom w:val="single" w:sz="6" w:space="0" w:color="000000"/>
              <w:right w:val="single" w:sz="6" w:space="0" w:color="000000"/>
            </w:tcBorders>
          </w:tcPr>
          <w:p w14:paraId="4716BA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2147</w:t>
            </w:r>
          </w:p>
        </w:tc>
        <w:tc>
          <w:tcPr>
            <w:tcW w:w="550" w:type="dxa"/>
            <w:gridSpan w:val="3"/>
            <w:tcBorders>
              <w:top w:val="single" w:sz="6" w:space="0" w:color="000000"/>
              <w:left w:val="single" w:sz="6" w:space="0" w:color="000000"/>
              <w:bottom w:val="single" w:sz="6" w:space="0" w:color="000000"/>
              <w:right w:val="single" w:sz="6" w:space="0" w:color="000000"/>
            </w:tcBorders>
          </w:tcPr>
          <w:p w14:paraId="4E0DDE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2760</w:t>
            </w:r>
          </w:p>
        </w:tc>
        <w:tc>
          <w:tcPr>
            <w:tcW w:w="550" w:type="dxa"/>
            <w:tcBorders>
              <w:top w:val="single" w:sz="6" w:space="0" w:color="000000"/>
              <w:left w:val="single" w:sz="6" w:space="0" w:color="000000"/>
              <w:bottom w:val="single" w:sz="6" w:space="0" w:color="000000"/>
              <w:right w:val="single" w:sz="6" w:space="0" w:color="000000"/>
            </w:tcBorders>
          </w:tcPr>
          <w:p w14:paraId="05285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2811</w:t>
            </w:r>
          </w:p>
        </w:tc>
        <w:tc>
          <w:tcPr>
            <w:tcW w:w="550" w:type="dxa"/>
            <w:gridSpan w:val="2"/>
            <w:tcBorders>
              <w:top w:val="single" w:sz="6" w:space="0" w:color="000000"/>
              <w:left w:val="single" w:sz="6" w:space="0" w:color="000000"/>
              <w:bottom w:val="single" w:sz="6" w:space="0" w:color="000000"/>
              <w:right w:val="single" w:sz="6" w:space="0" w:color="000000"/>
            </w:tcBorders>
          </w:tcPr>
          <w:p w14:paraId="77FD6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4383</w:t>
            </w:r>
          </w:p>
        </w:tc>
        <w:tc>
          <w:tcPr>
            <w:tcW w:w="550" w:type="dxa"/>
            <w:tcBorders>
              <w:top w:val="single" w:sz="6" w:space="0" w:color="000000"/>
              <w:left w:val="single" w:sz="6" w:space="0" w:color="000000"/>
              <w:bottom w:val="single" w:sz="6" w:space="0" w:color="000000"/>
              <w:right w:val="single" w:sz="6" w:space="0" w:color="000000"/>
            </w:tcBorders>
          </w:tcPr>
          <w:p w14:paraId="4F72A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4408</w:t>
            </w:r>
          </w:p>
        </w:tc>
        <w:tc>
          <w:tcPr>
            <w:tcW w:w="550" w:type="dxa"/>
            <w:gridSpan w:val="3"/>
            <w:tcBorders>
              <w:top w:val="single" w:sz="6" w:space="0" w:color="000000"/>
              <w:left w:val="single" w:sz="6" w:space="0" w:color="000000"/>
              <w:bottom w:val="single" w:sz="6" w:space="0" w:color="000000"/>
              <w:right w:val="single" w:sz="6" w:space="0" w:color="000000"/>
            </w:tcBorders>
          </w:tcPr>
          <w:p w14:paraId="7D5E1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2820</w:t>
            </w:r>
          </w:p>
        </w:tc>
        <w:tc>
          <w:tcPr>
            <w:tcW w:w="550" w:type="dxa"/>
            <w:tcBorders>
              <w:top w:val="single" w:sz="6" w:space="0" w:color="000000"/>
              <w:left w:val="single" w:sz="6" w:space="0" w:color="000000"/>
              <w:bottom w:val="single" w:sz="6" w:space="0" w:color="000000"/>
              <w:right w:val="single" w:sz="6" w:space="0" w:color="000000"/>
            </w:tcBorders>
          </w:tcPr>
          <w:p w14:paraId="1E205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2958</w:t>
            </w:r>
          </w:p>
        </w:tc>
        <w:tc>
          <w:tcPr>
            <w:tcW w:w="660" w:type="dxa"/>
            <w:gridSpan w:val="3"/>
            <w:tcBorders>
              <w:top w:val="single" w:sz="6" w:space="0" w:color="000000"/>
              <w:left w:val="single" w:sz="6" w:space="0" w:color="000000"/>
              <w:bottom w:val="single" w:sz="6" w:space="0" w:color="000000"/>
              <w:right w:val="single" w:sz="6" w:space="0" w:color="000000"/>
            </w:tcBorders>
          </w:tcPr>
          <w:p w14:paraId="5A88FD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12732</w:t>
            </w:r>
          </w:p>
        </w:tc>
        <w:tc>
          <w:tcPr>
            <w:tcW w:w="660" w:type="dxa"/>
            <w:tcBorders>
              <w:top w:val="single" w:sz="6" w:space="0" w:color="000000"/>
              <w:left w:val="single" w:sz="6" w:space="0" w:color="000000"/>
              <w:bottom w:val="single" w:sz="6" w:space="0" w:color="000000"/>
              <w:right w:val="single" w:sz="12" w:space="0" w:color="000000"/>
            </w:tcBorders>
          </w:tcPr>
          <w:p w14:paraId="546C4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13569</w:t>
            </w:r>
          </w:p>
        </w:tc>
      </w:tr>
      <w:tr w:rsidR="00561F31" w:rsidRPr="00F90EAE" w14:paraId="35D1419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13F7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УТ-2</w:t>
            </w:r>
          </w:p>
        </w:tc>
        <w:tc>
          <w:tcPr>
            <w:tcW w:w="550" w:type="dxa"/>
            <w:gridSpan w:val="3"/>
            <w:tcBorders>
              <w:top w:val="single" w:sz="6" w:space="0" w:color="000000"/>
              <w:left w:val="single" w:sz="6" w:space="0" w:color="000000"/>
              <w:bottom w:val="single" w:sz="6" w:space="0" w:color="000000"/>
              <w:right w:val="single" w:sz="6" w:space="0" w:color="000000"/>
            </w:tcBorders>
          </w:tcPr>
          <w:p w14:paraId="190354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746</w:t>
            </w:r>
          </w:p>
        </w:tc>
        <w:tc>
          <w:tcPr>
            <w:tcW w:w="550" w:type="dxa"/>
            <w:tcBorders>
              <w:top w:val="single" w:sz="6" w:space="0" w:color="000000"/>
              <w:left w:val="single" w:sz="6" w:space="0" w:color="000000"/>
              <w:bottom w:val="single" w:sz="6" w:space="0" w:color="000000"/>
              <w:right w:val="single" w:sz="6" w:space="0" w:color="000000"/>
            </w:tcBorders>
          </w:tcPr>
          <w:p w14:paraId="2FD786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654</w:t>
            </w:r>
          </w:p>
        </w:tc>
        <w:tc>
          <w:tcPr>
            <w:tcW w:w="550" w:type="dxa"/>
            <w:gridSpan w:val="3"/>
            <w:tcBorders>
              <w:top w:val="single" w:sz="6" w:space="0" w:color="000000"/>
              <w:left w:val="single" w:sz="6" w:space="0" w:color="000000"/>
              <w:bottom w:val="single" w:sz="6" w:space="0" w:color="000000"/>
              <w:right w:val="single" w:sz="6" w:space="0" w:color="000000"/>
            </w:tcBorders>
          </w:tcPr>
          <w:p w14:paraId="7A412D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883</w:t>
            </w:r>
          </w:p>
        </w:tc>
        <w:tc>
          <w:tcPr>
            <w:tcW w:w="550" w:type="dxa"/>
            <w:tcBorders>
              <w:top w:val="single" w:sz="6" w:space="0" w:color="000000"/>
              <w:left w:val="single" w:sz="6" w:space="0" w:color="000000"/>
              <w:bottom w:val="single" w:sz="6" w:space="0" w:color="000000"/>
              <w:right w:val="single" w:sz="6" w:space="0" w:color="000000"/>
            </w:tcBorders>
          </w:tcPr>
          <w:p w14:paraId="316CC8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969</w:t>
            </w:r>
          </w:p>
        </w:tc>
        <w:tc>
          <w:tcPr>
            <w:tcW w:w="550" w:type="dxa"/>
            <w:gridSpan w:val="3"/>
            <w:tcBorders>
              <w:top w:val="single" w:sz="6" w:space="0" w:color="000000"/>
              <w:left w:val="single" w:sz="6" w:space="0" w:color="000000"/>
              <w:bottom w:val="single" w:sz="6" w:space="0" w:color="000000"/>
              <w:right w:val="single" w:sz="6" w:space="0" w:color="000000"/>
            </w:tcBorders>
          </w:tcPr>
          <w:p w14:paraId="35440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794</w:t>
            </w:r>
          </w:p>
        </w:tc>
        <w:tc>
          <w:tcPr>
            <w:tcW w:w="550" w:type="dxa"/>
            <w:tcBorders>
              <w:top w:val="single" w:sz="6" w:space="0" w:color="000000"/>
              <w:left w:val="single" w:sz="6" w:space="0" w:color="000000"/>
              <w:bottom w:val="single" w:sz="6" w:space="0" w:color="000000"/>
              <w:right w:val="single" w:sz="6" w:space="0" w:color="000000"/>
            </w:tcBorders>
          </w:tcPr>
          <w:p w14:paraId="0E61C6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909</w:t>
            </w:r>
          </w:p>
        </w:tc>
        <w:tc>
          <w:tcPr>
            <w:tcW w:w="550" w:type="dxa"/>
            <w:gridSpan w:val="2"/>
            <w:tcBorders>
              <w:top w:val="single" w:sz="6" w:space="0" w:color="000000"/>
              <w:left w:val="single" w:sz="6" w:space="0" w:color="000000"/>
              <w:bottom w:val="single" w:sz="6" w:space="0" w:color="000000"/>
              <w:right w:val="single" w:sz="6" w:space="0" w:color="000000"/>
            </w:tcBorders>
          </w:tcPr>
          <w:p w14:paraId="580B2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1106</w:t>
            </w:r>
          </w:p>
        </w:tc>
        <w:tc>
          <w:tcPr>
            <w:tcW w:w="550" w:type="dxa"/>
            <w:tcBorders>
              <w:top w:val="single" w:sz="6" w:space="0" w:color="000000"/>
              <w:left w:val="single" w:sz="6" w:space="0" w:color="000000"/>
              <w:bottom w:val="single" w:sz="6" w:space="0" w:color="000000"/>
              <w:right w:val="single" w:sz="6" w:space="0" w:color="000000"/>
            </w:tcBorders>
          </w:tcPr>
          <w:p w14:paraId="3E3B79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1053</w:t>
            </w:r>
          </w:p>
        </w:tc>
        <w:tc>
          <w:tcPr>
            <w:tcW w:w="550" w:type="dxa"/>
            <w:gridSpan w:val="3"/>
            <w:tcBorders>
              <w:top w:val="single" w:sz="6" w:space="0" w:color="000000"/>
              <w:left w:val="single" w:sz="6" w:space="0" w:color="000000"/>
              <w:bottom w:val="single" w:sz="6" w:space="0" w:color="000000"/>
              <w:right w:val="single" w:sz="6" w:space="0" w:color="000000"/>
            </w:tcBorders>
          </w:tcPr>
          <w:p w14:paraId="0AA40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1504</w:t>
            </w:r>
          </w:p>
        </w:tc>
        <w:tc>
          <w:tcPr>
            <w:tcW w:w="550" w:type="dxa"/>
            <w:tcBorders>
              <w:top w:val="single" w:sz="6" w:space="0" w:color="000000"/>
              <w:left w:val="single" w:sz="6" w:space="0" w:color="000000"/>
              <w:bottom w:val="single" w:sz="6" w:space="0" w:color="000000"/>
              <w:right w:val="single" w:sz="6" w:space="0" w:color="000000"/>
            </w:tcBorders>
          </w:tcPr>
          <w:p w14:paraId="5198E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1279</w:t>
            </w:r>
          </w:p>
        </w:tc>
        <w:tc>
          <w:tcPr>
            <w:tcW w:w="660" w:type="dxa"/>
            <w:gridSpan w:val="3"/>
            <w:tcBorders>
              <w:top w:val="single" w:sz="6" w:space="0" w:color="000000"/>
              <w:left w:val="single" w:sz="6" w:space="0" w:color="000000"/>
              <w:bottom w:val="single" w:sz="6" w:space="0" w:color="000000"/>
              <w:right w:val="single" w:sz="6" w:space="0" w:color="000000"/>
            </w:tcBorders>
          </w:tcPr>
          <w:p w14:paraId="71882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5033</w:t>
            </w:r>
          </w:p>
        </w:tc>
        <w:tc>
          <w:tcPr>
            <w:tcW w:w="660" w:type="dxa"/>
            <w:tcBorders>
              <w:top w:val="single" w:sz="6" w:space="0" w:color="000000"/>
              <w:left w:val="single" w:sz="6" w:space="0" w:color="000000"/>
              <w:bottom w:val="single" w:sz="6" w:space="0" w:color="000000"/>
              <w:right w:val="single" w:sz="12" w:space="0" w:color="000000"/>
            </w:tcBorders>
          </w:tcPr>
          <w:p w14:paraId="0E463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4864</w:t>
            </w:r>
          </w:p>
        </w:tc>
      </w:tr>
      <w:tr w:rsidR="00561F31" w:rsidRPr="00F90EAE" w14:paraId="267BBC3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7CDC0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УТИ-4</w:t>
            </w:r>
          </w:p>
        </w:tc>
        <w:tc>
          <w:tcPr>
            <w:tcW w:w="550" w:type="dxa"/>
            <w:gridSpan w:val="3"/>
            <w:tcBorders>
              <w:top w:val="single" w:sz="6" w:space="0" w:color="000000"/>
              <w:left w:val="single" w:sz="6" w:space="0" w:color="000000"/>
              <w:bottom w:val="single" w:sz="6" w:space="0" w:color="000000"/>
              <w:right w:val="single" w:sz="6" w:space="0" w:color="000000"/>
            </w:tcBorders>
          </w:tcPr>
          <w:p w14:paraId="6B5B1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1021</w:t>
            </w:r>
          </w:p>
        </w:tc>
        <w:tc>
          <w:tcPr>
            <w:tcW w:w="550" w:type="dxa"/>
            <w:tcBorders>
              <w:top w:val="single" w:sz="6" w:space="0" w:color="000000"/>
              <w:left w:val="single" w:sz="6" w:space="0" w:color="000000"/>
              <w:bottom w:val="single" w:sz="6" w:space="0" w:color="000000"/>
              <w:right w:val="single" w:sz="6" w:space="0" w:color="000000"/>
            </w:tcBorders>
          </w:tcPr>
          <w:p w14:paraId="1F81AF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1016</w:t>
            </w:r>
          </w:p>
        </w:tc>
        <w:tc>
          <w:tcPr>
            <w:tcW w:w="550" w:type="dxa"/>
            <w:gridSpan w:val="3"/>
            <w:tcBorders>
              <w:top w:val="single" w:sz="6" w:space="0" w:color="000000"/>
              <w:left w:val="single" w:sz="6" w:space="0" w:color="000000"/>
              <w:bottom w:val="single" w:sz="6" w:space="0" w:color="000000"/>
              <w:right w:val="single" w:sz="6" w:space="0" w:color="000000"/>
            </w:tcBorders>
          </w:tcPr>
          <w:p w14:paraId="4D23C5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w:t>
            </w:r>
          </w:p>
        </w:tc>
        <w:tc>
          <w:tcPr>
            <w:tcW w:w="550" w:type="dxa"/>
            <w:tcBorders>
              <w:top w:val="single" w:sz="6" w:space="0" w:color="000000"/>
              <w:left w:val="single" w:sz="6" w:space="0" w:color="000000"/>
              <w:bottom w:val="single" w:sz="6" w:space="0" w:color="000000"/>
              <w:right w:val="single" w:sz="6" w:space="0" w:color="000000"/>
            </w:tcBorders>
          </w:tcPr>
          <w:p w14:paraId="706A2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w:t>
            </w:r>
          </w:p>
        </w:tc>
        <w:tc>
          <w:tcPr>
            <w:tcW w:w="550" w:type="dxa"/>
            <w:gridSpan w:val="3"/>
            <w:tcBorders>
              <w:top w:val="single" w:sz="6" w:space="0" w:color="000000"/>
              <w:left w:val="single" w:sz="6" w:space="0" w:color="000000"/>
              <w:bottom w:val="single" w:sz="6" w:space="0" w:color="000000"/>
              <w:right w:val="single" w:sz="6" w:space="0" w:color="000000"/>
            </w:tcBorders>
          </w:tcPr>
          <w:p w14:paraId="342C22CB"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C3F84C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BD4FD76"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50C82C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260F1"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524DC40F"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0C674A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1104</w:t>
            </w:r>
          </w:p>
        </w:tc>
        <w:tc>
          <w:tcPr>
            <w:tcW w:w="660" w:type="dxa"/>
            <w:tcBorders>
              <w:top w:val="single" w:sz="6" w:space="0" w:color="000000"/>
              <w:left w:val="single" w:sz="6" w:space="0" w:color="000000"/>
              <w:bottom w:val="single" w:sz="6" w:space="0" w:color="000000"/>
              <w:right w:val="single" w:sz="12" w:space="0" w:color="000000"/>
            </w:tcBorders>
          </w:tcPr>
          <w:p w14:paraId="719CC6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1097</w:t>
            </w:r>
          </w:p>
        </w:tc>
      </w:tr>
      <w:tr w:rsidR="00561F31" w:rsidRPr="00F90EAE" w14:paraId="4637C6C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3F15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УЯк-7</w:t>
            </w:r>
          </w:p>
        </w:tc>
        <w:tc>
          <w:tcPr>
            <w:tcW w:w="550" w:type="dxa"/>
            <w:gridSpan w:val="3"/>
            <w:tcBorders>
              <w:top w:val="single" w:sz="6" w:space="0" w:color="000000"/>
              <w:left w:val="single" w:sz="6" w:space="0" w:color="000000"/>
              <w:bottom w:val="single" w:sz="6" w:space="0" w:color="000000"/>
              <w:right w:val="single" w:sz="6" w:space="0" w:color="000000"/>
            </w:tcBorders>
          </w:tcPr>
          <w:p w14:paraId="0C881E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550" w:type="dxa"/>
            <w:tcBorders>
              <w:top w:val="single" w:sz="6" w:space="0" w:color="000000"/>
              <w:left w:val="single" w:sz="6" w:space="0" w:color="000000"/>
              <w:bottom w:val="single" w:sz="6" w:space="0" w:color="000000"/>
              <w:right w:val="single" w:sz="6" w:space="0" w:color="000000"/>
            </w:tcBorders>
          </w:tcPr>
          <w:p w14:paraId="5D057D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w:t>
            </w:r>
          </w:p>
        </w:tc>
        <w:tc>
          <w:tcPr>
            <w:tcW w:w="550" w:type="dxa"/>
            <w:gridSpan w:val="3"/>
            <w:tcBorders>
              <w:top w:val="single" w:sz="6" w:space="0" w:color="000000"/>
              <w:left w:val="single" w:sz="6" w:space="0" w:color="000000"/>
              <w:bottom w:val="single" w:sz="6" w:space="0" w:color="000000"/>
              <w:right w:val="single" w:sz="6" w:space="0" w:color="000000"/>
            </w:tcBorders>
          </w:tcPr>
          <w:p w14:paraId="369CCE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w:t>
            </w:r>
          </w:p>
        </w:tc>
        <w:tc>
          <w:tcPr>
            <w:tcW w:w="550" w:type="dxa"/>
            <w:tcBorders>
              <w:top w:val="single" w:sz="6" w:space="0" w:color="000000"/>
              <w:left w:val="single" w:sz="6" w:space="0" w:color="000000"/>
              <w:bottom w:val="single" w:sz="6" w:space="0" w:color="000000"/>
              <w:right w:val="single" w:sz="6" w:space="0" w:color="000000"/>
            </w:tcBorders>
          </w:tcPr>
          <w:p w14:paraId="38AE8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w:t>
            </w:r>
          </w:p>
        </w:tc>
        <w:tc>
          <w:tcPr>
            <w:tcW w:w="550" w:type="dxa"/>
            <w:gridSpan w:val="3"/>
            <w:tcBorders>
              <w:top w:val="single" w:sz="6" w:space="0" w:color="000000"/>
              <w:left w:val="single" w:sz="6" w:space="0" w:color="000000"/>
              <w:bottom w:val="single" w:sz="6" w:space="0" w:color="000000"/>
              <w:right w:val="single" w:sz="6" w:space="0" w:color="000000"/>
            </w:tcBorders>
          </w:tcPr>
          <w:p w14:paraId="1A30F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w:t>
            </w:r>
          </w:p>
        </w:tc>
        <w:tc>
          <w:tcPr>
            <w:tcW w:w="550" w:type="dxa"/>
            <w:tcBorders>
              <w:top w:val="single" w:sz="6" w:space="0" w:color="000000"/>
              <w:left w:val="single" w:sz="6" w:space="0" w:color="000000"/>
              <w:bottom w:val="single" w:sz="6" w:space="0" w:color="000000"/>
              <w:right w:val="single" w:sz="6" w:space="0" w:color="000000"/>
            </w:tcBorders>
          </w:tcPr>
          <w:p w14:paraId="63100A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w:t>
            </w:r>
          </w:p>
        </w:tc>
        <w:tc>
          <w:tcPr>
            <w:tcW w:w="550" w:type="dxa"/>
            <w:gridSpan w:val="2"/>
            <w:tcBorders>
              <w:top w:val="single" w:sz="6" w:space="0" w:color="000000"/>
              <w:left w:val="single" w:sz="6" w:space="0" w:color="000000"/>
              <w:bottom w:val="single" w:sz="6" w:space="0" w:color="000000"/>
              <w:right w:val="single" w:sz="6" w:space="0" w:color="000000"/>
            </w:tcBorders>
          </w:tcPr>
          <w:p w14:paraId="79688C9B"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E70594"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BCDCE90"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17A5550"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D27A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688</w:t>
            </w:r>
          </w:p>
        </w:tc>
        <w:tc>
          <w:tcPr>
            <w:tcW w:w="660" w:type="dxa"/>
            <w:tcBorders>
              <w:top w:val="single" w:sz="6" w:space="0" w:color="000000"/>
              <w:left w:val="single" w:sz="6" w:space="0" w:color="000000"/>
              <w:bottom w:val="single" w:sz="6" w:space="0" w:color="000000"/>
              <w:right w:val="single" w:sz="12" w:space="0" w:color="000000"/>
            </w:tcBorders>
          </w:tcPr>
          <w:p w14:paraId="343A9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693</w:t>
            </w:r>
          </w:p>
        </w:tc>
      </w:tr>
      <w:tr w:rsidR="00561F31" w:rsidRPr="00F90EAE" w14:paraId="049FC85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64D24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УЯк-9</w:t>
            </w:r>
          </w:p>
        </w:tc>
        <w:tc>
          <w:tcPr>
            <w:tcW w:w="550" w:type="dxa"/>
            <w:gridSpan w:val="3"/>
            <w:tcBorders>
              <w:top w:val="single" w:sz="6" w:space="0" w:color="000000"/>
              <w:left w:val="single" w:sz="6" w:space="0" w:color="000000"/>
              <w:bottom w:val="single" w:sz="6" w:space="0" w:color="000000"/>
              <w:right w:val="single" w:sz="6" w:space="0" w:color="000000"/>
            </w:tcBorders>
          </w:tcPr>
          <w:p w14:paraId="72958AAF"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DF6436C"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B857D26"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B1ED878"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963603E"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46FECB0"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24D7DE53"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878ED7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239F9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465</w:t>
            </w:r>
          </w:p>
        </w:tc>
        <w:tc>
          <w:tcPr>
            <w:tcW w:w="550" w:type="dxa"/>
            <w:tcBorders>
              <w:top w:val="single" w:sz="6" w:space="0" w:color="000000"/>
              <w:left w:val="single" w:sz="6" w:space="0" w:color="000000"/>
              <w:bottom w:val="single" w:sz="6" w:space="0" w:color="000000"/>
              <w:right w:val="single" w:sz="6" w:space="0" w:color="000000"/>
            </w:tcBorders>
          </w:tcPr>
          <w:p w14:paraId="251F71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c>
          <w:tcPr>
            <w:tcW w:w="660" w:type="dxa"/>
            <w:gridSpan w:val="3"/>
            <w:tcBorders>
              <w:top w:val="single" w:sz="6" w:space="0" w:color="000000"/>
              <w:left w:val="single" w:sz="6" w:space="0" w:color="000000"/>
              <w:bottom w:val="single" w:sz="6" w:space="0" w:color="000000"/>
              <w:right w:val="single" w:sz="6" w:space="0" w:color="000000"/>
            </w:tcBorders>
          </w:tcPr>
          <w:p w14:paraId="423FB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465</w:t>
            </w:r>
          </w:p>
        </w:tc>
        <w:tc>
          <w:tcPr>
            <w:tcW w:w="660" w:type="dxa"/>
            <w:tcBorders>
              <w:top w:val="single" w:sz="6" w:space="0" w:color="000000"/>
              <w:left w:val="single" w:sz="6" w:space="0" w:color="000000"/>
              <w:bottom w:val="single" w:sz="6" w:space="0" w:color="000000"/>
              <w:right w:val="single" w:sz="12" w:space="0" w:color="000000"/>
            </w:tcBorders>
          </w:tcPr>
          <w:p w14:paraId="2102D4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w:t>
            </w:r>
          </w:p>
        </w:tc>
      </w:tr>
      <w:tr w:rsidR="00561F31" w:rsidRPr="00F90EAE" w14:paraId="557A80B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0D552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УЛа-5</w:t>
            </w:r>
          </w:p>
        </w:tc>
        <w:tc>
          <w:tcPr>
            <w:tcW w:w="550" w:type="dxa"/>
            <w:gridSpan w:val="3"/>
            <w:tcBorders>
              <w:top w:val="single" w:sz="6" w:space="0" w:color="000000"/>
              <w:left w:val="single" w:sz="6" w:space="0" w:color="000000"/>
              <w:bottom w:val="single" w:sz="6" w:space="0" w:color="000000"/>
              <w:right w:val="single" w:sz="6" w:space="0" w:color="000000"/>
            </w:tcBorders>
          </w:tcPr>
          <w:p w14:paraId="12D647D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18F7E0B"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38E3370A"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7FC33DE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02B3E8F"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0BB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550" w:type="dxa"/>
            <w:gridSpan w:val="2"/>
            <w:tcBorders>
              <w:top w:val="single" w:sz="6" w:space="0" w:color="000000"/>
              <w:left w:val="single" w:sz="6" w:space="0" w:color="000000"/>
              <w:bottom w:val="single" w:sz="6" w:space="0" w:color="000000"/>
              <w:right w:val="single" w:sz="6" w:space="0" w:color="000000"/>
            </w:tcBorders>
          </w:tcPr>
          <w:p w14:paraId="59FFF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4C9232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550" w:type="dxa"/>
            <w:gridSpan w:val="3"/>
            <w:tcBorders>
              <w:top w:val="single" w:sz="6" w:space="0" w:color="000000"/>
              <w:left w:val="single" w:sz="6" w:space="0" w:color="000000"/>
              <w:bottom w:val="single" w:sz="6" w:space="0" w:color="000000"/>
              <w:right w:val="single" w:sz="6" w:space="0" w:color="000000"/>
            </w:tcBorders>
          </w:tcPr>
          <w:p w14:paraId="1FAED99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1DF0972" w14:textId="77777777" w:rsidR="00665165" w:rsidRPr="00F90EAE" w:rsidRDefault="00665165" w:rsidP="00F90EAE">
            <w:pPr>
              <w:autoSpaceDE w:val="0"/>
              <w:autoSpaceDN w:val="0"/>
              <w:adjustRightInd w:val="0"/>
              <w:jc w:val="both"/>
              <w:rPr>
                <w:color w:val="000000" w:themeColor="text1"/>
                <w:sz w:val="16"/>
                <w:szCs w:val="16"/>
              </w:rPr>
            </w:pPr>
          </w:p>
        </w:tc>
        <w:tc>
          <w:tcPr>
            <w:tcW w:w="660" w:type="dxa"/>
            <w:gridSpan w:val="3"/>
            <w:tcBorders>
              <w:top w:val="single" w:sz="6" w:space="0" w:color="000000"/>
              <w:left w:val="single" w:sz="6" w:space="0" w:color="000000"/>
              <w:bottom w:val="single" w:sz="6" w:space="0" w:color="000000"/>
              <w:right w:val="single" w:sz="6" w:space="0" w:color="000000"/>
            </w:tcBorders>
          </w:tcPr>
          <w:p w14:paraId="347A10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660" w:type="dxa"/>
            <w:tcBorders>
              <w:top w:val="single" w:sz="6" w:space="0" w:color="000000"/>
              <w:left w:val="single" w:sz="6" w:space="0" w:color="000000"/>
              <w:bottom w:val="single" w:sz="6" w:space="0" w:color="000000"/>
              <w:right w:val="single" w:sz="12" w:space="0" w:color="000000"/>
            </w:tcBorders>
          </w:tcPr>
          <w:p w14:paraId="49E0F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r>
      <w:tr w:rsidR="00561F31" w:rsidRPr="00F90EAE" w14:paraId="5AF68DB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7A988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УЛа-7</w:t>
            </w:r>
          </w:p>
        </w:tc>
        <w:tc>
          <w:tcPr>
            <w:tcW w:w="550" w:type="dxa"/>
            <w:gridSpan w:val="3"/>
            <w:tcBorders>
              <w:top w:val="single" w:sz="6" w:space="0" w:color="000000"/>
              <w:left w:val="single" w:sz="6" w:space="0" w:color="000000"/>
              <w:bottom w:val="single" w:sz="6" w:space="0" w:color="000000"/>
              <w:right w:val="single" w:sz="6" w:space="0" w:color="000000"/>
            </w:tcBorders>
          </w:tcPr>
          <w:p w14:paraId="1DF059DD"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8B42F87"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902962"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C90582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893FD21"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6062D725"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4AE47F88"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AFD5D1F"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4EA4A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550" w:type="dxa"/>
            <w:tcBorders>
              <w:top w:val="single" w:sz="6" w:space="0" w:color="000000"/>
              <w:left w:val="single" w:sz="6" w:space="0" w:color="000000"/>
              <w:bottom w:val="single" w:sz="6" w:space="0" w:color="000000"/>
              <w:right w:val="single" w:sz="6" w:space="0" w:color="000000"/>
            </w:tcBorders>
          </w:tcPr>
          <w:p w14:paraId="4B38DA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660" w:type="dxa"/>
            <w:gridSpan w:val="3"/>
            <w:tcBorders>
              <w:top w:val="single" w:sz="6" w:space="0" w:color="000000"/>
              <w:left w:val="single" w:sz="6" w:space="0" w:color="000000"/>
              <w:bottom w:val="single" w:sz="6" w:space="0" w:color="000000"/>
              <w:right w:val="single" w:sz="6" w:space="0" w:color="000000"/>
            </w:tcBorders>
          </w:tcPr>
          <w:p w14:paraId="5F359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660" w:type="dxa"/>
            <w:tcBorders>
              <w:top w:val="single" w:sz="6" w:space="0" w:color="000000"/>
              <w:left w:val="single" w:sz="6" w:space="0" w:color="000000"/>
              <w:bottom w:val="single" w:sz="6" w:space="0" w:color="000000"/>
              <w:right w:val="single" w:sz="12" w:space="0" w:color="000000"/>
            </w:tcBorders>
          </w:tcPr>
          <w:p w14:paraId="260CFA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r>
      <w:tr w:rsidR="00561F31" w:rsidRPr="00F90EAE" w14:paraId="542CA6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3FA82A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УИл-2</w:t>
            </w:r>
          </w:p>
        </w:tc>
        <w:tc>
          <w:tcPr>
            <w:tcW w:w="550" w:type="dxa"/>
            <w:gridSpan w:val="3"/>
            <w:tcBorders>
              <w:top w:val="single" w:sz="6" w:space="0" w:color="000000"/>
              <w:left w:val="single" w:sz="6" w:space="0" w:color="000000"/>
              <w:bottom w:val="single" w:sz="6" w:space="0" w:color="000000"/>
              <w:right w:val="single" w:sz="6" w:space="0" w:color="000000"/>
            </w:tcBorders>
          </w:tcPr>
          <w:p w14:paraId="316337BA"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5DBB14"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4DEC6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550" w:type="dxa"/>
            <w:tcBorders>
              <w:top w:val="single" w:sz="6" w:space="0" w:color="000000"/>
              <w:left w:val="single" w:sz="6" w:space="0" w:color="000000"/>
              <w:bottom w:val="single" w:sz="6" w:space="0" w:color="000000"/>
              <w:right w:val="single" w:sz="6" w:space="0" w:color="000000"/>
            </w:tcBorders>
          </w:tcPr>
          <w:p w14:paraId="416A8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550" w:type="dxa"/>
            <w:gridSpan w:val="3"/>
            <w:tcBorders>
              <w:top w:val="single" w:sz="6" w:space="0" w:color="000000"/>
              <w:left w:val="single" w:sz="6" w:space="0" w:color="000000"/>
              <w:bottom w:val="single" w:sz="6" w:space="0" w:color="000000"/>
              <w:right w:val="single" w:sz="6" w:space="0" w:color="000000"/>
            </w:tcBorders>
          </w:tcPr>
          <w:p w14:paraId="2F06A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550" w:type="dxa"/>
            <w:tcBorders>
              <w:top w:val="single" w:sz="6" w:space="0" w:color="000000"/>
              <w:left w:val="single" w:sz="6" w:space="0" w:color="000000"/>
              <w:bottom w:val="single" w:sz="6" w:space="0" w:color="000000"/>
              <w:right w:val="single" w:sz="6" w:space="0" w:color="000000"/>
            </w:tcBorders>
          </w:tcPr>
          <w:p w14:paraId="2DF5B7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412</w:t>
            </w:r>
          </w:p>
        </w:tc>
        <w:tc>
          <w:tcPr>
            <w:tcW w:w="550" w:type="dxa"/>
            <w:gridSpan w:val="2"/>
            <w:tcBorders>
              <w:top w:val="single" w:sz="6" w:space="0" w:color="000000"/>
              <w:left w:val="single" w:sz="6" w:space="0" w:color="000000"/>
              <w:bottom w:val="single" w:sz="6" w:space="0" w:color="000000"/>
              <w:right w:val="single" w:sz="6" w:space="0" w:color="000000"/>
            </w:tcBorders>
          </w:tcPr>
          <w:p w14:paraId="468458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550" w:type="dxa"/>
            <w:tcBorders>
              <w:top w:val="single" w:sz="6" w:space="0" w:color="000000"/>
              <w:left w:val="single" w:sz="6" w:space="0" w:color="000000"/>
              <w:bottom w:val="single" w:sz="6" w:space="0" w:color="000000"/>
              <w:right w:val="single" w:sz="6" w:space="0" w:color="000000"/>
            </w:tcBorders>
          </w:tcPr>
          <w:p w14:paraId="5E52C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550" w:type="dxa"/>
            <w:gridSpan w:val="3"/>
            <w:tcBorders>
              <w:top w:val="single" w:sz="6" w:space="0" w:color="000000"/>
              <w:left w:val="single" w:sz="6" w:space="0" w:color="000000"/>
              <w:bottom w:val="single" w:sz="6" w:space="0" w:color="000000"/>
              <w:right w:val="single" w:sz="6" w:space="0" w:color="000000"/>
            </w:tcBorders>
          </w:tcPr>
          <w:p w14:paraId="283F7F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550" w:type="dxa"/>
            <w:tcBorders>
              <w:top w:val="single" w:sz="6" w:space="0" w:color="000000"/>
              <w:left w:val="single" w:sz="6" w:space="0" w:color="000000"/>
              <w:bottom w:val="single" w:sz="6" w:space="0" w:color="000000"/>
              <w:right w:val="single" w:sz="6" w:space="0" w:color="000000"/>
            </w:tcBorders>
          </w:tcPr>
          <w:p w14:paraId="26FEB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370</w:t>
            </w:r>
          </w:p>
        </w:tc>
        <w:tc>
          <w:tcPr>
            <w:tcW w:w="660" w:type="dxa"/>
            <w:gridSpan w:val="3"/>
            <w:tcBorders>
              <w:top w:val="single" w:sz="6" w:space="0" w:color="000000"/>
              <w:left w:val="single" w:sz="6" w:space="0" w:color="000000"/>
              <w:bottom w:val="single" w:sz="6" w:space="0" w:color="000000"/>
              <w:right w:val="single" w:sz="6" w:space="0" w:color="000000"/>
            </w:tcBorders>
          </w:tcPr>
          <w:p w14:paraId="14AADA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814</w:t>
            </w:r>
          </w:p>
        </w:tc>
        <w:tc>
          <w:tcPr>
            <w:tcW w:w="660" w:type="dxa"/>
            <w:tcBorders>
              <w:top w:val="single" w:sz="6" w:space="0" w:color="000000"/>
              <w:left w:val="single" w:sz="6" w:space="0" w:color="000000"/>
              <w:bottom w:val="single" w:sz="6" w:space="0" w:color="000000"/>
              <w:right w:val="single" w:sz="12" w:space="0" w:color="000000"/>
            </w:tcBorders>
          </w:tcPr>
          <w:p w14:paraId="7983E6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1206</w:t>
            </w:r>
          </w:p>
        </w:tc>
      </w:tr>
      <w:tr w:rsidR="00561F31" w:rsidRPr="00F90EAE" w14:paraId="4EADF86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500670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УПе-2</w:t>
            </w:r>
          </w:p>
        </w:tc>
        <w:tc>
          <w:tcPr>
            <w:tcW w:w="550" w:type="dxa"/>
            <w:gridSpan w:val="3"/>
            <w:tcBorders>
              <w:top w:val="single" w:sz="6" w:space="0" w:color="000000"/>
              <w:left w:val="single" w:sz="6" w:space="0" w:color="000000"/>
              <w:bottom w:val="single" w:sz="6" w:space="0" w:color="000000"/>
              <w:right w:val="single" w:sz="6" w:space="0" w:color="000000"/>
            </w:tcBorders>
          </w:tcPr>
          <w:p w14:paraId="221EE936"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6E57019"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B0A1A63"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DA347B8"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0C032C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550" w:type="dxa"/>
            <w:tcBorders>
              <w:top w:val="single" w:sz="6" w:space="0" w:color="000000"/>
              <w:left w:val="single" w:sz="6" w:space="0" w:color="000000"/>
              <w:bottom w:val="single" w:sz="6" w:space="0" w:color="000000"/>
              <w:right w:val="single" w:sz="6" w:space="0" w:color="000000"/>
            </w:tcBorders>
          </w:tcPr>
          <w:p w14:paraId="70C15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w:t>
            </w:r>
          </w:p>
        </w:tc>
        <w:tc>
          <w:tcPr>
            <w:tcW w:w="550" w:type="dxa"/>
            <w:gridSpan w:val="2"/>
            <w:tcBorders>
              <w:top w:val="single" w:sz="6" w:space="0" w:color="000000"/>
              <w:left w:val="single" w:sz="6" w:space="0" w:color="000000"/>
              <w:bottom w:val="single" w:sz="6" w:space="0" w:color="000000"/>
              <w:right w:val="single" w:sz="6" w:space="0" w:color="000000"/>
            </w:tcBorders>
          </w:tcPr>
          <w:p w14:paraId="44ACC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550" w:type="dxa"/>
            <w:tcBorders>
              <w:top w:val="single" w:sz="6" w:space="0" w:color="000000"/>
              <w:left w:val="single" w:sz="6" w:space="0" w:color="000000"/>
              <w:bottom w:val="single" w:sz="6" w:space="0" w:color="000000"/>
              <w:right w:val="single" w:sz="6" w:space="0" w:color="000000"/>
            </w:tcBorders>
          </w:tcPr>
          <w:p w14:paraId="3312C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w:t>
            </w:r>
          </w:p>
        </w:tc>
        <w:tc>
          <w:tcPr>
            <w:tcW w:w="550" w:type="dxa"/>
            <w:gridSpan w:val="3"/>
            <w:tcBorders>
              <w:top w:val="single" w:sz="6" w:space="0" w:color="000000"/>
              <w:left w:val="single" w:sz="6" w:space="0" w:color="000000"/>
              <w:bottom w:val="single" w:sz="6" w:space="0" w:color="000000"/>
              <w:right w:val="single" w:sz="6" w:space="0" w:color="000000"/>
            </w:tcBorders>
          </w:tcPr>
          <w:p w14:paraId="72FD7E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550" w:type="dxa"/>
            <w:tcBorders>
              <w:top w:val="single" w:sz="6" w:space="0" w:color="000000"/>
              <w:left w:val="single" w:sz="6" w:space="0" w:color="000000"/>
              <w:bottom w:val="single" w:sz="6" w:space="0" w:color="000000"/>
              <w:right w:val="single" w:sz="6" w:space="0" w:color="000000"/>
            </w:tcBorders>
          </w:tcPr>
          <w:p w14:paraId="01EF3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426</w:t>
            </w:r>
          </w:p>
        </w:tc>
        <w:tc>
          <w:tcPr>
            <w:tcW w:w="660" w:type="dxa"/>
            <w:gridSpan w:val="3"/>
            <w:tcBorders>
              <w:top w:val="single" w:sz="6" w:space="0" w:color="000000"/>
              <w:left w:val="single" w:sz="6" w:space="0" w:color="000000"/>
              <w:bottom w:val="single" w:sz="6" w:space="0" w:color="000000"/>
              <w:right w:val="single" w:sz="6" w:space="0" w:color="000000"/>
            </w:tcBorders>
          </w:tcPr>
          <w:p w14:paraId="501D60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605</w:t>
            </w:r>
          </w:p>
        </w:tc>
        <w:tc>
          <w:tcPr>
            <w:tcW w:w="660" w:type="dxa"/>
            <w:tcBorders>
              <w:top w:val="single" w:sz="6" w:space="0" w:color="000000"/>
              <w:left w:val="single" w:sz="6" w:space="0" w:color="000000"/>
              <w:bottom w:val="single" w:sz="6" w:space="0" w:color="000000"/>
              <w:right w:val="single" w:sz="12" w:space="0" w:color="000000"/>
            </w:tcBorders>
          </w:tcPr>
          <w:p w14:paraId="12187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671</w:t>
            </w:r>
          </w:p>
        </w:tc>
      </w:tr>
      <w:tr w:rsidR="00561F31" w:rsidRPr="00F90EAE" w14:paraId="3A3472C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31FF4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УИл-10</w:t>
            </w:r>
          </w:p>
        </w:tc>
        <w:tc>
          <w:tcPr>
            <w:tcW w:w="550" w:type="dxa"/>
            <w:gridSpan w:val="3"/>
            <w:tcBorders>
              <w:top w:val="single" w:sz="6" w:space="0" w:color="000000"/>
              <w:left w:val="single" w:sz="6" w:space="0" w:color="000000"/>
              <w:bottom w:val="single" w:sz="6" w:space="0" w:color="000000"/>
              <w:right w:val="single" w:sz="6" w:space="0" w:color="000000"/>
            </w:tcBorders>
          </w:tcPr>
          <w:p w14:paraId="7BF63464"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F44D8BE"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7F3BB787"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30FCB353"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978459A"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4613059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62CACAEC"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8D7A1BE"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2364BF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w:t>
            </w:r>
          </w:p>
        </w:tc>
        <w:tc>
          <w:tcPr>
            <w:tcW w:w="550" w:type="dxa"/>
            <w:tcBorders>
              <w:top w:val="single" w:sz="6" w:space="0" w:color="000000"/>
              <w:left w:val="single" w:sz="6" w:space="0" w:color="000000"/>
              <w:bottom w:val="single" w:sz="6" w:space="0" w:color="000000"/>
              <w:right w:val="single" w:sz="6" w:space="0" w:color="000000"/>
            </w:tcBorders>
          </w:tcPr>
          <w:p w14:paraId="6B25B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227</w:t>
            </w:r>
          </w:p>
        </w:tc>
        <w:tc>
          <w:tcPr>
            <w:tcW w:w="660" w:type="dxa"/>
            <w:gridSpan w:val="3"/>
            <w:tcBorders>
              <w:top w:val="single" w:sz="6" w:space="0" w:color="000000"/>
              <w:left w:val="single" w:sz="6" w:space="0" w:color="000000"/>
              <w:bottom w:val="single" w:sz="6" w:space="0" w:color="000000"/>
              <w:right w:val="single" w:sz="6" w:space="0" w:color="000000"/>
            </w:tcBorders>
          </w:tcPr>
          <w:p w14:paraId="220539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w:t>
            </w:r>
          </w:p>
        </w:tc>
        <w:tc>
          <w:tcPr>
            <w:tcW w:w="660" w:type="dxa"/>
            <w:tcBorders>
              <w:top w:val="single" w:sz="6" w:space="0" w:color="000000"/>
              <w:left w:val="single" w:sz="6" w:space="0" w:color="000000"/>
              <w:bottom w:val="single" w:sz="6" w:space="0" w:color="000000"/>
              <w:right w:val="single" w:sz="12" w:space="0" w:color="000000"/>
            </w:tcBorders>
          </w:tcPr>
          <w:p w14:paraId="3D7E88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227</w:t>
            </w:r>
          </w:p>
        </w:tc>
      </w:tr>
      <w:tr w:rsidR="00561F31" w:rsidRPr="00F90EAE" w14:paraId="05038CC8"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0923B2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УТу-2</w:t>
            </w:r>
          </w:p>
        </w:tc>
        <w:tc>
          <w:tcPr>
            <w:tcW w:w="550" w:type="dxa"/>
            <w:gridSpan w:val="3"/>
            <w:tcBorders>
              <w:top w:val="single" w:sz="6" w:space="0" w:color="000000"/>
              <w:left w:val="single" w:sz="6" w:space="0" w:color="000000"/>
              <w:bottom w:val="single" w:sz="6" w:space="0" w:color="000000"/>
              <w:right w:val="single" w:sz="6" w:space="0" w:color="000000"/>
            </w:tcBorders>
          </w:tcPr>
          <w:p w14:paraId="397D1449"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0E801136"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6220EC2D"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41176F5"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4D0D4B1A"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120703D5"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2"/>
            <w:tcBorders>
              <w:top w:val="single" w:sz="6" w:space="0" w:color="000000"/>
              <w:left w:val="single" w:sz="6" w:space="0" w:color="000000"/>
              <w:bottom w:val="single" w:sz="6" w:space="0" w:color="000000"/>
              <w:right w:val="single" w:sz="6" w:space="0" w:color="000000"/>
            </w:tcBorders>
          </w:tcPr>
          <w:p w14:paraId="322ABE9F" w14:textId="77777777" w:rsidR="00665165" w:rsidRPr="00F90EAE" w:rsidRDefault="00665165" w:rsidP="00F90EAE">
            <w:pPr>
              <w:autoSpaceDE w:val="0"/>
              <w:autoSpaceDN w:val="0"/>
              <w:adjustRightInd w:val="0"/>
              <w:jc w:val="both"/>
              <w:rPr>
                <w:color w:val="000000" w:themeColor="text1"/>
                <w:sz w:val="16"/>
                <w:szCs w:val="16"/>
              </w:rPr>
            </w:pPr>
          </w:p>
        </w:tc>
        <w:tc>
          <w:tcPr>
            <w:tcW w:w="550" w:type="dxa"/>
            <w:tcBorders>
              <w:top w:val="single" w:sz="6" w:space="0" w:color="000000"/>
              <w:left w:val="single" w:sz="6" w:space="0" w:color="000000"/>
              <w:bottom w:val="single" w:sz="6" w:space="0" w:color="000000"/>
              <w:right w:val="single" w:sz="6" w:space="0" w:color="000000"/>
            </w:tcBorders>
          </w:tcPr>
          <w:p w14:paraId="2CDFB51A" w14:textId="77777777" w:rsidR="00665165" w:rsidRPr="00F90EAE" w:rsidRDefault="00665165" w:rsidP="00F90EAE">
            <w:pPr>
              <w:autoSpaceDE w:val="0"/>
              <w:autoSpaceDN w:val="0"/>
              <w:adjustRightInd w:val="0"/>
              <w:jc w:val="both"/>
              <w:rPr>
                <w:color w:val="000000" w:themeColor="text1"/>
                <w:sz w:val="16"/>
                <w:szCs w:val="16"/>
              </w:rPr>
            </w:pPr>
          </w:p>
        </w:tc>
        <w:tc>
          <w:tcPr>
            <w:tcW w:w="550" w:type="dxa"/>
            <w:gridSpan w:val="3"/>
            <w:tcBorders>
              <w:top w:val="single" w:sz="6" w:space="0" w:color="000000"/>
              <w:left w:val="single" w:sz="6" w:space="0" w:color="000000"/>
              <w:bottom w:val="single" w:sz="6" w:space="0" w:color="000000"/>
              <w:right w:val="single" w:sz="6" w:space="0" w:color="000000"/>
            </w:tcBorders>
          </w:tcPr>
          <w:p w14:paraId="1D336A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550" w:type="dxa"/>
            <w:tcBorders>
              <w:top w:val="single" w:sz="6" w:space="0" w:color="000000"/>
              <w:left w:val="single" w:sz="6" w:space="0" w:color="000000"/>
              <w:bottom w:val="single" w:sz="6" w:space="0" w:color="000000"/>
              <w:right w:val="single" w:sz="6" w:space="0" w:color="000000"/>
            </w:tcBorders>
          </w:tcPr>
          <w:p w14:paraId="58778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660" w:type="dxa"/>
            <w:gridSpan w:val="3"/>
            <w:tcBorders>
              <w:top w:val="single" w:sz="6" w:space="0" w:color="000000"/>
              <w:left w:val="single" w:sz="6" w:space="0" w:color="000000"/>
              <w:bottom w:val="single" w:sz="6" w:space="0" w:color="000000"/>
              <w:right w:val="single" w:sz="6" w:space="0" w:color="000000"/>
            </w:tcBorders>
          </w:tcPr>
          <w:p w14:paraId="7CC051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660" w:type="dxa"/>
            <w:tcBorders>
              <w:top w:val="single" w:sz="6" w:space="0" w:color="000000"/>
              <w:left w:val="single" w:sz="6" w:space="0" w:color="000000"/>
              <w:bottom w:val="single" w:sz="6" w:space="0" w:color="000000"/>
              <w:right w:val="single" w:sz="12" w:space="0" w:color="000000"/>
            </w:tcBorders>
          </w:tcPr>
          <w:p w14:paraId="7909B8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r>
      <w:tr w:rsidR="00561F31" w:rsidRPr="00F90EAE" w14:paraId="027D42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6" w:space="0" w:color="000000"/>
              <w:right w:val="single" w:sz="6" w:space="0" w:color="000000"/>
            </w:tcBorders>
          </w:tcPr>
          <w:p w14:paraId="743C9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550" w:type="dxa"/>
            <w:gridSpan w:val="3"/>
            <w:tcBorders>
              <w:top w:val="single" w:sz="6" w:space="0" w:color="000000"/>
              <w:left w:val="single" w:sz="6" w:space="0" w:color="000000"/>
              <w:bottom w:val="single" w:sz="6" w:space="0" w:color="000000"/>
              <w:right w:val="single" w:sz="6" w:space="0" w:color="000000"/>
            </w:tcBorders>
          </w:tcPr>
          <w:p w14:paraId="53393B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2585</w:t>
            </w:r>
          </w:p>
        </w:tc>
        <w:tc>
          <w:tcPr>
            <w:tcW w:w="550" w:type="dxa"/>
            <w:tcBorders>
              <w:top w:val="single" w:sz="6" w:space="0" w:color="000000"/>
              <w:left w:val="single" w:sz="6" w:space="0" w:color="000000"/>
              <w:bottom w:val="single" w:sz="6" w:space="0" w:color="000000"/>
              <w:right w:val="single" w:sz="6" w:space="0" w:color="000000"/>
            </w:tcBorders>
          </w:tcPr>
          <w:p w14:paraId="55A356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3101</w:t>
            </w:r>
          </w:p>
        </w:tc>
        <w:tc>
          <w:tcPr>
            <w:tcW w:w="550" w:type="dxa"/>
            <w:gridSpan w:val="3"/>
            <w:tcBorders>
              <w:top w:val="single" w:sz="6" w:space="0" w:color="000000"/>
              <w:left w:val="single" w:sz="6" w:space="0" w:color="000000"/>
              <w:bottom w:val="single" w:sz="6" w:space="0" w:color="000000"/>
              <w:right w:val="single" w:sz="6" w:space="0" w:color="000000"/>
            </w:tcBorders>
          </w:tcPr>
          <w:p w14:paraId="763957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3339</w:t>
            </w:r>
          </w:p>
        </w:tc>
        <w:tc>
          <w:tcPr>
            <w:tcW w:w="550" w:type="dxa"/>
            <w:tcBorders>
              <w:top w:val="single" w:sz="6" w:space="0" w:color="000000"/>
              <w:left w:val="single" w:sz="6" w:space="0" w:color="000000"/>
              <w:bottom w:val="single" w:sz="6" w:space="0" w:color="000000"/>
              <w:right w:val="single" w:sz="6" w:space="0" w:color="000000"/>
            </w:tcBorders>
          </w:tcPr>
          <w:p w14:paraId="10E605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3432</w:t>
            </w:r>
          </w:p>
        </w:tc>
        <w:tc>
          <w:tcPr>
            <w:tcW w:w="550" w:type="dxa"/>
            <w:gridSpan w:val="3"/>
            <w:tcBorders>
              <w:top w:val="single" w:sz="6" w:space="0" w:color="000000"/>
              <w:left w:val="single" w:sz="6" w:space="0" w:color="000000"/>
              <w:bottom w:val="single" w:sz="6" w:space="0" w:color="000000"/>
              <w:right w:val="single" w:sz="6" w:space="0" w:color="000000"/>
            </w:tcBorders>
          </w:tcPr>
          <w:p w14:paraId="63619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4094</w:t>
            </w:r>
          </w:p>
        </w:tc>
        <w:tc>
          <w:tcPr>
            <w:tcW w:w="550" w:type="dxa"/>
            <w:tcBorders>
              <w:top w:val="single" w:sz="6" w:space="0" w:color="000000"/>
              <w:left w:val="single" w:sz="6" w:space="0" w:color="000000"/>
              <w:bottom w:val="single" w:sz="6" w:space="0" w:color="000000"/>
              <w:right w:val="single" w:sz="6" w:space="0" w:color="000000"/>
            </w:tcBorders>
          </w:tcPr>
          <w:p w14:paraId="318A9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4554</w:t>
            </w:r>
          </w:p>
        </w:tc>
        <w:tc>
          <w:tcPr>
            <w:tcW w:w="550" w:type="dxa"/>
            <w:gridSpan w:val="2"/>
            <w:tcBorders>
              <w:top w:val="single" w:sz="6" w:space="0" w:color="000000"/>
              <w:left w:val="single" w:sz="6" w:space="0" w:color="000000"/>
              <w:bottom w:val="single" w:sz="6" w:space="0" w:color="000000"/>
              <w:right w:val="single" w:sz="6" w:space="0" w:color="000000"/>
            </w:tcBorders>
          </w:tcPr>
          <w:p w14:paraId="2DC3A8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6154</w:t>
            </w:r>
          </w:p>
        </w:tc>
        <w:tc>
          <w:tcPr>
            <w:tcW w:w="550" w:type="dxa"/>
            <w:tcBorders>
              <w:top w:val="single" w:sz="6" w:space="0" w:color="000000"/>
              <w:left w:val="single" w:sz="6" w:space="0" w:color="000000"/>
              <w:bottom w:val="single" w:sz="6" w:space="0" w:color="000000"/>
              <w:right w:val="single" w:sz="6" w:space="0" w:color="000000"/>
            </w:tcBorders>
          </w:tcPr>
          <w:p w14:paraId="461EDE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6008</w:t>
            </w:r>
          </w:p>
        </w:tc>
        <w:tc>
          <w:tcPr>
            <w:tcW w:w="550" w:type="dxa"/>
            <w:gridSpan w:val="3"/>
            <w:tcBorders>
              <w:top w:val="single" w:sz="6" w:space="0" w:color="000000"/>
              <w:left w:val="single" w:sz="6" w:space="0" w:color="000000"/>
              <w:bottom w:val="single" w:sz="6" w:space="0" w:color="000000"/>
              <w:right w:val="single" w:sz="6" w:space="0" w:color="000000"/>
            </w:tcBorders>
          </w:tcPr>
          <w:p w14:paraId="2953C2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6073</w:t>
            </w:r>
          </w:p>
        </w:tc>
        <w:tc>
          <w:tcPr>
            <w:tcW w:w="550" w:type="dxa"/>
            <w:tcBorders>
              <w:top w:val="single" w:sz="6" w:space="0" w:color="000000"/>
              <w:left w:val="single" w:sz="6" w:space="0" w:color="000000"/>
              <w:bottom w:val="single" w:sz="6" w:space="0" w:color="000000"/>
              <w:right w:val="single" w:sz="6" w:space="0" w:color="000000"/>
            </w:tcBorders>
          </w:tcPr>
          <w:p w14:paraId="0D4CA6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5662</w:t>
            </w:r>
          </w:p>
        </w:tc>
        <w:tc>
          <w:tcPr>
            <w:tcW w:w="660" w:type="dxa"/>
            <w:gridSpan w:val="3"/>
            <w:tcBorders>
              <w:top w:val="single" w:sz="6" w:space="0" w:color="000000"/>
              <w:left w:val="single" w:sz="6" w:space="0" w:color="000000"/>
              <w:bottom w:val="single" w:sz="6" w:space="0" w:color="000000"/>
              <w:right w:val="single" w:sz="6" w:space="0" w:color="000000"/>
            </w:tcBorders>
          </w:tcPr>
          <w:p w14:paraId="509727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22245</w:t>
            </w:r>
          </w:p>
        </w:tc>
        <w:tc>
          <w:tcPr>
            <w:tcW w:w="660" w:type="dxa"/>
            <w:tcBorders>
              <w:top w:val="single" w:sz="6" w:space="0" w:color="000000"/>
              <w:left w:val="single" w:sz="6" w:space="0" w:color="000000"/>
              <w:bottom w:val="single" w:sz="6" w:space="0" w:color="000000"/>
              <w:right w:val="single" w:sz="12" w:space="0" w:color="000000"/>
            </w:tcBorders>
          </w:tcPr>
          <w:p w14:paraId="51C80B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22757</w:t>
            </w:r>
          </w:p>
        </w:tc>
      </w:tr>
      <w:tr w:rsidR="00561F31" w:rsidRPr="00F90EAE" w14:paraId="2CB5C65C"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32" w:type="dxa"/>
            <w:tcBorders>
              <w:top w:val="single" w:sz="6" w:space="0" w:color="000000"/>
              <w:left w:val="single" w:sz="12" w:space="0" w:color="000000"/>
              <w:bottom w:val="single" w:sz="12" w:space="0" w:color="000000"/>
              <w:right w:val="single" w:sz="6" w:space="0" w:color="000000"/>
            </w:tcBorders>
          </w:tcPr>
          <w:p w14:paraId="1A76DB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самолетов:</w:t>
            </w:r>
          </w:p>
        </w:tc>
        <w:tc>
          <w:tcPr>
            <w:tcW w:w="550" w:type="dxa"/>
            <w:gridSpan w:val="3"/>
            <w:tcBorders>
              <w:top w:val="single" w:sz="6" w:space="0" w:color="000000"/>
              <w:left w:val="single" w:sz="6" w:space="0" w:color="000000"/>
              <w:bottom w:val="single" w:sz="12" w:space="0" w:color="000000"/>
              <w:right w:val="single" w:sz="6" w:space="0" w:color="000000"/>
            </w:tcBorders>
          </w:tcPr>
          <w:p w14:paraId="5CDEF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18186</w:t>
            </w:r>
          </w:p>
        </w:tc>
        <w:tc>
          <w:tcPr>
            <w:tcW w:w="550" w:type="dxa"/>
            <w:tcBorders>
              <w:top w:val="single" w:sz="6" w:space="0" w:color="000000"/>
              <w:left w:val="single" w:sz="6" w:space="0" w:color="000000"/>
              <w:bottom w:val="single" w:sz="12" w:space="0" w:color="000000"/>
              <w:right w:val="single" w:sz="6" w:space="0" w:color="000000"/>
            </w:tcBorders>
          </w:tcPr>
          <w:p w14:paraId="706CC7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15874</w:t>
            </w:r>
          </w:p>
        </w:tc>
        <w:tc>
          <w:tcPr>
            <w:tcW w:w="550" w:type="dxa"/>
            <w:gridSpan w:val="3"/>
            <w:tcBorders>
              <w:top w:val="single" w:sz="6" w:space="0" w:color="000000"/>
              <w:left w:val="single" w:sz="6" w:space="0" w:color="000000"/>
              <w:bottom w:val="single" w:sz="12" w:space="0" w:color="000000"/>
              <w:right w:val="single" w:sz="6" w:space="0" w:color="000000"/>
            </w:tcBorders>
          </w:tcPr>
          <w:p w14:paraId="1834EF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25180</w:t>
            </w:r>
          </w:p>
        </w:tc>
        <w:tc>
          <w:tcPr>
            <w:tcW w:w="550" w:type="dxa"/>
            <w:tcBorders>
              <w:top w:val="single" w:sz="6" w:space="0" w:color="000000"/>
              <w:left w:val="single" w:sz="6" w:space="0" w:color="000000"/>
              <w:bottom w:val="single" w:sz="12" w:space="0" w:color="000000"/>
              <w:right w:val="single" w:sz="6" w:space="0" w:color="000000"/>
            </w:tcBorders>
          </w:tcPr>
          <w:p w14:paraId="41CCF9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25240</w:t>
            </w:r>
          </w:p>
        </w:tc>
        <w:tc>
          <w:tcPr>
            <w:tcW w:w="550" w:type="dxa"/>
            <w:gridSpan w:val="3"/>
            <w:tcBorders>
              <w:top w:val="single" w:sz="6" w:space="0" w:color="000000"/>
              <w:left w:val="single" w:sz="6" w:space="0" w:color="000000"/>
              <w:bottom w:val="single" w:sz="12" w:space="0" w:color="000000"/>
              <w:right w:val="single" w:sz="6" w:space="0" w:color="000000"/>
            </w:tcBorders>
          </w:tcPr>
          <w:p w14:paraId="6F9E8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34044</w:t>
            </w:r>
          </w:p>
        </w:tc>
        <w:tc>
          <w:tcPr>
            <w:tcW w:w="550" w:type="dxa"/>
            <w:tcBorders>
              <w:top w:val="single" w:sz="6" w:space="0" w:color="000000"/>
              <w:left w:val="single" w:sz="6" w:space="0" w:color="000000"/>
              <w:bottom w:val="single" w:sz="12" w:space="0" w:color="000000"/>
              <w:right w:val="single" w:sz="6" w:space="0" w:color="000000"/>
            </w:tcBorders>
          </w:tcPr>
          <w:p w14:paraId="2F4446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34736</w:t>
            </w:r>
          </w:p>
        </w:tc>
        <w:tc>
          <w:tcPr>
            <w:tcW w:w="550" w:type="dxa"/>
            <w:gridSpan w:val="2"/>
            <w:tcBorders>
              <w:top w:val="single" w:sz="6" w:space="0" w:color="000000"/>
              <w:left w:val="single" w:sz="6" w:space="0" w:color="000000"/>
              <w:bottom w:val="single" w:sz="12" w:space="0" w:color="000000"/>
              <w:right w:val="single" w:sz="6" w:space="0" w:color="000000"/>
            </w:tcBorders>
          </w:tcPr>
          <w:p w14:paraId="696369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40098</w:t>
            </w:r>
          </w:p>
        </w:tc>
        <w:tc>
          <w:tcPr>
            <w:tcW w:w="550" w:type="dxa"/>
            <w:tcBorders>
              <w:top w:val="single" w:sz="6" w:space="0" w:color="000000"/>
              <w:left w:val="single" w:sz="6" w:space="0" w:color="000000"/>
              <w:bottom w:val="single" w:sz="12" w:space="0" w:color="000000"/>
              <w:right w:val="single" w:sz="6" w:space="0" w:color="000000"/>
            </w:tcBorders>
          </w:tcPr>
          <w:p w14:paraId="25C37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40152</w:t>
            </w:r>
          </w:p>
        </w:tc>
        <w:tc>
          <w:tcPr>
            <w:tcW w:w="550" w:type="dxa"/>
            <w:gridSpan w:val="3"/>
            <w:tcBorders>
              <w:top w:val="single" w:sz="6" w:space="0" w:color="000000"/>
              <w:left w:val="single" w:sz="6" w:space="0" w:color="000000"/>
              <w:bottom w:val="single" w:sz="12" w:space="0" w:color="000000"/>
              <w:right w:val="single" w:sz="6" w:space="0" w:color="000000"/>
            </w:tcBorders>
          </w:tcPr>
          <w:p w14:paraId="57E2A5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26733</w:t>
            </w:r>
          </w:p>
        </w:tc>
        <w:tc>
          <w:tcPr>
            <w:tcW w:w="550" w:type="dxa"/>
            <w:tcBorders>
              <w:top w:val="single" w:sz="6" w:space="0" w:color="000000"/>
              <w:left w:val="single" w:sz="6" w:space="0" w:color="000000"/>
              <w:bottom w:val="single" w:sz="12" w:space="0" w:color="000000"/>
              <w:right w:val="single" w:sz="6" w:space="0" w:color="000000"/>
            </w:tcBorders>
          </w:tcPr>
          <w:p w14:paraId="2CF135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26071</w:t>
            </w:r>
          </w:p>
        </w:tc>
        <w:tc>
          <w:tcPr>
            <w:tcW w:w="660" w:type="dxa"/>
            <w:gridSpan w:val="3"/>
            <w:tcBorders>
              <w:top w:val="single" w:sz="6" w:space="0" w:color="000000"/>
              <w:left w:val="single" w:sz="6" w:space="0" w:color="000000"/>
              <w:bottom w:val="single" w:sz="12" w:space="0" w:color="000000"/>
              <w:right w:val="single" w:sz="6" w:space="0" w:color="000000"/>
            </w:tcBorders>
          </w:tcPr>
          <w:p w14:paraId="3C983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144241</w:t>
            </w:r>
          </w:p>
        </w:tc>
        <w:tc>
          <w:tcPr>
            <w:tcW w:w="660" w:type="dxa"/>
            <w:tcBorders>
              <w:top w:val="single" w:sz="6" w:space="0" w:color="000000"/>
              <w:left w:val="single" w:sz="6" w:space="0" w:color="000000"/>
              <w:bottom w:val="single" w:sz="12" w:space="0" w:color="000000"/>
              <w:right w:val="single" w:sz="12" w:space="0" w:color="000000"/>
            </w:tcBorders>
          </w:tcPr>
          <w:p w14:paraId="36671C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142073</w:t>
            </w:r>
          </w:p>
        </w:tc>
      </w:tr>
    </w:tbl>
    <w:p w14:paraId="5487921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Отдел мобпланирования ГШ ВВС, д.103, лл.1-22.</w:t>
      </w:r>
    </w:p>
    <w:p w14:paraId="6FFC279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Прочерком (–) в таблице показано, что самолеты данного типа не производились (11016).</w:t>
      </w:r>
    </w:p>
    <w:p w14:paraId="37879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импортных самолетов в ВВС КА за 1941-1945 гг.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489"/>
        <w:gridCol w:w="1464"/>
        <w:gridCol w:w="1235"/>
        <w:gridCol w:w="517"/>
        <w:gridCol w:w="517"/>
        <w:gridCol w:w="517"/>
        <w:gridCol w:w="430"/>
        <w:gridCol w:w="387"/>
        <w:gridCol w:w="1800"/>
      </w:tblGrid>
      <w:tr w:rsidR="00561F31" w:rsidRPr="00F90EAE" w14:paraId="350F330F" w14:textId="77777777" w:rsidTr="00665165">
        <w:tc>
          <w:tcPr>
            <w:tcW w:w="2489" w:type="dxa"/>
            <w:tcBorders>
              <w:top w:val="single" w:sz="12" w:space="0" w:color="000000"/>
            </w:tcBorders>
          </w:tcPr>
          <w:p w14:paraId="68CFD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типов самолетов</w:t>
            </w:r>
          </w:p>
        </w:tc>
        <w:tc>
          <w:tcPr>
            <w:tcW w:w="1464" w:type="dxa"/>
            <w:gridSpan w:val="5"/>
            <w:tcBorders>
              <w:top w:val="single" w:sz="12" w:space="0" w:color="000000"/>
            </w:tcBorders>
          </w:tcPr>
          <w:p w14:paraId="093D1C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самолетов по годам</w:t>
            </w:r>
          </w:p>
        </w:tc>
        <w:tc>
          <w:tcPr>
            <w:tcW w:w="430" w:type="dxa"/>
            <w:gridSpan w:val="2"/>
            <w:tcBorders>
              <w:top w:val="single" w:sz="12" w:space="0" w:color="000000"/>
            </w:tcBorders>
          </w:tcPr>
          <w:p w14:paraId="087984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{2}</w:t>
            </w:r>
          </w:p>
        </w:tc>
        <w:tc>
          <w:tcPr>
            <w:tcW w:w="1800" w:type="dxa"/>
            <w:tcBorders>
              <w:top w:val="single" w:sz="12" w:space="0" w:color="000000"/>
            </w:tcBorders>
          </w:tcPr>
          <w:p w14:paraId="38C9E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Напечатано в таблице</w:t>
            </w:r>
          </w:p>
        </w:tc>
      </w:tr>
      <w:tr w:rsidR="00561F31" w:rsidRPr="00F90EAE" w14:paraId="260FB8B2" w14:textId="77777777" w:rsidTr="00665165">
        <w:tc>
          <w:tcPr>
            <w:tcW w:w="2489" w:type="dxa"/>
          </w:tcPr>
          <w:p w14:paraId="23268757" w14:textId="77777777" w:rsidR="00665165" w:rsidRPr="00F90EAE" w:rsidRDefault="00665165" w:rsidP="00F90EAE">
            <w:pPr>
              <w:autoSpaceDE w:val="0"/>
              <w:autoSpaceDN w:val="0"/>
              <w:adjustRightInd w:val="0"/>
              <w:jc w:val="both"/>
              <w:rPr>
                <w:color w:val="000000" w:themeColor="text1"/>
                <w:sz w:val="16"/>
                <w:szCs w:val="16"/>
              </w:rPr>
            </w:pPr>
          </w:p>
        </w:tc>
        <w:tc>
          <w:tcPr>
            <w:tcW w:w="1464" w:type="dxa"/>
          </w:tcPr>
          <w:p w14:paraId="1822D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235" w:type="dxa"/>
          </w:tcPr>
          <w:p w14:paraId="0B1D4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517" w:type="dxa"/>
          </w:tcPr>
          <w:p w14:paraId="7DE1D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517" w:type="dxa"/>
          </w:tcPr>
          <w:p w14:paraId="5C62CB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517" w:type="dxa"/>
          </w:tcPr>
          <w:p w14:paraId="551BA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430" w:type="dxa"/>
            <w:gridSpan w:val="2"/>
          </w:tcPr>
          <w:p w14:paraId="214E9BC8" w14:textId="77777777" w:rsidR="00665165" w:rsidRPr="00F90EAE" w:rsidRDefault="00665165" w:rsidP="00F90EAE">
            <w:pPr>
              <w:autoSpaceDE w:val="0"/>
              <w:autoSpaceDN w:val="0"/>
              <w:adjustRightInd w:val="0"/>
              <w:jc w:val="both"/>
              <w:rPr>
                <w:color w:val="000000" w:themeColor="text1"/>
                <w:sz w:val="16"/>
                <w:szCs w:val="16"/>
              </w:rPr>
            </w:pPr>
          </w:p>
        </w:tc>
        <w:tc>
          <w:tcPr>
            <w:tcW w:w="1800" w:type="dxa"/>
          </w:tcPr>
          <w:p w14:paraId="5FBB0DD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69305F5" w14:textId="77777777" w:rsidTr="00665165">
        <w:tc>
          <w:tcPr>
            <w:tcW w:w="2489" w:type="dxa"/>
            <w:gridSpan w:val="9"/>
          </w:tcPr>
          <w:p w14:paraId="442D3D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r>
      <w:tr w:rsidR="00561F31" w:rsidRPr="00F90EAE" w14:paraId="6D8EF620" w14:textId="77777777">
        <w:tc>
          <w:tcPr>
            <w:tcW w:w="2489" w:type="dxa"/>
          </w:tcPr>
          <w:p w14:paraId="21585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Дуглас (А-20)</w:t>
            </w:r>
          </w:p>
        </w:tc>
        <w:tc>
          <w:tcPr>
            <w:tcW w:w="1464" w:type="dxa"/>
          </w:tcPr>
          <w:p w14:paraId="54DCC217"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340ED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667</w:t>
            </w:r>
          </w:p>
        </w:tc>
        <w:tc>
          <w:tcPr>
            <w:tcW w:w="517" w:type="dxa"/>
          </w:tcPr>
          <w:p w14:paraId="381523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c>
          <w:tcPr>
            <w:tcW w:w="517" w:type="dxa"/>
          </w:tcPr>
          <w:p w14:paraId="1E11C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743</w:t>
            </w:r>
          </w:p>
        </w:tc>
        <w:tc>
          <w:tcPr>
            <w:tcW w:w="517" w:type="dxa"/>
          </w:tcPr>
          <w:p w14:paraId="2C22D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430" w:type="dxa"/>
          </w:tcPr>
          <w:p w14:paraId="4F0A7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2771</w:t>
            </w:r>
          </w:p>
        </w:tc>
        <w:tc>
          <w:tcPr>
            <w:tcW w:w="387" w:type="dxa"/>
          </w:tcPr>
          <w:p w14:paraId="60766E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643</w:t>
            </w:r>
          </w:p>
        </w:tc>
        <w:tc>
          <w:tcPr>
            <w:tcW w:w="1800" w:type="dxa"/>
          </w:tcPr>
          <w:p w14:paraId="3A7D22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3414</w:t>
            </w:r>
          </w:p>
        </w:tc>
      </w:tr>
      <w:tr w:rsidR="00561F31" w:rsidRPr="00F90EAE" w14:paraId="674911BE" w14:textId="77777777">
        <w:tc>
          <w:tcPr>
            <w:tcW w:w="2489" w:type="dxa"/>
          </w:tcPr>
          <w:p w14:paraId="20852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Норт-Америкен (Б-25)</w:t>
            </w:r>
          </w:p>
        </w:tc>
        <w:tc>
          <w:tcPr>
            <w:tcW w:w="1464" w:type="dxa"/>
          </w:tcPr>
          <w:p w14:paraId="2E608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35" w:type="dxa"/>
          </w:tcPr>
          <w:p w14:paraId="48A47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w:t>
            </w:r>
          </w:p>
        </w:tc>
        <w:tc>
          <w:tcPr>
            <w:tcW w:w="517" w:type="dxa"/>
          </w:tcPr>
          <w:p w14:paraId="6813FF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w:t>
            </w:r>
          </w:p>
        </w:tc>
        <w:tc>
          <w:tcPr>
            <w:tcW w:w="517" w:type="dxa"/>
          </w:tcPr>
          <w:p w14:paraId="624DD7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397</w:t>
            </w:r>
          </w:p>
        </w:tc>
        <w:tc>
          <w:tcPr>
            <w:tcW w:w="517" w:type="dxa"/>
          </w:tcPr>
          <w:p w14:paraId="5F56F0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w:t>
            </w:r>
          </w:p>
        </w:tc>
        <w:tc>
          <w:tcPr>
            <w:tcW w:w="430" w:type="dxa"/>
          </w:tcPr>
          <w:p w14:paraId="25468F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861</w:t>
            </w:r>
          </w:p>
        </w:tc>
        <w:tc>
          <w:tcPr>
            <w:tcW w:w="387" w:type="dxa"/>
          </w:tcPr>
          <w:p w14:paraId="1EFE20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800" w:type="dxa"/>
          </w:tcPr>
          <w:p w14:paraId="16341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877</w:t>
            </w:r>
          </w:p>
        </w:tc>
      </w:tr>
      <w:tr w:rsidR="00561F31" w:rsidRPr="00F90EAE" w14:paraId="0E50B7DD" w14:textId="77777777">
        <w:tc>
          <w:tcPr>
            <w:tcW w:w="2489" w:type="dxa"/>
          </w:tcPr>
          <w:p w14:paraId="793A8A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Стиринг</w:t>
            </w:r>
          </w:p>
        </w:tc>
        <w:tc>
          <w:tcPr>
            <w:tcW w:w="1464" w:type="dxa"/>
          </w:tcPr>
          <w:p w14:paraId="55E32076"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056140D6"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7F010FC7"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66C754C7"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080C5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430" w:type="dxa"/>
          </w:tcPr>
          <w:p w14:paraId="5B792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87" w:type="dxa"/>
          </w:tcPr>
          <w:p w14:paraId="512022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1800" w:type="dxa"/>
          </w:tcPr>
          <w:p w14:paraId="58D21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65E642A6" w14:textId="77777777">
        <w:tc>
          <w:tcPr>
            <w:tcW w:w="2489" w:type="dxa"/>
          </w:tcPr>
          <w:p w14:paraId="49AA64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464" w:type="dxa"/>
          </w:tcPr>
          <w:p w14:paraId="28CD9E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35" w:type="dxa"/>
          </w:tcPr>
          <w:p w14:paraId="733E6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775</w:t>
            </w:r>
          </w:p>
        </w:tc>
        <w:tc>
          <w:tcPr>
            <w:tcW w:w="517" w:type="dxa"/>
          </w:tcPr>
          <w:p w14:paraId="3CE78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1571</w:t>
            </w:r>
          </w:p>
        </w:tc>
        <w:tc>
          <w:tcPr>
            <w:tcW w:w="517" w:type="dxa"/>
          </w:tcPr>
          <w:p w14:paraId="188512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1140</w:t>
            </w:r>
          </w:p>
        </w:tc>
        <w:tc>
          <w:tcPr>
            <w:tcW w:w="517" w:type="dxa"/>
          </w:tcPr>
          <w:p w14:paraId="442C61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w:t>
            </w:r>
          </w:p>
        </w:tc>
        <w:tc>
          <w:tcPr>
            <w:tcW w:w="430" w:type="dxa"/>
          </w:tcPr>
          <w:p w14:paraId="759DD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3633</w:t>
            </w:r>
          </w:p>
        </w:tc>
        <w:tc>
          <w:tcPr>
            <w:tcW w:w="387" w:type="dxa"/>
          </w:tcPr>
          <w:p w14:paraId="427009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662</w:t>
            </w:r>
          </w:p>
        </w:tc>
        <w:tc>
          <w:tcPr>
            <w:tcW w:w="1800" w:type="dxa"/>
          </w:tcPr>
          <w:p w14:paraId="5F3095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4295</w:t>
            </w:r>
          </w:p>
        </w:tc>
      </w:tr>
      <w:tr w:rsidR="00561F31" w:rsidRPr="00F90EAE" w14:paraId="51CF6B21" w14:textId="77777777" w:rsidTr="00665165">
        <w:tc>
          <w:tcPr>
            <w:tcW w:w="2489" w:type="dxa"/>
            <w:gridSpan w:val="9"/>
          </w:tcPr>
          <w:p w14:paraId="4D97C0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r>
      <w:tr w:rsidR="00561F31" w:rsidRPr="00F90EAE" w14:paraId="2860CBA3" w14:textId="77777777">
        <w:tc>
          <w:tcPr>
            <w:tcW w:w="2489" w:type="dxa"/>
          </w:tcPr>
          <w:p w14:paraId="1D4DA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Харрикейн II</w:t>
            </w:r>
          </w:p>
        </w:tc>
        <w:tc>
          <w:tcPr>
            <w:tcW w:w="1464" w:type="dxa"/>
          </w:tcPr>
          <w:p w14:paraId="460CEA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484</w:t>
            </w:r>
          </w:p>
        </w:tc>
        <w:tc>
          <w:tcPr>
            <w:tcW w:w="1235" w:type="dxa"/>
          </w:tcPr>
          <w:p w14:paraId="789848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1115</w:t>
            </w:r>
          </w:p>
        </w:tc>
        <w:tc>
          <w:tcPr>
            <w:tcW w:w="517" w:type="dxa"/>
          </w:tcPr>
          <w:p w14:paraId="05275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w:t>
            </w:r>
          </w:p>
        </w:tc>
        <w:tc>
          <w:tcPr>
            <w:tcW w:w="517" w:type="dxa"/>
          </w:tcPr>
          <w:p w14:paraId="51024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517" w:type="dxa"/>
          </w:tcPr>
          <w:p w14:paraId="5FE2345E" w14:textId="77777777" w:rsidR="00665165" w:rsidRPr="00F90EAE" w:rsidRDefault="00665165" w:rsidP="00F90EAE">
            <w:pPr>
              <w:autoSpaceDE w:val="0"/>
              <w:autoSpaceDN w:val="0"/>
              <w:adjustRightInd w:val="0"/>
              <w:jc w:val="both"/>
              <w:rPr>
                <w:color w:val="000000" w:themeColor="text1"/>
                <w:sz w:val="16"/>
                <w:szCs w:val="16"/>
              </w:rPr>
            </w:pPr>
          </w:p>
        </w:tc>
        <w:tc>
          <w:tcPr>
            <w:tcW w:w="430" w:type="dxa"/>
          </w:tcPr>
          <w:p w14:paraId="03FFE1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2834</w:t>
            </w:r>
          </w:p>
        </w:tc>
        <w:tc>
          <w:tcPr>
            <w:tcW w:w="387" w:type="dxa"/>
          </w:tcPr>
          <w:p w14:paraId="0A740B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248</w:t>
            </w:r>
          </w:p>
        </w:tc>
        <w:tc>
          <w:tcPr>
            <w:tcW w:w="1800" w:type="dxa"/>
          </w:tcPr>
          <w:p w14:paraId="20EC68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3082</w:t>
            </w:r>
          </w:p>
        </w:tc>
      </w:tr>
      <w:tr w:rsidR="00561F31" w:rsidRPr="00F90EAE" w14:paraId="4B31756A" w14:textId="77777777">
        <w:tc>
          <w:tcPr>
            <w:tcW w:w="2489" w:type="dxa"/>
          </w:tcPr>
          <w:p w14:paraId="2470EA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Спитфайер VБ-Г-IX</w:t>
            </w:r>
          </w:p>
        </w:tc>
        <w:tc>
          <w:tcPr>
            <w:tcW w:w="1464" w:type="dxa"/>
          </w:tcPr>
          <w:p w14:paraId="1AF18794"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3EEAE772"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54BDE0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517" w:type="dxa"/>
          </w:tcPr>
          <w:p w14:paraId="135956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498</w:t>
            </w:r>
          </w:p>
        </w:tc>
        <w:tc>
          <w:tcPr>
            <w:tcW w:w="517" w:type="dxa"/>
          </w:tcPr>
          <w:p w14:paraId="655A3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689</w:t>
            </w:r>
          </w:p>
        </w:tc>
        <w:tc>
          <w:tcPr>
            <w:tcW w:w="430" w:type="dxa"/>
          </w:tcPr>
          <w:p w14:paraId="51B64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1337</w:t>
            </w:r>
          </w:p>
        </w:tc>
        <w:tc>
          <w:tcPr>
            <w:tcW w:w="387" w:type="dxa"/>
          </w:tcPr>
          <w:p w14:paraId="58E97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1800" w:type="dxa"/>
          </w:tcPr>
          <w:p w14:paraId="0FBC70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1369</w:t>
            </w:r>
          </w:p>
        </w:tc>
      </w:tr>
      <w:tr w:rsidR="00561F31" w:rsidRPr="00F90EAE" w14:paraId="18DE4816" w14:textId="77777777">
        <w:tc>
          <w:tcPr>
            <w:tcW w:w="2489" w:type="dxa"/>
          </w:tcPr>
          <w:p w14:paraId="437234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Кертисс «Томогаук»</w:t>
            </w:r>
          </w:p>
        </w:tc>
        <w:tc>
          <w:tcPr>
            <w:tcW w:w="1464" w:type="dxa"/>
          </w:tcPr>
          <w:p w14:paraId="0F4F60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w:t>
            </w:r>
          </w:p>
        </w:tc>
        <w:tc>
          <w:tcPr>
            <w:tcW w:w="1235" w:type="dxa"/>
          </w:tcPr>
          <w:p w14:paraId="7336C9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517" w:type="dxa"/>
          </w:tcPr>
          <w:p w14:paraId="17EB5E02"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3B823F14"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0EBABFA1" w14:textId="77777777" w:rsidR="00665165" w:rsidRPr="00F90EAE" w:rsidRDefault="00665165" w:rsidP="00F90EAE">
            <w:pPr>
              <w:autoSpaceDE w:val="0"/>
              <w:autoSpaceDN w:val="0"/>
              <w:adjustRightInd w:val="0"/>
              <w:jc w:val="both"/>
              <w:rPr>
                <w:color w:val="000000" w:themeColor="text1"/>
                <w:sz w:val="16"/>
                <w:szCs w:val="16"/>
              </w:rPr>
            </w:pPr>
          </w:p>
        </w:tc>
        <w:tc>
          <w:tcPr>
            <w:tcW w:w="430" w:type="dxa"/>
          </w:tcPr>
          <w:p w14:paraId="2D5643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247</w:t>
            </w:r>
          </w:p>
        </w:tc>
        <w:tc>
          <w:tcPr>
            <w:tcW w:w="387" w:type="dxa"/>
          </w:tcPr>
          <w:p w14:paraId="61649D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800" w:type="dxa"/>
          </w:tcPr>
          <w:p w14:paraId="6C0BB9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247</w:t>
            </w:r>
          </w:p>
        </w:tc>
      </w:tr>
      <w:tr w:rsidR="00561F31" w:rsidRPr="00F90EAE" w14:paraId="356FCB54" w14:textId="77777777">
        <w:tc>
          <w:tcPr>
            <w:tcW w:w="2489" w:type="dxa"/>
          </w:tcPr>
          <w:p w14:paraId="22803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Кертисс «Киттихаук» (Р-40)</w:t>
            </w:r>
          </w:p>
        </w:tc>
        <w:tc>
          <w:tcPr>
            <w:tcW w:w="1464" w:type="dxa"/>
          </w:tcPr>
          <w:p w14:paraId="2BC15D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235" w:type="dxa"/>
          </w:tcPr>
          <w:p w14:paraId="343B83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487</w:t>
            </w:r>
          </w:p>
        </w:tc>
        <w:tc>
          <w:tcPr>
            <w:tcW w:w="517" w:type="dxa"/>
          </w:tcPr>
          <w:p w14:paraId="6A3BAA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939</w:t>
            </w:r>
          </w:p>
        </w:tc>
        <w:tc>
          <w:tcPr>
            <w:tcW w:w="517" w:type="dxa"/>
          </w:tcPr>
          <w:p w14:paraId="0E016E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446</w:t>
            </w:r>
          </w:p>
        </w:tc>
        <w:tc>
          <w:tcPr>
            <w:tcW w:w="517" w:type="dxa"/>
          </w:tcPr>
          <w:p w14:paraId="6809F003" w14:textId="77777777" w:rsidR="00665165" w:rsidRPr="00F90EAE" w:rsidRDefault="00665165" w:rsidP="00F90EAE">
            <w:pPr>
              <w:autoSpaceDE w:val="0"/>
              <w:autoSpaceDN w:val="0"/>
              <w:adjustRightInd w:val="0"/>
              <w:jc w:val="both"/>
              <w:rPr>
                <w:color w:val="000000" w:themeColor="text1"/>
                <w:sz w:val="16"/>
                <w:szCs w:val="16"/>
              </w:rPr>
            </w:pPr>
          </w:p>
        </w:tc>
        <w:tc>
          <w:tcPr>
            <w:tcW w:w="430" w:type="dxa"/>
          </w:tcPr>
          <w:p w14:paraId="60498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1887</w:t>
            </w:r>
          </w:p>
        </w:tc>
        <w:tc>
          <w:tcPr>
            <w:tcW w:w="387" w:type="dxa"/>
          </w:tcPr>
          <w:p w14:paraId="7F1F3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291</w:t>
            </w:r>
          </w:p>
        </w:tc>
        <w:tc>
          <w:tcPr>
            <w:tcW w:w="1800" w:type="dxa"/>
          </w:tcPr>
          <w:p w14:paraId="6CAFF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2178</w:t>
            </w:r>
          </w:p>
        </w:tc>
      </w:tr>
      <w:tr w:rsidR="00561F31" w:rsidRPr="00F90EAE" w14:paraId="33853FF3" w14:textId="77777777" w:rsidTr="00665165">
        <w:tc>
          <w:tcPr>
            <w:tcW w:w="2489" w:type="dxa"/>
            <w:gridSpan w:val="3"/>
          </w:tcPr>
          <w:p w14:paraId="1CD830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Рипаблик Р47Д22, Р47Д27 «Тандерболт» (Р-47)</w:t>
            </w:r>
          </w:p>
        </w:tc>
        <w:tc>
          <w:tcPr>
            <w:tcW w:w="517" w:type="dxa"/>
          </w:tcPr>
          <w:p w14:paraId="2CC0062E"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5DB9E1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517" w:type="dxa"/>
          </w:tcPr>
          <w:p w14:paraId="3EFA0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430" w:type="dxa"/>
          </w:tcPr>
          <w:p w14:paraId="184AAD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387" w:type="dxa"/>
          </w:tcPr>
          <w:p w14:paraId="03EBC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1800" w:type="dxa"/>
          </w:tcPr>
          <w:p w14:paraId="06A99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268</w:t>
            </w:r>
          </w:p>
        </w:tc>
      </w:tr>
      <w:tr w:rsidR="00561F31" w:rsidRPr="00F90EAE" w14:paraId="5AC77D08" w14:textId="77777777">
        <w:tc>
          <w:tcPr>
            <w:tcW w:w="2489" w:type="dxa"/>
          </w:tcPr>
          <w:p w14:paraId="19F31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Белл Р-39 «Аэрокобра»</w:t>
            </w:r>
          </w:p>
        </w:tc>
        <w:tc>
          <w:tcPr>
            <w:tcW w:w="1464" w:type="dxa"/>
          </w:tcPr>
          <w:p w14:paraId="1E4211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235" w:type="dxa"/>
          </w:tcPr>
          <w:p w14:paraId="67B244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w:t>
            </w:r>
          </w:p>
        </w:tc>
        <w:tc>
          <w:tcPr>
            <w:tcW w:w="517" w:type="dxa"/>
          </w:tcPr>
          <w:p w14:paraId="3CF08C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2627</w:t>
            </w:r>
          </w:p>
        </w:tc>
        <w:tc>
          <w:tcPr>
            <w:tcW w:w="517" w:type="dxa"/>
          </w:tcPr>
          <w:p w14:paraId="73439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2127</w:t>
            </w:r>
          </w:p>
        </w:tc>
        <w:tc>
          <w:tcPr>
            <w:tcW w:w="517" w:type="dxa"/>
          </w:tcPr>
          <w:p w14:paraId="03E03F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430" w:type="dxa"/>
          </w:tcPr>
          <w:p w14:paraId="4CFF1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4952</w:t>
            </w:r>
          </w:p>
        </w:tc>
        <w:tc>
          <w:tcPr>
            <w:tcW w:w="387" w:type="dxa"/>
          </w:tcPr>
          <w:p w14:paraId="72723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626</w:t>
            </w:r>
          </w:p>
        </w:tc>
        <w:tc>
          <w:tcPr>
            <w:tcW w:w="1800" w:type="dxa"/>
          </w:tcPr>
          <w:p w14:paraId="22881C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5578</w:t>
            </w:r>
          </w:p>
        </w:tc>
      </w:tr>
      <w:tr w:rsidR="00561F31" w:rsidRPr="00F90EAE" w14:paraId="6CBB2843" w14:textId="77777777">
        <w:tc>
          <w:tcPr>
            <w:tcW w:w="2489" w:type="dxa"/>
          </w:tcPr>
          <w:p w14:paraId="32149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Белл Р-63А</w:t>
            </w:r>
          </w:p>
        </w:tc>
        <w:tc>
          <w:tcPr>
            <w:tcW w:w="1464" w:type="dxa"/>
          </w:tcPr>
          <w:p w14:paraId="5A2621D2"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03EC4C0F"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1B2E9BF7"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662215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831</w:t>
            </w:r>
          </w:p>
        </w:tc>
        <w:tc>
          <w:tcPr>
            <w:tcW w:w="517" w:type="dxa"/>
          </w:tcPr>
          <w:p w14:paraId="4496B6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1569</w:t>
            </w:r>
          </w:p>
        </w:tc>
        <w:tc>
          <w:tcPr>
            <w:tcW w:w="430" w:type="dxa"/>
          </w:tcPr>
          <w:p w14:paraId="64F4B1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2400</w:t>
            </w:r>
          </w:p>
        </w:tc>
        <w:tc>
          <w:tcPr>
            <w:tcW w:w="387" w:type="dxa"/>
          </w:tcPr>
          <w:p w14:paraId="1A4ABB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w:t>
            </w:r>
          </w:p>
        </w:tc>
        <w:tc>
          <w:tcPr>
            <w:tcW w:w="1800" w:type="dxa"/>
          </w:tcPr>
          <w:p w14:paraId="4003C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2672</w:t>
            </w:r>
          </w:p>
        </w:tc>
      </w:tr>
      <w:tr w:rsidR="00561F31" w:rsidRPr="00F90EAE" w14:paraId="75BFB9DE" w14:textId="77777777">
        <w:tc>
          <w:tcPr>
            <w:tcW w:w="2489" w:type="dxa"/>
          </w:tcPr>
          <w:p w14:paraId="630492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Мустанг № А73</w:t>
            </w:r>
          </w:p>
        </w:tc>
        <w:tc>
          <w:tcPr>
            <w:tcW w:w="1464" w:type="dxa"/>
          </w:tcPr>
          <w:p w14:paraId="4173D073"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131090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17" w:type="dxa"/>
          </w:tcPr>
          <w:p w14:paraId="7D9233E4"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6CDDA836"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0E8B1F86" w14:textId="77777777" w:rsidR="00665165" w:rsidRPr="00F90EAE" w:rsidRDefault="00665165" w:rsidP="00F90EAE">
            <w:pPr>
              <w:autoSpaceDE w:val="0"/>
              <w:autoSpaceDN w:val="0"/>
              <w:adjustRightInd w:val="0"/>
              <w:jc w:val="both"/>
              <w:rPr>
                <w:color w:val="000000" w:themeColor="text1"/>
                <w:sz w:val="16"/>
                <w:szCs w:val="16"/>
              </w:rPr>
            </w:pPr>
          </w:p>
        </w:tc>
        <w:tc>
          <w:tcPr>
            <w:tcW w:w="430" w:type="dxa"/>
          </w:tcPr>
          <w:p w14:paraId="0A450D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87" w:type="dxa"/>
          </w:tcPr>
          <w:p w14:paraId="1625CB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800" w:type="dxa"/>
          </w:tcPr>
          <w:p w14:paraId="42EC13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5FB260DA" w14:textId="77777777">
        <w:tc>
          <w:tcPr>
            <w:tcW w:w="2489" w:type="dxa"/>
          </w:tcPr>
          <w:p w14:paraId="574A6E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Тайфун</w:t>
            </w:r>
          </w:p>
        </w:tc>
        <w:tc>
          <w:tcPr>
            <w:tcW w:w="1464" w:type="dxa"/>
          </w:tcPr>
          <w:p w14:paraId="5D71061E"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540483F7"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4C47771E"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6CB19250"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7346ED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430" w:type="dxa"/>
          </w:tcPr>
          <w:p w14:paraId="031D39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87" w:type="dxa"/>
          </w:tcPr>
          <w:p w14:paraId="1330B2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800" w:type="dxa"/>
          </w:tcPr>
          <w:p w14:paraId="4E3844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15E94A3B" w14:textId="77777777">
        <w:tc>
          <w:tcPr>
            <w:tcW w:w="2489" w:type="dxa"/>
          </w:tcPr>
          <w:p w14:paraId="593A62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464" w:type="dxa"/>
          </w:tcPr>
          <w:p w14:paraId="2FE6E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730</w:t>
            </w:r>
          </w:p>
        </w:tc>
        <w:tc>
          <w:tcPr>
            <w:tcW w:w="1235" w:type="dxa"/>
          </w:tcPr>
          <w:p w14:paraId="472F4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1815</w:t>
            </w:r>
          </w:p>
        </w:tc>
        <w:tc>
          <w:tcPr>
            <w:tcW w:w="517" w:type="dxa"/>
          </w:tcPr>
          <w:p w14:paraId="7C213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4569</w:t>
            </w:r>
          </w:p>
        </w:tc>
        <w:tc>
          <w:tcPr>
            <w:tcW w:w="517" w:type="dxa"/>
          </w:tcPr>
          <w:p w14:paraId="212C7E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4474</w:t>
            </w:r>
          </w:p>
        </w:tc>
        <w:tc>
          <w:tcPr>
            <w:tcW w:w="517" w:type="dxa"/>
          </w:tcPr>
          <w:p w14:paraId="42F3B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2269</w:t>
            </w:r>
          </w:p>
        </w:tc>
        <w:tc>
          <w:tcPr>
            <w:tcW w:w="430" w:type="dxa"/>
          </w:tcPr>
          <w:p w14:paraId="1BB611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13857</w:t>
            </w:r>
          </w:p>
        </w:tc>
        <w:tc>
          <w:tcPr>
            <w:tcW w:w="387" w:type="dxa"/>
          </w:tcPr>
          <w:p w14:paraId="32B90A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1543</w:t>
            </w:r>
          </w:p>
        </w:tc>
        <w:tc>
          <w:tcPr>
            <w:tcW w:w="1800" w:type="dxa"/>
          </w:tcPr>
          <w:p w14:paraId="7FD47D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15400</w:t>
            </w:r>
          </w:p>
        </w:tc>
      </w:tr>
      <w:tr w:rsidR="00561F31" w:rsidRPr="00F90EAE" w14:paraId="49C1FE86" w14:textId="77777777" w:rsidTr="00665165">
        <w:tc>
          <w:tcPr>
            <w:tcW w:w="2489" w:type="dxa"/>
            <w:gridSpan w:val="9"/>
          </w:tcPr>
          <w:p w14:paraId="31D16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ПРОЧИЕ САМОЛЕТЫ</w:t>
            </w:r>
          </w:p>
        </w:tc>
      </w:tr>
      <w:tr w:rsidR="00561F31" w:rsidRPr="00F90EAE" w14:paraId="4894ACD3" w14:textId="77777777">
        <w:tc>
          <w:tcPr>
            <w:tcW w:w="2489" w:type="dxa"/>
          </w:tcPr>
          <w:p w14:paraId="324E3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Кертисс О-52 (разведчик)</w:t>
            </w:r>
          </w:p>
        </w:tc>
        <w:tc>
          <w:tcPr>
            <w:tcW w:w="1464" w:type="dxa"/>
          </w:tcPr>
          <w:p w14:paraId="7E165A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35" w:type="dxa"/>
          </w:tcPr>
          <w:p w14:paraId="3A9796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517" w:type="dxa"/>
          </w:tcPr>
          <w:p w14:paraId="646A5947"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5EEFD374"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3190011A" w14:textId="77777777" w:rsidR="00665165" w:rsidRPr="00F90EAE" w:rsidRDefault="00665165" w:rsidP="00F90EAE">
            <w:pPr>
              <w:autoSpaceDE w:val="0"/>
              <w:autoSpaceDN w:val="0"/>
              <w:adjustRightInd w:val="0"/>
              <w:jc w:val="both"/>
              <w:rPr>
                <w:color w:val="000000" w:themeColor="text1"/>
                <w:sz w:val="16"/>
                <w:szCs w:val="16"/>
              </w:rPr>
            </w:pPr>
          </w:p>
        </w:tc>
        <w:tc>
          <w:tcPr>
            <w:tcW w:w="430" w:type="dxa"/>
          </w:tcPr>
          <w:p w14:paraId="7C8714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387" w:type="dxa"/>
          </w:tcPr>
          <w:p w14:paraId="65385A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800" w:type="dxa"/>
          </w:tcPr>
          <w:p w14:paraId="3E07B4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r>
      <w:tr w:rsidR="00561F31" w:rsidRPr="00F90EAE" w14:paraId="3C886012" w14:textId="77777777">
        <w:tc>
          <w:tcPr>
            <w:tcW w:w="2489" w:type="dxa"/>
          </w:tcPr>
          <w:p w14:paraId="0AB6E5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Дуглас С-47 (транспортный)</w:t>
            </w:r>
          </w:p>
        </w:tc>
        <w:tc>
          <w:tcPr>
            <w:tcW w:w="1464" w:type="dxa"/>
          </w:tcPr>
          <w:p w14:paraId="2595310E"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6787A373"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599669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517" w:type="dxa"/>
          </w:tcPr>
          <w:p w14:paraId="7A6A08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w:t>
            </w:r>
          </w:p>
        </w:tc>
        <w:tc>
          <w:tcPr>
            <w:tcW w:w="517" w:type="dxa"/>
          </w:tcPr>
          <w:p w14:paraId="50D51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282</w:t>
            </w:r>
          </w:p>
        </w:tc>
        <w:tc>
          <w:tcPr>
            <w:tcW w:w="430" w:type="dxa"/>
          </w:tcPr>
          <w:p w14:paraId="19C0A9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709</w:t>
            </w:r>
          </w:p>
        </w:tc>
        <w:tc>
          <w:tcPr>
            <w:tcW w:w="387" w:type="dxa"/>
          </w:tcPr>
          <w:p w14:paraId="0F455E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1800" w:type="dxa"/>
          </w:tcPr>
          <w:p w14:paraId="73591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1054</w:t>
            </w:r>
          </w:p>
        </w:tc>
      </w:tr>
      <w:tr w:rsidR="00561F31" w:rsidRPr="00F90EAE" w14:paraId="2C97D59D" w14:textId="77777777">
        <w:tc>
          <w:tcPr>
            <w:tcW w:w="2489" w:type="dxa"/>
          </w:tcPr>
          <w:p w14:paraId="56DA55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Кертисс С-46 (транспортный)</w:t>
            </w:r>
          </w:p>
        </w:tc>
        <w:tc>
          <w:tcPr>
            <w:tcW w:w="1464" w:type="dxa"/>
          </w:tcPr>
          <w:p w14:paraId="11073EBF" w14:textId="77777777" w:rsidR="00665165" w:rsidRPr="00F90EAE" w:rsidRDefault="00665165" w:rsidP="00F90EAE">
            <w:pPr>
              <w:autoSpaceDE w:val="0"/>
              <w:autoSpaceDN w:val="0"/>
              <w:adjustRightInd w:val="0"/>
              <w:jc w:val="both"/>
              <w:rPr>
                <w:color w:val="000000" w:themeColor="text1"/>
                <w:sz w:val="16"/>
                <w:szCs w:val="16"/>
              </w:rPr>
            </w:pPr>
          </w:p>
        </w:tc>
        <w:tc>
          <w:tcPr>
            <w:tcW w:w="1235" w:type="dxa"/>
          </w:tcPr>
          <w:p w14:paraId="5DFEDBB5"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153FA30C"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455EB33D"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5D0F0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430" w:type="dxa"/>
          </w:tcPr>
          <w:p w14:paraId="24A43E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87" w:type="dxa"/>
          </w:tcPr>
          <w:p w14:paraId="4BF0F4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800" w:type="dxa"/>
          </w:tcPr>
          <w:p w14:paraId="75CF4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2A8B642" w14:textId="77777777" w:rsidTr="00665165">
        <w:tc>
          <w:tcPr>
            <w:tcW w:w="2489" w:type="dxa"/>
            <w:gridSpan w:val="2"/>
          </w:tcPr>
          <w:p w14:paraId="57EAB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Норт-Америкен АТ6С, АТ6Г (учебный)</w:t>
            </w:r>
          </w:p>
        </w:tc>
        <w:tc>
          <w:tcPr>
            <w:tcW w:w="1235" w:type="dxa"/>
          </w:tcPr>
          <w:p w14:paraId="63368A64" w14:textId="77777777" w:rsidR="00665165" w:rsidRPr="00F90EAE" w:rsidRDefault="00665165" w:rsidP="00F90EAE">
            <w:pPr>
              <w:autoSpaceDE w:val="0"/>
              <w:autoSpaceDN w:val="0"/>
              <w:adjustRightInd w:val="0"/>
              <w:jc w:val="both"/>
              <w:rPr>
                <w:color w:val="000000" w:themeColor="text1"/>
                <w:sz w:val="16"/>
                <w:szCs w:val="16"/>
              </w:rPr>
            </w:pPr>
          </w:p>
        </w:tc>
        <w:tc>
          <w:tcPr>
            <w:tcW w:w="517" w:type="dxa"/>
          </w:tcPr>
          <w:p w14:paraId="3E680E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517" w:type="dxa"/>
          </w:tcPr>
          <w:p w14:paraId="3900F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517" w:type="dxa"/>
          </w:tcPr>
          <w:p w14:paraId="74BA6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430" w:type="dxa"/>
          </w:tcPr>
          <w:p w14:paraId="2E5D08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387" w:type="dxa"/>
          </w:tcPr>
          <w:p w14:paraId="4229EA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800" w:type="dxa"/>
          </w:tcPr>
          <w:p w14:paraId="5D25EA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r>
      <w:tr w:rsidR="00561F31" w:rsidRPr="00F90EAE" w14:paraId="5294D06F" w14:textId="77777777">
        <w:tc>
          <w:tcPr>
            <w:tcW w:w="2489" w:type="dxa"/>
          </w:tcPr>
          <w:p w14:paraId="6D64B9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1464" w:type="dxa"/>
          </w:tcPr>
          <w:p w14:paraId="4C2A4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235" w:type="dxa"/>
          </w:tcPr>
          <w:p w14:paraId="0DFD9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517" w:type="dxa"/>
          </w:tcPr>
          <w:p w14:paraId="5452E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517" w:type="dxa"/>
          </w:tcPr>
          <w:p w14:paraId="0AA11E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273</w:t>
            </w:r>
          </w:p>
        </w:tc>
        <w:tc>
          <w:tcPr>
            <w:tcW w:w="517" w:type="dxa"/>
          </w:tcPr>
          <w:p w14:paraId="62294B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338</w:t>
            </w:r>
          </w:p>
        </w:tc>
        <w:tc>
          <w:tcPr>
            <w:tcW w:w="430" w:type="dxa"/>
          </w:tcPr>
          <w:p w14:paraId="6547A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813</w:t>
            </w:r>
          </w:p>
        </w:tc>
        <w:tc>
          <w:tcPr>
            <w:tcW w:w="387" w:type="dxa"/>
          </w:tcPr>
          <w:p w14:paraId="07D6E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1800" w:type="dxa"/>
          </w:tcPr>
          <w:p w14:paraId="5B1F15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1158</w:t>
            </w:r>
          </w:p>
        </w:tc>
      </w:tr>
      <w:tr w:rsidR="00561F31" w:rsidRPr="00F90EAE" w14:paraId="2B3D5C88" w14:textId="77777777">
        <w:tc>
          <w:tcPr>
            <w:tcW w:w="2489" w:type="dxa"/>
            <w:tcBorders>
              <w:bottom w:val="single" w:sz="12" w:space="0" w:color="000000"/>
            </w:tcBorders>
          </w:tcPr>
          <w:p w14:paraId="320D2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самолетов</w:t>
            </w:r>
          </w:p>
        </w:tc>
        <w:tc>
          <w:tcPr>
            <w:tcW w:w="1464" w:type="dxa"/>
            <w:tcBorders>
              <w:bottom w:val="single" w:sz="12" w:space="0" w:color="000000"/>
            </w:tcBorders>
          </w:tcPr>
          <w:p w14:paraId="3D8C4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740</w:t>
            </w:r>
          </w:p>
        </w:tc>
        <w:tc>
          <w:tcPr>
            <w:tcW w:w="1235" w:type="dxa"/>
            <w:tcBorders>
              <w:bottom w:val="single" w:sz="12" w:space="0" w:color="000000"/>
            </w:tcBorders>
          </w:tcPr>
          <w:p w14:paraId="4A35B5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2604</w:t>
            </w:r>
          </w:p>
        </w:tc>
        <w:tc>
          <w:tcPr>
            <w:tcW w:w="517" w:type="dxa"/>
            <w:tcBorders>
              <w:bottom w:val="single" w:sz="12" w:space="0" w:color="000000"/>
            </w:tcBorders>
          </w:tcPr>
          <w:p w14:paraId="097B8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6323</w:t>
            </w:r>
          </w:p>
        </w:tc>
        <w:tc>
          <w:tcPr>
            <w:tcW w:w="517" w:type="dxa"/>
            <w:tcBorders>
              <w:bottom w:val="single" w:sz="12" w:space="0" w:color="000000"/>
            </w:tcBorders>
          </w:tcPr>
          <w:p w14:paraId="644844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5887</w:t>
            </w:r>
          </w:p>
        </w:tc>
        <w:tc>
          <w:tcPr>
            <w:tcW w:w="517" w:type="dxa"/>
            <w:tcBorders>
              <w:bottom w:val="single" w:sz="12" w:space="0" w:color="000000"/>
            </w:tcBorders>
          </w:tcPr>
          <w:p w14:paraId="43870E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2749</w:t>
            </w:r>
          </w:p>
        </w:tc>
        <w:tc>
          <w:tcPr>
            <w:tcW w:w="430" w:type="dxa"/>
            <w:tcBorders>
              <w:bottom w:val="single" w:sz="12" w:space="0" w:color="000000"/>
            </w:tcBorders>
          </w:tcPr>
          <w:p w14:paraId="2F558E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18303</w:t>
            </w:r>
          </w:p>
        </w:tc>
        <w:tc>
          <w:tcPr>
            <w:tcW w:w="387" w:type="dxa"/>
            <w:tcBorders>
              <w:bottom w:val="single" w:sz="12" w:space="0" w:color="000000"/>
            </w:tcBorders>
          </w:tcPr>
          <w:p w14:paraId="0050E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2550</w:t>
            </w:r>
          </w:p>
        </w:tc>
        <w:tc>
          <w:tcPr>
            <w:tcW w:w="1800" w:type="dxa"/>
            <w:tcBorders>
              <w:bottom w:val="single" w:sz="12" w:space="0" w:color="000000"/>
            </w:tcBorders>
          </w:tcPr>
          <w:p w14:paraId="3AD8D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20853</w:t>
            </w:r>
          </w:p>
        </w:tc>
      </w:tr>
    </w:tbl>
    <w:p w14:paraId="6C13969C"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Отдел мобпланирования ГШ ВВС, д.103, лл.1-22.</w:t>
      </w:r>
    </w:p>
    <w:p w14:paraId="4685CA4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{2}В числителе показано всего поступило самолетов, в знаменателе, в том числе поступило в другие ведомства.</w:t>
      </w:r>
    </w:p>
    <w:p w14:paraId="15AD8C9D"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Прочерком (–) в таблице показано, что самолеты данного типа не поступали в ВВС КА (11016).</w:t>
      </w:r>
    </w:p>
    <w:p w14:paraId="3DF82A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авиационных двигателей промышленностью СССР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634"/>
        <w:gridCol w:w="873"/>
        <w:gridCol w:w="873"/>
        <w:gridCol w:w="407"/>
        <w:gridCol w:w="582"/>
        <w:gridCol w:w="407"/>
        <w:gridCol w:w="582"/>
        <w:gridCol w:w="407"/>
        <w:gridCol w:w="582"/>
        <w:gridCol w:w="407"/>
        <w:gridCol w:w="582"/>
        <w:gridCol w:w="436"/>
        <w:gridCol w:w="582"/>
      </w:tblGrid>
      <w:tr w:rsidR="00561F31" w:rsidRPr="00F90EAE" w14:paraId="671161A5" w14:textId="77777777" w:rsidTr="00665165">
        <w:tc>
          <w:tcPr>
            <w:tcW w:w="2634" w:type="dxa"/>
            <w:tcBorders>
              <w:top w:val="single" w:sz="12" w:space="0" w:color="000000"/>
            </w:tcBorders>
          </w:tcPr>
          <w:p w14:paraId="748F6E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авиационных двигателей</w:t>
            </w:r>
          </w:p>
        </w:tc>
        <w:tc>
          <w:tcPr>
            <w:tcW w:w="873" w:type="dxa"/>
            <w:gridSpan w:val="10"/>
            <w:tcBorders>
              <w:top w:val="single" w:sz="12" w:space="0" w:color="000000"/>
            </w:tcBorders>
          </w:tcPr>
          <w:p w14:paraId="3D8409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 производства и выпуска авиационных моторов по годам</w:t>
            </w:r>
          </w:p>
        </w:tc>
        <w:tc>
          <w:tcPr>
            <w:tcW w:w="436" w:type="dxa"/>
            <w:gridSpan w:val="2"/>
            <w:tcBorders>
              <w:top w:val="single" w:sz="12" w:space="0" w:color="000000"/>
            </w:tcBorders>
          </w:tcPr>
          <w:p w14:paraId="0D5DEB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1DF86496" w14:textId="77777777" w:rsidTr="00665165">
        <w:tc>
          <w:tcPr>
            <w:tcW w:w="2634" w:type="dxa"/>
          </w:tcPr>
          <w:p w14:paraId="20DBD3EE" w14:textId="77777777" w:rsidR="00665165" w:rsidRPr="00F90EAE" w:rsidRDefault="00665165" w:rsidP="00F90EAE">
            <w:pPr>
              <w:autoSpaceDE w:val="0"/>
              <w:autoSpaceDN w:val="0"/>
              <w:adjustRightInd w:val="0"/>
              <w:jc w:val="both"/>
              <w:rPr>
                <w:color w:val="000000" w:themeColor="text1"/>
                <w:sz w:val="16"/>
                <w:szCs w:val="16"/>
              </w:rPr>
            </w:pPr>
          </w:p>
        </w:tc>
        <w:tc>
          <w:tcPr>
            <w:tcW w:w="873" w:type="dxa"/>
            <w:gridSpan w:val="2"/>
          </w:tcPr>
          <w:p w14:paraId="2C5E1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407" w:type="dxa"/>
            <w:gridSpan w:val="2"/>
          </w:tcPr>
          <w:p w14:paraId="305481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407" w:type="dxa"/>
            <w:gridSpan w:val="2"/>
          </w:tcPr>
          <w:p w14:paraId="34F1B8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407" w:type="dxa"/>
            <w:gridSpan w:val="2"/>
          </w:tcPr>
          <w:p w14:paraId="382D8F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407" w:type="dxa"/>
            <w:gridSpan w:val="2"/>
          </w:tcPr>
          <w:p w14:paraId="46E618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c>
          <w:tcPr>
            <w:tcW w:w="436" w:type="dxa"/>
            <w:gridSpan w:val="2"/>
          </w:tcPr>
          <w:p w14:paraId="043C724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6EFB799" w14:textId="77777777">
        <w:tc>
          <w:tcPr>
            <w:tcW w:w="2634" w:type="dxa"/>
          </w:tcPr>
          <w:p w14:paraId="5D3785B6"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36119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873" w:type="dxa"/>
          </w:tcPr>
          <w:p w14:paraId="5B265F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07" w:type="dxa"/>
          </w:tcPr>
          <w:p w14:paraId="6A1C2F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582" w:type="dxa"/>
          </w:tcPr>
          <w:p w14:paraId="565A4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07" w:type="dxa"/>
          </w:tcPr>
          <w:p w14:paraId="5FBA78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582" w:type="dxa"/>
          </w:tcPr>
          <w:p w14:paraId="0FBDC1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07" w:type="dxa"/>
          </w:tcPr>
          <w:p w14:paraId="7DA924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582" w:type="dxa"/>
          </w:tcPr>
          <w:p w14:paraId="5CF9A3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07" w:type="dxa"/>
          </w:tcPr>
          <w:p w14:paraId="6FF9FA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582" w:type="dxa"/>
          </w:tcPr>
          <w:p w14:paraId="64104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36" w:type="dxa"/>
          </w:tcPr>
          <w:p w14:paraId="5F034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582" w:type="dxa"/>
          </w:tcPr>
          <w:p w14:paraId="1D1EF0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r>
      <w:tr w:rsidR="00561F31" w:rsidRPr="00F90EAE" w14:paraId="77D50A6D" w14:textId="77777777">
        <w:tc>
          <w:tcPr>
            <w:tcW w:w="2634" w:type="dxa"/>
          </w:tcPr>
          <w:p w14:paraId="756341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ВК-105р</w:t>
            </w:r>
          </w:p>
        </w:tc>
        <w:tc>
          <w:tcPr>
            <w:tcW w:w="873" w:type="dxa"/>
          </w:tcPr>
          <w:p w14:paraId="7BD85C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9681</w:t>
            </w:r>
          </w:p>
        </w:tc>
        <w:tc>
          <w:tcPr>
            <w:tcW w:w="873" w:type="dxa"/>
          </w:tcPr>
          <w:p w14:paraId="365AE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6367</w:t>
            </w:r>
          </w:p>
        </w:tc>
        <w:tc>
          <w:tcPr>
            <w:tcW w:w="407" w:type="dxa"/>
          </w:tcPr>
          <w:p w14:paraId="57C1556C"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EF70593"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559D9D1C"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AA12AAB"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3EEA063"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48BCDA1"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625C8742"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2BDCCCA"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166624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9681</w:t>
            </w:r>
          </w:p>
        </w:tc>
        <w:tc>
          <w:tcPr>
            <w:tcW w:w="582" w:type="dxa"/>
          </w:tcPr>
          <w:p w14:paraId="679C7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6367</w:t>
            </w:r>
          </w:p>
        </w:tc>
      </w:tr>
      <w:tr w:rsidR="00561F31" w:rsidRPr="00F90EAE" w14:paraId="51AE8FC2" w14:textId="77777777">
        <w:tc>
          <w:tcPr>
            <w:tcW w:w="2634" w:type="dxa"/>
          </w:tcPr>
          <w:p w14:paraId="42FDEE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ВК-105ра</w:t>
            </w:r>
          </w:p>
        </w:tc>
        <w:tc>
          <w:tcPr>
            <w:tcW w:w="873" w:type="dxa"/>
          </w:tcPr>
          <w:p w14:paraId="22C23489"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0F663CD8"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6038F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4518</w:t>
            </w:r>
          </w:p>
        </w:tc>
        <w:tc>
          <w:tcPr>
            <w:tcW w:w="582" w:type="dxa"/>
          </w:tcPr>
          <w:p w14:paraId="03BAFB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4448</w:t>
            </w:r>
          </w:p>
        </w:tc>
        <w:tc>
          <w:tcPr>
            <w:tcW w:w="407" w:type="dxa"/>
          </w:tcPr>
          <w:p w14:paraId="3741CF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346</w:t>
            </w:r>
          </w:p>
        </w:tc>
        <w:tc>
          <w:tcPr>
            <w:tcW w:w="582" w:type="dxa"/>
          </w:tcPr>
          <w:p w14:paraId="72D27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495</w:t>
            </w:r>
          </w:p>
        </w:tc>
        <w:tc>
          <w:tcPr>
            <w:tcW w:w="407" w:type="dxa"/>
          </w:tcPr>
          <w:p w14:paraId="0F746260"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EEEC27B"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8A7DF12"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B258F14"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7AEECE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4864</w:t>
            </w:r>
          </w:p>
        </w:tc>
        <w:tc>
          <w:tcPr>
            <w:tcW w:w="582" w:type="dxa"/>
          </w:tcPr>
          <w:p w14:paraId="367215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4943</w:t>
            </w:r>
          </w:p>
        </w:tc>
      </w:tr>
      <w:tr w:rsidR="00561F31" w:rsidRPr="00F90EAE" w14:paraId="26213DB4" w14:textId="77777777">
        <w:tc>
          <w:tcPr>
            <w:tcW w:w="2634" w:type="dxa"/>
          </w:tcPr>
          <w:p w14:paraId="30CDE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w:t>
            </w:r>
          </w:p>
        </w:tc>
        <w:tc>
          <w:tcPr>
            <w:tcW w:w="873" w:type="dxa"/>
          </w:tcPr>
          <w:p w14:paraId="66084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7376</w:t>
            </w:r>
          </w:p>
        </w:tc>
        <w:tc>
          <w:tcPr>
            <w:tcW w:w="873" w:type="dxa"/>
          </w:tcPr>
          <w:p w14:paraId="675B2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5309</w:t>
            </w:r>
          </w:p>
        </w:tc>
        <w:tc>
          <w:tcPr>
            <w:tcW w:w="407" w:type="dxa"/>
          </w:tcPr>
          <w:p w14:paraId="2F26030A"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04F7424"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63277D4A"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CFE7584"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8EF4FE6"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FD909A4"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64539F4F"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7138585"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42F627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7376</w:t>
            </w:r>
          </w:p>
        </w:tc>
        <w:tc>
          <w:tcPr>
            <w:tcW w:w="582" w:type="dxa"/>
          </w:tcPr>
          <w:p w14:paraId="78606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5309</w:t>
            </w:r>
          </w:p>
        </w:tc>
      </w:tr>
      <w:tr w:rsidR="00561F31" w:rsidRPr="00F90EAE" w14:paraId="6A64435B" w14:textId="77777777">
        <w:tc>
          <w:tcPr>
            <w:tcW w:w="2634" w:type="dxa"/>
          </w:tcPr>
          <w:p w14:paraId="6448E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ВК-105па, пф, пф-2</w:t>
            </w:r>
          </w:p>
        </w:tc>
        <w:tc>
          <w:tcPr>
            <w:tcW w:w="873" w:type="dxa"/>
          </w:tcPr>
          <w:p w14:paraId="5B805D74"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668E184F"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44781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11018</w:t>
            </w:r>
          </w:p>
        </w:tc>
        <w:tc>
          <w:tcPr>
            <w:tcW w:w="582" w:type="dxa"/>
          </w:tcPr>
          <w:p w14:paraId="763F7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10545</w:t>
            </w:r>
          </w:p>
        </w:tc>
        <w:tc>
          <w:tcPr>
            <w:tcW w:w="407" w:type="dxa"/>
          </w:tcPr>
          <w:p w14:paraId="7CA140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18024</w:t>
            </w:r>
          </w:p>
        </w:tc>
        <w:tc>
          <w:tcPr>
            <w:tcW w:w="582" w:type="dxa"/>
          </w:tcPr>
          <w:p w14:paraId="514349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18196</w:t>
            </w:r>
          </w:p>
        </w:tc>
        <w:tc>
          <w:tcPr>
            <w:tcW w:w="407" w:type="dxa"/>
          </w:tcPr>
          <w:p w14:paraId="1D719D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17367</w:t>
            </w:r>
          </w:p>
        </w:tc>
        <w:tc>
          <w:tcPr>
            <w:tcW w:w="582" w:type="dxa"/>
          </w:tcPr>
          <w:p w14:paraId="2AA3B6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16365</w:t>
            </w:r>
          </w:p>
        </w:tc>
        <w:tc>
          <w:tcPr>
            <w:tcW w:w="407" w:type="dxa"/>
          </w:tcPr>
          <w:p w14:paraId="659FE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10103</w:t>
            </w:r>
          </w:p>
        </w:tc>
        <w:tc>
          <w:tcPr>
            <w:tcW w:w="582" w:type="dxa"/>
          </w:tcPr>
          <w:p w14:paraId="41C5B0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10073</w:t>
            </w:r>
          </w:p>
        </w:tc>
        <w:tc>
          <w:tcPr>
            <w:tcW w:w="436" w:type="dxa"/>
          </w:tcPr>
          <w:p w14:paraId="5814B8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56512</w:t>
            </w:r>
          </w:p>
        </w:tc>
        <w:tc>
          <w:tcPr>
            <w:tcW w:w="582" w:type="dxa"/>
          </w:tcPr>
          <w:p w14:paraId="2DEFF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55179</w:t>
            </w:r>
          </w:p>
        </w:tc>
      </w:tr>
      <w:tr w:rsidR="00561F31" w:rsidRPr="00F90EAE" w14:paraId="4262E965" w14:textId="77777777" w:rsidTr="00665165">
        <w:tc>
          <w:tcPr>
            <w:tcW w:w="2634" w:type="dxa"/>
            <w:gridSpan w:val="3"/>
          </w:tcPr>
          <w:p w14:paraId="2378F3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 с 1 и 2 скоростями нагнеталей</w:t>
            </w:r>
          </w:p>
        </w:tc>
        <w:tc>
          <w:tcPr>
            <w:tcW w:w="407" w:type="dxa"/>
          </w:tcPr>
          <w:p w14:paraId="72149A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582" w:type="dxa"/>
          </w:tcPr>
          <w:p w14:paraId="1B703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407" w:type="dxa"/>
          </w:tcPr>
          <w:p w14:paraId="3AF5B3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w:t>
            </w:r>
          </w:p>
        </w:tc>
        <w:tc>
          <w:tcPr>
            <w:tcW w:w="582" w:type="dxa"/>
          </w:tcPr>
          <w:p w14:paraId="7EFF6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407" w:type="dxa"/>
          </w:tcPr>
          <w:p w14:paraId="2748D8B4"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0AE3A99"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70AC4D1"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32D5978"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5DCE3E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302</w:t>
            </w:r>
          </w:p>
        </w:tc>
        <w:tc>
          <w:tcPr>
            <w:tcW w:w="582" w:type="dxa"/>
          </w:tcPr>
          <w:p w14:paraId="4C49B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w:t>
            </w:r>
          </w:p>
        </w:tc>
      </w:tr>
      <w:tr w:rsidR="00561F31" w:rsidRPr="00F90EAE" w14:paraId="4C6576CF" w14:textId="77777777">
        <w:tc>
          <w:tcPr>
            <w:tcW w:w="2634" w:type="dxa"/>
          </w:tcPr>
          <w:p w14:paraId="67A0A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873" w:type="dxa"/>
          </w:tcPr>
          <w:p w14:paraId="1A5B9952"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47159569"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211C6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582" w:type="dxa"/>
          </w:tcPr>
          <w:p w14:paraId="1F09F7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407" w:type="dxa"/>
          </w:tcPr>
          <w:p w14:paraId="5C6F5F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502</w:t>
            </w:r>
          </w:p>
        </w:tc>
        <w:tc>
          <w:tcPr>
            <w:tcW w:w="582" w:type="dxa"/>
          </w:tcPr>
          <w:p w14:paraId="37AD69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w:t>
            </w:r>
          </w:p>
        </w:tc>
        <w:tc>
          <w:tcPr>
            <w:tcW w:w="407" w:type="dxa"/>
          </w:tcPr>
          <w:p w14:paraId="12BD48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2753</w:t>
            </w:r>
          </w:p>
        </w:tc>
        <w:tc>
          <w:tcPr>
            <w:tcW w:w="582" w:type="dxa"/>
          </w:tcPr>
          <w:p w14:paraId="02811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2106</w:t>
            </w:r>
          </w:p>
        </w:tc>
        <w:tc>
          <w:tcPr>
            <w:tcW w:w="407" w:type="dxa"/>
          </w:tcPr>
          <w:p w14:paraId="2D6A87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4470</w:t>
            </w:r>
          </w:p>
        </w:tc>
        <w:tc>
          <w:tcPr>
            <w:tcW w:w="582" w:type="dxa"/>
          </w:tcPr>
          <w:p w14:paraId="6AE6D4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3168</w:t>
            </w:r>
          </w:p>
        </w:tc>
        <w:tc>
          <w:tcPr>
            <w:tcW w:w="436" w:type="dxa"/>
          </w:tcPr>
          <w:p w14:paraId="347AC2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7762</w:t>
            </w:r>
          </w:p>
        </w:tc>
        <w:tc>
          <w:tcPr>
            <w:tcW w:w="582" w:type="dxa"/>
          </w:tcPr>
          <w:p w14:paraId="6491E7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5476</w:t>
            </w:r>
          </w:p>
        </w:tc>
      </w:tr>
      <w:tr w:rsidR="00561F31" w:rsidRPr="00F90EAE" w14:paraId="3ECDDD4D" w14:textId="77777777">
        <w:tc>
          <w:tcPr>
            <w:tcW w:w="2634" w:type="dxa"/>
          </w:tcPr>
          <w:p w14:paraId="6B8BB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873" w:type="dxa"/>
          </w:tcPr>
          <w:p w14:paraId="6A7E3E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4494</w:t>
            </w:r>
          </w:p>
        </w:tc>
        <w:tc>
          <w:tcPr>
            <w:tcW w:w="873" w:type="dxa"/>
          </w:tcPr>
          <w:p w14:paraId="08384B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3910</w:t>
            </w:r>
          </w:p>
        </w:tc>
        <w:tc>
          <w:tcPr>
            <w:tcW w:w="407" w:type="dxa"/>
          </w:tcPr>
          <w:p w14:paraId="72B31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w:t>
            </w:r>
          </w:p>
        </w:tc>
        <w:tc>
          <w:tcPr>
            <w:tcW w:w="582" w:type="dxa"/>
          </w:tcPr>
          <w:p w14:paraId="5B5C0F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172</w:t>
            </w:r>
          </w:p>
        </w:tc>
        <w:tc>
          <w:tcPr>
            <w:tcW w:w="407" w:type="dxa"/>
          </w:tcPr>
          <w:p w14:paraId="75C46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294</w:t>
            </w:r>
          </w:p>
        </w:tc>
        <w:tc>
          <w:tcPr>
            <w:tcW w:w="582" w:type="dxa"/>
          </w:tcPr>
          <w:p w14:paraId="0B83F8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w:t>
            </w:r>
          </w:p>
        </w:tc>
        <w:tc>
          <w:tcPr>
            <w:tcW w:w="407" w:type="dxa"/>
          </w:tcPr>
          <w:p w14:paraId="60EE3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582" w:type="dxa"/>
          </w:tcPr>
          <w:p w14:paraId="2DDCE2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407" w:type="dxa"/>
          </w:tcPr>
          <w:p w14:paraId="0DF541C4"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4E8C2A4"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407FB7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4996</w:t>
            </w:r>
          </w:p>
        </w:tc>
        <w:tc>
          <w:tcPr>
            <w:tcW w:w="582" w:type="dxa"/>
          </w:tcPr>
          <w:p w14:paraId="7EA29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4321</w:t>
            </w:r>
          </w:p>
        </w:tc>
      </w:tr>
      <w:tr w:rsidR="00561F31" w:rsidRPr="00F90EAE" w14:paraId="5F9254A6" w14:textId="77777777">
        <w:tc>
          <w:tcPr>
            <w:tcW w:w="2634" w:type="dxa"/>
          </w:tcPr>
          <w:p w14:paraId="7AAF9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АМ-37</w:t>
            </w:r>
          </w:p>
        </w:tc>
        <w:tc>
          <w:tcPr>
            <w:tcW w:w="873" w:type="dxa"/>
          </w:tcPr>
          <w:p w14:paraId="3D2160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873" w:type="dxa"/>
          </w:tcPr>
          <w:p w14:paraId="4477E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407" w:type="dxa"/>
          </w:tcPr>
          <w:p w14:paraId="46077E6D"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88A0313"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51A4C3D2"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8F939E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C2F8BB1"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570EDC4B"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025FEA9"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CA79C4A"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4523C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582" w:type="dxa"/>
          </w:tcPr>
          <w:p w14:paraId="09E2DF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r>
      <w:tr w:rsidR="00561F31" w:rsidRPr="00F90EAE" w14:paraId="55D0946A" w14:textId="77777777">
        <w:tc>
          <w:tcPr>
            <w:tcW w:w="2634" w:type="dxa"/>
          </w:tcPr>
          <w:p w14:paraId="0BC646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АМ-38</w:t>
            </w:r>
          </w:p>
        </w:tc>
        <w:tc>
          <w:tcPr>
            <w:tcW w:w="873" w:type="dxa"/>
          </w:tcPr>
          <w:p w14:paraId="509E13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3223</w:t>
            </w:r>
          </w:p>
        </w:tc>
        <w:tc>
          <w:tcPr>
            <w:tcW w:w="873" w:type="dxa"/>
          </w:tcPr>
          <w:p w14:paraId="5B6C78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1927</w:t>
            </w:r>
          </w:p>
        </w:tc>
        <w:tc>
          <w:tcPr>
            <w:tcW w:w="407" w:type="dxa"/>
          </w:tcPr>
          <w:p w14:paraId="6B455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8506</w:t>
            </w:r>
          </w:p>
        </w:tc>
        <w:tc>
          <w:tcPr>
            <w:tcW w:w="582" w:type="dxa"/>
          </w:tcPr>
          <w:p w14:paraId="5D7133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8356</w:t>
            </w:r>
          </w:p>
        </w:tc>
        <w:tc>
          <w:tcPr>
            <w:tcW w:w="407" w:type="dxa"/>
          </w:tcPr>
          <w:p w14:paraId="5ACF80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773</w:t>
            </w:r>
          </w:p>
        </w:tc>
        <w:tc>
          <w:tcPr>
            <w:tcW w:w="582" w:type="dxa"/>
          </w:tcPr>
          <w:p w14:paraId="65799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810</w:t>
            </w:r>
          </w:p>
        </w:tc>
        <w:tc>
          <w:tcPr>
            <w:tcW w:w="407" w:type="dxa"/>
          </w:tcPr>
          <w:p w14:paraId="0560D043"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E224E0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518BC36"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0F930B9"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42CED9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12502</w:t>
            </w:r>
          </w:p>
        </w:tc>
        <w:tc>
          <w:tcPr>
            <w:tcW w:w="582" w:type="dxa"/>
          </w:tcPr>
          <w:p w14:paraId="146DDD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11093</w:t>
            </w:r>
          </w:p>
        </w:tc>
      </w:tr>
      <w:tr w:rsidR="00561F31" w:rsidRPr="00F90EAE" w14:paraId="7C4F1956" w14:textId="77777777">
        <w:tc>
          <w:tcPr>
            <w:tcW w:w="2634" w:type="dxa"/>
          </w:tcPr>
          <w:p w14:paraId="3DDA8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АМ-38ф</w:t>
            </w:r>
          </w:p>
        </w:tc>
        <w:tc>
          <w:tcPr>
            <w:tcW w:w="873" w:type="dxa"/>
          </w:tcPr>
          <w:p w14:paraId="03D9583B"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441A7E6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7707E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410</w:t>
            </w:r>
          </w:p>
        </w:tc>
        <w:tc>
          <w:tcPr>
            <w:tcW w:w="582" w:type="dxa"/>
          </w:tcPr>
          <w:p w14:paraId="41A18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377</w:t>
            </w:r>
          </w:p>
        </w:tc>
        <w:tc>
          <w:tcPr>
            <w:tcW w:w="407" w:type="dxa"/>
          </w:tcPr>
          <w:p w14:paraId="6D2005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13138</w:t>
            </w:r>
          </w:p>
        </w:tc>
        <w:tc>
          <w:tcPr>
            <w:tcW w:w="582" w:type="dxa"/>
          </w:tcPr>
          <w:p w14:paraId="009273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12927</w:t>
            </w:r>
          </w:p>
        </w:tc>
        <w:tc>
          <w:tcPr>
            <w:tcW w:w="407" w:type="dxa"/>
          </w:tcPr>
          <w:p w14:paraId="0D709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12534</w:t>
            </w:r>
          </w:p>
        </w:tc>
        <w:tc>
          <w:tcPr>
            <w:tcW w:w="582" w:type="dxa"/>
          </w:tcPr>
          <w:p w14:paraId="32F9F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13320</w:t>
            </w:r>
          </w:p>
        </w:tc>
        <w:tc>
          <w:tcPr>
            <w:tcW w:w="407" w:type="dxa"/>
          </w:tcPr>
          <w:p w14:paraId="3A9CBF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5499</w:t>
            </w:r>
          </w:p>
        </w:tc>
        <w:tc>
          <w:tcPr>
            <w:tcW w:w="582" w:type="dxa"/>
          </w:tcPr>
          <w:p w14:paraId="2A6C61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5561</w:t>
            </w:r>
          </w:p>
        </w:tc>
        <w:tc>
          <w:tcPr>
            <w:tcW w:w="436" w:type="dxa"/>
          </w:tcPr>
          <w:p w14:paraId="1AE301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31581</w:t>
            </w:r>
          </w:p>
        </w:tc>
        <w:tc>
          <w:tcPr>
            <w:tcW w:w="582" w:type="dxa"/>
          </w:tcPr>
          <w:p w14:paraId="11BC35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32185</w:t>
            </w:r>
          </w:p>
        </w:tc>
      </w:tr>
      <w:tr w:rsidR="00561F31" w:rsidRPr="00F90EAE" w14:paraId="51A4F645" w14:textId="77777777">
        <w:tc>
          <w:tcPr>
            <w:tcW w:w="2634" w:type="dxa"/>
          </w:tcPr>
          <w:p w14:paraId="018BF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АМ-42</w:t>
            </w:r>
          </w:p>
        </w:tc>
        <w:tc>
          <w:tcPr>
            <w:tcW w:w="873" w:type="dxa"/>
          </w:tcPr>
          <w:p w14:paraId="72793724"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2F454D7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10BA07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582" w:type="dxa"/>
          </w:tcPr>
          <w:p w14:paraId="4BCB26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407" w:type="dxa"/>
          </w:tcPr>
          <w:p w14:paraId="4BA16D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w:t>
            </w:r>
          </w:p>
        </w:tc>
        <w:tc>
          <w:tcPr>
            <w:tcW w:w="582" w:type="dxa"/>
          </w:tcPr>
          <w:p w14:paraId="0AE9F7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407" w:type="dxa"/>
          </w:tcPr>
          <w:p w14:paraId="4CB8EC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907</w:t>
            </w:r>
          </w:p>
        </w:tc>
        <w:tc>
          <w:tcPr>
            <w:tcW w:w="582" w:type="dxa"/>
          </w:tcPr>
          <w:p w14:paraId="6D67C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501</w:t>
            </w:r>
          </w:p>
        </w:tc>
        <w:tc>
          <w:tcPr>
            <w:tcW w:w="407" w:type="dxa"/>
          </w:tcPr>
          <w:p w14:paraId="417457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3525</w:t>
            </w:r>
          </w:p>
        </w:tc>
        <w:tc>
          <w:tcPr>
            <w:tcW w:w="582" w:type="dxa"/>
          </w:tcPr>
          <w:p w14:paraId="2749C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3132</w:t>
            </w:r>
          </w:p>
        </w:tc>
        <w:tc>
          <w:tcPr>
            <w:tcW w:w="436" w:type="dxa"/>
          </w:tcPr>
          <w:p w14:paraId="54A4B9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4610</w:t>
            </w:r>
          </w:p>
        </w:tc>
        <w:tc>
          <w:tcPr>
            <w:tcW w:w="582" w:type="dxa"/>
          </w:tcPr>
          <w:p w14:paraId="4E6346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3700</w:t>
            </w:r>
          </w:p>
        </w:tc>
      </w:tr>
      <w:tr w:rsidR="00561F31" w:rsidRPr="00F90EAE" w14:paraId="57052DB0" w14:textId="77777777">
        <w:tc>
          <w:tcPr>
            <w:tcW w:w="2634" w:type="dxa"/>
          </w:tcPr>
          <w:p w14:paraId="40889E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873" w:type="dxa"/>
          </w:tcPr>
          <w:p w14:paraId="544090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1530</w:t>
            </w:r>
          </w:p>
        </w:tc>
        <w:tc>
          <w:tcPr>
            <w:tcW w:w="873" w:type="dxa"/>
          </w:tcPr>
          <w:p w14:paraId="4BF5B9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411</w:t>
            </w:r>
          </w:p>
        </w:tc>
        <w:tc>
          <w:tcPr>
            <w:tcW w:w="407" w:type="dxa"/>
          </w:tcPr>
          <w:p w14:paraId="2CE7B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3883</w:t>
            </w:r>
          </w:p>
        </w:tc>
        <w:tc>
          <w:tcPr>
            <w:tcW w:w="582" w:type="dxa"/>
          </w:tcPr>
          <w:p w14:paraId="4F82AC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3940</w:t>
            </w:r>
          </w:p>
        </w:tc>
        <w:tc>
          <w:tcPr>
            <w:tcW w:w="407" w:type="dxa"/>
          </w:tcPr>
          <w:p w14:paraId="631A09F3"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8FC9DA5"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0E38B223"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016B179"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1A330BE"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C91D54C"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21B08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5413</w:t>
            </w:r>
          </w:p>
        </w:tc>
        <w:tc>
          <w:tcPr>
            <w:tcW w:w="582" w:type="dxa"/>
          </w:tcPr>
          <w:p w14:paraId="0CB356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4351</w:t>
            </w:r>
          </w:p>
        </w:tc>
      </w:tr>
      <w:tr w:rsidR="00561F31" w:rsidRPr="00F90EAE" w14:paraId="6F564D09" w14:textId="77777777">
        <w:tc>
          <w:tcPr>
            <w:tcW w:w="2634" w:type="dxa"/>
          </w:tcPr>
          <w:p w14:paraId="7CB695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АМ-39</w:t>
            </w:r>
          </w:p>
        </w:tc>
        <w:tc>
          <w:tcPr>
            <w:tcW w:w="873" w:type="dxa"/>
          </w:tcPr>
          <w:p w14:paraId="0382C9F6"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4B8A88CE"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1CAF27A5"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0690B27F"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81C6589"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47029D5"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0E01D455"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73B6F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407" w:type="dxa"/>
          </w:tcPr>
          <w:p w14:paraId="3E2DE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582" w:type="dxa"/>
          </w:tcPr>
          <w:p w14:paraId="0127CA8B"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6E91EB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582" w:type="dxa"/>
          </w:tcPr>
          <w:p w14:paraId="6F1763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r>
      <w:tr w:rsidR="00561F31" w:rsidRPr="00F90EAE" w14:paraId="3C96F8EA" w14:textId="77777777">
        <w:tc>
          <w:tcPr>
            <w:tcW w:w="2634" w:type="dxa"/>
          </w:tcPr>
          <w:p w14:paraId="5CD656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АШ-72 и АШ-73</w:t>
            </w:r>
          </w:p>
        </w:tc>
        <w:tc>
          <w:tcPr>
            <w:tcW w:w="873" w:type="dxa"/>
          </w:tcPr>
          <w:p w14:paraId="25D335F2"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32C95430"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0AF9604"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B1B1CD4"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A2DB0C7"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5E3B23C"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B399006"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A57030E"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71D1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582" w:type="dxa"/>
          </w:tcPr>
          <w:p w14:paraId="322942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436" w:type="dxa"/>
          </w:tcPr>
          <w:p w14:paraId="73F420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582" w:type="dxa"/>
          </w:tcPr>
          <w:p w14:paraId="779224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606C701B" w14:textId="77777777">
        <w:tc>
          <w:tcPr>
            <w:tcW w:w="2634" w:type="dxa"/>
          </w:tcPr>
          <w:p w14:paraId="06D7F5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w:t>
            </w:r>
          </w:p>
        </w:tc>
        <w:tc>
          <w:tcPr>
            <w:tcW w:w="873" w:type="dxa"/>
          </w:tcPr>
          <w:p w14:paraId="25F82744"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3C07317F"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B02AE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w:t>
            </w:r>
          </w:p>
        </w:tc>
        <w:tc>
          <w:tcPr>
            <w:tcW w:w="582" w:type="dxa"/>
          </w:tcPr>
          <w:p w14:paraId="30DFDF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407" w:type="dxa"/>
          </w:tcPr>
          <w:p w14:paraId="179DF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2567</w:t>
            </w:r>
          </w:p>
        </w:tc>
        <w:tc>
          <w:tcPr>
            <w:tcW w:w="582" w:type="dxa"/>
          </w:tcPr>
          <w:p w14:paraId="21B764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3105</w:t>
            </w:r>
          </w:p>
        </w:tc>
        <w:tc>
          <w:tcPr>
            <w:tcW w:w="407" w:type="dxa"/>
          </w:tcPr>
          <w:p w14:paraId="1388E7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768</w:t>
            </w:r>
          </w:p>
        </w:tc>
        <w:tc>
          <w:tcPr>
            <w:tcW w:w="582" w:type="dxa"/>
          </w:tcPr>
          <w:p w14:paraId="062AFA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767</w:t>
            </w:r>
          </w:p>
        </w:tc>
        <w:tc>
          <w:tcPr>
            <w:tcW w:w="407" w:type="dxa"/>
          </w:tcPr>
          <w:p w14:paraId="39DFD455"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5AE182AA"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185EA0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w:t>
            </w:r>
          </w:p>
        </w:tc>
        <w:tc>
          <w:tcPr>
            <w:tcW w:w="582" w:type="dxa"/>
          </w:tcPr>
          <w:p w14:paraId="012E18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3901</w:t>
            </w:r>
          </w:p>
        </w:tc>
      </w:tr>
      <w:tr w:rsidR="00561F31" w:rsidRPr="00F90EAE" w14:paraId="6E1A3DC1" w14:textId="77777777">
        <w:tc>
          <w:tcPr>
            <w:tcW w:w="2634" w:type="dxa"/>
          </w:tcPr>
          <w:p w14:paraId="3B159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c>
          <w:tcPr>
            <w:tcW w:w="873" w:type="dxa"/>
          </w:tcPr>
          <w:p w14:paraId="46AD77D8"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07DB7ED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0A9E1B75"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E901C10"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99173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2633</w:t>
            </w:r>
          </w:p>
        </w:tc>
        <w:tc>
          <w:tcPr>
            <w:tcW w:w="582" w:type="dxa"/>
          </w:tcPr>
          <w:p w14:paraId="4C03CA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1551</w:t>
            </w:r>
          </w:p>
        </w:tc>
        <w:tc>
          <w:tcPr>
            <w:tcW w:w="407" w:type="dxa"/>
          </w:tcPr>
          <w:p w14:paraId="486FB8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7012</w:t>
            </w:r>
          </w:p>
        </w:tc>
        <w:tc>
          <w:tcPr>
            <w:tcW w:w="582" w:type="dxa"/>
          </w:tcPr>
          <w:p w14:paraId="0104E6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6566</w:t>
            </w:r>
          </w:p>
        </w:tc>
        <w:tc>
          <w:tcPr>
            <w:tcW w:w="407" w:type="dxa"/>
          </w:tcPr>
          <w:p w14:paraId="340CAA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7884</w:t>
            </w:r>
          </w:p>
        </w:tc>
        <w:tc>
          <w:tcPr>
            <w:tcW w:w="582" w:type="dxa"/>
          </w:tcPr>
          <w:p w14:paraId="64F3D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7700</w:t>
            </w:r>
          </w:p>
        </w:tc>
        <w:tc>
          <w:tcPr>
            <w:tcW w:w="436" w:type="dxa"/>
          </w:tcPr>
          <w:p w14:paraId="7A671C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17529</w:t>
            </w:r>
          </w:p>
        </w:tc>
        <w:tc>
          <w:tcPr>
            <w:tcW w:w="582" w:type="dxa"/>
          </w:tcPr>
          <w:p w14:paraId="60C7D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15817</w:t>
            </w:r>
          </w:p>
        </w:tc>
      </w:tr>
      <w:tr w:rsidR="00561F31" w:rsidRPr="00F90EAE" w14:paraId="29E5F211" w14:textId="77777777">
        <w:tc>
          <w:tcPr>
            <w:tcW w:w="2634" w:type="dxa"/>
          </w:tcPr>
          <w:p w14:paraId="7FBFFF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М-71</w:t>
            </w:r>
          </w:p>
        </w:tc>
        <w:tc>
          <w:tcPr>
            <w:tcW w:w="873" w:type="dxa"/>
          </w:tcPr>
          <w:p w14:paraId="03CB5B1C"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2B72F373"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3F2580B"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32892F6"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69AAF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582" w:type="dxa"/>
          </w:tcPr>
          <w:p w14:paraId="67523E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407" w:type="dxa"/>
          </w:tcPr>
          <w:p w14:paraId="59289612"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05121A31"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28381A0"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A1096F7"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597C52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582" w:type="dxa"/>
          </w:tcPr>
          <w:p w14:paraId="116D51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r>
      <w:tr w:rsidR="00561F31" w:rsidRPr="00F90EAE" w14:paraId="481DDDDA" w14:textId="77777777">
        <w:tc>
          <w:tcPr>
            <w:tcW w:w="2634" w:type="dxa"/>
          </w:tcPr>
          <w:p w14:paraId="75843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w:t>
            </w:r>
          </w:p>
        </w:tc>
        <w:tc>
          <w:tcPr>
            <w:tcW w:w="873" w:type="dxa"/>
          </w:tcPr>
          <w:p w14:paraId="6D0A7D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w:t>
            </w:r>
          </w:p>
        </w:tc>
        <w:tc>
          <w:tcPr>
            <w:tcW w:w="873" w:type="dxa"/>
          </w:tcPr>
          <w:p w14:paraId="466F8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w:t>
            </w:r>
          </w:p>
        </w:tc>
        <w:tc>
          <w:tcPr>
            <w:tcW w:w="407" w:type="dxa"/>
          </w:tcPr>
          <w:p w14:paraId="402E664C"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F1745AE"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AD8F668"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0071D797"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A686D3C"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0333652D"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65BD2E2C"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5A146BC"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37236C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w:t>
            </w:r>
          </w:p>
        </w:tc>
        <w:tc>
          <w:tcPr>
            <w:tcW w:w="582" w:type="dxa"/>
          </w:tcPr>
          <w:p w14:paraId="65174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w:t>
            </w:r>
          </w:p>
        </w:tc>
      </w:tr>
      <w:tr w:rsidR="00561F31" w:rsidRPr="00F90EAE" w14:paraId="413CEE33" w14:textId="77777777">
        <w:tc>
          <w:tcPr>
            <w:tcW w:w="2634" w:type="dxa"/>
          </w:tcPr>
          <w:p w14:paraId="3CD4C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873" w:type="dxa"/>
          </w:tcPr>
          <w:p w14:paraId="498F70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3445</w:t>
            </w:r>
          </w:p>
        </w:tc>
        <w:tc>
          <w:tcPr>
            <w:tcW w:w="873" w:type="dxa"/>
          </w:tcPr>
          <w:p w14:paraId="1EE91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2966</w:t>
            </w:r>
          </w:p>
        </w:tc>
        <w:tc>
          <w:tcPr>
            <w:tcW w:w="407" w:type="dxa"/>
          </w:tcPr>
          <w:p w14:paraId="6F0CC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4425</w:t>
            </w:r>
          </w:p>
        </w:tc>
        <w:tc>
          <w:tcPr>
            <w:tcW w:w="582" w:type="dxa"/>
          </w:tcPr>
          <w:p w14:paraId="574EA8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4062</w:t>
            </w:r>
          </w:p>
        </w:tc>
        <w:tc>
          <w:tcPr>
            <w:tcW w:w="407" w:type="dxa"/>
          </w:tcPr>
          <w:p w14:paraId="7FA929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3541</w:t>
            </w:r>
          </w:p>
        </w:tc>
        <w:tc>
          <w:tcPr>
            <w:tcW w:w="582" w:type="dxa"/>
          </w:tcPr>
          <w:p w14:paraId="17B724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3611</w:t>
            </w:r>
          </w:p>
        </w:tc>
        <w:tc>
          <w:tcPr>
            <w:tcW w:w="407" w:type="dxa"/>
          </w:tcPr>
          <w:p w14:paraId="67F1C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2462</w:t>
            </w:r>
          </w:p>
        </w:tc>
        <w:tc>
          <w:tcPr>
            <w:tcW w:w="582" w:type="dxa"/>
          </w:tcPr>
          <w:p w14:paraId="413C46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2230</w:t>
            </w:r>
          </w:p>
        </w:tc>
        <w:tc>
          <w:tcPr>
            <w:tcW w:w="407" w:type="dxa"/>
          </w:tcPr>
          <w:p w14:paraId="4070D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1510</w:t>
            </w:r>
          </w:p>
        </w:tc>
        <w:tc>
          <w:tcPr>
            <w:tcW w:w="582" w:type="dxa"/>
          </w:tcPr>
          <w:p w14:paraId="44C334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1549</w:t>
            </w:r>
          </w:p>
        </w:tc>
        <w:tc>
          <w:tcPr>
            <w:tcW w:w="436" w:type="dxa"/>
          </w:tcPr>
          <w:p w14:paraId="0FB59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15383</w:t>
            </w:r>
          </w:p>
        </w:tc>
        <w:tc>
          <w:tcPr>
            <w:tcW w:w="582" w:type="dxa"/>
          </w:tcPr>
          <w:p w14:paraId="43BCE8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14418</w:t>
            </w:r>
          </w:p>
        </w:tc>
      </w:tr>
      <w:tr w:rsidR="00561F31" w:rsidRPr="00F90EAE" w14:paraId="3EE9BA58" w14:textId="77777777">
        <w:tc>
          <w:tcPr>
            <w:tcW w:w="2634" w:type="dxa"/>
          </w:tcPr>
          <w:p w14:paraId="598AE4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М-89</w:t>
            </w:r>
          </w:p>
        </w:tc>
        <w:tc>
          <w:tcPr>
            <w:tcW w:w="873" w:type="dxa"/>
          </w:tcPr>
          <w:p w14:paraId="406F07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w:t>
            </w:r>
          </w:p>
        </w:tc>
        <w:tc>
          <w:tcPr>
            <w:tcW w:w="873" w:type="dxa"/>
          </w:tcPr>
          <w:p w14:paraId="7E708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407" w:type="dxa"/>
          </w:tcPr>
          <w:p w14:paraId="3E6156A7"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7461EA8"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1812F2A4"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9F34EBA"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620048B"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55B3392"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56D6313E"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722C031E"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1D808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251</w:t>
            </w:r>
          </w:p>
        </w:tc>
        <w:tc>
          <w:tcPr>
            <w:tcW w:w="582" w:type="dxa"/>
          </w:tcPr>
          <w:p w14:paraId="6819C0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r>
      <w:tr w:rsidR="00561F31" w:rsidRPr="00F90EAE" w14:paraId="2F38430C" w14:textId="77777777">
        <w:tc>
          <w:tcPr>
            <w:tcW w:w="2634" w:type="dxa"/>
          </w:tcPr>
          <w:p w14:paraId="279E92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М-62, 63</w:t>
            </w:r>
          </w:p>
        </w:tc>
        <w:tc>
          <w:tcPr>
            <w:tcW w:w="873" w:type="dxa"/>
          </w:tcPr>
          <w:p w14:paraId="0978F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w:t>
            </w:r>
          </w:p>
        </w:tc>
        <w:tc>
          <w:tcPr>
            <w:tcW w:w="873" w:type="dxa"/>
          </w:tcPr>
          <w:p w14:paraId="0060E6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1458</w:t>
            </w:r>
          </w:p>
        </w:tc>
        <w:tc>
          <w:tcPr>
            <w:tcW w:w="407" w:type="dxa"/>
          </w:tcPr>
          <w:p w14:paraId="207006B8"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04BE8628"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1C2D6F12"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60AC468"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61D8C78"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6A2A466"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48899780"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6185D70D"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6697E7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w:t>
            </w:r>
          </w:p>
        </w:tc>
        <w:tc>
          <w:tcPr>
            <w:tcW w:w="582" w:type="dxa"/>
          </w:tcPr>
          <w:p w14:paraId="6C9871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1458</w:t>
            </w:r>
          </w:p>
        </w:tc>
      </w:tr>
      <w:tr w:rsidR="00561F31" w:rsidRPr="00F90EAE" w14:paraId="68D1610E" w14:textId="77777777">
        <w:tc>
          <w:tcPr>
            <w:tcW w:w="2634" w:type="dxa"/>
          </w:tcPr>
          <w:p w14:paraId="1C70F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АШ-62ир</w:t>
            </w:r>
          </w:p>
        </w:tc>
        <w:tc>
          <w:tcPr>
            <w:tcW w:w="873" w:type="dxa"/>
          </w:tcPr>
          <w:p w14:paraId="33E273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1256</w:t>
            </w:r>
          </w:p>
        </w:tc>
        <w:tc>
          <w:tcPr>
            <w:tcW w:w="873" w:type="dxa"/>
          </w:tcPr>
          <w:p w14:paraId="1184D2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979</w:t>
            </w:r>
          </w:p>
        </w:tc>
        <w:tc>
          <w:tcPr>
            <w:tcW w:w="407" w:type="dxa"/>
          </w:tcPr>
          <w:p w14:paraId="2F88E5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2204</w:t>
            </w:r>
          </w:p>
        </w:tc>
        <w:tc>
          <w:tcPr>
            <w:tcW w:w="582" w:type="dxa"/>
          </w:tcPr>
          <w:p w14:paraId="31CBEF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2211</w:t>
            </w:r>
          </w:p>
        </w:tc>
        <w:tc>
          <w:tcPr>
            <w:tcW w:w="407" w:type="dxa"/>
          </w:tcPr>
          <w:p w14:paraId="77A800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1443</w:t>
            </w:r>
          </w:p>
        </w:tc>
        <w:tc>
          <w:tcPr>
            <w:tcW w:w="582" w:type="dxa"/>
          </w:tcPr>
          <w:p w14:paraId="031C1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1430</w:t>
            </w:r>
          </w:p>
        </w:tc>
        <w:tc>
          <w:tcPr>
            <w:tcW w:w="407" w:type="dxa"/>
          </w:tcPr>
          <w:p w14:paraId="680B9B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1540</w:t>
            </w:r>
          </w:p>
        </w:tc>
        <w:tc>
          <w:tcPr>
            <w:tcW w:w="582" w:type="dxa"/>
          </w:tcPr>
          <w:p w14:paraId="206B4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1412</w:t>
            </w:r>
          </w:p>
        </w:tc>
        <w:tc>
          <w:tcPr>
            <w:tcW w:w="407" w:type="dxa"/>
          </w:tcPr>
          <w:p w14:paraId="4EF7F3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1955</w:t>
            </w:r>
          </w:p>
        </w:tc>
        <w:tc>
          <w:tcPr>
            <w:tcW w:w="582" w:type="dxa"/>
          </w:tcPr>
          <w:p w14:paraId="1941B5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1603</w:t>
            </w:r>
          </w:p>
        </w:tc>
        <w:tc>
          <w:tcPr>
            <w:tcW w:w="436" w:type="dxa"/>
          </w:tcPr>
          <w:p w14:paraId="08D405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8398</w:t>
            </w:r>
          </w:p>
        </w:tc>
        <w:tc>
          <w:tcPr>
            <w:tcW w:w="582" w:type="dxa"/>
          </w:tcPr>
          <w:p w14:paraId="48EDE0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7635</w:t>
            </w:r>
          </w:p>
        </w:tc>
      </w:tr>
      <w:tr w:rsidR="00561F31" w:rsidRPr="00F90EAE" w14:paraId="24574A12" w14:textId="77777777">
        <w:tc>
          <w:tcPr>
            <w:tcW w:w="2634" w:type="dxa"/>
          </w:tcPr>
          <w:p w14:paraId="43853A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М-25В</w:t>
            </w:r>
          </w:p>
        </w:tc>
        <w:tc>
          <w:tcPr>
            <w:tcW w:w="873" w:type="dxa"/>
          </w:tcPr>
          <w:p w14:paraId="693015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2113</w:t>
            </w:r>
          </w:p>
        </w:tc>
        <w:tc>
          <w:tcPr>
            <w:tcW w:w="873" w:type="dxa"/>
          </w:tcPr>
          <w:p w14:paraId="74C48A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2063</w:t>
            </w:r>
          </w:p>
        </w:tc>
        <w:tc>
          <w:tcPr>
            <w:tcW w:w="407" w:type="dxa"/>
          </w:tcPr>
          <w:p w14:paraId="331510D6"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A339E36"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949477F"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4B48B0B9"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3EB07E07"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13DF9DB3"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04B196A0"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BEC2D40" w14:textId="77777777" w:rsidR="00665165" w:rsidRPr="00F90EAE" w:rsidRDefault="00665165" w:rsidP="00F90EAE">
            <w:pPr>
              <w:autoSpaceDE w:val="0"/>
              <w:autoSpaceDN w:val="0"/>
              <w:adjustRightInd w:val="0"/>
              <w:jc w:val="both"/>
              <w:rPr>
                <w:color w:val="000000" w:themeColor="text1"/>
                <w:sz w:val="16"/>
                <w:szCs w:val="16"/>
              </w:rPr>
            </w:pPr>
          </w:p>
        </w:tc>
        <w:tc>
          <w:tcPr>
            <w:tcW w:w="436" w:type="dxa"/>
          </w:tcPr>
          <w:p w14:paraId="1E90C1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2113</w:t>
            </w:r>
          </w:p>
        </w:tc>
        <w:tc>
          <w:tcPr>
            <w:tcW w:w="582" w:type="dxa"/>
          </w:tcPr>
          <w:p w14:paraId="32669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2063</w:t>
            </w:r>
          </w:p>
        </w:tc>
      </w:tr>
      <w:tr w:rsidR="00561F31" w:rsidRPr="00F90EAE" w14:paraId="1EA16794" w14:textId="77777777">
        <w:tc>
          <w:tcPr>
            <w:tcW w:w="2634" w:type="dxa"/>
          </w:tcPr>
          <w:p w14:paraId="43C15F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М-11Д</w:t>
            </w:r>
          </w:p>
        </w:tc>
        <w:tc>
          <w:tcPr>
            <w:tcW w:w="873" w:type="dxa"/>
          </w:tcPr>
          <w:p w14:paraId="6C7B2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2671</w:t>
            </w:r>
          </w:p>
        </w:tc>
        <w:tc>
          <w:tcPr>
            <w:tcW w:w="873" w:type="dxa"/>
          </w:tcPr>
          <w:p w14:paraId="4C1AE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2289</w:t>
            </w:r>
          </w:p>
        </w:tc>
        <w:tc>
          <w:tcPr>
            <w:tcW w:w="407" w:type="dxa"/>
          </w:tcPr>
          <w:p w14:paraId="401D2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3713</w:t>
            </w:r>
          </w:p>
        </w:tc>
        <w:tc>
          <w:tcPr>
            <w:tcW w:w="582" w:type="dxa"/>
          </w:tcPr>
          <w:p w14:paraId="38E4BF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3614</w:t>
            </w:r>
          </w:p>
        </w:tc>
        <w:tc>
          <w:tcPr>
            <w:tcW w:w="407" w:type="dxa"/>
          </w:tcPr>
          <w:p w14:paraId="3A9B0B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5904</w:t>
            </w:r>
          </w:p>
        </w:tc>
        <w:tc>
          <w:tcPr>
            <w:tcW w:w="582" w:type="dxa"/>
          </w:tcPr>
          <w:p w14:paraId="690A51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5801</w:t>
            </w:r>
          </w:p>
        </w:tc>
        <w:tc>
          <w:tcPr>
            <w:tcW w:w="407" w:type="dxa"/>
          </w:tcPr>
          <w:p w14:paraId="4BDF42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8117</w:t>
            </w:r>
          </w:p>
        </w:tc>
        <w:tc>
          <w:tcPr>
            <w:tcW w:w="582" w:type="dxa"/>
          </w:tcPr>
          <w:p w14:paraId="4F188E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8039</w:t>
            </w:r>
          </w:p>
        </w:tc>
        <w:tc>
          <w:tcPr>
            <w:tcW w:w="407" w:type="dxa"/>
          </w:tcPr>
          <w:p w14:paraId="7C1A6C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7027</w:t>
            </w:r>
          </w:p>
        </w:tc>
        <w:tc>
          <w:tcPr>
            <w:tcW w:w="582" w:type="dxa"/>
          </w:tcPr>
          <w:p w14:paraId="1CB07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6499</w:t>
            </w:r>
          </w:p>
        </w:tc>
        <w:tc>
          <w:tcPr>
            <w:tcW w:w="436" w:type="dxa"/>
          </w:tcPr>
          <w:p w14:paraId="392B6B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27432</w:t>
            </w:r>
          </w:p>
        </w:tc>
        <w:tc>
          <w:tcPr>
            <w:tcW w:w="582" w:type="dxa"/>
          </w:tcPr>
          <w:p w14:paraId="51C21B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26242</w:t>
            </w:r>
          </w:p>
        </w:tc>
      </w:tr>
      <w:tr w:rsidR="00561F31" w:rsidRPr="00F90EAE" w14:paraId="3B1F7DA2" w14:textId="77777777">
        <w:tc>
          <w:tcPr>
            <w:tcW w:w="2634" w:type="dxa"/>
          </w:tcPr>
          <w:p w14:paraId="310F5E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АЧ-30Б</w:t>
            </w:r>
          </w:p>
        </w:tc>
        <w:tc>
          <w:tcPr>
            <w:tcW w:w="873" w:type="dxa"/>
          </w:tcPr>
          <w:p w14:paraId="35ACF883" w14:textId="77777777" w:rsidR="00665165" w:rsidRPr="00F90EAE" w:rsidRDefault="00665165" w:rsidP="00F90EAE">
            <w:pPr>
              <w:autoSpaceDE w:val="0"/>
              <w:autoSpaceDN w:val="0"/>
              <w:adjustRightInd w:val="0"/>
              <w:jc w:val="both"/>
              <w:rPr>
                <w:color w:val="000000" w:themeColor="text1"/>
                <w:sz w:val="16"/>
                <w:szCs w:val="16"/>
              </w:rPr>
            </w:pPr>
          </w:p>
        </w:tc>
        <w:tc>
          <w:tcPr>
            <w:tcW w:w="873" w:type="dxa"/>
          </w:tcPr>
          <w:p w14:paraId="47C686C4"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262CEA7E"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242C9CB9"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5E851A7B" w14:textId="77777777" w:rsidR="00665165" w:rsidRPr="00F90EAE" w:rsidRDefault="00665165" w:rsidP="00F90EAE">
            <w:pPr>
              <w:autoSpaceDE w:val="0"/>
              <w:autoSpaceDN w:val="0"/>
              <w:adjustRightInd w:val="0"/>
              <w:jc w:val="both"/>
              <w:rPr>
                <w:color w:val="000000" w:themeColor="text1"/>
                <w:sz w:val="16"/>
                <w:szCs w:val="16"/>
              </w:rPr>
            </w:pPr>
          </w:p>
        </w:tc>
        <w:tc>
          <w:tcPr>
            <w:tcW w:w="582" w:type="dxa"/>
          </w:tcPr>
          <w:p w14:paraId="3355C025" w14:textId="77777777" w:rsidR="00665165" w:rsidRPr="00F90EAE" w:rsidRDefault="00665165" w:rsidP="00F90EAE">
            <w:pPr>
              <w:autoSpaceDE w:val="0"/>
              <w:autoSpaceDN w:val="0"/>
              <w:adjustRightInd w:val="0"/>
              <w:jc w:val="both"/>
              <w:rPr>
                <w:color w:val="000000" w:themeColor="text1"/>
                <w:sz w:val="16"/>
                <w:szCs w:val="16"/>
              </w:rPr>
            </w:pPr>
          </w:p>
        </w:tc>
        <w:tc>
          <w:tcPr>
            <w:tcW w:w="407" w:type="dxa"/>
          </w:tcPr>
          <w:p w14:paraId="7BB90E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792</w:t>
            </w:r>
          </w:p>
        </w:tc>
        <w:tc>
          <w:tcPr>
            <w:tcW w:w="582" w:type="dxa"/>
          </w:tcPr>
          <w:p w14:paraId="0573F3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407" w:type="dxa"/>
          </w:tcPr>
          <w:p w14:paraId="4C600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1382</w:t>
            </w:r>
          </w:p>
        </w:tc>
        <w:tc>
          <w:tcPr>
            <w:tcW w:w="582" w:type="dxa"/>
          </w:tcPr>
          <w:p w14:paraId="1C3C9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876</w:t>
            </w:r>
          </w:p>
        </w:tc>
        <w:tc>
          <w:tcPr>
            <w:tcW w:w="436" w:type="dxa"/>
          </w:tcPr>
          <w:p w14:paraId="5BBDA5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2174</w:t>
            </w:r>
          </w:p>
        </w:tc>
        <w:tc>
          <w:tcPr>
            <w:tcW w:w="582" w:type="dxa"/>
          </w:tcPr>
          <w:p w14:paraId="15716A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1461</w:t>
            </w:r>
          </w:p>
        </w:tc>
      </w:tr>
      <w:tr w:rsidR="00561F31" w:rsidRPr="00F90EAE" w14:paraId="7F9381C7" w14:textId="77777777">
        <w:tc>
          <w:tcPr>
            <w:tcW w:w="2634" w:type="dxa"/>
            <w:tcBorders>
              <w:bottom w:val="single" w:sz="12" w:space="0" w:color="000000"/>
            </w:tcBorders>
          </w:tcPr>
          <w:p w14:paraId="422375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873" w:type="dxa"/>
            <w:tcBorders>
              <w:bottom w:val="single" w:sz="12" w:space="0" w:color="000000"/>
            </w:tcBorders>
          </w:tcPr>
          <w:p w14:paraId="6560D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37359</w:t>
            </w:r>
          </w:p>
        </w:tc>
        <w:tc>
          <w:tcPr>
            <w:tcW w:w="873" w:type="dxa"/>
            <w:tcBorders>
              <w:bottom w:val="single" w:sz="12" w:space="0" w:color="000000"/>
            </w:tcBorders>
          </w:tcPr>
          <w:p w14:paraId="507511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27916</w:t>
            </w:r>
          </w:p>
        </w:tc>
        <w:tc>
          <w:tcPr>
            <w:tcW w:w="407" w:type="dxa"/>
            <w:tcBorders>
              <w:bottom w:val="single" w:sz="12" w:space="0" w:color="000000"/>
            </w:tcBorders>
          </w:tcPr>
          <w:p w14:paraId="3623ED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39187</w:t>
            </w:r>
          </w:p>
        </w:tc>
        <w:tc>
          <w:tcPr>
            <w:tcW w:w="582" w:type="dxa"/>
            <w:tcBorders>
              <w:bottom w:val="single" w:sz="12" w:space="0" w:color="000000"/>
            </w:tcBorders>
          </w:tcPr>
          <w:p w14:paraId="1B5BA0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37821</w:t>
            </w:r>
          </w:p>
        </w:tc>
        <w:tc>
          <w:tcPr>
            <w:tcW w:w="407" w:type="dxa"/>
            <w:tcBorders>
              <w:bottom w:val="single" w:sz="12" w:space="0" w:color="000000"/>
            </w:tcBorders>
          </w:tcPr>
          <w:p w14:paraId="253A1C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49585</w:t>
            </w:r>
          </w:p>
        </w:tc>
        <w:tc>
          <w:tcPr>
            <w:tcW w:w="582" w:type="dxa"/>
            <w:tcBorders>
              <w:bottom w:val="single" w:sz="12" w:space="0" w:color="000000"/>
            </w:tcBorders>
          </w:tcPr>
          <w:p w14:paraId="415260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48489</w:t>
            </w:r>
          </w:p>
        </w:tc>
        <w:tc>
          <w:tcPr>
            <w:tcW w:w="407" w:type="dxa"/>
            <w:tcBorders>
              <w:bottom w:val="single" w:sz="12" w:space="0" w:color="000000"/>
            </w:tcBorders>
          </w:tcPr>
          <w:p w14:paraId="105F63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54297</w:t>
            </w:r>
          </w:p>
        </w:tc>
        <w:tc>
          <w:tcPr>
            <w:tcW w:w="582" w:type="dxa"/>
            <w:tcBorders>
              <w:bottom w:val="single" w:sz="12" w:space="0" w:color="000000"/>
            </w:tcBorders>
          </w:tcPr>
          <w:p w14:paraId="367D3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51939</w:t>
            </w:r>
          </w:p>
        </w:tc>
        <w:tc>
          <w:tcPr>
            <w:tcW w:w="407" w:type="dxa"/>
            <w:tcBorders>
              <w:bottom w:val="single" w:sz="12" w:space="0" w:color="000000"/>
            </w:tcBorders>
          </w:tcPr>
          <w:p w14:paraId="7D9ECC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43470</w:t>
            </w:r>
          </w:p>
        </w:tc>
        <w:tc>
          <w:tcPr>
            <w:tcW w:w="582" w:type="dxa"/>
            <w:tcBorders>
              <w:bottom w:val="single" w:sz="12" w:space="0" w:color="000000"/>
            </w:tcBorders>
          </w:tcPr>
          <w:p w14:paraId="500D40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40164</w:t>
            </w:r>
          </w:p>
        </w:tc>
        <w:tc>
          <w:tcPr>
            <w:tcW w:w="436" w:type="dxa"/>
            <w:tcBorders>
              <w:bottom w:val="single" w:sz="12" w:space="0" w:color="000000"/>
            </w:tcBorders>
          </w:tcPr>
          <w:p w14:paraId="277B1A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223898</w:t>
            </w:r>
          </w:p>
        </w:tc>
        <w:tc>
          <w:tcPr>
            <w:tcW w:w="582" w:type="dxa"/>
            <w:tcBorders>
              <w:bottom w:val="single" w:sz="12" w:space="0" w:color="000000"/>
            </w:tcBorders>
          </w:tcPr>
          <w:p w14:paraId="38B7D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206329</w:t>
            </w:r>
          </w:p>
        </w:tc>
      </w:tr>
    </w:tbl>
    <w:p w14:paraId="58E6A5FA"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Отдел мобпланирования ГШ ВВС, д.103, лл.39-40 (11016).</w:t>
      </w:r>
    </w:p>
    <w:p w14:paraId="237A5D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 авиационных двигателей в оборотный фонд ВВС за 1941-1945 гг. (в штуках)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2881"/>
        <w:gridCol w:w="447"/>
        <w:gridCol w:w="639"/>
        <w:gridCol w:w="447"/>
        <w:gridCol w:w="639"/>
        <w:gridCol w:w="447"/>
        <w:gridCol w:w="639"/>
        <w:gridCol w:w="447"/>
        <w:gridCol w:w="639"/>
        <w:gridCol w:w="447"/>
        <w:gridCol w:w="639"/>
        <w:gridCol w:w="399"/>
        <w:gridCol w:w="639"/>
      </w:tblGrid>
      <w:tr w:rsidR="00561F31" w:rsidRPr="00F90EAE" w14:paraId="30648076" w14:textId="77777777" w:rsidTr="00665165">
        <w:tc>
          <w:tcPr>
            <w:tcW w:w="2881" w:type="dxa"/>
            <w:tcBorders>
              <w:top w:val="single" w:sz="12" w:space="0" w:color="000000"/>
            </w:tcBorders>
          </w:tcPr>
          <w:p w14:paraId="285792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авиационных двигателей</w:t>
            </w:r>
          </w:p>
        </w:tc>
        <w:tc>
          <w:tcPr>
            <w:tcW w:w="447" w:type="dxa"/>
            <w:gridSpan w:val="10"/>
            <w:tcBorders>
              <w:top w:val="single" w:sz="12" w:space="0" w:color="000000"/>
            </w:tcBorders>
          </w:tcPr>
          <w:p w14:paraId="429B17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 производства и выпуска авиационных моторов по годам</w:t>
            </w:r>
          </w:p>
        </w:tc>
        <w:tc>
          <w:tcPr>
            <w:tcW w:w="399" w:type="dxa"/>
            <w:gridSpan w:val="2"/>
            <w:tcBorders>
              <w:top w:val="single" w:sz="12" w:space="0" w:color="000000"/>
            </w:tcBorders>
          </w:tcPr>
          <w:p w14:paraId="52DAD6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6EC8AAF1" w14:textId="77777777" w:rsidTr="00665165">
        <w:tc>
          <w:tcPr>
            <w:tcW w:w="2881" w:type="dxa"/>
          </w:tcPr>
          <w:p w14:paraId="1AA10809" w14:textId="77777777" w:rsidR="00665165" w:rsidRPr="00F90EAE" w:rsidRDefault="00665165" w:rsidP="00F90EAE">
            <w:pPr>
              <w:autoSpaceDE w:val="0"/>
              <w:autoSpaceDN w:val="0"/>
              <w:adjustRightInd w:val="0"/>
              <w:jc w:val="both"/>
              <w:rPr>
                <w:color w:val="000000" w:themeColor="text1"/>
                <w:sz w:val="16"/>
                <w:szCs w:val="16"/>
              </w:rPr>
            </w:pPr>
          </w:p>
        </w:tc>
        <w:tc>
          <w:tcPr>
            <w:tcW w:w="447" w:type="dxa"/>
            <w:gridSpan w:val="2"/>
          </w:tcPr>
          <w:p w14:paraId="2EBDFA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447" w:type="dxa"/>
            <w:gridSpan w:val="2"/>
          </w:tcPr>
          <w:p w14:paraId="49434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447" w:type="dxa"/>
            <w:gridSpan w:val="2"/>
          </w:tcPr>
          <w:p w14:paraId="359FFD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447" w:type="dxa"/>
            <w:gridSpan w:val="2"/>
          </w:tcPr>
          <w:p w14:paraId="55C5A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447" w:type="dxa"/>
            <w:gridSpan w:val="2"/>
          </w:tcPr>
          <w:p w14:paraId="1B4396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c>
          <w:tcPr>
            <w:tcW w:w="399" w:type="dxa"/>
            <w:gridSpan w:val="2"/>
          </w:tcPr>
          <w:p w14:paraId="0AEE308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0B36126" w14:textId="77777777">
        <w:tc>
          <w:tcPr>
            <w:tcW w:w="2881" w:type="dxa"/>
          </w:tcPr>
          <w:p w14:paraId="2352E214"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3DB7DC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51A34A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47" w:type="dxa"/>
          </w:tcPr>
          <w:p w14:paraId="0077EC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13B657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47" w:type="dxa"/>
          </w:tcPr>
          <w:p w14:paraId="55389F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784C88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47" w:type="dxa"/>
          </w:tcPr>
          <w:p w14:paraId="2B11C4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63A39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447" w:type="dxa"/>
          </w:tcPr>
          <w:p w14:paraId="14F19E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14579F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399" w:type="dxa"/>
          </w:tcPr>
          <w:p w14:paraId="00826A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39" w:type="dxa"/>
          </w:tcPr>
          <w:p w14:paraId="263E57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r>
      <w:tr w:rsidR="00561F31" w:rsidRPr="00F90EAE" w14:paraId="512B1E29" w14:textId="77777777">
        <w:tc>
          <w:tcPr>
            <w:tcW w:w="2881" w:type="dxa"/>
          </w:tcPr>
          <w:p w14:paraId="3CA2C8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ВК-105па, пф, пф-2</w:t>
            </w:r>
          </w:p>
        </w:tc>
        <w:tc>
          <w:tcPr>
            <w:tcW w:w="447" w:type="dxa"/>
          </w:tcPr>
          <w:p w14:paraId="4BF6C3B7"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4BF226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3981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737</w:t>
            </w:r>
          </w:p>
        </w:tc>
        <w:tc>
          <w:tcPr>
            <w:tcW w:w="639" w:type="dxa"/>
          </w:tcPr>
          <w:p w14:paraId="3D6A3C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602</w:t>
            </w:r>
          </w:p>
        </w:tc>
        <w:tc>
          <w:tcPr>
            <w:tcW w:w="447" w:type="dxa"/>
          </w:tcPr>
          <w:p w14:paraId="2FAC2B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1565</w:t>
            </w:r>
          </w:p>
        </w:tc>
        <w:tc>
          <w:tcPr>
            <w:tcW w:w="639" w:type="dxa"/>
          </w:tcPr>
          <w:p w14:paraId="7B207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2377</w:t>
            </w:r>
          </w:p>
        </w:tc>
        <w:tc>
          <w:tcPr>
            <w:tcW w:w="447" w:type="dxa"/>
          </w:tcPr>
          <w:p w14:paraId="26B817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c>
          <w:tcPr>
            <w:tcW w:w="639" w:type="dxa"/>
          </w:tcPr>
          <w:p w14:paraId="7F6C8F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1207</w:t>
            </w:r>
          </w:p>
        </w:tc>
        <w:tc>
          <w:tcPr>
            <w:tcW w:w="447" w:type="dxa"/>
          </w:tcPr>
          <w:p w14:paraId="02D991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1258</w:t>
            </w:r>
          </w:p>
        </w:tc>
        <w:tc>
          <w:tcPr>
            <w:tcW w:w="639" w:type="dxa"/>
          </w:tcPr>
          <w:p w14:paraId="6FB543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1591</w:t>
            </w:r>
          </w:p>
        </w:tc>
        <w:tc>
          <w:tcPr>
            <w:tcW w:w="399" w:type="dxa"/>
          </w:tcPr>
          <w:p w14:paraId="17DF06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4900</w:t>
            </w:r>
          </w:p>
        </w:tc>
        <w:tc>
          <w:tcPr>
            <w:tcW w:w="639" w:type="dxa"/>
          </w:tcPr>
          <w:p w14:paraId="61FD65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5777</w:t>
            </w:r>
          </w:p>
        </w:tc>
      </w:tr>
      <w:tr w:rsidR="00561F31" w:rsidRPr="00F90EAE" w14:paraId="059656CE" w14:textId="77777777">
        <w:tc>
          <w:tcPr>
            <w:tcW w:w="2881" w:type="dxa"/>
          </w:tcPr>
          <w:p w14:paraId="7E30F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447" w:type="dxa"/>
          </w:tcPr>
          <w:p w14:paraId="3844A99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3D2BFE85"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BD01246"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859FF17"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0F9BF245"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CA9FD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447" w:type="dxa"/>
          </w:tcPr>
          <w:p w14:paraId="50703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639" w:type="dxa"/>
          </w:tcPr>
          <w:p w14:paraId="7C86D0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447" w:type="dxa"/>
          </w:tcPr>
          <w:p w14:paraId="5AE7F2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695</w:t>
            </w:r>
          </w:p>
        </w:tc>
        <w:tc>
          <w:tcPr>
            <w:tcW w:w="639" w:type="dxa"/>
          </w:tcPr>
          <w:p w14:paraId="0F4AA9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w:t>
            </w:r>
          </w:p>
        </w:tc>
        <w:tc>
          <w:tcPr>
            <w:tcW w:w="399" w:type="dxa"/>
          </w:tcPr>
          <w:p w14:paraId="3E512A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745</w:t>
            </w:r>
          </w:p>
        </w:tc>
        <w:tc>
          <w:tcPr>
            <w:tcW w:w="639" w:type="dxa"/>
          </w:tcPr>
          <w:p w14:paraId="4ADC6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r>
      <w:tr w:rsidR="00561F31" w:rsidRPr="00F90EAE" w14:paraId="333FE62B" w14:textId="77777777">
        <w:tc>
          <w:tcPr>
            <w:tcW w:w="2881" w:type="dxa"/>
          </w:tcPr>
          <w:p w14:paraId="738CBE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АМ-38ф</w:t>
            </w:r>
          </w:p>
        </w:tc>
        <w:tc>
          <w:tcPr>
            <w:tcW w:w="447" w:type="dxa"/>
          </w:tcPr>
          <w:p w14:paraId="7979FD41"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7F58DA3"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02479D21"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063B895"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CACEB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938</w:t>
            </w:r>
          </w:p>
        </w:tc>
        <w:tc>
          <w:tcPr>
            <w:tcW w:w="639" w:type="dxa"/>
          </w:tcPr>
          <w:p w14:paraId="70D151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1122</w:t>
            </w:r>
          </w:p>
        </w:tc>
        <w:tc>
          <w:tcPr>
            <w:tcW w:w="447" w:type="dxa"/>
          </w:tcPr>
          <w:p w14:paraId="29325F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1120</w:t>
            </w:r>
          </w:p>
        </w:tc>
        <w:tc>
          <w:tcPr>
            <w:tcW w:w="639" w:type="dxa"/>
          </w:tcPr>
          <w:p w14:paraId="0C8A2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1449</w:t>
            </w:r>
          </w:p>
        </w:tc>
        <w:tc>
          <w:tcPr>
            <w:tcW w:w="447" w:type="dxa"/>
          </w:tcPr>
          <w:p w14:paraId="2C1D1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1620</w:t>
            </w:r>
          </w:p>
        </w:tc>
        <w:tc>
          <w:tcPr>
            <w:tcW w:w="639" w:type="dxa"/>
          </w:tcPr>
          <w:p w14:paraId="728330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1688</w:t>
            </w:r>
          </w:p>
        </w:tc>
        <w:tc>
          <w:tcPr>
            <w:tcW w:w="399" w:type="dxa"/>
          </w:tcPr>
          <w:p w14:paraId="2DF34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3678</w:t>
            </w:r>
          </w:p>
        </w:tc>
        <w:tc>
          <w:tcPr>
            <w:tcW w:w="639" w:type="dxa"/>
          </w:tcPr>
          <w:p w14:paraId="687032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4259</w:t>
            </w:r>
          </w:p>
        </w:tc>
      </w:tr>
      <w:tr w:rsidR="00561F31" w:rsidRPr="00F90EAE" w14:paraId="2C992DE4" w14:textId="77777777">
        <w:tc>
          <w:tcPr>
            <w:tcW w:w="2881" w:type="dxa"/>
          </w:tcPr>
          <w:p w14:paraId="356DD2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АМ-42</w:t>
            </w:r>
          </w:p>
        </w:tc>
        <w:tc>
          <w:tcPr>
            <w:tcW w:w="447" w:type="dxa"/>
          </w:tcPr>
          <w:p w14:paraId="5139A12D"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AE92E5D"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EA478A8"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6B59AD4"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00169A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13F96DE"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F8BA301"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0AF94D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447" w:type="dxa"/>
          </w:tcPr>
          <w:p w14:paraId="192BB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639" w:type="dxa"/>
          </w:tcPr>
          <w:p w14:paraId="3C1F33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361</w:t>
            </w:r>
          </w:p>
        </w:tc>
        <w:tc>
          <w:tcPr>
            <w:tcW w:w="399" w:type="dxa"/>
          </w:tcPr>
          <w:p w14:paraId="140E8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639" w:type="dxa"/>
          </w:tcPr>
          <w:p w14:paraId="0D3E5D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r>
      <w:tr w:rsidR="00561F31" w:rsidRPr="00F90EAE" w14:paraId="300B268D" w14:textId="77777777">
        <w:tc>
          <w:tcPr>
            <w:tcW w:w="2881" w:type="dxa"/>
          </w:tcPr>
          <w:p w14:paraId="0B825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c>
          <w:tcPr>
            <w:tcW w:w="447" w:type="dxa"/>
          </w:tcPr>
          <w:p w14:paraId="22E8BF73"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6057312"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2A1C60A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DB44B06"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28AED7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c>
          <w:tcPr>
            <w:tcW w:w="639" w:type="dxa"/>
          </w:tcPr>
          <w:p w14:paraId="569518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447" w:type="dxa"/>
          </w:tcPr>
          <w:p w14:paraId="30D55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170</w:t>
            </w:r>
          </w:p>
        </w:tc>
        <w:tc>
          <w:tcPr>
            <w:tcW w:w="639" w:type="dxa"/>
          </w:tcPr>
          <w:p w14:paraId="0272A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176</w:t>
            </w:r>
          </w:p>
        </w:tc>
        <w:tc>
          <w:tcPr>
            <w:tcW w:w="447" w:type="dxa"/>
          </w:tcPr>
          <w:p w14:paraId="0313D8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860</w:t>
            </w:r>
          </w:p>
        </w:tc>
        <w:tc>
          <w:tcPr>
            <w:tcW w:w="639" w:type="dxa"/>
          </w:tcPr>
          <w:p w14:paraId="2B548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1113</w:t>
            </w:r>
          </w:p>
        </w:tc>
        <w:tc>
          <w:tcPr>
            <w:tcW w:w="399" w:type="dxa"/>
          </w:tcPr>
          <w:p w14:paraId="642905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1128</w:t>
            </w:r>
          </w:p>
        </w:tc>
        <w:tc>
          <w:tcPr>
            <w:tcW w:w="639" w:type="dxa"/>
          </w:tcPr>
          <w:p w14:paraId="14CA4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1373</w:t>
            </w:r>
          </w:p>
        </w:tc>
      </w:tr>
      <w:tr w:rsidR="00561F31" w:rsidRPr="00F90EAE" w14:paraId="213BFC3C" w14:textId="77777777">
        <w:tc>
          <w:tcPr>
            <w:tcW w:w="2881" w:type="dxa"/>
          </w:tcPr>
          <w:p w14:paraId="36D2B1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c>
          <w:tcPr>
            <w:tcW w:w="447" w:type="dxa"/>
          </w:tcPr>
          <w:p w14:paraId="4C000472"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37B76A39"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272DA43"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B2BEFBD"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3F9916BA"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F09BB14"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635AE2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639" w:type="dxa"/>
          </w:tcPr>
          <w:p w14:paraId="30AF5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447" w:type="dxa"/>
          </w:tcPr>
          <w:p w14:paraId="51D112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639" w:type="dxa"/>
          </w:tcPr>
          <w:p w14:paraId="5CBDED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649</w:t>
            </w:r>
          </w:p>
        </w:tc>
        <w:tc>
          <w:tcPr>
            <w:tcW w:w="399" w:type="dxa"/>
          </w:tcPr>
          <w:p w14:paraId="7D48FB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535</w:t>
            </w:r>
          </w:p>
        </w:tc>
        <w:tc>
          <w:tcPr>
            <w:tcW w:w="639" w:type="dxa"/>
          </w:tcPr>
          <w:p w14:paraId="73F1E0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728</w:t>
            </w:r>
          </w:p>
        </w:tc>
      </w:tr>
      <w:tr w:rsidR="00561F31" w:rsidRPr="00F90EAE" w14:paraId="10425138" w14:textId="77777777">
        <w:tc>
          <w:tcPr>
            <w:tcW w:w="2881" w:type="dxa"/>
          </w:tcPr>
          <w:p w14:paraId="154851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АШ-83</w:t>
            </w:r>
          </w:p>
        </w:tc>
        <w:tc>
          <w:tcPr>
            <w:tcW w:w="447" w:type="dxa"/>
          </w:tcPr>
          <w:p w14:paraId="127154EE"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0D3D919"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7A3C551E"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779A5336"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76772D6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516EE0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6BB6D311"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FCC206B"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3504A2C8"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0DE59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99" w:type="dxa"/>
          </w:tcPr>
          <w:p w14:paraId="3C6294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639" w:type="dxa"/>
          </w:tcPr>
          <w:p w14:paraId="2CFA0F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226B1948" w14:textId="77777777">
        <w:tc>
          <w:tcPr>
            <w:tcW w:w="2881" w:type="dxa"/>
          </w:tcPr>
          <w:p w14:paraId="5B327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447" w:type="dxa"/>
          </w:tcPr>
          <w:p w14:paraId="3AB6EE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877</w:t>
            </w:r>
          </w:p>
        </w:tc>
        <w:tc>
          <w:tcPr>
            <w:tcW w:w="639" w:type="dxa"/>
          </w:tcPr>
          <w:p w14:paraId="16DA2B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752</w:t>
            </w:r>
          </w:p>
        </w:tc>
        <w:tc>
          <w:tcPr>
            <w:tcW w:w="447" w:type="dxa"/>
          </w:tcPr>
          <w:p w14:paraId="4AC0B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772</w:t>
            </w:r>
          </w:p>
        </w:tc>
        <w:tc>
          <w:tcPr>
            <w:tcW w:w="639" w:type="dxa"/>
          </w:tcPr>
          <w:p w14:paraId="5EBA1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921</w:t>
            </w:r>
          </w:p>
        </w:tc>
        <w:tc>
          <w:tcPr>
            <w:tcW w:w="447" w:type="dxa"/>
          </w:tcPr>
          <w:p w14:paraId="237878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639" w:type="dxa"/>
          </w:tcPr>
          <w:p w14:paraId="5FA4CD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447" w:type="dxa"/>
          </w:tcPr>
          <w:p w14:paraId="506A7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880</w:t>
            </w:r>
          </w:p>
        </w:tc>
        <w:tc>
          <w:tcPr>
            <w:tcW w:w="639" w:type="dxa"/>
          </w:tcPr>
          <w:p w14:paraId="1E8747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690</w:t>
            </w:r>
          </w:p>
        </w:tc>
        <w:tc>
          <w:tcPr>
            <w:tcW w:w="447" w:type="dxa"/>
          </w:tcPr>
          <w:p w14:paraId="46D90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565</w:t>
            </w:r>
          </w:p>
        </w:tc>
        <w:tc>
          <w:tcPr>
            <w:tcW w:w="639" w:type="dxa"/>
          </w:tcPr>
          <w:p w14:paraId="0F0CA5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489</w:t>
            </w:r>
          </w:p>
        </w:tc>
        <w:tc>
          <w:tcPr>
            <w:tcW w:w="399" w:type="dxa"/>
          </w:tcPr>
          <w:p w14:paraId="732A8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3744</w:t>
            </w:r>
          </w:p>
        </w:tc>
        <w:tc>
          <w:tcPr>
            <w:tcW w:w="639" w:type="dxa"/>
          </w:tcPr>
          <w:p w14:paraId="418B9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3532</w:t>
            </w:r>
          </w:p>
        </w:tc>
      </w:tr>
      <w:tr w:rsidR="00561F31" w:rsidRPr="00F90EAE" w14:paraId="32B5CE58" w14:textId="77777777">
        <w:tc>
          <w:tcPr>
            <w:tcW w:w="2881" w:type="dxa"/>
          </w:tcPr>
          <w:p w14:paraId="01B59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М-62ИР</w:t>
            </w:r>
          </w:p>
        </w:tc>
        <w:tc>
          <w:tcPr>
            <w:tcW w:w="447" w:type="dxa"/>
          </w:tcPr>
          <w:p w14:paraId="2E9EB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371</w:t>
            </w:r>
          </w:p>
        </w:tc>
        <w:tc>
          <w:tcPr>
            <w:tcW w:w="639" w:type="dxa"/>
          </w:tcPr>
          <w:p w14:paraId="1A254D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447" w:type="dxa"/>
          </w:tcPr>
          <w:p w14:paraId="24293E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245</w:t>
            </w:r>
          </w:p>
        </w:tc>
        <w:tc>
          <w:tcPr>
            <w:tcW w:w="639" w:type="dxa"/>
          </w:tcPr>
          <w:p w14:paraId="5D61C3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338</w:t>
            </w:r>
          </w:p>
        </w:tc>
        <w:tc>
          <w:tcPr>
            <w:tcW w:w="447" w:type="dxa"/>
          </w:tcPr>
          <w:p w14:paraId="0AA643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430</w:t>
            </w:r>
          </w:p>
        </w:tc>
        <w:tc>
          <w:tcPr>
            <w:tcW w:w="639" w:type="dxa"/>
          </w:tcPr>
          <w:p w14:paraId="277473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w:t>
            </w:r>
          </w:p>
        </w:tc>
        <w:tc>
          <w:tcPr>
            <w:tcW w:w="447" w:type="dxa"/>
          </w:tcPr>
          <w:p w14:paraId="398F22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w:t>
            </w:r>
          </w:p>
        </w:tc>
        <w:tc>
          <w:tcPr>
            <w:tcW w:w="639" w:type="dxa"/>
          </w:tcPr>
          <w:p w14:paraId="43203B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447" w:type="dxa"/>
          </w:tcPr>
          <w:p w14:paraId="46947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177</w:t>
            </w:r>
          </w:p>
        </w:tc>
        <w:tc>
          <w:tcPr>
            <w:tcW w:w="639" w:type="dxa"/>
          </w:tcPr>
          <w:p w14:paraId="4853A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w:t>
            </w:r>
          </w:p>
        </w:tc>
        <w:tc>
          <w:tcPr>
            <w:tcW w:w="399" w:type="dxa"/>
          </w:tcPr>
          <w:p w14:paraId="4C661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1368</w:t>
            </w:r>
          </w:p>
        </w:tc>
        <w:tc>
          <w:tcPr>
            <w:tcW w:w="639" w:type="dxa"/>
          </w:tcPr>
          <w:p w14:paraId="02B9F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w:t>
            </w:r>
          </w:p>
        </w:tc>
      </w:tr>
      <w:tr w:rsidR="00561F31" w:rsidRPr="00F90EAE" w14:paraId="162126D7" w14:textId="77777777">
        <w:tc>
          <w:tcPr>
            <w:tcW w:w="2881" w:type="dxa"/>
          </w:tcPr>
          <w:p w14:paraId="03B9D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АЧ-30Б</w:t>
            </w:r>
          </w:p>
        </w:tc>
        <w:tc>
          <w:tcPr>
            <w:tcW w:w="447" w:type="dxa"/>
          </w:tcPr>
          <w:p w14:paraId="0B450277"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717C5091"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92BB380"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C9213D6"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7B0FC68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73FA4A0"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F9B4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639" w:type="dxa"/>
          </w:tcPr>
          <w:p w14:paraId="13D42F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447" w:type="dxa"/>
          </w:tcPr>
          <w:p w14:paraId="4E382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w:t>
            </w:r>
          </w:p>
        </w:tc>
        <w:tc>
          <w:tcPr>
            <w:tcW w:w="639" w:type="dxa"/>
          </w:tcPr>
          <w:p w14:paraId="5AE99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w:t>
            </w:r>
          </w:p>
        </w:tc>
        <w:tc>
          <w:tcPr>
            <w:tcW w:w="399" w:type="dxa"/>
          </w:tcPr>
          <w:p w14:paraId="4D74A7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639" w:type="dxa"/>
          </w:tcPr>
          <w:p w14:paraId="0F42F0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w:t>
            </w:r>
          </w:p>
        </w:tc>
      </w:tr>
      <w:tr w:rsidR="00561F31" w:rsidRPr="00F90EAE" w14:paraId="6FD0FDBA" w14:textId="77777777">
        <w:tc>
          <w:tcPr>
            <w:tcW w:w="2881" w:type="dxa"/>
          </w:tcPr>
          <w:p w14:paraId="10DBB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М-11Д</w:t>
            </w:r>
          </w:p>
        </w:tc>
        <w:tc>
          <w:tcPr>
            <w:tcW w:w="447" w:type="dxa"/>
          </w:tcPr>
          <w:p w14:paraId="578E04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253</w:t>
            </w:r>
          </w:p>
        </w:tc>
        <w:tc>
          <w:tcPr>
            <w:tcW w:w="639" w:type="dxa"/>
          </w:tcPr>
          <w:p w14:paraId="7E596A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245</w:t>
            </w:r>
          </w:p>
        </w:tc>
        <w:tc>
          <w:tcPr>
            <w:tcW w:w="447" w:type="dxa"/>
          </w:tcPr>
          <w:p w14:paraId="474F2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639" w:type="dxa"/>
          </w:tcPr>
          <w:p w14:paraId="4220FD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w:t>
            </w:r>
          </w:p>
        </w:tc>
        <w:tc>
          <w:tcPr>
            <w:tcW w:w="447" w:type="dxa"/>
          </w:tcPr>
          <w:p w14:paraId="0696F0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c>
          <w:tcPr>
            <w:tcW w:w="639" w:type="dxa"/>
          </w:tcPr>
          <w:p w14:paraId="6782D5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525</w:t>
            </w:r>
          </w:p>
        </w:tc>
        <w:tc>
          <w:tcPr>
            <w:tcW w:w="447" w:type="dxa"/>
          </w:tcPr>
          <w:p w14:paraId="2150AE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446</w:t>
            </w:r>
          </w:p>
        </w:tc>
        <w:tc>
          <w:tcPr>
            <w:tcW w:w="639" w:type="dxa"/>
          </w:tcPr>
          <w:p w14:paraId="2F4CEC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447" w:type="dxa"/>
          </w:tcPr>
          <w:p w14:paraId="35092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635</w:t>
            </w:r>
          </w:p>
        </w:tc>
        <w:tc>
          <w:tcPr>
            <w:tcW w:w="639" w:type="dxa"/>
          </w:tcPr>
          <w:p w14:paraId="3C05D2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754</w:t>
            </w:r>
          </w:p>
        </w:tc>
        <w:tc>
          <w:tcPr>
            <w:tcW w:w="399" w:type="dxa"/>
          </w:tcPr>
          <w:p w14:paraId="466E5C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1761</w:t>
            </w:r>
          </w:p>
        </w:tc>
        <w:tc>
          <w:tcPr>
            <w:tcW w:w="639" w:type="dxa"/>
          </w:tcPr>
          <w:p w14:paraId="12DAD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2232</w:t>
            </w:r>
          </w:p>
        </w:tc>
      </w:tr>
      <w:tr w:rsidR="00561F31" w:rsidRPr="00F90EAE" w14:paraId="075DD9C9" w14:textId="77777777">
        <w:tc>
          <w:tcPr>
            <w:tcW w:w="2881" w:type="dxa"/>
          </w:tcPr>
          <w:p w14:paraId="3FA2C2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ВК-105Р</w:t>
            </w:r>
          </w:p>
        </w:tc>
        <w:tc>
          <w:tcPr>
            <w:tcW w:w="447" w:type="dxa"/>
          </w:tcPr>
          <w:p w14:paraId="6205F0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1397</w:t>
            </w:r>
          </w:p>
        </w:tc>
        <w:tc>
          <w:tcPr>
            <w:tcW w:w="639" w:type="dxa"/>
          </w:tcPr>
          <w:p w14:paraId="18F3AB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519</w:t>
            </w:r>
          </w:p>
        </w:tc>
        <w:tc>
          <w:tcPr>
            <w:tcW w:w="447" w:type="dxa"/>
          </w:tcPr>
          <w:p w14:paraId="570B4FE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805D8D0"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35B99B9"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C253935"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2B10686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F829342"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3F582245"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33277BFF"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0CCCB1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1397</w:t>
            </w:r>
          </w:p>
        </w:tc>
        <w:tc>
          <w:tcPr>
            <w:tcW w:w="639" w:type="dxa"/>
          </w:tcPr>
          <w:p w14:paraId="23C994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519</w:t>
            </w:r>
          </w:p>
        </w:tc>
      </w:tr>
      <w:tr w:rsidR="00561F31" w:rsidRPr="00F90EAE" w14:paraId="49A99584" w14:textId="77777777">
        <w:tc>
          <w:tcPr>
            <w:tcW w:w="2881" w:type="dxa"/>
          </w:tcPr>
          <w:p w14:paraId="3678A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М-105РА</w:t>
            </w:r>
          </w:p>
        </w:tc>
        <w:tc>
          <w:tcPr>
            <w:tcW w:w="447" w:type="dxa"/>
          </w:tcPr>
          <w:p w14:paraId="4D2BEB67"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8F2BA2B"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02DCBE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w:t>
            </w:r>
          </w:p>
        </w:tc>
        <w:tc>
          <w:tcPr>
            <w:tcW w:w="639" w:type="dxa"/>
          </w:tcPr>
          <w:p w14:paraId="698E3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w:t>
            </w:r>
          </w:p>
        </w:tc>
        <w:tc>
          <w:tcPr>
            <w:tcW w:w="447" w:type="dxa"/>
          </w:tcPr>
          <w:p w14:paraId="1102F5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w:t>
            </w:r>
          </w:p>
        </w:tc>
        <w:tc>
          <w:tcPr>
            <w:tcW w:w="639" w:type="dxa"/>
          </w:tcPr>
          <w:p w14:paraId="398B62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w:t>
            </w:r>
          </w:p>
        </w:tc>
        <w:tc>
          <w:tcPr>
            <w:tcW w:w="447" w:type="dxa"/>
          </w:tcPr>
          <w:p w14:paraId="3359210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7D557809"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2EAF7B1"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B2D160C"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2BB38E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216</w:t>
            </w:r>
          </w:p>
        </w:tc>
        <w:tc>
          <w:tcPr>
            <w:tcW w:w="639" w:type="dxa"/>
          </w:tcPr>
          <w:p w14:paraId="22704F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272</w:t>
            </w:r>
          </w:p>
        </w:tc>
      </w:tr>
      <w:tr w:rsidR="00561F31" w:rsidRPr="00F90EAE" w14:paraId="20E7BF09" w14:textId="77777777">
        <w:tc>
          <w:tcPr>
            <w:tcW w:w="2881" w:type="dxa"/>
          </w:tcPr>
          <w:p w14:paraId="09D9BE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М-105П</w:t>
            </w:r>
          </w:p>
        </w:tc>
        <w:tc>
          <w:tcPr>
            <w:tcW w:w="447" w:type="dxa"/>
          </w:tcPr>
          <w:p w14:paraId="015ABF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639" w:type="dxa"/>
          </w:tcPr>
          <w:p w14:paraId="1178E4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c>
          <w:tcPr>
            <w:tcW w:w="447" w:type="dxa"/>
          </w:tcPr>
          <w:p w14:paraId="65D99496"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7263750"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024E11D"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1DCE256"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71E3DE0C"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DCA6646"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68C2654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04B3D9BE"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02B501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639" w:type="dxa"/>
          </w:tcPr>
          <w:p w14:paraId="74F61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w:t>
            </w:r>
          </w:p>
        </w:tc>
      </w:tr>
      <w:tr w:rsidR="00561F31" w:rsidRPr="00F90EAE" w14:paraId="03A84529" w14:textId="77777777">
        <w:tc>
          <w:tcPr>
            <w:tcW w:w="2881" w:type="dxa"/>
          </w:tcPr>
          <w:p w14:paraId="75987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ВК-106</w:t>
            </w:r>
          </w:p>
        </w:tc>
        <w:tc>
          <w:tcPr>
            <w:tcW w:w="447" w:type="dxa"/>
          </w:tcPr>
          <w:p w14:paraId="75627447"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D13C380"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A3FDB2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5EC6E5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447" w:type="dxa"/>
          </w:tcPr>
          <w:p w14:paraId="0F5FF94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FEC04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447" w:type="dxa"/>
          </w:tcPr>
          <w:p w14:paraId="4C868910"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044F9DC"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1325EF6"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471EEBE"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71E0AD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639" w:type="dxa"/>
          </w:tcPr>
          <w:p w14:paraId="537326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w:t>
            </w:r>
          </w:p>
        </w:tc>
      </w:tr>
      <w:tr w:rsidR="00561F31" w:rsidRPr="00F90EAE" w14:paraId="2BDE7C81" w14:textId="77777777">
        <w:tc>
          <w:tcPr>
            <w:tcW w:w="2881" w:type="dxa"/>
          </w:tcPr>
          <w:p w14:paraId="6971F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447" w:type="dxa"/>
          </w:tcPr>
          <w:p w14:paraId="53FE3D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606</w:t>
            </w:r>
          </w:p>
        </w:tc>
        <w:tc>
          <w:tcPr>
            <w:tcW w:w="639" w:type="dxa"/>
          </w:tcPr>
          <w:p w14:paraId="5B79A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430</w:t>
            </w:r>
          </w:p>
        </w:tc>
        <w:tc>
          <w:tcPr>
            <w:tcW w:w="447" w:type="dxa"/>
          </w:tcPr>
          <w:p w14:paraId="64FF95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639" w:type="dxa"/>
          </w:tcPr>
          <w:p w14:paraId="3C08E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447" w:type="dxa"/>
          </w:tcPr>
          <w:p w14:paraId="3D1376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279</w:t>
            </w:r>
          </w:p>
        </w:tc>
        <w:tc>
          <w:tcPr>
            <w:tcW w:w="639" w:type="dxa"/>
          </w:tcPr>
          <w:p w14:paraId="2EC75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c>
          <w:tcPr>
            <w:tcW w:w="447" w:type="dxa"/>
          </w:tcPr>
          <w:p w14:paraId="314525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639" w:type="dxa"/>
          </w:tcPr>
          <w:p w14:paraId="44AB30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447" w:type="dxa"/>
          </w:tcPr>
          <w:p w14:paraId="7674455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595A3DA"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38BBBC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1045</w:t>
            </w:r>
          </w:p>
        </w:tc>
        <w:tc>
          <w:tcPr>
            <w:tcW w:w="639" w:type="dxa"/>
          </w:tcPr>
          <w:p w14:paraId="1534F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757</w:t>
            </w:r>
          </w:p>
        </w:tc>
      </w:tr>
      <w:tr w:rsidR="00561F31" w:rsidRPr="00F90EAE" w14:paraId="6B4A2040" w14:textId="77777777">
        <w:tc>
          <w:tcPr>
            <w:tcW w:w="2881" w:type="dxa"/>
          </w:tcPr>
          <w:p w14:paraId="115B30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АМ-38</w:t>
            </w:r>
          </w:p>
        </w:tc>
        <w:tc>
          <w:tcPr>
            <w:tcW w:w="447" w:type="dxa"/>
          </w:tcPr>
          <w:p w14:paraId="7263CE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w:t>
            </w:r>
          </w:p>
        </w:tc>
        <w:tc>
          <w:tcPr>
            <w:tcW w:w="639" w:type="dxa"/>
          </w:tcPr>
          <w:p w14:paraId="79F6B0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178</w:t>
            </w:r>
          </w:p>
        </w:tc>
        <w:tc>
          <w:tcPr>
            <w:tcW w:w="447" w:type="dxa"/>
          </w:tcPr>
          <w:p w14:paraId="07EFB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388</w:t>
            </w:r>
          </w:p>
        </w:tc>
        <w:tc>
          <w:tcPr>
            <w:tcW w:w="639" w:type="dxa"/>
          </w:tcPr>
          <w:p w14:paraId="1221D4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417</w:t>
            </w:r>
          </w:p>
        </w:tc>
        <w:tc>
          <w:tcPr>
            <w:tcW w:w="447" w:type="dxa"/>
          </w:tcPr>
          <w:p w14:paraId="36E7E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639" w:type="dxa"/>
          </w:tcPr>
          <w:p w14:paraId="79DFB9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w:t>
            </w:r>
          </w:p>
        </w:tc>
        <w:tc>
          <w:tcPr>
            <w:tcW w:w="447" w:type="dxa"/>
          </w:tcPr>
          <w:p w14:paraId="16D3587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4F6BE1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48E7CD9A"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7FC764D5"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1F7442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709</w:t>
            </w:r>
          </w:p>
        </w:tc>
        <w:tc>
          <w:tcPr>
            <w:tcW w:w="639" w:type="dxa"/>
          </w:tcPr>
          <w:p w14:paraId="4A16E4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670</w:t>
            </w:r>
          </w:p>
        </w:tc>
      </w:tr>
      <w:tr w:rsidR="00561F31" w:rsidRPr="00F90EAE" w14:paraId="3AA9B511" w14:textId="77777777">
        <w:tc>
          <w:tcPr>
            <w:tcW w:w="2881" w:type="dxa"/>
          </w:tcPr>
          <w:p w14:paraId="15C43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447" w:type="dxa"/>
          </w:tcPr>
          <w:p w14:paraId="23ACED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639" w:type="dxa"/>
          </w:tcPr>
          <w:p w14:paraId="3C23BD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447" w:type="dxa"/>
          </w:tcPr>
          <w:p w14:paraId="42327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w:t>
            </w:r>
          </w:p>
        </w:tc>
        <w:tc>
          <w:tcPr>
            <w:tcW w:w="639" w:type="dxa"/>
          </w:tcPr>
          <w:p w14:paraId="25E9FA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w:t>
            </w:r>
          </w:p>
        </w:tc>
        <w:tc>
          <w:tcPr>
            <w:tcW w:w="447" w:type="dxa"/>
          </w:tcPr>
          <w:p w14:paraId="1C33EF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578</w:t>
            </w:r>
          </w:p>
        </w:tc>
        <w:tc>
          <w:tcPr>
            <w:tcW w:w="639" w:type="dxa"/>
          </w:tcPr>
          <w:p w14:paraId="0F8477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528</w:t>
            </w:r>
          </w:p>
        </w:tc>
        <w:tc>
          <w:tcPr>
            <w:tcW w:w="447" w:type="dxa"/>
          </w:tcPr>
          <w:p w14:paraId="67D7074E"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3F402B47"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BC92AD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0F7E6BF4"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000039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934</w:t>
            </w:r>
          </w:p>
        </w:tc>
        <w:tc>
          <w:tcPr>
            <w:tcW w:w="639" w:type="dxa"/>
          </w:tcPr>
          <w:p w14:paraId="23A2E1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959</w:t>
            </w:r>
          </w:p>
        </w:tc>
      </w:tr>
      <w:tr w:rsidR="00561F31" w:rsidRPr="00F90EAE" w14:paraId="4FB9DA99" w14:textId="77777777">
        <w:tc>
          <w:tcPr>
            <w:tcW w:w="2881" w:type="dxa"/>
          </w:tcPr>
          <w:p w14:paraId="1B942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w:t>
            </w:r>
          </w:p>
        </w:tc>
        <w:tc>
          <w:tcPr>
            <w:tcW w:w="447" w:type="dxa"/>
          </w:tcPr>
          <w:p w14:paraId="1D5BF9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639" w:type="dxa"/>
          </w:tcPr>
          <w:p w14:paraId="6C83F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w:t>
            </w:r>
          </w:p>
        </w:tc>
        <w:tc>
          <w:tcPr>
            <w:tcW w:w="447" w:type="dxa"/>
          </w:tcPr>
          <w:p w14:paraId="1DCCA935"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F840E13"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81CD51B"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5283D5C"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3C6B00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85B48C4"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710373B2"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C7A7478"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70D2D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639" w:type="dxa"/>
          </w:tcPr>
          <w:p w14:paraId="645C9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w:t>
            </w:r>
          </w:p>
        </w:tc>
      </w:tr>
      <w:tr w:rsidR="00561F31" w:rsidRPr="00F90EAE" w14:paraId="4F4C1219" w14:textId="77777777">
        <w:tc>
          <w:tcPr>
            <w:tcW w:w="2881" w:type="dxa"/>
          </w:tcPr>
          <w:p w14:paraId="280403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М-62, 63</w:t>
            </w:r>
          </w:p>
        </w:tc>
        <w:tc>
          <w:tcPr>
            <w:tcW w:w="447" w:type="dxa"/>
          </w:tcPr>
          <w:p w14:paraId="3D140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943</w:t>
            </w:r>
          </w:p>
        </w:tc>
        <w:tc>
          <w:tcPr>
            <w:tcW w:w="639" w:type="dxa"/>
          </w:tcPr>
          <w:p w14:paraId="43E79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935</w:t>
            </w:r>
          </w:p>
        </w:tc>
        <w:tc>
          <w:tcPr>
            <w:tcW w:w="447" w:type="dxa"/>
          </w:tcPr>
          <w:p w14:paraId="279106E5"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01C2542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72381FD"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83E7944"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FBEF295"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7B6CFF8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1F9440EE"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158B9E3D"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284251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943</w:t>
            </w:r>
          </w:p>
        </w:tc>
        <w:tc>
          <w:tcPr>
            <w:tcW w:w="639" w:type="dxa"/>
          </w:tcPr>
          <w:p w14:paraId="133765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935</w:t>
            </w:r>
          </w:p>
        </w:tc>
      </w:tr>
      <w:tr w:rsidR="00561F31" w:rsidRPr="00F90EAE" w14:paraId="1B45193B" w14:textId="77777777">
        <w:tc>
          <w:tcPr>
            <w:tcW w:w="2881" w:type="dxa"/>
          </w:tcPr>
          <w:p w14:paraId="345F2D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М-25</w:t>
            </w:r>
          </w:p>
        </w:tc>
        <w:tc>
          <w:tcPr>
            <w:tcW w:w="447" w:type="dxa"/>
          </w:tcPr>
          <w:p w14:paraId="425277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702</w:t>
            </w:r>
          </w:p>
        </w:tc>
        <w:tc>
          <w:tcPr>
            <w:tcW w:w="639" w:type="dxa"/>
          </w:tcPr>
          <w:p w14:paraId="70CB7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759</w:t>
            </w:r>
          </w:p>
        </w:tc>
        <w:tc>
          <w:tcPr>
            <w:tcW w:w="447" w:type="dxa"/>
          </w:tcPr>
          <w:p w14:paraId="485FE5C9"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1FF2F8E"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55D024C4"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2D1F464D"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23D8BC4F"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4CBCEF5A" w14:textId="77777777" w:rsidR="00665165" w:rsidRPr="00F90EAE" w:rsidRDefault="00665165" w:rsidP="00F90EAE">
            <w:pPr>
              <w:autoSpaceDE w:val="0"/>
              <w:autoSpaceDN w:val="0"/>
              <w:adjustRightInd w:val="0"/>
              <w:jc w:val="both"/>
              <w:rPr>
                <w:color w:val="000000" w:themeColor="text1"/>
                <w:sz w:val="16"/>
                <w:szCs w:val="16"/>
              </w:rPr>
            </w:pPr>
          </w:p>
        </w:tc>
        <w:tc>
          <w:tcPr>
            <w:tcW w:w="447" w:type="dxa"/>
          </w:tcPr>
          <w:p w14:paraId="07372292" w14:textId="77777777" w:rsidR="00665165" w:rsidRPr="00F90EAE" w:rsidRDefault="00665165" w:rsidP="00F90EAE">
            <w:pPr>
              <w:autoSpaceDE w:val="0"/>
              <w:autoSpaceDN w:val="0"/>
              <w:adjustRightInd w:val="0"/>
              <w:jc w:val="both"/>
              <w:rPr>
                <w:color w:val="000000" w:themeColor="text1"/>
                <w:sz w:val="16"/>
                <w:szCs w:val="16"/>
              </w:rPr>
            </w:pPr>
          </w:p>
        </w:tc>
        <w:tc>
          <w:tcPr>
            <w:tcW w:w="639" w:type="dxa"/>
          </w:tcPr>
          <w:p w14:paraId="6935EA77" w14:textId="77777777" w:rsidR="00665165" w:rsidRPr="00F90EAE" w:rsidRDefault="00665165" w:rsidP="00F90EAE">
            <w:pPr>
              <w:autoSpaceDE w:val="0"/>
              <w:autoSpaceDN w:val="0"/>
              <w:adjustRightInd w:val="0"/>
              <w:jc w:val="both"/>
              <w:rPr>
                <w:color w:val="000000" w:themeColor="text1"/>
                <w:sz w:val="16"/>
                <w:szCs w:val="16"/>
              </w:rPr>
            </w:pPr>
          </w:p>
        </w:tc>
        <w:tc>
          <w:tcPr>
            <w:tcW w:w="399" w:type="dxa"/>
          </w:tcPr>
          <w:p w14:paraId="5470D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702</w:t>
            </w:r>
          </w:p>
        </w:tc>
        <w:tc>
          <w:tcPr>
            <w:tcW w:w="639" w:type="dxa"/>
          </w:tcPr>
          <w:p w14:paraId="07E5F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759</w:t>
            </w:r>
          </w:p>
        </w:tc>
      </w:tr>
      <w:tr w:rsidR="00561F31" w:rsidRPr="00F90EAE" w14:paraId="1031BE65" w14:textId="77777777">
        <w:tc>
          <w:tcPr>
            <w:tcW w:w="2881" w:type="dxa"/>
            <w:tcBorders>
              <w:bottom w:val="single" w:sz="12" w:space="0" w:color="000000"/>
            </w:tcBorders>
          </w:tcPr>
          <w:p w14:paraId="44E5B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447" w:type="dxa"/>
            <w:tcBorders>
              <w:bottom w:val="single" w:sz="12" w:space="0" w:color="000000"/>
            </w:tcBorders>
          </w:tcPr>
          <w:p w14:paraId="3B9898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6232</w:t>
            </w:r>
          </w:p>
        </w:tc>
        <w:tc>
          <w:tcPr>
            <w:tcW w:w="639" w:type="dxa"/>
            <w:tcBorders>
              <w:bottom w:val="single" w:sz="12" w:space="0" w:color="000000"/>
            </w:tcBorders>
          </w:tcPr>
          <w:p w14:paraId="68160A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4588</w:t>
            </w:r>
          </w:p>
        </w:tc>
        <w:tc>
          <w:tcPr>
            <w:tcW w:w="447" w:type="dxa"/>
            <w:tcBorders>
              <w:bottom w:val="single" w:sz="12" w:space="0" w:color="000000"/>
            </w:tcBorders>
          </w:tcPr>
          <w:p w14:paraId="30A900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2764</w:t>
            </w:r>
          </w:p>
        </w:tc>
        <w:tc>
          <w:tcPr>
            <w:tcW w:w="639" w:type="dxa"/>
            <w:tcBorders>
              <w:bottom w:val="single" w:sz="12" w:space="0" w:color="000000"/>
            </w:tcBorders>
          </w:tcPr>
          <w:p w14:paraId="5E80AC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3088</w:t>
            </w:r>
          </w:p>
        </w:tc>
        <w:tc>
          <w:tcPr>
            <w:tcW w:w="447" w:type="dxa"/>
            <w:tcBorders>
              <w:bottom w:val="single" w:sz="12" w:space="0" w:color="000000"/>
            </w:tcBorders>
          </w:tcPr>
          <w:p w14:paraId="09610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5022</w:t>
            </w:r>
          </w:p>
        </w:tc>
        <w:tc>
          <w:tcPr>
            <w:tcW w:w="639" w:type="dxa"/>
            <w:tcBorders>
              <w:bottom w:val="single" w:sz="12" w:space="0" w:color="000000"/>
            </w:tcBorders>
          </w:tcPr>
          <w:p w14:paraId="6AB4A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6251</w:t>
            </w:r>
          </w:p>
        </w:tc>
        <w:tc>
          <w:tcPr>
            <w:tcW w:w="447" w:type="dxa"/>
            <w:tcBorders>
              <w:bottom w:val="single" w:sz="12" w:space="0" w:color="000000"/>
            </w:tcBorders>
          </w:tcPr>
          <w:p w14:paraId="2F1D31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4286</w:t>
            </w:r>
          </w:p>
        </w:tc>
        <w:tc>
          <w:tcPr>
            <w:tcW w:w="639" w:type="dxa"/>
            <w:tcBorders>
              <w:bottom w:val="single" w:sz="12" w:space="0" w:color="000000"/>
            </w:tcBorders>
          </w:tcPr>
          <w:p w14:paraId="0DF904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4416</w:t>
            </w:r>
          </w:p>
        </w:tc>
        <w:tc>
          <w:tcPr>
            <w:tcW w:w="447" w:type="dxa"/>
            <w:tcBorders>
              <w:bottom w:val="single" w:sz="12" w:space="0" w:color="000000"/>
            </w:tcBorders>
          </w:tcPr>
          <w:p w14:paraId="253DF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6710</w:t>
            </w:r>
          </w:p>
        </w:tc>
        <w:tc>
          <w:tcPr>
            <w:tcW w:w="639" w:type="dxa"/>
            <w:tcBorders>
              <w:bottom w:val="single" w:sz="12" w:space="0" w:color="000000"/>
            </w:tcBorders>
          </w:tcPr>
          <w:p w14:paraId="55870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7220</w:t>
            </w:r>
          </w:p>
        </w:tc>
        <w:tc>
          <w:tcPr>
            <w:tcW w:w="399" w:type="dxa"/>
            <w:tcBorders>
              <w:bottom w:val="single" w:sz="12" w:space="0" w:color="000000"/>
            </w:tcBorders>
          </w:tcPr>
          <w:p w14:paraId="38EE18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25014</w:t>
            </w:r>
          </w:p>
        </w:tc>
        <w:tc>
          <w:tcPr>
            <w:tcW w:w="639" w:type="dxa"/>
            <w:tcBorders>
              <w:bottom w:val="single" w:sz="12" w:space="0" w:color="000000"/>
            </w:tcBorders>
          </w:tcPr>
          <w:p w14:paraId="213BD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25563</w:t>
            </w:r>
          </w:p>
        </w:tc>
      </w:tr>
    </w:tbl>
    <w:p w14:paraId="5F61F20B"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{1}Отдел мобпланирования ГШ ВВС, д.103, лл.39-40. Кроме того, за 1941-45 гг. поступило 14 902 импортных двигателя.</w:t>
      </w:r>
    </w:p>
    <w:p w14:paraId="4B8F8988"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100 самолетов-бомбардировщиков получено от 33 до 89 двигателей, а на 100 истребителей от 6 до 53 двигателей (11016).</w:t>
      </w:r>
    </w:p>
    <w:p w14:paraId="5C9BF1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авиационных боеприпасов за 1941-1945 гг. (в штуках и тоннах) {1}</w:t>
      </w:r>
    </w:p>
    <w:tbl>
      <w:tblPr>
        <w:tblW w:w="0" w:type="auto"/>
        <w:tblInd w:w="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5" w:type="dxa"/>
          <w:right w:w="45" w:type="dxa"/>
        </w:tblCellMar>
        <w:tblLook w:val="0000" w:firstRow="0" w:lastRow="0" w:firstColumn="0" w:lastColumn="0" w:noHBand="0" w:noVBand="0"/>
      </w:tblPr>
      <w:tblGrid>
        <w:gridCol w:w="3349"/>
        <w:gridCol w:w="964"/>
        <w:gridCol w:w="964"/>
        <w:gridCol w:w="745"/>
        <w:gridCol w:w="613"/>
        <w:gridCol w:w="345"/>
        <w:gridCol w:w="345"/>
        <w:gridCol w:w="345"/>
        <w:gridCol w:w="345"/>
        <w:gridCol w:w="302"/>
        <w:gridCol w:w="345"/>
        <w:gridCol w:w="345"/>
        <w:gridCol w:w="345"/>
      </w:tblGrid>
      <w:tr w:rsidR="00561F31" w:rsidRPr="00F90EAE" w14:paraId="0946A58D" w14:textId="77777777" w:rsidTr="00665165">
        <w:tc>
          <w:tcPr>
            <w:tcW w:w="3349" w:type="dxa"/>
            <w:tcBorders>
              <w:top w:val="single" w:sz="12" w:space="0" w:color="000000"/>
            </w:tcBorders>
          </w:tcPr>
          <w:p w14:paraId="65949B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Наименование авиационных боеприпасов</w:t>
            </w:r>
          </w:p>
        </w:tc>
        <w:tc>
          <w:tcPr>
            <w:tcW w:w="964" w:type="dxa"/>
            <w:gridSpan w:val="10"/>
            <w:tcBorders>
              <w:top w:val="single" w:sz="12" w:space="0" w:color="000000"/>
            </w:tcBorders>
          </w:tcPr>
          <w:p w14:paraId="112402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авиационных боеприпасов по годам</w:t>
            </w:r>
          </w:p>
        </w:tc>
        <w:tc>
          <w:tcPr>
            <w:tcW w:w="345" w:type="dxa"/>
            <w:gridSpan w:val="2"/>
            <w:tcBorders>
              <w:top w:val="single" w:sz="12" w:space="0" w:color="000000"/>
            </w:tcBorders>
          </w:tcPr>
          <w:p w14:paraId="2D82AD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4F69803F" w14:textId="77777777" w:rsidTr="00665165">
        <w:tc>
          <w:tcPr>
            <w:tcW w:w="3349" w:type="dxa"/>
          </w:tcPr>
          <w:p w14:paraId="7649BF7A" w14:textId="77777777" w:rsidR="00665165" w:rsidRPr="00F90EAE" w:rsidRDefault="00665165" w:rsidP="00F90EAE">
            <w:pPr>
              <w:autoSpaceDE w:val="0"/>
              <w:autoSpaceDN w:val="0"/>
              <w:adjustRightInd w:val="0"/>
              <w:jc w:val="both"/>
              <w:rPr>
                <w:color w:val="000000" w:themeColor="text1"/>
                <w:sz w:val="16"/>
                <w:szCs w:val="16"/>
              </w:rPr>
            </w:pPr>
          </w:p>
        </w:tc>
        <w:tc>
          <w:tcPr>
            <w:tcW w:w="964" w:type="dxa"/>
            <w:gridSpan w:val="2"/>
          </w:tcPr>
          <w:p w14:paraId="0643A0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745" w:type="dxa"/>
            <w:gridSpan w:val="2"/>
          </w:tcPr>
          <w:p w14:paraId="6B6E98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345" w:type="dxa"/>
            <w:gridSpan w:val="2"/>
          </w:tcPr>
          <w:p w14:paraId="0CDFCF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345" w:type="dxa"/>
            <w:gridSpan w:val="2"/>
          </w:tcPr>
          <w:p w14:paraId="011A51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302" w:type="dxa"/>
            <w:gridSpan w:val="2"/>
          </w:tcPr>
          <w:p w14:paraId="69ABCE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c>
          <w:tcPr>
            <w:tcW w:w="345" w:type="dxa"/>
            <w:gridSpan w:val="2"/>
          </w:tcPr>
          <w:p w14:paraId="7F1B250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A58459F" w14:textId="77777777">
        <w:tc>
          <w:tcPr>
            <w:tcW w:w="3349" w:type="dxa"/>
          </w:tcPr>
          <w:p w14:paraId="1D69DBF6"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012835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964" w:type="dxa"/>
          </w:tcPr>
          <w:p w14:paraId="7E992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745" w:type="dxa"/>
          </w:tcPr>
          <w:p w14:paraId="557D8F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613" w:type="dxa"/>
          </w:tcPr>
          <w:p w14:paraId="4D053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345" w:type="dxa"/>
          </w:tcPr>
          <w:p w14:paraId="5B3403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345" w:type="dxa"/>
          </w:tcPr>
          <w:p w14:paraId="75814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345" w:type="dxa"/>
          </w:tcPr>
          <w:p w14:paraId="7C2AD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345" w:type="dxa"/>
          </w:tcPr>
          <w:p w14:paraId="11823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302" w:type="dxa"/>
          </w:tcPr>
          <w:p w14:paraId="4BA0B6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345" w:type="dxa"/>
          </w:tcPr>
          <w:p w14:paraId="6F866E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c>
          <w:tcPr>
            <w:tcW w:w="345" w:type="dxa"/>
          </w:tcPr>
          <w:p w14:paraId="133E4D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w:t>
            </w:r>
          </w:p>
        </w:tc>
        <w:tc>
          <w:tcPr>
            <w:tcW w:w="345" w:type="dxa"/>
          </w:tcPr>
          <w:p w14:paraId="58268F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поставка</w:t>
            </w:r>
          </w:p>
        </w:tc>
      </w:tr>
      <w:tr w:rsidR="00561F31" w:rsidRPr="00F90EAE" w14:paraId="59E8D50D" w14:textId="77777777">
        <w:tc>
          <w:tcPr>
            <w:tcW w:w="3349" w:type="dxa"/>
          </w:tcPr>
          <w:p w14:paraId="0773D1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64" w:type="dxa"/>
          </w:tcPr>
          <w:p w14:paraId="01384B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964" w:type="dxa"/>
          </w:tcPr>
          <w:p w14:paraId="67A322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745" w:type="dxa"/>
          </w:tcPr>
          <w:p w14:paraId="78653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613" w:type="dxa"/>
          </w:tcPr>
          <w:p w14:paraId="5E16EC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308A2A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3F823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014A7D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21C47F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302" w:type="dxa"/>
          </w:tcPr>
          <w:p w14:paraId="0A671A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345" w:type="dxa"/>
          </w:tcPr>
          <w:p w14:paraId="306B26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45" w:type="dxa"/>
          </w:tcPr>
          <w:p w14:paraId="19B7CE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345" w:type="dxa"/>
          </w:tcPr>
          <w:p w14:paraId="3B8AE1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0B870BB8" w14:textId="77777777" w:rsidTr="00665165">
        <w:tc>
          <w:tcPr>
            <w:tcW w:w="3349" w:type="dxa"/>
            <w:gridSpan w:val="13"/>
          </w:tcPr>
          <w:p w14:paraId="544238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Авиационные бомбы</w:t>
            </w:r>
          </w:p>
        </w:tc>
      </w:tr>
      <w:tr w:rsidR="00561F31" w:rsidRPr="00F90EAE" w14:paraId="69F649C0" w14:textId="77777777">
        <w:tc>
          <w:tcPr>
            <w:tcW w:w="3349" w:type="dxa"/>
          </w:tcPr>
          <w:p w14:paraId="56D94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фугасные</w:t>
            </w:r>
          </w:p>
        </w:tc>
        <w:tc>
          <w:tcPr>
            <w:tcW w:w="964" w:type="dxa"/>
          </w:tcPr>
          <w:p w14:paraId="682B4D9F"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604DCB3D"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237AD461"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3A32525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78CFFC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73CABD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D9A16D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B6A78D1"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0EA9AD7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E6F6E6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3EBB25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425D20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472E010" w14:textId="77777777">
        <w:tc>
          <w:tcPr>
            <w:tcW w:w="3349" w:type="dxa"/>
          </w:tcPr>
          <w:p w14:paraId="28783F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ФАБ-5000</w:t>
            </w:r>
          </w:p>
        </w:tc>
        <w:tc>
          <w:tcPr>
            <w:tcW w:w="964" w:type="dxa"/>
          </w:tcPr>
          <w:p w14:paraId="2825983B"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454DD74A"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56491324"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C701D1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4184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w:t>
            </w:r>
          </w:p>
        </w:tc>
        <w:tc>
          <w:tcPr>
            <w:tcW w:w="345" w:type="dxa"/>
          </w:tcPr>
          <w:p w14:paraId="32C102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c>
          <w:tcPr>
            <w:tcW w:w="345" w:type="dxa"/>
          </w:tcPr>
          <w:p w14:paraId="318199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345" w:type="dxa"/>
          </w:tcPr>
          <w:p w14:paraId="53E18B03"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0E9ECC9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D1C19F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A1D19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345" w:type="dxa"/>
          </w:tcPr>
          <w:p w14:paraId="0971F9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r>
      <w:tr w:rsidR="00561F31" w:rsidRPr="00F90EAE" w14:paraId="0349AD1A" w14:textId="77777777">
        <w:tc>
          <w:tcPr>
            <w:tcW w:w="3349" w:type="dxa"/>
          </w:tcPr>
          <w:p w14:paraId="760AB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ФАБ-2000</w:t>
            </w:r>
          </w:p>
        </w:tc>
        <w:tc>
          <w:tcPr>
            <w:tcW w:w="964" w:type="dxa"/>
          </w:tcPr>
          <w:p w14:paraId="13FFB4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w:t>
            </w:r>
          </w:p>
        </w:tc>
        <w:tc>
          <w:tcPr>
            <w:tcW w:w="964" w:type="dxa"/>
          </w:tcPr>
          <w:p w14:paraId="53B6FC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173</w:t>
            </w:r>
          </w:p>
        </w:tc>
        <w:tc>
          <w:tcPr>
            <w:tcW w:w="745" w:type="dxa"/>
          </w:tcPr>
          <w:p w14:paraId="2E11B8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613" w:type="dxa"/>
          </w:tcPr>
          <w:p w14:paraId="78EDA2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345" w:type="dxa"/>
          </w:tcPr>
          <w:p w14:paraId="4F827B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345" w:type="dxa"/>
          </w:tcPr>
          <w:p w14:paraId="5BD91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w:t>
            </w:r>
          </w:p>
        </w:tc>
        <w:tc>
          <w:tcPr>
            <w:tcW w:w="345" w:type="dxa"/>
          </w:tcPr>
          <w:p w14:paraId="329290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w:t>
            </w:r>
          </w:p>
        </w:tc>
        <w:tc>
          <w:tcPr>
            <w:tcW w:w="345" w:type="dxa"/>
          </w:tcPr>
          <w:p w14:paraId="3BC56C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471</w:t>
            </w:r>
          </w:p>
        </w:tc>
        <w:tc>
          <w:tcPr>
            <w:tcW w:w="302" w:type="dxa"/>
          </w:tcPr>
          <w:p w14:paraId="1FD6DB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w:t>
            </w:r>
          </w:p>
        </w:tc>
        <w:tc>
          <w:tcPr>
            <w:tcW w:w="345" w:type="dxa"/>
          </w:tcPr>
          <w:p w14:paraId="10BFAC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345" w:type="dxa"/>
          </w:tcPr>
          <w:p w14:paraId="243DF4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1191</w:t>
            </w:r>
          </w:p>
        </w:tc>
        <w:tc>
          <w:tcPr>
            <w:tcW w:w="345" w:type="dxa"/>
          </w:tcPr>
          <w:p w14:paraId="77DD6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1109</w:t>
            </w:r>
          </w:p>
        </w:tc>
      </w:tr>
      <w:tr w:rsidR="00561F31" w:rsidRPr="00F90EAE" w14:paraId="4FECD605" w14:textId="77777777">
        <w:tc>
          <w:tcPr>
            <w:tcW w:w="3349" w:type="dxa"/>
          </w:tcPr>
          <w:p w14:paraId="3C826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ФАБ-1000</w:t>
            </w:r>
          </w:p>
        </w:tc>
        <w:tc>
          <w:tcPr>
            <w:tcW w:w="964" w:type="dxa"/>
          </w:tcPr>
          <w:p w14:paraId="7308C0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1970</w:t>
            </w:r>
          </w:p>
        </w:tc>
        <w:tc>
          <w:tcPr>
            <w:tcW w:w="964" w:type="dxa"/>
          </w:tcPr>
          <w:p w14:paraId="31BBBD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2017</w:t>
            </w:r>
          </w:p>
        </w:tc>
        <w:tc>
          <w:tcPr>
            <w:tcW w:w="745" w:type="dxa"/>
          </w:tcPr>
          <w:p w14:paraId="0A5787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w:t>
            </w:r>
          </w:p>
        </w:tc>
        <w:tc>
          <w:tcPr>
            <w:tcW w:w="613" w:type="dxa"/>
          </w:tcPr>
          <w:p w14:paraId="5B02B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203</w:t>
            </w:r>
          </w:p>
        </w:tc>
        <w:tc>
          <w:tcPr>
            <w:tcW w:w="345" w:type="dxa"/>
          </w:tcPr>
          <w:p w14:paraId="11859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c>
          <w:tcPr>
            <w:tcW w:w="345" w:type="dxa"/>
          </w:tcPr>
          <w:p w14:paraId="4D592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958</w:t>
            </w:r>
          </w:p>
        </w:tc>
        <w:tc>
          <w:tcPr>
            <w:tcW w:w="345" w:type="dxa"/>
          </w:tcPr>
          <w:p w14:paraId="70B6A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1045</w:t>
            </w:r>
          </w:p>
        </w:tc>
        <w:tc>
          <w:tcPr>
            <w:tcW w:w="345" w:type="dxa"/>
          </w:tcPr>
          <w:p w14:paraId="2AF8D6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1114</w:t>
            </w:r>
          </w:p>
        </w:tc>
        <w:tc>
          <w:tcPr>
            <w:tcW w:w="302" w:type="dxa"/>
          </w:tcPr>
          <w:p w14:paraId="275A17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605</w:t>
            </w:r>
          </w:p>
        </w:tc>
        <w:tc>
          <w:tcPr>
            <w:tcW w:w="345" w:type="dxa"/>
          </w:tcPr>
          <w:p w14:paraId="4636A0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673</w:t>
            </w:r>
          </w:p>
        </w:tc>
        <w:tc>
          <w:tcPr>
            <w:tcW w:w="345" w:type="dxa"/>
          </w:tcPr>
          <w:p w14:paraId="38AA33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5080</w:t>
            </w:r>
          </w:p>
        </w:tc>
        <w:tc>
          <w:tcPr>
            <w:tcW w:w="345" w:type="dxa"/>
          </w:tcPr>
          <w:p w14:paraId="747F3A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4965</w:t>
            </w:r>
          </w:p>
        </w:tc>
      </w:tr>
      <w:tr w:rsidR="00561F31" w:rsidRPr="00F90EAE" w14:paraId="00624EBD" w14:textId="77777777">
        <w:tc>
          <w:tcPr>
            <w:tcW w:w="3349" w:type="dxa"/>
          </w:tcPr>
          <w:p w14:paraId="4BDB5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ФАБ-500</w:t>
            </w:r>
          </w:p>
        </w:tc>
        <w:tc>
          <w:tcPr>
            <w:tcW w:w="964" w:type="dxa"/>
          </w:tcPr>
          <w:p w14:paraId="38D59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19315</w:t>
            </w:r>
          </w:p>
        </w:tc>
        <w:tc>
          <w:tcPr>
            <w:tcW w:w="964" w:type="dxa"/>
          </w:tcPr>
          <w:p w14:paraId="754EB6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15761</w:t>
            </w:r>
          </w:p>
        </w:tc>
        <w:tc>
          <w:tcPr>
            <w:tcW w:w="745" w:type="dxa"/>
          </w:tcPr>
          <w:p w14:paraId="67CBB3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11410</w:t>
            </w:r>
          </w:p>
        </w:tc>
        <w:tc>
          <w:tcPr>
            <w:tcW w:w="613" w:type="dxa"/>
          </w:tcPr>
          <w:p w14:paraId="0CB231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11846</w:t>
            </w:r>
          </w:p>
        </w:tc>
        <w:tc>
          <w:tcPr>
            <w:tcW w:w="345" w:type="dxa"/>
          </w:tcPr>
          <w:p w14:paraId="2B2D92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20600</w:t>
            </w:r>
          </w:p>
        </w:tc>
        <w:tc>
          <w:tcPr>
            <w:tcW w:w="345" w:type="dxa"/>
          </w:tcPr>
          <w:p w14:paraId="0E651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17588</w:t>
            </w:r>
          </w:p>
        </w:tc>
        <w:tc>
          <w:tcPr>
            <w:tcW w:w="345" w:type="dxa"/>
          </w:tcPr>
          <w:p w14:paraId="57789D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44500</w:t>
            </w:r>
          </w:p>
        </w:tc>
        <w:tc>
          <w:tcPr>
            <w:tcW w:w="345" w:type="dxa"/>
          </w:tcPr>
          <w:p w14:paraId="4941D3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44856</w:t>
            </w:r>
          </w:p>
        </w:tc>
        <w:tc>
          <w:tcPr>
            <w:tcW w:w="302" w:type="dxa"/>
          </w:tcPr>
          <w:p w14:paraId="7D5A4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10350</w:t>
            </w:r>
          </w:p>
        </w:tc>
        <w:tc>
          <w:tcPr>
            <w:tcW w:w="345" w:type="dxa"/>
          </w:tcPr>
          <w:p w14:paraId="0B297E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10664</w:t>
            </w:r>
          </w:p>
        </w:tc>
        <w:tc>
          <w:tcPr>
            <w:tcW w:w="345" w:type="dxa"/>
          </w:tcPr>
          <w:p w14:paraId="51F20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106175</w:t>
            </w:r>
          </w:p>
        </w:tc>
        <w:tc>
          <w:tcPr>
            <w:tcW w:w="345" w:type="dxa"/>
          </w:tcPr>
          <w:p w14:paraId="4C269D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100715</w:t>
            </w:r>
          </w:p>
        </w:tc>
      </w:tr>
      <w:tr w:rsidR="00561F31" w:rsidRPr="00F90EAE" w14:paraId="209D97FC" w14:textId="77777777">
        <w:tc>
          <w:tcPr>
            <w:tcW w:w="3349" w:type="dxa"/>
          </w:tcPr>
          <w:p w14:paraId="567369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ФАБ-250</w:t>
            </w:r>
          </w:p>
        </w:tc>
        <w:tc>
          <w:tcPr>
            <w:tcW w:w="964" w:type="dxa"/>
          </w:tcPr>
          <w:p w14:paraId="24A505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121840</w:t>
            </w:r>
          </w:p>
        </w:tc>
        <w:tc>
          <w:tcPr>
            <w:tcW w:w="964" w:type="dxa"/>
          </w:tcPr>
          <w:p w14:paraId="69C6D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88807</w:t>
            </w:r>
          </w:p>
        </w:tc>
        <w:tc>
          <w:tcPr>
            <w:tcW w:w="745" w:type="dxa"/>
          </w:tcPr>
          <w:p w14:paraId="0BC65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48380</w:t>
            </w:r>
          </w:p>
        </w:tc>
        <w:tc>
          <w:tcPr>
            <w:tcW w:w="613" w:type="dxa"/>
          </w:tcPr>
          <w:p w14:paraId="53BA9E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56583</w:t>
            </w:r>
          </w:p>
        </w:tc>
        <w:tc>
          <w:tcPr>
            <w:tcW w:w="345" w:type="dxa"/>
          </w:tcPr>
          <w:p w14:paraId="3958E4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117400</w:t>
            </w:r>
          </w:p>
        </w:tc>
        <w:tc>
          <w:tcPr>
            <w:tcW w:w="345" w:type="dxa"/>
          </w:tcPr>
          <w:p w14:paraId="22465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103126</w:t>
            </w:r>
          </w:p>
        </w:tc>
        <w:tc>
          <w:tcPr>
            <w:tcW w:w="345" w:type="dxa"/>
          </w:tcPr>
          <w:p w14:paraId="7FFDA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231680</w:t>
            </w:r>
          </w:p>
        </w:tc>
        <w:tc>
          <w:tcPr>
            <w:tcW w:w="345" w:type="dxa"/>
          </w:tcPr>
          <w:p w14:paraId="400509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221285</w:t>
            </w:r>
          </w:p>
        </w:tc>
        <w:tc>
          <w:tcPr>
            <w:tcW w:w="302" w:type="dxa"/>
          </w:tcPr>
          <w:p w14:paraId="1C59C4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26550</w:t>
            </w:r>
          </w:p>
        </w:tc>
        <w:tc>
          <w:tcPr>
            <w:tcW w:w="345" w:type="dxa"/>
          </w:tcPr>
          <w:p w14:paraId="3ACAA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32887</w:t>
            </w:r>
          </w:p>
        </w:tc>
        <w:tc>
          <w:tcPr>
            <w:tcW w:w="345" w:type="dxa"/>
          </w:tcPr>
          <w:p w14:paraId="0AE458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545850</w:t>
            </w:r>
          </w:p>
        </w:tc>
        <w:tc>
          <w:tcPr>
            <w:tcW w:w="345" w:type="dxa"/>
          </w:tcPr>
          <w:p w14:paraId="751ACF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502688</w:t>
            </w:r>
          </w:p>
        </w:tc>
      </w:tr>
      <w:tr w:rsidR="00561F31" w:rsidRPr="00F90EAE" w14:paraId="7ED6F654" w14:textId="77777777">
        <w:tc>
          <w:tcPr>
            <w:tcW w:w="3349" w:type="dxa"/>
          </w:tcPr>
          <w:p w14:paraId="58DC4F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ФАБ-100</w:t>
            </w:r>
          </w:p>
        </w:tc>
        <w:tc>
          <w:tcPr>
            <w:tcW w:w="964" w:type="dxa"/>
          </w:tcPr>
          <w:p w14:paraId="16DC06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1042100</w:t>
            </w:r>
          </w:p>
        </w:tc>
        <w:tc>
          <w:tcPr>
            <w:tcW w:w="964" w:type="dxa"/>
          </w:tcPr>
          <w:p w14:paraId="11F27D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723501</w:t>
            </w:r>
          </w:p>
        </w:tc>
        <w:tc>
          <w:tcPr>
            <w:tcW w:w="745" w:type="dxa"/>
          </w:tcPr>
          <w:p w14:paraId="1EC63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807900</w:t>
            </w:r>
          </w:p>
        </w:tc>
        <w:tc>
          <w:tcPr>
            <w:tcW w:w="613" w:type="dxa"/>
          </w:tcPr>
          <w:p w14:paraId="36556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693465</w:t>
            </w:r>
          </w:p>
        </w:tc>
        <w:tc>
          <w:tcPr>
            <w:tcW w:w="345" w:type="dxa"/>
          </w:tcPr>
          <w:p w14:paraId="0542E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1107800</w:t>
            </w:r>
          </w:p>
        </w:tc>
        <w:tc>
          <w:tcPr>
            <w:tcW w:w="345" w:type="dxa"/>
          </w:tcPr>
          <w:p w14:paraId="722EE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957289</w:t>
            </w:r>
          </w:p>
        </w:tc>
        <w:tc>
          <w:tcPr>
            <w:tcW w:w="345" w:type="dxa"/>
          </w:tcPr>
          <w:p w14:paraId="0C1E7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719000</w:t>
            </w:r>
          </w:p>
        </w:tc>
        <w:tc>
          <w:tcPr>
            <w:tcW w:w="345" w:type="dxa"/>
          </w:tcPr>
          <w:p w14:paraId="06D51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769470</w:t>
            </w:r>
          </w:p>
        </w:tc>
        <w:tc>
          <w:tcPr>
            <w:tcW w:w="302" w:type="dxa"/>
          </w:tcPr>
          <w:p w14:paraId="383F3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61500</w:t>
            </w:r>
          </w:p>
        </w:tc>
        <w:tc>
          <w:tcPr>
            <w:tcW w:w="345" w:type="dxa"/>
          </w:tcPr>
          <w:p w14:paraId="6B341D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66314</w:t>
            </w:r>
          </w:p>
        </w:tc>
        <w:tc>
          <w:tcPr>
            <w:tcW w:w="345" w:type="dxa"/>
          </w:tcPr>
          <w:p w14:paraId="494C50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3738300</w:t>
            </w:r>
          </w:p>
        </w:tc>
        <w:tc>
          <w:tcPr>
            <w:tcW w:w="345" w:type="dxa"/>
          </w:tcPr>
          <w:p w14:paraId="0FC475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3210039</w:t>
            </w:r>
          </w:p>
        </w:tc>
      </w:tr>
      <w:tr w:rsidR="00561F31" w:rsidRPr="00F90EAE" w14:paraId="02027296" w14:textId="77777777">
        <w:tc>
          <w:tcPr>
            <w:tcW w:w="3349" w:type="dxa"/>
          </w:tcPr>
          <w:p w14:paraId="17B4DF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ФАБ-50</w:t>
            </w:r>
          </w:p>
        </w:tc>
        <w:tc>
          <w:tcPr>
            <w:tcW w:w="964" w:type="dxa"/>
          </w:tcPr>
          <w:p w14:paraId="10E6ED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515000</w:t>
            </w:r>
          </w:p>
        </w:tc>
        <w:tc>
          <w:tcPr>
            <w:tcW w:w="964" w:type="dxa"/>
          </w:tcPr>
          <w:p w14:paraId="06351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247537</w:t>
            </w:r>
          </w:p>
        </w:tc>
        <w:tc>
          <w:tcPr>
            <w:tcW w:w="745" w:type="dxa"/>
          </w:tcPr>
          <w:p w14:paraId="3E929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320800</w:t>
            </w:r>
          </w:p>
        </w:tc>
        <w:tc>
          <w:tcPr>
            <w:tcW w:w="613" w:type="dxa"/>
          </w:tcPr>
          <w:p w14:paraId="1821D5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116322</w:t>
            </w:r>
          </w:p>
        </w:tc>
        <w:tc>
          <w:tcPr>
            <w:tcW w:w="345" w:type="dxa"/>
          </w:tcPr>
          <w:p w14:paraId="650BB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560000</w:t>
            </w:r>
          </w:p>
        </w:tc>
        <w:tc>
          <w:tcPr>
            <w:tcW w:w="345" w:type="dxa"/>
          </w:tcPr>
          <w:p w14:paraId="0E240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391048</w:t>
            </w:r>
          </w:p>
        </w:tc>
        <w:tc>
          <w:tcPr>
            <w:tcW w:w="345" w:type="dxa"/>
          </w:tcPr>
          <w:p w14:paraId="16DE98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478000</w:t>
            </w:r>
          </w:p>
        </w:tc>
        <w:tc>
          <w:tcPr>
            <w:tcW w:w="345" w:type="dxa"/>
          </w:tcPr>
          <w:p w14:paraId="7492DE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587350</w:t>
            </w:r>
          </w:p>
        </w:tc>
        <w:tc>
          <w:tcPr>
            <w:tcW w:w="302" w:type="dxa"/>
          </w:tcPr>
          <w:p w14:paraId="417D8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25000</w:t>
            </w:r>
          </w:p>
        </w:tc>
        <w:tc>
          <w:tcPr>
            <w:tcW w:w="345" w:type="dxa"/>
          </w:tcPr>
          <w:p w14:paraId="07E4AF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111346</w:t>
            </w:r>
          </w:p>
        </w:tc>
        <w:tc>
          <w:tcPr>
            <w:tcW w:w="345" w:type="dxa"/>
          </w:tcPr>
          <w:p w14:paraId="6B1E3A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1898800</w:t>
            </w:r>
          </w:p>
        </w:tc>
        <w:tc>
          <w:tcPr>
            <w:tcW w:w="345" w:type="dxa"/>
          </w:tcPr>
          <w:p w14:paraId="01A715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1453603</w:t>
            </w:r>
          </w:p>
        </w:tc>
      </w:tr>
      <w:tr w:rsidR="00561F31" w:rsidRPr="00F90EAE" w14:paraId="72997E8C" w14:textId="77777777">
        <w:tc>
          <w:tcPr>
            <w:tcW w:w="3349" w:type="dxa"/>
          </w:tcPr>
          <w:p w14:paraId="32F28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1E2794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1700361</w:t>
            </w:r>
          </w:p>
        </w:tc>
        <w:tc>
          <w:tcPr>
            <w:tcW w:w="964" w:type="dxa"/>
          </w:tcPr>
          <w:p w14:paraId="6F78C9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1077796</w:t>
            </w:r>
          </w:p>
        </w:tc>
        <w:tc>
          <w:tcPr>
            <w:tcW w:w="745" w:type="dxa"/>
          </w:tcPr>
          <w:p w14:paraId="07C9C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1188650</w:t>
            </w:r>
          </w:p>
        </w:tc>
        <w:tc>
          <w:tcPr>
            <w:tcW w:w="613" w:type="dxa"/>
          </w:tcPr>
          <w:p w14:paraId="63C1A3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878456</w:t>
            </w:r>
          </w:p>
        </w:tc>
        <w:tc>
          <w:tcPr>
            <w:tcW w:w="345" w:type="dxa"/>
          </w:tcPr>
          <w:p w14:paraId="16B85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1807620</w:t>
            </w:r>
          </w:p>
        </w:tc>
        <w:tc>
          <w:tcPr>
            <w:tcW w:w="345" w:type="dxa"/>
          </w:tcPr>
          <w:p w14:paraId="37F996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1470341</w:t>
            </w:r>
          </w:p>
        </w:tc>
        <w:tc>
          <w:tcPr>
            <w:tcW w:w="345" w:type="dxa"/>
          </w:tcPr>
          <w:p w14:paraId="7D0F1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1474690</w:t>
            </w:r>
          </w:p>
        </w:tc>
        <w:tc>
          <w:tcPr>
            <w:tcW w:w="345" w:type="dxa"/>
          </w:tcPr>
          <w:p w14:paraId="463731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1624546</w:t>
            </w:r>
          </w:p>
        </w:tc>
        <w:tc>
          <w:tcPr>
            <w:tcW w:w="302" w:type="dxa"/>
          </w:tcPr>
          <w:p w14:paraId="4E80B5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124185</w:t>
            </w:r>
          </w:p>
        </w:tc>
        <w:tc>
          <w:tcPr>
            <w:tcW w:w="345" w:type="dxa"/>
          </w:tcPr>
          <w:p w14:paraId="3ACCC8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222078</w:t>
            </w:r>
          </w:p>
        </w:tc>
        <w:tc>
          <w:tcPr>
            <w:tcW w:w="345" w:type="dxa"/>
          </w:tcPr>
          <w:p w14:paraId="5D3B91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6295506</w:t>
            </w:r>
          </w:p>
        </w:tc>
        <w:tc>
          <w:tcPr>
            <w:tcW w:w="345" w:type="dxa"/>
          </w:tcPr>
          <w:p w14:paraId="51422B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5273217</w:t>
            </w:r>
          </w:p>
        </w:tc>
      </w:tr>
      <w:tr w:rsidR="00561F31" w:rsidRPr="00F90EAE" w14:paraId="08A87489" w14:textId="77777777">
        <w:tc>
          <w:tcPr>
            <w:tcW w:w="3349" w:type="dxa"/>
          </w:tcPr>
          <w:p w14:paraId="0598A2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4BA729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590609</w:t>
            </w:r>
          </w:p>
        </w:tc>
        <w:tc>
          <w:tcPr>
            <w:tcW w:w="964" w:type="dxa"/>
          </w:tcPr>
          <w:p w14:paraId="66DD2C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407379</w:t>
            </w:r>
          </w:p>
        </w:tc>
        <w:tc>
          <w:tcPr>
            <w:tcW w:w="745" w:type="dxa"/>
          </w:tcPr>
          <w:p w14:paraId="4DFF7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119579</w:t>
            </w:r>
          </w:p>
        </w:tc>
        <w:tc>
          <w:tcPr>
            <w:tcW w:w="613" w:type="dxa"/>
          </w:tcPr>
          <w:p w14:paraId="5BDB44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99330</w:t>
            </w:r>
          </w:p>
        </w:tc>
        <w:tc>
          <w:tcPr>
            <w:tcW w:w="345" w:type="dxa"/>
          </w:tcPr>
          <w:p w14:paraId="05E846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188100</w:t>
            </w:r>
          </w:p>
        </w:tc>
        <w:tc>
          <w:tcPr>
            <w:tcW w:w="345" w:type="dxa"/>
          </w:tcPr>
          <w:p w14:paraId="3AE36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157665</w:t>
            </w:r>
          </w:p>
        </w:tc>
        <w:tc>
          <w:tcPr>
            <w:tcW w:w="345" w:type="dxa"/>
          </w:tcPr>
          <w:p w14:paraId="4168E2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183122</w:t>
            </w:r>
          </w:p>
        </w:tc>
        <w:tc>
          <w:tcPr>
            <w:tcW w:w="345" w:type="dxa"/>
          </w:tcPr>
          <w:p w14:paraId="6FB97D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191698</w:t>
            </w:r>
          </w:p>
        </w:tc>
        <w:tc>
          <w:tcPr>
            <w:tcW w:w="302" w:type="dxa"/>
          </w:tcPr>
          <w:p w14:paraId="3A0568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20610</w:t>
            </w:r>
          </w:p>
        </w:tc>
        <w:tc>
          <w:tcPr>
            <w:tcW w:w="345" w:type="dxa"/>
          </w:tcPr>
          <w:p w14:paraId="7C8873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27456</w:t>
            </w:r>
          </w:p>
        </w:tc>
        <w:tc>
          <w:tcPr>
            <w:tcW w:w="345" w:type="dxa"/>
          </w:tcPr>
          <w:p w14:paraId="19D497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1102020</w:t>
            </w:r>
          </w:p>
        </w:tc>
        <w:tc>
          <w:tcPr>
            <w:tcW w:w="345" w:type="dxa"/>
          </w:tcPr>
          <w:p w14:paraId="0BB3B8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883528</w:t>
            </w:r>
          </w:p>
        </w:tc>
      </w:tr>
      <w:tr w:rsidR="00561F31" w:rsidRPr="00F90EAE" w14:paraId="28F731F1" w14:textId="77777777">
        <w:tc>
          <w:tcPr>
            <w:tcW w:w="3349" w:type="dxa"/>
          </w:tcPr>
          <w:p w14:paraId="418B6C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бронебойные и бетонобойные</w:t>
            </w:r>
          </w:p>
        </w:tc>
        <w:tc>
          <w:tcPr>
            <w:tcW w:w="964" w:type="dxa"/>
          </w:tcPr>
          <w:p w14:paraId="1CDCEE06"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62A42070"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4D7D54BC"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5C28874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9DAF74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04E218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0685E9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F013240"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7BF1AB5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14756F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8E00F4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6B716E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C6107B8" w14:textId="77777777">
        <w:tc>
          <w:tcPr>
            <w:tcW w:w="3349" w:type="dxa"/>
          </w:tcPr>
          <w:p w14:paraId="2E43B0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БРАБ-1000</w:t>
            </w:r>
          </w:p>
        </w:tc>
        <w:tc>
          <w:tcPr>
            <w:tcW w:w="964" w:type="dxa"/>
          </w:tcPr>
          <w:p w14:paraId="75D284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c>
          <w:tcPr>
            <w:tcW w:w="964" w:type="dxa"/>
          </w:tcPr>
          <w:p w14:paraId="283322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297</w:t>
            </w:r>
          </w:p>
        </w:tc>
        <w:tc>
          <w:tcPr>
            <w:tcW w:w="745" w:type="dxa"/>
          </w:tcPr>
          <w:p w14:paraId="4CC28B90"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5E71008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02F415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FEAAD2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90279E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F0A811C"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1107D6E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4CB490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5BE9D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w:t>
            </w:r>
          </w:p>
        </w:tc>
        <w:tc>
          <w:tcPr>
            <w:tcW w:w="345" w:type="dxa"/>
          </w:tcPr>
          <w:p w14:paraId="6CB44F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297</w:t>
            </w:r>
          </w:p>
        </w:tc>
      </w:tr>
      <w:tr w:rsidR="00561F31" w:rsidRPr="00F90EAE" w14:paraId="6B9EB60F" w14:textId="77777777">
        <w:tc>
          <w:tcPr>
            <w:tcW w:w="3349" w:type="dxa"/>
          </w:tcPr>
          <w:p w14:paraId="11720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БРАБ-500</w:t>
            </w:r>
          </w:p>
        </w:tc>
        <w:tc>
          <w:tcPr>
            <w:tcW w:w="964" w:type="dxa"/>
          </w:tcPr>
          <w:p w14:paraId="5F2EA4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3470</w:t>
            </w:r>
          </w:p>
        </w:tc>
        <w:tc>
          <w:tcPr>
            <w:tcW w:w="964" w:type="dxa"/>
          </w:tcPr>
          <w:p w14:paraId="1B5A6B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4283</w:t>
            </w:r>
          </w:p>
        </w:tc>
        <w:tc>
          <w:tcPr>
            <w:tcW w:w="745" w:type="dxa"/>
          </w:tcPr>
          <w:p w14:paraId="76D77F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613" w:type="dxa"/>
          </w:tcPr>
          <w:p w14:paraId="44450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345" w:type="dxa"/>
          </w:tcPr>
          <w:p w14:paraId="2729C56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88670F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8A93D5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FA37C4F"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3DE4E20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0BF0B3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C1E28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3740</w:t>
            </w:r>
          </w:p>
        </w:tc>
        <w:tc>
          <w:tcPr>
            <w:tcW w:w="345" w:type="dxa"/>
          </w:tcPr>
          <w:p w14:paraId="7C01C9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4403</w:t>
            </w:r>
          </w:p>
        </w:tc>
      </w:tr>
      <w:tr w:rsidR="00561F31" w:rsidRPr="00F90EAE" w14:paraId="5BCC012B" w14:textId="77777777">
        <w:tc>
          <w:tcPr>
            <w:tcW w:w="3349" w:type="dxa"/>
          </w:tcPr>
          <w:p w14:paraId="42BB5D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БЕТАБ-250-170-ДС</w:t>
            </w:r>
          </w:p>
        </w:tc>
        <w:tc>
          <w:tcPr>
            <w:tcW w:w="964" w:type="dxa"/>
          </w:tcPr>
          <w:p w14:paraId="28F92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17980</w:t>
            </w:r>
          </w:p>
        </w:tc>
        <w:tc>
          <w:tcPr>
            <w:tcW w:w="964" w:type="dxa"/>
          </w:tcPr>
          <w:p w14:paraId="78979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5885</w:t>
            </w:r>
          </w:p>
        </w:tc>
        <w:tc>
          <w:tcPr>
            <w:tcW w:w="745" w:type="dxa"/>
          </w:tcPr>
          <w:p w14:paraId="6ABAB0F0"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1722E7D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124F83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25389B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9D7C1C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5317FB4"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46FCEDC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03A35B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42BB2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17980</w:t>
            </w:r>
          </w:p>
        </w:tc>
        <w:tc>
          <w:tcPr>
            <w:tcW w:w="345" w:type="dxa"/>
          </w:tcPr>
          <w:p w14:paraId="1B6DBB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5885</w:t>
            </w:r>
          </w:p>
        </w:tc>
      </w:tr>
      <w:tr w:rsidR="00561F31" w:rsidRPr="00F90EAE" w14:paraId="0084D9D7" w14:textId="77777777">
        <w:tc>
          <w:tcPr>
            <w:tcW w:w="3349" w:type="dxa"/>
          </w:tcPr>
          <w:p w14:paraId="3C55B5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МАБ-250</w:t>
            </w:r>
          </w:p>
        </w:tc>
        <w:tc>
          <w:tcPr>
            <w:tcW w:w="964" w:type="dxa"/>
          </w:tcPr>
          <w:p w14:paraId="3F15328E"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2B4140F0"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0164F8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1625</w:t>
            </w:r>
          </w:p>
        </w:tc>
        <w:tc>
          <w:tcPr>
            <w:tcW w:w="613" w:type="dxa"/>
          </w:tcPr>
          <w:p w14:paraId="199955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1078</w:t>
            </w:r>
          </w:p>
        </w:tc>
        <w:tc>
          <w:tcPr>
            <w:tcW w:w="345" w:type="dxa"/>
          </w:tcPr>
          <w:p w14:paraId="2A7C00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2260</w:t>
            </w:r>
          </w:p>
        </w:tc>
        <w:tc>
          <w:tcPr>
            <w:tcW w:w="345" w:type="dxa"/>
          </w:tcPr>
          <w:p w14:paraId="722601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c>
          <w:tcPr>
            <w:tcW w:w="345" w:type="dxa"/>
          </w:tcPr>
          <w:p w14:paraId="37157A2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DFC5E85"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65C2F62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36AD85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4FB54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3885</w:t>
            </w:r>
          </w:p>
        </w:tc>
        <w:tc>
          <w:tcPr>
            <w:tcW w:w="345" w:type="dxa"/>
          </w:tcPr>
          <w:p w14:paraId="28E8A8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2128</w:t>
            </w:r>
          </w:p>
        </w:tc>
      </w:tr>
      <w:tr w:rsidR="00561F31" w:rsidRPr="00F90EAE" w14:paraId="766AAD57" w14:textId="77777777">
        <w:tc>
          <w:tcPr>
            <w:tcW w:w="3349" w:type="dxa"/>
          </w:tcPr>
          <w:p w14:paraId="03A5C7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09D11A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21740</w:t>
            </w:r>
          </w:p>
        </w:tc>
        <w:tc>
          <w:tcPr>
            <w:tcW w:w="964" w:type="dxa"/>
          </w:tcPr>
          <w:p w14:paraId="35F96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10465</w:t>
            </w:r>
          </w:p>
        </w:tc>
        <w:tc>
          <w:tcPr>
            <w:tcW w:w="745" w:type="dxa"/>
          </w:tcPr>
          <w:p w14:paraId="3B096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1895</w:t>
            </w:r>
          </w:p>
        </w:tc>
        <w:tc>
          <w:tcPr>
            <w:tcW w:w="613" w:type="dxa"/>
          </w:tcPr>
          <w:p w14:paraId="729F1A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1198</w:t>
            </w:r>
          </w:p>
        </w:tc>
        <w:tc>
          <w:tcPr>
            <w:tcW w:w="345" w:type="dxa"/>
          </w:tcPr>
          <w:p w14:paraId="5CCF95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2260</w:t>
            </w:r>
          </w:p>
        </w:tc>
        <w:tc>
          <w:tcPr>
            <w:tcW w:w="345" w:type="dxa"/>
          </w:tcPr>
          <w:p w14:paraId="22AAE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w:t>
            </w:r>
          </w:p>
        </w:tc>
        <w:tc>
          <w:tcPr>
            <w:tcW w:w="345" w:type="dxa"/>
          </w:tcPr>
          <w:p w14:paraId="11C5C7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6B7DBC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02" w:type="dxa"/>
          </w:tcPr>
          <w:p w14:paraId="51AFE8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64699B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42779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25895</w:t>
            </w:r>
          </w:p>
        </w:tc>
        <w:tc>
          <w:tcPr>
            <w:tcW w:w="345" w:type="dxa"/>
          </w:tcPr>
          <w:p w14:paraId="00707C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12713</w:t>
            </w:r>
          </w:p>
        </w:tc>
      </w:tr>
      <w:tr w:rsidR="00561F31" w:rsidRPr="00F90EAE" w14:paraId="303DCF6B" w14:textId="77777777">
        <w:tc>
          <w:tcPr>
            <w:tcW w:w="3349" w:type="dxa"/>
          </w:tcPr>
          <w:p w14:paraId="7588D5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1D8392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6866</w:t>
            </w:r>
          </w:p>
        </w:tc>
        <w:tc>
          <w:tcPr>
            <w:tcW w:w="964" w:type="dxa"/>
          </w:tcPr>
          <w:p w14:paraId="5BA0DB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4066</w:t>
            </w:r>
          </w:p>
        </w:tc>
        <w:tc>
          <w:tcPr>
            <w:tcW w:w="745" w:type="dxa"/>
          </w:tcPr>
          <w:p w14:paraId="45077B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c>
          <w:tcPr>
            <w:tcW w:w="613" w:type="dxa"/>
          </w:tcPr>
          <w:p w14:paraId="4B2108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w:t>
            </w:r>
          </w:p>
        </w:tc>
        <w:tc>
          <w:tcPr>
            <w:tcW w:w="345" w:type="dxa"/>
          </w:tcPr>
          <w:p w14:paraId="4D51B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619</w:t>
            </w:r>
          </w:p>
        </w:tc>
        <w:tc>
          <w:tcPr>
            <w:tcW w:w="345" w:type="dxa"/>
          </w:tcPr>
          <w:p w14:paraId="529E9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288</w:t>
            </w:r>
          </w:p>
        </w:tc>
        <w:tc>
          <w:tcPr>
            <w:tcW w:w="345" w:type="dxa"/>
          </w:tcPr>
          <w:p w14:paraId="2A17157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29F1E9E"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3D66699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CECB52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FEF16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8065</w:t>
            </w:r>
          </w:p>
        </w:tc>
        <w:tc>
          <w:tcPr>
            <w:tcW w:w="345" w:type="dxa"/>
          </w:tcPr>
          <w:p w14:paraId="5230AB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4709</w:t>
            </w:r>
          </w:p>
        </w:tc>
      </w:tr>
      <w:tr w:rsidR="00561F31" w:rsidRPr="00F90EAE" w14:paraId="0FC0EF6A" w14:textId="77777777">
        <w:tc>
          <w:tcPr>
            <w:tcW w:w="3349" w:type="dxa"/>
          </w:tcPr>
          <w:p w14:paraId="4E4B14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осколочные</w:t>
            </w:r>
          </w:p>
        </w:tc>
        <w:tc>
          <w:tcPr>
            <w:tcW w:w="964" w:type="dxa"/>
          </w:tcPr>
          <w:p w14:paraId="314D7BA3"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048CDD2E"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2B0DF3B2"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514AC02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BBAF68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E9183A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F73430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3DF3C56"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61A6C2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EB42E3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15E059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F0862B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E99AFF5" w14:textId="77777777">
        <w:tc>
          <w:tcPr>
            <w:tcW w:w="3349" w:type="dxa"/>
          </w:tcPr>
          <w:p w14:paraId="77AD67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АО-50-100</w:t>
            </w:r>
          </w:p>
        </w:tc>
        <w:tc>
          <w:tcPr>
            <w:tcW w:w="964" w:type="dxa"/>
          </w:tcPr>
          <w:p w14:paraId="526ABFAD"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64482AE2"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3FA2148A"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7FAD65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CFC8F4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0119D4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ECBFB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146500</w:t>
            </w:r>
          </w:p>
        </w:tc>
        <w:tc>
          <w:tcPr>
            <w:tcW w:w="345" w:type="dxa"/>
          </w:tcPr>
          <w:p w14:paraId="327CF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172906</w:t>
            </w:r>
          </w:p>
        </w:tc>
        <w:tc>
          <w:tcPr>
            <w:tcW w:w="302" w:type="dxa"/>
          </w:tcPr>
          <w:p w14:paraId="7FFA2F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211000</w:t>
            </w:r>
          </w:p>
        </w:tc>
        <w:tc>
          <w:tcPr>
            <w:tcW w:w="345" w:type="dxa"/>
          </w:tcPr>
          <w:p w14:paraId="3BEF51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185980</w:t>
            </w:r>
          </w:p>
        </w:tc>
        <w:tc>
          <w:tcPr>
            <w:tcW w:w="345" w:type="dxa"/>
          </w:tcPr>
          <w:p w14:paraId="67181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357500</w:t>
            </w:r>
          </w:p>
        </w:tc>
        <w:tc>
          <w:tcPr>
            <w:tcW w:w="345" w:type="dxa"/>
          </w:tcPr>
          <w:p w14:paraId="22310B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358886</w:t>
            </w:r>
          </w:p>
        </w:tc>
      </w:tr>
      <w:tr w:rsidR="00561F31" w:rsidRPr="00F90EAE" w14:paraId="60B723C2" w14:textId="77777777">
        <w:tc>
          <w:tcPr>
            <w:tcW w:w="3349" w:type="dxa"/>
          </w:tcPr>
          <w:p w14:paraId="790028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АО-25-25</w:t>
            </w:r>
          </w:p>
        </w:tc>
        <w:tc>
          <w:tcPr>
            <w:tcW w:w="964" w:type="dxa"/>
          </w:tcPr>
          <w:p w14:paraId="160FBF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501500</w:t>
            </w:r>
          </w:p>
        </w:tc>
        <w:tc>
          <w:tcPr>
            <w:tcW w:w="964" w:type="dxa"/>
          </w:tcPr>
          <w:p w14:paraId="753CB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267380</w:t>
            </w:r>
          </w:p>
        </w:tc>
        <w:tc>
          <w:tcPr>
            <w:tcW w:w="745" w:type="dxa"/>
          </w:tcPr>
          <w:p w14:paraId="36376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819100</w:t>
            </w:r>
          </w:p>
        </w:tc>
        <w:tc>
          <w:tcPr>
            <w:tcW w:w="613" w:type="dxa"/>
          </w:tcPr>
          <w:p w14:paraId="06F3D8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550674</w:t>
            </w:r>
          </w:p>
        </w:tc>
        <w:tc>
          <w:tcPr>
            <w:tcW w:w="345" w:type="dxa"/>
          </w:tcPr>
          <w:p w14:paraId="53B6B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1176000</w:t>
            </w:r>
          </w:p>
        </w:tc>
        <w:tc>
          <w:tcPr>
            <w:tcW w:w="345" w:type="dxa"/>
          </w:tcPr>
          <w:p w14:paraId="23FA7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1114422</w:t>
            </w:r>
          </w:p>
        </w:tc>
        <w:tc>
          <w:tcPr>
            <w:tcW w:w="345" w:type="dxa"/>
          </w:tcPr>
          <w:p w14:paraId="5B7F2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799500</w:t>
            </w:r>
          </w:p>
        </w:tc>
        <w:tc>
          <w:tcPr>
            <w:tcW w:w="345" w:type="dxa"/>
          </w:tcPr>
          <w:p w14:paraId="387D28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794734</w:t>
            </w:r>
          </w:p>
        </w:tc>
        <w:tc>
          <w:tcPr>
            <w:tcW w:w="302" w:type="dxa"/>
          </w:tcPr>
          <w:p w14:paraId="348CCE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492500</w:t>
            </w:r>
          </w:p>
        </w:tc>
        <w:tc>
          <w:tcPr>
            <w:tcW w:w="345" w:type="dxa"/>
          </w:tcPr>
          <w:p w14:paraId="18ED3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395878</w:t>
            </w:r>
          </w:p>
        </w:tc>
        <w:tc>
          <w:tcPr>
            <w:tcW w:w="345" w:type="dxa"/>
          </w:tcPr>
          <w:p w14:paraId="606C0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3788600</w:t>
            </w:r>
          </w:p>
        </w:tc>
        <w:tc>
          <w:tcPr>
            <w:tcW w:w="345" w:type="dxa"/>
          </w:tcPr>
          <w:p w14:paraId="2BEDE6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3123088</w:t>
            </w:r>
          </w:p>
        </w:tc>
      </w:tr>
      <w:tr w:rsidR="00561F31" w:rsidRPr="00F90EAE" w14:paraId="7572A616" w14:textId="77777777">
        <w:tc>
          <w:tcPr>
            <w:tcW w:w="3349" w:type="dxa"/>
          </w:tcPr>
          <w:p w14:paraId="6CE3AA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АО-15-10-8</w:t>
            </w:r>
          </w:p>
        </w:tc>
        <w:tc>
          <w:tcPr>
            <w:tcW w:w="964" w:type="dxa"/>
          </w:tcPr>
          <w:p w14:paraId="74FFE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2340000</w:t>
            </w:r>
          </w:p>
        </w:tc>
        <w:tc>
          <w:tcPr>
            <w:tcW w:w="964" w:type="dxa"/>
          </w:tcPr>
          <w:p w14:paraId="1752CE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1671730</w:t>
            </w:r>
          </w:p>
        </w:tc>
        <w:tc>
          <w:tcPr>
            <w:tcW w:w="745" w:type="dxa"/>
          </w:tcPr>
          <w:p w14:paraId="5ECDE6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765000</w:t>
            </w:r>
          </w:p>
        </w:tc>
        <w:tc>
          <w:tcPr>
            <w:tcW w:w="613" w:type="dxa"/>
          </w:tcPr>
          <w:p w14:paraId="1C10D1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946680</w:t>
            </w:r>
          </w:p>
        </w:tc>
        <w:tc>
          <w:tcPr>
            <w:tcW w:w="345" w:type="dxa"/>
          </w:tcPr>
          <w:p w14:paraId="4C5192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260000</w:t>
            </w:r>
          </w:p>
        </w:tc>
        <w:tc>
          <w:tcPr>
            <w:tcW w:w="345" w:type="dxa"/>
          </w:tcPr>
          <w:p w14:paraId="706CA9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608248</w:t>
            </w:r>
          </w:p>
        </w:tc>
        <w:tc>
          <w:tcPr>
            <w:tcW w:w="345" w:type="dxa"/>
          </w:tcPr>
          <w:p w14:paraId="13A634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540000</w:t>
            </w:r>
          </w:p>
        </w:tc>
        <w:tc>
          <w:tcPr>
            <w:tcW w:w="345" w:type="dxa"/>
          </w:tcPr>
          <w:p w14:paraId="6A38DF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397610</w:t>
            </w:r>
          </w:p>
        </w:tc>
        <w:tc>
          <w:tcPr>
            <w:tcW w:w="302" w:type="dxa"/>
          </w:tcPr>
          <w:p w14:paraId="22D5AE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345000</w:t>
            </w:r>
          </w:p>
        </w:tc>
        <w:tc>
          <w:tcPr>
            <w:tcW w:w="345" w:type="dxa"/>
          </w:tcPr>
          <w:p w14:paraId="7A828B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309927</w:t>
            </w:r>
          </w:p>
        </w:tc>
        <w:tc>
          <w:tcPr>
            <w:tcW w:w="345" w:type="dxa"/>
          </w:tcPr>
          <w:p w14:paraId="7D2BAD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4250000</w:t>
            </w:r>
          </w:p>
        </w:tc>
        <w:tc>
          <w:tcPr>
            <w:tcW w:w="345" w:type="dxa"/>
          </w:tcPr>
          <w:p w14:paraId="0FB031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3934195</w:t>
            </w:r>
          </w:p>
        </w:tc>
      </w:tr>
      <w:tr w:rsidR="00561F31" w:rsidRPr="00F90EAE" w14:paraId="43E6CC71" w14:textId="77777777">
        <w:tc>
          <w:tcPr>
            <w:tcW w:w="3349" w:type="dxa"/>
          </w:tcPr>
          <w:p w14:paraId="4A5A91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АО-2,5</w:t>
            </w:r>
          </w:p>
        </w:tc>
        <w:tc>
          <w:tcPr>
            <w:tcW w:w="964" w:type="dxa"/>
          </w:tcPr>
          <w:p w14:paraId="0F89F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9227000</w:t>
            </w:r>
          </w:p>
        </w:tc>
        <w:tc>
          <w:tcPr>
            <w:tcW w:w="964" w:type="dxa"/>
          </w:tcPr>
          <w:p w14:paraId="39F3E2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9330877</w:t>
            </w:r>
          </w:p>
        </w:tc>
        <w:tc>
          <w:tcPr>
            <w:tcW w:w="745" w:type="dxa"/>
          </w:tcPr>
          <w:p w14:paraId="5C4B7A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275000</w:t>
            </w:r>
          </w:p>
        </w:tc>
        <w:tc>
          <w:tcPr>
            <w:tcW w:w="613" w:type="dxa"/>
          </w:tcPr>
          <w:p w14:paraId="56AC81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1802980</w:t>
            </w:r>
          </w:p>
        </w:tc>
        <w:tc>
          <w:tcPr>
            <w:tcW w:w="345" w:type="dxa"/>
          </w:tcPr>
          <w:p w14:paraId="32FA87F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03F6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156300</w:t>
            </w:r>
          </w:p>
        </w:tc>
        <w:tc>
          <w:tcPr>
            <w:tcW w:w="345" w:type="dxa"/>
          </w:tcPr>
          <w:p w14:paraId="2BF3B9D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02C4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27140</w:t>
            </w:r>
          </w:p>
        </w:tc>
        <w:tc>
          <w:tcPr>
            <w:tcW w:w="302" w:type="dxa"/>
          </w:tcPr>
          <w:p w14:paraId="7CD4A70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519EA9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E48FA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9502000</w:t>
            </w:r>
          </w:p>
        </w:tc>
        <w:tc>
          <w:tcPr>
            <w:tcW w:w="345" w:type="dxa"/>
          </w:tcPr>
          <w:p w14:paraId="60C36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11317297</w:t>
            </w:r>
          </w:p>
        </w:tc>
      </w:tr>
      <w:tr w:rsidR="00561F31" w:rsidRPr="00F90EAE" w14:paraId="78F53187" w14:textId="77777777">
        <w:tc>
          <w:tcPr>
            <w:tcW w:w="3349" w:type="dxa"/>
          </w:tcPr>
          <w:p w14:paraId="083DDB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ПТАБ-2,5-1,5</w:t>
            </w:r>
          </w:p>
        </w:tc>
        <w:tc>
          <w:tcPr>
            <w:tcW w:w="964" w:type="dxa"/>
          </w:tcPr>
          <w:p w14:paraId="480A4171"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4C7D6836"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0213C97F"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C25B38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D640F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5525000</w:t>
            </w:r>
          </w:p>
        </w:tc>
        <w:tc>
          <w:tcPr>
            <w:tcW w:w="345" w:type="dxa"/>
          </w:tcPr>
          <w:p w14:paraId="62AD65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5954668</w:t>
            </w:r>
          </w:p>
        </w:tc>
        <w:tc>
          <w:tcPr>
            <w:tcW w:w="345" w:type="dxa"/>
          </w:tcPr>
          <w:p w14:paraId="31134B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6450000</w:t>
            </w:r>
          </w:p>
        </w:tc>
        <w:tc>
          <w:tcPr>
            <w:tcW w:w="345" w:type="dxa"/>
          </w:tcPr>
          <w:p w14:paraId="4C437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6753628</w:t>
            </w:r>
          </w:p>
        </w:tc>
        <w:tc>
          <w:tcPr>
            <w:tcW w:w="302" w:type="dxa"/>
          </w:tcPr>
          <w:p w14:paraId="541503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2100000</w:t>
            </w:r>
          </w:p>
        </w:tc>
        <w:tc>
          <w:tcPr>
            <w:tcW w:w="345" w:type="dxa"/>
          </w:tcPr>
          <w:p w14:paraId="45465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1907620</w:t>
            </w:r>
          </w:p>
        </w:tc>
        <w:tc>
          <w:tcPr>
            <w:tcW w:w="345" w:type="dxa"/>
          </w:tcPr>
          <w:p w14:paraId="35E474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14075000</w:t>
            </w:r>
          </w:p>
        </w:tc>
        <w:tc>
          <w:tcPr>
            <w:tcW w:w="345" w:type="dxa"/>
          </w:tcPr>
          <w:p w14:paraId="1843B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14615916</w:t>
            </w:r>
          </w:p>
        </w:tc>
      </w:tr>
      <w:tr w:rsidR="00561F31" w:rsidRPr="00F90EAE" w14:paraId="540882C5" w14:textId="77777777">
        <w:tc>
          <w:tcPr>
            <w:tcW w:w="3349" w:type="dxa"/>
          </w:tcPr>
          <w:p w14:paraId="717A0E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ПТАБ-10-2,5</w:t>
            </w:r>
          </w:p>
        </w:tc>
        <w:tc>
          <w:tcPr>
            <w:tcW w:w="964" w:type="dxa"/>
          </w:tcPr>
          <w:p w14:paraId="727B608B"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0233ACC3"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1377567C"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643D9BE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A91E68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A44753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F51D2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60000</w:t>
            </w:r>
          </w:p>
        </w:tc>
        <w:tc>
          <w:tcPr>
            <w:tcW w:w="345" w:type="dxa"/>
          </w:tcPr>
          <w:p w14:paraId="3102FE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302" w:type="dxa"/>
          </w:tcPr>
          <w:p w14:paraId="5AEAA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120000</w:t>
            </w:r>
          </w:p>
        </w:tc>
        <w:tc>
          <w:tcPr>
            <w:tcW w:w="345" w:type="dxa"/>
          </w:tcPr>
          <w:p w14:paraId="777F1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86040</w:t>
            </w:r>
          </w:p>
        </w:tc>
        <w:tc>
          <w:tcPr>
            <w:tcW w:w="345" w:type="dxa"/>
          </w:tcPr>
          <w:p w14:paraId="611BEC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180000</w:t>
            </w:r>
          </w:p>
        </w:tc>
        <w:tc>
          <w:tcPr>
            <w:tcW w:w="345" w:type="dxa"/>
          </w:tcPr>
          <w:p w14:paraId="0757F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113040</w:t>
            </w:r>
          </w:p>
        </w:tc>
      </w:tr>
      <w:tr w:rsidR="00561F31" w:rsidRPr="00F90EAE" w14:paraId="1DF28364" w14:textId="77777777">
        <w:tc>
          <w:tcPr>
            <w:tcW w:w="3349" w:type="dxa"/>
          </w:tcPr>
          <w:p w14:paraId="658DA3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ОФАБ-100</w:t>
            </w:r>
          </w:p>
        </w:tc>
        <w:tc>
          <w:tcPr>
            <w:tcW w:w="964" w:type="dxa"/>
          </w:tcPr>
          <w:p w14:paraId="05BE6B63"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752A6118"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75DBD565"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0D96715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F85DA0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D0977A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F406EA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5E2CC59"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8C642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23000</w:t>
            </w:r>
          </w:p>
        </w:tc>
        <w:tc>
          <w:tcPr>
            <w:tcW w:w="345" w:type="dxa"/>
          </w:tcPr>
          <w:p w14:paraId="58F516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25420</w:t>
            </w:r>
          </w:p>
        </w:tc>
        <w:tc>
          <w:tcPr>
            <w:tcW w:w="345" w:type="dxa"/>
          </w:tcPr>
          <w:p w14:paraId="4D61E5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23000</w:t>
            </w:r>
          </w:p>
        </w:tc>
        <w:tc>
          <w:tcPr>
            <w:tcW w:w="345" w:type="dxa"/>
          </w:tcPr>
          <w:p w14:paraId="3FAAF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25420</w:t>
            </w:r>
          </w:p>
        </w:tc>
      </w:tr>
      <w:tr w:rsidR="00561F31" w:rsidRPr="00F90EAE" w14:paraId="6534F714" w14:textId="77777777">
        <w:tc>
          <w:tcPr>
            <w:tcW w:w="3349" w:type="dxa"/>
          </w:tcPr>
          <w:p w14:paraId="7BA75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5D9024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12068500</w:t>
            </w:r>
          </w:p>
        </w:tc>
        <w:tc>
          <w:tcPr>
            <w:tcW w:w="964" w:type="dxa"/>
          </w:tcPr>
          <w:p w14:paraId="7DDF8A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11269987</w:t>
            </w:r>
          </w:p>
        </w:tc>
        <w:tc>
          <w:tcPr>
            <w:tcW w:w="745" w:type="dxa"/>
          </w:tcPr>
          <w:p w14:paraId="03E1C5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1859100</w:t>
            </w:r>
          </w:p>
        </w:tc>
        <w:tc>
          <w:tcPr>
            <w:tcW w:w="613" w:type="dxa"/>
          </w:tcPr>
          <w:p w14:paraId="076FD3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3300334</w:t>
            </w:r>
          </w:p>
        </w:tc>
        <w:tc>
          <w:tcPr>
            <w:tcW w:w="345" w:type="dxa"/>
          </w:tcPr>
          <w:p w14:paraId="68061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6961000</w:t>
            </w:r>
          </w:p>
        </w:tc>
        <w:tc>
          <w:tcPr>
            <w:tcW w:w="345" w:type="dxa"/>
          </w:tcPr>
          <w:p w14:paraId="4D7888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7833638</w:t>
            </w:r>
          </w:p>
        </w:tc>
        <w:tc>
          <w:tcPr>
            <w:tcW w:w="345" w:type="dxa"/>
          </w:tcPr>
          <w:p w14:paraId="24183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7996000</w:t>
            </w:r>
          </w:p>
        </w:tc>
        <w:tc>
          <w:tcPr>
            <w:tcW w:w="345" w:type="dxa"/>
          </w:tcPr>
          <w:p w14:paraId="50E57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8173018</w:t>
            </w:r>
          </w:p>
        </w:tc>
        <w:tc>
          <w:tcPr>
            <w:tcW w:w="302" w:type="dxa"/>
          </w:tcPr>
          <w:p w14:paraId="0F1BD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3291500</w:t>
            </w:r>
          </w:p>
        </w:tc>
        <w:tc>
          <w:tcPr>
            <w:tcW w:w="345" w:type="dxa"/>
          </w:tcPr>
          <w:p w14:paraId="3A0BF5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2910865</w:t>
            </w:r>
          </w:p>
        </w:tc>
        <w:tc>
          <w:tcPr>
            <w:tcW w:w="345" w:type="dxa"/>
          </w:tcPr>
          <w:p w14:paraId="77D03B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32176100</w:t>
            </w:r>
          </w:p>
        </w:tc>
        <w:tc>
          <w:tcPr>
            <w:tcW w:w="345" w:type="dxa"/>
          </w:tcPr>
          <w:p w14:paraId="0A9084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33487842</w:t>
            </w:r>
          </w:p>
        </w:tc>
      </w:tr>
      <w:tr w:rsidR="00561F31" w:rsidRPr="00F90EAE" w14:paraId="5256F84B" w14:textId="77777777">
        <w:tc>
          <w:tcPr>
            <w:tcW w:w="3349" w:type="dxa"/>
          </w:tcPr>
          <w:p w14:paraId="3BF79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257230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66576</w:t>
            </w:r>
          </w:p>
        </w:tc>
        <w:tc>
          <w:tcPr>
            <w:tcW w:w="964" w:type="dxa"/>
          </w:tcPr>
          <w:p w14:paraId="28BCF4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53042</w:t>
            </w:r>
          </w:p>
        </w:tc>
        <w:tc>
          <w:tcPr>
            <w:tcW w:w="745" w:type="dxa"/>
          </w:tcPr>
          <w:p w14:paraId="740642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28119</w:t>
            </w:r>
          </w:p>
        </w:tc>
        <w:tc>
          <w:tcPr>
            <w:tcW w:w="613" w:type="dxa"/>
          </w:tcPr>
          <w:p w14:paraId="2F394B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29032</w:t>
            </w:r>
          </w:p>
        </w:tc>
        <w:tc>
          <w:tcPr>
            <w:tcW w:w="345" w:type="dxa"/>
          </w:tcPr>
          <w:p w14:paraId="44022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36331</w:t>
            </w:r>
          </w:p>
        </w:tc>
        <w:tc>
          <w:tcPr>
            <w:tcW w:w="345" w:type="dxa"/>
          </w:tcPr>
          <w:p w14:paraId="210182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40727</w:t>
            </w:r>
          </w:p>
        </w:tc>
        <w:tc>
          <w:tcPr>
            <w:tcW w:w="345" w:type="dxa"/>
          </w:tcPr>
          <w:p w14:paraId="5205F9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47770</w:t>
            </w:r>
          </w:p>
        </w:tc>
        <w:tc>
          <w:tcPr>
            <w:tcW w:w="345" w:type="dxa"/>
          </w:tcPr>
          <w:p w14:paraId="4A3AE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48753</w:t>
            </w:r>
          </w:p>
        </w:tc>
        <w:tc>
          <w:tcPr>
            <w:tcW w:w="302" w:type="dxa"/>
          </w:tcPr>
          <w:p w14:paraId="5115F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41090</w:t>
            </w:r>
          </w:p>
        </w:tc>
        <w:tc>
          <w:tcPr>
            <w:tcW w:w="345" w:type="dxa"/>
          </w:tcPr>
          <w:p w14:paraId="53DFB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36067</w:t>
            </w:r>
          </w:p>
        </w:tc>
        <w:tc>
          <w:tcPr>
            <w:tcW w:w="345" w:type="dxa"/>
          </w:tcPr>
          <w:p w14:paraId="49506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219886</w:t>
            </w:r>
          </w:p>
        </w:tc>
        <w:tc>
          <w:tcPr>
            <w:tcW w:w="345" w:type="dxa"/>
          </w:tcPr>
          <w:p w14:paraId="2CDDC1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207621</w:t>
            </w:r>
          </w:p>
        </w:tc>
      </w:tr>
      <w:tr w:rsidR="00561F31" w:rsidRPr="00F90EAE" w14:paraId="2E3E6862" w14:textId="77777777">
        <w:tc>
          <w:tcPr>
            <w:tcW w:w="3349" w:type="dxa"/>
          </w:tcPr>
          <w:p w14:paraId="6D8026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зажигательные</w:t>
            </w:r>
          </w:p>
        </w:tc>
        <w:tc>
          <w:tcPr>
            <w:tcW w:w="964" w:type="dxa"/>
          </w:tcPr>
          <w:p w14:paraId="684ADFCB"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1B785E04"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73BB8F2D"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7D70956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31F709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82F66A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D8158E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63B6529"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6FA4C34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EE4CF3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AEE490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2742F1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90C4B4" w14:textId="77777777">
        <w:tc>
          <w:tcPr>
            <w:tcW w:w="3349" w:type="dxa"/>
          </w:tcPr>
          <w:p w14:paraId="2B373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ЗАБ-500-300-ТШ</w:t>
            </w:r>
          </w:p>
        </w:tc>
        <w:tc>
          <w:tcPr>
            <w:tcW w:w="964" w:type="dxa"/>
          </w:tcPr>
          <w:p w14:paraId="0125B1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14600</w:t>
            </w:r>
          </w:p>
        </w:tc>
        <w:tc>
          <w:tcPr>
            <w:tcW w:w="964" w:type="dxa"/>
          </w:tcPr>
          <w:p w14:paraId="1E0F2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w:t>
            </w:r>
          </w:p>
        </w:tc>
        <w:tc>
          <w:tcPr>
            <w:tcW w:w="745" w:type="dxa"/>
          </w:tcPr>
          <w:p w14:paraId="470AF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1630</w:t>
            </w:r>
          </w:p>
        </w:tc>
        <w:tc>
          <w:tcPr>
            <w:tcW w:w="613" w:type="dxa"/>
          </w:tcPr>
          <w:p w14:paraId="0A1AF3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w:t>
            </w:r>
          </w:p>
        </w:tc>
        <w:tc>
          <w:tcPr>
            <w:tcW w:w="345" w:type="dxa"/>
          </w:tcPr>
          <w:p w14:paraId="470EB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1805</w:t>
            </w:r>
          </w:p>
        </w:tc>
        <w:tc>
          <w:tcPr>
            <w:tcW w:w="345" w:type="dxa"/>
          </w:tcPr>
          <w:p w14:paraId="1A0770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1995</w:t>
            </w:r>
          </w:p>
        </w:tc>
        <w:tc>
          <w:tcPr>
            <w:tcW w:w="345" w:type="dxa"/>
          </w:tcPr>
          <w:p w14:paraId="2A63DB0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3D575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302" w:type="dxa"/>
          </w:tcPr>
          <w:p w14:paraId="3EFB3C9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74F6EC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D58A1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18035</w:t>
            </w:r>
          </w:p>
        </w:tc>
        <w:tc>
          <w:tcPr>
            <w:tcW w:w="345" w:type="dxa"/>
          </w:tcPr>
          <w:p w14:paraId="5C275F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4005</w:t>
            </w:r>
          </w:p>
        </w:tc>
      </w:tr>
      <w:tr w:rsidR="00561F31" w:rsidRPr="00F90EAE" w14:paraId="1685AABB" w14:textId="77777777">
        <w:tc>
          <w:tcPr>
            <w:tcW w:w="3349" w:type="dxa"/>
          </w:tcPr>
          <w:p w14:paraId="65D70E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ЗАБ-250-100п</w:t>
            </w:r>
          </w:p>
        </w:tc>
        <w:tc>
          <w:tcPr>
            <w:tcW w:w="964" w:type="dxa"/>
          </w:tcPr>
          <w:p w14:paraId="0656E783"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4EFC325A"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3C2495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10000</w:t>
            </w:r>
          </w:p>
        </w:tc>
        <w:tc>
          <w:tcPr>
            <w:tcW w:w="613" w:type="dxa"/>
          </w:tcPr>
          <w:p w14:paraId="6288B5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12025</w:t>
            </w:r>
          </w:p>
        </w:tc>
        <w:tc>
          <w:tcPr>
            <w:tcW w:w="345" w:type="dxa"/>
          </w:tcPr>
          <w:p w14:paraId="319D6ED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FB17F0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763ECD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F82BDB7"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45B4F0B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9848C0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CFBDA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10000</w:t>
            </w:r>
          </w:p>
        </w:tc>
        <w:tc>
          <w:tcPr>
            <w:tcW w:w="345" w:type="dxa"/>
          </w:tcPr>
          <w:p w14:paraId="64EDEC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12025</w:t>
            </w:r>
          </w:p>
        </w:tc>
      </w:tr>
      <w:tr w:rsidR="00561F31" w:rsidRPr="00F90EAE" w14:paraId="2983F197" w14:textId="77777777">
        <w:tc>
          <w:tcPr>
            <w:tcW w:w="3349" w:type="dxa"/>
          </w:tcPr>
          <w:p w14:paraId="20F39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ЗАБ-100-40п</w:t>
            </w:r>
          </w:p>
        </w:tc>
        <w:tc>
          <w:tcPr>
            <w:tcW w:w="964" w:type="dxa"/>
          </w:tcPr>
          <w:p w14:paraId="3B5BB414"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481842E0"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65CA5C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37000</w:t>
            </w:r>
          </w:p>
        </w:tc>
        <w:tc>
          <w:tcPr>
            <w:tcW w:w="613" w:type="dxa"/>
          </w:tcPr>
          <w:p w14:paraId="1F4C4F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26789</w:t>
            </w:r>
          </w:p>
        </w:tc>
        <w:tc>
          <w:tcPr>
            <w:tcW w:w="345" w:type="dxa"/>
          </w:tcPr>
          <w:p w14:paraId="4D98A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345" w:type="dxa"/>
          </w:tcPr>
          <w:p w14:paraId="73F4D6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31401</w:t>
            </w:r>
          </w:p>
        </w:tc>
        <w:tc>
          <w:tcPr>
            <w:tcW w:w="345" w:type="dxa"/>
          </w:tcPr>
          <w:p w14:paraId="12C87AC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01BBB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5549</w:t>
            </w:r>
          </w:p>
        </w:tc>
        <w:tc>
          <w:tcPr>
            <w:tcW w:w="302" w:type="dxa"/>
          </w:tcPr>
          <w:p w14:paraId="3302689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E7282B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A0E03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70500</w:t>
            </w:r>
          </w:p>
        </w:tc>
        <w:tc>
          <w:tcPr>
            <w:tcW w:w="345" w:type="dxa"/>
          </w:tcPr>
          <w:p w14:paraId="56AF98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63739</w:t>
            </w:r>
          </w:p>
        </w:tc>
      </w:tr>
      <w:tr w:rsidR="00561F31" w:rsidRPr="00F90EAE" w14:paraId="44E2ABBE" w14:textId="77777777">
        <w:tc>
          <w:tcPr>
            <w:tcW w:w="3349" w:type="dxa"/>
          </w:tcPr>
          <w:p w14:paraId="45D80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ЗАБ-100-65-ТШ</w:t>
            </w:r>
          </w:p>
        </w:tc>
        <w:tc>
          <w:tcPr>
            <w:tcW w:w="964" w:type="dxa"/>
          </w:tcPr>
          <w:p w14:paraId="0A9DD5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54200</w:t>
            </w:r>
          </w:p>
        </w:tc>
        <w:tc>
          <w:tcPr>
            <w:tcW w:w="964" w:type="dxa"/>
          </w:tcPr>
          <w:p w14:paraId="64141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440</w:t>
            </w:r>
          </w:p>
        </w:tc>
        <w:tc>
          <w:tcPr>
            <w:tcW w:w="745" w:type="dxa"/>
          </w:tcPr>
          <w:p w14:paraId="7318FF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41600</w:t>
            </w:r>
          </w:p>
        </w:tc>
        <w:tc>
          <w:tcPr>
            <w:tcW w:w="613" w:type="dxa"/>
          </w:tcPr>
          <w:p w14:paraId="20FC20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29577</w:t>
            </w:r>
          </w:p>
        </w:tc>
        <w:tc>
          <w:tcPr>
            <w:tcW w:w="345" w:type="dxa"/>
          </w:tcPr>
          <w:p w14:paraId="03713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26280</w:t>
            </w:r>
          </w:p>
        </w:tc>
        <w:tc>
          <w:tcPr>
            <w:tcW w:w="345" w:type="dxa"/>
          </w:tcPr>
          <w:p w14:paraId="2A0AB9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25804</w:t>
            </w:r>
          </w:p>
        </w:tc>
        <w:tc>
          <w:tcPr>
            <w:tcW w:w="345" w:type="dxa"/>
          </w:tcPr>
          <w:p w14:paraId="788DA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16400</w:t>
            </w:r>
          </w:p>
        </w:tc>
        <w:tc>
          <w:tcPr>
            <w:tcW w:w="345" w:type="dxa"/>
          </w:tcPr>
          <w:p w14:paraId="6D77BA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23140</w:t>
            </w:r>
          </w:p>
        </w:tc>
        <w:tc>
          <w:tcPr>
            <w:tcW w:w="302" w:type="dxa"/>
          </w:tcPr>
          <w:p w14:paraId="253D896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4CDBCF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3D81E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138480</w:t>
            </w:r>
          </w:p>
        </w:tc>
        <w:tc>
          <w:tcPr>
            <w:tcW w:w="345" w:type="dxa"/>
          </w:tcPr>
          <w:p w14:paraId="350611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78961</w:t>
            </w:r>
          </w:p>
        </w:tc>
      </w:tr>
      <w:tr w:rsidR="00561F31" w:rsidRPr="00F90EAE" w14:paraId="2D0EAB68" w14:textId="77777777">
        <w:tc>
          <w:tcPr>
            <w:tcW w:w="3349" w:type="dxa"/>
          </w:tcPr>
          <w:p w14:paraId="46E361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ЗАБ-100цк</w:t>
            </w:r>
          </w:p>
        </w:tc>
        <w:tc>
          <w:tcPr>
            <w:tcW w:w="964" w:type="dxa"/>
          </w:tcPr>
          <w:p w14:paraId="1C1019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29000</w:t>
            </w:r>
          </w:p>
        </w:tc>
        <w:tc>
          <w:tcPr>
            <w:tcW w:w="964" w:type="dxa"/>
          </w:tcPr>
          <w:p w14:paraId="30BF74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16479</w:t>
            </w:r>
          </w:p>
        </w:tc>
        <w:tc>
          <w:tcPr>
            <w:tcW w:w="745" w:type="dxa"/>
          </w:tcPr>
          <w:p w14:paraId="3BF3EF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18200</w:t>
            </w:r>
          </w:p>
        </w:tc>
        <w:tc>
          <w:tcPr>
            <w:tcW w:w="613" w:type="dxa"/>
          </w:tcPr>
          <w:p w14:paraId="1837BC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31449</w:t>
            </w:r>
          </w:p>
        </w:tc>
        <w:tc>
          <w:tcPr>
            <w:tcW w:w="345" w:type="dxa"/>
          </w:tcPr>
          <w:p w14:paraId="2D461F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88000</w:t>
            </w:r>
          </w:p>
        </w:tc>
        <w:tc>
          <w:tcPr>
            <w:tcW w:w="345" w:type="dxa"/>
          </w:tcPr>
          <w:p w14:paraId="763594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88209</w:t>
            </w:r>
          </w:p>
        </w:tc>
        <w:tc>
          <w:tcPr>
            <w:tcW w:w="345" w:type="dxa"/>
          </w:tcPr>
          <w:p w14:paraId="00846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115000</w:t>
            </w:r>
          </w:p>
        </w:tc>
        <w:tc>
          <w:tcPr>
            <w:tcW w:w="345" w:type="dxa"/>
          </w:tcPr>
          <w:p w14:paraId="72B3C5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139981</w:t>
            </w:r>
          </w:p>
        </w:tc>
        <w:tc>
          <w:tcPr>
            <w:tcW w:w="302" w:type="dxa"/>
          </w:tcPr>
          <w:p w14:paraId="75B43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21500</w:t>
            </w:r>
          </w:p>
        </w:tc>
        <w:tc>
          <w:tcPr>
            <w:tcW w:w="345" w:type="dxa"/>
          </w:tcPr>
          <w:p w14:paraId="1E4BEF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20893</w:t>
            </w:r>
          </w:p>
        </w:tc>
        <w:tc>
          <w:tcPr>
            <w:tcW w:w="345" w:type="dxa"/>
          </w:tcPr>
          <w:p w14:paraId="62356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271700</w:t>
            </w:r>
          </w:p>
        </w:tc>
        <w:tc>
          <w:tcPr>
            <w:tcW w:w="345" w:type="dxa"/>
          </w:tcPr>
          <w:p w14:paraId="3558DC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297011</w:t>
            </w:r>
          </w:p>
        </w:tc>
      </w:tr>
      <w:tr w:rsidR="00561F31" w:rsidRPr="00F90EAE" w14:paraId="65E7C120" w14:textId="77777777">
        <w:tc>
          <w:tcPr>
            <w:tcW w:w="3349" w:type="dxa"/>
          </w:tcPr>
          <w:p w14:paraId="26D277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ЗАБ-50тг</w:t>
            </w:r>
          </w:p>
        </w:tc>
        <w:tc>
          <w:tcPr>
            <w:tcW w:w="964" w:type="dxa"/>
          </w:tcPr>
          <w:p w14:paraId="732CC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360000</w:t>
            </w:r>
          </w:p>
        </w:tc>
        <w:tc>
          <w:tcPr>
            <w:tcW w:w="964" w:type="dxa"/>
          </w:tcPr>
          <w:p w14:paraId="176E9F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106439</w:t>
            </w:r>
          </w:p>
        </w:tc>
        <w:tc>
          <w:tcPr>
            <w:tcW w:w="745" w:type="dxa"/>
          </w:tcPr>
          <w:p w14:paraId="09DC8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142500</w:t>
            </w:r>
          </w:p>
        </w:tc>
        <w:tc>
          <w:tcPr>
            <w:tcW w:w="613" w:type="dxa"/>
          </w:tcPr>
          <w:p w14:paraId="6D1976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187986</w:t>
            </w:r>
          </w:p>
        </w:tc>
        <w:tc>
          <w:tcPr>
            <w:tcW w:w="345" w:type="dxa"/>
          </w:tcPr>
          <w:p w14:paraId="04D142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67800</w:t>
            </w:r>
          </w:p>
        </w:tc>
        <w:tc>
          <w:tcPr>
            <w:tcW w:w="345" w:type="dxa"/>
          </w:tcPr>
          <w:p w14:paraId="6AEF55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99260</w:t>
            </w:r>
          </w:p>
        </w:tc>
        <w:tc>
          <w:tcPr>
            <w:tcW w:w="345" w:type="dxa"/>
          </w:tcPr>
          <w:p w14:paraId="7AB3B94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BD7CB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9833</w:t>
            </w:r>
          </w:p>
        </w:tc>
        <w:tc>
          <w:tcPr>
            <w:tcW w:w="302" w:type="dxa"/>
          </w:tcPr>
          <w:p w14:paraId="00B2972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E5D433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AE7F6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570300</w:t>
            </w:r>
          </w:p>
        </w:tc>
        <w:tc>
          <w:tcPr>
            <w:tcW w:w="345" w:type="dxa"/>
          </w:tcPr>
          <w:p w14:paraId="6FF35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403518</w:t>
            </w:r>
          </w:p>
        </w:tc>
      </w:tr>
      <w:tr w:rsidR="00561F31" w:rsidRPr="00F90EAE" w14:paraId="7112BF88" w14:textId="77777777">
        <w:tc>
          <w:tcPr>
            <w:tcW w:w="3349" w:type="dxa"/>
          </w:tcPr>
          <w:p w14:paraId="06E8DA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ЗАБ-10тг</w:t>
            </w:r>
          </w:p>
        </w:tc>
        <w:tc>
          <w:tcPr>
            <w:tcW w:w="964" w:type="dxa"/>
          </w:tcPr>
          <w:p w14:paraId="2E057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12000</w:t>
            </w:r>
          </w:p>
        </w:tc>
        <w:tc>
          <w:tcPr>
            <w:tcW w:w="964" w:type="dxa"/>
          </w:tcPr>
          <w:p w14:paraId="22DACC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21521</w:t>
            </w:r>
          </w:p>
        </w:tc>
        <w:tc>
          <w:tcPr>
            <w:tcW w:w="745" w:type="dxa"/>
          </w:tcPr>
          <w:p w14:paraId="3EEE0000"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B82CB7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3C3F79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FFEE6A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0E44DF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18F0140"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62FC0E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10830C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2448B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12000</w:t>
            </w:r>
          </w:p>
        </w:tc>
        <w:tc>
          <w:tcPr>
            <w:tcW w:w="345" w:type="dxa"/>
          </w:tcPr>
          <w:p w14:paraId="1A9C16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21521</w:t>
            </w:r>
          </w:p>
        </w:tc>
      </w:tr>
      <w:tr w:rsidR="00561F31" w:rsidRPr="00F90EAE" w14:paraId="3D1CB554" w14:textId="77777777">
        <w:tc>
          <w:tcPr>
            <w:tcW w:w="3349" w:type="dxa"/>
          </w:tcPr>
          <w:p w14:paraId="774ABB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ЗАБ-2,5 и 1Э</w:t>
            </w:r>
          </w:p>
        </w:tc>
        <w:tc>
          <w:tcPr>
            <w:tcW w:w="964" w:type="dxa"/>
          </w:tcPr>
          <w:p w14:paraId="091235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2204800</w:t>
            </w:r>
          </w:p>
        </w:tc>
        <w:tc>
          <w:tcPr>
            <w:tcW w:w="964" w:type="dxa"/>
          </w:tcPr>
          <w:p w14:paraId="1AA228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1611063</w:t>
            </w:r>
          </w:p>
        </w:tc>
        <w:tc>
          <w:tcPr>
            <w:tcW w:w="745" w:type="dxa"/>
          </w:tcPr>
          <w:p w14:paraId="59ED44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1516500</w:t>
            </w:r>
          </w:p>
        </w:tc>
        <w:tc>
          <w:tcPr>
            <w:tcW w:w="613" w:type="dxa"/>
          </w:tcPr>
          <w:p w14:paraId="7E690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801008</w:t>
            </w:r>
          </w:p>
        </w:tc>
        <w:tc>
          <w:tcPr>
            <w:tcW w:w="345" w:type="dxa"/>
          </w:tcPr>
          <w:p w14:paraId="1EC8DA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907500</w:t>
            </w:r>
          </w:p>
        </w:tc>
        <w:tc>
          <w:tcPr>
            <w:tcW w:w="345" w:type="dxa"/>
          </w:tcPr>
          <w:p w14:paraId="1A6183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644925</w:t>
            </w:r>
          </w:p>
        </w:tc>
        <w:tc>
          <w:tcPr>
            <w:tcW w:w="345" w:type="dxa"/>
          </w:tcPr>
          <w:p w14:paraId="2A058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175000</w:t>
            </w:r>
          </w:p>
        </w:tc>
        <w:tc>
          <w:tcPr>
            <w:tcW w:w="345" w:type="dxa"/>
          </w:tcPr>
          <w:p w14:paraId="300F5F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143320</w:t>
            </w:r>
          </w:p>
        </w:tc>
        <w:tc>
          <w:tcPr>
            <w:tcW w:w="302" w:type="dxa"/>
          </w:tcPr>
          <w:p w14:paraId="58C5E7E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B5D5D1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7C9C1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4803800</w:t>
            </w:r>
          </w:p>
        </w:tc>
        <w:tc>
          <w:tcPr>
            <w:tcW w:w="345" w:type="dxa"/>
          </w:tcPr>
          <w:p w14:paraId="621AE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3200316</w:t>
            </w:r>
          </w:p>
        </w:tc>
      </w:tr>
      <w:tr w:rsidR="00561F31" w:rsidRPr="00F90EAE" w14:paraId="2AC6BD85" w14:textId="77777777">
        <w:tc>
          <w:tcPr>
            <w:tcW w:w="3349" w:type="dxa"/>
          </w:tcPr>
          <w:p w14:paraId="116538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733735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2674600</w:t>
            </w:r>
          </w:p>
        </w:tc>
        <w:tc>
          <w:tcPr>
            <w:tcW w:w="964" w:type="dxa"/>
          </w:tcPr>
          <w:p w14:paraId="280531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1756692</w:t>
            </w:r>
          </w:p>
        </w:tc>
        <w:tc>
          <w:tcPr>
            <w:tcW w:w="745" w:type="dxa"/>
          </w:tcPr>
          <w:p w14:paraId="6A555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1767430</w:t>
            </w:r>
          </w:p>
        </w:tc>
        <w:tc>
          <w:tcPr>
            <w:tcW w:w="613" w:type="dxa"/>
          </w:tcPr>
          <w:p w14:paraId="6800D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1089899</w:t>
            </w:r>
          </w:p>
        </w:tc>
        <w:tc>
          <w:tcPr>
            <w:tcW w:w="345" w:type="dxa"/>
          </w:tcPr>
          <w:p w14:paraId="03C2FB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1124885</w:t>
            </w:r>
          </w:p>
        </w:tc>
        <w:tc>
          <w:tcPr>
            <w:tcW w:w="345" w:type="dxa"/>
          </w:tcPr>
          <w:p w14:paraId="6A2A29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891594</w:t>
            </w:r>
          </w:p>
        </w:tc>
        <w:tc>
          <w:tcPr>
            <w:tcW w:w="345" w:type="dxa"/>
          </w:tcPr>
          <w:p w14:paraId="6E79FE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306400</w:t>
            </w:r>
          </w:p>
        </w:tc>
        <w:tc>
          <w:tcPr>
            <w:tcW w:w="345" w:type="dxa"/>
          </w:tcPr>
          <w:p w14:paraId="593306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322018</w:t>
            </w:r>
          </w:p>
        </w:tc>
        <w:tc>
          <w:tcPr>
            <w:tcW w:w="302" w:type="dxa"/>
          </w:tcPr>
          <w:p w14:paraId="157FE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21500</w:t>
            </w:r>
          </w:p>
        </w:tc>
        <w:tc>
          <w:tcPr>
            <w:tcW w:w="345" w:type="dxa"/>
          </w:tcPr>
          <w:p w14:paraId="6656F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20893</w:t>
            </w:r>
          </w:p>
        </w:tc>
        <w:tc>
          <w:tcPr>
            <w:tcW w:w="345" w:type="dxa"/>
          </w:tcPr>
          <w:p w14:paraId="31686A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5894815</w:t>
            </w:r>
          </w:p>
        </w:tc>
        <w:tc>
          <w:tcPr>
            <w:tcW w:w="345" w:type="dxa"/>
          </w:tcPr>
          <w:p w14:paraId="0DD476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4081096</w:t>
            </w:r>
          </w:p>
        </w:tc>
      </w:tr>
      <w:tr w:rsidR="00561F31" w:rsidRPr="00F90EAE" w14:paraId="33AAB8E5" w14:textId="77777777">
        <w:tc>
          <w:tcPr>
            <w:tcW w:w="3349" w:type="dxa"/>
          </w:tcPr>
          <w:p w14:paraId="256165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249290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32657</w:t>
            </w:r>
          </w:p>
        </w:tc>
        <w:tc>
          <w:tcPr>
            <w:tcW w:w="964" w:type="dxa"/>
          </w:tcPr>
          <w:p w14:paraId="25BD4B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10057</w:t>
            </w:r>
          </w:p>
        </w:tc>
        <w:tc>
          <w:tcPr>
            <w:tcW w:w="745" w:type="dxa"/>
          </w:tcPr>
          <w:p w14:paraId="6A0903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17922</w:t>
            </w:r>
          </w:p>
        </w:tc>
        <w:tc>
          <w:tcPr>
            <w:tcW w:w="613" w:type="dxa"/>
          </w:tcPr>
          <w:p w14:paraId="76CB6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19277</w:t>
            </w:r>
          </w:p>
        </w:tc>
        <w:tc>
          <w:tcPr>
            <w:tcW w:w="345" w:type="dxa"/>
          </w:tcPr>
          <w:p w14:paraId="755625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17428</w:t>
            </w:r>
          </w:p>
        </w:tc>
        <w:tc>
          <w:tcPr>
            <w:tcW w:w="345" w:type="dxa"/>
          </w:tcPr>
          <w:p w14:paraId="04FBBE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18515</w:t>
            </w:r>
          </w:p>
        </w:tc>
        <w:tc>
          <w:tcPr>
            <w:tcW w:w="345" w:type="dxa"/>
          </w:tcPr>
          <w:p w14:paraId="48BD08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13902</w:t>
            </w:r>
          </w:p>
        </w:tc>
        <w:tc>
          <w:tcPr>
            <w:tcW w:w="345" w:type="dxa"/>
          </w:tcPr>
          <w:p w14:paraId="16EC38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18184</w:t>
            </w:r>
          </w:p>
        </w:tc>
        <w:tc>
          <w:tcPr>
            <w:tcW w:w="302" w:type="dxa"/>
          </w:tcPr>
          <w:p w14:paraId="7F3F0C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2215</w:t>
            </w:r>
          </w:p>
        </w:tc>
        <w:tc>
          <w:tcPr>
            <w:tcW w:w="345" w:type="dxa"/>
          </w:tcPr>
          <w:p w14:paraId="30CE05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2152</w:t>
            </w:r>
          </w:p>
        </w:tc>
        <w:tc>
          <w:tcPr>
            <w:tcW w:w="345" w:type="dxa"/>
          </w:tcPr>
          <w:p w14:paraId="6AC52C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84124</w:t>
            </w:r>
          </w:p>
        </w:tc>
        <w:tc>
          <w:tcPr>
            <w:tcW w:w="345" w:type="dxa"/>
          </w:tcPr>
          <w:p w14:paraId="2940BD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68185</w:t>
            </w:r>
          </w:p>
        </w:tc>
      </w:tr>
      <w:tr w:rsidR="00561F31" w:rsidRPr="00F90EAE" w14:paraId="25FB1B1B" w14:textId="77777777">
        <w:tc>
          <w:tcPr>
            <w:tcW w:w="3349" w:type="dxa"/>
          </w:tcPr>
          <w:p w14:paraId="3783EA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светящиеся авиабомбы</w:t>
            </w:r>
          </w:p>
        </w:tc>
        <w:tc>
          <w:tcPr>
            <w:tcW w:w="964" w:type="dxa"/>
          </w:tcPr>
          <w:p w14:paraId="5AB7E6A4"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5C181890"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2373373D"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161ADA5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F379B9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357E09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D4FF5A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F9081C8"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35CF954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79E5A1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0F254D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BAE3A3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6B84D7F" w14:textId="77777777">
        <w:tc>
          <w:tcPr>
            <w:tcW w:w="3349" w:type="dxa"/>
          </w:tcPr>
          <w:p w14:paraId="2D4BA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САБ-100-55</w:t>
            </w:r>
          </w:p>
        </w:tc>
        <w:tc>
          <w:tcPr>
            <w:tcW w:w="964" w:type="dxa"/>
          </w:tcPr>
          <w:p w14:paraId="499AF5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14400</w:t>
            </w:r>
          </w:p>
        </w:tc>
        <w:tc>
          <w:tcPr>
            <w:tcW w:w="964" w:type="dxa"/>
          </w:tcPr>
          <w:p w14:paraId="58D430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972</w:t>
            </w:r>
          </w:p>
        </w:tc>
        <w:tc>
          <w:tcPr>
            <w:tcW w:w="745" w:type="dxa"/>
          </w:tcPr>
          <w:p w14:paraId="5F4660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31800</w:t>
            </w:r>
          </w:p>
        </w:tc>
        <w:tc>
          <w:tcPr>
            <w:tcW w:w="613" w:type="dxa"/>
          </w:tcPr>
          <w:p w14:paraId="2A029F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16529</w:t>
            </w:r>
          </w:p>
        </w:tc>
        <w:tc>
          <w:tcPr>
            <w:tcW w:w="345" w:type="dxa"/>
          </w:tcPr>
          <w:p w14:paraId="41ABCF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50650</w:t>
            </w:r>
          </w:p>
        </w:tc>
        <w:tc>
          <w:tcPr>
            <w:tcW w:w="345" w:type="dxa"/>
          </w:tcPr>
          <w:p w14:paraId="774BE6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56037</w:t>
            </w:r>
          </w:p>
        </w:tc>
        <w:tc>
          <w:tcPr>
            <w:tcW w:w="345" w:type="dxa"/>
          </w:tcPr>
          <w:p w14:paraId="35D50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66200</w:t>
            </w:r>
          </w:p>
        </w:tc>
        <w:tc>
          <w:tcPr>
            <w:tcW w:w="345" w:type="dxa"/>
          </w:tcPr>
          <w:p w14:paraId="49849E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60440</w:t>
            </w:r>
          </w:p>
        </w:tc>
        <w:tc>
          <w:tcPr>
            <w:tcW w:w="302" w:type="dxa"/>
          </w:tcPr>
          <w:p w14:paraId="7FC95C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25600</w:t>
            </w:r>
          </w:p>
        </w:tc>
        <w:tc>
          <w:tcPr>
            <w:tcW w:w="345" w:type="dxa"/>
          </w:tcPr>
          <w:p w14:paraId="6AEF41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24246</w:t>
            </w:r>
          </w:p>
        </w:tc>
        <w:tc>
          <w:tcPr>
            <w:tcW w:w="345" w:type="dxa"/>
          </w:tcPr>
          <w:p w14:paraId="77A4DD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188650</w:t>
            </w:r>
          </w:p>
        </w:tc>
        <w:tc>
          <w:tcPr>
            <w:tcW w:w="345" w:type="dxa"/>
          </w:tcPr>
          <w:p w14:paraId="0ADCE1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158224</w:t>
            </w:r>
          </w:p>
        </w:tc>
      </w:tr>
      <w:tr w:rsidR="00561F31" w:rsidRPr="00F90EAE" w14:paraId="4E217967" w14:textId="77777777">
        <w:tc>
          <w:tcPr>
            <w:tcW w:w="3349" w:type="dxa"/>
          </w:tcPr>
          <w:p w14:paraId="7781F7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САБ-50-15 и 25</w:t>
            </w:r>
          </w:p>
        </w:tc>
        <w:tc>
          <w:tcPr>
            <w:tcW w:w="964" w:type="dxa"/>
          </w:tcPr>
          <w:p w14:paraId="5001A9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117400</w:t>
            </w:r>
          </w:p>
        </w:tc>
        <w:tc>
          <w:tcPr>
            <w:tcW w:w="964" w:type="dxa"/>
          </w:tcPr>
          <w:p w14:paraId="6AC5A5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16464</w:t>
            </w:r>
          </w:p>
        </w:tc>
        <w:tc>
          <w:tcPr>
            <w:tcW w:w="745" w:type="dxa"/>
          </w:tcPr>
          <w:p w14:paraId="3B6E0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68000</w:t>
            </w:r>
          </w:p>
        </w:tc>
        <w:tc>
          <w:tcPr>
            <w:tcW w:w="613" w:type="dxa"/>
          </w:tcPr>
          <w:p w14:paraId="08599C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33640</w:t>
            </w:r>
          </w:p>
        </w:tc>
        <w:tc>
          <w:tcPr>
            <w:tcW w:w="345" w:type="dxa"/>
          </w:tcPr>
          <w:p w14:paraId="70D2E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67340</w:t>
            </w:r>
          </w:p>
        </w:tc>
        <w:tc>
          <w:tcPr>
            <w:tcW w:w="345" w:type="dxa"/>
          </w:tcPr>
          <w:p w14:paraId="665E30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43644</w:t>
            </w:r>
          </w:p>
        </w:tc>
        <w:tc>
          <w:tcPr>
            <w:tcW w:w="345" w:type="dxa"/>
          </w:tcPr>
          <w:p w14:paraId="467D89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57850</w:t>
            </w:r>
          </w:p>
        </w:tc>
        <w:tc>
          <w:tcPr>
            <w:tcW w:w="345" w:type="dxa"/>
          </w:tcPr>
          <w:p w14:paraId="58FDB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29904</w:t>
            </w:r>
          </w:p>
        </w:tc>
        <w:tc>
          <w:tcPr>
            <w:tcW w:w="302" w:type="dxa"/>
          </w:tcPr>
          <w:p w14:paraId="190A9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20300</w:t>
            </w:r>
          </w:p>
        </w:tc>
        <w:tc>
          <w:tcPr>
            <w:tcW w:w="345" w:type="dxa"/>
          </w:tcPr>
          <w:p w14:paraId="476F97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10606</w:t>
            </w:r>
          </w:p>
        </w:tc>
        <w:tc>
          <w:tcPr>
            <w:tcW w:w="345" w:type="dxa"/>
          </w:tcPr>
          <w:p w14:paraId="1F01AB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330890</w:t>
            </w:r>
          </w:p>
        </w:tc>
        <w:tc>
          <w:tcPr>
            <w:tcW w:w="345" w:type="dxa"/>
          </w:tcPr>
          <w:p w14:paraId="1E0C04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134258</w:t>
            </w:r>
          </w:p>
        </w:tc>
      </w:tr>
      <w:tr w:rsidR="00561F31" w:rsidRPr="00F90EAE" w14:paraId="1831CDE2" w14:textId="77777777">
        <w:tc>
          <w:tcPr>
            <w:tcW w:w="3349" w:type="dxa"/>
          </w:tcPr>
          <w:p w14:paraId="753B36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САБ-3М</w:t>
            </w:r>
          </w:p>
        </w:tc>
        <w:tc>
          <w:tcPr>
            <w:tcW w:w="964" w:type="dxa"/>
          </w:tcPr>
          <w:p w14:paraId="7B96E9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45000</w:t>
            </w:r>
          </w:p>
        </w:tc>
        <w:tc>
          <w:tcPr>
            <w:tcW w:w="964" w:type="dxa"/>
          </w:tcPr>
          <w:p w14:paraId="679212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53424</w:t>
            </w:r>
          </w:p>
        </w:tc>
        <w:tc>
          <w:tcPr>
            <w:tcW w:w="745" w:type="dxa"/>
          </w:tcPr>
          <w:p w14:paraId="69E3BCBB"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60CC471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7D14D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23000</w:t>
            </w:r>
          </w:p>
        </w:tc>
        <w:tc>
          <w:tcPr>
            <w:tcW w:w="345" w:type="dxa"/>
          </w:tcPr>
          <w:p w14:paraId="539313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25684</w:t>
            </w:r>
          </w:p>
        </w:tc>
        <w:tc>
          <w:tcPr>
            <w:tcW w:w="345" w:type="dxa"/>
          </w:tcPr>
          <w:p w14:paraId="4C5D20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101000</w:t>
            </w:r>
          </w:p>
        </w:tc>
        <w:tc>
          <w:tcPr>
            <w:tcW w:w="345" w:type="dxa"/>
          </w:tcPr>
          <w:p w14:paraId="2BB3C7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98397</w:t>
            </w:r>
          </w:p>
        </w:tc>
        <w:tc>
          <w:tcPr>
            <w:tcW w:w="302" w:type="dxa"/>
          </w:tcPr>
          <w:p w14:paraId="2AE748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40000</w:t>
            </w:r>
          </w:p>
        </w:tc>
        <w:tc>
          <w:tcPr>
            <w:tcW w:w="345" w:type="dxa"/>
          </w:tcPr>
          <w:p w14:paraId="05C826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38304</w:t>
            </w:r>
          </w:p>
        </w:tc>
        <w:tc>
          <w:tcPr>
            <w:tcW w:w="345" w:type="dxa"/>
          </w:tcPr>
          <w:p w14:paraId="6A8B6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209000</w:t>
            </w:r>
          </w:p>
        </w:tc>
        <w:tc>
          <w:tcPr>
            <w:tcW w:w="345" w:type="dxa"/>
          </w:tcPr>
          <w:p w14:paraId="01AB0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215809</w:t>
            </w:r>
          </w:p>
        </w:tc>
      </w:tr>
      <w:tr w:rsidR="00561F31" w:rsidRPr="00F90EAE" w14:paraId="4E5F7720" w14:textId="77777777">
        <w:tc>
          <w:tcPr>
            <w:tcW w:w="3349" w:type="dxa"/>
          </w:tcPr>
          <w:p w14:paraId="49B41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ФОТАБ-100-65</w:t>
            </w:r>
          </w:p>
        </w:tc>
        <w:tc>
          <w:tcPr>
            <w:tcW w:w="964" w:type="dxa"/>
          </w:tcPr>
          <w:p w14:paraId="1D14C0C7"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4034495E"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30EF6208"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6A90A04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9628A2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45BE93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50FC3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c>
          <w:tcPr>
            <w:tcW w:w="345" w:type="dxa"/>
          </w:tcPr>
          <w:p w14:paraId="38DAEFE6"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42321DE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7B0F39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A7EB4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c>
          <w:tcPr>
            <w:tcW w:w="345" w:type="dxa"/>
          </w:tcPr>
          <w:p w14:paraId="69E697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3D2EC3DA" w14:textId="77777777">
        <w:tc>
          <w:tcPr>
            <w:tcW w:w="3349" w:type="dxa"/>
          </w:tcPr>
          <w:p w14:paraId="3F69F5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ФОТАБ-50-35</w:t>
            </w:r>
          </w:p>
        </w:tc>
        <w:tc>
          <w:tcPr>
            <w:tcW w:w="964" w:type="dxa"/>
          </w:tcPr>
          <w:p w14:paraId="5EFCC2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15400</w:t>
            </w:r>
          </w:p>
        </w:tc>
        <w:tc>
          <w:tcPr>
            <w:tcW w:w="964" w:type="dxa"/>
          </w:tcPr>
          <w:p w14:paraId="21C0E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5598</w:t>
            </w:r>
          </w:p>
        </w:tc>
        <w:tc>
          <w:tcPr>
            <w:tcW w:w="745" w:type="dxa"/>
          </w:tcPr>
          <w:p w14:paraId="7F749E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15300</w:t>
            </w:r>
          </w:p>
        </w:tc>
        <w:tc>
          <w:tcPr>
            <w:tcW w:w="613" w:type="dxa"/>
          </w:tcPr>
          <w:p w14:paraId="3800D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13346</w:t>
            </w:r>
          </w:p>
        </w:tc>
        <w:tc>
          <w:tcPr>
            <w:tcW w:w="345" w:type="dxa"/>
          </w:tcPr>
          <w:p w14:paraId="135997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11600</w:t>
            </w:r>
          </w:p>
        </w:tc>
        <w:tc>
          <w:tcPr>
            <w:tcW w:w="345" w:type="dxa"/>
          </w:tcPr>
          <w:p w14:paraId="6F248F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10656</w:t>
            </w:r>
          </w:p>
        </w:tc>
        <w:tc>
          <w:tcPr>
            <w:tcW w:w="345" w:type="dxa"/>
          </w:tcPr>
          <w:p w14:paraId="68991F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21250</w:t>
            </w:r>
          </w:p>
        </w:tc>
        <w:tc>
          <w:tcPr>
            <w:tcW w:w="345" w:type="dxa"/>
          </w:tcPr>
          <w:p w14:paraId="555C94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24305</w:t>
            </w:r>
          </w:p>
        </w:tc>
        <w:tc>
          <w:tcPr>
            <w:tcW w:w="302" w:type="dxa"/>
          </w:tcPr>
          <w:p w14:paraId="5BBAE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10000</w:t>
            </w:r>
          </w:p>
        </w:tc>
        <w:tc>
          <w:tcPr>
            <w:tcW w:w="345" w:type="dxa"/>
          </w:tcPr>
          <w:p w14:paraId="2C6C6D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5706</w:t>
            </w:r>
          </w:p>
        </w:tc>
        <w:tc>
          <w:tcPr>
            <w:tcW w:w="345" w:type="dxa"/>
          </w:tcPr>
          <w:p w14:paraId="56A87B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73550</w:t>
            </w:r>
          </w:p>
        </w:tc>
        <w:tc>
          <w:tcPr>
            <w:tcW w:w="345" w:type="dxa"/>
          </w:tcPr>
          <w:p w14:paraId="18A641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59611</w:t>
            </w:r>
          </w:p>
        </w:tc>
      </w:tr>
      <w:tr w:rsidR="00561F31" w:rsidRPr="00F90EAE" w14:paraId="429413F1" w14:textId="77777777">
        <w:tc>
          <w:tcPr>
            <w:tcW w:w="3349" w:type="dxa"/>
          </w:tcPr>
          <w:p w14:paraId="461C4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4651B5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192200</w:t>
            </w:r>
          </w:p>
        </w:tc>
        <w:tc>
          <w:tcPr>
            <w:tcW w:w="964" w:type="dxa"/>
          </w:tcPr>
          <w:p w14:paraId="47BF2F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76458</w:t>
            </w:r>
          </w:p>
        </w:tc>
        <w:tc>
          <w:tcPr>
            <w:tcW w:w="745" w:type="dxa"/>
          </w:tcPr>
          <w:p w14:paraId="0C81DF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115100</w:t>
            </w:r>
          </w:p>
        </w:tc>
        <w:tc>
          <w:tcPr>
            <w:tcW w:w="613" w:type="dxa"/>
          </w:tcPr>
          <w:p w14:paraId="6D5928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63515</w:t>
            </w:r>
          </w:p>
        </w:tc>
        <w:tc>
          <w:tcPr>
            <w:tcW w:w="345" w:type="dxa"/>
          </w:tcPr>
          <w:p w14:paraId="10730B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152590</w:t>
            </w:r>
          </w:p>
        </w:tc>
        <w:tc>
          <w:tcPr>
            <w:tcW w:w="345" w:type="dxa"/>
          </w:tcPr>
          <w:p w14:paraId="289830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136021</w:t>
            </w:r>
          </w:p>
        </w:tc>
        <w:tc>
          <w:tcPr>
            <w:tcW w:w="345" w:type="dxa"/>
          </w:tcPr>
          <w:p w14:paraId="717E23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247800</w:t>
            </w:r>
          </w:p>
        </w:tc>
        <w:tc>
          <w:tcPr>
            <w:tcW w:w="345" w:type="dxa"/>
          </w:tcPr>
          <w:p w14:paraId="0F1EA2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213046</w:t>
            </w:r>
          </w:p>
        </w:tc>
        <w:tc>
          <w:tcPr>
            <w:tcW w:w="302" w:type="dxa"/>
          </w:tcPr>
          <w:p w14:paraId="25488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95900</w:t>
            </w:r>
          </w:p>
        </w:tc>
        <w:tc>
          <w:tcPr>
            <w:tcW w:w="345" w:type="dxa"/>
          </w:tcPr>
          <w:p w14:paraId="6B1AB2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78862</w:t>
            </w:r>
          </w:p>
        </w:tc>
        <w:tc>
          <w:tcPr>
            <w:tcW w:w="345" w:type="dxa"/>
          </w:tcPr>
          <w:p w14:paraId="7A44EF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803590</w:t>
            </w:r>
          </w:p>
        </w:tc>
        <w:tc>
          <w:tcPr>
            <w:tcW w:w="345" w:type="dxa"/>
          </w:tcPr>
          <w:p w14:paraId="4199C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567902</w:t>
            </w:r>
          </w:p>
        </w:tc>
      </w:tr>
      <w:tr w:rsidR="00561F31" w:rsidRPr="00F90EAE" w14:paraId="61D0F226" w14:textId="77777777">
        <w:tc>
          <w:tcPr>
            <w:tcW w:w="3349" w:type="dxa"/>
          </w:tcPr>
          <w:p w14:paraId="45CDDA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05411A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2642</w:t>
            </w:r>
          </w:p>
        </w:tc>
        <w:tc>
          <w:tcPr>
            <w:tcW w:w="964" w:type="dxa"/>
          </w:tcPr>
          <w:p w14:paraId="2DB011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759</w:t>
            </w:r>
          </w:p>
        </w:tc>
        <w:tc>
          <w:tcPr>
            <w:tcW w:w="745" w:type="dxa"/>
          </w:tcPr>
          <w:p w14:paraId="569018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3332</w:t>
            </w:r>
          </w:p>
        </w:tc>
        <w:tc>
          <w:tcPr>
            <w:tcW w:w="613" w:type="dxa"/>
          </w:tcPr>
          <w:p w14:paraId="711483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1894</w:t>
            </w:r>
          </w:p>
        </w:tc>
        <w:tc>
          <w:tcPr>
            <w:tcW w:w="345" w:type="dxa"/>
          </w:tcPr>
          <w:p w14:paraId="3B106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4339</w:t>
            </w:r>
          </w:p>
        </w:tc>
        <w:tc>
          <w:tcPr>
            <w:tcW w:w="345" w:type="dxa"/>
          </w:tcPr>
          <w:p w14:paraId="004737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4250</w:t>
            </w:r>
          </w:p>
        </w:tc>
        <w:tc>
          <w:tcPr>
            <w:tcW w:w="345" w:type="dxa"/>
          </w:tcPr>
          <w:p w14:paraId="47385A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5189</w:t>
            </w:r>
          </w:p>
        </w:tc>
        <w:tc>
          <w:tcPr>
            <w:tcW w:w="345" w:type="dxa"/>
          </w:tcPr>
          <w:p w14:paraId="57F6D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5108</w:t>
            </w:r>
          </w:p>
        </w:tc>
        <w:tc>
          <w:tcPr>
            <w:tcW w:w="302" w:type="dxa"/>
          </w:tcPr>
          <w:p w14:paraId="33C65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2090</w:t>
            </w:r>
          </w:p>
        </w:tc>
        <w:tc>
          <w:tcPr>
            <w:tcW w:w="345" w:type="dxa"/>
          </w:tcPr>
          <w:p w14:paraId="5AB3BF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1881</w:t>
            </w:r>
          </w:p>
        </w:tc>
        <w:tc>
          <w:tcPr>
            <w:tcW w:w="345" w:type="dxa"/>
          </w:tcPr>
          <w:p w14:paraId="3CB5BB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17592</w:t>
            </w:r>
          </w:p>
        </w:tc>
        <w:tc>
          <w:tcPr>
            <w:tcW w:w="345" w:type="dxa"/>
          </w:tcPr>
          <w:p w14:paraId="22F666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13892</w:t>
            </w:r>
          </w:p>
        </w:tc>
      </w:tr>
      <w:tr w:rsidR="00561F31" w:rsidRPr="00F90EAE" w14:paraId="58D10DEB" w14:textId="77777777">
        <w:tc>
          <w:tcPr>
            <w:tcW w:w="3349" w:type="dxa"/>
          </w:tcPr>
          <w:p w14:paraId="27E675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химические авиабомбы</w:t>
            </w:r>
          </w:p>
        </w:tc>
        <w:tc>
          <w:tcPr>
            <w:tcW w:w="964" w:type="dxa"/>
          </w:tcPr>
          <w:p w14:paraId="4F2ACD63"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38164115"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48CB8E9B"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42AB13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4DC795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927147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B47B16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86D9668"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F2FF36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D99147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4B35B4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FC2375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FA4D3BF" w14:textId="77777777">
        <w:tc>
          <w:tcPr>
            <w:tcW w:w="3349" w:type="dxa"/>
          </w:tcPr>
          <w:p w14:paraId="670FD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ХАБ-500-350</w:t>
            </w:r>
          </w:p>
        </w:tc>
        <w:tc>
          <w:tcPr>
            <w:tcW w:w="964" w:type="dxa"/>
          </w:tcPr>
          <w:p w14:paraId="656B38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4825</w:t>
            </w:r>
          </w:p>
        </w:tc>
        <w:tc>
          <w:tcPr>
            <w:tcW w:w="964" w:type="dxa"/>
          </w:tcPr>
          <w:p w14:paraId="5D69BF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3105</w:t>
            </w:r>
          </w:p>
        </w:tc>
        <w:tc>
          <w:tcPr>
            <w:tcW w:w="745" w:type="dxa"/>
          </w:tcPr>
          <w:p w14:paraId="3CE57B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25900</w:t>
            </w:r>
          </w:p>
        </w:tc>
        <w:tc>
          <w:tcPr>
            <w:tcW w:w="613" w:type="dxa"/>
          </w:tcPr>
          <w:p w14:paraId="4ACD43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20449</w:t>
            </w:r>
          </w:p>
        </w:tc>
        <w:tc>
          <w:tcPr>
            <w:tcW w:w="345" w:type="dxa"/>
          </w:tcPr>
          <w:p w14:paraId="3FB373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16970</w:t>
            </w:r>
          </w:p>
        </w:tc>
        <w:tc>
          <w:tcPr>
            <w:tcW w:w="345" w:type="dxa"/>
          </w:tcPr>
          <w:p w14:paraId="6263BD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23725</w:t>
            </w:r>
          </w:p>
        </w:tc>
        <w:tc>
          <w:tcPr>
            <w:tcW w:w="345" w:type="dxa"/>
          </w:tcPr>
          <w:p w14:paraId="2773B2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5500</w:t>
            </w:r>
          </w:p>
        </w:tc>
        <w:tc>
          <w:tcPr>
            <w:tcW w:w="345" w:type="dxa"/>
          </w:tcPr>
          <w:p w14:paraId="1C9DC3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7005</w:t>
            </w:r>
          </w:p>
        </w:tc>
        <w:tc>
          <w:tcPr>
            <w:tcW w:w="302" w:type="dxa"/>
          </w:tcPr>
          <w:p w14:paraId="6B59258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6008DD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E4F6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53195</w:t>
            </w:r>
          </w:p>
        </w:tc>
        <w:tc>
          <w:tcPr>
            <w:tcW w:w="345" w:type="dxa"/>
          </w:tcPr>
          <w:p w14:paraId="781243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54284</w:t>
            </w:r>
          </w:p>
        </w:tc>
      </w:tr>
      <w:tr w:rsidR="00561F31" w:rsidRPr="00F90EAE" w14:paraId="766CF734" w14:textId="77777777">
        <w:tc>
          <w:tcPr>
            <w:tcW w:w="3349" w:type="dxa"/>
          </w:tcPr>
          <w:p w14:paraId="215C3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ХАБ-250-200</w:t>
            </w:r>
          </w:p>
        </w:tc>
        <w:tc>
          <w:tcPr>
            <w:tcW w:w="964" w:type="dxa"/>
          </w:tcPr>
          <w:p w14:paraId="692182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22000</w:t>
            </w:r>
          </w:p>
        </w:tc>
        <w:tc>
          <w:tcPr>
            <w:tcW w:w="964" w:type="dxa"/>
          </w:tcPr>
          <w:p w14:paraId="458DC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14198</w:t>
            </w:r>
          </w:p>
        </w:tc>
        <w:tc>
          <w:tcPr>
            <w:tcW w:w="745" w:type="dxa"/>
          </w:tcPr>
          <w:p w14:paraId="6B5A89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40710</w:t>
            </w:r>
          </w:p>
        </w:tc>
        <w:tc>
          <w:tcPr>
            <w:tcW w:w="613" w:type="dxa"/>
          </w:tcPr>
          <w:p w14:paraId="0B6245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21048</w:t>
            </w:r>
          </w:p>
        </w:tc>
        <w:tc>
          <w:tcPr>
            <w:tcW w:w="345" w:type="dxa"/>
          </w:tcPr>
          <w:p w14:paraId="540716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27815</w:t>
            </w:r>
          </w:p>
        </w:tc>
        <w:tc>
          <w:tcPr>
            <w:tcW w:w="345" w:type="dxa"/>
          </w:tcPr>
          <w:p w14:paraId="2EF6B7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35902</w:t>
            </w:r>
          </w:p>
        </w:tc>
        <w:tc>
          <w:tcPr>
            <w:tcW w:w="345" w:type="dxa"/>
          </w:tcPr>
          <w:p w14:paraId="49F3B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345" w:type="dxa"/>
          </w:tcPr>
          <w:p w14:paraId="24D7DA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23520</w:t>
            </w:r>
          </w:p>
        </w:tc>
        <w:tc>
          <w:tcPr>
            <w:tcW w:w="302" w:type="dxa"/>
          </w:tcPr>
          <w:p w14:paraId="07F4AE9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0DAF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923</w:t>
            </w:r>
          </w:p>
        </w:tc>
        <w:tc>
          <w:tcPr>
            <w:tcW w:w="345" w:type="dxa"/>
          </w:tcPr>
          <w:p w14:paraId="7BCE8E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97725</w:t>
            </w:r>
          </w:p>
        </w:tc>
        <w:tc>
          <w:tcPr>
            <w:tcW w:w="345" w:type="dxa"/>
          </w:tcPr>
          <w:p w14:paraId="3E44F4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95591</w:t>
            </w:r>
          </w:p>
        </w:tc>
      </w:tr>
      <w:tr w:rsidR="00561F31" w:rsidRPr="00F90EAE" w14:paraId="59CEAFAE" w14:textId="77777777">
        <w:tc>
          <w:tcPr>
            <w:tcW w:w="3349" w:type="dxa"/>
          </w:tcPr>
          <w:p w14:paraId="4D5487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ХАБ-100-80</w:t>
            </w:r>
          </w:p>
        </w:tc>
        <w:tc>
          <w:tcPr>
            <w:tcW w:w="964" w:type="dxa"/>
          </w:tcPr>
          <w:p w14:paraId="3ED436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91610</w:t>
            </w:r>
          </w:p>
        </w:tc>
        <w:tc>
          <w:tcPr>
            <w:tcW w:w="964" w:type="dxa"/>
          </w:tcPr>
          <w:p w14:paraId="6E3F81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26822</w:t>
            </w:r>
          </w:p>
        </w:tc>
        <w:tc>
          <w:tcPr>
            <w:tcW w:w="745" w:type="dxa"/>
          </w:tcPr>
          <w:p w14:paraId="15642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115050</w:t>
            </w:r>
          </w:p>
        </w:tc>
        <w:tc>
          <w:tcPr>
            <w:tcW w:w="613" w:type="dxa"/>
          </w:tcPr>
          <w:p w14:paraId="3D4EAF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49949</w:t>
            </w:r>
          </w:p>
        </w:tc>
        <w:tc>
          <w:tcPr>
            <w:tcW w:w="345" w:type="dxa"/>
          </w:tcPr>
          <w:p w14:paraId="0EA83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63860</w:t>
            </w:r>
          </w:p>
        </w:tc>
        <w:tc>
          <w:tcPr>
            <w:tcW w:w="345" w:type="dxa"/>
          </w:tcPr>
          <w:p w14:paraId="65C9D2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82805</w:t>
            </w:r>
          </w:p>
        </w:tc>
        <w:tc>
          <w:tcPr>
            <w:tcW w:w="345" w:type="dxa"/>
          </w:tcPr>
          <w:p w14:paraId="0AA187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33600</w:t>
            </w:r>
          </w:p>
        </w:tc>
        <w:tc>
          <w:tcPr>
            <w:tcW w:w="345" w:type="dxa"/>
          </w:tcPr>
          <w:p w14:paraId="71E101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34311</w:t>
            </w:r>
          </w:p>
        </w:tc>
        <w:tc>
          <w:tcPr>
            <w:tcW w:w="302" w:type="dxa"/>
          </w:tcPr>
          <w:p w14:paraId="600B18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1470</w:t>
            </w:r>
          </w:p>
        </w:tc>
        <w:tc>
          <w:tcPr>
            <w:tcW w:w="345" w:type="dxa"/>
          </w:tcPr>
          <w:p w14:paraId="24A5A2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1680</w:t>
            </w:r>
          </w:p>
        </w:tc>
        <w:tc>
          <w:tcPr>
            <w:tcW w:w="345" w:type="dxa"/>
          </w:tcPr>
          <w:p w14:paraId="01665F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305590</w:t>
            </w:r>
          </w:p>
        </w:tc>
        <w:tc>
          <w:tcPr>
            <w:tcW w:w="345" w:type="dxa"/>
          </w:tcPr>
          <w:p w14:paraId="4F6B13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195567</w:t>
            </w:r>
          </w:p>
        </w:tc>
      </w:tr>
      <w:tr w:rsidR="00561F31" w:rsidRPr="00F90EAE" w14:paraId="28632B61" w14:textId="77777777">
        <w:tc>
          <w:tcPr>
            <w:tcW w:w="3349" w:type="dxa"/>
          </w:tcPr>
          <w:p w14:paraId="693690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ХАБ-25</w:t>
            </w:r>
          </w:p>
        </w:tc>
        <w:tc>
          <w:tcPr>
            <w:tcW w:w="964" w:type="dxa"/>
          </w:tcPr>
          <w:p w14:paraId="6D4B0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35000</w:t>
            </w:r>
          </w:p>
        </w:tc>
        <w:tc>
          <w:tcPr>
            <w:tcW w:w="964" w:type="dxa"/>
          </w:tcPr>
          <w:p w14:paraId="728B72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32442</w:t>
            </w:r>
          </w:p>
        </w:tc>
        <w:tc>
          <w:tcPr>
            <w:tcW w:w="745" w:type="dxa"/>
          </w:tcPr>
          <w:p w14:paraId="6AAEE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35000</w:t>
            </w:r>
          </w:p>
        </w:tc>
        <w:tc>
          <w:tcPr>
            <w:tcW w:w="613" w:type="dxa"/>
          </w:tcPr>
          <w:p w14:paraId="51D463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43000</w:t>
            </w:r>
          </w:p>
        </w:tc>
        <w:tc>
          <w:tcPr>
            <w:tcW w:w="345" w:type="dxa"/>
          </w:tcPr>
          <w:p w14:paraId="5BEE776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6670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345" w:type="dxa"/>
          </w:tcPr>
          <w:p w14:paraId="194444B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B0D6BE9"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7CF1A96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DFCB3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2650</w:t>
            </w:r>
          </w:p>
        </w:tc>
        <w:tc>
          <w:tcPr>
            <w:tcW w:w="345" w:type="dxa"/>
          </w:tcPr>
          <w:p w14:paraId="4284E2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70000</w:t>
            </w:r>
          </w:p>
        </w:tc>
        <w:tc>
          <w:tcPr>
            <w:tcW w:w="345" w:type="dxa"/>
          </w:tcPr>
          <w:p w14:paraId="7EEEC0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82092</w:t>
            </w:r>
          </w:p>
        </w:tc>
      </w:tr>
      <w:tr w:rsidR="00561F31" w:rsidRPr="00F90EAE" w14:paraId="02C13E7A" w14:textId="77777777">
        <w:tc>
          <w:tcPr>
            <w:tcW w:w="3349" w:type="dxa"/>
          </w:tcPr>
          <w:p w14:paraId="7F840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ДАБ-100-80</w:t>
            </w:r>
          </w:p>
        </w:tc>
        <w:tc>
          <w:tcPr>
            <w:tcW w:w="964" w:type="dxa"/>
          </w:tcPr>
          <w:p w14:paraId="068448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64" w:type="dxa"/>
          </w:tcPr>
          <w:p w14:paraId="1BE26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1930</w:t>
            </w:r>
          </w:p>
        </w:tc>
        <w:tc>
          <w:tcPr>
            <w:tcW w:w="745" w:type="dxa"/>
          </w:tcPr>
          <w:p w14:paraId="573A89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1915</w:t>
            </w:r>
          </w:p>
        </w:tc>
        <w:tc>
          <w:tcPr>
            <w:tcW w:w="613" w:type="dxa"/>
          </w:tcPr>
          <w:p w14:paraId="7BBF31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2070</w:t>
            </w:r>
          </w:p>
        </w:tc>
        <w:tc>
          <w:tcPr>
            <w:tcW w:w="345" w:type="dxa"/>
          </w:tcPr>
          <w:p w14:paraId="70E14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6750</w:t>
            </w:r>
          </w:p>
        </w:tc>
        <w:tc>
          <w:tcPr>
            <w:tcW w:w="345" w:type="dxa"/>
          </w:tcPr>
          <w:p w14:paraId="0D40FE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7756</w:t>
            </w:r>
          </w:p>
        </w:tc>
        <w:tc>
          <w:tcPr>
            <w:tcW w:w="345" w:type="dxa"/>
          </w:tcPr>
          <w:p w14:paraId="1182AD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11700</w:t>
            </w:r>
          </w:p>
        </w:tc>
        <w:tc>
          <w:tcPr>
            <w:tcW w:w="345" w:type="dxa"/>
          </w:tcPr>
          <w:p w14:paraId="5D4FFB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15028</w:t>
            </w:r>
          </w:p>
        </w:tc>
        <w:tc>
          <w:tcPr>
            <w:tcW w:w="302" w:type="dxa"/>
          </w:tcPr>
          <w:p w14:paraId="606602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7200</w:t>
            </w:r>
          </w:p>
        </w:tc>
        <w:tc>
          <w:tcPr>
            <w:tcW w:w="345" w:type="dxa"/>
          </w:tcPr>
          <w:p w14:paraId="4489B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7160</w:t>
            </w:r>
          </w:p>
        </w:tc>
        <w:tc>
          <w:tcPr>
            <w:tcW w:w="345" w:type="dxa"/>
          </w:tcPr>
          <w:p w14:paraId="71B26B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28565</w:t>
            </w:r>
          </w:p>
        </w:tc>
        <w:tc>
          <w:tcPr>
            <w:tcW w:w="345" w:type="dxa"/>
          </w:tcPr>
          <w:p w14:paraId="64CC0A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33944</w:t>
            </w:r>
          </w:p>
        </w:tc>
      </w:tr>
      <w:tr w:rsidR="00561F31" w:rsidRPr="00F90EAE" w14:paraId="5DBC912E" w14:textId="77777777">
        <w:tc>
          <w:tcPr>
            <w:tcW w:w="3349" w:type="dxa"/>
          </w:tcPr>
          <w:p w14:paraId="4A867C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 штук</w:t>
            </w:r>
          </w:p>
        </w:tc>
        <w:tc>
          <w:tcPr>
            <w:tcW w:w="964" w:type="dxa"/>
          </w:tcPr>
          <w:p w14:paraId="245C6A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154435</w:t>
            </w:r>
          </w:p>
        </w:tc>
        <w:tc>
          <w:tcPr>
            <w:tcW w:w="964" w:type="dxa"/>
          </w:tcPr>
          <w:p w14:paraId="0863F7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78497</w:t>
            </w:r>
          </w:p>
        </w:tc>
        <w:tc>
          <w:tcPr>
            <w:tcW w:w="745" w:type="dxa"/>
          </w:tcPr>
          <w:p w14:paraId="7E08BE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218575</w:t>
            </w:r>
          </w:p>
        </w:tc>
        <w:tc>
          <w:tcPr>
            <w:tcW w:w="613" w:type="dxa"/>
          </w:tcPr>
          <w:p w14:paraId="3070E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136516</w:t>
            </w:r>
          </w:p>
        </w:tc>
        <w:tc>
          <w:tcPr>
            <w:tcW w:w="345" w:type="dxa"/>
          </w:tcPr>
          <w:p w14:paraId="77370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115395</w:t>
            </w:r>
          </w:p>
        </w:tc>
        <w:tc>
          <w:tcPr>
            <w:tcW w:w="345" w:type="dxa"/>
          </w:tcPr>
          <w:p w14:paraId="1561D0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154188</w:t>
            </w:r>
          </w:p>
        </w:tc>
        <w:tc>
          <w:tcPr>
            <w:tcW w:w="345" w:type="dxa"/>
          </w:tcPr>
          <w:p w14:paraId="64771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58000</w:t>
            </w:r>
          </w:p>
        </w:tc>
        <w:tc>
          <w:tcPr>
            <w:tcW w:w="345" w:type="dxa"/>
          </w:tcPr>
          <w:p w14:paraId="48C3BE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79864</w:t>
            </w:r>
          </w:p>
        </w:tc>
        <w:tc>
          <w:tcPr>
            <w:tcW w:w="302" w:type="dxa"/>
          </w:tcPr>
          <w:p w14:paraId="1860BD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8670</w:t>
            </w:r>
          </w:p>
        </w:tc>
        <w:tc>
          <w:tcPr>
            <w:tcW w:w="345" w:type="dxa"/>
          </w:tcPr>
          <w:p w14:paraId="524CA0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12413</w:t>
            </w:r>
          </w:p>
        </w:tc>
        <w:tc>
          <w:tcPr>
            <w:tcW w:w="345" w:type="dxa"/>
          </w:tcPr>
          <w:p w14:paraId="60C57F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555075</w:t>
            </w:r>
          </w:p>
        </w:tc>
        <w:tc>
          <w:tcPr>
            <w:tcW w:w="345" w:type="dxa"/>
          </w:tcPr>
          <w:p w14:paraId="13C3E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461478</w:t>
            </w:r>
          </w:p>
        </w:tc>
      </w:tr>
      <w:tr w:rsidR="00561F31" w:rsidRPr="00F90EAE" w14:paraId="2EB8A13C" w14:textId="77777777">
        <w:tc>
          <w:tcPr>
            <w:tcW w:w="3349" w:type="dxa"/>
          </w:tcPr>
          <w:p w14:paraId="261A8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61E70C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14273</w:t>
            </w:r>
          </w:p>
        </w:tc>
        <w:tc>
          <w:tcPr>
            <w:tcW w:w="964" w:type="dxa"/>
          </w:tcPr>
          <w:p w14:paraId="77C449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7038</w:t>
            </w:r>
          </w:p>
        </w:tc>
        <w:tc>
          <w:tcPr>
            <w:tcW w:w="745" w:type="dxa"/>
          </w:tcPr>
          <w:p w14:paraId="40464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27439</w:t>
            </w:r>
          </w:p>
        </w:tc>
        <w:tc>
          <w:tcPr>
            <w:tcW w:w="613" w:type="dxa"/>
          </w:tcPr>
          <w:p w14:paraId="63625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16604</w:t>
            </w:r>
          </w:p>
        </w:tc>
        <w:tc>
          <w:tcPr>
            <w:tcW w:w="345" w:type="dxa"/>
          </w:tcPr>
          <w:p w14:paraId="4EB085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17152</w:t>
            </w:r>
          </w:p>
        </w:tc>
        <w:tc>
          <w:tcPr>
            <w:tcW w:w="345" w:type="dxa"/>
          </w:tcPr>
          <w:p w14:paraId="65117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22828</w:t>
            </w:r>
          </w:p>
        </w:tc>
        <w:tc>
          <w:tcPr>
            <w:tcW w:w="345" w:type="dxa"/>
          </w:tcPr>
          <w:p w14:paraId="6908BD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6989</w:t>
            </w:r>
          </w:p>
        </w:tc>
        <w:tc>
          <w:tcPr>
            <w:tcW w:w="345" w:type="dxa"/>
          </w:tcPr>
          <w:p w14:paraId="0F603A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11103</w:t>
            </w:r>
          </w:p>
        </w:tc>
        <w:tc>
          <w:tcPr>
            <w:tcW w:w="302" w:type="dxa"/>
          </w:tcPr>
          <w:p w14:paraId="79A6D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w:t>
            </w:r>
          </w:p>
        </w:tc>
        <w:tc>
          <w:tcPr>
            <w:tcW w:w="345" w:type="dxa"/>
          </w:tcPr>
          <w:p w14:paraId="1121D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958</w:t>
            </w:r>
          </w:p>
        </w:tc>
        <w:tc>
          <w:tcPr>
            <w:tcW w:w="345" w:type="dxa"/>
          </w:tcPr>
          <w:p w14:paraId="5B4004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66547</w:t>
            </w:r>
          </w:p>
        </w:tc>
        <w:tc>
          <w:tcPr>
            <w:tcW w:w="345" w:type="dxa"/>
          </w:tcPr>
          <w:p w14:paraId="4200A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58531</w:t>
            </w:r>
          </w:p>
        </w:tc>
      </w:tr>
      <w:tr w:rsidR="00561F31" w:rsidRPr="00F90EAE" w14:paraId="32DD3ECB" w14:textId="77777777">
        <w:tc>
          <w:tcPr>
            <w:tcW w:w="3349" w:type="dxa"/>
          </w:tcPr>
          <w:p w14:paraId="7C0E42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штук</w:t>
            </w:r>
          </w:p>
        </w:tc>
        <w:tc>
          <w:tcPr>
            <w:tcW w:w="964" w:type="dxa"/>
          </w:tcPr>
          <w:p w14:paraId="4A22C1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16811836</w:t>
            </w:r>
          </w:p>
        </w:tc>
        <w:tc>
          <w:tcPr>
            <w:tcW w:w="964" w:type="dxa"/>
          </w:tcPr>
          <w:p w14:paraId="32717C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14269895</w:t>
            </w:r>
          </w:p>
        </w:tc>
        <w:tc>
          <w:tcPr>
            <w:tcW w:w="745" w:type="dxa"/>
          </w:tcPr>
          <w:p w14:paraId="46B13A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5150750</w:t>
            </w:r>
          </w:p>
        </w:tc>
        <w:tc>
          <w:tcPr>
            <w:tcW w:w="613" w:type="dxa"/>
          </w:tcPr>
          <w:p w14:paraId="181255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5469918</w:t>
            </w:r>
          </w:p>
        </w:tc>
        <w:tc>
          <w:tcPr>
            <w:tcW w:w="345" w:type="dxa"/>
          </w:tcPr>
          <w:p w14:paraId="1265DD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10163750</w:t>
            </w:r>
          </w:p>
        </w:tc>
        <w:tc>
          <w:tcPr>
            <w:tcW w:w="345" w:type="dxa"/>
          </w:tcPr>
          <w:p w14:paraId="68EE2E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10486832</w:t>
            </w:r>
          </w:p>
        </w:tc>
        <w:tc>
          <w:tcPr>
            <w:tcW w:w="345" w:type="dxa"/>
          </w:tcPr>
          <w:p w14:paraId="147F3E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10082890</w:t>
            </w:r>
          </w:p>
        </w:tc>
        <w:tc>
          <w:tcPr>
            <w:tcW w:w="345" w:type="dxa"/>
          </w:tcPr>
          <w:p w14:paraId="707CB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10412492</w:t>
            </w:r>
          </w:p>
        </w:tc>
        <w:tc>
          <w:tcPr>
            <w:tcW w:w="302" w:type="dxa"/>
          </w:tcPr>
          <w:p w14:paraId="7C7B37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3541755</w:t>
            </w:r>
          </w:p>
        </w:tc>
        <w:tc>
          <w:tcPr>
            <w:tcW w:w="345" w:type="dxa"/>
          </w:tcPr>
          <w:p w14:paraId="1E0F88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3245111</w:t>
            </w:r>
          </w:p>
        </w:tc>
        <w:tc>
          <w:tcPr>
            <w:tcW w:w="345" w:type="dxa"/>
          </w:tcPr>
          <w:p w14:paraId="54E219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45750981</w:t>
            </w:r>
          </w:p>
        </w:tc>
        <w:tc>
          <w:tcPr>
            <w:tcW w:w="345" w:type="dxa"/>
          </w:tcPr>
          <w:p w14:paraId="00FE3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43884248</w:t>
            </w:r>
          </w:p>
        </w:tc>
      </w:tr>
      <w:tr w:rsidR="00561F31" w:rsidRPr="00F90EAE" w14:paraId="3756193A" w14:textId="77777777">
        <w:tc>
          <w:tcPr>
            <w:tcW w:w="3349" w:type="dxa"/>
          </w:tcPr>
          <w:p w14:paraId="6CBEC4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тонн</w:t>
            </w:r>
          </w:p>
        </w:tc>
        <w:tc>
          <w:tcPr>
            <w:tcW w:w="964" w:type="dxa"/>
          </w:tcPr>
          <w:p w14:paraId="6D8F82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713623</w:t>
            </w:r>
          </w:p>
        </w:tc>
        <w:tc>
          <w:tcPr>
            <w:tcW w:w="964" w:type="dxa"/>
          </w:tcPr>
          <w:p w14:paraId="358BBB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482341</w:t>
            </w:r>
          </w:p>
        </w:tc>
        <w:tc>
          <w:tcPr>
            <w:tcW w:w="745" w:type="dxa"/>
          </w:tcPr>
          <w:p w14:paraId="4CB2B1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196971</w:t>
            </w:r>
          </w:p>
        </w:tc>
        <w:tc>
          <w:tcPr>
            <w:tcW w:w="613" w:type="dxa"/>
          </w:tcPr>
          <w:p w14:paraId="7E43E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166492</w:t>
            </w:r>
          </w:p>
        </w:tc>
        <w:tc>
          <w:tcPr>
            <w:tcW w:w="345" w:type="dxa"/>
          </w:tcPr>
          <w:p w14:paraId="0DC4D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263969</w:t>
            </w:r>
          </w:p>
        </w:tc>
        <w:tc>
          <w:tcPr>
            <w:tcW w:w="345" w:type="dxa"/>
          </w:tcPr>
          <w:p w14:paraId="52FB2D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244273</w:t>
            </w:r>
          </w:p>
        </w:tc>
        <w:tc>
          <w:tcPr>
            <w:tcW w:w="345" w:type="dxa"/>
          </w:tcPr>
          <w:p w14:paraId="090606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256972</w:t>
            </w:r>
          </w:p>
        </w:tc>
        <w:tc>
          <w:tcPr>
            <w:tcW w:w="345" w:type="dxa"/>
          </w:tcPr>
          <w:p w14:paraId="4721A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274846</w:t>
            </w:r>
          </w:p>
        </w:tc>
        <w:tc>
          <w:tcPr>
            <w:tcW w:w="302" w:type="dxa"/>
          </w:tcPr>
          <w:p w14:paraId="71A57B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66699</w:t>
            </w:r>
          </w:p>
        </w:tc>
        <w:tc>
          <w:tcPr>
            <w:tcW w:w="345" w:type="dxa"/>
          </w:tcPr>
          <w:p w14:paraId="747A81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68514</w:t>
            </w:r>
          </w:p>
        </w:tc>
        <w:tc>
          <w:tcPr>
            <w:tcW w:w="345" w:type="dxa"/>
          </w:tcPr>
          <w:p w14:paraId="1AD114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1498234</w:t>
            </w:r>
          </w:p>
        </w:tc>
        <w:tc>
          <w:tcPr>
            <w:tcW w:w="345" w:type="dxa"/>
          </w:tcPr>
          <w:p w14:paraId="61FCB9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1236466</w:t>
            </w:r>
          </w:p>
        </w:tc>
      </w:tr>
      <w:tr w:rsidR="00561F31" w:rsidRPr="00F90EAE" w14:paraId="10A3CC4E" w14:textId="77777777">
        <w:tc>
          <w:tcPr>
            <w:tcW w:w="3349" w:type="dxa"/>
          </w:tcPr>
          <w:p w14:paraId="7D128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Практические</w:t>
            </w:r>
          </w:p>
        </w:tc>
        <w:tc>
          <w:tcPr>
            <w:tcW w:w="964" w:type="dxa"/>
          </w:tcPr>
          <w:p w14:paraId="4ABC2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1798500</w:t>
            </w:r>
          </w:p>
        </w:tc>
        <w:tc>
          <w:tcPr>
            <w:tcW w:w="964" w:type="dxa"/>
          </w:tcPr>
          <w:p w14:paraId="2FD57D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1192270</w:t>
            </w:r>
          </w:p>
        </w:tc>
        <w:tc>
          <w:tcPr>
            <w:tcW w:w="745" w:type="dxa"/>
          </w:tcPr>
          <w:p w14:paraId="2C2E9D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958900</w:t>
            </w:r>
          </w:p>
        </w:tc>
        <w:tc>
          <w:tcPr>
            <w:tcW w:w="613" w:type="dxa"/>
          </w:tcPr>
          <w:p w14:paraId="136E65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368750</w:t>
            </w:r>
          </w:p>
        </w:tc>
        <w:tc>
          <w:tcPr>
            <w:tcW w:w="345" w:type="dxa"/>
          </w:tcPr>
          <w:p w14:paraId="0D2EDF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1341900</w:t>
            </w:r>
          </w:p>
        </w:tc>
        <w:tc>
          <w:tcPr>
            <w:tcW w:w="345" w:type="dxa"/>
          </w:tcPr>
          <w:p w14:paraId="5A5170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767368</w:t>
            </w:r>
          </w:p>
        </w:tc>
        <w:tc>
          <w:tcPr>
            <w:tcW w:w="345" w:type="dxa"/>
          </w:tcPr>
          <w:p w14:paraId="014B0E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1148250</w:t>
            </w:r>
          </w:p>
        </w:tc>
        <w:tc>
          <w:tcPr>
            <w:tcW w:w="345" w:type="dxa"/>
          </w:tcPr>
          <w:p w14:paraId="37773B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928506</w:t>
            </w:r>
          </w:p>
        </w:tc>
        <w:tc>
          <w:tcPr>
            <w:tcW w:w="302" w:type="dxa"/>
          </w:tcPr>
          <w:p w14:paraId="741F89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749750</w:t>
            </w:r>
          </w:p>
        </w:tc>
        <w:tc>
          <w:tcPr>
            <w:tcW w:w="345" w:type="dxa"/>
          </w:tcPr>
          <w:p w14:paraId="78F0AD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541789</w:t>
            </w:r>
          </w:p>
        </w:tc>
        <w:tc>
          <w:tcPr>
            <w:tcW w:w="345" w:type="dxa"/>
          </w:tcPr>
          <w:p w14:paraId="44381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5997300</w:t>
            </w:r>
          </w:p>
        </w:tc>
        <w:tc>
          <w:tcPr>
            <w:tcW w:w="345" w:type="dxa"/>
          </w:tcPr>
          <w:p w14:paraId="35D6E8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3798683</w:t>
            </w:r>
          </w:p>
        </w:tc>
      </w:tr>
      <w:tr w:rsidR="00561F31" w:rsidRPr="00F90EAE" w14:paraId="434A67BC" w14:textId="77777777" w:rsidTr="00665165">
        <w:tc>
          <w:tcPr>
            <w:tcW w:w="3349" w:type="dxa"/>
            <w:gridSpan w:val="13"/>
          </w:tcPr>
          <w:p w14:paraId="76E17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 Специальные авиабоеприпасы (тыс.штук)</w:t>
            </w:r>
          </w:p>
        </w:tc>
      </w:tr>
      <w:tr w:rsidR="00561F31" w:rsidRPr="00F90EAE" w14:paraId="5F3F1969" w14:textId="77777777">
        <w:tc>
          <w:tcPr>
            <w:tcW w:w="3349" w:type="dxa"/>
          </w:tcPr>
          <w:p w14:paraId="187A79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РС-82</w:t>
            </w:r>
          </w:p>
        </w:tc>
        <w:tc>
          <w:tcPr>
            <w:tcW w:w="964" w:type="dxa"/>
          </w:tcPr>
          <w:p w14:paraId="2D950E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1876</w:t>
            </w:r>
          </w:p>
        </w:tc>
        <w:tc>
          <w:tcPr>
            <w:tcW w:w="964" w:type="dxa"/>
          </w:tcPr>
          <w:p w14:paraId="4A698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745" w:type="dxa"/>
          </w:tcPr>
          <w:p w14:paraId="4E30DFFE"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40DF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480</w:t>
            </w:r>
          </w:p>
        </w:tc>
        <w:tc>
          <w:tcPr>
            <w:tcW w:w="345" w:type="dxa"/>
          </w:tcPr>
          <w:p w14:paraId="6753ABE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FF795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427</w:t>
            </w:r>
          </w:p>
        </w:tc>
        <w:tc>
          <w:tcPr>
            <w:tcW w:w="345" w:type="dxa"/>
          </w:tcPr>
          <w:p w14:paraId="2840E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345" w:type="dxa"/>
          </w:tcPr>
          <w:p w14:paraId="5D50F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372</w:t>
            </w:r>
          </w:p>
        </w:tc>
        <w:tc>
          <w:tcPr>
            <w:tcW w:w="302" w:type="dxa"/>
          </w:tcPr>
          <w:p w14:paraId="06FED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w:t>
            </w:r>
          </w:p>
        </w:tc>
        <w:tc>
          <w:tcPr>
            <w:tcW w:w="345" w:type="dxa"/>
          </w:tcPr>
          <w:p w14:paraId="787EDB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w:t>
            </w:r>
          </w:p>
        </w:tc>
        <w:tc>
          <w:tcPr>
            <w:tcW w:w="345" w:type="dxa"/>
          </w:tcPr>
          <w:p w14:paraId="35C629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2112</w:t>
            </w:r>
          </w:p>
        </w:tc>
        <w:tc>
          <w:tcPr>
            <w:tcW w:w="345" w:type="dxa"/>
          </w:tcPr>
          <w:p w14:paraId="0E43EF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1692</w:t>
            </w:r>
          </w:p>
        </w:tc>
      </w:tr>
      <w:tr w:rsidR="00561F31" w:rsidRPr="00F90EAE" w14:paraId="738E56FE" w14:textId="77777777">
        <w:tc>
          <w:tcPr>
            <w:tcW w:w="3349" w:type="dxa"/>
          </w:tcPr>
          <w:p w14:paraId="12BEA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РС-132</w:t>
            </w:r>
          </w:p>
        </w:tc>
        <w:tc>
          <w:tcPr>
            <w:tcW w:w="964" w:type="dxa"/>
          </w:tcPr>
          <w:p w14:paraId="37399C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964" w:type="dxa"/>
          </w:tcPr>
          <w:p w14:paraId="383B79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745" w:type="dxa"/>
          </w:tcPr>
          <w:p w14:paraId="5CAA4A01"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0BE5F4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345" w:type="dxa"/>
          </w:tcPr>
          <w:p w14:paraId="0FF2563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EE2F45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3C59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w:t>
            </w:r>
          </w:p>
        </w:tc>
        <w:tc>
          <w:tcPr>
            <w:tcW w:w="345" w:type="dxa"/>
          </w:tcPr>
          <w:p w14:paraId="0E973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109</w:t>
            </w:r>
          </w:p>
        </w:tc>
        <w:tc>
          <w:tcPr>
            <w:tcW w:w="302" w:type="dxa"/>
          </w:tcPr>
          <w:p w14:paraId="5A81E5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345" w:type="dxa"/>
          </w:tcPr>
          <w:p w14:paraId="44580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345" w:type="dxa"/>
          </w:tcPr>
          <w:p w14:paraId="7FE8A6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329</w:t>
            </w:r>
          </w:p>
        </w:tc>
        <w:tc>
          <w:tcPr>
            <w:tcW w:w="345" w:type="dxa"/>
          </w:tcPr>
          <w:p w14:paraId="1B4650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r>
      <w:tr w:rsidR="00561F31" w:rsidRPr="00F90EAE" w14:paraId="36E93A11" w14:textId="77777777">
        <w:tc>
          <w:tcPr>
            <w:tcW w:w="3349" w:type="dxa"/>
          </w:tcPr>
          <w:p w14:paraId="36AC39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АГ-2</w:t>
            </w:r>
          </w:p>
        </w:tc>
        <w:tc>
          <w:tcPr>
            <w:tcW w:w="964" w:type="dxa"/>
          </w:tcPr>
          <w:p w14:paraId="08297414"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3956D52B"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533CAB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613" w:type="dxa"/>
          </w:tcPr>
          <w:p w14:paraId="5988BE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6DFB4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362</w:t>
            </w:r>
          </w:p>
        </w:tc>
        <w:tc>
          <w:tcPr>
            <w:tcW w:w="345" w:type="dxa"/>
          </w:tcPr>
          <w:p w14:paraId="5C2E6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345" w:type="dxa"/>
          </w:tcPr>
          <w:p w14:paraId="7B34CE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w:t>
            </w:r>
          </w:p>
        </w:tc>
        <w:tc>
          <w:tcPr>
            <w:tcW w:w="345" w:type="dxa"/>
          </w:tcPr>
          <w:p w14:paraId="33D05D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302" w:type="dxa"/>
          </w:tcPr>
          <w:p w14:paraId="5B9811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345" w:type="dxa"/>
          </w:tcPr>
          <w:p w14:paraId="73E5A8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345" w:type="dxa"/>
          </w:tcPr>
          <w:p w14:paraId="4C76BB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798</w:t>
            </w:r>
          </w:p>
        </w:tc>
        <w:tc>
          <w:tcPr>
            <w:tcW w:w="345" w:type="dxa"/>
          </w:tcPr>
          <w:p w14:paraId="02169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325</w:t>
            </w:r>
          </w:p>
        </w:tc>
      </w:tr>
      <w:tr w:rsidR="00561F31" w:rsidRPr="00F90EAE" w14:paraId="3198991E" w14:textId="77777777">
        <w:tc>
          <w:tcPr>
            <w:tcW w:w="3349" w:type="dxa"/>
          </w:tcPr>
          <w:p w14:paraId="2C657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ПР-4</w:t>
            </w:r>
          </w:p>
        </w:tc>
        <w:tc>
          <w:tcPr>
            <w:tcW w:w="964" w:type="dxa"/>
          </w:tcPr>
          <w:p w14:paraId="4BF3978B"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5B097A20"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159EF4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613" w:type="dxa"/>
          </w:tcPr>
          <w:p w14:paraId="0E09E7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2D068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345" w:type="dxa"/>
          </w:tcPr>
          <w:p w14:paraId="6D944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345" w:type="dxa"/>
          </w:tcPr>
          <w:p w14:paraId="6B6833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345" w:type="dxa"/>
          </w:tcPr>
          <w:p w14:paraId="1790F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302" w:type="dxa"/>
          </w:tcPr>
          <w:p w14:paraId="2EAEBC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006FC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45" w:type="dxa"/>
          </w:tcPr>
          <w:p w14:paraId="5ACB09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w:t>
            </w:r>
          </w:p>
        </w:tc>
        <w:tc>
          <w:tcPr>
            <w:tcW w:w="345" w:type="dxa"/>
          </w:tcPr>
          <w:p w14:paraId="3A2ED4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w:t>
            </w:r>
          </w:p>
        </w:tc>
      </w:tr>
      <w:tr w:rsidR="00561F31" w:rsidRPr="00F90EAE" w14:paraId="135A6322" w14:textId="77777777">
        <w:tc>
          <w:tcPr>
            <w:tcW w:w="3349" w:type="dxa"/>
          </w:tcPr>
          <w:p w14:paraId="4636D1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ПР-8</w:t>
            </w:r>
          </w:p>
        </w:tc>
        <w:tc>
          <w:tcPr>
            <w:tcW w:w="964" w:type="dxa"/>
          </w:tcPr>
          <w:p w14:paraId="401DED71"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572ADFF1"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22DDFC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613" w:type="dxa"/>
          </w:tcPr>
          <w:p w14:paraId="393A7BB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3A99F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345" w:type="dxa"/>
          </w:tcPr>
          <w:p w14:paraId="6D6396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345" w:type="dxa"/>
          </w:tcPr>
          <w:p w14:paraId="2087B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345" w:type="dxa"/>
          </w:tcPr>
          <w:p w14:paraId="11E4D3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302" w:type="dxa"/>
          </w:tcPr>
          <w:p w14:paraId="129281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345" w:type="dxa"/>
          </w:tcPr>
          <w:p w14:paraId="196FDE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73A73C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w:t>
            </w:r>
          </w:p>
        </w:tc>
        <w:tc>
          <w:tcPr>
            <w:tcW w:w="345" w:type="dxa"/>
          </w:tcPr>
          <w:p w14:paraId="71CE53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w:t>
            </w:r>
          </w:p>
        </w:tc>
      </w:tr>
      <w:tr w:rsidR="00561F31" w:rsidRPr="00F90EAE" w14:paraId="55831F91" w14:textId="77777777">
        <w:tc>
          <w:tcPr>
            <w:tcW w:w="3349" w:type="dxa"/>
          </w:tcPr>
          <w:p w14:paraId="0D99CB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РРАБ-2</w:t>
            </w:r>
          </w:p>
        </w:tc>
        <w:tc>
          <w:tcPr>
            <w:tcW w:w="964" w:type="dxa"/>
          </w:tcPr>
          <w:p w14:paraId="601602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964" w:type="dxa"/>
          </w:tcPr>
          <w:p w14:paraId="475F5D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745" w:type="dxa"/>
          </w:tcPr>
          <w:p w14:paraId="3082C074"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231DE31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C9E48C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F5B603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F883C3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879B51C"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0025CB7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4FA607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4540B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374B0E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3A789ECC" w14:textId="77777777">
        <w:tc>
          <w:tcPr>
            <w:tcW w:w="3349" w:type="dxa"/>
          </w:tcPr>
          <w:p w14:paraId="225EE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РРАБ-3</w:t>
            </w:r>
          </w:p>
        </w:tc>
        <w:tc>
          <w:tcPr>
            <w:tcW w:w="964" w:type="dxa"/>
          </w:tcPr>
          <w:p w14:paraId="2D2DE1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964" w:type="dxa"/>
          </w:tcPr>
          <w:p w14:paraId="542643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745" w:type="dxa"/>
          </w:tcPr>
          <w:p w14:paraId="5AE98F98"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4D368ED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1119E2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BEDEB4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168E9B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0DA541D"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12D9BF7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69222E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F51A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2B1AB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0224F610" w14:textId="77777777">
        <w:tc>
          <w:tcPr>
            <w:tcW w:w="3349" w:type="dxa"/>
          </w:tcPr>
          <w:p w14:paraId="4070CB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БАС-1</w:t>
            </w:r>
          </w:p>
        </w:tc>
        <w:tc>
          <w:tcPr>
            <w:tcW w:w="964" w:type="dxa"/>
          </w:tcPr>
          <w:p w14:paraId="42391433"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22C8CF2E"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0CC0E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613" w:type="dxa"/>
          </w:tcPr>
          <w:p w14:paraId="601F49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345" w:type="dxa"/>
          </w:tcPr>
          <w:p w14:paraId="2B660A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345" w:type="dxa"/>
          </w:tcPr>
          <w:p w14:paraId="049EA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345" w:type="dxa"/>
          </w:tcPr>
          <w:p w14:paraId="56279F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w:t>
            </w:r>
          </w:p>
        </w:tc>
        <w:tc>
          <w:tcPr>
            <w:tcW w:w="345" w:type="dxa"/>
          </w:tcPr>
          <w:p w14:paraId="490CBD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w:t>
            </w:r>
          </w:p>
        </w:tc>
        <w:tc>
          <w:tcPr>
            <w:tcW w:w="302" w:type="dxa"/>
          </w:tcPr>
          <w:p w14:paraId="08DBA2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6D07D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5FE8A1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168</w:t>
            </w:r>
          </w:p>
        </w:tc>
        <w:tc>
          <w:tcPr>
            <w:tcW w:w="345" w:type="dxa"/>
          </w:tcPr>
          <w:p w14:paraId="7A96B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w:t>
            </w:r>
          </w:p>
        </w:tc>
      </w:tr>
      <w:tr w:rsidR="00561F31" w:rsidRPr="00F90EAE" w14:paraId="4D02982A" w14:textId="77777777">
        <w:tc>
          <w:tcPr>
            <w:tcW w:w="3349" w:type="dxa"/>
          </w:tcPr>
          <w:p w14:paraId="5F0086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Агитбомбы</w:t>
            </w:r>
          </w:p>
        </w:tc>
        <w:tc>
          <w:tcPr>
            <w:tcW w:w="964" w:type="dxa"/>
          </w:tcPr>
          <w:p w14:paraId="324308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964" w:type="dxa"/>
          </w:tcPr>
          <w:p w14:paraId="50AFF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745" w:type="dxa"/>
          </w:tcPr>
          <w:p w14:paraId="09D302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613" w:type="dxa"/>
          </w:tcPr>
          <w:p w14:paraId="7F1471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4E4B474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8FB34F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82B68A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459C938"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1389564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6C032C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6687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345" w:type="dxa"/>
          </w:tcPr>
          <w:p w14:paraId="511927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r>
      <w:tr w:rsidR="00561F31" w:rsidRPr="00F90EAE" w14:paraId="0A474537" w14:textId="77777777">
        <w:tc>
          <w:tcPr>
            <w:tcW w:w="3349" w:type="dxa"/>
          </w:tcPr>
          <w:p w14:paraId="779450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АЖ-2</w:t>
            </w:r>
          </w:p>
        </w:tc>
        <w:tc>
          <w:tcPr>
            <w:tcW w:w="964" w:type="dxa"/>
          </w:tcPr>
          <w:p w14:paraId="0FE72F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970</w:t>
            </w:r>
          </w:p>
        </w:tc>
        <w:tc>
          <w:tcPr>
            <w:tcW w:w="964" w:type="dxa"/>
          </w:tcPr>
          <w:p w14:paraId="330B7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1324</w:t>
            </w:r>
          </w:p>
        </w:tc>
        <w:tc>
          <w:tcPr>
            <w:tcW w:w="745" w:type="dxa"/>
          </w:tcPr>
          <w:p w14:paraId="58ED93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3357</w:t>
            </w:r>
          </w:p>
        </w:tc>
        <w:tc>
          <w:tcPr>
            <w:tcW w:w="613" w:type="dxa"/>
          </w:tcPr>
          <w:p w14:paraId="2D3DB7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2216</w:t>
            </w:r>
          </w:p>
        </w:tc>
        <w:tc>
          <w:tcPr>
            <w:tcW w:w="345" w:type="dxa"/>
          </w:tcPr>
          <w:p w14:paraId="33C31E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3236</w:t>
            </w:r>
          </w:p>
        </w:tc>
        <w:tc>
          <w:tcPr>
            <w:tcW w:w="345" w:type="dxa"/>
          </w:tcPr>
          <w:p w14:paraId="5F7CD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2524</w:t>
            </w:r>
          </w:p>
        </w:tc>
        <w:tc>
          <w:tcPr>
            <w:tcW w:w="345" w:type="dxa"/>
          </w:tcPr>
          <w:p w14:paraId="532C6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1539</w:t>
            </w:r>
          </w:p>
        </w:tc>
        <w:tc>
          <w:tcPr>
            <w:tcW w:w="345" w:type="dxa"/>
          </w:tcPr>
          <w:p w14:paraId="695A66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1550</w:t>
            </w:r>
          </w:p>
        </w:tc>
        <w:tc>
          <w:tcPr>
            <w:tcW w:w="302" w:type="dxa"/>
          </w:tcPr>
          <w:p w14:paraId="4C230AF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7687E1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EB95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9102</w:t>
            </w:r>
          </w:p>
        </w:tc>
        <w:tc>
          <w:tcPr>
            <w:tcW w:w="345" w:type="dxa"/>
          </w:tcPr>
          <w:p w14:paraId="277D3A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7614</w:t>
            </w:r>
          </w:p>
        </w:tc>
      </w:tr>
      <w:tr w:rsidR="00561F31" w:rsidRPr="00F90EAE" w14:paraId="715EBEF7" w14:textId="77777777">
        <w:tc>
          <w:tcPr>
            <w:tcW w:w="3349" w:type="dxa"/>
          </w:tcPr>
          <w:p w14:paraId="6B3713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ОМ</w:t>
            </w:r>
          </w:p>
        </w:tc>
        <w:tc>
          <w:tcPr>
            <w:tcW w:w="964" w:type="dxa"/>
          </w:tcPr>
          <w:p w14:paraId="3AE717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964" w:type="dxa"/>
          </w:tcPr>
          <w:p w14:paraId="4E7719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745" w:type="dxa"/>
          </w:tcPr>
          <w:p w14:paraId="4A176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613" w:type="dxa"/>
          </w:tcPr>
          <w:p w14:paraId="7FBC6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w:t>
            </w:r>
          </w:p>
        </w:tc>
        <w:tc>
          <w:tcPr>
            <w:tcW w:w="345" w:type="dxa"/>
          </w:tcPr>
          <w:p w14:paraId="79FDBFA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6AE8FA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1C9209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BF3A8BA"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D9CD50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4A5C8E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71A4C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345" w:type="dxa"/>
          </w:tcPr>
          <w:p w14:paraId="66FC1F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152</w:t>
            </w:r>
          </w:p>
        </w:tc>
      </w:tr>
      <w:tr w:rsidR="00561F31" w:rsidRPr="00F90EAE" w14:paraId="3A964A14" w14:textId="77777777">
        <w:tc>
          <w:tcPr>
            <w:tcW w:w="3349" w:type="dxa"/>
          </w:tcPr>
          <w:p w14:paraId="5AD10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1F5D3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3053</w:t>
            </w:r>
          </w:p>
        </w:tc>
        <w:tc>
          <w:tcPr>
            <w:tcW w:w="964" w:type="dxa"/>
          </w:tcPr>
          <w:p w14:paraId="55AA2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1656</w:t>
            </w:r>
          </w:p>
        </w:tc>
        <w:tc>
          <w:tcPr>
            <w:tcW w:w="745" w:type="dxa"/>
          </w:tcPr>
          <w:p w14:paraId="7B11D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4128</w:t>
            </w:r>
          </w:p>
        </w:tc>
        <w:tc>
          <w:tcPr>
            <w:tcW w:w="613" w:type="dxa"/>
          </w:tcPr>
          <w:p w14:paraId="77167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2908</w:t>
            </w:r>
          </w:p>
        </w:tc>
        <w:tc>
          <w:tcPr>
            <w:tcW w:w="345" w:type="dxa"/>
          </w:tcPr>
          <w:p w14:paraId="331AE5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3718</w:t>
            </w:r>
          </w:p>
        </w:tc>
        <w:tc>
          <w:tcPr>
            <w:tcW w:w="345" w:type="dxa"/>
          </w:tcPr>
          <w:p w14:paraId="29F4A4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3334</w:t>
            </w:r>
          </w:p>
        </w:tc>
        <w:tc>
          <w:tcPr>
            <w:tcW w:w="345" w:type="dxa"/>
          </w:tcPr>
          <w:p w14:paraId="294B00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2210</w:t>
            </w:r>
          </w:p>
        </w:tc>
        <w:tc>
          <w:tcPr>
            <w:tcW w:w="345" w:type="dxa"/>
          </w:tcPr>
          <w:p w14:paraId="3D596A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2204</w:t>
            </w:r>
          </w:p>
        </w:tc>
        <w:tc>
          <w:tcPr>
            <w:tcW w:w="302" w:type="dxa"/>
          </w:tcPr>
          <w:p w14:paraId="2A61B4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394</w:t>
            </w:r>
          </w:p>
        </w:tc>
        <w:tc>
          <w:tcPr>
            <w:tcW w:w="345" w:type="dxa"/>
          </w:tcPr>
          <w:p w14:paraId="015751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325</w:t>
            </w:r>
          </w:p>
        </w:tc>
        <w:tc>
          <w:tcPr>
            <w:tcW w:w="345" w:type="dxa"/>
          </w:tcPr>
          <w:p w14:paraId="0DEE8B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13503</w:t>
            </w:r>
          </w:p>
        </w:tc>
        <w:tc>
          <w:tcPr>
            <w:tcW w:w="345" w:type="dxa"/>
          </w:tcPr>
          <w:p w14:paraId="135839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10427</w:t>
            </w:r>
          </w:p>
        </w:tc>
      </w:tr>
      <w:tr w:rsidR="00561F31" w:rsidRPr="00F90EAE" w14:paraId="73396D22" w14:textId="77777777" w:rsidTr="00665165">
        <w:tc>
          <w:tcPr>
            <w:tcW w:w="3349" w:type="dxa"/>
            <w:gridSpan w:val="13"/>
          </w:tcPr>
          <w:p w14:paraId="32A4B1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III. Авиационные патроны со звеньями (млн.штук)</w:t>
            </w:r>
          </w:p>
        </w:tc>
      </w:tr>
      <w:tr w:rsidR="00561F31" w:rsidRPr="00F90EAE" w14:paraId="6439DAE8" w14:textId="77777777">
        <w:tc>
          <w:tcPr>
            <w:tcW w:w="3349" w:type="dxa"/>
          </w:tcPr>
          <w:p w14:paraId="7D1CAD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7,62-мм патроны ШКАС с бронебойной пулей "Б-32"</w:t>
            </w:r>
          </w:p>
        </w:tc>
        <w:tc>
          <w:tcPr>
            <w:tcW w:w="964" w:type="dxa"/>
          </w:tcPr>
          <w:p w14:paraId="5027EE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264</w:t>
            </w:r>
          </w:p>
        </w:tc>
        <w:tc>
          <w:tcPr>
            <w:tcW w:w="964" w:type="dxa"/>
          </w:tcPr>
          <w:p w14:paraId="26E5D9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w:t>
            </w:r>
          </w:p>
        </w:tc>
        <w:tc>
          <w:tcPr>
            <w:tcW w:w="745" w:type="dxa"/>
          </w:tcPr>
          <w:p w14:paraId="5AE42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99</w:t>
            </w:r>
          </w:p>
        </w:tc>
        <w:tc>
          <w:tcPr>
            <w:tcW w:w="613" w:type="dxa"/>
          </w:tcPr>
          <w:p w14:paraId="7CD1A5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345" w:type="dxa"/>
          </w:tcPr>
          <w:p w14:paraId="11CA16A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0D3D02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8E40BB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FA2CFF0"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340FFD3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471BDF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A923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c>
          <w:tcPr>
            <w:tcW w:w="345" w:type="dxa"/>
          </w:tcPr>
          <w:p w14:paraId="574745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286</w:t>
            </w:r>
          </w:p>
        </w:tc>
      </w:tr>
      <w:tr w:rsidR="00561F31" w:rsidRPr="00F90EAE" w14:paraId="42EFBB07" w14:textId="77777777">
        <w:tc>
          <w:tcPr>
            <w:tcW w:w="3349" w:type="dxa"/>
          </w:tcPr>
          <w:p w14:paraId="1A8FEA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7,62-мм патроны ШКАС с зажигательно-бронебойной пулей "ЗБ-46"</w:t>
            </w:r>
          </w:p>
        </w:tc>
        <w:tc>
          <w:tcPr>
            <w:tcW w:w="964" w:type="dxa"/>
          </w:tcPr>
          <w:p w14:paraId="1E323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326</w:t>
            </w:r>
          </w:p>
        </w:tc>
        <w:tc>
          <w:tcPr>
            <w:tcW w:w="964" w:type="dxa"/>
          </w:tcPr>
          <w:p w14:paraId="07B88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317</w:t>
            </w:r>
          </w:p>
        </w:tc>
        <w:tc>
          <w:tcPr>
            <w:tcW w:w="745" w:type="dxa"/>
          </w:tcPr>
          <w:p w14:paraId="4C8D5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613" w:type="dxa"/>
          </w:tcPr>
          <w:p w14:paraId="662607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345" w:type="dxa"/>
          </w:tcPr>
          <w:p w14:paraId="5C03B34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502826B"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C51F68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F6A45C0"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7B02818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A3033B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63DEB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c>
          <w:tcPr>
            <w:tcW w:w="345" w:type="dxa"/>
          </w:tcPr>
          <w:p w14:paraId="6076A6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343</w:t>
            </w:r>
          </w:p>
        </w:tc>
      </w:tr>
      <w:tr w:rsidR="00561F31" w:rsidRPr="00F90EAE" w14:paraId="6CFBE666" w14:textId="77777777">
        <w:tc>
          <w:tcPr>
            <w:tcW w:w="3349" w:type="dxa"/>
          </w:tcPr>
          <w:p w14:paraId="01E6D3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7,62-мм патроны ШКАС с пулей "ПЗ"</w:t>
            </w:r>
          </w:p>
        </w:tc>
        <w:tc>
          <w:tcPr>
            <w:tcW w:w="964" w:type="dxa"/>
          </w:tcPr>
          <w:p w14:paraId="0F5E4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255</w:t>
            </w:r>
          </w:p>
        </w:tc>
        <w:tc>
          <w:tcPr>
            <w:tcW w:w="964" w:type="dxa"/>
          </w:tcPr>
          <w:p w14:paraId="2E7F9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286</w:t>
            </w:r>
          </w:p>
        </w:tc>
        <w:tc>
          <w:tcPr>
            <w:tcW w:w="745" w:type="dxa"/>
          </w:tcPr>
          <w:p w14:paraId="6F8019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613" w:type="dxa"/>
          </w:tcPr>
          <w:p w14:paraId="20656D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345" w:type="dxa"/>
          </w:tcPr>
          <w:p w14:paraId="6E397E0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EA44A0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FB7C73A"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862E51E"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04FCA33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B0E3D6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C57B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w:t>
            </w:r>
          </w:p>
        </w:tc>
        <w:tc>
          <w:tcPr>
            <w:tcW w:w="345" w:type="dxa"/>
          </w:tcPr>
          <w:p w14:paraId="6D1F8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312</w:t>
            </w:r>
          </w:p>
        </w:tc>
      </w:tr>
      <w:tr w:rsidR="00561F31" w:rsidRPr="00F90EAE" w14:paraId="29E27D04" w14:textId="77777777">
        <w:tc>
          <w:tcPr>
            <w:tcW w:w="3349" w:type="dxa"/>
          </w:tcPr>
          <w:p w14:paraId="16C2CC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4A2AE3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845</w:t>
            </w:r>
          </w:p>
        </w:tc>
        <w:tc>
          <w:tcPr>
            <w:tcW w:w="964" w:type="dxa"/>
          </w:tcPr>
          <w:p w14:paraId="6A609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824</w:t>
            </w:r>
          </w:p>
        </w:tc>
        <w:tc>
          <w:tcPr>
            <w:tcW w:w="745" w:type="dxa"/>
          </w:tcPr>
          <w:p w14:paraId="16E64C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c>
          <w:tcPr>
            <w:tcW w:w="613" w:type="dxa"/>
          </w:tcPr>
          <w:p w14:paraId="1C14C4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117</w:t>
            </w:r>
          </w:p>
        </w:tc>
        <w:tc>
          <w:tcPr>
            <w:tcW w:w="345" w:type="dxa"/>
          </w:tcPr>
          <w:p w14:paraId="63C8E9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2DC3D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4D9CAF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0EF43E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02" w:type="dxa"/>
          </w:tcPr>
          <w:p w14:paraId="4B208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390AF6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345" w:type="dxa"/>
          </w:tcPr>
          <w:p w14:paraId="749F51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345" w:type="dxa"/>
          </w:tcPr>
          <w:p w14:paraId="1EFB4D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941</w:t>
            </w:r>
          </w:p>
        </w:tc>
      </w:tr>
      <w:tr w:rsidR="00561F31" w:rsidRPr="00F90EAE" w14:paraId="15062521" w14:textId="77777777">
        <w:tc>
          <w:tcPr>
            <w:tcW w:w="3349" w:type="dxa"/>
          </w:tcPr>
          <w:p w14:paraId="70E2D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12,7-мм патроны Березина с бронебойной пулей "Б-32"</w:t>
            </w:r>
          </w:p>
        </w:tc>
        <w:tc>
          <w:tcPr>
            <w:tcW w:w="964" w:type="dxa"/>
          </w:tcPr>
          <w:p w14:paraId="49D69E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w:t>
            </w:r>
          </w:p>
        </w:tc>
        <w:tc>
          <w:tcPr>
            <w:tcW w:w="964" w:type="dxa"/>
          </w:tcPr>
          <w:p w14:paraId="4991E4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745" w:type="dxa"/>
          </w:tcPr>
          <w:p w14:paraId="7CE4E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613" w:type="dxa"/>
          </w:tcPr>
          <w:p w14:paraId="751A59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345" w:type="dxa"/>
          </w:tcPr>
          <w:p w14:paraId="0ED9B6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345" w:type="dxa"/>
          </w:tcPr>
          <w:p w14:paraId="51386E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345" w:type="dxa"/>
          </w:tcPr>
          <w:p w14:paraId="7CF05A74"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BCB0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02" w:type="dxa"/>
          </w:tcPr>
          <w:p w14:paraId="27401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60E8A1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45" w:type="dxa"/>
          </w:tcPr>
          <w:p w14:paraId="57834E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167</w:t>
            </w:r>
          </w:p>
        </w:tc>
        <w:tc>
          <w:tcPr>
            <w:tcW w:w="345" w:type="dxa"/>
          </w:tcPr>
          <w:p w14:paraId="63642C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r>
      <w:tr w:rsidR="00561F31" w:rsidRPr="00F90EAE" w14:paraId="3225F682" w14:textId="77777777">
        <w:tc>
          <w:tcPr>
            <w:tcW w:w="3349" w:type="dxa"/>
          </w:tcPr>
          <w:p w14:paraId="27CB31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12,7-мм патроны Березина с бронебойно-зажигательно-фосфорной пулей "БЗФ"</w:t>
            </w:r>
          </w:p>
        </w:tc>
        <w:tc>
          <w:tcPr>
            <w:tcW w:w="964" w:type="dxa"/>
          </w:tcPr>
          <w:p w14:paraId="3942D5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964" w:type="dxa"/>
          </w:tcPr>
          <w:p w14:paraId="540D0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745" w:type="dxa"/>
          </w:tcPr>
          <w:p w14:paraId="1294FD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613" w:type="dxa"/>
          </w:tcPr>
          <w:p w14:paraId="78DE98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45" w:type="dxa"/>
          </w:tcPr>
          <w:p w14:paraId="0E8E8A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0D51E2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19642AF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2D15B5D"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24AACE8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7C1354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A24EB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345" w:type="dxa"/>
          </w:tcPr>
          <w:p w14:paraId="55622B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r>
      <w:tr w:rsidR="00561F31" w:rsidRPr="00F90EAE" w14:paraId="58ABB6C5" w14:textId="77777777">
        <w:tc>
          <w:tcPr>
            <w:tcW w:w="3349" w:type="dxa"/>
          </w:tcPr>
          <w:p w14:paraId="756EB8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12,7-мм патроны Березина с бронебойно-зажигательно-трассирующей пулей "БЗТ"</w:t>
            </w:r>
          </w:p>
        </w:tc>
        <w:tc>
          <w:tcPr>
            <w:tcW w:w="964" w:type="dxa"/>
          </w:tcPr>
          <w:p w14:paraId="33B2D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964" w:type="dxa"/>
          </w:tcPr>
          <w:p w14:paraId="6F892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745" w:type="dxa"/>
          </w:tcPr>
          <w:p w14:paraId="7AEC92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613" w:type="dxa"/>
          </w:tcPr>
          <w:p w14:paraId="60AD1A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6BE07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345" w:type="dxa"/>
          </w:tcPr>
          <w:p w14:paraId="1CEFC3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45" w:type="dxa"/>
          </w:tcPr>
          <w:p w14:paraId="351A0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45" w:type="dxa"/>
          </w:tcPr>
          <w:p w14:paraId="41FA31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302" w:type="dxa"/>
          </w:tcPr>
          <w:p w14:paraId="36531A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2D3C7B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045A6D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345" w:type="dxa"/>
          </w:tcPr>
          <w:p w14:paraId="1C2BD5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r>
      <w:tr w:rsidR="00561F31" w:rsidRPr="00F90EAE" w14:paraId="77BA20F6" w14:textId="77777777">
        <w:tc>
          <w:tcPr>
            <w:tcW w:w="3349" w:type="dxa"/>
          </w:tcPr>
          <w:p w14:paraId="4E8F80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12,7-мм патроны Березина зажигательные мгновенного действия "МДЗ"</w:t>
            </w:r>
          </w:p>
        </w:tc>
        <w:tc>
          <w:tcPr>
            <w:tcW w:w="964" w:type="dxa"/>
          </w:tcPr>
          <w:p w14:paraId="724C2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964" w:type="dxa"/>
          </w:tcPr>
          <w:p w14:paraId="6F0C68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745" w:type="dxa"/>
          </w:tcPr>
          <w:p w14:paraId="4A1607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613" w:type="dxa"/>
          </w:tcPr>
          <w:p w14:paraId="4A3A24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3384E4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0C479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31B7F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79022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02" w:type="dxa"/>
          </w:tcPr>
          <w:p w14:paraId="624F051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C8231EC"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9C1EE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345" w:type="dxa"/>
          </w:tcPr>
          <w:p w14:paraId="1FF792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6873FBBF" w14:textId="77777777">
        <w:tc>
          <w:tcPr>
            <w:tcW w:w="3349" w:type="dxa"/>
          </w:tcPr>
          <w:p w14:paraId="3A8F7F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2E247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w:t>
            </w:r>
          </w:p>
        </w:tc>
        <w:tc>
          <w:tcPr>
            <w:tcW w:w="964" w:type="dxa"/>
          </w:tcPr>
          <w:p w14:paraId="481AED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745" w:type="dxa"/>
          </w:tcPr>
          <w:p w14:paraId="4C0FD5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w:t>
            </w:r>
          </w:p>
        </w:tc>
        <w:tc>
          <w:tcPr>
            <w:tcW w:w="613" w:type="dxa"/>
          </w:tcPr>
          <w:p w14:paraId="1677F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w:t>
            </w:r>
          </w:p>
        </w:tc>
        <w:tc>
          <w:tcPr>
            <w:tcW w:w="345" w:type="dxa"/>
          </w:tcPr>
          <w:p w14:paraId="133C01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w:t>
            </w:r>
          </w:p>
        </w:tc>
        <w:tc>
          <w:tcPr>
            <w:tcW w:w="345" w:type="dxa"/>
          </w:tcPr>
          <w:p w14:paraId="0010AF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345" w:type="dxa"/>
          </w:tcPr>
          <w:p w14:paraId="1B3C1F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345" w:type="dxa"/>
          </w:tcPr>
          <w:p w14:paraId="6C83F5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302" w:type="dxa"/>
          </w:tcPr>
          <w:p w14:paraId="1D698C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345" w:type="dxa"/>
          </w:tcPr>
          <w:p w14:paraId="753B9F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45" w:type="dxa"/>
          </w:tcPr>
          <w:p w14:paraId="0B604D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345" w:type="dxa"/>
          </w:tcPr>
          <w:p w14:paraId="088EC6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w:t>
            </w:r>
          </w:p>
        </w:tc>
      </w:tr>
      <w:tr w:rsidR="00561F31" w:rsidRPr="00F90EAE" w14:paraId="13610F25" w14:textId="77777777">
        <w:tc>
          <w:tcPr>
            <w:tcW w:w="3349" w:type="dxa"/>
          </w:tcPr>
          <w:p w14:paraId="448DBE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20-мм патроны ШВАК с бронебойно-зажигательным снарядом "БЗ"</w:t>
            </w:r>
          </w:p>
        </w:tc>
        <w:tc>
          <w:tcPr>
            <w:tcW w:w="964" w:type="dxa"/>
          </w:tcPr>
          <w:p w14:paraId="0CD424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964" w:type="dxa"/>
          </w:tcPr>
          <w:p w14:paraId="417DB7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745" w:type="dxa"/>
          </w:tcPr>
          <w:p w14:paraId="0F023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613" w:type="dxa"/>
          </w:tcPr>
          <w:p w14:paraId="6224B0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345" w:type="dxa"/>
          </w:tcPr>
          <w:p w14:paraId="34812C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345" w:type="dxa"/>
          </w:tcPr>
          <w:p w14:paraId="5AA143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45" w:type="dxa"/>
          </w:tcPr>
          <w:p w14:paraId="77B82B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6F600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02" w:type="dxa"/>
          </w:tcPr>
          <w:p w14:paraId="5105EE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45" w:type="dxa"/>
          </w:tcPr>
          <w:p w14:paraId="6BA4D4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2D7544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345" w:type="dxa"/>
          </w:tcPr>
          <w:p w14:paraId="06C01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r>
      <w:tr w:rsidR="00561F31" w:rsidRPr="00F90EAE" w14:paraId="02DC9D2E" w14:textId="77777777" w:rsidTr="00665165">
        <w:tc>
          <w:tcPr>
            <w:tcW w:w="3349" w:type="dxa"/>
            <w:gridSpan w:val="5"/>
          </w:tcPr>
          <w:p w14:paraId="0D8EC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20-мм патроны ШВАК с осколочно-зажигательно-трассирующим снарядом "ОЗТ"</w:t>
            </w:r>
          </w:p>
        </w:tc>
        <w:tc>
          <w:tcPr>
            <w:tcW w:w="345" w:type="dxa"/>
          </w:tcPr>
          <w:p w14:paraId="392675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136AC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035EE0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69DECC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02" w:type="dxa"/>
          </w:tcPr>
          <w:p w14:paraId="234FA1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40FEF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1199D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345" w:type="dxa"/>
          </w:tcPr>
          <w:p w14:paraId="56C5F1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r>
      <w:tr w:rsidR="00561F31" w:rsidRPr="00F90EAE" w14:paraId="7A5F2460" w14:textId="77777777">
        <w:tc>
          <w:tcPr>
            <w:tcW w:w="3349" w:type="dxa"/>
          </w:tcPr>
          <w:p w14:paraId="6486A4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20-мм патроны ШВАК с осколочно-зажигательным снарядом "ОЗ"</w:t>
            </w:r>
          </w:p>
        </w:tc>
        <w:tc>
          <w:tcPr>
            <w:tcW w:w="964" w:type="dxa"/>
          </w:tcPr>
          <w:p w14:paraId="1C6C7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964" w:type="dxa"/>
          </w:tcPr>
          <w:p w14:paraId="088D7D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745" w:type="dxa"/>
          </w:tcPr>
          <w:p w14:paraId="370D63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613" w:type="dxa"/>
          </w:tcPr>
          <w:p w14:paraId="17B195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12AF2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64A613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524BDEEE"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43B42953" w14:textId="77777777" w:rsidR="00665165" w:rsidRPr="00F90EAE" w:rsidRDefault="00665165" w:rsidP="00F90EAE">
            <w:pPr>
              <w:autoSpaceDE w:val="0"/>
              <w:autoSpaceDN w:val="0"/>
              <w:adjustRightInd w:val="0"/>
              <w:jc w:val="both"/>
              <w:rPr>
                <w:color w:val="000000" w:themeColor="text1"/>
                <w:sz w:val="16"/>
                <w:szCs w:val="16"/>
              </w:rPr>
            </w:pPr>
          </w:p>
        </w:tc>
        <w:tc>
          <w:tcPr>
            <w:tcW w:w="302" w:type="dxa"/>
          </w:tcPr>
          <w:p w14:paraId="71A23F5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8643BC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38552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345" w:type="dxa"/>
          </w:tcPr>
          <w:p w14:paraId="3564E2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17A8FCFB" w14:textId="77777777">
        <w:tc>
          <w:tcPr>
            <w:tcW w:w="3349" w:type="dxa"/>
          </w:tcPr>
          <w:p w14:paraId="2F0361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2FC5F1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964" w:type="dxa"/>
          </w:tcPr>
          <w:p w14:paraId="57BB62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745" w:type="dxa"/>
          </w:tcPr>
          <w:p w14:paraId="4AC6FE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613" w:type="dxa"/>
          </w:tcPr>
          <w:p w14:paraId="4F2D46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345" w:type="dxa"/>
          </w:tcPr>
          <w:p w14:paraId="16FDF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345" w:type="dxa"/>
          </w:tcPr>
          <w:p w14:paraId="28857F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345" w:type="dxa"/>
          </w:tcPr>
          <w:p w14:paraId="2489AE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345" w:type="dxa"/>
          </w:tcPr>
          <w:p w14:paraId="50EC7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02" w:type="dxa"/>
          </w:tcPr>
          <w:p w14:paraId="1B2DCF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345" w:type="dxa"/>
          </w:tcPr>
          <w:p w14:paraId="47757A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00F34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w:t>
            </w:r>
          </w:p>
        </w:tc>
        <w:tc>
          <w:tcPr>
            <w:tcW w:w="345" w:type="dxa"/>
          </w:tcPr>
          <w:p w14:paraId="0FBE6E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w:t>
            </w:r>
          </w:p>
        </w:tc>
      </w:tr>
      <w:tr w:rsidR="00561F31" w:rsidRPr="00F90EAE" w14:paraId="5777BAB9" w14:textId="77777777">
        <w:tc>
          <w:tcPr>
            <w:tcW w:w="3349" w:type="dxa"/>
          </w:tcPr>
          <w:p w14:paraId="48FDDA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23-мм патроны ВЯ с бронебойно-зажигательным снарядом "БЗ"</w:t>
            </w:r>
          </w:p>
        </w:tc>
        <w:tc>
          <w:tcPr>
            <w:tcW w:w="964" w:type="dxa"/>
          </w:tcPr>
          <w:p w14:paraId="4DA6C5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964" w:type="dxa"/>
          </w:tcPr>
          <w:p w14:paraId="11EFB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745" w:type="dxa"/>
          </w:tcPr>
          <w:p w14:paraId="345684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613" w:type="dxa"/>
          </w:tcPr>
          <w:p w14:paraId="76147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45" w:type="dxa"/>
          </w:tcPr>
          <w:p w14:paraId="0A8FC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345" w:type="dxa"/>
          </w:tcPr>
          <w:p w14:paraId="47CD2B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45" w:type="dxa"/>
          </w:tcPr>
          <w:p w14:paraId="25044E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314ADA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02" w:type="dxa"/>
          </w:tcPr>
          <w:p w14:paraId="1FAB4F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0A265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7C995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345" w:type="dxa"/>
          </w:tcPr>
          <w:p w14:paraId="21C9D8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w:t>
            </w:r>
          </w:p>
        </w:tc>
      </w:tr>
      <w:tr w:rsidR="00561F31" w:rsidRPr="00F90EAE" w14:paraId="4F9BB387" w14:textId="77777777" w:rsidTr="00665165">
        <w:tc>
          <w:tcPr>
            <w:tcW w:w="3349" w:type="dxa"/>
            <w:gridSpan w:val="4"/>
          </w:tcPr>
          <w:p w14:paraId="27432C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23-мм патроны ВЯ с осколочно-зажигательно-трассирующим снарядом "ОЗТ"</w:t>
            </w:r>
          </w:p>
        </w:tc>
        <w:tc>
          <w:tcPr>
            <w:tcW w:w="613" w:type="dxa"/>
          </w:tcPr>
          <w:p w14:paraId="571921B6"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A2F1A08"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C0699B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44408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345" w:type="dxa"/>
          </w:tcPr>
          <w:p w14:paraId="6109D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02" w:type="dxa"/>
          </w:tcPr>
          <w:p w14:paraId="525A00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61C238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7300CD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345" w:type="dxa"/>
          </w:tcPr>
          <w:p w14:paraId="00E0E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6157E25E" w14:textId="77777777">
        <w:tc>
          <w:tcPr>
            <w:tcW w:w="3349" w:type="dxa"/>
          </w:tcPr>
          <w:p w14:paraId="234316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23-мм патроны ВЯ с осколочно-зажигательным снарядом "ОЗ"</w:t>
            </w:r>
          </w:p>
        </w:tc>
        <w:tc>
          <w:tcPr>
            <w:tcW w:w="964" w:type="dxa"/>
          </w:tcPr>
          <w:p w14:paraId="5FCB3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964" w:type="dxa"/>
          </w:tcPr>
          <w:p w14:paraId="11768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745" w:type="dxa"/>
          </w:tcPr>
          <w:p w14:paraId="0C0F02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613" w:type="dxa"/>
          </w:tcPr>
          <w:p w14:paraId="36D7E2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345" w:type="dxa"/>
          </w:tcPr>
          <w:p w14:paraId="13236C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345" w:type="dxa"/>
          </w:tcPr>
          <w:p w14:paraId="50F89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345" w:type="dxa"/>
          </w:tcPr>
          <w:p w14:paraId="6B3970E1"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5AC66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302" w:type="dxa"/>
          </w:tcPr>
          <w:p w14:paraId="11EE5C5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005A57B9"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24E3F1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345" w:type="dxa"/>
          </w:tcPr>
          <w:p w14:paraId="57C5FB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r>
      <w:tr w:rsidR="00561F31" w:rsidRPr="00F90EAE" w14:paraId="7DBA8DE6" w14:textId="77777777">
        <w:tc>
          <w:tcPr>
            <w:tcW w:w="3349" w:type="dxa"/>
          </w:tcPr>
          <w:p w14:paraId="03942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65916F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964" w:type="dxa"/>
          </w:tcPr>
          <w:p w14:paraId="1771F2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745" w:type="dxa"/>
          </w:tcPr>
          <w:p w14:paraId="0960D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613" w:type="dxa"/>
          </w:tcPr>
          <w:p w14:paraId="62741A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345" w:type="dxa"/>
          </w:tcPr>
          <w:p w14:paraId="1B1A0D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345" w:type="dxa"/>
          </w:tcPr>
          <w:p w14:paraId="518F0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345" w:type="dxa"/>
          </w:tcPr>
          <w:p w14:paraId="77DF1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345" w:type="dxa"/>
          </w:tcPr>
          <w:p w14:paraId="440FB9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302" w:type="dxa"/>
          </w:tcPr>
          <w:p w14:paraId="2A5C2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345" w:type="dxa"/>
          </w:tcPr>
          <w:p w14:paraId="2C190F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345" w:type="dxa"/>
          </w:tcPr>
          <w:p w14:paraId="587B3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345" w:type="dxa"/>
          </w:tcPr>
          <w:p w14:paraId="095E32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r>
      <w:tr w:rsidR="00561F31" w:rsidRPr="00F90EAE" w14:paraId="0F91F9C8" w14:textId="77777777" w:rsidTr="00665165">
        <w:tc>
          <w:tcPr>
            <w:tcW w:w="3349" w:type="dxa"/>
            <w:gridSpan w:val="3"/>
          </w:tcPr>
          <w:p w14:paraId="78E2A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37-мм патроны с бронебойно-зажигательно-трассирующим снарядом "БЗТ"</w:t>
            </w:r>
          </w:p>
        </w:tc>
        <w:tc>
          <w:tcPr>
            <w:tcW w:w="745" w:type="dxa"/>
          </w:tcPr>
          <w:p w14:paraId="2A9880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613" w:type="dxa"/>
          </w:tcPr>
          <w:p w14:paraId="377FD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3E6ED0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3C3578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6A4BC13F"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7417A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02" w:type="dxa"/>
          </w:tcPr>
          <w:p w14:paraId="25F27CB0"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2A63D6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E8DC3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3F8FED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0A5870E" w14:textId="77777777" w:rsidTr="00665165">
        <w:tc>
          <w:tcPr>
            <w:tcW w:w="3349" w:type="dxa"/>
            <w:gridSpan w:val="4"/>
          </w:tcPr>
          <w:p w14:paraId="6E281D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37-мм патроны с осколочно-зажигательно-трассирующим снарядом "ОЗТ"</w:t>
            </w:r>
          </w:p>
        </w:tc>
        <w:tc>
          <w:tcPr>
            <w:tcW w:w="613" w:type="dxa"/>
          </w:tcPr>
          <w:p w14:paraId="140D6CB7"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621077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2CC668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5293D9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0CF8BA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02" w:type="dxa"/>
          </w:tcPr>
          <w:p w14:paraId="3D048C8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28F3063"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A404C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0FB0E7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5153E909" w14:textId="77777777">
        <w:tc>
          <w:tcPr>
            <w:tcW w:w="3349" w:type="dxa"/>
          </w:tcPr>
          <w:p w14:paraId="393AEC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23-мм патроны "НС" с "ОЗТ" снарядом</w:t>
            </w:r>
          </w:p>
        </w:tc>
        <w:tc>
          <w:tcPr>
            <w:tcW w:w="964" w:type="dxa"/>
          </w:tcPr>
          <w:p w14:paraId="247D3DAE" w14:textId="77777777" w:rsidR="00665165" w:rsidRPr="00F90EAE" w:rsidRDefault="00665165" w:rsidP="00F90EAE">
            <w:pPr>
              <w:autoSpaceDE w:val="0"/>
              <w:autoSpaceDN w:val="0"/>
              <w:adjustRightInd w:val="0"/>
              <w:jc w:val="both"/>
              <w:rPr>
                <w:color w:val="000000" w:themeColor="text1"/>
                <w:sz w:val="16"/>
                <w:szCs w:val="16"/>
              </w:rPr>
            </w:pPr>
          </w:p>
        </w:tc>
        <w:tc>
          <w:tcPr>
            <w:tcW w:w="964" w:type="dxa"/>
          </w:tcPr>
          <w:p w14:paraId="73B40916" w14:textId="77777777" w:rsidR="00665165" w:rsidRPr="00F90EAE" w:rsidRDefault="00665165" w:rsidP="00F90EAE">
            <w:pPr>
              <w:autoSpaceDE w:val="0"/>
              <w:autoSpaceDN w:val="0"/>
              <w:adjustRightInd w:val="0"/>
              <w:jc w:val="both"/>
              <w:rPr>
                <w:color w:val="000000" w:themeColor="text1"/>
                <w:sz w:val="16"/>
                <w:szCs w:val="16"/>
              </w:rPr>
            </w:pPr>
          </w:p>
        </w:tc>
        <w:tc>
          <w:tcPr>
            <w:tcW w:w="745" w:type="dxa"/>
          </w:tcPr>
          <w:p w14:paraId="5CCD78C4" w14:textId="77777777" w:rsidR="00665165" w:rsidRPr="00F90EAE" w:rsidRDefault="00665165" w:rsidP="00F90EAE">
            <w:pPr>
              <w:autoSpaceDE w:val="0"/>
              <w:autoSpaceDN w:val="0"/>
              <w:adjustRightInd w:val="0"/>
              <w:jc w:val="both"/>
              <w:rPr>
                <w:color w:val="000000" w:themeColor="text1"/>
                <w:sz w:val="16"/>
                <w:szCs w:val="16"/>
              </w:rPr>
            </w:pPr>
          </w:p>
        </w:tc>
        <w:tc>
          <w:tcPr>
            <w:tcW w:w="613" w:type="dxa"/>
          </w:tcPr>
          <w:p w14:paraId="519EE712"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58137EA5"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7EEE695D" w14:textId="77777777" w:rsidR="00665165" w:rsidRPr="00F90EAE" w:rsidRDefault="00665165" w:rsidP="00F90EAE">
            <w:pPr>
              <w:autoSpaceDE w:val="0"/>
              <w:autoSpaceDN w:val="0"/>
              <w:adjustRightInd w:val="0"/>
              <w:jc w:val="both"/>
              <w:rPr>
                <w:color w:val="000000" w:themeColor="text1"/>
                <w:sz w:val="16"/>
                <w:szCs w:val="16"/>
              </w:rPr>
            </w:pPr>
          </w:p>
        </w:tc>
        <w:tc>
          <w:tcPr>
            <w:tcW w:w="345" w:type="dxa"/>
          </w:tcPr>
          <w:p w14:paraId="1B4D0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0,7</w:t>
            </w:r>
          </w:p>
        </w:tc>
        <w:tc>
          <w:tcPr>
            <w:tcW w:w="345" w:type="dxa"/>
          </w:tcPr>
          <w:p w14:paraId="74AFBC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0,2</w:t>
            </w:r>
          </w:p>
        </w:tc>
        <w:tc>
          <w:tcPr>
            <w:tcW w:w="302" w:type="dxa"/>
          </w:tcPr>
          <w:p w14:paraId="14D82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0,5</w:t>
            </w:r>
          </w:p>
        </w:tc>
        <w:tc>
          <w:tcPr>
            <w:tcW w:w="345" w:type="dxa"/>
          </w:tcPr>
          <w:p w14:paraId="4346E3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0,3</w:t>
            </w:r>
          </w:p>
        </w:tc>
        <w:tc>
          <w:tcPr>
            <w:tcW w:w="345" w:type="dxa"/>
          </w:tcPr>
          <w:p w14:paraId="1198AF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345" w:type="dxa"/>
          </w:tcPr>
          <w:p w14:paraId="299EEF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0,5</w:t>
            </w:r>
          </w:p>
        </w:tc>
      </w:tr>
      <w:tr w:rsidR="00561F31" w:rsidRPr="00F90EAE" w14:paraId="38D8F91F" w14:textId="77777777">
        <w:tc>
          <w:tcPr>
            <w:tcW w:w="3349" w:type="dxa"/>
          </w:tcPr>
          <w:p w14:paraId="1B1FE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64" w:type="dxa"/>
          </w:tcPr>
          <w:p w14:paraId="30E8ED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64" w:type="dxa"/>
          </w:tcPr>
          <w:p w14:paraId="72FA9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745" w:type="dxa"/>
          </w:tcPr>
          <w:p w14:paraId="11E82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613" w:type="dxa"/>
          </w:tcPr>
          <w:p w14:paraId="12A1D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345" w:type="dxa"/>
          </w:tcPr>
          <w:p w14:paraId="66B7D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345" w:type="dxa"/>
          </w:tcPr>
          <w:p w14:paraId="34D2F3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345" w:type="dxa"/>
          </w:tcPr>
          <w:p w14:paraId="1BDA7F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345" w:type="dxa"/>
          </w:tcPr>
          <w:p w14:paraId="285640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302" w:type="dxa"/>
          </w:tcPr>
          <w:p w14:paraId="0FE9BD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0,5</w:t>
            </w:r>
          </w:p>
        </w:tc>
        <w:tc>
          <w:tcPr>
            <w:tcW w:w="345" w:type="dxa"/>
          </w:tcPr>
          <w:p w14:paraId="151F0E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0,3</w:t>
            </w:r>
          </w:p>
        </w:tc>
        <w:tc>
          <w:tcPr>
            <w:tcW w:w="345" w:type="dxa"/>
          </w:tcPr>
          <w:p w14:paraId="638EB1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345" w:type="dxa"/>
          </w:tcPr>
          <w:p w14:paraId="74429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r>
      <w:tr w:rsidR="00561F31" w:rsidRPr="00F90EAE" w14:paraId="69AB33BA" w14:textId="77777777">
        <w:tc>
          <w:tcPr>
            <w:tcW w:w="3349" w:type="dxa"/>
            <w:tcBorders>
              <w:bottom w:val="single" w:sz="12" w:space="0" w:color="000000"/>
            </w:tcBorders>
          </w:tcPr>
          <w:p w14:paraId="76D9E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64" w:type="dxa"/>
            <w:tcBorders>
              <w:bottom w:val="single" w:sz="12" w:space="0" w:color="000000"/>
            </w:tcBorders>
          </w:tcPr>
          <w:p w14:paraId="1F73FD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1007</w:t>
            </w:r>
          </w:p>
        </w:tc>
        <w:tc>
          <w:tcPr>
            <w:tcW w:w="964" w:type="dxa"/>
            <w:tcBorders>
              <w:bottom w:val="single" w:sz="12" w:space="0" w:color="000000"/>
            </w:tcBorders>
          </w:tcPr>
          <w:p w14:paraId="3FDB8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892</w:t>
            </w:r>
          </w:p>
        </w:tc>
        <w:tc>
          <w:tcPr>
            <w:tcW w:w="745" w:type="dxa"/>
            <w:tcBorders>
              <w:bottom w:val="single" w:sz="12" w:space="0" w:color="000000"/>
            </w:tcBorders>
          </w:tcPr>
          <w:p w14:paraId="64B319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289</w:t>
            </w:r>
          </w:p>
        </w:tc>
        <w:tc>
          <w:tcPr>
            <w:tcW w:w="613" w:type="dxa"/>
            <w:tcBorders>
              <w:bottom w:val="single" w:sz="12" w:space="0" w:color="000000"/>
            </w:tcBorders>
          </w:tcPr>
          <w:p w14:paraId="45E66A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202</w:t>
            </w:r>
          </w:p>
        </w:tc>
        <w:tc>
          <w:tcPr>
            <w:tcW w:w="345" w:type="dxa"/>
            <w:tcBorders>
              <w:bottom w:val="single" w:sz="12" w:space="0" w:color="000000"/>
            </w:tcBorders>
          </w:tcPr>
          <w:p w14:paraId="339C9E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345" w:type="dxa"/>
            <w:tcBorders>
              <w:bottom w:val="single" w:sz="12" w:space="0" w:color="000000"/>
            </w:tcBorders>
          </w:tcPr>
          <w:p w14:paraId="1A7B84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345" w:type="dxa"/>
            <w:tcBorders>
              <w:bottom w:val="single" w:sz="12" w:space="0" w:color="000000"/>
            </w:tcBorders>
          </w:tcPr>
          <w:p w14:paraId="0F88B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54,7</w:t>
            </w:r>
          </w:p>
        </w:tc>
        <w:tc>
          <w:tcPr>
            <w:tcW w:w="345" w:type="dxa"/>
            <w:tcBorders>
              <w:bottom w:val="single" w:sz="12" w:space="0" w:color="000000"/>
            </w:tcBorders>
          </w:tcPr>
          <w:p w14:paraId="0B062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61,2</w:t>
            </w:r>
          </w:p>
        </w:tc>
        <w:tc>
          <w:tcPr>
            <w:tcW w:w="302" w:type="dxa"/>
            <w:tcBorders>
              <w:bottom w:val="single" w:sz="12" w:space="0" w:color="000000"/>
            </w:tcBorders>
          </w:tcPr>
          <w:p w14:paraId="061D3F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345" w:type="dxa"/>
            <w:tcBorders>
              <w:bottom w:val="single" w:sz="12" w:space="0" w:color="000000"/>
            </w:tcBorders>
          </w:tcPr>
          <w:p w14:paraId="2B25B5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27,3</w:t>
            </w:r>
          </w:p>
        </w:tc>
        <w:tc>
          <w:tcPr>
            <w:tcW w:w="345" w:type="dxa"/>
            <w:tcBorders>
              <w:bottom w:val="single" w:sz="12" w:space="0" w:color="000000"/>
            </w:tcBorders>
          </w:tcPr>
          <w:p w14:paraId="60AEE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1502,2</w:t>
            </w:r>
          </w:p>
        </w:tc>
        <w:tc>
          <w:tcPr>
            <w:tcW w:w="345" w:type="dxa"/>
            <w:tcBorders>
              <w:bottom w:val="single" w:sz="12" w:space="0" w:color="000000"/>
            </w:tcBorders>
          </w:tcPr>
          <w:p w14:paraId="2FFBC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1292,5</w:t>
            </w:r>
          </w:p>
        </w:tc>
      </w:tr>
    </w:tbl>
    <w:p w14:paraId="67EC68D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Отдел мобпланирования ГШ ВВС, д.103, лл.118-129 (11016).</w:t>
      </w:r>
    </w:p>
    <w:p w14:paraId="738007FA" w14:textId="77777777" w:rsidR="00665165" w:rsidRPr="00F90EAE" w:rsidRDefault="00665165" w:rsidP="00F90EAE">
      <w:pPr>
        <w:autoSpaceDE w:val="0"/>
        <w:autoSpaceDN w:val="0"/>
        <w:adjustRightInd w:val="0"/>
        <w:jc w:val="both"/>
        <w:rPr>
          <w:color w:val="000000" w:themeColor="text1"/>
          <w:sz w:val="16"/>
          <w:szCs w:val="16"/>
        </w:rPr>
      </w:pPr>
    </w:p>
    <w:p w14:paraId="11BF01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мая 1945 для специально назначенной комиссии управления 8-й ВА во главе с начальником отдела эксплуатации армии подполковником Ивановым с четырех исправных самоле</w:t>
      </w:r>
      <w:r w:rsidRPr="00F90EAE">
        <w:rPr>
          <w:color w:val="000000" w:themeColor="text1"/>
          <w:sz w:val="16"/>
          <w:szCs w:val="16"/>
        </w:rPr>
        <w:softHyphen/>
        <w:t>тов Ил-10 (зав. №№ 1891903, 1893603, 1894403, 1890903), выбран</w:t>
      </w:r>
      <w:r w:rsidRPr="00F90EAE">
        <w:rPr>
          <w:color w:val="000000" w:themeColor="text1"/>
          <w:sz w:val="16"/>
          <w:szCs w:val="16"/>
        </w:rPr>
        <w:softHyphen/>
        <w:t>ных членами комиссии наугад, были сняты моторы. На всех мо</w:t>
      </w:r>
      <w:r w:rsidRPr="00F90EAE">
        <w:rPr>
          <w:color w:val="000000" w:themeColor="text1"/>
          <w:sz w:val="16"/>
          <w:szCs w:val="16"/>
        </w:rPr>
        <w:softHyphen/>
        <w:t xml:space="preserve">торах была </w:t>
      </w:r>
      <w:r w:rsidRPr="00F90EAE">
        <w:rPr>
          <w:color w:val="000000" w:themeColor="text1"/>
          <w:sz w:val="16"/>
          <w:szCs w:val="16"/>
        </w:rPr>
        <w:lastRenderedPageBreak/>
        <w:t>обнаружена «большая разработка валиков импелле-ров, которые имели большой люфт, а также обнаружено в нагнетателях много пыли и песку». Вывод комиссии был одно</w:t>
      </w:r>
      <w:r w:rsidRPr="00F90EAE">
        <w:rPr>
          <w:color w:val="000000" w:themeColor="text1"/>
          <w:sz w:val="16"/>
          <w:szCs w:val="16"/>
        </w:rPr>
        <w:softHyphen/>
        <w:t>значен: самолеты с такими моторами в полет выпускать нельзя (11474,514).</w:t>
      </w:r>
    </w:p>
    <w:p w14:paraId="67A0B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B084E8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8BA3D95" w14:textId="77777777" w:rsidR="00665165" w:rsidRPr="00F90EAE" w:rsidRDefault="00665165" w:rsidP="00F90EAE">
      <w:pPr>
        <w:autoSpaceDE w:val="0"/>
        <w:autoSpaceDN w:val="0"/>
        <w:adjustRightInd w:val="0"/>
        <w:jc w:val="both"/>
        <w:rPr>
          <w:iCs/>
          <w:color w:val="000000" w:themeColor="text1"/>
          <w:sz w:val="16"/>
          <w:szCs w:val="16"/>
        </w:rPr>
      </w:pPr>
    </w:p>
    <w:p w14:paraId="0BD9461D"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К 9 мая 1945 за годы Великой Отечественной войны предприятия г. Горького и области дали фронту 43 688 минометов, в том числе 10 103 калибра 120-</w:t>
      </w:r>
      <w:smartTag w:uri="urn:schemas-microsoft-com:office:smarttags" w:element="metricconverter">
        <w:smartTagPr>
          <w:attr w:name="ProductID" w:val="1945 г"/>
        </w:smartTagPr>
        <w:r w:rsidRPr="00F90EAE">
          <w:rPr>
            <w:color w:val="000000" w:themeColor="text1"/>
            <w:sz w:val="16"/>
            <w:szCs w:val="16"/>
          </w:rPr>
          <w:t>160 мм</w:t>
        </w:r>
      </w:smartTag>
      <w:r w:rsidRPr="00F90EAE">
        <w:rPr>
          <w:color w:val="000000" w:themeColor="text1"/>
          <w:sz w:val="16"/>
          <w:szCs w:val="16"/>
        </w:rPr>
        <w:t>. Производство минометов в Советском Союзе в 1937-1944 гг. показано в таблице:</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710"/>
        <w:gridCol w:w="711"/>
        <w:gridCol w:w="711"/>
        <w:gridCol w:w="711"/>
        <w:gridCol w:w="711"/>
        <w:gridCol w:w="711"/>
        <w:gridCol w:w="711"/>
        <w:gridCol w:w="711"/>
      </w:tblGrid>
      <w:tr w:rsidR="00561F31" w:rsidRPr="00F90EAE" w14:paraId="7D74242C" w14:textId="77777777" w:rsidTr="00D713B1">
        <w:trPr>
          <w:trHeight w:val="682"/>
        </w:trPr>
        <w:tc>
          <w:tcPr>
            <w:tcW w:w="973" w:type="dxa"/>
            <w:shd w:val="clear" w:color="auto" w:fill="auto"/>
            <w:vAlign w:val="center"/>
          </w:tcPr>
          <w:p w14:paraId="296376DE"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Калибр</w:t>
            </w:r>
          </w:p>
        </w:tc>
        <w:tc>
          <w:tcPr>
            <w:tcW w:w="710" w:type="dxa"/>
            <w:shd w:val="clear" w:color="auto" w:fill="auto"/>
            <w:textDirection w:val="btLr"/>
          </w:tcPr>
          <w:p w14:paraId="67D3DC31"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1937 г</w:t>
              </w:r>
            </w:smartTag>
            <w:r w:rsidRPr="00F90EAE">
              <w:rPr>
                <w:color w:val="000000" w:themeColor="text1"/>
                <w:sz w:val="16"/>
                <w:szCs w:val="16"/>
              </w:rPr>
              <w:t>.</w:t>
            </w:r>
          </w:p>
        </w:tc>
        <w:tc>
          <w:tcPr>
            <w:tcW w:w="711" w:type="dxa"/>
            <w:shd w:val="clear" w:color="auto" w:fill="auto"/>
            <w:textDirection w:val="btLr"/>
          </w:tcPr>
          <w:p w14:paraId="45B330D2"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1938 г</w:t>
              </w:r>
            </w:smartTag>
            <w:r w:rsidRPr="00F90EAE">
              <w:rPr>
                <w:color w:val="000000" w:themeColor="text1"/>
                <w:sz w:val="16"/>
                <w:szCs w:val="16"/>
              </w:rPr>
              <w:t>.</w:t>
            </w:r>
          </w:p>
        </w:tc>
        <w:tc>
          <w:tcPr>
            <w:tcW w:w="711" w:type="dxa"/>
            <w:shd w:val="clear" w:color="auto" w:fill="auto"/>
            <w:textDirection w:val="btLr"/>
          </w:tcPr>
          <w:p w14:paraId="0664CD25"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1939 г</w:t>
              </w:r>
            </w:smartTag>
            <w:r w:rsidRPr="00F90EAE">
              <w:rPr>
                <w:color w:val="000000" w:themeColor="text1"/>
                <w:sz w:val="16"/>
                <w:szCs w:val="16"/>
              </w:rPr>
              <w:t>.</w:t>
            </w:r>
          </w:p>
        </w:tc>
        <w:tc>
          <w:tcPr>
            <w:tcW w:w="711" w:type="dxa"/>
            <w:shd w:val="clear" w:color="auto" w:fill="auto"/>
            <w:textDirection w:val="btLr"/>
          </w:tcPr>
          <w:p w14:paraId="641ECAA6"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1940 г</w:t>
              </w:r>
            </w:smartTag>
            <w:r w:rsidRPr="00F90EAE">
              <w:rPr>
                <w:color w:val="000000" w:themeColor="text1"/>
                <w:sz w:val="16"/>
                <w:szCs w:val="16"/>
              </w:rPr>
              <w:t>.</w:t>
            </w:r>
          </w:p>
        </w:tc>
        <w:tc>
          <w:tcPr>
            <w:tcW w:w="711" w:type="dxa"/>
            <w:shd w:val="clear" w:color="auto" w:fill="auto"/>
            <w:textDirection w:val="btLr"/>
          </w:tcPr>
          <w:p w14:paraId="0C5123B7"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1941 г</w:t>
              </w:r>
            </w:smartTag>
            <w:r w:rsidRPr="00F90EAE">
              <w:rPr>
                <w:color w:val="000000" w:themeColor="text1"/>
                <w:sz w:val="16"/>
                <w:szCs w:val="16"/>
              </w:rPr>
              <w:t>.</w:t>
            </w:r>
          </w:p>
        </w:tc>
        <w:tc>
          <w:tcPr>
            <w:tcW w:w="711" w:type="dxa"/>
            <w:shd w:val="clear" w:color="auto" w:fill="auto"/>
            <w:textDirection w:val="btLr"/>
          </w:tcPr>
          <w:p w14:paraId="1FD3DC0E"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1942 г</w:t>
              </w:r>
            </w:smartTag>
            <w:r w:rsidRPr="00F90EAE">
              <w:rPr>
                <w:color w:val="000000" w:themeColor="text1"/>
                <w:sz w:val="16"/>
                <w:szCs w:val="16"/>
              </w:rPr>
              <w:t>.</w:t>
            </w:r>
          </w:p>
        </w:tc>
        <w:tc>
          <w:tcPr>
            <w:tcW w:w="711" w:type="dxa"/>
            <w:shd w:val="clear" w:color="auto" w:fill="auto"/>
            <w:textDirection w:val="btLr"/>
          </w:tcPr>
          <w:p w14:paraId="1DADBDE2"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1943 г</w:t>
              </w:r>
            </w:smartTag>
            <w:r w:rsidRPr="00F90EAE">
              <w:rPr>
                <w:color w:val="000000" w:themeColor="text1"/>
                <w:sz w:val="16"/>
                <w:szCs w:val="16"/>
              </w:rPr>
              <w:t>.</w:t>
            </w:r>
          </w:p>
        </w:tc>
        <w:tc>
          <w:tcPr>
            <w:tcW w:w="711" w:type="dxa"/>
            <w:shd w:val="clear" w:color="auto" w:fill="auto"/>
            <w:textDirection w:val="btLr"/>
          </w:tcPr>
          <w:p w14:paraId="2D5A54CE" w14:textId="77777777" w:rsidR="00113C6F" w:rsidRPr="00F90EAE" w:rsidRDefault="00113C6F" w:rsidP="00F90EAE">
            <w:pPr>
              <w:widowControl w:val="0"/>
              <w:jc w:val="both"/>
              <w:rPr>
                <w:color w:val="000000" w:themeColor="text1"/>
                <w:sz w:val="16"/>
                <w:szCs w:val="16"/>
              </w:rPr>
            </w:pPr>
            <w:smartTag w:uri="urn:schemas-microsoft-com:office:smarttags" w:element="metricconverter">
              <w:smartTagPr>
                <w:attr w:name="ProductID" w:val="1945 г"/>
              </w:smartTagPr>
              <w:r w:rsidRPr="00F90EAE">
                <w:rPr>
                  <w:color w:val="000000" w:themeColor="text1"/>
                  <w:sz w:val="16"/>
                  <w:szCs w:val="16"/>
                </w:rPr>
                <w:t>1944 г</w:t>
              </w:r>
            </w:smartTag>
            <w:r w:rsidRPr="00F90EAE">
              <w:rPr>
                <w:color w:val="000000" w:themeColor="text1"/>
                <w:sz w:val="16"/>
                <w:szCs w:val="16"/>
              </w:rPr>
              <w:t>.</w:t>
            </w:r>
          </w:p>
        </w:tc>
      </w:tr>
      <w:tr w:rsidR="00561F31" w:rsidRPr="00F90EAE" w14:paraId="22482F97" w14:textId="77777777" w:rsidTr="00D713B1">
        <w:trPr>
          <w:trHeight w:val="277"/>
        </w:trPr>
        <w:tc>
          <w:tcPr>
            <w:tcW w:w="973" w:type="dxa"/>
            <w:shd w:val="clear" w:color="auto" w:fill="auto"/>
            <w:vAlign w:val="center"/>
          </w:tcPr>
          <w:p w14:paraId="6B9C94CF"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50-мм</w:t>
            </w:r>
          </w:p>
        </w:tc>
        <w:tc>
          <w:tcPr>
            <w:tcW w:w="710" w:type="dxa"/>
            <w:shd w:val="clear" w:color="auto" w:fill="auto"/>
            <w:vAlign w:val="center"/>
          </w:tcPr>
          <w:p w14:paraId="7105A788"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00F900A0"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6B99A31C"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1720</w:t>
            </w:r>
          </w:p>
        </w:tc>
        <w:tc>
          <w:tcPr>
            <w:tcW w:w="711" w:type="dxa"/>
            <w:shd w:val="clear" w:color="auto" w:fill="auto"/>
            <w:vAlign w:val="center"/>
          </w:tcPr>
          <w:p w14:paraId="001350B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23105</w:t>
            </w:r>
          </w:p>
        </w:tc>
        <w:tc>
          <w:tcPr>
            <w:tcW w:w="711" w:type="dxa"/>
            <w:shd w:val="clear" w:color="auto" w:fill="auto"/>
            <w:vAlign w:val="center"/>
          </w:tcPr>
          <w:p w14:paraId="000CAFA3"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28056</w:t>
            </w:r>
          </w:p>
        </w:tc>
        <w:tc>
          <w:tcPr>
            <w:tcW w:w="711" w:type="dxa"/>
            <w:shd w:val="clear" w:color="auto" w:fill="auto"/>
            <w:vAlign w:val="center"/>
          </w:tcPr>
          <w:p w14:paraId="01BABF4F"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104403</w:t>
            </w:r>
          </w:p>
        </w:tc>
        <w:tc>
          <w:tcPr>
            <w:tcW w:w="711" w:type="dxa"/>
            <w:shd w:val="clear" w:color="auto" w:fill="auto"/>
            <w:vAlign w:val="center"/>
          </w:tcPr>
          <w:p w14:paraId="7449F894"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17584</w:t>
            </w:r>
          </w:p>
        </w:tc>
        <w:tc>
          <w:tcPr>
            <w:tcW w:w="711" w:type="dxa"/>
            <w:shd w:val="clear" w:color="auto" w:fill="auto"/>
            <w:vAlign w:val="center"/>
          </w:tcPr>
          <w:p w14:paraId="54D24905"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r>
      <w:tr w:rsidR="00561F31" w:rsidRPr="00F90EAE" w14:paraId="0D83E5D2" w14:textId="77777777" w:rsidTr="00D713B1">
        <w:trPr>
          <w:trHeight w:val="277"/>
        </w:trPr>
        <w:tc>
          <w:tcPr>
            <w:tcW w:w="973" w:type="dxa"/>
            <w:shd w:val="clear" w:color="auto" w:fill="auto"/>
            <w:vAlign w:val="center"/>
          </w:tcPr>
          <w:p w14:paraId="4656877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82-мм</w:t>
            </w:r>
          </w:p>
        </w:tc>
        <w:tc>
          <w:tcPr>
            <w:tcW w:w="710" w:type="dxa"/>
            <w:shd w:val="clear" w:color="auto" w:fill="auto"/>
            <w:vAlign w:val="center"/>
          </w:tcPr>
          <w:p w14:paraId="00982213"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1587</w:t>
            </w:r>
          </w:p>
        </w:tc>
        <w:tc>
          <w:tcPr>
            <w:tcW w:w="711" w:type="dxa"/>
            <w:shd w:val="clear" w:color="auto" w:fill="auto"/>
            <w:vAlign w:val="center"/>
          </w:tcPr>
          <w:p w14:paraId="675FE2B4"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1188</w:t>
            </w:r>
          </w:p>
        </w:tc>
        <w:tc>
          <w:tcPr>
            <w:tcW w:w="711" w:type="dxa"/>
            <w:shd w:val="clear" w:color="auto" w:fill="auto"/>
            <w:vAlign w:val="center"/>
          </w:tcPr>
          <w:p w14:paraId="64890F3F"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1678</w:t>
            </w:r>
          </w:p>
        </w:tc>
        <w:tc>
          <w:tcPr>
            <w:tcW w:w="711" w:type="dxa"/>
            <w:shd w:val="clear" w:color="auto" w:fill="auto"/>
            <w:vAlign w:val="center"/>
          </w:tcPr>
          <w:p w14:paraId="791AD2D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6700</w:t>
            </w:r>
          </w:p>
        </w:tc>
        <w:tc>
          <w:tcPr>
            <w:tcW w:w="711" w:type="dxa"/>
            <w:shd w:val="clear" w:color="auto" w:fill="auto"/>
            <w:vAlign w:val="center"/>
          </w:tcPr>
          <w:p w14:paraId="1517F5C6"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18026</w:t>
            </w:r>
          </w:p>
        </w:tc>
        <w:tc>
          <w:tcPr>
            <w:tcW w:w="711" w:type="dxa"/>
            <w:shd w:val="clear" w:color="auto" w:fill="auto"/>
            <w:vAlign w:val="center"/>
          </w:tcPr>
          <w:p w14:paraId="533C7B14"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100181</w:t>
            </w:r>
          </w:p>
        </w:tc>
        <w:tc>
          <w:tcPr>
            <w:tcW w:w="711" w:type="dxa"/>
            <w:shd w:val="clear" w:color="auto" w:fill="auto"/>
            <w:vAlign w:val="center"/>
          </w:tcPr>
          <w:p w14:paraId="524A996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35082</w:t>
            </w:r>
          </w:p>
        </w:tc>
        <w:tc>
          <w:tcPr>
            <w:tcW w:w="711" w:type="dxa"/>
            <w:shd w:val="clear" w:color="auto" w:fill="auto"/>
            <w:vAlign w:val="center"/>
          </w:tcPr>
          <w:p w14:paraId="12EC479C"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2889</w:t>
            </w:r>
          </w:p>
        </w:tc>
      </w:tr>
      <w:tr w:rsidR="00561F31" w:rsidRPr="00F90EAE" w14:paraId="5DF4D4F8" w14:textId="77777777" w:rsidTr="00D713B1">
        <w:trPr>
          <w:trHeight w:val="277"/>
        </w:trPr>
        <w:tc>
          <w:tcPr>
            <w:tcW w:w="973" w:type="dxa"/>
            <w:shd w:val="clear" w:color="auto" w:fill="auto"/>
            <w:vAlign w:val="center"/>
          </w:tcPr>
          <w:p w14:paraId="18145AF8"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107-мм</w:t>
            </w:r>
          </w:p>
        </w:tc>
        <w:tc>
          <w:tcPr>
            <w:tcW w:w="710" w:type="dxa"/>
            <w:shd w:val="clear" w:color="auto" w:fill="auto"/>
            <w:vAlign w:val="center"/>
          </w:tcPr>
          <w:p w14:paraId="5FF29FF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79F02963"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0D70A691"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35B2B5DC"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950</w:t>
            </w:r>
          </w:p>
        </w:tc>
        <w:tc>
          <w:tcPr>
            <w:tcW w:w="711" w:type="dxa"/>
            <w:shd w:val="clear" w:color="auto" w:fill="auto"/>
            <w:vAlign w:val="center"/>
          </w:tcPr>
          <w:p w14:paraId="23F780B5"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624</w:t>
            </w:r>
          </w:p>
        </w:tc>
        <w:tc>
          <w:tcPr>
            <w:tcW w:w="711" w:type="dxa"/>
            <w:shd w:val="clear" w:color="auto" w:fill="auto"/>
            <w:vAlign w:val="center"/>
          </w:tcPr>
          <w:p w14:paraId="691153AD"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58C40F54"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748CF08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r>
      <w:tr w:rsidR="00561F31" w:rsidRPr="00F90EAE" w14:paraId="68B58793" w14:textId="77777777" w:rsidTr="00D713B1">
        <w:trPr>
          <w:trHeight w:val="277"/>
        </w:trPr>
        <w:tc>
          <w:tcPr>
            <w:tcW w:w="973" w:type="dxa"/>
            <w:shd w:val="clear" w:color="auto" w:fill="auto"/>
            <w:vAlign w:val="center"/>
          </w:tcPr>
          <w:p w14:paraId="149B0B3C"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120-мм</w:t>
            </w:r>
          </w:p>
        </w:tc>
        <w:tc>
          <w:tcPr>
            <w:tcW w:w="710" w:type="dxa"/>
            <w:shd w:val="clear" w:color="auto" w:fill="auto"/>
            <w:vAlign w:val="center"/>
          </w:tcPr>
          <w:p w14:paraId="1B0AA7CF"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02D46DB8"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2A81E431"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541BF60E"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2100</w:t>
            </w:r>
          </w:p>
        </w:tc>
        <w:tc>
          <w:tcPr>
            <w:tcW w:w="711" w:type="dxa"/>
            <w:shd w:val="clear" w:color="auto" w:fill="auto"/>
            <w:vAlign w:val="center"/>
          </w:tcPr>
          <w:p w14:paraId="4FBB6827"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3575</w:t>
            </w:r>
          </w:p>
        </w:tc>
        <w:tc>
          <w:tcPr>
            <w:tcW w:w="711" w:type="dxa"/>
            <w:shd w:val="clear" w:color="auto" w:fill="auto"/>
            <w:vAlign w:val="center"/>
          </w:tcPr>
          <w:p w14:paraId="63977DAD"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25061</w:t>
            </w:r>
          </w:p>
        </w:tc>
        <w:tc>
          <w:tcPr>
            <w:tcW w:w="711" w:type="dxa"/>
            <w:shd w:val="clear" w:color="auto" w:fill="auto"/>
            <w:vAlign w:val="center"/>
          </w:tcPr>
          <w:p w14:paraId="45BD4A10"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16201</w:t>
            </w:r>
          </w:p>
        </w:tc>
        <w:tc>
          <w:tcPr>
            <w:tcW w:w="711" w:type="dxa"/>
            <w:shd w:val="clear" w:color="auto" w:fill="auto"/>
            <w:vAlign w:val="center"/>
          </w:tcPr>
          <w:p w14:paraId="09CF1717"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3044</w:t>
            </w:r>
          </w:p>
        </w:tc>
      </w:tr>
      <w:tr w:rsidR="00561F31" w:rsidRPr="00F90EAE" w14:paraId="1B67B968" w14:textId="77777777" w:rsidTr="00D713B1">
        <w:trPr>
          <w:trHeight w:val="277"/>
        </w:trPr>
        <w:tc>
          <w:tcPr>
            <w:tcW w:w="973" w:type="dxa"/>
            <w:shd w:val="clear" w:color="auto" w:fill="auto"/>
            <w:vAlign w:val="center"/>
          </w:tcPr>
          <w:p w14:paraId="171EF16A"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160-мм</w:t>
            </w:r>
          </w:p>
        </w:tc>
        <w:tc>
          <w:tcPr>
            <w:tcW w:w="710" w:type="dxa"/>
            <w:shd w:val="clear" w:color="auto" w:fill="auto"/>
            <w:vAlign w:val="center"/>
          </w:tcPr>
          <w:p w14:paraId="19202F46"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02C25A03"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7503E6CD"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31BA2BC7"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4E2E5206"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620D9D20"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3F51B283"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w:t>
            </w:r>
          </w:p>
        </w:tc>
        <w:tc>
          <w:tcPr>
            <w:tcW w:w="711" w:type="dxa"/>
            <w:shd w:val="clear" w:color="auto" w:fill="auto"/>
            <w:vAlign w:val="center"/>
          </w:tcPr>
          <w:p w14:paraId="3C3A15EB" w14:textId="77777777" w:rsidR="00113C6F" w:rsidRPr="00F90EAE" w:rsidRDefault="00113C6F" w:rsidP="00F90EAE">
            <w:pPr>
              <w:widowControl w:val="0"/>
              <w:jc w:val="both"/>
              <w:rPr>
                <w:color w:val="000000" w:themeColor="text1"/>
                <w:sz w:val="16"/>
                <w:szCs w:val="16"/>
              </w:rPr>
            </w:pPr>
            <w:r w:rsidRPr="00F90EAE">
              <w:rPr>
                <w:color w:val="000000" w:themeColor="text1"/>
                <w:sz w:val="16"/>
                <w:szCs w:val="16"/>
              </w:rPr>
              <w:t>593</w:t>
            </w:r>
          </w:p>
        </w:tc>
      </w:tr>
    </w:tbl>
    <w:p w14:paraId="754086DF" w14:textId="77777777" w:rsidR="00113C6F" w:rsidRPr="00F90EAE" w:rsidRDefault="00113C6F" w:rsidP="00F90EAE">
      <w:pPr>
        <w:widowControl w:val="0"/>
        <w:jc w:val="both"/>
        <w:rPr>
          <w:color w:val="000000" w:themeColor="text1"/>
          <w:sz w:val="16"/>
          <w:szCs w:val="16"/>
        </w:rPr>
      </w:pPr>
    </w:p>
    <w:p w14:paraId="47830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9 мая 1945 в конце войны конструкторы КБ-520 наряду с работами по танкам Т-34-85 и Т-44 приступили к созданию более совершенного танка, при конструировании которого предполагалось использовать огромный опыт эксплуатации танков в боевых условиях на фронтах Великой Отечественной войны. Конструктивные проработки главным образом велись в направлениях:</w:t>
      </w:r>
    </w:p>
    <w:p w14:paraId="098DFA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усиления огневой мощи танка;</w:t>
      </w:r>
    </w:p>
    <w:p w14:paraId="26C42A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повышения его броневой защиты;</w:t>
      </w:r>
    </w:p>
    <w:p w14:paraId="4E8F1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способности танка преодолевать водные преграды по дну (9154).</w:t>
      </w:r>
    </w:p>
    <w:p w14:paraId="62E1AE8C" w14:textId="77777777" w:rsidR="00665165" w:rsidRPr="00F90EAE" w:rsidRDefault="00665165" w:rsidP="00F90EAE">
      <w:pPr>
        <w:autoSpaceDE w:val="0"/>
        <w:autoSpaceDN w:val="0"/>
        <w:adjustRightInd w:val="0"/>
        <w:jc w:val="both"/>
        <w:rPr>
          <w:color w:val="000000" w:themeColor="text1"/>
          <w:sz w:val="16"/>
          <w:szCs w:val="16"/>
        </w:rPr>
      </w:pPr>
    </w:p>
    <w:p w14:paraId="06F225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9 мая 1945 г. за военный период с 22 июня 1941 г. в исключительно тяжелых условиях автомобильные заводы в Москве, Ульяновске, Миассе, Горьком, Ярославле изготовили 205000 машин, причем наибольшее количество (57400) приходится на 1944 г. Когда начались военные действия, Красная Армия располагала 272 600 автомобилей. Немалая их часть была потеряна в первые месяцы войны, а за 1942 г. автомобильная промышленность страны при напряжении всех усилий смогла дать только 32300 машин. Начавшиеся в том же году поставки автомобильной техники из США, Англии, Канады до конца войны выразились в 401 000 автомобилей. Десятки тысяч грузовиков, автобусов, тягачей, легковых машин поступили в армию и народное хозяйство в качестве трофеев. Вместе они образовали весьма пестрый парк, в котором была представлена продукция не только немецких, но и австрийских, чехословацких, итальянских, французских заводов. Эксплуатация столь разнотипного и разномарочного автомобильного парка была весьма сложной из-за широчайшей номенклатуры запасных частей и эксплуатационных материалов. Но одновременно она дала конструкторам и эксплуатационникам богатейший опыт многостороннего сравнения десятков разных технических концепций (12098).</w:t>
      </w:r>
    </w:p>
    <w:p w14:paraId="12A1D7E3" w14:textId="77777777" w:rsidR="00665165" w:rsidRPr="00F90EAE" w:rsidRDefault="00665165" w:rsidP="00F90EAE">
      <w:pPr>
        <w:autoSpaceDE w:val="0"/>
        <w:autoSpaceDN w:val="0"/>
        <w:adjustRightInd w:val="0"/>
        <w:jc w:val="both"/>
        <w:rPr>
          <w:color w:val="000000" w:themeColor="text1"/>
          <w:sz w:val="16"/>
          <w:szCs w:val="16"/>
        </w:rPr>
      </w:pPr>
    </w:p>
    <w:p w14:paraId="65E3D6D6" w14:textId="77777777" w:rsidR="006979C2" w:rsidRPr="00F90EAE" w:rsidRDefault="006979C2" w:rsidP="00F90EAE">
      <w:pPr>
        <w:jc w:val="both"/>
        <w:rPr>
          <w:color w:val="000000" w:themeColor="text1"/>
          <w:sz w:val="16"/>
          <w:szCs w:val="16"/>
        </w:rPr>
      </w:pPr>
      <w:r w:rsidRPr="00F90EAE">
        <w:rPr>
          <w:color w:val="000000" w:themeColor="text1"/>
          <w:sz w:val="16"/>
          <w:szCs w:val="16"/>
        </w:rPr>
        <w:t>9 мая 1945г. Богословский завод выплавил свой первый алюминий (12249).</w:t>
      </w:r>
    </w:p>
    <w:p w14:paraId="70B5B27F" w14:textId="77777777" w:rsidR="006979C2" w:rsidRPr="00F90EAE" w:rsidRDefault="006979C2" w:rsidP="00F90EAE">
      <w:pPr>
        <w:jc w:val="both"/>
        <w:rPr>
          <w:color w:val="000000" w:themeColor="text1"/>
          <w:sz w:val="16"/>
          <w:szCs w:val="16"/>
        </w:rPr>
      </w:pPr>
    </w:p>
    <w:p w14:paraId="058D9B6A" w14:textId="77777777" w:rsidR="00A40B71" w:rsidRPr="00F90EAE" w:rsidRDefault="00A40B71" w:rsidP="00F90EAE">
      <w:pPr>
        <w:jc w:val="both"/>
        <w:rPr>
          <w:color w:val="000000" w:themeColor="text1"/>
          <w:sz w:val="16"/>
          <w:szCs w:val="16"/>
        </w:rPr>
      </w:pPr>
      <w:r w:rsidRPr="00F90EAE">
        <w:rPr>
          <w:color w:val="000000" w:themeColor="text1"/>
          <w:sz w:val="16"/>
          <w:szCs w:val="16"/>
        </w:rPr>
        <w:t>9 мая в 1945 году выдал первую партию металла Богословский алюминиевый завод (город Краснотурьинск, Свердловская область; с 1994 г. ОАО «БАЗ») (14886).</w:t>
      </w:r>
    </w:p>
    <w:p w14:paraId="248FECEE" w14:textId="77777777" w:rsidR="00A40B71" w:rsidRPr="00F90EAE" w:rsidRDefault="00A40B71" w:rsidP="00F90EAE">
      <w:pPr>
        <w:jc w:val="both"/>
        <w:rPr>
          <w:color w:val="000000" w:themeColor="text1"/>
          <w:sz w:val="16"/>
          <w:szCs w:val="16"/>
        </w:rPr>
      </w:pPr>
    </w:p>
    <w:p w14:paraId="40811B83" w14:textId="77777777" w:rsidR="00460695" w:rsidRPr="00F90EAE" w:rsidRDefault="00460695" w:rsidP="00F90EAE">
      <w:pPr>
        <w:jc w:val="both"/>
        <w:rPr>
          <w:color w:val="000000" w:themeColor="text1"/>
          <w:sz w:val="16"/>
          <w:szCs w:val="16"/>
        </w:rPr>
      </w:pPr>
      <w:r w:rsidRPr="00F90EAE">
        <w:rPr>
          <w:color w:val="000000" w:themeColor="text1"/>
          <w:sz w:val="16"/>
          <w:szCs w:val="16"/>
        </w:rPr>
        <w:t>После 9 мая 1945 на ГАЗ им. Молотова начались процессы, которые можно назвать изгнанием «танкистов». Фактическая же смерть СУ-85Б наступила в начале лета. О происходивших в это время событиях красноречиво говорит доклад старшего военпреда Окунева за июнь 1945 года:</w:t>
      </w:r>
    </w:p>
    <w:p w14:paraId="34093B25" w14:textId="77777777" w:rsidR="00460695" w:rsidRPr="00F90EAE" w:rsidRDefault="00460695" w:rsidP="00F90EAE">
      <w:pPr>
        <w:jc w:val="both"/>
        <w:rPr>
          <w:color w:val="000000" w:themeColor="text1"/>
          <w:sz w:val="16"/>
          <w:szCs w:val="16"/>
        </w:rPr>
      </w:pPr>
      <w:r w:rsidRPr="00F90EAE">
        <w:rPr>
          <w:color w:val="000000" w:themeColor="text1"/>
          <w:sz w:val="16"/>
          <w:szCs w:val="16"/>
        </w:rPr>
        <w:t>«В отчётном месяце продолжали происходить изменения в личном составе конструкторов-танкистов. Ушёл с ГАЗ-а заместитель главного конструктора товарищ Астров, перейдя на должность главного конструктора завода малолитражных автомобилей «КИМ». Из ОКБ ушли все основные кадры конструкторов-танкистов. Осталось несколько конструкторов для текущего производства. Настроение руководства завода таково, что все опытные работы с боевыми машинами — закончены. Так, например: прибывшая на ГАЗ группа работников завода №235 с опытным образцом 85 мм пушки, с целью установки её на СУ-76 для проверки, не была даже впущена на завод. Завод категорически отказался о продолжения каких-либо опытных работ по СУ» (18098).</w:t>
      </w:r>
    </w:p>
    <w:p w14:paraId="612ECA03" w14:textId="77777777" w:rsidR="00460695" w:rsidRPr="00F90EAE" w:rsidRDefault="00460695" w:rsidP="00F90EAE">
      <w:pPr>
        <w:jc w:val="both"/>
        <w:rPr>
          <w:color w:val="000000" w:themeColor="text1"/>
          <w:sz w:val="16"/>
          <w:szCs w:val="16"/>
        </w:rPr>
      </w:pPr>
    </w:p>
    <w:p w14:paraId="5B08D1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9 мая 1945 г. с 22 июня 1941 г. промышленность сдала ВМФ 2 легких крейсера, 18 эскад</w:t>
      </w:r>
      <w:r w:rsidRPr="00F90EAE">
        <w:rPr>
          <w:color w:val="000000" w:themeColor="text1"/>
          <w:sz w:val="16"/>
          <w:szCs w:val="16"/>
        </w:rPr>
        <w:softHyphen/>
        <w:t>ренных миноносцев, 54 подводные лодки, 2 монитора, 1 стороже</w:t>
      </w:r>
      <w:r w:rsidRPr="00F90EAE">
        <w:rPr>
          <w:color w:val="000000" w:themeColor="text1"/>
          <w:sz w:val="16"/>
          <w:szCs w:val="16"/>
        </w:rPr>
        <w:softHyphen/>
        <w:t>вой корабль, 2 турбинных и 1 дизельный базовый тральщика и 18 больших охотников. Постройка всех этих кораблей была начата до июня 1941 г. Одновременно были построены и введены в состав ВМФ 591 боевой катер (торпедный, малый охотник, сторожевой, бронекатер), 327 катерньис тральщиков и 1375 различных вспомо</w:t>
      </w:r>
      <w:r w:rsidRPr="00F90EAE">
        <w:rPr>
          <w:color w:val="000000" w:themeColor="text1"/>
          <w:sz w:val="16"/>
          <w:szCs w:val="16"/>
        </w:rPr>
        <w:softHyphen/>
        <w:t>гательных судов и катеров (включая тендеры, десантные боты и т. п.). Большинство единиц этого "москитного флота" бьыо по</w:t>
      </w:r>
      <w:r w:rsidRPr="00F90EAE">
        <w:rPr>
          <w:color w:val="000000" w:themeColor="text1"/>
          <w:sz w:val="16"/>
          <w:szCs w:val="16"/>
        </w:rPr>
        <w:softHyphen/>
        <w:t>строено в военные годы. Согласно официальным отчетам , боевые потери ВМФ на трех морских театрах составили 1583 корабля и судна (включая су</w:t>
      </w:r>
      <w:r w:rsidRPr="00F90EAE">
        <w:rPr>
          <w:color w:val="000000" w:themeColor="text1"/>
          <w:sz w:val="16"/>
          <w:szCs w:val="16"/>
        </w:rPr>
        <w:softHyphen/>
        <w:t>да Наркомморфлота), 1114 плавсредств бьшо потеряно по навига</w:t>
      </w:r>
      <w:r w:rsidRPr="00F90EAE">
        <w:rPr>
          <w:color w:val="000000" w:themeColor="text1"/>
          <w:sz w:val="16"/>
          <w:szCs w:val="16"/>
        </w:rPr>
        <w:softHyphen/>
        <w:t>ционным, неизвестным и другим причинам. По уточненным дан</w:t>
      </w:r>
      <w:r w:rsidRPr="00F90EAE">
        <w:rPr>
          <w:color w:val="000000" w:themeColor="text1"/>
          <w:sz w:val="16"/>
          <w:szCs w:val="16"/>
        </w:rPr>
        <w:softHyphen/>
        <w:t>ным , на всех морских и речных театрах было потеряно 1015 бое</w:t>
      </w:r>
      <w:r w:rsidRPr="00F90EAE">
        <w:rPr>
          <w:color w:val="000000" w:themeColor="text1"/>
          <w:sz w:val="16"/>
          <w:szCs w:val="16"/>
        </w:rPr>
        <w:softHyphen/>
        <w:t>вьис кораблей и катеров, в том числе линкор "Марат" (восстановлен как плавбатарея), крейсер, 4 лидера, 30 эскадренных миноносцев, 103 подводные лодки, 11 речных мониторов, 36 сторожевых ко</w:t>
      </w:r>
      <w:r w:rsidRPr="00F90EAE">
        <w:rPr>
          <w:color w:val="000000" w:themeColor="text1"/>
          <w:sz w:val="16"/>
          <w:szCs w:val="16"/>
        </w:rPr>
        <w:softHyphen/>
        <w:t>раблей, 34 канонерские лодки, 7 заградителей, 88 тральщиков, 139 торпедных катеров, 128 охотников за подводными лодками, 77 бронекатеров, 168 катеров-тральщиков и 188 катеров других типов. Потери Морского флота СССР в 1941—1945 гг. составили 329 судов общей вместимостью 698,3 тыс. брт, в том числе 203 грузо</w:t>
      </w:r>
      <w:r w:rsidRPr="00F90EAE">
        <w:rPr>
          <w:color w:val="000000" w:themeColor="text1"/>
          <w:sz w:val="16"/>
          <w:szCs w:val="16"/>
        </w:rPr>
        <w:softHyphen/>
        <w:t>вых, 48 грузопассажирских, 13 танкеров, 17 ледоколов и ледоколь</w:t>
      </w:r>
      <w:r w:rsidRPr="00F90EAE">
        <w:rPr>
          <w:color w:val="000000" w:themeColor="text1"/>
          <w:sz w:val="16"/>
          <w:szCs w:val="16"/>
        </w:rPr>
        <w:softHyphen/>
        <w:t>ных пароходов, 2 гидрографических судна и 23 судна технического флота. По другим данным , во время войны погибло и было списано по износу 370 судов. Для восполнения потерь было приоб</w:t>
      </w:r>
      <w:r w:rsidRPr="00F90EAE">
        <w:rPr>
          <w:color w:val="000000" w:themeColor="text1"/>
          <w:sz w:val="16"/>
          <w:szCs w:val="16"/>
        </w:rPr>
        <w:softHyphen/>
        <w:t>ретено за границей, в основном в США, 71 судно общей грузоподъ</w:t>
      </w:r>
      <w:r w:rsidRPr="00F90EAE">
        <w:rPr>
          <w:color w:val="000000" w:themeColor="text1"/>
          <w:sz w:val="16"/>
          <w:szCs w:val="16"/>
        </w:rPr>
        <w:softHyphen/>
        <w:t>емностью 580 тыс. т. Известно, что по ленд-лизу также из США было получено 59 грузовых судов и 15 танкеров общим дедвейтом 755,2 тыс. т и стоимостью 97,3 млн долл. Из них к январю 1946 г. 4 судна бьши потеряны и 8 возвращены США. В 1944 г. в веде</w:t>
      </w:r>
      <w:r w:rsidRPr="00F90EAE">
        <w:rPr>
          <w:color w:val="000000" w:themeColor="text1"/>
          <w:sz w:val="16"/>
          <w:szCs w:val="16"/>
        </w:rPr>
        <w:softHyphen/>
        <w:t>ние Дунайского пароходства Наркомморфлота поступили 270 тро</w:t>
      </w:r>
      <w:r w:rsidRPr="00F90EAE">
        <w:rPr>
          <w:color w:val="000000" w:themeColor="text1"/>
          <w:sz w:val="16"/>
          <w:szCs w:val="16"/>
        </w:rPr>
        <w:softHyphen/>
        <w:t>фейных, репарационных и купленных у иностранных владельцев судов различньхх типов. Речной флот СССР также понес в войне значительный ущерб. В 1941—1944 гг. было уничтожено и затоплено 1092 самоходных судна общей мощностью 140,4 тыс. л. с., 62 земснаряда, 2608 неса</w:t>
      </w:r>
      <w:r w:rsidRPr="00F90EAE">
        <w:rPr>
          <w:color w:val="000000" w:themeColor="text1"/>
          <w:sz w:val="16"/>
          <w:szCs w:val="16"/>
        </w:rPr>
        <w:softHyphen/>
        <w:t>моходных грузовых судов общей грузоподъемностью 1106 тыс. т и 626 других судов и плавсредств. Речной флот (в части металличе</w:t>
      </w:r>
      <w:r w:rsidRPr="00F90EAE">
        <w:rPr>
          <w:color w:val="000000" w:themeColor="text1"/>
          <w:sz w:val="16"/>
          <w:szCs w:val="16"/>
        </w:rPr>
        <w:softHyphen/>
        <w:t>ских судов) значительно сократился и нуждался в послевоенном восстановлении. Грузооборот речного транспорта в 1940—1945 гг. сократился почти в 2 раза. В 1945 г. речники перевезли 36,6 млн т грузов и 38,5 млн пассажиров (в 1941 г. — 66,3 и 48,3, в 1943 г. — 38,9 и 32,7 соответственно) (3898).</w:t>
      </w:r>
    </w:p>
    <w:p w14:paraId="7C5BB662" w14:textId="77777777" w:rsidR="00665165" w:rsidRPr="00F90EAE" w:rsidRDefault="00665165" w:rsidP="00F90EAE">
      <w:pPr>
        <w:autoSpaceDE w:val="0"/>
        <w:autoSpaceDN w:val="0"/>
        <w:adjustRightInd w:val="0"/>
        <w:jc w:val="both"/>
        <w:rPr>
          <w:color w:val="000000" w:themeColor="text1"/>
          <w:sz w:val="16"/>
          <w:szCs w:val="16"/>
        </w:rPr>
      </w:pPr>
    </w:p>
    <w:p w14:paraId="6570B53A" w14:textId="77777777" w:rsidR="00BB2377" w:rsidRPr="00F90EAE" w:rsidRDefault="00BB2377" w:rsidP="00F90EAE">
      <w:pPr>
        <w:jc w:val="both"/>
        <w:rPr>
          <w:color w:val="000000" w:themeColor="text1"/>
          <w:sz w:val="16"/>
          <w:szCs w:val="16"/>
        </w:rPr>
      </w:pPr>
      <w:r w:rsidRPr="00F90EAE">
        <w:rPr>
          <w:color w:val="000000" w:themeColor="text1"/>
          <w:sz w:val="16"/>
          <w:szCs w:val="16"/>
        </w:rPr>
        <w:t>9 мая 1945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2FE55401" w14:textId="77777777" w:rsidR="00BB2377" w:rsidRPr="00F90EAE" w:rsidRDefault="00BB2377" w:rsidP="00F90EAE">
      <w:pPr>
        <w:jc w:val="both"/>
        <w:rPr>
          <w:color w:val="000000" w:themeColor="text1"/>
          <w:sz w:val="16"/>
          <w:szCs w:val="16"/>
        </w:rPr>
      </w:pPr>
    </w:p>
    <w:p w14:paraId="0BD46D5A" w14:textId="77777777" w:rsidR="00460695" w:rsidRPr="00F90EAE" w:rsidRDefault="00460695" w:rsidP="00F90EAE">
      <w:pPr>
        <w:jc w:val="both"/>
        <w:rPr>
          <w:color w:val="000000" w:themeColor="text1"/>
          <w:sz w:val="16"/>
          <w:szCs w:val="16"/>
        </w:rPr>
      </w:pPr>
      <w:r w:rsidRPr="00F90EAE">
        <w:rPr>
          <w:color w:val="000000" w:themeColor="text1"/>
          <w:sz w:val="16"/>
          <w:szCs w:val="16"/>
        </w:rPr>
        <w:t>По состоянию на 9 мая 1945 г. из Германского рейха было вывезено 48 тыс. вагонов оборудования общим весом 550 тыс. тонн. Оценка стоимости этих грузов велась из расчета 370 долларов за одну тонну. В общей сложности до 1 августа 1946 г. было демонтировано оборудование 4166 предприятий общей остаточной стоимостью в 1,9 млрд. долларов (для его транспортировки потребовалось 556 тыс вагонов). Кроме того, было конфисковано и передано в собственность СССР подвижного состава железных дорог на сумму в 350 млн. долларов33. Вывоз оборудования из Германии позволял существенно усилить экономический и военно-промышленный потенциал СССР. Так, мощность электрогенераторов выросла на 48%, электростанций — на 71, число металлорежущих станков — на 42, прессов и молотов — на 26, деревообрабатывающего оборудования — на 28%.</w:t>
      </w:r>
    </w:p>
    <w:p w14:paraId="6F73D801" w14:textId="77777777" w:rsidR="00460695" w:rsidRPr="00F90EAE" w:rsidRDefault="00460695" w:rsidP="00F90EAE">
      <w:pPr>
        <w:jc w:val="both"/>
        <w:rPr>
          <w:color w:val="000000" w:themeColor="text1"/>
          <w:sz w:val="16"/>
          <w:szCs w:val="16"/>
        </w:rPr>
      </w:pPr>
      <w:r w:rsidRPr="00F90EAE">
        <w:rPr>
          <w:color w:val="000000" w:themeColor="text1"/>
          <w:sz w:val="16"/>
          <w:szCs w:val="16"/>
        </w:rPr>
        <w:t>До заключения Потсдамских соглашений было вывезено практически все промышленное оборудование из передаваемых Польше районов Восточной Пруссии, Силезии, Померании, а также из Западного Берлина. Кроме того, в СССР была отправлена значительная часть имущества из Восточной Германии. Оценка результатов деятельности трофейных и демонтажных команд практически не производилась, поэтому данные об изъятиях не были учтены при подсчете репараций(19846).</w:t>
      </w:r>
    </w:p>
    <w:p w14:paraId="4A32950D" w14:textId="77777777" w:rsidR="00460695" w:rsidRPr="00F90EAE" w:rsidRDefault="00460695" w:rsidP="00F90EAE">
      <w:pPr>
        <w:jc w:val="both"/>
        <w:rPr>
          <w:color w:val="000000" w:themeColor="text1"/>
          <w:sz w:val="16"/>
          <w:szCs w:val="16"/>
        </w:rPr>
      </w:pPr>
    </w:p>
    <w:p w14:paraId="118CE2C6" w14:textId="77777777" w:rsidR="00460695" w:rsidRPr="00F90EAE" w:rsidRDefault="00460695" w:rsidP="00F90EAE">
      <w:pPr>
        <w:jc w:val="both"/>
        <w:rPr>
          <w:color w:val="000000" w:themeColor="text1"/>
          <w:sz w:val="16"/>
          <w:szCs w:val="16"/>
        </w:rPr>
      </w:pPr>
      <w:r w:rsidRPr="00F90EAE">
        <w:rPr>
          <w:color w:val="000000" w:themeColor="text1"/>
          <w:sz w:val="16"/>
          <w:szCs w:val="16"/>
        </w:rPr>
        <w:t>До 9 мая 1945 г. из Германского рейха в СССР было вывезено 48 тыс. вагонов оборудования общим весом 550 тыс. тонн (оценка стоимости этих грузов велась из расчета 370 долларов за одну тонну) 27 . В общей сложности до 1 августа 1946 г. было демонтировано оборудование 4 166 предприятий общей остаточной стоимостью в 1,9 млрд долларов. Кроме того, было конфисковано и передано в собственность СССР подвижного состава железных дорог на сумму в 350 млн долларов.</w:t>
      </w:r>
    </w:p>
    <w:p w14:paraId="64E4919B" w14:textId="77777777" w:rsidR="00460695" w:rsidRPr="00F90EAE" w:rsidRDefault="00460695" w:rsidP="00F90EAE">
      <w:pPr>
        <w:jc w:val="both"/>
        <w:rPr>
          <w:color w:val="000000" w:themeColor="text1"/>
          <w:sz w:val="16"/>
          <w:szCs w:val="16"/>
        </w:rPr>
      </w:pPr>
      <w:r w:rsidRPr="00F90EAE">
        <w:rPr>
          <w:color w:val="000000" w:themeColor="text1"/>
          <w:sz w:val="16"/>
          <w:szCs w:val="16"/>
        </w:rPr>
        <w:t>«Законный» этап взимания репараций начался после Берлинской конференции. Репарации осуществлялись в следующих формах: 1) вывоз военной техники и «излишних» транспортных средств — кораблей, паровозов, локомотивов, вагонов, цистерн и проч., а также железнодорожной инфраструктуры — рельсов, шпал и стрелочных переводов; 2) демонтаж оборудования из советской зоны (прежде всего военных заводов, металлургических, судостроительных, авиационных, химических, электротехнических, оптических предприятий) 29 ; 3) демонтаж оборудования из западных зон (прежде всего химических, танковых, автомобильных, авиационных, судостроительных заводов, а также металлургических предприятий) ; 4) поставки продукции из текущего производства (вывоз продовольствия, товаров народного потребления, продукции военного назначения и дугого). На многих частных предприятиях советской оккупационной зоны (СОЗ) были размещены репарационные заказы по производству машин и оборудования, цветных металлов, химикатов, синтетического каучука и резины, товаров народного потребления, стройматериалов, спирта, крахмала и сахара. При распределении заказов зачастую не учитывались производственные мощности и запасы сырья, что приводило к срывам поставок. Ситуация обострилась, когда в течение 1946 г. в СОЗ практически иссякли все запасы производственного сырья, сделанные в годы войны [СССР и Германский вопрос, 2004. С. 51] 33 . Оплата поставок из текущего производства осуществлялась за счет средств земельных бюджетов СОЗ. В результате их главными расходными статьями стали выплата репараций и покрытие затрат на оккупацию, всего в 1945—1949 гг. на эти цели было потрачено свыше 1,9 млрд долларов (19850).</w:t>
      </w:r>
    </w:p>
    <w:p w14:paraId="2FB2D2AF" w14:textId="77777777" w:rsidR="00460695" w:rsidRPr="00F90EAE" w:rsidRDefault="00460695" w:rsidP="00F90EAE">
      <w:pPr>
        <w:jc w:val="both"/>
        <w:rPr>
          <w:color w:val="000000" w:themeColor="text1"/>
          <w:sz w:val="16"/>
          <w:szCs w:val="16"/>
        </w:rPr>
      </w:pPr>
    </w:p>
    <w:p w14:paraId="7A49423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77E0C1F" w14:textId="77777777" w:rsidR="00665165" w:rsidRPr="00F90EAE" w:rsidRDefault="00665165" w:rsidP="00F90EAE">
      <w:pPr>
        <w:autoSpaceDE w:val="0"/>
        <w:autoSpaceDN w:val="0"/>
        <w:adjustRightInd w:val="0"/>
        <w:jc w:val="both"/>
        <w:rPr>
          <w:iCs/>
          <w:color w:val="000000" w:themeColor="text1"/>
          <w:sz w:val="16"/>
          <w:szCs w:val="16"/>
        </w:rPr>
      </w:pPr>
    </w:p>
    <w:p w14:paraId="69A400DD" w14:textId="77777777" w:rsidR="002F1089" w:rsidRPr="00F90EAE" w:rsidRDefault="002F1089" w:rsidP="00F90EAE">
      <w:pPr>
        <w:jc w:val="both"/>
        <w:rPr>
          <w:color w:val="000000" w:themeColor="text1"/>
          <w:sz w:val="16"/>
          <w:szCs w:val="16"/>
        </w:rPr>
      </w:pPr>
      <w:r w:rsidRPr="00F90EAE">
        <w:rPr>
          <w:color w:val="000000" w:themeColor="text1"/>
          <w:sz w:val="16"/>
          <w:szCs w:val="16"/>
        </w:rPr>
        <w:t>9 мая в 1945 году оперативная сводка Совинформбюро:</w:t>
      </w:r>
    </w:p>
    <w:p w14:paraId="53C204F0" w14:textId="77777777" w:rsidR="002F1089" w:rsidRPr="00F90EAE" w:rsidRDefault="002F1089" w:rsidP="00F90EAE">
      <w:pPr>
        <w:jc w:val="both"/>
        <w:rPr>
          <w:color w:val="000000" w:themeColor="text1"/>
          <w:sz w:val="16"/>
          <w:szCs w:val="16"/>
        </w:rPr>
      </w:pPr>
      <w:r w:rsidRPr="00F90EAE">
        <w:rPr>
          <w:color w:val="000000" w:themeColor="text1"/>
          <w:sz w:val="16"/>
          <w:szCs w:val="16"/>
        </w:rPr>
        <w:t>«Между Тукумсом и Либавой Курляндская группа немецких войск в составе 16 и 18 немецких армий под командованием генерала от инфантерии Гильперта с 23 часов 8 мая сего года прекратила сопротивление и начала передавать личный состав и боевую технику войскам Ленинградского фронта. Войска фронта заняли города Либава (Лепая), Павилоста, Айзпуте, Скрунда, Салдус, Сабиле, Кандава, Тукумс. К вечеру 9 мая войскам фронта сдалось в плен более 45.000 немецких солдат и офицеров. Приём пленных продолжается.</w:t>
      </w:r>
    </w:p>
    <w:p w14:paraId="55443F2E" w14:textId="77777777" w:rsidR="002F1089" w:rsidRPr="00F90EAE" w:rsidRDefault="002F1089" w:rsidP="00F90EAE">
      <w:pPr>
        <w:jc w:val="both"/>
        <w:rPr>
          <w:color w:val="000000" w:themeColor="text1"/>
          <w:sz w:val="16"/>
          <w:szCs w:val="16"/>
        </w:rPr>
      </w:pPr>
      <w:r w:rsidRPr="00F90EAE">
        <w:rPr>
          <w:color w:val="000000" w:themeColor="text1"/>
          <w:sz w:val="16"/>
          <w:szCs w:val="16"/>
        </w:rPr>
        <w:t>В районе устья реки Вислы восточнее Данцига и на косе Путцигер-Нерунг северо-восточнее Гдыни группы немецких войск, прижатые к побережью моря, прекратили сопротивление и с утра 9 мая начали сдачу личного состава и боевой техники войскам 3-го и 2-го Белорусских фронтов. К вечеру 9 мая войскам 3-го Белорусского фронта сдалось в плен 11.000, а войскам 2-го Белорусского фронта 10.000 немецких солдат и офицеров. Приём пленных продолжается.</w:t>
      </w:r>
    </w:p>
    <w:p w14:paraId="3638B94E" w14:textId="77777777" w:rsidR="002F1089" w:rsidRPr="00F90EAE" w:rsidRDefault="002F1089" w:rsidP="00F90EAE">
      <w:pPr>
        <w:jc w:val="both"/>
        <w:rPr>
          <w:color w:val="000000" w:themeColor="text1"/>
          <w:sz w:val="16"/>
          <w:szCs w:val="16"/>
        </w:rPr>
      </w:pPr>
      <w:r w:rsidRPr="00F90EAE">
        <w:rPr>
          <w:color w:val="000000" w:themeColor="text1"/>
          <w:sz w:val="16"/>
          <w:szCs w:val="16"/>
        </w:rPr>
        <w:t>Группа немецких войск в Чехословакии, уклоняясь от капитуляции советским войскам, поспешно отходит на запад и юго-запад.</w:t>
      </w:r>
    </w:p>
    <w:p w14:paraId="3929A6E6" w14:textId="77777777" w:rsidR="002F1089" w:rsidRPr="00F90EAE" w:rsidRDefault="002F1089" w:rsidP="00F90EAE">
      <w:pPr>
        <w:jc w:val="both"/>
        <w:rPr>
          <w:color w:val="000000" w:themeColor="text1"/>
          <w:sz w:val="16"/>
          <w:szCs w:val="16"/>
        </w:rPr>
      </w:pPr>
      <w:r w:rsidRPr="00F90EAE">
        <w:rPr>
          <w:color w:val="000000" w:themeColor="text1"/>
          <w:sz w:val="16"/>
          <w:szCs w:val="16"/>
        </w:rPr>
        <w:t>Войска 1-го Украинского фронта, в результате стремительного ночного манёвра танковых соединений и пехоты, сломили сопротивление противника и 9 мая в 4 часа утра освободили от немецких захватчиков столицу союзной нам Чехословакии город Прагу, а также заняли на территории Чехословакии города Хомутов, Кадань, Билина, Лоуны. Юго-восточнее Дрездена войска фронта, продвигаясь вперёд, заняли города Пирна, Зебнитц, Нойгерсдорф, Циттау, Фридлант, Лаубан, Грайффенберг, Гиршберг, Вармбрунн. Одновременно юго-западнее и южнее Бреславля войска фронта заняли города Ландесхут, Готтесберг, Вальденбург, Швейдниц, Рейхенбах, Лангенбилау, Франкенштайн, Патшкау, Варта, Глатц, Ландек.</w:t>
      </w:r>
    </w:p>
    <w:p w14:paraId="0DF49CED" w14:textId="77777777" w:rsidR="002F1089" w:rsidRPr="00F90EAE" w:rsidRDefault="002F1089" w:rsidP="00F90EAE">
      <w:pPr>
        <w:jc w:val="both"/>
        <w:rPr>
          <w:color w:val="000000" w:themeColor="text1"/>
          <w:sz w:val="16"/>
          <w:szCs w:val="16"/>
        </w:rPr>
      </w:pPr>
      <w:r w:rsidRPr="00F90EAE">
        <w:rPr>
          <w:color w:val="000000" w:themeColor="text1"/>
          <w:sz w:val="16"/>
          <w:szCs w:val="16"/>
        </w:rPr>
        <w:t>Войска 4-го Украинского фронта заняли на территории Чехословакии города Шилперк, Мюглиц, Моравска Трюбау, Литовель, Простеев.</w:t>
      </w:r>
    </w:p>
    <w:p w14:paraId="7C34DBA1" w14:textId="77777777" w:rsidR="002F1089" w:rsidRPr="00F90EAE" w:rsidRDefault="002F1089" w:rsidP="00F90EAE">
      <w:pPr>
        <w:jc w:val="both"/>
        <w:rPr>
          <w:color w:val="000000" w:themeColor="text1"/>
          <w:sz w:val="16"/>
          <w:szCs w:val="16"/>
        </w:rPr>
      </w:pPr>
      <w:r w:rsidRPr="00F90EAE">
        <w:rPr>
          <w:color w:val="000000" w:themeColor="text1"/>
          <w:sz w:val="16"/>
          <w:szCs w:val="16"/>
        </w:rPr>
        <w:t>Войска 2-го Украинского фронта, стремительно продвигаясь вперёд, заняли на территории Чехословакии города Великие Межиричи, Йиглава, Брод, Бенешов, Тржебич.</w:t>
      </w:r>
    </w:p>
    <w:p w14:paraId="12DA9DC9" w14:textId="77777777" w:rsidR="002F1089" w:rsidRPr="00F90EAE" w:rsidRDefault="002F1089" w:rsidP="00F90EAE">
      <w:pPr>
        <w:jc w:val="both"/>
        <w:rPr>
          <w:color w:val="000000" w:themeColor="text1"/>
          <w:sz w:val="16"/>
          <w:szCs w:val="16"/>
        </w:rPr>
      </w:pPr>
      <w:r w:rsidRPr="00F90EAE">
        <w:rPr>
          <w:color w:val="000000" w:themeColor="text1"/>
          <w:sz w:val="16"/>
          <w:szCs w:val="16"/>
        </w:rPr>
        <w:t>Войска 3-го Украинского фронта заняли на территории Австрии города Лоосдорф, Визельбург, Амштеттен, Мюрццусшлаг, Брук, Грац и соединились с американскими войсками в районе Амштеттен.» (14886).</w:t>
      </w:r>
    </w:p>
    <w:p w14:paraId="67E3E9E1" w14:textId="77777777" w:rsidR="002F1089" w:rsidRPr="00F90EAE" w:rsidRDefault="002F1089" w:rsidP="00F90EAE">
      <w:pPr>
        <w:jc w:val="both"/>
        <w:rPr>
          <w:color w:val="000000" w:themeColor="text1"/>
          <w:sz w:val="16"/>
          <w:szCs w:val="16"/>
        </w:rPr>
      </w:pPr>
    </w:p>
    <w:p w14:paraId="2D904F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9 мая 1945:</w:t>
      </w:r>
    </w:p>
    <w:p w14:paraId="14591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561F31" w:rsidRPr="00F90EAE" w14:paraId="7B5E507A" w14:textId="77777777">
        <w:tc>
          <w:tcPr>
            <w:tcW w:w="2660" w:type="dxa"/>
            <w:tcBorders>
              <w:top w:val="single" w:sz="12" w:space="0" w:color="auto"/>
            </w:tcBorders>
          </w:tcPr>
          <w:p w14:paraId="3804E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Период</w:t>
            </w:r>
          </w:p>
        </w:tc>
        <w:tc>
          <w:tcPr>
            <w:tcW w:w="1559" w:type="dxa"/>
            <w:tcBorders>
              <w:top w:val="single" w:sz="12" w:space="0" w:color="auto"/>
            </w:tcBorders>
          </w:tcPr>
          <w:p w14:paraId="2EAC21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26.06.41-01.07.42 </w:t>
            </w:r>
          </w:p>
        </w:tc>
        <w:tc>
          <w:tcPr>
            <w:tcW w:w="1559" w:type="dxa"/>
            <w:tcBorders>
              <w:top w:val="single" w:sz="12" w:space="0" w:color="auto"/>
            </w:tcBorders>
          </w:tcPr>
          <w:p w14:paraId="1C839B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01.08.42-01.06.43</w:t>
            </w:r>
          </w:p>
        </w:tc>
        <w:tc>
          <w:tcPr>
            <w:tcW w:w="1559" w:type="dxa"/>
            <w:tcBorders>
              <w:top w:val="single" w:sz="12" w:space="0" w:color="auto"/>
            </w:tcBorders>
          </w:tcPr>
          <w:p w14:paraId="7FF5C5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01.11.44.</w:t>
            </w:r>
          </w:p>
        </w:tc>
        <w:tc>
          <w:tcPr>
            <w:tcW w:w="1559" w:type="dxa"/>
            <w:tcBorders>
              <w:top w:val="single" w:sz="12" w:space="0" w:color="auto"/>
            </w:tcBorders>
          </w:tcPr>
          <w:p w14:paraId="129F1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01.01.45-09.05.45</w:t>
            </w:r>
          </w:p>
        </w:tc>
      </w:tr>
      <w:tr w:rsidR="00561F31" w:rsidRPr="00F90EAE" w14:paraId="412A196B" w14:textId="77777777">
        <w:tc>
          <w:tcPr>
            <w:tcW w:w="2660" w:type="dxa"/>
          </w:tcPr>
          <w:p w14:paraId="6C4244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w:t>
            </w:r>
          </w:p>
        </w:tc>
        <w:tc>
          <w:tcPr>
            <w:tcW w:w="1559" w:type="dxa"/>
          </w:tcPr>
          <w:p w14:paraId="455CA0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559" w:type="dxa"/>
          </w:tcPr>
          <w:p w14:paraId="0D7CC6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559" w:type="dxa"/>
          </w:tcPr>
          <w:p w14:paraId="06D594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559" w:type="dxa"/>
          </w:tcPr>
          <w:p w14:paraId="4ABFF5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r>
      <w:tr w:rsidR="00561F31" w:rsidRPr="00F90EAE" w14:paraId="21A48767" w14:textId="77777777">
        <w:tc>
          <w:tcPr>
            <w:tcW w:w="2660" w:type="dxa"/>
          </w:tcPr>
          <w:p w14:paraId="071E02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c>
        <w:tc>
          <w:tcPr>
            <w:tcW w:w="1559" w:type="dxa"/>
          </w:tcPr>
          <w:p w14:paraId="254740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559" w:type="dxa"/>
          </w:tcPr>
          <w:p w14:paraId="39895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w:t>
            </w:r>
          </w:p>
        </w:tc>
        <w:tc>
          <w:tcPr>
            <w:tcW w:w="1559" w:type="dxa"/>
          </w:tcPr>
          <w:p w14:paraId="64071E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w:t>
            </w:r>
          </w:p>
        </w:tc>
        <w:tc>
          <w:tcPr>
            <w:tcW w:w="1559" w:type="dxa"/>
          </w:tcPr>
          <w:p w14:paraId="002B8B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r>
      <w:tr w:rsidR="00561F31" w:rsidRPr="00F90EAE" w14:paraId="630FC1EB" w14:textId="77777777">
        <w:tc>
          <w:tcPr>
            <w:tcW w:w="2660" w:type="dxa"/>
            <w:tcBorders>
              <w:bottom w:val="single" w:sz="12" w:space="0" w:color="auto"/>
            </w:tcBorders>
          </w:tcPr>
          <w:p w14:paraId="3FEB2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1559" w:type="dxa"/>
            <w:tcBorders>
              <w:bottom w:val="single" w:sz="12" w:space="0" w:color="auto"/>
            </w:tcBorders>
          </w:tcPr>
          <w:p w14:paraId="3C6948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1559" w:type="dxa"/>
            <w:tcBorders>
              <w:bottom w:val="single" w:sz="12" w:space="0" w:color="auto"/>
            </w:tcBorders>
          </w:tcPr>
          <w:p w14:paraId="2E20B0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559" w:type="dxa"/>
            <w:tcBorders>
              <w:bottom w:val="single" w:sz="12" w:space="0" w:color="auto"/>
            </w:tcBorders>
          </w:tcPr>
          <w:p w14:paraId="37299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559" w:type="dxa"/>
            <w:tcBorders>
              <w:bottom w:val="single" w:sz="12" w:space="0" w:color="auto"/>
            </w:tcBorders>
          </w:tcPr>
          <w:p w14:paraId="51707A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w:t>
            </w:r>
          </w:p>
        </w:tc>
      </w:tr>
    </w:tbl>
    <w:p w14:paraId="6E8F43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(12020).</w:t>
      </w:r>
    </w:p>
    <w:p w14:paraId="09117B15" w14:textId="77777777" w:rsidR="00665165" w:rsidRPr="00F90EAE" w:rsidRDefault="00665165" w:rsidP="00F90EAE">
      <w:pPr>
        <w:autoSpaceDE w:val="0"/>
        <w:autoSpaceDN w:val="0"/>
        <w:adjustRightInd w:val="0"/>
        <w:jc w:val="both"/>
        <w:rPr>
          <w:color w:val="000000" w:themeColor="text1"/>
          <w:sz w:val="16"/>
          <w:szCs w:val="16"/>
        </w:rPr>
      </w:pPr>
    </w:p>
    <w:p w14:paraId="7EAB84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9 мая 1945 боевые потери штурмовиков за все годы войны составили 10759 самолетов ВВС КА (28,9% к общему числу потерянных в войне самолетов) и 807 Ил-2, потерянных ВВС ВМФ.</w:t>
      </w:r>
    </w:p>
    <w:p w14:paraId="1512C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годы войны в общей сложности было построено 34943 Ил-2 и корректировщиков-разведчиков Ил-2КР, а также 1211 учебно-тренировочных УИл-2. К 10 мая 1945 г. в составе воздушных армий фронтов насчитывалось 3075 штурмовиков Ил-2 и УИл-2, 214 Ил-2КР. Кроме этого в ВВС ВМФ имелось еще 197 Ил-2 (11921).</w:t>
      </w:r>
    </w:p>
    <w:p w14:paraId="0D0926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среднем каждые 7-8 месяцев войны парк самолетов Ил-2 в воздушных армиях полностью обновлялся. Для сравнения, самолетный парк бомбардировочной авиации за год войны обновлялся в среднем на 40—70% от своего среднего состава.</w:t>
      </w:r>
    </w:p>
    <w:p w14:paraId="3304F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Потери Ил-2 от огня зенитной артиллерии с каждым годом войны неуклонно возрастали, а потери от истребителей, наоборот, снижались при одновременном увеличении количества самолето-вылетов. Превышение потерь Ил-2 от зенитного огня над потерями от истребителей противника достигало 2,5—4,5 в зависимости от конкретных условий проводимых операций.</w:t>
      </w:r>
    </w:p>
    <w:p w14:paraId="5FE919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документов, боевые безвозвратные потери летного состава штурмовой авиации ВВС КА за период 1943—1945 гг. в 1,8 раз превысили боевые санитарные потери. В истребительной авиации за этот же период времени соотношение боевых санитарных и безвозвратных потерь составило 1:2,0, а в бомбардировочной авиации — 1:2,1.</w:t>
      </w:r>
    </w:p>
    <w:p w14:paraId="0C7BEA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безвозвратные потери летного состава штурмовой авиации за все время войны составили 7837 человек (28,4% общих боевых потерь ВВС КА), истребительной авиации — 11874 (43%), бомбардировочной авиации — 6613 (24%), разведывательной авиации — 587 (2,1%), и вспомогательной авиации — 689 (2,5%) человек.</w:t>
      </w:r>
    </w:p>
    <w:p w14:paraId="08E0EA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Если проследить распределение ранений летного состава по годам войны, то получается следующая картина. В 1941 г. летный состав ВВС КА в 56% случаев получал ранения от осколков авиационных пушек, в 15% — от осколков зенитных снарядов и в 29% — от пулевых попаданий. Соответственно, в последующие годы распределение ранений имеет вид: 54,2%, 12,4% и 33,4% - в 1942 г., 47,3%, 36,2% и 16,5% - в 1943 г., 38,4%, 51,4% и 10,2% - в 1944 г.</w:t>
      </w:r>
    </w:p>
    <w:p w14:paraId="379D79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 есть осколочные ранения, нанесенные снарядами авиапушек, преобладали над пулевыми ранениями. При этом доля осколочных ранений от снарядов авиапушек с каждым годом уменьшалась. Одновременно возрастала доля ранений, нанесенных осколками снарядов зенитной артиллерии. Это обстоятельство объясняется тем, что в начале войны немецкая истребительная авиация обладала господством в воздухе, а к середине войны его утратила. Параллельно этому процессу шло усиление зенитной артиллерии противника.</w:t>
      </w:r>
    </w:p>
    <w:p w14:paraId="2F572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Предел тыльной прочности цементованной брони толщиной 12 мм, установленной на самолете Ил-2, при обстреле ее со стороны задней полусферы бронебойными снарядами из пушки MG151/15. Зона, очерченная замкнутой кривой, является опасной зоной обстрела: при обстреле из каждой точки, лежащей внутри этой зоны, броня пробивается, а вне этой области — не пробивается</w:t>
      </w:r>
    </w:p>
    <w:p w14:paraId="3D7106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Распределение ранений по виду ранящего оружия у летного состава штурмовой авиации проиллюстрируем на примере 4-й воздушной армии. Согласно документам, распределение поражений летчиков-штурмовиков 4-й ВА в 1942 г. включало: пулевые — 13,1%, осколочные ранения от зенитной артиллерии — 48,1%, осколочные ранения от истребительной авиации — 21,3%, травмы при авариях на посадке — 6,1%, травмы при авариях на взлете — 1,1%, комбинированные травмы — 2,2%, ожоги - 8,1%.</w:t>
      </w:r>
    </w:p>
    <w:p w14:paraId="341E3E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Видно, что ранения, нанесенные зенитной артиллерией противника, преобладают над ранениями от стрелково-пушечного вооружения истребителей — 48,1% и 34,4% соответственно.</w:t>
      </w:r>
    </w:p>
    <w:p w14:paraId="07466F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Анализ локализации ожогов показывает, что если все ожоги летчиков взять за 100%, то ожоги головы составляли 36,6%, 10% — ожоги туловища, 50% — верхних конечностей, 3,4% — нижних конечностей. Если за 100% взять все ранения летчиков, то 30,4% составляли ранения головы, 16,6% — туловища, 23,3% — верхних конечностей, 29,7% — нижних конечностей. Все остальные случаи относятся к ушибам и травмам: голова — 46%, туловище — 23%, верхние конечности — 16,5%, нижние конечности — 14,5%.</w:t>
      </w:r>
    </w:p>
    <w:p w14:paraId="342689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документов, убыль воздушных стрелков Ил-2 в боях примерно в 1,5—2 раза превышала убыль летного состава. При этом среди категории погибших количество воздушных стрелков и летчиков было примерно одинаковым, а среди категории раненых воздушные стрелки в 2—3 раза опережали летчиков (11921).</w:t>
      </w:r>
    </w:p>
    <w:p w14:paraId="45759D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Распределение боевых потерь за всю войну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от 10 до 30 боевых вылетов, примерно18% — от 30 до 50 вылетов, около 10% — от 50 до 100 вылетов, 4% </w:t>
      </w:r>
      <w:r w:rsidRPr="00F90EAE">
        <w:rPr>
          <w:color w:val="000000" w:themeColor="text1"/>
          <w:sz w:val="16"/>
          <w:szCs w:val="16"/>
        </w:rPr>
        <w:lastRenderedPageBreak/>
        <w:t>- от 100 до 150 вылетов, и 2% — свыше 150 боевых вылетов. При этом потери комсостава (командиры полков, эскадрилий, звеньев, их заместители и старшие летчики) составили примерно 41% от общего числа потерь летчиков-штурмовиков, остальные потери составили рядовые летчики.</w:t>
      </w:r>
    </w:p>
    <w:p w14:paraId="4C1B07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Другими словами, с повышением мастерства летного состава резко уменьшается вероятность его поражения от огня противника в бою.</w:t>
      </w:r>
    </w:p>
    <w:p w14:paraId="43F909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Весьма интересный результат получается, если привести общее количество погибших и раненых летчиков и воздушных стрелков к 100 боевым вылетам.</w:t>
      </w:r>
    </w:p>
    <w:p w14:paraId="43EDC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документов, санитарные потери штурмовой авиации в ходе войны составляли 0,2—1 человека на 100 вылетов, безвозвратные потери колебались в пределах 0,7—2,1 человека на 100 вылетов.</w:t>
      </w:r>
    </w:p>
    <w:p w14:paraId="13820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сравнения, в истребительной авиации санитарные потери на протяжении всей войны находились в пределах 0,1—0,7 и безвозвратные 0,4—1,2 человека на каждые 100 вылетов, а в бомбардировочной авиации — 0,2—1,3 и 0,5—4,6 соответственно.</w:t>
      </w:r>
    </w:p>
    <w:p w14:paraId="7D7EE5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Если проанализировать распределение потерь летного состава (санитарных и безвозвратных) по отдельным операциям и периодам войны, то прослеживается следующая закономерность: наши ВВС несли наибольшие потери в оборонительных операциях и в первые дни наступательной операции, когда противник оказывал наиболее сильное сопротивление.</w:t>
      </w:r>
    </w:p>
    <w:p w14:paraId="083F22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Например, боевые потери штурмовой авиации в Сталинградской оборонительной операции в 2,7 раза превысили потери в период контрнаступления, потери истребительной авиации — в 1,2, а бомбардировочной авиации — в 2,3 раза. В оборонительном периоде битвы под Курском потери на каждые 100 самолето-вылетов оказались также выше потерь периода наступления: по штурмовикам — в 1,6 раза, по истребителям — в 1,4 раза, по бомбардировщикам — в 1,7 раза.</w:t>
      </w:r>
    </w:p>
    <w:p w14:paraId="791889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завоевания ВВС КА в 1944 г. господства в воздухе потери резко упали. Так, в Львовско-Сандомирской операции штурмовая авиация в среднем теряла 0,53 человек летного состава на каждые 100 самолето-вылетов, истребительная — 0,22, бомбардировочная — 1,8, а в Берлинской операции — 0,27, 0,12 и 0,32 человека соответственно. При этом в период Львовско-Сандомирской операции в 5-м шак 5-й ВА первые три дня дали 88% и последующие 10 дней всего 12% всех санитарных потерь за операцию.</w:t>
      </w:r>
    </w:p>
    <w:p w14:paraId="3D51DF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самыми живучими и выносливыми боевыми машинами в ВВС КА являлись штурмовики Ил-2, несмотря на то, что им приходилось вести боевые действия в наиболее неблагоприятных условиях, как в смысле интенсивности огня зенитной артиллерии, так и воздействия истребителей противника. Принятая система боевой живучести, основанная на бронекорпусе, защищавшем жизненно важные части самолета и экипаж, системе заполнения бензобаков нейтральным газом и частичном дублировании в системе управления, в целом сыграла свою роль, хотя и не отвечала в полной мере требованиям войны. В эксплуатационном отношении и по надежности самолет вполне соответствовал уровню, который мог обеспечить советский авиапром в то время. На фоне других отечественных боевых самолетов Ил-2 выглядел более чем прилично — где-то хуже, где-то лучше остальных. Важно, что конструкция самолета отвечала как требованиям массового производства в условиях военного времени, так и жестким требованиям ведения боевых действий, эксплуатации и ремонта в полевых условиях (11921).</w:t>
      </w:r>
    </w:p>
    <w:p w14:paraId="09067E67" w14:textId="77777777" w:rsidR="00665165" w:rsidRPr="00F90EAE" w:rsidRDefault="00665165" w:rsidP="00F90EAE">
      <w:pPr>
        <w:autoSpaceDE w:val="0"/>
        <w:autoSpaceDN w:val="0"/>
        <w:adjustRightInd w:val="0"/>
        <w:jc w:val="both"/>
        <w:rPr>
          <w:color w:val="000000" w:themeColor="text1"/>
          <w:sz w:val="16"/>
          <w:szCs w:val="16"/>
        </w:rPr>
      </w:pPr>
    </w:p>
    <w:p w14:paraId="592BE9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мая 1945 прибывшая на следующий день из штаба 8-й воздушной армии комиссия приказала снять моторы с четырех на</w:t>
      </w:r>
      <w:r w:rsidRPr="00F90EAE">
        <w:rPr>
          <w:color w:val="000000" w:themeColor="text1"/>
          <w:sz w:val="16"/>
          <w:szCs w:val="16"/>
        </w:rPr>
        <w:softHyphen/>
        <w:t>угад выбранных Ил-10. Картина была одна и та же: валы крыльчаток имели большой износ, в корпусах нагнетателей обнаружили пыль и песок. 21 мая при</w:t>
      </w:r>
      <w:r w:rsidRPr="00F90EAE">
        <w:rPr>
          <w:color w:val="000000" w:themeColor="text1"/>
          <w:sz w:val="16"/>
          <w:szCs w:val="16"/>
        </w:rPr>
        <w:softHyphen/>
        <w:t>ехала комиссия из Москвы, для которой демонтировали и разобрали еще два двигателя. В них нашли то же самое. Эксплуатацию самолетов запретили. Полк полностью потерял боеспособ</w:t>
      </w:r>
      <w:r w:rsidRPr="00F90EAE">
        <w:rPr>
          <w:color w:val="000000" w:themeColor="text1"/>
          <w:sz w:val="16"/>
          <w:szCs w:val="16"/>
        </w:rPr>
        <w:softHyphen/>
        <w:t>ность. Что было бы, если бы война про</w:t>
      </w:r>
      <w:r w:rsidRPr="00F90EAE">
        <w:rPr>
          <w:color w:val="000000" w:themeColor="text1"/>
          <w:sz w:val="16"/>
          <w:szCs w:val="16"/>
        </w:rPr>
        <w:softHyphen/>
        <w:t>должилась? Первые месяцы боевого применения Ил-10 сопровождались многочисленны</w:t>
      </w:r>
      <w:r w:rsidRPr="00F90EAE">
        <w:rPr>
          <w:color w:val="000000" w:themeColor="text1"/>
          <w:sz w:val="16"/>
          <w:szCs w:val="16"/>
        </w:rPr>
        <w:softHyphen/>
        <w:t>ми отказами агрегатов и систем: карбю</w:t>
      </w:r>
      <w:r w:rsidRPr="00F90EAE">
        <w:rPr>
          <w:color w:val="000000" w:themeColor="text1"/>
          <w:sz w:val="16"/>
          <w:szCs w:val="16"/>
        </w:rPr>
        <w:softHyphen/>
        <w:t>ратора, бензосистемы и свечей; наблю</w:t>
      </w:r>
      <w:r w:rsidRPr="00F90EAE">
        <w:rPr>
          <w:color w:val="000000" w:themeColor="text1"/>
          <w:sz w:val="16"/>
          <w:szCs w:val="16"/>
        </w:rPr>
        <w:softHyphen/>
        <w:t>дались тряска мотора на всех режимах работы, течь масляных и водяных ради</w:t>
      </w:r>
      <w:r w:rsidRPr="00F90EAE">
        <w:rPr>
          <w:color w:val="000000" w:themeColor="text1"/>
          <w:sz w:val="16"/>
          <w:szCs w:val="16"/>
        </w:rPr>
        <w:softHyphen/>
        <w:t>аторов. По мнению механиков, доступ к свечам и некоторым другим агрегатам и узлам мотора был крайне неудобен. На</w:t>
      </w:r>
      <w:r w:rsidRPr="00F90EAE">
        <w:rPr>
          <w:color w:val="000000" w:themeColor="text1"/>
          <w:sz w:val="16"/>
          <w:szCs w:val="16"/>
        </w:rPr>
        <w:softHyphen/>
        <w:t>пример, замена карбюратора и последу</w:t>
      </w:r>
      <w:r w:rsidRPr="00F90EAE">
        <w:rPr>
          <w:color w:val="000000" w:themeColor="text1"/>
          <w:sz w:val="16"/>
          <w:szCs w:val="16"/>
        </w:rPr>
        <w:softHyphen/>
        <w:t>ющая отладка двигателя отнимали до 30-33 ч. Постоянно рвались тросы бомболю-ков, створки деформировались при за</w:t>
      </w:r>
      <w:r w:rsidRPr="00F90EAE">
        <w:rPr>
          <w:color w:val="000000" w:themeColor="text1"/>
          <w:sz w:val="16"/>
          <w:szCs w:val="16"/>
        </w:rPr>
        <w:softHyphen/>
        <w:t>грузке мелких бомб и повреждались при сбросе крупных. Обшивка консолей и центроплана, а также заклепки не вы</w:t>
      </w:r>
      <w:r w:rsidRPr="00F90EAE">
        <w:rPr>
          <w:color w:val="000000" w:themeColor="text1"/>
          <w:sz w:val="16"/>
          <w:szCs w:val="16"/>
        </w:rPr>
        <w:softHyphen/>
        <w:t>держивали нагрузок. Листы шли волной, заклепки срезались и выпадали. Лома</w:t>
      </w:r>
      <w:r w:rsidRPr="00F90EAE">
        <w:rPr>
          <w:color w:val="000000" w:themeColor="text1"/>
          <w:sz w:val="16"/>
          <w:szCs w:val="16"/>
        </w:rPr>
        <w:softHyphen/>
        <w:t>лись складывающиеся подкосы шасси и обтекатели хвостового колеса. Удивительно, но техническому соста</w:t>
      </w:r>
      <w:r w:rsidRPr="00F90EAE">
        <w:rPr>
          <w:color w:val="000000" w:themeColor="text1"/>
          <w:sz w:val="16"/>
          <w:szCs w:val="16"/>
        </w:rPr>
        <w:softHyphen/>
        <w:t>ву все же удавалось поддерживать бое</w:t>
      </w:r>
      <w:r w:rsidRPr="00F90EAE">
        <w:rPr>
          <w:color w:val="000000" w:themeColor="text1"/>
          <w:sz w:val="16"/>
          <w:szCs w:val="16"/>
        </w:rPr>
        <w:softHyphen/>
        <w:t>готовность на уровне, обеспечивавшем выполнение поставленных задач. Еже</w:t>
      </w:r>
      <w:r w:rsidRPr="00F90EAE">
        <w:rPr>
          <w:color w:val="000000" w:themeColor="text1"/>
          <w:sz w:val="16"/>
          <w:szCs w:val="16"/>
        </w:rPr>
        <w:softHyphen/>
        <w:t>дневная готовность самолетов в сред</w:t>
      </w:r>
      <w:r w:rsidRPr="00F90EAE">
        <w:rPr>
          <w:color w:val="000000" w:themeColor="text1"/>
          <w:sz w:val="16"/>
          <w:szCs w:val="16"/>
        </w:rPr>
        <w:softHyphen/>
        <w:t>нем достигала 72,8% состава (10681).</w:t>
      </w:r>
    </w:p>
    <w:p w14:paraId="04B20972" w14:textId="77777777" w:rsidR="00665165" w:rsidRPr="00F90EAE" w:rsidRDefault="00665165" w:rsidP="00F90EAE">
      <w:pPr>
        <w:autoSpaceDE w:val="0"/>
        <w:autoSpaceDN w:val="0"/>
        <w:adjustRightInd w:val="0"/>
        <w:jc w:val="both"/>
        <w:rPr>
          <w:color w:val="000000" w:themeColor="text1"/>
          <w:sz w:val="16"/>
          <w:szCs w:val="16"/>
        </w:rPr>
      </w:pPr>
    </w:p>
    <w:p w14:paraId="3D210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22 июня 1943 г. по 9 мая 45-го, почти за два года боевых действий на заключительных этапах войны ВВС фло</w:t>
      </w:r>
      <w:r w:rsidRPr="00F90EAE">
        <w:rPr>
          <w:color w:val="000000" w:themeColor="text1"/>
          <w:sz w:val="16"/>
          <w:szCs w:val="16"/>
        </w:rPr>
        <w:softHyphen/>
        <w:t>тов Красной Армии потеряли 600 Ил-2 (списанные по акту машины при подсче</w:t>
      </w:r>
      <w:r w:rsidRPr="00F90EAE">
        <w:rPr>
          <w:color w:val="000000" w:themeColor="text1"/>
          <w:sz w:val="16"/>
          <w:szCs w:val="16"/>
        </w:rPr>
        <w:softHyphen/>
        <w:t>те не учитывались). Из них, 354 "Илов” - погибло на Балтике, 151 машина (из них 146 Ил-2 потеряны до 22.06.44 г.) - на Черном море и 95 - на Северном фло</w:t>
      </w:r>
      <w:r w:rsidRPr="00F90EAE">
        <w:rPr>
          <w:color w:val="000000" w:themeColor="text1"/>
          <w:sz w:val="16"/>
          <w:szCs w:val="16"/>
        </w:rPr>
        <w:softHyphen/>
        <w:t>те. Эти цифры вполне отражают интен</w:t>
      </w:r>
      <w:r w:rsidRPr="00F90EAE">
        <w:rPr>
          <w:color w:val="000000" w:themeColor="text1"/>
          <w:sz w:val="16"/>
          <w:szCs w:val="16"/>
        </w:rPr>
        <w:softHyphen/>
        <w:t>сивность ведения боевых действий авиа</w:t>
      </w:r>
      <w:r w:rsidRPr="00F90EAE">
        <w:rPr>
          <w:color w:val="000000" w:themeColor="text1"/>
          <w:sz w:val="16"/>
          <w:szCs w:val="16"/>
        </w:rPr>
        <w:softHyphen/>
        <w:t>ции флотов в этот период (6467).</w:t>
      </w:r>
    </w:p>
    <w:p w14:paraId="3702224E" w14:textId="77777777" w:rsidR="00665165" w:rsidRPr="00F90EAE" w:rsidRDefault="00665165" w:rsidP="00F90EAE">
      <w:pPr>
        <w:autoSpaceDE w:val="0"/>
        <w:autoSpaceDN w:val="0"/>
        <w:adjustRightInd w:val="0"/>
        <w:jc w:val="both"/>
        <w:rPr>
          <w:color w:val="000000" w:themeColor="text1"/>
          <w:sz w:val="16"/>
          <w:szCs w:val="16"/>
        </w:rPr>
      </w:pPr>
    </w:p>
    <w:p w14:paraId="67EAD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г. французские летчики праздновали не только день победы, но и возвращение из плена аспиранта П.Блетона, сбитого над Пиллау еще 20 февраля. Блетон рассказал, что немцы организовали короткую встречу с пилотом, который поджег его “Як” -им оказался известный ас капитан И.Брендель (J.Brendel, 189 побед к концу войны), командир группы III/JG51 “Мельдерс”. Затем француза отправи</w:t>
      </w:r>
      <w:r w:rsidRPr="00F90EAE">
        <w:rPr>
          <w:color w:val="000000" w:themeColor="text1"/>
          <w:sz w:val="16"/>
          <w:szCs w:val="16"/>
        </w:rPr>
        <w:softHyphen/>
        <w:t>ли в лагерь военнопленных, откуда его освободили английские войска (3956).</w:t>
      </w:r>
    </w:p>
    <w:p w14:paraId="37159CFB" w14:textId="77777777" w:rsidR="00665165" w:rsidRPr="00F90EAE" w:rsidRDefault="00665165" w:rsidP="00F90EAE">
      <w:pPr>
        <w:autoSpaceDE w:val="0"/>
        <w:autoSpaceDN w:val="0"/>
        <w:adjustRightInd w:val="0"/>
        <w:jc w:val="both"/>
        <w:rPr>
          <w:color w:val="000000" w:themeColor="text1"/>
          <w:sz w:val="16"/>
          <w:szCs w:val="16"/>
        </w:rPr>
      </w:pPr>
    </w:p>
    <w:p w14:paraId="533418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9 мая 1945 г. ВВС располагали 116 Ер-2, из которых только 74 были исправными (8984).</w:t>
      </w:r>
    </w:p>
    <w:p w14:paraId="10956159" w14:textId="77777777" w:rsidR="00665165" w:rsidRPr="00F90EAE" w:rsidRDefault="00665165" w:rsidP="00F90EAE">
      <w:pPr>
        <w:autoSpaceDE w:val="0"/>
        <w:autoSpaceDN w:val="0"/>
        <w:adjustRightInd w:val="0"/>
        <w:jc w:val="both"/>
        <w:rPr>
          <w:color w:val="000000" w:themeColor="text1"/>
          <w:sz w:val="16"/>
          <w:szCs w:val="16"/>
        </w:rPr>
      </w:pPr>
    </w:p>
    <w:p w14:paraId="4DC454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последние боевые 18 Пе-8 (ТБ-7) перелетели из Барановичей в Москву (1103,229).</w:t>
      </w:r>
    </w:p>
    <w:p w14:paraId="7FDFCDB8" w14:textId="77777777" w:rsidR="00665165" w:rsidRPr="00F90EAE" w:rsidRDefault="00665165" w:rsidP="00F90EAE">
      <w:pPr>
        <w:autoSpaceDE w:val="0"/>
        <w:autoSpaceDN w:val="0"/>
        <w:adjustRightInd w:val="0"/>
        <w:jc w:val="both"/>
        <w:rPr>
          <w:color w:val="000000" w:themeColor="text1"/>
          <w:sz w:val="16"/>
          <w:szCs w:val="16"/>
        </w:rPr>
      </w:pPr>
    </w:p>
    <w:p w14:paraId="47E40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9 мая 1945 на флотах числилось 20 КОР-2 (Бе-4). Всего выпустили 44. 12 поступили на ЧФ, 12 - на КБФ, 4 на ТОФ (9079,36).</w:t>
      </w:r>
    </w:p>
    <w:p w14:paraId="114D69F1" w14:textId="77777777" w:rsidR="00665165" w:rsidRPr="00F90EAE" w:rsidRDefault="00665165" w:rsidP="00F90EAE">
      <w:pPr>
        <w:autoSpaceDE w:val="0"/>
        <w:autoSpaceDN w:val="0"/>
        <w:adjustRightInd w:val="0"/>
        <w:jc w:val="both"/>
        <w:rPr>
          <w:color w:val="000000" w:themeColor="text1"/>
          <w:sz w:val="16"/>
          <w:szCs w:val="16"/>
        </w:rPr>
      </w:pPr>
    </w:p>
    <w:p w14:paraId="61E5FD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состоянию на 9 мая 1945 г. на этих флотах числилось 20 КОР-2 (11107).</w:t>
      </w:r>
    </w:p>
    <w:p w14:paraId="4F444E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937E1D" w14:textId="77777777" w:rsidR="006979C2" w:rsidRPr="00F90EAE" w:rsidRDefault="006979C2" w:rsidP="00F90EAE">
      <w:pPr>
        <w:jc w:val="both"/>
        <w:rPr>
          <w:color w:val="000000" w:themeColor="text1"/>
          <w:sz w:val="16"/>
          <w:szCs w:val="16"/>
        </w:rPr>
      </w:pPr>
      <w:r w:rsidRPr="00F90EAE">
        <w:rPr>
          <w:color w:val="000000" w:themeColor="text1"/>
          <w:sz w:val="16"/>
          <w:szCs w:val="16"/>
        </w:rPr>
        <w:t>По состоянию на 9 мая 1945 г. на флотах числилось 20 экземпляров КОР-2. На заключительном этапе производства КОР-2 сотрудники КБ обеспечивали техни</w:t>
      </w:r>
      <w:r w:rsidRPr="00F90EAE">
        <w:rPr>
          <w:color w:val="000000" w:themeColor="text1"/>
          <w:sz w:val="16"/>
          <w:szCs w:val="16"/>
        </w:rPr>
        <w:softHyphen/>
        <w:t>ческий контроль над самолетами, отправлен</w:t>
      </w:r>
      <w:r w:rsidRPr="00F90EAE">
        <w:rPr>
          <w:color w:val="000000" w:themeColor="text1"/>
          <w:sz w:val="16"/>
          <w:szCs w:val="16"/>
        </w:rPr>
        <w:softHyphen/>
        <w:t>ными в Поти, Туапсе, Ригу, Ленинград, Ар</w:t>
      </w:r>
      <w:r w:rsidRPr="00F90EAE">
        <w:rPr>
          <w:color w:val="000000" w:themeColor="text1"/>
          <w:sz w:val="16"/>
          <w:szCs w:val="16"/>
        </w:rPr>
        <w:softHyphen/>
        <w:t>хангельск, Мурманск, Владивосток. Всего до прекращения производства было выпуще</w:t>
      </w:r>
      <w:r w:rsidRPr="00F90EAE">
        <w:rPr>
          <w:color w:val="000000" w:themeColor="text1"/>
          <w:sz w:val="16"/>
          <w:szCs w:val="16"/>
        </w:rPr>
        <w:softHyphen/>
        <w:t>но 49 серийных самолетов КОР-2 (Бе-4). С учетом двух опытных экземпляров общее ко</w:t>
      </w:r>
      <w:r w:rsidRPr="00F90EAE">
        <w:rPr>
          <w:color w:val="000000" w:themeColor="text1"/>
          <w:sz w:val="16"/>
          <w:szCs w:val="16"/>
        </w:rPr>
        <w:softHyphen/>
        <w:t>личество выпущенных составляет 51 КОР-2. Из всех построенных до окончания войны 12 корабельных разведчиков поступило на Черноморский флот, 12 - на Краснознамен</w:t>
      </w:r>
      <w:r w:rsidRPr="00F90EAE">
        <w:rPr>
          <w:color w:val="000000" w:themeColor="text1"/>
          <w:sz w:val="16"/>
          <w:szCs w:val="16"/>
        </w:rPr>
        <w:softHyphen/>
        <w:t xml:space="preserve">ный Балтийский флот, 4 — на Тихоокеанский флот. </w:t>
      </w:r>
    </w:p>
    <w:p w14:paraId="5759C69F" w14:textId="77777777" w:rsidR="006979C2" w:rsidRPr="00F90EAE" w:rsidRDefault="006979C2" w:rsidP="00F90EAE">
      <w:pPr>
        <w:pStyle w:val="2d"/>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Поступление и убытие самолетов КОР-2 в период 1941-1945 гг.</w:t>
      </w:r>
    </w:p>
    <w:tbl>
      <w:tblPr>
        <w:tblW w:w="13585" w:type="dxa"/>
        <w:tblInd w:w="-26" w:type="dxa"/>
        <w:tblLayout w:type="fixed"/>
        <w:tblCellMar>
          <w:left w:w="10" w:type="dxa"/>
          <w:right w:w="10" w:type="dxa"/>
        </w:tblCellMar>
        <w:tblLook w:val="0000" w:firstRow="0" w:lastRow="0" w:firstColumn="0" w:lastColumn="0" w:noHBand="0" w:noVBand="0"/>
      </w:tblPr>
      <w:tblGrid>
        <w:gridCol w:w="803"/>
        <w:gridCol w:w="544"/>
        <w:gridCol w:w="544"/>
        <w:gridCol w:w="544"/>
        <w:gridCol w:w="547"/>
        <w:gridCol w:w="540"/>
        <w:gridCol w:w="547"/>
        <w:gridCol w:w="544"/>
        <w:gridCol w:w="544"/>
        <w:gridCol w:w="544"/>
        <w:gridCol w:w="3942"/>
        <w:gridCol w:w="3942"/>
      </w:tblGrid>
      <w:tr w:rsidR="00561F31" w:rsidRPr="00F90EAE" w14:paraId="3672014B" w14:textId="77777777" w:rsidTr="00E55150">
        <w:trPr>
          <w:trHeight w:val="168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2A25A26C"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Флот</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0D4C8DA"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Всего поступило</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E2A0ED6"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Поступило от промышленности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E881810"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Поступило из других частей</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360FE79E"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Поступило</w:t>
            </w:r>
          </w:p>
          <w:p w14:paraId="1B356F05"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от других организаций</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6BF0C564"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Убыло всего</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0ED17E79"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5EDA63A"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Небоевые потери</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90EB05F"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Передано в ВС ВМФ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3911A49"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Наличие на 9 мая 1945 г.</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0AA19F8"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8B30274" w14:textId="77777777" w:rsidR="006979C2" w:rsidRPr="00F90EAE" w:rsidRDefault="006979C2" w:rsidP="00F90EAE">
            <w:pPr>
              <w:pStyle w:val="260"/>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Примечание</w:t>
            </w:r>
          </w:p>
        </w:tc>
      </w:tr>
      <w:tr w:rsidR="00561F31" w:rsidRPr="00F90EAE" w14:paraId="0A9E6B07" w14:textId="77777777" w:rsidTr="00E55150">
        <w:trPr>
          <w:trHeight w:val="248"/>
        </w:trPr>
        <w:tc>
          <w:tcPr>
            <w:tcW w:w="803" w:type="dxa"/>
            <w:tcBorders>
              <w:top w:val="single" w:sz="6" w:space="0" w:color="auto"/>
              <w:bottom w:val="single" w:sz="6" w:space="0" w:color="auto"/>
              <w:right w:val="single" w:sz="6" w:space="0" w:color="auto"/>
            </w:tcBorders>
            <w:shd w:val="clear" w:color="auto" w:fill="FFFFFF"/>
          </w:tcPr>
          <w:p w14:paraId="4EA87C54"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КБФ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30B67370"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277701E"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152656" w14:textId="77777777" w:rsidR="006979C2" w:rsidRPr="00F90EAE" w:rsidRDefault="006979C2" w:rsidP="00F90EAE">
            <w:pPr>
              <w:pStyle w:val="370"/>
              <w:shd w:val="clear" w:color="auto" w:fill="auto"/>
              <w:spacing w:before="0"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56C7940"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D745514"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72F0CF62"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B50CAD4"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581F3F9"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93979"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N</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769EC2A0"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39D7500"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Поступление началось в 1944 г.</w:t>
            </w:r>
          </w:p>
        </w:tc>
      </w:tr>
      <w:tr w:rsidR="00561F31" w:rsidRPr="00F90EAE" w14:paraId="6139FAE0" w14:textId="77777777" w:rsidTr="00E55150">
        <w:trPr>
          <w:trHeight w:val="42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7A7C9FD7" w14:textId="77777777" w:rsidR="006979C2" w:rsidRPr="00F90EAE" w:rsidRDefault="006979C2" w:rsidP="00F90EAE">
            <w:pPr>
              <w:jc w:val="both"/>
              <w:rPr>
                <w:color w:val="000000" w:themeColor="text1"/>
                <w:sz w:val="16"/>
                <w:szCs w:val="16"/>
              </w:rPr>
            </w:pPr>
            <w:r w:rsidRPr="00F90EAE">
              <w:rPr>
                <w:color w:val="000000" w:themeColor="text1"/>
                <w:sz w:val="16"/>
                <w:szCs w:val="16"/>
              </w:rPr>
              <w:t>ЧФ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A0CF311"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DD5A5AB"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10</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84190CD"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65CCFBA" w14:textId="77777777" w:rsidR="006979C2" w:rsidRPr="00F90EAE" w:rsidRDefault="006979C2" w:rsidP="00F90EAE">
            <w:pPr>
              <w:pStyle w:val="400"/>
              <w:shd w:val="clear" w:color="auto" w:fill="auto"/>
              <w:spacing w:line="240" w:lineRule="auto"/>
              <w:rPr>
                <w:rFonts w:ascii="Times New Roman"/>
                <w:color w:val="000000" w:themeColor="text1"/>
                <w:sz w:val="16"/>
                <w:szCs w:val="16"/>
              </w:rPr>
            </w:pPr>
            <w:r w:rsidRPr="00F90EAE">
              <w:rPr>
                <w:rFonts w:ascii="Times New Roman"/>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419A08CF"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D50B8CD"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2CCE74E1"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7669E81" w14:textId="77777777" w:rsidR="006979C2" w:rsidRPr="00F90EAE" w:rsidRDefault="006979C2" w:rsidP="00F90EAE">
            <w:pPr>
              <w:pStyle w:val="43"/>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6DB6846"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8</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2A3BFBC1"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5A35E90A"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К началу 1943 г. из 7 поставленных в строю оставалось 3 самолета. Новые 5 шт. поставлены до мая 1945 г.</w:t>
            </w:r>
          </w:p>
        </w:tc>
      </w:tr>
      <w:tr w:rsidR="00561F31" w:rsidRPr="00F90EAE" w14:paraId="3734C936" w14:textId="77777777" w:rsidTr="00E55150">
        <w:trPr>
          <w:trHeight w:val="245"/>
        </w:trPr>
        <w:tc>
          <w:tcPr>
            <w:tcW w:w="803" w:type="dxa"/>
            <w:tcBorders>
              <w:top w:val="single" w:sz="6" w:space="0" w:color="auto"/>
              <w:left w:val="single" w:sz="6" w:space="0" w:color="auto"/>
              <w:bottom w:val="single" w:sz="6" w:space="0" w:color="auto"/>
              <w:right w:val="single" w:sz="6" w:space="0" w:color="auto"/>
            </w:tcBorders>
            <w:shd w:val="clear" w:color="auto" w:fill="FFFFFF"/>
          </w:tcPr>
          <w:p w14:paraId="085A3FD7"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ТОФ</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094FD421"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689B23B"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B875CC5"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12FEDB85"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56382ACC" w14:textId="77777777" w:rsidR="006979C2" w:rsidRPr="00F90EAE" w:rsidRDefault="006979C2" w:rsidP="00F90EAE">
            <w:pPr>
              <w:pStyle w:val="410"/>
              <w:shd w:val="clear" w:color="auto" w:fill="auto"/>
              <w:spacing w:before="0" w:after="0"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3CEB7C4"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C6CA401" w14:textId="77777777" w:rsidR="006979C2" w:rsidRPr="00F90EAE" w:rsidRDefault="006979C2" w:rsidP="00F90EAE">
            <w:pPr>
              <w:pStyle w:val="42"/>
              <w:shd w:val="clear" w:color="auto" w:fill="auto"/>
              <w:spacing w:line="240" w:lineRule="auto"/>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EDCB759"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147283E9"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083B4C6D"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65EFAFB6"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Поступление на флот началось в конце войны</w:t>
            </w:r>
          </w:p>
        </w:tc>
      </w:tr>
      <w:tr w:rsidR="00561F31" w:rsidRPr="00F90EAE" w14:paraId="29EE8F33" w14:textId="77777777" w:rsidTr="00E55150">
        <w:trPr>
          <w:trHeight w:val="256"/>
        </w:trPr>
        <w:tc>
          <w:tcPr>
            <w:tcW w:w="803" w:type="dxa"/>
            <w:tcBorders>
              <w:top w:val="single" w:sz="6" w:space="0" w:color="auto"/>
              <w:bottom w:val="single" w:sz="6" w:space="0" w:color="auto"/>
              <w:right w:val="single" w:sz="6" w:space="0" w:color="auto"/>
            </w:tcBorders>
            <w:shd w:val="clear" w:color="auto" w:fill="FFFFFF"/>
          </w:tcPr>
          <w:p w14:paraId="7F17EC43" w14:textId="77777777" w:rsidR="006979C2" w:rsidRPr="00F90EAE" w:rsidRDefault="006979C2" w:rsidP="00F90EAE">
            <w:pPr>
              <w:pStyle w:val="301"/>
              <w:shd w:val="clear" w:color="auto" w:fill="auto"/>
              <w:spacing w:line="240" w:lineRule="auto"/>
              <w:jc w:val="both"/>
              <w:rPr>
                <w:rFonts w:ascii="Times New Roman"/>
                <w:color w:val="000000" w:themeColor="text1"/>
                <w:sz w:val="16"/>
                <w:szCs w:val="16"/>
              </w:rPr>
            </w:pPr>
            <w:r w:rsidRPr="00F90EAE">
              <w:rPr>
                <w:rStyle w:val="308pt"/>
                <w:color w:val="000000" w:themeColor="text1"/>
                <w:szCs w:val="16"/>
              </w:rPr>
              <w:t>В</w:t>
            </w:r>
            <w:r w:rsidRPr="00F90EAE">
              <w:rPr>
                <w:rFonts w:ascii="Times New Roman"/>
                <w:color w:val="000000" w:themeColor="text1"/>
                <w:sz w:val="16"/>
                <w:szCs w:val="16"/>
              </w:rPr>
              <w:t xml:space="preserve"> запасе</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53CFC9C3"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57C2EC1"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4</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81A980C" w14:textId="77777777" w:rsidR="006979C2" w:rsidRPr="00F90EAE" w:rsidRDefault="006979C2" w:rsidP="00F90EAE">
            <w:pPr>
              <w:pStyle w:val="380"/>
              <w:shd w:val="clear" w:color="auto" w:fill="auto"/>
              <w:spacing w:line="240" w:lineRule="auto"/>
              <w:jc w:val="both"/>
              <w:rPr>
                <w:rFonts w:ascii="Times New Roman"/>
                <w:color w:val="000000" w:themeColor="text1"/>
                <w:sz w:val="16"/>
                <w:szCs w:val="16"/>
              </w:rPr>
            </w:pPr>
            <w:r w:rsidRPr="00F90EAE">
              <w:rPr>
                <w:rFonts w:ascii="Times New Roman"/>
                <w:color w:val="000000" w:themeColor="text1"/>
                <w:sz w:val="16"/>
                <w:szCs w:val="16"/>
              </w:rPr>
              <w:t>-</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F4800D0" w14:textId="77777777" w:rsidR="006979C2" w:rsidRPr="00F90EAE" w:rsidRDefault="006979C2" w:rsidP="00F90EAE">
            <w:pPr>
              <w:jc w:val="both"/>
              <w:rPr>
                <w:color w:val="000000" w:themeColor="text1"/>
                <w:sz w:val="16"/>
                <w:szCs w:val="16"/>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14:paraId="7E6DC366"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3EE2846" w14:textId="77777777" w:rsidR="006979C2" w:rsidRPr="00F90EAE" w:rsidRDefault="006979C2" w:rsidP="00F90EAE">
            <w:pPr>
              <w:jc w:val="both"/>
              <w:rPr>
                <w:color w:val="000000" w:themeColor="text1"/>
                <w:sz w:val="16"/>
                <w:szCs w:val="16"/>
              </w:rPr>
            </w:pP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28BE7F5" w14:textId="77777777" w:rsidR="006979C2" w:rsidRPr="00F90EAE" w:rsidRDefault="006979C2" w:rsidP="00F90EAE">
            <w:pPr>
              <w:pStyle w:val="380"/>
              <w:shd w:val="clear" w:color="auto" w:fill="auto"/>
              <w:spacing w:line="240" w:lineRule="auto"/>
              <w:jc w:val="both"/>
              <w:rPr>
                <w:rFonts w:ascii="Times New Roman"/>
                <w:color w:val="000000" w:themeColor="text1"/>
                <w:sz w:val="16"/>
                <w:szCs w:val="16"/>
              </w:rPr>
            </w:pPr>
            <w:r w:rsidRPr="00F90EAE">
              <w:rPr>
                <w:rFonts w:ascii="Times New Roman"/>
                <w:color w:val="000000" w:themeColor="text1"/>
                <w:sz w:val="16"/>
                <w:szCs w:val="16"/>
              </w:rPr>
              <w:t>-</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7C4E9CBC"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544" w:type="dxa"/>
            <w:tcBorders>
              <w:top w:val="single" w:sz="6" w:space="0" w:color="auto"/>
              <w:left w:val="single" w:sz="6" w:space="0" w:color="auto"/>
              <w:bottom w:val="single" w:sz="6" w:space="0" w:color="auto"/>
              <w:right w:val="single" w:sz="6" w:space="0" w:color="auto"/>
            </w:tcBorders>
            <w:shd w:val="clear" w:color="auto" w:fill="FFFFFF"/>
          </w:tcPr>
          <w:p w14:paraId="6EDFC684"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2</w:t>
            </w: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19CF974A"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p>
        </w:tc>
        <w:tc>
          <w:tcPr>
            <w:tcW w:w="3942" w:type="dxa"/>
            <w:tcBorders>
              <w:top w:val="single" w:sz="6" w:space="0" w:color="auto"/>
              <w:left w:val="single" w:sz="6" w:space="0" w:color="auto"/>
              <w:bottom w:val="single" w:sz="6" w:space="0" w:color="auto"/>
              <w:right w:val="single" w:sz="6" w:space="0" w:color="auto"/>
            </w:tcBorders>
            <w:shd w:val="clear" w:color="auto" w:fill="FFFFFF"/>
          </w:tcPr>
          <w:p w14:paraId="4BEBA38F" w14:textId="77777777" w:rsidR="006979C2" w:rsidRPr="00F90EAE" w:rsidRDefault="006979C2" w:rsidP="00F90EAE">
            <w:pPr>
              <w:pStyle w:val="390"/>
              <w:shd w:val="clear" w:color="auto" w:fill="auto"/>
              <w:spacing w:line="240" w:lineRule="auto"/>
              <w:jc w:val="both"/>
              <w:rPr>
                <w:rFonts w:ascii="Times New Roman" w:hAnsi="Times New Roman" w:cs="Times New Roman"/>
                <w:i w:val="0"/>
                <w:color w:val="000000" w:themeColor="text1"/>
                <w:sz w:val="16"/>
                <w:szCs w:val="16"/>
              </w:rPr>
            </w:pPr>
            <w:r w:rsidRPr="00F90EAE">
              <w:rPr>
                <w:rFonts w:ascii="Times New Roman" w:hAnsi="Times New Roman" w:cs="Times New Roman"/>
                <w:i w:val="0"/>
                <w:color w:val="000000" w:themeColor="text1"/>
                <w:sz w:val="16"/>
                <w:szCs w:val="16"/>
              </w:rPr>
              <w:t>-</w:t>
            </w:r>
          </w:p>
        </w:tc>
      </w:tr>
    </w:tbl>
    <w:p w14:paraId="3FF860BC" w14:textId="77777777" w:rsidR="006979C2" w:rsidRPr="00F90EAE" w:rsidRDefault="006979C2" w:rsidP="00F90EAE">
      <w:pPr>
        <w:pStyle w:val="aff1"/>
        <w:shd w:val="clear" w:color="auto" w:fill="auto"/>
        <w:spacing w:line="240" w:lineRule="auto"/>
        <w:rPr>
          <w:rFonts w:ascii="Times New Roman" w:hAnsi="Times New Roman" w:cs="Times New Roman"/>
          <w:i w:val="0"/>
          <w:color w:val="000000" w:themeColor="text1"/>
          <w:sz w:val="16"/>
          <w:szCs w:val="16"/>
          <w:lang w:val="ru-RU"/>
        </w:rPr>
      </w:pPr>
      <w:r w:rsidRPr="00F90EAE">
        <w:rPr>
          <w:rFonts w:ascii="Times New Roman" w:hAnsi="Times New Roman" w:cs="Times New Roman"/>
          <w:i w:val="0"/>
          <w:color w:val="000000" w:themeColor="text1"/>
          <w:sz w:val="16"/>
          <w:szCs w:val="16"/>
          <w:lang w:val="ru-RU"/>
        </w:rPr>
        <w:t>По состоянию на 9 мая 1945 г. в строю находилось 22 самолета КОР-2. За период Великой Отечественной войны всего было потеряно 8 КОР-2 (12301).</w:t>
      </w:r>
    </w:p>
    <w:p w14:paraId="36A3D188" w14:textId="77777777" w:rsidR="006979C2" w:rsidRPr="00F90EAE" w:rsidRDefault="006979C2" w:rsidP="00F90EAE">
      <w:pPr>
        <w:jc w:val="both"/>
        <w:rPr>
          <w:color w:val="000000" w:themeColor="text1"/>
          <w:sz w:val="16"/>
          <w:szCs w:val="16"/>
        </w:rPr>
      </w:pPr>
      <w:r w:rsidRPr="00F90EAE">
        <w:rPr>
          <w:color w:val="000000" w:themeColor="text1"/>
          <w:sz w:val="16"/>
          <w:szCs w:val="16"/>
        </w:rPr>
        <w:t>Летающая лодка КОР-2 (Бе-4), задуман</w:t>
      </w:r>
      <w:r w:rsidRPr="00F90EAE">
        <w:rPr>
          <w:color w:val="000000" w:themeColor="text1"/>
          <w:sz w:val="16"/>
          <w:szCs w:val="16"/>
        </w:rPr>
        <w:softHyphen/>
        <w:t>ная изначально как катапультный корабель</w:t>
      </w:r>
      <w:r w:rsidRPr="00F90EAE">
        <w:rPr>
          <w:color w:val="000000" w:themeColor="text1"/>
          <w:sz w:val="16"/>
          <w:szCs w:val="16"/>
        </w:rPr>
        <w:softHyphen/>
        <w:t>ный разведчик, предназначалась для ре</w:t>
      </w:r>
      <w:r w:rsidRPr="00F90EAE">
        <w:rPr>
          <w:color w:val="000000" w:themeColor="text1"/>
          <w:sz w:val="16"/>
          <w:szCs w:val="16"/>
        </w:rPr>
        <w:softHyphen/>
        <w:t>шения широкого круга задач. КОР-2 пред</w:t>
      </w:r>
      <w:r w:rsidRPr="00F90EAE">
        <w:rPr>
          <w:color w:val="000000" w:themeColor="text1"/>
          <w:sz w:val="16"/>
          <w:szCs w:val="16"/>
        </w:rPr>
        <w:softHyphen/>
        <w:t>полагалось использовать как самолет охра</w:t>
      </w:r>
      <w:r w:rsidRPr="00F90EAE">
        <w:rPr>
          <w:color w:val="000000" w:themeColor="text1"/>
          <w:sz w:val="16"/>
          <w:szCs w:val="16"/>
        </w:rPr>
        <w:softHyphen/>
        <w:t>ны водного района базы флота, как средст</w:t>
      </w:r>
      <w:r w:rsidRPr="00F90EAE">
        <w:rPr>
          <w:color w:val="000000" w:themeColor="text1"/>
          <w:sz w:val="16"/>
          <w:szCs w:val="16"/>
        </w:rPr>
        <w:softHyphen/>
        <w:t>во борьбы с подводными лодками и тор</w:t>
      </w:r>
      <w:r w:rsidRPr="00F90EAE">
        <w:rPr>
          <w:color w:val="000000" w:themeColor="text1"/>
          <w:sz w:val="16"/>
          <w:szCs w:val="16"/>
        </w:rPr>
        <w:softHyphen/>
        <w:t>педными катерами противника, как кор</w:t>
      </w:r>
      <w:r w:rsidRPr="00F90EAE">
        <w:rPr>
          <w:color w:val="000000" w:themeColor="text1"/>
          <w:sz w:val="16"/>
          <w:szCs w:val="16"/>
        </w:rPr>
        <w:softHyphen/>
        <w:t>ректировщик огня судовой и береговой ар</w:t>
      </w:r>
      <w:r w:rsidRPr="00F90EAE">
        <w:rPr>
          <w:color w:val="000000" w:themeColor="text1"/>
          <w:sz w:val="16"/>
          <w:szCs w:val="16"/>
        </w:rPr>
        <w:softHyphen/>
        <w:t>тиллерии.</w:t>
      </w:r>
    </w:p>
    <w:p w14:paraId="45AA21F4" w14:textId="77777777" w:rsidR="006979C2" w:rsidRPr="00F90EAE" w:rsidRDefault="006979C2" w:rsidP="00F90EAE">
      <w:pPr>
        <w:jc w:val="both"/>
        <w:rPr>
          <w:color w:val="000000" w:themeColor="text1"/>
          <w:sz w:val="16"/>
          <w:szCs w:val="16"/>
        </w:rPr>
      </w:pPr>
      <w:r w:rsidRPr="00F90EAE">
        <w:rPr>
          <w:color w:val="000000" w:themeColor="text1"/>
          <w:sz w:val="16"/>
          <w:szCs w:val="16"/>
        </w:rPr>
        <w:t>Самолет выполнен по схеме летающей лодки - подкосного высокоплана, с крылом, расположенным на пилоне.</w:t>
      </w:r>
    </w:p>
    <w:p w14:paraId="2AE5556C" w14:textId="77777777" w:rsidR="006979C2" w:rsidRPr="00F90EAE" w:rsidRDefault="006979C2" w:rsidP="00F90EAE">
      <w:pPr>
        <w:jc w:val="both"/>
        <w:rPr>
          <w:color w:val="000000" w:themeColor="text1"/>
          <w:sz w:val="16"/>
          <w:szCs w:val="16"/>
        </w:rPr>
      </w:pPr>
      <w:r w:rsidRPr="00F90EAE">
        <w:rPr>
          <w:color w:val="000000" w:themeColor="text1"/>
          <w:sz w:val="16"/>
          <w:szCs w:val="16"/>
        </w:rPr>
        <w:t>Конструкция корпуса лодки цельнометал</w:t>
      </w:r>
      <w:r w:rsidRPr="00F90EAE">
        <w:rPr>
          <w:color w:val="000000" w:themeColor="text1"/>
          <w:sz w:val="16"/>
          <w:szCs w:val="16"/>
        </w:rPr>
        <w:softHyphen/>
        <w:t>лическая, с применением прессованных дю</w:t>
      </w:r>
      <w:r w:rsidRPr="00F90EAE">
        <w:rPr>
          <w:color w:val="000000" w:themeColor="text1"/>
          <w:sz w:val="16"/>
          <w:szCs w:val="16"/>
        </w:rPr>
        <w:softHyphen/>
        <w:t>ралевых профилей. Лодка двухреданная, за вторым клиновидным реданом расположен водяной руль. Передние узлы крепления к катапульте расположены в торцевой части переднего редана, задний узел — под слип-га- ком за вторым реданом. Полная длина лодки вместе с вертикальным оперением 10 500 мм, максимальная ширина по миделю — 1502 мм.</w:t>
      </w:r>
    </w:p>
    <w:p w14:paraId="3B0AEA86" w14:textId="77777777" w:rsidR="006979C2" w:rsidRPr="00F90EAE" w:rsidRDefault="006979C2" w:rsidP="00F90EAE">
      <w:pPr>
        <w:jc w:val="both"/>
        <w:rPr>
          <w:color w:val="000000" w:themeColor="text1"/>
          <w:sz w:val="16"/>
          <w:szCs w:val="16"/>
        </w:rPr>
      </w:pPr>
      <w:r w:rsidRPr="00F90EAE">
        <w:rPr>
          <w:color w:val="000000" w:themeColor="text1"/>
          <w:sz w:val="16"/>
          <w:szCs w:val="16"/>
        </w:rPr>
        <w:t>Поперечный набор лодки имеет 26 шпан</w:t>
      </w:r>
      <w:r w:rsidRPr="00F90EAE">
        <w:rPr>
          <w:color w:val="000000" w:themeColor="text1"/>
          <w:sz w:val="16"/>
          <w:szCs w:val="16"/>
        </w:rPr>
        <w:softHyphen/>
        <w:t>гоутов, водонепроницаемые переборки уста</w:t>
      </w:r>
      <w:r w:rsidRPr="00F90EAE">
        <w:rPr>
          <w:color w:val="000000" w:themeColor="text1"/>
          <w:sz w:val="16"/>
          <w:szCs w:val="16"/>
        </w:rPr>
        <w:softHyphen/>
        <w:t>новлены на 3, 5, 10 и 19-м шпангоутах. На 19- м шпангоуте оборудован круглый герметич ный люк для досту па в хвостовую часть лодки- фюзеляжа. В центре лодки между 13- и 14-м шпангоутами с каждого борта устроен прямо</w:t>
      </w:r>
      <w:r w:rsidRPr="00F90EAE">
        <w:rPr>
          <w:color w:val="000000" w:themeColor="text1"/>
          <w:sz w:val="16"/>
          <w:szCs w:val="16"/>
        </w:rPr>
        <w:softHyphen/>
        <w:t>угольный иллюминатор, открывающийся во</w:t>
      </w:r>
      <w:r w:rsidRPr="00F90EAE">
        <w:rPr>
          <w:color w:val="000000" w:themeColor="text1"/>
          <w:sz w:val="16"/>
          <w:szCs w:val="16"/>
        </w:rPr>
        <w:softHyphen/>
        <w:t>внутрь. Кабина экипажа расположена в пе</w:t>
      </w:r>
      <w:r w:rsidRPr="00F90EAE">
        <w:rPr>
          <w:color w:val="000000" w:themeColor="text1"/>
          <w:sz w:val="16"/>
          <w:szCs w:val="16"/>
        </w:rPr>
        <w:softHyphen/>
        <w:t xml:space="preserve">редней части перед пилоном, места пилота и штурмана рядом. Для обучения и тренировки </w:t>
      </w:r>
      <w:r w:rsidRPr="00F90EAE">
        <w:rPr>
          <w:color w:val="000000" w:themeColor="text1"/>
          <w:sz w:val="16"/>
          <w:szCs w:val="16"/>
        </w:rPr>
        <w:lastRenderedPageBreak/>
        <w:t>справа могло устанавливаться второе управ</w:t>
      </w:r>
      <w:r w:rsidRPr="00F90EAE">
        <w:rPr>
          <w:color w:val="000000" w:themeColor="text1"/>
          <w:sz w:val="16"/>
          <w:szCs w:val="16"/>
        </w:rPr>
        <w:softHyphen/>
        <w:t>ление. Левое кресло пилота снабжено бро</w:t>
      </w:r>
      <w:r w:rsidRPr="00F90EAE">
        <w:rPr>
          <w:color w:val="000000" w:themeColor="text1"/>
          <w:sz w:val="16"/>
          <w:szCs w:val="16"/>
        </w:rPr>
        <w:softHyphen/>
        <w:t>неспинкой с бронированным заголовником. Правое сиденье (штурмана) откидное, при за</w:t>
      </w:r>
      <w:r w:rsidRPr="00F90EAE">
        <w:rPr>
          <w:color w:val="000000" w:themeColor="text1"/>
          <w:sz w:val="16"/>
          <w:szCs w:val="16"/>
        </w:rPr>
        <w:softHyphen/>
        <w:t>пуске с катапульты на нем также ставился за</w:t>
      </w:r>
      <w:r w:rsidRPr="00F90EAE">
        <w:rPr>
          <w:color w:val="000000" w:themeColor="text1"/>
          <w:sz w:val="16"/>
          <w:szCs w:val="16"/>
        </w:rPr>
        <w:softHyphen/>
        <w:t>головник. В случае необходимости с правого кресла можно было перейти в отсек воздуш</w:t>
      </w:r>
      <w:r w:rsidRPr="00F90EAE">
        <w:rPr>
          <w:color w:val="000000" w:themeColor="text1"/>
          <w:sz w:val="16"/>
          <w:szCs w:val="16"/>
        </w:rPr>
        <w:softHyphen/>
        <w:t>ного стрелка, расположенный за пилоном. При этом приходилось отдраить герметич</w:t>
      </w:r>
      <w:r w:rsidRPr="00F90EAE">
        <w:rPr>
          <w:color w:val="000000" w:themeColor="text1"/>
          <w:sz w:val="16"/>
          <w:szCs w:val="16"/>
        </w:rPr>
        <w:softHyphen/>
        <w:t>ную дверь (на шпангоуте № 10), разделяющую носовой и хвостовой отсеки. Количество чле</w:t>
      </w:r>
      <w:r w:rsidRPr="00F90EAE">
        <w:rPr>
          <w:color w:val="000000" w:themeColor="text1"/>
          <w:sz w:val="16"/>
          <w:szCs w:val="16"/>
        </w:rPr>
        <w:softHyphen/>
        <w:t>нов экипажа могло составлять и три челове</w:t>
      </w:r>
      <w:r w:rsidRPr="00F90EAE">
        <w:rPr>
          <w:color w:val="000000" w:themeColor="text1"/>
          <w:sz w:val="16"/>
          <w:szCs w:val="16"/>
        </w:rPr>
        <w:softHyphen/>
        <w:t>ка, но обычно в воздух поднимались вдвоем. Воздушный стрелок мог выполнять функции штурмана-бомбардира, для чего в полу ка</w:t>
      </w:r>
      <w:r w:rsidRPr="00F90EAE">
        <w:rPr>
          <w:color w:val="000000" w:themeColor="text1"/>
          <w:sz w:val="16"/>
          <w:szCs w:val="16"/>
        </w:rPr>
        <w:softHyphen/>
        <w:t>бины имелось отверстие для установки бом</w:t>
      </w:r>
      <w:r w:rsidRPr="00F90EAE">
        <w:rPr>
          <w:color w:val="000000" w:themeColor="text1"/>
          <w:sz w:val="16"/>
          <w:szCs w:val="16"/>
        </w:rPr>
        <w:softHyphen/>
        <w:t>бардировочного прицела (при бомбометании с горизонтального полета). При бомбомета</w:t>
      </w:r>
      <w:r w:rsidRPr="00F90EAE">
        <w:rPr>
          <w:color w:val="000000" w:themeColor="text1"/>
          <w:sz w:val="16"/>
          <w:szCs w:val="16"/>
        </w:rPr>
        <w:softHyphen/>
        <w:t>нии с пикирования прицеливание осуществ</w:t>
      </w:r>
      <w:r w:rsidRPr="00F90EAE">
        <w:rPr>
          <w:color w:val="000000" w:themeColor="text1"/>
          <w:sz w:val="16"/>
          <w:szCs w:val="16"/>
        </w:rPr>
        <w:softHyphen/>
        <w:t>лялось прицелом ПБП-1, размешенным над приборной доской летчика.</w:t>
      </w:r>
    </w:p>
    <w:p w14:paraId="2CD3EBCD" w14:textId="77777777" w:rsidR="006979C2" w:rsidRPr="00F90EAE" w:rsidRDefault="006979C2" w:rsidP="00F90EAE">
      <w:pPr>
        <w:jc w:val="both"/>
        <w:rPr>
          <w:color w:val="000000" w:themeColor="text1"/>
          <w:sz w:val="16"/>
          <w:szCs w:val="16"/>
        </w:rPr>
      </w:pPr>
      <w:r w:rsidRPr="00F90EAE">
        <w:rPr>
          <w:color w:val="000000" w:themeColor="text1"/>
          <w:sz w:val="16"/>
          <w:szCs w:val="16"/>
        </w:rPr>
        <w:t xml:space="preserve">Крыло двухлонжеронное, металлическое, с частичной зашивкой полотном. Профиль крыла </w:t>
      </w:r>
      <w:r w:rsidRPr="00F90EAE">
        <w:rPr>
          <w:color w:val="000000" w:themeColor="text1"/>
          <w:sz w:val="16"/>
          <w:szCs w:val="16"/>
          <w:lang w:val="en-US"/>
        </w:rPr>
        <w:t>NA</w:t>
      </w:r>
      <w:r w:rsidRPr="00F90EAE">
        <w:rPr>
          <w:color w:val="000000" w:themeColor="text1"/>
          <w:sz w:val="16"/>
          <w:szCs w:val="16"/>
        </w:rPr>
        <w:t>СА-22, относительная толщина в корне 13,85%, на концах крыла — 9%. Щитки типа Шренк состоят из пяти секций: три на центроплане и по одной секции на отъемных частях крыльев. Центроплан самолета вы</w:t>
      </w:r>
      <w:r w:rsidRPr="00F90EAE">
        <w:rPr>
          <w:color w:val="000000" w:themeColor="text1"/>
          <w:sz w:val="16"/>
          <w:szCs w:val="16"/>
        </w:rPr>
        <w:softHyphen/>
        <w:t>полнен в виде обратной «чайки». Отъемные части крыла складываемые (с поворотом), время полного складывания 9 минут, рас</w:t>
      </w:r>
      <w:r w:rsidRPr="00F90EAE">
        <w:rPr>
          <w:color w:val="000000" w:themeColor="text1"/>
          <w:sz w:val="16"/>
          <w:szCs w:val="16"/>
        </w:rPr>
        <w:softHyphen/>
        <w:t>кладывания — 6 минут. Размах центроплана увязан с габаритными размерами самолета со сложенными крыльями. Ширина КОР-2 со сложенными крыльями составляла 4452 мм. В походном положении допускалось два ме</w:t>
      </w:r>
      <w:r w:rsidRPr="00F90EAE">
        <w:rPr>
          <w:color w:val="000000" w:themeColor="text1"/>
          <w:sz w:val="16"/>
          <w:szCs w:val="16"/>
        </w:rPr>
        <w:softHyphen/>
        <w:t>тода уборки консолей крыла:</w:t>
      </w:r>
    </w:p>
    <w:p w14:paraId="5909D822" w14:textId="77777777" w:rsidR="006979C2" w:rsidRPr="00F90EAE" w:rsidRDefault="006979C2" w:rsidP="00F90EAE">
      <w:pPr>
        <w:tabs>
          <w:tab w:val="left" w:pos="423"/>
        </w:tabs>
        <w:jc w:val="both"/>
        <w:rPr>
          <w:color w:val="000000" w:themeColor="text1"/>
          <w:sz w:val="16"/>
          <w:szCs w:val="16"/>
        </w:rPr>
      </w:pPr>
      <w:r w:rsidRPr="00F90EAE">
        <w:rPr>
          <w:color w:val="000000" w:themeColor="text1"/>
          <w:sz w:val="16"/>
          <w:szCs w:val="16"/>
        </w:rPr>
        <w:t>1.</w:t>
      </w:r>
      <w:r w:rsidRPr="00F90EAE">
        <w:rPr>
          <w:color w:val="000000" w:themeColor="text1"/>
          <w:sz w:val="16"/>
          <w:szCs w:val="16"/>
        </w:rPr>
        <w:tab/>
        <w:t xml:space="preserve">Путем расстыковки нижних болтов и </w:t>
      </w:r>
      <w:r w:rsidRPr="00F90EAE">
        <w:rPr>
          <w:rStyle w:val="8pt"/>
          <w:rFonts w:ascii="Times New Roman" w:cs="Times New Roman"/>
          <w:color w:val="000000" w:themeColor="text1"/>
          <w:spacing w:val="0"/>
        </w:rPr>
        <w:t>вращением</w:t>
      </w:r>
      <w:r w:rsidRPr="00F90EAE">
        <w:rPr>
          <w:color w:val="000000" w:themeColor="text1"/>
          <w:sz w:val="16"/>
          <w:szCs w:val="16"/>
        </w:rPr>
        <w:t xml:space="preserve"> консоли относительно оси верх</w:t>
      </w:r>
      <w:r w:rsidRPr="00F90EAE">
        <w:rPr>
          <w:color w:val="000000" w:themeColor="text1"/>
          <w:sz w:val="16"/>
          <w:szCs w:val="16"/>
        </w:rPr>
        <w:softHyphen/>
        <w:t>них</w:t>
      </w:r>
      <w:r w:rsidRPr="00F90EAE">
        <w:rPr>
          <w:rStyle w:val="12pt"/>
          <w:color w:val="000000" w:themeColor="text1"/>
          <w:spacing w:val="0"/>
          <w:sz w:val="16"/>
          <w:szCs w:val="16"/>
        </w:rPr>
        <w:t xml:space="preserve"> болтов.</w:t>
      </w:r>
    </w:p>
    <w:p w14:paraId="69B58730" w14:textId="77777777" w:rsidR="006979C2" w:rsidRPr="00F90EAE" w:rsidRDefault="006979C2" w:rsidP="00F90EAE">
      <w:pPr>
        <w:pStyle w:val="67"/>
        <w:shd w:val="clear" w:color="auto" w:fill="auto"/>
        <w:tabs>
          <w:tab w:val="left" w:pos="351"/>
        </w:tabs>
        <w:spacing w:before="0" w:line="240" w:lineRule="auto"/>
        <w:rPr>
          <w:color w:val="000000" w:themeColor="text1"/>
          <w:sz w:val="16"/>
          <w:szCs w:val="16"/>
        </w:rPr>
      </w:pPr>
      <w:r w:rsidRPr="00F90EAE">
        <w:rPr>
          <w:color w:val="000000" w:themeColor="text1"/>
          <w:sz w:val="16"/>
          <w:szCs w:val="16"/>
        </w:rPr>
        <w:t>2.</w:t>
      </w:r>
      <w:r w:rsidRPr="00F90EAE">
        <w:rPr>
          <w:color w:val="000000" w:themeColor="text1"/>
          <w:sz w:val="16"/>
          <w:szCs w:val="16"/>
        </w:rPr>
        <w:tab/>
        <w:t>Снятием их с центроплана и установки в походном положении согласно чертежу.</w:t>
      </w:r>
    </w:p>
    <w:p w14:paraId="7410196C" w14:textId="77777777" w:rsidR="006979C2" w:rsidRPr="00F90EAE" w:rsidRDefault="006979C2" w:rsidP="00F90EAE">
      <w:pPr>
        <w:jc w:val="both"/>
        <w:rPr>
          <w:color w:val="000000" w:themeColor="text1"/>
          <w:sz w:val="16"/>
          <w:szCs w:val="16"/>
        </w:rPr>
      </w:pPr>
      <w:r w:rsidRPr="00F90EAE">
        <w:rPr>
          <w:color w:val="000000" w:themeColor="text1"/>
          <w:sz w:val="16"/>
          <w:szCs w:val="16"/>
        </w:rPr>
        <w:t>В сухопутном варианте КОР-2 снабжался лыжным и колесным шасси типа МБР-7.</w:t>
      </w:r>
    </w:p>
    <w:p w14:paraId="28AC2E09" w14:textId="77777777" w:rsidR="006979C2" w:rsidRPr="00F90EAE" w:rsidRDefault="006979C2" w:rsidP="00F90EAE">
      <w:pPr>
        <w:pStyle w:val="19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Крепленне самолета по-походному на ка</w:t>
      </w:r>
      <w:r w:rsidRPr="00F90EAE">
        <w:rPr>
          <w:rFonts w:ascii="Times New Roman" w:hAnsi="Times New Roman"/>
          <w:color w:val="000000" w:themeColor="text1"/>
          <w:sz w:val="16"/>
          <w:szCs w:val="16"/>
        </w:rPr>
        <w:softHyphen/>
        <w:t>тапульте и на ростра* пдополнение к крепле</w:t>
      </w:r>
      <w:r w:rsidRPr="00F90EAE">
        <w:rPr>
          <w:rFonts w:ascii="Times New Roman" w:hAnsi="Times New Roman"/>
          <w:color w:val="000000" w:themeColor="text1"/>
          <w:sz w:val="16"/>
          <w:szCs w:val="16"/>
        </w:rPr>
        <w:softHyphen/>
      </w:r>
      <w:r w:rsidRPr="00F90EAE">
        <w:rPr>
          <w:rStyle w:val="aff0"/>
          <w:rFonts w:ascii="Times New Roman" w:hAnsi="Times New Roman" w:cs="Times New Roman"/>
          <w:color w:val="000000" w:themeColor="text1"/>
          <w:spacing w:val="0"/>
          <w:sz w:val="16"/>
          <w:szCs w:val="16"/>
        </w:rPr>
        <w:t>ниям на тележке производилось посредст</w:t>
      </w:r>
      <w:r w:rsidRPr="00F90EAE">
        <w:rPr>
          <w:rStyle w:val="aff0"/>
          <w:rFonts w:ascii="Times New Roman" w:hAnsi="Times New Roman" w:cs="Times New Roman"/>
          <w:color w:val="000000" w:themeColor="text1"/>
          <w:spacing w:val="0"/>
          <w:sz w:val="16"/>
          <w:szCs w:val="16"/>
        </w:rPr>
        <w:softHyphen/>
        <w:t>вом растяжек, закрепленных на нижних узлах центроплана и подкостыльном узле лодки.</w:t>
      </w:r>
    </w:p>
    <w:p w14:paraId="706ED506" w14:textId="77777777" w:rsidR="006979C2" w:rsidRPr="00F90EAE" w:rsidRDefault="006979C2" w:rsidP="00F90EAE">
      <w:pPr>
        <w:jc w:val="both"/>
        <w:rPr>
          <w:color w:val="000000" w:themeColor="text1"/>
          <w:sz w:val="16"/>
          <w:szCs w:val="16"/>
        </w:rPr>
      </w:pPr>
      <w:r w:rsidRPr="00F90EAE">
        <w:rPr>
          <w:color w:val="000000" w:themeColor="text1"/>
          <w:sz w:val="16"/>
          <w:szCs w:val="16"/>
        </w:rPr>
        <w:t>Двигатель М-62 (М-63) установлен в лобо</w:t>
      </w:r>
      <w:r w:rsidRPr="00F90EAE">
        <w:rPr>
          <w:color w:val="000000" w:themeColor="text1"/>
          <w:sz w:val="16"/>
          <w:szCs w:val="16"/>
        </w:rPr>
        <w:softHyphen/>
        <w:t>вой части центроплана, снабжен воздушным винтом изменяемого шага АВ-2-4 диаметром 2,6 метра. Машины поздних серий снабжа</w:t>
      </w:r>
      <w:r w:rsidRPr="00F90EAE">
        <w:rPr>
          <w:color w:val="000000" w:themeColor="text1"/>
          <w:sz w:val="16"/>
          <w:szCs w:val="16"/>
        </w:rPr>
        <w:softHyphen/>
        <w:t>лись воздушным винтом ВИШ 105-62.</w:t>
      </w:r>
    </w:p>
    <w:p w14:paraId="66EF4B80" w14:textId="77777777" w:rsidR="006979C2" w:rsidRPr="00F90EAE" w:rsidRDefault="006979C2" w:rsidP="00F90EAE">
      <w:pPr>
        <w:jc w:val="both"/>
        <w:rPr>
          <w:color w:val="000000" w:themeColor="text1"/>
          <w:sz w:val="16"/>
          <w:szCs w:val="16"/>
        </w:rPr>
      </w:pPr>
      <w:r w:rsidRPr="00F90EAE">
        <w:rPr>
          <w:color w:val="000000" w:themeColor="text1"/>
          <w:sz w:val="16"/>
          <w:szCs w:val="16"/>
        </w:rPr>
        <w:t>В обтекателе двигателя размещены про</w:t>
      </w:r>
      <w:r w:rsidRPr="00F90EAE">
        <w:rPr>
          <w:color w:val="000000" w:themeColor="text1"/>
          <w:sz w:val="16"/>
          <w:szCs w:val="16"/>
        </w:rPr>
        <w:softHyphen/>
        <w:t>тестированные бензиновые баки емкостью 410 и 120 литров. На случай боевых повре</w:t>
      </w:r>
      <w:r w:rsidRPr="00F90EAE">
        <w:rPr>
          <w:color w:val="000000" w:themeColor="text1"/>
          <w:sz w:val="16"/>
          <w:szCs w:val="16"/>
        </w:rPr>
        <w:softHyphen/>
        <w:t>ждений баки были оборудованы системой за</w:t>
      </w:r>
      <w:r w:rsidRPr="00F90EAE">
        <w:rPr>
          <w:color w:val="000000" w:themeColor="text1"/>
          <w:sz w:val="16"/>
          <w:szCs w:val="16"/>
        </w:rPr>
        <w:softHyphen/>
        <w:t>полнения инертным газом (на практике ис</w:t>
      </w:r>
      <w:r w:rsidRPr="00F90EAE">
        <w:rPr>
          <w:color w:val="000000" w:themeColor="text1"/>
          <w:sz w:val="16"/>
          <w:szCs w:val="16"/>
        </w:rPr>
        <w:softHyphen/>
        <w:t>пользовались охлажденные газы от выхлоп</w:t>
      </w:r>
      <w:r w:rsidRPr="00F90EAE">
        <w:rPr>
          <w:color w:val="000000" w:themeColor="text1"/>
          <w:sz w:val="16"/>
          <w:szCs w:val="16"/>
        </w:rPr>
        <w:softHyphen/>
        <w:t>ной системы двигателя). Со второй полови</w:t>
      </w:r>
      <w:r w:rsidRPr="00F90EAE">
        <w:rPr>
          <w:color w:val="000000" w:themeColor="text1"/>
          <w:sz w:val="16"/>
          <w:szCs w:val="16"/>
        </w:rPr>
        <w:softHyphen/>
        <w:t>ны 1943 г. количество топлива увеличили до 830 литров путем установки дополнительных топливных баков на борту лодки (т.е. непо</w:t>
      </w:r>
      <w:r w:rsidRPr="00F90EAE">
        <w:rPr>
          <w:color w:val="000000" w:themeColor="text1"/>
          <w:sz w:val="16"/>
          <w:szCs w:val="16"/>
        </w:rPr>
        <w:softHyphen/>
        <w:t>средственно в фюзеляже). При установке на катапульту и для подъема на корабль в верх</w:t>
      </w:r>
      <w:r w:rsidRPr="00F90EAE">
        <w:rPr>
          <w:color w:val="000000" w:themeColor="text1"/>
          <w:sz w:val="16"/>
          <w:szCs w:val="16"/>
        </w:rPr>
        <w:softHyphen/>
        <w:t>ней части обтекателя двигателя (называемого еще моторным коком) имелись узлы, за ко</w:t>
      </w:r>
      <w:r w:rsidRPr="00F90EAE">
        <w:rPr>
          <w:color w:val="000000" w:themeColor="text1"/>
          <w:sz w:val="16"/>
          <w:szCs w:val="16"/>
        </w:rPr>
        <w:softHyphen/>
        <w:t>торые самолет цеплялся кран-балкой. Узлы снабжены стропами диаметром 9,5 мм, кото</w:t>
      </w:r>
      <w:r w:rsidRPr="00F90EAE">
        <w:rPr>
          <w:color w:val="000000" w:themeColor="text1"/>
          <w:sz w:val="16"/>
          <w:szCs w:val="16"/>
        </w:rPr>
        <w:softHyphen/>
        <w:t>рые после использования убирались внутрь моторного обтекателя/</w:t>
      </w:r>
    </w:p>
    <w:p w14:paraId="05306550" w14:textId="77777777" w:rsidR="006979C2" w:rsidRPr="00F90EAE" w:rsidRDefault="006979C2" w:rsidP="00F90EAE">
      <w:pPr>
        <w:jc w:val="both"/>
        <w:rPr>
          <w:color w:val="000000" w:themeColor="text1"/>
          <w:sz w:val="16"/>
          <w:szCs w:val="16"/>
        </w:rPr>
      </w:pPr>
      <w:r w:rsidRPr="00F90EAE">
        <w:rPr>
          <w:color w:val="000000" w:themeColor="text1"/>
          <w:sz w:val="16"/>
          <w:szCs w:val="16"/>
        </w:rPr>
        <w:t>Для передвижения по суше и по палубе имелось перекатное шасси, сваренное из хромансилевых труб, с основными колесами 470x210 мм и хвостовым колесом 300x125 мм. Основные стойки крепились к узлу подкоса шпангоута №10 и на узлах, предназначенных для старта с катапульты. Перекатное шас</w:t>
      </w:r>
      <w:r w:rsidRPr="00F90EAE">
        <w:rPr>
          <w:color w:val="000000" w:themeColor="text1"/>
          <w:sz w:val="16"/>
          <w:szCs w:val="16"/>
        </w:rPr>
        <w:softHyphen/>
        <w:t>си имело небольшие габариты, поэтому его можно было брать в самолет. Время установ</w:t>
      </w:r>
      <w:r w:rsidRPr="00F90EAE">
        <w:rPr>
          <w:color w:val="000000" w:themeColor="text1"/>
          <w:sz w:val="16"/>
          <w:szCs w:val="16"/>
        </w:rPr>
        <w:softHyphen/>
        <w:t>ки шасси — 1 —2 мин. Указывалось, что благо</w:t>
      </w:r>
      <w:r w:rsidRPr="00F90EAE">
        <w:rPr>
          <w:color w:val="000000" w:themeColor="text1"/>
          <w:sz w:val="16"/>
          <w:szCs w:val="16"/>
        </w:rPr>
        <w:softHyphen/>
        <w:t>даря небольшому давлению в баллонных ко</w:t>
      </w:r>
      <w:r w:rsidRPr="00F90EAE">
        <w:rPr>
          <w:color w:val="000000" w:themeColor="text1"/>
          <w:sz w:val="16"/>
          <w:szCs w:val="16"/>
        </w:rPr>
        <w:softHyphen/>
        <w:t>лесах перекатного шасси КОР-2 не требовал</w:t>
      </w:r>
      <w:r w:rsidRPr="00F90EAE">
        <w:rPr>
          <w:color w:val="000000" w:themeColor="text1"/>
          <w:sz w:val="16"/>
          <w:szCs w:val="16"/>
        </w:rPr>
        <w:softHyphen/>
        <w:t>ся специально оборудованный спуск (слип). Одновременно инструкция по эксплуатации указывала, что при подъеме на берег (гидро</w:t>
      </w:r>
      <w:r w:rsidRPr="00F90EAE">
        <w:rPr>
          <w:color w:val="000000" w:themeColor="text1"/>
          <w:sz w:val="16"/>
          <w:szCs w:val="16"/>
        </w:rPr>
        <w:softHyphen/>
        <w:t>базу) требуется тягач (автомобиль 1,5 т) и 2— 3 водолаза.</w:t>
      </w:r>
    </w:p>
    <w:p w14:paraId="2CAB728C" w14:textId="77777777" w:rsidR="006979C2" w:rsidRPr="00F90EAE" w:rsidRDefault="006979C2" w:rsidP="00F90EAE">
      <w:pPr>
        <w:jc w:val="both"/>
        <w:rPr>
          <w:color w:val="000000" w:themeColor="text1"/>
          <w:sz w:val="16"/>
          <w:szCs w:val="16"/>
        </w:rPr>
      </w:pPr>
      <w:r w:rsidRPr="00F90EAE">
        <w:rPr>
          <w:color w:val="000000" w:themeColor="text1"/>
          <w:sz w:val="16"/>
          <w:szCs w:val="16"/>
        </w:rPr>
        <w:t>Наступательное вооружение КОР-2 пона</w:t>
      </w:r>
      <w:r w:rsidRPr="00F90EAE">
        <w:rPr>
          <w:color w:val="000000" w:themeColor="text1"/>
          <w:sz w:val="16"/>
          <w:szCs w:val="16"/>
        </w:rPr>
        <w:softHyphen/>
        <w:t>чалу состояло из одного курсового пулемета ШКАС, установленного неподвижно в но</w:t>
      </w:r>
      <w:r w:rsidRPr="00F90EAE">
        <w:rPr>
          <w:color w:val="000000" w:themeColor="text1"/>
          <w:sz w:val="16"/>
          <w:szCs w:val="16"/>
        </w:rPr>
        <w:softHyphen/>
        <w:t>совой части лодки. Впоследствии устанавли</w:t>
      </w:r>
      <w:r w:rsidRPr="00F90EAE">
        <w:rPr>
          <w:color w:val="000000" w:themeColor="text1"/>
          <w:sz w:val="16"/>
          <w:szCs w:val="16"/>
        </w:rPr>
        <w:softHyphen/>
        <w:t>вались один-два пулемета БК (УБК). Кроме этого, по курсу перед кабиной пилота можно было установить кинофотопулемет ПАУ-22. Воздушный стрелок на первых серийных ма</w:t>
      </w:r>
      <w:r w:rsidRPr="00F90EAE">
        <w:rPr>
          <w:color w:val="000000" w:themeColor="text1"/>
          <w:sz w:val="16"/>
          <w:szCs w:val="16"/>
        </w:rPr>
        <w:softHyphen/>
        <w:t>шинах управлял турелью М В-5У с пулеметом ШКАС. На последних сериях КОРы обору</w:t>
      </w:r>
      <w:r w:rsidRPr="00F90EAE">
        <w:rPr>
          <w:color w:val="000000" w:themeColor="text1"/>
          <w:sz w:val="16"/>
          <w:szCs w:val="16"/>
        </w:rPr>
        <w:softHyphen/>
        <w:t>довались кормовой турелью ВУБ-3 с пулеме</w:t>
      </w:r>
      <w:r w:rsidRPr="00F90EAE">
        <w:rPr>
          <w:color w:val="000000" w:themeColor="text1"/>
          <w:sz w:val="16"/>
          <w:szCs w:val="16"/>
        </w:rPr>
        <w:softHyphen/>
        <w:t>том УБТ калибра 12,7 мм.</w:t>
      </w:r>
    </w:p>
    <w:p w14:paraId="48563F73" w14:textId="77777777" w:rsidR="006979C2" w:rsidRPr="00F90EAE" w:rsidRDefault="006979C2" w:rsidP="00F90EAE">
      <w:pPr>
        <w:jc w:val="both"/>
        <w:rPr>
          <w:color w:val="000000" w:themeColor="text1"/>
          <w:sz w:val="16"/>
          <w:szCs w:val="16"/>
        </w:rPr>
      </w:pPr>
      <w:r w:rsidRPr="00F90EAE">
        <w:rPr>
          <w:color w:val="000000" w:themeColor="text1"/>
          <w:sz w:val="16"/>
          <w:szCs w:val="16"/>
        </w:rPr>
        <w:t>Для подвески бомб монтировались бомбо</w:t>
      </w:r>
      <w:r w:rsidRPr="00F90EAE">
        <w:rPr>
          <w:color w:val="000000" w:themeColor="text1"/>
          <w:sz w:val="16"/>
          <w:szCs w:val="16"/>
        </w:rPr>
        <w:softHyphen/>
        <w:t>держатели типа Д2-М. При отказе от исполь</w:t>
      </w:r>
      <w:r w:rsidRPr="00F90EAE">
        <w:rPr>
          <w:color w:val="000000" w:themeColor="text1"/>
          <w:sz w:val="16"/>
          <w:szCs w:val="16"/>
        </w:rPr>
        <w:softHyphen/>
        <w:t>зования бомбового вооружения ухваты вы</w:t>
      </w:r>
      <w:r w:rsidRPr="00F90EAE">
        <w:rPr>
          <w:color w:val="000000" w:themeColor="text1"/>
          <w:sz w:val="16"/>
          <w:szCs w:val="16"/>
        </w:rPr>
        <w:softHyphen/>
        <w:t>кручивались, и держатели закрывались не</w:t>
      </w:r>
      <w:r w:rsidRPr="00F90EAE">
        <w:rPr>
          <w:color w:val="000000" w:themeColor="text1"/>
          <w:sz w:val="16"/>
          <w:szCs w:val="16"/>
        </w:rPr>
        <w:softHyphen/>
        <w:t>большими лючками.</w:t>
      </w:r>
    </w:p>
    <w:p w14:paraId="2FCCE968" w14:textId="77777777" w:rsidR="006979C2" w:rsidRPr="00F90EAE" w:rsidRDefault="006979C2" w:rsidP="00F90EAE">
      <w:pPr>
        <w:jc w:val="both"/>
        <w:rPr>
          <w:color w:val="000000" w:themeColor="text1"/>
          <w:sz w:val="16"/>
          <w:szCs w:val="16"/>
        </w:rPr>
      </w:pPr>
      <w:r w:rsidRPr="00F90EAE">
        <w:rPr>
          <w:color w:val="000000" w:themeColor="text1"/>
          <w:sz w:val="16"/>
          <w:szCs w:val="16"/>
        </w:rPr>
        <w:t>Так как КОР-2 предназначался к морской службе, на нем устанавливался комплект спе</w:t>
      </w:r>
      <w:r w:rsidRPr="00F90EAE">
        <w:rPr>
          <w:color w:val="000000" w:themeColor="text1"/>
          <w:sz w:val="16"/>
          <w:szCs w:val="16"/>
        </w:rPr>
        <w:softHyphen/>
        <w:t>циального оборудования, присущего только гидросамолетам. В частности, на шпангоуте №10 монтировался насос «альвейер» для от</w:t>
      </w:r>
      <w:r w:rsidRPr="00F90EAE">
        <w:rPr>
          <w:color w:val="000000" w:themeColor="text1"/>
          <w:sz w:val="16"/>
          <w:szCs w:val="16"/>
        </w:rPr>
        <w:softHyphen/>
        <w:t>качки воды, в районе кресла штурмана раз</w:t>
      </w:r>
      <w:r w:rsidRPr="00F90EAE">
        <w:rPr>
          <w:color w:val="000000" w:themeColor="text1"/>
          <w:sz w:val="16"/>
          <w:szCs w:val="16"/>
        </w:rPr>
        <w:softHyphen/>
        <w:t>мешалась сложенная трехместная надувная лодка. Имелся складной двухлапый 8-кило- граммовый донный якорь, к нему 22 метра 20-мм каната, плавучий якорь (брезентовое ведро без дна) с канатом, трехлапая кошка, буксирные концы и полутораметровый ба</w:t>
      </w:r>
      <w:r w:rsidRPr="00F90EAE">
        <w:rPr>
          <w:color w:val="000000" w:themeColor="text1"/>
          <w:sz w:val="16"/>
          <w:szCs w:val="16"/>
        </w:rPr>
        <w:softHyphen/>
        <w:t>гор. На случай вынужденной посадки на бор</w:t>
      </w:r>
      <w:r w:rsidRPr="00F90EAE">
        <w:rPr>
          <w:color w:val="000000" w:themeColor="text1"/>
          <w:sz w:val="16"/>
          <w:szCs w:val="16"/>
        </w:rPr>
        <w:softHyphen/>
        <w:t>ту самолета имелись анкерок с пресной во</w:t>
      </w:r>
      <w:r w:rsidRPr="00F90EAE">
        <w:rPr>
          <w:color w:val="000000" w:themeColor="text1"/>
          <w:sz w:val="16"/>
          <w:szCs w:val="16"/>
        </w:rPr>
        <w:softHyphen/>
        <w:t>дой емкостью 5 литров, рюкзак для продук</w:t>
      </w:r>
      <w:r w:rsidRPr="00F90EAE">
        <w:rPr>
          <w:color w:val="000000" w:themeColor="text1"/>
          <w:sz w:val="16"/>
          <w:szCs w:val="16"/>
        </w:rPr>
        <w:softHyphen/>
        <w:t>тов, сигнальные флажки.</w:t>
      </w:r>
    </w:p>
    <w:p w14:paraId="63231152" w14:textId="77777777" w:rsidR="006979C2" w:rsidRPr="00F90EAE" w:rsidRDefault="006979C2" w:rsidP="00F90EAE">
      <w:pPr>
        <w:jc w:val="both"/>
        <w:rPr>
          <w:color w:val="000000" w:themeColor="text1"/>
          <w:sz w:val="16"/>
          <w:szCs w:val="16"/>
        </w:rPr>
      </w:pPr>
      <w:r w:rsidRPr="00F90EAE">
        <w:rPr>
          <w:color w:val="000000" w:themeColor="text1"/>
          <w:sz w:val="16"/>
          <w:szCs w:val="16"/>
        </w:rPr>
        <w:t>В заключение описания КОР-2 приведем фрагменты инструкции по катапультирова</w:t>
      </w:r>
      <w:r w:rsidRPr="00F90EAE">
        <w:rPr>
          <w:color w:val="000000" w:themeColor="text1"/>
          <w:sz w:val="16"/>
          <w:szCs w:val="16"/>
        </w:rPr>
        <w:softHyphen/>
        <w:t>нию, приведенные именно для этого самоле</w:t>
      </w:r>
      <w:r w:rsidRPr="00F90EAE">
        <w:rPr>
          <w:color w:val="000000" w:themeColor="text1"/>
          <w:sz w:val="16"/>
          <w:szCs w:val="16"/>
        </w:rPr>
        <w:softHyphen/>
        <w:t>та в техническом описании.</w:t>
      </w:r>
    </w:p>
    <w:p w14:paraId="535C6F1F" w14:textId="77777777" w:rsidR="006979C2" w:rsidRPr="00F90EAE" w:rsidRDefault="006979C2" w:rsidP="00F90EAE">
      <w:pPr>
        <w:jc w:val="both"/>
        <w:rPr>
          <w:color w:val="000000" w:themeColor="text1"/>
          <w:sz w:val="16"/>
          <w:szCs w:val="16"/>
        </w:rPr>
      </w:pPr>
      <w:r w:rsidRPr="00F90EAE">
        <w:rPr>
          <w:color w:val="000000" w:themeColor="text1"/>
          <w:sz w:val="16"/>
          <w:szCs w:val="16"/>
        </w:rPr>
        <w:t>Связь пилота с катапультой осуществляет</w:t>
      </w:r>
      <w:r w:rsidRPr="00F90EAE">
        <w:rPr>
          <w:color w:val="000000" w:themeColor="text1"/>
          <w:sz w:val="16"/>
          <w:szCs w:val="16"/>
        </w:rPr>
        <w:softHyphen/>
        <w:t>ся световой сигнализацией:</w:t>
      </w:r>
    </w:p>
    <w:p w14:paraId="1C1FED87" w14:textId="77777777" w:rsidR="006979C2" w:rsidRPr="00F90EAE" w:rsidRDefault="006979C2" w:rsidP="00F90EAE">
      <w:pPr>
        <w:tabs>
          <w:tab w:val="left" w:pos="355"/>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Белый цвет — готов к старту.</w:t>
      </w:r>
    </w:p>
    <w:p w14:paraId="0FE811CA" w14:textId="77777777" w:rsidR="006979C2" w:rsidRPr="00F90EAE" w:rsidRDefault="006979C2" w:rsidP="00F90EAE">
      <w:pPr>
        <w:tabs>
          <w:tab w:val="left" w:pos="344"/>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Зеленый цвет — старт.</w:t>
      </w:r>
    </w:p>
    <w:p w14:paraId="54FF1945" w14:textId="77777777" w:rsidR="006979C2" w:rsidRPr="00F90EAE" w:rsidRDefault="006979C2" w:rsidP="00F90EAE">
      <w:pPr>
        <w:tabs>
          <w:tab w:val="left" w:pos="351"/>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Красный цвет — отмена старта.</w:t>
      </w:r>
    </w:p>
    <w:p w14:paraId="59795052" w14:textId="77777777" w:rsidR="006979C2" w:rsidRPr="00F90EAE" w:rsidRDefault="006979C2" w:rsidP="00F90EAE">
      <w:pPr>
        <w:jc w:val="both"/>
        <w:rPr>
          <w:color w:val="000000" w:themeColor="text1"/>
          <w:sz w:val="16"/>
          <w:szCs w:val="16"/>
        </w:rPr>
      </w:pPr>
      <w:r w:rsidRPr="00F90EAE">
        <w:rPr>
          <w:color w:val="000000" w:themeColor="text1"/>
          <w:sz w:val="16"/>
          <w:szCs w:val="16"/>
        </w:rPr>
        <w:t>Сигнальные лампы были смонтированы в</w:t>
      </w:r>
    </w:p>
    <w:p w14:paraId="1E0B34FB" w14:textId="77777777" w:rsidR="006979C2" w:rsidRPr="00F90EAE" w:rsidRDefault="006979C2" w:rsidP="00F90EAE">
      <w:pPr>
        <w:jc w:val="both"/>
        <w:rPr>
          <w:color w:val="000000" w:themeColor="text1"/>
          <w:sz w:val="16"/>
          <w:szCs w:val="16"/>
        </w:rPr>
      </w:pPr>
      <w:r w:rsidRPr="00F90EAE">
        <w:rPr>
          <w:color w:val="000000" w:themeColor="text1"/>
          <w:sz w:val="16"/>
          <w:szCs w:val="16"/>
        </w:rPr>
        <w:t>носке центроплана слева и продублированы на приборной доске летчика. Порядок рабо</w:t>
      </w:r>
      <w:r w:rsidRPr="00F90EAE">
        <w:rPr>
          <w:color w:val="000000" w:themeColor="text1"/>
          <w:sz w:val="16"/>
          <w:szCs w:val="16"/>
        </w:rPr>
        <w:softHyphen/>
        <w:t>ты был следующим:</w:t>
      </w:r>
    </w:p>
    <w:p w14:paraId="2EFC36D5" w14:textId="77777777" w:rsidR="006979C2" w:rsidRPr="00F90EAE" w:rsidRDefault="006979C2" w:rsidP="00F90EAE">
      <w:pPr>
        <w:tabs>
          <w:tab w:val="left" w:pos="398"/>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Стартируюший (старшина) катапульты давал белый сигнал на запуск двигателя, лет</w:t>
      </w:r>
      <w:r w:rsidRPr="00F90EAE">
        <w:rPr>
          <w:color w:val="000000" w:themeColor="text1"/>
          <w:sz w:val="16"/>
          <w:szCs w:val="16"/>
        </w:rPr>
        <w:softHyphen/>
        <w:t>чик после этого запускал двигатель.</w:t>
      </w:r>
    </w:p>
    <w:p w14:paraId="1CD06552" w14:textId="77777777" w:rsidR="006979C2" w:rsidRPr="00F90EAE" w:rsidRDefault="006979C2" w:rsidP="00F90EAE">
      <w:pPr>
        <w:tabs>
          <w:tab w:val="left" w:pos="376"/>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После прогрева двигателя летчик зажи</w:t>
      </w:r>
      <w:r w:rsidRPr="00F90EAE">
        <w:rPr>
          <w:color w:val="000000" w:themeColor="text1"/>
          <w:sz w:val="16"/>
          <w:szCs w:val="16"/>
        </w:rPr>
        <w:softHyphen/>
        <w:t>гал белый огонь, после чего на катапульте от</w:t>
      </w:r>
      <w:r w:rsidRPr="00F90EAE">
        <w:rPr>
          <w:color w:val="000000" w:themeColor="text1"/>
          <w:sz w:val="16"/>
          <w:szCs w:val="16"/>
        </w:rPr>
        <w:softHyphen/>
        <w:t>крывали главный клапан и давали зеленый сигнал с одновременным гашением белого. Это означало, что на катапульте все готово.</w:t>
      </w:r>
    </w:p>
    <w:p w14:paraId="01CBA966" w14:textId="77777777" w:rsidR="006979C2" w:rsidRPr="00F90EAE" w:rsidRDefault="006979C2" w:rsidP="00F90EAE">
      <w:pPr>
        <w:tabs>
          <w:tab w:val="left" w:pos="402"/>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Летчик после этого зажигал зеленый огонь и выключал белый. После этого следо</w:t>
      </w:r>
      <w:r w:rsidRPr="00F90EAE">
        <w:rPr>
          <w:color w:val="000000" w:themeColor="text1"/>
          <w:sz w:val="16"/>
          <w:szCs w:val="16"/>
        </w:rPr>
        <w:softHyphen/>
        <w:t>вал старт самолета.</w:t>
      </w:r>
    </w:p>
    <w:p w14:paraId="7D2E60C7" w14:textId="77777777" w:rsidR="006979C2" w:rsidRPr="00F90EAE" w:rsidRDefault="006979C2" w:rsidP="00F90EAE">
      <w:pPr>
        <w:tabs>
          <w:tab w:val="left" w:pos="376"/>
        </w:tabs>
        <w:jc w:val="both"/>
        <w:rPr>
          <w:color w:val="000000" w:themeColor="text1"/>
          <w:sz w:val="16"/>
          <w:szCs w:val="16"/>
        </w:rPr>
      </w:pPr>
      <w:r w:rsidRPr="00F90EAE">
        <w:rPr>
          <w:color w:val="000000" w:themeColor="text1"/>
          <w:sz w:val="16"/>
          <w:szCs w:val="16"/>
        </w:rPr>
        <w:t>•</w:t>
      </w:r>
      <w:r w:rsidRPr="00F90EAE">
        <w:rPr>
          <w:color w:val="000000" w:themeColor="text1"/>
          <w:sz w:val="16"/>
          <w:szCs w:val="16"/>
        </w:rPr>
        <w:tab/>
        <w:t>Для отмены старта зажигался красный огонь (лампа) с той или другой стороны. Принятие сигнала подтверждалось зажига</w:t>
      </w:r>
      <w:r w:rsidRPr="00F90EAE">
        <w:rPr>
          <w:color w:val="000000" w:themeColor="text1"/>
          <w:sz w:val="16"/>
          <w:szCs w:val="16"/>
        </w:rPr>
        <w:softHyphen/>
        <w:t>нием соответствующей красной лампы (12301).</w:t>
      </w:r>
    </w:p>
    <w:p w14:paraId="7743B15F" w14:textId="77777777" w:rsidR="006979C2" w:rsidRPr="00F90EAE" w:rsidRDefault="006979C2" w:rsidP="00F90EAE">
      <w:pPr>
        <w:pStyle w:val="aff1"/>
        <w:shd w:val="clear" w:color="auto" w:fill="auto"/>
        <w:spacing w:line="240" w:lineRule="auto"/>
        <w:rPr>
          <w:rFonts w:ascii="Times New Roman" w:hAnsi="Times New Roman" w:cs="Times New Roman"/>
          <w:i w:val="0"/>
          <w:color w:val="000000" w:themeColor="text1"/>
          <w:sz w:val="16"/>
          <w:szCs w:val="16"/>
          <w:lang w:val="ru-RU"/>
        </w:rPr>
      </w:pPr>
    </w:p>
    <w:p w14:paraId="7AF87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к 9 мая 1945 года три западных флота получили в общей сложности 107 PBN-1 Номад, что составляло 73% общего состава их гидроавиации. Ни один самолет не был сбит врагом, но девять машин числятся потерянными но небоевым причинам (3457,130).</w:t>
      </w:r>
    </w:p>
    <w:p w14:paraId="29D99979" w14:textId="77777777" w:rsidR="00665165" w:rsidRPr="00F90EAE" w:rsidRDefault="00665165" w:rsidP="00F90EAE">
      <w:pPr>
        <w:autoSpaceDE w:val="0"/>
        <w:autoSpaceDN w:val="0"/>
        <w:adjustRightInd w:val="0"/>
        <w:jc w:val="both"/>
        <w:rPr>
          <w:color w:val="000000" w:themeColor="text1"/>
          <w:sz w:val="16"/>
          <w:szCs w:val="16"/>
        </w:rPr>
      </w:pPr>
    </w:p>
    <w:p w14:paraId="1BE183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9 мая 1945 года различным организациям передали 11 летающих лодок. Этот процесс еще более ускорился в ходе послевоенного сокращения вооруженных сил. Например, осенью 1945 года "Номады" поступили в авиацию морской пограничной охраны. Так, одна такая машина имелась в 7-м отдельном авиаотряде в Хабаровске. С поражением последней державы "оси" закончилось и действие закона о ленд-лизе. Поставки вооружения и боевой техники из США в нашу страну окончательно прекратились. Всего из Америки в СССР были отправлены 137 PBN-1 и 48 PBY-6A. Кроме того, по-видимому, к нам попало несколько PBY-5A. Некоторые источники утверждают, что эти, уже не новые, амфибии сдавались советской стороне на базе Ванкувер-Айленд к 1944 году. Косвенным подтверждением этого можно считать фото PBY-5A с красными звездами. Конечно не все эти машины вошли к состав авиации ВМФ. Как уже говорилось, четыре PBN-1 самостоятельно получали и перегоняли полярные летчики. После окончания войны ни одна машина не была возвращена в США. Американские самолеты использовали для полной модернизации отечественной гидроавиации. Старые МБР-2 и Че-2 пошли на слом, их место заняли "Номады" и "Каталины" (3457,130).</w:t>
      </w:r>
    </w:p>
    <w:p w14:paraId="35774B10" w14:textId="77777777" w:rsidR="00665165" w:rsidRPr="00F90EAE" w:rsidRDefault="00665165" w:rsidP="00F90EAE">
      <w:pPr>
        <w:autoSpaceDE w:val="0"/>
        <w:autoSpaceDN w:val="0"/>
        <w:adjustRightInd w:val="0"/>
        <w:jc w:val="both"/>
        <w:rPr>
          <w:color w:val="000000" w:themeColor="text1"/>
          <w:sz w:val="16"/>
          <w:szCs w:val="16"/>
        </w:rPr>
      </w:pPr>
    </w:p>
    <w:p w14:paraId="12AB81CB" w14:textId="77777777" w:rsidR="00B35A1B" w:rsidRPr="00F90EAE" w:rsidRDefault="00B35A1B" w:rsidP="00F90EAE">
      <w:pPr>
        <w:jc w:val="both"/>
        <w:rPr>
          <w:color w:val="0070C0"/>
          <w:sz w:val="16"/>
          <w:szCs w:val="16"/>
        </w:rPr>
      </w:pPr>
      <w:r w:rsidRPr="00F90EAE">
        <w:rPr>
          <w:color w:val="0070C0"/>
          <w:sz w:val="16"/>
          <w:szCs w:val="16"/>
        </w:rPr>
        <w:t>9 мая 1945 аэростат 2-го отряда 6-го ОВДААН всё ещё находился в Карнер-парке. В отряде решили отметить День Победы, под</w:t>
      </w:r>
      <w:r w:rsidRPr="00F90EAE">
        <w:rPr>
          <w:color w:val="0070C0"/>
          <w:sz w:val="16"/>
          <w:szCs w:val="16"/>
        </w:rPr>
        <w:softHyphen/>
        <w:t>няв на аэростате над городом огромное Красное знамя, прикреплённое к тросу на 300-400 м ниже оболочки. Эффект был потрясающий: из-за низ</w:t>
      </w:r>
      <w:r w:rsidRPr="00F90EAE">
        <w:rPr>
          <w:color w:val="0070C0"/>
          <w:sz w:val="16"/>
          <w:szCs w:val="16"/>
        </w:rPr>
        <w:softHyphen/>
        <w:t>кой облачности аэростат не был виден, и знамя реяло в воздухе. Ночью его подсвечивали про</w:t>
      </w:r>
      <w:r w:rsidRPr="00F90EAE">
        <w:rPr>
          <w:color w:val="0070C0"/>
          <w:sz w:val="16"/>
          <w:szCs w:val="16"/>
        </w:rPr>
        <w:softHyphen/>
        <w:t>жекторами. В корзине аэростата находились ди</w:t>
      </w:r>
      <w:r w:rsidRPr="00F90EAE">
        <w:rPr>
          <w:color w:val="0070C0"/>
          <w:sz w:val="16"/>
          <w:szCs w:val="16"/>
        </w:rPr>
        <w:softHyphen/>
        <w:t>намики, соединённые кабелем с радиолой на зем</w:t>
      </w:r>
      <w:r w:rsidRPr="00F90EAE">
        <w:rPr>
          <w:color w:val="0070C0"/>
          <w:sz w:val="16"/>
          <w:szCs w:val="16"/>
        </w:rPr>
        <w:softHyphen/>
        <w:t>ле, и с высоты 700 м над поверженной вражеской столицей разносились советские песни и марши. Эта инициатива понравилась руководству Совет</w:t>
      </w:r>
      <w:r w:rsidRPr="00F90EAE">
        <w:rPr>
          <w:color w:val="0070C0"/>
          <w:sz w:val="16"/>
          <w:szCs w:val="16"/>
        </w:rPr>
        <w:softHyphen/>
        <w:t>ской Контрольной комиссии в Германии, и в по</w:t>
      </w:r>
      <w:r w:rsidRPr="00F90EAE">
        <w:rPr>
          <w:color w:val="0070C0"/>
          <w:sz w:val="16"/>
          <w:szCs w:val="16"/>
        </w:rPr>
        <w:softHyphen/>
        <w:t>следующие годы оно постоянно привлекало 2-й отряд на праздники в г. Потсдам для подъёма знамён на аэростате (20120).</w:t>
      </w:r>
    </w:p>
    <w:p w14:paraId="589EF148" w14:textId="77777777" w:rsidR="00B35A1B" w:rsidRPr="00F90EAE" w:rsidRDefault="00B35A1B" w:rsidP="00F90EAE">
      <w:pPr>
        <w:jc w:val="both"/>
        <w:rPr>
          <w:color w:val="0070C0"/>
          <w:sz w:val="16"/>
          <w:szCs w:val="16"/>
        </w:rPr>
      </w:pPr>
    </w:p>
    <w:p w14:paraId="3C876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СССР располагал 35200 танками, а поставлено было 131700. Наибольшие потери - 47200 из 96500 были в 1943 и 1944. Соотношение к немцам - 2.96:1 (2114).</w:t>
      </w:r>
    </w:p>
    <w:p w14:paraId="31300B16" w14:textId="77777777" w:rsidR="00665165" w:rsidRPr="00F90EAE" w:rsidRDefault="00665165" w:rsidP="00F90EAE">
      <w:pPr>
        <w:autoSpaceDE w:val="0"/>
        <w:autoSpaceDN w:val="0"/>
        <w:adjustRightInd w:val="0"/>
        <w:jc w:val="both"/>
        <w:rPr>
          <w:color w:val="000000" w:themeColor="text1"/>
          <w:sz w:val="16"/>
          <w:szCs w:val="16"/>
        </w:rPr>
      </w:pPr>
    </w:p>
    <w:p w14:paraId="1B262AD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11-я советская гвардейская механизированная бригада встретилась с частями 2-й американской пехотной дивизии в районе чешского города Пльзень (4963 ).</w:t>
      </w:r>
    </w:p>
    <w:p w14:paraId="2245C6B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E4D05D" w14:textId="77777777" w:rsidR="002F1089" w:rsidRPr="00F90EAE" w:rsidRDefault="002F1089" w:rsidP="00F90EAE">
      <w:pPr>
        <w:jc w:val="both"/>
        <w:rPr>
          <w:color w:val="000000" w:themeColor="text1"/>
          <w:sz w:val="16"/>
          <w:szCs w:val="16"/>
        </w:rPr>
      </w:pPr>
      <w:r w:rsidRPr="00F90EAE">
        <w:rPr>
          <w:color w:val="000000" w:themeColor="text1"/>
          <w:sz w:val="16"/>
          <w:szCs w:val="16"/>
        </w:rPr>
        <w:t>9 мая в 1945 году 11-я советская гвардейская механизированная бригада встретилась с частями 2-й американской пехотной дивизии в районе чешского города Пльзень (14886).</w:t>
      </w:r>
    </w:p>
    <w:p w14:paraId="0A1A6BFC" w14:textId="77777777" w:rsidR="002F1089" w:rsidRPr="00F90EAE" w:rsidRDefault="002F1089" w:rsidP="00F90EAE">
      <w:pPr>
        <w:jc w:val="both"/>
        <w:rPr>
          <w:color w:val="000000" w:themeColor="text1"/>
          <w:sz w:val="16"/>
          <w:szCs w:val="16"/>
        </w:rPr>
      </w:pPr>
    </w:p>
    <w:p w14:paraId="32AD611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советские войска освободили Прагу (4962).</w:t>
      </w:r>
    </w:p>
    <w:p w14:paraId="407362B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59EBD6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63-я советская гвардейская танковая бригада с боем ворвалась в чешский город Прагу, чуть позже в Прагу вошли 10-й танковый, 5-й и 6-й механизированный гвардейские корпуса, 70-я армейская гвардейская самоходно-артиллерийская бригада и 72-й тяжелый гвардейский танковый полк. Совесткие войска полностью очистили Прагу от немцев (4963 ).</w:t>
      </w:r>
    </w:p>
    <w:p w14:paraId="55D4F7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6307635" w14:textId="77777777" w:rsidR="002F1089" w:rsidRPr="00F90EAE" w:rsidRDefault="002F1089" w:rsidP="00F90EAE">
      <w:pPr>
        <w:jc w:val="both"/>
        <w:rPr>
          <w:color w:val="000000" w:themeColor="text1"/>
          <w:sz w:val="16"/>
          <w:szCs w:val="16"/>
        </w:rPr>
      </w:pPr>
      <w:r w:rsidRPr="00F90EAE">
        <w:rPr>
          <w:color w:val="000000" w:themeColor="text1"/>
          <w:sz w:val="16"/>
          <w:szCs w:val="16"/>
        </w:rPr>
        <w:t>9 мая в 1945 году Советской Армией освобожден от гитлеровцев город Прага. Пражская наступательная операция войск 1-го, 2-го и 4-го Украинских фронтов по уничтожению немецко-фашистской группировки на территории Чехословакии была последним сражением Великой Отечественной войны. Она началась 6 мая 1945 года и полностью завершилась 11 мая 1945 года. В начале мая в Чехословакии и Северной Австрии продолжали сопротивление немецкая группа армий "Центр" (1-я и 4-я танковые и 17-я армии, командующий генерал-фельдмаршал Ф.Шёрнер) и часть армий группы "Австрия" (8-я армия и 6-я танковая армия СС, командующий генерал-полковник Л.Рендулич), всего свыше 900 тысяч человек, около 10 тысяч орудий и миномётов, свыше 2200 танков и штурмовых орудий, около 1000 самолётов. По замыслу нового правительства фашистской Германии во главе с К.Дёницем группа армий "Центр" должна была удерживать районы западной и центральной Чехии с тем, чтобы выиграть время и обеспечить отвод своих войск на запад для последующей капитуляции перед американскими войсками. Стратегическим планом советского Верховного Главнокомандования предусматривалось нанесение нескольких мощных ударов по сходящимся направлениям на Прагу с целью окружения и расчленения основных сил врага восточнее Праги и недопущения их отхода на запад. Разгром противника возлагался на 1-й, 2-й и 4-й Украинские фронты (командующий соответственно Маршалы Советского Союза И.С.Конев, Р.Я.Малиновский и генерал армии А.И.Еременко). В состав группировки фронтов, кроме советских войск, входили 2-я армия Войска Польского, 1-й Чехословацкий армейский корпус, 1-я и 4-я румынские армии. Всего свыше 1 млн. человек, более 23 тысяч орудий и миномётов, около 1800 танков и самоходных артиллерийских орудий и свыше 4 тысяч самолётов (без учёта одной армии 1-го Украинского фронта и румынских войск). Главные удары наносили войска 1-го и 2-го Украинских фронтов по обоим флангам группы армий "Центр". 1-5 мая в различных районах Чехословакии началось народное восстание, 5 мая - в Праге. В ночь на 6 мая пражская радиостанция обратилась к советским войскам с просьбой о помощи. Войска главной ударной группировки правого крыла 1-го Украинского фронта: 13-я армия (командующий генерал-полковник Н.П.Пухов), 3-я гвардейская армия (генерал-полковник В.Н.Гордов), 5-я гвардейская армия (генерал-полковник А.С.Жадов), 3-я гвардейская танковая армия (генерал-полковник танковых войск П.С.Рыбалко) и 4-я гвардейская танковая армия (генерал-полковник танковых войск Д.Д.Лелюшенко) за сутки до намеченного срока перешли в наступление и к исходу 7 мая вышли к северным склонам Рудных гор и завязали бои за Дрезден. С утра 7 мая в наступление перешли остальные армии 1-го Украинского фронта и войска 7-й гвардейской армии (командующий генерал-полковник М.С.Шумилов) 2-го Украинского фронта. Войска 4-го Украинского фронта 6 и 7 мая продолжали наступление на оломоуцком направлении и во взаимодействии с войсками 2-го Украинского фронта создали угрозу окружения немецко-фашистских войск, действовавших восточнее Оломоуца, вынудив противника начать отвод 1-й танковой армии. В связи с этим развернулось успешное наступление войск 38-й (командующий генерал-полковник К.С.Москаленко) и 1-й гвардейский (командующий генерал-полковник А.А.Гречко) армий 4-го Украинского фронта. 8 мая наступление продолжалось на всех направлениях. Наибольший успех имели армии правого крыла 1-го Украинского фронта. Они сломили сопротивление врага на рубеже Рудных гор, полностью заняли Дрезден и вступили на территории Чехословакии. Во 2-м Украинском фронте 8 мая была введена в сражение 6-я гвардейская танковая армия (командующий генерал-полковник танковых войск А.Г.Кравченко), которая стремительно развивала наступление на Йиглаву, продвигаясь к Праге с юга. Войска 4-го Украинского фронта освободили Оломоуц и наступали на Прагу с востока. 8 мая германское командование подписало акт о капитуляции, но группа армий "Центр" продолжала сопротивление. В Праге восставшие находились в тяжёлом положении. 3-я и 4-я гвардейские танковые армии 1-го Украинского фронта в ночь на 9 мая совершили стремительный 80-ти километровый бросок, утром 9 мая вступили в Прагу и вскоре очистили город от врага. В тот же день к Праге подошли передовые части 2-го и 4-го Украинского фронтов, главные силы группы армий "Центр" были окружены. Вне окружения остались лишь дивизии группы армий "Австрия", которых громили войска левого крыла 2-го Украинского фронта. Успеху советских войск во многом содействовала авиация фронтов. 10-11 мая основные силы войск противника были пленены; советские войска вошли в соприкосновение с 3-й американской армией. Освобождение Чехословакии было завершено. Стремительные действия советских войск избавили города и сёла Чехословакии от разрушений и злодеяний немецко-фашистских войск, чехословацкий народ получил возможность самостоятельно решать судьбу своей Родины. С точки зрения военного искусства Пражская операция характерна подготовкой её в короткий срок, проведением сложной оперативной перегруппировки войск, использованием танковых армий для окружения и разгрома крупной группировки в условиях горно-лесистого театра военных действий и высокими темпами наступления (14886).</w:t>
      </w:r>
    </w:p>
    <w:p w14:paraId="6C33AEB6" w14:textId="77777777" w:rsidR="002F1089" w:rsidRPr="00F90EAE" w:rsidRDefault="002F1089" w:rsidP="00F90EAE">
      <w:pPr>
        <w:jc w:val="both"/>
        <w:rPr>
          <w:color w:val="000000" w:themeColor="text1"/>
          <w:sz w:val="16"/>
          <w:szCs w:val="16"/>
        </w:rPr>
      </w:pPr>
    </w:p>
    <w:p w14:paraId="15C265B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произведена высадка на датский о-в Борнхольм в Балтийском море 132-го советского стрелкового корпуса (8 000 чел.), ему противостояли 12 000 солдат немецкого гарнизона. Немецкий гарнизон на Борнхольме капитулировал (4963 ).</w:t>
      </w:r>
    </w:p>
    <w:p w14:paraId="5DC40E9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70A826" w14:textId="77777777" w:rsidR="002F1089" w:rsidRPr="00F90EAE" w:rsidRDefault="002F1089" w:rsidP="00F90EAE">
      <w:pPr>
        <w:jc w:val="both"/>
        <w:rPr>
          <w:color w:val="000000" w:themeColor="text1"/>
          <w:sz w:val="16"/>
          <w:szCs w:val="16"/>
        </w:rPr>
      </w:pPr>
      <w:r w:rsidRPr="00F90EAE">
        <w:rPr>
          <w:color w:val="000000" w:themeColor="text1"/>
          <w:sz w:val="16"/>
          <w:szCs w:val="16"/>
        </w:rPr>
        <w:t>9 мая в 1945 году произведена высадка на датский оcтров Борнхольм в Балтийском море 132-го советского стрелкового корпуса (8 000 человек), ему противостояли 12 000 солдат немецкого гарнизона. Немецкий гарнизон на Борнхольме капитулировал (14886).</w:t>
      </w:r>
    </w:p>
    <w:p w14:paraId="0DEF85DC" w14:textId="77777777" w:rsidR="002F1089" w:rsidRPr="00F90EAE" w:rsidRDefault="002F1089" w:rsidP="00F90EAE">
      <w:pPr>
        <w:jc w:val="both"/>
        <w:rPr>
          <w:color w:val="000000" w:themeColor="text1"/>
          <w:sz w:val="16"/>
          <w:szCs w:val="16"/>
        </w:rPr>
      </w:pPr>
    </w:p>
    <w:p w14:paraId="38EF0A6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советские войска освободили от фашистов Либаву (Лиепаю) (4962).</w:t>
      </w:r>
    </w:p>
    <w:p w14:paraId="456F2E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55960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мая 1945 года в составе Красной Армии име</w:t>
      </w:r>
      <w:r w:rsidRPr="00F90EAE">
        <w:rPr>
          <w:color w:val="000000" w:themeColor="text1"/>
          <w:sz w:val="16"/>
          <w:szCs w:val="16"/>
        </w:rPr>
        <w:softHyphen/>
        <w:t>лось 12 самоходно-артиллерийских бригад (7 легких, 4 средних и 1 тяжелая), 256 самоходно-артиллерийских полков (119 легких, 81 средних и 56 тяжелых), 70 отдель</w:t>
      </w:r>
      <w:r w:rsidRPr="00F90EAE">
        <w:rPr>
          <w:color w:val="000000" w:themeColor="text1"/>
          <w:sz w:val="16"/>
          <w:szCs w:val="16"/>
        </w:rPr>
        <w:softHyphen/>
        <w:t>ных самоходно-артиллерийских дивизионов в составе стрелковых дивизий и 21 дивизион в составе легких само</w:t>
      </w:r>
      <w:r w:rsidRPr="00F90EAE">
        <w:rPr>
          <w:color w:val="000000" w:themeColor="text1"/>
          <w:sz w:val="16"/>
          <w:szCs w:val="16"/>
        </w:rPr>
        <w:softHyphen/>
        <w:t>ходно-артиллерийских бригад (11417).</w:t>
      </w:r>
    </w:p>
    <w:p w14:paraId="60D86F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A3AB9F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9FD66F0" w14:textId="77777777" w:rsidR="00665165" w:rsidRPr="00F90EAE" w:rsidRDefault="00665165" w:rsidP="00F90EAE">
      <w:pPr>
        <w:autoSpaceDE w:val="0"/>
        <w:autoSpaceDN w:val="0"/>
        <w:adjustRightInd w:val="0"/>
        <w:jc w:val="both"/>
        <w:rPr>
          <w:iCs/>
          <w:color w:val="000000" w:themeColor="text1"/>
          <w:sz w:val="16"/>
          <w:szCs w:val="16"/>
        </w:rPr>
      </w:pPr>
    </w:p>
    <w:p w14:paraId="3962EB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на Ли-2 из Берлина экипаж А.Семенова привез акт о безоговорочной капитуляции (574,46).</w:t>
      </w:r>
    </w:p>
    <w:p w14:paraId="22E1AC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Есть мнение, что это был Ще-2</w:t>
      </w:r>
    </w:p>
    <w:p w14:paraId="469F6CC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D1C7F61" w14:textId="77777777" w:rsidR="00A40B71" w:rsidRPr="00F90EAE" w:rsidRDefault="00A40B71" w:rsidP="00F90EAE">
      <w:pPr>
        <w:jc w:val="both"/>
        <w:rPr>
          <w:color w:val="000000" w:themeColor="text1"/>
          <w:sz w:val="16"/>
          <w:szCs w:val="16"/>
        </w:rPr>
      </w:pPr>
      <w:r w:rsidRPr="00F90EAE">
        <w:rPr>
          <w:color w:val="000000" w:themeColor="text1"/>
          <w:sz w:val="16"/>
          <w:szCs w:val="16"/>
        </w:rPr>
        <w:t>9 мая в 1945 году на Центральном аэродроме имени М.В.Фрунзе приземлился «Ли-2» с экипажем А.И.Семенкова, доставивший в Москву акт о капитуляции фашистской Германии (14886).</w:t>
      </w:r>
    </w:p>
    <w:p w14:paraId="794FA6D1" w14:textId="77777777" w:rsidR="00A40B71" w:rsidRPr="00F90EAE" w:rsidRDefault="00A40B71" w:rsidP="00F90EAE">
      <w:pPr>
        <w:jc w:val="both"/>
        <w:rPr>
          <w:color w:val="000000" w:themeColor="text1"/>
          <w:sz w:val="16"/>
          <w:szCs w:val="16"/>
        </w:rPr>
      </w:pPr>
    </w:p>
    <w:p w14:paraId="7FBFA66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г. на ЦА им. М.В.Фрунзе приземлился Ли-2 А.И.Семенкова, доставивший в Москву акт о капитуляции фашистской Германии (6395).</w:t>
      </w:r>
    </w:p>
    <w:p w14:paraId="766058D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93E428B" w14:textId="77777777" w:rsidR="00A40B71" w:rsidRPr="00F90EAE" w:rsidRDefault="00A40B71" w:rsidP="00F90EAE">
      <w:pPr>
        <w:jc w:val="both"/>
        <w:rPr>
          <w:color w:val="000000" w:themeColor="text1"/>
          <w:sz w:val="16"/>
          <w:szCs w:val="16"/>
        </w:rPr>
      </w:pPr>
      <w:r w:rsidRPr="00F90EAE">
        <w:rPr>
          <w:color w:val="000000" w:themeColor="text1"/>
          <w:sz w:val="16"/>
          <w:szCs w:val="16"/>
        </w:rPr>
        <w:t>9 мая в 1945 году «Правда» публикует Акт о безоговорочной капитуляции германских вооруженных сил. СССР и союзники решили отмечать День Победы 9 мая. Но многие западные СМИ сработали на опережение и опубликовали Акт во вторник, 8 мая, что вызвало всеобщее ликование и стало причиной того, что во многих странах именно 8 мая отмечают День Победы (14886).</w:t>
      </w:r>
    </w:p>
    <w:p w14:paraId="148BBF1E" w14:textId="77777777" w:rsidR="00A40B71" w:rsidRPr="00F90EAE" w:rsidRDefault="00A40B71" w:rsidP="00F90EAE">
      <w:pPr>
        <w:jc w:val="both"/>
        <w:rPr>
          <w:color w:val="000000" w:themeColor="text1"/>
          <w:sz w:val="16"/>
          <w:szCs w:val="16"/>
        </w:rPr>
      </w:pPr>
    </w:p>
    <w:p w14:paraId="502F95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в Москве во время салюта стреляли не только пушки, но и выпускали ракеты. Ракеты выпускали не только с крыш, но и с самолетов, в частности известно, что лета Пе-8 Д.Ваулина (2122,27).</w:t>
      </w:r>
    </w:p>
    <w:p w14:paraId="4C8AF529" w14:textId="77777777" w:rsidR="00665165" w:rsidRPr="00F90EAE" w:rsidRDefault="00665165" w:rsidP="00F90EAE">
      <w:pPr>
        <w:autoSpaceDE w:val="0"/>
        <w:autoSpaceDN w:val="0"/>
        <w:adjustRightInd w:val="0"/>
        <w:jc w:val="both"/>
        <w:rPr>
          <w:color w:val="000000" w:themeColor="text1"/>
          <w:sz w:val="16"/>
          <w:szCs w:val="16"/>
        </w:rPr>
      </w:pPr>
    </w:p>
    <w:p w14:paraId="09EBF2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г. и вечером этого праздничного дня в Москве провели праздничный салют. Известно, что орудийных установок в городе для создания действительно грандиозного зрелища оказалось недостаточно и специально выделенные группы военных стреляли из обычных сигнальных ракетниц. Стреляли и с самолетов, поднятых над Москвой. Летал в ночном небе и запускал осветительные ракеты экипаж летчика Д.Ваулина на самолете Пе-8 из состава 890-го дбап (12025).</w:t>
      </w:r>
    </w:p>
    <w:p w14:paraId="3BD31716" w14:textId="77777777" w:rsidR="00665165" w:rsidRPr="00F90EAE" w:rsidRDefault="00665165" w:rsidP="00F90EAE">
      <w:pPr>
        <w:autoSpaceDE w:val="0"/>
        <w:autoSpaceDN w:val="0"/>
        <w:adjustRightInd w:val="0"/>
        <w:jc w:val="both"/>
        <w:rPr>
          <w:color w:val="000000" w:themeColor="text1"/>
          <w:sz w:val="16"/>
          <w:szCs w:val="16"/>
        </w:rPr>
      </w:pPr>
    </w:p>
    <w:p w14:paraId="2C2968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В-25 приняли участие в праздничной иллюминации Москвы, расцвечивал небо ракетами (3457,97).</w:t>
      </w:r>
    </w:p>
    <w:p w14:paraId="4B8E8799" w14:textId="77777777" w:rsidR="00665165" w:rsidRPr="00F90EAE" w:rsidRDefault="00665165" w:rsidP="00F90EAE">
      <w:pPr>
        <w:autoSpaceDE w:val="0"/>
        <w:autoSpaceDN w:val="0"/>
        <w:adjustRightInd w:val="0"/>
        <w:jc w:val="both"/>
        <w:rPr>
          <w:color w:val="000000" w:themeColor="text1"/>
          <w:sz w:val="16"/>
          <w:szCs w:val="16"/>
        </w:rPr>
      </w:pPr>
    </w:p>
    <w:p w14:paraId="35F4D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года Пе-8 из состава 890-го полка обеспечивал праздничный салют над Москвой. С окончанием войны никаких изменений в судьбе Пе-8 не произошло. Машины продолжали стоять на земле, но их не торопились списывать и утилизировать. Учебно-летная работа в 45-й дивизии проводилась на восстановленных американских В-24 и В-17 (7685).</w:t>
      </w:r>
    </w:p>
    <w:p w14:paraId="0E1F150E" w14:textId="77777777" w:rsidR="00665165" w:rsidRPr="00F90EAE" w:rsidRDefault="00665165" w:rsidP="00F90EAE">
      <w:pPr>
        <w:autoSpaceDE w:val="0"/>
        <w:autoSpaceDN w:val="0"/>
        <w:adjustRightInd w:val="0"/>
        <w:jc w:val="both"/>
        <w:rPr>
          <w:color w:val="000000" w:themeColor="text1"/>
          <w:sz w:val="16"/>
          <w:szCs w:val="16"/>
        </w:rPr>
      </w:pPr>
    </w:p>
    <w:p w14:paraId="5977673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4BEA9FA" w14:textId="77777777" w:rsidR="00665165" w:rsidRPr="00F90EAE" w:rsidRDefault="00665165" w:rsidP="00F90EAE">
      <w:pPr>
        <w:autoSpaceDE w:val="0"/>
        <w:autoSpaceDN w:val="0"/>
        <w:adjustRightInd w:val="0"/>
        <w:jc w:val="both"/>
        <w:rPr>
          <w:iCs/>
          <w:color w:val="000000" w:themeColor="text1"/>
          <w:sz w:val="16"/>
          <w:szCs w:val="16"/>
        </w:rPr>
      </w:pPr>
    </w:p>
    <w:p w14:paraId="03F9BDFF" w14:textId="77777777" w:rsidR="00B35A1B" w:rsidRPr="00F90EAE" w:rsidRDefault="00B35A1B" w:rsidP="00F90EAE">
      <w:pPr>
        <w:jc w:val="both"/>
        <w:rPr>
          <w:color w:val="0070C0"/>
          <w:sz w:val="16"/>
          <w:szCs w:val="16"/>
        </w:rPr>
      </w:pPr>
      <w:r w:rsidRPr="00F90EAE">
        <w:rPr>
          <w:color w:val="0070C0"/>
          <w:sz w:val="16"/>
          <w:szCs w:val="16"/>
        </w:rPr>
        <w:t>9 мая 1945 года началось строительство макета самолета Douglas Model 558 HighSpeed Test Airplane, или просто D-588.</w:t>
      </w:r>
    </w:p>
    <w:p w14:paraId="1EFA8E78" w14:textId="77777777" w:rsidR="00B35A1B" w:rsidRPr="00F90EAE" w:rsidRDefault="00B35A1B" w:rsidP="00F90EAE">
      <w:pPr>
        <w:jc w:val="both"/>
        <w:rPr>
          <w:color w:val="0070C0"/>
          <w:sz w:val="16"/>
          <w:szCs w:val="16"/>
        </w:rPr>
      </w:pPr>
      <w:r w:rsidRPr="00F90EAE">
        <w:rPr>
          <w:color w:val="0070C0"/>
          <w:sz w:val="16"/>
          <w:szCs w:val="16"/>
        </w:rPr>
        <w:t>Машина имела небольшие размеры — длина 10,8 м, размах крыла 7,62 м. Практически весь объем фюзеляжа был занят турбореактивным двигателем. Воздухозаборники находились по бокам фюзеляжа, освобождая носовую часть для размещения кабины пилота и оборудования. Прямое крыло с относительной толщиной 10% пристыковывалось снизу к фюзеляжу. При такой компоновке возникли большие проблемы с размещением стоек основного шасси. Фюзеляж был занят, а консоли крыла являлись единственным местом, где можно было установить топливные баки. Стойки шасси решили убирать в тонкий центроплан. При этом, чтобы избежать появления нежелательных наплывов, инженерам пришлось разработать очень тонкие колеса и пневматики. Самолет рассчитывался на максимальную скорость М=0,9 в горизонтальном полете, а в пикировании, под углом 25 градусов с высоты 10668 м, он мог достигнуть скорости М=1. (22835).</w:t>
      </w:r>
    </w:p>
    <w:p w14:paraId="0D38593B" w14:textId="77777777" w:rsidR="00B35A1B" w:rsidRPr="00F90EAE" w:rsidRDefault="00B35A1B" w:rsidP="00F90EAE">
      <w:pPr>
        <w:jc w:val="both"/>
        <w:rPr>
          <w:color w:val="0070C0"/>
          <w:sz w:val="16"/>
          <w:szCs w:val="16"/>
        </w:rPr>
      </w:pPr>
    </w:p>
    <w:p w14:paraId="318BBA3B" w14:textId="77777777" w:rsidR="00665165" w:rsidRPr="00F90EAE" w:rsidRDefault="00665165" w:rsidP="00F90EAE">
      <w:pPr>
        <w:autoSpaceDE w:val="0"/>
        <w:autoSpaceDN w:val="0"/>
        <w:adjustRightInd w:val="0"/>
        <w:jc w:val="both"/>
        <w:rPr>
          <w:iCs/>
          <w:color w:val="000000" w:themeColor="text1"/>
          <w:sz w:val="16"/>
          <w:szCs w:val="16"/>
        </w:rPr>
      </w:pPr>
      <w:r w:rsidRPr="00F90EAE">
        <w:rPr>
          <w:iCs/>
          <w:color w:val="000000" w:themeColor="text1"/>
          <w:sz w:val="16"/>
          <w:szCs w:val="16"/>
        </w:rPr>
        <w:t>К 9 мая 1945:</w:t>
      </w:r>
    </w:p>
    <w:p w14:paraId="58743E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Динамика модельного ряда самолётов, выпускавшихся в Германии в 1940—1945 гг. (Крылья люфтваффе. М., 1994. Ч. </w:t>
      </w:r>
      <w:r w:rsidRPr="00F90EAE">
        <w:rPr>
          <w:color w:val="000000" w:themeColor="text1"/>
          <w:sz w:val="16"/>
          <w:szCs w:val="16"/>
          <w:lang w:val="en-US"/>
        </w:rPr>
        <w:t>I</w:t>
      </w:r>
      <w:r w:rsidRPr="00F90EAE">
        <w:rPr>
          <w:color w:val="000000" w:themeColor="text1"/>
          <w:sz w:val="16"/>
          <w:szCs w:val="16"/>
        </w:rPr>
        <w:t>—V)</w:t>
      </w:r>
    </w:p>
    <w:tbl>
      <w:tblPr>
        <w:tblW w:w="0" w:type="auto"/>
        <w:tblInd w:w="8" w:type="dxa"/>
        <w:tblLayout w:type="fixed"/>
        <w:tblCellMar>
          <w:left w:w="0" w:type="dxa"/>
          <w:right w:w="0" w:type="dxa"/>
        </w:tblCellMar>
        <w:tblLook w:val="0000" w:firstRow="0" w:lastRow="0" w:firstColumn="0" w:lastColumn="0" w:noHBand="0" w:noVBand="0"/>
      </w:tblPr>
      <w:tblGrid>
        <w:gridCol w:w="2530"/>
        <w:gridCol w:w="571"/>
        <w:gridCol w:w="566"/>
        <w:gridCol w:w="571"/>
        <w:gridCol w:w="571"/>
        <w:gridCol w:w="566"/>
        <w:gridCol w:w="590"/>
      </w:tblGrid>
      <w:tr w:rsidR="00561F31" w:rsidRPr="00F90EAE" w14:paraId="4341C5FE" w14:textId="77777777">
        <w:trPr>
          <w:trHeight w:val="235"/>
        </w:trPr>
        <w:tc>
          <w:tcPr>
            <w:tcW w:w="2530" w:type="dxa"/>
            <w:tcBorders>
              <w:top w:val="single" w:sz="6" w:space="0" w:color="auto"/>
              <w:left w:val="single" w:sz="6" w:space="0" w:color="auto"/>
              <w:bottom w:val="single" w:sz="6" w:space="0" w:color="auto"/>
              <w:right w:val="nil"/>
            </w:tcBorders>
            <w:shd w:val="clear" w:color="auto" w:fill="FFFFFF"/>
          </w:tcPr>
          <w:p w14:paraId="7E822EE4" w14:textId="77777777" w:rsidR="00665165" w:rsidRPr="00F90EAE" w:rsidRDefault="00665165" w:rsidP="00F90EAE">
            <w:pPr>
              <w:autoSpaceDE w:val="0"/>
              <w:autoSpaceDN w:val="0"/>
              <w:adjustRightInd w:val="0"/>
              <w:jc w:val="both"/>
              <w:rPr>
                <w:color w:val="000000" w:themeColor="text1"/>
                <w:sz w:val="16"/>
                <w:szCs w:val="16"/>
              </w:rPr>
            </w:pPr>
          </w:p>
        </w:tc>
        <w:tc>
          <w:tcPr>
            <w:tcW w:w="571" w:type="dxa"/>
            <w:tcBorders>
              <w:top w:val="single" w:sz="6" w:space="0" w:color="auto"/>
              <w:left w:val="nil"/>
              <w:bottom w:val="single" w:sz="6" w:space="0" w:color="auto"/>
              <w:right w:val="single" w:sz="6" w:space="0" w:color="auto"/>
            </w:tcBorders>
            <w:shd w:val="clear" w:color="auto" w:fill="FFFFFF"/>
          </w:tcPr>
          <w:p w14:paraId="634DEC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6DE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5A0F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571" w:type="dxa"/>
            <w:tcBorders>
              <w:top w:val="single" w:sz="6" w:space="0" w:color="auto"/>
              <w:left w:val="single" w:sz="6" w:space="0" w:color="auto"/>
              <w:bottom w:val="single" w:sz="6" w:space="0" w:color="auto"/>
              <w:right w:val="nil"/>
            </w:tcBorders>
            <w:shd w:val="clear" w:color="auto" w:fill="FFFFFF"/>
          </w:tcPr>
          <w:p w14:paraId="55164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566" w:type="dxa"/>
            <w:tcBorders>
              <w:top w:val="single" w:sz="6" w:space="0" w:color="auto"/>
              <w:left w:val="nil"/>
              <w:bottom w:val="single" w:sz="6" w:space="0" w:color="auto"/>
              <w:right w:val="single" w:sz="6" w:space="0" w:color="auto"/>
            </w:tcBorders>
            <w:shd w:val="clear" w:color="auto" w:fill="FFFFFF"/>
          </w:tcPr>
          <w:p w14:paraId="52FDBF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B61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w:t>
            </w:r>
          </w:p>
        </w:tc>
      </w:tr>
      <w:tr w:rsidR="00561F31" w:rsidRPr="00F90EAE" w14:paraId="63CE144A" w14:textId="77777777">
        <w:trPr>
          <w:trHeight w:val="21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4D557DF6"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Производилось моделей</w:t>
            </w:r>
          </w:p>
        </w:tc>
      </w:tr>
      <w:tr w:rsidR="00561F31" w:rsidRPr="00F90EAE" w14:paraId="31016116"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3ED57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самолётов В тон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34232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DA674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D1E9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0E8D7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FA3EF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F1AC4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5300C82D"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CF64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88A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AC51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8AF7F0E"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6</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FA9E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63E3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72DCC3C"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г</w:t>
            </w:r>
          </w:p>
        </w:tc>
      </w:tr>
      <w:tr w:rsidR="00561F31" w:rsidRPr="00F90EAE" w14:paraId="2D67E332"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0C5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3884645"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DFCA0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99D9C1"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43A1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8AE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12FA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34DB8227"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583CF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BD4A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4D1B6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C6240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03F9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2E40926" w14:textId="77777777" w:rsidR="00665165" w:rsidRPr="00F90EAE" w:rsidRDefault="00665165" w:rsidP="00F90EAE">
            <w:pPr>
              <w:autoSpaceDE w:val="0"/>
              <w:autoSpaceDN w:val="0"/>
              <w:adjustRightInd w:val="0"/>
              <w:jc w:val="both"/>
              <w:rPr>
                <w:color w:val="000000" w:themeColor="text1"/>
                <w:sz w:val="16"/>
                <w:szCs w:val="16"/>
              </w:rPr>
            </w:pP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13FBA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51DD63B8"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41CE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496DA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A455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C56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025CA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4CFEA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771BF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4E012AB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5475F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Трансноргаых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E36D8D1"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2890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44548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103C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8BDFA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B502D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5798D02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DD0DB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07B74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B246E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A11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1D39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225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7A8F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1A99A3D4" w14:textId="77777777">
        <w:trPr>
          <w:trHeight w:val="226"/>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1C76F4CA"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В том числе—типов, снятых с производства е течение года</w:t>
            </w:r>
          </w:p>
        </w:tc>
      </w:tr>
      <w:tr w:rsidR="00561F31" w:rsidRPr="00F90EAE" w14:paraId="4B3B85FB"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132EC9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самолётов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4F799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9C64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81F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720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1BE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EA3C14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C803749"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58FD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D0CA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9FADD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163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6FAFE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F367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5CB8A2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92A9AB3"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DD5D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FA78D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9F1EC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0FE50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75B0D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B2E94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24FA15F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BF4F7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27D8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5C93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398C5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6D789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5B467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4EF4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9809D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4EB2204"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60590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25F82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132E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BFB33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EE913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EA5E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7D7D8F3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F6E2E87"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5B84DD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33CE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221B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E8DC2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F722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EC96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467066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90EFDBB"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0FBF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CD8A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F086F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BAE2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97D8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F495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0BAC38E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E657AAA" w14:textId="77777777">
        <w:trPr>
          <w:trHeight w:val="413"/>
        </w:trPr>
        <w:tc>
          <w:tcPr>
            <w:tcW w:w="5965" w:type="dxa"/>
            <w:gridSpan w:val="7"/>
            <w:tcBorders>
              <w:top w:val="single" w:sz="6" w:space="0" w:color="auto"/>
              <w:left w:val="single" w:sz="6" w:space="0" w:color="auto"/>
              <w:bottom w:val="single" w:sz="6" w:space="0" w:color="auto"/>
              <w:right w:val="single" w:sz="6" w:space="0" w:color="auto"/>
            </w:tcBorders>
            <w:shd w:val="clear" w:color="auto" w:fill="FFFFFF"/>
          </w:tcPr>
          <w:p w14:paraId="7F28E1A5"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Поставлено на производство новых типов, не выпускавшихся в 1940</w:t>
            </w:r>
            <w:r w:rsidRPr="00F90EAE">
              <w:rPr>
                <w:color w:val="000000" w:themeColor="text1"/>
                <w:sz w:val="16"/>
                <w:szCs w:val="16"/>
              </w:rPr>
              <w:t xml:space="preserve"> г </w:t>
            </w:r>
            <w:r w:rsidRPr="00F90EAE">
              <w:rPr>
                <w:iCs/>
                <w:color w:val="000000" w:themeColor="text1"/>
                <w:sz w:val="16"/>
                <w:szCs w:val="16"/>
              </w:rPr>
              <w:t>/не выпускавшихся в предыдущем году</w:t>
            </w:r>
          </w:p>
        </w:tc>
      </w:tr>
      <w:tr w:rsidR="00561F31" w:rsidRPr="00F90EAE" w14:paraId="6F38FAD9" w14:textId="77777777">
        <w:trPr>
          <w:trHeight w:val="413"/>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61FB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самолётов В том числе:</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9039A87"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A4C04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16061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98539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6F728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16/7</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32D34C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r>
      <w:tr w:rsidR="00561F31" w:rsidRPr="00F90EAE" w14:paraId="39B89C6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7FC4F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Истребителей</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595922D"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61586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2C8CD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C7FA1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761BA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B4463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1EBFEFBE"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7A5625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55DCAA1A"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D768C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7F40C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87F2C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1C828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46B4BC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7B457CD4" w14:textId="77777777">
        <w:trPr>
          <w:trHeight w:val="22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445D0F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Разведчиков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11E4803"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1BD85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1EB403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AFE1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FF960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1D059C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53534614" w14:textId="77777777">
        <w:trPr>
          <w:trHeight w:val="216"/>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3D2D5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Бомбардировщиков</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A4F3C0E"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CBFA9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2FD920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7C58B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076D4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59C0C5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11F877FF" w14:textId="77777777">
        <w:trPr>
          <w:trHeight w:val="221"/>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3CB45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CA276C3"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FB2F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0057A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3D173A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F1A3E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CEE6D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r w:rsidR="00561F31" w:rsidRPr="00F90EAE" w14:paraId="5C1F7CD6" w14:textId="77777777">
        <w:trPr>
          <w:trHeight w:val="240"/>
        </w:trPr>
        <w:tc>
          <w:tcPr>
            <w:tcW w:w="2530" w:type="dxa"/>
            <w:tcBorders>
              <w:top w:val="single" w:sz="6" w:space="0" w:color="auto"/>
              <w:left w:val="single" w:sz="6" w:space="0" w:color="auto"/>
              <w:bottom w:val="single" w:sz="6" w:space="0" w:color="auto"/>
              <w:right w:val="single" w:sz="6" w:space="0" w:color="auto"/>
            </w:tcBorders>
            <w:shd w:val="clear" w:color="auto" w:fill="FFFFFF"/>
          </w:tcPr>
          <w:p w14:paraId="04202F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Учебных</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61CF091A" w14:textId="77777777" w:rsidR="00665165" w:rsidRPr="00F90EAE" w:rsidRDefault="00665165" w:rsidP="00F90EAE">
            <w:pPr>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9D02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486F79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71" w:type="dxa"/>
            <w:tcBorders>
              <w:top w:val="single" w:sz="6" w:space="0" w:color="auto"/>
              <w:left w:val="single" w:sz="6" w:space="0" w:color="auto"/>
              <w:bottom w:val="single" w:sz="6" w:space="0" w:color="auto"/>
              <w:right w:val="single" w:sz="6" w:space="0" w:color="auto"/>
            </w:tcBorders>
            <w:shd w:val="clear" w:color="auto" w:fill="FFFFFF"/>
          </w:tcPr>
          <w:p w14:paraId="77970E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90233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590" w:type="dxa"/>
            <w:tcBorders>
              <w:top w:val="single" w:sz="6" w:space="0" w:color="auto"/>
              <w:left w:val="single" w:sz="6" w:space="0" w:color="auto"/>
              <w:bottom w:val="single" w:sz="6" w:space="0" w:color="auto"/>
              <w:right w:val="single" w:sz="6" w:space="0" w:color="auto"/>
            </w:tcBorders>
            <w:shd w:val="clear" w:color="auto" w:fill="FFFFFF"/>
          </w:tcPr>
          <w:p w14:paraId="64884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r>
    </w:tbl>
    <w:p w14:paraId="3F04F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Какие выводы следуют из вышеприведённой таблицы? Во-первых, очевидно, что, в отличие от руководства НКАП, в «ведомстве Геринга» к проблеме сокращения номенкла</w:t>
      </w:r>
      <w:r w:rsidRPr="00F90EAE">
        <w:rPr>
          <w:color w:val="000000" w:themeColor="text1"/>
          <w:sz w:val="16"/>
          <w:szCs w:val="16"/>
        </w:rPr>
        <w:softHyphen/>
        <w:t>туры производимой авиатехники относились значительно более спокойно. Поэтому в советской авиапромышленно</w:t>
      </w:r>
      <w:r w:rsidRPr="00F90EAE">
        <w:rPr>
          <w:color w:val="000000" w:themeColor="text1"/>
          <w:sz w:val="16"/>
          <w:szCs w:val="16"/>
        </w:rPr>
        <w:softHyphen/>
        <w:t>сти с 1941 г. шёл процесс сокращения количества моделей в производстве, а в Германии это количество, наоборот, — возрастало. В плане модернизационных волн следует отме</w:t>
      </w:r>
      <w:r w:rsidRPr="00F90EAE">
        <w:rPr>
          <w:color w:val="000000" w:themeColor="text1"/>
          <w:sz w:val="16"/>
          <w:szCs w:val="16"/>
        </w:rPr>
        <w:softHyphen/>
        <w:t>тить, что, очевидно, в Германии новое поколение авиамоде</w:t>
      </w:r>
      <w:r w:rsidRPr="00F90EAE">
        <w:rPr>
          <w:color w:val="000000" w:themeColor="text1"/>
          <w:sz w:val="16"/>
          <w:szCs w:val="16"/>
        </w:rPr>
        <w:softHyphen/>
        <w:t>лей было поставлено «на поток» ранее, чем в СССР — это произошло приблизительно в 1937—1939 гг., поэтому на 1940—1941 гг. число новых моделей, вновь поставленных в серийное производство, было весьма невелико. Если в СССР в этот период на конвейер приходило по 5—4 новых моделей, то в Германии — по 1—2. Аналогично и распреде</w:t>
      </w:r>
      <w:r w:rsidRPr="00F90EAE">
        <w:rPr>
          <w:color w:val="000000" w:themeColor="text1"/>
          <w:sz w:val="16"/>
          <w:szCs w:val="16"/>
        </w:rPr>
        <w:softHyphen/>
        <w:t>ление снятых с производства типов — в СССР в 1940 г. был снят 1 тип, а в 1941 уже 6. В Германии в 1940 г. простились с 4 типами авиатехники, а в 1941 г. только с 1. Таким обра</w:t>
      </w:r>
      <w:r w:rsidRPr="00F90EAE">
        <w:rPr>
          <w:color w:val="000000" w:themeColor="text1"/>
          <w:sz w:val="16"/>
          <w:szCs w:val="16"/>
        </w:rPr>
        <w:softHyphen/>
        <w:t>зом, процессы обновления модельного ряда, уже завершив</w:t>
      </w:r>
      <w:r w:rsidRPr="00F90EAE">
        <w:rPr>
          <w:color w:val="000000" w:themeColor="text1"/>
          <w:sz w:val="16"/>
          <w:szCs w:val="16"/>
        </w:rPr>
        <w:softHyphen/>
        <w:t>шиеся в Германии в 1938—1940 гг., в СССР в 1940 г. только начинались и протекали в условиях уже идущих военных действий, эвакуации, разрыва производственных цепочек и т.д. Однако дальнейший анализ показывает, что в развитии модельного ряда авиапромышленности Германии так же ясно выделяется вторая волна, пришедшаяся, как и в СССР, на 1944 г. Причём в Германии масштабы подвижек в модельном ряду были намного более масштабными — если в СССР 3 новые модели были поставлены в серийное производство и б снято, то в Германии на 7 новых моделей пришлось 16 (!) снятых с конвейера. Очевидно, что, понадеявшись на результаты мо</w:t>
      </w:r>
      <w:r w:rsidRPr="00F90EAE">
        <w:rPr>
          <w:color w:val="000000" w:themeColor="text1"/>
          <w:sz w:val="16"/>
          <w:szCs w:val="16"/>
        </w:rPr>
        <w:softHyphen/>
        <w:t>дернизации 1938—1939 гг., руководство «ведомства Геринга» упустило время, для обновления модельного ряда и в 1944 г. было вынуждено навёрстывать упущенное в авральном по</w:t>
      </w:r>
      <w:r w:rsidRPr="00F90EAE">
        <w:rPr>
          <w:color w:val="000000" w:themeColor="text1"/>
          <w:sz w:val="16"/>
          <w:szCs w:val="16"/>
        </w:rPr>
        <w:softHyphen/>
        <w:t>рядке. К счастью, руководство советской авиапромышленно</w:t>
      </w:r>
      <w:r w:rsidRPr="00F90EAE">
        <w:rPr>
          <w:color w:val="000000" w:themeColor="text1"/>
          <w:sz w:val="16"/>
          <w:szCs w:val="16"/>
        </w:rPr>
        <w:softHyphen/>
        <w:t>сти такой ошибки не сделало (12011).</w:t>
      </w:r>
    </w:p>
    <w:p w14:paraId="3BEB88B1" w14:textId="77777777" w:rsidR="00665165" w:rsidRPr="00F90EAE" w:rsidRDefault="00665165" w:rsidP="00F90EAE">
      <w:pPr>
        <w:autoSpaceDE w:val="0"/>
        <w:autoSpaceDN w:val="0"/>
        <w:adjustRightInd w:val="0"/>
        <w:jc w:val="both"/>
        <w:rPr>
          <w:color w:val="000000" w:themeColor="text1"/>
          <w:sz w:val="16"/>
          <w:szCs w:val="16"/>
        </w:rPr>
      </w:pPr>
    </w:p>
    <w:p w14:paraId="55E7B68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в Австрии американцами схвачен лидер германских нацистов Герман Геринг (4962).</w:t>
      </w:r>
    </w:p>
    <w:p w14:paraId="35525D2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CC10D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в Копенгагене сдался последний немецкий военный корабль “Принц Евгений” (4962).</w:t>
      </w:r>
    </w:p>
    <w:p w14:paraId="36AEA4A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EF7C5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мая 1945 в Реймсе адмирал Г. фон Фридбург подписал капитуляцию немецкого военного флота (4962).</w:t>
      </w:r>
    </w:p>
    <w:p w14:paraId="5283435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BA6F78"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9 1945 Hermann Goring captured by members of U.S. 7th Army (1050).</w:t>
      </w:r>
    </w:p>
    <w:p w14:paraId="5B52F76E" w14:textId="77777777" w:rsidR="00665165" w:rsidRPr="00F90EAE" w:rsidRDefault="00665165" w:rsidP="00F90EAE">
      <w:pPr>
        <w:autoSpaceDE w:val="0"/>
        <w:autoSpaceDN w:val="0"/>
        <w:adjustRightInd w:val="0"/>
        <w:jc w:val="both"/>
        <w:rPr>
          <w:color w:val="000000" w:themeColor="text1"/>
          <w:sz w:val="16"/>
          <w:szCs w:val="16"/>
          <w:lang w:val="en-US"/>
        </w:rPr>
      </w:pPr>
    </w:p>
    <w:p w14:paraId="18EB10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американцами был захвачен Г.Геринг (1050).</w:t>
      </w:r>
    </w:p>
    <w:p w14:paraId="0CE7BA89" w14:textId="77777777" w:rsidR="00665165" w:rsidRPr="00F90EAE" w:rsidRDefault="00665165" w:rsidP="00F90EAE">
      <w:pPr>
        <w:autoSpaceDE w:val="0"/>
        <w:autoSpaceDN w:val="0"/>
        <w:adjustRightInd w:val="0"/>
        <w:jc w:val="both"/>
        <w:rPr>
          <w:color w:val="000000" w:themeColor="text1"/>
          <w:sz w:val="16"/>
          <w:szCs w:val="16"/>
        </w:rPr>
      </w:pPr>
    </w:p>
    <w:p w14:paraId="30EBD929"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9 1945 The U-249, the first German submarine to surrender after the cessation of hostilities in Europe, raised the black surrender flag to a PB4Y of Fleet Air Wing 7 near the Scilly Islands off Lands End, England (1090).</w:t>
      </w:r>
    </w:p>
    <w:p w14:paraId="62F6C6FE" w14:textId="77777777" w:rsidR="00665165" w:rsidRPr="00F90EAE" w:rsidRDefault="00665165" w:rsidP="00F90EAE">
      <w:pPr>
        <w:autoSpaceDE w:val="0"/>
        <w:autoSpaceDN w:val="0"/>
        <w:adjustRightInd w:val="0"/>
        <w:jc w:val="both"/>
        <w:rPr>
          <w:color w:val="000000" w:themeColor="text1"/>
          <w:sz w:val="16"/>
          <w:szCs w:val="16"/>
          <w:lang w:val="en-US"/>
        </w:rPr>
      </w:pPr>
    </w:p>
    <w:p w14:paraId="303CFAF5" w14:textId="77777777" w:rsidR="00A40B71" w:rsidRPr="00F90EAE" w:rsidRDefault="00A40B71" w:rsidP="00F90EAE">
      <w:pPr>
        <w:jc w:val="both"/>
        <w:rPr>
          <w:color w:val="000000" w:themeColor="text1"/>
          <w:sz w:val="16"/>
          <w:szCs w:val="16"/>
        </w:rPr>
      </w:pPr>
      <w:r w:rsidRPr="00F90EAE">
        <w:rPr>
          <w:color w:val="000000" w:themeColor="text1"/>
          <w:sz w:val="16"/>
          <w:szCs w:val="16"/>
        </w:rPr>
        <w:t>9 мая в 1945 году штаб союзного командования в Париже сообщил, что частями 7-й американской армии сегодня захвачены в плен Герман Геринг и бывший командующий германскими вооруженными силами на западе Альберт Кессельринг (14886).</w:t>
      </w:r>
    </w:p>
    <w:p w14:paraId="2E744612" w14:textId="77777777" w:rsidR="00A40B71" w:rsidRPr="00F90EAE" w:rsidRDefault="00A40B71" w:rsidP="00F90EAE">
      <w:pPr>
        <w:jc w:val="both"/>
        <w:rPr>
          <w:color w:val="000000" w:themeColor="text1"/>
          <w:sz w:val="16"/>
          <w:szCs w:val="16"/>
        </w:rPr>
      </w:pPr>
    </w:p>
    <w:p w14:paraId="3DB0FB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У-249 стала первой немецкой подлодкой, которая капитулировала перед самолетом PB4Y (1090).</w:t>
      </w:r>
    </w:p>
    <w:p w14:paraId="49B8CA74" w14:textId="77777777" w:rsidR="00665165" w:rsidRPr="00F90EAE" w:rsidRDefault="00665165" w:rsidP="00F90EAE">
      <w:pPr>
        <w:autoSpaceDE w:val="0"/>
        <w:autoSpaceDN w:val="0"/>
        <w:adjustRightInd w:val="0"/>
        <w:jc w:val="both"/>
        <w:rPr>
          <w:color w:val="000000" w:themeColor="text1"/>
          <w:sz w:val="16"/>
          <w:szCs w:val="16"/>
        </w:rPr>
      </w:pPr>
    </w:p>
    <w:p w14:paraId="513B9BF5"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9th, 1945: German forces in Kurland, the Greek islands and the still undefeated garrisons of St. Nazaire, La Rochelle, Lorient, La Pallice and the British Channel Islands surrender (3819).</w:t>
      </w:r>
    </w:p>
    <w:p w14:paraId="76DADB58" w14:textId="77777777" w:rsidR="00665165" w:rsidRPr="00F90EAE" w:rsidRDefault="00665165" w:rsidP="00F90EAE">
      <w:pPr>
        <w:autoSpaceDE w:val="0"/>
        <w:autoSpaceDN w:val="0"/>
        <w:adjustRightInd w:val="0"/>
        <w:jc w:val="both"/>
        <w:rPr>
          <w:color w:val="000000" w:themeColor="text1"/>
          <w:sz w:val="16"/>
          <w:szCs w:val="16"/>
          <w:lang w:val="en-US"/>
        </w:rPr>
      </w:pPr>
    </w:p>
    <w:p w14:paraId="451DBA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сдались немецкие части в Курляндии и на греческих островах, а также продолжавшие борьбу крепости Ст. Назар, ла Рошель, Лориент, Ла Паллисе и на британских островах в ла Манше (3819).</w:t>
      </w:r>
    </w:p>
    <w:p w14:paraId="2097F42E" w14:textId="77777777" w:rsidR="00665165" w:rsidRPr="00F90EAE" w:rsidRDefault="00665165" w:rsidP="00F90EAE">
      <w:pPr>
        <w:autoSpaceDE w:val="0"/>
        <w:autoSpaceDN w:val="0"/>
        <w:adjustRightInd w:val="0"/>
        <w:jc w:val="both"/>
        <w:rPr>
          <w:color w:val="000000" w:themeColor="text1"/>
          <w:sz w:val="16"/>
          <w:szCs w:val="16"/>
        </w:rPr>
      </w:pPr>
    </w:p>
    <w:p w14:paraId="007F4E66" w14:textId="77777777" w:rsidR="0025587C" w:rsidRPr="00F90EAE" w:rsidRDefault="0025587C" w:rsidP="00F90EAE">
      <w:pPr>
        <w:jc w:val="both"/>
        <w:rPr>
          <w:color w:val="000000" w:themeColor="text1"/>
          <w:sz w:val="16"/>
          <w:szCs w:val="16"/>
        </w:rPr>
      </w:pPr>
      <w:r w:rsidRPr="00F90EAE">
        <w:rPr>
          <w:color w:val="000000" w:themeColor="text1"/>
          <w:sz w:val="16"/>
          <w:szCs w:val="16"/>
        </w:rPr>
        <w:t>9 мая в 1945 году восстановление Королевства Норвегия (14886).</w:t>
      </w:r>
    </w:p>
    <w:p w14:paraId="2EEF4FAF" w14:textId="77777777" w:rsidR="0025587C" w:rsidRPr="00F90EAE" w:rsidRDefault="0025587C" w:rsidP="00F90EAE">
      <w:pPr>
        <w:jc w:val="both"/>
        <w:rPr>
          <w:color w:val="000000" w:themeColor="text1"/>
          <w:sz w:val="16"/>
          <w:szCs w:val="16"/>
        </w:rPr>
      </w:pPr>
    </w:p>
    <w:p w14:paraId="2DD0C1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мая 1945 года английские саперы заложили под недостроенный комплекс большого орудия на побережье Франции по 25 т взрывчатки и взорвали его. Подземные сооружения большей частью остались нетронутыми – лишь подходы к тоннелям завалило землей (11688).</w:t>
      </w:r>
    </w:p>
    <w:p w14:paraId="3CAF1550" w14:textId="77777777" w:rsidR="00665165" w:rsidRPr="00F90EAE" w:rsidRDefault="00665165" w:rsidP="00F90EAE">
      <w:pPr>
        <w:autoSpaceDE w:val="0"/>
        <w:autoSpaceDN w:val="0"/>
        <w:adjustRightInd w:val="0"/>
        <w:jc w:val="both"/>
        <w:rPr>
          <w:color w:val="000000" w:themeColor="text1"/>
          <w:sz w:val="16"/>
          <w:szCs w:val="16"/>
        </w:rPr>
      </w:pPr>
    </w:p>
    <w:p w14:paraId="23D16CB4" w14:textId="77777777" w:rsidR="00A40B71" w:rsidRPr="00F90EAE" w:rsidRDefault="00A40B71" w:rsidP="00F90EAE">
      <w:pPr>
        <w:jc w:val="both"/>
        <w:rPr>
          <w:color w:val="000000" w:themeColor="text1"/>
          <w:sz w:val="16"/>
          <w:szCs w:val="16"/>
        </w:rPr>
      </w:pPr>
      <w:r w:rsidRPr="00F90EAE">
        <w:rPr>
          <w:color w:val="000000" w:themeColor="text1"/>
          <w:sz w:val="16"/>
          <w:szCs w:val="16"/>
        </w:rPr>
        <w:t>9 мая в 1945 году югославские войска освободили Любляну (14886).</w:t>
      </w:r>
    </w:p>
    <w:p w14:paraId="3443EDE3" w14:textId="77777777" w:rsidR="00A40B71" w:rsidRPr="00F90EAE" w:rsidRDefault="00A40B71" w:rsidP="00F90EAE">
      <w:pPr>
        <w:jc w:val="both"/>
        <w:rPr>
          <w:color w:val="000000" w:themeColor="text1"/>
          <w:sz w:val="16"/>
          <w:szCs w:val="16"/>
        </w:rPr>
      </w:pPr>
    </w:p>
    <w:p w14:paraId="2D09F5A8" w14:textId="77777777" w:rsidR="0025587C" w:rsidRPr="00F90EAE" w:rsidRDefault="0025587C" w:rsidP="00F90EAE">
      <w:pPr>
        <w:jc w:val="both"/>
        <w:rPr>
          <w:color w:val="000000" w:themeColor="text1"/>
          <w:sz w:val="16"/>
          <w:szCs w:val="16"/>
        </w:rPr>
      </w:pPr>
      <w:r w:rsidRPr="00F90EAE">
        <w:rPr>
          <w:color w:val="000000" w:themeColor="text1"/>
          <w:sz w:val="16"/>
          <w:szCs w:val="16"/>
        </w:rPr>
        <w:t>9 мая в 1945 году попадание камикадзэ вблизи носового элеватора авианосца Иллюстрас вызвало пожар и повреждения. Второй камикадзэ врезался в палубную стоянку на корме, уничтожив 4 Корсара. Однако бронированная палуба сохранила корабль от серьезных повреждений. Полеты возобновились почти сразу, но позднее корабль ушел в Сидней для более основательного ремонта (14886).</w:t>
      </w:r>
    </w:p>
    <w:p w14:paraId="7221FFDA" w14:textId="77777777" w:rsidR="0025587C" w:rsidRPr="00F90EAE" w:rsidRDefault="0025587C" w:rsidP="00F90EAE">
      <w:pPr>
        <w:jc w:val="both"/>
        <w:rPr>
          <w:color w:val="000000" w:themeColor="text1"/>
          <w:sz w:val="16"/>
          <w:szCs w:val="16"/>
        </w:rPr>
      </w:pPr>
    </w:p>
    <w:p w14:paraId="07977BAD" w14:textId="77777777" w:rsidR="00B35A1B" w:rsidRPr="00F90EAE" w:rsidRDefault="00B35A1B" w:rsidP="00F90EAE">
      <w:pPr>
        <w:jc w:val="both"/>
        <w:rPr>
          <w:color w:val="0070C0"/>
          <w:sz w:val="16"/>
          <w:szCs w:val="16"/>
        </w:rPr>
      </w:pPr>
      <w:r w:rsidRPr="00F90EAE">
        <w:rPr>
          <w:color w:val="0070C0"/>
          <w:sz w:val="16"/>
          <w:szCs w:val="16"/>
        </w:rPr>
        <w:t>9 мая 1945 камикадзе поразили авианосцы HMS Formidable и HMS Victorious (29371).</w:t>
      </w:r>
    </w:p>
    <w:p w14:paraId="59704AFA" w14:textId="77777777" w:rsidR="00B35A1B" w:rsidRPr="00F90EAE" w:rsidRDefault="00B35A1B" w:rsidP="00F90EAE">
      <w:pPr>
        <w:jc w:val="both"/>
        <w:rPr>
          <w:color w:val="0070C0"/>
          <w:sz w:val="16"/>
          <w:szCs w:val="16"/>
        </w:rPr>
      </w:pPr>
    </w:p>
    <w:p w14:paraId="00D69A5B" w14:textId="77777777" w:rsidR="00B35A1B" w:rsidRPr="00F90EAE" w:rsidRDefault="00B35A1B" w:rsidP="00F90EAE">
      <w:pPr>
        <w:jc w:val="both"/>
        <w:rPr>
          <w:color w:val="0070C0"/>
          <w:sz w:val="16"/>
          <w:szCs w:val="16"/>
        </w:rPr>
      </w:pPr>
      <w:r w:rsidRPr="00F90EAE">
        <w:rPr>
          <w:color w:val="0070C0"/>
          <w:sz w:val="16"/>
          <w:szCs w:val="16"/>
        </w:rPr>
        <w:t>9 мая 1945 авианосец Британского Тихоокеанского флота наносит удар по Сакисима Гунто (20371).</w:t>
      </w:r>
    </w:p>
    <w:p w14:paraId="43EC3BDF" w14:textId="77777777" w:rsidR="00B35A1B" w:rsidRPr="00F90EAE" w:rsidRDefault="00B35A1B" w:rsidP="00F90EAE">
      <w:pPr>
        <w:jc w:val="both"/>
        <w:rPr>
          <w:color w:val="0070C0"/>
          <w:sz w:val="16"/>
          <w:szCs w:val="16"/>
        </w:rPr>
      </w:pPr>
    </w:p>
    <w:p w14:paraId="1D613586" w14:textId="77777777" w:rsidR="0025587C" w:rsidRPr="00F90EAE" w:rsidRDefault="0025587C" w:rsidP="00F90EAE">
      <w:pPr>
        <w:jc w:val="both"/>
        <w:rPr>
          <w:color w:val="000000" w:themeColor="text1"/>
          <w:sz w:val="16"/>
          <w:szCs w:val="16"/>
        </w:rPr>
      </w:pPr>
      <w:r w:rsidRPr="00F90EAE">
        <w:rPr>
          <w:color w:val="000000" w:themeColor="text1"/>
          <w:sz w:val="16"/>
          <w:szCs w:val="16"/>
        </w:rPr>
        <w:t>9 мая в 1945 году британские войска заняли Тандуэ (14886).</w:t>
      </w:r>
    </w:p>
    <w:p w14:paraId="354F1BBD" w14:textId="77777777" w:rsidR="0025587C" w:rsidRPr="00F90EAE" w:rsidRDefault="0025587C" w:rsidP="00F90EAE">
      <w:pPr>
        <w:jc w:val="both"/>
        <w:rPr>
          <w:color w:val="000000" w:themeColor="text1"/>
          <w:sz w:val="16"/>
          <w:szCs w:val="16"/>
        </w:rPr>
      </w:pPr>
    </w:p>
    <w:p w14:paraId="36E7F522" w14:textId="77777777" w:rsidR="00460695" w:rsidRPr="00F90EAE" w:rsidRDefault="00460695"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BB3DA29" w14:textId="77777777" w:rsidR="00460695" w:rsidRPr="00F90EAE" w:rsidRDefault="00460695" w:rsidP="00F90EAE">
      <w:pPr>
        <w:autoSpaceDE w:val="0"/>
        <w:autoSpaceDN w:val="0"/>
        <w:adjustRightInd w:val="0"/>
        <w:jc w:val="both"/>
        <w:rPr>
          <w:iCs/>
          <w:color w:val="000000" w:themeColor="text1"/>
          <w:sz w:val="16"/>
          <w:szCs w:val="16"/>
        </w:rPr>
      </w:pPr>
    </w:p>
    <w:p w14:paraId="3DC55BAB" w14:textId="77777777" w:rsidR="00460695" w:rsidRPr="00F90EAE" w:rsidRDefault="00460695" w:rsidP="00F90EAE">
      <w:pPr>
        <w:jc w:val="both"/>
        <w:rPr>
          <w:color w:val="000000" w:themeColor="text1"/>
          <w:sz w:val="16"/>
          <w:szCs w:val="16"/>
        </w:rPr>
      </w:pPr>
      <w:r w:rsidRPr="00F90EAE">
        <w:rPr>
          <w:color w:val="000000" w:themeColor="text1"/>
          <w:sz w:val="16"/>
          <w:szCs w:val="16"/>
          <w:shd w:val="clear" w:color="auto" w:fill="FFFFFF"/>
        </w:rPr>
        <w:t>В конце войны Ил-2 с крылом со стрелкой 3 ШАП Югославских ВВС (тактический номер 4077) был самолет завода №18, у которого оригинальную деревянную часть фюзеляжа заменили металлической, произведенной в Югославии. Остальные самолеты штурмового полка переделывать не стали (19206).</w:t>
      </w:r>
    </w:p>
    <w:p w14:paraId="575A83DD" w14:textId="77777777" w:rsidR="00460695" w:rsidRPr="00F90EAE" w:rsidRDefault="00460695" w:rsidP="00F90EAE">
      <w:pPr>
        <w:jc w:val="both"/>
        <w:rPr>
          <w:color w:val="000000" w:themeColor="text1"/>
          <w:sz w:val="16"/>
          <w:szCs w:val="16"/>
        </w:rPr>
      </w:pPr>
    </w:p>
    <w:p w14:paraId="46819FD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ходе войны, а тем более, накануне ее, руководство ВВС так до кон</w:t>
      </w:r>
      <w:r w:rsidRPr="00F90EAE">
        <w:rPr>
          <w:color w:val="000000" w:themeColor="text1"/>
          <w:sz w:val="16"/>
          <w:szCs w:val="16"/>
        </w:rPr>
        <w:softHyphen/>
        <w:t>ца и не поняло - что же на самом деле представляет собой авиационное ракетное вооружение и периодически выдвигало взаимоисключающие требования к его перспективным образцам. Более того, в этом вопросе они полностью положились на неверную оценку этого класса вооруже</w:t>
      </w:r>
      <w:r w:rsidRPr="00F90EAE">
        <w:rPr>
          <w:color w:val="000000" w:themeColor="text1"/>
          <w:sz w:val="16"/>
          <w:szCs w:val="16"/>
        </w:rPr>
        <w:softHyphen/>
        <w:t>ний со стороны главных авиаконструкторов, повторявших мнения, бы</w:t>
      </w:r>
      <w:r w:rsidRPr="00F90EAE">
        <w:rPr>
          <w:color w:val="000000" w:themeColor="text1"/>
          <w:sz w:val="16"/>
          <w:szCs w:val="16"/>
        </w:rPr>
        <w:softHyphen/>
        <w:t>товавшие в Артуправлении РККА накануне войны.</w:t>
      </w:r>
    </w:p>
    <w:p w14:paraId="75DD937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примеру, авиаторов устроили бы РС, по точности стрельбы сопос</w:t>
      </w:r>
      <w:r w:rsidRPr="00F90EAE">
        <w:rPr>
          <w:color w:val="000000" w:themeColor="text1"/>
          <w:sz w:val="16"/>
          <w:szCs w:val="16"/>
        </w:rPr>
        <w:softHyphen/>
        <w:t>тавимые с аналогичными показателями артсистем, но при этом они стремились сохранить или увеличить огневую мощь 82-мм боеприпасов. В то же время, при мизерном боезапасе, РС на борту должны были обес</w:t>
      </w:r>
      <w:r w:rsidRPr="00F90EAE">
        <w:rPr>
          <w:color w:val="000000" w:themeColor="text1"/>
          <w:sz w:val="16"/>
          <w:szCs w:val="16"/>
        </w:rPr>
        <w:softHyphen/>
        <w:t>печить высокую эффективность поражения целей минимальными по се</w:t>
      </w:r>
      <w:r w:rsidRPr="00F90EAE">
        <w:rPr>
          <w:color w:val="000000" w:themeColor="text1"/>
          <w:sz w:val="16"/>
          <w:szCs w:val="16"/>
        </w:rPr>
        <w:softHyphen/>
        <w:t>бестоимости неуправляемыми реактивными снарядами.</w:t>
      </w:r>
    </w:p>
    <w:p w14:paraId="506ECA9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Только теперь, ознакомившись с большим количеством документов и свидетельств очевидцев и участников событий читатель не без улыбки воспримет заверения В.И.Коваленко, приведенные в его книге «Крылья Севастополя» относительно авиационного ракетного вооружения: «К тому времени РС получили широкое применение не только на земле, где о «катюшах» уже ходили легенды, они стали грозным оружием и авиаторов. «Воздушные танки» - штурмовики Ил-2 - без РС не выхо</w:t>
      </w:r>
      <w:r w:rsidRPr="00F90EAE">
        <w:rPr>
          <w:color w:val="000000" w:themeColor="text1"/>
          <w:sz w:val="16"/>
          <w:szCs w:val="16"/>
        </w:rPr>
        <w:softHyphen/>
        <w:t>дили на задание, и немцы боялись «хвостатой смерти» пуще огня. Вслед за Ил-2 РС взяли на вооружение и другие самолеты - бомбардировщики, истребители. Их начали успешно применять не только при штурмовках наземных целей, но и в воздушных боях, особенно истребители при ата</w:t>
      </w:r>
      <w:r w:rsidRPr="00F90EAE">
        <w:rPr>
          <w:color w:val="000000" w:themeColor="text1"/>
          <w:sz w:val="16"/>
          <w:szCs w:val="16"/>
        </w:rPr>
        <w:softHyphen/>
        <w:t>ках боевых порядков вражеских бомбардировщиков. Достаточно было нашему истребителю послать один РС по плотному строю Ю-88 или Ю-87, как они после взрыва снаряда шарахались в разные стороны, как ошпаренные».</w:t>
      </w:r>
    </w:p>
    <w:p w14:paraId="455FE47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Комментировать эту «элегию авиационному ракетному оружию» нет смысла. Однако, последовательность этапов вооружения боевых машин различных родов авиации здесь отражает официальную версию развития событий, устоявшуюся к тому времени, когда уважаемый ветеран рабо</w:t>
      </w:r>
      <w:r w:rsidRPr="00F90EAE">
        <w:rPr>
          <w:color w:val="000000" w:themeColor="text1"/>
          <w:sz w:val="16"/>
          <w:szCs w:val="16"/>
        </w:rPr>
        <w:softHyphen/>
        <w:t>тал над своими мемуарами. Но, все же, она разительно отличается от ис</w:t>
      </w:r>
      <w:r w:rsidRPr="00F90EAE">
        <w:rPr>
          <w:color w:val="000000" w:themeColor="text1"/>
          <w:sz w:val="16"/>
          <w:szCs w:val="16"/>
        </w:rPr>
        <w:softHyphen/>
        <w:t>торической действительности, ведь сначала реактивными системами вооружили истребители, и лишь затем - РСЗО «катюша», а также штур</w:t>
      </w:r>
      <w:r w:rsidRPr="00F90EAE">
        <w:rPr>
          <w:color w:val="000000" w:themeColor="text1"/>
          <w:sz w:val="16"/>
          <w:szCs w:val="16"/>
        </w:rPr>
        <w:softHyphen/>
        <w:t>мовики и бомбардировщики...</w:t>
      </w:r>
    </w:p>
    <w:p w14:paraId="0ACBA31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А.И.Покрышкин в книге «Познать себя в бою» так говорит о стаби</w:t>
      </w:r>
      <w:r w:rsidRPr="00F90EAE">
        <w:rPr>
          <w:color w:val="000000" w:themeColor="text1"/>
          <w:sz w:val="16"/>
          <w:szCs w:val="16"/>
        </w:rPr>
        <w:softHyphen/>
        <w:t>лизаторах к РС: «Зенитная оборона в том районе, куда вылетал Карпо</w:t>
      </w:r>
      <w:r w:rsidRPr="00F90EAE">
        <w:rPr>
          <w:color w:val="000000" w:themeColor="text1"/>
          <w:sz w:val="16"/>
          <w:szCs w:val="16"/>
        </w:rPr>
        <w:softHyphen/>
        <w:t>вич, была мошной, и недооценивать ее было нельзя. Я сам испытал ее силу. Выполняя полет на разведку, я увидел ниже и впереди себя «хеншеля», идущего, видимо, от линии фронта на аэродром. Спикировав, зашел емуъ хвост и пустил РС. Но тот прошел мимо цели. Пустил второй - сно</w:t>
      </w:r>
      <w:r w:rsidRPr="00F90EAE">
        <w:rPr>
          <w:color w:val="000000" w:themeColor="text1"/>
          <w:sz w:val="16"/>
          <w:szCs w:val="16"/>
        </w:rPr>
        <w:softHyphen/>
        <w:t>ва неудача. Обозленный, стреляю в упор по кабине «хеншеля».</w:t>
      </w:r>
    </w:p>
    <w:p w14:paraId="413D3DC4"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Зарулив на стоянку, еще не сняв парашюта, обращаюсь к технику са</w:t>
      </w:r>
      <w:r w:rsidRPr="00F90EAE">
        <w:rPr>
          <w:color w:val="000000" w:themeColor="text1"/>
          <w:sz w:val="16"/>
          <w:szCs w:val="16"/>
        </w:rPr>
        <w:softHyphen/>
        <w:t>молета: «Чувашкин, почему РС уходят в сторону от линии прицелива</w:t>
      </w:r>
      <w:r w:rsidRPr="00F90EAE">
        <w:rPr>
          <w:color w:val="000000" w:themeColor="text1"/>
          <w:sz w:val="16"/>
          <w:szCs w:val="16"/>
        </w:rPr>
        <w:softHyphen/>
        <w:t>ния?». «Товарищ капитан, с ними в спешке порой обращаются как с дро</w:t>
      </w:r>
      <w:r w:rsidRPr="00F90EAE">
        <w:rPr>
          <w:color w:val="000000" w:themeColor="text1"/>
          <w:sz w:val="16"/>
          <w:szCs w:val="16"/>
        </w:rPr>
        <w:softHyphen/>
        <w:t>вами. Развозят навалом. Вот и сейчас, посмотрите: привезли из склада и побросали на землю!».</w:t>
      </w:r>
    </w:p>
    <w:p w14:paraId="657764D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 подошел, осмотрел снаряды. Невольно сжал до боли пальцы в ку</w:t>
      </w:r>
      <w:r w:rsidRPr="00F90EAE">
        <w:rPr>
          <w:color w:val="000000" w:themeColor="text1"/>
          <w:sz w:val="16"/>
          <w:szCs w:val="16"/>
        </w:rPr>
        <w:softHyphen/>
        <w:t>лаки. На многих РС стабилизаторы были погнуты. Так вот почему они проходят мимо цели! Приказал Чувашкину не подвешивать ни одного РС даже с небольшой деформацией стабилизаторов, а сам отправился искать виновных. Увидел инженера полка по вооружению и командира батальона аэродромного обслуживания.</w:t>
      </w:r>
    </w:p>
    <w:p w14:paraId="30636CE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вине оружейников сегодня чуть не упустил «хеншеля», - говорил я резко, с обидой. - Вижу, что некоторые считают, РС нужны, чтобы пу</w:t>
      </w:r>
      <w:r w:rsidRPr="00F90EAE">
        <w:rPr>
          <w:color w:val="000000" w:themeColor="text1"/>
          <w:sz w:val="16"/>
          <w:szCs w:val="16"/>
        </w:rPr>
        <w:softHyphen/>
        <w:t>гать противника. Разве снарядом с погнутыми стабилизаторами можно попасть в самолет?».</w:t>
      </w:r>
    </w:p>
    <w:p w14:paraId="7154F47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Офицеры сразу же поняли, в чем дело. «Не горячись, Александр, по</w:t>
      </w:r>
      <w:r w:rsidRPr="00F90EAE">
        <w:rPr>
          <w:color w:val="000000" w:themeColor="text1"/>
          <w:sz w:val="16"/>
          <w:szCs w:val="16"/>
        </w:rPr>
        <w:softHyphen/>
        <w:t>правим. Действительно, не следили за РС», - с горечью отозвался инже</w:t>
      </w:r>
      <w:r w:rsidRPr="00F90EAE">
        <w:rPr>
          <w:color w:val="000000" w:themeColor="text1"/>
          <w:sz w:val="16"/>
          <w:szCs w:val="16"/>
        </w:rPr>
        <w:softHyphen/>
        <w:t>нер. После этого оружейники и работники батальона аэродромного об</w:t>
      </w:r>
      <w:r w:rsidRPr="00F90EAE">
        <w:rPr>
          <w:color w:val="000000" w:themeColor="text1"/>
          <w:sz w:val="16"/>
          <w:szCs w:val="16"/>
        </w:rPr>
        <w:softHyphen/>
        <w:t>служивания стали серьезнее относиться к РС. И это сказалось, эффек</w:t>
      </w:r>
      <w:r w:rsidRPr="00F90EAE">
        <w:rPr>
          <w:color w:val="000000" w:themeColor="text1"/>
          <w:sz w:val="16"/>
          <w:szCs w:val="16"/>
        </w:rPr>
        <w:softHyphen/>
        <w:t>тивность стрельбы повысилась. Мне удалось уничтожить несколько ав</w:t>
      </w:r>
      <w:r w:rsidRPr="00F90EAE">
        <w:rPr>
          <w:color w:val="000000" w:themeColor="text1"/>
          <w:sz w:val="16"/>
          <w:szCs w:val="16"/>
        </w:rPr>
        <w:softHyphen/>
        <w:t>томашин и подбить паровоз на перегоне».</w:t>
      </w:r>
    </w:p>
    <w:p w14:paraId="6333555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самом деле, если РС разгружать столь грубо, но не вынимая из укупорки, снарядам ничего бы не было. Но доски ящиков изымали ужена складе для хозяйственных нужд, а к боеприпасам тыловики демонст</w:t>
      </w:r>
      <w:r w:rsidRPr="00F90EAE">
        <w:rPr>
          <w:color w:val="000000" w:themeColor="text1"/>
          <w:sz w:val="16"/>
          <w:szCs w:val="16"/>
        </w:rPr>
        <w:softHyphen/>
        <w:t>рировали просто недопустимое отношение. При этом люди даже не заду</w:t>
      </w:r>
      <w:r w:rsidRPr="00F90EAE">
        <w:rPr>
          <w:color w:val="000000" w:themeColor="text1"/>
          <w:sz w:val="16"/>
          <w:szCs w:val="16"/>
        </w:rPr>
        <w:softHyphen/>
        <w:t>мывались над тем, что пороховой воспламенитель снаряда от сильного соударения снарядов мог и сработать...</w:t>
      </w:r>
    </w:p>
    <w:p w14:paraId="435CE76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Таблица 5.9 Динамика производства реактивных снарядов в 1940-1945 гг., тыс. шт.</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440"/>
        <w:gridCol w:w="2813"/>
      </w:tblGrid>
      <w:tr w:rsidR="00561F31" w:rsidRPr="00F90EAE" w14:paraId="096D389D" w14:textId="77777777" w:rsidTr="00F0626F">
        <w:trPr>
          <w:trHeight w:val="509"/>
        </w:trPr>
        <w:tc>
          <w:tcPr>
            <w:tcW w:w="1690" w:type="dxa"/>
            <w:tcBorders>
              <w:top w:val="single" w:sz="6" w:space="0" w:color="auto"/>
              <w:left w:val="single" w:sz="6" w:space="0" w:color="auto"/>
              <w:bottom w:val="single" w:sz="6" w:space="0" w:color="auto"/>
              <w:right w:val="single" w:sz="6" w:space="0" w:color="auto"/>
            </w:tcBorders>
          </w:tcPr>
          <w:p w14:paraId="5E26589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 выпуска</w:t>
            </w:r>
          </w:p>
          <w:p w14:paraId="0021BAE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90CEBA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 (в том числе РС-82 и РОФС-82)</w:t>
            </w:r>
          </w:p>
          <w:p w14:paraId="6FB9C33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4839AE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М-13 (в том числе РОФС-132, РС-Ш, РХС-132, МХ-13иМ-13УК)</w:t>
            </w:r>
          </w:p>
          <w:p w14:paraId="07DB76E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418D513C"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3E21977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1940</w:t>
            </w:r>
          </w:p>
          <w:p w14:paraId="29BC34B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43F998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125,1</w:t>
            </w:r>
          </w:p>
          <w:p w14:paraId="06F11D8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B07270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31,68 из них 1 РОФС-132____</w:t>
            </w:r>
          </w:p>
          <w:p w14:paraId="0C700C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78B09C5" w14:textId="77777777" w:rsidTr="00F0626F">
        <w:trPr>
          <w:trHeight w:val="230"/>
        </w:trPr>
        <w:tc>
          <w:tcPr>
            <w:tcW w:w="1690" w:type="dxa"/>
            <w:tcBorders>
              <w:top w:val="single" w:sz="6" w:space="0" w:color="auto"/>
              <w:left w:val="single" w:sz="6" w:space="0" w:color="auto"/>
              <w:bottom w:val="single" w:sz="6" w:space="0" w:color="auto"/>
              <w:right w:val="single" w:sz="6" w:space="0" w:color="auto"/>
            </w:tcBorders>
          </w:tcPr>
          <w:p w14:paraId="6572341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(I полугодие)</w:t>
            </w:r>
          </w:p>
          <w:p w14:paraId="6944AF7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0C5E0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240,0</w:t>
            </w:r>
          </w:p>
          <w:p w14:paraId="747FADF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142003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34,0 из них 10,788 РОФС-Ш__</w:t>
            </w:r>
          </w:p>
          <w:p w14:paraId="3C0F71B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591BFCD5"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6C02A78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(II полугодие)</w:t>
            </w:r>
          </w:p>
          <w:p w14:paraId="3CE2B60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06DC9F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262,0</w:t>
            </w:r>
          </w:p>
          <w:p w14:paraId="6EE8DA2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605B51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278,1</w:t>
            </w:r>
          </w:p>
          <w:p w14:paraId="5401836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02ED4A9" w14:textId="77777777" w:rsidTr="00F0626F">
        <w:trPr>
          <w:trHeight w:val="202"/>
        </w:trPr>
        <w:tc>
          <w:tcPr>
            <w:tcW w:w="1690" w:type="dxa"/>
            <w:tcBorders>
              <w:top w:val="single" w:sz="6" w:space="0" w:color="auto"/>
              <w:left w:val="single" w:sz="6" w:space="0" w:color="auto"/>
              <w:bottom w:val="single" w:sz="6" w:space="0" w:color="auto"/>
              <w:right w:val="single" w:sz="6" w:space="0" w:color="auto"/>
            </w:tcBorders>
          </w:tcPr>
          <w:p w14:paraId="21BF6A7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w:t>
            </w:r>
          </w:p>
          <w:p w14:paraId="4764576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7B0EF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1708,6</w:t>
            </w:r>
          </w:p>
          <w:p w14:paraId="5EFB260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3EEA8D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1655,3</w:t>
            </w:r>
          </w:p>
          <w:p w14:paraId="55D0393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E43976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0FA1124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w:t>
            </w:r>
          </w:p>
          <w:p w14:paraId="314771E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CE8AC2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1324,4</w:t>
            </w:r>
          </w:p>
          <w:p w14:paraId="2520AE0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1C1314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1822,0</w:t>
            </w:r>
          </w:p>
          <w:p w14:paraId="1B8CA93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A191458" w14:textId="77777777" w:rsidTr="00F0626F">
        <w:trPr>
          <w:trHeight w:val="211"/>
        </w:trPr>
        <w:tc>
          <w:tcPr>
            <w:tcW w:w="1690" w:type="dxa"/>
            <w:tcBorders>
              <w:top w:val="single" w:sz="6" w:space="0" w:color="auto"/>
              <w:left w:val="single" w:sz="6" w:space="0" w:color="auto"/>
              <w:bottom w:val="single" w:sz="6" w:space="0" w:color="auto"/>
              <w:right w:val="single" w:sz="6" w:space="0" w:color="auto"/>
            </w:tcBorders>
          </w:tcPr>
          <w:p w14:paraId="0213A1F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p w14:paraId="46390A8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5566ED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1270,0</w:t>
            </w:r>
          </w:p>
          <w:p w14:paraId="2FE6C74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4377F03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2190,0</w:t>
            </w:r>
          </w:p>
          <w:p w14:paraId="6B467C3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599BF6F3" w14:textId="77777777" w:rsidTr="00F0626F">
        <w:trPr>
          <w:trHeight w:val="221"/>
        </w:trPr>
        <w:tc>
          <w:tcPr>
            <w:tcW w:w="1690" w:type="dxa"/>
            <w:tcBorders>
              <w:top w:val="single" w:sz="6" w:space="0" w:color="auto"/>
              <w:left w:val="single" w:sz="6" w:space="0" w:color="auto"/>
              <w:bottom w:val="single" w:sz="6" w:space="0" w:color="auto"/>
              <w:right w:val="single" w:sz="6" w:space="0" w:color="auto"/>
            </w:tcBorders>
          </w:tcPr>
          <w:p w14:paraId="7F2E21E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w:t>
            </w:r>
          </w:p>
          <w:p w14:paraId="27D75BA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BE4137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520,6</w:t>
            </w:r>
          </w:p>
          <w:p w14:paraId="47CBE1D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73A31F7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959,5</w:t>
            </w:r>
          </w:p>
          <w:p w14:paraId="53FADA7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4558B944" w14:textId="77777777" w:rsidTr="00F0626F">
        <w:trPr>
          <w:trHeight w:val="240"/>
        </w:trPr>
        <w:tc>
          <w:tcPr>
            <w:tcW w:w="1690" w:type="dxa"/>
            <w:tcBorders>
              <w:top w:val="single" w:sz="6" w:space="0" w:color="auto"/>
              <w:left w:val="single" w:sz="6" w:space="0" w:color="auto"/>
              <w:bottom w:val="single" w:sz="6" w:space="0" w:color="auto"/>
              <w:right w:val="single" w:sz="6" w:space="0" w:color="auto"/>
            </w:tcBorders>
          </w:tcPr>
          <w:p w14:paraId="4F5D9B7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в военное время</w:t>
            </w:r>
          </w:p>
          <w:p w14:paraId="5521561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7AF02C2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5085,0</w:t>
            </w:r>
          </w:p>
          <w:p w14:paraId="6ADAF42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2813" w:type="dxa"/>
            <w:tcBorders>
              <w:top w:val="single" w:sz="6" w:space="0" w:color="auto"/>
              <w:left w:val="single" w:sz="6" w:space="0" w:color="auto"/>
              <w:bottom w:val="single" w:sz="6" w:space="0" w:color="auto"/>
              <w:right w:val="single" w:sz="6" w:space="0" w:color="auto"/>
            </w:tcBorders>
          </w:tcPr>
          <w:p w14:paraId="6CD4DB6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6904,9</w:t>
            </w:r>
          </w:p>
          <w:p w14:paraId="3CF2B00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bl>
    <w:p w14:paraId="77C837A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Несколько иначе обстояли дела с модернизацией снарядов М-13. И хотя им также не удалось избежать участи снаряжания БЧ эрзац-ВВ, этот этап отразился в их конструкции. Дело в том, что сплав ВВ на осно</w:t>
      </w:r>
      <w:r w:rsidRPr="00F90EAE">
        <w:rPr>
          <w:color w:val="000000" w:themeColor="text1"/>
          <w:sz w:val="16"/>
          <w:szCs w:val="16"/>
        </w:rPr>
        <w:softHyphen/>
        <w:t>ве аммиачной селитры в корпуса осколочных и фугасных артснарядов заливали через головное очко для взрывателя. Подобным образом БЧ от</w:t>
      </w:r>
      <w:r w:rsidRPr="00F90EAE">
        <w:rPr>
          <w:color w:val="000000" w:themeColor="text1"/>
          <w:sz w:val="16"/>
          <w:szCs w:val="16"/>
        </w:rPr>
        <w:softHyphen/>
        <w:t>носительно коротких РС М-8 с пристыкованными корпусами двигате</w:t>
      </w:r>
      <w:r w:rsidRPr="00F90EAE">
        <w:rPr>
          <w:color w:val="000000" w:themeColor="text1"/>
          <w:sz w:val="16"/>
          <w:szCs w:val="16"/>
        </w:rPr>
        <w:softHyphen/>
        <w:t>лей можно было снаряжать без больших проблем. При этом дно камеры двигателя являлось и дном БЧ. У снарядов М-13 первых моделей «такой номер уже не проходил» - пристыкованный корпус двигателя только ме</w:t>
      </w:r>
      <w:r w:rsidRPr="00F90EAE">
        <w:rPr>
          <w:color w:val="000000" w:themeColor="text1"/>
          <w:sz w:val="16"/>
          <w:szCs w:val="16"/>
        </w:rPr>
        <w:softHyphen/>
        <w:t>шал заливке ВВ в БЧ. Проблему сняли, использовав внешнее переход</w:t>
      </w:r>
      <w:r w:rsidRPr="00F90EAE">
        <w:rPr>
          <w:color w:val="000000" w:themeColor="text1"/>
          <w:sz w:val="16"/>
          <w:szCs w:val="16"/>
        </w:rPr>
        <w:softHyphen/>
        <w:t>ное дно БЧ - второй отличительный признак артиллерийских реактив</w:t>
      </w:r>
      <w:r w:rsidRPr="00F90EAE">
        <w:rPr>
          <w:color w:val="000000" w:themeColor="text1"/>
          <w:sz w:val="16"/>
          <w:szCs w:val="16"/>
        </w:rPr>
        <w:softHyphen/>
        <w:t>ных снарядов М-13.</w:t>
      </w:r>
    </w:p>
    <w:p w14:paraId="570CB6BF"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«Период эрзац-порохов и эрзац-ВВ» не повлек изменений габаритов снарядов М-13. В калибре 132 мм ГМЧ пришлось довольствоваться сна</w:t>
      </w:r>
      <w:r w:rsidRPr="00F90EAE">
        <w:rPr>
          <w:color w:val="000000" w:themeColor="text1"/>
          <w:sz w:val="16"/>
          <w:szCs w:val="16"/>
        </w:rPr>
        <w:softHyphen/>
        <w:t xml:space="preserve">рядами уменьшенной дальности и огневой мощи. Не в пример им, </w:t>
      </w:r>
    </w:p>
    <w:p w14:paraId="1DCBA191"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Некондиционные корпуса БЧ снарядов РОФС-132 и М-13 после об</w:t>
      </w:r>
      <w:r w:rsidRPr="00F90EAE">
        <w:rPr>
          <w:color w:val="000000" w:themeColor="text1"/>
          <w:sz w:val="16"/>
          <w:szCs w:val="16"/>
        </w:rPr>
        <w:softHyphen/>
        <w:t>точки, а также просто отливки и штамповки с трещинами заготовок ис</w:t>
      </w:r>
      <w:r w:rsidRPr="00F90EAE">
        <w:rPr>
          <w:color w:val="000000" w:themeColor="text1"/>
          <w:sz w:val="16"/>
          <w:szCs w:val="16"/>
        </w:rPr>
        <w:softHyphen/>
        <w:t>пользовали в качестве осколочных авиабомб АО-25М-13 нескольких мо</w:t>
      </w:r>
      <w:r w:rsidRPr="00F90EAE">
        <w:rPr>
          <w:color w:val="000000" w:themeColor="text1"/>
          <w:sz w:val="16"/>
          <w:szCs w:val="16"/>
        </w:rPr>
        <w:softHyphen/>
        <w:t>делей. Оперение было приварено к дну БЧ. По габаритам авиабомбы подходили к бомбоотсекам штурмовиков, не говоря уже о бомбардиров</w:t>
      </w:r>
      <w:r w:rsidRPr="00F90EAE">
        <w:rPr>
          <w:color w:val="000000" w:themeColor="text1"/>
          <w:sz w:val="16"/>
          <w:szCs w:val="16"/>
        </w:rPr>
        <w:softHyphen/>
        <w:t>щиках. Невостребованные корпуса БЧ опытных РОФС-140 также использовали в этих же целях. При этом у корпусов двигателем от РОФС-140 переднее и заднее центрирующие утолщения сточили до 132 мм и использовали для изготовления снарядов М-13.</w:t>
      </w:r>
    </w:p>
    <w:p w14:paraId="28020BE6"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На протяжении всей войны в производстве тротила ощущался ост</w:t>
      </w:r>
      <w:r w:rsidRPr="00F90EAE">
        <w:rPr>
          <w:color w:val="000000" w:themeColor="text1"/>
          <w:sz w:val="16"/>
          <w:szCs w:val="16"/>
        </w:rPr>
        <w:softHyphen/>
        <w:t xml:space="preserve">рый дефицит толуола, азотной и серной кислот, кальцинированной соды и каустика, а также ряда других необходимых химических продуктов. В связи с этим, мощности тротиловых производств не были загружены полностью, а выпуск тротила определялся поставками сырья. И хотя в 1943 г. он возрос, по сравнению с 1942 г., на 22% и оставался на этом Уровне в 1944 г., выпускаемые количества тротила не могли </w:t>
      </w:r>
      <w:r w:rsidRPr="00F90EAE">
        <w:rPr>
          <w:color w:val="000000" w:themeColor="text1"/>
          <w:sz w:val="16"/>
          <w:szCs w:val="16"/>
        </w:rPr>
        <w:lastRenderedPageBreak/>
        <w:t>обеспечить резко возросшие потребности снаряжательных заводов и действующей армии. На всех снаряжательных заводах были проделаны большие рабо</w:t>
      </w:r>
      <w:r w:rsidRPr="00F90EAE">
        <w:rPr>
          <w:color w:val="000000" w:themeColor="text1"/>
          <w:sz w:val="16"/>
          <w:szCs w:val="16"/>
        </w:rPr>
        <w:softHyphen/>
        <w:t>ты по освоению производства аммиачно-селитренных ВВ с уменьшен</w:t>
      </w:r>
      <w:r w:rsidRPr="00F90EAE">
        <w:rPr>
          <w:color w:val="000000" w:themeColor="text1"/>
          <w:sz w:val="16"/>
          <w:szCs w:val="16"/>
        </w:rPr>
        <w:softHyphen/>
        <w:t>ным содержанием дефицитного тротила.</w:t>
      </w:r>
    </w:p>
    <w:p w14:paraId="718F305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годы войны для снаряжания боеприпасов использовали 23 взрыв</w:t>
      </w:r>
      <w:r w:rsidRPr="00F90EAE">
        <w:rPr>
          <w:color w:val="000000" w:themeColor="text1"/>
          <w:sz w:val="16"/>
          <w:szCs w:val="16"/>
        </w:rPr>
        <w:softHyphen/>
        <w:t>чатых состава. Из них лишь один тротил применяли в некоторых бое</w:t>
      </w:r>
      <w:r w:rsidRPr="00F90EAE">
        <w:rPr>
          <w:color w:val="000000" w:themeColor="text1"/>
          <w:sz w:val="16"/>
          <w:szCs w:val="16"/>
        </w:rPr>
        <w:softHyphen/>
        <w:t>припасах в чистом виде. Для формования разрывных зарядов чаще всего использовали способ шнекования порошкообразного тротила в камору изделия, реже - заливка расплавленного ВВ, иногда с добавкой твердых кусков или тротиловых шариков для улучшения качества заряда.</w:t>
      </w:r>
    </w:p>
    <w:p w14:paraId="1D3DBBB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Остальные 22 состава представляли собой смеси или сплавы несколь</w:t>
      </w:r>
      <w:r w:rsidRPr="00F90EAE">
        <w:rPr>
          <w:color w:val="000000" w:themeColor="text1"/>
          <w:sz w:val="16"/>
          <w:szCs w:val="16"/>
        </w:rPr>
        <w:softHyphen/>
        <w:t>ких ВВ. Широко использовали амматолы 40/60; 50/50; и даже амматол 90/10, содержавший всего 10% тротила. Применяли также взрывчатые составы, в которых часть тротила заменяли другими ВВ - сплавами К-2 и К-3. Во всех изделиях для обеспечения безотказного и наиболее эффе</w:t>
      </w:r>
      <w:r w:rsidRPr="00F90EAE">
        <w:rPr>
          <w:color w:val="000000" w:themeColor="text1"/>
          <w:sz w:val="16"/>
          <w:szCs w:val="16"/>
        </w:rPr>
        <w:softHyphen/>
        <w:t>ктивного взрыва разрывного заряда применяли мощные детонаторные шашки из прессованного тротила Таблица 5.10 Варианты вооружения боевых самолетов ВВС Красной Армии ракетными снарядами калибров 82 и 132 мм в период 1941-1945 гг.</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
        <w:gridCol w:w="855"/>
        <w:gridCol w:w="941"/>
        <w:gridCol w:w="9"/>
        <w:gridCol w:w="1808"/>
      </w:tblGrid>
      <w:tr w:rsidR="00561F31" w:rsidRPr="00F90EAE" w14:paraId="0C55AF0F" w14:textId="77777777" w:rsidTr="00F0626F">
        <w:trPr>
          <w:trHeight w:val="874"/>
        </w:trPr>
        <w:tc>
          <w:tcPr>
            <w:tcW w:w="2333" w:type="dxa"/>
            <w:tcBorders>
              <w:top w:val="single" w:sz="6" w:space="0" w:color="auto"/>
              <w:left w:val="single" w:sz="6" w:space="0" w:color="auto"/>
              <w:bottom w:val="single" w:sz="6" w:space="0" w:color="auto"/>
              <w:right w:val="single" w:sz="6" w:space="0" w:color="auto"/>
            </w:tcBorders>
          </w:tcPr>
          <w:p w14:paraId="6457341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Марка самолета, №заводской, № завода, месяц окончания госиспытаний</w:t>
            </w:r>
          </w:p>
          <w:p w14:paraId="00775E8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E72560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Калибр / боезапас</w:t>
            </w:r>
          </w:p>
          <w:p w14:paraId="035A52F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2D6A4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 количество ракетных орудий</w:t>
            </w:r>
          </w:p>
          <w:p w14:paraId="5853078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538DF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Место расположения^ пусковых и направление стрельбы</w:t>
            </w:r>
          </w:p>
          <w:p w14:paraId="14794B9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6BCAEF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2985B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Як-1 с М-105П (№3855 завода №292)</w:t>
            </w:r>
          </w:p>
          <w:p w14:paraId="29FB072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E4E6F4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/6</w:t>
            </w:r>
          </w:p>
          <w:p w14:paraId="4210109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D5A7A1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130A34B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946C0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1E0025F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542F156A"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0F915C2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Як-1 с М-105П после 2 мая 1942 г.</w:t>
            </w:r>
          </w:p>
          <w:p w14:paraId="5689FC6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6A4849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/4</w:t>
            </w:r>
          </w:p>
          <w:p w14:paraId="707E41E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6B43B7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B598B8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549E72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2F3660D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F043930"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2D556B8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Як-7 М-105ПА №06-05 завода №301 (сентябрь 1941 г.)</w:t>
            </w:r>
          </w:p>
          <w:p w14:paraId="410A389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028BA1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6</w:t>
            </w:r>
          </w:p>
          <w:p w14:paraId="7577CCA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FF3541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04EE21B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E90532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ПГ1С~</w:t>
            </w:r>
          </w:p>
          <w:p w14:paraId="41D1F72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FC8646D" w14:textId="77777777" w:rsidTr="00F0626F">
        <w:trPr>
          <w:trHeight w:val="538"/>
        </w:trPr>
        <w:tc>
          <w:tcPr>
            <w:tcW w:w="2333" w:type="dxa"/>
            <w:tcBorders>
              <w:top w:val="single" w:sz="6" w:space="0" w:color="auto"/>
              <w:left w:val="single" w:sz="6" w:space="0" w:color="auto"/>
              <w:bottom w:val="single" w:sz="6" w:space="0" w:color="auto"/>
              <w:right w:val="single" w:sz="6" w:space="0" w:color="auto"/>
            </w:tcBorders>
          </w:tcPr>
          <w:p w14:paraId="5012B6F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Як-7БМ-105ПА №22-03 (июнь 1942 г.) перегрузочный вариант</w:t>
            </w:r>
          </w:p>
          <w:p w14:paraId="7902C58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A5FA52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/6</w:t>
            </w:r>
          </w:p>
          <w:p w14:paraId="42509BE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97A67D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57EEFC1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64A262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5A5415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48920289" w14:textId="77777777" w:rsidTr="00F0626F">
        <w:trPr>
          <w:trHeight w:val="528"/>
        </w:trPr>
        <w:tc>
          <w:tcPr>
            <w:tcW w:w="2333" w:type="dxa"/>
            <w:tcBorders>
              <w:top w:val="single" w:sz="6" w:space="0" w:color="auto"/>
              <w:left w:val="single" w:sz="6" w:space="0" w:color="auto"/>
              <w:bottom w:val="single" w:sz="6" w:space="0" w:color="auto"/>
              <w:right w:val="single" w:sz="6" w:space="0" w:color="auto"/>
            </w:tcBorders>
          </w:tcPr>
          <w:p w14:paraId="15C1577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Як-7-37 М- 105ПА завода №153 (апрель-май 1942 г.) перегрузочный вариант</w:t>
            </w:r>
          </w:p>
          <w:p w14:paraId="3544DD4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2DE9A1F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6</w:t>
            </w:r>
          </w:p>
          <w:p w14:paraId="76F865C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264D78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61AD799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71F438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56E03B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E041A47"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2478274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ЛаГГ-3 с М-105П (№3121422 завода №21)</w:t>
            </w:r>
          </w:p>
          <w:p w14:paraId="30886D2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CD0ED4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8</w:t>
            </w:r>
          </w:p>
          <w:p w14:paraId="762C854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501DA9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532CD9E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AB0727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5E235F1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1F48474"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4E70C14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ЛаГГ-3 с М-105П (№3121232 завода №21)</w:t>
            </w:r>
          </w:p>
          <w:p w14:paraId="56B29B9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D0742C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6</w:t>
            </w:r>
          </w:p>
          <w:p w14:paraId="3A988C4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9495E8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5EBCFEE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38B6F7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73FB44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481D628"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6C8A1C7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МиГ-1 сАМ-35А(И-200) завода № 1</w:t>
            </w:r>
          </w:p>
          <w:p w14:paraId="0974237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81FC8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8</w:t>
            </w:r>
          </w:p>
          <w:p w14:paraId="60C18E8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C858F7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2ADD61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9E32E5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B7577C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316F4BA"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401788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МиГ-3 с АМ-35А (№3943) завода № 1</w:t>
            </w:r>
          </w:p>
          <w:p w14:paraId="577A7FA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801FF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/6</w:t>
            </w:r>
          </w:p>
          <w:p w14:paraId="7B57B2C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E71766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11D7EA4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34309F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5DE3469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434A28DE"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52B76B6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завода №39 (февраль-март 1941 г.)</w:t>
            </w:r>
          </w:p>
          <w:p w14:paraId="61A0DEC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738F829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8</w:t>
            </w:r>
          </w:p>
          <w:p w14:paraId="6392805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652C2E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00BF95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668C41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0C375F2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625201A2" w14:textId="77777777" w:rsidTr="00F0626F">
        <w:trPr>
          <w:trHeight w:val="355"/>
        </w:trPr>
        <w:tc>
          <w:tcPr>
            <w:tcW w:w="2333" w:type="dxa"/>
            <w:tcBorders>
              <w:top w:val="single" w:sz="6" w:space="0" w:color="auto"/>
              <w:left w:val="single" w:sz="6" w:space="0" w:color="auto"/>
              <w:bottom w:val="single" w:sz="6" w:space="0" w:color="auto"/>
              <w:right w:val="single" w:sz="6" w:space="0" w:color="auto"/>
            </w:tcBorders>
          </w:tcPr>
          <w:p w14:paraId="0F0EB45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завода №39 (февраль-март 1941 г.)</w:t>
            </w:r>
          </w:p>
          <w:p w14:paraId="4229A32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26513C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0AB5198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A2290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80C3C6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1876B70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1D585F7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6DDBFB16"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F159BA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завода №39 (сентябрь - октябрь 1941 г.)</w:t>
            </w:r>
          </w:p>
          <w:p w14:paraId="7B018D3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45E4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27F108F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F25A7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084E2B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44FB5B4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79E8AA5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66273941" w14:textId="77777777" w:rsidTr="00F0626F">
        <w:trPr>
          <w:trHeight w:val="557"/>
        </w:trPr>
        <w:tc>
          <w:tcPr>
            <w:tcW w:w="2333" w:type="dxa"/>
            <w:tcBorders>
              <w:top w:val="single" w:sz="6" w:space="0" w:color="auto"/>
              <w:left w:val="single" w:sz="6" w:space="0" w:color="auto"/>
              <w:bottom w:val="single" w:sz="6" w:space="0" w:color="auto"/>
              <w:right w:val="single" w:sz="6" w:space="0" w:color="auto"/>
            </w:tcBorders>
          </w:tcPr>
          <w:p w14:paraId="2B3C646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№0403 завода №381 (декабрь 1941 г. — январь 1942 г.)</w:t>
            </w:r>
          </w:p>
          <w:p w14:paraId="46E5263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FF8523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5477DFD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D2908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A001E1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18FC41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03621E0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938120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09CC4CD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№1904 завода №18 (март — апрель 1942 г.)</w:t>
            </w:r>
          </w:p>
          <w:p w14:paraId="7DAD712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1D9FDB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22E64F2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876B16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7C80BC6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71C851D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2CF7CB1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5D1103C"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719092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№1904 завода №18 (март - апрель 1942 г.)</w:t>
            </w:r>
          </w:p>
          <w:p w14:paraId="5681499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8F08AE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7F0CCAF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8D2DE1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C9EDE1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5BBDC7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0306C57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150D125"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068B0A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№261 1 завода №1 (март - апрель 1942 г.)</w:t>
            </w:r>
          </w:p>
          <w:p w14:paraId="3B4CF15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1D49E0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24BF6E8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F00E24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FF67DF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6E4B25F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53FCB8F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6DAA3C52"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3474441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М-82 завода №18 (апрель 1942 г.)</w:t>
            </w:r>
          </w:p>
          <w:p w14:paraId="6B661E4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47A4221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7EBBE0A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08A772B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1AE99C7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F2573D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2AD94EA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566D7AF"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36D8FAB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№161 2 завода №381 (июнь 1942 г.)</w:t>
            </w:r>
          </w:p>
          <w:p w14:paraId="3D17321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3DE9A6F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6</w:t>
            </w:r>
          </w:p>
          <w:p w14:paraId="47B779A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4C28AF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16598E9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04BF98B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45533D6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6B7A97D" w14:textId="77777777" w:rsidTr="00F0626F">
        <w:trPr>
          <w:trHeight w:val="365"/>
        </w:trPr>
        <w:tc>
          <w:tcPr>
            <w:tcW w:w="2333" w:type="dxa"/>
            <w:tcBorders>
              <w:top w:val="single" w:sz="6" w:space="0" w:color="auto"/>
              <w:left w:val="single" w:sz="6" w:space="0" w:color="auto"/>
              <w:bottom w:val="single" w:sz="6" w:space="0" w:color="auto"/>
              <w:right w:val="single" w:sz="6" w:space="0" w:color="auto"/>
            </w:tcBorders>
          </w:tcPr>
          <w:p w14:paraId="756D0A7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АМ-38Ф №1872412 завода №18 (август 1942 г.)</w:t>
            </w:r>
          </w:p>
          <w:p w14:paraId="7336A84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12E1B4B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77DF522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4D5FBBC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6CB35C7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37F0252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12CDA82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ACCDEAB" w14:textId="77777777" w:rsidTr="00F0626F">
        <w:trPr>
          <w:trHeight w:val="374"/>
        </w:trPr>
        <w:tc>
          <w:tcPr>
            <w:tcW w:w="2333" w:type="dxa"/>
            <w:tcBorders>
              <w:top w:val="single" w:sz="6" w:space="0" w:color="auto"/>
              <w:left w:val="single" w:sz="6" w:space="0" w:color="auto"/>
              <w:bottom w:val="single" w:sz="6" w:space="0" w:color="auto"/>
              <w:right w:val="single" w:sz="6" w:space="0" w:color="auto"/>
            </w:tcBorders>
          </w:tcPr>
          <w:p w14:paraId="7EEE26C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№30341 завода №30 (июль 1942 г.)</w:t>
            </w:r>
          </w:p>
          <w:p w14:paraId="1151AE2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0593DC2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1470810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B13D03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0228084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54D16E8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 для 11 1 1 &lt;~</w:t>
            </w:r>
          </w:p>
          <w:p w14:paraId="0189B40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64056FD" w14:textId="77777777" w:rsidTr="00F0626F">
        <w:trPr>
          <w:trHeight w:val="576"/>
        </w:trPr>
        <w:tc>
          <w:tcPr>
            <w:tcW w:w="2333" w:type="dxa"/>
            <w:tcBorders>
              <w:top w:val="single" w:sz="6" w:space="0" w:color="auto"/>
              <w:left w:val="single" w:sz="6" w:space="0" w:color="auto"/>
              <w:bottom w:val="single" w:sz="6" w:space="0" w:color="auto"/>
              <w:right w:val="single" w:sz="6" w:space="0" w:color="auto"/>
            </w:tcBorders>
          </w:tcPr>
          <w:p w14:paraId="4087035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(2-местный) №4434 завода № 1 (ноябрь 1942 г.)</w:t>
            </w:r>
          </w:p>
          <w:p w14:paraId="1697EEF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64" w:type="dxa"/>
            <w:gridSpan w:val="2"/>
            <w:tcBorders>
              <w:top w:val="single" w:sz="6" w:space="0" w:color="auto"/>
              <w:left w:val="single" w:sz="6" w:space="0" w:color="auto"/>
              <w:bottom w:val="single" w:sz="6" w:space="0" w:color="auto"/>
              <w:right w:val="single" w:sz="6" w:space="0" w:color="auto"/>
            </w:tcBorders>
          </w:tcPr>
          <w:p w14:paraId="5DB67CE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3CE26C3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555EE3C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454588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16" w:type="dxa"/>
            <w:gridSpan w:val="2"/>
            <w:tcBorders>
              <w:top w:val="single" w:sz="6" w:space="0" w:color="auto"/>
              <w:left w:val="single" w:sz="6" w:space="0" w:color="auto"/>
              <w:bottom w:val="single" w:sz="6" w:space="0" w:color="auto"/>
              <w:right w:val="single" w:sz="6" w:space="0" w:color="auto"/>
            </w:tcBorders>
          </w:tcPr>
          <w:p w14:paraId="22D4FEB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 для ЦП</w:t>
            </w:r>
            <w:r w:rsidRPr="00F90EAE">
              <w:rPr>
                <w:color w:val="000000" w:themeColor="text1"/>
                <w:sz w:val="16"/>
                <w:szCs w:val="16"/>
                <w:vertAlign w:val="superscript"/>
              </w:rPr>
              <w:t>1</w:t>
            </w:r>
            <w:r w:rsidRPr="00F90EAE">
              <w:rPr>
                <w:color w:val="000000" w:themeColor="text1"/>
                <w:sz w:val="16"/>
                <w:szCs w:val="16"/>
              </w:rPr>
              <w:t>-</w:t>
            </w:r>
          </w:p>
          <w:p w14:paraId="603CC43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8FEECEB"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3D55D5B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(2-местный) №8330 завода №18 (ноябрь 1942 г.) нормальный вариант</w:t>
            </w:r>
          </w:p>
          <w:p w14:paraId="20F3C07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22B74E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82 мм /4</w:t>
            </w:r>
          </w:p>
          <w:p w14:paraId="18310D2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CD14F7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74E2E6C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BBD92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2487637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D1CA375" w14:textId="77777777" w:rsidTr="00F0626F">
        <w:trPr>
          <w:trHeight w:val="691"/>
        </w:trPr>
        <w:tc>
          <w:tcPr>
            <w:tcW w:w="2342" w:type="dxa"/>
            <w:gridSpan w:val="2"/>
            <w:tcBorders>
              <w:top w:val="single" w:sz="6" w:space="0" w:color="auto"/>
              <w:left w:val="single" w:sz="6" w:space="0" w:color="auto"/>
              <w:bottom w:val="single" w:sz="6" w:space="0" w:color="auto"/>
              <w:right w:val="single" w:sz="6" w:space="0" w:color="auto"/>
            </w:tcBorders>
          </w:tcPr>
          <w:p w14:paraId="66D3F1C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с АМ-38 (2-местный) №8330 завода №18 (ноябрь 1942 г.) перегрузочный вариант</w:t>
            </w:r>
          </w:p>
          <w:p w14:paraId="6BEF234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02844C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33E3BAA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427C2DC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30F5CD7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0D9213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04DBBE3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B258D34"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4EB7C62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Су-6сМ-71 завода №289 (февраль-апрель 1942 г.)</w:t>
            </w:r>
          </w:p>
          <w:p w14:paraId="7B39896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58257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/10</w:t>
            </w:r>
          </w:p>
          <w:p w14:paraId="75A1BD7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8EE4E6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4942AD0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DF560D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9916D9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D62E93B"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AA6AD7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Су-6сМ-71 завода №289 (февраль-апрель 1942 г.)</w:t>
            </w:r>
          </w:p>
          <w:p w14:paraId="2759F3E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0EE52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w:t>
            </w:r>
          </w:p>
          <w:p w14:paraId="11D0E5A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07C7B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3863F6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03A3C0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251E104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347F719"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69A3ED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 с М-105 №16,32 завода №22 (август-сентябрь 1941 г.)</w:t>
            </w:r>
          </w:p>
          <w:p w14:paraId="0668D59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ED6800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w:t>
            </w:r>
          </w:p>
          <w:p w14:paraId="05FB8B8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23956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РОБ-132-5</w:t>
            </w:r>
          </w:p>
          <w:p w14:paraId="56284DF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343CEA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3B5ABE6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E63EE4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ADF46F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«ЮЗУ» с АМ-37 завода №156 (июль 1941 г.)</w:t>
            </w:r>
          </w:p>
          <w:p w14:paraId="02B20CC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A11E1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w:t>
            </w:r>
          </w:p>
          <w:p w14:paraId="570C0C2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43A528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C7CDBF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6D0F3AD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7C50449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F2F35BE"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4AB823A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Ту-2 («103В»)с М-82А завода №166 (апрель 1942 г.)</w:t>
            </w:r>
          </w:p>
          <w:p w14:paraId="153BC68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3C309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w:t>
            </w:r>
          </w:p>
          <w:p w14:paraId="6D20DAE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9FBA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02B6F5C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FFA62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4D966F0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1F417AA"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712D82B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Ту-2 с М-82 завода №166 (август 1942 г.)</w:t>
            </w:r>
          </w:p>
          <w:p w14:paraId="79FC149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6AE158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 82 мм / 4</w:t>
            </w:r>
          </w:p>
          <w:p w14:paraId="6F7BE86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7F90936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 РО-82</w:t>
            </w:r>
          </w:p>
          <w:p w14:paraId="6873051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984D1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 Кассета для ЗПС</w:t>
            </w:r>
          </w:p>
          <w:p w14:paraId="30D2CC4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532A75C6"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C3C940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Ту-2 с М-82 завода № 166 (июль 1942 г.)</w:t>
            </w:r>
          </w:p>
          <w:p w14:paraId="2B06832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3E2C0D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132мм/ 10</w:t>
            </w:r>
          </w:p>
          <w:p w14:paraId="1D0BF49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EB3C09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00F12CD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F52EE6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B91CB2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AE45833" w14:textId="77777777" w:rsidTr="00F0626F">
        <w:trPr>
          <w:trHeight w:val="365"/>
        </w:trPr>
        <w:tc>
          <w:tcPr>
            <w:tcW w:w="2342" w:type="dxa"/>
            <w:gridSpan w:val="2"/>
            <w:tcBorders>
              <w:top w:val="single" w:sz="6" w:space="0" w:color="auto"/>
              <w:left w:val="single" w:sz="6" w:space="0" w:color="auto"/>
              <w:bottom w:val="single" w:sz="6" w:space="0" w:color="auto"/>
              <w:right w:val="single" w:sz="6" w:space="0" w:color="auto"/>
            </w:tcBorders>
          </w:tcPr>
          <w:p w14:paraId="1EF4FD2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Су-2 с М-82 №15116 завода №135 (апрель 1942 г.)</w:t>
            </w:r>
          </w:p>
          <w:p w14:paraId="37A195C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CFC5C8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08772B7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ECC694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62F0715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D39ADB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8CA106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10AC93F"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15185E0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Су-2 с М-82 №151 16 завода №135 (май 1942 г.)</w:t>
            </w:r>
          </w:p>
          <w:p w14:paraId="62DB8FD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1C2A743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мм/8</w:t>
            </w:r>
          </w:p>
          <w:p w14:paraId="23B9298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17B588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РО-132</w:t>
            </w:r>
          </w:p>
          <w:p w14:paraId="43FFA16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0E1053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13925D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086656D" w14:textId="77777777" w:rsidTr="00F0626F">
        <w:trPr>
          <w:trHeight w:val="211"/>
        </w:trPr>
        <w:tc>
          <w:tcPr>
            <w:tcW w:w="2342" w:type="dxa"/>
            <w:gridSpan w:val="2"/>
            <w:tcBorders>
              <w:top w:val="single" w:sz="6" w:space="0" w:color="auto"/>
              <w:left w:val="single" w:sz="6" w:space="0" w:color="auto"/>
              <w:bottom w:val="single" w:sz="6" w:space="0" w:color="auto"/>
              <w:right w:val="single" w:sz="6" w:space="0" w:color="auto"/>
            </w:tcBorders>
          </w:tcPr>
          <w:p w14:paraId="45D75A1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По-2 (март 1942 г.)</w:t>
            </w:r>
          </w:p>
          <w:p w14:paraId="71A7127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317C6CB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/4</w:t>
            </w:r>
          </w:p>
          <w:p w14:paraId="0D62C0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070A4A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1C6A44A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33D8C9A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1EBC153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FF388FE" w14:textId="77777777" w:rsidTr="00F0626F">
        <w:trPr>
          <w:trHeight w:val="202"/>
        </w:trPr>
        <w:tc>
          <w:tcPr>
            <w:tcW w:w="2342" w:type="dxa"/>
            <w:gridSpan w:val="2"/>
            <w:tcBorders>
              <w:top w:val="single" w:sz="6" w:space="0" w:color="auto"/>
              <w:left w:val="single" w:sz="6" w:space="0" w:color="auto"/>
              <w:bottom w:val="single" w:sz="6" w:space="0" w:color="auto"/>
              <w:right w:val="single" w:sz="6" w:space="0" w:color="auto"/>
            </w:tcBorders>
          </w:tcPr>
          <w:p w14:paraId="2EEDD1E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По-2 (март 1942 г.)</w:t>
            </w:r>
          </w:p>
          <w:p w14:paraId="749A537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5F80360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/8</w:t>
            </w:r>
          </w:p>
          <w:p w14:paraId="54A5568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65F5446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0D4EB2B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F2BA56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6875F2E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1BAF33C8" w14:textId="77777777" w:rsidTr="00F0626F">
        <w:trPr>
          <w:trHeight w:val="192"/>
        </w:trPr>
        <w:tc>
          <w:tcPr>
            <w:tcW w:w="2342" w:type="dxa"/>
            <w:gridSpan w:val="2"/>
            <w:tcBorders>
              <w:top w:val="single" w:sz="6" w:space="0" w:color="auto"/>
              <w:left w:val="single" w:sz="6" w:space="0" w:color="auto"/>
              <w:bottom w:val="single" w:sz="6" w:space="0" w:color="auto"/>
              <w:right w:val="single" w:sz="6" w:space="0" w:color="auto"/>
            </w:tcBorders>
          </w:tcPr>
          <w:p w14:paraId="0CDB374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По-2 (март 1942 г.)</w:t>
            </w:r>
          </w:p>
          <w:p w14:paraId="50E4E28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77D259C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 мм /8</w:t>
            </w:r>
          </w:p>
          <w:p w14:paraId="5BCB559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229ED56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426E751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228EB99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w:t>
            </w:r>
          </w:p>
          <w:p w14:paraId="5871AAB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887588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2B62387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w:t>
            </w:r>
          </w:p>
          <w:p w14:paraId="721C87D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B942AC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2</w:t>
            </w:r>
          </w:p>
          <w:p w14:paraId="0E3B09A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09EE76A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1C4AD1D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7D60F18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обеим сторонам кабины пилота, для ППС</w:t>
            </w:r>
          </w:p>
          <w:p w14:paraId="0B1ED2B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2D485EE2"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3B5C11E7"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w:t>
            </w:r>
          </w:p>
          <w:p w14:paraId="5627A31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49A93AF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/2</w:t>
            </w:r>
          </w:p>
          <w:p w14:paraId="7C49099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9021EE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01695D1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4225F46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обеим сторонам киля, для ЗПС</w:t>
            </w:r>
          </w:p>
          <w:p w14:paraId="451E0F9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3B89B275" w14:textId="77777777" w:rsidTr="00F0626F">
        <w:trPr>
          <w:trHeight w:val="528"/>
        </w:trPr>
        <w:tc>
          <w:tcPr>
            <w:tcW w:w="2342" w:type="dxa"/>
            <w:gridSpan w:val="2"/>
            <w:tcBorders>
              <w:top w:val="single" w:sz="6" w:space="0" w:color="auto"/>
              <w:left w:val="single" w:sz="6" w:space="0" w:color="auto"/>
              <w:bottom w:val="single" w:sz="6" w:space="0" w:color="auto"/>
              <w:right w:val="single" w:sz="6" w:space="0" w:color="auto"/>
            </w:tcBorders>
          </w:tcPr>
          <w:p w14:paraId="4C6CCDD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w:t>
            </w:r>
          </w:p>
          <w:p w14:paraId="0521340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5D5CD9A"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/4</w:t>
            </w:r>
          </w:p>
          <w:p w14:paraId="563D7DB6"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00C971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РУБ-82-4</w:t>
            </w:r>
          </w:p>
          <w:p w14:paraId="4E0E383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290239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Сверху на блистере кормового стрелка, для ЗПС</w:t>
            </w:r>
          </w:p>
          <w:p w14:paraId="3EB186B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08DE3AD5" w14:textId="77777777" w:rsidTr="00F0626F">
        <w:trPr>
          <w:trHeight w:val="518"/>
        </w:trPr>
        <w:tc>
          <w:tcPr>
            <w:tcW w:w="2342" w:type="dxa"/>
            <w:gridSpan w:val="2"/>
            <w:tcBorders>
              <w:top w:val="single" w:sz="6" w:space="0" w:color="auto"/>
              <w:left w:val="single" w:sz="6" w:space="0" w:color="auto"/>
              <w:bottom w:val="single" w:sz="6" w:space="0" w:color="auto"/>
              <w:right w:val="single" w:sz="6" w:space="0" w:color="auto"/>
            </w:tcBorders>
          </w:tcPr>
          <w:p w14:paraId="2C901124"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w:t>
            </w:r>
          </w:p>
          <w:p w14:paraId="2DEE555D"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B4DAEF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/2</w:t>
            </w:r>
          </w:p>
          <w:p w14:paraId="5E3E464B"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61BA22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РУБ-82-2</w:t>
            </w:r>
          </w:p>
          <w:p w14:paraId="3D28BC7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5ED3C6B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Снизу по бокам от пулемета кормового стрелка, для ЗПС</w:t>
            </w:r>
          </w:p>
          <w:p w14:paraId="7D7B93B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7F8A2507" w14:textId="77777777" w:rsidTr="00F0626F">
        <w:trPr>
          <w:trHeight w:val="374"/>
        </w:trPr>
        <w:tc>
          <w:tcPr>
            <w:tcW w:w="2342" w:type="dxa"/>
            <w:gridSpan w:val="2"/>
            <w:tcBorders>
              <w:top w:val="single" w:sz="6" w:space="0" w:color="auto"/>
              <w:left w:val="single" w:sz="6" w:space="0" w:color="auto"/>
              <w:bottom w:val="single" w:sz="6" w:space="0" w:color="auto"/>
              <w:right w:val="single" w:sz="6" w:space="0" w:color="auto"/>
            </w:tcBorders>
          </w:tcPr>
          <w:p w14:paraId="5083BA2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w:t>
            </w:r>
          </w:p>
          <w:p w14:paraId="68890331"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4C624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2</w:t>
            </w:r>
          </w:p>
          <w:p w14:paraId="6C62A10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1EC8204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w:t>
            </w:r>
          </w:p>
          <w:p w14:paraId="7E89EC3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0C3830A9"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Сверху на фюзеляже, для ЗПС</w:t>
            </w:r>
          </w:p>
          <w:p w14:paraId="62AF70E0"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r w:rsidR="00561F31" w:rsidRPr="00F90EAE" w14:paraId="67F155E3" w14:textId="77777777" w:rsidTr="00F0626F">
        <w:trPr>
          <w:trHeight w:val="422"/>
        </w:trPr>
        <w:tc>
          <w:tcPr>
            <w:tcW w:w="2342" w:type="dxa"/>
            <w:gridSpan w:val="2"/>
            <w:tcBorders>
              <w:top w:val="single" w:sz="6" w:space="0" w:color="auto"/>
              <w:left w:val="single" w:sz="6" w:space="0" w:color="auto"/>
              <w:bottom w:val="single" w:sz="6" w:space="0" w:color="auto"/>
              <w:right w:val="single" w:sz="6" w:space="0" w:color="auto"/>
            </w:tcBorders>
          </w:tcPr>
          <w:p w14:paraId="71BB6DB5"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СБ</w:t>
            </w:r>
          </w:p>
          <w:p w14:paraId="3E6CB5C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B87A62E"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 2 82 мм / 2</w:t>
            </w:r>
          </w:p>
          <w:p w14:paraId="4DFF26B3"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950" w:type="dxa"/>
            <w:gridSpan w:val="2"/>
            <w:tcBorders>
              <w:top w:val="single" w:sz="6" w:space="0" w:color="auto"/>
              <w:left w:val="single" w:sz="6" w:space="0" w:color="auto"/>
              <w:bottom w:val="single" w:sz="6" w:space="0" w:color="auto"/>
              <w:right w:val="single" w:sz="6" w:space="0" w:color="auto"/>
            </w:tcBorders>
          </w:tcPr>
          <w:p w14:paraId="507C81C2"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РО-82 РО-82</w:t>
            </w:r>
          </w:p>
          <w:p w14:paraId="538ADC6C"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c>
          <w:tcPr>
            <w:tcW w:w="1808" w:type="dxa"/>
            <w:tcBorders>
              <w:top w:val="single" w:sz="6" w:space="0" w:color="auto"/>
              <w:left w:val="single" w:sz="6" w:space="0" w:color="auto"/>
              <w:bottom w:val="single" w:sz="6" w:space="0" w:color="auto"/>
              <w:right w:val="single" w:sz="6" w:space="0" w:color="auto"/>
            </w:tcBorders>
          </w:tcPr>
          <w:p w14:paraId="1136F91F" w14:textId="77777777" w:rsidR="002A3A19" w:rsidRPr="00F90EAE" w:rsidRDefault="002A3A19"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 крылом, для ППС Под крылом, для ППС</w:t>
            </w:r>
          </w:p>
          <w:p w14:paraId="04FFE498" w14:textId="77777777" w:rsidR="002A3A19" w:rsidRPr="00F90EAE" w:rsidRDefault="002A3A19" w:rsidP="00F90EAE">
            <w:pPr>
              <w:shd w:val="clear" w:color="auto" w:fill="FFFFFF"/>
              <w:autoSpaceDE w:val="0"/>
              <w:autoSpaceDN w:val="0"/>
              <w:adjustRightInd w:val="0"/>
              <w:jc w:val="both"/>
              <w:rPr>
                <w:color w:val="000000" w:themeColor="text1"/>
                <w:sz w:val="16"/>
                <w:szCs w:val="16"/>
              </w:rPr>
            </w:pPr>
          </w:p>
        </w:tc>
      </w:tr>
    </w:tbl>
    <w:p w14:paraId="3078C7EC"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(11402).</w:t>
      </w:r>
    </w:p>
    <w:p w14:paraId="249A7623" w14:textId="77777777" w:rsidR="002A3A19" w:rsidRPr="00F90EAE" w:rsidRDefault="002A3A19" w:rsidP="00F90EAE">
      <w:pPr>
        <w:autoSpaceDE w:val="0"/>
        <w:autoSpaceDN w:val="0"/>
        <w:adjustRightInd w:val="0"/>
        <w:jc w:val="both"/>
        <w:rPr>
          <w:color w:val="000000" w:themeColor="text1"/>
          <w:sz w:val="16"/>
          <w:szCs w:val="16"/>
        </w:rPr>
      </w:pPr>
    </w:p>
    <w:p w14:paraId="54B2E88B" w14:textId="77777777" w:rsidR="002A3A19" w:rsidRPr="00F90EAE" w:rsidRDefault="002A3A19"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E8FEF70" w14:textId="77777777" w:rsidR="002A3A19" w:rsidRPr="00F90EAE" w:rsidRDefault="002A3A19" w:rsidP="00F90EAE">
      <w:pPr>
        <w:autoSpaceDE w:val="0"/>
        <w:autoSpaceDN w:val="0"/>
        <w:adjustRightInd w:val="0"/>
        <w:jc w:val="both"/>
        <w:rPr>
          <w:iCs/>
          <w:color w:val="000000" w:themeColor="text1"/>
          <w:sz w:val="16"/>
          <w:szCs w:val="16"/>
        </w:rPr>
      </w:pPr>
    </w:p>
    <w:p w14:paraId="22E19ED0"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До конца ВОВ на Ил-10 перевооружили 12 шап, в т.ч. 26 и 37 шап ТОФ, которые воевали против Японии (1605,3).</w:t>
      </w:r>
    </w:p>
    <w:p w14:paraId="4496669B"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7 гшап получил Ил-10, но так и не сделал ни одного вылета (1605,3).</w:t>
      </w:r>
    </w:p>
    <w:p w14:paraId="58EB285E" w14:textId="77777777" w:rsidR="002A3A19" w:rsidRPr="00F90EAE" w:rsidRDefault="002A3A19" w:rsidP="00F90EAE">
      <w:pPr>
        <w:autoSpaceDE w:val="0"/>
        <w:autoSpaceDN w:val="0"/>
        <w:adjustRightInd w:val="0"/>
        <w:jc w:val="both"/>
        <w:rPr>
          <w:color w:val="000000" w:themeColor="text1"/>
          <w:sz w:val="16"/>
          <w:szCs w:val="16"/>
        </w:rPr>
      </w:pPr>
    </w:p>
    <w:p w14:paraId="507872BE"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На конец войны в Польской армии было 158 Ил-2 и 15 Ил-2УТ, а по состоянию на 1 октября - 202, включая 24 Ил-2УТ. В начале 1946 часть их была заменена на машины послевоенного выпуска ч металлическим фюзеляжем (241,37).</w:t>
      </w:r>
    </w:p>
    <w:p w14:paraId="37D6BFA3"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Считается, что польские Ил-2 за время их участия в войне уничтожили 25 танков, 1300 автомашин и 290 единиц подвижного состава, 29 паровозов, 400 позиций артиллерии (241,37).</w:t>
      </w:r>
    </w:p>
    <w:p w14:paraId="4482972C" w14:textId="77777777" w:rsidR="002A3A19" w:rsidRPr="00F90EAE" w:rsidRDefault="002A3A19" w:rsidP="00F90EAE">
      <w:pPr>
        <w:autoSpaceDE w:val="0"/>
        <w:autoSpaceDN w:val="0"/>
        <w:adjustRightInd w:val="0"/>
        <w:jc w:val="both"/>
        <w:rPr>
          <w:color w:val="000000" w:themeColor="text1"/>
          <w:sz w:val="16"/>
          <w:szCs w:val="16"/>
        </w:rPr>
      </w:pPr>
    </w:p>
    <w:p w14:paraId="60EE4D59"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конце войны большую часть "Киттихауков" сосредоточили в ПВО (за войну полки ПВО па "Киттихауках" сбили 255 самолетов противника) и в морской авиации. В ПВО насчитывалось 844 машины, но Р-40 постепенно вытеснялись Р-39, Р-63 и отечественными истребителями. В морской авиации также их стало меньше. Полностью переход 7-го и 62-го полков ЧМФ на современную технику завершился лишь в ноябре 1944 года, уже после того, как Болгария и Румыния перешли на сторону союзной коалиции. С потерей баз в этих странах немецкий флот уже не мог представлять угрозы на Черном море. После этого "Киттихауки" прослужили в ВВС Черноморского флота еще около двух лет. Па Северном флоте к началу 1945 года на "Киттихауках" летал в основном 78-й полк (32 машины). В боевых действиях против Японии Р-40 участия не принимали. В ВВС Тихоокеанского флота имелись всего две машины, прибывшие в июне 1945 года с 27-м полком с Северного флота. Они использовались как учебные. Выпуск самолетов семейства Р-40 в США прекратили в 1944 году. В том же году закончилась поставка их в Советский Союз. По советским данным в общей сложности было принято для ВВС и ПВО 247 "Томагауков" и 1887 "Киттихауков". К этому надо добавить морскую авиацию. Она получила 311 самолетов семейства Кертисс Р-40, из них около 90% "Киттихауков" разных модификаций. По другим данным, вместе с техникой, переданной из частей ВВС РККА, па флот поступил 321 самолет. Из них 211 воевали на севере, 109-на Черном море. По американским сводкам получается, что всего советской стороной принято 2097 Р-40. Остальное - реэкспорт "Томагауков" из Великобритании плюс неисправные машины, присланные англичанами на запасные части. Точная разбивка по </w:t>
      </w:r>
      <w:r w:rsidRPr="00F90EAE">
        <w:rPr>
          <w:color w:val="000000" w:themeColor="text1"/>
          <w:sz w:val="16"/>
          <w:szCs w:val="16"/>
        </w:rPr>
        <w:lastRenderedPageBreak/>
        <w:t>модификациям неизвестна, можно сказать только, что среди отгруженных из США было 313 Р-40К, 220 Р 40М и 980 Р 40N. "Киттихауки" и немногие сохранившиеся после войны "Томагауки" стали снимать с вооружения уже с 1946 года. Последние машины, использовавшиеся как учебные, дожили до конца 40-х годов (3457,68).</w:t>
      </w:r>
    </w:p>
    <w:p w14:paraId="311A2B6C"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10 самолетов имел 118-й разведывательный, семь-3-й учебный полк. Кроме того, истребители этого тина входили в два смешанных полка ВВС Беломорской военной флотилии-53-й (20 штук) и 54-й (восемь), располагавшиеся па аэродроме Холмовка. Эти машины служили до конца войны и даже в первые послевоенные годы. Так, к 574-м полку Р-40 состояли на вооружении до мая 1946 года, йотом их сменили "Аэрокобры" (3457,68).</w:t>
      </w:r>
    </w:p>
    <w:p w14:paraId="54008AC7" w14:textId="77777777" w:rsidR="002A3A19" w:rsidRPr="00F90EAE" w:rsidRDefault="002A3A19" w:rsidP="00F90EAE">
      <w:pPr>
        <w:autoSpaceDE w:val="0"/>
        <w:autoSpaceDN w:val="0"/>
        <w:adjustRightInd w:val="0"/>
        <w:jc w:val="both"/>
        <w:rPr>
          <w:color w:val="000000" w:themeColor="text1"/>
          <w:sz w:val="16"/>
          <w:szCs w:val="16"/>
        </w:rPr>
      </w:pPr>
    </w:p>
    <w:p w14:paraId="33D8C524"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 концу войны на одну потерянную "Азрокобру" приходилось 122 боевых вылета и четыре уничтоженных самолета противника. Многие летчики имели па своем счету более 20 сбитых вражеских машин. Рекордсменом считается Г.А.Речкалов, за которым числятся ровно 50 сбитых на "Кобре" самолетов (3457,77).</w:t>
      </w:r>
    </w:p>
    <w:p w14:paraId="1E0FCF8B" w14:textId="77777777" w:rsidR="002A3A19" w:rsidRPr="00F90EAE" w:rsidRDefault="002A3A19" w:rsidP="00F90EAE">
      <w:pPr>
        <w:autoSpaceDE w:val="0"/>
        <w:autoSpaceDN w:val="0"/>
        <w:adjustRightInd w:val="0"/>
        <w:jc w:val="both"/>
        <w:rPr>
          <w:color w:val="000000" w:themeColor="text1"/>
          <w:sz w:val="16"/>
          <w:szCs w:val="16"/>
        </w:rPr>
      </w:pPr>
    </w:p>
    <w:p w14:paraId="5F99DCB0"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Когда воина в Европе подошла к концу, в строю ВВС находились 497 "Митчеллов" (3457,97).</w:t>
      </w:r>
    </w:p>
    <w:p w14:paraId="2CB439EF" w14:textId="77777777" w:rsidR="002A3A19" w:rsidRPr="00F90EAE" w:rsidRDefault="002A3A19" w:rsidP="00F90EAE">
      <w:pPr>
        <w:autoSpaceDE w:val="0"/>
        <w:autoSpaceDN w:val="0"/>
        <w:adjustRightInd w:val="0"/>
        <w:jc w:val="both"/>
        <w:rPr>
          <w:color w:val="000000" w:themeColor="text1"/>
          <w:sz w:val="16"/>
          <w:szCs w:val="16"/>
        </w:rPr>
      </w:pPr>
    </w:p>
    <w:p w14:paraId="191F522E"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 Советском Союзе "Бостоны" успешно прослужили до самого конца войны. Они участвовали во всех крупных операциях завершающего периода Белорусской, Ясско- Кишиневской, Восточно-Прусской п многих других, воевали в небе Польши, Румынии, Чехословакии, Германии. Бомбы с A-20G помогли остановить немецкое контрнаступление в Венгрии: в том, что более половины всех танков было уничтожено авиацией, есть и их существенный вклад. Во время Венской операции одна только 244-я авиадивизия уничтожила 24 танка и бронетранспортера, 13 складов, 8 мостов и переправ, 886 автомашин п большое количество живой силы (3457,111).</w:t>
      </w:r>
    </w:p>
    <w:p w14:paraId="61A065B5" w14:textId="77777777" w:rsidR="002A3A19" w:rsidRPr="00F90EAE" w:rsidRDefault="002A3A19" w:rsidP="00F90EAE">
      <w:pPr>
        <w:autoSpaceDE w:val="0"/>
        <w:autoSpaceDN w:val="0"/>
        <w:adjustRightInd w:val="0"/>
        <w:jc w:val="both"/>
        <w:rPr>
          <w:color w:val="000000" w:themeColor="text1"/>
          <w:sz w:val="16"/>
          <w:szCs w:val="16"/>
        </w:rPr>
      </w:pPr>
    </w:p>
    <w:p w14:paraId="616AB708"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 концу войны в резерве и в частях ПВО, ВВС ВМФ и ВВС КА осталось 6262 ленд-лизовских самолета (4127). В последний период войны, когда советская авиация была оснащена в достаточном количестве отечественными истребителями с более высокими летно-тактическими данными, поставляемые по ленд-лизу истребители, по существу, уже были не нужны (наибольшая их часть поступила в 1944 г.). Поэтому, большое их количество различных типов было передано в ПВО страны, где они и как перехватчики не использовались (ЦАМО, ф.35, оп.11321, д.95, л.л.45, 46). Запасных авиамоторов к нам по ленд-лизу поступило за весь период поставок 7104 единицы, что составляет 14,4% от выпущенных моторов для боевых самолетов только в одном 1944 г. (4128) (3573).</w:t>
      </w:r>
    </w:p>
    <w:p w14:paraId="55FC856C" w14:textId="77777777" w:rsidR="002A3A19" w:rsidRPr="00F90EAE" w:rsidRDefault="002A3A19" w:rsidP="00F90EAE">
      <w:pPr>
        <w:autoSpaceDE w:val="0"/>
        <w:autoSpaceDN w:val="0"/>
        <w:adjustRightInd w:val="0"/>
        <w:jc w:val="both"/>
        <w:rPr>
          <w:color w:val="000000" w:themeColor="text1"/>
          <w:sz w:val="16"/>
          <w:szCs w:val="16"/>
        </w:rPr>
      </w:pPr>
    </w:p>
    <w:p w14:paraId="53976011"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 ходе Великой Отечественной войны наземными средствами ПВО сухопутных войск фронтов было сбито 21645 самолетов. Из них зенитной артиллерией калибра 76-85 мм - 4047 самолетов, зенитными автоматами калибра 25-37 мм - 14657 самолетов, зенитными пулеметами - 2401 самолет, ружейно-пулеметным огнем - 540 самолетов; при среднем расходе снарядов: 76-85-мм - 598 шт., 25-37-мм - 905 шт., патронов 7,62-12,7-мм - 7036 шт. на один сбитый самолет. Значительную роль играли зенитные автоматы и в войсках ПВО страны (3861).</w:t>
      </w:r>
    </w:p>
    <w:p w14:paraId="714D523A" w14:textId="77777777" w:rsidR="002A3A19" w:rsidRPr="00F90EAE" w:rsidRDefault="002A3A19" w:rsidP="00F90EAE">
      <w:pPr>
        <w:autoSpaceDE w:val="0"/>
        <w:autoSpaceDN w:val="0"/>
        <w:adjustRightInd w:val="0"/>
        <w:jc w:val="both"/>
        <w:rPr>
          <w:color w:val="000000" w:themeColor="text1"/>
          <w:sz w:val="16"/>
          <w:szCs w:val="16"/>
        </w:rPr>
      </w:pPr>
    </w:p>
    <w:p w14:paraId="3E58640C"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 концу войны в ПВО было орудий калибра 76-85 мм - 9800 шт.; автоматов калибра 25-37 мм - 8900 и зенитных пулеметов - 8100 шт. (3861).</w:t>
      </w:r>
    </w:p>
    <w:p w14:paraId="6002E644" w14:textId="77777777" w:rsidR="002A3A19" w:rsidRPr="00F90EAE" w:rsidRDefault="002A3A19" w:rsidP="00F90EAE">
      <w:pPr>
        <w:autoSpaceDE w:val="0"/>
        <w:autoSpaceDN w:val="0"/>
        <w:adjustRightInd w:val="0"/>
        <w:jc w:val="both"/>
        <w:rPr>
          <w:color w:val="000000" w:themeColor="text1"/>
          <w:sz w:val="16"/>
          <w:szCs w:val="16"/>
        </w:rPr>
      </w:pPr>
    </w:p>
    <w:p w14:paraId="6A48AA99"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(3862).</w:t>
      </w:r>
    </w:p>
    <w:p w14:paraId="00C59F01" w14:textId="77777777" w:rsidR="002A3A19" w:rsidRPr="00F90EAE" w:rsidRDefault="002A3A19" w:rsidP="00F90EAE">
      <w:pPr>
        <w:autoSpaceDE w:val="0"/>
        <w:autoSpaceDN w:val="0"/>
        <w:adjustRightInd w:val="0"/>
        <w:jc w:val="both"/>
        <w:rPr>
          <w:color w:val="000000" w:themeColor="text1"/>
          <w:sz w:val="16"/>
          <w:szCs w:val="16"/>
        </w:rPr>
      </w:pPr>
    </w:p>
    <w:p w14:paraId="3871A0A9"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 концу войны в Красной Армии насчитывалось 119 легких самоходно-артиллерийских. полков и 7 самоходно-артиллерийских бригад. Польской армии передали 130 штук СУ-76М. На базе СУ-76М создана ЗСУ-37, вооруженная 37-мм автоматической зенитной пушкой. Производилась она на заводе №40 в Мытищах. В войне участия принять не успела. В 1945-1946 годах было изготовлено 75 штук (3862).</w:t>
      </w:r>
    </w:p>
    <w:p w14:paraId="7A2D4F2E" w14:textId="77777777" w:rsidR="002A3A19" w:rsidRPr="00F90EAE" w:rsidRDefault="002A3A19" w:rsidP="00F90EAE">
      <w:pPr>
        <w:autoSpaceDE w:val="0"/>
        <w:autoSpaceDN w:val="0"/>
        <w:adjustRightInd w:val="0"/>
        <w:jc w:val="both"/>
        <w:rPr>
          <w:color w:val="000000" w:themeColor="text1"/>
          <w:sz w:val="16"/>
          <w:szCs w:val="16"/>
        </w:rPr>
      </w:pPr>
    </w:p>
    <w:p w14:paraId="37439092"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С окончанием Второй Мировой войны служба СУ-76М не закончилась. В Советской Армии они эксплуатировались до начала 50-х годов, 130 машин, переданных в период войны Войску Польскому, так же были списаны к середине 50-х, несколько десятков доставшихся КНДР приняли довольно активное участие в Корейской войне, но в большинстве своем ее не пережили (3862).</w:t>
      </w:r>
    </w:p>
    <w:p w14:paraId="360E0A6E" w14:textId="77777777" w:rsidR="002A3A19" w:rsidRPr="00F90EAE" w:rsidRDefault="002A3A19" w:rsidP="00F90EAE">
      <w:pPr>
        <w:autoSpaceDE w:val="0"/>
        <w:autoSpaceDN w:val="0"/>
        <w:adjustRightInd w:val="0"/>
        <w:jc w:val="both"/>
        <w:rPr>
          <w:color w:val="000000" w:themeColor="text1"/>
          <w:sz w:val="16"/>
          <w:szCs w:val="16"/>
        </w:rPr>
      </w:pPr>
    </w:p>
    <w:p w14:paraId="121BB931"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Всего за годы войны дирижабли совершили 1.473 полета, перевезли 194.580 куб. м водорода и 319.190 кг различных грузов. Проводились в Крыму экспериментальные полеты по обнаружению подводной лодки и фотографированию минных полей, но развития не получили. Дирижабли работали практически безотказно и были весьма живучи. Один из них - В-12 - на Калининском фронте был обстрелян, получил около сотни пробоин, но долетел в отряд, а затем вернулся на базу под Москвой (11328).</w:t>
      </w:r>
    </w:p>
    <w:p w14:paraId="4C9C58C7" w14:textId="77777777" w:rsidR="002A3A19" w:rsidRPr="00F90EAE" w:rsidRDefault="002A3A19" w:rsidP="00F90EAE">
      <w:pPr>
        <w:autoSpaceDE w:val="0"/>
        <w:autoSpaceDN w:val="0"/>
        <w:adjustRightInd w:val="0"/>
        <w:jc w:val="both"/>
        <w:rPr>
          <w:color w:val="000000" w:themeColor="text1"/>
          <w:sz w:val="16"/>
          <w:szCs w:val="16"/>
        </w:rPr>
      </w:pPr>
    </w:p>
    <w:p w14:paraId="2506AB2D"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 годы войны в системе ПВО широко применялись аэростаты заграждения (A3). В отличие от АН они были меньшего объема, не имели гондолы и могли подниматься на большую высоту - до 4-4,5 км. Внешне A3 напоминали небольшие дирижабли. Поднимались они обычно ночью по одному или по два на одном тросе (тандем) в шахматном порядке. Опасаясь встречи с ними, экипажи самолетов противника вынуждены были либо отказаться от налета, либо подниматься на большую высоту, что резко снижало точность прицельного бомбометания. Дивизия ПВО прикрывала A3 площадь в 75 кв. Км (11328).</w:t>
      </w:r>
    </w:p>
    <w:p w14:paraId="0BE1B1DF" w14:textId="77777777" w:rsidR="002A3A19" w:rsidRPr="00F90EAE" w:rsidRDefault="002A3A19" w:rsidP="00F90EAE">
      <w:pPr>
        <w:autoSpaceDE w:val="0"/>
        <w:autoSpaceDN w:val="0"/>
        <w:adjustRightInd w:val="0"/>
        <w:jc w:val="both"/>
        <w:rPr>
          <w:bCs/>
          <w:color w:val="000000" w:themeColor="text1"/>
          <w:sz w:val="16"/>
          <w:szCs w:val="16"/>
        </w:rPr>
      </w:pPr>
    </w:p>
    <w:p w14:paraId="6C71674A"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Всего за время Великой Отечественной войны частями аэростатов наблюдения произведено 19.985 подъемов общей продолжительностью 20.126 часов. При этом разведано 4.617 артбатарей, 155 танковых колонн, 506 скоплений пехоты. В результате 2.696 корректировок уничтожено и подавлено 1.716 артбатарей, рассеяно и частично уничтожено 103 скопления пехоты и танков. Противником сожжено в воздухе 110 наших аэростатов наблюдения.</w:t>
      </w:r>
    </w:p>
    <w:p w14:paraId="55947353"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Первые же бои с немцами показали, что средства наземной, визуальной и оптической разведки не могут работать на всю глубину обороны противника. Эта задача была возложена на самолеты корректировочной авиации и аэростаты артиллерийского наблюдения. Стреляющие батареи врага с них можно было наблюдать на расстоянии до 20 км, а колонны и железнодорожные составы - до 25 км. Иногда расчетам аэростатов наблюдения (АН) ставились задачи перспективного фотографирования местности, проверки маскировки своих войск и другие. Во время войны в нашей армии было девять воздухоплавательных дивизионов по 3-4 отряда в каждом.</w:t>
      </w:r>
    </w:p>
    <w:p w14:paraId="3B19114B"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Аэростат артиллерийского наблюдения состоял из оболочки (двухслойная прорезиненная материя с алюминированным покрытием), наполняемой водородом, такелажа и сплетенной из ивовых прутьев гондолы для двух наблюдателей. Поднимался и опускался аэростат на тросе с помощью лебедки, установленной на автомобиле. Боевая работа велась в основном ночью. Для маскировки и обмана противника устраивались ложные биваки.</w:t>
      </w:r>
    </w:p>
    <w:p w14:paraId="4BB9316D"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Поручали воздухоплавателям и не совсем обычные задачи. В целях маскировки на Адмиралтейский шпиль в августе 1941-го решено было надеть огромный брезентовый чехол. Несмотря на сильный ветер, поднявшийся в воздух на шаре-прыгуне, капитан Судаков разобрал чехол и набросил его на шпиль, после чего для альпинистов закрепил на вершине блок и перекинул через него канат. В июне 1942 года в пригороде Ленинграда Судаков продемонстрировал полет и. посадку на шаре-прыгуне. Таким способом предполагалось перебрасывать через линию фронта партизан и оперативных работников. К сожалению, идея не нашла поддержки. Не раз аэростатчики сталкивались с уловками пяротивнка. Очень долго, например, пришлось поискать кочующую дальнобойную батарею немцев - те вырубили в лесу просеку и проложили по ней узкоколейку. Дрезины выталкивали из укрытий орудия, а после нескольких выстрелов снова укрывали в лесу. Экипаж майора С. Джилкишева пошел на хитрость: в воздух подняли аэростат с манекеном. Немцы открыли стрельбу по нему. В это время в другом месте был поднят аэростат с наблюдателем...</w:t>
      </w:r>
    </w:p>
    <w:p w14:paraId="1AAA11DE"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Борясь с аэростатами, противник применял бризантные гранаты. Взрываясь, они нередко перебивали трос, и аэростат вместе с наблюдателем уходил в свободный полет.</w:t>
      </w:r>
    </w:p>
    <w:p w14:paraId="097C4160"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В наступлении боевые порядки аэростатчиков находились в 3-4 км от переднего края противника. Огромные эллипсоиды круглые сутки висели в воздухе, и уже одно это сковывало, по признанию пленных, действия артиллерии немцев. Они выделяли самолеты специально для борьбы с аэростатами. Не однажды воздухоплаватели горели в воздухе, когда содержимое оболочки - водород - вспыхивало факелом, выбрасывались с парашютом. Но аэростатчикам угрожала опасность не только с воздуха - подвергались позиции и налетам диверсионных групп, артобстрелам.</w:t>
      </w:r>
    </w:p>
    <w:p w14:paraId="7EE4BD8A" w14:textId="77777777" w:rsidR="002A3A19" w:rsidRPr="00F90EAE" w:rsidRDefault="002A3A19" w:rsidP="00F90EAE">
      <w:pPr>
        <w:autoSpaceDE w:val="0"/>
        <w:autoSpaceDN w:val="0"/>
        <w:adjustRightInd w:val="0"/>
        <w:jc w:val="both"/>
        <w:rPr>
          <w:color w:val="000000" w:themeColor="text1"/>
          <w:sz w:val="16"/>
          <w:szCs w:val="16"/>
        </w:rPr>
      </w:pPr>
      <w:r w:rsidRPr="00F90EAE">
        <w:rPr>
          <w:color w:val="000000" w:themeColor="text1"/>
          <w:sz w:val="16"/>
          <w:szCs w:val="16"/>
        </w:rPr>
        <w:t>Как правило, перед наступлением на направлении главного удара подъемы аэростатов в целях секретности не производились. Но однажды советское командование было вынуждено пренебречь мерами маскировки - в районе Сандомира появилось дальнобойное орудие «Берта». Оно находилось на железнодорожной платформе и после выстрела меняло позицию. Аэростатчики получили задачу вести наблюдение на участке железной дороги Цмелюв - Якубовице. Немцев подвел их педантизм: они производили по нескольку выстрелов утром и вечером, причем в одни и те же часы. Наблюдатели, поднявшись в воздух с опережением «графика», передали точные координаты 40-й пушечной бригаде (11328).</w:t>
      </w:r>
    </w:p>
    <w:p w14:paraId="284843C8" w14:textId="77777777" w:rsidR="002A3A19" w:rsidRPr="00F90EAE" w:rsidRDefault="002A3A19" w:rsidP="00F90EAE">
      <w:pPr>
        <w:autoSpaceDE w:val="0"/>
        <w:autoSpaceDN w:val="0"/>
        <w:adjustRightInd w:val="0"/>
        <w:jc w:val="both"/>
        <w:rPr>
          <w:color w:val="000000" w:themeColor="text1"/>
          <w:sz w:val="16"/>
          <w:szCs w:val="16"/>
        </w:rPr>
      </w:pPr>
    </w:p>
    <w:p w14:paraId="775D11D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88167AD" w14:textId="77777777" w:rsidR="00665165" w:rsidRPr="00F90EAE" w:rsidRDefault="00665165" w:rsidP="00F90EAE">
      <w:pPr>
        <w:autoSpaceDE w:val="0"/>
        <w:autoSpaceDN w:val="0"/>
        <w:adjustRightInd w:val="0"/>
        <w:jc w:val="both"/>
        <w:rPr>
          <w:iCs/>
          <w:color w:val="000000" w:themeColor="text1"/>
          <w:sz w:val="16"/>
          <w:szCs w:val="16"/>
        </w:rPr>
      </w:pPr>
    </w:p>
    <w:p w14:paraId="27732F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10 мая 1945 г. в составе воз</w:t>
      </w:r>
      <w:r w:rsidRPr="00F90EAE">
        <w:rPr>
          <w:color w:val="000000" w:themeColor="text1"/>
          <w:sz w:val="16"/>
          <w:szCs w:val="16"/>
        </w:rPr>
        <w:softHyphen/>
        <w:t>душных армий фронтов насчитывалось 3075 штурмовиков Ил-2 и УИл-2, 214 Ил-2КР. Кроме этого в ВВС ВМФ имелось еще 197 Ил-2. В общей сложности за годы войны было построено 34 943 Ил-2 и Ил-2КР и 1211 УИл-2. Боевой опыт показал, что Ил-2 и его модификации оказал</w:t>
      </w:r>
      <w:r w:rsidRPr="00F90EAE">
        <w:rPr>
          <w:color w:val="000000" w:themeColor="text1"/>
          <w:sz w:val="16"/>
          <w:szCs w:val="16"/>
        </w:rPr>
        <w:softHyphen/>
        <w:t xml:space="preserve">ся самым полезным самолетом для нашей пехоты и самым страшным самолетом для немецкой пехоты. Значение и роль Ил-2 в боях неуклонно возрастала. Соответственно, возрастал и </w:t>
      </w:r>
      <w:r w:rsidRPr="00F90EAE">
        <w:rPr>
          <w:color w:val="000000" w:themeColor="text1"/>
          <w:sz w:val="16"/>
          <w:szCs w:val="16"/>
        </w:rPr>
        <w:lastRenderedPageBreak/>
        <w:t>удельный его вес в составе ВВС КА. Если к началу войны Ил-2 имелось менее 0,2%, то к осени 1942 г. их удельный вес вырос до 31% и в дальнейшем удерживался на уровне 29—32% общего числа боевых самолетов фронтовой авиации. Удель</w:t>
      </w:r>
      <w:r w:rsidRPr="00F90EAE">
        <w:rPr>
          <w:color w:val="000000" w:themeColor="text1"/>
          <w:sz w:val="16"/>
          <w:szCs w:val="16"/>
        </w:rPr>
        <w:softHyphen/>
        <w:t>ный вес дневных бомбардировщиков никогда не превышал 14—15%. Таким образом, Ил-2 фактически был главной удар-Ной силой ВВС КА (11474,395).</w:t>
      </w:r>
    </w:p>
    <w:p w14:paraId="08EA02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47843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закончились заводские испытания Як-3 с ВК107А цельнометаллического 31 завода, которые проводились с 12 апреля 1945. Летали М.И.Иванов, ви по и А.М.Дружинин, м Н.П.Кобцов. Выполнили 13 полетов продолжительностью 4:36 (65,192).</w:t>
      </w:r>
    </w:p>
    <w:p w14:paraId="64C4AD8C" w14:textId="77777777" w:rsidR="00665165" w:rsidRPr="00F90EAE" w:rsidRDefault="00665165" w:rsidP="00F90EAE">
      <w:pPr>
        <w:autoSpaceDE w:val="0"/>
        <w:autoSpaceDN w:val="0"/>
        <w:adjustRightInd w:val="0"/>
        <w:jc w:val="both"/>
        <w:rPr>
          <w:color w:val="000000" w:themeColor="text1"/>
          <w:sz w:val="16"/>
          <w:szCs w:val="16"/>
        </w:rPr>
      </w:pPr>
    </w:p>
    <w:p w14:paraId="6842C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года закончились заводские испытания машины №7003 завода №31, которые шли с 12 апреля. На серийном Як-3 ВК-107А с мотор-пушкой Б-20М и одной синхронной Б-20С применили увеличенный маслорадиатор ОП- 622, стальные тяги управления заменили дюралюминиевыми, обшивка элеронов стала металлической. Успешно пройдя заводские испытания, самолет предъявили в НИИ ВВС.</w:t>
      </w:r>
    </w:p>
    <w:p w14:paraId="6455D7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Государственные испытания Як-3 ВК- Ю7А с металлическим крылом проходили с 21 мая по 9 июня 1945 года, и акт по их результатам утвердили 27 июня 1945 года.</w:t>
      </w:r>
    </w:p>
    <w:p w14:paraId="4C49DD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48C2F34E" w14:textId="77777777" w:rsidR="00665165" w:rsidRPr="00F90EAE" w:rsidRDefault="00665165" w:rsidP="00F90EAE">
      <w:pPr>
        <w:autoSpaceDE w:val="0"/>
        <w:autoSpaceDN w:val="0"/>
        <w:adjustRightInd w:val="0"/>
        <w:jc w:val="both"/>
        <w:rPr>
          <w:color w:val="000000" w:themeColor="text1"/>
          <w:sz w:val="16"/>
          <w:szCs w:val="16"/>
        </w:rPr>
      </w:pPr>
    </w:p>
    <w:p w14:paraId="79FCCA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 по 28 мая 1945 П.Я.Федрови проводил заводские испытания Як-9С ВК105ПФ2 и НС-23. Серии не было, так как на подходе был Як-9У (65,144).</w:t>
      </w:r>
    </w:p>
    <w:p w14:paraId="71F48866" w14:textId="77777777" w:rsidR="00665165" w:rsidRPr="00F90EAE" w:rsidRDefault="00665165" w:rsidP="00F90EAE">
      <w:pPr>
        <w:autoSpaceDE w:val="0"/>
        <w:autoSpaceDN w:val="0"/>
        <w:adjustRightInd w:val="0"/>
        <w:jc w:val="both"/>
        <w:rPr>
          <w:color w:val="000000" w:themeColor="text1"/>
          <w:sz w:val="16"/>
          <w:szCs w:val="16"/>
        </w:rPr>
      </w:pPr>
    </w:p>
    <w:p w14:paraId="4D219B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10 мая 1945 задел агрегатов на заводе N 39 составлял: по фюзеляжам - 57 единиц, крылу - 78 комплектов, оперению - 70 комплектов. Кроме того, на аэродроме простаивали десятка полтора планеров Ер-2, законченные производством в апреле. А вот моторы и маслорадиаторы на иркутском заводе отсутствовали вовсе (их приемку "тормознула" военная приемка предприятий-смежников). По-видимому, сказалось, что в апреле при облете самолетов с дизелями АЧ-ЗОБ завода N 500 произошли два случая обрыва шатунов и один случай заклинивания мотора в воздухе. Темпы выпуска боевой авиационной техники летом сорок пятого снизились незначительно, а что касается "Еров", то их ежемесячный выпуск планировали сохранить на уровне 40 машин. Реализовать эти планы не удалось. "Омоторивать", как тогда говорили, выпущенные бомбардировщики оказалось нечем - большая часть из того скудного количества АЧ-ЗОБ, что прибывало на завод N 39, еще на этапе наземных "прогонок" выходила из строя. Всего за май и три летних месяца военпреды ВВС приняли 35 машин - менее месячной нормы. Тогда же по заданию НКАПа с целью определения возможностей машины с хорошо доведенными серийными моторами, на Ер-2 (зав. N 1850405) установили ВК-105ПФ-2 мощностью 1290 л.с. Судя по номеру, это был последний уцелевший бомбардировщик, построенный на воронежском авиазаводе. Однако и его постигла печальная участь: в седьмом полете из-за пожара произошла катастрофа и весь экипаж во главе с летчиком-испытателем П.К.Маслюковым погиб (3322,50).</w:t>
      </w:r>
    </w:p>
    <w:p w14:paraId="1D69A774" w14:textId="77777777" w:rsidR="00665165" w:rsidRPr="00F90EAE" w:rsidRDefault="00665165" w:rsidP="00F90EAE">
      <w:pPr>
        <w:autoSpaceDE w:val="0"/>
        <w:autoSpaceDN w:val="0"/>
        <w:adjustRightInd w:val="0"/>
        <w:jc w:val="both"/>
        <w:rPr>
          <w:color w:val="000000" w:themeColor="text1"/>
          <w:sz w:val="16"/>
          <w:szCs w:val="16"/>
        </w:rPr>
      </w:pPr>
    </w:p>
    <w:p w14:paraId="7949DA9D" w14:textId="77777777" w:rsidR="0025587C" w:rsidRPr="00F90EAE" w:rsidRDefault="0025587C" w:rsidP="00F90EAE">
      <w:pPr>
        <w:pStyle w:val="a3"/>
        <w:rPr>
          <w:color w:val="000000" w:themeColor="text1"/>
          <w:lang w:val="ru-RU"/>
        </w:rPr>
      </w:pPr>
      <w:r w:rsidRPr="00F90EAE">
        <w:rPr>
          <w:color w:val="000000" w:themeColor="text1"/>
          <w:lang w:val="ru-RU"/>
        </w:rPr>
        <w:t>10 мая 1945 г. завершили постройку 4-го экземпляра Ер-20Н. По сводке на 1 июня 1946 г. на заводе № 39 находились два Ер-20Н и ещё два — на ЛИС завода № 134 (15810).</w:t>
      </w:r>
    </w:p>
    <w:p w14:paraId="2154B232" w14:textId="77777777" w:rsidR="0025587C" w:rsidRPr="00F90EAE" w:rsidRDefault="0025587C" w:rsidP="00F90EAE">
      <w:pPr>
        <w:pStyle w:val="a3"/>
        <w:rPr>
          <w:color w:val="000000" w:themeColor="text1"/>
          <w:lang w:val="ru-RU"/>
        </w:rPr>
      </w:pPr>
    </w:p>
    <w:p w14:paraId="4944F710" w14:textId="77777777" w:rsidR="00AA32F2" w:rsidRPr="00F90EAE" w:rsidRDefault="00AA32F2" w:rsidP="00F90EAE">
      <w:pPr>
        <w:shd w:val="clear" w:color="auto" w:fill="FFFFFF"/>
        <w:jc w:val="both"/>
        <w:rPr>
          <w:color w:val="000000" w:themeColor="text1"/>
          <w:sz w:val="16"/>
          <w:szCs w:val="16"/>
        </w:rPr>
      </w:pPr>
      <w:r w:rsidRPr="00F90EAE">
        <w:rPr>
          <w:color w:val="000000" w:themeColor="text1"/>
          <w:sz w:val="16"/>
          <w:szCs w:val="16"/>
        </w:rPr>
        <w:t>10 мая 1945 года после замены зажигания на химическое модифицированный двигатель РД-1ХЗ поступил на завод № 134 и к 15 мая его установили на самолет Су-7, но на следую щий день его отправили на завод № 16 (19586).</w:t>
      </w:r>
    </w:p>
    <w:p w14:paraId="75C704EA" w14:textId="77777777" w:rsidR="00AA32F2" w:rsidRPr="00F90EAE" w:rsidRDefault="00AA32F2" w:rsidP="00F90EAE">
      <w:pPr>
        <w:shd w:val="clear" w:color="auto" w:fill="FFFFFF"/>
        <w:jc w:val="both"/>
        <w:rPr>
          <w:color w:val="000000" w:themeColor="text1"/>
          <w:sz w:val="16"/>
          <w:szCs w:val="16"/>
        </w:rPr>
      </w:pPr>
    </w:p>
    <w:p w14:paraId="6F1478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мая 1945 г. модифицированный двигатель поступил на завод № 134 и к 15 мая был установлен на самолет, но на следующий день, по указанию ОКБ-СД, двигатель сняли и отправили на завод № 16 (10668).</w:t>
      </w:r>
    </w:p>
    <w:p w14:paraId="7F6450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66164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215CAD6E" w14:textId="77777777" w:rsidR="00665165" w:rsidRPr="00F90EAE" w:rsidRDefault="00665165" w:rsidP="00F90EAE">
      <w:pPr>
        <w:autoSpaceDE w:val="0"/>
        <w:autoSpaceDN w:val="0"/>
        <w:adjustRightInd w:val="0"/>
        <w:jc w:val="both"/>
        <w:rPr>
          <w:color w:val="000000" w:themeColor="text1"/>
          <w:sz w:val="16"/>
          <w:szCs w:val="16"/>
        </w:rPr>
      </w:pPr>
    </w:p>
    <w:p w14:paraId="7B760D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8481 О вывозе оборудования и материалов с авиационных заводов, расположенных в районе г. Вена. РГАНИР, Фонд ГКО, д. 414, лл. 104-106 (11012).</w:t>
      </w:r>
    </w:p>
    <w:p w14:paraId="7AFA992D" w14:textId="77777777" w:rsidR="00665165" w:rsidRPr="00F90EAE" w:rsidRDefault="00665165" w:rsidP="00F90EAE">
      <w:pPr>
        <w:autoSpaceDE w:val="0"/>
        <w:autoSpaceDN w:val="0"/>
        <w:adjustRightInd w:val="0"/>
        <w:jc w:val="both"/>
        <w:rPr>
          <w:color w:val="000000" w:themeColor="text1"/>
          <w:sz w:val="16"/>
          <w:szCs w:val="16"/>
        </w:rPr>
      </w:pPr>
    </w:p>
    <w:p w14:paraId="7AD33B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8482 О вывозе двух комплектов радиоаппаратуры к самолетам-снарядам ФАУ-2 и технической документации из Высшей электротехнической школы в г. Вена. РГАНИР, Фонд ГКО, д. 414, лл. 107 (11012).</w:t>
      </w:r>
    </w:p>
    <w:p w14:paraId="14900422" w14:textId="77777777" w:rsidR="00665165" w:rsidRPr="00F90EAE" w:rsidRDefault="00665165" w:rsidP="00F90EAE">
      <w:pPr>
        <w:autoSpaceDE w:val="0"/>
        <w:autoSpaceDN w:val="0"/>
        <w:adjustRightInd w:val="0"/>
        <w:jc w:val="both"/>
        <w:rPr>
          <w:color w:val="000000" w:themeColor="text1"/>
          <w:sz w:val="16"/>
          <w:szCs w:val="16"/>
        </w:rPr>
      </w:pPr>
    </w:p>
    <w:p w14:paraId="73FB47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8483 О вывозе технической документации и опытных образцов реактивных самолетов Хейнкеля из г. Вена. РГАНИР, Фонд ГКО, д. 414, лл. 108-109 (11012).</w:t>
      </w:r>
    </w:p>
    <w:p w14:paraId="09E62D04" w14:textId="77777777" w:rsidR="00665165" w:rsidRPr="00F90EAE" w:rsidRDefault="00665165" w:rsidP="00F90EAE">
      <w:pPr>
        <w:autoSpaceDE w:val="0"/>
        <w:autoSpaceDN w:val="0"/>
        <w:adjustRightInd w:val="0"/>
        <w:jc w:val="both"/>
        <w:rPr>
          <w:color w:val="000000" w:themeColor="text1"/>
          <w:sz w:val="16"/>
          <w:szCs w:val="16"/>
        </w:rPr>
      </w:pPr>
    </w:p>
    <w:p w14:paraId="5E59B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8484 О вывозе оборудования, задела и полуфабрикатов приборной продукции с немецкого завода фирмы "Минерва-Радио" в г. Вена. РГАНИР, Фонд ГКО, д. 414, лл. 110-111 (11012).</w:t>
      </w:r>
    </w:p>
    <w:p w14:paraId="32E5CE9D" w14:textId="77777777" w:rsidR="00665165" w:rsidRPr="00F90EAE" w:rsidRDefault="00665165" w:rsidP="00F90EAE">
      <w:pPr>
        <w:autoSpaceDE w:val="0"/>
        <w:autoSpaceDN w:val="0"/>
        <w:adjustRightInd w:val="0"/>
        <w:jc w:val="both"/>
        <w:rPr>
          <w:color w:val="000000" w:themeColor="text1"/>
          <w:sz w:val="16"/>
          <w:szCs w:val="16"/>
        </w:rPr>
      </w:pPr>
    </w:p>
    <w:p w14:paraId="353428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8485 О вывозе оборудования с завода фирмы "Паукерверке" немецкого концерна "Герман Геринг" в г. Флоридсдорф (район г. Вена). РГАНИР, Фонд ГКО, д. 414, лл. 112-113 (11012).</w:t>
      </w:r>
    </w:p>
    <w:p w14:paraId="2D13591A" w14:textId="77777777" w:rsidR="00665165" w:rsidRPr="00F90EAE" w:rsidRDefault="00665165" w:rsidP="00F90EAE">
      <w:pPr>
        <w:autoSpaceDE w:val="0"/>
        <w:autoSpaceDN w:val="0"/>
        <w:adjustRightInd w:val="0"/>
        <w:jc w:val="both"/>
        <w:rPr>
          <w:color w:val="000000" w:themeColor="text1"/>
          <w:sz w:val="16"/>
          <w:szCs w:val="16"/>
        </w:rPr>
      </w:pPr>
    </w:p>
    <w:p w14:paraId="5A4E131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03F0844" w14:textId="77777777" w:rsidR="00665165" w:rsidRPr="00F90EAE" w:rsidRDefault="00665165" w:rsidP="00F90EAE">
      <w:pPr>
        <w:autoSpaceDE w:val="0"/>
        <w:autoSpaceDN w:val="0"/>
        <w:adjustRightInd w:val="0"/>
        <w:jc w:val="both"/>
        <w:rPr>
          <w:iCs/>
          <w:color w:val="000000" w:themeColor="text1"/>
          <w:sz w:val="16"/>
          <w:szCs w:val="16"/>
        </w:rPr>
      </w:pPr>
    </w:p>
    <w:p w14:paraId="0D2CC0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начались стрельбы 85-мм из противотанковой пушки ЗИС-Д-44 на Гороховецком полигоне. На испытаниях скорострельность пушки оказалась: с исправлением наводки при угле +20° - 15 выстр/мин; при угле 0° - 11ё13 выстр/мин; а максимальная скорострельность без исправления наводки 20 - 22 выстр/мин. Испытания обкаткой проводились за автомобилем "Студебеккер", а по бездорожью - за трактором "Я-12". Всего с 19 по 25 мая пройдено 1512 км. Из них по булыжной мостовой 810 км со средней скоростью 25,7 км/час, а максимальной - 33 км/час. По проселочной дороге - 426 км со средней скоростью 21,9 км/час и максимальной - 40 км/час. По асфальтовому шоссе - 220 км со средней скоростью 41,2 км/час, максимальной - 55 км/час. По бездорожью и пересеченной местности - 56 км со средней скоростью 11,7 км/час. Согласно заключению комиссии ЗИС-Д-44 полигонные испытания не выдержала, в том числе из-за неудовлетворительной экстракции гильз. Однако после повторных полигонных, а затем и войсковых испытаний пушка была принята на вооружение под названием "85-мм дивизионная пушка Д-44" (3861).</w:t>
      </w:r>
    </w:p>
    <w:p w14:paraId="08F2A5C9" w14:textId="77777777" w:rsidR="00665165" w:rsidRPr="00F90EAE" w:rsidRDefault="00665165" w:rsidP="00F90EAE">
      <w:pPr>
        <w:autoSpaceDE w:val="0"/>
        <w:autoSpaceDN w:val="0"/>
        <w:adjustRightInd w:val="0"/>
        <w:jc w:val="both"/>
        <w:rPr>
          <w:color w:val="000000" w:themeColor="text1"/>
          <w:sz w:val="16"/>
          <w:szCs w:val="16"/>
        </w:rPr>
      </w:pPr>
    </w:p>
    <w:p w14:paraId="5FCED5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г. на завод ГСНИИ-42 (Экспериментально-исследовательский и опытный завод-институт № 51 НКТП, ГС завод № 51 НКОП, НКХП, НИИ отравляющих и дымных веществ (ОВ и ДВ) № 42 (НИИ-42) НКОП, ГС НИИ-42 с опытным заводом НКХП, МХП, ГС НИИ-403, ГС НИИорганической химии и технологии (ГС НИИОХТ) с опытным заводом МХП, ГНИИОХТ, ГНЦ РФ ФГУП «Государственный научно-исследовательский институт органической химии и технологии» (ГОСНИИОХТ) Росбоеприпаса / г. Москва Главпочтамт п/я 702 (1937 г.)/ /111024  г. Москва ш. Энтузиастов, 23 тел. 273-86-30/) из Германии вывезена опытная установка по производству зарина.</w:t>
      </w:r>
    </w:p>
    <w:p w14:paraId="1CEBB5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войны ГС НИИ-42 с опытным заводом был переименован в ГС НИИ-403. Позднее он получил название ГС НИИОХТ с опытным заводом, а затем - ГНИИОХТ.</w:t>
      </w:r>
    </w:p>
    <w:p w14:paraId="1995EE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1950-х  г. организовано два филиала ГС НИИОХТ: № 4 в  г. Вольске (далее - ГИТОС) и в  г. Волгограде (далее - НИЦ химической промышленности). Перед этим планировалось построить объект «И» во Владимирской обл., но месту в Шиханах было отдано предпочтение, т.к. туда переводился и военный ЦНИВТИ.</w:t>
      </w:r>
    </w:p>
    <w:p w14:paraId="27F28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территории института долгие годы существовал склад стойких ОВ, перебазированный в дальнейшем в Дзержинск.</w:t>
      </w:r>
    </w:p>
    <w:p w14:paraId="1E6BFA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и производство опытных партий ОВ. Головной институт МХП по разработке рецептур ОВ и боеприпасов для них.</w:t>
      </w:r>
    </w:p>
    <w:p w14:paraId="2F7EB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Указом Президента РФ № 939 от 22.06.1993 г. и пост. Правительства № 816 от 11.07.1994 г. институту присвоен статус ГНЦ РФ. В 2004 г. назывался ГНЦ РФ «ГОСНИИОХТ». По Указу Президента РФ № 1009 от 4.08.2004 г. вошло в перечень стратегических оборонных предприятий.</w:t>
      </w:r>
    </w:p>
    <w:p w14:paraId="2C0EF8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103-43 от 31.01.1983 г. проводились работы по созданию ОВ 3-го поколения «А-232» (программа «Фолиант»). В соответствии с пост. № 844-186 от 6.10.1989 г. на базе А-232 создано бинарное ОВ. После всесторонних испытаний в соответствии с пост. СМ № 518-33 от 24.07.1992 г. все работы по нему были прекращены. Разработано боевое ОВ нервно-паралитического действия «Новичок». Разработана технология утилизации люизита.</w:t>
      </w:r>
    </w:p>
    <w:p w14:paraId="55560B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Разработка прозрачной авиационной брони.</w:t>
      </w:r>
    </w:p>
    <w:p w14:paraId="610FE1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(1931 г.)- 665 чел.,</w:t>
      </w:r>
      <w:r w:rsidRPr="00F90EAE">
        <w:rPr>
          <w:color w:val="000000" w:themeColor="text1"/>
          <w:sz w:val="16"/>
          <w:szCs w:val="16"/>
          <w:vertAlign w:val="superscript"/>
        </w:rPr>
        <w:t>71</w:t>
      </w:r>
      <w:r w:rsidRPr="00F90EAE">
        <w:rPr>
          <w:color w:val="000000" w:themeColor="text1"/>
          <w:sz w:val="16"/>
          <w:szCs w:val="16"/>
        </w:rPr>
        <w:t xml:space="preserve"> (2006 г.)- 1200 чел.</w:t>
      </w:r>
    </w:p>
    <w:p w14:paraId="394191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(-12 1936-1.02.1937 г.)- Б.С. Зубаровский, (1.02-30.12.1937 г.)- Н. Г. Гребельский, (30.12.1937- 03.1938 г.-)- К.Н. Смирнов, (1965 г.)- И. Мартынов,</w:t>
      </w:r>
      <w:r w:rsidRPr="00F90EAE">
        <w:rPr>
          <w:color w:val="000000" w:themeColor="text1"/>
          <w:sz w:val="16"/>
          <w:szCs w:val="16"/>
          <w:vertAlign w:val="superscript"/>
        </w:rPr>
        <w:t>71</w:t>
      </w:r>
      <w:r w:rsidRPr="00F90EAE">
        <w:rPr>
          <w:color w:val="000000" w:themeColor="text1"/>
          <w:sz w:val="16"/>
          <w:szCs w:val="16"/>
        </w:rPr>
        <w:t xml:space="preserve"> (-2000-06 г.-)- В.А. Петрунин;</w:t>
      </w:r>
      <w:r w:rsidRPr="00F90EAE">
        <w:rPr>
          <w:color w:val="000000" w:themeColor="text1"/>
          <w:sz w:val="16"/>
          <w:szCs w:val="16"/>
          <w:vertAlign w:val="superscript"/>
        </w:rPr>
        <w:t>72</w:t>
      </w:r>
      <w:r w:rsidRPr="00F90EAE">
        <w:rPr>
          <w:color w:val="000000" w:themeColor="text1"/>
          <w:sz w:val="16"/>
          <w:szCs w:val="16"/>
        </w:rPr>
        <w:t>' и.о. гендиректора (2008 г.)- В. Кондратьев.</w:t>
      </w:r>
    </w:p>
    <w:p w14:paraId="23810E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(-06-22.11.1937 г.)- Я.И. Коварский, (1938 г.)- Блинов. Помощник директора по найму и увольнению (06.1937 г.)- М.М. Федотов, (27.11,1938 г.-)-  Г.Д. Малышев.</w:t>
      </w:r>
    </w:p>
    <w:p w14:paraId="2903D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(-12.1936-22.11.1937 г.)- Я.И. Коварский, (13.01-03.1938 г.-)- С.Д. Бесков, (1938 г.)- Варшавский.</w:t>
      </w:r>
    </w:p>
    <w:p w14:paraId="13E2C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Руководители: ЦНИЛ (12.1936 г.)- Лимоник; Проектного управления (12.1936 г.)- Бидинский; опытно- механической мастерской (-02.1937 г.)- Шихова (11982).</w:t>
      </w:r>
    </w:p>
    <w:p w14:paraId="7E15193C" w14:textId="77777777" w:rsidR="00665165" w:rsidRPr="00F90EAE" w:rsidRDefault="00665165" w:rsidP="00F90EAE">
      <w:pPr>
        <w:autoSpaceDE w:val="0"/>
        <w:autoSpaceDN w:val="0"/>
        <w:adjustRightInd w:val="0"/>
        <w:jc w:val="both"/>
        <w:rPr>
          <w:color w:val="000000" w:themeColor="text1"/>
          <w:sz w:val="16"/>
          <w:szCs w:val="16"/>
        </w:rPr>
      </w:pPr>
    </w:p>
    <w:p w14:paraId="0A761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706485EB" w14:textId="77777777" w:rsidR="00665165" w:rsidRPr="00F90EAE" w:rsidRDefault="00665165" w:rsidP="00F90EAE">
      <w:pPr>
        <w:autoSpaceDE w:val="0"/>
        <w:autoSpaceDN w:val="0"/>
        <w:adjustRightInd w:val="0"/>
        <w:jc w:val="both"/>
        <w:rPr>
          <w:color w:val="000000" w:themeColor="text1"/>
          <w:sz w:val="16"/>
          <w:szCs w:val="16"/>
        </w:rPr>
      </w:pPr>
    </w:p>
    <w:p w14:paraId="5B72720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8456 О выделении Наркомрыбпрому СССР 5500 военнослужащих рядового и сержантского состава, бывших в немецком плену, для работы на предприятиях рыбной промышленности Дальнего Востока. (7338, 62).</w:t>
      </w:r>
    </w:p>
    <w:p w14:paraId="508D082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7E8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8457 О вывозе оборудования и материалов с немецких заводов и авиационного института, расположенных в г. Берлин и его окрестностях, на предприятия Наркомавиапрома. РГАНИР, Фонд ГКО, д. 414, лл. 63-66 (11012).</w:t>
      </w:r>
    </w:p>
    <w:p w14:paraId="0B184539" w14:textId="77777777" w:rsidR="00665165" w:rsidRPr="00F90EAE" w:rsidRDefault="00665165" w:rsidP="00F90EAE">
      <w:pPr>
        <w:autoSpaceDE w:val="0"/>
        <w:autoSpaceDN w:val="0"/>
        <w:adjustRightInd w:val="0"/>
        <w:jc w:val="both"/>
        <w:rPr>
          <w:color w:val="000000" w:themeColor="text1"/>
          <w:sz w:val="16"/>
          <w:szCs w:val="16"/>
        </w:rPr>
      </w:pPr>
    </w:p>
    <w:p w14:paraId="3D245A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8458 О вывозе оборудования оружейного завода фирмы "Маузер" и артиллерийского завода фирмы "Фридрих Крейц" в г. Берлин. РГАНИР, Фонд ГКО, д. 414, лл. 67-68 (11012).</w:t>
      </w:r>
    </w:p>
    <w:p w14:paraId="369F5CFF" w14:textId="77777777" w:rsidR="00665165" w:rsidRPr="00F90EAE" w:rsidRDefault="00665165" w:rsidP="00F90EAE">
      <w:pPr>
        <w:autoSpaceDE w:val="0"/>
        <w:autoSpaceDN w:val="0"/>
        <w:adjustRightInd w:val="0"/>
        <w:jc w:val="both"/>
        <w:rPr>
          <w:color w:val="000000" w:themeColor="text1"/>
          <w:sz w:val="16"/>
          <w:szCs w:val="16"/>
        </w:rPr>
      </w:pPr>
    </w:p>
    <w:p w14:paraId="1ABF65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8459 О вывозе оборудования артиллерийского завода фирмы "Витенауер Машиненфабрик" в г. Берлин. РГАНИР, Фонд ГКО, д. 414, лл. 69 (11012).</w:t>
      </w:r>
    </w:p>
    <w:p w14:paraId="3BB5ECEB" w14:textId="77777777" w:rsidR="00665165" w:rsidRPr="00F90EAE" w:rsidRDefault="00665165" w:rsidP="00F90EAE">
      <w:pPr>
        <w:autoSpaceDE w:val="0"/>
        <w:autoSpaceDN w:val="0"/>
        <w:adjustRightInd w:val="0"/>
        <w:jc w:val="both"/>
        <w:rPr>
          <w:color w:val="000000" w:themeColor="text1"/>
          <w:sz w:val="16"/>
          <w:szCs w:val="16"/>
        </w:rPr>
      </w:pPr>
    </w:p>
    <w:p w14:paraId="4D4ED9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8460 О вывозе оборудования с двух немецких танкостроительных заводов фирмы "Алькот" в г. Берлин (район Борзигвальде). РГАНИР, Фонд ГКО, д. 414, лл. 70-71 (11012).</w:t>
      </w:r>
    </w:p>
    <w:p w14:paraId="64FDACF3" w14:textId="77777777" w:rsidR="00665165" w:rsidRPr="00F90EAE" w:rsidRDefault="00665165" w:rsidP="00F90EAE">
      <w:pPr>
        <w:autoSpaceDE w:val="0"/>
        <w:autoSpaceDN w:val="0"/>
        <w:adjustRightInd w:val="0"/>
        <w:jc w:val="both"/>
        <w:rPr>
          <w:color w:val="000000" w:themeColor="text1"/>
          <w:sz w:val="16"/>
          <w:szCs w:val="16"/>
        </w:rPr>
      </w:pPr>
    </w:p>
    <w:p w14:paraId="72E0CA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8461 О вывозе оборудования с немецкого танкоремонтного завода фирмы "Нартбант" в населенном пункте Шиновальде (район г. Берлин). РГАНИР, Фонд ГКО, д. 414, лл. 72-73 (11012).</w:t>
      </w:r>
    </w:p>
    <w:p w14:paraId="34BB1F1D" w14:textId="77777777" w:rsidR="00665165" w:rsidRPr="00F90EAE" w:rsidRDefault="00665165" w:rsidP="00F90EAE">
      <w:pPr>
        <w:autoSpaceDE w:val="0"/>
        <w:autoSpaceDN w:val="0"/>
        <w:adjustRightInd w:val="0"/>
        <w:jc w:val="both"/>
        <w:rPr>
          <w:color w:val="000000" w:themeColor="text1"/>
          <w:sz w:val="16"/>
          <w:szCs w:val="16"/>
        </w:rPr>
      </w:pPr>
    </w:p>
    <w:p w14:paraId="09A561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8462 О вывозе оборудования с заводов электротехнической промышленности в г. Берлин. РГАНИР, Фонд ГКО, д. 414, лл. 74-76 (11012).</w:t>
      </w:r>
    </w:p>
    <w:p w14:paraId="28A3976F" w14:textId="77777777" w:rsidR="00665165" w:rsidRPr="00F90EAE" w:rsidRDefault="00665165" w:rsidP="00F90EAE">
      <w:pPr>
        <w:autoSpaceDE w:val="0"/>
        <w:autoSpaceDN w:val="0"/>
        <w:adjustRightInd w:val="0"/>
        <w:jc w:val="both"/>
        <w:rPr>
          <w:color w:val="000000" w:themeColor="text1"/>
          <w:sz w:val="16"/>
          <w:szCs w:val="16"/>
        </w:rPr>
      </w:pPr>
    </w:p>
    <w:p w14:paraId="26F535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8463 О вывозе оборудования двух передающих радиоцентров из района г. Берлин. РГАНИР, Фонд ГКО, д. 414, лл. 77 (11012).</w:t>
      </w:r>
    </w:p>
    <w:p w14:paraId="2821715A" w14:textId="77777777" w:rsidR="00665165" w:rsidRPr="00F90EAE" w:rsidRDefault="00665165" w:rsidP="00F90EAE">
      <w:pPr>
        <w:autoSpaceDE w:val="0"/>
        <w:autoSpaceDN w:val="0"/>
        <w:adjustRightInd w:val="0"/>
        <w:jc w:val="both"/>
        <w:rPr>
          <w:color w:val="000000" w:themeColor="text1"/>
          <w:sz w:val="16"/>
          <w:szCs w:val="16"/>
        </w:rPr>
      </w:pPr>
    </w:p>
    <w:p w14:paraId="260657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8464 О вывозе оборудования подземного узла связи Ставки германской армии в г. Берлин для Наркомата обороны. РГАНИР, Фонд ГКО, д. 414, лл. 78 (11012).</w:t>
      </w:r>
    </w:p>
    <w:p w14:paraId="5C53A564" w14:textId="77777777" w:rsidR="00665165" w:rsidRPr="00F90EAE" w:rsidRDefault="00665165" w:rsidP="00F90EAE">
      <w:pPr>
        <w:autoSpaceDE w:val="0"/>
        <w:autoSpaceDN w:val="0"/>
        <w:adjustRightInd w:val="0"/>
        <w:jc w:val="both"/>
        <w:rPr>
          <w:color w:val="000000" w:themeColor="text1"/>
          <w:sz w:val="16"/>
          <w:szCs w:val="16"/>
        </w:rPr>
      </w:pPr>
    </w:p>
    <w:p w14:paraId="0FFCD6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8465 О вывозе оборудования с немецких машиностроительных заводов в г. Берлин и его районе на заводы Наркомсредмаша. РГАНИР, Фонд ГКО, д. 414, лл. 79-80, 81 (11012).</w:t>
      </w:r>
    </w:p>
    <w:p w14:paraId="71B0746D" w14:textId="77777777" w:rsidR="00665165" w:rsidRPr="00F90EAE" w:rsidRDefault="00665165" w:rsidP="00F90EAE">
      <w:pPr>
        <w:autoSpaceDE w:val="0"/>
        <w:autoSpaceDN w:val="0"/>
        <w:adjustRightInd w:val="0"/>
        <w:jc w:val="both"/>
        <w:rPr>
          <w:color w:val="000000" w:themeColor="text1"/>
          <w:sz w:val="16"/>
          <w:szCs w:val="16"/>
        </w:rPr>
      </w:pPr>
    </w:p>
    <w:p w14:paraId="196F66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8466 О вывозе оборудования с немецких заводов фирм "Бюссинг" и "Амби-Бад" в районе г. Берлин. РГАНИР, Фонд ГКО, д. 414, лл. 82 (11012).</w:t>
      </w:r>
    </w:p>
    <w:p w14:paraId="61C66011" w14:textId="77777777" w:rsidR="00665165" w:rsidRPr="00F90EAE" w:rsidRDefault="00665165" w:rsidP="00F90EAE">
      <w:pPr>
        <w:autoSpaceDE w:val="0"/>
        <w:autoSpaceDN w:val="0"/>
        <w:adjustRightInd w:val="0"/>
        <w:jc w:val="both"/>
        <w:rPr>
          <w:color w:val="000000" w:themeColor="text1"/>
          <w:sz w:val="16"/>
          <w:szCs w:val="16"/>
        </w:rPr>
      </w:pPr>
    </w:p>
    <w:p w14:paraId="126057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8467 О вывозе оборудования с немецкого завода фирмы "Альнофт" в г. Берлин (район Тегель). РГАНИР, Фонд ГКО, д. 414, лл. 83 (11012).</w:t>
      </w:r>
    </w:p>
    <w:p w14:paraId="15089AFF" w14:textId="77777777" w:rsidR="00665165" w:rsidRPr="00F90EAE" w:rsidRDefault="00665165" w:rsidP="00F90EAE">
      <w:pPr>
        <w:autoSpaceDE w:val="0"/>
        <w:autoSpaceDN w:val="0"/>
        <w:adjustRightInd w:val="0"/>
        <w:jc w:val="both"/>
        <w:rPr>
          <w:color w:val="000000" w:themeColor="text1"/>
          <w:sz w:val="16"/>
          <w:szCs w:val="16"/>
        </w:rPr>
      </w:pPr>
    </w:p>
    <w:p w14:paraId="062EDA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8468 О вывозе оборудования с немецкого завода фирмы "Демаг" в г. Берлин. РГАНИР, Фонд ГКО, д. 414, лл. 84-85 (11012).</w:t>
      </w:r>
    </w:p>
    <w:p w14:paraId="4E82B8EC" w14:textId="77777777" w:rsidR="00665165" w:rsidRPr="00F90EAE" w:rsidRDefault="00665165" w:rsidP="00F90EAE">
      <w:pPr>
        <w:autoSpaceDE w:val="0"/>
        <w:autoSpaceDN w:val="0"/>
        <w:adjustRightInd w:val="0"/>
        <w:jc w:val="both"/>
        <w:rPr>
          <w:color w:val="000000" w:themeColor="text1"/>
          <w:sz w:val="16"/>
          <w:szCs w:val="16"/>
        </w:rPr>
      </w:pPr>
    </w:p>
    <w:p w14:paraId="07FD18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8469 О вывозе оборудования с немецкого завода речного судостроения фирмы "Тальбов" в г. Фридрихсхаген (в 18 километрах от Берлина). РГАНИР, Фонд ГКО, д. 414, лл. 86 (11012).</w:t>
      </w:r>
    </w:p>
    <w:p w14:paraId="13B29BE9" w14:textId="77777777" w:rsidR="00665165" w:rsidRPr="00F90EAE" w:rsidRDefault="00665165" w:rsidP="00F90EAE">
      <w:pPr>
        <w:autoSpaceDE w:val="0"/>
        <w:autoSpaceDN w:val="0"/>
        <w:adjustRightInd w:val="0"/>
        <w:jc w:val="both"/>
        <w:rPr>
          <w:color w:val="000000" w:themeColor="text1"/>
          <w:sz w:val="16"/>
          <w:szCs w:val="16"/>
        </w:rPr>
      </w:pPr>
    </w:p>
    <w:p w14:paraId="461402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8470 О вывозе оборудования немецкого машиностроительного завода фирмы ОТИЗ (г. Берлин). РГАНИР, Фонд ГКО, д. 414, лл. 87 (11012).</w:t>
      </w:r>
    </w:p>
    <w:p w14:paraId="08B58AD2" w14:textId="77777777" w:rsidR="00665165" w:rsidRPr="00F90EAE" w:rsidRDefault="00665165" w:rsidP="00F90EAE">
      <w:pPr>
        <w:autoSpaceDE w:val="0"/>
        <w:autoSpaceDN w:val="0"/>
        <w:adjustRightInd w:val="0"/>
        <w:jc w:val="both"/>
        <w:rPr>
          <w:color w:val="000000" w:themeColor="text1"/>
          <w:sz w:val="16"/>
          <w:szCs w:val="16"/>
        </w:rPr>
      </w:pPr>
    </w:p>
    <w:p w14:paraId="379B53D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8471 О вывозе оборудования и технической литературы Военно-химического института "Кайзер Вильгельм", Военно-токсикологического института и центральной химической лаборатории германской армии в г. Берлин. (7338, 88).</w:t>
      </w:r>
    </w:p>
    <w:p w14:paraId="5CEBFF6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B1D0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8472 О вывозе из г. Берлин и его пригородов оборудования завода пластмассовых порошков фирмы "Ротершверке", химфабрики ДИВАГ, лакокрасочного завода фирмы "Зарнецке-Бойм", химзавода акционерного общества "Нитрит фабрик" и завод химических реак. РГАНИР, Фонд ГКО, д. 414, лл. (11012).</w:t>
      </w:r>
    </w:p>
    <w:p w14:paraId="14A840DB" w14:textId="77777777" w:rsidR="00665165" w:rsidRPr="00F90EAE" w:rsidRDefault="00665165" w:rsidP="00F90EAE">
      <w:pPr>
        <w:autoSpaceDE w:val="0"/>
        <w:autoSpaceDN w:val="0"/>
        <w:adjustRightInd w:val="0"/>
        <w:jc w:val="both"/>
        <w:rPr>
          <w:color w:val="000000" w:themeColor="text1"/>
          <w:sz w:val="16"/>
          <w:szCs w:val="16"/>
        </w:rPr>
      </w:pPr>
    </w:p>
    <w:p w14:paraId="15CCC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8473 О вывозе оборудования с предприятий, расположенных в районе г. Берлин, для Наркомстроя. РГАНИР, Фонд ГКО, д. 414, лл. 91 (11012).</w:t>
      </w:r>
    </w:p>
    <w:p w14:paraId="6CD20EE1" w14:textId="77777777" w:rsidR="00665165" w:rsidRPr="00F90EAE" w:rsidRDefault="00665165" w:rsidP="00F90EAE">
      <w:pPr>
        <w:autoSpaceDE w:val="0"/>
        <w:autoSpaceDN w:val="0"/>
        <w:adjustRightInd w:val="0"/>
        <w:jc w:val="both"/>
        <w:rPr>
          <w:color w:val="000000" w:themeColor="text1"/>
          <w:sz w:val="16"/>
          <w:szCs w:val="16"/>
        </w:rPr>
      </w:pPr>
    </w:p>
    <w:p w14:paraId="5191AC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8474 О вывозе оборудования со станкостроительных заводов фирм ДНВ, "Шенефельдерверке", "Роберт Линдер", "Рабома", "Вертлейтис и Борер и К'" в г. Берлин и фирмы "Краузе и К'", "Инфранк и К'" в г. Вена. РГАНИР, Фонд ГКО, д. 414, лл. 92-93, 94 (11012).</w:t>
      </w:r>
    </w:p>
    <w:p w14:paraId="5CA2C167" w14:textId="77777777" w:rsidR="00665165" w:rsidRPr="00F90EAE" w:rsidRDefault="00665165" w:rsidP="00F90EAE">
      <w:pPr>
        <w:autoSpaceDE w:val="0"/>
        <w:autoSpaceDN w:val="0"/>
        <w:adjustRightInd w:val="0"/>
        <w:jc w:val="both"/>
        <w:rPr>
          <w:color w:val="000000" w:themeColor="text1"/>
          <w:sz w:val="16"/>
          <w:szCs w:val="16"/>
        </w:rPr>
      </w:pPr>
    </w:p>
    <w:p w14:paraId="6AE282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8475 О вывозе оборудования фабрики кино-фото-пленки и фотобумаги немецкой фирмы "Кодак" в г. Берлин. РГАНИР, Фонд ГКО, д. 414, лл. 95 (11012).</w:t>
      </w:r>
    </w:p>
    <w:p w14:paraId="0EA433AC" w14:textId="77777777" w:rsidR="00665165" w:rsidRPr="00F90EAE" w:rsidRDefault="00665165" w:rsidP="00F90EAE">
      <w:pPr>
        <w:autoSpaceDE w:val="0"/>
        <w:autoSpaceDN w:val="0"/>
        <w:adjustRightInd w:val="0"/>
        <w:jc w:val="both"/>
        <w:rPr>
          <w:color w:val="000000" w:themeColor="text1"/>
          <w:sz w:val="16"/>
          <w:szCs w:val="16"/>
        </w:rPr>
      </w:pPr>
    </w:p>
    <w:p w14:paraId="4C5F0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8476 О вывозе оборудования химико-фармацевтического завода фирмы "Шеринг" в г. Берлин. РГАНИР, Фонд ГКО, д. 414, лл. 96 (11012).</w:t>
      </w:r>
    </w:p>
    <w:p w14:paraId="747DE5FC" w14:textId="77777777" w:rsidR="00665165" w:rsidRPr="00F90EAE" w:rsidRDefault="00665165" w:rsidP="00F90EAE">
      <w:pPr>
        <w:autoSpaceDE w:val="0"/>
        <w:autoSpaceDN w:val="0"/>
        <w:adjustRightInd w:val="0"/>
        <w:jc w:val="both"/>
        <w:rPr>
          <w:color w:val="000000" w:themeColor="text1"/>
          <w:sz w:val="16"/>
          <w:szCs w:val="16"/>
        </w:rPr>
      </w:pPr>
    </w:p>
    <w:p w14:paraId="1CECE0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8477 О вывозе оборудования научно-исследовательского артиллерийского полигона, расположенного в районе Куммерсдорфа южнее г. Берлин. РГАНИР, Фонд ГКО, д. 414, лл. 97 (11012).</w:t>
      </w:r>
    </w:p>
    <w:p w14:paraId="46685EAC" w14:textId="77777777" w:rsidR="00665165" w:rsidRPr="00F90EAE" w:rsidRDefault="00665165" w:rsidP="00F90EAE">
      <w:pPr>
        <w:autoSpaceDE w:val="0"/>
        <w:autoSpaceDN w:val="0"/>
        <w:adjustRightInd w:val="0"/>
        <w:jc w:val="both"/>
        <w:rPr>
          <w:color w:val="000000" w:themeColor="text1"/>
          <w:sz w:val="16"/>
          <w:szCs w:val="16"/>
        </w:rPr>
      </w:pPr>
    </w:p>
    <w:p w14:paraId="2D04D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8479 О вывозе 11 турбогенераторов на общую мощность 357,5 тысяч киловатт и 43 котлов с немецкой электростанции в районе г. Шпремберг и немецкой электростанции в районе г. Штеттин. РГАНИР, Фонд ГКО, д. 414, лл. 99-101 (11012).</w:t>
      </w:r>
    </w:p>
    <w:p w14:paraId="2D753617" w14:textId="77777777" w:rsidR="00665165" w:rsidRPr="00F90EAE" w:rsidRDefault="00665165" w:rsidP="00F90EAE">
      <w:pPr>
        <w:autoSpaceDE w:val="0"/>
        <w:autoSpaceDN w:val="0"/>
        <w:adjustRightInd w:val="0"/>
        <w:jc w:val="both"/>
        <w:rPr>
          <w:color w:val="000000" w:themeColor="text1"/>
          <w:sz w:val="16"/>
          <w:szCs w:val="16"/>
        </w:rPr>
      </w:pPr>
    </w:p>
    <w:p w14:paraId="04A8D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8480 О вывозе оборудования и материалов из района г. Вена на предприятия НКавиапрома. РГАНИР, Фонд ГКО, д. 414, лл. 102-103 (11012).</w:t>
      </w:r>
    </w:p>
    <w:p w14:paraId="5CF14B92" w14:textId="77777777" w:rsidR="00665165" w:rsidRPr="00F90EAE" w:rsidRDefault="00665165" w:rsidP="00F90EAE">
      <w:pPr>
        <w:autoSpaceDE w:val="0"/>
        <w:autoSpaceDN w:val="0"/>
        <w:adjustRightInd w:val="0"/>
        <w:jc w:val="both"/>
        <w:rPr>
          <w:color w:val="000000" w:themeColor="text1"/>
          <w:sz w:val="16"/>
          <w:szCs w:val="16"/>
        </w:rPr>
      </w:pPr>
    </w:p>
    <w:p w14:paraId="2FED0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8486 О вывозе оборудования, материалов и готовой продукции с арматурного завода "Машинен унд Дампфессель Арматурен Фабрик" фирмы "Шеффер и Буденберг" в г. Вена. РГАНИР, Фонд ГКО, д. 414, лл. 114-115 (11012).</w:t>
      </w:r>
    </w:p>
    <w:p w14:paraId="3354863A" w14:textId="77777777" w:rsidR="00665165" w:rsidRPr="00F90EAE" w:rsidRDefault="00665165" w:rsidP="00F90EAE">
      <w:pPr>
        <w:autoSpaceDE w:val="0"/>
        <w:autoSpaceDN w:val="0"/>
        <w:adjustRightInd w:val="0"/>
        <w:jc w:val="both"/>
        <w:rPr>
          <w:color w:val="000000" w:themeColor="text1"/>
          <w:sz w:val="16"/>
          <w:szCs w:val="16"/>
        </w:rPr>
      </w:pPr>
    </w:p>
    <w:p w14:paraId="4CAE35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8487 О вывозе оборудования с заводов электротехнической промышленности в г. г. Вена и Бромберг. РГАНИР, Фонд ГКО, д. 414, лл. 116-117 (11012).</w:t>
      </w:r>
    </w:p>
    <w:p w14:paraId="52377AE9" w14:textId="77777777" w:rsidR="00665165" w:rsidRPr="00F90EAE" w:rsidRDefault="00665165" w:rsidP="00F90EAE">
      <w:pPr>
        <w:autoSpaceDE w:val="0"/>
        <w:autoSpaceDN w:val="0"/>
        <w:adjustRightInd w:val="0"/>
        <w:jc w:val="both"/>
        <w:rPr>
          <w:color w:val="000000" w:themeColor="text1"/>
          <w:sz w:val="16"/>
          <w:szCs w:val="16"/>
        </w:rPr>
      </w:pPr>
    </w:p>
    <w:p w14:paraId="357328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8488 О вывозе оборудования с немецкой судостроительной верфи "Донау" акционерного общества "Гюттенхофнунгехюте" и с немецкого котлостроительного завода Альбрехт Франца в г. Вена. РГАНИР, Фонд ГКО, д. 414, лл. 118-119 (11012).</w:t>
      </w:r>
    </w:p>
    <w:p w14:paraId="1DE165D0" w14:textId="77777777" w:rsidR="00665165" w:rsidRPr="00F90EAE" w:rsidRDefault="00665165" w:rsidP="00F90EAE">
      <w:pPr>
        <w:autoSpaceDE w:val="0"/>
        <w:autoSpaceDN w:val="0"/>
        <w:adjustRightInd w:val="0"/>
        <w:jc w:val="both"/>
        <w:rPr>
          <w:color w:val="000000" w:themeColor="text1"/>
          <w:sz w:val="16"/>
          <w:szCs w:val="16"/>
        </w:rPr>
      </w:pPr>
    </w:p>
    <w:p w14:paraId="6B0B9C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8489 О вывозе оборудования и сырья с лакокрасочного завода немецкой фирмы "Эберсбергер" в районе г. Вена. РГАНИР, Фонд ГКО, д. 414, лл. 120-121 (11012).</w:t>
      </w:r>
    </w:p>
    <w:p w14:paraId="37706C7C" w14:textId="77777777" w:rsidR="00665165" w:rsidRPr="00F90EAE" w:rsidRDefault="00665165" w:rsidP="00F90EAE">
      <w:pPr>
        <w:autoSpaceDE w:val="0"/>
        <w:autoSpaceDN w:val="0"/>
        <w:adjustRightInd w:val="0"/>
        <w:jc w:val="both"/>
        <w:rPr>
          <w:color w:val="000000" w:themeColor="text1"/>
          <w:sz w:val="16"/>
          <w:szCs w:val="16"/>
        </w:rPr>
      </w:pPr>
    </w:p>
    <w:p w14:paraId="6EFE9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8490 О вывозе оборудования, аппаратуры и материалов киностудии художественных фильмов в г. Вена. РГАНИР, Фонд ГКО, д. 414, лл. 122 (11012).</w:t>
      </w:r>
    </w:p>
    <w:p w14:paraId="392E2C50" w14:textId="77777777" w:rsidR="00665165" w:rsidRPr="00F90EAE" w:rsidRDefault="00665165" w:rsidP="00F90EAE">
      <w:pPr>
        <w:autoSpaceDE w:val="0"/>
        <w:autoSpaceDN w:val="0"/>
        <w:adjustRightInd w:val="0"/>
        <w:jc w:val="both"/>
        <w:rPr>
          <w:color w:val="000000" w:themeColor="text1"/>
          <w:sz w:val="16"/>
          <w:szCs w:val="16"/>
        </w:rPr>
      </w:pPr>
    </w:p>
    <w:p w14:paraId="3B66C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8491 О вывозе оборудования с предприятий нефтяной промышленности и складов Австрии. РГАНИР, Фонд ГКО, д. 414, лл. 123-124 (11012).</w:t>
      </w:r>
    </w:p>
    <w:p w14:paraId="7145CA24" w14:textId="77777777" w:rsidR="00665165" w:rsidRPr="00F90EAE" w:rsidRDefault="00665165" w:rsidP="00F90EAE">
      <w:pPr>
        <w:autoSpaceDE w:val="0"/>
        <w:autoSpaceDN w:val="0"/>
        <w:adjustRightInd w:val="0"/>
        <w:jc w:val="both"/>
        <w:rPr>
          <w:color w:val="000000" w:themeColor="text1"/>
          <w:sz w:val="16"/>
          <w:szCs w:val="16"/>
        </w:rPr>
      </w:pPr>
    </w:p>
    <w:p w14:paraId="1D68BD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8492 О вывозе оборудования с прокатного завода "Шмидтштальверке" и с электрокраностроительного завода фирмы "Стефансвич" в г. Вена и пяти экскаваторов с карьера "Хаген" в районе г. Вена на предприятия Наркомчермета. РГАНИР, Фонд ГКО, д. 414, лл. 125-126 (11012).</w:t>
      </w:r>
    </w:p>
    <w:p w14:paraId="5630B83B" w14:textId="77777777" w:rsidR="00665165" w:rsidRPr="00F90EAE" w:rsidRDefault="00665165" w:rsidP="00F90EAE">
      <w:pPr>
        <w:autoSpaceDE w:val="0"/>
        <w:autoSpaceDN w:val="0"/>
        <w:adjustRightInd w:val="0"/>
        <w:jc w:val="both"/>
        <w:rPr>
          <w:color w:val="000000" w:themeColor="text1"/>
          <w:sz w:val="16"/>
          <w:szCs w:val="16"/>
        </w:rPr>
      </w:pPr>
    </w:p>
    <w:p w14:paraId="26189E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8493 О вывозе оборудования по производству патронов с немецкого завода фирмы "Теодор Бергман" в г. Вельтен (Германия). РГАНИР, Фонд ГКО, д. 414, лл. 127-128 (11012).</w:t>
      </w:r>
    </w:p>
    <w:p w14:paraId="1995CEBB" w14:textId="77777777" w:rsidR="00665165" w:rsidRPr="00F90EAE" w:rsidRDefault="00665165" w:rsidP="00F90EAE">
      <w:pPr>
        <w:autoSpaceDE w:val="0"/>
        <w:autoSpaceDN w:val="0"/>
        <w:adjustRightInd w:val="0"/>
        <w:jc w:val="both"/>
        <w:rPr>
          <w:color w:val="000000" w:themeColor="text1"/>
          <w:sz w:val="16"/>
          <w:szCs w:val="16"/>
        </w:rPr>
      </w:pPr>
    </w:p>
    <w:p w14:paraId="23288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8494 О вывозе оборудования и материалов с оружейно-пулеметного завода, принадлежавшего германскому военному министерству в г. Вельтен (Германия). РГАНИР, Фонд ГКО, д. 414, лл. 129-130 (11012).</w:t>
      </w:r>
    </w:p>
    <w:p w14:paraId="65BF2491" w14:textId="77777777" w:rsidR="00665165" w:rsidRPr="00F90EAE" w:rsidRDefault="00665165" w:rsidP="00F90EAE">
      <w:pPr>
        <w:autoSpaceDE w:val="0"/>
        <w:autoSpaceDN w:val="0"/>
        <w:adjustRightInd w:val="0"/>
        <w:jc w:val="both"/>
        <w:rPr>
          <w:color w:val="000000" w:themeColor="text1"/>
          <w:sz w:val="16"/>
          <w:szCs w:val="16"/>
        </w:rPr>
      </w:pPr>
    </w:p>
    <w:p w14:paraId="70EAA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8495 О вывозе оборудования немецкого завода точной механики, расположенного юго-восточнее г. Мюнхенберг. РГАНИР, Фонд ГКО, д. 414, лл. 131-132 (11012).</w:t>
      </w:r>
    </w:p>
    <w:p w14:paraId="75E7FAC5" w14:textId="77777777" w:rsidR="00665165" w:rsidRPr="00F90EAE" w:rsidRDefault="00665165" w:rsidP="00F90EAE">
      <w:pPr>
        <w:autoSpaceDE w:val="0"/>
        <w:autoSpaceDN w:val="0"/>
        <w:adjustRightInd w:val="0"/>
        <w:jc w:val="both"/>
        <w:rPr>
          <w:color w:val="000000" w:themeColor="text1"/>
          <w:sz w:val="16"/>
          <w:szCs w:val="16"/>
        </w:rPr>
      </w:pPr>
    </w:p>
    <w:p w14:paraId="5F8C3C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8496 О вывозе оборудования с немецкого завода фирмы "Шталь" (г. Бернау, Германия). РГАНИР, Фонд ГКО, д. 414, лл. 133-134 (11012).</w:t>
      </w:r>
    </w:p>
    <w:p w14:paraId="220520DF" w14:textId="77777777" w:rsidR="00665165" w:rsidRPr="00F90EAE" w:rsidRDefault="00665165" w:rsidP="00F90EAE">
      <w:pPr>
        <w:autoSpaceDE w:val="0"/>
        <w:autoSpaceDN w:val="0"/>
        <w:adjustRightInd w:val="0"/>
        <w:jc w:val="both"/>
        <w:rPr>
          <w:color w:val="000000" w:themeColor="text1"/>
          <w:sz w:val="16"/>
          <w:szCs w:val="16"/>
        </w:rPr>
      </w:pPr>
    </w:p>
    <w:p w14:paraId="39CADE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8497 О вывозе оборудования с немецкого механического завода "Вильгельм Хютте" в г. Шпроттау. РГАНИР, Фонд ГКО, д. 414, лл. 135 (11012).</w:t>
      </w:r>
    </w:p>
    <w:p w14:paraId="36D17B58" w14:textId="77777777" w:rsidR="00665165" w:rsidRPr="00F90EAE" w:rsidRDefault="00665165" w:rsidP="00F90EAE">
      <w:pPr>
        <w:autoSpaceDE w:val="0"/>
        <w:autoSpaceDN w:val="0"/>
        <w:adjustRightInd w:val="0"/>
        <w:jc w:val="both"/>
        <w:rPr>
          <w:color w:val="000000" w:themeColor="text1"/>
          <w:sz w:val="16"/>
          <w:szCs w:val="16"/>
        </w:rPr>
      </w:pPr>
    </w:p>
    <w:p w14:paraId="1D75A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8498 О вывозе оборудования с немецкого завода фирмы "Ардельтверке-Эберсвальде" в населенном пункте Гроссмазельвитц (район г. Бреслау). РГАНИР, Фонд ГКО, д. 414, лл. 136-137 (11012).</w:t>
      </w:r>
    </w:p>
    <w:p w14:paraId="4676A36F" w14:textId="77777777" w:rsidR="00665165" w:rsidRPr="00F90EAE" w:rsidRDefault="00665165" w:rsidP="00F90EAE">
      <w:pPr>
        <w:autoSpaceDE w:val="0"/>
        <w:autoSpaceDN w:val="0"/>
        <w:adjustRightInd w:val="0"/>
        <w:jc w:val="both"/>
        <w:rPr>
          <w:color w:val="000000" w:themeColor="text1"/>
          <w:sz w:val="16"/>
          <w:szCs w:val="16"/>
        </w:rPr>
      </w:pPr>
    </w:p>
    <w:p w14:paraId="5068B5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8499 О вывозе 250 вагонеток типа "Коппель" со склада в г. Эльбинг. РГАНИР, Фонд ГКО, д. 414, лл. 138 (11012).</w:t>
      </w:r>
    </w:p>
    <w:p w14:paraId="5C12BF67" w14:textId="77777777" w:rsidR="00665165" w:rsidRPr="00F90EAE" w:rsidRDefault="00665165" w:rsidP="00F90EAE">
      <w:pPr>
        <w:autoSpaceDE w:val="0"/>
        <w:autoSpaceDN w:val="0"/>
        <w:adjustRightInd w:val="0"/>
        <w:jc w:val="both"/>
        <w:rPr>
          <w:color w:val="000000" w:themeColor="text1"/>
          <w:sz w:val="16"/>
          <w:szCs w:val="16"/>
        </w:rPr>
      </w:pPr>
    </w:p>
    <w:p w14:paraId="5645B5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8500 О вывозе оборудования с машиностроительного завода фирмы "Мительдейч Штальверке Гессельшафт" в районе г. Лаухгаммер. РГАНИР, Фонд ГКО, д. 414, лл. 139 (11012).</w:t>
      </w:r>
    </w:p>
    <w:p w14:paraId="4B3E8284" w14:textId="77777777" w:rsidR="00665165" w:rsidRPr="00F90EAE" w:rsidRDefault="00665165" w:rsidP="00F90EAE">
      <w:pPr>
        <w:autoSpaceDE w:val="0"/>
        <w:autoSpaceDN w:val="0"/>
        <w:adjustRightInd w:val="0"/>
        <w:jc w:val="both"/>
        <w:rPr>
          <w:color w:val="000000" w:themeColor="text1"/>
          <w:sz w:val="16"/>
          <w:szCs w:val="16"/>
        </w:rPr>
      </w:pPr>
    </w:p>
    <w:p w14:paraId="3821EB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8501 О вывозе оборудования и материалов с трофейных баз фронтов Красной Армии на базы Наркомугля. РГАНИР, Фонд ГКО, д. 414, лл. 140-142 (11012).</w:t>
      </w:r>
    </w:p>
    <w:p w14:paraId="0863D09E" w14:textId="77777777" w:rsidR="00665165" w:rsidRPr="00F90EAE" w:rsidRDefault="00665165" w:rsidP="00F90EAE">
      <w:pPr>
        <w:autoSpaceDE w:val="0"/>
        <w:autoSpaceDN w:val="0"/>
        <w:adjustRightInd w:val="0"/>
        <w:jc w:val="both"/>
        <w:rPr>
          <w:color w:val="000000" w:themeColor="text1"/>
          <w:sz w:val="16"/>
          <w:szCs w:val="16"/>
        </w:rPr>
      </w:pPr>
    </w:p>
    <w:p w14:paraId="7846EC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8502 О вывозе оборудования с немецких лесопильных и деревообрабатывающих заводов в г. г. Бальденбург, Цопот и Бельгруд. РГАНИР, Фонд ГКО, д. 414, лл. 143-144 (11012).</w:t>
      </w:r>
    </w:p>
    <w:p w14:paraId="53F57A29" w14:textId="77777777" w:rsidR="00665165" w:rsidRPr="00F90EAE" w:rsidRDefault="00665165" w:rsidP="00F90EAE">
      <w:pPr>
        <w:autoSpaceDE w:val="0"/>
        <w:autoSpaceDN w:val="0"/>
        <w:adjustRightInd w:val="0"/>
        <w:jc w:val="both"/>
        <w:rPr>
          <w:color w:val="000000" w:themeColor="text1"/>
          <w:sz w:val="16"/>
          <w:szCs w:val="16"/>
        </w:rPr>
      </w:pPr>
    </w:p>
    <w:p w14:paraId="0B5C4C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8503 О вывозе электротехнических материалов, оборудования и кабельных изделий с немецких складов. РГАНИР, Фонд ГКО, д. 414, лл. 145-147 (11012).</w:t>
      </w:r>
    </w:p>
    <w:p w14:paraId="6EFC94B1" w14:textId="77777777" w:rsidR="00665165" w:rsidRPr="00F90EAE" w:rsidRDefault="00665165" w:rsidP="00F90EAE">
      <w:pPr>
        <w:autoSpaceDE w:val="0"/>
        <w:autoSpaceDN w:val="0"/>
        <w:adjustRightInd w:val="0"/>
        <w:jc w:val="both"/>
        <w:rPr>
          <w:color w:val="000000" w:themeColor="text1"/>
          <w:sz w:val="16"/>
          <w:szCs w:val="16"/>
        </w:rPr>
      </w:pPr>
    </w:p>
    <w:p w14:paraId="6AE13A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8504 О вывозе оборудования с немецкого алюминиевого завода фирмы "Ферейнигте алюминиум Верке близ ж.РГАНИР, Фонд ГКО, д. станции Шварцкольм в провинции Бранденбург. РГАНИР, Фонд ГКО, д. 414, лл. 148-150 (11012).</w:t>
      </w:r>
    </w:p>
    <w:p w14:paraId="5D8164CD" w14:textId="77777777" w:rsidR="00665165" w:rsidRPr="00F90EAE" w:rsidRDefault="00665165" w:rsidP="00F90EAE">
      <w:pPr>
        <w:autoSpaceDE w:val="0"/>
        <w:autoSpaceDN w:val="0"/>
        <w:adjustRightInd w:val="0"/>
        <w:jc w:val="both"/>
        <w:rPr>
          <w:color w:val="000000" w:themeColor="text1"/>
          <w:sz w:val="16"/>
          <w:szCs w:val="16"/>
        </w:rPr>
      </w:pPr>
    </w:p>
    <w:p w14:paraId="4804F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8505 О вывозе проката черных металлов с 3-го Белорусского фронта. РГАНИР, Фонд ГКО, д. 414, лл. 151 (11012).</w:t>
      </w:r>
    </w:p>
    <w:p w14:paraId="026875AF" w14:textId="77777777" w:rsidR="00665165" w:rsidRPr="00F90EAE" w:rsidRDefault="00665165" w:rsidP="00F90EAE">
      <w:pPr>
        <w:autoSpaceDE w:val="0"/>
        <w:autoSpaceDN w:val="0"/>
        <w:adjustRightInd w:val="0"/>
        <w:jc w:val="both"/>
        <w:rPr>
          <w:color w:val="000000" w:themeColor="text1"/>
          <w:sz w:val="16"/>
          <w:szCs w:val="16"/>
        </w:rPr>
      </w:pPr>
    </w:p>
    <w:p w14:paraId="7C775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8506 О вывозе оборудования с завода пластмасс немецкой фирмы "Прессштоффверке Реммлер Акциенгезельтшафт" в г. Шпремберг и его филиала завода "Прессверкцейгбау" в г. Мускау на предприятия Наркомхимп рома. РГАНИР, Фонд ГКО, д. 414, лл. 152-153 (11012).</w:t>
      </w:r>
    </w:p>
    <w:p w14:paraId="0A2AD867" w14:textId="77777777" w:rsidR="00665165" w:rsidRPr="00F90EAE" w:rsidRDefault="00665165" w:rsidP="00F90EAE">
      <w:pPr>
        <w:autoSpaceDE w:val="0"/>
        <w:autoSpaceDN w:val="0"/>
        <w:adjustRightInd w:val="0"/>
        <w:jc w:val="both"/>
        <w:rPr>
          <w:color w:val="000000" w:themeColor="text1"/>
          <w:sz w:val="16"/>
          <w:szCs w:val="16"/>
        </w:rPr>
      </w:pPr>
    </w:p>
    <w:p w14:paraId="28BCAE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8507 О вывозе оборудования шинного завода фирмы "Семперит" в г. Трайскирхен (Австрия). РГАНИР, Фонд ГКО, д. 414, лл. 154-155 (11012).</w:t>
      </w:r>
    </w:p>
    <w:p w14:paraId="698032FA" w14:textId="77777777" w:rsidR="00665165" w:rsidRPr="00F90EAE" w:rsidRDefault="00665165" w:rsidP="00F90EAE">
      <w:pPr>
        <w:autoSpaceDE w:val="0"/>
        <w:autoSpaceDN w:val="0"/>
        <w:adjustRightInd w:val="0"/>
        <w:jc w:val="both"/>
        <w:rPr>
          <w:color w:val="000000" w:themeColor="text1"/>
          <w:sz w:val="16"/>
          <w:szCs w:val="16"/>
        </w:rPr>
      </w:pPr>
    </w:p>
    <w:p w14:paraId="76309B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8508 О выполнении работ по демонтажу оборудования на судоверфях "Шихау" в г. Эльбинг. РГАНИР, Фонд ГКО, д. 414, лл. 156 (11012).</w:t>
      </w:r>
    </w:p>
    <w:p w14:paraId="41B83F33" w14:textId="77777777" w:rsidR="00665165" w:rsidRPr="00F90EAE" w:rsidRDefault="00665165" w:rsidP="00F90EAE">
      <w:pPr>
        <w:autoSpaceDE w:val="0"/>
        <w:autoSpaceDN w:val="0"/>
        <w:adjustRightInd w:val="0"/>
        <w:jc w:val="both"/>
        <w:rPr>
          <w:color w:val="000000" w:themeColor="text1"/>
          <w:sz w:val="16"/>
          <w:szCs w:val="16"/>
        </w:rPr>
      </w:pPr>
    </w:p>
    <w:p w14:paraId="545D5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8509 О вывозе оборудования с лесопильного завода в г. Ратибор-Гаммер для Наркомстроя. РГАНИР, Фонд ГКО, д. 414, лл. 157 (11012).</w:t>
      </w:r>
    </w:p>
    <w:p w14:paraId="1B0BC03D" w14:textId="77777777" w:rsidR="00665165" w:rsidRPr="00F90EAE" w:rsidRDefault="00665165" w:rsidP="00F90EAE">
      <w:pPr>
        <w:autoSpaceDE w:val="0"/>
        <w:autoSpaceDN w:val="0"/>
        <w:adjustRightInd w:val="0"/>
        <w:jc w:val="both"/>
        <w:rPr>
          <w:color w:val="000000" w:themeColor="text1"/>
          <w:sz w:val="16"/>
          <w:szCs w:val="16"/>
        </w:rPr>
      </w:pPr>
    </w:p>
    <w:p w14:paraId="2CDAB4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8510 О вывозе на предприятия Наркомстроя оборудования с немецких заводов в гор. Глейвиц. РГАНИР, Фонд ГКО, д. 414, лл. 158-159 (11012).</w:t>
      </w:r>
    </w:p>
    <w:p w14:paraId="5D592773" w14:textId="77777777" w:rsidR="00665165" w:rsidRPr="00F90EAE" w:rsidRDefault="00665165" w:rsidP="00F90EAE">
      <w:pPr>
        <w:autoSpaceDE w:val="0"/>
        <w:autoSpaceDN w:val="0"/>
        <w:adjustRightInd w:val="0"/>
        <w:jc w:val="both"/>
        <w:rPr>
          <w:color w:val="000000" w:themeColor="text1"/>
          <w:sz w:val="16"/>
          <w:szCs w:val="16"/>
        </w:rPr>
      </w:pPr>
    </w:p>
    <w:p w14:paraId="404B44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8511 О вывозе оборудования с немецких ремонтно-механических заводов в г. Глейвиц и с деревообделочного завода в г. Осьвенцим на предприятия Наркомстроя. РГАНИР, Фонд ГКО, д. 414, лл. 160-161 (11012).</w:t>
      </w:r>
    </w:p>
    <w:p w14:paraId="2284B8DD" w14:textId="77777777" w:rsidR="00665165" w:rsidRPr="00F90EAE" w:rsidRDefault="00665165" w:rsidP="00F90EAE">
      <w:pPr>
        <w:autoSpaceDE w:val="0"/>
        <w:autoSpaceDN w:val="0"/>
        <w:adjustRightInd w:val="0"/>
        <w:jc w:val="both"/>
        <w:rPr>
          <w:color w:val="000000" w:themeColor="text1"/>
          <w:sz w:val="16"/>
          <w:szCs w:val="16"/>
        </w:rPr>
      </w:pPr>
    </w:p>
    <w:p w14:paraId="58B4C9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8512 О вывозе оборудования с немецких деревообрабатывающих предприятий в г. г. Штольп и Прейс-Фридлянд. РГАНИР, Фонд ГКО, д. 414, лл. 162-163 (11012).</w:t>
      </w:r>
    </w:p>
    <w:p w14:paraId="2AA9F86C" w14:textId="77777777" w:rsidR="00665165" w:rsidRPr="00F90EAE" w:rsidRDefault="00665165" w:rsidP="00F90EAE">
      <w:pPr>
        <w:autoSpaceDE w:val="0"/>
        <w:autoSpaceDN w:val="0"/>
        <w:adjustRightInd w:val="0"/>
        <w:jc w:val="both"/>
        <w:rPr>
          <w:color w:val="000000" w:themeColor="text1"/>
          <w:sz w:val="16"/>
          <w:szCs w:val="16"/>
        </w:rPr>
      </w:pPr>
    </w:p>
    <w:p w14:paraId="55AC03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8513 О вывозе материалов, оборудования и инструмента, находящихся на санитарно-техническом складе, принадлежавшем немцу Ханедгзот, в г. Эльбинг для Наркомгражданстроя РСФСР. РГАНИР, Фонд ГКО, д. 414, лл. 164-165 (11012).</w:t>
      </w:r>
    </w:p>
    <w:p w14:paraId="430B5ACA" w14:textId="77777777" w:rsidR="00665165" w:rsidRPr="00F90EAE" w:rsidRDefault="00665165" w:rsidP="00F90EAE">
      <w:pPr>
        <w:autoSpaceDE w:val="0"/>
        <w:autoSpaceDN w:val="0"/>
        <w:adjustRightInd w:val="0"/>
        <w:jc w:val="both"/>
        <w:rPr>
          <w:color w:val="000000" w:themeColor="text1"/>
          <w:sz w:val="16"/>
          <w:szCs w:val="16"/>
        </w:rPr>
      </w:pPr>
    </w:p>
    <w:p w14:paraId="25A6BF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8514 О вывозе оборудования с немецкого рыбоконсервного завода в гор. Леба. РГАНИР, Фонд ГКО, д. 414, лл. 166 (11012).</w:t>
      </w:r>
    </w:p>
    <w:p w14:paraId="08FDA8AE" w14:textId="77777777" w:rsidR="00665165" w:rsidRPr="00F90EAE" w:rsidRDefault="00665165" w:rsidP="00F90EAE">
      <w:pPr>
        <w:autoSpaceDE w:val="0"/>
        <w:autoSpaceDN w:val="0"/>
        <w:adjustRightInd w:val="0"/>
        <w:jc w:val="both"/>
        <w:rPr>
          <w:color w:val="000000" w:themeColor="text1"/>
          <w:sz w:val="16"/>
          <w:szCs w:val="16"/>
        </w:rPr>
      </w:pPr>
    </w:p>
    <w:p w14:paraId="063CCE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8515 О вывозе оборудования с 4 немецких керамических заводов в г. г. Дейч-Лисса Лигниц, Тилловиц и Ратибор. РГАНИР, Фонд ГКО, д. 414, лл. 167-168 (11012).</w:t>
      </w:r>
    </w:p>
    <w:p w14:paraId="65BB08A4" w14:textId="77777777" w:rsidR="00665165" w:rsidRPr="00F90EAE" w:rsidRDefault="00665165" w:rsidP="00F90EAE">
      <w:pPr>
        <w:autoSpaceDE w:val="0"/>
        <w:autoSpaceDN w:val="0"/>
        <w:adjustRightInd w:val="0"/>
        <w:jc w:val="both"/>
        <w:rPr>
          <w:color w:val="000000" w:themeColor="text1"/>
          <w:sz w:val="16"/>
          <w:szCs w:val="16"/>
        </w:rPr>
      </w:pPr>
    </w:p>
    <w:p w14:paraId="534775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10 мая 1945 вышло Постановление ГКО № 8516 О вывозе оборудования с электростанции в районе г. Мускау. РГАНИР, Фонд ГКО, д. 414, лл. 169-170 (11012).</w:t>
      </w:r>
    </w:p>
    <w:p w14:paraId="7784436A" w14:textId="77777777" w:rsidR="00665165" w:rsidRPr="00F90EAE" w:rsidRDefault="00665165" w:rsidP="00F90EAE">
      <w:pPr>
        <w:autoSpaceDE w:val="0"/>
        <w:autoSpaceDN w:val="0"/>
        <w:adjustRightInd w:val="0"/>
        <w:jc w:val="both"/>
        <w:rPr>
          <w:color w:val="000000" w:themeColor="text1"/>
          <w:sz w:val="16"/>
          <w:szCs w:val="16"/>
        </w:rPr>
      </w:pPr>
    </w:p>
    <w:p w14:paraId="281B2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8517 О вывозе станочного оборудования с немецких авторемонтных заводов фирмы "В. Нишман и сыновья" и "К. Вальден" в г. Бреславль. РГАНИР, Фонд ГКО, д. 415, лл. 1-2 (11012).</w:t>
      </w:r>
    </w:p>
    <w:p w14:paraId="33DE76C4" w14:textId="77777777" w:rsidR="00665165" w:rsidRPr="00F90EAE" w:rsidRDefault="00665165" w:rsidP="00F90EAE">
      <w:pPr>
        <w:autoSpaceDE w:val="0"/>
        <w:autoSpaceDN w:val="0"/>
        <w:adjustRightInd w:val="0"/>
        <w:jc w:val="both"/>
        <w:rPr>
          <w:color w:val="000000" w:themeColor="text1"/>
          <w:sz w:val="16"/>
          <w:szCs w:val="16"/>
        </w:rPr>
      </w:pPr>
    </w:p>
    <w:p w14:paraId="787F1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8518 О частичных изменениях в постановлениях ГОКО о вывозе оборудования с трофейных предприятий. РГАНИР, Фонд ГКО, д. 415, лл. 3-4 (11012).</w:t>
      </w:r>
    </w:p>
    <w:p w14:paraId="3E7E7459" w14:textId="77777777" w:rsidR="00665165" w:rsidRPr="00F90EAE" w:rsidRDefault="00665165" w:rsidP="00F90EAE">
      <w:pPr>
        <w:autoSpaceDE w:val="0"/>
        <w:autoSpaceDN w:val="0"/>
        <w:adjustRightInd w:val="0"/>
        <w:jc w:val="both"/>
        <w:rPr>
          <w:color w:val="000000" w:themeColor="text1"/>
          <w:sz w:val="16"/>
          <w:szCs w:val="16"/>
        </w:rPr>
      </w:pPr>
    </w:p>
    <w:p w14:paraId="14426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8519 О вывозе оборудования с немецких заводов в городах Модлау и Гремсдорф на предприятия Наркомугля. РГАНИР, Фонд ГКО, д. 415, лл. 5-6 (11012).</w:t>
      </w:r>
    </w:p>
    <w:p w14:paraId="51DD140D" w14:textId="77777777" w:rsidR="00665165" w:rsidRPr="00F90EAE" w:rsidRDefault="00665165" w:rsidP="00F90EAE">
      <w:pPr>
        <w:autoSpaceDE w:val="0"/>
        <w:autoSpaceDN w:val="0"/>
        <w:adjustRightInd w:val="0"/>
        <w:jc w:val="both"/>
        <w:rPr>
          <w:color w:val="000000" w:themeColor="text1"/>
          <w:sz w:val="16"/>
          <w:szCs w:val="16"/>
        </w:rPr>
      </w:pPr>
    </w:p>
    <w:p w14:paraId="29570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8520 О частичных изменениях постановлений ГОКО о вывозе оборудования с территории Венгрии. РГАНИР, Фонд ГКО, д. 415, лл. 7-8 (11012).</w:t>
      </w:r>
    </w:p>
    <w:p w14:paraId="0A85489C" w14:textId="77777777" w:rsidR="00665165" w:rsidRPr="00F90EAE" w:rsidRDefault="00665165" w:rsidP="00F90EAE">
      <w:pPr>
        <w:autoSpaceDE w:val="0"/>
        <w:autoSpaceDN w:val="0"/>
        <w:adjustRightInd w:val="0"/>
        <w:jc w:val="both"/>
        <w:rPr>
          <w:color w:val="000000" w:themeColor="text1"/>
          <w:sz w:val="16"/>
          <w:szCs w:val="16"/>
        </w:rPr>
      </w:pPr>
    </w:p>
    <w:p w14:paraId="363F4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8521 О вывозе оборудования с немецких предприятий бумажной промышленности в г. г. Бунцлау, Поллнов, Кюстрин и Штеттин. РГАНИР, Фонд ГКО, д. 415, лл. 9-10 (11012).</w:t>
      </w:r>
    </w:p>
    <w:p w14:paraId="3593F137" w14:textId="77777777" w:rsidR="00665165" w:rsidRPr="00F90EAE" w:rsidRDefault="00665165" w:rsidP="00F90EAE">
      <w:pPr>
        <w:autoSpaceDE w:val="0"/>
        <w:autoSpaceDN w:val="0"/>
        <w:adjustRightInd w:val="0"/>
        <w:jc w:val="both"/>
        <w:rPr>
          <w:color w:val="000000" w:themeColor="text1"/>
          <w:sz w:val="16"/>
          <w:szCs w:val="16"/>
        </w:rPr>
      </w:pPr>
    </w:p>
    <w:p w14:paraId="07999F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8522 О вывозе оборудования электростанции снаряжательного завода в районе г. Голлнов. РГАНИР, Фонд ГКО, д. 415, лл. 11 (11012).</w:t>
      </w:r>
    </w:p>
    <w:p w14:paraId="2B7A67CB" w14:textId="77777777" w:rsidR="00665165" w:rsidRPr="00F90EAE" w:rsidRDefault="00665165" w:rsidP="00F90EAE">
      <w:pPr>
        <w:autoSpaceDE w:val="0"/>
        <w:autoSpaceDN w:val="0"/>
        <w:adjustRightInd w:val="0"/>
        <w:jc w:val="both"/>
        <w:rPr>
          <w:color w:val="000000" w:themeColor="text1"/>
          <w:sz w:val="16"/>
          <w:szCs w:val="16"/>
        </w:rPr>
      </w:pPr>
    </w:p>
    <w:p w14:paraId="11EC90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8523 О вывозе оборудования с немецкого металлообрабатывающего завода Августа Штеллинга на станции Езеритц. РГАНИР, Фонд ГКО, д. 415, лл. 12-13 (11012).</w:t>
      </w:r>
    </w:p>
    <w:p w14:paraId="3B5FB44B" w14:textId="77777777" w:rsidR="00665165" w:rsidRPr="00F90EAE" w:rsidRDefault="00665165" w:rsidP="00F90EAE">
      <w:pPr>
        <w:autoSpaceDE w:val="0"/>
        <w:autoSpaceDN w:val="0"/>
        <w:adjustRightInd w:val="0"/>
        <w:jc w:val="both"/>
        <w:rPr>
          <w:color w:val="000000" w:themeColor="text1"/>
          <w:sz w:val="16"/>
          <w:szCs w:val="16"/>
        </w:rPr>
      </w:pPr>
    </w:p>
    <w:p w14:paraId="61946C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8524 О вывозе оборудования с немецких машиностроительных заводов на заводы Наркомсредмаша. РГАНИР, Фонд ГКО, д. 415, лл. 14-15, 16 (11012).</w:t>
      </w:r>
    </w:p>
    <w:p w14:paraId="1603E688" w14:textId="77777777" w:rsidR="00665165" w:rsidRPr="00F90EAE" w:rsidRDefault="00665165" w:rsidP="00F90EAE">
      <w:pPr>
        <w:autoSpaceDE w:val="0"/>
        <w:autoSpaceDN w:val="0"/>
        <w:adjustRightInd w:val="0"/>
        <w:jc w:val="both"/>
        <w:rPr>
          <w:color w:val="000000" w:themeColor="text1"/>
          <w:sz w:val="16"/>
          <w:szCs w:val="16"/>
        </w:rPr>
      </w:pPr>
    </w:p>
    <w:p w14:paraId="2EAFB5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8525 О вывозе оборудования с немецких заводов в г. г. Котбус и Кенигсвальде. РГАНИР, Фонд ГКО, д. 415, лл. 17-18 (11012).</w:t>
      </w:r>
    </w:p>
    <w:p w14:paraId="25C02A7A" w14:textId="77777777" w:rsidR="00665165" w:rsidRPr="00F90EAE" w:rsidRDefault="00665165" w:rsidP="00F90EAE">
      <w:pPr>
        <w:autoSpaceDE w:val="0"/>
        <w:autoSpaceDN w:val="0"/>
        <w:adjustRightInd w:val="0"/>
        <w:jc w:val="both"/>
        <w:rPr>
          <w:color w:val="000000" w:themeColor="text1"/>
          <w:sz w:val="16"/>
          <w:szCs w:val="16"/>
        </w:rPr>
      </w:pPr>
    </w:p>
    <w:p w14:paraId="582A6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8526 О вывозе оборудования с немецких электротехнического, машиностроительного и литейно-механического заводов в г. г. Вена, Хиртенберг и Бунцлау на предприятия НКПС. РГАНИР, Фонд ГКО, д. 415, лл. 19-20 (11012).</w:t>
      </w:r>
    </w:p>
    <w:p w14:paraId="6D45CB15" w14:textId="77777777" w:rsidR="00665165" w:rsidRPr="00F90EAE" w:rsidRDefault="00665165" w:rsidP="00F90EAE">
      <w:pPr>
        <w:autoSpaceDE w:val="0"/>
        <w:autoSpaceDN w:val="0"/>
        <w:adjustRightInd w:val="0"/>
        <w:jc w:val="both"/>
        <w:rPr>
          <w:color w:val="000000" w:themeColor="text1"/>
          <w:sz w:val="16"/>
          <w:szCs w:val="16"/>
        </w:rPr>
      </w:pPr>
    </w:p>
    <w:p w14:paraId="298CC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8527 О вывозе оборудования с немецкого лесопильного завода фирмы "Финкельштейн" в г. Шенбург. РГАНИР, Фонд ГКО, д. 415, лл. 21 (11012).</w:t>
      </w:r>
    </w:p>
    <w:p w14:paraId="19DAF7AB" w14:textId="77777777" w:rsidR="00665165" w:rsidRPr="00F90EAE" w:rsidRDefault="00665165" w:rsidP="00F90EAE">
      <w:pPr>
        <w:autoSpaceDE w:val="0"/>
        <w:autoSpaceDN w:val="0"/>
        <w:adjustRightInd w:val="0"/>
        <w:jc w:val="both"/>
        <w:rPr>
          <w:color w:val="000000" w:themeColor="text1"/>
          <w:sz w:val="16"/>
          <w:szCs w:val="16"/>
        </w:rPr>
      </w:pPr>
    </w:p>
    <w:p w14:paraId="005C15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8528 О вывозе оборудования с 5 немецких суконных фабрик в г. Фалькенбург. РГАНИР, Фонд ГКО, д. 415, лл. 22 (11012).</w:t>
      </w:r>
    </w:p>
    <w:p w14:paraId="67B42939" w14:textId="77777777" w:rsidR="00665165" w:rsidRPr="00F90EAE" w:rsidRDefault="00665165" w:rsidP="00F90EAE">
      <w:pPr>
        <w:autoSpaceDE w:val="0"/>
        <w:autoSpaceDN w:val="0"/>
        <w:adjustRightInd w:val="0"/>
        <w:jc w:val="both"/>
        <w:rPr>
          <w:color w:val="000000" w:themeColor="text1"/>
          <w:sz w:val="16"/>
          <w:szCs w:val="16"/>
        </w:rPr>
      </w:pPr>
    </w:p>
    <w:p w14:paraId="059E6F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8529 О вывозе оборудования с немецких механических мастерских из района г. Берлин и с механического завода в г. Хоппенгартен на предприятия Гражданского воздушного флота. РГАНИР, Фонд ГКО, д. 415, лл. 23-24 (11012).</w:t>
      </w:r>
    </w:p>
    <w:p w14:paraId="2A353DD5" w14:textId="77777777" w:rsidR="00665165" w:rsidRPr="00F90EAE" w:rsidRDefault="00665165" w:rsidP="00F90EAE">
      <w:pPr>
        <w:autoSpaceDE w:val="0"/>
        <w:autoSpaceDN w:val="0"/>
        <w:adjustRightInd w:val="0"/>
        <w:jc w:val="both"/>
        <w:rPr>
          <w:color w:val="000000" w:themeColor="text1"/>
          <w:sz w:val="16"/>
          <w:szCs w:val="16"/>
        </w:rPr>
      </w:pPr>
    </w:p>
    <w:p w14:paraId="5791ED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8530 О вывозе мостовых кранов со складов в г. Циленцик (Германия). РГАНИР, Фонд ГКО, д. 415, лл. 25 (11012).</w:t>
      </w:r>
    </w:p>
    <w:p w14:paraId="14418DF5" w14:textId="77777777" w:rsidR="00665165" w:rsidRPr="00F90EAE" w:rsidRDefault="00665165" w:rsidP="00F90EAE">
      <w:pPr>
        <w:autoSpaceDE w:val="0"/>
        <w:autoSpaceDN w:val="0"/>
        <w:adjustRightInd w:val="0"/>
        <w:jc w:val="both"/>
        <w:rPr>
          <w:color w:val="000000" w:themeColor="text1"/>
          <w:sz w:val="16"/>
          <w:szCs w:val="16"/>
        </w:rPr>
      </w:pPr>
    </w:p>
    <w:p w14:paraId="31EFBA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8531 О вывозе портальных кранов с немецкого склада артиллерийского имущества в поселке Курциг (Германия). РГАНИР, Фонд ГКО, д. 415, лл. 26-27 (11012).</w:t>
      </w:r>
    </w:p>
    <w:p w14:paraId="54D1EFA7" w14:textId="77777777" w:rsidR="00665165" w:rsidRPr="00F90EAE" w:rsidRDefault="00665165" w:rsidP="00F90EAE">
      <w:pPr>
        <w:autoSpaceDE w:val="0"/>
        <w:autoSpaceDN w:val="0"/>
        <w:adjustRightInd w:val="0"/>
        <w:jc w:val="both"/>
        <w:rPr>
          <w:color w:val="000000" w:themeColor="text1"/>
          <w:sz w:val="16"/>
          <w:szCs w:val="16"/>
        </w:rPr>
      </w:pPr>
    </w:p>
    <w:p w14:paraId="14E3B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8532 О вывозе оборудования по производству деталей машин для табачной промышленности и компрессоров завода фирмы "Табак ингук специалмашинненфабрик Гофнер-Шранц Гезельшафт МБГ" в г. Вена. РГАНИР, Фонд ГКО, д. 415, лл. 28-29 (11012).</w:t>
      </w:r>
    </w:p>
    <w:p w14:paraId="7E78B340" w14:textId="77777777" w:rsidR="00665165" w:rsidRPr="00F90EAE" w:rsidRDefault="00665165" w:rsidP="00F90EAE">
      <w:pPr>
        <w:autoSpaceDE w:val="0"/>
        <w:autoSpaceDN w:val="0"/>
        <w:adjustRightInd w:val="0"/>
        <w:jc w:val="both"/>
        <w:rPr>
          <w:color w:val="000000" w:themeColor="text1"/>
          <w:sz w:val="16"/>
          <w:szCs w:val="16"/>
        </w:rPr>
      </w:pPr>
    </w:p>
    <w:p w14:paraId="778189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8533 О вывозе оборудования немецких судостроительных и судоремонтных верфей, корабельного оборудования и плавучих технических средств из г. г. Данциг и Гдыня. РГАНИР, Фонд ГКО, д. 415, лл. 30-34 (11012).</w:t>
      </w:r>
    </w:p>
    <w:p w14:paraId="3F80DE4E" w14:textId="77777777" w:rsidR="00665165" w:rsidRPr="00F90EAE" w:rsidRDefault="00665165" w:rsidP="00F90EAE">
      <w:pPr>
        <w:autoSpaceDE w:val="0"/>
        <w:autoSpaceDN w:val="0"/>
        <w:adjustRightInd w:val="0"/>
        <w:jc w:val="both"/>
        <w:rPr>
          <w:color w:val="000000" w:themeColor="text1"/>
          <w:sz w:val="16"/>
          <w:szCs w:val="16"/>
        </w:rPr>
      </w:pPr>
    </w:p>
    <w:p w14:paraId="4DDD1E7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СНК № 1032 О поставке Центросоюзу ТШП и инструмента для нужд с/х. Воватывал НКСМ, НКТяжМ, НКМестпром и др. в т.ч. и оборонные - НКБ и НКВ (7543, 61).</w:t>
      </w:r>
    </w:p>
    <w:p w14:paraId="36E79E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B9FB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мая 1945 г. Совет Народных Комиссаров СССР принялПостановление № 1032</w:t>
      </w:r>
    </w:p>
    <w:p w14:paraId="6FDF64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682433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поставке Центросоюзу товаров широкого потребления и инструмента для нужд сельского хозяйства</w:t>
      </w:r>
    </w:p>
    <w:p w14:paraId="4FD2EC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Совет Народных Комиссаров Союза ССР ПОСТАНОВЛЯЕТ:</w:t>
      </w:r>
    </w:p>
    <w:p w14:paraId="69D408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Обязать Наркомсредмаш, Наркомтяжмаш, Нарком-местпром РСФСР, Наркомлес РСФСР и Управление промкооперации при Совнаркоме РСФСР изготовить сверх плана производства и поставить во П квартале 1945 г. Центросоюзу следующие товары широкого по</w:t>
      </w:r>
      <w:r w:rsidRPr="00F90EAE">
        <w:rPr>
          <w:color w:val="000000" w:themeColor="text1"/>
          <w:sz w:val="16"/>
          <w:szCs w:val="16"/>
        </w:rPr>
        <w:softHyphen/>
        <w:t>требления:</w:t>
      </w:r>
    </w:p>
    <w:p w14:paraId="064604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Наркомсредмаш</w:t>
      </w:r>
    </w:p>
    <w:p w14:paraId="471980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Железные копальные лопаты тыс .шт 80</w:t>
      </w:r>
    </w:p>
    <w:p w14:paraId="3868E9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Костоотбойные молотки и бабки —"— 40</w:t>
      </w:r>
    </w:p>
    <w:p w14:paraId="2BDEF9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Фонари -"- 20</w:t>
      </w:r>
    </w:p>
    <w:p w14:paraId="24201A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Наркомтяжмаш</w:t>
      </w:r>
    </w:p>
    <w:p w14:paraId="7E976C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Железные копальные лопаты тыс. шт. 6,0</w:t>
      </w:r>
    </w:p>
    <w:p w14:paraId="123BCE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Управление промкооперации при Совнаркоме РСФСР</w:t>
      </w:r>
    </w:p>
    <w:p w14:paraId="1B67C9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Веревка хозяйственная тонн 600</w:t>
      </w:r>
    </w:p>
    <w:p w14:paraId="77AF00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Ножницы для стрижки овец тыс.шт. 20</w:t>
      </w:r>
    </w:p>
    <w:p w14:paraId="0FA5A9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Наркомместром РСФСР</w:t>
      </w:r>
    </w:p>
    <w:p w14:paraId="616E96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Топоры плотничьи тыс.шт. 25</w:t>
      </w:r>
    </w:p>
    <w:p w14:paraId="6A982A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Веревка хозяйственная тонн 200</w:t>
      </w:r>
    </w:p>
    <w:p w14:paraId="6A9D39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Наркомлес РСФСР</w:t>
      </w:r>
    </w:p>
    <w:p w14:paraId="2CA935F2"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хомутовые тыс.пар 5</w:t>
      </w:r>
    </w:p>
    <w:p w14:paraId="728750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Обязать Наркомтекстиль СССР выделить во П квар</w:t>
      </w:r>
      <w:r w:rsidRPr="00F90EAE">
        <w:rPr>
          <w:color w:val="000000" w:themeColor="text1"/>
          <w:sz w:val="16"/>
          <w:szCs w:val="16"/>
        </w:rPr>
        <w:softHyphen/>
        <w:t>тале 1945 года:</w:t>
      </w:r>
    </w:p>
    <w:p w14:paraId="4C28BC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Наркомместпрому РСФСР 250 тонн и Управлению промкооперации при Совнаркоме РСФСР 1000 тонн ко</w:t>
      </w:r>
      <w:r w:rsidRPr="00F90EAE">
        <w:rPr>
          <w:color w:val="000000" w:themeColor="text1"/>
          <w:sz w:val="16"/>
          <w:szCs w:val="16"/>
        </w:rPr>
        <w:softHyphen/>
        <w:t>роткого льноволокна за счет остатков на льнозаводах для выработки хозяйственной веревки и поставки ее Центро</w:t>
      </w:r>
      <w:r w:rsidRPr="00F90EAE">
        <w:rPr>
          <w:color w:val="000000" w:themeColor="text1"/>
          <w:sz w:val="16"/>
          <w:szCs w:val="16"/>
        </w:rPr>
        <w:softHyphen/>
        <w:t>союзу;</w:t>
      </w:r>
    </w:p>
    <w:p w14:paraId="51CED8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Управлению промкооперации при Совнаркоме РСФСР за счет производства 4000 метров реставриро</w:t>
      </w:r>
      <w:r w:rsidRPr="00F90EAE">
        <w:rPr>
          <w:color w:val="000000" w:themeColor="text1"/>
          <w:sz w:val="16"/>
          <w:szCs w:val="16"/>
        </w:rPr>
        <w:softHyphen/>
        <w:t>ванной кардо-ленты.</w:t>
      </w:r>
    </w:p>
    <w:p w14:paraId="074856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Обязать Наркомлегпром СССР выделить во П квар</w:t>
      </w:r>
      <w:r w:rsidRPr="00F90EAE">
        <w:rPr>
          <w:color w:val="000000" w:themeColor="text1"/>
          <w:sz w:val="16"/>
          <w:szCs w:val="16"/>
        </w:rPr>
        <w:softHyphen/>
        <w:t>тале 1945 года Центросоюзу за счет производства 5 тыс. метров шорно-седельного кожзаменителя, 20 тонн шор</w:t>
      </w:r>
      <w:r w:rsidRPr="00F90EAE">
        <w:rPr>
          <w:color w:val="000000" w:themeColor="text1"/>
          <w:sz w:val="16"/>
          <w:szCs w:val="16"/>
        </w:rPr>
        <w:softHyphen/>
        <w:t>ного войлока и 3 тонны сыромяти.</w:t>
      </w:r>
    </w:p>
    <w:p w14:paraId="7D3879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Обязать Управление промкооперации при Совнар</w:t>
      </w:r>
      <w:r w:rsidRPr="00F90EAE">
        <w:rPr>
          <w:color w:val="000000" w:themeColor="text1"/>
          <w:sz w:val="16"/>
          <w:szCs w:val="16"/>
        </w:rPr>
        <w:softHyphen/>
        <w:t>коме РСФСР изготовить и поставить во П квартале 1945 г. Центросоюзу 120 тонн подхомутного и шорного войлока.</w:t>
      </w:r>
    </w:p>
    <w:p w14:paraId="7A8CC1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Обязать Наркомчермет, Наркомтекстиль СССР, Нар-комстанкостроения и Главнефтеснаб при Совнарко</w:t>
      </w:r>
      <w:r w:rsidRPr="00F90EAE">
        <w:rPr>
          <w:color w:val="000000" w:themeColor="text1"/>
          <w:sz w:val="16"/>
          <w:szCs w:val="16"/>
        </w:rPr>
        <w:softHyphen/>
        <w:t>ме СССР поставить во П квартале 1945 г. Наркомсред-машу, Наркомтяжмашу, Наркомместпрому РСФСР и Управлению промкооперации при Совнаркоме РСФСР для изготовления товаров широкого потребления сырье и материалы согласно приложению № Г.</w:t>
      </w:r>
    </w:p>
    <w:p w14:paraId="04E67B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6. Обязать Наркомчермет, Наркомстанкостроения, Наркомбоеприпасов</w:t>
      </w:r>
      <w:r w:rsidRPr="00F90EAE">
        <w:rPr>
          <w:color w:val="000000" w:themeColor="text1"/>
          <w:sz w:val="16"/>
          <w:szCs w:val="16"/>
          <w:vertAlign w:val="superscript"/>
        </w:rPr>
        <w:t>4</w:t>
      </w:r>
      <w:r w:rsidRPr="00F90EAE">
        <w:rPr>
          <w:color w:val="000000" w:themeColor="text1"/>
          <w:sz w:val="16"/>
          <w:szCs w:val="16"/>
        </w:rPr>
        <w:t>, Управление промкооперации при Совнаркоме РСФСР и Укоопромсовет изготовить и по</w:t>
      </w:r>
      <w:r w:rsidRPr="00F90EAE">
        <w:rPr>
          <w:color w:val="000000" w:themeColor="text1"/>
          <w:sz w:val="16"/>
          <w:szCs w:val="16"/>
        </w:rPr>
        <w:softHyphen/>
        <w:t>ставить во П квартале 1945 г. Центросоюзу в счет его фондов товары широкого потребления и инструмент со</w:t>
      </w:r>
      <w:r w:rsidRPr="00F90EAE">
        <w:rPr>
          <w:color w:val="000000" w:themeColor="text1"/>
          <w:sz w:val="16"/>
          <w:szCs w:val="16"/>
        </w:rPr>
        <w:softHyphen/>
        <w:t>гласно приложению № 2**,</w:t>
      </w:r>
    </w:p>
    <w:p w14:paraId="19262A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Обязать Наркомместпром РСФСР и Управление промкооперации при Совнаркоме РСФСР изготовить во П квартале 1945 г. Центросоюзу по его спецификации</w:t>
      </w:r>
    </w:p>
    <w:p w14:paraId="684986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сверх плана производства слесарно-монтажного инстру</w:t>
      </w:r>
      <w:r w:rsidRPr="00F90EAE">
        <w:rPr>
          <w:color w:val="000000" w:themeColor="text1"/>
          <w:sz w:val="16"/>
          <w:szCs w:val="16"/>
        </w:rPr>
        <w:softHyphen/>
        <w:t>мента, напильников и фурнитуры на сумму 375 тыс. руб., в том числе: Наркомместпром РСФСР на 100 тыс. рублей и Управление промкооперации при Совнаркоме РСФСР на 275 тыс. рублей.</w:t>
      </w:r>
    </w:p>
    <w:p w14:paraId="67A9D8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Обязать Центросоюз совместно с Наркомземом СССР в декадный срок утвердить план завоза товаров широкого потребления в отдельные республики, края и области.</w:t>
      </w:r>
    </w:p>
    <w:p w14:paraId="79E29C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 Председателя Совета Народных Комиссаров Союза ССР</w:t>
      </w:r>
    </w:p>
    <w:p w14:paraId="0588C5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Управляющий Делами Совета народных комиссаров СССР</w:t>
      </w:r>
    </w:p>
    <w:p w14:paraId="6B0733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Н.Вознесенский</w:t>
      </w:r>
    </w:p>
    <w:p w14:paraId="0E4BFB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Я.Чадаев</w:t>
      </w:r>
    </w:p>
    <w:p w14:paraId="13F61B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ГАРФ. Ф. 5446. Оп. 1. Д. 252. Л. 1-3. Подлинник (11461).</w:t>
      </w:r>
    </w:p>
    <w:p w14:paraId="6387619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BB6D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г. была отгружена трофейная опытная установка по выпуску фосфорорганического ОВ второго поколения - зарина - из Дихернфурта-на-Одере в Москву, в головной институт по разработке новейшего химического оружия (нынешний ГСНИИОХТ) (9067).</w:t>
      </w:r>
    </w:p>
    <w:p w14:paraId="10204029" w14:textId="77777777" w:rsidR="00665165" w:rsidRPr="00F90EAE" w:rsidRDefault="00665165" w:rsidP="00F90EAE">
      <w:pPr>
        <w:autoSpaceDE w:val="0"/>
        <w:autoSpaceDN w:val="0"/>
        <w:adjustRightInd w:val="0"/>
        <w:jc w:val="both"/>
        <w:rPr>
          <w:color w:val="000000" w:themeColor="text1"/>
          <w:sz w:val="16"/>
          <w:szCs w:val="16"/>
        </w:rPr>
      </w:pPr>
    </w:p>
    <w:p w14:paraId="404A30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мая 1945 г. ГКО принимает постановление о направлении имущества Физического института в Москву в адрес Лаборатории № 2. Одним из важнейших результатов деятельности группы явилось обнаружение и вывоз в СССР около 100 т урановых соединений (11254).</w:t>
      </w:r>
    </w:p>
    <w:p w14:paraId="79221D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CCB87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мая 1945 г. было Письмо немецкого физика М. фон Арденне И.В. Сталину о согласии работать «с научными учреждениями СССР»</w:t>
      </w:r>
    </w:p>
    <w:p w14:paraId="1729ED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Манфред фон Арденне</w:t>
      </w:r>
    </w:p>
    <w:p w14:paraId="3E8D25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Исследовательская лаборатория электронной физики</w:t>
      </w:r>
    </w:p>
    <w:p w14:paraId="47ED49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Берлин-Л ихтерфельде- Ост, Юнгфернштиг, 19.</w:t>
      </w:r>
    </w:p>
    <w:p w14:paraId="75211A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Г[осподи]ну председателю Совета Народных Комиссаров СССР Москва, Кремль</w:t>
      </w:r>
    </w:p>
    <w:p w14:paraId="1203C9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Ссылаясь на сегодняшний осмотр</w:t>
      </w:r>
      <w:r w:rsidRPr="00F90EAE">
        <w:rPr>
          <w:color w:val="000000" w:themeColor="text1"/>
          <w:sz w:val="16"/>
          <w:szCs w:val="16"/>
          <w:vertAlign w:val="superscript"/>
        </w:rPr>
        <w:t>1</w:t>
      </w:r>
      <w:r w:rsidRPr="00F90EAE">
        <w:rPr>
          <w:color w:val="000000" w:themeColor="text1"/>
          <w:sz w:val="16"/>
          <w:szCs w:val="16"/>
        </w:rPr>
        <w:t xml:space="preserve"> моего исследовательского института (Берлин-Лихтерфельде-Ост, Юнгферштиг, 19) и до сих пор руководимого мною бывшего института физики ядра при имперском министерстве почт, я приношу уверения, что буду с особой радостью приветствовать совместную работу моих, упомянутых выше и оставшихся вполне работоспособными, институтов с центральными научными учреждениями СССР.</w:t>
      </w:r>
    </w:p>
    <w:p w14:paraId="364D2B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Мои институты в настоящее время работают над следующими основны</w:t>
      </w:r>
      <w:r w:rsidRPr="00F90EAE">
        <w:rPr>
          <w:color w:val="000000" w:themeColor="text1"/>
          <w:sz w:val="16"/>
          <w:szCs w:val="16"/>
        </w:rPr>
        <w:softHyphen/>
        <w:t>ми вопросами:</w:t>
      </w:r>
    </w:p>
    <w:p w14:paraId="4981A9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Сверхмикроскопические исследования с двумя наиболее мощными сверхмикроскопами в мире;</w:t>
      </w:r>
    </w:p>
    <w:p w14:paraId="0E496B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Исследования в области физики ядра, особенно индикаторным мето</w:t>
      </w:r>
      <w:r w:rsidRPr="00F90EAE">
        <w:rPr>
          <w:color w:val="000000" w:themeColor="text1"/>
          <w:sz w:val="16"/>
          <w:szCs w:val="16"/>
        </w:rPr>
        <w:softHyphen/>
        <w:t>дом при помощи радиоактивных и стабильных изотопов (атомо-преобразо-вательная установка в 1 млн вольт, лаборатория счетных аппаратов, магнит</w:t>
      </w:r>
      <w:r w:rsidRPr="00F90EAE">
        <w:rPr>
          <w:color w:val="000000" w:themeColor="text1"/>
          <w:sz w:val="16"/>
          <w:szCs w:val="16"/>
        </w:rPr>
        <w:softHyphen/>
        <w:t>ный разобщитель изотопов, масс-спектрометр);</w:t>
      </w:r>
    </w:p>
    <w:p w14:paraId="31B00C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Регистрирующий масс-спектрометр для количественного химическо</w:t>
      </w:r>
      <w:r w:rsidRPr="00F90EAE">
        <w:rPr>
          <w:color w:val="000000" w:themeColor="text1"/>
          <w:sz w:val="16"/>
          <w:szCs w:val="16"/>
        </w:rPr>
        <w:softHyphen/>
        <w:t>го анализа газообразных, жидких и твердых тел;</w:t>
      </w:r>
    </w:p>
    <w:p w14:paraId="49D632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Окончание изготовления 60-тонной циклотронной установки.</w:t>
      </w:r>
    </w:p>
    <w:p w14:paraId="396420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Главные задачи:</w:t>
      </w:r>
    </w:p>
    <w:p w14:paraId="512F35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улучшение разрешающей силы у сверхмикроскопа с целью увидеть от</w:t>
      </w:r>
      <w:r w:rsidRPr="00F90EAE">
        <w:rPr>
          <w:color w:val="000000" w:themeColor="text1"/>
          <w:sz w:val="16"/>
          <w:szCs w:val="16"/>
        </w:rPr>
        <w:softHyphen/>
        <w:t>дельные атомы;</w:t>
      </w:r>
    </w:p>
    <w:p w14:paraId="1B3646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разделение изотопов в количествах, поддающихся взвешиванию;</w:t>
      </w:r>
    </w:p>
    <w:p w14:paraId="0C35F4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биохимические исследования по индикаторному методу;</w:t>
      </w:r>
    </w:p>
    <w:p w14:paraId="0CDFFB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соображения по радиолокации на больших расстояниях;</w:t>
      </w:r>
    </w:p>
    <w:p w14:paraId="07BE40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использование уже построенного большого стереоскопического аппара</w:t>
      </w:r>
      <w:r w:rsidRPr="00F90EAE">
        <w:rPr>
          <w:color w:val="000000" w:themeColor="text1"/>
          <w:sz w:val="16"/>
          <w:szCs w:val="16"/>
        </w:rPr>
        <w:softHyphen/>
        <w:t>та с поляризованным светом для обучения молодых научных кадров.</w:t>
      </w:r>
    </w:p>
    <w:p w14:paraId="28AEBA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сегодняшнего дня я представляю в распоряжение Советского прави</w:t>
      </w:r>
      <w:r w:rsidRPr="00F90EAE">
        <w:rPr>
          <w:color w:val="000000" w:themeColor="text1"/>
          <w:sz w:val="16"/>
          <w:szCs w:val="16"/>
        </w:rPr>
        <w:softHyphen/>
        <w:t>тельства мои институты и самого себя.</w:t>
      </w:r>
    </w:p>
    <w:p w14:paraId="524241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С совершенным почтением Манфред фон Арденне </w:t>
      </w:r>
    </w:p>
    <w:p w14:paraId="52D736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Перевел с немецкого Ал. Гумилев</w:t>
      </w:r>
    </w:p>
    <w:p w14:paraId="25536B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Публикуется по: Атомный проект в СССР: Док. и матер. Т. 1. Ч. 2. С. 288-289 (11419).</w:t>
      </w:r>
    </w:p>
    <w:p w14:paraId="0C51D4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A61126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90C08FB" w14:textId="77777777" w:rsidR="00665165" w:rsidRPr="00F90EAE" w:rsidRDefault="00665165" w:rsidP="00F90EAE">
      <w:pPr>
        <w:autoSpaceDE w:val="0"/>
        <w:autoSpaceDN w:val="0"/>
        <w:adjustRightInd w:val="0"/>
        <w:jc w:val="both"/>
        <w:rPr>
          <w:iCs/>
          <w:color w:val="000000" w:themeColor="text1"/>
          <w:sz w:val="16"/>
          <w:szCs w:val="16"/>
        </w:rPr>
      </w:pPr>
    </w:p>
    <w:p w14:paraId="1DC15FED" w14:textId="77777777" w:rsidR="0025587C" w:rsidRPr="00F90EAE" w:rsidRDefault="0025587C" w:rsidP="00F90EAE">
      <w:pPr>
        <w:jc w:val="both"/>
        <w:rPr>
          <w:color w:val="000000" w:themeColor="text1"/>
          <w:sz w:val="16"/>
          <w:szCs w:val="16"/>
        </w:rPr>
      </w:pPr>
      <w:r w:rsidRPr="00F90EAE">
        <w:rPr>
          <w:color w:val="000000" w:themeColor="text1"/>
          <w:sz w:val="16"/>
          <w:szCs w:val="16"/>
        </w:rPr>
        <w:t>10 мая в 1945 году оперативная сводка Совинформбюро:</w:t>
      </w:r>
    </w:p>
    <w:p w14:paraId="1E89B94D" w14:textId="77777777" w:rsidR="0025587C" w:rsidRPr="00F90EAE" w:rsidRDefault="0025587C" w:rsidP="00F90EAE">
      <w:pPr>
        <w:jc w:val="both"/>
        <w:rPr>
          <w:color w:val="000000" w:themeColor="text1"/>
          <w:sz w:val="16"/>
          <w:szCs w:val="16"/>
        </w:rPr>
      </w:pPr>
      <w:r w:rsidRPr="00F90EAE">
        <w:rPr>
          <w:color w:val="000000" w:themeColor="text1"/>
          <w:sz w:val="16"/>
          <w:szCs w:val="16"/>
        </w:rPr>
        <w:t>«В течение 10 мая войска Ленинградского фронта продолжали приём капитулировавших соединений и частей Курляндской группы немецких войск. К 8 часам утра 10 мая сдалось в плен 68.578 немецких солдат и унтер-офицеров, 1.982 офицера и 13 генералов. В числе генералов командующий Курляндской группой немецких армий генерал от инфантерии Гильперт, командующий 16 армией генерал-лейтенант Фолькамер, командующий 18 армией генерал-лейтенант Беге, командир 2 армейского корпуса генерал-лейтенант Гаусе, командир 122 пехотной дивизии генерал-майор</w:t>
      </w:r>
    </w:p>
    <w:p w14:paraId="24968D46" w14:textId="77777777" w:rsidR="0025587C" w:rsidRPr="00F90EAE" w:rsidRDefault="0025587C" w:rsidP="00F90EAE">
      <w:pPr>
        <w:jc w:val="both"/>
        <w:rPr>
          <w:color w:val="000000" w:themeColor="text1"/>
          <w:sz w:val="16"/>
          <w:szCs w:val="16"/>
        </w:rPr>
      </w:pPr>
      <w:r w:rsidRPr="00F90EAE">
        <w:rPr>
          <w:color w:val="000000" w:themeColor="text1"/>
          <w:sz w:val="16"/>
          <w:szCs w:val="16"/>
        </w:rPr>
        <w:t>Шатц, командир 126 пехотной дивизии генерал-майор Хелинг, командир 329 пехотной дивизии генерал-лейтенант Меннель. Учтены следующие трофеи: танков и самоходных орудий—143, самолётов—68, полевых орудий—532, миномётов—146, пулемётов—1.421, винтовок и автоматов—8.870, бронетранспортёров—50, автомашин— 1.112, тракторов и тягачей—106, радиостанций—104, повозок с военными грузами— 470, лошадей—3.313. Приём пленных и учёт трофеев продолжается.</w:t>
      </w:r>
    </w:p>
    <w:p w14:paraId="3EB68927" w14:textId="77777777" w:rsidR="0025587C" w:rsidRPr="00F90EAE" w:rsidRDefault="0025587C" w:rsidP="00F90EAE">
      <w:pPr>
        <w:jc w:val="both"/>
        <w:rPr>
          <w:color w:val="000000" w:themeColor="text1"/>
          <w:sz w:val="16"/>
          <w:szCs w:val="16"/>
        </w:rPr>
      </w:pPr>
      <w:r w:rsidRPr="00F90EAE">
        <w:rPr>
          <w:color w:val="000000" w:themeColor="text1"/>
          <w:sz w:val="16"/>
          <w:szCs w:val="16"/>
        </w:rPr>
        <w:t>Войсками фронта заняты города Виндава (Вэнтспилс), Талси, Кулдига.</w:t>
      </w:r>
    </w:p>
    <w:p w14:paraId="7BB86505" w14:textId="77777777" w:rsidR="0025587C" w:rsidRPr="00F90EAE" w:rsidRDefault="0025587C" w:rsidP="00F90EAE">
      <w:pPr>
        <w:jc w:val="both"/>
        <w:rPr>
          <w:color w:val="000000" w:themeColor="text1"/>
          <w:sz w:val="16"/>
          <w:szCs w:val="16"/>
        </w:rPr>
      </w:pPr>
      <w:r w:rsidRPr="00F90EAE">
        <w:rPr>
          <w:color w:val="000000" w:themeColor="text1"/>
          <w:sz w:val="16"/>
          <w:szCs w:val="16"/>
        </w:rPr>
        <w:t>Войска 3-го Белорусского фронта в районе устья реки Висла продолжали приём капитулировавших соединений и частей немецких войск. К вечеру 10 мая войскам фронта сдалось в плен более 20.000 немецких солдат и офицеров. В числе пленных командир 18 горно-стрелкового корпуса немцев — генерал от инфантерии Хохбаум, командир 7 пехотной дивизии генерал-лейтенант Раппарт, командир 28 пехотной дивизии генерал-майор Фергейм. Учтены следующие трофеи: самолётов—50, танков—20, полевых орудий—40, бронетранспортёров—30 и автомашин—500.</w:t>
      </w:r>
    </w:p>
    <w:p w14:paraId="6C08786F" w14:textId="77777777" w:rsidR="0025587C" w:rsidRPr="00F90EAE" w:rsidRDefault="0025587C" w:rsidP="00F90EAE">
      <w:pPr>
        <w:jc w:val="both"/>
        <w:rPr>
          <w:color w:val="000000" w:themeColor="text1"/>
          <w:sz w:val="16"/>
          <w:szCs w:val="16"/>
        </w:rPr>
      </w:pPr>
      <w:r w:rsidRPr="00F90EAE">
        <w:rPr>
          <w:color w:val="000000" w:themeColor="text1"/>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К 11 часам утра 10 мая сдалось в плен 30.500 немецких солдат и офицеров. В числе пленных командующий 2 немецкой армией генерал танковых войск фон-Заукен, командир 23 пехотной дивизии генерал-лейтенант Ширмер, командир 31 пехотной дивизии генерал-лейтенант Бек, командир 35 пехотной дивизии генерал-лейтенант Рихард, командир 203 пехотной дивизии генерал-майор Гебоке, командир 558 гренадерской дивизии генерал-лейтенант Беркен.</w:t>
      </w:r>
    </w:p>
    <w:p w14:paraId="1C0131D6" w14:textId="77777777" w:rsidR="0025587C" w:rsidRPr="00F90EAE" w:rsidRDefault="0025587C" w:rsidP="00F90EAE">
      <w:pPr>
        <w:jc w:val="both"/>
        <w:rPr>
          <w:color w:val="000000" w:themeColor="text1"/>
          <w:sz w:val="16"/>
          <w:szCs w:val="16"/>
        </w:rPr>
      </w:pPr>
      <w:r w:rsidRPr="00F90EAE">
        <w:rPr>
          <w:color w:val="000000" w:themeColor="text1"/>
          <w:sz w:val="16"/>
          <w:szCs w:val="16"/>
        </w:rPr>
        <w:t>Войсками фронта полностью занята коса Путцигер-Нерунг с городом и портом Хель.</w:t>
      </w:r>
    </w:p>
    <w:p w14:paraId="74E1ADCA" w14:textId="77777777" w:rsidR="0025587C" w:rsidRPr="00F90EAE" w:rsidRDefault="0025587C" w:rsidP="00F90EAE">
      <w:pPr>
        <w:jc w:val="both"/>
        <w:rPr>
          <w:color w:val="000000" w:themeColor="text1"/>
          <w:sz w:val="16"/>
          <w:szCs w:val="16"/>
        </w:rPr>
      </w:pPr>
      <w:r w:rsidRPr="00F90EAE">
        <w:rPr>
          <w:color w:val="000000" w:themeColor="text1"/>
          <w:sz w:val="16"/>
          <w:szCs w:val="16"/>
        </w:rPr>
        <w:t>Немецкие войска под командованием генерал-фельдмаршала Шернера в нарушение акта капитуляции отказались остаться на месте и сложить оружие. Ввиду этого войска 1-го Украинского фронта атаковали войска генерал-фельдмаршала Шернера и, продвигаясь вперёд, заняли на территории Чехословакии города Подборжаны, Нове-Страшеци, Бероун, Горжовице, Добржиш, Кралупы, Роуднице, Литомержице, Ческа Липа, Либерец, Яблонец, Танвальд, Трутнов, Гостинне, Ческе Скалице. Ввиду угрозы окружения со стороны наших войск одна группа генерал-фельдмаршала Шернера стала беспорядочно сдаваться в плен. За 9 и 10 мая войсками 1-го Украинского фронта взято в плен более 35.000 немецких солдат и офицеров.</w:t>
      </w:r>
    </w:p>
    <w:p w14:paraId="10D5106D" w14:textId="77777777" w:rsidR="0025587C" w:rsidRPr="00F90EAE" w:rsidRDefault="0025587C" w:rsidP="00F90EAE">
      <w:pPr>
        <w:jc w:val="both"/>
        <w:rPr>
          <w:color w:val="000000" w:themeColor="text1"/>
          <w:sz w:val="16"/>
          <w:szCs w:val="16"/>
        </w:rPr>
      </w:pPr>
      <w:r w:rsidRPr="00F90EAE">
        <w:rPr>
          <w:color w:val="000000" w:themeColor="text1"/>
          <w:sz w:val="16"/>
          <w:szCs w:val="16"/>
        </w:rPr>
        <w:t>Другая группа немецких войск генерал-фельдмаршала Шернера также нарушила условия капитуляции и начала отход на запад, войска 4-го Украинского фронта, преследуя эту группу войск, заняли на территории Чехословакии города Рихнов, Костэлец, Жамберк, Кишперк, Усти, Литомишль, Цвиттау, Поличка, Боско-Вице, Тыниште, Градец Кралевски, Пардубице, Хрудим, Часлав. За 9 и 10 мая войсками фронта взято более 20.000 беспорядочно сдавшихся в плен немецких солдат и офицеров.</w:t>
      </w:r>
    </w:p>
    <w:p w14:paraId="58E3EAC1" w14:textId="77777777" w:rsidR="0025587C" w:rsidRPr="00F90EAE" w:rsidRDefault="0025587C" w:rsidP="00F90EAE">
      <w:pPr>
        <w:jc w:val="both"/>
        <w:rPr>
          <w:color w:val="000000" w:themeColor="text1"/>
          <w:sz w:val="16"/>
          <w:szCs w:val="16"/>
        </w:rPr>
      </w:pPr>
      <w:r w:rsidRPr="00F90EAE">
        <w:rPr>
          <w:color w:val="000000" w:themeColor="text1"/>
          <w:sz w:val="16"/>
          <w:szCs w:val="16"/>
        </w:rPr>
        <w:t>Перед войсками 2-го Украинского фронта немецкие войска под командованием генерал-полковника Велера также нарушили акт о капитуляции, отказались остаться на месте и сложить оружие. Ввиду этого войска фронта атаковали войска генерал-полковника Велера и, продвигаясь вперёд, заняли на территории Чехословакии Гумполец, Тржешт, Тельч, Дачице, Славонице, Йиндржихов-Градец, Весели Мезимости, Тржебонь, Ческе-Будеевице. За 9 и 10 мая войсками фронта взято в плен более 8.000 немецких солдат и офицеров.</w:t>
      </w:r>
    </w:p>
    <w:p w14:paraId="3AB1E10E" w14:textId="77777777" w:rsidR="0025587C" w:rsidRPr="00F90EAE" w:rsidRDefault="0025587C" w:rsidP="00F90EAE">
      <w:pPr>
        <w:jc w:val="both"/>
        <w:rPr>
          <w:color w:val="000000" w:themeColor="text1"/>
          <w:sz w:val="16"/>
          <w:szCs w:val="16"/>
        </w:rPr>
      </w:pPr>
      <w:r w:rsidRPr="00F90EAE">
        <w:rPr>
          <w:color w:val="000000" w:themeColor="text1"/>
          <w:sz w:val="16"/>
          <w:szCs w:val="16"/>
        </w:rPr>
        <w:t>Войска 3-го Украинского фронта на территории Австрии заняли города Ваидхофен, Леобен, Саннтмихаель и соединились с английскими войсками западнее города Грац. За 9 и 10 мая войска фронта взяли более 23.000 беспорядочно сдавшихся в плен немецких солдат и офицеров из войск генерал-полковника Велера, в том числе 4 генералов.» (14887).</w:t>
      </w:r>
    </w:p>
    <w:p w14:paraId="5513A1FD" w14:textId="77777777" w:rsidR="0025587C" w:rsidRPr="00F90EAE" w:rsidRDefault="0025587C" w:rsidP="00F90EAE">
      <w:pPr>
        <w:jc w:val="both"/>
        <w:rPr>
          <w:color w:val="000000" w:themeColor="text1"/>
          <w:sz w:val="16"/>
          <w:szCs w:val="16"/>
        </w:rPr>
      </w:pPr>
    </w:p>
    <w:p w14:paraId="6D3A40D2" w14:textId="77777777" w:rsidR="00AB4033" w:rsidRPr="00F90EAE" w:rsidRDefault="00AB4033" w:rsidP="00F90EAE">
      <w:pPr>
        <w:pStyle w:val="ae"/>
        <w:spacing w:before="0" w:after="0"/>
        <w:jc w:val="both"/>
        <w:textAlignment w:val="baseline"/>
        <w:rPr>
          <w:color w:val="000000" w:themeColor="text1"/>
          <w:sz w:val="16"/>
          <w:szCs w:val="16"/>
        </w:rPr>
      </w:pPr>
      <w:r w:rsidRPr="00F90EAE">
        <w:rPr>
          <w:color w:val="000000" w:themeColor="text1"/>
          <w:sz w:val="16"/>
          <w:szCs w:val="16"/>
        </w:rPr>
        <w:t>По состоянию на 10 мая 1945 г. в составе ВВС РККА насчитывалось в общей сложности 3075 штурмовиков Ил-2 (19522).</w:t>
      </w:r>
    </w:p>
    <w:p w14:paraId="6ED5B74A" w14:textId="77777777" w:rsidR="00AB4033" w:rsidRPr="00F90EAE" w:rsidRDefault="00AB4033" w:rsidP="00F90EAE">
      <w:pPr>
        <w:pStyle w:val="ae"/>
        <w:spacing w:before="0" w:after="0"/>
        <w:jc w:val="both"/>
        <w:textAlignment w:val="baseline"/>
        <w:rPr>
          <w:color w:val="000000" w:themeColor="text1"/>
          <w:sz w:val="16"/>
          <w:szCs w:val="16"/>
        </w:rPr>
      </w:pPr>
    </w:p>
    <w:p w14:paraId="17E58D98" w14:textId="77777777" w:rsidR="00AB4033" w:rsidRPr="00F90EAE" w:rsidRDefault="00AB4033" w:rsidP="00F90EAE">
      <w:pPr>
        <w:pStyle w:val="ae"/>
        <w:spacing w:before="0" w:after="0"/>
        <w:jc w:val="both"/>
        <w:textAlignment w:val="baseline"/>
        <w:rPr>
          <w:color w:val="000000" w:themeColor="text1"/>
          <w:sz w:val="16"/>
          <w:szCs w:val="16"/>
        </w:rPr>
      </w:pPr>
      <w:r w:rsidRPr="00F90EAE">
        <w:rPr>
          <w:color w:val="000000" w:themeColor="text1"/>
          <w:sz w:val="16"/>
          <w:szCs w:val="16"/>
        </w:rPr>
        <w:t>По состоянию на 10 мая 1945 г. в ВВС РККА числилось в общей сложности уже 450 Ил-10 (19522).</w:t>
      </w:r>
    </w:p>
    <w:p w14:paraId="5C75AF7F" w14:textId="77777777" w:rsidR="00AB4033" w:rsidRPr="00F90EAE" w:rsidRDefault="00AB4033" w:rsidP="00F90EAE">
      <w:pPr>
        <w:pStyle w:val="ae"/>
        <w:spacing w:before="0" w:after="0"/>
        <w:jc w:val="both"/>
        <w:textAlignment w:val="baseline"/>
        <w:rPr>
          <w:color w:val="000000" w:themeColor="text1"/>
          <w:sz w:val="16"/>
          <w:szCs w:val="16"/>
        </w:rPr>
      </w:pPr>
    </w:p>
    <w:p w14:paraId="29DA8C94" w14:textId="77777777" w:rsidR="00FF14E5" w:rsidRPr="00F90EAE" w:rsidRDefault="00FF14E5" w:rsidP="00F90EAE">
      <w:pPr>
        <w:jc w:val="both"/>
        <w:rPr>
          <w:color w:val="000000" w:themeColor="text1"/>
          <w:sz w:val="16"/>
          <w:szCs w:val="16"/>
        </w:rPr>
      </w:pPr>
      <w:r w:rsidRPr="00F90EAE">
        <w:rPr>
          <w:color w:val="000000" w:themeColor="text1"/>
          <w:sz w:val="16"/>
          <w:szCs w:val="16"/>
        </w:rPr>
        <w:t>К 10 мая 1945 года в составе воздушных армий фронтов насчитывалось 3075 штурмовиков Ил-2 и УИл-2, 214 Ил-2 КР, а также 146 Ил-10. Кроме этого, в ВВС ВМФ имелось 197 Ил-2 и 12 Ил-10.</w:t>
      </w:r>
    </w:p>
    <w:p w14:paraId="404FE3C1" w14:textId="77777777" w:rsidR="00FF14E5" w:rsidRPr="00F90EAE" w:rsidRDefault="00FF14E5" w:rsidP="00F90EAE">
      <w:pPr>
        <w:jc w:val="both"/>
        <w:rPr>
          <w:color w:val="000000" w:themeColor="text1"/>
          <w:sz w:val="16"/>
          <w:szCs w:val="16"/>
        </w:rPr>
      </w:pPr>
      <w:r w:rsidRPr="00F90EAE">
        <w:rPr>
          <w:color w:val="000000" w:themeColor="text1"/>
          <w:sz w:val="16"/>
          <w:szCs w:val="16"/>
        </w:rPr>
        <w:t>В общей сложности за годы войны в штурмовые авиачасти ВВС КА поступило 33 083 самолета Ил-2 всех типов и Ил-10 (в 1941 г. – 1258, 1942 г. – 7105, 1943 г. – 10 599, 1944 г. – 10 087, на 1.6.45 г. – 4034), в том числе 8067 одноместных Ил-2, 23 882 двухместных Ил-2, 1134 Ил-10.</w:t>
      </w:r>
    </w:p>
    <w:p w14:paraId="53E142B9" w14:textId="77777777" w:rsidR="00FF14E5" w:rsidRPr="00F90EAE" w:rsidRDefault="00FF14E5" w:rsidP="00F90EAE">
      <w:pPr>
        <w:jc w:val="both"/>
        <w:rPr>
          <w:color w:val="000000" w:themeColor="text1"/>
          <w:sz w:val="16"/>
          <w:szCs w:val="16"/>
        </w:rPr>
      </w:pPr>
      <w:r w:rsidRPr="00F90EAE">
        <w:rPr>
          <w:color w:val="000000" w:themeColor="text1"/>
          <w:sz w:val="16"/>
          <w:szCs w:val="16"/>
        </w:rPr>
        <w:t>На фронт отправлено 356 штурмовых авиаполков, из этого числа 140 полков проходили переформирование один раз, 103 полка – дважды, 61 – трижды, 31 – четыре раза и 21 – пять раз.</w:t>
      </w:r>
    </w:p>
    <w:p w14:paraId="03C9845C" w14:textId="77777777" w:rsidR="00FF14E5" w:rsidRPr="00F90EAE" w:rsidRDefault="00FF14E5" w:rsidP="00F90EAE">
      <w:pPr>
        <w:jc w:val="both"/>
        <w:rPr>
          <w:color w:val="000000" w:themeColor="text1"/>
          <w:sz w:val="16"/>
          <w:szCs w:val="16"/>
        </w:rPr>
      </w:pPr>
      <w:r w:rsidRPr="00F90EAE">
        <w:rPr>
          <w:color w:val="000000" w:themeColor="text1"/>
          <w:sz w:val="16"/>
          <w:szCs w:val="16"/>
        </w:rPr>
        <w:t>Боевые потери штурмовиков Ил-2 за годы войны составили 11 448 самолетов (1941 г. – 503, 1942 г. – 1676, 1943 г. – 3649, 1944 г. – 3727, на 1.6.45 г. – 1893). Еще 11 055 штурмовиков Ил-2 всех типов было списано по причине аварий, катастроф и износа материальной части (1941 г. – 523, 1942 г. – 784, 1943 г. – 3200, 1944 г. – 4748, на 1.6.45 г. – 1800).</w:t>
      </w:r>
    </w:p>
    <w:p w14:paraId="64E76608" w14:textId="77777777" w:rsidR="00FF14E5" w:rsidRPr="00F90EAE" w:rsidRDefault="00FF14E5" w:rsidP="00F90EAE">
      <w:pPr>
        <w:jc w:val="both"/>
        <w:rPr>
          <w:color w:val="000000" w:themeColor="text1"/>
          <w:sz w:val="16"/>
          <w:szCs w:val="16"/>
        </w:rPr>
      </w:pPr>
      <w:r w:rsidRPr="00F90EAE">
        <w:rPr>
          <w:color w:val="000000" w:themeColor="text1"/>
          <w:sz w:val="16"/>
          <w:szCs w:val="16"/>
        </w:rPr>
        <w:t>Средний налет Ил-2, приходящийся на одну боевую потерю, за годы войны не превысил 53,5 самолето-вылета. Для сравнения: усредненная за период войны живучесть истребителей составила 104,5, а бомбардировщиков – 80 боевых вылетов.</w:t>
      </w:r>
    </w:p>
    <w:p w14:paraId="1C422BFB" w14:textId="77777777" w:rsidR="00FF14E5" w:rsidRPr="00F90EAE" w:rsidRDefault="00FF14E5" w:rsidP="00F90EAE">
      <w:pPr>
        <w:jc w:val="both"/>
        <w:rPr>
          <w:color w:val="000000" w:themeColor="text1"/>
          <w:sz w:val="16"/>
          <w:szCs w:val="16"/>
        </w:rPr>
      </w:pPr>
      <w:r w:rsidRPr="00F90EAE">
        <w:rPr>
          <w:color w:val="000000" w:themeColor="text1"/>
          <w:sz w:val="16"/>
          <w:szCs w:val="16"/>
        </w:rPr>
        <w:t>Боевые потери летного состава штурмовой авиации составили 12 054 человека, или около 25 % всех боевых потерь ВВС КА, в том числе: 7837 – летчиков, 221 – летнабов и 3996 – воздушных стрелков (17490).</w:t>
      </w:r>
    </w:p>
    <w:p w14:paraId="319E0551" w14:textId="77777777" w:rsidR="00FF14E5" w:rsidRPr="00F90EAE" w:rsidRDefault="00FF14E5" w:rsidP="00F90EAE">
      <w:pPr>
        <w:jc w:val="both"/>
        <w:rPr>
          <w:color w:val="000000" w:themeColor="text1"/>
          <w:sz w:val="16"/>
          <w:szCs w:val="16"/>
        </w:rPr>
      </w:pPr>
    </w:p>
    <w:p w14:paraId="163EB2B2" w14:textId="77777777" w:rsidR="0025587C" w:rsidRPr="00F90EAE" w:rsidRDefault="0025587C" w:rsidP="00F90EAE">
      <w:pPr>
        <w:jc w:val="both"/>
        <w:rPr>
          <w:color w:val="000000" w:themeColor="text1"/>
          <w:sz w:val="16"/>
          <w:szCs w:val="16"/>
        </w:rPr>
      </w:pPr>
      <w:r w:rsidRPr="00F90EAE">
        <w:rPr>
          <w:color w:val="000000" w:themeColor="text1"/>
          <w:sz w:val="16"/>
          <w:szCs w:val="16"/>
        </w:rPr>
        <w:t>10 мая в 1945 году морской десант моряков Балтийского флота разгромил 12-тысячный гарнизон военно-морской базы гитлеровцев на о. Борнхольм (Дания)– последний крупный очаг сопротивления фашистов уже после окончания Второй мировой войны (14887).</w:t>
      </w:r>
    </w:p>
    <w:p w14:paraId="7E5A07F7" w14:textId="77777777" w:rsidR="0025587C" w:rsidRPr="00F90EAE" w:rsidRDefault="0025587C" w:rsidP="00F90EAE">
      <w:pPr>
        <w:jc w:val="both"/>
        <w:rPr>
          <w:color w:val="000000" w:themeColor="text1"/>
          <w:sz w:val="16"/>
          <w:szCs w:val="16"/>
        </w:rPr>
      </w:pPr>
    </w:p>
    <w:p w14:paraId="5EF07C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10 мая 1945 г. в составе воздушных армий фронтов насчитывалось 3075 штурмовиков Ил-2 и Ил-2У (450 из них были неси- правными), 214 Ил-2КР (из них 17 неисправных). Кроме этого в ВВС ВМФ имелось 197 Ил-2.</w:t>
      </w:r>
    </w:p>
    <w:p w14:paraId="4AE51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общей сложности за годы войны было построено 34943 Ил-2 и Ил-2КР и 1211 Ил-2У, отправлено на фронт 356 штурмовых авиаполков, из этого числа 140 полков проходили переформирование один раз, 103 полка - дважды, 61 - трижды, 31 - четыре раза и 21 - пять раз.</w:t>
      </w:r>
    </w:p>
    <w:p w14:paraId="51E558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 штурмовиков Ил-2 за годы войны составили 10759 самолетов в ВВС КА и 807 машин из состава ВВС ВМФ КА.</w:t>
      </w:r>
    </w:p>
    <w:p w14:paraId="667916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Среднее налет Ил-2, приходящийся на одну боевую потерю за годы войны не превысил 53,5 самолето-вылетов. Для сравнения усредненная за период войны живучесть истребителей составила 104,5 самолето-вылетов, а бомбардировщиков - 80 боевых вылетов.</w:t>
      </w:r>
    </w:p>
    <w:p w14:paraId="4E588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Боевые потери летчиков-штурмовиков составили 7837 человек, или 28,4% общих боевых потерь летного состава ВВС КА.</w:t>
      </w:r>
    </w:p>
    <w:p w14:paraId="34D65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Распределение боевых потерь по степени подготовки летчиков-штурмовиков показывает, что 27% всех потерь приходится на первые 10 боевых вылетов на фронте, 40% потерь составляли летчики, имевшие налет на фронте от 10 до 30 боевых вылетов, примерно 18% - летчики с налетом от 30 до 50 вылетов, около 10% - пилоты с налетом от 50 до 100 боевых вылетов, 4% - пилоты, имевшие налет от 100 до 150 вылетов, и 2% - летчики с налетом свыше 150 боевых вылетов. При этом потери комсостава (командиры полков, эскадрилий и звеньев, а также их заместители и старшие летчики) составили примерно 41% от общего числа потерь летчиков-штурмовиков, остальные потери пришлись на рядовых летчиков (12020).</w:t>
      </w:r>
    </w:p>
    <w:p w14:paraId="1E13CA7F" w14:textId="77777777" w:rsidR="00665165" w:rsidRPr="00F90EAE" w:rsidRDefault="00665165" w:rsidP="00F90EAE">
      <w:pPr>
        <w:autoSpaceDE w:val="0"/>
        <w:autoSpaceDN w:val="0"/>
        <w:adjustRightInd w:val="0"/>
        <w:jc w:val="both"/>
        <w:rPr>
          <w:color w:val="000000" w:themeColor="text1"/>
          <w:sz w:val="16"/>
          <w:szCs w:val="16"/>
        </w:rPr>
      </w:pPr>
    </w:p>
    <w:p w14:paraId="784C3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10 мая 1945 в составе воз</w:t>
      </w:r>
      <w:r w:rsidRPr="00F90EAE">
        <w:rPr>
          <w:color w:val="000000" w:themeColor="text1"/>
          <w:sz w:val="16"/>
          <w:szCs w:val="16"/>
        </w:rPr>
        <w:softHyphen/>
        <w:t>душных армий фронтов насчитывалось 120 исправных и 26 неисправных Ил-10. Кроме этого, дюжина «десяток» име</w:t>
      </w:r>
      <w:r w:rsidRPr="00F90EAE">
        <w:rPr>
          <w:color w:val="000000" w:themeColor="text1"/>
          <w:sz w:val="16"/>
          <w:szCs w:val="16"/>
        </w:rPr>
        <w:softHyphen/>
        <w:t>лась в морской авиации. Как следует из архивных документов, в боевых действиях против немцев успе</w:t>
      </w:r>
      <w:r w:rsidRPr="00F90EAE">
        <w:rPr>
          <w:color w:val="000000" w:themeColor="text1"/>
          <w:sz w:val="16"/>
          <w:szCs w:val="16"/>
        </w:rPr>
        <w:softHyphen/>
        <w:t>ли принять участие только три полка -571-й шап, 108-й и 118-й гшап. При этом дольше всех и интенсивнее всех воевал первый. Да и бои ему достались самые тяжелые (10681).</w:t>
      </w:r>
    </w:p>
    <w:p w14:paraId="1FD02B64" w14:textId="77777777" w:rsidR="00665165" w:rsidRPr="00F90EAE" w:rsidRDefault="00665165" w:rsidP="00F90EAE">
      <w:pPr>
        <w:autoSpaceDE w:val="0"/>
        <w:autoSpaceDN w:val="0"/>
        <w:adjustRightInd w:val="0"/>
        <w:jc w:val="both"/>
        <w:rPr>
          <w:color w:val="000000" w:themeColor="text1"/>
          <w:sz w:val="16"/>
          <w:szCs w:val="16"/>
        </w:rPr>
      </w:pPr>
    </w:p>
    <w:p w14:paraId="101D70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10 мая 1945 г. в составе воздушных армий фронтов насчитывалось 120 исправных и 26 неисправных самолетов Ил-10. Кроме этого, в ВВС ВМФ имелось 12 Ил-10 (7489).</w:t>
      </w:r>
    </w:p>
    <w:p w14:paraId="546CCC92" w14:textId="77777777" w:rsidR="00665165" w:rsidRPr="00F90EAE" w:rsidRDefault="00665165" w:rsidP="00F90EAE">
      <w:pPr>
        <w:autoSpaceDE w:val="0"/>
        <w:autoSpaceDN w:val="0"/>
        <w:adjustRightInd w:val="0"/>
        <w:jc w:val="both"/>
        <w:rPr>
          <w:color w:val="000000" w:themeColor="text1"/>
          <w:sz w:val="16"/>
          <w:szCs w:val="16"/>
        </w:rPr>
      </w:pPr>
    </w:p>
    <w:p w14:paraId="6CF0D1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w:t>
      </w:r>
      <w:r w:rsidRPr="00F90EAE">
        <w:rPr>
          <w:color w:val="000000" w:themeColor="text1"/>
          <w:sz w:val="16"/>
          <w:szCs w:val="16"/>
        </w:rPr>
        <w:softHyphen/>
        <w:t>янию на 10 мая 1945 г. в составе воз</w:t>
      </w:r>
      <w:r w:rsidRPr="00F90EAE">
        <w:rPr>
          <w:color w:val="000000" w:themeColor="text1"/>
          <w:sz w:val="16"/>
          <w:szCs w:val="16"/>
        </w:rPr>
        <w:softHyphen/>
        <w:t>душных армий фронтов насчитывалось 3075 штурмовиков Ил-2 и Ил-2У (450 из них были неисправными), 120 исправных и 26 неисправных самолетов Ил-10 и 214 Ил-2КР (из них 17 неисправные). Кроме этого, в ВВС ВМФ имелось 197 Ил-2 и 12 Ил-10.</w:t>
      </w:r>
    </w:p>
    <w:p w14:paraId="6DA710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3 чехословацкий шап перевели в Albrechticky в районе Pribor в Моравии (241,40).</w:t>
      </w:r>
    </w:p>
    <w:p w14:paraId="3D2F6C30" w14:textId="77777777" w:rsidR="00665165" w:rsidRPr="00F90EAE" w:rsidRDefault="00665165" w:rsidP="00F90EAE">
      <w:pPr>
        <w:autoSpaceDE w:val="0"/>
        <w:autoSpaceDN w:val="0"/>
        <w:adjustRightInd w:val="0"/>
        <w:jc w:val="both"/>
        <w:rPr>
          <w:color w:val="000000" w:themeColor="text1"/>
          <w:sz w:val="16"/>
          <w:szCs w:val="16"/>
        </w:rPr>
      </w:pPr>
    </w:p>
    <w:p w14:paraId="5F5647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10 мая 1945 г. наличие самолетов Пе-2 в авиационных объединениях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tblGrid>
      <w:tr w:rsidR="00561F31" w:rsidRPr="00F90EAE" w14:paraId="09B2AF6B" w14:textId="77777777">
        <w:tc>
          <w:tcPr>
            <w:tcW w:w="1019" w:type="dxa"/>
            <w:tcBorders>
              <w:top w:val="single" w:sz="12" w:space="0" w:color="auto"/>
            </w:tcBorders>
          </w:tcPr>
          <w:p w14:paraId="0C103F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Объединение</w:t>
            </w:r>
          </w:p>
        </w:tc>
        <w:tc>
          <w:tcPr>
            <w:tcW w:w="1019" w:type="dxa"/>
            <w:tcBorders>
              <w:top w:val="single" w:sz="12" w:space="0" w:color="auto"/>
            </w:tcBorders>
          </w:tcPr>
          <w:p w14:paraId="665E3D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c>
        <w:tc>
          <w:tcPr>
            <w:tcW w:w="1019" w:type="dxa"/>
            <w:tcBorders>
              <w:top w:val="single" w:sz="12" w:space="0" w:color="auto"/>
            </w:tcBorders>
          </w:tcPr>
          <w:p w14:paraId="4873999C"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Borders>
              <w:top w:val="single" w:sz="12" w:space="0" w:color="auto"/>
            </w:tcBorders>
          </w:tcPr>
          <w:p w14:paraId="15D8CB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Разведчики</w:t>
            </w:r>
          </w:p>
        </w:tc>
        <w:tc>
          <w:tcPr>
            <w:tcW w:w="1019" w:type="dxa"/>
            <w:tcBorders>
              <w:top w:val="single" w:sz="12" w:space="0" w:color="auto"/>
            </w:tcBorders>
          </w:tcPr>
          <w:p w14:paraId="39082CF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9282053" w14:textId="77777777">
        <w:tc>
          <w:tcPr>
            <w:tcW w:w="1019" w:type="dxa"/>
          </w:tcPr>
          <w:p w14:paraId="2700569E"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5307AE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19" w:type="dxa"/>
          </w:tcPr>
          <w:p w14:paraId="68BCAE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Неисправны</w:t>
            </w:r>
          </w:p>
        </w:tc>
        <w:tc>
          <w:tcPr>
            <w:tcW w:w="1019" w:type="dxa"/>
          </w:tcPr>
          <w:p w14:paraId="2971B4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19" w:type="dxa"/>
          </w:tcPr>
          <w:p w14:paraId="0A1380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Неисправны</w:t>
            </w:r>
          </w:p>
        </w:tc>
      </w:tr>
      <w:tr w:rsidR="00561F31" w:rsidRPr="00F90EAE" w14:paraId="754A65FC" w14:textId="77777777">
        <w:tc>
          <w:tcPr>
            <w:tcW w:w="1019" w:type="dxa"/>
          </w:tcPr>
          <w:p w14:paraId="036CE6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1-я ВА</w:t>
            </w:r>
          </w:p>
        </w:tc>
        <w:tc>
          <w:tcPr>
            <w:tcW w:w="1019" w:type="dxa"/>
          </w:tcPr>
          <w:p w14:paraId="03E3AC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316</w:t>
            </w:r>
          </w:p>
        </w:tc>
        <w:tc>
          <w:tcPr>
            <w:tcW w:w="1019" w:type="dxa"/>
          </w:tcPr>
          <w:p w14:paraId="5053D5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w:t>
            </w:r>
          </w:p>
        </w:tc>
        <w:tc>
          <w:tcPr>
            <w:tcW w:w="1019" w:type="dxa"/>
          </w:tcPr>
          <w:p w14:paraId="3B3D65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w:t>
            </w:r>
          </w:p>
        </w:tc>
        <w:tc>
          <w:tcPr>
            <w:tcW w:w="1019" w:type="dxa"/>
          </w:tcPr>
          <w:p w14:paraId="3D620A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r>
      <w:tr w:rsidR="00561F31" w:rsidRPr="00F90EAE" w14:paraId="4C16590E" w14:textId="77777777">
        <w:tc>
          <w:tcPr>
            <w:tcW w:w="1019" w:type="dxa"/>
          </w:tcPr>
          <w:p w14:paraId="42377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2-я ВА</w:t>
            </w:r>
          </w:p>
        </w:tc>
        <w:tc>
          <w:tcPr>
            <w:tcW w:w="1019" w:type="dxa"/>
          </w:tcPr>
          <w:p w14:paraId="65920F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323</w:t>
            </w:r>
          </w:p>
        </w:tc>
        <w:tc>
          <w:tcPr>
            <w:tcW w:w="1019" w:type="dxa"/>
          </w:tcPr>
          <w:p w14:paraId="2F656F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w:t>
            </w:r>
          </w:p>
        </w:tc>
        <w:tc>
          <w:tcPr>
            <w:tcW w:w="1019" w:type="dxa"/>
          </w:tcPr>
          <w:p w14:paraId="6171A6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1019" w:type="dxa"/>
          </w:tcPr>
          <w:p w14:paraId="60021C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21DABD9C" w14:textId="77777777">
        <w:tc>
          <w:tcPr>
            <w:tcW w:w="1019" w:type="dxa"/>
          </w:tcPr>
          <w:p w14:paraId="10633D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3-я ВА</w:t>
            </w:r>
          </w:p>
        </w:tc>
        <w:tc>
          <w:tcPr>
            <w:tcW w:w="1019" w:type="dxa"/>
          </w:tcPr>
          <w:p w14:paraId="4A35D3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w:t>
            </w:r>
          </w:p>
        </w:tc>
        <w:tc>
          <w:tcPr>
            <w:tcW w:w="1019" w:type="dxa"/>
          </w:tcPr>
          <w:p w14:paraId="0DECAC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1019" w:type="dxa"/>
          </w:tcPr>
          <w:p w14:paraId="4B9D9E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019" w:type="dxa"/>
          </w:tcPr>
          <w:p w14:paraId="78DBC3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1AD338C7" w14:textId="77777777">
        <w:tc>
          <w:tcPr>
            <w:tcW w:w="1019" w:type="dxa"/>
          </w:tcPr>
          <w:p w14:paraId="5FA8C8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4-я ВА</w:t>
            </w:r>
          </w:p>
        </w:tc>
        <w:tc>
          <w:tcPr>
            <w:tcW w:w="1019" w:type="dxa"/>
          </w:tcPr>
          <w:p w14:paraId="6927D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8ABD0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278DC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019" w:type="dxa"/>
          </w:tcPr>
          <w:p w14:paraId="61B293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r>
      <w:tr w:rsidR="00561F31" w:rsidRPr="00F90EAE" w14:paraId="52CB06B4" w14:textId="77777777">
        <w:tc>
          <w:tcPr>
            <w:tcW w:w="1019" w:type="dxa"/>
          </w:tcPr>
          <w:p w14:paraId="3435F8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5-я ВА</w:t>
            </w:r>
          </w:p>
        </w:tc>
        <w:tc>
          <w:tcPr>
            <w:tcW w:w="1019" w:type="dxa"/>
          </w:tcPr>
          <w:p w14:paraId="15947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ADA06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92C41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019" w:type="dxa"/>
          </w:tcPr>
          <w:p w14:paraId="51D77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757149C7" w14:textId="77777777">
        <w:tc>
          <w:tcPr>
            <w:tcW w:w="1019" w:type="dxa"/>
          </w:tcPr>
          <w:p w14:paraId="51CCF8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6-я ВА'</w:t>
            </w:r>
          </w:p>
        </w:tc>
        <w:tc>
          <w:tcPr>
            <w:tcW w:w="1019" w:type="dxa"/>
          </w:tcPr>
          <w:p w14:paraId="3F5655E2"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6E299C89"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4D672104"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86A6A0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14EA262" w14:textId="77777777">
        <w:tc>
          <w:tcPr>
            <w:tcW w:w="1019" w:type="dxa"/>
          </w:tcPr>
          <w:p w14:paraId="162857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7-я ВАг</w:t>
            </w:r>
          </w:p>
        </w:tc>
        <w:tc>
          <w:tcPr>
            <w:tcW w:w="1019" w:type="dxa"/>
          </w:tcPr>
          <w:p w14:paraId="24C2B4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C845D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D0F74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019" w:type="dxa"/>
          </w:tcPr>
          <w:p w14:paraId="34E93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29B70B5" w14:textId="77777777">
        <w:tc>
          <w:tcPr>
            <w:tcW w:w="1019" w:type="dxa"/>
          </w:tcPr>
          <w:p w14:paraId="70B887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8-я ВА</w:t>
            </w:r>
          </w:p>
        </w:tc>
        <w:tc>
          <w:tcPr>
            <w:tcW w:w="1019" w:type="dxa"/>
          </w:tcPr>
          <w:p w14:paraId="72325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019" w:type="dxa"/>
          </w:tcPr>
          <w:p w14:paraId="10A10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0C0006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019" w:type="dxa"/>
          </w:tcPr>
          <w:p w14:paraId="77FDE7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r>
      <w:tr w:rsidR="00561F31" w:rsidRPr="00F90EAE" w14:paraId="5399EF7A" w14:textId="77777777">
        <w:tc>
          <w:tcPr>
            <w:tcW w:w="1019" w:type="dxa"/>
          </w:tcPr>
          <w:p w14:paraId="003FC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13-я ВА</w:t>
            </w:r>
          </w:p>
        </w:tc>
        <w:tc>
          <w:tcPr>
            <w:tcW w:w="1019" w:type="dxa"/>
          </w:tcPr>
          <w:p w14:paraId="28BE16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F7ED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038F7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1019" w:type="dxa"/>
          </w:tcPr>
          <w:p w14:paraId="046FE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r>
      <w:tr w:rsidR="00561F31" w:rsidRPr="00F90EAE" w14:paraId="1668E552" w14:textId="77777777">
        <w:tc>
          <w:tcPr>
            <w:tcW w:w="1019" w:type="dxa"/>
          </w:tcPr>
          <w:p w14:paraId="5384ED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14-я ВА</w:t>
            </w:r>
          </w:p>
        </w:tc>
        <w:tc>
          <w:tcPr>
            <w:tcW w:w="1019" w:type="dxa"/>
          </w:tcPr>
          <w:p w14:paraId="2D9E8480"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354DF200"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A49B921"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494FD34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686F9A0" w14:textId="77777777">
        <w:tc>
          <w:tcPr>
            <w:tcW w:w="1019" w:type="dxa"/>
          </w:tcPr>
          <w:p w14:paraId="51323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15-я ВА</w:t>
            </w:r>
          </w:p>
        </w:tc>
        <w:tc>
          <w:tcPr>
            <w:tcW w:w="1019" w:type="dxa"/>
          </w:tcPr>
          <w:p w14:paraId="0EE06476"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517AC76D"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6E418227"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622AFF09"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EC7A31" w14:textId="77777777">
        <w:tc>
          <w:tcPr>
            <w:tcW w:w="1019" w:type="dxa"/>
          </w:tcPr>
          <w:p w14:paraId="232344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16-я ВА</w:t>
            </w:r>
          </w:p>
        </w:tc>
        <w:tc>
          <w:tcPr>
            <w:tcW w:w="1019" w:type="dxa"/>
          </w:tcPr>
          <w:p w14:paraId="1B096509"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5275CA42"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BDD2477"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3DCC9E9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96154F1" w14:textId="77777777">
        <w:tc>
          <w:tcPr>
            <w:tcW w:w="1019" w:type="dxa"/>
          </w:tcPr>
          <w:p w14:paraId="24188F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17-я ВА</w:t>
            </w:r>
          </w:p>
        </w:tc>
        <w:tc>
          <w:tcPr>
            <w:tcW w:w="1019" w:type="dxa"/>
          </w:tcPr>
          <w:p w14:paraId="5D3C8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647D9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D6D51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1019" w:type="dxa"/>
          </w:tcPr>
          <w:p w14:paraId="25C9C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r>
      <w:tr w:rsidR="00561F31" w:rsidRPr="00F90EAE" w14:paraId="3436213E" w14:textId="77777777">
        <w:tc>
          <w:tcPr>
            <w:tcW w:w="1019" w:type="dxa"/>
            <w:tcBorders>
              <w:bottom w:val="single" w:sz="12" w:space="0" w:color="auto"/>
            </w:tcBorders>
          </w:tcPr>
          <w:p w14:paraId="36046A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c>
          <w:tcPr>
            <w:tcW w:w="1019" w:type="dxa"/>
            <w:tcBorders>
              <w:bottom w:val="single" w:sz="12" w:space="0" w:color="auto"/>
            </w:tcBorders>
          </w:tcPr>
          <w:p w14:paraId="628619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1129</w:t>
            </w:r>
          </w:p>
        </w:tc>
        <w:tc>
          <w:tcPr>
            <w:tcW w:w="1019" w:type="dxa"/>
            <w:tcBorders>
              <w:bottom w:val="single" w:sz="12" w:space="0" w:color="auto"/>
            </w:tcBorders>
          </w:tcPr>
          <w:p w14:paraId="4D8B4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019" w:type="dxa"/>
            <w:tcBorders>
              <w:bottom w:val="single" w:sz="12" w:space="0" w:color="auto"/>
            </w:tcBorders>
          </w:tcPr>
          <w:p w14:paraId="7280D7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w:t>
            </w:r>
          </w:p>
        </w:tc>
        <w:tc>
          <w:tcPr>
            <w:tcW w:w="1019" w:type="dxa"/>
            <w:tcBorders>
              <w:bottom w:val="single" w:sz="12" w:space="0" w:color="auto"/>
            </w:tcBorders>
          </w:tcPr>
          <w:p w14:paraId="53E932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r>
    </w:tbl>
    <w:p w14:paraId="1BA612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ВВС Войска Польского</w:t>
      </w:r>
    </w:p>
    <w:p w14:paraId="4D2FF7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Резерв Верховного Главнокомандования (12042).</w:t>
      </w:r>
    </w:p>
    <w:p w14:paraId="443392FF" w14:textId="77777777" w:rsidR="00665165" w:rsidRPr="00F90EAE" w:rsidRDefault="00665165" w:rsidP="00F90EAE">
      <w:pPr>
        <w:autoSpaceDE w:val="0"/>
        <w:autoSpaceDN w:val="0"/>
        <w:adjustRightInd w:val="0"/>
        <w:jc w:val="both"/>
        <w:rPr>
          <w:color w:val="000000" w:themeColor="text1"/>
          <w:sz w:val="16"/>
          <w:szCs w:val="16"/>
        </w:rPr>
      </w:pPr>
    </w:p>
    <w:p w14:paraId="099B1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 серийных самолетов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tblGrid>
      <w:tr w:rsidR="00561F31" w:rsidRPr="00F90EAE" w14:paraId="2D91560A" w14:textId="77777777">
        <w:tc>
          <w:tcPr>
            <w:tcW w:w="1121" w:type="dxa"/>
            <w:tcBorders>
              <w:top w:val="single" w:sz="12" w:space="0" w:color="auto"/>
            </w:tcBorders>
          </w:tcPr>
          <w:p w14:paraId="1D3F9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w:t>
            </w:r>
          </w:p>
        </w:tc>
        <w:tc>
          <w:tcPr>
            <w:tcW w:w="1121" w:type="dxa"/>
            <w:tcBorders>
              <w:top w:val="single" w:sz="12" w:space="0" w:color="auto"/>
            </w:tcBorders>
          </w:tcPr>
          <w:p w14:paraId="2BC6B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w:t>
            </w:r>
          </w:p>
        </w:tc>
        <w:tc>
          <w:tcPr>
            <w:tcW w:w="1121" w:type="dxa"/>
            <w:tcBorders>
              <w:top w:val="single" w:sz="12" w:space="0" w:color="auto"/>
            </w:tcBorders>
          </w:tcPr>
          <w:p w14:paraId="00D3FC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21" w:type="dxa"/>
            <w:tcBorders>
              <w:top w:val="single" w:sz="12" w:space="0" w:color="auto"/>
            </w:tcBorders>
          </w:tcPr>
          <w:p w14:paraId="5F8B3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21" w:type="dxa"/>
            <w:tcBorders>
              <w:top w:val="single" w:sz="12" w:space="0" w:color="auto"/>
            </w:tcBorders>
          </w:tcPr>
          <w:p w14:paraId="7BF7F8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21" w:type="dxa"/>
            <w:tcBorders>
              <w:top w:val="single" w:sz="12" w:space="0" w:color="auto"/>
            </w:tcBorders>
          </w:tcPr>
          <w:p w14:paraId="7315BA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21" w:type="dxa"/>
            <w:tcBorders>
              <w:top w:val="single" w:sz="12" w:space="0" w:color="auto"/>
            </w:tcBorders>
          </w:tcPr>
          <w:p w14:paraId="23ABF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w:t>
            </w:r>
          </w:p>
        </w:tc>
        <w:tc>
          <w:tcPr>
            <w:tcW w:w="1121" w:type="dxa"/>
            <w:tcBorders>
              <w:top w:val="single" w:sz="12" w:space="0" w:color="auto"/>
            </w:tcBorders>
          </w:tcPr>
          <w:p w14:paraId="169C37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w:t>
            </w:r>
          </w:p>
        </w:tc>
        <w:tc>
          <w:tcPr>
            <w:tcW w:w="1121" w:type="dxa"/>
            <w:tcBorders>
              <w:top w:val="single" w:sz="12" w:space="0" w:color="auto"/>
            </w:tcBorders>
          </w:tcPr>
          <w:p w14:paraId="020FA7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w:t>
            </w:r>
          </w:p>
        </w:tc>
      </w:tr>
      <w:tr w:rsidR="00561F31" w:rsidRPr="00F90EAE" w14:paraId="47E300F0" w14:textId="77777777">
        <w:tc>
          <w:tcPr>
            <w:tcW w:w="1121" w:type="dxa"/>
          </w:tcPr>
          <w:p w14:paraId="3B9E92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22</w:t>
            </w:r>
          </w:p>
        </w:tc>
        <w:tc>
          <w:tcPr>
            <w:tcW w:w="1121" w:type="dxa"/>
          </w:tcPr>
          <w:p w14:paraId="4D59CE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1121" w:type="dxa"/>
          </w:tcPr>
          <w:p w14:paraId="095FE9F1"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3F9E7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1120</w:t>
            </w:r>
          </w:p>
        </w:tc>
        <w:tc>
          <w:tcPr>
            <w:tcW w:w="1121" w:type="dxa"/>
          </w:tcPr>
          <w:p w14:paraId="3D481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1937</w:t>
            </w:r>
          </w:p>
        </w:tc>
        <w:tc>
          <w:tcPr>
            <w:tcW w:w="1121" w:type="dxa"/>
          </w:tcPr>
          <w:p w14:paraId="122EC3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2423</w:t>
            </w:r>
          </w:p>
        </w:tc>
        <w:tc>
          <w:tcPr>
            <w:tcW w:w="1121" w:type="dxa"/>
          </w:tcPr>
          <w:p w14:paraId="272014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2944</w:t>
            </w:r>
          </w:p>
        </w:tc>
        <w:tc>
          <w:tcPr>
            <w:tcW w:w="1121" w:type="dxa"/>
          </w:tcPr>
          <w:p w14:paraId="14BA6B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1634</w:t>
            </w:r>
          </w:p>
        </w:tc>
        <w:tc>
          <w:tcPr>
            <w:tcW w:w="1121" w:type="dxa"/>
          </w:tcPr>
          <w:p w14:paraId="4EAFC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10058</w:t>
            </w:r>
          </w:p>
        </w:tc>
      </w:tr>
      <w:tr w:rsidR="00561F31" w:rsidRPr="00F90EAE" w14:paraId="2BFC42CB" w14:textId="77777777">
        <w:tc>
          <w:tcPr>
            <w:tcW w:w="1121" w:type="dxa"/>
          </w:tcPr>
          <w:p w14:paraId="6AA7CCFA"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426F92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Пе-3</w:t>
            </w:r>
          </w:p>
        </w:tc>
        <w:tc>
          <w:tcPr>
            <w:tcW w:w="1121" w:type="dxa"/>
          </w:tcPr>
          <w:p w14:paraId="4D4880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16DDD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1EE25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C697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26517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1121" w:type="dxa"/>
          </w:tcPr>
          <w:p w14:paraId="1EAD6C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E15F8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r>
      <w:tr w:rsidR="00561F31" w:rsidRPr="00F90EAE" w14:paraId="7875D58A" w14:textId="77777777">
        <w:tc>
          <w:tcPr>
            <w:tcW w:w="1121" w:type="dxa"/>
          </w:tcPr>
          <w:p w14:paraId="079B28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39</w:t>
            </w:r>
          </w:p>
        </w:tc>
        <w:tc>
          <w:tcPr>
            <w:tcW w:w="1121" w:type="dxa"/>
          </w:tcPr>
          <w:p w14:paraId="666817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1121" w:type="dxa"/>
          </w:tcPr>
          <w:p w14:paraId="4250F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21" w:type="dxa"/>
          </w:tcPr>
          <w:p w14:paraId="381B8A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w:t>
            </w:r>
          </w:p>
        </w:tc>
        <w:tc>
          <w:tcPr>
            <w:tcW w:w="1121" w:type="dxa"/>
          </w:tcPr>
          <w:p w14:paraId="13A3C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455</w:t>
            </w:r>
          </w:p>
        </w:tc>
        <w:tc>
          <w:tcPr>
            <w:tcW w:w="1121" w:type="dxa"/>
          </w:tcPr>
          <w:p w14:paraId="0CE6F5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1121" w:type="dxa"/>
          </w:tcPr>
          <w:p w14:paraId="13736E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4E5048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8FC0C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764</w:t>
            </w:r>
          </w:p>
        </w:tc>
      </w:tr>
      <w:tr w:rsidR="00561F31" w:rsidRPr="00F90EAE" w14:paraId="01A1273C" w14:textId="77777777">
        <w:tc>
          <w:tcPr>
            <w:tcW w:w="1121" w:type="dxa"/>
          </w:tcPr>
          <w:p w14:paraId="5B8DF974"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70A7CD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Пе-3</w:t>
            </w:r>
          </w:p>
        </w:tc>
        <w:tc>
          <w:tcPr>
            <w:tcW w:w="1121" w:type="dxa"/>
          </w:tcPr>
          <w:p w14:paraId="708D2D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30BA7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21" w:type="dxa"/>
          </w:tcPr>
          <w:p w14:paraId="2116D6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1121" w:type="dxa"/>
          </w:tcPr>
          <w:p w14:paraId="04238A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2736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005AE4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3A0C36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w:t>
            </w:r>
          </w:p>
        </w:tc>
      </w:tr>
      <w:tr w:rsidR="00561F31" w:rsidRPr="00F90EAE" w14:paraId="658973B9" w14:textId="77777777">
        <w:tc>
          <w:tcPr>
            <w:tcW w:w="1121" w:type="dxa"/>
          </w:tcPr>
          <w:p w14:paraId="1E6AE916"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067CC4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Пе-Збис</w:t>
            </w:r>
          </w:p>
        </w:tc>
        <w:tc>
          <w:tcPr>
            <w:tcW w:w="1121" w:type="dxa"/>
          </w:tcPr>
          <w:p w14:paraId="7B9DF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5BF07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3C9AA8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w:t>
            </w:r>
          </w:p>
        </w:tc>
        <w:tc>
          <w:tcPr>
            <w:tcW w:w="1121" w:type="dxa"/>
          </w:tcPr>
          <w:p w14:paraId="143661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1121" w:type="dxa"/>
          </w:tcPr>
          <w:p w14:paraId="055367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BB05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7ACA6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w:t>
            </w:r>
          </w:p>
        </w:tc>
      </w:tr>
      <w:tr w:rsidR="00561F31" w:rsidRPr="00F90EAE" w14:paraId="1D5A20D0" w14:textId="77777777">
        <w:tc>
          <w:tcPr>
            <w:tcW w:w="1121" w:type="dxa"/>
          </w:tcPr>
          <w:p w14:paraId="652976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w:t>
            </w:r>
          </w:p>
        </w:tc>
        <w:tc>
          <w:tcPr>
            <w:tcW w:w="1121" w:type="dxa"/>
          </w:tcPr>
          <w:p w14:paraId="02B1BF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1121" w:type="dxa"/>
          </w:tcPr>
          <w:p w14:paraId="77F9E0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48341A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1043</w:t>
            </w:r>
          </w:p>
        </w:tc>
        <w:tc>
          <w:tcPr>
            <w:tcW w:w="1121" w:type="dxa"/>
          </w:tcPr>
          <w:p w14:paraId="11F096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55C4A7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46C0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FD77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379D01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w:t>
            </w:r>
          </w:p>
        </w:tc>
      </w:tr>
      <w:tr w:rsidR="00561F31" w:rsidRPr="00F90EAE" w14:paraId="317ADA85" w14:textId="77777777">
        <w:tc>
          <w:tcPr>
            <w:tcW w:w="1121" w:type="dxa"/>
          </w:tcPr>
          <w:p w14:paraId="25A986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121" w:type="dxa"/>
          </w:tcPr>
          <w:p w14:paraId="738C8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w:t>
            </w:r>
          </w:p>
        </w:tc>
        <w:tc>
          <w:tcPr>
            <w:tcW w:w="1121" w:type="dxa"/>
          </w:tcPr>
          <w:p w14:paraId="714AF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44C4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w:t>
            </w:r>
          </w:p>
        </w:tc>
        <w:tc>
          <w:tcPr>
            <w:tcW w:w="1121" w:type="dxa"/>
          </w:tcPr>
          <w:p w14:paraId="5DC1F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75539D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23C44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3C292B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126B1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w:t>
            </w:r>
          </w:p>
        </w:tc>
      </w:tr>
      <w:tr w:rsidR="00561F31" w:rsidRPr="00F90EAE" w14:paraId="5D26DC1F" w14:textId="77777777">
        <w:tc>
          <w:tcPr>
            <w:tcW w:w="1121" w:type="dxa"/>
            <w:tcBorders>
              <w:bottom w:val="single" w:sz="12" w:space="0" w:color="auto"/>
            </w:tcBorders>
          </w:tcPr>
          <w:p w14:paraId="511DF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по годам</w:t>
            </w:r>
          </w:p>
        </w:tc>
        <w:tc>
          <w:tcPr>
            <w:tcW w:w="1121" w:type="dxa"/>
            <w:tcBorders>
              <w:bottom w:val="single" w:sz="12" w:space="0" w:color="auto"/>
            </w:tcBorders>
          </w:tcPr>
          <w:p w14:paraId="0654BF3C"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Borders>
              <w:bottom w:val="single" w:sz="12" w:space="0" w:color="auto"/>
            </w:tcBorders>
          </w:tcPr>
          <w:p w14:paraId="7C3901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21" w:type="dxa"/>
            <w:tcBorders>
              <w:bottom w:val="single" w:sz="12" w:space="0" w:color="auto"/>
            </w:tcBorders>
          </w:tcPr>
          <w:p w14:paraId="320593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1867</w:t>
            </w:r>
          </w:p>
        </w:tc>
        <w:tc>
          <w:tcPr>
            <w:tcW w:w="1121" w:type="dxa"/>
            <w:tcBorders>
              <w:bottom w:val="single" w:sz="12" w:space="0" w:color="auto"/>
            </w:tcBorders>
          </w:tcPr>
          <w:p w14:paraId="1AE6FA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2524</w:t>
            </w:r>
          </w:p>
        </w:tc>
        <w:tc>
          <w:tcPr>
            <w:tcW w:w="1121" w:type="dxa"/>
            <w:tcBorders>
              <w:bottom w:val="single" w:sz="12" w:space="0" w:color="auto"/>
            </w:tcBorders>
          </w:tcPr>
          <w:p w14:paraId="2A34C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2441</w:t>
            </w:r>
          </w:p>
        </w:tc>
        <w:tc>
          <w:tcPr>
            <w:tcW w:w="1121" w:type="dxa"/>
            <w:tcBorders>
              <w:bottom w:val="single" w:sz="12" w:space="0" w:color="auto"/>
            </w:tcBorders>
          </w:tcPr>
          <w:p w14:paraId="46ECA3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2963</w:t>
            </w:r>
          </w:p>
        </w:tc>
        <w:tc>
          <w:tcPr>
            <w:tcW w:w="1121" w:type="dxa"/>
            <w:tcBorders>
              <w:bottom w:val="single" w:sz="12" w:space="0" w:color="auto"/>
            </w:tcBorders>
          </w:tcPr>
          <w:p w14:paraId="7F4CE4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1634</w:t>
            </w:r>
          </w:p>
        </w:tc>
        <w:tc>
          <w:tcPr>
            <w:tcW w:w="1121" w:type="dxa"/>
            <w:tcBorders>
              <w:bottom w:val="single" w:sz="12" w:space="0" w:color="auto"/>
            </w:tcBorders>
          </w:tcPr>
          <w:p w14:paraId="43D854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11430</w:t>
            </w:r>
          </w:p>
        </w:tc>
      </w:tr>
    </w:tbl>
    <w:p w14:paraId="36D77C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Таблица составлена на основании итогового отчета МАП с отдельными уточнениями по типам выпушенных самолетов</w:t>
      </w:r>
    </w:p>
    <w:p w14:paraId="03CC98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Поданным отчета военпреда завода № 22 в 1941 г. было изготовлено 1094 Пе-2</w:t>
      </w:r>
    </w:p>
    <w:p w14:paraId="5AF963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Поданным отчета военпреда завода № 124 в 1941 г. было изготовлено 103 Пе-2</w:t>
      </w:r>
    </w:p>
    <w:p w14:paraId="2C5901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Поданным отчета военпреда завода № 22 в 1942 г. было изготовлено 1934 Пе-2 (12042).</w:t>
      </w:r>
    </w:p>
    <w:p w14:paraId="6DAC8B29" w14:textId="77777777" w:rsidR="00665165" w:rsidRPr="00F90EAE" w:rsidRDefault="00665165" w:rsidP="00F90EAE">
      <w:pPr>
        <w:autoSpaceDE w:val="0"/>
        <w:autoSpaceDN w:val="0"/>
        <w:adjustRightInd w:val="0"/>
        <w:jc w:val="both"/>
        <w:rPr>
          <w:color w:val="000000" w:themeColor="text1"/>
          <w:sz w:val="16"/>
          <w:szCs w:val="16"/>
        </w:rPr>
      </w:pPr>
    </w:p>
    <w:p w14:paraId="0F6393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Распределение полученных самолетов Пе-2/Пе-З в 1941-1945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992"/>
        <w:gridCol w:w="992"/>
        <w:gridCol w:w="992"/>
        <w:gridCol w:w="1276"/>
        <w:gridCol w:w="709"/>
        <w:gridCol w:w="850"/>
        <w:gridCol w:w="1276"/>
        <w:gridCol w:w="1134"/>
        <w:gridCol w:w="851"/>
      </w:tblGrid>
      <w:tr w:rsidR="00561F31" w:rsidRPr="00F90EAE" w14:paraId="50CEEDC0" w14:textId="77777777">
        <w:tc>
          <w:tcPr>
            <w:tcW w:w="1101" w:type="dxa"/>
            <w:tcBorders>
              <w:top w:val="single" w:sz="12" w:space="0" w:color="auto"/>
            </w:tcBorders>
          </w:tcPr>
          <w:p w14:paraId="7A1D01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xml:space="preserve">Фронтам </w:t>
            </w:r>
          </w:p>
        </w:tc>
        <w:tc>
          <w:tcPr>
            <w:tcW w:w="992" w:type="dxa"/>
            <w:tcBorders>
              <w:top w:val="single" w:sz="12" w:space="0" w:color="auto"/>
            </w:tcBorders>
          </w:tcPr>
          <w:p w14:paraId="45D0E5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Авиации</w:t>
            </w:r>
          </w:p>
        </w:tc>
        <w:tc>
          <w:tcPr>
            <w:tcW w:w="992" w:type="dxa"/>
            <w:tcBorders>
              <w:top w:val="single" w:sz="12" w:space="0" w:color="auto"/>
            </w:tcBorders>
          </w:tcPr>
          <w:p w14:paraId="7A06D4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ВВС</w:t>
            </w:r>
          </w:p>
        </w:tc>
        <w:tc>
          <w:tcPr>
            <w:tcW w:w="992" w:type="dxa"/>
            <w:tcBorders>
              <w:top w:val="single" w:sz="12" w:space="0" w:color="auto"/>
            </w:tcBorders>
          </w:tcPr>
          <w:p w14:paraId="7324E2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Развед.</w:t>
            </w:r>
          </w:p>
        </w:tc>
        <w:tc>
          <w:tcPr>
            <w:tcW w:w="1276" w:type="dxa"/>
            <w:tcBorders>
              <w:top w:val="single" w:sz="12" w:space="0" w:color="auto"/>
            </w:tcBorders>
          </w:tcPr>
          <w:p w14:paraId="690E0E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Дивизии</w:t>
            </w:r>
          </w:p>
        </w:tc>
        <w:tc>
          <w:tcPr>
            <w:tcW w:w="709" w:type="dxa"/>
            <w:tcBorders>
              <w:top w:val="single" w:sz="12" w:space="0" w:color="auto"/>
            </w:tcBorders>
          </w:tcPr>
          <w:p w14:paraId="5B4CBF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w:t>
            </w:r>
          </w:p>
        </w:tc>
        <w:tc>
          <w:tcPr>
            <w:tcW w:w="850" w:type="dxa"/>
            <w:tcBorders>
              <w:top w:val="single" w:sz="12" w:space="0" w:color="auto"/>
            </w:tcBorders>
          </w:tcPr>
          <w:p w14:paraId="2A4CD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Школам</w:t>
            </w:r>
          </w:p>
        </w:tc>
        <w:tc>
          <w:tcPr>
            <w:tcW w:w="1276" w:type="dxa"/>
            <w:tcBorders>
              <w:top w:val="single" w:sz="12" w:space="0" w:color="auto"/>
            </w:tcBorders>
          </w:tcPr>
          <w:p w14:paraId="613A80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Частям центра</w:t>
            </w:r>
          </w:p>
        </w:tc>
        <w:tc>
          <w:tcPr>
            <w:tcW w:w="1134" w:type="dxa"/>
            <w:tcBorders>
              <w:top w:val="single" w:sz="12" w:space="0" w:color="auto"/>
            </w:tcBorders>
          </w:tcPr>
          <w:p w14:paraId="1C56E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Другим (в том числе округам)</w:t>
            </w:r>
          </w:p>
        </w:tc>
        <w:tc>
          <w:tcPr>
            <w:tcW w:w="851" w:type="dxa"/>
            <w:tcBorders>
              <w:top w:val="single" w:sz="12" w:space="0" w:color="auto"/>
            </w:tcBorders>
          </w:tcPr>
          <w:p w14:paraId="4BDF4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Остаток</w:t>
            </w:r>
          </w:p>
        </w:tc>
      </w:tr>
      <w:tr w:rsidR="00561F31" w:rsidRPr="00F90EAE" w14:paraId="3DC229CE" w14:textId="77777777">
        <w:tc>
          <w:tcPr>
            <w:tcW w:w="1101" w:type="dxa"/>
          </w:tcPr>
          <w:p w14:paraId="2D83CB06"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4106A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ВМФ</w:t>
            </w:r>
          </w:p>
        </w:tc>
        <w:tc>
          <w:tcPr>
            <w:tcW w:w="992" w:type="dxa"/>
          </w:tcPr>
          <w:p w14:paraId="74DAB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Польши </w:t>
            </w:r>
          </w:p>
        </w:tc>
        <w:tc>
          <w:tcPr>
            <w:tcW w:w="992" w:type="dxa"/>
          </w:tcPr>
          <w:p w14:paraId="05BFE0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авиации</w:t>
            </w:r>
          </w:p>
        </w:tc>
        <w:tc>
          <w:tcPr>
            <w:tcW w:w="1276" w:type="dxa"/>
          </w:tcPr>
          <w:p w14:paraId="2D11B7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"Нормандия"</w:t>
            </w:r>
          </w:p>
        </w:tc>
        <w:tc>
          <w:tcPr>
            <w:tcW w:w="709" w:type="dxa"/>
          </w:tcPr>
          <w:p w14:paraId="1BC8C787" w14:textId="77777777" w:rsidR="00665165" w:rsidRPr="00F90EAE" w:rsidRDefault="00665165" w:rsidP="00F90EAE">
            <w:pPr>
              <w:autoSpaceDE w:val="0"/>
              <w:autoSpaceDN w:val="0"/>
              <w:adjustRightInd w:val="0"/>
              <w:jc w:val="both"/>
              <w:rPr>
                <w:color w:val="000000" w:themeColor="text1"/>
                <w:sz w:val="16"/>
                <w:szCs w:val="16"/>
              </w:rPr>
            </w:pPr>
          </w:p>
        </w:tc>
        <w:tc>
          <w:tcPr>
            <w:tcW w:w="850" w:type="dxa"/>
          </w:tcPr>
          <w:p w14:paraId="009B38C6"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5DDDB648"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1DA6C466" w14:textId="77777777" w:rsidR="00665165" w:rsidRPr="00F90EAE" w:rsidRDefault="00665165" w:rsidP="00F90EAE">
            <w:pPr>
              <w:autoSpaceDE w:val="0"/>
              <w:autoSpaceDN w:val="0"/>
              <w:adjustRightInd w:val="0"/>
              <w:jc w:val="both"/>
              <w:rPr>
                <w:color w:val="000000" w:themeColor="text1"/>
                <w:sz w:val="16"/>
                <w:szCs w:val="16"/>
              </w:rPr>
            </w:pPr>
          </w:p>
        </w:tc>
        <w:tc>
          <w:tcPr>
            <w:tcW w:w="851" w:type="dxa"/>
          </w:tcPr>
          <w:p w14:paraId="21C92C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w:t>
            </w:r>
          </w:p>
        </w:tc>
      </w:tr>
      <w:tr w:rsidR="00561F31" w:rsidRPr="00F90EAE" w14:paraId="65D85EE3" w14:textId="77777777">
        <w:tc>
          <w:tcPr>
            <w:tcW w:w="1101" w:type="dxa"/>
          </w:tcPr>
          <w:p w14:paraId="5CCA8D57"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619D23B6"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646FE68A"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33EC2BC7"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06583D80" w14:textId="77777777" w:rsidR="00665165" w:rsidRPr="00F90EAE" w:rsidRDefault="00665165" w:rsidP="00F90EAE">
            <w:pPr>
              <w:autoSpaceDE w:val="0"/>
              <w:autoSpaceDN w:val="0"/>
              <w:adjustRightInd w:val="0"/>
              <w:jc w:val="both"/>
              <w:rPr>
                <w:color w:val="000000" w:themeColor="text1"/>
                <w:sz w:val="16"/>
                <w:szCs w:val="16"/>
              </w:rPr>
            </w:pPr>
          </w:p>
        </w:tc>
        <w:tc>
          <w:tcPr>
            <w:tcW w:w="709" w:type="dxa"/>
          </w:tcPr>
          <w:p w14:paraId="023C0091" w14:textId="77777777" w:rsidR="00665165" w:rsidRPr="00F90EAE" w:rsidRDefault="00665165" w:rsidP="00F90EAE">
            <w:pPr>
              <w:autoSpaceDE w:val="0"/>
              <w:autoSpaceDN w:val="0"/>
              <w:adjustRightInd w:val="0"/>
              <w:jc w:val="both"/>
              <w:rPr>
                <w:color w:val="000000" w:themeColor="text1"/>
                <w:sz w:val="16"/>
                <w:szCs w:val="16"/>
              </w:rPr>
            </w:pPr>
          </w:p>
        </w:tc>
        <w:tc>
          <w:tcPr>
            <w:tcW w:w="850" w:type="dxa"/>
          </w:tcPr>
          <w:p w14:paraId="52EE5C78" w14:textId="77777777" w:rsidR="00665165" w:rsidRPr="00F90EAE" w:rsidRDefault="00665165" w:rsidP="00F90EAE">
            <w:pPr>
              <w:autoSpaceDE w:val="0"/>
              <w:autoSpaceDN w:val="0"/>
              <w:adjustRightInd w:val="0"/>
              <w:jc w:val="both"/>
              <w:rPr>
                <w:color w:val="000000" w:themeColor="text1"/>
                <w:sz w:val="16"/>
                <w:szCs w:val="16"/>
              </w:rPr>
            </w:pPr>
          </w:p>
        </w:tc>
        <w:tc>
          <w:tcPr>
            <w:tcW w:w="1276" w:type="dxa"/>
          </w:tcPr>
          <w:p w14:paraId="1D5E3E5E"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438B4D4D" w14:textId="77777777" w:rsidR="00665165" w:rsidRPr="00F90EAE" w:rsidRDefault="00665165" w:rsidP="00F90EAE">
            <w:pPr>
              <w:autoSpaceDE w:val="0"/>
              <w:autoSpaceDN w:val="0"/>
              <w:adjustRightInd w:val="0"/>
              <w:jc w:val="both"/>
              <w:rPr>
                <w:color w:val="000000" w:themeColor="text1"/>
                <w:sz w:val="16"/>
                <w:szCs w:val="16"/>
              </w:rPr>
            </w:pPr>
          </w:p>
        </w:tc>
        <w:tc>
          <w:tcPr>
            <w:tcW w:w="851" w:type="dxa"/>
          </w:tcPr>
          <w:p w14:paraId="522162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1945 г.</w:t>
            </w:r>
          </w:p>
        </w:tc>
      </w:tr>
      <w:tr w:rsidR="00561F31" w:rsidRPr="00F90EAE" w14:paraId="147A96FB" w14:textId="77777777">
        <w:tc>
          <w:tcPr>
            <w:tcW w:w="1101" w:type="dxa"/>
            <w:tcBorders>
              <w:bottom w:val="single" w:sz="12" w:space="0" w:color="auto"/>
            </w:tcBorders>
          </w:tcPr>
          <w:p w14:paraId="38BD13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6386 </w:t>
            </w:r>
          </w:p>
        </w:tc>
        <w:tc>
          <w:tcPr>
            <w:tcW w:w="992" w:type="dxa"/>
            <w:tcBorders>
              <w:bottom w:val="single" w:sz="12" w:space="0" w:color="auto"/>
            </w:tcBorders>
          </w:tcPr>
          <w:p w14:paraId="489F9B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782</w:t>
            </w:r>
          </w:p>
        </w:tc>
        <w:tc>
          <w:tcPr>
            <w:tcW w:w="992" w:type="dxa"/>
            <w:tcBorders>
              <w:bottom w:val="single" w:sz="12" w:space="0" w:color="auto"/>
            </w:tcBorders>
          </w:tcPr>
          <w:p w14:paraId="2E2C12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113</w:t>
            </w:r>
          </w:p>
        </w:tc>
        <w:tc>
          <w:tcPr>
            <w:tcW w:w="992" w:type="dxa"/>
            <w:tcBorders>
              <w:bottom w:val="single" w:sz="12" w:space="0" w:color="auto"/>
            </w:tcBorders>
          </w:tcPr>
          <w:p w14:paraId="6BBC8A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480</w:t>
            </w:r>
          </w:p>
        </w:tc>
        <w:tc>
          <w:tcPr>
            <w:tcW w:w="1276" w:type="dxa"/>
            <w:tcBorders>
              <w:bottom w:val="single" w:sz="12" w:space="0" w:color="auto"/>
            </w:tcBorders>
          </w:tcPr>
          <w:p w14:paraId="3B0A24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709" w:type="dxa"/>
            <w:tcBorders>
              <w:bottom w:val="single" w:sz="12" w:space="0" w:color="auto"/>
            </w:tcBorders>
          </w:tcPr>
          <w:p w14:paraId="0F3704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850" w:type="dxa"/>
            <w:tcBorders>
              <w:bottom w:val="single" w:sz="12" w:space="0" w:color="auto"/>
            </w:tcBorders>
          </w:tcPr>
          <w:p w14:paraId="4CB052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588</w:t>
            </w:r>
          </w:p>
        </w:tc>
        <w:tc>
          <w:tcPr>
            <w:tcW w:w="1276" w:type="dxa"/>
            <w:tcBorders>
              <w:bottom w:val="single" w:sz="12" w:space="0" w:color="auto"/>
            </w:tcBorders>
          </w:tcPr>
          <w:p w14:paraId="236A76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w:t>
            </w:r>
          </w:p>
        </w:tc>
        <w:tc>
          <w:tcPr>
            <w:tcW w:w="1134" w:type="dxa"/>
            <w:tcBorders>
              <w:bottom w:val="single" w:sz="12" w:space="0" w:color="auto"/>
            </w:tcBorders>
          </w:tcPr>
          <w:p w14:paraId="4643EC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1093</w:t>
            </w:r>
          </w:p>
        </w:tc>
        <w:tc>
          <w:tcPr>
            <w:tcW w:w="851" w:type="dxa"/>
            <w:tcBorders>
              <w:bottom w:val="single" w:sz="12" w:space="0" w:color="auto"/>
            </w:tcBorders>
          </w:tcPr>
          <w:p w14:paraId="36E1EE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909</w:t>
            </w:r>
          </w:p>
        </w:tc>
      </w:tr>
    </w:tbl>
    <w:p w14:paraId="3DFEC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Еще 669 самолетов переоборудовано в разведывательный вариант в авиаполках (12042).</w:t>
      </w:r>
    </w:p>
    <w:p w14:paraId="72200883" w14:textId="77777777" w:rsidR="00665165" w:rsidRPr="00F90EAE" w:rsidRDefault="00665165" w:rsidP="00F90EAE">
      <w:pPr>
        <w:autoSpaceDE w:val="0"/>
        <w:autoSpaceDN w:val="0"/>
        <w:adjustRightInd w:val="0"/>
        <w:jc w:val="both"/>
        <w:rPr>
          <w:color w:val="000000" w:themeColor="text1"/>
          <w:sz w:val="16"/>
          <w:szCs w:val="16"/>
        </w:rPr>
      </w:pPr>
    </w:p>
    <w:p w14:paraId="51F38F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бомбардировщиков типа Пе-8 (ТБ-7) в ВВС Красной Армии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561F31" w:rsidRPr="00F90EAE" w14:paraId="27A447F7" w14:textId="77777777">
        <w:tc>
          <w:tcPr>
            <w:tcW w:w="1019" w:type="dxa"/>
            <w:tcBorders>
              <w:top w:val="single" w:sz="12" w:space="0" w:color="auto"/>
            </w:tcBorders>
          </w:tcPr>
          <w:p w14:paraId="07E5B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состоянию на: 22.06.41</w:t>
            </w:r>
          </w:p>
        </w:tc>
        <w:tc>
          <w:tcPr>
            <w:tcW w:w="1019" w:type="dxa"/>
            <w:tcBorders>
              <w:top w:val="single" w:sz="12" w:space="0" w:color="auto"/>
            </w:tcBorders>
          </w:tcPr>
          <w:p w14:paraId="12CC67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1.10.41</w:t>
            </w:r>
          </w:p>
        </w:tc>
        <w:tc>
          <w:tcPr>
            <w:tcW w:w="1019" w:type="dxa"/>
            <w:tcBorders>
              <w:top w:val="single" w:sz="12" w:space="0" w:color="auto"/>
            </w:tcBorders>
          </w:tcPr>
          <w:p w14:paraId="469E9F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18.03.42</w:t>
            </w:r>
          </w:p>
        </w:tc>
        <w:tc>
          <w:tcPr>
            <w:tcW w:w="1019" w:type="dxa"/>
            <w:tcBorders>
              <w:top w:val="single" w:sz="12" w:space="0" w:color="auto"/>
            </w:tcBorders>
          </w:tcPr>
          <w:p w14:paraId="4E49C6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1.05.42</w:t>
            </w:r>
          </w:p>
        </w:tc>
        <w:tc>
          <w:tcPr>
            <w:tcW w:w="1019" w:type="dxa"/>
            <w:tcBorders>
              <w:top w:val="single" w:sz="12" w:space="0" w:color="auto"/>
            </w:tcBorders>
          </w:tcPr>
          <w:p w14:paraId="7F5FDF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1.07.42</w:t>
            </w:r>
          </w:p>
        </w:tc>
        <w:tc>
          <w:tcPr>
            <w:tcW w:w="1019" w:type="dxa"/>
            <w:tcBorders>
              <w:top w:val="single" w:sz="12" w:space="0" w:color="auto"/>
            </w:tcBorders>
          </w:tcPr>
          <w:p w14:paraId="1C133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18.11.42</w:t>
            </w:r>
          </w:p>
        </w:tc>
        <w:tc>
          <w:tcPr>
            <w:tcW w:w="1019" w:type="dxa"/>
            <w:tcBorders>
              <w:top w:val="single" w:sz="12" w:space="0" w:color="auto"/>
            </w:tcBorders>
          </w:tcPr>
          <w:p w14:paraId="290A43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1.07.43</w:t>
            </w:r>
          </w:p>
        </w:tc>
        <w:tc>
          <w:tcPr>
            <w:tcW w:w="1019" w:type="dxa"/>
            <w:tcBorders>
              <w:top w:val="single" w:sz="12" w:space="0" w:color="auto"/>
            </w:tcBorders>
          </w:tcPr>
          <w:p w14:paraId="09DBFD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1.01.44</w:t>
            </w:r>
          </w:p>
        </w:tc>
        <w:tc>
          <w:tcPr>
            <w:tcW w:w="1019" w:type="dxa"/>
            <w:tcBorders>
              <w:top w:val="single" w:sz="12" w:space="0" w:color="auto"/>
            </w:tcBorders>
          </w:tcPr>
          <w:p w14:paraId="57968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1.06.44</w:t>
            </w:r>
          </w:p>
        </w:tc>
        <w:tc>
          <w:tcPr>
            <w:tcW w:w="1019" w:type="dxa"/>
            <w:tcBorders>
              <w:top w:val="single" w:sz="12" w:space="0" w:color="auto"/>
            </w:tcBorders>
          </w:tcPr>
          <w:p w14:paraId="4528C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1.05.45</w:t>
            </w:r>
          </w:p>
        </w:tc>
        <w:tc>
          <w:tcPr>
            <w:tcW w:w="1019" w:type="dxa"/>
            <w:tcBorders>
              <w:top w:val="single" w:sz="12" w:space="0" w:color="auto"/>
            </w:tcBorders>
          </w:tcPr>
          <w:p w14:paraId="499D03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10.05.45</w:t>
            </w:r>
          </w:p>
        </w:tc>
      </w:tr>
      <w:tr w:rsidR="00561F31" w:rsidRPr="00F90EAE" w14:paraId="41E593A0" w14:textId="77777777">
        <w:tc>
          <w:tcPr>
            <w:tcW w:w="1019" w:type="dxa"/>
            <w:tcBorders>
              <w:bottom w:val="single" w:sz="12" w:space="0" w:color="auto"/>
            </w:tcBorders>
          </w:tcPr>
          <w:p w14:paraId="6469A9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наличии всего: 9(4*)</w:t>
            </w:r>
          </w:p>
        </w:tc>
        <w:tc>
          <w:tcPr>
            <w:tcW w:w="1019" w:type="dxa"/>
            <w:tcBorders>
              <w:bottom w:val="single" w:sz="12" w:space="0" w:color="auto"/>
            </w:tcBorders>
          </w:tcPr>
          <w:p w14:paraId="449179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w:t>
            </w:r>
          </w:p>
        </w:tc>
        <w:tc>
          <w:tcPr>
            <w:tcW w:w="1019" w:type="dxa"/>
            <w:tcBorders>
              <w:bottom w:val="single" w:sz="12" w:space="0" w:color="auto"/>
            </w:tcBorders>
          </w:tcPr>
          <w:p w14:paraId="1BEBD4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w:t>
            </w:r>
          </w:p>
        </w:tc>
        <w:tc>
          <w:tcPr>
            <w:tcW w:w="1019" w:type="dxa"/>
            <w:tcBorders>
              <w:bottom w:val="single" w:sz="12" w:space="0" w:color="auto"/>
            </w:tcBorders>
          </w:tcPr>
          <w:p w14:paraId="4140B8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16(12)</w:t>
            </w:r>
          </w:p>
        </w:tc>
        <w:tc>
          <w:tcPr>
            <w:tcW w:w="1019" w:type="dxa"/>
            <w:tcBorders>
              <w:bottom w:val="single" w:sz="12" w:space="0" w:color="auto"/>
            </w:tcBorders>
          </w:tcPr>
          <w:p w14:paraId="6AF215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17(7)</w:t>
            </w:r>
          </w:p>
        </w:tc>
        <w:tc>
          <w:tcPr>
            <w:tcW w:w="1019" w:type="dxa"/>
            <w:tcBorders>
              <w:bottom w:val="single" w:sz="12" w:space="0" w:color="auto"/>
            </w:tcBorders>
          </w:tcPr>
          <w:p w14:paraId="6432D9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w:t>
            </w:r>
          </w:p>
        </w:tc>
        <w:tc>
          <w:tcPr>
            <w:tcW w:w="1019" w:type="dxa"/>
            <w:tcBorders>
              <w:bottom w:val="single" w:sz="12" w:space="0" w:color="auto"/>
            </w:tcBorders>
          </w:tcPr>
          <w:p w14:paraId="0DC4A0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019" w:type="dxa"/>
            <w:tcBorders>
              <w:bottom w:val="single" w:sz="12" w:space="0" w:color="auto"/>
            </w:tcBorders>
          </w:tcPr>
          <w:p w14:paraId="4B3CD0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20(1)</w:t>
            </w:r>
          </w:p>
        </w:tc>
        <w:tc>
          <w:tcPr>
            <w:tcW w:w="1019" w:type="dxa"/>
            <w:tcBorders>
              <w:bottom w:val="single" w:sz="12" w:space="0" w:color="auto"/>
            </w:tcBorders>
          </w:tcPr>
          <w:p w14:paraId="771BF2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019" w:type="dxa"/>
            <w:tcBorders>
              <w:bottom w:val="single" w:sz="12" w:space="0" w:color="auto"/>
            </w:tcBorders>
          </w:tcPr>
          <w:p w14:paraId="062850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31(8)</w:t>
            </w:r>
          </w:p>
        </w:tc>
        <w:tc>
          <w:tcPr>
            <w:tcW w:w="1019" w:type="dxa"/>
            <w:tcBorders>
              <w:bottom w:val="single" w:sz="12" w:space="0" w:color="auto"/>
            </w:tcBorders>
          </w:tcPr>
          <w:p w14:paraId="53AD7E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32(14)**</w:t>
            </w:r>
          </w:p>
        </w:tc>
      </w:tr>
    </w:tbl>
    <w:p w14:paraId="1F5D3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 (в том числе неисправных)</w:t>
      </w:r>
    </w:p>
    <w:p w14:paraId="568F28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На 10 мая 1945 года в составе АДД все еше оставалось 39(!) ТБ-3 (12025).</w:t>
      </w:r>
    </w:p>
    <w:p w14:paraId="4D1910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самолетов ПЕ-8 (ТБ-7)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561F31" w:rsidRPr="00F90EAE" w14:paraId="4DAB7B70" w14:textId="77777777">
        <w:tc>
          <w:tcPr>
            <w:tcW w:w="2802" w:type="dxa"/>
            <w:tcBorders>
              <w:top w:val="single" w:sz="12" w:space="0" w:color="auto"/>
            </w:tcBorders>
          </w:tcPr>
          <w:p w14:paraId="55AA38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п/п</w:t>
            </w:r>
          </w:p>
        </w:tc>
        <w:tc>
          <w:tcPr>
            <w:tcW w:w="2802" w:type="dxa"/>
            <w:tcBorders>
              <w:top w:val="single" w:sz="12" w:space="0" w:color="auto"/>
            </w:tcBorders>
          </w:tcPr>
          <w:p w14:paraId="7E4269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 №</w:t>
            </w:r>
          </w:p>
        </w:tc>
        <w:tc>
          <w:tcPr>
            <w:tcW w:w="2802" w:type="dxa"/>
            <w:tcBorders>
              <w:top w:val="single" w:sz="12" w:space="0" w:color="auto"/>
            </w:tcBorders>
          </w:tcPr>
          <w:p w14:paraId="54DC5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Бортовой №</w:t>
            </w:r>
          </w:p>
        </w:tc>
        <w:tc>
          <w:tcPr>
            <w:tcW w:w="2802" w:type="dxa"/>
            <w:tcBorders>
              <w:top w:val="single" w:sz="12" w:space="0" w:color="auto"/>
            </w:tcBorders>
          </w:tcPr>
          <w:p w14:paraId="2359F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Двигатели (замена)</w:t>
            </w:r>
          </w:p>
        </w:tc>
      </w:tr>
      <w:tr w:rsidR="00561F31" w:rsidRPr="00F90EAE" w14:paraId="7EB1D0F1" w14:textId="77777777">
        <w:tc>
          <w:tcPr>
            <w:tcW w:w="2802" w:type="dxa"/>
          </w:tcPr>
          <w:p w14:paraId="46AB47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1936 г.</w:t>
            </w:r>
          </w:p>
        </w:tc>
        <w:tc>
          <w:tcPr>
            <w:tcW w:w="2802" w:type="dxa"/>
          </w:tcPr>
          <w:p w14:paraId="33EDCA87"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447F7515"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8BB90E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79C75CA" w14:textId="77777777">
        <w:tc>
          <w:tcPr>
            <w:tcW w:w="2802" w:type="dxa"/>
          </w:tcPr>
          <w:p w14:paraId="06A999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01 Прототип АНТ-42</w:t>
            </w:r>
          </w:p>
        </w:tc>
        <w:tc>
          <w:tcPr>
            <w:tcW w:w="2802" w:type="dxa"/>
          </w:tcPr>
          <w:p w14:paraId="33651A5A"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48B0B67A"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E55409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69DF0F5" w14:textId="77777777">
        <w:tc>
          <w:tcPr>
            <w:tcW w:w="2802" w:type="dxa"/>
          </w:tcPr>
          <w:p w14:paraId="785FA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1938 г.</w:t>
            </w:r>
          </w:p>
        </w:tc>
        <w:tc>
          <w:tcPr>
            <w:tcW w:w="2802" w:type="dxa"/>
          </w:tcPr>
          <w:p w14:paraId="098C659F"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A233B88"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4AFC82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76615C5" w14:textId="77777777">
        <w:tc>
          <w:tcPr>
            <w:tcW w:w="2802" w:type="dxa"/>
          </w:tcPr>
          <w:p w14:paraId="3431C5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02</w:t>
            </w:r>
          </w:p>
        </w:tc>
        <w:tc>
          <w:tcPr>
            <w:tcW w:w="2802" w:type="dxa"/>
          </w:tcPr>
          <w:p w14:paraId="747AC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Дублер АНТ-42</w:t>
            </w:r>
          </w:p>
        </w:tc>
        <w:tc>
          <w:tcPr>
            <w:tcW w:w="2802" w:type="dxa"/>
          </w:tcPr>
          <w:p w14:paraId="254D515D"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22371D2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92A295B" w14:textId="77777777">
        <w:tc>
          <w:tcPr>
            <w:tcW w:w="2802" w:type="dxa"/>
          </w:tcPr>
          <w:p w14:paraId="625DED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1939-1940 гг.</w:t>
            </w:r>
          </w:p>
        </w:tc>
        <w:tc>
          <w:tcPr>
            <w:tcW w:w="2802" w:type="dxa"/>
          </w:tcPr>
          <w:p w14:paraId="4873C7C9"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1CC43DDE"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2F862AF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A5B02A5" w14:textId="77777777">
        <w:tc>
          <w:tcPr>
            <w:tcW w:w="2802" w:type="dxa"/>
          </w:tcPr>
          <w:p w14:paraId="71815E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2802" w:type="dxa"/>
          </w:tcPr>
          <w:p w14:paraId="0B19EB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4211</w:t>
            </w:r>
          </w:p>
        </w:tc>
        <w:tc>
          <w:tcPr>
            <w:tcW w:w="2802" w:type="dxa"/>
          </w:tcPr>
          <w:p w14:paraId="7C776F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CF33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АМ-34ФРНВ</w:t>
            </w:r>
          </w:p>
        </w:tc>
      </w:tr>
      <w:tr w:rsidR="00561F31" w:rsidRPr="00F90EAE" w14:paraId="19BE8C47" w14:textId="77777777">
        <w:tc>
          <w:tcPr>
            <w:tcW w:w="2802" w:type="dxa"/>
          </w:tcPr>
          <w:p w14:paraId="408151E7"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C2FDC37"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132006E5"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4EB53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АЦН-2 (АМ-35А)</w:t>
            </w:r>
          </w:p>
        </w:tc>
      </w:tr>
      <w:tr w:rsidR="00561F31" w:rsidRPr="00F90EAE" w14:paraId="5D40FD7A" w14:textId="77777777">
        <w:tc>
          <w:tcPr>
            <w:tcW w:w="2802" w:type="dxa"/>
          </w:tcPr>
          <w:p w14:paraId="3E1837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w:t>
            </w:r>
          </w:p>
        </w:tc>
        <w:tc>
          <w:tcPr>
            <w:tcW w:w="2802" w:type="dxa"/>
          </w:tcPr>
          <w:p w14:paraId="420369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4212</w:t>
            </w:r>
          </w:p>
        </w:tc>
        <w:tc>
          <w:tcPr>
            <w:tcW w:w="2802" w:type="dxa"/>
          </w:tcPr>
          <w:p w14:paraId="17EA6D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"8"</w:t>
            </w:r>
          </w:p>
        </w:tc>
        <w:tc>
          <w:tcPr>
            <w:tcW w:w="2802" w:type="dxa"/>
          </w:tcPr>
          <w:p w14:paraId="177ACE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АМ-34ФРНВ</w:t>
            </w:r>
          </w:p>
        </w:tc>
      </w:tr>
      <w:tr w:rsidR="00561F31" w:rsidRPr="00F90EAE" w14:paraId="64054523" w14:textId="77777777">
        <w:tc>
          <w:tcPr>
            <w:tcW w:w="2802" w:type="dxa"/>
          </w:tcPr>
          <w:p w14:paraId="21492935"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0EBEA1B6"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424E7339"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56A71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АЦН-2 (АМ-35А)</w:t>
            </w:r>
          </w:p>
        </w:tc>
      </w:tr>
      <w:tr w:rsidR="00561F31" w:rsidRPr="00F90EAE" w14:paraId="73376A55" w14:textId="77777777">
        <w:tc>
          <w:tcPr>
            <w:tcW w:w="2802" w:type="dxa"/>
          </w:tcPr>
          <w:p w14:paraId="393A33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w:t>
            </w:r>
          </w:p>
        </w:tc>
        <w:tc>
          <w:tcPr>
            <w:tcW w:w="2802" w:type="dxa"/>
          </w:tcPr>
          <w:p w14:paraId="08D46D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4213</w:t>
            </w:r>
          </w:p>
        </w:tc>
        <w:tc>
          <w:tcPr>
            <w:tcW w:w="2802" w:type="dxa"/>
          </w:tcPr>
          <w:p w14:paraId="586D9C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02A56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АМ-34ФРНВ</w:t>
            </w:r>
          </w:p>
        </w:tc>
      </w:tr>
      <w:tr w:rsidR="00561F31" w:rsidRPr="00F90EAE" w14:paraId="305C84B3" w14:textId="77777777">
        <w:tc>
          <w:tcPr>
            <w:tcW w:w="2802" w:type="dxa"/>
          </w:tcPr>
          <w:p w14:paraId="2FF7351E"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9BD99E3"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9C57913"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7C29F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АЦН-2 (АМ-35А)</w:t>
            </w:r>
          </w:p>
        </w:tc>
      </w:tr>
      <w:tr w:rsidR="00561F31" w:rsidRPr="00F90EAE" w14:paraId="3E6EB7E2" w14:textId="77777777">
        <w:tc>
          <w:tcPr>
            <w:tcW w:w="2802" w:type="dxa"/>
          </w:tcPr>
          <w:p w14:paraId="685B8B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2802" w:type="dxa"/>
          </w:tcPr>
          <w:p w14:paraId="1B0C9A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4214</w:t>
            </w:r>
          </w:p>
        </w:tc>
        <w:tc>
          <w:tcPr>
            <w:tcW w:w="2802" w:type="dxa"/>
          </w:tcPr>
          <w:p w14:paraId="4D9B1C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28E7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АМ-34ФРНВ</w:t>
            </w:r>
          </w:p>
        </w:tc>
      </w:tr>
      <w:tr w:rsidR="00561F31" w:rsidRPr="00F90EAE" w14:paraId="084A7316" w14:textId="77777777">
        <w:tc>
          <w:tcPr>
            <w:tcW w:w="2802" w:type="dxa"/>
          </w:tcPr>
          <w:p w14:paraId="389136EA"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5F4725F"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7DD4654C"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583F1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АЦН-2 (АМ-35А)</w:t>
            </w:r>
          </w:p>
        </w:tc>
      </w:tr>
      <w:tr w:rsidR="00561F31" w:rsidRPr="00F90EAE" w14:paraId="4645E488" w14:textId="77777777">
        <w:tc>
          <w:tcPr>
            <w:tcW w:w="2802" w:type="dxa"/>
          </w:tcPr>
          <w:p w14:paraId="2B2DD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w:t>
            </w:r>
          </w:p>
        </w:tc>
        <w:tc>
          <w:tcPr>
            <w:tcW w:w="2802" w:type="dxa"/>
          </w:tcPr>
          <w:p w14:paraId="182C0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4215</w:t>
            </w:r>
          </w:p>
        </w:tc>
        <w:tc>
          <w:tcPr>
            <w:tcW w:w="2802" w:type="dxa"/>
          </w:tcPr>
          <w:p w14:paraId="6B9CD7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"3"</w:t>
            </w:r>
          </w:p>
        </w:tc>
        <w:tc>
          <w:tcPr>
            <w:tcW w:w="2802" w:type="dxa"/>
          </w:tcPr>
          <w:p w14:paraId="7AFC9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3758A1F8" w14:textId="77777777">
        <w:tc>
          <w:tcPr>
            <w:tcW w:w="2802" w:type="dxa"/>
          </w:tcPr>
          <w:p w14:paraId="025D00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2802" w:type="dxa"/>
          </w:tcPr>
          <w:p w14:paraId="44DA0F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4216</w:t>
            </w:r>
          </w:p>
        </w:tc>
        <w:tc>
          <w:tcPr>
            <w:tcW w:w="2802" w:type="dxa"/>
          </w:tcPr>
          <w:p w14:paraId="7C987A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09D8D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АМ-34ФРНВ</w:t>
            </w:r>
          </w:p>
        </w:tc>
      </w:tr>
      <w:tr w:rsidR="00561F31" w:rsidRPr="00F90EAE" w14:paraId="440677C1" w14:textId="77777777">
        <w:tc>
          <w:tcPr>
            <w:tcW w:w="2802" w:type="dxa"/>
          </w:tcPr>
          <w:p w14:paraId="5E4A6788"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772B9CD"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74ECECE"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5608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АЦН-2</w:t>
            </w:r>
          </w:p>
        </w:tc>
      </w:tr>
      <w:tr w:rsidR="00561F31" w:rsidRPr="00F90EAE" w14:paraId="7D07C35A" w14:textId="77777777">
        <w:tc>
          <w:tcPr>
            <w:tcW w:w="2802" w:type="dxa"/>
          </w:tcPr>
          <w:p w14:paraId="472CF4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w:t>
            </w:r>
          </w:p>
        </w:tc>
        <w:tc>
          <w:tcPr>
            <w:tcW w:w="2802" w:type="dxa"/>
          </w:tcPr>
          <w:p w14:paraId="22AA57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4217</w:t>
            </w:r>
          </w:p>
        </w:tc>
        <w:tc>
          <w:tcPr>
            <w:tcW w:w="2802" w:type="dxa"/>
          </w:tcPr>
          <w:p w14:paraId="7BFB5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5208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2B15B2E7" w14:textId="77777777">
        <w:tc>
          <w:tcPr>
            <w:tcW w:w="2802" w:type="dxa"/>
          </w:tcPr>
          <w:p w14:paraId="2DDE4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w:t>
            </w:r>
          </w:p>
        </w:tc>
        <w:tc>
          <w:tcPr>
            <w:tcW w:w="2802" w:type="dxa"/>
          </w:tcPr>
          <w:p w14:paraId="428250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4218</w:t>
            </w:r>
          </w:p>
        </w:tc>
        <w:tc>
          <w:tcPr>
            <w:tcW w:w="2802" w:type="dxa"/>
          </w:tcPr>
          <w:p w14:paraId="1C4859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"1"</w:t>
            </w:r>
          </w:p>
        </w:tc>
        <w:tc>
          <w:tcPr>
            <w:tcW w:w="2802" w:type="dxa"/>
          </w:tcPr>
          <w:p w14:paraId="1E93E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760644D3" w14:textId="77777777">
        <w:tc>
          <w:tcPr>
            <w:tcW w:w="2802" w:type="dxa"/>
          </w:tcPr>
          <w:p w14:paraId="7A7D1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802" w:type="dxa"/>
          </w:tcPr>
          <w:p w14:paraId="2BA7B6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4219</w:t>
            </w:r>
          </w:p>
        </w:tc>
        <w:tc>
          <w:tcPr>
            <w:tcW w:w="2802" w:type="dxa"/>
          </w:tcPr>
          <w:p w14:paraId="5C159E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46872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7F92697B" w14:textId="77777777">
        <w:tc>
          <w:tcPr>
            <w:tcW w:w="2802" w:type="dxa"/>
          </w:tcPr>
          <w:p w14:paraId="698B4B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802" w:type="dxa"/>
          </w:tcPr>
          <w:p w14:paraId="1FCE5A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4220</w:t>
            </w:r>
          </w:p>
        </w:tc>
        <w:tc>
          <w:tcPr>
            <w:tcW w:w="2802" w:type="dxa"/>
          </w:tcPr>
          <w:p w14:paraId="4A74A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96DA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7CDDDCD7" w14:textId="77777777">
        <w:tc>
          <w:tcPr>
            <w:tcW w:w="2802" w:type="dxa"/>
          </w:tcPr>
          <w:p w14:paraId="2EE592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w:t>
            </w:r>
          </w:p>
        </w:tc>
        <w:tc>
          <w:tcPr>
            <w:tcW w:w="2802" w:type="dxa"/>
          </w:tcPr>
          <w:p w14:paraId="382DB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4221</w:t>
            </w:r>
          </w:p>
        </w:tc>
        <w:tc>
          <w:tcPr>
            <w:tcW w:w="2802" w:type="dxa"/>
          </w:tcPr>
          <w:p w14:paraId="4E23DB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09B9C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02848F16" w14:textId="77777777">
        <w:tc>
          <w:tcPr>
            <w:tcW w:w="2802" w:type="dxa"/>
          </w:tcPr>
          <w:p w14:paraId="666E2F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2802" w:type="dxa"/>
          </w:tcPr>
          <w:p w14:paraId="2C1D29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4222</w:t>
            </w:r>
          </w:p>
        </w:tc>
        <w:tc>
          <w:tcPr>
            <w:tcW w:w="2802" w:type="dxa"/>
          </w:tcPr>
          <w:p w14:paraId="75C679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A3371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 (АМ-35А)</w:t>
            </w:r>
          </w:p>
        </w:tc>
      </w:tr>
      <w:tr w:rsidR="00561F31" w:rsidRPr="00F90EAE" w14:paraId="536052BF" w14:textId="77777777">
        <w:tc>
          <w:tcPr>
            <w:tcW w:w="2802" w:type="dxa"/>
          </w:tcPr>
          <w:p w14:paraId="3271F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w:t>
            </w:r>
          </w:p>
        </w:tc>
        <w:tc>
          <w:tcPr>
            <w:tcW w:w="2802" w:type="dxa"/>
          </w:tcPr>
          <w:p w14:paraId="59CB87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4223</w:t>
            </w:r>
          </w:p>
        </w:tc>
        <w:tc>
          <w:tcPr>
            <w:tcW w:w="2802" w:type="dxa"/>
          </w:tcPr>
          <w:p w14:paraId="701EA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63411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6B90FE2F" w14:textId="77777777">
        <w:tc>
          <w:tcPr>
            <w:tcW w:w="2802" w:type="dxa"/>
          </w:tcPr>
          <w:p w14:paraId="31535C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w:t>
            </w:r>
          </w:p>
        </w:tc>
        <w:tc>
          <w:tcPr>
            <w:tcW w:w="2802" w:type="dxa"/>
          </w:tcPr>
          <w:p w14:paraId="65FE4E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4224</w:t>
            </w:r>
          </w:p>
        </w:tc>
        <w:tc>
          <w:tcPr>
            <w:tcW w:w="2802" w:type="dxa"/>
          </w:tcPr>
          <w:p w14:paraId="682711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DCC8E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4D2C498F" w14:textId="77777777">
        <w:tc>
          <w:tcPr>
            <w:tcW w:w="2802" w:type="dxa"/>
          </w:tcPr>
          <w:p w14:paraId="34744B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2802" w:type="dxa"/>
          </w:tcPr>
          <w:p w14:paraId="6C8A2C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4225</w:t>
            </w:r>
          </w:p>
        </w:tc>
        <w:tc>
          <w:tcPr>
            <w:tcW w:w="2802" w:type="dxa"/>
          </w:tcPr>
          <w:p w14:paraId="0BCB0C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"6"</w:t>
            </w:r>
          </w:p>
        </w:tc>
        <w:tc>
          <w:tcPr>
            <w:tcW w:w="2802" w:type="dxa"/>
          </w:tcPr>
          <w:p w14:paraId="07AE84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 (АМ-35А)</w:t>
            </w:r>
          </w:p>
        </w:tc>
      </w:tr>
      <w:tr w:rsidR="00561F31" w:rsidRPr="00F90EAE" w14:paraId="584CF6F6" w14:textId="77777777">
        <w:tc>
          <w:tcPr>
            <w:tcW w:w="2802" w:type="dxa"/>
          </w:tcPr>
          <w:p w14:paraId="370ED8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w:t>
            </w:r>
          </w:p>
        </w:tc>
        <w:tc>
          <w:tcPr>
            <w:tcW w:w="2802" w:type="dxa"/>
          </w:tcPr>
          <w:p w14:paraId="4F825F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4226</w:t>
            </w:r>
          </w:p>
        </w:tc>
        <w:tc>
          <w:tcPr>
            <w:tcW w:w="2802" w:type="dxa"/>
          </w:tcPr>
          <w:p w14:paraId="579C8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AAA09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3AE8129F" w14:textId="77777777">
        <w:tc>
          <w:tcPr>
            <w:tcW w:w="2802" w:type="dxa"/>
          </w:tcPr>
          <w:p w14:paraId="1BAB17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w:t>
            </w:r>
          </w:p>
        </w:tc>
        <w:tc>
          <w:tcPr>
            <w:tcW w:w="2802" w:type="dxa"/>
          </w:tcPr>
          <w:p w14:paraId="0DC3B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4227</w:t>
            </w:r>
          </w:p>
        </w:tc>
        <w:tc>
          <w:tcPr>
            <w:tcW w:w="2802" w:type="dxa"/>
          </w:tcPr>
          <w:p w14:paraId="2988A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9CCA5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 (АМ-35А)</w:t>
            </w:r>
          </w:p>
        </w:tc>
      </w:tr>
      <w:tr w:rsidR="00561F31" w:rsidRPr="00F90EAE" w14:paraId="6E9A68CB" w14:textId="77777777">
        <w:tc>
          <w:tcPr>
            <w:tcW w:w="2802" w:type="dxa"/>
          </w:tcPr>
          <w:p w14:paraId="741F2E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2802" w:type="dxa"/>
          </w:tcPr>
          <w:p w14:paraId="6B4BF0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42015</w:t>
            </w:r>
          </w:p>
        </w:tc>
        <w:tc>
          <w:tcPr>
            <w:tcW w:w="2802" w:type="dxa"/>
          </w:tcPr>
          <w:p w14:paraId="5B484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"5"</w:t>
            </w:r>
          </w:p>
        </w:tc>
        <w:tc>
          <w:tcPr>
            <w:tcW w:w="2802" w:type="dxa"/>
          </w:tcPr>
          <w:p w14:paraId="7E67C9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E382AC4" w14:textId="77777777">
        <w:tc>
          <w:tcPr>
            <w:tcW w:w="2802" w:type="dxa"/>
          </w:tcPr>
          <w:p w14:paraId="34B334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 г.</w:t>
            </w:r>
          </w:p>
        </w:tc>
        <w:tc>
          <w:tcPr>
            <w:tcW w:w="2802" w:type="dxa"/>
          </w:tcPr>
          <w:p w14:paraId="59E84281"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E4C451A"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0F03C20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180E5D0" w14:textId="77777777">
        <w:tc>
          <w:tcPr>
            <w:tcW w:w="2802" w:type="dxa"/>
          </w:tcPr>
          <w:p w14:paraId="6BCD63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w:t>
            </w:r>
          </w:p>
        </w:tc>
        <w:tc>
          <w:tcPr>
            <w:tcW w:w="2802" w:type="dxa"/>
          </w:tcPr>
          <w:p w14:paraId="4180CE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42025</w:t>
            </w:r>
          </w:p>
        </w:tc>
        <w:tc>
          <w:tcPr>
            <w:tcW w:w="2802" w:type="dxa"/>
          </w:tcPr>
          <w:p w14:paraId="057EE1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"2"</w:t>
            </w:r>
          </w:p>
        </w:tc>
        <w:tc>
          <w:tcPr>
            <w:tcW w:w="2802" w:type="dxa"/>
          </w:tcPr>
          <w:p w14:paraId="6F977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 (АМ-35А)</w:t>
            </w:r>
          </w:p>
        </w:tc>
      </w:tr>
      <w:tr w:rsidR="00561F31" w:rsidRPr="00F90EAE" w14:paraId="4F891FD6" w14:textId="77777777">
        <w:tc>
          <w:tcPr>
            <w:tcW w:w="2802" w:type="dxa"/>
          </w:tcPr>
          <w:p w14:paraId="68FD1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2802" w:type="dxa"/>
          </w:tcPr>
          <w:p w14:paraId="4FE15B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42035</w:t>
            </w:r>
          </w:p>
        </w:tc>
        <w:tc>
          <w:tcPr>
            <w:tcW w:w="2802" w:type="dxa"/>
          </w:tcPr>
          <w:p w14:paraId="137A8D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"3"</w:t>
            </w:r>
          </w:p>
        </w:tc>
        <w:tc>
          <w:tcPr>
            <w:tcW w:w="2802" w:type="dxa"/>
          </w:tcPr>
          <w:p w14:paraId="5F9AC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 (АМ-35А)</w:t>
            </w:r>
          </w:p>
        </w:tc>
      </w:tr>
      <w:tr w:rsidR="00561F31" w:rsidRPr="00F90EAE" w14:paraId="16A7972C" w14:textId="77777777">
        <w:tc>
          <w:tcPr>
            <w:tcW w:w="2802" w:type="dxa"/>
          </w:tcPr>
          <w:p w14:paraId="5A972B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2802" w:type="dxa"/>
          </w:tcPr>
          <w:p w14:paraId="747E40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42045</w:t>
            </w:r>
          </w:p>
        </w:tc>
        <w:tc>
          <w:tcPr>
            <w:tcW w:w="2802" w:type="dxa"/>
          </w:tcPr>
          <w:p w14:paraId="2A76A6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"5"</w:t>
            </w:r>
          </w:p>
        </w:tc>
        <w:tc>
          <w:tcPr>
            <w:tcW w:w="2802" w:type="dxa"/>
          </w:tcPr>
          <w:p w14:paraId="24E595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r>
      <w:tr w:rsidR="00561F31" w:rsidRPr="00F90EAE" w14:paraId="59DEF6F8" w14:textId="77777777">
        <w:tc>
          <w:tcPr>
            <w:tcW w:w="2802" w:type="dxa"/>
          </w:tcPr>
          <w:p w14:paraId="365F2F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2802" w:type="dxa"/>
          </w:tcPr>
          <w:p w14:paraId="7C9AF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42055</w:t>
            </w:r>
          </w:p>
        </w:tc>
        <w:tc>
          <w:tcPr>
            <w:tcW w:w="2802" w:type="dxa"/>
          </w:tcPr>
          <w:p w14:paraId="61540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белая "7"</w:t>
            </w:r>
          </w:p>
        </w:tc>
        <w:tc>
          <w:tcPr>
            <w:tcW w:w="2802" w:type="dxa"/>
          </w:tcPr>
          <w:p w14:paraId="6F52E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7F33A961" w14:textId="77777777">
        <w:tc>
          <w:tcPr>
            <w:tcW w:w="2802" w:type="dxa"/>
          </w:tcPr>
          <w:p w14:paraId="59B56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2802" w:type="dxa"/>
          </w:tcPr>
          <w:p w14:paraId="203B4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42016</w:t>
            </w:r>
          </w:p>
        </w:tc>
        <w:tc>
          <w:tcPr>
            <w:tcW w:w="2802" w:type="dxa"/>
          </w:tcPr>
          <w:p w14:paraId="1DC56B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"1"</w:t>
            </w:r>
          </w:p>
        </w:tc>
        <w:tc>
          <w:tcPr>
            <w:tcW w:w="2802" w:type="dxa"/>
          </w:tcPr>
          <w:p w14:paraId="39B8B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5C29B2D5" w14:textId="77777777">
        <w:tc>
          <w:tcPr>
            <w:tcW w:w="2802" w:type="dxa"/>
          </w:tcPr>
          <w:p w14:paraId="7BF5E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2802" w:type="dxa"/>
          </w:tcPr>
          <w:p w14:paraId="23EBE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42026</w:t>
            </w:r>
          </w:p>
        </w:tc>
        <w:tc>
          <w:tcPr>
            <w:tcW w:w="2802" w:type="dxa"/>
          </w:tcPr>
          <w:p w14:paraId="2B1D16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601BF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2A0ED1C4" w14:textId="77777777">
        <w:tc>
          <w:tcPr>
            <w:tcW w:w="2802" w:type="dxa"/>
          </w:tcPr>
          <w:p w14:paraId="46BE8E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2802" w:type="dxa"/>
          </w:tcPr>
          <w:p w14:paraId="1777B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42036</w:t>
            </w:r>
          </w:p>
        </w:tc>
        <w:tc>
          <w:tcPr>
            <w:tcW w:w="2802" w:type="dxa"/>
          </w:tcPr>
          <w:p w14:paraId="660A5B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"8"</w:t>
            </w:r>
          </w:p>
        </w:tc>
        <w:tc>
          <w:tcPr>
            <w:tcW w:w="2802" w:type="dxa"/>
          </w:tcPr>
          <w:p w14:paraId="36710D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6D03272A" w14:textId="77777777">
        <w:tc>
          <w:tcPr>
            <w:tcW w:w="2802" w:type="dxa"/>
          </w:tcPr>
          <w:p w14:paraId="15921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2802" w:type="dxa"/>
          </w:tcPr>
          <w:p w14:paraId="200165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42046</w:t>
            </w:r>
          </w:p>
        </w:tc>
        <w:tc>
          <w:tcPr>
            <w:tcW w:w="2802" w:type="dxa"/>
          </w:tcPr>
          <w:p w14:paraId="70A8F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"7"</w:t>
            </w:r>
          </w:p>
        </w:tc>
        <w:tc>
          <w:tcPr>
            <w:tcW w:w="2802" w:type="dxa"/>
          </w:tcPr>
          <w:p w14:paraId="1CE3DF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6474FA8C" w14:textId="77777777">
        <w:tc>
          <w:tcPr>
            <w:tcW w:w="2802" w:type="dxa"/>
          </w:tcPr>
          <w:p w14:paraId="2D0270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w:t>
            </w:r>
          </w:p>
        </w:tc>
        <w:tc>
          <w:tcPr>
            <w:tcW w:w="2802" w:type="dxa"/>
          </w:tcPr>
          <w:p w14:paraId="519E89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42056</w:t>
            </w:r>
          </w:p>
        </w:tc>
        <w:tc>
          <w:tcPr>
            <w:tcW w:w="2802" w:type="dxa"/>
          </w:tcPr>
          <w:p w14:paraId="4A00EC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06F2F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r>
      <w:tr w:rsidR="00561F31" w:rsidRPr="00F90EAE" w14:paraId="08F5292A" w14:textId="77777777">
        <w:tc>
          <w:tcPr>
            <w:tcW w:w="2802" w:type="dxa"/>
          </w:tcPr>
          <w:p w14:paraId="76BCCB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w:t>
            </w:r>
          </w:p>
        </w:tc>
        <w:tc>
          <w:tcPr>
            <w:tcW w:w="2802" w:type="dxa"/>
          </w:tcPr>
          <w:p w14:paraId="43DA33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42066</w:t>
            </w:r>
          </w:p>
        </w:tc>
        <w:tc>
          <w:tcPr>
            <w:tcW w:w="2802" w:type="dxa"/>
          </w:tcPr>
          <w:p w14:paraId="24E61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"1"</w:t>
            </w:r>
          </w:p>
        </w:tc>
        <w:tc>
          <w:tcPr>
            <w:tcW w:w="2802" w:type="dxa"/>
          </w:tcPr>
          <w:p w14:paraId="2A513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 (АМ-35А)</w:t>
            </w:r>
          </w:p>
        </w:tc>
      </w:tr>
      <w:tr w:rsidR="00561F31" w:rsidRPr="00F90EAE" w14:paraId="36B355D4" w14:textId="77777777">
        <w:tc>
          <w:tcPr>
            <w:tcW w:w="2802" w:type="dxa"/>
          </w:tcPr>
          <w:p w14:paraId="4038F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2802" w:type="dxa"/>
          </w:tcPr>
          <w:p w14:paraId="63D2BA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42076</w:t>
            </w:r>
          </w:p>
        </w:tc>
        <w:tc>
          <w:tcPr>
            <w:tcW w:w="2802" w:type="dxa"/>
          </w:tcPr>
          <w:p w14:paraId="2647F3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144C7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 (АМ-35А)</w:t>
            </w:r>
          </w:p>
        </w:tc>
      </w:tr>
      <w:tr w:rsidR="00561F31" w:rsidRPr="00F90EAE" w14:paraId="7A33E4EE" w14:textId="77777777">
        <w:tc>
          <w:tcPr>
            <w:tcW w:w="2802" w:type="dxa"/>
          </w:tcPr>
          <w:p w14:paraId="18F06D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2802" w:type="dxa"/>
          </w:tcPr>
          <w:p w14:paraId="5AB3E5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42086</w:t>
            </w:r>
          </w:p>
        </w:tc>
        <w:tc>
          <w:tcPr>
            <w:tcW w:w="2802" w:type="dxa"/>
          </w:tcPr>
          <w:p w14:paraId="426F5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4B8A2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 (АМ-35А)</w:t>
            </w:r>
          </w:p>
        </w:tc>
      </w:tr>
      <w:tr w:rsidR="00561F31" w:rsidRPr="00F90EAE" w14:paraId="35A8B8EB" w14:textId="77777777">
        <w:tc>
          <w:tcPr>
            <w:tcW w:w="2802" w:type="dxa"/>
          </w:tcPr>
          <w:p w14:paraId="33E26D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w:t>
            </w:r>
          </w:p>
        </w:tc>
        <w:tc>
          <w:tcPr>
            <w:tcW w:w="2802" w:type="dxa"/>
          </w:tcPr>
          <w:p w14:paraId="10844F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42096</w:t>
            </w:r>
          </w:p>
        </w:tc>
        <w:tc>
          <w:tcPr>
            <w:tcW w:w="2802" w:type="dxa"/>
          </w:tcPr>
          <w:p w14:paraId="3EF2E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6C459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 (АМ-35А)</w:t>
            </w:r>
          </w:p>
        </w:tc>
      </w:tr>
      <w:tr w:rsidR="00561F31" w:rsidRPr="00F90EAE" w14:paraId="5765CE82" w14:textId="77777777">
        <w:tc>
          <w:tcPr>
            <w:tcW w:w="2802" w:type="dxa"/>
          </w:tcPr>
          <w:p w14:paraId="24CAD9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w:t>
            </w:r>
          </w:p>
        </w:tc>
        <w:tc>
          <w:tcPr>
            <w:tcW w:w="2802" w:type="dxa"/>
          </w:tcPr>
          <w:p w14:paraId="151728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42106</w:t>
            </w:r>
          </w:p>
        </w:tc>
        <w:tc>
          <w:tcPr>
            <w:tcW w:w="2802" w:type="dxa"/>
          </w:tcPr>
          <w:p w14:paraId="348024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30810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 (АМ-35А)</w:t>
            </w:r>
          </w:p>
        </w:tc>
      </w:tr>
      <w:tr w:rsidR="00561F31" w:rsidRPr="00F90EAE" w14:paraId="6E9BBCF3" w14:textId="77777777">
        <w:tc>
          <w:tcPr>
            <w:tcW w:w="2802" w:type="dxa"/>
          </w:tcPr>
          <w:p w14:paraId="77B033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w:t>
            </w:r>
          </w:p>
        </w:tc>
        <w:tc>
          <w:tcPr>
            <w:tcW w:w="2802" w:type="dxa"/>
          </w:tcPr>
          <w:p w14:paraId="3DA48F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42017</w:t>
            </w:r>
          </w:p>
        </w:tc>
        <w:tc>
          <w:tcPr>
            <w:tcW w:w="2802" w:type="dxa"/>
          </w:tcPr>
          <w:p w14:paraId="6D0F2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A2EC0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7A0BBF56" w14:textId="77777777">
        <w:tc>
          <w:tcPr>
            <w:tcW w:w="2802" w:type="dxa"/>
          </w:tcPr>
          <w:p w14:paraId="67AC9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2802" w:type="dxa"/>
          </w:tcPr>
          <w:p w14:paraId="632A14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42027</w:t>
            </w:r>
          </w:p>
        </w:tc>
        <w:tc>
          <w:tcPr>
            <w:tcW w:w="2802" w:type="dxa"/>
          </w:tcPr>
          <w:p w14:paraId="606AC8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B90B8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37633523" w14:textId="77777777">
        <w:tc>
          <w:tcPr>
            <w:tcW w:w="2802" w:type="dxa"/>
          </w:tcPr>
          <w:p w14:paraId="2FB84B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2802" w:type="dxa"/>
          </w:tcPr>
          <w:p w14:paraId="4C36C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42037</w:t>
            </w:r>
          </w:p>
        </w:tc>
        <w:tc>
          <w:tcPr>
            <w:tcW w:w="2802" w:type="dxa"/>
          </w:tcPr>
          <w:p w14:paraId="6D4B06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"2"</w:t>
            </w:r>
          </w:p>
        </w:tc>
        <w:tc>
          <w:tcPr>
            <w:tcW w:w="2802" w:type="dxa"/>
          </w:tcPr>
          <w:p w14:paraId="72516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118BAE5" w14:textId="77777777">
        <w:tc>
          <w:tcPr>
            <w:tcW w:w="2802" w:type="dxa"/>
          </w:tcPr>
          <w:p w14:paraId="73FA6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 г.</w:t>
            </w:r>
          </w:p>
        </w:tc>
        <w:tc>
          <w:tcPr>
            <w:tcW w:w="2802" w:type="dxa"/>
          </w:tcPr>
          <w:p w14:paraId="677B208C"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799C8BC6"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05AB20D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E37F91B" w14:textId="77777777">
        <w:tc>
          <w:tcPr>
            <w:tcW w:w="2802" w:type="dxa"/>
          </w:tcPr>
          <w:p w14:paraId="7CC699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w:t>
            </w:r>
          </w:p>
        </w:tc>
        <w:tc>
          <w:tcPr>
            <w:tcW w:w="2802" w:type="dxa"/>
          </w:tcPr>
          <w:p w14:paraId="69F38B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42047</w:t>
            </w:r>
          </w:p>
        </w:tc>
        <w:tc>
          <w:tcPr>
            <w:tcW w:w="2802" w:type="dxa"/>
          </w:tcPr>
          <w:p w14:paraId="3F329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2269B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38201A08" w14:textId="77777777">
        <w:tc>
          <w:tcPr>
            <w:tcW w:w="2802" w:type="dxa"/>
          </w:tcPr>
          <w:p w14:paraId="745C7B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2802" w:type="dxa"/>
          </w:tcPr>
          <w:p w14:paraId="1AF0CB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42057</w:t>
            </w:r>
          </w:p>
        </w:tc>
        <w:tc>
          <w:tcPr>
            <w:tcW w:w="2802" w:type="dxa"/>
          </w:tcPr>
          <w:p w14:paraId="22C9F5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"6"</w:t>
            </w:r>
          </w:p>
        </w:tc>
        <w:tc>
          <w:tcPr>
            <w:tcW w:w="2802" w:type="dxa"/>
          </w:tcPr>
          <w:p w14:paraId="38DAAC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6F1130E" w14:textId="77777777">
        <w:tc>
          <w:tcPr>
            <w:tcW w:w="2802" w:type="dxa"/>
          </w:tcPr>
          <w:p w14:paraId="429377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w:t>
            </w:r>
          </w:p>
        </w:tc>
        <w:tc>
          <w:tcPr>
            <w:tcW w:w="2802" w:type="dxa"/>
          </w:tcPr>
          <w:p w14:paraId="2E6CA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42067</w:t>
            </w:r>
          </w:p>
        </w:tc>
        <w:tc>
          <w:tcPr>
            <w:tcW w:w="2802" w:type="dxa"/>
          </w:tcPr>
          <w:p w14:paraId="18AF6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"7"</w:t>
            </w:r>
          </w:p>
        </w:tc>
        <w:tc>
          <w:tcPr>
            <w:tcW w:w="2802" w:type="dxa"/>
          </w:tcPr>
          <w:p w14:paraId="1D606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0CB7F0AE" w14:textId="77777777">
        <w:tc>
          <w:tcPr>
            <w:tcW w:w="2802" w:type="dxa"/>
          </w:tcPr>
          <w:p w14:paraId="3974C7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2802" w:type="dxa"/>
          </w:tcPr>
          <w:p w14:paraId="50104A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42077</w:t>
            </w:r>
          </w:p>
        </w:tc>
        <w:tc>
          <w:tcPr>
            <w:tcW w:w="2802" w:type="dxa"/>
          </w:tcPr>
          <w:p w14:paraId="1C140C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"10"</w:t>
            </w:r>
          </w:p>
        </w:tc>
        <w:tc>
          <w:tcPr>
            <w:tcW w:w="2802" w:type="dxa"/>
          </w:tcPr>
          <w:p w14:paraId="481FF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74925F7E" w14:textId="77777777">
        <w:tc>
          <w:tcPr>
            <w:tcW w:w="2802" w:type="dxa"/>
          </w:tcPr>
          <w:p w14:paraId="0798F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c>
          <w:tcPr>
            <w:tcW w:w="2802" w:type="dxa"/>
          </w:tcPr>
          <w:p w14:paraId="1153B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42087</w:t>
            </w:r>
          </w:p>
        </w:tc>
        <w:tc>
          <w:tcPr>
            <w:tcW w:w="2802" w:type="dxa"/>
          </w:tcPr>
          <w:p w14:paraId="5416AB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4CE2C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2E97E662" w14:textId="77777777">
        <w:tc>
          <w:tcPr>
            <w:tcW w:w="2802" w:type="dxa"/>
          </w:tcPr>
          <w:p w14:paraId="2E666A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2802" w:type="dxa"/>
          </w:tcPr>
          <w:p w14:paraId="2A115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42097</w:t>
            </w:r>
          </w:p>
        </w:tc>
        <w:tc>
          <w:tcPr>
            <w:tcW w:w="2802" w:type="dxa"/>
          </w:tcPr>
          <w:p w14:paraId="75A9E2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"9"</w:t>
            </w:r>
          </w:p>
        </w:tc>
        <w:tc>
          <w:tcPr>
            <w:tcW w:w="2802" w:type="dxa"/>
          </w:tcPr>
          <w:p w14:paraId="11741D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C9C56B5" w14:textId="77777777">
        <w:tc>
          <w:tcPr>
            <w:tcW w:w="2802" w:type="dxa"/>
          </w:tcPr>
          <w:p w14:paraId="146E16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2802" w:type="dxa"/>
          </w:tcPr>
          <w:p w14:paraId="5E6C3C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42107</w:t>
            </w:r>
          </w:p>
        </w:tc>
        <w:tc>
          <w:tcPr>
            <w:tcW w:w="2802" w:type="dxa"/>
          </w:tcPr>
          <w:p w14:paraId="7968A8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"4"</w:t>
            </w:r>
          </w:p>
        </w:tc>
        <w:tc>
          <w:tcPr>
            <w:tcW w:w="2802" w:type="dxa"/>
          </w:tcPr>
          <w:p w14:paraId="3F182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4B11F17B" w14:textId="77777777">
        <w:tc>
          <w:tcPr>
            <w:tcW w:w="2802" w:type="dxa"/>
          </w:tcPr>
          <w:p w14:paraId="34B72A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w:t>
            </w:r>
          </w:p>
        </w:tc>
        <w:tc>
          <w:tcPr>
            <w:tcW w:w="2802" w:type="dxa"/>
          </w:tcPr>
          <w:p w14:paraId="71DFC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42018</w:t>
            </w:r>
          </w:p>
        </w:tc>
        <w:tc>
          <w:tcPr>
            <w:tcW w:w="2802" w:type="dxa"/>
          </w:tcPr>
          <w:p w14:paraId="317334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"5"</w:t>
            </w:r>
          </w:p>
        </w:tc>
        <w:tc>
          <w:tcPr>
            <w:tcW w:w="2802" w:type="dxa"/>
          </w:tcPr>
          <w:p w14:paraId="2BB49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572659E5" w14:textId="77777777">
        <w:tc>
          <w:tcPr>
            <w:tcW w:w="2802" w:type="dxa"/>
          </w:tcPr>
          <w:p w14:paraId="0A69CA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w:t>
            </w:r>
          </w:p>
        </w:tc>
        <w:tc>
          <w:tcPr>
            <w:tcW w:w="2802" w:type="dxa"/>
          </w:tcPr>
          <w:p w14:paraId="17821A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42028</w:t>
            </w:r>
          </w:p>
        </w:tc>
        <w:tc>
          <w:tcPr>
            <w:tcW w:w="2802" w:type="dxa"/>
          </w:tcPr>
          <w:p w14:paraId="75491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"9"</w:t>
            </w:r>
          </w:p>
        </w:tc>
        <w:tc>
          <w:tcPr>
            <w:tcW w:w="2802" w:type="dxa"/>
          </w:tcPr>
          <w:p w14:paraId="0FCA18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3E1E477F" w14:textId="77777777">
        <w:tc>
          <w:tcPr>
            <w:tcW w:w="2802" w:type="dxa"/>
          </w:tcPr>
          <w:p w14:paraId="75539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2802" w:type="dxa"/>
          </w:tcPr>
          <w:p w14:paraId="22A7FE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42038</w:t>
            </w:r>
          </w:p>
        </w:tc>
        <w:tc>
          <w:tcPr>
            <w:tcW w:w="2802" w:type="dxa"/>
          </w:tcPr>
          <w:p w14:paraId="21EC5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красная "11"</w:t>
            </w:r>
          </w:p>
        </w:tc>
        <w:tc>
          <w:tcPr>
            <w:tcW w:w="2802" w:type="dxa"/>
          </w:tcPr>
          <w:p w14:paraId="032F06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5CADE219" w14:textId="77777777">
        <w:tc>
          <w:tcPr>
            <w:tcW w:w="2802" w:type="dxa"/>
          </w:tcPr>
          <w:p w14:paraId="2AA9BA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2802" w:type="dxa"/>
          </w:tcPr>
          <w:p w14:paraId="4C6064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42048</w:t>
            </w:r>
          </w:p>
        </w:tc>
        <w:tc>
          <w:tcPr>
            <w:tcW w:w="2802" w:type="dxa"/>
          </w:tcPr>
          <w:p w14:paraId="28F67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17BFD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6001C7C7" w14:textId="77777777">
        <w:tc>
          <w:tcPr>
            <w:tcW w:w="2802" w:type="dxa"/>
          </w:tcPr>
          <w:p w14:paraId="15C7BE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2802" w:type="dxa"/>
          </w:tcPr>
          <w:p w14:paraId="2AF6A4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42058</w:t>
            </w:r>
          </w:p>
        </w:tc>
        <w:tc>
          <w:tcPr>
            <w:tcW w:w="2802" w:type="dxa"/>
          </w:tcPr>
          <w:p w14:paraId="5314DC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625E8A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5D3F4A52" w14:textId="77777777">
        <w:tc>
          <w:tcPr>
            <w:tcW w:w="2802" w:type="dxa"/>
          </w:tcPr>
          <w:p w14:paraId="3F59FD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2802" w:type="dxa"/>
          </w:tcPr>
          <w:p w14:paraId="7A5C1A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42068</w:t>
            </w:r>
          </w:p>
        </w:tc>
        <w:tc>
          <w:tcPr>
            <w:tcW w:w="2802" w:type="dxa"/>
          </w:tcPr>
          <w:p w14:paraId="3A646F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A11F0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50F2085E" w14:textId="77777777">
        <w:tc>
          <w:tcPr>
            <w:tcW w:w="2802" w:type="dxa"/>
          </w:tcPr>
          <w:p w14:paraId="60131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w:t>
            </w:r>
          </w:p>
        </w:tc>
        <w:tc>
          <w:tcPr>
            <w:tcW w:w="2802" w:type="dxa"/>
          </w:tcPr>
          <w:p w14:paraId="572D27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42078</w:t>
            </w:r>
          </w:p>
        </w:tc>
        <w:tc>
          <w:tcPr>
            <w:tcW w:w="2802" w:type="dxa"/>
          </w:tcPr>
          <w:p w14:paraId="7A5A86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"6"</w:t>
            </w:r>
          </w:p>
        </w:tc>
        <w:tc>
          <w:tcPr>
            <w:tcW w:w="2802" w:type="dxa"/>
          </w:tcPr>
          <w:p w14:paraId="7DD78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479DAC3A" w14:textId="77777777">
        <w:tc>
          <w:tcPr>
            <w:tcW w:w="2802" w:type="dxa"/>
          </w:tcPr>
          <w:p w14:paraId="7037CF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50</w:t>
            </w:r>
          </w:p>
        </w:tc>
        <w:tc>
          <w:tcPr>
            <w:tcW w:w="2802" w:type="dxa"/>
          </w:tcPr>
          <w:p w14:paraId="28186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42088</w:t>
            </w:r>
          </w:p>
        </w:tc>
        <w:tc>
          <w:tcPr>
            <w:tcW w:w="2802" w:type="dxa"/>
          </w:tcPr>
          <w:p w14:paraId="4AFDF0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AFA83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2C6B5EA" w14:textId="77777777">
        <w:tc>
          <w:tcPr>
            <w:tcW w:w="2802" w:type="dxa"/>
          </w:tcPr>
          <w:p w14:paraId="06E50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w:t>
            </w:r>
          </w:p>
        </w:tc>
        <w:tc>
          <w:tcPr>
            <w:tcW w:w="2802" w:type="dxa"/>
          </w:tcPr>
          <w:p w14:paraId="1B104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42098</w:t>
            </w:r>
          </w:p>
        </w:tc>
        <w:tc>
          <w:tcPr>
            <w:tcW w:w="2802" w:type="dxa"/>
          </w:tcPr>
          <w:p w14:paraId="5B5E22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"3"</w:t>
            </w:r>
          </w:p>
        </w:tc>
        <w:tc>
          <w:tcPr>
            <w:tcW w:w="2802" w:type="dxa"/>
          </w:tcPr>
          <w:p w14:paraId="456D72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170CB332" w14:textId="77777777">
        <w:tc>
          <w:tcPr>
            <w:tcW w:w="2802" w:type="dxa"/>
          </w:tcPr>
          <w:p w14:paraId="6C3D7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w:t>
            </w:r>
          </w:p>
        </w:tc>
        <w:tc>
          <w:tcPr>
            <w:tcW w:w="2802" w:type="dxa"/>
          </w:tcPr>
          <w:p w14:paraId="0E50C2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42108</w:t>
            </w:r>
          </w:p>
        </w:tc>
        <w:tc>
          <w:tcPr>
            <w:tcW w:w="2802" w:type="dxa"/>
          </w:tcPr>
          <w:p w14:paraId="4B31D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голубая "8"</w:t>
            </w:r>
          </w:p>
        </w:tc>
        <w:tc>
          <w:tcPr>
            <w:tcW w:w="2802" w:type="dxa"/>
          </w:tcPr>
          <w:p w14:paraId="510A66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663355DA" w14:textId="77777777">
        <w:tc>
          <w:tcPr>
            <w:tcW w:w="2802" w:type="dxa"/>
          </w:tcPr>
          <w:p w14:paraId="5D4350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w:t>
            </w:r>
          </w:p>
        </w:tc>
        <w:tc>
          <w:tcPr>
            <w:tcW w:w="2802" w:type="dxa"/>
          </w:tcPr>
          <w:p w14:paraId="7A7B73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42109</w:t>
            </w:r>
          </w:p>
        </w:tc>
        <w:tc>
          <w:tcPr>
            <w:tcW w:w="2802" w:type="dxa"/>
          </w:tcPr>
          <w:p w14:paraId="6D13E0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E9A08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r>
      <w:tr w:rsidR="00561F31" w:rsidRPr="00F90EAE" w14:paraId="44C98493" w14:textId="77777777">
        <w:tc>
          <w:tcPr>
            <w:tcW w:w="2802" w:type="dxa"/>
          </w:tcPr>
          <w:p w14:paraId="5A716D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c>
          <w:tcPr>
            <w:tcW w:w="2802" w:type="dxa"/>
          </w:tcPr>
          <w:p w14:paraId="4C80C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42029</w:t>
            </w:r>
          </w:p>
        </w:tc>
        <w:tc>
          <w:tcPr>
            <w:tcW w:w="2802" w:type="dxa"/>
          </w:tcPr>
          <w:p w14:paraId="04244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E0945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04E9B92D" w14:textId="77777777">
        <w:tc>
          <w:tcPr>
            <w:tcW w:w="2802" w:type="dxa"/>
          </w:tcPr>
          <w:p w14:paraId="01EFE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w:t>
            </w:r>
          </w:p>
        </w:tc>
        <w:tc>
          <w:tcPr>
            <w:tcW w:w="2802" w:type="dxa"/>
          </w:tcPr>
          <w:p w14:paraId="6B865E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42039</w:t>
            </w:r>
          </w:p>
        </w:tc>
        <w:tc>
          <w:tcPr>
            <w:tcW w:w="2802" w:type="dxa"/>
          </w:tcPr>
          <w:p w14:paraId="1CD706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01A1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5EAA66CE" w14:textId="77777777">
        <w:tc>
          <w:tcPr>
            <w:tcW w:w="2802" w:type="dxa"/>
          </w:tcPr>
          <w:p w14:paraId="15719D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 г.</w:t>
            </w:r>
          </w:p>
        </w:tc>
        <w:tc>
          <w:tcPr>
            <w:tcW w:w="2802" w:type="dxa"/>
          </w:tcPr>
          <w:p w14:paraId="42AF9CFE"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66268E81"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7035E54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D4CD862" w14:textId="77777777">
        <w:tc>
          <w:tcPr>
            <w:tcW w:w="2802" w:type="dxa"/>
          </w:tcPr>
          <w:p w14:paraId="4A36D0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c>
          <w:tcPr>
            <w:tcW w:w="2802" w:type="dxa"/>
          </w:tcPr>
          <w:p w14:paraId="33F1D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42049</w:t>
            </w:r>
          </w:p>
        </w:tc>
        <w:tc>
          <w:tcPr>
            <w:tcW w:w="2802" w:type="dxa"/>
          </w:tcPr>
          <w:p w14:paraId="6072B1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AFF40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615D698" w14:textId="77777777">
        <w:tc>
          <w:tcPr>
            <w:tcW w:w="2802" w:type="dxa"/>
          </w:tcPr>
          <w:p w14:paraId="2815F4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w:t>
            </w:r>
          </w:p>
        </w:tc>
        <w:tc>
          <w:tcPr>
            <w:tcW w:w="2802" w:type="dxa"/>
          </w:tcPr>
          <w:p w14:paraId="6D5693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42059</w:t>
            </w:r>
          </w:p>
        </w:tc>
        <w:tc>
          <w:tcPr>
            <w:tcW w:w="2802" w:type="dxa"/>
          </w:tcPr>
          <w:p w14:paraId="2D7260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7E4F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21AB0BDE" w14:textId="77777777">
        <w:tc>
          <w:tcPr>
            <w:tcW w:w="2802" w:type="dxa"/>
          </w:tcPr>
          <w:p w14:paraId="4ED669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w:t>
            </w:r>
          </w:p>
        </w:tc>
        <w:tc>
          <w:tcPr>
            <w:tcW w:w="2802" w:type="dxa"/>
          </w:tcPr>
          <w:p w14:paraId="129642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42069</w:t>
            </w:r>
          </w:p>
        </w:tc>
        <w:tc>
          <w:tcPr>
            <w:tcW w:w="2802" w:type="dxa"/>
          </w:tcPr>
          <w:p w14:paraId="297957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F210A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019CE09C" w14:textId="77777777">
        <w:tc>
          <w:tcPr>
            <w:tcW w:w="2802" w:type="dxa"/>
          </w:tcPr>
          <w:p w14:paraId="39F30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w:t>
            </w:r>
          </w:p>
        </w:tc>
        <w:tc>
          <w:tcPr>
            <w:tcW w:w="2802" w:type="dxa"/>
          </w:tcPr>
          <w:p w14:paraId="3BF916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42079</w:t>
            </w:r>
          </w:p>
        </w:tc>
        <w:tc>
          <w:tcPr>
            <w:tcW w:w="2802" w:type="dxa"/>
          </w:tcPr>
          <w:p w14:paraId="5DCED2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625C14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7BE5C99" w14:textId="77777777">
        <w:tc>
          <w:tcPr>
            <w:tcW w:w="2802" w:type="dxa"/>
          </w:tcPr>
          <w:p w14:paraId="7A617F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w:t>
            </w:r>
          </w:p>
        </w:tc>
        <w:tc>
          <w:tcPr>
            <w:tcW w:w="2802" w:type="dxa"/>
          </w:tcPr>
          <w:p w14:paraId="097213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42089</w:t>
            </w:r>
          </w:p>
        </w:tc>
        <w:tc>
          <w:tcPr>
            <w:tcW w:w="2802" w:type="dxa"/>
          </w:tcPr>
          <w:p w14:paraId="785B5F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645FBC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5D3E2B41" w14:textId="77777777">
        <w:tc>
          <w:tcPr>
            <w:tcW w:w="2802" w:type="dxa"/>
          </w:tcPr>
          <w:p w14:paraId="6CF328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w:t>
            </w:r>
          </w:p>
        </w:tc>
        <w:tc>
          <w:tcPr>
            <w:tcW w:w="2802" w:type="dxa"/>
          </w:tcPr>
          <w:p w14:paraId="4767B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42099</w:t>
            </w:r>
          </w:p>
        </w:tc>
        <w:tc>
          <w:tcPr>
            <w:tcW w:w="2802" w:type="dxa"/>
          </w:tcPr>
          <w:p w14:paraId="7170AE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AE70F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59B7ACA" w14:textId="77777777">
        <w:tc>
          <w:tcPr>
            <w:tcW w:w="2802" w:type="dxa"/>
          </w:tcPr>
          <w:p w14:paraId="350E4A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w:t>
            </w:r>
          </w:p>
        </w:tc>
        <w:tc>
          <w:tcPr>
            <w:tcW w:w="2802" w:type="dxa"/>
          </w:tcPr>
          <w:p w14:paraId="0056CE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42109</w:t>
            </w:r>
          </w:p>
        </w:tc>
        <w:tc>
          <w:tcPr>
            <w:tcW w:w="2802" w:type="dxa"/>
          </w:tcPr>
          <w:p w14:paraId="1D470A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963D2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ABF6E30" w14:textId="77777777">
        <w:tc>
          <w:tcPr>
            <w:tcW w:w="2802" w:type="dxa"/>
          </w:tcPr>
          <w:p w14:paraId="08C24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w:t>
            </w:r>
          </w:p>
        </w:tc>
        <w:tc>
          <w:tcPr>
            <w:tcW w:w="2802" w:type="dxa"/>
          </w:tcPr>
          <w:p w14:paraId="207F6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42110</w:t>
            </w:r>
          </w:p>
        </w:tc>
        <w:tc>
          <w:tcPr>
            <w:tcW w:w="2802" w:type="dxa"/>
          </w:tcPr>
          <w:p w14:paraId="53BCA6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739AD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4FFEFA4" w14:textId="77777777">
        <w:tc>
          <w:tcPr>
            <w:tcW w:w="2802" w:type="dxa"/>
          </w:tcPr>
          <w:p w14:paraId="2CF312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w:t>
            </w:r>
          </w:p>
        </w:tc>
        <w:tc>
          <w:tcPr>
            <w:tcW w:w="2802" w:type="dxa"/>
          </w:tcPr>
          <w:p w14:paraId="042294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42210</w:t>
            </w:r>
          </w:p>
        </w:tc>
        <w:tc>
          <w:tcPr>
            <w:tcW w:w="2802" w:type="dxa"/>
          </w:tcPr>
          <w:p w14:paraId="3DA159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1E5B9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5EE2371D" w14:textId="77777777">
        <w:tc>
          <w:tcPr>
            <w:tcW w:w="2802" w:type="dxa"/>
          </w:tcPr>
          <w:p w14:paraId="39992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w:t>
            </w:r>
          </w:p>
        </w:tc>
        <w:tc>
          <w:tcPr>
            <w:tcW w:w="2802" w:type="dxa"/>
          </w:tcPr>
          <w:p w14:paraId="445DBC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42310</w:t>
            </w:r>
          </w:p>
        </w:tc>
        <w:tc>
          <w:tcPr>
            <w:tcW w:w="2802" w:type="dxa"/>
          </w:tcPr>
          <w:p w14:paraId="5B089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32EA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F707CAF" w14:textId="77777777">
        <w:tc>
          <w:tcPr>
            <w:tcW w:w="2802" w:type="dxa"/>
          </w:tcPr>
          <w:p w14:paraId="276938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w:t>
            </w:r>
          </w:p>
        </w:tc>
        <w:tc>
          <w:tcPr>
            <w:tcW w:w="2802" w:type="dxa"/>
          </w:tcPr>
          <w:p w14:paraId="0AA7F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42410</w:t>
            </w:r>
          </w:p>
        </w:tc>
        <w:tc>
          <w:tcPr>
            <w:tcW w:w="2802" w:type="dxa"/>
          </w:tcPr>
          <w:p w14:paraId="693E45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4EC7C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759CB2FC" w14:textId="77777777">
        <w:tc>
          <w:tcPr>
            <w:tcW w:w="2802" w:type="dxa"/>
          </w:tcPr>
          <w:p w14:paraId="296C25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w:t>
            </w:r>
          </w:p>
        </w:tc>
        <w:tc>
          <w:tcPr>
            <w:tcW w:w="2802" w:type="dxa"/>
          </w:tcPr>
          <w:p w14:paraId="34D58D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42510</w:t>
            </w:r>
          </w:p>
        </w:tc>
        <w:tc>
          <w:tcPr>
            <w:tcW w:w="2802" w:type="dxa"/>
          </w:tcPr>
          <w:p w14:paraId="7FA17E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18E27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7156ED91" w14:textId="77777777">
        <w:tc>
          <w:tcPr>
            <w:tcW w:w="2802" w:type="dxa"/>
          </w:tcPr>
          <w:p w14:paraId="178B5C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w:t>
            </w:r>
          </w:p>
        </w:tc>
        <w:tc>
          <w:tcPr>
            <w:tcW w:w="2802" w:type="dxa"/>
          </w:tcPr>
          <w:p w14:paraId="5857CF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42610</w:t>
            </w:r>
          </w:p>
        </w:tc>
        <w:tc>
          <w:tcPr>
            <w:tcW w:w="2802" w:type="dxa"/>
          </w:tcPr>
          <w:p w14:paraId="3BADBA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2D0DA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AA5A13B" w14:textId="77777777">
        <w:tc>
          <w:tcPr>
            <w:tcW w:w="2802" w:type="dxa"/>
          </w:tcPr>
          <w:p w14:paraId="2EE4B9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w:t>
            </w:r>
          </w:p>
        </w:tc>
        <w:tc>
          <w:tcPr>
            <w:tcW w:w="2802" w:type="dxa"/>
          </w:tcPr>
          <w:p w14:paraId="17A1DE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42710</w:t>
            </w:r>
          </w:p>
        </w:tc>
        <w:tc>
          <w:tcPr>
            <w:tcW w:w="2802" w:type="dxa"/>
          </w:tcPr>
          <w:p w14:paraId="37E2A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CC708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8C6EE17" w14:textId="77777777">
        <w:tc>
          <w:tcPr>
            <w:tcW w:w="2802" w:type="dxa"/>
          </w:tcPr>
          <w:p w14:paraId="4F2724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2802" w:type="dxa"/>
          </w:tcPr>
          <w:p w14:paraId="2BC295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42810</w:t>
            </w:r>
          </w:p>
        </w:tc>
        <w:tc>
          <w:tcPr>
            <w:tcW w:w="2802" w:type="dxa"/>
          </w:tcPr>
          <w:p w14:paraId="62E045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0D2F9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00C471FC" w14:textId="77777777">
        <w:tc>
          <w:tcPr>
            <w:tcW w:w="2802" w:type="dxa"/>
          </w:tcPr>
          <w:p w14:paraId="12A8CB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w:t>
            </w:r>
          </w:p>
        </w:tc>
        <w:tc>
          <w:tcPr>
            <w:tcW w:w="2802" w:type="dxa"/>
          </w:tcPr>
          <w:p w14:paraId="709059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42910</w:t>
            </w:r>
          </w:p>
        </w:tc>
        <w:tc>
          <w:tcPr>
            <w:tcW w:w="2802" w:type="dxa"/>
          </w:tcPr>
          <w:p w14:paraId="6CD6D0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8109F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3FB166C1" w14:textId="77777777">
        <w:tc>
          <w:tcPr>
            <w:tcW w:w="2802" w:type="dxa"/>
          </w:tcPr>
          <w:p w14:paraId="0B557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2802" w:type="dxa"/>
          </w:tcPr>
          <w:p w14:paraId="694F5C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421010</w:t>
            </w:r>
          </w:p>
        </w:tc>
        <w:tc>
          <w:tcPr>
            <w:tcW w:w="2802" w:type="dxa"/>
          </w:tcPr>
          <w:p w14:paraId="2489FA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C659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060E53CD" w14:textId="77777777">
        <w:tc>
          <w:tcPr>
            <w:tcW w:w="2802" w:type="dxa"/>
          </w:tcPr>
          <w:p w14:paraId="13BFCD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w:t>
            </w:r>
          </w:p>
        </w:tc>
        <w:tc>
          <w:tcPr>
            <w:tcW w:w="2802" w:type="dxa"/>
          </w:tcPr>
          <w:p w14:paraId="4038F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42111</w:t>
            </w:r>
          </w:p>
        </w:tc>
        <w:tc>
          <w:tcPr>
            <w:tcW w:w="2802" w:type="dxa"/>
          </w:tcPr>
          <w:p w14:paraId="640B1E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9AFBD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BF8093D" w14:textId="77777777">
        <w:tc>
          <w:tcPr>
            <w:tcW w:w="2802" w:type="dxa"/>
          </w:tcPr>
          <w:p w14:paraId="6EB1A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 г.</w:t>
            </w:r>
          </w:p>
        </w:tc>
        <w:tc>
          <w:tcPr>
            <w:tcW w:w="2802" w:type="dxa"/>
          </w:tcPr>
          <w:p w14:paraId="2F7BADA3"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36C11843" w14:textId="77777777" w:rsidR="00665165" w:rsidRPr="00F90EAE" w:rsidRDefault="00665165" w:rsidP="00F90EAE">
            <w:pPr>
              <w:autoSpaceDE w:val="0"/>
              <w:autoSpaceDN w:val="0"/>
              <w:adjustRightInd w:val="0"/>
              <w:jc w:val="both"/>
              <w:rPr>
                <w:color w:val="000000" w:themeColor="text1"/>
                <w:sz w:val="16"/>
                <w:szCs w:val="16"/>
              </w:rPr>
            </w:pPr>
          </w:p>
        </w:tc>
        <w:tc>
          <w:tcPr>
            <w:tcW w:w="2802" w:type="dxa"/>
          </w:tcPr>
          <w:p w14:paraId="28CC983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74DE08D" w14:textId="77777777">
        <w:tc>
          <w:tcPr>
            <w:tcW w:w="2802" w:type="dxa"/>
          </w:tcPr>
          <w:p w14:paraId="058736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w:t>
            </w:r>
          </w:p>
        </w:tc>
        <w:tc>
          <w:tcPr>
            <w:tcW w:w="2802" w:type="dxa"/>
          </w:tcPr>
          <w:p w14:paraId="2F4D9D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42211</w:t>
            </w:r>
          </w:p>
        </w:tc>
        <w:tc>
          <w:tcPr>
            <w:tcW w:w="2802" w:type="dxa"/>
          </w:tcPr>
          <w:p w14:paraId="4FA9B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D927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7CFEDA2E" w14:textId="77777777">
        <w:tc>
          <w:tcPr>
            <w:tcW w:w="2802" w:type="dxa"/>
          </w:tcPr>
          <w:p w14:paraId="41AC62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w:t>
            </w:r>
          </w:p>
        </w:tc>
        <w:tc>
          <w:tcPr>
            <w:tcW w:w="2802" w:type="dxa"/>
          </w:tcPr>
          <w:p w14:paraId="0D423A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42311</w:t>
            </w:r>
          </w:p>
        </w:tc>
        <w:tc>
          <w:tcPr>
            <w:tcW w:w="2802" w:type="dxa"/>
          </w:tcPr>
          <w:p w14:paraId="40BA91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07D96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540D9988" w14:textId="77777777">
        <w:tc>
          <w:tcPr>
            <w:tcW w:w="2802" w:type="dxa"/>
          </w:tcPr>
          <w:p w14:paraId="580519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w:t>
            </w:r>
          </w:p>
        </w:tc>
        <w:tc>
          <w:tcPr>
            <w:tcW w:w="2802" w:type="dxa"/>
          </w:tcPr>
          <w:p w14:paraId="56BCFB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42411</w:t>
            </w:r>
          </w:p>
        </w:tc>
        <w:tc>
          <w:tcPr>
            <w:tcW w:w="2802" w:type="dxa"/>
          </w:tcPr>
          <w:p w14:paraId="2B142E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03889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AF96713" w14:textId="77777777">
        <w:tc>
          <w:tcPr>
            <w:tcW w:w="2802" w:type="dxa"/>
          </w:tcPr>
          <w:p w14:paraId="28C7E3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w:t>
            </w:r>
          </w:p>
        </w:tc>
        <w:tc>
          <w:tcPr>
            <w:tcW w:w="2802" w:type="dxa"/>
          </w:tcPr>
          <w:p w14:paraId="177830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42511</w:t>
            </w:r>
          </w:p>
        </w:tc>
        <w:tc>
          <w:tcPr>
            <w:tcW w:w="2802" w:type="dxa"/>
          </w:tcPr>
          <w:p w14:paraId="78FA1C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E33F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3DCB80EF" w14:textId="77777777">
        <w:tc>
          <w:tcPr>
            <w:tcW w:w="2802" w:type="dxa"/>
          </w:tcPr>
          <w:p w14:paraId="6CF3F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w:t>
            </w:r>
          </w:p>
        </w:tc>
        <w:tc>
          <w:tcPr>
            <w:tcW w:w="2802" w:type="dxa"/>
          </w:tcPr>
          <w:p w14:paraId="6657B6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42611</w:t>
            </w:r>
          </w:p>
        </w:tc>
        <w:tc>
          <w:tcPr>
            <w:tcW w:w="2802" w:type="dxa"/>
          </w:tcPr>
          <w:p w14:paraId="4E035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70AD2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D731CD4" w14:textId="77777777">
        <w:tc>
          <w:tcPr>
            <w:tcW w:w="2802" w:type="dxa"/>
          </w:tcPr>
          <w:p w14:paraId="431E37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w:t>
            </w:r>
          </w:p>
        </w:tc>
        <w:tc>
          <w:tcPr>
            <w:tcW w:w="2802" w:type="dxa"/>
          </w:tcPr>
          <w:p w14:paraId="7945F7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42711</w:t>
            </w:r>
          </w:p>
        </w:tc>
        <w:tc>
          <w:tcPr>
            <w:tcW w:w="2802" w:type="dxa"/>
          </w:tcPr>
          <w:p w14:paraId="0C28B3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07CC3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EBE3B9C" w14:textId="77777777">
        <w:tc>
          <w:tcPr>
            <w:tcW w:w="2802" w:type="dxa"/>
          </w:tcPr>
          <w:p w14:paraId="6425A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w:t>
            </w:r>
          </w:p>
        </w:tc>
        <w:tc>
          <w:tcPr>
            <w:tcW w:w="2802" w:type="dxa"/>
          </w:tcPr>
          <w:p w14:paraId="13FEB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42811</w:t>
            </w:r>
          </w:p>
        </w:tc>
        <w:tc>
          <w:tcPr>
            <w:tcW w:w="2802" w:type="dxa"/>
          </w:tcPr>
          <w:p w14:paraId="2EBD29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29EDB1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14CA8280" w14:textId="77777777">
        <w:tc>
          <w:tcPr>
            <w:tcW w:w="2802" w:type="dxa"/>
          </w:tcPr>
          <w:p w14:paraId="0301A2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w:t>
            </w:r>
          </w:p>
        </w:tc>
        <w:tc>
          <w:tcPr>
            <w:tcW w:w="2802" w:type="dxa"/>
          </w:tcPr>
          <w:p w14:paraId="70C584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42911</w:t>
            </w:r>
          </w:p>
        </w:tc>
        <w:tc>
          <w:tcPr>
            <w:tcW w:w="2802" w:type="dxa"/>
          </w:tcPr>
          <w:p w14:paraId="6470E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9E3D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692C900" w14:textId="77777777">
        <w:tc>
          <w:tcPr>
            <w:tcW w:w="2802" w:type="dxa"/>
          </w:tcPr>
          <w:p w14:paraId="37FD2F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w:t>
            </w:r>
          </w:p>
        </w:tc>
        <w:tc>
          <w:tcPr>
            <w:tcW w:w="2802" w:type="dxa"/>
          </w:tcPr>
          <w:p w14:paraId="070CB6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421011</w:t>
            </w:r>
          </w:p>
        </w:tc>
        <w:tc>
          <w:tcPr>
            <w:tcW w:w="2802" w:type="dxa"/>
          </w:tcPr>
          <w:p w14:paraId="0DB3C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5F0E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A138067" w14:textId="77777777">
        <w:tc>
          <w:tcPr>
            <w:tcW w:w="2802" w:type="dxa"/>
          </w:tcPr>
          <w:p w14:paraId="0835E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w:t>
            </w:r>
          </w:p>
        </w:tc>
        <w:tc>
          <w:tcPr>
            <w:tcW w:w="2802" w:type="dxa"/>
          </w:tcPr>
          <w:p w14:paraId="16118B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42112</w:t>
            </w:r>
          </w:p>
        </w:tc>
        <w:tc>
          <w:tcPr>
            <w:tcW w:w="2802" w:type="dxa"/>
          </w:tcPr>
          <w:p w14:paraId="3A21E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415DE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5F8E2758" w14:textId="77777777">
        <w:tc>
          <w:tcPr>
            <w:tcW w:w="2802" w:type="dxa"/>
          </w:tcPr>
          <w:p w14:paraId="6931C5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w:t>
            </w:r>
          </w:p>
        </w:tc>
        <w:tc>
          <w:tcPr>
            <w:tcW w:w="2802" w:type="dxa"/>
          </w:tcPr>
          <w:p w14:paraId="35844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42212</w:t>
            </w:r>
          </w:p>
        </w:tc>
        <w:tc>
          <w:tcPr>
            <w:tcW w:w="2802" w:type="dxa"/>
          </w:tcPr>
          <w:p w14:paraId="2DA518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31A9F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28C20EE0" w14:textId="77777777">
        <w:tc>
          <w:tcPr>
            <w:tcW w:w="2802" w:type="dxa"/>
          </w:tcPr>
          <w:p w14:paraId="6B883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tcPr>
          <w:p w14:paraId="64EE48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42312</w:t>
            </w:r>
          </w:p>
        </w:tc>
        <w:tc>
          <w:tcPr>
            <w:tcW w:w="2802" w:type="dxa"/>
          </w:tcPr>
          <w:p w14:paraId="246F55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E2767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987B8C1" w14:textId="77777777">
        <w:tc>
          <w:tcPr>
            <w:tcW w:w="2802" w:type="dxa"/>
          </w:tcPr>
          <w:p w14:paraId="37C180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w:t>
            </w:r>
          </w:p>
        </w:tc>
        <w:tc>
          <w:tcPr>
            <w:tcW w:w="2802" w:type="dxa"/>
          </w:tcPr>
          <w:p w14:paraId="15788D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42412</w:t>
            </w:r>
          </w:p>
        </w:tc>
        <w:tc>
          <w:tcPr>
            <w:tcW w:w="2802" w:type="dxa"/>
          </w:tcPr>
          <w:p w14:paraId="4CD18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DBF28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4EA51627" w14:textId="77777777">
        <w:tc>
          <w:tcPr>
            <w:tcW w:w="2802" w:type="dxa"/>
          </w:tcPr>
          <w:p w14:paraId="76C7A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w:t>
            </w:r>
          </w:p>
        </w:tc>
        <w:tc>
          <w:tcPr>
            <w:tcW w:w="2802" w:type="dxa"/>
          </w:tcPr>
          <w:p w14:paraId="64E09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42512</w:t>
            </w:r>
          </w:p>
        </w:tc>
        <w:tc>
          <w:tcPr>
            <w:tcW w:w="2802" w:type="dxa"/>
          </w:tcPr>
          <w:p w14:paraId="16E15F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F11F3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r>
      <w:tr w:rsidR="00561F31" w:rsidRPr="00F90EAE" w14:paraId="0861EBD0" w14:textId="77777777">
        <w:tc>
          <w:tcPr>
            <w:tcW w:w="2802" w:type="dxa"/>
          </w:tcPr>
          <w:p w14:paraId="2E4FC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w:t>
            </w:r>
          </w:p>
        </w:tc>
        <w:tc>
          <w:tcPr>
            <w:tcW w:w="2802" w:type="dxa"/>
          </w:tcPr>
          <w:p w14:paraId="44E04E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42612</w:t>
            </w:r>
          </w:p>
        </w:tc>
        <w:tc>
          <w:tcPr>
            <w:tcW w:w="2802" w:type="dxa"/>
          </w:tcPr>
          <w:p w14:paraId="6C388F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50EBF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38DF6909" w14:textId="77777777">
        <w:tc>
          <w:tcPr>
            <w:tcW w:w="2802" w:type="dxa"/>
          </w:tcPr>
          <w:p w14:paraId="2FA046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w:t>
            </w:r>
          </w:p>
        </w:tc>
        <w:tc>
          <w:tcPr>
            <w:tcW w:w="2802" w:type="dxa"/>
          </w:tcPr>
          <w:p w14:paraId="32C928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42712</w:t>
            </w:r>
          </w:p>
        </w:tc>
        <w:tc>
          <w:tcPr>
            <w:tcW w:w="2802" w:type="dxa"/>
          </w:tcPr>
          <w:p w14:paraId="6A1709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10E4E9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4024B6D5" w14:textId="77777777">
        <w:tc>
          <w:tcPr>
            <w:tcW w:w="2802" w:type="dxa"/>
          </w:tcPr>
          <w:p w14:paraId="6DCD5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w:t>
            </w:r>
          </w:p>
        </w:tc>
        <w:tc>
          <w:tcPr>
            <w:tcW w:w="2802" w:type="dxa"/>
          </w:tcPr>
          <w:p w14:paraId="788F09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42812</w:t>
            </w:r>
          </w:p>
        </w:tc>
        <w:tc>
          <w:tcPr>
            <w:tcW w:w="2802" w:type="dxa"/>
          </w:tcPr>
          <w:p w14:paraId="226462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Pr>
          <w:p w14:paraId="001EFE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r w:rsidR="00561F31" w:rsidRPr="00F90EAE" w14:paraId="4B0C29D6" w14:textId="77777777">
        <w:tc>
          <w:tcPr>
            <w:tcW w:w="2802" w:type="dxa"/>
            <w:tcBorders>
              <w:bottom w:val="single" w:sz="12" w:space="0" w:color="auto"/>
            </w:tcBorders>
          </w:tcPr>
          <w:p w14:paraId="5B86F2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w:t>
            </w:r>
          </w:p>
        </w:tc>
        <w:tc>
          <w:tcPr>
            <w:tcW w:w="2802" w:type="dxa"/>
            <w:tcBorders>
              <w:bottom w:val="single" w:sz="12" w:space="0" w:color="auto"/>
            </w:tcBorders>
          </w:tcPr>
          <w:p w14:paraId="632360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42912</w:t>
            </w:r>
          </w:p>
        </w:tc>
        <w:tc>
          <w:tcPr>
            <w:tcW w:w="2802" w:type="dxa"/>
            <w:tcBorders>
              <w:bottom w:val="single" w:sz="12" w:space="0" w:color="auto"/>
            </w:tcBorders>
          </w:tcPr>
          <w:p w14:paraId="5F3010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802" w:type="dxa"/>
            <w:tcBorders>
              <w:bottom w:val="single" w:sz="12" w:space="0" w:color="auto"/>
            </w:tcBorders>
          </w:tcPr>
          <w:p w14:paraId="51E4A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r>
    </w:tbl>
    <w:p w14:paraId="2CADD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(12025).</w:t>
      </w:r>
    </w:p>
    <w:p w14:paraId="246C87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Поступление и убытие самолетов Пе-8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80"/>
        <w:gridCol w:w="1539"/>
      </w:tblGrid>
      <w:tr w:rsidR="00561F31" w:rsidRPr="00F90EAE" w14:paraId="50AE9419" w14:textId="77777777">
        <w:tc>
          <w:tcPr>
            <w:tcW w:w="1668" w:type="dxa"/>
            <w:tcBorders>
              <w:top w:val="single" w:sz="12" w:space="0" w:color="auto"/>
            </w:tcBorders>
          </w:tcPr>
          <w:p w14:paraId="728B1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 №</w:t>
            </w:r>
          </w:p>
        </w:tc>
        <w:tc>
          <w:tcPr>
            <w:tcW w:w="1559" w:type="dxa"/>
            <w:tcBorders>
              <w:top w:val="single" w:sz="12" w:space="0" w:color="auto"/>
            </w:tcBorders>
          </w:tcPr>
          <w:p w14:paraId="5C051D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хв. №</w:t>
            </w:r>
          </w:p>
        </w:tc>
        <w:tc>
          <w:tcPr>
            <w:tcW w:w="1559" w:type="dxa"/>
            <w:tcBorders>
              <w:top w:val="single" w:sz="12" w:space="0" w:color="auto"/>
            </w:tcBorders>
          </w:tcPr>
          <w:p w14:paraId="4B469C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Моторы</w:t>
            </w:r>
          </w:p>
        </w:tc>
        <w:tc>
          <w:tcPr>
            <w:tcW w:w="1559" w:type="dxa"/>
            <w:tcBorders>
              <w:top w:val="single" w:sz="12" w:space="0" w:color="auto"/>
            </w:tcBorders>
          </w:tcPr>
          <w:p w14:paraId="6EDFE3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Дата</w:t>
            </w:r>
          </w:p>
        </w:tc>
        <w:tc>
          <w:tcPr>
            <w:tcW w:w="1701" w:type="dxa"/>
            <w:tcBorders>
              <w:top w:val="single" w:sz="12" w:space="0" w:color="auto"/>
            </w:tcBorders>
          </w:tcPr>
          <w:p w14:paraId="1E1DB2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Командиры</w:t>
            </w:r>
          </w:p>
        </w:tc>
        <w:tc>
          <w:tcPr>
            <w:tcW w:w="1580" w:type="dxa"/>
            <w:tcBorders>
              <w:top w:val="single" w:sz="12" w:space="0" w:color="auto"/>
            </w:tcBorders>
          </w:tcPr>
          <w:p w14:paraId="7447E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Дата</w:t>
            </w:r>
          </w:p>
        </w:tc>
        <w:tc>
          <w:tcPr>
            <w:tcW w:w="1539" w:type="dxa"/>
            <w:tcBorders>
              <w:top w:val="single" w:sz="12" w:space="0" w:color="auto"/>
            </w:tcBorders>
          </w:tcPr>
          <w:p w14:paraId="05CAD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Прочее</w:t>
            </w:r>
          </w:p>
        </w:tc>
      </w:tr>
      <w:tr w:rsidR="00561F31" w:rsidRPr="00F90EAE" w14:paraId="6994640C" w14:textId="77777777">
        <w:tc>
          <w:tcPr>
            <w:tcW w:w="1668" w:type="dxa"/>
          </w:tcPr>
          <w:p w14:paraId="547460BE"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0FB034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стар./нов.</w:t>
            </w:r>
          </w:p>
        </w:tc>
        <w:tc>
          <w:tcPr>
            <w:tcW w:w="1559" w:type="dxa"/>
          </w:tcPr>
          <w:p w14:paraId="75E6D6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стар./нов.</w:t>
            </w:r>
          </w:p>
        </w:tc>
        <w:tc>
          <w:tcPr>
            <w:tcW w:w="1559" w:type="dxa"/>
          </w:tcPr>
          <w:p w14:paraId="33C36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выпуска</w:t>
            </w:r>
          </w:p>
        </w:tc>
        <w:tc>
          <w:tcPr>
            <w:tcW w:w="1701" w:type="dxa"/>
          </w:tcPr>
          <w:p w14:paraId="6A4207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кораблей</w:t>
            </w:r>
          </w:p>
        </w:tc>
        <w:tc>
          <w:tcPr>
            <w:tcW w:w="1580" w:type="dxa"/>
          </w:tcPr>
          <w:p w14:paraId="021D7F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 полета</w:t>
            </w:r>
          </w:p>
        </w:tc>
        <w:tc>
          <w:tcPr>
            <w:tcW w:w="1539" w:type="dxa"/>
          </w:tcPr>
          <w:p w14:paraId="40B48D1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F4BF63" w14:textId="77777777">
        <w:tc>
          <w:tcPr>
            <w:tcW w:w="1668" w:type="dxa"/>
          </w:tcPr>
          <w:p w14:paraId="7CCF0A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1. 4201</w:t>
            </w:r>
          </w:p>
        </w:tc>
        <w:tc>
          <w:tcPr>
            <w:tcW w:w="1559" w:type="dxa"/>
          </w:tcPr>
          <w:p w14:paraId="2DE24B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D71E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w:t>
            </w:r>
          </w:p>
        </w:tc>
        <w:tc>
          <w:tcPr>
            <w:tcW w:w="1559" w:type="dxa"/>
          </w:tcPr>
          <w:p w14:paraId="7535B3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19.06.36</w:t>
            </w:r>
          </w:p>
        </w:tc>
        <w:tc>
          <w:tcPr>
            <w:tcW w:w="1701" w:type="dxa"/>
          </w:tcPr>
          <w:p w14:paraId="283B1C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80" w:type="dxa"/>
          </w:tcPr>
          <w:p w14:paraId="7EC1A2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658900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прототип</w:t>
            </w:r>
          </w:p>
        </w:tc>
      </w:tr>
      <w:tr w:rsidR="00561F31" w:rsidRPr="00F90EAE" w14:paraId="63982F23" w14:textId="77777777">
        <w:tc>
          <w:tcPr>
            <w:tcW w:w="1668" w:type="dxa"/>
          </w:tcPr>
          <w:p w14:paraId="6F5F23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2. 4202</w:t>
            </w:r>
          </w:p>
        </w:tc>
        <w:tc>
          <w:tcPr>
            <w:tcW w:w="1559" w:type="dxa"/>
          </w:tcPr>
          <w:p w14:paraId="2FE23D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-/1с</w:t>
            </w:r>
          </w:p>
        </w:tc>
        <w:tc>
          <w:tcPr>
            <w:tcW w:w="1559" w:type="dxa"/>
          </w:tcPr>
          <w:p w14:paraId="1564A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w:t>
            </w:r>
          </w:p>
        </w:tc>
        <w:tc>
          <w:tcPr>
            <w:tcW w:w="1559" w:type="dxa"/>
          </w:tcPr>
          <w:p w14:paraId="510046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06.38</w:t>
            </w:r>
          </w:p>
        </w:tc>
        <w:tc>
          <w:tcPr>
            <w:tcW w:w="1701" w:type="dxa"/>
          </w:tcPr>
          <w:p w14:paraId="12A590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Откидач, Кокорев,</w:t>
            </w:r>
          </w:p>
        </w:tc>
        <w:tc>
          <w:tcPr>
            <w:tcW w:w="1580" w:type="dxa"/>
          </w:tcPr>
          <w:p w14:paraId="74943E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761D78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дублер</w:t>
            </w:r>
          </w:p>
        </w:tc>
      </w:tr>
      <w:tr w:rsidR="00561F31" w:rsidRPr="00F90EAE" w14:paraId="6E5B1841" w14:textId="77777777">
        <w:tc>
          <w:tcPr>
            <w:tcW w:w="1668" w:type="dxa"/>
          </w:tcPr>
          <w:p w14:paraId="605534FE"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3FDEE7F7"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6575B3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6F777EEB"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564D00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Лавровский</w:t>
            </w:r>
          </w:p>
        </w:tc>
        <w:tc>
          <w:tcPr>
            <w:tcW w:w="1580" w:type="dxa"/>
          </w:tcPr>
          <w:p w14:paraId="630A7DC0" w14:textId="77777777" w:rsidR="00665165" w:rsidRPr="00F90EAE" w:rsidRDefault="00665165" w:rsidP="00F90EAE">
            <w:pPr>
              <w:autoSpaceDE w:val="0"/>
              <w:autoSpaceDN w:val="0"/>
              <w:adjustRightInd w:val="0"/>
              <w:jc w:val="both"/>
              <w:rPr>
                <w:color w:val="000000" w:themeColor="text1"/>
                <w:sz w:val="16"/>
                <w:szCs w:val="16"/>
              </w:rPr>
            </w:pPr>
          </w:p>
        </w:tc>
        <w:tc>
          <w:tcPr>
            <w:tcW w:w="1539" w:type="dxa"/>
          </w:tcPr>
          <w:p w14:paraId="24871C7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49458B3" w14:textId="77777777">
        <w:tc>
          <w:tcPr>
            <w:tcW w:w="1668" w:type="dxa"/>
          </w:tcPr>
          <w:p w14:paraId="37BE6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3. 4211</w:t>
            </w:r>
          </w:p>
        </w:tc>
        <w:tc>
          <w:tcPr>
            <w:tcW w:w="1559" w:type="dxa"/>
          </w:tcPr>
          <w:p w14:paraId="1DFA6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9EBC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М-34ФРНВ/АМ-35А</w:t>
            </w:r>
          </w:p>
        </w:tc>
        <w:tc>
          <w:tcPr>
            <w:tcW w:w="1559" w:type="dxa"/>
          </w:tcPr>
          <w:p w14:paraId="54B7E2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D841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80" w:type="dxa"/>
          </w:tcPr>
          <w:p w14:paraId="3FA62A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22.6.41</w:t>
            </w:r>
          </w:p>
        </w:tc>
        <w:tc>
          <w:tcPr>
            <w:tcW w:w="1539" w:type="dxa"/>
          </w:tcPr>
          <w:p w14:paraId="64ABF9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ПЗ</w:t>
            </w:r>
          </w:p>
        </w:tc>
      </w:tr>
      <w:tr w:rsidR="00561F31" w:rsidRPr="00F90EAE" w14:paraId="5FF09175" w14:textId="77777777">
        <w:tc>
          <w:tcPr>
            <w:tcW w:w="1668" w:type="dxa"/>
          </w:tcPr>
          <w:p w14:paraId="3A1BA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4. 4212</w:t>
            </w:r>
          </w:p>
        </w:tc>
        <w:tc>
          <w:tcPr>
            <w:tcW w:w="1559" w:type="dxa"/>
          </w:tcPr>
          <w:p w14:paraId="512C0E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б/н (3.43)</w:t>
            </w:r>
          </w:p>
        </w:tc>
        <w:tc>
          <w:tcPr>
            <w:tcW w:w="1559" w:type="dxa"/>
          </w:tcPr>
          <w:p w14:paraId="22426B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М-34ФРНВ/АМ-35А</w:t>
            </w:r>
          </w:p>
        </w:tc>
        <w:tc>
          <w:tcPr>
            <w:tcW w:w="1559" w:type="dxa"/>
          </w:tcPr>
          <w:p w14:paraId="690FE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2FDC8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Канарский,</w:t>
            </w:r>
          </w:p>
        </w:tc>
        <w:tc>
          <w:tcPr>
            <w:tcW w:w="1580" w:type="dxa"/>
          </w:tcPr>
          <w:p w14:paraId="7CEF78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18.8.43</w:t>
            </w:r>
          </w:p>
        </w:tc>
        <w:tc>
          <w:tcPr>
            <w:tcW w:w="1539" w:type="dxa"/>
          </w:tcPr>
          <w:p w14:paraId="09FA3C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2E3160DC" w14:textId="77777777">
        <w:tc>
          <w:tcPr>
            <w:tcW w:w="1668" w:type="dxa"/>
          </w:tcPr>
          <w:p w14:paraId="2B0918DC"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170B84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8с/9с (5.43)</w:t>
            </w:r>
          </w:p>
        </w:tc>
        <w:tc>
          <w:tcPr>
            <w:tcW w:w="1559" w:type="dxa"/>
          </w:tcPr>
          <w:p w14:paraId="2FDC1915"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29BB1212"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08B11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Ремизов, Олейников</w:t>
            </w:r>
          </w:p>
        </w:tc>
        <w:tc>
          <w:tcPr>
            <w:tcW w:w="1580" w:type="dxa"/>
          </w:tcPr>
          <w:p w14:paraId="0C8EFA98" w14:textId="77777777" w:rsidR="00665165" w:rsidRPr="00F90EAE" w:rsidRDefault="00665165" w:rsidP="00F90EAE">
            <w:pPr>
              <w:autoSpaceDE w:val="0"/>
              <w:autoSpaceDN w:val="0"/>
              <w:adjustRightInd w:val="0"/>
              <w:jc w:val="both"/>
              <w:rPr>
                <w:color w:val="000000" w:themeColor="text1"/>
                <w:sz w:val="16"/>
                <w:szCs w:val="16"/>
              </w:rPr>
            </w:pPr>
          </w:p>
        </w:tc>
        <w:tc>
          <w:tcPr>
            <w:tcW w:w="1539" w:type="dxa"/>
          </w:tcPr>
          <w:p w14:paraId="64305B7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287D13F" w14:textId="77777777">
        <w:tc>
          <w:tcPr>
            <w:tcW w:w="1668" w:type="dxa"/>
          </w:tcPr>
          <w:p w14:paraId="375DAB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5. 4213</w:t>
            </w:r>
          </w:p>
        </w:tc>
        <w:tc>
          <w:tcPr>
            <w:tcW w:w="1559" w:type="dxa"/>
          </w:tcPr>
          <w:p w14:paraId="1F7983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13A445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М-34ФРНВ/АМ-35А</w:t>
            </w:r>
          </w:p>
        </w:tc>
        <w:tc>
          <w:tcPr>
            <w:tcW w:w="1559" w:type="dxa"/>
          </w:tcPr>
          <w:p w14:paraId="20132A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1A4D0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Додонов</w:t>
            </w:r>
          </w:p>
        </w:tc>
        <w:tc>
          <w:tcPr>
            <w:tcW w:w="1580" w:type="dxa"/>
          </w:tcPr>
          <w:p w14:paraId="17A177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22.6.41</w:t>
            </w:r>
          </w:p>
        </w:tc>
        <w:tc>
          <w:tcPr>
            <w:tcW w:w="1539" w:type="dxa"/>
          </w:tcPr>
          <w:p w14:paraId="288006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ПЗ</w:t>
            </w:r>
          </w:p>
        </w:tc>
      </w:tr>
      <w:tr w:rsidR="00561F31" w:rsidRPr="00F90EAE" w14:paraId="65960C6E" w14:textId="77777777">
        <w:tc>
          <w:tcPr>
            <w:tcW w:w="1668" w:type="dxa"/>
          </w:tcPr>
          <w:p w14:paraId="3F733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6. 4214</w:t>
            </w:r>
          </w:p>
        </w:tc>
        <w:tc>
          <w:tcPr>
            <w:tcW w:w="1559" w:type="dxa"/>
          </w:tcPr>
          <w:p w14:paraId="41A0D2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2с (10.43)</w:t>
            </w:r>
          </w:p>
        </w:tc>
        <w:tc>
          <w:tcPr>
            <w:tcW w:w="1559" w:type="dxa"/>
          </w:tcPr>
          <w:p w14:paraId="51BB5B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М-34ФРНВ/АМ-35А</w:t>
            </w:r>
          </w:p>
        </w:tc>
        <w:tc>
          <w:tcPr>
            <w:tcW w:w="1559" w:type="dxa"/>
          </w:tcPr>
          <w:p w14:paraId="1BA94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15.3.40</w:t>
            </w:r>
          </w:p>
        </w:tc>
        <w:tc>
          <w:tcPr>
            <w:tcW w:w="1701" w:type="dxa"/>
          </w:tcPr>
          <w:p w14:paraId="48476A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Откидач, Иванов</w:t>
            </w:r>
          </w:p>
        </w:tc>
        <w:tc>
          <w:tcPr>
            <w:tcW w:w="1580" w:type="dxa"/>
          </w:tcPr>
          <w:p w14:paraId="76CC55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13.7.44</w:t>
            </w:r>
          </w:p>
        </w:tc>
        <w:tc>
          <w:tcPr>
            <w:tcW w:w="1539" w:type="dxa"/>
          </w:tcPr>
          <w:p w14:paraId="1803D1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71EFDE3A" w14:textId="77777777">
        <w:tc>
          <w:tcPr>
            <w:tcW w:w="1668" w:type="dxa"/>
          </w:tcPr>
          <w:p w14:paraId="4867C4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7. 4215</w:t>
            </w:r>
          </w:p>
        </w:tc>
        <w:tc>
          <w:tcPr>
            <w:tcW w:w="1559" w:type="dxa"/>
          </w:tcPr>
          <w:p w14:paraId="4FE2D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3с/7с(2.43)</w:t>
            </w:r>
          </w:p>
        </w:tc>
        <w:tc>
          <w:tcPr>
            <w:tcW w:w="1559" w:type="dxa"/>
          </w:tcPr>
          <w:p w14:paraId="4C66AA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19B43E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2D5BE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Немков, Асямов</w:t>
            </w:r>
          </w:p>
        </w:tc>
        <w:tc>
          <w:tcPr>
            <w:tcW w:w="1580" w:type="dxa"/>
          </w:tcPr>
          <w:p w14:paraId="4CEEA9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3.5.43</w:t>
            </w:r>
          </w:p>
        </w:tc>
        <w:tc>
          <w:tcPr>
            <w:tcW w:w="1539" w:type="dxa"/>
          </w:tcPr>
          <w:p w14:paraId="7AF05B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23F46188" w14:textId="77777777">
        <w:tc>
          <w:tcPr>
            <w:tcW w:w="1668" w:type="dxa"/>
          </w:tcPr>
          <w:p w14:paraId="1A2D46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8. 4216</w:t>
            </w:r>
          </w:p>
        </w:tc>
        <w:tc>
          <w:tcPr>
            <w:tcW w:w="1559" w:type="dxa"/>
          </w:tcPr>
          <w:p w14:paraId="55F607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A7CF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М-34ФРНВ/АМ-35А</w:t>
            </w:r>
          </w:p>
        </w:tc>
        <w:tc>
          <w:tcPr>
            <w:tcW w:w="1559" w:type="dxa"/>
          </w:tcPr>
          <w:p w14:paraId="0770DC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FC59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Тульной, Курбан,</w:t>
            </w:r>
          </w:p>
        </w:tc>
        <w:tc>
          <w:tcPr>
            <w:tcW w:w="1580" w:type="dxa"/>
          </w:tcPr>
          <w:p w14:paraId="2A2775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1.12.40.</w:t>
            </w:r>
          </w:p>
        </w:tc>
        <w:tc>
          <w:tcPr>
            <w:tcW w:w="1539" w:type="dxa"/>
          </w:tcPr>
          <w:p w14:paraId="46C58E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5AD8DF28" w14:textId="77777777">
        <w:tc>
          <w:tcPr>
            <w:tcW w:w="1668" w:type="dxa"/>
          </w:tcPr>
          <w:p w14:paraId="714E51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9. 4217</w:t>
            </w:r>
          </w:p>
        </w:tc>
        <w:tc>
          <w:tcPr>
            <w:tcW w:w="1559" w:type="dxa"/>
          </w:tcPr>
          <w:p w14:paraId="649F7D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59173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481154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29.10.41</w:t>
            </w:r>
          </w:p>
        </w:tc>
        <w:tc>
          <w:tcPr>
            <w:tcW w:w="1701" w:type="dxa"/>
          </w:tcPr>
          <w:p w14:paraId="5BDAF9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Лавровский, Угрюмов</w:t>
            </w:r>
          </w:p>
        </w:tc>
        <w:tc>
          <w:tcPr>
            <w:tcW w:w="1580" w:type="dxa"/>
          </w:tcPr>
          <w:p w14:paraId="7AB542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16CD3E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12C4568" w14:textId="77777777">
        <w:tc>
          <w:tcPr>
            <w:tcW w:w="1668" w:type="dxa"/>
          </w:tcPr>
          <w:p w14:paraId="4CF5E2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10. 4218</w:t>
            </w:r>
          </w:p>
        </w:tc>
        <w:tc>
          <w:tcPr>
            <w:tcW w:w="1559" w:type="dxa"/>
          </w:tcPr>
          <w:p w14:paraId="0FF33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с/10с(5.43)</w:t>
            </w:r>
          </w:p>
        </w:tc>
        <w:tc>
          <w:tcPr>
            <w:tcW w:w="1559" w:type="dxa"/>
          </w:tcPr>
          <w:p w14:paraId="7FBB9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59CA3E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EDC2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Дмитриев</w:t>
            </w:r>
          </w:p>
        </w:tc>
        <w:tc>
          <w:tcPr>
            <w:tcW w:w="1580" w:type="dxa"/>
          </w:tcPr>
          <w:p w14:paraId="200078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4D145C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DE82684" w14:textId="77777777">
        <w:tc>
          <w:tcPr>
            <w:tcW w:w="1668" w:type="dxa"/>
          </w:tcPr>
          <w:p w14:paraId="3A6F6A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11.4219</w:t>
            </w:r>
          </w:p>
        </w:tc>
        <w:tc>
          <w:tcPr>
            <w:tcW w:w="1559" w:type="dxa"/>
          </w:tcPr>
          <w:p w14:paraId="5F47CC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6072D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3075F9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8FFE6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Пахомчик</w:t>
            </w:r>
          </w:p>
        </w:tc>
        <w:tc>
          <w:tcPr>
            <w:tcW w:w="1580" w:type="dxa"/>
          </w:tcPr>
          <w:p w14:paraId="4C466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22 6 41</w:t>
            </w:r>
          </w:p>
        </w:tc>
        <w:tc>
          <w:tcPr>
            <w:tcW w:w="1539" w:type="dxa"/>
          </w:tcPr>
          <w:p w14:paraId="43819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ПЗ</w:t>
            </w:r>
          </w:p>
        </w:tc>
      </w:tr>
      <w:tr w:rsidR="00561F31" w:rsidRPr="00F90EAE" w14:paraId="787ED437" w14:textId="77777777">
        <w:tc>
          <w:tcPr>
            <w:tcW w:w="1668" w:type="dxa"/>
          </w:tcPr>
          <w:p w14:paraId="2E1A8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12. 4220</w:t>
            </w:r>
          </w:p>
        </w:tc>
        <w:tc>
          <w:tcPr>
            <w:tcW w:w="1559" w:type="dxa"/>
          </w:tcPr>
          <w:p w14:paraId="4A6FEB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2B1AB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3501F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8332D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Макаренко</w:t>
            </w:r>
          </w:p>
        </w:tc>
        <w:tc>
          <w:tcPr>
            <w:tcW w:w="1580" w:type="dxa"/>
          </w:tcPr>
          <w:p w14:paraId="4E5AC1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22.6.41</w:t>
            </w:r>
          </w:p>
        </w:tc>
        <w:tc>
          <w:tcPr>
            <w:tcW w:w="1539" w:type="dxa"/>
          </w:tcPr>
          <w:p w14:paraId="0AB90E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ПЗ</w:t>
            </w:r>
          </w:p>
        </w:tc>
      </w:tr>
      <w:tr w:rsidR="00561F31" w:rsidRPr="00F90EAE" w14:paraId="0B3948AD" w14:textId="77777777">
        <w:tc>
          <w:tcPr>
            <w:tcW w:w="1668" w:type="dxa"/>
          </w:tcPr>
          <w:p w14:paraId="34A049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13. 4221</w:t>
            </w:r>
          </w:p>
        </w:tc>
        <w:tc>
          <w:tcPr>
            <w:tcW w:w="1559" w:type="dxa"/>
          </w:tcPr>
          <w:p w14:paraId="043749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w:t>
            </w:r>
          </w:p>
        </w:tc>
        <w:tc>
          <w:tcPr>
            <w:tcW w:w="1559" w:type="dxa"/>
          </w:tcPr>
          <w:p w14:paraId="581A73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АМ-35/АМ-35А/АШ-82</w:t>
            </w:r>
          </w:p>
        </w:tc>
        <w:tc>
          <w:tcPr>
            <w:tcW w:w="1559" w:type="dxa"/>
          </w:tcPr>
          <w:p w14:paraId="09D5F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5.10.40</w:t>
            </w:r>
          </w:p>
        </w:tc>
        <w:tc>
          <w:tcPr>
            <w:tcW w:w="1701" w:type="dxa"/>
          </w:tcPr>
          <w:p w14:paraId="714BB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Лисачев</w:t>
            </w:r>
          </w:p>
        </w:tc>
        <w:tc>
          <w:tcPr>
            <w:tcW w:w="1580" w:type="dxa"/>
          </w:tcPr>
          <w:p w14:paraId="7FD8B8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382C014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CE6103A" w14:textId="77777777">
        <w:tc>
          <w:tcPr>
            <w:tcW w:w="1668" w:type="dxa"/>
          </w:tcPr>
          <w:p w14:paraId="2FA5C6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14.4222</w:t>
            </w:r>
          </w:p>
        </w:tc>
        <w:tc>
          <w:tcPr>
            <w:tcW w:w="1559" w:type="dxa"/>
          </w:tcPr>
          <w:p w14:paraId="05BB0D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3F0C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АМ-35/АМ-35А</w:t>
            </w:r>
          </w:p>
        </w:tc>
        <w:tc>
          <w:tcPr>
            <w:tcW w:w="1559" w:type="dxa"/>
          </w:tcPr>
          <w:p w14:paraId="76E028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107137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Федоренко+</w:t>
            </w:r>
          </w:p>
        </w:tc>
        <w:tc>
          <w:tcPr>
            <w:tcW w:w="1580" w:type="dxa"/>
          </w:tcPr>
          <w:p w14:paraId="6263B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18.10.41</w:t>
            </w:r>
          </w:p>
        </w:tc>
        <w:tc>
          <w:tcPr>
            <w:tcW w:w="1539" w:type="dxa"/>
          </w:tcPr>
          <w:p w14:paraId="26288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70417580" w14:textId="77777777">
        <w:tc>
          <w:tcPr>
            <w:tcW w:w="1668" w:type="dxa"/>
          </w:tcPr>
          <w:p w14:paraId="21097F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15. 4223</w:t>
            </w:r>
          </w:p>
        </w:tc>
        <w:tc>
          <w:tcPr>
            <w:tcW w:w="1559" w:type="dxa"/>
          </w:tcPr>
          <w:p w14:paraId="04638F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A888F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400F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14E34B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80" w:type="dxa"/>
          </w:tcPr>
          <w:p w14:paraId="6EE5DC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22.6.41</w:t>
            </w:r>
          </w:p>
        </w:tc>
        <w:tc>
          <w:tcPr>
            <w:tcW w:w="1539" w:type="dxa"/>
          </w:tcPr>
          <w:p w14:paraId="033DAD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ПЗ</w:t>
            </w:r>
          </w:p>
        </w:tc>
      </w:tr>
      <w:tr w:rsidR="00561F31" w:rsidRPr="00F90EAE" w14:paraId="3EDC1CD1" w14:textId="77777777">
        <w:tc>
          <w:tcPr>
            <w:tcW w:w="1668" w:type="dxa"/>
          </w:tcPr>
          <w:p w14:paraId="1A459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16, 4224</w:t>
            </w:r>
          </w:p>
        </w:tc>
        <w:tc>
          <w:tcPr>
            <w:tcW w:w="1559" w:type="dxa"/>
          </w:tcPr>
          <w:p w14:paraId="7B8436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1A3AC7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5C13E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33F17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Тягунин</w:t>
            </w:r>
          </w:p>
        </w:tc>
        <w:tc>
          <w:tcPr>
            <w:tcW w:w="1580" w:type="dxa"/>
          </w:tcPr>
          <w:p w14:paraId="2680B5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11.10.41</w:t>
            </w:r>
          </w:p>
        </w:tc>
        <w:tc>
          <w:tcPr>
            <w:tcW w:w="1539" w:type="dxa"/>
          </w:tcPr>
          <w:p w14:paraId="32C80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272193EB" w14:textId="77777777">
        <w:tc>
          <w:tcPr>
            <w:tcW w:w="1668" w:type="dxa"/>
          </w:tcPr>
          <w:p w14:paraId="1D4A60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17. 4225</w:t>
            </w:r>
          </w:p>
        </w:tc>
        <w:tc>
          <w:tcPr>
            <w:tcW w:w="1559" w:type="dxa"/>
          </w:tcPr>
          <w:p w14:paraId="4951FD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6с/8к</w:t>
            </w:r>
          </w:p>
        </w:tc>
        <w:tc>
          <w:tcPr>
            <w:tcW w:w="1559" w:type="dxa"/>
          </w:tcPr>
          <w:p w14:paraId="697CA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 АМ-35А</w:t>
            </w:r>
          </w:p>
        </w:tc>
        <w:tc>
          <w:tcPr>
            <w:tcW w:w="1559" w:type="dxa"/>
          </w:tcPr>
          <w:p w14:paraId="6E888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6F25C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Родных</w:t>
            </w:r>
          </w:p>
        </w:tc>
        <w:tc>
          <w:tcPr>
            <w:tcW w:w="1580" w:type="dxa"/>
          </w:tcPr>
          <w:p w14:paraId="1ACBE5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1B264B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F5B66E8" w14:textId="77777777">
        <w:tc>
          <w:tcPr>
            <w:tcW w:w="1668" w:type="dxa"/>
          </w:tcPr>
          <w:p w14:paraId="4E3464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18. 4226</w:t>
            </w:r>
          </w:p>
        </w:tc>
        <w:tc>
          <w:tcPr>
            <w:tcW w:w="1559" w:type="dxa"/>
          </w:tcPr>
          <w:p w14:paraId="4B0643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A46D7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1AD1FF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54C9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Водопьянов</w:t>
            </w:r>
          </w:p>
        </w:tc>
        <w:tc>
          <w:tcPr>
            <w:tcW w:w="1580" w:type="dxa"/>
          </w:tcPr>
          <w:p w14:paraId="66A8B0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7.11.41</w:t>
            </w:r>
          </w:p>
        </w:tc>
        <w:tc>
          <w:tcPr>
            <w:tcW w:w="1539" w:type="dxa"/>
          </w:tcPr>
          <w:p w14:paraId="7084B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00CB806" w14:textId="77777777">
        <w:tc>
          <w:tcPr>
            <w:tcW w:w="1668" w:type="dxa"/>
          </w:tcPr>
          <w:p w14:paraId="6087A5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19. 4227</w:t>
            </w:r>
          </w:p>
        </w:tc>
        <w:tc>
          <w:tcPr>
            <w:tcW w:w="1559" w:type="dxa"/>
          </w:tcPr>
          <w:p w14:paraId="4EDA7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F4086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596BFD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20.9.41</w:t>
            </w:r>
          </w:p>
        </w:tc>
        <w:tc>
          <w:tcPr>
            <w:tcW w:w="1701" w:type="dxa"/>
          </w:tcPr>
          <w:p w14:paraId="1EEAE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 Курбан</w:t>
            </w:r>
          </w:p>
        </w:tc>
        <w:tc>
          <w:tcPr>
            <w:tcW w:w="1580" w:type="dxa"/>
          </w:tcPr>
          <w:p w14:paraId="34AF0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10.7.42</w:t>
            </w:r>
          </w:p>
        </w:tc>
        <w:tc>
          <w:tcPr>
            <w:tcW w:w="1539" w:type="dxa"/>
          </w:tcPr>
          <w:p w14:paraId="3991F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5DDF2251" w14:textId="77777777">
        <w:tc>
          <w:tcPr>
            <w:tcW w:w="1668" w:type="dxa"/>
          </w:tcPr>
          <w:p w14:paraId="72FC9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20. 42015</w:t>
            </w:r>
          </w:p>
        </w:tc>
        <w:tc>
          <w:tcPr>
            <w:tcW w:w="1559" w:type="dxa"/>
          </w:tcPr>
          <w:p w14:paraId="5F274C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к/-</w:t>
            </w:r>
          </w:p>
        </w:tc>
        <w:tc>
          <w:tcPr>
            <w:tcW w:w="1559" w:type="dxa"/>
          </w:tcPr>
          <w:p w14:paraId="019E54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320E97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74D26E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Пономаренко, Алексеев</w:t>
            </w:r>
          </w:p>
        </w:tc>
        <w:tc>
          <w:tcPr>
            <w:tcW w:w="1580" w:type="dxa"/>
          </w:tcPr>
          <w:p w14:paraId="47D9CF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28.10.42</w:t>
            </w:r>
          </w:p>
        </w:tc>
        <w:tc>
          <w:tcPr>
            <w:tcW w:w="1539" w:type="dxa"/>
          </w:tcPr>
          <w:p w14:paraId="09F6D8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 К</w:t>
            </w:r>
          </w:p>
        </w:tc>
      </w:tr>
      <w:tr w:rsidR="00561F31" w:rsidRPr="00F90EAE" w14:paraId="37FF11FA" w14:textId="77777777">
        <w:tc>
          <w:tcPr>
            <w:tcW w:w="1668" w:type="dxa"/>
          </w:tcPr>
          <w:p w14:paraId="54346F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21.42025</w:t>
            </w:r>
          </w:p>
        </w:tc>
        <w:tc>
          <w:tcPr>
            <w:tcW w:w="1559" w:type="dxa"/>
          </w:tcPr>
          <w:p w14:paraId="7AB932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2с</w:t>
            </w:r>
          </w:p>
        </w:tc>
        <w:tc>
          <w:tcPr>
            <w:tcW w:w="1559" w:type="dxa"/>
          </w:tcPr>
          <w:p w14:paraId="2DDAC5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 М-30</w:t>
            </w:r>
          </w:p>
        </w:tc>
        <w:tc>
          <w:tcPr>
            <w:tcW w:w="1559" w:type="dxa"/>
          </w:tcPr>
          <w:p w14:paraId="3CCB72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640468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Перегудов</w:t>
            </w:r>
          </w:p>
        </w:tc>
        <w:tc>
          <w:tcPr>
            <w:tcW w:w="1580" w:type="dxa"/>
          </w:tcPr>
          <w:p w14:paraId="183757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30.10.41</w:t>
            </w:r>
          </w:p>
        </w:tc>
        <w:tc>
          <w:tcPr>
            <w:tcW w:w="1539" w:type="dxa"/>
          </w:tcPr>
          <w:p w14:paraId="1E36D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w:t>
            </w:r>
          </w:p>
        </w:tc>
      </w:tr>
      <w:tr w:rsidR="00561F31" w:rsidRPr="00F90EAE" w14:paraId="5112316D" w14:textId="77777777">
        <w:tc>
          <w:tcPr>
            <w:tcW w:w="1668" w:type="dxa"/>
          </w:tcPr>
          <w:p w14:paraId="4F6182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22.42035</w:t>
            </w:r>
          </w:p>
        </w:tc>
        <w:tc>
          <w:tcPr>
            <w:tcW w:w="1559" w:type="dxa"/>
          </w:tcPr>
          <w:p w14:paraId="6AD3A5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Зс</w:t>
            </w:r>
          </w:p>
        </w:tc>
        <w:tc>
          <w:tcPr>
            <w:tcW w:w="1559" w:type="dxa"/>
          </w:tcPr>
          <w:p w14:paraId="54910A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М-40Ф/АМ-35А</w:t>
            </w:r>
          </w:p>
        </w:tc>
        <w:tc>
          <w:tcPr>
            <w:tcW w:w="1559" w:type="dxa"/>
          </w:tcPr>
          <w:p w14:paraId="5B5374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BAFE4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Видный, Курбан</w:t>
            </w:r>
          </w:p>
        </w:tc>
        <w:tc>
          <w:tcPr>
            <w:tcW w:w="1580" w:type="dxa"/>
          </w:tcPr>
          <w:p w14:paraId="15EDDD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27.6.42</w:t>
            </w:r>
          </w:p>
        </w:tc>
        <w:tc>
          <w:tcPr>
            <w:tcW w:w="1539" w:type="dxa"/>
          </w:tcPr>
          <w:p w14:paraId="6159E7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ЛС,А</w:t>
            </w:r>
          </w:p>
        </w:tc>
      </w:tr>
      <w:tr w:rsidR="00561F31" w:rsidRPr="00F90EAE" w14:paraId="3F63195C" w14:textId="77777777">
        <w:tc>
          <w:tcPr>
            <w:tcW w:w="1668" w:type="dxa"/>
          </w:tcPr>
          <w:p w14:paraId="41FEF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23. 42045</w:t>
            </w:r>
          </w:p>
        </w:tc>
        <w:tc>
          <w:tcPr>
            <w:tcW w:w="1559" w:type="dxa"/>
          </w:tcPr>
          <w:p w14:paraId="6C6F5A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5с</w:t>
            </w:r>
          </w:p>
        </w:tc>
        <w:tc>
          <w:tcPr>
            <w:tcW w:w="1559" w:type="dxa"/>
          </w:tcPr>
          <w:p w14:paraId="06E227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559" w:type="dxa"/>
          </w:tcPr>
          <w:p w14:paraId="2D13BA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68F0B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Тягунин</w:t>
            </w:r>
          </w:p>
        </w:tc>
        <w:tc>
          <w:tcPr>
            <w:tcW w:w="1580" w:type="dxa"/>
          </w:tcPr>
          <w:p w14:paraId="76CFE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10.8.41</w:t>
            </w:r>
          </w:p>
        </w:tc>
        <w:tc>
          <w:tcPr>
            <w:tcW w:w="1539" w:type="dxa"/>
          </w:tcPr>
          <w:p w14:paraId="219DD7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34CCF3CC" w14:textId="77777777">
        <w:tc>
          <w:tcPr>
            <w:tcW w:w="1668" w:type="dxa"/>
          </w:tcPr>
          <w:p w14:paraId="57D0A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24.42055</w:t>
            </w:r>
          </w:p>
        </w:tc>
        <w:tc>
          <w:tcPr>
            <w:tcW w:w="1559" w:type="dxa"/>
          </w:tcPr>
          <w:p w14:paraId="7BF4E2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9с</w:t>
            </w:r>
          </w:p>
        </w:tc>
        <w:tc>
          <w:tcPr>
            <w:tcW w:w="1559" w:type="dxa"/>
          </w:tcPr>
          <w:p w14:paraId="7CA6F2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c>
          <w:tcPr>
            <w:tcW w:w="1559" w:type="dxa"/>
          </w:tcPr>
          <w:p w14:paraId="2BBEC5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5.8.41</w:t>
            </w:r>
          </w:p>
        </w:tc>
        <w:tc>
          <w:tcPr>
            <w:tcW w:w="1701" w:type="dxa"/>
          </w:tcPr>
          <w:p w14:paraId="50BEA1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Угрюмов+</w:t>
            </w:r>
          </w:p>
        </w:tc>
        <w:tc>
          <w:tcPr>
            <w:tcW w:w="1580" w:type="dxa"/>
          </w:tcPr>
          <w:p w14:paraId="3C5116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31.3.42</w:t>
            </w:r>
          </w:p>
        </w:tc>
        <w:tc>
          <w:tcPr>
            <w:tcW w:w="1539" w:type="dxa"/>
          </w:tcPr>
          <w:p w14:paraId="0DD80F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472404E6" w14:textId="77777777">
        <w:tc>
          <w:tcPr>
            <w:tcW w:w="1668" w:type="dxa"/>
          </w:tcPr>
          <w:p w14:paraId="35B196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25. 42016</w:t>
            </w:r>
          </w:p>
        </w:tc>
        <w:tc>
          <w:tcPr>
            <w:tcW w:w="1559" w:type="dxa"/>
          </w:tcPr>
          <w:p w14:paraId="78F216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1с</w:t>
            </w:r>
          </w:p>
        </w:tc>
        <w:tc>
          <w:tcPr>
            <w:tcW w:w="1559" w:type="dxa"/>
          </w:tcPr>
          <w:p w14:paraId="7A58ED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559" w:type="dxa"/>
          </w:tcPr>
          <w:p w14:paraId="40A6C6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590DB9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Курбан</w:t>
            </w:r>
          </w:p>
        </w:tc>
        <w:tc>
          <w:tcPr>
            <w:tcW w:w="1580" w:type="dxa"/>
          </w:tcPr>
          <w:p w14:paraId="7E8A1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10.8.41</w:t>
            </w:r>
          </w:p>
        </w:tc>
        <w:tc>
          <w:tcPr>
            <w:tcW w:w="1539" w:type="dxa"/>
          </w:tcPr>
          <w:p w14:paraId="12EA71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ЗА,ВП</w:t>
            </w:r>
          </w:p>
        </w:tc>
      </w:tr>
      <w:tr w:rsidR="00561F31" w:rsidRPr="00F90EAE" w14:paraId="7306B055" w14:textId="77777777">
        <w:tc>
          <w:tcPr>
            <w:tcW w:w="1668" w:type="dxa"/>
          </w:tcPr>
          <w:p w14:paraId="4BDCCD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26.42026</w:t>
            </w:r>
          </w:p>
        </w:tc>
        <w:tc>
          <w:tcPr>
            <w:tcW w:w="1559" w:type="dxa"/>
          </w:tcPr>
          <w:p w14:paraId="70C11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3AB05C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559" w:type="dxa"/>
          </w:tcPr>
          <w:p w14:paraId="1AD88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7F571D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Панфилов+</w:t>
            </w:r>
          </w:p>
        </w:tc>
        <w:tc>
          <w:tcPr>
            <w:tcW w:w="1580" w:type="dxa"/>
          </w:tcPr>
          <w:p w14:paraId="4C18D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10.8.41</w:t>
            </w:r>
          </w:p>
        </w:tc>
        <w:tc>
          <w:tcPr>
            <w:tcW w:w="1539" w:type="dxa"/>
          </w:tcPr>
          <w:p w14:paraId="6FE9A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74CE5DBC" w14:textId="77777777">
        <w:tc>
          <w:tcPr>
            <w:tcW w:w="1668" w:type="dxa"/>
          </w:tcPr>
          <w:p w14:paraId="62A79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27.42036</w:t>
            </w:r>
          </w:p>
        </w:tc>
        <w:tc>
          <w:tcPr>
            <w:tcW w:w="1559" w:type="dxa"/>
          </w:tcPr>
          <w:p w14:paraId="526076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8с</w:t>
            </w:r>
          </w:p>
        </w:tc>
        <w:tc>
          <w:tcPr>
            <w:tcW w:w="1559" w:type="dxa"/>
          </w:tcPr>
          <w:p w14:paraId="59A10B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559" w:type="dxa"/>
          </w:tcPr>
          <w:p w14:paraId="1235F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AD2B8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Водопьянов</w:t>
            </w:r>
          </w:p>
        </w:tc>
        <w:tc>
          <w:tcPr>
            <w:tcW w:w="1580" w:type="dxa"/>
          </w:tcPr>
          <w:p w14:paraId="40F524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11.8.41</w:t>
            </w:r>
          </w:p>
        </w:tc>
        <w:tc>
          <w:tcPr>
            <w:tcW w:w="1539" w:type="dxa"/>
          </w:tcPr>
          <w:p w14:paraId="177815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w:t>
            </w:r>
          </w:p>
        </w:tc>
      </w:tr>
      <w:tr w:rsidR="00561F31" w:rsidRPr="00F90EAE" w14:paraId="19204515" w14:textId="77777777">
        <w:tc>
          <w:tcPr>
            <w:tcW w:w="1668" w:type="dxa"/>
          </w:tcPr>
          <w:p w14:paraId="2BEEE6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28.42046</w:t>
            </w:r>
          </w:p>
        </w:tc>
        <w:tc>
          <w:tcPr>
            <w:tcW w:w="1559" w:type="dxa"/>
          </w:tcPr>
          <w:p w14:paraId="0710FA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7с</w:t>
            </w:r>
          </w:p>
        </w:tc>
        <w:tc>
          <w:tcPr>
            <w:tcW w:w="1559" w:type="dxa"/>
          </w:tcPr>
          <w:p w14:paraId="31767E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М-40Ф</w:t>
            </w:r>
          </w:p>
        </w:tc>
        <w:tc>
          <w:tcPr>
            <w:tcW w:w="1559" w:type="dxa"/>
          </w:tcPr>
          <w:p w14:paraId="29D1AE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6C29D1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Егоров+</w:t>
            </w:r>
          </w:p>
        </w:tc>
        <w:tc>
          <w:tcPr>
            <w:tcW w:w="1580" w:type="dxa"/>
          </w:tcPr>
          <w:p w14:paraId="1B613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10.8.41</w:t>
            </w:r>
          </w:p>
        </w:tc>
        <w:tc>
          <w:tcPr>
            <w:tcW w:w="1539" w:type="dxa"/>
          </w:tcPr>
          <w:p w14:paraId="7BFFA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Т,К</w:t>
            </w:r>
          </w:p>
        </w:tc>
      </w:tr>
      <w:tr w:rsidR="00561F31" w:rsidRPr="00F90EAE" w14:paraId="7425F413" w14:textId="77777777">
        <w:tc>
          <w:tcPr>
            <w:tcW w:w="1668" w:type="dxa"/>
          </w:tcPr>
          <w:p w14:paraId="0606F2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29. 42056</w:t>
            </w:r>
          </w:p>
        </w:tc>
        <w:tc>
          <w:tcPr>
            <w:tcW w:w="1559" w:type="dxa"/>
          </w:tcPr>
          <w:p w14:paraId="53865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62F1F7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w:t>
            </w:r>
          </w:p>
        </w:tc>
        <w:tc>
          <w:tcPr>
            <w:tcW w:w="1559" w:type="dxa"/>
          </w:tcPr>
          <w:p w14:paraId="77A7B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78E527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80" w:type="dxa"/>
          </w:tcPr>
          <w:p w14:paraId="0A2CB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7180C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45E0638" w14:textId="77777777">
        <w:tc>
          <w:tcPr>
            <w:tcW w:w="1668" w:type="dxa"/>
          </w:tcPr>
          <w:p w14:paraId="6F1173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30.42066</w:t>
            </w:r>
          </w:p>
        </w:tc>
        <w:tc>
          <w:tcPr>
            <w:tcW w:w="1559" w:type="dxa"/>
          </w:tcPr>
          <w:p w14:paraId="0B94D6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к</w:t>
            </w:r>
          </w:p>
        </w:tc>
        <w:tc>
          <w:tcPr>
            <w:tcW w:w="1559" w:type="dxa"/>
          </w:tcPr>
          <w:p w14:paraId="67F94B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61D535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4B7BB7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Пусэп, Зеленский</w:t>
            </w:r>
          </w:p>
        </w:tc>
        <w:tc>
          <w:tcPr>
            <w:tcW w:w="1580" w:type="dxa"/>
          </w:tcPr>
          <w:p w14:paraId="642B5A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17.10.43</w:t>
            </w:r>
          </w:p>
        </w:tc>
        <w:tc>
          <w:tcPr>
            <w:tcW w:w="1539" w:type="dxa"/>
          </w:tcPr>
          <w:p w14:paraId="6E2F37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w:t>
            </w:r>
          </w:p>
        </w:tc>
      </w:tr>
      <w:tr w:rsidR="00561F31" w:rsidRPr="00F90EAE" w14:paraId="4DA4EE41" w14:textId="77777777">
        <w:tc>
          <w:tcPr>
            <w:tcW w:w="1668" w:type="dxa"/>
          </w:tcPr>
          <w:p w14:paraId="462158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31.42076</w:t>
            </w:r>
          </w:p>
        </w:tc>
        <w:tc>
          <w:tcPr>
            <w:tcW w:w="1559" w:type="dxa"/>
          </w:tcPr>
          <w:p w14:paraId="0854BA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-/Зк</w:t>
            </w:r>
          </w:p>
        </w:tc>
        <w:tc>
          <w:tcPr>
            <w:tcW w:w="1559" w:type="dxa"/>
          </w:tcPr>
          <w:p w14:paraId="357EA5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56949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21.10.41</w:t>
            </w:r>
          </w:p>
        </w:tc>
        <w:tc>
          <w:tcPr>
            <w:tcW w:w="1701" w:type="dxa"/>
          </w:tcPr>
          <w:p w14:paraId="1E29CE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Макаренко, Адамов</w:t>
            </w:r>
          </w:p>
        </w:tc>
        <w:tc>
          <w:tcPr>
            <w:tcW w:w="1580" w:type="dxa"/>
          </w:tcPr>
          <w:p w14:paraId="44D5AC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5454A0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53B02B2" w14:textId="77777777">
        <w:tc>
          <w:tcPr>
            <w:tcW w:w="1668" w:type="dxa"/>
          </w:tcPr>
          <w:p w14:paraId="4B5512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32.42086</w:t>
            </w:r>
          </w:p>
        </w:tc>
        <w:tc>
          <w:tcPr>
            <w:tcW w:w="1559" w:type="dxa"/>
          </w:tcPr>
          <w:p w14:paraId="19B564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ECAE1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283A6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64672B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Кирянов</w:t>
            </w:r>
          </w:p>
        </w:tc>
        <w:tc>
          <w:tcPr>
            <w:tcW w:w="1580" w:type="dxa"/>
          </w:tcPr>
          <w:p w14:paraId="64FC5F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24.8.43</w:t>
            </w:r>
          </w:p>
        </w:tc>
        <w:tc>
          <w:tcPr>
            <w:tcW w:w="1539" w:type="dxa"/>
          </w:tcPr>
          <w:p w14:paraId="40D6A3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9D5D71C" w14:textId="77777777">
        <w:tc>
          <w:tcPr>
            <w:tcW w:w="1668" w:type="dxa"/>
          </w:tcPr>
          <w:p w14:paraId="43E324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33. 42096</w:t>
            </w:r>
          </w:p>
        </w:tc>
        <w:tc>
          <w:tcPr>
            <w:tcW w:w="1559" w:type="dxa"/>
          </w:tcPr>
          <w:p w14:paraId="7C0116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0CE8F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1F70BA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1.11.41</w:t>
            </w:r>
          </w:p>
        </w:tc>
        <w:tc>
          <w:tcPr>
            <w:tcW w:w="1701" w:type="dxa"/>
          </w:tcPr>
          <w:p w14:paraId="42B9C9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Бидный+</w:t>
            </w:r>
          </w:p>
        </w:tc>
        <w:tc>
          <w:tcPr>
            <w:tcW w:w="1580" w:type="dxa"/>
          </w:tcPr>
          <w:p w14:paraId="6C7899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22.8.42</w:t>
            </w:r>
          </w:p>
        </w:tc>
        <w:tc>
          <w:tcPr>
            <w:tcW w:w="1539" w:type="dxa"/>
          </w:tcPr>
          <w:p w14:paraId="69973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0A31234B" w14:textId="77777777">
        <w:tc>
          <w:tcPr>
            <w:tcW w:w="1668" w:type="dxa"/>
          </w:tcPr>
          <w:p w14:paraId="4BAA43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34.420106</w:t>
            </w:r>
          </w:p>
        </w:tc>
        <w:tc>
          <w:tcPr>
            <w:tcW w:w="1559" w:type="dxa"/>
          </w:tcPr>
          <w:p w14:paraId="5DE8DE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9B629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М-30/АМ-35А</w:t>
            </w:r>
          </w:p>
        </w:tc>
        <w:tc>
          <w:tcPr>
            <w:tcW w:w="1559" w:type="dxa"/>
          </w:tcPr>
          <w:p w14:paraId="6C6E1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55EF35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Видный</w:t>
            </w:r>
          </w:p>
        </w:tc>
        <w:tc>
          <w:tcPr>
            <w:tcW w:w="1580" w:type="dxa"/>
          </w:tcPr>
          <w:p w14:paraId="54F754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21.7.42</w:t>
            </w:r>
          </w:p>
        </w:tc>
        <w:tc>
          <w:tcPr>
            <w:tcW w:w="1539" w:type="dxa"/>
          </w:tcPr>
          <w:p w14:paraId="2F7081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EE06C46" w14:textId="77777777">
        <w:tc>
          <w:tcPr>
            <w:tcW w:w="1668" w:type="dxa"/>
          </w:tcPr>
          <w:p w14:paraId="1A23A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35. 42017</w:t>
            </w:r>
          </w:p>
        </w:tc>
        <w:tc>
          <w:tcPr>
            <w:tcW w:w="1559" w:type="dxa"/>
          </w:tcPr>
          <w:p w14:paraId="656790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10E6F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31CD23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5D187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Егоров+</w:t>
            </w:r>
          </w:p>
        </w:tc>
        <w:tc>
          <w:tcPr>
            <w:tcW w:w="1580" w:type="dxa"/>
          </w:tcPr>
          <w:p w14:paraId="7241DA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3.5.42</w:t>
            </w:r>
          </w:p>
        </w:tc>
        <w:tc>
          <w:tcPr>
            <w:tcW w:w="1539" w:type="dxa"/>
          </w:tcPr>
          <w:p w14:paraId="635780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м,к</w:t>
            </w:r>
          </w:p>
        </w:tc>
      </w:tr>
      <w:tr w:rsidR="00561F31" w:rsidRPr="00F90EAE" w14:paraId="39E6A1CC" w14:textId="77777777">
        <w:tc>
          <w:tcPr>
            <w:tcW w:w="1668" w:type="dxa"/>
          </w:tcPr>
          <w:p w14:paraId="72A67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36.42027</w:t>
            </w:r>
          </w:p>
        </w:tc>
        <w:tc>
          <w:tcPr>
            <w:tcW w:w="1559" w:type="dxa"/>
          </w:tcPr>
          <w:p w14:paraId="77FFD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к/-</w:t>
            </w:r>
          </w:p>
        </w:tc>
        <w:tc>
          <w:tcPr>
            <w:tcW w:w="1559" w:type="dxa"/>
          </w:tcPr>
          <w:p w14:paraId="2CEEF6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6725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4B5BFF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Масалев</w:t>
            </w:r>
          </w:p>
        </w:tc>
        <w:tc>
          <w:tcPr>
            <w:tcW w:w="1580" w:type="dxa"/>
          </w:tcPr>
          <w:p w14:paraId="235BF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4.9.42</w:t>
            </w:r>
          </w:p>
        </w:tc>
        <w:tc>
          <w:tcPr>
            <w:tcW w:w="1539" w:type="dxa"/>
          </w:tcPr>
          <w:p w14:paraId="1ACCB2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т,к</w:t>
            </w:r>
          </w:p>
        </w:tc>
      </w:tr>
      <w:tr w:rsidR="00561F31" w:rsidRPr="00F90EAE" w14:paraId="6E5B6FAB" w14:textId="77777777">
        <w:tc>
          <w:tcPr>
            <w:tcW w:w="1668" w:type="dxa"/>
          </w:tcPr>
          <w:p w14:paraId="5FD9D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37. 42037</w:t>
            </w:r>
          </w:p>
        </w:tc>
        <w:tc>
          <w:tcPr>
            <w:tcW w:w="1559" w:type="dxa"/>
          </w:tcPr>
          <w:p w14:paraId="42E205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w:t>
            </w:r>
          </w:p>
        </w:tc>
        <w:tc>
          <w:tcPr>
            <w:tcW w:w="1559" w:type="dxa"/>
          </w:tcPr>
          <w:p w14:paraId="73F7B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01807B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91B5D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Сукоркин, Родных</w:t>
            </w:r>
          </w:p>
        </w:tc>
        <w:tc>
          <w:tcPr>
            <w:tcW w:w="1580" w:type="dxa"/>
          </w:tcPr>
          <w:p w14:paraId="69E241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13.5.43</w:t>
            </w:r>
          </w:p>
        </w:tc>
        <w:tc>
          <w:tcPr>
            <w:tcW w:w="1539" w:type="dxa"/>
          </w:tcPr>
          <w:p w14:paraId="27E74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08E48EAE" w14:textId="77777777">
        <w:tc>
          <w:tcPr>
            <w:tcW w:w="1668" w:type="dxa"/>
          </w:tcPr>
          <w:p w14:paraId="44D7F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38. 42047</w:t>
            </w:r>
          </w:p>
        </w:tc>
        <w:tc>
          <w:tcPr>
            <w:tcW w:w="1559" w:type="dxa"/>
          </w:tcPr>
          <w:p w14:paraId="2B28A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опытный</w:t>
            </w:r>
          </w:p>
        </w:tc>
        <w:tc>
          <w:tcPr>
            <w:tcW w:w="1559" w:type="dxa"/>
          </w:tcPr>
          <w:p w14:paraId="52B2AA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М-82</w:t>
            </w:r>
          </w:p>
        </w:tc>
        <w:tc>
          <w:tcPr>
            <w:tcW w:w="1559" w:type="dxa"/>
          </w:tcPr>
          <w:p w14:paraId="2B3ACF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A3E7C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80" w:type="dxa"/>
          </w:tcPr>
          <w:p w14:paraId="1A442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4335FA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67EC9B0" w14:textId="77777777">
        <w:tc>
          <w:tcPr>
            <w:tcW w:w="1668" w:type="dxa"/>
          </w:tcPr>
          <w:p w14:paraId="43425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39. 42057</w:t>
            </w:r>
          </w:p>
        </w:tc>
        <w:tc>
          <w:tcPr>
            <w:tcW w:w="1559" w:type="dxa"/>
          </w:tcPr>
          <w:p w14:paraId="646078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2к/6к (3.43)</w:t>
            </w:r>
          </w:p>
        </w:tc>
        <w:tc>
          <w:tcPr>
            <w:tcW w:w="1559" w:type="dxa"/>
          </w:tcPr>
          <w:p w14:paraId="63F438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2B2B6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A8F48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Додонов, Ищенко</w:t>
            </w:r>
          </w:p>
        </w:tc>
        <w:tc>
          <w:tcPr>
            <w:tcW w:w="1580" w:type="dxa"/>
          </w:tcPr>
          <w:p w14:paraId="25DDBB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465FDB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55E9B0B" w14:textId="77777777">
        <w:tc>
          <w:tcPr>
            <w:tcW w:w="1668" w:type="dxa"/>
          </w:tcPr>
          <w:p w14:paraId="290C5C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40.42067</w:t>
            </w:r>
          </w:p>
        </w:tc>
        <w:tc>
          <w:tcPr>
            <w:tcW w:w="1559" w:type="dxa"/>
          </w:tcPr>
          <w:p w14:paraId="5A51D6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7к/-</w:t>
            </w:r>
          </w:p>
        </w:tc>
        <w:tc>
          <w:tcPr>
            <w:tcW w:w="1559" w:type="dxa"/>
          </w:tcPr>
          <w:p w14:paraId="108FA0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71048E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22.5.42</w:t>
            </w:r>
          </w:p>
        </w:tc>
        <w:tc>
          <w:tcPr>
            <w:tcW w:w="1701" w:type="dxa"/>
          </w:tcPr>
          <w:p w14:paraId="56E6FB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Обухов</w:t>
            </w:r>
          </w:p>
        </w:tc>
        <w:tc>
          <w:tcPr>
            <w:tcW w:w="1580" w:type="dxa"/>
          </w:tcPr>
          <w:p w14:paraId="763D04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1DEAD7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ED123B3" w14:textId="77777777">
        <w:tc>
          <w:tcPr>
            <w:tcW w:w="1668" w:type="dxa"/>
          </w:tcPr>
          <w:p w14:paraId="296EDC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41.42077</w:t>
            </w:r>
          </w:p>
        </w:tc>
        <w:tc>
          <w:tcPr>
            <w:tcW w:w="1559" w:type="dxa"/>
          </w:tcPr>
          <w:p w14:paraId="1D044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10к/-</w:t>
            </w:r>
          </w:p>
        </w:tc>
        <w:tc>
          <w:tcPr>
            <w:tcW w:w="1559" w:type="dxa"/>
          </w:tcPr>
          <w:p w14:paraId="476EFB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07AC8A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139DC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Чурилин, Сумцов</w:t>
            </w:r>
          </w:p>
        </w:tc>
        <w:tc>
          <w:tcPr>
            <w:tcW w:w="1580" w:type="dxa"/>
          </w:tcPr>
          <w:p w14:paraId="23CB61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22.10.43</w:t>
            </w:r>
          </w:p>
        </w:tc>
        <w:tc>
          <w:tcPr>
            <w:tcW w:w="1539" w:type="dxa"/>
          </w:tcPr>
          <w:p w14:paraId="4C6376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8D1E4EB" w14:textId="77777777">
        <w:tc>
          <w:tcPr>
            <w:tcW w:w="1668" w:type="dxa"/>
          </w:tcPr>
          <w:p w14:paraId="585353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42.42087</w:t>
            </w:r>
          </w:p>
        </w:tc>
        <w:tc>
          <w:tcPr>
            <w:tcW w:w="1559" w:type="dxa"/>
          </w:tcPr>
          <w:p w14:paraId="0FA44A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с/-</w:t>
            </w:r>
          </w:p>
        </w:tc>
        <w:tc>
          <w:tcPr>
            <w:tcW w:w="1559" w:type="dxa"/>
          </w:tcPr>
          <w:p w14:paraId="2CC7C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07BB2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0F9DE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Шамрай, Илюхин</w:t>
            </w:r>
          </w:p>
        </w:tc>
        <w:tc>
          <w:tcPr>
            <w:tcW w:w="1580" w:type="dxa"/>
          </w:tcPr>
          <w:p w14:paraId="7CE9A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13.3.43</w:t>
            </w:r>
          </w:p>
        </w:tc>
        <w:tc>
          <w:tcPr>
            <w:tcW w:w="1539" w:type="dxa"/>
          </w:tcPr>
          <w:p w14:paraId="2A354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w:t>
            </w:r>
          </w:p>
        </w:tc>
      </w:tr>
      <w:tr w:rsidR="00561F31" w:rsidRPr="00F90EAE" w14:paraId="385D12C0" w14:textId="77777777">
        <w:tc>
          <w:tcPr>
            <w:tcW w:w="1668" w:type="dxa"/>
          </w:tcPr>
          <w:p w14:paraId="0747E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43.42097</w:t>
            </w:r>
          </w:p>
        </w:tc>
        <w:tc>
          <w:tcPr>
            <w:tcW w:w="1559" w:type="dxa"/>
          </w:tcPr>
          <w:p w14:paraId="6CFD31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9с/4с(7.43)</w:t>
            </w:r>
          </w:p>
        </w:tc>
        <w:tc>
          <w:tcPr>
            <w:tcW w:w="1559" w:type="dxa"/>
          </w:tcPr>
          <w:p w14:paraId="4851C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03532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279AE4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Ермаков</w:t>
            </w:r>
          </w:p>
        </w:tc>
        <w:tc>
          <w:tcPr>
            <w:tcW w:w="1580" w:type="dxa"/>
          </w:tcPr>
          <w:p w14:paraId="7C4F5E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15.9.43</w:t>
            </w:r>
          </w:p>
        </w:tc>
        <w:tc>
          <w:tcPr>
            <w:tcW w:w="1539" w:type="dxa"/>
          </w:tcPr>
          <w:p w14:paraId="0BE3A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0DA291A2" w14:textId="77777777">
        <w:tc>
          <w:tcPr>
            <w:tcW w:w="1668" w:type="dxa"/>
          </w:tcPr>
          <w:p w14:paraId="65A513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44. 42107</w:t>
            </w:r>
          </w:p>
        </w:tc>
        <w:tc>
          <w:tcPr>
            <w:tcW w:w="1559" w:type="dxa"/>
          </w:tcPr>
          <w:p w14:paraId="08E39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4к/-</w:t>
            </w:r>
          </w:p>
        </w:tc>
        <w:tc>
          <w:tcPr>
            <w:tcW w:w="1559" w:type="dxa"/>
          </w:tcPr>
          <w:p w14:paraId="1F2ED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2D0F7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w:t>
            </w:r>
          </w:p>
        </w:tc>
        <w:tc>
          <w:tcPr>
            <w:tcW w:w="1701" w:type="dxa"/>
          </w:tcPr>
          <w:p w14:paraId="05AD27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Зеленский, Ищенко</w:t>
            </w:r>
          </w:p>
        </w:tc>
        <w:tc>
          <w:tcPr>
            <w:tcW w:w="1580" w:type="dxa"/>
          </w:tcPr>
          <w:p w14:paraId="5ECCBA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9.2.43</w:t>
            </w:r>
          </w:p>
        </w:tc>
        <w:tc>
          <w:tcPr>
            <w:tcW w:w="1539" w:type="dxa"/>
          </w:tcPr>
          <w:p w14:paraId="6F1ED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сбит Як-7</w:t>
            </w:r>
          </w:p>
        </w:tc>
      </w:tr>
      <w:tr w:rsidR="00561F31" w:rsidRPr="00F90EAE" w14:paraId="3FC12980" w14:textId="77777777">
        <w:tc>
          <w:tcPr>
            <w:tcW w:w="1668" w:type="dxa"/>
          </w:tcPr>
          <w:p w14:paraId="30B9BA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45. 42018</w:t>
            </w:r>
          </w:p>
        </w:tc>
        <w:tc>
          <w:tcPr>
            <w:tcW w:w="1559" w:type="dxa"/>
          </w:tcPr>
          <w:p w14:paraId="6034F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с/-</w:t>
            </w:r>
          </w:p>
        </w:tc>
        <w:tc>
          <w:tcPr>
            <w:tcW w:w="1559" w:type="dxa"/>
          </w:tcPr>
          <w:p w14:paraId="6A37D5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7B1354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w:t>
            </w:r>
          </w:p>
        </w:tc>
        <w:tc>
          <w:tcPr>
            <w:tcW w:w="1701" w:type="dxa"/>
          </w:tcPr>
          <w:p w14:paraId="2F901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Кубышко</w:t>
            </w:r>
          </w:p>
        </w:tc>
        <w:tc>
          <w:tcPr>
            <w:tcW w:w="1580" w:type="dxa"/>
          </w:tcPr>
          <w:p w14:paraId="457875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30.8.42</w:t>
            </w:r>
          </w:p>
        </w:tc>
        <w:tc>
          <w:tcPr>
            <w:tcW w:w="1539" w:type="dxa"/>
          </w:tcPr>
          <w:p w14:paraId="394FA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w:t>
            </w:r>
          </w:p>
        </w:tc>
      </w:tr>
      <w:tr w:rsidR="00561F31" w:rsidRPr="00F90EAE" w14:paraId="52977942" w14:textId="77777777">
        <w:tc>
          <w:tcPr>
            <w:tcW w:w="1668" w:type="dxa"/>
          </w:tcPr>
          <w:p w14:paraId="7061FC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46.42028</w:t>
            </w:r>
          </w:p>
        </w:tc>
        <w:tc>
          <w:tcPr>
            <w:tcW w:w="1559" w:type="dxa"/>
          </w:tcPr>
          <w:p w14:paraId="7A2839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9к/5к</w:t>
            </w:r>
          </w:p>
        </w:tc>
        <w:tc>
          <w:tcPr>
            <w:tcW w:w="1559" w:type="dxa"/>
          </w:tcPr>
          <w:p w14:paraId="743CEC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056E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w:t>
            </w:r>
          </w:p>
        </w:tc>
        <w:tc>
          <w:tcPr>
            <w:tcW w:w="1701" w:type="dxa"/>
          </w:tcPr>
          <w:p w14:paraId="023AD4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Сугак, Симонов</w:t>
            </w:r>
          </w:p>
        </w:tc>
        <w:tc>
          <w:tcPr>
            <w:tcW w:w="1580" w:type="dxa"/>
          </w:tcPr>
          <w:p w14:paraId="25EBC0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27.7.44</w:t>
            </w:r>
          </w:p>
        </w:tc>
        <w:tc>
          <w:tcPr>
            <w:tcW w:w="1539" w:type="dxa"/>
          </w:tcPr>
          <w:p w14:paraId="603E5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479FED56" w14:textId="77777777">
        <w:tc>
          <w:tcPr>
            <w:tcW w:w="1668" w:type="dxa"/>
          </w:tcPr>
          <w:p w14:paraId="1813C76C"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49D64A08"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3CE2FFE8"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6B802971"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2EC2BC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Хорошилов</w:t>
            </w:r>
          </w:p>
        </w:tc>
        <w:tc>
          <w:tcPr>
            <w:tcW w:w="1580" w:type="dxa"/>
          </w:tcPr>
          <w:p w14:paraId="7FD1DBE9" w14:textId="77777777" w:rsidR="00665165" w:rsidRPr="00F90EAE" w:rsidRDefault="00665165" w:rsidP="00F90EAE">
            <w:pPr>
              <w:autoSpaceDE w:val="0"/>
              <w:autoSpaceDN w:val="0"/>
              <w:adjustRightInd w:val="0"/>
              <w:jc w:val="both"/>
              <w:rPr>
                <w:color w:val="000000" w:themeColor="text1"/>
                <w:sz w:val="16"/>
                <w:szCs w:val="16"/>
              </w:rPr>
            </w:pPr>
          </w:p>
        </w:tc>
        <w:tc>
          <w:tcPr>
            <w:tcW w:w="1539" w:type="dxa"/>
          </w:tcPr>
          <w:p w14:paraId="30EE78E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98C150C" w14:textId="77777777">
        <w:tc>
          <w:tcPr>
            <w:tcW w:w="1668" w:type="dxa"/>
          </w:tcPr>
          <w:p w14:paraId="5D60C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47 42038</w:t>
            </w:r>
          </w:p>
        </w:tc>
        <w:tc>
          <w:tcPr>
            <w:tcW w:w="1559" w:type="dxa"/>
          </w:tcPr>
          <w:p w14:paraId="658EE5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11к/-</w:t>
            </w:r>
          </w:p>
        </w:tc>
        <w:tc>
          <w:tcPr>
            <w:tcW w:w="1559" w:type="dxa"/>
          </w:tcPr>
          <w:p w14:paraId="3619C8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М-ЗОБ</w:t>
            </w:r>
          </w:p>
        </w:tc>
        <w:tc>
          <w:tcPr>
            <w:tcW w:w="1559" w:type="dxa"/>
          </w:tcPr>
          <w:p w14:paraId="162C67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w:t>
            </w:r>
          </w:p>
        </w:tc>
        <w:tc>
          <w:tcPr>
            <w:tcW w:w="1701" w:type="dxa"/>
          </w:tcPr>
          <w:p w14:paraId="40990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Лисачев</w:t>
            </w:r>
          </w:p>
        </w:tc>
        <w:tc>
          <w:tcPr>
            <w:tcW w:w="1580" w:type="dxa"/>
          </w:tcPr>
          <w:p w14:paraId="48F7D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39" w:type="dxa"/>
          </w:tcPr>
          <w:p w14:paraId="67AD2C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C6E6056" w14:textId="77777777">
        <w:tc>
          <w:tcPr>
            <w:tcW w:w="1668" w:type="dxa"/>
          </w:tcPr>
          <w:p w14:paraId="0E1053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48.42048</w:t>
            </w:r>
          </w:p>
        </w:tc>
        <w:tc>
          <w:tcPr>
            <w:tcW w:w="1559" w:type="dxa"/>
          </w:tcPr>
          <w:p w14:paraId="23684B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-/10с(16.4.43)</w:t>
            </w:r>
          </w:p>
        </w:tc>
        <w:tc>
          <w:tcPr>
            <w:tcW w:w="1559" w:type="dxa"/>
          </w:tcPr>
          <w:p w14:paraId="732EEE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A7C9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18.8.42</w:t>
            </w:r>
          </w:p>
        </w:tc>
        <w:tc>
          <w:tcPr>
            <w:tcW w:w="1701" w:type="dxa"/>
          </w:tcPr>
          <w:p w14:paraId="49A913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Сушин, Пусэп</w:t>
            </w:r>
          </w:p>
        </w:tc>
        <w:tc>
          <w:tcPr>
            <w:tcW w:w="1580" w:type="dxa"/>
          </w:tcPr>
          <w:p w14:paraId="765B8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10.6.43</w:t>
            </w:r>
          </w:p>
        </w:tc>
        <w:tc>
          <w:tcPr>
            <w:tcW w:w="1539" w:type="dxa"/>
          </w:tcPr>
          <w:p w14:paraId="305EB5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166D39B9" w14:textId="77777777">
        <w:tc>
          <w:tcPr>
            <w:tcW w:w="1668" w:type="dxa"/>
          </w:tcPr>
          <w:p w14:paraId="71728C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49. 42058</w:t>
            </w:r>
          </w:p>
        </w:tc>
        <w:tc>
          <w:tcPr>
            <w:tcW w:w="1559" w:type="dxa"/>
          </w:tcPr>
          <w:p w14:paraId="52913C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14к/-</w:t>
            </w:r>
          </w:p>
        </w:tc>
        <w:tc>
          <w:tcPr>
            <w:tcW w:w="1559" w:type="dxa"/>
          </w:tcPr>
          <w:p w14:paraId="28C5A1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0C49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31.1.43</w:t>
            </w:r>
          </w:p>
        </w:tc>
        <w:tc>
          <w:tcPr>
            <w:tcW w:w="1701" w:type="dxa"/>
          </w:tcPr>
          <w:p w14:paraId="5129D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Пономаренко, Водопьянов</w:t>
            </w:r>
          </w:p>
        </w:tc>
        <w:tc>
          <w:tcPr>
            <w:tcW w:w="1580" w:type="dxa"/>
          </w:tcPr>
          <w:p w14:paraId="4DB666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20.7.43</w:t>
            </w:r>
          </w:p>
        </w:tc>
        <w:tc>
          <w:tcPr>
            <w:tcW w:w="1539" w:type="dxa"/>
          </w:tcPr>
          <w:p w14:paraId="69986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1EEBA3E5" w14:textId="77777777">
        <w:tc>
          <w:tcPr>
            <w:tcW w:w="1668" w:type="dxa"/>
          </w:tcPr>
          <w:p w14:paraId="774C3C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50. 42068</w:t>
            </w:r>
          </w:p>
        </w:tc>
        <w:tc>
          <w:tcPr>
            <w:tcW w:w="1559" w:type="dxa"/>
          </w:tcPr>
          <w:p w14:paraId="42BFD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50F1B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3F8E2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4B24E8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Пахомчик</w:t>
            </w:r>
          </w:p>
        </w:tc>
        <w:tc>
          <w:tcPr>
            <w:tcW w:w="1580" w:type="dxa"/>
          </w:tcPr>
          <w:p w14:paraId="61EC5E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1.12.42</w:t>
            </w:r>
          </w:p>
        </w:tc>
        <w:tc>
          <w:tcPr>
            <w:tcW w:w="1539" w:type="dxa"/>
          </w:tcPr>
          <w:p w14:paraId="43FB68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010EAA4F" w14:textId="77777777">
        <w:tc>
          <w:tcPr>
            <w:tcW w:w="1668" w:type="dxa"/>
          </w:tcPr>
          <w:p w14:paraId="50FB43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51.42078</w:t>
            </w:r>
          </w:p>
        </w:tc>
        <w:tc>
          <w:tcPr>
            <w:tcW w:w="1559" w:type="dxa"/>
          </w:tcPr>
          <w:p w14:paraId="524694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6с/-</w:t>
            </w:r>
          </w:p>
        </w:tc>
        <w:tc>
          <w:tcPr>
            <w:tcW w:w="1559" w:type="dxa"/>
          </w:tcPr>
          <w:p w14:paraId="78AD2E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26DAB1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6.11.42</w:t>
            </w:r>
          </w:p>
        </w:tc>
        <w:tc>
          <w:tcPr>
            <w:tcW w:w="1701" w:type="dxa"/>
          </w:tcPr>
          <w:p w14:paraId="2EE444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Олейников, Марусиченю</w:t>
            </w:r>
          </w:p>
        </w:tc>
        <w:tc>
          <w:tcPr>
            <w:tcW w:w="1580" w:type="dxa"/>
          </w:tcPr>
          <w:p w14:paraId="062922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4.5.44</w:t>
            </w:r>
          </w:p>
        </w:tc>
        <w:tc>
          <w:tcPr>
            <w:tcW w:w="1539" w:type="dxa"/>
          </w:tcPr>
          <w:p w14:paraId="732C2E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2A43D1F2" w14:textId="77777777">
        <w:tc>
          <w:tcPr>
            <w:tcW w:w="1668" w:type="dxa"/>
          </w:tcPr>
          <w:p w14:paraId="2AA83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52. 42088</w:t>
            </w:r>
          </w:p>
        </w:tc>
        <w:tc>
          <w:tcPr>
            <w:tcW w:w="1559" w:type="dxa"/>
          </w:tcPr>
          <w:p w14:paraId="12C1CB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4к/-</w:t>
            </w:r>
          </w:p>
        </w:tc>
        <w:tc>
          <w:tcPr>
            <w:tcW w:w="1559" w:type="dxa"/>
          </w:tcPr>
          <w:p w14:paraId="2FABB3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690DAB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1.12.42</w:t>
            </w:r>
          </w:p>
        </w:tc>
        <w:tc>
          <w:tcPr>
            <w:tcW w:w="1701" w:type="dxa"/>
          </w:tcPr>
          <w:p w14:paraId="4C6BD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Перегудов, Сугак</w:t>
            </w:r>
          </w:p>
        </w:tc>
        <w:tc>
          <w:tcPr>
            <w:tcW w:w="1580" w:type="dxa"/>
          </w:tcPr>
          <w:p w14:paraId="5F7BD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28.7.44</w:t>
            </w:r>
          </w:p>
        </w:tc>
        <w:tc>
          <w:tcPr>
            <w:tcW w:w="1539" w:type="dxa"/>
          </w:tcPr>
          <w:p w14:paraId="2D3376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182FBF35" w14:textId="77777777">
        <w:tc>
          <w:tcPr>
            <w:tcW w:w="1668" w:type="dxa"/>
          </w:tcPr>
          <w:p w14:paraId="06D9FD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53. 42098</w:t>
            </w:r>
          </w:p>
        </w:tc>
        <w:tc>
          <w:tcPr>
            <w:tcW w:w="1559" w:type="dxa"/>
          </w:tcPr>
          <w:p w14:paraId="73ECF6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3с(3.43)/-</w:t>
            </w:r>
          </w:p>
        </w:tc>
        <w:tc>
          <w:tcPr>
            <w:tcW w:w="1559" w:type="dxa"/>
          </w:tcPr>
          <w:p w14:paraId="64A75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Pr>
          <w:p w14:paraId="02A356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4F3CE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Сушин, Кокорев</w:t>
            </w:r>
          </w:p>
        </w:tc>
        <w:tc>
          <w:tcPr>
            <w:tcW w:w="1580" w:type="dxa"/>
          </w:tcPr>
          <w:p w14:paraId="6EDD1B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30.3.44</w:t>
            </w:r>
          </w:p>
        </w:tc>
        <w:tc>
          <w:tcPr>
            <w:tcW w:w="1539" w:type="dxa"/>
          </w:tcPr>
          <w:p w14:paraId="337B31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0897DBE3" w14:textId="77777777">
        <w:tc>
          <w:tcPr>
            <w:tcW w:w="1668" w:type="dxa"/>
            <w:tcBorders>
              <w:bottom w:val="single" w:sz="12" w:space="0" w:color="auto"/>
            </w:tcBorders>
          </w:tcPr>
          <w:p w14:paraId="7AC719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54. 420108</w:t>
            </w:r>
          </w:p>
        </w:tc>
        <w:tc>
          <w:tcPr>
            <w:tcW w:w="1559" w:type="dxa"/>
            <w:tcBorders>
              <w:bottom w:val="single" w:sz="12" w:space="0" w:color="auto"/>
            </w:tcBorders>
          </w:tcPr>
          <w:p w14:paraId="433523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8с/-</w:t>
            </w:r>
          </w:p>
        </w:tc>
        <w:tc>
          <w:tcPr>
            <w:tcW w:w="1559" w:type="dxa"/>
            <w:tcBorders>
              <w:bottom w:val="single" w:sz="12" w:space="0" w:color="auto"/>
            </w:tcBorders>
          </w:tcPr>
          <w:p w14:paraId="689D5D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Borders>
              <w:bottom w:val="single" w:sz="12" w:space="0" w:color="auto"/>
            </w:tcBorders>
          </w:tcPr>
          <w:p w14:paraId="7815DA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Borders>
              <w:bottom w:val="single" w:sz="12" w:space="0" w:color="auto"/>
            </w:tcBorders>
          </w:tcPr>
          <w:p w14:paraId="797F05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Дьяченко</w:t>
            </w:r>
          </w:p>
        </w:tc>
        <w:tc>
          <w:tcPr>
            <w:tcW w:w="1580" w:type="dxa"/>
            <w:tcBorders>
              <w:bottom w:val="single" w:sz="12" w:space="0" w:color="auto"/>
            </w:tcBorders>
          </w:tcPr>
          <w:p w14:paraId="18F6BD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5.4.43</w:t>
            </w:r>
          </w:p>
        </w:tc>
        <w:tc>
          <w:tcPr>
            <w:tcW w:w="1539" w:type="dxa"/>
            <w:tcBorders>
              <w:bottom w:val="single" w:sz="12" w:space="0" w:color="auto"/>
            </w:tcBorders>
          </w:tcPr>
          <w:p w14:paraId="4CDE56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bl>
    <w:p w14:paraId="44DB388E" w14:textId="77777777" w:rsidR="00665165" w:rsidRPr="00F90EAE" w:rsidRDefault="00665165" w:rsidP="00F90EAE">
      <w:pPr>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1559"/>
        <w:gridCol w:w="1559"/>
        <w:gridCol w:w="1559"/>
        <w:gridCol w:w="1701"/>
        <w:gridCol w:w="1560"/>
        <w:gridCol w:w="1559"/>
      </w:tblGrid>
      <w:tr w:rsidR="00561F31" w:rsidRPr="00F90EAE" w14:paraId="52EA60CF" w14:textId="77777777">
        <w:tc>
          <w:tcPr>
            <w:tcW w:w="1668" w:type="dxa"/>
            <w:tcBorders>
              <w:top w:val="single" w:sz="12" w:space="0" w:color="auto"/>
            </w:tcBorders>
          </w:tcPr>
          <w:p w14:paraId="291576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55. 42019</w:t>
            </w:r>
          </w:p>
        </w:tc>
        <w:tc>
          <w:tcPr>
            <w:tcW w:w="1559" w:type="dxa"/>
            <w:tcBorders>
              <w:top w:val="single" w:sz="12" w:space="0" w:color="auto"/>
            </w:tcBorders>
          </w:tcPr>
          <w:p w14:paraId="375EC2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9с/11(5.43)</w:t>
            </w:r>
          </w:p>
        </w:tc>
        <w:tc>
          <w:tcPr>
            <w:tcW w:w="1559" w:type="dxa"/>
            <w:tcBorders>
              <w:top w:val="single" w:sz="12" w:space="0" w:color="auto"/>
            </w:tcBorders>
          </w:tcPr>
          <w:p w14:paraId="4948BF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АМ-35А</w:t>
            </w:r>
          </w:p>
        </w:tc>
        <w:tc>
          <w:tcPr>
            <w:tcW w:w="1559" w:type="dxa"/>
            <w:tcBorders>
              <w:top w:val="single" w:sz="12" w:space="0" w:color="auto"/>
            </w:tcBorders>
          </w:tcPr>
          <w:p w14:paraId="06E2A9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Borders>
              <w:top w:val="single" w:sz="12" w:space="0" w:color="auto"/>
            </w:tcBorders>
          </w:tcPr>
          <w:p w14:paraId="409170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Канарский, Немков</w:t>
            </w:r>
          </w:p>
        </w:tc>
        <w:tc>
          <w:tcPr>
            <w:tcW w:w="1560" w:type="dxa"/>
            <w:tcBorders>
              <w:top w:val="single" w:sz="12" w:space="0" w:color="auto"/>
            </w:tcBorders>
          </w:tcPr>
          <w:p w14:paraId="2685A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23.7.43</w:t>
            </w:r>
          </w:p>
        </w:tc>
        <w:tc>
          <w:tcPr>
            <w:tcW w:w="1559" w:type="dxa"/>
            <w:tcBorders>
              <w:top w:val="single" w:sz="12" w:space="0" w:color="auto"/>
            </w:tcBorders>
          </w:tcPr>
          <w:p w14:paraId="708FAC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4FAEDC61" w14:textId="77777777">
        <w:tc>
          <w:tcPr>
            <w:tcW w:w="1668" w:type="dxa"/>
          </w:tcPr>
          <w:p w14:paraId="0490B527"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3E824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/10с(7.43)</w:t>
            </w:r>
          </w:p>
        </w:tc>
        <w:tc>
          <w:tcPr>
            <w:tcW w:w="1559" w:type="dxa"/>
          </w:tcPr>
          <w:p w14:paraId="26AC5429"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3C256C08"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02AE3F29" w14:textId="77777777" w:rsidR="00665165" w:rsidRPr="00F90EAE" w:rsidRDefault="00665165" w:rsidP="00F90EAE">
            <w:pPr>
              <w:autoSpaceDE w:val="0"/>
              <w:autoSpaceDN w:val="0"/>
              <w:adjustRightInd w:val="0"/>
              <w:jc w:val="both"/>
              <w:rPr>
                <w:color w:val="000000" w:themeColor="text1"/>
                <w:sz w:val="16"/>
                <w:szCs w:val="16"/>
              </w:rPr>
            </w:pPr>
          </w:p>
        </w:tc>
        <w:tc>
          <w:tcPr>
            <w:tcW w:w="1560" w:type="dxa"/>
          </w:tcPr>
          <w:p w14:paraId="71B9A99C"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7AACBBD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2E4727C" w14:textId="77777777">
        <w:tc>
          <w:tcPr>
            <w:tcW w:w="1668" w:type="dxa"/>
          </w:tcPr>
          <w:p w14:paraId="024954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56. 42029</w:t>
            </w:r>
          </w:p>
        </w:tc>
        <w:tc>
          <w:tcPr>
            <w:tcW w:w="1559" w:type="dxa"/>
          </w:tcPr>
          <w:p w14:paraId="5245FA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-/13к(5.43)</w:t>
            </w:r>
          </w:p>
        </w:tc>
        <w:tc>
          <w:tcPr>
            <w:tcW w:w="1559" w:type="dxa"/>
          </w:tcPr>
          <w:p w14:paraId="6198D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М-ЗОБ</w:t>
            </w:r>
          </w:p>
        </w:tc>
        <w:tc>
          <w:tcPr>
            <w:tcW w:w="1559" w:type="dxa"/>
          </w:tcPr>
          <w:p w14:paraId="3F874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w:t>
            </w:r>
          </w:p>
        </w:tc>
        <w:tc>
          <w:tcPr>
            <w:tcW w:w="1701" w:type="dxa"/>
          </w:tcPr>
          <w:p w14:paraId="44B15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Лисачев, Перегудов</w:t>
            </w:r>
          </w:p>
        </w:tc>
        <w:tc>
          <w:tcPr>
            <w:tcW w:w="1560" w:type="dxa"/>
          </w:tcPr>
          <w:p w14:paraId="61B1B3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94D3B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62F4EEB" w14:textId="77777777">
        <w:tc>
          <w:tcPr>
            <w:tcW w:w="1668" w:type="dxa"/>
          </w:tcPr>
          <w:p w14:paraId="3108D4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57. 42039</w:t>
            </w:r>
          </w:p>
        </w:tc>
        <w:tc>
          <w:tcPr>
            <w:tcW w:w="1559" w:type="dxa"/>
          </w:tcPr>
          <w:p w14:paraId="3ADFD4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12к</w:t>
            </w:r>
          </w:p>
        </w:tc>
        <w:tc>
          <w:tcPr>
            <w:tcW w:w="1559" w:type="dxa"/>
          </w:tcPr>
          <w:p w14:paraId="37F5E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М-ЗОБ</w:t>
            </w:r>
          </w:p>
        </w:tc>
        <w:tc>
          <w:tcPr>
            <w:tcW w:w="1559" w:type="dxa"/>
          </w:tcPr>
          <w:p w14:paraId="70638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19.4.43</w:t>
            </w:r>
          </w:p>
        </w:tc>
        <w:tc>
          <w:tcPr>
            <w:tcW w:w="1701" w:type="dxa"/>
          </w:tcPr>
          <w:p w14:paraId="3504F5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Сумцов,</w:t>
            </w:r>
          </w:p>
        </w:tc>
        <w:tc>
          <w:tcPr>
            <w:tcW w:w="1560" w:type="dxa"/>
          </w:tcPr>
          <w:p w14:paraId="1A57DC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26.12.45</w:t>
            </w:r>
          </w:p>
        </w:tc>
        <w:tc>
          <w:tcPr>
            <w:tcW w:w="1559" w:type="dxa"/>
          </w:tcPr>
          <w:p w14:paraId="37A37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списан</w:t>
            </w:r>
          </w:p>
        </w:tc>
      </w:tr>
      <w:tr w:rsidR="00561F31" w:rsidRPr="00F90EAE" w14:paraId="6B9C4599" w14:textId="77777777">
        <w:tc>
          <w:tcPr>
            <w:tcW w:w="1668" w:type="dxa"/>
          </w:tcPr>
          <w:p w14:paraId="2FF355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58. 42049</w:t>
            </w:r>
          </w:p>
        </w:tc>
        <w:tc>
          <w:tcPr>
            <w:tcW w:w="1559" w:type="dxa"/>
          </w:tcPr>
          <w:p w14:paraId="253352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15к/</w:t>
            </w:r>
          </w:p>
        </w:tc>
        <w:tc>
          <w:tcPr>
            <w:tcW w:w="1559" w:type="dxa"/>
          </w:tcPr>
          <w:p w14:paraId="3CE3E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0E361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6.4.43</w:t>
            </w:r>
          </w:p>
        </w:tc>
        <w:tc>
          <w:tcPr>
            <w:tcW w:w="1701" w:type="dxa"/>
          </w:tcPr>
          <w:p w14:paraId="4B2FF5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Зеленский, Угрюмов</w:t>
            </w:r>
          </w:p>
        </w:tc>
        <w:tc>
          <w:tcPr>
            <w:tcW w:w="1560" w:type="dxa"/>
          </w:tcPr>
          <w:p w14:paraId="09EBCA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20.7.43</w:t>
            </w:r>
          </w:p>
        </w:tc>
        <w:tc>
          <w:tcPr>
            <w:tcW w:w="1559" w:type="dxa"/>
          </w:tcPr>
          <w:p w14:paraId="35C898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77CF6558" w14:textId="77777777">
        <w:tc>
          <w:tcPr>
            <w:tcW w:w="1668" w:type="dxa"/>
          </w:tcPr>
          <w:p w14:paraId="6526E2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59. 42059</w:t>
            </w:r>
          </w:p>
        </w:tc>
        <w:tc>
          <w:tcPr>
            <w:tcW w:w="1559" w:type="dxa"/>
          </w:tcPr>
          <w:p w14:paraId="1FBC48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1к(6.43)</w:t>
            </w:r>
          </w:p>
        </w:tc>
        <w:tc>
          <w:tcPr>
            <w:tcW w:w="1559" w:type="dxa"/>
          </w:tcPr>
          <w:p w14:paraId="152B91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37C3F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27.4.43</w:t>
            </w:r>
          </w:p>
        </w:tc>
        <w:tc>
          <w:tcPr>
            <w:tcW w:w="1701" w:type="dxa"/>
          </w:tcPr>
          <w:p w14:paraId="10AAF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Шатров</w:t>
            </w:r>
          </w:p>
        </w:tc>
        <w:tc>
          <w:tcPr>
            <w:tcW w:w="1560" w:type="dxa"/>
          </w:tcPr>
          <w:p w14:paraId="0A315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206BE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F84C478" w14:textId="77777777">
        <w:tc>
          <w:tcPr>
            <w:tcW w:w="1668" w:type="dxa"/>
          </w:tcPr>
          <w:p w14:paraId="6A6FCC44"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5DFC2A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-/2к(8.44)</w:t>
            </w:r>
          </w:p>
        </w:tc>
        <w:tc>
          <w:tcPr>
            <w:tcW w:w="1559" w:type="dxa"/>
          </w:tcPr>
          <w:p w14:paraId="2E006CED"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615F98E3" w14:textId="77777777" w:rsidR="00665165" w:rsidRPr="00F90EAE" w:rsidRDefault="00665165" w:rsidP="00F90EAE">
            <w:pPr>
              <w:autoSpaceDE w:val="0"/>
              <w:autoSpaceDN w:val="0"/>
              <w:adjustRightInd w:val="0"/>
              <w:jc w:val="both"/>
              <w:rPr>
                <w:color w:val="000000" w:themeColor="text1"/>
                <w:sz w:val="16"/>
                <w:szCs w:val="16"/>
              </w:rPr>
            </w:pPr>
          </w:p>
        </w:tc>
        <w:tc>
          <w:tcPr>
            <w:tcW w:w="1701" w:type="dxa"/>
          </w:tcPr>
          <w:p w14:paraId="2B791FAC" w14:textId="77777777" w:rsidR="00665165" w:rsidRPr="00F90EAE" w:rsidRDefault="00665165" w:rsidP="00F90EAE">
            <w:pPr>
              <w:autoSpaceDE w:val="0"/>
              <w:autoSpaceDN w:val="0"/>
              <w:adjustRightInd w:val="0"/>
              <w:jc w:val="both"/>
              <w:rPr>
                <w:color w:val="000000" w:themeColor="text1"/>
                <w:sz w:val="16"/>
                <w:szCs w:val="16"/>
              </w:rPr>
            </w:pPr>
          </w:p>
        </w:tc>
        <w:tc>
          <w:tcPr>
            <w:tcW w:w="1560" w:type="dxa"/>
          </w:tcPr>
          <w:p w14:paraId="60C0CFD7"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5FF25A7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1A9EB49" w14:textId="77777777">
        <w:tc>
          <w:tcPr>
            <w:tcW w:w="1668" w:type="dxa"/>
          </w:tcPr>
          <w:p w14:paraId="53720F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60. 42069</w:t>
            </w:r>
          </w:p>
        </w:tc>
        <w:tc>
          <w:tcPr>
            <w:tcW w:w="1559" w:type="dxa"/>
          </w:tcPr>
          <w:p w14:paraId="59C98E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-/12с</w:t>
            </w:r>
          </w:p>
        </w:tc>
        <w:tc>
          <w:tcPr>
            <w:tcW w:w="1559" w:type="dxa"/>
          </w:tcPr>
          <w:p w14:paraId="246D6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146883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25.4.43</w:t>
            </w:r>
          </w:p>
        </w:tc>
        <w:tc>
          <w:tcPr>
            <w:tcW w:w="1701" w:type="dxa"/>
          </w:tcPr>
          <w:p w14:paraId="087DD0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Модестов, Сушин</w:t>
            </w:r>
          </w:p>
        </w:tc>
        <w:tc>
          <w:tcPr>
            <w:tcW w:w="1560" w:type="dxa"/>
          </w:tcPr>
          <w:p w14:paraId="5DA960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15.7.43</w:t>
            </w:r>
          </w:p>
        </w:tc>
        <w:tc>
          <w:tcPr>
            <w:tcW w:w="1559" w:type="dxa"/>
          </w:tcPr>
          <w:p w14:paraId="45DBF0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30751419" w14:textId="77777777">
        <w:tc>
          <w:tcPr>
            <w:tcW w:w="1668" w:type="dxa"/>
          </w:tcPr>
          <w:p w14:paraId="0EB41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61.42079</w:t>
            </w:r>
          </w:p>
        </w:tc>
        <w:tc>
          <w:tcPr>
            <w:tcW w:w="1559" w:type="dxa"/>
          </w:tcPr>
          <w:p w14:paraId="2CF78A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13с/-</w:t>
            </w:r>
          </w:p>
        </w:tc>
        <w:tc>
          <w:tcPr>
            <w:tcW w:w="1559" w:type="dxa"/>
          </w:tcPr>
          <w:p w14:paraId="2F84AF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105B78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11.5.43</w:t>
            </w:r>
          </w:p>
        </w:tc>
        <w:tc>
          <w:tcPr>
            <w:tcW w:w="1701" w:type="dxa"/>
          </w:tcPr>
          <w:p w14:paraId="201AFD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Шамрай</w:t>
            </w:r>
          </w:p>
        </w:tc>
        <w:tc>
          <w:tcPr>
            <w:tcW w:w="1560" w:type="dxa"/>
          </w:tcPr>
          <w:p w14:paraId="466E58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23.6.43</w:t>
            </w:r>
          </w:p>
        </w:tc>
        <w:tc>
          <w:tcPr>
            <w:tcW w:w="1559" w:type="dxa"/>
          </w:tcPr>
          <w:p w14:paraId="12505F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57046B3A" w14:textId="77777777">
        <w:tc>
          <w:tcPr>
            <w:tcW w:w="1668" w:type="dxa"/>
          </w:tcPr>
          <w:p w14:paraId="1690DF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62.42089</w:t>
            </w:r>
          </w:p>
        </w:tc>
        <w:tc>
          <w:tcPr>
            <w:tcW w:w="1559" w:type="dxa"/>
          </w:tcPr>
          <w:p w14:paraId="4ED6F7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с(10.43)</w:t>
            </w:r>
          </w:p>
        </w:tc>
        <w:tc>
          <w:tcPr>
            <w:tcW w:w="1559" w:type="dxa"/>
          </w:tcPr>
          <w:p w14:paraId="27D3E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06F44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15.5.43</w:t>
            </w:r>
          </w:p>
        </w:tc>
        <w:tc>
          <w:tcPr>
            <w:tcW w:w="1701" w:type="dxa"/>
          </w:tcPr>
          <w:p w14:paraId="63B762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Архаров</w:t>
            </w:r>
          </w:p>
        </w:tc>
        <w:tc>
          <w:tcPr>
            <w:tcW w:w="1560" w:type="dxa"/>
          </w:tcPr>
          <w:p w14:paraId="0D4C6B68"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47C12064"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0854EFC" w14:textId="77777777">
        <w:tc>
          <w:tcPr>
            <w:tcW w:w="1668" w:type="dxa"/>
          </w:tcPr>
          <w:p w14:paraId="5F9274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63. 42099</w:t>
            </w:r>
          </w:p>
        </w:tc>
        <w:tc>
          <w:tcPr>
            <w:tcW w:w="1559" w:type="dxa"/>
          </w:tcPr>
          <w:p w14:paraId="107FAF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2к/14к(12.43)</w:t>
            </w:r>
          </w:p>
        </w:tc>
        <w:tc>
          <w:tcPr>
            <w:tcW w:w="1559" w:type="dxa"/>
          </w:tcPr>
          <w:p w14:paraId="0D8064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11A940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19.5.43</w:t>
            </w:r>
          </w:p>
        </w:tc>
        <w:tc>
          <w:tcPr>
            <w:tcW w:w="1701" w:type="dxa"/>
          </w:tcPr>
          <w:p w14:paraId="252CC6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Макаренко</w:t>
            </w:r>
          </w:p>
        </w:tc>
        <w:tc>
          <w:tcPr>
            <w:tcW w:w="1560" w:type="dxa"/>
          </w:tcPr>
          <w:p w14:paraId="41C6EBE5" w14:textId="77777777" w:rsidR="00665165" w:rsidRPr="00F90EAE" w:rsidRDefault="00665165" w:rsidP="00F90EAE">
            <w:pPr>
              <w:autoSpaceDE w:val="0"/>
              <w:autoSpaceDN w:val="0"/>
              <w:adjustRightInd w:val="0"/>
              <w:jc w:val="both"/>
              <w:rPr>
                <w:color w:val="000000" w:themeColor="text1"/>
                <w:sz w:val="16"/>
                <w:szCs w:val="16"/>
              </w:rPr>
            </w:pPr>
          </w:p>
        </w:tc>
        <w:tc>
          <w:tcPr>
            <w:tcW w:w="1559" w:type="dxa"/>
          </w:tcPr>
          <w:p w14:paraId="0754852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92FDFE3" w14:textId="77777777">
        <w:tc>
          <w:tcPr>
            <w:tcW w:w="1668" w:type="dxa"/>
          </w:tcPr>
          <w:p w14:paraId="2533F2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64.420109</w:t>
            </w:r>
          </w:p>
        </w:tc>
        <w:tc>
          <w:tcPr>
            <w:tcW w:w="1559" w:type="dxa"/>
          </w:tcPr>
          <w:p w14:paraId="54E1D0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14с/-</w:t>
            </w:r>
          </w:p>
        </w:tc>
        <w:tc>
          <w:tcPr>
            <w:tcW w:w="1559" w:type="dxa"/>
          </w:tcPr>
          <w:p w14:paraId="760B8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3376A1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2.7.43</w:t>
            </w:r>
          </w:p>
        </w:tc>
        <w:tc>
          <w:tcPr>
            <w:tcW w:w="1701" w:type="dxa"/>
          </w:tcPr>
          <w:p w14:paraId="691E39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Вихорев</w:t>
            </w:r>
          </w:p>
        </w:tc>
        <w:tc>
          <w:tcPr>
            <w:tcW w:w="1560" w:type="dxa"/>
          </w:tcPr>
          <w:p w14:paraId="477FEF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21.7.43</w:t>
            </w:r>
          </w:p>
        </w:tc>
        <w:tc>
          <w:tcPr>
            <w:tcW w:w="1559" w:type="dxa"/>
          </w:tcPr>
          <w:p w14:paraId="12246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2750B93F" w14:textId="77777777">
        <w:tc>
          <w:tcPr>
            <w:tcW w:w="1668" w:type="dxa"/>
          </w:tcPr>
          <w:p w14:paraId="5CACBE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65. 42110</w:t>
            </w:r>
          </w:p>
        </w:tc>
        <w:tc>
          <w:tcPr>
            <w:tcW w:w="1559" w:type="dxa"/>
          </w:tcPr>
          <w:p w14:paraId="6A053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7с/-</w:t>
            </w:r>
          </w:p>
        </w:tc>
        <w:tc>
          <w:tcPr>
            <w:tcW w:w="1559" w:type="dxa"/>
          </w:tcPr>
          <w:p w14:paraId="65D3A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02C15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12.7.43</w:t>
            </w:r>
          </w:p>
        </w:tc>
        <w:tc>
          <w:tcPr>
            <w:tcW w:w="1701" w:type="dxa"/>
          </w:tcPr>
          <w:p w14:paraId="4D9339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Канарский+</w:t>
            </w:r>
          </w:p>
        </w:tc>
        <w:tc>
          <w:tcPr>
            <w:tcW w:w="1560" w:type="dxa"/>
          </w:tcPr>
          <w:p w14:paraId="2422F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29.7.43</w:t>
            </w:r>
          </w:p>
        </w:tc>
        <w:tc>
          <w:tcPr>
            <w:tcW w:w="1559" w:type="dxa"/>
          </w:tcPr>
          <w:p w14:paraId="6D31B7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3E688029" w14:textId="77777777">
        <w:tc>
          <w:tcPr>
            <w:tcW w:w="1668" w:type="dxa"/>
          </w:tcPr>
          <w:p w14:paraId="5EDF5E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66. 42210</w:t>
            </w:r>
          </w:p>
        </w:tc>
        <w:tc>
          <w:tcPr>
            <w:tcW w:w="1559" w:type="dxa"/>
          </w:tcPr>
          <w:p w14:paraId="3A264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8к(10.7.43)/-</w:t>
            </w:r>
          </w:p>
        </w:tc>
        <w:tc>
          <w:tcPr>
            <w:tcW w:w="1559" w:type="dxa"/>
          </w:tcPr>
          <w:p w14:paraId="6A9C0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7E7D0E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30.6.43</w:t>
            </w:r>
          </w:p>
        </w:tc>
        <w:tc>
          <w:tcPr>
            <w:tcW w:w="1701" w:type="dxa"/>
          </w:tcPr>
          <w:p w14:paraId="1EB4D7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Додонов, Зеленский</w:t>
            </w:r>
          </w:p>
        </w:tc>
        <w:tc>
          <w:tcPr>
            <w:tcW w:w="1560" w:type="dxa"/>
          </w:tcPr>
          <w:p w14:paraId="1ABC30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098BB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774B15F" w14:textId="77777777">
        <w:tc>
          <w:tcPr>
            <w:tcW w:w="1668" w:type="dxa"/>
          </w:tcPr>
          <w:p w14:paraId="4A0967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67. 42310</w:t>
            </w:r>
          </w:p>
        </w:tc>
        <w:tc>
          <w:tcPr>
            <w:tcW w:w="1559" w:type="dxa"/>
          </w:tcPr>
          <w:p w14:paraId="65D78B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12с(17.8.43)/-</w:t>
            </w:r>
          </w:p>
        </w:tc>
        <w:tc>
          <w:tcPr>
            <w:tcW w:w="1559" w:type="dxa"/>
          </w:tcPr>
          <w:p w14:paraId="19200A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7D36C6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5.7.43</w:t>
            </w:r>
          </w:p>
        </w:tc>
        <w:tc>
          <w:tcPr>
            <w:tcW w:w="1701" w:type="dxa"/>
          </w:tcPr>
          <w:p w14:paraId="396E75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Pr>
          <w:p w14:paraId="5D9197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27.8.43</w:t>
            </w:r>
          </w:p>
        </w:tc>
        <w:tc>
          <w:tcPr>
            <w:tcW w:w="1559" w:type="dxa"/>
          </w:tcPr>
          <w:p w14:paraId="355EF8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42ADFD8" w14:textId="77777777">
        <w:tc>
          <w:tcPr>
            <w:tcW w:w="1668" w:type="dxa"/>
          </w:tcPr>
          <w:p w14:paraId="72C559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68. 42410</w:t>
            </w:r>
          </w:p>
        </w:tc>
        <w:tc>
          <w:tcPr>
            <w:tcW w:w="1559" w:type="dxa"/>
          </w:tcPr>
          <w:p w14:paraId="1808B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1к/-</w:t>
            </w:r>
          </w:p>
        </w:tc>
        <w:tc>
          <w:tcPr>
            <w:tcW w:w="1559" w:type="dxa"/>
          </w:tcPr>
          <w:p w14:paraId="2146D0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34CA51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13.8.43</w:t>
            </w:r>
          </w:p>
        </w:tc>
        <w:tc>
          <w:tcPr>
            <w:tcW w:w="1701" w:type="dxa"/>
          </w:tcPr>
          <w:p w14:paraId="50ABD5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Ищенко</w:t>
            </w:r>
          </w:p>
        </w:tc>
        <w:tc>
          <w:tcPr>
            <w:tcW w:w="1560" w:type="dxa"/>
          </w:tcPr>
          <w:p w14:paraId="6B331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2975F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CED4183" w14:textId="77777777">
        <w:tc>
          <w:tcPr>
            <w:tcW w:w="1668" w:type="dxa"/>
          </w:tcPr>
          <w:p w14:paraId="1BDA38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69. 42510</w:t>
            </w:r>
          </w:p>
        </w:tc>
        <w:tc>
          <w:tcPr>
            <w:tcW w:w="1559" w:type="dxa"/>
          </w:tcPr>
          <w:p w14:paraId="1DB7BC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13с/-</w:t>
            </w:r>
          </w:p>
        </w:tc>
        <w:tc>
          <w:tcPr>
            <w:tcW w:w="1559" w:type="dxa"/>
          </w:tcPr>
          <w:p w14:paraId="2CBA22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7BDB8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8.43</w:t>
            </w:r>
          </w:p>
        </w:tc>
        <w:tc>
          <w:tcPr>
            <w:tcW w:w="1701" w:type="dxa"/>
          </w:tcPr>
          <w:p w14:paraId="2F7C62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Вихорев</w:t>
            </w:r>
          </w:p>
        </w:tc>
        <w:tc>
          <w:tcPr>
            <w:tcW w:w="1560" w:type="dxa"/>
          </w:tcPr>
          <w:p w14:paraId="51DD35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27.8.43</w:t>
            </w:r>
          </w:p>
        </w:tc>
        <w:tc>
          <w:tcPr>
            <w:tcW w:w="1559" w:type="dxa"/>
          </w:tcPr>
          <w:p w14:paraId="2E63F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6F615E96" w14:textId="77777777">
        <w:tc>
          <w:tcPr>
            <w:tcW w:w="1668" w:type="dxa"/>
          </w:tcPr>
          <w:p w14:paraId="44F722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70. 42610</w:t>
            </w:r>
          </w:p>
        </w:tc>
        <w:tc>
          <w:tcPr>
            <w:tcW w:w="1559" w:type="dxa"/>
          </w:tcPr>
          <w:p w14:paraId="580653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Зж/-</w:t>
            </w:r>
          </w:p>
        </w:tc>
        <w:tc>
          <w:tcPr>
            <w:tcW w:w="1559" w:type="dxa"/>
          </w:tcPr>
          <w:p w14:paraId="05BA43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55C8D2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23.8.43</w:t>
            </w:r>
          </w:p>
        </w:tc>
        <w:tc>
          <w:tcPr>
            <w:tcW w:w="1701" w:type="dxa"/>
          </w:tcPr>
          <w:p w14:paraId="143A21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Сумцов</w:t>
            </w:r>
          </w:p>
        </w:tc>
        <w:tc>
          <w:tcPr>
            <w:tcW w:w="1560" w:type="dxa"/>
          </w:tcPr>
          <w:p w14:paraId="152534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F61A0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55EC995" w14:textId="77777777">
        <w:tc>
          <w:tcPr>
            <w:tcW w:w="1668" w:type="dxa"/>
          </w:tcPr>
          <w:p w14:paraId="057683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71. 42710</w:t>
            </w:r>
          </w:p>
        </w:tc>
        <w:tc>
          <w:tcPr>
            <w:tcW w:w="1559" w:type="dxa"/>
          </w:tcPr>
          <w:p w14:paraId="2E9031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с/-</w:t>
            </w:r>
          </w:p>
        </w:tc>
        <w:tc>
          <w:tcPr>
            <w:tcW w:w="1559" w:type="dxa"/>
          </w:tcPr>
          <w:p w14:paraId="6CC4BF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52FFAE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29.9.43</w:t>
            </w:r>
          </w:p>
        </w:tc>
        <w:tc>
          <w:tcPr>
            <w:tcW w:w="1701" w:type="dxa"/>
          </w:tcPr>
          <w:p w14:paraId="35E8CF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Косяченко</w:t>
            </w:r>
          </w:p>
        </w:tc>
        <w:tc>
          <w:tcPr>
            <w:tcW w:w="1560" w:type="dxa"/>
          </w:tcPr>
          <w:p w14:paraId="3F6715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0B546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BE8FCAD" w14:textId="77777777">
        <w:tc>
          <w:tcPr>
            <w:tcW w:w="1668" w:type="dxa"/>
          </w:tcPr>
          <w:p w14:paraId="50684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72. 42810</w:t>
            </w:r>
          </w:p>
        </w:tc>
        <w:tc>
          <w:tcPr>
            <w:tcW w:w="1559" w:type="dxa"/>
          </w:tcPr>
          <w:p w14:paraId="4BE1FE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с/-</w:t>
            </w:r>
          </w:p>
        </w:tc>
        <w:tc>
          <w:tcPr>
            <w:tcW w:w="1559" w:type="dxa"/>
          </w:tcPr>
          <w:p w14:paraId="37EE48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B55A1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8.10.43</w:t>
            </w:r>
          </w:p>
        </w:tc>
        <w:tc>
          <w:tcPr>
            <w:tcW w:w="1701" w:type="dxa"/>
          </w:tcPr>
          <w:p w14:paraId="2F33C3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Олейников</w:t>
            </w:r>
          </w:p>
        </w:tc>
        <w:tc>
          <w:tcPr>
            <w:tcW w:w="1560" w:type="dxa"/>
          </w:tcPr>
          <w:p w14:paraId="6FE18F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3B4BF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AE746EA" w14:textId="77777777">
        <w:tc>
          <w:tcPr>
            <w:tcW w:w="1668" w:type="dxa"/>
          </w:tcPr>
          <w:p w14:paraId="643261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73. 42910</w:t>
            </w:r>
          </w:p>
        </w:tc>
        <w:tc>
          <w:tcPr>
            <w:tcW w:w="1559" w:type="dxa"/>
          </w:tcPr>
          <w:p w14:paraId="7BD702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13с/-</w:t>
            </w:r>
          </w:p>
        </w:tc>
        <w:tc>
          <w:tcPr>
            <w:tcW w:w="1559" w:type="dxa"/>
          </w:tcPr>
          <w:p w14:paraId="02757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6FB185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8.10.43</w:t>
            </w:r>
          </w:p>
        </w:tc>
        <w:tc>
          <w:tcPr>
            <w:tcW w:w="1701" w:type="dxa"/>
          </w:tcPr>
          <w:p w14:paraId="08546A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Шамрай</w:t>
            </w:r>
          </w:p>
        </w:tc>
        <w:tc>
          <w:tcPr>
            <w:tcW w:w="1560" w:type="dxa"/>
          </w:tcPr>
          <w:p w14:paraId="29985D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557F8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9AD4CE8" w14:textId="77777777">
        <w:tc>
          <w:tcPr>
            <w:tcW w:w="1668" w:type="dxa"/>
          </w:tcPr>
          <w:p w14:paraId="05984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74. 421010</w:t>
            </w:r>
          </w:p>
        </w:tc>
        <w:tc>
          <w:tcPr>
            <w:tcW w:w="1559" w:type="dxa"/>
          </w:tcPr>
          <w:p w14:paraId="3D9B90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15к/-</w:t>
            </w:r>
          </w:p>
        </w:tc>
        <w:tc>
          <w:tcPr>
            <w:tcW w:w="1559" w:type="dxa"/>
          </w:tcPr>
          <w:p w14:paraId="140DE7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746C7A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15.10.43</w:t>
            </w:r>
          </w:p>
        </w:tc>
        <w:tc>
          <w:tcPr>
            <w:tcW w:w="1701" w:type="dxa"/>
          </w:tcPr>
          <w:p w14:paraId="009536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Угрюмов+</w:t>
            </w:r>
          </w:p>
        </w:tc>
        <w:tc>
          <w:tcPr>
            <w:tcW w:w="1560" w:type="dxa"/>
          </w:tcPr>
          <w:p w14:paraId="77484F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26.2 44</w:t>
            </w:r>
          </w:p>
        </w:tc>
        <w:tc>
          <w:tcPr>
            <w:tcW w:w="1559" w:type="dxa"/>
          </w:tcPr>
          <w:p w14:paraId="2C2BDC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4AA1168A" w14:textId="77777777">
        <w:tc>
          <w:tcPr>
            <w:tcW w:w="1668" w:type="dxa"/>
          </w:tcPr>
          <w:p w14:paraId="786C28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75. 42111</w:t>
            </w:r>
          </w:p>
        </w:tc>
        <w:tc>
          <w:tcPr>
            <w:tcW w:w="1559" w:type="dxa"/>
          </w:tcPr>
          <w:p w14:paraId="686C46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9с/-</w:t>
            </w:r>
          </w:p>
        </w:tc>
        <w:tc>
          <w:tcPr>
            <w:tcW w:w="1559" w:type="dxa"/>
          </w:tcPr>
          <w:p w14:paraId="1CDB59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25FEB7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19.10.43</w:t>
            </w:r>
          </w:p>
        </w:tc>
        <w:tc>
          <w:tcPr>
            <w:tcW w:w="1701" w:type="dxa"/>
          </w:tcPr>
          <w:p w14:paraId="37D7FD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Самохин</w:t>
            </w:r>
          </w:p>
        </w:tc>
        <w:tc>
          <w:tcPr>
            <w:tcW w:w="1560" w:type="dxa"/>
          </w:tcPr>
          <w:p w14:paraId="7420FE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30C9D9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082829A" w14:textId="77777777">
        <w:tc>
          <w:tcPr>
            <w:tcW w:w="1668" w:type="dxa"/>
          </w:tcPr>
          <w:p w14:paraId="20EA8A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76. 42211</w:t>
            </w:r>
          </w:p>
        </w:tc>
        <w:tc>
          <w:tcPr>
            <w:tcW w:w="1559" w:type="dxa"/>
          </w:tcPr>
          <w:p w14:paraId="60C64B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14с/-</w:t>
            </w:r>
          </w:p>
        </w:tc>
        <w:tc>
          <w:tcPr>
            <w:tcW w:w="1559" w:type="dxa"/>
          </w:tcPr>
          <w:p w14:paraId="325526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07A53D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18.11.43</w:t>
            </w:r>
          </w:p>
        </w:tc>
        <w:tc>
          <w:tcPr>
            <w:tcW w:w="1701" w:type="dxa"/>
          </w:tcPr>
          <w:p w14:paraId="6922D2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Невенчанный, Шамрай, Макаренко</w:t>
            </w:r>
          </w:p>
        </w:tc>
        <w:tc>
          <w:tcPr>
            <w:tcW w:w="1560" w:type="dxa"/>
          </w:tcPr>
          <w:p w14:paraId="77DFBE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28.6.44</w:t>
            </w:r>
          </w:p>
        </w:tc>
        <w:tc>
          <w:tcPr>
            <w:tcW w:w="1559" w:type="dxa"/>
          </w:tcPr>
          <w:p w14:paraId="5D9036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ИА</w:t>
            </w:r>
          </w:p>
        </w:tc>
      </w:tr>
      <w:tr w:rsidR="00561F31" w:rsidRPr="00F90EAE" w14:paraId="1BB75D83" w14:textId="77777777">
        <w:tc>
          <w:tcPr>
            <w:tcW w:w="1668" w:type="dxa"/>
          </w:tcPr>
          <w:p w14:paraId="29D90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77. 42311</w:t>
            </w:r>
          </w:p>
        </w:tc>
        <w:tc>
          <w:tcPr>
            <w:tcW w:w="1559" w:type="dxa"/>
          </w:tcPr>
          <w:p w14:paraId="061DF2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9к/СССР-Н562</w:t>
            </w:r>
          </w:p>
        </w:tc>
        <w:tc>
          <w:tcPr>
            <w:tcW w:w="1559" w:type="dxa"/>
          </w:tcPr>
          <w:p w14:paraId="45DF16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1A6461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26.12.43</w:t>
            </w:r>
          </w:p>
        </w:tc>
        <w:tc>
          <w:tcPr>
            <w:tcW w:w="1701" w:type="dxa"/>
          </w:tcPr>
          <w:p w14:paraId="17F5F8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Зеленский</w:t>
            </w:r>
          </w:p>
        </w:tc>
        <w:tc>
          <w:tcPr>
            <w:tcW w:w="1560" w:type="dxa"/>
          </w:tcPr>
          <w:p w14:paraId="5252E5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513C9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ABB3A71" w14:textId="77777777">
        <w:tc>
          <w:tcPr>
            <w:tcW w:w="1668" w:type="dxa"/>
          </w:tcPr>
          <w:p w14:paraId="648B1C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78. 42411</w:t>
            </w:r>
          </w:p>
        </w:tc>
        <w:tc>
          <w:tcPr>
            <w:tcW w:w="1559" w:type="dxa"/>
          </w:tcPr>
          <w:p w14:paraId="47CB2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5с/-</w:t>
            </w:r>
          </w:p>
        </w:tc>
        <w:tc>
          <w:tcPr>
            <w:tcW w:w="1559" w:type="dxa"/>
          </w:tcPr>
          <w:p w14:paraId="579D31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489E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2412.43</w:t>
            </w:r>
          </w:p>
        </w:tc>
        <w:tc>
          <w:tcPr>
            <w:tcW w:w="1701" w:type="dxa"/>
          </w:tcPr>
          <w:p w14:paraId="792D58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Романов</w:t>
            </w:r>
          </w:p>
        </w:tc>
        <w:tc>
          <w:tcPr>
            <w:tcW w:w="1560" w:type="dxa"/>
          </w:tcPr>
          <w:p w14:paraId="5B9943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1CE8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CFA21CC" w14:textId="77777777">
        <w:tc>
          <w:tcPr>
            <w:tcW w:w="1668" w:type="dxa"/>
          </w:tcPr>
          <w:p w14:paraId="4BBDC9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79. 42511</w:t>
            </w:r>
          </w:p>
        </w:tc>
        <w:tc>
          <w:tcPr>
            <w:tcW w:w="1559" w:type="dxa"/>
          </w:tcPr>
          <w:p w14:paraId="4AEE0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СССР-Н396</w:t>
            </w:r>
          </w:p>
        </w:tc>
        <w:tc>
          <w:tcPr>
            <w:tcW w:w="1559" w:type="dxa"/>
          </w:tcPr>
          <w:p w14:paraId="29589B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7409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8.1.44</w:t>
            </w:r>
          </w:p>
        </w:tc>
        <w:tc>
          <w:tcPr>
            <w:tcW w:w="1701" w:type="dxa"/>
          </w:tcPr>
          <w:p w14:paraId="13643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Pr>
          <w:p w14:paraId="07F6ED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70604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A62FFD0" w14:textId="77777777">
        <w:tc>
          <w:tcPr>
            <w:tcW w:w="1668" w:type="dxa"/>
          </w:tcPr>
          <w:p w14:paraId="12EF5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80. 42611</w:t>
            </w:r>
          </w:p>
        </w:tc>
        <w:tc>
          <w:tcPr>
            <w:tcW w:w="1559" w:type="dxa"/>
          </w:tcPr>
          <w:p w14:paraId="031BE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6/н</w:t>
            </w:r>
          </w:p>
        </w:tc>
        <w:tc>
          <w:tcPr>
            <w:tcW w:w="1559" w:type="dxa"/>
          </w:tcPr>
          <w:p w14:paraId="5F8686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6F39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19.12.43</w:t>
            </w:r>
          </w:p>
        </w:tc>
        <w:tc>
          <w:tcPr>
            <w:tcW w:w="1701" w:type="dxa"/>
          </w:tcPr>
          <w:p w14:paraId="096815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Каминский</w:t>
            </w:r>
          </w:p>
        </w:tc>
        <w:tc>
          <w:tcPr>
            <w:tcW w:w="1560" w:type="dxa"/>
          </w:tcPr>
          <w:p w14:paraId="790105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372B12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90EFECB" w14:textId="77777777">
        <w:tc>
          <w:tcPr>
            <w:tcW w:w="1668" w:type="dxa"/>
          </w:tcPr>
          <w:p w14:paraId="12FC8C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81. 42711</w:t>
            </w:r>
          </w:p>
        </w:tc>
        <w:tc>
          <w:tcPr>
            <w:tcW w:w="1559" w:type="dxa"/>
          </w:tcPr>
          <w:p w14:paraId="7D9999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10с(4.44)</w:t>
            </w:r>
          </w:p>
        </w:tc>
        <w:tc>
          <w:tcPr>
            <w:tcW w:w="1559" w:type="dxa"/>
          </w:tcPr>
          <w:p w14:paraId="08AFDF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5E2FE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28.12.43</w:t>
            </w:r>
          </w:p>
        </w:tc>
        <w:tc>
          <w:tcPr>
            <w:tcW w:w="1701" w:type="dxa"/>
          </w:tcPr>
          <w:p w14:paraId="6DDE11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Pr>
          <w:p w14:paraId="7B58F8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27.6.4</w:t>
            </w:r>
          </w:p>
        </w:tc>
        <w:tc>
          <w:tcPr>
            <w:tcW w:w="1559" w:type="dxa"/>
          </w:tcPr>
          <w:p w14:paraId="1F4730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B64F2B4" w14:textId="77777777">
        <w:tc>
          <w:tcPr>
            <w:tcW w:w="1668" w:type="dxa"/>
          </w:tcPr>
          <w:p w14:paraId="1F5175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82. 42811</w:t>
            </w:r>
          </w:p>
        </w:tc>
        <w:tc>
          <w:tcPr>
            <w:tcW w:w="1559" w:type="dxa"/>
          </w:tcPr>
          <w:p w14:paraId="130951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16к/-</w:t>
            </w:r>
          </w:p>
        </w:tc>
        <w:tc>
          <w:tcPr>
            <w:tcW w:w="1559" w:type="dxa"/>
          </w:tcPr>
          <w:p w14:paraId="679536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625278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16.2.44</w:t>
            </w:r>
          </w:p>
        </w:tc>
        <w:tc>
          <w:tcPr>
            <w:tcW w:w="1701" w:type="dxa"/>
          </w:tcPr>
          <w:p w14:paraId="10F512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Пономаренко, Ищенко</w:t>
            </w:r>
          </w:p>
        </w:tc>
        <w:tc>
          <w:tcPr>
            <w:tcW w:w="1560" w:type="dxa"/>
          </w:tcPr>
          <w:p w14:paraId="24E031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12.9.45</w:t>
            </w:r>
          </w:p>
        </w:tc>
        <w:tc>
          <w:tcPr>
            <w:tcW w:w="1559" w:type="dxa"/>
          </w:tcPr>
          <w:p w14:paraId="47E51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w:t>
            </w:r>
          </w:p>
        </w:tc>
      </w:tr>
      <w:tr w:rsidR="00561F31" w:rsidRPr="00F90EAE" w14:paraId="75C1F699" w14:textId="77777777">
        <w:tc>
          <w:tcPr>
            <w:tcW w:w="1668" w:type="dxa"/>
          </w:tcPr>
          <w:p w14:paraId="2ABFB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83. 42911</w:t>
            </w:r>
          </w:p>
        </w:tc>
        <w:tc>
          <w:tcPr>
            <w:tcW w:w="1559" w:type="dxa"/>
          </w:tcPr>
          <w:p w14:paraId="180ABA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10к/-</w:t>
            </w:r>
          </w:p>
        </w:tc>
        <w:tc>
          <w:tcPr>
            <w:tcW w:w="1559" w:type="dxa"/>
          </w:tcPr>
          <w:p w14:paraId="6EABF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АШ-8216.2.44</w:t>
            </w:r>
          </w:p>
        </w:tc>
        <w:tc>
          <w:tcPr>
            <w:tcW w:w="1559" w:type="dxa"/>
          </w:tcPr>
          <w:p w14:paraId="566A08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3CC82B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Чурилин</w:t>
            </w:r>
          </w:p>
        </w:tc>
        <w:tc>
          <w:tcPr>
            <w:tcW w:w="1560" w:type="dxa"/>
          </w:tcPr>
          <w:p w14:paraId="662ED5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DCB92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D7DC897" w14:textId="77777777">
        <w:tc>
          <w:tcPr>
            <w:tcW w:w="1668" w:type="dxa"/>
          </w:tcPr>
          <w:p w14:paraId="2D1E41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84. 421011</w:t>
            </w:r>
          </w:p>
        </w:tc>
        <w:tc>
          <w:tcPr>
            <w:tcW w:w="1559" w:type="dxa"/>
          </w:tcPr>
          <w:p w14:paraId="7CC18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15с/-</w:t>
            </w:r>
          </w:p>
        </w:tc>
        <w:tc>
          <w:tcPr>
            <w:tcW w:w="1559" w:type="dxa"/>
          </w:tcPr>
          <w:p w14:paraId="26963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6CC7EC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4CC644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Вихорев</w:t>
            </w:r>
          </w:p>
        </w:tc>
        <w:tc>
          <w:tcPr>
            <w:tcW w:w="1560" w:type="dxa"/>
          </w:tcPr>
          <w:p w14:paraId="6D2E80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C052C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0BB2E79" w14:textId="77777777">
        <w:tc>
          <w:tcPr>
            <w:tcW w:w="1668" w:type="dxa"/>
          </w:tcPr>
          <w:p w14:paraId="3D8532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85. 42112</w:t>
            </w:r>
          </w:p>
        </w:tc>
        <w:tc>
          <w:tcPr>
            <w:tcW w:w="1559" w:type="dxa"/>
          </w:tcPr>
          <w:p w14:paraId="39FADC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18к/-</w:t>
            </w:r>
          </w:p>
        </w:tc>
        <w:tc>
          <w:tcPr>
            <w:tcW w:w="1559" w:type="dxa"/>
          </w:tcPr>
          <w:p w14:paraId="67EB23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42AF54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13.5.44</w:t>
            </w:r>
          </w:p>
        </w:tc>
        <w:tc>
          <w:tcPr>
            <w:tcW w:w="1701" w:type="dxa"/>
          </w:tcPr>
          <w:p w14:paraId="5B5020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Симонов,Черевичный (УПА)</w:t>
            </w:r>
          </w:p>
        </w:tc>
        <w:tc>
          <w:tcPr>
            <w:tcW w:w="1560" w:type="dxa"/>
          </w:tcPr>
          <w:p w14:paraId="2BF5F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7.6.47</w:t>
            </w:r>
          </w:p>
        </w:tc>
        <w:tc>
          <w:tcPr>
            <w:tcW w:w="1559" w:type="dxa"/>
          </w:tcPr>
          <w:p w14:paraId="16EB6C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ВП</w:t>
            </w:r>
          </w:p>
        </w:tc>
      </w:tr>
      <w:tr w:rsidR="00561F31" w:rsidRPr="00F90EAE" w14:paraId="18E0CA51" w14:textId="77777777">
        <w:tc>
          <w:tcPr>
            <w:tcW w:w="1668" w:type="dxa"/>
          </w:tcPr>
          <w:p w14:paraId="07F2C4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86. 42212</w:t>
            </w:r>
          </w:p>
        </w:tc>
        <w:tc>
          <w:tcPr>
            <w:tcW w:w="1559" w:type="dxa"/>
          </w:tcPr>
          <w:p w14:paraId="0778A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17к/-</w:t>
            </w:r>
          </w:p>
        </w:tc>
        <w:tc>
          <w:tcPr>
            <w:tcW w:w="1559" w:type="dxa"/>
          </w:tcPr>
          <w:p w14:paraId="3BFD3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7CF9F8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1CB711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Обухов</w:t>
            </w:r>
          </w:p>
        </w:tc>
        <w:tc>
          <w:tcPr>
            <w:tcW w:w="1560" w:type="dxa"/>
          </w:tcPr>
          <w:p w14:paraId="362104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BA94C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B5F06A4" w14:textId="77777777">
        <w:tc>
          <w:tcPr>
            <w:tcW w:w="1668" w:type="dxa"/>
          </w:tcPr>
          <w:p w14:paraId="02BE3C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87. 42312</w:t>
            </w:r>
          </w:p>
        </w:tc>
        <w:tc>
          <w:tcPr>
            <w:tcW w:w="1559" w:type="dxa"/>
          </w:tcPr>
          <w:p w14:paraId="5726A1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19к/-</w:t>
            </w:r>
          </w:p>
        </w:tc>
        <w:tc>
          <w:tcPr>
            <w:tcW w:w="1559" w:type="dxa"/>
          </w:tcPr>
          <w:p w14:paraId="00050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5C5941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672165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Бездольный</w:t>
            </w:r>
          </w:p>
        </w:tc>
        <w:tc>
          <w:tcPr>
            <w:tcW w:w="1560" w:type="dxa"/>
          </w:tcPr>
          <w:p w14:paraId="07461F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283604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8C592F4" w14:textId="77777777">
        <w:tc>
          <w:tcPr>
            <w:tcW w:w="1668" w:type="dxa"/>
          </w:tcPr>
          <w:p w14:paraId="478EA3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88. 42412</w:t>
            </w:r>
          </w:p>
        </w:tc>
        <w:tc>
          <w:tcPr>
            <w:tcW w:w="1559" w:type="dxa"/>
          </w:tcPr>
          <w:p w14:paraId="46267B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20к/-</w:t>
            </w:r>
          </w:p>
        </w:tc>
        <w:tc>
          <w:tcPr>
            <w:tcW w:w="1559" w:type="dxa"/>
          </w:tcPr>
          <w:p w14:paraId="4D5AA8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2A1102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3.6.44</w:t>
            </w:r>
          </w:p>
        </w:tc>
        <w:tc>
          <w:tcPr>
            <w:tcW w:w="1701" w:type="dxa"/>
          </w:tcPr>
          <w:p w14:paraId="69A4F1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Каминский</w:t>
            </w:r>
          </w:p>
        </w:tc>
        <w:tc>
          <w:tcPr>
            <w:tcW w:w="1560" w:type="dxa"/>
          </w:tcPr>
          <w:p w14:paraId="77C8E7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173F6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A05BA85" w14:textId="77777777">
        <w:tc>
          <w:tcPr>
            <w:tcW w:w="1668" w:type="dxa"/>
          </w:tcPr>
          <w:p w14:paraId="1EA362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89. 42512</w:t>
            </w:r>
          </w:p>
        </w:tc>
        <w:tc>
          <w:tcPr>
            <w:tcW w:w="1559" w:type="dxa"/>
          </w:tcPr>
          <w:p w14:paraId="7D0683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к/-</w:t>
            </w:r>
          </w:p>
        </w:tc>
        <w:tc>
          <w:tcPr>
            <w:tcW w:w="1559" w:type="dxa"/>
          </w:tcPr>
          <w:p w14:paraId="7DEB8A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w:t>
            </w:r>
          </w:p>
        </w:tc>
        <w:tc>
          <w:tcPr>
            <w:tcW w:w="1559" w:type="dxa"/>
          </w:tcPr>
          <w:p w14:paraId="50346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21.6.44</w:t>
            </w:r>
          </w:p>
        </w:tc>
        <w:tc>
          <w:tcPr>
            <w:tcW w:w="1701" w:type="dxa"/>
          </w:tcPr>
          <w:p w14:paraId="05BCDB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Грязнов</w:t>
            </w:r>
          </w:p>
        </w:tc>
        <w:tc>
          <w:tcPr>
            <w:tcW w:w="1560" w:type="dxa"/>
          </w:tcPr>
          <w:p w14:paraId="393DAF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2.8.44</w:t>
            </w:r>
          </w:p>
        </w:tc>
        <w:tc>
          <w:tcPr>
            <w:tcW w:w="1559" w:type="dxa"/>
          </w:tcPr>
          <w:p w14:paraId="0E72ED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w:t>
            </w:r>
          </w:p>
        </w:tc>
      </w:tr>
      <w:tr w:rsidR="00561F31" w:rsidRPr="00F90EAE" w14:paraId="64CB2977" w14:textId="77777777">
        <w:tc>
          <w:tcPr>
            <w:tcW w:w="1668" w:type="dxa"/>
          </w:tcPr>
          <w:p w14:paraId="78D178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90. 42612</w:t>
            </w:r>
          </w:p>
        </w:tc>
        <w:tc>
          <w:tcPr>
            <w:tcW w:w="1559" w:type="dxa"/>
          </w:tcPr>
          <w:p w14:paraId="170B8D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СССР-Н550</w:t>
            </w:r>
          </w:p>
        </w:tc>
        <w:tc>
          <w:tcPr>
            <w:tcW w:w="1559" w:type="dxa"/>
          </w:tcPr>
          <w:p w14:paraId="3147C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c>
          <w:tcPr>
            <w:tcW w:w="1559" w:type="dxa"/>
          </w:tcPr>
          <w:p w14:paraId="2AB27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w:t>
            </w:r>
          </w:p>
        </w:tc>
        <w:tc>
          <w:tcPr>
            <w:tcW w:w="1701" w:type="dxa"/>
          </w:tcPr>
          <w:p w14:paraId="1A9A9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Агров, Додонов</w:t>
            </w:r>
          </w:p>
        </w:tc>
        <w:tc>
          <w:tcPr>
            <w:tcW w:w="1560" w:type="dxa"/>
          </w:tcPr>
          <w:p w14:paraId="36BFE8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B3614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77A6ABC" w14:textId="77777777">
        <w:tc>
          <w:tcPr>
            <w:tcW w:w="1668" w:type="dxa"/>
          </w:tcPr>
          <w:p w14:paraId="6102A9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91. 42712</w:t>
            </w:r>
          </w:p>
        </w:tc>
        <w:tc>
          <w:tcPr>
            <w:tcW w:w="1559" w:type="dxa"/>
          </w:tcPr>
          <w:p w14:paraId="3E3322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4AD13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c>
          <w:tcPr>
            <w:tcW w:w="1559" w:type="dxa"/>
          </w:tcPr>
          <w:p w14:paraId="57986A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0D34B9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Pr>
          <w:p w14:paraId="3AC386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7A144A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5B4EBCC" w14:textId="77777777">
        <w:tc>
          <w:tcPr>
            <w:tcW w:w="1668" w:type="dxa"/>
          </w:tcPr>
          <w:p w14:paraId="2E5D9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92. 42812</w:t>
            </w:r>
          </w:p>
        </w:tc>
        <w:tc>
          <w:tcPr>
            <w:tcW w:w="1559" w:type="dxa"/>
          </w:tcPr>
          <w:p w14:paraId="57D75A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СССР-Н395</w:t>
            </w:r>
          </w:p>
        </w:tc>
        <w:tc>
          <w:tcPr>
            <w:tcW w:w="1559" w:type="dxa"/>
          </w:tcPr>
          <w:p w14:paraId="7BB61D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c>
          <w:tcPr>
            <w:tcW w:w="1559" w:type="dxa"/>
          </w:tcPr>
          <w:p w14:paraId="14A455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7F6606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Pr>
          <w:p w14:paraId="08070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Pr>
          <w:p w14:paraId="113B9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393AD7F" w14:textId="77777777">
        <w:tc>
          <w:tcPr>
            <w:tcW w:w="1668" w:type="dxa"/>
            <w:tcBorders>
              <w:bottom w:val="single" w:sz="12" w:space="0" w:color="auto"/>
            </w:tcBorders>
          </w:tcPr>
          <w:p w14:paraId="78C6AF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93. 42912</w:t>
            </w:r>
          </w:p>
        </w:tc>
        <w:tc>
          <w:tcPr>
            <w:tcW w:w="1559" w:type="dxa"/>
            <w:tcBorders>
              <w:bottom w:val="single" w:sz="12" w:space="0" w:color="auto"/>
            </w:tcBorders>
          </w:tcPr>
          <w:p w14:paraId="79540C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Borders>
              <w:bottom w:val="single" w:sz="12" w:space="0" w:color="auto"/>
            </w:tcBorders>
          </w:tcPr>
          <w:p w14:paraId="287A9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АЧ-ЗОБ</w:t>
            </w:r>
          </w:p>
        </w:tc>
        <w:tc>
          <w:tcPr>
            <w:tcW w:w="1559" w:type="dxa"/>
            <w:tcBorders>
              <w:bottom w:val="single" w:sz="12" w:space="0" w:color="auto"/>
            </w:tcBorders>
          </w:tcPr>
          <w:p w14:paraId="00FCA1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Borders>
              <w:bottom w:val="single" w:sz="12" w:space="0" w:color="auto"/>
            </w:tcBorders>
          </w:tcPr>
          <w:p w14:paraId="76BA18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60" w:type="dxa"/>
            <w:tcBorders>
              <w:bottom w:val="single" w:sz="12" w:space="0" w:color="auto"/>
            </w:tcBorders>
          </w:tcPr>
          <w:p w14:paraId="5C4619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559" w:type="dxa"/>
            <w:tcBorders>
              <w:bottom w:val="single" w:sz="12" w:space="0" w:color="auto"/>
            </w:tcBorders>
          </w:tcPr>
          <w:p w14:paraId="0855ED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bl>
    <w:p w14:paraId="3373DC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Пояснения:</w:t>
      </w:r>
    </w:p>
    <w:p w14:paraId="7EDAE0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Заводской номер самолета: две первые цифры - шифр изделия, следующие одна или две цифры - номер самолета в серии, оставшиеся цифры (одна или две) - номер серии. Например, номер 42066: 42 - шифр изделия (Пе-8), шестой самолет (06) шестой серии (6). Еше пример. 42510: Пе- 8 пятый самолет (5) десятой серии (10).</w:t>
      </w:r>
    </w:p>
    <w:p w14:paraId="2DEF68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Сокращения в колонке "Хв. №" означают: к - красного цвета, с - синего (голубого), ж - желтого.</w:t>
      </w:r>
    </w:p>
    <w:p w14:paraId="5484EC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колонке "Прочие сведения": А - авария. К - катастрофа, ЗА - потеря от зенитной артиллерии, ПЗ - потерян на земле от бомбардировок противника, ВП - вынужденная посадка, М - потерян по метеоусловиям, ЛС - потерян по вине личного состава. Т - потерян из-за технической неисправности, ИА - потеря от воздействия истребителей противника. В скобках указано число погибших членов экипажа.</w:t>
      </w:r>
    </w:p>
    <w:p w14:paraId="0A84A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Таблица приведена с небольшими изменениями согласно публикации В.Раткина в журнале "Мир авиации" №2 1997 г. </w:t>
      </w:r>
    </w:p>
    <w:p w14:paraId="1D2AA0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Дополнения к списку поступления и убытия</w:t>
      </w:r>
    </w:p>
    <w:p w14:paraId="07607F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Приведены материалы по авариям и списанию отдельных экземпляров Пе-8 (ТБ-7).</w:t>
      </w:r>
    </w:p>
    <w:p w14:paraId="1C11C4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Подготовлено по материалам ЦАМО РФ:</w:t>
      </w:r>
    </w:p>
    <w:p w14:paraId="70BEE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Фонд 45 ад дд, оп.1, д 158. Сведения, указания и переписка по технической эксплуатации.</w:t>
      </w:r>
    </w:p>
    <w:p w14:paraId="66E60C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Фонд 1 Гв ад дд, on. 1, д 131, 170. Аварийные материалы. Указания, распоряжения по ремонту матчасти и переписка АДД с заводами.</w:t>
      </w:r>
    </w:p>
    <w:p w14:paraId="228B07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№4224</w:t>
      </w:r>
    </w:p>
    <w:p w14:paraId="4A9CB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октября 1941 г. после выполнения задания возвращался домой, потерпел аварию в районе деревни Гусево Ивановской области вследствие отказа двух правых моторов. Командир корабля майор Тягунин, штурман майор Торгман, борттехник Разумов. После осмотра аварийной комиссией 432-го авиаполка и последующего акта, утвержденного 15 октября 1941 г, признавалось, что самолет ремонту не подлежит и может быть использован на запасные части. Приборы, некоторое оборудование и вооружение передали в ремонтные мастерские, а крупные части отправили на завод № 124.</w:t>
      </w:r>
    </w:p>
    <w:p w14:paraId="7964C5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№42035</w:t>
      </w:r>
    </w:p>
    <w:p w14:paraId="2A010E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получен 2 марта 1942 г. 746-м ап на заводе №22. С начала эксплуатации налетал 100 часов 58 мин, совершил 32 посадки. 1 июня 1942 г. при выполнении тренировочного полета во время набора высоты на высоте 670 метров по очереди встали все двигатели, и самолет совершил вынужденную посадку на лес в районе Кратово. Причиной аварии стала недозаправка топливом: вместо 6000 кг было залито 3000 литров.</w:t>
      </w:r>
    </w:p>
    <w:p w14:paraId="05883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Комиссия постановила, что самолет восстановлению не подлежит. Подполковник Курбан ранее на этом самолете и с этим экипажем совершил 11 боевых вылетов.</w:t>
      </w:r>
    </w:p>
    <w:p w14:paraId="54ED49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ТБ-7 №4217</w:t>
      </w:r>
    </w:p>
    <w:p w14:paraId="2E2C2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Боевое донесение сообщало, что самолет №4217 под управлением командира корабля капитана Лавровского стартовал в 15.50 20 октября 1941 г. Цель - бомбардировка Орла. В 18.50 самолет вышел на цель и в 18.50 в условиях массивного противодействия ПВО противника с высоты 800 метров сбросил прицельно 8 ФАБ-250 и 16 ФАБ-100 одним заходом на цель в северной части города. При возвращении самолет вошел в сплошную облачность, штурман Галягин на приводную радиостанцию не настроился, в результате ориентировка была потеряна, и на свой аэродром самолет не вышел. Выйдя на Ярославль, принял его за Иваново. При посадке на аэродроме в Ярославле в 21.10 самолет потерпел аварию. Причина - плохой расчет на посадку капитана Лавровского. На пробеге самолет наскочил на препятствие с канавой. Самолет разбит, экипаж невредим.</w:t>
      </w:r>
    </w:p>
    <w:p w14:paraId="6E5CDD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Голованов на этом донесении, отправленном в штаб телеграфом и завизированном майором Иващенко написал: "Произвести расследование. Голованов".</w:t>
      </w:r>
    </w:p>
    <w:p w14:paraId="7BA276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Технический акт За подписью главного инженера авиадивизии И.В.Маркова</w:t>
      </w:r>
    </w:p>
    <w:p w14:paraId="22B6D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"Комиссия под председательством в/инженера I р(анга) т. Маркова и членов: воентехника I р(анга) т. Беленького и капитана Хуртак - 4-го ноября 1941 г. произвела осмотр самолета ТБ-7 № 4217 разбитого при посадке на аэродром в г. Ярославле 29-го октября 1941 г.</w:t>
      </w:r>
    </w:p>
    <w:p w14:paraId="5B4CDA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ТБ-7 № 4217 с моторами АМ-35А № 3045, 291942, 291921 и 29I94I получен на заводе № 124 25-го октября 1941 г. С момента выпуска с завода самолет имеет налет 10 часов,</w:t>
      </w:r>
    </w:p>
    <w:p w14:paraId="2E74D3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аварии самолет получил следующие повреждения:</w:t>
      </w:r>
    </w:p>
    <w:p w14:paraId="52E014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Сломан нижний пояс 2-го лонжерона левой плоскости.</w:t>
      </w:r>
    </w:p>
    <w:p w14:paraId="798FAC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Помято ребро встречи за 1-м мотором и порвана обшивка крыла.</w:t>
      </w:r>
    </w:p>
    <w:p w14:paraId="17D99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Разрушен Ф-1.</w:t>
      </w:r>
    </w:p>
    <w:p w14:paraId="11013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Центроплан деформирован, лонжероны поломаны.</w:t>
      </w:r>
    </w:p>
    <w:p w14:paraId="7659F1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Смята нижняя часть Ф-4.</w:t>
      </w:r>
    </w:p>
    <w:p w14:paraId="739C1C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Порван 9-й шпангоут Ф-3.</w:t>
      </w:r>
    </w:p>
    <w:p w14:paraId="47004A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Правая плоскость оторвана от центроплана. Оба лонжерона погнуты и имеют трещины, обшивка в передней кромке смята и порвана.</w:t>
      </w:r>
    </w:p>
    <w:p w14:paraId="712E65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Подмоторные рамы правой плоскости оторваны.</w:t>
      </w:r>
    </w:p>
    <w:p w14:paraId="1C035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Все 4 мотора выбыли из строя, повреждены редукторы, 3-й мотор разрушен полностью.</w:t>
      </w:r>
    </w:p>
    <w:p w14:paraId="464428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Все 4-е винта повреждены.</w:t>
      </w:r>
    </w:p>
    <w:p w14:paraId="3FC35A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Шасси самолета поломаны.</w:t>
      </w:r>
    </w:p>
    <w:p w14:paraId="446F8C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Повреждены бензобаки правой плоскости.</w:t>
      </w:r>
    </w:p>
    <w:p w14:paraId="0662E4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Вывод:</w:t>
      </w:r>
    </w:p>
    <w:p w14:paraId="1ADD8B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подлежит восстановительному заводскому ремонту: с заменой центроплана, шассийных установок, подмоторных рам и ремонтом крыльев.</w:t>
      </w:r>
    </w:p>
    <w:p w14:paraId="404667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Для восстановления самолет разобрать и направить на завод № 124.</w:t>
      </w:r>
    </w:p>
    <w:p w14:paraId="67F93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Просить 13-е управление самолет №4217 списать с лицевого счета 432 ап".</w:t>
      </w:r>
    </w:p>
    <w:p w14:paraId="5E68B5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№4227</w:t>
      </w:r>
    </w:p>
    <w:p w14:paraId="7211C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"Доношу об аварии корабля ТБ-7 №4227, произошедшей в 01 ч. 15 минут 10.7.42 г., вследствие вынужденной посадки на лес Ра- менского парка, что в 5-ти километрах восточнее аэродрома Раменское.</w:t>
      </w:r>
    </w:p>
    <w:p w14:paraId="2FEA17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Корабль ТБ-7 №4227, в ночь с 9.7 на 10.7.42 г. выполнял боевое задание в составе экипажа: командира корабля - ст. лейтенанта Ищенко, штурмана аэ - капитана Ушакова, второго летчика - ст. лейтенанта Хорошилова, старшего борттехника - в/техника 1 ранга Громова, пом(ощника) борттехника - ст.т/лейтенанта Зубрицкого.</w:t>
      </w:r>
    </w:p>
    <w:p w14:paraId="429F28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полете на основную цель - жел. дор. узел Курск, в районе г. Орел корабль был обстрелян ЗА противника. По докладу подшас- сийных стрелков один снаряд разорвался близко под левой плоскостью, после чего на моторе № 2 резко повысилась температура воды до 120° и (он) сбавил обороты до 1200 об/мин. Мотор № 2 был выключен.</w:t>
      </w:r>
    </w:p>
    <w:p w14:paraId="6EE93B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корабля принял решение бомбить запасную цель - жел. дор. узел Орел, что и было выполнено. Выполнив бомбометание по ж.д. узлу Орел, корабль на трех моторах прилетел к своему аэродрому. По моему наблюдению со старта, командир корабля Ищенко, сделав круг над аэродромом, нормально зашел на посадку. Выйдя на прямую по "Т", включил обе фары, проплани- ровал по прямой 12-20 секунд, (затем) корабль на высоте около 150 метров резко с креном в 30° начал разворачиваться влево, с дальнейшим снижением. Когда корабль ТБ-7 развернулся влево на 160°-180", света фар я уже не видел и наблюдение за кораблем потерял.</w:t>
      </w:r>
    </w:p>
    <w:p w14:paraId="048C8F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Авария корабля ТБ-7 №4227 произошла по причине: отказа мотора № 2 еще при подходе к запасной цели. При планировании на прямой по "Т" отказал мотор № 1, вследствие чего корабль резко развернуло влево, а затем отказал мотор № 3,</w:t>
      </w:r>
    </w:p>
    <w:p w14:paraId="1F6D4A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Вероятной причиной отказа моторов послужило повреждение бензиновых магистралей от пожарных кранов до бензопомпы 1-го и 3-го моторов, в результате обстрела ЗА над целью.</w:t>
      </w:r>
    </w:p>
    <w:p w14:paraId="3EC39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корабля Ишенко, как летчик сделал все возможное, чтобы по приборам вывести корабль из создавшегося разворота, сохранить скорость и нормально посадить корабль на лес, используя свет фар с тем, чтобы спасти жизнь членов экипажа.</w:t>
      </w:r>
    </w:p>
    <w:p w14:paraId="702A07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Командир 746 ап майор Егоров".</w:t>
      </w:r>
    </w:p>
    <w:p w14:paraId="176CEF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Донесение командира корабля ст. лейтенанта Н.А.Ишенко.</w:t>
      </w:r>
    </w:p>
    <w:p w14:paraId="493EB6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Кратово, 12.7. 1942 г.:</w:t>
      </w:r>
    </w:p>
    <w:p w14:paraId="05E318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"Доношу о полете на боевое задание в ночь с 9-го на 10-е июля 1942 года. Взлет был произведен 9.7.42 г. в 21 час 25 мин. После набора высоты 100 метров наддув был установлен 900 мм, с этим наддувом на скорости 220 км/ч по прибору производился набор высоты до 8500 метров (заданная высота бомбометания), моторы работали отлично. В воздухе было получено распоряжение всем самолетам ТБ-7 бомбить не Курский ж.д. узел, а ж.д. узел г. Орла. Штурман произвел новые расчеты, и курс был изменен на Орел, о чем было сообщено с борта.</w:t>
      </w:r>
    </w:p>
    <w:p w14:paraId="743E6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Не долетая до цели километров 20, нами было получено с земли, что распоряжение в отношении г. Орла нас не касается и что нам надлежит бомбить основную цель. Были также произведены новые расчеты, и курс был изменен на г. Курск. Пройдя этим курсом минут 5, мотор №2 резко сбавил обороты до 1000-1200 об/мин и стала </w:t>
      </w:r>
      <w:r w:rsidRPr="00F90EAE">
        <w:rPr>
          <w:color w:val="000000" w:themeColor="text1"/>
          <w:sz w:val="16"/>
          <w:szCs w:val="16"/>
        </w:rPr>
        <w:lastRenderedPageBreak/>
        <w:t>резко подниматься температура воды, мотор был выключен. Штурману дано мною приказание бомбить запасную цель - ж.д. узел Орла, одновременно было сообщено на КП о принятии решения.</w:t>
      </w:r>
    </w:p>
    <w:p w14:paraId="19568D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Бомбометание было произведено с высоты 3.300 метров на скорости 220 км/час по прибору с одного захода. Сброшено 8 ФАБ-250 и 2 ФАБ-1000, после чего полет производился на следующем режиме: Ра всех моторов было установлено 800 мм, скорость по прибору 220 км/ч, остальные моторы работали отлично. Начиная от Коломны (самолет) все время держали прожектора, несмотря на дачу сигнала "я свой". Как потом выяснилось, сигнал был дан неверно. Так как шел дождь, аэродром увидел, когда подошел к нему вплотную. Были даны все сигналы о принадлежности самолета Рамен- скому аэродрому. Сделал круг над аэродромом и дважды сообщил о том, что находимся над аэродромом. Перед третьим разворотом начал выпуск шасси. Во время третьего разворота на аэродроме были зажжены посадочные прожектора, после разворота были потушены. Идя под углом 90° к "Т" дважды правой фарой просил старт, в это время была открыта пулеметная стрельба на Рамен- ском аэродроме. Последний разворот производил по времени, так как на аэродроме и в его районе световых точек не было видно, взлетных полос из-за дождя также не было видно.</w:t>
      </w:r>
    </w:p>
    <w:p w14:paraId="288D23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развороте были зажжены фары, в надежде на то, что будет дан старт. В конце разворота отказали все моторы. Высота в это время была 280-250 метров. Так как не было никаких световых точек, и земля также была плохо видна, то машину пришлось восстановить в нормальный режим планирования по приборам, высота в это время была 130-120 метров. Была дана команда убрать шасси, в это время штурман выпрыгнул, остальной экипаж ушел в Ф-2 и Ф-3 за исключением командира корабля, 2-го летчика и 1 -го б/техника, которые оставались до окончания посадки на своих местах. Посадка после восстановления нормального режима планирования производилась прямо перед собой на лес. Зажигание было выключено с 20 метров над лесом, до этого была попытка подкачки горючего ручным альвейером. Посадка произведена 10.7.42 г. в 01 час 15 минут.</w:t>
      </w:r>
    </w:p>
    <w:p w14:paraId="49A881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замечено при полете: перед отказом мотора №2 стрелками был замечен под плоскостью разрыв снаряда. В момент захода на посадку отказал мотор № 1, вследствие чего машину резко развернуло влево. Заметить это не было возможности, было такое ощущение, что будто бы все моторы сдали сразу в одно время".</w:t>
      </w:r>
    </w:p>
    <w:p w14:paraId="606BF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техническому акту, подготовленному 15 июля 1942 г. признавалось, что повреждения самолета в результате аварии делают невозможным ремонт и что поэтому самолет подлежит разборке на утиль и запчасти. Для ремонта в ПАРМ может быть использовано:</w:t>
      </w:r>
    </w:p>
    <w:p w14:paraId="28390D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Вертикальное оперение.</w:t>
      </w:r>
    </w:p>
    <w:p w14:paraId="2FC93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Лонжероны руля высоты.</w:t>
      </w:r>
    </w:p>
    <w:p w14:paraId="5597F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Кронштейны подвески руля поворота на 9-м шпангоуте.</w:t>
      </w:r>
    </w:p>
    <w:p w14:paraId="40E2B9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Верхняя надстройка центроплана.</w:t>
      </w:r>
    </w:p>
    <w:p w14:paraId="54E732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Фонарь летчиков и пол пилотов с арматурой.</w:t>
      </w:r>
    </w:p>
    <w:p w14:paraId="448BAD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Часть магистральной арматуры.</w:t>
      </w:r>
    </w:p>
    <w:p w14:paraId="3D7DBD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Часть вооружения и спецоборудования.</w:t>
      </w:r>
    </w:p>
    <w:p w14:paraId="1BE09F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№42068</w:t>
      </w:r>
    </w:p>
    <w:p w14:paraId="136265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техническом акте, подготовленном 13.12.42 г. указывалось: "Самолет Пе-8 №42068 выпущен заводом №22 НКАП 1 сентября 1942 г. с 4-мя моторами АМ-35А... получен с завода 890-м авиаполком дальнего </w:t>
      </w:r>
    </w:p>
    <w:p w14:paraId="40CEC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действия 4.11.42 г. С начала эксплуатации самолет налетал 15 час 55 мин, произвел 20 посадок...</w:t>
      </w:r>
    </w:p>
    <w:p w14:paraId="57AFA2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Пе-8 №42068 под управлением командира корабля майора Пахомчик и борттехника инженер-капитана Шатохина при возвращении с боевого задания 1.12.42 г. при подходе к аэродрому потерпел катастрофу. Самолет сгорел полностью со всем оборудованием, вооружением, бортинструмен- том и одиннадцатью парашютами".</w:t>
      </w:r>
    </w:p>
    <w:p w14:paraId="0809BF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№42097 и №42015</w:t>
      </w:r>
    </w:p>
    <w:p w14:paraId="78FCD4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Потерпели катастрофу на аэродроме Кра- тово 28 октября 1942 г. "Самолет 42097 и части самолета 42015 переданы в ПАМ-5 для производства восстановительного ремонта, при котором используются Ф-1 и центроплан самолета 42097, Ф-3 и плоскости с самолета 42015. Самолет восстанавливается под номером 42097".</w:t>
      </w:r>
    </w:p>
    <w:p w14:paraId="1660B4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№42015 был принят с завода №124 18 марта 1941 г.</w:t>
      </w:r>
    </w:p>
    <w:p w14:paraId="16F36C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№42028</w:t>
      </w:r>
    </w:p>
    <w:p w14:paraId="13A5F1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Выпущен заводом №22 с четырьмя двигателями АМ-35А 30 июля 1942 г. Налетал 271 ч. 31 мин, совершил 77 посадок, 1-й мотор заменялся 5 раз, 2-й - 2 раза, 3-й - 3 раза, 4-й - 3 раза. При выполнении боевого задания 24 февраля 1942 г. через 40 мин полета первый мотор начало трясти, далее обнаружилась течь масла - мотор был выключен. Не выполнив боевого задания, самолет произвел посадку с бомбами (полетный вес 31,5 т) на аэродроме Кратово. Посадка была произведена до посадочного "Т" за 200-300 м со сносом, с креном на левое Подъем аварийного Пе-8 крыло. При совершении посадки при силь- Ш42028 при помощи под- ном ударе стойки левого шасси подломи- ручных средств для уста- лись, и левая консоль зацепила за землю, за- новки на шасси тем последовало разрушение правой стойки и самолет развернуло влево. Экипаж: командир капитан Сугак, 2-й летчик майор Васильев, штурман ст. лейтенант Белоус, борт- техники - ст. техник-лейтенант Прудыус и ст. техник-лейтенант Корнеев.</w:t>
      </w:r>
    </w:p>
    <w:p w14:paraId="602BA0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февраля 1942 г. аварийная комиссия постановила, что самолет может быть отремонтирован силами авиаремонтных мастерских с помощью ремонтной бригады завода №22.</w:t>
      </w:r>
    </w:p>
    <w:p w14:paraId="04C156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№42076</w:t>
      </w:r>
    </w:p>
    <w:p w14:paraId="08152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Изготовлен на заводе №22 2 октября 1941 г. С начала эксплуатации налетал 189 ч 40 мин, посадок - 68. 14 марта 1943 г. после взлета на высоте 150 м поочередно встали два мотора: 2-й и 1-й. Командир корабля капитан Макаренко при двух работающих моторах принял решение садиться перед собой с убранным шасси. Самолет приземлился с бомбами на пересеченной местности, при посадке зацепил крылом два телеграфных столба, в конце пробега развернулся на 90°. Позднее №42076 был восстановлен.</w:t>
      </w:r>
    </w:p>
    <w:p w14:paraId="2E437E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№42087</w:t>
      </w:r>
    </w:p>
    <w:p w14:paraId="6E62EF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 с завода №22 29 июня 1942 г. налетал 207 час 59 мин, совершил 60 посадок. В ходе эксплуатации имел скоростной капот 6 июля 1942 г. на аэродроме Кратово, после чего прошел восстановительный ремонт. После ремонта налетал 190 часов 01 мин, совершил 47 посадок. После замены двигателей АМ-35А, выработавших моторесурс, 12 марта 1943 г. был выпущен в воздух для опробования новых двигателей на высоте 6300 метров. Командир корабля ст. лейтенант Кокорев, второй пилот лейтенант Романов, борттехник инженер-капитан Евлам- пиев. После выполнения набора заданной высоты, при снижении один за другим сдали 2-й, затем 1-й моторы. После отказа двух левых моторов самолет совершил вынужденную посадку с убранным шасси на лес в районе деревни Федоровка Виноградовского района Московской области. Несмотря на значительные повреждения, указывалось, что Пе-8 №42087 может быть восстановлен в ремонтных мастерских, с заменой Ф-4, левой плоскости, левого шасси, правой части горизонтального оперения.</w:t>
      </w:r>
    </w:p>
    <w:p w14:paraId="648EF5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№42038</w:t>
      </w:r>
    </w:p>
    <w:p w14:paraId="5B65B6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№42038 с М-30Б в 1943 г. находился в опытной эксплуатации в 45-й аддд. 10 апреля 1943 г. самолет, пилотируемый капитаном Перегудовым, борттехник ст. лейтенат Кищенко, взлетел с полетным весом 34,5 т для выполнения боевого задания. После выполнения боевого задания, при совершении посадки левая нога шасси сложилась, Пе-8 №42038 получил повреждения. Как оказалось, еше на взлете произошла поломка механизма фиксации ломающегося подкоса системы уборки основной левой стойки шасси. В дальнейшем рекомендовалось более тщательно осматривать самолеты перед вылетом, машины с большим полетным весом выводить на старт при помощи трактора.</w:t>
      </w:r>
    </w:p>
    <w:p w14:paraId="680545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№42098</w:t>
      </w:r>
    </w:p>
    <w:p w14:paraId="2D36A5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выпущен заводом №22 23 февраля 1943 г. С начала эксплуатации налетал 78 ч 49 мин, выполнил 17 посадок. При совершении взлета 5 апреля 1943 г. самолет с полетным весом 32.930 кг (бомбы 4.110 кг) во второй половине разбега развернуло влево. Летчик майор Сушин нажал на тормоз правого колеса, далее последовало разрушение правой, а затем и левой стоек шасси. Самолет после 600 метров пробега развернуло на 130-140°, и он лег на фюзеляж. Было принято решение отремонтировать самолет силами ремонтных мастерских.</w:t>
      </w:r>
    </w:p>
    <w:p w14:paraId="247E4F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№4215, №4218, №4225</w:t>
      </w:r>
    </w:p>
    <w:p w14:paraId="1CBB4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апреля 1943 г. командир 45-й авиадивизии Лебедев направил на имя командующего АДД Генерал-полковника Голованова письмо, в котором докладывал, что три самолета первых серий выпуска 1940 г. имеют значительный износ и требуют капитального ремонта. Эти три самолета: №4215 (налет 551 ч, 197 посадок), №4218 (налет 532 часа, 449 посадок) и №4225 (налет 230 часов, 832 посадки) предлагалось направить для ремонта на завод №22 с переоборудованием на двигатели М-82.</w:t>
      </w:r>
    </w:p>
    <w:p w14:paraId="56A658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Пока ожидали положительного решения, Пе-8 №4215 890-го ап продолжал тренировочные полеты. 31 мая 1943 г. самолет №4215 потерпел аварию на аэродроме Кратово. При взлете, во 2-й половине разбега в №4215 врезался истребитель Як-7Б (летчик сержант Сопик совершал вынужденную посадку под углом 45° к полосе по причине отказа двигателя). Признавалось, что вследствие больших разрушений, полученных при аварии, а также вследствие изношенности планера и оборудования самолет восстанавливать нецелесообразно. Отдельные части планера и оборудования предлагалось использовать для ремонта других самолетов. Пе-8 №4215 к этому времени уже налетал 622 часа 53 мин, совершил 246 посадок.</w:t>
      </w:r>
    </w:p>
    <w:p w14:paraId="46908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№42099</w:t>
      </w:r>
    </w:p>
    <w:p w14:paraId="31BDDB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Пе-8 с моторами М-82, выпушенный заводом №22 14 мая 1943 г., налетал 63 часа 46 мин, выполнил 26 посадок. При совершении тренировочных полетов самолет на пробеге через 500-600 метров развернуло влево, после разрушения шасси он лег на фюзеляж. Самолетом управляли: 1-й летчик капитан Зеленский, 2-й летчик ст. лейтенант Викентьев. Признавалось, что Пе-8 №42099 можно отремонтировать в мастерских ПАМ-5.</w:t>
      </w:r>
    </w:p>
    <w:p w14:paraId="5B8BB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№42610</w:t>
      </w:r>
    </w:p>
    <w:p w14:paraId="1A21E1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Выпущен заводом №22 22 августа 1943 г., налетал 13 часов, совершил 8 посадок. 4 сентября 1943 г. вылетел на боевое задание, имея следующую нагрузку: горючего 5000 кг, бомб 5000 кг, экипаж 12 человек, полетный вес 32000 кг. При совершении взлета через 200 метров разбега попал в неуправляемый разворот и снес шасси. Техническая комиссия сделала заключение, что самолет может быть отремонтирован в ПАМ-5. Одновременно, комиссия указала, что подобные аварии уже были: "самолет имеет тенденцию к развороту влево при взлете и посадке, самовыключающийся стопор хвостового колеса не препятствует развороту и малейшее запаздывание в парировании разворота моторами не исключает ввода самолета в неуправляемый разворот, результатом чего в большинстве случаев является поломка шасси... Существующая прочность шасси недостаточная и особенно малым запасом прочности шасси обладают от боковых нагрузок".</w:t>
      </w:r>
    </w:p>
    <w:p w14:paraId="20D7F6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№42059</w:t>
      </w:r>
    </w:p>
    <w:p w14:paraId="182429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Списать в расход с 30 августа 1943 г, согласно техническому акту №01310 от 15 августа 1943 г.</w:t>
      </w:r>
    </w:p>
    <w:p w14:paraId="3E527C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№42108</w:t>
      </w:r>
    </w:p>
    <w:p w14:paraId="7D7812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Списать в расход с 27 сентября 1943 г. согласно техническому акту №0181 от 14 сентября 1943 г.</w:t>
      </w:r>
    </w:p>
    <w:p w14:paraId="0269D7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№42077</w:t>
      </w:r>
    </w:p>
    <w:p w14:paraId="317BE7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Списать в расход с 7 ноября 1943 г. согласно техническому акту №0216 от 30 ноября 1943 г. (12025).</w:t>
      </w:r>
    </w:p>
    <w:p w14:paraId="797BF2BD" w14:textId="77777777" w:rsidR="00665165" w:rsidRPr="00F90EAE" w:rsidRDefault="00665165" w:rsidP="00F90EAE">
      <w:pPr>
        <w:autoSpaceDE w:val="0"/>
        <w:autoSpaceDN w:val="0"/>
        <w:adjustRightInd w:val="0"/>
        <w:jc w:val="both"/>
        <w:rPr>
          <w:color w:val="000000" w:themeColor="text1"/>
          <w:sz w:val="16"/>
          <w:szCs w:val="16"/>
        </w:rPr>
      </w:pPr>
    </w:p>
    <w:p w14:paraId="231C3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(7666).</w:t>
      </w:r>
    </w:p>
    <w:p w14:paraId="0C63671A" w14:textId="77777777" w:rsidR="00665165" w:rsidRPr="00F90EAE" w:rsidRDefault="00665165" w:rsidP="00F90EAE">
      <w:pPr>
        <w:autoSpaceDE w:val="0"/>
        <w:autoSpaceDN w:val="0"/>
        <w:adjustRightInd w:val="0"/>
        <w:jc w:val="both"/>
        <w:rPr>
          <w:color w:val="000000" w:themeColor="text1"/>
          <w:sz w:val="16"/>
          <w:szCs w:val="16"/>
        </w:rPr>
      </w:pPr>
    </w:p>
    <w:p w14:paraId="5C7716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 мая 1945 г. 18-я воздушная ар</w:t>
      </w:r>
      <w:r w:rsidRPr="00F90EAE">
        <w:rPr>
          <w:color w:val="000000" w:themeColor="text1"/>
          <w:sz w:val="16"/>
          <w:szCs w:val="16"/>
        </w:rPr>
        <w:softHyphen/>
        <w:t>мия (в которую преобразовали АДД 6 декабря 1944 г.) имела 593 Ли-2, 553 Ил-4, 357 В-25, 101 Ер-2, 39 ТБ-3 и 32 Пе-8. Из 73 полков армии на Ил-4 ле</w:t>
      </w:r>
      <w:r w:rsidRPr="00F90EAE">
        <w:rPr>
          <w:color w:val="000000" w:themeColor="text1"/>
          <w:sz w:val="16"/>
          <w:szCs w:val="16"/>
        </w:rPr>
        <w:softHyphen/>
        <w:t>тали 28 (10734,81).</w:t>
      </w:r>
    </w:p>
    <w:p w14:paraId="5FA446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C300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10 мая 1945 г. 18-я воздушная армия (в которую преобразовали АДД 6 декабря 1944 г.) имела 593 Ли-2, 553 Ил-4, 357 В-25, 101 Ер-2, 39 ТБ-3 и 32 Пе-8. Из 73 полков армии на Ил-4 летали 28 (12021).</w:t>
      </w:r>
    </w:p>
    <w:p w14:paraId="19B6114C" w14:textId="77777777" w:rsidR="00665165" w:rsidRPr="00F90EAE" w:rsidRDefault="00665165" w:rsidP="00F90EAE">
      <w:pPr>
        <w:autoSpaceDE w:val="0"/>
        <w:autoSpaceDN w:val="0"/>
        <w:adjustRightInd w:val="0"/>
        <w:jc w:val="both"/>
        <w:rPr>
          <w:color w:val="000000" w:themeColor="text1"/>
          <w:sz w:val="16"/>
          <w:szCs w:val="16"/>
        </w:rPr>
      </w:pPr>
    </w:p>
    <w:p w14:paraId="78C2428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F7E7461" w14:textId="77777777" w:rsidR="00665165" w:rsidRPr="00F90EAE" w:rsidRDefault="00665165" w:rsidP="00F90EAE">
      <w:pPr>
        <w:autoSpaceDE w:val="0"/>
        <w:autoSpaceDN w:val="0"/>
        <w:adjustRightInd w:val="0"/>
        <w:jc w:val="both"/>
        <w:rPr>
          <w:iCs/>
          <w:color w:val="000000" w:themeColor="text1"/>
          <w:sz w:val="16"/>
          <w:szCs w:val="16"/>
        </w:rPr>
      </w:pPr>
    </w:p>
    <w:p w14:paraId="414390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г. вышло Постановление СНК СССР “О поставке Центросоюзу товаров широкого потребления и инструмента для нужд сельского хозяйства” (7543).</w:t>
      </w:r>
    </w:p>
    <w:p w14:paraId="580C0BA4" w14:textId="77777777" w:rsidR="00665165" w:rsidRPr="00F90EAE" w:rsidRDefault="00665165" w:rsidP="00F90EAE">
      <w:pPr>
        <w:autoSpaceDE w:val="0"/>
        <w:autoSpaceDN w:val="0"/>
        <w:adjustRightInd w:val="0"/>
        <w:jc w:val="both"/>
        <w:rPr>
          <w:color w:val="000000" w:themeColor="text1"/>
          <w:sz w:val="16"/>
          <w:szCs w:val="16"/>
        </w:rPr>
      </w:pPr>
    </w:p>
    <w:p w14:paraId="61277DC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311F88A" w14:textId="77777777" w:rsidR="00665165" w:rsidRPr="00F90EAE" w:rsidRDefault="00665165" w:rsidP="00F90EAE">
      <w:pPr>
        <w:autoSpaceDE w:val="0"/>
        <w:autoSpaceDN w:val="0"/>
        <w:adjustRightInd w:val="0"/>
        <w:jc w:val="both"/>
        <w:rPr>
          <w:iCs/>
          <w:color w:val="000000" w:themeColor="text1"/>
          <w:sz w:val="16"/>
          <w:szCs w:val="16"/>
        </w:rPr>
      </w:pPr>
    </w:p>
    <w:p w14:paraId="2378A2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8455 О предоставлении дополнительного займа Венгерскому правительству. РГАНИР, Фонд ГКО, д. 414, лл. 61 (11012).</w:t>
      </w:r>
    </w:p>
    <w:p w14:paraId="65FFA0BB" w14:textId="77777777" w:rsidR="00665165" w:rsidRPr="00F90EAE" w:rsidRDefault="00665165" w:rsidP="00F90EAE">
      <w:pPr>
        <w:autoSpaceDE w:val="0"/>
        <w:autoSpaceDN w:val="0"/>
        <w:adjustRightInd w:val="0"/>
        <w:jc w:val="both"/>
        <w:rPr>
          <w:color w:val="000000" w:themeColor="text1"/>
          <w:sz w:val="16"/>
          <w:szCs w:val="16"/>
        </w:rPr>
      </w:pPr>
    </w:p>
    <w:p w14:paraId="1AC60CA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мая 1945 вышло Постановление ГКО № 8478 О передаче Польской республике речных судов и портового оборудования из числа захваченных Красной Армией в качестве трофеев. (7338, 98).</w:t>
      </w:r>
    </w:p>
    <w:p w14:paraId="3AE08A5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328B28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B55CD58" w14:textId="77777777" w:rsidR="00665165" w:rsidRPr="00F90EAE" w:rsidRDefault="00665165" w:rsidP="00F90EAE">
      <w:pPr>
        <w:autoSpaceDE w:val="0"/>
        <w:autoSpaceDN w:val="0"/>
        <w:adjustRightInd w:val="0"/>
        <w:jc w:val="both"/>
        <w:rPr>
          <w:iCs/>
          <w:color w:val="000000" w:themeColor="text1"/>
          <w:sz w:val="16"/>
          <w:szCs w:val="16"/>
        </w:rPr>
      </w:pPr>
    </w:p>
    <w:p w14:paraId="05B37CD1" w14:textId="77777777" w:rsidR="00235F2C" w:rsidRPr="00F90EAE" w:rsidRDefault="00235F2C" w:rsidP="00F90EAE">
      <w:pPr>
        <w:jc w:val="both"/>
        <w:rPr>
          <w:color w:val="000000" w:themeColor="text1"/>
          <w:sz w:val="16"/>
          <w:szCs w:val="16"/>
        </w:rPr>
      </w:pPr>
      <w:r w:rsidRPr="00F90EAE">
        <w:rPr>
          <w:color w:val="000000" w:themeColor="text1"/>
          <w:sz w:val="16"/>
          <w:szCs w:val="16"/>
        </w:rPr>
        <w:t>10 мая в 1945 году правительство Чехословакии переехало в Прагу (14887).</w:t>
      </w:r>
    </w:p>
    <w:p w14:paraId="51C81B37" w14:textId="77777777" w:rsidR="00235F2C" w:rsidRPr="00F90EAE" w:rsidRDefault="00235F2C" w:rsidP="00F90EAE">
      <w:pPr>
        <w:jc w:val="both"/>
        <w:rPr>
          <w:color w:val="000000" w:themeColor="text1"/>
          <w:sz w:val="16"/>
          <w:szCs w:val="16"/>
        </w:rPr>
      </w:pPr>
    </w:p>
    <w:p w14:paraId="04C8FD27" w14:textId="77777777" w:rsidR="00235F2C" w:rsidRPr="00F90EAE" w:rsidRDefault="00235F2C" w:rsidP="00F90EAE">
      <w:pPr>
        <w:jc w:val="both"/>
        <w:rPr>
          <w:color w:val="000000" w:themeColor="text1"/>
          <w:sz w:val="16"/>
          <w:szCs w:val="16"/>
        </w:rPr>
      </w:pPr>
      <w:r w:rsidRPr="00F90EAE">
        <w:rPr>
          <w:color w:val="000000" w:themeColor="text1"/>
          <w:sz w:val="16"/>
          <w:szCs w:val="16"/>
        </w:rPr>
        <w:t>10 мая в 1945 году американские войска вступили в Линц (14887).</w:t>
      </w:r>
    </w:p>
    <w:p w14:paraId="2DA4716C" w14:textId="77777777" w:rsidR="00235F2C" w:rsidRPr="00F90EAE" w:rsidRDefault="00235F2C" w:rsidP="00F90EAE">
      <w:pPr>
        <w:jc w:val="both"/>
        <w:rPr>
          <w:color w:val="000000" w:themeColor="text1"/>
          <w:sz w:val="16"/>
          <w:szCs w:val="16"/>
        </w:rPr>
      </w:pPr>
    </w:p>
    <w:p w14:paraId="18A0152D" w14:textId="77777777" w:rsidR="00235F2C" w:rsidRPr="00F90EAE" w:rsidRDefault="00235F2C" w:rsidP="00F90EAE">
      <w:pPr>
        <w:jc w:val="both"/>
        <w:rPr>
          <w:color w:val="000000" w:themeColor="text1"/>
          <w:sz w:val="16"/>
          <w:szCs w:val="16"/>
        </w:rPr>
      </w:pPr>
      <w:r w:rsidRPr="00F90EAE">
        <w:rPr>
          <w:color w:val="000000" w:themeColor="text1"/>
          <w:sz w:val="16"/>
          <w:szCs w:val="16"/>
        </w:rPr>
        <w:t>10 мая в 1945 году американские войска заняли Кагаян (14887).</w:t>
      </w:r>
    </w:p>
    <w:p w14:paraId="50592A20" w14:textId="77777777" w:rsidR="00235F2C" w:rsidRPr="00F90EAE" w:rsidRDefault="00235F2C" w:rsidP="00F90EAE">
      <w:pPr>
        <w:jc w:val="both"/>
        <w:rPr>
          <w:color w:val="000000" w:themeColor="text1"/>
          <w:sz w:val="16"/>
          <w:szCs w:val="16"/>
        </w:rPr>
      </w:pPr>
    </w:p>
    <w:p w14:paraId="07B1F21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мая 1945 арестован глава профашистского правительства Норвегии В. Квислинг (4962).</w:t>
      </w:r>
    </w:p>
    <w:p w14:paraId="50A1BF8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83DE0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10–11 мая 1945 началась очередная операция «Кикусуй-6». В ней приняли участие 150 самолетов-камикадзе (70 морских и 80 армейских). Их прикрывали 125 истребителей. 11 мая летчикам самолетов Ока Я. Мицуо и К. Кодзи было приказано повредить взлетную полосу северного аэродрома Окинавы. Морально не готовые пожертвовать своими жизнями, летчики все же подчинились приказу. Однако они не смогли выполнить задание.</w:t>
      </w:r>
    </w:p>
    <w:p w14:paraId="28E535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Один из бомбардировщиков вернулся из-за неисправности моторов, а пилот другого носителя не сумел ночью в условиях густой облачности обнаружить аэродром.</w:t>
      </w:r>
    </w:p>
    <w:p w14:paraId="7C4A9E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5 часов к Окинаве отправилась ударная группа японских самолетов, которая включала 30 морских и 40 армейских самолетов, а также 26 самолетов из «Эскадрильи Кэмму». В состав морских самолетов входило четыре бомбардировщика Бетти с самолетами Ока. В 6 часов 30 минут ударную группу, которая пыталась прорваться к якорным стоянкам Иэ и Хагуси, перехватили американские истребители. В считанные минуты 93 японских самолета было сбито, включая и три носителя самолетов Ока.</w:t>
      </w:r>
    </w:p>
    <w:p w14:paraId="55A5BE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Четвертый самолет-снаряд с близкой дистанции был запущен по дозорному эсминцу «Хью У. Хэддли». Этот корабль в течение более полутора часов отражал массированные атаки камикадзе и сбил 23 японских самолета. В корабль попало несколько бомб и самолетов-камикадзе. Реактивный снаряд Ока взорвался вблизи корабля, причинив «Хэддли» тяжкие повреждения. 28 моряков было убито и 67 ранено. Корабль был отправлен на слом.</w:t>
      </w:r>
    </w:p>
    <w:p w14:paraId="5298E8CC"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rPr>
        <w:t>После операции «Кикусуй-6» Главный морской штаб объединил все оставшиеся самолеты в один воздушный флот, который назвали «Божественное воздушное объединение». Восновномэтобылитренировочныеиразведывательныесамолеты</w:t>
      </w:r>
      <w:r w:rsidRPr="00F90EAE">
        <w:rPr>
          <w:color w:val="000000" w:themeColor="text1"/>
          <w:sz w:val="16"/>
          <w:szCs w:val="16"/>
          <w:lang w:val="en-US"/>
        </w:rPr>
        <w:t xml:space="preserve"> (11686).</w:t>
      </w:r>
    </w:p>
    <w:p w14:paraId="4F27CE3F" w14:textId="77777777" w:rsidR="00665165" w:rsidRPr="00F90EAE" w:rsidRDefault="00665165" w:rsidP="00F90EAE">
      <w:pPr>
        <w:autoSpaceDE w:val="0"/>
        <w:autoSpaceDN w:val="0"/>
        <w:adjustRightInd w:val="0"/>
        <w:jc w:val="both"/>
        <w:rPr>
          <w:color w:val="000000" w:themeColor="text1"/>
          <w:sz w:val="16"/>
          <w:szCs w:val="16"/>
          <w:lang w:val="en-US"/>
        </w:rPr>
      </w:pPr>
    </w:p>
    <w:p w14:paraId="6D2756F1" w14:textId="77777777" w:rsidR="00B35A1B" w:rsidRPr="00F90EAE" w:rsidRDefault="00B35A1B" w:rsidP="00F90EAE">
      <w:pPr>
        <w:jc w:val="both"/>
        <w:rPr>
          <w:color w:val="0070C0"/>
          <w:sz w:val="16"/>
          <w:szCs w:val="16"/>
        </w:rPr>
      </w:pPr>
      <w:r w:rsidRPr="00F90EAE">
        <w:rPr>
          <w:color w:val="0070C0"/>
          <w:sz w:val="16"/>
          <w:szCs w:val="16"/>
        </w:rPr>
        <w:t>10–11 мая 1945 шестая атака японцев кикусуи у побережья Окинавы включает 150 камикадзе. Они повредили два эсминца и авианосец USS Bunker Hill, в результате чего 353 человека убиты, 43 пропали без вести и 264 ранены. Банкер-Хилл, один из наиболее сильно поврежденных авианосцев, переживших войну, не используется до конца Второй мировой войны (20371).</w:t>
      </w:r>
    </w:p>
    <w:p w14:paraId="193F5AB5" w14:textId="77777777" w:rsidR="00B35A1B" w:rsidRPr="00F90EAE" w:rsidRDefault="00B35A1B" w:rsidP="00F90EAE">
      <w:pPr>
        <w:jc w:val="both"/>
        <w:rPr>
          <w:color w:val="0070C0"/>
          <w:sz w:val="16"/>
          <w:szCs w:val="16"/>
        </w:rPr>
      </w:pPr>
    </w:p>
    <w:p w14:paraId="4520358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10 1945 In a crash program to counter the Japanese Baka (suicide) bomb, the Naval Aircraft Modification Unit was authorized to develop Little Joe, a ship-to-air guided missile powered with a standard JATO unit (1090).</w:t>
      </w:r>
    </w:p>
    <w:p w14:paraId="7FB36D49" w14:textId="77777777" w:rsidR="00665165" w:rsidRPr="00F90EAE" w:rsidRDefault="00665165" w:rsidP="00F90EAE">
      <w:pPr>
        <w:autoSpaceDE w:val="0"/>
        <w:autoSpaceDN w:val="0"/>
        <w:adjustRightInd w:val="0"/>
        <w:jc w:val="both"/>
        <w:rPr>
          <w:color w:val="000000" w:themeColor="text1"/>
          <w:sz w:val="16"/>
          <w:szCs w:val="16"/>
          <w:lang w:val="en-US"/>
        </w:rPr>
      </w:pPr>
    </w:p>
    <w:p w14:paraId="21748E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мая 1945 было выдано задание на разработку ракеты поверхность-воздух для уничтожения управляемых камикадзе бомб Бака (1090).</w:t>
      </w:r>
    </w:p>
    <w:p w14:paraId="0F8C47AE" w14:textId="77777777" w:rsidR="00665165" w:rsidRPr="00F90EAE" w:rsidRDefault="00665165" w:rsidP="00F90EAE">
      <w:pPr>
        <w:autoSpaceDE w:val="0"/>
        <w:autoSpaceDN w:val="0"/>
        <w:adjustRightInd w:val="0"/>
        <w:jc w:val="both"/>
        <w:rPr>
          <w:color w:val="000000" w:themeColor="text1"/>
          <w:sz w:val="16"/>
          <w:szCs w:val="16"/>
        </w:rPr>
      </w:pPr>
    </w:p>
    <w:p w14:paraId="4045D56C" w14:textId="77777777" w:rsidR="00B35A1B" w:rsidRPr="00F90EAE" w:rsidRDefault="00B35A1B" w:rsidP="00F90EAE">
      <w:pPr>
        <w:jc w:val="both"/>
        <w:rPr>
          <w:color w:val="0070C0"/>
          <w:sz w:val="16"/>
          <w:szCs w:val="16"/>
        </w:rPr>
      </w:pPr>
      <w:r w:rsidRPr="00F90EAE">
        <w:rPr>
          <w:color w:val="0070C0"/>
          <w:sz w:val="16"/>
          <w:szCs w:val="16"/>
        </w:rPr>
        <w:t>10 мая 1945 в ходен наблюдение за японским Kawasaki Ki-45, который летит высоко над Окинавой, старший лейтенант морской пехоты США Роберт Р. Клингман на F4U Corsair преследует более его 185 миль и перехватывает Ki-45 на высоте 38 000 футов (11583 м). Найдя орудия заморожен, он поднимается значительно выше предела потолка Corsair 41,600 футов (12680 м) и врезается в хвост Ки-45 » винтом за несколько проходов. Затем он благополучно приземляется на поле Кадена на Окинаве и получает Морской крест за это действие (20371).</w:t>
      </w:r>
    </w:p>
    <w:p w14:paraId="5219674D" w14:textId="77777777" w:rsidR="00B35A1B" w:rsidRPr="00F90EAE" w:rsidRDefault="00B35A1B" w:rsidP="00F90EAE">
      <w:pPr>
        <w:jc w:val="both"/>
        <w:rPr>
          <w:color w:val="0070C0"/>
          <w:sz w:val="16"/>
          <w:szCs w:val="16"/>
        </w:rPr>
      </w:pPr>
    </w:p>
    <w:p w14:paraId="13A69D0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9E1EB14" w14:textId="77777777" w:rsidR="00665165" w:rsidRPr="00F90EAE" w:rsidRDefault="00665165" w:rsidP="00F90EAE">
      <w:pPr>
        <w:autoSpaceDE w:val="0"/>
        <w:autoSpaceDN w:val="0"/>
        <w:adjustRightInd w:val="0"/>
        <w:jc w:val="both"/>
        <w:rPr>
          <w:iCs/>
          <w:color w:val="000000" w:themeColor="text1"/>
          <w:sz w:val="16"/>
          <w:szCs w:val="16"/>
        </w:rPr>
      </w:pPr>
    </w:p>
    <w:p w14:paraId="6B0455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мая 1945 Ил-8 № 1, на который 6 мая 1945 устано</w:t>
      </w:r>
      <w:r w:rsidRPr="00F90EAE">
        <w:rPr>
          <w:color w:val="000000" w:themeColor="text1"/>
          <w:sz w:val="16"/>
          <w:szCs w:val="16"/>
        </w:rPr>
        <w:softHyphen/>
        <w:t>вили другой мотор АМ-42 (зав. № 45733), завершил заводские испытания. В общей сложности было выполнено 68 полетов с налетом 34 ч 9 мин.</w:t>
      </w:r>
    </w:p>
    <w:p w14:paraId="2052E2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полетном весе 7540 кг (1 000 кг бомб) самолет показал мак</w:t>
      </w:r>
      <w:r w:rsidRPr="00F90EAE">
        <w:rPr>
          <w:color w:val="000000" w:themeColor="text1"/>
          <w:sz w:val="16"/>
          <w:szCs w:val="16"/>
        </w:rPr>
        <w:softHyphen/>
        <w:t>симальную скорость 473 км/ч у зем</w:t>
      </w:r>
      <w:r w:rsidRPr="00F90EAE">
        <w:rPr>
          <w:color w:val="000000" w:themeColor="text1"/>
          <w:sz w:val="16"/>
          <w:szCs w:val="16"/>
        </w:rPr>
        <w:softHyphen/>
        <w:t>ли и 516 км/ч на высоте 2720 м. Время подъема на высоту 1000 м со</w:t>
      </w:r>
      <w:r w:rsidRPr="00F90EAE">
        <w:rPr>
          <w:color w:val="000000" w:themeColor="text1"/>
          <w:sz w:val="16"/>
          <w:szCs w:val="16"/>
        </w:rPr>
        <w:softHyphen/>
        <w:t>ставило 2,2 минут. Разбег на фор</w:t>
      </w:r>
      <w:r w:rsidRPr="00F90EAE">
        <w:rPr>
          <w:color w:val="000000" w:themeColor="text1"/>
          <w:sz w:val="16"/>
          <w:szCs w:val="16"/>
        </w:rPr>
        <w:softHyphen/>
        <w:t>саже и с отклоненными на 17° щит</w:t>
      </w:r>
      <w:r w:rsidRPr="00F90EAE">
        <w:rPr>
          <w:color w:val="000000" w:themeColor="text1"/>
          <w:sz w:val="16"/>
          <w:szCs w:val="16"/>
        </w:rPr>
        <w:softHyphen/>
        <w:t>ками равнялся 526 м. С предельно возможной заправкой горючим и маслом (полетный вес 7830 кг) даль</w:t>
      </w:r>
      <w:r w:rsidRPr="00F90EAE">
        <w:rPr>
          <w:color w:val="000000" w:themeColor="text1"/>
          <w:sz w:val="16"/>
          <w:szCs w:val="16"/>
        </w:rPr>
        <w:softHyphen/>
        <w:t>ность полета на высоте 680 м при скорости по прибору 297 км/ч дос</w:t>
      </w:r>
      <w:r w:rsidRPr="00F90EAE">
        <w:rPr>
          <w:color w:val="000000" w:themeColor="text1"/>
          <w:sz w:val="16"/>
          <w:szCs w:val="16"/>
        </w:rPr>
        <w:softHyphen/>
        <w:t>тигала 1270 км.</w:t>
      </w:r>
    </w:p>
    <w:p w14:paraId="26CE18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 В. К. Коккинаки дал хо</w:t>
      </w:r>
      <w:r w:rsidRPr="00F90EAE">
        <w:rPr>
          <w:color w:val="000000" w:themeColor="text1"/>
          <w:sz w:val="16"/>
          <w:szCs w:val="16"/>
        </w:rPr>
        <w:softHyphen/>
        <w:t>рошую оценку летным качествам са</w:t>
      </w:r>
      <w:r w:rsidRPr="00F90EAE">
        <w:rPr>
          <w:color w:val="000000" w:themeColor="text1"/>
          <w:sz w:val="16"/>
          <w:szCs w:val="16"/>
        </w:rPr>
        <w:softHyphen/>
        <w:t>молета, отметив простоту и легкость управления, а также устойчивость ма</w:t>
      </w:r>
      <w:r w:rsidRPr="00F90EAE">
        <w:rPr>
          <w:color w:val="000000" w:themeColor="text1"/>
          <w:sz w:val="16"/>
          <w:szCs w:val="16"/>
        </w:rPr>
        <w:softHyphen/>
        <w:t>шины по всем направлениям. Вира-жил и пикировал самолет устойчиво, без рысканий, легко "доворачивал" на цель. Вывод из пикирования ни</w:t>
      </w:r>
      <w:r w:rsidRPr="00F90EAE">
        <w:rPr>
          <w:color w:val="000000" w:themeColor="text1"/>
          <w:sz w:val="16"/>
          <w:szCs w:val="16"/>
        </w:rPr>
        <w:softHyphen/>
        <w:t>каких особенностей не имел. Посад</w:t>
      </w:r>
      <w:r w:rsidRPr="00F90EAE">
        <w:rPr>
          <w:color w:val="000000" w:themeColor="text1"/>
          <w:sz w:val="16"/>
          <w:szCs w:val="16"/>
        </w:rPr>
        <w:softHyphen/>
        <w:t>ка была простой, тенденций к свали</w:t>
      </w:r>
      <w:r w:rsidRPr="00F90EAE">
        <w:rPr>
          <w:color w:val="000000" w:themeColor="text1"/>
          <w:sz w:val="16"/>
          <w:szCs w:val="16"/>
        </w:rPr>
        <w:softHyphen/>
        <w:t>ванию при высоком выравнивании не наблюдалось. В качестве недостат</w:t>
      </w:r>
      <w:r w:rsidRPr="00F90EAE">
        <w:rPr>
          <w:color w:val="000000" w:themeColor="text1"/>
          <w:sz w:val="16"/>
          <w:szCs w:val="16"/>
        </w:rPr>
        <w:softHyphen/>
        <w:t>ков указывались отсутствие тримме</w:t>
      </w:r>
      <w:r w:rsidRPr="00F90EAE">
        <w:rPr>
          <w:color w:val="000000" w:themeColor="text1"/>
          <w:sz w:val="16"/>
          <w:szCs w:val="16"/>
        </w:rPr>
        <w:softHyphen/>
        <w:t>ра на элеронах и неравномерный обдув маслорадиатора.</w:t>
      </w:r>
    </w:p>
    <w:p w14:paraId="4B826BAF" w14:textId="77777777" w:rsidR="00665165" w:rsidRPr="00F90EAE" w:rsidRDefault="00665165" w:rsidP="00F90EAE">
      <w:pPr>
        <w:shd w:val="clear" w:color="auto" w:fill="FFFFFF"/>
        <w:autoSpaceDE w:val="0"/>
        <w:autoSpaceDN w:val="0"/>
        <w:adjustRightInd w:val="0"/>
        <w:jc w:val="both"/>
        <w:rPr>
          <w:iCs/>
          <w:color w:val="000000" w:themeColor="text1"/>
          <w:sz w:val="16"/>
          <w:szCs w:val="16"/>
        </w:rPr>
      </w:pPr>
      <w:r w:rsidRPr="00F90EAE">
        <w:rPr>
          <w:color w:val="000000" w:themeColor="text1"/>
          <w:sz w:val="16"/>
          <w:szCs w:val="16"/>
        </w:rPr>
        <w:t xml:space="preserve">В заключение отчета Ил-8 № 1 рекомендовался </w:t>
      </w:r>
      <w:r w:rsidRPr="00F90EAE">
        <w:rPr>
          <w:iCs/>
          <w:color w:val="000000" w:themeColor="text1"/>
          <w:sz w:val="16"/>
          <w:szCs w:val="16"/>
        </w:rPr>
        <w:t>"к внедрению в се</w:t>
      </w:r>
      <w:r w:rsidRPr="00F90EAE">
        <w:rPr>
          <w:iCs/>
          <w:color w:val="000000" w:themeColor="text1"/>
          <w:sz w:val="16"/>
          <w:szCs w:val="16"/>
        </w:rPr>
        <w:softHyphen/>
        <w:t>рийное производство в качестве штурмовика-бомбардировщика " (11431).</w:t>
      </w:r>
    </w:p>
    <w:p w14:paraId="656A03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1AC070" w14:textId="77777777" w:rsidR="005F32F4" w:rsidRPr="00F90EAE" w:rsidRDefault="005F32F4" w:rsidP="00F90EAE">
      <w:pPr>
        <w:jc w:val="both"/>
        <w:rPr>
          <w:color w:val="000000" w:themeColor="text1"/>
          <w:sz w:val="16"/>
          <w:szCs w:val="16"/>
        </w:rPr>
      </w:pPr>
      <w:r w:rsidRPr="00F90EAE">
        <w:rPr>
          <w:color w:val="000000" w:themeColor="text1"/>
          <w:sz w:val="16"/>
          <w:szCs w:val="16"/>
        </w:rPr>
        <w:lastRenderedPageBreak/>
        <w:t>11 мая 1945 г. решение комиссии было утверждено. К тому моменту в массовое про</w:t>
      </w:r>
      <w:r w:rsidRPr="00F90EAE">
        <w:rPr>
          <w:color w:val="000000" w:themeColor="text1"/>
          <w:sz w:val="16"/>
          <w:szCs w:val="16"/>
        </w:rPr>
        <w:softHyphen/>
        <w:t>изводство вместо АБ-2 была запущена авиационная броня АБ-3, которая удовлетвори</w:t>
      </w:r>
      <w:r w:rsidRPr="00F90EAE">
        <w:rPr>
          <w:color w:val="000000" w:themeColor="text1"/>
          <w:sz w:val="16"/>
          <w:szCs w:val="16"/>
        </w:rPr>
        <w:softHyphen/>
        <w:t>тельно прошла государственные испытания. Во II квартале 1945 г. металлургические заводы выплавили 400 т бронестали АБ-3 и отправили ее на заводы НКАП (№207 и 125) для изготов</w:t>
      </w:r>
      <w:r w:rsidRPr="00F90EAE">
        <w:rPr>
          <w:color w:val="000000" w:themeColor="text1"/>
          <w:sz w:val="16"/>
          <w:szCs w:val="16"/>
        </w:rPr>
        <w:softHyphen/>
        <w:t>ления бронекорпусов Ил-2.</w:t>
      </w:r>
    </w:p>
    <w:p w14:paraId="305546F4" w14:textId="77777777" w:rsidR="005F32F4" w:rsidRPr="00F90EAE" w:rsidRDefault="005F32F4" w:rsidP="00F90EAE">
      <w:pPr>
        <w:jc w:val="both"/>
        <w:rPr>
          <w:rStyle w:val="aff6"/>
          <w:rFonts w:ascii="Times New Roman" w:hAnsi="Times New Roman" w:cs="Times New Roman"/>
          <w:i w:val="0"/>
          <w:color w:val="000000" w:themeColor="text1"/>
        </w:rPr>
      </w:pPr>
      <w:r w:rsidRPr="00F90EAE">
        <w:rPr>
          <w:color w:val="000000" w:themeColor="text1"/>
          <w:sz w:val="16"/>
          <w:szCs w:val="16"/>
        </w:rPr>
        <w:t>Однако исполняющий обязанности на</w:t>
      </w:r>
      <w:r w:rsidRPr="00F90EAE">
        <w:rPr>
          <w:color w:val="000000" w:themeColor="text1"/>
          <w:sz w:val="16"/>
          <w:szCs w:val="16"/>
        </w:rPr>
        <w:softHyphen/>
        <w:t>чальника 5-го отдела УЗСиМ ГУЗ ВВС инженер-майор Ершов в мае запретил военпреду завода №207 инженер-капитану Близнюку принимать детали из брони АБ-3 по сущест</w:t>
      </w:r>
      <w:r w:rsidRPr="00F90EAE">
        <w:rPr>
          <w:color w:val="000000" w:themeColor="text1"/>
          <w:sz w:val="16"/>
          <w:szCs w:val="16"/>
        </w:rPr>
        <w:softHyphen/>
        <w:t>вующим техническим условиям,</w:t>
      </w:r>
      <w:r w:rsidRPr="00F90EAE">
        <w:rPr>
          <w:rStyle w:val="aff6"/>
          <w:rFonts w:ascii="Times New Roman" w:hAnsi="Times New Roman" w:cs="Times New Roman"/>
          <w:i w:val="0"/>
          <w:color w:val="000000" w:themeColor="text1"/>
        </w:rPr>
        <w:t xml:space="preserve"> «потребовав не предусмотренных ТУ испытаний снарядами крупного калибра» (17479).</w:t>
      </w:r>
    </w:p>
    <w:p w14:paraId="528FD64E" w14:textId="77777777" w:rsidR="005F32F4" w:rsidRPr="00F90EAE" w:rsidRDefault="005F32F4" w:rsidP="00F90EAE">
      <w:pPr>
        <w:jc w:val="both"/>
        <w:rPr>
          <w:color w:val="000000" w:themeColor="text1"/>
          <w:sz w:val="16"/>
          <w:szCs w:val="16"/>
        </w:rPr>
      </w:pPr>
    </w:p>
    <w:p w14:paraId="731D5C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мая 1945, после устранения дефекта, состоялся сле</w:t>
      </w:r>
      <w:r w:rsidRPr="00F90EAE">
        <w:rPr>
          <w:color w:val="000000" w:themeColor="text1"/>
          <w:sz w:val="16"/>
          <w:szCs w:val="16"/>
        </w:rPr>
        <w:softHyphen/>
        <w:t>дующий полет ДВБ-102 с моторами М-71 и турбокомпрессорами ТК-3 в подмосковной Чкаловской. При этом впервые удалось подняться на высоту 10 500 метров. Однако и в этот раз, несмот</w:t>
      </w:r>
      <w:r w:rsidRPr="00F90EAE">
        <w:rPr>
          <w:color w:val="000000" w:themeColor="text1"/>
          <w:sz w:val="16"/>
          <w:szCs w:val="16"/>
        </w:rPr>
        <w:softHyphen/>
        <w:t>ря на двойные стекла, их затягивала ледяная пленка. Вдобавок из подвижных соединений моторов выбива</w:t>
      </w:r>
      <w:r w:rsidRPr="00F90EAE">
        <w:rPr>
          <w:color w:val="000000" w:themeColor="text1"/>
          <w:sz w:val="16"/>
          <w:szCs w:val="16"/>
        </w:rPr>
        <w:softHyphen/>
        <w:t>ло газы, а из суфлера — масло. Уже после полета обна</w:t>
      </w:r>
      <w:r w:rsidRPr="00F90EAE">
        <w:rPr>
          <w:color w:val="000000" w:themeColor="text1"/>
          <w:sz w:val="16"/>
          <w:szCs w:val="16"/>
        </w:rPr>
        <w:softHyphen/>
        <w:t>ружили оборванный болт, крепивший одну из шесте</w:t>
      </w:r>
      <w:r w:rsidRPr="00F90EAE">
        <w:rPr>
          <w:color w:val="000000" w:themeColor="text1"/>
          <w:sz w:val="16"/>
          <w:szCs w:val="16"/>
        </w:rPr>
        <w:softHyphen/>
        <w:t>рен редуктора. Несмотря на то что двигатель М-71Ф, развивав</w:t>
      </w:r>
      <w:r w:rsidRPr="00F90EAE">
        <w:rPr>
          <w:color w:val="000000" w:themeColor="text1"/>
          <w:sz w:val="16"/>
          <w:szCs w:val="16"/>
        </w:rPr>
        <w:softHyphen/>
        <w:t>ший взлетную мощность 2250 л.с., прошел 50-часовые стендовые испытания, его плохая работа постоянно проявлялась в полетах. Так, например, 20 июля 1945 го</w:t>
      </w:r>
      <w:r w:rsidRPr="00F90EAE">
        <w:rPr>
          <w:color w:val="000000" w:themeColor="text1"/>
          <w:sz w:val="16"/>
          <w:szCs w:val="16"/>
        </w:rPr>
        <w:softHyphen/>
        <w:t>да при выполнении полета с целью определения гра</w:t>
      </w:r>
      <w:r w:rsidRPr="00F90EAE">
        <w:rPr>
          <w:color w:val="000000" w:themeColor="text1"/>
          <w:sz w:val="16"/>
          <w:szCs w:val="16"/>
        </w:rPr>
        <w:softHyphen/>
        <w:t>ниц высотности двигателей на первой и второй скоро</w:t>
      </w:r>
      <w:r w:rsidRPr="00F90EAE">
        <w:rPr>
          <w:color w:val="000000" w:themeColor="text1"/>
          <w:sz w:val="16"/>
          <w:szCs w:val="16"/>
        </w:rPr>
        <w:softHyphen/>
        <w:t>стях вращения нагнетателя на высоте 4200 м из-за разрушения шатунов коленчатого вала отказал левый мотор.</w:t>
      </w:r>
    </w:p>
    <w:p w14:paraId="486355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итоге почти четырехлетней работы на ДВБ-102 получили максимальную скорость 570 км/ч, практиче</w:t>
      </w:r>
      <w:r w:rsidRPr="00F90EAE">
        <w:rPr>
          <w:color w:val="000000" w:themeColor="text1"/>
          <w:sz w:val="16"/>
          <w:szCs w:val="16"/>
        </w:rPr>
        <w:softHyphen/>
        <w:t>ский потолок 10 750 м и дальность 3740 км. К этому времени полным ходом шли работы по четырехмотор</w:t>
      </w:r>
      <w:r w:rsidRPr="00F90EAE">
        <w:rPr>
          <w:color w:val="000000" w:themeColor="text1"/>
          <w:sz w:val="16"/>
          <w:szCs w:val="16"/>
        </w:rPr>
        <w:softHyphen/>
        <w:t>ным дальним бомбардировщикам «64» Туполева и ДВБ-202/302 Мясищева с двигателями жидкостного охлаждения АМ-43ТК и АМ-46ТК, расчетные парамет</w:t>
      </w:r>
      <w:r w:rsidRPr="00F90EAE">
        <w:rPr>
          <w:color w:val="000000" w:themeColor="text1"/>
          <w:sz w:val="16"/>
          <w:szCs w:val="16"/>
        </w:rPr>
        <w:softHyphen/>
        <w:t>ры которых превосходили ДВБ-102 и наиболее полно отвечали требованиям ВВС конца 1940-х годов (11446).</w:t>
      </w:r>
    </w:p>
    <w:p w14:paraId="25D878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C8522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был получен двигатель РД-1ХЗ для Су-6 и начался его монтаж (2234,11).</w:t>
      </w:r>
    </w:p>
    <w:p w14:paraId="1A861E97" w14:textId="77777777" w:rsidR="00665165" w:rsidRPr="00F90EAE" w:rsidRDefault="00665165" w:rsidP="00F90EAE">
      <w:pPr>
        <w:autoSpaceDE w:val="0"/>
        <w:autoSpaceDN w:val="0"/>
        <w:adjustRightInd w:val="0"/>
        <w:jc w:val="both"/>
        <w:rPr>
          <w:color w:val="000000" w:themeColor="text1"/>
          <w:sz w:val="16"/>
          <w:szCs w:val="16"/>
        </w:rPr>
      </w:pPr>
    </w:p>
    <w:p w14:paraId="265057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на Як-3РД с включенным РД достигли скорость 782 км/час на высоте 7800 м, что превышало скорость 780 км/час., установленную постановлением ГКО (65,184).</w:t>
      </w:r>
    </w:p>
    <w:p w14:paraId="73472D98" w14:textId="77777777" w:rsidR="00665165" w:rsidRPr="00F90EAE" w:rsidRDefault="00665165" w:rsidP="00F90EAE">
      <w:pPr>
        <w:autoSpaceDE w:val="0"/>
        <w:autoSpaceDN w:val="0"/>
        <w:adjustRightInd w:val="0"/>
        <w:jc w:val="both"/>
        <w:rPr>
          <w:color w:val="000000" w:themeColor="text1"/>
          <w:sz w:val="16"/>
          <w:szCs w:val="16"/>
        </w:rPr>
      </w:pPr>
    </w:p>
    <w:p w14:paraId="0CAD13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на Як-3РД была зафиксирована скорость 782 км/ч на высоте 7800 метров. При этом отмечался неустойчивый запуск ЖРД. По этой причине РД-1 с электрическим зажиганием, наработавший 18 минут 50 секунд, заменили на РД-1ХЗ №018 с химическим зажиганием. Его испытания на земле проходили успешно, но в первом же полете 14 мая 1945 года во время запуска произошел взрыв, разрушивший двигатель.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6D33739" w14:textId="77777777" w:rsidR="00665165" w:rsidRPr="00F90EAE" w:rsidRDefault="00665165" w:rsidP="00F90EAE">
      <w:pPr>
        <w:autoSpaceDE w:val="0"/>
        <w:autoSpaceDN w:val="0"/>
        <w:adjustRightInd w:val="0"/>
        <w:jc w:val="both"/>
        <w:rPr>
          <w:color w:val="000000" w:themeColor="text1"/>
          <w:sz w:val="16"/>
          <w:szCs w:val="16"/>
        </w:rPr>
      </w:pPr>
    </w:p>
    <w:p w14:paraId="4FFA7859" w14:textId="77777777" w:rsidR="00854708" w:rsidRPr="00F90EAE" w:rsidRDefault="00854708" w:rsidP="00F90EAE">
      <w:pPr>
        <w:jc w:val="both"/>
        <w:rPr>
          <w:color w:val="000000" w:themeColor="text1"/>
          <w:sz w:val="16"/>
          <w:szCs w:val="16"/>
        </w:rPr>
      </w:pPr>
      <w:r w:rsidRPr="00F90EAE">
        <w:rPr>
          <w:color w:val="000000" w:themeColor="text1"/>
          <w:sz w:val="16"/>
          <w:szCs w:val="16"/>
        </w:rPr>
        <w:t xml:space="preserve">11 мая в 1945 году на </w:t>
      </w:r>
      <w:hyperlink r:id="rId114" w:tgtFrame="_blank" w:history="1">
        <w:r w:rsidRPr="00F90EAE">
          <w:rPr>
            <w:color w:val="000000" w:themeColor="text1"/>
            <w:sz w:val="16"/>
            <w:szCs w:val="16"/>
          </w:rPr>
          <w:t xml:space="preserve">«Як-3Р» </w:t>
        </w:r>
      </w:hyperlink>
      <w:r w:rsidRPr="00F90EAE">
        <w:rPr>
          <w:color w:val="000000" w:themeColor="text1"/>
          <w:sz w:val="16"/>
          <w:szCs w:val="16"/>
        </w:rPr>
        <w:t>с включенным ЖРД на высоте 7800 м была достигнута скорость 782 км/ч (14888).</w:t>
      </w:r>
    </w:p>
    <w:p w14:paraId="56E7C4B9" w14:textId="77777777" w:rsidR="00854708" w:rsidRPr="00F90EAE" w:rsidRDefault="00854708" w:rsidP="00F90EAE">
      <w:pPr>
        <w:jc w:val="both"/>
        <w:rPr>
          <w:color w:val="000000" w:themeColor="text1"/>
          <w:sz w:val="16"/>
          <w:szCs w:val="16"/>
        </w:rPr>
      </w:pPr>
    </w:p>
    <w:p w14:paraId="1472D79C" w14:textId="77777777" w:rsidR="00AB4033" w:rsidRPr="00F90EAE" w:rsidRDefault="00AB4033" w:rsidP="00F90EAE">
      <w:pPr>
        <w:shd w:val="clear" w:color="auto" w:fill="FFFFFF"/>
        <w:jc w:val="both"/>
        <w:rPr>
          <w:color w:val="000000" w:themeColor="text1"/>
          <w:sz w:val="16"/>
          <w:szCs w:val="16"/>
        </w:rPr>
      </w:pPr>
      <w:r w:rsidRPr="00F90EAE">
        <w:rPr>
          <w:color w:val="000000" w:themeColor="text1"/>
          <w:sz w:val="16"/>
          <w:szCs w:val="16"/>
        </w:rPr>
        <w:t>11 мая 1945 г. при заданной постановлением ГКО скорос ти 780 км/ч на Як-3РД фактически была получена скорость 782 км/ч на высоте 7800 м.</w:t>
      </w:r>
    </w:p>
    <w:p w14:paraId="14C62C74" w14:textId="77777777" w:rsidR="00AB4033" w:rsidRPr="00F90EAE" w:rsidRDefault="00AB4033" w:rsidP="00F90EAE">
      <w:pPr>
        <w:shd w:val="clear" w:color="auto" w:fill="FFFFFF"/>
        <w:jc w:val="both"/>
        <w:rPr>
          <w:color w:val="000000" w:themeColor="text1"/>
          <w:sz w:val="16"/>
          <w:szCs w:val="16"/>
        </w:rPr>
      </w:pPr>
      <w:r w:rsidRPr="00F90EAE">
        <w:rPr>
          <w:color w:val="000000" w:themeColor="text1"/>
          <w:sz w:val="16"/>
          <w:szCs w:val="16"/>
        </w:rPr>
        <w:t>В связи с тем, что с подъемом на высоту прирост скорости от применения ускорителя непрерывно увеличивался, то на высоте 10 000 м этот прирост составил около 340 км/ч (19586).</w:t>
      </w:r>
    </w:p>
    <w:p w14:paraId="11A41B23" w14:textId="77777777" w:rsidR="00AB4033" w:rsidRPr="00F90EAE" w:rsidRDefault="00AB4033" w:rsidP="00F90EAE">
      <w:pPr>
        <w:shd w:val="clear" w:color="auto" w:fill="FFFFFF"/>
        <w:jc w:val="both"/>
        <w:rPr>
          <w:color w:val="000000" w:themeColor="text1"/>
          <w:sz w:val="16"/>
          <w:szCs w:val="16"/>
        </w:rPr>
      </w:pPr>
    </w:p>
    <w:p w14:paraId="5FB1BBA5" w14:textId="77777777" w:rsidR="00854708" w:rsidRPr="00F90EAE" w:rsidRDefault="00854708" w:rsidP="00F90EAE">
      <w:pPr>
        <w:jc w:val="both"/>
        <w:rPr>
          <w:color w:val="000000" w:themeColor="text1"/>
          <w:sz w:val="16"/>
          <w:szCs w:val="16"/>
        </w:rPr>
      </w:pPr>
      <w:r w:rsidRPr="00F90EAE">
        <w:rPr>
          <w:color w:val="000000" w:themeColor="text1"/>
          <w:sz w:val="16"/>
          <w:szCs w:val="16"/>
        </w:rPr>
        <w:t xml:space="preserve">11 мая в 1945 году поступил в HИИ ВВС на госиспытания самолет </w:t>
      </w:r>
      <w:hyperlink r:id="rId115" w:tgtFrame="_blank" w:history="1">
        <w:r w:rsidRPr="00F90EAE">
          <w:rPr>
            <w:color w:val="000000" w:themeColor="text1"/>
            <w:sz w:val="16"/>
            <w:szCs w:val="16"/>
          </w:rPr>
          <w:t xml:space="preserve">«Як-3» «ВК-107А», </w:t>
        </w:r>
      </w:hyperlink>
      <w:r w:rsidRPr="00F90EAE">
        <w:rPr>
          <w:color w:val="000000" w:themeColor="text1"/>
          <w:sz w:val="16"/>
          <w:szCs w:val="16"/>
        </w:rPr>
        <w:t>он проходил испытания с 25 мая по 9 июня 1945 года. 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 смешанной конструкции, прошедшем госиспытания в мае 1944 г.; дефекты ВМГ не позволяют полностью использовать боевой режим двигателя в полете.Предлагалось устранить конструктивные и производственные дефекты до запуска самолета в серию. В 1945 году заводом N31 было выпущено 40 и в 1946 году -8 цельнометаллических «Як-З» «ВК-107А». С IV квартала 1945 года по III квартал 1946 года завод занимался доработкой выпущенных"по сборке" этих 48 самолетов для сдачи их заказчику (14888).</w:t>
      </w:r>
    </w:p>
    <w:p w14:paraId="4078900B" w14:textId="77777777" w:rsidR="00854708" w:rsidRPr="00F90EAE" w:rsidRDefault="00854708" w:rsidP="00F90EAE">
      <w:pPr>
        <w:jc w:val="both"/>
        <w:rPr>
          <w:color w:val="000000" w:themeColor="text1"/>
          <w:sz w:val="16"/>
          <w:szCs w:val="16"/>
        </w:rPr>
      </w:pPr>
    </w:p>
    <w:p w14:paraId="6C3ACD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мая 1945 в НИИ ВВС после заводских испытаний поступил Як-3 ВК-107А цельнометаллический (65,195).</w:t>
      </w:r>
    </w:p>
    <w:p w14:paraId="26E81A8E" w14:textId="77777777" w:rsidR="00665165" w:rsidRPr="00F90EAE" w:rsidRDefault="00665165" w:rsidP="00F90EAE">
      <w:pPr>
        <w:autoSpaceDE w:val="0"/>
        <w:autoSpaceDN w:val="0"/>
        <w:adjustRightInd w:val="0"/>
        <w:jc w:val="both"/>
        <w:rPr>
          <w:color w:val="000000" w:themeColor="text1"/>
          <w:sz w:val="16"/>
          <w:szCs w:val="16"/>
        </w:rPr>
      </w:pPr>
    </w:p>
    <w:p w14:paraId="314F7D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Зам. Ком. ВВС ма Ф.Я.Фалалеев подписал акт по результатам гос. испытаний модифицированного Ла-7 с опытными мягкими бензобаками N 38109658 производства 381 завода</w:t>
      </w:r>
    </w:p>
    <w:p w14:paraId="51903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Проходили с 23 апреля по 30 апреля 1945. 63 полета с налетом 8:35</w:t>
      </w:r>
    </w:p>
    <w:p w14:paraId="2428F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 В исп. Инж-м Черняев</w:t>
      </w:r>
    </w:p>
    <w:p w14:paraId="53B3C9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ли ГСС м И.М.Тимофеев</w:t>
      </w:r>
    </w:p>
    <w:p w14:paraId="3346D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рез-ты испытаний и результаты предыдущих испытаний.</w:t>
      </w:r>
    </w:p>
    <w:p w14:paraId="40BD2C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серийном с-те Ла-7 установлены (в центроплане) 3 мягких протектированных б/б: один центральный и 2 крайних.</w:t>
      </w:r>
    </w:p>
    <w:p w14:paraId="3456D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испытывающимся с-те № 9658 крайние металличские б/б заменены мягкими. Центральный бак остался металлическим.</w:t>
      </w:r>
    </w:p>
    <w:p w14:paraId="0194AA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разработаны т. С.А.Л. совместно с ВИАМ НКАП.</w:t>
      </w:r>
    </w:p>
    <w:p w14:paraId="3F695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сентябре 1944 ГК НИИ ВВС на заводе № 21 были проведены наземные испытания крайних мягких б/б на с-те Ла-5. Результаты удовлетворительны.</w:t>
      </w:r>
    </w:p>
    <w:p w14:paraId="473BCE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рез-те испытаний ГК НИИ ВВС просил НКАП дать указание з-ду № 21 изготовить серию Ла-7 с мягкими б/б для войсковых испытаний.</w:t>
      </w:r>
    </w:p>
    <w:p w14:paraId="5C5DB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НКАП № 614 от 22 октября 1944 заводы № 21 и 381 были обязаны оборудовать 250 с-тов мягкими баками до 15 декабря 1944.</w:t>
      </w:r>
    </w:p>
    <w:p w14:paraId="137D74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настоящему времени приказ не реализован.</w:t>
      </w:r>
    </w:p>
    <w:p w14:paraId="4EF1E6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с-т является первым с-том з-да № 381, оборудованным мягкими б/б</w:t>
      </w:r>
    </w:p>
    <w:p w14:paraId="31271A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качестве внутреннего бензостойкого слоя баков применена двуслойная ткань АСТ-28, пропитанная и покрытая желатиновым клеем. Толщина этого слоя - 2 мм. За бензостойким слоеим следует т.н. протектирующий (быстро набухающий в бензине) материал в виде резины № 10 и губки Оназот. Толщина протектирующего слоя колеблется от 5,5 до 7,5 мм За протектирующими элементами следует внешний силовой слой из облегченного кожезаменителя толщиной в 2,5-3 мм.</w:t>
      </w:r>
    </w:p>
    <w:p w14:paraId="443901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слои мягкого б/б соединены между собой и представляют собой монолитную конструкцию м общей толщиной стенок от до 10 мм в верхней и до 12-12,5 мм в нижней, наиболее обстреливаемой части б/б.</w:t>
      </w:r>
    </w:p>
    <w:p w14:paraId="59EB15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Мягкие б/б расположены в центроплане в фанерных отсеках, в которых закреплен в 10 точках (9 штырей и заливная горловина).</w:t>
      </w:r>
    </w:p>
    <w:p w14:paraId="2AB373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мягких б/б 292 кг, а металлического протектированного - 296 кг. Вес двух баков - 26 кг, а металлических - 36 кг.</w:t>
      </w:r>
    </w:p>
    <w:p w14:paraId="41531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2C1CAA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Модтфицированный с-т Ла-7 №... с крыльевыми мягкими б/б госиспытания прошел удовлетворительно.</w:t>
      </w:r>
    </w:p>
    <w:p w14:paraId="62D697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Просить НКАП А.И.Ш. обязать директра з-да № 381 тов. В.М.Журавлева срочно оборудовать 3 для войсковых испытаний, ГК с-та Ла-7 т. С.А.Л. ускорить разработку разработку конструкции центрального мягкого б/б.</w:t>
      </w:r>
    </w:p>
    <w:p w14:paraId="5D6E7E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Подписали 5 мая 1945 Лосюков, Сафронов, ... (475,1).</w:t>
      </w:r>
    </w:p>
    <w:p w14:paraId="72ED7E77" w14:textId="77777777" w:rsidR="00665165" w:rsidRPr="00F90EAE" w:rsidRDefault="00665165" w:rsidP="00F90EAE">
      <w:pPr>
        <w:autoSpaceDE w:val="0"/>
        <w:autoSpaceDN w:val="0"/>
        <w:adjustRightInd w:val="0"/>
        <w:jc w:val="both"/>
        <w:rPr>
          <w:color w:val="000000" w:themeColor="text1"/>
          <w:sz w:val="16"/>
          <w:szCs w:val="16"/>
        </w:rPr>
      </w:pPr>
    </w:p>
    <w:p w14:paraId="1C197DB0"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1945 на втором экземпляре МиГа с ТК-300Б достигли высоты — 13000 м, а в день катастрофы высотно</w:t>
      </w:r>
      <w:r w:rsidRPr="00F90EAE">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F90EAE">
        <w:rPr>
          <w:color w:val="000000" w:themeColor="text1"/>
          <w:sz w:val="16"/>
          <w:szCs w:val="16"/>
        </w:rPr>
        <w:softHyphen/>
        <w:t>ния расчётного потолка 14000 м. Первый экземпляр МиГа, хотя и летал, но значитель</w:t>
      </w:r>
      <w:r w:rsidRPr="00F90EAE">
        <w:rPr>
          <w:color w:val="000000" w:themeColor="text1"/>
          <w:sz w:val="16"/>
          <w:szCs w:val="16"/>
        </w:rPr>
        <w:softHyphen/>
        <w:t>ных результатов на нём не получили (15830).</w:t>
      </w:r>
    </w:p>
    <w:p w14:paraId="18F7967E" w14:textId="77777777" w:rsidR="00854708" w:rsidRPr="00F90EAE" w:rsidRDefault="00854708" w:rsidP="00F90EAE">
      <w:pPr>
        <w:jc w:val="both"/>
        <w:rPr>
          <w:color w:val="000000" w:themeColor="text1"/>
          <w:sz w:val="16"/>
          <w:szCs w:val="16"/>
        </w:rPr>
      </w:pPr>
    </w:p>
    <w:p w14:paraId="6D5513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C 11 по 25 мая 1944 в НИИ ВВС на а Чкаловская испытывали облегченный - FW-190D-9 (1145,20), захваченный в Мариенбурге в марте 1945 и летал В.Голофастов (2466,148).</w:t>
      </w:r>
    </w:p>
    <w:p w14:paraId="73CD700C" w14:textId="77777777" w:rsidR="00665165" w:rsidRPr="00F90EAE" w:rsidRDefault="00665165" w:rsidP="00F90EAE">
      <w:pPr>
        <w:autoSpaceDE w:val="0"/>
        <w:autoSpaceDN w:val="0"/>
        <w:adjustRightInd w:val="0"/>
        <w:jc w:val="both"/>
        <w:rPr>
          <w:color w:val="000000" w:themeColor="text1"/>
          <w:sz w:val="16"/>
          <w:szCs w:val="16"/>
        </w:rPr>
      </w:pPr>
    </w:p>
    <w:p w14:paraId="2B5080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25 мая 1945 г. на аэродроме «Чкаловская» испытывался облегченный вариант FW-190A-8 и  -самолет FW-190D-9 (11860). FW-190D-9 отличался от своих предшественников, главным образом, винто-моторной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водо-спир-товой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4A572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3038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0DEE3E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07DE50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76D2EF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1527F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3A1F5B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600729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Летчики-испытатели ГК НИИ ВВС в своих отчетах отмечали, что:</w:t>
      </w:r>
    </w:p>
    <w:p w14:paraId="0DDB7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«Кабина самолета ФВ-190Д-9 по оборудованию и расположению рычагов управления самолета и мотора аналогична кабине ФВ-190А-8…»</w:t>
      </w:r>
    </w:p>
    <w:p w14:paraId="384640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Обзор передней полусферы хороший, обзор задней полусферы ограничен бронезаголовником.</w:t>
      </w:r>
    </w:p>
    <w:p w14:paraId="7A2C3F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разбеге самолет имеет тенденцию к развороту влево, особенно при резкой даче газа и энергичном подъеме хвоста.</w:t>
      </w:r>
    </w:p>
    <w:p w14:paraId="0E7AFE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Вертикальная скорость самолета по сравнению с отечественными истребителями мала.</w:t>
      </w:r>
    </w:p>
    <w:p w14:paraId="1F7CCA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сравнению с ФВ-190А-8 управление самолета стало более тяжелым.</w:t>
      </w:r>
    </w:p>
    <w:p w14:paraId="11843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17FC0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3BA48F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выполнения виража на высоте 1000 м составляет 22 - 23 секунды, на высоте 5000 м - 24-28 секунд.</w:t>
      </w:r>
    </w:p>
    <w:p w14:paraId="3334D2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боевой разворот с высоты 1000 м самолет набирает 1000 метров, а с высоты 5000м - 900 метров.</w:t>
      </w:r>
    </w:p>
    <w:p w14:paraId="0C758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139C01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пробеге самолет рыскает.</w:t>
      </w:r>
    </w:p>
    <w:p w14:paraId="62EE1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631A59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04DE52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600919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5830FE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горизонтальном маневре при встрече на скоростях 0,9 от максимальных, самолет Ла-7 заходит в хвост самолету ФВ-190Д-9 за 2-2,5 виража.</w:t>
      </w:r>
    </w:p>
    <w:p w14:paraId="6AAE0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31937F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заключительной части «Акта № 94 по результатам государственных испытаний самолетов ФВ-190» отмечалось следующее:</w:t>
      </w:r>
    </w:p>
    <w:p w14:paraId="028A71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143E61DC" w14:textId="77777777" w:rsidR="00665165" w:rsidRPr="00F90EAE" w:rsidRDefault="00665165" w:rsidP="00F90EAE">
      <w:pPr>
        <w:autoSpaceDE w:val="0"/>
        <w:autoSpaceDN w:val="0"/>
        <w:adjustRightInd w:val="0"/>
        <w:jc w:val="both"/>
        <w:rPr>
          <w:color w:val="000000" w:themeColor="text1"/>
          <w:sz w:val="16"/>
          <w:szCs w:val="16"/>
        </w:rPr>
      </w:pPr>
    </w:p>
    <w:p w14:paraId="383CE8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было подготовлено:</w:t>
      </w:r>
    </w:p>
    <w:p w14:paraId="13A0F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21AD2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Письмо Завитаева народному комиссару авиационной промышленности т. А.И.Шахурину от 11.05.45 г. о состоянии работ по объектам г. Вены на 11.05.45 г. (8994).</w:t>
      </w:r>
    </w:p>
    <w:p w14:paraId="0A3F31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w:t>
      </w:r>
    </w:p>
    <w:p w14:paraId="354FE4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55073E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НАРОДНОМУ КОМИССАРУ АВИАЦИОННОЙ ПРОМЫШЛЕННОСТИ тов. ШАХУРИНУ А.И.</w:t>
      </w:r>
    </w:p>
    <w:p w14:paraId="11E5D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Докладываю о состоянии работ по объектам г. Вены на 11-ое мая т.г.</w:t>
      </w:r>
    </w:p>
    <w:p w14:paraId="394A73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выявлено станков - 5800</w:t>
      </w:r>
    </w:p>
    <w:p w14:paraId="783DC4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демонтировано станков - 5000</w:t>
      </w:r>
    </w:p>
    <w:p w14:paraId="74B2C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погружено станков - 4800</w:t>
      </w:r>
    </w:p>
    <w:p w14:paraId="089040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погружено вагонов - 1100</w:t>
      </w:r>
    </w:p>
    <w:p w14:paraId="210DF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отправлено станков - 3668</w:t>
      </w:r>
    </w:p>
    <w:p w14:paraId="2F4940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отправлено вагонов - 949</w:t>
      </w:r>
    </w:p>
    <w:p w14:paraId="283AA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отправлено эшелонов - 37</w:t>
      </w:r>
    </w:p>
    <w:p w14:paraId="6E0549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Список отправленных эшелонов прилагается. Из 39 выявленных авиазаводов полностью закончено демонтажем и погружено в вагоны оборудование 25-ти заводов; по 6-ти заводам работа заканчивается в течение ближайших 2 - 3-х дней.</w:t>
      </w:r>
    </w:p>
    <w:p w14:paraId="5BE2E4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Список выявленных и законченных демонтажем заводов прилагается.</w:t>
      </w:r>
    </w:p>
    <w:p w14:paraId="2A6B03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При дополнительной проверке нашими работниками машиностроительного завода в г. Вена, фирмы "Пихлер" (он же "Отто-Лернер") с филиалом выяснилось, что завод изготовлял только авиационную электро-механическую аппаратуру и никаких деталей для автомашин не производил. Указанный завод передан Наркомсредмашу неправильно. Представитель НКСМ т. Александров неправильно информировал т. Гамова, указав в паспорте, что завод изготовляет автодетали (см. прилагаемую копию паспорта).</w:t>
      </w:r>
    </w:p>
    <w:p w14:paraId="667CE8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внести изменения в решение ГОКО и передать этот завод Наркомавиапрому. Все оборудование в количестве 250 единиц демонтировано и погружено для направления Наркомавиапрому на завод N 283 г. Ленинград.</w:t>
      </w:r>
    </w:p>
    <w:p w14:paraId="60DFE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Тоже по заводу фирмы "Штейер-Дамлер-Пух" в г. Вене дополнительным обследованием подтверждено, что завод изготовлял только шасси и костыльные установки для самолетов. Никаких деталей для автомашин завод не производил. Все оборудование в количестве 330 единиц демонтировано, погружено и отправлено в адрес завода N 135 г. Харьков.</w:t>
      </w:r>
    </w:p>
    <w:p w14:paraId="07D1C8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также внести изменения в решение ГОКО:</w:t>
      </w:r>
    </w:p>
    <w:p w14:paraId="160C0F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Оборудование самолетного завода в г. Нойкирхен, согласно телеграммы т. Дементьева И.В., должны отгрузить на агрегатный завод N 489 в г. Днепропетровск. Считаю это ошибкой, так как оборудование завода в Нойкирхен больше подходит к самолетному производству, поэтому целесообразнее отгрузить это самолетчикам на завод N 135 в г. Харьков. Тем более, что решением ГОКО от 19.IV.с.г. предусмотрена отгрузка заводу N 135 оборудования самолетного завода в Винермойштадте, тогда как этот завод полностью разгружен и оборудования там нет.</w:t>
      </w:r>
    </w:p>
    <w:p w14:paraId="67B10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завода N 489 в г. Днепропетровске подобран другой завод, имеющий 250 станков - завод табачных машин фирмы "Гофер-Шранц", изготовляющий авиамоторные агрегаты. Прошу этот завод оформить решением ГОКО и указать адрес отгрузки г. Днепропетровск, завод N 489.</w:t>
      </w:r>
    </w:p>
    <w:p w14:paraId="0E346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Для обеспечения и ускорения работ по демонтажу оборудования авиационного проката Акц. об-ва "Энцесфельдер-Металло-Верке" прошу выслать самолетом рабочих, бригадиров и мастеров, знакомых с демонтажем тяжелых прессов (10.000 тонн) в количестве 15 человек.</w:t>
      </w:r>
    </w:p>
    <w:p w14:paraId="0C2DC2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Нами произведено обследование авиазаводов, находящихся в Чехословакии в районе г. Брно. Выявлены четыре завода, принадлежавшие во время оккупации немцам. Владельцы этих заводов бежали в Германию.</w:t>
      </w:r>
    </w:p>
    <w:p w14:paraId="5293B0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Первый - агрегатный завод в г. Брно по производству насосов непосредственного впрыска для авиамоторов воздушного охлаждения. Фирма завода "Клинкер-Дейч". Завод имеет 17 металлорежущих станков и 14 прекрасно оборудованных стендов для испытания насосов НВ. Оборудование комплектно и в хорошем состоянии.</w:t>
      </w:r>
    </w:p>
    <w:p w14:paraId="06DEB7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Второй - агрегатный завод по производству масляных насосов фирмы "Бено-Верке". Завод расположен в пивных подвалах (подземный), имеет 140 станков в хорошем состоянии. Местонахождение завода - населенный пункт Тружаны, близ г. Брно.</w:t>
      </w:r>
    </w:p>
    <w:p w14:paraId="292492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Третий - завод по изготовлению бензо-, масло- и топливных насосов, фирма "Остмаркверке". Завод расположен в населенном пункте Лищен, близ г. Брно. На заводе имеется 180 станков. Станки универсальные, в хорошем состоянии. Завод на 50% разрушен.</w:t>
      </w:r>
    </w:p>
    <w:p w14:paraId="7B1B01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Четвертый - завод по производству коробок передач к нагнетателю фирмы "Моравий Райгерн", расположен в населенном пункте Рай-Град, близ г. Брно.</w:t>
      </w:r>
    </w:p>
    <w:p w14:paraId="562146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сожжен немцами. Из 800 имевшихся на заводе станков сохранилось (в пивном подвале) - 50 единиц, в том числе три координатно-расточных. Станки в хорошем состоянии (новые).</w:t>
      </w:r>
    </w:p>
    <w:p w14:paraId="55A14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Прошу оформить решением ГОКО демонтаж и вывоз указанных заводов в СССР для Наркомавиапрома.</w:t>
      </w:r>
    </w:p>
    <w:p w14:paraId="27C7A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В связи с тем, что работа по демонтажу авиазаводов в г. Вене и его окрестностях заканчивается, прошу прекратить присылку людей. Освобождающихся отправляю в Москву.</w:t>
      </w:r>
    </w:p>
    <w:p w14:paraId="32941E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года (Завитаев)</w:t>
      </w:r>
    </w:p>
    <w:p w14:paraId="77621F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ВЕРНО: Секретариат НКАП: (подпись) (8987; 8994).</w:t>
      </w:r>
    </w:p>
    <w:p w14:paraId="0A5DD65A" w14:textId="77777777" w:rsidR="00665165" w:rsidRPr="00F90EAE" w:rsidRDefault="00665165" w:rsidP="00F90EAE">
      <w:pPr>
        <w:autoSpaceDE w:val="0"/>
        <w:autoSpaceDN w:val="0"/>
        <w:adjustRightInd w:val="0"/>
        <w:jc w:val="both"/>
        <w:rPr>
          <w:color w:val="000000" w:themeColor="text1"/>
          <w:sz w:val="16"/>
          <w:szCs w:val="16"/>
        </w:rPr>
      </w:pPr>
    </w:p>
    <w:p w14:paraId="4CF4DE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была подготовлена справка:</w:t>
      </w:r>
    </w:p>
    <w:p w14:paraId="68FAB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75F184D1"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Новая техника</w:t>
      </w:r>
    </w:p>
    <w:p w14:paraId="4D813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Самолеты</w:t>
      </w:r>
    </w:p>
    <w:p w14:paraId="712A6B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Обнаруженные до сего времени материалы по новым самолетам относятся к деятельности фирмы "Хейнкель". Это объясняется тем, что эта фирма имела в Вене свой технический штаб, включая главное проектное бюро (личное бюро Эрнста Хейнкеля), опытное конструкторское бюро, серийное конструкторское бюро и т.д. В Вене и ее окрестностях были расположены также заводы, склады и большое число подсобных предприятий и учреждений (всего 62 точки, см. прилагаемый список и найденную в последние дни схему расположения предприятий Хейнкеля в Вене и ее окрестностях).</w:t>
      </w:r>
    </w:p>
    <w:p w14:paraId="03769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с 22.IV.45 г. по 10.V.45 г. большинство этих точек было обследовано и все оборудование и техническая документация, могущая представлять интерес - вывезена. В частности, вывезено сохранившееся оборудование всех заводов и, кроме того, вся найденная техническая документация из следующих учреждений фирмы:</w:t>
      </w:r>
    </w:p>
    <w:p w14:paraId="77523D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Главное проектное бюро (личное бюро Хейнкеля на его вилле) - Ангермайергассе 1.</w:t>
      </w:r>
    </w:p>
    <w:p w14:paraId="290B1D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Главное помещение технической дирекции и конструкторское бюро - Фихтегассе 11.</w:t>
      </w:r>
    </w:p>
    <w:p w14:paraId="2A7C18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Конструкторское бюро - Фихтегассе 11.</w:t>
      </w:r>
    </w:p>
    <w:p w14:paraId="75B2B8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Конструкторское бюро - Хегельгассе 1.</w:t>
      </w:r>
    </w:p>
    <w:p w14:paraId="64585A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Конструкторское бюро - Шубертринг 3.</w:t>
      </w:r>
    </w:p>
    <w:p w14:paraId="2C90C9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Конструкторское бюро - Форлауфштрассе 3.</w:t>
      </w:r>
    </w:p>
    <w:p w14:paraId="49A079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Конструкторское бюро - Голландштрассе 1.</w:t>
      </w:r>
    </w:p>
    <w:p w14:paraId="2C6B61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Технический архив - Рудольфплатц 6.</w:t>
      </w:r>
    </w:p>
    <w:p w14:paraId="2E8D8E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Помещение производственной дирекции - Мариахильферштрассе 18.</w:t>
      </w:r>
    </w:p>
    <w:p w14:paraId="079F6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Помещение производственной дирекции - Гетрейдемаркт 1.</w:t>
      </w:r>
    </w:p>
    <w:p w14:paraId="0A1D10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Помещение коммерческой дирекции - Мархеттигассе 3.</w:t>
      </w:r>
    </w:p>
    <w:p w14:paraId="18154C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Фотолаборатория - Ротентурмштрассе 14.</w:t>
      </w:r>
    </w:p>
    <w:p w14:paraId="0413B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Отдел вибраций - Шёнбруннерштрассе 239.</w:t>
      </w:r>
    </w:p>
    <w:p w14:paraId="0263D1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Помещений конструкторских бюро лабораторий на опытном заводе в Хейтфельде и серийном заводе в Хинтербрюле.</w:t>
      </w:r>
    </w:p>
    <w:p w14:paraId="4A7AA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Вся эта документация вывозилась без разборки и обработки на месте; она имеет весьма не систематических характер, так как многое было увезено и уничтожено немцами при уходе, многое пострадало в обстановке военных действий. Тем не менее, даже самое беглое ознакомление с документами, изъятыми в указанных пунктах, позволило составить представление об опытных работах фирмы, изложенных в записках от 28.IV.45 года и 05.V.45 года, посланных с т. Григорьяном и со следующим самолетом. Весь этот материал отправлен со специальными вагонами: N 24662, сопровождающий - представитель НКАП майор Тарасутин при двух бойцах, отправлен 3 мая с.г. и N 131810 и 123054, сопровождающий - представитель НКАП капитан Егоров при двух бойцах, отправлен 9 мая с.г.</w:t>
      </w:r>
    </w:p>
    <w:p w14:paraId="5DCF38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вагоны адресованы ЦАГИ, ст. Быково Московской Казанской железной дороги.</w:t>
      </w:r>
    </w:p>
    <w:p w14:paraId="71C57E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технической документации на заводе Хейнкеля в Хинтербрюле была захвачена часть самолетов Не-162 с воздушнореактивным двигателем и самолеты в разных стадиях сборки (техническое описание самолета He-162 было отправлено с т. Григорьяном) 5 мая с.г. со ст. Мёдлинг транспортом N А174/3281 в адрес завода N 456 ст. Химки, отправлены: 7 фюзеляжей Не-162, 4 крыла, 7 оперений, обтекатель, 1 крыло с обрезанными концами для исследования конструкции и материала, приборная доска. На заводе в Хейтфельде были захвачены 3 частично поврежденных самолета Не-280 (двухмоторный реактивный самолет, краткая характеристика дана в записке от 28.IV.45 года, отправленной с т. Григорьяном). Два из этих самолетов отправлены 02.V.45 г. с транспортом N А174/3282 со ст. Винер-Нейштадт в адрес НИИ-1, ст. Лихоборы.</w:t>
      </w:r>
    </w:p>
    <w:p w14:paraId="40849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демонтировано и грузится в адрес ЦАГИ оборудование лаборатории стат. испытаний в Хейтфельде; на этом же заводе 10.V.45 г. среди лома обнаружены части самолета Не-343 (4-х моторный реактивный бомбардировщик) и приспособления для сборки. Изучение их показывает, что самолет был в сборке в сентябре-октябре 1944 года. Найденные части (два куска фюзеляжа, лонжерон и головная часть самолета) будут отправлены в адрес ЦАГИ. Сведения о самолете Не-343 были сообщены в посланных ранее записках от 28.IV.45 г. и 5.V.45 года. На разрушенном бомбардировками заводе Хейнкеля в Цвёльфаксинге найдены части Не-177 (известный 4-х моторный бомбардировщик) и приспособления для сборки его.</w:t>
      </w:r>
    </w:p>
    <w:p w14:paraId="3AAA0E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п.п. А.Завитаев 11.V.45 года (8987).</w:t>
      </w:r>
    </w:p>
    <w:p w14:paraId="290928BA" w14:textId="77777777" w:rsidR="00665165" w:rsidRPr="00F90EAE" w:rsidRDefault="00665165" w:rsidP="00F90EAE">
      <w:pPr>
        <w:autoSpaceDE w:val="0"/>
        <w:autoSpaceDN w:val="0"/>
        <w:adjustRightInd w:val="0"/>
        <w:jc w:val="both"/>
        <w:rPr>
          <w:color w:val="000000" w:themeColor="text1"/>
          <w:sz w:val="16"/>
          <w:szCs w:val="16"/>
        </w:rPr>
      </w:pPr>
    </w:p>
    <w:p w14:paraId="5F6C256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2E31B2F" w14:textId="77777777" w:rsidR="00665165" w:rsidRPr="00F90EAE" w:rsidRDefault="00665165" w:rsidP="00F90EAE">
      <w:pPr>
        <w:autoSpaceDE w:val="0"/>
        <w:autoSpaceDN w:val="0"/>
        <w:adjustRightInd w:val="0"/>
        <w:jc w:val="both"/>
        <w:rPr>
          <w:iCs/>
          <w:color w:val="000000" w:themeColor="text1"/>
          <w:sz w:val="16"/>
          <w:szCs w:val="16"/>
        </w:rPr>
      </w:pPr>
    </w:p>
    <w:p w14:paraId="6D96BA34"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оперативная сводка Совинформбюро:</w:t>
      </w:r>
    </w:p>
    <w:p w14:paraId="4A725ED1" w14:textId="77777777" w:rsidR="00854708" w:rsidRPr="00F90EAE" w:rsidRDefault="00854708" w:rsidP="00F90EAE">
      <w:pPr>
        <w:jc w:val="both"/>
        <w:rPr>
          <w:color w:val="000000" w:themeColor="text1"/>
          <w:sz w:val="16"/>
          <w:szCs w:val="16"/>
        </w:rPr>
      </w:pPr>
      <w:r w:rsidRPr="00F90EAE">
        <w:rPr>
          <w:color w:val="000000" w:themeColor="text1"/>
          <w:sz w:val="16"/>
          <w:szCs w:val="16"/>
        </w:rPr>
        <w:t>«В течение 11 мая войска Ленинградского фронта продолжали приём капитулировавших соединений и частей Курляндской группы немецких войск. С 9 по 11 мая сдалось в плен 133.000 немецких солдат и офицеров и 14 генералов. В числе пленных генералов, кроме ранее объявленных, командир 563 пехотной дивизии генерал-лейтенант Нейман, командир 87 пехотной дивизии генерал-лейтенант Штрахвиц, командир 30 пехотной дивизии генерал-майор Хенце, командир 263 пехотной дивизии генерал-майор Хеман, командир 24 пехотной дивизии генерал-майор Шульц и командир боевой группы 21 авиаполевой дивизии генерал-майор Барт. Всего учтено трофеев: самолётов—75, танков и самоходных орудий—244, полевых орудий—948, миномётов—323, пулемётов—2.932, винтовок и автоматов—41.310, бронетранспортёров —130, автомашин—3.478, тракторов и тягачей—215, радиостанций—223, повозок с военными грузами—3.332, лошадей—11.280. Приём пленных и учёт трофеев продолжается.</w:t>
      </w:r>
    </w:p>
    <w:p w14:paraId="20AC5091"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фронта полностью заняли Курляндский полуостров, выйдя на побережье Рижского залива и Балтийского моря.</w:t>
      </w:r>
    </w:p>
    <w:p w14:paraId="0D9B9FF3"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3-го Белорусского фронта закончили приём капитулировавших соединений и частей немецких войск в районе устья реки ВИСЛЫ и производили прочёсывание занятой территории, очищая её от оставшихся мелких групп и отдельных солдат противника. Всего принято более 20.000 пленный немецких солдат и офицеров и 3 генерала. Учтены следующие трофеи: самолётов—50, танков и самоходных орудий—20, полевых орудий—300, миномётов—134, пулемётов—2.500, винтовок и автоматов—15.000, бронетранспортёров—53, автомашин—5.912, радиостанций—30, лошадей—1.570.</w:t>
      </w:r>
    </w:p>
    <w:p w14:paraId="2653D584"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2-го Белорусского фронта в районе устья реки Вислы восточнее Данцига и на косе Путцигер-Нерунг северо-восточнее Гдыни продолжали приём капитулировавших немецких войск. С 9 по 11 мая сдалось в плен 35.000 немецких солдат и офицеров и 7 генералов. В числе пленных генералов, кроме ранее объявленных, командир 12 авиаполевой дивизии генерал-лейтенант Шлиппер. Кроме того, взято пленных на острове Борнхольм 12.000 человек во главе с начальником гарнизона генерал-лейтенантом Вутман. Всего по фронту взято 47.000 человек. Наши войска заняли остров Борнхольм.</w:t>
      </w:r>
    </w:p>
    <w:p w14:paraId="7932F12E"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1-го Украинского фронта в течение 11 мая преследовали отказавшиеся капитулировать немецкие войска генерал-фельдмаршала Шернера и, продвигаясь вперёд, заняли на территории Чехословакии города Жигле, Краловице, Раковник, Кладно, Брандис, Мельник, Лиса На Лабе, Млада Болеслав, Добровице, Боусов, Йичин, Горжице, Яромерж. Войска фронта в районах Хемница и Рокичаны (восточнее Пильзена) соединились с американскими войсками. С 9 по 11 мая войска фронта взяли в плен 121.660 беспорядочно сдавшихся немецких солдат м офицеров и 7 генералов. В числе пленных генералов командир 31 пехотной дивизии СС генерал-лейтенант Кемпф, начальник научно-исследовательского института ПВО генерал-лейтенант Штубенраух, комендант города Глатц генерал-майор Петш и начальник строительного отдела генерал-майор Герман Бахер. На пяти немецких аэродромах войска фронта захватили 272 самолёта.</w:t>
      </w:r>
    </w:p>
    <w:p w14:paraId="325B75D0" w14:textId="77777777" w:rsidR="00854708" w:rsidRPr="00F90EAE" w:rsidRDefault="00854708" w:rsidP="00F90EAE">
      <w:pPr>
        <w:jc w:val="both"/>
        <w:rPr>
          <w:color w:val="000000" w:themeColor="text1"/>
          <w:sz w:val="16"/>
          <w:szCs w:val="16"/>
        </w:rPr>
      </w:pPr>
      <w:r w:rsidRPr="00F90EAE">
        <w:rPr>
          <w:color w:val="000000" w:themeColor="text1"/>
          <w:sz w:val="16"/>
          <w:szCs w:val="16"/>
        </w:rPr>
        <w:lastRenderedPageBreak/>
        <w:t>Войска 4-го Украинского фронта, преследуя отходившую на запад группу немецких войск генерал-фельдмаршала Шернера, заняли на территории Чехословакии города Новый Биджов, Местец Кралеве, Хлумец, Колин, Кутна Гора. С 9 по 11 мая войска фронта взяли в плен более 35.000 беспорядочно сдавшихся немецких солдат и офицеров и захватили следующие трофеи: танков и самоходных орудий — 127, полевых орудий —820, миномётов —510, пулемётов—1.700, винтовок и автоматов—более 15.000, автомашин— 1.500, повозок с военными грузами — 6.000, паровозов —53, железнодорожных вагонов — 3.700, лошадей — 500.</w:t>
      </w:r>
    </w:p>
    <w:p w14:paraId="79C36907"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2-го Украинского фронта в течение 11 мая преследовали отказавшиеся капитулировать немецкие войска из группы генерал-фельдмаршала Шернера и генерал-полковника Велера и, успешно продвигаясь вперед, заняли на территории Чехословакии города Хотеборж, Ледеч, Влашим, Бистржице, Миличин, Йестебнице, Табор, Пельгржимов, Собеслав. Войска фронта в районе северо-западнее города Ческе Будеевице соединились с американскими войсками. Одновременно войска фронта юго-восточнее города Ческе Будеевице продвигались вперёд и на территории Австрии заняли города Гмюнд, Вейтра, Цветтль, Оттеншлаг, соединившись в районе юго-восточнее Линца с американскими войсками. С 9 по 11 мая войсками фронта взято в плен более 98.000 беспорядочно сдавшихся немецких солдат и офицеров, 8 генералов и захвачены следующие трофеи: самолётов—40, танков и самоходных орудий—107, полевых орудий — 175, автомашин — 468, повозок с военными грузами — 1.560, железнодорожных вагонов — 430.</w:t>
      </w:r>
    </w:p>
    <w:p w14:paraId="58A121C9" w14:textId="77777777" w:rsidR="00854708" w:rsidRPr="00F90EAE" w:rsidRDefault="00854708" w:rsidP="00F90EAE">
      <w:pPr>
        <w:jc w:val="both"/>
        <w:rPr>
          <w:color w:val="000000" w:themeColor="text1"/>
          <w:sz w:val="16"/>
          <w:szCs w:val="16"/>
        </w:rPr>
      </w:pPr>
      <w:r w:rsidRPr="00F90EAE">
        <w:rPr>
          <w:color w:val="000000" w:themeColor="text1"/>
          <w:sz w:val="16"/>
          <w:szCs w:val="16"/>
        </w:rPr>
        <w:t>Войска 3-го Украинского фронта в течение 11 мая преследовали отступавшие на запад немецкие войска и в результате успешных действий принудили большую часть войск противника сложить оружие. По предварительным данным, войсками фронта с 9 по 11 мая взято в плен более 106.000 немецких солдат и офицеров и 5 генералов. Захвачены следующие трофеи: самолётов—238, танков и самоходных орудий—214, полевых орудий—1.252, миномётов—212, пулемётов—12.000, винтовок и автоматов—25.000, автомашин—5.600, паровозов—214, железнодорожных вагонов—5.260, повозок |с военным грузом—2.570, лошадей—2.690.</w:t>
      </w:r>
    </w:p>
    <w:p w14:paraId="3899F9C1" w14:textId="77777777" w:rsidR="00854708" w:rsidRPr="00F90EAE" w:rsidRDefault="00854708" w:rsidP="00F90EAE">
      <w:pPr>
        <w:jc w:val="both"/>
        <w:rPr>
          <w:color w:val="000000" w:themeColor="text1"/>
          <w:sz w:val="16"/>
          <w:szCs w:val="16"/>
        </w:rPr>
      </w:pPr>
      <w:r w:rsidRPr="00F90EAE">
        <w:rPr>
          <w:color w:val="000000" w:themeColor="text1"/>
          <w:sz w:val="16"/>
          <w:szCs w:val="16"/>
        </w:rPr>
        <w:t>Всего, таким образом, с 9 по 11 мая на всех фронтах взято в плен более 560.000 немецких солдат и офицеров и 45 генералов.» (14888).</w:t>
      </w:r>
    </w:p>
    <w:p w14:paraId="060F43DF" w14:textId="77777777" w:rsidR="00854708" w:rsidRPr="00F90EAE" w:rsidRDefault="00854708" w:rsidP="00F90EAE">
      <w:pPr>
        <w:jc w:val="both"/>
        <w:rPr>
          <w:color w:val="000000" w:themeColor="text1"/>
          <w:sz w:val="16"/>
          <w:szCs w:val="16"/>
        </w:rPr>
      </w:pPr>
    </w:p>
    <w:p w14:paraId="12AB84ED"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советское правительство отдает распоряжение о создании сотни новых контрольных лагерей и фильтрационных пунктов, рассчитанных каждый на 10 тысяч мест. Вернувшиеся на родину советские военнопленные будут обязательно проверяться военной контрразведкой, гражданские люди - НКВД. За девять месяцев, с мая 1945 по февраль 1946, более 4,2 миллионов советских граждан вернутся на родину. 57,8% репатриированных, в основном женщинам и детям, будет разрешено вернуться домой; 19,1% будут отосланы в армию, 14,5% отправлены на 2 года в строительные батальоны, 8,6% (около 360 тысяч человек) оправлены в тюрьмы и лагеря (14888).</w:t>
      </w:r>
    </w:p>
    <w:p w14:paraId="59173371" w14:textId="77777777" w:rsidR="00854708" w:rsidRPr="00F90EAE" w:rsidRDefault="00854708" w:rsidP="00F90EAE">
      <w:pPr>
        <w:jc w:val="both"/>
        <w:rPr>
          <w:color w:val="000000" w:themeColor="text1"/>
          <w:sz w:val="16"/>
          <w:szCs w:val="16"/>
        </w:rPr>
      </w:pPr>
    </w:p>
    <w:p w14:paraId="6A1D4A7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мая 1945 в Чехословакии советским войскам сдались последние остатки группы армий “Центр” (4962).</w:t>
      </w:r>
    </w:p>
    <w:p w14:paraId="00BFB8D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621D2C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мая 1945 части 181-й советской танковой бригады пленили штаб Русской Освободительной Армии (РОА) и ее командующего бывшего советского генерал-лейтенанта А. А. Власова в районе немецкого города Хемниц (4963 ).</w:t>
      </w:r>
    </w:p>
    <w:p w14:paraId="6A9F5C7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AABCBB" w14:textId="77777777" w:rsidR="000C795D" w:rsidRPr="00F90EAE" w:rsidRDefault="000C795D" w:rsidP="00F90EAE">
      <w:pPr>
        <w:jc w:val="both"/>
        <w:rPr>
          <w:color w:val="000000" w:themeColor="text1"/>
          <w:sz w:val="16"/>
          <w:szCs w:val="16"/>
        </w:rPr>
      </w:pPr>
      <w:r w:rsidRPr="00F90EAE">
        <w:rPr>
          <w:color w:val="000000" w:themeColor="text1"/>
          <w:sz w:val="16"/>
          <w:szCs w:val="16"/>
        </w:rPr>
        <w:t>11 мая в 1945 году американские войска встретились с советскими в австрийском Лицене (14888).</w:t>
      </w:r>
    </w:p>
    <w:p w14:paraId="77175607" w14:textId="77777777" w:rsidR="000C795D" w:rsidRPr="00F90EAE" w:rsidRDefault="000C795D" w:rsidP="00F90EAE">
      <w:pPr>
        <w:jc w:val="both"/>
        <w:rPr>
          <w:color w:val="000000" w:themeColor="text1"/>
          <w:sz w:val="16"/>
          <w:szCs w:val="16"/>
        </w:rPr>
      </w:pPr>
    </w:p>
    <w:p w14:paraId="554C53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войска ЛФ полностью овладели Курляндским п/о и в плен взяли 133 тыс7 (3398,179).</w:t>
      </w:r>
    </w:p>
    <w:p w14:paraId="6C35439D" w14:textId="77777777" w:rsidR="00665165" w:rsidRPr="00F90EAE" w:rsidRDefault="00665165" w:rsidP="00F90EAE">
      <w:pPr>
        <w:autoSpaceDE w:val="0"/>
        <w:autoSpaceDN w:val="0"/>
        <w:adjustRightInd w:val="0"/>
        <w:jc w:val="both"/>
        <w:rPr>
          <w:color w:val="000000" w:themeColor="text1"/>
          <w:sz w:val="16"/>
          <w:szCs w:val="16"/>
        </w:rPr>
      </w:pPr>
    </w:p>
    <w:p w14:paraId="526FC29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11th, 1945: The Red Army launches a final assault against the remnants of Heeresgruppe Mitte (Schorner) still holding out in Moravia (3819).</w:t>
      </w:r>
    </w:p>
    <w:p w14:paraId="2488EBB5" w14:textId="77777777" w:rsidR="00665165" w:rsidRPr="00F90EAE" w:rsidRDefault="00665165" w:rsidP="00F90EAE">
      <w:pPr>
        <w:autoSpaceDE w:val="0"/>
        <w:autoSpaceDN w:val="0"/>
        <w:adjustRightInd w:val="0"/>
        <w:jc w:val="both"/>
        <w:rPr>
          <w:color w:val="000000" w:themeColor="text1"/>
          <w:sz w:val="16"/>
          <w:szCs w:val="16"/>
          <w:lang w:val="en-US"/>
        </w:rPr>
      </w:pPr>
    </w:p>
    <w:p w14:paraId="33C73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марта 1945 КА начала последние удары по остаткам Группы Центр в Моравии (3819).</w:t>
      </w:r>
    </w:p>
    <w:p w14:paraId="7BD073C0" w14:textId="77777777" w:rsidR="00665165" w:rsidRPr="00F90EAE" w:rsidRDefault="00665165" w:rsidP="00F90EAE">
      <w:pPr>
        <w:autoSpaceDE w:val="0"/>
        <w:autoSpaceDN w:val="0"/>
        <w:adjustRightInd w:val="0"/>
        <w:jc w:val="both"/>
        <w:rPr>
          <w:color w:val="000000" w:themeColor="text1"/>
          <w:sz w:val="16"/>
          <w:szCs w:val="16"/>
        </w:rPr>
      </w:pPr>
    </w:p>
    <w:p w14:paraId="06F57AC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мая 1945 по приказу президента США Г. Трумэна прекращены поставки в СССР по ленд-лизу (4962).</w:t>
      </w:r>
    </w:p>
    <w:p w14:paraId="1272BDB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6E5D90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AC37B18" w14:textId="77777777" w:rsidR="00665165" w:rsidRPr="00F90EAE" w:rsidRDefault="00665165" w:rsidP="00F90EAE">
      <w:pPr>
        <w:autoSpaceDE w:val="0"/>
        <w:autoSpaceDN w:val="0"/>
        <w:adjustRightInd w:val="0"/>
        <w:jc w:val="both"/>
        <w:rPr>
          <w:iCs/>
          <w:color w:val="000000" w:themeColor="text1"/>
          <w:sz w:val="16"/>
          <w:szCs w:val="16"/>
        </w:rPr>
      </w:pPr>
    </w:p>
    <w:p w14:paraId="48561F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11 мая 1945 первое послевоенное распределение заключенных (всего - 1 262 583 человека) по стройкам и предприятиям было следующим: УИТЛК ГУЛАГа - 587 119 человек, УЛЛП - 154 397, ГУЛГМП - 120 999, Главпромстрой - 93 007, ГУЛЖДС - 149 146, Дальстрой - 97 260, Особстрой (Безымянлаг) - 11 525, ГУШОСДОР - 19 615, ГУАС - 9082, “на работах НКВД/НКГБ” - 20 433 человека. Между производственными управлениями и главками НКВД лагеря распределялись так:</w:t>
      </w:r>
    </w:p>
    <w:p w14:paraId="2AF920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УИТК ГУЛАГа: Астраханский, Карагандинский, Среднебельский, Сибирский, Темниковский и Московский лесозаготовительный ИТЛ (последний был создан в декабре 1944-го на базе Ухринского лесозаготовительного района Волгостроя с дислокацией управления в Рыбинске);</w:t>
      </w:r>
    </w:p>
    <w:p w14:paraId="3265A6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УЛЛП: Устьвымский, Каргопольский, Унженский, Вятский, Усольский, Ныробский, Ивдельский, Североуральский, Восточноуральский, Красноярский ИТЛ;</w:t>
      </w:r>
    </w:p>
    <w:p w14:paraId="00B2E5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ГУЛГМП: Норильский, Джидинский лагеря, Красноярский аффинажный завод, Воркутинский, Интинский, Ухтоижемский, Тырныаузский ИТЛ;</w:t>
      </w:r>
    </w:p>
    <w:p w14:paraId="6A0C29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Главпромстрой: Соликамский, Ягринский, Тавдинский, Богословский лагеря, Челябметаллургстрой, Тагильский, Актюбинский, Понышский, Лобвинский, Широковский, Опокский ИТЛ, Волгострой, Закавказметаллургстрой;</w:t>
      </w:r>
    </w:p>
    <w:p w14:paraId="6F8DF0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ГУЛЖДС: Нижнеамурский, Восточный, Перевальный, Северодвинский, Северный железнодорожный, Печорский, Котласский лагеря;</w:t>
      </w:r>
    </w:p>
    <w:p w14:paraId="334845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Дальстрой: Северо-восточные лагеря;</w:t>
      </w:r>
    </w:p>
    <w:p w14:paraId="76ADEA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Особстрой: Безымянский лагерь;</w:t>
      </w:r>
    </w:p>
    <w:p w14:paraId="0915DC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ГУШОСДОР: ИТЛ и строительства №№ 2 и 3 (соответственно шоссе “Москва-Минск” и “Москва-Харьков”);</w:t>
      </w:r>
    </w:p>
    <w:p w14:paraId="26C335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ГУАС: Каспийский лагерь (Баку) (7560).</w:t>
      </w:r>
    </w:p>
    <w:p w14:paraId="29F4CBB3" w14:textId="77777777" w:rsidR="00665165" w:rsidRPr="00F90EAE" w:rsidRDefault="00665165" w:rsidP="00F90EAE">
      <w:pPr>
        <w:autoSpaceDE w:val="0"/>
        <w:autoSpaceDN w:val="0"/>
        <w:adjustRightInd w:val="0"/>
        <w:jc w:val="both"/>
        <w:rPr>
          <w:color w:val="000000" w:themeColor="text1"/>
          <w:sz w:val="16"/>
          <w:szCs w:val="16"/>
        </w:rPr>
      </w:pPr>
    </w:p>
    <w:p w14:paraId="2F37690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мая 1945 советское правительство постановило создать дополнительно 100 фильтрационных лагерей для проверки лиц, прибывающих из германского плена (4962).</w:t>
      </w:r>
    </w:p>
    <w:p w14:paraId="7BC4BA3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5296C5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12DDF4E" w14:textId="77777777" w:rsidR="00665165" w:rsidRPr="00F90EAE" w:rsidRDefault="00665165" w:rsidP="00F90EAE">
      <w:pPr>
        <w:autoSpaceDE w:val="0"/>
        <w:autoSpaceDN w:val="0"/>
        <w:adjustRightInd w:val="0"/>
        <w:jc w:val="both"/>
        <w:rPr>
          <w:iCs/>
          <w:color w:val="000000" w:themeColor="text1"/>
          <w:sz w:val="16"/>
          <w:szCs w:val="16"/>
        </w:rPr>
      </w:pPr>
    </w:p>
    <w:p w14:paraId="37DC9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мая 1945 Президент Гарри Трумэн внезапно распорядился прервать поставки СССР по ленд-лизу. И.В.С. обиделся и под угрозой оказалась конференция в Сан-Франциско. В Москву отправился Г.Гопкинс и постарался убедить Кремль в неизменности позиций США (3263,233).</w:t>
      </w:r>
    </w:p>
    <w:p w14:paraId="24DE54FA" w14:textId="77777777" w:rsidR="00665165" w:rsidRPr="00F90EAE" w:rsidRDefault="00665165" w:rsidP="00F90EAE">
      <w:pPr>
        <w:autoSpaceDE w:val="0"/>
        <w:autoSpaceDN w:val="0"/>
        <w:adjustRightInd w:val="0"/>
        <w:jc w:val="both"/>
        <w:rPr>
          <w:color w:val="000000" w:themeColor="text1"/>
          <w:sz w:val="16"/>
          <w:szCs w:val="16"/>
        </w:rPr>
      </w:pPr>
    </w:p>
    <w:p w14:paraId="006EBB43"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президент США Гарри Трумэн внезапно распоряжается прекратить поставки СССР по ленд-лизу. Резкая смена новым президентом США курса президента Рузвельта на продолжение сотрудничества с СССР и в мирное время вызвала соответствующую реакцию со стороны Сталина. Под угрозой оказались работа конференции в Сан-Франциско, разрабатывавшей Устав ООН, послевоенная встреча «большой тройки» и завершение войны с Японией. В Москву вскоре был направлен личный представитель президента США Гарри Гопкинс, который постарался убедить советское руководство в неизменности позиции США (14888).</w:t>
      </w:r>
    </w:p>
    <w:p w14:paraId="3312B4E9" w14:textId="77777777" w:rsidR="00854708" w:rsidRPr="00F90EAE" w:rsidRDefault="00854708" w:rsidP="00F90EAE">
      <w:pPr>
        <w:jc w:val="both"/>
        <w:rPr>
          <w:color w:val="000000" w:themeColor="text1"/>
          <w:sz w:val="16"/>
          <w:szCs w:val="16"/>
        </w:rPr>
      </w:pPr>
    </w:p>
    <w:p w14:paraId="6FB311A1" w14:textId="77777777" w:rsidR="0085470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3B841AA" w14:textId="77777777" w:rsidR="00854708" w:rsidRPr="00F90EAE" w:rsidRDefault="00854708" w:rsidP="00F90EAE">
      <w:pPr>
        <w:autoSpaceDE w:val="0"/>
        <w:autoSpaceDN w:val="0"/>
        <w:adjustRightInd w:val="0"/>
        <w:jc w:val="both"/>
        <w:rPr>
          <w:iCs/>
          <w:color w:val="000000" w:themeColor="text1"/>
          <w:sz w:val="16"/>
          <w:szCs w:val="16"/>
        </w:rPr>
      </w:pPr>
    </w:p>
    <w:p w14:paraId="0EBBF5D8"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американские войска заняли Пльзень (14888).</w:t>
      </w:r>
    </w:p>
    <w:p w14:paraId="5BD32633" w14:textId="77777777" w:rsidR="00854708" w:rsidRPr="00F90EAE" w:rsidRDefault="00854708" w:rsidP="00F90EAE">
      <w:pPr>
        <w:jc w:val="both"/>
        <w:rPr>
          <w:color w:val="000000" w:themeColor="text1"/>
          <w:sz w:val="16"/>
          <w:szCs w:val="16"/>
        </w:rPr>
      </w:pPr>
    </w:p>
    <w:p w14:paraId="4E6D5E59"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(11-14 мая) на заседаниях японского Высшего совета по руководству войной рассматривалась возможность посредничества Китая, Швейцарии, Швеции и Ватикана на возможных переговорах о мире с Великобританией и США. Высказывалось также мнение о возможности посредничества СССР. В обмен на благожелательную позицию японское руководство соглашалось передать СССР Южный Сахалин, Порт-Артур, Китайско-Восточную Железную Дорогу и в крайнем случае северную часть Курильских островов (14888).</w:t>
      </w:r>
    </w:p>
    <w:p w14:paraId="54C964C8" w14:textId="77777777" w:rsidR="00854708" w:rsidRPr="00F90EAE" w:rsidRDefault="00854708" w:rsidP="00F90EAE">
      <w:pPr>
        <w:jc w:val="both"/>
        <w:rPr>
          <w:color w:val="000000" w:themeColor="text1"/>
          <w:sz w:val="16"/>
          <w:szCs w:val="16"/>
        </w:rPr>
      </w:pPr>
    </w:p>
    <w:p w14:paraId="4D2C2E70" w14:textId="77777777" w:rsidR="00854708" w:rsidRPr="00F90EAE" w:rsidRDefault="00854708" w:rsidP="00F90EAE">
      <w:pPr>
        <w:jc w:val="both"/>
        <w:rPr>
          <w:color w:val="000000" w:themeColor="text1"/>
          <w:sz w:val="16"/>
          <w:szCs w:val="16"/>
        </w:rPr>
      </w:pPr>
      <w:r w:rsidRPr="00F90EAE">
        <w:rPr>
          <w:color w:val="000000" w:themeColor="text1"/>
          <w:sz w:val="16"/>
          <w:szCs w:val="16"/>
        </w:rPr>
        <w:t>11 мая в 1945 году (11-16 мая) рейд американского соединения «Task Force-38» и группы английских торпедоносцев на острова Рюкю (14888).</w:t>
      </w:r>
    </w:p>
    <w:p w14:paraId="32FE5A1A" w14:textId="77777777" w:rsidR="00854708" w:rsidRPr="00F90EAE" w:rsidRDefault="00854708" w:rsidP="00F90EAE">
      <w:pPr>
        <w:jc w:val="both"/>
        <w:rPr>
          <w:color w:val="000000" w:themeColor="text1"/>
          <w:sz w:val="16"/>
          <w:szCs w:val="16"/>
        </w:rPr>
      </w:pPr>
    </w:p>
    <w:p w14:paraId="58C5D81D" w14:textId="77777777" w:rsidR="009A3EFF" w:rsidRPr="00F90EAE" w:rsidRDefault="009A3EFF" w:rsidP="00F90EAE">
      <w:pPr>
        <w:jc w:val="both"/>
        <w:rPr>
          <w:color w:val="0070C0"/>
          <w:sz w:val="16"/>
          <w:szCs w:val="16"/>
        </w:rPr>
      </w:pPr>
      <w:r w:rsidRPr="00F90EAE">
        <w:rPr>
          <w:color w:val="0070C0"/>
          <w:sz w:val="16"/>
          <w:szCs w:val="16"/>
        </w:rPr>
        <w:t>11 мая 1945 спустя более трех лет после первого использования в Германии для спасения жизни летчика-испытателя Гельмута Шенка компания Martin-Baker проводит первые боевые стрельбы одного из катапультных кресел собственной конструкции (20371).</w:t>
      </w:r>
    </w:p>
    <w:p w14:paraId="3900B072" w14:textId="77777777" w:rsidR="009A3EFF" w:rsidRPr="00F90EAE" w:rsidRDefault="009A3EFF" w:rsidP="00F90EAE">
      <w:pPr>
        <w:jc w:val="both"/>
        <w:rPr>
          <w:color w:val="0070C0"/>
          <w:sz w:val="16"/>
          <w:szCs w:val="16"/>
        </w:rPr>
      </w:pPr>
    </w:p>
    <w:p w14:paraId="62D361F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2636992" w14:textId="77777777" w:rsidR="00665165" w:rsidRPr="00F90EAE" w:rsidRDefault="00665165" w:rsidP="00F90EAE">
      <w:pPr>
        <w:autoSpaceDE w:val="0"/>
        <w:autoSpaceDN w:val="0"/>
        <w:adjustRightInd w:val="0"/>
        <w:jc w:val="both"/>
        <w:rPr>
          <w:iCs/>
          <w:color w:val="000000" w:themeColor="text1"/>
          <w:sz w:val="16"/>
          <w:szCs w:val="16"/>
        </w:rPr>
      </w:pPr>
    </w:p>
    <w:p w14:paraId="1AD602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состоялся первый полет Як-3У с АШ-82ФН (65,198). Летал П.Я.Федрови (560,17).</w:t>
      </w:r>
    </w:p>
    <w:p w14:paraId="1F2A90AA" w14:textId="77777777" w:rsidR="00665165" w:rsidRPr="00F90EAE" w:rsidRDefault="00665165" w:rsidP="00F90EAE">
      <w:pPr>
        <w:autoSpaceDE w:val="0"/>
        <w:autoSpaceDN w:val="0"/>
        <w:adjustRightInd w:val="0"/>
        <w:jc w:val="both"/>
        <w:rPr>
          <w:color w:val="000000" w:themeColor="text1"/>
          <w:sz w:val="16"/>
          <w:szCs w:val="16"/>
        </w:rPr>
      </w:pPr>
    </w:p>
    <w:p w14:paraId="3EFC8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12 мая 1945 года состоялся первый полет истребителя Як-3 с АШ-82ФН, пилотируемого П.Я. Федрови (ведущий инженер по испытаниям A.M. Дружинин).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во капотажного угла.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796E20AB" w14:textId="77777777" w:rsidR="00665165" w:rsidRPr="00F90EAE" w:rsidRDefault="00665165" w:rsidP="00F90EAE">
      <w:pPr>
        <w:autoSpaceDE w:val="0"/>
        <w:autoSpaceDN w:val="0"/>
        <w:adjustRightInd w:val="0"/>
        <w:jc w:val="both"/>
        <w:rPr>
          <w:color w:val="000000" w:themeColor="text1"/>
          <w:sz w:val="16"/>
          <w:szCs w:val="16"/>
        </w:rPr>
      </w:pPr>
    </w:p>
    <w:p w14:paraId="10E848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12 мая по 2 июля 1945 в ОКБ А.С.Я. дорабатывали после гос. испытаний, которые проходили с 17 февраля по 27 апреля 1945, Як-3Т, вооруженный Н-37 + 2 БС-20С. На самом деле все работы закончили к 24 мая и потом проверяли эффективность доделок, в т.ч. в 12 полетах (4:45). Летал М.И.Иванов, а ви был К.В.Синельников и м - Н.П.Кобцов (65,181).</w:t>
      </w:r>
    </w:p>
    <w:p w14:paraId="3A403328" w14:textId="77777777" w:rsidR="00665165" w:rsidRPr="00F90EAE" w:rsidRDefault="00665165" w:rsidP="00F90EAE">
      <w:pPr>
        <w:autoSpaceDE w:val="0"/>
        <w:autoSpaceDN w:val="0"/>
        <w:adjustRightInd w:val="0"/>
        <w:jc w:val="both"/>
        <w:rPr>
          <w:color w:val="000000" w:themeColor="text1"/>
          <w:sz w:val="16"/>
          <w:szCs w:val="16"/>
        </w:rPr>
      </w:pPr>
    </w:p>
    <w:p w14:paraId="4BF75C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при наземных огневых испытаниях Ла-7Р-2 разорвалась камера сгорания РД-1ХЗ (2234,9).</w:t>
      </w:r>
    </w:p>
    <w:p w14:paraId="6BA2763A" w14:textId="77777777" w:rsidR="00665165" w:rsidRPr="00F90EAE" w:rsidRDefault="00665165" w:rsidP="00F90EAE">
      <w:pPr>
        <w:autoSpaceDE w:val="0"/>
        <w:autoSpaceDN w:val="0"/>
        <w:adjustRightInd w:val="0"/>
        <w:jc w:val="both"/>
        <w:rPr>
          <w:color w:val="000000" w:themeColor="text1"/>
          <w:sz w:val="16"/>
          <w:szCs w:val="16"/>
        </w:rPr>
      </w:pPr>
    </w:p>
    <w:p w14:paraId="529E6F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при очередном испытательном полете Пе-2 с РД-1 произошел взрыв двигателя РД-1, но вся команда в составе А.Г.Васильченко, С.П.К. и Харламова благополучно приземлилась. В испытаниях принимал участие и заводской л А.С.Пальчиков. Прирост скорости был 68 км/час. Максимальная продолжительность работы РД-1 - 10 мин., а масса установки - 1050 кг. РД-1 включал л, а выключить мог и экспериментатор, находящийся в кабине радиста. (1847,71).</w:t>
      </w:r>
    </w:p>
    <w:p w14:paraId="233118B3" w14:textId="77777777" w:rsidR="00665165" w:rsidRPr="00F90EAE" w:rsidRDefault="00665165" w:rsidP="00F90EAE">
      <w:pPr>
        <w:autoSpaceDE w:val="0"/>
        <w:autoSpaceDN w:val="0"/>
        <w:adjustRightInd w:val="0"/>
        <w:jc w:val="both"/>
        <w:rPr>
          <w:color w:val="000000" w:themeColor="text1"/>
          <w:sz w:val="16"/>
          <w:szCs w:val="16"/>
        </w:rPr>
      </w:pPr>
    </w:p>
    <w:p w14:paraId="2D8D54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мая 1945 г. в ходе очередного полета на высоте 7 км произошел взрыв РД-1 на Пе-2. Пилоту А.Г. Васильченко с трудом удалось посадить самолет. Находившийся на борту С.П. Королев был обожжен (10675).</w:t>
      </w:r>
    </w:p>
    <w:p w14:paraId="21F3A6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B42E2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были закончены гос. испытания двухкамерного ЖРД Л.С.Душкина РД-2М3Ц с насосной подачей топлива, которые шли с 28 апреля 1945. Он был построен в феврале 1945 и в марте 1945 прошел заводские испытания. Макс. тяга была 1500 кг, номинальная - 1250, минимальная - 100 кг. Ресурс был 60 мин. вместо 35 мин. Отметили достоинства и дефекты. Рекомендовали изготовить малую серию для проведения летных испытаний. Сделали 20 и часть использовали на И-270 (2928,98).</w:t>
      </w:r>
    </w:p>
    <w:p w14:paraId="7007A7EF" w14:textId="77777777" w:rsidR="00665165" w:rsidRPr="00F90EAE" w:rsidRDefault="00665165" w:rsidP="00F90EAE">
      <w:pPr>
        <w:autoSpaceDE w:val="0"/>
        <w:autoSpaceDN w:val="0"/>
        <w:adjustRightInd w:val="0"/>
        <w:jc w:val="both"/>
        <w:rPr>
          <w:color w:val="000000" w:themeColor="text1"/>
          <w:sz w:val="16"/>
          <w:szCs w:val="16"/>
        </w:rPr>
      </w:pPr>
    </w:p>
    <w:p w14:paraId="70C26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6D8AA7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летчику-испытателю капитану Васильченко А.Г.</w:t>
      </w:r>
    </w:p>
    <w:p w14:paraId="7B5B20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инженеру-экспериментатору Королеву С.П.</w:t>
      </w:r>
    </w:p>
    <w:p w14:paraId="71F015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бортмеханику Харламову С.Ф.</w:t>
      </w:r>
    </w:p>
    <w:p w14:paraId="2263A4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Главный конструктор ОКБ В. Глушко" (10676).</w:t>
      </w:r>
    </w:p>
    <w:p w14:paraId="639D5AAF" w14:textId="77777777" w:rsidR="00665165" w:rsidRPr="00F90EAE" w:rsidRDefault="00665165" w:rsidP="00F90EAE">
      <w:pPr>
        <w:autoSpaceDE w:val="0"/>
        <w:autoSpaceDN w:val="0"/>
        <w:adjustRightInd w:val="0"/>
        <w:jc w:val="both"/>
        <w:rPr>
          <w:color w:val="000000" w:themeColor="text1"/>
          <w:sz w:val="16"/>
          <w:szCs w:val="16"/>
        </w:rPr>
      </w:pPr>
    </w:p>
    <w:p w14:paraId="26ACE8B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2682844" w14:textId="77777777" w:rsidR="00665165" w:rsidRPr="00F90EAE" w:rsidRDefault="00665165" w:rsidP="00F90EAE">
      <w:pPr>
        <w:autoSpaceDE w:val="0"/>
        <w:autoSpaceDN w:val="0"/>
        <w:adjustRightInd w:val="0"/>
        <w:jc w:val="both"/>
        <w:rPr>
          <w:iCs/>
          <w:color w:val="000000" w:themeColor="text1"/>
          <w:sz w:val="16"/>
          <w:szCs w:val="16"/>
        </w:rPr>
      </w:pPr>
    </w:p>
    <w:p w14:paraId="00DDA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мая 1945 г. ыл подготовлен Протокол опроса научного руководителя фирмы «Ауэр» доктора Н. Риля начальником 5-го отдела НКВД СССР П.М. Сиденко</w:t>
      </w:r>
    </w:p>
    <w:p w14:paraId="518D76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Фридрихсхаген</w:t>
      </w:r>
    </w:p>
    <w:p w14:paraId="3AFB5F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Протокол опроса доктора Риля Николая Вильгельмовича</w:t>
      </w:r>
    </w:p>
    <w:p w14:paraId="5879B4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Риль Н.В., 43 лет, родился в Петербурге. В Германию прибыл в 1918 г. Окончил Берлинский университет в 1927 г. Получил звание доктора физи</w:t>
      </w:r>
      <w:r w:rsidRPr="00F90EAE">
        <w:rPr>
          <w:color w:val="000000" w:themeColor="text1"/>
          <w:sz w:val="16"/>
          <w:szCs w:val="16"/>
        </w:rPr>
        <w:softHyphen/>
        <w:t>ки. Занимался в разных местах физикой и химией. Около 8 лет является на</w:t>
      </w:r>
      <w:r w:rsidRPr="00F90EAE">
        <w:rPr>
          <w:color w:val="000000" w:themeColor="text1"/>
          <w:sz w:val="16"/>
          <w:szCs w:val="16"/>
        </w:rPr>
        <w:softHyphen/>
        <w:t>учным руководителем института «Ауэр» (Речь идет о фирме «Ауэргезелльшафт», при которой действовал научно-исследовате</w:t>
      </w:r>
      <w:r w:rsidRPr="00F90EAE">
        <w:rPr>
          <w:color w:val="000000" w:themeColor="text1"/>
          <w:sz w:val="16"/>
          <w:szCs w:val="16"/>
        </w:rPr>
        <w:softHyphen/>
        <w:t>льский отдел, возглавляемый доктором Н. Рилем).</w:t>
      </w:r>
    </w:p>
    <w:p w14:paraId="500FC4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Чем занимался институт «Ауэр»?</w:t>
      </w:r>
    </w:p>
    <w:p w14:paraId="07F485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Институт «Ауэр» занимался радием и подобными веществами, люминисцитующими веществами и светотехникой. Институтом разрабо</w:t>
      </w:r>
      <w:r w:rsidRPr="00F90EAE">
        <w:rPr>
          <w:color w:val="000000" w:themeColor="text1"/>
          <w:sz w:val="16"/>
          <w:szCs w:val="16"/>
        </w:rPr>
        <w:softHyphen/>
        <w:t>тана и пущена в производство лампа с холодным светом. Институт занимал</w:t>
      </w:r>
      <w:r w:rsidRPr="00F90EAE">
        <w:rPr>
          <w:color w:val="000000" w:themeColor="text1"/>
          <w:sz w:val="16"/>
          <w:szCs w:val="16"/>
        </w:rPr>
        <w:softHyphen/>
        <w:t>ся химией урана, тория, церия и других редких элементов.</w:t>
      </w:r>
    </w:p>
    <w:p w14:paraId="4AA515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урану:</w:t>
      </w:r>
    </w:p>
    <w:p w14:paraId="3A4594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изготовлением химически-чистых препаратов окиси урана;</w:t>
      </w:r>
    </w:p>
    <w:p w14:paraId="1A6A9F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изготовлением металлического урана и переплавкой металлического</w:t>
      </w:r>
    </w:p>
    <w:p w14:paraId="0784CD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урана в различные формы.</w:t>
      </w:r>
    </w:p>
    <w:p w14:paraId="0CD592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Для кого и для какой цели изготовлялись чистые урановые пре</w:t>
      </w:r>
      <w:r w:rsidRPr="00F90EAE">
        <w:rPr>
          <w:color w:val="000000" w:themeColor="text1"/>
          <w:sz w:val="16"/>
          <w:szCs w:val="16"/>
        </w:rPr>
        <w:softHyphen/>
        <w:t>параты?</w:t>
      </w:r>
    </w:p>
    <w:p w14:paraId="785B12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Чистые урановые препараты изготовлялись для получения силь</w:t>
      </w:r>
      <w:r w:rsidRPr="00F90EAE">
        <w:rPr>
          <w:color w:val="000000" w:themeColor="text1"/>
          <w:sz w:val="16"/>
          <w:szCs w:val="16"/>
        </w:rPr>
        <w:softHyphen/>
        <w:t>ных источников нейтронов и передавались Высшему государственному на</w:t>
      </w:r>
      <w:r w:rsidRPr="00F90EAE">
        <w:rPr>
          <w:color w:val="000000" w:themeColor="text1"/>
          <w:sz w:val="16"/>
          <w:szCs w:val="16"/>
        </w:rPr>
        <w:softHyphen/>
        <w:t>учному совету</w:t>
      </w:r>
    </w:p>
    <w:p w14:paraId="58D91A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Кому отправлялась продукция? Ответ: Урановые препараты отправлялись:</w:t>
      </w:r>
    </w:p>
    <w:p w14:paraId="1BD543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Кайзер-Вильгельм институту в Далеме (ин[ститу]т Планка), административный] руководитель] ин[ститу]та проф. Герлах, научный руководитель проф. Гейзенберг.</w:t>
      </w:r>
    </w:p>
    <w:p w14:paraId="5F826D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Институту проф. Гана, тоже в Далеме.</w:t>
      </w:r>
    </w:p>
    <w:p w14:paraId="29B3AE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Физико-химическому институту Гамбургского университета (проф. Гартек).</w:t>
      </w:r>
    </w:p>
    <w:p w14:paraId="6D345A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Кайзер-Вильгельм институту медицинской физики в Гейдель-берге (проф. Боте).</w:t>
      </w:r>
    </w:p>
    <w:p w14:paraId="0C7D2B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Сколько всего изготовлено чистых препаратов урана? Ответ: Всего изготовлено чистых препаратов урана приблизительно око</w:t>
      </w:r>
      <w:r w:rsidRPr="00F90EAE">
        <w:rPr>
          <w:color w:val="000000" w:themeColor="text1"/>
          <w:sz w:val="16"/>
          <w:szCs w:val="16"/>
        </w:rPr>
        <w:softHyphen/>
        <w:t>ло 20 тонн (за 2—2,5 года), в том числе:</w:t>
      </w:r>
    </w:p>
    <w:p w14:paraId="390C50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чистого металлического урана около 10 тонн;</w:t>
      </w:r>
    </w:p>
    <w:p w14:paraId="287F4A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разных препаратов урана — 10 тонн.</w:t>
      </w:r>
    </w:p>
    <w:p w14:paraId="3659C1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Главная часть металлического урана была отпущена институту Планка. По имеющимся сведениям, этот уран в настоящее время находится в городе Штадтильм около Эрфурта в Тюрингии. Там же находятся сотрудники Гер-лаха — доктор Дибнер и доктор Беркей</w:t>
      </w:r>
      <w:r w:rsidRPr="00F90EAE">
        <w:rPr>
          <w:color w:val="000000" w:themeColor="text1"/>
          <w:sz w:val="16"/>
          <w:szCs w:val="16"/>
          <w:vertAlign w:val="superscript"/>
        </w:rPr>
        <w:t>1</w:t>
      </w:r>
      <w:r w:rsidRPr="00F90EAE">
        <w:rPr>
          <w:color w:val="000000" w:themeColor="text1"/>
          <w:sz w:val="16"/>
          <w:szCs w:val="16"/>
        </w:rPr>
        <w:t>.</w:t>
      </w:r>
    </w:p>
    <w:p w14:paraId="2C6423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Имеется ли в наличии уран и его соединения?</w:t>
      </w:r>
    </w:p>
    <w:p w14:paraId="18B7C1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В наличии имеется:</w:t>
      </w:r>
    </w:p>
    <w:p w14:paraId="5C8D58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около 0,5 тонны металлического урана в порошке в дер. Цехлин;</w:t>
      </w:r>
    </w:p>
    <w:p w14:paraId="359BF7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там же находится около 10 тонн очищенной окиси урана и 5—Ютонн, а, может быть, и больше сырья неочищенного;</w:t>
      </w:r>
    </w:p>
    <w:p w14:paraId="3B859E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имеется сырье в Берлине при главной конторе «Ауэр» — по адресу Горфштрассе и на фабрике в Грюнау.</w:t>
      </w:r>
    </w:p>
    <w:p w14:paraId="101C46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Каковы общие запасы в Германии урана и урановых соедине</w:t>
      </w:r>
      <w:r w:rsidRPr="00F90EAE">
        <w:rPr>
          <w:color w:val="000000" w:themeColor="text1"/>
          <w:sz w:val="16"/>
          <w:szCs w:val="16"/>
        </w:rPr>
        <w:softHyphen/>
        <w:t>ний?</w:t>
      </w:r>
    </w:p>
    <w:p w14:paraId="27D1C9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Ориентировочные запасы при пересчете на окись урана определя</w:t>
      </w:r>
      <w:r w:rsidRPr="00F90EAE">
        <w:rPr>
          <w:color w:val="000000" w:themeColor="text1"/>
          <w:sz w:val="16"/>
          <w:szCs w:val="16"/>
        </w:rPr>
        <w:softHyphen/>
        <w:t>ются в 500 тонн. Главная часть этих запасов находились в Штасфурте (неда</w:t>
      </w:r>
      <w:r w:rsidRPr="00F90EAE">
        <w:rPr>
          <w:color w:val="000000" w:themeColor="text1"/>
          <w:sz w:val="16"/>
          <w:szCs w:val="16"/>
        </w:rPr>
        <w:softHyphen/>
        <w:t>леко от Гарца) на складах — это северо-западная часть Германии.</w:t>
      </w:r>
    </w:p>
    <w:p w14:paraId="36273B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 меня в делах имеется точная справка о наличии и размещении урано</w:t>
      </w:r>
      <w:r w:rsidRPr="00F90EAE">
        <w:rPr>
          <w:color w:val="000000" w:themeColor="text1"/>
          <w:sz w:val="16"/>
          <w:szCs w:val="16"/>
        </w:rPr>
        <w:softHyphen/>
        <w:t>вых соединений.</w:t>
      </w:r>
    </w:p>
    <w:p w14:paraId="1A13E6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Откуда получено Германией это сырье?</w:t>
      </w:r>
    </w:p>
    <w:p w14:paraId="087FDA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Сырье получено из Бельгии.</w:t>
      </w:r>
    </w:p>
    <w:p w14:paraId="2BE1EA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Кто распоряжался всеми запасами урана?</w:t>
      </w:r>
    </w:p>
    <w:p w14:paraId="14E78D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Всеми запасами урана распоряжался проф. Герлах (общество «Рогес»). Основная часть сырья находится, как указано выше, в Штасфурте, некоторое количество находится в Гольдберге (Восточная Герма</w:t>
      </w:r>
      <w:r w:rsidRPr="00F90EAE">
        <w:rPr>
          <w:color w:val="000000" w:themeColor="text1"/>
          <w:sz w:val="16"/>
          <w:szCs w:val="16"/>
        </w:rPr>
        <w:softHyphen/>
        <w:t>ния — 100—150 км от Берлина) на складе общества «Рогес».</w:t>
      </w:r>
    </w:p>
    <w:p w14:paraId="12312F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Вопрос: Какие известны Вам работы по урану?</w:t>
      </w:r>
    </w:p>
    <w:p w14:paraId="03FE15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Ответ: Насколько мне известно, в работах по урану большое внимание было обращено на разделение изотопов, так как один из изотопов с меньшим атомным весом является более активным, чем смесь изотопов, этого изотопа содержится в уране около 1%.</w:t>
      </w:r>
    </w:p>
    <w:p w14:paraId="458C99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Попытки разделения изотопов шли следующими путями:</w:t>
      </w:r>
    </w:p>
    <w:p w14:paraId="3DDD82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Гартек в Гамбурге —разделение изотопов в газообразном состоянии с помощью ультрацентрифуги (известно, что по этому методу велись работы и в Америке).</w:t>
      </w:r>
    </w:p>
    <w:p w14:paraId="75DCC9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Проф. Сведов— хроматографический метод.</w:t>
      </w:r>
    </w:p>
    <w:p w14:paraId="321F5B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Клузиус (Мюнхен) — термодиффузионный метод.</w:t>
      </w:r>
    </w:p>
    <w:p w14:paraId="780083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Метод фракционированного разделения в колоннах и др.</w:t>
      </w:r>
    </w:p>
    <w:p w14:paraId="46D315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Опросил Сиденко.</w:t>
      </w:r>
    </w:p>
    <w:p w14:paraId="2AFD5A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Отраслевой отдел фондов Федерального государственного унитарного предприятия — Центрального научно-исследовательского института управ</w:t>
      </w:r>
      <w:r w:rsidRPr="00F90EAE">
        <w:rPr>
          <w:color w:val="000000" w:themeColor="text1"/>
          <w:sz w:val="16"/>
          <w:szCs w:val="16"/>
        </w:rPr>
        <w:softHyphen/>
        <w:t>ления, экономики и информации Минатома России (далее: ООФ ФГУП ЦНИИА). Ф. 1. Д. 19207. Л. 80-82. Заверенная копия (11419).</w:t>
      </w:r>
    </w:p>
    <w:p w14:paraId="547471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36E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12 мая 1945 вышло Распоряжение ГКО № 8535. О создании НИИ полимеризационных пластмасс и экспериментального завода при нем на базе Ленинградского завода К-4. РГАНИР, Фонд ГКО, д. 415, лл. 36 (11012).</w:t>
      </w:r>
    </w:p>
    <w:p w14:paraId="5E96ACDA" w14:textId="77777777" w:rsidR="00665165" w:rsidRPr="00F90EAE" w:rsidRDefault="00665165" w:rsidP="00F90EAE">
      <w:pPr>
        <w:autoSpaceDE w:val="0"/>
        <w:autoSpaceDN w:val="0"/>
        <w:adjustRightInd w:val="0"/>
        <w:jc w:val="both"/>
        <w:rPr>
          <w:color w:val="000000" w:themeColor="text1"/>
          <w:sz w:val="16"/>
          <w:szCs w:val="16"/>
        </w:rPr>
      </w:pPr>
    </w:p>
    <w:p w14:paraId="5572015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8536 [О мерах по замене дефектных рельсов на основных магистральных железнодорожных путях.] (7339, 37).</w:t>
      </w:r>
    </w:p>
    <w:p w14:paraId="11AA076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2EBA98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8537 [Об изменении дислокации пунктов хранения угля госрезерва на некоторых железных дорогах.] (7339, 38-39).</w:t>
      </w:r>
    </w:p>
    <w:p w14:paraId="65D2899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8F523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8538. О мерах по разработке метода газопрессовой сварки стыков труб и рельсов. РГАНИР, Фонд ГКО, д. 415, лл. 40-41 (11012).</w:t>
      </w:r>
    </w:p>
    <w:p w14:paraId="4F6091F6" w14:textId="77777777" w:rsidR="00665165" w:rsidRPr="00F90EAE" w:rsidRDefault="00665165" w:rsidP="00F90EAE">
      <w:pPr>
        <w:autoSpaceDE w:val="0"/>
        <w:autoSpaceDN w:val="0"/>
        <w:adjustRightInd w:val="0"/>
        <w:jc w:val="both"/>
        <w:rPr>
          <w:color w:val="000000" w:themeColor="text1"/>
          <w:sz w:val="16"/>
          <w:szCs w:val="16"/>
        </w:rPr>
      </w:pPr>
    </w:p>
    <w:p w14:paraId="46CC72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8539. О мерах по обеспечению поставки древесины заводу № 367 НКВ. РГАНИР, Фонд ГКО, д. 415, лл. 42-43 (11012).</w:t>
      </w:r>
    </w:p>
    <w:p w14:paraId="2C5ABDD7" w14:textId="77777777" w:rsidR="00665165" w:rsidRPr="00F90EAE" w:rsidRDefault="00665165" w:rsidP="00F90EAE">
      <w:pPr>
        <w:autoSpaceDE w:val="0"/>
        <w:autoSpaceDN w:val="0"/>
        <w:adjustRightInd w:val="0"/>
        <w:jc w:val="both"/>
        <w:rPr>
          <w:color w:val="000000" w:themeColor="text1"/>
          <w:sz w:val="16"/>
          <w:szCs w:val="16"/>
        </w:rPr>
      </w:pPr>
    </w:p>
    <w:p w14:paraId="30319A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8540. О дополнительной поставке металла заводу № 199 НКСП. РГАНИР, Фонд ГКО, д. 415, лл. 44 (11012).</w:t>
      </w:r>
    </w:p>
    <w:p w14:paraId="79F85FF8" w14:textId="77777777" w:rsidR="00665165" w:rsidRPr="00F90EAE" w:rsidRDefault="00665165" w:rsidP="00F90EAE">
      <w:pPr>
        <w:autoSpaceDE w:val="0"/>
        <w:autoSpaceDN w:val="0"/>
        <w:adjustRightInd w:val="0"/>
        <w:jc w:val="both"/>
        <w:rPr>
          <w:color w:val="000000" w:themeColor="text1"/>
          <w:sz w:val="16"/>
          <w:szCs w:val="16"/>
        </w:rPr>
      </w:pPr>
    </w:p>
    <w:p w14:paraId="4886A68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8541 [О поставке топочного мазута Нижне-Амурскому пароходству НКРФ.] (7339, 45).</w:t>
      </w:r>
    </w:p>
    <w:p w14:paraId="70B059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8795F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8542. О дополнительном выделении угля спиртовым заводам НКПП. РГАНИР, Фонд ГКО, д. 415, лл. 46 (11012).</w:t>
      </w:r>
    </w:p>
    <w:p w14:paraId="234835BA" w14:textId="77777777" w:rsidR="00665165" w:rsidRPr="00F90EAE" w:rsidRDefault="00665165" w:rsidP="00F90EAE">
      <w:pPr>
        <w:autoSpaceDE w:val="0"/>
        <w:autoSpaceDN w:val="0"/>
        <w:adjustRightInd w:val="0"/>
        <w:jc w:val="both"/>
        <w:rPr>
          <w:color w:val="000000" w:themeColor="text1"/>
          <w:sz w:val="16"/>
          <w:szCs w:val="16"/>
        </w:rPr>
      </w:pPr>
    </w:p>
    <w:p w14:paraId="2441F6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8543. О дополнительном выделении топочного мазута Вольским цементным заводом. РГАНИР, Фонд ГКО, д. 415, лл. 47 (11012).</w:t>
      </w:r>
    </w:p>
    <w:p w14:paraId="11A38628" w14:textId="77777777" w:rsidR="00665165" w:rsidRPr="00F90EAE" w:rsidRDefault="00665165" w:rsidP="00F90EAE">
      <w:pPr>
        <w:autoSpaceDE w:val="0"/>
        <w:autoSpaceDN w:val="0"/>
        <w:adjustRightInd w:val="0"/>
        <w:jc w:val="both"/>
        <w:rPr>
          <w:color w:val="000000" w:themeColor="text1"/>
          <w:sz w:val="16"/>
          <w:szCs w:val="16"/>
        </w:rPr>
      </w:pPr>
    </w:p>
    <w:p w14:paraId="495E69A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8544 [О поставках оборудования Норильскому комбинату НКВД.] (7339, 48).</w:t>
      </w:r>
    </w:p>
    <w:p w14:paraId="4608CDB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C8C4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8546. О поставках стройматериалов для строительства завода № 260 НКБ. РГАНИР, Фонд ГКО, д. 415, лл. 50 (11012).</w:t>
      </w:r>
    </w:p>
    <w:p w14:paraId="632115CB" w14:textId="77777777" w:rsidR="00665165" w:rsidRPr="00F90EAE" w:rsidRDefault="00665165" w:rsidP="00F90EAE">
      <w:pPr>
        <w:autoSpaceDE w:val="0"/>
        <w:autoSpaceDN w:val="0"/>
        <w:adjustRightInd w:val="0"/>
        <w:jc w:val="both"/>
        <w:rPr>
          <w:color w:val="000000" w:themeColor="text1"/>
          <w:sz w:val="16"/>
          <w:szCs w:val="16"/>
        </w:rPr>
      </w:pPr>
    </w:p>
    <w:p w14:paraId="074E04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8547. О мерах по обеспечению монтажа импортного оборудования на снарядных и гильзовых заводах НКБ. РГАНИР, Фонд ГКО, д. 415, лл. 51-52 (11012).</w:t>
      </w:r>
    </w:p>
    <w:p w14:paraId="572005C9" w14:textId="77777777" w:rsidR="00665165" w:rsidRPr="00F90EAE" w:rsidRDefault="00665165" w:rsidP="00F90EAE">
      <w:pPr>
        <w:autoSpaceDE w:val="0"/>
        <w:autoSpaceDN w:val="0"/>
        <w:adjustRightInd w:val="0"/>
        <w:jc w:val="both"/>
        <w:rPr>
          <w:color w:val="000000" w:themeColor="text1"/>
          <w:sz w:val="16"/>
          <w:szCs w:val="16"/>
        </w:rPr>
      </w:pPr>
    </w:p>
    <w:p w14:paraId="028ADC5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8548 [О выделении вагонов для перевозки импортного цветного металла для НКЭП.] (7339, 53).</w:t>
      </w:r>
    </w:p>
    <w:p w14:paraId="2434CEA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8E8A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8549. О дополнительном выделении нефти для дизельной электростанции Тамбова. РГАНИР, Фонд ГКО, д. 415, лл. 54 (11012).</w:t>
      </w:r>
    </w:p>
    <w:p w14:paraId="2F8C85FC" w14:textId="77777777" w:rsidR="00665165" w:rsidRPr="00F90EAE" w:rsidRDefault="00665165" w:rsidP="00F90EAE">
      <w:pPr>
        <w:autoSpaceDE w:val="0"/>
        <w:autoSpaceDN w:val="0"/>
        <w:adjustRightInd w:val="0"/>
        <w:jc w:val="both"/>
        <w:rPr>
          <w:color w:val="000000" w:themeColor="text1"/>
          <w:sz w:val="16"/>
          <w:szCs w:val="16"/>
        </w:rPr>
      </w:pPr>
    </w:p>
    <w:p w14:paraId="3CFCE3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8550. О плане производства и распределения продукта переработки нефти на II кв. 1945 г. РГАНИР, Фонд ГКО, д. 415, лл. 55, 56-57 (11012).</w:t>
      </w:r>
    </w:p>
    <w:p w14:paraId="4CB9F000" w14:textId="77777777" w:rsidR="00665165" w:rsidRPr="00F90EAE" w:rsidRDefault="00665165" w:rsidP="00F90EAE">
      <w:pPr>
        <w:autoSpaceDE w:val="0"/>
        <w:autoSpaceDN w:val="0"/>
        <w:adjustRightInd w:val="0"/>
        <w:jc w:val="both"/>
        <w:rPr>
          <w:color w:val="000000" w:themeColor="text1"/>
          <w:sz w:val="16"/>
          <w:szCs w:val="16"/>
        </w:rPr>
      </w:pPr>
    </w:p>
    <w:p w14:paraId="143913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вышло Постановление ГКО № 8551 О восстановлении слюдяных рудников в КФССР и Мурманской обл., возобновлении выпуска слюды для НКЭП на Петрозаводской фабрике. РГАНИР, Фонд ГКО, д. 415, лл. 58-59 (11012).</w:t>
      </w:r>
    </w:p>
    <w:p w14:paraId="6C9FBEBD" w14:textId="77777777" w:rsidR="00665165" w:rsidRPr="00F90EAE" w:rsidRDefault="00665165" w:rsidP="00F90EAE">
      <w:pPr>
        <w:autoSpaceDE w:val="0"/>
        <w:autoSpaceDN w:val="0"/>
        <w:adjustRightInd w:val="0"/>
        <w:jc w:val="both"/>
        <w:rPr>
          <w:color w:val="000000" w:themeColor="text1"/>
          <w:sz w:val="16"/>
          <w:szCs w:val="16"/>
        </w:rPr>
      </w:pPr>
    </w:p>
    <w:p w14:paraId="47654C2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8552 [О мерах по обеспечению бурения нефтяных скважин тампонажным цементом.] (7339, 60-62).</w:t>
      </w:r>
    </w:p>
    <w:p w14:paraId="14263E0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2609D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054C756" w14:textId="77777777" w:rsidR="00665165" w:rsidRPr="00F90EAE" w:rsidRDefault="00665165" w:rsidP="00F90EAE">
      <w:pPr>
        <w:autoSpaceDE w:val="0"/>
        <w:autoSpaceDN w:val="0"/>
        <w:adjustRightInd w:val="0"/>
        <w:jc w:val="both"/>
        <w:rPr>
          <w:iCs/>
          <w:color w:val="000000" w:themeColor="text1"/>
          <w:sz w:val="16"/>
          <w:szCs w:val="16"/>
        </w:rPr>
      </w:pPr>
    </w:p>
    <w:p w14:paraId="0F70119A" w14:textId="77777777" w:rsidR="000C795D" w:rsidRPr="00F90EAE" w:rsidRDefault="000C795D" w:rsidP="00F90EAE">
      <w:pPr>
        <w:jc w:val="both"/>
        <w:rPr>
          <w:color w:val="000000" w:themeColor="text1"/>
          <w:sz w:val="16"/>
          <w:szCs w:val="16"/>
        </w:rPr>
      </w:pPr>
      <w:r w:rsidRPr="00F90EAE">
        <w:rPr>
          <w:color w:val="000000" w:themeColor="text1"/>
          <w:sz w:val="16"/>
          <w:szCs w:val="16"/>
        </w:rPr>
        <w:t>12 мая в 1945 году оперативная сводка Совинформбюро:</w:t>
      </w:r>
    </w:p>
    <w:p w14:paraId="595FEEE0" w14:textId="77777777" w:rsidR="000C795D" w:rsidRPr="00F90EAE" w:rsidRDefault="000C795D" w:rsidP="00F90EAE">
      <w:pPr>
        <w:jc w:val="both"/>
        <w:rPr>
          <w:color w:val="000000" w:themeColor="text1"/>
          <w:sz w:val="16"/>
          <w:szCs w:val="16"/>
        </w:rPr>
      </w:pPr>
      <w:r w:rsidRPr="00F90EAE">
        <w:rPr>
          <w:color w:val="000000" w:themeColor="text1"/>
          <w:sz w:val="16"/>
          <w:szCs w:val="16"/>
        </w:rPr>
        <w:t>«В течение 12 мая войска Ленинградского фронта продолжали приём капитулировавших соединений и частей Курляндской группы немецких войск. С 9 по 12 мая сдалось в плен 140.408 солдат и унтер-офицеров, 5.083 офицера и 28 генералов. В числе пленных генералов, кроме ранее объявленных, начальник штаба Курляндской группы немецких армий генерал-лейтенант Ферч, командир 38 армейского корпуса генерал артиллерии Герцог, командир 1 армейского корпуса генерал-лейтенант Узингер, командир 10 армейского корпуса генерал артиллерии Томашни, командир 205 пехотной дивизии генерал-майор Гизе, командир 132 пехотной дивизии генерал-майор Демме, командир 225 пехотной дивизии генерал-майор Риссе, командир 300 пехотной дивизии генерал-майор Эберт, командир 81 пехотной дивизии генерал-лейтенант Бен-цевени, командир 16 армейского корпуса генерал-лейтенант Вебер, командир 207 охранной дивизии генерал-майор Бауэр, комендант Курляндского укреплённого района генерал-лейтенант Банд, комендант города ЛИБАВЫ генерал-майор Мюллер, начальник тыла Курляндской группы армий генерал-майор Раузер, начальник ветеринарной службы Курляндской группы армий генерал-лейтенант Келер. За это же время приняты и учтены следующие трофеи: самолётов—75, танков и самоходных орудий—307, полевых орудий—1.427, миномётов—557, пулемётов—3.879, винтовок и автоматов—52.887, бронетранспортёров—219, радиостанций—310, автомашин — 4.281, тракторов и тягачей—240, повозок с военными грузами—3.442, лошадей— 14.056.</w:t>
      </w:r>
    </w:p>
    <w:p w14:paraId="505BEE7A"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приём капитулировавших немецких войск. С 9 по 12 мая сдалось в плен 59.106 солдат и унтер-офицеров, 1.728 офицеров и 12 генералов. В числе пленных генералов, кроме ранее объявленных, начальник штаба 2 немецкой армии генерал-майор Махер, начальник армейских курсов 2 армии генерал-лейтенант Ноак, командир 20 армейского корпуса генерал от инфантерии Шпек, заместитель командира 203 пехотной дивизии генерал-майор Гроттена.</w:t>
      </w:r>
    </w:p>
    <w:p w14:paraId="71D895C2" w14:textId="77777777" w:rsidR="000C795D" w:rsidRPr="00F90EAE" w:rsidRDefault="000C795D" w:rsidP="00F90EAE">
      <w:pPr>
        <w:jc w:val="both"/>
        <w:rPr>
          <w:color w:val="000000" w:themeColor="text1"/>
          <w:sz w:val="16"/>
          <w:szCs w:val="16"/>
        </w:rPr>
      </w:pPr>
      <w:r w:rsidRPr="00F90EAE">
        <w:rPr>
          <w:color w:val="000000" w:themeColor="text1"/>
          <w:sz w:val="16"/>
          <w:szCs w:val="16"/>
        </w:rPr>
        <w:t>В Чехословакии и Австрии войска 1, 4, 2 и 3-го Украинских фронтов очищали занятые районы от разрозненных немецких отрядов из группы войск генерал-фельдмаршала Шернера и генерал-полковника Велера.</w:t>
      </w:r>
    </w:p>
    <w:p w14:paraId="1CF632B5"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1-го Украинского фронта с 9 по 12 мая взяли в плен 168.000 беспорядочно сдавшихся немецких солдат и офицеров и 7 генералов. В число пленных генералов, кроме ранее объявленных, начальник инженерных войск 4 танковой армии генерал-лейтенант Бардин, генерал медицинской службы Янцон, для особых поручений при протекторате Чехии и Моравии генерал-лейтенант Хитцегр.</w:t>
      </w:r>
    </w:p>
    <w:p w14:paraId="2C040DB7"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4-го Украинского фронта с 9 по 12 мая взяли в плен 56.280 беспорядочно сдавшихся немецких солдат и офицеров.</w:t>
      </w:r>
    </w:p>
    <w:p w14:paraId="328EF5A8"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2-го Украинского фронта с 9 по 12 мая взяли в плен 135.000 беспорядочно сдавшихся немецких солдат и офицеров и 8 генералов. В число пленных генералов командир 49 горно-стрелкового корпуса немцев генерал-лейтенант Лезье, командир 72 армейского корпуса генерал-лейтенант Шмидт, командир 6 танковой дивизии генерал-лейтенант Вальденфельс, командир 76 пехотной дивизии генерал-майор Рернер, командир 320 пехотной дивизии генерал-майор Гилиан, начальник штаба 4 военного «круга генерал-майор Герлах, комендант аэродромного обслуживания. генерал-майор Нихус. За это же время войска фронта захватили следующие трофеи: самолетов—50, танков и самоходных орудий—291, полевых орудий—658, бронетранспортёров — 269, автомашин—2.100.</w:t>
      </w:r>
    </w:p>
    <w:p w14:paraId="3172EF25"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3-го Украинского фронта с 9 по 12 мая взяли в плен 114.766 беспорядочно сдавшихся немецких солдат и офицеров и 5 генералов.</w:t>
      </w:r>
    </w:p>
    <w:p w14:paraId="214D325D" w14:textId="77777777" w:rsidR="000C795D" w:rsidRPr="00F90EAE" w:rsidRDefault="000C795D" w:rsidP="00F90EAE">
      <w:pPr>
        <w:jc w:val="both"/>
        <w:rPr>
          <w:color w:val="000000" w:themeColor="text1"/>
          <w:sz w:val="16"/>
          <w:szCs w:val="16"/>
          <w:lang w:val="en-US"/>
        </w:rPr>
      </w:pPr>
      <w:r w:rsidRPr="00F90EAE">
        <w:rPr>
          <w:color w:val="000000" w:themeColor="text1"/>
          <w:sz w:val="16"/>
          <w:szCs w:val="16"/>
        </w:rPr>
        <w:t xml:space="preserve">Всего, таким образом, с 9 по 12 мая на всех фронтах взято в плен более 700.000 немецких солдат и офицеров и 63 генерала, считая и группу немецких солдат и офицеров, окончивших сдачу 11 мая войскам 3-го Белорусского фронта.» </w:t>
      </w:r>
      <w:r w:rsidRPr="00F90EAE">
        <w:rPr>
          <w:color w:val="000000" w:themeColor="text1"/>
          <w:sz w:val="16"/>
          <w:szCs w:val="16"/>
          <w:lang w:val="en-US"/>
        </w:rPr>
        <w:t>(14889).</w:t>
      </w:r>
    </w:p>
    <w:p w14:paraId="2991DE0C" w14:textId="77777777" w:rsidR="000C795D" w:rsidRPr="00F90EAE" w:rsidRDefault="000C795D" w:rsidP="00F90EAE">
      <w:pPr>
        <w:jc w:val="both"/>
        <w:rPr>
          <w:color w:val="000000" w:themeColor="text1"/>
          <w:sz w:val="16"/>
          <w:szCs w:val="16"/>
          <w:lang w:val="en-US"/>
        </w:rPr>
      </w:pPr>
    </w:p>
    <w:p w14:paraId="5C00380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12th, 1945: General Vlasov, commander of the anti-Bolshevist Russian Liberation Army (ROA) is handed over by the Americans to the Soviets to be tortured and executed for treason in August, 1946 (3819).</w:t>
      </w:r>
    </w:p>
    <w:p w14:paraId="0F72D4FE" w14:textId="77777777" w:rsidR="00665165" w:rsidRPr="00F90EAE" w:rsidRDefault="00665165" w:rsidP="00F90EAE">
      <w:pPr>
        <w:autoSpaceDE w:val="0"/>
        <w:autoSpaceDN w:val="0"/>
        <w:adjustRightInd w:val="0"/>
        <w:jc w:val="both"/>
        <w:rPr>
          <w:color w:val="000000" w:themeColor="text1"/>
          <w:sz w:val="16"/>
          <w:szCs w:val="16"/>
          <w:lang w:val="en-US"/>
        </w:rPr>
      </w:pPr>
    </w:p>
    <w:p w14:paraId="4361C3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мая 1945 американцы передали КА г Власова, который был казнен в августе 1946 (3819).</w:t>
      </w:r>
    </w:p>
    <w:p w14:paraId="188F4A0E" w14:textId="77777777" w:rsidR="00665165" w:rsidRPr="00F90EAE" w:rsidRDefault="00665165" w:rsidP="00F90EAE">
      <w:pPr>
        <w:autoSpaceDE w:val="0"/>
        <w:autoSpaceDN w:val="0"/>
        <w:adjustRightInd w:val="0"/>
        <w:jc w:val="both"/>
        <w:rPr>
          <w:color w:val="000000" w:themeColor="text1"/>
          <w:sz w:val="16"/>
          <w:szCs w:val="16"/>
        </w:rPr>
      </w:pPr>
    </w:p>
    <w:p w14:paraId="4C18BB13" w14:textId="77777777" w:rsidR="000C795D" w:rsidRPr="00F90EAE" w:rsidRDefault="000C795D"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американские власти отказали власовцам в пропуске их на американскую зону оккупации Германии (4962).</w:t>
      </w:r>
    </w:p>
    <w:p w14:paraId="6BCDA662" w14:textId="77777777" w:rsidR="000C795D" w:rsidRPr="00F90EAE" w:rsidRDefault="000C795D" w:rsidP="00F90EAE">
      <w:pPr>
        <w:tabs>
          <w:tab w:val="left" w:pos="11199"/>
        </w:tabs>
        <w:autoSpaceDE w:val="0"/>
        <w:autoSpaceDN w:val="0"/>
        <w:adjustRightInd w:val="0"/>
        <w:jc w:val="both"/>
        <w:rPr>
          <w:color w:val="000000" w:themeColor="text1"/>
          <w:sz w:val="16"/>
          <w:szCs w:val="16"/>
        </w:rPr>
      </w:pPr>
    </w:p>
    <w:p w14:paraId="4B74FFAD" w14:textId="77777777" w:rsidR="000C795D" w:rsidRPr="00F90EAE" w:rsidRDefault="000C795D" w:rsidP="00F90EAE">
      <w:pPr>
        <w:jc w:val="both"/>
        <w:rPr>
          <w:color w:val="000000" w:themeColor="text1"/>
          <w:sz w:val="16"/>
          <w:szCs w:val="16"/>
        </w:rPr>
      </w:pPr>
      <w:r w:rsidRPr="00F90EAE">
        <w:rPr>
          <w:color w:val="000000" w:themeColor="text1"/>
          <w:sz w:val="16"/>
          <w:szCs w:val="16"/>
        </w:rPr>
        <w:t xml:space="preserve">12 мая в 1945 году генерал Власов, которого несколько дней допрашивали американцы, вновь оказывается у русских. Широкое хождение получит явно сочиненная легенда о его задержании: якобы почти двухметрового генерала завернули в ковер и пытались провезти мимо советских постов. Власов, не скрываясь, едет в джипе с американцами и опознается одним из советских солдат. Американский офицер не решается заступиться за генерала, и на следующий день Власова транспортным самолетом отправят в Москву. Два интересных факта: еще в начале 1945 немцами было приказано Власову вылететь в Испанию, где он был бы в полной безопасности, </w:t>
      </w:r>
      <w:r w:rsidRPr="00F90EAE">
        <w:rPr>
          <w:color w:val="000000" w:themeColor="text1"/>
          <w:sz w:val="16"/>
          <w:szCs w:val="16"/>
        </w:rPr>
        <w:lastRenderedPageBreak/>
        <w:t>но генерал отказался. Второе, при задержании Власов предъявил удостоверение командующего 2-й Ударной армией, подписанное Сталиным, и партийный билет, который всю войну хранил в нагрудном кармане френча. Похоже, что об истинной роли Власова во время войны нам еще ничего неизвестно (14889).</w:t>
      </w:r>
    </w:p>
    <w:p w14:paraId="62817646" w14:textId="77777777" w:rsidR="000C795D" w:rsidRPr="00F90EAE" w:rsidRDefault="000C795D" w:rsidP="00F90EAE">
      <w:pPr>
        <w:jc w:val="both"/>
        <w:rPr>
          <w:color w:val="000000" w:themeColor="text1"/>
          <w:sz w:val="16"/>
          <w:szCs w:val="16"/>
        </w:rPr>
      </w:pPr>
    </w:p>
    <w:p w14:paraId="1BA340E3" w14:textId="77777777" w:rsidR="002A359B" w:rsidRPr="00F90EAE" w:rsidRDefault="002A359B" w:rsidP="00F90EAE">
      <w:pPr>
        <w:jc w:val="both"/>
        <w:rPr>
          <w:color w:val="000000" w:themeColor="text1"/>
          <w:sz w:val="16"/>
          <w:szCs w:val="16"/>
        </w:rPr>
      </w:pPr>
      <w:r w:rsidRPr="00F90EAE">
        <w:rPr>
          <w:bCs/>
          <w:color w:val="000000" w:themeColor="text1"/>
          <w:sz w:val="16"/>
          <w:szCs w:val="16"/>
        </w:rPr>
        <w:t xml:space="preserve">Вплоть до 12 мая 1945 года 25-тысячный гарнизон датского острова Борнхольм продолжал боевые действия против Красной Армии. в Верховном командовании вермахта полагали, что капитуляцию всех частей Дании должны принять британцы. 10 мая командующему гарнизона капитану фон Кампцу рекомендовали не «уступать» остров. Война продолжалась, хотя Германия уже капитулировала. Это сражение закончилось бы полным уничтожением гарнизона, но трое армейских офицеров арестовали фон Кампца и капитулировали. Впрочем, далеко не все служащие гарнизона были согласны с подобным решением. Четыре тысячи человек продолжали воевать вплоть до </w:t>
      </w:r>
      <w:r w:rsidRPr="00F90EAE">
        <w:rPr>
          <w:color w:val="000000" w:themeColor="text1"/>
          <w:sz w:val="16"/>
          <w:szCs w:val="16"/>
        </w:rPr>
        <w:t>19 мая</w:t>
      </w:r>
      <w:r w:rsidRPr="00F90EAE">
        <w:rPr>
          <w:bCs/>
          <w:color w:val="000000" w:themeColor="text1"/>
          <w:sz w:val="16"/>
          <w:szCs w:val="16"/>
        </w:rPr>
        <w:t xml:space="preserve">. Между тем сам фон Кампц был передан советской оккупационной администрации, осужден и расстрелян в Кольберге.» «Уже после капитуляции Германии на судетских холмах еще несколько дней слышалась беспорядочная стрельба. Там остатки германских частей вели спорадические бои против чешских партизан и красноармейцев. Вплоть до </w:t>
      </w:r>
      <w:r w:rsidRPr="00F90EAE">
        <w:rPr>
          <w:color w:val="000000" w:themeColor="text1"/>
          <w:sz w:val="16"/>
          <w:szCs w:val="16"/>
        </w:rPr>
        <w:t>18 мая</w:t>
      </w:r>
      <w:r w:rsidRPr="00F90EAE">
        <w:rPr>
          <w:bCs/>
          <w:color w:val="000000" w:themeColor="text1"/>
          <w:sz w:val="16"/>
          <w:szCs w:val="16"/>
        </w:rPr>
        <w:t xml:space="preserve"> шоссе между Веной и Прагой фактически контролировалось разнообразными немецкими отрядами. В самой Праге, которая пала 9 мая, остатки эсэсовских формирований в различных частях города продолжали оказывать сопротивление вплоть до 20 мая (17459).</w:t>
      </w:r>
    </w:p>
    <w:p w14:paraId="60FCF5B1" w14:textId="77777777" w:rsidR="002A359B" w:rsidRPr="00F90EAE" w:rsidRDefault="002A359B" w:rsidP="00F90EAE">
      <w:pPr>
        <w:jc w:val="both"/>
        <w:rPr>
          <w:color w:val="000000" w:themeColor="text1"/>
          <w:sz w:val="16"/>
          <w:szCs w:val="16"/>
        </w:rPr>
      </w:pPr>
    </w:p>
    <w:p w14:paraId="636A6E1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50EBD61" w14:textId="77777777" w:rsidR="00665165" w:rsidRPr="00F90EAE" w:rsidRDefault="00665165" w:rsidP="00F90EAE">
      <w:pPr>
        <w:autoSpaceDE w:val="0"/>
        <w:autoSpaceDN w:val="0"/>
        <w:adjustRightInd w:val="0"/>
        <w:jc w:val="both"/>
        <w:rPr>
          <w:iCs/>
          <w:color w:val="000000" w:themeColor="text1"/>
          <w:sz w:val="16"/>
          <w:szCs w:val="16"/>
        </w:rPr>
      </w:pPr>
    </w:p>
    <w:p w14:paraId="2183F53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вышло Распоряжение ГКО № 8545 [О досрочном освобождении 1000 осужденных за самовольный уход с предприятий и бытовые преступления и направлении их в Распоряжение ГКО ГУСМП.] (7339, 49).</w:t>
      </w:r>
    </w:p>
    <w:p w14:paraId="5E63746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874A3E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DC18A26" w14:textId="77777777" w:rsidR="00665165" w:rsidRPr="00F90EAE" w:rsidRDefault="00665165" w:rsidP="00F90EAE">
      <w:pPr>
        <w:autoSpaceDE w:val="0"/>
        <w:autoSpaceDN w:val="0"/>
        <w:adjustRightInd w:val="0"/>
        <w:jc w:val="both"/>
        <w:rPr>
          <w:iCs/>
          <w:color w:val="000000" w:themeColor="text1"/>
          <w:sz w:val="16"/>
          <w:szCs w:val="16"/>
        </w:rPr>
      </w:pPr>
    </w:p>
    <w:p w14:paraId="24DD9F7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мая 1945 США прекратили поставки Советскому Союзу по ленд-лизу (4962).</w:t>
      </w:r>
    </w:p>
    <w:p w14:paraId="653C1D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E338717" w14:textId="77777777" w:rsidR="00E74102" w:rsidRPr="00F90EAE" w:rsidRDefault="00E74102" w:rsidP="00F90EAE">
      <w:pPr>
        <w:jc w:val="both"/>
        <w:rPr>
          <w:color w:val="000000" w:themeColor="text1"/>
          <w:sz w:val="16"/>
          <w:szCs w:val="16"/>
        </w:rPr>
      </w:pPr>
      <w:r w:rsidRPr="00F90EAE">
        <w:rPr>
          <w:color w:val="000000" w:themeColor="text1"/>
          <w:sz w:val="16"/>
          <w:szCs w:val="16"/>
        </w:rPr>
        <w:t>12 мая 1945 г. в одностороннем порядке были прекращены поставки по ленд-лизу. 12 июля 1945 г. армейская разведка США предупреждала: «Мы достигли предела в санкционировании советской экспансии», и делала вывод о необходимости всемерной поддержки Британской империи в Турции, Средиземноморье и других регионах (18513).</w:t>
      </w:r>
    </w:p>
    <w:p w14:paraId="29D25180" w14:textId="77777777" w:rsidR="00E74102" w:rsidRPr="00F90EAE" w:rsidRDefault="00E74102" w:rsidP="00F90EAE">
      <w:pPr>
        <w:jc w:val="both"/>
        <w:rPr>
          <w:color w:val="000000" w:themeColor="text1"/>
          <w:sz w:val="16"/>
          <w:szCs w:val="16"/>
        </w:rPr>
      </w:pPr>
    </w:p>
    <w:p w14:paraId="048D74AB" w14:textId="77777777" w:rsidR="00E74102" w:rsidRPr="00F90EAE" w:rsidRDefault="00E74102" w:rsidP="00F90EAE">
      <w:pPr>
        <w:jc w:val="both"/>
        <w:rPr>
          <w:color w:val="000000" w:themeColor="text1"/>
          <w:sz w:val="16"/>
          <w:szCs w:val="16"/>
        </w:rPr>
      </w:pPr>
      <w:r w:rsidRPr="00F90EAE">
        <w:rPr>
          <w:color w:val="000000" w:themeColor="text1"/>
          <w:sz w:val="16"/>
          <w:szCs w:val="16"/>
        </w:rPr>
        <w:t>12 мая 1945 с окончанием войны с Германией союзнические поставки, в том числе и продовольственные, были неожиданно приостановлены до решения вопроса о вступлении Советского Союза в войну с Японией. По словам нового президента Г. Трумэна, он подписал это распоряжение со слов советников, не прочитав его. Поспешные действия президента вызвали бурю возмущения с советской стороны. И хотя через двое суток пароходы были вновь отправлены отлаженными маршрутами, в Москву срочно вынужден был вылететь Г. Гопкинс для улаживания инцидента. В ходе его бесед со Сталиным он не только получил подтверждение вступлению Советского Союза в войну на Дальнем Востоке, но и информацию о времени ее начала. Гопкинс заверил И. В. Сталина в том, что США также намерены выполнить свои обязательства по всем заявкам СССР. Правда, с этого времени большая часть грузов будет направляться в порты Дальнего Востока и по программе "Майлпоуст", заменившей программы по Протоколам.</w:t>
      </w:r>
    </w:p>
    <w:p w14:paraId="41C17D71" w14:textId="77777777" w:rsidR="00E74102" w:rsidRPr="00F90EAE" w:rsidRDefault="00E74102" w:rsidP="00F90EAE">
      <w:pPr>
        <w:jc w:val="both"/>
        <w:rPr>
          <w:color w:val="000000" w:themeColor="text1"/>
          <w:sz w:val="16"/>
          <w:szCs w:val="16"/>
        </w:rPr>
      </w:pPr>
    </w:p>
    <w:p w14:paraId="36F6302B" w14:textId="77777777" w:rsidR="000C795D" w:rsidRPr="00F90EAE" w:rsidRDefault="000C795D" w:rsidP="00F90EAE">
      <w:pPr>
        <w:jc w:val="both"/>
        <w:rPr>
          <w:color w:val="000000" w:themeColor="text1"/>
          <w:sz w:val="16"/>
          <w:szCs w:val="16"/>
        </w:rPr>
      </w:pPr>
      <w:r w:rsidRPr="00F90EAE">
        <w:rPr>
          <w:color w:val="000000" w:themeColor="text1"/>
          <w:sz w:val="16"/>
          <w:szCs w:val="16"/>
        </w:rPr>
        <w:t>12 мая в 1945 году У.Черчилль в послании Г.Трумэну предлагал заставить Советское правительство вывести войска из Центральной и Южной Европы в пределы границ СССР в течение 90 дней (14889).</w:t>
      </w:r>
    </w:p>
    <w:p w14:paraId="1DA2AC7A" w14:textId="77777777" w:rsidR="000C795D" w:rsidRPr="00F90EAE" w:rsidRDefault="000C795D" w:rsidP="00F90EAE">
      <w:pPr>
        <w:jc w:val="both"/>
        <w:rPr>
          <w:color w:val="000000" w:themeColor="text1"/>
          <w:sz w:val="16"/>
          <w:szCs w:val="16"/>
        </w:rPr>
      </w:pPr>
    </w:p>
    <w:p w14:paraId="2B0BC1E6" w14:textId="0682967A" w:rsidR="009A3EFF" w:rsidRPr="00F90EAE" w:rsidRDefault="009A3EFF"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755B404A" w14:textId="77777777" w:rsidR="009A3EFF" w:rsidRPr="00F90EAE" w:rsidRDefault="009A3EFF" w:rsidP="00F90EAE">
      <w:pPr>
        <w:autoSpaceDE w:val="0"/>
        <w:autoSpaceDN w:val="0"/>
        <w:adjustRightInd w:val="0"/>
        <w:jc w:val="both"/>
        <w:rPr>
          <w:i/>
          <w:iCs/>
          <w:color w:val="000000" w:themeColor="text1"/>
          <w:sz w:val="16"/>
          <w:szCs w:val="16"/>
        </w:rPr>
      </w:pPr>
    </w:p>
    <w:p w14:paraId="5AD388B5" w14:textId="77777777" w:rsidR="009A3EFF" w:rsidRPr="00F90EAE" w:rsidRDefault="009A3EFF" w:rsidP="00F90EAE">
      <w:pPr>
        <w:jc w:val="both"/>
        <w:rPr>
          <w:color w:val="0070C0"/>
          <w:sz w:val="16"/>
          <w:szCs w:val="16"/>
        </w:rPr>
      </w:pPr>
      <w:r w:rsidRPr="00F90EAE">
        <w:rPr>
          <w:color w:val="0070C0"/>
          <w:sz w:val="16"/>
          <w:szCs w:val="16"/>
        </w:rPr>
        <w:t>12 мая 1945 камикадзе поражает линкор USS New Mexico на якорной стоянке Хагуши, Окинава (20371).</w:t>
      </w:r>
    </w:p>
    <w:p w14:paraId="00305F0D" w14:textId="77777777" w:rsidR="009A3EFF" w:rsidRPr="00F90EAE" w:rsidRDefault="009A3EFF" w:rsidP="00F90EAE">
      <w:pPr>
        <w:jc w:val="both"/>
        <w:rPr>
          <w:color w:val="0070C0"/>
          <w:sz w:val="16"/>
          <w:szCs w:val="16"/>
        </w:rPr>
      </w:pPr>
    </w:p>
    <w:p w14:paraId="5ABB1A49" w14:textId="77777777" w:rsidR="009A3EFF" w:rsidRPr="00F90EAE" w:rsidRDefault="009A3EFF" w:rsidP="00F90EAE">
      <w:pPr>
        <w:jc w:val="both"/>
        <w:rPr>
          <w:color w:val="0070C0"/>
          <w:sz w:val="16"/>
          <w:szCs w:val="16"/>
        </w:rPr>
      </w:pPr>
      <w:r w:rsidRPr="00F90EAE">
        <w:rPr>
          <w:color w:val="0070C0"/>
          <w:sz w:val="16"/>
          <w:szCs w:val="16"/>
        </w:rPr>
        <w:t>12–13 мая 1945 самолеты-носители оперативной группы 58 наносят удары по целям на Кюсю и Сикоку (20371).</w:t>
      </w:r>
    </w:p>
    <w:p w14:paraId="56EC54EF" w14:textId="77777777" w:rsidR="009A3EFF" w:rsidRPr="00F90EAE" w:rsidRDefault="009A3EFF" w:rsidP="00F90EAE">
      <w:pPr>
        <w:jc w:val="both"/>
        <w:rPr>
          <w:color w:val="0070C0"/>
          <w:sz w:val="16"/>
          <w:szCs w:val="16"/>
        </w:rPr>
      </w:pPr>
    </w:p>
    <w:p w14:paraId="04BF8968" w14:textId="7D1A4F25"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3072064" w14:textId="77777777" w:rsidR="00665165" w:rsidRPr="00F90EAE" w:rsidRDefault="00665165" w:rsidP="00F90EAE">
      <w:pPr>
        <w:autoSpaceDE w:val="0"/>
        <w:autoSpaceDN w:val="0"/>
        <w:adjustRightInd w:val="0"/>
        <w:jc w:val="both"/>
        <w:rPr>
          <w:iCs/>
          <w:color w:val="000000" w:themeColor="text1"/>
          <w:sz w:val="16"/>
          <w:szCs w:val="16"/>
        </w:rPr>
      </w:pPr>
    </w:p>
    <w:p w14:paraId="03726C5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мая 1945 в полете И-250 с ВРД на 6700 достигли скорости 809 км/час и потом повторили 19 мая (6471, 7).</w:t>
      </w:r>
    </w:p>
    <w:p w14:paraId="57B3923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FDE3F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D1F17E2" w14:textId="77777777" w:rsidR="00665165" w:rsidRPr="00F90EAE" w:rsidRDefault="00665165" w:rsidP="00F90EAE">
      <w:pPr>
        <w:autoSpaceDE w:val="0"/>
        <w:autoSpaceDN w:val="0"/>
        <w:adjustRightInd w:val="0"/>
        <w:jc w:val="both"/>
        <w:rPr>
          <w:iCs/>
          <w:color w:val="000000" w:themeColor="text1"/>
          <w:sz w:val="16"/>
          <w:szCs w:val="16"/>
        </w:rPr>
      </w:pPr>
    </w:p>
    <w:p w14:paraId="7CE3DF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мая 1945 г. была подготовлена СПРАВКА-ДОКЛАД НАЧАЛЬНИКА УСА ГБТУ КА ПО РЕЗУЛЬТАТАМ СРАВНИТЕЛЬНЫХ СТРЕЛЬБ ПО БРОНЕПЛИТАМ ОТЕЧЕСТВЕННЫМИ, АМЕРИКАНСКИМИ И НЕМЕЦКИМИ БРОНЕБОЙНЫМИ СНАРЯДАМИ</w:t>
      </w:r>
    </w:p>
    <w:p w14:paraId="4D00B2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Стрельбы на приведенных скоростях проводились на Главном артиллерийском полигоне ГАУ КА и Софринском артиллерийском полигоне НКБ.</w:t>
      </w:r>
    </w:p>
    <w:p w14:paraId="2EBC2E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Расчетные дальности сквозного пробития, полученные из приведенных скоростей, будут прове</w:t>
      </w:r>
      <w:r w:rsidRPr="00F90EAE">
        <w:rPr>
          <w:color w:val="000000" w:themeColor="text1"/>
          <w:sz w:val="16"/>
          <w:szCs w:val="16"/>
        </w:rPr>
        <w:softHyphen/>
        <w:t>рены стрельбой на действительных дальностях по танкам Тигр Н и Пантера на научно-испытатель</w:t>
      </w:r>
      <w:r w:rsidRPr="00F90EAE">
        <w:rPr>
          <w:color w:val="000000" w:themeColor="text1"/>
          <w:sz w:val="16"/>
          <w:szCs w:val="16"/>
        </w:rPr>
        <w:softHyphen/>
        <w:t>ном полигоне ГБТУ КА.</w:t>
      </w:r>
    </w:p>
    <w:p w14:paraId="044886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Результаты испытания снарядов на приведенных скоростях по бронеплитам (см. табицу).</w:t>
      </w:r>
    </w:p>
    <w:p w14:paraId="6D6B2F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 76-мм бронебойные снаряды по плитам 50 мм и 75 мм.</w:t>
      </w:r>
    </w:p>
    <w:p w14:paraId="44173D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Отечественный опытный снаряд стали «60X30» показал несомненные преимущества по сравне</w:t>
      </w:r>
      <w:r w:rsidRPr="00F90EAE">
        <w:rPr>
          <w:color w:val="000000" w:themeColor="text1"/>
          <w:sz w:val="16"/>
          <w:szCs w:val="16"/>
        </w:rPr>
        <w:softHyphen/>
        <w:t>нию со штатным и 75-мм американским снарядом.</w:t>
      </w:r>
    </w:p>
    <w:p w14:paraId="4AA2DF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2. 76-мм бронебойные снаряды по плитам 60 мм, 75 мм и 90 мм при начальных скоростях 800 м/с.</w:t>
      </w:r>
    </w:p>
    <w:p w14:paraId="65534E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Отечественный опытный снаряд стали «60X30» показал несомненные преимущества по сравне</w:t>
      </w:r>
      <w:r w:rsidRPr="00F90EAE">
        <w:rPr>
          <w:color w:val="000000" w:themeColor="text1"/>
          <w:sz w:val="16"/>
          <w:szCs w:val="16"/>
        </w:rPr>
        <w:softHyphen/>
        <w:t>нию со штатным 76-мм снарядом при углах 0°, равные при 30° и, уступая штатному, при 50°.</w:t>
      </w:r>
    </w:p>
    <w:p w14:paraId="480717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Последнее объясняется неправильной термической обработкой опытного снаряда.</w:t>
      </w:r>
    </w:p>
    <w:p w14:paraId="530B9E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Американский и немецкий снаряды при начальных скоростях 800 м/с имеют преимущество перед отечественным опытным снарядом.</w:t>
      </w:r>
    </w:p>
    <w:p w14:paraId="7FD2DD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3. 85-мм бронебойные отечественные и 88-мм немецкий бронебойный снаряды по плитам 75 мм, 80 мм и 100 мм.</w:t>
      </w:r>
    </w:p>
    <w:p w14:paraId="577F36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85-мм бронебойный опытный снаряд стали «60X30» имеет несомненные и отчетливые преиму</w:t>
      </w:r>
      <w:r w:rsidRPr="00F90EAE">
        <w:rPr>
          <w:color w:val="000000" w:themeColor="text1"/>
          <w:sz w:val="16"/>
          <w:szCs w:val="16"/>
        </w:rPr>
        <w:softHyphen/>
        <w:t>щества по сравнению со штатным и другим опытным, стали «35ХГС», снарядом.</w:t>
      </w:r>
    </w:p>
    <w:p w14:paraId="46621F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Превосходство по расчетной дальности 88-мм немецкого снаряда зависит в основном от его высокой начальной скорости.</w:t>
      </w:r>
    </w:p>
    <w:p w14:paraId="3D5043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Некоторое превосходство опытного, стали «35ХГС», снаряда по сравнению со снарядом стали «60X30» при углах 30° и 50° объясняется неудовлетворительной термической обработкой снарядов.</w:t>
      </w:r>
    </w:p>
    <w:p w14:paraId="4B47AB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4. 100-мм бронебойные отечественные и 88-мм немецкий бронебойный снаряды по плитам 90 мм, 100 мм и 130 мм.</w:t>
      </w:r>
    </w:p>
    <w:p w14:paraId="17792B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проводились при углах 30° и 50°.</w:t>
      </w:r>
    </w:p>
    <w:p w14:paraId="1E8770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100-мм тупоголовый снаряд с баллистическим наконечником показал несомненные преимущес</w:t>
      </w:r>
      <w:r w:rsidRPr="00F90EAE">
        <w:rPr>
          <w:color w:val="000000" w:themeColor="text1"/>
          <w:sz w:val="16"/>
          <w:szCs w:val="16"/>
        </w:rPr>
        <w:softHyphen/>
        <w:t>тва перед штатным остроголовым снарядом.</w:t>
      </w:r>
    </w:p>
    <w:p w14:paraId="4CF1AB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100-мм снаряды опытной стали не имеют преимуществ перед тупоголовым снарядом.</w:t>
      </w:r>
    </w:p>
    <w:p w14:paraId="6E405D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Некоторое превосходство немецкого снаряда относится за счет его высокой начальной скорости.</w:t>
      </w:r>
    </w:p>
    <w:p w14:paraId="365858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5. 122-мм бронебойные снарялы по плитам 90 мм и 130 мм.</w:t>
      </w:r>
    </w:p>
    <w:p w14:paraId="7648F0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испытании штатного и опытных снарядов несомненное преимущество имеет перед остро</w:t>
      </w:r>
      <w:r w:rsidRPr="00F90EAE">
        <w:rPr>
          <w:color w:val="000000" w:themeColor="text1"/>
          <w:sz w:val="16"/>
          <w:szCs w:val="16"/>
        </w:rPr>
        <w:softHyphen/>
        <w:t>головым снарядом тупоголовый снаряд.</w:t>
      </w:r>
    </w:p>
    <w:p w14:paraId="67303D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Выводы:</w:t>
      </w:r>
    </w:p>
    <w:p w14:paraId="40B1AE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76-мм бронебойный снаряд — опытный, стали «60X30».</w:t>
      </w:r>
    </w:p>
    <w:p w14:paraId="7B7E7D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85-мм бронебойный снаряд — опытный, стали «60X30».</w:t>
      </w:r>
    </w:p>
    <w:p w14:paraId="3EB087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Имеют несомненные преимущества перед соответствующими отечественными штатными сна</w:t>
      </w:r>
      <w:r w:rsidRPr="00F90EAE">
        <w:rPr>
          <w:color w:val="000000" w:themeColor="text1"/>
          <w:sz w:val="16"/>
          <w:szCs w:val="16"/>
        </w:rPr>
        <w:softHyphen/>
        <w:t>рядами, и сравниваясь, а в некоторых случаях превосходя американский бронебойный снаряд.</w:t>
      </w:r>
    </w:p>
    <w:p w14:paraId="15431E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более тщательной и правильной термической обработке опытной стали «60X30» снаряда он позволит повысить дальность сквозного пробития в два-три раза по сравнению со штатным снарядом.</w:t>
      </w:r>
    </w:p>
    <w:p w14:paraId="4AFB3D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100-мм и 122-мм тупоголовые снаряды превосходят соответственные им остроголовые сна</w:t>
      </w:r>
      <w:r w:rsidRPr="00F90EAE">
        <w:rPr>
          <w:color w:val="000000" w:themeColor="text1"/>
          <w:sz w:val="16"/>
          <w:szCs w:val="16"/>
        </w:rPr>
        <w:softHyphen/>
        <w:t>ряды и, не ожидая проведения стрельб на действительных дальностях, приняты к производству и снабжению Красной Армии.</w:t>
      </w:r>
    </w:p>
    <w:p w14:paraId="237787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100-мм и 122-мм снаряды опытных сталей требуют дальнейшей доработки.</w:t>
      </w:r>
    </w:p>
    <w:p w14:paraId="3B89AC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Готовность научно-испытательного полигона ГБТУ КА к проведению стрельб на действительных дальностях.</w:t>
      </w:r>
    </w:p>
    <w:p w14:paraId="2BB34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Схема мишенной обстановки при сем представляется.</w:t>
      </w:r>
    </w:p>
    <w:p w14:paraId="181EA5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стрельб намечено в следующей последовательности:</w:t>
      </w:r>
    </w:p>
    <w:p w14:paraId="6AC6B5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88-мм немецкий, 100-мм штатный, 100-мм опытный, 122-мм штатный, 122-мм опытный — по Пантере, дальность — 2 км.</w:t>
      </w:r>
    </w:p>
    <w:p w14:paraId="6425B0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122-мм штатный, 122-мм опытный, 100-мм штатный, 100-мм опытный и 88-мм немецкий — по другой Пантере, дальность — 2 км.</w:t>
      </w:r>
    </w:p>
    <w:p w14:paraId="14FA79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При получении сквозных пробитий на дальности 2 км переходят пробивающими снарядами на третью Пантеру на той же дальности для набора счетных выстрелов.</w:t>
      </w:r>
    </w:p>
    <w:p w14:paraId="681C0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В случае недостатка дальности для получения предела сквозного пробития переходят на Пантеры на дальности 2,5 км.</w:t>
      </w:r>
    </w:p>
    <w:p w14:paraId="16E9FD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85-мм снаряды отстреливаются по Тигру на дальности 2 км.</w:t>
      </w:r>
    </w:p>
    <w:p w14:paraId="29A986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При недостатке дальности для получения предела сквозного пробития переходят лучшими вариантами на Тигр на дальности 2,5 км.</w:t>
      </w:r>
    </w:p>
    <w:p w14:paraId="6793A2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76-мм зенитные снаряды отстреливаются с основной позиции по Тигру с дальности 2 км.</w:t>
      </w:r>
    </w:p>
    <w:p w14:paraId="25C377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76-мм дивизионные снаряды отстреливаются с позиции 1500 м (см. схему) по дальнему Тигру с дальности 1 км.</w:t>
      </w:r>
    </w:p>
    <w:p w14:paraId="56BD90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стрельб осложняется недостатком объектов, т.к. по программе, утвержденной НКБ, НКЧМ, Госпланом и ГАУ, не хватает на полигоне двух «Тигров Н» и одного «Королевского тигра».</w:t>
      </w:r>
    </w:p>
    <w:p w14:paraId="416C50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отгрузке их с фронта отказано ввиду занятости ж.д. транспорта другими перевозками.</w:t>
      </w:r>
    </w:p>
    <w:p w14:paraId="734F5D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w:t>
      </w:r>
    </w:p>
    <w:p w14:paraId="46BFDE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Таблицы расчетных дальностей сквозного пробития.</w:t>
      </w:r>
    </w:p>
    <w:p w14:paraId="49CAFF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Схема мишенной обстановки.</w:t>
      </w:r>
    </w:p>
    <w:p w14:paraId="0BAA58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Календарный план по испытанию снарядов на НИБТ полигоне.</w:t>
      </w:r>
    </w:p>
    <w:p w14:paraId="210953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УСА ГБТУ КА генерал-майор инженерно-танковой службы Алымов</w:t>
      </w:r>
    </w:p>
    <w:p w14:paraId="7DD994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11369. Д. 510. Л. 27-29. Подлинник (11420).</w:t>
      </w:r>
    </w:p>
    <w:p w14:paraId="1F18B8B6" w14:textId="77777777" w:rsidR="00665165" w:rsidRPr="00F90EAE" w:rsidRDefault="00665165" w:rsidP="00F90EAE">
      <w:pPr>
        <w:autoSpaceDE w:val="0"/>
        <w:autoSpaceDN w:val="0"/>
        <w:adjustRightInd w:val="0"/>
        <w:jc w:val="both"/>
        <w:rPr>
          <w:color w:val="000000" w:themeColor="text1"/>
          <w:sz w:val="16"/>
          <w:szCs w:val="16"/>
        </w:rPr>
      </w:pPr>
    </w:p>
    <w:p w14:paraId="1272DBC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мая 1945 вышло Распоряжение ГКО № 8553 [О запрещении отключать от электросетей в 1945 г. хлебофуражные базы ГУГМР.] (7339, 63).</w:t>
      </w:r>
    </w:p>
    <w:p w14:paraId="5B66744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488965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мая 1945 вышло Распоряжение ГКО № 8554 [О выделении угля НКПС из госрезерва.] (7339, 64).</w:t>
      </w:r>
    </w:p>
    <w:p w14:paraId="06FCAF2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6D7F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мая 1945 вышло Постановление ГКО № 8555 О т.т. Леонове. РГАНИР, Фонд ГКО, д. С. и Яковлеве Ф.П. РГАНИР, Фонд ГКО, д. 415, лл. 65 (11012).</w:t>
      </w:r>
    </w:p>
    <w:p w14:paraId="47372A00" w14:textId="77777777" w:rsidR="00665165" w:rsidRPr="00F90EAE" w:rsidRDefault="00665165" w:rsidP="00F90EAE">
      <w:pPr>
        <w:autoSpaceDE w:val="0"/>
        <w:autoSpaceDN w:val="0"/>
        <w:adjustRightInd w:val="0"/>
        <w:jc w:val="both"/>
        <w:rPr>
          <w:color w:val="000000" w:themeColor="text1"/>
          <w:sz w:val="16"/>
          <w:szCs w:val="16"/>
        </w:rPr>
      </w:pPr>
    </w:p>
    <w:p w14:paraId="2A53151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05D246A" w14:textId="77777777" w:rsidR="00665165" w:rsidRPr="00F90EAE" w:rsidRDefault="00665165" w:rsidP="00F90EAE">
      <w:pPr>
        <w:autoSpaceDE w:val="0"/>
        <w:autoSpaceDN w:val="0"/>
        <w:adjustRightInd w:val="0"/>
        <w:jc w:val="both"/>
        <w:rPr>
          <w:iCs/>
          <w:color w:val="000000" w:themeColor="text1"/>
          <w:sz w:val="16"/>
          <w:szCs w:val="16"/>
        </w:rPr>
      </w:pPr>
    </w:p>
    <w:p w14:paraId="204AE986" w14:textId="77777777" w:rsidR="000C795D" w:rsidRPr="00F90EAE" w:rsidRDefault="000C795D" w:rsidP="00F90EAE">
      <w:pPr>
        <w:jc w:val="both"/>
        <w:rPr>
          <w:color w:val="000000" w:themeColor="text1"/>
          <w:sz w:val="16"/>
          <w:szCs w:val="16"/>
        </w:rPr>
      </w:pPr>
      <w:r w:rsidRPr="00F90EAE">
        <w:rPr>
          <w:color w:val="000000" w:themeColor="text1"/>
          <w:sz w:val="16"/>
          <w:szCs w:val="16"/>
        </w:rPr>
        <w:t>13 мая в 1945 году оперативная сводка Совинформбюро:</w:t>
      </w:r>
    </w:p>
    <w:p w14:paraId="74ED8C8C" w14:textId="77777777" w:rsidR="000C795D" w:rsidRPr="00F90EAE" w:rsidRDefault="000C795D" w:rsidP="00F90EAE">
      <w:pPr>
        <w:jc w:val="both"/>
        <w:rPr>
          <w:color w:val="000000" w:themeColor="text1"/>
          <w:sz w:val="16"/>
          <w:szCs w:val="16"/>
        </w:rPr>
      </w:pPr>
      <w:r w:rsidRPr="00F90EAE">
        <w:rPr>
          <w:color w:val="000000" w:themeColor="text1"/>
          <w:sz w:val="16"/>
          <w:szCs w:val="16"/>
        </w:rPr>
        <w:t>«В течение 13 мая войска Ленинградского фронта продолжали прием капитулировавших соединений и частей Курляндской группы немецких войск. С 9 по 13 мая сдалось в плен 181.032 солдата и унтер-офицера, 8.038 офицеров т 42 генерала. В числе пленных генералов, кроме ранее объявленных, начальник инженерных войск Курляндской группы генерал-лейтенант Медем, начальник связи Курляндской группы армий генерал-майор Негенданг, начальник штаба 16 армии генерал-майор Герсдорф, начальник штаба 18 армии генерал-майор Мерк, начальник артиллерии 16 армии генерал-майор Бауермайстер, начальник штаба артиллерии 18 армии генерал-лейтенант Фишер, комендант Курляндского УР генерал-лейтенант Ван-Гиннель, начальник береговой обороны города Либава адмирал Эрневальд, командир 1 воздушного флота генерал-лейтенант Глюкбай, комендант береговой обороны генерал-майор Вертер, комендант укреплённого района города Сабиле генерал-майор Рупрехт, начальник связи 1 воздушного флота генерал-лейтенант Заттлер, главный ветеринар 16 армии генерал ветеринарной службы Бетке, генерал-майор Павель. За это же время приняты и учтены следующие трофеи: самолётов— 136, танков и самоходных орудий —325, полевых орудий—1.548, миномётов — 557, пулемётов — 4.363, винтовок и автоматов — 57.646, автомашин — 5.825, тракторов и тягачей —240, бронетранспортеров - 224, радиостанций — 310, подвод с военными грузами — 3.442, лошадей — 16.543.</w:t>
      </w:r>
    </w:p>
    <w:p w14:paraId="5835D304"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2-го Белорусского фронта в районе устья реки Вислы восточнее Данцига, на косе Путцигер-Нерунг северо-восточнее Гдыни и на острове Борн-Хольм заканчивали прием капитулировавших немецких войск. С 9 по 13 мая сдалось в плен 74.939 немецких солдат и офицеров и 12 генералов. За это же время приняты и учтены следующие трофеи: танков и самоходных орудий- 10, полевых орудий - 498, минометов - 46, пулеметов - 3.400, винтовок и автоматов - 28.000, бронетранспортеров - 13, автомашин - 2.000, радиостанций - 210, лошадей - 1.500, катеров и барж - 23.</w:t>
      </w:r>
    </w:p>
    <w:p w14:paraId="23ED198B" w14:textId="77777777" w:rsidR="000C795D" w:rsidRPr="00F90EAE" w:rsidRDefault="000C795D" w:rsidP="00F90EAE">
      <w:pPr>
        <w:jc w:val="both"/>
        <w:rPr>
          <w:color w:val="000000" w:themeColor="text1"/>
          <w:sz w:val="16"/>
          <w:szCs w:val="16"/>
        </w:rPr>
      </w:pPr>
      <w:r w:rsidRPr="00F90EAE">
        <w:rPr>
          <w:color w:val="000000" w:themeColor="text1"/>
          <w:sz w:val="16"/>
          <w:szCs w:val="16"/>
        </w:rPr>
        <w:t>В Чехословакии и Австрии войска 1-го, 4-го, 2-го и 3-го Украинских фронтов очищали занятые районы от разрозненных немецких отрядов из группы войск генерал-фельмаршала Шернера и генерал-полковника Велера.</w:t>
      </w:r>
    </w:p>
    <w:p w14:paraId="59F9C236"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1-го Украинского фронта, по уточнённым данным, с 9 по 12 мая взяли в плен 213.355 беспорядочно сдавшихся немецких солдат и офицеров и 14 генералов. В числе пленных генералов, кроме ранее объявленных, командир 40 танкового корпуса генерал танковых войск Хенрици, командир учебного корпуса генерал артиллерии Мозер, командир 59 армейского корпуса генерал-лейтенант Зилер, комендант тыла 17 армии генерал-лейтенант Гешен, командир 193 резервной дивизии генерал-майор Эргарт фон Гейзо, командир 304 пехотной дивизии генерал-майор Арнинг, командир 371 пехотной дивизии генерал-майор Шернсберг. За это же время войска фронта захватили следующие трофеи: самолётов — 780, танков и самоходных орудий — 649, полевых орудий — 3.100, миномётов —1.400, пулемётов — 6.700, бронетранспортёров— 480, винтовок и автоматов—120.000, автомашин — свыше 30.000, тракторов и тягачей — 954.</w:t>
      </w:r>
    </w:p>
    <w:p w14:paraId="5D9C6DDA"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4-го Украинского фронта с 9 по 13 мая взяли в плен 71.738 беспорядочно сдавшихся немецких солдат и офицеров и захватили следующие трофеи: танков и самоходных орудий — 127, полевых орудий — 900, миномётов — 510, пулемётов— 1.700, винтовок и автоматов—15.300, автомашин — 1.480, радиостанций — 100, лошадей — 2.000, повозок с военным имуществом — 5.000.</w:t>
      </w:r>
    </w:p>
    <w:p w14:paraId="552F3509"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2-го Украинского фронта с 9 по 13 мая взяли в плен 369.459 беспорядочно сдавшихся немецких солдат и офицеров и 16 генералов. В числе пленных генералов, кроме ранее объявленных, командир 3 танковой дивизии СС «Мёртвая голова» генерал-майор Бекер, командир 540 пехотной дивизии генерал-майор Готмальн, командир 602 пехотной дивизии генерал-лейтенант Шартов, командир 603 пехотной дивизии генерал-лейтенант Моллер, командир полицейской дивизии генерал-майор полиции Бааль, комендант города БРНО генерал-лейтенант Лидерманн, начальник штаба строительного участка генерал-майор Ангельштук, командующий артиллерией 21 танкового корпуса генерал-майор Камченкельн, начальник штаба строительного участка генерал-майор Готшильк. За это же время войска фронта захватили следующие трофеи: самолётов — 58, танков и самоходных орудий — 596, полевых орудий — 1.348, пулемётов—1.115, винтовок и автоматов — 40.570, бронетранспортёров — 422, автомашин— 16.154, повозок с военными грузами — 4.615, лошадей—12.000.</w:t>
      </w:r>
    </w:p>
    <w:p w14:paraId="0F12893E" w14:textId="77777777" w:rsidR="000C795D" w:rsidRPr="00F90EAE" w:rsidRDefault="000C795D" w:rsidP="00F90EAE">
      <w:pPr>
        <w:jc w:val="both"/>
        <w:rPr>
          <w:color w:val="000000" w:themeColor="text1"/>
          <w:sz w:val="16"/>
          <w:szCs w:val="16"/>
        </w:rPr>
      </w:pPr>
      <w:r w:rsidRPr="00F90EAE">
        <w:rPr>
          <w:color w:val="000000" w:themeColor="text1"/>
          <w:sz w:val="16"/>
          <w:szCs w:val="16"/>
        </w:rPr>
        <w:t>Войска 3-го Украинского фронта с 9 по 13 мая взяли в плен 126.070 беспорядочно сдавшихся немецких солдат и офицеров и 5 генералов. За это же время войска фронта захватили следующие трофеи: самолётов — 284, танков и самоходных орудий— 235, полевых орудий—1.224, миномётов — 530, пулемётов—12.473, винтовок и автоматов — 36.268, бронетранспортёров — 185, автомашин — 4.296, подвод с военными грузами — 5.355, лошадей — 8.914.</w:t>
      </w:r>
    </w:p>
    <w:p w14:paraId="5527C35F" w14:textId="77777777" w:rsidR="000C795D" w:rsidRPr="00F90EAE" w:rsidRDefault="000C795D" w:rsidP="00F90EAE">
      <w:pPr>
        <w:jc w:val="both"/>
        <w:rPr>
          <w:color w:val="000000" w:themeColor="text1"/>
          <w:sz w:val="16"/>
          <w:szCs w:val="16"/>
        </w:rPr>
      </w:pPr>
      <w:r w:rsidRPr="00F90EAE">
        <w:rPr>
          <w:color w:val="000000" w:themeColor="text1"/>
          <w:sz w:val="16"/>
          <w:szCs w:val="16"/>
        </w:rPr>
        <w:t>Всего, таким образом, с 9 по 13 мая на всех фронтах взято в плен более 1 миллиона 60 тысяч немецких солдат и офицеров и 91 генерал, считая и группу немецких солдат и офицеров, окончивших сдачу 11 мая войскам 3-го Белорусского фронта.» (14890).</w:t>
      </w:r>
    </w:p>
    <w:p w14:paraId="717F0806" w14:textId="77777777" w:rsidR="000C795D" w:rsidRPr="00F90EAE" w:rsidRDefault="000C795D" w:rsidP="00F90EAE">
      <w:pPr>
        <w:jc w:val="both"/>
        <w:rPr>
          <w:color w:val="000000" w:themeColor="text1"/>
          <w:sz w:val="16"/>
          <w:szCs w:val="16"/>
        </w:rPr>
      </w:pPr>
    </w:p>
    <w:p w14:paraId="3163B9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мая 1945 года, уже после окончания войны, советские летчики совершили последний боевой вылет: самолеты 449-го полка бомбили части 6-й и 8-й немецких армий в Австрии (3457,111).</w:t>
      </w:r>
    </w:p>
    <w:p w14:paraId="59C99BC3" w14:textId="77777777" w:rsidR="00665165" w:rsidRPr="00F90EAE" w:rsidRDefault="00665165" w:rsidP="00F90EAE">
      <w:pPr>
        <w:autoSpaceDE w:val="0"/>
        <w:autoSpaceDN w:val="0"/>
        <w:adjustRightInd w:val="0"/>
        <w:jc w:val="both"/>
        <w:rPr>
          <w:color w:val="000000" w:themeColor="text1"/>
          <w:sz w:val="16"/>
          <w:szCs w:val="16"/>
        </w:rPr>
      </w:pPr>
    </w:p>
    <w:p w14:paraId="2669764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6EB9E52" w14:textId="77777777" w:rsidR="00665165" w:rsidRPr="00F90EAE" w:rsidRDefault="00665165" w:rsidP="00F90EAE">
      <w:pPr>
        <w:autoSpaceDE w:val="0"/>
        <w:autoSpaceDN w:val="0"/>
        <w:adjustRightInd w:val="0"/>
        <w:jc w:val="both"/>
        <w:rPr>
          <w:iCs/>
          <w:color w:val="000000" w:themeColor="text1"/>
          <w:sz w:val="16"/>
          <w:szCs w:val="16"/>
        </w:rPr>
      </w:pPr>
    </w:p>
    <w:p w14:paraId="082574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мая 1945 был арестован Кейтель (2248,7).</w:t>
      </w:r>
    </w:p>
    <w:p w14:paraId="1FF03BC3" w14:textId="77777777" w:rsidR="00665165" w:rsidRPr="00F90EAE" w:rsidRDefault="00665165" w:rsidP="00F90EAE">
      <w:pPr>
        <w:autoSpaceDE w:val="0"/>
        <w:autoSpaceDN w:val="0"/>
        <w:adjustRightInd w:val="0"/>
        <w:jc w:val="both"/>
        <w:rPr>
          <w:color w:val="000000" w:themeColor="text1"/>
          <w:sz w:val="16"/>
          <w:szCs w:val="16"/>
        </w:rPr>
      </w:pPr>
    </w:p>
    <w:p w14:paraId="5E316A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мая 1945 Европа праздновала победу (3481).</w:t>
      </w:r>
    </w:p>
    <w:p w14:paraId="28C50A5D" w14:textId="77777777" w:rsidR="00665165" w:rsidRPr="00F90EAE" w:rsidRDefault="00665165" w:rsidP="00F90EAE">
      <w:pPr>
        <w:autoSpaceDE w:val="0"/>
        <w:autoSpaceDN w:val="0"/>
        <w:adjustRightInd w:val="0"/>
        <w:jc w:val="both"/>
        <w:rPr>
          <w:color w:val="000000" w:themeColor="text1"/>
          <w:sz w:val="16"/>
          <w:szCs w:val="16"/>
        </w:rPr>
      </w:pPr>
    </w:p>
    <w:p w14:paraId="2A2B5CB7" w14:textId="77777777" w:rsidR="000C795D" w:rsidRPr="00F90EAE" w:rsidRDefault="000C795D" w:rsidP="00F90EAE">
      <w:pPr>
        <w:jc w:val="both"/>
        <w:rPr>
          <w:color w:val="000000" w:themeColor="text1"/>
          <w:sz w:val="16"/>
          <w:szCs w:val="16"/>
        </w:rPr>
      </w:pPr>
      <w:r w:rsidRPr="00F90EAE">
        <w:rPr>
          <w:color w:val="000000" w:themeColor="text1"/>
          <w:sz w:val="16"/>
          <w:szCs w:val="16"/>
        </w:rPr>
        <w:t>13 мая в 1945 году (13 - 24 мая) крупные операции войск НКВД в Польше по ликвидации вооруженных отрядов Армии Крайовой (14890).</w:t>
      </w:r>
    </w:p>
    <w:p w14:paraId="5C90A488" w14:textId="77777777" w:rsidR="000C795D" w:rsidRPr="00F90EAE" w:rsidRDefault="000C795D" w:rsidP="00F90EAE">
      <w:pPr>
        <w:jc w:val="both"/>
        <w:rPr>
          <w:color w:val="000000" w:themeColor="text1"/>
          <w:sz w:val="16"/>
          <w:szCs w:val="16"/>
        </w:rPr>
      </w:pPr>
    </w:p>
    <w:p w14:paraId="3404DD42" w14:textId="77777777" w:rsidR="000C795D" w:rsidRPr="00F90EAE" w:rsidRDefault="000C795D" w:rsidP="00F90EAE">
      <w:pPr>
        <w:jc w:val="both"/>
        <w:rPr>
          <w:color w:val="000000" w:themeColor="text1"/>
          <w:sz w:val="16"/>
          <w:szCs w:val="16"/>
        </w:rPr>
      </w:pPr>
      <w:r w:rsidRPr="00F90EAE">
        <w:rPr>
          <w:color w:val="000000" w:themeColor="text1"/>
          <w:sz w:val="16"/>
          <w:szCs w:val="16"/>
        </w:rPr>
        <w:t>13 мая в 1945 году вступление англо-американских войск на территорию Норвегии (14890).</w:t>
      </w:r>
    </w:p>
    <w:p w14:paraId="39A8FD60" w14:textId="77777777" w:rsidR="000C795D" w:rsidRPr="00F90EAE" w:rsidRDefault="000C795D" w:rsidP="00F90EAE">
      <w:pPr>
        <w:jc w:val="both"/>
        <w:rPr>
          <w:color w:val="000000" w:themeColor="text1"/>
          <w:sz w:val="16"/>
          <w:szCs w:val="16"/>
        </w:rPr>
      </w:pPr>
    </w:p>
    <w:p w14:paraId="230D21E5" w14:textId="77777777" w:rsidR="000C795D" w:rsidRPr="00F90EAE" w:rsidRDefault="000C795D" w:rsidP="00F90EAE">
      <w:pPr>
        <w:jc w:val="both"/>
        <w:rPr>
          <w:color w:val="000000" w:themeColor="text1"/>
          <w:sz w:val="16"/>
          <w:szCs w:val="16"/>
        </w:rPr>
      </w:pPr>
      <w:r w:rsidRPr="00F90EAE">
        <w:rPr>
          <w:color w:val="000000" w:themeColor="text1"/>
          <w:sz w:val="16"/>
          <w:szCs w:val="16"/>
        </w:rPr>
        <w:t>13 мая в 1945 году британские войска заняли Гуа (14890).</w:t>
      </w:r>
    </w:p>
    <w:p w14:paraId="49DA15BF" w14:textId="77777777" w:rsidR="000C795D" w:rsidRPr="00F90EAE" w:rsidRDefault="000C795D" w:rsidP="00F90EAE">
      <w:pPr>
        <w:jc w:val="both"/>
        <w:rPr>
          <w:color w:val="000000" w:themeColor="text1"/>
          <w:sz w:val="16"/>
          <w:szCs w:val="16"/>
        </w:rPr>
      </w:pPr>
    </w:p>
    <w:p w14:paraId="4E812C2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C86F5D5" w14:textId="77777777" w:rsidR="00665165" w:rsidRPr="00F90EAE" w:rsidRDefault="00665165" w:rsidP="00F90EAE">
      <w:pPr>
        <w:autoSpaceDE w:val="0"/>
        <w:autoSpaceDN w:val="0"/>
        <w:adjustRightInd w:val="0"/>
        <w:jc w:val="both"/>
        <w:rPr>
          <w:iCs/>
          <w:color w:val="000000" w:themeColor="text1"/>
          <w:sz w:val="16"/>
          <w:szCs w:val="16"/>
        </w:rPr>
      </w:pPr>
    </w:p>
    <w:p w14:paraId="7091D2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в НИИ ВВС на гос. испытания прибыл Ил-8 N 1 (на самом деле 2 - переделанный) (2104).</w:t>
      </w:r>
    </w:p>
    <w:p w14:paraId="253CE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561F31" w:rsidRPr="00F90EAE" w14:paraId="1F8DFB11" w14:textId="77777777">
        <w:tc>
          <w:tcPr>
            <w:tcW w:w="3652" w:type="dxa"/>
          </w:tcPr>
          <w:p w14:paraId="2DB11F51"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7F0B2B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Ил-8</w:t>
            </w:r>
          </w:p>
        </w:tc>
        <w:tc>
          <w:tcPr>
            <w:tcW w:w="4394" w:type="dxa"/>
          </w:tcPr>
          <w:p w14:paraId="6A8586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w:t>
            </w:r>
          </w:p>
        </w:tc>
      </w:tr>
      <w:tr w:rsidR="00561F31" w:rsidRPr="00F90EAE" w14:paraId="38517ADB" w14:textId="77777777">
        <w:tc>
          <w:tcPr>
            <w:tcW w:w="3652" w:type="dxa"/>
          </w:tcPr>
          <w:p w14:paraId="24E57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Максимальная скорость у земли </w:t>
            </w:r>
          </w:p>
        </w:tc>
        <w:tc>
          <w:tcPr>
            <w:tcW w:w="2410" w:type="dxa"/>
          </w:tcPr>
          <w:p w14:paraId="119925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461 </w:t>
            </w:r>
          </w:p>
        </w:tc>
        <w:tc>
          <w:tcPr>
            <w:tcW w:w="4394" w:type="dxa"/>
          </w:tcPr>
          <w:p w14:paraId="3B3D43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507</w:t>
            </w:r>
          </w:p>
        </w:tc>
      </w:tr>
      <w:tr w:rsidR="00561F31" w:rsidRPr="00F90EAE" w14:paraId="7BA165CC" w14:textId="77777777">
        <w:tc>
          <w:tcPr>
            <w:tcW w:w="3652" w:type="dxa"/>
          </w:tcPr>
          <w:p w14:paraId="28E2E280"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231812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(418 с 2хФАБ-500)</w:t>
            </w:r>
          </w:p>
        </w:tc>
        <w:tc>
          <w:tcPr>
            <w:tcW w:w="4394" w:type="dxa"/>
          </w:tcPr>
          <w:p w14:paraId="6D7D513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85B8B57" w14:textId="77777777">
        <w:tc>
          <w:tcPr>
            <w:tcW w:w="3652" w:type="dxa"/>
          </w:tcPr>
          <w:p w14:paraId="79CB3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границе высотности</w:t>
            </w:r>
          </w:p>
        </w:tc>
        <w:tc>
          <w:tcPr>
            <w:tcW w:w="2410" w:type="dxa"/>
          </w:tcPr>
          <w:p w14:paraId="03868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509</w:t>
            </w:r>
          </w:p>
        </w:tc>
        <w:tc>
          <w:tcPr>
            <w:tcW w:w="4394" w:type="dxa"/>
          </w:tcPr>
          <w:p w14:paraId="5A0E79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551</w:t>
            </w:r>
          </w:p>
        </w:tc>
      </w:tr>
      <w:tr w:rsidR="00561F31" w:rsidRPr="00F90EAE" w14:paraId="284AD5F1" w14:textId="77777777">
        <w:tc>
          <w:tcPr>
            <w:tcW w:w="3652" w:type="dxa"/>
          </w:tcPr>
          <w:p w14:paraId="6AFD819D"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1A624B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 с 2хФАБ-500)</w:t>
            </w:r>
          </w:p>
        </w:tc>
        <w:tc>
          <w:tcPr>
            <w:tcW w:w="4394" w:type="dxa"/>
          </w:tcPr>
          <w:p w14:paraId="47F1F4D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A0E71D5" w14:textId="77777777">
        <w:tc>
          <w:tcPr>
            <w:tcW w:w="3652" w:type="dxa"/>
          </w:tcPr>
          <w:p w14:paraId="59FE3F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3000 м</w:t>
            </w:r>
          </w:p>
        </w:tc>
        <w:tc>
          <w:tcPr>
            <w:tcW w:w="2410" w:type="dxa"/>
          </w:tcPr>
          <w:p w14:paraId="09D1B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4394" w:type="dxa"/>
          </w:tcPr>
          <w:p w14:paraId="4C879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r>
      <w:tr w:rsidR="00561F31" w:rsidRPr="00F90EAE" w14:paraId="00A0AD5F" w14:textId="77777777">
        <w:tc>
          <w:tcPr>
            <w:tcW w:w="3652" w:type="dxa"/>
          </w:tcPr>
          <w:p w14:paraId="6731B7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на 45 м</w:t>
            </w:r>
          </w:p>
        </w:tc>
        <w:tc>
          <w:tcPr>
            <w:tcW w:w="2410" w:type="dxa"/>
          </w:tcPr>
          <w:p w14:paraId="7949EE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520</w:t>
            </w:r>
          </w:p>
        </w:tc>
        <w:tc>
          <w:tcPr>
            <w:tcW w:w="4394" w:type="dxa"/>
          </w:tcPr>
          <w:p w14:paraId="245C36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2915415B" w14:textId="77777777">
        <w:tc>
          <w:tcPr>
            <w:tcW w:w="3652" w:type="dxa"/>
          </w:tcPr>
          <w:p w14:paraId="2F27CA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нагрузка</w:t>
            </w:r>
          </w:p>
        </w:tc>
        <w:tc>
          <w:tcPr>
            <w:tcW w:w="2410" w:type="dxa"/>
          </w:tcPr>
          <w:p w14:paraId="24988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w:t>
            </w:r>
          </w:p>
        </w:tc>
        <w:tc>
          <w:tcPr>
            <w:tcW w:w="4394" w:type="dxa"/>
          </w:tcPr>
          <w:p w14:paraId="098AB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1655</w:t>
            </w:r>
          </w:p>
        </w:tc>
      </w:tr>
      <w:tr w:rsidR="00561F31" w:rsidRPr="00F90EAE" w14:paraId="2A73647E" w14:textId="77777777">
        <w:tc>
          <w:tcPr>
            <w:tcW w:w="3652" w:type="dxa"/>
          </w:tcPr>
          <w:p w14:paraId="2F7907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2410" w:type="dxa"/>
          </w:tcPr>
          <w:p w14:paraId="5132ED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4394" w:type="dxa"/>
          </w:tcPr>
          <w:p w14:paraId="29C29F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r>
      <w:tr w:rsidR="00561F31" w:rsidRPr="00F90EAE" w14:paraId="6A629481" w14:textId="77777777">
        <w:tc>
          <w:tcPr>
            <w:tcW w:w="3652" w:type="dxa"/>
          </w:tcPr>
          <w:p w14:paraId="27E31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410" w:type="dxa"/>
          </w:tcPr>
          <w:p w14:paraId="4D030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1140</w:t>
            </w:r>
          </w:p>
        </w:tc>
        <w:tc>
          <w:tcPr>
            <w:tcW w:w="4394" w:type="dxa"/>
          </w:tcPr>
          <w:p w14:paraId="089F8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 (2104)</w:t>
            </w:r>
          </w:p>
        </w:tc>
      </w:tr>
    </w:tbl>
    <w:p w14:paraId="62E8000A" w14:textId="77777777" w:rsidR="00665165" w:rsidRPr="00F90EAE" w:rsidRDefault="00665165" w:rsidP="00F90EAE">
      <w:pPr>
        <w:autoSpaceDE w:val="0"/>
        <w:autoSpaceDN w:val="0"/>
        <w:adjustRightInd w:val="0"/>
        <w:jc w:val="both"/>
        <w:rPr>
          <w:color w:val="000000" w:themeColor="text1"/>
          <w:sz w:val="16"/>
          <w:szCs w:val="16"/>
        </w:rPr>
      </w:pPr>
    </w:p>
    <w:p w14:paraId="79565E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мая 1945 состоялась официальная передача Ил-8 № 1 в НИИ ВВС, но полеты по программе государствен</w:t>
      </w:r>
      <w:r w:rsidRPr="00F90EAE">
        <w:rPr>
          <w:color w:val="000000" w:themeColor="text1"/>
          <w:sz w:val="16"/>
          <w:szCs w:val="16"/>
        </w:rPr>
        <w:softHyphen/>
        <w:t>ных испытаний начались лишь 27 мая. Всего до 7 июля было выполнено 52 полета с налетом 36 ч 35 мин. Веду</w:t>
      </w:r>
      <w:r w:rsidRPr="00F90EAE">
        <w:rPr>
          <w:color w:val="000000" w:themeColor="text1"/>
          <w:sz w:val="16"/>
          <w:szCs w:val="16"/>
        </w:rPr>
        <w:softHyphen/>
        <w:t>щим летчиком-испытателем был под</w:t>
      </w:r>
      <w:r w:rsidRPr="00F90EAE">
        <w:rPr>
          <w:color w:val="000000" w:themeColor="text1"/>
          <w:sz w:val="16"/>
          <w:szCs w:val="16"/>
        </w:rPr>
        <w:softHyphen/>
        <w:t>полковник А. К. Долгов, а ведущим инженером — инженер-капитан С. Г. Фролов.</w:t>
      </w:r>
    </w:p>
    <w:p w14:paraId="0162A0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счет установки на самолет до</w:t>
      </w:r>
      <w:r w:rsidRPr="00F90EAE">
        <w:rPr>
          <w:color w:val="000000" w:themeColor="text1"/>
          <w:sz w:val="16"/>
          <w:szCs w:val="16"/>
        </w:rPr>
        <w:softHyphen/>
        <w:t>полнительного съемного оборудова</w:t>
      </w:r>
      <w:r w:rsidRPr="00F90EAE">
        <w:rPr>
          <w:color w:val="000000" w:themeColor="text1"/>
          <w:sz w:val="16"/>
          <w:szCs w:val="16"/>
        </w:rPr>
        <w:softHyphen/>
        <w:t>ния нормальный полетный вес уве</w:t>
      </w:r>
      <w:r w:rsidRPr="00F90EAE">
        <w:rPr>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F90EAE">
        <w:rPr>
          <w:color w:val="000000" w:themeColor="text1"/>
          <w:sz w:val="16"/>
          <w:szCs w:val="16"/>
        </w:rPr>
        <w:softHyphen/>
        <w:t>шая дальность полета на высоте 500 м при скорости по прибору 299 км/ч составила 1140 км.</w:t>
      </w:r>
    </w:p>
    <w:p w14:paraId="3FBD5D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материалах отчета отмечалось, что устойчивость и управляемость са</w:t>
      </w:r>
      <w:r w:rsidRPr="00F90EAE">
        <w:rPr>
          <w:color w:val="000000" w:themeColor="text1"/>
          <w:sz w:val="16"/>
          <w:szCs w:val="16"/>
        </w:rPr>
        <w:softHyphen/>
        <w:t>молета хорошие, по технике пилоти</w:t>
      </w:r>
      <w:r w:rsidRPr="00F90EAE">
        <w:rPr>
          <w:color w:val="000000" w:themeColor="text1"/>
          <w:sz w:val="16"/>
          <w:szCs w:val="16"/>
        </w:rPr>
        <w:softHyphen/>
        <w:t>рования самолет оказался простым и в целом был доступен летчикам средней квалификации. Никаких осо</w:t>
      </w:r>
      <w:r w:rsidRPr="00F90EAE">
        <w:rPr>
          <w:color w:val="000000" w:themeColor="text1"/>
          <w:sz w:val="16"/>
          <w:szCs w:val="16"/>
        </w:rPr>
        <w:softHyphen/>
        <w:t>бенностей, затрудняющих эксплуата</w:t>
      </w:r>
      <w:r w:rsidRPr="00F90EAE">
        <w:rPr>
          <w:color w:val="000000" w:themeColor="text1"/>
          <w:sz w:val="16"/>
          <w:szCs w:val="16"/>
        </w:rPr>
        <w:softHyphen/>
        <w:t>цию самолета, не наблюдалось.</w:t>
      </w:r>
    </w:p>
    <w:p w14:paraId="5EB07F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Пикировал самолет весьма устой</w:t>
      </w:r>
      <w:r w:rsidRPr="00F90EAE">
        <w:rPr>
          <w:color w:val="000000" w:themeColor="text1"/>
          <w:sz w:val="16"/>
          <w:szCs w:val="16"/>
        </w:rPr>
        <w:softHyphen/>
        <w:t>чиво вплоть до углов 45°. Отдача пу</w:t>
      </w:r>
      <w:r w:rsidRPr="00F90EAE">
        <w:rPr>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F90EAE">
        <w:rPr>
          <w:color w:val="000000" w:themeColor="text1"/>
          <w:sz w:val="16"/>
          <w:szCs w:val="16"/>
        </w:rPr>
        <w:softHyphen/>
        <w:t>не прицельной.</w:t>
      </w:r>
    </w:p>
    <w:p w14:paraId="340CD0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Однако указывались и существен</w:t>
      </w:r>
      <w:r w:rsidRPr="00F90EAE">
        <w:rPr>
          <w:color w:val="000000" w:themeColor="text1"/>
          <w:sz w:val="16"/>
          <w:szCs w:val="16"/>
        </w:rPr>
        <w:softHyphen/>
        <w:t xml:space="preserve">ные недостатки самолета, наличие которых </w:t>
      </w:r>
      <w:r w:rsidRPr="00F90EAE">
        <w:rPr>
          <w:iCs/>
          <w:color w:val="000000" w:themeColor="text1"/>
          <w:sz w:val="16"/>
          <w:szCs w:val="16"/>
        </w:rPr>
        <w:t>"не позволяет полностью ис</w:t>
      </w:r>
      <w:r w:rsidRPr="00F90EAE">
        <w:rPr>
          <w:iCs/>
          <w:color w:val="000000" w:themeColor="text1"/>
          <w:sz w:val="16"/>
          <w:szCs w:val="16"/>
        </w:rPr>
        <w:softHyphen/>
        <w:t xml:space="preserve">пользовать его боевые свойства". </w:t>
      </w:r>
      <w:r w:rsidRPr="00F90EAE">
        <w:rPr>
          <w:color w:val="000000" w:themeColor="text1"/>
          <w:sz w:val="16"/>
          <w:szCs w:val="16"/>
        </w:rPr>
        <w:t>В частности, бронирование Ил-8 со</w:t>
      </w:r>
      <w:r w:rsidRPr="00F90EAE">
        <w:rPr>
          <w:color w:val="000000" w:themeColor="text1"/>
          <w:sz w:val="16"/>
          <w:szCs w:val="16"/>
        </w:rPr>
        <w:softHyphen/>
        <w:t>чли не отвечающим современным требованиям, так как голова стрел</w:t>
      </w:r>
      <w:r w:rsidRPr="00F90EAE">
        <w:rPr>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F90EAE">
        <w:rPr>
          <w:color w:val="000000" w:themeColor="text1"/>
          <w:sz w:val="16"/>
          <w:szCs w:val="16"/>
        </w:rPr>
        <w:softHyphen/>
        <w:t>наря кабины стрелка, не была уста</w:t>
      </w:r>
      <w:r w:rsidRPr="00F90EAE">
        <w:rPr>
          <w:color w:val="000000" w:themeColor="text1"/>
          <w:sz w:val="16"/>
          <w:szCs w:val="16"/>
        </w:rPr>
        <w:softHyphen/>
        <w:t>новлена световая сигнализация выпуска и уборки шасси (только "сол</w:t>
      </w:r>
      <w:r w:rsidRPr="00F90EAE">
        <w:rPr>
          <w:color w:val="000000" w:themeColor="text1"/>
          <w:sz w:val="16"/>
          <w:szCs w:val="16"/>
        </w:rPr>
        <w:softHyphen/>
        <w:t>датики"), плохая вентиляция и жара в кабинах летчика и стрелка, недо</w:t>
      </w:r>
      <w:r w:rsidRPr="00F90EAE">
        <w:rPr>
          <w:color w:val="000000" w:themeColor="text1"/>
          <w:sz w:val="16"/>
          <w:szCs w:val="16"/>
        </w:rPr>
        <w:softHyphen/>
        <w:t>статочная эффективность тормозов и т.д.</w:t>
      </w:r>
    </w:p>
    <w:p w14:paraId="6AA1B3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F90EAE">
        <w:rPr>
          <w:iCs/>
          <w:color w:val="000000" w:themeColor="text1"/>
          <w:sz w:val="16"/>
          <w:szCs w:val="16"/>
        </w:rPr>
        <w:t>"...фонарь ка</w:t>
      </w:r>
      <w:r w:rsidRPr="00F90EAE">
        <w:rPr>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5878FF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Военные специалисты положи</w:t>
      </w:r>
      <w:r w:rsidRPr="00F90EAE">
        <w:rPr>
          <w:color w:val="000000" w:themeColor="text1"/>
          <w:sz w:val="16"/>
          <w:szCs w:val="16"/>
        </w:rPr>
        <w:softHyphen/>
        <w:t>тельно оценили подвижную оборо</w:t>
      </w:r>
      <w:r w:rsidRPr="00F90EAE">
        <w:rPr>
          <w:color w:val="000000" w:themeColor="text1"/>
          <w:sz w:val="16"/>
          <w:szCs w:val="16"/>
        </w:rPr>
        <w:softHyphen/>
        <w:t>нительную установку ВУ-9 с пушкой БТ-20, которая имела значительные преимущества перед ВУ-8 с пулеме</w:t>
      </w:r>
      <w:r w:rsidRPr="00F90EAE">
        <w:rPr>
          <w:color w:val="000000" w:themeColor="text1"/>
          <w:sz w:val="16"/>
          <w:szCs w:val="16"/>
        </w:rPr>
        <w:softHyphen/>
        <w:t>том УБК.</w:t>
      </w:r>
    </w:p>
    <w:p w14:paraId="34E041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F90EAE">
        <w:rPr>
          <w:color w:val="000000" w:themeColor="text1"/>
          <w:sz w:val="16"/>
          <w:szCs w:val="16"/>
        </w:rPr>
        <w:softHyphen/>
        <w:t>зор из второй кабины самолета по</w:t>
      </w:r>
      <w:r w:rsidRPr="00F90EAE">
        <w:rPr>
          <w:color w:val="000000" w:themeColor="text1"/>
          <w:sz w:val="16"/>
          <w:szCs w:val="16"/>
        </w:rPr>
        <w:softHyphen/>
        <w:t>чти исключал возможность точного бомбометания.</w:t>
      </w:r>
    </w:p>
    <w:p w14:paraId="1A405A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повышение скорос</w:t>
      </w:r>
      <w:r w:rsidRPr="00F90EAE">
        <w:rPr>
          <w:color w:val="000000" w:themeColor="text1"/>
          <w:sz w:val="16"/>
          <w:szCs w:val="16"/>
        </w:rPr>
        <w:softHyphen/>
        <w:t>тных качеств улучшенной "восьмер</w:t>
      </w:r>
      <w:r w:rsidRPr="00F90EAE">
        <w:rPr>
          <w:color w:val="000000" w:themeColor="text1"/>
          <w:sz w:val="16"/>
          <w:szCs w:val="16"/>
        </w:rPr>
        <w:softHyphen/>
        <w:t>ки", маневренные свойства самолета оказались хуже, чем у Ил-АМ-42, проходившего государственные испы</w:t>
      </w:r>
      <w:r w:rsidRPr="00F90EAE">
        <w:rPr>
          <w:color w:val="000000" w:themeColor="text1"/>
          <w:sz w:val="16"/>
          <w:szCs w:val="16"/>
        </w:rPr>
        <w:softHyphen/>
        <w:t>тания весной 1944 г., и даже серий</w:t>
      </w:r>
      <w:r w:rsidRPr="00F90EAE">
        <w:rPr>
          <w:color w:val="000000" w:themeColor="text1"/>
          <w:sz w:val="16"/>
          <w:szCs w:val="16"/>
        </w:rPr>
        <w:softHyphen/>
        <w:t>ной "двойки".</w:t>
      </w:r>
    </w:p>
    <w:p w14:paraId="31E83F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F90EAE">
        <w:rPr>
          <w:color w:val="000000" w:themeColor="text1"/>
          <w:sz w:val="16"/>
          <w:szCs w:val="16"/>
        </w:rPr>
        <w:softHyphen/>
        <w:t>ро нагонял Ил-8 и легко занимал выгодную позицию для атаки. Одна</w:t>
      </w:r>
      <w:r w:rsidRPr="00F90EAE">
        <w:rPr>
          <w:color w:val="000000" w:themeColor="text1"/>
          <w:sz w:val="16"/>
          <w:szCs w:val="16"/>
        </w:rPr>
        <w:softHyphen/>
        <w:t>ко считалось, что сочетание манев</w:t>
      </w:r>
      <w:r w:rsidRPr="00F90EAE">
        <w:rPr>
          <w:color w:val="000000" w:themeColor="text1"/>
          <w:sz w:val="16"/>
          <w:szCs w:val="16"/>
        </w:rPr>
        <w:softHyphen/>
        <w:t>ра и огня пушки БТ-20 вполне обес</w:t>
      </w:r>
      <w:r w:rsidRPr="00F90EAE">
        <w:rPr>
          <w:color w:val="000000" w:themeColor="text1"/>
          <w:sz w:val="16"/>
          <w:szCs w:val="16"/>
        </w:rPr>
        <w:softHyphen/>
        <w:t>печивает отражение атаки истреби</w:t>
      </w:r>
      <w:r w:rsidRPr="00F90EAE">
        <w:rPr>
          <w:color w:val="000000" w:themeColor="text1"/>
          <w:sz w:val="16"/>
          <w:szCs w:val="16"/>
        </w:rPr>
        <w:softHyphen/>
        <w:t>теля со стороны задней полусферы сверху. Атаки истребителя снизу сза</w:t>
      </w:r>
      <w:r w:rsidRPr="00F90EAE">
        <w:rPr>
          <w:color w:val="000000" w:themeColor="text1"/>
          <w:sz w:val="16"/>
          <w:szCs w:val="16"/>
        </w:rPr>
        <w:softHyphen/>
        <w:t>ди могли быть сорваны авиаграна</w:t>
      </w:r>
      <w:r w:rsidRPr="00F90EAE">
        <w:rPr>
          <w:color w:val="000000" w:themeColor="text1"/>
          <w:sz w:val="16"/>
          <w:szCs w:val="16"/>
        </w:rPr>
        <w:softHyphen/>
        <w:t>тами АГ-2, хотя вероятность этого со</w:t>
      </w:r>
      <w:r w:rsidRPr="00F90EAE">
        <w:rPr>
          <w:color w:val="000000" w:themeColor="text1"/>
          <w:sz w:val="16"/>
          <w:szCs w:val="16"/>
        </w:rPr>
        <w:softHyphen/>
        <w:t>бытия была небольшой.</w:t>
      </w:r>
    </w:p>
    <w:p w14:paraId="35D3CB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Значительную трудность пред</w:t>
      </w:r>
      <w:r w:rsidRPr="00F90EAE">
        <w:rPr>
          <w:color w:val="000000" w:themeColor="text1"/>
          <w:sz w:val="16"/>
          <w:szCs w:val="16"/>
        </w:rPr>
        <w:softHyphen/>
        <w:t>ставляли атаки истребителей сверху и с боков из-за недостаточного сек</w:t>
      </w:r>
      <w:r w:rsidRPr="00F90EAE">
        <w:rPr>
          <w:color w:val="000000" w:themeColor="text1"/>
          <w:sz w:val="16"/>
          <w:szCs w:val="16"/>
        </w:rPr>
        <w:softHyphen/>
        <w:t>тора обстрела установки ВУ-9.</w:t>
      </w:r>
    </w:p>
    <w:p w14:paraId="1929F2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горизонтальном маневре ис</w:t>
      </w:r>
      <w:r w:rsidRPr="00F90EAE">
        <w:rPr>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F90EAE">
        <w:rPr>
          <w:color w:val="000000" w:themeColor="text1"/>
          <w:sz w:val="16"/>
          <w:szCs w:val="16"/>
        </w:rPr>
        <w:softHyphen/>
        <w:t>руднительным.</w:t>
      </w:r>
    </w:p>
    <w:p w14:paraId="795863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то же время п-к Н. И. Шауров, давая тактическую оценку самолету, указывал: </w:t>
      </w:r>
      <w:r w:rsidRPr="00F90EAE">
        <w:rPr>
          <w:iCs/>
          <w:color w:val="000000" w:themeColor="text1"/>
          <w:sz w:val="16"/>
          <w:szCs w:val="16"/>
        </w:rPr>
        <w:t>"...недостаточная манев</w:t>
      </w:r>
      <w:r w:rsidRPr="00F90EAE">
        <w:rPr>
          <w:iCs/>
          <w:color w:val="000000" w:themeColor="text1"/>
          <w:sz w:val="16"/>
          <w:szCs w:val="16"/>
        </w:rPr>
        <w:softHyphen/>
        <w:t>ренность Ил-8 ограничивает ведение</w:t>
      </w:r>
    </w:p>
    <w:p w14:paraId="4EF8BD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огня в воздушном бою из передних огневых точек по истребителю".</w:t>
      </w:r>
    </w:p>
    <w:p w14:paraId="3790B3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вариант Ил-8-го в срав</w:t>
      </w:r>
      <w:r w:rsidRPr="00F90EAE">
        <w:rPr>
          <w:color w:val="000000" w:themeColor="text1"/>
          <w:sz w:val="16"/>
          <w:szCs w:val="16"/>
        </w:rPr>
        <w:softHyphen/>
        <w:t>нении с Ил-АМ-42 имел более раз</w:t>
      </w:r>
      <w:r w:rsidRPr="00F90EAE">
        <w:rPr>
          <w:color w:val="000000" w:themeColor="text1"/>
          <w:sz w:val="16"/>
          <w:szCs w:val="16"/>
        </w:rPr>
        <w:softHyphen/>
        <w:t>нообразное оборудование. В част</w:t>
      </w:r>
      <w:r w:rsidRPr="00F90EAE">
        <w:rPr>
          <w:color w:val="000000" w:themeColor="text1"/>
          <w:sz w:val="16"/>
          <w:szCs w:val="16"/>
        </w:rPr>
        <w:softHyphen/>
        <w:t>ности, самолет снабжался радиопе</w:t>
      </w:r>
      <w:r w:rsidRPr="00F90EAE">
        <w:rPr>
          <w:color w:val="000000" w:themeColor="text1"/>
          <w:sz w:val="16"/>
          <w:szCs w:val="16"/>
        </w:rPr>
        <w:softHyphen/>
        <w:t>редатчиком РСИ-ЗМГ и радиоприем</w:t>
      </w:r>
      <w:r w:rsidRPr="00F90EAE">
        <w:rPr>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453C09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работы радио-и спецоборудования устанавливались две антенны: одна для СЧ-3, а дру</w:t>
      </w:r>
      <w:r w:rsidRPr="00F90EAE">
        <w:rPr>
          <w:color w:val="000000" w:themeColor="text1"/>
          <w:sz w:val="16"/>
          <w:szCs w:val="16"/>
        </w:rPr>
        <w:softHyphen/>
        <w:t>гая — для связной радиостанции и РПКО.</w:t>
      </w:r>
    </w:p>
    <w:p w14:paraId="2B4E4C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результатов бомбо</w:t>
      </w:r>
      <w:r w:rsidRPr="00F90EAE">
        <w:rPr>
          <w:color w:val="000000" w:themeColor="text1"/>
          <w:sz w:val="16"/>
          <w:szCs w:val="16"/>
        </w:rPr>
        <w:softHyphen/>
        <w:t>метания, а также проведение пла</w:t>
      </w:r>
      <w:r w:rsidRPr="00F90EAE">
        <w:rPr>
          <w:color w:val="000000" w:themeColor="text1"/>
          <w:sz w:val="16"/>
          <w:szCs w:val="16"/>
        </w:rPr>
        <w:softHyphen/>
        <w:t>новой аэрофотосъемки и съемки на</w:t>
      </w:r>
      <w:r w:rsidRPr="00F90EAE">
        <w:rPr>
          <w:color w:val="000000" w:themeColor="text1"/>
          <w:sz w:val="16"/>
          <w:szCs w:val="16"/>
        </w:rPr>
        <w:softHyphen/>
        <w:t>зад под углами 25° и 50° обеспечи</w:t>
      </w:r>
      <w:r w:rsidRPr="00F90EAE">
        <w:rPr>
          <w:color w:val="000000" w:themeColor="text1"/>
          <w:sz w:val="16"/>
          <w:szCs w:val="16"/>
        </w:rPr>
        <w:softHyphen/>
        <w:t>вался фотоаппаратом АФА-ИМ.</w:t>
      </w:r>
    </w:p>
    <w:p w14:paraId="75EA4C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Предъявляя Ил-8 на испытания, Ильюшин предусмотрел вариант уси</w:t>
      </w:r>
      <w:r w:rsidRPr="00F90EAE">
        <w:rPr>
          <w:color w:val="000000" w:themeColor="text1"/>
          <w:sz w:val="16"/>
          <w:szCs w:val="16"/>
        </w:rPr>
        <w:softHyphen/>
        <w:t>ления бронирования самолета в слу</w:t>
      </w:r>
      <w:r w:rsidRPr="00F90EAE">
        <w:rPr>
          <w:color w:val="000000" w:themeColor="text1"/>
          <w:sz w:val="16"/>
          <w:szCs w:val="16"/>
        </w:rPr>
        <w:softHyphen/>
        <w:t>чае его запуска в серийное произ</w:t>
      </w:r>
      <w:r w:rsidRPr="00F90EAE">
        <w:rPr>
          <w:color w:val="000000" w:themeColor="text1"/>
          <w:sz w:val="16"/>
          <w:szCs w:val="16"/>
        </w:rPr>
        <w:softHyphen/>
        <w:t>водство, что и было отражено в от</w:t>
      </w:r>
      <w:r w:rsidRPr="00F90EAE">
        <w:rPr>
          <w:color w:val="000000" w:themeColor="text1"/>
          <w:sz w:val="16"/>
          <w:szCs w:val="16"/>
        </w:rPr>
        <w:softHyphen/>
        <w:t>чете по испытаниям.</w:t>
      </w:r>
    </w:p>
    <w:p w14:paraId="387D4F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F90EAE">
        <w:rPr>
          <w:color w:val="000000" w:themeColor="text1"/>
          <w:sz w:val="16"/>
          <w:szCs w:val="16"/>
        </w:rPr>
        <w:softHyphen/>
        <w:t>зали полигонные испытания, оказа</w:t>
      </w:r>
      <w:r w:rsidRPr="00F90EAE">
        <w:rPr>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F90EAE">
        <w:rPr>
          <w:color w:val="000000" w:themeColor="text1"/>
          <w:sz w:val="16"/>
          <w:szCs w:val="16"/>
        </w:rPr>
        <w:softHyphen/>
        <w:t>новка нового бронекорпуса увеличи</w:t>
      </w:r>
      <w:r w:rsidRPr="00F90EAE">
        <w:rPr>
          <w:color w:val="000000" w:themeColor="text1"/>
          <w:sz w:val="16"/>
          <w:szCs w:val="16"/>
        </w:rPr>
        <w:softHyphen/>
        <w:t>вала вес пустого самолета на 63 кг.</w:t>
      </w:r>
    </w:p>
    <w:p w14:paraId="3A6890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заключение отчета самолет ре</w:t>
      </w:r>
      <w:r w:rsidRPr="00F90EAE">
        <w:rPr>
          <w:color w:val="000000" w:themeColor="text1"/>
          <w:sz w:val="16"/>
          <w:szCs w:val="16"/>
        </w:rPr>
        <w:softHyphen/>
        <w:t xml:space="preserve">комендовался </w:t>
      </w:r>
      <w:r w:rsidRPr="00F90EAE">
        <w:rPr>
          <w:iCs/>
          <w:color w:val="000000" w:themeColor="text1"/>
          <w:sz w:val="16"/>
          <w:szCs w:val="16"/>
        </w:rPr>
        <w:t>"к внедрению в серий</w:t>
      </w:r>
      <w:r w:rsidRPr="00F90EAE">
        <w:rPr>
          <w:iCs/>
          <w:color w:val="000000" w:themeColor="text1"/>
          <w:sz w:val="16"/>
          <w:szCs w:val="16"/>
        </w:rPr>
        <w:softHyphen/>
        <w:t>ное производство в качестве штур</w:t>
      </w:r>
      <w:r w:rsidRPr="00F90EAE">
        <w:rPr>
          <w:iCs/>
          <w:color w:val="000000" w:themeColor="text1"/>
          <w:sz w:val="16"/>
          <w:szCs w:val="16"/>
        </w:rPr>
        <w:softHyphen/>
        <w:t xml:space="preserve">мовика - бомбардировщика". </w:t>
      </w:r>
      <w:r w:rsidRPr="00F90EAE">
        <w:rPr>
          <w:color w:val="000000" w:themeColor="text1"/>
          <w:sz w:val="16"/>
          <w:szCs w:val="16"/>
        </w:rPr>
        <w:t>Одна</w:t>
      </w:r>
      <w:r w:rsidRPr="00F90EAE">
        <w:rPr>
          <w:color w:val="000000" w:themeColor="text1"/>
          <w:sz w:val="16"/>
          <w:szCs w:val="16"/>
        </w:rPr>
        <w:softHyphen/>
        <w:t>ко окончательное решение о целе</w:t>
      </w:r>
      <w:r w:rsidRPr="00F90EAE">
        <w:rPr>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F90EAE">
        <w:rPr>
          <w:color w:val="000000" w:themeColor="text1"/>
          <w:sz w:val="16"/>
          <w:szCs w:val="16"/>
        </w:rPr>
        <w:softHyphen/>
        <w:t>ных государственных испытаний. Акт по испытаниям был подписан началь</w:t>
      </w:r>
      <w:r w:rsidRPr="00F90EAE">
        <w:rPr>
          <w:color w:val="000000" w:themeColor="text1"/>
          <w:sz w:val="16"/>
          <w:szCs w:val="16"/>
        </w:rPr>
        <w:softHyphen/>
        <w:t>ником 1-го управления НИИ ВВС генералом Сафроновым 22 июля 1945 г. (11431).</w:t>
      </w:r>
    </w:p>
    <w:p w14:paraId="5871CB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моменту начала государствен</w:t>
      </w:r>
      <w:r w:rsidRPr="00F90EAE">
        <w:rPr>
          <w:color w:val="000000" w:themeColor="text1"/>
          <w:sz w:val="16"/>
          <w:szCs w:val="16"/>
        </w:rPr>
        <w:softHyphen/>
        <w:t>ных летных испытаний опытной "восьмерки" из действующей армии пришли неутешительные вести о низ</w:t>
      </w:r>
      <w:r w:rsidRPr="00F90EAE">
        <w:rPr>
          <w:color w:val="000000" w:themeColor="text1"/>
          <w:sz w:val="16"/>
          <w:szCs w:val="16"/>
        </w:rPr>
        <w:softHyphen/>
        <w:t>кой эксплуатационной надежности самолета Ил-10 и мотора АМ-42 в боевых условиях.</w:t>
      </w:r>
    </w:p>
    <w:p w14:paraId="20ABE8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известно, 108-й гвардейский и 571-й штурмовые авиаполки, пер</w:t>
      </w:r>
      <w:r w:rsidRPr="00F90EAE">
        <w:rPr>
          <w:color w:val="000000" w:themeColor="text1"/>
          <w:sz w:val="16"/>
          <w:szCs w:val="16"/>
        </w:rPr>
        <w:softHyphen/>
        <w:t>выми применившие новый штурмовик на фронте, менее чем за три недели боев фактически утратили боеспо</w:t>
      </w:r>
      <w:r w:rsidRPr="00F90EAE">
        <w:rPr>
          <w:color w:val="000000" w:themeColor="text1"/>
          <w:sz w:val="16"/>
          <w:szCs w:val="16"/>
        </w:rPr>
        <w:softHyphen/>
        <w:t>собность по причине серьезных де</w:t>
      </w:r>
      <w:r w:rsidRPr="00F90EAE">
        <w:rPr>
          <w:color w:val="000000" w:themeColor="text1"/>
          <w:sz w:val="16"/>
          <w:szCs w:val="16"/>
        </w:rPr>
        <w:softHyphen/>
        <w:t>фектов и недостатков винтомоторной группы и самого самолета.</w:t>
      </w:r>
    </w:p>
    <w:p w14:paraId="7DF222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Так, в 571-м </w:t>
      </w:r>
      <w:r w:rsidRPr="00F90EAE">
        <w:rPr>
          <w:iCs/>
          <w:color w:val="000000" w:themeColor="text1"/>
          <w:sz w:val="16"/>
          <w:szCs w:val="16"/>
        </w:rPr>
        <w:t xml:space="preserve">шап </w:t>
      </w:r>
      <w:r w:rsidRPr="00F90EAE">
        <w:rPr>
          <w:color w:val="000000" w:themeColor="text1"/>
          <w:sz w:val="16"/>
          <w:szCs w:val="16"/>
        </w:rPr>
        <w:t xml:space="preserve">к исходу 8 мая </w:t>
      </w:r>
      <w:r w:rsidRPr="00F90EAE">
        <w:rPr>
          <w:iCs/>
          <w:color w:val="000000" w:themeColor="text1"/>
          <w:sz w:val="16"/>
          <w:szCs w:val="16"/>
        </w:rPr>
        <w:t>"по причине производственно-конст</w:t>
      </w:r>
      <w:r w:rsidRPr="00F90EAE">
        <w:rPr>
          <w:iCs/>
          <w:color w:val="000000" w:themeColor="text1"/>
          <w:sz w:val="16"/>
          <w:szCs w:val="16"/>
        </w:rPr>
        <w:softHyphen/>
        <w:t xml:space="preserve">руктивных дефектов" </w:t>
      </w:r>
      <w:r w:rsidRPr="00F90EAE">
        <w:rPr>
          <w:color w:val="000000" w:themeColor="text1"/>
          <w:sz w:val="16"/>
          <w:szCs w:val="16"/>
        </w:rPr>
        <w:t>из строя выш</w:t>
      </w:r>
      <w:r w:rsidRPr="00F90EAE">
        <w:rPr>
          <w:color w:val="000000" w:themeColor="text1"/>
          <w:sz w:val="16"/>
          <w:szCs w:val="16"/>
        </w:rPr>
        <w:softHyphen/>
        <w:t>ло 13 машин — свыше 40% боевого состава к началу боевых действий. Позже выяснилось, что еще на 6 самолетах летать опасно. Как ука</w:t>
      </w:r>
      <w:r w:rsidRPr="00F90EAE">
        <w:rPr>
          <w:color w:val="000000" w:themeColor="text1"/>
          <w:sz w:val="16"/>
          <w:szCs w:val="16"/>
        </w:rPr>
        <w:softHyphen/>
        <w:t>зывалось в отчете ст. инженера пол</w:t>
      </w:r>
      <w:r w:rsidRPr="00F90EAE">
        <w:rPr>
          <w:color w:val="000000" w:themeColor="text1"/>
          <w:sz w:val="16"/>
          <w:szCs w:val="16"/>
        </w:rPr>
        <w:softHyphen/>
        <w:t xml:space="preserve">ка м-ра Жиленкова, </w:t>
      </w:r>
      <w:r w:rsidRPr="00F90EAE">
        <w:rPr>
          <w:iCs/>
          <w:color w:val="000000" w:themeColor="text1"/>
          <w:sz w:val="16"/>
          <w:szCs w:val="16"/>
        </w:rPr>
        <w:t>"для восстанов</w:t>
      </w:r>
      <w:r w:rsidRPr="00F90EAE">
        <w:rPr>
          <w:iCs/>
          <w:color w:val="000000" w:themeColor="text1"/>
          <w:sz w:val="16"/>
          <w:szCs w:val="16"/>
        </w:rPr>
        <w:softHyphen/>
        <w:t>ления всех самолетов полку требу</w:t>
      </w:r>
      <w:r w:rsidRPr="00F90EAE">
        <w:rPr>
          <w:iCs/>
          <w:color w:val="000000" w:themeColor="text1"/>
          <w:sz w:val="16"/>
          <w:szCs w:val="16"/>
        </w:rPr>
        <w:softHyphen/>
        <w:t>ется 14 моторов АМ-42 и 18 нагне</w:t>
      </w:r>
      <w:r w:rsidRPr="00F90EAE">
        <w:rPr>
          <w:iCs/>
          <w:color w:val="000000" w:themeColor="text1"/>
          <w:sz w:val="16"/>
          <w:szCs w:val="16"/>
        </w:rPr>
        <w:softHyphen/>
        <w:t xml:space="preserve">тателей". </w:t>
      </w:r>
      <w:r w:rsidRPr="00F90EAE">
        <w:rPr>
          <w:color w:val="000000" w:themeColor="text1"/>
          <w:sz w:val="16"/>
          <w:szCs w:val="16"/>
        </w:rPr>
        <w:t xml:space="preserve">В 108-м гвардейском </w:t>
      </w:r>
      <w:r w:rsidRPr="00F90EAE">
        <w:rPr>
          <w:iCs/>
          <w:color w:val="000000" w:themeColor="text1"/>
          <w:sz w:val="16"/>
          <w:szCs w:val="16"/>
        </w:rPr>
        <w:t xml:space="preserve">шап </w:t>
      </w:r>
      <w:r w:rsidRPr="00F90EAE">
        <w:rPr>
          <w:color w:val="000000" w:themeColor="text1"/>
          <w:sz w:val="16"/>
          <w:szCs w:val="16"/>
        </w:rPr>
        <w:t>картина была такая же. К вечеру 30 апреля в полку насчитывалось всего 11 боеспособных самолетов. Осталь</w:t>
      </w:r>
      <w:r w:rsidRPr="00F90EAE">
        <w:rPr>
          <w:color w:val="000000" w:themeColor="text1"/>
          <w:sz w:val="16"/>
          <w:szCs w:val="16"/>
        </w:rPr>
        <w:softHyphen/>
        <w:t>ные 18 "десяток" требовали ремон</w:t>
      </w:r>
      <w:r w:rsidRPr="00F90EAE">
        <w:rPr>
          <w:color w:val="000000" w:themeColor="text1"/>
          <w:sz w:val="16"/>
          <w:szCs w:val="16"/>
        </w:rPr>
        <w:softHyphen/>
        <w:t>та. Еще одна неделя боев, и летать было бы не на чем.</w:t>
      </w:r>
    </w:p>
    <w:p w14:paraId="4D2531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тылу положение дел было не лучше. Например, в двух дивизиях 7-го </w:t>
      </w:r>
      <w:r w:rsidRPr="00F90EAE">
        <w:rPr>
          <w:iCs/>
          <w:color w:val="000000" w:themeColor="text1"/>
          <w:sz w:val="16"/>
          <w:szCs w:val="16"/>
        </w:rPr>
        <w:t xml:space="preserve">шак, </w:t>
      </w:r>
      <w:r w:rsidRPr="00F90EAE">
        <w:rPr>
          <w:color w:val="000000" w:themeColor="text1"/>
          <w:sz w:val="16"/>
          <w:szCs w:val="16"/>
        </w:rPr>
        <w:t>первого соединения ВВС КА, полностью перевооруженного на Ил-10, по состоянию на 11 июня 1945 г. насчитывалось 74,7% боего-товых самолетов, остальные были не</w:t>
      </w:r>
      <w:r w:rsidRPr="00F90EAE">
        <w:rPr>
          <w:color w:val="000000" w:themeColor="text1"/>
          <w:sz w:val="16"/>
          <w:szCs w:val="16"/>
        </w:rPr>
        <w:softHyphen/>
        <w:t>исправными.</w:t>
      </w:r>
    </w:p>
    <w:p w14:paraId="26F45B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w:t>
      </w:r>
      <w:r w:rsidRPr="00F90EAE">
        <w:rPr>
          <w:color w:val="000000" w:themeColor="text1"/>
          <w:sz w:val="16"/>
          <w:szCs w:val="16"/>
        </w:rPr>
        <w:softHyphen/>
        <w:t>мации верхней и нижней обшивки консольной части крыла, срез и от</w:t>
      </w:r>
      <w:r w:rsidRPr="00F90EAE">
        <w:rPr>
          <w:color w:val="000000" w:themeColor="text1"/>
          <w:sz w:val="16"/>
          <w:szCs w:val="16"/>
        </w:rPr>
        <w:softHyphen/>
        <w:t>рыв заклепок. На некоторых маши</w:t>
      </w:r>
      <w:r w:rsidRPr="00F90EAE">
        <w:rPr>
          <w:color w:val="000000" w:themeColor="text1"/>
          <w:sz w:val="16"/>
          <w:szCs w:val="16"/>
        </w:rPr>
        <w:softHyphen/>
        <w:t>нах наблюдалось отставание листов нижней обшивки центроплана, со</w:t>
      </w:r>
      <w:r w:rsidRPr="00F90EAE">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F90EAE">
        <w:rPr>
          <w:color w:val="000000" w:themeColor="text1"/>
          <w:sz w:val="16"/>
          <w:szCs w:val="16"/>
        </w:rPr>
        <w:softHyphen/>
        <w:t>лабления заклепочных швов обшив</w:t>
      </w:r>
      <w:r w:rsidRPr="00F90EAE">
        <w:rPr>
          <w:color w:val="000000" w:themeColor="text1"/>
          <w:sz w:val="16"/>
          <w:szCs w:val="16"/>
        </w:rPr>
        <w:softHyphen/>
        <w:t>ки фюзеляжа в области крепления костыльной установки, а также по листу перехода килевой части фю</w:t>
      </w:r>
      <w:r w:rsidRPr="00F90EAE">
        <w:rPr>
          <w:color w:val="000000" w:themeColor="text1"/>
          <w:sz w:val="16"/>
          <w:szCs w:val="16"/>
        </w:rPr>
        <w:softHyphen/>
        <w:t>зеляжа. Система шасси оказалась довольно слабой в прочностном от</w:t>
      </w:r>
      <w:r w:rsidRPr="00F90EAE">
        <w:rPr>
          <w:color w:val="000000" w:themeColor="text1"/>
          <w:sz w:val="16"/>
          <w:szCs w:val="16"/>
        </w:rPr>
        <w:softHyphen/>
        <w:t>ношении и ненадежной: ломались складывающиеся подкосы шасси и обтекатели хвостового колеса, на</w:t>
      </w:r>
      <w:r w:rsidRPr="00F90EAE">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076998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Много проблем было и с воору</w:t>
      </w:r>
      <w:r w:rsidRPr="00F90EAE">
        <w:rPr>
          <w:color w:val="000000" w:themeColor="text1"/>
          <w:sz w:val="16"/>
          <w:szCs w:val="16"/>
        </w:rPr>
        <w:softHyphen/>
        <w:t>жением. Постоянно рвались и зае</w:t>
      </w:r>
      <w:r w:rsidRPr="00F90EAE">
        <w:rPr>
          <w:color w:val="000000" w:themeColor="text1"/>
          <w:sz w:val="16"/>
          <w:szCs w:val="16"/>
        </w:rPr>
        <w:softHyphen/>
        <w:t>дали троса бомболюков, створки бомболюков деформировались при загрузке мелких бомб и поврежда</w:t>
      </w:r>
      <w:r w:rsidRPr="00F90EAE">
        <w:rPr>
          <w:color w:val="000000" w:themeColor="text1"/>
          <w:sz w:val="16"/>
          <w:szCs w:val="16"/>
        </w:rPr>
        <w:softHyphen/>
        <w:t>лись при сбросе бомб крупного ка</w:t>
      </w:r>
      <w:r w:rsidRPr="00F90EAE">
        <w:rPr>
          <w:color w:val="000000" w:themeColor="text1"/>
          <w:sz w:val="16"/>
          <w:szCs w:val="16"/>
        </w:rPr>
        <w:softHyphen/>
        <w:t>либра. Все это приводило к тому, что</w:t>
      </w:r>
    </w:p>
    <w:p w14:paraId="7900C4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 целью экипажи после сброса бомб зачастую продолжали выпол</w:t>
      </w:r>
      <w:r w:rsidRPr="00F90EAE">
        <w:rPr>
          <w:color w:val="000000" w:themeColor="text1"/>
          <w:sz w:val="16"/>
          <w:szCs w:val="16"/>
        </w:rPr>
        <w:softHyphen/>
        <w:t xml:space="preserve">нять атаки с открытыми бомболюка-ми. В результате </w:t>
      </w:r>
      <w:r w:rsidRPr="00F90EAE">
        <w:rPr>
          <w:iCs/>
          <w:color w:val="000000" w:themeColor="text1"/>
          <w:sz w:val="16"/>
          <w:szCs w:val="16"/>
        </w:rPr>
        <w:t xml:space="preserve">"самолет терял в маневренности". </w:t>
      </w:r>
      <w:r w:rsidRPr="00F90EAE">
        <w:rPr>
          <w:color w:val="000000" w:themeColor="text1"/>
          <w:sz w:val="16"/>
          <w:szCs w:val="16"/>
        </w:rPr>
        <w:t>Кроме этого, име</w:t>
      </w:r>
      <w:r w:rsidRPr="00F90EAE">
        <w:rPr>
          <w:color w:val="000000" w:themeColor="text1"/>
          <w:sz w:val="16"/>
          <w:szCs w:val="16"/>
        </w:rPr>
        <w:softHyphen/>
        <w:t>лись случаи, когда створки бомбо</w:t>
      </w:r>
      <w:r w:rsidRPr="00F90EAE">
        <w:rPr>
          <w:color w:val="000000" w:themeColor="text1"/>
          <w:sz w:val="16"/>
          <w:szCs w:val="16"/>
        </w:rPr>
        <w:softHyphen/>
        <w:t>вых отсеков открывались не полнос</w:t>
      </w:r>
      <w:r w:rsidRPr="00F90EAE">
        <w:rPr>
          <w:color w:val="000000" w:themeColor="text1"/>
          <w:sz w:val="16"/>
          <w:szCs w:val="16"/>
        </w:rPr>
        <w:softHyphen/>
        <w:t>тью и бомбы зависали.</w:t>
      </w:r>
    </w:p>
    <w:p w14:paraId="2D71EE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Специальная комиссия ВВС в се</w:t>
      </w:r>
      <w:r w:rsidRPr="00F90EAE">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06C53E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судя по до</w:t>
      </w:r>
      <w:r w:rsidRPr="00F90EAE">
        <w:rPr>
          <w:color w:val="000000" w:themeColor="text1"/>
          <w:sz w:val="16"/>
          <w:szCs w:val="16"/>
        </w:rPr>
        <w:softHyphen/>
        <w:t>кументам, недостатки и дефекты мо</w:t>
      </w:r>
      <w:r w:rsidRPr="00F90EAE">
        <w:rPr>
          <w:color w:val="000000" w:themeColor="text1"/>
          <w:sz w:val="16"/>
          <w:szCs w:val="16"/>
        </w:rPr>
        <w:softHyphen/>
        <w:t>тора АМ-42 обуславливались не только объективными трудностями, но также и "особым" отношением мо</w:t>
      </w:r>
      <w:r w:rsidRPr="00F90EAE">
        <w:rPr>
          <w:color w:val="000000" w:themeColor="text1"/>
          <w:sz w:val="16"/>
          <w:szCs w:val="16"/>
        </w:rPr>
        <w:softHyphen/>
        <w:t>тористов к вопросу выяснения истин</w:t>
      </w:r>
      <w:r w:rsidRPr="00F90EAE">
        <w:rPr>
          <w:color w:val="000000" w:themeColor="text1"/>
          <w:sz w:val="16"/>
          <w:szCs w:val="16"/>
        </w:rPr>
        <w:softHyphen/>
        <w:t xml:space="preserve">ных причин </w:t>
      </w:r>
      <w:r w:rsidRPr="00F90EAE">
        <w:rPr>
          <w:iCs/>
          <w:color w:val="000000" w:themeColor="text1"/>
          <w:sz w:val="16"/>
          <w:szCs w:val="16"/>
        </w:rPr>
        <w:t xml:space="preserve">"летных происшествий, происходящих по причине отказа моторов". </w:t>
      </w:r>
      <w:r w:rsidRPr="00F90EAE">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F90EAE">
        <w:rPr>
          <w:iCs/>
          <w:color w:val="000000" w:themeColor="text1"/>
          <w:sz w:val="16"/>
          <w:szCs w:val="16"/>
        </w:rPr>
        <w:t>"...представители завода запу</w:t>
      </w:r>
      <w:r w:rsidRPr="00F90EAE">
        <w:rPr>
          <w:iCs/>
          <w:color w:val="000000" w:themeColor="text1"/>
          <w:sz w:val="16"/>
          <w:szCs w:val="16"/>
        </w:rPr>
        <w:softHyphen/>
        <w:t>тывают расследования причин отка</w:t>
      </w:r>
      <w:r w:rsidRPr="00F90EAE">
        <w:rPr>
          <w:iCs/>
          <w:color w:val="000000" w:themeColor="text1"/>
          <w:sz w:val="16"/>
          <w:szCs w:val="16"/>
        </w:rPr>
        <w:softHyphen/>
        <w:t>зов моторов, а значит, стремятся за</w:t>
      </w:r>
      <w:r w:rsidRPr="00F90EAE">
        <w:rPr>
          <w:iCs/>
          <w:color w:val="000000" w:themeColor="text1"/>
          <w:sz w:val="16"/>
          <w:szCs w:val="16"/>
        </w:rPr>
        <w:softHyphen/>
        <w:t>мазать их. Расследования затягива</w:t>
      </w:r>
      <w:r w:rsidRPr="00F90EAE">
        <w:rPr>
          <w:iCs/>
          <w:color w:val="000000" w:themeColor="text1"/>
          <w:sz w:val="16"/>
          <w:szCs w:val="16"/>
        </w:rPr>
        <w:softHyphen/>
        <w:t>ются на полгода и более. Такое "рас</w:t>
      </w:r>
      <w:r w:rsidRPr="00F90EAE">
        <w:rPr>
          <w:iCs/>
          <w:color w:val="000000" w:themeColor="text1"/>
          <w:sz w:val="16"/>
          <w:szCs w:val="16"/>
        </w:rPr>
        <w:softHyphen/>
        <w:t>следование" не может предупредить вовремя повторение летных проис</w:t>
      </w:r>
      <w:r w:rsidRPr="00F90EAE">
        <w:rPr>
          <w:iCs/>
          <w:color w:val="000000" w:themeColor="text1"/>
          <w:sz w:val="16"/>
          <w:szCs w:val="16"/>
        </w:rPr>
        <w:softHyphen/>
        <w:t>шествий по тем же причинам. Завя</w:t>
      </w:r>
      <w:r w:rsidRPr="00F90EAE">
        <w:rPr>
          <w:iCs/>
          <w:color w:val="000000" w:themeColor="text1"/>
          <w:sz w:val="16"/>
          <w:szCs w:val="16"/>
        </w:rPr>
        <w:softHyphen/>
        <w:t>зывается бессмысленная переписка, в результате которой все же Вам при</w:t>
      </w:r>
      <w:r w:rsidRPr="00F90EAE">
        <w:rPr>
          <w:iCs/>
          <w:color w:val="000000" w:themeColor="text1"/>
          <w:sz w:val="16"/>
          <w:szCs w:val="16"/>
        </w:rPr>
        <w:softHyphen/>
        <w:t>ходиться признавать вину за заво</w:t>
      </w:r>
      <w:r w:rsidRPr="00F90EAE">
        <w:rPr>
          <w:iCs/>
          <w:color w:val="000000" w:themeColor="text1"/>
          <w:sz w:val="16"/>
          <w:szCs w:val="16"/>
        </w:rPr>
        <w:softHyphen/>
        <w:t>дом. Нелогичность "особых" мнений и отсутствие в них обоснования го</w:t>
      </w:r>
      <w:r w:rsidRPr="00F90EAE">
        <w:rPr>
          <w:iCs/>
          <w:color w:val="000000" w:themeColor="text1"/>
          <w:sz w:val="16"/>
          <w:szCs w:val="16"/>
        </w:rPr>
        <w:softHyphen/>
        <w:t>ворит о чрезвычайно низкой техни</w:t>
      </w:r>
      <w:r w:rsidRPr="00F90EAE">
        <w:rPr>
          <w:iCs/>
          <w:color w:val="000000" w:themeColor="text1"/>
          <w:sz w:val="16"/>
          <w:szCs w:val="16"/>
        </w:rPr>
        <w:softHyphen/>
        <w:t>ческой грамотности представителей завода, работающих в бригаде..."</w:t>
      </w:r>
    </w:p>
    <w:p w14:paraId="5803A0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Забегая вперед, укажем, что до</w:t>
      </w:r>
      <w:r w:rsidRPr="00F90EAE">
        <w:rPr>
          <w:color w:val="000000" w:themeColor="text1"/>
          <w:sz w:val="16"/>
          <w:szCs w:val="16"/>
        </w:rPr>
        <w:softHyphen/>
        <w:t>водка АМ-42 затянулась фактически до середины 1947 г., когда были вне</w:t>
      </w:r>
      <w:r w:rsidRPr="00F90EAE">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F90EAE">
        <w:rPr>
          <w:color w:val="000000" w:themeColor="text1"/>
          <w:sz w:val="16"/>
          <w:szCs w:val="16"/>
        </w:rPr>
        <w:softHyphen/>
        <w:t>мени, недостаточная его надежность определяла и довольно высокую ава</w:t>
      </w:r>
      <w:r w:rsidRPr="00F90EAE">
        <w:rPr>
          <w:color w:val="000000" w:themeColor="text1"/>
          <w:sz w:val="16"/>
          <w:szCs w:val="16"/>
        </w:rPr>
        <w:softHyphen/>
        <w:t xml:space="preserve">рийность в частях ВВС. Например, в феврале-марте 1946 г. в частях 10-й </w:t>
      </w:r>
      <w:r w:rsidRPr="00F90EAE">
        <w:rPr>
          <w:iCs/>
          <w:color w:val="000000" w:themeColor="text1"/>
          <w:sz w:val="16"/>
          <w:szCs w:val="16"/>
        </w:rPr>
        <w:t xml:space="preserve">гшад </w:t>
      </w:r>
      <w:r w:rsidRPr="00F90EAE">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1E30A3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проблем с мотором, се</w:t>
      </w:r>
      <w:r w:rsidRPr="00F90EAE">
        <w:rPr>
          <w:color w:val="000000" w:themeColor="text1"/>
          <w:sz w:val="16"/>
          <w:szCs w:val="16"/>
        </w:rPr>
        <w:softHyphen/>
        <w:t>рийные Ил-10 характеризовались и пониженными летными данными в сравнении с опытной машиной. Ут</w:t>
      </w:r>
      <w:r w:rsidRPr="00F90EAE">
        <w:rPr>
          <w:color w:val="000000" w:themeColor="text1"/>
          <w:sz w:val="16"/>
          <w:szCs w:val="16"/>
        </w:rPr>
        <w:softHyphen/>
        <w:t>вержденные на совместном совеща</w:t>
      </w:r>
      <w:r w:rsidRPr="00F90EAE">
        <w:rPr>
          <w:color w:val="000000" w:themeColor="text1"/>
          <w:sz w:val="16"/>
          <w:szCs w:val="16"/>
        </w:rPr>
        <w:softHyphen/>
        <w:t>нии ВВС и НКАП в январе 1945 г. технические условия на самолет Ил-10 оказались для заводов высокими.</w:t>
      </w:r>
    </w:p>
    <w:p w14:paraId="4AEE89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3C1302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056F4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г. на госиспытания удалось предъявить обновленный Ил-8. К этому времени Ил-8 был кардинально переделан. По образцу Ил-10 была выполнена система продува водо- и маслорадиаторов, изменена схема бронирования, шасси стали одностоечным, установлено новые крыло, оперение, воздушный винт, доработаны элероны, рули высоты и направления, внесены изменения в состав оборудования согласно требованиям ВВС. Фактически строился новый самолет с тем же обозначением.Интереса у военных самолет не вызвал (12020).</w:t>
      </w:r>
    </w:p>
    <w:p w14:paraId="62F970A6" w14:textId="77777777" w:rsidR="00665165" w:rsidRPr="00F90EAE" w:rsidRDefault="00665165" w:rsidP="00F90EAE">
      <w:pPr>
        <w:autoSpaceDE w:val="0"/>
        <w:autoSpaceDN w:val="0"/>
        <w:adjustRightInd w:val="0"/>
        <w:jc w:val="both"/>
        <w:rPr>
          <w:color w:val="000000" w:themeColor="text1"/>
          <w:sz w:val="16"/>
          <w:szCs w:val="16"/>
        </w:rPr>
      </w:pPr>
    </w:p>
    <w:p w14:paraId="166381E6"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14 мая 1945 года Ил-8 № 1 официально был подан на госиспытания.</w:t>
      </w:r>
    </w:p>
    <w:p w14:paraId="027B161F" w14:textId="77777777" w:rsidR="00ED23B9" w:rsidRPr="00F90EAE" w:rsidRDefault="00ED23B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сопроводительном письме начальнику 3-го отделения института генерал-майору Сафронову Ильюшин указывал: «Направляю в Ваше распоряжение для производства государственных испытаний самолет бронированный штурмовик Ил-8 АМ-42.</w:t>
      </w:r>
    </w:p>
    <w:p w14:paraId="470C5444"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Полеты по программе государственных испытаний начались лишь 27 мая.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3F09869A"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6B7DA0E1"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4D91B6E6"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6A226367"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444C5C0E" w14:textId="77777777" w:rsidR="00ED23B9" w:rsidRPr="00F90EAE" w:rsidRDefault="00ED23B9"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407465AB"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4C6D3021"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3DC481E"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4C7707B"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7232E065"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24D767FF"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76BD6B4A"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5BC9E4ED"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6B60396D"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658808ED"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2ECB4F87" w14:textId="77777777" w:rsidR="00ED23B9" w:rsidRPr="00F90EAE" w:rsidRDefault="00ED23B9"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 (17490).</w:t>
      </w:r>
    </w:p>
    <w:p w14:paraId="48B6C94E" w14:textId="77777777" w:rsidR="00ED23B9" w:rsidRPr="00F90EAE" w:rsidRDefault="00ED23B9" w:rsidP="00F90EAE">
      <w:pPr>
        <w:jc w:val="both"/>
        <w:rPr>
          <w:color w:val="000000" w:themeColor="text1"/>
          <w:sz w:val="16"/>
          <w:szCs w:val="16"/>
        </w:rPr>
      </w:pPr>
    </w:p>
    <w:p w14:paraId="27559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года Шахурин писал письмо N Н-32/2176 зам. командующего ВВС маршалу авиации Фалалееву Ф.Я. и чл. военсовета ВВС генерал-полковнику авиации Шиманову Н.С.</w:t>
      </w:r>
    </w:p>
    <w:p w14:paraId="19C133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вопросу о дополнительном оборудовании самолетов командной радиостанцией, гл. конструкторам С.В.И. и Сухому дано указание об отработке установки радиостанции РСК-4 на самолетах Ил-4 и Ер-2 с передачей последних в ГК НИИ ВВС на испытания.</w:t>
      </w:r>
    </w:p>
    <w:p w14:paraId="23D7A6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Серийный выпуск самолетов Ил-4 и Ер-2 с данными радиостанциями будет начат в III квартале текущего года (1879,137).</w:t>
      </w:r>
    </w:p>
    <w:p w14:paraId="23296838" w14:textId="77777777" w:rsidR="00665165" w:rsidRPr="00F90EAE" w:rsidRDefault="00665165" w:rsidP="00F90EAE">
      <w:pPr>
        <w:autoSpaceDE w:val="0"/>
        <w:autoSpaceDN w:val="0"/>
        <w:adjustRightInd w:val="0"/>
        <w:jc w:val="both"/>
        <w:rPr>
          <w:color w:val="000000" w:themeColor="text1"/>
          <w:sz w:val="16"/>
          <w:szCs w:val="16"/>
        </w:rPr>
      </w:pPr>
    </w:p>
    <w:p w14:paraId="068FF0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года по просьбе главного конструктора радиатора Воронина были проведены испытания нового радиатора на Як-3Т.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21 мая, возвратив машину ОКБ-115 (12047).</w:t>
      </w:r>
    </w:p>
    <w:p w14:paraId="5B087040" w14:textId="77777777" w:rsidR="00665165" w:rsidRPr="00F90EAE" w:rsidRDefault="00665165" w:rsidP="00F90EAE">
      <w:pPr>
        <w:autoSpaceDE w:val="0"/>
        <w:autoSpaceDN w:val="0"/>
        <w:adjustRightInd w:val="0"/>
        <w:jc w:val="both"/>
        <w:rPr>
          <w:color w:val="000000" w:themeColor="text1"/>
          <w:sz w:val="16"/>
          <w:szCs w:val="16"/>
        </w:rPr>
      </w:pPr>
    </w:p>
    <w:p w14:paraId="6DC7267B" w14:textId="77777777" w:rsidR="000C795D" w:rsidRPr="00F90EAE" w:rsidRDefault="000C795D" w:rsidP="00F90EAE">
      <w:pPr>
        <w:jc w:val="both"/>
        <w:rPr>
          <w:color w:val="000000" w:themeColor="text1"/>
          <w:sz w:val="16"/>
          <w:szCs w:val="16"/>
        </w:rPr>
      </w:pPr>
      <w:r w:rsidRPr="00F90EAE">
        <w:rPr>
          <w:color w:val="000000" w:themeColor="text1"/>
          <w:sz w:val="16"/>
          <w:szCs w:val="16"/>
        </w:rPr>
        <w:t>14 мая 1945 полёты на Як-3 с ВК-105ПД и двухступенчатым нагнетателем Э-100, с передаточным числом 9,72с пришлось прекратить со</w:t>
      </w:r>
      <w:r w:rsidRPr="00F90EAE">
        <w:rPr>
          <w:color w:val="000000" w:themeColor="text1"/>
          <w:sz w:val="16"/>
          <w:szCs w:val="16"/>
        </w:rPr>
        <w:softHyphen/>
        <w:t>всем. Затем на тот же Як-3 установили мотор М-105ПВ с Э-100. В июне—июле 1945 г. он проходил испытания в ЛИИ. 6 июля 1945 г. лётчику И.И. Шунейко на Як-3 с М-105ПВ и Э-100 удалось достигнуть высоты 13300 м.</w:t>
      </w:r>
    </w:p>
    <w:p w14:paraId="0C1C37B8" w14:textId="77777777" w:rsidR="000C795D" w:rsidRPr="00F90EAE" w:rsidRDefault="000C795D" w:rsidP="00F90EAE">
      <w:pPr>
        <w:jc w:val="both"/>
        <w:rPr>
          <w:color w:val="000000" w:themeColor="text1"/>
          <w:sz w:val="16"/>
          <w:szCs w:val="16"/>
        </w:rPr>
      </w:pPr>
      <w:r w:rsidRPr="00F90EAE">
        <w:rPr>
          <w:color w:val="000000" w:themeColor="text1"/>
          <w:sz w:val="16"/>
          <w:szCs w:val="16"/>
        </w:rPr>
        <w:t>Ощущения И.И. Шунейко в том полёте очень образно описал И.И. Шелест:</w:t>
      </w:r>
    </w:p>
    <w:p w14:paraId="31924B36" w14:textId="77777777" w:rsidR="000C795D" w:rsidRPr="00F90EAE" w:rsidRDefault="000C795D" w:rsidP="00F90EAE">
      <w:pPr>
        <w:jc w:val="both"/>
        <w:rPr>
          <w:color w:val="000000" w:themeColor="text1"/>
          <w:sz w:val="16"/>
          <w:szCs w:val="16"/>
        </w:rPr>
      </w:pPr>
      <w:r w:rsidRPr="00F90EAE">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F90EAE">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545C2764" w14:textId="77777777" w:rsidR="000C795D" w:rsidRPr="00F90EAE" w:rsidRDefault="000C795D" w:rsidP="00F90EAE">
      <w:pPr>
        <w:jc w:val="both"/>
        <w:rPr>
          <w:color w:val="000000" w:themeColor="text1"/>
          <w:sz w:val="16"/>
          <w:szCs w:val="16"/>
        </w:rPr>
      </w:pPr>
      <w:r w:rsidRPr="00F90EAE">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F90EAE">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6E5FF9D2" w14:textId="77777777" w:rsidR="000C795D" w:rsidRPr="00F90EAE" w:rsidRDefault="000C795D" w:rsidP="00F90EAE">
      <w:pPr>
        <w:jc w:val="both"/>
        <w:rPr>
          <w:color w:val="000000" w:themeColor="text1"/>
          <w:sz w:val="16"/>
          <w:szCs w:val="16"/>
        </w:rPr>
      </w:pPr>
      <w:r w:rsidRPr="00F90EAE">
        <w:rPr>
          <w:color w:val="000000" w:themeColor="text1"/>
          <w:sz w:val="16"/>
          <w:szCs w:val="16"/>
        </w:rPr>
        <w:t>«Видно, это будет наш общий потолок — и мотора и мой, — продолжал свою заме</w:t>
      </w:r>
      <w:r w:rsidRPr="00F90EAE">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72FFECF7" w14:textId="77777777" w:rsidR="000C795D" w:rsidRPr="00F90EAE" w:rsidRDefault="000C795D" w:rsidP="00F90EAE">
      <w:pPr>
        <w:jc w:val="both"/>
        <w:rPr>
          <w:color w:val="000000" w:themeColor="text1"/>
          <w:sz w:val="16"/>
          <w:szCs w:val="16"/>
        </w:rPr>
      </w:pPr>
      <w:r w:rsidRPr="00F90EAE">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F90EAE">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F32AD59" w14:textId="77777777" w:rsidR="000C795D" w:rsidRPr="00F90EAE" w:rsidRDefault="000C795D" w:rsidP="00F90EAE">
      <w:pPr>
        <w:jc w:val="both"/>
        <w:rPr>
          <w:color w:val="000000" w:themeColor="text1"/>
          <w:sz w:val="16"/>
          <w:szCs w:val="16"/>
        </w:rPr>
      </w:pPr>
      <w:r w:rsidRPr="00F90EAE">
        <w:rPr>
          <w:color w:val="000000" w:themeColor="text1"/>
          <w:sz w:val="16"/>
          <w:szCs w:val="16"/>
        </w:rPr>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F90EAE">
        <w:rPr>
          <w:color w:val="000000" w:themeColor="text1"/>
          <w:sz w:val="16"/>
          <w:szCs w:val="16"/>
        </w:rPr>
        <w:softHyphen/>
        <w:t>лной грудью. И с этим вздохом в душу его влетела некая птица дотоле неведомой вели</w:t>
      </w:r>
      <w:r w:rsidRPr="00F90EAE">
        <w:rPr>
          <w:color w:val="000000" w:themeColor="text1"/>
          <w:sz w:val="16"/>
          <w:szCs w:val="16"/>
        </w:rPr>
        <w:softHyphen/>
        <w:t>кой радости. Он понял, что</w:t>
      </w:r>
      <w:r w:rsidRPr="00F90EAE">
        <w:rPr>
          <w:rStyle w:val="MSReferenceSansSerif85pt"/>
          <w:rFonts w:ascii="Times New Roman" w:hAnsi="Times New Roman" w:cs="Times New Roman"/>
          <w:b w:val="0"/>
          <w:i w:val="0"/>
          <w:color w:val="000000" w:themeColor="text1"/>
          <w:sz w:val="16"/>
          <w:szCs w:val="16"/>
        </w:rPr>
        <w:t xml:space="preserve"> этот день его.</w:t>
      </w:r>
      <w:r w:rsidRPr="00F90EAE">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363125A5" w14:textId="77777777" w:rsidR="000C795D" w:rsidRPr="00F90EAE" w:rsidRDefault="000C795D" w:rsidP="00F90EAE">
      <w:pPr>
        <w:jc w:val="both"/>
        <w:rPr>
          <w:color w:val="000000" w:themeColor="text1"/>
          <w:sz w:val="16"/>
          <w:szCs w:val="16"/>
        </w:rPr>
      </w:pPr>
      <w:r w:rsidRPr="00F90EAE">
        <w:rPr>
          <w:color w:val="000000" w:themeColor="text1"/>
          <w:sz w:val="16"/>
          <w:szCs w:val="16"/>
        </w:rPr>
        <w:t>Впоследствии начальник лётной части ЛИИ Даниил Степанович Зосим, сам инже</w:t>
      </w:r>
      <w:r w:rsidRPr="00F90EAE">
        <w:rPr>
          <w:color w:val="000000" w:themeColor="text1"/>
          <w:sz w:val="16"/>
          <w:szCs w:val="16"/>
        </w:rPr>
        <w:softHyphen/>
        <w:t>нер-лётчик, знакомый с высотными полётами (перед войной он принимал участие в ис</w:t>
      </w:r>
      <w:r w:rsidRPr="00F90EAE">
        <w:rPr>
          <w:color w:val="000000" w:themeColor="text1"/>
          <w:sz w:val="16"/>
          <w:szCs w:val="16"/>
        </w:rPr>
        <w:softHyphen/>
        <w:t>пытаниях одного из первых советских скафандров), спросил Шунейко:</w:t>
      </w:r>
    </w:p>
    <w:p w14:paraId="167DFD84" w14:textId="77777777" w:rsidR="000C795D" w:rsidRPr="00F90EAE" w:rsidRDefault="00832B68" w:rsidP="00F90EAE">
      <w:pPr>
        <w:tabs>
          <w:tab w:val="left" w:pos="423"/>
        </w:tabs>
        <w:jc w:val="both"/>
        <w:rPr>
          <w:color w:val="000000" w:themeColor="text1"/>
          <w:sz w:val="16"/>
          <w:szCs w:val="16"/>
        </w:rPr>
      </w:pPr>
      <w:r w:rsidRPr="00F90EAE">
        <w:rPr>
          <w:color w:val="000000" w:themeColor="text1"/>
          <w:sz w:val="16"/>
          <w:szCs w:val="16"/>
        </w:rPr>
        <w:t xml:space="preserve">- </w:t>
      </w:r>
      <w:r w:rsidR="000C795D" w:rsidRPr="00F90EAE">
        <w:rPr>
          <w:color w:val="000000" w:themeColor="text1"/>
          <w:sz w:val="16"/>
          <w:szCs w:val="16"/>
        </w:rPr>
        <w:t>Скажи, пожалуйста, Иван Иванович, будучи на моем месте, сколько бы ты запла</w:t>
      </w:r>
      <w:r w:rsidR="000C795D" w:rsidRPr="00F90EAE">
        <w:rPr>
          <w:color w:val="000000" w:themeColor="text1"/>
          <w:sz w:val="16"/>
          <w:szCs w:val="16"/>
        </w:rPr>
        <w:softHyphen/>
        <w:t>тил лётчику за риск таких полётов на высоту?</w:t>
      </w:r>
    </w:p>
    <w:p w14:paraId="7A736ADF" w14:textId="77777777" w:rsidR="000C795D" w:rsidRPr="00F90EAE" w:rsidRDefault="000C795D" w:rsidP="00F90EAE">
      <w:pPr>
        <w:jc w:val="both"/>
        <w:rPr>
          <w:color w:val="000000" w:themeColor="text1"/>
          <w:sz w:val="16"/>
          <w:szCs w:val="16"/>
        </w:rPr>
      </w:pPr>
      <w:r w:rsidRPr="00F90EAE">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38D7D683" w14:textId="77777777" w:rsidR="000C795D" w:rsidRPr="00F90EAE" w:rsidRDefault="00832B68" w:rsidP="00F90EAE">
      <w:pPr>
        <w:tabs>
          <w:tab w:val="left" w:pos="420"/>
        </w:tabs>
        <w:jc w:val="both"/>
        <w:rPr>
          <w:color w:val="000000" w:themeColor="text1"/>
          <w:sz w:val="16"/>
          <w:szCs w:val="16"/>
        </w:rPr>
      </w:pPr>
      <w:r w:rsidRPr="00F90EAE">
        <w:rPr>
          <w:color w:val="000000" w:themeColor="text1"/>
          <w:sz w:val="16"/>
          <w:szCs w:val="16"/>
        </w:rPr>
        <w:t xml:space="preserve">- </w:t>
      </w:r>
      <w:r w:rsidR="000C795D" w:rsidRPr="00F90EAE">
        <w:rPr>
          <w:color w:val="000000" w:themeColor="text1"/>
          <w:sz w:val="16"/>
          <w:szCs w:val="16"/>
        </w:rPr>
        <w:t>На мой взгляд... эти полёты стоят столько, сколько стоит моя жизнь» (15830).</w:t>
      </w:r>
    </w:p>
    <w:p w14:paraId="4B4D2FD6" w14:textId="77777777" w:rsidR="000C795D" w:rsidRPr="00F90EAE" w:rsidRDefault="000C795D" w:rsidP="00F90EAE">
      <w:pPr>
        <w:tabs>
          <w:tab w:val="left" w:pos="420"/>
        </w:tabs>
        <w:jc w:val="both"/>
        <w:rPr>
          <w:color w:val="000000" w:themeColor="text1"/>
          <w:sz w:val="16"/>
          <w:szCs w:val="16"/>
        </w:rPr>
      </w:pPr>
    </w:p>
    <w:p w14:paraId="6B31132F" w14:textId="77777777" w:rsidR="000C795D" w:rsidRPr="00F90EAE" w:rsidRDefault="000C795D" w:rsidP="00F90EAE">
      <w:pPr>
        <w:jc w:val="both"/>
        <w:rPr>
          <w:color w:val="000000" w:themeColor="text1"/>
          <w:sz w:val="16"/>
          <w:szCs w:val="16"/>
        </w:rPr>
      </w:pPr>
      <w:r w:rsidRPr="00F90EAE">
        <w:rPr>
          <w:color w:val="000000" w:themeColor="text1"/>
          <w:sz w:val="16"/>
          <w:szCs w:val="16"/>
        </w:rPr>
        <w:t xml:space="preserve">14 мая в 1945 году завершили первый этап испытаний </w:t>
      </w:r>
      <w:hyperlink r:id="rId116" w:tgtFrame="_blank" w:history="1">
        <w:r w:rsidRPr="00F90EAE">
          <w:rPr>
            <w:color w:val="000000" w:themeColor="text1"/>
            <w:sz w:val="16"/>
            <w:szCs w:val="16"/>
          </w:rPr>
          <w:t xml:space="preserve">«Як-ЗПД» </w:t>
        </w:r>
      </w:hyperlink>
      <w:r w:rsidRPr="00F90EAE">
        <w:rPr>
          <w:color w:val="000000" w:themeColor="text1"/>
          <w:sz w:val="16"/>
          <w:szCs w:val="16"/>
        </w:rPr>
        <w:t>с двигателем «ВК-105ПД» № 1012-43 завода №466 с двухступенчатым нагнетателем «Э-100» (передаточное число 9,72). Испытания часто прерывались из-за ненадежной работы двигателя и ВМГ. Ввиду невозможности установить нормальный режим работы двигателя и прервали испытания (14891).</w:t>
      </w:r>
    </w:p>
    <w:p w14:paraId="54B9E83C" w14:textId="77777777" w:rsidR="000C795D" w:rsidRPr="00F90EAE" w:rsidRDefault="000C795D" w:rsidP="00F90EAE">
      <w:pPr>
        <w:jc w:val="both"/>
        <w:rPr>
          <w:color w:val="000000" w:themeColor="text1"/>
          <w:sz w:val="16"/>
          <w:szCs w:val="16"/>
        </w:rPr>
      </w:pPr>
    </w:p>
    <w:p w14:paraId="7B0F30DE" w14:textId="77777777" w:rsidR="000C795D" w:rsidRPr="00F90EAE" w:rsidRDefault="000C795D" w:rsidP="00F90EAE">
      <w:pPr>
        <w:jc w:val="both"/>
        <w:rPr>
          <w:color w:val="000000" w:themeColor="text1"/>
          <w:sz w:val="16"/>
          <w:szCs w:val="16"/>
        </w:rPr>
      </w:pPr>
      <w:r w:rsidRPr="00F90EAE">
        <w:rPr>
          <w:color w:val="000000" w:themeColor="text1"/>
          <w:sz w:val="16"/>
          <w:szCs w:val="16"/>
        </w:rPr>
        <w:t xml:space="preserve">14 мая в 1945 году донесение летчика-испытателя майора Антипова: «Самолет «Як-3» легко догоняет и атакует </w:t>
      </w:r>
      <w:hyperlink r:id="rId117" w:tgtFrame="_blank" w:history="1">
        <w:r w:rsidRPr="00F90EAE">
          <w:rPr>
            <w:color w:val="000000" w:themeColor="text1"/>
            <w:sz w:val="16"/>
            <w:szCs w:val="16"/>
          </w:rPr>
          <w:t xml:space="preserve">«Me 410» </w:t>
        </w:r>
      </w:hyperlink>
      <w:r w:rsidRPr="00F90EAE">
        <w:rPr>
          <w:color w:val="000000" w:themeColor="text1"/>
          <w:sz w:val="16"/>
          <w:szCs w:val="16"/>
        </w:rPr>
        <w:t>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 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 Выход из атаки, как правило, я делал с резким набором высоты над самолетом «Me 410» с таким расчетом, чтобы не дать стрелку и летчику вести огонь. В процессе боя Як-3 сохранял преимущество в высоте и скорости. 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 4, почти все время находясь в поле зрения стрелка Атаковать сзади снизу трудно, можно врезаться в землю. 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 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 Летчику самолета «Me 410» не удалось ни разу прицелиться по самолету «Як-3». Выгоднее всего вести воздушный бой с «Ме-410» на средних высотах 1000-1400 метров Легче всего «Me 410» уйти от атак истребителя на низкой высоте». В Советском Союзе во время войны специалисты ГК НИИ ВВС КА испытали целый ряд трофейных самолётов Люфтваффе. Не стал исключением и «Me 410» "Шершень", облётанный на аэродроме института в самом конце Второй мировой. Объектом исследований стал вариант истребителя-перехватчика «Me 410» «Б-2» (такой индекс записан в Акте по испытаниям) с 50-мм пушкой «ВК 5», захваченный на одном из аэродромов противника (14891).</w:t>
      </w:r>
    </w:p>
    <w:p w14:paraId="10D2A425" w14:textId="77777777" w:rsidR="000C795D" w:rsidRPr="00F90EAE" w:rsidRDefault="000C795D" w:rsidP="00F90EAE">
      <w:pPr>
        <w:jc w:val="both"/>
        <w:rPr>
          <w:color w:val="000000" w:themeColor="text1"/>
          <w:sz w:val="16"/>
          <w:szCs w:val="16"/>
        </w:rPr>
      </w:pPr>
    </w:p>
    <w:p w14:paraId="7BEFDD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на Як-3 с РД произошел разрыв РД-1ХЗ по критическому сечению (2234,9).</w:t>
      </w:r>
    </w:p>
    <w:p w14:paraId="3C19406C" w14:textId="77777777" w:rsidR="00665165" w:rsidRPr="00F90EAE" w:rsidRDefault="00665165" w:rsidP="00F90EAE">
      <w:pPr>
        <w:autoSpaceDE w:val="0"/>
        <w:autoSpaceDN w:val="0"/>
        <w:adjustRightInd w:val="0"/>
        <w:jc w:val="both"/>
        <w:rPr>
          <w:color w:val="000000" w:themeColor="text1"/>
          <w:sz w:val="16"/>
          <w:szCs w:val="16"/>
        </w:rPr>
      </w:pPr>
    </w:p>
    <w:p w14:paraId="2FC936CB" w14:textId="77777777" w:rsidR="00E74102" w:rsidRPr="00F90EAE" w:rsidRDefault="00E74102" w:rsidP="00F90EAE">
      <w:pPr>
        <w:shd w:val="clear" w:color="auto" w:fill="FFFFFF"/>
        <w:jc w:val="both"/>
        <w:rPr>
          <w:color w:val="000000" w:themeColor="text1"/>
          <w:sz w:val="16"/>
          <w:szCs w:val="16"/>
        </w:rPr>
      </w:pPr>
      <w:r w:rsidRPr="00F90EAE">
        <w:rPr>
          <w:color w:val="000000" w:themeColor="text1"/>
          <w:sz w:val="16"/>
          <w:szCs w:val="16"/>
        </w:rPr>
        <w:t>14 мая 1945 в полете при пуске произошла вспышка, раз рушившая сопло двигателя Як-3РД. По заключению. В.П. Глушко, причиной явилось засорение пускового клапана стружкой, попавшей в двигатель при его сборке на заводе, и общая недо веденность пусковой химической системы. Плохо работала ав томатика РД, не раз приводившая к непроизвольному выклю чению двигателя.</w:t>
      </w:r>
    </w:p>
    <w:p w14:paraId="5547CF21" w14:textId="77777777" w:rsidR="00E74102" w:rsidRPr="00F90EAE" w:rsidRDefault="00E74102" w:rsidP="00F90EAE">
      <w:pPr>
        <w:shd w:val="clear" w:color="auto" w:fill="FFFFFF"/>
        <w:jc w:val="both"/>
        <w:rPr>
          <w:color w:val="000000" w:themeColor="text1"/>
          <w:sz w:val="16"/>
          <w:szCs w:val="16"/>
        </w:rPr>
      </w:pPr>
    </w:p>
    <w:p w14:paraId="3EE20678" w14:textId="77777777" w:rsidR="000C795D" w:rsidRPr="00F90EAE" w:rsidRDefault="000C795D" w:rsidP="00F90EAE">
      <w:pPr>
        <w:jc w:val="both"/>
        <w:rPr>
          <w:color w:val="000000" w:themeColor="text1"/>
          <w:sz w:val="16"/>
          <w:szCs w:val="16"/>
        </w:rPr>
      </w:pPr>
      <w:r w:rsidRPr="00F90EAE">
        <w:rPr>
          <w:color w:val="000000" w:themeColor="text1"/>
          <w:sz w:val="16"/>
          <w:szCs w:val="16"/>
        </w:rPr>
        <w:t>14 мая в 1945 году в ходе первого же полета взорвался ракетный ускоритель «РД-1» на самолете «Як-3РД». Одним из поршневых самолетов, оснащенных ракетным ускорителем, стал «Як-3». Работы над самолетом начались в декабре 1944 года, а к заводским испытаниям приступили 22 декабря 1944 года. Самолет совершил 21 полет, в том числе 8 с использованием ускорителя «РД-1» с тягой 300 кгсВ крыльях располагалось не два, а четыре топливных бака. В двух дополнительных баках помещались керосин и азотная кислота. Чтобы разместить ускоритель в хвостовой части фюзеляжа, пришлось переработать оперение. В ходе испытаний ускоритель проявил себя как ненадежный и небезопасный агрегат. После того, как электрическое зажигание наладить не удалось (двигатель «РД-1» проработал 18 минут 50 секунд, имел 40 зажиганий, в том числе 3 в воздухе), его заменили на зажигание химического типа. Ускоритель с химическим зажиганием назывался «РД-1ХЗ». Химическое зажигание сработало, но не так как надо. Испытания показали, что с реактивным ускорителем самолет развивает скорость 732 км/ч на высоте 2700 м, 765 км/ч на высоте 6500 м и 782 км/ч на высоте 7800 м. Подсчеты показали, что на высоте 10000 метров ускоритель способен дать прирост к скорости до 840 км/ч. Постоянные проблемы с ускорителем привели к тому, что «Як-3РД» отправили в конструкторское бюро для доработки. Полеты возобновили 14 августа 1945 года, когда самолет участвовал в параде, посвященном дню советских ВВС. Спустя два дня произошла катастрофа. Набрав высоту 2500 метров машина вдруг перешла в пикирование, угол которого постоянно рос. В момент удара о землю самолет пикировал уже под углом 50 градусов. Летчик-испытатель В.Л.Расторгуев погиб, дальнейших работ над машиной не проводили (14891).</w:t>
      </w:r>
    </w:p>
    <w:p w14:paraId="001F0F80" w14:textId="77777777" w:rsidR="000C795D" w:rsidRPr="00F90EAE" w:rsidRDefault="000C795D" w:rsidP="00F90EAE">
      <w:pPr>
        <w:jc w:val="both"/>
        <w:rPr>
          <w:color w:val="000000" w:themeColor="text1"/>
          <w:sz w:val="16"/>
          <w:szCs w:val="16"/>
        </w:rPr>
      </w:pPr>
    </w:p>
    <w:p w14:paraId="42A25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года в первый же день испытания РД-1ХЗ №018 с химическим зажиганием на Як-3РД во время запуска произошел взрыв, разрушивший двигатель. РД-1 с электрическим зажиганием, наработавший 18 минут 50 секунд, заменили на РД-1ХЗ №018 с химическим зажиганием из-за низкой надежности первого. После этого случая самолет поставили на доработку, заменив ракетный двигатель. Но к полетам долго не приступали. Складывается впечатление, что на машине поставили крест. К тому же у Лавочкина дела с полуреактивными истребителями шли не лучше (12047).</w:t>
      </w:r>
    </w:p>
    <w:p w14:paraId="68D0CA6C" w14:textId="77777777" w:rsidR="00665165" w:rsidRPr="00F90EAE" w:rsidRDefault="00665165" w:rsidP="00F90EAE">
      <w:pPr>
        <w:autoSpaceDE w:val="0"/>
        <w:autoSpaceDN w:val="0"/>
        <w:adjustRightInd w:val="0"/>
        <w:jc w:val="both"/>
        <w:rPr>
          <w:color w:val="000000" w:themeColor="text1"/>
          <w:sz w:val="16"/>
          <w:szCs w:val="16"/>
        </w:rPr>
      </w:pPr>
    </w:p>
    <w:p w14:paraId="2CF283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вышел приказ НКАП N 207с "О подготовке производства пассажирских самолетов конструктора А.С.Я. на заводе 387"</w:t>
      </w:r>
    </w:p>
    <w:p w14:paraId="6EB71E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подготовки производства к выпуску пассажирского самолета с М-11 конструкции А.С.Я. (Як-14) на заводе 387:</w:t>
      </w:r>
    </w:p>
    <w:p w14:paraId="022925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387 И.В.Федину:</w:t>
      </w:r>
    </w:p>
    <w:p w14:paraId="7F988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15 августа с.г.</w:t>
      </w:r>
    </w:p>
    <w:p w14:paraId="1A8ADD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для отработки и проверки изготовленной тех. документации, оснастки, спецификаций изготовить 5 самолетов со сроками сдачи: 2-х к 25 августа, 3-х к 25 сентября (1898,57).</w:t>
      </w:r>
    </w:p>
    <w:p w14:paraId="5C6DC9B0" w14:textId="77777777" w:rsidR="00665165" w:rsidRPr="00F90EAE" w:rsidRDefault="00665165" w:rsidP="00F90EAE">
      <w:pPr>
        <w:autoSpaceDE w:val="0"/>
        <w:autoSpaceDN w:val="0"/>
        <w:adjustRightInd w:val="0"/>
        <w:jc w:val="both"/>
        <w:rPr>
          <w:color w:val="000000" w:themeColor="text1"/>
          <w:sz w:val="16"/>
          <w:szCs w:val="16"/>
        </w:rPr>
      </w:pPr>
    </w:p>
    <w:p w14:paraId="7ADF48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вышел приказ НКАП N 208с:</w:t>
      </w:r>
    </w:p>
    <w:p w14:paraId="62EAF9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подготовки производства к выпуску 2-х моторных пассажирских самолетов с М-11МФ конструкции А.С.Я. (Як-8) на заводе 135:</w:t>
      </w:r>
    </w:p>
    <w:p w14:paraId="6B6A1E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Нач. 11 ГУ И.В.Куликову и директору завода 135 И.М.Кузину:</w:t>
      </w:r>
    </w:p>
    <w:p w14:paraId="611137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приступить к подготовке производства по выпуску на заводе 2-х моторных пассажирских самолетов конструкции А.С.Я. (Як-8) со сроком окончания подготовки производства не позднее 10 августа с.г.</w:t>
      </w:r>
    </w:p>
    <w:p w14:paraId="6C8B9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для отработки и проверки изготовленной тех. документации, оснастки, спецификаций изготовить 5 самолетов со сроками сдачи: 1-го к 25 августа, 2-х к 15 сентября, 2-х к 25 сентября с.г. (1898,57).</w:t>
      </w:r>
    </w:p>
    <w:p w14:paraId="413EFE1C" w14:textId="77777777" w:rsidR="00665165" w:rsidRPr="00F90EAE" w:rsidRDefault="00665165" w:rsidP="00F90EAE">
      <w:pPr>
        <w:autoSpaceDE w:val="0"/>
        <w:autoSpaceDN w:val="0"/>
        <w:adjustRightInd w:val="0"/>
        <w:jc w:val="both"/>
        <w:rPr>
          <w:color w:val="000000" w:themeColor="text1"/>
          <w:sz w:val="16"/>
          <w:szCs w:val="16"/>
        </w:rPr>
      </w:pPr>
    </w:p>
    <w:p w14:paraId="28A75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было подготовлено донесение летчика-испытателя майора Антипова по испытаниям Ме-410:</w:t>
      </w:r>
    </w:p>
    <w:p w14:paraId="370A82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Як-3 легко догоняет и атакует Me 410 на высотах 1000-1500 метров и на всех режимах его полета. Атака легче всего производилась, при имевшемся преимуществе в высоте, с задней полусферы сбоку. Но в этом случае стрелок Me 410 хорошо видит атакующий истребитель и может успешно вести прицельный огонь.</w:t>
      </w:r>
    </w:p>
    <w:p w14:paraId="294B3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атаке сзади и снизу можно незаметно подойти к Me 410 на дистанции прицельного огня, так как обзор вниз у стрелка плохой. В процессе боя удавалось несколько раз удачно атаковать Me 410 снизу и остаться незамеченным стрелком.</w:t>
      </w:r>
    </w:p>
    <w:p w14:paraId="456A00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Выход из атаки, как правило, я делал с резким набором высоты над самолетом Me 410 с таким расчетом, чтобы не дать стрелку и летчику вести огонь.</w:t>
      </w:r>
    </w:p>
    <w:p w14:paraId="0E9ADE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боя Як-3 сохранял преимущество в высоте и скорости.</w:t>
      </w:r>
    </w:p>
    <w:p w14:paraId="664721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полете Me 410 с максимальной скоростью на высоте 200-300 м самолет Як-3, имея превышение в высоте. легко его догоняет. Но атаки в этом случае возможно провести только сзади сбоку под ракурсом не более 2/ 4, почти все время находясь в поле зрения стрелка. Атаковать сзади снизу трудно, можно врезаться в землю.</w:t>
      </w:r>
    </w:p>
    <w:p w14:paraId="51D088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Выход из всех атак делался, как правило, вверх с небольшим разворотом в сторону - с таким расчетом, чтобы не терять из виду Me 410 и не попасть под его оборонительный огонь.</w:t>
      </w:r>
    </w:p>
    <w:p w14:paraId="481AF9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свободном воздушном бою с одиночным самолетом Me 410 на высотах 2000-4000 м самолет Як-3 имеет явное преимущество, что дает возможность занимать необходимое превышение в высоте и производить атаки с любых направлений.</w:t>
      </w:r>
    </w:p>
    <w:p w14:paraId="4DE575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Летчику самолета Me 410 не удалось ни разу прицелиться по самолету Як-3.</w:t>
      </w:r>
    </w:p>
    <w:p w14:paraId="76E1A3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Выгоднее всего вести воздушный бой с Ме-410 на средних высотах 1000-1400 метров. Легче всего Me 410 уйти от атак истребителя на низкой высоте" (6407).</w:t>
      </w:r>
    </w:p>
    <w:p w14:paraId="4958C3A2" w14:textId="77777777" w:rsidR="00665165" w:rsidRPr="00F90EAE" w:rsidRDefault="00665165" w:rsidP="00F90EAE">
      <w:pPr>
        <w:autoSpaceDE w:val="0"/>
        <w:autoSpaceDN w:val="0"/>
        <w:adjustRightInd w:val="0"/>
        <w:jc w:val="both"/>
        <w:rPr>
          <w:color w:val="000000" w:themeColor="text1"/>
          <w:sz w:val="16"/>
          <w:szCs w:val="16"/>
        </w:rPr>
      </w:pPr>
    </w:p>
    <w:p w14:paraId="6D55F00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4E6E02B" w14:textId="77777777" w:rsidR="00665165" w:rsidRPr="00F90EAE" w:rsidRDefault="00665165" w:rsidP="00F90EAE">
      <w:pPr>
        <w:autoSpaceDE w:val="0"/>
        <w:autoSpaceDN w:val="0"/>
        <w:adjustRightInd w:val="0"/>
        <w:jc w:val="both"/>
        <w:rPr>
          <w:iCs/>
          <w:color w:val="000000" w:themeColor="text1"/>
          <w:sz w:val="16"/>
          <w:szCs w:val="16"/>
        </w:rPr>
      </w:pPr>
    </w:p>
    <w:p w14:paraId="783282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1941 Л. БЕРИЯ Г. МАЛЕНКОВ писали письмо № 552/б Совершенно секретно</w:t>
      </w:r>
    </w:p>
    <w:p w14:paraId="44D86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Экз. № 1</w:t>
      </w:r>
    </w:p>
    <w:p w14:paraId="3CB5ED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т.т. Берия, Маленкова.</w:t>
      </w:r>
    </w:p>
    <w:p w14:paraId="2A6D5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w:t>
      </w:r>
    </w:p>
    <w:p w14:paraId="3FB54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товарищу СТАЛИНУ И. В.</w:t>
      </w:r>
    </w:p>
    <w:p w14:paraId="2946D8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1DE002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35BD6B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построен, главным образом, на деньги США и находится в районе предполагаемого расположения союзников.</w:t>
      </w:r>
    </w:p>
    <w:p w14:paraId="3ECEEF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23B826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6AA6AC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17350F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98E7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1ACD53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Исследовательский институт Германского министерства связи по ядерной физике.</w:t>
      </w:r>
    </w:p>
    <w:p w14:paraId="5214B0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7EC892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лаборатории имеется специальный зал высоковольтной установки, напряжением в 3 миллиона вольт, смонтированной на 50%.</w:t>
      </w:r>
    </w:p>
    <w:p w14:paraId="6FB221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1FB702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4AF01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Указанные предприятия, оборудование и металл взяты, до решения вопроса об их вывозе, под охрану войск НКВД.</w:t>
      </w:r>
    </w:p>
    <w:p w14:paraId="76F53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3925C9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79A5DD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Проектов постановления Государственного Комитета Обороны прилагается.</w:t>
      </w:r>
    </w:p>
    <w:p w14:paraId="6B30A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БЕРИЯ Г. МАЛЕНКОВ "14" мая 1945 г. № 552/б (11813).</w:t>
      </w:r>
    </w:p>
    <w:p w14:paraId="44DD16B1" w14:textId="77777777" w:rsidR="000C795D" w:rsidRPr="00F90EAE" w:rsidRDefault="000C795D" w:rsidP="00F90EAE">
      <w:pPr>
        <w:autoSpaceDE w:val="0"/>
        <w:autoSpaceDN w:val="0"/>
        <w:adjustRightInd w:val="0"/>
        <w:jc w:val="both"/>
        <w:rPr>
          <w:iCs/>
          <w:color w:val="000000" w:themeColor="text1"/>
          <w:sz w:val="16"/>
          <w:szCs w:val="16"/>
        </w:rPr>
      </w:pPr>
    </w:p>
    <w:p w14:paraId="70BC650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67CD0DB" w14:textId="77777777" w:rsidR="00665165" w:rsidRPr="00F90EAE" w:rsidRDefault="00665165" w:rsidP="00F90EAE">
      <w:pPr>
        <w:autoSpaceDE w:val="0"/>
        <w:autoSpaceDN w:val="0"/>
        <w:adjustRightInd w:val="0"/>
        <w:jc w:val="both"/>
        <w:rPr>
          <w:iCs/>
          <w:color w:val="000000" w:themeColor="text1"/>
          <w:sz w:val="16"/>
          <w:szCs w:val="16"/>
        </w:rPr>
      </w:pPr>
    </w:p>
    <w:p w14:paraId="7D65193A" w14:textId="77777777" w:rsidR="000C795D" w:rsidRPr="00F90EAE" w:rsidRDefault="000C795D" w:rsidP="00F90EAE">
      <w:pPr>
        <w:jc w:val="both"/>
        <w:rPr>
          <w:color w:val="000000" w:themeColor="text1"/>
          <w:sz w:val="16"/>
          <w:szCs w:val="16"/>
        </w:rPr>
      </w:pPr>
      <w:r w:rsidRPr="00F90EAE">
        <w:rPr>
          <w:color w:val="000000" w:themeColor="text1"/>
          <w:sz w:val="16"/>
          <w:szCs w:val="16"/>
        </w:rPr>
        <w:t>14 мая в 1945 году оперативная сводка Совинформбюро:</w:t>
      </w:r>
    </w:p>
    <w:p w14:paraId="2A85C4B3" w14:textId="77777777" w:rsidR="000C795D" w:rsidRPr="00F90EAE" w:rsidRDefault="000C795D" w:rsidP="00F90EAE">
      <w:pPr>
        <w:jc w:val="both"/>
        <w:rPr>
          <w:color w:val="000000" w:themeColor="text1"/>
          <w:sz w:val="16"/>
          <w:szCs w:val="16"/>
        </w:rPr>
      </w:pPr>
      <w:r w:rsidRPr="00F90EAE">
        <w:rPr>
          <w:color w:val="000000" w:themeColor="text1"/>
          <w:sz w:val="16"/>
          <w:szCs w:val="16"/>
        </w:rPr>
        <w:t>«Количество пленных, сообщённое в оперативной сводке Советского Информбюро за 13 мая, увеличилось за 14 мая по всем фронтам на 170 тысяч немецких солдат и офицеров и 10 генералов.</w:t>
      </w:r>
    </w:p>
    <w:p w14:paraId="68D7DFF7" w14:textId="77777777" w:rsidR="000C795D" w:rsidRPr="00F90EAE" w:rsidRDefault="000C795D" w:rsidP="00F90EAE">
      <w:pPr>
        <w:jc w:val="both"/>
        <w:rPr>
          <w:color w:val="000000" w:themeColor="text1"/>
          <w:sz w:val="16"/>
          <w:szCs w:val="16"/>
        </w:rPr>
      </w:pPr>
      <w:r w:rsidRPr="00F90EAE">
        <w:rPr>
          <w:color w:val="000000" w:themeColor="text1"/>
          <w:sz w:val="16"/>
          <w:szCs w:val="16"/>
        </w:rPr>
        <w:t>Всего, таким образом, с 9 по 14 мая на всех фронтах взято в плен более 1 миллиона 230 тысяч немецких солдат и офицеров и 101 генерал.» (14891).</w:t>
      </w:r>
    </w:p>
    <w:p w14:paraId="3CB7F7DF" w14:textId="77777777" w:rsidR="000C795D" w:rsidRPr="00F90EAE" w:rsidRDefault="000C795D" w:rsidP="00F90EAE">
      <w:pPr>
        <w:jc w:val="both"/>
        <w:rPr>
          <w:color w:val="000000" w:themeColor="text1"/>
          <w:sz w:val="16"/>
          <w:szCs w:val="16"/>
        </w:rPr>
      </w:pPr>
    </w:p>
    <w:p w14:paraId="78AD0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14/15 мая 1945 255 иап, базировавшемуся на аэродроме Ваенга-1 поступили Тандерболты P-47D-22RE, пригнанные в сентябре 1944 из Ирана л 65 перегонного авиаполка ВМФ. Заменили Аэрокобры на год, а потом их передали на консервацию (1807,29).</w:t>
      </w:r>
    </w:p>
    <w:p w14:paraId="21784D81" w14:textId="77777777" w:rsidR="00665165" w:rsidRPr="00F90EAE" w:rsidRDefault="00665165" w:rsidP="00F90EAE">
      <w:pPr>
        <w:autoSpaceDE w:val="0"/>
        <w:autoSpaceDN w:val="0"/>
        <w:adjustRightInd w:val="0"/>
        <w:jc w:val="both"/>
        <w:rPr>
          <w:color w:val="000000" w:themeColor="text1"/>
          <w:sz w:val="16"/>
          <w:szCs w:val="16"/>
        </w:rPr>
      </w:pPr>
    </w:p>
    <w:p w14:paraId="1F421D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14 по 20 мая 3 чехословацкий шап базировался на аэродроме Кбелы (241,40).</w:t>
      </w:r>
    </w:p>
    <w:p w14:paraId="467307A7" w14:textId="77777777" w:rsidR="00665165" w:rsidRPr="00F90EAE" w:rsidRDefault="00665165" w:rsidP="00F90EAE">
      <w:pPr>
        <w:autoSpaceDE w:val="0"/>
        <w:autoSpaceDN w:val="0"/>
        <w:adjustRightInd w:val="0"/>
        <w:jc w:val="both"/>
        <w:rPr>
          <w:color w:val="000000" w:themeColor="text1"/>
          <w:sz w:val="16"/>
          <w:szCs w:val="16"/>
        </w:rPr>
      </w:pPr>
    </w:p>
    <w:p w14:paraId="45F95C1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A4E068B" w14:textId="77777777" w:rsidR="00665165" w:rsidRPr="00F90EAE" w:rsidRDefault="00665165" w:rsidP="00F90EAE">
      <w:pPr>
        <w:autoSpaceDE w:val="0"/>
        <w:autoSpaceDN w:val="0"/>
        <w:adjustRightInd w:val="0"/>
        <w:jc w:val="both"/>
        <w:rPr>
          <w:iCs/>
          <w:color w:val="000000" w:themeColor="text1"/>
          <w:sz w:val="16"/>
          <w:szCs w:val="16"/>
        </w:rPr>
      </w:pPr>
    </w:p>
    <w:p w14:paraId="6E5DBA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вышло Распоряжение ГКО № 8556. О мерах по обеспечению ввода в действие производственных мощностей на Подольском цементном заводе и на цементном заводе "Гигант" НКПСМ. РГАНИР, Фонд ГКО, д. 415, лл. 66-67 (11012).</w:t>
      </w:r>
    </w:p>
    <w:p w14:paraId="1CC75B5F" w14:textId="77777777" w:rsidR="00665165" w:rsidRPr="00F90EAE" w:rsidRDefault="00665165" w:rsidP="00F90EAE">
      <w:pPr>
        <w:autoSpaceDE w:val="0"/>
        <w:autoSpaceDN w:val="0"/>
        <w:adjustRightInd w:val="0"/>
        <w:jc w:val="both"/>
        <w:rPr>
          <w:color w:val="000000" w:themeColor="text1"/>
          <w:sz w:val="16"/>
          <w:szCs w:val="16"/>
        </w:rPr>
      </w:pPr>
    </w:p>
    <w:p w14:paraId="1303C722" w14:textId="336A3CC5" w:rsidR="009A3EFF" w:rsidRPr="00F90EAE" w:rsidRDefault="009A3EFF" w:rsidP="00F90EAE">
      <w:pPr>
        <w:autoSpaceDE w:val="0"/>
        <w:autoSpaceDN w:val="0"/>
        <w:adjustRightInd w:val="0"/>
        <w:jc w:val="both"/>
        <w:rPr>
          <w:i/>
          <w:iCs/>
          <w:color w:val="000000" w:themeColor="text1"/>
          <w:sz w:val="16"/>
          <w:szCs w:val="16"/>
        </w:rPr>
      </w:pPr>
      <w:r w:rsidRPr="00F90EAE">
        <w:rPr>
          <w:i/>
          <w:iCs/>
          <w:color w:val="000000" w:themeColor="text1"/>
          <w:sz w:val="16"/>
          <w:szCs w:val="16"/>
        </w:rPr>
        <w:t>Внешняя политика:</w:t>
      </w:r>
    </w:p>
    <w:p w14:paraId="47C3FC60" w14:textId="77777777" w:rsidR="009A3EFF" w:rsidRPr="00F90EAE" w:rsidRDefault="009A3EFF" w:rsidP="00F90EAE">
      <w:pPr>
        <w:autoSpaceDE w:val="0"/>
        <w:autoSpaceDN w:val="0"/>
        <w:adjustRightInd w:val="0"/>
        <w:jc w:val="both"/>
        <w:rPr>
          <w:i/>
          <w:iCs/>
          <w:color w:val="000000" w:themeColor="text1"/>
          <w:sz w:val="16"/>
          <w:szCs w:val="16"/>
        </w:rPr>
      </w:pPr>
    </w:p>
    <w:p w14:paraId="0DAA23D7" w14:textId="77777777" w:rsidR="009A3EFF" w:rsidRPr="00F90EAE" w:rsidRDefault="009A3EFF" w:rsidP="00F90EAE">
      <w:pPr>
        <w:jc w:val="both"/>
        <w:rPr>
          <w:color w:val="0070C0"/>
          <w:sz w:val="16"/>
          <w:szCs w:val="16"/>
        </w:rPr>
      </w:pPr>
      <w:r w:rsidRPr="00F90EAE">
        <w:rPr>
          <w:color w:val="0070C0"/>
          <w:sz w:val="16"/>
          <w:szCs w:val="16"/>
        </w:rPr>
        <w:t>14 мая 1945 г.</w:t>
      </w:r>
    </w:p>
    <w:p w14:paraId="532DB384" w14:textId="77777777" w:rsidR="009A3EFF" w:rsidRPr="00F90EAE" w:rsidRDefault="009A3EFF" w:rsidP="00F90EAE">
      <w:pPr>
        <w:jc w:val="both"/>
        <w:rPr>
          <w:color w:val="0070C0"/>
          <w:sz w:val="16"/>
          <w:szCs w:val="16"/>
        </w:rPr>
      </w:pPr>
      <w:r w:rsidRPr="00F90EAE">
        <w:rPr>
          <w:color w:val="0070C0"/>
          <w:sz w:val="16"/>
          <w:szCs w:val="16"/>
        </w:rPr>
        <w:t xml:space="preserve">ИЗ АКТА О ПЕРЕДАЧЕ МАТЕРИАЛЬНОЙ ЧАСТИ И ИМУЩЕСТВА ШТУРМОВОЙ, ИСТРЕБИТЕЛЬНОЙ АВИАЦИОННЫХ ДИВИЗИЙ И РАЙОНА АВИАЦИОННОГО БАЗИРОВАНИЯ ВОЕННО-ВОЗДУШНЫМ </w:t>
      </w:r>
    </w:p>
    <w:p w14:paraId="1B4CA293" w14:textId="77777777" w:rsidR="009A3EFF" w:rsidRPr="00F90EAE" w:rsidRDefault="009A3EFF" w:rsidP="00F90EAE">
      <w:pPr>
        <w:jc w:val="both"/>
        <w:rPr>
          <w:color w:val="0070C0"/>
          <w:sz w:val="16"/>
          <w:szCs w:val="16"/>
        </w:rPr>
      </w:pPr>
      <w:r w:rsidRPr="00F90EAE">
        <w:rPr>
          <w:color w:val="0070C0"/>
          <w:sz w:val="16"/>
          <w:szCs w:val="16"/>
        </w:rPr>
        <w:t>СИЛАМ ЮГОСЛАВИИ</w:t>
      </w:r>
    </w:p>
    <w:p w14:paraId="6605B026" w14:textId="77777777" w:rsidR="009A3EFF" w:rsidRPr="00F90EAE" w:rsidRDefault="009A3EFF" w:rsidP="00F90EAE">
      <w:pPr>
        <w:jc w:val="both"/>
        <w:rPr>
          <w:color w:val="0070C0"/>
          <w:sz w:val="16"/>
          <w:szCs w:val="16"/>
        </w:rPr>
      </w:pPr>
      <w:r w:rsidRPr="00F90EAE">
        <w:rPr>
          <w:color w:val="0070C0"/>
          <w:sz w:val="16"/>
          <w:szCs w:val="16"/>
        </w:rPr>
        <w:t>Не позднее 14 мая 1945 г.1</w:t>
      </w:r>
    </w:p>
    <w:p w14:paraId="03439E57" w14:textId="77777777" w:rsidR="009A3EFF" w:rsidRPr="00F90EAE" w:rsidRDefault="009A3EFF" w:rsidP="00F90EAE">
      <w:pPr>
        <w:jc w:val="both"/>
        <w:rPr>
          <w:color w:val="0070C0"/>
          <w:sz w:val="16"/>
          <w:szCs w:val="16"/>
        </w:rPr>
      </w:pPr>
      <w:r w:rsidRPr="00F90EAE">
        <w:rPr>
          <w:color w:val="0070C0"/>
          <w:sz w:val="16"/>
          <w:szCs w:val="16"/>
        </w:rPr>
        <w:t xml:space="preserve">На основании договора от 15.11.44 г., подписанного командующим войсками 3 Украинского фронта Маршалом Советского Союза Толбухиным и Верховным главнокомандующим югославской армией Иосипом Броз Тито, мы, нижеподписавшиеся — комиссия в составе: председателя — заместителя командующего 17 ВА генерал-лейтенанта авиации Златоцветова, членов — представителя политотдела 17 ВА полковника Симонова, начальника [отдела технического] снабжения 17 ВА полковника Прокопенко, заместителя] главного инженера 17 ВА инженерполковника Фролова, заместителя начальника оперотдела штаба 17 ВА подполковника </w:t>
      </w:r>
      <w:r w:rsidRPr="00F90EAE">
        <w:rPr>
          <w:color w:val="0070C0"/>
          <w:sz w:val="16"/>
          <w:szCs w:val="16"/>
        </w:rPr>
        <w:lastRenderedPageBreak/>
        <w:t>Сергеева, 14.5.45 г. сдали материальную часть и имущество 10 гвардейской штурмовой авиационной Воронежско-Киевской Краснознаменной, орденов Суворова и Кутузова дивизии, 236 истребительной авиационной Львовской Краснознаменной дивизии и 9 района авиационного базирования уполномоченным Генерального штаба Югославской армии— командиру группы авиадивизий ВВС ЮА генерал-майору Лазаревичу, комиссару группы авиадивизий подполковнику Момчилову и начальнику штаба той же группы авиадивизий ЮА генерал-майору Улепичу.</w:t>
      </w:r>
    </w:p>
    <w:p w14:paraId="541E1EBC" w14:textId="77777777" w:rsidR="009A3EFF" w:rsidRPr="00F90EAE" w:rsidRDefault="009A3EFF" w:rsidP="00F90EAE">
      <w:pPr>
        <w:jc w:val="both"/>
        <w:rPr>
          <w:color w:val="0070C0"/>
          <w:sz w:val="16"/>
          <w:szCs w:val="16"/>
        </w:rPr>
      </w:pPr>
      <w:r w:rsidRPr="00F90EAE">
        <w:rPr>
          <w:color w:val="0070C0"/>
          <w:sz w:val="16"/>
          <w:szCs w:val="16"/>
        </w:rPr>
        <w:t>1. Авиагруппа [...]' с 1.10.44 по 10.5.45 вела интенсивную боевую работу в интересах партизанских, а затем регулярных югославских армий в районах: Радевце, Корбово, Кучево, Д[ольни]-Милановац, Жагубица, Парачин, Пожаревац, Смедерово, Аранджеловац, Белград, Земун, Обреновац, Нови-Сад, Шабац, Рума, Шид, Товарник, Вуковар, Осиек, Валпово, Дольнн-Михоляц, Нашице, Дьяково, Стриживойна, Брод, Бричко, Биелина, Янья, Зворник, Любовия, Жепче, Дервента, Подравска-Слатина, Плетерница, Славонска-Пожега, Вировитица, Вараждин, Загреб; вела разведку войск противника со штурмовкой в районах боевых действий.</w:t>
      </w:r>
    </w:p>
    <w:p w14:paraId="228DF5CE" w14:textId="77777777" w:rsidR="009A3EFF" w:rsidRPr="00F90EAE" w:rsidRDefault="009A3EFF" w:rsidP="00F90EAE">
      <w:pPr>
        <w:jc w:val="both"/>
        <w:rPr>
          <w:color w:val="0070C0"/>
          <w:sz w:val="16"/>
          <w:szCs w:val="16"/>
        </w:rPr>
      </w:pPr>
      <w:r w:rsidRPr="00F90EAE">
        <w:rPr>
          <w:color w:val="0070C0"/>
          <w:sz w:val="16"/>
          <w:szCs w:val="16"/>
        </w:rPr>
        <w:t>Одновременно с ведением боевой работы авиагруппа обучала летно-технический состав ВВС ЮА в учебных центрах, организованных при дивизиях авиагруппы, и других специалистов при 9 районе авиационного базирования.</w:t>
      </w:r>
    </w:p>
    <w:p w14:paraId="3B1BB2B5" w14:textId="77777777" w:rsidR="009A3EFF" w:rsidRPr="00F90EAE" w:rsidRDefault="009A3EFF" w:rsidP="00F90EAE">
      <w:pPr>
        <w:jc w:val="both"/>
        <w:rPr>
          <w:color w:val="0070C0"/>
          <w:sz w:val="16"/>
          <w:szCs w:val="16"/>
        </w:rPr>
      </w:pPr>
      <w:r w:rsidRPr="00F90EAE">
        <w:rPr>
          <w:color w:val="0070C0"/>
          <w:sz w:val="16"/>
          <w:szCs w:val="16"/>
        </w:rPr>
        <w:t>2. Всего с 1.10.44 по 10.5.45 произведено 31 690 самолето-вылетов с общим налетом 13 689 часов, из них на выполнение боевых задач — 7715 успешных боевых самолето-вылетов [,..].</w:t>
      </w:r>
    </w:p>
    <w:p w14:paraId="30A39F8C" w14:textId="77777777" w:rsidR="009A3EFF" w:rsidRPr="00F90EAE" w:rsidRDefault="009A3EFF" w:rsidP="00F90EAE">
      <w:pPr>
        <w:jc w:val="both"/>
        <w:rPr>
          <w:color w:val="0070C0"/>
          <w:sz w:val="16"/>
          <w:szCs w:val="16"/>
        </w:rPr>
      </w:pPr>
      <w:r w:rsidRPr="00F90EAE">
        <w:rPr>
          <w:color w:val="0070C0"/>
          <w:sz w:val="16"/>
          <w:szCs w:val="16"/>
        </w:rPr>
        <w:t>3. Сформированы соединения и части ВВС Югославии: управление авиакорпуса, управление штурмовой и истребительной авиадивизий, три штурмовых авиаполка, три истребительных авиаполка, управление 9 воздухоплавательной базы, пять батальонов аэродромного обслуживания, головной авиационный склад, автомобильный батальон, пять аэродромно-технических рот, три отдельные роты связи, эвакуационная рота, зенитная рота, два метеобюро при дивизиях, пять амс при бао [...],</w:t>
      </w:r>
    </w:p>
    <w:p w14:paraId="102C96E1" w14:textId="77777777" w:rsidR="009A3EFF" w:rsidRPr="00F90EAE" w:rsidRDefault="009A3EFF" w:rsidP="00F90EAE">
      <w:pPr>
        <w:jc w:val="both"/>
        <w:rPr>
          <w:color w:val="0070C0"/>
          <w:sz w:val="16"/>
          <w:szCs w:val="16"/>
        </w:rPr>
      </w:pPr>
      <w:r w:rsidRPr="00F90EAE">
        <w:rPr>
          <w:color w:val="0070C0"/>
          <w:sz w:val="16"/>
          <w:szCs w:val="16"/>
        </w:rPr>
        <w:t>летчиков-штурмовиков..................138</w:t>
      </w:r>
    </w:p>
    <w:p w14:paraId="19A4E120" w14:textId="77777777" w:rsidR="009A3EFF" w:rsidRPr="00F90EAE" w:rsidRDefault="009A3EFF" w:rsidP="00F90EAE">
      <w:pPr>
        <w:jc w:val="both"/>
        <w:rPr>
          <w:color w:val="0070C0"/>
          <w:sz w:val="16"/>
          <w:szCs w:val="16"/>
        </w:rPr>
      </w:pPr>
      <w:r w:rsidRPr="00F90EAE">
        <w:rPr>
          <w:color w:val="0070C0"/>
          <w:sz w:val="16"/>
          <w:szCs w:val="16"/>
        </w:rPr>
        <w:t>летчиков-истребителей ................131</w:t>
      </w:r>
    </w:p>
    <w:p w14:paraId="655D429E" w14:textId="77777777" w:rsidR="009A3EFF" w:rsidRPr="00F90EAE" w:rsidRDefault="009A3EFF" w:rsidP="00F90EAE">
      <w:pPr>
        <w:jc w:val="both"/>
        <w:rPr>
          <w:color w:val="0070C0"/>
          <w:sz w:val="16"/>
          <w:szCs w:val="16"/>
        </w:rPr>
      </w:pPr>
      <w:r w:rsidRPr="00F90EAE">
        <w:rPr>
          <w:color w:val="0070C0"/>
          <w:sz w:val="16"/>
          <w:szCs w:val="16"/>
        </w:rPr>
        <w:t>воздушных стрелков....................130</w:t>
      </w:r>
    </w:p>
    <w:p w14:paraId="45D197DE" w14:textId="77777777" w:rsidR="009A3EFF" w:rsidRPr="00F90EAE" w:rsidRDefault="009A3EFF" w:rsidP="00F90EAE">
      <w:pPr>
        <w:jc w:val="both"/>
        <w:rPr>
          <w:color w:val="0070C0"/>
          <w:sz w:val="16"/>
          <w:szCs w:val="16"/>
        </w:rPr>
      </w:pPr>
      <w:r w:rsidRPr="00F90EAE">
        <w:rPr>
          <w:color w:val="0070C0"/>
          <w:sz w:val="16"/>
          <w:szCs w:val="16"/>
        </w:rPr>
        <w:t>инженерно-технического состава всех специальностей в полках ............ 1213</w:t>
      </w:r>
    </w:p>
    <w:p w14:paraId="14BBEBC7" w14:textId="77777777" w:rsidR="009A3EFF" w:rsidRPr="00F90EAE" w:rsidRDefault="009A3EFF" w:rsidP="00F90EAE">
      <w:pPr>
        <w:jc w:val="both"/>
        <w:rPr>
          <w:color w:val="0070C0"/>
          <w:sz w:val="16"/>
          <w:szCs w:val="16"/>
        </w:rPr>
      </w:pPr>
      <w:r w:rsidRPr="00F90EAE">
        <w:rPr>
          <w:color w:val="0070C0"/>
          <w:sz w:val="16"/>
          <w:szCs w:val="16"/>
        </w:rPr>
        <w:t>командиров отдельных частей ....</w:t>
      </w:r>
      <w:r w:rsidRPr="00F90EAE">
        <w:rPr>
          <w:color w:val="0070C0"/>
          <w:sz w:val="16"/>
          <w:szCs w:val="16"/>
        </w:rPr>
        <w:tab/>
        <w:t>21</w:t>
      </w:r>
    </w:p>
    <w:p w14:paraId="0850F9C1" w14:textId="77777777" w:rsidR="009A3EFF" w:rsidRPr="00F90EAE" w:rsidRDefault="009A3EFF" w:rsidP="00F90EAE">
      <w:pPr>
        <w:jc w:val="both"/>
        <w:rPr>
          <w:color w:val="0070C0"/>
          <w:sz w:val="16"/>
          <w:szCs w:val="16"/>
        </w:rPr>
      </w:pPr>
      <w:r w:rsidRPr="00F90EAE">
        <w:rPr>
          <w:color w:val="0070C0"/>
          <w:sz w:val="16"/>
          <w:szCs w:val="16"/>
        </w:rPr>
        <w:t>начальников отделов .................. 52</w:t>
      </w:r>
    </w:p>
    <w:p w14:paraId="258A0707" w14:textId="77777777" w:rsidR="009A3EFF" w:rsidRPr="00F90EAE" w:rsidRDefault="009A3EFF" w:rsidP="00F90EAE">
      <w:pPr>
        <w:jc w:val="both"/>
        <w:rPr>
          <w:color w:val="0070C0"/>
          <w:sz w:val="16"/>
          <w:szCs w:val="16"/>
        </w:rPr>
      </w:pPr>
      <w:r w:rsidRPr="00F90EAE">
        <w:rPr>
          <w:color w:val="0070C0"/>
          <w:sz w:val="16"/>
          <w:szCs w:val="16"/>
        </w:rPr>
        <w:t>штабных работников ................... 75</w:t>
      </w:r>
    </w:p>
    <w:p w14:paraId="3B3C6DF0" w14:textId="77777777" w:rsidR="009A3EFF" w:rsidRPr="00F90EAE" w:rsidRDefault="009A3EFF" w:rsidP="00F90EAE">
      <w:pPr>
        <w:jc w:val="both"/>
        <w:rPr>
          <w:color w:val="0070C0"/>
          <w:sz w:val="16"/>
          <w:szCs w:val="16"/>
        </w:rPr>
      </w:pPr>
      <w:r w:rsidRPr="00F90EAE">
        <w:rPr>
          <w:color w:val="0070C0"/>
          <w:sz w:val="16"/>
          <w:szCs w:val="16"/>
        </w:rPr>
        <w:t>интендантских работников ............. 36</w:t>
      </w:r>
    </w:p>
    <w:p w14:paraId="1852543A" w14:textId="77777777" w:rsidR="009A3EFF" w:rsidRPr="00F90EAE" w:rsidRDefault="009A3EFF" w:rsidP="00F90EAE">
      <w:pPr>
        <w:jc w:val="both"/>
        <w:rPr>
          <w:color w:val="0070C0"/>
          <w:sz w:val="16"/>
          <w:szCs w:val="16"/>
        </w:rPr>
      </w:pPr>
      <w:r w:rsidRPr="00F90EAE">
        <w:rPr>
          <w:color w:val="0070C0"/>
          <w:sz w:val="16"/>
          <w:szCs w:val="16"/>
        </w:rPr>
        <w:t>шоферов ..............................595</w:t>
      </w:r>
    </w:p>
    <w:p w14:paraId="2975E5DA" w14:textId="77777777" w:rsidR="009A3EFF" w:rsidRPr="00F90EAE" w:rsidRDefault="009A3EFF" w:rsidP="00F90EAE">
      <w:pPr>
        <w:jc w:val="both"/>
        <w:rPr>
          <w:color w:val="0070C0"/>
          <w:sz w:val="16"/>
          <w:szCs w:val="16"/>
        </w:rPr>
      </w:pPr>
      <w:r w:rsidRPr="00F90EAE">
        <w:rPr>
          <w:color w:val="0070C0"/>
          <w:sz w:val="16"/>
          <w:szCs w:val="16"/>
        </w:rPr>
        <w:t>трактористов ......................... 70</w:t>
      </w:r>
    </w:p>
    <w:p w14:paraId="2AFF9930" w14:textId="77777777" w:rsidR="009A3EFF" w:rsidRPr="00F90EAE" w:rsidRDefault="009A3EFF" w:rsidP="00F90EAE">
      <w:pPr>
        <w:jc w:val="both"/>
        <w:rPr>
          <w:color w:val="0070C0"/>
          <w:sz w:val="16"/>
          <w:szCs w:val="16"/>
        </w:rPr>
      </w:pPr>
      <w:r w:rsidRPr="00F90EAE">
        <w:rPr>
          <w:color w:val="0070C0"/>
          <w:sz w:val="16"/>
          <w:szCs w:val="16"/>
        </w:rPr>
        <w:t>связистов.............................344</w:t>
      </w:r>
    </w:p>
    <w:p w14:paraId="2AA49ABC" w14:textId="77777777" w:rsidR="009A3EFF" w:rsidRPr="00F90EAE" w:rsidRDefault="009A3EFF" w:rsidP="00F90EAE">
      <w:pPr>
        <w:jc w:val="both"/>
        <w:rPr>
          <w:color w:val="0070C0"/>
          <w:sz w:val="16"/>
          <w:szCs w:val="16"/>
        </w:rPr>
      </w:pPr>
      <w:r w:rsidRPr="00F90EAE">
        <w:rPr>
          <w:color w:val="0070C0"/>
          <w:sz w:val="16"/>
          <w:szCs w:val="16"/>
        </w:rPr>
        <w:t>метеоспециалистов......................64</w:t>
      </w:r>
    </w:p>
    <w:p w14:paraId="07D0DF0A" w14:textId="77777777" w:rsidR="009A3EFF" w:rsidRPr="00F90EAE" w:rsidRDefault="009A3EFF" w:rsidP="00F90EAE">
      <w:pPr>
        <w:jc w:val="both"/>
        <w:rPr>
          <w:color w:val="0070C0"/>
          <w:sz w:val="16"/>
          <w:szCs w:val="16"/>
        </w:rPr>
      </w:pPr>
      <w:r w:rsidRPr="00F90EAE">
        <w:rPr>
          <w:color w:val="0070C0"/>
          <w:sz w:val="16"/>
          <w:szCs w:val="16"/>
        </w:rPr>
        <w:t>минеров................................61</w:t>
      </w:r>
    </w:p>
    <w:p w14:paraId="730933B5" w14:textId="77777777" w:rsidR="009A3EFF" w:rsidRPr="00F90EAE" w:rsidRDefault="009A3EFF" w:rsidP="00F90EAE">
      <w:pPr>
        <w:jc w:val="both"/>
        <w:rPr>
          <w:color w:val="0070C0"/>
          <w:sz w:val="16"/>
          <w:szCs w:val="16"/>
        </w:rPr>
      </w:pPr>
      <w:r w:rsidRPr="00F90EAE">
        <w:rPr>
          <w:color w:val="0070C0"/>
          <w:sz w:val="16"/>
          <w:szCs w:val="16"/>
        </w:rPr>
        <w:t>саперов................................91</w:t>
      </w:r>
    </w:p>
    <w:p w14:paraId="4311A5FB" w14:textId="77777777" w:rsidR="009A3EFF" w:rsidRPr="00F90EAE" w:rsidRDefault="009A3EFF" w:rsidP="00F90EAE">
      <w:pPr>
        <w:jc w:val="both"/>
        <w:rPr>
          <w:color w:val="0070C0"/>
          <w:sz w:val="16"/>
          <w:szCs w:val="16"/>
        </w:rPr>
      </w:pPr>
      <w:r w:rsidRPr="00F90EAE">
        <w:rPr>
          <w:color w:val="0070C0"/>
          <w:sz w:val="16"/>
          <w:szCs w:val="16"/>
        </w:rPr>
        <w:t>маскировщиков..........................30</w:t>
      </w:r>
    </w:p>
    <w:p w14:paraId="17197882" w14:textId="77777777" w:rsidR="009A3EFF" w:rsidRPr="00F90EAE" w:rsidRDefault="009A3EFF" w:rsidP="00F90EAE">
      <w:pPr>
        <w:jc w:val="both"/>
        <w:rPr>
          <w:color w:val="0070C0"/>
          <w:sz w:val="16"/>
          <w:szCs w:val="16"/>
        </w:rPr>
      </w:pPr>
      <w:r w:rsidRPr="00F90EAE">
        <w:rPr>
          <w:color w:val="0070C0"/>
          <w:sz w:val="16"/>
          <w:szCs w:val="16"/>
        </w:rPr>
        <w:t>химиков................................35</w:t>
      </w:r>
    </w:p>
    <w:p w14:paraId="4730E366" w14:textId="77777777" w:rsidR="009A3EFF" w:rsidRPr="00F90EAE" w:rsidRDefault="009A3EFF" w:rsidP="00F90EAE">
      <w:pPr>
        <w:jc w:val="both"/>
        <w:rPr>
          <w:color w:val="0070C0"/>
          <w:sz w:val="16"/>
          <w:szCs w:val="16"/>
        </w:rPr>
      </w:pPr>
      <w:r w:rsidRPr="00F90EAE">
        <w:rPr>
          <w:color w:val="0070C0"/>
          <w:sz w:val="16"/>
          <w:szCs w:val="16"/>
        </w:rPr>
        <w:t>кладовщиков разных служб...............91</w:t>
      </w:r>
    </w:p>
    <w:p w14:paraId="3990A788" w14:textId="77777777" w:rsidR="009A3EFF" w:rsidRPr="00F90EAE" w:rsidRDefault="009A3EFF" w:rsidP="00F90EAE">
      <w:pPr>
        <w:jc w:val="both"/>
        <w:rPr>
          <w:color w:val="0070C0"/>
          <w:sz w:val="16"/>
          <w:szCs w:val="16"/>
        </w:rPr>
      </w:pPr>
      <w:r w:rsidRPr="00F90EAE">
        <w:rPr>
          <w:color w:val="0070C0"/>
          <w:sz w:val="16"/>
          <w:szCs w:val="16"/>
        </w:rPr>
        <w:t>стрелков ...........................  465</w:t>
      </w:r>
    </w:p>
    <w:p w14:paraId="7D77E053" w14:textId="77777777" w:rsidR="009A3EFF" w:rsidRPr="00F90EAE" w:rsidRDefault="009A3EFF" w:rsidP="00F90EAE">
      <w:pPr>
        <w:jc w:val="both"/>
        <w:rPr>
          <w:color w:val="0070C0"/>
          <w:sz w:val="16"/>
          <w:szCs w:val="16"/>
        </w:rPr>
      </w:pPr>
      <w:r w:rsidRPr="00F90EAE">
        <w:rPr>
          <w:color w:val="0070C0"/>
          <w:sz w:val="16"/>
          <w:szCs w:val="16"/>
        </w:rPr>
        <w:t>прожектористов........................ 17</w:t>
      </w:r>
    </w:p>
    <w:p w14:paraId="7AE5BAC6" w14:textId="77777777" w:rsidR="009A3EFF" w:rsidRPr="00F90EAE" w:rsidRDefault="009A3EFF" w:rsidP="00F90EAE">
      <w:pPr>
        <w:jc w:val="both"/>
        <w:rPr>
          <w:color w:val="0070C0"/>
          <w:sz w:val="16"/>
          <w:szCs w:val="16"/>
        </w:rPr>
      </w:pPr>
      <w:r w:rsidRPr="00F90EAE">
        <w:rPr>
          <w:color w:val="0070C0"/>
          <w:sz w:val="16"/>
          <w:szCs w:val="16"/>
        </w:rPr>
        <w:t>поваров...............................100</w:t>
      </w:r>
    </w:p>
    <w:p w14:paraId="5A3B2A0D" w14:textId="77777777" w:rsidR="009A3EFF" w:rsidRPr="00F90EAE" w:rsidRDefault="009A3EFF" w:rsidP="00F90EAE">
      <w:pPr>
        <w:jc w:val="both"/>
        <w:rPr>
          <w:color w:val="0070C0"/>
          <w:sz w:val="16"/>
          <w:szCs w:val="16"/>
        </w:rPr>
      </w:pPr>
      <w:r w:rsidRPr="00F90EAE">
        <w:rPr>
          <w:color w:val="0070C0"/>
          <w:sz w:val="16"/>
          <w:szCs w:val="16"/>
        </w:rPr>
        <w:t>других специальностей ............... 747</w:t>
      </w:r>
    </w:p>
    <w:p w14:paraId="2AC912C2" w14:textId="77777777" w:rsidR="009A3EFF" w:rsidRPr="00F90EAE" w:rsidRDefault="009A3EFF" w:rsidP="00F90EAE">
      <w:pPr>
        <w:jc w:val="both"/>
        <w:rPr>
          <w:color w:val="0070C0"/>
          <w:sz w:val="16"/>
          <w:szCs w:val="16"/>
        </w:rPr>
      </w:pPr>
      <w:r w:rsidRPr="00F90EAE">
        <w:rPr>
          <w:color w:val="0070C0"/>
          <w:sz w:val="16"/>
          <w:szCs w:val="16"/>
        </w:rPr>
        <w:t>[...].</w:t>
      </w:r>
    </w:p>
    <w:p w14:paraId="7EE174BD" w14:textId="77777777" w:rsidR="009A3EFF" w:rsidRPr="00F90EAE" w:rsidRDefault="009A3EFF" w:rsidP="00F90EAE">
      <w:pPr>
        <w:jc w:val="both"/>
        <w:rPr>
          <w:color w:val="0070C0"/>
          <w:sz w:val="16"/>
          <w:szCs w:val="16"/>
        </w:rPr>
      </w:pPr>
      <w:r w:rsidRPr="00F90EAE">
        <w:rPr>
          <w:color w:val="0070C0"/>
          <w:sz w:val="16"/>
          <w:szCs w:val="16"/>
        </w:rPr>
        <w:t>8. Авиагруппой на территории Югославии изыскано и вновь построено 24 аэродрома. Восстановлено 14 разрушенных аэродромов [...].</w:t>
      </w:r>
    </w:p>
    <w:p w14:paraId="2A4875D1" w14:textId="77777777" w:rsidR="009A3EFF" w:rsidRPr="00F90EAE" w:rsidRDefault="009A3EFF" w:rsidP="00F90EAE">
      <w:pPr>
        <w:jc w:val="both"/>
        <w:rPr>
          <w:color w:val="0070C0"/>
          <w:sz w:val="16"/>
          <w:szCs w:val="16"/>
        </w:rPr>
      </w:pPr>
      <w:r w:rsidRPr="00F90EAE">
        <w:rPr>
          <w:color w:val="0070C0"/>
          <w:sz w:val="16"/>
          <w:szCs w:val="16"/>
        </w:rPr>
        <w:t>На вновь построенных и восстановленных аэродромах силами аэродромного отдела сооружены: КП, [противохимические убежища, жилые и технические землянки, восстановлены капитальные сооружения на аэродромах Нови-Сад, Земун и другие.</w:t>
      </w:r>
    </w:p>
    <w:p w14:paraId="38DC8FD8" w14:textId="77777777" w:rsidR="009A3EFF" w:rsidRPr="00F90EAE" w:rsidRDefault="009A3EFF" w:rsidP="00F90EAE">
      <w:pPr>
        <w:jc w:val="both"/>
        <w:rPr>
          <w:color w:val="0070C0"/>
          <w:sz w:val="16"/>
          <w:szCs w:val="16"/>
        </w:rPr>
      </w:pPr>
      <w:r w:rsidRPr="00F90EAE">
        <w:rPr>
          <w:color w:val="0070C0"/>
          <w:sz w:val="16"/>
          <w:szCs w:val="16"/>
        </w:rPr>
        <w:t>9. [,..].</w:t>
      </w:r>
    </w:p>
    <w:p w14:paraId="00871ECD" w14:textId="77777777" w:rsidR="009A3EFF" w:rsidRPr="00F90EAE" w:rsidRDefault="009A3EFF" w:rsidP="00F90EAE">
      <w:pPr>
        <w:jc w:val="both"/>
        <w:rPr>
          <w:color w:val="0070C0"/>
          <w:sz w:val="16"/>
          <w:szCs w:val="16"/>
        </w:rPr>
      </w:pPr>
      <w:r w:rsidRPr="00F90EAE">
        <w:rPr>
          <w:color w:val="0070C0"/>
          <w:sz w:val="16"/>
          <w:szCs w:val="16"/>
        </w:rPr>
        <w:t>Сдано самолетов частям ВВС ЮА</w:t>
      </w:r>
    </w:p>
    <w:p w14:paraId="5AB53CF8" w14:textId="77777777" w:rsidR="009A3EFF" w:rsidRPr="00F90EAE" w:rsidRDefault="009A3EFF" w:rsidP="00F90EAE">
      <w:pPr>
        <w:jc w:val="both"/>
        <w:rPr>
          <w:color w:val="0070C0"/>
          <w:sz w:val="16"/>
          <w:szCs w:val="16"/>
        </w:rPr>
      </w:pPr>
      <w:r w:rsidRPr="00F90EAE">
        <w:rPr>
          <w:color w:val="0070C0"/>
          <w:sz w:val="16"/>
          <w:szCs w:val="16"/>
        </w:rPr>
        <w:t>Наименование  части</w:t>
      </w:r>
      <w:r w:rsidRPr="00F90EAE">
        <w:rPr>
          <w:color w:val="0070C0"/>
          <w:sz w:val="16"/>
          <w:szCs w:val="16"/>
        </w:rPr>
        <w:tab/>
        <w:t>Ил-2</w:t>
      </w:r>
      <w:r w:rsidRPr="00F90EAE">
        <w:rPr>
          <w:color w:val="0070C0"/>
          <w:sz w:val="16"/>
          <w:szCs w:val="16"/>
        </w:rPr>
        <w:tab/>
        <w:t>Истр.</w:t>
      </w:r>
      <w:r w:rsidRPr="00F90EAE">
        <w:rPr>
          <w:color w:val="0070C0"/>
          <w:sz w:val="16"/>
          <w:szCs w:val="16"/>
        </w:rPr>
        <w:tab/>
        <w:t>УИл-2</w:t>
      </w:r>
      <w:r w:rsidRPr="00F90EAE">
        <w:rPr>
          <w:color w:val="0070C0"/>
          <w:sz w:val="16"/>
          <w:szCs w:val="16"/>
        </w:rPr>
        <w:tab/>
        <w:t>Як-7у  Як-9у</w:t>
      </w:r>
      <w:r w:rsidRPr="00F90EAE">
        <w:rPr>
          <w:color w:val="0070C0"/>
          <w:sz w:val="16"/>
          <w:szCs w:val="16"/>
        </w:rPr>
        <w:tab/>
        <w:t>По-2</w:t>
      </w:r>
      <w:r w:rsidRPr="00F90EAE">
        <w:rPr>
          <w:color w:val="0070C0"/>
          <w:sz w:val="16"/>
          <w:szCs w:val="16"/>
        </w:rPr>
        <w:tab/>
        <w:t>Ут-2</w:t>
      </w:r>
    </w:p>
    <w:p w14:paraId="75F0CD29" w14:textId="77777777" w:rsidR="009A3EFF" w:rsidRPr="00F90EAE" w:rsidRDefault="009A3EFF" w:rsidP="00F90EAE">
      <w:pPr>
        <w:jc w:val="both"/>
        <w:rPr>
          <w:color w:val="0070C0"/>
          <w:sz w:val="16"/>
          <w:szCs w:val="16"/>
        </w:rPr>
      </w:pPr>
      <w:r w:rsidRPr="00F90EAE">
        <w:rPr>
          <w:color w:val="0070C0"/>
          <w:sz w:val="16"/>
          <w:szCs w:val="16"/>
        </w:rPr>
        <w:t>10 гв. шаш:кд</w:t>
      </w:r>
      <w:r w:rsidRPr="00F90EAE">
        <w:rPr>
          <w:color w:val="0070C0"/>
          <w:sz w:val="16"/>
          <w:szCs w:val="16"/>
        </w:rPr>
        <w:tab/>
        <w:t>78</w:t>
      </w:r>
      <w:r w:rsidRPr="00F90EAE">
        <w:rPr>
          <w:color w:val="0070C0"/>
          <w:sz w:val="16"/>
          <w:szCs w:val="16"/>
        </w:rPr>
        <w:tab/>
      </w:r>
      <w:r w:rsidRPr="00F90EAE">
        <w:rPr>
          <w:color w:val="0070C0"/>
          <w:sz w:val="16"/>
          <w:szCs w:val="16"/>
        </w:rPr>
        <w:tab/>
        <w:t>4</w:t>
      </w:r>
      <w:r w:rsidRPr="00F90EAE">
        <w:rPr>
          <w:color w:val="0070C0"/>
          <w:sz w:val="16"/>
          <w:szCs w:val="16"/>
        </w:rPr>
        <w:tab/>
      </w:r>
      <w:r w:rsidRPr="00F90EAE">
        <w:rPr>
          <w:color w:val="0070C0"/>
          <w:sz w:val="16"/>
          <w:szCs w:val="16"/>
        </w:rPr>
        <w:tab/>
        <w:t>4</w:t>
      </w:r>
      <w:r w:rsidRPr="00F90EAE">
        <w:rPr>
          <w:color w:val="0070C0"/>
          <w:sz w:val="16"/>
          <w:szCs w:val="16"/>
        </w:rPr>
        <w:tab/>
        <w:t>___</w:t>
      </w:r>
    </w:p>
    <w:p w14:paraId="31FB85BF" w14:textId="77777777" w:rsidR="009A3EFF" w:rsidRPr="00F90EAE" w:rsidRDefault="009A3EFF" w:rsidP="00F90EAE">
      <w:pPr>
        <w:jc w:val="both"/>
        <w:rPr>
          <w:color w:val="0070C0"/>
          <w:sz w:val="16"/>
          <w:szCs w:val="16"/>
        </w:rPr>
      </w:pPr>
      <w:r w:rsidRPr="00F90EAE">
        <w:rPr>
          <w:color w:val="0070C0"/>
          <w:sz w:val="16"/>
          <w:szCs w:val="16"/>
        </w:rPr>
        <w:t>236 иалкд</w:t>
      </w:r>
      <w:r w:rsidRPr="00F90EAE">
        <w:rPr>
          <w:color w:val="0070C0"/>
          <w:sz w:val="16"/>
          <w:szCs w:val="16"/>
        </w:rPr>
        <w:tab/>
        <w:t>—</w:t>
      </w:r>
      <w:r w:rsidRPr="00F90EAE">
        <w:rPr>
          <w:color w:val="0070C0"/>
          <w:sz w:val="16"/>
          <w:szCs w:val="16"/>
        </w:rPr>
        <w:tab/>
        <w:t>102</w:t>
      </w:r>
      <w:r w:rsidRPr="00F90EAE">
        <w:rPr>
          <w:color w:val="0070C0"/>
          <w:sz w:val="16"/>
          <w:szCs w:val="16"/>
        </w:rPr>
        <w:tab/>
        <w:t>—</w:t>
      </w:r>
      <w:r w:rsidRPr="00F90EAE">
        <w:rPr>
          <w:color w:val="0070C0"/>
          <w:sz w:val="16"/>
          <w:szCs w:val="16"/>
        </w:rPr>
        <w:tab/>
        <w:t>5</w:t>
      </w:r>
      <w:r w:rsidRPr="00F90EAE">
        <w:rPr>
          <w:color w:val="0070C0"/>
          <w:sz w:val="16"/>
          <w:szCs w:val="16"/>
        </w:rPr>
        <w:tab/>
        <w:t>3</w:t>
      </w:r>
      <w:r w:rsidRPr="00F90EAE">
        <w:rPr>
          <w:color w:val="0070C0"/>
          <w:sz w:val="16"/>
          <w:szCs w:val="16"/>
        </w:rPr>
        <w:tab/>
        <w:t>1</w:t>
      </w:r>
    </w:p>
    <w:p w14:paraId="1946C0F0" w14:textId="77777777" w:rsidR="009A3EFF" w:rsidRPr="00F90EAE" w:rsidRDefault="009A3EFF" w:rsidP="00F90EAE">
      <w:pPr>
        <w:jc w:val="both"/>
        <w:rPr>
          <w:color w:val="0070C0"/>
          <w:sz w:val="16"/>
          <w:szCs w:val="16"/>
        </w:rPr>
      </w:pPr>
      <w:r w:rsidRPr="00F90EAE">
        <w:rPr>
          <w:color w:val="0070C0"/>
          <w:sz w:val="16"/>
          <w:szCs w:val="16"/>
        </w:rPr>
        <w:t>Итого. ,у*Т</w:t>
      </w:r>
      <w:r w:rsidRPr="00F90EAE">
        <w:rPr>
          <w:color w:val="0070C0"/>
          <w:sz w:val="16"/>
          <w:szCs w:val="16"/>
        </w:rPr>
        <w:tab/>
        <w:t>78</w:t>
      </w:r>
      <w:r w:rsidRPr="00F90EAE">
        <w:rPr>
          <w:color w:val="0070C0"/>
          <w:sz w:val="16"/>
          <w:szCs w:val="16"/>
        </w:rPr>
        <w:tab/>
        <w:t>102</w:t>
      </w:r>
      <w:r w:rsidRPr="00F90EAE">
        <w:rPr>
          <w:color w:val="0070C0"/>
          <w:sz w:val="16"/>
          <w:szCs w:val="16"/>
        </w:rPr>
        <w:tab/>
        <w:t>4</w:t>
      </w:r>
      <w:r w:rsidRPr="00F90EAE">
        <w:rPr>
          <w:color w:val="0070C0"/>
          <w:sz w:val="16"/>
          <w:szCs w:val="16"/>
        </w:rPr>
        <w:tab/>
        <w:t>5</w:t>
      </w:r>
      <w:r w:rsidRPr="00F90EAE">
        <w:rPr>
          <w:color w:val="0070C0"/>
          <w:sz w:val="16"/>
          <w:szCs w:val="16"/>
        </w:rPr>
        <w:tab/>
        <w:t>7</w:t>
      </w:r>
      <w:r w:rsidRPr="00F90EAE">
        <w:rPr>
          <w:color w:val="0070C0"/>
          <w:sz w:val="16"/>
          <w:szCs w:val="16"/>
        </w:rPr>
        <w:tab/>
        <w:t>1</w:t>
      </w:r>
    </w:p>
    <w:p w14:paraId="4A6474C7" w14:textId="77777777" w:rsidR="009A3EFF" w:rsidRPr="00F90EAE" w:rsidRDefault="009A3EFF" w:rsidP="00F90EAE">
      <w:pPr>
        <w:jc w:val="both"/>
        <w:rPr>
          <w:color w:val="0070C0"/>
          <w:sz w:val="16"/>
          <w:szCs w:val="16"/>
        </w:rPr>
      </w:pPr>
      <w:r w:rsidRPr="00F90EAE">
        <w:rPr>
          <w:color w:val="0070C0"/>
          <w:sz w:val="16"/>
          <w:szCs w:val="16"/>
        </w:rPr>
        <w:t>Примечание. Два самолета Ил-2 и три истребителя переделаны на учебные.</w:t>
      </w:r>
    </w:p>
    <w:p w14:paraId="0AE0DBF9" w14:textId="77777777" w:rsidR="009A3EFF" w:rsidRPr="00F90EAE" w:rsidRDefault="009A3EFF" w:rsidP="00F90EAE">
      <w:pPr>
        <w:jc w:val="both"/>
        <w:rPr>
          <w:color w:val="0070C0"/>
          <w:sz w:val="16"/>
          <w:szCs w:val="16"/>
        </w:rPr>
      </w:pPr>
      <w:r w:rsidRPr="00F90EAE">
        <w:rPr>
          <w:color w:val="0070C0"/>
          <w:sz w:val="16"/>
          <w:szCs w:val="16"/>
        </w:rPr>
        <w:t>Авиагруппа за период боевой работы на территории Югославии все материально-техническое обеспечение получала из 17 ВА через 9 район авиационного базирования и не имела случаев срыва боевой работы из-за [не]обеспечения.</w:t>
      </w:r>
    </w:p>
    <w:p w14:paraId="6F63A596" w14:textId="77777777" w:rsidR="009A3EFF" w:rsidRPr="00F90EAE" w:rsidRDefault="009A3EFF" w:rsidP="00F90EAE">
      <w:pPr>
        <w:jc w:val="both"/>
        <w:rPr>
          <w:color w:val="0070C0"/>
          <w:sz w:val="16"/>
          <w:szCs w:val="16"/>
        </w:rPr>
      </w:pPr>
      <w:r w:rsidRPr="00F90EAE">
        <w:rPr>
          <w:color w:val="0070C0"/>
          <w:sz w:val="16"/>
          <w:szCs w:val="16"/>
        </w:rPr>
        <w:t>Сдано частям ВЗС Югославской армии:</w:t>
      </w:r>
    </w:p>
    <w:p w14:paraId="5CD46C4B" w14:textId="77777777" w:rsidR="009A3EFF" w:rsidRPr="00F90EAE" w:rsidRDefault="009A3EFF" w:rsidP="00F90EAE">
      <w:pPr>
        <w:jc w:val="both"/>
        <w:rPr>
          <w:color w:val="0070C0"/>
          <w:sz w:val="16"/>
          <w:szCs w:val="16"/>
        </w:rPr>
      </w:pPr>
      <w:r w:rsidRPr="00F90EAE">
        <w:rPr>
          <w:color w:val="0070C0"/>
          <w:sz w:val="16"/>
          <w:szCs w:val="16"/>
        </w:rPr>
        <w:t>[шт.]</w:t>
      </w:r>
    </w:p>
    <w:p w14:paraId="5C4B5C60" w14:textId="77777777" w:rsidR="009A3EFF" w:rsidRPr="00F90EAE" w:rsidRDefault="009A3EFF" w:rsidP="00F90EAE">
      <w:pPr>
        <w:jc w:val="both"/>
        <w:rPr>
          <w:color w:val="0070C0"/>
          <w:sz w:val="16"/>
          <w:szCs w:val="16"/>
        </w:rPr>
      </w:pPr>
      <w:r w:rsidRPr="00F90EAE">
        <w:rPr>
          <w:color w:val="0070C0"/>
          <w:sz w:val="16"/>
          <w:szCs w:val="16"/>
        </w:rPr>
        <w:t>автомашин разных......................433</w:t>
      </w:r>
    </w:p>
    <w:p w14:paraId="5223B4A0" w14:textId="77777777" w:rsidR="009A3EFF" w:rsidRPr="00F90EAE" w:rsidRDefault="009A3EFF" w:rsidP="00F90EAE">
      <w:pPr>
        <w:jc w:val="both"/>
        <w:rPr>
          <w:color w:val="0070C0"/>
          <w:sz w:val="16"/>
          <w:szCs w:val="16"/>
        </w:rPr>
      </w:pPr>
      <w:r w:rsidRPr="00F90EAE">
        <w:rPr>
          <w:color w:val="0070C0"/>
          <w:sz w:val="16"/>
          <w:szCs w:val="16"/>
        </w:rPr>
        <w:t>тракторов..............................40</w:t>
      </w:r>
    </w:p>
    <w:p w14:paraId="3ED55197" w14:textId="77777777" w:rsidR="009A3EFF" w:rsidRPr="00F90EAE" w:rsidRDefault="009A3EFF" w:rsidP="00F90EAE">
      <w:pPr>
        <w:jc w:val="both"/>
        <w:rPr>
          <w:color w:val="0070C0"/>
          <w:sz w:val="16"/>
          <w:szCs w:val="16"/>
        </w:rPr>
      </w:pPr>
      <w:r w:rsidRPr="00F90EAE">
        <w:rPr>
          <w:color w:val="0070C0"/>
          <w:sz w:val="16"/>
          <w:szCs w:val="16"/>
        </w:rPr>
        <w:t>радиостанций ......................... 51</w:t>
      </w:r>
    </w:p>
    <w:p w14:paraId="18A7E42D" w14:textId="77777777" w:rsidR="009A3EFF" w:rsidRPr="00F90EAE" w:rsidRDefault="009A3EFF" w:rsidP="00F90EAE">
      <w:pPr>
        <w:jc w:val="both"/>
        <w:rPr>
          <w:color w:val="0070C0"/>
          <w:sz w:val="16"/>
          <w:szCs w:val="16"/>
        </w:rPr>
      </w:pPr>
      <w:r w:rsidRPr="00F90EAE">
        <w:rPr>
          <w:color w:val="0070C0"/>
          <w:sz w:val="16"/>
          <w:szCs w:val="16"/>
        </w:rPr>
        <w:t>компрессоров........................... 5</w:t>
      </w:r>
    </w:p>
    <w:p w14:paraId="7BE94F69" w14:textId="77777777" w:rsidR="009A3EFF" w:rsidRPr="00F90EAE" w:rsidRDefault="009A3EFF" w:rsidP="00F90EAE">
      <w:pPr>
        <w:jc w:val="both"/>
        <w:rPr>
          <w:color w:val="0070C0"/>
          <w:sz w:val="16"/>
          <w:szCs w:val="16"/>
        </w:rPr>
      </w:pPr>
      <w:r w:rsidRPr="00F90EAE">
        <w:rPr>
          <w:color w:val="0070C0"/>
          <w:sz w:val="16"/>
          <w:szCs w:val="16"/>
        </w:rPr>
        <w:t>зарядных станций .</w:t>
      </w:r>
      <w:r w:rsidRPr="00F90EAE">
        <w:rPr>
          <w:color w:val="0070C0"/>
          <w:sz w:val="16"/>
          <w:szCs w:val="16"/>
        </w:rPr>
        <w:tab/>
        <w:t xml:space="preserve">   6</w:t>
      </w:r>
    </w:p>
    <w:p w14:paraId="409870C5" w14:textId="77777777" w:rsidR="009A3EFF" w:rsidRPr="00F90EAE" w:rsidRDefault="009A3EFF" w:rsidP="00F90EAE">
      <w:pPr>
        <w:jc w:val="both"/>
        <w:rPr>
          <w:color w:val="0070C0"/>
          <w:sz w:val="16"/>
          <w:szCs w:val="16"/>
        </w:rPr>
      </w:pPr>
      <w:r w:rsidRPr="00F90EAE">
        <w:rPr>
          <w:color w:val="0070C0"/>
          <w:sz w:val="16"/>
          <w:szCs w:val="16"/>
        </w:rPr>
        <w:t>воздушных баллонов....................200</w:t>
      </w:r>
    </w:p>
    <w:p w14:paraId="332B18B3" w14:textId="77777777" w:rsidR="009A3EFF" w:rsidRPr="00F90EAE" w:rsidRDefault="009A3EFF" w:rsidP="00F90EAE">
      <w:pPr>
        <w:jc w:val="both"/>
        <w:rPr>
          <w:color w:val="0070C0"/>
          <w:sz w:val="16"/>
          <w:szCs w:val="16"/>
        </w:rPr>
      </w:pPr>
      <w:r w:rsidRPr="00F90EAE">
        <w:rPr>
          <w:color w:val="0070C0"/>
          <w:sz w:val="16"/>
          <w:szCs w:val="16"/>
        </w:rPr>
        <w:t>телефонных аппаратов..................190</w:t>
      </w:r>
    </w:p>
    <w:p w14:paraId="175F4A6B" w14:textId="77777777" w:rsidR="009A3EFF" w:rsidRPr="00F90EAE" w:rsidRDefault="009A3EFF" w:rsidP="00F90EAE">
      <w:pPr>
        <w:jc w:val="both"/>
        <w:rPr>
          <w:color w:val="0070C0"/>
          <w:sz w:val="16"/>
          <w:szCs w:val="16"/>
        </w:rPr>
      </w:pPr>
      <w:r w:rsidRPr="00F90EAE">
        <w:rPr>
          <w:color w:val="0070C0"/>
          <w:sz w:val="16"/>
          <w:szCs w:val="16"/>
        </w:rPr>
        <w:t>коммутаторов........................... 8</w:t>
      </w:r>
    </w:p>
    <w:p w14:paraId="3DB6B7F9" w14:textId="77777777" w:rsidR="009A3EFF" w:rsidRPr="00F90EAE" w:rsidRDefault="009A3EFF" w:rsidP="00F90EAE">
      <w:pPr>
        <w:jc w:val="both"/>
        <w:rPr>
          <w:color w:val="0070C0"/>
          <w:sz w:val="16"/>
          <w:szCs w:val="16"/>
        </w:rPr>
      </w:pPr>
      <w:r w:rsidRPr="00F90EAE">
        <w:rPr>
          <w:color w:val="0070C0"/>
          <w:sz w:val="16"/>
          <w:szCs w:val="16"/>
        </w:rPr>
        <w:t>номерников ............................ 2</w:t>
      </w:r>
    </w:p>
    <w:p w14:paraId="25BCA1C7" w14:textId="77777777" w:rsidR="009A3EFF" w:rsidRPr="00F90EAE" w:rsidRDefault="009A3EFF" w:rsidP="00F90EAE">
      <w:pPr>
        <w:jc w:val="both"/>
        <w:rPr>
          <w:color w:val="0070C0"/>
          <w:sz w:val="16"/>
          <w:szCs w:val="16"/>
        </w:rPr>
      </w:pPr>
      <w:r w:rsidRPr="00F90EAE">
        <w:rPr>
          <w:color w:val="0070C0"/>
          <w:sz w:val="16"/>
          <w:szCs w:val="16"/>
        </w:rPr>
        <w:t>аппаратов СТ-35 ....................... 7</w:t>
      </w:r>
    </w:p>
    <w:p w14:paraId="50970C5C" w14:textId="77777777" w:rsidR="009A3EFF" w:rsidRPr="00F90EAE" w:rsidRDefault="009A3EFF" w:rsidP="00F90EAE">
      <w:pPr>
        <w:jc w:val="both"/>
        <w:rPr>
          <w:color w:val="0070C0"/>
          <w:sz w:val="16"/>
          <w:szCs w:val="16"/>
        </w:rPr>
      </w:pPr>
      <w:r w:rsidRPr="00F90EAE">
        <w:rPr>
          <w:color w:val="0070C0"/>
          <w:sz w:val="16"/>
          <w:szCs w:val="16"/>
        </w:rPr>
        <w:t>[аппаратов] Морзе..................... 15</w:t>
      </w:r>
    </w:p>
    <w:p w14:paraId="4DC200AF" w14:textId="77777777" w:rsidR="009A3EFF" w:rsidRPr="00F90EAE" w:rsidRDefault="009A3EFF" w:rsidP="00F90EAE">
      <w:pPr>
        <w:jc w:val="both"/>
        <w:rPr>
          <w:color w:val="0070C0"/>
          <w:sz w:val="16"/>
          <w:szCs w:val="16"/>
        </w:rPr>
      </w:pPr>
      <w:r w:rsidRPr="00F90EAE">
        <w:rPr>
          <w:color w:val="0070C0"/>
          <w:sz w:val="16"/>
          <w:szCs w:val="16"/>
        </w:rPr>
        <w:t>телефонного кабеля .................. 270</w:t>
      </w:r>
    </w:p>
    <w:p w14:paraId="26A11C8E" w14:textId="77777777" w:rsidR="009A3EFF" w:rsidRPr="00F90EAE" w:rsidRDefault="009A3EFF" w:rsidP="00F90EAE">
      <w:pPr>
        <w:jc w:val="both"/>
        <w:rPr>
          <w:color w:val="0070C0"/>
          <w:sz w:val="16"/>
          <w:szCs w:val="16"/>
        </w:rPr>
      </w:pPr>
      <w:r w:rsidRPr="00F90EAE">
        <w:rPr>
          <w:color w:val="0070C0"/>
          <w:sz w:val="16"/>
          <w:szCs w:val="16"/>
        </w:rPr>
        <w:t>движков ............................... 3</w:t>
      </w:r>
    </w:p>
    <w:p w14:paraId="0DD14B68" w14:textId="77777777" w:rsidR="009A3EFF" w:rsidRPr="00F90EAE" w:rsidRDefault="009A3EFF" w:rsidP="00F90EAE">
      <w:pPr>
        <w:jc w:val="both"/>
        <w:rPr>
          <w:color w:val="0070C0"/>
          <w:sz w:val="16"/>
          <w:szCs w:val="16"/>
        </w:rPr>
      </w:pPr>
      <w:r w:rsidRPr="00F90EAE">
        <w:rPr>
          <w:color w:val="0070C0"/>
          <w:sz w:val="16"/>
          <w:szCs w:val="16"/>
        </w:rPr>
        <w:t>приемников ............................ 8</w:t>
      </w:r>
    </w:p>
    <w:p w14:paraId="314683C3" w14:textId="77777777" w:rsidR="009A3EFF" w:rsidRPr="00F90EAE" w:rsidRDefault="009A3EFF" w:rsidP="00F90EAE">
      <w:pPr>
        <w:jc w:val="both"/>
        <w:rPr>
          <w:color w:val="0070C0"/>
          <w:sz w:val="16"/>
          <w:szCs w:val="16"/>
        </w:rPr>
      </w:pPr>
      <w:r w:rsidRPr="00F90EAE">
        <w:rPr>
          <w:color w:val="0070C0"/>
          <w:sz w:val="16"/>
          <w:szCs w:val="16"/>
        </w:rPr>
        <w:t>аккумуляторов ........................ 50</w:t>
      </w:r>
    </w:p>
    <w:p w14:paraId="7939A568" w14:textId="77777777" w:rsidR="009A3EFF" w:rsidRPr="00F90EAE" w:rsidRDefault="009A3EFF" w:rsidP="00F90EAE">
      <w:pPr>
        <w:jc w:val="both"/>
        <w:rPr>
          <w:color w:val="0070C0"/>
          <w:sz w:val="16"/>
          <w:szCs w:val="16"/>
        </w:rPr>
      </w:pPr>
      <w:r w:rsidRPr="00F90EAE">
        <w:rPr>
          <w:color w:val="0070C0"/>
          <w:sz w:val="16"/>
          <w:szCs w:val="16"/>
        </w:rPr>
        <w:t>зенитных орудий 25-мм.................. 8</w:t>
      </w:r>
    </w:p>
    <w:p w14:paraId="338B7141" w14:textId="77777777" w:rsidR="009A3EFF" w:rsidRPr="00F90EAE" w:rsidRDefault="009A3EFF" w:rsidP="00F90EAE">
      <w:pPr>
        <w:jc w:val="both"/>
        <w:rPr>
          <w:color w:val="0070C0"/>
          <w:sz w:val="16"/>
          <w:szCs w:val="16"/>
        </w:rPr>
      </w:pPr>
      <w:r w:rsidRPr="00F90EAE">
        <w:rPr>
          <w:color w:val="0070C0"/>
          <w:sz w:val="16"/>
          <w:szCs w:val="16"/>
        </w:rPr>
        <w:t>(зенитных орудий) 20-мм............... 50</w:t>
      </w:r>
    </w:p>
    <w:p w14:paraId="0784A8CD" w14:textId="77777777" w:rsidR="009A3EFF" w:rsidRPr="00F90EAE" w:rsidRDefault="009A3EFF" w:rsidP="00F90EAE">
      <w:pPr>
        <w:jc w:val="both"/>
        <w:rPr>
          <w:color w:val="0070C0"/>
          <w:sz w:val="16"/>
          <w:szCs w:val="16"/>
        </w:rPr>
      </w:pPr>
      <w:r w:rsidRPr="00F90EAE">
        <w:rPr>
          <w:color w:val="0070C0"/>
          <w:sz w:val="16"/>
          <w:szCs w:val="16"/>
        </w:rPr>
        <w:t>(зенитных орудий) швак................. 1</w:t>
      </w:r>
    </w:p>
    <w:p w14:paraId="074C8051" w14:textId="77777777" w:rsidR="009A3EFF" w:rsidRPr="00F90EAE" w:rsidRDefault="009A3EFF" w:rsidP="00F90EAE">
      <w:pPr>
        <w:jc w:val="both"/>
        <w:rPr>
          <w:color w:val="0070C0"/>
          <w:sz w:val="16"/>
          <w:szCs w:val="16"/>
        </w:rPr>
      </w:pPr>
      <w:r w:rsidRPr="00F90EAE">
        <w:rPr>
          <w:color w:val="0070C0"/>
          <w:sz w:val="16"/>
          <w:szCs w:val="16"/>
        </w:rPr>
        <w:t>крупнокалиберных пулеметов 12,7-мм .</w:t>
      </w:r>
      <w:r w:rsidRPr="00F90EAE">
        <w:rPr>
          <w:color w:val="0070C0"/>
          <w:sz w:val="16"/>
          <w:szCs w:val="16"/>
        </w:rPr>
        <w:tab/>
        <w:t>4</w:t>
      </w:r>
    </w:p>
    <w:p w14:paraId="1CE34D9D" w14:textId="77777777" w:rsidR="009A3EFF" w:rsidRPr="00F90EAE" w:rsidRDefault="009A3EFF" w:rsidP="00F90EAE">
      <w:pPr>
        <w:jc w:val="both"/>
        <w:rPr>
          <w:color w:val="0070C0"/>
          <w:sz w:val="16"/>
          <w:szCs w:val="16"/>
        </w:rPr>
      </w:pPr>
      <w:r w:rsidRPr="00F90EAE">
        <w:rPr>
          <w:color w:val="0070C0"/>
          <w:sz w:val="16"/>
          <w:szCs w:val="16"/>
        </w:rPr>
        <w:t>Передано: Б-78 и Б-100 .............. 500</w:t>
      </w:r>
    </w:p>
    <w:p w14:paraId="57253DA0" w14:textId="77777777" w:rsidR="009A3EFF" w:rsidRPr="00F90EAE" w:rsidRDefault="009A3EFF" w:rsidP="00F90EAE">
      <w:pPr>
        <w:jc w:val="both"/>
        <w:rPr>
          <w:color w:val="0070C0"/>
          <w:sz w:val="16"/>
          <w:szCs w:val="16"/>
        </w:rPr>
      </w:pPr>
      <w:r w:rsidRPr="00F90EAE">
        <w:rPr>
          <w:color w:val="0070C0"/>
          <w:sz w:val="16"/>
          <w:szCs w:val="16"/>
        </w:rPr>
        <w:t>Б-70.......................120</w:t>
      </w:r>
    </w:p>
    <w:p w14:paraId="4ABA08CD" w14:textId="77777777" w:rsidR="009A3EFF" w:rsidRPr="00F90EAE" w:rsidRDefault="009A3EFF" w:rsidP="00F90EAE">
      <w:pPr>
        <w:jc w:val="both"/>
        <w:rPr>
          <w:color w:val="0070C0"/>
          <w:sz w:val="16"/>
          <w:szCs w:val="16"/>
        </w:rPr>
      </w:pPr>
      <w:r w:rsidRPr="00F90EAE">
        <w:rPr>
          <w:color w:val="0070C0"/>
          <w:sz w:val="16"/>
          <w:szCs w:val="16"/>
        </w:rPr>
        <w:t>авиамасла .......</w:t>
      </w:r>
      <w:r w:rsidRPr="00F90EAE">
        <w:rPr>
          <w:color w:val="0070C0"/>
          <w:sz w:val="16"/>
          <w:szCs w:val="16"/>
        </w:rPr>
        <w:tab/>
        <w:t>70</w:t>
      </w:r>
    </w:p>
    <w:p w14:paraId="5DF08CF8" w14:textId="77777777" w:rsidR="009A3EFF" w:rsidRPr="00F90EAE" w:rsidRDefault="009A3EFF" w:rsidP="00F90EAE">
      <w:pPr>
        <w:jc w:val="both"/>
        <w:rPr>
          <w:color w:val="0070C0"/>
          <w:sz w:val="16"/>
          <w:szCs w:val="16"/>
        </w:rPr>
      </w:pPr>
      <w:r w:rsidRPr="00F90EAE">
        <w:rPr>
          <w:color w:val="0070C0"/>
          <w:sz w:val="16"/>
          <w:szCs w:val="16"/>
        </w:rPr>
        <w:t>автогорючего ..............150</w:t>
      </w:r>
    </w:p>
    <w:p w14:paraId="705CE088" w14:textId="77777777" w:rsidR="009A3EFF" w:rsidRPr="00F90EAE" w:rsidRDefault="009A3EFF" w:rsidP="00F90EAE">
      <w:pPr>
        <w:jc w:val="both"/>
        <w:rPr>
          <w:color w:val="0070C0"/>
          <w:sz w:val="16"/>
          <w:szCs w:val="16"/>
        </w:rPr>
      </w:pPr>
      <w:r w:rsidRPr="00F90EAE">
        <w:rPr>
          <w:color w:val="0070C0"/>
          <w:sz w:val="16"/>
          <w:szCs w:val="16"/>
        </w:rPr>
        <w:t>продукта Р-9................ 5</w:t>
      </w:r>
    </w:p>
    <w:p w14:paraId="361EA476" w14:textId="77777777" w:rsidR="009A3EFF" w:rsidRPr="00F90EAE" w:rsidRDefault="009A3EFF" w:rsidP="00F90EAE">
      <w:pPr>
        <w:jc w:val="both"/>
        <w:rPr>
          <w:color w:val="0070C0"/>
          <w:sz w:val="16"/>
          <w:szCs w:val="16"/>
        </w:rPr>
      </w:pPr>
      <w:r w:rsidRPr="00F90EAE">
        <w:rPr>
          <w:color w:val="0070C0"/>
          <w:sz w:val="16"/>
          <w:szCs w:val="16"/>
        </w:rPr>
        <w:t>авиабомб разных калибров, снарядов и патронов .</w:t>
      </w:r>
      <w:r w:rsidRPr="00F90EAE">
        <w:rPr>
          <w:color w:val="0070C0"/>
          <w:sz w:val="16"/>
          <w:szCs w:val="16"/>
        </w:rPr>
        <w:tab/>
        <w:t>.</w:t>
      </w:r>
      <w:r w:rsidRPr="00F90EAE">
        <w:rPr>
          <w:color w:val="0070C0"/>
          <w:sz w:val="16"/>
          <w:szCs w:val="16"/>
        </w:rPr>
        <w:tab/>
        <w:t>. 2500</w:t>
      </w:r>
    </w:p>
    <w:p w14:paraId="509821CD" w14:textId="77777777" w:rsidR="009A3EFF" w:rsidRPr="00F90EAE" w:rsidRDefault="009A3EFF" w:rsidP="00F90EAE">
      <w:pPr>
        <w:jc w:val="both"/>
        <w:rPr>
          <w:color w:val="0070C0"/>
          <w:sz w:val="16"/>
          <w:szCs w:val="16"/>
        </w:rPr>
      </w:pPr>
      <w:r w:rsidRPr="00F90EAE">
        <w:rPr>
          <w:color w:val="0070C0"/>
          <w:sz w:val="16"/>
          <w:szCs w:val="16"/>
        </w:rPr>
        <w:t>авиамоторов, требующих ремонта:</w:t>
      </w:r>
    </w:p>
    <w:p w14:paraId="775594A1" w14:textId="77777777" w:rsidR="009A3EFF" w:rsidRPr="00F90EAE" w:rsidRDefault="009A3EFF" w:rsidP="00F90EAE">
      <w:pPr>
        <w:jc w:val="both"/>
        <w:rPr>
          <w:color w:val="0070C0"/>
          <w:sz w:val="16"/>
          <w:szCs w:val="16"/>
        </w:rPr>
      </w:pPr>
      <w:r w:rsidRPr="00F90EAE">
        <w:rPr>
          <w:color w:val="0070C0"/>
          <w:sz w:val="16"/>
          <w:szCs w:val="16"/>
        </w:rPr>
        <w:t>АМ-38ф .................... 33</w:t>
      </w:r>
    </w:p>
    <w:p w14:paraId="2933D88E" w14:textId="77777777" w:rsidR="009A3EFF" w:rsidRPr="00F90EAE" w:rsidRDefault="009A3EFF" w:rsidP="00F90EAE">
      <w:pPr>
        <w:jc w:val="both"/>
        <w:rPr>
          <w:color w:val="0070C0"/>
          <w:sz w:val="16"/>
          <w:szCs w:val="16"/>
        </w:rPr>
      </w:pPr>
      <w:r w:rsidRPr="00F90EAE">
        <w:rPr>
          <w:color w:val="0070C0"/>
          <w:sz w:val="16"/>
          <w:szCs w:val="16"/>
        </w:rPr>
        <w:t>ВК-105пф....................29</w:t>
      </w:r>
    </w:p>
    <w:p w14:paraId="45078100" w14:textId="77777777" w:rsidR="009A3EFF" w:rsidRPr="00F90EAE" w:rsidRDefault="009A3EFF" w:rsidP="00F90EAE">
      <w:pPr>
        <w:jc w:val="both"/>
        <w:rPr>
          <w:color w:val="0070C0"/>
          <w:sz w:val="16"/>
          <w:szCs w:val="16"/>
        </w:rPr>
      </w:pPr>
      <w:r w:rsidRPr="00F90EAE">
        <w:rPr>
          <w:color w:val="0070C0"/>
          <w:sz w:val="16"/>
          <w:szCs w:val="16"/>
        </w:rPr>
        <w:t>М-11д....................... 2</w:t>
      </w:r>
    </w:p>
    <w:p w14:paraId="4BECA66E" w14:textId="77777777" w:rsidR="009A3EFF" w:rsidRPr="00F90EAE" w:rsidRDefault="009A3EFF" w:rsidP="00F90EAE">
      <w:pPr>
        <w:jc w:val="both"/>
        <w:rPr>
          <w:color w:val="0070C0"/>
          <w:sz w:val="16"/>
          <w:szCs w:val="16"/>
        </w:rPr>
      </w:pPr>
      <w:r w:rsidRPr="00F90EAE">
        <w:rPr>
          <w:color w:val="0070C0"/>
          <w:sz w:val="16"/>
          <w:szCs w:val="16"/>
        </w:rPr>
        <w:t>шлемофонов.................266</w:t>
      </w:r>
    </w:p>
    <w:p w14:paraId="50B9A419" w14:textId="77777777" w:rsidR="009A3EFF" w:rsidRPr="00F90EAE" w:rsidRDefault="009A3EFF" w:rsidP="00F90EAE">
      <w:pPr>
        <w:jc w:val="both"/>
        <w:rPr>
          <w:color w:val="0070C0"/>
          <w:sz w:val="16"/>
          <w:szCs w:val="16"/>
        </w:rPr>
      </w:pPr>
      <w:r w:rsidRPr="00F90EAE">
        <w:rPr>
          <w:color w:val="0070C0"/>
          <w:sz w:val="16"/>
          <w:szCs w:val="16"/>
        </w:rPr>
        <w:t>За отличные боевые действия по освобождению территории Югославии от немецко-фашистских захватчиков орденами Югославии награждены 28 человек. Кроме того, оформлен материал и представлено к награждению 141 чел[овек] руководящего, летного и технического состава авиагруппы.</w:t>
      </w:r>
    </w:p>
    <w:p w14:paraId="7CD940A0" w14:textId="77777777" w:rsidR="009A3EFF" w:rsidRPr="00F90EAE" w:rsidRDefault="009A3EFF" w:rsidP="00F90EAE">
      <w:pPr>
        <w:jc w:val="both"/>
        <w:rPr>
          <w:color w:val="0070C0"/>
          <w:sz w:val="16"/>
          <w:szCs w:val="16"/>
        </w:rPr>
      </w:pPr>
      <w:r w:rsidRPr="00F90EAE">
        <w:rPr>
          <w:color w:val="0070C0"/>
          <w:sz w:val="16"/>
          <w:szCs w:val="16"/>
        </w:rPr>
        <w:t>В помощь организации боевой работы и эксплуатации переданной материальной части в частях ВВС ЮА от авиагруппы до особого распоряжения оставлена группа руководящего офицерского состава в количестве 14 человек</w:t>
      </w:r>
    </w:p>
    <w:p w14:paraId="35912965" w14:textId="77777777" w:rsidR="009A3EFF" w:rsidRPr="00F90EAE" w:rsidRDefault="009A3EFF" w:rsidP="00F90EAE">
      <w:pPr>
        <w:jc w:val="both"/>
        <w:rPr>
          <w:color w:val="0070C0"/>
          <w:sz w:val="16"/>
          <w:szCs w:val="16"/>
        </w:rPr>
      </w:pPr>
      <w:r w:rsidRPr="00F90EAE">
        <w:rPr>
          <w:color w:val="0070C0"/>
          <w:sz w:val="16"/>
          <w:szCs w:val="16"/>
        </w:rPr>
        <w:lastRenderedPageBreak/>
        <w:t>Сдали:</w:t>
      </w:r>
    </w:p>
    <w:p w14:paraId="1CEDD77E" w14:textId="77777777" w:rsidR="009A3EFF" w:rsidRPr="00F90EAE" w:rsidRDefault="009A3EFF" w:rsidP="00F90EAE">
      <w:pPr>
        <w:jc w:val="both"/>
        <w:rPr>
          <w:color w:val="0070C0"/>
          <w:sz w:val="16"/>
          <w:szCs w:val="16"/>
        </w:rPr>
      </w:pPr>
      <w:r w:rsidRPr="00F90EAE">
        <w:rPr>
          <w:color w:val="0070C0"/>
          <w:sz w:val="16"/>
          <w:szCs w:val="16"/>
        </w:rPr>
        <w:t>Председатель комиссии — заместитель командующего 17 ВА генерал-лейтенант авиации Златоцветов</w:t>
      </w:r>
    </w:p>
    <w:p w14:paraId="6B70C168" w14:textId="77777777" w:rsidR="009A3EFF" w:rsidRPr="00F90EAE" w:rsidRDefault="009A3EFF" w:rsidP="00F90EAE">
      <w:pPr>
        <w:jc w:val="both"/>
        <w:rPr>
          <w:color w:val="0070C0"/>
          <w:sz w:val="16"/>
          <w:szCs w:val="16"/>
        </w:rPr>
      </w:pPr>
      <w:r w:rsidRPr="00F90EAE">
        <w:rPr>
          <w:color w:val="0070C0"/>
          <w:sz w:val="16"/>
          <w:szCs w:val="16"/>
        </w:rPr>
        <w:t>[Члены]:</w:t>
      </w:r>
    </w:p>
    <w:p w14:paraId="5FB89B4E" w14:textId="77777777" w:rsidR="009A3EFF" w:rsidRPr="00F90EAE" w:rsidRDefault="009A3EFF" w:rsidP="00F90EAE">
      <w:pPr>
        <w:jc w:val="both"/>
        <w:rPr>
          <w:color w:val="0070C0"/>
          <w:sz w:val="16"/>
          <w:szCs w:val="16"/>
        </w:rPr>
      </w:pPr>
      <w:r w:rsidRPr="00F90EAE">
        <w:rPr>
          <w:color w:val="0070C0"/>
          <w:sz w:val="16"/>
          <w:szCs w:val="16"/>
        </w:rPr>
        <w:t>Представитель политотдела 17 ВА полковник Симонов</w:t>
      </w:r>
    </w:p>
    <w:p w14:paraId="482AE829" w14:textId="77777777" w:rsidR="009A3EFF" w:rsidRPr="00F90EAE" w:rsidRDefault="009A3EFF" w:rsidP="00F90EAE">
      <w:pPr>
        <w:jc w:val="both"/>
        <w:rPr>
          <w:color w:val="0070C0"/>
          <w:sz w:val="16"/>
          <w:szCs w:val="16"/>
        </w:rPr>
      </w:pPr>
      <w:r w:rsidRPr="00F90EAE">
        <w:rPr>
          <w:color w:val="0070C0"/>
          <w:sz w:val="16"/>
          <w:szCs w:val="16"/>
        </w:rPr>
        <w:t>Начальник отдела технического снабжения 17 ВА полковник Прокопенко</w:t>
      </w:r>
    </w:p>
    <w:p w14:paraId="31194B28" w14:textId="77777777" w:rsidR="009A3EFF" w:rsidRPr="00F90EAE" w:rsidRDefault="009A3EFF" w:rsidP="00F90EAE">
      <w:pPr>
        <w:jc w:val="both"/>
        <w:rPr>
          <w:color w:val="0070C0"/>
          <w:sz w:val="16"/>
          <w:szCs w:val="16"/>
        </w:rPr>
      </w:pPr>
      <w:r w:rsidRPr="00F90EAE">
        <w:rPr>
          <w:color w:val="0070C0"/>
          <w:sz w:val="16"/>
          <w:szCs w:val="16"/>
        </w:rPr>
        <w:t>Заместитель главного инженера 17 ВА инженер-полковник Фролов</w:t>
      </w:r>
    </w:p>
    <w:p w14:paraId="32650457" w14:textId="77777777" w:rsidR="009A3EFF" w:rsidRPr="00F90EAE" w:rsidRDefault="009A3EFF" w:rsidP="00F90EAE">
      <w:pPr>
        <w:jc w:val="both"/>
        <w:rPr>
          <w:color w:val="0070C0"/>
          <w:sz w:val="16"/>
          <w:szCs w:val="16"/>
        </w:rPr>
      </w:pPr>
      <w:r w:rsidRPr="00F90EAE">
        <w:rPr>
          <w:color w:val="0070C0"/>
          <w:sz w:val="16"/>
          <w:szCs w:val="16"/>
        </w:rPr>
        <w:t>Заместитель начальника оперативного отдела штаба 17 ВА подполковник Сергеев</w:t>
      </w:r>
    </w:p>
    <w:p w14:paraId="68644A08" w14:textId="77777777" w:rsidR="009A3EFF" w:rsidRPr="00F90EAE" w:rsidRDefault="009A3EFF" w:rsidP="00F90EAE">
      <w:pPr>
        <w:jc w:val="both"/>
        <w:rPr>
          <w:color w:val="0070C0"/>
          <w:sz w:val="16"/>
          <w:szCs w:val="16"/>
        </w:rPr>
      </w:pPr>
      <w:r w:rsidRPr="00F90EAE">
        <w:rPr>
          <w:color w:val="0070C0"/>
          <w:sz w:val="16"/>
          <w:szCs w:val="16"/>
        </w:rPr>
        <w:t>Приняли:</w:t>
      </w:r>
    </w:p>
    <w:p w14:paraId="6A78F93C" w14:textId="77777777" w:rsidR="009A3EFF" w:rsidRPr="00F90EAE" w:rsidRDefault="009A3EFF" w:rsidP="00F90EAE">
      <w:pPr>
        <w:jc w:val="both"/>
        <w:rPr>
          <w:color w:val="0070C0"/>
          <w:sz w:val="16"/>
          <w:szCs w:val="16"/>
        </w:rPr>
      </w:pPr>
      <w:r w:rsidRPr="00F90EAE">
        <w:rPr>
          <w:color w:val="0070C0"/>
          <w:sz w:val="16"/>
          <w:szCs w:val="16"/>
        </w:rPr>
        <w:t>Командир группы авиадивизий ВВС ЮА генерал-майор Лазаревич Комиссар группы авиадивизий подполковник Момчилович</w:t>
      </w:r>
    </w:p>
    <w:p w14:paraId="3DFE54F4" w14:textId="77777777" w:rsidR="009A3EFF" w:rsidRPr="00F90EAE" w:rsidRDefault="009A3EFF" w:rsidP="00F90EAE">
      <w:pPr>
        <w:jc w:val="both"/>
        <w:rPr>
          <w:color w:val="0070C0"/>
          <w:sz w:val="16"/>
          <w:szCs w:val="16"/>
        </w:rPr>
      </w:pPr>
      <w:r w:rsidRPr="00F90EAE">
        <w:rPr>
          <w:color w:val="0070C0"/>
          <w:sz w:val="16"/>
          <w:szCs w:val="16"/>
        </w:rPr>
        <w:t>Начальник штаба группы авиадивизий ЮА генерал-майор Улепич</w:t>
      </w:r>
    </w:p>
    <w:p w14:paraId="610DEC88" w14:textId="77777777" w:rsidR="009A3EFF" w:rsidRPr="00F90EAE" w:rsidRDefault="009A3EFF" w:rsidP="00F90EAE">
      <w:pPr>
        <w:jc w:val="both"/>
        <w:rPr>
          <w:color w:val="0070C0"/>
          <w:sz w:val="16"/>
          <w:szCs w:val="16"/>
        </w:rPr>
      </w:pPr>
      <w:r w:rsidRPr="00F90EAE">
        <w:rPr>
          <w:color w:val="0070C0"/>
          <w:sz w:val="16"/>
          <w:szCs w:val="16"/>
        </w:rPr>
        <w:t>Печ, по архиву (20741).</w:t>
      </w:r>
    </w:p>
    <w:p w14:paraId="6E37F9B7" w14:textId="77777777" w:rsidR="009A3EFF" w:rsidRPr="00F90EAE" w:rsidRDefault="009A3EFF" w:rsidP="00F90EAE">
      <w:pPr>
        <w:jc w:val="both"/>
        <w:rPr>
          <w:color w:val="0070C0"/>
          <w:sz w:val="16"/>
          <w:szCs w:val="16"/>
        </w:rPr>
      </w:pPr>
    </w:p>
    <w:p w14:paraId="270913F8" w14:textId="12FB24EB"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24FDD5F" w14:textId="77777777" w:rsidR="00665165" w:rsidRPr="00F90EAE" w:rsidRDefault="00665165" w:rsidP="00F90EAE">
      <w:pPr>
        <w:autoSpaceDE w:val="0"/>
        <w:autoSpaceDN w:val="0"/>
        <w:adjustRightInd w:val="0"/>
        <w:jc w:val="both"/>
        <w:rPr>
          <w:iCs/>
          <w:color w:val="000000" w:themeColor="text1"/>
          <w:sz w:val="16"/>
          <w:szCs w:val="16"/>
        </w:rPr>
      </w:pPr>
    </w:p>
    <w:p w14:paraId="6CEC5BE7" w14:textId="77777777" w:rsidR="00AF535B" w:rsidRPr="00F90EAE" w:rsidRDefault="00AF535B" w:rsidP="00F90EAE">
      <w:pPr>
        <w:jc w:val="both"/>
        <w:rPr>
          <w:color w:val="000000" w:themeColor="text1"/>
          <w:sz w:val="16"/>
          <w:szCs w:val="16"/>
        </w:rPr>
      </w:pPr>
      <w:r w:rsidRPr="00F90EAE">
        <w:rPr>
          <w:color w:val="000000" w:themeColor="text1"/>
          <w:sz w:val="16"/>
          <w:szCs w:val="16"/>
        </w:rPr>
        <w:t xml:space="preserve">14 мая в 1945 году впервые поднялся в воздух с заводского аэродрома в Бэрбэнке и успешно завершил свой первый полет прототип «XP2V-1» самолета </w:t>
      </w:r>
      <w:hyperlink r:id="rId118" w:tgtFrame="_blank" w:history="1">
        <w:r w:rsidRPr="00F90EAE">
          <w:rPr>
            <w:color w:val="000000" w:themeColor="text1"/>
            <w:sz w:val="16"/>
            <w:szCs w:val="16"/>
          </w:rPr>
          <w:t xml:space="preserve">«P2V-1» «Neptune» </w:t>
        </w:r>
      </w:hyperlink>
      <w:r w:rsidRPr="00F90EAE">
        <w:rPr>
          <w:color w:val="000000" w:themeColor="text1"/>
          <w:sz w:val="16"/>
          <w:szCs w:val="16"/>
        </w:rPr>
        <w:t>с заводским номером 48237 под управлением летчиков-испытателей Д.Таула и Г.Джонсона. Прототип «XP2V-1» строился по проекту «V-146», отличавшемуся от «V-135» средним расположением крыла и измененным хвостовым оперением (14891).</w:t>
      </w:r>
    </w:p>
    <w:p w14:paraId="428E9751" w14:textId="77777777" w:rsidR="00AF535B" w:rsidRPr="00F90EAE" w:rsidRDefault="00AF535B" w:rsidP="00F90EAE">
      <w:pPr>
        <w:jc w:val="both"/>
        <w:rPr>
          <w:color w:val="000000" w:themeColor="text1"/>
          <w:sz w:val="16"/>
          <w:szCs w:val="16"/>
        </w:rPr>
      </w:pPr>
    </w:p>
    <w:p w14:paraId="734FD591"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14th, 1945: British troops ocupy the German island of Heligoland in the North Sea (3819).</w:t>
      </w:r>
    </w:p>
    <w:p w14:paraId="58C0FF08" w14:textId="77777777" w:rsidR="00665165" w:rsidRPr="00F90EAE" w:rsidRDefault="00665165" w:rsidP="00F90EAE">
      <w:pPr>
        <w:autoSpaceDE w:val="0"/>
        <w:autoSpaceDN w:val="0"/>
        <w:adjustRightInd w:val="0"/>
        <w:jc w:val="both"/>
        <w:rPr>
          <w:color w:val="000000" w:themeColor="text1"/>
          <w:sz w:val="16"/>
          <w:szCs w:val="16"/>
          <w:lang w:val="en-US"/>
        </w:rPr>
      </w:pPr>
    </w:p>
    <w:p w14:paraId="7F04AA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 мая 1945 британские войска заняли немецкий остров Хелиголданд в Северном море (3819).</w:t>
      </w:r>
    </w:p>
    <w:p w14:paraId="71080D5E" w14:textId="77777777" w:rsidR="00665165" w:rsidRPr="00F90EAE" w:rsidRDefault="00665165" w:rsidP="00F90EAE">
      <w:pPr>
        <w:autoSpaceDE w:val="0"/>
        <w:autoSpaceDN w:val="0"/>
        <w:adjustRightInd w:val="0"/>
        <w:jc w:val="both"/>
        <w:rPr>
          <w:color w:val="000000" w:themeColor="text1"/>
          <w:sz w:val="16"/>
          <w:szCs w:val="16"/>
        </w:rPr>
      </w:pPr>
    </w:p>
    <w:p w14:paraId="479CF134" w14:textId="77777777" w:rsidR="009A3EFF" w:rsidRPr="00F90EAE" w:rsidRDefault="009A3EFF" w:rsidP="00F90EAE">
      <w:pPr>
        <w:jc w:val="both"/>
        <w:rPr>
          <w:color w:val="0070C0"/>
          <w:sz w:val="16"/>
          <w:szCs w:val="16"/>
        </w:rPr>
      </w:pPr>
      <w:r w:rsidRPr="00F90EAE">
        <w:rPr>
          <w:color w:val="0070C0"/>
          <w:sz w:val="16"/>
          <w:szCs w:val="16"/>
        </w:rPr>
        <w:t>14 мая 1945 последний арктический конвой Второй мировой войны, Convoy JW 67, отправляется из Скапа-Флоу в Кольский залив в Советском Союзе в сопровождении британского авианосца HMS Queen. Он возвращается в Соединенное Королевство позже в этом же месяце как Конвой RA 67. Queen в качестве сопровождения считается необходимым в случае, если какие - либо немецкие подводные командиры предпочитают игнорировать капитуляции Германии и атаковать конвой (20371).</w:t>
      </w:r>
    </w:p>
    <w:p w14:paraId="6ADE2CDB" w14:textId="77777777" w:rsidR="009A3EFF" w:rsidRPr="00F90EAE" w:rsidRDefault="009A3EFF" w:rsidP="00F90EAE">
      <w:pPr>
        <w:jc w:val="both"/>
        <w:rPr>
          <w:color w:val="0070C0"/>
          <w:sz w:val="16"/>
          <w:szCs w:val="16"/>
        </w:rPr>
      </w:pPr>
    </w:p>
    <w:p w14:paraId="5CF5C4D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мая 1945 лидер югославских партизан И. Тито заявил, что югославы не отдадут союзникам Триест (4962).</w:t>
      </w:r>
    </w:p>
    <w:p w14:paraId="5B8E138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490C3B6" w14:textId="77777777" w:rsidR="00AF535B" w:rsidRPr="00F90EAE" w:rsidRDefault="00AF535B" w:rsidP="00F90EAE">
      <w:pPr>
        <w:jc w:val="both"/>
        <w:rPr>
          <w:color w:val="000000" w:themeColor="text1"/>
          <w:sz w:val="16"/>
          <w:szCs w:val="16"/>
        </w:rPr>
      </w:pPr>
      <w:r w:rsidRPr="00F90EAE">
        <w:rPr>
          <w:color w:val="000000" w:themeColor="text1"/>
          <w:sz w:val="16"/>
          <w:szCs w:val="16"/>
        </w:rPr>
        <w:t>14 мая в 1945 году завершение освобождения Югославии от немецко-фашистских войск (14891).</w:t>
      </w:r>
    </w:p>
    <w:p w14:paraId="70B125DC" w14:textId="77777777" w:rsidR="00AF535B" w:rsidRPr="00F90EAE" w:rsidRDefault="00AF535B" w:rsidP="00F90EAE">
      <w:pPr>
        <w:jc w:val="both"/>
        <w:rPr>
          <w:color w:val="000000" w:themeColor="text1"/>
          <w:sz w:val="16"/>
          <w:szCs w:val="16"/>
        </w:rPr>
      </w:pPr>
    </w:p>
    <w:p w14:paraId="6E21CEF1" w14:textId="77777777" w:rsidR="009A3EFF" w:rsidRPr="00F90EAE" w:rsidRDefault="009A3EFF" w:rsidP="00F90EAE">
      <w:pPr>
        <w:jc w:val="both"/>
        <w:rPr>
          <w:color w:val="0070C0"/>
          <w:sz w:val="16"/>
          <w:szCs w:val="16"/>
        </w:rPr>
      </w:pPr>
      <w:r w:rsidRPr="00F90EAE">
        <w:rPr>
          <w:color w:val="0070C0"/>
          <w:sz w:val="16"/>
          <w:szCs w:val="16"/>
        </w:rPr>
        <w:t>14 мая 1945 камикадзе падает на полетной палубе авианосца USS Enterprise, проьивает ее из строя до конца Второй мировой войны (20371).</w:t>
      </w:r>
    </w:p>
    <w:p w14:paraId="220CE046" w14:textId="77777777" w:rsidR="009A3EFF" w:rsidRPr="00F90EAE" w:rsidRDefault="009A3EFF" w:rsidP="00F90EAE">
      <w:pPr>
        <w:jc w:val="both"/>
        <w:rPr>
          <w:color w:val="0070C0"/>
          <w:sz w:val="16"/>
          <w:szCs w:val="16"/>
        </w:rPr>
      </w:pPr>
    </w:p>
    <w:p w14:paraId="570655CB" w14:textId="0083727B"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91623BD" w14:textId="77777777" w:rsidR="00665165" w:rsidRPr="00F90EAE" w:rsidRDefault="00665165" w:rsidP="00F90EAE">
      <w:pPr>
        <w:autoSpaceDE w:val="0"/>
        <w:autoSpaceDN w:val="0"/>
        <w:adjustRightInd w:val="0"/>
        <w:jc w:val="both"/>
        <w:rPr>
          <w:iCs/>
          <w:color w:val="000000" w:themeColor="text1"/>
          <w:sz w:val="16"/>
          <w:szCs w:val="16"/>
        </w:rPr>
      </w:pPr>
    </w:p>
    <w:p w14:paraId="5165D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закончились заводские испытания Як-3РД, которые начались с 22 декабря 1944. В.Л.Расторгуевым был выполнен 21 полет, в т.ч. 8 с включенным РД-1 В.П.Глушко. Ви был Б.С.Моторин, а м - Н.И.Макеев. Это была серийная машина N 18-20 и на ней стояли ВК-105ПФ2 и РД-1 N 009 В.П.Глушко, который потом заменили на РД-1ХЗ с тягой в 300 кгс и продолжительностью работы 3 мин. Вместо двух ШВАК поставили мотор-пушку НС-23 с боезапасом 60 снарядов. В мае машину передали в ОКБ, где был заменен РД. Полеты возобновились 14 августа 1945 (65,183).</w:t>
      </w:r>
    </w:p>
    <w:p w14:paraId="4C2BDECD" w14:textId="77777777" w:rsidR="00665165" w:rsidRPr="00F90EAE" w:rsidRDefault="00665165" w:rsidP="00F90EAE">
      <w:pPr>
        <w:autoSpaceDE w:val="0"/>
        <w:autoSpaceDN w:val="0"/>
        <w:adjustRightInd w:val="0"/>
        <w:jc w:val="both"/>
        <w:rPr>
          <w:color w:val="000000" w:themeColor="text1"/>
          <w:sz w:val="16"/>
          <w:szCs w:val="16"/>
        </w:rPr>
      </w:pPr>
    </w:p>
    <w:p w14:paraId="4A0F44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15 мая 1945 модифицированный РД был установлен на самолет Су-7, но на следующий день, по указанию ОКБ-СД, двигатель сняли и отправили на завод № 16 (10668).</w:t>
      </w:r>
    </w:p>
    <w:p w14:paraId="46D031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BF9E76D" w14:textId="77777777" w:rsidR="00E74102" w:rsidRPr="00F90EAE" w:rsidRDefault="00E74102" w:rsidP="00F90EAE">
      <w:pPr>
        <w:shd w:val="clear" w:color="auto" w:fill="FFFFFF"/>
        <w:jc w:val="both"/>
        <w:rPr>
          <w:color w:val="000000" w:themeColor="text1"/>
          <w:sz w:val="16"/>
          <w:szCs w:val="16"/>
        </w:rPr>
      </w:pPr>
      <w:r w:rsidRPr="00F90EAE">
        <w:rPr>
          <w:color w:val="000000" w:themeColor="text1"/>
          <w:sz w:val="16"/>
          <w:szCs w:val="16"/>
        </w:rPr>
        <w:t>К 15 мая 1945 двигатель РД-1ХЗ установили на самолет Су-7, но на следую щий день его отправили на завод № 16 (19586).</w:t>
      </w:r>
    </w:p>
    <w:p w14:paraId="7D302705" w14:textId="77777777" w:rsidR="00E74102" w:rsidRPr="00F90EAE" w:rsidRDefault="00E74102" w:rsidP="00F90EAE">
      <w:pPr>
        <w:shd w:val="clear" w:color="auto" w:fill="FFFFFF"/>
        <w:jc w:val="both"/>
        <w:rPr>
          <w:color w:val="000000" w:themeColor="text1"/>
          <w:sz w:val="16"/>
          <w:szCs w:val="16"/>
        </w:rPr>
      </w:pPr>
    </w:p>
    <w:p w14:paraId="3B55F6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года Дементьев писал письмо N Н-35/2189 зам. начальника и начальнику штаба ВВС ВМФ генерал-лейтенанту авиации Бартновскому.</w:t>
      </w:r>
    </w:p>
    <w:p w14:paraId="6BE37C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Ваш N 105025с от 22 марта 1945 года по вопросу доводочных работ - переоборудования истребителя "Спитфайр" для установки на крейсере "Молотов" сообщаю, что со стороны Наркомавиапрома нет возражения на производство заводом N 458 вышеуказанных работ.</w:t>
      </w:r>
    </w:p>
    <w:p w14:paraId="112FA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Вам надлежит заключить договор с заводом N 458 о сроках выполнения доводочных работ и соответственно их финансировать (2595).</w:t>
      </w:r>
    </w:p>
    <w:p w14:paraId="6B571E0E" w14:textId="77777777" w:rsidR="00665165" w:rsidRPr="00F90EAE" w:rsidRDefault="00665165" w:rsidP="00F90EAE">
      <w:pPr>
        <w:autoSpaceDE w:val="0"/>
        <w:autoSpaceDN w:val="0"/>
        <w:adjustRightInd w:val="0"/>
        <w:jc w:val="both"/>
        <w:rPr>
          <w:color w:val="000000" w:themeColor="text1"/>
          <w:sz w:val="16"/>
          <w:szCs w:val="16"/>
        </w:rPr>
      </w:pPr>
    </w:p>
    <w:p w14:paraId="0828F7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было подготовлено донесение летчика-испытателя капитана Пикуленко по испытаниям Ме-410:</w:t>
      </w:r>
    </w:p>
    <w:p w14:paraId="269D3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всех режимах полета, то есть на наборе высоты, при полете по горизонту на максимальной скорости и на снижении самолет Ла-7 догоняет Me 410, свободно атакует его.</w:t>
      </w:r>
    </w:p>
    <w:p w14:paraId="78BF49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Безопасно атаковать Me 410 сзади снизу под углами 60-70 градусов и выходить из атак ранверсманом. В этом случае стрелок не видит самолет противника.</w:t>
      </w:r>
    </w:p>
    <w:p w14:paraId="5D78B5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Атака сверху сзади под большими углами также безопасна.</w:t>
      </w:r>
    </w:p>
    <w:p w14:paraId="7AE06D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Удобно атаковать самолет Me 410 в том случае, если он делает разворот. Необходимо быть внутри разворота и атаку производить под ракурсом 4/4, с заходом из атаки вверх с разворотом в сторону Me 410. Это даст возможность занять исходное положение для новой атаки и не отстать от Me 410.</w:t>
      </w:r>
    </w:p>
    <w:p w14:paraId="0ED0B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случае, если истребитель Ла-7 после атаки проскочил вперед самолета Me 410, необходимо резко набрать высоту с разворотом в сторону -чтобы не попасть под огонь передних точек Me 410. Самолет резкой “горки” сделать не может. Истребитель после разворота на 90 градусов имеет возможность встать на параллельный с Me 410 курс и атаковать его сверху под углом 60 градусов и сбоку - под углом более 45 градусов.</w:t>
      </w:r>
    </w:p>
    <w:p w14:paraId="77EF35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Считаю, что если атака будет под углом менее 45 или даже 30 градусов, особенной опасности попасть под огонь стрелка нет, так как ему неудобно вести прицельный огонь под большими углами”.</w:t>
      </w:r>
    </w:p>
    <w:p w14:paraId="2EDE2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Будет правильным далее привести без всяких сокращений текст раздела “Тактическая оценка самолёта Me 410 Б-2” отчёта об испытаниях.</w:t>
      </w:r>
    </w:p>
    <w:p w14:paraId="1B261B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анализа вооружения, лётных свойств самолёта Me 410 Б-2 и проведённых в процессе испытаний воздушных боёв с самолётами Ту-2, Як-3 и Ла-7 установлено следующее:</w:t>
      </w:r>
    </w:p>
    <w:p w14:paraId="1FF4AA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Самолёт Me 410 Б-2, имея преимущество в скорости над серийными бомбардировщиками Пе-2 и Ту-2, может вести с ними активный воздушный бой.</w:t>
      </w:r>
    </w:p>
    <w:p w14:paraId="083385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1500 метров в воздушном бою с Ту-2 самолёт Me 410 Б-2 успешно выполнял атаки с задней полусферы под ракурсами от 0/4 до 3/4. На высотах более 2500 м преимущество Me 410 Б-2 над самолётом Ту-2 возрастает в связи с увеличением превосходства в скорости полёта до 65 км/ч.</w:t>
      </w:r>
    </w:p>
    <w:p w14:paraId="3B91B6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 истребителями Як-3 и Ла-7 самолёт Me 410 может вести только оборонительный воздушный бой с использованием манёвренных качеств огневых точек стрелка.</w:t>
      </w:r>
    </w:p>
    <w:p w14:paraId="601ED6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Уступая в скорости полёта и манёвренности истребителям Як-3 и Ла-7, самолёт Me 410 Б-2 не может использовать огонь переднего оружия, кроме случаев лобовой атаки, или когда атакующий истребитель после атаки окажется впереди на одной высоте с Me 410 Б-2.</w:t>
      </w:r>
    </w:p>
    <w:p w14:paraId="1A12FD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При полете Ме-410 Б-2 на режиме максимальной скорости, на наборе высоты и при уходе со снижением самолеты Як-3 и Ла-7 догоняют Ме-410 Б-2 и свободно атакуют его.</w:t>
      </w:r>
    </w:p>
    <w:p w14:paraId="65822C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маршруте длиною 25 км на высоте 1000-1500 метров при полёте Me 410 Б-2 на максимальной скорости, Як-3 смог произвести семь атак, Ла-7 произвёл пять атак. Атаки были произведены из задней полусферы под ракурсами от 0/4 до 4/4.</w:t>
      </w:r>
    </w:p>
    <w:p w14:paraId="4DE45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Атаки самолёта Me 410 Б-2, выполняемые истребителями из задней полусферы - снизу и с боков под углами до 50 градусов и сверху до 60 градусов - отражаются стрелком Me 410 Б-2 из дистанционных бортовых пулемётов. При этом для отражения атак под углами в конусе более 40 градусов Me 410 Б-2 вынужден применять довороты самолётом по команде стрелка.</w:t>
      </w:r>
    </w:p>
    <w:p w14:paraId="4B7DCF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Отражение атак истребителей сзади под углами в конусе меньше 40 градусов обеспечивается углами обстрела задних бортовых пулемётов Me 410 Б-2 без его маневра по курсу.</w:t>
      </w:r>
    </w:p>
    <w:p w14:paraId="348CB3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проведённых воздушных боях все атаки Як-3 и Ла-7, произведённые сзади под углами в конусе до 40 градусов к линии полёта, были зафиксированы кинопулемётом, установленном на оружии стрелка Me 410 Б-2.</w:t>
      </w:r>
    </w:p>
    <w:p w14:paraId="14D08E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Атаки истребителей снизу сзади, особенно строго в хвост, стрелку самолёта Me 410 Б-2 отражать затруднительно, и огонь в этих случаях чаще всего ведётся не прицельный.</w:t>
      </w:r>
    </w:p>
    <w:p w14:paraId="1FF87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конусе более 60 гр. Самолету Ме-410 практически невозможно отражать подвижным оружием - в силу недостаточности углов обстрела задних пулеметов и сравнительно недостаточной манёвренности самолёта Me 410 Б-2 по сравнению с истребителями Як-3 и Ла-7.</w:t>
      </w:r>
    </w:p>
    <w:p w14:paraId="1A4328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 Наиболее безопасными и сравнительно несложными в выполнении являются атаки самолёта Me 410 Б- 2 под углами более 40 градусов снизу сзади. В этом случае стрелок Me 410 Б-2 чаще всего не замечает атакующего истребителя. При проскакивании атакующего истребителя после атаки Me 410 Б-2 вперёд выгоднее уходить с резким набором высоты и с разворотом в сторону, чтобы не попасть под огонь переднего оружия Me 410 Б-2.</w:t>
      </w:r>
    </w:p>
    <w:p w14:paraId="1D63AD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выхода из атаки целесообразно встать на параллельный курс и атаковать Me 410 вновь сверху сбоку, под углом 50-60 градусов.</w:t>
      </w:r>
    </w:p>
    <w:p w14:paraId="13FA2A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Воздушный наступательный бой против истребителей Як-3 и Ла-7 самолёт Me 410 Б-2 практически вести не может. Горизонтальная и вертикальная манёвренность Як-3 и Ла-7 значительно лучше. Это обеспечивает возможность всегда иметь необходимое превосходство в высоте, удерживать инициативу и производить атаки в мёртвых конусах оборонительного оружия Me 410 Б-2. Этот факт подтверждается проведёнными воздушными боями Як-3 и Ла-7 с Me 410, когда последний ни разу не смог осуществить атаку истребителей (6407).</w:t>
      </w:r>
    </w:p>
    <w:p w14:paraId="7F479C15" w14:textId="77777777" w:rsidR="00665165" w:rsidRPr="00F90EAE" w:rsidRDefault="00665165" w:rsidP="00F90EAE">
      <w:pPr>
        <w:autoSpaceDE w:val="0"/>
        <w:autoSpaceDN w:val="0"/>
        <w:adjustRightInd w:val="0"/>
        <w:jc w:val="both"/>
        <w:rPr>
          <w:color w:val="000000" w:themeColor="text1"/>
          <w:sz w:val="16"/>
          <w:szCs w:val="16"/>
        </w:rPr>
      </w:pPr>
    </w:p>
    <w:p w14:paraId="793BCD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были подписаны выводы по результатам госиспытаний Ме-410 Б-2:</w:t>
      </w:r>
    </w:p>
    <w:p w14:paraId="064CB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Самолег Ме-410 Б-2, имея мощное переднее вооружение, включающее 50-мм пушку с фугасно-оско-лочным снарядом, и превосходство над серийными бомбардировщиками типа Пе-2 и Ту-2 в лётно-такти-ческих данных, может успешно вести с ними воздушный бой, а также осуществлять атаки наземных целей.</w:t>
      </w:r>
    </w:p>
    <w:p w14:paraId="473D44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Самолёт Me 410 Б-2 против истребителей Як-3 и Ла-7 может вести только воздушный оборонительный бой. Вертикальная и горизонтальная манёвренность истребителей Як-3 и Ла-7 обеспечивают им возможность иметь необходимое преимущество в высоте, удерживать инициативу боя и догонять Me 410 Б-2 на всех режимах его полёта" (6407).</w:t>
      </w:r>
    </w:p>
    <w:p w14:paraId="146D7B2B" w14:textId="77777777" w:rsidR="00665165" w:rsidRPr="00F90EAE" w:rsidRDefault="00665165" w:rsidP="00F90EAE">
      <w:pPr>
        <w:autoSpaceDE w:val="0"/>
        <w:autoSpaceDN w:val="0"/>
        <w:adjustRightInd w:val="0"/>
        <w:jc w:val="both"/>
        <w:rPr>
          <w:color w:val="000000" w:themeColor="text1"/>
          <w:sz w:val="16"/>
          <w:szCs w:val="16"/>
        </w:rPr>
      </w:pPr>
    </w:p>
    <w:p w14:paraId="471AEE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вышел приказ НКАП N 209:</w:t>
      </w:r>
    </w:p>
    <w:p w14:paraId="6F2A28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подготовки производства к выпуску пассажирского самолета с М-11МФ конструкции А.С.Я. (Як-14) на заводе 464:</w:t>
      </w:r>
    </w:p>
    <w:p w14:paraId="3F4DA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464 И.М.Шпакову:</w:t>
      </w:r>
    </w:p>
    <w:p w14:paraId="21264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приступить к подготовке производства по выпуску на заводе пассажирского самолета конструкции А.С.Я. (Як-14) со сроком окончания подготовки производства не позднее 1 августа с.г.</w:t>
      </w:r>
    </w:p>
    <w:p w14:paraId="55977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для отработки и проверки изготовленной тех. документации, оснастки, спецификаций изготовить 5 самолетов со сроками сдачи: 2-х к 20 августа, 3-х к 20 сентября (1898,57).</w:t>
      </w:r>
    </w:p>
    <w:p w14:paraId="2F6F83AB" w14:textId="77777777" w:rsidR="00665165" w:rsidRPr="00F90EAE" w:rsidRDefault="00665165" w:rsidP="00F90EAE">
      <w:pPr>
        <w:autoSpaceDE w:val="0"/>
        <w:autoSpaceDN w:val="0"/>
        <w:adjustRightInd w:val="0"/>
        <w:jc w:val="both"/>
        <w:rPr>
          <w:color w:val="000000" w:themeColor="text1"/>
          <w:sz w:val="16"/>
          <w:szCs w:val="16"/>
        </w:rPr>
      </w:pPr>
    </w:p>
    <w:p w14:paraId="641B1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была подготовлена:</w:t>
      </w:r>
    </w:p>
    <w:p w14:paraId="7DE7D9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428519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НАРОДНОМУ КОМИССАРУ АВИАЦИОННОЙ ПРОМЫШЛЕННОСТИ Генерал-полковнику тов. ШАХУРИНУ А.И.</w:t>
      </w:r>
    </w:p>
    <w:p w14:paraId="0720D9AF"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ДОКЛАДНАЯ ЗАПИСКА</w:t>
      </w:r>
    </w:p>
    <w:p w14:paraId="124BBC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работе специальной комиссии генерал-майора ИАС ПЕТРОВА Н.И. за время с 6 по 11 мая с.г. включительно.</w:t>
      </w:r>
    </w:p>
    <w:p w14:paraId="7E99E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Ваша шифровка от 11 мая с.г. была нами получена 13 мая. Она была задержана доставкой в штабе тыла 1 Белорусского фронта.</w:t>
      </w:r>
    </w:p>
    <w:p w14:paraId="714BF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Комиссия в полном составе, с экспертами, еще до получения шифровки, 11 мая перебазировалась на территорию Института в Адлерсгоф и начала работу по подготовке Института к вывозу. Производится опись оборудования и технических материалов, подлежащих упаковке и оправке в Москву, с одновременным отбором наиболее ценных и актуальных материалов для отправки их самолетом.</w:t>
      </w:r>
    </w:p>
    <w:p w14:paraId="0A678F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выполнения работы по разбору оборудования и технических материалов, демонтажа оборудования, упаковки и погрузки, наличного состава людей в комиссии совершенно недостаточно; они просто теряются на территории и в корпусах этого огромного Института. Согласно Ваших указаний о вызове из институтов специалистов в целях обеспечения перевозки оборудования в Москву, нами составлены списки отдельно по каждому институту, которые просим утвердить и дать приказание о направлении специалистов в Адлерсгоф в возможно короткий срок.</w:t>
      </w:r>
    </w:p>
    <w:p w14:paraId="4206E9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Новую и, в особенности, реактивную технику мы свозим в , где храним ее в отдельном ангаре. Член военного совета 1 Белорусского фронта генерал-лейтенант Телегин, по ходатайству Зам. Наркома тов. Кузнецова, приказал выделить эшелон в 25 вагонов для отправки в Москву всей собранной нами новой техники. К погрузке приступим, как только будут выданы вагоны. Перевалочный пункт с европейской колеи на широкую для этого назначен в Познани. Подача вагонов обещана начальником ВОСО фронта генерал-майором Черняковым в ближайшие дни.</w:t>
      </w:r>
    </w:p>
    <w:p w14:paraId="1E48FE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настоящему докладу прилагается перечень образцов новой техники, которые будут отправлены с эшелоном.</w:t>
      </w:r>
    </w:p>
    <w:p w14:paraId="71532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составлении описи оборудования и технических материалов, в скоростной трубе отобраны особо ценные для нас материалы продувок моделей крыльев, профилей и целях объектов. Эти материалы в значительной мере предвосхищают план работы ЦАГИ по аналогичной тематике на 1945 год. Материалы отправлены в Москву на самолете 16 мая: перечень их представляется Вам при настоящей докладной записке.</w:t>
      </w:r>
    </w:p>
    <w:p w14:paraId="1E9BC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16-й воздушной армией генерал-полковник Руденко выделил БАО для обеспечения охраны, технического и хозяйственного обслуживания, с подчинением его непосредственно мне. Этот батальон используется нами для переброски новой техники.</w:t>
      </w:r>
    </w:p>
    <w:p w14:paraId="5A86A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Ваших указаний, данным нам в Москве, группа Абрамовича, после окончания работ по Берлину, 1 мая была отправлена на автомашине "Виллис" в Пеннемюнде. До настоящего времени связи с группой Абрамовича мы не имеем.</w:t>
      </w:r>
    </w:p>
    <w:p w14:paraId="7BCAF3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Нами был допрошен начальник моторной лаборатории "DV L Carobelli", проживающий в Адлерсгофе, в доме N 22 по улице Wimerlergum. Протокол допроса прилагаем к настоящему отчету.</w:t>
      </w:r>
    </w:p>
    <w:p w14:paraId="33DDFB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отчетный отрезок времени нами был обследован ряд предприятий, в том числе Всегерманский институт Испытания Материалов, расположенный в Далеме на улице Унтер ден Эйхен. Этот институт решением Сабурова передается НКАП. Шифровка о передаче этого Института НКАП послана в Москву.</w:t>
      </w:r>
    </w:p>
    <w:p w14:paraId="661588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Осмотрены следующие предприятия:</w:t>
      </w:r>
    </w:p>
    <w:p w14:paraId="631C26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Всегерманский институт Испытания Материалов в Далеме, ул. Унтер ден Эйхен.</w:t>
      </w:r>
    </w:p>
    <w:p w14:paraId="4A03C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Центральный опытный завод фирмы "Телефункен" в Целендорфе (г. Берлина), Жесковдаммштрассе.</w:t>
      </w:r>
    </w:p>
    <w:p w14:paraId="0DBFDB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Завод фирмы "Хеншель" в Шёнефельде, в юго-западной части Берлина.</w:t>
      </w:r>
    </w:p>
    <w:p w14:paraId="1443F1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Завод фирмы "BMW" в Басдорфе.</w:t>
      </w:r>
    </w:p>
    <w:p w14:paraId="0D8BB2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Лаборатория по радиолокации и автоматике фирмы Сименс в Фалькензее (в 10 км западнее Шпандау).</w:t>
      </w:r>
    </w:p>
    <w:p w14:paraId="434F32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Опытный завод фирмы "Асканиа" в Фриденау (ю.з. Берлина), ул. Кайзер Аллес.</w:t>
      </w:r>
    </w:p>
    <w:p w14:paraId="50507A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 Всегерманский Институт Испытания Материалов.</w:t>
      </w:r>
    </w:p>
    <w:p w14:paraId="3A79E2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состоит из следующих отделов:</w:t>
      </w:r>
    </w:p>
    <w:p w14:paraId="70F3A8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Отдел материалов:</w:t>
      </w:r>
    </w:p>
    <w:p w14:paraId="4E8FA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Руководитель отдела - проф. доктор Зибель. Отдел состоит из трех секций - металловедения, металлических конструкций и измерений. Работы проводились в областях - металлофизики, металлохимии, коррозии, технологии обработки, машиностроения и котлостроения. В последнее время главными исследованиями отдела являлись:</w:t>
      </w:r>
    </w:p>
    <w:p w14:paraId="790FBC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влияние скорости и длительности нагружения на прочность материалов и конструкций;</w:t>
      </w:r>
    </w:p>
    <w:p w14:paraId="6BC53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спектральный анализ материалов;</w:t>
      </w:r>
    </w:p>
    <w:p w14:paraId="084BD1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испытания микроплотности сплавов.</w:t>
      </w:r>
    </w:p>
    <w:p w14:paraId="5FC043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Отдел органических веществ.</w:t>
      </w:r>
    </w:p>
    <w:p w14:paraId="6DDE72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Руководитель отдела - профессор, доктор химии Киндшер. Состоит из двух секций - синтетических веществ и покрытий, каучука и производимых угля и нефти. Области работы - синтетические вещества для пластиков, клеев, покрытий и резин. В последнее время главными исследованиями отдела являлись:</w:t>
      </w:r>
    </w:p>
    <w:p w14:paraId="09CB94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влияние содержания смолы на прочность пластмасс;</w:t>
      </w:r>
    </w:p>
    <w:p w14:paraId="620068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химическая стойкость пластмасс;</w:t>
      </w:r>
    </w:p>
    <w:p w14:paraId="44BA99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методы анализа и контроль синтетических веществ;</w:t>
      </w:r>
    </w:p>
    <w:p w14:paraId="45A50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влияние новых типов наполнителей для каучуков на прочность резин (силикагель);</w:t>
      </w:r>
    </w:p>
    <w:p w14:paraId="67408A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вопросы активности наполнителей каучука, битумов.</w:t>
      </w:r>
    </w:p>
    <w:p w14:paraId="320289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Радиолокатор ночного истребителя. Локатор определяет координаты бомбардировщика противника на дистанции до 10-15 км с точностью по углу места порядка 1 град. и по дальности порядка 5%. Длина волны - 9 см.</w:t>
      </w:r>
    </w:p>
    <w:p w14:paraId="2653EF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Наземная локационная установка - определитель координат самолета, снабженного радиолокационным радиоприцелом.</w:t>
      </w:r>
    </w:p>
    <w:p w14:paraId="7D27A2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Корабельный локатор, определяющий координаты корабля противника на дистанции до 15 км.</w:t>
      </w:r>
    </w:p>
    <w:p w14:paraId="7494AE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данный опытный завод кроме нас претендуют НКСП и НКЭП.</w:t>
      </w:r>
    </w:p>
    <w:p w14:paraId="06FA41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 а к л ю ч е н и е.</w:t>
      </w:r>
    </w:p>
    <w:p w14:paraId="49A42E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Опытный завод как выполняющий в основном авиационную тематику, следует передать НКАП и полностью вывезти его оборудование.</w:t>
      </w:r>
    </w:p>
    <w:p w14:paraId="3AA615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Образцы авиационной радиолокационной аппаратуры, как представляющие особую ценность, вывезти немедленно и отправить в Москву на самолете.</w:t>
      </w:r>
    </w:p>
    <w:p w14:paraId="1087FB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IV. Завод фирмы "Хеншель" в Шёнефельде.</w:t>
      </w:r>
    </w:p>
    <w:p w14:paraId="4BBEA9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Завод расположен на территории около 1 х 2 км, радом с летным полем 1.4 х 1.6 км. Основные цеха размещены в зданиях ангарного типа размером 100 х 200 м. Продукция завода - тяжелые бомбардировщики Хейнкель.</w:t>
      </w:r>
    </w:p>
    <w:p w14:paraId="6C6C34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заводом выпускались малые серии опытных машин Хейнкель 177 и единичные экземпляры реактивных самолетов. На территории завода найдены несколько экземпляров -1 с двойным и одинарным управлением самолетного типа.</w:t>
      </w:r>
    </w:p>
    <w:p w14:paraId="0E2246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этих самолетах имеется посадочное приспособление в виде лыжи.</w:t>
      </w:r>
    </w:p>
    <w:p w14:paraId="53FF3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Находка этих самолетов свидетельствует о том, что доводка -1 производилась летчиком. В опытном цехе найден реактивный двигатель ЖРД, похожий на двигатель -2. В ящиках в опытном цехе найден ряд моделей реактивных самолетов, проходивших аэродинамические испытания.</w:t>
      </w:r>
    </w:p>
    <w:p w14:paraId="01C9C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причисленных заводов было обнаружено следующее:</w:t>
      </w:r>
    </w:p>
    <w:p w14:paraId="35EB81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1.Несколько незаконченных сборкой самолетов Хейнкель-177 с различными модификациями моторной группы и герметической кабиной.</w:t>
      </w:r>
    </w:p>
    <w:p w14:paraId="26DDCD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Два макета отсеков фюзеляжа этого самолета с герметическими кабинами.</w:t>
      </w:r>
    </w:p>
    <w:p w14:paraId="2624E9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Герметическая кабина, установленная в лаборатории для испытания на герметичность.</w:t>
      </w:r>
    </w:p>
    <w:p w14:paraId="712776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Фюзеляж реактивного самолета с двигателем ВРД-К марки BMW-003, с горизонтальным расположением летчика, с установкой двигателя на верхней части фюзеляжа.</w:t>
      </w:r>
    </w:p>
    <w:p w14:paraId="11FB4A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Стапель с заделом фюзеляжа того же типа.</w:t>
      </w:r>
    </w:p>
    <w:p w14:paraId="705963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Шесть моторов ЮМО-222, с непосредственным впрыском водяного охлаждения, 6-ти цилиндровая, 4-х рядная звезда.</w:t>
      </w:r>
    </w:p>
    <w:p w14:paraId="303BFC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Большое количество планирующих бомб, управляемых по радио (без автоматики).</w:t>
      </w:r>
    </w:p>
    <w:p w14:paraId="086386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 а к л ю ч е н и е.</w:t>
      </w:r>
    </w:p>
    <w:p w14:paraId="6D275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Считаем необходимым вывезти с территории завода следующее:</w:t>
      </w:r>
    </w:p>
    <w:p w14:paraId="1A9416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Два комплекта самолета-снаряда - один с ручным управлением.</w:t>
      </w:r>
    </w:p>
    <w:p w14:paraId="3E1D74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модели реактивных самолетов.</w:t>
      </w:r>
    </w:p>
    <w:p w14:paraId="0B1455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ЖРД.</w:t>
      </w:r>
    </w:p>
    <w:p w14:paraId="2632E6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Фюзеляж с ВРД-К.</w:t>
      </w:r>
    </w:p>
    <w:p w14:paraId="09CA73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Пять экземпляров планирующей бомбы.</w:t>
      </w:r>
    </w:p>
    <w:p w14:paraId="36B9AC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Три мотора ЮМО-222.</w:t>
      </w:r>
    </w:p>
    <w:p w14:paraId="0C2AF1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 Завод фирмы BMW в Басдорфе.</w:t>
      </w:r>
    </w:p>
    <w:p w14:paraId="66718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изготовлял газотурбинные реактивные двигатели BMW-003 и производил сборку моторов BM-801.</w:t>
      </w:r>
    </w:p>
    <w:p w14:paraId="2DA1B0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велись работы по жидкостным реактивным двигателям.</w:t>
      </w:r>
    </w:p>
    <w:p w14:paraId="2EEA97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Наличие конвейерной сборки обеспечивало выпуск 15-20 двигателей BMW-003 в день. Основные детали и агрегаты (корпуса, колеса компрессора, камеры сгорания, сопла) доставлялись с заводов-смежников. Колеса турбин завод изготовлял сам. По некоторым узлам сохранился задел свыше 150 шт.</w:t>
      </w:r>
    </w:p>
    <w:p w14:paraId="78BAE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производились контрольные испытания двигателей BMW-003, для чего имеется следующее оборудование:</w:t>
      </w:r>
    </w:p>
    <w:p w14:paraId="3602F1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Шесть испытательных стендов, оборудованных тепловыми динамометрами, пультом управления и контрольными приборами.</w:t>
      </w:r>
    </w:p>
    <w:p w14:paraId="2A0630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Хорошо оборудованная лаборатория для испытания топливных и масляных систем турбореактивных двигателей.</w:t>
      </w:r>
    </w:p>
    <w:p w14:paraId="4A8D45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Три электростенда для испытания колес компрессора мощностью до 300 кВт и один агрегат Леонарда к ним.</w:t>
      </w:r>
    </w:p>
    <w:p w14:paraId="28BEC0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Не смонтированный осевой компрессор мощностью 1.500 л.с., приспособленный для наддува ВРД.</w:t>
      </w:r>
    </w:p>
    <w:p w14:paraId="38E7E5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Девять различных стендов для испытания жидкостных реактивных двигателей.</w:t>
      </w:r>
    </w:p>
    <w:p w14:paraId="336E17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Четырнадцать сферических резервуаров, часть которых заполнена окислителем и топливом.</w:t>
      </w:r>
    </w:p>
    <w:p w14:paraId="218AB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Топливо для ЖРД, в стендовых резервуарах и на складах.</w:t>
      </w:r>
    </w:p>
    <w:p w14:paraId="61EF6A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Некоторые агрегаты и детали ЖРД.</w:t>
      </w:r>
    </w:p>
    <w:p w14:paraId="38D12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вывозится директором Авраменко.</w:t>
      </w:r>
    </w:p>
    <w:p w14:paraId="4BAFE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VI. Лаборатории по радиолокации и автоматике Сименса.</w:t>
      </w:r>
    </w:p>
    <w:p w14:paraId="361E06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Фалькензее помещается научно-исследовательские лаборатории и обслуживающие их мастерские, переведенные из Сименс-штадта вследствие бомбардировок. В лабораториях велись работы по следующей тематике:</w:t>
      </w:r>
    </w:p>
    <w:p w14:paraId="38FD2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Импульсные радиолокационные приборы.</w:t>
      </w:r>
    </w:p>
    <w:p w14:paraId="62CF7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Осциллографические приборы.</w:t>
      </w:r>
    </w:p>
    <w:p w14:paraId="4CDAD5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Телеуправление электрическими станциями.</w:t>
      </w:r>
    </w:p>
    <w:p w14:paraId="024FF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Лаборатории обеспечены стрелочными электроизмерительными приборами, имеются 2 осциллографа, 2 звуковых генератора и другая аппаратура. Станочный парк завода составляет около 200 единиц.</w:t>
      </w:r>
    </w:p>
    <w:p w14:paraId="515D93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лабораториях имеются образцы разработок, из которых наибольший интерес представляют следующие:</w:t>
      </w:r>
    </w:p>
    <w:p w14:paraId="0DEEC2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Малогабаритный самолетный генератор импульсов с мощностью в импульсе 500 кВт.</w:t>
      </w:r>
    </w:p>
    <w:p w14:paraId="1BA989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Генератор импульсов продолжительностью 2-3 микросекунды, с мощностью в импульсе 2000 кВт, для наземного радиолокатора.</w:t>
      </w:r>
    </w:p>
    <w:p w14:paraId="52096F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Осциллограф для измерений продолжительности импульсов с точностью 7 - 10 секунд.</w:t>
      </w:r>
    </w:p>
    <w:p w14:paraId="4EFC64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Индикатор расстояний для наземного радиолокатора с дальностью действия до 400 мм.</w:t>
      </w:r>
    </w:p>
    <w:p w14:paraId="43A0B7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Индикатор к самолетному радиолокатору.</w:t>
      </w:r>
    </w:p>
    <w:p w14:paraId="07A179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 а к л ю ч е н и е.</w:t>
      </w:r>
    </w:p>
    <w:p w14:paraId="58B620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Ввиду наличия широкой авиационной тематики выполняемых лабораториями работ по радиолокации и большого значения этих работ, предлагаем лаборатории вместе со станочным оборудованием и образцами разработок вывезти и передать НКАП и НКЭП.</w:t>
      </w:r>
    </w:p>
    <w:p w14:paraId="5DF8D1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VII. Опытный завод "Асканиа" в Фриденау.</w:t>
      </w:r>
    </w:p>
    <w:p w14:paraId="2D7854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опытном заводе разрабатывались образцы приборов фирмы, которые запускались затем в серийное производство на других заводах "Асканиа".</w:t>
      </w:r>
    </w:p>
    <w:p w14:paraId="7C50C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Тематика работ завода имела два четко выраженные направления:</w:t>
      </w:r>
    </w:p>
    <w:p w14:paraId="4247FA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Электрические авиационные и навигационные приборы. Дистанционные компасы, агрегаты автоматического управления самолетом, автопилоты.</w:t>
      </w:r>
    </w:p>
    <w:p w14:paraId="5E5B0A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Оптические прецизионные приборы - теодолиты, пуадо. В соответствии с этим специализированы и лаборатории и производственные подразделения. Штат завода составляет 1100 человек, из которых 300 человек - файнмехаников. В составе предприятия имеются конструкторские бюро, исследовательские лаборатории и производственные мастерские. В лабораториях в большом количестве имеется:</w:t>
      </w:r>
    </w:p>
    <w:p w14:paraId="65A18F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Прецизионная оптическая аппаратура:</w:t>
      </w:r>
    </w:p>
    <w:p w14:paraId="02139B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спектрографы;</w:t>
      </w:r>
    </w:p>
    <w:p w14:paraId="453AA7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спектрометры;</w:t>
      </w:r>
    </w:p>
    <w:p w14:paraId="76312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приборы для испытания и юстировки объектов;</w:t>
      </w:r>
    </w:p>
    <w:p w14:paraId="55D54A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кинопроекционный аппарат;</w:t>
      </w:r>
    </w:p>
    <w:p w14:paraId="7294F7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приборы "Панфот" для измерения разрешающей способности фотоэмульсии;</w:t>
      </w:r>
    </w:p>
    <w:p w14:paraId="57EDF3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оптические компараторы.</w:t>
      </w:r>
    </w:p>
    <w:p w14:paraId="5EB0A3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электрических приборов имеются:</w:t>
      </w:r>
    </w:p>
    <w:p w14:paraId="39800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прецизионные многошкальные гальванометры-мультифлекс;</w:t>
      </w:r>
    </w:p>
    <w:p w14:paraId="00770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универсальные комбинированные приборы;</w:t>
      </w:r>
    </w:p>
    <w:p w14:paraId="717A12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нормальные лабораторные стрелочные приборы;</w:t>
      </w:r>
    </w:p>
    <w:p w14:paraId="731C35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магазины сопротивлений;</w:t>
      </w:r>
    </w:p>
    <w:p w14:paraId="1C485F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реостаты Рустрата.</w:t>
      </w:r>
    </w:p>
    <w:p w14:paraId="1F837D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имеются:</w:t>
      </w:r>
    </w:p>
    <w:p w14:paraId="127BE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стенды для вибрационных испытаний, типа Лист;</w:t>
      </w:r>
    </w:p>
    <w:p w14:paraId="3709EC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ценные испытательные стенды для авиационных рулевых машин и, в частности, рулевых машин - 2;</w:t>
      </w:r>
    </w:p>
    <w:p w14:paraId="12C5B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установки для кондиционирования воздуха;</w:t>
      </w:r>
    </w:p>
    <w:p w14:paraId="456720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круговая делительная машина для шкал;</w:t>
      </w:r>
    </w:p>
    <w:p w14:paraId="20467F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линейная делительная машина;</w:t>
      </w:r>
    </w:p>
    <w:p w14:paraId="4B89A8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весьма совершенная коническая делительная машина;</w:t>
      </w:r>
    </w:p>
    <w:p w14:paraId="7AFF13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пантографы. Станочный парк завода состоит из около 250 металообрабатывающих и 30 оптических (для шлифовки линз) станков. Особо следует отметить наличие двух точных координатно-расточных станков.</w:t>
      </w:r>
    </w:p>
    <w:p w14:paraId="26911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З а к л ю ч е н и е.</w:t>
      </w:r>
    </w:p>
    <w:p w14:paraId="265B2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Цеха и оборудование, используемые при разработке и изготовлении авиационных приборов, вместе с технической документацией, следует передать НКАП и полностью вывезти.</w:t>
      </w:r>
    </w:p>
    <w:p w14:paraId="1341F2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Лабораторное и производственное оборудование, приспособленное для оптического производства, передать НКВ.</w:t>
      </w:r>
    </w:p>
    <w:p w14:paraId="63F902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VIII. Материалы скоростной трубы , отправляемые в Москву 16.V.1945 г.</w:t>
      </w:r>
    </w:p>
    <w:p w14:paraId="62D978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нижнем этаже корпуса скоростной трубы обнаружен ящики с отчетами, содержащими результаты испытаний в трубе за период с 1939 по 1944 гг. Экспертами комиссии произведен просмотр этих материалов, в результате чего большинство этих материалов признано представляющими интерес для ЦАГИ. Материал, отобранный экспертами, направляется в распоряжение начальника ЦАГИ. В большинстве случаев - материал с изложением результатов испытаний первичная документация, обработка и результаты испытаний. В большинстве случаев имеется исчерпывающая геометрическая характеристика объекта, его фотографии, а в ряде случаев и описание. Благодаря своей полноте, материал этот с успехом может быть использован для всякого рода систематических обработок и т.п. По своей тематике все материалы близки к тематике скоростной трубы ЦАГИ. Направляемый в Москву материал состоит из 101 отчета по результатам испытаний в скоростной трубе. Он разделяется на исследование крыльев - прямоугольных и трапецевидных, испытания моделей самолетов и летающих бомб, исследования по методике эксперимента и различные другие отчеты. Все испытания проводятся при различных числах Маха вплоть до Ма = 0.86.</w:t>
      </w:r>
    </w:p>
    <w:p w14:paraId="4BF443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Наибольшее число материалов относится к исследованиям крыльев. Больше всего испытано прямоугольных крыльев с профилями WACA. Целый ряд этих профилей не был исследован у нас и был нам мало известен. В частности выяснилось, что фирма "Мессершмитт" применяла на своих самолетах профили новых американских серий. Во всех отчетах имеется подробная картина распределения давления на всех углах атаки при широком диапазоне чисел Маха. Обстоятельно представлен материал по изменению лобового сопротивления с ростом чисел Маха. Можно установить связь между критическим числом Маха и характером прироста лобового сопротивления вблизи кризисов. Много материала по характеристикам подъемной силы и момента. [71] -ЗАПИСКА ДОКЛАДНАЯ от 15.05.45 года (стр. 19-21)</w:t>
      </w:r>
    </w:p>
    <w:p w14:paraId="74CA7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числе отчетов по исследованиям крыльев довольно многие относятся к испытаниям с отклоненными закрылками и щитками.</w:t>
      </w:r>
    </w:p>
    <w:p w14:paraId="15DB8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Встречаются данные по тормозным щиткам разного рода. Этим вопросом много занималась фирма "Хейнкель". Обследованы тормозные щитки на ряде американских крыльев.</w:t>
      </w:r>
    </w:p>
    <w:p w14:paraId="21064C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Оценивая материал по крыльям, следует признать его очень интересным и чрезвычайно полезным для развития представлений о явлениях на больших числах Маха.</w:t>
      </w:r>
    </w:p>
    <w:p w14:paraId="09C2E5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в этих отчетах содержится большой фактический материал, необходимый для исследователей и конструкторов.</w:t>
      </w:r>
    </w:p>
    <w:p w14:paraId="14F446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отчетах содержится изложение испытаний моделей самолетов Ме-109, Ме-109В и Ме-262. Кроме того, имеются испытания мотогондолы BMW и Юнкерс. Самолетные испытания будут исключительно интересны для ЦАГИ, так как таких полных испытаний в ЦАГИ не было еще произведено. Результаты испытаний Ме-163В и Ме-262 помогут сделать ряд общих выводов для компоновки и расчета реактивных самолетов.</w:t>
      </w:r>
    </w:p>
    <w:p w14:paraId="7A4FB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скоростной трубе много занимались испытаниями моделей летающих бомб. Из их числа можно назвать Хеншель 293, Блом и Фосс 143 и Юнкерс. Все они с реактивными двигателями, которые в трубе моделировались путем надставок. Испытания летающих бомб перечисленных типов также будут очень полезны для общей оценки этого типа объектов и дают большой фактический материал.</w:t>
      </w:r>
    </w:p>
    <w:p w14:paraId="5E288B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Методика эксперимента представлена сравнительно слабо в числе обнаруженных отчетов. Правда, в основном материале содержатся задачи методики, но детальных материалов специально посвященных методике немного.</w:t>
      </w:r>
    </w:p>
    <w:p w14:paraId="547871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Отчеты скоростной трубы, отправляемые в Москву, являются, безусловно, ценным материалом.</w:t>
      </w:r>
    </w:p>
    <w:p w14:paraId="2BB7F2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IX. Дополнительные сведения по германским авиационным двигателям.</w:t>
      </w:r>
    </w:p>
    <w:p w14:paraId="4AE40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дальнейшего изучения института , ознакомления с заводами "Даймлер-Бенц" в Мариендорфе, "BMW" в Басдорфе, "Хеншель" в Менефельде, а также с аэродромом в Дальгове, удалось выяснить следующие сведения по авиационным двигателям:</w:t>
      </w:r>
    </w:p>
    <w:p w14:paraId="27F9C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 материалах начальника отдела высотных установок Кароселли обнаружены основная схема и краткие данные о 6-ти рядном 36-ти цилиндровом моторе ДВ-630, Ж-образной конструкции, жидкостного охлаждения, с двумя соосными винтами. Основные данные мотора: мощность 4000 - 4700 л.с., литраж 88.2 л. Мотор имеет комбинированную систему наддува - двухступенчатую и трехступенчатую, что обеспечивает высотность мотора, в первом случае 8.5 - 9 км и во втором случае 13 - 14 км.</w:t>
      </w:r>
    </w:p>
    <w:p w14:paraId="34F931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Исследование элементов этого мотора началось в 1940 г., а проект мотора был закончен в 1942 г. Найденные материалы по этому мотору прилагаются к настоящему докладу.</w:t>
      </w:r>
    </w:p>
    <w:p w14:paraId="56ECBD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самолетном заводе "Хеншель" в Шёнефельде обнаружено несколько 4-х рядных, звездообразных, 24-х цилиндровых моторов жидкостного охлаждения, фирмы "Юнкерс", под маркой ЮМО-222 (6-ти цилиндровая, 4-х рядная звезда). Судя по внешнему виду, мотор имеет цилиндры небольшого диаметра 100-120 мм. Моторы блочной конструкции, очевидно, с бесклапанным распределением. Никаких данных по этому мотору обнаружить пока не удалось. Три мотора переведены в для отправки в Москву.</w:t>
      </w:r>
    </w:p>
    <w:p w14:paraId="533D8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В найдена фотография, снята с макета 24-х цилиндрового мотора оригинальной конструкции с соосными винтами. Никаких данных по этому мотору не обнаружено. Фотография прилагается.</w:t>
      </w:r>
    </w:p>
    <w:p w14:paraId="7A1AD1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При допросе начальника отдела Кароселли выяснилось, что в испытывался 12-ти цилиндровый мотор ДВ-603. Данные мотора:</w:t>
      </w:r>
    </w:p>
    <w:p w14:paraId="71E04E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взлетная мощность - 2000 л.с.</w:t>
      </w:r>
    </w:p>
    <w:p w14:paraId="453D29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высотная мощность- 1300 л.с.</w:t>
      </w:r>
    </w:p>
    <w:p w14:paraId="56666C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высотность - 9500 м</w:t>
      </w:r>
    </w:p>
    <w:p w14:paraId="3267E7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 имеет охлаждение воздуха за нагнетателем.</w:t>
      </w:r>
    </w:p>
    <w:p w14:paraId="571BD3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обнаружен мотор ЮМО-2ВА. По заявлению этот мотор имеет следующие данные:</w:t>
      </w:r>
    </w:p>
    <w:p w14:paraId="619588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взлетная мощность - 1750 л.с.</w:t>
      </w:r>
    </w:p>
    <w:p w14:paraId="40B541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высотная мощность - 1400 л.с.</w:t>
      </w:r>
    </w:p>
    <w:p w14:paraId="04A39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высотность - 5000 м</w:t>
      </w:r>
    </w:p>
    <w:p w14:paraId="11F16E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 имеет 2-х скоростной нагнетатель и 3 дросселя, что позволяет сохранить высотную характеристику без провалов и постоянную мощность от земли до пики 1-ой скорости (переменное Рк). Мотор будет направлен в ЦИАМ для изучения.</w:t>
      </w:r>
    </w:p>
    <w:p w14:paraId="76309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На аэродроме в г. Дальгов обнаружен опытный истребитель-модификация. Мессершмитт 109 с 12-ти цилиндровым мотором ЮМО, с 2-х ступенчатым нагнетателем и водо-воздушным радиатором. Самолет будет направлен в Москву.</w:t>
      </w:r>
    </w:p>
    <w:p w14:paraId="404CEE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По заявлению Кароселли, в Германии за последнее время авиационными дизелями не занимались. В 1942 г. он видел проект 24-х цилиндрового авиадизеля ромбообразной конструкции; о данных этого дизеля он ничего не сообщил.</w:t>
      </w:r>
    </w:p>
    <w:p w14:paraId="625AC6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В Мариенфельде, на заводе фирмы "Даймлер-Бенц" установлено: завод строил головные серии моторов в количестве 100 - 150 штук в месяц. ОКБ и лабораторий завод не имел. Завод почти полностью разрушен и, по заявлению инженеров, работавших на заводе, в 1944 году он был эвакуирован.</w:t>
      </w:r>
    </w:p>
    <w:p w14:paraId="4F7E5A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На заводе BMW в Басдорфе установлено: завод сократил производство моторов BMW-801 и с осени 1944 г. перешел на производство воздушно-реактивных двигателей BMW-003. Двигатель имеет 7-ми ступенчатый нагнетатель, одноступенчатую турбину с пустотелыми лопатками для воздушного охлаждения и общую камеру сгорания с 16-ю форсунками. На заводе найдена общая принципиальная схема двигателя, которая прилагается.</w:t>
      </w:r>
    </w:p>
    <w:p w14:paraId="3D74A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технологически доработан для крупно-серийного производства и сборка его производится на конвейере.</w:t>
      </w:r>
    </w:p>
    <w:p w14:paraId="3FE7B5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заводе имеется 6 испытательных стендов для реактивных двигателей, из них два полностью сохранились, а четыре незначительно повреждены. Часть готовых двигателей (из имеющихся 8 штук) и испытательные стенды необходимо вывезти в ЦИАМ и НИИ-1.</w:t>
      </w:r>
    </w:p>
    <w:p w14:paraId="3724C3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КОМИССИИ,</w:t>
      </w:r>
    </w:p>
    <w:p w14:paraId="187145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НИСО, генерал-майор ИАС - Н.И. Петров</w:t>
      </w:r>
    </w:p>
    <w:p w14:paraId="4C7BE6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ЧЛЕНЫ КОМИССИИ:</w:t>
      </w:r>
    </w:p>
    <w:p w14:paraId="4855D6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ЦИАМ - В.В. Владимиров</w:t>
      </w:r>
    </w:p>
    <w:p w14:paraId="200667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ЦАГИ - Суржин ЗАМ.</w:t>
      </w:r>
    </w:p>
    <w:p w14:paraId="30B4A3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НАЧАЛЬНИКА ВИАМ - Амбарцумян</w:t>
      </w:r>
    </w:p>
    <w:p w14:paraId="1CF5F7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ЛИИ - Зосим</w:t>
      </w:r>
    </w:p>
    <w:p w14:paraId="2329D8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15.V.45 г. (8987; 8994).</w:t>
      </w:r>
    </w:p>
    <w:p w14:paraId="176DCC05" w14:textId="77777777" w:rsidR="00665165" w:rsidRPr="00F90EAE" w:rsidRDefault="00665165" w:rsidP="00F90EAE">
      <w:pPr>
        <w:autoSpaceDE w:val="0"/>
        <w:autoSpaceDN w:val="0"/>
        <w:adjustRightInd w:val="0"/>
        <w:jc w:val="both"/>
        <w:rPr>
          <w:color w:val="000000" w:themeColor="text1"/>
          <w:sz w:val="16"/>
          <w:szCs w:val="16"/>
        </w:rPr>
      </w:pPr>
    </w:p>
    <w:p w14:paraId="6A38961C" w14:textId="77777777" w:rsidR="009B7AB9" w:rsidRPr="00F90EAE" w:rsidRDefault="009B7AB9" w:rsidP="00F90EAE">
      <w:pPr>
        <w:jc w:val="both"/>
        <w:rPr>
          <w:color w:val="000000" w:themeColor="text1"/>
          <w:sz w:val="16"/>
          <w:szCs w:val="16"/>
        </w:rPr>
      </w:pPr>
      <w:r w:rsidRPr="00F90EAE">
        <w:rPr>
          <w:color w:val="000000" w:themeColor="text1"/>
          <w:sz w:val="16"/>
          <w:szCs w:val="16"/>
        </w:rPr>
        <w:t>15 мая в 1945 году СНК СССР принял постановление о создании в районе села Капустин Яр Астраханской области испытательного ракетного полигона (14892).</w:t>
      </w:r>
    </w:p>
    <w:p w14:paraId="17E39627" w14:textId="77777777" w:rsidR="009B7AB9" w:rsidRPr="00F90EAE" w:rsidRDefault="009B7AB9" w:rsidP="00F90EAE">
      <w:pPr>
        <w:jc w:val="both"/>
        <w:rPr>
          <w:color w:val="000000" w:themeColor="text1"/>
          <w:sz w:val="16"/>
          <w:szCs w:val="16"/>
        </w:rPr>
      </w:pPr>
    </w:p>
    <w:p w14:paraId="110411D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42C2284" w14:textId="77777777" w:rsidR="00665165" w:rsidRPr="00F90EAE" w:rsidRDefault="00665165" w:rsidP="00F90EAE">
      <w:pPr>
        <w:autoSpaceDE w:val="0"/>
        <w:autoSpaceDN w:val="0"/>
        <w:adjustRightInd w:val="0"/>
        <w:jc w:val="both"/>
        <w:rPr>
          <w:iCs/>
          <w:color w:val="000000" w:themeColor="text1"/>
          <w:sz w:val="16"/>
          <w:szCs w:val="16"/>
        </w:rPr>
      </w:pPr>
    </w:p>
    <w:p w14:paraId="0C35068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года вышел приказ № 181 сс НКБ</w:t>
      </w:r>
    </w:p>
    <w:p w14:paraId="694779E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Ввиду сосредоточения программы по авиабомбам на заводе № 67 ГЦКБ-1 разместить на филиале завода № 568 (бывший № 775); оборудование и кадры с завода № 568 передать на завод № 70.</w:t>
      </w:r>
    </w:p>
    <w:p w14:paraId="761D449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СТБ-1 ликвидировать и имущество СТБ-1 передать в распоряжение начальника ГЦКБ-1.</w:t>
      </w:r>
    </w:p>
    <w:p w14:paraId="5BDE8B8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Распределение личного состава СТБ-1 между ГЦКБ-1 и ГСПИ-4 поручить замнаркома по кадрам Приголкину и замнаркома Мартынову (5794, 29).</w:t>
      </w:r>
    </w:p>
    <w:p w14:paraId="039CDA4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6E63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8558. О дополнительном выделении электроэнергии цементным заводам НКПСМ в Донбассе в мае-июне 1945 г. РГАНИР, Фонд ГКО, д. 415, лл. 69 (11012).</w:t>
      </w:r>
    </w:p>
    <w:p w14:paraId="2CE94F0D" w14:textId="77777777" w:rsidR="00665165" w:rsidRPr="00F90EAE" w:rsidRDefault="00665165" w:rsidP="00F90EAE">
      <w:pPr>
        <w:autoSpaceDE w:val="0"/>
        <w:autoSpaceDN w:val="0"/>
        <w:adjustRightInd w:val="0"/>
        <w:jc w:val="both"/>
        <w:rPr>
          <w:color w:val="000000" w:themeColor="text1"/>
          <w:sz w:val="16"/>
          <w:szCs w:val="16"/>
        </w:rPr>
      </w:pPr>
    </w:p>
    <w:p w14:paraId="0D8A6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8559. О дополнительном выделении угля СНК КФ СССР для передвижной электростанции. РГАНИР, Фонд ГКО, д. 415, лл. 70 (11012).</w:t>
      </w:r>
    </w:p>
    <w:p w14:paraId="10E89B8E" w14:textId="77777777" w:rsidR="00665165" w:rsidRPr="00F90EAE" w:rsidRDefault="00665165" w:rsidP="00F90EAE">
      <w:pPr>
        <w:autoSpaceDE w:val="0"/>
        <w:autoSpaceDN w:val="0"/>
        <w:adjustRightInd w:val="0"/>
        <w:jc w:val="both"/>
        <w:rPr>
          <w:color w:val="000000" w:themeColor="text1"/>
          <w:sz w:val="16"/>
          <w:szCs w:val="16"/>
        </w:rPr>
      </w:pPr>
    </w:p>
    <w:p w14:paraId="46A44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8560. О размещении вывозимого из Австрии оборудования НКНП в Сталинграде. РГАНИР, Фонд ГКО, д. 415, лл. 71 (11012).</w:t>
      </w:r>
    </w:p>
    <w:p w14:paraId="27ABBA22" w14:textId="77777777" w:rsidR="00665165" w:rsidRPr="00F90EAE" w:rsidRDefault="00665165" w:rsidP="00F90EAE">
      <w:pPr>
        <w:autoSpaceDE w:val="0"/>
        <w:autoSpaceDN w:val="0"/>
        <w:adjustRightInd w:val="0"/>
        <w:jc w:val="both"/>
        <w:rPr>
          <w:color w:val="000000" w:themeColor="text1"/>
          <w:sz w:val="16"/>
          <w:szCs w:val="16"/>
        </w:rPr>
      </w:pPr>
    </w:p>
    <w:p w14:paraId="021071F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8561 [О выделении вагонов для перевозки оборудования сажевых заводов из Баку и Саратовской обл. в Львовскую обл.] (7339, 72).</w:t>
      </w:r>
    </w:p>
    <w:p w14:paraId="4BF19CE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1D0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8562. О мерах по укреплению охраны завода № 202 НКСП. РГАНИР, Фонд ГКО, д. 415, лл. 73 (11012).</w:t>
      </w:r>
    </w:p>
    <w:p w14:paraId="66B90E49" w14:textId="77777777" w:rsidR="00665165" w:rsidRPr="00F90EAE" w:rsidRDefault="00665165" w:rsidP="00F90EAE">
      <w:pPr>
        <w:autoSpaceDE w:val="0"/>
        <w:autoSpaceDN w:val="0"/>
        <w:adjustRightInd w:val="0"/>
        <w:jc w:val="both"/>
        <w:rPr>
          <w:color w:val="000000" w:themeColor="text1"/>
          <w:sz w:val="16"/>
          <w:szCs w:val="16"/>
        </w:rPr>
      </w:pPr>
    </w:p>
    <w:p w14:paraId="6465FB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8563. Об организации Всесоюзного социалистического соревнования геологоразведочных и геофизических трестов, контор и экспедиций НКНП. РГАНИР, Фонд ГКО, д. 415, лл. 74 (11012).</w:t>
      </w:r>
    </w:p>
    <w:p w14:paraId="3767CC8A" w14:textId="77777777" w:rsidR="00665165" w:rsidRPr="00F90EAE" w:rsidRDefault="00665165" w:rsidP="00F90EAE">
      <w:pPr>
        <w:autoSpaceDE w:val="0"/>
        <w:autoSpaceDN w:val="0"/>
        <w:adjustRightInd w:val="0"/>
        <w:jc w:val="both"/>
        <w:rPr>
          <w:color w:val="000000" w:themeColor="text1"/>
          <w:sz w:val="16"/>
          <w:szCs w:val="16"/>
        </w:rPr>
      </w:pPr>
    </w:p>
    <w:p w14:paraId="241E8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Распоряжение ГКО № 8564. О выделении горючего для проведения весенних полевых работ в Закарпатской Украине. РГАНИР, Фонд ГКО, д. 415, лл. 75-76 (11012).</w:t>
      </w:r>
    </w:p>
    <w:p w14:paraId="42974665" w14:textId="77777777" w:rsidR="00665165" w:rsidRPr="00F90EAE" w:rsidRDefault="00665165" w:rsidP="00F90EAE">
      <w:pPr>
        <w:autoSpaceDE w:val="0"/>
        <w:autoSpaceDN w:val="0"/>
        <w:adjustRightInd w:val="0"/>
        <w:jc w:val="both"/>
        <w:rPr>
          <w:color w:val="000000" w:themeColor="text1"/>
          <w:sz w:val="16"/>
          <w:szCs w:val="16"/>
        </w:rPr>
      </w:pPr>
    </w:p>
    <w:p w14:paraId="40745A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8565 О неотложных мероприятиях по восстановлению Рижского завода ВЭФ Наркомэлектропрома. РГАНИР, Фонд ГКО, д. 415, лл. 77-79 (11012).</w:t>
      </w:r>
    </w:p>
    <w:p w14:paraId="4AC6507F" w14:textId="77777777" w:rsidR="00665165" w:rsidRPr="00F90EAE" w:rsidRDefault="00665165" w:rsidP="00F90EAE">
      <w:pPr>
        <w:autoSpaceDE w:val="0"/>
        <w:autoSpaceDN w:val="0"/>
        <w:adjustRightInd w:val="0"/>
        <w:jc w:val="both"/>
        <w:rPr>
          <w:color w:val="000000" w:themeColor="text1"/>
          <w:sz w:val="16"/>
          <w:szCs w:val="16"/>
        </w:rPr>
      </w:pPr>
    </w:p>
    <w:p w14:paraId="350AE8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8566 О неотложных мерах помощи тресту № 13 Наркомэлектропрома по увеличению добычи пьезокварца и агата. РГАНИР, Фонд ГКО, д. 415, лл. 80-83, 84-86 (11012).</w:t>
      </w:r>
    </w:p>
    <w:p w14:paraId="7E932544" w14:textId="77777777" w:rsidR="00665165" w:rsidRPr="00F90EAE" w:rsidRDefault="00665165" w:rsidP="00F90EAE">
      <w:pPr>
        <w:autoSpaceDE w:val="0"/>
        <w:autoSpaceDN w:val="0"/>
        <w:adjustRightInd w:val="0"/>
        <w:jc w:val="both"/>
        <w:rPr>
          <w:color w:val="000000" w:themeColor="text1"/>
          <w:sz w:val="16"/>
          <w:szCs w:val="16"/>
        </w:rPr>
      </w:pPr>
    </w:p>
    <w:p w14:paraId="6E09A58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8567 О завозе в г. Москву грузов речным транспортом в навигацию 1945 г. (7339, 87-88,89-91).</w:t>
      </w:r>
    </w:p>
    <w:p w14:paraId="031F0CD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93BAE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8568 О вывозе оборудования лабораторий, институтов, предприятий Германии, связанных с работой в области ядерной науки и техники об использовании соответствующих немецких специалистов в СССР. РГАНИР, Фонд ГКО, д. 415, лл. 92 (11012).</w:t>
      </w:r>
    </w:p>
    <w:p w14:paraId="61AAF8A0" w14:textId="77777777" w:rsidR="00665165" w:rsidRPr="00F90EAE" w:rsidRDefault="00665165" w:rsidP="00F90EAE">
      <w:pPr>
        <w:autoSpaceDE w:val="0"/>
        <w:autoSpaceDN w:val="0"/>
        <w:adjustRightInd w:val="0"/>
        <w:jc w:val="both"/>
        <w:rPr>
          <w:color w:val="000000" w:themeColor="text1"/>
          <w:sz w:val="16"/>
          <w:szCs w:val="16"/>
        </w:rPr>
      </w:pPr>
    </w:p>
    <w:p w14:paraId="771107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 вышло:</w:t>
      </w:r>
    </w:p>
    <w:p w14:paraId="63696429" w14:textId="77777777" w:rsidR="009B7AB9" w:rsidRPr="00F90EAE" w:rsidRDefault="009B7AB9"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 ГОСУДАРСТВЕННОГО КОМИТЕТА ОБОРОНЫ № 8568сс</w:t>
      </w:r>
    </w:p>
    <w:p w14:paraId="5D347619" w14:textId="77777777" w:rsidR="009B7AB9" w:rsidRPr="00F90EAE" w:rsidRDefault="009B7AB9" w:rsidP="00F90EAE">
      <w:pPr>
        <w:autoSpaceDE w:val="0"/>
        <w:autoSpaceDN w:val="0"/>
        <w:adjustRightInd w:val="0"/>
        <w:jc w:val="both"/>
        <w:rPr>
          <w:color w:val="000000" w:themeColor="text1"/>
          <w:sz w:val="16"/>
          <w:szCs w:val="16"/>
        </w:rPr>
      </w:pPr>
      <w:r w:rsidRPr="00F90EAE">
        <w:rPr>
          <w:color w:val="000000" w:themeColor="text1"/>
          <w:sz w:val="16"/>
          <w:szCs w:val="16"/>
        </w:rPr>
        <w:t>[о вывозе в СССР для лаборатории № 2 АН СССР и Спецметуправления НКВД СССР оборудования институтов, лабораторий и предприятий, имеющих отношение к разработке проблемы урана.]</w:t>
      </w:r>
    </w:p>
    <w:p w14:paraId="40A38A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5D158A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Демонтировать и вывезти в Советский Союз для лаборатории № 2 Академии Наук и Спецметуправления НКВД СССР:</w:t>
      </w:r>
    </w:p>
    <w:p w14:paraId="1E7D98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все оборудование, материалы и библиотеку института имени кайзера Вильгельма в Берлине;</w:t>
      </w:r>
    </w:p>
    <w:p w14:paraId="536294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оборудование и другое имущество лаборатории фон Арденнэ в Берлине;</w:t>
      </w:r>
    </w:p>
    <w:p w14:paraId="07E1F8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все оборудование и имущество лаборатории профессора Герца в Берлине;</w:t>
      </w:r>
    </w:p>
    <w:p w14:paraId="03162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оборудование, библиотеку и материалы Берлинского института по ядерной физике министерства связи;</w:t>
      </w:r>
    </w:p>
    <w:p w14:paraId="03A9CE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Берлинский завод Ауэра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24651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 специальные металлы и материалы, обнаруженные в Берлине.</w:t>
      </w:r>
    </w:p>
    <w:p w14:paraId="561F71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Поручить товарищу Берия организовать демонтаж и вывоз всего указанного в п. 1 оборудования и материалов, разрешив командировать в Германию для этого необходимое количество специалистов спецметуправления НКВД, лаборатории № 2 Академии Наук и Наркомэлектропрома.</w:t>
      </w:r>
    </w:p>
    <w:p w14:paraId="0F5FE5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выделить по указанию товарища БЕРИЯ необходимое количество рабочей силы для демонтажа и транспортные средства для вывоза оборудования в СССР.</w:t>
      </w:r>
    </w:p>
    <w:p w14:paraId="6CE775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Товарищу БЕРИЯ внести в ГОКО предложение об использовании немецких специалистов, работавших в перечисленных в пункте 1 настоящего постановления институтах и заводах, на работе в Советском Союзе (11813).</w:t>
      </w:r>
    </w:p>
    <w:p w14:paraId="069338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ПРЕДСЕДАТЕЛЬ ГОСУДАРСТВЕННОГО КОМИТЕТА ОБОРОНЫ И. СТАЛИН </w:t>
      </w:r>
    </w:p>
    <w:p w14:paraId="58EDEB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Совершенно секретно</w:t>
      </w:r>
    </w:p>
    <w:p w14:paraId="3A7A96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Экз. № 1</w:t>
      </w:r>
    </w:p>
    <w:p w14:paraId="0BFC9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 т.т. Берия, Маленкова.</w:t>
      </w:r>
    </w:p>
    <w:p w14:paraId="736AD8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w:t>
      </w:r>
    </w:p>
    <w:p w14:paraId="64F318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товарищу СТАЛИНУ И. В.</w:t>
      </w:r>
    </w:p>
    <w:p w14:paraId="5D0A3E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Посланной, для обнаружения институтов, лабораторий и предприятий, имеющих отношение к разработке проблемы урана, комиссией НКВД СССР установлены следующие учреждения:</w:t>
      </w:r>
    </w:p>
    <w:p w14:paraId="6D01BF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Берлинский физический институт имени кайзера Вильгельма, в котором имеется ценное оборудование - высоковольтная установка на полтора миллиона вольт, механическая мастерская и лаборатория низких температур для получения жидкого азота, водорода и гелия. Там же найдено 250 килограмм металлического урана, 3 тонны окиси урана, 20 литров тяжелой воды и 0,5 грамма радия.</w:t>
      </w:r>
    </w:p>
    <w:p w14:paraId="771AF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построен, главным образом, на деньги США и находится в районе предполагаемого расположения союзников.</w:t>
      </w:r>
    </w:p>
    <w:p w14:paraId="60CB3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Частный институт ученого фон Арденнэ, лаборатория которого является ведущей в области электронной микроскопии во всем мире.</w:t>
      </w:r>
    </w:p>
    <w:p w14:paraId="6F72EB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институте имеется оборудование - электронный микроскоп с силой увеличения в 300.000 раз (единственный в мире экземпляр), циклотрон с электромагнитом в 60 тонн, принадлежащий министерству связи, высоковольтная установка на 1 миллион вольт, прибор для передачи стереоскопических картин на большой экран и другое оборудование.</w:t>
      </w:r>
    </w:p>
    <w:p w14:paraId="26C8A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Фон Арденнэ является крупнейшим ученым, единственным в мире специалистом по электронной микроскопии - имеющий важное значение для физики, биологии и медицины. Имеются сведения, что фон Арденнэ занимался проблемой урана. </w:t>
      </w:r>
    </w:p>
    <w:p w14:paraId="7B6B5B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Фон Арденнэ передал председателю комиссии тов. МАХНЕВУ заявление на имя Совета Народных Комиссаров Союза ССР с тем, что он хочет работать с русскими физиками и предоставляет институт и самого себя в распоряжение Советского Правительства.</w:t>
      </w:r>
    </w:p>
    <w:p w14:paraId="60A7FE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Циклотронная лаборатория профессора ГЕРЦА в Берлине. Установка имеет полный комплект нового оборудования, вес электромагнита циклотрона - 70 тонн. Руководитель лаборатории профессор ГЕРЦ находится при лаборатории.</w:t>
      </w:r>
    </w:p>
    <w:p w14:paraId="27D82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Исследовательский институт Германского министерства связи по ядерной физике.</w:t>
      </w:r>
    </w:p>
    <w:p w14:paraId="2A42A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создан во время войны. Имеет циклотронную лабораторию, построенную в соответствии с последними требованиями науки и техники. Циклотрон с электромагнитным весом 60 тонн, высокочастотная установка и силовая подстанция к нему почти полностью смонтированные.</w:t>
      </w:r>
    </w:p>
    <w:p w14:paraId="5997A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лаборатории имеется специальный зал высоковольтной установки, напряжением в 3 миллиона вольт, смонтированной на 50%.</w:t>
      </w:r>
    </w:p>
    <w:p w14:paraId="29AC30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Завод общества АУЭРА (размещен на химической фабрике концерна ДЕГУСА) по переработке окиси урана в металлический порошок, мощностью до 500 килограмм порошка в месяц, печи и другое оборудование в исправности.</w:t>
      </w:r>
    </w:p>
    <w:p w14:paraId="4DD3D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Склад редких материалов на химической фабрике общество АУЭРА, на котором находятся редкие металлы: металлического урана в порошке - 570 килограмм, тоже не переработанного - 300 килограмм, металлического титана 19 кг., металлического тория - 40 килограмм и металлического циркония - 185 килограмм.</w:t>
      </w:r>
    </w:p>
    <w:p w14:paraId="534AF0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Указанные предприятия, оборудование и металл взяты, до решения вопроса об их вывозе, под охрану войск НКВД.</w:t>
      </w:r>
    </w:p>
    <w:p w14:paraId="7CF8DD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Учитывая исключительную важность для Советского Союза всего перечисленного оборудования и материалов, просим Вашего решения о демонтаже и вывозе оборудования в СССР и другого имущества институтов и предприятий.</w:t>
      </w:r>
    </w:p>
    <w:p w14:paraId="72461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считаем целесообразным использовать в Советском Союзе немецких специалистов: фон Арденнэ, Герца и других научных работников институтов и лабораторий.</w:t>
      </w:r>
    </w:p>
    <w:p w14:paraId="04FF35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Проектов постановления Государственного Комитета Обороны прилагается.</w:t>
      </w:r>
    </w:p>
    <w:p w14:paraId="4DAEB6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 БЕРИЯ Г. МАЛЕНКОВ "14" мая 1945 г. № 552/б (11813).</w:t>
      </w:r>
    </w:p>
    <w:p w14:paraId="42987F29" w14:textId="77777777" w:rsidR="009B7AB9" w:rsidRPr="00F90EAE" w:rsidRDefault="009B7AB9" w:rsidP="00F90EAE">
      <w:pPr>
        <w:tabs>
          <w:tab w:val="left" w:pos="11199"/>
        </w:tabs>
        <w:autoSpaceDE w:val="0"/>
        <w:autoSpaceDN w:val="0"/>
        <w:adjustRightInd w:val="0"/>
        <w:jc w:val="both"/>
        <w:rPr>
          <w:color w:val="000000" w:themeColor="text1"/>
          <w:sz w:val="16"/>
          <w:szCs w:val="16"/>
        </w:rPr>
      </w:pPr>
    </w:p>
    <w:p w14:paraId="6F53176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8569 О командировании в Берлин работников по финансовым вопросам. (7339, 93).</w:t>
      </w:r>
    </w:p>
    <w:p w14:paraId="61B54CD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350C0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8570 О размещении в Швеции заказа на поставку оборудования для Сухумской ГЭС. РГАНИР, Фонд ГКО, д. 415, лл. 94 (11012).</w:t>
      </w:r>
    </w:p>
    <w:p w14:paraId="4BF8884A" w14:textId="77777777" w:rsidR="00665165" w:rsidRPr="00F90EAE" w:rsidRDefault="00665165" w:rsidP="00F90EAE">
      <w:pPr>
        <w:autoSpaceDE w:val="0"/>
        <w:autoSpaceDN w:val="0"/>
        <w:adjustRightInd w:val="0"/>
        <w:jc w:val="both"/>
        <w:rPr>
          <w:color w:val="000000" w:themeColor="text1"/>
          <w:sz w:val="16"/>
          <w:szCs w:val="16"/>
        </w:rPr>
      </w:pPr>
    </w:p>
    <w:p w14:paraId="189164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8571 О неотложных мероприятиях по подготовке площадок в г. г. Лисичанске, Кемерово и Сталинграде и приему оборудования, поступающего из Силезии. РГАНИР, Фонд ГКО, д. 415, лл. 95-96 (11012).</w:t>
      </w:r>
    </w:p>
    <w:p w14:paraId="1CC045F8" w14:textId="77777777" w:rsidR="00665165" w:rsidRPr="00F90EAE" w:rsidRDefault="00665165" w:rsidP="00F90EAE">
      <w:pPr>
        <w:autoSpaceDE w:val="0"/>
        <w:autoSpaceDN w:val="0"/>
        <w:adjustRightInd w:val="0"/>
        <w:jc w:val="both"/>
        <w:rPr>
          <w:color w:val="000000" w:themeColor="text1"/>
          <w:sz w:val="16"/>
          <w:szCs w:val="16"/>
        </w:rPr>
      </w:pPr>
    </w:p>
    <w:p w14:paraId="1748F69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8572 О вывозе военнопленных с фронтов и направлении их на работу в промышленность. (7339, 97-98,99-101).</w:t>
      </w:r>
    </w:p>
    <w:p w14:paraId="6528BAD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695E9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года в соответствии с постановлением ГКО от «О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(11492).</w:t>
      </w:r>
    </w:p>
    <w:p w14:paraId="20377A26" w14:textId="77777777" w:rsidR="00665165" w:rsidRPr="00F90EAE" w:rsidRDefault="00665165" w:rsidP="00F90EAE">
      <w:pPr>
        <w:autoSpaceDE w:val="0"/>
        <w:autoSpaceDN w:val="0"/>
        <w:adjustRightInd w:val="0"/>
        <w:jc w:val="both"/>
        <w:rPr>
          <w:color w:val="000000" w:themeColor="text1"/>
          <w:sz w:val="16"/>
          <w:szCs w:val="16"/>
        </w:rPr>
      </w:pPr>
    </w:p>
    <w:p w14:paraId="0B55D6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8573 О мерах помощи строительству Алапаевского металлургического завода Наркомчермета. РГАНИР, Фонд ГКО, д. 415, лл. 102-104 (11012).</w:t>
      </w:r>
    </w:p>
    <w:p w14:paraId="770E0128" w14:textId="77777777" w:rsidR="00665165" w:rsidRPr="00F90EAE" w:rsidRDefault="00665165" w:rsidP="00F90EAE">
      <w:pPr>
        <w:autoSpaceDE w:val="0"/>
        <w:autoSpaceDN w:val="0"/>
        <w:adjustRightInd w:val="0"/>
        <w:jc w:val="both"/>
        <w:rPr>
          <w:color w:val="000000" w:themeColor="text1"/>
          <w:sz w:val="16"/>
          <w:szCs w:val="16"/>
        </w:rPr>
      </w:pPr>
    </w:p>
    <w:p w14:paraId="6F4F45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8574 О развертывании строительства Днепропетровского автомобильного завода Наркомсредмаша и обеспечении выпуска автомобилей. РГАНИР, Фонд ГКО, д. 415, лл. 105-121, 122-130 (11012).</w:t>
      </w:r>
    </w:p>
    <w:p w14:paraId="4F181427" w14:textId="77777777" w:rsidR="00665165" w:rsidRPr="00F90EAE" w:rsidRDefault="00665165" w:rsidP="00F90EAE">
      <w:pPr>
        <w:autoSpaceDE w:val="0"/>
        <w:autoSpaceDN w:val="0"/>
        <w:adjustRightInd w:val="0"/>
        <w:jc w:val="both"/>
        <w:rPr>
          <w:color w:val="000000" w:themeColor="text1"/>
          <w:sz w:val="16"/>
          <w:szCs w:val="16"/>
        </w:rPr>
      </w:pPr>
    </w:p>
    <w:p w14:paraId="69CA0A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8575 Об увеличении добычи угля во втором полугодии 1945 года в Восточной Сибири и на Дальнем Востоке. РГАНИР, Фонд ГКО, д. 415, лл. 131-162, 163-195 (11012).</w:t>
      </w:r>
    </w:p>
    <w:p w14:paraId="0708D8B5" w14:textId="77777777" w:rsidR="00665165" w:rsidRPr="00F90EAE" w:rsidRDefault="00665165" w:rsidP="00F90EAE">
      <w:pPr>
        <w:autoSpaceDE w:val="0"/>
        <w:autoSpaceDN w:val="0"/>
        <w:adjustRightInd w:val="0"/>
        <w:jc w:val="both"/>
        <w:rPr>
          <w:color w:val="000000" w:themeColor="text1"/>
          <w:sz w:val="16"/>
          <w:szCs w:val="16"/>
        </w:rPr>
      </w:pPr>
    </w:p>
    <w:p w14:paraId="796E58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8576 О мероприятиях по обеспечению производства геологоразведочных работ Наркомугля в 1945 г. (7339, 196-202,203-214).</w:t>
      </w:r>
    </w:p>
    <w:p w14:paraId="193D119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6D9262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8577 О распространении на сотрудников органов НКВД постановлений Государственного Комитета Обороны № ГОКО-1494 от 26 марта 1942 г., № ГОКО-2685 от 2 января 1943 г. и № ГОКО-2822 от 4 февраля 1943 г. (7340, 1).</w:t>
      </w:r>
    </w:p>
    <w:p w14:paraId="639A4F0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1D6D9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8578 О мерах по увеличению добычи нефти в объединении "Дальнефть" в 1945 г. РГАНИР, Фонд ГКО, д. 416, лл. 2-5, 6-9 (11012).</w:t>
      </w:r>
    </w:p>
    <w:p w14:paraId="1A526859" w14:textId="77777777" w:rsidR="00665165" w:rsidRPr="00F90EAE" w:rsidRDefault="00665165" w:rsidP="00F90EAE">
      <w:pPr>
        <w:autoSpaceDE w:val="0"/>
        <w:autoSpaceDN w:val="0"/>
        <w:adjustRightInd w:val="0"/>
        <w:jc w:val="both"/>
        <w:rPr>
          <w:color w:val="000000" w:themeColor="text1"/>
          <w:sz w:val="16"/>
          <w:szCs w:val="16"/>
        </w:rPr>
      </w:pPr>
    </w:p>
    <w:p w14:paraId="6679EB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8579 О плане научно-исследовательских работ лаборатории № 2 Академии наук СССР, штатном расписании, смете расходов на 1945 г. РГАНИР, Фонд ГКО, д. 416, лл. 10-15, 16-22 (11012).</w:t>
      </w:r>
    </w:p>
    <w:p w14:paraId="6E5B16DD" w14:textId="77777777" w:rsidR="00665165" w:rsidRPr="00F90EAE" w:rsidRDefault="00665165" w:rsidP="00F90EAE">
      <w:pPr>
        <w:autoSpaceDE w:val="0"/>
        <w:autoSpaceDN w:val="0"/>
        <w:adjustRightInd w:val="0"/>
        <w:jc w:val="both"/>
        <w:rPr>
          <w:color w:val="000000" w:themeColor="text1"/>
          <w:sz w:val="16"/>
          <w:szCs w:val="16"/>
        </w:rPr>
      </w:pPr>
    </w:p>
    <w:p w14:paraId="37890D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8580 О плане распределения радиолокационных изделий, изготовляемых во II квартале 1945 г. на заводах Наркомэлектропрома, Наркомсудпрома и Наркомавиапрома. РГАНИР, Фонд ГКО, д. 416, лл. 23, 24-25 (11012).</w:t>
      </w:r>
    </w:p>
    <w:p w14:paraId="1FD21348" w14:textId="77777777" w:rsidR="00665165" w:rsidRPr="00F90EAE" w:rsidRDefault="00665165" w:rsidP="00F90EAE">
      <w:pPr>
        <w:autoSpaceDE w:val="0"/>
        <w:autoSpaceDN w:val="0"/>
        <w:adjustRightInd w:val="0"/>
        <w:jc w:val="both"/>
        <w:rPr>
          <w:color w:val="000000" w:themeColor="text1"/>
          <w:sz w:val="16"/>
          <w:szCs w:val="16"/>
        </w:rPr>
      </w:pPr>
    </w:p>
    <w:p w14:paraId="593A85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8581 О строительстве установок при лаборатории № 2 Академии наук СССР. РГАНИР, Фонд ГКО, д. 416, лл. 26-39, 40-57 (11012).</w:t>
      </w:r>
    </w:p>
    <w:p w14:paraId="353292F9" w14:textId="77777777" w:rsidR="00665165" w:rsidRPr="00F90EAE" w:rsidRDefault="00665165" w:rsidP="00F90EAE">
      <w:pPr>
        <w:autoSpaceDE w:val="0"/>
        <w:autoSpaceDN w:val="0"/>
        <w:adjustRightInd w:val="0"/>
        <w:jc w:val="both"/>
        <w:rPr>
          <w:color w:val="000000" w:themeColor="text1"/>
          <w:sz w:val="16"/>
          <w:szCs w:val="16"/>
        </w:rPr>
      </w:pPr>
    </w:p>
    <w:p w14:paraId="703D3B6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8582 Об увеличении производственных мощностей предприятий 9-го управления НКВД СССР. (7340, 58-70,71-91).</w:t>
      </w:r>
    </w:p>
    <w:p w14:paraId="781D2CF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25404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 пост. ГКО и 8 декабря 1944 г. решением ГКО был создан для добычи и обогащения урановой руды Комбинат № 6 НКВД, ПГУ, ВГУ, МСМ, Минатома, Ленинабадский горно</w:t>
      </w:r>
      <w:r w:rsidRPr="00F90EAE">
        <w:rPr>
          <w:color w:val="000000" w:themeColor="text1"/>
          <w:sz w:val="16"/>
          <w:szCs w:val="16"/>
        </w:rPr>
        <w:softHyphen/>
        <w:t>металлургический комбинат (ГМК), Ферганский горно-химический комбинат (ГХК), Чкаловский комбинат, ПО «Восточный комбинат редких металлов», ГУП «Востокредмет» /Таджикистан г. Ленинабад/ /Таджикистан 735730 г. Чкаловск ул. Опланчука, 10/. В 1946-47 г. комбинат выдал первые 86 т урана.</w:t>
      </w:r>
      <w:r w:rsidRPr="00F90EAE">
        <w:rPr>
          <w:color w:val="000000" w:themeColor="text1"/>
          <w:sz w:val="16"/>
          <w:szCs w:val="16"/>
          <w:vertAlign w:val="superscript"/>
        </w:rPr>
        <w:t>92</w:t>
      </w:r>
      <w:r w:rsidRPr="00F90EAE">
        <w:rPr>
          <w:color w:val="000000" w:themeColor="text1"/>
          <w:sz w:val="16"/>
          <w:szCs w:val="16"/>
        </w:rPr>
        <w:t xml:space="preserve"> Позднее передан в народное хозяйство.</w:t>
      </w:r>
      <w:r w:rsidRPr="00F90EAE">
        <w:rPr>
          <w:color w:val="000000" w:themeColor="text1"/>
          <w:sz w:val="16"/>
          <w:szCs w:val="16"/>
          <w:vertAlign w:val="superscript"/>
        </w:rPr>
        <w:t>70</w:t>
      </w:r>
    </w:p>
    <w:p w14:paraId="3C334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 комбината вошли (1945 г.): Ленинабадское заводуправление; рудоуправления: Табошарское № 11, Адрасманское № 12, Майлисуйское (№ 13 или № 14) и Тюя-Муюнское № 15;</w:t>
      </w:r>
      <w:r w:rsidRPr="00F90EAE">
        <w:rPr>
          <w:color w:val="000000" w:themeColor="text1"/>
          <w:sz w:val="16"/>
          <w:szCs w:val="16"/>
          <w:vertAlign w:val="superscript"/>
        </w:rPr>
        <w:t>92</w:t>
      </w:r>
      <w:r w:rsidRPr="00F90EAE">
        <w:rPr>
          <w:color w:val="000000" w:themeColor="text1"/>
          <w:sz w:val="16"/>
          <w:szCs w:val="16"/>
        </w:rPr>
        <w:t xml:space="preserve"> завод «В», несколько геологических партий, переданных из НКЦМ. В 1946 г. Создано Уйгурсайское рудоуправление, обогатительные фабрики в Ленинабаде и Табошаре (№ 1). В конце 1947 г. в составе комбината- 7 обогатительных фабрик (построены фабрики № 2 в Адрасмане, № 3 в Майлису, № 5 на рудоуправлении № 14) и 18 рудников. Первоначально заводоуправление базировалось в Ленинабаде, а затем в г. Чкаловске, построенном на окраине Ленинабада для работников Комбината. В 1951 г. на базе разведанных месторождений Алатаньга и Каттасай в Приташкентском р-не Узбекской ССР создано горнодобывающее предприятие № 22 (Рудоуправление № 2). В 1952-54 г. открыты урановые месторождения Чаули, Чаркасар-1, Чаркасар-2, Майликатин, Ризак и Джекиндек, на базе которых созданы горнодобывающие предприятия № 24 (Рудоуправление № 3), № 23 (Рудоуправление № 1) и новые рудники в составе предприятия № 22. В 1954 г. из состава Комбината были выведены предприятия: № 13 (Майлису), №18 (Шакоптар) и № 21 (Майлисай), расположенные в Северной Фергане, на базе которых был создан отдельный Комбинат № 5 МСМ.</w:t>
      </w:r>
    </w:p>
    <w:p w14:paraId="15CFCA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завершена первая очередь реконструкции Ленинабадского гидрометаллургического завода, введен в эксплуатацию цех экстракции. Мощность гидрометаллургического завода по переработке руды стала более 1 млн. т. в год.</w:t>
      </w:r>
    </w:p>
    <w:p w14:paraId="5F9AB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926-303 от 3.10.1967 г. и приказом МСМ от 3.11.1967 г. Комбинату совместно с институтом «ПромНИИпроект» были поручены опытно-промышленные работы по подземному выщелачиванию урана из руд месторождения Букинай в Узбекистане, целях получения исходных данных для строительства горнодобывающего предприятия на базе этого и ещё двух других (Лявлякан и Бешкак), расположенных в 25 и 45 км на северо-восток от месторождения Северный Букинай. На базе этих месторождений создано Рудоуправление № 5, освоен промышленный способ добычи руды методом подземного выщелачивания. В 1988 г. (год самой высокой добычи на Комбинате) этим способом было добыто 90% урана.</w:t>
      </w:r>
    </w:p>
    <w:p w14:paraId="4E6759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обогащенного урана, золота, искусственных алмазов.</w:t>
      </w:r>
      <w:r w:rsidRPr="00F90EAE">
        <w:rPr>
          <w:color w:val="000000" w:themeColor="text1"/>
          <w:sz w:val="16"/>
          <w:szCs w:val="16"/>
          <w:vertAlign w:val="superscript"/>
        </w:rPr>
        <w:t>63</w:t>
      </w:r>
    </w:p>
    <w:p w14:paraId="6DF13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 ПО входили: Гидрометаллургический завод, Чкаловский машиностроительный завод (производство автобусов), Российско-Таджикское предприятие «Худжанд-ЗИЛ», НПЦ «Элта», НПЦ «Технология», рудники.</w:t>
      </w:r>
    </w:p>
    <w:p w14:paraId="590912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Объединение «Востокредмет» (2000-е) - в ведении Министерства промышленности Таджикистана, входило в состав российского АО «Концерн «Атомредметзолото», в Казахскую Государственную корпорацию предприятий атомной энергетики и промышленности.</w:t>
      </w:r>
    </w:p>
    <w:p w14:paraId="4C074C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(2.04.1945 г.)- 565 чел., (1949 г.)- 21120 чел.</w:t>
      </w:r>
    </w:p>
    <w:p w14:paraId="4EFC7C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(1945-49 г.-)- пп Б.Н. Чирков, (-2007 г.)- З.А. Разыков, (2007 г.-)- Ш. Бободжонов.</w:t>
      </w:r>
    </w:p>
    <w:p w14:paraId="4739E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по строительству (1945 г.-)- С.О. Гольман.</w:t>
      </w:r>
    </w:p>
    <w:p w14:paraId="132FC4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(1945 г.-)- А.Б. Драновский, (1949 г.)- А.А. Попов.</w:t>
      </w:r>
    </w:p>
    <w:p w14:paraId="2A98F7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(1949 г.)- С.Г. Михлин. Гл. геолог (1945-49 г.-)- А.А. Данильянц (11982).</w:t>
      </w:r>
    </w:p>
    <w:p w14:paraId="494C09D1" w14:textId="77777777" w:rsidR="00665165" w:rsidRPr="00F90EAE" w:rsidRDefault="00665165" w:rsidP="00F90EAE">
      <w:pPr>
        <w:autoSpaceDE w:val="0"/>
        <w:autoSpaceDN w:val="0"/>
        <w:adjustRightInd w:val="0"/>
        <w:jc w:val="both"/>
        <w:rPr>
          <w:color w:val="000000" w:themeColor="text1"/>
          <w:sz w:val="16"/>
          <w:szCs w:val="16"/>
        </w:rPr>
      </w:pPr>
    </w:p>
    <w:p w14:paraId="05217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вышло Постановление ГКО № 8583 О строительстве приводных радиостанций и радиопеленгаторных пунктов ВВС Красной Армии. РГАНИР, Фонд ГКО, д. 416, лл. 92-95, 96-108 (11012).</w:t>
      </w:r>
    </w:p>
    <w:p w14:paraId="6FC4974D" w14:textId="77777777" w:rsidR="00665165" w:rsidRPr="00F90EAE" w:rsidRDefault="00665165" w:rsidP="00F90EAE">
      <w:pPr>
        <w:autoSpaceDE w:val="0"/>
        <w:autoSpaceDN w:val="0"/>
        <w:adjustRightInd w:val="0"/>
        <w:jc w:val="both"/>
        <w:rPr>
          <w:color w:val="000000" w:themeColor="text1"/>
          <w:sz w:val="16"/>
          <w:szCs w:val="16"/>
        </w:rPr>
      </w:pPr>
    </w:p>
    <w:p w14:paraId="63ED66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15 мая 1945 вышло Постановление ГКО № 8584 О плане производства радиолокационных станций во II квартале 1945 г. РГАНИР, Фонд ГКО, д. 416, лл. 109-119, 120-155 (11012).</w:t>
      </w:r>
    </w:p>
    <w:p w14:paraId="2588BE83" w14:textId="77777777" w:rsidR="00665165" w:rsidRPr="00F90EAE" w:rsidRDefault="00665165" w:rsidP="00F90EAE">
      <w:pPr>
        <w:autoSpaceDE w:val="0"/>
        <w:autoSpaceDN w:val="0"/>
        <w:adjustRightInd w:val="0"/>
        <w:jc w:val="both"/>
        <w:rPr>
          <w:color w:val="000000" w:themeColor="text1"/>
          <w:sz w:val="16"/>
          <w:szCs w:val="16"/>
        </w:rPr>
      </w:pPr>
    </w:p>
    <w:p w14:paraId="0A015BE5" w14:textId="77777777" w:rsidR="0008367D" w:rsidRPr="00F90EAE" w:rsidRDefault="0008367D" w:rsidP="00F90EAE">
      <w:pPr>
        <w:jc w:val="both"/>
        <w:rPr>
          <w:color w:val="000000" w:themeColor="text1"/>
          <w:sz w:val="16"/>
          <w:szCs w:val="16"/>
        </w:rPr>
      </w:pPr>
      <w:r w:rsidRPr="00F90EAE">
        <w:rPr>
          <w:color w:val="000000" w:themeColor="text1"/>
          <w:sz w:val="16"/>
          <w:szCs w:val="16"/>
        </w:rPr>
        <w:t>Не ранее 15 мая 1945 г. Из отчета о выполнении военных заказов заводом «Серп и Молот» за январь-апрель1945 г.</w:t>
      </w:r>
    </w:p>
    <w:tbl>
      <w:tblPr>
        <w:tblW w:w="8781"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0"/>
        <w:gridCol w:w="709"/>
        <w:gridCol w:w="1985"/>
        <w:gridCol w:w="1984"/>
        <w:gridCol w:w="1843"/>
      </w:tblGrid>
      <w:tr w:rsidR="00561F31" w:rsidRPr="00F90EAE" w14:paraId="65ABFE9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712F0B6C" w14:textId="77777777" w:rsidR="0008367D" w:rsidRPr="00F90EAE" w:rsidRDefault="0008367D" w:rsidP="00F90EAE">
            <w:pPr>
              <w:jc w:val="both"/>
              <w:rPr>
                <w:color w:val="000000" w:themeColor="text1"/>
                <w:sz w:val="16"/>
                <w:szCs w:val="16"/>
              </w:rPr>
            </w:pPr>
            <w:r w:rsidRPr="00F90EAE">
              <w:rPr>
                <w:color w:val="000000" w:themeColor="text1"/>
                <w:sz w:val="16"/>
                <w:szCs w:val="16"/>
              </w:rPr>
              <w:t>Наименование</w:t>
            </w:r>
          </w:p>
        </w:tc>
        <w:tc>
          <w:tcPr>
            <w:tcW w:w="709" w:type="dxa"/>
            <w:tcBorders>
              <w:top w:val="outset" w:sz="6" w:space="0" w:color="auto"/>
              <w:left w:val="outset" w:sz="6" w:space="0" w:color="auto"/>
              <w:bottom w:val="outset" w:sz="6" w:space="0" w:color="auto"/>
              <w:right w:val="outset" w:sz="6" w:space="0" w:color="auto"/>
            </w:tcBorders>
            <w:hideMark/>
          </w:tcPr>
          <w:p w14:paraId="34D62705" w14:textId="77777777" w:rsidR="0008367D" w:rsidRPr="00F90EAE" w:rsidRDefault="0008367D" w:rsidP="00F90EAE">
            <w:pPr>
              <w:jc w:val="both"/>
              <w:rPr>
                <w:color w:val="000000" w:themeColor="text1"/>
                <w:sz w:val="16"/>
                <w:szCs w:val="16"/>
              </w:rPr>
            </w:pPr>
            <w:r w:rsidRPr="00F90EAE">
              <w:rPr>
                <w:color w:val="000000" w:themeColor="text1"/>
                <w:sz w:val="16"/>
                <w:szCs w:val="16"/>
              </w:rPr>
              <w:t>Ед.изм.</w:t>
            </w:r>
          </w:p>
        </w:tc>
        <w:tc>
          <w:tcPr>
            <w:tcW w:w="1985" w:type="dxa"/>
            <w:tcBorders>
              <w:top w:val="outset" w:sz="6" w:space="0" w:color="auto"/>
              <w:left w:val="outset" w:sz="6" w:space="0" w:color="auto"/>
              <w:bottom w:val="outset" w:sz="6" w:space="0" w:color="auto"/>
              <w:right w:val="outset" w:sz="6" w:space="0" w:color="auto"/>
            </w:tcBorders>
            <w:hideMark/>
          </w:tcPr>
          <w:p w14:paraId="16A3BD2A" w14:textId="77777777" w:rsidR="0008367D" w:rsidRPr="00F90EAE" w:rsidRDefault="0008367D" w:rsidP="00F90EAE">
            <w:pPr>
              <w:jc w:val="both"/>
              <w:rPr>
                <w:color w:val="000000" w:themeColor="text1"/>
                <w:sz w:val="16"/>
                <w:szCs w:val="16"/>
              </w:rPr>
            </w:pPr>
            <w:r w:rsidRPr="00F90EAE">
              <w:rPr>
                <w:color w:val="000000" w:themeColor="text1"/>
                <w:sz w:val="16"/>
                <w:szCs w:val="16"/>
              </w:rPr>
              <w:t>По заключенным договорам и обязательствам с начала года</w:t>
            </w:r>
          </w:p>
        </w:tc>
        <w:tc>
          <w:tcPr>
            <w:tcW w:w="1984" w:type="dxa"/>
            <w:tcBorders>
              <w:top w:val="outset" w:sz="6" w:space="0" w:color="auto"/>
              <w:left w:val="outset" w:sz="6" w:space="0" w:color="auto"/>
              <w:bottom w:val="outset" w:sz="6" w:space="0" w:color="auto"/>
              <w:right w:val="outset" w:sz="6" w:space="0" w:color="auto"/>
            </w:tcBorders>
            <w:hideMark/>
          </w:tcPr>
          <w:p w14:paraId="229CBFA3" w14:textId="77777777" w:rsidR="0008367D" w:rsidRPr="00F90EAE" w:rsidRDefault="0008367D" w:rsidP="00F90EAE">
            <w:pPr>
              <w:jc w:val="both"/>
              <w:rPr>
                <w:color w:val="000000" w:themeColor="text1"/>
                <w:sz w:val="16"/>
                <w:szCs w:val="16"/>
              </w:rPr>
            </w:pPr>
            <w:r w:rsidRPr="00F90EAE">
              <w:rPr>
                <w:color w:val="000000" w:themeColor="text1"/>
                <w:sz w:val="16"/>
                <w:szCs w:val="16"/>
              </w:rPr>
              <w:t>С начала года окончательно сдано военпреду после испытания и обстрела</w:t>
            </w:r>
          </w:p>
        </w:tc>
        <w:tc>
          <w:tcPr>
            <w:tcW w:w="1843" w:type="dxa"/>
            <w:tcBorders>
              <w:top w:val="outset" w:sz="6" w:space="0" w:color="auto"/>
              <w:left w:val="outset" w:sz="6" w:space="0" w:color="auto"/>
              <w:bottom w:val="outset" w:sz="6" w:space="0" w:color="auto"/>
              <w:right w:val="outset" w:sz="6" w:space="0" w:color="auto"/>
            </w:tcBorders>
            <w:hideMark/>
          </w:tcPr>
          <w:p w14:paraId="72709FB6" w14:textId="77777777" w:rsidR="0008367D" w:rsidRPr="00F90EAE" w:rsidRDefault="0008367D" w:rsidP="00F90EAE">
            <w:pPr>
              <w:jc w:val="both"/>
              <w:rPr>
                <w:color w:val="000000" w:themeColor="text1"/>
                <w:sz w:val="16"/>
                <w:szCs w:val="16"/>
              </w:rPr>
            </w:pPr>
            <w:r w:rsidRPr="00F90EAE">
              <w:rPr>
                <w:color w:val="000000" w:themeColor="text1"/>
                <w:sz w:val="16"/>
                <w:szCs w:val="16"/>
              </w:rPr>
              <w:t>Отгружено с начала года</w:t>
            </w:r>
          </w:p>
        </w:tc>
      </w:tr>
      <w:tr w:rsidR="00561F31" w:rsidRPr="00F90EAE" w14:paraId="50353B2A" w14:textId="77777777" w:rsidTr="00BE2FB1">
        <w:trPr>
          <w:tblCellSpacing w:w="0" w:type="dxa"/>
        </w:trPr>
        <w:tc>
          <w:tcPr>
            <w:tcW w:w="2260" w:type="dxa"/>
            <w:tcBorders>
              <w:top w:val="outset" w:sz="6" w:space="0" w:color="auto"/>
              <w:left w:val="outset" w:sz="6" w:space="0" w:color="auto"/>
              <w:bottom w:val="outset" w:sz="6" w:space="0" w:color="auto"/>
              <w:right w:val="outset" w:sz="6" w:space="0" w:color="auto"/>
            </w:tcBorders>
            <w:hideMark/>
          </w:tcPr>
          <w:p w14:paraId="125352F5" w14:textId="77777777" w:rsidR="0008367D" w:rsidRPr="00F90EAE" w:rsidRDefault="0008367D" w:rsidP="00F90EAE">
            <w:pPr>
              <w:jc w:val="both"/>
              <w:rPr>
                <w:color w:val="000000" w:themeColor="text1"/>
                <w:sz w:val="16"/>
                <w:szCs w:val="16"/>
              </w:rPr>
            </w:pPr>
            <w:r w:rsidRPr="00F90EAE">
              <w:rPr>
                <w:color w:val="000000" w:themeColor="text1"/>
                <w:sz w:val="16"/>
                <w:szCs w:val="16"/>
              </w:rPr>
              <w:t>Корпуса 82 мм мин</w:t>
            </w:r>
          </w:p>
        </w:tc>
        <w:tc>
          <w:tcPr>
            <w:tcW w:w="709" w:type="dxa"/>
            <w:tcBorders>
              <w:top w:val="outset" w:sz="6" w:space="0" w:color="auto"/>
              <w:left w:val="outset" w:sz="6" w:space="0" w:color="auto"/>
              <w:bottom w:val="outset" w:sz="6" w:space="0" w:color="auto"/>
              <w:right w:val="outset" w:sz="6" w:space="0" w:color="auto"/>
            </w:tcBorders>
            <w:hideMark/>
          </w:tcPr>
          <w:p w14:paraId="21A241E5" w14:textId="77777777" w:rsidR="0008367D" w:rsidRPr="00F90EAE" w:rsidRDefault="0008367D" w:rsidP="00F90EAE">
            <w:pPr>
              <w:jc w:val="both"/>
              <w:rPr>
                <w:color w:val="000000" w:themeColor="text1"/>
                <w:sz w:val="16"/>
                <w:szCs w:val="16"/>
              </w:rPr>
            </w:pPr>
            <w:r w:rsidRPr="00F90EAE">
              <w:rPr>
                <w:color w:val="000000" w:themeColor="text1"/>
                <w:sz w:val="16"/>
                <w:szCs w:val="16"/>
              </w:rPr>
              <w:t>шт.</w:t>
            </w:r>
          </w:p>
        </w:tc>
        <w:tc>
          <w:tcPr>
            <w:tcW w:w="1985" w:type="dxa"/>
            <w:tcBorders>
              <w:top w:val="outset" w:sz="6" w:space="0" w:color="auto"/>
              <w:left w:val="outset" w:sz="6" w:space="0" w:color="auto"/>
              <w:bottom w:val="outset" w:sz="6" w:space="0" w:color="auto"/>
              <w:right w:val="outset" w:sz="6" w:space="0" w:color="auto"/>
            </w:tcBorders>
            <w:hideMark/>
          </w:tcPr>
          <w:p w14:paraId="68C6AD34" w14:textId="77777777" w:rsidR="0008367D" w:rsidRPr="00F90EAE" w:rsidRDefault="0008367D" w:rsidP="00F90EAE">
            <w:pPr>
              <w:jc w:val="both"/>
              <w:rPr>
                <w:color w:val="000000" w:themeColor="text1"/>
                <w:sz w:val="16"/>
                <w:szCs w:val="16"/>
              </w:rPr>
            </w:pPr>
            <w:r w:rsidRPr="00F90EAE">
              <w:rPr>
                <w:color w:val="000000" w:themeColor="text1"/>
                <w:sz w:val="16"/>
                <w:szCs w:val="16"/>
              </w:rPr>
              <w:t>80000</w:t>
            </w:r>
          </w:p>
        </w:tc>
        <w:tc>
          <w:tcPr>
            <w:tcW w:w="1984" w:type="dxa"/>
            <w:tcBorders>
              <w:top w:val="outset" w:sz="6" w:space="0" w:color="auto"/>
              <w:left w:val="outset" w:sz="6" w:space="0" w:color="auto"/>
              <w:bottom w:val="outset" w:sz="6" w:space="0" w:color="auto"/>
              <w:right w:val="outset" w:sz="6" w:space="0" w:color="auto"/>
            </w:tcBorders>
            <w:hideMark/>
          </w:tcPr>
          <w:p w14:paraId="28EF9AE1" w14:textId="77777777" w:rsidR="0008367D" w:rsidRPr="00F90EAE" w:rsidRDefault="0008367D" w:rsidP="00F90EAE">
            <w:pPr>
              <w:jc w:val="both"/>
              <w:rPr>
                <w:color w:val="000000" w:themeColor="text1"/>
                <w:sz w:val="16"/>
                <w:szCs w:val="16"/>
              </w:rPr>
            </w:pPr>
            <w:r w:rsidRPr="00F90EAE">
              <w:rPr>
                <w:color w:val="000000" w:themeColor="text1"/>
                <w:sz w:val="16"/>
                <w:szCs w:val="16"/>
              </w:rPr>
              <w:t>85500</w:t>
            </w:r>
          </w:p>
        </w:tc>
        <w:tc>
          <w:tcPr>
            <w:tcW w:w="1843" w:type="dxa"/>
            <w:tcBorders>
              <w:top w:val="outset" w:sz="6" w:space="0" w:color="auto"/>
              <w:left w:val="outset" w:sz="6" w:space="0" w:color="auto"/>
              <w:bottom w:val="outset" w:sz="6" w:space="0" w:color="auto"/>
              <w:right w:val="outset" w:sz="6" w:space="0" w:color="auto"/>
            </w:tcBorders>
            <w:hideMark/>
          </w:tcPr>
          <w:p w14:paraId="0B156E4D" w14:textId="77777777" w:rsidR="0008367D" w:rsidRPr="00F90EAE" w:rsidRDefault="0008367D" w:rsidP="00F90EAE">
            <w:pPr>
              <w:jc w:val="both"/>
              <w:rPr>
                <w:color w:val="000000" w:themeColor="text1"/>
                <w:sz w:val="16"/>
                <w:szCs w:val="16"/>
              </w:rPr>
            </w:pPr>
            <w:r w:rsidRPr="00F90EAE">
              <w:rPr>
                <w:color w:val="000000" w:themeColor="text1"/>
                <w:sz w:val="16"/>
                <w:szCs w:val="16"/>
              </w:rPr>
              <w:t>90600 […]</w:t>
            </w:r>
            <w:hyperlink r:id="rId119" w:anchor="_ftn2" w:history="1">
              <w:r w:rsidRPr="00F90EAE">
                <w:rPr>
                  <w:color w:val="000000" w:themeColor="text1"/>
                  <w:sz w:val="16"/>
                  <w:szCs w:val="16"/>
                </w:rPr>
                <w:t>[2]</w:t>
              </w:r>
            </w:hyperlink>
          </w:p>
        </w:tc>
      </w:tr>
    </w:tbl>
    <w:p w14:paraId="252BA721" w14:textId="77777777" w:rsidR="0008367D" w:rsidRPr="00F90EAE" w:rsidRDefault="0008367D" w:rsidP="00F90EAE">
      <w:pPr>
        <w:jc w:val="both"/>
        <w:rPr>
          <w:color w:val="000000" w:themeColor="text1"/>
          <w:sz w:val="16"/>
          <w:szCs w:val="16"/>
        </w:rPr>
      </w:pPr>
      <w:r w:rsidRPr="00F90EAE">
        <w:rPr>
          <w:color w:val="000000" w:themeColor="text1"/>
          <w:sz w:val="16"/>
          <w:szCs w:val="16"/>
        </w:rPr>
        <w:t>Директор завода «Серп и Молот» Коробкин</w:t>
      </w:r>
    </w:p>
    <w:p w14:paraId="16B773E8" w14:textId="77777777" w:rsidR="0008367D" w:rsidRPr="00F90EAE" w:rsidRDefault="0008367D" w:rsidP="00F90EAE">
      <w:pPr>
        <w:jc w:val="both"/>
        <w:rPr>
          <w:color w:val="000000" w:themeColor="text1"/>
          <w:sz w:val="16"/>
          <w:szCs w:val="16"/>
        </w:rPr>
      </w:pPr>
      <w:r w:rsidRPr="00F90EAE">
        <w:rPr>
          <w:color w:val="000000" w:themeColor="text1"/>
          <w:sz w:val="16"/>
          <w:szCs w:val="16"/>
        </w:rPr>
        <w:t>Начальник планово-экономического отдела Яковлев</w:t>
      </w:r>
    </w:p>
    <w:p w14:paraId="16E659BC" w14:textId="77777777" w:rsidR="0008367D" w:rsidRPr="00F90EAE" w:rsidRDefault="0008367D" w:rsidP="00F90EAE">
      <w:pPr>
        <w:jc w:val="both"/>
        <w:rPr>
          <w:color w:val="000000" w:themeColor="text1"/>
          <w:sz w:val="16"/>
          <w:szCs w:val="16"/>
        </w:rPr>
      </w:pPr>
      <w:r w:rsidRPr="00F90EAE">
        <w:rPr>
          <w:color w:val="000000" w:themeColor="text1"/>
          <w:sz w:val="16"/>
          <w:szCs w:val="16"/>
        </w:rPr>
        <w:t>НА РТ. Ф. Р-665. Оп. 4. Д. 42. Л. 31. Отпуск (15484).</w:t>
      </w:r>
    </w:p>
    <w:p w14:paraId="1E0D3B98" w14:textId="77777777" w:rsidR="0008367D" w:rsidRPr="00F90EAE" w:rsidRDefault="0008367D" w:rsidP="00F90EAE">
      <w:pPr>
        <w:jc w:val="both"/>
        <w:rPr>
          <w:color w:val="000000" w:themeColor="text1"/>
          <w:sz w:val="16"/>
          <w:szCs w:val="16"/>
        </w:rPr>
      </w:pPr>
    </w:p>
    <w:p w14:paraId="7CB3F5D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НИИ-400 получил ТТЗ на проектирование и изготовление экспериментального образца 45-см реактивной торпеды на жидком топливе и в конце 1945 приступили к разработке экспериментального образца РТ-45-2 с ЖРД, который создавался в НИИ-1 МАП (ОКБ-2 НИИ-88) (7468, 39).</w:t>
      </w:r>
    </w:p>
    <w:p w14:paraId="1EEACE6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0FC75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года в соответствии с постановлением ГКО“О вывозе военнопленных с фронтов и направлении их на работу в промышленность”, распоряжением Лаврентия Берии на предприятия и стройки наркомата вооружений в мае–июле 1945 года было направлено 20 000 военнопленных. Значительную часть рабочей силы получили артиллерийские заводы №№ 8 и 9 (Свердловск), 71 (Ижевск), 75 (Юрга Кемеровской области) и 92 (Горький). Позже заводы №№ 8, 75 и 92 были подключены к производству зенитных ракетных комплексов (10109).</w:t>
      </w:r>
    </w:p>
    <w:p w14:paraId="60449CEC" w14:textId="77777777" w:rsidR="00665165" w:rsidRPr="00F90EAE" w:rsidRDefault="00665165" w:rsidP="00F90EAE">
      <w:pPr>
        <w:autoSpaceDE w:val="0"/>
        <w:autoSpaceDN w:val="0"/>
        <w:adjustRightInd w:val="0"/>
        <w:jc w:val="both"/>
        <w:rPr>
          <w:color w:val="000000" w:themeColor="text1"/>
          <w:sz w:val="16"/>
          <w:szCs w:val="16"/>
        </w:rPr>
      </w:pPr>
    </w:p>
    <w:p w14:paraId="434500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мая 1945 г. на базе завода «В» Главредмета, Табошарского, Адрасманского, Майлисуйского, Уйгурсайского и Тюямуюнского рудников в системе НКВД СССР организуется комбинат № 6, позднее Ленинабадский горно_металлургический комбинат, первенец уранодобывающей атомной промышленности СССР, начальник – Б.Н. Чирков, Герой Социалистического Труда (1949 г.) (11254).</w:t>
      </w:r>
    </w:p>
    <w:p w14:paraId="493C5D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BE113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года для добычи и переработки урановых руд в Средней Азии постановление ГОКО предписало создать комбинат No. 6 (с 1967 года Ленинабадский горно-химический комбинат). Первым директором Горно-химического комбината No. 6 был Б.Н. Чирков. Ленинабадский ГХК был первым объектом сырьевой базы атомной промышленности, на котором отрабатывались технологии добычи и переработки урановых руд, обучались кадры. Наряду с этим, комбинат разрабатывал месторождения флюорита и производил концентрат плавикового шпата (CaF2) для нужд атомной промышленности. Фтор являлся существенной компонентой для производства гексафторида и тетрафторида урана, необходимой для технологии изотопного обогащения урана. В конце 60-х годов на комбинате была освоена передовая технология добычи урана подземным выщелачиванием. В настоящее время Ленинабадский ГХК (ПО "Востокредмет") прекратил добычу урана в связи с распадом СССР. В 1954 году из состава комбината No. 6 был выведен ряд предприятий, расположенных в Северной Фергане, на базе которых был создан самостоятельный комбинат No. 5, который был закрыт в 1968 году в связи с выработкой запасов урана (10549).</w:t>
      </w:r>
    </w:p>
    <w:p w14:paraId="74BBB48C" w14:textId="77777777" w:rsidR="00665165" w:rsidRPr="00F90EAE" w:rsidRDefault="00665165" w:rsidP="00F90EAE">
      <w:pPr>
        <w:autoSpaceDE w:val="0"/>
        <w:autoSpaceDN w:val="0"/>
        <w:adjustRightInd w:val="0"/>
        <w:jc w:val="both"/>
        <w:rPr>
          <w:color w:val="000000" w:themeColor="text1"/>
          <w:sz w:val="16"/>
          <w:szCs w:val="16"/>
        </w:rPr>
      </w:pPr>
    </w:p>
    <w:p w14:paraId="600A589E" w14:textId="77777777" w:rsidR="0008367D" w:rsidRPr="00F90EAE" w:rsidRDefault="0008367D" w:rsidP="00F90EAE">
      <w:pPr>
        <w:jc w:val="both"/>
        <w:rPr>
          <w:color w:val="000000" w:themeColor="text1"/>
          <w:sz w:val="16"/>
          <w:szCs w:val="16"/>
        </w:rPr>
      </w:pPr>
      <w:r w:rsidRPr="00F90EAE">
        <w:rPr>
          <w:color w:val="000000" w:themeColor="text1"/>
          <w:sz w:val="16"/>
          <w:szCs w:val="16"/>
        </w:rPr>
        <w:t>15 мая в 1945 году постановлением ГКО № 8582сс/ов создан Горно-химический комбинат № 6 по добыче и переработке урановых руд на базе месторождений в Средней Азии. Это был первый отечественный комбинат по добыче атомного сырья, его организация явилась началом создания сырьевой отрасли атомной промышленности. Начальник – Герой Социалистического Труда (1949) Б.Н.Чирков (14892).</w:t>
      </w:r>
    </w:p>
    <w:p w14:paraId="07F685AF" w14:textId="77777777" w:rsidR="0008367D" w:rsidRPr="00F90EAE" w:rsidRDefault="0008367D" w:rsidP="00F90EAE">
      <w:pPr>
        <w:jc w:val="both"/>
        <w:rPr>
          <w:color w:val="000000" w:themeColor="text1"/>
          <w:sz w:val="16"/>
          <w:szCs w:val="16"/>
        </w:rPr>
      </w:pPr>
    </w:p>
    <w:p w14:paraId="17734DB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D790F5E" w14:textId="77777777" w:rsidR="00665165" w:rsidRPr="00F90EAE" w:rsidRDefault="00665165" w:rsidP="00F90EAE">
      <w:pPr>
        <w:autoSpaceDE w:val="0"/>
        <w:autoSpaceDN w:val="0"/>
        <w:adjustRightInd w:val="0"/>
        <w:jc w:val="both"/>
        <w:rPr>
          <w:iCs/>
          <w:color w:val="000000" w:themeColor="text1"/>
          <w:sz w:val="16"/>
          <w:szCs w:val="16"/>
        </w:rPr>
      </w:pPr>
    </w:p>
    <w:p w14:paraId="684F513A" w14:textId="77777777" w:rsidR="00AF535B" w:rsidRPr="00F90EAE" w:rsidRDefault="00AF535B" w:rsidP="00F90EAE">
      <w:pPr>
        <w:jc w:val="both"/>
        <w:rPr>
          <w:color w:val="000000" w:themeColor="text1"/>
          <w:sz w:val="16"/>
          <w:szCs w:val="16"/>
        </w:rPr>
      </w:pPr>
      <w:r w:rsidRPr="00F90EAE">
        <w:rPr>
          <w:color w:val="000000" w:themeColor="text1"/>
          <w:sz w:val="16"/>
          <w:szCs w:val="16"/>
        </w:rPr>
        <w:t>15 мая в 1945 году оперативная сводка Совинформбюро:</w:t>
      </w:r>
    </w:p>
    <w:p w14:paraId="45EC143B" w14:textId="77777777" w:rsidR="00AF535B" w:rsidRPr="00F90EAE" w:rsidRDefault="00AF535B" w:rsidP="00F90EAE">
      <w:pPr>
        <w:jc w:val="both"/>
        <w:rPr>
          <w:color w:val="000000" w:themeColor="text1"/>
          <w:sz w:val="16"/>
          <w:szCs w:val="16"/>
        </w:rPr>
      </w:pPr>
      <w:r w:rsidRPr="00F90EAE">
        <w:rPr>
          <w:color w:val="000000" w:themeColor="text1"/>
          <w:sz w:val="16"/>
          <w:szCs w:val="16"/>
        </w:rPr>
        <w:t>«Приём пленных немецких солдат и офицеров на всех фронтах закончен.» (14892).</w:t>
      </w:r>
    </w:p>
    <w:p w14:paraId="0CD1066F" w14:textId="77777777" w:rsidR="00AF535B" w:rsidRPr="00F90EAE" w:rsidRDefault="00AF535B" w:rsidP="00F90EAE">
      <w:pPr>
        <w:jc w:val="both"/>
        <w:rPr>
          <w:color w:val="000000" w:themeColor="text1"/>
          <w:sz w:val="16"/>
          <w:szCs w:val="16"/>
        </w:rPr>
      </w:pPr>
    </w:p>
    <w:p w14:paraId="49F092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советские войска нашли тела Геббельса и его семьи (2248,7).</w:t>
      </w:r>
    </w:p>
    <w:p w14:paraId="2D3087CC" w14:textId="77777777" w:rsidR="00665165" w:rsidRPr="00F90EAE" w:rsidRDefault="00665165" w:rsidP="00F90EAE">
      <w:pPr>
        <w:autoSpaceDE w:val="0"/>
        <w:autoSpaceDN w:val="0"/>
        <w:adjustRightInd w:val="0"/>
        <w:jc w:val="both"/>
        <w:rPr>
          <w:color w:val="000000" w:themeColor="text1"/>
          <w:sz w:val="16"/>
          <w:szCs w:val="16"/>
        </w:rPr>
      </w:pPr>
    </w:p>
    <w:p w14:paraId="39D67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1 Чехословацкий армейский корпус преобразовали в 1 Чехословацкую армию (3398,183).</w:t>
      </w:r>
    </w:p>
    <w:p w14:paraId="733C5E58" w14:textId="77777777" w:rsidR="00665165" w:rsidRPr="00F90EAE" w:rsidRDefault="00665165" w:rsidP="00F90EAE">
      <w:pPr>
        <w:autoSpaceDE w:val="0"/>
        <w:autoSpaceDN w:val="0"/>
        <w:adjustRightInd w:val="0"/>
        <w:jc w:val="both"/>
        <w:rPr>
          <w:color w:val="000000" w:themeColor="text1"/>
          <w:sz w:val="16"/>
          <w:szCs w:val="16"/>
        </w:rPr>
      </w:pPr>
    </w:p>
    <w:p w14:paraId="6DFC48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с аэродрома Фринов в 40 км на север от Берлина вылетели Р-39N-1 30 гиап 273 иад 6 иак 16ВА летали сопровождать Ил-2, базировавшиеся на том же аэродроме, которые штурмовала отходящие на запад части, не пожелавшие сдаться КА (4136,13).</w:t>
      </w:r>
    </w:p>
    <w:p w14:paraId="0271BF88" w14:textId="77777777" w:rsidR="00665165" w:rsidRPr="00F90EAE" w:rsidRDefault="00665165" w:rsidP="00F90EAE">
      <w:pPr>
        <w:autoSpaceDE w:val="0"/>
        <w:autoSpaceDN w:val="0"/>
        <w:adjustRightInd w:val="0"/>
        <w:jc w:val="both"/>
        <w:rPr>
          <w:color w:val="000000" w:themeColor="text1"/>
          <w:sz w:val="16"/>
          <w:szCs w:val="16"/>
        </w:rPr>
      </w:pPr>
    </w:p>
    <w:p w14:paraId="60CD757C" w14:textId="77777777" w:rsidR="00AF535B" w:rsidRPr="00F90EAE" w:rsidRDefault="00AF535B" w:rsidP="00F90EAE">
      <w:pPr>
        <w:widowControl w:val="0"/>
        <w:jc w:val="both"/>
        <w:rPr>
          <w:color w:val="000000" w:themeColor="text1"/>
          <w:sz w:val="16"/>
          <w:szCs w:val="16"/>
        </w:rPr>
      </w:pPr>
      <w:r w:rsidRPr="00F90EAE">
        <w:rPr>
          <w:color w:val="000000" w:themeColor="text1"/>
          <w:sz w:val="16"/>
          <w:szCs w:val="16"/>
        </w:rPr>
        <w:t>По состоянию на 15 мая 1945 года в частях Красной Армии числилось 3314 броневых автомобиля всех марок, из них более 300 составляли БА-64. А если учесть количество выпущенных БА-64, то можно заметить, что почти 2/3 машин были потеряны в боях (15218).</w:t>
      </w:r>
    </w:p>
    <w:p w14:paraId="4520EEEA" w14:textId="77777777" w:rsidR="00AF535B" w:rsidRPr="00F90EAE" w:rsidRDefault="00AF535B" w:rsidP="00F90EAE">
      <w:pPr>
        <w:widowControl w:val="0"/>
        <w:jc w:val="both"/>
        <w:rPr>
          <w:color w:val="000000" w:themeColor="text1"/>
          <w:sz w:val="16"/>
          <w:szCs w:val="16"/>
        </w:rPr>
      </w:pPr>
    </w:p>
    <w:p w14:paraId="1B7A61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10794D3" w14:textId="77777777" w:rsidR="00665165" w:rsidRPr="00F90EAE" w:rsidRDefault="00665165" w:rsidP="00F90EAE">
      <w:pPr>
        <w:autoSpaceDE w:val="0"/>
        <w:autoSpaceDN w:val="0"/>
        <w:adjustRightInd w:val="0"/>
        <w:jc w:val="both"/>
        <w:rPr>
          <w:iCs/>
          <w:color w:val="000000" w:themeColor="text1"/>
          <w:sz w:val="16"/>
          <w:szCs w:val="16"/>
        </w:rPr>
      </w:pPr>
    </w:p>
    <w:p w14:paraId="5AE52C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московское радио передало последнюю оперативную сводку Совинформбюро (3960, 190).</w:t>
      </w:r>
    </w:p>
    <w:p w14:paraId="24F5BA7A" w14:textId="77777777" w:rsidR="00665165" w:rsidRPr="00F90EAE" w:rsidRDefault="00665165" w:rsidP="00F90EAE">
      <w:pPr>
        <w:autoSpaceDE w:val="0"/>
        <w:autoSpaceDN w:val="0"/>
        <w:adjustRightInd w:val="0"/>
        <w:jc w:val="both"/>
        <w:rPr>
          <w:color w:val="000000" w:themeColor="text1"/>
          <w:sz w:val="16"/>
          <w:szCs w:val="16"/>
        </w:rPr>
      </w:pPr>
    </w:p>
    <w:p w14:paraId="01FF9EA9" w14:textId="77777777" w:rsidR="00AF535B" w:rsidRPr="00F90EAE" w:rsidRDefault="00AF535B" w:rsidP="00F90EAE">
      <w:pPr>
        <w:jc w:val="both"/>
        <w:rPr>
          <w:color w:val="000000" w:themeColor="text1"/>
          <w:sz w:val="16"/>
          <w:szCs w:val="16"/>
        </w:rPr>
      </w:pPr>
      <w:r w:rsidRPr="00F90EAE">
        <w:rPr>
          <w:color w:val="000000" w:themeColor="text1"/>
          <w:sz w:val="16"/>
          <w:szCs w:val="16"/>
        </w:rPr>
        <w:t>15 мая в 1945 году Московское радио передало последнюю оперативную сводку Совинформбюро. Советское информационное бюро было образовано 24 июня 1941 года на основании постановления СНК СССР и ЦК ВКП(б) с целью «...освещать в печати и по радио международные события, военные действия на фронтах и жизнь страны». С первых дней Великой Отечественной войны Совинформбюро передавало официальную информацию о положении дел на фронтах, в тылу и на оккупированных территориях, о партизанском движении, руководило освещением военных событиях по радио, в газетах и журналах, а также деятельностью Всеславянского комитета, Антифашистского комитета советских женщин, Антифашистского комитета советской молодежи, Антифашистского комитета советских ученых, Еврейского антифашистского комитета. В 1944 году в составе Бюро был создан специальный отдел по пропаганде на зарубежные страны. Через 1171 газету, 523 журнала и 18 радиостанций в 23-х странах мира Совинформбюро знакомило читателей и слушателей зарубежных стран с борьбой Советской Армии и народа против фашизма, а в послевоенное время - с основными направлениями внутренней и внешней политики Советского Союза. Всего за годы войны Совинформбюро выслало зарубежным газетам, журналам, радиостанциям, в бюллетени советских посольств и миссий около 135 тысяч статей, по радио прозвучало более двух тысяч фронтовых сводок. Последняя оперативная сводка Совинформбюро вышла 15 мая 1945 года. Юрий Левитан сообщил: «Прием пленных немецких солдат на всех фронтах закончен» (14892).</w:t>
      </w:r>
    </w:p>
    <w:p w14:paraId="46765FAF" w14:textId="77777777" w:rsidR="00AF535B" w:rsidRPr="00F90EAE" w:rsidRDefault="00AF535B" w:rsidP="00F90EAE">
      <w:pPr>
        <w:jc w:val="both"/>
        <w:rPr>
          <w:color w:val="000000" w:themeColor="text1"/>
          <w:sz w:val="16"/>
          <w:szCs w:val="16"/>
        </w:rPr>
      </w:pPr>
    </w:p>
    <w:p w14:paraId="46418F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СНК принял постановление № 1077, которое объявило список промтоваров, предназначенных для свободной продажи населению: варежки детские и женские, головные уборы детские 9кроме меховых), абажуры, сумки и портфели из кожезаменителей, посуда, ложки, ножи кухонные, бритвы опасные и лезвия к безопасным, зажигалки и кремни, часы-ходики, электроплитки, гребни и расчетки (7543, 26).</w:t>
      </w:r>
    </w:p>
    <w:p w14:paraId="5C28F535" w14:textId="77777777" w:rsidR="00665165" w:rsidRPr="00F90EAE" w:rsidRDefault="00665165" w:rsidP="00F90EAE">
      <w:pPr>
        <w:autoSpaceDE w:val="0"/>
        <w:autoSpaceDN w:val="0"/>
        <w:adjustRightInd w:val="0"/>
        <w:jc w:val="both"/>
        <w:rPr>
          <w:color w:val="000000" w:themeColor="text1"/>
          <w:sz w:val="16"/>
          <w:szCs w:val="16"/>
        </w:rPr>
      </w:pPr>
    </w:p>
    <w:p w14:paraId="2A53E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г. Совнарком СССР принял постановление № 1077, объявлявшее список промтоваров, предназначенных для свободной продажи населению (7543).</w:t>
      </w:r>
    </w:p>
    <w:p w14:paraId="700DD53F" w14:textId="77777777" w:rsidR="00665165" w:rsidRPr="00F90EAE" w:rsidRDefault="00665165" w:rsidP="00F90EAE">
      <w:pPr>
        <w:autoSpaceDE w:val="0"/>
        <w:autoSpaceDN w:val="0"/>
        <w:adjustRightInd w:val="0"/>
        <w:jc w:val="both"/>
        <w:rPr>
          <w:color w:val="000000" w:themeColor="text1"/>
          <w:sz w:val="16"/>
          <w:szCs w:val="16"/>
        </w:rPr>
      </w:pPr>
    </w:p>
    <w:p w14:paraId="5DBAB22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E520532" w14:textId="77777777" w:rsidR="00665165" w:rsidRPr="00F90EAE" w:rsidRDefault="00665165" w:rsidP="00F90EAE">
      <w:pPr>
        <w:autoSpaceDE w:val="0"/>
        <w:autoSpaceDN w:val="0"/>
        <w:adjustRightInd w:val="0"/>
        <w:jc w:val="both"/>
        <w:rPr>
          <w:iCs/>
          <w:color w:val="000000" w:themeColor="text1"/>
          <w:sz w:val="16"/>
          <w:szCs w:val="16"/>
        </w:rPr>
      </w:pPr>
    </w:p>
    <w:p w14:paraId="0B9E2662" w14:textId="77777777" w:rsidR="0008367D" w:rsidRPr="00F90EAE" w:rsidRDefault="0008367D" w:rsidP="00F90EAE">
      <w:pPr>
        <w:jc w:val="both"/>
        <w:rPr>
          <w:color w:val="000000" w:themeColor="text1"/>
          <w:sz w:val="16"/>
          <w:szCs w:val="16"/>
        </w:rPr>
      </w:pPr>
      <w:r w:rsidRPr="00F90EAE">
        <w:rPr>
          <w:color w:val="000000" w:themeColor="text1"/>
          <w:sz w:val="16"/>
          <w:szCs w:val="16"/>
        </w:rPr>
        <w:t xml:space="preserve">15 мая в 1945 году поставили заказчику первый </w:t>
      </w:r>
      <w:hyperlink r:id="rId120" w:tgtFrame="_blank" w:history="1">
        <w:r w:rsidRPr="00F90EAE">
          <w:rPr>
            <w:color w:val="000000" w:themeColor="text1"/>
            <w:sz w:val="16"/>
            <w:szCs w:val="16"/>
          </w:rPr>
          <w:t xml:space="preserve">«F7F-3N». </w:t>
        </w:r>
      </w:hyperlink>
      <w:r w:rsidRPr="00F90EAE">
        <w:rPr>
          <w:color w:val="000000" w:themeColor="text1"/>
          <w:sz w:val="16"/>
          <w:szCs w:val="16"/>
        </w:rPr>
        <w:t>«F7F-3N» «Tigercat» - палубный ночной истребитель, разработанный американской фирмой «Grumman» на базе палубного истребителя «F7F-3». Как и предшественники, "тройка" имела ночной вариант – «F7F-3N». Все повторилось в обратном порядке: 300-литровый топливный бак демонтировали, он уступил место кабине оператора, а вместо носовых пулеметов установили РЛС «SCR-720». Из-за особенностей ее конструкции носовой обтекатель получил характерную "бородку". Другим внешним отличием "ночника" от дневного варианта стало отсутствие мачты радиоантенны за кабиной пилота (14892).</w:t>
      </w:r>
    </w:p>
    <w:p w14:paraId="4D334190" w14:textId="77777777" w:rsidR="0008367D" w:rsidRPr="00F90EAE" w:rsidRDefault="0008367D" w:rsidP="00F90EAE">
      <w:pPr>
        <w:jc w:val="both"/>
        <w:rPr>
          <w:color w:val="000000" w:themeColor="text1"/>
          <w:sz w:val="16"/>
          <w:szCs w:val="16"/>
        </w:rPr>
      </w:pPr>
    </w:p>
    <w:p w14:paraId="21118243" w14:textId="77777777" w:rsidR="00102C23" w:rsidRPr="00F90EAE" w:rsidRDefault="00102C23" w:rsidP="00F90EAE">
      <w:pPr>
        <w:jc w:val="both"/>
        <w:rPr>
          <w:color w:val="0070C0"/>
          <w:sz w:val="16"/>
          <w:szCs w:val="16"/>
        </w:rPr>
      </w:pPr>
      <w:r w:rsidRPr="00F90EAE">
        <w:rPr>
          <w:color w:val="0070C0"/>
          <w:sz w:val="16"/>
          <w:szCs w:val="16"/>
        </w:rPr>
        <w:t xml:space="preserve">15 мая 1945 первый опытный ХР-82 был передан на наземную отработку систем,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w:t>
      </w:r>
      <w:r w:rsidRPr="00F90EAE">
        <w:rPr>
          <w:color w:val="0070C0"/>
          <w:sz w:val="16"/>
          <w:szCs w:val="16"/>
        </w:rPr>
        <w:lastRenderedPageBreak/>
        <w:t>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впервые взлетел 26 июня 1945 г. 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37BF16D6" w14:textId="77777777" w:rsidR="00102C23" w:rsidRPr="00F90EAE" w:rsidRDefault="00102C23" w:rsidP="00F90EAE">
      <w:pPr>
        <w:jc w:val="both"/>
        <w:rPr>
          <w:color w:val="0070C0"/>
          <w:sz w:val="16"/>
          <w:szCs w:val="16"/>
        </w:rPr>
      </w:pPr>
    </w:p>
    <w:p w14:paraId="4267017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завершено освобождение Югославии от фашистов (4962).</w:t>
      </w:r>
    </w:p>
    <w:p w14:paraId="04B0D98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95BD9A" w14:textId="77777777" w:rsidR="00AF535B" w:rsidRPr="00F90EAE" w:rsidRDefault="00AF535B" w:rsidP="00F90EAE">
      <w:pPr>
        <w:autoSpaceDE w:val="0"/>
        <w:autoSpaceDN w:val="0"/>
        <w:adjustRightInd w:val="0"/>
        <w:jc w:val="both"/>
        <w:rPr>
          <w:color w:val="000000" w:themeColor="text1"/>
          <w:sz w:val="16"/>
          <w:szCs w:val="16"/>
        </w:rPr>
      </w:pPr>
      <w:r w:rsidRPr="00F90EAE">
        <w:rPr>
          <w:color w:val="000000" w:themeColor="text1"/>
          <w:sz w:val="16"/>
          <w:szCs w:val="16"/>
        </w:rPr>
        <w:t>15 мая 1945 прекратились военные действия на территории Югославии (2443,432).</w:t>
      </w:r>
    </w:p>
    <w:p w14:paraId="7E978134" w14:textId="77777777" w:rsidR="00AF535B" w:rsidRPr="00F90EAE" w:rsidRDefault="00AF535B" w:rsidP="00F90EAE">
      <w:pPr>
        <w:autoSpaceDE w:val="0"/>
        <w:autoSpaceDN w:val="0"/>
        <w:adjustRightInd w:val="0"/>
        <w:jc w:val="both"/>
        <w:rPr>
          <w:color w:val="000000" w:themeColor="text1"/>
          <w:sz w:val="16"/>
          <w:szCs w:val="16"/>
        </w:rPr>
      </w:pPr>
    </w:p>
    <w:p w14:paraId="154493F1" w14:textId="77777777" w:rsidR="009B7AB9" w:rsidRPr="00F90EAE" w:rsidRDefault="009B7AB9" w:rsidP="00F90EAE">
      <w:pPr>
        <w:jc w:val="both"/>
        <w:rPr>
          <w:color w:val="000000" w:themeColor="text1"/>
          <w:sz w:val="16"/>
          <w:szCs w:val="16"/>
        </w:rPr>
      </w:pPr>
      <w:r w:rsidRPr="00F90EAE">
        <w:rPr>
          <w:color w:val="000000" w:themeColor="text1"/>
          <w:sz w:val="16"/>
          <w:szCs w:val="16"/>
        </w:rPr>
        <w:t>15 мая в 1945 году правительства США и Великобритании потребовали от Югославии незамедлительно вывести войска из Триеста (14892).</w:t>
      </w:r>
    </w:p>
    <w:p w14:paraId="02EC3555" w14:textId="77777777" w:rsidR="009B7AB9" w:rsidRPr="00F90EAE" w:rsidRDefault="009B7AB9" w:rsidP="00F90EAE">
      <w:pPr>
        <w:jc w:val="both"/>
        <w:rPr>
          <w:color w:val="000000" w:themeColor="text1"/>
          <w:sz w:val="16"/>
          <w:szCs w:val="16"/>
        </w:rPr>
      </w:pPr>
    </w:p>
    <w:p w14:paraId="3AC6BA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было распущено правительстве Деница (2248,7).</w:t>
      </w:r>
    </w:p>
    <w:p w14:paraId="74FBD14E" w14:textId="77777777" w:rsidR="00665165" w:rsidRPr="00F90EAE" w:rsidRDefault="00665165" w:rsidP="00F90EAE">
      <w:pPr>
        <w:autoSpaceDE w:val="0"/>
        <w:autoSpaceDN w:val="0"/>
        <w:adjustRightInd w:val="0"/>
        <w:jc w:val="both"/>
        <w:rPr>
          <w:color w:val="000000" w:themeColor="text1"/>
          <w:sz w:val="16"/>
          <w:szCs w:val="16"/>
        </w:rPr>
      </w:pPr>
    </w:p>
    <w:p w14:paraId="7B999B70" w14:textId="77777777" w:rsidR="00AF535B" w:rsidRPr="00F90EAE" w:rsidRDefault="00AF535B" w:rsidP="00F90EAE">
      <w:pPr>
        <w:jc w:val="both"/>
        <w:rPr>
          <w:color w:val="000000" w:themeColor="text1"/>
          <w:sz w:val="16"/>
          <w:szCs w:val="16"/>
        </w:rPr>
      </w:pPr>
      <w:r w:rsidRPr="00F90EAE">
        <w:rPr>
          <w:color w:val="000000" w:themeColor="text1"/>
          <w:sz w:val="16"/>
          <w:szCs w:val="16"/>
        </w:rPr>
        <w:t>15 мая в 1945 году остатки группы армий "F" капитулировали на юге Австрии (14892).</w:t>
      </w:r>
    </w:p>
    <w:p w14:paraId="4EED0C80" w14:textId="77777777" w:rsidR="00AF535B" w:rsidRPr="00F90EAE" w:rsidRDefault="00AF535B" w:rsidP="00F90EAE">
      <w:pPr>
        <w:jc w:val="both"/>
        <w:rPr>
          <w:color w:val="000000" w:themeColor="text1"/>
          <w:sz w:val="16"/>
          <w:szCs w:val="16"/>
        </w:rPr>
      </w:pPr>
    </w:p>
    <w:p w14:paraId="77056B3B"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15th, 1945: The Axis-allied Croation forces that surrendered to British troops in Austria are handed over to Tito's partisans who without delay proceed to massacre them; they kill a total of 110,000, including women and children (3819).</w:t>
      </w:r>
    </w:p>
    <w:p w14:paraId="25EFA362" w14:textId="77777777" w:rsidR="00665165" w:rsidRPr="00F90EAE" w:rsidRDefault="00665165" w:rsidP="00F90EAE">
      <w:pPr>
        <w:autoSpaceDE w:val="0"/>
        <w:autoSpaceDN w:val="0"/>
        <w:adjustRightInd w:val="0"/>
        <w:jc w:val="both"/>
        <w:rPr>
          <w:color w:val="000000" w:themeColor="text1"/>
          <w:sz w:val="16"/>
          <w:szCs w:val="16"/>
          <w:lang w:val="en-US"/>
        </w:rPr>
      </w:pPr>
    </w:p>
    <w:p w14:paraId="755B9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Хорватские войска, которые сдалась британским войскам в Австрии, были переданы партизанам Тито, которые их немедленно уничтожили, убив 110000 чел., включая женщин и детей (3819).</w:t>
      </w:r>
    </w:p>
    <w:p w14:paraId="56D3BBB2" w14:textId="77777777" w:rsidR="00665165" w:rsidRPr="00F90EAE" w:rsidRDefault="00665165" w:rsidP="00F90EAE">
      <w:pPr>
        <w:autoSpaceDE w:val="0"/>
        <w:autoSpaceDN w:val="0"/>
        <w:adjustRightInd w:val="0"/>
        <w:jc w:val="both"/>
        <w:rPr>
          <w:color w:val="000000" w:themeColor="text1"/>
          <w:sz w:val="16"/>
          <w:szCs w:val="16"/>
        </w:rPr>
      </w:pPr>
    </w:p>
    <w:p w14:paraId="13D474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 мая 1945 Япония аннулировала договора с Германией (2443,432).</w:t>
      </w:r>
    </w:p>
    <w:p w14:paraId="588A2916" w14:textId="77777777" w:rsidR="00665165" w:rsidRPr="00F90EAE" w:rsidRDefault="00665165" w:rsidP="00F90EAE">
      <w:pPr>
        <w:autoSpaceDE w:val="0"/>
        <w:autoSpaceDN w:val="0"/>
        <w:adjustRightInd w:val="0"/>
        <w:jc w:val="both"/>
        <w:rPr>
          <w:color w:val="000000" w:themeColor="text1"/>
          <w:sz w:val="16"/>
          <w:szCs w:val="16"/>
        </w:rPr>
      </w:pPr>
    </w:p>
    <w:p w14:paraId="47571579" w14:textId="77777777" w:rsidR="009B7AB9" w:rsidRPr="00F90EAE" w:rsidRDefault="009B7AB9" w:rsidP="00F90EAE">
      <w:pPr>
        <w:jc w:val="both"/>
        <w:rPr>
          <w:color w:val="000000" w:themeColor="text1"/>
          <w:sz w:val="16"/>
          <w:szCs w:val="16"/>
        </w:rPr>
      </w:pPr>
      <w:r w:rsidRPr="00F90EAE">
        <w:rPr>
          <w:color w:val="000000" w:themeColor="text1"/>
          <w:sz w:val="16"/>
          <w:szCs w:val="16"/>
        </w:rPr>
        <w:t>15 мая в 1945 году правительство Японии аннулировало все договоры и соглашения с Германией (14892).</w:t>
      </w:r>
    </w:p>
    <w:p w14:paraId="72DF8CAF" w14:textId="77777777" w:rsidR="009B7AB9" w:rsidRPr="00F90EAE" w:rsidRDefault="009B7AB9" w:rsidP="00F90EAE">
      <w:pPr>
        <w:jc w:val="both"/>
        <w:rPr>
          <w:color w:val="000000" w:themeColor="text1"/>
          <w:sz w:val="16"/>
          <w:szCs w:val="16"/>
        </w:rPr>
      </w:pPr>
    </w:p>
    <w:p w14:paraId="05250B9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мая 1945 в Индийском океане англичанами потоплен японский тяжелый крейсер “Хагуро” (4962).</w:t>
      </w:r>
    </w:p>
    <w:p w14:paraId="793A56A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0347E77" w14:textId="77777777" w:rsidR="009A3EFF" w:rsidRPr="00F90EAE" w:rsidRDefault="009A3EFF" w:rsidP="00F90EAE">
      <w:pPr>
        <w:jc w:val="both"/>
        <w:rPr>
          <w:color w:val="0070C0"/>
          <w:sz w:val="16"/>
          <w:szCs w:val="16"/>
        </w:rPr>
      </w:pPr>
      <w:r w:rsidRPr="00F90EAE">
        <w:rPr>
          <w:color w:val="0070C0"/>
          <w:sz w:val="16"/>
          <w:szCs w:val="16"/>
        </w:rPr>
        <w:t>15 мая 1945 самолеты с британского авианосца HMS Emperor атаковали японский тяжелый крейсер Haguro в Индийском океане, но совершили лишь одну близкую атаку (20371).</w:t>
      </w:r>
    </w:p>
    <w:p w14:paraId="58E48F12" w14:textId="77777777" w:rsidR="009A3EFF" w:rsidRPr="00F90EAE" w:rsidRDefault="009A3EFF" w:rsidP="00F90EAE">
      <w:pPr>
        <w:jc w:val="both"/>
        <w:rPr>
          <w:color w:val="0070C0"/>
          <w:sz w:val="16"/>
          <w:szCs w:val="16"/>
        </w:rPr>
      </w:pPr>
    </w:p>
    <w:p w14:paraId="4E1A2FD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DAAEEF3" w14:textId="77777777" w:rsidR="00665165" w:rsidRPr="00F90EAE" w:rsidRDefault="00665165" w:rsidP="00F90EAE">
      <w:pPr>
        <w:autoSpaceDE w:val="0"/>
        <w:autoSpaceDN w:val="0"/>
        <w:adjustRightInd w:val="0"/>
        <w:jc w:val="both"/>
        <w:rPr>
          <w:iCs/>
          <w:color w:val="000000" w:themeColor="text1"/>
          <w:sz w:val="16"/>
          <w:szCs w:val="16"/>
        </w:rPr>
      </w:pPr>
    </w:p>
    <w:p w14:paraId="019DCC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середине мая 1945 специальная комиссия ВВС запретила экс</w:t>
      </w:r>
      <w:r w:rsidRPr="00F90EAE">
        <w:rPr>
          <w:color w:val="000000" w:themeColor="text1"/>
          <w:sz w:val="16"/>
          <w:szCs w:val="16"/>
        </w:rPr>
        <w:softHyphen/>
        <w:t>плуатацию самолетов Ил-10 в строевых частях ВВС КА до про</w:t>
      </w:r>
      <w:r w:rsidRPr="00F90EAE">
        <w:rPr>
          <w:color w:val="000000" w:themeColor="text1"/>
          <w:sz w:val="16"/>
          <w:szCs w:val="16"/>
        </w:rPr>
        <w:softHyphen/>
        <w:t>ведения необходимых доработок машины.</w:t>
      </w:r>
    </w:p>
    <w:p w14:paraId="1DCB62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Надо сказать, что еще в марте 1945 г. на заводе № 18 нача</w:t>
      </w:r>
      <w:r w:rsidRPr="00F90EAE">
        <w:rPr>
          <w:color w:val="000000" w:themeColor="text1"/>
          <w:sz w:val="16"/>
          <w:szCs w:val="16"/>
        </w:rPr>
        <w:softHyphen/>
        <w:t>лись работы по отработке всасывающих патрубков с воздухо</w:t>
      </w:r>
      <w:r w:rsidRPr="00F90EAE">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F90EAE">
        <w:rPr>
          <w:color w:val="000000" w:themeColor="text1"/>
          <w:sz w:val="16"/>
          <w:szCs w:val="16"/>
        </w:rPr>
        <w:softHyphen/>
        <w:t>пущенные самолеты и имел крепления к уже имеющимся от</w:t>
      </w:r>
      <w:r w:rsidRPr="00F90EAE">
        <w:rPr>
          <w:color w:val="000000" w:themeColor="text1"/>
          <w:sz w:val="16"/>
          <w:szCs w:val="16"/>
        </w:rPr>
        <w:softHyphen/>
        <w:t>верстиям в броне. Оба пылефильтра были конструктивно по</w:t>
      </w:r>
      <w:r w:rsidRPr="00F90EAE">
        <w:rPr>
          <w:color w:val="000000" w:themeColor="text1"/>
          <w:sz w:val="16"/>
          <w:szCs w:val="16"/>
        </w:rPr>
        <w:softHyphen/>
        <w:t>добными фильтру ЦАГИ, стоявшему на Ил-2.</w:t>
      </w:r>
    </w:p>
    <w:p w14:paraId="1E7FA6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Уже 16 апреля завершились заводские летные испытания серийного самолета Ил-10 (зав. № 1892105) с полевым вариан</w:t>
      </w:r>
      <w:r w:rsidRPr="00F90EAE">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235FC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стандартный всасывающий патрубок «вживили» две дю</w:t>
      </w:r>
      <w:r w:rsidRPr="00F90EAE">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F90EAE">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F90EAE">
        <w:rPr>
          <w:color w:val="000000" w:themeColor="text1"/>
          <w:sz w:val="16"/>
          <w:szCs w:val="16"/>
        </w:rPr>
        <w:softHyphen/>
        <w:t>рекрывала входной канал патрубка, а внутренняя — перекры</w:t>
      </w:r>
      <w:r w:rsidRPr="00F90EAE">
        <w:rPr>
          <w:color w:val="000000" w:themeColor="text1"/>
          <w:sz w:val="16"/>
          <w:szCs w:val="16"/>
        </w:rPr>
        <w:softHyphen/>
        <w:t>вала канал патрубка неплотно, с зазором 20 мм между заслон</w:t>
      </w:r>
      <w:r w:rsidRPr="00F90EAE">
        <w:rPr>
          <w:color w:val="000000" w:themeColor="text1"/>
          <w:sz w:val="16"/>
          <w:szCs w:val="16"/>
        </w:rPr>
        <w:softHyphen/>
        <w:t>кой и задней внутренней стенкой патрубка. В этом случае воз</w:t>
      </w:r>
      <w:r w:rsidRPr="00F90EAE">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F90EAE">
        <w:rPr>
          <w:color w:val="000000" w:themeColor="text1"/>
          <w:sz w:val="16"/>
          <w:szCs w:val="16"/>
        </w:rPr>
        <w:softHyphen/>
        <w:t>лению полета. Воздух через входное отверстие патрубка начи</w:t>
      </w:r>
      <w:r w:rsidRPr="00F90EAE">
        <w:rPr>
          <w:color w:val="000000" w:themeColor="text1"/>
          <w:sz w:val="16"/>
          <w:szCs w:val="16"/>
        </w:rPr>
        <w:softHyphen/>
        <w:t>нал поступать в нагнетатель, минуя фильтрующую сетку.</w:t>
      </w:r>
    </w:p>
    <w:p w14:paraId="0C27B8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модифицированного всасывающего патрубка, на са</w:t>
      </w:r>
      <w:r w:rsidRPr="00F90EAE">
        <w:rPr>
          <w:color w:val="000000" w:themeColor="text1"/>
          <w:sz w:val="16"/>
          <w:szCs w:val="16"/>
        </w:rPr>
        <w:softHyphen/>
        <w:t>молете в тоннелях продувки водорадиатора со стороны капота сделаны вырезы общей площадью 560 см</w:t>
      </w:r>
      <w:r w:rsidRPr="00F90EAE">
        <w:rPr>
          <w:color w:val="000000" w:themeColor="text1"/>
          <w:sz w:val="16"/>
          <w:szCs w:val="16"/>
          <w:vertAlign w:val="superscript"/>
        </w:rPr>
        <w:t>2</w:t>
      </w:r>
      <w:r w:rsidRPr="00F90EAE">
        <w:rPr>
          <w:color w:val="000000" w:themeColor="text1"/>
          <w:sz w:val="16"/>
          <w:szCs w:val="16"/>
        </w:rPr>
        <w:t>, которые закрыва</w:t>
      </w:r>
      <w:r w:rsidRPr="00F90EAE">
        <w:rPr>
          <w:color w:val="000000" w:themeColor="text1"/>
          <w:sz w:val="16"/>
          <w:szCs w:val="16"/>
        </w:rPr>
        <w:softHyphen/>
        <w:t>лись сеткой «Дельбак» в один слой.</w:t>
      </w:r>
    </w:p>
    <w:p w14:paraId="6AEF62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F90EAE">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F90EAE">
        <w:rPr>
          <w:color w:val="000000" w:themeColor="text1"/>
          <w:sz w:val="16"/>
          <w:szCs w:val="16"/>
        </w:rPr>
        <w:softHyphen/>
        <w:t>тора — она понизилась на 100—150 м. Был сделан вывод, что «предложенная конструкция удовлетворяет в целом предъяв</w:t>
      </w:r>
      <w:r w:rsidRPr="00F90EAE">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7CA313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20 апреля на серийный самолет Ил-10.(зав. № 1890404) был смонтирован всасывающий патрубок с воздухоочиститель</w:t>
      </w:r>
      <w:r w:rsidRPr="00F90EAE">
        <w:rPr>
          <w:color w:val="000000" w:themeColor="text1"/>
          <w:sz w:val="16"/>
          <w:szCs w:val="16"/>
        </w:rPr>
        <w:softHyphen/>
        <w:t>ным фильтром кассетной конструкции с сеткой типа «Дельбак» заводского варианта установки.</w:t>
      </w:r>
    </w:p>
    <w:p w14:paraId="171F62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Всасывающий патрубок с пылефильтром состоял из собст</w:t>
      </w:r>
      <w:r w:rsidRPr="00F90EAE">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F90EAE">
        <w:rPr>
          <w:color w:val="000000" w:themeColor="text1"/>
          <w:sz w:val="16"/>
          <w:szCs w:val="16"/>
        </w:rPr>
        <w:softHyphen/>
        <w:t>татель. При выпуске шасси заслонка поворачивается, перекры</w:t>
      </w:r>
      <w:r w:rsidRPr="00F90EAE">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F90EAE">
        <w:rPr>
          <w:color w:val="000000" w:themeColor="text1"/>
          <w:sz w:val="16"/>
          <w:szCs w:val="16"/>
        </w:rPr>
        <w:softHyphen/>
        <w:t>вающий патрубок снизу.</w:t>
      </w:r>
    </w:p>
    <w:p w14:paraId="2A1BFE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завершились к началу мая. Мотор на всех ре</w:t>
      </w:r>
      <w:r w:rsidRPr="00F90EAE">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F90EAE">
        <w:rPr>
          <w:color w:val="000000" w:themeColor="text1"/>
          <w:sz w:val="16"/>
          <w:szCs w:val="16"/>
        </w:rPr>
        <w:softHyphen/>
        <w:t>ла 525 км/ч, а на высоте 2500 м — 475 км/ч (11474,514).</w:t>
      </w:r>
    </w:p>
    <w:p w14:paraId="0F06CD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FA21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мая 1945 на ЦА им. Фрунзе произошла катастрофа И-250 ВК-107А + ВРД и погиб А.П.Деев (не успел раскрыться парашют). Потом летали ли А.П.Якимов из ЛИИ и А.Н.Чернобуров и И.Т.Иващенко от ОКБ. Одну из машин отдали в ЦИАМ для доработки зажигания. На нем учились и летчики иап под командованием П.Ф.Чупикова и именно эта группа приняла участие в параде 7 ноября 1946. И-250 потом испытывался в НИИ ВВС и в Риге в НИИ авиации ВМФ. Там летал И.М.Сухомлин. В частях И-250 стал МиГ-13 и летал до начала 1948 (1084,52).</w:t>
      </w:r>
    </w:p>
    <w:p w14:paraId="20DF14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это было 5 июля (742,79).</w:t>
      </w:r>
    </w:p>
    <w:p w14:paraId="2915D3F2" w14:textId="77777777" w:rsidR="00665165" w:rsidRPr="00F90EAE" w:rsidRDefault="00665165" w:rsidP="00F90EAE">
      <w:pPr>
        <w:autoSpaceDE w:val="0"/>
        <w:autoSpaceDN w:val="0"/>
        <w:adjustRightInd w:val="0"/>
        <w:jc w:val="both"/>
        <w:rPr>
          <w:color w:val="000000" w:themeColor="text1"/>
          <w:sz w:val="16"/>
          <w:szCs w:val="16"/>
        </w:rPr>
      </w:pPr>
    </w:p>
    <w:p w14:paraId="4570BD56" w14:textId="77777777" w:rsidR="0008367D" w:rsidRPr="00F90EAE" w:rsidRDefault="0008367D" w:rsidP="00F90EAE">
      <w:pPr>
        <w:jc w:val="both"/>
        <w:rPr>
          <w:color w:val="000000" w:themeColor="text1"/>
          <w:sz w:val="16"/>
          <w:szCs w:val="16"/>
        </w:rPr>
      </w:pPr>
      <w:r w:rsidRPr="00F90EAE">
        <w:rPr>
          <w:color w:val="000000" w:themeColor="text1"/>
          <w:sz w:val="16"/>
          <w:szCs w:val="16"/>
        </w:rPr>
        <w:t>До середины мая 1945 проектирование Утки велось параллельно с другими работами, но с 17 мая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агрегатов (15848).</w:t>
      </w:r>
    </w:p>
    <w:p w14:paraId="111C5E97" w14:textId="77777777" w:rsidR="0008367D" w:rsidRPr="00F90EAE" w:rsidRDefault="0008367D" w:rsidP="00F90EAE">
      <w:pPr>
        <w:jc w:val="both"/>
        <w:rPr>
          <w:color w:val="000000" w:themeColor="text1"/>
          <w:sz w:val="16"/>
          <w:szCs w:val="16"/>
        </w:rPr>
      </w:pPr>
    </w:p>
    <w:p w14:paraId="0865923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BA7D74C" w14:textId="77777777" w:rsidR="00665165" w:rsidRPr="00F90EAE" w:rsidRDefault="00665165" w:rsidP="00F90EAE">
      <w:pPr>
        <w:autoSpaceDE w:val="0"/>
        <w:autoSpaceDN w:val="0"/>
        <w:adjustRightInd w:val="0"/>
        <w:jc w:val="both"/>
        <w:rPr>
          <w:iCs/>
          <w:color w:val="000000" w:themeColor="text1"/>
          <w:sz w:val="16"/>
          <w:szCs w:val="16"/>
        </w:rPr>
      </w:pPr>
    </w:p>
    <w:p w14:paraId="30FB4D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середине мая 1945 на занятой нами территории Европы было выявлено 162 самолета союзников, включая 73 Б-17, 73 Б-24, 14 Мустангов, 1 Лайтнинг и 1 Галифакс. 68 были полностью разбитыми, 18 целых - вернули, некоторые - восстановили (544,15).</w:t>
      </w:r>
    </w:p>
    <w:p w14:paraId="33E1F7F2" w14:textId="77777777" w:rsidR="00665165" w:rsidRPr="00F90EAE" w:rsidRDefault="00665165" w:rsidP="00F90EAE">
      <w:pPr>
        <w:autoSpaceDE w:val="0"/>
        <w:autoSpaceDN w:val="0"/>
        <w:adjustRightInd w:val="0"/>
        <w:jc w:val="both"/>
        <w:rPr>
          <w:color w:val="000000" w:themeColor="text1"/>
          <w:sz w:val="16"/>
          <w:szCs w:val="16"/>
        </w:rPr>
      </w:pPr>
    </w:p>
    <w:p w14:paraId="7EF1B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середине мая 1945 года на занятых советской армией территориях было обнаружено 162 самолета союзников (3457,89).</w:t>
      </w:r>
    </w:p>
    <w:p w14:paraId="1B5800DA" w14:textId="77777777" w:rsidR="00665165" w:rsidRPr="00F90EAE" w:rsidRDefault="00665165" w:rsidP="00F90EAE">
      <w:pPr>
        <w:autoSpaceDE w:val="0"/>
        <w:autoSpaceDN w:val="0"/>
        <w:adjustRightInd w:val="0"/>
        <w:jc w:val="both"/>
        <w:rPr>
          <w:color w:val="000000" w:themeColor="text1"/>
          <w:sz w:val="16"/>
          <w:szCs w:val="16"/>
        </w:rPr>
      </w:pPr>
    </w:p>
    <w:p w14:paraId="1A257B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К середине мая 1945 по донесениям с мест в различных районах Польши, Румынии, Венгрии, Чехословакии и Югославии выявили 73 В-17 разных модификаций. Аппарат американского военного атташе в Москве знал о том, что наши собирают брошенную технику, но получил указание не вмешиваться. Интересно, что по оценкам американцев количество восстановленных советскими ВВС самолетов было более чем вдвое меньше, чем на самом деле. Один практически исправный B-17G, севший в Ясенках (Польша), вернули американцам. Четыре "Крепости" на указанных местах обнаружить не удалось. Остальные имели повреждения различной </w:t>
      </w:r>
      <w:r w:rsidRPr="00F90EAE">
        <w:rPr>
          <w:color w:val="000000" w:themeColor="text1"/>
          <w:sz w:val="16"/>
          <w:szCs w:val="16"/>
        </w:rPr>
        <w:lastRenderedPageBreak/>
        <w:t>тяжести. Самолеты бились при посадке, секретное оборудование подрывалось пo инструкции экипажами, кое-что расхищалось местным населением и солдатами. Большинство В-17 находилось на территории Польши, где действовали отряды "Армии Крановой", нападавшие на советские войска (3457,112).</w:t>
      </w:r>
    </w:p>
    <w:p w14:paraId="2B0ECBB9" w14:textId="77777777" w:rsidR="00665165" w:rsidRPr="00F90EAE" w:rsidRDefault="00665165" w:rsidP="00F90EAE">
      <w:pPr>
        <w:autoSpaceDE w:val="0"/>
        <w:autoSpaceDN w:val="0"/>
        <w:adjustRightInd w:val="0"/>
        <w:jc w:val="both"/>
        <w:rPr>
          <w:color w:val="000000" w:themeColor="text1"/>
          <w:sz w:val="16"/>
          <w:szCs w:val="16"/>
        </w:rPr>
      </w:pPr>
    </w:p>
    <w:p w14:paraId="71AA2F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середины мая 1945 года на Камчатке приземлились в общей сложности девять "Либерейторов" - все из 404-й эскадрильи. Последним 16 мая 1945 года садился У.Блейк на B-24D с вышедшим из строя мотором. Шесть бомбардировщиков в разное время находились на аэродромах 128-й дивизии. Самолеты, севшие в труднодоступных местах, видимо, не звакуировали. Полностью исправным, за исключением самолета, отправленного в Кратово, являлся только один бомбардировщик, № 42-63782, который забрало себе управление ВВС Дальневосточного фронта. Подробности его эксплуатации там неизвестны. Остальные значатся в списках с пометками: "течь 2-х баков, 1-й и 3 -и мотор аварийные", "неисправен 3-й мотор" и т.п. Впоследствии по крайней мере один "Либерейтор" с Камчатки передали в 45-ю дивизию (3457,117).</w:t>
      </w:r>
    </w:p>
    <w:p w14:paraId="28E4A40A" w14:textId="77777777" w:rsidR="00665165" w:rsidRPr="00F90EAE" w:rsidRDefault="00665165" w:rsidP="00F90EAE">
      <w:pPr>
        <w:autoSpaceDE w:val="0"/>
        <w:autoSpaceDN w:val="0"/>
        <w:adjustRightInd w:val="0"/>
        <w:jc w:val="both"/>
        <w:rPr>
          <w:color w:val="000000" w:themeColor="text1"/>
          <w:sz w:val="16"/>
          <w:szCs w:val="16"/>
        </w:rPr>
      </w:pPr>
    </w:p>
    <w:p w14:paraId="6675E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мая 1945 года началась массовая перегонка американских истребителей P-47 на север. К 20 июня в 255 полку имелось уже 63 самолета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5432977E" w14:textId="77777777" w:rsidR="00665165" w:rsidRPr="00F90EAE" w:rsidRDefault="00665165" w:rsidP="00F90EAE">
      <w:pPr>
        <w:autoSpaceDE w:val="0"/>
        <w:autoSpaceDN w:val="0"/>
        <w:adjustRightInd w:val="0"/>
        <w:jc w:val="both"/>
        <w:rPr>
          <w:color w:val="000000" w:themeColor="text1"/>
          <w:sz w:val="16"/>
          <w:szCs w:val="16"/>
        </w:rPr>
      </w:pPr>
    </w:p>
    <w:p w14:paraId="33EA9710" w14:textId="77777777" w:rsidR="00665165"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49B215EE" w14:textId="77777777" w:rsidR="00665165" w:rsidRPr="00F90EAE" w:rsidRDefault="00665165" w:rsidP="00F90EAE">
      <w:pPr>
        <w:autoSpaceDE w:val="0"/>
        <w:autoSpaceDN w:val="0"/>
        <w:adjustRightInd w:val="0"/>
        <w:jc w:val="both"/>
        <w:rPr>
          <w:iCs/>
          <w:color w:val="000000" w:themeColor="text1"/>
          <w:sz w:val="16"/>
          <w:szCs w:val="16"/>
          <w:lang w:val="en-US"/>
        </w:rPr>
      </w:pPr>
    </w:p>
    <w:p w14:paraId="5000327D"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Mid-May, 1945 - Little Boy is ready for combat use, except for the U-235 core. It is estimated sufficient material will be available by 1 August (1039).</w:t>
      </w:r>
    </w:p>
    <w:p w14:paraId="329DB5E2" w14:textId="77777777" w:rsidR="00665165" w:rsidRPr="00F90EAE" w:rsidRDefault="00665165" w:rsidP="00F90EAE">
      <w:pPr>
        <w:autoSpaceDE w:val="0"/>
        <w:autoSpaceDN w:val="0"/>
        <w:adjustRightInd w:val="0"/>
        <w:jc w:val="both"/>
        <w:rPr>
          <w:color w:val="000000" w:themeColor="text1"/>
          <w:sz w:val="16"/>
          <w:szCs w:val="16"/>
          <w:lang w:val="en-US"/>
        </w:rPr>
      </w:pPr>
    </w:p>
    <w:p w14:paraId="67577C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середине мая 1945 урановая бомба Малыш была готова к испытаниям, за исключением У-235, который должен был быть готов к 1 августа (1039).</w:t>
      </w:r>
    </w:p>
    <w:p w14:paraId="224041CB" w14:textId="77777777" w:rsidR="00665165" w:rsidRPr="00F90EAE" w:rsidRDefault="00665165" w:rsidP="00F90EAE">
      <w:pPr>
        <w:autoSpaceDE w:val="0"/>
        <w:autoSpaceDN w:val="0"/>
        <w:adjustRightInd w:val="0"/>
        <w:jc w:val="both"/>
        <w:rPr>
          <w:color w:val="000000" w:themeColor="text1"/>
          <w:sz w:val="16"/>
          <w:szCs w:val="16"/>
        </w:rPr>
      </w:pPr>
    </w:p>
    <w:p w14:paraId="1628CE8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68708D3" w14:textId="77777777" w:rsidR="00665165" w:rsidRPr="00F90EAE" w:rsidRDefault="00665165" w:rsidP="00F90EAE">
      <w:pPr>
        <w:autoSpaceDE w:val="0"/>
        <w:autoSpaceDN w:val="0"/>
        <w:adjustRightInd w:val="0"/>
        <w:jc w:val="both"/>
        <w:rPr>
          <w:iCs/>
          <w:color w:val="000000" w:themeColor="text1"/>
          <w:sz w:val="16"/>
          <w:szCs w:val="16"/>
        </w:rPr>
      </w:pPr>
    </w:p>
    <w:p w14:paraId="756A57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мая 1945 г. один из первых УИл-10 прибыл в НИИ ВВС, через четыре дня начались его летные испытания. За</w:t>
      </w:r>
      <w:r w:rsidRPr="00F90EAE">
        <w:rPr>
          <w:color w:val="000000" w:themeColor="text1"/>
          <w:sz w:val="16"/>
          <w:szCs w:val="16"/>
        </w:rPr>
        <w:softHyphen/>
        <w:t>вершили их 7 июня, после выполнения 31 полета. Ведущим инженером и одно</w:t>
      </w:r>
      <w:r w:rsidRPr="00F90EAE">
        <w:rPr>
          <w:color w:val="000000" w:themeColor="text1"/>
          <w:sz w:val="16"/>
          <w:szCs w:val="16"/>
        </w:rPr>
        <w:softHyphen/>
        <w:t>временно ведущим летчиком был капи</w:t>
      </w:r>
      <w:r w:rsidRPr="00F90EAE">
        <w:rPr>
          <w:color w:val="000000" w:themeColor="text1"/>
          <w:sz w:val="16"/>
          <w:szCs w:val="16"/>
        </w:rPr>
        <w:softHyphen/>
        <w:t>тан С.Г. Фролов. При полетном весе 5680 кг (вес пусто</w:t>
      </w:r>
      <w:r w:rsidRPr="00F90EAE">
        <w:rPr>
          <w:color w:val="000000" w:themeColor="text1"/>
          <w:sz w:val="16"/>
          <w:szCs w:val="16"/>
        </w:rPr>
        <w:softHyphen/>
        <w:t>го 4571 кг) УИл-10 показал максималь</w:t>
      </w:r>
      <w:r w:rsidRPr="00F90EAE">
        <w:rPr>
          <w:color w:val="000000" w:themeColor="text1"/>
          <w:sz w:val="16"/>
          <w:szCs w:val="16"/>
        </w:rPr>
        <w:softHyphen/>
        <w:t>ную скорость полета у земли 502 км/ч, на высоте 2500 м - 560 км/ч. Время на</w:t>
      </w:r>
      <w:r w:rsidRPr="00F90EAE">
        <w:rPr>
          <w:color w:val="000000" w:themeColor="text1"/>
          <w:sz w:val="16"/>
          <w:szCs w:val="16"/>
        </w:rPr>
        <w:softHyphen/>
        <w:t>бора высоты 1000 м составило 1,5 мин, а 3000 м-4,8 мин. В выводах отчета по испытаниям ука</w:t>
      </w:r>
      <w:r w:rsidRPr="00F90EAE">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F90EAE">
        <w:rPr>
          <w:color w:val="000000" w:themeColor="text1"/>
          <w:sz w:val="16"/>
          <w:szCs w:val="16"/>
        </w:rPr>
        <w:softHyphen/>
        <w:t>рой кабины - от УИл-2. Однако обзор (особенно на посадке) у УИл-10 был ху</w:t>
      </w:r>
      <w:r w:rsidRPr="00F90EAE">
        <w:rPr>
          <w:color w:val="000000" w:themeColor="text1"/>
          <w:sz w:val="16"/>
          <w:szCs w:val="16"/>
        </w:rPr>
        <w:softHyphen/>
        <w:t>же, чем у боевого варианта. Поспешно оборудованное место инструктора име</w:t>
      </w:r>
      <w:r w:rsidRPr="00F90EAE">
        <w:rPr>
          <w:color w:val="000000" w:themeColor="text1"/>
          <w:sz w:val="16"/>
          <w:szCs w:val="16"/>
        </w:rPr>
        <w:softHyphen/>
        <w:t>ло много недостатков: «неудобно откры</w:t>
      </w:r>
      <w:r w:rsidRPr="00F90EAE">
        <w:rPr>
          <w:color w:val="000000" w:themeColor="text1"/>
          <w:sz w:val="16"/>
          <w:szCs w:val="16"/>
        </w:rPr>
        <w:softHyphen/>
        <w:t>вание и закрывание фонаря, нельзя от</w:t>
      </w:r>
      <w:r w:rsidRPr="00F90EAE">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F90EAE">
        <w:rPr>
          <w:color w:val="000000" w:themeColor="text1"/>
          <w:sz w:val="16"/>
          <w:szCs w:val="16"/>
        </w:rPr>
        <w:softHyphen/>
        <w:t>ны быть реализованы....Учитывая боль</w:t>
      </w:r>
      <w:r w:rsidRPr="00F90EAE">
        <w:rPr>
          <w:color w:val="000000" w:themeColor="text1"/>
          <w:sz w:val="16"/>
          <w:szCs w:val="16"/>
        </w:rPr>
        <w:softHyphen/>
        <w:t>шую потребность в УИл-10, считать не</w:t>
      </w:r>
      <w:r w:rsidRPr="00F90EAE">
        <w:rPr>
          <w:color w:val="000000" w:themeColor="text1"/>
          <w:sz w:val="16"/>
          <w:szCs w:val="16"/>
        </w:rPr>
        <w:softHyphen/>
        <w:t>обходимым их выпуск продолжать, по</w:t>
      </w:r>
      <w:r w:rsidRPr="00F90EAE">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F90EAE">
        <w:rPr>
          <w:color w:val="000000" w:themeColor="text1"/>
          <w:sz w:val="16"/>
          <w:szCs w:val="16"/>
        </w:rPr>
        <w:softHyphen/>
        <w:t>тания в ГК НИИ ВВС КА...» (10681).</w:t>
      </w:r>
    </w:p>
    <w:p w14:paraId="0BBCE2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83E2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г. Учебный УИл-10 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(7489).</w:t>
      </w:r>
    </w:p>
    <w:p w14:paraId="3481D6F2" w14:textId="77777777" w:rsidR="00665165" w:rsidRPr="00F90EAE" w:rsidRDefault="00665165" w:rsidP="00F90EAE">
      <w:pPr>
        <w:autoSpaceDE w:val="0"/>
        <w:autoSpaceDN w:val="0"/>
        <w:adjustRightInd w:val="0"/>
        <w:jc w:val="both"/>
        <w:rPr>
          <w:color w:val="000000" w:themeColor="text1"/>
          <w:sz w:val="16"/>
          <w:szCs w:val="16"/>
        </w:rPr>
      </w:pPr>
    </w:p>
    <w:p w14:paraId="741FDF7F"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учебный </w:t>
      </w:r>
      <w:hyperlink r:id="rId121" w:tgtFrame="_blank" w:history="1">
        <w:r w:rsidRPr="00F90EAE">
          <w:rPr>
            <w:color w:val="000000" w:themeColor="text1"/>
            <w:sz w:val="16"/>
            <w:szCs w:val="16"/>
          </w:rPr>
          <w:t xml:space="preserve">«УИл-10» </w:t>
        </w:r>
      </w:hyperlink>
      <w:r w:rsidRPr="00F90EAE">
        <w:rPr>
          <w:color w:val="000000" w:themeColor="text1"/>
          <w:sz w:val="16"/>
          <w:szCs w:val="16"/>
        </w:rPr>
        <w:t>прибыл в ГК НИИ ВВС КА и 20 мая специалисты института приступили к его испытаниям. Уже 7 июня после выполнения 31 полета с общим налетом 15 часов испытания успешно завершились. Акт по результатам государственных испытаний учебного штурмовика был утвержден командующим ВВС КА главным маршалом А.А.Новиковым 4 июня 1945 года. Учебно-тренировочный вариант штурмовика «Ил-10В» создавался в соответствии с Постановлением ГОКО № 7560 от 21.02.45 года и приказом НКАП № 76 от 26.02.45 года на авиазаводе № 1. Технические требования к самолету «УИл-10» («Ил-10У») утверждены заместителем командующего ВВС КА маршалом Ф.Я.Фалалеевым 21 апреля 1945 года (14893).</w:t>
      </w:r>
    </w:p>
    <w:p w14:paraId="05CE0653" w14:textId="77777777" w:rsidR="00681972" w:rsidRPr="00F90EAE" w:rsidRDefault="00681972" w:rsidP="00F90EAE">
      <w:pPr>
        <w:jc w:val="both"/>
        <w:rPr>
          <w:color w:val="000000" w:themeColor="text1"/>
          <w:sz w:val="16"/>
          <w:szCs w:val="16"/>
        </w:rPr>
      </w:pPr>
    </w:p>
    <w:p w14:paraId="4BD542F1"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16 мая 1945 года один из первых УИл-10 (зав. № 106085) прибыл в НИИ ВВС. Спустя 10 дней начались его летные испытания.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4F75F882"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7BCB6EB6"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46633401"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66CED5D0"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27ED8965" w14:textId="77777777" w:rsidR="00752607" w:rsidRPr="00F90EAE" w:rsidRDefault="00752607" w:rsidP="00F90EAE">
      <w:pPr>
        <w:jc w:val="both"/>
        <w:rPr>
          <w:color w:val="000000" w:themeColor="text1"/>
          <w:sz w:val="16"/>
          <w:szCs w:val="16"/>
        </w:rPr>
      </w:pPr>
      <w:r w:rsidRPr="00F90EAE">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5EBCB2B1" w14:textId="77777777" w:rsidR="00752607" w:rsidRPr="00F90EAE" w:rsidRDefault="00752607" w:rsidP="00F90EAE">
      <w:pPr>
        <w:jc w:val="both"/>
        <w:rPr>
          <w:rStyle w:val="107"/>
          <w:rFonts w:eastAsiaTheme="minorHAnsi"/>
          <w:color w:val="000000" w:themeColor="text1"/>
          <w:sz w:val="16"/>
          <w:szCs w:val="16"/>
        </w:rPr>
      </w:pPr>
    </w:p>
    <w:p w14:paraId="082029B0"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завершились государственные испытания прототипа </w:t>
      </w:r>
      <w:hyperlink r:id="rId122" w:tgtFrame="_blank" w:history="1">
        <w:r w:rsidRPr="00F90EAE">
          <w:rPr>
            <w:color w:val="000000" w:themeColor="text1"/>
            <w:sz w:val="16"/>
            <w:szCs w:val="16"/>
          </w:rPr>
          <w:t xml:space="preserve">«63-2» </w:t>
        </w:r>
      </w:hyperlink>
      <w:r w:rsidRPr="00F90EAE">
        <w:rPr>
          <w:color w:val="000000" w:themeColor="text1"/>
          <w:sz w:val="16"/>
          <w:szCs w:val="16"/>
        </w:rPr>
        <w:t>скоростного дневного бомбардировщика ОКБ Туполева «СДБ». В отчете отмечалось, что машина по своим летным данным значительно превосходит однотипные отечественные и зарубежные самолеты, в том числе и "Москито". Был отмечен и ряд дефектов, наиболее серьезным из которых признали недостаточный обзор штурмана. Самолет не был рекомендован в серию, так как уже начинались испытания машины "68" («Ту-10»), от которой ждали еще более высоких характеристик (14893).</w:t>
      </w:r>
    </w:p>
    <w:p w14:paraId="54EC024E" w14:textId="77777777" w:rsidR="00681972" w:rsidRPr="00F90EAE" w:rsidRDefault="00681972" w:rsidP="00F90EAE">
      <w:pPr>
        <w:jc w:val="both"/>
        <w:rPr>
          <w:color w:val="000000" w:themeColor="text1"/>
          <w:sz w:val="16"/>
          <w:szCs w:val="16"/>
        </w:rPr>
      </w:pPr>
    </w:p>
    <w:p w14:paraId="7D213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закончились гос. испытания СДБ А.Н.Т. 63/2, которые проходили с 5 апреля 1945. Макс. скорость достигла 640 км/час и в заключении отмечалось, что удалось создать однотипную с Москито машину с лучшими ЛТД. Однако, в серию рекомендован не был из-за плохого обзора штурмана. В 1946 переделали в опытный истребитель-перехватчик 63П (1835,57).</w:t>
      </w:r>
    </w:p>
    <w:p w14:paraId="7EE573AA" w14:textId="77777777" w:rsidR="00665165" w:rsidRPr="00F90EAE" w:rsidRDefault="00665165" w:rsidP="00F90EAE">
      <w:pPr>
        <w:autoSpaceDE w:val="0"/>
        <w:autoSpaceDN w:val="0"/>
        <w:adjustRightInd w:val="0"/>
        <w:jc w:val="both"/>
        <w:rPr>
          <w:color w:val="000000" w:themeColor="text1"/>
          <w:sz w:val="16"/>
          <w:szCs w:val="16"/>
        </w:rPr>
      </w:pPr>
    </w:p>
    <w:p w14:paraId="439340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года первый серийный самолет Як-3 ВК-107А завода №292, вооруженный тремя пушками Б-20 и выпущенный на аэродром 30 апреля, впервые поднялся в воздух. В мае на ней планировалась отработка топливной и масляной систем двигателя, отстрел вооружения и испытания в воздухе. До конца мая на самолете выполнили три полета, показав максимальную скорость у земли 594 км/ч и 707 км/ч - на второй границы высотности.</w:t>
      </w:r>
    </w:p>
    <w:p w14:paraId="031EAF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4B4E9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200C39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0FF6AC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05457E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5624FE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644B4C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37C0BF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78817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194C9798" w14:textId="77777777" w:rsidR="00665165" w:rsidRPr="00F90EAE" w:rsidRDefault="00665165" w:rsidP="00F90EAE">
      <w:pPr>
        <w:autoSpaceDE w:val="0"/>
        <w:autoSpaceDN w:val="0"/>
        <w:adjustRightInd w:val="0"/>
        <w:jc w:val="both"/>
        <w:rPr>
          <w:color w:val="000000" w:themeColor="text1"/>
          <w:sz w:val="16"/>
          <w:szCs w:val="16"/>
        </w:rPr>
      </w:pPr>
    </w:p>
    <w:p w14:paraId="2A606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8592 О мероприятиях по обеспечению сплава авиафанерной березы и авиационной сосны в навигацию 1945 г. РГАНИР, Фонд ГКО, д. 417, лл. 42-45, 46-86 (11012).</w:t>
      </w:r>
    </w:p>
    <w:p w14:paraId="4FBB3D31" w14:textId="77777777" w:rsidR="00665165" w:rsidRPr="00F90EAE" w:rsidRDefault="00665165" w:rsidP="00F90EAE">
      <w:pPr>
        <w:autoSpaceDE w:val="0"/>
        <w:autoSpaceDN w:val="0"/>
        <w:adjustRightInd w:val="0"/>
        <w:jc w:val="both"/>
        <w:rPr>
          <w:color w:val="000000" w:themeColor="text1"/>
          <w:sz w:val="16"/>
          <w:szCs w:val="16"/>
        </w:rPr>
      </w:pPr>
    </w:p>
    <w:p w14:paraId="5D2772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8596 О вывозе оборудования и материалов с заводов в районе г. Вена на предприятия Наркомавиапрома. РГАНИР, Фонд ГКО, д. 417, лл. 97-99 (11012).</w:t>
      </w:r>
    </w:p>
    <w:p w14:paraId="4D6AAD9B" w14:textId="77777777" w:rsidR="00665165" w:rsidRPr="00F90EAE" w:rsidRDefault="00665165" w:rsidP="00F90EAE">
      <w:pPr>
        <w:autoSpaceDE w:val="0"/>
        <w:autoSpaceDN w:val="0"/>
        <w:adjustRightInd w:val="0"/>
        <w:jc w:val="both"/>
        <w:rPr>
          <w:color w:val="000000" w:themeColor="text1"/>
          <w:sz w:val="16"/>
          <w:szCs w:val="16"/>
        </w:rPr>
      </w:pPr>
    </w:p>
    <w:p w14:paraId="1092FC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года Решением ГОКО № 8596 заводу № 283 НКАП передавалось 250 единиц оборудования с немецкого завода “Отто-Лернер” и его филиала в Вене (9487).</w:t>
      </w:r>
    </w:p>
    <w:p w14:paraId="71EB0217" w14:textId="77777777" w:rsidR="00665165" w:rsidRPr="00F90EAE" w:rsidRDefault="00665165" w:rsidP="00F90EAE">
      <w:pPr>
        <w:autoSpaceDE w:val="0"/>
        <w:autoSpaceDN w:val="0"/>
        <w:adjustRightInd w:val="0"/>
        <w:jc w:val="both"/>
        <w:rPr>
          <w:color w:val="000000" w:themeColor="text1"/>
          <w:sz w:val="16"/>
          <w:szCs w:val="16"/>
        </w:rPr>
      </w:pPr>
    </w:p>
    <w:p w14:paraId="5FBC2F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8612 О вывозе оборудования по производству авиационных бомб с завода "Карл Грау" в г. Фридрихсхаген. РГАНИР, Фонд ГКО, д. 417, лл. 128 (11012).</w:t>
      </w:r>
    </w:p>
    <w:p w14:paraId="517376C8" w14:textId="77777777" w:rsidR="00665165" w:rsidRPr="00F90EAE" w:rsidRDefault="00665165" w:rsidP="00F90EAE">
      <w:pPr>
        <w:autoSpaceDE w:val="0"/>
        <w:autoSpaceDN w:val="0"/>
        <w:adjustRightInd w:val="0"/>
        <w:jc w:val="both"/>
        <w:rPr>
          <w:color w:val="000000" w:themeColor="text1"/>
          <w:sz w:val="16"/>
          <w:szCs w:val="16"/>
        </w:rPr>
      </w:pPr>
    </w:p>
    <w:p w14:paraId="55A0B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8646 О вывозе оборудования по производству узлов к снарядам ФАУ-2 с завода "Варкиц верке", расположенного в лесу, севернее Кривитц. РГАНИР, Фонд ГКО, д. 418, лл. 1-2 (11012).</w:t>
      </w:r>
    </w:p>
    <w:p w14:paraId="112123FE" w14:textId="77777777" w:rsidR="00665165" w:rsidRPr="00F90EAE" w:rsidRDefault="00665165" w:rsidP="00F90EAE">
      <w:pPr>
        <w:autoSpaceDE w:val="0"/>
        <w:autoSpaceDN w:val="0"/>
        <w:adjustRightInd w:val="0"/>
        <w:jc w:val="both"/>
        <w:rPr>
          <w:color w:val="000000" w:themeColor="text1"/>
          <w:sz w:val="16"/>
          <w:szCs w:val="16"/>
        </w:rPr>
      </w:pPr>
    </w:p>
    <w:p w14:paraId="3F6E80AB" w14:textId="77777777" w:rsidR="00665165" w:rsidRPr="00F90EAE" w:rsidRDefault="00665165" w:rsidP="00F90EAE">
      <w:pPr>
        <w:jc w:val="both"/>
        <w:rPr>
          <w:color w:val="000000" w:themeColor="text1"/>
          <w:sz w:val="16"/>
          <w:szCs w:val="16"/>
        </w:rPr>
      </w:pPr>
      <w:r w:rsidRPr="00F90EAE">
        <w:rPr>
          <w:color w:val="000000" w:themeColor="text1"/>
          <w:sz w:val="16"/>
          <w:szCs w:val="16"/>
        </w:rPr>
        <w:t>16 мая 1945 г. вышло:</w:t>
      </w:r>
    </w:p>
    <w:p w14:paraId="0D4AFF35" w14:textId="77777777" w:rsidR="00665165" w:rsidRPr="00F90EAE" w:rsidRDefault="00665165" w:rsidP="00F90EAE">
      <w:pPr>
        <w:jc w:val="both"/>
        <w:rPr>
          <w:color w:val="000000" w:themeColor="text1"/>
          <w:sz w:val="16"/>
          <w:szCs w:val="16"/>
        </w:rPr>
      </w:pPr>
      <w:r w:rsidRPr="00F90EAE">
        <w:rPr>
          <w:color w:val="000000" w:themeColor="text1"/>
          <w:sz w:val="16"/>
          <w:szCs w:val="16"/>
        </w:rPr>
        <w:t>ПОСТАНОВЛЕНИЕ ГОСУДАРСТВЕННОГО КОМИТЕТА ОБОРОНЫ № 8646сс</w:t>
      </w:r>
    </w:p>
    <w:p w14:paraId="112D5AFD" w14:textId="77777777" w:rsidR="00665165" w:rsidRPr="00F90EAE" w:rsidRDefault="00665165" w:rsidP="00F90EAE">
      <w:pPr>
        <w:jc w:val="both"/>
        <w:rPr>
          <w:color w:val="000000" w:themeColor="text1"/>
          <w:sz w:val="16"/>
          <w:szCs w:val="16"/>
        </w:rPr>
      </w:pPr>
      <w:r w:rsidRPr="00F90EAE">
        <w:rPr>
          <w:color w:val="000000" w:themeColor="text1"/>
          <w:sz w:val="16"/>
          <w:szCs w:val="16"/>
        </w:rPr>
        <w:t xml:space="preserve">О вывозе оборудования по производству узлов к снарядам ФАУ-2 с завода "Варкиц веерке", расположенного в лесу, севере Кривитц. </w:t>
      </w:r>
    </w:p>
    <w:p w14:paraId="140861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208C3B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Обязать Наркомбоеприпасов (т. Ванникова) вывезти на завод № 77 Наркомбоеприпасов в г. Ленинград с завода "Варкиц веерке", расположенного в лесу в одном километре севернее Кривитц, оборудование по производству узлов снарядов ФАУ-2 в количестве 45 металлообрабатывающих станков.</w:t>
      </w:r>
    </w:p>
    <w:p w14:paraId="3ED73E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Утвердить ответственным руководителем работ по демонтажу и вывозу оборудования завода "Варкиц веерке" главного инженера завода № 110 Наркомбоеприпасов т. Антонова В. С.</w:t>
      </w:r>
    </w:p>
    <w:p w14:paraId="628051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Тов. Ванникову командировать в распоряжение т. Антонова, для технического руководства демонтажем и погрузкой оборудования, 2 инженерно-технических работника.</w:t>
      </w:r>
    </w:p>
    <w:p w14:paraId="6FB7DC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Обязать Главное трофейное управление Красной Армии (т. Вахитова) приступить к демонтажу оборудования, указанного в пункте 1 настоящего постановления, не позднее 25 мая 1945 г. И закончить отгрузку его к 15 июня 1945 года, выделив для этой цели необходимое количество рабочей силы.</w:t>
      </w:r>
    </w:p>
    <w:p w14:paraId="7B82E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 И. СТАЛИН (11813).</w:t>
      </w:r>
    </w:p>
    <w:p w14:paraId="67065E22" w14:textId="77777777" w:rsidR="00BB0525" w:rsidRPr="00F90EAE" w:rsidRDefault="00BB0525" w:rsidP="00F90EAE">
      <w:pPr>
        <w:autoSpaceDE w:val="0"/>
        <w:autoSpaceDN w:val="0"/>
        <w:adjustRightInd w:val="0"/>
        <w:jc w:val="both"/>
        <w:rPr>
          <w:iCs/>
          <w:color w:val="000000" w:themeColor="text1"/>
          <w:sz w:val="16"/>
          <w:szCs w:val="16"/>
        </w:rPr>
      </w:pPr>
    </w:p>
    <w:p w14:paraId="7A561AE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4525CD1" w14:textId="77777777" w:rsidR="00665165" w:rsidRPr="00F90EAE" w:rsidRDefault="00665165" w:rsidP="00F90EAE">
      <w:pPr>
        <w:autoSpaceDE w:val="0"/>
        <w:autoSpaceDN w:val="0"/>
        <w:adjustRightInd w:val="0"/>
        <w:jc w:val="both"/>
        <w:rPr>
          <w:iCs/>
          <w:color w:val="000000" w:themeColor="text1"/>
          <w:sz w:val="16"/>
          <w:szCs w:val="16"/>
        </w:rPr>
      </w:pPr>
    </w:p>
    <w:p w14:paraId="76BF9C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мая 1945 г. вышел Приказ НКВД СССР № 00539 «О вывозе специального оборудования и материалов из Германии для лаборатории № 2 Академии наук и Спецметуправления НКВД СССР»</w:t>
      </w:r>
    </w:p>
    <w:p w14:paraId="2FE603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Совершенно секретно</w:t>
      </w:r>
    </w:p>
    <w:p w14:paraId="2624E2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Государственного Комитета Обороны о вывозе специального оборудования из Германии для лаборатории № 2 Академии наук и Спецметуправления НКВД СССР приказываю:</w:t>
      </w:r>
    </w:p>
    <w:p w14:paraId="70221F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Демонтировать и вывезти для лаборатории № 2 Академии наук и Спецметуправления НКВД СССР:</w:t>
      </w:r>
    </w:p>
    <w:p w14:paraId="6811BD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оборудование, материалы и библиотеку института им. Кайзера Виль</w:t>
      </w:r>
      <w:r w:rsidRPr="00F90EAE">
        <w:rPr>
          <w:color w:val="000000" w:themeColor="text1"/>
          <w:sz w:val="16"/>
          <w:szCs w:val="16"/>
        </w:rPr>
        <w:softHyphen/>
        <w:t>гельма в Берлине;</w:t>
      </w:r>
    </w:p>
    <w:p w14:paraId="0B90BF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оборудование и другое имущество лаборатории фон Арденне в Берли</w:t>
      </w:r>
      <w:r w:rsidRPr="00F90EAE">
        <w:rPr>
          <w:color w:val="000000" w:themeColor="text1"/>
          <w:sz w:val="16"/>
          <w:szCs w:val="16"/>
        </w:rPr>
        <w:softHyphen/>
        <w:t>не;</w:t>
      </w:r>
    </w:p>
    <w:p w14:paraId="4B20B2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 оборудование и имущество лаборатории профессора Герца в Бер</w:t>
      </w:r>
      <w:r w:rsidRPr="00F90EAE">
        <w:rPr>
          <w:color w:val="000000" w:themeColor="text1"/>
          <w:sz w:val="16"/>
          <w:szCs w:val="16"/>
        </w:rPr>
        <w:softHyphen/>
        <w:t>лине;</w:t>
      </w:r>
    </w:p>
    <w:p w14:paraId="407B47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оборудование, библиотеку и материалы Берлинского института по ядерной физике министерства связи;</w:t>
      </w:r>
    </w:p>
    <w:p w14:paraId="5469DA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Берлинский завод «Ауэр» по получению металлического порошка урана и завод из района Райнсберг-Цехлин по переплавке металлического порошка урана в монолитный металл;</w:t>
      </w:r>
    </w:p>
    <w:p w14:paraId="7BE71F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циклотронную лабораторию концерна «Сименс»;</w:t>
      </w:r>
    </w:p>
    <w:p w14:paraId="6C9DE5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физическую лабораторию научно-исследовательского отдела Управ</w:t>
      </w:r>
      <w:r w:rsidRPr="00F90EAE">
        <w:rPr>
          <w:color w:val="000000" w:themeColor="text1"/>
          <w:sz w:val="16"/>
          <w:szCs w:val="16"/>
        </w:rPr>
        <w:softHyphen/>
        <w:t>ления вооружения армии в Готтове</w:t>
      </w:r>
      <w:r w:rsidRPr="00F90EAE">
        <w:rPr>
          <w:color w:val="000000" w:themeColor="text1"/>
          <w:sz w:val="16"/>
          <w:szCs w:val="16"/>
          <w:vertAlign w:val="superscript"/>
        </w:rPr>
        <w:t>1</w:t>
      </w:r>
      <w:r w:rsidRPr="00F90EAE">
        <w:rPr>
          <w:color w:val="000000" w:themeColor="text1"/>
          <w:sz w:val="16"/>
          <w:szCs w:val="16"/>
        </w:rPr>
        <w:t>;</w:t>
      </w:r>
    </w:p>
    <w:p w14:paraId="006BBC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специальные и строительные материалы.</w:t>
      </w:r>
    </w:p>
    <w:p w14:paraId="401B92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Организацию работ по демонтажу и отгрузке оборудования и материа</w:t>
      </w:r>
      <w:r w:rsidRPr="00F90EAE">
        <w:rPr>
          <w:color w:val="000000" w:themeColor="text1"/>
          <w:sz w:val="16"/>
          <w:szCs w:val="16"/>
        </w:rPr>
        <w:softHyphen/>
        <w:t>лов, перечисленных в п. 1 учреждений и предприятий, возложить на товари</w:t>
      </w:r>
      <w:r w:rsidRPr="00F90EAE">
        <w:rPr>
          <w:color w:val="000000" w:themeColor="text1"/>
          <w:sz w:val="16"/>
          <w:szCs w:val="16"/>
        </w:rPr>
        <w:softHyphen/>
        <w:t>щей Завенягина и Махнева, которым немедленно выехать в Берлин.</w:t>
      </w:r>
    </w:p>
    <w:p w14:paraId="7CD011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Товарищам Завенягину, Сафразьяну, начальнику лаборатории № 2 Академии наук тов. Курчатову командировать в Берлин для непосредствен</w:t>
      </w:r>
      <w:r w:rsidRPr="00F90EAE">
        <w:rPr>
          <w:color w:val="000000" w:themeColor="text1"/>
          <w:sz w:val="16"/>
          <w:szCs w:val="16"/>
        </w:rPr>
        <w:softHyphen/>
        <w:t>ного руководства работами по демонтажу начальника Спецметуправления НКВД комиссара госбезопасности тов. Егорова, директора Инспецмета НКВД СССР инженер-полковника тов. Шевченко, генерал-майора инже</w:t>
      </w:r>
      <w:r w:rsidRPr="00F90EAE">
        <w:rPr>
          <w:color w:val="000000" w:themeColor="text1"/>
          <w:sz w:val="16"/>
          <w:szCs w:val="16"/>
        </w:rPr>
        <w:softHyphen/>
        <w:t>нерно-технической службы тов. Кнорре.</w:t>
      </w:r>
    </w:p>
    <w:p w14:paraId="554291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Товарищам Завенягину, Махневу обеспечить полную сохранность и строгий учет оборудования при демонтаже и отгрузке в СССР учреждений и предприятий.</w:t>
      </w:r>
    </w:p>
    <w:p w14:paraId="75E441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Заместителю народного комиссара внутренних дел тов. Серову ока</w:t>
      </w:r>
      <w:r w:rsidRPr="00F90EAE">
        <w:rPr>
          <w:color w:val="000000" w:themeColor="text1"/>
          <w:sz w:val="16"/>
          <w:szCs w:val="16"/>
        </w:rPr>
        <w:softHyphen/>
        <w:t>зать содействие в выполнении мероприятий, предусмотренных настоящим приказом, и обеспечить строгую охрану демонтируемых учреждений и пред</w:t>
      </w:r>
      <w:r w:rsidRPr="00F90EAE">
        <w:rPr>
          <w:color w:val="000000" w:themeColor="text1"/>
          <w:sz w:val="16"/>
          <w:szCs w:val="16"/>
        </w:rPr>
        <w:softHyphen/>
        <w:t>приятий, оборудования и материалов.</w:t>
      </w:r>
    </w:p>
    <w:p w14:paraId="50B2C6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Товарищам Завенягину и Махневу о ходе работ регулярно доносить в НКВД СССР.</w:t>
      </w:r>
    </w:p>
    <w:p w14:paraId="757579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Народный комиссар внутренних дел Союза ССР</w:t>
      </w:r>
    </w:p>
    <w:p w14:paraId="36BD90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Л. Берия</w:t>
      </w:r>
    </w:p>
    <w:p w14:paraId="217040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Резолюция: Никому не рассылать. Л. Берия. 1 в/У.45. Помета: В. Махнев, Сафразъян, тт. Егор[ов], Шевченко и Кнорре озна</w:t>
      </w:r>
      <w:r w:rsidRPr="00F90EAE">
        <w:rPr>
          <w:color w:val="000000" w:themeColor="text1"/>
          <w:sz w:val="16"/>
          <w:szCs w:val="16"/>
        </w:rPr>
        <w:softHyphen/>
        <w:t>комлены.</w:t>
      </w:r>
    </w:p>
    <w:p w14:paraId="6A6F30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 РФ. Ф. Р-9401. Оп. 2. Д. 5. Л. 349-350. Подлинник.</w:t>
      </w:r>
    </w:p>
    <w:p w14:paraId="46B0FD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Опубл.: Атомный проект в СССР: Док. и матер. Т. 1. Ч. 2. С. 309 - 310 (11419).</w:t>
      </w:r>
    </w:p>
    <w:p w14:paraId="0EE798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5BF73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Распоряжение ГКО № 8585. Об увеличении перевозки мазута из Баку в Астрахань до 160 тыс. т. РГАНИР, Фонд ГКО, д. 417, лл. 1 (11012).</w:t>
      </w:r>
    </w:p>
    <w:p w14:paraId="7CCC0D9E" w14:textId="77777777" w:rsidR="00665165" w:rsidRPr="00F90EAE" w:rsidRDefault="00665165" w:rsidP="00F90EAE">
      <w:pPr>
        <w:autoSpaceDE w:val="0"/>
        <w:autoSpaceDN w:val="0"/>
        <w:adjustRightInd w:val="0"/>
        <w:jc w:val="both"/>
        <w:rPr>
          <w:color w:val="000000" w:themeColor="text1"/>
          <w:sz w:val="16"/>
          <w:szCs w:val="16"/>
        </w:rPr>
      </w:pPr>
    </w:p>
    <w:p w14:paraId="3B3352A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Распоряжение ГКО № 8586 [О мерах по обеспечению стройматериалами строек и предприятий НКЧМ, НКЦМ, НКЭС, НКПС, НКУП и НКНП.] (7341, 2-3,4-14).</w:t>
      </w:r>
    </w:p>
    <w:p w14:paraId="3AF7561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AEA6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8587 О проведении работ по расчистке судовых ходов и восстановлению гидротехнических сооружений на р.р. Одер, Висла и каналах Восточной Пруссии. РГАНИР, Фонд ГКО, д. 417, лл. 15-17 (11012).</w:t>
      </w:r>
    </w:p>
    <w:p w14:paraId="703FA08F" w14:textId="77777777" w:rsidR="00665165" w:rsidRPr="00F90EAE" w:rsidRDefault="00665165" w:rsidP="00F90EAE">
      <w:pPr>
        <w:autoSpaceDE w:val="0"/>
        <w:autoSpaceDN w:val="0"/>
        <w:adjustRightInd w:val="0"/>
        <w:jc w:val="both"/>
        <w:rPr>
          <w:color w:val="000000" w:themeColor="text1"/>
          <w:sz w:val="16"/>
          <w:szCs w:val="16"/>
        </w:rPr>
      </w:pPr>
    </w:p>
    <w:p w14:paraId="53FF907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8588 О создании запасов угля на железных дорогах к зиме 1945-1946 гг. (7341, 18-19,20).</w:t>
      </w:r>
    </w:p>
    <w:p w14:paraId="0E565BF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21386D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8589 О материально-техническом обеспечении строительства железнодорожной линии Кировабад - Дашкесан. (7341, 21-24,25-28).</w:t>
      </w:r>
    </w:p>
    <w:p w14:paraId="6229046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9BC2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8590 О мероприятиях по строительству Орского и Красноводского импортных нефтеперерабатывающих заводов. РГАНИР, Фонд ГКО, д. 417, лл. 29-31, 32-33 (11012).</w:t>
      </w:r>
    </w:p>
    <w:p w14:paraId="247CFBF3" w14:textId="77777777" w:rsidR="00665165" w:rsidRPr="00F90EAE" w:rsidRDefault="00665165" w:rsidP="00F90EAE">
      <w:pPr>
        <w:autoSpaceDE w:val="0"/>
        <w:autoSpaceDN w:val="0"/>
        <w:adjustRightInd w:val="0"/>
        <w:jc w:val="both"/>
        <w:rPr>
          <w:color w:val="000000" w:themeColor="text1"/>
          <w:sz w:val="16"/>
          <w:szCs w:val="16"/>
        </w:rPr>
      </w:pPr>
    </w:p>
    <w:p w14:paraId="69DA64A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8591 О мероприятиях по обеспечению строительства железнодорожной линии к месторождению коксующихся углей Хальмер-Ю Северо-Печорской ж.д. (7341, 34-37,38-41).</w:t>
      </w:r>
    </w:p>
    <w:p w14:paraId="7A54508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FA240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8593 О вывозе 19 турбогенераторов общей мощностью 299 тысяч киловатт и 34 котлов с немецких электростанций в районе городов Дрезден и Шеттин, провода и изоляторов с линии электропередачи Вена-Силезия и другого оборудования на предприятия Наркомата электростанций. РГАНИР, Фонд ГКО, д. 417, лл. 87-90 (11012).</w:t>
      </w:r>
    </w:p>
    <w:p w14:paraId="5E92740D" w14:textId="77777777" w:rsidR="00665165" w:rsidRPr="00F90EAE" w:rsidRDefault="00665165" w:rsidP="00F90EAE">
      <w:pPr>
        <w:autoSpaceDE w:val="0"/>
        <w:autoSpaceDN w:val="0"/>
        <w:adjustRightInd w:val="0"/>
        <w:jc w:val="both"/>
        <w:rPr>
          <w:color w:val="000000" w:themeColor="text1"/>
          <w:sz w:val="16"/>
          <w:szCs w:val="16"/>
        </w:rPr>
      </w:pPr>
    </w:p>
    <w:p w14:paraId="337AF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8594 О вывозе 23 турбогенераторов мощностью 588 тысяч киловатт и 35 котлов с электростанций г. Берлин. РГАНИР, Фонд ГКО, д. 417, лл. 91-94 (11012).</w:t>
      </w:r>
    </w:p>
    <w:p w14:paraId="106E1ED7" w14:textId="77777777" w:rsidR="00665165" w:rsidRPr="00F90EAE" w:rsidRDefault="00665165" w:rsidP="00F90EAE">
      <w:pPr>
        <w:autoSpaceDE w:val="0"/>
        <w:autoSpaceDN w:val="0"/>
        <w:adjustRightInd w:val="0"/>
        <w:jc w:val="both"/>
        <w:rPr>
          <w:color w:val="000000" w:themeColor="text1"/>
          <w:sz w:val="16"/>
          <w:szCs w:val="16"/>
        </w:rPr>
      </w:pPr>
    </w:p>
    <w:p w14:paraId="6BA1C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8595 О вывозе оборудования и материалов с немецких заводов в районе г. Берлин на предприятия Наркомавиапрома. РГАНИР, Фонд ГКО, д. 417, лл. 95-96 (11012).</w:t>
      </w:r>
    </w:p>
    <w:p w14:paraId="389082B5" w14:textId="77777777" w:rsidR="00665165" w:rsidRPr="00F90EAE" w:rsidRDefault="00665165" w:rsidP="00F90EAE">
      <w:pPr>
        <w:autoSpaceDE w:val="0"/>
        <w:autoSpaceDN w:val="0"/>
        <w:adjustRightInd w:val="0"/>
        <w:jc w:val="both"/>
        <w:rPr>
          <w:color w:val="000000" w:themeColor="text1"/>
          <w:sz w:val="16"/>
          <w:szCs w:val="16"/>
        </w:rPr>
      </w:pPr>
    </w:p>
    <w:p w14:paraId="1AF33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8597 О вывозе оборудования с немецких машиностроительных заводов, расположенных в г. Берлин и его районах. РГАНИР, Фонд ГКО, д. 417, лл. 100-101 (11012).</w:t>
      </w:r>
    </w:p>
    <w:p w14:paraId="003A1272" w14:textId="77777777" w:rsidR="00665165" w:rsidRPr="00F90EAE" w:rsidRDefault="00665165" w:rsidP="00F90EAE">
      <w:pPr>
        <w:autoSpaceDE w:val="0"/>
        <w:autoSpaceDN w:val="0"/>
        <w:adjustRightInd w:val="0"/>
        <w:jc w:val="both"/>
        <w:rPr>
          <w:color w:val="000000" w:themeColor="text1"/>
          <w:sz w:val="16"/>
          <w:szCs w:val="16"/>
        </w:rPr>
      </w:pPr>
    </w:p>
    <w:p w14:paraId="4EE24B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8598 О вывозе оборудования с немецких станкостроительных заводов фирм "Людвиг Леве", "Кара Хассе Вреде" и станкостроительного завода "Фриц-Вернер" в г. Берлин. РГАНИР, Фонд ГКО, д. 417, лл. 102-103 (11012).</w:t>
      </w:r>
    </w:p>
    <w:p w14:paraId="5A8492A8" w14:textId="77777777" w:rsidR="00665165" w:rsidRPr="00F90EAE" w:rsidRDefault="00665165" w:rsidP="00F90EAE">
      <w:pPr>
        <w:autoSpaceDE w:val="0"/>
        <w:autoSpaceDN w:val="0"/>
        <w:adjustRightInd w:val="0"/>
        <w:jc w:val="both"/>
        <w:rPr>
          <w:color w:val="000000" w:themeColor="text1"/>
          <w:sz w:val="16"/>
          <w:szCs w:val="16"/>
        </w:rPr>
      </w:pPr>
    </w:p>
    <w:p w14:paraId="2AFB22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8599 О вывозе оборудования с берлинских заводов "Миттельдейтше Штальвальцверке", "Штальверке Индустри", фирмы "Гартух Якман" и фирмы "Каргер". РГАНИР, Фонд ГКО, д. 417, лл. 104-105 (11012).</w:t>
      </w:r>
    </w:p>
    <w:p w14:paraId="7F696E29" w14:textId="77777777" w:rsidR="00665165" w:rsidRPr="00F90EAE" w:rsidRDefault="00665165" w:rsidP="00F90EAE">
      <w:pPr>
        <w:autoSpaceDE w:val="0"/>
        <w:autoSpaceDN w:val="0"/>
        <w:adjustRightInd w:val="0"/>
        <w:jc w:val="both"/>
        <w:rPr>
          <w:color w:val="000000" w:themeColor="text1"/>
          <w:sz w:val="16"/>
          <w:szCs w:val="16"/>
        </w:rPr>
      </w:pPr>
    </w:p>
    <w:p w14:paraId="0AB40D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8600 О вывозе оборудования с завода по производству паровозных насосов и тормозов фирмы "Кнорр-Бремзе" и с кранового завода фирмы "Зейтлих", расположенных в г. Берлин. РГАНИР, Фонд ГКО, д. 417, лл. 106-107 (11012).</w:t>
      </w:r>
    </w:p>
    <w:p w14:paraId="3869B7E2" w14:textId="77777777" w:rsidR="00665165" w:rsidRPr="00F90EAE" w:rsidRDefault="00665165" w:rsidP="00F90EAE">
      <w:pPr>
        <w:autoSpaceDE w:val="0"/>
        <w:autoSpaceDN w:val="0"/>
        <w:adjustRightInd w:val="0"/>
        <w:jc w:val="both"/>
        <w:rPr>
          <w:color w:val="000000" w:themeColor="text1"/>
          <w:sz w:val="16"/>
          <w:szCs w:val="16"/>
        </w:rPr>
      </w:pPr>
    </w:p>
    <w:p w14:paraId="4AC038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8601 О вывозе оборудования и задела приборов управления артогнем и торпедной стрельбой с заводов фирм "Сименс Аппарате унд Машинен" и "Крайзель Герте" в г. Берлин. РГАНИР, Фонд ГКО, д. 417, лл. 108-109 (11012).</w:t>
      </w:r>
    </w:p>
    <w:p w14:paraId="4B4C6F44" w14:textId="77777777" w:rsidR="00665165" w:rsidRPr="00F90EAE" w:rsidRDefault="00665165" w:rsidP="00F90EAE">
      <w:pPr>
        <w:autoSpaceDE w:val="0"/>
        <w:autoSpaceDN w:val="0"/>
        <w:adjustRightInd w:val="0"/>
        <w:jc w:val="both"/>
        <w:rPr>
          <w:color w:val="000000" w:themeColor="text1"/>
          <w:sz w:val="16"/>
          <w:szCs w:val="16"/>
        </w:rPr>
      </w:pPr>
    </w:p>
    <w:p w14:paraId="4E5552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8602 О вывозе оборудования с немецких заводов, расположенных в районе г. Берлин на предприятия Наркомцветмета. РГАНИР, Фонд ГКО, д. 417, лл. 110-112 (11012).</w:t>
      </w:r>
    </w:p>
    <w:p w14:paraId="3A51A1EC" w14:textId="77777777" w:rsidR="00665165" w:rsidRPr="00F90EAE" w:rsidRDefault="00665165" w:rsidP="00F90EAE">
      <w:pPr>
        <w:autoSpaceDE w:val="0"/>
        <w:autoSpaceDN w:val="0"/>
        <w:adjustRightInd w:val="0"/>
        <w:jc w:val="both"/>
        <w:rPr>
          <w:color w:val="000000" w:themeColor="text1"/>
          <w:sz w:val="16"/>
          <w:szCs w:val="16"/>
        </w:rPr>
      </w:pPr>
    </w:p>
    <w:p w14:paraId="68BDA3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8603 О вывозе лабораторного оборудования и аппаратуры немецкого радиолокационного института фирмы "Гема" деревня Вальштадт (10 км юго-восточнее г. Лигниц). РГАНИР, Фонд ГКО, д. 417, лл. 113 (11012).</w:t>
      </w:r>
    </w:p>
    <w:p w14:paraId="4E4439EA" w14:textId="77777777" w:rsidR="00665165" w:rsidRPr="00F90EAE" w:rsidRDefault="00665165" w:rsidP="00F90EAE">
      <w:pPr>
        <w:autoSpaceDE w:val="0"/>
        <w:autoSpaceDN w:val="0"/>
        <w:adjustRightInd w:val="0"/>
        <w:jc w:val="both"/>
        <w:rPr>
          <w:color w:val="000000" w:themeColor="text1"/>
          <w:sz w:val="16"/>
          <w:szCs w:val="16"/>
        </w:rPr>
      </w:pPr>
    </w:p>
    <w:p w14:paraId="2A6E9D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8604 О вывозе опытных образцов немецких танковых дизельмоторов конструкции "Рудольф Валькер" из г. Вена. РГАНИР, Фонд ГКО, д. 417, лл. 114-115 (11012).</w:t>
      </w:r>
    </w:p>
    <w:p w14:paraId="70A3BD40" w14:textId="77777777" w:rsidR="00665165" w:rsidRPr="00F90EAE" w:rsidRDefault="00665165" w:rsidP="00F90EAE">
      <w:pPr>
        <w:autoSpaceDE w:val="0"/>
        <w:autoSpaceDN w:val="0"/>
        <w:adjustRightInd w:val="0"/>
        <w:jc w:val="both"/>
        <w:rPr>
          <w:color w:val="000000" w:themeColor="text1"/>
          <w:sz w:val="16"/>
          <w:szCs w:val="16"/>
        </w:rPr>
      </w:pPr>
    </w:p>
    <w:p w14:paraId="54A044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8605 О вывозе оборудования и специального судостроительного листового металла с судостроительных верфей в г. Штеттин. РГАНИР, Фонд ГКО, д. 417, лл. 116-117 (11012).</w:t>
      </w:r>
    </w:p>
    <w:p w14:paraId="236DCCF6" w14:textId="77777777" w:rsidR="00665165" w:rsidRPr="00F90EAE" w:rsidRDefault="00665165" w:rsidP="00F90EAE">
      <w:pPr>
        <w:autoSpaceDE w:val="0"/>
        <w:autoSpaceDN w:val="0"/>
        <w:adjustRightInd w:val="0"/>
        <w:jc w:val="both"/>
        <w:rPr>
          <w:color w:val="000000" w:themeColor="text1"/>
          <w:sz w:val="16"/>
          <w:szCs w:val="16"/>
        </w:rPr>
      </w:pPr>
    </w:p>
    <w:p w14:paraId="465CB8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8606 О вывозе оборудования по производству взрывателей к артиллерийским снарядам с немецкой фирмы акционерного общества "Пеллерми компания" в районе г. Нойштадт. РГАНИР, Фонд ГКО, д. 417, лл. 118 (11012).</w:t>
      </w:r>
    </w:p>
    <w:p w14:paraId="6E11B89C" w14:textId="77777777" w:rsidR="00665165" w:rsidRPr="00F90EAE" w:rsidRDefault="00665165" w:rsidP="00F90EAE">
      <w:pPr>
        <w:autoSpaceDE w:val="0"/>
        <w:autoSpaceDN w:val="0"/>
        <w:adjustRightInd w:val="0"/>
        <w:jc w:val="both"/>
        <w:rPr>
          <w:color w:val="000000" w:themeColor="text1"/>
          <w:sz w:val="16"/>
          <w:szCs w:val="16"/>
        </w:rPr>
      </w:pPr>
    </w:p>
    <w:p w14:paraId="38E42F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8607 О вывозе оборудования с немецких заводов на заводы Наркомсредмаша. РГАНИР, Фонд ГКО, д. 417, лл. 119-120, 121 (11012).</w:t>
      </w:r>
    </w:p>
    <w:p w14:paraId="2510AA70" w14:textId="77777777" w:rsidR="00665165" w:rsidRPr="00F90EAE" w:rsidRDefault="00665165" w:rsidP="00F90EAE">
      <w:pPr>
        <w:autoSpaceDE w:val="0"/>
        <w:autoSpaceDN w:val="0"/>
        <w:adjustRightInd w:val="0"/>
        <w:jc w:val="both"/>
        <w:rPr>
          <w:color w:val="000000" w:themeColor="text1"/>
          <w:sz w:val="16"/>
          <w:szCs w:val="16"/>
        </w:rPr>
      </w:pPr>
    </w:p>
    <w:p w14:paraId="0B675B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8608 О вывозе оборудования по обработке погона башен тяжелых танков с танкового завода фирмы "Рот Эрди" в г. Зорау. РГАНИР, Фонд ГКО, д. 417, лл. 122-123 (11012).</w:t>
      </w:r>
    </w:p>
    <w:p w14:paraId="17380FD9" w14:textId="77777777" w:rsidR="00665165" w:rsidRPr="00F90EAE" w:rsidRDefault="00665165" w:rsidP="00F90EAE">
      <w:pPr>
        <w:autoSpaceDE w:val="0"/>
        <w:autoSpaceDN w:val="0"/>
        <w:adjustRightInd w:val="0"/>
        <w:jc w:val="both"/>
        <w:rPr>
          <w:color w:val="000000" w:themeColor="text1"/>
          <w:sz w:val="16"/>
          <w:szCs w:val="16"/>
        </w:rPr>
      </w:pPr>
    </w:p>
    <w:p w14:paraId="5CC4C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8609 О вывозе оборудования завода динитрогликолевых порохов, расположенного у поселка Шейно города Форст. РГАНИР, Фонд ГКО, д. 417, лл. 124-125 (11012).</w:t>
      </w:r>
    </w:p>
    <w:p w14:paraId="03200284" w14:textId="77777777" w:rsidR="00665165" w:rsidRPr="00F90EAE" w:rsidRDefault="00665165" w:rsidP="00F90EAE">
      <w:pPr>
        <w:autoSpaceDE w:val="0"/>
        <w:autoSpaceDN w:val="0"/>
        <w:adjustRightInd w:val="0"/>
        <w:jc w:val="both"/>
        <w:rPr>
          <w:color w:val="000000" w:themeColor="text1"/>
          <w:sz w:val="16"/>
          <w:szCs w:val="16"/>
        </w:rPr>
      </w:pPr>
    </w:p>
    <w:p w14:paraId="7E0D43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8610 О вывозе из г. Берлин оборудования узла связи Ставки германского верховного командования и узла связи Генерального штаба германской армии. РГАНИР, Фонд ГКО, д. 417, лл. 126 (11012).</w:t>
      </w:r>
    </w:p>
    <w:p w14:paraId="5DEC95EF" w14:textId="77777777" w:rsidR="00665165" w:rsidRPr="00F90EAE" w:rsidRDefault="00665165" w:rsidP="00F90EAE">
      <w:pPr>
        <w:autoSpaceDE w:val="0"/>
        <w:autoSpaceDN w:val="0"/>
        <w:adjustRightInd w:val="0"/>
        <w:jc w:val="both"/>
        <w:rPr>
          <w:color w:val="000000" w:themeColor="text1"/>
          <w:sz w:val="16"/>
          <w:szCs w:val="16"/>
        </w:rPr>
      </w:pPr>
    </w:p>
    <w:p w14:paraId="5840CE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8611 О вывозе немецкого нефтяного оборудования со склада Венского порта. РГАНИР, Фонд ГКО, д. 417, лл. 127 (11012).</w:t>
      </w:r>
    </w:p>
    <w:p w14:paraId="493985C6" w14:textId="77777777" w:rsidR="00665165" w:rsidRPr="00F90EAE" w:rsidRDefault="00665165" w:rsidP="00F90EAE">
      <w:pPr>
        <w:autoSpaceDE w:val="0"/>
        <w:autoSpaceDN w:val="0"/>
        <w:adjustRightInd w:val="0"/>
        <w:jc w:val="both"/>
        <w:rPr>
          <w:color w:val="000000" w:themeColor="text1"/>
          <w:sz w:val="16"/>
          <w:szCs w:val="16"/>
        </w:rPr>
      </w:pPr>
    </w:p>
    <w:p w14:paraId="3ECDDB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8613 О вывозе оборудования и материалов с комбината по выработке синтетических нефтепродуктов в населенном пункте Эркнер (близ г. Ферпфельде). РГАНИР, Фонд ГКО, д. 417, лл. 129-130 (11012).</w:t>
      </w:r>
    </w:p>
    <w:p w14:paraId="7A674D38" w14:textId="77777777" w:rsidR="00665165" w:rsidRPr="00F90EAE" w:rsidRDefault="00665165" w:rsidP="00F90EAE">
      <w:pPr>
        <w:autoSpaceDE w:val="0"/>
        <w:autoSpaceDN w:val="0"/>
        <w:adjustRightInd w:val="0"/>
        <w:jc w:val="both"/>
        <w:rPr>
          <w:color w:val="000000" w:themeColor="text1"/>
          <w:sz w:val="16"/>
          <w:szCs w:val="16"/>
        </w:rPr>
      </w:pPr>
    </w:p>
    <w:p w14:paraId="680A43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8614 О вывозе оборудования с немецкой электростанции в г. Шнайдемюль с завода фирмы "Шлягенхоф" в г. Бельгард и со складов г. Зоненбург на предприятия Наркомнефти. РГАНИР, Фонд ГКО, д. 417, лл. 131-132 (11012).</w:t>
      </w:r>
    </w:p>
    <w:p w14:paraId="6CD6C218" w14:textId="77777777" w:rsidR="00665165" w:rsidRPr="00F90EAE" w:rsidRDefault="00665165" w:rsidP="00F90EAE">
      <w:pPr>
        <w:autoSpaceDE w:val="0"/>
        <w:autoSpaceDN w:val="0"/>
        <w:adjustRightInd w:val="0"/>
        <w:jc w:val="both"/>
        <w:rPr>
          <w:color w:val="000000" w:themeColor="text1"/>
          <w:sz w:val="16"/>
          <w:szCs w:val="16"/>
        </w:rPr>
      </w:pPr>
    </w:p>
    <w:p w14:paraId="05E0F1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16 мая 1945 вышло Постановление ГКО № 8615 О вывозе оборудования с электростанции мощностью 6 тысяч киловатт в г. Херцфельде. РГАНИР, Фонд ГКО, д. 417, лл. 133 (11012).</w:t>
      </w:r>
    </w:p>
    <w:p w14:paraId="219513A0" w14:textId="77777777" w:rsidR="00665165" w:rsidRPr="00F90EAE" w:rsidRDefault="00665165" w:rsidP="00F90EAE">
      <w:pPr>
        <w:autoSpaceDE w:val="0"/>
        <w:autoSpaceDN w:val="0"/>
        <w:adjustRightInd w:val="0"/>
        <w:jc w:val="both"/>
        <w:rPr>
          <w:color w:val="000000" w:themeColor="text1"/>
          <w:sz w:val="16"/>
          <w:szCs w:val="16"/>
        </w:rPr>
      </w:pPr>
    </w:p>
    <w:p w14:paraId="6F1EAB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8616 О вывозе оборудования с заводов электротехнической промышленности, расположенных в г. г. Берлин и Фюнстервальде, на заводы Наркомэлектропрома. РГАНИР, Фонд ГКО, д. 417, лл. 134-137 (11012).</w:t>
      </w:r>
    </w:p>
    <w:p w14:paraId="069322F4" w14:textId="77777777" w:rsidR="00665165" w:rsidRPr="00F90EAE" w:rsidRDefault="00665165" w:rsidP="00F90EAE">
      <w:pPr>
        <w:autoSpaceDE w:val="0"/>
        <w:autoSpaceDN w:val="0"/>
        <w:adjustRightInd w:val="0"/>
        <w:jc w:val="both"/>
        <w:rPr>
          <w:color w:val="000000" w:themeColor="text1"/>
          <w:sz w:val="16"/>
          <w:szCs w:val="16"/>
        </w:rPr>
      </w:pPr>
    </w:p>
    <w:p w14:paraId="55B09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8617 О вывозе оборудования с механического завода в г. Берлин, район Нейкелльн, Метропалайтен Бергштрассе на предприятия Наркомугля. РГАНИР, Фонд ГКО, д. 417, лл. 138-139 (11012).</w:t>
      </w:r>
    </w:p>
    <w:p w14:paraId="72F0FF1A" w14:textId="77777777" w:rsidR="00665165" w:rsidRPr="00F90EAE" w:rsidRDefault="00665165" w:rsidP="00F90EAE">
      <w:pPr>
        <w:autoSpaceDE w:val="0"/>
        <w:autoSpaceDN w:val="0"/>
        <w:adjustRightInd w:val="0"/>
        <w:jc w:val="both"/>
        <w:rPr>
          <w:color w:val="000000" w:themeColor="text1"/>
          <w:sz w:val="16"/>
          <w:szCs w:val="16"/>
        </w:rPr>
      </w:pPr>
    </w:p>
    <w:p w14:paraId="22778B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8618 О вывозе оборудования с немецкого станкостроительного завода фирмы "Нилес-Верке" в г. Берлин. РГАНИР, Фонд ГКО, д. 417, лл. 140-141 (11012).</w:t>
      </w:r>
    </w:p>
    <w:p w14:paraId="5F3514E0" w14:textId="77777777" w:rsidR="00665165" w:rsidRPr="00F90EAE" w:rsidRDefault="00665165" w:rsidP="00F90EAE">
      <w:pPr>
        <w:autoSpaceDE w:val="0"/>
        <w:autoSpaceDN w:val="0"/>
        <w:adjustRightInd w:val="0"/>
        <w:jc w:val="both"/>
        <w:rPr>
          <w:color w:val="000000" w:themeColor="text1"/>
          <w:sz w:val="16"/>
          <w:szCs w:val="16"/>
        </w:rPr>
      </w:pPr>
    </w:p>
    <w:p w14:paraId="126ED0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8619 О вывозе оборудования с судостроительной верфи "Нептун Верке" в г. Росток. РГАНИР, Фонд ГКО, д. 417, лл. 142-143 (11012).</w:t>
      </w:r>
    </w:p>
    <w:p w14:paraId="404988D8" w14:textId="77777777" w:rsidR="00665165" w:rsidRPr="00F90EAE" w:rsidRDefault="00665165" w:rsidP="00F90EAE">
      <w:pPr>
        <w:autoSpaceDE w:val="0"/>
        <w:autoSpaceDN w:val="0"/>
        <w:adjustRightInd w:val="0"/>
        <w:jc w:val="both"/>
        <w:rPr>
          <w:color w:val="000000" w:themeColor="text1"/>
          <w:sz w:val="16"/>
          <w:szCs w:val="16"/>
        </w:rPr>
      </w:pPr>
    </w:p>
    <w:p w14:paraId="60139F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8620 О вывозе оборудования с немецкого минно-торпедного завода фирмы "Юлиус Пинч" в г. Фюнстервальде. РГАНИР, Фонд ГКО, д. 417, лл. 144-145 (11012).</w:t>
      </w:r>
    </w:p>
    <w:p w14:paraId="6BCEAA4F" w14:textId="77777777" w:rsidR="00665165" w:rsidRPr="00F90EAE" w:rsidRDefault="00665165" w:rsidP="00F90EAE">
      <w:pPr>
        <w:autoSpaceDE w:val="0"/>
        <w:autoSpaceDN w:val="0"/>
        <w:adjustRightInd w:val="0"/>
        <w:jc w:val="both"/>
        <w:rPr>
          <w:color w:val="000000" w:themeColor="text1"/>
          <w:sz w:val="16"/>
          <w:szCs w:val="16"/>
        </w:rPr>
      </w:pPr>
    </w:p>
    <w:p w14:paraId="726889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8621 О вывозе в г. Москву лабораторного оборудования, физиологической и гигиенической аппаратуры и медицинских книг немецких институтов авиамедицины в г. г. Берлин и Адлерсдорф. РГАНИР, Фонд ГКО, д. 417, лл. 146-147 (11012).</w:t>
      </w:r>
    </w:p>
    <w:p w14:paraId="2F716241" w14:textId="77777777" w:rsidR="00665165" w:rsidRPr="00F90EAE" w:rsidRDefault="00665165" w:rsidP="00F90EAE">
      <w:pPr>
        <w:autoSpaceDE w:val="0"/>
        <w:autoSpaceDN w:val="0"/>
        <w:adjustRightInd w:val="0"/>
        <w:jc w:val="both"/>
        <w:rPr>
          <w:color w:val="000000" w:themeColor="text1"/>
          <w:sz w:val="16"/>
          <w:szCs w:val="16"/>
        </w:rPr>
      </w:pPr>
    </w:p>
    <w:p w14:paraId="2BD31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8622 О вывозе оборудования завода по изготовлению наркотических средств и глюкозы фирмы "Ридель и Хаен" и бактериологической станции фирмы "Азит" в г. Берлин. РГАНИР, Фонд ГКО, д. 417, лл. 148-149 (11012).</w:t>
      </w:r>
    </w:p>
    <w:p w14:paraId="5C852A32" w14:textId="77777777" w:rsidR="00665165" w:rsidRPr="00F90EAE" w:rsidRDefault="00665165" w:rsidP="00F90EAE">
      <w:pPr>
        <w:autoSpaceDE w:val="0"/>
        <w:autoSpaceDN w:val="0"/>
        <w:adjustRightInd w:val="0"/>
        <w:jc w:val="both"/>
        <w:rPr>
          <w:color w:val="000000" w:themeColor="text1"/>
          <w:sz w:val="16"/>
          <w:szCs w:val="16"/>
        </w:rPr>
      </w:pPr>
    </w:p>
    <w:p w14:paraId="7BB0A7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8623 О вывозе оборудования с немецкого завода "Карл Шипке" в г. Ратибор для Наркомстроя. РГАНИР, Фонд ГКО, д. 417, лл. 150 (11012).</w:t>
      </w:r>
    </w:p>
    <w:p w14:paraId="432791FB" w14:textId="77777777" w:rsidR="00665165" w:rsidRPr="00F90EAE" w:rsidRDefault="00665165" w:rsidP="00F90EAE">
      <w:pPr>
        <w:autoSpaceDE w:val="0"/>
        <w:autoSpaceDN w:val="0"/>
        <w:adjustRightInd w:val="0"/>
        <w:jc w:val="both"/>
        <w:rPr>
          <w:color w:val="000000" w:themeColor="text1"/>
          <w:sz w:val="16"/>
          <w:szCs w:val="16"/>
        </w:rPr>
      </w:pPr>
    </w:p>
    <w:p w14:paraId="601824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8624 О вывозе оборудования феррованадиевого производства с завода "Ферайнигте Алюминиумверке" в провинции Бранденбург. РГАНИР, Фонд ГКО, д. 417, лл. 151-152 (11012).</w:t>
      </w:r>
    </w:p>
    <w:p w14:paraId="19364B56" w14:textId="77777777" w:rsidR="00665165" w:rsidRPr="00F90EAE" w:rsidRDefault="00665165" w:rsidP="00F90EAE">
      <w:pPr>
        <w:autoSpaceDE w:val="0"/>
        <w:autoSpaceDN w:val="0"/>
        <w:adjustRightInd w:val="0"/>
        <w:jc w:val="both"/>
        <w:rPr>
          <w:color w:val="000000" w:themeColor="text1"/>
          <w:sz w:val="16"/>
          <w:szCs w:val="16"/>
        </w:rPr>
      </w:pPr>
    </w:p>
    <w:p w14:paraId="52F4EB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8625 О вывозе с завода фирмы "Дейче Муницион унд Ваффен" в пригороде г. Берлин - Витенау 1500 т алюминиевого сырья и 3000 т готовых алюминиевых изделий и с завода "Ферейнигте алюминиум Верке" в провинции Бранденб ург 3200 т алюминия и силумин. РГАНИР, Фонд ГКО, д. 417, лл. 153-154 (11012).</w:t>
      </w:r>
    </w:p>
    <w:p w14:paraId="18EDE088" w14:textId="77777777" w:rsidR="00665165" w:rsidRPr="00F90EAE" w:rsidRDefault="00665165" w:rsidP="00F90EAE">
      <w:pPr>
        <w:autoSpaceDE w:val="0"/>
        <w:autoSpaceDN w:val="0"/>
        <w:adjustRightInd w:val="0"/>
        <w:jc w:val="both"/>
        <w:rPr>
          <w:color w:val="000000" w:themeColor="text1"/>
          <w:sz w:val="16"/>
          <w:szCs w:val="16"/>
        </w:rPr>
      </w:pPr>
    </w:p>
    <w:p w14:paraId="78CB7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8626 О вывозе оборудования с прожекторного завода в г. Намслау и демонтированного химического оборудования и нефтезаводской аппаратуры со склада на станции Тарнау (17 км восточнее г. Оппельн). РГАНИР, Фонд ГКО, д. 417, лл. 155-156 (11012).</w:t>
      </w:r>
    </w:p>
    <w:p w14:paraId="31D6C230" w14:textId="77777777" w:rsidR="00665165" w:rsidRPr="00F90EAE" w:rsidRDefault="00665165" w:rsidP="00F90EAE">
      <w:pPr>
        <w:autoSpaceDE w:val="0"/>
        <w:autoSpaceDN w:val="0"/>
        <w:adjustRightInd w:val="0"/>
        <w:jc w:val="both"/>
        <w:rPr>
          <w:color w:val="000000" w:themeColor="text1"/>
          <w:sz w:val="16"/>
          <w:szCs w:val="16"/>
        </w:rPr>
      </w:pPr>
    </w:p>
    <w:p w14:paraId="16E46D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8627 О вывозе оборудования с завода по изготовлению металлических электродов для электросварки фирмы "Агил-Хемол" из г. Берлин для Наркомстроя. РГАНИР, Фонд ГКО, д. 417, лл. 157-158 (11012).</w:t>
      </w:r>
    </w:p>
    <w:p w14:paraId="544D6F55" w14:textId="77777777" w:rsidR="00665165" w:rsidRPr="00F90EAE" w:rsidRDefault="00665165" w:rsidP="00F90EAE">
      <w:pPr>
        <w:autoSpaceDE w:val="0"/>
        <w:autoSpaceDN w:val="0"/>
        <w:adjustRightInd w:val="0"/>
        <w:jc w:val="both"/>
        <w:rPr>
          <w:color w:val="000000" w:themeColor="text1"/>
          <w:sz w:val="16"/>
          <w:szCs w:val="16"/>
        </w:rPr>
      </w:pPr>
    </w:p>
    <w:p w14:paraId="39B4E7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8628 О вывозе трофейного оборудования связи из г. г. Кезлина, Штеттина и Франкфурт-на-Одере. РГАНИР, Фонд ГКО, д. 417, лл. 159-160 (11012).</w:t>
      </w:r>
    </w:p>
    <w:p w14:paraId="6C154DE9" w14:textId="77777777" w:rsidR="00665165" w:rsidRPr="00F90EAE" w:rsidRDefault="00665165" w:rsidP="00F90EAE">
      <w:pPr>
        <w:autoSpaceDE w:val="0"/>
        <w:autoSpaceDN w:val="0"/>
        <w:adjustRightInd w:val="0"/>
        <w:jc w:val="both"/>
        <w:rPr>
          <w:color w:val="000000" w:themeColor="text1"/>
          <w:sz w:val="16"/>
          <w:szCs w:val="16"/>
        </w:rPr>
      </w:pPr>
    </w:p>
    <w:p w14:paraId="085AD61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8629 О выводе оборудования с немецких предприятий в г. Ратибор (Силезия) на заводы НКПС. (7341, 161-162).</w:t>
      </w:r>
    </w:p>
    <w:p w14:paraId="1FD2E56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8B66B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8630 О вывозе оборудования, аппаратуры и материалов немецкой киностудии УФА в г. Берлин. РГАНИР, Фонд ГКО, д. 417, лл. 163-164 (11012).</w:t>
      </w:r>
    </w:p>
    <w:p w14:paraId="093CFB6C" w14:textId="77777777" w:rsidR="00665165" w:rsidRPr="00F90EAE" w:rsidRDefault="00665165" w:rsidP="00F90EAE">
      <w:pPr>
        <w:autoSpaceDE w:val="0"/>
        <w:autoSpaceDN w:val="0"/>
        <w:adjustRightInd w:val="0"/>
        <w:jc w:val="both"/>
        <w:rPr>
          <w:color w:val="000000" w:themeColor="text1"/>
          <w:sz w:val="16"/>
          <w:szCs w:val="16"/>
        </w:rPr>
      </w:pPr>
    </w:p>
    <w:p w14:paraId="03862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8631 О вывозе полиграфического оборудования с немецких типографий Германии. РГАНИР, Фонд ГКО, д. 417, лл. 165-167 (11012).</w:t>
      </w:r>
    </w:p>
    <w:p w14:paraId="4C75E15A" w14:textId="77777777" w:rsidR="00665165" w:rsidRPr="00F90EAE" w:rsidRDefault="00665165" w:rsidP="00F90EAE">
      <w:pPr>
        <w:autoSpaceDE w:val="0"/>
        <w:autoSpaceDN w:val="0"/>
        <w:adjustRightInd w:val="0"/>
        <w:jc w:val="both"/>
        <w:rPr>
          <w:color w:val="000000" w:themeColor="text1"/>
          <w:sz w:val="16"/>
          <w:szCs w:val="16"/>
        </w:rPr>
      </w:pPr>
    </w:p>
    <w:p w14:paraId="615328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8632 О вывозе электрооборудования, кабельных изделий и электроматериалов со складов трофейного имущества. РГАНИР, Фонд ГКО, д. 417, лл. 168-169 (11012).</w:t>
      </w:r>
    </w:p>
    <w:p w14:paraId="4E519BB6" w14:textId="77777777" w:rsidR="00665165" w:rsidRPr="00F90EAE" w:rsidRDefault="00665165" w:rsidP="00F90EAE">
      <w:pPr>
        <w:autoSpaceDE w:val="0"/>
        <w:autoSpaceDN w:val="0"/>
        <w:adjustRightInd w:val="0"/>
        <w:jc w:val="both"/>
        <w:rPr>
          <w:color w:val="000000" w:themeColor="text1"/>
          <w:sz w:val="16"/>
          <w:szCs w:val="16"/>
        </w:rPr>
      </w:pPr>
    </w:p>
    <w:p w14:paraId="2BCF81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8633 О вывозе части оборудования химкомбинатов в г. г. Хайдебрек и Осьвенцим на Сталиногорский азотно-туковый завод и Славянский содовый завод. РГАНИР, Фонд ГКО, д. 417, лл. 170 (11012).</w:t>
      </w:r>
    </w:p>
    <w:p w14:paraId="52A39EDC" w14:textId="77777777" w:rsidR="00665165" w:rsidRPr="00F90EAE" w:rsidRDefault="00665165" w:rsidP="00F90EAE">
      <w:pPr>
        <w:autoSpaceDE w:val="0"/>
        <w:autoSpaceDN w:val="0"/>
        <w:adjustRightInd w:val="0"/>
        <w:jc w:val="both"/>
        <w:rPr>
          <w:color w:val="000000" w:themeColor="text1"/>
          <w:sz w:val="16"/>
          <w:szCs w:val="16"/>
        </w:rPr>
      </w:pPr>
    </w:p>
    <w:p w14:paraId="6A124D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8634 О вывозе оборудования с немецких молоко и мясоперерабатывающих заводов в Восточной Пруссии и Померании. РГАНИР, Фонд ГКО, д. 417, лл. 171, 172-174 (11012).</w:t>
      </w:r>
    </w:p>
    <w:p w14:paraId="5B2DE044" w14:textId="77777777" w:rsidR="00665165" w:rsidRPr="00F90EAE" w:rsidRDefault="00665165" w:rsidP="00F90EAE">
      <w:pPr>
        <w:autoSpaceDE w:val="0"/>
        <w:autoSpaceDN w:val="0"/>
        <w:adjustRightInd w:val="0"/>
        <w:jc w:val="both"/>
        <w:rPr>
          <w:color w:val="000000" w:themeColor="text1"/>
          <w:sz w:val="16"/>
          <w:szCs w:val="16"/>
        </w:rPr>
      </w:pPr>
    </w:p>
    <w:p w14:paraId="0A016C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8635 О вывозе материалов и оборудования с немецких предприятий легкой промышленности. РГАНИР, Фонд ГКО, д. 417, лл. 175-176, 177 (11012).</w:t>
      </w:r>
    </w:p>
    <w:p w14:paraId="73ABE4CD" w14:textId="77777777" w:rsidR="00665165" w:rsidRPr="00F90EAE" w:rsidRDefault="00665165" w:rsidP="00F90EAE">
      <w:pPr>
        <w:autoSpaceDE w:val="0"/>
        <w:autoSpaceDN w:val="0"/>
        <w:adjustRightInd w:val="0"/>
        <w:jc w:val="both"/>
        <w:rPr>
          <w:color w:val="000000" w:themeColor="text1"/>
          <w:sz w:val="16"/>
          <w:szCs w:val="16"/>
        </w:rPr>
      </w:pPr>
    </w:p>
    <w:p w14:paraId="24759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8636 О переводе трофейного технического флота из немецких портов в г. г. Люгенвельде, Токельмюнде, Гроссендорф и Штокельмюнде в город Таллин. РГАНИР, Фонд ГКО, д. 417, лл. 178 (11012).</w:t>
      </w:r>
    </w:p>
    <w:p w14:paraId="4DC20DA9" w14:textId="77777777" w:rsidR="00665165" w:rsidRPr="00F90EAE" w:rsidRDefault="00665165" w:rsidP="00F90EAE">
      <w:pPr>
        <w:autoSpaceDE w:val="0"/>
        <w:autoSpaceDN w:val="0"/>
        <w:adjustRightInd w:val="0"/>
        <w:jc w:val="both"/>
        <w:rPr>
          <w:color w:val="000000" w:themeColor="text1"/>
          <w:sz w:val="16"/>
          <w:szCs w:val="16"/>
        </w:rPr>
      </w:pPr>
    </w:p>
    <w:p w14:paraId="2892F6A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8637 О разборке узкоколейных железнодорожных линий на территории Померании и Силезии. (7341, 179-180,181-185).</w:t>
      </w:r>
    </w:p>
    <w:p w14:paraId="290CE12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E2634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8638 О вывозе в резерв оборудования с немецких предприятий для создания машиностроительных и ремонтных баз в немашиностроительных наркоматах. РГАНИР, Фонд ГКО, д. 417, лл. 186-187 (11012).</w:t>
      </w:r>
    </w:p>
    <w:p w14:paraId="4AA7372D" w14:textId="77777777" w:rsidR="00665165" w:rsidRPr="00F90EAE" w:rsidRDefault="00665165" w:rsidP="00F90EAE">
      <w:pPr>
        <w:autoSpaceDE w:val="0"/>
        <w:autoSpaceDN w:val="0"/>
        <w:adjustRightInd w:val="0"/>
        <w:jc w:val="both"/>
        <w:rPr>
          <w:color w:val="000000" w:themeColor="text1"/>
          <w:sz w:val="16"/>
          <w:szCs w:val="16"/>
        </w:rPr>
      </w:pPr>
    </w:p>
    <w:p w14:paraId="0BFCA7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8639 О вывозе немецкого механического оборудования на Особую базу № 1. РГАНИР, Фонд ГКО, д. 417, лл. 188 (11012).</w:t>
      </w:r>
    </w:p>
    <w:p w14:paraId="76B546EE" w14:textId="77777777" w:rsidR="00665165" w:rsidRPr="00F90EAE" w:rsidRDefault="00665165" w:rsidP="00F90EAE">
      <w:pPr>
        <w:autoSpaceDE w:val="0"/>
        <w:autoSpaceDN w:val="0"/>
        <w:adjustRightInd w:val="0"/>
        <w:jc w:val="both"/>
        <w:rPr>
          <w:color w:val="000000" w:themeColor="text1"/>
          <w:sz w:val="16"/>
          <w:szCs w:val="16"/>
        </w:rPr>
      </w:pPr>
    </w:p>
    <w:p w14:paraId="236F0F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8640 О вывозе оборудования и готовой продукции с фабрики по изготовлению резиновых хирургических, технических и других изделий акционерного общества "С. Мюллер" в районе г. Берлин - Вейсензее. РГАНИР, Фонд ГКО, д. 417, лл. 189 (11012).</w:t>
      </w:r>
    </w:p>
    <w:p w14:paraId="76BED2C3" w14:textId="77777777" w:rsidR="00665165" w:rsidRPr="00F90EAE" w:rsidRDefault="00665165" w:rsidP="00F90EAE">
      <w:pPr>
        <w:autoSpaceDE w:val="0"/>
        <w:autoSpaceDN w:val="0"/>
        <w:adjustRightInd w:val="0"/>
        <w:jc w:val="both"/>
        <w:rPr>
          <w:color w:val="000000" w:themeColor="text1"/>
          <w:sz w:val="16"/>
          <w:szCs w:val="16"/>
        </w:rPr>
      </w:pPr>
    </w:p>
    <w:p w14:paraId="11A87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8641 О неудовлетворительном вывозе оборудования с заводов по производству синтетического жидкого топлива в Блейхгамер и Одерталь. РГАНИР, Фонд ГКО, д. 417, лл. 190 (11012).</w:t>
      </w:r>
    </w:p>
    <w:p w14:paraId="07D4F8E3" w14:textId="77777777" w:rsidR="00665165" w:rsidRPr="00F90EAE" w:rsidRDefault="00665165" w:rsidP="00F90EAE">
      <w:pPr>
        <w:autoSpaceDE w:val="0"/>
        <w:autoSpaceDN w:val="0"/>
        <w:adjustRightInd w:val="0"/>
        <w:jc w:val="both"/>
        <w:rPr>
          <w:color w:val="000000" w:themeColor="text1"/>
          <w:sz w:val="16"/>
          <w:szCs w:val="16"/>
        </w:rPr>
      </w:pPr>
    </w:p>
    <w:p w14:paraId="105CE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8642 О вывозе оборудования с немецких заводов г. Берлин на заводы Наркомместпрома, Наркомавтотранспорта и Наркомхоза РСФСР. РГАНИР, Фонд ГКО, д. 417, лл. 191-193 (11012).</w:t>
      </w:r>
    </w:p>
    <w:p w14:paraId="565CA2CC" w14:textId="77777777" w:rsidR="00665165" w:rsidRPr="00F90EAE" w:rsidRDefault="00665165" w:rsidP="00F90EAE">
      <w:pPr>
        <w:autoSpaceDE w:val="0"/>
        <w:autoSpaceDN w:val="0"/>
        <w:adjustRightInd w:val="0"/>
        <w:jc w:val="both"/>
        <w:rPr>
          <w:color w:val="000000" w:themeColor="text1"/>
          <w:sz w:val="16"/>
          <w:szCs w:val="16"/>
        </w:rPr>
      </w:pPr>
    </w:p>
    <w:p w14:paraId="3ADE41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8643 О вывозе радиоприемников с фронтовых складов Трофейного управления Красной Армии. РГАНИР, Фонд ГКО, д. 417, лл. 194-195, 196 (11012).</w:t>
      </w:r>
    </w:p>
    <w:p w14:paraId="7B84B493" w14:textId="77777777" w:rsidR="00665165" w:rsidRPr="00F90EAE" w:rsidRDefault="00665165" w:rsidP="00F90EAE">
      <w:pPr>
        <w:autoSpaceDE w:val="0"/>
        <w:autoSpaceDN w:val="0"/>
        <w:adjustRightInd w:val="0"/>
        <w:jc w:val="both"/>
        <w:rPr>
          <w:color w:val="000000" w:themeColor="text1"/>
          <w:sz w:val="16"/>
          <w:szCs w:val="16"/>
        </w:rPr>
      </w:pPr>
    </w:p>
    <w:p w14:paraId="2D1078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16 мая 1945 вышло Постановление ГКО № 8644 О вывозе оборудования научно-испытательного полигона ВВС Германии в г. Рехлин. РГАНИР, Фонд ГКО, д. 417, лл. 197 (11012).</w:t>
      </w:r>
    </w:p>
    <w:p w14:paraId="6BDCF588" w14:textId="77777777" w:rsidR="00665165" w:rsidRPr="00F90EAE" w:rsidRDefault="00665165" w:rsidP="00F90EAE">
      <w:pPr>
        <w:autoSpaceDE w:val="0"/>
        <w:autoSpaceDN w:val="0"/>
        <w:adjustRightInd w:val="0"/>
        <w:jc w:val="both"/>
        <w:rPr>
          <w:color w:val="000000" w:themeColor="text1"/>
          <w:sz w:val="16"/>
          <w:szCs w:val="16"/>
        </w:rPr>
      </w:pPr>
    </w:p>
    <w:p w14:paraId="16C44C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8645 О частичных изменениях в постановлениях ГОКО о вывозе оборудования немецких заводов с территории Польши. РГАНИР, Фонд ГКО, д. 417, лл. 198-200 (11012).</w:t>
      </w:r>
    </w:p>
    <w:p w14:paraId="03A6936D" w14:textId="77777777" w:rsidR="00665165" w:rsidRPr="00F90EAE" w:rsidRDefault="00665165" w:rsidP="00F90EAE">
      <w:pPr>
        <w:autoSpaceDE w:val="0"/>
        <w:autoSpaceDN w:val="0"/>
        <w:adjustRightInd w:val="0"/>
        <w:jc w:val="both"/>
        <w:rPr>
          <w:color w:val="000000" w:themeColor="text1"/>
          <w:sz w:val="16"/>
          <w:szCs w:val="16"/>
        </w:rPr>
      </w:pPr>
    </w:p>
    <w:p w14:paraId="28726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8647 О вывозе оборудования с немецких заводов строительных материалов в г. г. Краугивиц, Жилен, Херцфельде, Рюдерсдорф, Эльбинг, Мариенбург, Дейч-Айлау, Кенигсберг и Дренхфурт на заводы Наркомстройматериалов С ССР. РГАНИР, Фонд ГКО, д. 418, лл. 3-5, 6 (11012).</w:t>
      </w:r>
    </w:p>
    <w:p w14:paraId="47738F65" w14:textId="77777777" w:rsidR="00665165" w:rsidRPr="00F90EAE" w:rsidRDefault="00665165" w:rsidP="00F90EAE">
      <w:pPr>
        <w:autoSpaceDE w:val="0"/>
        <w:autoSpaceDN w:val="0"/>
        <w:adjustRightInd w:val="0"/>
        <w:jc w:val="both"/>
        <w:rPr>
          <w:color w:val="000000" w:themeColor="text1"/>
          <w:sz w:val="16"/>
          <w:szCs w:val="16"/>
        </w:rPr>
      </w:pPr>
    </w:p>
    <w:p w14:paraId="3750FA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8648 О вывозе оборудования с немецких текстильных предприятий. РГАНИР, Фонд ГКО, д. 418, лл. 7-8 (11012).</w:t>
      </w:r>
    </w:p>
    <w:p w14:paraId="38A2D354" w14:textId="77777777" w:rsidR="00665165" w:rsidRPr="00F90EAE" w:rsidRDefault="00665165" w:rsidP="00F90EAE">
      <w:pPr>
        <w:autoSpaceDE w:val="0"/>
        <w:autoSpaceDN w:val="0"/>
        <w:adjustRightInd w:val="0"/>
        <w:jc w:val="both"/>
        <w:rPr>
          <w:color w:val="000000" w:themeColor="text1"/>
          <w:sz w:val="16"/>
          <w:szCs w:val="16"/>
        </w:rPr>
      </w:pPr>
    </w:p>
    <w:p w14:paraId="59920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вышло Постановление ГКО № 8649 О перегоне неиспользуемых фронтами трофейных лошадей с территории Германии в районы Советского Союза, освобожденные от немецкой оккупации и передаче этих лошадей колхозам. РГАНИР, Фонд ГКО, д. 418, лл. 9-11, 12-13 (11012).</w:t>
      </w:r>
    </w:p>
    <w:p w14:paraId="513596A8" w14:textId="77777777" w:rsidR="00665165" w:rsidRPr="00F90EAE" w:rsidRDefault="00665165" w:rsidP="00F90EAE">
      <w:pPr>
        <w:autoSpaceDE w:val="0"/>
        <w:autoSpaceDN w:val="0"/>
        <w:adjustRightInd w:val="0"/>
        <w:jc w:val="both"/>
        <w:rPr>
          <w:color w:val="000000" w:themeColor="text1"/>
          <w:sz w:val="16"/>
          <w:szCs w:val="16"/>
        </w:rPr>
      </w:pPr>
    </w:p>
    <w:p w14:paraId="0FE1913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B8D7B58" w14:textId="77777777" w:rsidR="00665165" w:rsidRPr="00F90EAE" w:rsidRDefault="00665165" w:rsidP="00F90EAE">
      <w:pPr>
        <w:autoSpaceDE w:val="0"/>
        <w:autoSpaceDN w:val="0"/>
        <w:adjustRightInd w:val="0"/>
        <w:jc w:val="both"/>
        <w:rPr>
          <w:iCs/>
          <w:color w:val="000000" w:themeColor="text1"/>
          <w:sz w:val="16"/>
          <w:szCs w:val="16"/>
        </w:rPr>
      </w:pPr>
    </w:p>
    <w:p w14:paraId="5DC1C2E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опубликована последняя оперативная сводка Советского Информбюро (4962).</w:t>
      </w:r>
    </w:p>
    <w:p w14:paraId="6D5FBD6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CF251A5"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самый удачливый ас третьего рейха Эрих Хартман (сбил 352 самолета), сдавшийся в плен американцам, передается ими советским оккупационным властям. Проведя 10 лет в лагере для военнопленных, Хартман будет освобожден. В 1959 он вступит во вновь созданные ВВС ФРГ и будет командовать 71-м полком истребительной авиации (14893).</w:t>
      </w:r>
    </w:p>
    <w:p w14:paraId="4732DB04" w14:textId="77777777" w:rsidR="00681972" w:rsidRPr="00F90EAE" w:rsidRDefault="00681972" w:rsidP="00F90EAE">
      <w:pPr>
        <w:jc w:val="both"/>
        <w:rPr>
          <w:color w:val="000000" w:themeColor="text1"/>
          <w:sz w:val="16"/>
          <w:szCs w:val="16"/>
        </w:rPr>
      </w:pPr>
    </w:p>
    <w:p w14:paraId="05090B8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70B5903" w14:textId="77777777" w:rsidR="00665165" w:rsidRPr="00F90EAE" w:rsidRDefault="00665165" w:rsidP="00F90EAE">
      <w:pPr>
        <w:autoSpaceDE w:val="0"/>
        <w:autoSpaceDN w:val="0"/>
        <w:adjustRightInd w:val="0"/>
        <w:jc w:val="both"/>
        <w:rPr>
          <w:iCs/>
          <w:color w:val="000000" w:themeColor="text1"/>
          <w:sz w:val="16"/>
          <w:szCs w:val="16"/>
        </w:rPr>
      </w:pPr>
    </w:p>
    <w:p w14:paraId="19629951"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из информации НКВД "О политических настроениях трудящихся": "В связи с началом мирной жизни среди трудящихся появились разговоры о необходимости перехода на 8-часовой рабочий день, об отмене военного налога, создании лучших материально-бытовых условий в смысле снабжения продуктами питания и товарами широкого потребления" (14893).</w:t>
      </w:r>
    </w:p>
    <w:p w14:paraId="76A06801" w14:textId="77777777" w:rsidR="00681972" w:rsidRPr="00F90EAE" w:rsidRDefault="00681972" w:rsidP="00F90EAE">
      <w:pPr>
        <w:jc w:val="both"/>
        <w:rPr>
          <w:color w:val="000000" w:themeColor="text1"/>
          <w:sz w:val="16"/>
          <w:szCs w:val="16"/>
        </w:rPr>
      </w:pPr>
    </w:p>
    <w:p w14:paraId="02C2D5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Берия направил на имя Сталина сразу два ходатайства:</w:t>
      </w:r>
    </w:p>
    <w:p w14:paraId="077E4E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НКВД СССР Правительством возложено строительство и эксплуатация ряда горных и металлургических предприятий: Норильского комбината, добывающего никель, медь, платину, уголь; Печорского угольного бассейна, Тырны-Аузского и Джидинского вольфрамо-молибденовых комбинатов, Донских хромовых рудников в Актюбинской области, Волчанских угольных разрезов на Северном Урале. За период 1943-1944 гг. перечисленные предприятия значительно увеличили выпуск продукции и ввели крупные дополнительные мощности:</w:t>
      </w:r>
    </w:p>
    <w:p w14:paraId="13864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Норильский комбинат увеличил выпуск никеля с 500 тонн в 1942 году до 3.850 тонн в 1944 году, выплавку меди с 450 тонн до 3.610 тонн, добычу угля с 475 тысяч тонн до 690 тысяч тонн;</w:t>
      </w:r>
    </w:p>
    <w:p w14:paraId="20F782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Печорский угольный бассейн увеличил добычу угля с 757 тысяч тонн в 1942 году до 2.554 тысяч тонн в 1944 году;</w:t>
      </w:r>
    </w:p>
    <w:p w14:paraId="5264A3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добыча хромовой руды на Донских рудниках возросла с 220 тысяч тонн до 300 тысяч тонн;</w:t>
      </w:r>
    </w:p>
    <w:p w14:paraId="79DF7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в декабре 1944 года закончен строительством и сдан в эксплуатацию Волчанский угольный разрез на Северном Урале мощностью 2 млн. тонн угля в год;</w:t>
      </w:r>
    </w:p>
    <w:p w14:paraId="0C6627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в январе 1945 года вступил в эксплуатацию восстановленный Тырны-Аузский вольфрамово-молибденовый комбинат мощностью 1.000 тонн концентратов в год, взорванный и полностью разрушенный при немецкой оккупации (7560).</w:t>
      </w:r>
    </w:p>
    <w:p w14:paraId="460C80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 1944 года выполнен:</w:t>
      </w:r>
    </w:p>
    <w:p w14:paraId="68BD81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Норильским комбинатом НКВД по добыче никеля на 110%, по добыче меди на 103%, по добыче платины на 105%;</w:t>
      </w:r>
    </w:p>
    <w:p w14:paraId="490F24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Печорским угольным бассейном по добыче угля на 103% (7560).</w:t>
      </w:r>
    </w:p>
    <w:p w14:paraId="64F843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НКВД СССР ходатайствует о награждении лучших работников горных и металлургических предприятий НКВД СССР орденами и медалями СССР” (7560).</w:t>
      </w:r>
    </w:p>
    <w:p w14:paraId="233224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“ГКО возложил на НКВД СССР строительство крупнейших заводов черной и цветной металлургии: Тагильского металлургического завода с Высокогорским и Горноблагодатским рудниками, Челябинского металлургического завода с Бакальскими рудниками, Актюбинского ферросплавного завода с Донскими хромовыми рудниками, Закавказского металлургического завода с Дашкесанскими рудниками, Богословского алюминиевого и глиноземного заводов с собственной мощной электростанцией (7560).</w:t>
      </w:r>
    </w:p>
    <w:p w14:paraId="55ABE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1943 - 1944 гг. на упомянутых стройках выполнен объем работ на 960 млн. рублей, сделано земляных работ - 6900 тыс. кбм, бетонных и железобетонных - 400 тыс. кбм., кирпичной и блочной кладки - 225 тыс. кбм., выстроено ж. д. путей - 250 километров, смонтировано металлоконструкций - 65 тыс. тонн (7560).</w:t>
      </w:r>
    </w:p>
    <w:p w14:paraId="3DFCBA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тот же срок введены в действие в Тагиле, Челябинске, Актюбинске и Богослове следующие новые мощности: по агломерации железных руд - 1.700 тыс. тонн (4 аглоленты), выжигу кокса - 1.740 тыс. тонн (4 коксовых батареи), выплавке чугуна - 1.080 тыс. тонн (3 доменных печи), выплавке стали - 300 тыс. тонн (2 мартеновских и 5 электропечей), прокат - 272 тыс. тонн (2 сортовых и 1 бандажный стан), феррохрому - 50 тыс. тонн (7 электропечей), глинозему - 50 тыс. тонн, электроэнергии - 152 тыс. квт (6 турбогенераторов) (7560).</w:t>
      </w:r>
    </w:p>
    <w:p w14:paraId="237D64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первом полугодии 1945 года полностью заканчивается строительство Актюбинского ферросплавного комбината. В апреле 1945 года Богословский алюминиевый завод выпустит металлический алюминий (7560).</w:t>
      </w:r>
    </w:p>
    <w:p w14:paraId="1C8534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НКВД СССР ходатайствует о награждении орденами и медалями СССР лучших работников перечисленных строек черной и цветной металлургии НКВД СССР” (7560).</w:t>
      </w:r>
    </w:p>
    <w:p w14:paraId="3D2F8C99" w14:textId="77777777" w:rsidR="00665165" w:rsidRPr="00F90EAE" w:rsidRDefault="00665165" w:rsidP="00F90EAE">
      <w:pPr>
        <w:autoSpaceDE w:val="0"/>
        <w:autoSpaceDN w:val="0"/>
        <w:adjustRightInd w:val="0"/>
        <w:jc w:val="both"/>
        <w:rPr>
          <w:color w:val="000000" w:themeColor="text1"/>
          <w:sz w:val="16"/>
          <w:szCs w:val="16"/>
        </w:rPr>
      </w:pPr>
    </w:p>
    <w:p w14:paraId="643192C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CD9149D" w14:textId="77777777" w:rsidR="00665165" w:rsidRPr="00F90EAE" w:rsidRDefault="00665165" w:rsidP="00F90EAE">
      <w:pPr>
        <w:autoSpaceDE w:val="0"/>
        <w:autoSpaceDN w:val="0"/>
        <w:adjustRightInd w:val="0"/>
        <w:jc w:val="both"/>
        <w:rPr>
          <w:iCs/>
          <w:color w:val="000000" w:themeColor="text1"/>
          <w:sz w:val="16"/>
          <w:szCs w:val="16"/>
        </w:rPr>
      </w:pPr>
    </w:p>
    <w:p w14:paraId="0EF8C4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 мая 1945 Вена. К.Реннер направил послание И.Сталину с выражением благодарности Красной Армии в деле "восстановления австрийской государственности" (7444).</w:t>
      </w:r>
    </w:p>
    <w:p w14:paraId="78A83FB1" w14:textId="77777777" w:rsidR="00665165" w:rsidRPr="00F90EAE" w:rsidRDefault="00665165" w:rsidP="00F90EAE">
      <w:pPr>
        <w:autoSpaceDE w:val="0"/>
        <w:autoSpaceDN w:val="0"/>
        <w:adjustRightInd w:val="0"/>
        <w:jc w:val="both"/>
        <w:rPr>
          <w:color w:val="000000" w:themeColor="text1"/>
          <w:sz w:val="16"/>
          <w:szCs w:val="16"/>
        </w:rPr>
      </w:pPr>
    </w:p>
    <w:p w14:paraId="69A069F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A0D8AD5" w14:textId="77777777" w:rsidR="00665165" w:rsidRPr="00F90EAE" w:rsidRDefault="00665165" w:rsidP="00F90EAE">
      <w:pPr>
        <w:autoSpaceDE w:val="0"/>
        <w:autoSpaceDN w:val="0"/>
        <w:adjustRightInd w:val="0"/>
        <w:jc w:val="both"/>
        <w:rPr>
          <w:iCs/>
          <w:color w:val="000000" w:themeColor="text1"/>
          <w:sz w:val="16"/>
          <w:szCs w:val="16"/>
        </w:rPr>
      </w:pPr>
    </w:p>
    <w:p w14:paraId="0493FB61"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вступает в силу соглашение между Данией и США, заключенное еще в 1941, об обороне датской колонии Гренландия, по которому США получают право строить там военные базы, а американские военные корабли и самолеты право беспрепятственного доступа (14893).</w:t>
      </w:r>
    </w:p>
    <w:p w14:paraId="3C1F5E3A" w14:textId="77777777" w:rsidR="00681972" w:rsidRPr="00F90EAE" w:rsidRDefault="00681972" w:rsidP="00F90EAE">
      <w:pPr>
        <w:jc w:val="both"/>
        <w:rPr>
          <w:color w:val="000000" w:themeColor="text1"/>
          <w:sz w:val="16"/>
          <w:szCs w:val="16"/>
        </w:rPr>
      </w:pPr>
    </w:p>
    <w:p w14:paraId="1A6EB46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мая 1945 капитулировал немецкий гарнизон о. Борнхольм (Дания) (4962).</w:t>
      </w:r>
    </w:p>
    <w:p w14:paraId="240CC63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91DE9AE" w14:textId="77777777" w:rsidR="00BB0525" w:rsidRPr="00F90EAE" w:rsidRDefault="00BB0525"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капитулирует последний во 2-й мировой войне немецкий гарнизон на острове Борнхольм (Дания) (14893).</w:t>
      </w:r>
    </w:p>
    <w:p w14:paraId="2B9A71AF" w14:textId="77777777" w:rsidR="00BB0525" w:rsidRPr="00F90EAE" w:rsidRDefault="00BB0525" w:rsidP="00F90EAE">
      <w:pPr>
        <w:jc w:val="both"/>
        <w:rPr>
          <w:color w:val="000000" w:themeColor="text1"/>
          <w:sz w:val="16"/>
          <w:szCs w:val="16"/>
        </w:rPr>
      </w:pPr>
    </w:p>
    <w:p w14:paraId="5F080643" w14:textId="77777777" w:rsidR="00681972" w:rsidRPr="00F90EAE" w:rsidRDefault="00681972" w:rsidP="00F90EAE">
      <w:pPr>
        <w:jc w:val="both"/>
        <w:rPr>
          <w:color w:val="000000" w:themeColor="text1"/>
          <w:sz w:val="16"/>
          <w:szCs w:val="16"/>
        </w:rPr>
      </w:pPr>
      <w:r w:rsidRPr="00F90EAE">
        <w:rPr>
          <w:bCs/>
          <w:color w:val="000000" w:themeColor="text1"/>
          <w:sz w:val="16"/>
          <w:szCs w:val="16"/>
        </w:rPr>
        <w:t>16 мая</w:t>
      </w:r>
      <w:r w:rsidRPr="00F90EAE">
        <w:rPr>
          <w:color w:val="000000" w:themeColor="text1"/>
          <w:sz w:val="16"/>
          <w:szCs w:val="16"/>
        </w:rPr>
        <w:t xml:space="preserve"> в 1945 году японский крейсер «Хагуро» потоплен у Малаккского пролива четырьмя английскими миноносцами в результате классической торпедной атаки (14893).</w:t>
      </w:r>
    </w:p>
    <w:p w14:paraId="51E52150" w14:textId="77777777" w:rsidR="00681972" w:rsidRPr="00F90EAE" w:rsidRDefault="00681972" w:rsidP="00F90EAE">
      <w:pPr>
        <w:jc w:val="both"/>
        <w:rPr>
          <w:color w:val="000000" w:themeColor="text1"/>
          <w:sz w:val="16"/>
          <w:szCs w:val="16"/>
        </w:rPr>
      </w:pPr>
    </w:p>
    <w:p w14:paraId="515FCA25" w14:textId="77777777" w:rsidR="005F7535" w:rsidRPr="00F90EAE" w:rsidRDefault="005F7535" w:rsidP="00F90EAE">
      <w:pPr>
        <w:jc w:val="both"/>
        <w:rPr>
          <w:color w:val="0070C0"/>
          <w:sz w:val="16"/>
          <w:szCs w:val="16"/>
        </w:rPr>
      </w:pPr>
      <w:r w:rsidRPr="00F90EAE">
        <w:rPr>
          <w:color w:val="0070C0"/>
          <w:sz w:val="16"/>
          <w:szCs w:val="16"/>
        </w:rPr>
        <w:t>16–17 мая 1945 авианосцы Британского Тихоокеанского флота нанесли удар по японским аэродромам в районе Сакисима-Гунто (20371).</w:t>
      </w:r>
    </w:p>
    <w:p w14:paraId="62DABBBD" w14:textId="77777777" w:rsidR="005F7535" w:rsidRPr="00F90EAE" w:rsidRDefault="005F7535" w:rsidP="00F90EAE">
      <w:pPr>
        <w:jc w:val="both"/>
        <w:rPr>
          <w:color w:val="0070C0"/>
          <w:sz w:val="16"/>
          <w:szCs w:val="16"/>
        </w:rPr>
      </w:pPr>
    </w:p>
    <w:p w14:paraId="5E3BE64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AFD56E8" w14:textId="77777777" w:rsidR="00665165" w:rsidRPr="00F90EAE" w:rsidRDefault="00665165" w:rsidP="00F90EAE">
      <w:pPr>
        <w:autoSpaceDE w:val="0"/>
        <w:autoSpaceDN w:val="0"/>
        <w:adjustRightInd w:val="0"/>
        <w:jc w:val="both"/>
        <w:rPr>
          <w:iCs/>
          <w:color w:val="000000" w:themeColor="text1"/>
          <w:sz w:val="16"/>
          <w:szCs w:val="16"/>
        </w:rPr>
      </w:pPr>
    </w:p>
    <w:p w14:paraId="23FBCF76" w14:textId="77777777" w:rsidR="00DF4EAD" w:rsidRPr="00F90EAE" w:rsidRDefault="00DF4EAD" w:rsidP="00F90EAE">
      <w:pPr>
        <w:jc w:val="both"/>
        <w:rPr>
          <w:color w:val="000000" w:themeColor="text1"/>
          <w:sz w:val="16"/>
          <w:szCs w:val="16"/>
        </w:rPr>
      </w:pPr>
      <w:r w:rsidRPr="00F90EAE">
        <w:rPr>
          <w:rStyle w:val="107"/>
          <w:rFonts w:eastAsiaTheme="minorHAnsi"/>
          <w:color w:val="000000" w:themeColor="text1"/>
          <w:sz w:val="16"/>
          <w:szCs w:val="16"/>
        </w:rPr>
        <w:t>17 мая 1945 начальник 1-го отдела ГУ ИАС ВВС КА инженер -полковник Подлесецкий «поставил вопрос перед УЗСиМ (т. Ковалевым) о необходимости срочной отправки самолета Ил-10 с пылефильтрами в НИИ ВВС КА на испытания». Однако не случилось. Серийный самолет Ил-10 с пылефильтром «начальником 1 -го отдела УЗСиМ был отправлен на испытания 20 мая 1945 года в Ногинск, так как на нем установлена ВУ-9 с пушкой УБ-20» (17490).</w:t>
      </w:r>
    </w:p>
    <w:p w14:paraId="0E5298CB" w14:textId="77777777" w:rsidR="00DF4EAD" w:rsidRPr="00F90EAE" w:rsidRDefault="00DF4EAD" w:rsidP="00F90EAE">
      <w:pPr>
        <w:jc w:val="both"/>
        <w:rPr>
          <w:color w:val="000000" w:themeColor="text1"/>
          <w:sz w:val="16"/>
          <w:szCs w:val="16"/>
        </w:rPr>
      </w:pPr>
    </w:p>
    <w:p w14:paraId="11BC5C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 17 мая по 8 июня 1945 самолет 68 - фронтовой скоростной бомбардировщик с АМ-39ФНВ, сделанный на основе Ту-2, прошел заводские испытаний, которые провели л А.Д.Перелет и ви Б.Н.Гроздов (1835,58).</w:t>
      </w:r>
    </w:p>
    <w:p w14:paraId="023CCDF1" w14:textId="77777777" w:rsidR="00665165" w:rsidRPr="00F90EAE" w:rsidRDefault="00665165" w:rsidP="00F90EAE">
      <w:pPr>
        <w:autoSpaceDE w:val="0"/>
        <w:autoSpaceDN w:val="0"/>
        <w:adjustRightInd w:val="0"/>
        <w:jc w:val="both"/>
        <w:rPr>
          <w:color w:val="000000" w:themeColor="text1"/>
          <w:sz w:val="16"/>
          <w:szCs w:val="16"/>
        </w:rPr>
      </w:pPr>
    </w:p>
    <w:p w14:paraId="71B54FA5" w14:textId="77777777" w:rsidR="00681972" w:rsidRPr="00F90EAE" w:rsidRDefault="00681972"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С 17 мая по 8 июня 1945 прошли заводские испытания опытного ско</w:t>
      </w:r>
      <w:r w:rsidRPr="00F90EAE">
        <w:rPr>
          <w:rFonts w:ascii="Times New Roman" w:cs="Times New Roman"/>
          <w:color w:val="000000" w:themeColor="text1"/>
          <w:spacing w:val="0"/>
        </w:rPr>
        <w:softHyphen/>
        <w:t>ростного бомбардировщика «68» (Ту-10) с моторами АМ-39ФНВ, а государственные в ГК НИИ ВВС - с 26 июня по 30 июля 1945 г. По скорости, скороподъемности, взлетно-посадочным качествам «десят</w:t>
      </w:r>
      <w:r w:rsidRPr="00F90EAE">
        <w:rPr>
          <w:rFonts w:ascii="Times New Roman" w:cs="Times New Roman"/>
          <w:color w:val="000000" w:themeColor="text1"/>
          <w:spacing w:val="0"/>
        </w:rPr>
        <w:softHyphen/>
        <w:t>ка» оказалась хуже самолета «63/2». До</w:t>
      </w:r>
      <w:r w:rsidRPr="00F90EAE">
        <w:rPr>
          <w:rFonts w:ascii="Times New Roman" w:cs="Times New Roman"/>
          <w:color w:val="000000" w:themeColor="text1"/>
          <w:spacing w:val="0"/>
        </w:rPr>
        <w:softHyphen/>
        <w:t>водка машины до требуемых ВВС норм продолжалась вплоть до середины но</w:t>
      </w:r>
      <w:r w:rsidRPr="00F90EAE">
        <w:rPr>
          <w:rFonts w:ascii="Times New Roman" w:cs="Times New Roman"/>
          <w:color w:val="000000" w:themeColor="text1"/>
          <w:spacing w:val="0"/>
        </w:rPr>
        <w:softHyphen/>
        <w:t>ября 1946 г. После чего в начале 1947 г. Ту-10 с моторами АМ-39ФН2 выпустили небольшой серией в количестве 10 еди</w:t>
      </w:r>
      <w:r w:rsidRPr="00F90EAE">
        <w:rPr>
          <w:rFonts w:ascii="Times New Roman" w:cs="Times New Roman"/>
          <w:color w:val="000000" w:themeColor="text1"/>
          <w:spacing w:val="0"/>
        </w:rPr>
        <w:softHyphen/>
        <w:t>ниц на заводе №82 (15758).</w:t>
      </w:r>
    </w:p>
    <w:p w14:paraId="53BD5684" w14:textId="77777777" w:rsidR="00681972" w:rsidRPr="00F90EAE" w:rsidRDefault="00681972" w:rsidP="00F90EAE">
      <w:pPr>
        <w:pStyle w:val="27"/>
        <w:shd w:val="clear" w:color="auto" w:fill="auto"/>
        <w:spacing w:after="0" w:line="240" w:lineRule="auto"/>
        <w:ind w:firstLine="0"/>
        <w:rPr>
          <w:rFonts w:ascii="Times New Roman" w:cs="Times New Roman"/>
          <w:color w:val="000000" w:themeColor="text1"/>
          <w:spacing w:val="0"/>
        </w:rPr>
      </w:pPr>
    </w:p>
    <w:p w14:paraId="21ACF4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при контрольных испытаниях Як-3 на прочность в ЛИИ у л С.Н.Анохин на пятом режиме сломалось крыло и при приземлении с парашютом Анохин сильно разбился (5490, 30).</w:t>
      </w:r>
    </w:p>
    <w:p w14:paraId="03201D3F" w14:textId="77777777" w:rsidR="00665165" w:rsidRPr="00F90EAE" w:rsidRDefault="00665165" w:rsidP="00F90EAE">
      <w:pPr>
        <w:autoSpaceDE w:val="0"/>
        <w:autoSpaceDN w:val="0"/>
        <w:adjustRightInd w:val="0"/>
        <w:jc w:val="both"/>
        <w:rPr>
          <w:color w:val="000000" w:themeColor="text1"/>
          <w:sz w:val="16"/>
          <w:szCs w:val="16"/>
        </w:rPr>
      </w:pPr>
    </w:p>
    <w:p w14:paraId="020EA4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года в ходе контрольных испытаний Як-3 в ЛИИ произошла авария, едва не переросшая в катастрофу. Накануне летчик-испытатель И.В. Эйнис выполнил на Як-3 полет на высший пилотаж, а точнее, на проверку прочности в полном соответствии с заданием. Все прошло хорошо, если не считать, что основные опоры шасси выпустились не одновременно, а с большим интервалом. Причем "солдатик" - механический указатель положения шасси левой опоры - вышел не в своем месте, а рядом, пробив фанерную обшивку крыла. Но на это никто не обратил внимание. Следует учесть, что необходимые параметры полета самолета были зафиксированы бортовыми самописцами, и, судя по всему, перегрузки в том полете не превышали эксплуатационных значений.</w:t>
      </w:r>
    </w:p>
    <w:p w14:paraId="06CA69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Затем в кабину самолета сел С.Н. Анохин. Ему предстояло сделать 12 режимов с перегрузками. Первые два прошли благополучно, но на третьем Сергей Николаевич не включил самописец, и режим пришлось повторить. Позже Марк Лазаревич Галлай так описывал происшедшее: "Начав очередную фигуру, он (Анохин) услышал громкий треск, и в то же мгновение машина рванулась в сторону так резко, что летчика со страшной силой ударило виском о фонарь кабины, а рукой и плечом - об ее жесткий борт.</w:t>
      </w:r>
    </w:p>
    <w:p w14:paraId="1E469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 самолета отлетело крыло!"</w:t>
      </w:r>
    </w:p>
    <w:p w14:paraId="15D398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Летчику стоило огромных усилий и самообладания сбросить фонарь и выпрыгнуть с парашютом из беспорядочно падающего к земле самолета. Анохин получил тяжелые ранения и потерял левый глаз...</w:t>
      </w:r>
    </w:p>
    <w:p w14:paraId="7199C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контрольных испытаний Як-3 с мотором ВК-105ПФ2, выпущенных заводом №292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561F31" w:rsidRPr="00F90EAE" w14:paraId="50883AA8" w14:textId="77777777">
        <w:tc>
          <w:tcPr>
            <w:tcW w:w="1245" w:type="dxa"/>
            <w:tcBorders>
              <w:top w:val="single" w:sz="12" w:space="0" w:color="auto"/>
            </w:tcBorders>
          </w:tcPr>
          <w:p w14:paraId="32890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w:t>
            </w:r>
          </w:p>
        </w:tc>
        <w:tc>
          <w:tcPr>
            <w:tcW w:w="1245" w:type="dxa"/>
            <w:tcBorders>
              <w:top w:val="single" w:sz="12" w:space="0" w:color="auto"/>
            </w:tcBorders>
          </w:tcPr>
          <w:p w14:paraId="4CF95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Як-33&gt; №1112</w:t>
            </w:r>
          </w:p>
        </w:tc>
        <w:tc>
          <w:tcPr>
            <w:tcW w:w="1245" w:type="dxa"/>
            <w:tcBorders>
              <w:top w:val="single" w:sz="12" w:space="0" w:color="auto"/>
            </w:tcBorders>
          </w:tcPr>
          <w:p w14:paraId="149D35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№3721</w:t>
            </w:r>
          </w:p>
        </w:tc>
        <w:tc>
          <w:tcPr>
            <w:tcW w:w="1245" w:type="dxa"/>
            <w:tcBorders>
              <w:top w:val="single" w:sz="12" w:space="0" w:color="auto"/>
            </w:tcBorders>
          </w:tcPr>
          <w:p w14:paraId="6E1EA9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№7426</w:t>
            </w:r>
          </w:p>
        </w:tc>
        <w:tc>
          <w:tcPr>
            <w:tcW w:w="1245" w:type="dxa"/>
            <w:tcBorders>
              <w:top w:val="single" w:sz="12" w:space="0" w:color="auto"/>
            </w:tcBorders>
          </w:tcPr>
          <w:p w14:paraId="295A1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№9626</w:t>
            </w:r>
          </w:p>
        </w:tc>
        <w:tc>
          <w:tcPr>
            <w:tcW w:w="1245" w:type="dxa"/>
            <w:tcBorders>
              <w:top w:val="single" w:sz="12" w:space="0" w:color="auto"/>
            </w:tcBorders>
          </w:tcPr>
          <w:p w14:paraId="7F9236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№0538</w:t>
            </w:r>
          </w:p>
        </w:tc>
        <w:tc>
          <w:tcPr>
            <w:tcW w:w="1245" w:type="dxa"/>
            <w:tcBorders>
              <w:top w:val="single" w:sz="12" w:space="0" w:color="auto"/>
            </w:tcBorders>
          </w:tcPr>
          <w:p w14:paraId="274559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№2229</w:t>
            </w:r>
          </w:p>
        </w:tc>
        <w:tc>
          <w:tcPr>
            <w:tcW w:w="1245" w:type="dxa"/>
            <w:tcBorders>
              <w:top w:val="single" w:sz="12" w:space="0" w:color="auto"/>
            </w:tcBorders>
          </w:tcPr>
          <w:p w14:paraId="2A8D66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№4145</w:t>
            </w:r>
          </w:p>
        </w:tc>
        <w:tc>
          <w:tcPr>
            <w:tcW w:w="1245" w:type="dxa"/>
            <w:tcBorders>
              <w:top w:val="single" w:sz="12" w:space="0" w:color="auto"/>
            </w:tcBorders>
          </w:tcPr>
          <w:p w14:paraId="0D9CB9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№1630</w:t>
            </w:r>
          </w:p>
        </w:tc>
      </w:tr>
      <w:tr w:rsidR="00561F31" w:rsidRPr="00F90EAE" w14:paraId="03DC48B8" w14:textId="77777777">
        <w:tc>
          <w:tcPr>
            <w:tcW w:w="1245" w:type="dxa"/>
          </w:tcPr>
          <w:p w14:paraId="153F1B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Дата выпуска</w:t>
            </w:r>
          </w:p>
        </w:tc>
        <w:tc>
          <w:tcPr>
            <w:tcW w:w="1245" w:type="dxa"/>
          </w:tcPr>
          <w:p w14:paraId="3108D0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Август 1944 г.</w:t>
            </w:r>
          </w:p>
        </w:tc>
        <w:tc>
          <w:tcPr>
            <w:tcW w:w="1245" w:type="dxa"/>
          </w:tcPr>
          <w:p w14:paraId="3A305D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Сентябрь 1944 г.</w:t>
            </w:r>
          </w:p>
        </w:tc>
        <w:tc>
          <w:tcPr>
            <w:tcW w:w="1245" w:type="dxa"/>
          </w:tcPr>
          <w:p w14:paraId="6C7A4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Октябрь 1944 г.</w:t>
            </w:r>
          </w:p>
        </w:tc>
        <w:tc>
          <w:tcPr>
            <w:tcW w:w="1245" w:type="dxa"/>
          </w:tcPr>
          <w:p w14:paraId="29F518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Октябрь 1944 г.</w:t>
            </w:r>
          </w:p>
        </w:tc>
        <w:tc>
          <w:tcPr>
            <w:tcW w:w="1245" w:type="dxa"/>
          </w:tcPr>
          <w:p w14:paraId="3ACA5F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Ноябрь 1944 г.</w:t>
            </w:r>
          </w:p>
        </w:tc>
        <w:tc>
          <w:tcPr>
            <w:tcW w:w="1245" w:type="dxa"/>
          </w:tcPr>
          <w:p w14:paraId="00B96B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Ноябрь 1944 г.</w:t>
            </w:r>
          </w:p>
        </w:tc>
        <w:tc>
          <w:tcPr>
            <w:tcW w:w="1245" w:type="dxa"/>
          </w:tcPr>
          <w:p w14:paraId="644F5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Май 1945 г.</w:t>
            </w:r>
          </w:p>
        </w:tc>
        <w:tc>
          <w:tcPr>
            <w:tcW w:w="1245" w:type="dxa"/>
          </w:tcPr>
          <w:p w14:paraId="523630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Апрель 1945 г.</w:t>
            </w:r>
          </w:p>
        </w:tc>
      </w:tr>
      <w:tr w:rsidR="00561F31" w:rsidRPr="00F90EAE" w14:paraId="4C2CEA3A" w14:textId="77777777">
        <w:tc>
          <w:tcPr>
            <w:tcW w:w="1245" w:type="dxa"/>
          </w:tcPr>
          <w:p w14:paraId="34DE70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245" w:type="dxa"/>
          </w:tcPr>
          <w:p w14:paraId="54970D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2675</w:t>
            </w:r>
          </w:p>
        </w:tc>
        <w:tc>
          <w:tcPr>
            <w:tcW w:w="1245" w:type="dxa"/>
          </w:tcPr>
          <w:p w14:paraId="41E6F1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2655</w:t>
            </w:r>
          </w:p>
        </w:tc>
        <w:tc>
          <w:tcPr>
            <w:tcW w:w="1245" w:type="dxa"/>
          </w:tcPr>
          <w:p w14:paraId="53D579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2684</w:t>
            </w:r>
          </w:p>
        </w:tc>
        <w:tc>
          <w:tcPr>
            <w:tcW w:w="1245" w:type="dxa"/>
          </w:tcPr>
          <w:p w14:paraId="3FAA49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2678</w:t>
            </w:r>
          </w:p>
        </w:tc>
        <w:tc>
          <w:tcPr>
            <w:tcW w:w="1245" w:type="dxa"/>
          </w:tcPr>
          <w:p w14:paraId="02D0AB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2683</w:t>
            </w:r>
          </w:p>
        </w:tc>
        <w:tc>
          <w:tcPr>
            <w:tcW w:w="1245" w:type="dxa"/>
          </w:tcPr>
          <w:p w14:paraId="1A6073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245" w:type="dxa"/>
          </w:tcPr>
          <w:p w14:paraId="013025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2709</w:t>
            </w:r>
          </w:p>
        </w:tc>
        <w:tc>
          <w:tcPr>
            <w:tcW w:w="1245" w:type="dxa"/>
          </w:tcPr>
          <w:p w14:paraId="2F2226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2692</w:t>
            </w:r>
          </w:p>
        </w:tc>
      </w:tr>
      <w:tr w:rsidR="00561F31" w:rsidRPr="00F90EAE" w14:paraId="467CF40E" w14:textId="77777777">
        <w:tc>
          <w:tcPr>
            <w:tcW w:w="1245" w:type="dxa"/>
          </w:tcPr>
          <w:p w14:paraId="722288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245" w:type="dxa"/>
          </w:tcPr>
          <w:p w14:paraId="31DF4F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5F01FC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6A398B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CA16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1681B2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2146</w:t>
            </w:r>
          </w:p>
        </w:tc>
        <w:tc>
          <w:tcPr>
            <w:tcW w:w="1245" w:type="dxa"/>
          </w:tcPr>
          <w:p w14:paraId="08A27F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2146</w:t>
            </w:r>
          </w:p>
        </w:tc>
        <w:tc>
          <w:tcPr>
            <w:tcW w:w="1245" w:type="dxa"/>
          </w:tcPr>
          <w:p w14:paraId="5CFE7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2141</w:t>
            </w:r>
          </w:p>
        </w:tc>
        <w:tc>
          <w:tcPr>
            <w:tcW w:w="1245" w:type="dxa"/>
          </w:tcPr>
          <w:p w14:paraId="286F07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E827080" w14:textId="77777777">
        <w:tc>
          <w:tcPr>
            <w:tcW w:w="1245" w:type="dxa"/>
          </w:tcPr>
          <w:p w14:paraId="42ABA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1245" w:type="dxa"/>
          </w:tcPr>
          <w:p w14:paraId="4E7BB4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7AD14B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4A5286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5B0DC9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B0173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w:t>
            </w:r>
          </w:p>
        </w:tc>
        <w:tc>
          <w:tcPr>
            <w:tcW w:w="1245" w:type="dxa"/>
          </w:tcPr>
          <w:p w14:paraId="41CA7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w:t>
            </w:r>
          </w:p>
        </w:tc>
        <w:tc>
          <w:tcPr>
            <w:tcW w:w="1245" w:type="dxa"/>
          </w:tcPr>
          <w:p w14:paraId="0FC8CF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w:t>
            </w:r>
          </w:p>
        </w:tc>
        <w:tc>
          <w:tcPr>
            <w:tcW w:w="1245" w:type="dxa"/>
          </w:tcPr>
          <w:p w14:paraId="25C916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1CB19F2" w14:textId="77777777">
        <w:tc>
          <w:tcPr>
            <w:tcW w:w="1245" w:type="dxa"/>
          </w:tcPr>
          <w:p w14:paraId="5D229A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 у земли на высоте, км</w:t>
            </w:r>
          </w:p>
        </w:tc>
        <w:tc>
          <w:tcPr>
            <w:tcW w:w="1245" w:type="dxa"/>
          </w:tcPr>
          <w:p w14:paraId="138EA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555 631/4,2</w:t>
            </w:r>
          </w:p>
        </w:tc>
        <w:tc>
          <w:tcPr>
            <w:tcW w:w="1245" w:type="dxa"/>
          </w:tcPr>
          <w:p w14:paraId="629FE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567 641/3,75</w:t>
            </w:r>
          </w:p>
        </w:tc>
        <w:tc>
          <w:tcPr>
            <w:tcW w:w="1245" w:type="dxa"/>
          </w:tcPr>
          <w:p w14:paraId="2AEF1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571 615/1,75 642/3,75</w:t>
            </w:r>
          </w:p>
        </w:tc>
        <w:tc>
          <w:tcPr>
            <w:tcW w:w="1245" w:type="dxa"/>
          </w:tcPr>
          <w:p w14:paraId="3228F9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566 642/3,75</w:t>
            </w:r>
          </w:p>
        </w:tc>
        <w:tc>
          <w:tcPr>
            <w:tcW w:w="1245" w:type="dxa"/>
          </w:tcPr>
          <w:p w14:paraId="69067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570 615/2000 644/4100</w:t>
            </w:r>
          </w:p>
        </w:tc>
        <w:tc>
          <w:tcPr>
            <w:tcW w:w="1245" w:type="dxa"/>
          </w:tcPr>
          <w:p w14:paraId="38EDFB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560 613/2,1 639/4,15</w:t>
            </w:r>
          </w:p>
        </w:tc>
        <w:tc>
          <w:tcPr>
            <w:tcW w:w="1245" w:type="dxa"/>
          </w:tcPr>
          <w:p w14:paraId="1CCD4E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572 623/2,15 650/4,2</w:t>
            </w:r>
          </w:p>
        </w:tc>
        <w:tc>
          <w:tcPr>
            <w:tcW w:w="1245" w:type="dxa"/>
          </w:tcPr>
          <w:p w14:paraId="0B3BD7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545 635/3,85</w:t>
            </w:r>
          </w:p>
        </w:tc>
      </w:tr>
      <w:tr w:rsidR="00561F31" w:rsidRPr="00F90EAE" w14:paraId="59874EAF" w14:textId="77777777">
        <w:tc>
          <w:tcPr>
            <w:tcW w:w="1245" w:type="dxa"/>
          </w:tcPr>
          <w:p w14:paraId="37AF1B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245" w:type="dxa"/>
          </w:tcPr>
          <w:p w14:paraId="53AE9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245" w:type="dxa"/>
          </w:tcPr>
          <w:p w14:paraId="6AF02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245" w:type="dxa"/>
          </w:tcPr>
          <w:p w14:paraId="1B2001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245" w:type="dxa"/>
          </w:tcPr>
          <w:p w14:paraId="35DE8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5C71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245" w:type="dxa"/>
          </w:tcPr>
          <w:p w14:paraId="31D39C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c>
          <w:tcPr>
            <w:tcW w:w="1245" w:type="dxa"/>
          </w:tcPr>
          <w:p w14:paraId="1E1F72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1245" w:type="dxa"/>
          </w:tcPr>
          <w:p w14:paraId="3779DF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r>
      <w:tr w:rsidR="00561F31" w:rsidRPr="00F90EAE" w14:paraId="6DD15D7F" w14:textId="77777777">
        <w:tc>
          <w:tcPr>
            <w:tcW w:w="1245" w:type="dxa"/>
          </w:tcPr>
          <w:p w14:paraId="36E271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потолок,м</w:t>
            </w:r>
          </w:p>
        </w:tc>
        <w:tc>
          <w:tcPr>
            <w:tcW w:w="1245" w:type="dxa"/>
          </w:tcPr>
          <w:p w14:paraId="28180B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10 400</w:t>
            </w:r>
          </w:p>
        </w:tc>
        <w:tc>
          <w:tcPr>
            <w:tcW w:w="1245" w:type="dxa"/>
          </w:tcPr>
          <w:p w14:paraId="3D90C3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75BA0F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7DEBD3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5B2C0C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43EEE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3E92B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10 150</w:t>
            </w:r>
          </w:p>
        </w:tc>
        <w:tc>
          <w:tcPr>
            <w:tcW w:w="1245" w:type="dxa"/>
          </w:tcPr>
          <w:p w14:paraId="1DD0C9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10 300</w:t>
            </w:r>
          </w:p>
        </w:tc>
      </w:tr>
      <w:tr w:rsidR="00561F31" w:rsidRPr="00F90EAE" w14:paraId="4F66F601" w14:textId="77777777">
        <w:tc>
          <w:tcPr>
            <w:tcW w:w="1245" w:type="dxa"/>
          </w:tcPr>
          <w:p w14:paraId="13FCB6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245" w:type="dxa"/>
          </w:tcPr>
          <w:p w14:paraId="60E737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213C48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20BB4A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4C30FC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0E4DE1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245" w:type="dxa"/>
          </w:tcPr>
          <w:p w14:paraId="5CDBB4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w:t>
            </w:r>
          </w:p>
        </w:tc>
        <w:tc>
          <w:tcPr>
            <w:tcW w:w="1245" w:type="dxa"/>
          </w:tcPr>
          <w:p w14:paraId="73B16C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5872)</w:t>
            </w:r>
          </w:p>
        </w:tc>
        <w:tc>
          <w:tcPr>
            <w:tcW w:w="1245" w:type="dxa"/>
          </w:tcPr>
          <w:p w14:paraId="789D8E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A688F59" w14:textId="77777777">
        <w:tc>
          <w:tcPr>
            <w:tcW w:w="1245" w:type="dxa"/>
            <w:tcBorders>
              <w:bottom w:val="single" w:sz="12" w:space="0" w:color="auto"/>
            </w:tcBorders>
          </w:tcPr>
          <w:p w14:paraId="3BF86C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количество х калибр</w:t>
            </w:r>
          </w:p>
        </w:tc>
        <w:tc>
          <w:tcPr>
            <w:tcW w:w="1245" w:type="dxa"/>
            <w:tcBorders>
              <w:bottom w:val="single" w:sz="12" w:space="0" w:color="auto"/>
            </w:tcBorders>
          </w:tcPr>
          <w:p w14:paraId="446AA9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4AFE52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19B7D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3D21A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4F8389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04329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2423A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245" w:type="dxa"/>
            <w:tcBorders>
              <w:bottom w:val="single" w:sz="12" w:space="0" w:color="auto"/>
            </w:tcBorders>
          </w:tcPr>
          <w:p w14:paraId="067A3C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3x20</w:t>
            </w:r>
          </w:p>
        </w:tc>
      </w:tr>
    </w:tbl>
    <w:p w14:paraId="38500B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Примечания: 1 - скорость 500 км/ч, высота 5000 м. Продолжительность полета - 1 час 10 минут; 2 -скорость 494 км/ч, высота 5000 м. Продолжительность полета - 1 час 13 минут. На наивыгоднейшем режиме: скорость 336 км/ч на высоте 1000 м, дальность - 717 км, продолжительность полета - 2 часа 8 минут; 3 - разбег/пробег - 280/425 м. </w:t>
      </w:r>
    </w:p>
    <w:p w14:paraId="71D009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Як-3 с мотором ВК-105ПФ2 продолжались до завершения серийного производства машины.</w:t>
      </w:r>
    </w:p>
    <w:p w14:paraId="55141D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контрольных испытаний Як-3 с мотором ВК-105ПФ2, пушкой МП-20 и двумя пулеметами БС завода №31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61F31" w:rsidRPr="00F90EAE" w14:paraId="3DA1965F" w14:textId="77777777">
        <w:tc>
          <w:tcPr>
            <w:tcW w:w="3736" w:type="dxa"/>
            <w:tcBorders>
              <w:top w:val="single" w:sz="12" w:space="0" w:color="auto"/>
            </w:tcBorders>
          </w:tcPr>
          <w:p w14:paraId="7FB0AB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w:t>
            </w:r>
          </w:p>
        </w:tc>
        <w:tc>
          <w:tcPr>
            <w:tcW w:w="3736" w:type="dxa"/>
            <w:tcBorders>
              <w:top w:val="single" w:sz="12" w:space="0" w:color="auto"/>
            </w:tcBorders>
          </w:tcPr>
          <w:p w14:paraId="379F12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c>
          <w:tcPr>
            <w:tcW w:w="3736" w:type="dxa"/>
            <w:tcBorders>
              <w:top w:val="single" w:sz="12" w:space="0" w:color="auto"/>
            </w:tcBorders>
          </w:tcPr>
          <w:p w14:paraId="6C882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r>
      <w:tr w:rsidR="00561F31" w:rsidRPr="00F90EAE" w14:paraId="0DB67ED1" w14:textId="77777777">
        <w:tc>
          <w:tcPr>
            <w:tcW w:w="3736" w:type="dxa"/>
          </w:tcPr>
          <w:p w14:paraId="7B1281C4" w14:textId="77777777" w:rsidR="00665165" w:rsidRPr="00F90EAE" w:rsidRDefault="00665165" w:rsidP="00F90EAE">
            <w:pPr>
              <w:autoSpaceDE w:val="0"/>
              <w:autoSpaceDN w:val="0"/>
              <w:adjustRightInd w:val="0"/>
              <w:jc w:val="both"/>
              <w:rPr>
                <w:color w:val="000000" w:themeColor="text1"/>
                <w:sz w:val="16"/>
                <w:szCs w:val="16"/>
              </w:rPr>
            </w:pPr>
          </w:p>
        </w:tc>
        <w:tc>
          <w:tcPr>
            <w:tcW w:w="3736" w:type="dxa"/>
          </w:tcPr>
          <w:p w14:paraId="100932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№310001</w:t>
            </w:r>
          </w:p>
        </w:tc>
        <w:tc>
          <w:tcPr>
            <w:tcW w:w="3736" w:type="dxa"/>
          </w:tcPr>
          <w:p w14:paraId="4BE0E4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№310111</w:t>
            </w:r>
          </w:p>
        </w:tc>
      </w:tr>
      <w:tr w:rsidR="00561F31" w:rsidRPr="00F90EAE" w14:paraId="1EDB1FAD" w14:textId="77777777">
        <w:tc>
          <w:tcPr>
            <w:tcW w:w="3736" w:type="dxa"/>
          </w:tcPr>
          <w:p w14:paraId="2D2BD2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Дата выпуска</w:t>
            </w:r>
          </w:p>
        </w:tc>
        <w:tc>
          <w:tcPr>
            <w:tcW w:w="3736" w:type="dxa"/>
          </w:tcPr>
          <w:p w14:paraId="053533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апрель 1944 г.</w:t>
            </w:r>
          </w:p>
        </w:tc>
        <w:tc>
          <w:tcPr>
            <w:tcW w:w="3736" w:type="dxa"/>
          </w:tcPr>
          <w:p w14:paraId="65162D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октябрь 1944 г.</w:t>
            </w:r>
          </w:p>
        </w:tc>
      </w:tr>
      <w:tr w:rsidR="00561F31" w:rsidRPr="00F90EAE" w14:paraId="548E24A0" w14:textId="77777777">
        <w:tc>
          <w:tcPr>
            <w:tcW w:w="3736" w:type="dxa"/>
          </w:tcPr>
          <w:p w14:paraId="575AE3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3736" w:type="dxa"/>
          </w:tcPr>
          <w:p w14:paraId="54D57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2676,5</w:t>
            </w:r>
          </w:p>
        </w:tc>
        <w:tc>
          <w:tcPr>
            <w:tcW w:w="3736" w:type="dxa"/>
          </w:tcPr>
          <w:p w14:paraId="1C7F23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2697</w:t>
            </w:r>
          </w:p>
        </w:tc>
      </w:tr>
      <w:tr w:rsidR="00561F31" w:rsidRPr="00F90EAE" w14:paraId="1B2ACA10" w14:textId="77777777">
        <w:tc>
          <w:tcPr>
            <w:tcW w:w="3736" w:type="dxa"/>
          </w:tcPr>
          <w:p w14:paraId="6C1FF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 у земли на высоте, км</w:t>
            </w:r>
          </w:p>
        </w:tc>
        <w:tc>
          <w:tcPr>
            <w:tcW w:w="3736" w:type="dxa"/>
          </w:tcPr>
          <w:p w14:paraId="21A7E2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570 619/2,1 658/4,15</w:t>
            </w:r>
          </w:p>
        </w:tc>
        <w:tc>
          <w:tcPr>
            <w:tcW w:w="3736" w:type="dxa"/>
          </w:tcPr>
          <w:p w14:paraId="40AF2B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567 646/4,1</w:t>
            </w:r>
          </w:p>
        </w:tc>
      </w:tr>
      <w:tr w:rsidR="00561F31" w:rsidRPr="00F90EAE" w14:paraId="0BB8C9FC" w14:textId="77777777">
        <w:tc>
          <w:tcPr>
            <w:tcW w:w="3736" w:type="dxa"/>
          </w:tcPr>
          <w:p w14:paraId="53968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мин: 5000 м</w:t>
            </w:r>
          </w:p>
        </w:tc>
        <w:tc>
          <w:tcPr>
            <w:tcW w:w="3736" w:type="dxa"/>
          </w:tcPr>
          <w:p w14:paraId="520135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3736" w:type="dxa"/>
          </w:tcPr>
          <w:p w14:paraId="13610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tc>
      </w:tr>
      <w:tr w:rsidR="00561F31" w:rsidRPr="00F90EAE" w14:paraId="229DCE06" w14:textId="77777777">
        <w:tc>
          <w:tcPr>
            <w:tcW w:w="3736" w:type="dxa"/>
          </w:tcPr>
          <w:p w14:paraId="4B2984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практического потолка</w:t>
            </w:r>
          </w:p>
        </w:tc>
        <w:tc>
          <w:tcPr>
            <w:tcW w:w="3736" w:type="dxa"/>
          </w:tcPr>
          <w:p w14:paraId="12C3F5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02B2DB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r>
      <w:tr w:rsidR="00561F31" w:rsidRPr="00F90EAE" w14:paraId="49CA7DDF" w14:textId="77777777">
        <w:tc>
          <w:tcPr>
            <w:tcW w:w="3736" w:type="dxa"/>
            <w:tcBorders>
              <w:bottom w:val="single" w:sz="12" w:space="0" w:color="auto"/>
            </w:tcBorders>
          </w:tcPr>
          <w:p w14:paraId="1AF584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3736" w:type="dxa"/>
            <w:tcBorders>
              <w:bottom w:val="single" w:sz="12" w:space="0" w:color="auto"/>
            </w:tcBorders>
          </w:tcPr>
          <w:p w14:paraId="57DD0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Borders>
              <w:bottom w:val="single" w:sz="12" w:space="0" w:color="auto"/>
            </w:tcBorders>
          </w:tcPr>
          <w:p w14:paraId="55200E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10 400</w:t>
            </w:r>
          </w:p>
        </w:tc>
      </w:tr>
    </w:tbl>
    <w:p w14:paraId="784BC0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(12047).</w:t>
      </w:r>
    </w:p>
    <w:p w14:paraId="0D1996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истребителей семейства Як-3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561F31" w:rsidRPr="00F90EAE" w14:paraId="7E109E33" w14:textId="77777777">
        <w:tc>
          <w:tcPr>
            <w:tcW w:w="1401" w:type="dxa"/>
            <w:tcBorders>
              <w:top w:val="single" w:sz="12" w:space="0" w:color="auto"/>
            </w:tcBorders>
          </w:tcPr>
          <w:p w14:paraId="29A35654"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Borders>
              <w:top w:val="single" w:sz="12" w:space="0" w:color="auto"/>
            </w:tcBorders>
          </w:tcPr>
          <w:p w14:paraId="7A3392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Як-1М</w:t>
            </w:r>
          </w:p>
        </w:tc>
        <w:tc>
          <w:tcPr>
            <w:tcW w:w="1401" w:type="dxa"/>
            <w:tcBorders>
              <w:top w:val="single" w:sz="12" w:space="0" w:color="auto"/>
            </w:tcBorders>
          </w:tcPr>
          <w:p w14:paraId="27847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Як-IM"Дублер"</w:t>
            </w:r>
          </w:p>
        </w:tc>
        <w:tc>
          <w:tcPr>
            <w:tcW w:w="1401" w:type="dxa"/>
            <w:tcBorders>
              <w:top w:val="single" w:sz="12" w:space="0" w:color="auto"/>
            </w:tcBorders>
          </w:tcPr>
          <w:p w14:paraId="206E58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Як-ЗПД</w:t>
            </w:r>
          </w:p>
        </w:tc>
        <w:tc>
          <w:tcPr>
            <w:tcW w:w="2802" w:type="dxa"/>
            <w:gridSpan w:val="2"/>
            <w:tcBorders>
              <w:top w:val="single" w:sz="12" w:space="0" w:color="auto"/>
            </w:tcBorders>
          </w:tcPr>
          <w:p w14:paraId="4439BF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Як-ЗП5 №22-29 Серийный</w:t>
            </w:r>
          </w:p>
          <w:p w14:paraId="7678E13E"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Borders>
              <w:top w:val="single" w:sz="12" w:space="0" w:color="auto"/>
            </w:tcBorders>
          </w:tcPr>
          <w:p w14:paraId="166607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Як-ЗТ2"</w:t>
            </w:r>
          </w:p>
        </w:tc>
        <w:tc>
          <w:tcPr>
            <w:tcW w:w="1401" w:type="dxa"/>
            <w:tcBorders>
              <w:top w:val="single" w:sz="12" w:space="0" w:color="auto"/>
            </w:tcBorders>
          </w:tcPr>
          <w:p w14:paraId="6334D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w:t>
            </w:r>
          </w:p>
        </w:tc>
      </w:tr>
      <w:tr w:rsidR="00561F31" w:rsidRPr="00F90EAE" w14:paraId="32C7A796" w14:textId="77777777">
        <w:tc>
          <w:tcPr>
            <w:tcW w:w="1401" w:type="dxa"/>
          </w:tcPr>
          <w:p w14:paraId="5E91F500"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070DF30"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52EF44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55E185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5D8A5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Заводские испытания</w:t>
            </w:r>
          </w:p>
        </w:tc>
        <w:tc>
          <w:tcPr>
            <w:tcW w:w="1401" w:type="dxa"/>
          </w:tcPr>
          <w:p w14:paraId="735444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Госиспытания</w:t>
            </w:r>
          </w:p>
        </w:tc>
        <w:tc>
          <w:tcPr>
            <w:tcW w:w="1401" w:type="dxa"/>
          </w:tcPr>
          <w:p w14:paraId="02D99AA0"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10DA03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9C9DF86" w14:textId="77777777">
        <w:tc>
          <w:tcPr>
            <w:tcW w:w="1401" w:type="dxa"/>
          </w:tcPr>
          <w:p w14:paraId="3074F4FE"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1E7836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9A8B2B3"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7DC644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CFFDD52"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EDA715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D3B4603"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5F9C36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B3C971A" w14:textId="77777777">
        <w:tc>
          <w:tcPr>
            <w:tcW w:w="1401" w:type="dxa"/>
          </w:tcPr>
          <w:p w14:paraId="7090C5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w:t>
            </w:r>
          </w:p>
        </w:tc>
        <w:tc>
          <w:tcPr>
            <w:tcW w:w="1401" w:type="dxa"/>
          </w:tcPr>
          <w:p w14:paraId="7CF139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М-105ПФ2</w:t>
            </w:r>
          </w:p>
        </w:tc>
        <w:tc>
          <w:tcPr>
            <w:tcW w:w="1401" w:type="dxa"/>
          </w:tcPr>
          <w:p w14:paraId="4D2ABD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М-105ПФ2</w:t>
            </w:r>
          </w:p>
        </w:tc>
        <w:tc>
          <w:tcPr>
            <w:tcW w:w="1401" w:type="dxa"/>
          </w:tcPr>
          <w:p w14:paraId="7BBF33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М-105ПД</w:t>
            </w:r>
          </w:p>
        </w:tc>
        <w:tc>
          <w:tcPr>
            <w:tcW w:w="2802" w:type="dxa"/>
            <w:gridSpan w:val="2"/>
          </w:tcPr>
          <w:p w14:paraId="712FC4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ВК-105ПФ2</w:t>
            </w:r>
          </w:p>
          <w:p w14:paraId="509A0355"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F7EBA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вк-105ПФ2</w:t>
            </w:r>
          </w:p>
        </w:tc>
        <w:tc>
          <w:tcPr>
            <w:tcW w:w="1401" w:type="dxa"/>
          </w:tcPr>
          <w:p w14:paraId="7BD526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r>
      <w:tr w:rsidR="00561F31" w:rsidRPr="00F90EAE" w14:paraId="3376C474" w14:textId="77777777">
        <w:tc>
          <w:tcPr>
            <w:tcW w:w="1401" w:type="dxa"/>
          </w:tcPr>
          <w:p w14:paraId="1E7D83F5"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03C1ABB"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CDA51C6"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E7FEA9A"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C57EF56"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485847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137BB5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21B116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191DEC1" w14:textId="77777777">
        <w:tc>
          <w:tcPr>
            <w:tcW w:w="1401" w:type="dxa"/>
          </w:tcPr>
          <w:p w14:paraId="6E5B668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379922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9E8A9BA"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DC409F4"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4BEB71F"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6384062A"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AED544B"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DC7B5A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6FC360A" w14:textId="77777777">
        <w:tc>
          <w:tcPr>
            <w:tcW w:w="1401" w:type="dxa"/>
          </w:tcPr>
          <w:p w14:paraId="641B66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Взлетная мощность, л.с.</w:t>
            </w:r>
          </w:p>
        </w:tc>
        <w:tc>
          <w:tcPr>
            <w:tcW w:w="1401" w:type="dxa"/>
          </w:tcPr>
          <w:p w14:paraId="0A31A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12905)</w:t>
            </w:r>
          </w:p>
        </w:tc>
        <w:tc>
          <w:tcPr>
            <w:tcW w:w="1401" w:type="dxa"/>
          </w:tcPr>
          <w:p w14:paraId="2E7A6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12903)</w:t>
            </w:r>
          </w:p>
        </w:tc>
        <w:tc>
          <w:tcPr>
            <w:tcW w:w="1401" w:type="dxa"/>
          </w:tcPr>
          <w:p w14:paraId="29CD78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c>
          <w:tcPr>
            <w:tcW w:w="2802" w:type="dxa"/>
            <w:gridSpan w:val="2"/>
          </w:tcPr>
          <w:p w14:paraId="4A8784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12903)</w:t>
            </w:r>
          </w:p>
          <w:p w14:paraId="4BE87BE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0E687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1290 </w:t>
            </w:r>
          </w:p>
        </w:tc>
        <w:tc>
          <w:tcPr>
            <w:tcW w:w="1401" w:type="dxa"/>
          </w:tcPr>
          <w:p w14:paraId="16E8AB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r>
      <w:tr w:rsidR="00561F31" w:rsidRPr="00F90EAE" w14:paraId="2F4EBAB8" w14:textId="77777777">
        <w:tc>
          <w:tcPr>
            <w:tcW w:w="1401" w:type="dxa"/>
          </w:tcPr>
          <w:p w14:paraId="44B20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w:t>
            </w:r>
          </w:p>
        </w:tc>
        <w:tc>
          <w:tcPr>
            <w:tcW w:w="1401" w:type="dxa"/>
          </w:tcPr>
          <w:p w14:paraId="7C301A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ВИШ-61П</w:t>
            </w:r>
          </w:p>
        </w:tc>
        <w:tc>
          <w:tcPr>
            <w:tcW w:w="1401" w:type="dxa"/>
          </w:tcPr>
          <w:p w14:paraId="5C7696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w:t>
            </w:r>
          </w:p>
        </w:tc>
        <w:tc>
          <w:tcPr>
            <w:tcW w:w="1401" w:type="dxa"/>
          </w:tcPr>
          <w:p w14:paraId="4C7FE2A3"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612654FD"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6975C95"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7C77E7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B4BA03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2EEA8C1" w14:textId="77777777">
        <w:tc>
          <w:tcPr>
            <w:tcW w:w="1401" w:type="dxa"/>
          </w:tcPr>
          <w:p w14:paraId="7A5E03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105СВ-01</w:t>
            </w:r>
          </w:p>
        </w:tc>
        <w:tc>
          <w:tcPr>
            <w:tcW w:w="1401" w:type="dxa"/>
          </w:tcPr>
          <w:p w14:paraId="03A709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w:t>
            </w:r>
          </w:p>
        </w:tc>
        <w:tc>
          <w:tcPr>
            <w:tcW w:w="1401" w:type="dxa"/>
          </w:tcPr>
          <w:p w14:paraId="3A2DB4EF"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068318C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6E5A6FF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E86699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58DA04C"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54B404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34F0E6F" w14:textId="77777777">
        <w:tc>
          <w:tcPr>
            <w:tcW w:w="1401" w:type="dxa"/>
          </w:tcPr>
          <w:p w14:paraId="48CCE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105ТЛ-2</w:t>
            </w:r>
          </w:p>
        </w:tc>
        <w:tc>
          <w:tcPr>
            <w:tcW w:w="1401" w:type="dxa"/>
          </w:tcPr>
          <w:p w14:paraId="787B07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ВИШ-105СВ-01</w:t>
            </w:r>
          </w:p>
        </w:tc>
        <w:tc>
          <w:tcPr>
            <w:tcW w:w="1401" w:type="dxa"/>
          </w:tcPr>
          <w:p w14:paraId="22ED9C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ВИШ-105 Л-28</w:t>
            </w:r>
          </w:p>
        </w:tc>
        <w:tc>
          <w:tcPr>
            <w:tcW w:w="1401" w:type="dxa"/>
          </w:tcPr>
          <w:p w14:paraId="108842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w:t>
            </w:r>
          </w:p>
        </w:tc>
        <w:tc>
          <w:tcPr>
            <w:tcW w:w="1401" w:type="dxa"/>
          </w:tcPr>
          <w:p w14:paraId="56595C22"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D30658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04B402CD"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08DC37A3"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5327A4E" w14:textId="77777777">
        <w:tc>
          <w:tcPr>
            <w:tcW w:w="1401" w:type="dxa"/>
          </w:tcPr>
          <w:p w14:paraId="0AE95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105СВ-01</w:t>
            </w:r>
          </w:p>
        </w:tc>
        <w:tc>
          <w:tcPr>
            <w:tcW w:w="1401" w:type="dxa"/>
          </w:tcPr>
          <w:p w14:paraId="35C2C134"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0B7AB12A"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CEB552C"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6B2F6CAC"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568EDB6"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5740FE4"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0092A78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1C9DBFF" w14:textId="77777777">
        <w:tc>
          <w:tcPr>
            <w:tcW w:w="1401" w:type="dxa"/>
          </w:tcPr>
          <w:p w14:paraId="4C8AD1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1401" w:type="dxa"/>
          </w:tcPr>
          <w:p w14:paraId="04813A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401" w:type="dxa"/>
          </w:tcPr>
          <w:p w14:paraId="6CB93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401" w:type="dxa"/>
          </w:tcPr>
          <w:p w14:paraId="19CCF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w:t>
            </w:r>
          </w:p>
        </w:tc>
        <w:tc>
          <w:tcPr>
            <w:tcW w:w="2802" w:type="dxa"/>
            <w:gridSpan w:val="2"/>
          </w:tcPr>
          <w:p w14:paraId="66301C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p w14:paraId="5EC610B7"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6F7C35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401" w:type="dxa"/>
          </w:tcPr>
          <w:p w14:paraId="0B172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r>
      <w:tr w:rsidR="00561F31" w:rsidRPr="00F90EAE" w14:paraId="5E486E71" w14:textId="77777777">
        <w:tc>
          <w:tcPr>
            <w:tcW w:w="1401" w:type="dxa"/>
          </w:tcPr>
          <w:p w14:paraId="08096F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401" w:type="dxa"/>
          </w:tcPr>
          <w:p w14:paraId="6CF9D0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401" w:type="dxa"/>
          </w:tcPr>
          <w:p w14:paraId="46BD0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401" w:type="dxa"/>
          </w:tcPr>
          <w:p w14:paraId="5D3C96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802" w:type="dxa"/>
            <w:gridSpan w:val="2"/>
          </w:tcPr>
          <w:p w14:paraId="785AF6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p w14:paraId="54A79E4B"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D709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401" w:type="dxa"/>
          </w:tcPr>
          <w:p w14:paraId="23751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r>
      <w:tr w:rsidR="00561F31" w:rsidRPr="00F90EAE" w14:paraId="482985BC" w14:textId="77777777">
        <w:tc>
          <w:tcPr>
            <w:tcW w:w="1401" w:type="dxa"/>
          </w:tcPr>
          <w:p w14:paraId="1BC1C4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м2</w:t>
            </w:r>
          </w:p>
        </w:tc>
        <w:tc>
          <w:tcPr>
            <w:tcW w:w="1401" w:type="dxa"/>
          </w:tcPr>
          <w:p w14:paraId="73A818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401" w:type="dxa"/>
          </w:tcPr>
          <w:p w14:paraId="12B86F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401" w:type="dxa"/>
          </w:tcPr>
          <w:p w14:paraId="4890D6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15,35</w:t>
            </w:r>
          </w:p>
        </w:tc>
        <w:tc>
          <w:tcPr>
            <w:tcW w:w="2802" w:type="dxa"/>
            <w:gridSpan w:val="2"/>
          </w:tcPr>
          <w:p w14:paraId="77715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p w14:paraId="526FC3B1"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4B338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401" w:type="dxa"/>
          </w:tcPr>
          <w:p w14:paraId="0A966E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r>
      <w:tr w:rsidR="00561F31" w:rsidRPr="00F90EAE" w14:paraId="0C2E74B1" w14:textId="77777777">
        <w:tc>
          <w:tcPr>
            <w:tcW w:w="1401" w:type="dxa"/>
          </w:tcPr>
          <w:p w14:paraId="7BFC53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Взлетный вес, кг</w:t>
            </w:r>
          </w:p>
        </w:tc>
        <w:tc>
          <w:tcPr>
            <w:tcW w:w="1401" w:type="dxa"/>
          </w:tcPr>
          <w:p w14:paraId="1A265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2655</w:t>
            </w:r>
          </w:p>
        </w:tc>
        <w:tc>
          <w:tcPr>
            <w:tcW w:w="1401" w:type="dxa"/>
          </w:tcPr>
          <w:p w14:paraId="4B0631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2660</w:t>
            </w:r>
          </w:p>
        </w:tc>
        <w:tc>
          <w:tcPr>
            <w:tcW w:w="1401" w:type="dxa"/>
          </w:tcPr>
          <w:p w14:paraId="47A00E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2616</w:t>
            </w:r>
          </w:p>
        </w:tc>
        <w:tc>
          <w:tcPr>
            <w:tcW w:w="1401" w:type="dxa"/>
          </w:tcPr>
          <w:p w14:paraId="624715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2683</w:t>
            </w:r>
          </w:p>
        </w:tc>
        <w:tc>
          <w:tcPr>
            <w:tcW w:w="1401" w:type="dxa"/>
          </w:tcPr>
          <w:p w14:paraId="5C12E1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2710</w:t>
            </w:r>
          </w:p>
        </w:tc>
        <w:tc>
          <w:tcPr>
            <w:tcW w:w="1401" w:type="dxa"/>
          </w:tcPr>
          <w:p w14:paraId="5B6E0B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2756</w:t>
            </w:r>
          </w:p>
        </w:tc>
        <w:tc>
          <w:tcPr>
            <w:tcW w:w="1401" w:type="dxa"/>
          </w:tcPr>
          <w:p w14:paraId="27ABFD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2984</w:t>
            </w:r>
          </w:p>
        </w:tc>
      </w:tr>
      <w:tr w:rsidR="00561F31" w:rsidRPr="00F90EAE" w14:paraId="0FDD5F17" w14:textId="77777777">
        <w:tc>
          <w:tcPr>
            <w:tcW w:w="1401" w:type="dxa"/>
          </w:tcPr>
          <w:p w14:paraId="6D3F6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401" w:type="dxa"/>
          </w:tcPr>
          <w:p w14:paraId="33F781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2133</w:t>
            </w:r>
          </w:p>
        </w:tc>
        <w:tc>
          <w:tcPr>
            <w:tcW w:w="1401" w:type="dxa"/>
          </w:tcPr>
          <w:p w14:paraId="393815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2105</w:t>
            </w:r>
          </w:p>
        </w:tc>
        <w:tc>
          <w:tcPr>
            <w:tcW w:w="1401" w:type="dxa"/>
          </w:tcPr>
          <w:p w14:paraId="37A4AA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2171</w:t>
            </w:r>
          </w:p>
        </w:tc>
        <w:tc>
          <w:tcPr>
            <w:tcW w:w="1401" w:type="dxa"/>
          </w:tcPr>
          <w:p w14:paraId="431A8A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6C32F7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2146</w:t>
            </w:r>
          </w:p>
        </w:tc>
        <w:tc>
          <w:tcPr>
            <w:tcW w:w="1401" w:type="dxa"/>
          </w:tcPr>
          <w:p w14:paraId="7A4605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2129,5</w:t>
            </w:r>
          </w:p>
        </w:tc>
        <w:tc>
          <w:tcPr>
            <w:tcW w:w="1401" w:type="dxa"/>
          </w:tcPr>
          <w:p w14:paraId="6B4D4F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2346</w:t>
            </w:r>
          </w:p>
        </w:tc>
      </w:tr>
      <w:tr w:rsidR="00561F31" w:rsidRPr="00F90EAE" w14:paraId="117BE576" w14:textId="77777777">
        <w:tc>
          <w:tcPr>
            <w:tcW w:w="1401" w:type="dxa"/>
          </w:tcPr>
          <w:p w14:paraId="3A95BA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1401" w:type="dxa"/>
          </w:tcPr>
          <w:p w14:paraId="1D3265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1401" w:type="dxa"/>
          </w:tcPr>
          <w:p w14:paraId="317676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 (333)</w:t>
            </w:r>
          </w:p>
        </w:tc>
        <w:tc>
          <w:tcPr>
            <w:tcW w:w="1401" w:type="dxa"/>
          </w:tcPr>
          <w:p w14:paraId="28B2C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w:t>
            </w:r>
          </w:p>
        </w:tc>
        <w:tc>
          <w:tcPr>
            <w:tcW w:w="2802" w:type="dxa"/>
            <w:gridSpan w:val="2"/>
          </w:tcPr>
          <w:p w14:paraId="6C9C6E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267</w:t>
            </w:r>
          </w:p>
          <w:p w14:paraId="4856ED8E"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9E43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266</w:t>
            </w:r>
          </w:p>
        </w:tc>
        <w:tc>
          <w:tcPr>
            <w:tcW w:w="1401" w:type="dxa"/>
          </w:tcPr>
          <w:p w14:paraId="53A239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r>
      <w:tr w:rsidR="00561F31" w:rsidRPr="00F90EAE" w14:paraId="5E454AAF" w14:textId="77777777">
        <w:tc>
          <w:tcPr>
            <w:tcW w:w="1401" w:type="dxa"/>
          </w:tcPr>
          <w:p w14:paraId="591E87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 у зем^и на высоте, км</w:t>
            </w:r>
          </w:p>
        </w:tc>
        <w:tc>
          <w:tcPr>
            <w:tcW w:w="1401" w:type="dxa"/>
          </w:tcPr>
          <w:p w14:paraId="0349DC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545 632/4,45</w:t>
            </w:r>
          </w:p>
        </w:tc>
        <w:tc>
          <w:tcPr>
            <w:tcW w:w="1401" w:type="dxa"/>
          </w:tcPr>
          <w:p w14:paraId="43A417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570 651/4,3</w:t>
            </w:r>
          </w:p>
        </w:tc>
        <w:tc>
          <w:tcPr>
            <w:tcW w:w="1401" w:type="dxa"/>
          </w:tcPr>
          <w:p w14:paraId="09364C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503 692/10,85</w:t>
            </w:r>
          </w:p>
        </w:tc>
        <w:tc>
          <w:tcPr>
            <w:tcW w:w="1401" w:type="dxa"/>
          </w:tcPr>
          <w:p w14:paraId="0330B2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572 650/4,1</w:t>
            </w:r>
          </w:p>
        </w:tc>
        <w:tc>
          <w:tcPr>
            <w:tcW w:w="1401" w:type="dxa"/>
          </w:tcPr>
          <w:p w14:paraId="7E36F3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560 639/4,15</w:t>
            </w:r>
          </w:p>
        </w:tc>
        <w:tc>
          <w:tcPr>
            <w:tcW w:w="1401" w:type="dxa"/>
          </w:tcPr>
          <w:p w14:paraId="1D1F90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560 629/4,1</w:t>
            </w:r>
          </w:p>
        </w:tc>
        <w:tc>
          <w:tcPr>
            <w:tcW w:w="1401" w:type="dxa"/>
          </w:tcPr>
          <w:p w14:paraId="5EF0FD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w:t>
            </w:r>
          </w:p>
        </w:tc>
      </w:tr>
      <w:tr w:rsidR="00561F31" w:rsidRPr="00F90EAE" w14:paraId="34BB58F0" w14:textId="77777777">
        <w:tc>
          <w:tcPr>
            <w:tcW w:w="1401" w:type="dxa"/>
          </w:tcPr>
          <w:p w14:paraId="234EF1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720/5,75</w:t>
            </w:r>
          </w:p>
        </w:tc>
        <w:tc>
          <w:tcPr>
            <w:tcW w:w="1401" w:type="dxa"/>
          </w:tcPr>
          <w:p w14:paraId="2699FBA6"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7C57D090"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FE92C88"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3F5E3FF0"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DC7AE8F"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10806BA9"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29AEDF5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C8700C5" w14:textId="77777777">
        <w:tc>
          <w:tcPr>
            <w:tcW w:w="1401" w:type="dxa"/>
          </w:tcPr>
          <w:p w14:paraId="124FAF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401" w:type="dxa"/>
          </w:tcPr>
          <w:p w14:paraId="160BAF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401" w:type="dxa"/>
          </w:tcPr>
          <w:p w14:paraId="59518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401" w:type="dxa"/>
          </w:tcPr>
          <w:p w14:paraId="26E7CB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w:t>
            </w:r>
          </w:p>
        </w:tc>
        <w:tc>
          <w:tcPr>
            <w:tcW w:w="2802" w:type="dxa"/>
            <w:gridSpan w:val="2"/>
          </w:tcPr>
          <w:p w14:paraId="257A5D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w:t>
            </w:r>
          </w:p>
          <w:p w14:paraId="62651563"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5AF265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w:t>
            </w:r>
          </w:p>
        </w:tc>
        <w:tc>
          <w:tcPr>
            <w:tcW w:w="1401" w:type="dxa"/>
          </w:tcPr>
          <w:p w14:paraId="20237D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r>
      <w:tr w:rsidR="00561F31" w:rsidRPr="00F90EAE" w14:paraId="5438917A" w14:textId="77777777">
        <w:tc>
          <w:tcPr>
            <w:tcW w:w="1401" w:type="dxa"/>
          </w:tcPr>
          <w:p w14:paraId="323546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401" w:type="dxa"/>
          </w:tcPr>
          <w:p w14:paraId="40F0D4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10 800</w:t>
            </w:r>
          </w:p>
        </w:tc>
        <w:tc>
          <w:tcPr>
            <w:tcW w:w="1401" w:type="dxa"/>
          </w:tcPr>
          <w:p w14:paraId="721965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10 300</w:t>
            </w:r>
          </w:p>
        </w:tc>
        <w:tc>
          <w:tcPr>
            <w:tcW w:w="1401" w:type="dxa"/>
          </w:tcPr>
          <w:p w14:paraId="534B36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13 000</w:t>
            </w:r>
          </w:p>
        </w:tc>
        <w:tc>
          <w:tcPr>
            <w:tcW w:w="1401" w:type="dxa"/>
          </w:tcPr>
          <w:p w14:paraId="0777C8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195234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10 159</w:t>
            </w:r>
          </w:p>
        </w:tc>
        <w:tc>
          <w:tcPr>
            <w:tcW w:w="1401" w:type="dxa"/>
          </w:tcPr>
          <w:p w14:paraId="01B5FA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10 400</w:t>
            </w:r>
          </w:p>
        </w:tc>
        <w:tc>
          <w:tcPr>
            <w:tcW w:w="1401" w:type="dxa"/>
          </w:tcPr>
          <w:p w14:paraId="3D6484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11 800</w:t>
            </w:r>
          </w:p>
        </w:tc>
      </w:tr>
      <w:tr w:rsidR="00561F31" w:rsidRPr="00F90EAE" w14:paraId="1FBEC859" w14:textId="77777777">
        <w:tc>
          <w:tcPr>
            <w:tcW w:w="1401" w:type="dxa"/>
          </w:tcPr>
          <w:p w14:paraId="1931E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высоте 1000 м, с</w:t>
            </w:r>
          </w:p>
        </w:tc>
        <w:tc>
          <w:tcPr>
            <w:tcW w:w="1401" w:type="dxa"/>
          </w:tcPr>
          <w:p w14:paraId="2A0FC5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16-17</w:t>
            </w:r>
          </w:p>
        </w:tc>
        <w:tc>
          <w:tcPr>
            <w:tcW w:w="1401" w:type="dxa"/>
          </w:tcPr>
          <w:p w14:paraId="3A091E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16-17</w:t>
            </w:r>
          </w:p>
        </w:tc>
        <w:tc>
          <w:tcPr>
            <w:tcW w:w="1401" w:type="dxa"/>
          </w:tcPr>
          <w:p w14:paraId="0AD9A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401" w:type="dxa"/>
          </w:tcPr>
          <w:p w14:paraId="5B252C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3C1E8D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19-20</w:t>
            </w:r>
          </w:p>
        </w:tc>
        <w:tc>
          <w:tcPr>
            <w:tcW w:w="1401" w:type="dxa"/>
          </w:tcPr>
          <w:p w14:paraId="7B2A3E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401" w:type="dxa"/>
          </w:tcPr>
          <w:p w14:paraId="1EB84F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17-18</w:t>
            </w:r>
          </w:p>
        </w:tc>
      </w:tr>
      <w:tr w:rsidR="00561F31" w:rsidRPr="00F90EAE" w14:paraId="0727941E" w14:textId="77777777">
        <w:tc>
          <w:tcPr>
            <w:tcW w:w="1401" w:type="dxa"/>
          </w:tcPr>
          <w:p w14:paraId="7518D1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Набор высоты при боевом развороте с 1000 м, м</w:t>
            </w:r>
          </w:p>
        </w:tc>
        <w:tc>
          <w:tcPr>
            <w:tcW w:w="1401" w:type="dxa"/>
          </w:tcPr>
          <w:p w14:paraId="542A0D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1250-1300</w:t>
            </w:r>
          </w:p>
        </w:tc>
        <w:tc>
          <w:tcPr>
            <w:tcW w:w="1401" w:type="dxa"/>
          </w:tcPr>
          <w:p w14:paraId="6C47F3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1250-1300</w:t>
            </w:r>
          </w:p>
        </w:tc>
        <w:tc>
          <w:tcPr>
            <w:tcW w:w="1401" w:type="dxa"/>
          </w:tcPr>
          <w:p w14:paraId="1F4AD2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14720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75C373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6629EE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71A2A1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F72EDA5" w14:textId="77777777">
        <w:tc>
          <w:tcPr>
            <w:tcW w:w="1401" w:type="dxa"/>
          </w:tcPr>
          <w:p w14:paraId="146A02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401" w:type="dxa"/>
          </w:tcPr>
          <w:p w14:paraId="41F4FD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815</w:t>
            </w:r>
          </w:p>
        </w:tc>
        <w:tc>
          <w:tcPr>
            <w:tcW w:w="1401" w:type="dxa"/>
          </w:tcPr>
          <w:p w14:paraId="6EA7B4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815</w:t>
            </w:r>
          </w:p>
        </w:tc>
        <w:tc>
          <w:tcPr>
            <w:tcW w:w="1401" w:type="dxa"/>
          </w:tcPr>
          <w:p w14:paraId="32BD6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401" w:type="dxa"/>
          </w:tcPr>
          <w:p w14:paraId="28010B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4B266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w:t>
            </w:r>
          </w:p>
        </w:tc>
        <w:tc>
          <w:tcPr>
            <w:tcW w:w="1401" w:type="dxa"/>
          </w:tcPr>
          <w:p w14:paraId="1B8530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595</w:t>
            </w:r>
          </w:p>
        </w:tc>
        <w:tc>
          <w:tcPr>
            <w:tcW w:w="1401" w:type="dxa"/>
          </w:tcPr>
          <w:p w14:paraId="5FB3CA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r w:rsidR="00561F31" w:rsidRPr="00F90EAE" w14:paraId="2C804BFE" w14:textId="77777777">
        <w:tc>
          <w:tcPr>
            <w:tcW w:w="1401" w:type="dxa"/>
          </w:tcPr>
          <w:p w14:paraId="47139F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Разбег/пробег, м</w:t>
            </w:r>
          </w:p>
        </w:tc>
        <w:tc>
          <w:tcPr>
            <w:tcW w:w="1401" w:type="dxa"/>
          </w:tcPr>
          <w:p w14:paraId="56DB7D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275/485</w:t>
            </w:r>
          </w:p>
        </w:tc>
        <w:tc>
          <w:tcPr>
            <w:tcW w:w="1401" w:type="dxa"/>
          </w:tcPr>
          <w:p w14:paraId="3D5FA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401" w:type="dxa"/>
          </w:tcPr>
          <w:p w14:paraId="19A067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-295/485</w:t>
            </w:r>
          </w:p>
        </w:tc>
        <w:tc>
          <w:tcPr>
            <w:tcW w:w="1401" w:type="dxa"/>
          </w:tcPr>
          <w:p w14:paraId="39B3EDAB"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Pr>
          <w:p w14:paraId="46B187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295/550</w:t>
            </w:r>
          </w:p>
        </w:tc>
        <w:tc>
          <w:tcPr>
            <w:tcW w:w="1401" w:type="dxa"/>
          </w:tcPr>
          <w:p w14:paraId="23B08C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305/560</w:t>
            </w:r>
          </w:p>
        </w:tc>
        <w:tc>
          <w:tcPr>
            <w:tcW w:w="1401" w:type="dxa"/>
          </w:tcPr>
          <w:p w14:paraId="470882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345/590</w:t>
            </w:r>
          </w:p>
        </w:tc>
      </w:tr>
      <w:tr w:rsidR="00561F31" w:rsidRPr="00F90EAE" w14:paraId="26D24966" w14:textId="77777777">
        <w:tc>
          <w:tcPr>
            <w:tcW w:w="1401" w:type="dxa"/>
            <w:tcBorders>
              <w:bottom w:val="single" w:sz="12" w:space="0" w:color="auto"/>
            </w:tcBorders>
          </w:tcPr>
          <w:p w14:paraId="50F012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количество х калибр, мм (патроны)</w:t>
            </w:r>
          </w:p>
        </w:tc>
        <w:tc>
          <w:tcPr>
            <w:tcW w:w="1401" w:type="dxa"/>
            <w:tcBorders>
              <w:bottom w:val="single" w:sz="12" w:space="0" w:color="auto"/>
            </w:tcBorders>
          </w:tcPr>
          <w:p w14:paraId="24F676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2x12,7</w:t>
            </w:r>
          </w:p>
        </w:tc>
        <w:tc>
          <w:tcPr>
            <w:tcW w:w="1401" w:type="dxa"/>
            <w:tcBorders>
              <w:bottom w:val="single" w:sz="12" w:space="0" w:color="auto"/>
            </w:tcBorders>
          </w:tcPr>
          <w:p w14:paraId="1E37AB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1x20(110) 2x12,7 (300)</w:t>
            </w:r>
          </w:p>
        </w:tc>
        <w:tc>
          <w:tcPr>
            <w:tcW w:w="1401" w:type="dxa"/>
            <w:tcBorders>
              <w:bottom w:val="single" w:sz="12" w:space="0" w:color="auto"/>
            </w:tcBorders>
          </w:tcPr>
          <w:p w14:paraId="58ABD3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1x23 (60)</w:t>
            </w:r>
          </w:p>
        </w:tc>
        <w:tc>
          <w:tcPr>
            <w:tcW w:w="2802" w:type="dxa"/>
            <w:gridSpan w:val="2"/>
            <w:tcBorders>
              <w:bottom w:val="single" w:sz="12" w:space="0" w:color="auto"/>
            </w:tcBorders>
          </w:tcPr>
          <w:p w14:paraId="52CF1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 (110) 2x12,7 (300)</w:t>
            </w:r>
          </w:p>
          <w:p w14:paraId="6E5D577B" w14:textId="77777777" w:rsidR="00665165" w:rsidRPr="00F90EAE" w:rsidRDefault="00665165" w:rsidP="00F90EAE">
            <w:pPr>
              <w:autoSpaceDE w:val="0"/>
              <w:autoSpaceDN w:val="0"/>
              <w:adjustRightInd w:val="0"/>
              <w:jc w:val="both"/>
              <w:rPr>
                <w:color w:val="000000" w:themeColor="text1"/>
                <w:sz w:val="16"/>
                <w:szCs w:val="16"/>
              </w:rPr>
            </w:pPr>
          </w:p>
        </w:tc>
        <w:tc>
          <w:tcPr>
            <w:tcW w:w="1401" w:type="dxa"/>
            <w:tcBorders>
              <w:bottom w:val="single" w:sz="12" w:space="0" w:color="auto"/>
            </w:tcBorders>
          </w:tcPr>
          <w:p w14:paraId="0DF1EC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1x37 (25) 2x20 (200)</w:t>
            </w:r>
          </w:p>
        </w:tc>
        <w:tc>
          <w:tcPr>
            <w:tcW w:w="1401" w:type="dxa"/>
            <w:tcBorders>
              <w:bottom w:val="single" w:sz="12" w:space="0" w:color="auto"/>
            </w:tcBorders>
          </w:tcPr>
          <w:p w14:paraId="1516CD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1x20(110) 2x12,7 (300)</w:t>
            </w:r>
          </w:p>
        </w:tc>
      </w:tr>
    </w:tbl>
    <w:p w14:paraId="6C56A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Примечания: 1- смешанной конструкции; 2 - по результатам государственных испытаний; 3 - на 1-й границе высотности (200 м) - 1310 л.с., на 2-й границе высотности (2100 м) - 1240 л.с; 4 - на высоте 4750 м; 5 - по результатам заводских испытаний; 6 - скорость 500 км/ч, высота 5000 м. Продолжительность полета - 1 час 10 минут (12047).</w:t>
      </w:r>
    </w:p>
    <w:p w14:paraId="524E9B0E" w14:textId="77777777" w:rsidR="00665165" w:rsidRPr="00F90EAE" w:rsidRDefault="00665165" w:rsidP="00F90EAE">
      <w:pPr>
        <w:autoSpaceDE w:val="0"/>
        <w:autoSpaceDN w:val="0"/>
        <w:adjustRightInd w:val="0"/>
        <w:jc w:val="both"/>
        <w:rPr>
          <w:color w:val="000000" w:themeColor="text1"/>
          <w:sz w:val="16"/>
          <w:szCs w:val="16"/>
        </w:rPr>
      </w:pPr>
    </w:p>
    <w:p w14:paraId="11DACE81" w14:textId="77777777" w:rsidR="00102C23" w:rsidRPr="00F90EAE" w:rsidRDefault="00102C23" w:rsidP="00F90EAE">
      <w:pPr>
        <w:jc w:val="both"/>
        <w:rPr>
          <w:color w:val="0070C0"/>
          <w:sz w:val="16"/>
          <w:szCs w:val="16"/>
        </w:rPr>
      </w:pPr>
      <w:r w:rsidRPr="00F90EAE">
        <w:rPr>
          <w:color w:val="0070C0"/>
          <w:sz w:val="16"/>
          <w:szCs w:val="16"/>
        </w:rPr>
        <w:t>17 мая 1945 г. в ходе специальных испытаний для оценки прочности Як-3, которые проводил летчик НИИ ВВС Анохин, несмотря на точное соблюдение режима, у самолета разрушилось крыло. Летчик покинул машину с парашютом, но был тяжело ранен. Причиной такого положения дел была технология — невозможно сделать две деревянные детали с одинаковыми прочностью и массой. Переход на металл давно назрел, выпуск дюраля и его поставки по ленд-лизу увеличились, однако основная часть «крылатого металла» шла на бомбардировщики Ил-4, Ту-2 и Пе-2, а также на новые штурмовики Ил-10 и на металлические крылья, с которыми стали сдавать значительную часть Ил-2 (22751).</w:t>
      </w:r>
    </w:p>
    <w:p w14:paraId="1230E9F5" w14:textId="77777777" w:rsidR="00102C23" w:rsidRPr="00F90EAE" w:rsidRDefault="00102C23" w:rsidP="00F90EAE">
      <w:pPr>
        <w:jc w:val="both"/>
        <w:rPr>
          <w:color w:val="0070C0"/>
          <w:sz w:val="16"/>
          <w:szCs w:val="16"/>
        </w:rPr>
      </w:pPr>
    </w:p>
    <w:p w14:paraId="2C9F3FD4" w14:textId="77777777" w:rsidR="00637BF4" w:rsidRPr="00F90EAE" w:rsidRDefault="00637BF4" w:rsidP="00F90EAE">
      <w:pPr>
        <w:jc w:val="both"/>
        <w:rPr>
          <w:color w:val="000000" w:themeColor="text1"/>
          <w:sz w:val="16"/>
          <w:szCs w:val="16"/>
        </w:rPr>
      </w:pPr>
      <w:r w:rsidRPr="00F90EAE">
        <w:rPr>
          <w:color w:val="000000" w:themeColor="text1"/>
          <w:sz w:val="16"/>
          <w:szCs w:val="16"/>
        </w:rPr>
        <w:t>С 17 мая 1945 все силы конструкторского отдела сконцентрировали на машине «У». К этому времени оставались открытыми вопросы по общему виду крыла, стабилизатору, килю, мотораме управлению самолётом и мотором, капоту и ряду мелких агрегатов.По своей схеме экспериментальный самолёт «Утка» представлял подкосный высокоплан с трёхколёсным неубирающимся шасси с передней опорой. Его длина составляла 6,995 , высота - 2,79 м.</w:t>
      </w:r>
    </w:p>
    <w:p w14:paraId="74607663" w14:textId="77777777" w:rsidR="00637BF4" w:rsidRPr="00F90EAE" w:rsidRDefault="00637BF4" w:rsidP="00F90EAE">
      <w:pPr>
        <w:jc w:val="both"/>
        <w:rPr>
          <w:color w:val="000000" w:themeColor="text1"/>
          <w:sz w:val="16"/>
          <w:szCs w:val="16"/>
        </w:rPr>
      </w:pPr>
      <w:r w:rsidRPr="00F90EAE">
        <w:rPr>
          <w:color w:val="000000" w:themeColor="text1"/>
          <w:sz w:val="16"/>
          <w:szCs w:val="16"/>
        </w:rPr>
        <w:t>Каркас фюзеляжа был выполнен из сосновых брусков и имел фанерную обшивку. Пиле и пассажиры размещались в кабине закрытого типа. Она имела хорошее остекление, ко торое обеспечивало прекрасный обзор вперёд и в стороны. Сиденье пилота расположили по центру, а сиденья пассажиров справа и слева от оси самолёта со смещением относительно друг друга, что давало возможность наблюдателям следить за поведением машины в воздухе, не перекрывая друг другу обзор в стороны. Входная дверь находилась на левом борту. Носовая часть фюзеляжа заканчивалась балкой, предназначенной для установки горизонтального оперения. Кроме этого в балке расположили балансировочный груз массой 28 кг, а в её носовой части установили ПВД. Хвостовая часть фюзеляжа переходила вмоторный отсек, который заканчивался коком винта.</w:t>
      </w:r>
    </w:p>
    <w:p w14:paraId="33AAB405" w14:textId="77777777" w:rsidR="00637BF4" w:rsidRPr="00F90EAE" w:rsidRDefault="00637BF4" w:rsidP="00F90EAE">
      <w:pPr>
        <w:jc w:val="both"/>
        <w:rPr>
          <w:color w:val="000000" w:themeColor="text1"/>
          <w:sz w:val="16"/>
          <w:szCs w:val="16"/>
        </w:rPr>
      </w:pPr>
      <w:r w:rsidRPr="00F90EAE">
        <w:rPr>
          <w:color w:val="000000" w:themeColor="text1"/>
          <w:sz w:val="16"/>
          <w:szCs w:val="16"/>
        </w:rPr>
        <w:t xml:space="preserve">Двухлонжеронное крыло имело деревянный силовой набор и полотняную обшивку. Его стреловидность в плане составляла 20°, сужение - 1, удлинение - 6, угол установки +2*. Профиль «Кларк </w:t>
      </w:r>
      <w:r w:rsidRPr="00F90EAE">
        <w:rPr>
          <w:color w:val="000000" w:themeColor="text1"/>
          <w:sz w:val="16"/>
          <w:szCs w:val="16"/>
          <w:lang w:val="en-US"/>
        </w:rPr>
        <w:t>YH</w:t>
      </w:r>
      <w:r w:rsidRPr="00F90EAE">
        <w:rPr>
          <w:color w:val="000000" w:themeColor="text1"/>
          <w:sz w:val="16"/>
          <w:szCs w:val="16"/>
        </w:rPr>
        <w:t>» с постоянной относительной толщиной по размаху 12%. Размах крыла 9,5 м, а его площадь - 15 м</w:t>
      </w:r>
      <w:r w:rsidRPr="00F90EAE">
        <w:rPr>
          <w:color w:val="000000" w:themeColor="text1"/>
          <w:sz w:val="16"/>
          <w:szCs w:val="16"/>
          <w:vertAlign w:val="superscript"/>
        </w:rPr>
        <w:t>2</w:t>
      </w:r>
      <w:r w:rsidRPr="00F90EAE">
        <w:rPr>
          <w:color w:val="000000" w:themeColor="text1"/>
          <w:sz w:val="16"/>
          <w:szCs w:val="16"/>
        </w:rPr>
        <w:t xml:space="preserve">. Подкосы </w:t>
      </w:r>
      <w:r w:rsidRPr="00F90EAE">
        <w:rPr>
          <w:color w:val="000000" w:themeColor="text1"/>
          <w:sz w:val="16"/>
          <w:szCs w:val="16"/>
          <w:lang w:val="en-US"/>
        </w:rPr>
        <w:t>V</w:t>
      </w:r>
      <w:r w:rsidRPr="00F90EAE">
        <w:rPr>
          <w:color w:val="000000" w:themeColor="text1"/>
          <w:sz w:val="16"/>
          <w:szCs w:val="16"/>
        </w:rPr>
        <w:t>-образной формы сделали обтекаемыми.</w:t>
      </w:r>
    </w:p>
    <w:p w14:paraId="36C8E7A1" w14:textId="77777777" w:rsidR="00637BF4" w:rsidRPr="00F90EAE" w:rsidRDefault="00637BF4" w:rsidP="00F90EAE">
      <w:pPr>
        <w:jc w:val="both"/>
        <w:rPr>
          <w:color w:val="000000" w:themeColor="text1"/>
          <w:sz w:val="16"/>
          <w:szCs w:val="16"/>
        </w:rPr>
      </w:pPr>
      <w:r w:rsidRPr="00F90EAE">
        <w:rPr>
          <w:color w:val="000000" w:themeColor="text1"/>
          <w:sz w:val="16"/>
          <w:szCs w:val="16"/>
        </w:rPr>
        <w:t>Элероны типа «Фрайз» имели дюралевый каркас и полотняную обшивку. Их площадь составляла 1,2 м</w:t>
      </w:r>
      <w:r w:rsidRPr="00F90EAE">
        <w:rPr>
          <w:color w:val="000000" w:themeColor="text1"/>
          <w:sz w:val="16"/>
          <w:szCs w:val="16"/>
          <w:vertAlign w:val="superscript"/>
        </w:rPr>
        <w:t>2</w:t>
      </w:r>
      <w:r w:rsidRPr="00F90EAE">
        <w:rPr>
          <w:color w:val="000000" w:themeColor="text1"/>
          <w:sz w:val="16"/>
          <w:szCs w:val="16"/>
        </w:rPr>
        <w:t>. Предельное отклонение элеронов вверх 17°, вниз 15°.</w:t>
      </w:r>
    </w:p>
    <w:p w14:paraId="546ACDB9" w14:textId="77777777" w:rsidR="00637BF4" w:rsidRPr="00F90EAE" w:rsidRDefault="00637BF4" w:rsidP="00F90EAE">
      <w:pPr>
        <w:jc w:val="both"/>
        <w:rPr>
          <w:color w:val="000000" w:themeColor="text1"/>
          <w:sz w:val="16"/>
          <w:szCs w:val="16"/>
        </w:rPr>
      </w:pPr>
      <w:r w:rsidRPr="00F90EAE">
        <w:rPr>
          <w:color w:val="000000" w:themeColor="text1"/>
          <w:sz w:val="16"/>
          <w:szCs w:val="16"/>
        </w:rPr>
        <w:t>Вертикальное оперение установили на концах крыла в виде шайб высотой 1,65 м. Его общая площадь составляла 3 м</w:t>
      </w:r>
      <w:r w:rsidRPr="00F90EAE">
        <w:rPr>
          <w:color w:val="000000" w:themeColor="text1"/>
          <w:sz w:val="16"/>
          <w:szCs w:val="16"/>
          <w:vertAlign w:val="superscript"/>
        </w:rPr>
        <w:t>2</w:t>
      </w:r>
      <w:r w:rsidRPr="00F90EAE">
        <w:rPr>
          <w:color w:val="000000" w:themeColor="text1"/>
          <w:sz w:val="16"/>
          <w:szCs w:val="16"/>
        </w:rPr>
        <w:t xml:space="preserve">. Профиль </w:t>
      </w:r>
      <w:r w:rsidRPr="00F90EAE">
        <w:rPr>
          <w:color w:val="000000" w:themeColor="text1"/>
          <w:sz w:val="16"/>
          <w:szCs w:val="16"/>
          <w:lang w:val="en-US"/>
        </w:rPr>
        <w:t>NACA</w:t>
      </w:r>
      <w:r w:rsidRPr="00F90EAE">
        <w:rPr>
          <w:color w:val="000000" w:themeColor="text1"/>
          <w:sz w:val="16"/>
          <w:szCs w:val="16"/>
        </w:rPr>
        <w:t>-0012 с постоянной относительной толщиной 10%. Конструкция килей деревянная. Рули направления имели дюралевый каркас и полотняную обшивку. Их площадь составляла 1,2 м</w:t>
      </w:r>
      <w:r w:rsidRPr="00F90EAE">
        <w:rPr>
          <w:color w:val="000000" w:themeColor="text1"/>
          <w:sz w:val="16"/>
          <w:szCs w:val="16"/>
          <w:vertAlign w:val="superscript"/>
        </w:rPr>
        <w:t>2</w:t>
      </w:r>
      <w:r w:rsidRPr="00F90EAE">
        <w:rPr>
          <w:color w:val="000000" w:themeColor="text1"/>
          <w:sz w:val="16"/>
          <w:szCs w:val="16"/>
        </w:rPr>
        <w:t>. Предельное отклонение рулей вправо 21,5°, влево 25°.</w:t>
      </w:r>
    </w:p>
    <w:p w14:paraId="206321ED" w14:textId="77777777" w:rsidR="00637BF4" w:rsidRPr="00F90EAE" w:rsidRDefault="00637BF4" w:rsidP="00F90EAE">
      <w:pPr>
        <w:jc w:val="both"/>
        <w:rPr>
          <w:color w:val="000000" w:themeColor="text1"/>
          <w:sz w:val="16"/>
          <w:szCs w:val="16"/>
        </w:rPr>
      </w:pPr>
      <w:r w:rsidRPr="00F90EAE">
        <w:rPr>
          <w:color w:val="000000" w:themeColor="text1"/>
          <w:sz w:val="16"/>
          <w:szCs w:val="16"/>
        </w:rPr>
        <w:t>Размах горизонтального оперения 3,5 м, его площадь - 2,7 м</w:t>
      </w:r>
      <w:r w:rsidRPr="00F90EAE">
        <w:rPr>
          <w:color w:val="000000" w:themeColor="text1"/>
          <w:sz w:val="16"/>
          <w:szCs w:val="16"/>
          <w:vertAlign w:val="superscript"/>
        </w:rPr>
        <w:t>2</w:t>
      </w:r>
      <w:r w:rsidRPr="00F90EAE">
        <w:rPr>
          <w:color w:val="000000" w:themeColor="text1"/>
          <w:sz w:val="16"/>
          <w:szCs w:val="16"/>
        </w:rPr>
        <w:t xml:space="preserve">, удлинение - 4,5, угол установки ±5°. Профиль </w:t>
      </w:r>
      <w:r w:rsidRPr="00F90EAE">
        <w:rPr>
          <w:color w:val="000000" w:themeColor="text1"/>
          <w:sz w:val="16"/>
          <w:szCs w:val="16"/>
          <w:lang w:val="en-US"/>
        </w:rPr>
        <w:t>NACA</w:t>
      </w:r>
      <w:r w:rsidRPr="00F90EAE">
        <w:rPr>
          <w:color w:val="000000" w:themeColor="text1"/>
          <w:sz w:val="16"/>
          <w:szCs w:val="16"/>
        </w:rPr>
        <w:t>-0012 с относительной толщиной 12% в корне и 10% на кон</w:t>
      </w:r>
      <w:r w:rsidRPr="00F90EAE">
        <w:rPr>
          <w:color w:val="000000" w:themeColor="text1"/>
          <w:sz w:val="16"/>
          <w:szCs w:val="16"/>
        </w:rPr>
        <w:softHyphen/>
        <w:t>цах. Стабилизатор также имел деревянную конструкцию. Каркас руля высоты дюралевый, а обшивка полотняная. На правой половине руля находился неуправляемый триммер в виде! металлической пластины, которую при необходимости можно было отгибать на земле. Пло</w:t>
      </w:r>
      <w:r w:rsidRPr="00F90EAE">
        <w:rPr>
          <w:color w:val="000000" w:themeColor="text1"/>
          <w:sz w:val="16"/>
          <w:szCs w:val="16"/>
        </w:rPr>
        <w:softHyphen/>
        <w:t>щадь руля высоты составляла 1,05 м</w:t>
      </w:r>
      <w:r w:rsidRPr="00F90EAE">
        <w:rPr>
          <w:color w:val="000000" w:themeColor="text1"/>
          <w:sz w:val="16"/>
          <w:szCs w:val="16"/>
          <w:vertAlign w:val="superscript"/>
        </w:rPr>
        <w:t>2</w:t>
      </w:r>
      <w:r w:rsidRPr="00F90EAE">
        <w:rPr>
          <w:color w:val="000000" w:themeColor="text1"/>
          <w:sz w:val="16"/>
          <w:szCs w:val="16"/>
        </w:rPr>
        <w:t>. Предельное отклонение руля вверх 28°, вниз 29,5°.</w:t>
      </w:r>
    </w:p>
    <w:p w14:paraId="16195445" w14:textId="77777777" w:rsidR="00637BF4" w:rsidRPr="00F90EAE" w:rsidRDefault="00637BF4" w:rsidP="00F90EAE">
      <w:pPr>
        <w:jc w:val="both"/>
        <w:rPr>
          <w:color w:val="000000" w:themeColor="text1"/>
          <w:sz w:val="16"/>
          <w:szCs w:val="16"/>
        </w:rPr>
      </w:pPr>
      <w:r w:rsidRPr="00F90EAE">
        <w:rPr>
          <w:color w:val="000000" w:themeColor="text1"/>
          <w:sz w:val="16"/>
          <w:szCs w:val="16"/>
        </w:rPr>
        <w:t>Управление рулями направления и элеронами тросовое, управление рулём высоты - жёсткое. Рули и элероны имели осевую аэродинамическую компенсацию. Длина ручки управления самолётом составляла 0,52 м (15848).</w:t>
      </w:r>
    </w:p>
    <w:p w14:paraId="64C2A65E" w14:textId="77777777" w:rsidR="00637BF4" w:rsidRPr="00F90EAE" w:rsidRDefault="00637BF4" w:rsidP="00F90EAE">
      <w:pPr>
        <w:jc w:val="both"/>
        <w:rPr>
          <w:color w:val="000000" w:themeColor="text1"/>
          <w:sz w:val="16"/>
          <w:szCs w:val="16"/>
        </w:rPr>
      </w:pPr>
    </w:p>
    <w:p w14:paraId="1A75530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1FFA03E" w14:textId="77777777" w:rsidR="00665165" w:rsidRPr="00F90EAE" w:rsidRDefault="00665165" w:rsidP="00F90EAE">
      <w:pPr>
        <w:autoSpaceDE w:val="0"/>
        <w:autoSpaceDN w:val="0"/>
        <w:adjustRightInd w:val="0"/>
        <w:jc w:val="both"/>
        <w:rPr>
          <w:iCs/>
          <w:color w:val="000000" w:themeColor="text1"/>
          <w:sz w:val="16"/>
          <w:szCs w:val="16"/>
        </w:rPr>
      </w:pPr>
    </w:p>
    <w:p w14:paraId="66B33CCB" w14:textId="77777777" w:rsidR="00637BF4" w:rsidRPr="00F90EAE" w:rsidRDefault="00637BF4" w:rsidP="00F90EAE">
      <w:pPr>
        <w:shd w:val="clear" w:color="auto" w:fill="FFFFFF"/>
        <w:jc w:val="both"/>
        <w:rPr>
          <w:color w:val="000000" w:themeColor="text1"/>
          <w:sz w:val="16"/>
          <w:szCs w:val="16"/>
        </w:rPr>
      </w:pPr>
      <w:r w:rsidRPr="00F90EAE">
        <w:rPr>
          <w:color w:val="000000" w:themeColor="text1"/>
          <w:sz w:val="16"/>
          <w:szCs w:val="16"/>
        </w:rPr>
        <w:t>17 мая 1945 г. постановление ГОКО № 8650сс «О плане производства и поставки НКО СССР и Наркомвоенфлоту боеприпасов на июнь и июль 1945 года». Это постановление предписывало значительно сократить с июня 1945 г. производство боеприпасов и запрещало перевыполнять план по их производству (см. таблицу). Кроме того, оно поручало большой группе высокопоставленных советских руководителей (Вознесенскому Н.А., Швернику Н.М., Косыгину А.Н., Борисову Н.А., Ванникову Б.Л., Устинову Д.Ф., Паршину П.И., Первухину М.Г., Тевосяну И.Т., Ломако П.Ф., Кирпичникову П.И. и Александрову А.С.) «в 5-дневный срок разработать и представить в Оперативное Бюро ГОКО мероприятия по перестройке промышленности в связи с сокращением производства боеприпасов»</w:t>
      </w:r>
      <w:bookmarkStart w:id="9" w:name="_ednref7"/>
      <w:r w:rsidR="00A371FF" w:rsidRPr="00F90EAE">
        <w:rPr>
          <w:color w:val="000000" w:themeColor="text1"/>
          <w:sz w:val="16"/>
          <w:szCs w:val="16"/>
        </w:rPr>
        <w:fldChar w:fldCharType="begin"/>
      </w:r>
      <w:r w:rsidRPr="00F90EAE">
        <w:rPr>
          <w:color w:val="000000" w:themeColor="text1"/>
          <w:sz w:val="16"/>
          <w:szCs w:val="16"/>
        </w:rPr>
        <w:instrText xml:space="preserve"> HYPERLINK "http://ebookiriran.ru/index.php?view=article&amp;section=8&amp;id=184" \l "_edn7" \o "" </w:instrText>
      </w:r>
      <w:r w:rsidR="00A371FF" w:rsidRPr="00F90EAE">
        <w:rPr>
          <w:color w:val="000000" w:themeColor="text1"/>
          <w:sz w:val="16"/>
          <w:szCs w:val="16"/>
        </w:rPr>
        <w:fldChar w:fldCharType="separate"/>
      </w:r>
      <w:r w:rsidRPr="00F90EAE">
        <w:rPr>
          <w:rStyle w:val="a5"/>
          <w:color w:val="000000" w:themeColor="text1"/>
          <w:sz w:val="16"/>
          <w:szCs w:val="16"/>
        </w:rPr>
        <w:t>[7]</w:t>
      </w:r>
      <w:r w:rsidR="00A371FF" w:rsidRPr="00F90EAE">
        <w:rPr>
          <w:color w:val="000000" w:themeColor="text1"/>
          <w:sz w:val="16"/>
          <w:szCs w:val="16"/>
        </w:rPr>
        <w:fldChar w:fldCharType="end"/>
      </w:r>
      <w:bookmarkEnd w:id="9"/>
      <w:r w:rsidRPr="00F90EAE">
        <w:rPr>
          <w:color w:val="000000" w:themeColor="text1"/>
          <w:sz w:val="16"/>
          <w:szCs w:val="16"/>
        </w:rPr>
        <w:t xml:space="preserve">. </w:t>
      </w:r>
      <w:r w:rsidRPr="00F90EAE">
        <w:rPr>
          <w:rStyle w:val="a7"/>
          <w:b w:val="0"/>
          <w:color w:val="000000" w:themeColor="text1"/>
          <w:sz w:val="16"/>
          <w:szCs w:val="16"/>
        </w:rPr>
        <w:t>Сокращению производства некоторых видов боеприпасов по постановлениям ГОКО № 8650сс и 8804сс, в тыс. штук</w:t>
      </w:r>
    </w:p>
    <w:tbl>
      <w:tblPr>
        <w:tblW w:w="978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03"/>
        <w:gridCol w:w="2509"/>
        <w:gridCol w:w="2134"/>
        <w:gridCol w:w="2134"/>
      </w:tblGrid>
      <w:tr w:rsidR="00561F31" w:rsidRPr="00F90EAE" w14:paraId="1B64258E" w14:textId="77777777" w:rsidTr="00BE2FB1">
        <w:trPr>
          <w:trHeight w:val="66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5302286" w14:textId="77777777" w:rsidR="00637BF4" w:rsidRPr="00F90EAE" w:rsidRDefault="00637BF4" w:rsidP="00F90EAE">
            <w:pPr>
              <w:jc w:val="both"/>
              <w:rPr>
                <w:color w:val="000000" w:themeColor="text1"/>
                <w:sz w:val="16"/>
                <w:szCs w:val="16"/>
              </w:rPr>
            </w:pPr>
            <w:r w:rsidRPr="00F90EAE">
              <w:rPr>
                <w:rStyle w:val="a7"/>
                <w:b w:val="0"/>
                <w:color w:val="000000" w:themeColor="text1"/>
                <w:sz w:val="16"/>
                <w:szCs w:val="16"/>
              </w:rPr>
              <w:t>Вид боеприпаса</w:t>
            </w:r>
          </w:p>
        </w:tc>
        <w:tc>
          <w:tcPr>
            <w:tcW w:w="1605" w:type="dxa"/>
            <w:tcBorders>
              <w:top w:val="outset" w:sz="6" w:space="0" w:color="auto"/>
              <w:left w:val="outset" w:sz="6" w:space="0" w:color="auto"/>
              <w:bottom w:val="outset" w:sz="6" w:space="0" w:color="auto"/>
              <w:right w:val="outset" w:sz="6" w:space="0" w:color="auto"/>
            </w:tcBorders>
            <w:vAlign w:val="center"/>
            <w:hideMark/>
          </w:tcPr>
          <w:p w14:paraId="22A91BF0" w14:textId="77777777" w:rsidR="00637BF4" w:rsidRPr="00F90EAE" w:rsidRDefault="00637BF4" w:rsidP="00F90EAE">
            <w:pPr>
              <w:jc w:val="both"/>
              <w:rPr>
                <w:color w:val="000000" w:themeColor="text1"/>
                <w:sz w:val="16"/>
                <w:szCs w:val="16"/>
              </w:rPr>
            </w:pPr>
            <w:r w:rsidRPr="00F90EAE">
              <w:rPr>
                <w:rStyle w:val="a7"/>
                <w:b w:val="0"/>
                <w:color w:val="000000" w:themeColor="text1"/>
                <w:sz w:val="16"/>
                <w:szCs w:val="16"/>
              </w:rPr>
              <w:t>Первоначальный план на июнь</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CA194F0" w14:textId="77777777" w:rsidR="00637BF4" w:rsidRPr="00F90EAE" w:rsidRDefault="00637BF4" w:rsidP="00F90EAE">
            <w:pPr>
              <w:jc w:val="both"/>
              <w:rPr>
                <w:color w:val="000000" w:themeColor="text1"/>
                <w:sz w:val="16"/>
                <w:szCs w:val="16"/>
              </w:rPr>
            </w:pPr>
            <w:r w:rsidRPr="00F90EAE">
              <w:rPr>
                <w:rStyle w:val="a7"/>
                <w:b w:val="0"/>
                <w:color w:val="000000" w:themeColor="text1"/>
                <w:sz w:val="16"/>
                <w:szCs w:val="16"/>
              </w:rPr>
              <w:t>План на июнь по постановлению № 8650сс</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DDB915A" w14:textId="77777777" w:rsidR="00637BF4" w:rsidRPr="00F90EAE" w:rsidRDefault="00637BF4" w:rsidP="00F90EAE">
            <w:pPr>
              <w:jc w:val="both"/>
              <w:rPr>
                <w:color w:val="000000" w:themeColor="text1"/>
                <w:sz w:val="16"/>
                <w:szCs w:val="16"/>
              </w:rPr>
            </w:pPr>
            <w:r w:rsidRPr="00F90EAE">
              <w:rPr>
                <w:rStyle w:val="a7"/>
                <w:b w:val="0"/>
                <w:color w:val="000000" w:themeColor="text1"/>
                <w:sz w:val="16"/>
                <w:szCs w:val="16"/>
              </w:rPr>
              <w:t>План на июнь по постановлению № 8804сс</w:t>
            </w:r>
          </w:p>
        </w:tc>
      </w:tr>
      <w:tr w:rsidR="00561F31" w:rsidRPr="00F90EAE" w14:paraId="47A555BB" w14:textId="77777777" w:rsidTr="00BE2FB1">
        <w:trPr>
          <w:trHeight w:val="30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6C0175CD" w14:textId="77777777" w:rsidR="00637BF4" w:rsidRPr="00F90EAE" w:rsidRDefault="00637BF4" w:rsidP="00F90EAE">
            <w:pPr>
              <w:jc w:val="both"/>
              <w:rPr>
                <w:color w:val="000000" w:themeColor="text1"/>
                <w:sz w:val="16"/>
                <w:szCs w:val="16"/>
              </w:rPr>
            </w:pPr>
            <w:r w:rsidRPr="00F90EAE">
              <w:rPr>
                <w:color w:val="000000" w:themeColor="text1"/>
                <w:sz w:val="16"/>
                <w:szCs w:val="16"/>
              </w:rPr>
              <w:t>76-мм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0F1122AD" w14:textId="77777777" w:rsidR="00637BF4" w:rsidRPr="00F90EAE" w:rsidRDefault="00637BF4" w:rsidP="00F90EAE">
            <w:pPr>
              <w:jc w:val="both"/>
              <w:rPr>
                <w:color w:val="000000" w:themeColor="text1"/>
                <w:sz w:val="16"/>
                <w:szCs w:val="16"/>
              </w:rPr>
            </w:pPr>
            <w:r w:rsidRPr="00F90EAE">
              <w:rPr>
                <w:color w:val="000000" w:themeColor="text1"/>
                <w:sz w:val="16"/>
                <w:szCs w:val="16"/>
              </w:rPr>
              <w:t>3330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F6BFB3A" w14:textId="77777777" w:rsidR="00637BF4" w:rsidRPr="00F90EAE" w:rsidRDefault="00637BF4" w:rsidP="00F90EAE">
            <w:pPr>
              <w:jc w:val="both"/>
              <w:rPr>
                <w:color w:val="000000" w:themeColor="text1"/>
                <w:sz w:val="16"/>
                <w:szCs w:val="16"/>
              </w:rPr>
            </w:pPr>
            <w:r w:rsidRPr="00F90EAE">
              <w:rPr>
                <w:color w:val="000000" w:themeColor="text1"/>
                <w:sz w:val="16"/>
                <w:szCs w:val="16"/>
              </w:rPr>
              <w:t>1020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C919247" w14:textId="77777777" w:rsidR="00637BF4" w:rsidRPr="00F90EAE" w:rsidRDefault="00637BF4" w:rsidP="00F90EAE">
            <w:pPr>
              <w:jc w:val="both"/>
              <w:rPr>
                <w:color w:val="000000" w:themeColor="text1"/>
                <w:sz w:val="16"/>
                <w:szCs w:val="16"/>
              </w:rPr>
            </w:pPr>
            <w:r w:rsidRPr="00F90EAE">
              <w:rPr>
                <w:color w:val="000000" w:themeColor="text1"/>
                <w:sz w:val="16"/>
                <w:szCs w:val="16"/>
              </w:rPr>
              <w:t>780</w:t>
            </w:r>
          </w:p>
        </w:tc>
      </w:tr>
      <w:tr w:rsidR="00561F31" w:rsidRPr="00F90EAE" w14:paraId="39476E4B"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2CD6B9A8" w14:textId="77777777" w:rsidR="00637BF4" w:rsidRPr="00F90EAE" w:rsidRDefault="00637BF4" w:rsidP="00F90EAE">
            <w:pPr>
              <w:jc w:val="both"/>
              <w:rPr>
                <w:color w:val="000000" w:themeColor="text1"/>
                <w:sz w:val="16"/>
                <w:szCs w:val="16"/>
              </w:rPr>
            </w:pPr>
            <w:r w:rsidRPr="00F90EAE">
              <w:rPr>
                <w:color w:val="000000" w:themeColor="text1"/>
                <w:sz w:val="16"/>
                <w:szCs w:val="16"/>
              </w:rPr>
              <w:t>122-мм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49D29E3" w14:textId="77777777" w:rsidR="00637BF4" w:rsidRPr="00F90EAE" w:rsidRDefault="00637BF4" w:rsidP="00F90EAE">
            <w:pPr>
              <w:jc w:val="both"/>
              <w:rPr>
                <w:color w:val="000000" w:themeColor="text1"/>
                <w:sz w:val="16"/>
                <w:szCs w:val="16"/>
              </w:rPr>
            </w:pPr>
            <w:r w:rsidRPr="00F90EAE">
              <w:rPr>
                <w:color w:val="000000" w:themeColor="text1"/>
                <w:sz w:val="16"/>
                <w:szCs w:val="16"/>
              </w:rPr>
              <w:t>1065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5C5CCAB8" w14:textId="77777777" w:rsidR="00637BF4" w:rsidRPr="00F90EAE" w:rsidRDefault="00637BF4" w:rsidP="00F90EAE">
            <w:pPr>
              <w:jc w:val="both"/>
              <w:rPr>
                <w:color w:val="000000" w:themeColor="text1"/>
                <w:sz w:val="16"/>
                <w:szCs w:val="16"/>
              </w:rPr>
            </w:pPr>
            <w:r w:rsidRPr="00F90EAE">
              <w:rPr>
                <w:color w:val="000000" w:themeColor="text1"/>
                <w:sz w:val="16"/>
                <w:szCs w:val="16"/>
              </w:rPr>
              <w:t>685</w:t>
            </w:r>
          </w:p>
        </w:tc>
        <w:tc>
          <w:tcPr>
            <w:tcW w:w="1365" w:type="dxa"/>
            <w:tcBorders>
              <w:top w:val="outset" w:sz="6" w:space="0" w:color="auto"/>
              <w:left w:val="outset" w:sz="6" w:space="0" w:color="auto"/>
              <w:bottom w:val="outset" w:sz="6" w:space="0" w:color="auto"/>
              <w:right w:val="outset" w:sz="6" w:space="0" w:color="auto"/>
            </w:tcBorders>
            <w:vAlign w:val="center"/>
            <w:hideMark/>
          </w:tcPr>
          <w:p w14:paraId="6ED9EC34" w14:textId="77777777" w:rsidR="00637BF4" w:rsidRPr="00F90EAE" w:rsidRDefault="00637BF4" w:rsidP="00F90EAE">
            <w:pPr>
              <w:jc w:val="both"/>
              <w:rPr>
                <w:color w:val="000000" w:themeColor="text1"/>
                <w:sz w:val="16"/>
                <w:szCs w:val="16"/>
              </w:rPr>
            </w:pPr>
            <w:r w:rsidRPr="00F90EAE">
              <w:rPr>
                <w:color w:val="000000" w:themeColor="text1"/>
                <w:sz w:val="16"/>
                <w:szCs w:val="16"/>
              </w:rPr>
              <w:t>450</w:t>
            </w:r>
          </w:p>
        </w:tc>
      </w:tr>
      <w:tr w:rsidR="00561F31" w:rsidRPr="00F90EAE" w14:paraId="39E12431" w14:textId="77777777" w:rsidTr="00BE2FB1">
        <w:trPr>
          <w:trHeight w:val="270"/>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45F0034" w14:textId="77777777" w:rsidR="00637BF4" w:rsidRPr="00F90EAE" w:rsidRDefault="00637BF4" w:rsidP="00F90EAE">
            <w:pPr>
              <w:jc w:val="both"/>
              <w:rPr>
                <w:color w:val="000000" w:themeColor="text1"/>
                <w:sz w:val="16"/>
                <w:szCs w:val="16"/>
              </w:rPr>
            </w:pPr>
            <w:r w:rsidRPr="00F90EAE">
              <w:rPr>
                <w:color w:val="000000" w:themeColor="text1"/>
                <w:sz w:val="16"/>
                <w:szCs w:val="16"/>
              </w:rPr>
              <w:t>152-мм снаряды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4B976CE8" w14:textId="77777777" w:rsidR="00637BF4" w:rsidRPr="00F90EAE" w:rsidRDefault="00637BF4" w:rsidP="00F90EAE">
            <w:pPr>
              <w:jc w:val="both"/>
              <w:rPr>
                <w:color w:val="000000" w:themeColor="text1"/>
                <w:sz w:val="16"/>
                <w:szCs w:val="16"/>
              </w:rPr>
            </w:pPr>
            <w:r w:rsidRPr="00F90EAE">
              <w:rPr>
                <w:color w:val="000000" w:themeColor="text1"/>
                <w:sz w:val="16"/>
                <w:szCs w:val="16"/>
              </w:rPr>
              <w:t>370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0B39EBF5" w14:textId="77777777" w:rsidR="00637BF4" w:rsidRPr="00F90EAE" w:rsidRDefault="00637BF4" w:rsidP="00F90EAE">
            <w:pPr>
              <w:jc w:val="both"/>
              <w:rPr>
                <w:color w:val="000000" w:themeColor="text1"/>
                <w:sz w:val="16"/>
                <w:szCs w:val="16"/>
              </w:rPr>
            </w:pPr>
            <w:r w:rsidRPr="00F90EAE">
              <w:rPr>
                <w:color w:val="000000" w:themeColor="text1"/>
                <w:sz w:val="16"/>
                <w:szCs w:val="16"/>
              </w:rPr>
              <w:t>260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481DCA27" w14:textId="77777777" w:rsidR="00637BF4" w:rsidRPr="00F90EAE" w:rsidRDefault="00637BF4" w:rsidP="00F90EAE">
            <w:pPr>
              <w:jc w:val="both"/>
              <w:rPr>
                <w:color w:val="000000" w:themeColor="text1"/>
                <w:sz w:val="16"/>
                <w:szCs w:val="16"/>
              </w:rPr>
            </w:pPr>
            <w:r w:rsidRPr="00F90EAE">
              <w:rPr>
                <w:color w:val="000000" w:themeColor="text1"/>
                <w:sz w:val="16"/>
                <w:szCs w:val="16"/>
              </w:rPr>
              <w:t>203</w:t>
            </w:r>
          </w:p>
        </w:tc>
      </w:tr>
      <w:tr w:rsidR="00561F31" w:rsidRPr="00F90EAE" w14:paraId="6F1166A5" w14:textId="77777777" w:rsidTr="00BE2FB1">
        <w:trPr>
          <w:trHeight w:val="28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D364678" w14:textId="77777777" w:rsidR="00637BF4" w:rsidRPr="00F90EAE" w:rsidRDefault="00637BF4" w:rsidP="00F90EAE">
            <w:pPr>
              <w:jc w:val="both"/>
              <w:rPr>
                <w:color w:val="000000" w:themeColor="text1"/>
                <w:sz w:val="16"/>
                <w:szCs w:val="16"/>
              </w:rPr>
            </w:pPr>
            <w:r w:rsidRPr="00F90EAE">
              <w:rPr>
                <w:color w:val="000000" w:themeColor="text1"/>
                <w:sz w:val="16"/>
                <w:szCs w:val="16"/>
              </w:rPr>
              <w:t>Реактивные снаряды</w:t>
            </w:r>
            <w:bookmarkStart w:id="10" w:name="_ednref9"/>
            <w:r w:rsidR="00A371FF" w:rsidRPr="00F90EAE">
              <w:rPr>
                <w:color w:val="000000" w:themeColor="text1"/>
                <w:sz w:val="16"/>
                <w:szCs w:val="16"/>
              </w:rPr>
              <w:fldChar w:fldCharType="begin"/>
            </w:r>
            <w:r w:rsidRPr="00F90EAE">
              <w:rPr>
                <w:color w:val="000000" w:themeColor="text1"/>
                <w:sz w:val="16"/>
                <w:szCs w:val="16"/>
              </w:rPr>
              <w:instrText xml:space="preserve"> HYPERLINK "http://ebookiriran.ru/index.php?view=article&amp;section=8&amp;id=184" \l "_edn9" \o "" </w:instrText>
            </w:r>
            <w:r w:rsidR="00A371FF" w:rsidRPr="00F90EAE">
              <w:rPr>
                <w:color w:val="000000" w:themeColor="text1"/>
                <w:sz w:val="16"/>
                <w:szCs w:val="16"/>
              </w:rPr>
              <w:fldChar w:fldCharType="separate"/>
            </w:r>
            <w:r w:rsidRPr="00F90EAE">
              <w:rPr>
                <w:rStyle w:val="a5"/>
                <w:color w:val="000000" w:themeColor="text1"/>
                <w:sz w:val="16"/>
                <w:szCs w:val="16"/>
              </w:rPr>
              <w:t>[9]</w:t>
            </w:r>
            <w:r w:rsidR="00A371FF" w:rsidRPr="00F90EAE">
              <w:rPr>
                <w:color w:val="000000" w:themeColor="text1"/>
                <w:sz w:val="16"/>
                <w:szCs w:val="16"/>
              </w:rPr>
              <w:fldChar w:fldCharType="end"/>
            </w:r>
            <w:bookmarkEnd w:id="10"/>
          </w:p>
        </w:tc>
        <w:tc>
          <w:tcPr>
            <w:tcW w:w="1605" w:type="dxa"/>
            <w:tcBorders>
              <w:top w:val="outset" w:sz="6" w:space="0" w:color="auto"/>
              <w:left w:val="outset" w:sz="6" w:space="0" w:color="auto"/>
              <w:bottom w:val="outset" w:sz="6" w:space="0" w:color="auto"/>
              <w:right w:val="outset" w:sz="6" w:space="0" w:color="auto"/>
            </w:tcBorders>
            <w:vAlign w:val="center"/>
            <w:hideMark/>
          </w:tcPr>
          <w:p w14:paraId="763A14D3" w14:textId="77777777" w:rsidR="00637BF4" w:rsidRPr="00F90EAE" w:rsidRDefault="00637BF4" w:rsidP="00F90EAE">
            <w:pPr>
              <w:jc w:val="both"/>
              <w:rPr>
                <w:color w:val="000000" w:themeColor="text1"/>
                <w:sz w:val="16"/>
                <w:szCs w:val="16"/>
              </w:rPr>
            </w:pPr>
            <w:r w:rsidRPr="00F90EAE">
              <w:rPr>
                <w:color w:val="000000" w:themeColor="text1"/>
                <w:sz w:val="16"/>
                <w:szCs w:val="16"/>
              </w:rPr>
              <w:t>360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2D3DDB70" w14:textId="77777777" w:rsidR="00637BF4" w:rsidRPr="00F90EAE" w:rsidRDefault="00637BF4" w:rsidP="00F90EAE">
            <w:pPr>
              <w:jc w:val="both"/>
              <w:rPr>
                <w:color w:val="000000" w:themeColor="text1"/>
                <w:sz w:val="16"/>
                <w:szCs w:val="16"/>
              </w:rPr>
            </w:pPr>
            <w:r w:rsidRPr="00F90EAE">
              <w:rPr>
                <w:color w:val="000000" w:themeColor="text1"/>
                <w:sz w:val="16"/>
                <w:szCs w:val="16"/>
              </w:rPr>
              <w:t>10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39182A09" w14:textId="77777777" w:rsidR="00637BF4" w:rsidRPr="00F90EAE" w:rsidRDefault="00637BF4" w:rsidP="00F90EAE">
            <w:pPr>
              <w:jc w:val="both"/>
              <w:rPr>
                <w:color w:val="000000" w:themeColor="text1"/>
                <w:sz w:val="16"/>
                <w:szCs w:val="16"/>
              </w:rPr>
            </w:pPr>
            <w:r w:rsidRPr="00F90EAE">
              <w:rPr>
                <w:color w:val="000000" w:themeColor="text1"/>
                <w:sz w:val="16"/>
                <w:szCs w:val="16"/>
              </w:rPr>
              <w:t>10</w:t>
            </w:r>
          </w:p>
        </w:tc>
      </w:tr>
      <w:tr w:rsidR="00561F31" w:rsidRPr="00F90EAE" w14:paraId="25C1CF43" w14:textId="77777777" w:rsidTr="00BE2FB1">
        <w:trPr>
          <w:trHeight w:val="255"/>
          <w:tblCellSpacing w:w="0" w:type="dxa"/>
        </w:trPr>
        <w:tc>
          <w:tcPr>
            <w:tcW w:w="1920" w:type="dxa"/>
            <w:tcBorders>
              <w:top w:val="outset" w:sz="6" w:space="0" w:color="auto"/>
              <w:left w:val="outset" w:sz="6" w:space="0" w:color="auto"/>
              <w:bottom w:val="outset" w:sz="6" w:space="0" w:color="auto"/>
              <w:right w:val="outset" w:sz="6" w:space="0" w:color="auto"/>
            </w:tcBorders>
            <w:vAlign w:val="center"/>
            <w:hideMark/>
          </w:tcPr>
          <w:p w14:paraId="099BBDCF" w14:textId="77777777" w:rsidR="00637BF4" w:rsidRPr="00F90EAE" w:rsidRDefault="00637BF4" w:rsidP="00F90EAE">
            <w:pPr>
              <w:jc w:val="both"/>
              <w:rPr>
                <w:color w:val="000000" w:themeColor="text1"/>
                <w:sz w:val="16"/>
                <w:szCs w:val="16"/>
              </w:rPr>
            </w:pPr>
            <w:r w:rsidRPr="00F90EAE">
              <w:rPr>
                <w:color w:val="000000" w:themeColor="text1"/>
                <w:sz w:val="16"/>
                <w:szCs w:val="16"/>
              </w:rPr>
              <w:t>122-мм мины</w:t>
            </w:r>
          </w:p>
        </w:tc>
        <w:tc>
          <w:tcPr>
            <w:tcW w:w="1605" w:type="dxa"/>
            <w:tcBorders>
              <w:top w:val="outset" w:sz="6" w:space="0" w:color="auto"/>
              <w:left w:val="outset" w:sz="6" w:space="0" w:color="auto"/>
              <w:bottom w:val="outset" w:sz="6" w:space="0" w:color="auto"/>
              <w:right w:val="outset" w:sz="6" w:space="0" w:color="auto"/>
            </w:tcBorders>
            <w:vAlign w:val="center"/>
            <w:hideMark/>
          </w:tcPr>
          <w:p w14:paraId="36CD5709" w14:textId="77777777" w:rsidR="00637BF4" w:rsidRPr="00F90EAE" w:rsidRDefault="00637BF4" w:rsidP="00F90EAE">
            <w:pPr>
              <w:jc w:val="both"/>
              <w:rPr>
                <w:color w:val="000000" w:themeColor="text1"/>
                <w:sz w:val="16"/>
                <w:szCs w:val="16"/>
              </w:rPr>
            </w:pPr>
            <w:r w:rsidRPr="00F90EAE">
              <w:rPr>
                <w:color w:val="000000" w:themeColor="text1"/>
                <w:sz w:val="16"/>
                <w:szCs w:val="16"/>
              </w:rPr>
              <w:t>1850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7E90CDE1" w14:textId="77777777" w:rsidR="00637BF4" w:rsidRPr="00F90EAE" w:rsidRDefault="00637BF4" w:rsidP="00F90EAE">
            <w:pPr>
              <w:jc w:val="both"/>
              <w:rPr>
                <w:color w:val="000000" w:themeColor="text1"/>
                <w:sz w:val="16"/>
                <w:szCs w:val="16"/>
              </w:rPr>
            </w:pPr>
            <w:r w:rsidRPr="00F90EAE">
              <w:rPr>
                <w:color w:val="000000" w:themeColor="text1"/>
                <w:sz w:val="16"/>
                <w:szCs w:val="16"/>
              </w:rPr>
              <w:t>250</w:t>
            </w:r>
          </w:p>
        </w:tc>
        <w:tc>
          <w:tcPr>
            <w:tcW w:w="1365" w:type="dxa"/>
            <w:tcBorders>
              <w:top w:val="outset" w:sz="6" w:space="0" w:color="auto"/>
              <w:left w:val="outset" w:sz="6" w:space="0" w:color="auto"/>
              <w:bottom w:val="outset" w:sz="6" w:space="0" w:color="auto"/>
              <w:right w:val="outset" w:sz="6" w:space="0" w:color="auto"/>
            </w:tcBorders>
            <w:vAlign w:val="center"/>
            <w:hideMark/>
          </w:tcPr>
          <w:p w14:paraId="14373A3C" w14:textId="77777777" w:rsidR="00637BF4" w:rsidRPr="00F90EAE" w:rsidRDefault="00637BF4" w:rsidP="00F90EAE">
            <w:pPr>
              <w:jc w:val="both"/>
              <w:rPr>
                <w:color w:val="000000" w:themeColor="text1"/>
                <w:sz w:val="16"/>
                <w:szCs w:val="16"/>
              </w:rPr>
            </w:pPr>
            <w:r w:rsidRPr="00F90EAE">
              <w:rPr>
                <w:color w:val="000000" w:themeColor="text1"/>
                <w:sz w:val="16"/>
                <w:szCs w:val="16"/>
              </w:rPr>
              <w:t>185</w:t>
            </w:r>
          </w:p>
        </w:tc>
      </w:tr>
    </w:tbl>
    <w:p w14:paraId="1739116A" w14:textId="77777777" w:rsidR="00637BF4" w:rsidRPr="00F90EAE" w:rsidRDefault="00637BF4" w:rsidP="00F90EAE">
      <w:pPr>
        <w:shd w:val="clear" w:color="auto" w:fill="FFFFFF"/>
        <w:jc w:val="both"/>
        <w:rPr>
          <w:color w:val="000000" w:themeColor="text1"/>
          <w:sz w:val="16"/>
          <w:szCs w:val="16"/>
        </w:rPr>
      </w:pPr>
      <w:r w:rsidRPr="00F90EAE">
        <w:rPr>
          <w:rStyle w:val="af0"/>
          <w:i w:val="0"/>
          <w:color w:val="000000" w:themeColor="text1"/>
          <w:sz w:val="16"/>
          <w:szCs w:val="16"/>
        </w:rPr>
        <w:t xml:space="preserve">Источник: </w:t>
      </w:r>
      <w:r w:rsidRPr="00F90EAE">
        <w:rPr>
          <w:color w:val="000000" w:themeColor="text1"/>
          <w:sz w:val="16"/>
          <w:szCs w:val="16"/>
        </w:rPr>
        <w:t>РГАСПИ. — Ф. 644. — Оп. 1. — Д. 418. — Л. 19—23; Д. 420. — Л. 81—90 (15847).</w:t>
      </w:r>
    </w:p>
    <w:p w14:paraId="035DBB58" w14:textId="77777777" w:rsidR="00637BF4" w:rsidRPr="00F90EAE" w:rsidRDefault="00637BF4" w:rsidP="00F90EAE">
      <w:pPr>
        <w:shd w:val="clear" w:color="auto" w:fill="FFFFFF"/>
        <w:jc w:val="both"/>
        <w:rPr>
          <w:color w:val="000000" w:themeColor="text1"/>
          <w:sz w:val="16"/>
          <w:szCs w:val="16"/>
        </w:rPr>
      </w:pPr>
    </w:p>
    <w:p w14:paraId="3DE8DC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мая 1945 г. была подготовлена ДОКЛАДНАЯ ЗАПИСКА НАЧАЛЬНИКА ГАУ КА ЗАМЕСТИТЕЛЮ ПРЕДСЕДАТЕЛЯ ГКО СССР Л.П. БЕРИИ О РАБОТЕ ПО ПОВЫШЕНИЮ МОЩНОСТИ ВООРУЖЕНИЯ СРЕДНИХ ТАНКОВ Т-34, Т-44 и Т-54</w:t>
      </w:r>
      <w:r w:rsidRPr="00F90EAE">
        <w:rPr>
          <w:color w:val="000000" w:themeColor="text1"/>
          <w:sz w:val="16"/>
          <w:szCs w:val="16"/>
          <w:vertAlign w:val="superscript"/>
        </w:rPr>
        <w:t>1</w:t>
      </w:r>
    </w:p>
    <w:p w14:paraId="295C7F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Докладываю о проведенной Наркоматом вооружения и заводами № 92 и 9 работе по повышению мощности вооружения средних танков типа Т-34, Т-44 и Т-54.</w:t>
      </w:r>
    </w:p>
    <w:p w14:paraId="5CA2F5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этих танков, с расширенным, до 1700 мм, погоном башни, были изготовлены два образца 100-мм танковых пушек:</w:t>
      </w:r>
    </w:p>
    <w:p w14:paraId="72BE12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- 100-мм пушка ЛБ-1 завода №92 (г. Горький);</w:t>
      </w:r>
    </w:p>
    <w:p w14:paraId="00E3DF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- 100-мм пушка Д-10-1 завода №9 (г. Свердловск, в основу которой положена самоходная пушка Д-10-С).</w:t>
      </w:r>
    </w:p>
    <w:p w14:paraId="410F43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 пушки были смонтированы поочередно в танк Т-34 с расширенным погоном башни и в пери</w:t>
      </w:r>
      <w:r w:rsidRPr="00F90EAE">
        <w:rPr>
          <w:color w:val="000000" w:themeColor="text1"/>
          <w:sz w:val="16"/>
          <w:szCs w:val="16"/>
        </w:rPr>
        <w:softHyphen/>
        <w:t>од 6-27 апреля с.г. испытаны на Гороховецком испытательном артиллерийском полигоне по общей программе, включающей в себя стрельбу 100 выстрелами и пробег 500 километров.</w:t>
      </w:r>
    </w:p>
    <w:p w14:paraId="018E09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проводила комиссия, назначенная совместным приказом народного комиссара воо</w:t>
      </w:r>
      <w:r w:rsidRPr="00F90EAE">
        <w:rPr>
          <w:color w:val="000000" w:themeColor="text1"/>
          <w:sz w:val="16"/>
          <w:szCs w:val="16"/>
        </w:rPr>
        <w:softHyphen/>
        <w:t>ружения, народного комиссара танковой промышленности, начальником ГАУ КА и командующего БТ и МВ КА.</w:t>
      </w:r>
    </w:p>
    <w:p w14:paraId="411F80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Обе пушки испытания выдержали:</w:t>
      </w:r>
    </w:p>
    <w:p w14:paraId="70A47D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- 100-мм пушка ЛБ-1 прошла испытания почти без существенных замечаний;</w:t>
      </w:r>
    </w:p>
    <w:p w14:paraId="716D56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- 100-мм пушка Д-10-Т прошла испытания, имея ряд замечаний по доработке, так, например:</w:t>
      </w:r>
    </w:p>
    <w:p w14:paraId="0A94CA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необходимо ввести в подъемный механизм сдающее (предохранительное) звено;</w:t>
      </w:r>
    </w:p>
    <w:p w14:paraId="0931F3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установить крепление по-походному;</w:t>
      </w:r>
    </w:p>
    <w:p w14:paraId="5C5EE1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изменить взаимное расположение рукоятей и ограждения для предохранения руки наводчика от ушибов;</w:t>
      </w:r>
    </w:p>
    <w:p w14:paraId="3EF85D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упрочнить лапки выбрасывателя.</w:t>
      </w:r>
    </w:p>
    <w:p w14:paraId="591EC1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боевом обслуживании этой пушки, кроме того, отмечены следующие недостатки:</w:t>
      </w:r>
    </w:p>
    <w:p w14:paraId="0BE60C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нет рычага для ручного сбрасывания лапок экстрактора;</w:t>
      </w:r>
    </w:p>
    <w:p w14:paraId="1387EC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нельзя открыть затвор вручную при углах склонения больше 15";</w:t>
      </w:r>
    </w:p>
    <w:p w14:paraId="609433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заряжание пушки, при углах возвышения больше 9", неудобно. Эти недостатки и другие, не указанные здесь, могут быть устранены и доработаны. Учитывая наличие двух пушек и результаты проведенных полигонных испытаний, ГАУ считает целесообразным следующие решение:</w:t>
      </w:r>
    </w:p>
    <w:p w14:paraId="308DD2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Если по боевым требованиям танк Т-34 целесообразно вооружить 100-мм танковой пушкой, -принять на вооружение этих танков 100-мм танковую пушку ЛБ-1.</w:t>
      </w:r>
    </w:p>
    <w:p w14:paraId="4BDBD8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 случае значительной потребности в 100-мм танковых пушках в течение ближайших месяцев, -временно допустить для вооружения танков Т-34 две пушки, т.е. ЛБ-1 и Д-10-Т с тем, чтобы по миновании напряженного момента с поставкой пушек, на вооружении этих танков осталась одна 100-мм пушка ЛБ-1.</w:t>
      </w:r>
    </w:p>
    <w:p w14:paraId="4C11BA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Исчерпывающим решением по усилению танкового вооружения было бы скорейшее рассмот</w:t>
      </w:r>
      <w:r w:rsidRPr="00F90EAE">
        <w:rPr>
          <w:color w:val="000000" w:themeColor="text1"/>
          <w:sz w:val="16"/>
          <w:szCs w:val="16"/>
        </w:rPr>
        <w:softHyphen/>
        <w:t>рение вопроса о танке Т-44, который с 100-мм танковой пушкой будет, судя по предварительным данным, образцом более приемлемым для войск, чем танк Т-34.</w:t>
      </w:r>
    </w:p>
    <w:p w14:paraId="5F3EEE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ГАУ КА маршал артиллерии Н. Яковлев</w:t>
      </w:r>
    </w:p>
    <w:p w14:paraId="0C562A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2732. Л. 80-81. Подлинник.</w:t>
      </w:r>
    </w:p>
    <w:p w14:paraId="60A477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vertAlign w:val="superscript"/>
        </w:rPr>
        <w:t>1</w:t>
      </w:r>
      <w:r w:rsidRPr="00F90EAE">
        <w:rPr>
          <w:color w:val="000000" w:themeColor="text1"/>
          <w:sz w:val="16"/>
          <w:szCs w:val="16"/>
        </w:rPr>
        <w:t xml:space="preserve"> Надокументе сделана надпись: «тт. Малышеву, Федоренко, Коробкову, Устинову, Петросьянцу, Яковлеву, Кирпичемкову. Представьте свои предложения. Л. Берия. 22.05.1945 г.» (11420).</w:t>
      </w:r>
    </w:p>
    <w:p w14:paraId="2078D159" w14:textId="77777777" w:rsidR="00665165" w:rsidRPr="00F90EAE" w:rsidRDefault="00665165" w:rsidP="00F90EAE">
      <w:pPr>
        <w:autoSpaceDE w:val="0"/>
        <w:autoSpaceDN w:val="0"/>
        <w:adjustRightInd w:val="0"/>
        <w:jc w:val="both"/>
        <w:rPr>
          <w:color w:val="000000" w:themeColor="text1"/>
          <w:sz w:val="16"/>
          <w:szCs w:val="16"/>
        </w:rPr>
      </w:pPr>
    </w:p>
    <w:p w14:paraId="5603F4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Постановление ГКО № 8650 О плане производства и поставки НКО СССР и Наркомвоенморфлоту боеприпасов на июнь и июль 1945 года. РГАНИР, Фонд ГКО, д. 418, лл. 14-23 (11012).</w:t>
      </w:r>
    </w:p>
    <w:p w14:paraId="70CFB87D" w14:textId="77777777" w:rsidR="00665165" w:rsidRPr="00F90EAE" w:rsidRDefault="00665165" w:rsidP="00F90EAE">
      <w:pPr>
        <w:autoSpaceDE w:val="0"/>
        <w:autoSpaceDN w:val="0"/>
        <w:adjustRightInd w:val="0"/>
        <w:jc w:val="both"/>
        <w:rPr>
          <w:color w:val="000000" w:themeColor="text1"/>
          <w:sz w:val="16"/>
          <w:szCs w:val="16"/>
        </w:rPr>
      </w:pPr>
    </w:p>
    <w:p w14:paraId="6BE593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Постановление ГКО № 8651 О плане производства и поставки артиллерийского, минометного, стрелкового вооружения и военных приборов НКО СССР в июне-июле 1945 г. РГАНИР, Фонд ГКО, д. 418, лл. 24-29, 30-32 (11012).</w:t>
      </w:r>
    </w:p>
    <w:p w14:paraId="6157000A" w14:textId="77777777" w:rsidR="00665165" w:rsidRPr="00F90EAE" w:rsidRDefault="00665165" w:rsidP="00F90EAE">
      <w:pPr>
        <w:autoSpaceDE w:val="0"/>
        <w:autoSpaceDN w:val="0"/>
        <w:adjustRightInd w:val="0"/>
        <w:jc w:val="both"/>
        <w:rPr>
          <w:color w:val="000000" w:themeColor="text1"/>
          <w:sz w:val="16"/>
          <w:szCs w:val="16"/>
        </w:rPr>
      </w:pPr>
    </w:p>
    <w:p w14:paraId="61A968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8652. О дополнительном выделении бензина НКГБ в мае 1945 г. РГАНИР, Фонд ГКО, д. 418, лл. 33 (11012).</w:t>
      </w:r>
    </w:p>
    <w:p w14:paraId="3B136F06" w14:textId="77777777" w:rsidR="00665165" w:rsidRPr="00F90EAE" w:rsidRDefault="00665165" w:rsidP="00F90EAE">
      <w:pPr>
        <w:autoSpaceDE w:val="0"/>
        <w:autoSpaceDN w:val="0"/>
        <w:adjustRightInd w:val="0"/>
        <w:jc w:val="both"/>
        <w:rPr>
          <w:color w:val="000000" w:themeColor="text1"/>
          <w:sz w:val="16"/>
          <w:szCs w:val="16"/>
        </w:rPr>
      </w:pPr>
    </w:p>
    <w:p w14:paraId="739708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8653. Об увеличении плана перевозок металла, метизов и сырья для НКНП в мае 1945 г. РГАНИР, Фонд ГКО, д. 418, лл. 34 (11012).</w:t>
      </w:r>
    </w:p>
    <w:p w14:paraId="04238B1D" w14:textId="77777777" w:rsidR="00665165" w:rsidRPr="00F90EAE" w:rsidRDefault="00665165" w:rsidP="00F90EAE">
      <w:pPr>
        <w:autoSpaceDE w:val="0"/>
        <w:autoSpaceDN w:val="0"/>
        <w:adjustRightInd w:val="0"/>
        <w:jc w:val="both"/>
        <w:rPr>
          <w:color w:val="000000" w:themeColor="text1"/>
          <w:sz w:val="16"/>
          <w:szCs w:val="16"/>
        </w:rPr>
      </w:pPr>
    </w:p>
    <w:p w14:paraId="629C9CB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8654 [Об уменьшении плана вывоза из Череповца нефтепродуктов речным транспортом для НКВМФ и НКРФ.] (7342, 35).</w:t>
      </w:r>
    </w:p>
    <w:p w14:paraId="2D34253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85876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8655 [О поставках металла, метизов, нефтебитума и цемента Соликамстрою НКВД и заводу № 577 НКБ.] (7342, 36-37,38-39).</w:t>
      </w:r>
    </w:p>
    <w:p w14:paraId="51A93A8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4368C3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8656 [О мерах по ускорению разработки отечественной системы каталитического крекинга и материально-техническом снабжении соответствующих промышленных объектов.] (7342, 40-42,43-45).</w:t>
      </w:r>
    </w:p>
    <w:p w14:paraId="1BAE88B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1BF2FF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8657 [О поставках нефтепродуктов НКВД для строительства газопровода Саратов - Москва.] (7342, 46,47-48).</w:t>
      </w:r>
    </w:p>
    <w:p w14:paraId="6EA0EB8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E779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Распоряжение ГКО № 8658. О поставках оборудования для строительства электростанции треста "Туймазанефть". РГАНИР, Фонд ГКО, д. 418, лл. 49, 50-51 (11012).</w:t>
      </w:r>
    </w:p>
    <w:p w14:paraId="3C197D6A" w14:textId="77777777" w:rsidR="00665165" w:rsidRPr="00F90EAE" w:rsidRDefault="00665165" w:rsidP="00F90EAE">
      <w:pPr>
        <w:autoSpaceDE w:val="0"/>
        <w:autoSpaceDN w:val="0"/>
        <w:adjustRightInd w:val="0"/>
        <w:jc w:val="both"/>
        <w:rPr>
          <w:color w:val="000000" w:themeColor="text1"/>
          <w:sz w:val="16"/>
          <w:szCs w:val="16"/>
        </w:rPr>
      </w:pPr>
    </w:p>
    <w:p w14:paraId="38ED15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 мая 1945 вышло Постановление ГКО № 8659 О завозе в 1945 году угля в Литовскую и Латвийскую ССР. РГАНИР, Фонд ГКО, д. 418, лл. 52, 53 (11012).</w:t>
      </w:r>
    </w:p>
    <w:p w14:paraId="7A5A548C" w14:textId="77777777" w:rsidR="00665165" w:rsidRPr="00F90EAE" w:rsidRDefault="00665165" w:rsidP="00F90EAE">
      <w:pPr>
        <w:autoSpaceDE w:val="0"/>
        <w:autoSpaceDN w:val="0"/>
        <w:adjustRightInd w:val="0"/>
        <w:jc w:val="both"/>
        <w:rPr>
          <w:color w:val="000000" w:themeColor="text1"/>
          <w:sz w:val="16"/>
          <w:szCs w:val="16"/>
        </w:rPr>
      </w:pPr>
    </w:p>
    <w:p w14:paraId="766A7A0A" w14:textId="77777777" w:rsidR="00FC542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DD8C326" w14:textId="77777777" w:rsidR="00FC5427" w:rsidRPr="00F90EAE" w:rsidRDefault="00FC5427" w:rsidP="00F90EAE">
      <w:pPr>
        <w:autoSpaceDE w:val="0"/>
        <w:autoSpaceDN w:val="0"/>
        <w:adjustRightInd w:val="0"/>
        <w:jc w:val="both"/>
        <w:rPr>
          <w:iCs/>
          <w:color w:val="000000" w:themeColor="text1"/>
          <w:sz w:val="16"/>
          <w:szCs w:val="16"/>
        </w:rPr>
      </w:pPr>
    </w:p>
    <w:p w14:paraId="2FC369D7" w14:textId="77777777" w:rsidR="00FC5427" w:rsidRPr="00F90EAE" w:rsidRDefault="00FC5427" w:rsidP="00F90EAE">
      <w:pPr>
        <w:autoSpaceDE w:val="0"/>
        <w:autoSpaceDN w:val="0"/>
        <w:adjustRightInd w:val="0"/>
        <w:jc w:val="both"/>
        <w:rPr>
          <w:color w:val="000000" w:themeColor="text1"/>
          <w:sz w:val="16"/>
          <w:szCs w:val="16"/>
        </w:rPr>
      </w:pPr>
      <w:r w:rsidRPr="00F90EAE">
        <w:rPr>
          <w:color w:val="000000" w:themeColor="text1"/>
          <w:sz w:val="16"/>
          <w:szCs w:val="16"/>
        </w:rPr>
        <w:t>17 мая 1945 Завершена капитуляция отдельных немецких группировок бывшей ГР.А "Австрия" перед советскими войсками. В боях за освобождение Австрии (30.03-11.05.1945) советские войска потеряли около 26 тыс.человек (7444).</w:t>
      </w:r>
    </w:p>
    <w:p w14:paraId="76C01945" w14:textId="77777777" w:rsidR="00FC5427" w:rsidRPr="00F90EAE" w:rsidRDefault="00FC5427" w:rsidP="00F90EAE">
      <w:pPr>
        <w:autoSpaceDE w:val="0"/>
        <w:autoSpaceDN w:val="0"/>
        <w:adjustRightInd w:val="0"/>
        <w:jc w:val="both"/>
        <w:rPr>
          <w:color w:val="000000" w:themeColor="text1"/>
          <w:sz w:val="16"/>
          <w:szCs w:val="16"/>
        </w:rPr>
      </w:pPr>
    </w:p>
    <w:p w14:paraId="429666CD" w14:textId="77777777" w:rsidR="00FC5427" w:rsidRPr="00F90EAE" w:rsidRDefault="00FC5427" w:rsidP="00F90EAE">
      <w:pPr>
        <w:shd w:val="clear" w:color="auto" w:fill="FFFFFF"/>
        <w:jc w:val="both"/>
        <w:rPr>
          <w:color w:val="000000" w:themeColor="text1"/>
          <w:sz w:val="16"/>
          <w:szCs w:val="16"/>
        </w:rPr>
      </w:pPr>
      <w:r w:rsidRPr="00F90EAE">
        <w:rPr>
          <w:color w:val="000000" w:themeColor="text1"/>
          <w:sz w:val="16"/>
          <w:szCs w:val="16"/>
        </w:rPr>
        <w:t>17 мая 1945 г. Германия: в Берлин прилетел генерал Павел Мешик для проверки на месте данных и материалов о самоубийстве Гитлера, доклад результатов в Москву – вероятно Сталину – подписание актов</w:t>
      </w:r>
    </w:p>
    <w:p w14:paraId="1EF28E55" w14:textId="77777777" w:rsidR="00FC5427" w:rsidRPr="00F90EAE" w:rsidRDefault="00FC5427" w:rsidP="00F90EAE">
      <w:pPr>
        <w:shd w:val="clear" w:color="auto" w:fill="FFFFFF"/>
        <w:jc w:val="both"/>
        <w:rPr>
          <w:color w:val="000000" w:themeColor="text1"/>
          <w:sz w:val="16"/>
          <w:szCs w:val="16"/>
        </w:rPr>
      </w:pPr>
      <w:r w:rsidRPr="00F90EAE">
        <w:rPr>
          <w:bCs/>
          <w:iCs/>
          <w:color w:val="000000" w:themeColor="text1"/>
          <w:sz w:val="16"/>
          <w:szCs w:val="16"/>
        </w:rPr>
        <w:t>Елена Ржевская «Берлин, май 1945: Записки военного переводчика»:</w:t>
      </w:r>
    </w:p>
    <w:p w14:paraId="5A4B0DC5" w14:textId="77777777" w:rsidR="00FC5427" w:rsidRPr="00F90EAE" w:rsidRDefault="00FC5427" w:rsidP="00F90EAE">
      <w:pPr>
        <w:shd w:val="clear" w:color="auto" w:fill="FFFFFF"/>
        <w:jc w:val="both"/>
        <w:rPr>
          <w:color w:val="000000" w:themeColor="text1"/>
          <w:sz w:val="16"/>
          <w:szCs w:val="16"/>
        </w:rPr>
      </w:pPr>
      <w:r w:rsidRPr="00F90EAE">
        <w:rPr>
          <w:color w:val="000000" w:themeColor="text1"/>
          <w:sz w:val="16"/>
          <w:szCs w:val="16"/>
        </w:rPr>
        <w:t>18 мая 1945 года</w:t>
      </w:r>
      <w:r w:rsidRPr="00F90EAE">
        <w:rPr>
          <w:bCs/>
          <w:color w:val="000000" w:themeColor="text1"/>
          <w:sz w:val="16"/>
          <w:szCs w:val="16"/>
        </w:rPr>
        <w:t xml:space="preserve"> – 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0C5C35EE" w14:textId="77777777" w:rsidR="00FC5427" w:rsidRPr="00F90EAE" w:rsidRDefault="00FC5427" w:rsidP="00F90EAE">
      <w:pPr>
        <w:autoSpaceDE w:val="0"/>
        <w:autoSpaceDN w:val="0"/>
        <w:adjustRightInd w:val="0"/>
        <w:jc w:val="both"/>
        <w:rPr>
          <w:color w:val="000000" w:themeColor="text1"/>
          <w:sz w:val="16"/>
          <w:szCs w:val="16"/>
        </w:rPr>
      </w:pPr>
    </w:p>
    <w:p w14:paraId="488DAC80" w14:textId="77777777" w:rsidR="00747612" w:rsidRPr="00F90EAE" w:rsidRDefault="00747612" w:rsidP="00F90EAE">
      <w:pPr>
        <w:shd w:val="clear" w:color="auto" w:fill="FFFFFF"/>
        <w:jc w:val="both"/>
        <w:rPr>
          <w:color w:val="000000" w:themeColor="text1"/>
          <w:sz w:val="16"/>
          <w:szCs w:val="16"/>
        </w:rPr>
      </w:pPr>
      <w:r w:rsidRPr="00F90EAE">
        <w:rPr>
          <w:color w:val="000000" w:themeColor="text1"/>
          <w:sz w:val="16"/>
          <w:szCs w:val="16"/>
        </w:rPr>
        <w:t>17 мая</w:t>
      </w:r>
      <w:r w:rsidRPr="00F90EAE">
        <w:rPr>
          <w:bCs/>
          <w:color w:val="000000" w:themeColor="text1"/>
          <w:sz w:val="16"/>
          <w:szCs w:val="16"/>
        </w:rPr>
        <w:t xml:space="preserve"> 1945 в Берлин прибыл представитель в генеральском чине из Москвы, который занялся перепроверкой всех сведений. 18-го он прибыл в Финов, где находился отдел «СМЕРШ» 3-й ударной армии и были захоронены останки. Здесь была произведена частичная эксгумация. Одновременно в присутствии прибывшего генерала Вадис и Мирошниченко снова допросили Хойзермана и Эхтмана. 23 мая генерал уехал. Кто же это был? В документации 1-го Белорусского фронта его имя не упоминается. Однако о том, что Сталин поручил НКВД послать специального человека в Берлин, генерал Штеменко слышал собственными ушами. Мне удалось выяснить, что посланцем был генерал-лейтенант Петр Мешик, заместитель наркома внутренних дел, доверенное лицо Лаврентия Берия.</w:t>
      </w:r>
      <w:r w:rsidRPr="00F90EAE">
        <w:rPr>
          <w:bCs/>
          <w:iCs/>
          <w:color w:val="000000" w:themeColor="text1"/>
          <w:sz w:val="16"/>
          <w:szCs w:val="16"/>
        </w:rPr>
        <w:t xml:space="preserve"> (Л.Безыменский «Операция «Миф», или Сколько раз хоронили Гитлера», М., 1995) (17459):</w:t>
      </w:r>
    </w:p>
    <w:p w14:paraId="7E1F7773" w14:textId="77777777" w:rsidR="00747612" w:rsidRPr="00F90EAE" w:rsidRDefault="00747612" w:rsidP="00F90EAE">
      <w:pPr>
        <w:autoSpaceDE w:val="0"/>
        <w:autoSpaceDN w:val="0"/>
        <w:adjustRightInd w:val="0"/>
        <w:jc w:val="both"/>
        <w:rPr>
          <w:color w:val="000000" w:themeColor="text1"/>
          <w:sz w:val="16"/>
          <w:szCs w:val="16"/>
        </w:rPr>
      </w:pPr>
    </w:p>
    <w:p w14:paraId="18366586" w14:textId="77777777" w:rsidR="00902F8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9E18B23" w14:textId="77777777" w:rsidR="00902F85" w:rsidRPr="00F90EAE" w:rsidRDefault="00902F85" w:rsidP="00F90EAE">
      <w:pPr>
        <w:autoSpaceDE w:val="0"/>
        <w:autoSpaceDN w:val="0"/>
        <w:adjustRightInd w:val="0"/>
        <w:jc w:val="both"/>
        <w:rPr>
          <w:iCs/>
          <w:color w:val="000000" w:themeColor="text1"/>
          <w:sz w:val="16"/>
          <w:szCs w:val="16"/>
        </w:rPr>
      </w:pPr>
    </w:p>
    <w:p w14:paraId="5CA3A62A" w14:textId="77777777" w:rsidR="00902F85" w:rsidRPr="00F90EAE" w:rsidRDefault="00902F85" w:rsidP="00F90EAE">
      <w:pPr>
        <w:autoSpaceDE w:val="0"/>
        <w:autoSpaceDN w:val="0"/>
        <w:adjustRightInd w:val="0"/>
        <w:jc w:val="both"/>
        <w:rPr>
          <w:iCs/>
          <w:color w:val="000000" w:themeColor="text1"/>
          <w:sz w:val="16"/>
          <w:szCs w:val="16"/>
        </w:rPr>
      </w:pPr>
      <w:r w:rsidRPr="00F90EAE">
        <w:rPr>
          <w:color w:val="000000" w:themeColor="text1"/>
          <w:sz w:val="16"/>
          <w:szCs w:val="16"/>
        </w:rPr>
        <w:t>17 мая 1945 г.</w:t>
      </w:r>
      <w:r w:rsidRPr="00F90EAE">
        <w:rPr>
          <w:bCs/>
          <w:color w:val="000000" w:themeColor="text1"/>
          <w:sz w:val="16"/>
          <w:szCs w:val="16"/>
        </w:rPr>
        <w:t xml:space="preserve"> Уинстон Черчилль отдает секретный приказ об ускоренной разработке совместно с США плана «</w:t>
      </w:r>
      <w:r w:rsidRPr="00F90EAE">
        <w:rPr>
          <w:bCs/>
          <w:iCs/>
          <w:color w:val="000000" w:themeColor="text1"/>
          <w:sz w:val="16"/>
          <w:szCs w:val="16"/>
        </w:rPr>
        <w:t>Невероятное</w:t>
      </w:r>
      <w:r w:rsidRPr="00F90EAE">
        <w:rPr>
          <w:bCs/>
          <w:color w:val="000000" w:themeColor="text1"/>
          <w:sz w:val="16"/>
          <w:szCs w:val="16"/>
        </w:rPr>
        <w:t>» — по нападению и расчленению СССР. И уже к концу мая того же года этот план был в основном готов, а опирался он на соответствующие гитлеровские разработки и англо-франко-турецкие планы 1939— 1940 гг. по вторжению в Закавказье и Среднюю Азию. Причем в новом плане намечалось задействовать… и вроде бы разоружённые в Западной Германии, Норвегии, Дании, Голландии, Греции и Ливии германские войска, а также войска Турции, Японии, Канады и бывшие в составе СС эмигрантские военные формирования. Срок начала этой войны был назначен на 1 июля — в канун Потсдамской конференции, где намечалось окончательно определить сферы влияния союзников в Европе и Азии. Но советская контрразведка «обнаружила» этот план, и к концу июня 1945 г. советские войска в Германии, Австрии, Прибалтике и на Кавказе неожиданно для Запада передислоцировались на позиции для отражения намеченного нападения. Это повергло едва ли не в шок западных стратегов и штабистов, план пришлось «временно» отменить (17759).</w:t>
      </w:r>
    </w:p>
    <w:p w14:paraId="0D2A7B31" w14:textId="77777777" w:rsidR="00902F85" w:rsidRPr="00F90EAE" w:rsidRDefault="00902F85" w:rsidP="00F90EAE">
      <w:pPr>
        <w:autoSpaceDE w:val="0"/>
        <w:autoSpaceDN w:val="0"/>
        <w:adjustRightInd w:val="0"/>
        <w:jc w:val="both"/>
        <w:rPr>
          <w:iCs/>
          <w:color w:val="000000" w:themeColor="text1"/>
          <w:sz w:val="16"/>
          <w:szCs w:val="16"/>
        </w:rPr>
      </w:pPr>
    </w:p>
    <w:p w14:paraId="31C4C9CA" w14:textId="77777777" w:rsidR="00AD05DC" w:rsidRPr="00F90EAE" w:rsidRDefault="00AD05DC" w:rsidP="00F90EAE">
      <w:pPr>
        <w:shd w:val="clear" w:color="auto" w:fill="FFFFFF"/>
        <w:jc w:val="both"/>
        <w:rPr>
          <w:color w:val="000000" w:themeColor="text1"/>
          <w:sz w:val="16"/>
          <w:szCs w:val="16"/>
        </w:rPr>
      </w:pPr>
      <w:r w:rsidRPr="00F90EAE">
        <w:rPr>
          <w:color w:val="000000" w:themeColor="text1"/>
          <w:sz w:val="16"/>
          <w:szCs w:val="16"/>
        </w:rPr>
        <w:t xml:space="preserve">17 мая 1945 г. французы подавили восстание алжирского народа. С падением фашистской Германии с начала мая 1945 г. в Алжире начались стихийные выступления алжирцев против колониальной зависимости от Франции. Многие алжирцы считали французов союзниками фашистов (правительство Виши) и оставаться в подчинении  у них не желали. Французские власти бросили против народа войска, сенегальских стрелков, и потопили восстание в крови. 17 мая 1945 г. последние группы восставших сложили оружие. Были сожжены десятки селений, убиты тысячи алжирцев. </w:t>
      </w:r>
      <w:r w:rsidRPr="00F90EAE">
        <w:rPr>
          <w:bCs/>
          <w:iCs/>
          <w:color w:val="000000" w:themeColor="text1"/>
          <w:sz w:val="16"/>
          <w:szCs w:val="16"/>
        </w:rPr>
        <w:t>Р.Ланда «История Алжира. XX век», М., ИВ РАН, 1999:</w:t>
      </w:r>
    </w:p>
    <w:p w14:paraId="657E0CB1" w14:textId="77777777" w:rsidR="00AD05DC" w:rsidRPr="00F90EAE" w:rsidRDefault="00AD05DC" w:rsidP="00F90EAE">
      <w:pPr>
        <w:shd w:val="clear" w:color="auto" w:fill="FFFFFF"/>
        <w:jc w:val="both"/>
        <w:rPr>
          <w:color w:val="000000" w:themeColor="text1"/>
          <w:sz w:val="16"/>
          <w:szCs w:val="16"/>
        </w:rPr>
      </w:pPr>
      <w:r w:rsidRPr="00F90EAE">
        <w:rPr>
          <w:bCs/>
          <w:color w:val="000000" w:themeColor="text1"/>
          <w:sz w:val="16"/>
          <w:szCs w:val="16"/>
        </w:rPr>
        <w:t xml:space="preserve">«Схватки возмущенных демонстрантов с полицией и отдельные нападения на европейцев (в том числе — террор наемных провокаторов) привели к вспышке вооруженных столкновений по всей Малой (Баборской) Кабилии. Повстанцы, в основном — из крестьян, убивали или уродовали колонистов и их семьи, жгли их фермы, нападали на жандармов и чиновников, встречали огнем из охотничьих ружей или трофейных автоматов появлявшиеся войска. Восстание охватило около 20 городов и поселков, не считая горных деревень. В нем участвовало в общей сложности до 50 тыс. чел., главным образом — издольщиков, батраков и нищих горцев. Все они действовали под влиянием эмоций, спонтанно и несогласованно, что облегчило их быстрый разгром. </w:t>
      </w:r>
      <w:r w:rsidRPr="00F90EAE">
        <w:rPr>
          <w:color w:val="000000" w:themeColor="text1"/>
          <w:sz w:val="16"/>
          <w:szCs w:val="16"/>
        </w:rPr>
        <w:t>16-17 мая</w:t>
      </w:r>
      <w:r w:rsidRPr="00F90EAE">
        <w:rPr>
          <w:bCs/>
          <w:color w:val="000000" w:themeColor="text1"/>
          <w:sz w:val="16"/>
          <w:szCs w:val="16"/>
        </w:rPr>
        <w:t xml:space="preserve"> последние отряды повстанцев (до 6 тыс. чел.) вынуждены были прекратить борьбу (17459) </w:t>
      </w:r>
    </w:p>
    <w:p w14:paraId="2FB9D8FD" w14:textId="77777777" w:rsidR="00AD05DC" w:rsidRPr="00F90EAE" w:rsidRDefault="00AD05DC" w:rsidP="00F90EAE">
      <w:pPr>
        <w:autoSpaceDE w:val="0"/>
        <w:autoSpaceDN w:val="0"/>
        <w:adjustRightInd w:val="0"/>
        <w:jc w:val="both"/>
        <w:rPr>
          <w:iCs/>
          <w:color w:val="000000" w:themeColor="text1"/>
          <w:sz w:val="16"/>
          <w:szCs w:val="16"/>
        </w:rPr>
      </w:pPr>
    </w:p>
    <w:p w14:paraId="07C630F7" w14:textId="77777777" w:rsidR="0027332D" w:rsidRPr="00F90EAE" w:rsidRDefault="0027332D" w:rsidP="00F90EAE">
      <w:pPr>
        <w:shd w:val="clear" w:color="auto" w:fill="FFFFFF"/>
        <w:jc w:val="both"/>
        <w:rPr>
          <w:color w:val="000000" w:themeColor="text1"/>
          <w:sz w:val="16"/>
          <w:szCs w:val="16"/>
        </w:rPr>
      </w:pPr>
      <w:r w:rsidRPr="00F90EAE">
        <w:rPr>
          <w:color w:val="000000" w:themeColor="text1"/>
          <w:sz w:val="16"/>
          <w:szCs w:val="16"/>
        </w:rPr>
        <w:t xml:space="preserve">17 – 18 — 19 мая 1945 г. Франция высаживает войска в Ливане и предъявляет ультиматум Сирии. </w:t>
      </w:r>
      <w:r w:rsidRPr="00F90EAE">
        <w:rPr>
          <w:bCs/>
          <w:iCs/>
          <w:color w:val="000000" w:themeColor="text1"/>
          <w:sz w:val="16"/>
          <w:szCs w:val="16"/>
        </w:rPr>
        <w:t xml:space="preserve">А.Саид «Восстания арабов в XX веке», М., Прогресс, 1964: </w:t>
      </w:r>
      <w:r w:rsidRPr="00F90EAE">
        <w:rPr>
          <w:bCs/>
          <w:color w:val="000000" w:themeColor="text1"/>
          <w:sz w:val="16"/>
          <w:szCs w:val="16"/>
        </w:rPr>
        <w:t xml:space="preserve">«Франция поспешила послать в Ливан свои колониальные войска, которые </w:t>
      </w:r>
      <w:r w:rsidRPr="00F90EAE">
        <w:rPr>
          <w:color w:val="000000" w:themeColor="text1"/>
          <w:sz w:val="16"/>
          <w:szCs w:val="16"/>
        </w:rPr>
        <w:t>17 мая</w:t>
      </w:r>
      <w:r w:rsidRPr="00F90EAE">
        <w:rPr>
          <w:bCs/>
          <w:color w:val="000000" w:themeColor="text1"/>
          <w:sz w:val="16"/>
          <w:szCs w:val="16"/>
        </w:rPr>
        <w:t xml:space="preserve"> высадились в Бейруте. В дальнейшем к этим войскам прибыли подкрепления, с тем, чтобы осуществить военную оккупацию обеих стран и восстановить в них непосредственный французский контроль, как это было раньше. Но еще до прибытия этих войск французы начали, по существу, военные действия в Сирии и Ливане.» «</w:t>
      </w:r>
      <w:r w:rsidRPr="00F90EAE">
        <w:rPr>
          <w:color w:val="000000" w:themeColor="text1"/>
          <w:sz w:val="16"/>
          <w:szCs w:val="16"/>
        </w:rPr>
        <w:t>18 мая</w:t>
      </w:r>
      <w:r w:rsidRPr="00F90EAE">
        <w:rPr>
          <w:bCs/>
          <w:color w:val="000000" w:themeColor="text1"/>
          <w:sz w:val="16"/>
          <w:szCs w:val="16"/>
        </w:rPr>
        <w:t xml:space="preserve">, генеральный делегат Франции направил правительству Сирии ноту, в которой потребовал проведения официальных переговоров по вопросу о признании особого статута Франции в стране. </w:t>
      </w:r>
      <w:r w:rsidRPr="00F90EAE">
        <w:rPr>
          <w:color w:val="000000" w:themeColor="text1"/>
          <w:sz w:val="16"/>
          <w:szCs w:val="16"/>
        </w:rPr>
        <w:t>19 мая</w:t>
      </w:r>
      <w:r w:rsidRPr="00F90EAE">
        <w:rPr>
          <w:bCs/>
          <w:color w:val="000000" w:themeColor="text1"/>
          <w:sz w:val="16"/>
          <w:szCs w:val="16"/>
        </w:rPr>
        <w:t xml:space="preserve"> члены правительств Сирии и Ливана во главе с президентами собрались для изучения французской ноты. В ходе обсуждения они решили отвергнутъ ее и составили соответствующий меморандум (17459).</w:t>
      </w:r>
    </w:p>
    <w:p w14:paraId="5951190B" w14:textId="77777777" w:rsidR="0027332D" w:rsidRPr="00F90EAE" w:rsidRDefault="0027332D" w:rsidP="00F90EAE">
      <w:pPr>
        <w:autoSpaceDE w:val="0"/>
        <w:autoSpaceDN w:val="0"/>
        <w:adjustRightInd w:val="0"/>
        <w:jc w:val="both"/>
        <w:rPr>
          <w:iCs/>
          <w:color w:val="000000" w:themeColor="text1"/>
          <w:sz w:val="16"/>
          <w:szCs w:val="16"/>
        </w:rPr>
      </w:pPr>
    </w:p>
    <w:p w14:paraId="3D29F609" w14:textId="77777777" w:rsidR="00102C23" w:rsidRPr="00F90EAE" w:rsidRDefault="00102C23"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15EB6A61" w14:textId="77777777" w:rsidR="00102C23" w:rsidRPr="00F90EAE" w:rsidRDefault="00102C23" w:rsidP="00F90EAE">
      <w:pPr>
        <w:autoSpaceDE w:val="0"/>
        <w:autoSpaceDN w:val="0"/>
        <w:adjustRightInd w:val="0"/>
        <w:jc w:val="both"/>
        <w:rPr>
          <w:i/>
          <w:iCs/>
          <w:color w:val="000000" w:themeColor="text1"/>
          <w:sz w:val="16"/>
          <w:szCs w:val="16"/>
        </w:rPr>
      </w:pPr>
    </w:p>
    <w:p w14:paraId="035CD665" w14:textId="77777777" w:rsidR="00102C23" w:rsidRPr="00F90EAE" w:rsidRDefault="00102C23" w:rsidP="00F90EAE">
      <w:pPr>
        <w:jc w:val="both"/>
        <w:rPr>
          <w:color w:val="0070C0"/>
          <w:sz w:val="16"/>
          <w:szCs w:val="16"/>
        </w:rPr>
      </w:pPr>
      <w:r w:rsidRPr="00F90EAE">
        <w:rPr>
          <w:color w:val="0070C0"/>
          <w:sz w:val="16"/>
          <w:szCs w:val="16"/>
        </w:rPr>
        <w:t>17 мая 1945 первый полет Lockheed XP2V-1 Bu48237, прототипа P2V Neptune (позже P-2 Neptune) (20371).</w:t>
      </w:r>
    </w:p>
    <w:p w14:paraId="1B999B4A" w14:textId="77777777" w:rsidR="00102C23" w:rsidRPr="00F90EAE" w:rsidRDefault="00102C23" w:rsidP="00F90EAE">
      <w:pPr>
        <w:jc w:val="both"/>
        <w:rPr>
          <w:color w:val="0070C0"/>
          <w:sz w:val="16"/>
          <w:szCs w:val="16"/>
        </w:rPr>
      </w:pPr>
    </w:p>
    <w:p w14:paraId="6EE71B01" w14:textId="77777777" w:rsidR="00102C23" w:rsidRPr="00F90EAE" w:rsidRDefault="00102C23" w:rsidP="00F90EAE">
      <w:pPr>
        <w:jc w:val="both"/>
        <w:rPr>
          <w:color w:val="0070C0"/>
          <w:sz w:val="16"/>
          <w:szCs w:val="16"/>
        </w:rPr>
      </w:pPr>
      <w:r w:rsidRPr="00F90EAE">
        <w:rPr>
          <w:color w:val="0070C0"/>
          <w:sz w:val="16"/>
          <w:szCs w:val="16"/>
        </w:rPr>
        <w:t>17 мая 1945 года — первый полёт патрульного самолёта Lockheed P-2 Neptune. /США/</w:t>
      </w:r>
    </w:p>
    <w:p w14:paraId="3303ED40" w14:textId="77777777" w:rsidR="00102C23" w:rsidRPr="00F90EAE" w:rsidRDefault="00102C23" w:rsidP="00F90EAE">
      <w:pPr>
        <w:jc w:val="both"/>
        <w:rPr>
          <w:color w:val="0070C0"/>
          <w:sz w:val="16"/>
          <w:szCs w:val="16"/>
        </w:rPr>
      </w:pPr>
      <w:r w:rsidRPr="00F90EAE">
        <w:rPr>
          <w:color w:val="0070C0"/>
          <w:sz w:val="16"/>
          <w:szCs w:val="16"/>
        </w:rPr>
        <w:t>Работы над патрульным бомбардировщиком для флота начались в США ещё в декабре 1941 года. Проект V-135, будущий P-2 Neptune, разрабатывался Vega Aircraft Corporation, дочерней компанией Lockheed Aircraft. Руководил проектом главный конструктор Vega Джон Уэссэйл (John B. Wassall).</w:t>
      </w:r>
    </w:p>
    <w:p w14:paraId="38B17BB4" w14:textId="77777777" w:rsidR="00102C23" w:rsidRPr="00F90EAE" w:rsidRDefault="00102C23" w:rsidP="00F90EAE">
      <w:pPr>
        <w:jc w:val="both"/>
        <w:rPr>
          <w:color w:val="0070C0"/>
          <w:sz w:val="16"/>
          <w:szCs w:val="16"/>
        </w:rPr>
      </w:pPr>
      <w:r w:rsidRPr="00F90EAE">
        <w:rPr>
          <w:color w:val="0070C0"/>
          <w:sz w:val="16"/>
          <w:szCs w:val="16"/>
        </w:rPr>
        <w:t>P-2 Neptune представлял собой цельнометаллический среднеплан с убираемым шасси. Силовая установка и вооружение зависели от модификации. На P2V-3 устанавливались 2 × двигателя Wright R-3350-26W Cyclone-18 (3200 л.с.) Максимальная скорость — 515 км/ч. Дальность полёта — 6400 км. Экипаж — 7 человек. Мог нести до 3630 кг ракет/бомб/глубинных бомб/торпед.</w:t>
      </w:r>
    </w:p>
    <w:p w14:paraId="0BE37EDD" w14:textId="77777777" w:rsidR="00102C23" w:rsidRPr="00F90EAE" w:rsidRDefault="00102C23" w:rsidP="00F90EAE">
      <w:pPr>
        <w:jc w:val="both"/>
        <w:rPr>
          <w:color w:val="0070C0"/>
          <w:sz w:val="16"/>
          <w:szCs w:val="16"/>
        </w:rPr>
      </w:pPr>
      <w:r w:rsidRPr="00F90EAE">
        <w:rPr>
          <w:color w:val="0070C0"/>
          <w:sz w:val="16"/>
          <w:szCs w:val="16"/>
        </w:rPr>
        <w:t>В 1947 году P-2 Neptune приняли на вооружение ВМФ США. Почти 40 лет он служил на флоте и «ушёл на пенсию» лишь в 1984 году. Некоторое число Lockheed P-2 Neptune ещё эксплуатируется в других странах. Было выпущено более 1200 самолётов различных модификаций (22300).</w:t>
      </w:r>
    </w:p>
    <w:p w14:paraId="318688ED" w14:textId="77777777" w:rsidR="00102C23" w:rsidRPr="00F90EAE" w:rsidRDefault="00102C23" w:rsidP="00F90EAE">
      <w:pPr>
        <w:jc w:val="both"/>
        <w:rPr>
          <w:color w:val="0070C0"/>
          <w:sz w:val="16"/>
          <w:szCs w:val="16"/>
        </w:rPr>
      </w:pPr>
    </w:p>
    <w:p w14:paraId="173AA65F" w14:textId="0DD094DC"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00D4927" w14:textId="77777777" w:rsidR="00665165" w:rsidRPr="00F90EAE" w:rsidRDefault="00665165" w:rsidP="00F90EAE">
      <w:pPr>
        <w:autoSpaceDE w:val="0"/>
        <w:autoSpaceDN w:val="0"/>
        <w:adjustRightInd w:val="0"/>
        <w:jc w:val="both"/>
        <w:rPr>
          <w:iCs/>
          <w:color w:val="000000" w:themeColor="text1"/>
          <w:sz w:val="16"/>
          <w:szCs w:val="16"/>
        </w:rPr>
      </w:pPr>
    </w:p>
    <w:p w14:paraId="58BC3150" w14:textId="77777777" w:rsidR="00637BF4" w:rsidRPr="00F90EAE" w:rsidRDefault="00637BF4" w:rsidP="00F90EAE">
      <w:pPr>
        <w:autoSpaceDE w:val="0"/>
        <w:autoSpaceDN w:val="0"/>
        <w:adjustRightInd w:val="0"/>
        <w:jc w:val="both"/>
        <w:rPr>
          <w:color w:val="000000" w:themeColor="text1"/>
          <w:sz w:val="16"/>
          <w:szCs w:val="16"/>
        </w:rPr>
      </w:pPr>
      <w:r w:rsidRPr="00F90EAE">
        <w:rPr>
          <w:color w:val="000000" w:themeColor="text1"/>
          <w:sz w:val="16"/>
          <w:szCs w:val="16"/>
        </w:rPr>
        <w:t>18 мая 1945 самолет Ту-2 N 716 с улучшениями - АШ-83ФН 1900 нр, новыми капотами, новыми патрубками и т.п. был передан на испытания в ЛЭС и в тот же день А.Д.Перелет и ви М.М.Егоров выполнили на нем первый полет. В ходе заводских испытаний при взлетной массе 10500 кг получили скорость 505 км/час на 6780 м (1835,34).</w:t>
      </w:r>
    </w:p>
    <w:p w14:paraId="46BCA33A" w14:textId="77777777" w:rsidR="00637BF4" w:rsidRPr="00F90EAE" w:rsidRDefault="00637BF4" w:rsidP="00F90EAE">
      <w:pPr>
        <w:autoSpaceDE w:val="0"/>
        <w:autoSpaceDN w:val="0"/>
        <w:adjustRightInd w:val="0"/>
        <w:jc w:val="both"/>
        <w:rPr>
          <w:color w:val="000000" w:themeColor="text1"/>
          <w:sz w:val="16"/>
          <w:szCs w:val="16"/>
        </w:rPr>
      </w:pPr>
    </w:p>
    <w:p w14:paraId="4DCEC7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мая 1945 НИИ представил в Главное управление ГВФ доклад, в ко</w:t>
      </w:r>
      <w:r w:rsidRPr="00F90EAE">
        <w:rPr>
          <w:color w:val="000000" w:themeColor="text1"/>
          <w:sz w:val="16"/>
          <w:szCs w:val="16"/>
        </w:rPr>
        <w:softHyphen/>
        <w:t>тором практически напрочь отмел целе</w:t>
      </w:r>
      <w:r w:rsidRPr="00F90EAE">
        <w:rPr>
          <w:color w:val="000000" w:themeColor="text1"/>
          <w:sz w:val="16"/>
          <w:szCs w:val="16"/>
        </w:rPr>
        <w:softHyphen/>
        <w:t>сообразность получения бомбардиров</w:t>
      </w:r>
      <w:r w:rsidRPr="00F90EAE">
        <w:rPr>
          <w:color w:val="000000" w:themeColor="text1"/>
          <w:sz w:val="16"/>
          <w:szCs w:val="16"/>
        </w:rPr>
        <w:softHyphen/>
        <w:t>щиков Ильюшина. Мотивировалось это малым полезным объемом (6 кубомет</w:t>
      </w:r>
      <w:r w:rsidRPr="00F90EAE">
        <w:rPr>
          <w:color w:val="000000" w:themeColor="text1"/>
          <w:sz w:val="16"/>
          <w:szCs w:val="16"/>
        </w:rPr>
        <w:softHyphen/>
        <w:t>ров) и потенциальной коммерческой нагрузкой, не превышающей 1200 кг. Все это при большом расходе горючего и трудностях длительного пилотирова</w:t>
      </w:r>
      <w:r w:rsidRPr="00F90EAE">
        <w:rPr>
          <w:color w:val="000000" w:themeColor="text1"/>
          <w:sz w:val="16"/>
          <w:szCs w:val="16"/>
        </w:rPr>
        <w:softHyphen/>
        <w:t>ния (один летчик, нет автопилота и не</w:t>
      </w:r>
      <w:r w:rsidRPr="00F90EAE">
        <w:rPr>
          <w:color w:val="000000" w:themeColor="text1"/>
          <w:sz w:val="16"/>
          <w:szCs w:val="16"/>
        </w:rPr>
        <w:softHyphen/>
        <w:t>достаточная устойчивость). Единствен</w:t>
      </w:r>
      <w:r w:rsidRPr="00F90EAE">
        <w:rPr>
          <w:color w:val="000000" w:themeColor="text1"/>
          <w:sz w:val="16"/>
          <w:szCs w:val="16"/>
        </w:rPr>
        <w:softHyphen/>
        <w:t>ной «экологической нишей» для Ил-4 в ГВФ в докладе оставили буксировку грузовых планеров. В итоге после завершения боевых действий ни одного Ил-4 в гражданский воздушный флот не поступило. Неболь</w:t>
      </w:r>
      <w:r w:rsidRPr="00F90EAE">
        <w:rPr>
          <w:color w:val="000000" w:themeColor="text1"/>
          <w:sz w:val="16"/>
          <w:szCs w:val="16"/>
        </w:rPr>
        <w:softHyphen/>
        <w:t>шое количество их попало в ведомст</w:t>
      </w:r>
      <w:r w:rsidRPr="00F90EAE">
        <w:rPr>
          <w:color w:val="000000" w:themeColor="text1"/>
          <w:sz w:val="16"/>
          <w:szCs w:val="16"/>
        </w:rPr>
        <w:softHyphen/>
        <w:t>венную авиацию. Больше всего бывших дальних бомбардировщиков, семь, взя</w:t>
      </w:r>
      <w:r w:rsidRPr="00F90EAE">
        <w:rPr>
          <w:color w:val="000000" w:themeColor="text1"/>
          <w:sz w:val="16"/>
          <w:szCs w:val="16"/>
        </w:rPr>
        <w:softHyphen/>
        <w:t>ло себе Министерство геологии. Они служили для аэрофотосъемки и реже как грузовою. Все их разоружили и на</w:t>
      </w:r>
      <w:r w:rsidRPr="00F90EAE">
        <w:rPr>
          <w:color w:val="000000" w:themeColor="text1"/>
          <w:sz w:val="16"/>
          <w:szCs w:val="16"/>
        </w:rPr>
        <w:softHyphen/>
        <w:t>несли^ обозначения, начинавшиеся с буквы «Г». Один разбили в 1946 г., в конце 1947 г. оставалось шесть, к сере</w:t>
      </w:r>
      <w:r w:rsidRPr="00F90EAE">
        <w:rPr>
          <w:color w:val="000000" w:themeColor="text1"/>
          <w:sz w:val="16"/>
          <w:szCs w:val="16"/>
        </w:rPr>
        <w:softHyphen/>
        <w:t>дине 1949 г. — четыре. Эти четыре ма</w:t>
      </w:r>
      <w:r w:rsidRPr="00F90EAE">
        <w:rPr>
          <w:color w:val="000000" w:themeColor="text1"/>
          <w:sz w:val="16"/>
          <w:szCs w:val="16"/>
        </w:rPr>
        <w:softHyphen/>
        <w:t>шины эксплуатировались вплоть до ликвидации авиации этого ведомства в начале 50-х годов. Шесть Ил-4 имело Министерство внутренних дел. Они входили в авиа</w:t>
      </w:r>
      <w:r w:rsidRPr="00F90EAE">
        <w:rPr>
          <w:color w:val="000000" w:themeColor="text1"/>
          <w:sz w:val="16"/>
          <w:szCs w:val="16"/>
        </w:rPr>
        <w:softHyphen/>
        <w:t>парк «Дальстроя» — лагерной импе</w:t>
      </w:r>
      <w:r w:rsidRPr="00F90EAE">
        <w:rPr>
          <w:color w:val="000000" w:themeColor="text1"/>
          <w:sz w:val="16"/>
          <w:szCs w:val="16"/>
        </w:rPr>
        <w:softHyphen/>
        <w:t>рии на востоке страны. Их тоже исполь</w:t>
      </w:r>
      <w:r w:rsidRPr="00F90EAE">
        <w:rPr>
          <w:color w:val="000000" w:themeColor="text1"/>
          <w:sz w:val="16"/>
          <w:szCs w:val="16"/>
        </w:rPr>
        <w:softHyphen/>
        <w:t>зовали в основном для аэрофотосъем</w:t>
      </w:r>
      <w:r w:rsidRPr="00F90EAE">
        <w:rPr>
          <w:color w:val="000000" w:themeColor="text1"/>
          <w:sz w:val="16"/>
          <w:szCs w:val="16"/>
        </w:rPr>
        <w:softHyphen/>
        <w:t>ки, списав к началу 1949 г. 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w:t>
      </w:r>
      <w:r w:rsidRPr="00F90EAE">
        <w:rPr>
          <w:color w:val="000000" w:themeColor="text1"/>
          <w:sz w:val="16"/>
          <w:szCs w:val="16"/>
        </w:rPr>
        <w:softHyphen/>
        <w:t>тывавшиеся секретными конструктор</w:t>
      </w:r>
      <w:r w:rsidRPr="00F90EAE">
        <w:rPr>
          <w:color w:val="000000" w:themeColor="text1"/>
          <w:sz w:val="16"/>
          <w:szCs w:val="16"/>
        </w:rPr>
        <w:softHyphen/>
        <w:t>скими бюро этого ведомства управляе</w:t>
      </w:r>
      <w:r w:rsidRPr="00F90EAE">
        <w:rPr>
          <w:color w:val="000000" w:themeColor="text1"/>
          <w:sz w:val="16"/>
          <w:szCs w:val="16"/>
        </w:rPr>
        <w:softHyphen/>
        <w:t>мые боеприпасы. Наконец, последним бывшим бомбардировщиком обладало Министерство промышленности сред</w:t>
      </w:r>
      <w:r w:rsidRPr="00F90EAE">
        <w:rPr>
          <w:color w:val="000000" w:themeColor="text1"/>
          <w:sz w:val="16"/>
          <w:szCs w:val="16"/>
        </w:rPr>
        <w:softHyphen/>
        <w:t>ств связи — он являлся летающей ла</w:t>
      </w:r>
      <w:r w:rsidRPr="00F90EAE">
        <w:rPr>
          <w:color w:val="000000" w:themeColor="text1"/>
          <w:sz w:val="16"/>
          <w:szCs w:val="16"/>
        </w:rPr>
        <w:softHyphen/>
        <w:t>бораторией для опробования авиацион</w:t>
      </w:r>
      <w:r w:rsidRPr="00F90EAE">
        <w:rPr>
          <w:color w:val="000000" w:themeColor="text1"/>
          <w:sz w:val="16"/>
          <w:szCs w:val="16"/>
        </w:rPr>
        <w:softHyphen/>
        <w:t>ного радиооборудования. Оба этих самолета пошли на слом в конце 40-х годов (10734,91).</w:t>
      </w:r>
    </w:p>
    <w:p w14:paraId="10D20F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Данные различных вариантов ДБ-3/Ил-4</w:t>
      </w:r>
    </w:p>
    <w:tbl>
      <w:tblPr>
        <w:tblW w:w="0" w:type="auto"/>
        <w:tblInd w:w="40" w:type="dxa"/>
        <w:tblLayout w:type="fixed"/>
        <w:tblCellMar>
          <w:left w:w="40" w:type="dxa"/>
          <w:right w:w="40" w:type="dxa"/>
        </w:tblCellMar>
        <w:tblLook w:val="0000" w:firstRow="0" w:lastRow="0" w:firstColumn="0" w:lastColumn="0" w:noHBand="0" w:noVBand="0"/>
      </w:tblPr>
      <w:tblGrid>
        <w:gridCol w:w="1584"/>
        <w:gridCol w:w="902"/>
        <w:gridCol w:w="845"/>
        <w:gridCol w:w="643"/>
        <w:gridCol w:w="605"/>
        <w:gridCol w:w="509"/>
        <w:gridCol w:w="768"/>
        <w:gridCol w:w="499"/>
        <w:gridCol w:w="691"/>
        <w:gridCol w:w="509"/>
        <w:gridCol w:w="576"/>
        <w:gridCol w:w="701"/>
        <w:gridCol w:w="730"/>
        <w:gridCol w:w="643"/>
        <w:gridCol w:w="778"/>
        <w:gridCol w:w="509"/>
        <w:gridCol w:w="605"/>
        <w:gridCol w:w="614"/>
        <w:gridCol w:w="595"/>
        <w:gridCol w:w="518"/>
        <w:gridCol w:w="518"/>
      </w:tblGrid>
      <w:tr w:rsidR="00561F31" w:rsidRPr="00F90EAE" w14:paraId="659949DF" w14:textId="77777777">
        <w:trPr>
          <w:trHeight w:val="787"/>
        </w:trPr>
        <w:tc>
          <w:tcPr>
            <w:tcW w:w="1584" w:type="dxa"/>
            <w:tcBorders>
              <w:top w:val="single" w:sz="6" w:space="0" w:color="auto"/>
              <w:left w:val="single" w:sz="6" w:space="0" w:color="auto"/>
              <w:bottom w:val="single" w:sz="6" w:space="0" w:color="auto"/>
              <w:right w:val="single" w:sz="6" w:space="0" w:color="auto"/>
            </w:tcBorders>
          </w:tcPr>
          <w:p w14:paraId="659F15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3007C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ББ-2. (задание)</w:t>
            </w:r>
          </w:p>
        </w:tc>
        <w:tc>
          <w:tcPr>
            <w:tcW w:w="845" w:type="dxa"/>
            <w:tcBorders>
              <w:top w:val="single" w:sz="6" w:space="0" w:color="auto"/>
              <w:left w:val="single" w:sz="6" w:space="0" w:color="auto"/>
              <w:bottom w:val="single" w:sz="6" w:space="0" w:color="auto"/>
              <w:right w:val="single" w:sz="6" w:space="0" w:color="auto"/>
            </w:tcBorders>
          </w:tcPr>
          <w:p w14:paraId="64C6FB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ВБ-2 (пасс, проект)</w:t>
            </w:r>
          </w:p>
        </w:tc>
        <w:tc>
          <w:tcPr>
            <w:tcW w:w="643" w:type="dxa"/>
            <w:tcBorders>
              <w:top w:val="single" w:sz="6" w:space="0" w:color="auto"/>
              <w:left w:val="single" w:sz="6" w:space="0" w:color="auto"/>
              <w:bottom w:val="single" w:sz="6" w:space="0" w:color="auto"/>
              <w:right w:val="single" w:sz="6" w:space="0" w:color="auto"/>
            </w:tcBorders>
          </w:tcPr>
          <w:p w14:paraId="40B2F8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ЦКБ-26</w:t>
            </w:r>
          </w:p>
        </w:tc>
        <w:tc>
          <w:tcPr>
            <w:tcW w:w="605" w:type="dxa"/>
            <w:tcBorders>
              <w:top w:val="single" w:sz="6" w:space="0" w:color="auto"/>
              <w:left w:val="single" w:sz="6" w:space="0" w:color="auto"/>
              <w:bottom w:val="single" w:sz="6" w:space="0" w:color="auto"/>
              <w:right w:val="single" w:sz="6" w:space="0" w:color="auto"/>
            </w:tcBorders>
          </w:tcPr>
          <w:p w14:paraId="2CF0D4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ЦКБ-30</w:t>
            </w:r>
          </w:p>
        </w:tc>
        <w:tc>
          <w:tcPr>
            <w:tcW w:w="509" w:type="dxa"/>
            <w:tcBorders>
              <w:top w:val="single" w:sz="6" w:space="0" w:color="auto"/>
              <w:left w:val="single" w:sz="6" w:space="0" w:color="auto"/>
              <w:bottom w:val="single" w:sz="6" w:space="0" w:color="auto"/>
              <w:right w:val="single" w:sz="6" w:space="0" w:color="auto"/>
            </w:tcBorders>
          </w:tcPr>
          <w:p w14:paraId="2E03AC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w:t>
            </w:r>
          </w:p>
        </w:tc>
        <w:tc>
          <w:tcPr>
            <w:tcW w:w="768" w:type="dxa"/>
            <w:tcBorders>
              <w:top w:val="single" w:sz="6" w:space="0" w:color="auto"/>
              <w:left w:val="single" w:sz="6" w:space="0" w:color="auto"/>
              <w:bottom w:val="single" w:sz="6" w:space="0" w:color="auto"/>
              <w:right w:val="single" w:sz="6" w:space="0" w:color="auto"/>
            </w:tcBorders>
          </w:tcPr>
          <w:p w14:paraId="5DFE54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w:t>
            </w:r>
          </w:p>
        </w:tc>
        <w:tc>
          <w:tcPr>
            <w:tcW w:w="499" w:type="dxa"/>
            <w:tcBorders>
              <w:top w:val="single" w:sz="6" w:space="0" w:color="auto"/>
              <w:left w:val="single" w:sz="6" w:space="0" w:color="auto"/>
              <w:bottom w:val="single" w:sz="6" w:space="0" w:color="auto"/>
              <w:right w:val="single" w:sz="6" w:space="0" w:color="auto"/>
            </w:tcBorders>
          </w:tcPr>
          <w:p w14:paraId="00F0A8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ДБ-3Т</w:t>
            </w:r>
          </w:p>
        </w:tc>
        <w:tc>
          <w:tcPr>
            <w:tcW w:w="691" w:type="dxa"/>
            <w:tcBorders>
              <w:top w:val="single" w:sz="6" w:space="0" w:color="auto"/>
              <w:left w:val="single" w:sz="6" w:space="0" w:color="auto"/>
              <w:bottom w:val="single" w:sz="6" w:space="0" w:color="auto"/>
              <w:right w:val="single" w:sz="6" w:space="0" w:color="auto"/>
            </w:tcBorders>
          </w:tcPr>
          <w:p w14:paraId="2B7E1C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ДБ-3ПТ</w:t>
            </w:r>
          </w:p>
        </w:tc>
        <w:tc>
          <w:tcPr>
            <w:tcW w:w="509" w:type="dxa"/>
            <w:tcBorders>
              <w:top w:val="single" w:sz="6" w:space="0" w:color="auto"/>
              <w:left w:val="single" w:sz="6" w:space="0" w:color="auto"/>
              <w:bottom w:val="single" w:sz="6" w:space="0" w:color="auto"/>
              <w:right w:val="single" w:sz="6" w:space="0" w:color="auto"/>
            </w:tcBorders>
          </w:tcPr>
          <w:p w14:paraId="2026DB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ДБ-3Б</w:t>
            </w:r>
          </w:p>
        </w:tc>
        <w:tc>
          <w:tcPr>
            <w:tcW w:w="576" w:type="dxa"/>
            <w:tcBorders>
              <w:top w:val="single" w:sz="6" w:space="0" w:color="auto"/>
              <w:left w:val="single" w:sz="6" w:space="0" w:color="auto"/>
              <w:bottom w:val="single" w:sz="6" w:space="0" w:color="auto"/>
              <w:right w:val="single" w:sz="6" w:space="0" w:color="auto"/>
            </w:tcBorders>
          </w:tcPr>
          <w:p w14:paraId="0DCA1F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w:t>
            </w:r>
          </w:p>
        </w:tc>
        <w:tc>
          <w:tcPr>
            <w:tcW w:w="701" w:type="dxa"/>
            <w:tcBorders>
              <w:top w:val="single" w:sz="6" w:space="0" w:color="auto"/>
              <w:left w:val="single" w:sz="6" w:space="0" w:color="auto"/>
              <w:bottom w:val="single" w:sz="6" w:space="0" w:color="auto"/>
              <w:right w:val="single" w:sz="6" w:space="0" w:color="auto"/>
            </w:tcBorders>
          </w:tcPr>
          <w:p w14:paraId="1E3398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ДБ-3Б</w:t>
            </w:r>
          </w:p>
        </w:tc>
        <w:tc>
          <w:tcPr>
            <w:tcW w:w="730" w:type="dxa"/>
            <w:tcBorders>
              <w:top w:val="single" w:sz="6" w:space="0" w:color="auto"/>
              <w:left w:val="single" w:sz="6" w:space="0" w:color="auto"/>
              <w:bottom w:val="single" w:sz="6" w:space="0" w:color="auto"/>
              <w:right w:val="single" w:sz="6" w:space="0" w:color="auto"/>
            </w:tcBorders>
          </w:tcPr>
          <w:p w14:paraId="3C614F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ДБ-3Б</w:t>
            </w:r>
          </w:p>
        </w:tc>
        <w:tc>
          <w:tcPr>
            <w:tcW w:w="643" w:type="dxa"/>
            <w:tcBorders>
              <w:top w:val="single" w:sz="6" w:space="0" w:color="auto"/>
              <w:left w:val="single" w:sz="6" w:space="0" w:color="auto"/>
              <w:bottom w:val="single" w:sz="6" w:space="0" w:color="auto"/>
              <w:right w:val="single" w:sz="6" w:space="0" w:color="auto"/>
            </w:tcBorders>
          </w:tcPr>
          <w:p w14:paraId="7C30C1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ДБ-3М</w:t>
            </w:r>
          </w:p>
        </w:tc>
        <w:tc>
          <w:tcPr>
            <w:tcW w:w="778" w:type="dxa"/>
            <w:tcBorders>
              <w:top w:val="single" w:sz="6" w:space="0" w:color="auto"/>
              <w:left w:val="single" w:sz="6" w:space="0" w:color="auto"/>
              <w:bottom w:val="single" w:sz="6" w:space="0" w:color="auto"/>
              <w:right w:val="single" w:sz="6" w:space="0" w:color="auto"/>
            </w:tcBorders>
          </w:tcPr>
          <w:p w14:paraId="75769D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ДБ-3Ф</w:t>
            </w:r>
          </w:p>
        </w:tc>
        <w:tc>
          <w:tcPr>
            <w:tcW w:w="509" w:type="dxa"/>
            <w:tcBorders>
              <w:top w:val="single" w:sz="6" w:space="0" w:color="auto"/>
              <w:left w:val="single" w:sz="6" w:space="0" w:color="auto"/>
              <w:bottom w:val="single" w:sz="6" w:space="0" w:color="auto"/>
              <w:right w:val="single" w:sz="6" w:space="0" w:color="auto"/>
            </w:tcBorders>
          </w:tcPr>
          <w:p w14:paraId="6281F8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ДБ-3Ф</w:t>
            </w:r>
          </w:p>
        </w:tc>
        <w:tc>
          <w:tcPr>
            <w:tcW w:w="605" w:type="dxa"/>
            <w:tcBorders>
              <w:top w:val="single" w:sz="6" w:space="0" w:color="auto"/>
              <w:left w:val="single" w:sz="6" w:space="0" w:color="auto"/>
              <w:bottom w:val="single" w:sz="6" w:space="0" w:color="auto"/>
              <w:right w:val="single" w:sz="6" w:space="0" w:color="auto"/>
            </w:tcBorders>
          </w:tcPr>
          <w:p w14:paraId="2F1F61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w:t>
            </w:r>
          </w:p>
        </w:tc>
        <w:tc>
          <w:tcPr>
            <w:tcW w:w="614" w:type="dxa"/>
            <w:tcBorders>
              <w:top w:val="single" w:sz="6" w:space="0" w:color="auto"/>
              <w:left w:val="single" w:sz="6" w:space="0" w:color="auto"/>
              <w:bottom w:val="single" w:sz="6" w:space="0" w:color="auto"/>
              <w:right w:val="single" w:sz="6" w:space="0" w:color="auto"/>
            </w:tcBorders>
          </w:tcPr>
          <w:p w14:paraId="61DE5A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w:t>
            </w:r>
            <w:r w:rsidRPr="00F90EAE">
              <w:rPr>
                <w:color w:val="000000" w:themeColor="text1"/>
                <w:sz w:val="16"/>
                <w:szCs w:val="16"/>
                <w:vertAlign w:val="superscript"/>
              </w:rPr>
              <w:t>1)</w:t>
            </w:r>
          </w:p>
        </w:tc>
        <w:tc>
          <w:tcPr>
            <w:tcW w:w="595" w:type="dxa"/>
            <w:tcBorders>
              <w:top w:val="single" w:sz="6" w:space="0" w:color="auto"/>
              <w:left w:val="single" w:sz="6" w:space="0" w:color="auto"/>
              <w:bottom w:val="single" w:sz="6" w:space="0" w:color="auto"/>
              <w:right w:val="single" w:sz="6" w:space="0" w:color="auto"/>
            </w:tcBorders>
          </w:tcPr>
          <w:p w14:paraId="2A3A12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ДБ-3Ф</w:t>
            </w:r>
          </w:p>
        </w:tc>
        <w:tc>
          <w:tcPr>
            <w:tcW w:w="518" w:type="dxa"/>
            <w:tcBorders>
              <w:top w:val="single" w:sz="6" w:space="0" w:color="auto"/>
              <w:left w:val="single" w:sz="6" w:space="0" w:color="auto"/>
              <w:bottom w:val="single" w:sz="6" w:space="0" w:color="auto"/>
              <w:right w:val="single" w:sz="6" w:space="0" w:color="auto"/>
            </w:tcBorders>
          </w:tcPr>
          <w:p w14:paraId="10D59E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Ия-4</w:t>
            </w:r>
          </w:p>
        </w:tc>
        <w:tc>
          <w:tcPr>
            <w:tcW w:w="518" w:type="dxa"/>
            <w:tcBorders>
              <w:top w:val="single" w:sz="6" w:space="0" w:color="auto"/>
              <w:left w:val="single" w:sz="6" w:space="0" w:color="auto"/>
              <w:bottom w:val="single" w:sz="6" w:space="0" w:color="auto"/>
              <w:right w:val="single" w:sz="6" w:space="0" w:color="auto"/>
            </w:tcBorders>
          </w:tcPr>
          <w:p w14:paraId="6E2D94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w:t>
            </w:r>
          </w:p>
        </w:tc>
      </w:tr>
      <w:tr w:rsidR="00561F31" w:rsidRPr="00F90EAE" w14:paraId="5502A417"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4B3E8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w:t>
            </w:r>
          </w:p>
        </w:tc>
        <w:tc>
          <w:tcPr>
            <w:tcW w:w="902" w:type="dxa"/>
            <w:tcBorders>
              <w:top w:val="single" w:sz="6" w:space="0" w:color="auto"/>
              <w:left w:val="single" w:sz="6" w:space="0" w:color="auto"/>
              <w:bottom w:val="single" w:sz="6" w:space="0" w:color="auto"/>
              <w:right w:val="single" w:sz="6" w:space="0" w:color="auto"/>
            </w:tcBorders>
          </w:tcPr>
          <w:p w14:paraId="44F3CC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7FC65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08E190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506D6B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10C999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768" w:type="dxa"/>
            <w:tcBorders>
              <w:top w:val="single" w:sz="6" w:space="0" w:color="auto"/>
              <w:left w:val="single" w:sz="6" w:space="0" w:color="auto"/>
              <w:bottom w:val="single" w:sz="6" w:space="0" w:color="auto"/>
              <w:right w:val="single" w:sz="6" w:space="0" w:color="auto"/>
            </w:tcBorders>
          </w:tcPr>
          <w:p w14:paraId="210A1E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tc>
        <w:tc>
          <w:tcPr>
            <w:tcW w:w="499" w:type="dxa"/>
            <w:tcBorders>
              <w:top w:val="single" w:sz="6" w:space="0" w:color="auto"/>
              <w:left w:val="single" w:sz="6" w:space="0" w:color="auto"/>
              <w:bottom w:val="single" w:sz="6" w:space="0" w:color="auto"/>
              <w:right w:val="single" w:sz="6" w:space="0" w:color="auto"/>
            </w:tcBorders>
          </w:tcPr>
          <w:p w14:paraId="1C344E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691" w:type="dxa"/>
            <w:tcBorders>
              <w:top w:val="single" w:sz="6" w:space="0" w:color="auto"/>
              <w:left w:val="single" w:sz="6" w:space="0" w:color="auto"/>
              <w:bottom w:val="single" w:sz="6" w:space="0" w:color="auto"/>
              <w:right w:val="single" w:sz="6" w:space="0" w:color="auto"/>
            </w:tcBorders>
          </w:tcPr>
          <w:p w14:paraId="1DB87B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509" w:type="dxa"/>
            <w:tcBorders>
              <w:top w:val="single" w:sz="6" w:space="0" w:color="auto"/>
              <w:left w:val="single" w:sz="6" w:space="0" w:color="auto"/>
              <w:bottom w:val="single" w:sz="6" w:space="0" w:color="auto"/>
              <w:right w:val="single" w:sz="6" w:space="0" w:color="auto"/>
            </w:tcBorders>
          </w:tcPr>
          <w:p w14:paraId="495C67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576" w:type="dxa"/>
            <w:tcBorders>
              <w:top w:val="single" w:sz="6" w:space="0" w:color="auto"/>
              <w:left w:val="single" w:sz="6" w:space="0" w:color="auto"/>
              <w:bottom w:val="single" w:sz="6" w:space="0" w:color="auto"/>
              <w:right w:val="single" w:sz="6" w:space="0" w:color="auto"/>
            </w:tcBorders>
          </w:tcPr>
          <w:p w14:paraId="790E41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tc>
        <w:tc>
          <w:tcPr>
            <w:tcW w:w="701" w:type="dxa"/>
            <w:tcBorders>
              <w:top w:val="single" w:sz="6" w:space="0" w:color="auto"/>
              <w:left w:val="single" w:sz="6" w:space="0" w:color="auto"/>
              <w:bottom w:val="single" w:sz="6" w:space="0" w:color="auto"/>
              <w:right w:val="single" w:sz="6" w:space="0" w:color="auto"/>
            </w:tcBorders>
          </w:tcPr>
          <w:p w14:paraId="32FE6C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730" w:type="dxa"/>
            <w:tcBorders>
              <w:top w:val="single" w:sz="6" w:space="0" w:color="auto"/>
              <w:left w:val="single" w:sz="6" w:space="0" w:color="auto"/>
              <w:bottom w:val="single" w:sz="6" w:space="0" w:color="auto"/>
              <w:right w:val="single" w:sz="6" w:space="0" w:color="auto"/>
            </w:tcBorders>
          </w:tcPr>
          <w:p w14:paraId="659811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tc>
        <w:tc>
          <w:tcPr>
            <w:tcW w:w="643" w:type="dxa"/>
            <w:tcBorders>
              <w:top w:val="single" w:sz="6" w:space="0" w:color="auto"/>
              <w:left w:val="single" w:sz="6" w:space="0" w:color="auto"/>
              <w:bottom w:val="single" w:sz="6" w:space="0" w:color="auto"/>
              <w:right w:val="single" w:sz="6" w:space="0" w:color="auto"/>
            </w:tcBorders>
          </w:tcPr>
          <w:p w14:paraId="15F1B8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778" w:type="dxa"/>
            <w:tcBorders>
              <w:top w:val="single" w:sz="6" w:space="0" w:color="auto"/>
              <w:left w:val="single" w:sz="6" w:space="0" w:color="auto"/>
              <w:bottom w:val="single" w:sz="6" w:space="0" w:color="auto"/>
              <w:right w:val="single" w:sz="6" w:space="0" w:color="auto"/>
            </w:tcBorders>
          </w:tcPr>
          <w:p w14:paraId="754D69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w:t>
            </w:r>
          </w:p>
        </w:tc>
        <w:tc>
          <w:tcPr>
            <w:tcW w:w="509" w:type="dxa"/>
            <w:tcBorders>
              <w:top w:val="single" w:sz="6" w:space="0" w:color="auto"/>
              <w:left w:val="single" w:sz="6" w:space="0" w:color="auto"/>
              <w:bottom w:val="single" w:sz="6" w:space="0" w:color="auto"/>
              <w:right w:val="single" w:sz="6" w:space="0" w:color="auto"/>
            </w:tcBorders>
          </w:tcPr>
          <w:p w14:paraId="35C89E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tc>
        <w:tc>
          <w:tcPr>
            <w:tcW w:w="605" w:type="dxa"/>
            <w:tcBorders>
              <w:top w:val="single" w:sz="6" w:space="0" w:color="auto"/>
              <w:left w:val="single" w:sz="6" w:space="0" w:color="auto"/>
              <w:bottom w:val="single" w:sz="6" w:space="0" w:color="auto"/>
              <w:right w:val="single" w:sz="6" w:space="0" w:color="auto"/>
            </w:tcBorders>
          </w:tcPr>
          <w:p w14:paraId="6C8840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w:t>
            </w:r>
          </w:p>
        </w:tc>
        <w:tc>
          <w:tcPr>
            <w:tcW w:w="614" w:type="dxa"/>
            <w:tcBorders>
              <w:top w:val="single" w:sz="6" w:space="0" w:color="auto"/>
              <w:left w:val="single" w:sz="6" w:space="0" w:color="auto"/>
              <w:bottom w:val="single" w:sz="6" w:space="0" w:color="auto"/>
              <w:right w:val="single" w:sz="6" w:space="0" w:color="auto"/>
            </w:tcBorders>
          </w:tcPr>
          <w:p w14:paraId="4214D5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tc>
        <w:tc>
          <w:tcPr>
            <w:tcW w:w="595" w:type="dxa"/>
            <w:tcBorders>
              <w:top w:val="single" w:sz="6" w:space="0" w:color="auto"/>
              <w:left w:val="single" w:sz="6" w:space="0" w:color="auto"/>
              <w:bottom w:val="single" w:sz="6" w:space="0" w:color="auto"/>
              <w:right w:val="single" w:sz="6" w:space="0" w:color="auto"/>
            </w:tcBorders>
          </w:tcPr>
          <w:p w14:paraId="34542B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1C27C8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w:t>
            </w:r>
          </w:p>
        </w:tc>
        <w:tc>
          <w:tcPr>
            <w:tcW w:w="518" w:type="dxa"/>
            <w:tcBorders>
              <w:top w:val="single" w:sz="6" w:space="0" w:color="auto"/>
              <w:left w:val="single" w:sz="6" w:space="0" w:color="auto"/>
              <w:bottom w:val="single" w:sz="6" w:space="0" w:color="auto"/>
              <w:right w:val="single" w:sz="6" w:space="0" w:color="auto"/>
            </w:tcBorders>
          </w:tcPr>
          <w:p w14:paraId="3D53DA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w:t>
            </w:r>
          </w:p>
        </w:tc>
      </w:tr>
      <w:tr w:rsidR="00561F31" w:rsidRPr="00F90EAE" w14:paraId="7E291987" w14:textId="77777777">
        <w:trPr>
          <w:trHeight w:val="624"/>
        </w:trPr>
        <w:tc>
          <w:tcPr>
            <w:tcW w:w="1584" w:type="dxa"/>
            <w:tcBorders>
              <w:top w:val="single" w:sz="6" w:space="0" w:color="auto"/>
              <w:left w:val="single" w:sz="6" w:space="0" w:color="auto"/>
              <w:bottom w:val="single" w:sz="6" w:space="0" w:color="auto"/>
              <w:right w:val="single" w:sz="6" w:space="0" w:color="auto"/>
            </w:tcBorders>
          </w:tcPr>
          <w:p w14:paraId="615DF9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Моторы</w:t>
            </w:r>
          </w:p>
        </w:tc>
        <w:tc>
          <w:tcPr>
            <w:tcW w:w="902" w:type="dxa"/>
            <w:tcBorders>
              <w:top w:val="single" w:sz="6" w:space="0" w:color="auto"/>
              <w:left w:val="single" w:sz="6" w:space="0" w:color="auto"/>
              <w:bottom w:val="single" w:sz="6" w:space="0" w:color="auto"/>
              <w:right w:val="single" w:sz="6" w:space="0" w:color="auto"/>
            </w:tcBorders>
          </w:tcPr>
          <w:p w14:paraId="6D2904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59ADD1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Райт "Циклон"</w:t>
            </w:r>
          </w:p>
        </w:tc>
        <w:tc>
          <w:tcPr>
            <w:tcW w:w="643" w:type="dxa"/>
            <w:tcBorders>
              <w:top w:val="single" w:sz="6" w:space="0" w:color="auto"/>
              <w:left w:val="single" w:sz="6" w:space="0" w:color="auto"/>
              <w:bottom w:val="single" w:sz="6" w:space="0" w:color="auto"/>
              <w:right w:val="single" w:sz="6" w:space="0" w:color="auto"/>
            </w:tcBorders>
          </w:tcPr>
          <w:p w14:paraId="7C57AF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GR14К</w:t>
            </w:r>
          </w:p>
        </w:tc>
        <w:tc>
          <w:tcPr>
            <w:tcW w:w="605" w:type="dxa"/>
            <w:tcBorders>
              <w:top w:val="single" w:sz="6" w:space="0" w:color="auto"/>
              <w:left w:val="single" w:sz="6" w:space="0" w:color="auto"/>
              <w:bottom w:val="single" w:sz="6" w:space="0" w:color="auto"/>
              <w:right w:val="single" w:sz="6" w:space="0" w:color="auto"/>
            </w:tcBorders>
          </w:tcPr>
          <w:p w14:paraId="4B06A3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GR14К</w:t>
            </w:r>
          </w:p>
        </w:tc>
        <w:tc>
          <w:tcPr>
            <w:tcW w:w="509" w:type="dxa"/>
            <w:tcBorders>
              <w:top w:val="single" w:sz="6" w:space="0" w:color="auto"/>
              <w:left w:val="single" w:sz="6" w:space="0" w:color="auto"/>
              <w:bottom w:val="single" w:sz="6" w:space="0" w:color="auto"/>
              <w:right w:val="single" w:sz="6" w:space="0" w:color="auto"/>
            </w:tcBorders>
          </w:tcPr>
          <w:p w14:paraId="58CA6A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М-85</w:t>
            </w:r>
          </w:p>
        </w:tc>
        <w:tc>
          <w:tcPr>
            <w:tcW w:w="768" w:type="dxa"/>
            <w:tcBorders>
              <w:top w:val="single" w:sz="6" w:space="0" w:color="auto"/>
              <w:left w:val="single" w:sz="6" w:space="0" w:color="auto"/>
              <w:bottom w:val="single" w:sz="6" w:space="0" w:color="auto"/>
              <w:right w:val="single" w:sz="6" w:space="0" w:color="auto"/>
            </w:tcBorders>
          </w:tcPr>
          <w:p w14:paraId="685610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М-85</w:t>
            </w:r>
          </w:p>
        </w:tc>
        <w:tc>
          <w:tcPr>
            <w:tcW w:w="499" w:type="dxa"/>
            <w:tcBorders>
              <w:top w:val="single" w:sz="6" w:space="0" w:color="auto"/>
              <w:left w:val="single" w:sz="6" w:space="0" w:color="auto"/>
              <w:bottom w:val="single" w:sz="6" w:space="0" w:color="auto"/>
              <w:right w:val="single" w:sz="6" w:space="0" w:color="auto"/>
            </w:tcBorders>
          </w:tcPr>
          <w:p w14:paraId="48C819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М-86</w:t>
            </w:r>
          </w:p>
        </w:tc>
        <w:tc>
          <w:tcPr>
            <w:tcW w:w="691" w:type="dxa"/>
            <w:tcBorders>
              <w:top w:val="single" w:sz="6" w:space="0" w:color="auto"/>
              <w:left w:val="single" w:sz="6" w:space="0" w:color="auto"/>
              <w:bottom w:val="single" w:sz="6" w:space="0" w:color="auto"/>
              <w:right w:val="single" w:sz="6" w:space="0" w:color="auto"/>
            </w:tcBorders>
          </w:tcPr>
          <w:p w14:paraId="3F813B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М-86</w:t>
            </w:r>
          </w:p>
        </w:tc>
        <w:tc>
          <w:tcPr>
            <w:tcW w:w="509" w:type="dxa"/>
            <w:tcBorders>
              <w:top w:val="single" w:sz="6" w:space="0" w:color="auto"/>
              <w:left w:val="single" w:sz="6" w:space="0" w:color="auto"/>
              <w:bottom w:val="single" w:sz="6" w:space="0" w:color="auto"/>
              <w:right w:val="single" w:sz="6" w:space="0" w:color="auto"/>
            </w:tcBorders>
          </w:tcPr>
          <w:p w14:paraId="5BDA6B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М-86</w:t>
            </w:r>
          </w:p>
        </w:tc>
        <w:tc>
          <w:tcPr>
            <w:tcW w:w="576" w:type="dxa"/>
            <w:tcBorders>
              <w:top w:val="single" w:sz="6" w:space="0" w:color="auto"/>
              <w:left w:val="single" w:sz="6" w:space="0" w:color="auto"/>
              <w:bottom w:val="single" w:sz="6" w:space="0" w:color="auto"/>
              <w:right w:val="single" w:sz="6" w:space="0" w:color="auto"/>
            </w:tcBorders>
          </w:tcPr>
          <w:p w14:paraId="654AD0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М-87А</w:t>
            </w:r>
          </w:p>
        </w:tc>
        <w:tc>
          <w:tcPr>
            <w:tcW w:w="701" w:type="dxa"/>
            <w:tcBorders>
              <w:top w:val="single" w:sz="6" w:space="0" w:color="auto"/>
              <w:left w:val="single" w:sz="6" w:space="0" w:color="auto"/>
              <w:bottom w:val="single" w:sz="6" w:space="0" w:color="auto"/>
              <w:right w:val="single" w:sz="6" w:space="0" w:color="auto"/>
            </w:tcBorders>
          </w:tcPr>
          <w:p w14:paraId="02262B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w:t>
            </w:r>
          </w:p>
        </w:tc>
        <w:tc>
          <w:tcPr>
            <w:tcW w:w="730" w:type="dxa"/>
            <w:tcBorders>
              <w:top w:val="single" w:sz="6" w:space="0" w:color="auto"/>
              <w:left w:val="single" w:sz="6" w:space="0" w:color="auto"/>
              <w:bottom w:val="single" w:sz="6" w:space="0" w:color="auto"/>
              <w:right w:val="single" w:sz="6" w:space="0" w:color="auto"/>
            </w:tcBorders>
          </w:tcPr>
          <w:p w14:paraId="0D67A3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М-87Б</w:t>
            </w:r>
          </w:p>
        </w:tc>
        <w:tc>
          <w:tcPr>
            <w:tcW w:w="643" w:type="dxa"/>
            <w:tcBorders>
              <w:top w:val="single" w:sz="6" w:space="0" w:color="auto"/>
              <w:left w:val="single" w:sz="6" w:space="0" w:color="auto"/>
              <w:bottom w:val="single" w:sz="6" w:space="0" w:color="auto"/>
              <w:right w:val="single" w:sz="6" w:space="0" w:color="auto"/>
            </w:tcBorders>
          </w:tcPr>
          <w:p w14:paraId="5C021D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c>
          <w:tcPr>
            <w:tcW w:w="778" w:type="dxa"/>
            <w:tcBorders>
              <w:top w:val="single" w:sz="6" w:space="0" w:color="auto"/>
              <w:left w:val="single" w:sz="6" w:space="0" w:color="auto"/>
              <w:bottom w:val="single" w:sz="6" w:space="0" w:color="auto"/>
              <w:right w:val="single" w:sz="6" w:space="0" w:color="auto"/>
            </w:tcBorders>
          </w:tcPr>
          <w:p w14:paraId="58374C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М-87Б</w:t>
            </w:r>
          </w:p>
        </w:tc>
        <w:tc>
          <w:tcPr>
            <w:tcW w:w="509" w:type="dxa"/>
            <w:tcBorders>
              <w:top w:val="single" w:sz="6" w:space="0" w:color="auto"/>
              <w:left w:val="single" w:sz="6" w:space="0" w:color="auto"/>
              <w:bottom w:val="single" w:sz="6" w:space="0" w:color="auto"/>
              <w:right w:val="single" w:sz="6" w:space="0" w:color="auto"/>
            </w:tcBorders>
          </w:tcPr>
          <w:p w14:paraId="5C8F1D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c>
          <w:tcPr>
            <w:tcW w:w="605" w:type="dxa"/>
            <w:tcBorders>
              <w:top w:val="single" w:sz="6" w:space="0" w:color="auto"/>
              <w:left w:val="single" w:sz="6" w:space="0" w:color="auto"/>
              <w:bottom w:val="single" w:sz="6" w:space="0" w:color="auto"/>
              <w:right w:val="single" w:sz="6" w:space="0" w:color="auto"/>
            </w:tcBorders>
          </w:tcPr>
          <w:p w14:paraId="795B61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c>
          <w:tcPr>
            <w:tcW w:w="614" w:type="dxa"/>
            <w:tcBorders>
              <w:top w:val="single" w:sz="6" w:space="0" w:color="auto"/>
              <w:left w:val="single" w:sz="6" w:space="0" w:color="auto"/>
              <w:bottom w:val="single" w:sz="6" w:space="0" w:color="auto"/>
              <w:right w:val="single" w:sz="6" w:space="0" w:color="auto"/>
            </w:tcBorders>
          </w:tcPr>
          <w:p w14:paraId="41ACF9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c>
          <w:tcPr>
            <w:tcW w:w="595" w:type="dxa"/>
            <w:tcBorders>
              <w:top w:val="single" w:sz="6" w:space="0" w:color="auto"/>
              <w:left w:val="single" w:sz="6" w:space="0" w:color="auto"/>
              <w:bottom w:val="single" w:sz="6" w:space="0" w:color="auto"/>
              <w:right w:val="single" w:sz="6" w:space="0" w:color="auto"/>
            </w:tcBorders>
          </w:tcPr>
          <w:p w14:paraId="23DA8C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М-82</w:t>
            </w:r>
          </w:p>
        </w:tc>
        <w:tc>
          <w:tcPr>
            <w:tcW w:w="518" w:type="dxa"/>
            <w:tcBorders>
              <w:top w:val="single" w:sz="6" w:space="0" w:color="auto"/>
              <w:left w:val="single" w:sz="6" w:space="0" w:color="auto"/>
              <w:bottom w:val="single" w:sz="6" w:space="0" w:color="auto"/>
              <w:right w:val="single" w:sz="6" w:space="0" w:color="auto"/>
            </w:tcBorders>
          </w:tcPr>
          <w:p w14:paraId="124E3B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c>
          <w:tcPr>
            <w:tcW w:w="518" w:type="dxa"/>
            <w:tcBorders>
              <w:top w:val="single" w:sz="6" w:space="0" w:color="auto"/>
              <w:left w:val="single" w:sz="6" w:space="0" w:color="auto"/>
              <w:bottom w:val="single" w:sz="6" w:space="0" w:color="auto"/>
              <w:right w:val="single" w:sz="6" w:space="0" w:color="auto"/>
            </w:tcBorders>
          </w:tcPr>
          <w:p w14:paraId="5E4AFF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М-88Б</w:t>
            </w:r>
          </w:p>
        </w:tc>
      </w:tr>
      <w:tr w:rsidR="00561F31" w:rsidRPr="00F90EAE" w14:paraId="43E5F430" w14:textId="77777777">
        <w:trPr>
          <w:trHeight w:val="710"/>
        </w:trPr>
        <w:tc>
          <w:tcPr>
            <w:tcW w:w="1584" w:type="dxa"/>
            <w:tcBorders>
              <w:top w:val="single" w:sz="6" w:space="0" w:color="auto"/>
              <w:left w:val="single" w:sz="6" w:space="0" w:color="auto"/>
              <w:bottom w:val="single" w:sz="6" w:space="0" w:color="auto"/>
              <w:right w:val="single" w:sz="6" w:space="0" w:color="auto"/>
            </w:tcBorders>
          </w:tcPr>
          <w:p w14:paraId="09C539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Время испытаний</w:t>
            </w:r>
          </w:p>
        </w:tc>
        <w:tc>
          <w:tcPr>
            <w:tcW w:w="902" w:type="dxa"/>
            <w:tcBorders>
              <w:top w:val="single" w:sz="6" w:space="0" w:color="auto"/>
              <w:left w:val="single" w:sz="6" w:space="0" w:color="auto"/>
              <w:bottom w:val="single" w:sz="6" w:space="0" w:color="auto"/>
              <w:right w:val="single" w:sz="6" w:space="0" w:color="auto"/>
            </w:tcBorders>
          </w:tcPr>
          <w:p w14:paraId="6E45F9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D7EDA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7E72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июль-август 1935 г.</w:t>
            </w:r>
          </w:p>
        </w:tc>
        <w:tc>
          <w:tcPr>
            <w:tcW w:w="605" w:type="dxa"/>
            <w:tcBorders>
              <w:top w:val="single" w:sz="6" w:space="0" w:color="auto"/>
              <w:left w:val="single" w:sz="6" w:space="0" w:color="auto"/>
              <w:bottom w:val="single" w:sz="6" w:space="0" w:color="auto"/>
              <w:right w:val="single" w:sz="6" w:space="0" w:color="auto"/>
            </w:tcBorders>
          </w:tcPr>
          <w:p w14:paraId="4BE9D8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651EC6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 1937 г.</w:t>
            </w:r>
          </w:p>
        </w:tc>
        <w:tc>
          <w:tcPr>
            <w:tcW w:w="768" w:type="dxa"/>
            <w:tcBorders>
              <w:top w:val="single" w:sz="6" w:space="0" w:color="auto"/>
              <w:left w:val="single" w:sz="6" w:space="0" w:color="auto"/>
              <w:bottom w:val="single" w:sz="6" w:space="0" w:color="auto"/>
              <w:right w:val="single" w:sz="6" w:space="0" w:color="auto"/>
            </w:tcBorders>
          </w:tcPr>
          <w:p w14:paraId="68B3C3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сентябрь-октябрь 1937 г.</w:t>
            </w:r>
          </w:p>
        </w:tc>
        <w:tc>
          <w:tcPr>
            <w:tcW w:w="499" w:type="dxa"/>
            <w:tcBorders>
              <w:top w:val="single" w:sz="6" w:space="0" w:color="auto"/>
              <w:left w:val="single" w:sz="6" w:space="0" w:color="auto"/>
              <w:bottom w:val="single" w:sz="6" w:space="0" w:color="auto"/>
              <w:right w:val="single" w:sz="6" w:space="0" w:color="auto"/>
            </w:tcBorders>
          </w:tcPr>
          <w:p w14:paraId="535AFD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весна 1938 г.</w:t>
            </w:r>
          </w:p>
        </w:tc>
        <w:tc>
          <w:tcPr>
            <w:tcW w:w="691" w:type="dxa"/>
            <w:tcBorders>
              <w:top w:val="single" w:sz="6" w:space="0" w:color="auto"/>
              <w:left w:val="single" w:sz="6" w:space="0" w:color="auto"/>
              <w:bottom w:val="single" w:sz="6" w:space="0" w:color="auto"/>
              <w:right w:val="single" w:sz="6" w:space="0" w:color="auto"/>
            </w:tcBorders>
          </w:tcPr>
          <w:p w14:paraId="64BD4B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июль-октябрь 1938 г.</w:t>
            </w:r>
          </w:p>
        </w:tc>
        <w:tc>
          <w:tcPr>
            <w:tcW w:w="509" w:type="dxa"/>
            <w:tcBorders>
              <w:top w:val="single" w:sz="6" w:space="0" w:color="auto"/>
              <w:left w:val="single" w:sz="6" w:space="0" w:color="auto"/>
              <w:bottom w:val="single" w:sz="6" w:space="0" w:color="auto"/>
              <w:right w:val="single" w:sz="6" w:space="0" w:color="auto"/>
            </w:tcBorders>
          </w:tcPr>
          <w:p w14:paraId="4D03B2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лето 1938 г.</w:t>
            </w:r>
          </w:p>
        </w:tc>
        <w:tc>
          <w:tcPr>
            <w:tcW w:w="576" w:type="dxa"/>
            <w:tcBorders>
              <w:top w:val="single" w:sz="6" w:space="0" w:color="auto"/>
              <w:left w:val="single" w:sz="6" w:space="0" w:color="auto"/>
              <w:bottom w:val="single" w:sz="6" w:space="0" w:color="auto"/>
              <w:right w:val="single" w:sz="6" w:space="0" w:color="auto"/>
            </w:tcBorders>
          </w:tcPr>
          <w:p w14:paraId="21F3DA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весна 1939 г.</w:t>
            </w:r>
          </w:p>
        </w:tc>
        <w:tc>
          <w:tcPr>
            <w:tcW w:w="701" w:type="dxa"/>
            <w:tcBorders>
              <w:top w:val="single" w:sz="6" w:space="0" w:color="auto"/>
              <w:left w:val="single" w:sz="6" w:space="0" w:color="auto"/>
              <w:bottom w:val="single" w:sz="6" w:space="0" w:color="auto"/>
              <w:right w:val="single" w:sz="6" w:space="0" w:color="auto"/>
            </w:tcBorders>
          </w:tcPr>
          <w:p w14:paraId="230502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июль-сентябрь 1939 г.</w:t>
            </w:r>
          </w:p>
        </w:tc>
        <w:tc>
          <w:tcPr>
            <w:tcW w:w="730" w:type="dxa"/>
            <w:tcBorders>
              <w:top w:val="single" w:sz="6" w:space="0" w:color="auto"/>
              <w:left w:val="single" w:sz="6" w:space="0" w:color="auto"/>
              <w:bottom w:val="single" w:sz="6" w:space="0" w:color="auto"/>
              <w:right w:val="single" w:sz="6" w:space="0" w:color="auto"/>
            </w:tcBorders>
          </w:tcPr>
          <w:p w14:paraId="124C3D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июль-сентябрь 1939 г.</w:t>
            </w:r>
          </w:p>
        </w:tc>
        <w:tc>
          <w:tcPr>
            <w:tcW w:w="643" w:type="dxa"/>
            <w:tcBorders>
              <w:top w:val="single" w:sz="6" w:space="0" w:color="auto"/>
              <w:left w:val="single" w:sz="6" w:space="0" w:color="auto"/>
              <w:bottom w:val="single" w:sz="6" w:space="0" w:color="auto"/>
              <w:right w:val="single" w:sz="6" w:space="0" w:color="auto"/>
            </w:tcBorders>
          </w:tcPr>
          <w:p w14:paraId="11D177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апрель-май 1940 г.</w:t>
            </w:r>
          </w:p>
        </w:tc>
        <w:tc>
          <w:tcPr>
            <w:tcW w:w="778" w:type="dxa"/>
            <w:tcBorders>
              <w:top w:val="single" w:sz="6" w:space="0" w:color="auto"/>
              <w:left w:val="single" w:sz="6" w:space="0" w:color="auto"/>
              <w:bottom w:val="single" w:sz="6" w:space="0" w:color="auto"/>
              <w:right w:val="single" w:sz="6" w:space="0" w:color="auto"/>
            </w:tcBorders>
          </w:tcPr>
          <w:p w14:paraId="2BDE53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сентябрь-октябрь 1940 г.</w:t>
            </w:r>
          </w:p>
        </w:tc>
        <w:tc>
          <w:tcPr>
            <w:tcW w:w="509" w:type="dxa"/>
            <w:tcBorders>
              <w:top w:val="single" w:sz="6" w:space="0" w:color="auto"/>
              <w:left w:val="single" w:sz="6" w:space="0" w:color="auto"/>
              <w:bottom w:val="single" w:sz="6" w:space="0" w:color="auto"/>
              <w:right w:val="single" w:sz="6" w:space="0" w:color="auto"/>
            </w:tcBorders>
          </w:tcPr>
          <w:p w14:paraId="0B29DE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w:t>
            </w:r>
          </w:p>
        </w:tc>
        <w:tc>
          <w:tcPr>
            <w:tcW w:w="605" w:type="dxa"/>
            <w:tcBorders>
              <w:top w:val="single" w:sz="6" w:space="0" w:color="auto"/>
              <w:left w:val="single" w:sz="6" w:space="0" w:color="auto"/>
              <w:bottom w:val="single" w:sz="6" w:space="0" w:color="auto"/>
              <w:right w:val="single" w:sz="6" w:space="0" w:color="auto"/>
            </w:tcBorders>
          </w:tcPr>
          <w:p w14:paraId="604430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tc>
        <w:tc>
          <w:tcPr>
            <w:tcW w:w="614" w:type="dxa"/>
            <w:tcBorders>
              <w:top w:val="single" w:sz="6" w:space="0" w:color="auto"/>
              <w:left w:val="single" w:sz="6" w:space="0" w:color="auto"/>
              <w:bottom w:val="single" w:sz="6" w:space="0" w:color="auto"/>
              <w:right w:val="single" w:sz="6" w:space="0" w:color="auto"/>
            </w:tcBorders>
          </w:tcPr>
          <w:p w14:paraId="32FE2C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tc>
        <w:tc>
          <w:tcPr>
            <w:tcW w:w="595" w:type="dxa"/>
            <w:tcBorders>
              <w:top w:val="single" w:sz="6" w:space="0" w:color="auto"/>
              <w:left w:val="single" w:sz="6" w:space="0" w:color="auto"/>
              <w:bottom w:val="single" w:sz="6" w:space="0" w:color="auto"/>
              <w:right w:val="single" w:sz="6" w:space="0" w:color="auto"/>
            </w:tcBorders>
          </w:tcPr>
          <w:p w14:paraId="5BEDCB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май-июнь 1942 г.</w:t>
            </w:r>
          </w:p>
        </w:tc>
        <w:tc>
          <w:tcPr>
            <w:tcW w:w="518" w:type="dxa"/>
            <w:tcBorders>
              <w:top w:val="single" w:sz="6" w:space="0" w:color="auto"/>
              <w:left w:val="single" w:sz="6" w:space="0" w:color="auto"/>
              <w:bottom w:val="single" w:sz="6" w:space="0" w:color="auto"/>
              <w:right w:val="single" w:sz="6" w:space="0" w:color="auto"/>
            </w:tcBorders>
          </w:tcPr>
          <w:p w14:paraId="4CB3AE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tc>
        <w:tc>
          <w:tcPr>
            <w:tcW w:w="518" w:type="dxa"/>
            <w:tcBorders>
              <w:top w:val="single" w:sz="6" w:space="0" w:color="auto"/>
              <w:left w:val="single" w:sz="6" w:space="0" w:color="auto"/>
              <w:bottom w:val="single" w:sz="6" w:space="0" w:color="auto"/>
              <w:right w:val="single" w:sz="6" w:space="0" w:color="auto"/>
            </w:tcBorders>
          </w:tcPr>
          <w:p w14:paraId="2435ED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tc>
      </w:tr>
      <w:tr w:rsidR="00561F31" w:rsidRPr="00F90EAE" w14:paraId="2C009C51" w14:textId="77777777">
        <w:trPr>
          <w:trHeight w:val="509"/>
        </w:trPr>
        <w:tc>
          <w:tcPr>
            <w:tcW w:w="1584" w:type="dxa"/>
            <w:tcBorders>
              <w:top w:val="single" w:sz="6" w:space="0" w:color="auto"/>
              <w:left w:val="single" w:sz="6" w:space="0" w:color="auto"/>
              <w:bottom w:val="single" w:sz="6" w:space="0" w:color="auto"/>
              <w:right w:val="single" w:sz="6" w:space="0" w:color="auto"/>
            </w:tcBorders>
          </w:tcPr>
          <w:p w14:paraId="67D5AC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 пустгого, кг</w:t>
            </w:r>
          </w:p>
        </w:tc>
        <w:tc>
          <w:tcPr>
            <w:tcW w:w="902" w:type="dxa"/>
            <w:tcBorders>
              <w:top w:val="single" w:sz="6" w:space="0" w:color="auto"/>
              <w:left w:val="single" w:sz="6" w:space="0" w:color="auto"/>
              <w:bottom w:val="single" w:sz="6" w:space="0" w:color="auto"/>
              <w:right w:val="single" w:sz="6" w:space="0" w:color="auto"/>
            </w:tcBorders>
          </w:tcPr>
          <w:p w14:paraId="0B41ED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7B4174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192DE8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112D29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4365</w:t>
            </w:r>
          </w:p>
        </w:tc>
        <w:tc>
          <w:tcPr>
            <w:tcW w:w="509" w:type="dxa"/>
            <w:tcBorders>
              <w:top w:val="single" w:sz="6" w:space="0" w:color="auto"/>
              <w:left w:val="single" w:sz="6" w:space="0" w:color="auto"/>
              <w:bottom w:val="single" w:sz="6" w:space="0" w:color="auto"/>
              <w:right w:val="single" w:sz="6" w:space="0" w:color="auto"/>
            </w:tcBorders>
          </w:tcPr>
          <w:p w14:paraId="0C980C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4563</w:t>
            </w:r>
          </w:p>
        </w:tc>
        <w:tc>
          <w:tcPr>
            <w:tcW w:w="768" w:type="dxa"/>
            <w:tcBorders>
              <w:top w:val="single" w:sz="6" w:space="0" w:color="auto"/>
              <w:left w:val="single" w:sz="6" w:space="0" w:color="auto"/>
              <w:bottom w:val="single" w:sz="6" w:space="0" w:color="auto"/>
              <w:right w:val="single" w:sz="6" w:space="0" w:color="auto"/>
            </w:tcBorders>
          </w:tcPr>
          <w:p w14:paraId="401AFA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4446</w:t>
            </w:r>
          </w:p>
        </w:tc>
        <w:tc>
          <w:tcPr>
            <w:tcW w:w="499" w:type="dxa"/>
            <w:tcBorders>
              <w:top w:val="single" w:sz="6" w:space="0" w:color="auto"/>
              <w:left w:val="single" w:sz="6" w:space="0" w:color="auto"/>
              <w:bottom w:val="single" w:sz="6" w:space="0" w:color="auto"/>
              <w:right w:val="single" w:sz="6" w:space="0" w:color="auto"/>
            </w:tcBorders>
          </w:tcPr>
          <w:p w14:paraId="65F76F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4298</w:t>
            </w:r>
          </w:p>
        </w:tc>
        <w:tc>
          <w:tcPr>
            <w:tcW w:w="691" w:type="dxa"/>
            <w:tcBorders>
              <w:top w:val="single" w:sz="6" w:space="0" w:color="auto"/>
              <w:left w:val="single" w:sz="6" w:space="0" w:color="auto"/>
              <w:bottom w:val="single" w:sz="6" w:space="0" w:color="auto"/>
              <w:right w:val="single" w:sz="6" w:space="0" w:color="auto"/>
            </w:tcBorders>
          </w:tcPr>
          <w:p w14:paraId="607ABD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4677</w:t>
            </w:r>
          </w:p>
        </w:tc>
        <w:tc>
          <w:tcPr>
            <w:tcW w:w="509" w:type="dxa"/>
            <w:tcBorders>
              <w:top w:val="single" w:sz="6" w:space="0" w:color="auto"/>
              <w:left w:val="single" w:sz="6" w:space="0" w:color="auto"/>
              <w:bottom w:val="single" w:sz="6" w:space="0" w:color="auto"/>
              <w:right w:val="single" w:sz="6" w:space="0" w:color="auto"/>
            </w:tcBorders>
          </w:tcPr>
          <w:p w14:paraId="5FBE2E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5630</w:t>
            </w:r>
          </w:p>
        </w:tc>
        <w:tc>
          <w:tcPr>
            <w:tcW w:w="576" w:type="dxa"/>
            <w:tcBorders>
              <w:top w:val="single" w:sz="6" w:space="0" w:color="auto"/>
              <w:left w:val="single" w:sz="6" w:space="0" w:color="auto"/>
              <w:bottom w:val="single" w:sz="6" w:space="0" w:color="auto"/>
              <w:right w:val="single" w:sz="6" w:space="0" w:color="auto"/>
            </w:tcBorders>
          </w:tcPr>
          <w:p w14:paraId="1E12C4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4954</w:t>
            </w:r>
          </w:p>
        </w:tc>
        <w:tc>
          <w:tcPr>
            <w:tcW w:w="701" w:type="dxa"/>
            <w:tcBorders>
              <w:top w:val="single" w:sz="6" w:space="0" w:color="auto"/>
              <w:left w:val="single" w:sz="6" w:space="0" w:color="auto"/>
              <w:bottom w:val="single" w:sz="6" w:space="0" w:color="auto"/>
              <w:right w:val="single" w:sz="6" w:space="0" w:color="auto"/>
            </w:tcBorders>
          </w:tcPr>
          <w:p w14:paraId="511787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5080</w:t>
            </w:r>
          </w:p>
        </w:tc>
        <w:tc>
          <w:tcPr>
            <w:tcW w:w="730" w:type="dxa"/>
            <w:tcBorders>
              <w:top w:val="single" w:sz="6" w:space="0" w:color="auto"/>
              <w:left w:val="single" w:sz="6" w:space="0" w:color="auto"/>
              <w:bottom w:val="single" w:sz="6" w:space="0" w:color="auto"/>
              <w:right w:val="single" w:sz="6" w:space="0" w:color="auto"/>
            </w:tcBorders>
          </w:tcPr>
          <w:p w14:paraId="0EA91C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5100</w:t>
            </w:r>
          </w:p>
        </w:tc>
        <w:tc>
          <w:tcPr>
            <w:tcW w:w="643" w:type="dxa"/>
            <w:tcBorders>
              <w:top w:val="single" w:sz="6" w:space="0" w:color="auto"/>
              <w:left w:val="single" w:sz="6" w:space="0" w:color="auto"/>
              <w:bottom w:val="single" w:sz="6" w:space="0" w:color="auto"/>
              <w:right w:val="single" w:sz="6" w:space="0" w:color="auto"/>
            </w:tcBorders>
          </w:tcPr>
          <w:p w14:paraId="08AA63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5590</w:t>
            </w:r>
          </w:p>
        </w:tc>
        <w:tc>
          <w:tcPr>
            <w:tcW w:w="778" w:type="dxa"/>
            <w:tcBorders>
              <w:top w:val="single" w:sz="6" w:space="0" w:color="auto"/>
              <w:left w:val="single" w:sz="6" w:space="0" w:color="auto"/>
              <w:bottom w:val="single" w:sz="6" w:space="0" w:color="auto"/>
              <w:right w:val="single" w:sz="6" w:space="0" w:color="auto"/>
            </w:tcBorders>
          </w:tcPr>
          <w:p w14:paraId="0BAABE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5564</w:t>
            </w:r>
          </w:p>
        </w:tc>
        <w:tc>
          <w:tcPr>
            <w:tcW w:w="509" w:type="dxa"/>
            <w:tcBorders>
              <w:top w:val="single" w:sz="6" w:space="0" w:color="auto"/>
              <w:left w:val="single" w:sz="6" w:space="0" w:color="auto"/>
              <w:bottom w:val="single" w:sz="6" w:space="0" w:color="auto"/>
              <w:right w:val="single" w:sz="6" w:space="0" w:color="auto"/>
            </w:tcBorders>
          </w:tcPr>
          <w:p w14:paraId="305E5E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5701</w:t>
            </w:r>
          </w:p>
        </w:tc>
        <w:tc>
          <w:tcPr>
            <w:tcW w:w="605" w:type="dxa"/>
            <w:tcBorders>
              <w:top w:val="single" w:sz="6" w:space="0" w:color="auto"/>
              <w:left w:val="single" w:sz="6" w:space="0" w:color="auto"/>
              <w:bottom w:val="single" w:sz="6" w:space="0" w:color="auto"/>
              <w:right w:val="single" w:sz="6" w:space="0" w:color="auto"/>
            </w:tcBorders>
          </w:tcPr>
          <w:p w14:paraId="2F4ED9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5800</w:t>
            </w:r>
          </w:p>
        </w:tc>
        <w:tc>
          <w:tcPr>
            <w:tcW w:w="614" w:type="dxa"/>
            <w:tcBorders>
              <w:top w:val="single" w:sz="6" w:space="0" w:color="auto"/>
              <w:left w:val="single" w:sz="6" w:space="0" w:color="auto"/>
              <w:bottom w:val="single" w:sz="6" w:space="0" w:color="auto"/>
              <w:right w:val="single" w:sz="6" w:space="0" w:color="auto"/>
            </w:tcBorders>
          </w:tcPr>
          <w:p w14:paraId="7F0C53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6421</w:t>
            </w:r>
          </w:p>
        </w:tc>
        <w:tc>
          <w:tcPr>
            <w:tcW w:w="595" w:type="dxa"/>
            <w:tcBorders>
              <w:top w:val="single" w:sz="6" w:space="0" w:color="auto"/>
              <w:left w:val="single" w:sz="6" w:space="0" w:color="auto"/>
              <w:bottom w:val="single" w:sz="6" w:space="0" w:color="auto"/>
              <w:right w:val="single" w:sz="6" w:space="0" w:color="auto"/>
            </w:tcBorders>
          </w:tcPr>
          <w:p w14:paraId="16DA6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52DF28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5800</w:t>
            </w:r>
          </w:p>
        </w:tc>
        <w:tc>
          <w:tcPr>
            <w:tcW w:w="518" w:type="dxa"/>
            <w:tcBorders>
              <w:top w:val="single" w:sz="6" w:space="0" w:color="auto"/>
              <w:left w:val="single" w:sz="6" w:space="0" w:color="auto"/>
              <w:bottom w:val="single" w:sz="6" w:space="0" w:color="auto"/>
              <w:right w:val="single" w:sz="6" w:space="0" w:color="auto"/>
            </w:tcBorders>
          </w:tcPr>
          <w:p w14:paraId="563435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13E68C1"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E7994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 взлетный кг.</w:t>
            </w:r>
          </w:p>
        </w:tc>
        <w:tc>
          <w:tcPr>
            <w:tcW w:w="902" w:type="dxa"/>
            <w:tcBorders>
              <w:top w:val="single" w:sz="6" w:space="0" w:color="auto"/>
              <w:left w:val="single" w:sz="6" w:space="0" w:color="auto"/>
              <w:bottom w:val="single" w:sz="6" w:space="0" w:color="auto"/>
              <w:right w:val="single" w:sz="6" w:space="0" w:color="auto"/>
            </w:tcBorders>
          </w:tcPr>
          <w:p w14:paraId="0948EA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4D69E7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2DC82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6000</w:t>
            </w:r>
          </w:p>
        </w:tc>
        <w:tc>
          <w:tcPr>
            <w:tcW w:w="605" w:type="dxa"/>
            <w:tcBorders>
              <w:top w:val="single" w:sz="6" w:space="0" w:color="auto"/>
              <w:left w:val="single" w:sz="6" w:space="0" w:color="auto"/>
              <w:bottom w:val="single" w:sz="6" w:space="0" w:color="auto"/>
              <w:right w:val="single" w:sz="6" w:space="0" w:color="auto"/>
            </w:tcBorders>
          </w:tcPr>
          <w:p w14:paraId="107A80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6648</w:t>
            </w:r>
          </w:p>
        </w:tc>
        <w:tc>
          <w:tcPr>
            <w:tcW w:w="509" w:type="dxa"/>
            <w:tcBorders>
              <w:top w:val="single" w:sz="6" w:space="0" w:color="auto"/>
              <w:left w:val="single" w:sz="6" w:space="0" w:color="auto"/>
              <w:bottom w:val="single" w:sz="6" w:space="0" w:color="auto"/>
              <w:right w:val="single" w:sz="6" w:space="0" w:color="auto"/>
            </w:tcBorders>
          </w:tcPr>
          <w:p w14:paraId="46A9B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6940</w:t>
            </w:r>
          </w:p>
        </w:tc>
        <w:tc>
          <w:tcPr>
            <w:tcW w:w="768" w:type="dxa"/>
            <w:tcBorders>
              <w:top w:val="single" w:sz="6" w:space="0" w:color="auto"/>
              <w:left w:val="single" w:sz="6" w:space="0" w:color="auto"/>
              <w:bottom w:val="single" w:sz="6" w:space="0" w:color="auto"/>
              <w:right w:val="single" w:sz="6" w:space="0" w:color="auto"/>
            </w:tcBorders>
          </w:tcPr>
          <w:p w14:paraId="784565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6802</w:t>
            </w:r>
          </w:p>
        </w:tc>
        <w:tc>
          <w:tcPr>
            <w:tcW w:w="499" w:type="dxa"/>
            <w:tcBorders>
              <w:top w:val="single" w:sz="6" w:space="0" w:color="auto"/>
              <w:left w:val="single" w:sz="6" w:space="0" w:color="auto"/>
              <w:bottom w:val="single" w:sz="6" w:space="0" w:color="auto"/>
              <w:right w:val="single" w:sz="6" w:space="0" w:color="auto"/>
            </w:tcBorders>
          </w:tcPr>
          <w:p w14:paraId="19504A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6494</w:t>
            </w:r>
          </w:p>
        </w:tc>
        <w:tc>
          <w:tcPr>
            <w:tcW w:w="691" w:type="dxa"/>
            <w:tcBorders>
              <w:top w:val="single" w:sz="6" w:space="0" w:color="auto"/>
              <w:left w:val="single" w:sz="6" w:space="0" w:color="auto"/>
              <w:bottom w:val="single" w:sz="6" w:space="0" w:color="auto"/>
              <w:right w:val="single" w:sz="6" w:space="0" w:color="auto"/>
            </w:tcBorders>
          </w:tcPr>
          <w:p w14:paraId="3838BD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6978</w:t>
            </w:r>
          </w:p>
        </w:tc>
        <w:tc>
          <w:tcPr>
            <w:tcW w:w="509" w:type="dxa"/>
            <w:tcBorders>
              <w:top w:val="single" w:sz="6" w:space="0" w:color="auto"/>
              <w:left w:val="single" w:sz="6" w:space="0" w:color="auto"/>
              <w:bottom w:val="single" w:sz="6" w:space="0" w:color="auto"/>
              <w:right w:val="single" w:sz="6" w:space="0" w:color="auto"/>
            </w:tcBorders>
          </w:tcPr>
          <w:p w14:paraId="73D894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7590</w:t>
            </w:r>
          </w:p>
        </w:tc>
        <w:tc>
          <w:tcPr>
            <w:tcW w:w="576" w:type="dxa"/>
            <w:tcBorders>
              <w:top w:val="single" w:sz="6" w:space="0" w:color="auto"/>
              <w:left w:val="single" w:sz="6" w:space="0" w:color="auto"/>
              <w:bottom w:val="single" w:sz="6" w:space="0" w:color="auto"/>
              <w:right w:val="single" w:sz="6" w:space="0" w:color="auto"/>
            </w:tcBorders>
          </w:tcPr>
          <w:p w14:paraId="56B310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7296</w:t>
            </w:r>
          </w:p>
        </w:tc>
        <w:tc>
          <w:tcPr>
            <w:tcW w:w="701" w:type="dxa"/>
            <w:tcBorders>
              <w:top w:val="single" w:sz="6" w:space="0" w:color="auto"/>
              <w:left w:val="single" w:sz="6" w:space="0" w:color="auto"/>
              <w:bottom w:val="single" w:sz="6" w:space="0" w:color="auto"/>
              <w:right w:val="single" w:sz="6" w:space="0" w:color="auto"/>
            </w:tcBorders>
          </w:tcPr>
          <w:p w14:paraId="2E9D4C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7443</w:t>
            </w:r>
          </w:p>
        </w:tc>
        <w:tc>
          <w:tcPr>
            <w:tcW w:w="730" w:type="dxa"/>
            <w:tcBorders>
              <w:top w:val="single" w:sz="6" w:space="0" w:color="auto"/>
              <w:left w:val="single" w:sz="6" w:space="0" w:color="auto"/>
              <w:bottom w:val="single" w:sz="6" w:space="0" w:color="auto"/>
              <w:right w:val="single" w:sz="6" w:space="0" w:color="auto"/>
            </w:tcBorders>
          </w:tcPr>
          <w:p w14:paraId="63816D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7465</w:t>
            </w:r>
          </w:p>
        </w:tc>
        <w:tc>
          <w:tcPr>
            <w:tcW w:w="643" w:type="dxa"/>
            <w:tcBorders>
              <w:top w:val="single" w:sz="6" w:space="0" w:color="auto"/>
              <w:left w:val="single" w:sz="6" w:space="0" w:color="auto"/>
              <w:bottom w:val="single" w:sz="6" w:space="0" w:color="auto"/>
              <w:right w:val="single" w:sz="6" w:space="0" w:color="auto"/>
            </w:tcBorders>
          </w:tcPr>
          <w:p w14:paraId="7756EA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7933</w:t>
            </w:r>
          </w:p>
        </w:tc>
        <w:tc>
          <w:tcPr>
            <w:tcW w:w="778" w:type="dxa"/>
            <w:tcBorders>
              <w:top w:val="single" w:sz="6" w:space="0" w:color="auto"/>
              <w:left w:val="single" w:sz="6" w:space="0" w:color="auto"/>
              <w:bottom w:val="single" w:sz="6" w:space="0" w:color="auto"/>
              <w:right w:val="single" w:sz="6" w:space="0" w:color="auto"/>
            </w:tcBorders>
          </w:tcPr>
          <w:p w14:paraId="5C6133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7956</w:t>
            </w:r>
          </w:p>
        </w:tc>
        <w:tc>
          <w:tcPr>
            <w:tcW w:w="509" w:type="dxa"/>
            <w:tcBorders>
              <w:top w:val="single" w:sz="6" w:space="0" w:color="auto"/>
              <w:left w:val="single" w:sz="6" w:space="0" w:color="auto"/>
              <w:bottom w:val="single" w:sz="6" w:space="0" w:color="auto"/>
              <w:right w:val="single" w:sz="6" w:space="0" w:color="auto"/>
            </w:tcBorders>
          </w:tcPr>
          <w:p w14:paraId="17F640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8033</w:t>
            </w:r>
          </w:p>
        </w:tc>
        <w:tc>
          <w:tcPr>
            <w:tcW w:w="605" w:type="dxa"/>
            <w:tcBorders>
              <w:top w:val="single" w:sz="6" w:space="0" w:color="auto"/>
              <w:left w:val="single" w:sz="6" w:space="0" w:color="auto"/>
              <w:bottom w:val="single" w:sz="6" w:space="0" w:color="auto"/>
              <w:right w:val="single" w:sz="6" w:space="0" w:color="auto"/>
            </w:tcBorders>
          </w:tcPr>
          <w:p w14:paraId="5D1D52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9139</w:t>
            </w:r>
          </w:p>
        </w:tc>
        <w:tc>
          <w:tcPr>
            <w:tcW w:w="614" w:type="dxa"/>
            <w:tcBorders>
              <w:top w:val="single" w:sz="6" w:space="0" w:color="auto"/>
              <w:left w:val="single" w:sz="6" w:space="0" w:color="auto"/>
              <w:bottom w:val="single" w:sz="6" w:space="0" w:color="auto"/>
              <w:right w:val="single" w:sz="6" w:space="0" w:color="auto"/>
            </w:tcBorders>
          </w:tcPr>
          <w:p w14:paraId="48EEC3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10035</w:t>
            </w:r>
          </w:p>
        </w:tc>
        <w:tc>
          <w:tcPr>
            <w:tcW w:w="595" w:type="dxa"/>
            <w:tcBorders>
              <w:top w:val="single" w:sz="6" w:space="0" w:color="auto"/>
              <w:left w:val="single" w:sz="6" w:space="0" w:color="auto"/>
              <w:bottom w:val="single" w:sz="6" w:space="0" w:color="auto"/>
              <w:right w:val="single" w:sz="6" w:space="0" w:color="auto"/>
            </w:tcBorders>
          </w:tcPr>
          <w:p w14:paraId="0ABEE7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11500</w:t>
            </w:r>
          </w:p>
        </w:tc>
        <w:tc>
          <w:tcPr>
            <w:tcW w:w="518" w:type="dxa"/>
            <w:tcBorders>
              <w:top w:val="single" w:sz="6" w:space="0" w:color="auto"/>
              <w:left w:val="single" w:sz="6" w:space="0" w:color="auto"/>
              <w:bottom w:val="single" w:sz="6" w:space="0" w:color="auto"/>
              <w:right w:val="single" w:sz="6" w:space="0" w:color="auto"/>
            </w:tcBorders>
          </w:tcPr>
          <w:p w14:paraId="58B1CE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9470</w:t>
            </w:r>
          </w:p>
        </w:tc>
        <w:tc>
          <w:tcPr>
            <w:tcW w:w="518" w:type="dxa"/>
            <w:tcBorders>
              <w:top w:val="single" w:sz="6" w:space="0" w:color="auto"/>
              <w:left w:val="single" w:sz="6" w:space="0" w:color="auto"/>
              <w:bottom w:val="single" w:sz="6" w:space="0" w:color="auto"/>
              <w:right w:val="single" w:sz="6" w:space="0" w:color="auto"/>
            </w:tcBorders>
          </w:tcPr>
          <w:p w14:paraId="3852F2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9290</w:t>
            </w:r>
          </w:p>
        </w:tc>
      </w:tr>
      <w:tr w:rsidR="00561F31" w:rsidRPr="00F90EAE" w14:paraId="2C33FF8D" w14:textId="77777777">
        <w:trPr>
          <w:trHeight w:val="806"/>
        </w:trPr>
        <w:tc>
          <w:tcPr>
            <w:tcW w:w="1584" w:type="dxa"/>
            <w:tcBorders>
              <w:top w:val="single" w:sz="6" w:space="0" w:color="auto"/>
              <w:left w:val="single" w:sz="6" w:space="0" w:color="auto"/>
              <w:bottom w:val="single" w:sz="6" w:space="0" w:color="auto"/>
              <w:right w:val="single" w:sz="6" w:space="0" w:color="auto"/>
            </w:tcBorders>
          </w:tcPr>
          <w:p w14:paraId="32459B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 км/час.</w:t>
            </w:r>
          </w:p>
        </w:tc>
        <w:tc>
          <w:tcPr>
            <w:tcW w:w="902" w:type="dxa"/>
            <w:tcBorders>
              <w:top w:val="single" w:sz="6" w:space="0" w:color="auto"/>
              <w:left w:val="single" w:sz="6" w:space="0" w:color="auto"/>
              <w:bottom w:val="single" w:sz="6" w:space="0" w:color="auto"/>
              <w:right w:val="single" w:sz="6" w:space="0" w:color="auto"/>
            </w:tcBorders>
          </w:tcPr>
          <w:p w14:paraId="336064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13F95C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604F15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w:t>
            </w:r>
          </w:p>
        </w:tc>
        <w:tc>
          <w:tcPr>
            <w:tcW w:w="605" w:type="dxa"/>
            <w:tcBorders>
              <w:top w:val="single" w:sz="6" w:space="0" w:color="auto"/>
              <w:left w:val="single" w:sz="6" w:space="0" w:color="auto"/>
              <w:bottom w:val="single" w:sz="6" w:space="0" w:color="auto"/>
              <w:right w:val="single" w:sz="6" w:space="0" w:color="auto"/>
            </w:tcBorders>
          </w:tcPr>
          <w:p w14:paraId="54EF47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w:t>
            </w:r>
          </w:p>
        </w:tc>
        <w:tc>
          <w:tcPr>
            <w:tcW w:w="509" w:type="dxa"/>
            <w:tcBorders>
              <w:top w:val="single" w:sz="6" w:space="0" w:color="auto"/>
              <w:left w:val="single" w:sz="6" w:space="0" w:color="auto"/>
              <w:bottom w:val="single" w:sz="6" w:space="0" w:color="auto"/>
              <w:right w:val="single" w:sz="6" w:space="0" w:color="auto"/>
            </w:tcBorders>
          </w:tcPr>
          <w:p w14:paraId="7A8BD2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325</w:t>
            </w:r>
          </w:p>
        </w:tc>
        <w:tc>
          <w:tcPr>
            <w:tcW w:w="768" w:type="dxa"/>
            <w:tcBorders>
              <w:top w:val="single" w:sz="6" w:space="0" w:color="auto"/>
              <w:left w:val="single" w:sz="6" w:space="0" w:color="auto"/>
              <w:bottom w:val="single" w:sz="6" w:space="0" w:color="auto"/>
              <w:right w:val="single" w:sz="6" w:space="0" w:color="auto"/>
            </w:tcBorders>
          </w:tcPr>
          <w:p w14:paraId="611100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311</w:t>
            </w:r>
          </w:p>
        </w:tc>
        <w:tc>
          <w:tcPr>
            <w:tcW w:w="499" w:type="dxa"/>
            <w:tcBorders>
              <w:top w:val="single" w:sz="6" w:space="0" w:color="auto"/>
              <w:left w:val="single" w:sz="6" w:space="0" w:color="auto"/>
              <w:bottom w:val="single" w:sz="6" w:space="0" w:color="auto"/>
              <w:right w:val="single" w:sz="6" w:space="0" w:color="auto"/>
            </w:tcBorders>
          </w:tcPr>
          <w:p w14:paraId="6449AD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320</w:t>
            </w:r>
          </w:p>
        </w:tc>
        <w:tc>
          <w:tcPr>
            <w:tcW w:w="691" w:type="dxa"/>
            <w:tcBorders>
              <w:top w:val="single" w:sz="6" w:space="0" w:color="auto"/>
              <w:left w:val="single" w:sz="6" w:space="0" w:color="auto"/>
              <w:bottom w:val="single" w:sz="6" w:space="0" w:color="auto"/>
              <w:right w:val="single" w:sz="6" w:space="0" w:color="auto"/>
            </w:tcBorders>
          </w:tcPr>
          <w:p w14:paraId="79A38C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331</w:t>
            </w:r>
          </w:p>
        </w:tc>
        <w:tc>
          <w:tcPr>
            <w:tcW w:w="509" w:type="dxa"/>
            <w:tcBorders>
              <w:top w:val="single" w:sz="6" w:space="0" w:color="auto"/>
              <w:left w:val="single" w:sz="6" w:space="0" w:color="auto"/>
              <w:bottom w:val="single" w:sz="6" w:space="0" w:color="auto"/>
              <w:right w:val="single" w:sz="6" w:space="0" w:color="auto"/>
            </w:tcBorders>
          </w:tcPr>
          <w:p w14:paraId="125EB8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292</w:t>
            </w:r>
          </w:p>
        </w:tc>
        <w:tc>
          <w:tcPr>
            <w:tcW w:w="576" w:type="dxa"/>
            <w:tcBorders>
              <w:top w:val="single" w:sz="6" w:space="0" w:color="auto"/>
              <w:left w:val="single" w:sz="6" w:space="0" w:color="auto"/>
              <w:bottom w:val="single" w:sz="6" w:space="0" w:color="auto"/>
              <w:right w:val="single" w:sz="6" w:space="0" w:color="auto"/>
            </w:tcBorders>
          </w:tcPr>
          <w:p w14:paraId="56E24A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352</w:t>
            </w:r>
          </w:p>
        </w:tc>
        <w:tc>
          <w:tcPr>
            <w:tcW w:w="701" w:type="dxa"/>
            <w:tcBorders>
              <w:top w:val="single" w:sz="6" w:space="0" w:color="auto"/>
              <w:left w:val="single" w:sz="6" w:space="0" w:color="auto"/>
              <w:bottom w:val="single" w:sz="6" w:space="0" w:color="auto"/>
              <w:right w:val="single" w:sz="6" w:space="0" w:color="auto"/>
            </w:tcBorders>
          </w:tcPr>
          <w:p w14:paraId="42503B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w:t>
            </w:r>
          </w:p>
        </w:tc>
        <w:tc>
          <w:tcPr>
            <w:tcW w:w="730" w:type="dxa"/>
            <w:tcBorders>
              <w:top w:val="single" w:sz="6" w:space="0" w:color="auto"/>
              <w:left w:val="single" w:sz="6" w:space="0" w:color="auto"/>
              <w:bottom w:val="single" w:sz="6" w:space="0" w:color="auto"/>
              <w:right w:val="single" w:sz="6" w:space="0" w:color="auto"/>
            </w:tcBorders>
          </w:tcPr>
          <w:p w14:paraId="1B02EB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344</w:t>
            </w:r>
          </w:p>
        </w:tc>
        <w:tc>
          <w:tcPr>
            <w:tcW w:w="643" w:type="dxa"/>
            <w:tcBorders>
              <w:top w:val="single" w:sz="6" w:space="0" w:color="auto"/>
              <w:left w:val="single" w:sz="6" w:space="0" w:color="auto"/>
              <w:bottom w:val="single" w:sz="6" w:space="0" w:color="auto"/>
              <w:right w:val="single" w:sz="6" w:space="0" w:color="auto"/>
            </w:tcBorders>
          </w:tcPr>
          <w:p w14:paraId="5A07EF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362</w:t>
            </w:r>
          </w:p>
        </w:tc>
        <w:tc>
          <w:tcPr>
            <w:tcW w:w="778" w:type="dxa"/>
            <w:tcBorders>
              <w:top w:val="single" w:sz="6" w:space="0" w:color="auto"/>
              <w:left w:val="single" w:sz="6" w:space="0" w:color="auto"/>
              <w:bottom w:val="single" w:sz="6" w:space="0" w:color="auto"/>
              <w:right w:val="single" w:sz="6" w:space="0" w:color="auto"/>
            </w:tcBorders>
          </w:tcPr>
          <w:p w14:paraId="7D7B3D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332</w:t>
            </w:r>
          </w:p>
        </w:tc>
        <w:tc>
          <w:tcPr>
            <w:tcW w:w="509" w:type="dxa"/>
            <w:tcBorders>
              <w:top w:val="single" w:sz="6" w:space="0" w:color="auto"/>
              <w:left w:val="single" w:sz="6" w:space="0" w:color="auto"/>
              <w:bottom w:val="single" w:sz="6" w:space="0" w:color="auto"/>
              <w:right w:val="single" w:sz="6" w:space="0" w:color="auto"/>
            </w:tcBorders>
          </w:tcPr>
          <w:p w14:paraId="7C003A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w:t>
            </w:r>
          </w:p>
        </w:tc>
        <w:tc>
          <w:tcPr>
            <w:tcW w:w="605" w:type="dxa"/>
            <w:tcBorders>
              <w:top w:val="single" w:sz="6" w:space="0" w:color="auto"/>
              <w:left w:val="single" w:sz="6" w:space="0" w:color="auto"/>
              <w:bottom w:val="single" w:sz="6" w:space="0" w:color="auto"/>
              <w:right w:val="single" w:sz="6" w:space="0" w:color="auto"/>
            </w:tcBorders>
          </w:tcPr>
          <w:p w14:paraId="2FC289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335</w:t>
            </w:r>
          </w:p>
        </w:tc>
        <w:tc>
          <w:tcPr>
            <w:tcW w:w="614" w:type="dxa"/>
            <w:tcBorders>
              <w:top w:val="single" w:sz="6" w:space="0" w:color="auto"/>
              <w:left w:val="single" w:sz="6" w:space="0" w:color="auto"/>
              <w:bottom w:val="single" w:sz="6" w:space="0" w:color="auto"/>
              <w:right w:val="single" w:sz="6" w:space="0" w:color="auto"/>
            </w:tcBorders>
          </w:tcPr>
          <w:p w14:paraId="550EF2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96CDF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379</w:t>
            </w:r>
          </w:p>
        </w:tc>
        <w:tc>
          <w:tcPr>
            <w:tcW w:w="518" w:type="dxa"/>
            <w:tcBorders>
              <w:top w:val="single" w:sz="6" w:space="0" w:color="auto"/>
              <w:left w:val="single" w:sz="6" w:space="0" w:color="auto"/>
              <w:bottom w:val="single" w:sz="6" w:space="0" w:color="auto"/>
              <w:right w:val="single" w:sz="6" w:space="0" w:color="auto"/>
            </w:tcBorders>
          </w:tcPr>
          <w:p w14:paraId="20D8F5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340</w:t>
            </w:r>
          </w:p>
        </w:tc>
        <w:tc>
          <w:tcPr>
            <w:tcW w:w="518" w:type="dxa"/>
            <w:tcBorders>
              <w:top w:val="single" w:sz="6" w:space="0" w:color="auto"/>
              <w:left w:val="single" w:sz="6" w:space="0" w:color="auto"/>
              <w:bottom w:val="single" w:sz="6" w:space="0" w:color="auto"/>
              <w:right w:val="single" w:sz="6" w:space="0" w:color="auto"/>
            </w:tcBorders>
          </w:tcPr>
          <w:p w14:paraId="3E3FAF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340</w:t>
            </w:r>
          </w:p>
        </w:tc>
      </w:tr>
      <w:tr w:rsidR="00561F31" w:rsidRPr="00F90EAE" w14:paraId="33EA83B8" w14:textId="77777777">
        <w:trPr>
          <w:trHeight w:val="374"/>
        </w:trPr>
        <w:tc>
          <w:tcPr>
            <w:tcW w:w="1584" w:type="dxa"/>
            <w:tcBorders>
              <w:top w:val="single" w:sz="6" w:space="0" w:color="auto"/>
              <w:left w:val="single" w:sz="6" w:space="0" w:color="auto"/>
              <w:bottom w:val="nil"/>
              <w:right w:val="single" w:sz="6" w:space="0" w:color="auto"/>
            </w:tcBorders>
          </w:tcPr>
          <w:p w14:paraId="61DF86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Максимальная скорость, км/ч на высоте, м</w:t>
            </w:r>
          </w:p>
        </w:tc>
        <w:tc>
          <w:tcPr>
            <w:tcW w:w="902" w:type="dxa"/>
            <w:tcBorders>
              <w:top w:val="single" w:sz="6" w:space="0" w:color="auto"/>
              <w:left w:val="single" w:sz="6" w:space="0" w:color="auto"/>
              <w:bottom w:val="nil"/>
              <w:right w:val="single" w:sz="6" w:space="0" w:color="auto"/>
            </w:tcBorders>
          </w:tcPr>
          <w:p w14:paraId="5724E6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350</w:t>
            </w:r>
          </w:p>
        </w:tc>
        <w:tc>
          <w:tcPr>
            <w:tcW w:w="845" w:type="dxa"/>
            <w:tcBorders>
              <w:top w:val="single" w:sz="6" w:space="0" w:color="auto"/>
              <w:left w:val="single" w:sz="6" w:space="0" w:color="auto"/>
              <w:bottom w:val="nil"/>
              <w:right w:val="single" w:sz="6" w:space="0" w:color="auto"/>
            </w:tcBorders>
          </w:tcPr>
          <w:p w14:paraId="3DBEB0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375</w:t>
            </w:r>
          </w:p>
        </w:tc>
        <w:tc>
          <w:tcPr>
            <w:tcW w:w="643" w:type="dxa"/>
            <w:tcBorders>
              <w:top w:val="single" w:sz="6" w:space="0" w:color="auto"/>
              <w:left w:val="single" w:sz="6" w:space="0" w:color="auto"/>
              <w:bottom w:val="nil"/>
              <w:right w:val="single" w:sz="6" w:space="0" w:color="auto"/>
            </w:tcBorders>
          </w:tcPr>
          <w:p w14:paraId="578740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390/3250</w:t>
            </w:r>
          </w:p>
        </w:tc>
        <w:tc>
          <w:tcPr>
            <w:tcW w:w="605" w:type="dxa"/>
            <w:tcBorders>
              <w:top w:val="single" w:sz="6" w:space="0" w:color="auto"/>
              <w:left w:val="single" w:sz="6" w:space="0" w:color="auto"/>
              <w:bottom w:val="nil"/>
              <w:right w:val="single" w:sz="6" w:space="0" w:color="auto"/>
            </w:tcBorders>
          </w:tcPr>
          <w:p w14:paraId="7ACEBC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407/4800</w:t>
            </w:r>
          </w:p>
        </w:tc>
        <w:tc>
          <w:tcPr>
            <w:tcW w:w="509" w:type="dxa"/>
            <w:tcBorders>
              <w:top w:val="single" w:sz="6" w:space="0" w:color="auto"/>
              <w:left w:val="single" w:sz="6" w:space="0" w:color="auto"/>
              <w:bottom w:val="nil"/>
              <w:right w:val="single" w:sz="6" w:space="0" w:color="auto"/>
            </w:tcBorders>
          </w:tcPr>
          <w:p w14:paraId="681B24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390/4600</w:t>
            </w:r>
          </w:p>
        </w:tc>
        <w:tc>
          <w:tcPr>
            <w:tcW w:w="768" w:type="dxa"/>
            <w:tcBorders>
              <w:top w:val="single" w:sz="6" w:space="0" w:color="auto"/>
              <w:left w:val="single" w:sz="6" w:space="0" w:color="auto"/>
              <w:bottom w:val="nil"/>
              <w:right w:val="single" w:sz="6" w:space="0" w:color="auto"/>
            </w:tcBorders>
          </w:tcPr>
          <w:p w14:paraId="746186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380/4400</w:t>
            </w:r>
          </w:p>
        </w:tc>
        <w:tc>
          <w:tcPr>
            <w:tcW w:w="499" w:type="dxa"/>
            <w:tcBorders>
              <w:top w:val="single" w:sz="6" w:space="0" w:color="auto"/>
              <w:left w:val="single" w:sz="6" w:space="0" w:color="auto"/>
              <w:bottom w:val="nil"/>
              <w:right w:val="single" w:sz="6" w:space="0" w:color="auto"/>
            </w:tcBorders>
          </w:tcPr>
          <w:p w14:paraId="5C6A20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395/4000</w:t>
            </w:r>
          </w:p>
        </w:tc>
        <w:tc>
          <w:tcPr>
            <w:tcW w:w="691" w:type="dxa"/>
            <w:tcBorders>
              <w:top w:val="single" w:sz="6" w:space="0" w:color="auto"/>
              <w:left w:val="single" w:sz="6" w:space="0" w:color="auto"/>
              <w:bottom w:val="nil"/>
              <w:right w:val="single" w:sz="6" w:space="0" w:color="auto"/>
            </w:tcBorders>
          </w:tcPr>
          <w:p w14:paraId="6E64F1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395/4000</w:t>
            </w:r>
          </w:p>
        </w:tc>
        <w:tc>
          <w:tcPr>
            <w:tcW w:w="509" w:type="dxa"/>
            <w:tcBorders>
              <w:top w:val="single" w:sz="6" w:space="0" w:color="auto"/>
              <w:left w:val="single" w:sz="6" w:space="0" w:color="auto"/>
              <w:bottom w:val="nil"/>
              <w:right w:val="single" w:sz="6" w:space="0" w:color="auto"/>
            </w:tcBorders>
          </w:tcPr>
          <w:p w14:paraId="3188EE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343/3900</w:t>
            </w:r>
          </w:p>
        </w:tc>
        <w:tc>
          <w:tcPr>
            <w:tcW w:w="576" w:type="dxa"/>
            <w:tcBorders>
              <w:top w:val="single" w:sz="6" w:space="0" w:color="auto"/>
              <w:left w:val="single" w:sz="6" w:space="0" w:color="auto"/>
              <w:bottom w:val="nil"/>
              <w:right w:val="single" w:sz="6" w:space="0" w:color="auto"/>
            </w:tcBorders>
          </w:tcPr>
          <w:p w14:paraId="6D228B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417/6000</w:t>
            </w:r>
          </w:p>
        </w:tc>
        <w:tc>
          <w:tcPr>
            <w:tcW w:w="701" w:type="dxa"/>
            <w:tcBorders>
              <w:top w:val="single" w:sz="6" w:space="0" w:color="auto"/>
              <w:left w:val="single" w:sz="6" w:space="0" w:color="auto"/>
              <w:bottom w:val="nil"/>
              <w:right w:val="single" w:sz="6" w:space="0" w:color="auto"/>
            </w:tcBorders>
          </w:tcPr>
          <w:p w14:paraId="615FA7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428/4000</w:t>
            </w:r>
          </w:p>
        </w:tc>
        <w:tc>
          <w:tcPr>
            <w:tcW w:w="730" w:type="dxa"/>
            <w:tcBorders>
              <w:top w:val="single" w:sz="6" w:space="0" w:color="auto"/>
              <w:left w:val="single" w:sz="6" w:space="0" w:color="auto"/>
              <w:bottom w:val="nil"/>
              <w:right w:val="single" w:sz="6" w:space="0" w:color="auto"/>
            </w:tcBorders>
          </w:tcPr>
          <w:p w14:paraId="2DA877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427/6000</w:t>
            </w:r>
          </w:p>
        </w:tc>
        <w:tc>
          <w:tcPr>
            <w:tcW w:w="643" w:type="dxa"/>
            <w:tcBorders>
              <w:top w:val="single" w:sz="6" w:space="0" w:color="auto"/>
              <w:left w:val="single" w:sz="6" w:space="0" w:color="auto"/>
              <w:bottom w:val="nil"/>
              <w:right w:val="single" w:sz="6" w:space="0" w:color="auto"/>
            </w:tcBorders>
          </w:tcPr>
          <w:p w14:paraId="32FB03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425/6200</w:t>
            </w:r>
          </w:p>
        </w:tc>
        <w:tc>
          <w:tcPr>
            <w:tcW w:w="778" w:type="dxa"/>
            <w:tcBorders>
              <w:top w:val="single" w:sz="6" w:space="0" w:color="auto"/>
              <w:left w:val="single" w:sz="6" w:space="0" w:color="auto"/>
              <w:bottom w:val="nil"/>
              <w:right w:val="single" w:sz="6" w:space="0" w:color="auto"/>
            </w:tcBorders>
          </w:tcPr>
          <w:p w14:paraId="62C2B4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405/4900</w:t>
            </w:r>
          </w:p>
        </w:tc>
        <w:tc>
          <w:tcPr>
            <w:tcW w:w="509" w:type="dxa"/>
            <w:tcBorders>
              <w:top w:val="single" w:sz="6" w:space="0" w:color="auto"/>
              <w:left w:val="single" w:sz="6" w:space="0" w:color="auto"/>
              <w:bottom w:val="nil"/>
              <w:right w:val="single" w:sz="6" w:space="0" w:color="auto"/>
            </w:tcBorders>
          </w:tcPr>
          <w:p w14:paraId="6285DD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428/6400</w:t>
            </w:r>
          </w:p>
        </w:tc>
        <w:tc>
          <w:tcPr>
            <w:tcW w:w="605" w:type="dxa"/>
            <w:tcBorders>
              <w:top w:val="single" w:sz="6" w:space="0" w:color="auto"/>
              <w:left w:val="single" w:sz="6" w:space="0" w:color="auto"/>
              <w:bottom w:val="nil"/>
              <w:right w:val="single" w:sz="6" w:space="0" w:color="auto"/>
            </w:tcBorders>
          </w:tcPr>
          <w:p w14:paraId="448CDE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406/6250</w:t>
            </w:r>
          </w:p>
        </w:tc>
        <w:tc>
          <w:tcPr>
            <w:tcW w:w="614" w:type="dxa"/>
            <w:tcBorders>
              <w:top w:val="single" w:sz="6" w:space="0" w:color="auto"/>
              <w:left w:val="single" w:sz="6" w:space="0" w:color="auto"/>
              <w:bottom w:val="nil"/>
              <w:right w:val="single" w:sz="6" w:space="0" w:color="auto"/>
            </w:tcBorders>
          </w:tcPr>
          <w:p w14:paraId="6B2F02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412/5400</w:t>
            </w:r>
          </w:p>
        </w:tc>
        <w:tc>
          <w:tcPr>
            <w:tcW w:w="595" w:type="dxa"/>
            <w:tcBorders>
              <w:top w:val="single" w:sz="6" w:space="0" w:color="auto"/>
              <w:left w:val="single" w:sz="6" w:space="0" w:color="auto"/>
              <w:bottom w:val="nil"/>
              <w:right w:val="single" w:sz="6" w:space="0" w:color="auto"/>
            </w:tcBorders>
          </w:tcPr>
          <w:p w14:paraId="0592B0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437/5300</w:t>
            </w:r>
          </w:p>
        </w:tc>
        <w:tc>
          <w:tcPr>
            <w:tcW w:w="518" w:type="dxa"/>
            <w:tcBorders>
              <w:top w:val="single" w:sz="6" w:space="0" w:color="auto"/>
              <w:left w:val="single" w:sz="6" w:space="0" w:color="auto"/>
              <w:bottom w:val="nil"/>
              <w:right w:val="single" w:sz="6" w:space="0" w:color="auto"/>
            </w:tcBorders>
          </w:tcPr>
          <w:p w14:paraId="678BE8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463/6000</w:t>
            </w:r>
          </w:p>
        </w:tc>
        <w:tc>
          <w:tcPr>
            <w:tcW w:w="518" w:type="dxa"/>
            <w:tcBorders>
              <w:top w:val="single" w:sz="6" w:space="0" w:color="auto"/>
              <w:left w:val="single" w:sz="6" w:space="0" w:color="auto"/>
              <w:bottom w:val="single" w:sz="6" w:space="0" w:color="auto"/>
              <w:right w:val="single" w:sz="6" w:space="0" w:color="auto"/>
            </w:tcBorders>
          </w:tcPr>
          <w:p w14:paraId="7D6F5A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406/6400</w:t>
            </w:r>
          </w:p>
        </w:tc>
      </w:tr>
      <w:tr w:rsidR="00561F31" w:rsidRPr="00F90EAE" w14:paraId="1B3FD6CA" w14:textId="77777777">
        <w:trPr>
          <w:trHeight w:val="557"/>
        </w:trPr>
        <w:tc>
          <w:tcPr>
            <w:tcW w:w="1584" w:type="dxa"/>
            <w:tcBorders>
              <w:top w:val="single" w:sz="6" w:space="0" w:color="auto"/>
              <w:left w:val="single" w:sz="6" w:space="0" w:color="auto"/>
              <w:bottom w:val="single" w:sz="6" w:space="0" w:color="auto"/>
              <w:right w:val="single" w:sz="6" w:space="0" w:color="auto"/>
            </w:tcBorders>
          </w:tcPr>
          <w:p w14:paraId="46CBEC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902" w:type="dxa"/>
            <w:tcBorders>
              <w:top w:val="single" w:sz="6" w:space="0" w:color="auto"/>
              <w:left w:val="single" w:sz="6" w:space="0" w:color="auto"/>
              <w:bottom w:val="single" w:sz="6" w:space="0" w:color="auto"/>
              <w:right w:val="single" w:sz="6" w:space="0" w:color="auto"/>
            </w:tcBorders>
          </w:tcPr>
          <w:p w14:paraId="184C49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8000</w:t>
            </w:r>
          </w:p>
        </w:tc>
        <w:tc>
          <w:tcPr>
            <w:tcW w:w="845" w:type="dxa"/>
            <w:tcBorders>
              <w:top w:val="single" w:sz="6" w:space="0" w:color="auto"/>
              <w:left w:val="single" w:sz="6" w:space="0" w:color="auto"/>
              <w:bottom w:val="single" w:sz="6" w:space="0" w:color="auto"/>
              <w:right w:val="single" w:sz="6" w:space="0" w:color="auto"/>
            </w:tcBorders>
          </w:tcPr>
          <w:p w14:paraId="41AEE5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6500</w:t>
            </w:r>
          </w:p>
        </w:tc>
        <w:tc>
          <w:tcPr>
            <w:tcW w:w="643" w:type="dxa"/>
            <w:tcBorders>
              <w:top w:val="single" w:sz="6" w:space="0" w:color="auto"/>
              <w:left w:val="single" w:sz="6" w:space="0" w:color="auto"/>
              <w:bottom w:val="single" w:sz="6" w:space="0" w:color="auto"/>
              <w:right w:val="single" w:sz="6" w:space="0" w:color="auto"/>
            </w:tcBorders>
          </w:tcPr>
          <w:p w14:paraId="6DA7C8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58BEF9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8920</w:t>
            </w:r>
          </w:p>
        </w:tc>
        <w:tc>
          <w:tcPr>
            <w:tcW w:w="509" w:type="dxa"/>
            <w:tcBorders>
              <w:top w:val="single" w:sz="6" w:space="0" w:color="auto"/>
              <w:left w:val="single" w:sz="6" w:space="0" w:color="auto"/>
              <w:bottom w:val="single" w:sz="6" w:space="0" w:color="auto"/>
              <w:right w:val="single" w:sz="6" w:space="0" w:color="auto"/>
            </w:tcBorders>
          </w:tcPr>
          <w:p w14:paraId="31726E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8400</w:t>
            </w:r>
          </w:p>
        </w:tc>
        <w:tc>
          <w:tcPr>
            <w:tcW w:w="768" w:type="dxa"/>
            <w:tcBorders>
              <w:top w:val="single" w:sz="6" w:space="0" w:color="auto"/>
              <w:left w:val="single" w:sz="6" w:space="0" w:color="auto"/>
              <w:bottom w:val="single" w:sz="6" w:space="0" w:color="auto"/>
              <w:right w:val="single" w:sz="6" w:space="0" w:color="auto"/>
            </w:tcBorders>
          </w:tcPr>
          <w:p w14:paraId="0E0745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8400</w:t>
            </w:r>
          </w:p>
        </w:tc>
        <w:tc>
          <w:tcPr>
            <w:tcW w:w="499" w:type="dxa"/>
            <w:tcBorders>
              <w:top w:val="single" w:sz="6" w:space="0" w:color="auto"/>
              <w:left w:val="single" w:sz="6" w:space="0" w:color="auto"/>
              <w:bottom w:val="single" w:sz="6" w:space="0" w:color="auto"/>
              <w:right w:val="single" w:sz="6" w:space="0" w:color="auto"/>
            </w:tcBorders>
          </w:tcPr>
          <w:p w14:paraId="47F88D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8800</w:t>
            </w:r>
          </w:p>
        </w:tc>
        <w:tc>
          <w:tcPr>
            <w:tcW w:w="691" w:type="dxa"/>
            <w:tcBorders>
              <w:top w:val="single" w:sz="6" w:space="0" w:color="auto"/>
              <w:left w:val="single" w:sz="6" w:space="0" w:color="auto"/>
              <w:bottom w:val="single" w:sz="6" w:space="0" w:color="auto"/>
              <w:right w:val="single" w:sz="6" w:space="0" w:color="auto"/>
            </w:tcBorders>
          </w:tcPr>
          <w:p w14:paraId="25472B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8300</w:t>
            </w:r>
          </w:p>
        </w:tc>
        <w:tc>
          <w:tcPr>
            <w:tcW w:w="509" w:type="dxa"/>
            <w:tcBorders>
              <w:top w:val="single" w:sz="6" w:space="0" w:color="auto"/>
              <w:left w:val="single" w:sz="6" w:space="0" w:color="auto"/>
              <w:bottom w:val="single" w:sz="6" w:space="0" w:color="auto"/>
              <w:right w:val="single" w:sz="6" w:space="0" w:color="auto"/>
            </w:tcBorders>
          </w:tcPr>
          <w:p w14:paraId="364F0F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7570</w:t>
            </w:r>
          </w:p>
        </w:tc>
        <w:tc>
          <w:tcPr>
            <w:tcW w:w="576" w:type="dxa"/>
            <w:tcBorders>
              <w:top w:val="single" w:sz="6" w:space="0" w:color="auto"/>
              <w:left w:val="single" w:sz="6" w:space="0" w:color="auto"/>
              <w:bottom w:val="single" w:sz="6" w:space="0" w:color="auto"/>
              <w:right w:val="single" w:sz="6" w:space="0" w:color="auto"/>
            </w:tcBorders>
          </w:tcPr>
          <w:p w14:paraId="12247B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9300</w:t>
            </w:r>
          </w:p>
        </w:tc>
        <w:tc>
          <w:tcPr>
            <w:tcW w:w="701" w:type="dxa"/>
            <w:tcBorders>
              <w:top w:val="single" w:sz="6" w:space="0" w:color="auto"/>
              <w:left w:val="single" w:sz="6" w:space="0" w:color="auto"/>
              <w:bottom w:val="single" w:sz="6" w:space="0" w:color="auto"/>
              <w:right w:val="single" w:sz="6" w:space="0" w:color="auto"/>
            </w:tcBorders>
          </w:tcPr>
          <w:p w14:paraId="1CA898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9600</w:t>
            </w:r>
          </w:p>
        </w:tc>
        <w:tc>
          <w:tcPr>
            <w:tcW w:w="730" w:type="dxa"/>
            <w:tcBorders>
              <w:top w:val="single" w:sz="6" w:space="0" w:color="auto"/>
              <w:left w:val="single" w:sz="6" w:space="0" w:color="auto"/>
              <w:bottom w:val="single" w:sz="6" w:space="0" w:color="auto"/>
              <w:right w:val="single" w:sz="6" w:space="0" w:color="auto"/>
            </w:tcBorders>
          </w:tcPr>
          <w:p w14:paraId="0AE970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9300</w:t>
            </w:r>
          </w:p>
        </w:tc>
        <w:tc>
          <w:tcPr>
            <w:tcW w:w="643" w:type="dxa"/>
            <w:tcBorders>
              <w:top w:val="single" w:sz="6" w:space="0" w:color="auto"/>
              <w:left w:val="single" w:sz="6" w:space="0" w:color="auto"/>
              <w:bottom w:val="single" w:sz="6" w:space="0" w:color="auto"/>
              <w:right w:val="single" w:sz="6" w:space="0" w:color="auto"/>
            </w:tcBorders>
          </w:tcPr>
          <w:p w14:paraId="389303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10050</w:t>
            </w:r>
          </w:p>
        </w:tc>
        <w:tc>
          <w:tcPr>
            <w:tcW w:w="778" w:type="dxa"/>
            <w:tcBorders>
              <w:top w:val="single" w:sz="6" w:space="0" w:color="auto"/>
              <w:left w:val="single" w:sz="6" w:space="0" w:color="auto"/>
              <w:bottom w:val="single" w:sz="6" w:space="0" w:color="auto"/>
              <w:right w:val="single" w:sz="6" w:space="0" w:color="auto"/>
            </w:tcBorders>
          </w:tcPr>
          <w:p w14:paraId="7AE891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9000</w:t>
            </w:r>
          </w:p>
        </w:tc>
        <w:tc>
          <w:tcPr>
            <w:tcW w:w="509" w:type="dxa"/>
            <w:tcBorders>
              <w:top w:val="single" w:sz="6" w:space="0" w:color="auto"/>
              <w:left w:val="single" w:sz="6" w:space="0" w:color="auto"/>
              <w:bottom w:val="single" w:sz="6" w:space="0" w:color="auto"/>
              <w:right w:val="single" w:sz="6" w:space="0" w:color="auto"/>
            </w:tcBorders>
          </w:tcPr>
          <w:p w14:paraId="47120B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8900</w:t>
            </w:r>
          </w:p>
        </w:tc>
        <w:tc>
          <w:tcPr>
            <w:tcW w:w="605" w:type="dxa"/>
            <w:tcBorders>
              <w:top w:val="single" w:sz="6" w:space="0" w:color="auto"/>
              <w:left w:val="single" w:sz="6" w:space="0" w:color="auto"/>
              <w:bottom w:val="single" w:sz="6" w:space="0" w:color="auto"/>
              <w:right w:val="single" w:sz="6" w:space="0" w:color="auto"/>
            </w:tcBorders>
          </w:tcPr>
          <w:p w14:paraId="1A4B1F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9400</w:t>
            </w:r>
          </w:p>
        </w:tc>
        <w:tc>
          <w:tcPr>
            <w:tcW w:w="614" w:type="dxa"/>
            <w:tcBorders>
              <w:top w:val="single" w:sz="6" w:space="0" w:color="auto"/>
              <w:left w:val="single" w:sz="6" w:space="0" w:color="auto"/>
              <w:bottom w:val="single" w:sz="6" w:space="0" w:color="auto"/>
              <w:right w:val="single" w:sz="6" w:space="0" w:color="auto"/>
            </w:tcBorders>
          </w:tcPr>
          <w:p w14:paraId="4F001E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8300</w:t>
            </w:r>
          </w:p>
        </w:tc>
        <w:tc>
          <w:tcPr>
            <w:tcW w:w="595" w:type="dxa"/>
            <w:tcBorders>
              <w:top w:val="single" w:sz="6" w:space="0" w:color="auto"/>
              <w:left w:val="single" w:sz="6" w:space="0" w:color="auto"/>
              <w:bottom w:val="single" w:sz="6" w:space="0" w:color="auto"/>
              <w:right w:val="single" w:sz="6" w:space="0" w:color="auto"/>
            </w:tcBorders>
          </w:tcPr>
          <w:p w14:paraId="528D2F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D72F1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8700</w:t>
            </w:r>
          </w:p>
        </w:tc>
        <w:tc>
          <w:tcPr>
            <w:tcW w:w="518" w:type="dxa"/>
            <w:tcBorders>
              <w:top w:val="single" w:sz="6" w:space="0" w:color="auto"/>
              <w:left w:val="single" w:sz="6" w:space="0" w:color="auto"/>
              <w:bottom w:val="single" w:sz="6" w:space="0" w:color="auto"/>
              <w:right w:val="single" w:sz="6" w:space="0" w:color="auto"/>
            </w:tcBorders>
          </w:tcPr>
          <w:p w14:paraId="0DA8AE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8750</w:t>
            </w:r>
          </w:p>
        </w:tc>
      </w:tr>
      <w:tr w:rsidR="00561F31" w:rsidRPr="00F90EAE" w14:paraId="645E7CBB" w14:textId="77777777">
        <w:trPr>
          <w:trHeight w:val="778"/>
        </w:trPr>
        <w:tc>
          <w:tcPr>
            <w:tcW w:w="1584" w:type="dxa"/>
            <w:tcBorders>
              <w:top w:val="single" w:sz="6" w:space="0" w:color="auto"/>
              <w:left w:val="single" w:sz="6" w:space="0" w:color="auto"/>
              <w:bottom w:val="single" w:sz="6" w:space="0" w:color="auto"/>
              <w:right w:val="single" w:sz="6" w:space="0" w:color="auto"/>
            </w:tcBorders>
          </w:tcPr>
          <w:p w14:paraId="7B1FD2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Время набора высоты 1000 м, мин</w:t>
            </w:r>
          </w:p>
        </w:tc>
        <w:tc>
          <w:tcPr>
            <w:tcW w:w="902" w:type="dxa"/>
            <w:tcBorders>
              <w:top w:val="single" w:sz="6" w:space="0" w:color="auto"/>
              <w:left w:val="single" w:sz="6" w:space="0" w:color="auto"/>
              <w:bottom w:val="single" w:sz="6" w:space="0" w:color="auto"/>
              <w:right w:val="single" w:sz="6" w:space="0" w:color="auto"/>
            </w:tcBorders>
          </w:tcPr>
          <w:p w14:paraId="0EE437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64316B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56E5F9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4F90E5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tc>
        <w:tc>
          <w:tcPr>
            <w:tcW w:w="509" w:type="dxa"/>
            <w:tcBorders>
              <w:top w:val="single" w:sz="6" w:space="0" w:color="auto"/>
              <w:left w:val="single" w:sz="6" w:space="0" w:color="auto"/>
              <w:bottom w:val="single" w:sz="6" w:space="0" w:color="auto"/>
              <w:right w:val="single" w:sz="6" w:space="0" w:color="auto"/>
            </w:tcBorders>
          </w:tcPr>
          <w:p w14:paraId="04BBA8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w:t>
            </w:r>
          </w:p>
        </w:tc>
        <w:tc>
          <w:tcPr>
            <w:tcW w:w="768" w:type="dxa"/>
            <w:tcBorders>
              <w:top w:val="single" w:sz="6" w:space="0" w:color="auto"/>
              <w:left w:val="single" w:sz="6" w:space="0" w:color="auto"/>
              <w:bottom w:val="single" w:sz="6" w:space="0" w:color="auto"/>
              <w:right w:val="single" w:sz="6" w:space="0" w:color="auto"/>
            </w:tcBorders>
          </w:tcPr>
          <w:p w14:paraId="2E338B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tc>
        <w:tc>
          <w:tcPr>
            <w:tcW w:w="499" w:type="dxa"/>
            <w:tcBorders>
              <w:top w:val="single" w:sz="6" w:space="0" w:color="auto"/>
              <w:left w:val="single" w:sz="6" w:space="0" w:color="auto"/>
              <w:bottom w:val="single" w:sz="6" w:space="0" w:color="auto"/>
              <w:right w:val="single" w:sz="6" w:space="0" w:color="auto"/>
            </w:tcBorders>
          </w:tcPr>
          <w:p w14:paraId="0A8BDE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tc>
        <w:tc>
          <w:tcPr>
            <w:tcW w:w="691" w:type="dxa"/>
            <w:tcBorders>
              <w:top w:val="single" w:sz="6" w:space="0" w:color="auto"/>
              <w:left w:val="single" w:sz="6" w:space="0" w:color="auto"/>
              <w:bottom w:val="single" w:sz="6" w:space="0" w:color="auto"/>
              <w:right w:val="single" w:sz="6" w:space="0" w:color="auto"/>
            </w:tcBorders>
          </w:tcPr>
          <w:p w14:paraId="32E9D1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tc>
        <w:tc>
          <w:tcPr>
            <w:tcW w:w="509" w:type="dxa"/>
            <w:tcBorders>
              <w:top w:val="single" w:sz="6" w:space="0" w:color="auto"/>
              <w:left w:val="single" w:sz="6" w:space="0" w:color="auto"/>
              <w:bottom w:val="single" w:sz="6" w:space="0" w:color="auto"/>
              <w:right w:val="single" w:sz="6" w:space="0" w:color="auto"/>
            </w:tcBorders>
          </w:tcPr>
          <w:p w14:paraId="4F25B8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tc>
        <w:tc>
          <w:tcPr>
            <w:tcW w:w="576" w:type="dxa"/>
            <w:tcBorders>
              <w:top w:val="single" w:sz="6" w:space="0" w:color="auto"/>
              <w:left w:val="single" w:sz="6" w:space="0" w:color="auto"/>
              <w:bottom w:val="single" w:sz="6" w:space="0" w:color="auto"/>
              <w:right w:val="single" w:sz="6" w:space="0" w:color="auto"/>
            </w:tcBorders>
          </w:tcPr>
          <w:p w14:paraId="752F40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2,08</w:t>
            </w:r>
          </w:p>
        </w:tc>
        <w:tc>
          <w:tcPr>
            <w:tcW w:w="701" w:type="dxa"/>
            <w:tcBorders>
              <w:top w:val="single" w:sz="6" w:space="0" w:color="auto"/>
              <w:left w:val="single" w:sz="6" w:space="0" w:color="auto"/>
              <w:bottom w:val="single" w:sz="6" w:space="0" w:color="auto"/>
              <w:right w:val="single" w:sz="6" w:space="0" w:color="auto"/>
            </w:tcBorders>
          </w:tcPr>
          <w:p w14:paraId="30DB98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tc>
        <w:tc>
          <w:tcPr>
            <w:tcW w:w="730" w:type="dxa"/>
            <w:tcBorders>
              <w:top w:val="single" w:sz="6" w:space="0" w:color="auto"/>
              <w:left w:val="single" w:sz="6" w:space="0" w:color="auto"/>
              <w:bottom w:val="single" w:sz="6" w:space="0" w:color="auto"/>
              <w:right w:val="single" w:sz="6" w:space="0" w:color="auto"/>
            </w:tcBorders>
          </w:tcPr>
          <w:p w14:paraId="7367C2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w:t>
            </w:r>
          </w:p>
        </w:tc>
        <w:tc>
          <w:tcPr>
            <w:tcW w:w="643" w:type="dxa"/>
            <w:tcBorders>
              <w:top w:val="single" w:sz="6" w:space="0" w:color="auto"/>
              <w:left w:val="single" w:sz="6" w:space="0" w:color="auto"/>
              <w:bottom w:val="single" w:sz="6" w:space="0" w:color="auto"/>
              <w:right w:val="single" w:sz="6" w:space="0" w:color="auto"/>
            </w:tcBorders>
          </w:tcPr>
          <w:p w14:paraId="6E919E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638CBA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8D23C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247877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14" w:type="dxa"/>
            <w:tcBorders>
              <w:top w:val="single" w:sz="6" w:space="0" w:color="auto"/>
              <w:left w:val="single" w:sz="6" w:space="0" w:color="auto"/>
              <w:bottom w:val="single" w:sz="6" w:space="0" w:color="auto"/>
              <w:right w:val="single" w:sz="6" w:space="0" w:color="auto"/>
            </w:tcBorders>
          </w:tcPr>
          <w:p w14:paraId="3C8148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6C81F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06708E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271179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5D15D5A0" w14:textId="77777777">
        <w:trPr>
          <w:trHeight w:val="768"/>
        </w:trPr>
        <w:tc>
          <w:tcPr>
            <w:tcW w:w="1584" w:type="dxa"/>
            <w:tcBorders>
              <w:top w:val="single" w:sz="6" w:space="0" w:color="auto"/>
              <w:left w:val="single" w:sz="6" w:space="0" w:color="auto"/>
              <w:bottom w:val="single" w:sz="6" w:space="0" w:color="auto"/>
              <w:right w:val="single" w:sz="6" w:space="0" w:color="auto"/>
            </w:tcBorders>
          </w:tcPr>
          <w:p w14:paraId="17E3FF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5000м, мин</w:t>
            </w:r>
          </w:p>
        </w:tc>
        <w:tc>
          <w:tcPr>
            <w:tcW w:w="902" w:type="dxa"/>
            <w:tcBorders>
              <w:top w:val="single" w:sz="6" w:space="0" w:color="auto"/>
              <w:left w:val="single" w:sz="6" w:space="0" w:color="auto"/>
              <w:bottom w:val="single" w:sz="6" w:space="0" w:color="auto"/>
              <w:right w:val="single" w:sz="6" w:space="0" w:color="auto"/>
            </w:tcBorders>
          </w:tcPr>
          <w:p w14:paraId="20DE19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45" w:type="dxa"/>
            <w:tcBorders>
              <w:top w:val="single" w:sz="6" w:space="0" w:color="auto"/>
              <w:left w:val="single" w:sz="6" w:space="0" w:color="auto"/>
              <w:bottom w:val="single" w:sz="6" w:space="0" w:color="auto"/>
              <w:right w:val="single" w:sz="6" w:space="0" w:color="auto"/>
            </w:tcBorders>
          </w:tcPr>
          <w:p w14:paraId="03911D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43" w:type="dxa"/>
            <w:tcBorders>
              <w:top w:val="single" w:sz="6" w:space="0" w:color="auto"/>
              <w:left w:val="single" w:sz="6" w:space="0" w:color="auto"/>
              <w:bottom w:val="single" w:sz="6" w:space="0" w:color="auto"/>
              <w:right w:val="single" w:sz="6" w:space="0" w:color="auto"/>
            </w:tcBorders>
          </w:tcPr>
          <w:p w14:paraId="7135CD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15,1</w:t>
            </w:r>
          </w:p>
        </w:tc>
        <w:tc>
          <w:tcPr>
            <w:tcW w:w="605" w:type="dxa"/>
            <w:tcBorders>
              <w:top w:val="single" w:sz="6" w:space="0" w:color="auto"/>
              <w:left w:val="single" w:sz="6" w:space="0" w:color="auto"/>
              <w:bottom w:val="single" w:sz="6" w:space="0" w:color="auto"/>
              <w:right w:val="single" w:sz="6" w:space="0" w:color="auto"/>
            </w:tcBorders>
          </w:tcPr>
          <w:p w14:paraId="3806C3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768AF1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15,1</w:t>
            </w:r>
          </w:p>
        </w:tc>
        <w:tc>
          <w:tcPr>
            <w:tcW w:w="768" w:type="dxa"/>
            <w:tcBorders>
              <w:top w:val="single" w:sz="6" w:space="0" w:color="auto"/>
              <w:left w:val="single" w:sz="6" w:space="0" w:color="auto"/>
              <w:bottom w:val="single" w:sz="6" w:space="0" w:color="auto"/>
              <w:right w:val="single" w:sz="6" w:space="0" w:color="auto"/>
            </w:tcBorders>
          </w:tcPr>
          <w:p w14:paraId="4B51D8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499" w:type="dxa"/>
            <w:tcBorders>
              <w:top w:val="single" w:sz="6" w:space="0" w:color="auto"/>
              <w:left w:val="single" w:sz="6" w:space="0" w:color="auto"/>
              <w:bottom w:val="single" w:sz="6" w:space="0" w:color="auto"/>
              <w:right w:val="single" w:sz="6" w:space="0" w:color="auto"/>
            </w:tcBorders>
          </w:tcPr>
          <w:p w14:paraId="1DDD53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w:t>
            </w:r>
          </w:p>
        </w:tc>
        <w:tc>
          <w:tcPr>
            <w:tcW w:w="691" w:type="dxa"/>
            <w:tcBorders>
              <w:top w:val="single" w:sz="6" w:space="0" w:color="auto"/>
              <w:left w:val="single" w:sz="6" w:space="0" w:color="auto"/>
              <w:bottom w:val="single" w:sz="6" w:space="0" w:color="auto"/>
              <w:right w:val="single" w:sz="6" w:space="0" w:color="auto"/>
            </w:tcBorders>
          </w:tcPr>
          <w:p w14:paraId="4ECA53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12,85</w:t>
            </w:r>
          </w:p>
        </w:tc>
        <w:tc>
          <w:tcPr>
            <w:tcW w:w="509" w:type="dxa"/>
            <w:tcBorders>
              <w:top w:val="single" w:sz="6" w:space="0" w:color="auto"/>
              <w:left w:val="single" w:sz="6" w:space="0" w:color="auto"/>
              <w:bottom w:val="single" w:sz="6" w:space="0" w:color="auto"/>
              <w:right w:val="single" w:sz="6" w:space="0" w:color="auto"/>
            </w:tcBorders>
          </w:tcPr>
          <w:p w14:paraId="42EAB4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76" w:type="dxa"/>
            <w:tcBorders>
              <w:top w:val="single" w:sz="6" w:space="0" w:color="auto"/>
              <w:left w:val="single" w:sz="6" w:space="0" w:color="auto"/>
              <w:bottom w:val="single" w:sz="6" w:space="0" w:color="auto"/>
              <w:right w:val="single" w:sz="6" w:space="0" w:color="auto"/>
            </w:tcBorders>
          </w:tcPr>
          <w:p w14:paraId="410918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w:t>
            </w:r>
          </w:p>
        </w:tc>
        <w:tc>
          <w:tcPr>
            <w:tcW w:w="701" w:type="dxa"/>
            <w:tcBorders>
              <w:top w:val="single" w:sz="6" w:space="0" w:color="auto"/>
              <w:left w:val="single" w:sz="6" w:space="0" w:color="auto"/>
              <w:bottom w:val="single" w:sz="6" w:space="0" w:color="auto"/>
              <w:right w:val="single" w:sz="6" w:space="0" w:color="auto"/>
            </w:tcBorders>
          </w:tcPr>
          <w:p w14:paraId="14EE9A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12,1</w:t>
            </w:r>
          </w:p>
        </w:tc>
        <w:tc>
          <w:tcPr>
            <w:tcW w:w="730" w:type="dxa"/>
            <w:tcBorders>
              <w:top w:val="single" w:sz="6" w:space="0" w:color="auto"/>
              <w:left w:val="single" w:sz="6" w:space="0" w:color="auto"/>
              <w:bottom w:val="single" w:sz="6" w:space="0" w:color="auto"/>
              <w:right w:val="single" w:sz="6" w:space="0" w:color="auto"/>
            </w:tcBorders>
          </w:tcPr>
          <w:p w14:paraId="2098C1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10,6</w:t>
            </w:r>
          </w:p>
        </w:tc>
        <w:tc>
          <w:tcPr>
            <w:tcW w:w="643" w:type="dxa"/>
            <w:tcBorders>
              <w:top w:val="single" w:sz="6" w:space="0" w:color="auto"/>
              <w:left w:val="single" w:sz="6" w:space="0" w:color="auto"/>
              <w:bottom w:val="single" w:sz="6" w:space="0" w:color="auto"/>
              <w:right w:val="single" w:sz="6" w:space="0" w:color="auto"/>
            </w:tcBorders>
          </w:tcPr>
          <w:p w14:paraId="1F3807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10,25</w:t>
            </w:r>
          </w:p>
        </w:tc>
        <w:tc>
          <w:tcPr>
            <w:tcW w:w="778" w:type="dxa"/>
            <w:tcBorders>
              <w:top w:val="single" w:sz="6" w:space="0" w:color="auto"/>
              <w:left w:val="single" w:sz="6" w:space="0" w:color="auto"/>
              <w:bottom w:val="single" w:sz="6" w:space="0" w:color="auto"/>
              <w:right w:val="single" w:sz="6" w:space="0" w:color="auto"/>
            </w:tcBorders>
          </w:tcPr>
          <w:p w14:paraId="4382F6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12,8</w:t>
            </w:r>
          </w:p>
        </w:tc>
        <w:tc>
          <w:tcPr>
            <w:tcW w:w="509" w:type="dxa"/>
            <w:tcBorders>
              <w:top w:val="single" w:sz="6" w:space="0" w:color="auto"/>
              <w:left w:val="single" w:sz="6" w:space="0" w:color="auto"/>
              <w:bottom w:val="single" w:sz="6" w:space="0" w:color="auto"/>
              <w:right w:val="single" w:sz="6" w:space="0" w:color="auto"/>
            </w:tcBorders>
          </w:tcPr>
          <w:p w14:paraId="12286B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605" w:type="dxa"/>
            <w:tcBorders>
              <w:top w:val="single" w:sz="6" w:space="0" w:color="auto"/>
              <w:left w:val="single" w:sz="6" w:space="0" w:color="auto"/>
              <w:bottom w:val="single" w:sz="6" w:space="0" w:color="auto"/>
              <w:right w:val="single" w:sz="6" w:space="0" w:color="auto"/>
            </w:tcBorders>
          </w:tcPr>
          <w:p w14:paraId="33B144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w:t>
            </w:r>
          </w:p>
        </w:tc>
        <w:tc>
          <w:tcPr>
            <w:tcW w:w="614" w:type="dxa"/>
            <w:tcBorders>
              <w:top w:val="single" w:sz="6" w:space="0" w:color="auto"/>
              <w:left w:val="single" w:sz="6" w:space="0" w:color="auto"/>
              <w:bottom w:val="single" w:sz="6" w:space="0" w:color="auto"/>
              <w:right w:val="single" w:sz="6" w:space="0" w:color="auto"/>
            </w:tcBorders>
          </w:tcPr>
          <w:p w14:paraId="329146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0A38E9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446AE3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w:t>
            </w:r>
          </w:p>
        </w:tc>
        <w:tc>
          <w:tcPr>
            <w:tcW w:w="518" w:type="dxa"/>
            <w:tcBorders>
              <w:top w:val="single" w:sz="6" w:space="0" w:color="auto"/>
              <w:left w:val="single" w:sz="6" w:space="0" w:color="auto"/>
              <w:bottom w:val="single" w:sz="6" w:space="0" w:color="auto"/>
              <w:right w:val="single" w:sz="6" w:space="0" w:color="auto"/>
            </w:tcBorders>
          </w:tcPr>
          <w:p w14:paraId="53A78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w:t>
            </w:r>
          </w:p>
        </w:tc>
      </w:tr>
      <w:tr w:rsidR="00561F31" w:rsidRPr="00F90EAE" w14:paraId="505DBF4F" w14:textId="77777777">
        <w:trPr>
          <w:trHeight w:val="547"/>
        </w:trPr>
        <w:tc>
          <w:tcPr>
            <w:tcW w:w="1584" w:type="dxa"/>
            <w:tcBorders>
              <w:top w:val="single" w:sz="6" w:space="0" w:color="auto"/>
              <w:left w:val="single" w:sz="6" w:space="0" w:color="auto"/>
              <w:bottom w:val="single" w:sz="6" w:space="0" w:color="auto"/>
              <w:right w:val="single" w:sz="6" w:space="0" w:color="auto"/>
            </w:tcBorders>
          </w:tcPr>
          <w:p w14:paraId="29B14F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Дальность, км</w:t>
            </w:r>
          </w:p>
        </w:tc>
        <w:tc>
          <w:tcPr>
            <w:tcW w:w="902" w:type="dxa"/>
            <w:tcBorders>
              <w:top w:val="single" w:sz="6" w:space="0" w:color="auto"/>
              <w:left w:val="single" w:sz="6" w:space="0" w:color="auto"/>
              <w:bottom w:val="single" w:sz="6" w:space="0" w:color="auto"/>
              <w:right w:val="single" w:sz="6" w:space="0" w:color="auto"/>
            </w:tcBorders>
          </w:tcPr>
          <w:p w14:paraId="1234EC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tc>
        <w:tc>
          <w:tcPr>
            <w:tcW w:w="845" w:type="dxa"/>
            <w:tcBorders>
              <w:top w:val="single" w:sz="6" w:space="0" w:color="auto"/>
              <w:left w:val="single" w:sz="6" w:space="0" w:color="auto"/>
              <w:bottom w:val="single" w:sz="6" w:space="0" w:color="auto"/>
              <w:right w:val="single" w:sz="6" w:space="0" w:color="auto"/>
            </w:tcBorders>
          </w:tcPr>
          <w:p w14:paraId="1358D9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tc>
        <w:tc>
          <w:tcPr>
            <w:tcW w:w="643" w:type="dxa"/>
            <w:tcBorders>
              <w:top w:val="single" w:sz="6" w:space="0" w:color="auto"/>
              <w:left w:val="single" w:sz="6" w:space="0" w:color="auto"/>
              <w:bottom w:val="single" w:sz="6" w:space="0" w:color="auto"/>
              <w:right w:val="single" w:sz="6" w:space="0" w:color="auto"/>
            </w:tcBorders>
          </w:tcPr>
          <w:p w14:paraId="52A293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tc>
        <w:tc>
          <w:tcPr>
            <w:tcW w:w="605" w:type="dxa"/>
            <w:tcBorders>
              <w:top w:val="single" w:sz="6" w:space="0" w:color="auto"/>
              <w:left w:val="single" w:sz="6" w:space="0" w:color="auto"/>
              <w:bottom w:val="single" w:sz="6" w:space="0" w:color="auto"/>
              <w:right w:val="single" w:sz="6" w:space="0" w:color="auto"/>
            </w:tcBorders>
          </w:tcPr>
          <w:p w14:paraId="41F589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tc>
        <w:tc>
          <w:tcPr>
            <w:tcW w:w="509" w:type="dxa"/>
            <w:tcBorders>
              <w:top w:val="single" w:sz="6" w:space="0" w:color="auto"/>
              <w:left w:val="single" w:sz="6" w:space="0" w:color="auto"/>
              <w:bottom w:val="single" w:sz="6" w:space="0" w:color="auto"/>
              <w:right w:val="single" w:sz="6" w:space="0" w:color="auto"/>
            </w:tcBorders>
          </w:tcPr>
          <w:p w14:paraId="039A98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tc>
        <w:tc>
          <w:tcPr>
            <w:tcW w:w="768" w:type="dxa"/>
            <w:tcBorders>
              <w:top w:val="single" w:sz="6" w:space="0" w:color="auto"/>
              <w:left w:val="single" w:sz="6" w:space="0" w:color="auto"/>
              <w:bottom w:val="single" w:sz="6" w:space="0" w:color="auto"/>
              <w:right w:val="single" w:sz="6" w:space="0" w:color="auto"/>
            </w:tcBorders>
          </w:tcPr>
          <w:p w14:paraId="5CC6DA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tc>
        <w:tc>
          <w:tcPr>
            <w:tcW w:w="499" w:type="dxa"/>
            <w:tcBorders>
              <w:top w:val="single" w:sz="6" w:space="0" w:color="auto"/>
              <w:left w:val="single" w:sz="6" w:space="0" w:color="auto"/>
              <w:bottom w:val="single" w:sz="6" w:space="0" w:color="auto"/>
              <w:right w:val="single" w:sz="6" w:space="0" w:color="auto"/>
            </w:tcBorders>
          </w:tcPr>
          <w:p w14:paraId="53B07C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1800</w:t>
            </w:r>
          </w:p>
        </w:tc>
        <w:tc>
          <w:tcPr>
            <w:tcW w:w="691" w:type="dxa"/>
            <w:tcBorders>
              <w:top w:val="single" w:sz="6" w:space="0" w:color="auto"/>
              <w:left w:val="single" w:sz="6" w:space="0" w:color="auto"/>
              <w:bottom w:val="single" w:sz="6" w:space="0" w:color="auto"/>
              <w:right w:val="single" w:sz="6" w:space="0" w:color="auto"/>
            </w:tcBorders>
          </w:tcPr>
          <w:p w14:paraId="34B1C3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09" w:type="dxa"/>
            <w:tcBorders>
              <w:top w:val="single" w:sz="6" w:space="0" w:color="auto"/>
              <w:left w:val="single" w:sz="6" w:space="0" w:color="auto"/>
              <w:bottom w:val="single" w:sz="6" w:space="0" w:color="auto"/>
              <w:right w:val="single" w:sz="6" w:space="0" w:color="auto"/>
            </w:tcBorders>
          </w:tcPr>
          <w:p w14:paraId="229A9B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1400</w:t>
            </w:r>
          </w:p>
        </w:tc>
        <w:tc>
          <w:tcPr>
            <w:tcW w:w="576" w:type="dxa"/>
            <w:tcBorders>
              <w:top w:val="single" w:sz="6" w:space="0" w:color="auto"/>
              <w:left w:val="single" w:sz="6" w:space="0" w:color="auto"/>
              <w:bottom w:val="single" w:sz="6" w:space="0" w:color="auto"/>
              <w:right w:val="single" w:sz="6" w:space="0" w:color="auto"/>
            </w:tcBorders>
          </w:tcPr>
          <w:p w14:paraId="2040D0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701" w:type="dxa"/>
            <w:tcBorders>
              <w:top w:val="single" w:sz="6" w:space="0" w:color="auto"/>
              <w:left w:val="single" w:sz="6" w:space="0" w:color="auto"/>
              <w:bottom w:val="single" w:sz="6" w:space="0" w:color="auto"/>
              <w:right w:val="single" w:sz="6" w:space="0" w:color="auto"/>
            </w:tcBorders>
          </w:tcPr>
          <w:p w14:paraId="71837B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4200</w:t>
            </w:r>
          </w:p>
        </w:tc>
        <w:tc>
          <w:tcPr>
            <w:tcW w:w="730" w:type="dxa"/>
            <w:tcBorders>
              <w:top w:val="single" w:sz="6" w:space="0" w:color="auto"/>
              <w:left w:val="single" w:sz="6" w:space="0" w:color="auto"/>
              <w:bottom w:val="single" w:sz="6" w:space="0" w:color="auto"/>
              <w:right w:val="single" w:sz="6" w:space="0" w:color="auto"/>
            </w:tcBorders>
          </w:tcPr>
          <w:p w14:paraId="5C3053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4200</w:t>
            </w:r>
          </w:p>
        </w:tc>
        <w:tc>
          <w:tcPr>
            <w:tcW w:w="643" w:type="dxa"/>
            <w:tcBorders>
              <w:top w:val="single" w:sz="6" w:space="0" w:color="auto"/>
              <w:left w:val="single" w:sz="6" w:space="0" w:color="auto"/>
              <w:bottom w:val="single" w:sz="6" w:space="0" w:color="auto"/>
              <w:right w:val="single" w:sz="6" w:space="0" w:color="auto"/>
            </w:tcBorders>
          </w:tcPr>
          <w:p w14:paraId="44FCE6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778" w:type="dxa"/>
            <w:tcBorders>
              <w:top w:val="single" w:sz="6" w:space="0" w:color="auto"/>
              <w:left w:val="single" w:sz="6" w:space="0" w:color="auto"/>
              <w:bottom w:val="single" w:sz="6" w:space="0" w:color="auto"/>
              <w:right w:val="single" w:sz="6" w:space="0" w:color="auto"/>
            </w:tcBorders>
          </w:tcPr>
          <w:p w14:paraId="351D99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w:t>
            </w:r>
          </w:p>
        </w:tc>
        <w:tc>
          <w:tcPr>
            <w:tcW w:w="509" w:type="dxa"/>
            <w:tcBorders>
              <w:top w:val="single" w:sz="6" w:space="0" w:color="auto"/>
              <w:left w:val="single" w:sz="6" w:space="0" w:color="auto"/>
              <w:bottom w:val="single" w:sz="6" w:space="0" w:color="auto"/>
              <w:right w:val="single" w:sz="6" w:space="0" w:color="auto"/>
            </w:tcBorders>
          </w:tcPr>
          <w:p w14:paraId="4BA34E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3300</w:t>
            </w:r>
          </w:p>
        </w:tc>
        <w:tc>
          <w:tcPr>
            <w:tcW w:w="605" w:type="dxa"/>
            <w:tcBorders>
              <w:top w:val="single" w:sz="6" w:space="0" w:color="auto"/>
              <w:left w:val="single" w:sz="6" w:space="0" w:color="auto"/>
              <w:bottom w:val="single" w:sz="6" w:space="0" w:color="auto"/>
              <w:right w:val="single" w:sz="6" w:space="0" w:color="auto"/>
            </w:tcBorders>
          </w:tcPr>
          <w:p w14:paraId="5302BC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3300</w:t>
            </w:r>
            <w:r w:rsidRPr="00F90EAE">
              <w:rPr>
                <w:color w:val="000000" w:themeColor="text1"/>
                <w:sz w:val="16"/>
                <w:szCs w:val="16"/>
                <w:vertAlign w:val="superscript"/>
              </w:rPr>
              <w:t>2)</w:t>
            </w:r>
          </w:p>
        </w:tc>
        <w:tc>
          <w:tcPr>
            <w:tcW w:w="614" w:type="dxa"/>
            <w:tcBorders>
              <w:top w:val="single" w:sz="6" w:space="0" w:color="auto"/>
              <w:left w:val="single" w:sz="6" w:space="0" w:color="auto"/>
              <w:bottom w:val="single" w:sz="6" w:space="0" w:color="auto"/>
              <w:right w:val="single" w:sz="6" w:space="0" w:color="auto"/>
            </w:tcBorders>
          </w:tcPr>
          <w:p w14:paraId="2B046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4265</w:t>
            </w:r>
          </w:p>
        </w:tc>
        <w:tc>
          <w:tcPr>
            <w:tcW w:w="595" w:type="dxa"/>
            <w:tcBorders>
              <w:top w:val="single" w:sz="6" w:space="0" w:color="auto"/>
              <w:left w:val="single" w:sz="6" w:space="0" w:color="auto"/>
              <w:bottom w:val="single" w:sz="6" w:space="0" w:color="auto"/>
              <w:right w:val="single" w:sz="6" w:space="0" w:color="auto"/>
            </w:tcBorders>
          </w:tcPr>
          <w:p w14:paraId="61E83E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2540</w:t>
            </w:r>
          </w:p>
        </w:tc>
        <w:tc>
          <w:tcPr>
            <w:tcW w:w="518" w:type="dxa"/>
            <w:tcBorders>
              <w:top w:val="single" w:sz="6" w:space="0" w:color="auto"/>
              <w:left w:val="single" w:sz="6" w:space="0" w:color="auto"/>
              <w:bottom w:val="single" w:sz="6" w:space="0" w:color="auto"/>
              <w:right w:val="single" w:sz="6" w:space="0" w:color="auto"/>
            </w:tcBorders>
          </w:tcPr>
          <w:p w14:paraId="25B892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518" w:type="dxa"/>
            <w:tcBorders>
              <w:top w:val="single" w:sz="6" w:space="0" w:color="auto"/>
              <w:left w:val="single" w:sz="6" w:space="0" w:color="auto"/>
              <w:bottom w:val="single" w:sz="6" w:space="0" w:color="auto"/>
              <w:right w:val="single" w:sz="6" w:space="0" w:color="auto"/>
            </w:tcBorders>
          </w:tcPr>
          <w:p w14:paraId="34CA4F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3145</w:t>
            </w:r>
          </w:p>
        </w:tc>
      </w:tr>
    </w:tbl>
    <w:p w14:paraId="378122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 деревянной носовой частью фюзеляжа с фанерной обшивкой крыла</w:t>
      </w:r>
    </w:p>
    <w:p w14:paraId="7007ED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с подвесными баками — 3800 км (10734,95)</w:t>
      </w:r>
    </w:p>
    <w:p w14:paraId="7B326E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D584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 мая 1945 НИИ ГВФ представил в Главное управление ГВФ доклад, в котором практически напрочь отмел целесообразность получения бомбардировщиков Ильюшина. Мотивировалось это малым полезным объемом (6 кубометров) и потенциальной коммерческой нагрузкой, не превышающей 1200 кг. Все это при большом расходе горючего и трудностях длительного пилотирования (один летчик, нет автопилота и недостаточная устойчивость). Единственной "экологической нишей" для Ил-4 в ГВФ в докладе оставили буксировку грузовых планеров.</w:t>
      </w:r>
    </w:p>
    <w:p w14:paraId="1255D5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итоге после завершения боевых действий ни одного Ил-4 в гражданский воздушный флот не поступило. Небольшое количество их попало в ведомственную авиацию. Больше всего бывших дальних бомбардировщиков, семь, взяло себе Министерство геологии. Они служили для аэрофотосъемки и реже как грузовые. Все их разоружили и нанесли обозначения, начинавшиеся с буквы "Г". Один разбили в 1946 г., в конце 1947 г. оставалось шесть, к середине 1949 г. - четыре. Эти четыре машины эксплуатировались вплоть до ликвидации авиации этого ведомства в начале 50-х годов.</w:t>
      </w:r>
    </w:p>
    <w:p w14:paraId="01E83A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Шесть Ил-4 имело Министерство внутренних дел. Они входили в авиапарк "Дальстроя" - лагерной империи на востоке страны. Их тоже использовали в основном для аэрофотосъемки. Один из них разбили 14 января 1948 г. Пилот Крылов должен был перелететь на временную площадку в Наяка- не. Однако оказалось, что места для посадки Ил-4 не хватило: самолет выкатился за пределы поляны и получил повреждения. Там его и бросили. Все "дальстроевские" Ил-4 были списаны к началу 1949 г.</w:t>
      </w:r>
    </w:p>
    <w:p w14:paraId="4514D8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Один Ил-4 числился за Министерством сельхозмашиностроения. Он эксплуатировался на Софринском полигоне, где испытывали отнюдь не сеялки и не плуги, а разрабатывавшиеся секретными конструкторскими бюро этого ведомства управляемые боеприпасы. Наконец, последним бывшим бомбардировщиком обладало Министерство промышленности средств связи - он являлся летающей лабораторией для опробования авиационного радиооборудования. Оба этих самолета пошли на слом в конце 40-х годов (12021).</w:t>
      </w:r>
    </w:p>
    <w:p w14:paraId="4BCB6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Данные различных вариантов ДБ-З/Ил-4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gridCol w:w="1019"/>
        <w:gridCol w:w="1019"/>
      </w:tblGrid>
      <w:tr w:rsidR="00561F31" w:rsidRPr="00F90EAE" w14:paraId="671C1148" w14:textId="77777777">
        <w:tc>
          <w:tcPr>
            <w:tcW w:w="1019" w:type="dxa"/>
            <w:tcBorders>
              <w:top w:val="single" w:sz="12" w:space="0" w:color="auto"/>
            </w:tcBorders>
          </w:tcPr>
          <w:p w14:paraId="55127729"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Borders>
              <w:top w:val="single" w:sz="12" w:space="0" w:color="auto"/>
            </w:tcBorders>
          </w:tcPr>
          <w:p w14:paraId="40724A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ББ-2 (задание)</w:t>
            </w:r>
          </w:p>
        </w:tc>
        <w:tc>
          <w:tcPr>
            <w:tcW w:w="1019" w:type="dxa"/>
            <w:tcBorders>
              <w:top w:val="single" w:sz="12" w:space="0" w:color="auto"/>
            </w:tcBorders>
          </w:tcPr>
          <w:p w14:paraId="7BB2D5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ББ-2 (пасс. проект)</w:t>
            </w:r>
          </w:p>
        </w:tc>
        <w:tc>
          <w:tcPr>
            <w:tcW w:w="1019" w:type="dxa"/>
            <w:tcBorders>
              <w:top w:val="single" w:sz="12" w:space="0" w:color="auto"/>
            </w:tcBorders>
          </w:tcPr>
          <w:p w14:paraId="16AAD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ЦКБ- 26</w:t>
            </w:r>
          </w:p>
        </w:tc>
        <w:tc>
          <w:tcPr>
            <w:tcW w:w="1019" w:type="dxa"/>
            <w:tcBorders>
              <w:top w:val="single" w:sz="12" w:space="0" w:color="auto"/>
            </w:tcBorders>
          </w:tcPr>
          <w:p w14:paraId="32074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ЦКБ- 30</w:t>
            </w:r>
          </w:p>
        </w:tc>
        <w:tc>
          <w:tcPr>
            <w:tcW w:w="1019" w:type="dxa"/>
            <w:tcBorders>
              <w:top w:val="single" w:sz="12" w:space="0" w:color="auto"/>
            </w:tcBorders>
          </w:tcPr>
          <w:p w14:paraId="5CD47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ДБ-3</w:t>
            </w:r>
          </w:p>
        </w:tc>
        <w:tc>
          <w:tcPr>
            <w:tcW w:w="1019" w:type="dxa"/>
            <w:tcBorders>
              <w:top w:val="single" w:sz="12" w:space="0" w:color="auto"/>
            </w:tcBorders>
          </w:tcPr>
          <w:p w14:paraId="5D6FF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ДБ-3</w:t>
            </w:r>
          </w:p>
        </w:tc>
        <w:tc>
          <w:tcPr>
            <w:tcW w:w="1019" w:type="dxa"/>
            <w:tcBorders>
              <w:top w:val="single" w:sz="12" w:space="0" w:color="auto"/>
            </w:tcBorders>
          </w:tcPr>
          <w:p w14:paraId="2C805F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ДБ-ЗТ</w:t>
            </w:r>
          </w:p>
        </w:tc>
        <w:tc>
          <w:tcPr>
            <w:tcW w:w="1019" w:type="dxa"/>
            <w:tcBorders>
              <w:top w:val="single" w:sz="12" w:space="0" w:color="auto"/>
            </w:tcBorders>
          </w:tcPr>
          <w:p w14:paraId="53D621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ДБ-3</w:t>
            </w:r>
          </w:p>
        </w:tc>
        <w:tc>
          <w:tcPr>
            <w:tcW w:w="1019" w:type="dxa"/>
            <w:tcBorders>
              <w:top w:val="single" w:sz="12" w:space="0" w:color="auto"/>
            </w:tcBorders>
          </w:tcPr>
          <w:p w14:paraId="58D06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ДБ-ЗПТ</w:t>
            </w:r>
          </w:p>
        </w:tc>
        <w:tc>
          <w:tcPr>
            <w:tcW w:w="1019" w:type="dxa"/>
            <w:tcBorders>
              <w:top w:val="single" w:sz="12" w:space="0" w:color="auto"/>
            </w:tcBorders>
          </w:tcPr>
          <w:p w14:paraId="4ECE9A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ДБ-3</w:t>
            </w:r>
          </w:p>
        </w:tc>
      </w:tr>
      <w:tr w:rsidR="00561F31" w:rsidRPr="00F90EAE" w14:paraId="6126850D" w14:textId="77777777">
        <w:tc>
          <w:tcPr>
            <w:tcW w:w="1019" w:type="dxa"/>
          </w:tcPr>
          <w:p w14:paraId="3ACFD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w:t>
            </w:r>
          </w:p>
        </w:tc>
        <w:tc>
          <w:tcPr>
            <w:tcW w:w="1019" w:type="dxa"/>
          </w:tcPr>
          <w:p w14:paraId="521012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DA71B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ECE5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6C198C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2B2134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33F9A8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019" w:type="dxa"/>
          </w:tcPr>
          <w:p w14:paraId="0BB27B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593FA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7B438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69BF0B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r>
      <w:tr w:rsidR="00561F31" w:rsidRPr="00F90EAE" w14:paraId="2D10B2E7" w14:textId="77777777">
        <w:tc>
          <w:tcPr>
            <w:tcW w:w="1019" w:type="dxa"/>
          </w:tcPr>
          <w:p w14:paraId="1DCB3A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Моторы</w:t>
            </w:r>
          </w:p>
        </w:tc>
        <w:tc>
          <w:tcPr>
            <w:tcW w:w="1019" w:type="dxa"/>
          </w:tcPr>
          <w:p w14:paraId="189DDC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B1DCE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Райт "Циклон"</w:t>
            </w:r>
          </w:p>
        </w:tc>
        <w:tc>
          <w:tcPr>
            <w:tcW w:w="1019" w:type="dxa"/>
          </w:tcPr>
          <w:p w14:paraId="417BCE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GR14K</w:t>
            </w:r>
          </w:p>
        </w:tc>
        <w:tc>
          <w:tcPr>
            <w:tcW w:w="1019" w:type="dxa"/>
          </w:tcPr>
          <w:p w14:paraId="45B552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GR14K</w:t>
            </w:r>
          </w:p>
        </w:tc>
        <w:tc>
          <w:tcPr>
            <w:tcW w:w="1019" w:type="dxa"/>
          </w:tcPr>
          <w:p w14:paraId="582F23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М-85</w:t>
            </w:r>
          </w:p>
        </w:tc>
        <w:tc>
          <w:tcPr>
            <w:tcW w:w="1019" w:type="dxa"/>
          </w:tcPr>
          <w:p w14:paraId="2375D1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М-85</w:t>
            </w:r>
          </w:p>
        </w:tc>
        <w:tc>
          <w:tcPr>
            <w:tcW w:w="1019" w:type="dxa"/>
          </w:tcPr>
          <w:p w14:paraId="79F677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М-85</w:t>
            </w:r>
          </w:p>
        </w:tc>
        <w:tc>
          <w:tcPr>
            <w:tcW w:w="1019" w:type="dxa"/>
          </w:tcPr>
          <w:p w14:paraId="7F4DA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М-86</w:t>
            </w:r>
          </w:p>
        </w:tc>
        <w:tc>
          <w:tcPr>
            <w:tcW w:w="1019" w:type="dxa"/>
          </w:tcPr>
          <w:p w14:paraId="6224D4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М-86</w:t>
            </w:r>
          </w:p>
        </w:tc>
        <w:tc>
          <w:tcPr>
            <w:tcW w:w="1019" w:type="dxa"/>
          </w:tcPr>
          <w:p w14:paraId="3A06AC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М-87А</w:t>
            </w:r>
          </w:p>
        </w:tc>
      </w:tr>
      <w:tr w:rsidR="00561F31" w:rsidRPr="00F90EAE" w14:paraId="6782EF95" w14:textId="77777777">
        <w:tc>
          <w:tcPr>
            <w:tcW w:w="1019" w:type="dxa"/>
          </w:tcPr>
          <w:p w14:paraId="74AC06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испытаний</w:t>
            </w:r>
          </w:p>
        </w:tc>
        <w:tc>
          <w:tcPr>
            <w:tcW w:w="1019" w:type="dxa"/>
          </w:tcPr>
          <w:p w14:paraId="067BD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6F9E4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BB4CA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июль- август 1935г.</w:t>
            </w:r>
          </w:p>
        </w:tc>
        <w:tc>
          <w:tcPr>
            <w:tcW w:w="1019" w:type="dxa"/>
          </w:tcPr>
          <w:p w14:paraId="71BD03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B2A05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июль 1937г.</w:t>
            </w:r>
          </w:p>
        </w:tc>
        <w:tc>
          <w:tcPr>
            <w:tcW w:w="1019" w:type="dxa"/>
          </w:tcPr>
          <w:p w14:paraId="162F3B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сентябрь- октябрь 1937г.</w:t>
            </w:r>
          </w:p>
        </w:tc>
        <w:tc>
          <w:tcPr>
            <w:tcW w:w="1019" w:type="dxa"/>
          </w:tcPr>
          <w:p w14:paraId="2D1096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весна 1938г.</w:t>
            </w:r>
          </w:p>
        </w:tc>
        <w:tc>
          <w:tcPr>
            <w:tcW w:w="1019" w:type="dxa"/>
          </w:tcPr>
          <w:p w14:paraId="706C05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июль- октябрь 1938г.</w:t>
            </w:r>
          </w:p>
        </w:tc>
        <w:tc>
          <w:tcPr>
            <w:tcW w:w="1019" w:type="dxa"/>
          </w:tcPr>
          <w:p w14:paraId="7B1414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лето 1938г.</w:t>
            </w:r>
          </w:p>
        </w:tc>
        <w:tc>
          <w:tcPr>
            <w:tcW w:w="1019" w:type="dxa"/>
          </w:tcPr>
          <w:p w14:paraId="4C5B59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весна 1939г.</w:t>
            </w:r>
          </w:p>
        </w:tc>
      </w:tr>
      <w:tr w:rsidR="00561F31" w:rsidRPr="00F90EAE" w14:paraId="14BF22B7" w14:textId="77777777">
        <w:tc>
          <w:tcPr>
            <w:tcW w:w="1019" w:type="dxa"/>
          </w:tcPr>
          <w:p w14:paraId="252E15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019" w:type="dxa"/>
          </w:tcPr>
          <w:p w14:paraId="73F8B8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27C953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19E87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19" w:type="dxa"/>
          </w:tcPr>
          <w:p w14:paraId="69D24C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4365</w:t>
            </w:r>
          </w:p>
        </w:tc>
        <w:tc>
          <w:tcPr>
            <w:tcW w:w="1019" w:type="dxa"/>
          </w:tcPr>
          <w:p w14:paraId="43D327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4563</w:t>
            </w:r>
          </w:p>
        </w:tc>
        <w:tc>
          <w:tcPr>
            <w:tcW w:w="1019" w:type="dxa"/>
          </w:tcPr>
          <w:p w14:paraId="16B1EA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4446</w:t>
            </w:r>
          </w:p>
        </w:tc>
        <w:tc>
          <w:tcPr>
            <w:tcW w:w="1019" w:type="dxa"/>
          </w:tcPr>
          <w:p w14:paraId="4288B4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4298</w:t>
            </w:r>
          </w:p>
        </w:tc>
        <w:tc>
          <w:tcPr>
            <w:tcW w:w="1019" w:type="dxa"/>
          </w:tcPr>
          <w:p w14:paraId="1178D5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4677</w:t>
            </w:r>
          </w:p>
        </w:tc>
        <w:tc>
          <w:tcPr>
            <w:tcW w:w="1019" w:type="dxa"/>
          </w:tcPr>
          <w:p w14:paraId="63A04A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5630</w:t>
            </w:r>
          </w:p>
        </w:tc>
        <w:tc>
          <w:tcPr>
            <w:tcW w:w="1019" w:type="dxa"/>
          </w:tcPr>
          <w:p w14:paraId="175AE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4954</w:t>
            </w:r>
          </w:p>
        </w:tc>
      </w:tr>
      <w:tr w:rsidR="00561F31" w:rsidRPr="00F90EAE" w14:paraId="4743B76F" w14:textId="77777777">
        <w:tc>
          <w:tcPr>
            <w:tcW w:w="1019" w:type="dxa"/>
          </w:tcPr>
          <w:p w14:paraId="03A390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взлетный кг.</w:t>
            </w:r>
          </w:p>
        </w:tc>
        <w:tc>
          <w:tcPr>
            <w:tcW w:w="1019" w:type="dxa"/>
          </w:tcPr>
          <w:p w14:paraId="34F736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0AE857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0E809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19" w:type="dxa"/>
          </w:tcPr>
          <w:p w14:paraId="759D0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6648</w:t>
            </w:r>
          </w:p>
        </w:tc>
        <w:tc>
          <w:tcPr>
            <w:tcW w:w="1019" w:type="dxa"/>
          </w:tcPr>
          <w:p w14:paraId="249F7F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6940</w:t>
            </w:r>
          </w:p>
        </w:tc>
        <w:tc>
          <w:tcPr>
            <w:tcW w:w="1019" w:type="dxa"/>
          </w:tcPr>
          <w:p w14:paraId="15E2F0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6802</w:t>
            </w:r>
          </w:p>
        </w:tc>
        <w:tc>
          <w:tcPr>
            <w:tcW w:w="1019" w:type="dxa"/>
          </w:tcPr>
          <w:p w14:paraId="3E2BAE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6494</w:t>
            </w:r>
          </w:p>
        </w:tc>
        <w:tc>
          <w:tcPr>
            <w:tcW w:w="1019" w:type="dxa"/>
          </w:tcPr>
          <w:p w14:paraId="2CE261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6978</w:t>
            </w:r>
          </w:p>
        </w:tc>
        <w:tc>
          <w:tcPr>
            <w:tcW w:w="1019" w:type="dxa"/>
          </w:tcPr>
          <w:p w14:paraId="03CC46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7590</w:t>
            </w:r>
          </w:p>
        </w:tc>
        <w:tc>
          <w:tcPr>
            <w:tcW w:w="1019" w:type="dxa"/>
          </w:tcPr>
          <w:p w14:paraId="4EB9C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7296</w:t>
            </w:r>
          </w:p>
        </w:tc>
      </w:tr>
      <w:tr w:rsidR="00561F31" w:rsidRPr="00F90EAE" w14:paraId="55ADC6A1" w14:textId="77777777">
        <w:tc>
          <w:tcPr>
            <w:tcW w:w="1019" w:type="dxa"/>
          </w:tcPr>
          <w:p w14:paraId="0BE0FC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 км/ч</w:t>
            </w:r>
          </w:p>
        </w:tc>
        <w:tc>
          <w:tcPr>
            <w:tcW w:w="1019" w:type="dxa"/>
          </w:tcPr>
          <w:p w14:paraId="51400E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218793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926CD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w:t>
            </w:r>
          </w:p>
        </w:tc>
        <w:tc>
          <w:tcPr>
            <w:tcW w:w="1019" w:type="dxa"/>
          </w:tcPr>
          <w:p w14:paraId="10AAE1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329</w:t>
            </w:r>
          </w:p>
        </w:tc>
        <w:tc>
          <w:tcPr>
            <w:tcW w:w="1019" w:type="dxa"/>
          </w:tcPr>
          <w:p w14:paraId="06A5EA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325</w:t>
            </w:r>
          </w:p>
        </w:tc>
        <w:tc>
          <w:tcPr>
            <w:tcW w:w="1019" w:type="dxa"/>
          </w:tcPr>
          <w:p w14:paraId="261BD6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311</w:t>
            </w:r>
          </w:p>
        </w:tc>
        <w:tc>
          <w:tcPr>
            <w:tcW w:w="1019" w:type="dxa"/>
          </w:tcPr>
          <w:p w14:paraId="14F3B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320</w:t>
            </w:r>
          </w:p>
        </w:tc>
        <w:tc>
          <w:tcPr>
            <w:tcW w:w="1019" w:type="dxa"/>
          </w:tcPr>
          <w:p w14:paraId="64127B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331</w:t>
            </w:r>
          </w:p>
        </w:tc>
        <w:tc>
          <w:tcPr>
            <w:tcW w:w="1019" w:type="dxa"/>
          </w:tcPr>
          <w:p w14:paraId="341FDD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292</w:t>
            </w:r>
          </w:p>
        </w:tc>
        <w:tc>
          <w:tcPr>
            <w:tcW w:w="1019" w:type="dxa"/>
          </w:tcPr>
          <w:p w14:paraId="457FD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352</w:t>
            </w:r>
          </w:p>
        </w:tc>
      </w:tr>
      <w:tr w:rsidR="00561F31" w:rsidRPr="00F90EAE" w14:paraId="50D519A9" w14:textId="77777777">
        <w:tc>
          <w:tcPr>
            <w:tcW w:w="1019" w:type="dxa"/>
          </w:tcPr>
          <w:p w14:paraId="06A9F0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км/ч на высоте, м</w:t>
            </w:r>
          </w:p>
        </w:tc>
        <w:tc>
          <w:tcPr>
            <w:tcW w:w="1019" w:type="dxa"/>
          </w:tcPr>
          <w:p w14:paraId="408A61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019" w:type="dxa"/>
          </w:tcPr>
          <w:p w14:paraId="17C922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w:t>
            </w:r>
          </w:p>
        </w:tc>
        <w:tc>
          <w:tcPr>
            <w:tcW w:w="1019" w:type="dxa"/>
          </w:tcPr>
          <w:p w14:paraId="1A381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390 3250</w:t>
            </w:r>
          </w:p>
        </w:tc>
        <w:tc>
          <w:tcPr>
            <w:tcW w:w="1019" w:type="dxa"/>
          </w:tcPr>
          <w:p w14:paraId="75A4AF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407 4800</w:t>
            </w:r>
          </w:p>
        </w:tc>
        <w:tc>
          <w:tcPr>
            <w:tcW w:w="1019" w:type="dxa"/>
          </w:tcPr>
          <w:p w14:paraId="49E786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390 4600</w:t>
            </w:r>
          </w:p>
        </w:tc>
        <w:tc>
          <w:tcPr>
            <w:tcW w:w="1019" w:type="dxa"/>
          </w:tcPr>
          <w:p w14:paraId="52108A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380 4400</w:t>
            </w:r>
          </w:p>
        </w:tc>
        <w:tc>
          <w:tcPr>
            <w:tcW w:w="1019" w:type="dxa"/>
          </w:tcPr>
          <w:p w14:paraId="5F8D29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395 4000</w:t>
            </w:r>
          </w:p>
        </w:tc>
        <w:tc>
          <w:tcPr>
            <w:tcW w:w="1019" w:type="dxa"/>
          </w:tcPr>
          <w:p w14:paraId="457F1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395 4000</w:t>
            </w:r>
          </w:p>
        </w:tc>
        <w:tc>
          <w:tcPr>
            <w:tcW w:w="1019" w:type="dxa"/>
          </w:tcPr>
          <w:p w14:paraId="3783B3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343 3900</w:t>
            </w:r>
          </w:p>
        </w:tc>
        <w:tc>
          <w:tcPr>
            <w:tcW w:w="1019" w:type="dxa"/>
          </w:tcPr>
          <w:p w14:paraId="5298F3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417 6000</w:t>
            </w:r>
          </w:p>
        </w:tc>
      </w:tr>
      <w:tr w:rsidR="00561F31" w:rsidRPr="00F90EAE" w14:paraId="21E17863" w14:textId="77777777">
        <w:tc>
          <w:tcPr>
            <w:tcW w:w="1019" w:type="dxa"/>
          </w:tcPr>
          <w:p w14:paraId="1A463F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019" w:type="dxa"/>
          </w:tcPr>
          <w:p w14:paraId="14060D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19" w:type="dxa"/>
          </w:tcPr>
          <w:p w14:paraId="474EC9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6500</w:t>
            </w:r>
          </w:p>
        </w:tc>
        <w:tc>
          <w:tcPr>
            <w:tcW w:w="1019" w:type="dxa"/>
          </w:tcPr>
          <w:p w14:paraId="349CBF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C79EB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8920</w:t>
            </w:r>
          </w:p>
        </w:tc>
        <w:tc>
          <w:tcPr>
            <w:tcW w:w="1019" w:type="dxa"/>
          </w:tcPr>
          <w:p w14:paraId="6C3E7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8400</w:t>
            </w:r>
          </w:p>
        </w:tc>
        <w:tc>
          <w:tcPr>
            <w:tcW w:w="1019" w:type="dxa"/>
          </w:tcPr>
          <w:p w14:paraId="32EABA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8400</w:t>
            </w:r>
          </w:p>
        </w:tc>
        <w:tc>
          <w:tcPr>
            <w:tcW w:w="1019" w:type="dxa"/>
          </w:tcPr>
          <w:p w14:paraId="720F2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8800</w:t>
            </w:r>
          </w:p>
        </w:tc>
        <w:tc>
          <w:tcPr>
            <w:tcW w:w="1019" w:type="dxa"/>
          </w:tcPr>
          <w:p w14:paraId="4AA566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8300</w:t>
            </w:r>
          </w:p>
        </w:tc>
        <w:tc>
          <w:tcPr>
            <w:tcW w:w="1019" w:type="dxa"/>
          </w:tcPr>
          <w:p w14:paraId="46698D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7570</w:t>
            </w:r>
          </w:p>
        </w:tc>
        <w:tc>
          <w:tcPr>
            <w:tcW w:w="1019" w:type="dxa"/>
          </w:tcPr>
          <w:p w14:paraId="5A73A7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r>
      <w:tr w:rsidR="00561F31" w:rsidRPr="00F90EAE" w14:paraId="0F5186D6" w14:textId="77777777">
        <w:tc>
          <w:tcPr>
            <w:tcW w:w="1019" w:type="dxa"/>
          </w:tcPr>
          <w:p w14:paraId="61D43E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1000 м, мин</w:t>
            </w:r>
          </w:p>
        </w:tc>
        <w:tc>
          <w:tcPr>
            <w:tcW w:w="1019" w:type="dxa"/>
          </w:tcPr>
          <w:p w14:paraId="26666B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2477B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B59C8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E7BF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019" w:type="dxa"/>
          </w:tcPr>
          <w:p w14:paraId="04E685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019" w:type="dxa"/>
          </w:tcPr>
          <w:p w14:paraId="1AA01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019" w:type="dxa"/>
          </w:tcPr>
          <w:p w14:paraId="0ABBDA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w:t>
            </w:r>
          </w:p>
        </w:tc>
        <w:tc>
          <w:tcPr>
            <w:tcW w:w="1019" w:type="dxa"/>
          </w:tcPr>
          <w:p w14:paraId="63A9BC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019" w:type="dxa"/>
          </w:tcPr>
          <w:p w14:paraId="01B743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019" w:type="dxa"/>
          </w:tcPr>
          <w:p w14:paraId="6EB420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2,08</w:t>
            </w:r>
          </w:p>
        </w:tc>
      </w:tr>
      <w:tr w:rsidR="00561F31" w:rsidRPr="00F90EAE" w14:paraId="624F0A48" w14:textId="77777777">
        <w:tc>
          <w:tcPr>
            <w:tcW w:w="1019" w:type="dxa"/>
          </w:tcPr>
          <w:p w14:paraId="45AE80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019" w:type="dxa"/>
          </w:tcPr>
          <w:p w14:paraId="5280E6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60E2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8385F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w:t>
            </w:r>
          </w:p>
        </w:tc>
        <w:tc>
          <w:tcPr>
            <w:tcW w:w="1019" w:type="dxa"/>
          </w:tcPr>
          <w:p w14:paraId="05AFF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4AD7BF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15,1</w:t>
            </w:r>
          </w:p>
        </w:tc>
        <w:tc>
          <w:tcPr>
            <w:tcW w:w="1019" w:type="dxa"/>
          </w:tcPr>
          <w:p w14:paraId="51D5E3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594CB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1019" w:type="dxa"/>
          </w:tcPr>
          <w:p w14:paraId="084E77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12,85</w:t>
            </w:r>
          </w:p>
        </w:tc>
        <w:tc>
          <w:tcPr>
            <w:tcW w:w="1019" w:type="dxa"/>
          </w:tcPr>
          <w:p w14:paraId="453A6A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D1BE5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w:t>
            </w:r>
          </w:p>
        </w:tc>
      </w:tr>
      <w:tr w:rsidR="00561F31" w:rsidRPr="00F90EAE" w14:paraId="1442E130" w14:textId="77777777">
        <w:tc>
          <w:tcPr>
            <w:tcW w:w="1019" w:type="dxa"/>
          </w:tcPr>
          <w:p w14:paraId="0D4A5D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км</w:t>
            </w:r>
          </w:p>
        </w:tc>
        <w:tc>
          <w:tcPr>
            <w:tcW w:w="1019" w:type="dxa"/>
          </w:tcPr>
          <w:p w14:paraId="78F870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c>
          <w:tcPr>
            <w:tcW w:w="1019" w:type="dxa"/>
          </w:tcPr>
          <w:p w14:paraId="6DFE7A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1500</w:t>
            </w:r>
          </w:p>
        </w:tc>
        <w:tc>
          <w:tcPr>
            <w:tcW w:w="1019" w:type="dxa"/>
          </w:tcPr>
          <w:p w14:paraId="56AFD1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19" w:type="dxa"/>
          </w:tcPr>
          <w:p w14:paraId="320DC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19" w:type="dxa"/>
          </w:tcPr>
          <w:p w14:paraId="555BE6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19" w:type="dxa"/>
          </w:tcPr>
          <w:p w14:paraId="419DF9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19" w:type="dxa"/>
          </w:tcPr>
          <w:p w14:paraId="646837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1800</w:t>
            </w:r>
          </w:p>
        </w:tc>
        <w:tc>
          <w:tcPr>
            <w:tcW w:w="1019" w:type="dxa"/>
          </w:tcPr>
          <w:p w14:paraId="0D29B4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3F253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c>
          <w:tcPr>
            <w:tcW w:w="1019" w:type="dxa"/>
          </w:tcPr>
          <w:p w14:paraId="527958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7670C973" w14:textId="77777777">
        <w:tc>
          <w:tcPr>
            <w:tcW w:w="1019" w:type="dxa"/>
          </w:tcPr>
          <w:p w14:paraId="64C5A4C2"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D4E9AC5"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1B942773"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1DBA1CE1"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7F29CC3"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174A116"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72547DF7"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2E7156AF"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4D173072"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0DAA5A16"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5B4EBB3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6A45171" w14:textId="77777777">
        <w:tc>
          <w:tcPr>
            <w:tcW w:w="1019" w:type="dxa"/>
          </w:tcPr>
          <w:p w14:paraId="5FED41E1" w14:textId="77777777" w:rsidR="00665165" w:rsidRPr="00F90EAE" w:rsidRDefault="00665165" w:rsidP="00F90EAE">
            <w:pPr>
              <w:autoSpaceDE w:val="0"/>
              <w:autoSpaceDN w:val="0"/>
              <w:adjustRightInd w:val="0"/>
              <w:jc w:val="both"/>
              <w:rPr>
                <w:color w:val="000000" w:themeColor="text1"/>
                <w:sz w:val="16"/>
                <w:szCs w:val="16"/>
              </w:rPr>
            </w:pPr>
          </w:p>
        </w:tc>
        <w:tc>
          <w:tcPr>
            <w:tcW w:w="1019" w:type="dxa"/>
          </w:tcPr>
          <w:p w14:paraId="2C052D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ДБ-ЗБ</w:t>
            </w:r>
          </w:p>
        </w:tc>
        <w:tc>
          <w:tcPr>
            <w:tcW w:w="1019" w:type="dxa"/>
          </w:tcPr>
          <w:p w14:paraId="5DAAB7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ДБ-ЗБ</w:t>
            </w:r>
          </w:p>
        </w:tc>
        <w:tc>
          <w:tcPr>
            <w:tcW w:w="1019" w:type="dxa"/>
          </w:tcPr>
          <w:p w14:paraId="794EC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ДБ-ЗМ</w:t>
            </w:r>
          </w:p>
        </w:tc>
        <w:tc>
          <w:tcPr>
            <w:tcW w:w="1019" w:type="dxa"/>
          </w:tcPr>
          <w:p w14:paraId="5DE1C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 ЗФ</w:t>
            </w:r>
          </w:p>
        </w:tc>
        <w:tc>
          <w:tcPr>
            <w:tcW w:w="1019" w:type="dxa"/>
          </w:tcPr>
          <w:p w14:paraId="38BF6B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 ЗФ</w:t>
            </w:r>
          </w:p>
        </w:tc>
        <w:tc>
          <w:tcPr>
            <w:tcW w:w="1019" w:type="dxa"/>
          </w:tcPr>
          <w:p w14:paraId="229095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019" w:type="dxa"/>
          </w:tcPr>
          <w:p w14:paraId="1FC4D2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019" w:type="dxa"/>
          </w:tcPr>
          <w:p w14:paraId="5CC1DC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ДБ-ЗФ</w:t>
            </w:r>
          </w:p>
        </w:tc>
        <w:tc>
          <w:tcPr>
            <w:tcW w:w="1019" w:type="dxa"/>
          </w:tcPr>
          <w:p w14:paraId="143F92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c>
          <w:tcPr>
            <w:tcW w:w="1019" w:type="dxa"/>
          </w:tcPr>
          <w:p w14:paraId="65ED2B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w:t>
            </w:r>
          </w:p>
        </w:tc>
      </w:tr>
      <w:tr w:rsidR="00561F31" w:rsidRPr="00F90EAE" w14:paraId="5DD1ECA3" w14:textId="77777777">
        <w:tc>
          <w:tcPr>
            <w:tcW w:w="1019" w:type="dxa"/>
          </w:tcPr>
          <w:p w14:paraId="78D535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w:t>
            </w:r>
          </w:p>
        </w:tc>
        <w:tc>
          <w:tcPr>
            <w:tcW w:w="1019" w:type="dxa"/>
          </w:tcPr>
          <w:p w14:paraId="26789D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7C4DF3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019" w:type="dxa"/>
          </w:tcPr>
          <w:p w14:paraId="557B5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77F7ED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w:t>
            </w:r>
          </w:p>
        </w:tc>
        <w:tc>
          <w:tcPr>
            <w:tcW w:w="1019" w:type="dxa"/>
          </w:tcPr>
          <w:p w14:paraId="7D6990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019" w:type="dxa"/>
          </w:tcPr>
          <w:p w14:paraId="55D1F6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1019" w:type="dxa"/>
          </w:tcPr>
          <w:p w14:paraId="72E491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019" w:type="dxa"/>
          </w:tcPr>
          <w:p w14:paraId="45AD79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1019" w:type="dxa"/>
          </w:tcPr>
          <w:p w14:paraId="2B2CDC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c>
          <w:tcPr>
            <w:tcW w:w="1019" w:type="dxa"/>
          </w:tcPr>
          <w:p w14:paraId="731DEB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126</w:t>
            </w:r>
          </w:p>
        </w:tc>
      </w:tr>
      <w:tr w:rsidR="00561F31" w:rsidRPr="00F90EAE" w14:paraId="7FA320F7" w14:textId="77777777">
        <w:tc>
          <w:tcPr>
            <w:tcW w:w="1019" w:type="dxa"/>
          </w:tcPr>
          <w:p w14:paraId="597004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Моторы</w:t>
            </w:r>
          </w:p>
        </w:tc>
        <w:tc>
          <w:tcPr>
            <w:tcW w:w="1019" w:type="dxa"/>
          </w:tcPr>
          <w:p w14:paraId="395A3F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М-87А</w:t>
            </w:r>
          </w:p>
        </w:tc>
        <w:tc>
          <w:tcPr>
            <w:tcW w:w="1019" w:type="dxa"/>
          </w:tcPr>
          <w:p w14:paraId="565413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М-87А</w:t>
            </w:r>
          </w:p>
        </w:tc>
        <w:tc>
          <w:tcPr>
            <w:tcW w:w="1019" w:type="dxa"/>
          </w:tcPr>
          <w:p w14:paraId="72769D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w:t>
            </w:r>
          </w:p>
        </w:tc>
        <w:tc>
          <w:tcPr>
            <w:tcW w:w="1019" w:type="dxa"/>
          </w:tcPr>
          <w:p w14:paraId="4B8D36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М-87Б</w:t>
            </w:r>
          </w:p>
        </w:tc>
        <w:tc>
          <w:tcPr>
            <w:tcW w:w="1019" w:type="dxa"/>
          </w:tcPr>
          <w:p w14:paraId="0368B9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1019" w:type="dxa"/>
          </w:tcPr>
          <w:p w14:paraId="63AA1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1019" w:type="dxa"/>
          </w:tcPr>
          <w:p w14:paraId="0F339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1019" w:type="dxa"/>
          </w:tcPr>
          <w:p w14:paraId="4A4F61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М-82</w:t>
            </w:r>
          </w:p>
        </w:tc>
        <w:tc>
          <w:tcPr>
            <w:tcW w:w="1019" w:type="dxa"/>
          </w:tcPr>
          <w:p w14:paraId="626028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c>
          <w:tcPr>
            <w:tcW w:w="1019" w:type="dxa"/>
          </w:tcPr>
          <w:p w14:paraId="1DFFF6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М-88Б</w:t>
            </w:r>
          </w:p>
        </w:tc>
      </w:tr>
      <w:tr w:rsidR="00561F31" w:rsidRPr="00F90EAE" w14:paraId="6336DC21" w14:textId="77777777">
        <w:tc>
          <w:tcPr>
            <w:tcW w:w="1019" w:type="dxa"/>
          </w:tcPr>
          <w:p w14:paraId="3034B3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испытаний</w:t>
            </w:r>
          </w:p>
        </w:tc>
        <w:tc>
          <w:tcPr>
            <w:tcW w:w="1019" w:type="dxa"/>
          </w:tcPr>
          <w:p w14:paraId="70D4DE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июль-сентябрь 1939г.</w:t>
            </w:r>
          </w:p>
        </w:tc>
        <w:tc>
          <w:tcPr>
            <w:tcW w:w="1019" w:type="dxa"/>
          </w:tcPr>
          <w:p w14:paraId="317715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июль-сентябрь 1939г.</w:t>
            </w:r>
          </w:p>
        </w:tc>
        <w:tc>
          <w:tcPr>
            <w:tcW w:w="1019" w:type="dxa"/>
          </w:tcPr>
          <w:p w14:paraId="4085D5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апрель- май 1940г.</w:t>
            </w:r>
          </w:p>
        </w:tc>
        <w:tc>
          <w:tcPr>
            <w:tcW w:w="1019" w:type="dxa"/>
          </w:tcPr>
          <w:p w14:paraId="694FD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сентябрь- октябрь 1940г.</w:t>
            </w:r>
          </w:p>
        </w:tc>
        <w:tc>
          <w:tcPr>
            <w:tcW w:w="1019" w:type="dxa"/>
          </w:tcPr>
          <w:p w14:paraId="366BD9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1941г.</w:t>
            </w:r>
          </w:p>
        </w:tc>
        <w:tc>
          <w:tcPr>
            <w:tcW w:w="1019" w:type="dxa"/>
          </w:tcPr>
          <w:p w14:paraId="6280C0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1942г.</w:t>
            </w:r>
          </w:p>
        </w:tc>
        <w:tc>
          <w:tcPr>
            <w:tcW w:w="1019" w:type="dxa"/>
          </w:tcPr>
          <w:p w14:paraId="007063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1942г.</w:t>
            </w:r>
          </w:p>
        </w:tc>
        <w:tc>
          <w:tcPr>
            <w:tcW w:w="1019" w:type="dxa"/>
          </w:tcPr>
          <w:p w14:paraId="729835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май-июнь 1942г.</w:t>
            </w:r>
          </w:p>
        </w:tc>
        <w:tc>
          <w:tcPr>
            <w:tcW w:w="1019" w:type="dxa"/>
          </w:tcPr>
          <w:p w14:paraId="544AEA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1943г.</w:t>
            </w:r>
          </w:p>
        </w:tc>
        <w:tc>
          <w:tcPr>
            <w:tcW w:w="1019" w:type="dxa"/>
          </w:tcPr>
          <w:p w14:paraId="591A5B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1944г.</w:t>
            </w:r>
          </w:p>
        </w:tc>
      </w:tr>
      <w:tr w:rsidR="00561F31" w:rsidRPr="00F90EAE" w14:paraId="1C01848B" w14:textId="77777777">
        <w:tc>
          <w:tcPr>
            <w:tcW w:w="1019" w:type="dxa"/>
          </w:tcPr>
          <w:p w14:paraId="4AA7C8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1019" w:type="dxa"/>
          </w:tcPr>
          <w:p w14:paraId="21CDB4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5080</w:t>
            </w:r>
          </w:p>
        </w:tc>
        <w:tc>
          <w:tcPr>
            <w:tcW w:w="1019" w:type="dxa"/>
          </w:tcPr>
          <w:p w14:paraId="6B90E1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5100</w:t>
            </w:r>
          </w:p>
        </w:tc>
        <w:tc>
          <w:tcPr>
            <w:tcW w:w="1019" w:type="dxa"/>
          </w:tcPr>
          <w:p w14:paraId="302C40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5590</w:t>
            </w:r>
          </w:p>
        </w:tc>
        <w:tc>
          <w:tcPr>
            <w:tcW w:w="1019" w:type="dxa"/>
          </w:tcPr>
          <w:p w14:paraId="2CB5D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5564</w:t>
            </w:r>
          </w:p>
        </w:tc>
        <w:tc>
          <w:tcPr>
            <w:tcW w:w="1019" w:type="dxa"/>
          </w:tcPr>
          <w:p w14:paraId="5605A4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5701</w:t>
            </w:r>
          </w:p>
        </w:tc>
        <w:tc>
          <w:tcPr>
            <w:tcW w:w="1019" w:type="dxa"/>
          </w:tcPr>
          <w:p w14:paraId="3192B2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w:t>
            </w:r>
          </w:p>
        </w:tc>
        <w:tc>
          <w:tcPr>
            <w:tcW w:w="1019" w:type="dxa"/>
          </w:tcPr>
          <w:p w14:paraId="63DBF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6421</w:t>
            </w:r>
          </w:p>
        </w:tc>
        <w:tc>
          <w:tcPr>
            <w:tcW w:w="1019" w:type="dxa"/>
          </w:tcPr>
          <w:p w14:paraId="0898CD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91C00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5800</w:t>
            </w:r>
          </w:p>
        </w:tc>
        <w:tc>
          <w:tcPr>
            <w:tcW w:w="1019" w:type="dxa"/>
          </w:tcPr>
          <w:p w14:paraId="724A0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180D2D3" w14:textId="77777777">
        <w:tc>
          <w:tcPr>
            <w:tcW w:w="1019" w:type="dxa"/>
          </w:tcPr>
          <w:p w14:paraId="014686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Вес взлетный кг.</w:t>
            </w:r>
          </w:p>
        </w:tc>
        <w:tc>
          <w:tcPr>
            <w:tcW w:w="1019" w:type="dxa"/>
          </w:tcPr>
          <w:p w14:paraId="09ACB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7443</w:t>
            </w:r>
          </w:p>
        </w:tc>
        <w:tc>
          <w:tcPr>
            <w:tcW w:w="1019" w:type="dxa"/>
          </w:tcPr>
          <w:p w14:paraId="431548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7465</w:t>
            </w:r>
          </w:p>
        </w:tc>
        <w:tc>
          <w:tcPr>
            <w:tcW w:w="1019" w:type="dxa"/>
          </w:tcPr>
          <w:p w14:paraId="229058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7933</w:t>
            </w:r>
          </w:p>
        </w:tc>
        <w:tc>
          <w:tcPr>
            <w:tcW w:w="1019" w:type="dxa"/>
          </w:tcPr>
          <w:p w14:paraId="169315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7956</w:t>
            </w:r>
          </w:p>
        </w:tc>
        <w:tc>
          <w:tcPr>
            <w:tcW w:w="1019" w:type="dxa"/>
          </w:tcPr>
          <w:p w14:paraId="23A247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8033</w:t>
            </w:r>
          </w:p>
        </w:tc>
        <w:tc>
          <w:tcPr>
            <w:tcW w:w="1019" w:type="dxa"/>
          </w:tcPr>
          <w:p w14:paraId="23976B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9139</w:t>
            </w:r>
          </w:p>
        </w:tc>
        <w:tc>
          <w:tcPr>
            <w:tcW w:w="1019" w:type="dxa"/>
          </w:tcPr>
          <w:p w14:paraId="03166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10035</w:t>
            </w:r>
          </w:p>
        </w:tc>
        <w:tc>
          <w:tcPr>
            <w:tcW w:w="1019" w:type="dxa"/>
          </w:tcPr>
          <w:p w14:paraId="0ECBC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11500</w:t>
            </w:r>
          </w:p>
        </w:tc>
        <w:tc>
          <w:tcPr>
            <w:tcW w:w="1019" w:type="dxa"/>
          </w:tcPr>
          <w:p w14:paraId="3AF8CF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9470</w:t>
            </w:r>
          </w:p>
        </w:tc>
        <w:tc>
          <w:tcPr>
            <w:tcW w:w="1019" w:type="dxa"/>
          </w:tcPr>
          <w:p w14:paraId="764F7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9290</w:t>
            </w:r>
          </w:p>
        </w:tc>
      </w:tr>
      <w:tr w:rsidR="00561F31" w:rsidRPr="00F90EAE" w14:paraId="572C6D4D" w14:textId="77777777">
        <w:tc>
          <w:tcPr>
            <w:tcW w:w="1019" w:type="dxa"/>
          </w:tcPr>
          <w:p w14:paraId="2624E4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 км/ч</w:t>
            </w:r>
          </w:p>
        </w:tc>
        <w:tc>
          <w:tcPr>
            <w:tcW w:w="1019" w:type="dxa"/>
          </w:tcPr>
          <w:p w14:paraId="707071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1019" w:type="dxa"/>
          </w:tcPr>
          <w:p w14:paraId="24D08D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344</w:t>
            </w:r>
          </w:p>
        </w:tc>
        <w:tc>
          <w:tcPr>
            <w:tcW w:w="1019" w:type="dxa"/>
          </w:tcPr>
          <w:p w14:paraId="6FD19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362</w:t>
            </w:r>
          </w:p>
        </w:tc>
        <w:tc>
          <w:tcPr>
            <w:tcW w:w="1019" w:type="dxa"/>
          </w:tcPr>
          <w:p w14:paraId="565DA7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332</w:t>
            </w:r>
          </w:p>
        </w:tc>
        <w:tc>
          <w:tcPr>
            <w:tcW w:w="1019" w:type="dxa"/>
          </w:tcPr>
          <w:p w14:paraId="61E32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c>
          <w:tcPr>
            <w:tcW w:w="1019" w:type="dxa"/>
          </w:tcPr>
          <w:p w14:paraId="637BFD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w:t>
            </w:r>
          </w:p>
        </w:tc>
        <w:tc>
          <w:tcPr>
            <w:tcW w:w="1019" w:type="dxa"/>
          </w:tcPr>
          <w:p w14:paraId="26C493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E649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379</w:t>
            </w:r>
          </w:p>
        </w:tc>
        <w:tc>
          <w:tcPr>
            <w:tcW w:w="1019" w:type="dxa"/>
          </w:tcPr>
          <w:p w14:paraId="537E4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w:t>
            </w:r>
          </w:p>
        </w:tc>
        <w:tc>
          <w:tcPr>
            <w:tcW w:w="1019" w:type="dxa"/>
          </w:tcPr>
          <w:p w14:paraId="2E7846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w:t>
            </w:r>
          </w:p>
        </w:tc>
      </w:tr>
      <w:tr w:rsidR="00561F31" w:rsidRPr="00F90EAE" w14:paraId="07210A4D" w14:textId="77777777">
        <w:tc>
          <w:tcPr>
            <w:tcW w:w="1019" w:type="dxa"/>
          </w:tcPr>
          <w:p w14:paraId="5E6A11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км/ч на высоте, м</w:t>
            </w:r>
          </w:p>
        </w:tc>
        <w:tc>
          <w:tcPr>
            <w:tcW w:w="1019" w:type="dxa"/>
          </w:tcPr>
          <w:p w14:paraId="2630C5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428 4000</w:t>
            </w:r>
          </w:p>
        </w:tc>
        <w:tc>
          <w:tcPr>
            <w:tcW w:w="1019" w:type="dxa"/>
          </w:tcPr>
          <w:p w14:paraId="38122F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427 6000</w:t>
            </w:r>
          </w:p>
        </w:tc>
        <w:tc>
          <w:tcPr>
            <w:tcW w:w="1019" w:type="dxa"/>
          </w:tcPr>
          <w:p w14:paraId="2CC473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425 6200</w:t>
            </w:r>
          </w:p>
        </w:tc>
        <w:tc>
          <w:tcPr>
            <w:tcW w:w="1019" w:type="dxa"/>
          </w:tcPr>
          <w:p w14:paraId="079C6D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405 4900</w:t>
            </w:r>
          </w:p>
        </w:tc>
        <w:tc>
          <w:tcPr>
            <w:tcW w:w="1019" w:type="dxa"/>
          </w:tcPr>
          <w:p w14:paraId="172A26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428 6400</w:t>
            </w:r>
          </w:p>
        </w:tc>
        <w:tc>
          <w:tcPr>
            <w:tcW w:w="1019" w:type="dxa"/>
          </w:tcPr>
          <w:p w14:paraId="4719A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406 6250</w:t>
            </w:r>
          </w:p>
        </w:tc>
        <w:tc>
          <w:tcPr>
            <w:tcW w:w="1019" w:type="dxa"/>
          </w:tcPr>
          <w:p w14:paraId="3D9C36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412 5400</w:t>
            </w:r>
          </w:p>
        </w:tc>
        <w:tc>
          <w:tcPr>
            <w:tcW w:w="1019" w:type="dxa"/>
          </w:tcPr>
          <w:p w14:paraId="2CD6E9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437 5300</w:t>
            </w:r>
          </w:p>
        </w:tc>
        <w:tc>
          <w:tcPr>
            <w:tcW w:w="1019" w:type="dxa"/>
          </w:tcPr>
          <w:p w14:paraId="4BBE85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463 6000</w:t>
            </w:r>
          </w:p>
        </w:tc>
        <w:tc>
          <w:tcPr>
            <w:tcW w:w="1019" w:type="dxa"/>
          </w:tcPr>
          <w:p w14:paraId="6724BA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406 6400</w:t>
            </w:r>
          </w:p>
        </w:tc>
      </w:tr>
      <w:tr w:rsidR="00561F31" w:rsidRPr="00F90EAE" w14:paraId="449F95A8" w14:textId="77777777">
        <w:tc>
          <w:tcPr>
            <w:tcW w:w="1019" w:type="dxa"/>
          </w:tcPr>
          <w:p w14:paraId="1994DB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потолок,м</w:t>
            </w:r>
          </w:p>
        </w:tc>
        <w:tc>
          <w:tcPr>
            <w:tcW w:w="1019" w:type="dxa"/>
          </w:tcPr>
          <w:p w14:paraId="7EC5F6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9600</w:t>
            </w:r>
          </w:p>
        </w:tc>
        <w:tc>
          <w:tcPr>
            <w:tcW w:w="1019" w:type="dxa"/>
          </w:tcPr>
          <w:p w14:paraId="0B8F74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1019" w:type="dxa"/>
          </w:tcPr>
          <w:p w14:paraId="196DB7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10050</w:t>
            </w:r>
          </w:p>
        </w:tc>
        <w:tc>
          <w:tcPr>
            <w:tcW w:w="1019" w:type="dxa"/>
          </w:tcPr>
          <w:p w14:paraId="212435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9000</w:t>
            </w:r>
          </w:p>
        </w:tc>
        <w:tc>
          <w:tcPr>
            <w:tcW w:w="1019" w:type="dxa"/>
          </w:tcPr>
          <w:p w14:paraId="0537D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8900</w:t>
            </w:r>
          </w:p>
        </w:tc>
        <w:tc>
          <w:tcPr>
            <w:tcW w:w="1019" w:type="dxa"/>
          </w:tcPr>
          <w:p w14:paraId="4972A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9400</w:t>
            </w:r>
          </w:p>
        </w:tc>
        <w:tc>
          <w:tcPr>
            <w:tcW w:w="1019" w:type="dxa"/>
          </w:tcPr>
          <w:p w14:paraId="4DFBEE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8300</w:t>
            </w:r>
          </w:p>
        </w:tc>
        <w:tc>
          <w:tcPr>
            <w:tcW w:w="1019" w:type="dxa"/>
          </w:tcPr>
          <w:p w14:paraId="54EDA9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3C7BAD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8700</w:t>
            </w:r>
          </w:p>
        </w:tc>
        <w:tc>
          <w:tcPr>
            <w:tcW w:w="1019" w:type="dxa"/>
          </w:tcPr>
          <w:p w14:paraId="6FC71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8750</w:t>
            </w:r>
          </w:p>
        </w:tc>
      </w:tr>
      <w:tr w:rsidR="00561F31" w:rsidRPr="00F90EAE" w14:paraId="5B089FD0" w14:textId="77777777">
        <w:tc>
          <w:tcPr>
            <w:tcW w:w="1019" w:type="dxa"/>
          </w:tcPr>
          <w:p w14:paraId="393D23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1000 м, мин</w:t>
            </w:r>
          </w:p>
        </w:tc>
        <w:tc>
          <w:tcPr>
            <w:tcW w:w="1019" w:type="dxa"/>
          </w:tcPr>
          <w:p w14:paraId="798E6E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w:t>
            </w:r>
          </w:p>
        </w:tc>
        <w:tc>
          <w:tcPr>
            <w:tcW w:w="1019" w:type="dxa"/>
          </w:tcPr>
          <w:p w14:paraId="68425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w:t>
            </w:r>
          </w:p>
        </w:tc>
        <w:tc>
          <w:tcPr>
            <w:tcW w:w="1019" w:type="dxa"/>
          </w:tcPr>
          <w:p w14:paraId="53A0AF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68057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4BB69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74CE64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2CF547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8BFFD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587F19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F13F0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F77035A" w14:textId="77777777">
        <w:tc>
          <w:tcPr>
            <w:tcW w:w="1019" w:type="dxa"/>
          </w:tcPr>
          <w:p w14:paraId="74E7DE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019" w:type="dxa"/>
          </w:tcPr>
          <w:p w14:paraId="7E4183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12,1</w:t>
            </w:r>
          </w:p>
        </w:tc>
        <w:tc>
          <w:tcPr>
            <w:tcW w:w="1019" w:type="dxa"/>
          </w:tcPr>
          <w:p w14:paraId="3261E5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w:t>
            </w:r>
          </w:p>
        </w:tc>
        <w:tc>
          <w:tcPr>
            <w:tcW w:w="1019" w:type="dxa"/>
          </w:tcPr>
          <w:p w14:paraId="709C78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10,25</w:t>
            </w:r>
          </w:p>
        </w:tc>
        <w:tc>
          <w:tcPr>
            <w:tcW w:w="1019" w:type="dxa"/>
          </w:tcPr>
          <w:p w14:paraId="3DC734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12,8</w:t>
            </w:r>
          </w:p>
        </w:tc>
        <w:tc>
          <w:tcPr>
            <w:tcW w:w="1019" w:type="dxa"/>
          </w:tcPr>
          <w:p w14:paraId="1E3C55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0BA007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1019" w:type="dxa"/>
          </w:tcPr>
          <w:p w14:paraId="153AF5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11F0E9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Pr>
          <w:p w14:paraId="624967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17,5</w:t>
            </w:r>
          </w:p>
        </w:tc>
        <w:tc>
          <w:tcPr>
            <w:tcW w:w="1019" w:type="dxa"/>
          </w:tcPr>
          <w:p w14:paraId="351D48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16,1</w:t>
            </w:r>
          </w:p>
        </w:tc>
      </w:tr>
      <w:tr w:rsidR="00561F31" w:rsidRPr="00F90EAE" w14:paraId="6DDF38D6" w14:textId="77777777">
        <w:tc>
          <w:tcPr>
            <w:tcW w:w="1019" w:type="dxa"/>
            <w:tcBorders>
              <w:bottom w:val="single" w:sz="12" w:space="0" w:color="auto"/>
            </w:tcBorders>
          </w:tcPr>
          <w:p w14:paraId="53C87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км</w:t>
            </w:r>
          </w:p>
        </w:tc>
        <w:tc>
          <w:tcPr>
            <w:tcW w:w="1019" w:type="dxa"/>
            <w:tcBorders>
              <w:bottom w:val="single" w:sz="12" w:space="0" w:color="auto"/>
            </w:tcBorders>
          </w:tcPr>
          <w:p w14:paraId="4BB74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4200</w:t>
            </w:r>
          </w:p>
        </w:tc>
        <w:tc>
          <w:tcPr>
            <w:tcW w:w="1019" w:type="dxa"/>
            <w:tcBorders>
              <w:bottom w:val="single" w:sz="12" w:space="0" w:color="auto"/>
            </w:tcBorders>
          </w:tcPr>
          <w:p w14:paraId="51DB9E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4200</w:t>
            </w:r>
          </w:p>
        </w:tc>
        <w:tc>
          <w:tcPr>
            <w:tcW w:w="1019" w:type="dxa"/>
            <w:tcBorders>
              <w:bottom w:val="single" w:sz="12" w:space="0" w:color="auto"/>
            </w:tcBorders>
          </w:tcPr>
          <w:p w14:paraId="716202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Borders>
              <w:bottom w:val="single" w:sz="12" w:space="0" w:color="auto"/>
            </w:tcBorders>
          </w:tcPr>
          <w:p w14:paraId="57F471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19" w:type="dxa"/>
            <w:tcBorders>
              <w:bottom w:val="single" w:sz="12" w:space="0" w:color="auto"/>
            </w:tcBorders>
          </w:tcPr>
          <w:p w14:paraId="57A3D2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3300</w:t>
            </w:r>
          </w:p>
        </w:tc>
        <w:tc>
          <w:tcPr>
            <w:tcW w:w="1019" w:type="dxa"/>
            <w:tcBorders>
              <w:bottom w:val="single" w:sz="12" w:space="0" w:color="auto"/>
            </w:tcBorders>
          </w:tcPr>
          <w:p w14:paraId="42DDD2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3300**</w:t>
            </w:r>
          </w:p>
        </w:tc>
        <w:tc>
          <w:tcPr>
            <w:tcW w:w="1019" w:type="dxa"/>
            <w:tcBorders>
              <w:bottom w:val="single" w:sz="12" w:space="0" w:color="auto"/>
            </w:tcBorders>
          </w:tcPr>
          <w:p w14:paraId="52ED3D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4265</w:t>
            </w:r>
          </w:p>
        </w:tc>
        <w:tc>
          <w:tcPr>
            <w:tcW w:w="1019" w:type="dxa"/>
            <w:tcBorders>
              <w:bottom w:val="single" w:sz="12" w:space="0" w:color="auto"/>
            </w:tcBorders>
          </w:tcPr>
          <w:p w14:paraId="725FD2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2540</w:t>
            </w:r>
          </w:p>
        </w:tc>
        <w:tc>
          <w:tcPr>
            <w:tcW w:w="1019" w:type="dxa"/>
            <w:tcBorders>
              <w:bottom w:val="single" w:sz="12" w:space="0" w:color="auto"/>
            </w:tcBorders>
          </w:tcPr>
          <w:p w14:paraId="61297D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019" w:type="dxa"/>
            <w:tcBorders>
              <w:bottom w:val="single" w:sz="12" w:space="0" w:color="auto"/>
            </w:tcBorders>
          </w:tcPr>
          <w:p w14:paraId="0FCAB0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3145</w:t>
            </w:r>
          </w:p>
        </w:tc>
      </w:tr>
    </w:tbl>
    <w:p w14:paraId="279451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с деревянной носовой частью фюзеляжа с фанерной обшивкой крыла **с подвесными баками - 3800км (12021).</w:t>
      </w:r>
    </w:p>
    <w:p w14:paraId="000824D3" w14:textId="77777777" w:rsidR="00665165" w:rsidRPr="00F90EAE" w:rsidRDefault="00665165" w:rsidP="00F90EAE">
      <w:pPr>
        <w:autoSpaceDE w:val="0"/>
        <w:autoSpaceDN w:val="0"/>
        <w:adjustRightInd w:val="0"/>
        <w:jc w:val="both"/>
        <w:rPr>
          <w:color w:val="000000" w:themeColor="text1"/>
          <w:sz w:val="16"/>
          <w:szCs w:val="16"/>
        </w:rPr>
      </w:pPr>
    </w:p>
    <w:p w14:paraId="53796D65" w14:textId="77777777" w:rsidR="00BD3ED4" w:rsidRPr="00F90EAE" w:rsidRDefault="00BD3ED4" w:rsidP="00F90EAE">
      <w:pPr>
        <w:jc w:val="both"/>
        <w:rPr>
          <w:color w:val="000000" w:themeColor="text1"/>
          <w:sz w:val="16"/>
          <w:szCs w:val="16"/>
        </w:rPr>
      </w:pPr>
      <w:r w:rsidRPr="00F90EAE">
        <w:rPr>
          <w:color w:val="000000" w:themeColor="text1"/>
          <w:sz w:val="16"/>
          <w:szCs w:val="16"/>
        </w:rPr>
        <w:t>18 мая 1946 г.</w:t>
      </w:r>
    </w:p>
    <w:p w14:paraId="7466A51D" w14:textId="77777777" w:rsidR="00BD3ED4" w:rsidRPr="00F90EAE" w:rsidRDefault="00BD3ED4" w:rsidP="00F90EAE">
      <w:pPr>
        <w:jc w:val="both"/>
        <w:rPr>
          <w:color w:val="000000" w:themeColor="text1"/>
          <w:sz w:val="16"/>
          <w:szCs w:val="16"/>
        </w:rPr>
      </w:pPr>
      <w:r w:rsidRPr="00F90EAE">
        <w:rPr>
          <w:color w:val="000000" w:themeColor="text1"/>
          <w:sz w:val="16"/>
          <w:szCs w:val="16"/>
        </w:rPr>
        <w:t>Письмо министра внутренних дел СССР С.Н.Круглова И.В.Сталину о проектировании в Четвертом спецотделе МВД СССР турбореактивного двигателя и необходимости организации конструкторского бюро для его постройки</w:t>
      </w:r>
    </w:p>
    <w:p w14:paraId="20D946D1"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18 мая 1946 г.</w:t>
      </w:r>
    </w:p>
    <w:p w14:paraId="4A7E8E60"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Совершенно секретно</w:t>
      </w:r>
    </w:p>
    <w:p w14:paraId="7428D988"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 2047/к</w:t>
      </w:r>
    </w:p>
    <w:p w14:paraId="5E2E1C62"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Товарищу Сталину И.В.</w:t>
      </w:r>
    </w:p>
    <w:p w14:paraId="2A03BDAF"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Группа заключенных специалистов 4-го Спецотдела Министерства внут</w:t>
      </w:r>
      <w:r w:rsidRPr="00F90EAE">
        <w:rPr>
          <w:color w:val="000000" w:themeColor="text1"/>
          <w:sz w:val="16"/>
          <w:szCs w:val="16"/>
        </w:rPr>
        <w:softHyphen/>
        <w:t>ренних дел СССР, под руководством заключенного специалиста профессора Страховича К.И., профессора Винблад А.Ю. и инженера Тейфель Г.К., про</w:t>
      </w:r>
      <w:r w:rsidRPr="00F90EAE">
        <w:rPr>
          <w:color w:val="000000" w:themeColor="text1"/>
          <w:sz w:val="16"/>
          <w:szCs w:val="16"/>
        </w:rPr>
        <w:softHyphen/>
        <w:t>должительное время работали над созданием отечественного турбореактивного двигателя</w:t>
      </w:r>
      <w:r w:rsidRPr="00F90EAE">
        <w:rPr>
          <w:color w:val="000000" w:themeColor="text1"/>
          <w:sz w:val="16"/>
          <w:szCs w:val="16"/>
          <w:vertAlign w:val="superscript"/>
        </w:rPr>
        <w:t>325</w:t>
      </w:r>
      <w:r w:rsidRPr="00F90EAE">
        <w:rPr>
          <w:color w:val="000000" w:themeColor="text1"/>
          <w:sz w:val="16"/>
          <w:szCs w:val="16"/>
        </w:rPr>
        <w:t>.</w:t>
      </w:r>
    </w:p>
    <w:p w14:paraId="6C90B37F"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Основываясь на результатах своих теоретических исследований ряда воз</w:t>
      </w:r>
      <w:r w:rsidRPr="00F90EAE">
        <w:rPr>
          <w:color w:val="000000" w:themeColor="text1"/>
          <w:sz w:val="16"/>
          <w:szCs w:val="16"/>
        </w:rPr>
        <w:softHyphen/>
        <w:t>можных схем воздушно-реактивных двигателей, группа выдвигает предложе</w:t>
      </w:r>
      <w:r w:rsidRPr="00F90EAE">
        <w:rPr>
          <w:color w:val="000000" w:themeColor="text1"/>
          <w:sz w:val="16"/>
          <w:szCs w:val="16"/>
        </w:rPr>
        <w:softHyphen/>
        <w:t>ние по созданию турбореактивных двигателей «ТРД-7Б» со следующими так</w:t>
      </w:r>
      <w:r w:rsidRPr="00F90EAE">
        <w:rPr>
          <w:color w:val="000000" w:themeColor="text1"/>
          <w:sz w:val="16"/>
          <w:szCs w:val="16"/>
        </w:rPr>
        <w:softHyphen/>
        <w:t>тико-техническими данными:</w:t>
      </w:r>
    </w:p>
    <w:p w14:paraId="0642EF93" w14:textId="77777777" w:rsidR="00BD3ED4" w:rsidRPr="00F90EAE" w:rsidRDefault="00BD3ED4" w:rsidP="00F90EAE">
      <w:pPr>
        <w:pStyle w:val="216"/>
        <w:numPr>
          <w:ilvl w:val="9"/>
          <w:numId w:val="2"/>
        </w:numPr>
        <w:shd w:val="clear" w:color="auto" w:fill="auto"/>
        <w:tabs>
          <w:tab w:val="left" w:pos="984"/>
          <w:tab w:val="left" w:pos="6032"/>
        </w:tabs>
        <w:spacing w:before="0" w:after="0" w:line="240" w:lineRule="auto"/>
        <w:ind w:firstLine="0"/>
        <w:jc w:val="both"/>
        <w:rPr>
          <w:color w:val="000000" w:themeColor="text1"/>
          <w:sz w:val="16"/>
          <w:szCs w:val="16"/>
        </w:rPr>
      </w:pPr>
      <w:r w:rsidRPr="00F90EAE">
        <w:rPr>
          <w:color w:val="000000" w:themeColor="text1"/>
          <w:sz w:val="16"/>
          <w:szCs w:val="16"/>
        </w:rPr>
        <w:t>Тяга на старте: без форсировки</w:t>
      </w:r>
      <w:r w:rsidRPr="00F90EAE">
        <w:rPr>
          <w:color w:val="000000" w:themeColor="text1"/>
          <w:sz w:val="16"/>
          <w:szCs w:val="16"/>
        </w:rPr>
        <w:tab/>
        <w:t>3000 кг</w:t>
      </w:r>
    </w:p>
    <w:p w14:paraId="50ED8530" w14:textId="77777777" w:rsidR="00BD3ED4" w:rsidRPr="00F90EAE" w:rsidRDefault="00BD3ED4" w:rsidP="00F90EAE">
      <w:pPr>
        <w:pStyle w:val="216"/>
        <w:shd w:val="clear" w:color="auto" w:fill="auto"/>
        <w:tabs>
          <w:tab w:val="right" w:pos="6880"/>
        </w:tabs>
        <w:spacing w:before="0" w:after="0" w:line="240" w:lineRule="auto"/>
        <w:ind w:firstLine="0"/>
        <w:jc w:val="both"/>
        <w:rPr>
          <w:color w:val="000000" w:themeColor="text1"/>
          <w:sz w:val="16"/>
          <w:szCs w:val="16"/>
        </w:rPr>
      </w:pPr>
      <w:r w:rsidRPr="00F90EAE">
        <w:rPr>
          <w:color w:val="000000" w:themeColor="text1"/>
          <w:sz w:val="16"/>
          <w:szCs w:val="16"/>
        </w:rPr>
        <w:t>с форсировкой</w:t>
      </w:r>
      <w:r w:rsidRPr="00F90EAE">
        <w:rPr>
          <w:color w:val="000000" w:themeColor="text1"/>
          <w:sz w:val="16"/>
          <w:szCs w:val="16"/>
        </w:rPr>
        <w:tab/>
        <w:t>3500 кг</w:t>
      </w:r>
    </w:p>
    <w:p w14:paraId="431B5169" w14:textId="77777777" w:rsidR="00BD3ED4" w:rsidRPr="00F90EAE" w:rsidRDefault="00BD3ED4" w:rsidP="00F90EAE">
      <w:pPr>
        <w:pStyle w:val="216"/>
        <w:shd w:val="clear" w:color="auto" w:fill="auto"/>
        <w:tabs>
          <w:tab w:val="right" w:pos="6887"/>
        </w:tabs>
        <w:spacing w:before="0" w:after="0" w:line="240" w:lineRule="auto"/>
        <w:ind w:firstLine="0"/>
        <w:jc w:val="both"/>
        <w:rPr>
          <w:color w:val="000000" w:themeColor="text1"/>
          <w:sz w:val="16"/>
          <w:szCs w:val="16"/>
        </w:rPr>
      </w:pPr>
      <w:r w:rsidRPr="00F90EAE">
        <w:rPr>
          <w:color w:val="000000" w:themeColor="text1"/>
          <w:sz w:val="16"/>
          <w:szCs w:val="16"/>
        </w:rPr>
        <w:t>Тяга у земли при скорости 800 км/час</w:t>
      </w:r>
      <w:r w:rsidRPr="00F90EAE">
        <w:rPr>
          <w:color w:val="000000" w:themeColor="text1"/>
          <w:sz w:val="16"/>
          <w:szCs w:val="16"/>
        </w:rPr>
        <w:tab/>
        <w:t>2540 кг</w:t>
      </w:r>
    </w:p>
    <w:p w14:paraId="0A0F1438" w14:textId="77777777" w:rsidR="00BD3ED4" w:rsidRPr="00F90EAE" w:rsidRDefault="00BD3ED4" w:rsidP="00F90EAE">
      <w:pPr>
        <w:pStyle w:val="216"/>
        <w:shd w:val="clear" w:color="auto" w:fill="auto"/>
        <w:tabs>
          <w:tab w:val="right" w:pos="6890"/>
        </w:tabs>
        <w:spacing w:before="0" w:after="0" w:line="240" w:lineRule="auto"/>
        <w:ind w:firstLine="0"/>
        <w:jc w:val="both"/>
        <w:rPr>
          <w:color w:val="000000" w:themeColor="text1"/>
          <w:sz w:val="16"/>
          <w:szCs w:val="16"/>
        </w:rPr>
      </w:pPr>
      <w:r w:rsidRPr="00F90EAE">
        <w:rPr>
          <w:color w:val="000000" w:themeColor="text1"/>
          <w:sz w:val="16"/>
          <w:szCs w:val="16"/>
        </w:rPr>
        <w:t>Тяга на высоте 10 000 м при скорости 800</w:t>
      </w:r>
      <w:r w:rsidRPr="00F90EAE">
        <w:rPr>
          <w:color w:val="000000" w:themeColor="text1"/>
          <w:sz w:val="16"/>
          <w:szCs w:val="16"/>
        </w:rPr>
        <w:tab/>
        <w:t>км/час:</w:t>
      </w:r>
    </w:p>
    <w:p w14:paraId="7F877178" w14:textId="77777777" w:rsidR="00BD3ED4" w:rsidRPr="00F90EAE" w:rsidRDefault="00BD3ED4" w:rsidP="00F90EAE">
      <w:pPr>
        <w:pStyle w:val="216"/>
        <w:shd w:val="clear" w:color="auto" w:fill="auto"/>
        <w:tabs>
          <w:tab w:val="right" w:pos="6884"/>
        </w:tabs>
        <w:spacing w:before="0" w:after="0" w:line="240" w:lineRule="auto"/>
        <w:ind w:firstLine="0"/>
        <w:jc w:val="both"/>
        <w:rPr>
          <w:color w:val="000000" w:themeColor="text1"/>
          <w:sz w:val="16"/>
          <w:szCs w:val="16"/>
        </w:rPr>
      </w:pPr>
      <w:r w:rsidRPr="00F90EAE">
        <w:rPr>
          <w:color w:val="000000" w:themeColor="text1"/>
          <w:sz w:val="16"/>
          <w:szCs w:val="16"/>
        </w:rPr>
        <w:t>без форсировки</w:t>
      </w:r>
      <w:r w:rsidRPr="00F90EAE">
        <w:rPr>
          <w:color w:val="000000" w:themeColor="text1"/>
          <w:sz w:val="16"/>
          <w:szCs w:val="16"/>
        </w:rPr>
        <w:tab/>
        <w:t>950 кг</w:t>
      </w:r>
    </w:p>
    <w:p w14:paraId="0A191397" w14:textId="77777777" w:rsidR="00BD3ED4" w:rsidRPr="00F90EAE" w:rsidRDefault="00BD3ED4" w:rsidP="00F90EAE">
      <w:pPr>
        <w:pStyle w:val="216"/>
        <w:shd w:val="clear" w:color="auto" w:fill="auto"/>
        <w:tabs>
          <w:tab w:val="right" w:pos="6884"/>
        </w:tabs>
        <w:spacing w:before="0" w:after="0" w:line="240" w:lineRule="auto"/>
        <w:ind w:firstLine="0"/>
        <w:jc w:val="both"/>
        <w:rPr>
          <w:color w:val="000000" w:themeColor="text1"/>
          <w:sz w:val="16"/>
          <w:szCs w:val="16"/>
        </w:rPr>
      </w:pPr>
      <w:r w:rsidRPr="00F90EAE">
        <w:rPr>
          <w:color w:val="000000" w:themeColor="text1"/>
          <w:sz w:val="16"/>
          <w:szCs w:val="16"/>
        </w:rPr>
        <w:t>с форсировкой</w:t>
      </w:r>
      <w:r w:rsidRPr="00F90EAE">
        <w:rPr>
          <w:color w:val="000000" w:themeColor="text1"/>
          <w:sz w:val="16"/>
          <w:szCs w:val="16"/>
        </w:rPr>
        <w:tab/>
        <w:t>1110 кг</w:t>
      </w:r>
    </w:p>
    <w:p w14:paraId="7F11393B" w14:textId="77777777" w:rsidR="00BD3ED4" w:rsidRPr="00F90EAE" w:rsidRDefault="00BD3ED4" w:rsidP="00F90EAE">
      <w:pPr>
        <w:pStyle w:val="216"/>
        <w:numPr>
          <w:ilvl w:val="9"/>
          <w:numId w:val="2"/>
        </w:numPr>
        <w:shd w:val="clear" w:color="auto" w:fill="auto"/>
        <w:tabs>
          <w:tab w:val="left" w:pos="1016"/>
          <w:tab w:val="right" w:pos="6847"/>
        </w:tabs>
        <w:spacing w:before="0" w:after="0" w:line="240" w:lineRule="auto"/>
        <w:ind w:firstLine="0"/>
        <w:jc w:val="both"/>
        <w:rPr>
          <w:color w:val="000000" w:themeColor="text1"/>
          <w:sz w:val="16"/>
          <w:szCs w:val="16"/>
        </w:rPr>
      </w:pPr>
      <w:r w:rsidRPr="00F90EAE">
        <w:rPr>
          <w:color w:val="000000" w:themeColor="text1"/>
          <w:sz w:val="16"/>
          <w:szCs w:val="16"/>
        </w:rPr>
        <w:t>Расход топлива на 1 кг тяги в час</w:t>
      </w:r>
      <w:r w:rsidRPr="00F90EAE">
        <w:rPr>
          <w:color w:val="000000" w:themeColor="text1"/>
          <w:sz w:val="16"/>
          <w:szCs w:val="16"/>
        </w:rPr>
        <w:tab/>
        <w:t>1,04—1,27</w:t>
      </w:r>
    </w:p>
    <w:p w14:paraId="52CD812C" w14:textId="77777777" w:rsidR="00BD3ED4" w:rsidRPr="00F90EAE" w:rsidRDefault="00BD3ED4" w:rsidP="00F90EAE">
      <w:pPr>
        <w:pStyle w:val="216"/>
        <w:numPr>
          <w:ilvl w:val="9"/>
          <w:numId w:val="2"/>
        </w:numPr>
        <w:shd w:val="clear" w:color="auto" w:fill="auto"/>
        <w:tabs>
          <w:tab w:val="left" w:pos="1008"/>
          <w:tab w:val="right" w:pos="6843"/>
        </w:tabs>
        <w:spacing w:before="0" w:after="0" w:line="240" w:lineRule="auto"/>
        <w:ind w:firstLine="0"/>
        <w:jc w:val="both"/>
        <w:rPr>
          <w:color w:val="000000" w:themeColor="text1"/>
          <w:sz w:val="16"/>
          <w:szCs w:val="16"/>
        </w:rPr>
      </w:pPr>
      <w:r w:rsidRPr="00F90EAE">
        <w:rPr>
          <w:color w:val="000000" w:themeColor="text1"/>
          <w:sz w:val="16"/>
          <w:szCs w:val="16"/>
        </w:rPr>
        <w:t>Вес двигателя</w:t>
      </w:r>
      <w:r w:rsidRPr="00F90EAE">
        <w:rPr>
          <w:color w:val="000000" w:themeColor="text1"/>
          <w:sz w:val="16"/>
          <w:szCs w:val="16"/>
        </w:rPr>
        <w:tab/>
        <w:t>1400 кг</w:t>
      </w:r>
    </w:p>
    <w:p w14:paraId="30E14ED3" w14:textId="77777777" w:rsidR="00BD3ED4" w:rsidRPr="00F90EAE" w:rsidRDefault="00BD3ED4" w:rsidP="00F90EAE">
      <w:pPr>
        <w:pStyle w:val="216"/>
        <w:numPr>
          <w:ilvl w:val="9"/>
          <w:numId w:val="2"/>
        </w:numPr>
        <w:shd w:val="clear" w:color="auto" w:fill="auto"/>
        <w:tabs>
          <w:tab w:val="left" w:pos="1000"/>
          <w:tab w:val="right" w:pos="6854"/>
        </w:tabs>
        <w:spacing w:before="0" w:after="0" w:line="240" w:lineRule="auto"/>
        <w:ind w:firstLine="0"/>
        <w:jc w:val="both"/>
        <w:rPr>
          <w:color w:val="000000" w:themeColor="text1"/>
          <w:sz w:val="16"/>
          <w:szCs w:val="16"/>
        </w:rPr>
      </w:pPr>
      <w:r w:rsidRPr="00F90EAE">
        <w:rPr>
          <w:color w:val="000000" w:themeColor="text1"/>
          <w:sz w:val="16"/>
          <w:szCs w:val="16"/>
        </w:rPr>
        <w:t>Диаметр двигателя</w:t>
      </w:r>
      <w:r w:rsidRPr="00F90EAE">
        <w:rPr>
          <w:color w:val="000000" w:themeColor="text1"/>
          <w:sz w:val="16"/>
          <w:szCs w:val="16"/>
        </w:rPr>
        <w:tab/>
        <w:t>1250 мм</w:t>
      </w:r>
    </w:p>
    <w:p w14:paraId="4E99C653" w14:textId="77777777" w:rsidR="00BD3ED4" w:rsidRPr="00F90EAE" w:rsidRDefault="00BD3ED4" w:rsidP="00F90EAE">
      <w:pPr>
        <w:pStyle w:val="216"/>
        <w:numPr>
          <w:ilvl w:val="9"/>
          <w:numId w:val="2"/>
        </w:numPr>
        <w:shd w:val="clear" w:color="auto" w:fill="auto"/>
        <w:tabs>
          <w:tab w:val="left" w:pos="992"/>
          <w:tab w:val="right" w:pos="6847"/>
        </w:tabs>
        <w:spacing w:before="0" w:after="0" w:line="240" w:lineRule="auto"/>
        <w:ind w:firstLine="0"/>
        <w:jc w:val="both"/>
        <w:rPr>
          <w:color w:val="000000" w:themeColor="text1"/>
          <w:sz w:val="16"/>
          <w:szCs w:val="16"/>
        </w:rPr>
      </w:pPr>
      <w:r w:rsidRPr="00F90EAE">
        <w:rPr>
          <w:color w:val="000000" w:themeColor="text1"/>
          <w:sz w:val="16"/>
          <w:szCs w:val="16"/>
        </w:rPr>
        <w:t>Длина двигателя</w:t>
      </w:r>
      <w:r w:rsidRPr="00F90EAE">
        <w:rPr>
          <w:color w:val="000000" w:themeColor="text1"/>
          <w:sz w:val="16"/>
          <w:szCs w:val="16"/>
        </w:rPr>
        <w:tab/>
        <w:t>3990 мм</w:t>
      </w:r>
    </w:p>
    <w:p w14:paraId="7C5A378A"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По заключению специалистов, анализ сравнительных данных свидетельст</w:t>
      </w:r>
      <w:r w:rsidRPr="00F90EAE">
        <w:rPr>
          <w:color w:val="000000" w:themeColor="text1"/>
          <w:sz w:val="16"/>
          <w:szCs w:val="16"/>
        </w:rPr>
        <w:softHyphen/>
        <w:t>вует о ряде преимуществ двигателя ТРД-7Б по отношению к немецким двига</w:t>
      </w:r>
      <w:r w:rsidRPr="00F90EAE">
        <w:rPr>
          <w:color w:val="000000" w:themeColor="text1"/>
          <w:sz w:val="16"/>
          <w:szCs w:val="16"/>
        </w:rPr>
        <w:softHyphen/>
        <w:t>телям ЮМО—004 и —003 и американским двигателям —180 и —40.</w:t>
      </w:r>
    </w:p>
    <w:p w14:paraId="2C119DB9"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Министерством внутренних дел СССР предложение по турбореактивному двигателю вместе с эскизным проектом было направлено на рассмотрение и заключение в Государственный научно-испытательный институт Военно-воз</w:t>
      </w:r>
      <w:r w:rsidRPr="00F90EAE">
        <w:rPr>
          <w:color w:val="000000" w:themeColor="text1"/>
          <w:sz w:val="16"/>
          <w:szCs w:val="16"/>
        </w:rPr>
        <w:softHyphen/>
        <w:t>душных Сил, который в своем заключении рекомендовал ТРД-7Б для оконча</w:t>
      </w:r>
      <w:r w:rsidRPr="00F90EAE">
        <w:rPr>
          <w:color w:val="000000" w:themeColor="text1"/>
          <w:sz w:val="16"/>
          <w:szCs w:val="16"/>
        </w:rPr>
        <w:softHyphen/>
        <w:t>тельной разработки и практической реализации.</w:t>
      </w:r>
    </w:p>
    <w:p w14:paraId="3ADC8DF6"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Для создания двигателя ТРД-7Б в короткие сроки необходима организация конструкторского бюро с мощной производственно-экспериментальной базой при кооперировании с крупным авиамоторным заводом.</w:t>
      </w:r>
    </w:p>
    <w:p w14:paraId="3A3EE258"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Докладывая Вам о проделанной работе по турбореактивному двигателю, полагал бы целесообразным поручить совместно Специальному комитету по реактивной технике при Совете Министров Союза ССР и Министерству внут</w:t>
      </w:r>
      <w:r w:rsidRPr="00F90EAE">
        <w:rPr>
          <w:color w:val="000000" w:themeColor="text1"/>
          <w:sz w:val="16"/>
          <w:szCs w:val="16"/>
        </w:rPr>
        <w:softHyphen/>
        <w:t>ренних дел Союза ССР рассмотреть предложение по двигателю ТРД-7Б и под</w:t>
      </w:r>
      <w:r w:rsidRPr="00F90EAE">
        <w:rPr>
          <w:color w:val="000000" w:themeColor="text1"/>
          <w:sz w:val="16"/>
          <w:szCs w:val="16"/>
        </w:rPr>
        <w:softHyphen/>
        <w:t>готовить проект решения Совета министров Союза ССР по его практической реализации.</w:t>
      </w:r>
    </w:p>
    <w:p w14:paraId="197E2ADB" w14:textId="77777777" w:rsidR="00BD3ED4" w:rsidRPr="00F90EAE" w:rsidRDefault="00BD3ED4" w:rsidP="00F90EAE">
      <w:pPr>
        <w:pStyle w:val="216"/>
        <w:shd w:val="clear" w:color="auto" w:fill="auto"/>
        <w:spacing w:before="0" w:after="0" w:line="240" w:lineRule="auto"/>
        <w:ind w:firstLine="0"/>
        <w:jc w:val="both"/>
        <w:rPr>
          <w:color w:val="000000" w:themeColor="text1"/>
          <w:sz w:val="16"/>
          <w:szCs w:val="16"/>
        </w:rPr>
      </w:pPr>
      <w:r w:rsidRPr="00F90EAE">
        <w:rPr>
          <w:rStyle w:val="16"/>
          <w:rFonts w:ascii="Times New Roman" w:cs="Times New Roman"/>
          <w:color w:val="000000" w:themeColor="text1"/>
          <w:spacing w:val="0"/>
        </w:rPr>
        <w:t>ПРИЛОЖЕНИЕ</w:t>
      </w:r>
      <w:r w:rsidRPr="00F90EAE">
        <w:rPr>
          <w:color w:val="000000" w:themeColor="text1"/>
          <w:sz w:val="16"/>
          <w:szCs w:val="16"/>
        </w:rPr>
        <w:t>: Альбом с описанием и характеристиками ТРД-7Б.</w:t>
      </w:r>
    </w:p>
    <w:p w14:paraId="183EC1B8" w14:textId="77777777" w:rsidR="00BD3ED4" w:rsidRPr="00F90EAE" w:rsidRDefault="00BD3ED4" w:rsidP="00F90EAE">
      <w:pPr>
        <w:pStyle w:val="216"/>
        <w:shd w:val="clear" w:color="auto" w:fill="auto"/>
        <w:tabs>
          <w:tab w:val="left" w:pos="6961"/>
        </w:tabs>
        <w:spacing w:before="0" w:after="0" w:line="240" w:lineRule="auto"/>
        <w:ind w:firstLine="0"/>
        <w:jc w:val="both"/>
        <w:rPr>
          <w:color w:val="000000" w:themeColor="text1"/>
          <w:sz w:val="16"/>
          <w:szCs w:val="16"/>
        </w:rPr>
      </w:pPr>
      <w:r w:rsidRPr="00F90EAE">
        <w:rPr>
          <w:color w:val="000000" w:themeColor="text1"/>
          <w:sz w:val="16"/>
          <w:szCs w:val="16"/>
        </w:rPr>
        <w:t>Министр внутренних дел СССР</w:t>
      </w:r>
      <w:r w:rsidRPr="00F90EAE">
        <w:rPr>
          <w:color w:val="000000" w:themeColor="text1"/>
          <w:sz w:val="16"/>
          <w:szCs w:val="16"/>
        </w:rPr>
        <w:tab/>
        <w:t>С.Круглов</w:t>
      </w:r>
    </w:p>
    <w:p w14:paraId="3A9A5F20" w14:textId="77777777" w:rsidR="00BD3ED4" w:rsidRPr="00F90EAE" w:rsidRDefault="00BD3ED4" w:rsidP="00F90EAE">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F90EAE">
        <w:rPr>
          <w:rFonts w:ascii="Times New Roman" w:hAnsi="Times New Roman" w:cs="Times New Roman"/>
          <w:color w:val="000000" w:themeColor="text1"/>
          <w:spacing w:val="0"/>
          <w:sz w:val="16"/>
          <w:szCs w:val="16"/>
        </w:rPr>
        <w:t xml:space="preserve">ГА РФ. Ф. Р-9401. </w:t>
      </w:r>
      <w:r w:rsidRPr="00F90EAE">
        <w:rPr>
          <w:rFonts w:ascii="Times New Roman" w:hAnsi="Times New Roman" w:cs="Times New Roman"/>
          <w:color w:val="000000" w:themeColor="text1"/>
          <w:spacing w:val="0"/>
          <w:sz w:val="16"/>
          <w:szCs w:val="16"/>
          <w:lang w:val="en-US"/>
        </w:rPr>
        <w:t>On</w:t>
      </w:r>
      <w:r w:rsidRPr="00F90EAE">
        <w:rPr>
          <w:rFonts w:ascii="Times New Roman" w:hAnsi="Times New Roman" w:cs="Times New Roman"/>
          <w:color w:val="000000" w:themeColor="text1"/>
          <w:spacing w:val="0"/>
          <w:sz w:val="16"/>
          <w:szCs w:val="16"/>
        </w:rPr>
        <w:t>. 2. Д. 136. Л. 204-205. Заверенная копия (19097).</w:t>
      </w:r>
    </w:p>
    <w:p w14:paraId="4F4019B4" w14:textId="77777777" w:rsidR="00BD3ED4" w:rsidRPr="00F90EAE" w:rsidRDefault="00BD3ED4" w:rsidP="00F90EAE">
      <w:pPr>
        <w:pStyle w:val="281"/>
        <w:shd w:val="clear" w:color="auto" w:fill="auto"/>
        <w:spacing w:after="0" w:line="240" w:lineRule="auto"/>
        <w:jc w:val="both"/>
        <w:rPr>
          <w:rFonts w:ascii="Times New Roman" w:hAnsi="Times New Roman" w:cs="Times New Roman"/>
          <w:color w:val="000000" w:themeColor="text1"/>
          <w:spacing w:val="0"/>
          <w:sz w:val="16"/>
          <w:szCs w:val="16"/>
        </w:rPr>
      </w:pPr>
    </w:p>
    <w:p w14:paraId="6926E86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4ADB0DA" w14:textId="77777777" w:rsidR="00665165" w:rsidRPr="00F90EAE" w:rsidRDefault="00665165" w:rsidP="00F90EAE">
      <w:pPr>
        <w:autoSpaceDE w:val="0"/>
        <w:autoSpaceDN w:val="0"/>
        <w:adjustRightInd w:val="0"/>
        <w:jc w:val="both"/>
        <w:rPr>
          <w:iCs/>
          <w:color w:val="000000" w:themeColor="text1"/>
          <w:sz w:val="16"/>
          <w:szCs w:val="16"/>
        </w:rPr>
      </w:pPr>
    </w:p>
    <w:p w14:paraId="666645F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мая 1945 вышло Распоряжение ГКО № 8660 [О мерах по обеспечению погрузки угля в каменноугольных бассейнах.] (7342, 54-55).</w:t>
      </w:r>
    </w:p>
    <w:p w14:paraId="7C977D2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A9529A" w14:textId="77777777" w:rsidR="00BD3ED4" w:rsidRPr="00F90EAE" w:rsidRDefault="00BD3ED4" w:rsidP="00F90EAE">
      <w:pPr>
        <w:jc w:val="both"/>
        <w:rPr>
          <w:color w:val="000000" w:themeColor="text1"/>
          <w:sz w:val="16"/>
          <w:szCs w:val="16"/>
        </w:rPr>
      </w:pPr>
      <w:r w:rsidRPr="00F90EAE">
        <w:rPr>
          <w:color w:val="000000" w:themeColor="text1"/>
          <w:sz w:val="16"/>
          <w:szCs w:val="16"/>
        </w:rPr>
        <w:t>18 мая 1945 в уже побежденную Германию выехала вторая группа под началом первого заместителя наркома боеприпасов П. Н. Горемыкина (19800).</w:t>
      </w:r>
    </w:p>
    <w:p w14:paraId="2CD2CD84" w14:textId="77777777" w:rsidR="00BD3ED4" w:rsidRPr="00F90EAE" w:rsidRDefault="00BD3ED4" w:rsidP="00F90EAE">
      <w:pPr>
        <w:jc w:val="both"/>
        <w:rPr>
          <w:color w:val="000000" w:themeColor="text1"/>
          <w:sz w:val="16"/>
          <w:szCs w:val="16"/>
        </w:rPr>
      </w:pPr>
    </w:p>
    <w:p w14:paraId="2E230630" w14:textId="77777777" w:rsidR="00007B5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0B132FC" w14:textId="77777777" w:rsidR="00007B5B" w:rsidRPr="00F90EAE" w:rsidRDefault="00007B5B" w:rsidP="00F90EAE">
      <w:pPr>
        <w:autoSpaceDE w:val="0"/>
        <w:autoSpaceDN w:val="0"/>
        <w:adjustRightInd w:val="0"/>
        <w:jc w:val="both"/>
        <w:rPr>
          <w:iCs/>
          <w:color w:val="000000" w:themeColor="text1"/>
          <w:sz w:val="16"/>
          <w:szCs w:val="16"/>
        </w:rPr>
      </w:pPr>
    </w:p>
    <w:p w14:paraId="78FDB553" w14:textId="77777777" w:rsidR="00007B5B" w:rsidRPr="00F90EAE" w:rsidRDefault="00007B5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 19 мая (1945)</w:t>
      </w:r>
      <w:r w:rsidRPr="00F90EAE">
        <w:rPr>
          <w:bCs/>
          <w:color w:val="000000" w:themeColor="text1"/>
          <w:sz w:val="16"/>
          <w:szCs w:val="16"/>
        </w:rPr>
        <w:t xml:space="preserve"> около 8 тыс. власовцев маршевой колонной с сохранением батальонно-ротной организации погнали на восток. При этом конвоирами беспощадно отбирались все мало-мальски ценные вещи, продукты питания и медикаменты, власовцы избивались пьяными красноармейцами и командирами Красной армии, периодически устраивались расстрелы «землячков» (17459).</w:t>
      </w:r>
    </w:p>
    <w:p w14:paraId="382231CE" w14:textId="77777777" w:rsidR="00007B5B" w:rsidRPr="00F90EAE" w:rsidRDefault="00007B5B" w:rsidP="00F90EAE">
      <w:pPr>
        <w:tabs>
          <w:tab w:val="left" w:pos="11199"/>
        </w:tabs>
        <w:autoSpaceDE w:val="0"/>
        <w:autoSpaceDN w:val="0"/>
        <w:adjustRightInd w:val="0"/>
        <w:jc w:val="both"/>
        <w:rPr>
          <w:color w:val="000000" w:themeColor="text1"/>
          <w:sz w:val="16"/>
          <w:szCs w:val="16"/>
        </w:rPr>
      </w:pPr>
    </w:p>
    <w:p w14:paraId="12DD8108" w14:textId="77777777" w:rsidR="00FC5427"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6ABD789" w14:textId="77777777" w:rsidR="00FC5427" w:rsidRPr="00F90EAE" w:rsidRDefault="00FC5427" w:rsidP="00F90EAE">
      <w:pPr>
        <w:autoSpaceDE w:val="0"/>
        <w:autoSpaceDN w:val="0"/>
        <w:adjustRightInd w:val="0"/>
        <w:jc w:val="both"/>
        <w:rPr>
          <w:iCs/>
          <w:color w:val="000000" w:themeColor="text1"/>
          <w:sz w:val="16"/>
          <w:szCs w:val="16"/>
        </w:rPr>
      </w:pPr>
    </w:p>
    <w:p w14:paraId="1978957D" w14:textId="77777777" w:rsidR="00FC5427" w:rsidRPr="00F90EAE" w:rsidRDefault="00FC5427" w:rsidP="00F90EAE">
      <w:pPr>
        <w:shd w:val="clear" w:color="auto" w:fill="FFFFFF"/>
        <w:jc w:val="both"/>
        <w:rPr>
          <w:color w:val="000000" w:themeColor="text1"/>
          <w:sz w:val="16"/>
          <w:szCs w:val="16"/>
        </w:rPr>
      </w:pPr>
      <w:r w:rsidRPr="00F90EAE">
        <w:rPr>
          <w:color w:val="000000" w:themeColor="text1"/>
          <w:sz w:val="16"/>
          <w:szCs w:val="16"/>
        </w:rPr>
        <w:t>18 мая 1945 года</w:t>
      </w:r>
      <w:r w:rsidRPr="00F90EAE">
        <w:rPr>
          <w:bCs/>
          <w:color w:val="000000" w:themeColor="text1"/>
          <w:sz w:val="16"/>
          <w:szCs w:val="16"/>
        </w:rPr>
        <w:t xml:space="preserve"> (</w:t>
      </w:r>
      <w:r w:rsidRPr="00F90EAE">
        <w:rPr>
          <w:bCs/>
          <w:iCs/>
          <w:color w:val="000000" w:themeColor="text1"/>
          <w:sz w:val="16"/>
          <w:szCs w:val="16"/>
        </w:rPr>
        <w:t>Елена Ржевская «Берлин, май 1945: Записки военного переводчика»):</w:t>
      </w:r>
    </w:p>
    <w:p w14:paraId="420B9368" w14:textId="77777777" w:rsidR="00FC5427" w:rsidRPr="00F90EAE" w:rsidRDefault="00FC5427" w:rsidP="00F90EAE">
      <w:pPr>
        <w:shd w:val="clear" w:color="auto" w:fill="FFFFFF"/>
        <w:jc w:val="both"/>
        <w:rPr>
          <w:color w:val="000000" w:themeColor="text1"/>
          <w:sz w:val="16"/>
          <w:szCs w:val="16"/>
        </w:rPr>
      </w:pPr>
      <w:r w:rsidRPr="00F90EAE">
        <w:rPr>
          <w:bCs/>
          <w:color w:val="000000" w:themeColor="text1"/>
          <w:sz w:val="16"/>
          <w:szCs w:val="16"/>
        </w:rPr>
        <w:t xml:space="preserve">…к этому времени мы передислоцировались в небольшой городок неподалеку от Берлина – сюда прибыл из Москвы присланный Ставкой генерал, чтобы проверить на месте все данные о самоубийстве Гитлера и с личным докладом вернуться в Ставку. Началось переосвидетельствование. Заново опрашивались все главные свидетели. Я переводила. Генерал все изучал, задавал вопросы, внимательно слушал. Протоколы не подписывал, но в перерывах по аппарату ВЧ передавал в Ставку слово за словом текст протокола. На исходе второго дня этого ответственного расследования – кульминация. Представьте себе: маленький городок, мягкое освещение предвечернего часа. И странную процессию, двинувшуюся к окраинной черте города. На окраине, в реденьком леске в комендантский час, когда можно было не опасаться соглядатаев из здешних горожан, были преданы земле перевезенные из Буха ящики с останками и скрытно выставлен круглосуточный пост. Майор Быстров шел впереди, указывая путь. За ним – генерал – Верховная инспекция, так сказать. Это его глазами, доверенного лица, решил Верховный Главнокомандующий </w:t>
      </w:r>
      <w:r w:rsidRPr="00F90EAE">
        <w:rPr>
          <w:bCs/>
          <w:color w:val="000000" w:themeColor="text1"/>
          <w:sz w:val="16"/>
          <w:szCs w:val="16"/>
        </w:rPr>
        <w:lastRenderedPageBreak/>
        <w:t>удостовериться во всем досконально. Дальше – несколько человек военных. Затем – дантисты Гитлера: Кете Хойзерман и зубной техник Фриц Эхтман, эсэсовец из личной охраны фюрера – Гарри Менгерсхаузен и другие. Почти не переговариваясь, мы медленно идем, испытывая гнет предстоящего, от сближения с таинственным, чем всегда обозначена смерть. Наконец входим в лесок. Ящики уже извлечены из земли. Составляется снова акт. Все мы, присутствующие, немцы и советские военные, кроме генерала, подписываем его. Акт, составленный в присутствии его посланца, предназначен для Сталина. Материал расследования и неопровержимое доказательство смерти Гитлера – челюсти – вскоре были отправлены в Москву (17459).</w:t>
      </w:r>
    </w:p>
    <w:p w14:paraId="5122E30F" w14:textId="77777777" w:rsidR="00FC5427" w:rsidRPr="00F90EAE" w:rsidRDefault="00FC5427" w:rsidP="00F90EAE">
      <w:pPr>
        <w:autoSpaceDE w:val="0"/>
        <w:autoSpaceDN w:val="0"/>
        <w:adjustRightInd w:val="0"/>
        <w:jc w:val="both"/>
        <w:rPr>
          <w:color w:val="000000" w:themeColor="text1"/>
          <w:sz w:val="16"/>
          <w:szCs w:val="16"/>
        </w:rPr>
      </w:pPr>
    </w:p>
    <w:p w14:paraId="426D8DF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FEC1C8F" w14:textId="77777777" w:rsidR="00665165" w:rsidRPr="00F90EAE" w:rsidRDefault="00665165" w:rsidP="00F90EAE">
      <w:pPr>
        <w:autoSpaceDE w:val="0"/>
        <w:autoSpaceDN w:val="0"/>
        <w:adjustRightInd w:val="0"/>
        <w:jc w:val="both"/>
        <w:rPr>
          <w:iCs/>
          <w:color w:val="000000" w:themeColor="text1"/>
          <w:sz w:val="16"/>
          <w:szCs w:val="16"/>
        </w:rPr>
      </w:pPr>
    </w:p>
    <w:p w14:paraId="01300EA2" w14:textId="77777777" w:rsidR="00102C23" w:rsidRPr="00F90EAE" w:rsidRDefault="00102C23" w:rsidP="00F90EAE">
      <w:pPr>
        <w:jc w:val="both"/>
        <w:rPr>
          <w:color w:val="0070C0"/>
          <w:sz w:val="16"/>
          <w:szCs w:val="16"/>
        </w:rPr>
      </w:pPr>
      <w:r w:rsidRPr="00F90EAE">
        <w:rPr>
          <w:color w:val="0070C0"/>
          <w:sz w:val="16"/>
          <w:szCs w:val="16"/>
        </w:rPr>
        <w:t>18 мая 1945 на британском авианосце случился случайный пожар в ангаре. Корсар ударил Avenger, который взрывается, вызывая пожар, уничтожающий 28 самолетов (20371).</w:t>
      </w:r>
    </w:p>
    <w:p w14:paraId="2BAE0218" w14:textId="77777777" w:rsidR="00102C23" w:rsidRPr="00F90EAE" w:rsidRDefault="00102C23" w:rsidP="00F90EAE">
      <w:pPr>
        <w:jc w:val="both"/>
        <w:rPr>
          <w:color w:val="0070C0"/>
          <w:sz w:val="16"/>
          <w:szCs w:val="16"/>
        </w:rPr>
      </w:pPr>
    </w:p>
    <w:p w14:paraId="2010A65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мая 1945 немецкий адмирал Дениц издал декрет, в котором заявил о непричастности германской армии к зверствам в концлагерях (4962).</w:t>
      </w:r>
    </w:p>
    <w:p w14:paraId="39CB26E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1A08C6A" w14:textId="77777777" w:rsidR="00007B5B" w:rsidRPr="00F90EAE" w:rsidRDefault="00007B5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мая 1945 г. в Прагу из изгнания вернулся президент Чехословакии Эдуард Бенеш. На следующий день 19 мая 1945 г. он декретом президента национализировал собственность немецких и венгерских компаний, а также собственность чехословацких предпринимателей, сотрудничавших с немцами (17459).</w:t>
      </w:r>
    </w:p>
    <w:p w14:paraId="47379B32" w14:textId="77777777" w:rsidR="00007B5B" w:rsidRPr="00F90EAE" w:rsidRDefault="00007B5B" w:rsidP="00F90EAE">
      <w:pPr>
        <w:tabs>
          <w:tab w:val="left" w:pos="11199"/>
        </w:tabs>
        <w:autoSpaceDE w:val="0"/>
        <w:autoSpaceDN w:val="0"/>
        <w:adjustRightInd w:val="0"/>
        <w:jc w:val="both"/>
        <w:rPr>
          <w:color w:val="000000" w:themeColor="text1"/>
          <w:sz w:val="16"/>
          <w:szCs w:val="16"/>
        </w:rPr>
      </w:pPr>
    </w:p>
    <w:p w14:paraId="3B499B1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1CF979A" w14:textId="77777777" w:rsidR="00665165" w:rsidRPr="00F90EAE" w:rsidRDefault="00665165" w:rsidP="00F90EAE">
      <w:pPr>
        <w:autoSpaceDE w:val="0"/>
        <w:autoSpaceDN w:val="0"/>
        <w:adjustRightInd w:val="0"/>
        <w:jc w:val="both"/>
        <w:rPr>
          <w:iCs/>
          <w:color w:val="000000" w:themeColor="text1"/>
          <w:sz w:val="16"/>
          <w:szCs w:val="16"/>
        </w:rPr>
      </w:pPr>
    </w:p>
    <w:p w14:paraId="7B40A2BA" w14:textId="77777777" w:rsidR="00102C23" w:rsidRPr="00F90EAE" w:rsidRDefault="00102C23" w:rsidP="00F90EAE">
      <w:pPr>
        <w:jc w:val="both"/>
        <w:rPr>
          <w:color w:val="0070C0"/>
          <w:sz w:val="16"/>
          <w:szCs w:val="16"/>
        </w:rPr>
      </w:pPr>
      <w:r w:rsidRPr="00F90EAE">
        <w:rPr>
          <w:color w:val="0070C0"/>
          <w:sz w:val="16"/>
          <w:szCs w:val="16"/>
        </w:rPr>
        <w:t>19 мая 1945 сотрудники НИИ ГВФ докладывали начальнику Главно</w:t>
      </w:r>
      <w:r w:rsidRPr="00F90EAE">
        <w:rPr>
          <w:color w:val="0070C0"/>
          <w:sz w:val="16"/>
          <w:szCs w:val="16"/>
        </w:rPr>
        <w:softHyphen/>
        <w:t>го управления ГВФ Ф. А. Астахову:</w:t>
      </w:r>
    </w:p>
    <w:p w14:paraId="79AFB4D3" w14:textId="77777777" w:rsidR="00102C23" w:rsidRPr="00F90EAE" w:rsidRDefault="00102C23" w:rsidP="00F90EAE">
      <w:pPr>
        <w:jc w:val="both"/>
        <w:rPr>
          <w:color w:val="0070C0"/>
          <w:sz w:val="16"/>
          <w:szCs w:val="16"/>
        </w:rPr>
      </w:pPr>
      <w:r w:rsidRPr="00F90EAE">
        <w:rPr>
          <w:color w:val="0070C0"/>
          <w:sz w:val="16"/>
          <w:szCs w:val="16"/>
        </w:rPr>
        <w:t>«Ил-4 из условий центровки по</w:t>
      </w:r>
      <w:r w:rsidRPr="00F90EAE">
        <w:rPr>
          <w:color w:val="0070C0"/>
          <w:sz w:val="16"/>
          <w:szCs w:val="16"/>
        </w:rPr>
        <w:softHyphen/>
        <w:t>зволяет использовать для загрузки только 6 кубических метров получен</w:t>
      </w:r>
      <w:r w:rsidRPr="00F90EAE">
        <w:rPr>
          <w:color w:val="0070C0"/>
          <w:sz w:val="16"/>
          <w:szCs w:val="16"/>
        </w:rPr>
        <w:softHyphen/>
        <w:t>ного объема, вследствие чего ком</w:t>
      </w:r>
      <w:r w:rsidRPr="00F90EAE">
        <w:rPr>
          <w:color w:val="0070C0"/>
          <w:sz w:val="16"/>
          <w:szCs w:val="16"/>
        </w:rPr>
        <w:softHyphen/>
        <w:t>мерческая нагрузка может быть уста</w:t>
      </w:r>
      <w:r w:rsidRPr="00F90EAE">
        <w:rPr>
          <w:color w:val="0070C0"/>
          <w:sz w:val="16"/>
          <w:szCs w:val="16"/>
        </w:rPr>
        <w:softHyphen/>
        <w:t>новлена не свыше 1800 кг.</w:t>
      </w:r>
    </w:p>
    <w:p w14:paraId="64B8FB36" w14:textId="77777777" w:rsidR="00102C23" w:rsidRPr="00F90EAE" w:rsidRDefault="00102C23" w:rsidP="00F90EAE">
      <w:pPr>
        <w:jc w:val="both"/>
        <w:rPr>
          <w:color w:val="0070C0"/>
          <w:sz w:val="16"/>
          <w:szCs w:val="16"/>
        </w:rPr>
      </w:pPr>
      <w:r w:rsidRPr="00F90EAE">
        <w:rPr>
          <w:color w:val="0070C0"/>
          <w:sz w:val="16"/>
          <w:szCs w:val="16"/>
        </w:rPr>
        <w:t>Поэтому производительность самолета в тонно-километрах сравнительно невелика при очень высо</w:t>
      </w:r>
      <w:r w:rsidRPr="00F90EAE">
        <w:rPr>
          <w:color w:val="0070C0"/>
          <w:sz w:val="16"/>
          <w:szCs w:val="16"/>
        </w:rPr>
        <w:softHyphen/>
        <w:t>ком расходе горючего.</w:t>
      </w:r>
    </w:p>
    <w:p w14:paraId="278A2A80" w14:textId="77777777" w:rsidR="00102C23" w:rsidRPr="00F90EAE" w:rsidRDefault="00102C23" w:rsidP="00F90EAE">
      <w:pPr>
        <w:jc w:val="both"/>
        <w:rPr>
          <w:color w:val="0070C0"/>
          <w:sz w:val="16"/>
          <w:szCs w:val="16"/>
        </w:rPr>
      </w:pPr>
      <w:r w:rsidRPr="00F90EAE">
        <w:rPr>
          <w:color w:val="0070C0"/>
          <w:sz w:val="16"/>
          <w:szCs w:val="16"/>
        </w:rPr>
        <w:t>Кроме этого, пилотировать самолет затрудни</w:t>
      </w:r>
      <w:r w:rsidRPr="00F90EAE">
        <w:rPr>
          <w:color w:val="0070C0"/>
          <w:sz w:val="16"/>
          <w:szCs w:val="16"/>
        </w:rPr>
        <w:softHyphen/>
        <w:t>тельно из-за недостаточной устойчивости его, что является причиной большого количества катастроф, моторная группа самолета несовершенна — ресурс моторов не превышает 100 часов из-за его дефектов.</w:t>
      </w:r>
    </w:p>
    <w:p w14:paraId="7A8D28D8" w14:textId="77777777" w:rsidR="00102C23" w:rsidRPr="00F90EAE" w:rsidRDefault="00102C23" w:rsidP="00F90EAE">
      <w:pPr>
        <w:jc w:val="both"/>
        <w:rPr>
          <w:color w:val="0070C0"/>
          <w:sz w:val="16"/>
          <w:szCs w:val="16"/>
        </w:rPr>
      </w:pPr>
      <w:r w:rsidRPr="00F90EAE">
        <w:rPr>
          <w:color w:val="0070C0"/>
          <w:sz w:val="16"/>
          <w:szCs w:val="16"/>
        </w:rPr>
        <w:t>Использование Ил-4 в ГВФ нецелесообразно» (23188).</w:t>
      </w:r>
    </w:p>
    <w:p w14:paraId="1464D717" w14:textId="77777777" w:rsidR="00102C23" w:rsidRPr="00F90EAE" w:rsidRDefault="00102C23" w:rsidP="00F90EAE">
      <w:pPr>
        <w:jc w:val="both"/>
        <w:rPr>
          <w:color w:val="0070C0"/>
          <w:sz w:val="16"/>
          <w:szCs w:val="16"/>
        </w:rPr>
      </w:pPr>
    </w:p>
    <w:p w14:paraId="63F7A5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А.Д.Перелет выполнил первый полет Ту-10 (68) с АМ-39ФНВ и заводские шли до 8 июня 1945 и летал Ф.Ф.Опадчий (4,182).</w:t>
      </w:r>
    </w:p>
    <w:p w14:paraId="2E837662" w14:textId="77777777" w:rsidR="00665165" w:rsidRPr="00F90EAE" w:rsidRDefault="00665165" w:rsidP="00F90EAE">
      <w:pPr>
        <w:autoSpaceDE w:val="0"/>
        <w:autoSpaceDN w:val="0"/>
        <w:adjustRightInd w:val="0"/>
        <w:jc w:val="both"/>
        <w:rPr>
          <w:color w:val="000000" w:themeColor="text1"/>
          <w:sz w:val="16"/>
          <w:szCs w:val="16"/>
        </w:rPr>
      </w:pPr>
    </w:p>
    <w:p w14:paraId="046149D9" w14:textId="77777777" w:rsidR="00637BF4" w:rsidRPr="00F90EAE" w:rsidRDefault="00637BF4" w:rsidP="00F90EAE">
      <w:pPr>
        <w:jc w:val="both"/>
        <w:rPr>
          <w:color w:val="000000" w:themeColor="text1"/>
          <w:sz w:val="16"/>
          <w:szCs w:val="16"/>
        </w:rPr>
      </w:pPr>
      <w:r w:rsidRPr="00F90EAE">
        <w:rPr>
          <w:bCs/>
          <w:color w:val="000000" w:themeColor="text1"/>
          <w:sz w:val="16"/>
          <w:szCs w:val="16"/>
        </w:rPr>
        <w:t>19 мая</w:t>
      </w:r>
      <w:r w:rsidRPr="00F90EAE">
        <w:rPr>
          <w:color w:val="000000" w:themeColor="text1"/>
          <w:sz w:val="16"/>
          <w:szCs w:val="16"/>
        </w:rPr>
        <w:t xml:space="preserve"> в 1945 году первый полет самолета </w:t>
      </w:r>
      <w:hyperlink r:id="rId123" w:tgtFrame="_blank" w:history="1">
        <w:r w:rsidRPr="00F90EAE">
          <w:rPr>
            <w:color w:val="000000" w:themeColor="text1"/>
            <w:sz w:val="16"/>
            <w:szCs w:val="16"/>
          </w:rPr>
          <w:t xml:space="preserve">«Ту-10» («АНТ-68») </w:t>
        </w:r>
      </w:hyperlink>
      <w:r w:rsidRPr="00F90EAE">
        <w:rPr>
          <w:color w:val="000000" w:themeColor="text1"/>
          <w:sz w:val="16"/>
          <w:szCs w:val="16"/>
        </w:rPr>
        <w:t>с двигателями «АМ-39ФНВ». Вобрав в себя все изменения, серийный «Ту-2» №16/20 превратился в середине мая в самолет "68" 2хАМ-39ФНВ. Летчик-испытатель А.Д.Перелет и ведущий инженер по испытаниям Б Н Гроздов впервые подняли машину в воздух Заводские испытания продолжались до 8 июня. Неделю на самолете устраняли выявленные дефекты, а 16 июня сдали НИИ ВВС на государственные испытания (14896).</w:t>
      </w:r>
    </w:p>
    <w:p w14:paraId="235ABECF" w14:textId="77777777" w:rsidR="00637BF4" w:rsidRPr="00F90EAE" w:rsidRDefault="00637BF4" w:rsidP="00F90EAE">
      <w:pPr>
        <w:jc w:val="both"/>
        <w:rPr>
          <w:color w:val="000000" w:themeColor="text1"/>
          <w:sz w:val="16"/>
          <w:szCs w:val="16"/>
        </w:rPr>
      </w:pPr>
    </w:p>
    <w:p w14:paraId="6B56CEC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в полете И-250 с ВРД на 6700 опять достигли скорости 809 км/час (первый раз 13 мая) и начали заводские испытания И-250 № 2 - с желто-красными полосами на борту (6471, 7).</w:t>
      </w:r>
    </w:p>
    <w:p w14:paraId="7C47C8B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8EBEA4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D875885" w14:textId="77777777" w:rsidR="00665165" w:rsidRPr="00F90EAE" w:rsidRDefault="00665165" w:rsidP="00F90EAE">
      <w:pPr>
        <w:autoSpaceDE w:val="0"/>
        <w:autoSpaceDN w:val="0"/>
        <w:adjustRightInd w:val="0"/>
        <w:jc w:val="both"/>
        <w:rPr>
          <w:iCs/>
          <w:color w:val="000000" w:themeColor="text1"/>
          <w:sz w:val="16"/>
          <w:szCs w:val="16"/>
        </w:rPr>
      </w:pPr>
    </w:p>
    <w:p w14:paraId="0C5BBF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г. приказом Наркомата тяжелого машиностроения СССР создан Государственный союзный институт по внедрению высокопроизводительной технологии и организации производства "Оргтяжмаш". Приказом Министерства транспортного и тяжелого машиностроения СССР от 30 сентября 1953 г. объединен с институтом Оргтрансмаш, ОТБ -6, отделами ВНИИСтройдормаш и ЦНИИ-138 в ВПТИ (12102).</w:t>
      </w:r>
    </w:p>
    <w:p w14:paraId="36BC7225" w14:textId="77777777" w:rsidR="00637BF4" w:rsidRPr="00F90EAE" w:rsidRDefault="00637BF4" w:rsidP="00F90EAE">
      <w:pPr>
        <w:autoSpaceDE w:val="0"/>
        <w:autoSpaceDN w:val="0"/>
        <w:adjustRightInd w:val="0"/>
        <w:jc w:val="both"/>
        <w:rPr>
          <w:color w:val="000000" w:themeColor="text1"/>
          <w:sz w:val="16"/>
          <w:szCs w:val="16"/>
        </w:rPr>
      </w:pPr>
    </w:p>
    <w:p w14:paraId="7673BF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8661. О дополнительном выделении бензина Главвоенпромстрою при СНК СССР во II кв. 1945 г. РГАНИР, Фонд ГКО, д. 418, лл. 56 (11012).</w:t>
      </w:r>
    </w:p>
    <w:p w14:paraId="51968957" w14:textId="77777777" w:rsidR="00665165" w:rsidRPr="00F90EAE" w:rsidRDefault="00665165" w:rsidP="00F90EAE">
      <w:pPr>
        <w:autoSpaceDE w:val="0"/>
        <w:autoSpaceDN w:val="0"/>
        <w:adjustRightInd w:val="0"/>
        <w:jc w:val="both"/>
        <w:rPr>
          <w:color w:val="000000" w:themeColor="text1"/>
          <w:sz w:val="16"/>
          <w:szCs w:val="16"/>
        </w:rPr>
      </w:pPr>
    </w:p>
    <w:p w14:paraId="171FA8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8662. О дополнительном выделении бензина ОГИЗ РСФСР во II кв. 1945 г. РГАНИР, Фонд ГКО, д. 418, лл. 57 (11012).</w:t>
      </w:r>
    </w:p>
    <w:p w14:paraId="349F2E50" w14:textId="77777777" w:rsidR="00665165" w:rsidRPr="00F90EAE" w:rsidRDefault="00665165" w:rsidP="00F90EAE">
      <w:pPr>
        <w:autoSpaceDE w:val="0"/>
        <w:autoSpaceDN w:val="0"/>
        <w:adjustRightInd w:val="0"/>
        <w:jc w:val="both"/>
        <w:rPr>
          <w:color w:val="000000" w:themeColor="text1"/>
          <w:sz w:val="16"/>
          <w:szCs w:val="16"/>
        </w:rPr>
      </w:pPr>
    </w:p>
    <w:p w14:paraId="59C073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8663. О размещении КБ № 1 НКБ и опытного производства на площадях бывшего завода № 775 НКБ. РГАНИР, Фонд ГКО, д. 418, лл. 58 (11012).</w:t>
      </w:r>
    </w:p>
    <w:p w14:paraId="4724770B" w14:textId="77777777" w:rsidR="00665165" w:rsidRPr="00F90EAE" w:rsidRDefault="00665165" w:rsidP="00F90EAE">
      <w:pPr>
        <w:autoSpaceDE w:val="0"/>
        <w:autoSpaceDN w:val="0"/>
        <w:adjustRightInd w:val="0"/>
        <w:jc w:val="both"/>
        <w:rPr>
          <w:color w:val="000000" w:themeColor="text1"/>
          <w:sz w:val="16"/>
          <w:szCs w:val="16"/>
        </w:rPr>
      </w:pPr>
    </w:p>
    <w:p w14:paraId="5CF7B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8664. О реэвакуации в Ленинград ОКБ № 43 НКВ. РГАНИР, Фонд ГКО, д. 418, лл. 59 (11012).</w:t>
      </w:r>
    </w:p>
    <w:p w14:paraId="27402FFC" w14:textId="77777777" w:rsidR="00665165" w:rsidRPr="00F90EAE" w:rsidRDefault="00665165" w:rsidP="00F90EAE">
      <w:pPr>
        <w:autoSpaceDE w:val="0"/>
        <w:autoSpaceDN w:val="0"/>
        <w:adjustRightInd w:val="0"/>
        <w:jc w:val="both"/>
        <w:rPr>
          <w:color w:val="000000" w:themeColor="text1"/>
          <w:sz w:val="16"/>
          <w:szCs w:val="16"/>
        </w:rPr>
      </w:pPr>
    </w:p>
    <w:p w14:paraId="647D9C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8665. Об изготовлении и поставке понтонов для НКВМФ в июне и июле 1945 г. РГАНИР, Фонд ГКО, д. 418, лл. 60 (11012).</w:t>
      </w:r>
    </w:p>
    <w:p w14:paraId="41E23A4C" w14:textId="77777777" w:rsidR="00665165" w:rsidRPr="00F90EAE" w:rsidRDefault="00665165" w:rsidP="00F90EAE">
      <w:pPr>
        <w:autoSpaceDE w:val="0"/>
        <w:autoSpaceDN w:val="0"/>
        <w:adjustRightInd w:val="0"/>
        <w:jc w:val="both"/>
        <w:rPr>
          <w:color w:val="000000" w:themeColor="text1"/>
          <w:sz w:val="16"/>
          <w:szCs w:val="16"/>
        </w:rPr>
      </w:pPr>
    </w:p>
    <w:p w14:paraId="1EE346E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8666 [О передаче треста "Чкаловуголь" НКМТП РСФСР.] (7342, 61).</w:t>
      </w:r>
    </w:p>
    <w:p w14:paraId="10240F3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267ADA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вышло Распоряжение ГКО № 8667 [Об обеспечении жилищного строительства в Подмосковном угольном бассейне железнодорожным транспортом и лошадьми.] (7342, 62).</w:t>
      </w:r>
    </w:p>
    <w:p w14:paraId="6E7CE9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91F88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1945 вышло Постановление ГКО № 8668 Об изготовлении опытной и серийной партии ручных противотанковых гранатометов и гранат к ним. РГАНИР, Фонд ГКО, д. 418, лл. 63-65, 66 (11012).</w:t>
      </w:r>
    </w:p>
    <w:p w14:paraId="59C52B35" w14:textId="77777777" w:rsidR="00665165" w:rsidRPr="00F90EAE" w:rsidRDefault="00665165" w:rsidP="00F90EAE">
      <w:pPr>
        <w:autoSpaceDE w:val="0"/>
        <w:autoSpaceDN w:val="0"/>
        <w:adjustRightInd w:val="0"/>
        <w:jc w:val="both"/>
        <w:rPr>
          <w:color w:val="000000" w:themeColor="text1"/>
          <w:sz w:val="16"/>
          <w:szCs w:val="16"/>
        </w:rPr>
      </w:pPr>
    </w:p>
    <w:p w14:paraId="7C1788B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вышло Постановление ГКО № 8669 Об отгрузке угля в госрезерв для закладки на железных дорогах Востока. (7342, 67-68,69-70).</w:t>
      </w:r>
    </w:p>
    <w:p w14:paraId="2DE5977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BF1BF1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43C10DF" w14:textId="77777777" w:rsidR="00665165" w:rsidRPr="00F90EAE" w:rsidRDefault="00665165" w:rsidP="00F90EAE">
      <w:pPr>
        <w:autoSpaceDE w:val="0"/>
        <w:autoSpaceDN w:val="0"/>
        <w:adjustRightInd w:val="0"/>
        <w:jc w:val="both"/>
        <w:rPr>
          <w:iCs/>
          <w:color w:val="000000" w:themeColor="text1"/>
          <w:sz w:val="16"/>
          <w:szCs w:val="16"/>
        </w:rPr>
      </w:pPr>
    </w:p>
    <w:p w14:paraId="6F60141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дебютировал в большом футболе Всеволод Бобров (4962).</w:t>
      </w:r>
    </w:p>
    <w:p w14:paraId="53F0022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98FBB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 мая 1944 НКВД в соответствии с постановлением ГКО N 7946 сс от 29 марта 1945 издал приказ N 00540 и увеличили калорийность на 524-775 кал. (3428).</w:t>
      </w:r>
    </w:p>
    <w:p w14:paraId="5A0AD1D4" w14:textId="77777777" w:rsidR="00665165" w:rsidRPr="00F90EAE" w:rsidRDefault="00665165" w:rsidP="00F90EAE">
      <w:pPr>
        <w:autoSpaceDE w:val="0"/>
        <w:autoSpaceDN w:val="0"/>
        <w:adjustRightInd w:val="0"/>
        <w:jc w:val="both"/>
        <w:rPr>
          <w:color w:val="000000" w:themeColor="text1"/>
          <w:sz w:val="16"/>
          <w:szCs w:val="16"/>
        </w:rPr>
      </w:pPr>
    </w:p>
    <w:p w14:paraId="6C20A0F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ACCBDC3" w14:textId="77777777" w:rsidR="00665165" w:rsidRPr="00F90EAE" w:rsidRDefault="00665165" w:rsidP="00F90EAE">
      <w:pPr>
        <w:autoSpaceDE w:val="0"/>
        <w:autoSpaceDN w:val="0"/>
        <w:adjustRightInd w:val="0"/>
        <w:jc w:val="both"/>
        <w:rPr>
          <w:iCs/>
          <w:color w:val="000000" w:themeColor="text1"/>
          <w:sz w:val="16"/>
          <w:szCs w:val="16"/>
        </w:rPr>
      </w:pPr>
    </w:p>
    <w:p w14:paraId="5B98AFF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мая 1945 во Фленсбурге арестован идеолог нацистов Альфред Розенберг (4962).</w:t>
      </w:r>
    </w:p>
    <w:p w14:paraId="0BA46810"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38D78C" w14:textId="77777777" w:rsidR="00637BF4" w:rsidRPr="00F90EAE" w:rsidRDefault="00637BF4" w:rsidP="00F90EAE">
      <w:pPr>
        <w:jc w:val="both"/>
        <w:rPr>
          <w:color w:val="000000" w:themeColor="text1"/>
          <w:sz w:val="16"/>
          <w:szCs w:val="16"/>
        </w:rPr>
      </w:pPr>
      <w:r w:rsidRPr="00F90EAE">
        <w:rPr>
          <w:bCs/>
          <w:color w:val="000000" w:themeColor="text1"/>
          <w:sz w:val="16"/>
          <w:szCs w:val="16"/>
        </w:rPr>
        <w:t>19 мая</w:t>
      </w:r>
      <w:r w:rsidRPr="00F90EAE">
        <w:rPr>
          <w:color w:val="000000" w:themeColor="text1"/>
          <w:sz w:val="16"/>
          <w:szCs w:val="16"/>
        </w:rPr>
        <w:t xml:space="preserve"> в 1945 году президент Чехословакии Э.Бенеш издает декрет о введении национального управления промышленными предприятиями и банками, принадлежащих "немецким и венгерским промышленникам и предателям родины". Этот декрет - первый в целом ряду мероприятий, направленный на депортацию главных национальных меньшинств Чехословакии и конфискацию их собственности (14896).</w:t>
      </w:r>
    </w:p>
    <w:p w14:paraId="48B1F65E" w14:textId="77777777" w:rsidR="00637BF4" w:rsidRPr="00F90EAE" w:rsidRDefault="00637BF4" w:rsidP="00F90EAE">
      <w:pPr>
        <w:jc w:val="both"/>
        <w:rPr>
          <w:color w:val="000000" w:themeColor="text1"/>
          <w:sz w:val="16"/>
          <w:szCs w:val="16"/>
        </w:rPr>
      </w:pPr>
    </w:p>
    <w:p w14:paraId="6E454C30" w14:textId="77777777" w:rsidR="00FA59C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388B7AF" w14:textId="77777777" w:rsidR="00FA59CB" w:rsidRPr="00F90EAE" w:rsidRDefault="00FA59CB" w:rsidP="00F90EAE">
      <w:pPr>
        <w:autoSpaceDE w:val="0"/>
        <w:autoSpaceDN w:val="0"/>
        <w:adjustRightInd w:val="0"/>
        <w:jc w:val="both"/>
        <w:rPr>
          <w:iCs/>
          <w:color w:val="000000" w:themeColor="text1"/>
          <w:sz w:val="16"/>
          <w:szCs w:val="16"/>
        </w:rPr>
      </w:pPr>
    </w:p>
    <w:p w14:paraId="5EFBA44A"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20-м числам мая 1945 года наработки КБ опытного завода № 100 по новому танку, получившему шифр 257 (Объект 257) и индекс ИС-7, стали приобретать законченную форму. За основу для него коллектив инженеров под руководством ведущего конструктора П.П. Исакова взял проект модернизации ИС-6, который, впрочем, подвергся очень серьезной переработке. От ИС-6 остались сильно измененные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произошел пожар), электромеханическая трансмиссия (17209).</w:t>
      </w:r>
    </w:p>
    <w:p w14:paraId="76DAA47D"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lastRenderedPageBreak/>
        <w:t>Едва ли не главной задачей при разработке Объекта 257 коллектив завода №100 наметил значительное усиление бронирования. В виду того, что тактико-технические 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3CE5480C"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ее удалось за счет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расчетам, лоб корпуса нового танка не пробивался 122-мм пушкой БЛ-13 в упор.</w:t>
      </w:r>
    </w:p>
    <w:p w14:paraId="4309B8EB" w14:textId="77777777" w:rsidR="00FA59CB" w:rsidRPr="00F90EAE" w:rsidRDefault="00FA59CB" w:rsidP="00F90EAE">
      <w:pPr>
        <w:shd w:val="clear" w:color="auto" w:fill="FFFFFF"/>
        <w:jc w:val="both"/>
        <w:rPr>
          <w:color w:val="000000" w:themeColor="text1"/>
          <w:sz w:val="16"/>
          <w:szCs w:val="16"/>
        </w:rPr>
      </w:pPr>
      <w:r w:rsidRPr="00F90EAE">
        <w:rPr>
          <w:color w:val="000000" w:themeColor="text1"/>
          <w:sz w:val="16"/>
          <w:szCs w:val="16"/>
        </w:rPr>
        <w:t xml:space="preserve">Сравнение конструкций корпусов тяжелых танков. Даже Объект 701 и Объект 703 выглядели на фоне 257-го вчерашним днем </w:t>
      </w:r>
    </w:p>
    <w:p w14:paraId="6707F0ED"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Еще большим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снарядостойскость. На Объекте 257 было принято решение ходовую часть из корпуса убрать, а за счет этого нижние бортовые листы установить под рациональными углами. Это позволило 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36B2A0F8"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Еще большей проблемой стало то, что использовавшаяся на тот момент в советских тяжелых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7DD62102"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введен механический досылатель. Согласно расчетам, применение досылателя должно было увеличить скорострельность до 8–10 выстрелов в минуту. В июне 1945 года досылатель для БЛ-13–1 прошел испытания, на которых показал безотказную работу. В реальности орудие с ним достигло темпа стрельбы в 7–8 выстрелов в минуту.</w:t>
      </w:r>
    </w:p>
    <w:p w14:paraId="1ABD3E8B"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Башня, в которую ставилась эта пушка, вела свою родословную от ИС-6, но при этом и ее конструкция подверглась серьезным изменениям. Бронирование было усилено до уровня корпуса Объекта 257. Кроме того, несколько изменилась ее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691514DD" w14:textId="77777777" w:rsidR="00FA59CB" w:rsidRPr="00F90EAE" w:rsidRDefault="00FA59CB" w:rsidP="00F90EAE">
      <w:pPr>
        <w:pStyle w:val="ae"/>
        <w:shd w:val="clear" w:color="auto" w:fill="FFFFFF"/>
        <w:spacing w:before="0" w:after="0"/>
        <w:jc w:val="both"/>
        <w:rPr>
          <w:color w:val="000000" w:themeColor="text1"/>
          <w:sz w:val="16"/>
          <w:szCs w:val="16"/>
        </w:rPr>
      </w:pPr>
      <w:r w:rsidRPr="00F90EAE">
        <w:rPr>
          <w:color w:val="000000" w:themeColor="text1"/>
          <w:sz w:val="16"/>
          <w:szCs w:val="16"/>
        </w:rPr>
        <w:t>Согласно расчетам,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причем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(17209).</w:t>
      </w:r>
    </w:p>
    <w:p w14:paraId="68CE4F3B" w14:textId="77777777" w:rsidR="00FA59CB" w:rsidRPr="00F90EAE" w:rsidRDefault="00FA59CB" w:rsidP="00F90EAE">
      <w:pPr>
        <w:pStyle w:val="ae"/>
        <w:shd w:val="clear" w:color="auto" w:fill="FFFFFF"/>
        <w:spacing w:before="0" w:after="0"/>
        <w:jc w:val="both"/>
        <w:rPr>
          <w:color w:val="000000" w:themeColor="text1"/>
          <w:sz w:val="16"/>
          <w:szCs w:val="16"/>
        </w:rPr>
      </w:pPr>
    </w:p>
    <w:p w14:paraId="4DC26851"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К 20-м числам мая 1945 года наработки по новому танку, получившему шифр 257 (Объект 257) и индекс ИС-7 на заводе № 100, стали приобретать законченную форму. За основу для него коллектив инженеров под руководством ведущего конструктора П. П. Исакова взял проект модернизации ИС-6, который, впрочем, подвергся очень серьёзной переработке. От ИС-6 остались сильно изменённые корпус и башня, а также форма командирской башенки, люк механика-водителя и переработанный механизм поворота башни. С объекта 253 была позаимствована, несмотря на фиаско (на первом же выезде танка произошёл пожар), электромеханическая трансмиссия.</w:t>
      </w:r>
    </w:p>
    <w:p w14:paraId="3628DC1E"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Едва ли не главной задачей при разработке Объекта 257 коллектив завода №100 наметил значительное усиление бронирования. Ввиду того, что тактико-технические требования по массе оставались в пределах Объекта 701 (55 тонн), инженерам пришлось пойти на нестандартные решения. Основной движущей силой проекта были конструкторы Г. Н. Москвин и В. И. Таротько, те самые, которые придумали «щучий нос» и многие другие технические решения, оказавшие впоследствии влияние не только на советское, но на мировое танкостроение.</w:t>
      </w:r>
    </w:p>
    <w:p w14:paraId="58914BEE"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Толщина лобового листа корпуса выросла до 150 мм, при этом форма лба несколько изменилась. Исчезла маленькая ступенька в районе люка механика-водителя, которая была уязвимым местом. Ликвидировать её удалось за счёт небольшого изменения угла наклона листа, но поскольку толщина брони выросла, характеристики стойкости брони только улучшились. Корпус танка стал короче, что позволило скомпенсировать по весу утолщение брони. Масса корпуса, по сравнению с ИС-6, выросла с 21 всего до 23 тонн, а бронирование при этом стало значительно более мощным. Согласно расчётам, лоб корпуса нового танка не пробивался 122-мм пушкой БЛ-13 в упор.</w:t>
      </w:r>
    </w:p>
    <w:p w14:paraId="591ACBEA"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Ещё б</w:t>
      </w:r>
      <w:r w:rsidRPr="00F90EAE">
        <w:rPr>
          <w:bCs/>
          <w:iCs/>
          <w:color w:val="000000" w:themeColor="text1"/>
          <w:sz w:val="16"/>
          <w:szCs w:val="16"/>
        </w:rPr>
        <w:t>о</w:t>
      </w:r>
      <w:r w:rsidRPr="00F90EAE">
        <w:rPr>
          <w:color w:val="000000" w:themeColor="text1"/>
          <w:sz w:val="16"/>
          <w:szCs w:val="16"/>
        </w:rPr>
        <w:t>льшим изменениям оказалась подвергнута нижняя часть корпуса. Использование ходовой части с элементами, находящимися внутри корпуса, вынуждало инженеров делать как минимум часть бортовых листов прямыми. Это сильно усложняло форму бортов в районе ходовой части и снижало снарядостойкость. На Объекте 257 было принято решение ходовую часть из корпуса убрать, а за счёт этого нижние бортовые листы установить под рациональными углами. Это позволило сделать невозможным пробитие бортов нового танка немецкой 105-мм зенитной пушкой Flak 39 даже при стрельбе в упор, а заодно увеличило стойкость днища танка при подрыве на противотанковых минах. Правда, при этом усложнилась компоновка боевого отделения и моторно-трансмиссионного отделений.</w:t>
      </w:r>
    </w:p>
    <w:p w14:paraId="740DC3C5"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Ещё большей проблемой стало то, что использовавшаяся на тот момент в советских тяжёлых танках торсионная подвеска в танк с такой формой корпуса не вставлялась никак. Решением проблемы стало использование тележечной подвески на буферных пружинах в качестве упругих элементов. Это решение было подсмотрено на американском среднем танке M4A2. Правда, советская конструкция от оригинала отличалась довольно сильно.</w:t>
      </w:r>
    </w:p>
    <w:p w14:paraId="4F1C4EC2"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В качестве вооружения на Объекте 257 использовалась 122-мм пушка БЛ-13–1. От исходного варианта орудие отличалось тем, что в его конструкцию был введён механический досылатель. Согласно расчётам, применение досылателя должно было увеличить скорострельность до 8–10 выстрелов в минуту. В июне 1945 года досылатель для БЛ-13–1 прошёл испытания, на которых показал безотказную работу. В реальности орудие с ним достигло темпа стрельбы в 7–8 выстрелов в минуту.</w:t>
      </w:r>
    </w:p>
    <w:p w14:paraId="0C063B6D"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Башня, в которую ставилась эта пушка, вела свою родословную от ИС-6, но при этом и её конструкция подверглась серьёзным изменениям. Бронирование было усилено до уровня корпуса Объекта 257. Кроме того, несколько изменилась её форма. Как и в ИС-6, снаряды находились в кормовой нише, но теперь их разместили так, что укладка из 30 снарядов располагались максимально удобно для заряжающего.</w:t>
      </w:r>
    </w:p>
    <w:p w14:paraId="66227AFE" w14:textId="77777777" w:rsidR="00DF4EAD" w:rsidRPr="00F90EAE" w:rsidRDefault="00DF4EAD" w:rsidP="00F90EAE">
      <w:pPr>
        <w:shd w:val="clear" w:color="auto" w:fill="FFFFFF"/>
        <w:jc w:val="both"/>
        <w:rPr>
          <w:color w:val="000000" w:themeColor="text1"/>
          <w:sz w:val="16"/>
          <w:szCs w:val="16"/>
        </w:rPr>
      </w:pPr>
      <w:r w:rsidRPr="00F90EAE">
        <w:rPr>
          <w:color w:val="000000" w:themeColor="text1"/>
          <w:sz w:val="16"/>
          <w:szCs w:val="16"/>
        </w:rPr>
        <w:t>Согласно расчётам, танк с боевой массой около 55 тонн должен был развивать максимальную скорость 50 км/ч. Приводить его в движение должен был двигатель В-16, разработанный заводом №77. Это была попытка модернизации двигателя В-2, причём работы по нему шли как минимум с 1944 года. Подобно Объекту 253, двигатель был сблокирован с электромеханической трансмиссией. К слову, мощность мотора в проекте указана не была, судя по всему, от него ожидали примерно тех же характеристик, что и от В-12, устанавливавшийся в ИС-6 и Объект 701 (16735).</w:t>
      </w:r>
    </w:p>
    <w:p w14:paraId="53D55D88" w14:textId="77777777" w:rsidR="00DF4EAD" w:rsidRPr="00F90EAE" w:rsidRDefault="00DF4EAD" w:rsidP="00F90EAE">
      <w:pPr>
        <w:jc w:val="both"/>
        <w:rPr>
          <w:color w:val="000000" w:themeColor="text1"/>
          <w:sz w:val="16"/>
          <w:szCs w:val="16"/>
        </w:rPr>
      </w:pPr>
    </w:p>
    <w:p w14:paraId="3B71FC8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EF1A3E2" w14:textId="77777777" w:rsidR="00665165" w:rsidRPr="00F90EAE" w:rsidRDefault="00665165" w:rsidP="00F90EAE">
      <w:pPr>
        <w:autoSpaceDE w:val="0"/>
        <w:autoSpaceDN w:val="0"/>
        <w:adjustRightInd w:val="0"/>
        <w:jc w:val="both"/>
        <w:rPr>
          <w:iCs/>
          <w:color w:val="000000" w:themeColor="text1"/>
          <w:sz w:val="16"/>
          <w:szCs w:val="16"/>
        </w:rPr>
      </w:pPr>
    </w:p>
    <w:p w14:paraId="3728CA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мая 1945 г. начались летные испытания УИл-10 в НИИ ВВС, через четыре дня после поступления. За</w:t>
      </w:r>
      <w:r w:rsidRPr="00F90EAE">
        <w:rPr>
          <w:color w:val="000000" w:themeColor="text1"/>
          <w:sz w:val="16"/>
          <w:szCs w:val="16"/>
        </w:rPr>
        <w:softHyphen/>
        <w:t>вершили их 7 июня, после выполнения 31 полета. Ведущим инженером и одно</w:t>
      </w:r>
      <w:r w:rsidRPr="00F90EAE">
        <w:rPr>
          <w:color w:val="000000" w:themeColor="text1"/>
          <w:sz w:val="16"/>
          <w:szCs w:val="16"/>
        </w:rPr>
        <w:softHyphen/>
        <w:t>временно ведущим летчиком был капи</w:t>
      </w:r>
      <w:r w:rsidRPr="00F90EAE">
        <w:rPr>
          <w:color w:val="000000" w:themeColor="text1"/>
          <w:sz w:val="16"/>
          <w:szCs w:val="16"/>
        </w:rPr>
        <w:softHyphen/>
        <w:t>тан С.Г. Фролов. При полетном весе 5680 кг (вес пусто</w:t>
      </w:r>
      <w:r w:rsidRPr="00F90EAE">
        <w:rPr>
          <w:color w:val="000000" w:themeColor="text1"/>
          <w:sz w:val="16"/>
          <w:szCs w:val="16"/>
        </w:rPr>
        <w:softHyphen/>
        <w:t>го 4571 кг) УИл-10 показал максималь</w:t>
      </w:r>
      <w:r w:rsidRPr="00F90EAE">
        <w:rPr>
          <w:color w:val="000000" w:themeColor="text1"/>
          <w:sz w:val="16"/>
          <w:szCs w:val="16"/>
        </w:rPr>
        <w:softHyphen/>
        <w:t>ную скорость полета у земли 502 км/ч, на высоте 2500 м - 560 км/ч. Время на</w:t>
      </w:r>
      <w:r w:rsidRPr="00F90EAE">
        <w:rPr>
          <w:color w:val="000000" w:themeColor="text1"/>
          <w:sz w:val="16"/>
          <w:szCs w:val="16"/>
        </w:rPr>
        <w:softHyphen/>
        <w:t>бора высоты 1000 м составило 1,5 мин, а 3000 м-4,8 мин. В выводах отчета по испытаниям ука</w:t>
      </w:r>
      <w:r w:rsidRPr="00F90EAE">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F90EAE">
        <w:rPr>
          <w:color w:val="000000" w:themeColor="text1"/>
          <w:sz w:val="16"/>
          <w:szCs w:val="16"/>
        </w:rPr>
        <w:softHyphen/>
        <w:t>рой кабины - от УИл-2. Однако обзор (особенно на посадке) у УИл-10 был ху</w:t>
      </w:r>
      <w:r w:rsidRPr="00F90EAE">
        <w:rPr>
          <w:color w:val="000000" w:themeColor="text1"/>
          <w:sz w:val="16"/>
          <w:szCs w:val="16"/>
        </w:rPr>
        <w:softHyphen/>
        <w:t>же, чем у боевого варианта. Поспешно оборудованное место инструктора име</w:t>
      </w:r>
      <w:r w:rsidRPr="00F90EAE">
        <w:rPr>
          <w:color w:val="000000" w:themeColor="text1"/>
          <w:sz w:val="16"/>
          <w:szCs w:val="16"/>
        </w:rPr>
        <w:softHyphen/>
        <w:t>ло много недостатков: «неудобно откры</w:t>
      </w:r>
      <w:r w:rsidRPr="00F90EAE">
        <w:rPr>
          <w:color w:val="000000" w:themeColor="text1"/>
          <w:sz w:val="16"/>
          <w:szCs w:val="16"/>
        </w:rPr>
        <w:softHyphen/>
        <w:t>вание и закрывание фонаря, нельзя от</w:t>
      </w:r>
      <w:r w:rsidRPr="00F90EAE">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F90EAE">
        <w:rPr>
          <w:color w:val="000000" w:themeColor="text1"/>
          <w:sz w:val="16"/>
          <w:szCs w:val="16"/>
        </w:rPr>
        <w:softHyphen/>
        <w:t>ны быть реализованы....Учитывая боль</w:t>
      </w:r>
      <w:r w:rsidRPr="00F90EAE">
        <w:rPr>
          <w:color w:val="000000" w:themeColor="text1"/>
          <w:sz w:val="16"/>
          <w:szCs w:val="16"/>
        </w:rPr>
        <w:softHyphen/>
        <w:t>шую потребность в УИл-10, считать не</w:t>
      </w:r>
      <w:r w:rsidRPr="00F90EAE">
        <w:rPr>
          <w:color w:val="000000" w:themeColor="text1"/>
          <w:sz w:val="16"/>
          <w:szCs w:val="16"/>
        </w:rPr>
        <w:softHyphen/>
        <w:t>обходимым их выпуск продолжать, по</w:t>
      </w:r>
      <w:r w:rsidRPr="00F90EAE">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F90EAE">
        <w:rPr>
          <w:color w:val="000000" w:themeColor="text1"/>
          <w:sz w:val="16"/>
          <w:szCs w:val="16"/>
        </w:rPr>
        <w:softHyphen/>
        <w:t>тания в ГК НИИ ВВС КА...» (10681).</w:t>
      </w:r>
    </w:p>
    <w:p w14:paraId="32F143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CC878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 мая по 7 июня 1945 в НИИ ВВС проходили гос. испытания учебного УИл-10 (7489).</w:t>
      </w:r>
    </w:p>
    <w:p w14:paraId="61B53BF7" w14:textId="77777777" w:rsidR="00665165" w:rsidRPr="00F90EAE" w:rsidRDefault="00665165" w:rsidP="00F90EAE">
      <w:pPr>
        <w:autoSpaceDE w:val="0"/>
        <w:autoSpaceDN w:val="0"/>
        <w:adjustRightInd w:val="0"/>
        <w:jc w:val="both"/>
        <w:rPr>
          <w:color w:val="000000" w:themeColor="text1"/>
          <w:sz w:val="16"/>
          <w:szCs w:val="16"/>
        </w:rPr>
      </w:pPr>
    </w:p>
    <w:p w14:paraId="00CA5291" w14:textId="77777777" w:rsidR="00637BF4" w:rsidRPr="00F90EAE" w:rsidRDefault="00637BF4" w:rsidP="00F90EAE">
      <w:pPr>
        <w:jc w:val="both"/>
        <w:rPr>
          <w:color w:val="000000" w:themeColor="text1"/>
          <w:sz w:val="16"/>
          <w:szCs w:val="16"/>
        </w:rPr>
      </w:pPr>
      <w:r w:rsidRPr="00F90EAE">
        <w:rPr>
          <w:bCs/>
          <w:color w:val="000000" w:themeColor="text1"/>
          <w:sz w:val="16"/>
          <w:szCs w:val="16"/>
        </w:rPr>
        <w:t>20 мая</w:t>
      </w:r>
      <w:r w:rsidRPr="00F90EAE">
        <w:rPr>
          <w:color w:val="000000" w:themeColor="text1"/>
          <w:sz w:val="16"/>
          <w:szCs w:val="16"/>
        </w:rPr>
        <w:t xml:space="preserve"> в 1945 году в ГК НИИ ВВС КА для проведения испытаний прибыл учебно-тренировочный самолёт </w:t>
      </w:r>
      <w:hyperlink r:id="rId124" w:tgtFrame="_blank" w:history="1">
        <w:r w:rsidRPr="00F90EAE">
          <w:rPr>
            <w:color w:val="000000" w:themeColor="text1"/>
            <w:sz w:val="16"/>
            <w:szCs w:val="16"/>
          </w:rPr>
          <w:t>«УИл-10» (14897).</w:t>
        </w:r>
      </w:hyperlink>
    </w:p>
    <w:p w14:paraId="6CCE445D" w14:textId="77777777" w:rsidR="00637BF4" w:rsidRPr="00F90EAE" w:rsidRDefault="00637BF4" w:rsidP="00F90EAE">
      <w:pPr>
        <w:jc w:val="both"/>
        <w:rPr>
          <w:color w:val="000000" w:themeColor="text1"/>
          <w:sz w:val="16"/>
          <w:szCs w:val="16"/>
        </w:rPr>
      </w:pPr>
    </w:p>
    <w:p w14:paraId="40218CC3"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20 мая 1945 года серийный самолет Ил-10 с пылефильтром «начальником 1 -го отдела УЗСиМ был отправлен на испытания в Ногинск, так как на нем установлена ВУ-9 с пушкой УБ-20» (17490).</w:t>
      </w:r>
    </w:p>
    <w:p w14:paraId="6221E649" w14:textId="77777777" w:rsidR="003605FA" w:rsidRPr="00F90EAE" w:rsidRDefault="003605FA" w:rsidP="00F90EAE">
      <w:pPr>
        <w:jc w:val="both"/>
        <w:rPr>
          <w:color w:val="000000" w:themeColor="text1"/>
          <w:sz w:val="16"/>
          <w:szCs w:val="16"/>
        </w:rPr>
      </w:pPr>
    </w:p>
    <w:p w14:paraId="498C6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мая 1945 года Н.М.Олехнович, Антон Иванович Исаев, его заместителем Ф.Г.Квасов прибыли в Германию. До этого Олехнович работал старшим научным сотрудником, начальником отдела в ЦИАМе. Его заместителем был назначен, а затем и исполняющим обязанности начальника, майор Алексей Евдокимович Свешников, работавший ранее на заводе №26 начальником отдела ОКБ. До своего прибытия в Германию А.И.Исаев работал начальником цеха на заводе №500 (8987).</w:t>
      </w:r>
    </w:p>
    <w:p w14:paraId="2AB315BD" w14:textId="77777777" w:rsidR="00665165" w:rsidRPr="00F90EAE" w:rsidRDefault="00665165" w:rsidP="00F90EAE">
      <w:pPr>
        <w:autoSpaceDE w:val="0"/>
        <w:autoSpaceDN w:val="0"/>
        <w:adjustRightInd w:val="0"/>
        <w:jc w:val="both"/>
        <w:rPr>
          <w:color w:val="000000" w:themeColor="text1"/>
          <w:sz w:val="16"/>
          <w:szCs w:val="16"/>
        </w:rPr>
      </w:pPr>
    </w:p>
    <w:p w14:paraId="3355BE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 мая 1945 года на основании приказа ГКО от № 9694сс при заводе № 290 было организовано ОКБ-290 (9515).</w:t>
      </w:r>
    </w:p>
    <w:p w14:paraId="7B71F36C" w14:textId="77777777" w:rsidR="00665165" w:rsidRPr="00F90EAE" w:rsidRDefault="00665165" w:rsidP="00F90EAE">
      <w:pPr>
        <w:autoSpaceDE w:val="0"/>
        <w:autoSpaceDN w:val="0"/>
        <w:adjustRightInd w:val="0"/>
        <w:jc w:val="both"/>
        <w:rPr>
          <w:color w:val="000000" w:themeColor="text1"/>
          <w:sz w:val="16"/>
          <w:szCs w:val="16"/>
        </w:rPr>
      </w:pPr>
    </w:p>
    <w:p w14:paraId="5D946E9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262A617" w14:textId="77777777" w:rsidR="00665165" w:rsidRPr="00F90EAE" w:rsidRDefault="00665165" w:rsidP="00F90EAE">
      <w:pPr>
        <w:autoSpaceDE w:val="0"/>
        <w:autoSpaceDN w:val="0"/>
        <w:adjustRightInd w:val="0"/>
        <w:jc w:val="both"/>
        <w:rPr>
          <w:iCs/>
          <w:color w:val="000000" w:themeColor="text1"/>
          <w:sz w:val="16"/>
          <w:szCs w:val="16"/>
        </w:rPr>
      </w:pPr>
    </w:p>
    <w:p w14:paraId="3D8A8C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20 мая 1945 г. в соответствии с постановлением ГКО были упразднены НКТП и НКМВ. Указом Президиума ВС СССР от 15.03.1946 г. СНК был реорганизован в СМ СССР, Наркоматы преобразованы в Министерства. В 1946-5 7 г. «кадровые» военные заводы сосредотачиваются в МАП, </w:t>
      </w:r>
      <w:r w:rsidRPr="00F90EAE">
        <w:rPr>
          <w:color w:val="000000" w:themeColor="text1"/>
          <w:sz w:val="16"/>
          <w:szCs w:val="16"/>
          <w:lang w:val="en-US"/>
        </w:rPr>
        <w:t>MB</w:t>
      </w:r>
      <w:r w:rsidRPr="00F90EAE">
        <w:rPr>
          <w:color w:val="000000" w:themeColor="text1"/>
          <w:sz w:val="16"/>
          <w:szCs w:val="16"/>
        </w:rPr>
        <w:t>, МОП (с 1953 г.), МСП и более-менее равномерно рассредоточиваются специальными «кустами» в гражданских министерствах: транспортного машиностроения (танковые и дизельные заводы), МСХМ (патронные, снарядные и трубочно-взрывательные заводы), тяжелого машиностроения, автотракторной промышленности, - в качестве головных предприятий частично законсервированных военно- промышленных производств: боеприпасов, минно-минометного вооружения, специальной автотранспортной и бронетанковой техники. Для организации работ по созданию ядерного оружия постановлением ГКО № 9887сс/оп от 20.08.1945 г. создается Спецкомитет при СМ СССР и 111 У в его подчинении. Постановлением СМ № 5744-2162 от 27.12.1949 г. образовано ВГУ при СМ СССР для руководства сырьевой базой атомной промышленности. Затем Указом Президиума ВС СССР от 2.04.1953 г. 111У и ВГУ объединены в МСМ, которому подчинены все предприятия атомной промышленности. В соответствии с постановлением СМ СССР № 1017-419сс от 13.05.1946 г. создается Спецкомитет по реактивной технике. Для организации работ по радиолокации и электронной технике в соответствии с постановлением СМ СССР № 1529-678сс от 10.07.1946 г. при СМ создается Комитет по радиолокации, головным министерством определено МПСС. Для координации работ по созданию системы ПВО в ~ 1950 г. образуется ТГУ. Постановлением № 3516-1465сс от 15.08.1949 г. СМ обязал министерства как можно быстрее завершить строительство и реконструкцию 54 заводов и 19 НИИ, специализированных на радиолокации. Указом ВС от 21.01.1954 г. и постановлением СМ № 134-74сс от 26.01.1954 г. создано МРТП, в котором сосредоточены заводы по радиоэлектронике. В 1950 г. в области радиоэлектроники работают 98 заводов, в 1955 г.- 156. Координацию деятельности министерств оборонных отраслей промышленности, МВД, МВС, МТБ в вопросах составления плана заказов на вооружение и боевую технику, организации НИР выполняло до 1952 г. Бюро по военно-промышленным и военным вопросам при СМ СССР, а затем созданная в 12.1957 г. на базе Спецкомитетов Комиссия Президиума СМ СССР по военно-промышленным вопросам (ВПК). В 1956 г. в системе МАП сосредотачивается 220 «кадровых» заводов, в МОП - 210, в МСП - 135, в МРТП - 216, всего- 781 «кадровый» завод. Кроме того, в данных министерствах действует 270 опытных заводов, КБ и НИИ.</w:t>
      </w:r>
    </w:p>
    <w:p w14:paraId="072AFA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Период с 1958 по 1965 г. характеризуется реформированием управления ВПК: управление серийными заводами осуществляется по территориальному принципу. В соответствии с законом «О дальнейшем совершенствовании организации управления промышленностью и строительством» от 10.05.1957 г. и постановлением СМ СССР от 12.1957 г. в конце 1957-начале 1958 г. министерства военной промышленности расформировываются (упразднено 25 союзных и союзно-республиканских министерств). Все КБ и НИИ вместе с опытными заводами советского ВПК передаются в ведение ГК: по авиационной технике, оборонной технике, по судостроению и радиоэлектронной технике. В 1964(1 )г. создан ГК по электронной технике. «Кадровые» серийные заводы переданы в ведение совнархозов (СНХ) 105 экономических административных районов. На 1.07.1960 г. в области радиоэлектроники работали 246 заводов в ведении Совнархозов, а также 34 опытных завода и 60 НИИ в ведении ГКРЭ.</w:t>
      </w:r>
    </w:p>
    <w:p w14:paraId="16D05A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1950-х-начале 1960-х г. структура ВПК определялась наличием шести основных группировок видов производства военной продукции. 1. Производство общевойсковых систем вооружения и боеприпасов. На 1.01.1962 г. в состав данного комплекса входили 134 предприятия (16 заводов по производству стрелкового оружия и патронов, 12 оптико-механических заводов, 12 артиллерийских заводов, 7 бронетанковых, 86 по производству элементов боеприпасов). Разработку новых образцов осуществляли 70 НИИ и КБ с опытными заводами. 2. Производство общей и специальной авиационной техники. На 1.01.1962 г. сюда входили 28 серийных авиационных заводов, 11 заводов по выпуску авиационных моторов и реактивных двигателей, 55 заводов занимались производством агрегатов, оборудования и приборов, 8 металлургических заводов. Разработку новых образцов авиатехники осуществляли 15 НИИ и 68 ОКБ. 3. Производство боевых надводных и подводных кораблей. На 1.01.1962 г. в состав данного комплекса входили 60 судостроительных и судоремонтных заводов и верфей, 32 завода судового машиностроения и приборостроения, 8 электромонтажных предприятий, 31 НИИ и КБ. 4. Производство радиоэлектронного военно- технического снаряжения. На 1.01.1962 г. в данный комплекс входили 256 серийных заводов (в т. ч. 33 завода радиодеталей, 13 заводов по выпуску полупроводниковых приборов, 24 завода по выпуску радиоаппаратуры, 16 телевизионных заводов, 8 заводов по выпуску приемно-усилительных радиоламп, 6 заводов по выпуску ЭЛТ). Разработку новых образцов осуществляли 163 НИИ, ОКБ и опытных завода. 5. Производство систем РКТ. На 1.01.1965 г. в состав данного комплекса входили 120 серийных заводов по выпуску ракетного вооружения и космической техники, 65 НИИ и ОКБ. 6. Производство ядерных и термоядерных боеприпасов. На начало 1960-х г. в состав атомной промышленности входило более 100 предприятий и организаций.</w:t>
      </w:r>
    </w:p>
    <w:p w14:paraId="523818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в начале1962 г., за исключением атомной отрасли, в состав ВПК входили 599 серийных заводов и 367 НИИ, ОКБ и опытных заводов. Эти предприятия рассматривались как «кадровые» военные заводы и организации и были объединены в так называемые «оборонные отрасли промышленности». Кроме них к производству военной продукции или ее компонентов постоянно привлекались более 800 предприятий «гражданских» министерств и ведомств. На 12.1964 г. в составе СНХ экономических районов действовало 694 оборонных предприятия, в ведении госкомитетов- 438 предприятий (ГКАТ- 88, ГКОТ- 79, ГКРЭ- 141, ГК по судостроению- 54, ГКЭТ- 76).</w:t>
      </w:r>
    </w:p>
    <w:p w14:paraId="4D074E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постановлением СМ СССР № 126-47 от 2.03.1965 г. «Об улучшении руководства оборонными отраслями промышленности» вновь были созданы союзные оборонные министерства. В 1965 г. действовало 1132 оборонных завода, в т.ч. в составе МАП - 192, МОП - 196, </w:t>
      </w:r>
      <w:r w:rsidRPr="00F90EAE">
        <w:rPr>
          <w:color w:val="000000" w:themeColor="text1"/>
          <w:sz w:val="16"/>
          <w:szCs w:val="16"/>
          <w:lang w:val="en-US"/>
        </w:rPr>
        <w:t>MOM</w:t>
      </w:r>
      <w:r w:rsidRPr="00F90EAE">
        <w:rPr>
          <w:color w:val="000000" w:themeColor="text1"/>
          <w:sz w:val="16"/>
          <w:szCs w:val="16"/>
        </w:rPr>
        <w:t xml:space="preserve"> - 62, МСП - 188, МРТП - 290, МЭП - 204.</w:t>
      </w:r>
      <w:r w:rsidRPr="00F90EAE">
        <w:rPr>
          <w:color w:val="000000" w:themeColor="text1"/>
          <w:sz w:val="16"/>
          <w:szCs w:val="16"/>
          <w:vertAlign w:val="superscript"/>
        </w:rPr>
        <w:t>92-99</w:t>
      </w:r>
    </w:p>
    <w:p w14:paraId="2C6607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1966 г. были упразднены «номерные» обозначения предприятий, они получили открытые названия и условное наименование «почтовых ящиков», номера которых вначале совпадали с бывшим номером предприятия.</w:t>
      </w:r>
    </w:p>
    <w:p w14:paraId="614CD9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середины 1960-х г. в основе структуры оборонного комплекса лежал принцип «пирамиды», в соответствии с которым на верхнем уровне находились головные сборочные предприятия, обеспечивающие выпуск главного военного изделия. Ниже находились предприятия, поставляющие основные узлы, агрегаты и комплектующие; еще ниже- базовые предприятия добывающей промышленности, ответственные за поставку энергоресурсов, сырья и материалов. Для каждого вида военной техники существовала своя «пирамида», все они были независимыми друг от друга и от других секторов экономики. Внутри «пирамиды» существовали жесткие технологические связи и единое централизованное руководство. Этот принцип способствовал повышению ответственности, позволял эффективно контролировать состояние разработок, производства и поставок вооружений. Такая структура позволила резко наращивать темпы выпуска вооружений и военной техники в годы войны. Но к середине 1960-х г. отраслевая система управления перестала удовлетворять требованиям научно-технического прогресса и задачам обороны страны. Отраслевой подход приводил к образованию диспропорций между отдельными видами вооружений, несоответствию между боевыми и обеспечивающими принципами. Дублировались многие НИОКР, недостаточно оперативно внедрялись достижения научно-технического прогресса, затягивались сроки поставок новых систем вооружений, отсутствовало прогнозирование единого оперативно-стратегического плана развития вооружения. В результате 10.06.1969 г. было принято Постановление СМ СССР № 433-157 «О дальнейшем улучшении планирования развития вооружения и военной техники», и начался переход к программно- целевому планированию развития ВиВТ.</w:t>
      </w:r>
      <w:r w:rsidRPr="00F90EAE">
        <w:rPr>
          <w:color w:val="000000" w:themeColor="text1"/>
          <w:sz w:val="16"/>
          <w:szCs w:val="16"/>
          <w:vertAlign w:val="superscript"/>
        </w:rPr>
        <w:t>101</w:t>
      </w:r>
    </w:p>
    <w:p w14:paraId="5C5197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Далее предприятия ВПК были сосредоточены в 9 министерствах, т.н. «девятке»: МАП, </w:t>
      </w:r>
      <w:r w:rsidRPr="00F90EAE">
        <w:rPr>
          <w:color w:val="000000" w:themeColor="text1"/>
          <w:sz w:val="16"/>
          <w:szCs w:val="16"/>
          <w:lang w:val="en-US"/>
        </w:rPr>
        <w:t>MM</w:t>
      </w:r>
      <w:r w:rsidRPr="00F90EAE">
        <w:rPr>
          <w:color w:val="000000" w:themeColor="text1"/>
          <w:sz w:val="16"/>
          <w:szCs w:val="16"/>
        </w:rPr>
        <w:t xml:space="preserve">, </w:t>
      </w:r>
      <w:r w:rsidRPr="00F90EAE">
        <w:rPr>
          <w:color w:val="000000" w:themeColor="text1"/>
          <w:sz w:val="16"/>
          <w:szCs w:val="16"/>
          <w:lang w:val="en-US"/>
        </w:rPr>
        <w:t>MOM</w:t>
      </w:r>
      <w:r w:rsidRPr="00F90EAE">
        <w:rPr>
          <w:color w:val="000000" w:themeColor="text1"/>
          <w:sz w:val="16"/>
          <w:szCs w:val="16"/>
        </w:rPr>
        <w:t xml:space="preserve">, МОП, МПСС, МРП, МСМ, МСП, МЭП. К концу 1970-х г. в их ведении находилось 1770 предприятий, около 450 НИИ и 250 ОКБ. В 1988 г. в ВПК передано 240 предприятий легкой и пищевой промышленности. К концу 1991 г. в системе МАП был 131 серийный завод и 133 предприятия по разработке и испытаниям </w:t>
      </w:r>
      <w:r w:rsidRPr="00F90EAE">
        <w:rPr>
          <w:color w:val="000000" w:themeColor="text1"/>
          <w:sz w:val="16"/>
          <w:szCs w:val="16"/>
          <w:lang w:val="en-US"/>
        </w:rPr>
        <w:t>J</w:t>
      </w:r>
      <w:r w:rsidRPr="00F90EAE">
        <w:rPr>
          <w:color w:val="000000" w:themeColor="text1"/>
          <w:sz w:val="16"/>
          <w:szCs w:val="16"/>
        </w:rPr>
        <w:t>1</w:t>
      </w:r>
      <w:r w:rsidRPr="00F90EAE">
        <w:rPr>
          <w:color w:val="000000" w:themeColor="text1"/>
          <w:sz w:val="16"/>
          <w:szCs w:val="16"/>
          <w:lang w:val="en-US"/>
        </w:rPr>
        <w:t>A</w:t>
      </w:r>
      <w:r w:rsidRPr="00F90EAE">
        <w:rPr>
          <w:color w:val="000000" w:themeColor="text1"/>
          <w:sz w:val="16"/>
          <w:szCs w:val="16"/>
        </w:rPr>
        <w:t>. В судостроении действовало более 400 ССЗ и СРЗ, 50 машиностроительных и приборостроительных заводов, 40 КБ и проектных институтов, 80 НИИ. В ведении Минатома было 151 предприятие. К 1992 г. в ведении МЭП находилось 816 предприятий, в т.ч. 584 завода и 232 НИИ и КБ. В том числе: Россия - 521 (359 заводов, 162 НИИ и КБ); Украина - 140 (105 и 35); Белоруссия - 27 (21 и 6); Узбекистан - 17 (14 и 3); Казахстан - 8 (6 и 2); Армения - 44 (37 и 7); Грузия - 13 (9 и 4); Азербайджан - 6 (5 и 1); Литва - 10 (4 и 6); Латвия - 7 (5 и 2); Эстония - 4 завода; Молдавия - 8 (6 и 2); Киргизия - 7 (6 и 1); Таджикистан - 3 (2 и 1); Туркмения - 1 завод.</w:t>
      </w:r>
    </w:p>
    <w:p w14:paraId="411C46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правительства в 03.1989 г. упразднены условные обозначения предприятий - почтовые ящики («п/я»).</w:t>
      </w:r>
    </w:p>
    <w:p w14:paraId="74B959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6.11.1991 г. сформирован Совет Министров РФ, в 12.1993 г. он переименован в Правительство РФ. Союзные Министерства ликвидированы, все оборонные предприятия были сосредоточены в Министерстве промышленности РФ (а также в Минатоме). С 1992 г. в результате коренных политических и экономических реформ произошло резкое снижение объемов производства, конструкторских и научных разработок. Многие предприятия прекратили свою деятельность, многие остались существовать лишь «на бумаге». С середины 1990-х г. начали предприниматься попытки консолидировать оставшиеся в живых оборонные предприятия в профильные объединения - корпорации, концерны, холдинги. По Указу президента РФ № 23.04.2002 г. и постановлению правительства от 28.06.2002 г. создан Концерн ПВО «Алмаз-Антей». Указом президента № 84 от 24.01.2004 г. создана Корпорация «Тактическое ракетное вооружение»; Указом № 569 от 28.04.2004 г. -</w:t>
      </w:r>
    </w:p>
    <w:p w14:paraId="05A149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Концерн радиостроения «Вега»; Указом № 993 от 29.07.2004 г. - Концерн «Созвездие». Указом президента № 140 от 20.02.2006 г. создана Объединенная авиастроительная корпорация; Указом № 394 от 21.03.2007 г. создана Объединенная судостроительная корпорация. В соответствии с Федеральным законом № 270-ФЗ от 23.11.2007 г. создана госкорпорация «Ростехнологии», Указом президента № 1052 от 10.07.2008 г. в ее состав передано 426 предприятий.</w:t>
      </w:r>
    </w:p>
    <w:p w14:paraId="178169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25.02.1992 г. из состава Минэкономики выделено самостоятельное Российское космическое агентство (РКА), 23.04.1999 г. оно преобразовано в Российское авиационно-космическое агентство (РАКА) в составе Минэкономики. 20.05.2004 г. из состава Минпромэнерго вновь выделено самостоятельное Федеральное космическое агентство. 17.11.1992 г. создан Комитет РФ по оборонным отраслям промышленности, 1.09.1993 г. он преобразован в Госкомитет по оборонным отраслям промышленности, 18.07.1996 г. преобразован в Министерство оборонных отраслей промышленности (МОП). 17.03.1997 г. МОП упразднено, его функции переданы Минэкономики. 22.05.1999 г. организованы Российские агентства по обычным вооружениям, по судостроению и по системам управления, 25.05.1999 г. - Российское </w:t>
      </w:r>
      <w:r w:rsidRPr="00F90EAE">
        <w:rPr>
          <w:color w:val="000000" w:themeColor="text1"/>
          <w:sz w:val="16"/>
          <w:szCs w:val="16"/>
        </w:rPr>
        <w:lastRenderedPageBreak/>
        <w:t>агентство по боеприпасам. В 03.2004 г. они влиты в состав Федерального агентства промышленности (ФАП) в составе Минпромэнерго (с 05.2008 г. - Министерство промышленности и торговли). 9.03.2004 г. Минатом преобразовано в Федеральное агентство по атомной энергии Минпромэнерго. На начало 1998 г. в авиационной промышленности действовало 336 предприятий (в т.ч. 136 серийных заводов, 134 ОКБ, 15 НИИ и 6 ГНЦ), в космической отрасли - 141 предприятие; на 02.2000 г. в ведении РАКА - 430 предприятий. Действовало 19 авиастроительных холдинговых компаний. В состав судостроительной отрасли на начало 2000-х г. входило 170 предприятий (в т.ч. 65 ССЗ и СРЗ, 56 НИИ и КБ). В 2005 г. составлен Сводный реестр предприятий ОПК, в который вошли 1265 предприятий; 195 из них относилось к авиапрому, 97 - к ракетно-космической отрасли, 115 - к судостроительной, 105 - промышленность боеприпасов, 104 — вооружение, 63 - Росатома.</w:t>
      </w:r>
      <w:r w:rsidRPr="00F90EAE">
        <w:rPr>
          <w:color w:val="000000" w:themeColor="text1"/>
          <w:sz w:val="16"/>
          <w:szCs w:val="16"/>
          <w:vertAlign w:val="superscript"/>
        </w:rPr>
        <w:t>вш</w:t>
      </w:r>
      <w:r w:rsidRPr="00F90EAE">
        <w:rPr>
          <w:color w:val="000000" w:themeColor="text1"/>
          <w:sz w:val="16"/>
          <w:szCs w:val="16"/>
        </w:rPr>
        <w:t>"</w:t>
      </w:r>
      <w:r w:rsidRPr="00F90EAE">
        <w:rPr>
          <w:color w:val="000000" w:themeColor="text1"/>
          <w:sz w:val="16"/>
          <w:szCs w:val="16"/>
          <w:vertAlign w:val="superscript"/>
        </w:rPr>
        <w:t>100805</w:t>
      </w:r>
      <w:r w:rsidRPr="00F90EAE">
        <w:rPr>
          <w:color w:val="000000" w:themeColor="text1"/>
          <w:sz w:val="16"/>
          <w:szCs w:val="16"/>
        </w:rPr>
        <w:t xml:space="preserve"> В 2005 г. в ведении Управления РЭПиСУ ФАП находилось 383 предприятия, в т.ч. 200 предприятий электронной промышленности (121 завод, 18 НПП и 61 научная организация). Действовало 12 интегрированных структур, в т.ч. Концерн ПВО «Алмаз-Антей», Концерн радиостроения «Вега», Концерн «Созвездие». Указом президента РФ № 1009 от 4.08.2004 г. </w:t>
      </w:r>
      <w:r w:rsidRPr="00F90EAE">
        <w:rPr>
          <w:bCs/>
          <w:iCs/>
          <w:color w:val="000000" w:themeColor="text1"/>
          <w:sz w:val="16"/>
          <w:szCs w:val="16"/>
        </w:rPr>
        <w:t>был</w:t>
      </w:r>
      <w:r w:rsidRPr="00F90EAE">
        <w:rPr>
          <w:color w:val="000000" w:themeColor="text1"/>
          <w:sz w:val="16"/>
          <w:szCs w:val="16"/>
        </w:rPr>
        <w:t xml:space="preserve"> утвержден перечень стратегических предприятий, в который вошло 1064 организации (514 ФГУП и 550 ОАО). На конец июня 2010 г. в перечень стратегических предприятий входило 213 организаций (165 ФГУП и 48 ОАО) (11982).</w:t>
      </w:r>
    </w:p>
    <w:p w14:paraId="5ABD8832" w14:textId="77777777" w:rsidR="00665165" w:rsidRPr="00F90EAE" w:rsidRDefault="00665165" w:rsidP="00F90EAE">
      <w:pPr>
        <w:autoSpaceDE w:val="0"/>
        <w:autoSpaceDN w:val="0"/>
        <w:adjustRightInd w:val="0"/>
        <w:jc w:val="both"/>
        <w:rPr>
          <w:color w:val="000000" w:themeColor="text1"/>
          <w:sz w:val="16"/>
          <w:szCs w:val="16"/>
        </w:rPr>
      </w:pPr>
    </w:p>
    <w:p w14:paraId="341ED00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D1FDC5D" w14:textId="77777777" w:rsidR="00665165" w:rsidRPr="00F90EAE" w:rsidRDefault="00665165" w:rsidP="00F90EAE">
      <w:pPr>
        <w:autoSpaceDE w:val="0"/>
        <w:autoSpaceDN w:val="0"/>
        <w:adjustRightInd w:val="0"/>
        <w:jc w:val="both"/>
        <w:rPr>
          <w:iCs/>
          <w:color w:val="000000" w:themeColor="text1"/>
          <w:sz w:val="16"/>
          <w:szCs w:val="16"/>
        </w:rPr>
      </w:pPr>
    </w:p>
    <w:p w14:paraId="6A558F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мая 1945 зенитной артиллерией ТОФ в районе Камчатки были обстреляны 2 В-24 ВВС США (3021).</w:t>
      </w:r>
    </w:p>
    <w:p w14:paraId="6F65CF02" w14:textId="77777777" w:rsidR="00665165" w:rsidRPr="00F90EAE" w:rsidRDefault="00665165" w:rsidP="00F90EAE">
      <w:pPr>
        <w:autoSpaceDE w:val="0"/>
        <w:autoSpaceDN w:val="0"/>
        <w:adjustRightInd w:val="0"/>
        <w:jc w:val="both"/>
        <w:rPr>
          <w:color w:val="000000" w:themeColor="text1"/>
          <w:sz w:val="16"/>
          <w:szCs w:val="16"/>
        </w:rPr>
      </w:pPr>
    </w:p>
    <w:p w14:paraId="2FC37F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9FE5FFB" w14:textId="77777777" w:rsidR="00665165" w:rsidRPr="00F90EAE" w:rsidRDefault="00665165" w:rsidP="00F90EAE">
      <w:pPr>
        <w:autoSpaceDE w:val="0"/>
        <w:autoSpaceDN w:val="0"/>
        <w:adjustRightInd w:val="0"/>
        <w:jc w:val="both"/>
        <w:rPr>
          <w:iCs/>
          <w:color w:val="000000" w:themeColor="text1"/>
          <w:sz w:val="16"/>
          <w:szCs w:val="16"/>
        </w:rPr>
      </w:pPr>
    </w:p>
    <w:p w14:paraId="2EB519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мая 1945 заместитель наркома Чернышов направил на имя Берии следующую докладную записку:</w:t>
      </w:r>
    </w:p>
    <w:p w14:paraId="749733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“НКВД СССР получено на заключение письмо секретаря ЦК КП(б)У тов. Хрущева и проект Указа Президиума Верховного Совета СССР “О применении каторжных работ в качестве меры наказания”. Тов. Хрущев в своем письме пишет, что есть такие случаи в судебной практике, когда лишение свободы на 10 лет является слишком мягким наказанием и суды в этих случаях вынуждены применять расстрел, не имея в своем распоряжении иного более сурового наказания, чем 10 лет лишения свободы. В связи с этим тов. Хрущев предлагает почти по всем статьям Уголовного Кодекса, предусматривающим в виде предельной санкции высшую меру наказания, дополнительно ввести осуждение к каторжным работам на срок от 15 до 20 лет (7560).</w:t>
      </w:r>
    </w:p>
    <w:p w14:paraId="67AFC5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Эта мера наказания тов. Хрущевым мотивируется также желанием сохранить физически здоровых людей для использования на работах в отдаленных и особотяжелых местностях Советского Союза (7560).</w:t>
      </w:r>
    </w:p>
    <w:p w14:paraId="5D4B72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наши соображения:</w:t>
      </w:r>
    </w:p>
    <w:p w14:paraId="32716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Каторжные работы, как специальная мера наказания, введена Указом Президиума Верховного Совета СССР от 19 апреля 1943 года за преступления, совершенные в военное время, применяются к лицам, - пособникам врагу в расправах и насилиях над гражданским населением и пленными красноармейцами (7560).</w:t>
      </w:r>
    </w:p>
    <w:p w14:paraId="43B7A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все время применения данного Указа осуждено к каторжным работам немного более 29.000 человек (7560).</w:t>
      </w:r>
    </w:p>
    <w:p w14:paraId="7727F3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Широкое распространение новой тяжелой санкции наказания в виде каторжных работ к концу победоносной войны вряд ли явится целесообразным. Тем более, что фактическое применение высшей меры наказания за последние годы было очень незначительным и в случаях действительно крайней нужды (7560).</w:t>
      </w:r>
    </w:p>
    <w:p w14:paraId="52BAE5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Опыт присуждения к каторжным работам, проводившийся до настоящего времени, показывает, что большое количество осужденных каторжников являются нетрудоспособными (из 29.000 человек почти 10.000 нетрудоспособных) и не могут быть привлечены ни к каким работам, а тем более к каторжным. В целях реальности наказания пришлось бы в законе “О введении каторжных работ” делать оговорку о применении этой санкции только к физически здоровым людям, что осложнило бы на практике работу судов, а закон сделало бы менее устойчивым (7560).</w:t>
      </w:r>
    </w:p>
    <w:p w14:paraId="6705E9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Применение труда каторжников в условиях лагерей НКВД СССР является сложным, так как из одних каторжников, как правило, укомплектовать производственный лагерь невозможно и приходится добавлять специалистов из вольнонаемных или осужденных к другим мерам наказания (7560).</w:t>
      </w:r>
    </w:p>
    <w:p w14:paraId="68E66C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 работы с каторжниками в Воркутинском угольном лагере показывает, что осужденные к каторжным работам на 15-20 лет в условиях специального режима для каторжников теряют перспективу выдержать до конца срока, 15-20 лет, режим и условия каторжных работ. Отсюда моральная подавленность и полное отсутствие стимула для труда, а в результате труд каторжников значительно менее эффективен, чем труд обычных лагерников, при этом, потеря трудоспособности через 5-6 лет почти обязательна (7560).</w:t>
      </w:r>
    </w:p>
    <w:p w14:paraId="6ACB48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Исходя из вышеизложенного, считал бы целесообразным предложение тов. Хрущева не принимать” (7560).</w:t>
      </w:r>
    </w:p>
    <w:p w14:paraId="13ACD952" w14:textId="77777777" w:rsidR="00665165" w:rsidRPr="00F90EAE" w:rsidRDefault="00665165" w:rsidP="00F90EAE">
      <w:pPr>
        <w:autoSpaceDE w:val="0"/>
        <w:autoSpaceDN w:val="0"/>
        <w:adjustRightInd w:val="0"/>
        <w:jc w:val="both"/>
        <w:rPr>
          <w:color w:val="000000" w:themeColor="text1"/>
          <w:sz w:val="16"/>
          <w:szCs w:val="16"/>
        </w:rPr>
      </w:pPr>
    </w:p>
    <w:p w14:paraId="6919DA0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FCF3EED" w14:textId="77777777" w:rsidR="00665165" w:rsidRPr="00F90EAE" w:rsidRDefault="00665165" w:rsidP="00F90EAE">
      <w:pPr>
        <w:autoSpaceDE w:val="0"/>
        <w:autoSpaceDN w:val="0"/>
        <w:adjustRightInd w:val="0"/>
        <w:jc w:val="both"/>
        <w:rPr>
          <w:iCs/>
          <w:color w:val="000000" w:themeColor="text1"/>
          <w:sz w:val="16"/>
          <w:szCs w:val="16"/>
        </w:rPr>
      </w:pPr>
    </w:p>
    <w:p w14:paraId="6CADDCE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мая 1945 советские оккупационные власти назначили обер-бургомистра Берлина (4962).</w:t>
      </w:r>
    </w:p>
    <w:p w14:paraId="65000C0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DD9D297" w14:textId="77777777" w:rsidR="00637BF4"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870BC3A" w14:textId="77777777" w:rsidR="00637BF4" w:rsidRPr="00F90EAE" w:rsidRDefault="00637BF4" w:rsidP="00F90EAE">
      <w:pPr>
        <w:autoSpaceDE w:val="0"/>
        <w:autoSpaceDN w:val="0"/>
        <w:adjustRightInd w:val="0"/>
        <w:jc w:val="both"/>
        <w:rPr>
          <w:iCs/>
          <w:color w:val="000000" w:themeColor="text1"/>
          <w:sz w:val="16"/>
          <w:szCs w:val="16"/>
        </w:rPr>
      </w:pPr>
    </w:p>
    <w:p w14:paraId="57F1E0F3" w14:textId="77777777" w:rsidR="00637BF4" w:rsidRPr="00F90EAE" w:rsidRDefault="00637BF4" w:rsidP="00F90EAE">
      <w:pPr>
        <w:jc w:val="both"/>
        <w:rPr>
          <w:color w:val="000000" w:themeColor="text1"/>
          <w:sz w:val="16"/>
          <w:szCs w:val="16"/>
        </w:rPr>
      </w:pPr>
      <w:r w:rsidRPr="00F90EAE">
        <w:rPr>
          <w:bCs/>
          <w:color w:val="000000" w:themeColor="text1"/>
          <w:sz w:val="16"/>
          <w:szCs w:val="16"/>
        </w:rPr>
        <w:t>20 мая</w:t>
      </w:r>
      <w:r w:rsidRPr="00F90EAE">
        <w:rPr>
          <w:color w:val="000000" w:themeColor="text1"/>
          <w:sz w:val="16"/>
          <w:szCs w:val="16"/>
        </w:rPr>
        <w:t xml:space="preserve"> в 1945 году все часы в Берлине переведены на 2 часа вперед - на московское время. 23 сентября стрелки переведут назад на один час (14897).</w:t>
      </w:r>
    </w:p>
    <w:p w14:paraId="754FA8FC" w14:textId="77777777" w:rsidR="00637BF4" w:rsidRPr="00F90EAE" w:rsidRDefault="00637BF4" w:rsidP="00F90EAE">
      <w:pPr>
        <w:jc w:val="both"/>
        <w:rPr>
          <w:color w:val="000000" w:themeColor="text1"/>
          <w:sz w:val="16"/>
          <w:szCs w:val="16"/>
        </w:rPr>
      </w:pPr>
    </w:p>
    <w:p w14:paraId="00655CD4" w14:textId="77777777" w:rsidR="00102C23" w:rsidRPr="00F90EAE" w:rsidRDefault="00102C23" w:rsidP="00F90EAE">
      <w:pPr>
        <w:jc w:val="both"/>
        <w:rPr>
          <w:color w:val="0070C0"/>
          <w:sz w:val="16"/>
          <w:szCs w:val="16"/>
        </w:rPr>
      </w:pPr>
      <w:r w:rsidRPr="00F90EAE">
        <w:rPr>
          <w:color w:val="0070C0"/>
          <w:sz w:val="16"/>
          <w:szCs w:val="16"/>
        </w:rPr>
        <w:t>20–29 мая 1945 самолеты британских авианосцев HMS Ameer, HMS Khedive и HMS Stalker наносят сокрушительные удары по японским кораблям, аэродромам и коммуникациям в южной Бирме и Суматре (20371).</w:t>
      </w:r>
    </w:p>
    <w:p w14:paraId="4BA6E850" w14:textId="77777777" w:rsidR="00102C23" w:rsidRPr="00F90EAE" w:rsidRDefault="00102C23" w:rsidP="00F90EAE">
      <w:pPr>
        <w:jc w:val="both"/>
        <w:rPr>
          <w:color w:val="0070C0"/>
          <w:sz w:val="16"/>
          <w:szCs w:val="16"/>
        </w:rPr>
      </w:pPr>
    </w:p>
    <w:p w14:paraId="0C12BC2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45C97166" w14:textId="77777777" w:rsidR="00665165" w:rsidRPr="00F90EAE" w:rsidRDefault="00665165" w:rsidP="00F90EAE">
      <w:pPr>
        <w:autoSpaceDE w:val="0"/>
        <w:autoSpaceDN w:val="0"/>
        <w:adjustRightInd w:val="0"/>
        <w:jc w:val="both"/>
        <w:rPr>
          <w:iCs/>
          <w:color w:val="000000" w:themeColor="text1"/>
          <w:sz w:val="16"/>
          <w:szCs w:val="16"/>
        </w:rPr>
      </w:pPr>
    </w:p>
    <w:p w14:paraId="5C101D3C"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21 мая 1941 в 571 полку работала комиссия ВВС КА, для которой были сняты наугад еще два мотора («десятки» с зав. № 1892903 и № 1891404). Осмотр моторов показал, что оба АМ-42 имеют «большой люфт между основной крыльчаткой и направляющей в самих шлицах,/.. ./в нагнетателях также много пыли». Выводы те же: самолеты к эксплуатации допускать нельзя.</w:t>
      </w:r>
    </w:p>
    <w:p w14:paraId="713E761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Всего же «по причине производственно-конструктивных дефектов нагнетателя» из строя вышли 17 моторов АМ-42. Как указывалось в отчете старшего инженера 571 шап майора Жиленкова, «для восстановления всех самолетов полку требуется 14 моторов АМ-42 и 18 нагнетателей». Фактически 571 шап утратил боеспособность (17490).</w:t>
      </w:r>
    </w:p>
    <w:p w14:paraId="044439E7" w14:textId="77777777" w:rsidR="003605FA" w:rsidRPr="00F90EAE" w:rsidRDefault="003605FA" w:rsidP="00F90EAE">
      <w:pPr>
        <w:jc w:val="both"/>
        <w:rPr>
          <w:color w:val="000000" w:themeColor="text1"/>
          <w:sz w:val="16"/>
          <w:szCs w:val="16"/>
        </w:rPr>
      </w:pPr>
    </w:p>
    <w:p w14:paraId="486E10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мая 1945 в 571-м шап 8-й воздушной армии прибыла комиссия ВВС КА, для которой бы</w:t>
      </w:r>
      <w:r w:rsidRPr="00F90EAE">
        <w:rPr>
          <w:color w:val="000000" w:themeColor="text1"/>
          <w:sz w:val="16"/>
          <w:szCs w:val="16"/>
        </w:rPr>
        <w:softHyphen/>
        <w:t>ли сняты наугад еще два мотора («десятки» с зав. №№ 1892903 и 1891404). Осмотр моторов показал, что оба АМ-42 имеют «большой люфт между основной крыльчаткой и направляю</w:t>
      </w:r>
      <w:r w:rsidRPr="00F90EAE">
        <w:rPr>
          <w:color w:val="000000" w:themeColor="text1"/>
          <w:sz w:val="16"/>
          <w:szCs w:val="16"/>
        </w:rPr>
        <w:softHyphen/>
        <w:t>щей в самих шлицах &lt;...&gt; в нагнетателях также много пыли». Выводы те же: самолеты к эксплуатации допускать нельзя.</w:t>
      </w:r>
    </w:p>
    <w:p w14:paraId="417F10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указывалось в отчете старшего инженера полка майора Жиленкова, «для восстановления всех самолетов полку требу</w:t>
      </w:r>
      <w:r w:rsidRPr="00F90EAE">
        <w:rPr>
          <w:color w:val="000000" w:themeColor="text1"/>
          <w:sz w:val="16"/>
          <w:szCs w:val="16"/>
        </w:rPr>
        <w:softHyphen/>
        <w:t>ется 14 моторов АМ-42 и 18 нагнетателей». С учетом потерь, понесенных в ходе боевых действий, 571-й шап фактически ут</w:t>
      </w:r>
      <w:r w:rsidRPr="00F90EAE">
        <w:rPr>
          <w:color w:val="000000" w:themeColor="text1"/>
          <w:sz w:val="16"/>
          <w:szCs w:val="16"/>
        </w:rPr>
        <w:softHyphen/>
        <w:t>ратил боеспособность и, слава богу, что 9 мая 1945 г. был днем нашей Победы...</w:t>
      </w:r>
    </w:p>
    <w:p w14:paraId="42B364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Специальная комиссия ВВС в середине мая запретила экс</w:t>
      </w:r>
      <w:r w:rsidRPr="00F90EAE">
        <w:rPr>
          <w:color w:val="000000" w:themeColor="text1"/>
          <w:sz w:val="16"/>
          <w:szCs w:val="16"/>
        </w:rPr>
        <w:softHyphen/>
        <w:t>плуатацию самолетов Ил-10 в строевых частях ВВС КА до про</w:t>
      </w:r>
      <w:r w:rsidRPr="00F90EAE">
        <w:rPr>
          <w:color w:val="000000" w:themeColor="text1"/>
          <w:sz w:val="16"/>
          <w:szCs w:val="16"/>
        </w:rPr>
        <w:softHyphen/>
        <w:t>ведения необходимых доработок машины.</w:t>
      </w:r>
    </w:p>
    <w:p w14:paraId="771BDF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Надо сказать, что еще в марте 1945 г. на заводе № 18 нача</w:t>
      </w:r>
      <w:r w:rsidRPr="00F90EAE">
        <w:rPr>
          <w:color w:val="000000" w:themeColor="text1"/>
          <w:sz w:val="16"/>
          <w:szCs w:val="16"/>
        </w:rPr>
        <w:softHyphen/>
        <w:t>лись работы по отработке всасывающих патрубков с воздухо</w:t>
      </w:r>
      <w:r w:rsidRPr="00F90EAE">
        <w:rPr>
          <w:color w:val="000000" w:themeColor="text1"/>
          <w:sz w:val="16"/>
          <w:szCs w:val="16"/>
        </w:rPr>
        <w:softHyphen/>
        <w:t>очистительными фильтрами — заводского и полевого варианта установки. Полевой вариант мог монтироваться на ранее вы</w:t>
      </w:r>
      <w:r w:rsidRPr="00F90EAE">
        <w:rPr>
          <w:color w:val="000000" w:themeColor="text1"/>
          <w:sz w:val="16"/>
          <w:szCs w:val="16"/>
        </w:rPr>
        <w:softHyphen/>
        <w:t>пущенные самолеты и имел крепления к уже имеющимся от</w:t>
      </w:r>
      <w:r w:rsidRPr="00F90EAE">
        <w:rPr>
          <w:color w:val="000000" w:themeColor="text1"/>
          <w:sz w:val="16"/>
          <w:szCs w:val="16"/>
        </w:rPr>
        <w:softHyphen/>
        <w:t>верстиям в броне. Оба пылефильтра были конструктивно по</w:t>
      </w:r>
      <w:r w:rsidRPr="00F90EAE">
        <w:rPr>
          <w:color w:val="000000" w:themeColor="text1"/>
          <w:sz w:val="16"/>
          <w:szCs w:val="16"/>
        </w:rPr>
        <w:softHyphen/>
        <w:t>добными фильтру ЦАГИ, стоявшему на Ил-2.</w:t>
      </w:r>
    </w:p>
    <w:p w14:paraId="034C94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Уже 16 апреля завершились заводские летные испытания серийного самолета Ил-10 (зав. № 1892105) с полевым вариан</w:t>
      </w:r>
      <w:r w:rsidRPr="00F90EAE">
        <w:rPr>
          <w:color w:val="000000" w:themeColor="text1"/>
          <w:sz w:val="16"/>
          <w:szCs w:val="16"/>
        </w:rPr>
        <w:softHyphen/>
        <w:t>том всасывающего патрубка с пылеулавливающей заслонкой с сеткой «Дельбак» простейшей конструкции.</w:t>
      </w:r>
    </w:p>
    <w:p w14:paraId="2BE397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стандартный всасывающий патрубок «вживили» две дю</w:t>
      </w:r>
      <w:r w:rsidRPr="00F90EAE">
        <w:rPr>
          <w:color w:val="000000" w:themeColor="text1"/>
          <w:sz w:val="16"/>
          <w:szCs w:val="16"/>
        </w:rPr>
        <w:softHyphen/>
        <w:t>ралевые заслонки: одна была сплошной (внешняя), а вторая (внутренняя) представляла собой рамку, обшитую двумя слоя</w:t>
      </w:r>
      <w:r w:rsidRPr="00F90EAE">
        <w:rPr>
          <w:color w:val="000000" w:themeColor="text1"/>
          <w:sz w:val="16"/>
          <w:szCs w:val="16"/>
        </w:rPr>
        <w:softHyphen/>
        <w:t>ми сетки «Дельбак». Заслонки кинематически связывались с системой выпуска шасси и регулировались таким образом, чтобы при выпущенном шасси внешняя заслонка плотно пе</w:t>
      </w:r>
      <w:r w:rsidRPr="00F90EAE">
        <w:rPr>
          <w:color w:val="000000" w:themeColor="text1"/>
          <w:sz w:val="16"/>
          <w:szCs w:val="16"/>
        </w:rPr>
        <w:softHyphen/>
        <w:t>рекрывала входной канал патрубка, а внутренняя — перекры</w:t>
      </w:r>
      <w:r w:rsidRPr="00F90EAE">
        <w:rPr>
          <w:color w:val="000000" w:themeColor="text1"/>
          <w:sz w:val="16"/>
          <w:szCs w:val="16"/>
        </w:rPr>
        <w:softHyphen/>
        <w:t>вала канал патрубка неплотно, с зазором 20 мм между заслон</w:t>
      </w:r>
      <w:r w:rsidRPr="00F90EAE">
        <w:rPr>
          <w:color w:val="000000" w:themeColor="text1"/>
          <w:sz w:val="16"/>
          <w:szCs w:val="16"/>
        </w:rPr>
        <w:softHyphen/>
        <w:t>кой и задней внутренней стенкой патрубка. В этом случае воз</w:t>
      </w:r>
      <w:r w:rsidRPr="00F90EAE">
        <w:rPr>
          <w:color w:val="000000" w:themeColor="text1"/>
          <w:sz w:val="16"/>
          <w:szCs w:val="16"/>
        </w:rPr>
        <w:softHyphen/>
        <w:t>дух в нагнетатель засасывался из пространства внутри капота через вырез в передней стенке патрубка и снаружи через сетку «Дельбак» в заслонке. После взлета (при убранном шасси) внутренняя заслонка переводилась в вертикальное положение, перекрывая при этом окно в передней стенке патрубка, а внешняя заслонка — в горизонтальное положение по направ</w:t>
      </w:r>
      <w:r w:rsidRPr="00F90EAE">
        <w:rPr>
          <w:color w:val="000000" w:themeColor="text1"/>
          <w:sz w:val="16"/>
          <w:szCs w:val="16"/>
        </w:rPr>
        <w:softHyphen/>
        <w:t>лению полета. Воздух через входное отверстие патрубка начи</w:t>
      </w:r>
      <w:r w:rsidRPr="00F90EAE">
        <w:rPr>
          <w:color w:val="000000" w:themeColor="text1"/>
          <w:sz w:val="16"/>
          <w:szCs w:val="16"/>
        </w:rPr>
        <w:softHyphen/>
        <w:t>нал поступать в нагнетатель, минуя фильтрующую сетку.</w:t>
      </w:r>
    </w:p>
    <w:p w14:paraId="5545AC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модифицированного всасывающего патрубка, на са</w:t>
      </w:r>
      <w:r w:rsidRPr="00F90EAE">
        <w:rPr>
          <w:color w:val="000000" w:themeColor="text1"/>
          <w:sz w:val="16"/>
          <w:szCs w:val="16"/>
        </w:rPr>
        <w:softHyphen/>
        <w:t>молете в тоннелях продувки водорадиатора со стороны капота сделаны вырезы общей площадью 560 см</w:t>
      </w:r>
      <w:r w:rsidRPr="00F90EAE">
        <w:rPr>
          <w:color w:val="000000" w:themeColor="text1"/>
          <w:sz w:val="16"/>
          <w:szCs w:val="16"/>
          <w:vertAlign w:val="superscript"/>
        </w:rPr>
        <w:t>2</w:t>
      </w:r>
      <w:r w:rsidRPr="00F90EAE">
        <w:rPr>
          <w:color w:val="000000" w:themeColor="text1"/>
          <w:sz w:val="16"/>
          <w:szCs w:val="16"/>
        </w:rPr>
        <w:t>, которые закрыва</w:t>
      </w:r>
      <w:r w:rsidRPr="00F90EAE">
        <w:rPr>
          <w:color w:val="000000" w:themeColor="text1"/>
          <w:sz w:val="16"/>
          <w:szCs w:val="16"/>
        </w:rPr>
        <w:softHyphen/>
        <w:t>лись сеткой «Дельбак» в один слой.</w:t>
      </w:r>
    </w:p>
    <w:p w14:paraId="6D0A3D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Летные испытания показали, что заслонки не нарушают нормальную работу мотора на всех режимах полета. Скорост</w:t>
      </w:r>
      <w:r w:rsidRPr="00F90EAE">
        <w:rPr>
          <w:color w:val="000000" w:themeColor="text1"/>
          <w:sz w:val="16"/>
          <w:szCs w:val="16"/>
        </w:rPr>
        <w:softHyphen/>
        <w:t>ные и пилотажные качества самолета полностью сохранились. Наличие заслонок сказалось лишь на границе высотности мо</w:t>
      </w:r>
      <w:r w:rsidRPr="00F90EAE">
        <w:rPr>
          <w:color w:val="000000" w:themeColor="text1"/>
          <w:sz w:val="16"/>
          <w:szCs w:val="16"/>
        </w:rPr>
        <w:softHyphen/>
        <w:t xml:space="preserve">тора — она понизилась на 100—150 м. Был сделан вывод, что «предложенная конструкция </w:t>
      </w:r>
      <w:r w:rsidRPr="00F90EAE">
        <w:rPr>
          <w:color w:val="000000" w:themeColor="text1"/>
          <w:sz w:val="16"/>
          <w:szCs w:val="16"/>
        </w:rPr>
        <w:lastRenderedPageBreak/>
        <w:t>удовлетворяет в целом предъяв</w:t>
      </w:r>
      <w:r w:rsidRPr="00F90EAE">
        <w:rPr>
          <w:color w:val="000000" w:themeColor="text1"/>
          <w:sz w:val="16"/>
          <w:szCs w:val="16"/>
        </w:rPr>
        <w:softHyphen/>
        <w:t>ляемым требованиям и может быть допущена для доработки всех ранее выпущенных самолетов как полевой вариант, без установок сеток «Дельбак» в тоннелях водорадиатора».</w:t>
      </w:r>
    </w:p>
    <w:p w14:paraId="3CD7DE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20 апреля на серийный самолет Ил-10.(зав. № 1890404) был смонтирован всасывающий патрубок с воздухоочиститель</w:t>
      </w:r>
      <w:r w:rsidRPr="00F90EAE">
        <w:rPr>
          <w:color w:val="000000" w:themeColor="text1"/>
          <w:sz w:val="16"/>
          <w:szCs w:val="16"/>
        </w:rPr>
        <w:softHyphen/>
        <w:t>ным фильтром кассетной конструкции с сеткой типа «Дельбак» заводского варианта установки.</w:t>
      </w:r>
    </w:p>
    <w:p w14:paraId="4090E0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Всасывающий патрубок с пылефильтром состоял из собст</w:t>
      </w:r>
      <w:r w:rsidRPr="00F90EAE">
        <w:rPr>
          <w:color w:val="000000" w:themeColor="text1"/>
          <w:sz w:val="16"/>
          <w:szCs w:val="16"/>
        </w:rPr>
        <w:softHyphen/>
        <w:t>венно патрубка с заслонкой и фильтра, расположенного под фюзеляжем за всасывающим соплом патрубка. Между входным соплом и фильтром устанавливалась заслонка корытообразной формы. При убранном шасси (в полете) заслонка открыта и воздух поступает через всасывающее сопло по патрубку в нагне</w:t>
      </w:r>
      <w:r w:rsidRPr="00F90EAE">
        <w:rPr>
          <w:color w:val="000000" w:themeColor="text1"/>
          <w:sz w:val="16"/>
          <w:szCs w:val="16"/>
        </w:rPr>
        <w:softHyphen/>
        <w:t>татель. При выпуске шасси заслонка поворачивается, перекры</w:t>
      </w:r>
      <w:r w:rsidRPr="00F90EAE">
        <w:rPr>
          <w:color w:val="000000" w:themeColor="text1"/>
          <w:sz w:val="16"/>
          <w:szCs w:val="16"/>
        </w:rPr>
        <w:softHyphen/>
        <w:t>вает входное отверстие патрубка и одновременно открывает доступ воздуха из фильтра. В этом случае воздух засасывается в нагнетатель из фильтра. Каркас фильтра покрывался тремя слоями сетки типа «Дельбак». Фильтр устанавливался на всасы</w:t>
      </w:r>
      <w:r w:rsidRPr="00F90EAE">
        <w:rPr>
          <w:color w:val="000000" w:themeColor="text1"/>
          <w:sz w:val="16"/>
          <w:szCs w:val="16"/>
        </w:rPr>
        <w:softHyphen/>
        <w:t>вающий патрубок снизу.</w:t>
      </w:r>
    </w:p>
    <w:p w14:paraId="110263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Испытания завершились к началу мая. Мотор на всех ре</w:t>
      </w:r>
      <w:r w:rsidRPr="00F90EAE">
        <w:rPr>
          <w:color w:val="000000" w:themeColor="text1"/>
          <w:sz w:val="16"/>
          <w:szCs w:val="16"/>
        </w:rPr>
        <w:softHyphen/>
        <w:t>жимах полета работал нормально. Летные качества самолета не изменились. Максимальная скорость на высоте 500 м состави</w:t>
      </w:r>
      <w:r w:rsidRPr="00F90EAE">
        <w:rPr>
          <w:color w:val="000000" w:themeColor="text1"/>
          <w:sz w:val="16"/>
          <w:szCs w:val="16"/>
        </w:rPr>
        <w:softHyphen/>
        <w:t>ла 525 км/ч, а на высоте 2500 м — 475 км/ч (11474,514).</w:t>
      </w:r>
    </w:p>
    <w:p w14:paraId="23A192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87B24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мая 1945 были прерваны испытания И-250 № 1, т.к. силовая установка полностью выработала ресурс (6471, 7).</w:t>
      </w:r>
    </w:p>
    <w:p w14:paraId="7729D3F5" w14:textId="77777777" w:rsidR="00665165" w:rsidRPr="00F90EAE" w:rsidRDefault="00665165" w:rsidP="00F90EAE">
      <w:pPr>
        <w:autoSpaceDE w:val="0"/>
        <w:autoSpaceDN w:val="0"/>
        <w:adjustRightInd w:val="0"/>
        <w:jc w:val="both"/>
        <w:rPr>
          <w:color w:val="000000" w:themeColor="text1"/>
          <w:sz w:val="16"/>
          <w:szCs w:val="16"/>
        </w:rPr>
      </w:pPr>
    </w:p>
    <w:p w14:paraId="1AB546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21 мая по 9 июня 1945 года проходили государственные испытания Як-3 ВК- 107А с металлическим крылом, и акт по их результатам утвердили 27 июня 1945 года.</w:t>
      </w:r>
    </w:p>
    <w:p w14:paraId="37683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341ED74" w14:textId="77777777" w:rsidR="00665165" w:rsidRPr="00F90EAE" w:rsidRDefault="00665165" w:rsidP="00F90EAE">
      <w:pPr>
        <w:autoSpaceDE w:val="0"/>
        <w:autoSpaceDN w:val="0"/>
        <w:adjustRightInd w:val="0"/>
        <w:jc w:val="both"/>
        <w:rPr>
          <w:color w:val="000000" w:themeColor="text1"/>
          <w:sz w:val="16"/>
          <w:szCs w:val="16"/>
        </w:rPr>
      </w:pPr>
    </w:p>
    <w:p w14:paraId="033F3E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11 по 21 мая 1945 в ОКБ занимались доводкой машины Як-3Т и 24 мая 1945 года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2C5ED8E1" w14:textId="77777777" w:rsidR="00665165" w:rsidRPr="00F90EAE" w:rsidRDefault="00665165" w:rsidP="00F90EAE">
      <w:pPr>
        <w:autoSpaceDE w:val="0"/>
        <w:autoSpaceDN w:val="0"/>
        <w:adjustRightInd w:val="0"/>
        <w:jc w:val="both"/>
        <w:rPr>
          <w:color w:val="000000" w:themeColor="text1"/>
          <w:sz w:val="16"/>
          <w:szCs w:val="16"/>
        </w:rPr>
      </w:pPr>
    </w:p>
    <w:p w14:paraId="4DB2F918" w14:textId="77777777" w:rsidR="00637BF4" w:rsidRPr="00F90EAE" w:rsidRDefault="00637BF4" w:rsidP="00F90EAE">
      <w:pPr>
        <w:jc w:val="both"/>
        <w:rPr>
          <w:color w:val="000000" w:themeColor="text1"/>
          <w:sz w:val="16"/>
          <w:szCs w:val="16"/>
        </w:rPr>
      </w:pPr>
      <w:r w:rsidRPr="00F90EAE">
        <w:rPr>
          <w:bCs/>
          <w:color w:val="000000" w:themeColor="text1"/>
          <w:sz w:val="16"/>
          <w:szCs w:val="16"/>
        </w:rPr>
        <w:t>21 мая</w:t>
      </w:r>
      <w:r w:rsidRPr="00F90EAE">
        <w:rPr>
          <w:color w:val="000000" w:themeColor="text1"/>
          <w:sz w:val="16"/>
          <w:szCs w:val="16"/>
        </w:rPr>
        <w:t xml:space="preserve"> в 1945 году состоялся первый полет бомбардировщика «Ту-1» («АНТ-63») с двигателями «АМ-39», Перелет А.Д (14898).</w:t>
      </w:r>
    </w:p>
    <w:p w14:paraId="660AF7E4" w14:textId="77777777" w:rsidR="00637BF4" w:rsidRPr="00F90EAE" w:rsidRDefault="00637BF4" w:rsidP="00F90EAE">
      <w:pPr>
        <w:jc w:val="both"/>
        <w:rPr>
          <w:color w:val="000000" w:themeColor="text1"/>
          <w:sz w:val="16"/>
          <w:szCs w:val="16"/>
        </w:rPr>
      </w:pPr>
    </w:p>
    <w:p w14:paraId="19280393" w14:textId="77777777" w:rsidR="00102C23" w:rsidRPr="00F90EAE" w:rsidRDefault="00102C23" w:rsidP="00F90EAE">
      <w:pPr>
        <w:jc w:val="both"/>
        <w:rPr>
          <w:color w:val="0070C0"/>
          <w:sz w:val="16"/>
          <w:szCs w:val="16"/>
        </w:rPr>
      </w:pPr>
      <w:r w:rsidRPr="00F90EAE">
        <w:rPr>
          <w:color w:val="0070C0"/>
          <w:sz w:val="16"/>
          <w:szCs w:val="16"/>
        </w:rPr>
        <w:t>На 21 мая 1945 г. в Управлении по</w:t>
      </w:r>
      <w:r w:rsidRPr="00F90EAE">
        <w:rPr>
          <w:color w:val="0070C0"/>
          <w:sz w:val="16"/>
          <w:szCs w:val="16"/>
        </w:rPr>
        <w:softHyphen/>
        <w:t>лярной авиации числились два Г-2. Это были Н172 и Н333, имевшие по тем вре</w:t>
      </w:r>
      <w:r w:rsidRPr="00F90EAE">
        <w:rPr>
          <w:color w:val="0070C0"/>
          <w:sz w:val="16"/>
          <w:szCs w:val="16"/>
        </w:rPr>
        <w:softHyphen/>
        <w:t>менам достаточно преклонный возраст и почти выработавшие ресурс. Обе машины списали в 1946 г. (21697).</w:t>
      </w:r>
    </w:p>
    <w:p w14:paraId="2F1DDE64" w14:textId="77777777" w:rsidR="00102C23" w:rsidRPr="00F90EAE" w:rsidRDefault="00102C23" w:rsidP="00F90EAE">
      <w:pPr>
        <w:jc w:val="both"/>
        <w:rPr>
          <w:color w:val="0070C0"/>
          <w:sz w:val="16"/>
          <w:szCs w:val="16"/>
        </w:rPr>
      </w:pPr>
    </w:p>
    <w:p w14:paraId="4DD4CE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мая 1945 года Шахурин писал письмо наркому ВМФ адмиралу флота Кузнецову Н.Г.</w:t>
      </w:r>
    </w:p>
    <w:p w14:paraId="78001B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проведения ряда работ по исследованию характеристик гребных винтов и ускоренных испытаний опытных аэростатов заграждения методом их буксировки скоростным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w:t>
      </w:r>
    </w:p>
    <w:p w14:paraId="3724C599" w14:textId="77777777" w:rsidR="00665165" w:rsidRPr="00F90EAE" w:rsidRDefault="00665165" w:rsidP="00F90EAE">
      <w:pPr>
        <w:autoSpaceDE w:val="0"/>
        <w:autoSpaceDN w:val="0"/>
        <w:adjustRightInd w:val="0"/>
        <w:jc w:val="both"/>
        <w:rPr>
          <w:color w:val="000000" w:themeColor="text1"/>
          <w:sz w:val="16"/>
          <w:szCs w:val="16"/>
        </w:rPr>
      </w:pPr>
    </w:p>
    <w:p w14:paraId="18BD4A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мая 1945 г. приказом Шахурин в целях наиболее бы</w:t>
      </w:r>
      <w:r w:rsidRPr="00F90EAE">
        <w:rPr>
          <w:color w:val="000000" w:themeColor="text1"/>
          <w:sz w:val="16"/>
          <w:szCs w:val="16"/>
        </w:rPr>
        <w:softHyphen/>
        <w:t>строго перебазирования и рационального распределения и использо</w:t>
      </w:r>
      <w:r w:rsidRPr="00F90EAE">
        <w:rPr>
          <w:color w:val="000000" w:themeColor="text1"/>
          <w:sz w:val="16"/>
          <w:szCs w:val="16"/>
        </w:rPr>
        <w:softHyphen/>
        <w:t>вания оборудования германских НИИ, опытных заводов, а также лучшей обработки немецких технических материалов, их перевода, размножения и распределения по организациям НКАП создает комиссию под председательством А.С. Яковлева (10781).</w:t>
      </w:r>
    </w:p>
    <w:p w14:paraId="30CE11BD" w14:textId="77777777" w:rsidR="00665165" w:rsidRPr="00F90EAE" w:rsidRDefault="00665165" w:rsidP="00F90EAE">
      <w:pPr>
        <w:autoSpaceDE w:val="0"/>
        <w:autoSpaceDN w:val="0"/>
        <w:adjustRightInd w:val="0"/>
        <w:jc w:val="both"/>
        <w:rPr>
          <w:color w:val="000000" w:themeColor="text1"/>
          <w:sz w:val="16"/>
          <w:szCs w:val="16"/>
        </w:rPr>
      </w:pPr>
    </w:p>
    <w:p w14:paraId="6C8B4AA9" w14:textId="77777777" w:rsidR="00637BF4" w:rsidRPr="00F90EAE" w:rsidRDefault="00637BF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21 мая 1945 г. приказом Шахурин предписывал: «В целях наиболее быстрого перебазирования и рационального распределения и исполь</w:t>
      </w:r>
      <w:r w:rsidRPr="00F90EAE">
        <w:rPr>
          <w:rFonts w:ascii="Times New Roman" w:cs="Times New Roman"/>
          <w:color w:val="000000" w:themeColor="text1"/>
          <w:spacing w:val="0"/>
          <w:sz w:val="16"/>
          <w:szCs w:val="16"/>
        </w:rPr>
        <w:softHyphen/>
        <w:t>зования оборудования германских НИИ, опытных заводов, а также лучшей обработки не</w:t>
      </w:r>
      <w:r w:rsidRPr="00F90EAE">
        <w:rPr>
          <w:rFonts w:ascii="Times New Roman" w:cs="Times New Roman"/>
          <w:color w:val="000000" w:themeColor="text1"/>
          <w:spacing w:val="0"/>
          <w:sz w:val="16"/>
          <w:szCs w:val="16"/>
        </w:rPr>
        <w:softHyphen/>
        <w:t>мецких технических материалов, их перевода, размножения и распределения по организациям, НКАП создает комиссию под председательством А.С. Яковлева».</w:t>
      </w:r>
    </w:p>
    <w:p w14:paraId="36BC2EC7" w14:textId="77777777" w:rsidR="00637BF4" w:rsidRPr="00F90EAE" w:rsidRDefault="00637BF4"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Как видно из текста приказа, до руководства страны ещё не дошло, что главная цен</w:t>
      </w:r>
      <w:r w:rsidRPr="00F90EAE">
        <w:rPr>
          <w:rFonts w:ascii="Times New Roman" w:cs="Times New Roman"/>
          <w:color w:val="000000" w:themeColor="text1"/>
          <w:spacing w:val="0"/>
          <w:sz w:val="16"/>
          <w:szCs w:val="16"/>
        </w:rPr>
        <w:softHyphen/>
        <w:t>ность, которую может получить победитель — не оборудование, а интеллект германской авиационной промышленности (15791).</w:t>
      </w:r>
    </w:p>
    <w:p w14:paraId="6C5B6C05" w14:textId="77777777" w:rsidR="00637BF4" w:rsidRPr="00F90EAE" w:rsidRDefault="00637BF4" w:rsidP="00F90EAE">
      <w:pPr>
        <w:pStyle w:val="36"/>
        <w:shd w:val="clear" w:color="auto" w:fill="auto"/>
        <w:spacing w:after="0" w:line="240" w:lineRule="auto"/>
        <w:jc w:val="both"/>
        <w:rPr>
          <w:rFonts w:ascii="Times New Roman" w:cs="Times New Roman"/>
          <w:color w:val="000000" w:themeColor="text1"/>
          <w:spacing w:val="0"/>
          <w:sz w:val="16"/>
          <w:szCs w:val="16"/>
        </w:rPr>
      </w:pPr>
    </w:p>
    <w:p w14:paraId="0A4BF2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мая 1945 вышел приказ НКАП N 218сс:</w:t>
      </w:r>
    </w:p>
    <w:p w14:paraId="1EB44D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целях наиболее быстрого перебазирования и рационального распределения и использования оборудования германских НИИ, лабораторий и опытных заводов, а также для лучшей обработки немецких технических материалов, их перевода, размножения и распределения по организациям НКАП - ПРИКАЗЫВАЮ:</w:t>
      </w:r>
    </w:p>
    <w:p w14:paraId="0605D0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Назначить комиссию НКАП в следующем составе:</w:t>
      </w:r>
    </w:p>
    <w:p w14:paraId="2826FA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 А.С.Я.</w:t>
      </w:r>
    </w:p>
    <w:p w14:paraId="7A75E6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председателя - С.Н.Шишкин</w:t>
      </w:r>
    </w:p>
    <w:p w14:paraId="181A00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Члены комиссии:</w:t>
      </w:r>
    </w:p>
    <w:p w14:paraId="389967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С.А.Христианович - Зам. нач. ЦАГИ</w:t>
      </w:r>
    </w:p>
    <w:p w14:paraId="703509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С.В.И. - ГК</w:t>
      </w:r>
    </w:p>
    <w:p w14:paraId="3DB2A1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В.И.Поликовский - Нач. ЦИАМ</w:t>
      </w:r>
    </w:p>
    <w:p w14:paraId="08F4D1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А.В.Чесалов - Нач. ЛИИ</w:t>
      </w:r>
    </w:p>
    <w:p w14:paraId="3314A6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Я.Л.Бибиков - Нач. НИИ 1</w:t>
      </w:r>
    </w:p>
    <w:p w14:paraId="3A3DFE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А.Т.Туманов - Нач. ВИАМ</w:t>
      </w:r>
    </w:p>
    <w:p w14:paraId="77590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Н.И.Петров - Нач. НИСО</w:t>
      </w:r>
    </w:p>
    <w:p w14:paraId="2E2F4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С.А.Шумовский - Нач. БНТ</w:t>
      </w:r>
    </w:p>
    <w:p w14:paraId="66463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М.Г.Бендерский - Нач. отдела 7 ГУ</w:t>
      </w:r>
    </w:p>
    <w:p w14:paraId="2F0657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Г.Д.Волчков - Зам. нач. 8 ГУ (вписано А.И.Ш.).</w:t>
      </w:r>
    </w:p>
    <w:p w14:paraId="21602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Для практического руководства всей работой и подготовки материалов создать при председателе комиссии аппарат в составе 10 чел. из числа работников опытных и НИО НКАП, прикомандировав их на период работы комиссии.</w:t>
      </w:r>
    </w:p>
    <w:p w14:paraId="007A6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Установить след. порядок прохождения НИ материалов, прибывающих из Германии:</w:t>
      </w:r>
    </w:p>
    <w:p w14:paraId="7249E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все материалы по прибытию поступают (на рассмотрение - А.И.Ш) в аппарат (зачеркнуто А.И.Ш.) комиссии т. А.С.Я. для предварительного (зачеркнуто А.И.Ш.) распределения по институтам НКАП для дальнейшей обработки.</w:t>
      </w:r>
    </w:p>
    <w:p w14:paraId="1925E9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Нач. НИИ НКАП и БНТ по получении от комиссии материалов по специальности института - производить немедленную обработку полученных материалов: перевод, реферирование, составление ТО и альбомов.</w:t>
      </w:r>
    </w:p>
    <w:p w14:paraId="5E7BD1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 институтов, по изготовлении переводов, рефератов, ТО и альбомов - 1 экз. каждого материала докладывать комиссии для решения вопроса о порядке размножения и рассылки (было - направлять БНТ, а Нач. БНТ в самом срочном порядке размножать их для рассылки - А.И.Ш.) конструкторам, институтам и руководящему составу НКАП и ВВС (зачеркнуто - по разнарядкам, составленным институтом-исполнителем.</w:t>
      </w:r>
    </w:p>
    <w:p w14:paraId="4F2AB5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Очередность размножения материалов, поступивших в БНТ, устанавливать комиссии (зачеркнуто А.И.Ш.).</w:t>
      </w:r>
    </w:p>
    <w:p w14:paraId="347EE8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Нач. Особого ГУ т. Гришину работу по организации демонтажа и вывоза оборудования и материалов германских НИИ и ОО вести (вычеркнуто - обычным порядком - А.И.Ш.) по согласованию с комиссией А.С.Я." (1869,133).</w:t>
      </w:r>
    </w:p>
    <w:p w14:paraId="0398D8D9" w14:textId="77777777" w:rsidR="00665165" w:rsidRPr="00F90EAE" w:rsidRDefault="00665165" w:rsidP="00F90EAE">
      <w:pPr>
        <w:autoSpaceDE w:val="0"/>
        <w:autoSpaceDN w:val="0"/>
        <w:adjustRightInd w:val="0"/>
        <w:jc w:val="both"/>
        <w:rPr>
          <w:color w:val="000000" w:themeColor="text1"/>
          <w:sz w:val="16"/>
          <w:szCs w:val="16"/>
        </w:rPr>
      </w:pPr>
    </w:p>
    <w:p w14:paraId="19C3B10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36C5715" w14:textId="77777777" w:rsidR="00665165" w:rsidRPr="00F90EAE" w:rsidRDefault="00665165" w:rsidP="00F90EAE">
      <w:pPr>
        <w:autoSpaceDE w:val="0"/>
        <w:autoSpaceDN w:val="0"/>
        <w:adjustRightInd w:val="0"/>
        <w:jc w:val="both"/>
        <w:rPr>
          <w:iCs/>
          <w:color w:val="000000" w:themeColor="text1"/>
          <w:sz w:val="16"/>
          <w:szCs w:val="16"/>
        </w:rPr>
      </w:pPr>
    </w:p>
    <w:p w14:paraId="6E5570CE"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На 21 мая 1945 ни одной машины ИС-2 майской программы не сдали. 100 штук, положенных по плану, удалось сдать к 1 июня, из них один танк (серийный номер </w:t>
      </w:r>
      <w:r w:rsidRPr="00F90EAE">
        <w:rPr>
          <w:color w:val="000000" w:themeColor="text1"/>
          <w:sz w:val="16"/>
          <w:szCs w:val="16"/>
        </w:rPr>
        <w:lastRenderedPageBreak/>
        <w:t>703-18073) направили на НИБТ Полигон. Главной причиной задержки стала лихорадочная работа завода по устранению конструктивных недостатков. Главной проблемой оставалась система охлаждения, доработанную конструкцию планировали внедрить с 10 июня.</w:t>
      </w:r>
    </w:p>
    <w:p w14:paraId="5ED5872B"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Проблемным оставался и башенный вентилятор. Параллельно вводились дополнительные улучшения, за май ввели 7 пунктов. В их числе были новая укладка лент дымовых шашек, переделка вентилятора, а также планка для облегчения демонтажа верхних топливных баков. Общий же список изменений, который планировался внести в ИС-3, просто огромен — 177 пунктов. Ещё более проблемным стал июнь. К 1 июля из 250 машин сдали только 140 с обязательством к 6 июля досдать «долг». Причин столь существенного отставания было много. Это и выход из строя топливных баков на 75 танках, и проблемы с корпусами, и недопоставка комплектующих (прежде всего, нижних погонов башен, водяных радиаторов и передних опор КПП). Из трёх танков, которые отправили на заводские испытания, их не выдержал ни один. Впрочем, имелись и положительные моменты: за июнь отправили 207 танков, они наконец-то пошли в войска. Кроме того, ввели около десятка различных улучшений.</w:t>
      </w:r>
    </w:p>
    <w:p w14:paraId="40AF7209"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Работы по улучшению ситуации с системой охлаждения продолжили и далее. За счёт переделок в МТО с 11 июля 1945 года проблему с перегревом наконец-то решили. Надо сказать, что июльские машины являлись одними из рекордсменов по метаморфозам, более того, не все из них даже описывались. Из таких переделок, которые не вошли в список метаморфоз, значатся выступающие чуть выше крыши боевого отделения верхние лобовые листы — тем самым дополнительно предохранялся погон башни. Изменился угол наклона боковых секторов, которые приваривались по бокам от башни, а крыша люка механика-водителя получила упор. Данные переделки претерпел танк 703-11500, который испытывался на НИБТ Полигоне. Впрочем, это касалось корпусных деталей, а на практике список июльских переделок был более чем внушительный. Изменилась и конфигурация дополнительных топливных баков. Теперь башню можно было поворачивать на 360 градусов, хотя баки все равно мешали орудию, поэтому их в боевых условиях требовалось снимать. Всего внесли 26 различных изменений. 20 июля, с машины 703-11530, убрали розетку внешнего вызова. 26 июля, с машины 703-11571, ввели крепление дополнительных четырёх траков на верхних лобовых листах корпуса. С 28 июля произвели перенос пилы на левый бункер. Подобные изменения, в том числе внешние, происходили весь июль, часть из них весьма существенно повлияла на внешний облик машины.</w:t>
      </w:r>
    </w:p>
    <w:p w14:paraId="25B68EF3"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Вышеперечисленные изменения происходили на фоне не утихавшей производственной драмы. Из 250 танков июльской программы к 1 августа сдали 181 с указанием, что оставшиеся примут к 4 августа. Причины те же — производственные дефекты и проблемы со смежниками. Впрочем, добавилась ещё одна проблема. Великая Отечественная война закончилась, мобилизованные во время неё рабочие и мастера стали массово покидать ЧКЗ и направляться на места своей довоенной работы. Это прямым образом повлияло на объёмы выпуска. Кроме того, часто наблюдались случаи перегрева двигателей В-11. Похожим образом сложилась ситуация и в августе. Из 250 танков сдали 195 со сроком окончательной приёмки 5 сентября. Вместе с тем, качество танков постепенно росло, при этом за август внесли ещё 15 изменений, включая внешние. Например, с 20 августа ввели новый задний габаритный фонарь. Бункеры в бортах стали использовать для размещения ЗИП, вместо рымов на верхнем кормовом листе ввели поручни.</w:t>
      </w:r>
    </w:p>
    <w:p w14:paraId="6796C549"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Похожая ситуация была и в сентябре: даже снижение плана с 250 до 230 танков не особо помогло, к 1 октября приняли лишь 160 машин. Согласно данным завода, внесли 12 изменений, но минимум пару из них в отчёте упустили. Во-первых, как минимум с сентября 1945 года изменилась установка антенного порта. Ранее он ставился под углом, теперь антенна стояла вертикально. Во-вторых, на моторах В-11 появились по три лючка для монтажа и демонтажа форсунок, благодаря чему не требовалось лишний раз снимать всю крышку. Следует отметить, что цена танка постепенно падала: в июле-сентябре 1945 года она составляла уже 295 000 рублей.</w:t>
      </w:r>
    </w:p>
    <w:p w14:paraId="1E1B6686"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Окончание войны означало, что постепенно объёмы выпуска будут снижаться, а заодно постепенно происходила «демобилизация» заводов (это касалось, например, УЗТМ). Надо сказать, что существенных отличий между челябинскими и свердловскими башнями не было. Башни УЗТМ традиционно не имели литьевых номеров, кроме того, немного отличался подвод питателей формы. Уже в октябре на УЗТМ прекратился выпуск башен, после выработки задела из 29 башен они поставлялись с завода №200. В Челябинске же параллельно с выпуском корпусов и башен для ИС-3 «допечатывали» башни для ИС-2, поскольку некоторые из них имели трещины, а потому требовали замены. Постепенно снижался и объём выпуск самих танков. В октябре их было сдано уже 200 штук и столько же в ноябре. При этом повторялась ситуация с «допечаткой» машин. Например, на 1 декабря реально сдали 125 танков. В ноябре ввели усиленные поддерживающие катки, а также увеличили жёсткость корпуса. Фактически же оставшиеся 75 танков ноябрьской программы сдали в декабре плюс 200 танков по плану (итого — 275 штук). Таким образом, всего за 1945 год сдали 1705 танков данного типа, не считая машин опытной серии.</w:t>
      </w:r>
    </w:p>
    <w:p w14:paraId="1C38F6D4"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1946 году объёмы выпуска резко снизились. Теперь планкой являлось 100 танков в месяц. Объяснялось это не только окончанием войны, но и организацией производства тракторов С-80, которые требовались разрушенной войной стране как воздух. В феврале планка была поднята до 120 танков (при исходном плане в 100 машин), но с этой задачей завод успешно справился. Месяц спустя завод смог сдать уже 130 машин, но это стало последним подъёмом выпуска ИС-3. ГБТУ КА всё же продавило решение о запуске в серию тяжёлого танка Объект 701. 29 апреля 1946 года на вооружение уже Советской армии был принят тяжёлый танк ИС-4. Это совпало с резким снижением объёма выпуска ИС-3. В апреле 1946 года их сдали 60 штук, а в мае — 90. В июне вместо 100 танков сдали 75, причём поначалу их сдали без башен, поскольку те не прибыли вовремя. Фактически выпуск ИС-3 планировалось закончить ещё в июне, но из-за задержки последние 25 танков сдали в июле. Таким образом, общий объём выпуска ИС-3 составил 2305 штук, из них 600 штук в 1946 году. Завод стал готовиться к выпуску ИС-4, но тут стоит процитировать отчёт ЧКЗ за первые пять месяцев 1946 года. Этот отрывок говорит обо всём:</w:t>
      </w:r>
    </w:p>
    <w:p w14:paraId="5061D5D1" w14:textId="77777777" w:rsidR="00BD3ED4" w:rsidRPr="00F90EAE" w:rsidRDefault="00BD3ED4" w:rsidP="00F90EAE">
      <w:pPr>
        <w:pStyle w:val="ae"/>
        <w:shd w:val="clear" w:color="auto" w:fill="FFFFFF"/>
        <w:spacing w:before="0" w:after="0"/>
        <w:jc w:val="both"/>
        <w:textAlignment w:val="baseline"/>
        <w:rPr>
          <w:i/>
          <w:iCs/>
          <w:color w:val="000000" w:themeColor="text1"/>
          <w:sz w:val="16"/>
          <w:szCs w:val="16"/>
        </w:rPr>
      </w:pPr>
      <w:r w:rsidRPr="00F90EAE">
        <w:rPr>
          <w:i/>
          <w:iCs/>
          <w:color w:val="000000" w:themeColor="text1"/>
          <w:sz w:val="16"/>
          <w:szCs w:val="16"/>
          <w:bdr w:val="none" w:sz="0" w:space="0" w:color="auto" w:frame="1"/>
        </w:rPr>
        <w:t>«Подготовительная работа к постановке на производство нового танка ИС-4 развёртывается очень медленно, объясняется это тем, что в связи с переходом завода, в основном, на тракторное производство, всё внимание дирекции завода сосредоточено на скорейшем освоении и выпуске тракторов. Вопросы танкостроения получили второстепенное значение, и поэтому им уделяется чрезвычайно мало времени»</w:t>
      </w:r>
    </w:p>
    <w:p w14:paraId="5454929C"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Как показало дальнейшее развитие ситуации, в 1946 году ЧКЗ так и не смог освоить выпуск ИС-4. Да и в 1947 году едва получилось превысить объём выпуска в 50 экземпляров. Что же касается ИС-3, то в 1946 году работы по улучшению танка застопорились. Фактически единственным большим изменением стало появление лючков ящиков ЗИП в фальшбортах корпуса (19731).</w:t>
      </w:r>
    </w:p>
    <w:p w14:paraId="4B8942CA" w14:textId="77777777" w:rsidR="00BD3ED4" w:rsidRPr="00F90EAE" w:rsidRDefault="00BD3ED4" w:rsidP="00F90EAE">
      <w:pPr>
        <w:pStyle w:val="ae"/>
        <w:shd w:val="clear" w:color="auto" w:fill="FFFFFF"/>
        <w:spacing w:before="0" w:after="0"/>
        <w:jc w:val="both"/>
        <w:textAlignment w:val="baseline"/>
        <w:rPr>
          <w:color w:val="000000" w:themeColor="text1"/>
          <w:sz w:val="16"/>
          <w:szCs w:val="16"/>
        </w:rPr>
      </w:pPr>
    </w:p>
    <w:p w14:paraId="6BD40A3C" w14:textId="77777777" w:rsidR="00637BF4" w:rsidRPr="00F90EAE" w:rsidRDefault="00637BF4" w:rsidP="00F90EAE">
      <w:pPr>
        <w:autoSpaceDE w:val="0"/>
        <w:autoSpaceDN w:val="0"/>
        <w:adjustRightInd w:val="0"/>
        <w:jc w:val="both"/>
        <w:rPr>
          <w:color w:val="000000" w:themeColor="text1"/>
          <w:sz w:val="16"/>
          <w:szCs w:val="16"/>
        </w:rPr>
      </w:pPr>
      <w:r w:rsidRPr="00F90EAE">
        <w:rPr>
          <w:color w:val="000000" w:themeColor="text1"/>
          <w:sz w:val="16"/>
          <w:szCs w:val="16"/>
        </w:rPr>
        <w:t>21 мая 1945 г. вышло распоряжение Совнаркома СССР, которым Государственный союзный завод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40998B3F" w14:textId="77777777" w:rsidR="00637BF4" w:rsidRPr="00F90EAE" w:rsidRDefault="00637BF4" w:rsidP="00F90EAE">
      <w:pPr>
        <w:autoSpaceDE w:val="0"/>
        <w:autoSpaceDN w:val="0"/>
        <w:adjustRightInd w:val="0"/>
        <w:jc w:val="both"/>
        <w:rPr>
          <w:color w:val="000000" w:themeColor="text1"/>
          <w:sz w:val="16"/>
          <w:szCs w:val="16"/>
        </w:rPr>
      </w:pPr>
    </w:p>
    <w:p w14:paraId="5D7FB5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мая 1945 начальник техуправления ГБТУ Красной Армии Благонравов подписал комплект техдокументации на танк ИС-3, инициировав таким образом серийное производство указанного танка, настоящая жизнь которого началась уже после Победы. К 1 мая 1945 г. ЧКЗ изготовил только 25 шт. ИС-3, часть которых еще проходила заводскую обкатку...(11135).</w:t>
      </w:r>
    </w:p>
    <w:p w14:paraId="076858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9276737" w14:textId="77777777" w:rsidR="00637BF4" w:rsidRPr="00F90EAE" w:rsidRDefault="00637BF4" w:rsidP="00F90EAE">
      <w:pPr>
        <w:jc w:val="both"/>
        <w:rPr>
          <w:color w:val="000000" w:themeColor="text1"/>
          <w:sz w:val="16"/>
          <w:szCs w:val="16"/>
        </w:rPr>
      </w:pPr>
      <w:r w:rsidRPr="00F90EAE">
        <w:rPr>
          <w:bCs/>
          <w:color w:val="000000" w:themeColor="text1"/>
          <w:sz w:val="16"/>
          <w:szCs w:val="16"/>
        </w:rPr>
        <w:t>21 мая</w:t>
      </w:r>
      <w:r w:rsidRPr="00F90EAE">
        <w:rPr>
          <w:color w:val="000000" w:themeColor="text1"/>
          <w:sz w:val="16"/>
          <w:szCs w:val="16"/>
        </w:rPr>
        <w:t xml:space="preserve"> в 1945 году основан Львовский автобусный завод (с августа 1994 г. ОАО «ЛАЗ») – одно из крупнейших автобусостроительных предприятий СНГ (14898).</w:t>
      </w:r>
    </w:p>
    <w:p w14:paraId="07AF85E5" w14:textId="77777777" w:rsidR="00637BF4" w:rsidRPr="00F90EAE" w:rsidRDefault="00637BF4" w:rsidP="00F90EAE">
      <w:pPr>
        <w:jc w:val="both"/>
        <w:rPr>
          <w:color w:val="000000" w:themeColor="text1"/>
          <w:sz w:val="16"/>
          <w:szCs w:val="16"/>
        </w:rPr>
      </w:pPr>
    </w:p>
    <w:p w14:paraId="73B05EA8" w14:textId="77777777" w:rsidR="0049598A" w:rsidRPr="00F90EAE" w:rsidRDefault="0049598A" w:rsidP="00F90EAE">
      <w:pPr>
        <w:jc w:val="both"/>
        <w:rPr>
          <w:color w:val="000000" w:themeColor="text1"/>
          <w:sz w:val="16"/>
          <w:szCs w:val="16"/>
        </w:rPr>
      </w:pPr>
      <w:r w:rsidRPr="00F90EAE">
        <w:rPr>
          <w:color w:val="000000" w:themeColor="text1"/>
          <w:sz w:val="16"/>
          <w:szCs w:val="16"/>
        </w:rPr>
        <w:t>21 мая 1945 года начался серийный выпуск нового отечественного лимузина ЗИС-110. Задание на производство этого автомобиля было выдано Заводу имени Сталина в 1942 году, когда тот находился в эвакуации в Миассе, и заводским специалистам пришлось самостоятельно изготавливать оснастку для производства кузовов. Если для ЗиС-101 штампы для кузовных панелей, лонжеронов рамы, а также кондукторы для сварки кузовов были заказаны в США фирме Badd, и на их изготовление было затрачено шестнадцать месяцев и полтора миллиона тогдашних долларов, то теперь на это не было ни валюты, ни времени. Есть также версия, автором которой является британский автоисторик Майкл Седжвик, состоящая в том, что СССР действительно обратился к фирма Паккард с просьбой продать кузовные штампы несостоявшейся модели, но фирмачи ответили, что эти штампы уже уничтожены, так как возобновление выпуска Паккарда-180 не планируется. В конце концов, штампы были отлиты на нашем заводе из цинко-алюминиевого сплаваи показали достаточную долговечность в расчете на мелкосерийное производство.</w:t>
      </w:r>
    </w:p>
    <w:p w14:paraId="502C4346" w14:textId="77777777" w:rsidR="0049598A" w:rsidRPr="00F90EAE" w:rsidRDefault="0049598A" w:rsidP="00F90EAE">
      <w:pPr>
        <w:jc w:val="both"/>
        <w:rPr>
          <w:color w:val="000000" w:themeColor="text1"/>
          <w:sz w:val="16"/>
          <w:szCs w:val="16"/>
        </w:rPr>
      </w:pPr>
      <w:r w:rsidRPr="00F90EAE">
        <w:rPr>
          <w:color w:val="000000" w:themeColor="text1"/>
          <w:sz w:val="16"/>
          <w:szCs w:val="16"/>
        </w:rPr>
        <w:t>Несмотря на то, что за основу была взята внешность Паккарда-180, это была самостоятельная советская разработка, похожая на американский автомобиль лишь декором, при этом имевшая существенные отличия в размерах, форме кузова и конструкции. Так, автор кузова художник-дизайнер Герман сделал все возможное, дабы внешность автомобиля как можно дальше ушла от нелюбимого им американца. Он убрал подножки, придал передним крыльям большую округлость и обтекаемость, изъял из конструкции ниши для размещения в открытую запасных колес, а заднюю часть кузова сделал более покатой. Получившийся в итоге кузов ЗИСа, за вычетом декора, по форме напоминал скорее кузова ручной работы ателье «Фишер», поставлявшиеся для автомобилей «Бьюик-Лимитед» или «Кадиллак» последних довоенных моделей.</w:t>
      </w:r>
    </w:p>
    <w:p w14:paraId="4D1DB22A" w14:textId="77777777" w:rsidR="0049598A" w:rsidRPr="00F90EAE" w:rsidRDefault="0049598A" w:rsidP="00F90EAE">
      <w:pPr>
        <w:jc w:val="both"/>
        <w:rPr>
          <w:color w:val="000000" w:themeColor="text1"/>
          <w:sz w:val="16"/>
          <w:szCs w:val="16"/>
        </w:rPr>
      </w:pPr>
      <w:r w:rsidRPr="00F90EAE">
        <w:rPr>
          <w:color w:val="000000" w:themeColor="text1"/>
          <w:sz w:val="16"/>
          <w:szCs w:val="16"/>
        </w:rPr>
        <w:t>Длина автомобиля при 3760-миллиметровой колёсной базе составляла ровно шесть метров. Ширина равнялась 1960 миллиметрам, а высота при 200-миллиметровом клиренсе достигала 1730 миллиметров.</w:t>
      </w:r>
    </w:p>
    <w:p w14:paraId="0748D804" w14:textId="77777777" w:rsidR="0049598A" w:rsidRPr="00F90EAE" w:rsidRDefault="0049598A" w:rsidP="00F90EAE">
      <w:pPr>
        <w:jc w:val="both"/>
        <w:rPr>
          <w:color w:val="000000" w:themeColor="text1"/>
          <w:sz w:val="16"/>
          <w:szCs w:val="16"/>
        </w:rPr>
      </w:pPr>
      <w:r w:rsidRPr="00F90EAE">
        <w:rPr>
          <w:color w:val="000000" w:themeColor="text1"/>
          <w:sz w:val="16"/>
          <w:szCs w:val="16"/>
        </w:rPr>
        <w:t xml:space="preserve">На автомобиле стоял рядный восьмицилиндровый двигатель, почти полностью скопированный с Паккарда. Все цилиндры были отлиты из специального чугуна в одном блоке вместе с картером. Снизу к картеру был присоединен стальной штампованный поддон. Диаметр его цилиндра составлял 88,9 мм (3,5 дюйма), а ход поршня – 116,84 мм (4,6 дюйма). Поршни были изготовлены из алюминиевого сплава. На юбке поршня был сделан сквозной косой разрез. </w:t>
      </w:r>
    </w:p>
    <w:p w14:paraId="1093D45E" w14:textId="77777777" w:rsidR="0049598A" w:rsidRPr="00F90EAE" w:rsidRDefault="0049598A" w:rsidP="00F90EAE">
      <w:pPr>
        <w:jc w:val="both"/>
        <w:rPr>
          <w:color w:val="000000" w:themeColor="text1"/>
          <w:sz w:val="16"/>
          <w:szCs w:val="16"/>
        </w:rPr>
      </w:pPr>
      <w:r w:rsidRPr="00F90EAE">
        <w:rPr>
          <w:color w:val="000000" w:themeColor="text1"/>
          <w:sz w:val="16"/>
          <w:szCs w:val="16"/>
        </w:rPr>
        <w:t xml:space="preserve">Впервые в практике советского автомобилестроения двигатель имел гидравлические толкатели клапанов и привод распредвала бесшумной пластинчатой цепью Морзе – ранее такая устанавливалась на автомобили Русско-Балтийского завода. Двигатель ЗиС-110 работал столь тихо и плавно, что на приборной панели имелась контрольная лампа работающего зажигания, иначе было невозможно определить, заведен мотор или нет. Единственное, что пришлось тогда изменить, это степень сжатия. Дело в том, что самым высокооктановым бензином был тогда в СССР бензин Б-70. С 1945 года на Гурьевском НПЗ начали выпускать А-72, но для степени </w:t>
      </w:r>
      <w:r w:rsidRPr="00F90EAE">
        <w:rPr>
          <w:color w:val="000000" w:themeColor="text1"/>
          <w:sz w:val="16"/>
          <w:szCs w:val="16"/>
        </w:rPr>
        <w:lastRenderedPageBreak/>
        <w:t>сжатия в 7,4 требовался 74-й. Такой бензин под маркой А-74 освоили на Московском и Рязанском НПЗ лишь к 1950 году, а пока было решено снизить степень сжатия до 6,85 единиц. Такое решение повлекло за собой падение мощности со 162 до 140 л.с. при тех же 3600 оборотах.</w:t>
      </w:r>
    </w:p>
    <w:p w14:paraId="1246D57F" w14:textId="77777777" w:rsidR="0049598A" w:rsidRPr="00F90EAE" w:rsidRDefault="0049598A" w:rsidP="00F90EAE">
      <w:pPr>
        <w:jc w:val="both"/>
        <w:rPr>
          <w:color w:val="000000" w:themeColor="text1"/>
          <w:sz w:val="16"/>
          <w:szCs w:val="16"/>
        </w:rPr>
      </w:pPr>
      <w:r w:rsidRPr="00F90EAE">
        <w:rPr>
          <w:color w:val="000000" w:themeColor="text1"/>
          <w:sz w:val="16"/>
          <w:szCs w:val="16"/>
        </w:rPr>
        <w:t>На ЗиС-101 установили ту же самую трехступенчатую коробку передач, что была на «Победе», на ЗиМе, а потом и на 21-й «Волге». Трогался автомобиль, как правило, со второй передачи и, разогнавшись до 30 км/ч, водитель включал третью. Педаль сцепления при этом переключении он не выжимал.</w:t>
      </w:r>
    </w:p>
    <w:p w14:paraId="42791738" w14:textId="77777777" w:rsidR="0049598A" w:rsidRPr="00F90EAE" w:rsidRDefault="0049598A" w:rsidP="00F90EAE">
      <w:pPr>
        <w:jc w:val="both"/>
        <w:rPr>
          <w:color w:val="000000" w:themeColor="text1"/>
          <w:sz w:val="16"/>
          <w:szCs w:val="16"/>
        </w:rPr>
      </w:pPr>
      <w:r w:rsidRPr="00F90EAE">
        <w:rPr>
          <w:color w:val="000000" w:themeColor="text1"/>
          <w:sz w:val="16"/>
          <w:szCs w:val="16"/>
        </w:rPr>
        <w:t>На ЗиС-110 впервые применялась герметизированная система охлаждения. И еще одна интересная подробность. В верхнем бачке радиатора размещался термостат, который автоматически открывал или закрывал жалюзи, ускоряя прогрев или регулируя охлаждения двигателя.</w:t>
      </w:r>
    </w:p>
    <w:p w14:paraId="3A7C8E05" w14:textId="77777777" w:rsidR="0049598A" w:rsidRPr="00F90EAE" w:rsidRDefault="0049598A" w:rsidP="00F90EAE">
      <w:pPr>
        <w:jc w:val="both"/>
        <w:rPr>
          <w:color w:val="000000" w:themeColor="text1"/>
          <w:sz w:val="16"/>
          <w:szCs w:val="16"/>
        </w:rPr>
      </w:pPr>
      <w:r w:rsidRPr="00F90EAE">
        <w:rPr>
          <w:color w:val="000000" w:themeColor="text1"/>
          <w:sz w:val="16"/>
          <w:szCs w:val="16"/>
        </w:rPr>
        <w:t>ЗиС-110 стал первым в СССР автомобилем с независимой подвеской передних колес. Шасси автомобиля было оснащено стабилизаторами поперечной устойчивости спереди и сзади. Впервые после автомобиля АМО-2 был применен гидропривод тормозов.</w:t>
      </w:r>
    </w:p>
    <w:p w14:paraId="57612504" w14:textId="77777777" w:rsidR="0049598A" w:rsidRPr="00F90EAE" w:rsidRDefault="0049598A" w:rsidP="00F90EAE">
      <w:pPr>
        <w:jc w:val="both"/>
        <w:rPr>
          <w:color w:val="000000" w:themeColor="text1"/>
          <w:sz w:val="16"/>
          <w:szCs w:val="16"/>
        </w:rPr>
      </w:pPr>
      <w:r w:rsidRPr="00F90EAE">
        <w:rPr>
          <w:color w:val="000000" w:themeColor="text1"/>
          <w:sz w:val="16"/>
          <w:szCs w:val="16"/>
        </w:rPr>
        <w:t>Автомобиль отличали хорошая шумоизоляция, эффективная система вентиляции и отопления, серийно устанавливаемый радиоприемник, мягкие сиденья с набивкой из гагачьего пуха и обшивка из бежевого драпа – материала, из которого тогда шили пальто. Поворотная форточка на ЗиС-110 ставилась только в передних дверях. Заднее же боковое стекло могло поворачиваться относительно вертикальной оси, проходившей примерно по его середине. Кроме того, ЗиС-110 стал первым отечественным автомобилем, стёкла которого поднимались автоматически. Но поднимаются они не с помощью обычных электромоторов, как это делается в современных автомобилях, а с помощью гидравлических домкратов. Сделано это для того, чтобы можно было осуществлять подъём довольно тяжелых 75-миллиметровых бронированных стёкол. Кстати, о броне: из 2100 выпущенных экземпляров в броню одели только 43 штуки, но первым выпущенным экземпляром была именно бронированная версия – этот экземпляр в итоге и достался Сталину.</w:t>
      </w:r>
    </w:p>
    <w:p w14:paraId="44D5E411" w14:textId="77777777" w:rsidR="0049598A" w:rsidRPr="00F90EAE" w:rsidRDefault="0049598A" w:rsidP="00F90EAE">
      <w:pPr>
        <w:jc w:val="both"/>
        <w:rPr>
          <w:color w:val="000000" w:themeColor="text1"/>
          <w:sz w:val="16"/>
          <w:szCs w:val="16"/>
        </w:rPr>
      </w:pPr>
      <w:r w:rsidRPr="00F90EAE">
        <w:rPr>
          <w:color w:val="000000" w:themeColor="text1"/>
          <w:sz w:val="16"/>
          <w:szCs w:val="16"/>
        </w:rPr>
        <w:t>Масса такой конструкции вместо 2500 кг составляла около 7,5 тонн. Чтобы шасси выдерживало такую нагрузку, задний мост с полностью разгруженными полуосями пришлось позаимствовать у грузовика ЗиС-150. Даже передаточное отношение в главной передаче оставили грузовым – 6,67 вместо 4,36 у серийной модели. Однако именно на этой модификации, названной ЗиС-115, оставили высокую степень сжатия, и первое время такие автомобили заправляли импортным бензином. Несмотря на увеличенную мощность, скорость «броневика» не превышала 100 км/ч, в то время как серийная 140-сильная модель разгонялась до 140, набирая 100-километровую скорость за 28 секунд.</w:t>
      </w:r>
    </w:p>
    <w:p w14:paraId="5C9B434E" w14:textId="77777777" w:rsidR="0049598A" w:rsidRPr="00F90EAE" w:rsidRDefault="0049598A" w:rsidP="00F90EAE">
      <w:pPr>
        <w:jc w:val="both"/>
        <w:rPr>
          <w:color w:val="000000" w:themeColor="text1"/>
          <w:sz w:val="16"/>
          <w:szCs w:val="16"/>
        </w:rPr>
      </w:pPr>
      <w:r w:rsidRPr="00F90EAE">
        <w:rPr>
          <w:color w:val="000000" w:themeColor="text1"/>
          <w:sz w:val="16"/>
          <w:szCs w:val="16"/>
        </w:rPr>
        <w:t xml:space="preserve">Автомобиль имел множество модификаций. В 1952 году, например, было построено несколько спортивных автомобилей ЗИС-112 с форсированным двигателем мощностью в 192 л.с., которые могли разгоняться до 200 км/час. А тремя годами раньше сталинский завод изготовил несколько автомобилей ЗИС-110 в модификациях «Такси» и «Скорая помощь». Внешние отличия Скорой Помощи от базовой модели состояли в специальной медицинской окраске, которая была бежевая или светло-серая, фонаре с красным крестом на крыше и измененной форме багажника: последний стал доходить до крыши, что было связано с использованием штатных носилок, которыми комплектовался автомобиль. </w:t>
      </w:r>
    </w:p>
    <w:p w14:paraId="4B71ED17" w14:textId="77777777" w:rsidR="0049598A" w:rsidRPr="00F90EAE" w:rsidRDefault="0049598A" w:rsidP="00F90EAE">
      <w:pPr>
        <w:jc w:val="both"/>
        <w:rPr>
          <w:color w:val="000000" w:themeColor="text1"/>
          <w:sz w:val="16"/>
          <w:szCs w:val="16"/>
        </w:rPr>
      </w:pPr>
      <w:r w:rsidRPr="00F90EAE">
        <w:rPr>
          <w:color w:val="000000" w:themeColor="text1"/>
          <w:sz w:val="16"/>
          <w:szCs w:val="16"/>
        </w:rPr>
        <w:t>В том же году впервые увидел свет автомобиль ЗИС-110Б с открытым кузовом типа фаэтон. Фаэтоны ЗИС-110Б начиная с 1955 года сменили коней, которыми пользовались командующие парадами и принимающие парад на Красной площади в Москве, на Дворцовой площади в Ленинграде.</w:t>
      </w:r>
    </w:p>
    <w:p w14:paraId="6CA15874" w14:textId="77777777" w:rsidR="0049598A" w:rsidRPr="00F90EAE" w:rsidRDefault="0049598A" w:rsidP="00F90EAE">
      <w:pPr>
        <w:jc w:val="both"/>
        <w:rPr>
          <w:color w:val="000000" w:themeColor="text1"/>
          <w:sz w:val="16"/>
          <w:szCs w:val="16"/>
        </w:rPr>
      </w:pPr>
      <w:r w:rsidRPr="00F90EAE">
        <w:rPr>
          <w:color w:val="000000" w:themeColor="text1"/>
          <w:sz w:val="16"/>
          <w:szCs w:val="16"/>
        </w:rPr>
        <w:t>Одной из самых необычных вариантов был полноприводной ЗИС-110Ш, появившийся в 1949 году.   Главной особенностью этого автомобиля был полный привод. Его обеспечили два ведущих моста от автомобиля «додж WC51», причём передний мост имел карданные шарниры типа «вейс». В послевоенное время осталось немалое количество старой, оставшейся с войны лендлизовской техники. Чтобы не конструировать новые агрегаты, приняли решение подобрать их из ассортимента имеющихся американских. С раздаточной коробкой соединение обеспечивалось двумя удлинёнными карданными валами от ЗИС-110. Сама же раздаточная коробка, принадлежавшая также «доджу» и имевшая передаточное отношение 1:1, приводилась в движение от коробки передач специальным коротким промежуточным карданным валом. Сердцем нового вездехода стал самый мощный и лучший легковой двигатель от автомобиля «ЗИС-115», обладающий к тому же более совершенной системой охлаждения масла и заново спроектированным радиатором.</w:t>
      </w:r>
    </w:p>
    <w:p w14:paraId="04CB56D3" w14:textId="77777777" w:rsidR="0049598A" w:rsidRPr="00F90EAE" w:rsidRDefault="0049598A" w:rsidP="00F90EAE">
      <w:pPr>
        <w:jc w:val="both"/>
        <w:rPr>
          <w:color w:val="000000" w:themeColor="text1"/>
          <w:sz w:val="16"/>
          <w:szCs w:val="16"/>
        </w:rPr>
      </w:pPr>
      <w:r w:rsidRPr="00F90EAE">
        <w:rPr>
          <w:color w:val="000000" w:themeColor="text1"/>
          <w:sz w:val="16"/>
          <w:szCs w:val="16"/>
        </w:rPr>
        <w:t>Этот довольно удачный образец был выпущен всего в 47 экземплярах, ни один из которых до наших дней, к сожалению, не дожил (17452).</w:t>
      </w:r>
    </w:p>
    <w:p w14:paraId="07CE99B9" w14:textId="77777777" w:rsidR="0049598A" w:rsidRPr="00F90EAE" w:rsidRDefault="0049598A" w:rsidP="00F90EAE">
      <w:pPr>
        <w:widowControl w:val="0"/>
        <w:tabs>
          <w:tab w:val="left" w:pos="11199"/>
        </w:tabs>
        <w:autoSpaceDE w:val="0"/>
        <w:autoSpaceDN w:val="0"/>
        <w:adjustRightInd w:val="0"/>
        <w:jc w:val="both"/>
        <w:rPr>
          <w:color w:val="000000" w:themeColor="text1"/>
          <w:sz w:val="16"/>
          <w:szCs w:val="16"/>
        </w:rPr>
      </w:pPr>
    </w:p>
    <w:p w14:paraId="1BEC03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мая 1945 г. Совет Народных Комиссаров СССР выпустил Распоряжение № 8035р</w:t>
      </w:r>
    </w:p>
    <w:p w14:paraId="484005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5B2AEE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Обязать Наркомбоеприпасов (т. Ванникова) передать по балансу на 15 мая 1945 г. Наркомстройматериалов РСФСР завод, № 527 (быв.Люберецкий завод силикатно</w:t>
      </w:r>
      <w:r w:rsidRPr="00F90EAE">
        <w:rPr>
          <w:color w:val="000000" w:themeColor="text1"/>
          <w:sz w:val="16"/>
          <w:szCs w:val="16"/>
        </w:rPr>
        <w:softHyphen/>
        <w:t>го кирпича) со всем оборудованием, инвентарем, карье</w:t>
      </w:r>
      <w:r w:rsidRPr="00F90EAE">
        <w:rPr>
          <w:color w:val="000000" w:themeColor="text1"/>
          <w:sz w:val="16"/>
          <w:szCs w:val="16"/>
        </w:rPr>
        <w:softHyphen/>
        <w:t>ром, подъездными путями, транспортными средствами, жилфондом, орсом и подсобным хозяйством.</w:t>
      </w:r>
    </w:p>
    <w:p w14:paraId="1900EF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Обязать Совнарком РСФСР (т. Косыгина) в месяч</w:t>
      </w:r>
      <w:r w:rsidRPr="00F90EAE">
        <w:rPr>
          <w:color w:val="000000" w:themeColor="text1"/>
          <w:sz w:val="16"/>
          <w:szCs w:val="16"/>
        </w:rPr>
        <w:softHyphen/>
        <w:t>ный срок представить в Совнарком СССР мероприятия по обеспечению выпуска силикатного кирпича на Любе</w:t>
      </w:r>
      <w:r w:rsidRPr="00F90EAE">
        <w:rPr>
          <w:color w:val="000000" w:themeColor="text1"/>
          <w:sz w:val="16"/>
          <w:szCs w:val="16"/>
        </w:rPr>
        <w:softHyphen/>
        <w:t>рецком заводе.</w:t>
      </w:r>
    </w:p>
    <w:p w14:paraId="53FF13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Разрешить Наркомстройматериалов РСФСР передать Люберецкому заводу силикатного кирпича оборудование разрушенного Павловского завода силикатного кирпича.</w:t>
      </w:r>
    </w:p>
    <w:p w14:paraId="7B9EFF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Сохранить для руководящих, инженерно-технических работников, рабочих и служащих Люберецкого завода си</w:t>
      </w:r>
      <w:r w:rsidRPr="00F90EAE">
        <w:rPr>
          <w:color w:val="000000" w:themeColor="text1"/>
          <w:sz w:val="16"/>
          <w:szCs w:val="16"/>
        </w:rPr>
        <w:softHyphen/>
        <w:t>ликатного кирпича Наркомстройматериалов РСФСР нормы продовольственного и промтоварного снабжения, а также условия оплаты труда, действовавшие на этом заводе во время нахождения его в системе Наркомбоеприпасов.</w:t>
      </w:r>
    </w:p>
    <w:p w14:paraId="1DB2A5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 Председателя Совета Народных Комиссаров Союза СССР</w:t>
      </w:r>
    </w:p>
    <w:p w14:paraId="697B27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Молотов)</w:t>
      </w:r>
    </w:p>
    <w:p w14:paraId="349F89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ГАРФ. Ф. 5446. Оп. 2. Д. 124. Л. 98. Подлинник (11461).</w:t>
      </w:r>
    </w:p>
    <w:p w14:paraId="67703C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7C0B3B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6BBE7AD" w14:textId="77777777" w:rsidR="00665165" w:rsidRPr="00F90EAE" w:rsidRDefault="00665165" w:rsidP="00F90EAE">
      <w:pPr>
        <w:autoSpaceDE w:val="0"/>
        <w:autoSpaceDN w:val="0"/>
        <w:adjustRightInd w:val="0"/>
        <w:jc w:val="both"/>
        <w:rPr>
          <w:iCs/>
          <w:color w:val="000000" w:themeColor="text1"/>
          <w:sz w:val="16"/>
          <w:szCs w:val="16"/>
        </w:rPr>
      </w:pPr>
    </w:p>
    <w:p w14:paraId="41B38A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мая 1945 в 571 шап прибыла комиссия ВВС КА, для которой были сняты на</w:t>
      </w:r>
      <w:r w:rsidRPr="00F90EAE">
        <w:rPr>
          <w:color w:val="000000" w:themeColor="text1"/>
          <w:sz w:val="16"/>
          <w:szCs w:val="16"/>
        </w:rPr>
        <w:softHyphen/>
        <w:t>угад еще два мотора («десятки» с зав. №№ 1892903 и 1891404). Осмотр мо</w:t>
      </w:r>
      <w:r w:rsidRPr="00F90EAE">
        <w:rPr>
          <w:color w:val="000000" w:themeColor="text1"/>
          <w:sz w:val="16"/>
          <w:szCs w:val="16"/>
        </w:rPr>
        <w:softHyphen/>
        <w:t>торов показал, что оба АМ-42 имеют «большой люфт между основной крыльчаткой и направляющей в самих шлицах, ...в нагнетателях также много пыли». Выводы те же: самолеты к экс</w:t>
      </w:r>
      <w:r w:rsidRPr="00F90EAE">
        <w:rPr>
          <w:color w:val="000000" w:themeColor="text1"/>
          <w:sz w:val="16"/>
          <w:szCs w:val="16"/>
        </w:rPr>
        <w:softHyphen/>
        <w:t>плуатации допускать нельзя.</w:t>
      </w:r>
    </w:p>
    <w:p w14:paraId="1FC3E3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же «по причине производ</w:t>
      </w:r>
      <w:r w:rsidRPr="00F90EAE">
        <w:rPr>
          <w:color w:val="000000" w:themeColor="text1"/>
          <w:sz w:val="16"/>
          <w:szCs w:val="16"/>
        </w:rPr>
        <w:softHyphen/>
        <w:t>ственно-конструктивных дефектов нагнетателя» из строя вышли 17 мото</w:t>
      </w:r>
      <w:r w:rsidRPr="00F90EAE">
        <w:rPr>
          <w:color w:val="000000" w:themeColor="text1"/>
          <w:sz w:val="16"/>
          <w:szCs w:val="16"/>
        </w:rPr>
        <w:softHyphen/>
        <w:t>ров АМ- 42. Как указывалось в отчете ст. инженера 571-го шап м-ра Жилен-кова, «для восстановления всех само</w:t>
      </w:r>
      <w:r w:rsidRPr="00F90EAE">
        <w:rPr>
          <w:color w:val="000000" w:themeColor="text1"/>
          <w:sz w:val="16"/>
          <w:szCs w:val="16"/>
        </w:rPr>
        <w:softHyphen/>
        <w:t>летов полку требуется 14 моторов АМ-42 и 18 нагнетателей». Фактически 571-й шап утратил боеспособность и, слава богу, что 9 мая 1945 г. был днем нашей Победы...(11157).</w:t>
      </w:r>
    </w:p>
    <w:p w14:paraId="38E92F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4DF78C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C29252F" w14:textId="77777777" w:rsidR="00665165" w:rsidRPr="00F90EAE" w:rsidRDefault="00665165" w:rsidP="00F90EAE">
      <w:pPr>
        <w:autoSpaceDE w:val="0"/>
        <w:autoSpaceDN w:val="0"/>
        <w:adjustRightInd w:val="0"/>
        <w:jc w:val="both"/>
        <w:rPr>
          <w:iCs/>
          <w:color w:val="000000" w:themeColor="text1"/>
          <w:sz w:val="16"/>
          <w:szCs w:val="16"/>
        </w:rPr>
      </w:pPr>
    </w:p>
    <w:p w14:paraId="0184737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мая 1945 Сирия и Ливан провозгласили свою независимость от Франции (4962).</w:t>
      </w:r>
    </w:p>
    <w:p w14:paraId="514D50C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E219C6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A799E6B" w14:textId="77777777" w:rsidR="00665165" w:rsidRPr="00F90EAE" w:rsidRDefault="00665165" w:rsidP="00F90EAE">
      <w:pPr>
        <w:autoSpaceDE w:val="0"/>
        <w:autoSpaceDN w:val="0"/>
        <w:adjustRightInd w:val="0"/>
        <w:jc w:val="both"/>
        <w:rPr>
          <w:iCs/>
          <w:color w:val="000000" w:themeColor="text1"/>
          <w:sz w:val="16"/>
          <w:szCs w:val="16"/>
        </w:rPr>
      </w:pPr>
    </w:p>
    <w:p w14:paraId="76BF2C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 ГК НИИ ВВС прибыл для прохождения гос. испытаний модифицированный самолет УИл-2 с мотором АМ-38Ф (самолет N 18841133 производства 18 завода, апрель 1945) (тема 2 - 1945). Испытания проходили с 31 мая по 8 июня 1945. Среди отличий (1969,11):</w:t>
      </w:r>
    </w:p>
    <w:p w14:paraId="1F1C70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самолету:</w:t>
      </w:r>
    </w:p>
    <w:p w14:paraId="21117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Улучшена вторая кабина, проведены следующие изменения</w:t>
      </w:r>
    </w:p>
    <w:p w14:paraId="36A9CA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установлен пол</w:t>
      </w:r>
    </w:p>
    <w:p w14:paraId="2AD06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заменены боковые фанерные щитки на прозрачные в подвижной части фонаря</w:t>
      </w:r>
    </w:p>
    <w:p w14:paraId="17F249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установлено ограждение на тяги и тросы управления</w:t>
      </w:r>
    </w:p>
    <w:p w14:paraId="44EA76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установлены мягкие подушки на подголовнике и спинке сидения</w:t>
      </w:r>
    </w:p>
    <w:p w14:paraId="71D7D9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 изменены габариты приборной доски</w:t>
      </w:r>
    </w:p>
    <w:p w14:paraId="00AF0B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Установлено в первой кабине управление фиксатором замка подъемника щитков для постановки последних во взлетное положение</w:t>
      </w:r>
    </w:p>
    <w:p w14:paraId="564DE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Установлены бронестекла в козырьке фонаря первой кабины</w:t>
      </w:r>
    </w:p>
    <w:p w14:paraId="067ED0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Установлен стандартный зарядный штуцер</w:t>
      </w:r>
    </w:p>
    <w:p w14:paraId="4A1716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спецоборудованию</w:t>
      </w:r>
    </w:p>
    <w:p w14:paraId="72CD77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Установлено СПУ-2ММ вместо СПУФ-2</w:t>
      </w:r>
    </w:p>
    <w:p w14:paraId="4F7FEA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Установлен передатчик РСИ-3М1 с укороченной антенной</w:t>
      </w:r>
    </w:p>
    <w:p w14:paraId="79425B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Установлена кнопка управления передатчиком на секторе нормального газа</w:t>
      </w:r>
    </w:p>
    <w:p w14:paraId="01B083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Установлены фильтры СФ-1 в электросети и АПФ-1 в цепи системы зажигания</w:t>
      </w:r>
    </w:p>
    <w:p w14:paraId="6BA40C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Установлен аккумулятор типа 12А-10 С/3</w:t>
      </w:r>
    </w:p>
    <w:p w14:paraId="0F7F0B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установлены аптечки в обеих кабинах</w:t>
      </w:r>
    </w:p>
    <w:p w14:paraId="17F838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 вооружению</w:t>
      </w:r>
    </w:p>
    <w:p w14:paraId="28AA6C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Самолет оборудован новой конусной установкой</w:t>
      </w:r>
    </w:p>
    <w:p w14:paraId="2D235B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Сняты гашетки перезярядки пушек (1969,10).</w:t>
      </w:r>
    </w:p>
    <w:p w14:paraId="407A55E8" w14:textId="77777777" w:rsidR="00665165" w:rsidRPr="00F90EAE" w:rsidRDefault="00665165" w:rsidP="00F90EAE">
      <w:pPr>
        <w:autoSpaceDE w:val="0"/>
        <w:autoSpaceDN w:val="0"/>
        <w:adjustRightInd w:val="0"/>
        <w:jc w:val="both"/>
        <w:rPr>
          <w:color w:val="000000" w:themeColor="text1"/>
          <w:sz w:val="16"/>
          <w:szCs w:val="16"/>
        </w:rPr>
      </w:pPr>
    </w:p>
    <w:p w14:paraId="303E6A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г. вышел приказ НКАП о производстве на заводе № 22 деталей двигателя РД-20 для завода № 16. А по приказу НКАП от 16 июня 1945 г. на завод № 16 передаются чертежи и проектная документация по двигателю РД-20. 14 августа 1945 г. из города Ораниенбурга в Казань вылетел самолет Ли-2 (командир экипажа Чугунов), загруженный двумя комплектами двигателей БМВ-003 и аппаратурой. На заводе был составлен очень напряженный план-график постановки производства РД-20:</w:t>
      </w:r>
    </w:p>
    <w:p w14:paraId="65807DE2"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Получение документации – 13.06.45 г.; </w:t>
      </w:r>
    </w:p>
    <w:p w14:paraId="0D6A419D"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Получение образцов – 20.06.45 г.; </w:t>
      </w:r>
    </w:p>
    <w:p w14:paraId="4063D6D6"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Составление узлов спецификации – 28.06.45 г.; </w:t>
      </w:r>
    </w:p>
    <w:p w14:paraId="5135AF6D"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Сварка первых образцов – сентябрь; </w:t>
      </w:r>
    </w:p>
    <w:p w14:paraId="1397C0B7"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Испытание первых образцов – сентябрь; </w:t>
      </w:r>
    </w:p>
    <w:p w14:paraId="3FC8F756"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Сварка первой серии – сентябрь; </w:t>
      </w:r>
    </w:p>
    <w:p w14:paraId="1BC56354"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Сдача первой серии – конец сентября. </w:t>
      </w:r>
    </w:p>
    <w:p w14:paraId="7E8053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освоением реактивных двигателей шла реконструкция завода. Появились новые производства – компрессорное, турбинное, камер сгорания. Руководство завода попыталось усилить инженерно-конструкторский коллектив за счет репрессированных специалистов, работавших в заводском КБ-НКВД. На имя Шахурина поступила докладная записка:</w:t>
      </w:r>
    </w:p>
    <w:p w14:paraId="1C01C2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1941 г. руководство 4 специального отдела НКВД СССР оказывало заводу № 16 непосредственную помощь в разрешении задач, поставленных перед заводом во время Великой Отечественной войны. Группа квалифицированных специалистов 4 спец. Отдела своей добросовестной работой помогали коллективу завода выполнять задания правительства. В области серийного производства с их помощью проводилась организация поточного производства с совершенствованием технологического процесса, механизация и модификация оборудования.</w:t>
      </w:r>
    </w:p>
    <w:p w14:paraId="0A9533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области опытно-конструкторских работ специалисты работали по созданию:</w:t>
      </w:r>
    </w:p>
    <w:p w14:paraId="18F2C1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Мощного двухвального авиационного мотора. Мотор в первом варианте прошел совместные летные испытания на Ер-2 в 1945 г. Мотор форсируется до номинальной мощности 3600 л.с. (Речь, видимо, идет об опытных 24-цилиндровых МБ-100 конструктора Добротворского А.М. – авт.)</w:t>
      </w:r>
    </w:p>
    <w:p w14:paraId="33FB27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Форкамерного зажигания мотора.</w:t>
      </w:r>
    </w:p>
    <w:p w14:paraId="4521E7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Форсирования серийного мотора на высоте 2000 м (ВК-105 ПВ).</w:t>
      </w:r>
    </w:p>
    <w:p w14:paraId="40BB6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Впрыска воды.</w:t>
      </w:r>
    </w:p>
    <w:p w14:paraId="70555B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Перед заводом поставлена ответственная задача – освоение производства воздушно-реактивного двигателя, для решения которой понадобится помощь специалистов 4 спец. отдела:</w:t>
      </w:r>
    </w:p>
    <w:p w14:paraId="15A92F3E"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Млынарш С.М. – руководитель винтомоторной группы ОКБ; </w:t>
      </w:r>
    </w:p>
    <w:p w14:paraId="16862BD4"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Филин Н.И. – зам. нач. опытно-испытательной станции ОКБ; </w:t>
      </w:r>
    </w:p>
    <w:p w14:paraId="344C1060"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Храпко М.А. – зам. нач. опытно-механического цеха ОКБ; </w:t>
      </w:r>
    </w:p>
    <w:p w14:paraId="651CFABB"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Местунин А.В. – зам. нач. инструментального отдела завода; </w:t>
      </w:r>
    </w:p>
    <w:p w14:paraId="23CBB931"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Чугунов В.В. – зам. нач. термического цеха; </w:t>
      </w:r>
    </w:p>
    <w:p w14:paraId="598C5DCC"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Ольховский П.Г. – зам. главного механика завода; </w:t>
      </w:r>
    </w:p>
    <w:p w14:paraId="78F74282" w14:textId="77777777" w:rsidR="00665165" w:rsidRPr="00F90EAE" w:rsidRDefault="00665165" w:rsidP="00F90EAE">
      <w:pPr>
        <w:tabs>
          <w:tab w:val="left" w:pos="720"/>
        </w:tabs>
        <w:autoSpaceDE w:val="0"/>
        <w:autoSpaceDN w:val="0"/>
        <w:adjustRightInd w:val="0"/>
        <w:jc w:val="both"/>
        <w:rPr>
          <w:color w:val="000000" w:themeColor="text1"/>
          <w:sz w:val="16"/>
          <w:szCs w:val="16"/>
        </w:rPr>
      </w:pPr>
      <w:r w:rsidRPr="00F90EAE">
        <w:rPr>
          <w:color w:val="000000" w:themeColor="text1"/>
          <w:sz w:val="16"/>
          <w:szCs w:val="16"/>
        </w:rPr>
        <w:t xml:space="preserve">Юткевич Т.К. – зам. нач. производства. </w:t>
      </w:r>
    </w:p>
    <w:p w14:paraId="40BF68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Просим Вашего ходатайства об освобождении их со снятием судимости и направления их для дальнейшей работы на завод № 16.</w:t>
      </w:r>
    </w:p>
    <w:p w14:paraId="0A1A64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завода М. Лукин</w:t>
      </w:r>
    </w:p>
    <w:p w14:paraId="319FB0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Парторг ЦК ВКП(б) И. Максимов</w:t>
      </w:r>
    </w:p>
    <w:p w14:paraId="5652F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Главный конструктор С. Колосов»</w:t>
      </w:r>
    </w:p>
    <w:p w14:paraId="48DE0C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сожалению, положительного решения по этому вопросу добиться не удалось (12049).</w:t>
      </w:r>
    </w:p>
    <w:p w14:paraId="0988574E" w14:textId="77777777" w:rsidR="00665165" w:rsidRPr="00F90EAE" w:rsidRDefault="00665165" w:rsidP="00F90EAE">
      <w:pPr>
        <w:autoSpaceDE w:val="0"/>
        <w:autoSpaceDN w:val="0"/>
        <w:adjustRightInd w:val="0"/>
        <w:jc w:val="both"/>
        <w:rPr>
          <w:color w:val="000000" w:themeColor="text1"/>
          <w:sz w:val="16"/>
          <w:szCs w:val="16"/>
        </w:rPr>
      </w:pPr>
    </w:p>
    <w:p w14:paraId="4E8A08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СНК принял постановление "О восстановлении и строительстве аэропортов ГВФ" (442,184).</w:t>
      </w:r>
    </w:p>
    <w:p w14:paraId="206E52D0" w14:textId="77777777" w:rsidR="00665165" w:rsidRPr="00F90EAE" w:rsidRDefault="00665165" w:rsidP="00F90EAE">
      <w:pPr>
        <w:autoSpaceDE w:val="0"/>
        <w:autoSpaceDN w:val="0"/>
        <w:adjustRightInd w:val="0"/>
        <w:jc w:val="both"/>
        <w:rPr>
          <w:color w:val="000000" w:themeColor="text1"/>
          <w:sz w:val="16"/>
          <w:szCs w:val="16"/>
        </w:rPr>
      </w:pPr>
    </w:p>
    <w:p w14:paraId="436BB6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8671 О вывозе оборудования и материалов с немецких авиационных заводов, лаборатории, института испытания материалов в г. Берлин на предприятия Наркомавиапрома. РГАНИР, Фонд ГКО, д. 418, лл. 72-74 (11012).</w:t>
      </w:r>
    </w:p>
    <w:p w14:paraId="163D7F6B" w14:textId="77777777" w:rsidR="00665165" w:rsidRPr="00F90EAE" w:rsidRDefault="00665165" w:rsidP="00F90EAE">
      <w:pPr>
        <w:autoSpaceDE w:val="0"/>
        <w:autoSpaceDN w:val="0"/>
        <w:adjustRightInd w:val="0"/>
        <w:jc w:val="both"/>
        <w:rPr>
          <w:color w:val="000000" w:themeColor="text1"/>
          <w:sz w:val="16"/>
          <w:szCs w:val="16"/>
        </w:rPr>
      </w:pPr>
    </w:p>
    <w:p w14:paraId="504DDE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8673 О вывозе оборудования с немецких авиазаводов из г. Берлин и с авиамоторного завода в г. Гонсхаген на предприятия Наркомавиапрома. РГАНИР, Фонд ГКО, д. 418, лл. 80-82 (11012).</w:t>
      </w:r>
    </w:p>
    <w:p w14:paraId="5658CCAF" w14:textId="77777777" w:rsidR="00665165" w:rsidRPr="00F90EAE" w:rsidRDefault="00665165" w:rsidP="00F90EAE">
      <w:pPr>
        <w:autoSpaceDE w:val="0"/>
        <w:autoSpaceDN w:val="0"/>
        <w:adjustRightInd w:val="0"/>
        <w:jc w:val="both"/>
        <w:rPr>
          <w:color w:val="000000" w:themeColor="text1"/>
          <w:sz w:val="16"/>
          <w:szCs w:val="16"/>
        </w:rPr>
      </w:pPr>
    </w:p>
    <w:p w14:paraId="27B13E2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5AB0DB4" w14:textId="77777777" w:rsidR="00665165" w:rsidRPr="00F90EAE" w:rsidRDefault="00665165" w:rsidP="00F90EAE">
      <w:pPr>
        <w:autoSpaceDE w:val="0"/>
        <w:autoSpaceDN w:val="0"/>
        <w:adjustRightInd w:val="0"/>
        <w:jc w:val="both"/>
        <w:rPr>
          <w:iCs/>
          <w:color w:val="000000" w:themeColor="text1"/>
          <w:sz w:val="16"/>
          <w:szCs w:val="16"/>
        </w:rPr>
      </w:pPr>
    </w:p>
    <w:p w14:paraId="1E3985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г. по приказу НКБ № 192 завод № 562 (ГС Завод № 562 НКБ, ГС завод НИИ № 6, п/я 368 /г. Москва 9 п/я 368 «Иншесть» (1943 г.)/) был ликвидирован, часть рабочих (700 чел.) переведены на завод № 70 им. Владимира Ильича. С 26 мая 1945 г. на заводе НИИ-6 прекращен выпуск всех боеприпасов.По распоряжению СНК СССР № 9646/р от 21.06.1945 г. правопреемником завода № 562 стал НИИ-6, куда были переведены основные кадры.</w:t>
      </w:r>
    </w:p>
    <w:p w14:paraId="1FC5B0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(12.1942 г.)- 1707 чел., (конец 1943 г.)- 1574 чел.</w:t>
      </w:r>
    </w:p>
    <w:p w14:paraId="7E1565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производственная- 5760 м</w:t>
      </w:r>
      <w:r w:rsidRPr="00F90EAE">
        <w:rPr>
          <w:color w:val="000000" w:themeColor="text1"/>
          <w:sz w:val="16"/>
          <w:szCs w:val="16"/>
          <w:vertAlign w:val="superscript"/>
        </w:rPr>
        <w:t>2</w:t>
      </w:r>
      <w:r w:rsidRPr="00F90EAE">
        <w:rPr>
          <w:color w:val="000000" w:themeColor="text1"/>
          <w:sz w:val="16"/>
          <w:szCs w:val="16"/>
        </w:rPr>
        <w:t>; вспомогательная- 65 м</w:t>
      </w:r>
      <w:r w:rsidRPr="00F90EAE">
        <w:rPr>
          <w:color w:val="000000" w:themeColor="text1"/>
          <w:sz w:val="16"/>
          <w:szCs w:val="16"/>
          <w:vertAlign w:val="superscript"/>
        </w:rPr>
        <w:t>2</w:t>
      </w:r>
      <w:r w:rsidRPr="00F90EAE">
        <w:rPr>
          <w:color w:val="000000" w:themeColor="text1"/>
          <w:sz w:val="16"/>
          <w:szCs w:val="16"/>
        </w:rPr>
        <w:t>.</w:t>
      </w:r>
    </w:p>
    <w:p w14:paraId="15F42E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(26.11.1941 -28.09.1942 г.)- М.З. Тененбаум, (09.1942-44 г.-)- А.П. Закощиков (одновременно был директором НИИ-6).</w:t>
      </w:r>
    </w:p>
    <w:p w14:paraId="53B0A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(1941 г.)- А.Н. Рабинович, (-1942-44 г.-&gt; С.М. Голубков.</w:t>
      </w:r>
    </w:p>
    <w:p w14:paraId="3B2DB8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w:t>
      </w:r>
      <w:r w:rsidRPr="00F90EAE">
        <w:rPr>
          <w:color w:val="000000" w:themeColor="text1"/>
          <w:sz w:val="16"/>
          <w:szCs w:val="16"/>
          <w:lang w:val="en-US"/>
        </w:rPr>
        <w:t>BOB</w:t>
      </w:r>
      <w:r w:rsidRPr="00F90EAE">
        <w:rPr>
          <w:color w:val="000000" w:themeColor="text1"/>
          <w:sz w:val="16"/>
          <w:szCs w:val="16"/>
        </w:rPr>
        <w:t xml:space="preserve">)-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A</w:t>
      </w:r>
      <w:r w:rsidRPr="00F90EAE">
        <w:rPr>
          <w:color w:val="000000" w:themeColor="text1"/>
          <w:sz w:val="16"/>
          <w:szCs w:val="16"/>
        </w:rPr>
        <w:t>. Смирнов.</w:t>
      </w:r>
    </w:p>
    <w:p w14:paraId="641846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 1 (1944 г.)- А. Сидоров; № 6- ДА. Смирнов, (1944 г.)- И.Н. Кузнецов; № 9 (1944 г.)- П.П. Вахрушев; баллиститного пороха (</w:t>
      </w:r>
      <w:r w:rsidRPr="00F90EAE">
        <w:rPr>
          <w:color w:val="000000" w:themeColor="text1"/>
          <w:sz w:val="16"/>
          <w:szCs w:val="16"/>
          <w:lang w:val="en-US"/>
        </w:rPr>
        <w:t>BOB</w:t>
      </w:r>
      <w:r w:rsidRPr="00F90EAE">
        <w:rPr>
          <w:color w:val="000000" w:themeColor="text1"/>
          <w:sz w:val="16"/>
          <w:szCs w:val="16"/>
        </w:rPr>
        <w:t xml:space="preserve">)-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Дерновой.</w:t>
      </w:r>
    </w:p>
    <w:p w14:paraId="12481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цеха: баллиститного пороха (ВОВ)- Н.П. Сазонов.</w:t>
      </w:r>
    </w:p>
    <w:p w14:paraId="7265B0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КБ (ВОВ)- А.Н. Сладкое.</w:t>
      </w:r>
    </w:p>
    <w:p w14:paraId="42400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2-го (04.1943 г.)- Гинзбур г.</w:t>
      </w:r>
    </w:p>
    <w:p w14:paraId="2C9C9ECC"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заряды: к </w:t>
      </w:r>
      <w:r w:rsidRPr="00F90EAE">
        <w:rPr>
          <w:color w:val="000000" w:themeColor="text1"/>
          <w:sz w:val="16"/>
          <w:szCs w:val="16"/>
          <w:lang w:val="en-US"/>
        </w:rPr>
        <w:t>PC</w:t>
      </w:r>
      <w:r w:rsidRPr="00F90EAE">
        <w:rPr>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F90EAE">
        <w:rPr>
          <w:iCs/>
          <w:color w:val="000000" w:themeColor="text1"/>
          <w:sz w:val="16"/>
          <w:szCs w:val="16"/>
        </w:rPr>
        <w:t xml:space="preserve"> порох:</w:t>
      </w:r>
      <w:r w:rsidRPr="00F90EAE">
        <w:rPr>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F84B04F" w14:textId="77777777" w:rsidR="00665165" w:rsidRPr="00F90EAE" w:rsidRDefault="00665165" w:rsidP="00F90EAE">
      <w:pPr>
        <w:autoSpaceDE w:val="0"/>
        <w:autoSpaceDN w:val="0"/>
        <w:adjustRightInd w:val="0"/>
        <w:jc w:val="both"/>
        <w:rPr>
          <w:color w:val="000000" w:themeColor="text1"/>
          <w:sz w:val="16"/>
          <w:szCs w:val="16"/>
        </w:rPr>
      </w:pPr>
    </w:p>
    <w:p w14:paraId="706C8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г. вышло Постановление Государственного комитета обороны о сокращении производства средств химического вооружения (9067).</w:t>
      </w:r>
    </w:p>
    <w:p w14:paraId="0DEB12C3" w14:textId="77777777" w:rsidR="00665165" w:rsidRPr="00F90EAE" w:rsidRDefault="00665165" w:rsidP="00F90EAE">
      <w:pPr>
        <w:autoSpaceDE w:val="0"/>
        <w:autoSpaceDN w:val="0"/>
        <w:adjustRightInd w:val="0"/>
        <w:jc w:val="both"/>
        <w:rPr>
          <w:color w:val="000000" w:themeColor="text1"/>
          <w:sz w:val="16"/>
          <w:szCs w:val="16"/>
        </w:rPr>
      </w:pPr>
    </w:p>
    <w:p w14:paraId="0E3B82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1C02BE68" w14:textId="77777777" w:rsidR="00665165" w:rsidRPr="00F90EAE" w:rsidRDefault="00665165" w:rsidP="00F90EAE">
      <w:pPr>
        <w:autoSpaceDE w:val="0"/>
        <w:autoSpaceDN w:val="0"/>
        <w:adjustRightInd w:val="0"/>
        <w:jc w:val="both"/>
        <w:rPr>
          <w:color w:val="000000" w:themeColor="text1"/>
          <w:sz w:val="16"/>
          <w:szCs w:val="16"/>
        </w:rPr>
      </w:pPr>
    </w:p>
    <w:p w14:paraId="304F6D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8672 О возврате вывезенных немцами турбогенераторов с электростанций Донбасса и Кривого Рога, а также вывозе 25 турбогенераторов общей мощностью 733 тысячи киловатт и 44 котлов с немецких электростанций в районе г. Дрезден и 13 готовых турбогенераторов общей мощностью 213 тысяч киловатт со склада турбогенераторного завода фирмы "АЕГ" в г. Берлине.РГАНИР, Фонд ГКО, д. 418, лл. 75-79 (11012).</w:t>
      </w:r>
    </w:p>
    <w:p w14:paraId="723AF39F" w14:textId="77777777" w:rsidR="00665165" w:rsidRPr="00F90EAE" w:rsidRDefault="00665165" w:rsidP="00F90EAE">
      <w:pPr>
        <w:autoSpaceDE w:val="0"/>
        <w:autoSpaceDN w:val="0"/>
        <w:adjustRightInd w:val="0"/>
        <w:jc w:val="both"/>
        <w:rPr>
          <w:color w:val="000000" w:themeColor="text1"/>
          <w:sz w:val="16"/>
          <w:szCs w:val="16"/>
        </w:rPr>
      </w:pPr>
    </w:p>
    <w:p w14:paraId="5AA11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8674 О вывозе оборудования с военно-промышленного комбината фирмы ДВМ в районе г. Берлин. РГАНИР, Фонд ГКО, д. 418, лл. 83-84 (11012).</w:t>
      </w:r>
    </w:p>
    <w:p w14:paraId="7143CB18" w14:textId="77777777" w:rsidR="00665165" w:rsidRPr="00F90EAE" w:rsidRDefault="00665165" w:rsidP="00F90EAE">
      <w:pPr>
        <w:autoSpaceDE w:val="0"/>
        <w:autoSpaceDN w:val="0"/>
        <w:adjustRightInd w:val="0"/>
        <w:jc w:val="both"/>
        <w:rPr>
          <w:color w:val="000000" w:themeColor="text1"/>
          <w:sz w:val="16"/>
          <w:szCs w:val="16"/>
        </w:rPr>
      </w:pPr>
    </w:p>
    <w:p w14:paraId="50D35E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22 мая 1945 вышло Постановление ГКО № 8675 О вывозе оборудования артиллерийских заводов "Магет" и "Арсенал" в г. Берлин. РГАНИР, Фонд ГКО, д. 418, лл. 85-86 (11012).</w:t>
      </w:r>
    </w:p>
    <w:p w14:paraId="57E65EC9" w14:textId="77777777" w:rsidR="00665165" w:rsidRPr="00F90EAE" w:rsidRDefault="00665165" w:rsidP="00F90EAE">
      <w:pPr>
        <w:autoSpaceDE w:val="0"/>
        <w:autoSpaceDN w:val="0"/>
        <w:adjustRightInd w:val="0"/>
        <w:jc w:val="both"/>
        <w:rPr>
          <w:color w:val="000000" w:themeColor="text1"/>
          <w:sz w:val="16"/>
          <w:szCs w:val="16"/>
        </w:rPr>
      </w:pPr>
    </w:p>
    <w:p w14:paraId="3BCF34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8676 О вывозе оборудования артиллерийских заводов "Густав Апель" и "Дойчиндустриал верке" в г. Берлин. РГАНИР, Фонд ГКО, д. 418, лл. 87 (11012).</w:t>
      </w:r>
    </w:p>
    <w:p w14:paraId="172FA972" w14:textId="77777777" w:rsidR="00665165" w:rsidRPr="00F90EAE" w:rsidRDefault="00665165" w:rsidP="00F90EAE">
      <w:pPr>
        <w:autoSpaceDE w:val="0"/>
        <w:autoSpaceDN w:val="0"/>
        <w:adjustRightInd w:val="0"/>
        <w:jc w:val="both"/>
        <w:rPr>
          <w:color w:val="000000" w:themeColor="text1"/>
          <w:sz w:val="16"/>
          <w:szCs w:val="16"/>
        </w:rPr>
      </w:pPr>
    </w:p>
    <w:p w14:paraId="1A8439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8677 О вывозе оборудования с танкового завода фирмы "Даймлер-Бенц" в г. Берлин (район Мариенфельде). РГАНИР, Фонд ГКО, д. 418, лл. 88-89 (11012).</w:t>
      </w:r>
    </w:p>
    <w:p w14:paraId="5D9921B6" w14:textId="77777777" w:rsidR="00665165" w:rsidRPr="00F90EAE" w:rsidRDefault="00665165" w:rsidP="00F90EAE">
      <w:pPr>
        <w:autoSpaceDE w:val="0"/>
        <w:autoSpaceDN w:val="0"/>
        <w:adjustRightInd w:val="0"/>
        <w:jc w:val="both"/>
        <w:rPr>
          <w:color w:val="000000" w:themeColor="text1"/>
          <w:sz w:val="16"/>
          <w:szCs w:val="16"/>
        </w:rPr>
      </w:pPr>
    </w:p>
    <w:p w14:paraId="56AF32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8678 О вывозе оборудования с немецких станкостроительных заводов фирм "Фриц Вернер", "Хассе Вреде", "Юнг", "Хартек", "Кергер" и инструментальных заводов фирм "Фриц Вернер" и "Шток" в г. Берлин. РГАНИР, Фонд ГКО, д. 418, лл. 90-92, 93 (11012).</w:t>
      </w:r>
    </w:p>
    <w:p w14:paraId="1A243014" w14:textId="77777777" w:rsidR="00665165" w:rsidRPr="00F90EAE" w:rsidRDefault="00665165" w:rsidP="00F90EAE">
      <w:pPr>
        <w:autoSpaceDE w:val="0"/>
        <w:autoSpaceDN w:val="0"/>
        <w:adjustRightInd w:val="0"/>
        <w:jc w:val="both"/>
        <w:rPr>
          <w:color w:val="000000" w:themeColor="text1"/>
          <w:sz w:val="16"/>
          <w:szCs w:val="16"/>
        </w:rPr>
      </w:pPr>
    </w:p>
    <w:p w14:paraId="795539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8679 О вывозе оборудования с завода по производству вентиляторов фирмы "Коблер" в г. Берлин. РГАНИР, Фонд ГКО, д. 418, лл. 94 (11012).</w:t>
      </w:r>
    </w:p>
    <w:p w14:paraId="5583DDC4" w14:textId="77777777" w:rsidR="00665165" w:rsidRPr="00F90EAE" w:rsidRDefault="00665165" w:rsidP="00F90EAE">
      <w:pPr>
        <w:autoSpaceDE w:val="0"/>
        <w:autoSpaceDN w:val="0"/>
        <w:adjustRightInd w:val="0"/>
        <w:jc w:val="both"/>
        <w:rPr>
          <w:color w:val="000000" w:themeColor="text1"/>
          <w:sz w:val="16"/>
          <w:szCs w:val="16"/>
        </w:rPr>
      </w:pPr>
    </w:p>
    <w:p w14:paraId="3EDF9B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8680 О вывозе оборудования с заводов электротехнической промышленности в г. Берлин. РГАНИР, Фонд ГКО, д. 418, лл. 95-97 (11012).</w:t>
      </w:r>
    </w:p>
    <w:p w14:paraId="23528637" w14:textId="77777777" w:rsidR="00665165" w:rsidRPr="00F90EAE" w:rsidRDefault="00665165" w:rsidP="00F90EAE">
      <w:pPr>
        <w:autoSpaceDE w:val="0"/>
        <w:autoSpaceDN w:val="0"/>
        <w:adjustRightInd w:val="0"/>
        <w:jc w:val="both"/>
        <w:rPr>
          <w:color w:val="000000" w:themeColor="text1"/>
          <w:sz w:val="16"/>
          <w:szCs w:val="16"/>
        </w:rPr>
      </w:pPr>
    </w:p>
    <w:p w14:paraId="2FF3C1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8681 О вывозе оборудования турбинного завода фирмы "Вумаг" в г. Герлиц. РГАНИР, Фонд ГКО, д. 418, лл. 98 (11012).</w:t>
      </w:r>
    </w:p>
    <w:p w14:paraId="355DA1F2" w14:textId="77777777" w:rsidR="00665165" w:rsidRPr="00F90EAE" w:rsidRDefault="00665165" w:rsidP="00F90EAE">
      <w:pPr>
        <w:autoSpaceDE w:val="0"/>
        <w:autoSpaceDN w:val="0"/>
        <w:adjustRightInd w:val="0"/>
        <w:jc w:val="both"/>
        <w:rPr>
          <w:color w:val="000000" w:themeColor="text1"/>
          <w:sz w:val="16"/>
          <w:szCs w:val="16"/>
        </w:rPr>
      </w:pPr>
    </w:p>
    <w:p w14:paraId="641A92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8682 О вывозе оборудования с четырех машиностроительных заводов в г. Берлин на предприятия Наркомугля. РГАНИР, Фонд ГКО, д. 418, лл. 99-100 (11012).</w:t>
      </w:r>
    </w:p>
    <w:p w14:paraId="6A793DC0" w14:textId="77777777" w:rsidR="00665165" w:rsidRPr="00F90EAE" w:rsidRDefault="00665165" w:rsidP="00F90EAE">
      <w:pPr>
        <w:autoSpaceDE w:val="0"/>
        <w:autoSpaceDN w:val="0"/>
        <w:adjustRightInd w:val="0"/>
        <w:jc w:val="both"/>
        <w:rPr>
          <w:color w:val="000000" w:themeColor="text1"/>
          <w:sz w:val="16"/>
          <w:szCs w:val="16"/>
        </w:rPr>
      </w:pPr>
    </w:p>
    <w:p w14:paraId="4842D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8683 О вывозе оборудования с немецких предприятий в районе Берлина на заводы НКПС. РГАНИР, Фонд ГКО, д. 418, лл. 101-102 (11012).</w:t>
      </w:r>
    </w:p>
    <w:p w14:paraId="487A3379" w14:textId="77777777" w:rsidR="00665165" w:rsidRPr="00F90EAE" w:rsidRDefault="00665165" w:rsidP="00F90EAE">
      <w:pPr>
        <w:autoSpaceDE w:val="0"/>
        <w:autoSpaceDN w:val="0"/>
        <w:adjustRightInd w:val="0"/>
        <w:jc w:val="both"/>
        <w:rPr>
          <w:color w:val="000000" w:themeColor="text1"/>
          <w:sz w:val="16"/>
          <w:szCs w:val="16"/>
        </w:rPr>
      </w:pPr>
    </w:p>
    <w:p w14:paraId="13157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8684 О вывозе оборудования прокатных заводов фирмы "Дейче Муницион унд Ваффен" и "Карл Эвенинг" (в районе Берлина) на заводы Наркомавиапрома и Наркомцветмета. РГАНИР, Фонд ГКО, д. 418, лл. 103-104 (11012).</w:t>
      </w:r>
    </w:p>
    <w:p w14:paraId="38ACBBC9" w14:textId="77777777" w:rsidR="00665165" w:rsidRPr="00F90EAE" w:rsidRDefault="00665165" w:rsidP="00F90EAE">
      <w:pPr>
        <w:autoSpaceDE w:val="0"/>
        <w:autoSpaceDN w:val="0"/>
        <w:adjustRightInd w:val="0"/>
        <w:jc w:val="both"/>
        <w:rPr>
          <w:color w:val="000000" w:themeColor="text1"/>
          <w:sz w:val="16"/>
          <w:szCs w:val="16"/>
        </w:rPr>
      </w:pPr>
    </w:p>
    <w:p w14:paraId="55ACE4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8685 О вывозе оборудования с заводов резиновой промышленности в г. Берлин на предприятия Наркомрезинпрома. РГАНИР, Фонд ГКО, д. 418, лл. 105-107 (11012).</w:t>
      </w:r>
    </w:p>
    <w:p w14:paraId="64C37A8A" w14:textId="77777777" w:rsidR="00665165" w:rsidRPr="00F90EAE" w:rsidRDefault="00665165" w:rsidP="00F90EAE">
      <w:pPr>
        <w:autoSpaceDE w:val="0"/>
        <w:autoSpaceDN w:val="0"/>
        <w:adjustRightInd w:val="0"/>
        <w:jc w:val="both"/>
        <w:rPr>
          <w:color w:val="000000" w:themeColor="text1"/>
          <w:sz w:val="16"/>
          <w:szCs w:val="16"/>
        </w:rPr>
      </w:pPr>
    </w:p>
    <w:p w14:paraId="3A40F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8686 О вывозе оборудования немецкого оптико-механического завода "Аскания верке" в г. Берлин. РГАНИР, Фонд ГКО, д. 418, лл. 108-109 (11012).</w:t>
      </w:r>
    </w:p>
    <w:p w14:paraId="6A4F3991" w14:textId="77777777" w:rsidR="00665165" w:rsidRPr="00F90EAE" w:rsidRDefault="00665165" w:rsidP="00F90EAE">
      <w:pPr>
        <w:autoSpaceDE w:val="0"/>
        <w:autoSpaceDN w:val="0"/>
        <w:adjustRightInd w:val="0"/>
        <w:jc w:val="both"/>
        <w:rPr>
          <w:color w:val="000000" w:themeColor="text1"/>
          <w:sz w:val="16"/>
          <w:szCs w:val="16"/>
        </w:rPr>
      </w:pPr>
    </w:p>
    <w:p w14:paraId="7C606A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8687 О вывозе оборудования двух оптических заводов германского акционерного общества "Цейс Икон" в г. Берлин. РГАНИР, Фонд ГКО, д. 418, лл. 110 (11012).</w:t>
      </w:r>
    </w:p>
    <w:p w14:paraId="19DC25FC" w14:textId="77777777" w:rsidR="00665165" w:rsidRPr="00F90EAE" w:rsidRDefault="00665165" w:rsidP="00F90EAE">
      <w:pPr>
        <w:autoSpaceDE w:val="0"/>
        <w:autoSpaceDN w:val="0"/>
        <w:adjustRightInd w:val="0"/>
        <w:jc w:val="both"/>
        <w:rPr>
          <w:color w:val="000000" w:themeColor="text1"/>
          <w:sz w:val="16"/>
          <w:szCs w:val="16"/>
        </w:rPr>
      </w:pPr>
    </w:p>
    <w:p w14:paraId="2DA9E5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8688 О вывозе оборудования опытного оптического завода немецкого акционерного общества "Аскания верке" в г. Берлин. РГАНИР, Фонд ГКО, д. 418, лл. 111 (11012).</w:t>
      </w:r>
    </w:p>
    <w:p w14:paraId="69DB03FD" w14:textId="77777777" w:rsidR="00665165" w:rsidRPr="00F90EAE" w:rsidRDefault="00665165" w:rsidP="00F90EAE">
      <w:pPr>
        <w:autoSpaceDE w:val="0"/>
        <w:autoSpaceDN w:val="0"/>
        <w:adjustRightInd w:val="0"/>
        <w:jc w:val="both"/>
        <w:rPr>
          <w:color w:val="000000" w:themeColor="text1"/>
          <w:sz w:val="16"/>
          <w:szCs w:val="16"/>
        </w:rPr>
      </w:pPr>
    </w:p>
    <w:p w14:paraId="1234EB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8689 О вывозе электрооборудования, цветных металлов и других материалов со склада в помещении кирпичного завода в г. Цеденик на базы Главного управления государственных материальных резервов при СНК СССР и Главэлектросбыта Наркомэлектропром. РГАНИР, Фонд ГКО, д. 418 (11012).</w:t>
      </w:r>
    </w:p>
    <w:p w14:paraId="132B6D3B" w14:textId="77777777" w:rsidR="00665165" w:rsidRPr="00F90EAE" w:rsidRDefault="00665165" w:rsidP="00F90EAE">
      <w:pPr>
        <w:autoSpaceDE w:val="0"/>
        <w:autoSpaceDN w:val="0"/>
        <w:adjustRightInd w:val="0"/>
        <w:jc w:val="both"/>
        <w:rPr>
          <w:color w:val="000000" w:themeColor="text1"/>
          <w:sz w:val="16"/>
          <w:szCs w:val="16"/>
        </w:rPr>
      </w:pPr>
    </w:p>
    <w:p w14:paraId="040A39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8690 О вывозе оборудования с завода кассовых аппаратов фирмы "Националь-Крупп" в г. Берлин район Нейкельн. РГАНИР, Фонд ГКО, д. 418, лл. 114 (11012).</w:t>
      </w:r>
    </w:p>
    <w:p w14:paraId="1757CD8E" w14:textId="77777777" w:rsidR="00665165" w:rsidRPr="00F90EAE" w:rsidRDefault="00665165" w:rsidP="00F90EAE">
      <w:pPr>
        <w:autoSpaceDE w:val="0"/>
        <w:autoSpaceDN w:val="0"/>
        <w:adjustRightInd w:val="0"/>
        <w:jc w:val="both"/>
        <w:rPr>
          <w:color w:val="000000" w:themeColor="text1"/>
          <w:sz w:val="16"/>
          <w:szCs w:val="16"/>
        </w:rPr>
      </w:pPr>
    </w:p>
    <w:p w14:paraId="1E758B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8691 О вывозе оборудования с немецких цементных заводов фирм "Тиссен", "Прейсише Берг унд Гюртен-прейсак" и Восточного и Среднегерманского акционерного общества в г. Берлин район Рюдесдорф и цементного завода немецкого металлургического акционерного общества в с. Штольценхайт (в районе г. Штеттен). РГАНИР, Фонд ГКО, д. 418, лл. 115-116 (11012).</w:t>
      </w:r>
    </w:p>
    <w:p w14:paraId="1E84725C" w14:textId="77777777" w:rsidR="00665165" w:rsidRPr="00F90EAE" w:rsidRDefault="00665165" w:rsidP="00F90EAE">
      <w:pPr>
        <w:autoSpaceDE w:val="0"/>
        <w:autoSpaceDN w:val="0"/>
        <w:adjustRightInd w:val="0"/>
        <w:jc w:val="both"/>
        <w:rPr>
          <w:color w:val="000000" w:themeColor="text1"/>
          <w:sz w:val="16"/>
          <w:szCs w:val="16"/>
        </w:rPr>
      </w:pPr>
    </w:p>
    <w:p w14:paraId="5A2406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8692 О вывозе оборудования и готовой продукции с химических предприятий г. Берлин и его пригородов на предприятия Наркомхимпрома. РГАНИР, Фонд ГКО, д. 418, лл. 117-118 (11012).</w:t>
      </w:r>
    </w:p>
    <w:p w14:paraId="3320A065" w14:textId="77777777" w:rsidR="00665165" w:rsidRPr="00F90EAE" w:rsidRDefault="00665165" w:rsidP="00F90EAE">
      <w:pPr>
        <w:autoSpaceDE w:val="0"/>
        <w:autoSpaceDN w:val="0"/>
        <w:adjustRightInd w:val="0"/>
        <w:jc w:val="both"/>
        <w:rPr>
          <w:color w:val="000000" w:themeColor="text1"/>
          <w:sz w:val="16"/>
          <w:szCs w:val="16"/>
        </w:rPr>
      </w:pPr>
    </w:p>
    <w:p w14:paraId="05B60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8693 О вывозе оборудования лабораторий и книжного фонда из Высшей артиллерийской технической школы в г. Берлин. РГАНИР, Фонд ГКО, д. 418, лл. 119 (11012).</w:t>
      </w:r>
    </w:p>
    <w:p w14:paraId="333B4411" w14:textId="77777777" w:rsidR="00665165" w:rsidRPr="00F90EAE" w:rsidRDefault="00665165" w:rsidP="00F90EAE">
      <w:pPr>
        <w:autoSpaceDE w:val="0"/>
        <w:autoSpaceDN w:val="0"/>
        <w:adjustRightInd w:val="0"/>
        <w:jc w:val="both"/>
        <w:rPr>
          <w:color w:val="000000" w:themeColor="text1"/>
          <w:sz w:val="16"/>
          <w:szCs w:val="16"/>
        </w:rPr>
      </w:pPr>
    </w:p>
    <w:p w14:paraId="03AF0E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8694 О вывозе оборудования типографий и заводов по производству полиграфических красок "Братья Шмидт" в г. Берлин. РГАНИР, Фонд ГКО, д. 418, лл. 120-121 (11012).</w:t>
      </w:r>
    </w:p>
    <w:p w14:paraId="6DDC7043" w14:textId="77777777" w:rsidR="00665165" w:rsidRPr="00F90EAE" w:rsidRDefault="00665165" w:rsidP="00F90EAE">
      <w:pPr>
        <w:autoSpaceDE w:val="0"/>
        <w:autoSpaceDN w:val="0"/>
        <w:adjustRightInd w:val="0"/>
        <w:jc w:val="both"/>
        <w:rPr>
          <w:color w:val="000000" w:themeColor="text1"/>
          <w:sz w:val="16"/>
          <w:szCs w:val="16"/>
        </w:rPr>
      </w:pPr>
    </w:p>
    <w:p w14:paraId="3CCBB6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8695 О вывозе корабельного, водолазного и судоподъемного имущества со складов в г. Шнайдемюль (Германия). РГАНИР, Фонд ГКО, д. 418, лл. 122 (11012).</w:t>
      </w:r>
    </w:p>
    <w:p w14:paraId="6E197FBE" w14:textId="77777777" w:rsidR="00665165" w:rsidRPr="00F90EAE" w:rsidRDefault="00665165" w:rsidP="00F90EAE">
      <w:pPr>
        <w:autoSpaceDE w:val="0"/>
        <w:autoSpaceDN w:val="0"/>
        <w:adjustRightInd w:val="0"/>
        <w:jc w:val="both"/>
        <w:rPr>
          <w:color w:val="000000" w:themeColor="text1"/>
          <w:sz w:val="16"/>
          <w:szCs w:val="16"/>
        </w:rPr>
      </w:pPr>
    </w:p>
    <w:p w14:paraId="634685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8696 О вывозе из г. Берлин оборудования фабрики искусственного шелка германского концерна "И.Г.Фарбениндустри". РГАНИР, Фонд ГКО, д. 418, лл. 123 (11012).</w:t>
      </w:r>
    </w:p>
    <w:p w14:paraId="2371B672" w14:textId="77777777" w:rsidR="00665165" w:rsidRPr="00F90EAE" w:rsidRDefault="00665165" w:rsidP="00F90EAE">
      <w:pPr>
        <w:autoSpaceDE w:val="0"/>
        <w:autoSpaceDN w:val="0"/>
        <w:adjustRightInd w:val="0"/>
        <w:jc w:val="both"/>
        <w:rPr>
          <w:color w:val="000000" w:themeColor="text1"/>
          <w:sz w:val="16"/>
          <w:szCs w:val="16"/>
        </w:rPr>
      </w:pPr>
    </w:p>
    <w:p w14:paraId="5C710B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8697 О вывозе завода металлоконструкций "Стеффен и Ноле Штальбау" в г. Берлин для Наркомстроя. РГАНИР, Фонд ГКО, д. 418, лл. 124 (11012).</w:t>
      </w:r>
    </w:p>
    <w:p w14:paraId="77E56A7B" w14:textId="77777777" w:rsidR="00665165" w:rsidRPr="00F90EAE" w:rsidRDefault="00665165" w:rsidP="00F90EAE">
      <w:pPr>
        <w:autoSpaceDE w:val="0"/>
        <w:autoSpaceDN w:val="0"/>
        <w:adjustRightInd w:val="0"/>
        <w:jc w:val="both"/>
        <w:rPr>
          <w:color w:val="000000" w:themeColor="text1"/>
          <w:sz w:val="16"/>
          <w:szCs w:val="16"/>
        </w:rPr>
      </w:pPr>
    </w:p>
    <w:p w14:paraId="3732E9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8698 О мерах по ускорению демонтажа немецких предприятий и вывозе оборудования. РГАНИР, Фонд ГКО, д. 418, лл. 125 (11012).</w:t>
      </w:r>
    </w:p>
    <w:p w14:paraId="373EF26C" w14:textId="77777777" w:rsidR="00665165" w:rsidRPr="00F90EAE" w:rsidRDefault="00665165" w:rsidP="00F90EAE">
      <w:pPr>
        <w:autoSpaceDE w:val="0"/>
        <w:autoSpaceDN w:val="0"/>
        <w:adjustRightInd w:val="0"/>
        <w:jc w:val="both"/>
        <w:rPr>
          <w:color w:val="000000" w:themeColor="text1"/>
          <w:sz w:val="16"/>
          <w:szCs w:val="16"/>
        </w:rPr>
      </w:pPr>
    </w:p>
    <w:p w14:paraId="04E6FA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8699 О вывозе оборудования с завода газовой, водяной и паровой арматуры фирмы "Вейхброд и Фридрих" в г. Берлин. РГАНИР, Фонд ГКО, д. 418, лл. 126 (11012).</w:t>
      </w:r>
    </w:p>
    <w:p w14:paraId="2C2484C6" w14:textId="77777777" w:rsidR="00665165" w:rsidRPr="00F90EAE" w:rsidRDefault="00665165" w:rsidP="00F90EAE">
      <w:pPr>
        <w:autoSpaceDE w:val="0"/>
        <w:autoSpaceDN w:val="0"/>
        <w:adjustRightInd w:val="0"/>
        <w:jc w:val="both"/>
        <w:rPr>
          <w:color w:val="000000" w:themeColor="text1"/>
          <w:sz w:val="16"/>
          <w:szCs w:val="16"/>
        </w:rPr>
      </w:pPr>
    </w:p>
    <w:p w14:paraId="100660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8700 О вывозе станочного оборудования и материалов на Особые базы. РГАНИР, Фонд ГКО, д. 418, лл. 127-128 (11012).</w:t>
      </w:r>
    </w:p>
    <w:p w14:paraId="5FC2D70B" w14:textId="77777777" w:rsidR="00665165" w:rsidRPr="00F90EAE" w:rsidRDefault="00665165" w:rsidP="00F90EAE">
      <w:pPr>
        <w:autoSpaceDE w:val="0"/>
        <w:autoSpaceDN w:val="0"/>
        <w:adjustRightInd w:val="0"/>
        <w:jc w:val="both"/>
        <w:rPr>
          <w:color w:val="000000" w:themeColor="text1"/>
          <w:sz w:val="16"/>
          <w:szCs w:val="16"/>
        </w:rPr>
      </w:pPr>
    </w:p>
    <w:p w14:paraId="50C0AF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8701 Об изменении ранее вынесенных постановлений ГОКО о вывозе оборудования промышленных предприятий, расположенных на территории Венгрии. РГАНИР, Фонд ГКО, д. 418, лл. 129 (11012).</w:t>
      </w:r>
    </w:p>
    <w:p w14:paraId="0B22D156" w14:textId="77777777" w:rsidR="00665165" w:rsidRPr="00F90EAE" w:rsidRDefault="00665165" w:rsidP="00F90EAE">
      <w:pPr>
        <w:autoSpaceDE w:val="0"/>
        <w:autoSpaceDN w:val="0"/>
        <w:adjustRightInd w:val="0"/>
        <w:jc w:val="both"/>
        <w:rPr>
          <w:color w:val="000000" w:themeColor="text1"/>
          <w:sz w:val="16"/>
          <w:szCs w:val="16"/>
        </w:rPr>
      </w:pPr>
    </w:p>
    <w:p w14:paraId="51C584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8702 О вывозе оборудования завода нитроглицериновых порохов акционерного общества "Немецкая взрывная химия" в районе г. Торгелов (Германия). РГАНИР, Фонд ГКО, д. 418, лл. 130-131 (11012).</w:t>
      </w:r>
    </w:p>
    <w:p w14:paraId="2174DA5B" w14:textId="77777777" w:rsidR="00665165" w:rsidRPr="00F90EAE" w:rsidRDefault="00665165" w:rsidP="00F90EAE">
      <w:pPr>
        <w:autoSpaceDE w:val="0"/>
        <w:autoSpaceDN w:val="0"/>
        <w:adjustRightInd w:val="0"/>
        <w:jc w:val="both"/>
        <w:rPr>
          <w:color w:val="000000" w:themeColor="text1"/>
          <w:sz w:val="16"/>
          <w:szCs w:val="16"/>
        </w:rPr>
      </w:pPr>
    </w:p>
    <w:p w14:paraId="1AE989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22 мая 1945 вышло Постановление ГКО № 8703 О вывозе оборудования завода по производству коллоксилина в районе г. Юкермюнде. РГАНИР, Фонд ГКО, д. 418, лл. 132 (11012).</w:t>
      </w:r>
    </w:p>
    <w:p w14:paraId="0C476006" w14:textId="77777777" w:rsidR="00665165" w:rsidRPr="00F90EAE" w:rsidRDefault="00665165" w:rsidP="00F90EAE">
      <w:pPr>
        <w:autoSpaceDE w:val="0"/>
        <w:autoSpaceDN w:val="0"/>
        <w:adjustRightInd w:val="0"/>
        <w:jc w:val="both"/>
        <w:rPr>
          <w:color w:val="000000" w:themeColor="text1"/>
          <w:sz w:val="16"/>
          <w:szCs w:val="16"/>
        </w:rPr>
      </w:pPr>
    </w:p>
    <w:p w14:paraId="293B72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8704 О вывозе оборудования и материалов с немецких предприятий бумажной промышленности в городах Мускау, Грос-Зерхен и Эберсвальде. РГАНИР, Фонд ГКО, д. 418, лл. 133-134 (11012).</w:t>
      </w:r>
    </w:p>
    <w:p w14:paraId="689A6081" w14:textId="77777777" w:rsidR="00665165" w:rsidRPr="00F90EAE" w:rsidRDefault="00665165" w:rsidP="00F90EAE">
      <w:pPr>
        <w:autoSpaceDE w:val="0"/>
        <w:autoSpaceDN w:val="0"/>
        <w:adjustRightInd w:val="0"/>
        <w:jc w:val="both"/>
        <w:rPr>
          <w:color w:val="000000" w:themeColor="text1"/>
          <w:sz w:val="16"/>
          <w:szCs w:val="16"/>
        </w:rPr>
      </w:pPr>
    </w:p>
    <w:p w14:paraId="057526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8705 О вывозе цветных металлов из г. Берлин с завода выплавки цинка и антифрикционных сплавов фирмы "Георг-Гешше". РГАНИР, Фонд ГКО, д. 418, лл. 135-136 (11012).</w:t>
      </w:r>
    </w:p>
    <w:p w14:paraId="7A56D7CE" w14:textId="77777777" w:rsidR="00665165" w:rsidRPr="00F90EAE" w:rsidRDefault="00665165" w:rsidP="00F90EAE">
      <w:pPr>
        <w:autoSpaceDE w:val="0"/>
        <w:autoSpaceDN w:val="0"/>
        <w:adjustRightInd w:val="0"/>
        <w:jc w:val="both"/>
        <w:rPr>
          <w:color w:val="000000" w:themeColor="text1"/>
          <w:sz w:val="16"/>
          <w:szCs w:val="16"/>
        </w:rPr>
      </w:pPr>
    </w:p>
    <w:p w14:paraId="70A1EF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8706 О вывозе оборудования с немецких механических заводов на заводы Наркомсредмаша. РГАНИР, Фонд ГКО, д. 418, лл. 137-138 (11012).</w:t>
      </w:r>
    </w:p>
    <w:p w14:paraId="0F6715CD" w14:textId="77777777" w:rsidR="00665165" w:rsidRPr="00F90EAE" w:rsidRDefault="00665165" w:rsidP="00F90EAE">
      <w:pPr>
        <w:autoSpaceDE w:val="0"/>
        <w:autoSpaceDN w:val="0"/>
        <w:adjustRightInd w:val="0"/>
        <w:jc w:val="both"/>
        <w:rPr>
          <w:color w:val="000000" w:themeColor="text1"/>
          <w:sz w:val="16"/>
          <w:szCs w:val="16"/>
        </w:rPr>
      </w:pPr>
    </w:p>
    <w:p w14:paraId="00BC1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8707 О сокращении производства и поставок средств химического вооружения. РГАНИР, Фонд ГКО, д. 418, лл. 139, 140-149 (11012).</w:t>
      </w:r>
    </w:p>
    <w:p w14:paraId="4B4F00AC" w14:textId="77777777" w:rsidR="00665165" w:rsidRPr="00F90EAE" w:rsidRDefault="00665165" w:rsidP="00F90EAE">
      <w:pPr>
        <w:autoSpaceDE w:val="0"/>
        <w:autoSpaceDN w:val="0"/>
        <w:adjustRightInd w:val="0"/>
        <w:jc w:val="both"/>
        <w:rPr>
          <w:color w:val="000000" w:themeColor="text1"/>
          <w:sz w:val="16"/>
          <w:szCs w:val="16"/>
        </w:rPr>
      </w:pPr>
    </w:p>
    <w:p w14:paraId="30D992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8708 О плане производства и поставки НКО СССР, Наркомвоенморфлоту и войскам НКВД СССР военно-технического имущества на июнь и июль 1945 года. РГАНИР, Фонд ГКО, д. 418, лл. 150, 151-162 (11012).</w:t>
      </w:r>
    </w:p>
    <w:p w14:paraId="25E8C44F" w14:textId="77777777" w:rsidR="00665165" w:rsidRPr="00F90EAE" w:rsidRDefault="00665165" w:rsidP="00F90EAE">
      <w:pPr>
        <w:autoSpaceDE w:val="0"/>
        <w:autoSpaceDN w:val="0"/>
        <w:adjustRightInd w:val="0"/>
        <w:jc w:val="both"/>
        <w:rPr>
          <w:color w:val="000000" w:themeColor="text1"/>
          <w:sz w:val="16"/>
          <w:szCs w:val="16"/>
        </w:rPr>
      </w:pPr>
    </w:p>
    <w:p w14:paraId="6DBFE0B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мая 1945 года вышел приказ № 191сс НКБ</w:t>
      </w:r>
    </w:p>
    <w:p w14:paraId="751CBA6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целях организации производства корпусов ручных гранат Ф-1 приказываю:</w:t>
      </w:r>
    </w:p>
    <w:p w14:paraId="6A27C6E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Начальнику 4 Гл. управления Иванову передать 6 Гл. управлению завод № 552 (5794, 75).</w:t>
      </w:r>
    </w:p>
    <w:p w14:paraId="130567E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6FCB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22 мая 1945 г. по приказу НКБ № 192 завод № 562 был ликвидирован, часть рабочих (700 чел.) переведены на завод (№ 70) им. Владимира Ильича. По распоряжению СНК СССР № 9646/р от 21.06.1945 г. правопреемником завода № 562 стал НИИ-6, куда были переведены основные кадры. </w:t>
      </w:r>
    </w:p>
    <w:p w14:paraId="48D746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(26.11.1941-28.09.1942 г.) - М.З. Тененбаум, (09.1942-44 г.-) - А.П. Закощиков (одновременно был директором НИИ-6). </w:t>
      </w:r>
    </w:p>
    <w:p w14:paraId="05BD59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инженер (1941 г.) - А.Н. Рабинович, (1942-44 г.) - С.М. Голубков. </w:t>
      </w:r>
    </w:p>
    <w:p w14:paraId="4C1C29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конструктор (ВОВ) - Л.А. Смирнов.55,56 </w:t>
      </w:r>
    </w:p>
    <w:p w14:paraId="6F812A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ГС Завод № 562 НКБ, ГС завод НИИ № 6 </w:t>
      </w:r>
    </w:p>
    <w:p w14:paraId="494B8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Москва (10776)</w:t>
      </w:r>
    </w:p>
    <w:p w14:paraId="7268DCEB" w14:textId="77777777" w:rsidR="00665165" w:rsidRPr="00F90EAE" w:rsidRDefault="00665165" w:rsidP="00F90EAE">
      <w:pPr>
        <w:autoSpaceDE w:val="0"/>
        <w:autoSpaceDN w:val="0"/>
        <w:adjustRightInd w:val="0"/>
        <w:jc w:val="both"/>
        <w:rPr>
          <w:color w:val="000000" w:themeColor="text1"/>
          <w:sz w:val="16"/>
          <w:szCs w:val="16"/>
        </w:rPr>
      </w:pPr>
    </w:p>
    <w:p w14:paraId="3BF01843" w14:textId="77777777" w:rsidR="00637BF4" w:rsidRPr="00F90EAE" w:rsidRDefault="00637BF4" w:rsidP="00F90EAE">
      <w:pPr>
        <w:shd w:val="clear" w:color="auto" w:fill="FFFFFF"/>
        <w:jc w:val="both"/>
        <w:rPr>
          <w:color w:val="000000" w:themeColor="text1"/>
          <w:sz w:val="16"/>
          <w:szCs w:val="16"/>
        </w:rPr>
      </w:pPr>
      <w:r w:rsidRPr="00F90EAE">
        <w:rPr>
          <w:bCs/>
          <w:iCs/>
          <w:color w:val="000000" w:themeColor="text1"/>
          <w:sz w:val="16"/>
          <w:szCs w:val="16"/>
        </w:rPr>
        <w:t>22 мая 1945 г</w:t>
      </w:r>
      <w:r w:rsidRPr="00F90EAE">
        <w:rPr>
          <w:color w:val="000000" w:themeColor="text1"/>
          <w:sz w:val="16"/>
          <w:szCs w:val="16"/>
        </w:rPr>
        <w:t>. Постановление ГОКО СССР о сокращении производства средств химического вооружения. В годы второй мировой войны производство в СССР средств химического вооружения и средств химической защиты велось на 301 предприятии 43 министерств и ведомств. В 1941-1945 гг. было произведено 122 400 тонн различных ОВ, в том числе иприта — 76 700 тонн, люизита — 20 200 тонн, фосгена — 8300 тонн, синильной кислоты — 11 100 тонн, адамсита — 6100 тонн. Было произведено 4 573 600 химических боеприпасов, снаряженных ипритом, люизитом и их смесями, в том числе авиабомб ХАБ-500 с иприт-люизитной смесью — 52 000, авиабомб ХАБ-200 с ипритом и иприт-люизитной смесью — 62 500, авиабомб ХАБ-100 с иприт-люизитной смесью — 123 000, авиабомб ХАБ-25 с иприт-люизитной смесью — 80 600, артснарядов АХС-76 с ипритом — 698 200, артснарядов АХС-122 с ипритом, вязким люизитом, иприт-люизитной смесью и вязкой иприт-люизитной смесью — 648 600, артснарядов АХС-152 с ипритом, вязким люизитом, иприт-люизитной смесью и вязкой иприт-люизитной смесью — 211 700, химмин М-82 с ипритом и иприт-люизитной смесью — 1 423 000, химмин М-107 с иприт-люизитной смесью — 2000, химмин М-120 с иприт-люизитной смесью — 175 000, реактивных химснарядов МХ-13 для гвардейских минометов — 97 000 (17133).</w:t>
      </w:r>
    </w:p>
    <w:p w14:paraId="04DF839B" w14:textId="77777777" w:rsidR="00637BF4" w:rsidRPr="00F90EAE" w:rsidRDefault="00637BF4" w:rsidP="00F90EAE">
      <w:pPr>
        <w:shd w:val="clear" w:color="auto" w:fill="FFFFFF"/>
        <w:jc w:val="both"/>
        <w:rPr>
          <w:color w:val="000000" w:themeColor="text1"/>
          <w:sz w:val="16"/>
          <w:szCs w:val="16"/>
        </w:rPr>
      </w:pPr>
    </w:p>
    <w:p w14:paraId="0DC88CC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1CE76DA" w14:textId="77777777" w:rsidR="00665165" w:rsidRPr="00F90EAE" w:rsidRDefault="00665165" w:rsidP="00F90EAE">
      <w:pPr>
        <w:autoSpaceDE w:val="0"/>
        <w:autoSpaceDN w:val="0"/>
        <w:adjustRightInd w:val="0"/>
        <w:jc w:val="both"/>
        <w:rPr>
          <w:iCs/>
          <w:color w:val="000000" w:themeColor="text1"/>
          <w:sz w:val="16"/>
          <w:szCs w:val="16"/>
        </w:rPr>
      </w:pPr>
    </w:p>
    <w:p w14:paraId="48B275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мая 1945 г. была подготовлена ДОКЛАДНАЯ ЗАПИСКА НАЧАЛЬНИКА ГАВТУ КА НАЧАЛЬНИКУ ТЫЛА КА ГЕНЕРАЛУ АРМИИ А.В. ХРУЛЕВУ О РЕЗУЛЬТАТАХ ПЕРЕУЧЕТА АВТОПАРКА КРАСНОЙ АРМИИ №1352692</w:t>
      </w:r>
    </w:p>
    <w:p w14:paraId="016561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что Ваш приказ №221 от 26 декабря 1944 г. «О переучете автопарка Красной Армии» выполнен.</w:t>
      </w:r>
    </w:p>
    <w:p w14:paraId="294F9A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переучета выявлено:</w:t>
      </w:r>
    </w:p>
    <w:p w14:paraId="6DDE76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Наличие автопарка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334"/>
        <w:gridCol w:w="1382"/>
        <w:gridCol w:w="1488"/>
        <w:gridCol w:w="1382"/>
        <w:gridCol w:w="1402"/>
      </w:tblGrid>
      <w:tr w:rsidR="00561F31" w:rsidRPr="00F90EAE" w14:paraId="78D4A1ED" w14:textId="77777777">
        <w:trPr>
          <w:trHeight w:val="250"/>
        </w:trPr>
        <w:tc>
          <w:tcPr>
            <w:tcW w:w="1642" w:type="dxa"/>
            <w:tcBorders>
              <w:top w:val="single" w:sz="6" w:space="0" w:color="auto"/>
              <w:left w:val="single" w:sz="6" w:space="0" w:color="auto"/>
              <w:bottom w:val="nil"/>
              <w:right w:val="single" w:sz="6" w:space="0" w:color="auto"/>
            </w:tcBorders>
          </w:tcPr>
          <w:p w14:paraId="0A64AB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53239B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nil"/>
              <w:right w:val="single" w:sz="6" w:space="0" w:color="auto"/>
            </w:tcBorders>
          </w:tcPr>
          <w:p w14:paraId="181ED9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Состояло по списку</w:t>
            </w:r>
          </w:p>
          <w:p w14:paraId="728545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252" w:type="dxa"/>
            <w:gridSpan w:val="3"/>
            <w:tcBorders>
              <w:top w:val="single" w:sz="6" w:space="0" w:color="auto"/>
              <w:left w:val="single" w:sz="6" w:space="0" w:color="auto"/>
              <w:bottom w:val="single" w:sz="6" w:space="0" w:color="auto"/>
              <w:right w:val="single" w:sz="6" w:space="0" w:color="auto"/>
            </w:tcBorders>
          </w:tcPr>
          <w:p w14:paraId="7DD20B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Оказалось</w:t>
            </w:r>
          </w:p>
          <w:p w14:paraId="7E03A6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nil"/>
              <w:right w:val="single" w:sz="6" w:space="0" w:color="auto"/>
            </w:tcBorders>
          </w:tcPr>
          <w:p w14:paraId="6D0AC4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Разница</w:t>
            </w:r>
          </w:p>
          <w:p w14:paraId="511A4B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54110D2" w14:textId="77777777">
        <w:trPr>
          <w:trHeight w:val="240"/>
        </w:trPr>
        <w:tc>
          <w:tcPr>
            <w:tcW w:w="1642" w:type="dxa"/>
            <w:tcBorders>
              <w:top w:val="nil"/>
              <w:left w:val="single" w:sz="6" w:space="0" w:color="auto"/>
              <w:bottom w:val="single" w:sz="6" w:space="0" w:color="auto"/>
              <w:right w:val="single" w:sz="6" w:space="0" w:color="auto"/>
            </w:tcBorders>
          </w:tcPr>
          <w:p w14:paraId="1054E8A7" w14:textId="77777777" w:rsidR="00665165" w:rsidRPr="00F90EAE" w:rsidRDefault="00665165" w:rsidP="00F90EAE">
            <w:pPr>
              <w:autoSpaceDE w:val="0"/>
              <w:autoSpaceDN w:val="0"/>
              <w:adjustRightInd w:val="0"/>
              <w:jc w:val="both"/>
              <w:rPr>
                <w:color w:val="000000" w:themeColor="text1"/>
                <w:sz w:val="16"/>
                <w:szCs w:val="16"/>
              </w:rPr>
            </w:pPr>
          </w:p>
          <w:p w14:paraId="246E0358" w14:textId="77777777" w:rsidR="00665165" w:rsidRPr="00F90EAE" w:rsidRDefault="00665165" w:rsidP="00F90EAE">
            <w:pPr>
              <w:autoSpaceDE w:val="0"/>
              <w:autoSpaceDN w:val="0"/>
              <w:adjustRightInd w:val="0"/>
              <w:jc w:val="both"/>
              <w:rPr>
                <w:color w:val="000000" w:themeColor="text1"/>
                <w:sz w:val="16"/>
                <w:szCs w:val="16"/>
              </w:rPr>
            </w:pPr>
          </w:p>
        </w:tc>
        <w:tc>
          <w:tcPr>
            <w:tcW w:w="1334" w:type="dxa"/>
            <w:tcBorders>
              <w:top w:val="nil"/>
              <w:left w:val="single" w:sz="6" w:space="0" w:color="auto"/>
              <w:bottom w:val="single" w:sz="6" w:space="0" w:color="auto"/>
              <w:right w:val="single" w:sz="6" w:space="0" w:color="auto"/>
            </w:tcBorders>
          </w:tcPr>
          <w:p w14:paraId="2B83150C" w14:textId="77777777" w:rsidR="00665165" w:rsidRPr="00F90EAE" w:rsidRDefault="00665165" w:rsidP="00F90EAE">
            <w:pPr>
              <w:autoSpaceDE w:val="0"/>
              <w:autoSpaceDN w:val="0"/>
              <w:adjustRightInd w:val="0"/>
              <w:jc w:val="both"/>
              <w:rPr>
                <w:color w:val="000000" w:themeColor="text1"/>
                <w:sz w:val="16"/>
                <w:szCs w:val="16"/>
              </w:rPr>
            </w:pPr>
          </w:p>
          <w:p w14:paraId="5ECB2B2C" w14:textId="77777777" w:rsidR="00665165" w:rsidRPr="00F90EAE" w:rsidRDefault="00665165" w:rsidP="00F90EAE">
            <w:pPr>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34431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налицо</w:t>
            </w:r>
          </w:p>
          <w:p w14:paraId="5A2E67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1514B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командировке</w:t>
            </w:r>
          </w:p>
          <w:p w14:paraId="66D450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A1A94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68B4B2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nil"/>
              <w:left w:val="single" w:sz="6" w:space="0" w:color="auto"/>
              <w:bottom w:val="single" w:sz="6" w:space="0" w:color="auto"/>
              <w:right w:val="single" w:sz="6" w:space="0" w:color="auto"/>
            </w:tcBorders>
          </w:tcPr>
          <w:p w14:paraId="772F20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5FBBA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91D9C9E"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2C2EEF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Отечественных</w:t>
            </w:r>
          </w:p>
          <w:p w14:paraId="1FA315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E71AD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396442</w:t>
            </w:r>
          </w:p>
          <w:p w14:paraId="7A2594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ED0E5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388249</w:t>
            </w:r>
          </w:p>
          <w:p w14:paraId="7F0DDA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172C4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7274</w:t>
            </w:r>
          </w:p>
          <w:p w14:paraId="3AEEB0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1E6BE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395523</w:t>
            </w:r>
          </w:p>
          <w:p w14:paraId="3C1B5B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09062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-919</w:t>
            </w:r>
          </w:p>
          <w:p w14:paraId="3E1FE8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B1D999D" w14:textId="77777777">
        <w:trPr>
          <w:trHeight w:val="230"/>
        </w:trPr>
        <w:tc>
          <w:tcPr>
            <w:tcW w:w="1642" w:type="dxa"/>
            <w:tcBorders>
              <w:top w:val="single" w:sz="6" w:space="0" w:color="auto"/>
              <w:left w:val="single" w:sz="6" w:space="0" w:color="auto"/>
              <w:bottom w:val="single" w:sz="6" w:space="0" w:color="auto"/>
              <w:right w:val="single" w:sz="6" w:space="0" w:color="auto"/>
            </w:tcBorders>
          </w:tcPr>
          <w:p w14:paraId="300E35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Импортных</w:t>
            </w:r>
          </w:p>
          <w:p w14:paraId="2C2C78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411F0D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198408</w:t>
            </w:r>
          </w:p>
          <w:p w14:paraId="5F4CEA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4C49A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194802</w:t>
            </w:r>
          </w:p>
          <w:p w14:paraId="25608D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4209E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2159</w:t>
            </w:r>
          </w:p>
          <w:p w14:paraId="725FD1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1062F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196961</w:t>
            </w:r>
          </w:p>
          <w:p w14:paraId="455220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ABF35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-1447</w:t>
            </w:r>
          </w:p>
          <w:p w14:paraId="148486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AE73426" w14:textId="77777777">
        <w:trPr>
          <w:trHeight w:val="240"/>
        </w:trPr>
        <w:tc>
          <w:tcPr>
            <w:tcW w:w="1642" w:type="dxa"/>
            <w:tcBorders>
              <w:top w:val="single" w:sz="6" w:space="0" w:color="auto"/>
              <w:left w:val="single" w:sz="6" w:space="0" w:color="auto"/>
              <w:bottom w:val="single" w:sz="6" w:space="0" w:color="auto"/>
              <w:right w:val="single" w:sz="6" w:space="0" w:color="auto"/>
            </w:tcBorders>
          </w:tcPr>
          <w:p w14:paraId="799AE7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Трофейных</w:t>
            </w:r>
          </w:p>
          <w:p w14:paraId="46A6DD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0A8351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45971</w:t>
            </w:r>
          </w:p>
          <w:p w14:paraId="6ACCD1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E8687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46677</w:t>
            </w:r>
          </w:p>
          <w:p w14:paraId="1A096E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76F064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367</w:t>
            </w:r>
          </w:p>
          <w:p w14:paraId="7F426D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2726C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47044</w:t>
            </w:r>
          </w:p>
          <w:p w14:paraId="6AAC06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48569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+1073</w:t>
            </w:r>
          </w:p>
          <w:p w14:paraId="6D3F92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51C233A" w14:textId="77777777">
        <w:trPr>
          <w:trHeight w:val="259"/>
        </w:trPr>
        <w:tc>
          <w:tcPr>
            <w:tcW w:w="1642" w:type="dxa"/>
            <w:tcBorders>
              <w:top w:val="single" w:sz="6" w:space="0" w:color="auto"/>
              <w:left w:val="single" w:sz="6" w:space="0" w:color="auto"/>
              <w:bottom w:val="single" w:sz="6" w:space="0" w:color="auto"/>
              <w:right w:val="single" w:sz="6" w:space="0" w:color="auto"/>
            </w:tcBorders>
          </w:tcPr>
          <w:p w14:paraId="52C85D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6BB27E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34" w:type="dxa"/>
            <w:tcBorders>
              <w:top w:val="single" w:sz="6" w:space="0" w:color="auto"/>
              <w:left w:val="single" w:sz="6" w:space="0" w:color="auto"/>
              <w:bottom w:val="single" w:sz="6" w:space="0" w:color="auto"/>
              <w:right w:val="single" w:sz="6" w:space="0" w:color="auto"/>
            </w:tcBorders>
          </w:tcPr>
          <w:p w14:paraId="399F19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640821</w:t>
            </w:r>
          </w:p>
          <w:p w14:paraId="2792E0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8B871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629728</w:t>
            </w:r>
          </w:p>
          <w:p w14:paraId="66DD21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C5A29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9800</w:t>
            </w:r>
          </w:p>
          <w:p w14:paraId="3A0547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7846F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639528</w:t>
            </w:r>
          </w:p>
          <w:p w14:paraId="2EB3AC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3DE98C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-1293</w:t>
            </w:r>
          </w:p>
          <w:p w14:paraId="43AD29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03804A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приведенной таблицы видно, что переучетом выявлено — 1073 трофейных автомашин, не состоявших на учете. Отечественных и импортных машин оказалось менее на 2366 штук против списочного количества.</w:t>
      </w:r>
    </w:p>
    <w:p w14:paraId="6BC929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итоге общее списочное количество уменьшилось на 1293 машины.</w:t>
      </w:r>
    </w:p>
    <w:p w14:paraId="1F505E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таблице не указаны 5841 автомашина резерва ГАВТУ КА, находящиеся на центральных авторе</w:t>
      </w:r>
      <w:r w:rsidRPr="00F90EAE">
        <w:rPr>
          <w:color w:val="000000" w:themeColor="text1"/>
          <w:sz w:val="16"/>
          <w:szCs w:val="16"/>
        </w:rPr>
        <w:softHyphen/>
        <w:t>монтных заводах в СПАМах, требующие капитального ремонта и в значительной части совершенно негодные.</w:t>
      </w:r>
    </w:p>
    <w:p w14:paraId="694975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Техническое состояние автопарка Красной Армии</w:t>
      </w:r>
    </w:p>
    <w:p w14:paraId="423A68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Наличие ходового автопарка на отдельных фронтах (2-й Украинский, 1-й Белорусский и др.), независимо от переучета, проверялось специальными комиссиями, которыми установлено:</w:t>
      </w:r>
    </w:p>
    <w:p w14:paraId="55C08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что действительное наличие машин, готовых выполнять задание, в проверенных частях соот</w:t>
      </w:r>
      <w:r w:rsidRPr="00F90EAE">
        <w:rPr>
          <w:color w:val="000000" w:themeColor="text1"/>
          <w:sz w:val="16"/>
          <w:szCs w:val="16"/>
        </w:rPr>
        <w:softHyphen/>
        <w:t>ветствовало списочному наличию ходового парка, показываемому в срочных донесениях по форме №3.</w:t>
      </w:r>
    </w:p>
    <w:p w14:paraId="565B3B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что среди ходового парка имеется значительное количество машин с техническими неисправ</w:t>
      </w:r>
      <w:r w:rsidRPr="00F90EAE">
        <w:rPr>
          <w:color w:val="000000" w:themeColor="text1"/>
          <w:sz w:val="16"/>
          <w:szCs w:val="16"/>
        </w:rPr>
        <w:softHyphen/>
        <w:t>ностями, которые не препятствуют использованию машин в данный момент, но для устранения этих неисправностей требуется производство текущего, среднего, а иногда и капитального ремонта.</w:t>
      </w:r>
    </w:p>
    <w:p w14:paraId="04F6E6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проведенного переучета установлено:</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267"/>
        <w:gridCol w:w="1488"/>
        <w:gridCol w:w="1306"/>
        <w:gridCol w:w="1306"/>
        <w:gridCol w:w="1306"/>
        <w:gridCol w:w="1229"/>
      </w:tblGrid>
      <w:tr w:rsidR="00561F31" w:rsidRPr="00F90EAE" w14:paraId="79CDF01D" w14:textId="77777777">
        <w:trPr>
          <w:trHeight w:val="250"/>
        </w:trPr>
        <w:tc>
          <w:tcPr>
            <w:tcW w:w="1690" w:type="dxa"/>
            <w:tcBorders>
              <w:top w:val="single" w:sz="6" w:space="0" w:color="auto"/>
              <w:left w:val="single" w:sz="6" w:space="0" w:color="auto"/>
              <w:bottom w:val="nil"/>
              <w:right w:val="single" w:sz="6" w:space="0" w:color="auto"/>
            </w:tcBorders>
          </w:tcPr>
          <w:p w14:paraId="0F06F3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18B101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98AE9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осмотренных машин</w:t>
            </w:r>
          </w:p>
          <w:p w14:paraId="413F90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5406" w:type="dxa"/>
            <w:gridSpan w:val="4"/>
            <w:tcBorders>
              <w:top w:val="single" w:sz="6" w:space="0" w:color="auto"/>
              <w:left w:val="single" w:sz="6" w:space="0" w:color="auto"/>
              <w:bottom w:val="single" w:sz="6" w:space="0" w:color="auto"/>
              <w:right w:val="single" w:sz="6" w:space="0" w:color="auto"/>
            </w:tcBorders>
          </w:tcPr>
          <w:p w14:paraId="3E849B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 оказалось</w:t>
            </w:r>
          </w:p>
          <w:p w14:paraId="00544A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nil"/>
              <w:right w:val="single" w:sz="6" w:space="0" w:color="auto"/>
            </w:tcBorders>
          </w:tcPr>
          <w:p w14:paraId="3CB471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машин капи</w:t>
            </w:r>
            <w:r w:rsidRPr="00F90EAE">
              <w:rPr>
                <w:color w:val="000000" w:themeColor="text1"/>
                <w:sz w:val="16"/>
                <w:szCs w:val="16"/>
              </w:rPr>
              <w:softHyphen/>
              <w:t>тального и сред</w:t>
            </w:r>
            <w:r w:rsidRPr="00F90EAE">
              <w:rPr>
                <w:color w:val="000000" w:themeColor="text1"/>
                <w:sz w:val="16"/>
                <w:szCs w:val="16"/>
              </w:rPr>
              <w:softHyphen/>
              <w:t>него ремонта</w:t>
            </w:r>
          </w:p>
          <w:p w14:paraId="7176E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4B24183" w14:textId="77777777">
        <w:trPr>
          <w:trHeight w:val="413"/>
        </w:trPr>
        <w:tc>
          <w:tcPr>
            <w:tcW w:w="1690" w:type="dxa"/>
            <w:tcBorders>
              <w:top w:val="nil"/>
              <w:left w:val="single" w:sz="6" w:space="0" w:color="auto"/>
              <w:bottom w:val="single" w:sz="6" w:space="0" w:color="auto"/>
              <w:right w:val="single" w:sz="6" w:space="0" w:color="auto"/>
            </w:tcBorders>
          </w:tcPr>
          <w:p w14:paraId="6C817B3F" w14:textId="77777777" w:rsidR="00665165" w:rsidRPr="00F90EAE" w:rsidRDefault="00665165" w:rsidP="00F90EAE">
            <w:pPr>
              <w:autoSpaceDE w:val="0"/>
              <w:autoSpaceDN w:val="0"/>
              <w:adjustRightInd w:val="0"/>
              <w:jc w:val="both"/>
              <w:rPr>
                <w:color w:val="000000" w:themeColor="text1"/>
                <w:sz w:val="16"/>
                <w:szCs w:val="16"/>
              </w:rPr>
            </w:pPr>
          </w:p>
          <w:p w14:paraId="3E6223B0" w14:textId="77777777" w:rsidR="00665165" w:rsidRPr="00F90EAE" w:rsidRDefault="00665165" w:rsidP="00F90EAE">
            <w:pPr>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55FFDDE5" w14:textId="77777777" w:rsidR="00665165" w:rsidRPr="00F90EAE" w:rsidRDefault="00665165" w:rsidP="00F90EAE">
            <w:pPr>
              <w:autoSpaceDE w:val="0"/>
              <w:autoSpaceDN w:val="0"/>
              <w:adjustRightInd w:val="0"/>
              <w:jc w:val="both"/>
              <w:rPr>
                <w:color w:val="000000" w:themeColor="text1"/>
                <w:sz w:val="16"/>
                <w:szCs w:val="16"/>
              </w:rPr>
            </w:pPr>
          </w:p>
          <w:p w14:paraId="53F0748E" w14:textId="77777777" w:rsidR="00665165" w:rsidRPr="00F90EAE" w:rsidRDefault="00665165" w:rsidP="00F90EAE">
            <w:pPr>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4AB447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исправных и теку</w:t>
            </w:r>
            <w:r w:rsidRPr="00F90EAE">
              <w:rPr>
                <w:color w:val="000000" w:themeColor="text1"/>
                <w:sz w:val="16"/>
                <w:szCs w:val="16"/>
              </w:rPr>
              <w:softHyphen/>
              <w:t>щих ремонтов</w:t>
            </w:r>
          </w:p>
          <w:p w14:paraId="012E74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33F1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капитального ремонта</w:t>
            </w:r>
          </w:p>
          <w:p w14:paraId="59B824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86920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среднего ремонта</w:t>
            </w:r>
          </w:p>
          <w:p w14:paraId="4408CA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04197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негодных</w:t>
            </w:r>
          </w:p>
          <w:p w14:paraId="0F6505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nil"/>
              <w:left w:val="single" w:sz="6" w:space="0" w:color="auto"/>
              <w:bottom w:val="single" w:sz="6" w:space="0" w:color="auto"/>
              <w:right w:val="single" w:sz="6" w:space="0" w:color="auto"/>
            </w:tcBorders>
          </w:tcPr>
          <w:p w14:paraId="3187E2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51228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ACA92DA" w14:textId="77777777">
        <w:trPr>
          <w:trHeight w:val="230"/>
        </w:trPr>
        <w:tc>
          <w:tcPr>
            <w:tcW w:w="1690" w:type="dxa"/>
            <w:tcBorders>
              <w:top w:val="single" w:sz="6" w:space="0" w:color="auto"/>
              <w:left w:val="single" w:sz="6" w:space="0" w:color="auto"/>
              <w:bottom w:val="single" w:sz="6" w:space="0" w:color="auto"/>
              <w:right w:val="single" w:sz="6" w:space="0" w:color="auto"/>
            </w:tcBorders>
          </w:tcPr>
          <w:p w14:paraId="258830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Отечественные</w:t>
            </w:r>
          </w:p>
          <w:p w14:paraId="74C43B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272F5F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388249</w:t>
            </w:r>
          </w:p>
          <w:p w14:paraId="5F7777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053BAD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305165</w:t>
            </w:r>
          </w:p>
          <w:p w14:paraId="5D6F1F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0D5D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27047</w:t>
            </w:r>
          </w:p>
          <w:p w14:paraId="1ACC57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C3933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50953</w:t>
            </w:r>
          </w:p>
          <w:p w14:paraId="2981A9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E4512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5084</w:t>
            </w:r>
          </w:p>
          <w:p w14:paraId="6AEEEC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054C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21,4%</w:t>
            </w:r>
          </w:p>
          <w:p w14:paraId="45564C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4E3FBAB"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687084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Импортные</w:t>
            </w:r>
          </w:p>
          <w:p w14:paraId="3FA24F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50D6D4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194802</w:t>
            </w:r>
          </w:p>
          <w:p w14:paraId="5CB322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F5272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164942</w:t>
            </w:r>
          </w:p>
          <w:p w14:paraId="78FF2E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9A7A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7263</w:t>
            </w:r>
          </w:p>
          <w:p w14:paraId="716C25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CEE56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21059</w:t>
            </w:r>
          </w:p>
          <w:p w14:paraId="3E86F6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5ABA28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1538</w:t>
            </w:r>
          </w:p>
          <w:p w14:paraId="32AE90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DE1DF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w:t>
            </w:r>
          </w:p>
          <w:p w14:paraId="0D3853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E5C181A" w14:textId="77777777">
        <w:trPr>
          <w:trHeight w:val="240"/>
        </w:trPr>
        <w:tc>
          <w:tcPr>
            <w:tcW w:w="1690" w:type="dxa"/>
            <w:tcBorders>
              <w:top w:val="single" w:sz="6" w:space="0" w:color="auto"/>
              <w:left w:val="single" w:sz="6" w:space="0" w:color="auto"/>
              <w:bottom w:val="single" w:sz="6" w:space="0" w:color="auto"/>
              <w:right w:val="single" w:sz="6" w:space="0" w:color="auto"/>
            </w:tcBorders>
          </w:tcPr>
          <w:p w14:paraId="793AAE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Трофейные</w:t>
            </w:r>
          </w:p>
          <w:p w14:paraId="5B53CC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8E581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46677</w:t>
            </w:r>
          </w:p>
          <w:p w14:paraId="57A458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56DC19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36056</w:t>
            </w:r>
          </w:p>
          <w:p w14:paraId="54CDFE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DAB8B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2879</w:t>
            </w:r>
          </w:p>
          <w:p w14:paraId="39209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1C441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7649</w:t>
            </w:r>
          </w:p>
          <w:p w14:paraId="510AAB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15977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993</w:t>
            </w:r>
          </w:p>
          <w:p w14:paraId="0037C5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69E7C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22,8%</w:t>
            </w:r>
          </w:p>
          <w:p w14:paraId="392C94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5BB7065" w14:textId="77777777">
        <w:trPr>
          <w:trHeight w:val="259"/>
        </w:trPr>
        <w:tc>
          <w:tcPr>
            <w:tcW w:w="1690" w:type="dxa"/>
            <w:tcBorders>
              <w:top w:val="single" w:sz="6" w:space="0" w:color="auto"/>
              <w:left w:val="single" w:sz="6" w:space="0" w:color="auto"/>
              <w:bottom w:val="single" w:sz="6" w:space="0" w:color="auto"/>
              <w:right w:val="single" w:sz="6" w:space="0" w:color="auto"/>
            </w:tcBorders>
          </w:tcPr>
          <w:p w14:paraId="2E15A3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F1F91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91F14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629728</w:t>
            </w:r>
          </w:p>
          <w:p w14:paraId="4857DE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88" w:type="dxa"/>
            <w:tcBorders>
              <w:top w:val="single" w:sz="6" w:space="0" w:color="auto"/>
              <w:left w:val="single" w:sz="6" w:space="0" w:color="auto"/>
              <w:bottom w:val="single" w:sz="6" w:space="0" w:color="auto"/>
              <w:right w:val="single" w:sz="6" w:space="0" w:color="auto"/>
            </w:tcBorders>
          </w:tcPr>
          <w:p w14:paraId="6E0537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506163</w:t>
            </w:r>
          </w:p>
          <w:p w14:paraId="5921E3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42F18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37189</w:t>
            </w:r>
          </w:p>
          <w:p w14:paraId="1DD785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7020EA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78761</w:t>
            </w:r>
          </w:p>
          <w:p w14:paraId="39E27D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0FABE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7615</w:t>
            </w:r>
          </w:p>
          <w:p w14:paraId="6E7441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7CFE30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w:t>
            </w:r>
          </w:p>
          <w:p w14:paraId="3E9503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32D3BD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Указанные в этой таблице результаты переучета показывают, что количество машин, требую</w:t>
      </w:r>
      <w:r w:rsidRPr="00F90EAE">
        <w:rPr>
          <w:color w:val="000000" w:themeColor="text1"/>
          <w:sz w:val="16"/>
          <w:szCs w:val="16"/>
        </w:rPr>
        <w:softHyphen/>
        <w:t>щих капитального и среднего ремонта, повышено по сравнению с данными по донесениям формы №3 на 1.05.1945 г., а именно: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2736"/>
        <w:gridCol w:w="2006"/>
        <w:gridCol w:w="2582"/>
      </w:tblGrid>
      <w:tr w:rsidR="00561F31" w:rsidRPr="00F90EAE" w14:paraId="34934D2A" w14:textId="77777777">
        <w:trPr>
          <w:trHeight w:val="250"/>
        </w:trPr>
        <w:tc>
          <w:tcPr>
            <w:tcW w:w="2256" w:type="dxa"/>
            <w:tcBorders>
              <w:top w:val="single" w:sz="6" w:space="0" w:color="auto"/>
              <w:left w:val="single" w:sz="6" w:space="0" w:color="auto"/>
              <w:bottom w:val="nil"/>
              <w:right w:val="single" w:sz="6" w:space="0" w:color="auto"/>
            </w:tcBorders>
          </w:tcPr>
          <w:p w14:paraId="001571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51C27D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4742" w:type="dxa"/>
            <w:gridSpan w:val="2"/>
            <w:tcBorders>
              <w:top w:val="single" w:sz="6" w:space="0" w:color="auto"/>
              <w:left w:val="single" w:sz="6" w:space="0" w:color="auto"/>
              <w:bottom w:val="single" w:sz="6" w:space="0" w:color="auto"/>
              <w:right w:val="single" w:sz="6" w:space="0" w:color="auto"/>
            </w:tcBorders>
          </w:tcPr>
          <w:p w14:paraId="2D4457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машин среднего и капитального ремонтов</w:t>
            </w:r>
          </w:p>
          <w:p w14:paraId="31EC39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nil"/>
              <w:right w:val="single" w:sz="6" w:space="0" w:color="auto"/>
            </w:tcBorders>
          </w:tcPr>
          <w:p w14:paraId="4E6285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Разница по переучету</w:t>
            </w:r>
          </w:p>
          <w:p w14:paraId="34A18C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C56CB4D" w14:textId="77777777">
        <w:trPr>
          <w:trHeight w:val="240"/>
        </w:trPr>
        <w:tc>
          <w:tcPr>
            <w:tcW w:w="2256" w:type="dxa"/>
            <w:tcBorders>
              <w:top w:val="nil"/>
              <w:left w:val="single" w:sz="6" w:space="0" w:color="auto"/>
              <w:bottom w:val="single" w:sz="6" w:space="0" w:color="auto"/>
              <w:right w:val="single" w:sz="6" w:space="0" w:color="auto"/>
            </w:tcBorders>
          </w:tcPr>
          <w:p w14:paraId="12041BA1" w14:textId="77777777" w:rsidR="00665165" w:rsidRPr="00F90EAE" w:rsidRDefault="00665165" w:rsidP="00F90EAE">
            <w:pPr>
              <w:autoSpaceDE w:val="0"/>
              <w:autoSpaceDN w:val="0"/>
              <w:adjustRightInd w:val="0"/>
              <w:jc w:val="both"/>
              <w:rPr>
                <w:color w:val="000000" w:themeColor="text1"/>
                <w:sz w:val="16"/>
                <w:szCs w:val="16"/>
              </w:rPr>
            </w:pPr>
          </w:p>
          <w:p w14:paraId="42A49B06" w14:textId="77777777" w:rsidR="00665165" w:rsidRPr="00F90EAE" w:rsidRDefault="00665165" w:rsidP="00F90EAE">
            <w:pPr>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3FDBFD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1945 г.</w:t>
            </w:r>
          </w:p>
          <w:p w14:paraId="758A03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4AB12C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данным переучета</w:t>
            </w:r>
          </w:p>
          <w:p w14:paraId="0A158E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nil"/>
              <w:left w:val="single" w:sz="6" w:space="0" w:color="auto"/>
              <w:bottom w:val="single" w:sz="6" w:space="0" w:color="auto"/>
              <w:right w:val="single" w:sz="6" w:space="0" w:color="auto"/>
            </w:tcBorders>
          </w:tcPr>
          <w:p w14:paraId="780443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697E5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D726522"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8C211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Отечественные</w:t>
            </w:r>
          </w:p>
          <w:p w14:paraId="5831D4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AB58D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13,9%</w:t>
            </w:r>
          </w:p>
          <w:p w14:paraId="71EF4B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043571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21,4%</w:t>
            </w:r>
          </w:p>
          <w:p w14:paraId="11599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5BB0B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63B4E2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5979D31"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189E84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Импортные</w:t>
            </w:r>
          </w:p>
          <w:p w14:paraId="144715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061A70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11,5%</w:t>
            </w:r>
          </w:p>
          <w:p w14:paraId="3F56A0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7945A4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w:t>
            </w:r>
          </w:p>
          <w:p w14:paraId="7FCB5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6F888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w:t>
            </w:r>
          </w:p>
          <w:p w14:paraId="779B22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77F0DF5"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747612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Трофейные</w:t>
            </w:r>
          </w:p>
          <w:p w14:paraId="70A43D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67C84E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w:t>
            </w:r>
          </w:p>
          <w:p w14:paraId="0A8513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E3B92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22,8%</w:t>
            </w:r>
          </w:p>
          <w:p w14:paraId="3E8297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3300AD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w:t>
            </w:r>
          </w:p>
          <w:p w14:paraId="3C1833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AC99215"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304720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w:t>
            </w:r>
          </w:p>
          <w:p w14:paraId="33A4BD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736" w:type="dxa"/>
            <w:tcBorders>
              <w:top w:val="single" w:sz="6" w:space="0" w:color="auto"/>
              <w:left w:val="single" w:sz="6" w:space="0" w:color="auto"/>
              <w:bottom w:val="single" w:sz="6" w:space="0" w:color="auto"/>
              <w:right w:val="single" w:sz="6" w:space="0" w:color="auto"/>
            </w:tcBorders>
          </w:tcPr>
          <w:p w14:paraId="51FF30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w:t>
            </w:r>
          </w:p>
          <w:p w14:paraId="45F39B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06" w:type="dxa"/>
            <w:tcBorders>
              <w:top w:val="single" w:sz="6" w:space="0" w:color="auto"/>
              <w:left w:val="single" w:sz="6" w:space="0" w:color="auto"/>
              <w:bottom w:val="single" w:sz="6" w:space="0" w:color="auto"/>
              <w:right w:val="single" w:sz="6" w:space="0" w:color="auto"/>
            </w:tcBorders>
          </w:tcPr>
          <w:p w14:paraId="2DA810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w:t>
            </w:r>
          </w:p>
          <w:p w14:paraId="23801C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582" w:type="dxa"/>
            <w:tcBorders>
              <w:top w:val="single" w:sz="6" w:space="0" w:color="auto"/>
              <w:left w:val="single" w:sz="6" w:space="0" w:color="auto"/>
              <w:bottom w:val="single" w:sz="6" w:space="0" w:color="auto"/>
              <w:right w:val="single" w:sz="6" w:space="0" w:color="auto"/>
            </w:tcBorders>
          </w:tcPr>
          <w:p w14:paraId="04C5E8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w:t>
            </w:r>
          </w:p>
          <w:p w14:paraId="3767F9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11F5F1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Расхождение в 6,4% в количестве машин, требующих капитального и среднего ремонта, объяс</w:t>
      </w:r>
      <w:r w:rsidRPr="00F90EAE">
        <w:rPr>
          <w:color w:val="000000" w:themeColor="text1"/>
          <w:sz w:val="16"/>
          <w:szCs w:val="16"/>
        </w:rPr>
        <w:softHyphen/>
        <w:t>няется тем, что в срочных донесениях по форме №3 указывается какое количество машин может эксплуатироваться в данный момент без ущерба для самих машин (т.е. находится в состоянии «на ходу»), а при производстве переучета ставилась задача определить техническое состояние машин, независимо от нахождения их в эксплуатации, в ремонте или в ожидании ремонта, т.е. определить степень технической изношенности.</w:t>
      </w:r>
    </w:p>
    <w:p w14:paraId="234C9B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Произведенный переучет еще раз подтверждает, что в военных округах техническое состояние автопарка значительно хуже, чем на фронтах:</w:t>
      </w:r>
    </w:p>
    <w:tbl>
      <w:tblPr>
        <w:tblW w:w="0" w:type="auto"/>
        <w:tblInd w:w="40" w:type="dxa"/>
        <w:tblLayout w:type="fixed"/>
        <w:tblCellMar>
          <w:left w:w="40" w:type="dxa"/>
          <w:right w:w="40" w:type="dxa"/>
        </w:tblCellMar>
        <w:tblLook w:val="0000" w:firstRow="0" w:lastRow="0" w:firstColumn="0" w:lastColumn="0" w:noHBand="0" w:noVBand="0"/>
      </w:tblPr>
      <w:tblGrid>
        <w:gridCol w:w="3869"/>
        <w:gridCol w:w="3235"/>
      </w:tblGrid>
      <w:tr w:rsidR="00561F31" w:rsidRPr="00F90EAE" w14:paraId="6D5B044F"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4CE348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46627B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B1850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машин среднего и капитального ремонта</w:t>
            </w:r>
          </w:p>
          <w:p w14:paraId="7ED285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B82C9B3"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57C135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военных округах</w:t>
            </w:r>
          </w:p>
          <w:p w14:paraId="2A32F6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0234E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32,3%</w:t>
            </w:r>
          </w:p>
          <w:p w14:paraId="657A9A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94DA518" w14:textId="77777777">
        <w:trPr>
          <w:trHeight w:val="230"/>
        </w:trPr>
        <w:tc>
          <w:tcPr>
            <w:tcW w:w="3869" w:type="dxa"/>
            <w:tcBorders>
              <w:top w:val="single" w:sz="6" w:space="0" w:color="auto"/>
              <w:left w:val="single" w:sz="6" w:space="0" w:color="auto"/>
              <w:bottom w:val="single" w:sz="6" w:space="0" w:color="auto"/>
              <w:right w:val="single" w:sz="6" w:space="0" w:color="auto"/>
            </w:tcBorders>
          </w:tcPr>
          <w:p w14:paraId="53809D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недействующих фронтах</w:t>
            </w:r>
          </w:p>
          <w:p w14:paraId="081B07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0FE8F0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19,5%</w:t>
            </w:r>
          </w:p>
          <w:p w14:paraId="7659AC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443793C" w14:textId="77777777">
        <w:trPr>
          <w:trHeight w:val="240"/>
        </w:trPr>
        <w:tc>
          <w:tcPr>
            <w:tcW w:w="3869" w:type="dxa"/>
            <w:tcBorders>
              <w:top w:val="single" w:sz="6" w:space="0" w:color="auto"/>
              <w:left w:val="single" w:sz="6" w:space="0" w:color="auto"/>
              <w:bottom w:val="single" w:sz="6" w:space="0" w:color="auto"/>
              <w:right w:val="single" w:sz="6" w:space="0" w:color="auto"/>
            </w:tcBorders>
          </w:tcPr>
          <w:p w14:paraId="62C385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действующих фронтах</w:t>
            </w:r>
          </w:p>
          <w:p w14:paraId="01E27C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68C241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17,8%</w:t>
            </w:r>
          </w:p>
          <w:p w14:paraId="7F6081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400CB66" w14:textId="77777777">
        <w:trPr>
          <w:trHeight w:val="250"/>
        </w:trPr>
        <w:tc>
          <w:tcPr>
            <w:tcW w:w="3869" w:type="dxa"/>
            <w:tcBorders>
              <w:top w:val="single" w:sz="6" w:space="0" w:color="auto"/>
              <w:left w:val="single" w:sz="6" w:space="0" w:color="auto"/>
              <w:bottom w:val="single" w:sz="6" w:space="0" w:color="auto"/>
              <w:right w:val="single" w:sz="6" w:space="0" w:color="auto"/>
            </w:tcBorders>
          </w:tcPr>
          <w:p w14:paraId="1B8EBE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w:t>
            </w:r>
          </w:p>
          <w:p w14:paraId="4E30F3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235" w:type="dxa"/>
            <w:tcBorders>
              <w:top w:val="single" w:sz="6" w:space="0" w:color="auto"/>
              <w:left w:val="single" w:sz="6" w:space="0" w:color="auto"/>
              <w:bottom w:val="single" w:sz="6" w:space="0" w:color="auto"/>
              <w:right w:val="single" w:sz="6" w:space="0" w:color="auto"/>
            </w:tcBorders>
          </w:tcPr>
          <w:p w14:paraId="46EECC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w:t>
            </w:r>
          </w:p>
          <w:p w14:paraId="5224AC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0D87F9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Общие результаты</w:t>
      </w:r>
    </w:p>
    <w:p w14:paraId="347B57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Проведение переучета машин и одновременная выдача новых паспортов дали возможность:</w:t>
      </w:r>
    </w:p>
    <w:p w14:paraId="7ACA46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выявить неучтенные ранее машины, а также машины, утраченные по разным причинам, но продолжавшие состоять на учете;</w:t>
      </w:r>
    </w:p>
    <w:p w14:paraId="3CF53C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уточнить техническое состояние машин, независимо от состояния их «на ходу» или «не на ходу»;</w:t>
      </w:r>
    </w:p>
    <w:p w14:paraId="272FDE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наладить учет работы, проделанной каждой машиной, и учет резины путем соответствующих записей в паспортах;</w:t>
      </w:r>
    </w:p>
    <w:p w14:paraId="728975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течение подготовительного периода улучшить общее состояние автомобильного парка путем устранения многих мелких неисправностей непосредственно в войсковых частях;</w:t>
      </w:r>
    </w:p>
    <w:p w14:paraId="1E6A02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упорядочить пользование машинами (особенно трофейными) в связи с введением твердого порядка в выдаче новых (постоянных) паспортов;</w:t>
      </w:r>
    </w:p>
    <w:p w14:paraId="63E17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установить индивидуальный учет машин (по контрольным талонам) в автоуправлениях фрон</w:t>
      </w:r>
      <w:r w:rsidRPr="00F90EAE">
        <w:rPr>
          <w:color w:val="000000" w:themeColor="text1"/>
          <w:sz w:val="16"/>
          <w:szCs w:val="16"/>
        </w:rPr>
        <w:softHyphen/>
        <w:t>тов и округов;</w:t>
      </w:r>
    </w:p>
    <w:p w14:paraId="5BA887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привести в должный порядок всю систему учета машин в Красной Армии, а особенно — непос</w:t>
      </w:r>
      <w:r w:rsidRPr="00F90EAE">
        <w:rPr>
          <w:color w:val="000000" w:themeColor="text1"/>
          <w:sz w:val="16"/>
          <w:szCs w:val="16"/>
        </w:rPr>
        <w:softHyphen/>
        <w:t>редственно в частях.</w:t>
      </w:r>
    </w:p>
    <w:p w14:paraId="6B4FE0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целом, проведенный переучет автомашин Красной Армии дал весьма положительные резуль</w:t>
      </w:r>
      <w:r w:rsidRPr="00F90EAE">
        <w:rPr>
          <w:color w:val="000000" w:themeColor="text1"/>
          <w:sz w:val="16"/>
          <w:szCs w:val="16"/>
        </w:rPr>
        <w:softHyphen/>
        <w:t>таты и послужил основой для дальнейшего улучшения основных отраслей автомобильной службы и, в первую очередь, эксплуатации и технического обслуживания автомашин.</w:t>
      </w:r>
    </w:p>
    <w:p w14:paraId="7252E6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ГАВТУ КА генерал-лейтенант технических войск Тягунов</w:t>
      </w:r>
    </w:p>
    <w:p w14:paraId="71507B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41. Оп. 11584. Д. 213. Л. 22-25. Копия (11420).</w:t>
      </w:r>
    </w:p>
    <w:p w14:paraId="37AB5E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45A7F56" w14:textId="77777777" w:rsidR="00E0115C"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ED3E433" w14:textId="77777777" w:rsidR="00E0115C" w:rsidRPr="00F90EAE" w:rsidRDefault="00E0115C" w:rsidP="00F90EAE">
      <w:pPr>
        <w:autoSpaceDE w:val="0"/>
        <w:autoSpaceDN w:val="0"/>
        <w:adjustRightInd w:val="0"/>
        <w:jc w:val="both"/>
        <w:rPr>
          <w:iCs/>
          <w:color w:val="000000" w:themeColor="text1"/>
          <w:sz w:val="16"/>
          <w:szCs w:val="16"/>
        </w:rPr>
      </w:pPr>
    </w:p>
    <w:p w14:paraId="01E67031" w14:textId="77777777" w:rsidR="00E0115C" w:rsidRPr="00F90EAE" w:rsidRDefault="00E0115C" w:rsidP="00F90EAE">
      <w:pPr>
        <w:jc w:val="both"/>
        <w:rPr>
          <w:color w:val="000000" w:themeColor="text1"/>
          <w:sz w:val="16"/>
          <w:szCs w:val="16"/>
        </w:rPr>
      </w:pPr>
      <w:r w:rsidRPr="00F90EAE">
        <w:rPr>
          <w:bCs/>
          <w:color w:val="000000" w:themeColor="text1"/>
          <w:sz w:val="16"/>
          <w:szCs w:val="16"/>
        </w:rPr>
        <w:t>22 мая</w:t>
      </w:r>
      <w:r w:rsidRPr="00F90EAE">
        <w:rPr>
          <w:color w:val="000000" w:themeColor="text1"/>
          <w:sz w:val="16"/>
          <w:szCs w:val="16"/>
        </w:rPr>
        <w:t xml:space="preserve"> в 1945 году впервые в истории Русской Церкви Патриарх Московский отправился в паломничество на Святую Землю (14899).</w:t>
      </w:r>
    </w:p>
    <w:p w14:paraId="006ABE5A" w14:textId="77777777" w:rsidR="00E0115C" w:rsidRPr="00F90EAE" w:rsidRDefault="00E0115C" w:rsidP="00F90EAE">
      <w:pPr>
        <w:jc w:val="both"/>
        <w:rPr>
          <w:color w:val="000000" w:themeColor="text1"/>
          <w:sz w:val="16"/>
          <w:szCs w:val="16"/>
        </w:rPr>
      </w:pPr>
    </w:p>
    <w:p w14:paraId="1A153F2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мая 1945 вышло Постановление ГКО № 8670 [О мерах по ускорению проверки репатриируемых советских граждан.] (7342, 71).</w:t>
      </w:r>
    </w:p>
    <w:p w14:paraId="3C250F2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4C2731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2C6CA78" w14:textId="77777777" w:rsidR="00665165" w:rsidRPr="00F90EAE" w:rsidRDefault="00665165" w:rsidP="00F90EAE">
      <w:pPr>
        <w:autoSpaceDE w:val="0"/>
        <w:autoSpaceDN w:val="0"/>
        <w:adjustRightInd w:val="0"/>
        <w:jc w:val="both"/>
        <w:rPr>
          <w:iCs/>
          <w:color w:val="000000" w:themeColor="text1"/>
          <w:sz w:val="16"/>
          <w:szCs w:val="16"/>
        </w:rPr>
      </w:pPr>
    </w:p>
    <w:p w14:paraId="7F523A94" w14:textId="77777777" w:rsidR="00816E1B" w:rsidRPr="00F90EAE" w:rsidRDefault="00816E1B"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мая  1945  г. на стол Черчилля лег план «Немыслимое». Это была первая подробная разработка войны против СССР. Набор целей для атомной бомбардировки Советского Союза подготовил Объединенный разведывательный штаб при Объединенном комитете начальников штабов 3 ноября  1945  г. (17449).</w:t>
      </w:r>
    </w:p>
    <w:p w14:paraId="109E2991" w14:textId="77777777" w:rsidR="00816E1B" w:rsidRPr="00F90EAE" w:rsidRDefault="00816E1B" w:rsidP="00F90EAE">
      <w:pPr>
        <w:tabs>
          <w:tab w:val="left" w:pos="11199"/>
        </w:tabs>
        <w:autoSpaceDE w:val="0"/>
        <w:autoSpaceDN w:val="0"/>
        <w:adjustRightInd w:val="0"/>
        <w:jc w:val="both"/>
        <w:rPr>
          <w:color w:val="000000" w:themeColor="text1"/>
          <w:sz w:val="16"/>
          <w:szCs w:val="16"/>
        </w:rPr>
      </w:pPr>
    </w:p>
    <w:p w14:paraId="1EAD6570" w14:textId="77777777" w:rsidR="00AF408C" w:rsidRPr="00F90EAE" w:rsidRDefault="00AF408C" w:rsidP="00F90EAE">
      <w:pPr>
        <w:jc w:val="both"/>
        <w:rPr>
          <w:color w:val="000000" w:themeColor="text1"/>
          <w:sz w:val="16"/>
          <w:szCs w:val="16"/>
        </w:rPr>
      </w:pPr>
      <w:r w:rsidRPr="00F90EAE">
        <w:rPr>
          <w:bCs/>
          <w:color w:val="000000" w:themeColor="text1"/>
          <w:sz w:val="16"/>
          <w:szCs w:val="16"/>
        </w:rPr>
        <w:t>22 мая</w:t>
      </w:r>
      <w:r w:rsidRPr="00F90EAE">
        <w:rPr>
          <w:color w:val="000000" w:themeColor="text1"/>
          <w:sz w:val="16"/>
          <w:szCs w:val="16"/>
        </w:rPr>
        <w:t xml:space="preserve"> в 1945 году под Гамбургом британский патруль арестовал рейхсфюрера СС Генриха Гиммлера, пытавшегося скрыться в толпе беженцев (14899).</w:t>
      </w:r>
    </w:p>
    <w:p w14:paraId="7D193148" w14:textId="77777777" w:rsidR="00AF408C" w:rsidRPr="00F90EAE" w:rsidRDefault="00AF408C" w:rsidP="00F90EAE">
      <w:pPr>
        <w:jc w:val="both"/>
        <w:rPr>
          <w:color w:val="000000" w:themeColor="text1"/>
          <w:sz w:val="16"/>
          <w:szCs w:val="16"/>
        </w:rPr>
      </w:pPr>
    </w:p>
    <w:p w14:paraId="4A848ED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мая 1945 в Лондоне впервые на восстановительных работах задействованы немецкие военнопленные (4962).</w:t>
      </w:r>
    </w:p>
    <w:p w14:paraId="5A67C4E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9FA087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822C32C" w14:textId="77777777" w:rsidR="00665165" w:rsidRPr="00F90EAE" w:rsidRDefault="00665165" w:rsidP="00F90EAE">
      <w:pPr>
        <w:autoSpaceDE w:val="0"/>
        <w:autoSpaceDN w:val="0"/>
        <w:adjustRightInd w:val="0"/>
        <w:jc w:val="both"/>
        <w:rPr>
          <w:iCs/>
          <w:color w:val="000000" w:themeColor="text1"/>
          <w:sz w:val="16"/>
          <w:szCs w:val="16"/>
        </w:rPr>
      </w:pPr>
    </w:p>
    <w:p w14:paraId="18A64C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года Шахурин писал письмо N Н-35/2308 наркому ВМФ адмиралу флота Кузнецову Н.Г.</w:t>
      </w:r>
    </w:p>
    <w:p w14:paraId="3EE2B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проведения ряда работ по исследованию характеристик гребных винтов и ускоренных испытаний аэростатов заграждения методом их буксировки катером на воде, прошу Вашего распоряжения о выделении из имеющихся у вас фондов одного скоростного катера типа "Г-5" без вооружения и передаче его ЦАГИ к 1 июня 1945 года (2595,54).</w:t>
      </w:r>
    </w:p>
    <w:p w14:paraId="19B54188" w14:textId="77777777" w:rsidR="00665165" w:rsidRPr="00F90EAE" w:rsidRDefault="00665165" w:rsidP="00F90EAE">
      <w:pPr>
        <w:autoSpaceDE w:val="0"/>
        <w:autoSpaceDN w:val="0"/>
        <w:adjustRightInd w:val="0"/>
        <w:jc w:val="both"/>
        <w:rPr>
          <w:color w:val="000000" w:themeColor="text1"/>
          <w:sz w:val="16"/>
          <w:szCs w:val="16"/>
        </w:rPr>
      </w:pPr>
    </w:p>
    <w:p w14:paraId="599FBADF" w14:textId="77777777" w:rsidR="00E0115C" w:rsidRPr="00F90EAE" w:rsidRDefault="00E0115C" w:rsidP="00F90EAE">
      <w:pPr>
        <w:pStyle w:val="3a"/>
        <w:shd w:val="clear" w:color="auto" w:fill="auto"/>
        <w:spacing w:before="0" w:after="0" w:line="240" w:lineRule="auto"/>
        <w:jc w:val="both"/>
        <w:rPr>
          <w:color w:val="000000" w:themeColor="text1"/>
          <w:spacing w:val="0"/>
          <w:sz w:val="16"/>
          <w:szCs w:val="16"/>
        </w:rPr>
      </w:pPr>
      <w:r w:rsidRPr="00F90EAE">
        <w:rPr>
          <w:color w:val="000000" w:themeColor="text1"/>
          <w:spacing w:val="0"/>
          <w:sz w:val="16"/>
          <w:szCs w:val="16"/>
        </w:rPr>
        <w:t>23 марта 1945 г. Из материалов Управления делами СНК СССР о перспективах развития малообъемных дирижаблей и их применения в народном хозяйстве</w:t>
      </w:r>
    </w:p>
    <w:p w14:paraId="5FD0ED41" w14:textId="77777777" w:rsidR="00E0115C" w:rsidRPr="00F90EAE" w:rsidRDefault="00E0115C" w:rsidP="00F90EAE">
      <w:pPr>
        <w:pStyle w:val="3a"/>
        <w:shd w:val="clear" w:color="auto" w:fill="auto"/>
        <w:spacing w:before="0" w:after="0" w:line="240" w:lineRule="auto"/>
        <w:jc w:val="both"/>
        <w:rPr>
          <w:color w:val="000000" w:themeColor="text1"/>
          <w:spacing w:val="0"/>
          <w:sz w:val="16"/>
          <w:szCs w:val="16"/>
        </w:rPr>
      </w:pPr>
      <w:bookmarkStart w:id="11" w:name="bookmark15"/>
      <w:r w:rsidRPr="00F90EAE">
        <w:rPr>
          <w:color w:val="000000" w:themeColor="text1"/>
          <w:spacing w:val="0"/>
          <w:sz w:val="16"/>
          <w:szCs w:val="16"/>
        </w:rPr>
        <w:t>Перспективы развития дирижаблестроения</w:t>
      </w:r>
      <w:bookmarkEnd w:id="11"/>
    </w:p>
    <w:p w14:paraId="6D2AB432" w14:textId="77777777" w:rsidR="00E0115C" w:rsidRPr="00F90EAE" w:rsidRDefault="00E0115C" w:rsidP="00F90EAE">
      <w:pPr>
        <w:tabs>
          <w:tab w:val="left" w:pos="783"/>
        </w:tabs>
        <w:jc w:val="both"/>
        <w:rPr>
          <w:color w:val="000000" w:themeColor="text1"/>
          <w:sz w:val="16"/>
          <w:szCs w:val="16"/>
        </w:rPr>
      </w:pPr>
      <w:r w:rsidRPr="00F90EAE">
        <w:rPr>
          <w:color w:val="000000" w:themeColor="text1"/>
          <w:sz w:val="16"/>
          <w:szCs w:val="16"/>
        </w:rPr>
        <w:t>1. Дирижабль обладает рядом специфических свойств, отличных от свойств других летательных аппаратов и обуславливающих рацио</w:t>
      </w:r>
      <w:r w:rsidRPr="00F90EAE">
        <w:rPr>
          <w:color w:val="000000" w:themeColor="text1"/>
          <w:sz w:val="16"/>
          <w:szCs w:val="16"/>
        </w:rPr>
        <w:softHyphen/>
        <w:t>нальность строительства и эксплуатации этого вида воздушного транс</w:t>
      </w:r>
      <w:r w:rsidRPr="00F90EAE">
        <w:rPr>
          <w:color w:val="000000" w:themeColor="text1"/>
          <w:sz w:val="16"/>
          <w:szCs w:val="16"/>
        </w:rPr>
        <w:softHyphen/>
        <w:t>порта.</w:t>
      </w:r>
    </w:p>
    <w:p w14:paraId="1A4FDD59" w14:textId="77777777" w:rsidR="00E0115C" w:rsidRPr="00F90EAE" w:rsidRDefault="00E0115C" w:rsidP="00F90EAE">
      <w:pPr>
        <w:jc w:val="both"/>
        <w:rPr>
          <w:color w:val="000000" w:themeColor="text1"/>
          <w:sz w:val="16"/>
          <w:szCs w:val="16"/>
        </w:rPr>
      </w:pPr>
      <w:r w:rsidRPr="00F90EAE">
        <w:rPr>
          <w:color w:val="000000" w:themeColor="text1"/>
          <w:sz w:val="16"/>
          <w:szCs w:val="16"/>
        </w:rPr>
        <w:t>Сюда относятся:</w:t>
      </w:r>
    </w:p>
    <w:p w14:paraId="04EB6A7D" w14:textId="77777777" w:rsidR="00E0115C" w:rsidRPr="00F90EAE" w:rsidRDefault="00E0115C" w:rsidP="00F90EAE">
      <w:pPr>
        <w:tabs>
          <w:tab w:val="left" w:pos="786"/>
        </w:tabs>
        <w:jc w:val="both"/>
        <w:rPr>
          <w:color w:val="000000" w:themeColor="text1"/>
          <w:sz w:val="16"/>
          <w:szCs w:val="16"/>
        </w:rPr>
      </w:pPr>
      <w:r w:rsidRPr="00F90EAE">
        <w:rPr>
          <w:color w:val="000000" w:themeColor="text1"/>
          <w:sz w:val="16"/>
          <w:szCs w:val="16"/>
        </w:rPr>
        <w:t>а) способность менять скорость от нуля до Ушах;</w:t>
      </w:r>
    </w:p>
    <w:p w14:paraId="5660F801" w14:textId="77777777" w:rsidR="00E0115C" w:rsidRPr="00F90EAE" w:rsidRDefault="00E0115C" w:rsidP="00F90EAE">
      <w:pPr>
        <w:tabs>
          <w:tab w:val="left" w:pos="822"/>
        </w:tabs>
        <w:jc w:val="both"/>
        <w:rPr>
          <w:color w:val="000000" w:themeColor="text1"/>
          <w:sz w:val="16"/>
          <w:szCs w:val="16"/>
        </w:rPr>
      </w:pPr>
      <w:r w:rsidRPr="00F90EAE">
        <w:rPr>
          <w:color w:val="000000" w:themeColor="text1"/>
          <w:sz w:val="16"/>
          <w:szCs w:val="16"/>
        </w:rPr>
        <w:t>б) способность держаться в воздухе на одном месте с минималь</w:t>
      </w:r>
      <w:r w:rsidRPr="00F90EAE">
        <w:rPr>
          <w:color w:val="000000" w:themeColor="text1"/>
          <w:sz w:val="16"/>
          <w:szCs w:val="16"/>
        </w:rPr>
        <w:softHyphen/>
        <w:t>ной затратой мощности, что дает ему преимущество по сравнению с ге</w:t>
      </w:r>
      <w:r w:rsidRPr="00F90EAE">
        <w:rPr>
          <w:color w:val="000000" w:themeColor="text1"/>
          <w:sz w:val="16"/>
          <w:szCs w:val="16"/>
        </w:rPr>
        <w:softHyphen/>
        <w:t>ликоптером;</w:t>
      </w:r>
    </w:p>
    <w:p w14:paraId="611719D9" w14:textId="77777777" w:rsidR="00E0115C" w:rsidRPr="00F90EAE" w:rsidRDefault="00E0115C" w:rsidP="00F90EAE">
      <w:pPr>
        <w:jc w:val="both"/>
        <w:rPr>
          <w:color w:val="000000" w:themeColor="text1"/>
          <w:sz w:val="16"/>
          <w:szCs w:val="16"/>
        </w:rPr>
      </w:pPr>
      <w:r w:rsidRPr="00F90EAE">
        <w:rPr>
          <w:color w:val="000000" w:themeColor="text1"/>
          <w:sz w:val="16"/>
          <w:szCs w:val="16"/>
        </w:rPr>
        <w:t>в) автономия и радиус действия значительно больше, чем у круп</w:t>
      </w:r>
      <w:r w:rsidRPr="00F90EAE">
        <w:rPr>
          <w:color w:val="000000" w:themeColor="text1"/>
          <w:sz w:val="16"/>
          <w:szCs w:val="16"/>
        </w:rPr>
        <w:softHyphen/>
        <w:t>ных современных самолетов;</w:t>
      </w:r>
    </w:p>
    <w:p w14:paraId="4E4791B7" w14:textId="77777777" w:rsidR="00E0115C" w:rsidRPr="00F90EAE" w:rsidRDefault="00E0115C" w:rsidP="00F90EAE">
      <w:pPr>
        <w:tabs>
          <w:tab w:val="left" w:pos="783"/>
        </w:tabs>
        <w:jc w:val="both"/>
        <w:rPr>
          <w:color w:val="000000" w:themeColor="text1"/>
          <w:sz w:val="16"/>
          <w:szCs w:val="16"/>
        </w:rPr>
      </w:pPr>
      <w:r w:rsidRPr="00F90EAE">
        <w:rPr>
          <w:color w:val="000000" w:themeColor="text1"/>
          <w:sz w:val="16"/>
          <w:szCs w:val="16"/>
        </w:rPr>
        <w:t>г) возможность посадки на воду, на неприспособленную площад</w:t>
      </w:r>
      <w:r w:rsidRPr="00F90EAE">
        <w:rPr>
          <w:color w:val="000000" w:themeColor="text1"/>
          <w:sz w:val="16"/>
          <w:szCs w:val="16"/>
        </w:rPr>
        <w:softHyphen/>
        <w:t>ку, возможность причала к мачте, установленной на земле, на палубе контроля;</w:t>
      </w:r>
    </w:p>
    <w:p w14:paraId="2AAE0B4C" w14:textId="77777777" w:rsidR="00E0115C" w:rsidRPr="00F90EAE" w:rsidRDefault="00E0115C" w:rsidP="00F90EAE">
      <w:pPr>
        <w:tabs>
          <w:tab w:val="left" w:pos="793"/>
        </w:tabs>
        <w:jc w:val="both"/>
        <w:rPr>
          <w:color w:val="000000" w:themeColor="text1"/>
          <w:sz w:val="16"/>
          <w:szCs w:val="16"/>
        </w:rPr>
      </w:pPr>
      <w:r w:rsidRPr="00F90EAE">
        <w:rPr>
          <w:color w:val="000000" w:themeColor="text1"/>
          <w:sz w:val="16"/>
          <w:szCs w:val="16"/>
        </w:rPr>
        <w:t>д) возможность полета в метеоусловиях, неблагоприятных для ра</w:t>
      </w:r>
      <w:r w:rsidRPr="00F90EAE">
        <w:rPr>
          <w:color w:val="000000" w:themeColor="text1"/>
          <w:sz w:val="16"/>
          <w:szCs w:val="16"/>
        </w:rPr>
        <w:softHyphen/>
        <w:t>боты авиации (туман, низкая облачность);</w:t>
      </w:r>
    </w:p>
    <w:p w14:paraId="71F43913" w14:textId="77777777" w:rsidR="00E0115C" w:rsidRPr="00F90EAE" w:rsidRDefault="00E0115C" w:rsidP="00F90EAE">
      <w:pPr>
        <w:tabs>
          <w:tab w:val="left" w:pos="791"/>
        </w:tabs>
        <w:jc w:val="both"/>
        <w:rPr>
          <w:color w:val="000000" w:themeColor="text1"/>
          <w:sz w:val="16"/>
          <w:szCs w:val="16"/>
        </w:rPr>
      </w:pPr>
      <w:r w:rsidRPr="00F90EAE">
        <w:rPr>
          <w:color w:val="000000" w:themeColor="text1"/>
          <w:sz w:val="16"/>
          <w:szCs w:val="16"/>
        </w:rPr>
        <w:t>е) возможность перевозки грузов большого объема.</w:t>
      </w:r>
    </w:p>
    <w:p w14:paraId="413E7F45" w14:textId="77777777" w:rsidR="00E0115C" w:rsidRPr="00F90EAE" w:rsidRDefault="00E0115C" w:rsidP="00F90EAE">
      <w:pPr>
        <w:tabs>
          <w:tab w:val="left" w:pos="764"/>
        </w:tabs>
        <w:jc w:val="both"/>
        <w:rPr>
          <w:color w:val="000000" w:themeColor="text1"/>
          <w:sz w:val="16"/>
          <w:szCs w:val="16"/>
        </w:rPr>
      </w:pPr>
      <w:r w:rsidRPr="00F90EAE">
        <w:rPr>
          <w:color w:val="000000" w:themeColor="text1"/>
          <w:sz w:val="16"/>
          <w:szCs w:val="16"/>
        </w:rPr>
        <w:t>2. Дирижабли малой кубатуры могут с успехом эксплуатироваться в следующих областях народного хозяйства:</w:t>
      </w:r>
    </w:p>
    <w:p w14:paraId="15A54D2A" w14:textId="77777777" w:rsidR="00E0115C" w:rsidRPr="00F90EAE" w:rsidRDefault="00E0115C" w:rsidP="00F90EAE">
      <w:pPr>
        <w:tabs>
          <w:tab w:val="left" w:pos="798"/>
        </w:tabs>
        <w:jc w:val="both"/>
        <w:rPr>
          <w:color w:val="000000" w:themeColor="text1"/>
          <w:sz w:val="16"/>
          <w:szCs w:val="16"/>
        </w:rPr>
      </w:pPr>
      <w:r w:rsidRPr="00F90EAE">
        <w:rPr>
          <w:color w:val="000000" w:themeColor="text1"/>
          <w:sz w:val="16"/>
          <w:szCs w:val="16"/>
        </w:rPr>
        <w:lastRenderedPageBreak/>
        <w:t>а) в системе Военно-Морского Флота по конвоированию карава</w:t>
      </w:r>
      <w:r w:rsidRPr="00F90EAE">
        <w:rPr>
          <w:color w:val="000000" w:themeColor="text1"/>
          <w:sz w:val="16"/>
          <w:szCs w:val="16"/>
        </w:rPr>
        <w:softHyphen/>
        <w:t>нов морских судов, борьбе с подводными лодками, обнаружению и устра</w:t>
      </w:r>
      <w:r w:rsidRPr="00F90EAE">
        <w:rPr>
          <w:color w:val="000000" w:themeColor="text1"/>
          <w:sz w:val="16"/>
          <w:szCs w:val="16"/>
        </w:rPr>
        <w:softHyphen/>
        <w:t>нению минных полей и мин, обнаружению затонувших судов. Богатый опыт эксплуатации дирижаблей в Военно-Морском Флоте США под</w:t>
      </w:r>
      <w:r w:rsidRPr="00F90EAE">
        <w:rPr>
          <w:color w:val="000000" w:themeColor="text1"/>
          <w:sz w:val="16"/>
          <w:szCs w:val="16"/>
        </w:rPr>
        <w:softHyphen/>
        <w:t>тверждает эффективность использования дирижаблей для этих целей.</w:t>
      </w:r>
    </w:p>
    <w:p w14:paraId="018E0899" w14:textId="77777777" w:rsidR="00E0115C" w:rsidRPr="00F90EAE" w:rsidRDefault="00E0115C" w:rsidP="00F90EAE">
      <w:pPr>
        <w:tabs>
          <w:tab w:val="left" w:pos="812"/>
        </w:tabs>
        <w:jc w:val="both"/>
        <w:rPr>
          <w:color w:val="000000" w:themeColor="text1"/>
          <w:sz w:val="16"/>
          <w:szCs w:val="16"/>
        </w:rPr>
      </w:pPr>
      <w:r w:rsidRPr="00F90EAE">
        <w:rPr>
          <w:color w:val="000000" w:themeColor="text1"/>
          <w:sz w:val="16"/>
          <w:szCs w:val="16"/>
        </w:rPr>
        <w:t>б) по перевозке газа (водорода) для снабжения отрядов АН и АЗ. Перевозка газа дирижаблем значительно рациональнее, чем другими средствами, что доказывается практикой эксплуатации.</w:t>
      </w:r>
    </w:p>
    <w:p w14:paraId="40EC7BDF" w14:textId="77777777" w:rsidR="00E0115C" w:rsidRPr="00F90EAE" w:rsidRDefault="00E0115C" w:rsidP="00F90EAE">
      <w:pPr>
        <w:tabs>
          <w:tab w:val="left" w:pos="796"/>
        </w:tabs>
        <w:jc w:val="both"/>
        <w:rPr>
          <w:color w:val="000000" w:themeColor="text1"/>
          <w:sz w:val="16"/>
          <w:szCs w:val="16"/>
        </w:rPr>
      </w:pPr>
      <w:r w:rsidRPr="00F90EAE">
        <w:rPr>
          <w:color w:val="000000" w:themeColor="text1"/>
          <w:sz w:val="16"/>
          <w:szCs w:val="16"/>
        </w:rPr>
        <w:t>в) в системе Наркоматов лесной промышленности — по таксации лесов.</w:t>
      </w:r>
    </w:p>
    <w:p w14:paraId="4B58ECE2" w14:textId="77777777" w:rsidR="00E0115C" w:rsidRPr="00F90EAE" w:rsidRDefault="00E0115C" w:rsidP="00F90EAE">
      <w:pPr>
        <w:tabs>
          <w:tab w:val="left" w:pos="841"/>
        </w:tabs>
        <w:jc w:val="both"/>
        <w:rPr>
          <w:color w:val="000000" w:themeColor="text1"/>
          <w:sz w:val="16"/>
          <w:szCs w:val="16"/>
        </w:rPr>
      </w:pPr>
      <w:r w:rsidRPr="00F90EAE">
        <w:rPr>
          <w:color w:val="000000" w:themeColor="text1"/>
          <w:sz w:val="16"/>
          <w:szCs w:val="16"/>
        </w:rPr>
        <w:t>г) в системе Наркомата рыбной промышленности — по про</w:t>
      </w:r>
      <w:r w:rsidRPr="00F90EAE">
        <w:rPr>
          <w:color w:val="000000" w:themeColor="text1"/>
          <w:sz w:val="16"/>
          <w:szCs w:val="16"/>
        </w:rPr>
        <w:softHyphen/>
        <w:t>мышленной разведке рыбных косяков и решению отдельных научно- исследовательских проблем.</w:t>
      </w:r>
    </w:p>
    <w:p w14:paraId="2D847B5C" w14:textId="77777777" w:rsidR="00E0115C" w:rsidRPr="00F90EAE" w:rsidRDefault="00E0115C" w:rsidP="00F90EAE">
      <w:pPr>
        <w:jc w:val="both"/>
        <w:rPr>
          <w:color w:val="000000" w:themeColor="text1"/>
          <w:sz w:val="16"/>
          <w:szCs w:val="16"/>
        </w:rPr>
      </w:pPr>
      <w:r w:rsidRPr="00F90EAE">
        <w:rPr>
          <w:color w:val="000000" w:themeColor="text1"/>
          <w:sz w:val="16"/>
          <w:szCs w:val="16"/>
        </w:rPr>
        <w:t>д) по транспорту пассажиров и грузов в тех районах, где отсут</w:t>
      </w:r>
      <w:r w:rsidRPr="00F90EAE">
        <w:rPr>
          <w:color w:val="000000" w:themeColor="text1"/>
          <w:sz w:val="16"/>
          <w:szCs w:val="16"/>
        </w:rPr>
        <w:softHyphen/>
        <w:t>ствуют посадочные площадки для самолетов, и постройка их является нерентабельной.</w:t>
      </w:r>
    </w:p>
    <w:p w14:paraId="4E7D496B" w14:textId="77777777" w:rsidR="00E0115C" w:rsidRPr="00F90EAE" w:rsidRDefault="00E0115C" w:rsidP="00F90EAE">
      <w:pPr>
        <w:jc w:val="both"/>
        <w:rPr>
          <w:color w:val="000000" w:themeColor="text1"/>
          <w:sz w:val="16"/>
          <w:szCs w:val="16"/>
        </w:rPr>
      </w:pPr>
      <w:r w:rsidRPr="00F90EAE">
        <w:rPr>
          <w:color w:val="000000" w:themeColor="text1"/>
          <w:sz w:val="16"/>
          <w:szCs w:val="16"/>
        </w:rPr>
        <w:t>Дирижабль большой кубатуры является экономически выгодным и совершенным средством транспорта на больших расстояниях.</w:t>
      </w:r>
    </w:p>
    <w:p w14:paraId="37767546" w14:textId="77777777" w:rsidR="00E0115C" w:rsidRPr="00F90EAE" w:rsidRDefault="00E0115C" w:rsidP="00F90EAE">
      <w:pPr>
        <w:tabs>
          <w:tab w:val="left" w:pos="798"/>
        </w:tabs>
        <w:jc w:val="both"/>
        <w:rPr>
          <w:color w:val="000000" w:themeColor="text1"/>
          <w:sz w:val="16"/>
          <w:szCs w:val="16"/>
        </w:rPr>
      </w:pPr>
      <w:r w:rsidRPr="00F90EAE">
        <w:rPr>
          <w:color w:val="000000" w:themeColor="text1"/>
          <w:sz w:val="16"/>
          <w:szCs w:val="16"/>
        </w:rPr>
        <w:t>3. В Советском Союзе освоено опытное строительство малообъ</w:t>
      </w:r>
      <w:r w:rsidRPr="00F90EAE">
        <w:rPr>
          <w:color w:val="000000" w:themeColor="text1"/>
          <w:sz w:val="16"/>
          <w:szCs w:val="16"/>
        </w:rPr>
        <w:softHyphen/>
        <w:t>емных дирижаблей.</w:t>
      </w:r>
    </w:p>
    <w:p w14:paraId="567DCB61" w14:textId="77777777" w:rsidR="00E0115C" w:rsidRPr="00F90EAE" w:rsidRDefault="00E0115C" w:rsidP="00F90EAE">
      <w:pPr>
        <w:jc w:val="both"/>
        <w:rPr>
          <w:color w:val="000000" w:themeColor="text1"/>
          <w:sz w:val="16"/>
          <w:szCs w:val="16"/>
        </w:rPr>
      </w:pPr>
      <w:r w:rsidRPr="00F90EAE">
        <w:rPr>
          <w:color w:val="000000" w:themeColor="text1"/>
          <w:sz w:val="16"/>
          <w:szCs w:val="16"/>
        </w:rPr>
        <w:t>В США строительство малообъемных дирижаблей получило осо</w:t>
      </w:r>
      <w:r w:rsidRPr="00F90EAE">
        <w:rPr>
          <w:color w:val="000000" w:themeColor="text1"/>
          <w:sz w:val="16"/>
          <w:szCs w:val="16"/>
        </w:rPr>
        <w:softHyphen/>
        <w:t>бо широкое развитие в 1942—1944 гг., когда была построена серия в 200 дирижаблей. Американские дирижабли полумягкого типа интенсивно эксплуатировались на море по конвоированию морских судов. Эта экс</w:t>
      </w:r>
      <w:r w:rsidRPr="00F90EAE">
        <w:rPr>
          <w:color w:val="000000" w:themeColor="text1"/>
          <w:sz w:val="16"/>
          <w:szCs w:val="16"/>
        </w:rPr>
        <w:softHyphen/>
        <w:t>плуатация дала блестящие результаты.</w:t>
      </w:r>
    </w:p>
    <w:p w14:paraId="32F036FC" w14:textId="77777777" w:rsidR="00E0115C" w:rsidRPr="00F90EAE" w:rsidRDefault="00E0115C" w:rsidP="00F90EAE">
      <w:pPr>
        <w:tabs>
          <w:tab w:val="left" w:pos="807"/>
        </w:tabs>
        <w:jc w:val="both"/>
        <w:rPr>
          <w:color w:val="000000" w:themeColor="text1"/>
          <w:sz w:val="16"/>
          <w:szCs w:val="16"/>
        </w:rPr>
      </w:pPr>
      <w:r w:rsidRPr="00F90EAE">
        <w:rPr>
          <w:color w:val="000000" w:themeColor="text1"/>
          <w:sz w:val="16"/>
          <w:szCs w:val="16"/>
        </w:rPr>
        <w:t>4. Анализ конструктивных и летно-эксплуатационных характе</w:t>
      </w:r>
      <w:r w:rsidRPr="00F90EAE">
        <w:rPr>
          <w:color w:val="000000" w:themeColor="text1"/>
          <w:sz w:val="16"/>
          <w:szCs w:val="16"/>
        </w:rPr>
        <w:softHyphen/>
        <w:t>ристик различных типов дирижаблей показывает, что в настоящее вре</w:t>
      </w:r>
      <w:r w:rsidRPr="00F90EAE">
        <w:rPr>
          <w:color w:val="000000" w:themeColor="text1"/>
          <w:sz w:val="16"/>
          <w:szCs w:val="16"/>
        </w:rPr>
        <w:softHyphen/>
        <w:t>мя наиболее рациональными являются 2 конструктивные схемы:</w:t>
      </w:r>
    </w:p>
    <w:p w14:paraId="447A26DB" w14:textId="77777777" w:rsidR="00E0115C" w:rsidRPr="00F90EAE" w:rsidRDefault="00E0115C" w:rsidP="00F90EAE">
      <w:pPr>
        <w:tabs>
          <w:tab w:val="left" w:pos="812"/>
        </w:tabs>
        <w:jc w:val="both"/>
        <w:rPr>
          <w:color w:val="000000" w:themeColor="text1"/>
          <w:sz w:val="16"/>
          <w:szCs w:val="16"/>
        </w:rPr>
      </w:pPr>
      <w:r w:rsidRPr="00F90EAE">
        <w:rPr>
          <w:rStyle w:val="1pt"/>
          <w:rFonts w:ascii="Times New Roman" w:cs="Times New Roman"/>
          <w:color w:val="000000" w:themeColor="text1"/>
          <w:spacing w:val="0"/>
          <w:sz w:val="16"/>
          <w:szCs w:val="16"/>
        </w:rPr>
        <w:t>а) полумягкая схема -</w:t>
      </w:r>
      <w:r w:rsidRPr="00F90EAE">
        <w:rPr>
          <w:color w:val="000000" w:themeColor="text1"/>
          <w:sz w:val="16"/>
          <w:szCs w:val="16"/>
        </w:rPr>
        <w:t xml:space="preserve"> для дирижаблей малой и средней кубатуры (до 20000 м</w:t>
      </w:r>
      <w:r w:rsidRPr="00F90EAE">
        <w:rPr>
          <w:color w:val="000000" w:themeColor="text1"/>
          <w:sz w:val="16"/>
          <w:szCs w:val="16"/>
          <w:vertAlign w:val="superscript"/>
        </w:rPr>
        <w:t>3</w:t>
      </w:r>
      <w:r w:rsidRPr="00F90EAE">
        <w:rPr>
          <w:color w:val="000000" w:themeColor="text1"/>
          <w:sz w:val="16"/>
          <w:szCs w:val="16"/>
        </w:rPr>
        <w:t xml:space="preserve"> для спецприменения);</w:t>
      </w:r>
    </w:p>
    <w:p w14:paraId="1D317A13" w14:textId="77777777" w:rsidR="00E0115C" w:rsidRPr="00F90EAE" w:rsidRDefault="00E0115C" w:rsidP="00F90EAE">
      <w:pPr>
        <w:tabs>
          <w:tab w:val="left" w:pos="822"/>
        </w:tabs>
        <w:jc w:val="both"/>
        <w:rPr>
          <w:color w:val="000000" w:themeColor="text1"/>
          <w:sz w:val="16"/>
          <w:szCs w:val="16"/>
        </w:rPr>
      </w:pPr>
      <w:r w:rsidRPr="00F90EAE">
        <w:rPr>
          <w:rStyle w:val="1pt"/>
          <w:rFonts w:ascii="Times New Roman" w:cs="Times New Roman"/>
          <w:color w:val="000000" w:themeColor="text1"/>
          <w:spacing w:val="0"/>
          <w:sz w:val="16"/>
          <w:szCs w:val="16"/>
        </w:rPr>
        <w:t>б) жесткая схема —</w:t>
      </w:r>
      <w:r w:rsidRPr="00F90EAE">
        <w:rPr>
          <w:color w:val="000000" w:themeColor="text1"/>
          <w:sz w:val="16"/>
          <w:szCs w:val="16"/>
        </w:rPr>
        <w:t xml:space="preserve"> для дирижаблей большой кубатуры, слу</w:t>
      </w:r>
      <w:r w:rsidRPr="00F90EAE">
        <w:rPr>
          <w:color w:val="000000" w:themeColor="text1"/>
          <w:sz w:val="16"/>
          <w:szCs w:val="16"/>
        </w:rPr>
        <w:softHyphen/>
        <w:t>жащих для перевозки грузов и пассажиров на большое расстояние.</w:t>
      </w:r>
    </w:p>
    <w:p w14:paraId="0E24EE91" w14:textId="77777777" w:rsidR="00E0115C" w:rsidRPr="00F90EAE" w:rsidRDefault="00E0115C" w:rsidP="00F90EAE">
      <w:pPr>
        <w:tabs>
          <w:tab w:val="left" w:pos="802"/>
        </w:tabs>
        <w:jc w:val="both"/>
        <w:rPr>
          <w:color w:val="000000" w:themeColor="text1"/>
          <w:sz w:val="16"/>
          <w:szCs w:val="16"/>
        </w:rPr>
      </w:pPr>
      <w:r w:rsidRPr="00F90EAE">
        <w:rPr>
          <w:color w:val="000000" w:themeColor="text1"/>
          <w:sz w:val="16"/>
          <w:szCs w:val="16"/>
        </w:rPr>
        <w:t>5. Дирижаблестроение не стоит на месте, а развивается и совер</w:t>
      </w:r>
      <w:r w:rsidRPr="00F90EAE">
        <w:rPr>
          <w:color w:val="000000" w:themeColor="text1"/>
          <w:sz w:val="16"/>
          <w:szCs w:val="16"/>
        </w:rPr>
        <w:softHyphen/>
        <w:t>шенствуется с каждым годом. Достигнуты большие результаты в обла</w:t>
      </w:r>
      <w:r w:rsidRPr="00F90EAE">
        <w:rPr>
          <w:color w:val="000000" w:themeColor="text1"/>
          <w:sz w:val="16"/>
          <w:szCs w:val="16"/>
        </w:rPr>
        <w:softHyphen/>
        <w:t>сти улучшения и упрощения эксплуатации, например, механизация ввода и вывода из эллингов, разработка автоматических причалов. Ди</w:t>
      </w:r>
      <w:r w:rsidRPr="00F90EAE">
        <w:rPr>
          <w:color w:val="000000" w:themeColor="text1"/>
          <w:sz w:val="16"/>
          <w:szCs w:val="16"/>
        </w:rPr>
        <w:softHyphen/>
        <w:t>рижабли малых кубатур могут эксплуатироваться в условиях бивачной стоянки. Намечаются пути дальнейшей механизации и эксплуатации дирижабля.</w:t>
      </w:r>
    </w:p>
    <w:p w14:paraId="39E0E4FA" w14:textId="77777777" w:rsidR="00E0115C" w:rsidRPr="00F90EAE" w:rsidRDefault="00E0115C" w:rsidP="00F90EAE">
      <w:pPr>
        <w:jc w:val="both"/>
        <w:rPr>
          <w:color w:val="000000" w:themeColor="text1"/>
          <w:sz w:val="16"/>
          <w:szCs w:val="16"/>
        </w:rPr>
      </w:pPr>
      <w:r w:rsidRPr="00F90EAE">
        <w:rPr>
          <w:color w:val="000000" w:themeColor="text1"/>
          <w:sz w:val="16"/>
          <w:szCs w:val="16"/>
        </w:rPr>
        <w:t>Конструкция и летные качества дирижабля также совершенству</w:t>
      </w:r>
      <w:r w:rsidRPr="00F90EAE">
        <w:rPr>
          <w:color w:val="000000" w:themeColor="text1"/>
          <w:sz w:val="16"/>
          <w:szCs w:val="16"/>
        </w:rPr>
        <w:softHyphen/>
        <w:t>ются. Переход на дизели позволяет увеличить автономию и уменьшить пожарную опасность. Имеются реальные возможности перехода на ге</w:t>
      </w:r>
      <w:r w:rsidRPr="00F90EAE">
        <w:rPr>
          <w:color w:val="000000" w:themeColor="text1"/>
          <w:sz w:val="16"/>
          <w:szCs w:val="16"/>
        </w:rPr>
        <w:softHyphen/>
        <w:t>лий вместо водорода для наполнения дирижаблей.</w:t>
      </w:r>
    </w:p>
    <w:p w14:paraId="03BD1C6C" w14:textId="77777777" w:rsidR="00E0115C" w:rsidRPr="00F90EAE" w:rsidRDefault="00E0115C" w:rsidP="00F90EAE">
      <w:pPr>
        <w:jc w:val="both"/>
        <w:rPr>
          <w:color w:val="000000" w:themeColor="text1"/>
          <w:sz w:val="16"/>
          <w:szCs w:val="16"/>
        </w:rPr>
      </w:pPr>
      <w:r w:rsidRPr="00F90EAE">
        <w:rPr>
          <w:color w:val="000000" w:themeColor="text1"/>
          <w:sz w:val="16"/>
          <w:szCs w:val="16"/>
        </w:rPr>
        <w:t>Употребление водорода для питания моторов позволяет резко со</w:t>
      </w:r>
      <w:r w:rsidRPr="00F90EAE">
        <w:rPr>
          <w:color w:val="000000" w:themeColor="text1"/>
          <w:sz w:val="16"/>
          <w:szCs w:val="16"/>
        </w:rPr>
        <w:softHyphen/>
        <w:t>кратить эксплуатационный расход газа. Анализ летно-эксплуатационных характеристик современного дирижабля показывает, что этот вид воз</w:t>
      </w:r>
      <w:r w:rsidRPr="00F90EAE">
        <w:rPr>
          <w:color w:val="000000" w:themeColor="text1"/>
          <w:sz w:val="16"/>
          <w:szCs w:val="16"/>
        </w:rPr>
        <w:softHyphen/>
        <w:t>душного транспорта имеет большие возможности для дальнейшего раз</w:t>
      </w:r>
      <w:r w:rsidRPr="00F90EAE">
        <w:rPr>
          <w:color w:val="000000" w:themeColor="text1"/>
          <w:sz w:val="16"/>
          <w:szCs w:val="16"/>
        </w:rPr>
        <w:softHyphen/>
        <w:t>вития и совершенствования.</w:t>
      </w:r>
    </w:p>
    <w:p w14:paraId="08F8074C" w14:textId="77777777" w:rsidR="00E0115C" w:rsidRPr="00F90EAE" w:rsidRDefault="00E0115C" w:rsidP="00F90EAE">
      <w:pPr>
        <w:tabs>
          <w:tab w:val="left" w:pos="5569"/>
        </w:tabs>
        <w:jc w:val="both"/>
        <w:rPr>
          <w:color w:val="000000" w:themeColor="text1"/>
          <w:sz w:val="16"/>
          <w:szCs w:val="16"/>
        </w:rPr>
      </w:pPr>
      <w:r w:rsidRPr="00F90EAE">
        <w:rPr>
          <w:color w:val="000000" w:themeColor="text1"/>
          <w:sz w:val="16"/>
          <w:szCs w:val="16"/>
        </w:rPr>
        <w:t>Инженер-капитан Б.А. Гарф (15633).</w:t>
      </w:r>
    </w:p>
    <w:p w14:paraId="2E3C9A98" w14:textId="77777777" w:rsidR="00E0115C" w:rsidRPr="00F90EAE" w:rsidRDefault="00E0115C" w:rsidP="00F90EAE">
      <w:pPr>
        <w:jc w:val="both"/>
        <w:rPr>
          <w:color w:val="000000" w:themeColor="text1"/>
          <w:sz w:val="16"/>
          <w:szCs w:val="16"/>
        </w:rPr>
      </w:pPr>
    </w:p>
    <w:p w14:paraId="66038498"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002B115" w14:textId="77777777" w:rsidR="00665165" w:rsidRPr="00F90EAE" w:rsidRDefault="00665165" w:rsidP="00F90EAE">
      <w:pPr>
        <w:autoSpaceDE w:val="0"/>
        <w:autoSpaceDN w:val="0"/>
        <w:adjustRightInd w:val="0"/>
        <w:jc w:val="both"/>
        <w:rPr>
          <w:iCs/>
          <w:color w:val="000000" w:themeColor="text1"/>
          <w:sz w:val="16"/>
          <w:szCs w:val="16"/>
        </w:rPr>
      </w:pPr>
    </w:p>
    <w:p w14:paraId="725041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мая 1945 г. была подготовлена ДОКЛАДНАЯ ЗАПИСКА КОМАНДУЮЩЕГО БТ и МВ КА ЗАМЕСТИТЕЛЮ НАРКОМА ОБОРОНЫ СССР ГЕНЕРАЛУ АРМИИ Н.А. БУЛГАНИНУ О РЕМОНТЕ УСТАРЕВШИХ МАРОК ТАНКОВ №0859140</w:t>
      </w:r>
    </w:p>
    <w:p w14:paraId="0BF75B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бронетанковых и механизированных частях Дальневосточного и Забайкальского фронтов, а также в танковых училищах и учебных частях имеется в исправном состоянии 1600 танков старых марок - Т-27, Т-37-38, Т-30-40-60, МК-2, МК-4, МЗ-л, МЗ-с. Кроме того, в частях и на ремзаводах имеется 1167 танков этих же марок, требующих капитального ремонта.</w:t>
      </w:r>
    </w:p>
    <w:p w14:paraId="2B8808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Выпуск этих танков и запасных частей к ним давно прекращен. К старым импортным танкам запчасти тоже не завозятся.</w:t>
      </w:r>
    </w:p>
    <w:p w14:paraId="1CC68C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поддержания имеющихся в частях танков указанных выше марок в исправном состоянии необходимы запасные части. Налаживать производство их нецелесообразно. Поэтому прошу Вашего разрешения все танки Т-27, Т-37-38, Т-30-40-60, МК-2, МК-4, МЗ-л, МЗ-с, требующих капитального ремонта, разобрать и снять с них исправные и требующие ремонта детали, использовать как запас</w:t>
      </w:r>
      <w:r w:rsidRPr="00F90EAE">
        <w:rPr>
          <w:color w:val="000000" w:themeColor="text1"/>
          <w:sz w:val="16"/>
          <w:szCs w:val="16"/>
        </w:rPr>
        <w:softHyphen/>
        <w:t>ные части на поддержание в исправном состоянии танков этих марок, находящихся в эксплуата</w:t>
      </w:r>
      <w:r w:rsidRPr="00F90EAE">
        <w:rPr>
          <w:color w:val="000000" w:themeColor="text1"/>
          <w:sz w:val="16"/>
          <w:szCs w:val="16"/>
        </w:rPr>
        <w:softHyphen/>
        <w:t>ции.</w:t>
      </w:r>
    </w:p>
    <w:p w14:paraId="081520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справка о наличии и состоянии танков старых марок на 1 листе.</w:t>
      </w:r>
    </w:p>
    <w:p w14:paraId="2D97D0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342D81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Справка о наличии и состоянии танков старых марок на 20 мая 1945 года</w:t>
      </w:r>
    </w:p>
    <w:p w14:paraId="50C426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w:t>
      </w:r>
    </w:p>
    <w:tbl>
      <w:tblPr>
        <w:tblW w:w="0" w:type="auto"/>
        <w:tblInd w:w="40" w:type="dxa"/>
        <w:tblLayout w:type="fixed"/>
        <w:tblCellMar>
          <w:left w:w="40" w:type="dxa"/>
          <w:right w:w="40" w:type="dxa"/>
        </w:tblCellMar>
        <w:tblLook w:val="0000" w:firstRow="0" w:lastRow="0" w:firstColumn="0" w:lastColumn="0" w:noHBand="0" w:noVBand="0"/>
      </w:tblPr>
      <w:tblGrid>
        <w:gridCol w:w="1560"/>
        <w:gridCol w:w="1134"/>
        <w:gridCol w:w="1134"/>
        <w:gridCol w:w="1275"/>
        <w:gridCol w:w="46"/>
        <w:gridCol w:w="1230"/>
        <w:gridCol w:w="1418"/>
        <w:gridCol w:w="1701"/>
      </w:tblGrid>
      <w:tr w:rsidR="00561F31" w:rsidRPr="00F90EAE" w14:paraId="0EF26484" w14:textId="77777777">
        <w:trPr>
          <w:trHeight w:val="259"/>
        </w:trPr>
        <w:tc>
          <w:tcPr>
            <w:tcW w:w="1560" w:type="dxa"/>
            <w:tcBorders>
              <w:top w:val="single" w:sz="6" w:space="0" w:color="auto"/>
              <w:left w:val="single" w:sz="6" w:space="0" w:color="auto"/>
              <w:bottom w:val="nil"/>
              <w:right w:val="single" w:sz="6" w:space="0" w:color="auto"/>
            </w:tcBorders>
          </w:tcPr>
          <w:p w14:paraId="0FF87E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Марки танков</w:t>
            </w:r>
          </w:p>
          <w:p w14:paraId="4B2B60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nil"/>
              <w:right w:val="single" w:sz="6" w:space="0" w:color="auto"/>
            </w:tcBorders>
          </w:tcPr>
          <w:p w14:paraId="5A16BD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танков</w:t>
            </w:r>
          </w:p>
          <w:p w14:paraId="3582E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685" w:type="dxa"/>
            <w:gridSpan w:val="4"/>
            <w:tcBorders>
              <w:top w:val="single" w:sz="6" w:space="0" w:color="auto"/>
              <w:left w:val="single" w:sz="6" w:space="0" w:color="auto"/>
              <w:bottom w:val="single" w:sz="6" w:space="0" w:color="auto"/>
              <w:right w:val="single" w:sz="6" w:space="0" w:color="auto"/>
            </w:tcBorders>
          </w:tcPr>
          <w:p w14:paraId="7A29D7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323046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119" w:type="dxa"/>
            <w:gridSpan w:val="2"/>
            <w:tcBorders>
              <w:top w:val="single" w:sz="6" w:space="0" w:color="auto"/>
              <w:left w:val="single" w:sz="6" w:space="0" w:color="auto"/>
              <w:bottom w:val="single" w:sz="6" w:space="0" w:color="auto"/>
              <w:right w:val="single" w:sz="6" w:space="0" w:color="auto"/>
            </w:tcBorders>
          </w:tcPr>
          <w:p w14:paraId="0100A6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w:t>
            </w:r>
          </w:p>
          <w:p w14:paraId="10F7D6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4622678" w14:textId="77777777">
        <w:trPr>
          <w:trHeight w:val="403"/>
        </w:trPr>
        <w:tc>
          <w:tcPr>
            <w:tcW w:w="1560" w:type="dxa"/>
            <w:tcBorders>
              <w:top w:val="nil"/>
              <w:left w:val="single" w:sz="6" w:space="0" w:color="auto"/>
              <w:bottom w:val="single" w:sz="6" w:space="0" w:color="auto"/>
              <w:right w:val="single" w:sz="6" w:space="0" w:color="auto"/>
            </w:tcBorders>
          </w:tcPr>
          <w:p w14:paraId="0406E281" w14:textId="77777777" w:rsidR="00665165" w:rsidRPr="00F90EAE" w:rsidRDefault="00665165" w:rsidP="00F90EAE">
            <w:pPr>
              <w:autoSpaceDE w:val="0"/>
              <w:autoSpaceDN w:val="0"/>
              <w:adjustRightInd w:val="0"/>
              <w:jc w:val="both"/>
              <w:rPr>
                <w:color w:val="000000" w:themeColor="text1"/>
                <w:sz w:val="16"/>
                <w:szCs w:val="16"/>
              </w:rPr>
            </w:pPr>
          </w:p>
          <w:p w14:paraId="172C0FB9"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Borders>
              <w:top w:val="nil"/>
              <w:left w:val="single" w:sz="6" w:space="0" w:color="auto"/>
              <w:bottom w:val="single" w:sz="6" w:space="0" w:color="auto"/>
              <w:right w:val="single" w:sz="6" w:space="0" w:color="auto"/>
            </w:tcBorders>
          </w:tcPr>
          <w:p w14:paraId="1063E56B" w14:textId="77777777" w:rsidR="00665165" w:rsidRPr="00F90EAE" w:rsidRDefault="00665165" w:rsidP="00F90EAE">
            <w:pPr>
              <w:autoSpaceDE w:val="0"/>
              <w:autoSpaceDN w:val="0"/>
              <w:adjustRightInd w:val="0"/>
              <w:jc w:val="both"/>
              <w:rPr>
                <w:color w:val="000000" w:themeColor="text1"/>
                <w:sz w:val="16"/>
                <w:szCs w:val="16"/>
              </w:rPr>
            </w:pPr>
          </w:p>
          <w:p w14:paraId="6364F45A"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FF04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в/ч</w:t>
            </w:r>
          </w:p>
          <w:p w14:paraId="7C6C49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14C41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учил. и учеб</w:t>
            </w:r>
            <w:r w:rsidRPr="00F90EAE">
              <w:rPr>
                <w:color w:val="000000" w:themeColor="text1"/>
                <w:sz w:val="16"/>
                <w:szCs w:val="16"/>
              </w:rPr>
              <w:softHyphen/>
              <w:t>ных частях</w:t>
            </w:r>
          </w:p>
          <w:p w14:paraId="457457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B4D33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ремзаводах</w:t>
            </w:r>
          </w:p>
          <w:p w14:paraId="7BCDB2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D48F3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исправных</w:t>
            </w:r>
          </w:p>
          <w:p w14:paraId="12BC86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5916B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треб, капит. ремонта</w:t>
            </w:r>
          </w:p>
          <w:p w14:paraId="16E042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EFAE29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346AAA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Т-27</w:t>
            </w:r>
          </w:p>
          <w:p w14:paraId="7B209E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D7087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234</w:t>
            </w:r>
          </w:p>
          <w:p w14:paraId="510C38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D908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227</w:t>
            </w:r>
          </w:p>
          <w:p w14:paraId="0D2C47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6C68D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3A2086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0CD4A4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C357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50227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227</w:t>
            </w:r>
          </w:p>
          <w:p w14:paraId="1EBC73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EB550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4CD97F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5143DB0"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09D3EB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Т-37-38</w:t>
            </w:r>
          </w:p>
          <w:p w14:paraId="21FFCC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531D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726</w:t>
            </w:r>
          </w:p>
          <w:p w14:paraId="28AF4E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535E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689</w:t>
            </w:r>
          </w:p>
          <w:p w14:paraId="61671E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BFF8A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w:t>
            </w:r>
          </w:p>
          <w:p w14:paraId="257280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4A8AF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w:t>
            </w:r>
          </w:p>
          <w:p w14:paraId="465E9D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6CCF4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537</w:t>
            </w:r>
          </w:p>
          <w:p w14:paraId="6FBDFA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64813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199</w:t>
            </w:r>
          </w:p>
          <w:p w14:paraId="762D5B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3432C29" w14:textId="77777777">
        <w:trPr>
          <w:trHeight w:val="230"/>
        </w:trPr>
        <w:tc>
          <w:tcPr>
            <w:tcW w:w="1560" w:type="dxa"/>
            <w:tcBorders>
              <w:top w:val="single" w:sz="6" w:space="0" w:color="auto"/>
              <w:left w:val="single" w:sz="6" w:space="0" w:color="auto"/>
              <w:bottom w:val="single" w:sz="6" w:space="0" w:color="auto"/>
              <w:right w:val="single" w:sz="6" w:space="0" w:color="auto"/>
            </w:tcBorders>
          </w:tcPr>
          <w:p w14:paraId="348F63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Т-30-40-60</w:t>
            </w:r>
          </w:p>
          <w:p w14:paraId="7BD8BD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E8AD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1237</w:t>
            </w:r>
          </w:p>
          <w:p w14:paraId="2D5BE2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41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431</w:t>
            </w:r>
          </w:p>
          <w:p w14:paraId="0CC600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317AE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369</w:t>
            </w:r>
          </w:p>
          <w:p w14:paraId="5E8E3B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1198A5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437</w:t>
            </w:r>
          </w:p>
          <w:p w14:paraId="2818A9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53AC4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590</w:t>
            </w:r>
          </w:p>
          <w:p w14:paraId="4A8D9A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3560AC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647</w:t>
            </w:r>
          </w:p>
          <w:p w14:paraId="58CF49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FFA31AE"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6301DC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МК-2</w:t>
            </w:r>
          </w:p>
          <w:p w14:paraId="596244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FD9F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222</w:t>
            </w:r>
          </w:p>
          <w:p w14:paraId="01D58E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8BAB8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p w14:paraId="2E53FD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72D9C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5BD428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52371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w:t>
            </w:r>
          </w:p>
          <w:p w14:paraId="6BD466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E5A27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w:t>
            </w:r>
          </w:p>
          <w:p w14:paraId="739A07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7264B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177</w:t>
            </w:r>
          </w:p>
          <w:p w14:paraId="13228F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3C77BC7"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2C509B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МК-4</w:t>
            </w:r>
          </w:p>
          <w:p w14:paraId="2B5B2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AC65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w:t>
            </w:r>
          </w:p>
          <w:p w14:paraId="67B4A2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BBFA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2195CE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B26C3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692F7A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5D7104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w:t>
            </w:r>
          </w:p>
          <w:p w14:paraId="53B704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F3B59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12EA6E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9265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w:t>
            </w:r>
          </w:p>
          <w:p w14:paraId="795C44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B96FD69" w14:textId="77777777">
        <w:trPr>
          <w:trHeight w:val="240"/>
        </w:trPr>
        <w:tc>
          <w:tcPr>
            <w:tcW w:w="1560" w:type="dxa"/>
            <w:tcBorders>
              <w:top w:val="single" w:sz="6" w:space="0" w:color="auto"/>
              <w:left w:val="single" w:sz="6" w:space="0" w:color="auto"/>
              <w:bottom w:val="single" w:sz="6" w:space="0" w:color="auto"/>
              <w:right w:val="single" w:sz="6" w:space="0" w:color="auto"/>
            </w:tcBorders>
          </w:tcPr>
          <w:p w14:paraId="76E47A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МЗ-л</w:t>
            </w:r>
          </w:p>
          <w:p w14:paraId="3634C3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3247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203</w:t>
            </w:r>
          </w:p>
          <w:p w14:paraId="20E3A7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89830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w:t>
            </w:r>
          </w:p>
          <w:p w14:paraId="6192A4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1CF7D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p w14:paraId="2010AB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3A7DB1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w:t>
            </w:r>
          </w:p>
          <w:p w14:paraId="02FCA3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1285F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164</w:t>
            </w:r>
          </w:p>
          <w:p w14:paraId="74F522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7B2DEF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w:t>
            </w:r>
          </w:p>
          <w:p w14:paraId="2C3F18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16B2D07" w14:textId="77777777">
        <w:trPr>
          <w:trHeight w:val="250"/>
        </w:trPr>
        <w:tc>
          <w:tcPr>
            <w:tcW w:w="1560" w:type="dxa"/>
            <w:tcBorders>
              <w:top w:val="single" w:sz="6" w:space="0" w:color="auto"/>
              <w:left w:val="single" w:sz="6" w:space="0" w:color="auto"/>
              <w:bottom w:val="single" w:sz="6" w:space="0" w:color="auto"/>
              <w:right w:val="single" w:sz="6" w:space="0" w:color="auto"/>
            </w:tcBorders>
          </w:tcPr>
          <w:p w14:paraId="3A8453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 МЗ-с</w:t>
            </w:r>
          </w:p>
          <w:p w14:paraId="0176C6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B852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71</w:t>
            </w:r>
          </w:p>
          <w:p w14:paraId="6E494F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8B43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w:t>
            </w:r>
          </w:p>
          <w:p w14:paraId="32977C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8893D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440E8C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76" w:type="dxa"/>
            <w:gridSpan w:val="2"/>
            <w:tcBorders>
              <w:top w:val="single" w:sz="6" w:space="0" w:color="auto"/>
              <w:left w:val="single" w:sz="6" w:space="0" w:color="auto"/>
              <w:bottom w:val="single" w:sz="6" w:space="0" w:color="auto"/>
              <w:right w:val="single" w:sz="6" w:space="0" w:color="auto"/>
            </w:tcBorders>
          </w:tcPr>
          <w:p w14:paraId="7D4328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w:t>
            </w:r>
          </w:p>
          <w:p w14:paraId="148567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CE1B4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w:t>
            </w:r>
          </w:p>
          <w:p w14:paraId="59C478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6159B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493D58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2FEC0FD" w14:textId="77777777">
        <w:trPr>
          <w:trHeight w:val="259"/>
        </w:trPr>
        <w:tc>
          <w:tcPr>
            <w:tcW w:w="1560" w:type="dxa"/>
            <w:tcBorders>
              <w:top w:val="single" w:sz="6" w:space="0" w:color="auto"/>
              <w:left w:val="single" w:sz="6" w:space="0" w:color="auto"/>
              <w:bottom w:val="single" w:sz="6" w:space="0" w:color="auto"/>
              <w:right w:val="single" w:sz="6" w:space="0" w:color="auto"/>
            </w:tcBorders>
          </w:tcPr>
          <w:p w14:paraId="17AB38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1E9490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848B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2777</w:t>
            </w:r>
          </w:p>
          <w:p w14:paraId="2BE5A4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F1E0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1549</w:t>
            </w:r>
          </w:p>
          <w:p w14:paraId="114E40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321" w:type="dxa"/>
            <w:gridSpan w:val="2"/>
            <w:tcBorders>
              <w:top w:val="single" w:sz="6" w:space="0" w:color="auto"/>
              <w:left w:val="single" w:sz="6" w:space="0" w:color="auto"/>
              <w:bottom w:val="single" w:sz="6" w:space="0" w:color="auto"/>
              <w:right w:val="single" w:sz="6" w:space="0" w:color="auto"/>
            </w:tcBorders>
          </w:tcPr>
          <w:p w14:paraId="021909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425</w:t>
            </w:r>
          </w:p>
          <w:p w14:paraId="159B18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30" w:type="dxa"/>
            <w:tcBorders>
              <w:top w:val="single" w:sz="6" w:space="0" w:color="auto"/>
              <w:left w:val="single" w:sz="6" w:space="0" w:color="auto"/>
              <w:bottom w:val="single" w:sz="6" w:space="0" w:color="auto"/>
              <w:right w:val="single" w:sz="6" w:space="0" w:color="auto"/>
            </w:tcBorders>
          </w:tcPr>
          <w:p w14:paraId="7A173E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w:t>
            </w:r>
          </w:p>
          <w:p w14:paraId="68CC14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8380E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1610</w:t>
            </w:r>
          </w:p>
          <w:p w14:paraId="199A0F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6" w:space="0" w:color="auto"/>
              <w:left w:val="single" w:sz="6" w:space="0" w:color="auto"/>
              <w:bottom w:val="single" w:sz="6" w:space="0" w:color="auto"/>
              <w:right w:val="single" w:sz="6" w:space="0" w:color="auto"/>
            </w:tcBorders>
          </w:tcPr>
          <w:p w14:paraId="4644F2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1167</w:t>
            </w:r>
          </w:p>
          <w:p w14:paraId="5E27AC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723E71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60A22D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ГУРТ КА генерал-майор инженерно-танковой службы Мельник</w:t>
      </w:r>
    </w:p>
    <w:p w14:paraId="48B1E2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11380. Д. 290. Л. 23-24. Копия.</w:t>
      </w:r>
    </w:p>
    <w:p w14:paraId="6B57CDC2" w14:textId="77777777" w:rsidR="00665165" w:rsidRPr="00F90EAE" w:rsidRDefault="00665165" w:rsidP="00F90EAE">
      <w:pPr>
        <w:autoSpaceDE w:val="0"/>
        <w:autoSpaceDN w:val="0"/>
        <w:adjustRightInd w:val="0"/>
        <w:jc w:val="both"/>
        <w:rPr>
          <w:color w:val="000000" w:themeColor="text1"/>
          <w:sz w:val="16"/>
          <w:szCs w:val="16"/>
        </w:rPr>
      </w:pPr>
    </w:p>
    <w:p w14:paraId="227D77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г. по приказу № 231с все помещения завода № 794 по ул. Слуцкого, 39 (площадка № 1) переданы в распоряжение завода № 523 НКСМ для производства вентилей (Завод № 523 НКреЗИНПрома, НКСМ, Завод «Металл» НКХП, Завод «Автоарматура» НКСМ /г. Ленинград/).</w:t>
      </w:r>
    </w:p>
    <w:p w14:paraId="4250C7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11.06.1945 г. завод № 523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2FFE38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газовых рулей для ЗУР Р-101 (1948 г.).</w:t>
      </w:r>
      <w:r w:rsidRPr="00F90EAE">
        <w:rPr>
          <w:color w:val="000000" w:themeColor="text1"/>
          <w:sz w:val="16"/>
          <w:szCs w:val="16"/>
          <w:vertAlign w:val="superscript"/>
        </w:rPr>
        <w:t>57</w:t>
      </w:r>
    </w:p>
    <w:p w14:paraId="46C378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1969 г. завод «Автоарматура» вошел в состав ПО «Ленинградский карбюраторный завод им. В.В. Куйбышева».</w:t>
      </w:r>
      <w:r w:rsidRPr="00F90EAE">
        <w:rPr>
          <w:color w:val="000000" w:themeColor="text1"/>
          <w:sz w:val="16"/>
          <w:szCs w:val="16"/>
          <w:vertAlign w:val="superscript"/>
        </w:rPr>
        <w:t>131</w:t>
      </w:r>
    </w:p>
    <w:p w14:paraId="53EC26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259B48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5129A4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карбюраторов (1932 г.).</w:t>
      </w:r>
    </w:p>
    <w:p w14:paraId="45A4FF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F90EAE">
        <w:rPr>
          <w:color w:val="000000" w:themeColor="text1"/>
          <w:sz w:val="16"/>
          <w:szCs w:val="16"/>
          <w:vertAlign w:val="superscript"/>
        </w:rPr>
        <w:t>65</w:t>
      </w:r>
    </w:p>
    <w:p w14:paraId="65FA25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4870E4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w:t>
      </w:r>
      <w:r w:rsidRPr="00F90EAE">
        <w:rPr>
          <w:color w:val="000000" w:themeColor="text1"/>
          <w:sz w:val="16"/>
          <w:szCs w:val="16"/>
        </w:rPr>
        <w:lastRenderedPageBreak/>
        <w:t>(1959-65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2DEE47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294CDD93" w14:textId="77777777" w:rsidR="00665165" w:rsidRPr="00F90EAE" w:rsidRDefault="00665165" w:rsidP="00F90EAE">
      <w:pPr>
        <w:autoSpaceDE w:val="0"/>
        <w:autoSpaceDN w:val="0"/>
        <w:adjustRightInd w:val="0"/>
        <w:jc w:val="both"/>
        <w:rPr>
          <w:color w:val="000000" w:themeColor="text1"/>
          <w:sz w:val="16"/>
          <w:szCs w:val="16"/>
        </w:rPr>
      </w:pPr>
    </w:p>
    <w:p w14:paraId="04DD2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23 мая 1945 г. по приказу № 231с все помещения завода № 794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по ул. Слуцкого, 39 (площадка № 1) переданы в распоряжение завода № 523 НКСМ ввиду того, что промплощадка не позволяла проводить расширение. По приказу № 249с от 15.06.1945 г. завод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F90EAE">
        <w:rPr>
          <w:color w:val="000000" w:themeColor="text1"/>
          <w:sz w:val="16"/>
          <w:szCs w:val="16"/>
          <w:lang w:val="en-US"/>
        </w:rPr>
        <w:t>PJI</w:t>
      </w:r>
      <w:r w:rsidRPr="00F90EAE">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32EF86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НИР «Прима» (работы по РЛС обеспечения безопасности полета низколетящего бомбардировщика).</w:t>
      </w:r>
    </w:p>
    <w:p w14:paraId="2A0B9A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1A3921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1CCC0E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5B4E9B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71AFBE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Производственные площади (2003 г.)- более 60 тыс. м</w:t>
      </w:r>
      <w:r w:rsidRPr="00F90EAE">
        <w:rPr>
          <w:color w:val="000000" w:themeColor="text1"/>
          <w:sz w:val="16"/>
          <w:szCs w:val="16"/>
          <w:vertAlign w:val="superscript"/>
        </w:rPr>
        <w:t>2</w:t>
      </w:r>
      <w:r w:rsidRPr="00F90EAE">
        <w:rPr>
          <w:color w:val="000000" w:themeColor="text1"/>
          <w:sz w:val="16"/>
          <w:szCs w:val="16"/>
        </w:rPr>
        <w:t>.</w:t>
      </w:r>
    </w:p>
    <w:p w14:paraId="7E22DE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(2003  г.)- около 1000 чел.</w:t>
      </w:r>
    </w:p>
    <w:p w14:paraId="1ABE4C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118EB9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гендиректора: по производству (-1991 г.)- А.О. Бураков; по коммерческим вопросам (2003 г.)- А.Н. Окунев.</w:t>
      </w:r>
    </w:p>
    <w:p w14:paraId="2B8228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(-1972 г.)- О.Ф. Бураков, (2003 г.)- Б.К. Румянцев.</w:t>
      </w:r>
    </w:p>
    <w:p w14:paraId="3B5D7C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А.О. Бураков.</w:t>
      </w:r>
    </w:p>
    <w:p w14:paraId="0C88EB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производства (1983 г.-)- А.О. Бураков.</w:t>
      </w:r>
    </w:p>
    <w:p w14:paraId="7BC948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73FF383C"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РЛ бомбоприцел «Кобальт-1М, -2М» для Ту-4, -16 (1950-е);</w:t>
      </w:r>
      <w:r w:rsidRPr="00F90EAE">
        <w:rPr>
          <w:iCs/>
          <w:color w:val="000000" w:themeColor="text1"/>
          <w:sz w:val="16"/>
          <w:szCs w:val="16"/>
          <w:lang w:val="en-US"/>
        </w:rPr>
        <w:t>PJI</w:t>
      </w:r>
      <w:r w:rsidRPr="00F90EAE">
        <w:rPr>
          <w:iCs/>
          <w:color w:val="000000" w:themeColor="text1"/>
          <w:sz w:val="16"/>
          <w:szCs w:val="16"/>
        </w:rPr>
        <w:t>- дальномеры:</w:t>
      </w:r>
      <w:r w:rsidRPr="00F90EAE">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F90EAE">
        <w:rPr>
          <w:iCs/>
          <w:color w:val="000000" w:themeColor="text1"/>
          <w:sz w:val="16"/>
          <w:szCs w:val="16"/>
        </w:rPr>
        <w:t>); телевизоры:</w:t>
      </w:r>
      <w:r w:rsidRPr="00F90EAE">
        <w:rPr>
          <w:color w:val="000000" w:themeColor="text1"/>
          <w:sz w:val="16"/>
          <w:szCs w:val="16"/>
        </w:rPr>
        <w:t xml:space="preserve"> «Сигнал» (1963-), «Балтика», «Атлант»;</w:t>
      </w:r>
      <w:r w:rsidRPr="00F90EAE">
        <w:rPr>
          <w:iCs/>
          <w:color w:val="000000" w:themeColor="text1"/>
          <w:sz w:val="16"/>
          <w:szCs w:val="16"/>
        </w:rPr>
        <w:t xml:space="preserve"> радиоприемники:</w:t>
      </w:r>
      <w:r w:rsidRPr="00F90EAE">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F90EAE">
        <w:rPr>
          <w:color w:val="000000" w:themeColor="text1"/>
          <w:sz w:val="16"/>
          <w:szCs w:val="16"/>
          <w:lang w:val="en-US"/>
        </w:rPr>
        <w:t>l</w:t>
      </w:r>
      <w:r w:rsidRPr="00F90EAE">
        <w:rPr>
          <w:color w:val="000000" w:themeColor="text1"/>
          <w:sz w:val="16"/>
          <w:szCs w:val="16"/>
        </w:rPr>
        <w:t>-).</w:t>
      </w:r>
    </w:p>
    <w:p w14:paraId="211D40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ОКБ-794 МАП, ГКАТ, ГКРЭ /г. Ленинград/</w:t>
      </w:r>
    </w:p>
    <w:p w14:paraId="7A31B5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w:t>
      </w:r>
      <w:r w:rsidRPr="00F90EAE">
        <w:rPr>
          <w:color w:val="000000" w:themeColor="text1"/>
          <w:sz w:val="16"/>
          <w:szCs w:val="16"/>
          <w:lang w:val="en-US"/>
        </w:rPr>
        <w:t>PJI</w:t>
      </w:r>
      <w:r w:rsidRPr="00F90EAE">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F90EAE">
        <w:rPr>
          <w:color w:val="000000" w:themeColor="text1"/>
          <w:sz w:val="16"/>
          <w:szCs w:val="16"/>
          <w:lang w:val="en-US"/>
        </w:rPr>
        <w:t>PJIC</w:t>
      </w:r>
      <w:r w:rsidRPr="00F90EAE">
        <w:rPr>
          <w:color w:val="000000" w:themeColor="text1"/>
          <w:sz w:val="16"/>
          <w:szCs w:val="16"/>
        </w:rPr>
        <w:t xml:space="preserve"> «Изумруд», аппаратуры управления К-1 ракетой «КС», радиодальномера СРД-1М.</w:t>
      </w:r>
    </w:p>
    <w:p w14:paraId="600D2A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742AD8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2ABDEC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5335E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56E9E4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(04.1946 г.-)- А.А. Котов.</w:t>
      </w:r>
    </w:p>
    <w:p w14:paraId="65E44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Ю. Г. Комедатов, (-1956-59 г.)- Е. А. Зазорин (затем- руководитель СКБ-3 НИИ-131).</w:t>
      </w:r>
    </w:p>
    <w:p w14:paraId="008C9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(1947 г.-)- А.С. Чефранов («Залив»), (1950-е)- Е.А. Зазорин (радиодальномеры, ДИСС), (- 1959 г.)- В.Л. Коблов («Эмблема»).</w:t>
      </w:r>
    </w:p>
    <w:p w14:paraId="2B942CB4"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6E83B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СЛ-П (СЛ-11) при заводе № 794 МАП</w:t>
      </w:r>
    </w:p>
    <w:p w14:paraId="4E1731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Специальная лаборатория СЛ-П (СЛ-11) создана в 1956 г.</w:t>
      </w:r>
    </w:p>
    <w:p w14:paraId="6AC446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06D39C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1959 г. на базе СЛ-П создано СКБ-2 НИИ-131 (11982).</w:t>
      </w:r>
    </w:p>
    <w:p w14:paraId="7F2EE360" w14:textId="77777777" w:rsidR="00665165" w:rsidRPr="00F90EAE" w:rsidRDefault="00665165" w:rsidP="00F90EAE">
      <w:pPr>
        <w:autoSpaceDE w:val="0"/>
        <w:autoSpaceDN w:val="0"/>
        <w:adjustRightInd w:val="0"/>
        <w:jc w:val="both"/>
        <w:rPr>
          <w:color w:val="000000" w:themeColor="text1"/>
          <w:sz w:val="16"/>
          <w:szCs w:val="16"/>
        </w:rPr>
      </w:pPr>
    </w:p>
    <w:p w14:paraId="44D5D9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8709. О выделении танковых двигателей ГУРТ КА. РГАНИР, Фонд ГКО, д. 418, лл. 163 (11012).</w:t>
      </w:r>
    </w:p>
    <w:p w14:paraId="5AF6A4C4" w14:textId="77777777" w:rsidR="00665165" w:rsidRPr="00F90EAE" w:rsidRDefault="00665165" w:rsidP="00F90EAE">
      <w:pPr>
        <w:autoSpaceDE w:val="0"/>
        <w:autoSpaceDN w:val="0"/>
        <w:adjustRightInd w:val="0"/>
        <w:jc w:val="both"/>
        <w:rPr>
          <w:color w:val="000000" w:themeColor="text1"/>
          <w:sz w:val="16"/>
          <w:szCs w:val="16"/>
        </w:rPr>
      </w:pPr>
    </w:p>
    <w:p w14:paraId="431BE9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8710. О выделении угля СНК БМАССР для Чикайского кожевенного завода. РГАНИР, Фонд ГКО, д. 418, лл. 164 (11012).</w:t>
      </w:r>
    </w:p>
    <w:p w14:paraId="20E2DF23" w14:textId="77777777" w:rsidR="00665165" w:rsidRPr="00F90EAE" w:rsidRDefault="00665165" w:rsidP="00F90EAE">
      <w:pPr>
        <w:autoSpaceDE w:val="0"/>
        <w:autoSpaceDN w:val="0"/>
        <w:adjustRightInd w:val="0"/>
        <w:jc w:val="both"/>
        <w:rPr>
          <w:color w:val="000000" w:themeColor="text1"/>
          <w:sz w:val="16"/>
          <w:szCs w:val="16"/>
        </w:rPr>
      </w:pPr>
    </w:p>
    <w:p w14:paraId="3A9715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8711 [О дополнительном выделении электросварочной проволоки НКМФ во II кв. 1945 г. для строительства барж байкальской переправы.] (7342, 165).</w:t>
      </w:r>
    </w:p>
    <w:p w14:paraId="5125D27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08580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8712 [Об отпуске ГСМ для автотранспорта НКВД, занятого на строительных работах в объединениях "Краснодарнефть" и "Куйбышевнефть".] (7342, 166).</w:t>
      </w:r>
    </w:p>
    <w:p w14:paraId="6224F55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EE57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8713. О мерах по сдаче монитора "Сиваш". РГАНИР, Фонд ГКО, д. 418, лл. 167-168 (11012).</w:t>
      </w:r>
    </w:p>
    <w:p w14:paraId="047219DC" w14:textId="77777777" w:rsidR="00665165" w:rsidRPr="00F90EAE" w:rsidRDefault="00665165" w:rsidP="00F90EAE">
      <w:pPr>
        <w:autoSpaceDE w:val="0"/>
        <w:autoSpaceDN w:val="0"/>
        <w:adjustRightInd w:val="0"/>
        <w:jc w:val="both"/>
        <w:rPr>
          <w:color w:val="000000" w:themeColor="text1"/>
          <w:sz w:val="16"/>
          <w:szCs w:val="16"/>
        </w:rPr>
      </w:pPr>
    </w:p>
    <w:p w14:paraId="2856C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8714. О мерах по созданию запасов зеленого масла на зиму 1945/46 гг. на сажевых заводах НКРП. РГАНИР, Фонд ГКО, д. 418, лл. 169-170 (11012).</w:t>
      </w:r>
    </w:p>
    <w:p w14:paraId="24FFE522" w14:textId="77777777" w:rsidR="00665165" w:rsidRPr="00F90EAE" w:rsidRDefault="00665165" w:rsidP="00F90EAE">
      <w:pPr>
        <w:autoSpaceDE w:val="0"/>
        <w:autoSpaceDN w:val="0"/>
        <w:adjustRightInd w:val="0"/>
        <w:jc w:val="both"/>
        <w:rPr>
          <w:color w:val="000000" w:themeColor="text1"/>
          <w:sz w:val="16"/>
          <w:szCs w:val="16"/>
        </w:rPr>
      </w:pPr>
    </w:p>
    <w:p w14:paraId="0805FE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8715. О поставках импортных материалов ТОФ во II кв. 1945 г. РГАНИР, Фонд ГКО, д. 418, лл. 171, 172 (11012).</w:t>
      </w:r>
    </w:p>
    <w:p w14:paraId="6908FF74" w14:textId="77777777" w:rsidR="00665165" w:rsidRPr="00F90EAE" w:rsidRDefault="00665165" w:rsidP="00F90EAE">
      <w:pPr>
        <w:autoSpaceDE w:val="0"/>
        <w:autoSpaceDN w:val="0"/>
        <w:adjustRightInd w:val="0"/>
        <w:jc w:val="both"/>
        <w:rPr>
          <w:color w:val="000000" w:themeColor="text1"/>
          <w:sz w:val="16"/>
          <w:szCs w:val="16"/>
        </w:rPr>
      </w:pPr>
    </w:p>
    <w:p w14:paraId="193CEA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Постановление ГКО № 8716 Об организации добычи нефти в Татарской АССР. РГАНИР, Фонд ГКО, д. 418, лл. 173-177, 178-179 (11012).</w:t>
      </w:r>
    </w:p>
    <w:p w14:paraId="5100A0CF" w14:textId="77777777" w:rsidR="00665165" w:rsidRPr="00F90EAE" w:rsidRDefault="00665165" w:rsidP="00F90EAE">
      <w:pPr>
        <w:autoSpaceDE w:val="0"/>
        <w:autoSpaceDN w:val="0"/>
        <w:adjustRightInd w:val="0"/>
        <w:jc w:val="both"/>
        <w:rPr>
          <w:color w:val="000000" w:themeColor="text1"/>
          <w:sz w:val="16"/>
          <w:szCs w:val="16"/>
        </w:rPr>
      </w:pPr>
    </w:p>
    <w:p w14:paraId="20260C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Распоряжение ГКО № 8717. О мерах по обеспечению выпуска электробуров в 1945 г. РГАНИР, Фонд ГКО, д. 418, лл. 180-181 (11012).</w:t>
      </w:r>
    </w:p>
    <w:p w14:paraId="6EA73DEE" w14:textId="77777777" w:rsidR="00665165" w:rsidRPr="00F90EAE" w:rsidRDefault="00665165" w:rsidP="00F90EAE">
      <w:pPr>
        <w:autoSpaceDE w:val="0"/>
        <w:autoSpaceDN w:val="0"/>
        <w:adjustRightInd w:val="0"/>
        <w:jc w:val="both"/>
        <w:rPr>
          <w:color w:val="000000" w:themeColor="text1"/>
          <w:sz w:val="16"/>
          <w:szCs w:val="16"/>
        </w:rPr>
      </w:pPr>
    </w:p>
    <w:p w14:paraId="20FFBCD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вышло Постановление ГКО № 8718 О самозаготовке шпал силами служб и дистанций пути железных дорог в 1945 г. (7342, 182-184,185-192).</w:t>
      </w:r>
    </w:p>
    <w:p w14:paraId="0DFB3A0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9EDD67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23/24 мая 1945 вышел приказ НКБ и НКСтройматериалов № 213/157 о передаче согласно постановлению СНК от 21 мая 1945 ГСЗ № 527 (б. Люберецкий з-д силикатного кирпича (7543, 23).</w:t>
      </w:r>
    </w:p>
    <w:p w14:paraId="344873D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A918B6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C9E9989" w14:textId="77777777" w:rsidR="00665165" w:rsidRPr="00F90EAE" w:rsidRDefault="00665165" w:rsidP="00F90EAE">
      <w:pPr>
        <w:autoSpaceDE w:val="0"/>
        <w:autoSpaceDN w:val="0"/>
        <w:adjustRightInd w:val="0"/>
        <w:jc w:val="both"/>
        <w:rPr>
          <w:iCs/>
          <w:color w:val="000000" w:themeColor="text1"/>
          <w:sz w:val="16"/>
          <w:szCs w:val="16"/>
        </w:rPr>
      </w:pPr>
    </w:p>
    <w:p w14:paraId="0B74D4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Постановление ГКО № 8720 О назначении генерал-полковника Курасова В.В. заместителем начальника Генерального штаба Красной Армии. РГАНИР, Фонд ГКО, д. 418, лл. 195 (11012).</w:t>
      </w:r>
    </w:p>
    <w:p w14:paraId="1C06CB52" w14:textId="77777777" w:rsidR="00665165" w:rsidRPr="00F90EAE" w:rsidRDefault="00665165" w:rsidP="00F90EAE">
      <w:pPr>
        <w:autoSpaceDE w:val="0"/>
        <w:autoSpaceDN w:val="0"/>
        <w:adjustRightInd w:val="0"/>
        <w:jc w:val="both"/>
        <w:rPr>
          <w:color w:val="000000" w:themeColor="text1"/>
          <w:sz w:val="16"/>
          <w:szCs w:val="16"/>
        </w:rPr>
      </w:pPr>
    </w:p>
    <w:p w14:paraId="4BB2BB3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2C51030" w14:textId="77777777" w:rsidR="00665165" w:rsidRPr="00F90EAE" w:rsidRDefault="00665165" w:rsidP="00F90EAE">
      <w:pPr>
        <w:autoSpaceDE w:val="0"/>
        <w:autoSpaceDN w:val="0"/>
        <w:adjustRightInd w:val="0"/>
        <w:jc w:val="both"/>
        <w:rPr>
          <w:iCs/>
          <w:color w:val="000000" w:themeColor="text1"/>
          <w:sz w:val="16"/>
          <w:szCs w:val="16"/>
        </w:rPr>
      </w:pPr>
    </w:p>
    <w:p w14:paraId="7D0AC7C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СССР принял решение об оказании продовольственной помощи населению Венгрии (4962).</w:t>
      </w:r>
    </w:p>
    <w:p w14:paraId="219FA61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4B397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вышло Постановление ГКО № 8719 Об оказании помощи в снабжении продовольствием населения г. Вена. РГАНИР, Фонд ГКО, д. 418, лл. 193-194 (11012).</w:t>
      </w:r>
    </w:p>
    <w:p w14:paraId="78BC4701" w14:textId="77777777" w:rsidR="00665165" w:rsidRPr="00F90EAE" w:rsidRDefault="00665165" w:rsidP="00F90EAE">
      <w:pPr>
        <w:autoSpaceDE w:val="0"/>
        <w:autoSpaceDN w:val="0"/>
        <w:adjustRightInd w:val="0"/>
        <w:jc w:val="both"/>
        <w:rPr>
          <w:color w:val="000000" w:themeColor="text1"/>
          <w:sz w:val="16"/>
          <w:szCs w:val="16"/>
        </w:rPr>
      </w:pPr>
    </w:p>
    <w:p w14:paraId="69FCFC8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96FC68B" w14:textId="77777777" w:rsidR="00665165" w:rsidRPr="00F90EAE" w:rsidRDefault="00665165" w:rsidP="00F90EAE">
      <w:pPr>
        <w:autoSpaceDE w:val="0"/>
        <w:autoSpaceDN w:val="0"/>
        <w:adjustRightInd w:val="0"/>
        <w:jc w:val="both"/>
        <w:rPr>
          <w:iCs/>
          <w:color w:val="000000" w:themeColor="text1"/>
          <w:sz w:val="16"/>
          <w:szCs w:val="16"/>
        </w:rPr>
      </w:pPr>
    </w:p>
    <w:p w14:paraId="402088A1" w14:textId="77777777" w:rsidR="0038610C" w:rsidRPr="00F90EAE" w:rsidRDefault="0038610C" w:rsidP="00F90EAE">
      <w:pPr>
        <w:jc w:val="both"/>
        <w:rPr>
          <w:color w:val="000000" w:themeColor="text1"/>
          <w:sz w:val="16"/>
          <w:szCs w:val="16"/>
          <w:shd w:val="clear" w:color="auto" w:fill="FFFFFF"/>
        </w:rPr>
      </w:pPr>
      <w:r w:rsidRPr="00F90EAE">
        <w:rPr>
          <w:color w:val="000000" w:themeColor="text1"/>
          <w:sz w:val="16"/>
          <w:szCs w:val="16"/>
          <w:shd w:val="clear" w:color="auto" w:fill="FFFFFF"/>
        </w:rPr>
        <w:t>До 23 мая 1945 на севере Германии, в Шлезвиг-Гольштейне, в британской зоне функционировало последнее правительство Третьего рейха во главе с гросс-адмиралом Дёницем. Там же англичане держали в интернированном состоянии, при полном вооружении, включая танки, несколько дивизий вермахта. По плану войны с Советским Союзом «Немыслимое», одобренному британским премьером Черчиллем 22 мая 1945 года, предусматривалось использование этих немецких дивизий (в количестве 10-12) в Третьей мировой войне против СССР. После ареста, по настоянию СССР и США, правительства Дёница, в июне 1945 года англичане были вынуждены разоружить эти дивизии и обратить их технику в трофеи (19688).</w:t>
      </w:r>
    </w:p>
    <w:p w14:paraId="3B2662ED" w14:textId="77777777" w:rsidR="0038610C" w:rsidRPr="00F90EAE" w:rsidRDefault="0038610C" w:rsidP="00F90EAE">
      <w:pPr>
        <w:jc w:val="both"/>
        <w:rPr>
          <w:color w:val="000000" w:themeColor="text1"/>
          <w:sz w:val="16"/>
          <w:szCs w:val="16"/>
          <w:shd w:val="clear" w:color="auto" w:fill="FFFFFF"/>
        </w:rPr>
      </w:pPr>
    </w:p>
    <w:p w14:paraId="4AAE01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при аресте на границе Германии и Дании покончил с собой глава СС Генрих Гиммлер (4962).</w:t>
      </w:r>
    </w:p>
    <w:p w14:paraId="106F13F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05D48DE"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23 1945 SS Reichsfuhrer Himmler commits suicide; German High Command and Provisional Government imprisoned (1050).</w:t>
      </w:r>
    </w:p>
    <w:p w14:paraId="65C11C3A" w14:textId="77777777" w:rsidR="00665165" w:rsidRPr="00F90EAE" w:rsidRDefault="00665165" w:rsidP="00F90EAE">
      <w:pPr>
        <w:autoSpaceDE w:val="0"/>
        <w:autoSpaceDN w:val="0"/>
        <w:adjustRightInd w:val="0"/>
        <w:jc w:val="both"/>
        <w:rPr>
          <w:color w:val="000000" w:themeColor="text1"/>
          <w:sz w:val="16"/>
          <w:szCs w:val="16"/>
          <w:lang w:val="en-US"/>
        </w:rPr>
      </w:pPr>
    </w:p>
    <w:p w14:paraId="3C64C4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1943 Райхсфюрер СС Г.Гимлер совершил самоубийство (1050). По другим данным это было 24 мая и при аресте он успел принять яд (2248,7).</w:t>
      </w:r>
    </w:p>
    <w:p w14:paraId="00C0E3B0" w14:textId="77777777" w:rsidR="00665165" w:rsidRPr="00F90EAE" w:rsidRDefault="00665165" w:rsidP="00F90EAE">
      <w:pPr>
        <w:autoSpaceDE w:val="0"/>
        <w:autoSpaceDN w:val="0"/>
        <w:adjustRightInd w:val="0"/>
        <w:jc w:val="both"/>
        <w:rPr>
          <w:color w:val="000000" w:themeColor="text1"/>
          <w:sz w:val="16"/>
          <w:szCs w:val="16"/>
        </w:rPr>
      </w:pPr>
    </w:p>
    <w:p w14:paraId="02EB91AF"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23rd, 1945: By order of SHAEF, British troops arrest the members of the post-Hitler government of Grossadmiral Donitz as well as of the OKW at Flensburg; they are flown to a secret American camp in Luxemburg and held there pending their indictment in an Allied war crimes trial scheduled to be held at Nuremberg (3819).</w:t>
      </w:r>
    </w:p>
    <w:p w14:paraId="2240A9A3" w14:textId="77777777" w:rsidR="00665165" w:rsidRPr="00F90EAE" w:rsidRDefault="00665165" w:rsidP="00F90EAE">
      <w:pPr>
        <w:autoSpaceDE w:val="0"/>
        <w:autoSpaceDN w:val="0"/>
        <w:adjustRightInd w:val="0"/>
        <w:jc w:val="both"/>
        <w:rPr>
          <w:color w:val="000000" w:themeColor="text1"/>
          <w:sz w:val="16"/>
          <w:szCs w:val="16"/>
          <w:lang w:val="en-US"/>
        </w:rPr>
      </w:pPr>
    </w:p>
    <w:p w14:paraId="25B8A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высшее немецкое командование и правительство Деница были арестованы (1050).</w:t>
      </w:r>
    </w:p>
    <w:p w14:paraId="37EB487C" w14:textId="77777777" w:rsidR="00665165" w:rsidRPr="00F90EAE" w:rsidRDefault="00665165" w:rsidP="00F90EAE">
      <w:pPr>
        <w:autoSpaceDE w:val="0"/>
        <w:autoSpaceDN w:val="0"/>
        <w:adjustRightInd w:val="0"/>
        <w:jc w:val="both"/>
        <w:rPr>
          <w:color w:val="000000" w:themeColor="text1"/>
          <w:sz w:val="16"/>
          <w:szCs w:val="16"/>
        </w:rPr>
      </w:pPr>
    </w:p>
    <w:p w14:paraId="584895F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мая 1945 во Фленсбурге союзники взяли в плен последнего рейхсканцлера Германии адмирала К. Деница (4962).</w:t>
      </w:r>
    </w:p>
    <w:p w14:paraId="73AD65C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E26E068" w14:textId="77777777" w:rsidR="007E3239" w:rsidRPr="00F90EAE" w:rsidRDefault="007E3239" w:rsidP="00F90EAE">
      <w:pPr>
        <w:jc w:val="both"/>
        <w:rPr>
          <w:color w:val="000000" w:themeColor="text1"/>
          <w:sz w:val="16"/>
          <w:szCs w:val="16"/>
        </w:rPr>
      </w:pPr>
      <w:r w:rsidRPr="00F90EAE">
        <w:rPr>
          <w:bCs/>
          <w:color w:val="000000" w:themeColor="text1"/>
          <w:sz w:val="16"/>
          <w:szCs w:val="16"/>
        </w:rPr>
        <w:t>23 мая</w:t>
      </w:r>
      <w:r w:rsidRPr="00F90EAE">
        <w:rPr>
          <w:color w:val="000000" w:themeColor="text1"/>
          <w:sz w:val="16"/>
          <w:szCs w:val="16"/>
        </w:rPr>
        <w:t xml:space="preserve"> в 1945 году во Фленсбурге союзники взяли в плен последнего рейхсканцлера Германии адмирала К.Деница. Немецкий рейхсканцлер Карл Дёниц приговорен Международным военным трибуналом в Нюрнберге к 10 годам тюрьмы как военный преступник (14900).</w:t>
      </w:r>
    </w:p>
    <w:p w14:paraId="147BD086" w14:textId="77777777" w:rsidR="007E3239" w:rsidRPr="00F90EAE" w:rsidRDefault="007E3239" w:rsidP="00F90EAE">
      <w:pPr>
        <w:jc w:val="both"/>
        <w:rPr>
          <w:color w:val="000000" w:themeColor="text1"/>
          <w:sz w:val="16"/>
          <w:szCs w:val="16"/>
        </w:rPr>
      </w:pPr>
    </w:p>
    <w:p w14:paraId="6CFB56E1" w14:textId="3CB3E882"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 xml:space="preserve">23 мая 1945 премьер Англии Уинстон Черчилль ушел в отставку, объявив первые за десять лет </w:t>
      </w:r>
      <w:r w:rsidR="00247854" w:rsidRPr="00F90EAE">
        <w:rPr>
          <w:color w:val="000000" w:themeColor="text1"/>
          <w:sz w:val="16"/>
          <w:szCs w:val="16"/>
        </w:rPr>
        <w:t xml:space="preserve">выборы </w:t>
      </w:r>
      <w:r w:rsidRPr="00F90EAE">
        <w:rPr>
          <w:color w:val="000000" w:themeColor="text1"/>
          <w:sz w:val="16"/>
          <w:szCs w:val="16"/>
        </w:rPr>
        <w:t>(4962).</w:t>
      </w:r>
    </w:p>
    <w:p w14:paraId="0140EA6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26D4437" w14:textId="77777777" w:rsidR="007E3239" w:rsidRPr="00F90EAE" w:rsidRDefault="007E3239" w:rsidP="00F90EAE">
      <w:pPr>
        <w:jc w:val="both"/>
        <w:rPr>
          <w:color w:val="000000" w:themeColor="text1"/>
          <w:sz w:val="16"/>
          <w:szCs w:val="16"/>
        </w:rPr>
      </w:pPr>
      <w:r w:rsidRPr="00F90EAE">
        <w:rPr>
          <w:bCs/>
          <w:color w:val="000000" w:themeColor="text1"/>
          <w:sz w:val="16"/>
          <w:szCs w:val="16"/>
        </w:rPr>
        <w:t>23 мая</w:t>
      </w:r>
      <w:r w:rsidRPr="00F90EAE">
        <w:rPr>
          <w:color w:val="000000" w:themeColor="text1"/>
          <w:sz w:val="16"/>
          <w:szCs w:val="16"/>
        </w:rPr>
        <w:t xml:space="preserve"> в 1945 году эмигрантское правительство Королевства Нидерландов во главе с П.Гербрандом переехало из Лондона в Амстердам (14900).</w:t>
      </w:r>
    </w:p>
    <w:p w14:paraId="24DEC0CF" w14:textId="77777777" w:rsidR="007E3239" w:rsidRPr="00F90EAE" w:rsidRDefault="007E3239" w:rsidP="00F90EAE">
      <w:pPr>
        <w:jc w:val="both"/>
        <w:rPr>
          <w:color w:val="000000" w:themeColor="text1"/>
          <w:sz w:val="16"/>
          <w:szCs w:val="16"/>
        </w:rPr>
      </w:pPr>
    </w:p>
    <w:p w14:paraId="109787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 мая 1945 на Токио летало 564 В-29 - вроде бы больше не было никогда (1051,28).</w:t>
      </w:r>
    </w:p>
    <w:p w14:paraId="20350CFB" w14:textId="77777777" w:rsidR="00665165" w:rsidRPr="00F90EAE" w:rsidRDefault="00665165" w:rsidP="00F90EAE">
      <w:pPr>
        <w:autoSpaceDE w:val="0"/>
        <w:autoSpaceDN w:val="0"/>
        <w:adjustRightInd w:val="0"/>
        <w:jc w:val="both"/>
        <w:rPr>
          <w:color w:val="000000" w:themeColor="text1"/>
          <w:sz w:val="16"/>
          <w:szCs w:val="16"/>
        </w:rPr>
      </w:pPr>
    </w:p>
    <w:p w14:paraId="4B1517EE" w14:textId="77777777" w:rsidR="00247854" w:rsidRPr="00F90EAE" w:rsidRDefault="00247854" w:rsidP="00F90EAE">
      <w:pPr>
        <w:jc w:val="both"/>
        <w:rPr>
          <w:color w:val="0070C0"/>
          <w:sz w:val="16"/>
          <w:szCs w:val="16"/>
        </w:rPr>
      </w:pPr>
      <w:r w:rsidRPr="00F90EAE">
        <w:rPr>
          <w:color w:val="0070C0"/>
          <w:sz w:val="16"/>
          <w:szCs w:val="16"/>
        </w:rPr>
        <w:t>23–25 мая 1945 в седьмой атаке Кикусуи у Окинавы участвуют 165 камикадзе. 25 мая они потопили транспорт и два меньших корабля и повредили эсминец и транспорт (20371).</w:t>
      </w:r>
    </w:p>
    <w:p w14:paraId="0343E453" w14:textId="77777777" w:rsidR="00247854" w:rsidRPr="00F90EAE" w:rsidRDefault="00247854" w:rsidP="00F90EAE">
      <w:pPr>
        <w:jc w:val="both"/>
        <w:rPr>
          <w:color w:val="0070C0"/>
          <w:sz w:val="16"/>
          <w:szCs w:val="16"/>
        </w:rPr>
      </w:pPr>
    </w:p>
    <w:p w14:paraId="2E3FB71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D609F06" w14:textId="77777777" w:rsidR="00665165" w:rsidRPr="00F90EAE" w:rsidRDefault="00665165" w:rsidP="00F90EAE">
      <w:pPr>
        <w:autoSpaceDE w:val="0"/>
        <w:autoSpaceDN w:val="0"/>
        <w:adjustRightInd w:val="0"/>
        <w:jc w:val="both"/>
        <w:rPr>
          <w:iCs/>
          <w:color w:val="000000" w:themeColor="text1"/>
          <w:sz w:val="16"/>
          <w:szCs w:val="16"/>
        </w:rPr>
      </w:pPr>
    </w:p>
    <w:p w14:paraId="5EC196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 мая 1945 го</w:t>
      </w:r>
      <w:r w:rsidRPr="00F90EAE">
        <w:rPr>
          <w:color w:val="000000" w:themeColor="text1"/>
          <w:sz w:val="16"/>
          <w:szCs w:val="16"/>
        </w:rPr>
        <w:softHyphen/>
        <w:t>да А.Н. Туполева писал наркому А.И. Шахурину:</w:t>
      </w:r>
    </w:p>
    <w:p w14:paraId="43B057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организации серийного производства тяжелых бомбардировщиков должен быть выделен специальный завод. Наиболее подходящим для этой цели как по своей мощности, так и по предшествующему опыту является за</w:t>
      </w:r>
      <w:r w:rsidRPr="00F90EAE">
        <w:rPr>
          <w:color w:val="000000" w:themeColor="text1"/>
          <w:sz w:val="16"/>
          <w:szCs w:val="16"/>
        </w:rPr>
        <w:softHyphen/>
        <w:t>вод № 22.</w:t>
      </w:r>
    </w:p>
    <w:p w14:paraId="5F0F0F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22 освобождается от постройки самолетов Пе-2 и его модификаций и на первое время полностью пе</w:t>
      </w:r>
      <w:r w:rsidRPr="00F90EAE">
        <w:rPr>
          <w:color w:val="000000" w:themeColor="text1"/>
          <w:sz w:val="16"/>
          <w:szCs w:val="16"/>
        </w:rPr>
        <w:softHyphen/>
        <w:t>реводится на постройку четырехмоторных Пе-8 в послед</w:t>
      </w:r>
      <w:r w:rsidRPr="00F90EAE">
        <w:rPr>
          <w:color w:val="000000" w:themeColor="text1"/>
          <w:sz w:val="16"/>
          <w:szCs w:val="16"/>
        </w:rPr>
        <w:softHyphen/>
        <w:t>нем их варианте с моторами АШ-82. Вся опытная база за</w:t>
      </w:r>
      <w:r w:rsidRPr="00F90EAE">
        <w:rPr>
          <w:color w:val="000000" w:themeColor="text1"/>
          <w:sz w:val="16"/>
          <w:szCs w:val="16"/>
        </w:rPr>
        <w:softHyphen/>
        <w:t>вода переходит на выполнение задач тяжелого самолето</w:t>
      </w:r>
      <w:r w:rsidRPr="00F90EAE">
        <w:rPr>
          <w:color w:val="000000" w:themeColor="text1"/>
          <w:sz w:val="16"/>
          <w:szCs w:val="16"/>
        </w:rPr>
        <w:softHyphen/>
        <w:t>строения.</w:t>
      </w:r>
    </w:p>
    <w:p w14:paraId="5FD593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Опытное конструкторское бюро тов. Незваля и конст</w:t>
      </w:r>
      <w:r w:rsidRPr="00F90EAE">
        <w:rPr>
          <w:color w:val="000000" w:themeColor="text1"/>
          <w:sz w:val="16"/>
          <w:szCs w:val="16"/>
        </w:rPr>
        <w:softHyphen/>
        <w:t>рукторское бюро, занимавшееся ранее самолетом Пе-2 в Казани (В.М. Мясищев), включаются в состав конструк</w:t>
      </w:r>
      <w:r w:rsidRPr="00F90EAE">
        <w:rPr>
          <w:color w:val="000000" w:themeColor="text1"/>
          <w:sz w:val="16"/>
          <w:szCs w:val="16"/>
        </w:rPr>
        <w:softHyphen/>
        <w:t>торского бюро Туполева. Обслуживая серийный выпуск самолетов Пе-8, эти бюро одновременно занимаются пе</w:t>
      </w:r>
      <w:r w:rsidRPr="00F90EAE">
        <w:rPr>
          <w:color w:val="000000" w:themeColor="text1"/>
          <w:sz w:val="16"/>
          <w:szCs w:val="16"/>
        </w:rPr>
        <w:softHyphen/>
        <w:t>реводом самолета на другие моторы. Наиболее подходя</w:t>
      </w:r>
      <w:r w:rsidRPr="00F90EAE">
        <w:rPr>
          <w:color w:val="000000" w:themeColor="text1"/>
          <w:sz w:val="16"/>
          <w:szCs w:val="16"/>
        </w:rPr>
        <w:softHyphen/>
        <w:t>щим является, по моему мнению, перевод на моторы АМ-42с ТК-ЗООБ. Помимо целесообразности постановки этих моторов с точки зрения улучшения летных данных самоле</w:t>
      </w:r>
      <w:r w:rsidRPr="00F90EAE">
        <w:rPr>
          <w:color w:val="000000" w:themeColor="text1"/>
          <w:sz w:val="16"/>
          <w:szCs w:val="16"/>
        </w:rPr>
        <w:softHyphen/>
        <w:t>та Пе-8, использование их позволит заранее проверить работу винтомоторной группы нового четырехмоторного самолета «64»...».</w:t>
      </w:r>
    </w:p>
    <w:p w14:paraId="1F9612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Интересно, что в документе нет и упоминания о ко</w:t>
      </w:r>
      <w:r w:rsidRPr="00F90EAE">
        <w:rPr>
          <w:color w:val="000000" w:themeColor="text1"/>
          <w:sz w:val="16"/>
          <w:szCs w:val="16"/>
        </w:rPr>
        <w:softHyphen/>
        <w:t>пировании американского бомбардировщика В-29 «Сверхкрепость». Первый намек на историю будущего Б-4 (бомбардировщик четырехмоторный) можно об</w:t>
      </w:r>
      <w:r w:rsidRPr="00F90EAE">
        <w:rPr>
          <w:color w:val="000000" w:themeColor="text1"/>
          <w:sz w:val="16"/>
          <w:szCs w:val="16"/>
        </w:rPr>
        <w:softHyphen/>
        <w:t>наружить в письме В.М. Мясищева А.И. Шахурину от 25 мая, т.е. на следующий день после письма Туполе</w:t>
      </w:r>
      <w:r w:rsidRPr="00F90EAE">
        <w:rPr>
          <w:color w:val="000000" w:themeColor="text1"/>
          <w:sz w:val="16"/>
          <w:szCs w:val="16"/>
        </w:rPr>
        <w:softHyphen/>
        <w:t>ва, где он сообщает:</w:t>
      </w:r>
    </w:p>
    <w:p w14:paraId="5B4CA4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«Вся работа по выпуску чертежей (самолета В-29. — Прим, авт.) может быть выполнена ОКБ тов. Незваля, се</w:t>
      </w:r>
      <w:r w:rsidRPr="00F90EAE">
        <w:rPr>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F90EAE">
        <w:rPr>
          <w:color w:val="000000" w:themeColor="text1"/>
          <w:sz w:val="16"/>
          <w:szCs w:val="16"/>
        </w:rPr>
        <w:softHyphen/>
        <w:t>ными от работы по серийному Пе-2».</w:t>
      </w:r>
    </w:p>
    <w:p w14:paraId="26584C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этого, ОКБ-482 рекомендовало установить на будущий Б-4 отечественные двигатели АШ-72 и пушки Б-20 (11446).</w:t>
      </w:r>
    </w:p>
    <w:p w14:paraId="248D47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B005DF8"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24 мая 1945 года А.Н. Туполева писал наркому А.И. Шахурину:</w:t>
      </w:r>
    </w:p>
    <w:p w14:paraId="3821E56F" w14:textId="77777777" w:rsidR="006979C2" w:rsidRPr="00F90EAE" w:rsidRDefault="006979C2" w:rsidP="00F90EAE">
      <w:pPr>
        <w:pStyle w:val="16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«Для организации серийного производст</w:t>
      </w:r>
      <w:r w:rsidRPr="00F90EAE">
        <w:rPr>
          <w:rFonts w:ascii="Times New Roman" w:hAnsi="Times New Roman"/>
          <w:color w:val="000000" w:themeColor="text1"/>
          <w:sz w:val="16"/>
          <w:szCs w:val="16"/>
        </w:rPr>
        <w:softHyphen/>
        <w:t>ва тяжелых бомбардировщиков должен быть выделен специальный завод. Наиболее подхо</w:t>
      </w:r>
      <w:r w:rsidRPr="00F90EAE">
        <w:rPr>
          <w:rFonts w:ascii="Times New Roman" w:hAnsi="Times New Roman"/>
          <w:color w:val="000000" w:themeColor="text1"/>
          <w:sz w:val="16"/>
          <w:szCs w:val="16"/>
        </w:rPr>
        <w:softHyphen/>
        <w:t>дящим для этой цели как по своей мощности, так и по предшествующему опыту является завод № 22.</w:t>
      </w:r>
    </w:p>
    <w:p w14:paraId="076BB436" w14:textId="77777777" w:rsidR="006979C2" w:rsidRPr="00F90EAE" w:rsidRDefault="006979C2" w:rsidP="00F90EAE">
      <w:pPr>
        <w:pStyle w:val="16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Завод № 22 освобождается от построй</w:t>
      </w:r>
      <w:r w:rsidRPr="00F90EAE">
        <w:rPr>
          <w:rFonts w:ascii="Times New Roman" w:hAnsi="Times New Roman"/>
          <w:color w:val="000000" w:themeColor="text1"/>
          <w:sz w:val="16"/>
          <w:szCs w:val="16"/>
        </w:rPr>
        <w:softHyphen/>
        <w:t>ки самолетов Пе-2 и его модификаций и на первое время полностью переводится на по</w:t>
      </w:r>
      <w:r w:rsidRPr="00F90EAE">
        <w:rPr>
          <w:rFonts w:ascii="Times New Roman" w:hAnsi="Times New Roman"/>
          <w:color w:val="000000" w:themeColor="text1"/>
          <w:sz w:val="16"/>
          <w:szCs w:val="16"/>
        </w:rPr>
        <w:softHyphen/>
        <w:t>стройку четырехмоторных Пе-8 в последнем их варианте с моторами ЛШ-82. Вся опыт</w:t>
      </w:r>
      <w:r w:rsidRPr="00F90EAE">
        <w:rPr>
          <w:rFonts w:ascii="Times New Roman" w:hAnsi="Times New Roman"/>
          <w:color w:val="000000" w:themeColor="text1"/>
          <w:sz w:val="16"/>
          <w:szCs w:val="16"/>
        </w:rPr>
        <w:softHyphen/>
        <w:t>ная база завода переходит на выполнение за</w:t>
      </w:r>
      <w:r w:rsidRPr="00F90EAE">
        <w:rPr>
          <w:rFonts w:ascii="Times New Roman" w:hAnsi="Times New Roman"/>
          <w:color w:val="000000" w:themeColor="text1"/>
          <w:sz w:val="16"/>
          <w:szCs w:val="16"/>
        </w:rPr>
        <w:softHyphen/>
        <w:t>дач тяжелого самолетостроения.</w:t>
      </w:r>
    </w:p>
    <w:p w14:paraId="49ED29C6" w14:textId="77777777" w:rsidR="006979C2" w:rsidRPr="00F90EAE" w:rsidRDefault="006979C2" w:rsidP="00F90EAE">
      <w:pPr>
        <w:pStyle w:val="161"/>
        <w:shd w:val="clear" w:color="auto" w:fill="auto"/>
        <w:spacing w:line="240" w:lineRule="auto"/>
        <w:jc w:val="both"/>
        <w:rPr>
          <w:rFonts w:ascii="Times New Roman" w:hAnsi="Times New Roman"/>
          <w:color w:val="000000" w:themeColor="text1"/>
          <w:sz w:val="16"/>
          <w:szCs w:val="16"/>
        </w:rPr>
      </w:pPr>
      <w:r w:rsidRPr="00F90EAE">
        <w:rPr>
          <w:rFonts w:ascii="Times New Roman" w:hAnsi="Times New Roman"/>
          <w:color w:val="000000" w:themeColor="text1"/>
          <w:sz w:val="16"/>
          <w:szCs w:val="16"/>
        </w:rPr>
        <w:t>Опытное конструкторское бюро тов. Незвал</w:t>
      </w:r>
      <w:r w:rsidRPr="00F90EAE">
        <w:rPr>
          <w:rStyle w:val="16Candara"/>
          <w:rFonts w:ascii="Times New Roman" w:hAnsi="Times New Roman"/>
          <w:color w:val="000000" w:themeColor="text1"/>
          <w:sz w:val="16"/>
          <w:szCs w:val="16"/>
        </w:rPr>
        <w:t>ь</w:t>
      </w:r>
      <w:r w:rsidRPr="00F90EAE">
        <w:rPr>
          <w:rFonts w:ascii="Times New Roman" w:hAnsi="Times New Roman"/>
          <w:color w:val="000000" w:themeColor="text1"/>
          <w:sz w:val="16"/>
          <w:szCs w:val="16"/>
        </w:rPr>
        <w:t xml:space="preserve"> и конструкторское бюро, занимавшееся ранее самолетом Пе-2 в Казани (В.М. Мясищев), вкл</w:t>
      </w:r>
      <w:r w:rsidRPr="00F90EAE">
        <w:rPr>
          <w:rStyle w:val="16Candara"/>
          <w:rFonts w:ascii="Times New Roman" w:hAnsi="Times New Roman"/>
          <w:color w:val="000000" w:themeColor="text1"/>
          <w:sz w:val="16"/>
          <w:szCs w:val="16"/>
        </w:rPr>
        <w:t>ючаются</w:t>
      </w:r>
      <w:r w:rsidRPr="00F90EAE">
        <w:rPr>
          <w:rFonts w:ascii="Times New Roman" w:hAnsi="Times New Roman"/>
          <w:color w:val="000000" w:themeColor="text1"/>
          <w:sz w:val="16"/>
          <w:szCs w:val="16"/>
        </w:rPr>
        <w:t xml:space="preserve"> в состав конструкторско</w:t>
      </w:r>
      <w:r w:rsidRPr="00F90EAE">
        <w:rPr>
          <w:rFonts w:ascii="Times New Roman" w:hAnsi="Times New Roman"/>
          <w:color w:val="000000" w:themeColor="text1"/>
          <w:sz w:val="16"/>
          <w:szCs w:val="16"/>
        </w:rPr>
        <w:softHyphen/>
        <w:t>го бюро Туполева. Обслуживая серийный вы</w:t>
      </w:r>
      <w:r w:rsidRPr="00F90EAE">
        <w:rPr>
          <w:rFonts w:ascii="Times New Roman" w:hAnsi="Times New Roman"/>
          <w:color w:val="000000" w:themeColor="text1"/>
          <w:sz w:val="16"/>
          <w:szCs w:val="16"/>
        </w:rPr>
        <w:softHyphen/>
        <w:t>пуск самолетов Пе-8, эти бюро одновременно занимаются переводом самолета на другие моторы. Наиболее подходящим является, по моему мнению, перевод на моторы ЛМ-42 с ТК-300Б. Помимо целесообразности поста</w:t>
      </w:r>
      <w:r w:rsidRPr="00F90EAE">
        <w:rPr>
          <w:rFonts w:ascii="Times New Roman" w:hAnsi="Times New Roman"/>
          <w:color w:val="000000" w:themeColor="text1"/>
          <w:sz w:val="16"/>
          <w:szCs w:val="16"/>
        </w:rPr>
        <w:softHyphen/>
        <w:t>новки этих моторов с точки зрения улучше</w:t>
      </w:r>
      <w:r w:rsidRPr="00F90EAE">
        <w:rPr>
          <w:rFonts w:ascii="Times New Roman" w:hAnsi="Times New Roman"/>
          <w:color w:val="000000" w:themeColor="text1"/>
          <w:sz w:val="16"/>
          <w:szCs w:val="16"/>
        </w:rPr>
        <w:softHyphen/>
        <w:t>ния летных данных самолета Пе-8, использо</w:t>
      </w:r>
      <w:r w:rsidRPr="00F90EAE">
        <w:rPr>
          <w:rFonts w:ascii="Times New Roman" w:hAnsi="Times New Roman"/>
          <w:color w:val="000000" w:themeColor="text1"/>
          <w:sz w:val="16"/>
          <w:szCs w:val="16"/>
        </w:rPr>
        <w:softHyphen/>
        <w:t>вание их позволит заранее проверить работу винтомоторной группы нового четырехмо</w:t>
      </w:r>
      <w:r w:rsidRPr="00F90EAE">
        <w:rPr>
          <w:rFonts w:ascii="Times New Roman" w:hAnsi="Times New Roman"/>
          <w:color w:val="000000" w:themeColor="text1"/>
          <w:sz w:val="16"/>
          <w:szCs w:val="16"/>
        </w:rPr>
        <w:softHyphen/>
        <w:t>торного самолета «64»...».</w:t>
      </w:r>
    </w:p>
    <w:p w14:paraId="2A686693"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Интересно, что в документе нет и упо</w:t>
      </w:r>
      <w:r w:rsidRPr="00F90EAE">
        <w:rPr>
          <w:color w:val="000000" w:themeColor="text1"/>
          <w:sz w:val="16"/>
          <w:szCs w:val="16"/>
        </w:rPr>
        <w:softHyphen/>
        <w:t>минания о копировании американского бомбардировщика В-29 «Сверхкрепость». Первый намек на историю будущего Б-4 (бомбардировщик-четырехмоторный) мож</w:t>
      </w:r>
      <w:r w:rsidRPr="00F90EAE">
        <w:rPr>
          <w:color w:val="000000" w:themeColor="text1"/>
          <w:sz w:val="16"/>
          <w:szCs w:val="16"/>
        </w:rPr>
        <w:softHyphen/>
        <w:t>но обнаружить в письме В.М. Мясишева на</w:t>
      </w:r>
      <w:r w:rsidRPr="00F90EAE">
        <w:rPr>
          <w:color w:val="000000" w:themeColor="text1"/>
          <w:sz w:val="16"/>
          <w:szCs w:val="16"/>
        </w:rPr>
        <w:softHyphen/>
        <w:t>ркому А.И. Шахурину от 25 мая (12292).</w:t>
      </w:r>
    </w:p>
    <w:p w14:paraId="0233E07C"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p>
    <w:p w14:paraId="1B37A8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мая 1945 года, после того, как с 11 по 21 мая 1945 в ОКБ занимались доводкой машины Як-3Т, приступили к заводским летным испытаниям. Несмотря на то что на предварительных испытаниях нового водорадиатора, проведенных 14 мая 1945 года по просьбе главного конструктора радиатора Воронина, в процессе доводки самолета температура воды на всех режимах полета не превышала допустимую, в ходе заводских испытаний все оказалось иначе. Температурные режимы мотора зашкаливали до предельных значений. В связи с тем, что к этому времени прошел испытания и начал строиться серийно истребитель Як-9УТ, являвшийся более перспективной машиной, как по силовой установке, так и по комплексу других технических решений, включая бронезащиту летчика, соответствовавшую техническим требованиям ВВС, доводку Як-ЗТ прекратили, возвратив машину ОКБ-115 (12047).</w:t>
      </w:r>
    </w:p>
    <w:p w14:paraId="414EAE18" w14:textId="77777777" w:rsidR="00665165" w:rsidRPr="00F90EAE" w:rsidRDefault="00665165" w:rsidP="00F90EAE">
      <w:pPr>
        <w:autoSpaceDE w:val="0"/>
        <w:autoSpaceDN w:val="0"/>
        <w:adjustRightInd w:val="0"/>
        <w:jc w:val="both"/>
        <w:rPr>
          <w:color w:val="000000" w:themeColor="text1"/>
          <w:sz w:val="16"/>
          <w:szCs w:val="16"/>
        </w:rPr>
      </w:pPr>
    </w:p>
    <w:p w14:paraId="0279B6E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2694EEC" w14:textId="77777777" w:rsidR="00665165" w:rsidRPr="00F90EAE" w:rsidRDefault="00665165" w:rsidP="00F90EAE">
      <w:pPr>
        <w:autoSpaceDE w:val="0"/>
        <w:autoSpaceDN w:val="0"/>
        <w:adjustRightInd w:val="0"/>
        <w:jc w:val="both"/>
        <w:rPr>
          <w:iCs/>
          <w:color w:val="000000" w:themeColor="text1"/>
          <w:sz w:val="16"/>
          <w:szCs w:val="16"/>
        </w:rPr>
      </w:pPr>
    </w:p>
    <w:p w14:paraId="6D0579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24/23 мая 1945 г. совместным приказом Наркоматов НКБ и НКСтройМат № 213/157 была оформлена передача Государственного союзного завода № 527 (бывш. Люберецкий завод силикатного кирпича) со всем оборудованием, инвентарем, карьером, подъездными путями, транспортными средствами, жилфондом, ОРСом и подсобным хозяйством был передан из ведения Наркомата боеприпасов СССР в ведение Наркомата стройматериалов РСФСР (7543).</w:t>
      </w:r>
    </w:p>
    <w:p w14:paraId="060A2C21" w14:textId="77777777" w:rsidR="00665165" w:rsidRPr="00F90EAE" w:rsidRDefault="00665165" w:rsidP="00F90EAE">
      <w:pPr>
        <w:autoSpaceDE w:val="0"/>
        <w:autoSpaceDN w:val="0"/>
        <w:adjustRightInd w:val="0"/>
        <w:jc w:val="both"/>
        <w:rPr>
          <w:color w:val="000000" w:themeColor="text1"/>
          <w:sz w:val="16"/>
          <w:szCs w:val="16"/>
        </w:rPr>
      </w:pPr>
    </w:p>
    <w:p w14:paraId="4F4B9C5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2BAACB3" w14:textId="77777777" w:rsidR="00665165" w:rsidRPr="00F90EAE" w:rsidRDefault="00665165" w:rsidP="00F90EAE">
      <w:pPr>
        <w:autoSpaceDE w:val="0"/>
        <w:autoSpaceDN w:val="0"/>
        <w:adjustRightInd w:val="0"/>
        <w:jc w:val="both"/>
        <w:rPr>
          <w:iCs/>
          <w:color w:val="000000" w:themeColor="text1"/>
          <w:sz w:val="16"/>
          <w:szCs w:val="16"/>
        </w:rPr>
      </w:pPr>
    </w:p>
    <w:p w14:paraId="6E800DB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мая 1945 на приеме военных руководителей СССР Сталин поднял тост “за терпение русского народа” (4962).</w:t>
      </w:r>
    </w:p>
    <w:p w14:paraId="419C0D2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AB0CC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мая 1945 было принято решение о проведении Парада Победы. От каждого из 10 фронтов взяли сводный полк в 1000 чел. - наиболее отличившихся, плюс моряки, саперы, санитары и др. специалисты (1836,46).</w:t>
      </w:r>
    </w:p>
    <w:p w14:paraId="0BAC0E8A" w14:textId="77777777" w:rsidR="00665165" w:rsidRPr="00F90EAE" w:rsidRDefault="00665165" w:rsidP="00F90EAE">
      <w:pPr>
        <w:autoSpaceDE w:val="0"/>
        <w:autoSpaceDN w:val="0"/>
        <w:adjustRightInd w:val="0"/>
        <w:jc w:val="both"/>
        <w:rPr>
          <w:color w:val="000000" w:themeColor="text1"/>
          <w:sz w:val="16"/>
          <w:szCs w:val="16"/>
        </w:rPr>
      </w:pPr>
    </w:p>
    <w:p w14:paraId="62B672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мая 1945 И.В.С. выступил с Речью Победы (3481).</w:t>
      </w:r>
    </w:p>
    <w:p w14:paraId="0C4E3666" w14:textId="77777777" w:rsidR="00665165" w:rsidRPr="00F90EAE" w:rsidRDefault="00665165" w:rsidP="00F90EAE">
      <w:pPr>
        <w:autoSpaceDE w:val="0"/>
        <w:autoSpaceDN w:val="0"/>
        <w:adjustRightInd w:val="0"/>
        <w:jc w:val="both"/>
        <w:rPr>
          <w:color w:val="000000" w:themeColor="text1"/>
          <w:sz w:val="16"/>
          <w:szCs w:val="16"/>
        </w:rPr>
      </w:pPr>
    </w:p>
    <w:p w14:paraId="2F89AE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 мая 1945 года ЦК ВКП(б) и СНК СССР приняли Постановление № 1167-278с «О достройке Московского завода малолитражных автомобилей» (МЗМА). Возрождаемое предприятие в очередной раз поменяло своё наименование и объект производства. На правительственном уровне было принято решение за прототип будущей малолитражки взять автомобиль Опель-Кадет К-38, имевший более прогрессивную конструкцию, чем устаревший КИМ-10 (в частности, несущий кузов без отдельной рамы, гидравлический привод тормозов вместо механического и оригинальную независимую подвеску передних колес вместо зависимой у КИМ-10). При этом руководство страны рассчитывало по максимуму использовать трофейные техдокументацию, оснастку и оборудование, которые предполагалось вывезти по репарации из американской оккупационной зоны Германии, где располагался производивший эти автомобили завод Опеля. С этой целью уже в начале июня того же 1945 года Управлением Автопрома в Германию была командирована большая группа специалистов МЗМА (46 человек). 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4FE58374" w14:textId="77777777" w:rsidR="00665165" w:rsidRPr="00F90EAE" w:rsidRDefault="00665165" w:rsidP="00F90EAE">
      <w:pPr>
        <w:autoSpaceDE w:val="0"/>
        <w:autoSpaceDN w:val="0"/>
        <w:adjustRightInd w:val="0"/>
        <w:jc w:val="both"/>
        <w:rPr>
          <w:color w:val="000000" w:themeColor="text1"/>
          <w:sz w:val="16"/>
          <w:szCs w:val="16"/>
        </w:rPr>
      </w:pPr>
    </w:p>
    <w:p w14:paraId="32F0D53B" w14:textId="77777777" w:rsidR="0038610C" w:rsidRPr="00F90EAE" w:rsidRDefault="0038610C"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5C30F4F9" w14:textId="77777777" w:rsidR="0038610C" w:rsidRPr="00F90EAE" w:rsidRDefault="0038610C" w:rsidP="00F90EAE">
      <w:pPr>
        <w:autoSpaceDE w:val="0"/>
        <w:autoSpaceDN w:val="0"/>
        <w:adjustRightInd w:val="0"/>
        <w:jc w:val="both"/>
        <w:rPr>
          <w:iCs/>
          <w:color w:val="000000" w:themeColor="text1"/>
          <w:sz w:val="16"/>
          <w:szCs w:val="16"/>
        </w:rPr>
      </w:pPr>
    </w:p>
    <w:p w14:paraId="5D32EBAB" w14:textId="77777777" w:rsidR="0038610C" w:rsidRPr="00F90EAE" w:rsidRDefault="0038610C" w:rsidP="00F90EAE">
      <w:pPr>
        <w:jc w:val="both"/>
        <w:rPr>
          <w:color w:val="000000" w:themeColor="text1"/>
          <w:sz w:val="16"/>
          <w:szCs w:val="16"/>
        </w:rPr>
      </w:pPr>
      <w:r w:rsidRPr="00F90EAE">
        <w:rPr>
          <w:color w:val="000000" w:themeColor="text1"/>
          <w:sz w:val="16"/>
          <w:szCs w:val="16"/>
        </w:rPr>
        <w:t>24 мая 1945. В Георгиевском зале Большого Кремлевского дворца состоялся прием командующих соединениями Советской Армии. Сталин поднял тост "за здоровье нашего советского народа и, прежде всего, русского народа... Я пью, прежде всего, за здоровье русского народа потому, что он является наиболее выдающейся нацией ив всех наций, входящих в состав Советского Союза. Я поднимаю тост за здоровье русского народа потому, что он заслужил в этой войне общее признание, как руководящей силы Советского Союза среди всех народов нашей страны. Я поднимаю тост за здоровье русского народа не только потому, что он - руководящий народ, но и потому, что у него имеется ясный ум, стойкий характер и терпение" (18688).</w:t>
      </w:r>
    </w:p>
    <w:p w14:paraId="0587D897" w14:textId="77777777" w:rsidR="0038610C" w:rsidRPr="00F90EAE" w:rsidRDefault="0038610C" w:rsidP="00F90EAE">
      <w:pPr>
        <w:jc w:val="both"/>
        <w:rPr>
          <w:color w:val="000000" w:themeColor="text1"/>
          <w:sz w:val="16"/>
          <w:szCs w:val="16"/>
        </w:rPr>
      </w:pPr>
    </w:p>
    <w:p w14:paraId="478CC7A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ED57291" w14:textId="77777777" w:rsidR="00665165" w:rsidRPr="00F90EAE" w:rsidRDefault="00665165" w:rsidP="00F90EAE">
      <w:pPr>
        <w:autoSpaceDE w:val="0"/>
        <w:autoSpaceDN w:val="0"/>
        <w:adjustRightInd w:val="0"/>
        <w:jc w:val="both"/>
        <w:rPr>
          <w:iCs/>
          <w:color w:val="000000" w:themeColor="text1"/>
          <w:sz w:val="16"/>
          <w:szCs w:val="16"/>
        </w:rPr>
      </w:pPr>
    </w:p>
    <w:p w14:paraId="5D99176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мая 1945 покончил с собой немецкий фельдмаршал Риттер фон Грейм, командующий Люфтваффе в последние дни войны (4962).</w:t>
      </w:r>
    </w:p>
    <w:p w14:paraId="552334C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2AC0A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24–25 мая 1945 началась операция «Кикусуй-7». В ней было задействовано 65 морских и 100 армейских самолетов, а также 150 истребителей прикрытия. Среди самолетов-камикадзе были и бомбардировщики-носители реактивных снарядов Ока. Особенностью этой операции было то, что ее решили провести ночью. Цели предполагалось освещать посадочными фарами.</w:t>
      </w:r>
    </w:p>
    <w:p w14:paraId="5D0BC1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ночь на 25 мая японские самолеты, пытавшиеся атаковать якорную стоянку, были встречены стеной огня. Тем не менее три корабля было потоплено, пять из-за повреждений исключено из списков и один вышел из строя на срок более месяца.</w:t>
      </w:r>
    </w:p>
    <w:p w14:paraId="2706D3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 американских моряков погибли, 60 пропали без вести, 183 получили ранения. Полной неудачей закончился вылет 12 бомбардировщиков Бетти с самолетами Ока: три самолета пропали без вести, а остальные вернулись, так и не найдя цели из-за плотной облачности.</w:t>
      </w:r>
    </w:p>
    <w:p w14:paraId="4BE021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проведении операции «Кикусуй-8» впервые отказались от привлечения корпуса «Боги грома». Их берегли для защиты Японских островов. Эта операция оказалась последней, в которой участвовало более ста самолетов.</w:t>
      </w:r>
    </w:p>
    <w:p w14:paraId="707299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Операции «Кикусуй» и другие самоубийственные атаки летчиков японской армии детально описаны в книге Ю. Иванова «Камикадзе: пилоты-смертники». На обложке книги на переднем плане изображен самолет-снаряд Ока, атакующий американский авианосец.</w:t>
      </w:r>
    </w:p>
    <w:p w14:paraId="7770C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боях за Окинаву из 74 бомб, покидавших базу, 56 были либо сброшены не на цель, либо сбиты вместе с носителями (Хорикоши Д., Окумия М., Кайдин М. Японская авиация во Второй мировой войне. М.: АСТ, 2001.). Самолеты-снаряды Ока наносили американским кораблям серьезные повреждения, одно их появление в воздухе уже оказывало самое негативное влияние на дух американцев. Тем не менее даже если бы боевое применение самолетов-снарядов состоялось намного раньше апреля 1945 г., то это все равно бы не спасло Японию от поражения.</w:t>
      </w:r>
    </w:p>
    <w:p w14:paraId="3D6FE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продвижение американских ВМС к метрополии, японцы продолжали совершенствование самолета-снаряда. Вариант Окамодель 43 Оцу («модель 43В») предназначался для защиты побережья в случае высадки противника на Японские острова. Окамодель 43B была похожа на «модель 43А». Самолетснаряд предполагалось запускать из пещер с помощью катапульты. Интересно, что по замыслу Окамодель 43 Оцу мог летать как в качестве легкого истребителя, так и в качестве человекоуправляемой бомбы. Для этого планировалось установить на Ока две 30-миллиметровые пушки «тип 5» (Иванов Ю.Г. Камикадзе: пилоты-смертники. Смоленск: Русич, 2001.) (по другим данным (Хорикоши Д., Окумия М., Кайдин М. Японская авиация во Второй мировой войне. М.: АСТ, 2001.) – одну 20-мм пушку). Кроме того, Окамодель 43 Оцу снабжалась катапультируемым креслом и посадочной лыжей. После запуска с катапульты Окамодель 43B для достижения максимальной скоpости могла сбpасывать законцовки кpыльев. Конструкторам морской авиационной исследовательской лаборатории и специалистам фирмы «Аити» японским командованием было объявлено, что этот самолет станет ключевым оружием в сражении за Японские острова и принесет империи победу.</w:t>
      </w:r>
    </w:p>
    <w:p w14:paraId="0909EE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Боевое применение такого самолета-снаряда мыслилось следующим образом: его прототипы рассредоточиваются по пещерам вдоль всего побережья. Когда противник, думая, что уничтожены все японские самолеты, начинает высадку десанта, самолеты Окамодель 43 Оцу одновременно запускаются с катапульт, чтобы похоронить врага в морской могиле. Проект, однако, не был реализован, хотя к концу войны первый образец боевой «модели 43B» был уже в сборке.</w:t>
      </w:r>
    </w:p>
    <w:p w14:paraId="5D177F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Японцы успели собрать два экземпляра двухместного учебного варианта Окамодель 43 – К1 Кай Вакадзакура («Свежая вишня»). Эта модель имела закрылки и выпускающиеся лыжные шасси для посадки. Hа них боевая часть заменялась второй кабиной. Для получения пpостейших навыков мотоpного полета в хвостовой части монтировался один pакетный ускоpитель «тип 4 маpка 1 модель 20».</w:t>
      </w:r>
    </w:p>
    <w:p w14:paraId="6979B0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Hа аpсенале в Гидзицусо было выпущено 45 учебно-тренировочных Ока К1 – без pакетных ускоpителей и с водяным балластом вместо взрывчатки. Эти самолеты использовались для подготовки молодых пилотов. Пеpед посадкой на подфюзеляжную лыжу сливался водяной балласт, что позволяло снизить посадочную скоpость до 220 км/ч (11686).</w:t>
      </w:r>
    </w:p>
    <w:p w14:paraId="7C82D65D" w14:textId="77777777" w:rsidR="00665165" w:rsidRPr="00F90EAE" w:rsidRDefault="00665165" w:rsidP="00F90EAE">
      <w:pPr>
        <w:autoSpaceDE w:val="0"/>
        <w:autoSpaceDN w:val="0"/>
        <w:adjustRightInd w:val="0"/>
        <w:jc w:val="both"/>
        <w:rPr>
          <w:color w:val="000000" w:themeColor="text1"/>
          <w:sz w:val="16"/>
          <w:szCs w:val="16"/>
        </w:rPr>
      </w:pPr>
    </w:p>
    <w:p w14:paraId="26175039" w14:textId="77777777" w:rsidR="00247854" w:rsidRPr="00F90EAE" w:rsidRDefault="00247854" w:rsidP="00F90EAE">
      <w:pPr>
        <w:jc w:val="both"/>
        <w:rPr>
          <w:color w:val="0070C0"/>
          <w:sz w:val="16"/>
          <w:szCs w:val="16"/>
        </w:rPr>
      </w:pPr>
      <w:r w:rsidRPr="00F90EAE">
        <w:rPr>
          <w:color w:val="0070C0"/>
          <w:sz w:val="16"/>
          <w:szCs w:val="16"/>
        </w:rPr>
        <w:t>24/25 мая (ночь) 1945 пять бомбардировщиков японской императорской армии Mitsubishi Ki-21 (союзники называют Салли), на борту которых находятся специальные воздушно-десантные войска Гирецу Кутейтай, совершают нападение террористов-смертников на аэродромы Кадена и Йонтан на Окинаве. Четыре из них сбиты, но пятые приземлился на основной взлетно - посадочной полосе в Yontan и выпустил десять giretsu, которые разрушают семь и повреждают 26 самолетов, взрывают два топливных склада и убивают два американца (20371).</w:t>
      </w:r>
    </w:p>
    <w:p w14:paraId="676D748B" w14:textId="77777777" w:rsidR="00247854" w:rsidRPr="00F90EAE" w:rsidRDefault="00247854" w:rsidP="00F90EAE">
      <w:pPr>
        <w:jc w:val="both"/>
        <w:rPr>
          <w:color w:val="0070C0"/>
          <w:sz w:val="16"/>
          <w:szCs w:val="16"/>
        </w:rPr>
      </w:pPr>
    </w:p>
    <w:p w14:paraId="2B53334B" w14:textId="77777777" w:rsidR="00247854" w:rsidRPr="00F90EAE" w:rsidRDefault="00247854" w:rsidP="00F90EAE">
      <w:pPr>
        <w:jc w:val="both"/>
        <w:rPr>
          <w:color w:val="0070C0"/>
          <w:sz w:val="16"/>
          <w:szCs w:val="16"/>
        </w:rPr>
      </w:pPr>
      <w:r w:rsidRPr="00F90EAE">
        <w:rPr>
          <w:color w:val="0070C0"/>
          <w:sz w:val="16"/>
          <w:szCs w:val="16"/>
        </w:rPr>
        <w:t>24–25 мая 1945 авианосцы Британского Тихоокеанского флота наносят последние удары в войне против Сакисима Гунто, где теперь выбиты все японские аэродромы (20371).</w:t>
      </w:r>
    </w:p>
    <w:p w14:paraId="31E38E6D" w14:textId="77777777" w:rsidR="00247854" w:rsidRPr="00F90EAE" w:rsidRDefault="00247854" w:rsidP="00F90EAE">
      <w:pPr>
        <w:jc w:val="both"/>
        <w:rPr>
          <w:color w:val="0070C0"/>
          <w:sz w:val="16"/>
          <w:szCs w:val="16"/>
        </w:rPr>
      </w:pPr>
    </w:p>
    <w:p w14:paraId="4266A3F2"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6AC65FC" w14:textId="77777777" w:rsidR="00665165" w:rsidRPr="00F90EAE" w:rsidRDefault="00665165" w:rsidP="00F90EAE">
      <w:pPr>
        <w:autoSpaceDE w:val="0"/>
        <w:autoSpaceDN w:val="0"/>
        <w:adjustRightInd w:val="0"/>
        <w:jc w:val="both"/>
        <w:rPr>
          <w:iCs/>
          <w:color w:val="000000" w:themeColor="text1"/>
          <w:sz w:val="16"/>
          <w:szCs w:val="16"/>
        </w:rPr>
      </w:pPr>
    </w:p>
    <w:p w14:paraId="4ED164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25 мая 1945 г. С. В. Ильюшин, направил командующему ВВС главному мар</w:t>
      </w:r>
      <w:r w:rsidRPr="00F90EAE">
        <w:rPr>
          <w:color w:val="000000" w:themeColor="text1"/>
          <w:sz w:val="16"/>
          <w:szCs w:val="16"/>
        </w:rPr>
        <w:softHyphen/>
        <w:t>шалу А. А. Новикову письмо, в кото</w:t>
      </w:r>
      <w:r w:rsidRPr="00F90EAE">
        <w:rPr>
          <w:color w:val="000000" w:themeColor="text1"/>
          <w:sz w:val="16"/>
          <w:szCs w:val="16"/>
        </w:rPr>
        <w:softHyphen/>
        <w:t>ром информировал его о заплани</w:t>
      </w:r>
      <w:r w:rsidRPr="00F90EAE">
        <w:rPr>
          <w:color w:val="000000" w:themeColor="text1"/>
          <w:sz w:val="16"/>
          <w:szCs w:val="16"/>
        </w:rPr>
        <w:softHyphen/>
        <w:t>рованном на 30 июня первом поле</w:t>
      </w:r>
      <w:r w:rsidRPr="00F90EAE">
        <w:rPr>
          <w:color w:val="000000" w:themeColor="text1"/>
          <w:sz w:val="16"/>
          <w:szCs w:val="16"/>
        </w:rPr>
        <w:softHyphen/>
        <w:t>те нового штурмовика Ил-16 с мо</w:t>
      </w:r>
      <w:r w:rsidRPr="00F90EAE">
        <w:rPr>
          <w:color w:val="000000" w:themeColor="text1"/>
          <w:sz w:val="16"/>
          <w:szCs w:val="16"/>
        </w:rPr>
        <w:softHyphen/>
        <w:t xml:space="preserve">тором АМ-43 и предлагал </w:t>
      </w:r>
      <w:r w:rsidRPr="00F90EAE">
        <w:rPr>
          <w:iCs/>
          <w:color w:val="000000" w:themeColor="text1"/>
          <w:sz w:val="16"/>
          <w:szCs w:val="16"/>
        </w:rPr>
        <w:t>"з-д № 30 ...ориентировать на серийную по</w:t>
      </w:r>
      <w:r w:rsidRPr="00F90EAE">
        <w:rPr>
          <w:iCs/>
          <w:color w:val="000000" w:themeColor="text1"/>
          <w:sz w:val="16"/>
          <w:szCs w:val="16"/>
        </w:rPr>
        <w:softHyphen/>
        <w:t>стройку этого самолета".</w:t>
      </w:r>
    </w:p>
    <w:p w14:paraId="51F7B843" w14:textId="77777777" w:rsidR="00665165" w:rsidRPr="00F90EAE" w:rsidRDefault="00665165" w:rsidP="00F90EAE">
      <w:pPr>
        <w:numPr>
          <w:ilvl w:val="12"/>
          <w:numId w:val="0"/>
        </w:numPr>
        <w:autoSpaceDE w:val="0"/>
        <w:autoSpaceDN w:val="0"/>
        <w:adjustRightInd w:val="0"/>
        <w:jc w:val="both"/>
        <w:rPr>
          <w:color w:val="000000" w:themeColor="text1"/>
          <w:sz w:val="16"/>
          <w:szCs w:val="16"/>
        </w:rPr>
      </w:pPr>
      <w:r w:rsidRPr="00F90EAE">
        <w:rPr>
          <w:color w:val="000000" w:themeColor="text1"/>
          <w:sz w:val="16"/>
          <w:szCs w:val="16"/>
        </w:rPr>
        <w:t>Военные отреагировали быстро и вполне адекватно. Главный инже</w:t>
      </w:r>
      <w:r w:rsidRPr="00F90EAE">
        <w:rPr>
          <w:color w:val="000000" w:themeColor="text1"/>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F90EAE">
        <w:rPr>
          <w:color w:val="000000" w:themeColor="text1"/>
          <w:sz w:val="16"/>
          <w:szCs w:val="16"/>
        </w:rPr>
        <w:softHyphen/>
        <w:t xml:space="preserve">ятельства, сопутствующие постройке Ил-16: </w:t>
      </w:r>
      <w:r w:rsidRPr="00F90EAE">
        <w:rPr>
          <w:iCs/>
          <w:color w:val="000000" w:themeColor="text1"/>
          <w:sz w:val="16"/>
          <w:szCs w:val="16"/>
        </w:rPr>
        <w:t>"...ЛТД ...являются проектны</w:t>
      </w:r>
      <w:r w:rsidRPr="00F90EAE">
        <w:rPr>
          <w:iCs/>
          <w:color w:val="000000" w:themeColor="text1"/>
          <w:sz w:val="16"/>
          <w:szCs w:val="16"/>
        </w:rPr>
        <w:softHyphen/>
        <w:t>ми. Эскизный проект и макет само</w:t>
      </w:r>
      <w:r w:rsidRPr="00F90EAE">
        <w:rPr>
          <w:iCs/>
          <w:color w:val="000000" w:themeColor="text1"/>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F90EAE">
        <w:rPr>
          <w:iCs/>
          <w:color w:val="000000" w:themeColor="text1"/>
          <w:sz w:val="16"/>
          <w:szCs w:val="16"/>
        </w:rPr>
        <w:softHyphen/>
        <w:t>пытаниях конструктивные недостатки однотипного самолета Ил-10. Основ</w:t>
      </w:r>
      <w:r w:rsidRPr="00F90EAE">
        <w:rPr>
          <w:iCs/>
          <w:color w:val="000000" w:themeColor="text1"/>
          <w:sz w:val="16"/>
          <w:szCs w:val="16"/>
        </w:rPr>
        <w:softHyphen/>
        <w:t>ными из этих оставшихся на самоле</w:t>
      </w:r>
      <w:r w:rsidRPr="00F90EAE">
        <w:rPr>
          <w:iCs/>
          <w:color w:val="000000" w:themeColor="text1"/>
          <w:sz w:val="16"/>
          <w:szCs w:val="16"/>
        </w:rPr>
        <w:softHyphen/>
        <w:t>те Ил-16, являются: расчет прочнос</w:t>
      </w:r>
      <w:r w:rsidRPr="00F90EAE">
        <w:rPr>
          <w:iCs/>
          <w:color w:val="000000" w:themeColor="text1"/>
          <w:sz w:val="16"/>
          <w:szCs w:val="16"/>
        </w:rPr>
        <w:softHyphen/>
        <w:t>ти самолета по классу "Б" (ограни</w:t>
      </w:r>
      <w:r w:rsidRPr="00F90EAE">
        <w:rPr>
          <w:iCs/>
          <w:color w:val="000000" w:themeColor="text1"/>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F90EAE">
        <w:rPr>
          <w:iCs/>
          <w:color w:val="000000" w:themeColor="text1"/>
          <w:sz w:val="16"/>
          <w:szCs w:val="16"/>
        </w:rPr>
        <w:softHyphen/>
        <w:t>нению с самолетов Ил-10; ...слож</w:t>
      </w:r>
      <w:r w:rsidRPr="00F90EAE">
        <w:rPr>
          <w:iCs/>
          <w:color w:val="000000" w:themeColor="text1"/>
          <w:sz w:val="16"/>
          <w:szCs w:val="16"/>
        </w:rPr>
        <w:softHyphen/>
        <w:t>ная и громоздкая система подвески наружных бомб; ...отсутствие систе</w:t>
      </w:r>
      <w:r w:rsidRPr="00F90EAE">
        <w:rPr>
          <w:iCs/>
          <w:color w:val="000000" w:themeColor="text1"/>
          <w:sz w:val="16"/>
          <w:szCs w:val="16"/>
        </w:rPr>
        <w:softHyphen/>
        <w:t xml:space="preserve">мы нейтральных газов и пылефильтров " </w:t>
      </w:r>
      <w:r w:rsidRPr="00F90EAE">
        <w:rPr>
          <w:color w:val="000000" w:themeColor="text1"/>
          <w:sz w:val="16"/>
          <w:szCs w:val="16"/>
        </w:rPr>
        <w:t>(11431).</w:t>
      </w:r>
    </w:p>
    <w:p w14:paraId="2764BA02" w14:textId="77777777" w:rsidR="00665165" w:rsidRPr="00F90EAE" w:rsidRDefault="00665165" w:rsidP="00F90EAE">
      <w:pPr>
        <w:numPr>
          <w:ilvl w:val="12"/>
          <w:numId w:val="0"/>
        </w:numPr>
        <w:autoSpaceDE w:val="0"/>
        <w:autoSpaceDN w:val="0"/>
        <w:adjustRightInd w:val="0"/>
        <w:jc w:val="both"/>
        <w:rPr>
          <w:color w:val="000000" w:themeColor="text1"/>
          <w:sz w:val="16"/>
          <w:szCs w:val="16"/>
        </w:rPr>
      </w:pPr>
    </w:p>
    <w:p w14:paraId="5E40A622"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25 мая 1945 года государственная комиссия от 2 ВА в заключении отчета констатировала: «1. По летно -тактическим данным самолет Ил-10 с мотором АМ-42 является вполне современным бронированным штурмовиком, обладающим явным преимуществом в сравнении с самолетом Ил-2 с мотором АМ-38ф/.. ./3. При устранении отмеченных конструктивных и производственных недостатков самолет Ил-10 с АМ-42 будет более прост в эксплуатации и явится более эффективным вооружением штурмовых частей ВВС Красной Армии».</w:t>
      </w:r>
    </w:p>
    <w:p w14:paraId="71324429"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Составленное отдельно заключение ГК НИИ ВВС по результатам войсковых испытаний самолета Ил-10 с АМ-42 главный инженер ВВС КА генерал-полковник А. К. Репин подписал 20 июня.</w:t>
      </w:r>
    </w:p>
    <w:p w14:paraId="306DC29F"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Согласно рассылке, отчет и заключение были направлены: командующему ВВС КА главному маршалу авиации А. А. Новикову, наркому авиапромышленности А. И. Шахурину, в УК ЦК ВКП(б) генерал-полковнику Н С. Шиманову, начальнику ГУЗ ВВС генерал-лейтенанту Н. П. Селезневу, начальнику УТЭ ГУ ИАС ВВС генерал-лейтенанту Ф. Н. Шульговскому, С. В. Ильюшину, начальнику 1-го ГУ НКАП, директорам заводов 1, 18 и 24, а также старшим военпредам на этих заводах.</w:t>
      </w:r>
    </w:p>
    <w:p w14:paraId="7DD00CA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К сожалению, ряд вопросов боевого применения самолета Ил-10 в материалах отчета по войсковым испытаниям отражены не были, в том числе не дана оценка реальной боевой эффективности «десятки» в сравнении с самолетом Ил-2. Между тем простейший анализ показывает, что Ил-10 все же не в полной мере отвечал требованиям войны и кардинально проблему повышения боевой эффективности штурмовой авиации ВВС КА в то время не решил.</w:t>
      </w:r>
    </w:p>
    <w:p w14:paraId="31813F2D"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Действительно, при одинаковом стрелково -пушечном вооружении Ил-10 заметно уступал Ил-2 по весу бомбовой нагрузки при загрузке самолета бомбами наиболее ходовых калибров - АО-2,5, АО-25, ПТАБ-2,5-1,5 и ФАБ-50. Тогда как именно количество сброшенных бомб при прочих равных условиях определяет величину вероятности попадания по цели (поражения цели). Нормальная бомбовая нагрузка в 400 кг на Ил-10 обеспечивалась лишь при подвеске четырех бомб ФАБ-100 и АО-2,5 сч. При использовании других калибров «десятка» оказывалась недогруженной до нормального варианта.</w:t>
      </w:r>
    </w:p>
    <w:p w14:paraId="46616E4D"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Соответственно, по средней бомбовой нагрузке, приходящейся на один боевой вылет по опыту боев апреля - мая 1945 года, Ил-2 превзошел Ил-10 - 400 кг против 304 кг.</w:t>
      </w:r>
    </w:p>
    <w:p w14:paraId="22D1485B"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Прицельный комплект Ил-10 фактически ничем не отличался от такового на Ил-2. На «десятке» имелись все тот же оптический стрелковый прицел ПБП-1б, разметка и визирные штыри на бронекапоте и крыле, метки и прицельные линии на лобовом и боковых бронестеклах фонаря кабины, а также временной механизм штурмовика ВМШ-10.</w:t>
      </w:r>
    </w:p>
    <w:p w14:paraId="51D1905E"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Обзор летчику вперед-вниз оказался даже меньше, чем на Ил-2 - 7° против 8°. Обзор назад и вовсе отсутствовал (летчики предлагали «в бронеспинке сделать проставки из прозрачного бронестекла по типу самолета Ил-2»).</w:t>
      </w:r>
    </w:p>
    <w:p w14:paraId="6F9C40A9"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По мнению фронтовиков-летчиков, временным механизмом штурмовика ВМШ-10 на Ил-10 пользоваться в бою было так же невозможно, как и ВМШ-2 на самолете Ил-2.</w:t>
      </w:r>
    </w:p>
    <w:p w14:paraId="58697D6B"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Основные методы бомбометания в боевых условиях на самолете Ил-10 были приняты те же, что и для самолета Ил -2, с той лишь разницей, что улучшилась маневренность самолета, возросли рабочие углы пикирования - до 50°, скорость ввода в пикирование - 350 км/ч и вывода из пикирования - 500-600 км/ч.</w:t>
      </w:r>
    </w:p>
    <w:p w14:paraId="61FD4C9C"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К числу серьезных недостатков Ил-10 летный состав относил сильную вибрацию прицела ПБП-1б в полете, что ухудшает «точность прицельной стрельбы».</w:t>
      </w:r>
    </w:p>
    <w:p w14:paraId="4D70D53D"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 то же время прицеливаться при атаке на самолете Ил-10 было легче, чем на Ил-2. Однако излишняя путевая устойчивость Ил-10 при пикировании усложняла введение поправок в прицеливание при стрельбе. Летчики жаловались, что «довороты, даже незначительные, необходимо делать заваливанием самолета в крен». Это приводило к затратам времени на устранение последующего скольжения самолета. К тому же «управление на скоростях более 400 км/ч становится тяжелым, особенно управление элеронами».</w:t>
      </w:r>
    </w:p>
    <w:p w14:paraId="7CB15375"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Пневмоэлектрическое управление огнем из пушек и пулеметов на Ил-10 оценивалось положительно: «исключительно удобное, облегчает работу летчика и сделано удачно».</w:t>
      </w:r>
    </w:p>
    <w:p w14:paraId="39DBA897"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Средний расход боекомплекта к пушкам и пулеметам в одном боевом вылете у Ил-2 в 2-3 раза был выше, чем у самолетов Ил-10.</w:t>
      </w:r>
    </w:p>
    <w:p w14:paraId="3ADF70B6"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Этот результат объясняется меньшей скоростью при пикировании Ил-2 в сравнении с Ил-10, что позволяло летчику «двойки» в одном заходе совершенно свободно отстрелять из пушек и пулеметов две прицельные очереди продолжительностью 1-2 секунды. Тогда как летчик «десятки» за один заход прицельно успевал отстрелять только одну очередь.</w:t>
      </w:r>
    </w:p>
    <w:p w14:paraId="28F3D76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К тому же на Ил-2 стояли четыре ракетных орудия РО-82, а это также повышало боевые возможности самолета.</w:t>
      </w:r>
    </w:p>
    <w:p w14:paraId="2D9A4EE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Безвозвратные боевые потери 571-го шап, 118-го и 108-го гшап, по официальным данным, составили 12 самолетов Ил-10, погибли 5 летчиков и 8 воздушных стрелков. Небоевые потери составили 11 самолетов. Налет на одну боевую потерю «десятки» составил 85 самолето -вылетов.</w:t>
      </w:r>
    </w:p>
    <w:p w14:paraId="13D0A86A"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Оказывается, что по всем этим показателям самолет Ил-2 в апреле - мае 1945 года оказался даже несколько лучше самолета Ил-10. Налет на одну безвозвратную потерю Ил-2 в среднем достигал 90 боевых вылетов.</w:t>
      </w:r>
    </w:p>
    <w:p w14:paraId="46D9B776"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 xml:space="preserve">Инженеры полков отмечали, что, несмотря на цельнометаллическую конструкцию, Ил-10 «держал удар» хуже, чем Ил-2. Виной тому примененный на Ил-10 скоростной профиль крыла типа </w:t>
      </w:r>
      <w:r w:rsidRPr="00F90EAE">
        <w:rPr>
          <w:rStyle w:val="107"/>
          <w:rFonts w:eastAsiaTheme="minorHAnsi"/>
          <w:color w:val="000000" w:themeColor="text1"/>
          <w:sz w:val="16"/>
          <w:szCs w:val="16"/>
          <w:lang w:val="en-US"/>
        </w:rPr>
        <w:t>NACA</w:t>
      </w:r>
      <w:r w:rsidRPr="00F90EAE">
        <w:rPr>
          <w:rStyle w:val="107"/>
          <w:rFonts w:eastAsiaTheme="minorHAnsi"/>
          <w:color w:val="000000" w:themeColor="text1"/>
          <w:sz w:val="16"/>
          <w:szCs w:val="16"/>
        </w:rPr>
        <w:t xml:space="preserve">. Даже при небольших повреждениях крыла «десятка» теряла управляемость, и на вынужденных посадках самолеты бились. Здесь следует напомнить, что Ил-10 изначально создавался как бронированный истребитель и только затем по инициативе С. В. Ильюшина был переделан в двухместный штурмовик. В то же время крыло «чистого» штурмовика Ил-2, где использовался профиль </w:t>
      </w:r>
      <w:r w:rsidRPr="00F90EAE">
        <w:rPr>
          <w:rStyle w:val="107"/>
          <w:rFonts w:eastAsiaTheme="minorHAnsi"/>
          <w:color w:val="000000" w:themeColor="text1"/>
          <w:sz w:val="16"/>
          <w:szCs w:val="16"/>
          <w:lang w:val="en-US"/>
        </w:rPr>
        <w:t>Clark</w:t>
      </w:r>
      <w:r w:rsidRPr="00F90EAE">
        <w:rPr>
          <w:rStyle w:val="107"/>
          <w:rFonts w:eastAsiaTheme="minorHAnsi"/>
          <w:color w:val="000000" w:themeColor="text1"/>
          <w:sz w:val="16"/>
          <w:szCs w:val="16"/>
        </w:rPr>
        <w:t>-</w:t>
      </w:r>
      <w:r w:rsidRPr="00F90EAE">
        <w:rPr>
          <w:rStyle w:val="107"/>
          <w:rFonts w:eastAsiaTheme="minorHAnsi"/>
          <w:color w:val="000000" w:themeColor="text1"/>
          <w:sz w:val="16"/>
          <w:szCs w:val="16"/>
          <w:lang w:val="en-US"/>
        </w:rPr>
        <w:t>YH</w:t>
      </w:r>
      <w:r w:rsidRPr="00F90EAE">
        <w:rPr>
          <w:rStyle w:val="107"/>
          <w:rFonts w:eastAsiaTheme="minorHAnsi"/>
          <w:color w:val="000000" w:themeColor="text1"/>
          <w:sz w:val="16"/>
          <w:szCs w:val="16"/>
        </w:rPr>
        <w:t>, не теряло несущих свойств при значительном разрушении обшивки. Как следствие, процент списанных Ил-10, поврежденных в бою и совершивших вынужденные посадки, был в 2-2,5 раза выше, чем самолетов Ил-2.</w:t>
      </w:r>
    </w:p>
    <w:p w14:paraId="295FF24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 отличие от «десятки» на Ил-2 имелась надежно работающая система заполнения бензобаков нейтральным газом.</w:t>
      </w:r>
    </w:p>
    <w:p w14:paraId="60DD468F"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При оценке боевой живучести необходимо учитывать ограниченность статистики боевых действий Ил-10 в сравнении с Ил-2. Например, налет на одну боевую потерю в 571 шап достигал 207 вылетов, тогда как в 108 гшап - 75, а в 118 гшап - всего 20 боевых вылетов. Это говорит о том, что летный состав 571 шап сумел более полно использовать высокую маневренность Ил-10 в сравнении с экипажами 108 и 118 гшап.</w:t>
      </w:r>
    </w:p>
    <w:p w14:paraId="23E8B677" w14:textId="77777777" w:rsidR="003605FA" w:rsidRPr="00F90EAE" w:rsidRDefault="003605FA"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Самолет Ил-2 уступал Ил-10 только в подвижности над полем боя. На высоте 1000 м «десятка» превосходила «двойку» по скорости горизонтального полета в 1,3 раза, по диапазону рабочих скоростей - более чем в 1,4 раза, по вертикальной скорости - в 1,4-1,7 раза, по величине маневренной перегрузки - на 11,5 %</w:t>
      </w:r>
    </w:p>
    <w:p w14:paraId="31ACB6E4"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Как отмечали боевые летчики, «вследствие легкости управления и повышенной скорости легко замыкается круг, эффективно выполняется противозенитный маневр». Маневрирование одиночными самолетами выполнялось одновременно и по высоте, и по курсу, применялись боевые развороты, змейка, уход от цели на бреющем полете и т. д. Особенно был выгоден маневр по высоте ввиду высокой вертикальной скорости Ил-10. За один боевой разворот Ил-10 с боевой нагрузкой набирал до 600-800 м высоты. После пикирования (и сброса бомб) Ил-10 мог легко «производить вертикальную горку и резкие эволюции, делающие его похожим на истребителя». В отличие от самолета Ил-2, «при заваливании на спину Ил-10 легко выходит в нормальный полет». При плавном выводе из пикирования даже под углом 45-50° большой просадки не дает. При выполнении экипажами противозенитного маневра разрывы наблюдались позади группы, так как немецкие зенитные расчеты ориентировались на летные данные Ил-2.</w:t>
      </w:r>
    </w:p>
    <w:p w14:paraId="49F1237E"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Повышенное значение маневренной перегрузки в сочетании с высокой вертикальной скоростью позволяло летчикам Ил-10 более энергично и за меньшее время выполнять боевые развороты и проходить участок ввода самолета в пикирование. Благодаря этому пространственный размах круга, например, эскадрильи Ил-10 при атаке цели с пикирования под углом 35-40° находился в пределах 2500-2700 км (дальность до цели в точке 3-го разворота), что было сравнимо с Ил-2. Одновременно с этим затруднялось ведение прицельного огня зенитными расчетами противника.</w:t>
      </w:r>
    </w:p>
    <w:p w14:paraId="42EB6A5F"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Высокая вертикальная маневренность Ил-10 позволяла штурмовикам при полете к цели и обратно эшелонировать боевой порядок групп (четверок или шестерок) по высоте. В этом случае «превышение двух эшелонов позволяет пикированием догнать и отбить атаку противника на первую группу сзади снизу, в то время как стрелки первой группы своим огнем имеют возможность отбить атаки истребителей, атакующих замыкающих снизу-сзади».</w:t>
      </w:r>
    </w:p>
    <w:p w14:paraId="5C5C90EE"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При появлении истребителей противника экипажи Ил-10 становились в оборонительный круг. Атаки пилотов люфтваффе отражались ведомыми, которые энергично отворачивали в сторону истребителей, обстреливали их и затем легко занимали свое место в круге за счет «запаса скорости, маневренности и легкости в управлении».</w:t>
      </w:r>
    </w:p>
    <w:p w14:paraId="6630F32B"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 отчетных документах указывалось, что Ил-10 более скоростной и маневренный, чем Ил-2, поэтому борьбу с истребителями противника вести легче.</w:t>
      </w:r>
    </w:p>
    <w:p w14:paraId="7EEDAA5C"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 то же время, несмотря на высокую маневренность Ил-10, полет на больших скоростях при построении круга приводил к большому радиусу. По этой причине «группа из 6 самолетов Ил-10 плохо замыкает круг, а лучшей группой для работы в круге является группа 8-10 самолетов Ил-10».</w:t>
      </w:r>
    </w:p>
    <w:p w14:paraId="7EAD8148"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Между тем возросшие скорости полета и боевого маневрирования Ил-10 затрудняли ориентировку при полете по маршруту, поиск целей на поле боя и визирование цели при атаке.</w:t>
      </w:r>
    </w:p>
    <w:p w14:paraId="61459CB8"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lastRenderedPageBreak/>
        <w:t>Из-за недостаточного обзора летчику вперед и вниз ведущий группы Ил-10 при подходе к цели, как правило, оставлял цель слева от себя, «визируя» ее с доворотом на 90° и последующим пикированием под углом 30-40°.</w:t>
      </w:r>
    </w:p>
    <w:p w14:paraId="469A1888"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Летный состав констатировал, что «самолет Ил-10 при пикировании не терпит резкостей в выводе, не допускает перегрузки 5,5 единицы».</w:t>
      </w:r>
    </w:p>
    <w:p w14:paraId="20AC0382"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По общему мнению, для успешного боевого применения и эксплуатации Ил-10 требуется только хорошая и отличная подготовка летного состава в технике пилотирования самолетом, а также отличные знания материальной части. При этом летчики особо отмечали, что «десятка» «совершенно не терпит летного состава, недостаточно оттренированного во взлете и посадке»: «Самолет требует исключительно низкого истребительного подхода, а на взлете в первой половине разбега имеет тенденцию к рысканию, в большинстве случаев с отклонением вправо./. ../Самолет требует исключительного внимания, так как рулит неустойчиво. При невнимательном или неграмотном действии возможно вращение на 360°, и неоднократно».</w:t>
      </w:r>
    </w:p>
    <w:p w14:paraId="020F4D80"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Тенденция к развороту вправо обуславливалась сильным реактивным моментом вращающегося винта и узкой колеей шасси. Последнее в совокупности с недостаточным обзором вперед приводило к тому, что даже летчик с хорошей техникой пилотирования не всегда мог выдержать направление взлета, особенно с сильным боковым ветром. Чтобы взлететь при сильном боковом ветре, опытные летчики зачастую сознательно шли на нарушение инструкции: для парирования разворота самолета вследствие сильного ветра кратковременно нажимали на тормоз. «Молодые» же подобных вольностей позволить себе не могли - в результате их разворачивало поперек полосы, и они прекращали взлет. С подобной особенностью Ил-10 столкнулись абсолютно во всех штурмовых авиаполках.</w:t>
      </w:r>
    </w:p>
    <w:p w14:paraId="201CCE9D"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Именно по этой причине лейтенант Г. А. Веселов из 571 шап 15 апреля разбил свой самолет при взлете на боевое задание.</w:t>
      </w:r>
    </w:p>
    <w:p w14:paraId="0C2F2FD6"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25 апреля на взлете потерпел аварию командир звена 108 гшап лейтенант Е. А. Молтаков. В начале разбега самолет развернулся вправо на 7-8°, своевременно парировать разворот летчик не смог. Самолет, выйдя с укатанной полосы правым колесом, развернулся вправо еще больше. Однако Молтаков взлет не прекратил, «дал форсаж и подорвал машину». Самолет свалился на правое крыло и скапотировал. Экипаж получил ранения и отправлен в госпиталь, а Ил-10 зав. N° 103051 - списан.</w:t>
      </w:r>
    </w:p>
    <w:p w14:paraId="094AE436"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При вылете на боевое задание 12 экипажей 118 гшап 8 мая из -за сильного бокового ветра взлететь смогли только шестерка Верещинского и пара из состава шестерки капитана Свищева - сам Свищев и помощник командира полка по воздушно-стрелковой службе майор Шагинов. Остальные прервали взлет и на боевое задание не пошли.</w:t>
      </w:r>
    </w:p>
    <w:p w14:paraId="19219953"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Что касается вопросов эксплуатации Ил-10, то выявилось весьма много конструктивных дефектов. При этом ряд из них были очень и очень серьезными. Об этом говорилось выше. Конечно, это все были «детские болезни» Ил -10, как у всякого нового самолета. Здесь следует учитывать, что Ил-2 «стоял» в массовом производстве уже четыре года, соответственно его конструкция и технология изготовления были вполне доведены.</w:t>
      </w:r>
    </w:p>
    <w:p w14:paraId="3903D759"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Разумеется, при обработке статистики военного времени необходимо делать скидку на недостаточное освоение Ил-10 как летно-техническим составом, так и серийными заводами. Однако можно сделать вывод, что при переходе от Ил-2 к Ил-10 отечественная авиация выбрала «количество за счет качества». То есть в серию запустили не самый эффективный в боевом отношении самолет, а самый удобный с точки зрения быстроты налаживания массового выпуска, хотя развитие самолета штурмового типа в сторону повышения подвижности, а не пассивного наращивания брони, в целом было правильным (17490).</w:t>
      </w:r>
    </w:p>
    <w:p w14:paraId="63695522" w14:textId="77777777" w:rsidR="003605FA" w:rsidRPr="00F90EAE" w:rsidRDefault="003605FA" w:rsidP="00F90EAE">
      <w:pPr>
        <w:jc w:val="both"/>
        <w:rPr>
          <w:rStyle w:val="107"/>
          <w:rFonts w:eastAsiaTheme="minorHAnsi"/>
          <w:color w:val="000000" w:themeColor="text1"/>
          <w:sz w:val="16"/>
          <w:szCs w:val="16"/>
        </w:rPr>
      </w:pPr>
    </w:p>
    <w:p w14:paraId="5AF3F774" w14:textId="77777777" w:rsidR="007E3239" w:rsidRPr="00F90EAE" w:rsidRDefault="007E3239" w:rsidP="00F90EAE">
      <w:pPr>
        <w:pStyle w:val="a3"/>
        <w:rPr>
          <w:color w:val="000000" w:themeColor="text1"/>
          <w:lang w:val="ru-RU"/>
        </w:rPr>
      </w:pPr>
      <w:r w:rsidRPr="00F90EAE">
        <w:rPr>
          <w:color w:val="000000" w:themeColor="text1"/>
          <w:lang w:val="ru-RU"/>
        </w:rPr>
        <w:t>25 мая 1945 письмом Ильюшин ин</w:t>
      </w:r>
      <w:r w:rsidRPr="00F90EAE">
        <w:rPr>
          <w:color w:val="000000" w:themeColor="text1"/>
          <w:lang w:val="ru-RU"/>
        </w:rPr>
        <w:softHyphen/>
        <w:t>формировал командующего ВВС главного маршала А.А. Новикова о запланированном на 10 июня первом полёте нового штурмовика Ил-16 с мотором АМ-43 и предлагал «з-д</w:t>
      </w:r>
      <w:r w:rsidRPr="00F90EAE">
        <w:rPr>
          <w:rStyle w:val="164"/>
          <w:rFonts w:ascii="Times New Roman" w:hAnsi="Times New Roman" w:cs="Times New Roman"/>
          <w:i w:val="0"/>
          <w:color w:val="000000" w:themeColor="text1"/>
          <w:sz w:val="16"/>
          <w:szCs w:val="16"/>
          <w:lang w:val="ru-RU"/>
        </w:rPr>
        <w:t xml:space="preserve"> № 30 /.../ ориентировать на серийную постройку этого самолёта».</w:t>
      </w:r>
    </w:p>
    <w:p w14:paraId="5C6911E1" w14:textId="77777777" w:rsidR="007E3239" w:rsidRPr="00F90EAE" w:rsidRDefault="007E3239"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140"/>
          <w:rFonts w:ascii="Times New Roman" w:eastAsia="Arial Unicode MS" w:hAnsi="Times New Roman" w:cs="Times New Roman"/>
          <w:i w:val="0"/>
          <w:iCs w:val="0"/>
          <w:color w:val="000000" w:themeColor="text1"/>
        </w:rPr>
        <w:t>Главный инженер ВВС генерал-полковник Репин в докладе Новикову по этому вопросу отме</w:t>
      </w:r>
      <w:r w:rsidRPr="00F90EAE">
        <w:rPr>
          <w:rStyle w:val="2140"/>
          <w:rFonts w:ascii="Times New Roman" w:eastAsia="Arial Unicode MS" w:hAnsi="Times New Roman" w:cs="Times New Roman"/>
          <w:i w:val="0"/>
          <w:iCs w:val="0"/>
          <w:color w:val="000000" w:themeColor="text1"/>
        </w:rPr>
        <w:softHyphen/>
        <w:t>чал: «...</w:t>
      </w:r>
      <w:r w:rsidRPr="00F90EAE">
        <w:rPr>
          <w:rFonts w:ascii="Times New Roman" w:hAnsi="Times New Roman" w:cs="Times New Roman"/>
          <w:i w:val="0"/>
          <w:color w:val="000000" w:themeColor="text1"/>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F90EAE">
        <w:rPr>
          <w:rStyle w:val="2140"/>
          <w:rFonts w:ascii="Times New Roman" w:eastAsia="Arial Unicode MS" w:hAnsi="Times New Roman" w:cs="Times New Roman"/>
          <w:i w:val="0"/>
          <w:iCs w:val="0"/>
          <w:color w:val="000000" w:themeColor="text1"/>
        </w:rPr>
        <w:t xml:space="preserve"> являются:</w:t>
      </w:r>
      <w:r w:rsidRPr="00F90EAE">
        <w:rPr>
          <w:rFonts w:ascii="Times New Roman" w:hAnsi="Times New Roman" w:cs="Times New Roman"/>
          <w:i w:val="0"/>
          <w:color w:val="000000" w:themeColor="text1"/>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F90EAE">
        <w:rPr>
          <w:rStyle w:val="2140"/>
          <w:rFonts w:ascii="Times New Roman" w:eastAsia="Arial Unicode MS" w:hAnsi="Times New Roman" w:cs="Times New Roman"/>
          <w:i w:val="0"/>
          <w:iCs w:val="0"/>
          <w:color w:val="000000" w:themeColor="text1"/>
        </w:rPr>
        <w:t xml:space="preserve"> с</w:t>
      </w:r>
      <w:r w:rsidRPr="00F90EAE">
        <w:rPr>
          <w:rFonts w:ascii="Times New Roman" w:hAnsi="Times New Roman" w:cs="Times New Roman"/>
          <w:i w:val="0"/>
          <w:color w:val="000000" w:themeColor="text1"/>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F90EAE">
        <w:rPr>
          <w:rFonts w:ascii="Times New Roman" w:hAnsi="Times New Roman" w:cs="Times New Roman"/>
          <w:i w:val="0"/>
          <w:color w:val="000000" w:themeColor="text1"/>
          <w:sz w:val="16"/>
          <w:szCs w:val="16"/>
        </w:rPr>
        <w:softHyphen/>
        <w:t>мы нейтральных газов и пылефильтров».</w:t>
      </w:r>
    </w:p>
    <w:p w14:paraId="45DFBE6D" w14:textId="77777777" w:rsidR="007E3239" w:rsidRPr="00F90EAE" w:rsidRDefault="007E3239" w:rsidP="00F90EAE">
      <w:pPr>
        <w:pStyle w:val="a3"/>
        <w:rPr>
          <w:rStyle w:val="164"/>
          <w:rFonts w:ascii="Times New Roman" w:hAnsi="Times New Roman" w:cs="Times New Roman"/>
          <w:i w:val="0"/>
          <w:color w:val="000000" w:themeColor="text1"/>
          <w:sz w:val="16"/>
          <w:szCs w:val="16"/>
          <w:lang w:val="ru-RU"/>
        </w:rPr>
      </w:pPr>
      <w:r w:rsidRPr="00F90EAE">
        <w:rPr>
          <w:color w:val="000000" w:themeColor="text1"/>
          <w:lang w:val="ru-RU"/>
        </w:rPr>
        <w:t>Командующему ВВС главному маршалу А.А. Новикову пришлось пояснять главному кон</w:t>
      </w:r>
      <w:r w:rsidRPr="00F90EAE">
        <w:rPr>
          <w:color w:val="000000" w:themeColor="text1"/>
          <w:lang w:val="ru-RU"/>
        </w:rPr>
        <w:softHyphen/>
        <w:t>структору, что «до</w:t>
      </w:r>
      <w:r w:rsidRPr="00F90EAE">
        <w:rPr>
          <w:rStyle w:val="164"/>
          <w:rFonts w:ascii="Times New Roman" w:hAnsi="Times New Roman" w:cs="Times New Roman"/>
          <w:i w:val="0"/>
          <w:color w:val="000000" w:themeColor="text1"/>
          <w:sz w:val="16"/>
          <w:szCs w:val="16"/>
          <w:lang w:val="ru-RU"/>
        </w:rPr>
        <w:t xml:space="preserve"> запуска в серию Ил-16 с М-43 должен пройти Госиспытания».</w:t>
      </w:r>
    </w:p>
    <w:p w14:paraId="339945B2" w14:textId="77777777" w:rsidR="007E3239" w:rsidRPr="00F90EAE" w:rsidRDefault="007E3239" w:rsidP="00F90EAE">
      <w:pPr>
        <w:pStyle w:val="a3"/>
        <w:rPr>
          <w:rStyle w:val="164"/>
          <w:rFonts w:ascii="Times New Roman" w:hAnsi="Times New Roman" w:cs="Times New Roman"/>
          <w:i w:val="0"/>
          <w:color w:val="000000" w:themeColor="text1"/>
          <w:sz w:val="16"/>
          <w:szCs w:val="16"/>
          <w:lang w:val="ru-RU"/>
        </w:rPr>
      </w:pPr>
      <w:r w:rsidRPr="00F90EAE">
        <w:rPr>
          <w:color w:val="000000" w:themeColor="text1"/>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F90EAE">
        <w:rPr>
          <w:rStyle w:val="164"/>
          <w:rFonts w:ascii="Times New Roman" w:hAnsi="Times New Roman" w:cs="Times New Roman"/>
          <w:i w:val="0"/>
          <w:color w:val="000000" w:themeColor="text1"/>
          <w:sz w:val="16"/>
          <w:szCs w:val="16"/>
          <w:lang w:val="ru-RU"/>
        </w:rPr>
        <w:t xml:space="preserve"> (15978).</w:t>
      </w:r>
    </w:p>
    <w:p w14:paraId="1A139F4C" w14:textId="77777777" w:rsidR="007E3239" w:rsidRPr="00F90EAE" w:rsidRDefault="007E3239" w:rsidP="00F90EAE">
      <w:pPr>
        <w:pStyle w:val="a3"/>
        <w:rPr>
          <w:color w:val="000000" w:themeColor="text1"/>
          <w:lang w:val="ru-RU"/>
        </w:rPr>
      </w:pPr>
    </w:p>
    <w:p w14:paraId="7DD2F415"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25 мая 1945 г., практически сразу же после отрицатель</w:t>
      </w:r>
      <w:r w:rsidRPr="00F90EAE">
        <w:rPr>
          <w:rFonts w:ascii="Times New Roman" w:hAnsi="Times New Roman" w:cs="Times New Roman"/>
          <w:color w:val="000000" w:themeColor="text1"/>
          <w:sz w:val="16"/>
          <w:szCs w:val="16"/>
        </w:rPr>
        <w:softHyphen/>
        <w:t>ного заключения по самолету Ил-8 АМ- 42, С.В. Ильюшин направил командую</w:t>
      </w:r>
      <w:r w:rsidRPr="00F90EAE">
        <w:rPr>
          <w:rFonts w:ascii="Times New Roman" w:hAnsi="Times New Roman" w:cs="Times New Roman"/>
          <w:color w:val="000000" w:themeColor="text1"/>
          <w:sz w:val="16"/>
          <w:szCs w:val="16"/>
        </w:rPr>
        <w:softHyphen/>
        <w:t>щему ВВС главному маршалу А.А. Нови</w:t>
      </w:r>
      <w:r w:rsidRPr="00F90EAE">
        <w:rPr>
          <w:rFonts w:ascii="Times New Roman" w:hAnsi="Times New Roman" w:cs="Times New Roman"/>
          <w:color w:val="000000" w:themeColor="text1"/>
          <w:sz w:val="16"/>
          <w:szCs w:val="16"/>
        </w:rPr>
        <w:softHyphen/>
        <w:t>кову письмо, в котором предлагал «з-д №30 /.../ ориентировать на серийную постройку» самолета Ил-16 АМ-43.</w:t>
      </w:r>
    </w:p>
    <w:p w14:paraId="20EAC2C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Мотив такого шага был понятен. За</w:t>
      </w:r>
      <w:r w:rsidRPr="00F90EAE">
        <w:rPr>
          <w:rFonts w:ascii="Times New Roman" w:hAnsi="Times New Roman" w:cs="Times New Roman"/>
          <w:color w:val="000000" w:themeColor="text1"/>
          <w:sz w:val="16"/>
          <w:szCs w:val="16"/>
        </w:rPr>
        <w:softHyphen/>
        <w:t>вод №30 прекращал серийное произ</w:t>
      </w:r>
      <w:r w:rsidRPr="00F90EAE">
        <w:rPr>
          <w:rFonts w:ascii="Times New Roman" w:hAnsi="Times New Roman" w:cs="Times New Roman"/>
          <w:color w:val="000000" w:themeColor="text1"/>
          <w:sz w:val="16"/>
          <w:szCs w:val="16"/>
        </w:rPr>
        <w:softHyphen/>
        <w:t>водство устаревших штурмовиков Ил-2 и обсуждался вопрос о загрузке его са</w:t>
      </w:r>
      <w:r w:rsidRPr="00F90EAE">
        <w:rPr>
          <w:rFonts w:ascii="Times New Roman" w:hAnsi="Times New Roman" w:cs="Times New Roman"/>
          <w:color w:val="000000" w:themeColor="text1"/>
          <w:sz w:val="16"/>
          <w:szCs w:val="16"/>
        </w:rPr>
        <w:softHyphen/>
        <w:t>молетами других ОКБ. Но такого разви</w:t>
      </w:r>
      <w:r w:rsidRPr="00F90EAE">
        <w:rPr>
          <w:rFonts w:ascii="Times New Roman" w:hAnsi="Times New Roman" w:cs="Times New Roman"/>
          <w:color w:val="000000" w:themeColor="text1"/>
          <w:sz w:val="16"/>
          <w:szCs w:val="16"/>
        </w:rPr>
        <w:softHyphen/>
        <w:t>тия событий допустить было нельзя.</w:t>
      </w:r>
    </w:p>
    <w:p w14:paraId="693F8E48"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Военные отреагировали быстро и вполне адекватно. Главный инженер ВВС КА генерал-полковник А.К. Репин, давая А.А. Новикову пояснения по данному во</w:t>
      </w:r>
      <w:r w:rsidRPr="00F90EAE">
        <w:rPr>
          <w:rFonts w:ascii="Times New Roman" w:hAnsi="Times New Roman" w:cs="Times New Roman"/>
          <w:color w:val="000000" w:themeColor="text1"/>
          <w:sz w:val="16"/>
          <w:szCs w:val="16"/>
        </w:rPr>
        <w:softHyphen/>
        <w:t>просу, обратил внимание командующе</w:t>
      </w:r>
      <w:r w:rsidRPr="00F90EAE">
        <w:rPr>
          <w:rFonts w:ascii="Times New Roman" w:hAnsi="Times New Roman" w:cs="Times New Roman"/>
          <w:color w:val="000000" w:themeColor="text1"/>
          <w:sz w:val="16"/>
          <w:szCs w:val="16"/>
        </w:rPr>
        <w:softHyphen/>
        <w:t>го на следующие обстоятельства, сопут</w:t>
      </w:r>
      <w:r w:rsidRPr="00F90EAE">
        <w:rPr>
          <w:rFonts w:ascii="Times New Roman" w:hAnsi="Times New Roman" w:cs="Times New Roman"/>
          <w:color w:val="000000" w:themeColor="text1"/>
          <w:sz w:val="16"/>
          <w:szCs w:val="16"/>
        </w:rPr>
        <w:softHyphen/>
        <w:t>ствующие постройке Ил-16: «...ЛТД/.../ являются проектными. При получении этих данных Ил-16 по сравнению с са</w:t>
      </w:r>
      <w:r w:rsidRPr="00F90EAE">
        <w:rPr>
          <w:rFonts w:ascii="Times New Roman" w:hAnsi="Times New Roman" w:cs="Times New Roman"/>
          <w:color w:val="000000" w:themeColor="text1"/>
          <w:sz w:val="16"/>
          <w:szCs w:val="16"/>
        </w:rPr>
        <w:softHyphen/>
        <w:t>молетом Ил-10 будет иметь преимуще</w:t>
      </w:r>
      <w:r w:rsidRPr="00F90EAE">
        <w:rPr>
          <w:rFonts w:ascii="Times New Roman" w:hAnsi="Times New Roman" w:cs="Times New Roman"/>
          <w:color w:val="000000" w:themeColor="text1"/>
          <w:sz w:val="16"/>
          <w:szCs w:val="16"/>
        </w:rPr>
        <w:softHyphen/>
        <w:t xml:space="preserve">ство по максимальной скорости у земли на 53 км/ч, на границе высотности - 74 км/ч. /.../ Эскизный проект и макет самолета на заключение в ГК НИИ ВВС не представлялся, самолет строится без </w:t>
      </w:r>
      <w:r w:rsidRPr="00F90EAE">
        <w:rPr>
          <w:rFonts w:ascii="Times New Roman" w:hAnsi="Times New Roman" w:cs="Times New Roman"/>
          <w:color w:val="000000" w:themeColor="text1"/>
          <w:sz w:val="16"/>
          <w:szCs w:val="16"/>
          <w:lang w:val="en-US"/>
        </w:rPr>
        <w:t>TTT</w:t>
      </w:r>
      <w:r w:rsidRPr="00F90EAE">
        <w:rPr>
          <w:rFonts w:ascii="Times New Roman" w:hAnsi="Times New Roman" w:cs="Times New Roman"/>
          <w:color w:val="000000" w:themeColor="text1"/>
          <w:sz w:val="16"/>
          <w:szCs w:val="16"/>
        </w:rPr>
        <w:t>. При постройке самолета не учтены выявленные при войсковых испытаниях конструктивные недостатки однотипно</w:t>
      </w:r>
      <w:r w:rsidRPr="00F90EAE">
        <w:rPr>
          <w:rFonts w:ascii="Times New Roman" w:hAnsi="Times New Roman" w:cs="Times New Roman"/>
          <w:color w:val="000000" w:themeColor="text1"/>
          <w:sz w:val="16"/>
          <w:szCs w:val="16"/>
        </w:rPr>
        <w:softHyphen/>
        <w:t>го самолета Ил-10. Основными из этих недостатков, оставшихся на самолете Ил-16, являются: расчет прочности са</w:t>
      </w:r>
      <w:r w:rsidRPr="00F90EAE">
        <w:rPr>
          <w:rFonts w:ascii="Times New Roman" w:hAnsi="Times New Roman" w:cs="Times New Roman"/>
          <w:color w:val="000000" w:themeColor="text1"/>
          <w:sz w:val="16"/>
          <w:szCs w:val="16"/>
        </w:rPr>
        <w:softHyphen/>
        <w:t>молета по классу «Б» (ограниченно ма</w:t>
      </w:r>
      <w:r w:rsidRPr="00F90EAE">
        <w:rPr>
          <w:rFonts w:ascii="Times New Roman" w:hAnsi="Times New Roman" w:cs="Times New Roman"/>
          <w:color w:val="000000" w:themeColor="text1"/>
          <w:sz w:val="16"/>
          <w:szCs w:val="16"/>
        </w:rPr>
        <w:softHyphen/>
        <w:t>невренные самолеты), в то время как он должен быть отнесен к классу «А» (ма</w:t>
      </w:r>
      <w:r w:rsidRPr="00F90EAE">
        <w:rPr>
          <w:rFonts w:ascii="Times New Roman" w:hAnsi="Times New Roman" w:cs="Times New Roman"/>
          <w:color w:val="000000" w:themeColor="text1"/>
          <w:sz w:val="16"/>
          <w:szCs w:val="16"/>
        </w:rPr>
        <w:softHyphen/>
        <w:t>невренные самолеты); ослабление бро</w:t>
      </w:r>
      <w:r w:rsidRPr="00F90EAE">
        <w:rPr>
          <w:rFonts w:ascii="Times New Roman" w:hAnsi="Times New Roman" w:cs="Times New Roman"/>
          <w:color w:val="000000" w:themeColor="text1"/>
          <w:sz w:val="16"/>
          <w:szCs w:val="16"/>
        </w:rPr>
        <w:softHyphen/>
        <w:t>нирования по сравнению с самолетом Ил-10 (вес брони снизился на 230 кг); сложная и громоздкая система подве</w:t>
      </w:r>
      <w:r w:rsidRPr="00F90EAE">
        <w:rPr>
          <w:rFonts w:ascii="Times New Roman" w:hAnsi="Times New Roman" w:cs="Times New Roman"/>
          <w:color w:val="000000" w:themeColor="text1"/>
          <w:sz w:val="16"/>
          <w:szCs w:val="16"/>
        </w:rPr>
        <w:softHyphen/>
        <w:t>ски наружных бомб; /.../ отсутствие си</w:t>
      </w:r>
      <w:r w:rsidRPr="00F90EAE">
        <w:rPr>
          <w:rFonts w:ascii="Times New Roman" w:hAnsi="Times New Roman" w:cs="Times New Roman"/>
          <w:color w:val="000000" w:themeColor="text1"/>
          <w:sz w:val="16"/>
          <w:szCs w:val="16"/>
        </w:rPr>
        <w:softHyphen/>
        <w:t>стемы нейтральных газов и пылефиль- тров».</w:t>
      </w:r>
    </w:p>
    <w:p w14:paraId="46424443"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Командующий ВВС маршал А.А. Но</w:t>
      </w:r>
      <w:r w:rsidRPr="00F90EAE">
        <w:rPr>
          <w:rFonts w:ascii="Times New Roman" w:hAnsi="Times New Roman" w:cs="Times New Roman"/>
          <w:color w:val="000000" w:themeColor="text1"/>
          <w:sz w:val="16"/>
          <w:szCs w:val="16"/>
        </w:rPr>
        <w:softHyphen/>
        <w:t>виков в своем ответе вежливо пояснил Главному конструктору, что «до запуска в серию Ил-16 с М-43 должен пройти Госиспытания».</w:t>
      </w:r>
    </w:p>
    <w:p w14:paraId="77418B9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Ильюшин был вынужден официаль</w:t>
      </w:r>
      <w:r w:rsidRPr="00F90EAE">
        <w:rPr>
          <w:rFonts w:ascii="Times New Roman" w:hAnsi="Times New Roman" w:cs="Times New Roman"/>
          <w:color w:val="000000" w:themeColor="text1"/>
          <w:sz w:val="16"/>
          <w:szCs w:val="16"/>
        </w:rPr>
        <w:softHyphen/>
        <w:t>но снять свое предложение о запуске в серийное производство Ил-16 на заво</w:t>
      </w:r>
      <w:r w:rsidRPr="00F90EAE">
        <w:rPr>
          <w:rFonts w:ascii="Times New Roman" w:hAnsi="Times New Roman" w:cs="Times New Roman"/>
          <w:color w:val="000000" w:themeColor="text1"/>
          <w:sz w:val="16"/>
          <w:szCs w:val="16"/>
        </w:rPr>
        <w:softHyphen/>
        <w:t>де №30 (17469).</w:t>
      </w:r>
    </w:p>
    <w:p w14:paraId="2895041C"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7CB8182"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25 мая 1945 года, практически сразу же после отрицательного заключения по самолету Ил-8 АМ-42, С. В. Ильюшин направил командующему ВВС главному маршалу А. А. Новикову письмо, в котором предлагал «з-д № 30/... /ориентировать на серийную постройку» самолета Ил-16 АМ-43.</w:t>
      </w:r>
    </w:p>
    <w:p w14:paraId="5534422D"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Мотив такого шага был понятен. Завод № 30 прекращал серийное производство устаревших штурмовиков Ил-2, и обсуждался вопрос о загрузке его самолетами других ОКБ. Но такого развития событий допустить было нельзя.</w:t>
      </w:r>
    </w:p>
    <w:p w14:paraId="50DB8C31"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Военные отреагировали быстро и вполне адекватно. Главный инженер ВВС КА генерал-полковник А. К. Репин, давая А. А. Новикову пояснения по данному вопросу, обратил внимание командующего на следующие обстоятельства, сопутствующие постройке Ил-16: «... ЛТД/.../являются проектными. При получении этих данных Ил-16 по сравнению с самолетом Ил-10 будет иметь преимущество по максимальной скорости у земли на 53 км/ч, на границе высотности - 74 км/ч./. ../Эскизный проект и макет самолета на заключение в ГК НИИ ВВС не представлялся, самолет строится без ТТТ. При постройке самолета не учтены выявленные при войсковых испытаниях конструктивные недостатки однотипного самолета Ил-10. Основными из этих недостатков, оставшихся на самолете Ил-16, являются: расчет прочности самолета по классу «Б» (ограниченно маневренные самолеты), в то время как он должен быть отнесен к классу «А» (маневренные самолеты); ослабление бронирования по сравнению с самолетом</w:t>
      </w:r>
    </w:p>
    <w:p w14:paraId="119E1775"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Ил-10 (вес брони снизился на 230 кг); сложная и громоздкая система подвески наружных бомб;/.../отсутствие системы нейтральных газов и пылефильтров».</w:t>
      </w:r>
    </w:p>
    <w:p w14:paraId="78F6AD4E"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Командующий ВВС главный маршал А. А. Новиков в своем ответе вежливо пояснил главному конструктору, что «до запуска в серию Ил-16 с М-43 должен пройти госиспытания».</w:t>
      </w:r>
    </w:p>
    <w:p w14:paraId="2A638651" w14:textId="77777777" w:rsidR="003605FA" w:rsidRPr="00F90EAE" w:rsidRDefault="003605FA" w:rsidP="00F90EAE">
      <w:pPr>
        <w:jc w:val="both"/>
        <w:rPr>
          <w:color w:val="000000" w:themeColor="text1"/>
          <w:sz w:val="16"/>
          <w:szCs w:val="16"/>
        </w:rPr>
      </w:pPr>
      <w:r w:rsidRPr="00F90EAE">
        <w:rPr>
          <w:rStyle w:val="107"/>
          <w:rFonts w:eastAsiaTheme="minorHAnsi"/>
          <w:color w:val="000000" w:themeColor="text1"/>
          <w:sz w:val="16"/>
          <w:szCs w:val="16"/>
        </w:rPr>
        <w:t>Ильюшин был вынужден официально снять свое предложение о запуске в серийное производство Ил-16 на заводе № 30 (17490).</w:t>
      </w:r>
    </w:p>
    <w:p w14:paraId="4724AA5E" w14:textId="77777777" w:rsidR="003605FA" w:rsidRPr="00F90EAE" w:rsidRDefault="003605FA" w:rsidP="00F90EAE">
      <w:pPr>
        <w:jc w:val="both"/>
        <w:rPr>
          <w:rStyle w:val="107"/>
          <w:rFonts w:eastAsiaTheme="minorHAnsi"/>
          <w:color w:val="000000" w:themeColor="text1"/>
          <w:sz w:val="16"/>
          <w:szCs w:val="16"/>
        </w:rPr>
      </w:pPr>
    </w:p>
    <w:p w14:paraId="64A8A2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года в письме авиаконструктора В. М. Мясищева наркому авиапромышленности А.И.Шхурину первый раз в документах НКАП появилось упоминание о копировании В-29. В нем, в частности, говорилось: "Вся работа но выпуску чертежей (В-29) может быть выполнена ОКБ тов. Незваля, серийно-конструкторским отделом и частью конструкторов нашею ОКБ, находящегося на 22-м заводе, освобожденными от работы но серийному Пе-2". В этом же письме рекомендовалось использовать отечественные моторы АШ-72 и пушки Б-20 вместо американских пулеметов (3457,120).</w:t>
      </w:r>
    </w:p>
    <w:p w14:paraId="347F4294" w14:textId="77777777" w:rsidR="00665165" w:rsidRPr="00F90EAE" w:rsidRDefault="00665165" w:rsidP="00F90EAE">
      <w:pPr>
        <w:autoSpaceDE w:val="0"/>
        <w:autoSpaceDN w:val="0"/>
        <w:adjustRightInd w:val="0"/>
        <w:jc w:val="both"/>
        <w:rPr>
          <w:color w:val="000000" w:themeColor="text1"/>
          <w:sz w:val="16"/>
          <w:szCs w:val="16"/>
        </w:rPr>
      </w:pPr>
    </w:p>
    <w:p w14:paraId="1129F1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мая 1945, т.е. на следующий день после письма Туполе</w:t>
      </w:r>
      <w:r w:rsidRPr="00F90EAE">
        <w:rPr>
          <w:color w:val="000000" w:themeColor="text1"/>
          <w:sz w:val="16"/>
          <w:szCs w:val="16"/>
        </w:rPr>
        <w:softHyphen/>
        <w:t>ва, В.М. Мясищева сообщает А.И. Шахурину:</w:t>
      </w:r>
    </w:p>
    <w:p w14:paraId="112264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«Вся работа по выпуску чертежей (самолета В-29. — Прим, авт.) может быть выполнена ОКБ тов. Незваля, се</w:t>
      </w:r>
      <w:r w:rsidRPr="00F90EAE">
        <w:rPr>
          <w:color w:val="000000" w:themeColor="text1"/>
          <w:sz w:val="16"/>
          <w:szCs w:val="16"/>
        </w:rPr>
        <w:softHyphen/>
        <w:t>рийно-конструкторским отделом и частью конструкторов нашего ОКБ, находящимися на 22-м заводе, освобожден</w:t>
      </w:r>
      <w:r w:rsidRPr="00F90EAE">
        <w:rPr>
          <w:color w:val="000000" w:themeColor="text1"/>
          <w:sz w:val="16"/>
          <w:szCs w:val="16"/>
        </w:rPr>
        <w:softHyphen/>
        <w:t>ными от работы по серийному Пе-2».</w:t>
      </w:r>
    </w:p>
    <w:p w14:paraId="6F8150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этого, ОКБ-482 рекомендовало установить на будущий Б-4 отечественные двигатели АШ-72 и пушки Б-20 (11446).</w:t>
      </w:r>
    </w:p>
    <w:p w14:paraId="4EEA00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2101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25 мая 1945 В.М.М. писал письмо НКАП А.И.Ш. с предложением скопировать В-29. "Вся работа по выпуску чертежей может быть выполнена ОКБ Незваля, серийно-конструкторским отделом и частью конструкторов нашего ОКБ, находящейся на заводе 22, освобожденными от работы по серийному Пе-2." Рекомендовал использовать АШ-72 и Б-20 вместо американских (2645,25).</w:t>
      </w:r>
    </w:p>
    <w:p w14:paraId="3EE7F47D" w14:textId="77777777" w:rsidR="00665165" w:rsidRPr="00F90EAE" w:rsidRDefault="00665165" w:rsidP="00F90EAE">
      <w:pPr>
        <w:autoSpaceDE w:val="0"/>
        <w:autoSpaceDN w:val="0"/>
        <w:adjustRightInd w:val="0"/>
        <w:jc w:val="both"/>
        <w:rPr>
          <w:color w:val="000000" w:themeColor="text1"/>
          <w:sz w:val="16"/>
          <w:szCs w:val="16"/>
        </w:rPr>
      </w:pPr>
    </w:p>
    <w:p w14:paraId="639B2911"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25 мая 1945, на сле</w:t>
      </w:r>
      <w:r w:rsidRPr="00F90EAE">
        <w:rPr>
          <w:color w:val="000000" w:themeColor="text1"/>
          <w:sz w:val="16"/>
          <w:szCs w:val="16"/>
        </w:rPr>
        <w:softHyphen/>
        <w:t>дующий день после доклада ТуполеваВ.М. Мясишева сообщает на</w:t>
      </w:r>
      <w:r w:rsidRPr="00F90EAE">
        <w:rPr>
          <w:color w:val="000000" w:themeColor="text1"/>
          <w:sz w:val="16"/>
          <w:szCs w:val="16"/>
        </w:rPr>
        <w:softHyphen/>
        <w:t>ркому А.И. Шахурину:</w:t>
      </w:r>
    </w:p>
    <w:p w14:paraId="528350DC"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r w:rsidRPr="00F90EAE">
        <w:rPr>
          <w:rStyle w:val="aff6"/>
          <w:rFonts w:ascii="Times New Roman" w:hAnsi="Times New Roman" w:cs="Times New Roman"/>
          <w:i w:val="0"/>
          <w:color w:val="000000" w:themeColor="text1"/>
        </w:rPr>
        <w:t>«Вся работа по выпуску чертежей (самоле</w:t>
      </w:r>
      <w:r w:rsidRPr="00F90EAE">
        <w:rPr>
          <w:rStyle w:val="aff6"/>
          <w:rFonts w:ascii="Times New Roman" w:hAnsi="Times New Roman" w:cs="Times New Roman"/>
          <w:i w:val="0"/>
          <w:color w:val="000000" w:themeColor="text1"/>
        </w:rPr>
        <w:softHyphen/>
        <w:t>та В-29) может быть выполне</w:t>
      </w:r>
      <w:r w:rsidRPr="00F90EAE">
        <w:rPr>
          <w:rStyle w:val="aff6"/>
          <w:rFonts w:ascii="Times New Roman" w:hAnsi="Times New Roman" w:cs="Times New Roman"/>
          <w:i w:val="0"/>
          <w:color w:val="000000" w:themeColor="text1"/>
        </w:rPr>
        <w:softHyphen/>
        <w:t>на ОКБ тов. Незваля, серийно-конструктор- ким отделом и частью конструкторов нашего ОКБ, находящимися на 22-м заводе, освобо</w:t>
      </w:r>
      <w:r w:rsidRPr="00F90EAE">
        <w:rPr>
          <w:rStyle w:val="aff6"/>
          <w:rFonts w:ascii="Times New Roman" w:hAnsi="Times New Roman" w:cs="Times New Roman"/>
          <w:i w:val="0"/>
          <w:color w:val="000000" w:themeColor="text1"/>
        </w:rPr>
        <w:softHyphen/>
        <w:t xml:space="preserve">жденными от работы по серийному Пе-2». </w:t>
      </w:r>
      <w:r w:rsidRPr="00F90EAE">
        <w:rPr>
          <w:color w:val="000000" w:themeColor="text1"/>
          <w:sz w:val="16"/>
          <w:szCs w:val="16"/>
        </w:rPr>
        <w:t>На будущем Б-4 конструкторы ОКБ-482 рекомендовали установить отечественные двигатели АШ-72 и пушки Б-20. Но уси</w:t>
      </w:r>
      <w:r w:rsidRPr="00F90EAE">
        <w:rPr>
          <w:color w:val="000000" w:themeColor="text1"/>
          <w:sz w:val="16"/>
          <w:szCs w:val="16"/>
        </w:rPr>
        <w:softHyphen/>
        <w:t>лия Мясишева оказались тщетны (12292).</w:t>
      </w:r>
    </w:p>
    <w:p w14:paraId="12C1E00A" w14:textId="77777777" w:rsidR="006979C2" w:rsidRPr="00F90EAE" w:rsidRDefault="006979C2" w:rsidP="00F90EAE">
      <w:pPr>
        <w:pStyle w:val="92"/>
        <w:shd w:val="clear" w:color="auto" w:fill="auto"/>
        <w:spacing w:after="0" w:line="240" w:lineRule="auto"/>
        <w:ind w:firstLine="0"/>
        <w:jc w:val="both"/>
        <w:rPr>
          <w:color w:val="000000" w:themeColor="text1"/>
          <w:sz w:val="16"/>
          <w:szCs w:val="16"/>
        </w:rPr>
      </w:pPr>
    </w:p>
    <w:p w14:paraId="32BCA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закончили строительство ДБ-108 с усиленным вооружением с ЛУ и УБ на шкворне (2471,42).</w:t>
      </w:r>
    </w:p>
    <w:p w14:paraId="0AE5427F" w14:textId="77777777" w:rsidR="00665165" w:rsidRPr="00F90EAE" w:rsidRDefault="00665165" w:rsidP="00F90EAE">
      <w:pPr>
        <w:autoSpaceDE w:val="0"/>
        <w:autoSpaceDN w:val="0"/>
        <w:adjustRightInd w:val="0"/>
        <w:jc w:val="both"/>
        <w:rPr>
          <w:color w:val="000000" w:themeColor="text1"/>
          <w:sz w:val="16"/>
          <w:szCs w:val="16"/>
        </w:rPr>
      </w:pPr>
    </w:p>
    <w:p w14:paraId="1834C7BF" w14:textId="77777777" w:rsidR="00BE2FB1" w:rsidRPr="00F90EAE" w:rsidRDefault="00BE2FB1" w:rsidP="00F90EAE">
      <w:pPr>
        <w:jc w:val="both"/>
        <w:rPr>
          <w:color w:val="000000" w:themeColor="text1"/>
          <w:sz w:val="16"/>
          <w:szCs w:val="16"/>
        </w:rPr>
      </w:pPr>
      <w:r w:rsidRPr="00F90EAE">
        <w:rPr>
          <w:bCs/>
          <w:color w:val="000000" w:themeColor="text1"/>
          <w:sz w:val="16"/>
          <w:szCs w:val="16"/>
        </w:rPr>
        <w:t>25 мая</w:t>
      </w:r>
      <w:r w:rsidRPr="00F90EAE">
        <w:rPr>
          <w:color w:val="000000" w:themeColor="text1"/>
          <w:sz w:val="16"/>
          <w:szCs w:val="16"/>
        </w:rPr>
        <w:t xml:space="preserve"> в 1945 году завершена постройка второго опытного </w:t>
      </w:r>
      <w:hyperlink r:id="rId125" w:tgtFrame="_blank" w:history="1">
        <w:r w:rsidRPr="00F90EAE">
          <w:rPr>
            <w:color w:val="000000" w:themeColor="text1"/>
            <w:sz w:val="16"/>
            <w:szCs w:val="16"/>
          </w:rPr>
          <w:t xml:space="preserve">«ДБ-108» </w:t>
        </w:r>
      </w:hyperlink>
      <w:r w:rsidRPr="00F90EAE">
        <w:rPr>
          <w:color w:val="000000" w:themeColor="text1"/>
          <w:sz w:val="16"/>
          <w:szCs w:val="16"/>
        </w:rPr>
        <w:t>с усиленным вариантом вооружения", дополнительно включавшим люковую пушечную установку и пулемет «УБТ» на шкворне у третьего члена экипажа - стрелка-радиста, во исполнение приказа НКАП № 42 от 5 февраля 1945 года (14902).</w:t>
      </w:r>
    </w:p>
    <w:p w14:paraId="3BDFBA69" w14:textId="77777777" w:rsidR="00BE2FB1" w:rsidRPr="00F90EAE" w:rsidRDefault="00BE2FB1" w:rsidP="00F90EAE">
      <w:pPr>
        <w:jc w:val="both"/>
        <w:rPr>
          <w:color w:val="000000" w:themeColor="text1"/>
          <w:sz w:val="16"/>
          <w:szCs w:val="16"/>
        </w:rPr>
      </w:pPr>
    </w:p>
    <w:p w14:paraId="10FF27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г. была завершена постройка второго экз. ДВБ-108. При всем несовершенстве сделанных на скорую руку новых подвижных установок их внедрение диктовалось жестокой необходимостью. Довести страдающую хроническими дефектами хвостовую ДЭУ по-прежнему не удавалось. Окончательно решить задачу создания дистанционно управляемой пушечной установки советская авиапромышленность сумела лишь спустя несколько лет, после ознакомления с трофейными немецкими разработками и подвижными башнями американского бомбардировщика В-29 (4476).</w:t>
      </w:r>
    </w:p>
    <w:p w14:paraId="27A240BD" w14:textId="77777777" w:rsidR="00665165" w:rsidRPr="00F90EAE" w:rsidRDefault="00665165" w:rsidP="00F90EAE">
      <w:pPr>
        <w:autoSpaceDE w:val="0"/>
        <w:autoSpaceDN w:val="0"/>
        <w:adjustRightInd w:val="0"/>
        <w:jc w:val="both"/>
        <w:rPr>
          <w:color w:val="000000" w:themeColor="text1"/>
          <w:sz w:val="16"/>
          <w:szCs w:val="16"/>
        </w:rPr>
      </w:pPr>
    </w:p>
    <w:p w14:paraId="169A5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г. была завершена постройка второго ДБ-108, построеннного в соответствии с приказот НКАП № 42 от 5 февраля 1945, в котором ставилась задача "оснастить второй опытный ДБ-108 усиленным вариантом вооружения", дополнительно включавшим люковую пушечную установку и пулемет УБТ на шкворне у третьего члена экипажа стрелка радиста. При всем несовершенстве сделанных на скорую руку новых подвижных установок их внедрение диктовалось крайней необходимостью. Довести страдающую хроническими дефектами хвостовую ДЭУ по-прежнему не удавалось.</w:t>
      </w:r>
    </w:p>
    <w:p w14:paraId="39E8A2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первых дней летных испытаний прототипа ДБ-108 стало очевидно, что новые моторы являются еще более "сырыми" и капризными, чем ВК-107А. Доводка машины оказалась исключительно сложным и опасным делом. В одном из испытательных полетов 5 июня 1945 г. произошла катастрофа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2CB6F9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029FF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4ED3AF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29F685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716809B8" w14:textId="77777777" w:rsidR="00665165" w:rsidRPr="00F90EAE" w:rsidRDefault="00665165" w:rsidP="00F90EAE">
      <w:pPr>
        <w:autoSpaceDE w:val="0"/>
        <w:autoSpaceDN w:val="0"/>
        <w:adjustRightInd w:val="0"/>
        <w:jc w:val="both"/>
        <w:rPr>
          <w:color w:val="000000" w:themeColor="text1"/>
          <w:sz w:val="16"/>
          <w:szCs w:val="16"/>
        </w:rPr>
      </w:pPr>
    </w:p>
    <w:p w14:paraId="3F49C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г. Решением ГОКО № 8004 от Ер-2 с производства был снят, однако продолжались работы над его VIР-вариантом - самолетом Ер-20Н, которые, учитывая его "особое" назначение, контролировались лично наркомом авиационной промышленности. Достаточно сказать, что ход строительства Ер-20Н дважды обсуждался на коллегии Наркомата - в октябре и ноябре 1945 г.</w:t>
      </w:r>
    </w:p>
    <w:p w14:paraId="0B827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Всего на 39-м авиазаводе с 1943 по 1945 гг. был построен 391 экземпляр Ер-2 (2 - в 1943 г., 148 - в 1944 г., 241 - в 1945 г.). В 1943 г. завод построил рекордное количество самолетов - 882!</w:t>
      </w:r>
    </w:p>
    <w:p w14:paraId="281C57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истории отечественной авиации Ер-2 остался как единственный полноценный дальний бомбардировщик с дизельными двигателями, который выпускался в СССР серийно и принимал активное участие в боевых действиях (12037).</w:t>
      </w:r>
    </w:p>
    <w:p w14:paraId="625A5FAD" w14:textId="77777777" w:rsidR="00665165" w:rsidRPr="00F90EAE" w:rsidRDefault="00665165" w:rsidP="00F90EAE">
      <w:pPr>
        <w:autoSpaceDE w:val="0"/>
        <w:autoSpaceDN w:val="0"/>
        <w:adjustRightInd w:val="0"/>
        <w:jc w:val="both"/>
        <w:rPr>
          <w:color w:val="000000" w:themeColor="text1"/>
          <w:sz w:val="16"/>
          <w:szCs w:val="16"/>
        </w:rPr>
      </w:pPr>
    </w:p>
    <w:p w14:paraId="401565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25 мая по 9 июля 1945 Ю.А.Антипов проводил гос. испытания Як-3 ВК107А цельнометаллического. Было 44 полета продолжительностью 25:50 и запустили в серию, но не очень удачно. И - И.А.Колосов, и по ВМГ А.И.Хвостовский, и по вооружению А.Г.Аронов, и по спецоборудованию А.И.Красовский, т В.Ф.Сбитнев. В облете приняли участие А.Г.Кочетков, А.Г.Прошаков, Г.А.Седов, В.Г.Иванов, А.А.Манучаров и др. Остались те же дефекты, что и на машине смешанной конструкции и дефекты ВМГ не позволяли полностью использовать боевой режим двигателя в полете. Хотели устранить до запуска в серию (65,195).</w:t>
      </w:r>
    </w:p>
    <w:p w14:paraId="0FEEA61E" w14:textId="77777777" w:rsidR="00665165" w:rsidRPr="00F90EAE" w:rsidRDefault="00665165" w:rsidP="00F90EAE">
      <w:pPr>
        <w:autoSpaceDE w:val="0"/>
        <w:autoSpaceDN w:val="0"/>
        <w:adjustRightInd w:val="0"/>
        <w:jc w:val="both"/>
        <w:rPr>
          <w:color w:val="000000" w:themeColor="text1"/>
          <w:sz w:val="16"/>
          <w:szCs w:val="16"/>
        </w:rPr>
      </w:pPr>
    </w:p>
    <w:p w14:paraId="5167750F" w14:textId="77777777" w:rsidR="007E3239" w:rsidRPr="00F90EAE" w:rsidRDefault="007E3239" w:rsidP="00F90EAE">
      <w:pPr>
        <w:jc w:val="both"/>
        <w:rPr>
          <w:color w:val="000000" w:themeColor="text1"/>
          <w:sz w:val="16"/>
          <w:szCs w:val="16"/>
        </w:rPr>
      </w:pPr>
      <w:r w:rsidRPr="00F90EAE">
        <w:rPr>
          <w:bCs/>
          <w:color w:val="000000" w:themeColor="text1"/>
          <w:sz w:val="16"/>
          <w:szCs w:val="16"/>
        </w:rPr>
        <w:t>25 мая</w:t>
      </w:r>
      <w:r w:rsidRPr="00F90EAE">
        <w:rPr>
          <w:color w:val="000000" w:themeColor="text1"/>
          <w:sz w:val="16"/>
          <w:szCs w:val="16"/>
        </w:rPr>
        <w:t xml:space="preserve"> в 1945 году в HИИ ВВС начались (по 9 июня) госиспытания цельнометаллического </w:t>
      </w:r>
      <w:hyperlink r:id="rId126" w:tgtFrame="_blank" w:history="1">
        <w:r w:rsidRPr="00F90EAE">
          <w:rPr>
            <w:color w:val="000000" w:themeColor="text1"/>
            <w:sz w:val="16"/>
            <w:szCs w:val="16"/>
          </w:rPr>
          <w:t xml:space="preserve">«Як-З» «ВК-107А». </w:t>
        </w:r>
      </w:hyperlink>
      <w:r w:rsidRPr="00F90EAE">
        <w:rPr>
          <w:color w:val="000000" w:themeColor="text1"/>
          <w:sz w:val="16"/>
          <w:szCs w:val="16"/>
        </w:rPr>
        <w:t>По результатам госиспытаний было сделано следующее заключение: максимальные скорости удовлетворяют постановлению ГКО; остались неустраненными дефекты, выявленные на опытном «Як-З» «ВК-107А». смешанной конструкции, прошедшем госиспытания в мае 1944 г.; дефекты ВМГ не позволяют полностью использовать боевой режим двигателя в полете. Предлагалось устранить конструктивные и производственные дефекты до запуска самолета в серию. В 1945 году заводом N31 было выпущено 40 и в 1946 году - 8 цельнометаллических «Як-З» «ВК-107А».. С IV квартала 1945 года по III квартал 1946 года завод занимался доработкой выпущенных "по сборке" этих 48 самолетов для сдачи их заказчику. Все работы по цельнометаллическому «Як-З» в конце 1946 г. были прекращены. Было решено двигатель «ВК-107А» ставить лишь на более приспособленный для этого «Як-9У» (14902).</w:t>
      </w:r>
    </w:p>
    <w:p w14:paraId="0902A814" w14:textId="77777777" w:rsidR="007E3239" w:rsidRPr="00F90EAE" w:rsidRDefault="007E3239" w:rsidP="00F90EAE">
      <w:pPr>
        <w:jc w:val="both"/>
        <w:rPr>
          <w:color w:val="000000" w:themeColor="text1"/>
          <w:sz w:val="16"/>
          <w:szCs w:val="16"/>
        </w:rPr>
      </w:pPr>
    </w:p>
    <w:p w14:paraId="45F6C2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г. на аэродроме «Чкаловская» закончились испытания облегченного варианта FW-190A-8 и  -самолета FW-190D-9 (11860), которые шли с 11 мая. FW-190D-9 отличался от своих предшественников, главным образом, винто-моторной группой. Вместо звездообразного двигателя воздушного охлаждения BMW-801 использовали V-образный Jumo-213A водяного охлаждения с непосредственным впрыском топлива и винтом изменяемого шага VS-111, лопасти которого были деревянными. На двигателе устанавливались автоматический двухскоростной приводной центробежный нагнетатель и устройство для впрыска водо-спир-товой смеси, увеличивавшее мощность в чрезвычайных случаях с 1900 до 2100 л.с. Управление силовой установкой происходило с помощью центрального поста, позволявшего перемещением рычага управления двигателем задавать эксплуатационные параметры мотора и винта в их оптимальном сочетании.</w:t>
      </w:r>
    </w:p>
    <w:p w14:paraId="269A6E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Горючее размещалось в трех про-тектированных бензобаках общей емкостью 642 литра. Предусматривалась возможность установки еще и подвесного бензобака на 300 литров.</w:t>
      </w:r>
    </w:p>
    <w:p w14:paraId="0D9BB4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Защитные мероприятия включали в себя наличие бронестекла толщиной 45 мм в передней части козырька фонаря кабины пилота, бронеза-головника толщиной 12 мм, восьмимиллиметровой бронеспинки и четырех 5-мм бронеплит за сиденьем пилота.</w:t>
      </w:r>
    </w:p>
    <w:p w14:paraId="2962D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самолета было таким же, как и на FW-190A-8. Оно состояло из двух синхронных пушек MG-151 калибра 20 мм и двух пулеметов MG-131 калибра 13 мм, общий боекомплект которых насчитывал 400 и 900 патронов соответственно. В отличие от советских истребителей синхронные пушки размещались в крыле, а пулеметы - над двигателями.</w:t>
      </w:r>
    </w:p>
    <w:p w14:paraId="4FDF3A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самолете имелась связная УКВ-радиостанция F и G - 16ZY и локационный ответчик «свой - чужой» F и G-25. Отличительной особенностью радиостанции было то, что ее приемник использовался в системе радиополукомпаса.</w:t>
      </w:r>
    </w:p>
    <w:p w14:paraId="41CC55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Для борьбы с обледенением стекла фонаря опрыскивались бензином, а на переднем и левом боковом стеклах имелись еще и электротермические устройства.</w:t>
      </w:r>
    </w:p>
    <w:p w14:paraId="5707F5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результате модернизации длина самолета FW-190А-9 возросла по сравнению с FW-190A-8 с 8,950 до 10,380 метра. Наибольший «вклад» в это внесла винтомоторная установка, удлинившая машину на 0,8 метра. Увеличились также длины хвостовой части фюзеляжа (на 0,5 м) и хорды вертикального оперения (на 0,130 м). Следует отметить, что применение нового двигателя не привело к значительным переделкам планера.</w:t>
      </w:r>
    </w:p>
    <w:p w14:paraId="675B67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государственных испытаний ведущими по машине были инженер В.О.Мельников и летчик В.Е.Голофастов. Облетали самолет А.Г.Кочетков, А.Г.Прошаков, В.И.Хомяков, Л.М.Кувшинов и В.Г.Масич.</w:t>
      </w:r>
    </w:p>
    <w:p w14:paraId="38A892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Летчики-испытатели ГК НИИ ВВС в своих отчетах отмечали, что:</w:t>
      </w:r>
    </w:p>
    <w:p w14:paraId="3600CA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«Кабина самолета ФВ-190Д-9 по оборудованию и расположению рычагов управления самолета и мотора аналогична кабине ФВ-190А-8…»</w:t>
      </w:r>
    </w:p>
    <w:p w14:paraId="575E70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Обзор передней полусферы хороший, обзор задней полусферы ограничен бронезаголовником.</w:t>
      </w:r>
    </w:p>
    <w:p w14:paraId="5D0BC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разбеге самолет имеет тенденцию к развороту влево, особенно при резкой даче газа и энергичном подъеме хвоста.</w:t>
      </w:r>
    </w:p>
    <w:p w14:paraId="27FB46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Вертикальная скорость самолета по сравнению с отечественными истребителями мала.</w:t>
      </w:r>
    </w:p>
    <w:p w14:paraId="6DC1F6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сравнению с ФВ-190А-8 управление самолета стало более тяжелым.</w:t>
      </w:r>
    </w:p>
    <w:p w14:paraId="451518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Отсутствие регулируемых в полете триммеров на рулях управления значительно затрудняет пилотирование самолета. На малых скоростях машина имеет тенденцию к крену и развороту влево, а на больших скоростях (свыше 450 км/ч) - вправо.</w:t>
      </w:r>
    </w:p>
    <w:p w14:paraId="5561F0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Пилотаж на самолете выполняется нормально: исключение составляют виражи. На виражах, главным образом на левых, наблюдается тряска хвостового оперения, возрастающая по мере увеличения крена.</w:t>
      </w:r>
    </w:p>
    <w:p w14:paraId="295579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выполнения виража на высоте 1000 м составляет 22 - 23 секунды, на высоте 5000 м - 24-28 секунд.</w:t>
      </w:r>
    </w:p>
    <w:p w14:paraId="4F19A9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боевой разворот с высоты 1000 м самолет набирает 1000 метров, а с высоты 5000м - 900 метров.</w:t>
      </w:r>
    </w:p>
    <w:p w14:paraId="26839D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пикировании самолет быстро набирает скорость и при этом также быстро возрастают тянущие усилия на ручке. При выводе из пикирования для уменьшения тянущих усилий на ручке и для ускорения вывода необходимо пользоваться регулируемым в полете стабилизатором. Перед посадкой его нужно устанавливать на минимальный угол.</w:t>
      </w:r>
    </w:p>
    <w:p w14:paraId="224D21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пробеге самолет рыскает.</w:t>
      </w:r>
    </w:p>
    <w:p w14:paraId="04148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Управление пулеметно-пушечным вооружением удобное. При стрельбе с пикирования по наземной цели одновременно из всех огневых точек самолет ведет себя устойчиво - наводка на цель не сбивается. Силу отдачи оружия летчик почти не ощущает.</w:t>
      </w:r>
    </w:p>
    <w:p w14:paraId="22B761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Проведенный воздушный бой самолета ФВ-190Д-9 с отечественным скоростным двухмоторным бомбардировщиком «63» (имеется в виду самолет «СДБ» ОКБ А.Н.Туполева, модификация Ту-2 -прим. автора) показал, что из-за отсутствия преимущества в максимальной горизонтальной скорости и малого преимущества в вертикальной самолет ФВ-190Д-9 в горизонтальном полете и на наборе высоты имеет возможность производить атаки только под небольшими углами в задней полусфере.</w:t>
      </w:r>
    </w:p>
    <w:p w14:paraId="70310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снижении самолет ФВ-190Д-9 может производить атаки бомбардировщика «63» значительно свободнее и под большими углами, чем при горизонтальном полете, вследствии более быстрого набора скорости…</w:t>
      </w:r>
    </w:p>
    <w:p w14:paraId="24FDBB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Проведенный воздушный бой самолета ФВ-190Д-9 с отечественным истребителем Ла-7 показал, что Ла-7 имеет значительные преимущества перед ним по максимальным скоростям, скороподъемности и маневренности в горизонтальной и вертикальной плоскостях.</w:t>
      </w:r>
    </w:p>
    <w:p w14:paraId="35033B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горизонтальном маневре при встрече на скоростях 0,9 от максимальных, самолет Ла-7 заходит в хвост самолету ФВ-190Д-9 за 2-2,5 виража.</w:t>
      </w:r>
    </w:p>
    <w:p w14:paraId="580757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вертикальном маневре при встрече на максиальных скоростях Ла-7 набирает за боевой разворот большую высоту и, имея превосходство в высоте, заходит в хвост самолету ФВ-190Д-9».</w:t>
      </w:r>
    </w:p>
    <w:p w14:paraId="2CA982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заключительной части «Акта № 94 по результатам государственных испытаний самолетов ФВ-190» отмечалось следующее:</w:t>
      </w:r>
    </w:p>
    <w:p w14:paraId="7E088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Фокке-Вульф-190Д-9 с мотором жидкостного охлаждения ЮМО-213А уступает по летно-такти-ческим данным отечественным серийным истребителям Як-9У с ВК-107А, Як-3 с ВК-105ПФ2 и Ла-7 с АШ-82ФН. 2. Замена мотора БМВ-801 воздушного охлаждения на мотор ЮМО-213А жидкостного охлаждения привела к незначительному увеличения максимальных горизонтальных скоростей самолета» (11860).</w:t>
      </w:r>
    </w:p>
    <w:p w14:paraId="282F6FF4" w14:textId="77777777" w:rsidR="00665165" w:rsidRPr="00F90EAE" w:rsidRDefault="00665165" w:rsidP="00F90EAE">
      <w:pPr>
        <w:autoSpaceDE w:val="0"/>
        <w:autoSpaceDN w:val="0"/>
        <w:adjustRightInd w:val="0"/>
        <w:jc w:val="both"/>
        <w:rPr>
          <w:color w:val="000000" w:themeColor="text1"/>
          <w:sz w:val="16"/>
          <w:szCs w:val="16"/>
        </w:rPr>
      </w:pPr>
    </w:p>
    <w:p w14:paraId="3EE6A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было написано:</w:t>
      </w:r>
    </w:p>
    <w:p w14:paraId="31B88F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105759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Письмо народного комиссара авиационной промышленности т. А.И.Шахурина председателю Особого комитета при ГОКО т. Г.М.Маленкову от 25.05.45 г. об обнаруженных в районе Берлина авиаприборных и радиолокационных заводах, представляющих интерес для Наркомавиапрома, с приложением проекта постановления Государственного Комитета Обороны по вывозу этого оборудования и материалов с завода №1 фирмы "Аскания Верке" в г. Берлин Мариендорф, Опытного приборного завода фирмы "Аскания Верке" в г. Берлине Фриденау и научно-исследовательских лабораторий и мастерских фирмы "Сименс" в Фалькензее (район Берлина) на предприятия Наркомавиапрома (машиноп. копия) (8994).</w:t>
      </w:r>
    </w:p>
    <w:p w14:paraId="020C8BCC" w14:textId="77777777" w:rsidR="00665165" w:rsidRPr="00F90EAE" w:rsidRDefault="00665165" w:rsidP="00F90EAE">
      <w:pPr>
        <w:autoSpaceDE w:val="0"/>
        <w:autoSpaceDN w:val="0"/>
        <w:adjustRightInd w:val="0"/>
        <w:jc w:val="both"/>
        <w:rPr>
          <w:color w:val="000000" w:themeColor="text1"/>
          <w:sz w:val="16"/>
          <w:szCs w:val="16"/>
        </w:rPr>
      </w:pPr>
    </w:p>
    <w:p w14:paraId="365BD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был подготовлен:</w:t>
      </w:r>
    </w:p>
    <w:p w14:paraId="7C1563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 секретно</w:t>
      </w:r>
    </w:p>
    <w:p w14:paraId="5B8B6328"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ДОКЛАД ОБ ОБНАРУЖЕНИИ В БЕРЛИНЕ НЕМЕЦКИХ ЗАВОДОВ ПРЕДСЕДАТЕЛЮ ОСОБОГО КОМИТЕТА ПРИ ГОКО товарищу МАЛЕНКОВУ Г.М.</w:t>
      </w:r>
    </w:p>
    <w:p w14:paraId="0D67E8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сообщениями представителей Наркомавиапрома т.т. Петрова и Романова, в районе Берлина обнаружены авиаприборные и радиолокационные заводы, представляющие исключительный интерес для Наркомавиапрома:</w:t>
      </w:r>
    </w:p>
    <w:p w14:paraId="66459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Завод N 1 фирмы "Аскания-Верке" в г. Берлин Мериендорф, имеющий 1000 единиц металлообрабатывающего оборудования. 75% мощности этого завода было занято производством авиаприборов, 15% - составляло производство морских приборов и 10% - оптическое производство.</w:t>
      </w:r>
    </w:p>
    <w:p w14:paraId="16A1D5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Опытный завод по производству приборов автоматического управления самолетом, оптических прецизионных приборов, дистанционных компасов и электрических приборов фирмы "Асканиа-Верке" в г. Берлин Фриденау, имеющий 250 металлообрабатывающих станков, аппаратуру и приборы, а также 30 станков для шлифовки линз.</w:t>
      </w:r>
    </w:p>
    <w:p w14:paraId="597B8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Опытный завод "Асканиа-Верке" имеет 2 профиля производства (авиаприборное и оптическое) и в соответствии с этим специализированы его производственные подразделения и лаборатории.</w:t>
      </w:r>
    </w:p>
    <w:p w14:paraId="727B22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Научно-исследовательские лаборатории и мастерские по разработке новых типов радиолокационной аппаратуры и приборов телеуправления электрическими станциями фирмы "Сименс" в Фалькензее (район Берлина), имеющие 200 станков.</w:t>
      </w:r>
    </w:p>
    <w:p w14:paraId="78F178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Уполномоченный Особого Комитета тов. Сабуров намечает передать оборудование этих заводов другим Наркоматам.</w:t>
      </w:r>
    </w:p>
    <w:p w14:paraId="62B7AB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что по характеру своего производства заводы "Асканиа-Верке" являются авиаприборными, а лаборатории и мастерские фирмы "Сименс" в Фалькензее радиолокационными, а так же необходимость укомплектования авиаприборных и радиолокационных заводов Наркомавиапрома, прошу Вашего решения о вывозе оборудования и материалов:</w:t>
      </w:r>
    </w:p>
    <w:p w14:paraId="3B4C83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 завода N 1 фирмы "Асканиа-Верке" в г. Берлин Мариендорф - на завод N 122 Наркомавиапрома в г. Москве;</w:t>
      </w:r>
    </w:p>
    <w:p w14:paraId="015D0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 опытного завода "Аскания-Верке" в г. Берлин Фриденау - на завод N 149 Наркомавиапрома в г. Раменское Московской области;</w:t>
      </w:r>
    </w:p>
    <w:p w14:paraId="6A3036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из научно-исследовательских лабораторий и мастерских фирмы "Сименс" - на завод N 483 Наркомавиапрома в г. Киев.</w:t>
      </w:r>
    </w:p>
    <w:p w14:paraId="569BF2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 постановления Государственного Комитета Обороны по этому вопросу представляю.</w:t>
      </w:r>
    </w:p>
    <w:p w14:paraId="37BDC7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ВЕРНО: п.п. (А. Шахурин) (подпись) (8987; 8994).</w:t>
      </w:r>
    </w:p>
    <w:p w14:paraId="068A7394" w14:textId="77777777" w:rsidR="00665165" w:rsidRPr="00F90EAE" w:rsidRDefault="00665165" w:rsidP="00F90EAE">
      <w:pPr>
        <w:autoSpaceDE w:val="0"/>
        <w:autoSpaceDN w:val="0"/>
        <w:adjustRightInd w:val="0"/>
        <w:jc w:val="both"/>
        <w:rPr>
          <w:color w:val="000000" w:themeColor="text1"/>
          <w:sz w:val="16"/>
          <w:szCs w:val="16"/>
        </w:rPr>
      </w:pPr>
    </w:p>
    <w:p w14:paraId="0880A22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9DA4EAC" w14:textId="77777777" w:rsidR="00665165" w:rsidRPr="00F90EAE" w:rsidRDefault="00665165" w:rsidP="00F90EAE">
      <w:pPr>
        <w:autoSpaceDE w:val="0"/>
        <w:autoSpaceDN w:val="0"/>
        <w:adjustRightInd w:val="0"/>
        <w:jc w:val="both"/>
        <w:rPr>
          <w:iCs/>
          <w:color w:val="000000" w:themeColor="text1"/>
          <w:sz w:val="16"/>
          <w:szCs w:val="16"/>
        </w:rPr>
      </w:pPr>
    </w:p>
    <w:p w14:paraId="5708E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25 мая 1945 года приказом наркома танковой промышленности № 254с от. В. А. Малышев распорядился в этом приказе собрать и представить материалы о деятельности заводов в годы войны. Предполагалось использовать эти материалы в общей сводной работе, посвященной истории Наркомата танковой промышленности. Формулировка была достаточно расплывчатой, и появившиеся в итоге через несколько лет работы документы носят очень разнообразный характер. Некоторые из них являются очень подробными историями заводов, в которых освещены все важные стороны их жизнедеятельности. Наилучшей работой была, на мой взгляд, «История танкостроения на заводе № 183». Это объемное сочинение заняло три толстых дела. Создавал его большой коллектив авторов под редакцией директора завода Ю. Е. Максарева и главного конструктора А. А. Морозова. В этом труде содержится огромный фактический материал, освещающий все стороны деятельности завода: работу конструкторского бюро (написано лично А. А. Морозовым), технологические усовершенствования, методы организации производства, работу ОТК и даже ОРС. Заслуживает внимания раздел, посвященный пополнению и убыли рабочей силы. Есть сведения и о работе подсобных производств завода. Близка по содержанию к «Истории танкостроения на заводе № 183» другая работа - «Танкостроение на заводах № 38 и № 75» под редакцией Л. JL Терентьева. Широкий круг вопросов, связанных с организацией танкового и бронекорпусного производства, освещен также в материалах, представленных УЗТМ Менее подробно, но все же с достаточно широким охватом материалов, написана работа «Материалы по истории танкового производства в годы войны ( на заводе № 50 )». Интересные </w:t>
      </w:r>
      <w:r w:rsidRPr="00F90EAE">
        <w:rPr>
          <w:color w:val="000000" w:themeColor="text1"/>
          <w:sz w:val="16"/>
          <w:szCs w:val="16"/>
        </w:rPr>
        <w:lastRenderedPageBreak/>
        <w:t xml:space="preserve">факты об организации эвакуации содержит работа «Отчет об истории производства танковой брони на заводе имени Ильича». Любопытна также «История танкового дизелестроения на заводе № 76», в которой затронуты разные аспекты жизни завода. Не все заводы представили такие содержательные материалы. Порой собранные сведения освещали только отдельные направления деятельности предприятий. Очень многое, видимо, зависело от того, кто брался за их составление. Кировский завод прислал фактически историю своего конструкторского бюро ( девять десятых информации - о его деятельности ). Завод № 180 представил произведение, озаглавленное «Вторая жизнь танка Т-34», в котором подробно рассматриваются методики ремонта бронекорпусов, существовавшие на заводе, методы сортировки их по степени поврежденности, производство комплектов для полевого ремонта танков и т. д. Главный металлург завода № 178 И. А. Фрумкин совместно с несколькими </w:t>
      </w:r>
    </w:p>
    <w:p w14:paraId="0C1594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соавторами написал «Производство брони, качественного проката и готовых бронекорпусов заводом № 178 в период Великой Отечественной войны». Эта работа посвящена технологиям, используемым заводом. Значение материалов, собранных заводами после войны, сильно различается. К сожалению, план создать на их основе обобщающую работу так и не был реализован, возможно, в том числе и из-за разнородности собранного материала (11788).</w:t>
      </w:r>
    </w:p>
    <w:p w14:paraId="32EA766D" w14:textId="77777777" w:rsidR="00665165" w:rsidRPr="00F90EAE" w:rsidRDefault="00665165" w:rsidP="00F90EAE">
      <w:pPr>
        <w:autoSpaceDE w:val="0"/>
        <w:autoSpaceDN w:val="0"/>
        <w:adjustRightInd w:val="0"/>
        <w:jc w:val="both"/>
        <w:rPr>
          <w:color w:val="000000" w:themeColor="text1"/>
          <w:sz w:val="16"/>
          <w:szCs w:val="16"/>
        </w:rPr>
      </w:pPr>
    </w:p>
    <w:p w14:paraId="67CE12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мая 1945 г. ГКО постановил перевести часть оборон</w:t>
      </w:r>
      <w:r w:rsidRPr="00F90EAE">
        <w:rPr>
          <w:color w:val="000000" w:themeColor="text1"/>
          <w:sz w:val="16"/>
          <w:szCs w:val="16"/>
        </w:rPr>
        <w:softHyphen/>
        <w:t>ных предприятий на выпуск товаров для населения. Чуть позже принят закон о демобилизации тринадцати возрастов личного состава армии. 29 августа 1945 г. было принято реше</w:t>
      </w:r>
      <w:r w:rsidRPr="00F90EAE">
        <w:rPr>
          <w:color w:val="000000" w:themeColor="text1"/>
          <w:sz w:val="16"/>
          <w:szCs w:val="16"/>
        </w:rPr>
        <w:softHyphen/>
        <w:t>ние о подготовке пятилетнего плана восстановления и разви</w:t>
      </w:r>
      <w:r w:rsidRPr="00F90EAE">
        <w:rPr>
          <w:color w:val="000000" w:themeColor="text1"/>
          <w:sz w:val="16"/>
          <w:szCs w:val="16"/>
        </w:rPr>
        <w:softHyphen/>
        <w:t>тия народного хозяйства. 9 февраля 1946 г. И. Сталин подчер</w:t>
      </w:r>
      <w:r w:rsidRPr="00F90EAE">
        <w:rPr>
          <w:color w:val="000000" w:themeColor="text1"/>
          <w:sz w:val="16"/>
          <w:szCs w:val="16"/>
        </w:rPr>
        <w:softHyphen/>
        <w:t>кивал, что задачи плана сводились к тому, чтобы «восстано</w:t>
      </w:r>
      <w:r w:rsidRPr="00F90EAE">
        <w:rPr>
          <w:color w:val="000000" w:themeColor="text1"/>
          <w:sz w:val="16"/>
          <w:szCs w:val="16"/>
        </w:rPr>
        <w:softHyphen/>
        <w:t>вить пострадавшие районы страны, восстановить довоенный уровень промышленности и сельского хозяйствуй затем пре</w:t>
      </w:r>
      <w:r w:rsidRPr="00F90EAE">
        <w:rPr>
          <w:color w:val="000000" w:themeColor="text1"/>
          <w:sz w:val="16"/>
          <w:szCs w:val="16"/>
        </w:rPr>
        <w:softHyphen/>
        <w:t>взойти этот уровень в более или менее значительных размерах». Л. Горлицкий вспоминал: «После войны в 1945-м нам было не до танков. Все перспективные работы были отложены. Страну надо было поднимать из руин...» (11135).</w:t>
      </w:r>
    </w:p>
    <w:p w14:paraId="67BB09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D7365B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F122DCB" w14:textId="77777777" w:rsidR="00665165" w:rsidRPr="00F90EAE" w:rsidRDefault="00665165" w:rsidP="00F90EAE">
      <w:pPr>
        <w:autoSpaceDE w:val="0"/>
        <w:autoSpaceDN w:val="0"/>
        <w:adjustRightInd w:val="0"/>
        <w:jc w:val="both"/>
        <w:rPr>
          <w:iCs/>
          <w:color w:val="000000" w:themeColor="text1"/>
          <w:sz w:val="16"/>
          <w:szCs w:val="16"/>
        </w:rPr>
      </w:pPr>
    </w:p>
    <w:p w14:paraId="177398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на В-24Н нилота Козырева 45 ад при взлете отказал одни из моторов. Самолет сел на поле за аэродромом, сильно ударившись о землю. Фюзеляж раскололся надвое, были жертвы (3457,117).</w:t>
      </w:r>
    </w:p>
    <w:p w14:paraId="48ABFCC5" w14:textId="77777777" w:rsidR="00665165" w:rsidRPr="00F90EAE" w:rsidRDefault="00665165" w:rsidP="00F90EAE">
      <w:pPr>
        <w:autoSpaceDE w:val="0"/>
        <w:autoSpaceDN w:val="0"/>
        <w:adjustRightInd w:val="0"/>
        <w:jc w:val="both"/>
        <w:rPr>
          <w:color w:val="000000" w:themeColor="text1"/>
          <w:sz w:val="16"/>
          <w:szCs w:val="16"/>
        </w:rPr>
      </w:pPr>
    </w:p>
    <w:p w14:paraId="090CE39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E84D3E7" w14:textId="77777777" w:rsidR="00665165" w:rsidRPr="00F90EAE" w:rsidRDefault="00665165" w:rsidP="00F90EAE">
      <w:pPr>
        <w:autoSpaceDE w:val="0"/>
        <w:autoSpaceDN w:val="0"/>
        <w:adjustRightInd w:val="0"/>
        <w:jc w:val="both"/>
        <w:rPr>
          <w:iCs/>
          <w:color w:val="000000" w:themeColor="text1"/>
          <w:sz w:val="16"/>
          <w:szCs w:val="16"/>
        </w:rPr>
      </w:pPr>
    </w:p>
    <w:p w14:paraId="58C224E6" w14:textId="77777777" w:rsidR="00BE2FB1" w:rsidRPr="00F90EAE" w:rsidRDefault="00BE2FB1" w:rsidP="00F90EAE">
      <w:pPr>
        <w:jc w:val="both"/>
        <w:rPr>
          <w:color w:val="000000" w:themeColor="text1"/>
          <w:sz w:val="16"/>
          <w:szCs w:val="16"/>
        </w:rPr>
      </w:pPr>
      <w:r w:rsidRPr="00F90EAE">
        <w:rPr>
          <w:bCs/>
          <w:color w:val="000000" w:themeColor="text1"/>
          <w:sz w:val="16"/>
          <w:szCs w:val="16"/>
        </w:rPr>
        <w:t>25 мая</w:t>
      </w:r>
      <w:r w:rsidRPr="00F90EAE">
        <w:rPr>
          <w:color w:val="000000" w:themeColor="text1"/>
          <w:sz w:val="16"/>
          <w:szCs w:val="16"/>
        </w:rPr>
        <w:t xml:space="preserve"> в 1945 году совершил свой первый полет на аэродроме в Мариньяне первый прототип автожира </w:t>
      </w:r>
      <w:hyperlink r:id="rId127" w:tgtFrame="_blank" w:history="1">
        <w:r w:rsidRPr="00F90EAE">
          <w:rPr>
            <w:color w:val="000000" w:themeColor="text1"/>
            <w:sz w:val="16"/>
            <w:szCs w:val="16"/>
          </w:rPr>
          <w:t xml:space="preserve">«SE.700», </w:t>
        </w:r>
      </w:hyperlink>
      <w:r w:rsidRPr="00F90EAE">
        <w:rPr>
          <w:color w:val="000000" w:themeColor="text1"/>
          <w:sz w:val="16"/>
          <w:szCs w:val="16"/>
        </w:rPr>
        <w:t>управлял автожиром пилот Стакенбург. Замена двигателя повлияла на характеристики автожира не самым лучшим образом, но даже с ним у «SE.700» были большие перспективы. Испытания автожира неожиданно завершились 6 января 1946 года, когда при неудачной посадке аппарат был сильно поврежден. Его решили не восстанавливать и сосредоточить усилия на доводке улучшенного «SE.700А», однако по причине неготовности двигателя «Bearn» «6D-07» второй прототип так никогда и не летал. Программу «SE.700» решили закрыть, посчитав, что с функциями связи отлично справятся обычные легкомоторные самолёты и вертолеты, которых с каждым годом становилось всё больше (14902).</w:t>
      </w:r>
    </w:p>
    <w:p w14:paraId="2B0E7F8C" w14:textId="77777777" w:rsidR="00BE2FB1" w:rsidRPr="00F90EAE" w:rsidRDefault="00BE2FB1" w:rsidP="00F90EAE">
      <w:pPr>
        <w:jc w:val="both"/>
        <w:rPr>
          <w:color w:val="000000" w:themeColor="text1"/>
          <w:sz w:val="16"/>
          <w:szCs w:val="16"/>
        </w:rPr>
      </w:pPr>
    </w:p>
    <w:p w14:paraId="15497361" w14:textId="77777777" w:rsidR="00247854" w:rsidRPr="00F90EAE" w:rsidRDefault="00247854" w:rsidP="00F90EAE">
      <w:pPr>
        <w:jc w:val="both"/>
        <w:rPr>
          <w:color w:val="0070C0"/>
          <w:sz w:val="16"/>
          <w:szCs w:val="16"/>
        </w:rPr>
      </w:pPr>
      <w:r w:rsidRPr="00F90EAE">
        <w:rPr>
          <w:color w:val="0070C0"/>
          <w:sz w:val="16"/>
          <w:szCs w:val="16"/>
        </w:rPr>
        <w:t>25 мая 1945 года — первый полёт автожира SNCASE SE-700. /Франция/</w:t>
      </w:r>
    </w:p>
    <w:p w14:paraId="3DDC1D31" w14:textId="77777777" w:rsidR="00247854" w:rsidRPr="00F90EAE" w:rsidRDefault="00247854" w:rsidP="00F90EAE">
      <w:pPr>
        <w:jc w:val="both"/>
        <w:rPr>
          <w:color w:val="0070C0"/>
          <w:sz w:val="16"/>
          <w:szCs w:val="16"/>
        </w:rPr>
      </w:pPr>
      <w:r w:rsidRPr="00F90EAE">
        <w:rPr>
          <w:color w:val="0070C0"/>
          <w:sz w:val="16"/>
          <w:szCs w:val="16"/>
        </w:rPr>
        <w:t>В 1939 году в компании Société Nationale de Constructions Aéronautiques du Sud-Est (SNCASE) начались работы над многоцелевым автожиром. Проект, получивший обозначение SE-700, возглавил инженер Пьер Мерсье (Pierre Mercier).</w:t>
      </w:r>
    </w:p>
    <w:p w14:paraId="4058A92F" w14:textId="77777777" w:rsidR="00247854" w:rsidRPr="00F90EAE" w:rsidRDefault="00247854" w:rsidP="00F90EAE">
      <w:pPr>
        <w:jc w:val="both"/>
        <w:rPr>
          <w:color w:val="0070C0"/>
          <w:sz w:val="16"/>
          <w:szCs w:val="16"/>
        </w:rPr>
      </w:pPr>
      <w:r w:rsidRPr="00F90EAE">
        <w:rPr>
          <w:color w:val="0070C0"/>
          <w:sz w:val="16"/>
          <w:szCs w:val="16"/>
        </w:rPr>
        <w:t>SE-700 выглядел весьма футуристично. Аэродинамически чистый фюзеляж без выступов в основном был выполнен из дерева. Шасси было сделано убирающимся (впервые на винтокрылых летательных аппаратах). Устанавливался двигатель Renault 6Q-01 (220 л.с.) Крейсерская скорость — 159 км/ч, дальность полёта 660 км. Брал на борт 2 пассажиров.</w:t>
      </w:r>
    </w:p>
    <w:p w14:paraId="245F3563" w14:textId="77777777" w:rsidR="00247854" w:rsidRPr="00F90EAE" w:rsidRDefault="00247854" w:rsidP="00F90EAE">
      <w:pPr>
        <w:jc w:val="both"/>
        <w:rPr>
          <w:color w:val="0070C0"/>
          <w:sz w:val="16"/>
          <w:szCs w:val="16"/>
        </w:rPr>
      </w:pPr>
      <w:r w:rsidRPr="00F90EAE">
        <w:rPr>
          <w:color w:val="0070C0"/>
          <w:sz w:val="16"/>
          <w:szCs w:val="16"/>
        </w:rPr>
        <w:t>Немецкая оккупация затормозила развитие проекта. Но к 1945 году прототип был готов. Испытания выявили проблемы с охлаждением двигателя, но также показали, что у SE-700 хорошие лётные характеристики. Но 6 января 1946 года автожир сильно повредили при посадке. Восстанавливать его не стали — ВВС Франции сделали выбор в пользу лёгких самолётов и вертолётов (22300).</w:t>
      </w:r>
    </w:p>
    <w:p w14:paraId="738FCB1D" w14:textId="77777777" w:rsidR="00247854" w:rsidRPr="00F90EAE" w:rsidRDefault="00247854" w:rsidP="00F90EAE">
      <w:pPr>
        <w:jc w:val="both"/>
        <w:rPr>
          <w:color w:val="0070C0"/>
          <w:sz w:val="16"/>
          <w:szCs w:val="16"/>
        </w:rPr>
      </w:pPr>
    </w:p>
    <w:p w14:paraId="663FD83A" w14:textId="77777777" w:rsidR="00BE2FB1" w:rsidRPr="00F90EAE" w:rsidRDefault="00BE2FB1" w:rsidP="00F90EAE">
      <w:pPr>
        <w:jc w:val="both"/>
        <w:rPr>
          <w:color w:val="000000" w:themeColor="text1"/>
          <w:sz w:val="16"/>
          <w:szCs w:val="16"/>
        </w:rPr>
      </w:pPr>
      <w:r w:rsidRPr="00F90EAE">
        <w:rPr>
          <w:bCs/>
          <w:color w:val="000000" w:themeColor="text1"/>
          <w:sz w:val="16"/>
          <w:szCs w:val="16"/>
        </w:rPr>
        <w:t>25 мая</w:t>
      </w:r>
      <w:r w:rsidRPr="00F90EAE">
        <w:rPr>
          <w:color w:val="000000" w:themeColor="text1"/>
          <w:sz w:val="16"/>
          <w:szCs w:val="16"/>
        </w:rPr>
        <w:t xml:space="preserve"> в 1945 году впервые поднялся в воздух первый серийный небо английский палубный многоцелевой истребитель </w:t>
      </w:r>
      <w:hyperlink r:id="rId128" w:tgtFrame="_blank" w:history="1">
        <w:r w:rsidRPr="00F90EAE">
          <w:rPr>
            <w:color w:val="000000" w:themeColor="text1"/>
            <w:sz w:val="16"/>
            <w:szCs w:val="16"/>
          </w:rPr>
          <w:t xml:space="preserve">«Firefly» «Mk.IV», </w:t>
        </w:r>
      </w:hyperlink>
      <w:r w:rsidRPr="00F90EAE">
        <w:rPr>
          <w:color w:val="000000" w:themeColor="text1"/>
          <w:sz w:val="16"/>
          <w:szCs w:val="16"/>
        </w:rPr>
        <w:t>но с внедрением его в строевых частях не спешили: война кончалась, а самолетов хватало. Лишь к 1947 году на "четверки" полностью перешли две эскадрильи, затем еще три. Одну из этих эскадрилий, 825-ю, передали Канаде. Она оперировала с авианосца "Уорриор". «40 Mk.IV» собрали по заказу голландского флота. Именно они первыми из "четверок" вступили в бой. С июля 1947-го их вместе с F.Mk.I начали использовать для борьбы с партизанами в Голландской Ост-Индии (ныне Индонезия). Они в основном поддерживали десантные операции морской пехоты, действуя как разведчики и штурмовики. "Файрфлаи" воевали на Яве до мая 1949-го. За это время индонезийцам удалось сбить четыре машины. Впоследствии часть «F.Mk.IV» голландцы разместили на Антильских островах в Карибском море (14902).</w:t>
      </w:r>
    </w:p>
    <w:p w14:paraId="3A571604" w14:textId="77777777" w:rsidR="00BE2FB1" w:rsidRPr="00F90EAE" w:rsidRDefault="00BE2FB1" w:rsidP="00F90EAE">
      <w:pPr>
        <w:jc w:val="both"/>
        <w:rPr>
          <w:color w:val="000000" w:themeColor="text1"/>
          <w:sz w:val="16"/>
          <w:szCs w:val="16"/>
        </w:rPr>
      </w:pPr>
    </w:p>
    <w:p w14:paraId="39F4755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May 25, 1945 464 B-29s raid Tokyo again, burning out nearly 16 square miles of the remaining city. Only a few thousand are killed, urban inhabitants have learned to flee fire bomb attacks quickly and escape the flames (1039).</w:t>
      </w:r>
    </w:p>
    <w:p w14:paraId="724654EE" w14:textId="77777777" w:rsidR="00665165" w:rsidRPr="00F90EAE" w:rsidRDefault="00665165" w:rsidP="00F90EAE">
      <w:pPr>
        <w:autoSpaceDE w:val="0"/>
        <w:autoSpaceDN w:val="0"/>
        <w:adjustRightInd w:val="0"/>
        <w:jc w:val="both"/>
        <w:rPr>
          <w:color w:val="000000" w:themeColor="text1"/>
          <w:sz w:val="16"/>
          <w:szCs w:val="16"/>
          <w:lang w:val="en-US"/>
        </w:rPr>
      </w:pPr>
    </w:p>
    <w:p w14:paraId="0F3535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464 B-29 совершили рейд на Токио. Погибло не много людей, так как с зажигательными бомбами научились бороться (1039).</w:t>
      </w:r>
    </w:p>
    <w:p w14:paraId="075FF518" w14:textId="77777777" w:rsidR="00665165" w:rsidRPr="00F90EAE" w:rsidRDefault="00665165" w:rsidP="00F90EAE">
      <w:pPr>
        <w:autoSpaceDE w:val="0"/>
        <w:autoSpaceDN w:val="0"/>
        <w:adjustRightInd w:val="0"/>
        <w:jc w:val="both"/>
        <w:rPr>
          <w:color w:val="000000" w:themeColor="text1"/>
          <w:sz w:val="16"/>
          <w:szCs w:val="16"/>
        </w:rPr>
      </w:pPr>
    </w:p>
    <w:p w14:paraId="074A47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 мая 1945 был одобрен план американского вторжения в Японию 1 ноября 1945 с захватом Токио к лету 1946 (2248,7).</w:t>
      </w:r>
    </w:p>
    <w:p w14:paraId="47AE7247" w14:textId="77777777" w:rsidR="00665165" w:rsidRPr="00F90EAE" w:rsidRDefault="00665165" w:rsidP="00F90EAE">
      <w:pPr>
        <w:autoSpaceDE w:val="0"/>
        <w:autoSpaceDN w:val="0"/>
        <w:adjustRightInd w:val="0"/>
        <w:jc w:val="both"/>
        <w:rPr>
          <w:color w:val="000000" w:themeColor="text1"/>
          <w:sz w:val="16"/>
          <w:szCs w:val="16"/>
        </w:rPr>
      </w:pPr>
    </w:p>
    <w:p w14:paraId="0A62E11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E62EEC7" w14:textId="77777777" w:rsidR="00665165" w:rsidRPr="00F90EAE" w:rsidRDefault="00665165" w:rsidP="00F90EAE">
      <w:pPr>
        <w:autoSpaceDE w:val="0"/>
        <w:autoSpaceDN w:val="0"/>
        <w:adjustRightInd w:val="0"/>
        <w:jc w:val="both"/>
        <w:rPr>
          <w:iCs/>
          <w:color w:val="000000" w:themeColor="text1"/>
          <w:sz w:val="16"/>
          <w:szCs w:val="16"/>
        </w:rPr>
      </w:pPr>
    </w:p>
    <w:p w14:paraId="046F0896"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26 мая 1945 года начались летные испытания одного из первых УИл-10 (зав. № 106085), который прибыл в НИИ ВВС 16 мая. Завершили их 7 июня, после выполнения 31 полета (суммарный налет 15 ч).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32A91020"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1ADC66DB"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1462A120"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26CBF9A1"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7A346762"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 (17490).</w:t>
      </w:r>
    </w:p>
    <w:p w14:paraId="476F08E5" w14:textId="77777777" w:rsidR="00B81DD0" w:rsidRPr="00F90EAE" w:rsidRDefault="00B81DD0" w:rsidP="00F90EAE">
      <w:pPr>
        <w:jc w:val="both"/>
        <w:rPr>
          <w:rStyle w:val="107"/>
          <w:rFonts w:eastAsiaTheme="minorHAnsi"/>
          <w:color w:val="000000" w:themeColor="text1"/>
          <w:sz w:val="16"/>
          <w:szCs w:val="16"/>
        </w:rPr>
      </w:pPr>
    </w:p>
    <w:p w14:paraId="09B521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 второй экземпляр истребителя И-250 под управлением А.П.Деева совершил первый полет(6000).</w:t>
      </w:r>
    </w:p>
    <w:p w14:paraId="04CFD2C0" w14:textId="77777777" w:rsidR="00665165" w:rsidRPr="00F90EAE" w:rsidRDefault="00665165" w:rsidP="00F90EAE">
      <w:pPr>
        <w:autoSpaceDE w:val="0"/>
        <w:autoSpaceDN w:val="0"/>
        <w:adjustRightInd w:val="0"/>
        <w:jc w:val="both"/>
        <w:rPr>
          <w:color w:val="000000" w:themeColor="text1"/>
          <w:sz w:val="16"/>
          <w:szCs w:val="16"/>
        </w:rPr>
      </w:pPr>
    </w:p>
    <w:p w14:paraId="33D4D1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года вышел приказ НКАП:</w:t>
      </w:r>
    </w:p>
    <w:p w14:paraId="066901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Утвердить Кононенко М.Л. директором завода № 500, освободив Петрова А.П. (8958)</w:t>
      </w:r>
    </w:p>
    <w:p w14:paraId="05729715" w14:textId="77777777" w:rsidR="00665165" w:rsidRPr="00F90EAE" w:rsidRDefault="00665165" w:rsidP="00F90EAE">
      <w:pPr>
        <w:autoSpaceDE w:val="0"/>
        <w:autoSpaceDN w:val="0"/>
        <w:adjustRightInd w:val="0"/>
        <w:jc w:val="both"/>
        <w:rPr>
          <w:color w:val="000000" w:themeColor="text1"/>
          <w:sz w:val="16"/>
          <w:szCs w:val="16"/>
        </w:rPr>
      </w:pPr>
    </w:p>
    <w:p w14:paraId="181AA173" w14:textId="77777777" w:rsidR="00F37105" w:rsidRPr="00F90EAE" w:rsidRDefault="00F37105" w:rsidP="00F90EAE">
      <w:pPr>
        <w:jc w:val="both"/>
        <w:rPr>
          <w:color w:val="000000" w:themeColor="text1"/>
          <w:sz w:val="16"/>
          <w:szCs w:val="16"/>
        </w:rPr>
      </w:pPr>
      <w:r w:rsidRPr="00F90EAE">
        <w:rPr>
          <w:bCs/>
          <w:color w:val="000000" w:themeColor="text1"/>
          <w:sz w:val="16"/>
          <w:szCs w:val="16"/>
        </w:rPr>
        <w:t>26 мая</w:t>
      </w:r>
      <w:r w:rsidRPr="00F90EAE">
        <w:rPr>
          <w:color w:val="000000" w:themeColor="text1"/>
          <w:sz w:val="16"/>
          <w:szCs w:val="16"/>
        </w:rPr>
        <w:t xml:space="preserve"> в 1945 году истребитель </w:t>
      </w:r>
      <w:hyperlink r:id="rId129" w:tgtFrame="_blank" w:history="1">
        <w:r w:rsidRPr="00F90EAE">
          <w:rPr>
            <w:color w:val="000000" w:themeColor="text1"/>
            <w:sz w:val="16"/>
            <w:szCs w:val="16"/>
          </w:rPr>
          <w:t xml:space="preserve">«МиГ-13» </w:t>
        </w:r>
      </w:hyperlink>
      <w:r w:rsidRPr="00F90EAE">
        <w:rPr>
          <w:color w:val="000000" w:themeColor="text1"/>
          <w:sz w:val="16"/>
          <w:szCs w:val="16"/>
        </w:rPr>
        <w:t>(</w:t>
      </w:r>
      <w:hyperlink r:id="rId130" w:tgtFrame="_blank" w:history="1">
        <w:r w:rsidRPr="00F90EAE">
          <w:rPr>
            <w:color w:val="000000" w:themeColor="text1"/>
            <w:sz w:val="16"/>
            <w:szCs w:val="16"/>
          </w:rPr>
          <w:t xml:space="preserve"> «И-250» </w:t>
        </w:r>
      </w:hyperlink>
      <w:r w:rsidRPr="00F90EAE">
        <w:rPr>
          <w:color w:val="000000" w:themeColor="text1"/>
          <w:sz w:val="16"/>
          <w:szCs w:val="16"/>
        </w:rPr>
        <w:t>№02) впервые поднялся в небо и достиг высоты 1300 метров. В тот период А.П.Деев был единственным летчиком-испытателем «ОКБ-155», поэтому и вторую машину пришлось поднимать ему (14903).</w:t>
      </w:r>
    </w:p>
    <w:p w14:paraId="50B081AF" w14:textId="77777777" w:rsidR="00F37105" w:rsidRPr="00F90EAE" w:rsidRDefault="00F37105" w:rsidP="00F90EAE">
      <w:pPr>
        <w:jc w:val="both"/>
        <w:rPr>
          <w:color w:val="000000" w:themeColor="text1"/>
          <w:sz w:val="16"/>
          <w:szCs w:val="16"/>
        </w:rPr>
      </w:pPr>
    </w:p>
    <w:p w14:paraId="1E6BE64D" w14:textId="77777777" w:rsidR="00F37105" w:rsidRPr="00F90EAE" w:rsidRDefault="00F37105" w:rsidP="00F90EAE">
      <w:pPr>
        <w:pStyle w:val="3a"/>
        <w:shd w:val="clear" w:color="auto" w:fill="auto"/>
        <w:spacing w:before="0" w:after="0" w:line="240" w:lineRule="auto"/>
        <w:jc w:val="both"/>
        <w:rPr>
          <w:color w:val="000000" w:themeColor="text1"/>
          <w:spacing w:val="0"/>
          <w:sz w:val="16"/>
          <w:szCs w:val="16"/>
        </w:rPr>
      </w:pPr>
      <w:bookmarkStart w:id="12" w:name="bookmark17"/>
      <w:r w:rsidRPr="00F90EAE">
        <w:rPr>
          <w:color w:val="000000" w:themeColor="text1"/>
          <w:spacing w:val="0"/>
          <w:sz w:val="16"/>
          <w:szCs w:val="16"/>
        </w:rPr>
        <w:t>26 мая 1945 г. Решение Бюро изобретений Госплана СССР по заявке М.Л. Миля № 8631/313495 НКАП СССР с приоритетом от 19 ноября 1942 г.</w:t>
      </w:r>
      <w:bookmarkEnd w:id="12"/>
    </w:p>
    <w:p w14:paraId="2C6ED5A4" w14:textId="77777777" w:rsidR="00F37105" w:rsidRPr="00F90EAE" w:rsidRDefault="00F37105" w:rsidP="00F90EAE">
      <w:pPr>
        <w:pStyle w:val="3a"/>
        <w:shd w:val="clear" w:color="auto" w:fill="auto"/>
        <w:spacing w:before="0" w:after="0" w:line="240" w:lineRule="auto"/>
        <w:jc w:val="both"/>
        <w:rPr>
          <w:color w:val="000000" w:themeColor="text1"/>
          <w:spacing w:val="0"/>
          <w:sz w:val="16"/>
          <w:szCs w:val="16"/>
        </w:rPr>
      </w:pPr>
      <w:r w:rsidRPr="00F90EAE">
        <w:rPr>
          <w:color w:val="000000" w:themeColor="text1"/>
          <w:spacing w:val="0"/>
          <w:sz w:val="16"/>
          <w:szCs w:val="16"/>
        </w:rPr>
        <w:t>«Реактивный воздушный винт»</w:t>
      </w:r>
    </w:p>
    <w:p w14:paraId="3306BADD" w14:textId="77777777" w:rsidR="00F37105" w:rsidRPr="00F90EAE" w:rsidRDefault="00F37105" w:rsidP="00F90EAE">
      <w:pPr>
        <w:jc w:val="both"/>
        <w:rPr>
          <w:color w:val="000000" w:themeColor="text1"/>
          <w:sz w:val="16"/>
          <w:szCs w:val="16"/>
        </w:rPr>
      </w:pPr>
      <w:r w:rsidRPr="00F90EAE">
        <w:rPr>
          <w:color w:val="000000" w:themeColor="text1"/>
          <w:sz w:val="16"/>
          <w:szCs w:val="16"/>
        </w:rPr>
        <w:t>Принимая во внимание, что использование ракетных установок на роторах автожира для его раскрутки в момент взлета, как указыва</w:t>
      </w:r>
      <w:r w:rsidRPr="00F90EAE">
        <w:rPr>
          <w:color w:val="000000" w:themeColor="text1"/>
          <w:sz w:val="16"/>
          <w:szCs w:val="16"/>
        </w:rPr>
        <w:softHyphen/>
        <w:t>ет и сам заявитель, общеизвестно и что известны и устройства реактив</w:t>
      </w:r>
      <w:r w:rsidRPr="00F90EAE">
        <w:rPr>
          <w:color w:val="000000" w:themeColor="text1"/>
          <w:sz w:val="16"/>
          <w:szCs w:val="16"/>
        </w:rPr>
        <w:softHyphen/>
        <w:t>ных воздушных винтов, В которых рабочая среда подается под давле</w:t>
      </w:r>
      <w:r w:rsidRPr="00F90EAE">
        <w:rPr>
          <w:color w:val="000000" w:themeColor="text1"/>
          <w:sz w:val="16"/>
          <w:szCs w:val="16"/>
        </w:rPr>
        <w:softHyphen/>
        <w:t>нием в камеры горения, расположенные на концах лопастей за счет центробежных сил (см. германский патент № 462238 кл[асс] 62в, 37/04 от 1925г.) и, усматривая новизну в расположении питательных бачков с горючим и окислителем непосредственно в лопастях винта, Бюро изо</w:t>
      </w:r>
      <w:r w:rsidRPr="00F90EAE">
        <w:rPr>
          <w:color w:val="000000" w:themeColor="text1"/>
          <w:sz w:val="16"/>
          <w:szCs w:val="16"/>
        </w:rPr>
        <w:softHyphen/>
        <w:t>бретений Госплана СССР находит возможным выдать авторское свиде</w:t>
      </w:r>
      <w:r w:rsidRPr="00F90EAE">
        <w:rPr>
          <w:color w:val="000000" w:themeColor="text1"/>
          <w:sz w:val="16"/>
          <w:szCs w:val="16"/>
        </w:rPr>
        <w:softHyphen/>
        <w:t>тельство на РЕАКТИВНЫЙ ВОЗДУШНЫЙ ВИНТ, формулируя пред</w:t>
      </w:r>
      <w:r w:rsidRPr="00F90EAE">
        <w:rPr>
          <w:color w:val="000000" w:themeColor="text1"/>
          <w:sz w:val="16"/>
          <w:szCs w:val="16"/>
        </w:rPr>
        <w:softHyphen/>
        <w:t>мет лишь в следующей редакции:</w:t>
      </w:r>
    </w:p>
    <w:p w14:paraId="243B724D" w14:textId="77777777" w:rsidR="00F37105" w:rsidRPr="00F90EAE" w:rsidRDefault="00F37105" w:rsidP="00F90EAE">
      <w:pPr>
        <w:jc w:val="both"/>
        <w:rPr>
          <w:color w:val="000000" w:themeColor="text1"/>
          <w:sz w:val="16"/>
          <w:szCs w:val="16"/>
        </w:rPr>
      </w:pPr>
      <w:r w:rsidRPr="00F90EAE">
        <w:rPr>
          <w:color w:val="000000" w:themeColor="text1"/>
          <w:sz w:val="16"/>
          <w:szCs w:val="16"/>
        </w:rPr>
        <w:t>Реактивный воздушный винт с дюзами и запальными устрой</w:t>
      </w:r>
      <w:r w:rsidRPr="00F90EAE">
        <w:rPr>
          <w:color w:val="000000" w:themeColor="text1"/>
          <w:sz w:val="16"/>
          <w:szCs w:val="16"/>
        </w:rPr>
        <w:softHyphen/>
        <w:t>ствами, размещенными на концах лопастей, снабженный для переда</w:t>
      </w:r>
      <w:r w:rsidRPr="00F90EAE">
        <w:rPr>
          <w:color w:val="000000" w:themeColor="text1"/>
          <w:sz w:val="16"/>
          <w:szCs w:val="16"/>
        </w:rPr>
        <w:softHyphen/>
        <w:t>чи горючего и окислителя к камерам горения трубопроводами, распо</w:t>
      </w:r>
      <w:r w:rsidRPr="00F90EAE">
        <w:rPr>
          <w:color w:val="000000" w:themeColor="text1"/>
          <w:sz w:val="16"/>
          <w:szCs w:val="16"/>
        </w:rPr>
        <w:softHyphen/>
        <w:t>ложенными внутри полых лопастей, отличающийся тем, что питатель</w:t>
      </w:r>
      <w:r w:rsidRPr="00F90EAE">
        <w:rPr>
          <w:color w:val="000000" w:themeColor="text1"/>
          <w:sz w:val="16"/>
          <w:szCs w:val="16"/>
        </w:rPr>
        <w:softHyphen/>
        <w:t>ные бачки с горючим и окислителем размещены внутри каждой из ло</w:t>
      </w:r>
      <w:r w:rsidRPr="00F90EAE">
        <w:rPr>
          <w:color w:val="000000" w:themeColor="text1"/>
          <w:sz w:val="16"/>
          <w:szCs w:val="16"/>
        </w:rPr>
        <w:softHyphen/>
        <w:t>пастей.</w:t>
      </w:r>
    </w:p>
    <w:p w14:paraId="179CA86D" w14:textId="77777777" w:rsidR="00F37105" w:rsidRPr="00F90EAE" w:rsidRDefault="00F37105" w:rsidP="00F90EAE">
      <w:pPr>
        <w:jc w:val="both"/>
        <w:rPr>
          <w:color w:val="000000" w:themeColor="text1"/>
          <w:sz w:val="16"/>
          <w:szCs w:val="16"/>
        </w:rPr>
      </w:pPr>
      <w:r w:rsidRPr="00F90EAE">
        <w:rPr>
          <w:color w:val="000000" w:themeColor="text1"/>
          <w:sz w:val="16"/>
          <w:szCs w:val="16"/>
        </w:rPr>
        <w:t>Начальник Бюро изобретений Госплана СССР Д. Михайлов</w:t>
      </w:r>
    </w:p>
    <w:p w14:paraId="6FF616C4" w14:textId="77777777" w:rsidR="00F37105" w:rsidRPr="00F90EAE" w:rsidRDefault="00F37105" w:rsidP="00F90EAE">
      <w:pPr>
        <w:jc w:val="both"/>
        <w:rPr>
          <w:color w:val="000000" w:themeColor="text1"/>
          <w:sz w:val="16"/>
          <w:szCs w:val="16"/>
        </w:rPr>
      </w:pPr>
      <w:r w:rsidRPr="00F90EAE">
        <w:rPr>
          <w:color w:val="000000" w:themeColor="text1"/>
          <w:sz w:val="16"/>
          <w:szCs w:val="16"/>
        </w:rPr>
        <w:t>Филиал РГАНТД. Ф. Р-1. Оп. 50-5. Д 2279. Л. 11. Зав. Копия (15633).</w:t>
      </w:r>
    </w:p>
    <w:p w14:paraId="4ED44DBF" w14:textId="77777777" w:rsidR="00F37105" w:rsidRPr="00F90EAE" w:rsidRDefault="00F37105" w:rsidP="00F90EAE">
      <w:pPr>
        <w:pStyle w:val="343"/>
        <w:shd w:val="clear" w:color="auto" w:fill="auto"/>
        <w:spacing w:line="240" w:lineRule="auto"/>
        <w:jc w:val="both"/>
        <w:outlineLvl w:val="9"/>
        <w:rPr>
          <w:rStyle w:val="341pt"/>
          <w:color w:val="000000" w:themeColor="text1"/>
          <w:spacing w:val="0"/>
          <w:sz w:val="16"/>
          <w:szCs w:val="16"/>
        </w:rPr>
      </w:pPr>
    </w:p>
    <w:p w14:paraId="41B76B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года была подготовлена справка:</w:t>
      </w:r>
    </w:p>
    <w:p w14:paraId="34A8F8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 473 НКАП расположен на трех промплощадках на расстоянии до 12 км между ними (8973).</w:t>
      </w:r>
    </w:p>
    <w:p w14:paraId="5143A809" w14:textId="77777777" w:rsidR="00665165" w:rsidRPr="00F90EAE" w:rsidRDefault="00665165" w:rsidP="00F90EAE">
      <w:pPr>
        <w:autoSpaceDE w:val="0"/>
        <w:autoSpaceDN w:val="0"/>
        <w:adjustRightInd w:val="0"/>
        <w:jc w:val="both"/>
        <w:rPr>
          <w:color w:val="000000" w:themeColor="text1"/>
          <w:sz w:val="16"/>
          <w:szCs w:val="16"/>
        </w:rPr>
      </w:pPr>
    </w:p>
    <w:p w14:paraId="2B9234E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303DD94" w14:textId="77777777" w:rsidR="00665165" w:rsidRPr="00F90EAE" w:rsidRDefault="00665165" w:rsidP="00F90EAE">
      <w:pPr>
        <w:autoSpaceDE w:val="0"/>
        <w:autoSpaceDN w:val="0"/>
        <w:adjustRightInd w:val="0"/>
        <w:jc w:val="both"/>
        <w:rPr>
          <w:iCs/>
          <w:color w:val="000000" w:themeColor="text1"/>
          <w:sz w:val="16"/>
          <w:szCs w:val="16"/>
        </w:rPr>
      </w:pPr>
    </w:p>
    <w:p w14:paraId="66584CEE" w14:textId="77777777" w:rsidR="00BE2FB1" w:rsidRPr="00F90EAE" w:rsidRDefault="00BE2FB1" w:rsidP="00F90EAE">
      <w:pPr>
        <w:jc w:val="both"/>
        <w:rPr>
          <w:color w:val="000000" w:themeColor="text1"/>
          <w:sz w:val="16"/>
          <w:szCs w:val="16"/>
        </w:rPr>
      </w:pPr>
      <w:r w:rsidRPr="00F90EAE">
        <w:rPr>
          <w:bCs/>
          <w:color w:val="000000" w:themeColor="text1"/>
          <w:sz w:val="16"/>
          <w:szCs w:val="16"/>
        </w:rPr>
        <w:t>26 мая</w:t>
      </w:r>
      <w:r w:rsidRPr="00F90EAE">
        <w:rPr>
          <w:color w:val="000000" w:themeColor="text1"/>
          <w:sz w:val="16"/>
          <w:szCs w:val="16"/>
        </w:rPr>
        <w:t xml:space="preserve"> в 1945 году в СССР объявлено о начале перехода промышленности к мирному производству (14902).</w:t>
      </w:r>
    </w:p>
    <w:p w14:paraId="648C4251" w14:textId="77777777" w:rsidR="00BE2FB1" w:rsidRPr="00F90EAE" w:rsidRDefault="00BE2FB1" w:rsidP="00F90EAE">
      <w:pPr>
        <w:jc w:val="both"/>
        <w:rPr>
          <w:color w:val="000000" w:themeColor="text1"/>
          <w:sz w:val="16"/>
          <w:szCs w:val="16"/>
        </w:rPr>
      </w:pPr>
    </w:p>
    <w:p w14:paraId="73D900ED"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26 мая 1945 г., ГОКО принимает постановление № 8804 «О мероприятиях по перестройке промышленности в связи с сокращением производства боеприпасов».</w:t>
      </w:r>
    </w:p>
    <w:p w14:paraId="67058CB1"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Это постановление еще больше снижает объемы производства боеприпасов. Кроме того, в нем наконец появляется некая концепция того, что нужно делать с отраслью (планом это назвать все еще нельзя). Постановление предусматривало: «освободить полностью от производства элементов боеприпасов с июня 1945 г. предприятия согласно приложению № 16 и перевести их на выпуск гражданской продукции». Все ведомства, ру</w:t>
      </w:r>
      <w:r w:rsidRPr="00F90EAE">
        <w:rPr>
          <w:rStyle w:val="a7"/>
          <w:b w:val="0"/>
          <w:color w:val="000000" w:themeColor="text1"/>
          <w:sz w:val="16"/>
          <w:szCs w:val="16"/>
        </w:rPr>
        <w:t>[236]</w:t>
      </w:r>
      <w:r w:rsidRPr="00F90EAE">
        <w:rPr>
          <w:color w:val="000000" w:themeColor="text1"/>
          <w:sz w:val="16"/>
          <w:szCs w:val="16"/>
        </w:rPr>
        <w:t>ководившие освобождаемыми от производства боеприпасов предприятиями, должны были «предоставить в Совнарком СССР и Госплан СССР свои предложения о номенклатуре и размерах производства гражданской продукции на освобождаемых мощностях от производства боеприпасов в пятидневный срок — на III квартал 1945 г., а также графики восстановления и освоения этой продукции».</w:t>
      </w:r>
    </w:p>
    <w:p w14:paraId="5AF3413C"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В приложении № 16 было перечислено 739 предприятий и организаций, входящих в состав 53 ведомств. Видимо, постановление коснулось всех или почти всех предприятий, не входивших в состав наркомата боеприпасов. ГОКО своим постановлением предоставило руководителям их ведомств возможность решать судьбу этих предприятий самостоятельно (сохранив за собой общий контроль за ситуацией и право вето в тех случаях, когда решения отраслевого руководства покажутся ошибочными). Можно предполагать, что отраслевые руководители имели представление и даже какие-либо проработанные планы по использованию высвобожденных производственных мощностей.</w:t>
      </w:r>
    </w:p>
    <w:p w14:paraId="411A79F5"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Постановление предусматривало сохранения способности быстро мобилизовать отрасль в случае возникновения новой военной угрозы:</w:t>
      </w:r>
    </w:p>
    <w:p w14:paraId="2FC579B5" w14:textId="77777777" w:rsidR="00BE2FB1" w:rsidRPr="00F90EAE" w:rsidRDefault="00BE2FB1" w:rsidP="00F90EAE">
      <w:pPr>
        <w:shd w:val="clear" w:color="auto" w:fill="FFFFFF"/>
        <w:jc w:val="both"/>
        <w:rPr>
          <w:color w:val="000000" w:themeColor="text1"/>
          <w:sz w:val="16"/>
          <w:szCs w:val="16"/>
        </w:rPr>
      </w:pPr>
      <w:r w:rsidRPr="00F90EAE">
        <w:rPr>
          <w:rStyle w:val="af0"/>
          <w:i w:val="0"/>
          <w:color w:val="000000" w:themeColor="text1"/>
          <w:sz w:val="16"/>
          <w:szCs w:val="16"/>
        </w:rPr>
        <w:t>«</w:t>
      </w:r>
      <w:r w:rsidRPr="00F90EAE">
        <w:rPr>
          <w:color w:val="000000" w:themeColor="text1"/>
          <w:sz w:val="16"/>
          <w:szCs w:val="16"/>
        </w:rPr>
        <w:t>В целях сохранения мобилизационных мощностей по производству элементов боеприпасов на предприятиях вне системы НКБ и на предприятиях НКБ по производству элементов боеприпасов, временно прекращены производством:</w:t>
      </w:r>
    </w:p>
    <w:p w14:paraId="45DAD617"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 xml:space="preserve">а) обязать Наркомбоеприпасов (т. Ванникова), Наркомминвооружения (т. Паршина), Наркомчермет (т. Тевосяна), Наркомсредмаш </w:t>
      </w:r>
      <w:r w:rsidRPr="00F90EAE">
        <w:rPr>
          <w:rStyle w:val="a7"/>
          <w:b w:val="0"/>
          <w:color w:val="000000" w:themeColor="text1"/>
          <w:sz w:val="16"/>
          <w:szCs w:val="16"/>
        </w:rPr>
        <w:t xml:space="preserve">[237] </w:t>
      </w:r>
      <w:r w:rsidRPr="00F90EAE">
        <w:rPr>
          <w:color w:val="000000" w:themeColor="text1"/>
          <w:sz w:val="16"/>
          <w:szCs w:val="16"/>
        </w:rPr>
        <w:t>(т. Акопова), Наркомвооружения (т. Устинова), Наркомтекстиль (т. Седина), Наркомтанкопром (т. Малышева), НКВД СССР (т. Чернышева) и Наркомбумпром (т. Орлова) сохранить цехи по производству элементов боеприпасов мощностью на выпуск согласно приложению № 18.</w:t>
      </w:r>
    </w:p>
    <w:p w14:paraId="7754192D"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Предложить указанным наркоматам содержать эти цехи в полной готовности к возобновлению производства элементов боеприпасов, перечисленных в приложении;</w:t>
      </w:r>
    </w:p>
    <w:p w14:paraId="7056D7F8"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б) обязать все наркоматы и ведомства, перечисленные в пункте 2 настоящего постановления, а также директоров предприятий полностью и частично освобождаемых от производства боеприпасов, заложить до 1 июля с.г. в мобрезерв специальное оборудование (операционные станки, пресса для испытания мин, снарядов и др.), приспособления и специальный инструмент, полуфабрикаты, специальные материалы и сырье, пригодное для производства боеприпасов, а также сохранить на освобождаемых предприятиях всю техническую документацию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4EA8326A"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в) предупредить всех директоров предприятий, частично и полностью освобождаемых от производства боеприпасов, об их персональной ответственности за сохранность и содержание в исправном состоянии мобилизационных резервов оборудования и имущества, запретив использование их без специального разрешения правительства».</w:t>
      </w:r>
    </w:p>
    <w:p w14:paraId="25A2E6F3"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Принципиально решив вопрос с производственными мощностями вне системы НКБ, постановление оставило без ответа не менее сложную проблему: что делать с самим гигантским наркоматом боеприпасов? Простых решений в этом вопросе не существовало. Казалось бы, логичным в этой ситуации было решение о «возврате к состоянию на 1941 год», но это было бы результатом поверхностного взгляда. На деле такое возвращение было невозможным. Во-первых, произошли значительные территориальные перемещения и организационные перераспределения производственных мощностей. В результате облик многих предприятий изменился, и их возвращение к прежнему профилю производства было не рациональным. Во-вторых, уровень милитаризации предвоенной промышленности был довольно высок, так как страна готовилась к войне. В новых послевоенных условиях необходимости в столь высокой милитаризации не было. В результате не ясно было, что делать с теми предприятиями, которые за свою историю никогда или почти никогда не производили гражданской продукции, а с самого начала были построены как заводы по производству боеприпасов или же перепрофилированы с мирной продукции на военную почти сразу после завершения своего строительства. Фактически эти предприятия оказались в подвешенном состоянии: боеприпасы в прежнем количестве производить нельзя, а что производить вместо них — не понятно.</w:t>
      </w:r>
    </w:p>
    <w:p w14:paraId="7582B4F7"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Это неясное положение производственных мощностей НКБ породило обострение межведомственной борьбы, которую вели другие ведомства с промышленностью боеприпасов. При этом предмет борьбы изменился. Если раньше целью было снять или хотя бы уменьшить нагрузку, падавшую на предприятия своих ведомств, то теперь руководство других отраслей стремилось к перераспределению производственных мощностей отрасли в свою пользу. Ведомства, которые ранее руководили этими предприятиями, требовали их передачи в прежнее подчинение для восстановления там прежнего производства. Фактически они хотели реализации варианта «возврата в 1941 год», что, как было указано выше, было на самом деле невозможно.</w:t>
      </w:r>
    </w:p>
    <w:p w14:paraId="32656CE1"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Эта борьба разворачивалась в рамках примерно того же самого состава участников и примерно по тем же правилам. Были инициаторы (как и ранее, отраслевые и региональные руководители), которые обращались за поддержкой к влиятельным фигурам в руководстве (все те же Берия, Маленков, Вознесенский). Наркомат боеприпасов и отдел боеприпасов Госплана, как и ранее, пытался отражать эти нападения, подбирая собственные контраргументы. И в итоге этой борьбы принималось (или не принималось) решение о передачи предприятия из состава НКБ в другое ведомство.</w:t>
      </w:r>
    </w:p>
    <w:p w14:paraId="780EC508" w14:textId="77777777" w:rsidR="00BE2FB1" w:rsidRPr="00F90EAE" w:rsidRDefault="00BE2FB1" w:rsidP="00F90EAE">
      <w:pPr>
        <w:shd w:val="clear" w:color="auto" w:fill="FFFFFF"/>
        <w:jc w:val="both"/>
        <w:rPr>
          <w:color w:val="000000" w:themeColor="text1"/>
          <w:sz w:val="16"/>
          <w:szCs w:val="16"/>
        </w:rPr>
      </w:pPr>
      <w:r w:rsidRPr="00F90EAE">
        <w:rPr>
          <w:color w:val="000000" w:themeColor="text1"/>
          <w:sz w:val="16"/>
          <w:szCs w:val="16"/>
        </w:rPr>
        <w:t>Новым в этой, уже изложенной выше совокупности процедур стали некоторые приемы оборонительной аргументации, используемой защитниками отрасли. Поразительным образом они быстро осваивают новую систему защиты. Если раньше их основным доводом была необходимость сохранения комплектной поставки боеприпасов в прежних объемах, то теперь, после постановлений ГОКО, такого рода аргументы более не могли иметь прежней силы. В этих условиях руководство отрасли начало действовать по принципу «если чтото нельзя предотвратить, это надо возглавить». Не имея возможности предотвратить осуществление конверсии и желая сохранить хотя бы отчасти свое прежнее влияние на советскую экономику, руководство отрасли быстро осознало, что добиться этого можно только самому став активным проводником политики конверсии. Тогда в ответ на запросы о передаче предприятий ранее управлявшим ими ведомствам для проведения конверсии можно будет возражать, что на этих предприятиях под руководством НКБ уже началась подготовка к производству гражданской продукции. При этом подобранный наркоматом новый профиль продукции более соответствует изменившейся производственной базе и накопленному предприятием опыту (15847).</w:t>
      </w:r>
    </w:p>
    <w:p w14:paraId="69A9C72E" w14:textId="77777777" w:rsidR="00BE2FB1" w:rsidRPr="00F90EAE" w:rsidRDefault="00BE2FB1" w:rsidP="00F90EAE">
      <w:pPr>
        <w:jc w:val="both"/>
        <w:rPr>
          <w:iCs/>
          <w:color w:val="000000" w:themeColor="text1"/>
          <w:sz w:val="16"/>
          <w:szCs w:val="16"/>
        </w:rPr>
      </w:pPr>
    </w:p>
    <w:p w14:paraId="314B12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8844сс “О мероприятиях по перестройке промышленности в связи с сокращением производства боеприпасов” - 8 стр. По уменьшению поставок в июне-июле 1945 и переключении высвобождавшихся ресурсов на выпуск мирной прродукции + 18 приложений (7543, 10).</w:t>
      </w:r>
    </w:p>
    <w:p w14:paraId="28132861" w14:textId="77777777" w:rsidR="00665165" w:rsidRPr="00F90EAE" w:rsidRDefault="00665165" w:rsidP="00F90EAE">
      <w:pPr>
        <w:autoSpaceDE w:val="0"/>
        <w:autoSpaceDN w:val="0"/>
        <w:adjustRightInd w:val="0"/>
        <w:jc w:val="both"/>
        <w:rPr>
          <w:color w:val="000000" w:themeColor="text1"/>
          <w:sz w:val="16"/>
          <w:szCs w:val="16"/>
        </w:rPr>
      </w:pPr>
    </w:p>
    <w:p w14:paraId="0200C8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 вышло постановление № ГОКО-8844 “О мероприятиях по перестройке промышленности в связи с сокращением производства боеприпасов”. Сам текст постановления уместился на восьми машинописных страницах. Прежде всего, шла речь об уменьшении плана поставки боеприпасов Наркомату обороны и Наркомвоенморфлоту в июне-июле 1945 г., в т.ч. корпусов 23 мм, 37 мм, 76 мм и др. снарядов, а также ручных противотанковых гранат, противотанковых мин и корпусов авиамбомб. Высвобождавшиеся в связи с этим металлы, материалы, инструменты, химикаты и топливо передавались для выпуска мирной продукции. Однако специальным пунктом требовалось сохранение мобилизационных мощностей по производству боеприпасов. Госплану СССР разрешалось создавать в отделе боеприпасов мобилизационный сектор.</w:t>
      </w:r>
    </w:p>
    <w:p w14:paraId="73172B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Народный комиссар боеприпасов Б.Л.Ванников обязывался совместно с Госпланом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НКБ; разрешалось восстановить с 1 июня 1945 г. для всех работающих выходные дни и очередные отпуска. Специальные пункты постановления посвящались регулированию вопросов премирования, повышения отпускных цен, поправкам к планам на 2-й квартал 1945 г. и другим конкретным вопросам, связанным с переходом к работе в мирных условиях.</w:t>
      </w:r>
    </w:p>
    <w:p w14:paraId="5AF3C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ГОКО поручил председателю Госплана СССР Вознесенскому Н.А. (созыв), председателю ВЦСПС Кузнецову В. В., Наркому финансов Звереву А. Г. и Наркому боеприпасов Ванникову Б.Л. в 10-дневный срок внести в оперативное бюро ГОКО свои предложения о сохранении и поощрении кадров на заводах НКБ, предусмотрев особые преимущества для рабочих, инженерно-технических работников и служащих восточных заводов. Определялся порядок передачи некоторых заводов другим наркоматам. Особым пунктом Наркомбоеприпасов обязывался принять необходимые меры по проведению ремонта зданий и оборудования взрывоопасных заводов.</w:t>
      </w:r>
    </w:p>
    <w:p w14:paraId="559CCC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Приложения к Постановлению (их 18) занимали свыше шестидесяти машинописных страниц. Одним из наиболее важных нам представляется приложение № 16:</w:t>
      </w:r>
    </w:p>
    <w:p w14:paraId="7B5711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“Список предприятий, полностью освобождаемых с 1 июня 1945 г. от производства боеприпасов и спецукупорки для них, на которых освобождаемые мощности по производству боеприпасов переводятся на выпуск гражданской продукции”. В списке - 740 предприятий (!), из которых 483 завода, остальные - строительные организации, мастерские, артели, фабрики, ателье, а также 43 исправительно-трудовых колонии. По ведомственной принадлежности предприятия относились к 33 союзным наркоматам (более всего: лесной промышленности - 49, строительства - 36, путей сообщения - 35, черной металлургии -27 и т.д.), 6 главкам (более всего Главному управлению трудовых резервов - 12) и 3 комитетам - (по делам геологии, кинематографии, искусств); учреждениям РСФСР (более всего: наркомату местной промышленности - 39, Управлению промкооперации - 58) и некоторых других республик (Узбекистана, Грузии, Туркмении), а также Моссовета (26 различных предприятий, в том числе 3 парка культуры и отдыха), Всекоопинсоюза. Заметим: в примечании указывается, что это не полный перечень (7543).</w:t>
      </w:r>
    </w:p>
    <w:p w14:paraId="5654842D" w14:textId="77777777" w:rsidR="00665165" w:rsidRPr="00F90EAE" w:rsidRDefault="00665165" w:rsidP="00F90EAE">
      <w:pPr>
        <w:autoSpaceDE w:val="0"/>
        <w:autoSpaceDN w:val="0"/>
        <w:adjustRightInd w:val="0"/>
        <w:jc w:val="both"/>
        <w:rPr>
          <w:color w:val="000000" w:themeColor="text1"/>
          <w:sz w:val="16"/>
          <w:szCs w:val="16"/>
        </w:rPr>
      </w:pPr>
    </w:p>
    <w:p w14:paraId="035FA4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 - вышло постановление ГОКО “О мероприятиях по перестройке промышленности в связи с сокращением производства вооружения”. Количество предприятий, полностью освобожденных от производства предметов вооружения и подлежащих загрузке производством гражданской продукции, значительно меньше: 17 заводов, подчиненных союзным наркоматам, и 15 предприятий (заводов, фабрик, артелей) республиканского подчинения. Так, завод № 718 наркомата минометного вооружения освобождался с 1 июля от выпуска минометов (до войны в основном выпускал дизеля и запчасти к ним); завод № 828 того же наркомата освобождался от производства пистолетов - пулеметов ПР-43 (довоенный профиль - счетно-аналитические машины); завод № 197 наркомата электропромышленности, выпускавший ранее крупные войсковые и авиационные радиостанции, с 1 августа переставал изготовлять детали артиллерии; завод № 12 Наркомтекстиля, специализировавшийся до войны на изготовлении запчастей к текстильным машинам, прекращал выпуск прицелов к пулеметам; артель “Спайка” управления промкооперации при СНК РСФСР возвращалась к производству металлогалан-тереи взамен пулеметных лент “Максима” и т.д. (7543)</w:t>
      </w:r>
    </w:p>
    <w:p w14:paraId="0729B5B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662D6B92" w14:textId="77777777" w:rsidR="00BE2FB1" w:rsidRPr="00F90EAE" w:rsidRDefault="00BE2FB1" w:rsidP="00F90EAE">
      <w:pPr>
        <w:autoSpaceDE w:val="0"/>
        <w:autoSpaceDN w:val="0"/>
        <w:adjustRightInd w:val="0"/>
        <w:jc w:val="both"/>
        <w:rPr>
          <w:color w:val="000000" w:themeColor="text1"/>
          <w:sz w:val="16"/>
          <w:szCs w:val="16"/>
        </w:rPr>
      </w:pPr>
      <w:r w:rsidRPr="00F90EAE">
        <w:rPr>
          <w:color w:val="000000" w:themeColor="text1"/>
          <w:sz w:val="16"/>
          <w:szCs w:val="16"/>
        </w:rPr>
        <w:t>26 мая 1945 г. по приказу НКМВ СКБ-3 реорганизовано в НИИ-3 НКМВ (СКБ завода № 738 НКМВ, СКБ-3 НКМВ, НИИ-3 НКМВ, НИИ полиграфического машиностроения (НИИПолиграфмаш) ММиП, ММ, Мннлегпищемаша, Всесоюзный НИИ оборудования для печатных изданий, картонной и бумажной тары (ВНИИОПИТ) Минлегпищемаша, ВНИИПолиграфмаш, ЗАО «НИИ полиграфического машиностроения» («НИИПолиграфмаш») /117420  г. Москва ул. Профсоюзная, 57 тел. 334-20-88/). В 1946 г. НИИ-3 переименован в НИИполиграфмаш ММиП, в ведении которого находился в 1946-53 г. и в 1954-56г (в 1947 г. - в ведении Главполиграфмаша ММиП). В 1953-54 г. и в 1956-57 г. - в ведении ММ. В 1957 г. передан в ведение Госплана РСФСР, а в 1958 г. - в ведение МосгорСНХ. В 1959-63 г. - в ведении ГК по автоматизации и машиностроению, в 1963-65 г. - ГК по печати. С 1965 г. передан в подчинение Минлегпищемаша. По приказу Минлегпищемаша от 15.07.1968 г. институт реорганизован во ВНИИОПИТ, а по приказу от 22.09.1977 г. переименован во ВНИИполиграфмаш.</w:t>
      </w:r>
    </w:p>
    <w:p w14:paraId="7784B96B" w14:textId="77777777" w:rsidR="00BE2FB1" w:rsidRPr="00F90EAE" w:rsidRDefault="00BE2FB1" w:rsidP="00F90EAE">
      <w:pPr>
        <w:autoSpaceDE w:val="0"/>
        <w:autoSpaceDN w:val="0"/>
        <w:adjustRightInd w:val="0"/>
        <w:jc w:val="both"/>
        <w:rPr>
          <w:color w:val="000000" w:themeColor="text1"/>
          <w:sz w:val="16"/>
          <w:szCs w:val="16"/>
        </w:rPr>
      </w:pPr>
      <w:r w:rsidRPr="00F90EAE">
        <w:rPr>
          <w:color w:val="000000" w:themeColor="text1"/>
          <w:sz w:val="16"/>
          <w:szCs w:val="16"/>
        </w:rPr>
        <w:t>Имел филиалы: Ленинградский, Рыбинский (Щербаковский).</w:t>
      </w:r>
    </w:p>
    <w:p w14:paraId="39CA47F7" w14:textId="77777777" w:rsidR="00BE2FB1" w:rsidRPr="00F90EAE" w:rsidRDefault="00BE2FB1" w:rsidP="00F90EAE">
      <w:pPr>
        <w:autoSpaceDE w:val="0"/>
        <w:autoSpaceDN w:val="0"/>
        <w:adjustRightInd w:val="0"/>
        <w:jc w:val="both"/>
        <w:rPr>
          <w:color w:val="000000" w:themeColor="text1"/>
          <w:sz w:val="16"/>
          <w:szCs w:val="16"/>
        </w:rPr>
      </w:pPr>
      <w:r w:rsidRPr="00F90EAE">
        <w:rPr>
          <w:color w:val="000000" w:themeColor="text1"/>
          <w:sz w:val="16"/>
          <w:szCs w:val="16"/>
        </w:rPr>
        <w:t>Работы: проектирование нового и модернизация действующего оборудования для полиграфической промышленности и предприятий по производству картонной и бумажной тары.</w:t>
      </w:r>
    </w:p>
    <w:p w14:paraId="20379F95" w14:textId="77777777" w:rsidR="00BE2FB1" w:rsidRPr="00F90EAE" w:rsidRDefault="00BE2FB1" w:rsidP="00F90EAE">
      <w:pPr>
        <w:autoSpaceDE w:val="0"/>
        <w:autoSpaceDN w:val="0"/>
        <w:adjustRightInd w:val="0"/>
        <w:jc w:val="both"/>
        <w:rPr>
          <w:color w:val="000000" w:themeColor="text1"/>
          <w:sz w:val="16"/>
          <w:szCs w:val="16"/>
        </w:rPr>
      </w:pPr>
      <w:r w:rsidRPr="00F90EAE">
        <w:rPr>
          <w:color w:val="000000" w:themeColor="text1"/>
          <w:sz w:val="16"/>
          <w:szCs w:val="16"/>
        </w:rPr>
        <w:t xml:space="preserve">Гендиректор (1999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Присяжный (11982).</w:t>
      </w:r>
    </w:p>
    <w:p w14:paraId="10F1CA3C" w14:textId="77777777" w:rsidR="00BE2FB1" w:rsidRPr="00F90EAE" w:rsidRDefault="00BE2FB1" w:rsidP="00F90EAE">
      <w:pPr>
        <w:autoSpaceDE w:val="0"/>
        <w:autoSpaceDN w:val="0"/>
        <w:adjustRightInd w:val="0"/>
        <w:jc w:val="both"/>
        <w:rPr>
          <w:color w:val="000000" w:themeColor="text1"/>
          <w:sz w:val="16"/>
          <w:szCs w:val="16"/>
        </w:rPr>
      </w:pPr>
    </w:p>
    <w:p w14:paraId="26E80EA1" w14:textId="77777777" w:rsidR="00BE2FB1" w:rsidRPr="00F90EAE" w:rsidRDefault="00BE2FB1" w:rsidP="00F90EAE">
      <w:pPr>
        <w:autoSpaceDE w:val="0"/>
        <w:autoSpaceDN w:val="0"/>
        <w:adjustRightInd w:val="0"/>
        <w:jc w:val="both"/>
        <w:rPr>
          <w:color w:val="000000" w:themeColor="text1"/>
          <w:sz w:val="16"/>
          <w:szCs w:val="16"/>
        </w:rPr>
      </w:pPr>
      <w:r w:rsidRPr="00F90EAE">
        <w:rPr>
          <w:color w:val="000000" w:themeColor="text1"/>
          <w:sz w:val="16"/>
          <w:szCs w:val="16"/>
        </w:rPr>
        <w:t>26 мая 1945 г. 35-ти тысячный танк, сошедший с конвейера завода №183, , так и не покинул завод - он стал первым танком-памятником (3905).</w:t>
      </w:r>
    </w:p>
    <w:p w14:paraId="2F85FE1F" w14:textId="77777777" w:rsidR="00BE2FB1" w:rsidRPr="00F90EAE" w:rsidRDefault="00BE2FB1" w:rsidP="00F90EAE">
      <w:pPr>
        <w:autoSpaceDE w:val="0"/>
        <w:autoSpaceDN w:val="0"/>
        <w:adjustRightInd w:val="0"/>
        <w:jc w:val="both"/>
        <w:rPr>
          <w:color w:val="000000" w:themeColor="text1"/>
          <w:sz w:val="16"/>
          <w:szCs w:val="16"/>
        </w:rPr>
      </w:pPr>
    </w:p>
    <w:p w14:paraId="4272B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8721. О ликвидации завода № 398 НКБ в Москве. РГАНИР, Фонд ГКО, д. 419, лл. 1 (11012).</w:t>
      </w:r>
    </w:p>
    <w:p w14:paraId="45FADF65" w14:textId="77777777" w:rsidR="00665165" w:rsidRPr="00F90EAE" w:rsidRDefault="00665165" w:rsidP="00F90EAE">
      <w:pPr>
        <w:autoSpaceDE w:val="0"/>
        <w:autoSpaceDN w:val="0"/>
        <w:adjustRightInd w:val="0"/>
        <w:jc w:val="both"/>
        <w:rPr>
          <w:color w:val="000000" w:themeColor="text1"/>
          <w:sz w:val="16"/>
          <w:szCs w:val="16"/>
        </w:rPr>
      </w:pPr>
    </w:p>
    <w:p w14:paraId="44590BF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8722 [О сохранении в системе НКсовхозов СССР Старо-Сенакского свиносовхоза в Грузинской ССР.] (7343, 2).</w:t>
      </w:r>
    </w:p>
    <w:p w14:paraId="272D009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47D40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8723. О дополнительном выделении бензина ГУГК при СНК СССР. РГАНИР, Фонд ГКО, д. 419, лл. 3 (11012).</w:t>
      </w:r>
    </w:p>
    <w:p w14:paraId="54207AEA" w14:textId="77777777" w:rsidR="00665165" w:rsidRPr="00F90EAE" w:rsidRDefault="00665165" w:rsidP="00F90EAE">
      <w:pPr>
        <w:autoSpaceDE w:val="0"/>
        <w:autoSpaceDN w:val="0"/>
        <w:adjustRightInd w:val="0"/>
        <w:jc w:val="both"/>
        <w:rPr>
          <w:color w:val="000000" w:themeColor="text1"/>
          <w:sz w:val="16"/>
          <w:szCs w:val="16"/>
        </w:rPr>
      </w:pPr>
    </w:p>
    <w:p w14:paraId="7D184B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8724. Об организации социалистического соревнования на строительстве газопровода Саратов-Москва. РГАНИР, Фонд ГКО, д. 419, лл. 4 (11012).</w:t>
      </w:r>
    </w:p>
    <w:p w14:paraId="2827C862" w14:textId="77777777" w:rsidR="00665165" w:rsidRPr="00F90EAE" w:rsidRDefault="00665165" w:rsidP="00F90EAE">
      <w:pPr>
        <w:autoSpaceDE w:val="0"/>
        <w:autoSpaceDN w:val="0"/>
        <w:adjustRightInd w:val="0"/>
        <w:jc w:val="both"/>
        <w:rPr>
          <w:color w:val="000000" w:themeColor="text1"/>
          <w:sz w:val="16"/>
          <w:szCs w:val="16"/>
        </w:rPr>
      </w:pPr>
    </w:p>
    <w:p w14:paraId="193F162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8725 [О дополнительном выделении угля НКВД для Широклага во II кв. 1945 г.] (7343, 5).</w:t>
      </w:r>
    </w:p>
    <w:p w14:paraId="24423CC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C233B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8726. О дополнительном выделении угля Главвоенпромстрою при СНК СССР во П кв.1945 г. РГАНИР, Фонд ГКО, д. 419, лл. 6 (11012).</w:t>
      </w:r>
    </w:p>
    <w:p w14:paraId="0EAA7101" w14:textId="77777777" w:rsidR="00665165" w:rsidRPr="00F90EAE" w:rsidRDefault="00665165" w:rsidP="00F90EAE">
      <w:pPr>
        <w:autoSpaceDE w:val="0"/>
        <w:autoSpaceDN w:val="0"/>
        <w:adjustRightInd w:val="0"/>
        <w:jc w:val="both"/>
        <w:rPr>
          <w:color w:val="000000" w:themeColor="text1"/>
          <w:sz w:val="16"/>
          <w:szCs w:val="16"/>
        </w:rPr>
      </w:pPr>
    </w:p>
    <w:p w14:paraId="3BBDE8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8727 [О дополнительном выделении угля Управлению делами ЦК ВКП(б) для высших партийных школ и курсов.] (7343, 7).</w:t>
      </w:r>
    </w:p>
    <w:p w14:paraId="7F9294A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55E7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8728. О дополнительном выделении бензина Донбассэнерго в мае 1945 г. РГАНИР, Фонд ГКО, д. 419, лл. 8 (11012).</w:t>
      </w:r>
    </w:p>
    <w:p w14:paraId="03973ABF" w14:textId="77777777" w:rsidR="00665165" w:rsidRPr="00F90EAE" w:rsidRDefault="00665165" w:rsidP="00F90EAE">
      <w:pPr>
        <w:autoSpaceDE w:val="0"/>
        <w:autoSpaceDN w:val="0"/>
        <w:adjustRightInd w:val="0"/>
        <w:jc w:val="both"/>
        <w:rPr>
          <w:color w:val="000000" w:themeColor="text1"/>
          <w:sz w:val="16"/>
          <w:szCs w:val="16"/>
        </w:rPr>
      </w:pPr>
    </w:p>
    <w:p w14:paraId="5BB555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8729 О мерах помощи строительству Сухумской гидроэлектростанции Наркомэлектростанций. РГАНИР, Фонд ГКО, д. 419, лл. 9-10 (11012).</w:t>
      </w:r>
    </w:p>
    <w:p w14:paraId="56AF3DB1" w14:textId="77777777" w:rsidR="00665165" w:rsidRPr="00F90EAE" w:rsidRDefault="00665165" w:rsidP="00F90EAE">
      <w:pPr>
        <w:autoSpaceDE w:val="0"/>
        <w:autoSpaceDN w:val="0"/>
        <w:adjustRightInd w:val="0"/>
        <w:jc w:val="both"/>
        <w:rPr>
          <w:color w:val="000000" w:themeColor="text1"/>
          <w:sz w:val="16"/>
          <w:szCs w:val="16"/>
        </w:rPr>
      </w:pPr>
    </w:p>
    <w:p w14:paraId="1BDE972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8730 Об обеспечении промышленности и транспорта топочным мазутом в мае 1945 г. (7343, 11).</w:t>
      </w:r>
    </w:p>
    <w:p w14:paraId="45598391"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1927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8731 О вывозе трех турбогенераторов общей мощности 60 тысяч киловатт с электростанций г. г. Росток и Финов, провода и изоляторов с высоковольтных линий электропередач района Штеттин-Пазевальк. РГАНИР, Фонд ГКО, д. 419, лл. 12-13 (11012).</w:t>
      </w:r>
    </w:p>
    <w:p w14:paraId="5E149F38" w14:textId="77777777" w:rsidR="00665165" w:rsidRPr="00F90EAE" w:rsidRDefault="00665165" w:rsidP="00F90EAE">
      <w:pPr>
        <w:autoSpaceDE w:val="0"/>
        <w:autoSpaceDN w:val="0"/>
        <w:adjustRightInd w:val="0"/>
        <w:jc w:val="both"/>
        <w:rPr>
          <w:color w:val="000000" w:themeColor="text1"/>
          <w:sz w:val="16"/>
          <w:szCs w:val="16"/>
        </w:rPr>
      </w:pPr>
    </w:p>
    <w:p w14:paraId="582D131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8732 О дополнительной разборке железнодорожных линий на территории Германии. (7343, 14-15,16-17).</w:t>
      </w:r>
    </w:p>
    <w:p w14:paraId="54423AD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BD809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8733 О вывозе оборудования с немецкого паровозосборочного и ремонтного завода фирмы "Берлинермашиненбау" (бывший "Шварцкопф") в населенном пункте Вильдау (в районе г. Берлин). РГАНИР, Фонд ГКО, д. 419, лл. 18 (11012).</w:t>
      </w:r>
    </w:p>
    <w:p w14:paraId="79F6D9FA" w14:textId="77777777" w:rsidR="00665165" w:rsidRPr="00F90EAE" w:rsidRDefault="00665165" w:rsidP="00F90EAE">
      <w:pPr>
        <w:autoSpaceDE w:val="0"/>
        <w:autoSpaceDN w:val="0"/>
        <w:adjustRightInd w:val="0"/>
        <w:jc w:val="both"/>
        <w:rPr>
          <w:color w:val="000000" w:themeColor="text1"/>
          <w:sz w:val="16"/>
          <w:szCs w:val="16"/>
        </w:rPr>
      </w:pPr>
    </w:p>
    <w:p w14:paraId="0E1540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8734 О вывозе оборудования с немецкого паровозовагоноремонтного завода в г. Котбус. РГАНИР, Фонд ГКО, д. 419, лл. 19-20 (11012).</w:t>
      </w:r>
    </w:p>
    <w:p w14:paraId="604F084E" w14:textId="77777777" w:rsidR="00665165" w:rsidRPr="00F90EAE" w:rsidRDefault="00665165" w:rsidP="00F90EAE">
      <w:pPr>
        <w:autoSpaceDE w:val="0"/>
        <w:autoSpaceDN w:val="0"/>
        <w:adjustRightInd w:val="0"/>
        <w:jc w:val="both"/>
        <w:rPr>
          <w:color w:val="000000" w:themeColor="text1"/>
          <w:sz w:val="16"/>
          <w:szCs w:val="16"/>
        </w:rPr>
      </w:pPr>
    </w:p>
    <w:p w14:paraId="52FE7A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8735 О вывозе оборудования по производству деталей к подводным лодкам с немецкого завода фирмы "Флер" в г. Берлин на завод № 497 НКСП в г. Севастополь. РГАНИР, Фонд ГКО, д. 419, лл. 21-22 (11012).</w:t>
      </w:r>
    </w:p>
    <w:p w14:paraId="07AE0BAB" w14:textId="77777777" w:rsidR="00665165" w:rsidRPr="00F90EAE" w:rsidRDefault="00665165" w:rsidP="00F90EAE">
      <w:pPr>
        <w:autoSpaceDE w:val="0"/>
        <w:autoSpaceDN w:val="0"/>
        <w:adjustRightInd w:val="0"/>
        <w:jc w:val="both"/>
        <w:rPr>
          <w:color w:val="000000" w:themeColor="text1"/>
          <w:sz w:val="16"/>
          <w:szCs w:val="16"/>
        </w:rPr>
      </w:pPr>
    </w:p>
    <w:p w14:paraId="3B0255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8736 О вывозе оборудования машиностроительных заводов в г. Берлин на заводы Наркомтяжмаша. РГАНИР, Фонд ГКО, д. 419, лл. 23-24 (11012).</w:t>
      </w:r>
    </w:p>
    <w:p w14:paraId="638664FC" w14:textId="77777777" w:rsidR="00665165" w:rsidRPr="00F90EAE" w:rsidRDefault="00665165" w:rsidP="00F90EAE">
      <w:pPr>
        <w:autoSpaceDE w:val="0"/>
        <w:autoSpaceDN w:val="0"/>
        <w:adjustRightInd w:val="0"/>
        <w:jc w:val="both"/>
        <w:rPr>
          <w:color w:val="000000" w:themeColor="text1"/>
          <w:sz w:val="16"/>
          <w:szCs w:val="16"/>
        </w:rPr>
      </w:pPr>
    </w:p>
    <w:p w14:paraId="35DD0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8737 О вывозе оборудования завода подземно-транспортного оборудования фирмы "Беккер" в г. Берлин. РГАНИР, Фонд ГКО, д. 419, лл. 25 (11012).</w:t>
      </w:r>
    </w:p>
    <w:p w14:paraId="7AB1B747" w14:textId="77777777" w:rsidR="00665165" w:rsidRPr="00F90EAE" w:rsidRDefault="00665165" w:rsidP="00F90EAE">
      <w:pPr>
        <w:autoSpaceDE w:val="0"/>
        <w:autoSpaceDN w:val="0"/>
        <w:adjustRightInd w:val="0"/>
        <w:jc w:val="both"/>
        <w:rPr>
          <w:color w:val="000000" w:themeColor="text1"/>
          <w:sz w:val="16"/>
          <w:szCs w:val="16"/>
        </w:rPr>
      </w:pPr>
    </w:p>
    <w:p w14:paraId="0ED10F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мая 1945 вышло Постановление ГКО № 8738 О частичном изменении постановления ГОКО № 8099 от 12.IV.1945 года. РГАНИР, Фонд ГКО, д. 419, лл. 26 (11012).</w:t>
      </w:r>
    </w:p>
    <w:p w14:paraId="05576891" w14:textId="77777777" w:rsidR="00665165" w:rsidRPr="00F90EAE" w:rsidRDefault="00665165" w:rsidP="00F90EAE">
      <w:pPr>
        <w:autoSpaceDE w:val="0"/>
        <w:autoSpaceDN w:val="0"/>
        <w:adjustRightInd w:val="0"/>
        <w:jc w:val="both"/>
        <w:rPr>
          <w:color w:val="000000" w:themeColor="text1"/>
          <w:sz w:val="16"/>
          <w:szCs w:val="16"/>
        </w:rPr>
      </w:pPr>
    </w:p>
    <w:p w14:paraId="05532E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8739 О вывозе оборудования немецких машиностроительных заводов на заводы Наркомсредмаша. РГАНИР, Фонд ГКО, д. 419, лл. 27-28 (11012).</w:t>
      </w:r>
    </w:p>
    <w:p w14:paraId="6323756B" w14:textId="77777777" w:rsidR="00665165" w:rsidRPr="00F90EAE" w:rsidRDefault="00665165" w:rsidP="00F90EAE">
      <w:pPr>
        <w:autoSpaceDE w:val="0"/>
        <w:autoSpaceDN w:val="0"/>
        <w:adjustRightInd w:val="0"/>
        <w:jc w:val="both"/>
        <w:rPr>
          <w:color w:val="000000" w:themeColor="text1"/>
          <w:sz w:val="16"/>
          <w:szCs w:val="16"/>
        </w:rPr>
      </w:pPr>
    </w:p>
    <w:p w14:paraId="625C6D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8740 О вывозе оборудования немецкого механического завода фирмы "Вильгельм Бюрл" г. Берлин на завод № 141 НКСП г. Таганрог. РГАНИР, Фонд ГКО, д. 419, лл. 29 (11012).</w:t>
      </w:r>
    </w:p>
    <w:p w14:paraId="0EF3DD13" w14:textId="77777777" w:rsidR="00665165" w:rsidRPr="00F90EAE" w:rsidRDefault="00665165" w:rsidP="00F90EAE">
      <w:pPr>
        <w:autoSpaceDE w:val="0"/>
        <w:autoSpaceDN w:val="0"/>
        <w:adjustRightInd w:val="0"/>
        <w:jc w:val="both"/>
        <w:rPr>
          <w:color w:val="000000" w:themeColor="text1"/>
          <w:sz w:val="16"/>
          <w:szCs w:val="16"/>
        </w:rPr>
      </w:pPr>
    </w:p>
    <w:p w14:paraId="3C74DF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8741 О вывозе оборудования завода по производству корпусов снарядов акционерного общества "Зигефельдер Индустрия" в г. Берлин. РГАНИР, Фонд ГКО, д. 419, лл. 30 (11012).</w:t>
      </w:r>
    </w:p>
    <w:p w14:paraId="6ABA49EE" w14:textId="77777777" w:rsidR="00665165" w:rsidRPr="00F90EAE" w:rsidRDefault="00665165" w:rsidP="00F90EAE">
      <w:pPr>
        <w:autoSpaceDE w:val="0"/>
        <w:autoSpaceDN w:val="0"/>
        <w:adjustRightInd w:val="0"/>
        <w:jc w:val="both"/>
        <w:rPr>
          <w:color w:val="000000" w:themeColor="text1"/>
          <w:sz w:val="16"/>
          <w:szCs w:val="16"/>
        </w:rPr>
      </w:pPr>
    </w:p>
    <w:p w14:paraId="07B331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8742 О вывозе оборудования машиностроительного завода фирмы "Борзиг" в г. Берлин. РГАНИР, Фонд ГКО, д. 419, лл. 31-32 (11012).</w:t>
      </w:r>
    </w:p>
    <w:p w14:paraId="008BBAAF" w14:textId="77777777" w:rsidR="00665165" w:rsidRPr="00F90EAE" w:rsidRDefault="00665165" w:rsidP="00F90EAE">
      <w:pPr>
        <w:autoSpaceDE w:val="0"/>
        <w:autoSpaceDN w:val="0"/>
        <w:adjustRightInd w:val="0"/>
        <w:jc w:val="both"/>
        <w:rPr>
          <w:color w:val="000000" w:themeColor="text1"/>
          <w:sz w:val="16"/>
          <w:szCs w:val="16"/>
        </w:rPr>
      </w:pPr>
    </w:p>
    <w:p w14:paraId="0B857A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8743 О вывозе оборудования радиолокационного научно-исследовательского института фирмы "Телефункен" в г. Берлин. РГАНИР, Фонд ГКО, д. 419, лл. 33 (11012).</w:t>
      </w:r>
    </w:p>
    <w:p w14:paraId="1AAD0FCE" w14:textId="77777777" w:rsidR="00665165" w:rsidRPr="00F90EAE" w:rsidRDefault="00665165" w:rsidP="00F90EAE">
      <w:pPr>
        <w:autoSpaceDE w:val="0"/>
        <w:autoSpaceDN w:val="0"/>
        <w:adjustRightInd w:val="0"/>
        <w:jc w:val="both"/>
        <w:rPr>
          <w:color w:val="000000" w:themeColor="text1"/>
          <w:sz w:val="16"/>
          <w:szCs w:val="16"/>
        </w:rPr>
      </w:pPr>
    </w:p>
    <w:p w14:paraId="7C440F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8744 О вывозе оборудования с немецкого завода фирмы "Ардельт" в г. Эберсвальде. РГАНИР, Фонд ГКО, д. 419, лл. 34-35 (11012).</w:t>
      </w:r>
    </w:p>
    <w:p w14:paraId="5A1ABDD2" w14:textId="77777777" w:rsidR="00665165" w:rsidRPr="00F90EAE" w:rsidRDefault="00665165" w:rsidP="00F90EAE">
      <w:pPr>
        <w:autoSpaceDE w:val="0"/>
        <w:autoSpaceDN w:val="0"/>
        <w:adjustRightInd w:val="0"/>
        <w:jc w:val="both"/>
        <w:rPr>
          <w:color w:val="000000" w:themeColor="text1"/>
          <w:sz w:val="16"/>
          <w:szCs w:val="16"/>
        </w:rPr>
      </w:pPr>
    </w:p>
    <w:p w14:paraId="4EF112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8745 О вывозе оборудования оптико-механического завода немецкой фирмы "Эмиль Буш" в г. Ратенов (Германия). РГАНИР, Фонд ГКО, д. 419, лл. 36-37 (11012).</w:t>
      </w:r>
    </w:p>
    <w:p w14:paraId="11658A0E" w14:textId="77777777" w:rsidR="00665165" w:rsidRPr="00F90EAE" w:rsidRDefault="00665165" w:rsidP="00F90EAE">
      <w:pPr>
        <w:autoSpaceDE w:val="0"/>
        <w:autoSpaceDN w:val="0"/>
        <w:adjustRightInd w:val="0"/>
        <w:jc w:val="both"/>
        <w:rPr>
          <w:color w:val="000000" w:themeColor="text1"/>
          <w:sz w:val="16"/>
          <w:szCs w:val="16"/>
        </w:rPr>
      </w:pPr>
    </w:p>
    <w:p w14:paraId="7F6DF8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8746 О вывозе оборудования артиллерийского завода фирмы "Борзиг" и его филиала в г. Губен (Германия). РГАНИР, Фонд ГКО, д. 419, лл. 38-39 (11012).</w:t>
      </w:r>
    </w:p>
    <w:p w14:paraId="38E14AEA" w14:textId="77777777" w:rsidR="00665165" w:rsidRPr="00F90EAE" w:rsidRDefault="00665165" w:rsidP="00F90EAE">
      <w:pPr>
        <w:autoSpaceDE w:val="0"/>
        <w:autoSpaceDN w:val="0"/>
        <w:adjustRightInd w:val="0"/>
        <w:jc w:val="both"/>
        <w:rPr>
          <w:color w:val="000000" w:themeColor="text1"/>
          <w:sz w:val="16"/>
          <w:szCs w:val="16"/>
        </w:rPr>
      </w:pPr>
    </w:p>
    <w:p w14:paraId="3603C5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8747 О вывозе оборудования немецкого завода фирмы "Геншель" г. Форст на завод № 302 НКСП г. Киев. РГАНИР, Фонд ГКО, д. 419, лл. 40-41 (11012).</w:t>
      </w:r>
    </w:p>
    <w:p w14:paraId="49C27EEB" w14:textId="77777777" w:rsidR="00665165" w:rsidRPr="00F90EAE" w:rsidRDefault="00665165" w:rsidP="00F90EAE">
      <w:pPr>
        <w:autoSpaceDE w:val="0"/>
        <w:autoSpaceDN w:val="0"/>
        <w:adjustRightInd w:val="0"/>
        <w:jc w:val="both"/>
        <w:rPr>
          <w:color w:val="000000" w:themeColor="text1"/>
          <w:sz w:val="16"/>
          <w:szCs w:val="16"/>
        </w:rPr>
      </w:pPr>
    </w:p>
    <w:p w14:paraId="458BE2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8748 О вывозе оборудования с немецкого завода "Братьев Дауст" г. Грейфсвальд на завод № 190 НКСП г. ЛенинграРГАНИР, Фонд ГКО, д. РГАНИР, Фонд ГКО, д. 419, лл. 42 (11012).</w:t>
      </w:r>
    </w:p>
    <w:p w14:paraId="2286B060" w14:textId="77777777" w:rsidR="00665165" w:rsidRPr="00F90EAE" w:rsidRDefault="00665165" w:rsidP="00F90EAE">
      <w:pPr>
        <w:autoSpaceDE w:val="0"/>
        <w:autoSpaceDN w:val="0"/>
        <w:adjustRightInd w:val="0"/>
        <w:jc w:val="both"/>
        <w:rPr>
          <w:color w:val="000000" w:themeColor="text1"/>
          <w:sz w:val="16"/>
          <w:szCs w:val="16"/>
        </w:rPr>
      </w:pPr>
    </w:p>
    <w:p w14:paraId="242917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8749 Об укомплектовании заводов Наркомсудпрома станочным оборудованием. РГАНИР, Фонд ГКО, д. 419, лл. 43 (11012).</w:t>
      </w:r>
    </w:p>
    <w:p w14:paraId="5774DEE1" w14:textId="77777777" w:rsidR="00665165" w:rsidRPr="00F90EAE" w:rsidRDefault="00665165" w:rsidP="00F90EAE">
      <w:pPr>
        <w:autoSpaceDE w:val="0"/>
        <w:autoSpaceDN w:val="0"/>
        <w:adjustRightInd w:val="0"/>
        <w:jc w:val="both"/>
        <w:rPr>
          <w:color w:val="000000" w:themeColor="text1"/>
          <w:sz w:val="16"/>
          <w:szCs w:val="16"/>
        </w:rPr>
      </w:pPr>
    </w:p>
    <w:p w14:paraId="39974A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8750 О вывозе оборудования с завода акционерного общества "Машиненбау и Банбедар" в г. Подстдам. РГАНИР, Фонд ГКО, д. 419, лл. 44-45 (11012).</w:t>
      </w:r>
    </w:p>
    <w:p w14:paraId="7C161996" w14:textId="77777777" w:rsidR="00665165" w:rsidRPr="00F90EAE" w:rsidRDefault="00665165" w:rsidP="00F90EAE">
      <w:pPr>
        <w:autoSpaceDE w:val="0"/>
        <w:autoSpaceDN w:val="0"/>
        <w:adjustRightInd w:val="0"/>
        <w:jc w:val="both"/>
        <w:rPr>
          <w:color w:val="000000" w:themeColor="text1"/>
          <w:sz w:val="16"/>
          <w:szCs w:val="16"/>
        </w:rPr>
      </w:pPr>
    </w:p>
    <w:p w14:paraId="76E084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8751 О вывозе из г. г. Мительштейн, Рокерс и Вюншенберг технической документации и реле управления ФАЦ-2 в г. Москва. РГАНИР, Фонд ГКО, д. 419, лл. 46 (11012).</w:t>
      </w:r>
    </w:p>
    <w:p w14:paraId="1E408512" w14:textId="77777777" w:rsidR="00665165" w:rsidRPr="00F90EAE" w:rsidRDefault="00665165" w:rsidP="00F90EAE">
      <w:pPr>
        <w:autoSpaceDE w:val="0"/>
        <w:autoSpaceDN w:val="0"/>
        <w:adjustRightInd w:val="0"/>
        <w:jc w:val="both"/>
        <w:rPr>
          <w:color w:val="000000" w:themeColor="text1"/>
          <w:sz w:val="16"/>
          <w:szCs w:val="16"/>
        </w:rPr>
      </w:pPr>
    </w:p>
    <w:p w14:paraId="2C3DCA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8752 О вывозе оборудования с немецкиого инструментального завода фирмы "Вильгельм Зассе", станкостроительного завода фирмы "Гее и Компания", абразивного завода фирмы "Омега" и литейного завода фирмы "Гартунгяхман" в г. Берлин. РГАНИР, Фонд ГКО, д. 419 (11012).</w:t>
      </w:r>
    </w:p>
    <w:p w14:paraId="5982C504" w14:textId="77777777" w:rsidR="00665165" w:rsidRPr="00F90EAE" w:rsidRDefault="00665165" w:rsidP="00F90EAE">
      <w:pPr>
        <w:autoSpaceDE w:val="0"/>
        <w:autoSpaceDN w:val="0"/>
        <w:adjustRightInd w:val="0"/>
        <w:jc w:val="both"/>
        <w:rPr>
          <w:color w:val="000000" w:themeColor="text1"/>
          <w:sz w:val="16"/>
          <w:szCs w:val="16"/>
        </w:rPr>
      </w:pPr>
    </w:p>
    <w:p w14:paraId="08CD17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8753 О вывозе оборудования с завода металлоконструкций "Берлинер Штальбау" в районе г. Берлин Лихтенберг и из цеха по производству компрессоров завода фирмы "Берлинермашиненбау" в районе г. Берлин Вильдау на предприятия Наркомнефти. РГАНИР, Фонд ГКО, д. 419 (11012).</w:t>
      </w:r>
    </w:p>
    <w:p w14:paraId="3EF92296" w14:textId="77777777" w:rsidR="00665165" w:rsidRPr="00F90EAE" w:rsidRDefault="00665165" w:rsidP="00F90EAE">
      <w:pPr>
        <w:autoSpaceDE w:val="0"/>
        <w:autoSpaceDN w:val="0"/>
        <w:adjustRightInd w:val="0"/>
        <w:jc w:val="both"/>
        <w:rPr>
          <w:color w:val="000000" w:themeColor="text1"/>
          <w:sz w:val="16"/>
          <w:szCs w:val="16"/>
        </w:rPr>
      </w:pPr>
    </w:p>
    <w:p w14:paraId="76B0B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8754 О вывозе оборудования с мнталлургического завода "Айзенверке крафт" в г. Штеттин. РГАНИР, Фонд ГКО, д. 419, лл. 51-52 (11012).</w:t>
      </w:r>
    </w:p>
    <w:p w14:paraId="73E03BC1" w14:textId="77777777" w:rsidR="00665165" w:rsidRPr="00F90EAE" w:rsidRDefault="00665165" w:rsidP="00F90EAE">
      <w:pPr>
        <w:autoSpaceDE w:val="0"/>
        <w:autoSpaceDN w:val="0"/>
        <w:adjustRightInd w:val="0"/>
        <w:jc w:val="both"/>
        <w:rPr>
          <w:color w:val="000000" w:themeColor="text1"/>
          <w:sz w:val="16"/>
          <w:szCs w:val="16"/>
        </w:rPr>
      </w:pPr>
    </w:p>
    <w:p w14:paraId="7C614F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8755 О вывозе оборудования с машиностроительной фабрики "Штейбунг и К'", с завода подъемных машин фирмы "К.Флор" концерна "Демаг", из механической мастерской немца Гетцеля и из механической мастерской фирмы "Юлиус Мюллер" в г. Берлин на предприятия Наркомчермета.РГАНИР, Фонд ГКО, д. 419, лл. 53-54 (11012).</w:t>
      </w:r>
    </w:p>
    <w:p w14:paraId="3C2D18DE" w14:textId="77777777" w:rsidR="00665165" w:rsidRPr="00F90EAE" w:rsidRDefault="00665165" w:rsidP="00F90EAE">
      <w:pPr>
        <w:autoSpaceDE w:val="0"/>
        <w:autoSpaceDN w:val="0"/>
        <w:adjustRightInd w:val="0"/>
        <w:jc w:val="both"/>
        <w:rPr>
          <w:color w:val="000000" w:themeColor="text1"/>
          <w:sz w:val="16"/>
          <w:szCs w:val="16"/>
        </w:rPr>
      </w:pPr>
    </w:p>
    <w:p w14:paraId="291FBD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8756 О вывозе телефонно-телеграфного оборудования и звукозаписывающих аппаратов из г. Берлин. РГАНИР, Фонд ГКО, д. 419, лл. 55 (11012).</w:t>
      </w:r>
    </w:p>
    <w:p w14:paraId="41C57580" w14:textId="77777777" w:rsidR="00665165" w:rsidRPr="00F90EAE" w:rsidRDefault="00665165" w:rsidP="00F90EAE">
      <w:pPr>
        <w:autoSpaceDE w:val="0"/>
        <w:autoSpaceDN w:val="0"/>
        <w:adjustRightInd w:val="0"/>
        <w:jc w:val="both"/>
        <w:rPr>
          <w:color w:val="000000" w:themeColor="text1"/>
          <w:sz w:val="16"/>
          <w:szCs w:val="16"/>
        </w:rPr>
      </w:pPr>
    </w:p>
    <w:p w14:paraId="4F3991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8757 О передаче Главному артиллерийскому управлению Красной Армии окружного артиллерийского арсенала в г. Кенигсберг. РГАНИР, Фонд ГКО, д. 419, лл. 56 (11012).</w:t>
      </w:r>
    </w:p>
    <w:p w14:paraId="6E9E5188" w14:textId="77777777" w:rsidR="00665165" w:rsidRPr="00F90EAE" w:rsidRDefault="00665165" w:rsidP="00F90EAE">
      <w:pPr>
        <w:autoSpaceDE w:val="0"/>
        <w:autoSpaceDN w:val="0"/>
        <w:adjustRightInd w:val="0"/>
        <w:jc w:val="both"/>
        <w:rPr>
          <w:color w:val="000000" w:themeColor="text1"/>
          <w:sz w:val="16"/>
          <w:szCs w:val="16"/>
        </w:rPr>
      </w:pPr>
    </w:p>
    <w:p w14:paraId="4AAAC4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8758 О вывозе немецких металлообрабатывающих станков на Особую базу № 2. РГАНИР, Фонд ГКО, д. 419, лл. 57 (11012).</w:t>
      </w:r>
    </w:p>
    <w:p w14:paraId="1449997E" w14:textId="77777777" w:rsidR="00665165" w:rsidRPr="00F90EAE" w:rsidRDefault="00665165" w:rsidP="00F90EAE">
      <w:pPr>
        <w:autoSpaceDE w:val="0"/>
        <w:autoSpaceDN w:val="0"/>
        <w:adjustRightInd w:val="0"/>
        <w:jc w:val="both"/>
        <w:rPr>
          <w:color w:val="000000" w:themeColor="text1"/>
          <w:sz w:val="16"/>
          <w:szCs w:val="16"/>
        </w:rPr>
      </w:pPr>
    </w:p>
    <w:p w14:paraId="669237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8759 О вывозе оборудования обсерваторий и двух заводов метеорологических приборов фирмы ФУСС в г. г. Берлин, Потсдам и Линденберг. РГАНИР, Фонд ГКО, д. 419, лл. 58-59 (11012).</w:t>
      </w:r>
    </w:p>
    <w:p w14:paraId="126E33C7" w14:textId="77777777" w:rsidR="00665165" w:rsidRPr="00F90EAE" w:rsidRDefault="00665165" w:rsidP="00F90EAE">
      <w:pPr>
        <w:autoSpaceDE w:val="0"/>
        <w:autoSpaceDN w:val="0"/>
        <w:adjustRightInd w:val="0"/>
        <w:jc w:val="both"/>
        <w:rPr>
          <w:color w:val="000000" w:themeColor="text1"/>
          <w:sz w:val="16"/>
          <w:szCs w:val="16"/>
        </w:rPr>
      </w:pPr>
    </w:p>
    <w:p w14:paraId="28C50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8760 О передаче Наркомсредмашу Главным трофейным управлениям автомобилей, мотоциклов и велосипедов новейших иномарок. РГАНИР, Фонд ГКО, д. 419, лл. 60 (11012).</w:t>
      </w:r>
    </w:p>
    <w:p w14:paraId="29262326" w14:textId="77777777" w:rsidR="00665165" w:rsidRPr="00F90EAE" w:rsidRDefault="00665165" w:rsidP="00F90EAE">
      <w:pPr>
        <w:autoSpaceDE w:val="0"/>
        <w:autoSpaceDN w:val="0"/>
        <w:adjustRightInd w:val="0"/>
        <w:jc w:val="both"/>
        <w:rPr>
          <w:color w:val="000000" w:themeColor="text1"/>
          <w:sz w:val="16"/>
          <w:szCs w:val="16"/>
        </w:rPr>
      </w:pPr>
    </w:p>
    <w:p w14:paraId="371F24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8761 О вывозе с фронтовых складов Трофейного управления Красной Армии швейных машин и пишущих машинок. РГАНИР, Фонд ГКО, д. 419, лл. 61, 62 (11012).</w:t>
      </w:r>
    </w:p>
    <w:p w14:paraId="40B4DA82" w14:textId="77777777" w:rsidR="00665165" w:rsidRPr="00F90EAE" w:rsidRDefault="00665165" w:rsidP="00F90EAE">
      <w:pPr>
        <w:autoSpaceDE w:val="0"/>
        <w:autoSpaceDN w:val="0"/>
        <w:adjustRightInd w:val="0"/>
        <w:jc w:val="both"/>
        <w:rPr>
          <w:color w:val="000000" w:themeColor="text1"/>
          <w:sz w:val="16"/>
          <w:szCs w:val="16"/>
        </w:rPr>
      </w:pPr>
    </w:p>
    <w:p w14:paraId="752F84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8762 О вывозе оборудования с немецких машиностроительных заводов фирм "Рошар" и "Раупах" в г. Берлин и завода асбо-цементных изделий "Дейтше Асбостцемент" в г. Берлин. РГАНИР, Фонд ГКО, д. 419, лл. 63-64 (11012).</w:t>
      </w:r>
    </w:p>
    <w:p w14:paraId="3AED4DE4" w14:textId="77777777" w:rsidR="00665165" w:rsidRPr="00F90EAE" w:rsidRDefault="00665165" w:rsidP="00F90EAE">
      <w:pPr>
        <w:autoSpaceDE w:val="0"/>
        <w:autoSpaceDN w:val="0"/>
        <w:adjustRightInd w:val="0"/>
        <w:jc w:val="both"/>
        <w:rPr>
          <w:color w:val="000000" w:themeColor="text1"/>
          <w:sz w:val="16"/>
          <w:szCs w:val="16"/>
        </w:rPr>
      </w:pPr>
    </w:p>
    <w:p w14:paraId="3CD204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8763 О вывозе оборудования из г. Берлин с немецких заводов, мастерских и фабрик для Главвоенпромстроя при СНК СССР. РГАНИР, Фонд ГКО, д. 419, лл. 65-66 (11012).</w:t>
      </w:r>
    </w:p>
    <w:p w14:paraId="6005CEE5" w14:textId="77777777" w:rsidR="00665165" w:rsidRPr="00F90EAE" w:rsidRDefault="00665165" w:rsidP="00F90EAE">
      <w:pPr>
        <w:autoSpaceDE w:val="0"/>
        <w:autoSpaceDN w:val="0"/>
        <w:adjustRightInd w:val="0"/>
        <w:jc w:val="both"/>
        <w:rPr>
          <w:color w:val="000000" w:themeColor="text1"/>
          <w:sz w:val="16"/>
          <w:szCs w:val="16"/>
        </w:rPr>
      </w:pPr>
    </w:p>
    <w:p w14:paraId="59DF05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8764 О вывозе оборудования фабрик по производству стандартных домов в г. Берлин для Наркомгражданстроя РСФСР. РГАНИР, Фонд ГКО, д. 419, лл. 67 (11012).</w:t>
      </w:r>
    </w:p>
    <w:p w14:paraId="5BD29A98" w14:textId="77777777" w:rsidR="00665165" w:rsidRPr="00F90EAE" w:rsidRDefault="00665165" w:rsidP="00F90EAE">
      <w:pPr>
        <w:autoSpaceDE w:val="0"/>
        <w:autoSpaceDN w:val="0"/>
        <w:adjustRightInd w:val="0"/>
        <w:jc w:val="both"/>
        <w:rPr>
          <w:color w:val="000000" w:themeColor="text1"/>
          <w:sz w:val="16"/>
          <w:szCs w:val="16"/>
        </w:rPr>
      </w:pPr>
    </w:p>
    <w:p w14:paraId="39819A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8765 О вывозе торгового оборудования с трофейных складов 3-го Украинского фронта. РГАНИР, Фонд ГКО, д. 419, лл. 68 (11012).</w:t>
      </w:r>
    </w:p>
    <w:p w14:paraId="3C076BB5" w14:textId="77777777" w:rsidR="00665165" w:rsidRPr="00F90EAE" w:rsidRDefault="00665165" w:rsidP="00F90EAE">
      <w:pPr>
        <w:autoSpaceDE w:val="0"/>
        <w:autoSpaceDN w:val="0"/>
        <w:adjustRightInd w:val="0"/>
        <w:jc w:val="both"/>
        <w:rPr>
          <w:color w:val="000000" w:themeColor="text1"/>
          <w:sz w:val="16"/>
          <w:szCs w:val="16"/>
        </w:rPr>
      </w:pPr>
    </w:p>
    <w:p w14:paraId="03BBCC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8766 О вывозе оборудования с немецкой радиостанции в г. Адлерсхоф. РГАНИР, Фонд ГКО, д. 419, лл. 69 (11012).</w:t>
      </w:r>
    </w:p>
    <w:p w14:paraId="5693E65C" w14:textId="77777777" w:rsidR="00665165" w:rsidRPr="00F90EAE" w:rsidRDefault="00665165" w:rsidP="00F90EAE">
      <w:pPr>
        <w:autoSpaceDE w:val="0"/>
        <w:autoSpaceDN w:val="0"/>
        <w:adjustRightInd w:val="0"/>
        <w:jc w:val="both"/>
        <w:rPr>
          <w:color w:val="000000" w:themeColor="text1"/>
          <w:sz w:val="16"/>
          <w:szCs w:val="16"/>
        </w:rPr>
      </w:pPr>
    </w:p>
    <w:p w14:paraId="02F92A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8767 О вывозе 250 тонн листового металла из г. Кенигсберг. РГАНИР, Фонд ГКО, д. 419, лл. 70 (11012).</w:t>
      </w:r>
    </w:p>
    <w:p w14:paraId="2BDB34E9" w14:textId="77777777" w:rsidR="00665165" w:rsidRPr="00F90EAE" w:rsidRDefault="00665165" w:rsidP="00F90EAE">
      <w:pPr>
        <w:autoSpaceDE w:val="0"/>
        <w:autoSpaceDN w:val="0"/>
        <w:adjustRightInd w:val="0"/>
        <w:jc w:val="both"/>
        <w:rPr>
          <w:color w:val="000000" w:themeColor="text1"/>
          <w:sz w:val="16"/>
          <w:szCs w:val="16"/>
        </w:rPr>
      </w:pPr>
    </w:p>
    <w:p w14:paraId="1389A3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8768 О поручении Наркомстрою демонтажа и отгрузки оборудования с немецкого целлюлозно-бумажного комбината в г. Штеттин. РГАНИР, Фонд ГКО, д. 419, лл. 71 (11012).</w:t>
      </w:r>
    </w:p>
    <w:p w14:paraId="2253CE42" w14:textId="77777777" w:rsidR="00665165" w:rsidRPr="00F90EAE" w:rsidRDefault="00665165" w:rsidP="00F90EAE">
      <w:pPr>
        <w:autoSpaceDE w:val="0"/>
        <w:autoSpaceDN w:val="0"/>
        <w:adjustRightInd w:val="0"/>
        <w:jc w:val="both"/>
        <w:rPr>
          <w:color w:val="000000" w:themeColor="text1"/>
          <w:sz w:val="16"/>
          <w:szCs w:val="16"/>
        </w:rPr>
      </w:pPr>
    </w:p>
    <w:p w14:paraId="041C8D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8769 О вывозе оборудование завода по производству зубоврачебных приборов и инструментов фирмы "Кальтенбах и Фойгт" в г. Подстам (Германия). РГАНИР, Фонд ГКО, д. 419, лл. 72 (11012).</w:t>
      </w:r>
    </w:p>
    <w:p w14:paraId="5676B512" w14:textId="77777777" w:rsidR="00665165" w:rsidRPr="00F90EAE" w:rsidRDefault="00665165" w:rsidP="00F90EAE">
      <w:pPr>
        <w:autoSpaceDE w:val="0"/>
        <w:autoSpaceDN w:val="0"/>
        <w:adjustRightInd w:val="0"/>
        <w:jc w:val="both"/>
        <w:rPr>
          <w:color w:val="000000" w:themeColor="text1"/>
          <w:sz w:val="16"/>
          <w:szCs w:val="16"/>
        </w:rPr>
      </w:pPr>
    </w:p>
    <w:p w14:paraId="230D67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8770 О вывозе оборудования двух фабрик по производству оправ и стекол для очков в г. Ратенов (Германия). РГАНИР, Фонд ГКО, д. 419, лл. 73 (11012).</w:t>
      </w:r>
    </w:p>
    <w:p w14:paraId="54550642" w14:textId="77777777" w:rsidR="00665165" w:rsidRPr="00F90EAE" w:rsidRDefault="00665165" w:rsidP="00F90EAE">
      <w:pPr>
        <w:autoSpaceDE w:val="0"/>
        <w:autoSpaceDN w:val="0"/>
        <w:adjustRightInd w:val="0"/>
        <w:jc w:val="both"/>
        <w:rPr>
          <w:color w:val="000000" w:themeColor="text1"/>
          <w:sz w:val="16"/>
          <w:szCs w:val="16"/>
        </w:rPr>
      </w:pPr>
    </w:p>
    <w:p w14:paraId="5CDDEE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8771 О вывозе со склада в г. Инстенбург 50 штук бензозаправочных колонок. РГАНИР, Фонд ГКО, д. 419, лл. 74 (11012).</w:t>
      </w:r>
    </w:p>
    <w:p w14:paraId="49111E12" w14:textId="77777777" w:rsidR="00665165" w:rsidRPr="00F90EAE" w:rsidRDefault="00665165" w:rsidP="00F90EAE">
      <w:pPr>
        <w:autoSpaceDE w:val="0"/>
        <w:autoSpaceDN w:val="0"/>
        <w:adjustRightInd w:val="0"/>
        <w:jc w:val="both"/>
        <w:rPr>
          <w:color w:val="000000" w:themeColor="text1"/>
          <w:sz w:val="16"/>
          <w:szCs w:val="16"/>
        </w:rPr>
      </w:pPr>
    </w:p>
    <w:p w14:paraId="30BB7B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8772 О вывозе 495 тонн трофейной ртути. РГАНИР, Фонд ГКО, д. 419, лл. 75 (11012).</w:t>
      </w:r>
    </w:p>
    <w:p w14:paraId="237015C8" w14:textId="77777777" w:rsidR="00665165" w:rsidRPr="00F90EAE" w:rsidRDefault="00665165" w:rsidP="00F90EAE">
      <w:pPr>
        <w:autoSpaceDE w:val="0"/>
        <w:autoSpaceDN w:val="0"/>
        <w:adjustRightInd w:val="0"/>
        <w:jc w:val="both"/>
        <w:rPr>
          <w:color w:val="000000" w:themeColor="text1"/>
          <w:sz w:val="16"/>
          <w:szCs w:val="16"/>
        </w:rPr>
      </w:pPr>
    </w:p>
    <w:p w14:paraId="1E005D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8773 О вывозе оборудования механической мастерской фирмы "Альберт" в г. Бернау для Наркомгражданстроя РСФСР. РГАНИР, Фонд ГКО, д. 419, лл. 76-77 (11012).</w:t>
      </w:r>
    </w:p>
    <w:p w14:paraId="0F05E739" w14:textId="77777777" w:rsidR="00665165" w:rsidRPr="00F90EAE" w:rsidRDefault="00665165" w:rsidP="00F90EAE">
      <w:pPr>
        <w:autoSpaceDE w:val="0"/>
        <w:autoSpaceDN w:val="0"/>
        <w:adjustRightInd w:val="0"/>
        <w:jc w:val="both"/>
        <w:rPr>
          <w:color w:val="000000" w:themeColor="text1"/>
          <w:sz w:val="16"/>
          <w:szCs w:val="16"/>
        </w:rPr>
      </w:pPr>
    </w:p>
    <w:p w14:paraId="70842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8774 О вывозе оборудования с немецких судостроительных мастерских в г. Мюльрозе. РГАНИР, Фонд ГКО, д. 419, лл. 78-79 (11012).</w:t>
      </w:r>
    </w:p>
    <w:p w14:paraId="188EA8DD" w14:textId="77777777" w:rsidR="00665165" w:rsidRPr="00F90EAE" w:rsidRDefault="00665165" w:rsidP="00F90EAE">
      <w:pPr>
        <w:autoSpaceDE w:val="0"/>
        <w:autoSpaceDN w:val="0"/>
        <w:adjustRightInd w:val="0"/>
        <w:jc w:val="both"/>
        <w:rPr>
          <w:color w:val="000000" w:themeColor="text1"/>
          <w:sz w:val="16"/>
          <w:szCs w:val="16"/>
        </w:rPr>
      </w:pPr>
    </w:p>
    <w:p w14:paraId="33F0D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8775 О вывозе оборудования с немецкого завода "Вернер-Верке" г. Фюрстенберг на завод № 287 НКАП г. ЛенинграРГАНИР, Фонд ГКО, д. РГАНИР, Фонд ГКО, д. 419, лл. 80 (11012).</w:t>
      </w:r>
    </w:p>
    <w:p w14:paraId="3949663D" w14:textId="77777777" w:rsidR="00665165" w:rsidRPr="00F90EAE" w:rsidRDefault="00665165" w:rsidP="00F90EAE">
      <w:pPr>
        <w:autoSpaceDE w:val="0"/>
        <w:autoSpaceDN w:val="0"/>
        <w:adjustRightInd w:val="0"/>
        <w:jc w:val="both"/>
        <w:rPr>
          <w:color w:val="000000" w:themeColor="text1"/>
          <w:sz w:val="16"/>
          <w:szCs w:val="16"/>
        </w:rPr>
      </w:pPr>
    </w:p>
    <w:p w14:paraId="4FE3FB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8776 О вывозе оборудования двух пороховых заводов в г. Дреетц (Германия). РГАНИР, Фонд ГКО, д. 419, лл. 81 (11012).</w:t>
      </w:r>
    </w:p>
    <w:p w14:paraId="783A89DD" w14:textId="77777777" w:rsidR="00665165" w:rsidRPr="00F90EAE" w:rsidRDefault="00665165" w:rsidP="00F90EAE">
      <w:pPr>
        <w:autoSpaceDE w:val="0"/>
        <w:autoSpaceDN w:val="0"/>
        <w:adjustRightInd w:val="0"/>
        <w:jc w:val="both"/>
        <w:rPr>
          <w:color w:val="000000" w:themeColor="text1"/>
          <w:sz w:val="16"/>
          <w:szCs w:val="16"/>
        </w:rPr>
      </w:pPr>
    </w:p>
    <w:p w14:paraId="78C7C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8777 О вывозе оборудования с завода фирмы "Орион" в г. Кремен (Германия). РГАНИР, Фонд ГКО, д. 419, лл. 82 (11012).</w:t>
      </w:r>
    </w:p>
    <w:p w14:paraId="24052B79" w14:textId="77777777" w:rsidR="00665165" w:rsidRPr="00F90EAE" w:rsidRDefault="00665165" w:rsidP="00F90EAE">
      <w:pPr>
        <w:autoSpaceDE w:val="0"/>
        <w:autoSpaceDN w:val="0"/>
        <w:adjustRightInd w:val="0"/>
        <w:jc w:val="both"/>
        <w:rPr>
          <w:color w:val="000000" w:themeColor="text1"/>
          <w:sz w:val="16"/>
          <w:szCs w:val="16"/>
        </w:rPr>
      </w:pPr>
    </w:p>
    <w:p w14:paraId="756194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8778 О вывозе оборудования и материалов комбината искусственного шелка фирмы "И.Г.Фарбениндустри" в г. Приемниц (близ г. Бранденбург). РГАНИР, Фонд ГКО, д. 419, лл. 83-84 (11012).</w:t>
      </w:r>
    </w:p>
    <w:p w14:paraId="3B7F612A" w14:textId="77777777" w:rsidR="00665165" w:rsidRPr="00F90EAE" w:rsidRDefault="00665165" w:rsidP="00F90EAE">
      <w:pPr>
        <w:autoSpaceDE w:val="0"/>
        <w:autoSpaceDN w:val="0"/>
        <w:adjustRightInd w:val="0"/>
        <w:jc w:val="both"/>
        <w:rPr>
          <w:color w:val="000000" w:themeColor="text1"/>
          <w:sz w:val="16"/>
          <w:szCs w:val="16"/>
        </w:rPr>
      </w:pPr>
    </w:p>
    <w:p w14:paraId="20BF4C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8779 О вывозе оборудования с завода по ремонту шкивов фирмы "Адольф Гослау" в г. Шпремберг. РГАНИР, Фонд ГКО, д. 419, лл. 85 (11012).</w:t>
      </w:r>
    </w:p>
    <w:p w14:paraId="65F2CF7B" w14:textId="77777777" w:rsidR="00665165" w:rsidRPr="00F90EAE" w:rsidRDefault="00665165" w:rsidP="00F90EAE">
      <w:pPr>
        <w:autoSpaceDE w:val="0"/>
        <w:autoSpaceDN w:val="0"/>
        <w:adjustRightInd w:val="0"/>
        <w:jc w:val="both"/>
        <w:rPr>
          <w:color w:val="000000" w:themeColor="text1"/>
          <w:sz w:val="16"/>
          <w:szCs w:val="16"/>
        </w:rPr>
      </w:pPr>
    </w:p>
    <w:p w14:paraId="2F0E8E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8780 О вывозе оборудования кинопленочной и кинокопировальной фабрики в г. Берлин. РГАНИР, Фонд ГКО, д. 419, лл. 86-87 (11012).</w:t>
      </w:r>
    </w:p>
    <w:p w14:paraId="5C7FB480" w14:textId="77777777" w:rsidR="00665165" w:rsidRPr="00F90EAE" w:rsidRDefault="00665165" w:rsidP="00F90EAE">
      <w:pPr>
        <w:autoSpaceDE w:val="0"/>
        <w:autoSpaceDN w:val="0"/>
        <w:adjustRightInd w:val="0"/>
        <w:jc w:val="both"/>
        <w:rPr>
          <w:color w:val="000000" w:themeColor="text1"/>
          <w:sz w:val="16"/>
          <w:szCs w:val="16"/>
        </w:rPr>
      </w:pPr>
    </w:p>
    <w:p w14:paraId="2A3C8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8781 О частичном изменении постановления ГОКО № 8398сс от 4 мая 1945 г. о вывозе оборудования с завода резинотехнических изделий фирмы "Семперит" в г. Вимпассинг (Австрия). РГАНИР, Фонд ГКО, д. 419, лл. 88 (11012).</w:t>
      </w:r>
    </w:p>
    <w:p w14:paraId="6F1FE8B8" w14:textId="77777777" w:rsidR="00665165" w:rsidRPr="00F90EAE" w:rsidRDefault="00665165" w:rsidP="00F90EAE">
      <w:pPr>
        <w:autoSpaceDE w:val="0"/>
        <w:autoSpaceDN w:val="0"/>
        <w:adjustRightInd w:val="0"/>
        <w:jc w:val="both"/>
        <w:rPr>
          <w:color w:val="000000" w:themeColor="text1"/>
          <w:sz w:val="16"/>
          <w:szCs w:val="16"/>
        </w:rPr>
      </w:pPr>
    </w:p>
    <w:p w14:paraId="362FC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8782 О вывозе оборудования немецких предприятий в г. Берлин на предприятия Наркомлегпрома СССР. РГАНИР, Фонд ГКО, д. 419, лл. 89-90 (11012).</w:t>
      </w:r>
    </w:p>
    <w:p w14:paraId="61051A5E" w14:textId="77777777" w:rsidR="00665165" w:rsidRPr="00F90EAE" w:rsidRDefault="00665165" w:rsidP="00F90EAE">
      <w:pPr>
        <w:autoSpaceDE w:val="0"/>
        <w:autoSpaceDN w:val="0"/>
        <w:adjustRightInd w:val="0"/>
        <w:jc w:val="both"/>
        <w:rPr>
          <w:color w:val="000000" w:themeColor="text1"/>
          <w:sz w:val="16"/>
          <w:szCs w:val="16"/>
        </w:rPr>
      </w:pPr>
    </w:p>
    <w:p w14:paraId="1BD17F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8783 О вывозе оборудования с немецкого завода фирмы "Берлинер Машинен Бау А.Г. Формальс Шварц-Копф" в г. Берлин. РГАНИР, Фонд ГКО, д. 419, лл. 91-92 (11012).</w:t>
      </w:r>
    </w:p>
    <w:p w14:paraId="4F12A5C2" w14:textId="77777777" w:rsidR="00665165" w:rsidRPr="00F90EAE" w:rsidRDefault="00665165" w:rsidP="00F90EAE">
      <w:pPr>
        <w:autoSpaceDE w:val="0"/>
        <w:autoSpaceDN w:val="0"/>
        <w:adjustRightInd w:val="0"/>
        <w:jc w:val="both"/>
        <w:rPr>
          <w:color w:val="000000" w:themeColor="text1"/>
          <w:sz w:val="16"/>
          <w:szCs w:val="16"/>
        </w:rPr>
      </w:pPr>
    </w:p>
    <w:p w14:paraId="196DD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8784 О вывозе оборудования с заводов электротехнической промышленности в г. г. Дрезден, Берлин и Фюнстервальде. РГАНИР, Фонд ГКО, д. 419, лл. 93-94 (11012).</w:t>
      </w:r>
    </w:p>
    <w:p w14:paraId="257FED3B" w14:textId="77777777" w:rsidR="00665165" w:rsidRPr="00F90EAE" w:rsidRDefault="00665165" w:rsidP="00F90EAE">
      <w:pPr>
        <w:autoSpaceDE w:val="0"/>
        <w:autoSpaceDN w:val="0"/>
        <w:adjustRightInd w:val="0"/>
        <w:jc w:val="both"/>
        <w:rPr>
          <w:color w:val="000000" w:themeColor="text1"/>
          <w:sz w:val="16"/>
          <w:szCs w:val="16"/>
        </w:rPr>
      </w:pPr>
    </w:p>
    <w:p w14:paraId="37BCB9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8785 О вывозе оборудования с немецкого самолетостроительного завода фирмы "Хейнкель" и с его филиалов в г. г. Росток, Бард, Любц (станция Гафель), Гюстров, Краков и в местечке Реверсхаген и с авиационного факультета Высшего технического училища в г. Берлин на предприятия Наркомавиапрома. РГАНИР, Фонд ГКО, д. 419, лл. 95-96 (11012).</w:t>
      </w:r>
    </w:p>
    <w:p w14:paraId="5E1C2E75" w14:textId="77777777" w:rsidR="00665165" w:rsidRPr="00F90EAE" w:rsidRDefault="00665165" w:rsidP="00F90EAE">
      <w:pPr>
        <w:autoSpaceDE w:val="0"/>
        <w:autoSpaceDN w:val="0"/>
        <w:adjustRightInd w:val="0"/>
        <w:jc w:val="both"/>
        <w:rPr>
          <w:color w:val="000000" w:themeColor="text1"/>
          <w:sz w:val="16"/>
          <w:szCs w:val="16"/>
        </w:rPr>
      </w:pPr>
    </w:p>
    <w:p w14:paraId="7A2F26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8786 О перегонке неиспользуемых фронтами трофейных лошадей с территории Германии на территорию СССР и передачи этих лошадей колхозам и наркоматам. РГАНИР, Фонд ГКО, д. 419, лл. 97-100, 101-102 (11012).</w:t>
      </w:r>
    </w:p>
    <w:p w14:paraId="7DEAC0F0" w14:textId="77777777" w:rsidR="00665165" w:rsidRPr="00F90EAE" w:rsidRDefault="00665165" w:rsidP="00F90EAE">
      <w:pPr>
        <w:autoSpaceDE w:val="0"/>
        <w:autoSpaceDN w:val="0"/>
        <w:adjustRightInd w:val="0"/>
        <w:jc w:val="both"/>
        <w:rPr>
          <w:color w:val="000000" w:themeColor="text1"/>
          <w:sz w:val="16"/>
          <w:szCs w:val="16"/>
        </w:rPr>
      </w:pPr>
    </w:p>
    <w:p w14:paraId="31F8A3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8787 Вопросы Праги. РГАНИР, Фонд ГКО, д. 419, лл. 103-104 (11012).</w:t>
      </w:r>
    </w:p>
    <w:p w14:paraId="2A982BFF" w14:textId="77777777" w:rsidR="00665165" w:rsidRPr="00F90EAE" w:rsidRDefault="00665165" w:rsidP="00F90EAE">
      <w:pPr>
        <w:autoSpaceDE w:val="0"/>
        <w:autoSpaceDN w:val="0"/>
        <w:adjustRightInd w:val="0"/>
        <w:jc w:val="both"/>
        <w:rPr>
          <w:color w:val="000000" w:themeColor="text1"/>
          <w:sz w:val="16"/>
          <w:szCs w:val="16"/>
        </w:rPr>
      </w:pPr>
    </w:p>
    <w:p w14:paraId="2ADC8F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8788 О дополнительном выделении горючего для нужд сельского хозяйства. РГАНИР, Фонд ГКО, д. 419, лл. 105-106 (11012).</w:t>
      </w:r>
    </w:p>
    <w:p w14:paraId="6A84C3B2" w14:textId="77777777" w:rsidR="00665165" w:rsidRPr="00F90EAE" w:rsidRDefault="00665165" w:rsidP="00F90EAE">
      <w:pPr>
        <w:autoSpaceDE w:val="0"/>
        <w:autoSpaceDN w:val="0"/>
        <w:adjustRightInd w:val="0"/>
        <w:jc w:val="both"/>
        <w:rPr>
          <w:color w:val="000000" w:themeColor="text1"/>
          <w:sz w:val="16"/>
          <w:szCs w:val="16"/>
        </w:rPr>
      </w:pPr>
    </w:p>
    <w:p w14:paraId="02546D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8789. О дополнительном выделении импортных оборудования, автомашин и материалов Дальневосточным предприятиям НКУП. РГАНИР, Фонд ГКО, д. 419, лл. 107, 108 (11012).</w:t>
      </w:r>
    </w:p>
    <w:p w14:paraId="7C097336" w14:textId="77777777" w:rsidR="00665165" w:rsidRPr="00F90EAE" w:rsidRDefault="00665165" w:rsidP="00F90EAE">
      <w:pPr>
        <w:autoSpaceDE w:val="0"/>
        <w:autoSpaceDN w:val="0"/>
        <w:adjustRightInd w:val="0"/>
        <w:jc w:val="both"/>
        <w:rPr>
          <w:color w:val="000000" w:themeColor="text1"/>
          <w:sz w:val="16"/>
          <w:szCs w:val="16"/>
        </w:rPr>
      </w:pPr>
    </w:p>
    <w:p w14:paraId="1195CA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8790. Об изменениях в постановлении ГКО № 8111 от 13 апреля 1945 г. относительно закладки в госрезерв топочного мазута. РГАНИР, Фонд ГКО, д. 419, лл. 109 (11012).</w:t>
      </w:r>
    </w:p>
    <w:p w14:paraId="3A7B8A9B" w14:textId="77777777" w:rsidR="00665165" w:rsidRPr="00F90EAE" w:rsidRDefault="00665165" w:rsidP="00F90EAE">
      <w:pPr>
        <w:autoSpaceDE w:val="0"/>
        <w:autoSpaceDN w:val="0"/>
        <w:adjustRightInd w:val="0"/>
        <w:jc w:val="both"/>
        <w:rPr>
          <w:color w:val="000000" w:themeColor="text1"/>
          <w:sz w:val="16"/>
          <w:szCs w:val="16"/>
        </w:rPr>
      </w:pPr>
    </w:p>
    <w:p w14:paraId="308121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8791. О мерах по приему оборудования на заводе № 727 НКРП. РГАНИР, Фонд ГКО, д. 419, лл. 110-112 (11012).</w:t>
      </w:r>
    </w:p>
    <w:p w14:paraId="6501E443" w14:textId="77777777" w:rsidR="00665165" w:rsidRPr="00F90EAE" w:rsidRDefault="00665165" w:rsidP="00F90EAE">
      <w:pPr>
        <w:autoSpaceDE w:val="0"/>
        <w:autoSpaceDN w:val="0"/>
        <w:adjustRightInd w:val="0"/>
        <w:jc w:val="both"/>
        <w:rPr>
          <w:color w:val="000000" w:themeColor="text1"/>
          <w:sz w:val="16"/>
          <w:szCs w:val="16"/>
        </w:rPr>
      </w:pPr>
    </w:p>
    <w:p w14:paraId="149ED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Распоряжение ГКО № 8792. О передаче металлообрабатывающих станков на восстановление авторемонтного завода в Казани. РГАНИР, Фонд ГКО, д. 419, лл. 113 (11012).</w:t>
      </w:r>
    </w:p>
    <w:p w14:paraId="2D22B3CD" w14:textId="77777777" w:rsidR="00665165" w:rsidRPr="00F90EAE" w:rsidRDefault="00665165" w:rsidP="00F90EAE">
      <w:pPr>
        <w:autoSpaceDE w:val="0"/>
        <w:autoSpaceDN w:val="0"/>
        <w:adjustRightInd w:val="0"/>
        <w:jc w:val="both"/>
        <w:rPr>
          <w:color w:val="000000" w:themeColor="text1"/>
          <w:sz w:val="16"/>
          <w:szCs w:val="16"/>
        </w:rPr>
      </w:pPr>
    </w:p>
    <w:p w14:paraId="27587F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8793 Об утверждении перечня гражданских судов, подлежащих передаче в состав Тихоокеанского флота для военных нужРГАНИР, Фонд ГКО, д. РГАНИР, Фонд ГКО, д. 419, лл. 114, 115-120 (11012).</w:t>
      </w:r>
    </w:p>
    <w:p w14:paraId="091EB05B" w14:textId="77777777" w:rsidR="00665165" w:rsidRPr="00F90EAE" w:rsidRDefault="00665165" w:rsidP="00F90EAE">
      <w:pPr>
        <w:autoSpaceDE w:val="0"/>
        <w:autoSpaceDN w:val="0"/>
        <w:adjustRightInd w:val="0"/>
        <w:jc w:val="both"/>
        <w:rPr>
          <w:color w:val="000000" w:themeColor="text1"/>
          <w:sz w:val="16"/>
          <w:szCs w:val="16"/>
        </w:rPr>
      </w:pPr>
    </w:p>
    <w:p w14:paraId="796048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8794 О строительстве блюминга и рельсо-балочного стана на металлургическом заводе "Азовсталь" в г. Мариуполь. РГАНИР, Фонд ГКО, д. 419, лл. 121 (11012).</w:t>
      </w:r>
    </w:p>
    <w:p w14:paraId="7DC6A434" w14:textId="77777777" w:rsidR="00665165" w:rsidRPr="00F90EAE" w:rsidRDefault="00665165" w:rsidP="00F90EAE">
      <w:pPr>
        <w:autoSpaceDE w:val="0"/>
        <w:autoSpaceDN w:val="0"/>
        <w:adjustRightInd w:val="0"/>
        <w:jc w:val="both"/>
        <w:rPr>
          <w:color w:val="000000" w:themeColor="text1"/>
          <w:sz w:val="16"/>
          <w:szCs w:val="16"/>
        </w:rPr>
      </w:pPr>
    </w:p>
    <w:p w14:paraId="48966AC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8795 О восстановлении автомобильной дороги Ленинград - Псков - Остров. (7343, 122-124).</w:t>
      </w:r>
    </w:p>
    <w:p w14:paraId="4D8B594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ED55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8796 О расширении Подмосковной станции подземной газификации углей и строительстве газопровода для подачи газа заводу № 535 Наркомвооружения. РГАНИР, Фонд ГКО, д. 419, лл. 125-127, 128-129 (11012).</w:t>
      </w:r>
    </w:p>
    <w:p w14:paraId="2CF72098" w14:textId="77777777" w:rsidR="00665165" w:rsidRPr="00F90EAE" w:rsidRDefault="00665165" w:rsidP="00F90EAE">
      <w:pPr>
        <w:autoSpaceDE w:val="0"/>
        <w:autoSpaceDN w:val="0"/>
        <w:adjustRightInd w:val="0"/>
        <w:jc w:val="both"/>
        <w:rPr>
          <w:color w:val="000000" w:themeColor="text1"/>
          <w:sz w:val="16"/>
          <w:szCs w:val="16"/>
        </w:rPr>
      </w:pPr>
    </w:p>
    <w:p w14:paraId="1FAA27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8797 О плане производства гражданской продукции Уралмашзавода Наркомтанкопрома на II квартал 1945 г. РГАНИР, Фонд ГКО, д. 419, лл. 130-131, 132-135 (11012).</w:t>
      </w:r>
    </w:p>
    <w:p w14:paraId="5DAC1ADE" w14:textId="77777777" w:rsidR="00665165" w:rsidRPr="00F90EAE" w:rsidRDefault="00665165" w:rsidP="00F90EAE">
      <w:pPr>
        <w:autoSpaceDE w:val="0"/>
        <w:autoSpaceDN w:val="0"/>
        <w:adjustRightInd w:val="0"/>
        <w:jc w:val="both"/>
        <w:rPr>
          <w:color w:val="000000" w:themeColor="text1"/>
          <w:sz w:val="16"/>
          <w:szCs w:val="16"/>
        </w:rPr>
      </w:pPr>
    </w:p>
    <w:p w14:paraId="2E8F967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26 мая 1945 вышло Постановление ГКО № 8798 Об увеличении производства редких металлов предприятиями Наркомцветмета. (7343, 136-139,140-158).</w:t>
      </w:r>
    </w:p>
    <w:p w14:paraId="558CD2BC"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67D5F4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8799 О мероприятиях по обеспечению временной эксплуатации железнодорожной линии Комсомольск - Совгавань. (7343, 159-162,163-165).</w:t>
      </w:r>
    </w:p>
    <w:p w14:paraId="62BCC64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F0EDD4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8800 О мероприятиях по обеспечению временной эксплуатации порта в бухте Ванино. (7343, 166-168,169).</w:t>
      </w:r>
    </w:p>
    <w:p w14:paraId="784B6D3D"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0AAC0F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8801 О мероприятиях по обеспечению эксплуатации паромной переправы через р. Амур на железнодорожной линии Комсомольск - Совгавань. (7343, 170-173).</w:t>
      </w:r>
    </w:p>
    <w:p w14:paraId="31B9645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04A9E8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8802 О материально-техническом обеспечении строительства № 500 НКВД СССР. (7344, 1-4,5-19).</w:t>
      </w:r>
    </w:p>
    <w:p w14:paraId="39B015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33740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8803 О мероприятиях по перестройке промышленности в связи с сокращением производства вооружения. РГАНИР, Фонд ГКО, д. 420, лл. 20-30, 31-80 (11012).</w:t>
      </w:r>
    </w:p>
    <w:p w14:paraId="69B97128" w14:textId="77777777" w:rsidR="00665165" w:rsidRPr="00F90EAE" w:rsidRDefault="00665165" w:rsidP="00F90EAE">
      <w:pPr>
        <w:autoSpaceDE w:val="0"/>
        <w:autoSpaceDN w:val="0"/>
        <w:adjustRightInd w:val="0"/>
        <w:jc w:val="both"/>
        <w:rPr>
          <w:color w:val="000000" w:themeColor="text1"/>
          <w:sz w:val="16"/>
          <w:szCs w:val="16"/>
        </w:rPr>
      </w:pPr>
    </w:p>
    <w:p w14:paraId="0A3707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мая 1945 г. вышло Постановление ГОКО № 8803сс</w:t>
      </w:r>
    </w:p>
    <w:p w14:paraId="7C3483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05AD0D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мероприятиях по перестройке промышленности в связи с сокращением производства вооружения</w:t>
      </w:r>
    </w:p>
    <w:p w14:paraId="5ADF0B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39D4A7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 соответствии с постановлением ГОКО от 17 мая 1945 г. № 8651 ее, установить план производства воору</w:t>
      </w:r>
      <w:r w:rsidRPr="00F90EAE">
        <w:rPr>
          <w:color w:val="000000" w:themeColor="text1"/>
          <w:sz w:val="16"/>
          <w:szCs w:val="16"/>
        </w:rPr>
        <w:softHyphen/>
        <w:t>жения в июне и июле 1945 г. по нижеследующим издели</w:t>
      </w:r>
      <w:r w:rsidRPr="00F90EAE">
        <w:rPr>
          <w:color w:val="000000" w:themeColor="text1"/>
          <w:sz w:val="16"/>
          <w:szCs w:val="16"/>
        </w:rPr>
        <w:softHyphen/>
        <w:t>ям и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85"/>
        <w:gridCol w:w="2185"/>
        <w:gridCol w:w="30"/>
        <w:gridCol w:w="903"/>
        <w:gridCol w:w="851"/>
      </w:tblGrid>
      <w:tr w:rsidR="00561F31" w:rsidRPr="00F90EAE" w14:paraId="6AA8FAB1" w14:textId="77777777">
        <w:trPr>
          <w:trHeight w:val="221"/>
        </w:trPr>
        <w:tc>
          <w:tcPr>
            <w:tcW w:w="1985" w:type="dxa"/>
            <w:tcBorders>
              <w:top w:val="single" w:sz="12" w:space="0" w:color="auto"/>
            </w:tcBorders>
          </w:tcPr>
          <w:p w14:paraId="2E38B4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507D35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Borders>
              <w:top w:val="single" w:sz="12" w:space="0" w:color="auto"/>
            </w:tcBorders>
          </w:tcPr>
          <w:p w14:paraId="6E84DF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Наркомат и завод-поставщик</w:t>
            </w:r>
          </w:p>
          <w:p w14:paraId="7A735B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82" w:type="dxa"/>
            <w:gridSpan w:val="3"/>
            <w:tcBorders>
              <w:top w:val="single" w:sz="12" w:space="0" w:color="auto"/>
            </w:tcBorders>
          </w:tcPr>
          <w:p w14:paraId="3679E6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 на</w:t>
            </w:r>
          </w:p>
          <w:p w14:paraId="7D9C27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D54016" w14:textId="77777777">
        <w:trPr>
          <w:trHeight w:val="202"/>
        </w:trPr>
        <w:tc>
          <w:tcPr>
            <w:tcW w:w="1985" w:type="dxa"/>
          </w:tcPr>
          <w:p w14:paraId="6FA642EC" w14:textId="77777777" w:rsidR="00665165" w:rsidRPr="00F90EAE" w:rsidRDefault="00665165" w:rsidP="00F90EAE">
            <w:pPr>
              <w:autoSpaceDE w:val="0"/>
              <w:autoSpaceDN w:val="0"/>
              <w:adjustRightInd w:val="0"/>
              <w:jc w:val="both"/>
              <w:rPr>
                <w:color w:val="000000" w:themeColor="text1"/>
                <w:sz w:val="16"/>
                <w:szCs w:val="16"/>
              </w:rPr>
            </w:pPr>
          </w:p>
          <w:p w14:paraId="586243C8" w14:textId="77777777" w:rsidR="00665165" w:rsidRPr="00F90EAE" w:rsidRDefault="00665165" w:rsidP="00F90EAE">
            <w:pPr>
              <w:autoSpaceDE w:val="0"/>
              <w:autoSpaceDN w:val="0"/>
              <w:adjustRightInd w:val="0"/>
              <w:jc w:val="both"/>
              <w:rPr>
                <w:color w:val="000000" w:themeColor="text1"/>
                <w:sz w:val="16"/>
                <w:szCs w:val="16"/>
              </w:rPr>
            </w:pPr>
          </w:p>
        </w:tc>
        <w:tc>
          <w:tcPr>
            <w:tcW w:w="2185" w:type="dxa"/>
          </w:tcPr>
          <w:p w14:paraId="4CCF26CC" w14:textId="77777777" w:rsidR="00665165" w:rsidRPr="00F90EAE" w:rsidRDefault="00665165" w:rsidP="00F90EAE">
            <w:pPr>
              <w:autoSpaceDE w:val="0"/>
              <w:autoSpaceDN w:val="0"/>
              <w:adjustRightInd w:val="0"/>
              <w:jc w:val="both"/>
              <w:rPr>
                <w:color w:val="000000" w:themeColor="text1"/>
                <w:sz w:val="16"/>
                <w:szCs w:val="16"/>
              </w:rPr>
            </w:pPr>
          </w:p>
          <w:p w14:paraId="42104377" w14:textId="77777777" w:rsidR="00665165" w:rsidRPr="00F90EAE" w:rsidRDefault="00665165" w:rsidP="00F90EAE">
            <w:pPr>
              <w:autoSpaceDE w:val="0"/>
              <w:autoSpaceDN w:val="0"/>
              <w:adjustRightInd w:val="0"/>
              <w:jc w:val="both"/>
              <w:rPr>
                <w:color w:val="000000" w:themeColor="text1"/>
                <w:sz w:val="16"/>
                <w:szCs w:val="16"/>
              </w:rPr>
            </w:pPr>
          </w:p>
        </w:tc>
        <w:tc>
          <w:tcPr>
            <w:tcW w:w="933" w:type="dxa"/>
            <w:gridSpan w:val="2"/>
          </w:tcPr>
          <w:p w14:paraId="04F900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июнь</w:t>
            </w:r>
          </w:p>
          <w:p w14:paraId="5F95FB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17E8FF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w:t>
            </w:r>
          </w:p>
          <w:p w14:paraId="608F3A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611A751" w14:textId="77777777">
        <w:trPr>
          <w:trHeight w:val="211"/>
        </w:trPr>
        <w:tc>
          <w:tcPr>
            <w:tcW w:w="1985" w:type="dxa"/>
          </w:tcPr>
          <w:p w14:paraId="1D0874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686DB4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53B53E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6B2E58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6C0DE0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6B6223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2F02E8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1DA034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E043B37" w14:textId="77777777">
        <w:trPr>
          <w:trHeight w:val="317"/>
        </w:trPr>
        <w:tc>
          <w:tcPr>
            <w:tcW w:w="1985" w:type="dxa"/>
          </w:tcPr>
          <w:p w14:paraId="0E4C99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 мм. Полковые пушки</w:t>
            </w:r>
          </w:p>
          <w:p w14:paraId="2BA6E3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3C84F7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НКВ з-ды № 172, 106</w:t>
            </w:r>
          </w:p>
          <w:p w14:paraId="54279C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0EB677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0905E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434E18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260738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78FF7A" w14:textId="77777777">
        <w:trPr>
          <w:trHeight w:val="221"/>
        </w:trPr>
        <w:tc>
          <w:tcPr>
            <w:tcW w:w="1985" w:type="dxa"/>
          </w:tcPr>
          <w:p w14:paraId="0360B7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 мм дивизионные пушки</w:t>
            </w:r>
          </w:p>
          <w:p w14:paraId="307603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3A718C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92</w:t>
            </w:r>
          </w:p>
          <w:p w14:paraId="312282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13E63A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024FA7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44D2F7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6C7221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DC0DCD7" w14:textId="77777777">
        <w:trPr>
          <w:trHeight w:val="240"/>
        </w:trPr>
        <w:tc>
          <w:tcPr>
            <w:tcW w:w="1985" w:type="dxa"/>
          </w:tcPr>
          <w:p w14:paraId="49EDE4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 мм дивизионные пушки</w:t>
            </w:r>
          </w:p>
          <w:p w14:paraId="4651D2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4BFFE9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235</w:t>
            </w:r>
          </w:p>
          <w:p w14:paraId="33BC9A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658CB0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61581C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0C551B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8180D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C783DAF" w14:textId="77777777">
        <w:trPr>
          <w:trHeight w:val="240"/>
        </w:trPr>
        <w:tc>
          <w:tcPr>
            <w:tcW w:w="1985" w:type="dxa"/>
          </w:tcPr>
          <w:p w14:paraId="3AE4EB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 мм противотан ковые пушки</w:t>
            </w:r>
          </w:p>
          <w:p w14:paraId="7B261E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007305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з-ды № 235, 92</w:t>
            </w:r>
          </w:p>
          <w:p w14:paraId="57938F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52E63B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658A6A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0A286A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4B9D4B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7466BFC" w14:textId="77777777">
        <w:trPr>
          <w:trHeight w:val="221"/>
        </w:trPr>
        <w:tc>
          <w:tcPr>
            <w:tcW w:w="1985" w:type="dxa"/>
          </w:tcPr>
          <w:p w14:paraId="5BE365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 мм пушки С-53</w:t>
            </w:r>
          </w:p>
          <w:p w14:paraId="3DBB99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60F054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13</w:t>
            </w:r>
          </w:p>
          <w:p w14:paraId="7ED638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7B5524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410</w:t>
            </w:r>
          </w:p>
          <w:p w14:paraId="0C7236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14AC23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410</w:t>
            </w:r>
          </w:p>
          <w:p w14:paraId="2AD98E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960D820" w14:textId="77777777">
        <w:trPr>
          <w:trHeight w:val="211"/>
        </w:trPr>
        <w:tc>
          <w:tcPr>
            <w:tcW w:w="1985" w:type="dxa"/>
          </w:tcPr>
          <w:p w14:paraId="63A995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 мм пушки С-53</w:t>
            </w:r>
          </w:p>
          <w:p w14:paraId="7BDE68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1E4AB2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92</w:t>
            </w:r>
          </w:p>
          <w:p w14:paraId="32B896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6E5FF3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930</w:t>
            </w:r>
          </w:p>
          <w:p w14:paraId="7211B7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2CC932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930</w:t>
            </w:r>
          </w:p>
          <w:p w14:paraId="3DA120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1884AFB" w14:textId="77777777">
        <w:trPr>
          <w:trHeight w:val="221"/>
        </w:trPr>
        <w:tc>
          <w:tcPr>
            <w:tcW w:w="1985" w:type="dxa"/>
          </w:tcPr>
          <w:p w14:paraId="43503F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 мм пушки Д-10с</w:t>
            </w:r>
          </w:p>
          <w:p w14:paraId="78A5F4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11B228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9</w:t>
            </w:r>
          </w:p>
          <w:p w14:paraId="7AC6A3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3179BD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w:t>
            </w:r>
          </w:p>
          <w:p w14:paraId="267A37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39AC2F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w:t>
            </w:r>
          </w:p>
          <w:p w14:paraId="1DA72D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0533A02" w14:textId="77777777">
        <w:trPr>
          <w:trHeight w:val="230"/>
        </w:trPr>
        <w:tc>
          <w:tcPr>
            <w:tcW w:w="1985" w:type="dxa"/>
          </w:tcPr>
          <w:p w14:paraId="54B158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 мм пушки Д-10с</w:t>
            </w:r>
          </w:p>
          <w:p w14:paraId="32A58D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142D39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 № 8</w:t>
            </w:r>
          </w:p>
          <w:p w14:paraId="25F167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392C09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p w14:paraId="6966BB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254499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p w14:paraId="53B6A1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DCD3F80" w14:textId="77777777">
        <w:trPr>
          <w:trHeight w:val="230"/>
        </w:trPr>
        <w:tc>
          <w:tcPr>
            <w:tcW w:w="1985" w:type="dxa"/>
          </w:tcPr>
          <w:p w14:paraId="33E52A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 мм пушки Д-25т</w:t>
            </w:r>
          </w:p>
          <w:p w14:paraId="79A41C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27DD7D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НКВ з-д № 9</w:t>
            </w:r>
          </w:p>
          <w:p w14:paraId="7735A8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609E30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w:t>
            </w:r>
          </w:p>
          <w:p w14:paraId="2FC375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788741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w:t>
            </w:r>
          </w:p>
          <w:p w14:paraId="77EB6D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00F5B5C" w14:textId="77777777">
        <w:trPr>
          <w:trHeight w:val="230"/>
        </w:trPr>
        <w:tc>
          <w:tcPr>
            <w:tcW w:w="1985" w:type="dxa"/>
          </w:tcPr>
          <w:p w14:paraId="6609D6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_"_</w:t>
            </w:r>
          </w:p>
          <w:p w14:paraId="226B9E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15B5EA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75</w:t>
            </w:r>
          </w:p>
          <w:p w14:paraId="7EDF73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5D5033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68DB05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355BE8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21E242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C1669BF" w14:textId="77777777">
        <w:trPr>
          <w:trHeight w:val="192"/>
        </w:trPr>
        <w:tc>
          <w:tcPr>
            <w:tcW w:w="1985" w:type="dxa"/>
          </w:tcPr>
          <w:p w14:paraId="68307F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27969D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582C96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221</w:t>
            </w:r>
          </w:p>
          <w:p w14:paraId="418CCD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51C3B0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5B5003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279E15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76A111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21F8CFF" w14:textId="77777777">
        <w:trPr>
          <w:trHeight w:val="250"/>
        </w:trPr>
        <w:tc>
          <w:tcPr>
            <w:tcW w:w="1985" w:type="dxa"/>
          </w:tcPr>
          <w:p w14:paraId="22E38D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ручные пулеметы</w:t>
            </w:r>
          </w:p>
          <w:p w14:paraId="0EAA86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3EEC4B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2</w:t>
            </w:r>
          </w:p>
          <w:p w14:paraId="0A1334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1DD201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w:t>
            </w:r>
          </w:p>
          <w:p w14:paraId="1CA072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524378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w:t>
            </w:r>
          </w:p>
          <w:p w14:paraId="017A0B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FDC0917" w14:textId="77777777">
        <w:trPr>
          <w:trHeight w:val="240"/>
        </w:trPr>
        <w:tc>
          <w:tcPr>
            <w:tcW w:w="1985" w:type="dxa"/>
          </w:tcPr>
          <w:p w14:paraId="4F70EA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танковые пулеметы</w:t>
            </w:r>
          </w:p>
          <w:p w14:paraId="39E504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21F1BF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2</w:t>
            </w:r>
          </w:p>
          <w:p w14:paraId="52509E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79D15B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p w14:paraId="6FA0A8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017679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4000</w:t>
            </w:r>
          </w:p>
          <w:p w14:paraId="3911ED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F9E7034" w14:textId="77777777">
        <w:trPr>
          <w:trHeight w:val="221"/>
        </w:trPr>
        <w:tc>
          <w:tcPr>
            <w:tcW w:w="1985" w:type="dxa"/>
          </w:tcPr>
          <w:p w14:paraId="3755B1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пистолеты- пулеметы</w:t>
            </w:r>
          </w:p>
          <w:p w14:paraId="6D7B65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185" w:type="dxa"/>
          </w:tcPr>
          <w:p w14:paraId="31FBD6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367</w:t>
            </w:r>
          </w:p>
          <w:p w14:paraId="2554BC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33" w:type="dxa"/>
            <w:gridSpan w:val="2"/>
          </w:tcPr>
          <w:p w14:paraId="3EC091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30000</w:t>
            </w:r>
          </w:p>
          <w:p w14:paraId="7C9033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48" w:type="dxa"/>
          </w:tcPr>
          <w:p w14:paraId="43227E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30000</w:t>
            </w:r>
          </w:p>
          <w:p w14:paraId="1D5421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88693D3" w14:textId="77777777">
        <w:trPr>
          <w:trHeight w:val="394"/>
        </w:trPr>
        <w:tc>
          <w:tcPr>
            <w:tcW w:w="1985" w:type="dxa"/>
          </w:tcPr>
          <w:p w14:paraId="3C4344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w:t>
            </w:r>
          </w:p>
          <w:p w14:paraId="7BBAB6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450245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r w:rsidRPr="00F90EAE">
              <w:rPr>
                <w:color w:val="000000" w:themeColor="text1"/>
                <w:sz w:val="16"/>
                <w:szCs w:val="16"/>
                <w:vertAlign w:val="superscript"/>
              </w:rPr>
              <w:t>2</w:t>
            </w:r>
            <w:r w:rsidRPr="00F90EAE">
              <w:rPr>
                <w:color w:val="000000" w:themeColor="text1"/>
                <w:sz w:val="16"/>
                <w:szCs w:val="16"/>
              </w:rPr>
              <w:t>" 828</w:t>
            </w:r>
          </w:p>
          <w:p w14:paraId="033730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7755EC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20000</w:t>
            </w:r>
          </w:p>
          <w:p w14:paraId="366841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58AC05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A534B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E7DD030" w14:textId="77777777">
        <w:trPr>
          <w:trHeight w:val="269"/>
        </w:trPr>
        <w:tc>
          <w:tcPr>
            <w:tcW w:w="1985" w:type="dxa"/>
          </w:tcPr>
          <w:p w14:paraId="6DE1EE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 мм полковые минометы</w:t>
            </w:r>
          </w:p>
          <w:p w14:paraId="0F897C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287830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718</w:t>
            </w:r>
          </w:p>
          <w:p w14:paraId="25F8E1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57F6F9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p w14:paraId="38D33D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1AD9F1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6246D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43D47C0" w14:textId="77777777">
        <w:trPr>
          <w:trHeight w:val="288"/>
        </w:trPr>
        <w:tc>
          <w:tcPr>
            <w:tcW w:w="1985" w:type="dxa"/>
          </w:tcPr>
          <w:p w14:paraId="2BA87D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9EA57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2E2D7F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720</w:t>
            </w:r>
          </w:p>
          <w:p w14:paraId="228CFC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15AE15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528171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4AEB05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3541B1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AFC96B6" w14:textId="77777777">
        <w:trPr>
          <w:trHeight w:val="202"/>
        </w:trPr>
        <w:tc>
          <w:tcPr>
            <w:tcW w:w="1985" w:type="dxa"/>
          </w:tcPr>
          <w:p w14:paraId="2DF64E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D3C64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70E3AC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746</w:t>
            </w:r>
          </w:p>
          <w:p w14:paraId="696C5D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7D4CCE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069E93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0C803B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2E81F7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BF334B5" w14:textId="77777777">
        <w:trPr>
          <w:trHeight w:val="518"/>
        </w:trPr>
        <w:tc>
          <w:tcPr>
            <w:tcW w:w="1985" w:type="dxa"/>
          </w:tcPr>
          <w:p w14:paraId="572EA6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160 мм минометы </w:t>
            </w:r>
          </w:p>
          <w:p w14:paraId="33BEE2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3D05D8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НКВ з-д № 535</w:t>
            </w:r>
          </w:p>
          <w:p w14:paraId="244D61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9344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77C6B0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1C7C57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692BC5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4F4A99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F395094" w14:textId="77777777">
        <w:trPr>
          <w:trHeight w:val="518"/>
        </w:trPr>
        <w:tc>
          <w:tcPr>
            <w:tcW w:w="1985" w:type="dxa"/>
          </w:tcPr>
          <w:p w14:paraId="3C39F1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Передки к 45 мм п/т пушкам</w:t>
            </w:r>
          </w:p>
        </w:tc>
        <w:tc>
          <w:tcPr>
            <w:tcW w:w="2215" w:type="dxa"/>
            <w:gridSpan w:val="2"/>
          </w:tcPr>
          <w:p w14:paraId="15F09F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79</w:t>
            </w:r>
          </w:p>
        </w:tc>
        <w:tc>
          <w:tcPr>
            <w:tcW w:w="903" w:type="dxa"/>
          </w:tcPr>
          <w:p w14:paraId="4B285E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tc>
        <w:tc>
          <w:tcPr>
            <w:tcW w:w="851" w:type="dxa"/>
          </w:tcPr>
          <w:p w14:paraId="66B455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tc>
      </w:tr>
      <w:tr w:rsidR="00561F31" w:rsidRPr="00F90EAE" w14:paraId="1CACD4E1" w14:textId="77777777">
        <w:trPr>
          <w:trHeight w:val="182"/>
        </w:trPr>
        <w:tc>
          <w:tcPr>
            <w:tcW w:w="1985" w:type="dxa"/>
          </w:tcPr>
          <w:p w14:paraId="44D4FC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Передки к 76 мм пушкам ОБ-25</w:t>
            </w:r>
          </w:p>
          <w:p w14:paraId="39F815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7D4B43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B6941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200071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4C1D98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267C0F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p w14:paraId="006779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34ABBD2" w14:textId="77777777">
        <w:trPr>
          <w:trHeight w:val="413"/>
        </w:trPr>
        <w:tc>
          <w:tcPr>
            <w:tcW w:w="1985" w:type="dxa"/>
          </w:tcPr>
          <w:p w14:paraId="2D6F8A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Передки к 76 мм дивизионным пуш кам</w:t>
            </w:r>
          </w:p>
          <w:p w14:paraId="2B1262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7B5DDF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НКТП " № 183</w:t>
            </w:r>
          </w:p>
          <w:p w14:paraId="5B6643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7D3768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w:t>
            </w:r>
          </w:p>
          <w:p w14:paraId="51A089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16B6A4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600</w:t>
            </w:r>
          </w:p>
          <w:p w14:paraId="77C3F2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0B439A6" w14:textId="77777777">
        <w:trPr>
          <w:trHeight w:val="576"/>
        </w:trPr>
        <w:tc>
          <w:tcPr>
            <w:tcW w:w="1985" w:type="dxa"/>
          </w:tcPr>
          <w:p w14:paraId="551445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т.ч. для ЗИС-2 </w:t>
            </w:r>
          </w:p>
          <w:p w14:paraId="05C598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087DB2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183</w:t>
            </w:r>
          </w:p>
          <w:p w14:paraId="5922B5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23A5EA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300 </w:t>
            </w:r>
          </w:p>
          <w:p w14:paraId="2F22B0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60E3BE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300 </w:t>
            </w:r>
          </w:p>
          <w:p w14:paraId="1BFE95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8A7C428" w14:textId="77777777">
        <w:trPr>
          <w:trHeight w:val="576"/>
        </w:trPr>
        <w:tc>
          <w:tcPr>
            <w:tcW w:w="1985" w:type="dxa"/>
          </w:tcPr>
          <w:p w14:paraId="6D143F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Передки к 120 мм пушкам М- 30</w:t>
            </w:r>
          </w:p>
        </w:tc>
        <w:tc>
          <w:tcPr>
            <w:tcW w:w="2215" w:type="dxa"/>
            <w:gridSpan w:val="2"/>
          </w:tcPr>
          <w:p w14:paraId="3CCBE2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74C6D1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360</w:t>
            </w:r>
          </w:p>
        </w:tc>
        <w:tc>
          <w:tcPr>
            <w:tcW w:w="851" w:type="dxa"/>
          </w:tcPr>
          <w:p w14:paraId="0A6DFD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360</w:t>
            </w:r>
          </w:p>
        </w:tc>
      </w:tr>
      <w:tr w:rsidR="00561F31" w:rsidRPr="00F90EAE" w14:paraId="3981EEFF" w14:textId="77777777">
        <w:trPr>
          <w:trHeight w:val="816"/>
        </w:trPr>
        <w:tc>
          <w:tcPr>
            <w:tcW w:w="1985" w:type="dxa"/>
          </w:tcPr>
          <w:p w14:paraId="171D14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ПУАЗО № 3</w:t>
            </w:r>
          </w:p>
          <w:p w14:paraId="51BAFB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0D47F7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НКМВ з-д № 807 </w:t>
            </w:r>
          </w:p>
          <w:p w14:paraId="1CFDB8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4CA660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25D83B3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7363BF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54AE30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207F50" w14:textId="77777777">
        <w:trPr>
          <w:trHeight w:val="816"/>
        </w:trPr>
        <w:tc>
          <w:tcPr>
            <w:tcW w:w="1985" w:type="dxa"/>
          </w:tcPr>
          <w:p w14:paraId="48BA8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ПУАЗО №</w:t>
            </w:r>
          </w:p>
        </w:tc>
        <w:tc>
          <w:tcPr>
            <w:tcW w:w="2215" w:type="dxa"/>
            <w:gridSpan w:val="2"/>
          </w:tcPr>
          <w:p w14:paraId="360AF0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 № 192</w:t>
            </w:r>
          </w:p>
        </w:tc>
        <w:tc>
          <w:tcPr>
            <w:tcW w:w="903" w:type="dxa"/>
          </w:tcPr>
          <w:p w14:paraId="5CB551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tc>
        <w:tc>
          <w:tcPr>
            <w:tcW w:w="851" w:type="dxa"/>
          </w:tcPr>
          <w:p w14:paraId="330ECE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22F98359" w14:textId="77777777">
        <w:trPr>
          <w:trHeight w:val="816"/>
        </w:trPr>
        <w:tc>
          <w:tcPr>
            <w:tcW w:w="1985" w:type="dxa"/>
          </w:tcPr>
          <w:p w14:paraId="2BC10F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Прицепы к ПУАЗО№ 3</w:t>
            </w:r>
          </w:p>
        </w:tc>
        <w:tc>
          <w:tcPr>
            <w:tcW w:w="2215" w:type="dxa"/>
            <w:gridSpan w:val="2"/>
          </w:tcPr>
          <w:p w14:paraId="286A8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НКУП Александр з-д</w:t>
            </w:r>
          </w:p>
        </w:tc>
        <w:tc>
          <w:tcPr>
            <w:tcW w:w="903" w:type="dxa"/>
          </w:tcPr>
          <w:p w14:paraId="18C1F3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tc>
        <w:tc>
          <w:tcPr>
            <w:tcW w:w="851" w:type="dxa"/>
          </w:tcPr>
          <w:p w14:paraId="63A3EE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7E91729C" w14:textId="77777777">
        <w:trPr>
          <w:trHeight w:val="384"/>
        </w:trPr>
        <w:tc>
          <w:tcPr>
            <w:tcW w:w="1985" w:type="dxa"/>
          </w:tcPr>
          <w:p w14:paraId="5930A7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ПУАЗО № 4</w:t>
            </w:r>
          </w:p>
          <w:p w14:paraId="3A95CB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1FA772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НКСМ Ирбитский з-д</w:t>
            </w:r>
          </w:p>
          <w:p w14:paraId="75E6F9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3905C0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2CB81B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2DFCBA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53805D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CA05CCF" w14:textId="77777777">
        <w:trPr>
          <w:trHeight w:val="288"/>
        </w:trPr>
        <w:tc>
          <w:tcPr>
            <w:tcW w:w="1985" w:type="dxa"/>
          </w:tcPr>
          <w:p w14:paraId="2CE6D8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Принимающие к ПУАЗО № 3</w:t>
            </w:r>
          </w:p>
          <w:p w14:paraId="2EFBAE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085CE3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 з-д № 708</w:t>
            </w:r>
          </w:p>
          <w:p w14:paraId="6E8BBF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024070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7D311D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603D36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2755AB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BE3BA2D" w14:textId="77777777">
        <w:trPr>
          <w:trHeight w:val="403"/>
        </w:trPr>
        <w:tc>
          <w:tcPr>
            <w:tcW w:w="1985" w:type="dxa"/>
          </w:tcPr>
          <w:p w14:paraId="4F1543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Принимающие к ПУАЗО № 4</w:t>
            </w:r>
          </w:p>
        </w:tc>
        <w:tc>
          <w:tcPr>
            <w:tcW w:w="2215" w:type="dxa"/>
            <w:gridSpan w:val="2"/>
          </w:tcPr>
          <w:p w14:paraId="7DD89C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703</w:t>
            </w:r>
          </w:p>
          <w:p w14:paraId="7A0124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18D76F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1BD9B4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09E9F8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6FDC27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188BACC" w14:textId="77777777">
        <w:trPr>
          <w:trHeight w:val="605"/>
        </w:trPr>
        <w:tc>
          <w:tcPr>
            <w:tcW w:w="1985" w:type="dxa"/>
          </w:tcPr>
          <w:p w14:paraId="1A6A53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Прожзвук С- 2 </w:t>
            </w:r>
          </w:p>
          <w:p w14:paraId="7C13FD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25FC50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192</w:t>
            </w:r>
          </w:p>
          <w:p w14:paraId="5B98E8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41C83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24EE32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61255F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71CDBF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7D437F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E9987C5" w14:textId="77777777">
        <w:trPr>
          <w:trHeight w:val="605"/>
        </w:trPr>
        <w:tc>
          <w:tcPr>
            <w:tcW w:w="1985" w:type="dxa"/>
          </w:tcPr>
          <w:p w14:paraId="1572FA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Посты управления С-2</w:t>
            </w:r>
          </w:p>
        </w:tc>
        <w:tc>
          <w:tcPr>
            <w:tcW w:w="2215" w:type="dxa"/>
            <w:gridSpan w:val="2"/>
          </w:tcPr>
          <w:p w14:paraId="76EFAB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252</w:t>
            </w:r>
          </w:p>
        </w:tc>
        <w:tc>
          <w:tcPr>
            <w:tcW w:w="903" w:type="dxa"/>
          </w:tcPr>
          <w:p w14:paraId="6399D5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tc>
        <w:tc>
          <w:tcPr>
            <w:tcW w:w="851" w:type="dxa"/>
          </w:tcPr>
          <w:p w14:paraId="1F9ABE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tc>
      </w:tr>
      <w:tr w:rsidR="00561F31" w:rsidRPr="00F90EAE" w14:paraId="1C9BFFD6" w14:textId="77777777">
        <w:trPr>
          <w:trHeight w:val="422"/>
        </w:trPr>
        <w:tc>
          <w:tcPr>
            <w:tcW w:w="1985" w:type="dxa"/>
          </w:tcPr>
          <w:p w14:paraId="32FA55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Звукометрия, станции СЧЗМ-36</w:t>
            </w:r>
          </w:p>
          <w:p w14:paraId="48B78D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44AEB6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707</w:t>
            </w:r>
          </w:p>
          <w:p w14:paraId="7DA417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1B2CD3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21C4B5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1267A1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2CB0FB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44117C6" w14:textId="77777777">
        <w:trPr>
          <w:trHeight w:val="422"/>
        </w:trPr>
        <w:tc>
          <w:tcPr>
            <w:tcW w:w="1985" w:type="dxa"/>
          </w:tcPr>
          <w:p w14:paraId="27B26D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Прожстанации 3-15-11 3-15-12</w:t>
            </w:r>
          </w:p>
          <w:p w14:paraId="0323F4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156F80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НКЭП з-д № 644</w:t>
            </w:r>
          </w:p>
          <w:p w14:paraId="71B393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112695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1054DA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22517D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2B35A6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238EFF5" w14:textId="77777777">
        <w:trPr>
          <w:trHeight w:val="422"/>
        </w:trPr>
        <w:tc>
          <w:tcPr>
            <w:tcW w:w="1985" w:type="dxa"/>
          </w:tcPr>
          <w:p w14:paraId="1039E5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181D2F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686</w:t>
            </w:r>
          </w:p>
          <w:p w14:paraId="32B349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232A53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29D68C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26DF65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635014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E761082" w14:textId="77777777">
        <w:trPr>
          <w:trHeight w:val="605"/>
        </w:trPr>
        <w:tc>
          <w:tcPr>
            <w:tcW w:w="1985" w:type="dxa"/>
          </w:tcPr>
          <w:p w14:paraId="2D5A34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Зарядные агрегаты АЗ-1</w:t>
            </w:r>
          </w:p>
          <w:p w14:paraId="7890F9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Pr>
          <w:p w14:paraId="6CBC57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686</w:t>
            </w:r>
          </w:p>
          <w:p w14:paraId="1062AD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Pr>
          <w:p w14:paraId="34B78B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p w14:paraId="006815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Pr>
          <w:p w14:paraId="3403A0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p w14:paraId="0A2592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DF14F10" w14:textId="77777777">
        <w:trPr>
          <w:trHeight w:val="298"/>
        </w:trPr>
        <w:tc>
          <w:tcPr>
            <w:tcW w:w="1985" w:type="dxa"/>
            <w:tcBorders>
              <w:bottom w:val="single" w:sz="12" w:space="0" w:color="auto"/>
            </w:tcBorders>
          </w:tcPr>
          <w:p w14:paraId="726441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Кинжал-ножи ар мейские</w:t>
            </w:r>
          </w:p>
          <w:p w14:paraId="0B1EFE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215" w:type="dxa"/>
            <w:gridSpan w:val="2"/>
            <w:tcBorders>
              <w:bottom w:val="single" w:sz="12" w:space="0" w:color="auto"/>
            </w:tcBorders>
          </w:tcPr>
          <w:p w14:paraId="3F1A7D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НКБ " № 391</w:t>
            </w:r>
          </w:p>
          <w:p w14:paraId="764DF8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03" w:type="dxa"/>
            <w:tcBorders>
              <w:bottom w:val="single" w:sz="12" w:space="0" w:color="auto"/>
            </w:tcBorders>
          </w:tcPr>
          <w:p w14:paraId="28409F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10000</w:t>
            </w:r>
          </w:p>
          <w:p w14:paraId="52248E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851" w:type="dxa"/>
            <w:tcBorders>
              <w:bottom w:val="single" w:sz="12" w:space="0" w:color="auto"/>
            </w:tcBorders>
          </w:tcPr>
          <w:p w14:paraId="5F6D27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99B1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3D72F7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 связи с сокращением производства и поставок во</w:t>
      </w:r>
      <w:r w:rsidRPr="00F90EAE">
        <w:rPr>
          <w:color w:val="000000" w:themeColor="text1"/>
          <w:sz w:val="16"/>
          <w:szCs w:val="16"/>
        </w:rPr>
        <w:softHyphen/>
        <w:t>оружения по НКВ в июне 1945 года уменьшить поставку Наркомвооружения в июне следующих основных матери</w:t>
      </w:r>
      <w:r w:rsidRPr="00F90EAE">
        <w:rPr>
          <w:color w:val="000000" w:themeColor="text1"/>
          <w:sz w:val="16"/>
          <w:szCs w:val="16"/>
        </w:rPr>
        <w:softHyphen/>
        <w:t>алов и оборудования.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64"/>
        <w:gridCol w:w="1152"/>
        <w:gridCol w:w="1747"/>
        <w:gridCol w:w="1219"/>
      </w:tblGrid>
      <w:tr w:rsidR="00561F31" w:rsidRPr="00F90EAE" w14:paraId="668A643E" w14:textId="77777777">
        <w:trPr>
          <w:trHeight w:val="259"/>
        </w:trPr>
        <w:tc>
          <w:tcPr>
            <w:tcW w:w="2064" w:type="dxa"/>
            <w:tcBorders>
              <w:top w:val="single" w:sz="12" w:space="0" w:color="auto"/>
            </w:tcBorders>
          </w:tcPr>
          <w:p w14:paraId="7E9739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A877D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Borders>
              <w:top w:val="single" w:sz="12" w:space="0" w:color="auto"/>
            </w:tcBorders>
          </w:tcPr>
          <w:p w14:paraId="0AE8BE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Единица измерения</w:t>
            </w:r>
          </w:p>
          <w:p w14:paraId="1DE9AF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966" w:type="dxa"/>
            <w:gridSpan w:val="2"/>
            <w:tcBorders>
              <w:top w:val="single" w:sz="12" w:space="0" w:color="auto"/>
            </w:tcBorders>
          </w:tcPr>
          <w:p w14:paraId="28EB6D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Июнь 1945 года</w:t>
            </w:r>
          </w:p>
          <w:p w14:paraId="6AC6C5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F193E7F" w14:textId="77777777">
        <w:trPr>
          <w:trHeight w:val="384"/>
        </w:trPr>
        <w:tc>
          <w:tcPr>
            <w:tcW w:w="2064" w:type="dxa"/>
          </w:tcPr>
          <w:p w14:paraId="663494AF" w14:textId="77777777" w:rsidR="00665165" w:rsidRPr="00F90EAE" w:rsidRDefault="00665165" w:rsidP="00F90EAE">
            <w:pPr>
              <w:autoSpaceDE w:val="0"/>
              <w:autoSpaceDN w:val="0"/>
              <w:adjustRightInd w:val="0"/>
              <w:jc w:val="both"/>
              <w:rPr>
                <w:color w:val="000000" w:themeColor="text1"/>
                <w:sz w:val="16"/>
                <w:szCs w:val="16"/>
              </w:rPr>
            </w:pPr>
          </w:p>
          <w:p w14:paraId="0A38E893" w14:textId="77777777" w:rsidR="00665165" w:rsidRPr="00F90EAE" w:rsidRDefault="00665165" w:rsidP="00F90EAE">
            <w:pPr>
              <w:autoSpaceDE w:val="0"/>
              <w:autoSpaceDN w:val="0"/>
              <w:adjustRightInd w:val="0"/>
              <w:jc w:val="both"/>
              <w:rPr>
                <w:color w:val="000000" w:themeColor="text1"/>
                <w:sz w:val="16"/>
                <w:szCs w:val="16"/>
              </w:rPr>
            </w:pPr>
          </w:p>
        </w:tc>
        <w:tc>
          <w:tcPr>
            <w:tcW w:w="1152" w:type="dxa"/>
          </w:tcPr>
          <w:p w14:paraId="443F1190" w14:textId="77777777" w:rsidR="00665165" w:rsidRPr="00F90EAE" w:rsidRDefault="00665165" w:rsidP="00F90EAE">
            <w:pPr>
              <w:autoSpaceDE w:val="0"/>
              <w:autoSpaceDN w:val="0"/>
              <w:adjustRightInd w:val="0"/>
              <w:jc w:val="both"/>
              <w:rPr>
                <w:color w:val="000000" w:themeColor="text1"/>
                <w:sz w:val="16"/>
                <w:szCs w:val="16"/>
              </w:rPr>
            </w:pPr>
          </w:p>
          <w:p w14:paraId="4291AA10" w14:textId="77777777" w:rsidR="00665165" w:rsidRPr="00F90EAE" w:rsidRDefault="00665165" w:rsidP="00F90EAE">
            <w:pPr>
              <w:autoSpaceDE w:val="0"/>
              <w:autoSpaceDN w:val="0"/>
              <w:adjustRightInd w:val="0"/>
              <w:jc w:val="both"/>
              <w:rPr>
                <w:color w:val="000000" w:themeColor="text1"/>
                <w:sz w:val="16"/>
                <w:szCs w:val="16"/>
              </w:rPr>
            </w:pPr>
          </w:p>
        </w:tc>
        <w:tc>
          <w:tcPr>
            <w:tcW w:w="1747" w:type="dxa"/>
          </w:tcPr>
          <w:p w14:paraId="6935FF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Подлежало поставке</w:t>
            </w:r>
          </w:p>
          <w:p w14:paraId="578879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29B313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поставить</w:t>
            </w:r>
          </w:p>
          <w:p w14:paraId="560814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B887837" w14:textId="77777777">
        <w:trPr>
          <w:trHeight w:val="230"/>
        </w:trPr>
        <w:tc>
          <w:tcPr>
            <w:tcW w:w="2064" w:type="dxa"/>
          </w:tcPr>
          <w:p w14:paraId="567F3D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Прокат черных металлов (горячекатанный)</w:t>
            </w:r>
          </w:p>
          <w:p w14:paraId="6A725C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404BE1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тонн</w:t>
            </w:r>
          </w:p>
          <w:p w14:paraId="3A1F31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59B423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4500</w:t>
            </w:r>
          </w:p>
          <w:p w14:paraId="6EB1AB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30FEB8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37400</w:t>
            </w:r>
          </w:p>
          <w:p w14:paraId="37008F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32980F3" w14:textId="77777777">
        <w:trPr>
          <w:trHeight w:val="240"/>
        </w:trPr>
        <w:tc>
          <w:tcPr>
            <w:tcW w:w="2064" w:type="dxa"/>
          </w:tcPr>
          <w:p w14:paraId="2D78AD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Калибровка углеродистая У-12-А</w:t>
            </w:r>
          </w:p>
          <w:p w14:paraId="09B320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37EBE1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F3A95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58377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1600</w:t>
            </w:r>
          </w:p>
          <w:p w14:paraId="0F8E26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5B782F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1100</w:t>
            </w:r>
          </w:p>
          <w:p w14:paraId="2CC741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55651E0" w14:textId="77777777">
        <w:trPr>
          <w:trHeight w:val="250"/>
        </w:trPr>
        <w:tc>
          <w:tcPr>
            <w:tcW w:w="2064" w:type="dxa"/>
          </w:tcPr>
          <w:p w14:paraId="1A44F1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Лента стальная х/катанная П-П</w:t>
            </w:r>
          </w:p>
          <w:p w14:paraId="61E6F6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749690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F3184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9A74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608C99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CF118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85739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1EB0348" w14:textId="77777777">
        <w:trPr>
          <w:trHeight w:val="230"/>
        </w:trPr>
        <w:tc>
          <w:tcPr>
            <w:tcW w:w="2064" w:type="dxa"/>
          </w:tcPr>
          <w:p w14:paraId="3B8FE6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Лента стальная х/катанная Г- 18</w:t>
            </w:r>
          </w:p>
          <w:p w14:paraId="1A800F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3DDE44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FB02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429F46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600</w:t>
            </w:r>
          </w:p>
          <w:p w14:paraId="736463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6D4732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F6933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3914BFB" w14:textId="77777777">
        <w:trPr>
          <w:trHeight w:val="202"/>
        </w:trPr>
        <w:tc>
          <w:tcPr>
            <w:tcW w:w="2064" w:type="dxa"/>
          </w:tcPr>
          <w:p w14:paraId="0FE9CC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Лента латунная 2,54</w:t>
            </w:r>
          </w:p>
          <w:p w14:paraId="174F9C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64312E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DDE79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6AE4E8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3100</w:t>
            </w:r>
          </w:p>
          <w:p w14:paraId="6AA9B6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BC9DE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5A791E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7124687" w14:textId="77777777">
        <w:trPr>
          <w:trHeight w:val="221"/>
        </w:trPr>
        <w:tc>
          <w:tcPr>
            <w:tcW w:w="2064" w:type="dxa"/>
          </w:tcPr>
          <w:p w14:paraId="281CDD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Лента латунная 8,15</w:t>
            </w:r>
          </w:p>
          <w:p w14:paraId="765F32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3D1BFA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55827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51F7B1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266A13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4E73259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32753F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90DB7F3" w14:textId="77777777">
        <w:trPr>
          <w:trHeight w:val="202"/>
        </w:trPr>
        <w:tc>
          <w:tcPr>
            <w:tcW w:w="2064" w:type="dxa"/>
          </w:tcPr>
          <w:p w14:paraId="73287C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Победитовая смесь для бронебойных сердечников</w:t>
            </w:r>
          </w:p>
          <w:p w14:paraId="734BF4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43E113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CAB09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89C7D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p w14:paraId="66813A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69B62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22DFB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21ED1E5" w14:textId="77777777">
        <w:trPr>
          <w:trHeight w:val="240"/>
        </w:trPr>
        <w:tc>
          <w:tcPr>
            <w:tcW w:w="2064" w:type="dxa"/>
          </w:tcPr>
          <w:p w14:paraId="6E56A0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Победитовые сердеч ники</w:t>
            </w:r>
          </w:p>
          <w:p w14:paraId="0C6B27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05D979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тыс.шт.</w:t>
            </w:r>
          </w:p>
          <w:p w14:paraId="031275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763935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0BD3DB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59946B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2DDFE9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825AC50" w14:textId="77777777">
        <w:trPr>
          <w:trHeight w:val="230"/>
        </w:trPr>
        <w:tc>
          <w:tcPr>
            <w:tcW w:w="2064" w:type="dxa"/>
          </w:tcPr>
          <w:p w14:paraId="7366DD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Трубы латунные</w:t>
            </w:r>
          </w:p>
          <w:p w14:paraId="4C5281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143831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тонн</w:t>
            </w:r>
          </w:p>
          <w:p w14:paraId="4AC95E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2A2BC5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w:t>
            </w:r>
          </w:p>
          <w:p w14:paraId="6C39AA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7B506E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w:t>
            </w:r>
          </w:p>
          <w:p w14:paraId="57BEA7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6B2FF8D" w14:textId="77777777">
        <w:trPr>
          <w:trHeight w:val="221"/>
        </w:trPr>
        <w:tc>
          <w:tcPr>
            <w:tcW w:w="2064" w:type="dxa"/>
          </w:tcPr>
          <w:p w14:paraId="685043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Прутки латунные</w:t>
            </w:r>
          </w:p>
          <w:p w14:paraId="6A3634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3C838F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E3378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794C8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w:t>
            </w:r>
          </w:p>
          <w:p w14:paraId="61EC3F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3F4270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w:t>
            </w:r>
          </w:p>
          <w:p w14:paraId="72EF70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94DF494" w14:textId="77777777">
        <w:trPr>
          <w:trHeight w:val="211"/>
        </w:trPr>
        <w:tc>
          <w:tcPr>
            <w:tcW w:w="2064" w:type="dxa"/>
          </w:tcPr>
          <w:p w14:paraId="7C02A1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Автоавиапровода</w:t>
            </w:r>
          </w:p>
          <w:p w14:paraId="0BE998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1B8503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клм</w:t>
            </w:r>
          </w:p>
          <w:p w14:paraId="58D919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1BBE44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w:t>
            </w:r>
          </w:p>
          <w:p w14:paraId="6D4F1E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F512C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w:t>
            </w:r>
          </w:p>
          <w:p w14:paraId="382D9F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95EB7FB" w14:textId="77777777">
        <w:trPr>
          <w:trHeight w:val="211"/>
        </w:trPr>
        <w:tc>
          <w:tcPr>
            <w:tcW w:w="2064" w:type="dxa"/>
          </w:tcPr>
          <w:p w14:paraId="4EACB9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Брезент</w:t>
            </w:r>
          </w:p>
          <w:p w14:paraId="534B53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0BCD00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тыс.м</w:t>
            </w:r>
          </w:p>
          <w:p w14:paraId="529FB2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5390E2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w:t>
            </w:r>
          </w:p>
          <w:p w14:paraId="784A38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526556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14B406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4F1C43" w14:textId="77777777">
        <w:trPr>
          <w:trHeight w:val="202"/>
        </w:trPr>
        <w:tc>
          <w:tcPr>
            <w:tcW w:w="2064" w:type="dxa"/>
          </w:tcPr>
          <w:p w14:paraId="21C4EF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Тесьма ременная тканная</w:t>
            </w:r>
          </w:p>
          <w:p w14:paraId="1B2F65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045E98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тыс.м</w:t>
            </w:r>
          </w:p>
          <w:p w14:paraId="3C1B3F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7C6512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430</w:t>
            </w:r>
          </w:p>
          <w:p w14:paraId="4C8495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156306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_</w:t>
            </w:r>
          </w:p>
          <w:p w14:paraId="12F19E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97B12B3" w14:textId="77777777">
        <w:trPr>
          <w:trHeight w:val="202"/>
        </w:trPr>
        <w:tc>
          <w:tcPr>
            <w:tcW w:w="2064" w:type="dxa"/>
          </w:tcPr>
          <w:p w14:paraId="27FC1B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Бумага оберточная</w:t>
            </w:r>
          </w:p>
          <w:p w14:paraId="0DB1D3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79FCD8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тонн</w:t>
            </w:r>
          </w:p>
          <w:p w14:paraId="74122A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77FD60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w:t>
            </w:r>
          </w:p>
          <w:p w14:paraId="4E6488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1D91D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0150F2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9F9992B" w14:textId="77777777">
        <w:trPr>
          <w:trHeight w:val="211"/>
        </w:trPr>
        <w:tc>
          <w:tcPr>
            <w:tcW w:w="2064" w:type="dxa"/>
          </w:tcPr>
          <w:p w14:paraId="21890F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Мыло хозяйственное</w:t>
            </w:r>
          </w:p>
          <w:p w14:paraId="22227E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20697F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тонн</w:t>
            </w:r>
          </w:p>
          <w:p w14:paraId="0A5DCE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4BCD22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17BAE9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78AD22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25138C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61864AA" w14:textId="77777777">
        <w:trPr>
          <w:trHeight w:val="211"/>
        </w:trPr>
        <w:tc>
          <w:tcPr>
            <w:tcW w:w="2064" w:type="dxa"/>
          </w:tcPr>
          <w:p w14:paraId="7775FF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Серная кислота</w:t>
            </w:r>
          </w:p>
          <w:p w14:paraId="04E54A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6B67F7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E8FC6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CBF93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p w14:paraId="1C7AA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28F485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550</w:t>
            </w:r>
          </w:p>
          <w:p w14:paraId="47B06B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AE9C582" w14:textId="77777777">
        <w:trPr>
          <w:trHeight w:val="230"/>
        </w:trPr>
        <w:tc>
          <w:tcPr>
            <w:tcW w:w="2064" w:type="dxa"/>
          </w:tcPr>
          <w:p w14:paraId="00DAA7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Спецукупорка</w:t>
            </w:r>
          </w:p>
          <w:p w14:paraId="5F6509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423856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тыс.компл.</w:t>
            </w:r>
          </w:p>
          <w:p w14:paraId="066205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798003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1000</w:t>
            </w:r>
          </w:p>
          <w:p w14:paraId="3F238B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51B0E5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w:t>
            </w:r>
          </w:p>
          <w:p w14:paraId="0A6DA1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90E4BE5" w14:textId="77777777">
        <w:trPr>
          <w:trHeight w:val="230"/>
        </w:trPr>
        <w:tc>
          <w:tcPr>
            <w:tcW w:w="2064" w:type="dxa"/>
          </w:tcPr>
          <w:p w14:paraId="654ADF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Шины «ГК«</w:t>
            </w:r>
          </w:p>
          <w:p w14:paraId="047A56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645868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штук</w:t>
            </w:r>
          </w:p>
          <w:p w14:paraId="2EA6011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318525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9800</w:t>
            </w:r>
          </w:p>
          <w:p w14:paraId="5C0DBD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162C03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2800</w:t>
            </w:r>
          </w:p>
          <w:p w14:paraId="317F3B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EAF73FD" w14:textId="77777777">
        <w:trPr>
          <w:trHeight w:val="211"/>
        </w:trPr>
        <w:tc>
          <w:tcPr>
            <w:tcW w:w="2064" w:type="dxa"/>
          </w:tcPr>
          <w:p w14:paraId="348277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Станки металлорежущие</w:t>
            </w:r>
          </w:p>
          <w:p w14:paraId="0C2FEF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25FF09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штук</w:t>
            </w:r>
          </w:p>
          <w:p w14:paraId="44165C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28D9D5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320</w:t>
            </w:r>
          </w:p>
          <w:p w14:paraId="47EDE0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0BDB41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w:t>
            </w:r>
          </w:p>
          <w:p w14:paraId="7575AE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109A309" w14:textId="77777777">
        <w:trPr>
          <w:trHeight w:val="672"/>
        </w:trPr>
        <w:tc>
          <w:tcPr>
            <w:tcW w:w="2064" w:type="dxa"/>
          </w:tcPr>
          <w:p w14:paraId="6C0185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Шарикоподшипники </w:t>
            </w:r>
          </w:p>
          <w:p w14:paraId="117CC1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Pr>
          <w:p w14:paraId="7A1FC4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тыс.шт.</w:t>
            </w:r>
          </w:p>
          <w:p w14:paraId="2FCCA4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Pr>
          <w:p w14:paraId="58C0D1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165</w:t>
            </w:r>
          </w:p>
          <w:p w14:paraId="783C0E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Pr>
          <w:p w14:paraId="33140D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p w14:paraId="235BBA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FC016A7" w14:textId="77777777">
        <w:trPr>
          <w:trHeight w:val="250"/>
        </w:trPr>
        <w:tc>
          <w:tcPr>
            <w:tcW w:w="2064" w:type="dxa"/>
            <w:tcBorders>
              <w:bottom w:val="single" w:sz="12" w:space="0" w:color="auto"/>
            </w:tcBorders>
          </w:tcPr>
          <w:p w14:paraId="39C03F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Аккумуляторы щелочные </w:t>
            </w:r>
          </w:p>
          <w:p w14:paraId="1F52CF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152" w:type="dxa"/>
            <w:tcBorders>
              <w:bottom w:val="single" w:sz="12" w:space="0" w:color="auto"/>
            </w:tcBorders>
          </w:tcPr>
          <w:p w14:paraId="46E796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тыс.амп/ час</w:t>
            </w:r>
          </w:p>
          <w:p w14:paraId="3D973A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47" w:type="dxa"/>
            <w:tcBorders>
              <w:bottom w:val="single" w:sz="12" w:space="0" w:color="auto"/>
            </w:tcBorders>
          </w:tcPr>
          <w:p w14:paraId="6DBE59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416</w:t>
            </w:r>
          </w:p>
          <w:p w14:paraId="3A8E4E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219" w:type="dxa"/>
            <w:tcBorders>
              <w:bottom w:val="single" w:sz="12" w:space="0" w:color="auto"/>
            </w:tcBorders>
          </w:tcPr>
          <w:p w14:paraId="0055CD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336</w:t>
            </w:r>
          </w:p>
          <w:p w14:paraId="76B599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7731C52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 Обязать ГУГМР (т. Данченко), Главснабуголь при СССР (т. Курмашева) и Наркомцветмет (т. Ломако) ить в июне с. г. в госрезерв на заводах НКВ угля — * тыс. тонн и свинца — 2,5 тыс. тонн за счет уменьше-Фондов НКВ по П кварталу 1945 года.</w:t>
      </w:r>
    </w:p>
    <w:p w14:paraId="4B665E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Освободить полностью от производства предметов вооружения и агрегатов к ним следующие предприятия, согласно приложению № 1 и перевести их на выпуск гражданской продукции.</w:t>
      </w:r>
    </w:p>
    <w:p w14:paraId="31486B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Обязать Наркомвооружения (т. Устинова), Наркоммин-вооружения (т. Паршина), Наркомэлектропром (т. Каба</w:t>
      </w:r>
      <w:r w:rsidRPr="00F90EAE">
        <w:rPr>
          <w:color w:val="000000" w:themeColor="text1"/>
          <w:sz w:val="16"/>
          <w:szCs w:val="16"/>
        </w:rPr>
        <w:softHyphen/>
        <w:t>нова), Наркомсредмаш (т. Акопова), Наркомтекстиль СССР (т. Седина), Наркомнефть (т. Байбакова), НКПС (т. Ковалева), Наркомстанкостроения (т. Ефремова), Нар-комместпром РСФСР (т. Смиряева), Управление промко</w:t>
      </w:r>
      <w:r w:rsidRPr="00F90EAE">
        <w:rPr>
          <w:color w:val="000000" w:themeColor="text1"/>
          <w:sz w:val="16"/>
          <w:szCs w:val="16"/>
        </w:rPr>
        <w:softHyphen/>
        <w:t>операции при СНК РСФСР (т. Кравчука), НКСудпром (т. Носенко), НКТМ (т. Казакова), НКЛП СССР (т. Лу-кина) представить в СНК СССР и Госплан СССР свои предложения о номенклатуре и размерах производства гражданской продукции на освобождаемых мощностях от производства вооружения, агрегатов и комплектующих изделий к ним в пятидневный срок на июнь и в десяти</w:t>
      </w:r>
      <w:r w:rsidRPr="00F90EAE">
        <w:rPr>
          <w:color w:val="000000" w:themeColor="text1"/>
          <w:sz w:val="16"/>
          <w:szCs w:val="16"/>
        </w:rPr>
        <w:softHyphen/>
        <w:t xml:space="preserve">дневный срок на </w:t>
      </w:r>
      <w:r w:rsidRPr="00F90EAE">
        <w:rPr>
          <w:color w:val="000000" w:themeColor="text1"/>
          <w:sz w:val="16"/>
          <w:szCs w:val="16"/>
          <w:lang w:val="en-US"/>
        </w:rPr>
        <w:t>III</w:t>
      </w:r>
      <w:r w:rsidRPr="00F90EAE">
        <w:rPr>
          <w:color w:val="000000" w:themeColor="text1"/>
          <w:sz w:val="16"/>
          <w:szCs w:val="16"/>
        </w:rPr>
        <w:t xml:space="preserve"> квартал 1945 г., а также графики вос</w:t>
      </w:r>
      <w:r w:rsidRPr="00F90EAE">
        <w:rPr>
          <w:color w:val="000000" w:themeColor="text1"/>
          <w:sz w:val="16"/>
          <w:szCs w:val="16"/>
        </w:rPr>
        <w:softHyphen/>
        <w:t>становления и освоения этой продукции.</w:t>
      </w:r>
    </w:p>
    <w:p w14:paraId="42603F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Ввиду сокращения производства предметов вооруже</w:t>
      </w:r>
      <w:r w:rsidRPr="00F90EAE">
        <w:rPr>
          <w:color w:val="000000" w:themeColor="text1"/>
          <w:sz w:val="16"/>
          <w:szCs w:val="16"/>
        </w:rPr>
        <w:softHyphen/>
        <w:t>ния и в целях сохранения мобилизационных мощностей:</w:t>
      </w:r>
    </w:p>
    <w:p w14:paraId="0174EA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обязать наркоматы сохранить мобилизационные мощности на уровне достигнутого выпуска предметов воо.-ружения и патронов: по Наркомату Вооружения по всем заводам, а Наркомату Минометного Вооружения, Нарком-судпрому, Наркомсредмашу, Наркомэлектропрому, Нар-комрезинпрому, Наркомтройматериалов, Наркомтанкоп-рому, Наркомтяжмашу согласно приложению № 2.</w:t>
      </w:r>
    </w:p>
    <w:p w14:paraId="7D4614F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Мощности этих заводов и цехов содержать в готовнос</w:t>
      </w:r>
      <w:r w:rsidRPr="00F90EAE">
        <w:rPr>
          <w:color w:val="000000" w:themeColor="text1"/>
          <w:sz w:val="16"/>
          <w:szCs w:val="16"/>
        </w:rPr>
        <w:softHyphen/>
        <w:t>ти к возобновлению выпуска военной продукции.</w:t>
      </w:r>
    </w:p>
    <w:p w14:paraId="049FAE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Поручить НКВ (т. Устинову) и ГУТМР (т. Данченко) по согласованию с Госпланом СССР в месячный срок разработать и внести на утверждение Оперативного Бюро ГОКО инструкцию о порядке содержания мобилизаци</w:t>
      </w:r>
      <w:r w:rsidRPr="00F90EAE">
        <w:rPr>
          <w:color w:val="000000" w:themeColor="text1"/>
          <w:sz w:val="16"/>
          <w:szCs w:val="16"/>
        </w:rPr>
        <w:softHyphen/>
        <w:t>онных мощностей на заводах и цехах для производства вооружения:</w:t>
      </w:r>
    </w:p>
    <w:p w14:paraId="7CFF47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обязать Наркомвооружения, Наркомминвооруже-ния, Наркомэлектропром, Наркомсредмаш, Наркомре-зинпром, Наркомстройматериалов и Наркомтанкопром, а также директоров предприятий, полностью и частично освобождаемых от производства предметов вооружения, заложить до 1 июня 1945 г. в мобрезерв пригодное для производства: специальное оборудование, приспособле</w:t>
      </w:r>
      <w:r w:rsidRPr="00F90EAE">
        <w:rPr>
          <w:color w:val="000000" w:themeColor="text1"/>
          <w:sz w:val="16"/>
          <w:szCs w:val="16"/>
        </w:rPr>
        <w:softHyphen/>
        <w:t>ния, специальный инструмент, полуфабрикаты, специ</w:t>
      </w:r>
      <w:r w:rsidRPr="00F90EAE">
        <w:rPr>
          <w:color w:val="000000" w:themeColor="text1"/>
          <w:sz w:val="16"/>
          <w:szCs w:val="16"/>
        </w:rPr>
        <w:softHyphen/>
        <w:t>альные материалы и сырье, а также сохранить на пред</w:t>
      </w:r>
      <w:r w:rsidRPr="00F90EAE">
        <w:rPr>
          <w:color w:val="000000" w:themeColor="text1"/>
          <w:sz w:val="16"/>
          <w:szCs w:val="16"/>
        </w:rPr>
        <w:softHyphen/>
        <w:t>приятиях всю техническую документацию на производ</w:t>
      </w:r>
      <w:r w:rsidRPr="00F90EAE">
        <w:rPr>
          <w:color w:val="000000" w:themeColor="text1"/>
          <w:sz w:val="16"/>
          <w:szCs w:val="16"/>
        </w:rPr>
        <w:softHyphen/>
        <w:t>ство вооружения, приведя ее в полное соответствие с действующим технологическим процессом к моменту прекращения производства;</w:t>
      </w:r>
    </w:p>
    <w:p w14:paraId="686D88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предупредить всех директоров вышеупомянутых предприятий об их персональной ответственности за со</w:t>
      </w:r>
      <w:r w:rsidRPr="00F90EAE">
        <w:rPr>
          <w:color w:val="000000" w:themeColor="text1"/>
          <w:sz w:val="16"/>
          <w:szCs w:val="16"/>
        </w:rPr>
        <w:softHyphen/>
        <w:t>хранность и содержание в исправном состоянии мобили</w:t>
      </w:r>
      <w:r w:rsidRPr="00F90EAE">
        <w:rPr>
          <w:color w:val="000000" w:themeColor="text1"/>
          <w:sz w:val="16"/>
          <w:szCs w:val="16"/>
        </w:rPr>
        <w:softHyphen/>
        <w:t>зационных резервов заводов и цехов, специального обо</w:t>
      </w:r>
      <w:r w:rsidRPr="00F90EAE">
        <w:rPr>
          <w:color w:val="000000" w:themeColor="text1"/>
          <w:sz w:val="16"/>
          <w:szCs w:val="16"/>
        </w:rPr>
        <w:softHyphen/>
        <w:t>рудования и имущества.</w:t>
      </w:r>
    </w:p>
    <w:p w14:paraId="4D194E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Наркомам и руководителям ведомств отчет представить ГОКО, а также Госплану СССР к 15 августа 1945 года о выполнении настоящего задания по форме Госплана СССР;</w:t>
      </w:r>
    </w:p>
    <w:p w14:paraId="5EE5FF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разрешить Госплану СССР создать в отделе воору</w:t>
      </w:r>
      <w:r w:rsidRPr="00F90EAE">
        <w:rPr>
          <w:color w:val="000000" w:themeColor="text1"/>
          <w:sz w:val="16"/>
          <w:szCs w:val="16"/>
        </w:rPr>
        <w:softHyphen/>
        <w:t>жения мобилизационный сектор, возложив на него зада</w:t>
      </w:r>
      <w:r w:rsidRPr="00F90EAE">
        <w:rPr>
          <w:color w:val="000000" w:themeColor="text1"/>
          <w:sz w:val="16"/>
          <w:szCs w:val="16"/>
        </w:rPr>
        <w:softHyphen/>
        <w:t>чу планирования и проверки выполнения мобилизаци</w:t>
      </w:r>
      <w:r w:rsidRPr="00F90EAE">
        <w:rPr>
          <w:color w:val="000000" w:themeColor="text1"/>
          <w:sz w:val="16"/>
          <w:szCs w:val="16"/>
        </w:rPr>
        <w:softHyphen/>
        <w:t>онного плана по вооружению и смежных с ним отраслей промышленности.</w:t>
      </w:r>
    </w:p>
    <w:p w14:paraId="38880B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Госплан СССР обязывается периодически докладывать о состоянии мобилизационного дела непосредственно Правительству.</w:t>
      </w:r>
    </w:p>
    <w:p w14:paraId="561E94F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6. Обязать Наркомвооружения (т. Устинова)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нормальный рабочий день и об отмене обязательных сверхурочных работ на заводах Наркомата Вооружения.</w:t>
      </w:r>
    </w:p>
    <w:p w14:paraId="6E46EF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Разрешить Наркомвооружения (т. Устинову) восста</w:t>
      </w:r>
      <w:r w:rsidRPr="00F90EAE">
        <w:rPr>
          <w:color w:val="000000" w:themeColor="text1"/>
          <w:sz w:val="16"/>
          <w:szCs w:val="16"/>
        </w:rPr>
        <w:softHyphen/>
        <w:t>новить и с 1 июня 1945 г. для рабочих, инженерно-технических работников и служащих заводов Наркомвоо</w:t>
      </w:r>
      <w:r w:rsidRPr="00F90EAE">
        <w:rPr>
          <w:color w:val="000000" w:themeColor="text1"/>
          <w:sz w:val="16"/>
          <w:szCs w:val="16"/>
        </w:rPr>
        <w:softHyphen/>
        <w:t>ружения выходные дни и очередные отпуска, руковод</w:t>
      </w:r>
      <w:r w:rsidRPr="00F90EAE">
        <w:rPr>
          <w:color w:val="000000" w:themeColor="text1"/>
          <w:sz w:val="16"/>
          <w:szCs w:val="16"/>
        </w:rPr>
        <w:softHyphen/>
        <w:t>ствуясь при этом Кодексом законов о труде.</w:t>
      </w:r>
    </w:p>
    <w:p w14:paraId="325CEF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В связи с частичным переводом промышленности с военной на гражданскую продукцию, разрешить народ</w:t>
      </w:r>
      <w:r w:rsidRPr="00F90EAE">
        <w:rPr>
          <w:color w:val="000000" w:themeColor="text1"/>
          <w:sz w:val="16"/>
          <w:szCs w:val="16"/>
        </w:rPr>
        <w:softHyphen/>
        <w:t>ным комиссарам и директорам предприятий на период освоения новых видов производства выплачивать рабо</w:t>
      </w:r>
      <w:r w:rsidRPr="00F90EAE">
        <w:rPr>
          <w:color w:val="000000" w:themeColor="text1"/>
          <w:sz w:val="16"/>
          <w:szCs w:val="16"/>
        </w:rPr>
        <w:softHyphen/>
        <w:t>чим в течение 1-2 месяцев по решению Народного Ко</w:t>
      </w:r>
      <w:r w:rsidRPr="00F90EAE">
        <w:rPr>
          <w:color w:val="000000" w:themeColor="text1"/>
          <w:sz w:val="16"/>
          <w:szCs w:val="16"/>
        </w:rPr>
        <w:softHyphen/>
        <w:t>миссара, в зависимости от сложности нового производ</w:t>
      </w:r>
      <w:r w:rsidRPr="00F90EAE">
        <w:rPr>
          <w:color w:val="000000" w:themeColor="text1"/>
          <w:sz w:val="16"/>
          <w:szCs w:val="16"/>
        </w:rPr>
        <w:softHyphen/>
        <w:t>ства (где это необходимо) среднюю заработную плату по фактическому заработку за последние три месяца.</w:t>
      </w:r>
    </w:p>
    <w:p w14:paraId="325A5B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Отменить, начиная с 1 июня 1945 г., практику вып</w:t>
      </w:r>
      <w:r w:rsidRPr="00F90EAE">
        <w:rPr>
          <w:color w:val="000000" w:themeColor="text1"/>
          <w:sz w:val="16"/>
          <w:szCs w:val="16"/>
        </w:rPr>
        <w:softHyphen/>
        <w:t>латы всех видов премий за своевременную поставку фон-дируемых, планируемых и изготовляемых в порядке коо</w:t>
      </w:r>
      <w:r w:rsidRPr="00F90EAE">
        <w:rPr>
          <w:color w:val="000000" w:themeColor="text1"/>
          <w:sz w:val="16"/>
          <w:szCs w:val="16"/>
        </w:rPr>
        <w:softHyphen/>
        <w:t>перации готовых изделий, полуфабрикатов и материалов заводами и наркоматами - заказчиками - заводам и наркоматам-поставщикам по всем отраслям народного</w:t>
      </w:r>
    </w:p>
    <w:p w14:paraId="4F733A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хозяйства.</w:t>
      </w:r>
    </w:p>
    <w:p w14:paraId="12A08C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Поручить Госплану СССР (т. Вознесенскому) со</w:t>
      </w:r>
      <w:r w:rsidRPr="00F90EAE">
        <w:rPr>
          <w:color w:val="000000" w:themeColor="text1"/>
          <w:sz w:val="16"/>
          <w:szCs w:val="16"/>
        </w:rPr>
        <w:softHyphen/>
        <w:t>вместно с Наркомфином СССР (т. Зверевым) рассмот</w:t>
      </w:r>
      <w:r w:rsidRPr="00F90EAE">
        <w:rPr>
          <w:color w:val="000000" w:themeColor="text1"/>
          <w:sz w:val="16"/>
          <w:szCs w:val="16"/>
        </w:rPr>
        <w:softHyphen/>
        <w:t>реть предложения Наркомата Вооружения о частичном повышении отпускных цен на вооружение в связи с уменьшением их производства и представить в Совнар</w:t>
      </w:r>
      <w:r w:rsidRPr="00F90EAE">
        <w:rPr>
          <w:color w:val="000000" w:themeColor="text1"/>
          <w:sz w:val="16"/>
          <w:szCs w:val="16"/>
        </w:rPr>
        <w:softHyphen/>
        <w:t>ком СССР свое заключение, имея в виду необходимость применения новых цен с 1 июня 1945 г.</w:t>
      </w:r>
    </w:p>
    <w:p w14:paraId="344AF8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Поручить Госплану СССР рассмотреть представ</w:t>
      </w:r>
      <w:r w:rsidRPr="00F90EAE">
        <w:rPr>
          <w:color w:val="000000" w:themeColor="text1"/>
          <w:sz w:val="16"/>
          <w:szCs w:val="16"/>
        </w:rPr>
        <w:softHyphen/>
        <w:t>ленные НКВ, НКСМ и НКМВ поправки к плану П квартала с.г., в связи с сокращением производства предметов вооружения и внести необходимые изменения, а также совместно с Наркомфином СССР внести пред</w:t>
      </w:r>
      <w:r w:rsidRPr="00F90EAE">
        <w:rPr>
          <w:color w:val="000000" w:themeColor="text1"/>
          <w:sz w:val="16"/>
          <w:szCs w:val="16"/>
        </w:rPr>
        <w:softHyphen/>
        <w:t xml:space="preserve">ложения в СНК СССР об изменении финансовых планов на </w:t>
      </w:r>
      <w:r w:rsidRPr="00F90EAE">
        <w:rPr>
          <w:color w:val="000000" w:themeColor="text1"/>
          <w:sz w:val="16"/>
          <w:szCs w:val="16"/>
          <w:lang w:val="en-US"/>
        </w:rPr>
        <w:t>II</w:t>
      </w:r>
      <w:r w:rsidRPr="00F90EAE">
        <w:rPr>
          <w:color w:val="000000" w:themeColor="text1"/>
          <w:sz w:val="16"/>
          <w:szCs w:val="16"/>
        </w:rPr>
        <w:t xml:space="preserve"> квартал с.г. по этим наркоматам.</w:t>
      </w:r>
    </w:p>
    <w:p w14:paraId="3B32CE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Разрешить, как исключение, Наркомвооружения по согласованию с Госпланом СССР план мая считать по фактическому выполнению по продукции, программа производства которой в июне с.г. сокращается.</w:t>
      </w:r>
    </w:p>
    <w:p w14:paraId="2728F3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Обязать:</w:t>
      </w:r>
    </w:p>
    <w:p w14:paraId="6913FC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ГАУ КА (т. Яковлева), ВВСКА (т. Новикова) и Наркомвоенморфлот (т. Кузнецова) принять на свои склады до 1 июля 1945 г. всю готовую продукцию и зап</w:t>
      </w:r>
      <w:r w:rsidRPr="00F90EAE">
        <w:rPr>
          <w:color w:val="000000" w:themeColor="text1"/>
          <w:sz w:val="16"/>
          <w:szCs w:val="16"/>
        </w:rPr>
        <w:softHyphen/>
        <w:t>части, принятую военпредами по действующим техни</w:t>
      </w:r>
      <w:r w:rsidRPr="00F90EAE">
        <w:rPr>
          <w:color w:val="000000" w:themeColor="text1"/>
          <w:sz w:val="16"/>
          <w:szCs w:val="16"/>
        </w:rPr>
        <w:softHyphen/>
        <w:t>ческим условиям;</w:t>
      </w:r>
    </w:p>
    <w:p w14:paraId="3ED169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Наркомат Вооружения (т. Устинова) принять и оп</w:t>
      </w:r>
      <w:r w:rsidRPr="00F90EAE">
        <w:rPr>
          <w:color w:val="000000" w:themeColor="text1"/>
          <w:sz w:val="16"/>
          <w:szCs w:val="16"/>
        </w:rPr>
        <w:softHyphen/>
        <w:t>латить до 1 июля 1945 г. комплектующие изделия, полу</w:t>
      </w:r>
      <w:r w:rsidRPr="00F90EAE">
        <w:rPr>
          <w:color w:val="000000" w:themeColor="text1"/>
          <w:sz w:val="16"/>
          <w:szCs w:val="16"/>
        </w:rPr>
        <w:softHyphen/>
        <w:t>фабрикаты и специальные материалы и сырье, изготов</w:t>
      </w:r>
      <w:r w:rsidRPr="00F90EAE">
        <w:rPr>
          <w:color w:val="000000" w:themeColor="text1"/>
          <w:sz w:val="16"/>
          <w:szCs w:val="16"/>
        </w:rPr>
        <w:softHyphen/>
        <w:t>ленные на заводах-смежниках, принятые военпредом по действующим техническим условиям.</w:t>
      </w:r>
    </w:p>
    <w:p w14:paraId="02BF34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Наркомфину СССР (т. Звереву) профинансировать принятые НКВ изделия, полуфабрикаты и сырье.</w:t>
      </w:r>
    </w:p>
    <w:p w14:paraId="7C54EA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Предложить т. Устинову представить отчет в Совнар</w:t>
      </w:r>
      <w:r w:rsidRPr="00F90EAE">
        <w:rPr>
          <w:color w:val="000000" w:themeColor="text1"/>
          <w:sz w:val="16"/>
          <w:szCs w:val="16"/>
        </w:rPr>
        <w:softHyphen/>
        <w:t>ком СССР и Госплан СССР о количестве и номенклату</w:t>
      </w:r>
      <w:r w:rsidRPr="00F90EAE">
        <w:rPr>
          <w:color w:val="000000" w:themeColor="text1"/>
          <w:sz w:val="16"/>
          <w:szCs w:val="16"/>
        </w:rPr>
        <w:softHyphen/>
        <w:t>ре принятых изделий, полуфабрикатов специального сы</w:t>
      </w:r>
      <w:r w:rsidRPr="00F90EAE">
        <w:rPr>
          <w:color w:val="000000" w:themeColor="text1"/>
          <w:sz w:val="16"/>
          <w:szCs w:val="16"/>
        </w:rPr>
        <w:softHyphen/>
        <w:t>рья и материалов, а также свои предложения о закладке их в мобрезерв. Установить срок представления отчета — 15 августа 1945 г.</w:t>
      </w:r>
    </w:p>
    <w:p w14:paraId="60A7A6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Поручить тт. Вознесенскому (созыв), Кузнецо</w:t>
      </w:r>
      <w:r w:rsidRPr="00F90EAE">
        <w:rPr>
          <w:color w:val="000000" w:themeColor="text1"/>
          <w:sz w:val="16"/>
          <w:szCs w:val="16"/>
        </w:rPr>
        <w:softHyphen/>
        <w:t>ву В.В., Звереву и Устинову в 10-дневный срок внести в Оперативное Бюро ГОКО свои предложения о сохране</w:t>
      </w:r>
      <w:r w:rsidRPr="00F90EAE">
        <w:rPr>
          <w:color w:val="000000" w:themeColor="text1"/>
          <w:sz w:val="16"/>
          <w:szCs w:val="16"/>
        </w:rPr>
        <w:softHyphen/>
        <w:t>нии и поощрении кадров на заводах Наркомата Воору</w:t>
      </w:r>
      <w:r w:rsidRPr="00F90EAE">
        <w:rPr>
          <w:color w:val="000000" w:themeColor="text1"/>
          <w:sz w:val="16"/>
          <w:szCs w:val="16"/>
        </w:rPr>
        <w:softHyphen/>
        <w:t>жения, предусмотрев особые преимущества для рабочих, инженерно-технических работников и служащих восточ</w:t>
      </w:r>
      <w:r w:rsidRPr="00F90EAE">
        <w:rPr>
          <w:color w:val="000000" w:themeColor="text1"/>
          <w:sz w:val="16"/>
          <w:szCs w:val="16"/>
        </w:rPr>
        <w:softHyphen/>
        <w:t>ных заводов.</w:t>
      </w:r>
    </w:p>
    <w:p w14:paraId="1A9AF1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Обязать наркоматы и ведомства:</w:t>
      </w:r>
    </w:p>
    <w:p w14:paraId="452DE514"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 провести на предприятиях, ранее изготовлявших и изготовляющих предметы вооружения, по состоянию на 1 июля с.г. бухгалтерскую инвентаризацию готовой про-ДУКЦии и незавершенного производства предметов воо-РУЖения, материалов, инструмента, приспособлений и ДРУгах ценностей, предназначенных для производства вооружения, а также всех товароматериальных ценностей по приостановленным и аннулированным заказам;</w:t>
      </w:r>
    </w:p>
    <w:p w14:paraId="0CBA06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представить в Госплан СССР и Наркомфин СССР к 15 августа с.г. отчет о результатах инвентаризации.</w:t>
      </w:r>
    </w:p>
    <w:p w14:paraId="5792C5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Обязать Наркомат Вооружения (т. Устинова) отре</w:t>
      </w:r>
      <w:r w:rsidRPr="00F90EAE">
        <w:rPr>
          <w:color w:val="000000" w:themeColor="text1"/>
          <w:sz w:val="16"/>
          <w:szCs w:val="16"/>
        </w:rPr>
        <w:softHyphen/>
        <w:t>монтировать и восстановить для ГАУ КА орудия большой и особой мощности на заводах — НКВ и укомплектовать их положенным ЗИПом:</w:t>
      </w:r>
    </w:p>
    <w:p w14:paraId="34C0BC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152 мм пушка Бр-2 - 29 штук</w:t>
      </w:r>
    </w:p>
    <w:p w14:paraId="610DDB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203 мм гаубица Б-4 - 800</w:t>
      </w:r>
    </w:p>
    <w:p w14:paraId="6BBD5B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210 мм пушка Бр-17 - 9</w:t>
      </w:r>
    </w:p>
    <w:p w14:paraId="5A6412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280 мм мортира Бр-5 и обр. 14-15 г. — 63 шт.</w:t>
      </w:r>
    </w:p>
    <w:p w14:paraId="4C2D6D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 мм гаубица обр. 1915 г. - 60 шт.</w:t>
      </w:r>
    </w:p>
    <w:p w14:paraId="05C190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Порядок передачи артсистем на ремонт в месячный срок согласовать с ГАУ КА (т. Яковлевым).</w:t>
      </w:r>
    </w:p>
    <w:p w14:paraId="6DD005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В целях скорейшего приведения в боеспособное со</w:t>
      </w:r>
      <w:r w:rsidRPr="00F90EAE">
        <w:rPr>
          <w:color w:val="000000" w:themeColor="text1"/>
          <w:sz w:val="16"/>
          <w:szCs w:val="16"/>
        </w:rPr>
        <w:softHyphen/>
        <w:t>стояние материальной части полевой и зенитной артил</w:t>
      </w:r>
      <w:r w:rsidRPr="00F90EAE">
        <w:rPr>
          <w:color w:val="000000" w:themeColor="text1"/>
          <w:sz w:val="16"/>
          <w:szCs w:val="16"/>
        </w:rPr>
        <w:softHyphen/>
        <w:t>лерии, возвращающейся с фронта, обязать Наркомвоо-ружения (т. Устинова) произвести капитальный ремонт и укомплектовать положенным ЗиПом:</w:t>
      </w:r>
    </w:p>
    <w:p w14:paraId="60705C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152 мм гаубицы - пушки обр. 1937 года</w:t>
      </w:r>
    </w:p>
    <w:p w14:paraId="5189AE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 мм пушки обр. 1931/37 гг.</w:t>
      </w:r>
    </w:p>
    <w:p w14:paraId="29FC38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 мм зенитные пушки обр. 1939 года</w:t>
      </w:r>
    </w:p>
    <w:p w14:paraId="4C0C24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 мм зенитные пушки обр. 1939 года</w:t>
      </w:r>
    </w:p>
    <w:p w14:paraId="08D2CA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ручные пулеметы «ДП»</w:t>
      </w:r>
    </w:p>
    <w:p w14:paraId="19B41E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7,62 мм станковые пулеметы «Максима»</w:t>
      </w:r>
    </w:p>
    <w:p w14:paraId="2DFABF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Порядок подачи и количество вооружения в месячный срок согласовать с ГАУ КА (т. Яковлевым) и представить на утверждение ГОКО.</w:t>
      </w:r>
    </w:p>
    <w:p w14:paraId="078891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Обязать Наркомат Вооружения (т. Устинова) подго</w:t>
      </w:r>
      <w:r w:rsidRPr="00F90EAE">
        <w:rPr>
          <w:color w:val="000000" w:themeColor="text1"/>
          <w:sz w:val="16"/>
          <w:szCs w:val="16"/>
        </w:rPr>
        <w:softHyphen/>
        <w:t>товить по согласованию с ГАУ КА (т. Яковлевым) заводы для разбраковки и переукупорки винтовочных, пистолет</w:t>
      </w:r>
      <w:r w:rsidRPr="00F90EAE">
        <w:rPr>
          <w:color w:val="000000" w:themeColor="text1"/>
          <w:sz w:val="16"/>
          <w:szCs w:val="16"/>
        </w:rPr>
        <w:softHyphen/>
        <w:t>ных и крупнокалиберных патронов, прибывающих с фронта в бумажной укупорке.</w:t>
      </w:r>
    </w:p>
    <w:p w14:paraId="1D3D41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В целях укрупнения патронных заводов и освобож</w:t>
      </w:r>
      <w:r w:rsidRPr="00F90EAE">
        <w:rPr>
          <w:color w:val="000000" w:themeColor="text1"/>
          <w:sz w:val="16"/>
          <w:szCs w:val="16"/>
        </w:rPr>
        <w:softHyphen/>
        <w:t>дения временно занятых ими предприятий и учреждений</w:t>
      </w:r>
    </w:p>
    <w:p w14:paraId="5200E5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разрешить Наркомвооружения (т. Устинову) перебазиро</w:t>
      </w:r>
      <w:r w:rsidRPr="00F90EAE">
        <w:rPr>
          <w:color w:val="000000" w:themeColor="text1"/>
          <w:sz w:val="16"/>
          <w:szCs w:val="16"/>
        </w:rPr>
        <w:softHyphen/>
        <w:t>вать в течение июня-июля 1945 г. патронные заводы НКВ:</w:t>
      </w:r>
    </w:p>
    <w:p w14:paraId="077AB8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529 (г. Новая Ляля, Свердловской области) на заво</w:t>
      </w:r>
      <w:r w:rsidRPr="00F90EAE">
        <w:rPr>
          <w:color w:val="000000" w:themeColor="text1"/>
          <w:sz w:val="16"/>
          <w:szCs w:val="16"/>
        </w:rPr>
        <w:softHyphen/>
        <w:t>ды № 710 и 711 (г. Подольск, Московской области);</w:t>
      </w:r>
    </w:p>
    <w:p w14:paraId="09FACC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540 (г. Челябинск) на заводы № 539 (г. Тула) и № 270 (г. Ворошиловград);</w:t>
      </w:r>
    </w:p>
    <w:p w14:paraId="75865F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545 (г. Чкалов) на завод № 270 (г. Ворошиловград). Освобождаемые помещения передать: в г. Новая Ляля — Наркомбумпрому СССР, в гг. Иркутске, Челябинске и Чкалове — учебным и научно-исследовательским заведе</w:t>
      </w:r>
      <w:r w:rsidRPr="00F90EAE">
        <w:rPr>
          <w:color w:val="000000" w:themeColor="text1"/>
          <w:sz w:val="16"/>
          <w:szCs w:val="16"/>
        </w:rPr>
        <w:softHyphen/>
        <w:t>ниям, ранее принадлежавшим ведомствам.</w:t>
      </w:r>
    </w:p>
    <w:p w14:paraId="3F1C74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Разрешить Наркомвооружения (т. Устинову):</w:t>
      </w:r>
    </w:p>
    <w:p w14:paraId="41B3F0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завод № 350 НКВ (г. Новосибирск) объединить с 1.</w:t>
      </w:r>
      <w:r w:rsidRPr="00F90EAE">
        <w:rPr>
          <w:color w:val="000000" w:themeColor="text1"/>
          <w:sz w:val="16"/>
          <w:szCs w:val="16"/>
          <w:lang w:val="en-US"/>
        </w:rPr>
        <w:t>VI</w:t>
      </w:r>
      <w:r w:rsidRPr="00F90EAE">
        <w:rPr>
          <w:color w:val="000000" w:themeColor="text1"/>
          <w:sz w:val="16"/>
          <w:szCs w:val="16"/>
        </w:rPr>
        <w:t xml:space="preserve"> 1.1945 г. с заводом № 69 НКВ (г. Новосибирск), при</w:t>
      </w:r>
      <w:r w:rsidRPr="00F90EAE">
        <w:rPr>
          <w:color w:val="000000" w:themeColor="text1"/>
          <w:sz w:val="16"/>
          <w:szCs w:val="16"/>
        </w:rPr>
        <w:softHyphen/>
        <w:t>своив объединенному заводу № 69.</w:t>
      </w:r>
    </w:p>
    <w:p w14:paraId="2F0FE4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приборов для Военно-Морского Флота с 1.</w:t>
      </w:r>
      <w:r w:rsidRPr="00F90EAE">
        <w:rPr>
          <w:color w:val="000000" w:themeColor="text1"/>
          <w:sz w:val="16"/>
          <w:szCs w:val="16"/>
          <w:lang w:val="en-US"/>
        </w:rPr>
        <w:t>VII</w:t>
      </w:r>
      <w:r w:rsidRPr="00F90EAE">
        <w:rPr>
          <w:color w:val="000000" w:themeColor="text1"/>
          <w:sz w:val="16"/>
          <w:szCs w:val="16"/>
        </w:rPr>
        <w:t>. 1945 г. передать с завода № 350 НКВ на завод № 349 НКВ (г. Ленинград) со всем незавершенным про</w:t>
      </w:r>
      <w:r w:rsidRPr="00F90EAE">
        <w:rPr>
          <w:color w:val="000000" w:themeColor="text1"/>
          <w:sz w:val="16"/>
          <w:szCs w:val="16"/>
        </w:rPr>
        <w:softHyphen/>
        <w:t>изводством, оборудованием и рабочей силой;</w:t>
      </w:r>
    </w:p>
    <w:p w14:paraId="0FAD8E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реорганизовать завод оптического стекла № 588 НКВ (г. Ленинск-Кузнецкий) в цех и включить его в со</w:t>
      </w:r>
      <w:r w:rsidRPr="00F90EAE">
        <w:rPr>
          <w:color w:val="000000" w:themeColor="text1"/>
          <w:sz w:val="16"/>
          <w:szCs w:val="16"/>
        </w:rPr>
        <w:softHyphen/>
        <w:t>став завода № 69 НКВ.</w:t>
      </w:r>
    </w:p>
    <w:p w14:paraId="1047AA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Обязать НКПС (т. Ковалева) в течение июня-июля 1945 г. выделить вагоны по заявкам Наркомата Вооруже</w:t>
      </w:r>
      <w:r w:rsidRPr="00F90EAE">
        <w:rPr>
          <w:color w:val="000000" w:themeColor="text1"/>
          <w:sz w:val="16"/>
          <w:szCs w:val="16"/>
        </w:rPr>
        <w:softHyphen/>
        <w:t>ния и обеспечить перевозку рабочей силы (вместе с се</w:t>
      </w:r>
      <w:r w:rsidRPr="00F90EAE">
        <w:rPr>
          <w:color w:val="000000" w:themeColor="text1"/>
          <w:sz w:val="16"/>
          <w:szCs w:val="16"/>
        </w:rPr>
        <w:softHyphen/>
        <w:t>мьями), незавершенного производства, оборудования и материалов по перебазируемым заводам НКВ № 529, 540, 541, 545 и частично № 350.</w:t>
      </w:r>
    </w:p>
    <w:p w14:paraId="287776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 Обязать Наркомторг СССР (т. Любимова) обеспе</w:t>
      </w:r>
      <w:r w:rsidRPr="00F90EAE">
        <w:rPr>
          <w:color w:val="000000" w:themeColor="text1"/>
          <w:sz w:val="16"/>
          <w:szCs w:val="16"/>
        </w:rPr>
        <w:softHyphen/>
        <w:t>чить питание в пути работников и их семьи по перебази</w:t>
      </w:r>
      <w:r w:rsidRPr="00F90EAE">
        <w:rPr>
          <w:color w:val="000000" w:themeColor="text1"/>
          <w:sz w:val="16"/>
          <w:szCs w:val="16"/>
        </w:rPr>
        <w:softHyphen/>
        <w:t>руемым заводам НКВ.</w:t>
      </w:r>
    </w:p>
    <w:p w14:paraId="0A0882CF"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24. Обязать Наркомвнешторг (т. Крутикова): а) для обеспечения сдачи патронов в цинковой укупорке поста</w:t>
      </w:r>
      <w:r w:rsidRPr="00F90EAE">
        <w:rPr>
          <w:color w:val="000000" w:themeColor="text1"/>
          <w:sz w:val="16"/>
          <w:szCs w:val="16"/>
        </w:rPr>
        <w:softHyphen/>
        <w:t>вить патронным заводам НКВ в июне 1945 г. оцинкован</w:t>
      </w:r>
      <w:r w:rsidRPr="00F90EAE">
        <w:rPr>
          <w:color w:val="000000" w:themeColor="text1"/>
          <w:sz w:val="16"/>
          <w:szCs w:val="16"/>
        </w:rPr>
        <w:softHyphen/>
        <w:t xml:space="preserve">ное железо сверх выделенного фонда на </w:t>
      </w:r>
      <w:r w:rsidRPr="00F90EAE">
        <w:rPr>
          <w:color w:val="000000" w:themeColor="text1"/>
          <w:sz w:val="16"/>
          <w:szCs w:val="16"/>
          <w:lang w:val="en-US"/>
        </w:rPr>
        <w:t>II</w:t>
      </w:r>
      <w:r w:rsidRPr="00F90EAE">
        <w:rPr>
          <w:color w:val="000000" w:themeColor="text1"/>
          <w:sz w:val="16"/>
          <w:szCs w:val="16"/>
        </w:rPr>
        <w:t xml:space="preserve"> квартал 1945 г. в количестве 1000 тонн;</w:t>
      </w:r>
    </w:p>
    <w:p w14:paraId="038EEE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в связи с уменьшением плана производства патро</w:t>
      </w:r>
      <w:r w:rsidRPr="00F90EAE">
        <w:rPr>
          <w:color w:val="000000" w:themeColor="text1"/>
          <w:sz w:val="16"/>
          <w:szCs w:val="16"/>
        </w:rPr>
        <w:softHyphen/>
        <w:t>нов пересмотреть заявки и заказы на импорт спецметал</w:t>
      </w:r>
      <w:r w:rsidRPr="00F90EAE">
        <w:rPr>
          <w:color w:val="000000" w:themeColor="text1"/>
          <w:sz w:val="16"/>
          <w:szCs w:val="16"/>
        </w:rPr>
        <w:softHyphen/>
        <w:t>лов для производства патронов.</w:t>
      </w:r>
    </w:p>
    <w:p w14:paraId="1D70EE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 Обязать наркоматы-поставщики, перечисленные в приложениях №№ 3-27*:</w:t>
      </w:r>
    </w:p>
    <w:p w14:paraId="108D21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обеспечить в июне-июле 1945 г. своевременную по</w:t>
      </w:r>
      <w:r w:rsidRPr="00F90EAE">
        <w:rPr>
          <w:color w:val="000000" w:themeColor="text1"/>
          <w:sz w:val="16"/>
          <w:szCs w:val="16"/>
        </w:rPr>
        <w:softHyphen/>
        <w:t>ставку заводам, производящим предметы вооружения, кооперированных изделий и материалов в количествах и сроки, согласно приложениям №№ 3-27*;</w:t>
      </w:r>
    </w:p>
    <w:p w14:paraId="113E76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представлять в Госплан СССР ежемесячно отчеты о выполнении планов вышеуказанных поставок.</w:t>
      </w:r>
    </w:p>
    <w:p w14:paraId="2461F8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Продлить до особого распоряжения действие по</w:t>
      </w:r>
      <w:r w:rsidRPr="00F90EAE">
        <w:rPr>
          <w:color w:val="000000" w:themeColor="text1"/>
          <w:sz w:val="16"/>
          <w:szCs w:val="16"/>
        </w:rPr>
        <w:softHyphen/>
        <w:t>становления ГОКО от 10 декабря 1943 г. № 4764 ее в части запрещения наркоматам, ведомствам, учреждениям и предприятиям до конца войны выселять с принадле</w:t>
      </w:r>
      <w:r w:rsidRPr="00F90EAE">
        <w:rPr>
          <w:color w:val="000000" w:themeColor="text1"/>
          <w:sz w:val="16"/>
          <w:szCs w:val="16"/>
        </w:rPr>
        <w:softHyphen/>
        <w:t>жащей им жилой площади рабочих, ИТР и служащих, работающих на предприятиях, учреждениях и организа</w:t>
      </w:r>
      <w:r w:rsidRPr="00F90EAE">
        <w:rPr>
          <w:color w:val="000000" w:themeColor="text1"/>
          <w:sz w:val="16"/>
          <w:szCs w:val="16"/>
        </w:rPr>
        <w:softHyphen/>
        <w:t>циях системы Наркомата Вооружения, а также их семьи.</w:t>
      </w:r>
    </w:p>
    <w:p w14:paraId="5D8699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 И.Сталин</w:t>
      </w:r>
    </w:p>
    <w:p w14:paraId="0FC8C3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Круглая печать: «Государственный Комитет Обороны. № </w:t>
      </w:r>
      <w:r w:rsidRPr="00F90EAE">
        <w:rPr>
          <w:color w:val="000000" w:themeColor="text1"/>
          <w:sz w:val="16"/>
          <w:szCs w:val="16"/>
          <w:lang w:val="en-US"/>
        </w:rPr>
        <w:t>I</w:t>
      </w:r>
      <w:r w:rsidRPr="00F90EAE">
        <w:rPr>
          <w:color w:val="000000" w:themeColor="text1"/>
          <w:sz w:val="16"/>
          <w:szCs w:val="16"/>
        </w:rPr>
        <w:t>. Протокольная часть ГОКО»</w:t>
      </w:r>
    </w:p>
    <w:p w14:paraId="23FDB2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Послано: тт. Берия (ГОКО), Вознесенскому, Швернику, Булганину, Устинову, Яковлеву, Кирпичникову, Чаадаеву - всем наркомам, директорам заводов, обкомам — соответственно.</w:t>
      </w:r>
    </w:p>
    <w:p w14:paraId="56B3795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РЦХИДНИ. Ф. 644. Оп.1. Д. 420. Л. 20-30; Заверенная копия.</w:t>
      </w:r>
    </w:p>
    <w:p w14:paraId="3E429B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Сов.секретно</w:t>
      </w:r>
    </w:p>
    <w:p w14:paraId="1C4FA8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 1</w:t>
      </w:r>
    </w:p>
    <w:p w14:paraId="36FF8B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постановлению ГОКО № 8803сс от 26 мая 1945 г.</w:t>
      </w:r>
    </w:p>
    <w:p w14:paraId="049730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СПИСОК</w:t>
      </w:r>
    </w:p>
    <w:p w14:paraId="372F3C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предприятий, полностью освобожденных от производства предметов вооружения и подлежащих загрузке производством гражданской продукции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992"/>
        <w:gridCol w:w="1559"/>
        <w:gridCol w:w="993"/>
        <w:gridCol w:w="1701"/>
      </w:tblGrid>
      <w:tr w:rsidR="00561F31" w:rsidRPr="00F90EAE" w14:paraId="57D7E96E" w14:textId="77777777">
        <w:trPr>
          <w:trHeight w:val="634"/>
        </w:trPr>
        <w:tc>
          <w:tcPr>
            <w:tcW w:w="851" w:type="dxa"/>
            <w:tcBorders>
              <w:top w:val="single" w:sz="12" w:space="0" w:color="auto"/>
            </w:tcBorders>
          </w:tcPr>
          <w:p w14:paraId="2A1F0D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Наркомат</w:t>
            </w:r>
          </w:p>
          <w:p w14:paraId="04610D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Borders>
              <w:top w:val="single" w:sz="12" w:space="0" w:color="auto"/>
            </w:tcBorders>
          </w:tcPr>
          <w:p w14:paraId="1A4F98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Предприятие (завод)</w:t>
            </w:r>
          </w:p>
          <w:p w14:paraId="7A977E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Borders>
              <w:top w:val="single" w:sz="12" w:space="0" w:color="auto"/>
            </w:tcBorders>
          </w:tcPr>
          <w:p w14:paraId="20EBBC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 каких предметов вооружения освобождается</w:t>
            </w:r>
          </w:p>
          <w:p w14:paraId="0EB9EB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Borders>
              <w:top w:val="single" w:sz="12" w:space="0" w:color="auto"/>
            </w:tcBorders>
          </w:tcPr>
          <w:p w14:paraId="0D92B0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какого времени освобожда</w:t>
            </w:r>
            <w:r w:rsidRPr="00F90EAE">
              <w:rPr>
                <w:color w:val="000000" w:themeColor="text1"/>
                <w:sz w:val="16"/>
                <w:szCs w:val="16"/>
              </w:rPr>
              <w:softHyphen/>
              <w:t>ется</w:t>
            </w:r>
          </w:p>
          <w:p w14:paraId="4F7B8D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top w:val="single" w:sz="12" w:space="0" w:color="auto"/>
            </w:tcBorders>
          </w:tcPr>
          <w:p w14:paraId="51F115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Довоенный профиль (основная продукция)</w:t>
            </w:r>
          </w:p>
          <w:p w14:paraId="28D6E9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8136B11" w14:textId="77777777">
        <w:trPr>
          <w:trHeight w:val="202"/>
        </w:trPr>
        <w:tc>
          <w:tcPr>
            <w:tcW w:w="851" w:type="dxa"/>
          </w:tcPr>
          <w:p w14:paraId="112308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081304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5C90C0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38358F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79C805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098F4D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5998B2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5217A6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706B6D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645E133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36D5016" w14:textId="77777777">
        <w:trPr>
          <w:trHeight w:val="202"/>
        </w:trPr>
        <w:tc>
          <w:tcPr>
            <w:tcW w:w="851" w:type="dxa"/>
          </w:tcPr>
          <w:p w14:paraId="6BFF0E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tc>
        <w:tc>
          <w:tcPr>
            <w:tcW w:w="992" w:type="dxa"/>
          </w:tcPr>
          <w:p w14:paraId="32EEF9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760</w:t>
            </w:r>
          </w:p>
        </w:tc>
        <w:tc>
          <w:tcPr>
            <w:tcW w:w="1559" w:type="dxa"/>
          </w:tcPr>
          <w:p w14:paraId="14E175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минометы</w:t>
            </w:r>
          </w:p>
          <w:p w14:paraId="2875B2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46481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 1945 г.</w:t>
            </w:r>
          </w:p>
          <w:p w14:paraId="575FAA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C17AD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Организован во время войны</w:t>
            </w:r>
          </w:p>
        </w:tc>
      </w:tr>
      <w:tr w:rsidR="00561F31" w:rsidRPr="00F90EAE" w14:paraId="003121A4" w14:textId="77777777">
        <w:trPr>
          <w:trHeight w:val="202"/>
        </w:trPr>
        <w:tc>
          <w:tcPr>
            <w:tcW w:w="851" w:type="dxa"/>
          </w:tcPr>
          <w:p w14:paraId="13A617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65EE31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718</w:t>
            </w:r>
          </w:p>
        </w:tc>
        <w:tc>
          <w:tcPr>
            <w:tcW w:w="1559" w:type="dxa"/>
          </w:tcPr>
          <w:p w14:paraId="7DF89D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минометного вооружения</w:t>
            </w:r>
          </w:p>
          <w:p w14:paraId="45CC5F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4C7E70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29C1AC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6081C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Дизеля и запчасти к ним</w:t>
            </w:r>
          </w:p>
        </w:tc>
      </w:tr>
      <w:tr w:rsidR="00561F31" w:rsidRPr="00F90EAE" w14:paraId="1CC807BC" w14:textId="77777777">
        <w:trPr>
          <w:trHeight w:val="202"/>
        </w:trPr>
        <w:tc>
          <w:tcPr>
            <w:tcW w:w="851" w:type="dxa"/>
          </w:tcPr>
          <w:p w14:paraId="77E448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BB497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828</w:t>
            </w:r>
          </w:p>
        </w:tc>
        <w:tc>
          <w:tcPr>
            <w:tcW w:w="1559" w:type="dxa"/>
          </w:tcPr>
          <w:p w14:paraId="2A258A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Пистолеты- пулеметы ПП-43</w:t>
            </w:r>
          </w:p>
        </w:tc>
        <w:tc>
          <w:tcPr>
            <w:tcW w:w="993" w:type="dxa"/>
          </w:tcPr>
          <w:p w14:paraId="7D30F2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1701" w:type="dxa"/>
          </w:tcPr>
          <w:p w14:paraId="59D007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Счетно-аналити</w:t>
            </w:r>
            <w:r w:rsidRPr="00F90EAE">
              <w:rPr>
                <w:color w:val="000000" w:themeColor="text1"/>
                <w:sz w:val="16"/>
                <w:szCs w:val="16"/>
              </w:rPr>
              <w:softHyphen/>
              <w:t>ческие маш</w:t>
            </w:r>
          </w:p>
        </w:tc>
      </w:tr>
      <w:tr w:rsidR="00561F31" w:rsidRPr="00F90EAE" w14:paraId="2897660B" w14:textId="77777777">
        <w:trPr>
          <w:trHeight w:val="307"/>
        </w:trPr>
        <w:tc>
          <w:tcPr>
            <w:tcW w:w="851" w:type="dxa"/>
          </w:tcPr>
          <w:p w14:paraId="40DD7C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C1080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701213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847</w:t>
            </w:r>
          </w:p>
          <w:p w14:paraId="008D22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417A93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Спецтара для ПП-43</w:t>
            </w:r>
          </w:p>
          <w:p w14:paraId="166998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6C0A30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DF24A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331C3C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Укупорка и дере водетали для часового произ водства</w:t>
            </w:r>
          </w:p>
          <w:p w14:paraId="5D4B30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C588B4E" w14:textId="77777777">
        <w:trPr>
          <w:trHeight w:val="173"/>
        </w:trPr>
        <w:tc>
          <w:tcPr>
            <w:tcW w:w="851" w:type="dxa"/>
          </w:tcPr>
          <w:p w14:paraId="53327D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нксм</w:t>
            </w:r>
          </w:p>
          <w:p w14:paraId="5313D7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B50CD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«зис»</w:t>
            </w:r>
          </w:p>
          <w:p w14:paraId="25DC75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59802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Пистолеты-пуле меты (ППШ)</w:t>
            </w:r>
          </w:p>
          <w:p w14:paraId="03B0C1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2EEAE1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 1945 г.</w:t>
            </w:r>
          </w:p>
          <w:p w14:paraId="03CFF9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5C9D55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автомобилей</w:t>
            </w:r>
          </w:p>
          <w:p w14:paraId="1AD584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BD202FD" w14:textId="77777777">
        <w:trPr>
          <w:trHeight w:val="173"/>
        </w:trPr>
        <w:tc>
          <w:tcPr>
            <w:tcW w:w="851" w:type="dxa"/>
          </w:tcPr>
          <w:p w14:paraId="3BE4EC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85986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7D7CCB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Им. Бу денного </w:t>
            </w:r>
          </w:p>
        </w:tc>
        <w:tc>
          <w:tcPr>
            <w:tcW w:w="1559" w:type="dxa"/>
          </w:tcPr>
          <w:p w14:paraId="37A184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Детали пистоле тов-пулеметов, пружины</w:t>
            </w:r>
          </w:p>
          <w:p w14:paraId="4A6237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34ED2F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июля 1945 г.</w:t>
            </w:r>
          </w:p>
          <w:p w14:paraId="0A3942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51CA22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автотракторных запасных частей'</w:t>
            </w:r>
          </w:p>
          <w:p w14:paraId="529366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8188E55" w14:textId="77777777">
        <w:trPr>
          <w:trHeight w:val="173"/>
        </w:trPr>
        <w:tc>
          <w:tcPr>
            <w:tcW w:w="851" w:type="dxa"/>
          </w:tcPr>
          <w:p w14:paraId="42C9A6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НКСМ</w:t>
            </w:r>
          </w:p>
          <w:p w14:paraId="4D16F9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56968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Мотозавод</w:t>
            </w:r>
          </w:p>
          <w:p w14:paraId="37D569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1473D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Детали пистоле тов-пулеметов (ППШ)</w:t>
            </w:r>
          </w:p>
          <w:p w14:paraId="7512F5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36767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июня1945 г.</w:t>
            </w:r>
          </w:p>
          <w:p w14:paraId="610802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B423B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мотоциклов }</w:t>
            </w:r>
          </w:p>
          <w:p w14:paraId="0703CE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BF1A15" w14:textId="77777777">
        <w:trPr>
          <w:trHeight w:val="173"/>
        </w:trPr>
        <w:tc>
          <w:tcPr>
            <w:tcW w:w="851" w:type="dxa"/>
          </w:tcPr>
          <w:p w14:paraId="21191D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B995A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252831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Московс кий кар бюратор ный завод</w:t>
            </w:r>
          </w:p>
          <w:p w14:paraId="11F082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52D86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Детали пистоле тов-пулеметов (ППШ)</w:t>
            </w:r>
          </w:p>
          <w:p w14:paraId="541378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0A1487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509E34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605C82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деталей карбюрации</w:t>
            </w:r>
          </w:p>
          <w:p w14:paraId="58027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B095BC0" w14:textId="77777777">
        <w:trPr>
          <w:trHeight w:val="173"/>
        </w:trPr>
        <w:tc>
          <w:tcPr>
            <w:tcW w:w="851" w:type="dxa"/>
          </w:tcPr>
          <w:p w14:paraId="4B587B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нксм</w:t>
            </w:r>
          </w:p>
          <w:p w14:paraId="1C9288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C8B30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«ГАЗ»</w:t>
            </w:r>
          </w:p>
          <w:p w14:paraId="42DED8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7A30A2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Колеса</w:t>
            </w:r>
          </w:p>
          <w:p w14:paraId="36E209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189575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 1945 г.</w:t>
            </w:r>
          </w:p>
          <w:p w14:paraId="38C05B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468957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автомобилей и колес</w:t>
            </w:r>
          </w:p>
          <w:p w14:paraId="1DFA6B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CE5C601" w14:textId="77777777">
        <w:trPr>
          <w:trHeight w:val="182"/>
        </w:trPr>
        <w:tc>
          <w:tcPr>
            <w:tcW w:w="851" w:type="dxa"/>
          </w:tcPr>
          <w:p w14:paraId="211193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НКАП</w:t>
            </w:r>
          </w:p>
          <w:p w14:paraId="3A5037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26CF6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w:t>
            </w:r>
          </w:p>
          <w:p w14:paraId="192AE2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D5136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Пистолеты- пулеметы (ППШ)</w:t>
            </w:r>
          </w:p>
          <w:p w14:paraId="4F929B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466E4C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 1945 г.</w:t>
            </w:r>
          </w:p>
          <w:p w14:paraId="1089E5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53E20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B7C4B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Авиапроизводство</w:t>
            </w:r>
          </w:p>
          <w:p w14:paraId="3A7606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5409B66" w14:textId="77777777">
        <w:trPr>
          <w:trHeight w:val="173"/>
        </w:trPr>
        <w:tc>
          <w:tcPr>
            <w:tcW w:w="851" w:type="dxa"/>
          </w:tcPr>
          <w:p w14:paraId="75EA07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нкэп</w:t>
            </w:r>
          </w:p>
          <w:p w14:paraId="2E2CC6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6DA5C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197</w:t>
            </w:r>
          </w:p>
          <w:p w14:paraId="022BF6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6BA8A0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Детали артиллерии</w:t>
            </w:r>
          </w:p>
          <w:p w14:paraId="3F1E0E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F2B6D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авгус та 1945 г.</w:t>
            </w:r>
          </w:p>
          <w:p w14:paraId="402101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4D501B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крупных войско вых и авиацион ных радиостанций</w:t>
            </w:r>
          </w:p>
        </w:tc>
      </w:tr>
      <w:tr w:rsidR="00561F31" w:rsidRPr="00F90EAE" w14:paraId="469BC4CA" w14:textId="77777777">
        <w:trPr>
          <w:trHeight w:val="173"/>
        </w:trPr>
        <w:tc>
          <w:tcPr>
            <w:tcW w:w="851" w:type="dxa"/>
          </w:tcPr>
          <w:p w14:paraId="6A965C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Наркомте кстиль</w:t>
            </w:r>
          </w:p>
          <w:p w14:paraId="256614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583ABD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12</w:t>
            </w:r>
          </w:p>
          <w:p w14:paraId="6095C3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6C69D2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Прицепы к пу леметам </w:t>
            </w:r>
          </w:p>
          <w:p w14:paraId="32AED2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7D88B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авгус та 1945 г.</w:t>
            </w:r>
          </w:p>
          <w:p w14:paraId="496A00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295E3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Запчасти к тек стильным маши нам</w:t>
            </w:r>
          </w:p>
          <w:p w14:paraId="4B4239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771DF71" w14:textId="77777777">
        <w:trPr>
          <w:trHeight w:val="182"/>
        </w:trPr>
        <w:tc>
          <w:tcPr>
            <w:tcW w:w="851" w:type="dxa"/>
          </w:tcPr>
          <w:p w14:paraId="60D957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НКПС</w:t>
            </w:r>
          </w:p>
          <w:p w14:paraId="0CEFFC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6DBC7B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Кировский машзавод</w:t>
            </w:r>
          </w:p>
          <w:p w14:paraId="72EBAE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5688EE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Насосы НДЦ</w:t>
            </w:r>
          </w:p>
          <w:p w14:paraId="5E2F73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5D8160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авгус та 1945 г.</w:t>
            </w:r>
          </w:p>
          <w:p w14:paraId="476821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0EC30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Железнодорож ные краны и домкраты </w:t>
            </w:r>
          </w:p>
          <w:p w14:paraId="001F2F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6422CBB" w14:textId="77777777">
        <w:trPr>
          <w:trHeight w:val="182"/>
        </w:trPr>
        <w:tc>
          <w:tcPr>
            <w:tcW w:w="851" w:type="dxa"/>
          </w:tcPr>
          <w:p w14:paraId="7695D5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НКнефть</w:t>
            </w:r>
          </w:p>
          <w:p w14:paraId="6D35A6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E3C8E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№424</w:t>
            </w:r>
          </w:p>
          <w:p w14:paraId="342C5A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24864C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4F255C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6765E1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октяб ря 1945 г.</w:t>
            </w:r>
          </w:p>
          <w:p w14:paraId="4A7627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31CE8E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Нефтяное обору дование (реж.комлекты)</w:t>
            </w:r>
          </w:p>
          <w:p w14:paraId="5C3B33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006B9F0" w14:textId="77777777">
        <w:trPr>
          <w:trHeight w:val="173"/>
        </w:trPr>
        <w:tc>
          <w:tcPr>
            <w:tcW w:w="851" w:type="dxa"/>
          </w:tcPr>
          <w:p w14:paraId="13BAF4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064861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21D79D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340</w:t>
            </w:r>
          </w:p>
          <w:p w14:paraId="67B039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6EA5B3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Поковки к опти ческим приборам </w:t>
            </w:r>
          </w:p>
          <w:p w14:paraId="65F1983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006A92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137050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56DAE4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Паровые кора бельные машины</w:t>
            </w:r>
          </w:p>
          <w:p w14:paraId="26810E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FC440D7" w14:textId="77777777">
        <w:trPr>
          <w:trHeight w:val="192"/>
        </w:trPr>
        <w:tc>
          <w:tcPr>
            <w:tcW w:w="851" w:type="dxa"/>
          </w:tcPr>
          <w:p w14:paraId="5D17F2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НКСС</w:t>
            </w:r>
          </w:p>
          <w:p w14:paraId="7ABAEE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704D14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113</w:t>
            </w:r>
          </w:p>
          <w:p w14:paraId="5805BC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6F2480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Детали артиллерии</w:t>
            </w:r>
          </w:p>
          <w:p w14:paraId="66697D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80A60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412CC2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6D2C36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Металлорежущие станки</w:t>
            </w:r>
          </w:p>
          <w:p w14:paraId="54208C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514A5CB" w14:textId="77777777">
        <w:trPr>
          <w:trHeight w:val="173"/>
        </w:trPr>
        <w:tc>
          <w:tcPr>
            <w:tcW w:w="851" w:type="dxa"/>
          </w:tcPr>
          <w:p w14:paraId="26F886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НКТМ</w:t>
            </w:r>
          </w:p>
          <w:p w14:paraId="275CC7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2D56BE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 Ленина</w:t>
            </w:r>
          </w:p>
          <w:p w14:paraId="73D038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612FD8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7195FF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227CD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2B0CA5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1F303A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турбовоздуходувок и паротурбин</w:t>
            </w:r>
          </w:p>
          <w:p w14:paraId="18385B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B452D42" w14:textId="77777777">
        <w:trPr>
          <w:trHeight w:val="173"/>
        </w:trPr>
        <w:tc>
          <w:tcPr>
            <w:tcW w:w="851" w:type="dxa"/>
          </w:tcPr>
          <w:p w14:paraId="442935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НКМП РСФСР</w:t>
            </w:r>
          </w:p>
          <w:p w14:paraId="7BF1EC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B0088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Красный штам повщик -</w:t>
            </w:r>
          </w:p>
          <w:p w14:paraId="2E7D79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EA5A3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Магазины к ППШ</w:t>
            </w:r>
          </w:p>
          <w:p w14:paraId="536FE1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06218A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4FCFFA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78C28E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Эмалированная посуда</w:t>
            </w:r>
          </w:p>
          <w:p w14:paraId="5AF104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9C9ED7C" w14:textId="77777777">
        <w:trPr>
          <w:trHeight w:val="211"/>
        </w:trPr>
        <w:tc>
          <w:tcPr>
            <w:tcW w:w="851" w:type="dxa"/>
          </w:tcPr>
          <w:p w14:paraId="57E629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3D7A1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725356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«Точмех» Сокольни ческого - РПТ</w:t>
            </w:r>
          </w:p>
          <w:p w14:paraId="02216C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5746D0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Детали к писто летам-пулеметам ППШ </w:t>
            </w:r>
          </w:p>
          <w:p w14:paraId="52B6B8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46D580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07A160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54EEF2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Сборка и ремонт часов</w:t>
            </w:r>
          </w:p>
          <w:p w14:paraId="6DE448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2DC362B" w14:textId="77777777">
        <w:trPr>
          <w:trHeight w:val="182"/>
        </w:trPr>
        <w:tc>
          <w:tcPr>
            <w:tcW w:w="851" w:type="dxa"/>
          </w:tcPr>
          <w:p w14:paraId="02A8A8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_"_</w:t>
            </w:r>
          </w:p>
          <w:p w14:paraId="1B5728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79C32D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Металло- изделий Железно дорожного РПТ </w:t>
            </w:r>
          </w:p>
          <w:p w14:paraId="4FB2EA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1DD8D9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Принадлежности к ППШ</w:t>
            </w:r>
          </w:p>
          <w:p w14:paraId="231445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5BC198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2D1378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5F1535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Организован в1942 г.</w:t>
            </w:r>
          </w:p>
          <w:p w14:paraId="4BB968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AFED05F" w14:textId="77777777">
        <w:trPr>
          <w:trHeight w:val="182"/>
        </w:trPr>
        <w:tc>
          <w:tcPr>
            <w:tcW w:w="851" w:type="dxa"/>
          </w:tcPr>
          <w:p w14:paraId="7516DF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98317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Металло изделий</w:t>
            </w:r>
          </w:p>
          <w:p w14:paraId="051621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Сталинско</w:t>
            </w:r>
          </w:p>
          <w:p w14:paraId="3D0A8F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 РПТ</w:t>
            </w:r>
          </w:p>
        </w:tc>
        <w:tc>
          <w:tcPr>
            <w:tcW w:w="1559" w:type="dxa"/>
          </w:tcPr>
          <w:p w14:paraId="592C39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1097C7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29BD37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Организован в 1941-42 гг.</w:t>
            </w:r>
          </w:p>
        </w:tc>
      </w:tr>
      <w:tr w:rsidR="00561F31" w:rsidRPr="00F90EAE" w14:paraId="14C564F0" w14:textId="77777777">
        <w:trPr>
          <w:trHeight w:val="182"/>
        </w:trPr>
        <w:tc>
          <w:tcPr>
            <w:tcW w:w="851" w:type="dxa"/>
          </w:tcPr>
          <w:p w14:paraId="7C8CB9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DA53C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Штампо- механич. з-д № 2 Таганского РПТ</w:t>
            </w:r>
          </w:p>
        </w:tc>
        <w:tc>
          <w:tcPr>
            <w:tcW w:w="1559" w:type="dxa"/>
          </w:tcPr>
          <w:p w14:paraId="06FD04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33971E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4768A6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Кроватей</w:t>
            </w:r>
          </w:p>
        </w:tc>
      </w:tr>
      <w:tr w:rsidR="00561F31" w:rsidRPr="00F90EAE" w14:paraId="635435E5" w14:textId="77777777">
        <w:trPr>
          <w:trHeight w:val="182"/>
        </w:trPr>
        <w:tc>
          <w:tcPr>
            <w:tcW w:w="851" w:type="dxa"/>
          </w:tcPr>
          <w:p w14:paraId="73BE0D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5D1E77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Ремонтно- механичсс кий з-д Комин терн. РПТ </w:t>
            </w:r>
          </w:p>
        </w:tc>
        <w:tc>
          <w:tcPr>
            <w:tcW w:w="1559" w:type="dxa"/>
          </w:tcPr>
          <w:p w14:paraId="74DDBC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Принадлежности к ППШ</w:t>
            </w:r>
          </w:p>
        </w:tc>
        <w:tc>
          <w:tcPr>
            <w:tcW w:w="993" w:type="dxa"/>
          </w:tcPr>
          <w:p w14:paraId="799A6D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345CB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Пневматическое детское ружье</w:t>
            </w:r>
          </w:p>
        </w:tc>
      </w:tr>
      <w:tr w:rsidR="00561F31" w:rsidRPr="00F90EAE" w14:paraId="2825DA7A" w14:textId="77777777">
        <w:trPr>
          <w:trHeight w:val="182"/>
        </w:trPr>
        <w:tc>
          <w:tcPr>
            <w:tcW w:w="851" w:type="dxa"/>
          </w:tcPr>
          <w:p w14:paraId="30A488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30730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Механи ческий з-д -№ 1 Мос кворецко-го РПТ</w:t>
            </w:r>
          </w:p>
        </w:tc>
        <w:tc>
          <w:tcPr>
            <w:tcW w:w="1559" w:type="dxa"/>
          </w:tcPr>
          <w:p w14:paraId="35CC64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D2B13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78A334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кроватей</w:t>
            </w:r>
          </w:p>
        </w:tc>
      </w:tr>
      <w:tr w:rsidR="00561F31" w:rsidRPr="00F90EAE" w14:paraId="6DC2B235" w14:textId="77777777">
        <w:trPr>
          <w:trHeight w:val="221"/>
        </w:trPr>
        <w:tc>
          <w:tcPr>
            <w:tcW w:w="851" w:type="dxa"/>
          </w:tcPr>
          <w:p w14:paraId="4F3B4E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14983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6C551D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ДОЗ № 8</w:t>
            </w:r>
          </w:p>
          <w:p w14:paraId="186A59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4303F09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Ложа к ППШ</w:t>
            </w:r>
          </w:p>
          <w:p w14:paraId="093229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647685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1DE19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307DA8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стульев</w:t>
            </w:r>
          </w:p>
          <w:p w14:paraId="5FC042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7549108" w14:textId="77777777">
        <w:trPr>
          <w:trHeight w:val="182"/>
        </w:trPr>
        <w:tc>
          <w:tcPr>
            <w:tcW w:w="851" w:type="dxa"/>
          </w:tcPr>
          <w:p w14:paraId="613B99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67A0CA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5344D1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ДОЗ № 1 1</w:t>
            </w:r>
          </w:p>
          <w:p w14:paraId="122D37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6BB395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6371BD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1D8D02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45A8AB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72D96E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мебели</w:t>
            </w:r>
          </w:p>
          <w:p w14:paraId="1A6B74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C223411" w14:textId="77777777">
        <w:trPr>
          <w:trHeight w:val="182"/>
        </w:trPr>
        <w:tc>
          <w:tcPr>
            <w:tcW w:w="851" w:type="dxa"/>
          </w:tcPr>
          <w:p w14:paraId="724C99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УПК при СНКРСФСР</w:t>
            </w:r>
          </w:p>
          <w:p w14:paraId="7FAD7D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3DB5F3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Вачмет союз </w:t>
            </w:r>
          </w:p>
          <w:p w14:paraId="08578D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21D42D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Кинжал-ножи</w:t>
            </w:r>
          </w:p>
          <w:p w14:paraId="63D2CA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289E81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 1945 г.</w:t>
            </w:r>
          </w:p>
        </w:tc>
        <w:tc>
          <w:tcPr>
            <w:tcW w:w="1701" w:type="dxa"/>
          </w:tcPr>
          <w:p w14:paraId="63CFAD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Поковки для инструментального и ножевого производства</w:t>
            </w:r>
          </w:p>
          <w:p w14:paraId="3139A9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7223B88" w14:textId="77777777">
        <w:trPr>
          <w:trHeight w:val="173"/>
        </w:trPr>
        <w:tc>
          <w:tcPr>
            <w:tcW w:w="851" w:type="dxa"/>
          </w:tcPr>
          <w:p w14:paraId="173432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487916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68527E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Артель«Велос порт»</w:t>
            </w:r>
          </w:p>
          <w:p w14:paraId="3FD27D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0921A7F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Масленки к стрелковому оружию</w:t>
            </w:r>
          </w:p>
          <w:p w14:paraId="6B3691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277391A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17A85B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30BC23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запчастей к вело сипедам</w:t>
            </w:r>
          </w:p>
          <w:p w14:paraId="3C98A5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313B952" w14:textId="77777777">
        <w:trPr>
          <w:trHeight w:val="173"/>
        </w:trPr>
        <w:tc>
          <w:tcPr>
            <w:tcW w:w="851" w:type="dxa"/>
          </w:tcPr>
          <w:p w14:paraId="0752A0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07DE95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11F21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Артель «Спайка»</w:t>
            </w:r>
          </w:p>
          <w:p w14:paraId="225F6C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41C198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Пулеметные ленты «Максима»</w:t>
            </w:r>
          </w:p>
          <w:p w14:paraId="3B0161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3EFA00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17E37A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CCC62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Производство металло галантереи </w:t>
            </w:r>
          </w:p>
          <w:p w14:paraId="17FB69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AD787AF" w14:textId="77777777">
        <w:trPr>
          <w:trHeight w:val="182"/>
        </w:trPr>
        <w:tc>
          <w:tcPr>
            <w:tcW w:w="851" w:type="dxa"/>
          </w:tcPr>
          <w:p w14:paraId="46B953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D1F2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674E87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AA8B1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44B899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8E684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3E6476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F12E6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0325C6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B3C7E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C893136" w14:textId="77777777">
        <w:trPr>
          <w:trHeight w:val="154"/>
        </w:trPr>
        <w:tc>
          <w:tcPr>
            <w:tcW w:w="851" w:type="dxa"/>
          </w:tcPr>
          <w:p w14:paraId="797D1F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03577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2E48B8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36D3D6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77EB80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0A9B6C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29D4BA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10720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697E57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EFB5F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CAEDCC2" w14:textId="77777777">
        <w:trPr>
          <w:trHeight w:val="163"/>
        </w:trPr>
        <w:tc>
          <w:tcPr>
            <w:tcW w:w="851" w:type="dxa"/>
          </w:tcPr>
          <w:p w14:paraId="3631E9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 xml:space="preserve">УПК при СНКРСФСР </w:t>
            </w:r>
          </w:p>
        </w:tc>
        <w:tc>
          <w:tcPr>
            <w:tcW w:w="992" w:type="dxa"/>
          </w:tcPr>
          <w:p w14:paraId="33D935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Артель «Шомпол»</w:t>
            </w:r>
          </w:p>
          <w:p w14:paraId="2EF80E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7D5554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Принадлежности к ППШ</w:t>
            </w:r>
          </w:p>
          <w:p w14:paraId="4D8E3C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64BF29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июля1945 г.</w:t>
            </w:r>
          </w:p>
          <w:p w14:paraId="149ED04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2BA9CF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охотничьих шом полов, протирок и ершиков</w:t>
            </w:r>
          </w:p>
          <w:p w14:paraId="2C7AC3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AAB68FA" w14:textId="77777777">
        <w:trPr>
          <w:trHeight w:val="173"/>
        </w:trPr>
        <w:tc>
          <w:tcPr>
            <w:tcW w:w="851" w:type="dxa"/>
          </w:tcPr>
          <w:p w14:paraId="5B57FB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нклп</w:t>
            </w:r>
          </w:p>
          <w:p w14:paraId="5950D0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Pr>
          <w:p w14:paraId="0C691C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Ф-ка им. Розы Люк сембург</w:t>
            </w:r>
          </w:p>
          <w:p w14:paraId="3769DF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Pr>
          <w:p w14:paraId="73B601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Пулеметные ленты «Максима»</w:t>
            </w:r>
          </w:p>
          <w:p w14:paraId="286670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Pr>
          <w:p w14:paraId="7CE5062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июня1945 г.</w:t>
            </w:r>
          </w:p>
          <w:p w14:paraId="792ABE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Pr>
          <w:p w14:paraId="77D41E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швейной продук ции (одежда)</w:t>
            </w:r>
          </w:p>
          <w:p w14:paraId="1FAFE9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2FCD43C" w14:textId="77777777">
        <w:trPr>
          <w:trHeight w:val="182"/>
        </w:trPr>
        <w:tc>
          <w:tcPr>
            <w:tcW w:w="851" w:type="dxa"/>
            <w:tcBorders>
              <w:bottom w:val="single" w:sz="12" w:space="0" w:color="auto"/>
            </w:tcBorders>
          </w:tcPr>
          <w:p w14:paraId="5CE700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2503A7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2" w:type="dxa"/>
            <w:tcBorders>
              <w:bottom w:val="single" w:sz="12" w:space="0" w:color="auto"/>
            </w:tcBorders>
          </w:tcPr>
          <w:p w14:paraId="182E40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205</w:t>
            </w:r>
          </w:p>
          <w:p w14:paraId="415DED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559" w:type="dxa"/>
            <w:tcBorders>
              <w:bottom w:val="single" w:sz="12" w:space="0" w:color="auto"/>
            </w:tcBorders>
          </w:tcPr>
          <w:p w14:paraId="4B5A04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ПУАЗО № 3</w:t>
            </w:r>
          </w:p>
          <w:p w14:paraId="5774F4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993" w:type="dxa"/>
            <w:tcBorders>
              <w:bottom w:val="single" w:sz="12" w:space="0" w:color="auto"/>
            </w:tcBorders>
          </w:tcPr>
          <w:p w14:paraId="3CE2CE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 июля 1945 г.</w:t>
            </w:r>
          </w:p>
          <w:p w14:paraId="641AD24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701" w:type="dxa"/>
            <w:tcBorders>
              <w:bottom w:val="single" w:sz="12" w:space="0" w:color="auto"/>
            </w:tcBorders>
          </w:tcPr>
          <w:p w14:paraId="7401226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приборов управ ления огнем артиллерии</w:t>
            </w:r>
          </w:p>
          <w:p w14:paraId="6A9220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3866C2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РЦХИДНИ. Ф. 644. Оп.</w:t>
      </w:r>
    </w:p>
    <w:p w14:paraId="5941D93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 xml:space="preserve">ВЕРНО: Феоктистова </w:t>
      </w:r>
      <w:r w:rsidRPr="00F90EAE">
        <w:rPr>
          <w:color w:val="000000" w:themeColor="text1"/>
          <w:sz w:val="16"/>
          <w:szCs w:val="16"/>
          <w:lang w:val="en-US"/>
        </w:rPr>
        <w:t>I</w:t>
      </w:r>
      <w:r w:rsidRPr="00F90EAE">
        <w:rPr>
          <w:color w:val="000000" w:themeColor="text1"/>
          <w:sz w:val="16"/>
          <w:szCs w:val="16"/>
        </w:rPr>
        <w:t>. Д. 420. Л. 31-34. Заверенная копия</w:t>
      </w:r>
    </w:p>
    <w:p w14:paraId="4E36D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Секретно</w:t>
      </w:r>
    </w:p>
    <w:p w14:paraId="29B562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 2</w:t>
      </w:r>
    </w:p>
    <w:p w14:paraId="2E835B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постановлению ГОКО № 8803сс от 26 мая 1945 г.</w:t>
      </w:r>
    </w:p>
    <w:p w14:paraId="005D9F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СПИСОК</w:t>
      </w:r>
    </w:p>
    <w:p w14:paraId="22BCBD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заводов, по которым должна быть сохранена мобилизационная мощность по выпуску предметов вооружения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008"/>
        <w:gridCol w:w="1670"/>
        <w:gridCol w:w="1939"/>
        <w:gridCol w:w="1824"/>
      </w:tblGrid>
      <w:tr w:rsidR="00561F31" w:rsidRPr="00F90EAE" w14:paraId="7822B9F8" w14:textId="77777777">
        <w:trPr>
          <w:trHeight w:val="422"/>
        </w:trPr>
        <w:tc>
          <w:tcPr>
            <w:tcW w:w="2678" w:type="dxa"/>
            <w:gridSpan w:val="2"/>
            <w:tcBorders>
              <w:top w:val="single" w:sz="12" w:space="0" w:color="auto"/>
            </w:tcBorders>
          </w:tcPr>
          <w:p w14:paraId="3DC671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Где сохраняется мобилизационная мощность</w:t>
            </w:r>
          </w:p>
          <w:p w14:paraId="010935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3763" w:type="dxa"/>
            <w:gridSpan w:val="2"/>
            <w:tcBorders>
              <w:top w:val="single" w:sz="12" w:space="0" w:color="auto"/>
            </w:tcBorders>
          </w:tcPr>
          <w:p w14:paraId="59550E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Сохраняется мобилизационная мощность (в шт.)</w:t>
            </w:r>
          </w:p>
          <w:p w14:paraId="2F1C9F9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2B4F8E5" w14:textId="77777777">
        <w:trPr>
          <w:trHeight w:val="432"/>
        </w:trPr>
        <w:tc>
          <w:tcPr>
            <w:tcW w:w="1008" w:type="dxa"/>
          </w:tcPr>
          <w:p w14:paraId="67454A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Наркомат</w:t>
            </w:r>
          </w:p>
          <w:p w14:paraId="684F3BD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42B7BB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w:t>
            </w:r>
          </w:p>
          <w:p w14:paraId="1DA550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6A07554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Наименования изделий, подлежащих выпуску 3</w:t>
            </w:r>
          </w:p>
          <w:p w14:paraId="365F1F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7A38AC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в месяц 4</w:t>
            </w:r>
          </w:p>
          <w:p w14:paraId="6B32B0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C890A50" w14:textId="77777777">
        <w:trPr>
          <w:trHeight w:val="403"/>
        </w:trPr>
        <w:tc>
          <w:tcPr>
            <w:tcW w:w="1008" w:type="dxa"/>
          </w:tcPr>
          <w:p w14:paraId="43BD35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НКСМ</w:t>
            </w:r>
          </w:p>
          <w:p w14:paraId="4CCD32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77071D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Завод им. Сталина</w:t>
            </w:r>
          </w:p>
          <w:p w14:paraId="66F747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377DDE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Пистолет-пулемет ППШ</w:t>
            </w:r>
          </w:p>
          <w:p w14:paraId="72C129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775F4C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50000</w:t>
            </w:r>
          </w:p>
          <w:p w14:paraId="1E173C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448800" w14:textId="77777777">
        <w:trPr>
          <w:trHeight w:val="250"/>
        </w:trPr>
        <w:tc>
          <w:tcPr>
            <w:tcW w:w="1008" w:type="dxa"/>
          </w:tcPr>
          <w:p w14:paraId="305DA4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p w14:paraId="137A1C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4EA257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828</w:t>
            </w:r>
          </w:p>
          <w:p w14:paraId="450C15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7BB1BD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Пистолет-пулемет ПП-43</w:t>
            </w:r>
          </w:p>
          <w:p w14:paraId="6CC65F8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114AA0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25000</w:t>
            </w:r>
          </w:p>
          <w:p w14:paraId="7700B5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28C13EA" w14:textId="77777777">
        <w:trPr>
          <w:trHeight w:val="259"/>
        </w:trPr>
        <w:tc>
          <w:tcPr>
            <w:tcW w:w="1008" w:type="dxa"/>
          </w:tcPr>
          <w:p w14:paraId="6D224F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p w14:paraId="58610E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1E779D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760 и</w:t>
            </w:r>
          </w:p>
          <w:p w14:paraId="6DD1AC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1FDA73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 мм минометы</w:t>
            </w:r>
          </w:p>
          <w:p w14:paraId="1A95171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64A43D6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w:t>
            </w:r>
          </w:p>
          <w:p w14:paraId="0BD557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62EB4B3" w14:textId="77777777">
        <w:trPr>
          <w:trHeight w:val="374"/>
        </w:trPr>
        <w:tc>
          <w:tcPr>
            <w:tcW w:w="1008" w:type="dxa"/>
          </w:tcPr>
          <w:p w14:paraId="22E4B6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p w14:paraId="3B2BB3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168C79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805 Заводы № 720, 746 и 718</w:t>
            </w:r>
          </w:p>
          <w:p w14:paraId="2625F1D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18BAA9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 мм минометы</w:t>
            </w:r>
          </w:p>
          <w:p w14:paraId="4BFEE3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0C6B1D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750</w:t>
            </w:r>
          </w:p>
          <w:p w14:paraId="044F6D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2CEDBCA" w14:textId="77777777">
        <w:trPr>
          <w:trHeight w:val="202"/>
        </w:trPr>
        <w:tc>
          <w:tcPr>
            <w:tcW w:w="1008" w:type="dxa"/>
          </w:tcPr>
          <w:p w14:paraId="78D71B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6F4FB3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5FA8AB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205, 192</w:t>
            </w:r>
          </w:p>
          <w:p w14:paraId="64C44D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59D5AC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ПУАЗО № 4</w:t>
            </w:r>
          </w:p>
          <w:p w14:paraId="753C3A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228C0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71B11D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D1436E8" w14:textId="77777777">
        <w:trPr>
          <w:trHeight w:val="192"/>
        </w:trPr>
        <w:tc>
          <w:tcPr>
            <w:tcW w:w="1008" w:type="dxa"/>
          </w:tcPr>
          <w:p w14:paraId="44D29F3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5F33AC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5C63B2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192</w:t>
            </w:r>
          </w:p>
          <w:p w14:paraId="77C382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226538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Прожзвук С-2</w:t>
            </w:r>
          </w:p>
          <w:p w14:paraId="2032D6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595E1C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p w14:paraId="0A8360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E6EE893" w14:textId="77777777">
        <w:trPr>
          <w:trHeight w:val="173"/>
        </w:trPr>
        <w:tc>
          <w:tcPr>
            <w:tcW w:w="1008" w:type="dxa"/>
          </w:tcPr>
          <w:p w14:paraId="3B8B56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6B8D94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3198C5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708 и703</w:t>
            </w:r>
          </w:p>
          <w:p w14:paraId="4CD092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788E6C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Принимающие к ПУАЗО</w:t>
            </w:r>
          </w:p>
          <w:p w14:paraId="0ADE17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053A31A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w:t>
            </w:r>
          </w:p>
          <w:p w14:paraId="248F74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57E53A0" w14:textId="77777777">
        <w:trPr>
          <w:trHeight w:val="192"/>
        </w:trPr>
        <w:tc>
          <w:tcPr>
            <w:tcW w:w="1008" w:type="dxa"/>
          </w:tcPr>
          <w:p w14:paraId="6FDD275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нксп</w:t>
            </w:r>
          </w:p>
          <w:p w14:paraId="123C24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284E5D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707</w:t>
            </w:r>
          </w:p>
          <w:p w14:paraId="616084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4ECC4D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Звукометр. Станции«С43М-36»</w:t>
            </w:r>
          </w:p>
          <w:p w14:paraId="0ED872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20BE82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47AD11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FAE3E4E" w14:textId="77777777">
        <w:trPr>
          <w:trHeight w:val="240"/>
        </w:trPr>
        <w:tc>
          <w:tcPr>
            <w:tcW w:w="1008" w:type="dxa"/>
          </w:tcPr>
          <w:p w14:paraId="6A5AFCF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p w14:paraId="3FA843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35421E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807</w:t>
            </w:r>
          </w:p>
          <w:p w14:paraId="44A68F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44EB4A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ПУАЗО № 3-4</w:t>
            </w:r>
          </w:p>
          <w:p w14:paraId="118EBE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2C217E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w:t>
            </w:r>
          </w:p>
          <w:p w14:paraId="1C0039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7100F4B" w14:textId="77777777">
        <w:trPr>
          <w:trHeight w:val="202"/>
        </w:trPr>
        <w:tc>
          <w:tcPr>
            <w:tcW w:w="1008" w:type="dxa"/>
          </w:tcPr>
          <w:p w14:paraId="6A99181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нкэп</w:t>
            </w:r>
          </w:p>
          <w:p w14:paraId="0E3F12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24AE51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686</w:t>
            </w:r>
          </w:p>
          <w:p w14:paraId="4E7DE9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4F85CB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Зарядные агрегаты«АЗ-1»</w:t>
            </w:r>
          </w:p>
          <w:p w14:paraId="5ADEAEB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2BE2BD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3479FD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0E0471D" w14:textId="77777777">
        <w:trPr>
          <w:trHeight w:val="230"/>
        </w:trPr>
        <w:tc>
          <w:tcPr>
            <w:tcW w:w="1008" w:type="dxa"/>
          </w:tcPr>
          <w:p w14:paraId="4E279D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нкэп</w:t>
            </w:r>
          </w:p>
          <w:p w14:paraId="60C07E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53D2DC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686 и 644</w:t>
            </w:r>
          </w:p>
          <w:p w14:paraId="5B6161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41DFBD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Прохстанции 3-15-11 и 3-15-12</w:t>
            </w:r>
          </w:p>
          <w:p w14:paraId="3F6312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56D14B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w:t>
            </w:r>
          </w:p>
          <w:p w14:paraId="364930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1802294" w14:textId="77777777">
        <w:trPr>
          <w:trHeight w:val="221"/>
        </w:trPr>
        <w:tc>
          <w:tcPr>
            <w:tcW w:w="1008" w:type="dxa"/>
          </w:tcPr>
          <w:p w14:paraId="2714E5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нкпсм</w:t>
            </w:r>
          </w:p>
          <w:p w14:paraId="67BCC6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5014A7C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233 и 450</w:t>
            </w:r>
          </w:p>
          <w:p w14:paraId="43762E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27DEF1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Отражатели зеркаль ные 150 см </w:t>
            </w:r>
          </w:p>
        </w:tc>
        <w:tc>
          <w:tcPr>
            <w:tcW w:w="1824" w:type="dxa"/>
          </w:tcPr>
          <w:p w14:paraId="2EE270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p w14:paraId="400095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0120504" w14:textId="77777777">
        <w:trPr>
          <w:trHeight w:val="259"/>
        </w:trPr>
        <w:tc>
          <w:tcPr>
            <w:tcW w:w="1008" w:type="dxa"/>
          </w:tcPr>
          <w:p w14:paraId="5BBB75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НКРП</w:t>
            </w:r>
          </w:p>
          <w:p w14:paraId="419EA6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7E6259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736 и 735</w:t>
            </w:r>
          </w:p>
          <w:p w14:paraId="1E029BD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6522226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шин «ГК»</w:t>
            </w:r>
          </w:p>
          <w:p w14:paraId="698EE7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2A5A56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20000</w:t>
            </w:r>
          </w:p>
          <w:p w14:paraId="66B81B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E9F0FCE" w14:textId="77777777">
        <w:trPr>
          <w:trHeight w:val="230"/>
        </w:trPr>
        <w:tc>
          <w:tcPr>
            <w:tcW w:w="1008" w:type="dxa"/>
          </w:tcPr>
          <w:p w14:paraId="0E573D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нктп</w:t>
            </w:r>
          </w:p>
          <w:p w14:paraId="43DE2E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670" w:type="dxa"/>
          </w:tcPr>
          <w:p w14:paraId="3DB1E6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183</w:t>
            </w:r>
          </w:p>
          <w:p w14:paraId="6CECA6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939" w:type="dxa"/>
          </w:tcPr>
          <w:p w14:paraId="4DC0AE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Артиллерийские передки -</w:t>
            </w:r>
          </w:p>
          <w:p w14:paraId="73ED79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824" w:type="dxa"/>
          </w:tcPr>
          <w:p w14:paraId="786C55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1700</w:t>
            </w:r>
          </w:p>
          <w:p w14:paraId="6F1974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F638F3D" w14:textId="77777777">
        <w:trPr>
          <w:trHeight w:val="230"/>
        </w:trPr>
        <w:tc>
          <w:tcPr>
            <w:tcW w:w="1008" w:type="dxa"/>
          </w:tcPr>
          <w:p w14:paraId="772E39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tc>
        <w:tc>
          <w:tcPr>
            <w:tcW w:w="1670" w:type="dxa"/>
          </w:tcPr>
          <w:p w14:paraId="436AC5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702</w:t>
            </w:r>
          </w:p>
        </w:tc>
        <w:tc>
          <w:tcPr>
            <w:tcW w:w="1939" w:type="dxa"/>
          </w:tcPr>
          <w:p w14:paraId="721C54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Артиллерийские передки</w:t>
            </w:r>
          </w:p>
        </w:tc>
        <w:tc>
          <w:tcPr>
            <w:tcW w:w="1824" w:type="dxa"/>
          </w:tcPr>
          <w:p w14:paraId="43DAE3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w:t>
            </w:r>
          </w:p>
        </w:tc>
      </w:tr>
      <w:tr w:rsidR="00561F31" w:rsidRPr="00F90EAE" w14:paraId="6D1D692F" w14:textId="77777777">
        <w:trPr>
          <w:trHeight w:val="230"/>
        </w:trPr>
        <w:tc>
          <w:tcPr>
            <w:tcW w:w="1008" w:type="dxa"/>
          </w:tcPr>
          <w:p w14:paraId="697AF2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НКМБ</w:t>
            </w:r>
          </w:p>
        </w:tc>
        <w:tc>
          <w:tcPr>
            <w:tcW w:w="1670" w:type="dxa"/>
          </w:tcPr>
          <w:p w14:paraId="2CBE7B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Заводы № 702 и 718</w:t>
            </w:r>
          </w:p>
        </w:tc>
        <w:tc>
          <w:tcPr>
            <w:tcW w:w="1939" w:type="dxa"/>
          </w:tcPr>
          <w:p w14:paraId="229C495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Минометные хода</w:t>
            </w:r>
          </w:p>
        </w:tc>
        <w:tc>
          <w:tcPr>
            <w:tcW w:w="1824" w:type="dxa"/>
          </w:tcPr>
          <w:p w14:paraId="60B725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750</w:t>
            </w:r>
          </w:p>
        </w:tc>
      </w:tr>
      <w:tr w:rsidR="00561F31" w:rsidRPr="00F90EAE" w14:paraId="0549B0D1" w14:textId="77777777">
        <w:trPr>
          <w:trHeight w:val="230"/>
        </w:trPr>
        <w:tc>
          <w:tcPr>
            <w:tcW w:w="1008" w:type="dxa"/>
          </w:tcPr>
          <w:p w14:paraId="1C5914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нкмв</w:t>
            </w:r>
          </w:p>
        </w:tc>
        <w:tc>
          <w:tcPr>
            <w:tcW w:w="1670" w:type="dxa"/>
          </w:tcPr>
          <w:p w14:paraId="2081D4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 702</w:t>
            </w:r>
          </w:p>
        </w:tc>
        <w:tc>
          <w:tcPr>
            <w:tcW w:w="1939" w:type="dxa"/>
          </w:tcPr>
          <w:p w14:paraId="2FD05B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Передки к минометам</w:t>
            </w:r>
          </w:p>
        </w:tc>
        <w:tc>
          <w:tcPr>
            <w:tcW w:w="1824" w:type="dxa"/>
          </w:tcPr>
          <w:p w14:paraId="675364A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w:t>
            </w:r>
          </w:p>
        </w:tc>
      </w:tr>
      <w:tr w:rsidR="00561F31" w:rsidRPr="00F90EAE" w14:paraId="65C09F24" w14:textId="77777777">
        <w:trPr>
          <w:trHeight w:val="230"/>
        </w:trPr>
        <w:tc>
          <w:tcPr>
            <w:tcW w:w="1008" w:type="dxa"/>
            <w:tcBorders>
              <w:bottom w:val="single" w:sz="12" w:space="0" w:color="auto"/>
            </w:tcBorders>
          </w:tcPr>
          <w:p w14:paraId="7710FA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нктм</w:t>
            </w:r>
          </w:p>
        </w:tc>
        <w:tc>
          <w:tcPr>
            <w:tcW w:w="1670" w:type="dxa"/>
            <w:tcBorders>
              <w:bottom w:val="single" w:sz="12" w:space="0" w:color="auto"/>
            </w:tcBorders>
          </w:tcPr>
          <w:p w14:paraId="6160F9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 им. Куйбышева (Иркутск)</w:t>
            </w:r>
          </w:p>
        </w:tc>
        <w:tc>
          <w:tcPr>
            <w:tcW w:w="1939" w:type="dxa"/>
            <w:tcBorders>
              <w:bottom w:val="single" w:sz="12" w:space="0" w:color="auto"/>
            </w:tcBorders>
          </w:tcPr>
          <w:p w14:paraId="605292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горный миномет</w:t>
            </w:r>
          </w:p>
        </w:tc>
        <w:tc>
          <w:tcPr>
            <w:tcW w:w="1824" w:type="dxa"/>
            <w:tcBorders>
              <w:bottom w:val="single" w:sz="12" w:space="0" w:color="auto"/>
            </w:tcBorders>
          </w:tcPr>
          <w:p w14:paraId="5ACC2B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r>
    </w:tbl>
    <w:p w14:paraId="29A609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Верно: Феоктистова РЦХИДНИ. Ф. 644. Оп. 1. Д. 420. Л. 35-36. Заверенная копия.</w:t>
      </w:r>
    </w:p>
    <w:p w14:paraId="61BB39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Далее помещены приложения: № 3 — План производ</w:t>
      </w:r>
      <w:r w:rsidRPr="00F90EAE">
        <w:rPr>
          <w:color w:val="000000" w:themeColor="text1"/>
          <w:sz w:val="16"/>
          <w:szCs w:val="16"/>
        </w:rPr>
        <w:softHyphen/>
        <w:t>ства и поставки узловых сборок и деталей к ППШ пред</w:t>
      </w:r>
      <w:r w:rsidRPr="00F90EAE">
        <w:rPr>
          <w:color w:val="000000" w:themeColor="text1"/>
          <w:sz w:val="16"/>
          <w:szCs w:val="16"/>
        </w:rPr>
        <w:softHyphen/>
        <w:t>приятиям, изготовляющим их в июне-июле 1945 г. для ремонтного управления ГАУ КА; № 4 — Ведомость коо</w:t>
      </w:r>
      <w:r w:rsidRPr="00F90EAE">
        <w:rPr>
          <w:color w:val="000000" w:themeColor="text1"/>
          <w:sz w:val="16"/>
          <w:szCs w:val="16"/>
        </w:rPr>
        <w:softHyphen/>
        <w:t>перированных изделий и материалов, надлежащих по</w:t>
      </w:r>
      <w:r w:rsidRPr="00F90EAE">
        <w:rPr>
          <w:color w:val="000000" w:themeColor="text1"/>
          <w:sz w:val="16"/>
          <w:szCs w:val="16"/>
        </w:rPr>
        <w:softHyphen/>
        <w:t>ставке заводам, производящим предметы вооружения в июне-июле 1945 г.; № 5 — Ведомости кооперированных изделий и материалов, подлежащих поставке заводам Наркомата Вооружения в июне-июле 1945 г. Поставщи</w:t>
      </w:r>
      <w:r w:rsidRPr="00F90EAE">
        <w:rPr>
          <w:color w:val="000000" w:themeColor="text1"/>
          <w:sz w:val="16"/>
          <w:szCs w:val="16"/>
        </w:rPr>
        <w:softHyphen/>
        <w:t>ки: Наркомтанкопром, Наркомрезинпром, Наркомэлект-ропром, Наркомавиапром, Наркомбоеприпасов, Нар</w:t>
      </w:r>
      <w:r w:rsidRPr="00F90EAE">
        <w:rPr>
          <w:color w:val="000000" w:themeColor="text1"/>
          <w:sz w:val="16"/>
          <w:szCs w:val="16"/>
        </w:rPr>
        <w:softHyphen/>
        <w:t>ком.мином.вооружения; далее — ведомость поставки кис</w:t>
      </w:r>
      <w:r w:rsidRPr="00F90EAE">
        <w:rPr>
          <w:color w:val="000000" w:themeColor="text1"/>
          <w:sz w:val="16"/>
          <w:szCs w:val="16"/>
        </w:rPr>
        <w:softHyphen/>
        <w:t>лорода и ацетилена заводам по производству вооружений и ведомости по различным другим видам поставок.</w:t>
      </w:r>
    </w:p>
    <w:p w14:paraId="6699ACC7"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РЦХИДНИ. Ф. 644. Оп. 1. Д. 420. Л. 37-80. Заверенные копии (11461).</w:t>
      </w:r>
    </w:p>
    <w:p w14:paraId="308640DC" w14:textId="77777777" w:rsidR="00665165" w:rsidRPr="00F90EAE" w:rsidRDefault="00665165" w:rsidP="00F90EAE">
      <w:pPr>
        <w:widowControl w:val="0"/>
        <w:autoSpaceDE w:val="0"/>
        <w:autoSpaceDN w:val="0"/>
        <w:adjustRightInd w:val="0"/>
        <w:jc w:val="both"/>
        <w:rPr>
          <w:color w:val="000000" w:themeColor="text1"/>
          <w:sz w:val="16"/>
          <w:szCs w:val="16"/>
        </w:rPr>
      </w:pPr>
    </w:p>
    <w:p w14:paraId="297307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8804 О мероприятиях по перестройке промышленности в связи с сокращением производства боеприпасов. РГАНИР, Фонд ГКО, д. 420, лл. 81-89, 90-156 (11012).</w:t>
      </w:r>
    </w:p>
    <w:p w14:paraId="3CEDA97D" w14:textId="77777777" w:rsidR="00665165" w:rsidRPr="00F90EAE" w:rsidRDefault="00665165" w:rsidP="00F90EAE">
      <w:pPr>
        <w:autoSpaceDE w:val="0"/>
        <w:autoSpaceDN w:val="0"/>
        <w:adjustRightInd w:val="0"/>
        <w:jc w:val="both"/>
        <w:rPr>
          <w:color w:val="000000" w:themeColor="text1"/>
          <w:sz w:val="16"/>
          <w:szCs w:val="16"/>
        </w:rPr>
      </w:pPr>
    </w:p>
    <w:p w14:paraId="048BF7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 мая 1945 г. вышло Постановление ГОКО №-8804сс О мероприятиях по перестройке промышленности в связи с сокращением производства боеприпасов</w:t>
      </w:r>
    </w:p>
    <w:p w14:paraId="089660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Строго секретно</w:t>
      </w:r>
    </w:p>
    <w:p w14:paraId="0BF653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03F246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0088DE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В связи с уменьшением плана поставки боеприпасов Наркомату Обороны и Наркомвоенморфлоту утвердить план производства элементов боеприпасов на июнь и июль 1945 г. позаводно и в количестве согласно прило</w:t>
      </w:r>
      <w:r w:rsidRPr="00F90EAE">
        <w:rPr>
          <w:color w:val="000000" w:themeColor="text1"/>
          <w:sz w:val="16"/>
          <w:szCs w:val="16"/>
        </w:rPr>
        <w:softHyphen/>
        <w:t>жениям № 1-15, в том числе (в тыс. штук):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1581"/>
        <w:gridCol w:w="1581"/>
      </w:tblGrid>
      <w:tr w:rsidR="00561F31" w:rsidRPr="00F90EAE" w14:paraId="4051951D" w14:textId="77777777">
        <w:tc>
          <w:tcPr>
            <w:tcW w:w="8046" w:type="dxa"/>
            <w:tcBorders>
              <w:top w:val="single" w:sz="12" w:space="0" w:color="auto"/>
            </w:tcBorders>
          </w:tcPr>
          <w:p w14:paraId="1DD8EB18" w14:textId="77777777" w:rsidR="00665165" w:rsidRPr="00F90EAE" w:rsidRDefault="00665165" w:rsidP="00F90EAE">
            <w:pPr>
              <w:autoSpaceDE w:val="0"/>
              <w:autoSpaceDN w:val="0"/>
              <w:adjustRightInd w:val="0"/>
              <w:jc w:val="both"/>
              <w:rPr>
                <w:color w:val="000000" w:themeColor="text1"/>
                <w:sz w:val="16"/>
                <w:szCs w:val="16"/>
              </w:rPr>
            </w:pPr>
          </w:p>
        </w:tc>
        <w:tc>
          <w:tcPr>
            <w:tcW w:w="1581" w:type="dxa"/>
            <w:tcBorders>
              <w:top w:val="single" w:sz="12" w:space="0" w:color="auto"/>
            </w:tcBorders>
          </w:tcPr>
          <w:p w14:paraId="25BFB2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 на июнь</w:t>
            </w:r>
          </w:p>
        </w:tc>
        <w:tc>
          <w:tcPr>
            <w:tcW w:w="1581" w:type="dxa"/>
            <w:tcBorders>
              <w:top w:val="single" w:sz="12" w:space="0" w:color="auto"/>
            </w:tcBorders>
          </w:tcPr>
          <w:p w14:paraId="4622CE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План на июль</w:t>
            </w:r>
          </w:p>
        </w:tc>
      </w:tr>
      <w:tr w:rsidR="00561F31" w:rsidRPr="00F90EAE" w14:paraId="3DD22488" w14:textId="77777777">
        <w:tc>
          <w:tcPr>
            <w:tcW w:w="8046" w:type="dxa"/>
          </w:tcPr>
          <w:p w14:paraId="14D244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Корпусов 20 мм снарядов</w:t>
            </w:r>
          </w:p>
        </w:tc>
        <w:tc>
          <w:tcPr>
            <w:tcW w:w="1581" w:type="dxa"/>
          </w:tcPr>
          <w:p w14:paraId="619F15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w:t>
            </w:r>
          </w:p>
        </w:tc>
        <w:tc>
          <w:tcPr>
            <w:tcW w:w="1581" w:type="dxa"/>
          </w:tcPr>
          <w:p w14:paraId="2EF666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w:t>
            </w:r>
          </w:p>
        </w:tc>
      </w:tr>
      <w:tr w:rsidR="00561F31" w:rsidRPr="00F90EAE" w14:paraId="43DB926E" w14:textId="77777777">
        <w:tc>
          <w:tcPr>
            <w:tcW w:w="8046" w:type="dxa"/>
          </w:tcPr>
          <w:p w14:paraId="41D044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Корпусов 23 мм снарядов</w:t>
            </w:r>
          </w:p>
        </w:tc>
        <w:tc>
          <w:tcPr>
            <w:tcW w:w="1581" w:type="dxa"/>
          </w:tcPr>
          <w:p w14:paraId="6DDC28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2050</w:t>
            </w:r>
          </w:p>
        </w:tc>
        <w:tc>
          <w:tcPr>
            <w:tcW w:w="1581" w:type="dxa"/>
          </w:tcPr>
          <w:p w14:paraId="32034E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1950</w:t>
            </w:r>
          </w:p>
        </w:tc>
      </w:tr>
      <w:tr w:rsidR="00561F31" w:rsidRPr="00F90EAE" w14:paraId="3B1A2CB9" w14:textId="77777777">
        <w:tc>
          <w:tcPr>
            <w:tcW w:w="8046" w:type="dxa"/>
          </w:tcPr>
          <w:p w14:paraId="598D5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 мм</w:t>
            </w:r>
          </w:p>
        </w:tc>
        <w:tc>
          <w:tcPr>
            <w:tcW w:w="1581" w:type="dxa"/>
          </w:tcPr>
          <w:p w14:paraId="1F4DB0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1581" w:type="dxa"/>
          </w:tcPr>
          <w:p w14:paraId="02881F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r>
      <w:tr w:rsidR="00561F31" w:rsidRPr="00F90EAE" w14:paraId="4C43B1E3" w14:textId="77777777">
        <w:tc>
          <w:tcPr>
            <w:tcW w:w="8046" w:type="dxa"/>
          </w:tcPr>
          <w:p w14:paraId="76329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581" w:type="dxa"/>
          </w:tcPr>
          <w:p w14:paraId="0E58B4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1581" w:type="dxa"/>
          </w:tcPr>
          <w:p w14:paraId="7C11A7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r>
      <w:tr w:rsidR="00561F31" w:rsidRPr="00F90EAE" w14:paraId="7EF4AC99" w14:textId="77777777">
        <w:tc>
          <w:tcPr>
            <w:tcW w:w="8046" w:type="dxa"/>
          </w:tcPr>
          <w:p w14:paraId="5C0C22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w:t>
            </w:r>
          </w:p>
        </w:tc>
        <w:tc>
          <w:tcPr>
            <w:tcW w:w="1581" w:type="dxa"/>
          </w:tcPr>
          <w:p w14:paraId="5898B0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c>
          <w:tcPr>
            <w:tcW w:w="1581" w:type="dxa"/>
          </w:tcPr>
          <w:p w14:paraId="74A527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w:t>
            </w:r>
          </w:p>
        </w:tc>
      </w:tr>
      <w:tr w:rsidR="00561F31" w:rsidRPr="00F90EAE" w14:paraId="3878DBC4" w14:textId="77777777">
        <w:tc>
          <w:tcPr>
            <w:tcW w:w="8046" w:type="dxa"/>
          </w:tcPr>
          <w:p w14:paraId="0B8E74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w:t>
            </w:r>
          </w:p>
        </w:tc>
        <w:tc>
          <w:tcPr>
            <w:tcW w:w="1581" w:type="dxa"/>
          </w:tcPr>
          <w:p w14:paraId="731B03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780</w:t>
            </w:r>
          </w:p>
        </w:tc>
        <w:tc>
          <w:tcPr>
            <w:tcW w:w="1581" w:type="dxa"/>
          </w:tcPr>
          <w:p w14:paraId="6E5470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765</w:t>
            </w:r>
          </w:p>
        </w:tc>
      </w:tr>
      <w:tr w:rsidR="00561F31" w:rsidRPr="00F90EAE" w14:paraId="1937E5EB" w14:textId="77777777">
        <w:tc>
          <w:tcPr>
            <w:tcW w:w="8046" w:type="dxa"/>
          </w:tcPr>
          <w:p w14:paraId="0F93BF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581" w:type="dxa"/>
          </w:tcPr>
          <w:p w14:paraId="3237A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w:t>
            </w:r>
          </w:p>
        </w:tc>
        <w:tc>
          <w:tcPr>
            <w:tcW w:w="1581" w:type="dxa"/>
          </w:tcPr>
          <w:p w14:paraId="1D0D10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w:t>
            </w:r>
          </w:p>
        </w:tc>
      </w:tr>
      <w:tr w:rsidR="00561F31" w:rsidRPr="00F90EAE" w14:paraId="59AE079D" w14:textId="77777777">
        <w:tc>
          <w:tcPr>
            <w:tcW w:w="8046" w:type="dxa"/>
          </w:tcPr>
          <w:p w14:paraId="107C30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Корпусов 100 мм снарядов</w:t>
            </w:r>
          </w:p>
        </w:tc>
        <w:tc>
          <w:tcPr>
            <w:tcW w:w="1581" w:type="dxa"/>
          </w:tcPr>
          <w:p w14:paraId="076A01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c>
          <w:tcPr>
            <w:tcW w:w="1581" w:type="dxa"/>
          </w:tcPr>
          <w:p w14:paraId="08C070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w:t>
            </w:r>
          </w:p>
        </w:tc>
      </w:tr>
      <w:tr w:rsidR="00561F31" w:rsidRPr="00F90EAE" w14:paraId="475B8FC0" w14:textId="77777777">
        <w:tc>
          <w:tcPr>
            <w:tcW w:w="8046" w:type="dxa"/>
          </w:tcPr>
          <w:p w14:paraId="0466E92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w:t>
            </w:r>
          </w:p>
        </w:tc>
        <w:tc>
          <w:tcPr>
            <w:tcW w:w="1581" w:type="dxa"/>
          </w:tcPr>
          <w:p w14:paraId="7B0C46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450</w:t>
            </w:r>
          </w:p>
        </w:tc>
        <w:tc>
          <w:tcPr>
            <w:tcW w:w="1581" w:type="dxa"/>
          </w:tcPr>
          <w:p w14:paraId="21013B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450</w:t>
            </w:r>
          </w:p>
        </w:tc>
      </w:tr>
      <w:tr w:rsidR="00561F31" w:rsidRPr="00F90EAE" w14:paraId="41982D11" w14:textId="77777777">
        <w:tc>
          <w:tcPr>
            <w:tcW w:w="8046" w:type="dxa"/>
          </w:tcPr>
          <w:p w14:paraId="1EA697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152</w:t>
            </w:r>
          </w:p>
        </w:tc>
        <w:tc>
          <w:tcPr>
            <w:tcW w:w="1581" w:type="dxa"/>
          </w:tcPr>
          <w:p w14:paraId="7801D4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203</w:t>
            </w:r>
          </w:p>
        </w:tc>
        <w:tc>
          <w:tcPr>
            <w:tcW w:w="1581" w:type="dxa"/>
          </w:tcPr>
          <w:p w14:paraId="79475B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203</w:t>
            </w:r>
          </w:p>
        </w:tc>
      </w:tr>
      <w:tr w:rsidR="00561F31" w:rsidRPr="00F90EAE" w14:paraId="32A1000B" w14:textId="77777777">
        <w:tc>
          <w:tcPr>
            <w:tcW w:w="8046" w:type="dxa"/>
          </w:tcPr>
          <w:p w14:paraId="0605C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203</w:t>
            </w:r>
          </w:p>
        </w:tc>
        <w:tc>
          <w:tcPr>
            <w:tcW w:w="1581" w:type="dxa"/>
          </w:tcPr>
          <w:p w14:paraId="27C833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c>
          <w:tcPr>
            <w:tcW w:w="1581" w:type="dxa"/>
          </w:tcPr>
          <w:p w14:paraId="4675DC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r>
      <w:tr w:rsidR="00561F31" w:rsidRPr="00F90EAE" w14:paraId="14D8E10D" w14:textId="77777777">
        <w:tc>
          <w:tcPr>
            <w:tcW w:w="8046" w:type="dxa"/>
          </w:tcPr>
          <w:p w14:paraId="658B7C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снарядов М-13ДЛ</w:t>
            </w:r>
          </w:p>
        </w:tc>
        <w:tc>
          <w:tcPr>
            <w:tcW w:w="1581" w:type="dxa"/>
          </w:tcPr>
          <w:p w14:paraId="332A0C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w:t>
            </w:r>
          </w:p>
        </w:tc>
        <w:tc>
          <w:tcPr>
            <w:tcW w:w="1581" w:type="dxa"/>
          </w:tcPr>
          <w:p w14:paraId="6F330F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58E447BA" w14:textId="77777777">
        <w:tc>
          <w:tcPr>
            <w:tcW w:w="8046" w:type="dxa"/>
          </w:tcPr>
          <w:p w14:paraId="5F3E64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М-31</w:t>
            </w:r>
          </w:p>
        </w:tc>
        <w:tc>
          <w:tcPr>
            <w:tcW w:w="1581" w:type="dxa"/>
          </w:tcPr>
          <w:p w14:paraId="77A9EA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c>
          <w:tcPr>
            <w:tcW w:w="1581" w:type="dxa"/>
          </w:tcPr>
          <w:p w14:paraId="4C9A5C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1305676C" w14:textId="77777777">
        <w:tc>
          <w:tcPr>
            <w:tcW w:w="8046" w:type="dxa"/>
          </w:tcPr>
          <w:p w14:paraId="48A083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w:t>
            </w:r>
          </w:p>
        </w:tc>
        <w:tc>
          <w:tcPr>
            <w:tcW w:w="1581" w:type="dxa"/>
          </w:tcPr>
          <w:p w14:paraId="50E4E3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c>
          <w:tcPr>
            <w:tcW w:w="1581" w:type="dxa"/>
          </w:tcPr>
          <w:p w14:paraId="77EE7B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w:t>
            </w:r>
          </w:p>
        </w:tc>
      </w:tr>
      <w:tr w:rsidR="00561F31" w:rsidRPr="00F90EAE" w14:paraId="27175312" w14:textId="77777777">
        <w:tc>
          <w:tcPr>
            <w:tcW w:w="8046" w:type="dxa"/>
          </w:tcPr>
          <w:p w14:paraId="515D66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120</w:t>
            </w:r>
          </w:p>
        </w:tc>
        <w:tc>
          <w:tcPr>
            <w:tcW w:w="1581" w:type="dxa"/>
          </w:tcPr>
          <w:p w14:paraId="072FA6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w:t>
            </w:r>
          </w:p>
        </w:tc>
        <w:tc>
          <w:tcPr>
            <w:tcW w:w="1581" w:type="dxa"/>
          </w:tcPr>
          <w:p w14:paraId="4A046E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155</w:t>
            </w:r>
          </w:p>
        </w:tc>
      </w:tr>
      <w:tr w:rsidR="00561F31" w:rsidRPr="00F90EAE" w14:paraId="14C79FF6" w14:textId="77777777">
        <w:tc>
          <w:tcPr>
            <w:tcW w:w="8046" w:type="dxa"/>
          </w:tcPr>
          <w:p w14:paraId="44DA9A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w:t>
            </w:r>
          </w:p>
        </w:tc>
        <w:tc>
          <w:tcPr>
            <w:tcW w:w="1581" w:type="dxa"/>
          </w:tcPr>
          <w:p w14:paraId="1154C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w:t>
            </w:r>
          </w:p>
        </w:tc>
        <w:tc>
          <w:tcPr>
            <w:tcW w:w="1581" w:type="dxa"/>
          </w:tcPr>
          <w:p w14:paraId="7D6131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w:t>
            </w:r>
          </w:p>
        </w:tc>
      </w:tr>
      <w:tr w:rsidR="00561F31" w:rsidRPr="00F90EAE" w14:paraId="22A223C3" w14:textId="77777777">
        <w:tc>
          <w:tcPr>
            <w:tcW w:w="8046" w:type="dxa"/>
          </w:tcPr>
          <w:p w14:paraId="49506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Корпусов авиабомб ФАБ-2000</w:t>
            </w:r>
          </w:p>
        </w:tc>
        <w:tc>
          <w:tcPr>
            <w:tcW w:w="1581" w:type="dxa"/>
          </w:tcPr>
          <w:p w14:paraId="2D7EAB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шт.</w:t>
            </w:r>
          </w:p>
        </w:tc>
        <w:tc>
          <w:tcPr>
            <w:tcW w:w="1581" w:type="dxa"/>
          </w:tcPr>
          <w:p w14:paraId="6F797C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шт.</w:t>
            </w:r>
          </w:p>
        </w:tc>
      </w:tr>
      <w:tr w:rsidR="00561F31" w:rsidRPr="00F90EAE" w14:paraId="5C385FFA" w14:textId="77777777">
        <w:tc>
          <w:tcPr>
            <w:tcW w:w="8046" w:type="dxa"/>
          </w:tcPr>
          <w:p w14:paraId="4142B3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ФАБ-1000</w:t>
            </w:r>
          </w:p>
        </w:tc>
        <w:tc>
          <w:tcPr>
            <w:tcW w:w="1581" w:type="dxa"/>
          </w:tcPr>
          <w:p w14:paraId="36ED10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шт.</w:t>
            </w:r>
          </w:p>
        </w:tc>
        <w:tc>
          <w:tcPr>
            <w:tcW w:w="1581" w:type="dxa"/>
          </w:tcPr>
          <w:p w14:paraId="3F91EC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 шт.</w:t>
            </w:r>
          </w:p>
        </w:tc>
      </w:tr>
      <w:tr w:rsidR="00561F31" w:rsidRPr="00F90EAE" w14:paraId="3B8D392F" w14:textId="77777777">
        <w:tc>
          <w:tcPr>
            <w:tcW w:w="8046" w:type="dxa"/>
          </w:tcPr>
          <w:p w14:paraId="79C6F2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ФАБ-250</w:t>
            </w:r>
          </w:p>
        </w:tc>
        <w:tc>
          <w:tcPr>
            <w:tcW w:w="1581" w:type="dxa"/>
          </w:tcPr>
          <w:p w14:paraId="605316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шт.</w:t>
            </w:r>
          </w:p>
        </w:tc>
        <w:tc>
          <w:tcPr>
            <w:tcW w:w="1581" w:type="dxa"/>
          </w:tcPr>
          <w:p w14:paraId="6E9DEC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 шт.</w:t>
            </w:r>
          </w:p>
        </w:tc>
      </w:tr>
      <w:tr w:rsidR="00561F31" w:rsidRPr="00F90EAE" w14:paraId="7CB023E1" w14:textId="77777777">
        <w:tc>
          <w:tcPr>
            <w:tcW w:w="8046" w:type="dxa"/>
          </w:tcPr>
          <w:p w14:paraId="33D78A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ручных противопехотных гранат</w:t>
            </w:r>
          </w:p>
        </w:tc>
        <w:tc>
          <w:tcPr>
            <w:tcW w:w="1581" w:type="dxa"/>
          </w:tcPr>
          <w:p w14:paraId="6EEE1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750</w:t>
            </w:r>
          </w:p>
        </w:tc>
        <w:tc>
          <w:tcPr>
            <w:tcW w:w="1581" w:type="dxa"/>
          </w:tcPr>
          <w:p w14:paraId="3E37C5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725</w:t>
            </w:r>
          </w:p>
        </w:tc>
      </w:tr>
      <w:tr w:rsidR="00561F31" w:rsidRPr="00F90EAE" w14:paraId="48420ECF" w14:textId="77777777">
        <w:tc>
          <w:tcPr>
            <w:tcW w:w="8046" w:type="dxa"/>
            <w:tcBorders>
              <w:bottom w:val="single" w:sz="12" w:space="0" w:color="auto"/>
            </w:tcBorders>
          </w:tcPr>
          <w:p w14:paraId="0C5D5D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противотанковых мин</w:t>
            </w:r>
          </w:p>
        </w:tc>
        <w:tc>
          <w:tcPr>
            <w:tcW w:w="1581" w:type="dxa"/>
            <w:tcBorders>
              <w:bottom w:val="single" w:sz="12" w:space="0" w:color="auto"/>
            </w:tcBorders>
          </w:tcPr>
          <w:p w14:paraId="74D26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145</w:t>
            </w:r>
          </w:p>
        </w:tc>
        <w:tc>
          <w:tcPr>
            <w:tcW w:w="1581" w:type="dxa"/>
            <w:tcBorders>
              <w:bottom w:val="single" w:sz="12" w:space="0" w:color="auto"/>
            </w:tcBorders>
          </w:tcPr>
          <w:p w14:paraId="464460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w:t>
            </w:r>
          </w:p>
        </w:tc>
      </w:tr>
    </w:tbl>
    <w:p w14:paraId="293EE4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Освободить полностью от производства элементов боеприпасов с июня 1945 г. предприятия согласно при</w:t>
      </w:r>
      <w:r w:rsidRPr="00F90EAE">
        <w:rPr>
          <w:color w:val="000000" w:themeColor="text1"/>
          <w:sz w:val="16"/>
          <w:szCs w:val="16"/>
        </w:rPr>
        <w:softHyphen/>
        <w:t>ложению № 16 и перевести их на выпуск гражданской продукции.</w:t>
      </w:r>
    </w:p>
    <w:p w14:paraId="6CD00EE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Обязать Наркомбоеприпасов (т. Ванникова), Нарком-вооружения (т. Устинова), Наркомтанкопром (т. Малы</w:t>
      </w:r>
      <w:r w:rsidRPr="00F90EAE">
        <w:rPr>
          <w:color w:val="000000" w:themeColor="text1"/>
          <w:sz w:val="16"/>
          <w:szCs w:val="16"/>
        </w:rPr>
        <w:softHyphen/>
        <w:t>шева), Наркомавиапром (т. Шахурина), Наркомсредмаш (т. Акопова), Наркомсудпром (т. Носенко), Наркоммин-вооружения (т. Паршина), Наркомчермет (т. Тевосяна), Наркомцветмет (т. Ломако), Наркомэлектростанций (т. Жмерина), Наркомэлектропром (т. Кабанова), Нарком-станкостроения (т. Ефремова), Наркомтяжмаш (т. Казако</w:t>
      </w:r>
      <w:r w:rsidRPr="00F90EAE">
        <w:rPr>
          <w:color w:val="000000" w:themeColor="text1"/>
          <w:sz w:val="16"/>
          <w:szCs w:val="16"/>
        </w:rPr>
        <w:softHyphen/>
        <w:t>ва), НКПС (т. Ковалева), Наркомхимпром (т. Первухина), Наркомтекстиль СССР (т. Седина), Наркомлегпром СССР (т. Лукина), Наркоммясомолпром СССР (т.Смирнова), Наркомторг СССР (т. Любимова); Наркомлес СССР (т. Салтыкова), Наркомуголь (т. Вахрушева), Наркомнефть (т. Байбакова), Управление промкооперации при СНК РСФСР (т. Кравчук), Мосгорисполком (т. Попова), Нар-комместпром РСФСР (т. Смиряева), Наркомпищепром СССР (т. Зотова), Наркомстрой (т. Гинзбурга), Наркомст-ройматериалов СССР (т. Сочнина), Наркомхоз РСФСР (т. Макарова), Наркомбумпром (т. Орлова), Наркомрезин-пром (т. Митрохина), Наркомморфлот (т. Ширшова) и Наркомречфлот (т. Шашкова) представить в Совнарком СССР и Госплан СССР свои предложения о номенклатуре и размерах производства гражданской продукции на осво</w:t>
      </w:r>
      <w:r w:rsidRPr="00F90EAE">
        <w:rPr>
          <w:color w:val="000000" w:themeColor="text1"/>
          <w:sz w:val="16"/>
          <w:szCs w:val="16"/>
        </w:rPr>
        <w:softHyphen/>
        <w:t>бождаемых мощностях от производства боеприпасов в пя</w:t>
      </w:r>
      <w:r w:rsidRPr="00F90EAE">
        <w:rPr>
          <w:color w:val="000000" w:themeColor="text1"/>
          <w:sz w:val="16"/>
          <w:szCs w:val="16"/>
        </w:rPr>
        <w:softHyphen/>
        <w:t xml:space="preserve">тидневных срок — на июнь и в декадных срок — </w:t>
      </w:r>
      <w:r w:rsidRPr="00F90EAE">
        <w:rPr>
          <w:color w:val="000000" w:themeColor="text1"/>
          <w:sz w:val="16"/>
          <w:szCs w:val="16"/>
          <w:lang w:val="en-US"/>
        </w:rPr>
        <w:t>III</w:t>
      </w:r>
      <w:r w:rsidRPr="00F90EAE">
        <w:rPr>
          <w:color w:val="000000" w:themeColor="text1"/>
          <w:sz w:val="16"/>
          <w:szCs w:val="16"/>
        </w:rPr>
        <w:t xml:space="preserve"> квартал 1945 г., а также графики восстановления и освоения этой продукции.</w:t>
      </w:r>
    </w:p>
    <w:p w14:paraId="04D7E9E5"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 Ввиду сокращения производства элементов боепри</w:t>
      </w:r>
      <w:r w:rsidRPr="00F90EAE">
        <w:rPr>
          <w:color w:val="000000" w:themeColor="text1"/>
          <w:sz w:val="16"/>
          <w:szCs w:val="16"/>
        </w:rPr>
        <w:softHyphen/>
        <w:t xml:space="preserve">пасов уменьшить фонды на </w:t>
      </w:r>
      <w:r w:rsidRPr="00F90EAE">
        <w:rPr>
          <w:color w:val="000000" w:themeColor="text1"/>
          <w:sz w:val="16"/>
          <w:szCs w:val="16"/>
          <w:lang w:val="en-US"/>
        </w:rPr>
        <w:t>II</w:t>
      </w:r>
      <w:r w:rsidRPr="00F90EAE">
        <w:rPr>
          <w:color w:val="000000" w:themeColor="text1"/>
          <w:sz w:val="16"/>
          <w:szCs w:val="16"/>
        </w:rPr>
        <w:t xml:space="preserve"> квартал 1945 г. металлов, Инструмента, спецукупорки, химикатов и топлива и утвердить поставку их в июне в количествах и по наркома-</w:t>
      </w:r>
      <w:r w:rsidRPr="00F90EAE">
        <w:rPr>
          <w:color w:val="000000" w:themeColor="text1"/>
          <w:sz w:val="16"/>
          <w:szCs w:val="16"/>
          <w:vertAlign w:val="superscript"/>
        </w:rPr>
        <w:t>&lt;1а</w:t>
      </w:r>
      <w:r w:rsidRPr="00F90EAE">
        <w:rPr>
          <w:color w:val="000000" w:themeColor="text1"/>
          <w:sz w:val="16"/>
          <w:szCs w:val="16"/>
        </w:rPr>
        <w:t>М согласно приложению № 17, в том числе: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930"/>
        <w:gridCol w:w="1066"/>
        <w:gridCol w:w="1469"/>
        <w:gridCol w:w="2026"/>
      </w:tblGrid>
      <w:tr w:rsidR="00561F31" w:rsidRPr="00F90EAE" w14:paraId="1ACD957B" w14:textId="77777777">
        <w:trPr>
          <w:trHeight w:val="384"/>
        </w:trPr>
        <w:tc>
          <w:tcPr>
            <w:tcW w:w="1930" w:type="dxa"/>
            <w:tcBorders>
              <w:top w:val="single" w:sz="12" w:space="0" w:color="auto"/>
            </w:tcBorders>
          </w:tcPr>
          <w:p w14:paraId="6A3497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EB775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top w:val="single" w:sz="12" w:space="0" w:color="auto"/>
            </w:tcBorders>
          </w:tcPr>
          <w:p w14:paraId="5F1C64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Единица измерения</w:t>
            </w:r>
          </w:p>
          <w:p w14:paraId="5F5934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Borders>
              <w:top w:val="single" w:sz="12" w:space="0" w:color="auto"/>
            </w:tcBorders>
          </w:tcPr>
          <w:p w14:paraId="7C32F5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Уменьшаются фонды на </w:t>
            </w:r>
            <w:r w:rsidRPr="00F90EAE">
              <w:rPr>
                <w:color w:val="000000" w:themeColor="text1"/>
                <w:sz w:val="16"/>
                <w:szCs w:val="16"/>
                <w:lang w:val="en-US"/>
              </w:rPr>
              <w:t>II</w:t>
            </w:r>
            <w:r w:rsidRPr="00F90EAE">
              <w:rPr>
                <w:color w:val="000000" w:themeColor="text1"/>
                <w:sz w:val="16"/>
                <w:szCs w:val="16"/>
              </w:rPr>
              <w:t xml:space="preserve"> кв.</w:t>
            </w:r>
          </w:p>
          <w:p w14:paraId="49F158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Borders>
              <w:top w:val="single" w:sz="12" w:space="0" w:color="auto"/>
            </w:tcBorders>
          </w:tcPr>
          <w:p w14:paraId="4AD4B5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Устанавливаются поставки в июне</w:t>
            </w:r>
          </w:p>
          <w:p w14:paraId="5D4E2A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912A159" w14:textId="77777777">
        <w:trPr>
          <w:trHeight w:val="211"/>
        </w:trPr>
        <w:tc>
          <w:tcPr>
            <w:tcW w:w="1930" w:type="dxa"/>
          </w:tcPr>
          <w:p w14:paraId="5BEC45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22CA9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67B8B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5CB2A9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4D1507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3ADBD2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1E1DAB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351ED8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DEF078A" w14:textId="77777777">
        <w:trPr>
          <w:trHeight w:val="336"/>
        </w:trPr>
        <w:tc>
          <w:tcPr>
            <w:tcW w:w="1930" w:type="dxa"/>
          </w:tcPr>
          <w:p w14:paraId="4AC4A1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Прокат черных металлов</w:t>
            </w:r>
          </w:p>
          <w:p w14:paraId="7473D6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1B0579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 тонн</w:t>
            </w:r>
          </w:p>
          <w:p w14:paraId="3C121D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1E1205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w:t>
            </w:r>
          </w:p>
          <w:p w14:paraId="347A3B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503EE9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w:t>
            </w:r>
          </w:p>
          <w:p w14:paraId="18966D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7B75F0D" w14:textId="77777777">
        <w:trPr>
          <w:trHeight w:val="240"/>
        </w:trPr>
        <w:tc>
          <w:tcPr>
            <w:tcW w:w="1930" w:type="dxa"/>
          </w:tcPr>
          <w:p w14:paraId="3601292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Трубы катаные</w:t>
            </w:r>
          </w:p>
          <w:p w14:paraId="659485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0DDFB7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A7CDE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037000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w:t>
            </w:r>
          </w:p>
          <w:p w14:paraId="7AC4BD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68B3604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448184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0287DA4" w14:textId="77777777">
        <w:trPr>
          <w:trHeight w:val="211"/>
        </w:trPr>
        <w:tc>
          <w:tcPr>
            <w:tcW w:w="1930" w:type="dxa"/>
          </w:tcPr>
          <w:p w14:paraId="10C646E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Чугун литейный</w:t>
            </w:r>
          </w:p>
          <w:p w14:paraId="2199A7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1ECE59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w:t>
            </w:r>
          </w:p>
          <w:p w14:paraId="6D50F1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555C9C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w:t>
            </w:r>
          </w:p>
          <w:p w14:paraId="5CEB0C3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40419B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2FEE33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6D440B2" w14:textId="77777777">
        <w:trPr>
          <w:trHeight w:val="211"/>
        </w:trPr>
        <w:tc>
          <w:tcPr>
            <w:tcW w:w="1930" w:type="dxa"/>
          </w:tcPr>
          <w:p w14:paraId="0C68DE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Аммиак</w:t>
            </w:r>
          </w:p>
          <w:p w14:paraId="2E218B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7E1EA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0EE98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2C67E7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2926385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3A4BF8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0,7</w:t>
            </w:r>
          </w:p>
          <w:p w14:paraId="0F9309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3ECB63D4" w14:textId="77777777">
        <w:trPr>
          <w:trHeight w:val="259"/>
        </w:trPr>
        <w:tc>
          <w:tcPr>
            <w:tcW w:w="1930" w:type="dxa"/>
          </w:tcPr>
          <w:p w14:paraId="67C2A0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Крепкая азотная кислота</w:t>
            </w:r>
          </w:p>
          <w:p w14:paraId="308EF6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778E1A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A76C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2F0A0E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w:t>
            </w:r>
          </w:p>
          <w:p w14:paraId="2FD24E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322A961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w:t>
            </w:r>
          </w:p>
          <w:p w14:paraId="26CDC3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C2AB8C5" w14:textId="77777777">
        <w:trPr>
          <w:trHeight w:val="240"/>
        </w:trPr>
        <w:tc>
          <w:tcPr>
            <w:tcW w:w="1930" w:type="dxa"/>
          </w:tcPr>
          <w:p w14:paraId="1BC18E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Олеум</w:t>
            </w:r>
          </w:p>
          <w:p w14:paraId="6B87F0C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92CC56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_”_</w:t>
            </w:r>
          </w:p>
          <w:p w14:paraId="259EDD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5A9928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w:t>
            </w:r>
          </w:p>
          <w:p w14:paraId="40BB2A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6766CB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20,6</w:t>
            </w:r>
          </w:p>
          <w:p w14:paraId="6D9F87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480C0AD0" w14:textId="77777777">
        <w:trPr>
          <w:trHeight w:val="221"/>
        </w:trPr>
        <w:tc>
          <w:tcPr>
            <w:tcW w:w="1930" w:type="dxa"/>
          </w:tcPr>
          <w:p w14:paraId="2DFF0E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Аммиачная селитра</w:t>
            </w:r>
          </w:p>
          <w:p w14:paraId="2CE1A8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6815D1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80022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2831B9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16B473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23B39D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3CA95A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28424A9F" w14:textId="77777777">
        <w:trPr>
          <w:trHeight w:val="221"/>
        </w:trPr>
        <w:tc>
          <w:tcPr>
            <w:tcW w:w="1930" w:type="dxa"/>
          </w:tcPr>
          <w:p w14:paraId="11079F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Целлюлоза</w:t>
            </w:r>
          </w:p>
          <w:p w14:paraId="6C8B99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427F40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__ » __</w:t>
            </w:r>
          </w:p>
          <w:p w14:paraId="26E554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46D972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w:t>
            </w:r>
          </w:p>
          <w:p w14:paraId="1F0B2D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0AE941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318A78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0D7244BA" w14:textId="77777777">
        <w:trPr>
          <w:trHeight w:val="240"/>
        </w:trPr>
        <w:tc>
          <w:tcPr>
            <w:tcW w:w="1930" w:type="dxa"/>
          </w:tcPr>
          <w:p w14:paraId="12358DF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Патронная бумага</w:t>
            </w:r>
          </w:p>
          <w:p w14:paraId="2B939B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8BFE5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ТОНН</w:t>
            </w:r>
          </w:p>
          <w:p w14:paraId="54C875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2942FF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w:t>
            </w:r>
          </w:p>
          <w:p w14:paraId="0A493E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36F4AA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w:t>
            </w:r>
          </w:p>
          <w:p w14:paraId="634C9E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4AB3698" w14:textId="77777777">
        <w:trPr>
          <w:trHeight w:val="202"/>
        </w:trPr>
        <w:tc>
          <w:tcPr>
            <w:tcW w:w="1930" w:type="dxa"/>
          </w:tcPr>
          <w:p w14:paraId="73C350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Картон</w:t>
            </w:r>
          </w:p>
          <w:p w14:paraId="26F0B8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7BF0E5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 » _</w:t>
            </w:r>
          </w:p>
          <w:p w14:paraId="63A908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66A6B6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460</w:t>
            </w:r>
          </w:p>
          <w:p w14:paraId="24BA465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192A36E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540</w:t>
            </w:r>
          </w:p>
          <w:p w14:paraId="038808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C1A7A31" w14:textId="77777777">
        <w:trPr>
          <w:trHeight w:val="221"/>
        </w:trPr>
        <w:tc>
          <w:tcPr>
            <w:tcW w:w="1930" w:type="dxa"/>
          </w:tcPr>
          <w:p w14:paraId="075A2F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Глицерин</w:t>
            </w:r>
          </w:p>
          <w:p w14:paraId="29E4AE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450C57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574F5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72F45C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350</w:t>
            </w:r>
          </w:p>
          <w:p w14:paraId="2385C61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5E0C811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350 </w:t>
            </w:r>
          </w:p>
          <w:p w14:paraId="20C2614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77B330BA" w14:textId="77777777">
        <w:trPr>
          <w:trHeight w:val="221"/>
        </w:trPr>
        <w:tc>
          <w:tcPr>
            <w:tcW w:w="1930" w:type="dxa"/>
          </w:tcPr>
          <w:p w14:paraId="7ECE99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Спирт</w:t>
            </w:r>
          </w:p>
          <w:p w14:paraId="56ECF6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BAA02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т.дкл</w:t>
            </w:r>
          </w:p>
          <w:p w14:paraId="242D39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76035B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w:t>
            </w:r>
          </w:p>
          <w:p w14:paraId="79D3AD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48B168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350 </w:t>
            </w:r>
          </w:p>
          <w:p w14:paraId="58FCDC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5823F792" w14:textId="77777777">
        <w:trPr>
          <w:trHeight w:val="240"/>
        </w:trPr>
        <w:tc>
          <w:tcPr>
            <w:tcW w:w="1930" w:type="dxa"/>
          </w:tcPr>
          <w:p w14:paraId="306153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Хлопчатобумажные ткани</w:t>
            </w:r>
          </w:p>
          <w:p w14:paraId="20C26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D8544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т.мтр</w:t>
            </w:r>
          </w:p>
          <w:p w14:paraId="5C954D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66D21C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w:t>
            </w:r>
          </w:p>
          <w:p w14:paraId="259D14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16237C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1560 </w:t>
            </w:r>
          </w:p>
          <w:p w14:paraId="6A6FA5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60EAA8E" w14:textId="77777777">
        <w:trPr>
          <w:trHeight w:val="278"/>
        </w:trPr>
        <w:tc>
          <w:tcPr>
            <w:tcW w:w="1930" w:type="dxa"/>
          </w:tcPr>
          <w:p w14:paraId="76DD7C0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Пиломатериалы для спецукупорки</w:t>
            </w:r>
          </w:p>
          <w:p w14:paraId="29EBBF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542A22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т.куб.м</w:t>
            </w:r>
          </w:p>
          <w:p w14:paraId="6F7D019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29B40E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195</w:t>
            </w:r>
          </w:p>
          <w:p w14:paraId="7BA2C0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2DC7C7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 !</w:t>
            </w:r>
          </w:p>
          <w:p w14:paraId="644715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682FFA30" w14:textId="77777777">
        <w:trPr>
          <w:trHeight w:val="211"/>
        </w:trPr>
        <w:tc>
          <w:tcPr>
            <w:tcW w:w="1930" w:type="dxa"/>
          </w:tcPr>
          <w:p w14:paraId="4BB1D1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Мазут</w:t>
            </w:r>
          </w:p>
          <w:p w14:paraId="7FCDFC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Pr>
          <w:p w14:paraId="1C5DCC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тыс.тонн</w:t>
            </w:r>
          </w:p>
          <w:p w14:paraId="556985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Pr>
          <w:p w14:paraId="4C2DD9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15F2CE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Pr>
          <w:p w14:paraId="1EF079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15,6 |</w:t>
            </w:r>
          </w:p>
          <w:p w14:paraId="0A833F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r w:rsidR="00561F31" w:rsidRPr="00F90EAE" w14:paraId="1123CAAF" w14:textId="77777777">
        <w:trPr>
          <w:trHeight w:val="365"/>
        </w:trPr>
        <w:tc>
          <w:tcPr>
            <w:tcW w:w="1930" w:type="dxa"/>
            <w:tcBorders>
              <w:bottom w:val="single" w:sz="12" w:space="0" w:color="auto"/>
            </w:tcBorders>
          </w:tcPr>
          <w:p w14:paraId="139DF1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Каменный уголь</w:t>
            </w:r>
          </w:p>
          <w:p w14:paraId="2D525B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066" w:type="dxa"/>
            <w:tcBorders>
              <w:bottom w:val="single" w:sz="12" w:space="0" w:color="auto"/>
            </w:tcBorders>
          </w:tcPr>
          <w:p w14:paraId="4B7B0A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__ „ __</w:t>
            </w:r>
          </w:p>
          <w:p w14:paraId="4A54DD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1469" w:type="dxa"/>
            <w:tcBorders>
              <w:bottom w:val="single" w:sz="12" w:space="0" w:color="auto"/>
            </w:tcBorders>
          </w:tcPr>
          <w:p w14:paraId="34C409C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w:t>
            </w:r>
          </w:p>
          <w:p w14:paraId="5FB790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c>
          <w:tcPr>
            <w:tcW w:w="2026" w:type="dxa"/>
            <w:tcBorders>
              <w:bottom w:val="single" w:sz="12" w:space="0" w:color="auto"/>
            </w:tcBorders>
          </w:tcPr>
          <w:p w14:paraId="201FFE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067352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tc>
      </w:tr>
    </w:tbl>
    <w:p w14:paraId="252362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Госплану СССР (т. Вознесенскому) в 2-дневный срок представить в ГОКО предложения об использовании металлов, материалов и топлива, снимаемых с производства боеприпасов.</w:t>
      </w:r>
    </w:p>
    <w:p w14:paraId="598AB5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В целях сохранения мобилизационных мощностей по производству элементов боеприпасов на предприятиях вне системы НКБ и на предприятиях НКБ по производ ству элементов боеприпасов, временно прекращенных производством:</w:t>
      </w:r>
    </w:p>
    <w:p w14:paraId="39672C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обязать Наркомбоеприпасов (т. Ванникова), Нар комминвооружения (т. Паршина), Наркомчермет (т. Те восяна), Наркомсредмаш (т. Акопова), Наркомвооруже ния (т. Устинова), Наркомтекстиль СССР (т. Седина), Наркомтанкопром (т. Малышева), НКВД СССР (т. Чер нышева) и Наркомбумпром (т. Орлова) сохранить цехи по производству элементов боеприпасов мощностью на выпуск согласно приложению № 18.</w:t>
      </w:r>
    </w:p>
    <w:p w14:paraId="4624B3C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Предложить указанным наркоматам содержать эти це</w:t>
      </w:r>
      <w:r w:rsidRPr="00F90EAE">
        <w:rPr>
          <w:color w:val="000000" w:themeColor="text1"/>
          <w:sz w:val="16"/>
          <w:szCs w:val="16"/>
        </w:rPr>
        <w:softHyphen/>
        <w:t>хи в полной готовности к возобновлению производства элементов боеприпасов, перечисленных в приложении;</w:t>
      </w:r>
    </w:p>
    <w:p w14:paraId="0911A6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б) обязать все Наркоматы и ведомства, перечисленные в пункте 2 настоящего постановления, а также директо</w:t>
      </w:r>
      <w:r w:rsidRPr="00F90EAE">
        <w:rPr>
          <w:color w:val="000000" w:themeColor="text1"/>
          <w:sz w:val="16"/>
          <w:szCs w:val="16"/>
        </w:rPr>
        <w:softHyphen/>
        <w:t>ров предприятий, полностью или частично освобождае</w:t>
      </w:r>
      <w:r w:rsidRPr="00F90EAE">
        <w:rPr>
          <w:color w:val="000000" w:themeColor="text1"/>
          <w:sz w:val="16"/>
          <w:szCs w:val="16"/>
        </w:rPr>
        <w:softHyphen/>
        <w:t>мых от производства боеприпасов, заложить до 1 июля с.г. в мобрезерв специальное оборудование (операцион</w:t>
      </w:r>
      <w:r w:rsidRPr="00F90EAE">
        <w:rPr>
          <w:color w:val="000000" w:themeColor="text1"/>
          <w:sz w:val="16"/>
          <w:szCs w:val="16"/>
        </w:rPr>
        <w:softHyphen/>
        <w:t>ные станки, прессы для испытания мин, снарядов и др.), приспособления и специальный инструмент, полуфабри</w:t>
      </w:r>
      <w:r w:rsidRPr="00F90EAE">
        <w:rPr>
          <w:color w:val="000000" w:themeColor="text1"/>
          <w:sz w:val="16"/>
          <w:szCs w:val="16"/>
        </w:rPr>
        <w:softHyphen/>
        <w:t>каты, специальные материалы и сырье, пригодное для производства боеприпасов, а также сохранить на осво</w:t>
      </w:r>
      <w:r w:rsidRPr="00F90EAE">
        <w:rPr>
          <w:color w:val="000000" w:themeColor="text1"/>
          <w:sz w:val="16"/>
          <w:szCs w:val="16"/>
        </w:rPr>
        <w:softHyphen/>
        <w:t>бождаемых предприятиях всю техническую документа</w:t>
      </w:r>
      <w:r w:rsidRPr="00F90EAE">
        <w:rPr>
          <w:color w:val="000000" w:themeColor="text1"/>
          <w:sz w:val="16"/>
          <w:szCs w:val="16"/>
        </w:rPr>
        <w:softHyphen/>
        <w:t>цию по производству боеприпасов, приведя ее в полное соответствие с действующим технологическим процессом к моменту окончания производства их;</w:t>
      </w:r>
    </w:p>
    <w:p w14:paraId="0531E6A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предупредить всех директоров предприятий, частично и полностью освобождаемых от производства боеприпа</w:t>
      </w:r>
      <w:r w:rsidRPr="00F90EAE">
        <w:rPr>
          <w:color w:val="000000" w:themeColor="text1"/>
          <w:sz w:val="16"/>
          <w:szCs w:val="16"/>
        </w:rPr>
        <w:softHyphen/>
        <w:t>сов, об их персональной ответственности за сохранность и сохранение в исправном состоянии мобилизационных резервов оборудования и имущества, запретив использова</w:t>
      </w:r>
      <w:r w:rsidRPr="00F90EAE">
        <w:rPr>
          <w:color w:val="000000" w:themeColor="text1"/>
          <w:sz w:val="16"/>
          <w:szCs w:val="16"/>
        </w:rPr>
        <w:softHyphen/>
        <w:t>ние их без специального разрешения Правительства;</w:t>
      </w:r>
    </w:p>
    <w:p w14:paraId="666938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разрешить Госплану СССР создать в отделе боепри</w:t>
      </w:r>
      <w:r w:rsidRPr="00F90EAE">
        <w:rPr>
          <w:color w:val="000000" w:themeColor="text1"/>
          <w:sz w:val="16"/>
          <w:szCs w:val="16"/>
        </w:rPr>
        <w:softHyphen/>
        <w:t>пасов мобилизационный сектор, возложив на него со</w:t>
      </w:r>
      <w:r w:rsidRPr="00F90EAE">
        <w:rPr>
          <w:color w:val="000000" w:themeColor="text1"/>
          <w:sz w:val="16"/>
          <w:szCs w:val="16"/>
        </w:rPr>
        <w:softHyphen/>
        <w:t>ставление и проверку выполнения мобилизационных планов по боеприпасам.</w:t>
      </w:r>
    </w:p>
    <w:p w14:paraId="6DB5F9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Наркомам и руководителям ведомств представить в ГОКО и в Госплан СССР к 15 августа 1945 года отчет о закладке в мобрезерв оборудования, инструмента, при</w:t>
      </w:r>
      <w:r w:rsidRPr="00F90EAE">
        <w:rPr>
          <w:color w:val="000000" w:themeColor="text1"/>
          <w:sz w:val="16"/>
          <w:szCs w:val="16"/>
        </w:rPr>
        <w:softHyphen/>
        <w:t>способлений, материалов и полуфабрикатов по форме Госплана СССР.</w:t>
      </w:r>
    </w:p>
    <w:p w14:paraId="792DBC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Обязать Наркомбоеприпасов (т. Ванникова) вместе с Госпланом СССР разработать и внести на утверждение Совнаркома СССР предложения о постепенном переводе рабочих, инженерно-технических работников и служащих на нормальный рабочий день и об отмене обязательных сверхурочных работ на заводах Наркомата Боеприпасов.</w:t>
      </w:r>
    </w:p>
    <w:p w14:paraId="6AB21E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Разрешить Наркомбоеприпасов (т. Ванникову) вос</w:t>
      </w:r>
      <w:r w:rsidRPr="00F90EAE">
        <w:rPr>
          <w:color w:val="000000" w:themeColor="text1"/>
          <w:sz w:val="16"/>
          <w:szCs w:val="16"/>
        </w:rPr>
        <w:softHyphen/>
        <w:t>становить с 1 июня 1945 г. для рабочих, инженерно-технических работников и служащих заводов НКБ вы</w:t>
      </w:r>
      <w:r w:rsidRPr="00F90EAE">
        <w:rPr>
          <w:color w:val="000000" w:themeColor="text1"/>
          <w:sz w:val="16"/>
          <w:szCs w:val="16"/>
        </w:rPr>
        <w:softHyphen/>
        <w:t>ходные дни и очередные отпуска, руководствуясь при этом Кодексом законов о труде.</w:t>
      </w:r>
    </w:p>
    <w:p w14:paraId="4E39CCD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В связи с частичным переводом промышленности с военной на гражданскую продукцию, разрешить Народ</w:t>
      </w:r>
      <w:r w:rsidRPr="00F90EAE">
        <w:rPr>
          <w:color w:val="000000" w:themeColor="text1"/>
          <w:sz w:val="16"/>
          <w:szCs w:val="16"/>
        </w:rPr>
        <w:softHyphen/>
        <w:t>ным Комиссарам и директорам предприятий на период освоения новых видов производства выплачивать рабо</w:t>
      </w:r>
      <w:r w:rsidRPr="00F90EAE">
        <w:rPr>
          <w:color w:val="000000" w:themeColor="text1"/>
          <w:sz w:val="16"/>
          <w:szCs w:val="16"/>
        </w:rPr>
        <w:softHyphen/>
        <w:t>чим в течение 1-2 месяцев по решению Народного Ко</w:t>
      </w:r>
      <w:r w:rsidRPr="00F90EAE">
        <w:rPr>
          <w:color w:val="000000" w:themeColor="text1"/>
          <w:sz w:val="16"/>
          <w:szCs w:val="16"/>
        </w:rPr>
        <w:softHyphen/>
        <w:t>миссара, в зависимости от сложности нового производ</w:t>
      </w:r>
      <w:r w:rsidRPr="00F90EAE">
        <w:rPr>
          <w:color w:val="000000" w:themeColor="text1"/>
          <w:sz w:val="16"/>
          <w:szCs w:val="16"/>
        </w:rPr>
        <w:softHyphen/>
        <w:t>ства (где это необходимо) среднюю месячную плату по фактическому заработку за последние три месяца.</w:t>
      </w:r>
    </w:p>
    <w:p w14:paraId="1A746E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Отменить, начиная с июня 1945 г., практику выплаты всех видов премий за своевременную поставку фондируе-мых, планируемых и изготовляемых в порядке кооперации готовых изделий, полуфабрикатов и материалов заводами и наркоматами-заказчиками — заводам и наркоматам-поставщикам по всем отраслям народного хозяйства.</w:t>
      </w:r>
    </w:p>
    <w:p w14:paraId="7FCF9E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Поручить Госплану СССР (т. Вознесенскому) совме</w:t>
      </w:r>
      <w:r w:rsidRPr="00F90EAE">
        <w:rPr>
          <w:color w:val="000000" w:themeColor="text1"/>
          <w:sz w:val="16"/>
          <w:szCs w:val="16"/>
        </w:rPr>
        <w:softHyphen/>
        <w:t>стно с Наркомфином СССР (т. Зверевым) рассмотреть предложения Наркомата Боеприпасов о частичном по</w:t>
      </w:r>
      <w:r w:rsidRPr="00F90EAE">
        <w:rPr>
          <w:color w:val="000000" w:themeColor="text1"/>
          <w:sz w:val="16"/>
          <w:szCs w:val="16"/>
        </w:rPr>
        <w:softHyphen/>
        <w:t>вышении отпускных цен на боеприпасы в связи с уменьшением их производства и представить в Совнар</w:t>
      </w:r>
      <w:r w:rsidRPr="00F90EAE">
        <w:rPr>
          <w:color w:val="000000" w:themeColor="text1"/>
          <w:sz w:val="16"/>
          <w:szCs w:val="16"/>
        </w:rPr>
        <w:softHyphen/>
        <w:t>ком СССР свое заключение, имея в виду необходимость применения новых цен с 1 июня 1945 г.</w:t>
      </w:r>
    </w:p>
    <w:p w14:paraId="5AFEE9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Разрешить, в виде исключения, всем народным ко</w:t>
      </w:r>
      <w:r w:rsidRPr="00F90EAE">
        <w:rPr>
          <w:color w:val="000000" w:themeColor="text1"/>
          <w:sz w:val="16"/>
          <w:szCs w:val="16"/>
        </w:rPr>
        <w:softHyphen/>
        <w:t>миссарам и руководителям ведомств, по согласованию с Госпланом СССР, план мая по элементам боеприпасов считать на уровне фактического выполнения.</w:t>
      </w:r>
    </w:p>
    <w:p w14:paraId="0040D1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Поручить Госплану СССР (т. Вознесенскому) в свя</w:t>
      </w:r>
      <w:r w:rsidRPr="00F90EAE">
        <w:rPr>
          <w:color w:val="000000" w:themeColor="text1"/>
          <w:sz w:val="16"/>
          <w:szCs w:val="16"/>
        </w:rPr>
        <w:softHyphen/>
        <w:t>зи с сокращением производства боеприпасов рассмотреть предложения наркоматов и ведомств о поправках к пла</w:t>
      </w:r>
      <w:r w:rsidRPr="00F90EAE">
        <w:rPr>
          <w:color w:val="000000" w:themeColor="text1"/>
          <w:sz w:val="16"/>
          <w:szCs w:val="16"/>
        </w:rPr>
        <w:softHyphen/>
        <w:t>нам на П квартал 1945 г. по валовой и товарной продукции, а также об изменениях финансовых планов и со</w:t>
      </w:r>
      <w:r w:rsidRPr="00F90EAE">
        <w:rPr>
          <w:color w:val="000000" w:themeColor="text1"/>
          <w:sz w:val="16"/>
          <w:szCs w:val="16"/>
        </w:rPr>
        <w:softHyphen/>
        <w:t>вместно с Наркомфином СССР (т. Зверевым) внести в Совнарком СССР соответствующие предложения.</w:t>
      </w:r>
    </w:p>
    <w:p w14:paraId="51A3943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Поручить комиссии в составе тт. Зверева (созыв), Новикова (ВВС), Аборенкова, Воробьева, Кузнецова (НКВМФ)</w:t>
      </w:r>
      <w:r w:rsidRPr="00F90EAE">
        <w:rPr>
          <w:color w:val="000000" w:themeColor="text1"/>
          <w:sz w:val="16"/>
          <w:szCs w:val="16"/>
          <w:vertAlign w:val="superscript"/>
        </w:rPr>
        <w:t>2</w:t>
      </w:r>
      <w:r w:rsidRPr="00F90EAE">
        <w:rPr>
          <w:color w:val="000000" w:themeColor="text1"/>
          <w:sz w:val="16"/>
          <w:szCs w:val="16"/>
        </w:rPr>
        <w:t>, Яковлева, Ванникова и Борисова рассмот</w:t>
      </w:r>
      <w:r w:rsidRPr="00F90EAE">
        <w:rPr>
          <w:color w:val="000000" w:themeColor="text1"/>
          <w:sz w:val="16"/>
          <w:szCs w:val="16"/>
        </w:rPr>
        <w:softHyphen/>
        <w:t>реть к 15.</w:t>
      </w:r>
      <w:r w:rsidRPr="00F90EAE">
        <w:rPr>
          <w:color w:val="000000" w:themeColor="text1"/>
          <w:sz w:val="16"/>
          <w:szCs w:val="16"/>
          <w:lang w:val="en-US"/>
        </w:rPr>
        <w:t>VIII</w:t>
      </w:r>
      <w:r w:rsidRPr="00F90EAE">
        <w:rPr>
          <w:color w:val="000000" w:themeColor="text1"/>
          <w:sz w:val="16"/>
          <w:szCs w:val="16"/>
        </w:rPr>
        <w:t>-1945 года вопрос об укомплектовании не</w:t>
      </w:r>
      <w:r w:rsidRPr="00F90EAE">
        <w:rPr>
          <w:color w:val="000000" w:themeColor="text1"/>
          <w:sz w:val="16"/>
          <w:szCs w:val="16"/>
        </w:rPr>
        <w:softHyphen/>
        <w:t>комплектных элементов боеприпасов, имеющихся на базах НКО СССР и НКВМФ по состоянию на 1 июня 1945 г.; а также о расчетах за некомплектные элементы боеприпасов.</w:t>
      </w:r>
    </w:p>
    <w:p w14:paraId="0B78CD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Обязать Наркомбоеприпасов (т. Ванникова) при</w:t>
      </w:r>
      <w:r w:rsidRPr="00F90EAE">
        <w:rPr>
          <w:color w:val="000000" w:themeColor="text1"/>
          <w:sz w:val="16"/>
          <w:szCs w:val="16"/>
        </w:rPr>
        <w:softHyphen/>
        <w:t>нять на снаряжательные заводы и оплатить все корпуса снарядов, мин, авиабомб и других элементов и детали боеприпасов, изготовленные на механических заводах и принятые военпредами на 1 июня 1945 года, по действу</w:t>
      </w:r>
      <w:r w:rsidRPr="00F90EAE">
        <w:rPr>
          <w:color w:val="000000" w:themeColor="text1"/>
          <w:sz w:val="16"/>
          <w:szCs w:val="16"/>
        </w:rPr>
        <w:softHyphen/>
        <w:t>ющим техническим условия, а также разрешить НКБ элементы боеприпасов, по согласованию с Госпланом СССР, заложить в мобрезерв.</w:t>
      </w:r>
    </w:p>
    <w:p w14:paraId="3480F92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Предложить т. Ванникову представить к 15 июля 1945 г. в Совнарком СССР и Госплан СССР отчет о ко</w:t>
      </w:r>
      <w:r w:rsidRPr="00F90EAE">
        <w:rPr>
          <w:color w:val="000000" w:themeColor="text1"/>
          <w:sz w:val="16"/>
          <w:szCs w:val="16"/>
        </w:rPr>
        <w:softHyphen/>
        <w:t>личестве и номенклатуре закладываемых в мобрезерв элементов боеприпасов.</w:t>
      </w:r>
    </w:p>
    <w:p w14:paraId="52E42BC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Наркомфину СССР профинансировать принятые НКБ элементы боеприпасов с заводов и предприятий других наркоматов.</w:t>
      </w:r>
    </w:p>
    <w:p w14:paraId="166F87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Поручить тт. Вознесенскому (созыв), Кузнецо</w:t>
      </w:r>
      <w:r w:rsidRPr="00F90EAE">
        <w:rPr>
          <w:color w:val="000000" w:themeColor="text1"/>
          <w:sz w:val="16"/>
          <w:szCs w:val="16"/>
        </w:rPr>
        <w:softHyphen/>
        <w:t>ву В.В., Звереву и Ванникову в 10-дневный срок внести в Оперативное бюро ГОКО свои предложения о сохране</w:t>
      </w:r>
      <w:r w:rsidRPr="00F90EAE">
        <w:rPr>
          <w:color w:val="000000" w:themeColor="text1"/>
          <w:sz w:val="16"/>
          <w:szCs w:val="16"/>
        </w:rPr>
        <w:softHyphen/>
        <w:t>нии и поощрении кадров на заводах Наркомата Боепри</w:t>
      </w:r>
      <w:r w:rsidRPr="00F90EAE">
        <w:rPr>
          <w:color w:val="000000" w:themeColor="text1"/>
          <w:sz w:val="16"/>
          <w:szCs w:val="16"/>
        </w:rPr>
        <w:softHyphen/>
        <w:t>пасов, предусмотрев особые преимущества для рабочих, инженерно-технических работников и служащих восточ</w:t>
      </w:r>
      <w:r w:rsidRPr="00F90EAE">
        <w:rPr>
          <w:color w:val="000000" w:themeColor="text1"/>
          <w:sz w:val="16"/>
          <w:szCs w:val="16"/>
        </w:rPr>
        <w:softHyphen/>
        <w:t>ных заводов.</w:t>
      </w:r>
    </w:p>
    <w:p w14:paraId="4FA81A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Обязать наркоматы, ведомства и совнаркомы союз</w:t>
      </w:r>
      <w:r w:rsidRPr="00F90EAE">
        <w:rPr>
          <w:color w:val="000000" w:themeColor="text1"/>
          <w:sz w:val="16"/>
          <w:szCs w:val="16"/>
        </w:rPr>
        <w:softHyphen/>
        <w:t>ных республик:</w:t>
      </w:r>
    </w:p>
    <w:p w14:paraId="7F1ED043"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а) провести на предприятиях, изготовлявших и изго</w:t>
      </w:r>
      <w:r w:rsidRPr="00F90EAE">
        <w:rPr>
          <w:color w:val="000000" w:themeColor="text1"/>
          <w:sz w:val="16"/>
          <w:szCs w:val="16"/>
        </w:rPr>
        <w:softHyphen/>
        <w:t>товляющих элементы боеприпасов по состоянию на</w:t>
      </w:r>
    </w:p>
    <w:p w14:paraId="5C28A16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июля 1945 г. бухгалтерскую инвентаризацию готовой продукции и незавершенного производства боеприпасов, материалов, инструмента, штампов, приспособлений и других ценностей, предназначенных для производства боеприпасов, а также всех товаро-материальных ценнос</w:t>
      </w:r>
      <w:r w:rsidRPr="00F90EAE">
        <w:rPr>
          <w:color w:val="000000" w:themeColor="text1"/>
          <w:sz w:val="16"/>
          <w:szCs w:val="16"/>
        </w:rPr>
        <w:softHyphen/>
        <w:t>тей по приостановленным и аннулированным заказам;</w:t>
      </w:r>
    </w:p>
    <w:p w14:paraId="1DC60C5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представить к 15 августа 1945 г. в Госплан СССР и Наркомфин СССР отчет о результатах инвентаризации.</w:t>
      </w:r>
    </w:p>
    <w:p w14:paraId="51D470D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 Обязать Наркомбоеприпасов (т. Ванникова):</w:t>
      </w:r>
    </w:p>
    <w:p w14:paraId="5DF914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организовать на своих заводах производство всех не</w:t>
      </w:r>
      <w:r w:rsidRPr="00F90EAE">
        <w:rPr>
          <w:color w:val="000000" w:themeColor="text1"/>
          <w:sz w:val="16"/>
          <w:szCs w:val="16"/>
        </w:rPr>
        <w:softHyphen/>
        <w:t>обходимых для сдачи комплекта элементов боеприпасов (спецукупорки, арматуры к ней, пламягасителей и других элементов), не предусмотренных к поставке со стороны;</w:t>
      </w:r>
    </w:p>
    <w:p w14:paraId="37A21D5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организовать на снаряжательных заводах мастерские по окраске и другим работам, связанным с необходимос</w:t>
      </w:r>
      <w:r w:rsidRPr="00F90EAE">
        <w:rPr>
          <w:color w:val="000000" w:themeColor="text1"/>
          <w:sz w:val="16"/>
          <w:szCs w:val="16"/>
        </w:rPr>
        <w:softHyphen/>
        <w:t>тью длительного хранения боеприпасов;</w:t>
      </w:r>
    </w:p>
    <w:p w14:paraId="614BFE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передать заводы по состоянию на 1 июня 1945 года:</w:t>
      </w:r>
    </w:p>
    <w:p w14:paraId="3B6D60F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143 (г.Москва) — Наркомсобесу РСФСР, разрешив НКБ часть специального технологического оборудования перевести на завод № 58 НКБ;</w:t>
      </w:r>
    </w:p>
    <w:p w14:paraId="6E2CA4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13 (г. Кемерово) - Наркомстрою, разрешив НКБ переадресовать оборудование на этот завод для авиабомб;</w:t>
      </w:r>
    </w:p>
    <w:p w14:paraId="41BE802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401 (г. Аша) — Наркомлесу СССР, разрешив НКБ специальное оборудование вывезти на завод № 254 НКБ.</w:t>
      </w:r>
    </w:p>
    <w:p w14:paraId="4447B4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 Обязать Наркомбоеприпасов (т. Ванникова), ГАУ КА (т. Яковлева) и Госплан СССР (т. Борисова) в десятиднев</w:t>
      </w:r>
      <w:r w:rsidRPr="00F90EAE">
        <w:rPr>
          <w:color w:val="000000" w:themeColor="text1"/>
          <w:sz w:val="16"/>
          <w:szCs w:val="16"/>
        </w:rPr>
        <w:softHyphen/>
        <w:t>ный срок представить в ГОКО совместные предложения об использовании и хранении импортных порохов.</w:t>
      </w:r>
    </w:p>
    <w:p w14:paraId="0DD467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 В связи с сокращением фондов на металл для про</w:t>
      </w:r>
      <w:r w:rsidRPr="00F90EAE">
        <w:rPr>
          <w:color w:val="000000" w:themeColor="text1"/>
          <w:sz w:val="16"/>
          <w:szCs w:val="16"/>
        </w:rPr>
        <w:softHyphen/>
        <w:t>изводства боеприпасов, разрешить НКБ (т. Ванникову) заказать в счет снарядной заготовки в июне 1945 г. ме</w:t>
      </w:r>
      <w:r w:rsidRPr="00F90EAE">
        <w:rPr>
          <w:color w:val="000000" w:themeColor="text1"/>
          <w:sz w:val="16"/>
          <w:szCs w:val="16"/>
        </w:rPr>
        <w:softHyphen/>
        <w:t>талл, необходимый для выполнения заказов по гражданс</w:t>
      </w:r>
      <w:r w:rsidRPr="00F90EAE">
        <w:rPr>
          <w:color w:val="000000" w:themeColor="text1"/>
          <w:sz w:val="16"/>
          <w:szCs w:val="16"/>
        </w:rPr>
        <w:softHyphen/>
        <w:t>кой продукции в количествах по согласованию с Госпла</w:t>
      </w:r>
      <w:r w:rsidRPr="00F90EAE">
        <w:rPr>
          <w:color w:val="000000" w:themeColor="text1"/>
          <w:sz w:val="16"/>
          <w:szCs w:val="16"/>
        </w:rPr>
        <w:softHyphen/>
        <w:t>ном СССР.</w:t>
      </w:r>
    </w:p>
    <w:p w14:paraId="28A25C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Разрешить Наркомбоеприпасов (т. Ванникову) за</w:t>
      </w:r>
      <w:r w:rsidRPr="00F90EAE">
        <w:rPr>
          <w:color w:val="000000" w:themeColor="text1"/>
          <w:sz w:val="16"/>
          <w:szCs w:val="16"/>
        </w:rPr>
        <w:softHyphen/>
        <w:t>ложить в мобрезерв в июне и Ш квартале 1945 г. гексо-гена</w:t>
      </w:r>
      <w:r w:rsidRPr="00F90EAE">
        <w:rPr>
          <w:color w:val="000000" w:themeColor="text1"/>
          <w:sz w:val="16"/>
          <w:szCs w:val="16"/>
          <w:vertAlign w:val="superscript"/>
        </w:rPr>
        <w:t>3</w:t>
      </w:r>
      <w:r w:rsidRPr="00F90EAE">
        <w:rPr>
          <w:color w:val="000000" w:themeColor="text1"/>
          <w:sz w:val="16"/>
          <w:szCs w:val="16"/>
        </w:rPr>
        <w:t xml:space="preserve"> 300 тонн, тротила</w:t>
      </w:r>
      <w:r w:rsidRPr="00F90EAE">
        <w:rPr>
          <w:color w:val="000000" w:themeColor="text1"/>
          <w:sz w:val="16"/>
          <w:szCs w:val="16"/>
          <w:vertAlign w:val="superscript"/>
        </w:rPr>
        <w:t>4</w:t>
      </w:r>
      <w:r w:rsidRPr="00F90EAE">
        <w:rPr>
          <w:color w:val="000000" w:themeColor="text1"/>
          <w:sz w:val="16"/>
          <w:szCs w:val="16"/>
        </w:rPr>
        <w:t xml:space="preserve"> - 5000 тонн.</w:t>
      </w:r>
    </w:p>
    <w:p w14:paraId="77C8A5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 Обязать Наркомбоеприпасов (т. Ванникова) при</w:t>
      </w:r>
      <w:r w:rsidRPr="00F90EAE">
        <w:rPr>
          <w:color w:val="000000" w:themeColor="text1"/>
          <w:sz w:val="16"/>
          <w:szCs w:val="16"/>
        </w:rPr>
        <w:softHyphen/>
        <w:t>нять необходимые меры по проведению ремонта зданий и оборудования взрывоопасных заводов.</w:t>
      </w:r>
    </w:p>
    <w:p w14:paraId="678768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w:t>
      </w:r>
    </w:p>
    <w:p w14:paraId="50D06E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И.Сталин</w:t>
      </w:r>
    </w:p>
    <w:p w14:paraId="672C767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Круглая печать: «Государственный Комитет Обороны. № 1 Протокольная часть ГОКО»</w:t>
      </w:r>
    </w:p>
    <w:p w14:paraId="2FC8F1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Послано тт. Берия (ГОКО), Вознесенскому, Булганину, Швернику, Ванникову, Яковлеву, Борисову, Александрову (ГОКО), Чадаеву -все; наркомам — соотв. т. Микояну.</w:t>
      </w:r>
    </w:p>
    <w:p w14:paraId="4AF788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Приложения: № 1 - План производства и поставки корпусов артснарядов, литья и штамповки для них на июнь-июль 1945 г.; № 2 - План производства и поставки корпусов авиабомб, литья и штамповки для них на июнь-июль; № 3 - 13 тоже по разным видам боеприпасов; № 14 - Ведомость элементов боеприпасов, поставляемых в июне-июле; № 15 - о спецукупорке; № 16-18 упоминаются в тексте.</w:t>
      </w:r>
    </w:p>
    <w:p w14:paraId="154C6056"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РЦХИДНИ. Ф. 644. Оп. 1. Д. 420. Л . 81-89. Заверенная копия (11461).</w:t>
      </w:r>
    </w:p>
    <w:p w14:paraId="2E18893A" w14:textId="77777777" w:rsidR="00665165" w:rsidRPr="00F90EAE" w:rsidRDefault="00665165" w:rsidP="00F90EAE">
      <w:pPr>
        <w:widowControl w:val="0"/>
        <w:autoSpaceDE w:val="0"/>
        <w:autoSpaceDN w:val="0"/>
        <w:adjustRightInd w:val="0"/>
        <w:jc w:val="both"/>
        <w:rPr>
          <w:color w:val="000000" w:themeColor="text1"/>
          <w:sz w:val="16"/>
          <w:szCs w:val="16"/>
        </w:rPr>
      </w:pPr>
    </w:p>
    <w:p w14:paraId="7E55429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8805 Об обеспечении бесперебойной работы узкоколейных линий Забайкальской железной дороги. (7344, 157-158,159-162).</w:t>
      </w:r>
    </w:p>
    <w:p w14:paraId="27E7C65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1B0AF4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8806 О мероприятиях по восстановлению железных дорог в 1945 г. (7344, 163-172,173-175).</w:t>
      </w:r>
    </w:p>
    <w:p w14:paraId="72410F0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44EB8B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8807 О строительстве Хинганского оловянного комбината и предприятия № 501 Наркомцветмета. РГАНИР, Фонд ГКО, д. 420, лл. 176-181, 182-190 (11012).</w:t>
      </w:r>
    </w:p>
    <w:p w14:paraId="1B499D5F" w14:textId="77777777" w:rsidR="00665165" w:rsidRPr="00F90EAE" w:rsidRDefault="00665165" w:rsidP="00F90EAE">
      <w:pPr>
        <w:autoSpaceDE w:val="0"/>
        <w:autoSpaceDN w:val="0"/>
        <w:adjustRightInd w:val="0"/>
        <w:jc w:val="both"/>
        <w:rPr>
          <w:color w:val="000000" w:themeColor="text1"/>
          <w:sz w:val="16"/>
          <w:szCs w:val="16"/>
        </w:rPr>
      </w:pPr>
    </w:p>
    <w:p w14:paraId="722702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вышло Постановление ГКО № 8808 О неотложных мерах по обеспечению дровами ижевских заводов Наркомвооружения. РГАНИР, Фонд ГКО, д. 420, лл. 191-200, 201-204 (11012).</w:t>
      </w:r>
    </w:p>
    <w:p w14:paraId="5DA362A4" w14:textId="77777777" w:rsidR="00665165" w:rsidRPr="00F90EAE" w:rsidRDefault="00665165" w:rsidP="00F90EAE">
      <w:pPr>
        <w:autoSpaceDE w:val="0"/>
        <w:autoSpaceDN w:val="0"/>
        <w:adjustRightInd w:val="0"/>
        <w:jc w:val="both"/>
        <w:rPr>
          <w:color w:val="000000" w:themeColor="text1"/>
          <w:sz w:val="16"/>
          <w:szCs w:val="16"/>
        </w:rPr>
      </w:pPr>
    </w:p>
    <w:p w14:paraId="600C044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мая 1945 в СССР объявлено о начале перехода промышленности к мирному производству (4962).</w:t>
      </w:r>
    </w:p>
    <w:p w14:paraId="480CAAF9"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907FF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мая 1945 вышло постановление ГКО № № 8803 "О мероприятиях по перестройке промышленности в связи с сокращением производства вооружений" (1566,194).</w:t>
      </w:r>
    </w:p>
    <w:p w14:paraId="32E0D02D" w14:textId="77777777" w:rsidR="00665165" w:rsidRPr="00F90EAE" w:rsidRDefault="00665165" w:rsidP="00F90EAE">
      <w:pPr>
        <w:autoSpaceDE w:val="0"/>
        <w:autoSpaceDN w:val="0"/>
        <w:adjustRightInd w:val="0"/>
        <w:jc w:val="both"/>
        <w:rPr>
          <w:color w:val="000000" w:themeColor="text1"/>
          <w:sz w:val="16"/>
          <w:szCs w:val="16"/>
        </w:rPr>
      </w:pPr>
    </w:p>
    <w:p w14:paraId="759F1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 мая 1945 г. по приказу ГКО производство мин на заводе № 264 было прекращено. Вместо этого Наркомат транспортного машиностроения (НКТМ), в ведении которого находился завод, обязал его подготовиться к выпуску в IV квартале 1945 г. бронекорпусов «Т-44» в сборе, новых типов башен и бронещитов.</w:t>
      </w:r>
    </w:p>
    <w:p w14:paraId="72E46C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этого же времени, согласно постановлениям СНК СССР от 26 октября и НКТМ от 10 ноября 1945 г., ССЗ должен был осваивать производство необходимой для региона продукции — нефтекачалок «СНК-5».</w:t>
      </w:r>
    </w:p>
    <w:p w14:paraId="40362B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Частичное изменение профиля завода сопровождалось переменами в его производственной базе. Уменьшилось общее число станков в связи с консервацией снятого с производства специального оборудования для изготовления боеприпасов. Возрос станочный парк отдельных цехов, как за счет универсальных станков, освободившихся после выпуска боеприпасов, так и в связи с поступлением отечественного и репарационного оборудования.</w:t>
      </w:r>
    </w:p>
    <w:p w14:paraId="79246F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Большинство немецких станков было установлено в инструментальном цехе, мощность которого заметно возросла. Если в целом по заводу общее количество металлорежущих станков сократилось с 576 до 495, то есть на 14 %, то в инструментальном цехе увеличилось с 67 до 77 (на 13 %). Поскольку перестройка производства была незначительной, завод выполнил план 1945 г. по валовой продукции на 103,2 %, по товарной — на 104,4 %72.</w:t>
      </w:r>
    </w:p>
    <w:p w14:paraId="05D5E3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программе 1946 г. удельный вес бронекорпусного производства на ССЗ снизился до 73 %, его структура осталась прежней.</w:t>
      </w:r>
    </w:p>
    <w:p w14:paraId="797559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начал изготовление нефтекачалок и штамповку вагонных деталей. Наряду с этим шла подготовка к восстановлению судостроения. В отличие от 1945 г. план 1946 г. по валовой продукции был выполнен всего на 79,2 % (в целом по предприятиям Министерства транспортного машиностроения — на 81 %). Сказывалось несколько причин: недопоставки броневого листа и деталей со смежных предприятий, ограниченное снабжение завода мазутом и кислородом, недостаток оборудования и нехватка квалифицированной рабочей силы (11616).</w:t>
      </w:r>
    </w:p>
    <w:p w14:paraId="260A5C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87FACA" w14:textId="77777777" w:rsidR="00BE2FB1"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9ACFEA2" w14:textId="77777777" w:rsidR="00BE2FB1" w:rsidRPr="00F90EAE" w:rsidRDefault="00BE2FB1" w:rsidP="00F90EAE">
      <w:pPr>
        <w:autoSpaceDE w:val="0"/>
        <w:autoSpaceDN w:val="0"/>
        <w:adjustRightInd w:val="0"/>
        <w:jc w:val="both"/>
        <w:rPr>
          <w:iCs/>
          <w:color w:val="000000" w:themeColor="text1"/>
          <w:sz w:val="16"/>
          <w:szCs w:val="16"/>
        </w:rPr>
      </w:pPr>
    </w:p>
    <w:p w14:paraId="5CB17261" w14:textId="77777777" w:rsidR="00BE2FB1" w:rsidRPr="00F90EAE" w:rsidRDefault="00BE2FB1" w:rsidP="00F90EAE">
      <w:pPr>
        <w:jc w:val="both"/>
        <w:rPr>
          <w:color w:val="000000" w:themeColor="text1"/>
          <w:sz w:val="16"/>
          <w:szCs w:val="16"/>
        </w:rPr>
      </w:pPr>
      <w:r w:rsidRPr="00F90EAE">
        <w:rPr>
          <w:bCs/>
          <w:color w:val="000000" w:themeColor="text1"/>
          <w:sz w:val="16"/>
          <w:szCs w:val="16"/>
        </w:rPr>
        <w:t>26 мая</w:t>
      </w:r>
      <w:r w:rsidRPr="00F90EAE">
        <w:rPr>
          <w:color w:val="000000" w:themeColor="text1"/>
          <w:sz w:val="16"/>
          <w:szCs w:val="16"/>
        </w:rPr>
        <w:t xml:space="preserve"> в 1945 году в Москве начались переговоры (26 мая - 6 июня) личного представителя президента США Г.Гопкинса с членами Советского правительства. Обсуждались проблемы послевоенного урегулирования (в частности, организации контроля над Германией), вопросы репараций раздела германского флота, положения в Польше, вступления СССР в войну с Японией (14903).</w:t>
      </w:r>
    </w:p>
    <w:p w14:paraId="1E7DD1CD" w14:textId="77777777" w:rsidR="00BE2FB1" w:rsidRPr="00F90EAE" w:rsidRDefault="00BE2FB1" w:rsidP="00F90EAE">
      <w:pPr>
        <w:jc w:val="both"/>
        <w:rPr>
          <w:color w:val="000000" w:themeColor="text1"/>
          <w:sz w:val="16"/>
          <w:szCs w:val="16"/>
        </w:rPr>
      </w:pPr>
    </w:p>
    <w:p w14:paraId="5BE661CA"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04264B1" w14:textId="77777777" w:rsidR="00665165" w:rsidRPr="00F90EAE" w:rsidRDefault="00665165" w:rsidP="00F90EAE">
      <w:pPr>
        <w:autoSpaceDE w:val="0"/>
        <w:autoSpaceDN w:val="0"/>
        <w:adjustRightInd w:val="0"/>
        <w:jc w:val="both"/>
        <w:rPr>
          <w:iCs/>
          <w:color w:val="000000" w:themeColor="text1"/>
          <w:sz w:val="16"/>
          <w:szCs w:val="16"/>
        </w:rPr>
      </w:pPr>
    </w:p>
    <w:p w14:paraId="7E1D99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Гос. испытания Ил-8-2 начались уже после войны (173,134), 27 мая 1945. Скорость при массе 7610 кг на высоте 2800 м составила 509 км/ч. Отмечена хорошая устойчивость и управляемость, большая грузоподъемность, мощное вооружение, значительную дальность и скорость, удобство и простоту эксплуатации. Однако, подчеркивалось, что по скорости, скороподъемности, маневренности, разбегу и пробегу - уступает серийным Ил-10. Учитывая, что война закончилась, а Ил-10 уже в серии, Ил-8 в серию не передавали (5,132).</w:t>
      </w:r>
    </w:p>
    <w:p w14:paraId="50A0C8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шли до 7 июля - 41 календарный день, из которых летных - 11, нелетных - 12, 18 - доводка и ремонт машины (2104).</w:t>
      </w:r>
    </w:p>
    <w:p w14:paraId="432FF7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561F31" w:rsidRPr="00F90EAE" w14:paraId="36845822" w14:textId="77777777">
        <w:tc>
          <w:tcPr>
            <w:tcW w:w="3652" w:type="dxa"/>
          </w:tcPr>
          <w:p w14:paraId="224158AC"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3FF38D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Ил-8</w:t>
            </w:r>
          </w:p>
        </w:tc>
        <w:tc>
          <w:tcPr>
            <w:tcW w:w="4394" w:type="dxa"/>
          </w:tcPr>
          <w:p w14:paraId="7D9AC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w:t>
            </w:r>
          </w:p>
        </w:tc>
      </w:tr>
      <w:tr w:rsidR="00561F31" w:rsidRPr="00F90EAE" w14:paraId="479C133D" w14:textId="77777777">
        <w:tc>
          <w:tcPr>
            <w:tcW w:w="3652" w:type="dxa"/>
          </w:tcPr>
          <w:p w14:paraId="0E35D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Максимальная скорость у земли </w:t>
            </w:r>
          </w:p>
        </w:tc>
        <w:tc>
          <w:tcPr>
            <w:tcW w:w="2410" w:type="dxa"/>
          </w:tcPr>
          <w:p w14:paraId="41ABD6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461 </w:t>
            </w:r>
          </w:p>
        </w:tc>
        <w:tc>
          <w:tcPr>
            <w:tcW w:w="4394" w:type="dxa"/>
          </w:tcPr>
          <w:p w14:paraId="784D4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507</w:t>
            </w:r>
          </w:p>
        </w:tc>
      </w:tr>
      <w:tr w:rsidR="00561F31" w:rsidRPr="00F90EAE" w14:paraId="40CD3FF5" w14:textId="77777777">
        <w:tc>
          <w:tcPr>
            <w:tcW w:w="3652" w:type="dxa"/>
          </w:tcPr>
          <w:p w14:paraId="499AE932"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56F0FB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(418 с 2хФАБ-500)</w:t>
            </w:r>
          </w:p>
        </w:tc>
        <w:tc>
          <w:tcPr>
            <w:tcW w:w="4394" w:type="dxa"/>
          </w:tcPr>
          <w:p w14:paraId="75EA83B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BBDCA1A" w14:textId="77777777">
        <w:tc>
          <w:tcPr>
            <w:tcW w:w="3652" w:type="dxa"/>
          </w:tcPr>
          <w:p w14:paraId="1D1B60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границе высотности</w:t>
            </w:r>
          </w:p>
        </w:tc>
        <w:tc>
          <w:tcPr>
            <w:tcW w:w="2410" w:type="dxa"/>
          </w:tcPr>
          <w:p w14:paraId="3E4C9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509</w:t>
            </w:r>
          </w:p>
        </w:tc>
        <w:tc>
          <w:tcPr>
            <w:tcW w:w="4394" w:type="dxa"/>
          </w:tcPr>
          <w:p w14:paraId="1B8D6D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551</w:t>
            </w:r>
          </w:p>
        </w:tc>
      </w:tr>
      <w:tr w:rsidR="00561F31" w:rsidRPr="00F90EAE" w14:paraId="7E04B61D" w14:textId="77777777">
        <w:tc>
          <w:tcPr>
            <w:tcW w:w="3652" w:type="dxa"/>
          </w:tcPr>
          <w:p w14:paraId="5AFF0E1A"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05CCE0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 с 2хФАБ-500)</w:t>
            </w:r>
          </w:p>
        </w:tc>
        <w:tc>
          <w:tcPr>
            <w:tcW w:w="4394" w:type="dxa"/>
          </w:tcPr>
          <w:p w14:paraId="1FC5B02F"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03CECF8" w14:textId="77777777">
        <w:tc>
          <w:tcPr>
            <w:tcW w:w="3652" w:type="dxa"/>
          </w:tcPr>
          <w:p w14:paraId="15CB7B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3000 м</w:t>
            </w:r>
          </w:p>
        </w:tc>
        <w:tc>
          <w:tcPr>
            <w:tcW w:w="2410" w:type="dxa"/>
          </w:tcPr>
          <w:p w14:paraId="3A5A79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4394" w:type="dxa"/>
          </w:tcPr>
          <w:p w14:paraId="3BF850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r>
      <w:tr w:rsidR="00561F31" w:rsidRPr="00F90EAE" w14:paraId="7C06CCB4" w14:textId="77777777">
        <w:tc>
          <w:tcPr>
            <w:tcW w:w="3652" w:type="dxa"/>
          </w:tcPr>
          <w:p w14:paraId="7C5BCF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на 45 м</w:t>
            </w:r>
          </w:p>
        </w:tc>
        <w:tc>
          <w:tcPr>
            <w:tcW w:w="2410" w:type="dxa"/>
          </w:tcPr>
          <w:p w14:paraId="692C4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520</w:t>
            </w:r>
          </w:p>
        </w:tc>
        <w:tc>
          <w:tcPr>
            <w:tcW w:w="4394" w:type="dxa"/>
          </w:tcPr>
          <w:p w14:paraId="63457E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6E6BD30B" w14:textId="77777777">
        <w:tc>
          <w:tcPr>
            <w:tcW w:w="3652" w:type="dxa"/>
          </w:tcPr>
          <w:p w14:paraId="2BE80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нагрузка</w:t>
            </w:r>
          </w:p>
        </w:tc>
        <w:tc>
          <w:tcPr>
            <w:tcW w:w="2410" w:type="dxa"/>
          </w:tcPr>
          <w:p w14:paraId="7FE20D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w:t>
            </w:r>
          </w:p>
        </w:tc>
        <w:tc>
          <w:tcPr>
            <w:tcW w:w="4394" w:type="dxa"/>
          </w:tcPr>
          <w:p w14:paraId="1E278D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1655</w:t>
            </w:r>
          </w:p>
        </w:tc>
      </w:tr>
      <w:tr w:rsidR="00561F31" w:rsidRPr="00F90EAE" w14:paraId="13161C59" w14:textId="77777777">
        <w:tc>
          <w:tcPr>
            <w:tcW w:w="3652" w:type="dxa"/>
          </w:tcPr>
          <w:p w14:paraId="398C3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2410" w:type="dxa"/>
          </w:tcPr>
          <w:p w14:paraId="531936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4394" w:type="dxa"/>
          </w:tcPr>
          <w:p w14:paraId="09440F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r>
      <w:tr w:rsidR="00561F31" w:rsidRPr="00F90EAE" w14:paraId="57806E0B" w14:textId="77777777">
        <w:tc>
          <w:tcPr>
            <w:tcW w:w="3652" w:type="dxa"/>
          </w:tcPr>
          <w:p w14:paraId="524A40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410" w:type="dxa"/>
          </w:tcPr>
          <w:p w14:paraId="059FE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1140</w:t>
            </w:r>
          </w:p>
        </w:tc>
        <w:tc>
          <w:tcPr>
            <w:tcW w:w="4394" w:type="dxa"/>
          </w:tcPr>
          <w:p w14:paraId="622599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 (2104)</w:t>
            </w:r>
          </w:p>
        </w:tc>
      </w:tr>
    </w:tbl>
    <w:p w14:paraId="750A8232" w14:textId="77777777" w:rsidR="00665165" w:rsidRPr="00F90EAE" w:rsidRDefault="00665165" w:rsidP="00F90EAE">
      <w:pPr>
        <w:autoSpaceDE w:val="0"/>
        <w:autoSpaceDN w:val="0"/>
        <w:adjustRightInd w:val="0"/>
        <w:jc w:val="both"/>
        <w:rPr>
          <w:color w:val="000000" w:themeColor="text1"/>
          <w:sz w:val="16"/>
          <w:szCs w:val="16"/>
        </w:rPr>
      </w:pPr>
    </w:p>
    <w:p w14:paraId="2F31AF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мая 1945 начались гос. испытания второго опытного Ил-8 (3846,21).</w:t>
      </w:r>
    </w:p>
    <w:p w14:paraId="20164FEF" w14:textId="77777777" w:rsidR="00665165" w:rsidRPr="00F90EAE" w:rsidRDefault="00665165" w:rsidP="00F90EAE">
      <w:pPr>
        <w:autoSpaceDE w:val="0"/>
        <w:autoSpaceDN w:val="0"/>
        <w:adjustRightInd w:val="0"/>
        <w:jc w:val="both"/>
        <w:rPr>
          <w:color w:val="000000" w:themeColor="text1"/>
          <w:sz w:val="16"/>
          <w:szCs w:val="16"/>
        </w:rPr>
      </w:pPr>
    </w:p>
    <w:p w14:paraId="13054A1C" w14:textId="77777777" w:rsidR="00F37105" w:rsidRPr="00F90EAE" w:rsidRDefault="00F37105" w:rsidP="00F90EAE">
      <w:pPr>
        <w:jc w:val="both"/>
        <w:rPr>
          <w:color w:val="000000" w:themeColor="text1"/>
          <w:sz w:val="16"/>
          <w:szCs w:val="16"/>
        </w:rPr>
      </w:pPr>
      <w:r w:rsidRPr="00F90EAE">
        <w:rPr>
          <w:bCs/>
          <w:color w:val="000000" w:themeColor="text1"/>
          <w:sz w:val="16"/>
          <w:szCs w:val="16"/>
        </w:rPr>
        <w:t>27 мая</w:t>
      </w:r>
      <w:r w:rsidRPr="00F90EAE">
        <w:rPr>
          <w:color w:val="000000" w:themeColor="text1"/>
          <w:sz w:val="16"/>
          <w:szCs w:val="16"/>
        </w:rPr>
        <w:t xml:space="preserve"> в 1945 году начались Государственные испытания </w:t>
      </w:r>
      <w:hyperlink r:id="rId131" w:tgtFrame="_blank" w:history="1">
        <w:r w:rsidRPr="00F90EAE">
          <w:rPr>
            <w:color w:val="000000" w:themeColor="text1"/>
            <w:sz w:val="16"/>
            <w:szCs w:val="16"/>
          </w:rPr>
          <w:t xml:space="preserve">«Ил-8» </w:t>
        </w:r>
      </w:hyperlink>
      <w:r w:rsidRPr="00F90EAE">
        <w:rPr>
          <w:color w:val="000000" w:themeColor="text1"/>
          <w:sz w:val="16"/>
          <w:szCs w:val="16"/>
        </w:rPr>
        <w:t>с «АМ-42» (второй опытный экземпляр). 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 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Учитывая окончание войны и наличие в серийном производстве штурмовика «Ил-10», которому «Ил-8» уступал по максимальной скорости, скороподъемности, маневренности, длине разбега при взлете и длине пробега после посадки, запуск последнего в серию был признан нецелесообразным (14904).</w:t>
      </w:r>
    </w:p>
    <w:p w14:paraId="4CF8D62F" w14:textId="77777777" w:rsidR="00F37105" w:rsidRPr="00F90EAE" w:rsidRDefault="00F37105" w:rsidP="00F90EAE">
      <w:pPr>
        <w:jc w:val="both"/>
        <w:rPr>
          <w:color w:val="000000" w:themeColor="text1"/>
          <w:sz w:val="16"/>
          <w:szCs w:val="16"/>
        </w:rPr>
      </w:pPr>
    </w:p>
    <w:p w14:paraId="013DA3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мая 1945-го после окончания Великой Отечественной войны начались Госиспытания второго опытного Ил-8. Новое размещение радиаторов системы охлаждения и смазки двигателя такое же, как и на Ил-10, более обтекаемый и аэродинамически чистый бронекорпус, улучшенная форма фонаря кабины пилота и значительно меньший, чем на первом опытном самолете, мидель обтекателя шасси - позволили получить на втором опытном Ил-8 более высокие лет-но-технические данные.</w:t>
      </w:r>
    </w:p>
    <w:p w14:paraId="34C51B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Была достигнута максимальная скорость горизонтального полета 509 км/ч на высоте 2800 м. Испытания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при взлете и пробеге после посадки штурмовик Ил-8 уступает серийному Ил-10.</w:t>
      </w:r>
    </w:p>
    <w:p w14:paraId="08A999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Учитывая окончание войны и наличие в производстве штурмовика Ил-10, обладающего лучшими данными, признали, что запуск в серию Ил-8 нецелесообразен (9532,6).</w:t>
      </w:r>
    </w:p>
    <w:p w14:paraId="6D66584E" w14:textId="77777777" w:rsidR="00665165" w:rsidRPr="00F90EAE" w:rsidRDefault="00665165" w:rsidP="00F90EAE">
      <w:pPr>
        <w:autoSpaceDE w:val="0"/>
        <w:autoSpaceDN w:val="0"/>
        <w:adjustRightInd w:val="0"/>
        <w:jc w:val="both"/>
        <w:rPr>
          <w:color w:val="000000" w:themeColor="text1"/>
          <w:sz w:val="16"/>
          <w:szCs w:val="16"/>
        </w:rPr>
      </w:pPr>
    </w:p>
    <w:p w14:paraId="0A56A1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мая 1945 г. начались госиспытания второго опытного самолета Ил-8 (9528). Летно-технические данные улучшились за счет нового размещения водяных и масляных радиаторов системы охлаждения и смазки (по типу Ил-10), более обтекаемого и аэродинамически чистого бронекорпуса, улучшенной формы фонаря кабины пилота и значительно меньшего, по сравнению с первым опытным самолетом, миделя обтекателей шасси. С нормальным полетным весом 7610 кг Ил-8 развил максимальную скорость 509 км/ч на высоте 2800 м. Испытатели отмечали хорошую устойчивость и управляемость, большую грузоподъемность, мощное вооружение, значительные дальность и скорость, удобство и простоту в эксплуатации нового штурмовика, но одновременно подчеркивали, что по максимальной скорости, скороподъемности, маневренности, длине разбега и пробега Ил-8 уступает серийному Ил-10. Учитывая окончание войны и наличие на вооружении штурмовика Ил-10 с лучшими летно-тактическими данными, запуск в серию самолета Ил-8 признали нецелесообразным (9528).</w:t>
      </w:r>
    </w:p>
    <w:p w14:paraId="388583AD" w14:textId="77777777" w:rsidR="00665165" w:rsidRPr="00F90EAE" w:rsidRDefault="00665165" w:rsidP="00F90EAE">
      <w:pPr>
        <w:autoSpaceDE w:val="0"/>
        <w:autoSpaceDN w:val="0"/>
        <w:adjustRightInd w:val="0"/>
        <w:jc w:val="both"/>
        <w:rPr>
          <w:color w:val="000000" w:themeColor="text1"/>
          <w:sz w:val="16"/>
          <w:szCs w:val="16"/>
        </w:rPr>
      </w:pPr>
    </w:p>
    <w:p w14:paraId="75195A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27 мая 1945 проходили государственные испытания Ил-8 с АМ-42 (второй опытный экземпляр)</w:t>
      </w:r>
    </w:p>
    <w:p w14:paraId="68A4E0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полетном весе 7610 кг штурмовик показал максимальную скорость у земли - 461 км/ч, и на высоте 2800 м -509 км/ч, практический потолок -6900 м, длину разбега - 520 м, наибольшую дальность полета - 1140 км.</w:t>
      </w:r>
    </w:p>
    <w:p w14:paraId="184C9B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отчета по испытаниям отмечалось: “Самолет обладает хорошей устойчивостью, большой грузоподъемностью, мощным вооружением, удобный в эксплуатации и имеет значительную дальность и скорость полета, что позволяет рекомендовать его к внедрению в серийное производство в качестве штурмовика - бомбардировщика” (9649).</w:t>
      </w:r>
    </w:p>
    <w:p w14:paraId="4DEDB661" w14:textId="77777777" w:rsidR="00665165" w:rsidRPr="00F90EAE" w:rsidRDefault="00665165" w:rsidP="00F90EAE">
      <w:pPr>
        <w:autoSpaceDE w:val="0"/>
        <w:autoSpaceDN w:val="0"/>
        <w:adjustRightInd w:val="0"/>
        <w:jc w:val="both"/>
        <w:rPr>
          <w:color w:val="000000" w:themeColor="text1"/>
          <w:sz w:val="16"/>
          <w:szCs w:val="16"/>
        </w:rPr>
      </w:pPr>
    </w:p>
    <w:p w14:paraId="337A7AE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 мая 1945 начались полеты по программе государствен</w:t>
      </w:r>
      <w:r w:rsidRPr="00F90EAE">
        <w:rPr>
          <w:color w:val="000000" w:themeColor="text1"/>
          <w:sz w:val="16"/>
          <w:szCs w:val="16"/>
        </w:rPr>
        <w:softHyphen/>
        <w:t>ных испытаний Ил-8 № 1, хотя официальная передача Ил-8 № 1 в НИИ ВВС состоялась еще 14 мая 1945. Всего до 7 июля было выполнено 52 полета с налетом 36 ч 35 мин. Веду</w:t>
      </w:r>
      <w:r w:rsidRPr="00F90EAE">
        <w:rPr>
          <w:color w:val="000000" w:themeColor="text1"/>
          <w:sz w:val="16"/>
          <w:szCs w:val="16"/>
        </w:rPr>
        <w:softHyphen/>
        <w:t>щим летчиком-испытателем был под</w:t>
      </w:r>
      <w:r w:rsidRPr="00F90EAE">
        <w:rPr>
          <w:color w:val="000000" w:themeColor="text1"/>
          <w:sz w:val="16"/>
          <w:szCs w:val="16"/>
        </w:rPr>
        <w:softHyphen/>
        <w:t>полковник А. К. Долгов, а ведущим инженером — инженер-капитан С. Г. Фролов.</w:t>
      </w:r>
    </w:p>
    <w:p w14:paraId="7CCAF8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счет установки на самолет до</w:t>
      </w:r>
      <w:r w:rsidRPr="00F90EAE">
        <w:rPr>
          <w:color w:val="000000" w:themeColor="text1"/>
          <w:sz w:val="16"/>
          <w:szCs w:val="16"/>
        </w:rPr>
        <w:softHyphen/>
        <w:t>полнительного съемного оборудова</w:t>
      </w:r>
      <w:r w:rsidRPr="00F90EAE">
        <w:rPr>
          <w:color w:val="000000" w:themeColor="text1"/>
          <w:sz w:val="16"/>
          <w:szCs w:val="16"/>
        </w:rPr>
        <w:softHyphen/>
        <w:t>ния нормальный полетный вес уве</w:t>
      </w:r>
      <w:r w:rsidRPr="00F90EAE">
        <w:rPr>
          <w:color w:val="000000" w:themeColor="text1"/>
          <w:sz w:val="16"/>
          <w:szCs w:val="16"/>
        </w:rPr>
        <w:softHyphen/>
        <w:t>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 Наиболь</w:t>
      </w:r>
      <w:r w:rsidRPr="00F90EAE">
        <w:rPr>
          <w:color w:val="000000" w:themeColor="text1"/>
          <w:sz w:val="16"/>
          <w:szCs w:val="16"/>
        </w:rPr>
        <w:softHyphen/>
        <w:t>шая дальность полета на высоте 500 м при скорости по прибору 299 км/ч составила 1140 км.</w:t>
      </w:r>
    </w:p>
    <w:p w14:paraId="11ADBE8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материалах отчета отмечалось, что устойчивость и управляемость са</w:t>
      </w:r>
      <w:r w:rsidRPr="00F90EAE">
        <w:rPr>
          <w:color w:val="000000" w:themeColor="text1"/>
          <w:sz w:val="16"/>
          <w:szCs w:val="16"/>
        </w:rPr>
        <w:softHyphen/>
        <w:t>молета хорошие, по технике пилоти</w:t>
      </w:r>
      <w:r w:rsidRPr="00F90EAE">
        <w:rPr>
          <w:color w:val="000000" w:themeColor="text1"/>
          <w:sz w:val="16"/>
          <w:szCs w:val="16"/>
        </w:rPr>
        <w:softHyphen/>
        <w:t>рования самолет оказался простым и в целом был доступен летчикам средней квалификации. Никаких осо</w:t>
      </w:r>
      <w:r w:rsidRPr="00F90EAE">
        <w:rPr>
          <w:color w:val="000000" w:themeColor="text1"/>
          <w:sz w:val="16"/>
          <w:szCs w:val="16"/>
        </w:rPr>
        <w:softHyphen/>
        <w:t>бенностей, затрудняющих эксплуата</w:t>
      </w:r>
      <w:r w:rsidRPr="00F90EAE">
        <w:rPr>
          <w:color w:val="000000" w:themeColor="text1"/>
          <w:sz w:val="16"/>
          <w:szCs w:val="16"/>
        </w:rPr>
        <w:softHyphen/>
        <w:t>цию самолета, не наблюдалось.</w:t>
      </w:r>
    </w:p>
    <w:p w14:paraId="5173B0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Пикировал самолет весьма устой</w:t>
      </w:r>
      <w:r w:rsidRPr="00F90EAE">
        <w:rPr>
          <w:color w:val="000000" w:themeColor="text1"/>
          <w:sz w:val="16"/>
          <w:szCs w:val="16"/>
        </w:rPr>
        <w:softHyphen/>
        <w:t>чиво вплоть до углов 45°. Отдача пу</w:t>
      </w:r>
      <w:r w:rsidRPr="00F90EAE">
        <w:rPr>
          <w:color w:val="000000" w:themeColor="text1"/>
          <w:sz w:val="16"/>
          <w:szCs w:val="16"/>
        </w:rPr>
        <w:softHyphen/>
        <w:t>шек практически не сказывалась на самолете, поэтому при любой длине очереди стрельба получалась впол</w:t>
      </w:r>
      <w:r w:rsidRPr="00F90EAE">
        <w:rPr>
          <w:color w:val="000000" w:themeColor="text1"/>
          <w:sz w:val="16"/>
          <w:szCs w:val="16"/>
        </w:rPr>
        <w:softHyphen/>
        <w:t>не прицельной.</w:t>
      </w:r>
    </w:p>
    <w:p w14:paraId="5E449F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Однако указывались и существен</w:t>
      </w:r>
      <w:r w:rsidRPr="00F90EAE">
        <w:rPr>
          <w:color w:val="000000" w:themeColor="text1"/>
          <w:sz w:val="16"/>
          <w:szCs w:val="16"/>
        </w:rPr>
        <w:softHyphen/>
        <w:t xml:space="preserve">ные недостатки самолета, наличие которых </w:t>
      </w:r>
      <w:r w:rsidRPr="00F90EAE">
        <w:rPr>
          <w:iCs/>
          <w:color w:val="000000" w:themeColor="text1"/>
          <w:sz w:val="16"/>
          <w:szCs w:val="16"/>
        </w:rPr>
        <w:t>"не позволяет полностью ис</w:t>
      </w:r>
      <w:r w:rsidRPr="00F90EAE">
        <w:rPr>
          <w:iCs/>
          <w:color w:val="000000" w:themeColor="text1"/>
          <w:sz w:val="16"/>
          <w:szCs w:val="16"/>
        </w:rPr>
        <w:softHyphen/>
        <w:t xml:space="preserve">пользовать его боевые свойства". </w:t>
      </w:r>
      <w:r w:rsidRPr="00F90EAE">
        <w:rPr>
          <w:color w:val="000000" w:themeColor="text1"/>
          <w:sz w:val="16"/>
          <w:szCs w:val="16"/>
        </w:rPr>
        <w:t>В частности, бронирование Ил-8 со</w:t>
      </w:r>
      <w:r w:rsidRPr="00F90EAE">
        <w:rPr>
          <w:color w:val="000000" w:themeColor="text1"/>
          <w:sz w:val="16"/>
          <w:szCs w:val="16"/>
        </w:rPr>
        <w:softHyphen/>
        <w:t>чли не отвечающим современным требованиям, так как голова стрел</w:t>
      </w:r>
      <w:r w:rsidRPr="00F90EAE">
        <w:rPr>
          <w:color w:val="000000" w:themeColor="text1"/>
          <w:sz w:val="16"/>
          <w:szCs w:val="16"/>
        </w:rPr>
        <w:softHyphen/>
        <w:t>ка не была защищена броней от огня сзади. На самолете отсутствовал бомбардировочный прицел, не был предусмотрен аварийный сброс фо</w:t>
      </w:r>
      <w:r w:rsidRPr="00F90EAE">
        <w:rPr>
          <w:color w:val="000000" w:themeColor="text1"/>
          <w:sz w:val="16"/>
          <w:szCs w:val="16"/>
        </w:rPr>
        <w:softHyphen/>
        <w:t>наря кабины стрелка, не была уста</w:t>
      </w:r>
      <w:r w:rsidRPr="00F90EAE">
        <w:rPr>
          <w:color w:val="000000" w:themeColor="text1"/>
          <w:sz w:val="16"/>
          <w:szCs w:val="16"/>
        </w:rPr>
        <w:softHyphen/>
        <w:t>новлена световая сигнализация выпуска и уборки шасси (только "сол</w:t>
      </w:r>
      <w:r w:rsidRPr="00F90EAE">
        <w:rPr>
          <w:color w:val="000000" w:themeColor="text1"/>
          <w:sz w:val="16"/>
          <w:szCs w:val="16"/>
        </w:rPr>
        <w:softHyphen/>
        <w:t>датики"), плохая вентиляция и жара в кабинах летчика и стрелка, недо</w:t>
      </w:r>
      <w:r w:rsidRPr="00F90EAE">
        <w:rPr>
          <w:color w:val="000000" w:themeColor="text1"/>
          <w:sz w:val="16"/>
          <w:szCs w:val="16"/>
        </w:rPr>
        <w:softHyphen/>
        <w:t>статочная эффективность тормозов и т.д.</w:t>
      </w:r>
    </w:p>
    <w:p w14:paraId="09AD20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Заместитель начальника НИИ ВВС по летной части генерал-майор П. М. Стефановский после облета Ил-8 констатировал: </w:t>
      </w:r>
      <w:r w:rsidRPr="00F90EAE">
        <w:rPr>
          <w:iCs/>
          <w:color w:val="000000" w:themeColor="text1"/>
          <w:sz w:val="16"/>
          <w:szCs w:val="16"/>
        </w:rPr>
        <w:t>"...фонарь ка</w:t>
      </w:r>
      <w:r w:rsidRPr="00F90EAE">
        <w:rPr>
          <w:iCs/>
          <w:color w:val="000000" w:themeColor="text1"/>
          <w:sz w:val="16"/>
          <w:szCs w:val="16"/>
        </w:rPr>
        <w:softHyphen/>
        <w:t>бины пилота не сдвигается назад, еще хуже то, что нет аварийного сброса фонаря. ...Самолет опасен для полетов".</w:t>
      </w:r>
    </w:p>
    <w:p w14:paraId="51B4A6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Военные специалисты положи</w:t>
      </w:r>
      <w:r w:rsidRPr="00F90EAE">
        <w:rPr>
          <w:color w:val="000000" w:themeColor="text1"/>
          <w:sz w:val="16"/>
          <w:szCs w:val="16"/>
        </w:rPr>
        <w:softHyphen/>
        <w:t>тельно оценили подвижную оборо</w:t>
      </w:r>
      <w:r w:rsidRPr="00F90EAE">
        <w:rPr>
          <w:color w:val="000000" w:themeColor="text1"/>
          <w:sz w:val="16"/>
          <w:szCs w:val="16"/>
        </w:rPr>
        <w:softHyphen/>
        <w:t>нительную установку ВУ-9 с пушкой БТ-20, которая имела значительные преимущества перед ВУ-8 с пулеме</w:t>
      </w:r>
      <w:r w:rsidRPr="00F90EAE">
        <w:rPr>
          <w:color w:val="000000" w:themeColor="text1"/>
          <w:sz w:val="16"/>
          <w:szCs w:val="16"/>
        </w:rPr>
        <w:softHyphen/>
        <w:t>том УБК.</w:t>
      </w:r>
    </w:p>
    <w:p w14:paraId="1A6D63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Одновременно отмечалось, что повышенные бомбардировочные свойства самолета в значительной мере нивелируются из-за отсутствия на самолете бомбардировочного прицела. Бомбить можно было лишь по наитию. Но даже если бы прицел был установлен, ограниченный об</w:t>
      </w:r>
      <w:r w:rsidRPr="00F90EAE">
        <w:rPr>
          <w:color w:val="000000" w:themeColor="text1"/>
          <w:sz w:val="16"/>
          <w:szCs w:val="16"/>
        </w:rPr>
        <w:softHyphen/>
        <w:t>зор из второй кабины самолета по</w:t>
      </w:r>
      <w:r w:rsidRPr="00F90EAE">
        <w:rPr>
          <w:color w:val="000000" w:themeColor="text1"/>
          <w:sz w:val="16"/>
          <w:szCs w:val="16"/>
        </w:rPr>
        <w:softHyphen/>
        <w:t>чти исключал возможность точного бомбометания.</w:t>
      </w:r>
    </w:p>
    <w:p w14:paraId="719779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повышение скорос</w:t>
      </w:r>
      <w:r w:rsidRPr="00F90EAE">
        <w:rPr>
          <w:color w:val="000000" w:themeColor="text1"/>
          <w:sz w:val="16"/>
          <w:szCs w:val="16"/>
        </w:rPr>
        <w:softHyphen/>
        <w:t>тных качеств улучшенной "восьмер</w:t>
      </w:r>
      <w:r w:rsidRPr="00F90EAE">
        <w:rPr>
          <w:color w:val="000000" w:themeColor="text1"/>
          <w:sz w:val="16"/>
          <w:szCs w:val="16"/>
        </w:rPr>
        <w:softHyphen/>
        <w:t>ки", маневренные свойства самолета оказались хуже, чем у Ил-АМ-42, проходившего государственные испы</w:t>
      </w:r>
      <w:r w:rsidRPr="00F90EAE">
        <w:rPr>
          <w:color w:val="000000" w:themeColor="text1"/>
          <w:sz w:val="16"/>
          <w:szCs w:val="16"/>
        </w:rPr>
        <w:softHyphen/>
        <w:t>тания весной 1944 г., и даже серий</w:t>
      </w:r>
      <w:r w:rsidRPr="00F90EAE">
        <w:rPr>
          <w:color w:val="000000" w:themeColor="text1"/>
          <w:sz w:val="16"/>
          <w:szCs w:val="16"/>
        </w:rPr>
        <w:softHyphen/>
        <w:t>ной "двойки".</w:t>
      </w:r>
    </w:p>
    <w:p w14:paraId="5B1C7C9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Проведенные воздушные бои с Як-3 показали, что Ил-8 при встрече с истребителем не имеет никаких шансов уклониться от боя. Во всех случаях истребитель довольно быст</w:t>
      </w:r>
      <w:r w:rsidRPr="00F90EAE">
        <w:rPr>
          <w:color w:val="000000" w:themeColor="text1"/>
          <w:sz w:val="16"/>
          <w:szCs w:val="16"/>
        </w:rPr>
        <w:softHyphen/>
        <w:t>ро нагонял Ил-8 и легко занимал выгодную позицию для атаки. Одна</w:t>
      </w:r>
      <w:r w:rsidRPr="00F90EAE">
        <w:rPr>
          <w:color w:val="000000" w:themeColor="text1"/>
          <w:sz w:val="16"/>
          <w:szCs w:val="16"/>
        </w:rPr>
        <w:softHyphen/>
        <w:t>ко считалось, что сочетание манев</w:t>
      </w:r>
      <w:r w:rsidRPr="00F90EAE">
        <w:rPr>
          <w:color w:val="000000" w:themeColor="text1"/>
          <w:sz w:val="16"/>
          <w:szCs w:val="16"/>
        </w:rPr>
        <w:softHyphen/>
        <w:t>ра и огня пушки БТ-20 вполне обес</w:t>
      </w:r>
      <w:r w:rsidRPr="00F90EAE">
        <w:rPr>
          <w:color w:val="000000" w:themeColor="text1"/>
          <w:sz w:val="16"/>
          <w:szCs w:val="16"/>
        </w:rPr>
        <w:softHyphen/>
        <w:t>печивает отражение атаки истреби</w:t>
      </w:r>
      <w:r w:rsidRPr="00F90EAE">
        <w:rPr>
          <w:color w:val="000000" w:themeColor="text1"/>
          <w:sz w:val="16"/>
          <w:szCs w:val="16"/>
        </w:rPr>
        <w:softHyphen/>
        <w:t>теля со стороны задней полусферы сверху. Атаки истребителя снизу сза</w:t>
      </w:r>
      <w:r w:rsidRPr="00F90EAE">
        <w:rPr>
          <w:color w:val="000000" w:themeColor="text1"/>
          <w:sz w:val="16"/>
          <w:szCs w:val="16"/>
        </w:rPr>
        <w:softHyphen/>
        <w:t>ди могли быть сорваны авиаграна</w:t>
      </w:r>
      <w:r w:rsidRPr="00F90EAE">
        <w:rPr>
          <w:color w:val="000000" w:themeColor="text1"/>
          <w:sz w:val="16"/>
          <w:szCs w:val="16"/>
        </w:rPr>
        <w:softHyphen/>
        <w:t>тами АГ-2, хотя вероятность этого со</w:t>
      </w:r>
      <w:r w:rsidRPr="00F90EAE">
        <w:rPr>
          <w:color w:val="000000" w:themeColor="text1"/>
          <w:sz w:val="16"/>
          <w:szCs w:val="16"/>
        </w:rPr>
        <w:softHyphen/>
        <w:t>бытия была небольшой.</w:t>
      </w:r>
    </w:p>
    <w:p w14:paraId="6EE562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Значительную трудность пред</w:t>
      </w:r>
      <w:r w:rsidRPr="00F90EAE">
        <w:rPr>
          <w:color w:val="000000" w:themeColor="text1"/>
          <w:sz w:val="16"/>
          <w:szCs w:val="16"/>
        </w:rPr>
        <w:softHyphen/>
        <w:t>ставляли атаки истребителей сверху и с боков из-за недостаточного сек</w:t>
      </w:r>
      <w:r w:rsidRPr="00F90EAE">
        <w:rPr>
          <w:color w:val="000000" w:themeColor="text1"/>
          <w:sz w:val="16"/>
          <w:szCs w:val="16"/>
        </w:rPr>
        <w:softHyphen/>
        <w:t>тора обстрела установки ВУ-9.</w:t>
      </w:r>
    </w:p>
    <w:p w14:paraId="7101F0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горизонтальном маневре ис</w:t>
      </w:r>
      <w:r w:rsidRPr="00F90EAE">
        <w:rPr>
          <w:color w:val="000000" w:themeColor="text1"/>
          <w:sz w:val="16"/>
          <w:szCs w:val="16"/>
        </w:rPr>
        <w:softHyphen/>
        <w:t>требитель легко заходил в хвост Ил-8 на дистанцию действительного огня, тогда как ведение прицельного огня из БТ-20 на вираже оказалось зат</w:t>
      </w:r>
      <w:r w:rsidRPr="00F90EAE">
        <w:rPr>
          <w:color w:val="000000" w:themeColor="text1"/>
          <w:sz w:val="16"/>
          <w:szCs w:val="16"/>
        </w:rPr>
        <w:softHyphen/>
        <w:t>руднительным.</w:t>
      </w:r>
    </w:p>
    <w:p w14:paraId="728353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то же время п-к Н. И. Шауров, давая тактическую оценку самолету, указывал: </w:t>
      </w:r>
      <w:r w:rsidRPr="00F90EAE">
        <w:rPr>
          <w:iCs/>
          <w:color w:val="000000" w:themeColor="text1"/>
          <w:sz w:val="16"/>
          <w:szCs w:val="16"/>
        </w:rPr>
        <w:t>"...недостаточная манев</w:t>
      </w:r>
      <w:r w:rsidRPr="00F90EAE">
        <w:rPr>
          <w:iCs/>
          <w:color w:val="000000" w:themeColor="text1"/>
          <w:sz w:val="16"/>
          <w:szCs w:val="16"/>
        </w:rPr>
        <w:softHyphen/>
        <w:t>ренность Ил-8 ограничивает ведение</w:t>
      </w:r>
    </w:p>
    <w:p w14:paraId="333420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iCs/>
          <w:color w:val="000000" w:themeColor="text1"/>
          <w:sz w:val="16"/>
          <w:szCs w:val="16"/>
        </w:rPr>
        <w:t>огня в воздушном бою из передних огневых точек по истребителю".</w:t>
      </w:r>
    </w:p>
    <w:p w14:paraId="71BF18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Новый вариант Ил-8-го в срав</w:t>
      </w:r>
      <w:r w:rsidRPr="00F90EAE">
        <w:rPr>
          <w:color w:val="000000" w:themeColor="text1"/>
          <w:sz w:val="16"/>
          <w:szCs w:val="16"/>
        </w:rPr>
        <w:softHyphen/>
        <w:t>нении с Ил-АМ-42 имел более раз</w:t>
      </w:r>
      <w:r w:rsidRPr="00F90EAE">
        <w:rPr>
          <w:color w:val="000000" w:themeColor="text1"/>
          <w:sz w:val="16"/>
          <w:szCs w:val="16"/>
        </w:rPr>
        <w:softHyphen/>
        <w:t>нообразное оборудование. В част</w:t>
      </w:r>
      <w:r w:rsidRPr="00F90EAE">
        <w:rPr>
          <w:color w:val="000000" w:themeColor="text1"/>
          <w:sz w:val="16"/>
          <w:szCs w:val="16"/>
        </w:rPr>
        <w:softHyphen/>
        <w:t>ности, самолет снабжался радиопе</w:t>
      </w:r>
      <w:r w:rsidRPr="00F90EAE">
        <w:rPr>
          <w:color w:val="000000" w:themeColor="text1"/>
          <w:sz w:val="16"/>
          <w:szCs w:val="16"/>
        </w:rPr>
        <w:softHyphen/>
        <w:t>редатчиком РСИ-ЗМГ и радиоприем</w:t>
      </w:r>
      <w:r w:rsidRPr="00F90EAE">
        <w:rPr>
          <w:color w:val="000000" w:themeColor="text1"/>
          <w:sz w:val="16"/>
          <w:szCs w:val="16"/>
        </w:rPr>
        <w:softHyphen/>
        <w:t>ником РСИ-6МУ (с дистанционным управлением), радиополукомпасом РПКО-10 и радиоопознавателем СЧ-3 ("свой-чужой").</w:t>
      </w:r>
    </w:p>
    <w:p w14:paraId="4B1F79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работы радио-и спецоборудования устанавливались две антенны: одна для СЧ-3, а дру</w:t>
      </w:r>
      <w:r w:rsidRPr="00F90EAE">
        <w:rPr>
          <w:color w:val="000000" w:themeColor="text1"/>
          <w:sz w:val="16"/>
          <w:szCs w:val="16"/>
        </w:rPr>
        <w:softHyphen/>
        <w:t>гая — для связной радиостанции и РПКО.</w:t>
      </w:r>
    </w:p>
    <w:p w14:paraId="1173CF0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 результатов бомбо</w:t>
      </w:r>
      <w:r w:rsidRPr="00F90EAE">
        <w:rPr>
          <w:color w:val="000000" w:themeColor="text1"/>
          <w:sz w:val="16"/>
          <w:szCs w:val="16"/>
        </w:rPr>
        <w:softHyphen/>
        <w:t>метания, а также проведение пла</w:t>
      </w:r>
      <w:r w:rsidRPr="00F90EAE">
        <w:rPr>
          <w:color w:val="000000" w:themeColor="text1"/>
          <w:sz w:val="16"/>
          <w:szCs w:val="16"/>
        </w:rPr>
        <w:softHyphen/>
        <w:t>новой аэрофотосъемки и съемки на</w:t>
      </w:r>
      <w:r w:rsidRPr="00F90EAE">
        <w:rPr>
          <w:color w:val="000000" w:themeColor="text1"/>
          <w:sz w:val="16"/>
          <w:szCs w:val="16"/>
        </w:rPr>
        <w:softHyphen/>
        <w:t>зад под углами 25° и 50° обеспечи</w:t>
      </w:r>
      <w:r w:rsidRPr="00F90EAE">
        <w:rPr>
          <w:color w:val="000000" w:themeColor="text1"/>
          <w:sz w:val="16"/>
          <w:szCs w:val="16"/>
        </w:rPr>
        <w:softHyphen/>
        <w:t>вался фотоаппаратом АФА-ИМ.</w:t>
      </w:r>
    </w:p>
    <w:p w14:paraId="22DAEB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Предъявляя Ил-8 на испытания, Ильюшин предусмотрел вариант уси</w:t>
      </w:r>
      <w:r w:rsidRPr="00F90EAE">
        <w:rPr>
          <w:color w:val="000000" w:themeColor="text1"/>
          <w:sz w:val="16"/>
          <w:szCs w:val="16"/>
        </w:rPr>
        <w:softHyphen/>
        <w:t>ления бронирования самолета в слу</w:t>
      </w:r>
      <w:r w:rsidRPr="00F90EAE">
        <w:rPr>
          <w:color w:val="000000" w:themeColor="text1"/>
          <w:sz w:val="16"/>
          <w:szCs w:val="16"/>
        </w:rPr>
        <w:softHyphen/>
        <w:t>чае его запуска в серийное произ</w:t>
      </w:r>
      <w:r w:rsidRPr="00F90EAE">
        <w:rPr>
          <w:color w:val="000000" w:themeColor="text1"/>
          <w:sz w:val="16"/>
          <w:szCs w:val="16"/>
        </w:rPr>
        <w:softHyphen/>
        <w:t>водство, что и было отражено в от</w:t>
      </w:r>
      <w:r w:rsidRPr="00F90EAE">
        <w:rPr>
          <w:color w:val="000000" w:themeColor="text1"/>
          <w:sz w:val="16"/>
          <w:szCs w:val="16"/>
        </w:rPr>
        <w:softHyphen/>
        <w:t>чете по испытаниям.</w:t>
      </w:r>
    </w:p>
    <w:p w14:paraId="43914B4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серии предполагалось улучшить защиту стрелка со стороны задней полусферы за счет установки двух разнесенных друг от друга бронеп-лит толщиной 4 мм и 12 мм. Броне-стойкость такой системы, как пока</w:t>
      </w:r>
      <w:r w:rsidRPr="00F90EAE">
        <w:rPr>
          <w:color w:val="000000" w:themeColor="text1"/>
          <w:sz w:val="16"/>
          <w:szCs w:val="16"/>
        </w:rPr>
        <w:softHyphen/>
        <w:t>зали полигонные испытания, оказа</w:t>
      </w:r>
      <w:r w:rsidRPr="00F90EAE">
        <w:rPr>
          <w:color w:val="000000" w:themeColor="text1"/>
          <w:sz w:val="16"/>
          <w:szCs w:val="16"/>
        </w:rPr>
        <w:softHyphen/>
        <w:t>лась значительно более высокой, чем системы, состоящей из двух 8-мм бро-неплит. Согласно документам, уста</w:t>
      </w:r>
      <w:r w:rsidRPr="00F90EAE">
        <w:rPr>
          <w:color w:val="000000" w:themeColor="text1"/>
          <w:sz w:val="16"/>
          <w:szCs w:val="16"/>
        </w:rPr>
        <w:softHyphen/>
        <w:t>новка нового бронекорпуса увеличи</w:t>
      </w:r>
      <w:r w:rsidRPr="00F90EAE">
        <w:rPr>
          <w:color w:val="000000" w:themeColor="text1"/>
          <w:sz w:val="16"/>
          <w:szCs w:val="16"/>
        </w:rPr>
        <w:softHyphen/>
        <w:t>вала вес пустого самолета на 63 кг.</w:t>
      </w:r>
    </w:p>
    <w:p w14:paraId="3800E7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заключение отчета самолет ре</w:t>
      </w:r>
      <w:r w:rsidRPr="00F90EAE">
        <w:rPr>
          <w:color w:val="000000" w:themeColor="text1"/>
          <w:sz w:val="16"/>
          <w:szCs w:val="16"/>
        </w:rPr>
        <w:softHyphen/>
        <w:t xml:space="preserve">комендовался </w:t>
      </w:r>
      <w:r w:rsidRPr="00F90EAE">
        <w:rPr>
          <w:iCs/>
          <w:color w:val="000000" w:themeColor="text1"/>
          <w:sz w:val="16"/>
          <w:szCs w:val="16"/>
        </w:rPr>
        <w:t>"к внедрению в серий</w:t>
      </w:r>
      <w:r w:rsidRPr="00F90EAE">
        <w:rPr>
          <w:iCs/>
          <w:color w:val="000000" w:themeColor="text1"/>
          <w:sz w:val="16"/>
          <w:szCs w:val="16"/>
        </w:rPr>
        <w:softHyphen/>
        <w:t>ное производство в качестве штур</w:t>
      </w:r>
      <w:r w:rsidRPr="00F90EAE">
        <w:rPr>
          <w:iCs/>
          <w:color w:val="000000" w:themeColor="text1"/>
          <w:sz w:val="16"/>
          <w:szCs w:val="16"/>
        </w:rPr>
        <w:softHyphen/>
        <w:t xml:space="preserve">мовика - бомбардировщика". </w:t>
      </w:r>
      <w:r w:rsidRPr="00F90EAE">
        <w:rPr>
          <w:color w:val="000000" w:themeColor="text1"/>
          <w:sz w:val="16"/>
          <w:szCs w:val="16"/>
        </w:rPr>
        <w:t>Одна</w:t>
      </w:r>
      <w:r w:rsidRPr="00F90EAE">
        <w:rPr>
          <w:color w:val="000000" w:themeColor="text1"/>
          <w:sz w:val="16"/>
          <w:szCs w:val="16"/>
        </w:rPr>
        <w:softHyphen/>
        <w:t>ко окончательное решение о целе</w:t>
      </w:r>
      <w:r w:rsidRPr="00F90EAE">
        <w:rPr>
          <w:color w:val="000000" w:themeColor="text1"/>
          <w:sz w:val="16"/>
          <w:szCs w:val="16"/>
        </w:rPr>
        <w:softHyphen/>
        <w:t>сообразности постановки Ил-8 на вооружение ВВС КА предлагалось принять после доработки самолета по замечаниям НИИ ВВС и повтор</w:t>
      </w:r>
      <w:r w:rsidRPr="00F90EAE">
        <w:rPr>
          <w:color w:val="000000" w:themeColor="text1"/>
          <w:sz w:val="16"/>
          <w:szCs w:val="16"/>
        </w:rPr>
        <w:softHyphen/>
        <w:t>ных государственных испытаний. Акт по испытаниям был подписан началь</w:t>
      </w:r>
      <w:r w:rsidRPr="00F90EAE">
        <w:rPr>
          <w:color w:val="000000" w:themeColor="text1"/>
          <w:sz w:val="16"/>
          <w:szCs w:val="16"/>
        </w:rPr>
        <w:softHyphen/>
        <w:t>ником 1-го управления НИИ ВВС генералом Сафроновым 22 июля 1945 г. (11431).</w:t>
      </w:r>
    </w:p>
    <w:p w14:paraId="15CDB3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F72F27B"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27 мая 1945 начались полеты Ил-8 № 1 по программе государственных испытаний лишь. Всего до 7 июля было выполнено 52 полета с налетом 36 ч 35 мин. Ведущим летчиком-испытателем был подполковник А. К. Долгов, а ведущим инженером - инженер-капитан С. Г. Фролов.</w:t>
      </w:r>
    </w:p>
    <w:p w14:paraId="47CD0B1C"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За счет установки на самолет дополнительного съемного оборудования нормальный полетный вес увеличился до 7610 кг. Летные данные несколько снизились. Максимальная скорость не превысила 461 км/ч у земли и 509 км/ч - на высоте 2800 м, а время подъема на высоту 1000 м увеличилось до 2,6 минуты. Наибольшая дальность полета на высоте 500 м при скорости по прибору 299 км/ч составила 1140 км.</w:t>
      </w:r>
    </w:p>
    <w:p w14:paraId="20301461"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В материалах отчета отмечалось, что устойчивость и управляемость самолета хорошие, по технике пилотирования самолет оказался простым и в целом был доступен летчикам средней квалификации. Никаких особенностей, затрудняющих эксплуатацию самолета, не наблюдалось.</w:t>
      </w:r>
    </w:p>
    <w:p w14:paraId="6F8A9398"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Пикировал самолет весьма устойчиво вплоть до углов 45°. Отдача пушек практически не сказывалась на самолете, поэтому при любой длине очереди стрельба получалась вполне прицельной.</w:t>
      </w:r>
    </w:p>
    <w:p w14:paraId="324D1D90"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Однако указывались и существенные недостатки самолета, наличие которых «не позволяет полностью использовать его боевые свойства». В частности, бронирование Ил-8 сочли не отвечающим современным требованиям, так как голова стрелка не была защищена броней от огня сзади. На самолете отсутствовал бомбардировочный прицел, не был предусмотрен аварийный сброс фонаря кабины стрелка, не была установлена световая сигнализация выпуска и уборки шасси (только «солдатики»), плохая вентиляция и жара в кабинах летчика и стрелка, недостаточная эффективность тормозов и т. д.</w:t>
      </w:r>
    </w:p>
    <w:p w14:paraId="5373F427" w14:textId="77777777" w:rsidR="00B81DD0" w:rsidRPr="00F90EAE" w:rsidRDefault="00B81DD0"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 этому времени самолет приобретал окончательный вид. На машине отрабатывались схема бронирования, вооружение и состав оборудования, но главное, шла отладка винтомоторной группы. В основном занимались подбором лучшего типа воздушного винта. Были опробованы пять разных винтов: АВ-5л-18И диаметром 3,8 м, АВ-5л-42 диаметром 3,8 м, АВ-5 л-24 диаметром 3,6 м, АВ-9 л-22Б диаметром 3,6 м (четырехлопастный) и АВ-5л-42 диаметром 3,8 м («ужесченный»). Наилучшие результаты получились с винтом АВ-9 л-22 Б. В дальнейшем именно с этим винтом и были сняты все летно-технические характеристики самолета. Одновременно с винтами заменялись и моторы, которые не желали нормально работать. Лишь после установки на самолет третьего по счету мотора АМ-42 (зав. № 45591) появилась реальная возможность отлетать программу заводских испытаний.</w:t>
      </w:r>
    </w:p>
    <w:p w14:paraId="226A6A04"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В испытательную бригаду 240-го авиазавода входили: ведущий летчик - генерал-майор В. К. Коккинаки, ведущий инженер - А. П. Виноградов, инженер по винтомоторной группе - В. В. Семенов, бортмеханик самолета - Б. А. Голубев и ведущий инженер по отработке вооружения - Б. К. Посконов.</w:t>
      </w:r>
    </w:p>
    <w:p w14:paraId="6771D9DE"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По сравнению с опытным самолетом Ил-АМ-42 (экз. № 1) обновленная штурмовая «восьмерка» имела улучшенную аэродинамику, полностью цельнометаллическую конструкцию, увеличенный объем бензо - и маслобаков, расширенный состав спецоборудования.</w:t>
      </w:r>
    </w:p>
    <w:p w14:paraId="15BFFF41"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Вместо пушек ВЯ устанавливались две 23-мм пушки 115П (по 150 патронов на ствол) конструкции ОКБ-16 НКВ и оборонительная подвижная установка ВУ-9 с пушкой калибра 20 мм БТ-20 (150 патронов). Нормальная бомбовая загрузка машины увеличивалась до 1000 кг. При этом изменялась схема загрузки бомбами. Теперь бомбы калибра 50 и 100 кг загружались в бомбоотсеки так же, как и мелкие авиабомбы, прямо на створки отсека. Для защиты от атак истребителей противника со стороны нижней полусферы устанавливалась кассета ДАГ -10 с авиационными гранатами АГ-2. Ракетное вооружение не предусматривалось. Вес нормальной полезной нагрузки составил 2431 кг.</w:t>
      </w:r>
    </w:p>
    <w:p w14:paraId="01B01FC8"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На улучшенной «восьмерке» отсутствовал специальный бомбардировочный прицел. Бомбометание предполагалось осуществлять так же, как и на Ил-2, при помощи визирных штырей и линий на капоте мотора, меток и прицельных линий на лобовом и боковых бронестеклах фонаря кабины летчика, а также временного механизма штурмовика.</w:t>
      </w:r>
    </w:p>
    <w:p w14:paraId="5CBFF3DA"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Пушки 115П (в серии НС-23) разрабатывались под новый 23-мм патрон с уменьшенной баллистикой и по сравнению с ВЯ были почти вдвое легче, имели меньшую отдачу при стрельбе. Это обстоятельство позволило спроектировать более простую и легкую крыльевую пушечную установку, значительно упрощавшую эксплуатацию пушек.</w:t>
      </w:r>
    </w:p>
    <w:p w14:paraId="4AFAD4E1"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Главное же преимущество пушек 115П заключалось в повышении точности стрельбы, так как рассеивание снарядов при стрельбе из них было примерно в 2-3 раза меньше, чем при стрельбе из пушек ВЯ. Однако из-за меньшей начальной скорости снаряда пушки 115П его бронепробивные свойства были значительно хуже в сравнении со снарядом к пушке ВЯ.</w:t>
      </w:r>
    </w:p>
    <w:p w14:paraId="13C58EB0"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Основные проблемы в ходе испытаний возникли с мотором АМ-42, который недодавал мощность, «коптил от малого газа до номинала включительно», выбрасывал масло из суфлера, «особенно сильно при полете выше границы высотности». Отмечалось непостоянство наддува в полете при номинальной мощности мотора, тряска «за счет быстрого выхода из строя свечей». Запуск мотора на земле требовал повышенного подогрева и т. д. В общем, хлопот хватало.</w:t>
      </w:r>
    </w:p>
    <w:p w14:paraId="1CFFAC57"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Из-за сильного выброса масла в полете 26 апреля мотор АМ-42 (зав. № 45591) был снят с самолета и вместо него установлен новый мотор (зав. № 45760). Перед отправкой в утиль «старый» мотор наработал 22 ч 48 мин в воздухе и 16 ч - на земле. Однако АМ-42 с новым заводским номером работал не лучше прежнего. После двух полетов 3 мая в маслофильтре мотора было обнаружено «большое количество металлической стружки». Мотор был снят. Через два дня на Ил-8 № 1 установили другой мотор АМ-42 (зав. № 45733), с которым самолет 11 мая завершил заводские испытания. В общей сложности было выполнено 68 полетов с налетом 34 ч 9 мин.</w:t>
      </w:r>
    </w:p>
    <w:p w14:paraId="17833424"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lastRenderedPageBreak/>
        <w:t>При полетном весе 7540 кг (1000 кг бомб) самолет показал максимальную скорость 473 км/ч у земли и 516 км/ч - на высоте 2720 м. Время подъема на высоту 1000 м составило 2,2 минуты. Разбег на форсаже и с отклоненными на 17° щитками равнялся 526 м. С предельно возможной заправкой горючим и маслом (полетный вес 7830 кг) дальность полета на высоте 680 м при скорости по прибору 297 км/ч достигала 1270 км.</w:t>
      </w:r>
    </w:p>
    <w:p w14:paraId="1F73F4D7"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Генерал-майор В. К. Коккинаки дал хорошую оценку летным качествам самолета, отметив простоту и легкость управления, а также устойчивость машины по всем направлениям. Виражил и пикировал самолет устойчиво, без рысканий, легко «доворачивал» на цель. Вывод из пикирования никаких особенностей не имел. Посадка была простой, тенденций к сваливанию при высоком выравнивании не наблюдалось. В качестве недостатков указывались отсутствие триммера на элеронах и неравномерный обдув маслорадиатора.</w:t>
      </w:r>
    </w:p>
    <w:p w14:paraId="3E849294" w14:textId="77777777" w:rsidR="00B81DD0" w:rsidRPr="00F90EAE" w:rsidRDefault="00B81DD0"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Ил-8 № 1 рекомендовался «к внедрению в серийное производство в качестве штурмовика-бомбардировщика» (17490).</w:t>
      </w:r>
    </w:p>
    <w:p w14:paraId="7EF813A0" w14:textId="77777777" w:rsidR="00B81DD0" w:rsidRPr="00F90EAE" w:rsidRDefault="00B81DD0" w:rsidP="00F90EAE">
      <w:pPr>
        <w:jc w:val="both"/>
        <w:rPr>
          <w:color w:val="000000" w:themeColor="text1"/>
          <w:sz w:val="16"/>
          <w:szCs w:val="16"/>
        </w:rPr>
      </w:pPr>
    </w:p>
    <w:p w14:paraId="0E15D57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6ABF9B1" w14:textId="77777777" w:rsidR="00665165" w:rsidRPr="00F90EAE" w:rsidRDefault="00665165" w:rsidP="00F90EAE">
      <w:pPr>
        <w:autoSpaceDE w:val="0"/>
        <w:autoSpaceDN w:val="0"/>
        <w:adjustRightInd w:val="0"/>
        <w:jc w:val="both"/>
        <w:rPr>
          <w:iCs/>
          <w:color w:val="000000" w:themeColor="text1"/>
          <w:sz w:val="16"/>
          <w:szCs w:val="16"/>
        </w:rPr>
      </w:pPr>
    </w:p>
    <w:p w14:paraId="3E9700F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мая 1945 вышло Распоряжение ГКО № 8809 [О материально-техническом снабжении Физико-технического института АН УССР.] (7345, 1-2,3-5).</w:t>
      </w:r>
    </w:p>
    <w:p w14:paraId="420D2C18"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E61742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BB2CBEC" w14:textId="77777777" w:rsidR="00665165" w:rsidRPr="00F90EAE" w:rsidRDefault="00665165" w:rsidP="00F90EAE">
      <w:pPr>
        <w:autoSpaceDE w:val="0"/>
        <w:autoSpaceDN w:val="0"/>
        <w:adjustRightInd w:val="0"/>
        <w:jc w:val="both"/>
        <w:rPr>
          <w:iCs/>
          <w:color w:val="000000" w:themeColor="text1"/>
          <w:sz w:val="16"/>
          <w:szCs w:val="16"/>
        </w:rPr>
      </w:pPr>
    </w:p>
    <w:p w14:paraId="2545F3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мая 1945 г. вышел приказ НКО № 23 НОРМЫ ОПЛАТЫ ЛИТЕРАТУРНЫХ РАБОТ ПО ИЗДАНИЯМ ГЕНШТАБА КРАСНОЙ АРМИИ, ГЛАВНЫХ (ЦЕНТРАЛЬНЫХ) УПРАВЛЕНИЙ НКО</w:t>
      </w:r>
    </w:p>
    <w:p w14:paraId="07AC9B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 Ставки авторского гонорара за один авторский лист (40 000 типографских знаков):</w:t>
      </w:r>
    </w:p>
    <w:p w14:paraId="03DA33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рублях</w:t>
      </w:r>
    </w:p>
    <w:p w14:paraId="64E7ED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Военно-теоретические и исследовательские работы по вопросам: стратегии, оперативного искусства, оперативного использования родов войск и служб, военной истории и географии, а также по обобщению опыта иностранных армий по этим вопросам......................... 1500—3000</w:t>
      </w:r>
    </w:p>
    <w:p w14:paraId="308A4F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Военно-теоретические и исследовательские работы по вопросам тактики всех родов войск и служб, а также тактики иностранных армий................. 1000—2500</w:t>
      </w:r>
    </w:p>
    <w:p w14:paraId="45240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Научно-исследовательские работы по вопросам военной техники и оружия..................... 1000—2500</w:t>
      </w:r>
    </w:p>
    <w:p w14:paraId="12884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Описание боевой техники................ 1000—2000</w:t>
      </w:r>
    </w:p>
    <w:p w14:paraId="112020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Составление баллистических таблиц, если это является самостоятельным творчеством составителя...... 1000—2000</w:t>
      </w:r>
    </w:p>
    <w:p w14:paraId="187E73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Учебники.......................... 1500—2500</w:t>
      </w:r>
    </w:p>
    <w:p w14:paraId="46330D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Учебные пособия и руководства............ 1000—2500</w:t>
      </w:r>
    </w:p>
    <w:p w14:paraId="2FA5CA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Методические указания для занятий в военных академиях и институтах...................... 1000—2000</w:t>
      </w:r>
    </w:p>
    <w:p w14:paraId="066651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 Конспекты лекций, руководства к лабораторным работам, руководства к практике, курсы на правах рукописи 1000—2000</w:t>
      </w:r>
    </w:p>
    <w:p w14:paraId="1E512A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Переводы:</w:t>
      </w:r>
    </w:p>
    <w:p w14:paraId="2AD7BD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 западно-европейских языков и языков балканских стран................................ 400—700</w:t>
      </w:r>
    </w:p>
    <w:p w14:paraId="318CB0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с языков азиатских народностей............ 500-800</w:t>
      </w:r>
    </w:p>
    <w:p w14:paraId="7D588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 языков народностей СССР.............. 400—600</w:t>
      </w:r>
    </w:p>
    <w:p w14:paraId="47C2AA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с русского на языки народностей СССР....... 400—700</w:t>
      </w:r>
    </w:p>
    <w:p w14:paraId="12046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 Размер авторского гонорара, в пределах объявленных норм, устанавливается начальниками соответствующих управлений в зависимости от ценности издаваемых работ.</w:t>
      </w:r>
    </w:p>
    <w:p w14:paraId="4D5753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III. Указанные ставки выплачиваются независимо от тиража издания.</w:t>
      </w:r>
    </w:p>
    <w:p w14:paraId="2A28D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IV. При переиздании литературных работ авторский гонорар выплачивается в размере не свыше 60% ставки за первое издание.</w:t>
      </w:r>
    </w:p>
    <w:p w14:paraId="7C0138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V. За редактирование и рецензирование литературных работ, в том числе нештатными членами редколлегий военных и политических журналов, выплачивается вознаграждение в следующих размерах:</w:t>
      </w:r>
    </w:p>
    <w:p w14:paraId="55D259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за редактирование — не свыше 15% авторского гонорара;</w:t>
      </w:r>
    </w:p>
    <w:p w14:paraId="01B5AB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за рецензирование — не свыше 7% авторского гонорара (9844).</w:t>
      </w:r>
    </w:p>
    <w:p w14:paraId="317F99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 4, оп. 12, д. 111, л. 369—371. Подлинник.</w:t>
      </w:r>
    </w:p>
    <w:p w14:paraId="073DD45B" w14:textId="77777777" w:rsidR="00665165" w:rsidRPr="00F90EAE" w:rsidRDefault="00665165" w:rsidP="00F90EAE">
      <w:pPr>
        <w:autoSpaceDE w:val="0"/>
        <w:autoSpaceDN w:val="0"/>
        <w:adjustRightInd w:val="0"/>
        <w:jc w:val="both"/>
        <w:rPr>
          <w:iCs/>
          <w:color w:val="000000" w:themeColor="text1"/>
          <w:sz w:val="16"/>
          <w:szCs w:val="16"/>
        </w:rPr>
      </w:pPr>
    </w:p>
    <w:p w14:paraId="6A086C37"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02C6CEB" w14:textId="77777777" w:rsidR="00665165" w:rsidRPr="00F90EAE" w:rsidRDefault="00665165" w:rsidP="00F90EAE">
      <w:pPr>
        <w:autoSpaceDE w:val="0"/>
        <w:autoSpaceDN w:val="0"/>
        <w:adjustRightInd w:val="0"/>
        <w:jc w:val="both"/>
        <w:rPr>
          <w:iCs/>
          <w:color w:val="000000" w:themeColor="text1"/>
          <w:sz w:val="16"/>
          <w:szCs w:val="16"/>
        </w:rPr>
      </w:pPr>
    </w:p>
    <w:p w14:paraId="235B65A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мая 1945 англичане в Австрии передали советским властям русский казачий корпус, созданный фашистами и шедший на соединение с власовцами (4962). Близ Линца в Австрии англичане передали советским войскам 15-й казачий кавалерийский корпус СС , первоначально шедший из Италии на соединение с РОА (37 генералов (среди них Шкуро и Краснов), 2200 офицеров, 30 000 казаков) (4963 ).</w:t>
      </w:r>
    </w:p>
    <w:p w14:paraId="0456F8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1779E2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 мая 1945 близ Линца в Австрии англичане передали советским союзникам казачий корпус, шедший из Италии на соединение с РОА - армией Власова. 37 генералов, 2200 офицеров, 30000 казаков. Все отправились в ГУЛАГ (3481).</w:t>
      </w:r>
    </w:p>
    <w:p w14:paraId="39F80FC2" w14:textId="77777777" w:rsidR="00665165" w:rsidRPr="00F90EAE" w:rsidRDefault="00665165" w:rsidP="00F90EAE">
      <w:pPr>
        <w:autoSpaceDE w:val="0"/>
        <w:autoSpaceDN w:val="0"/>
        <w:adjustRightInd w:val="0"/>
        <w:jc w:val="both"/>
        <w:rPr>
          <w:color w:val="000000" w:themeColor="text1"/>
          <w:sz w:val="16"/>
          <w:szCs w:val="16"/>
        </w:rPr>
      </w:pPr>
    </w:p>
    <w:p w14:paraId="7C815413" w14:textId="77777777" w:rsidR="00F3710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8834B80" w14:textId="77777777" w:rsidR="00F37105" w:rsidRPr="00F90EAE" w:rsidRDefault="00F37105" w:rsidP="00F90EAE">
      <w:pPr>
        <w:autoSpaceDE w:val="0"/>
        <w:autoSpaceDN w:val="0"/>
        <w:adjustRightInd w:val="0"/>
        <w:jc w:val="both"/>
        <w:rPr>
          <w:iCs/>
          <w:color w:val="000000" w:themeColor="text1"/>
          <w:sz w:val="16"/>
          <w:szCs w:val="16"/>
        </w:rPr>
      </w:pPr>
    </w:p>
    <w:p w14:paraId="2FF424E0" w14:textId="77777777" w:rsidR="00F37105" w:rsidRPr="00F90EAE" w:rsidRDefault="00F37105" w:rsidP="00F90EAE">
      <w:pPr>
        <w:jc w:val="both"/>
        <w:rPr>
          <w:color w:val="000000" w:themeColor="text1"/>
          <w:sz w:val="16"/>
          <w:szCs w:val="16"/>
        </w:rPr>
      </w:pPr>
      <w:r w:rsidRPr="00F90EAE">
        <w:rPr>
          <w:bCs/>
          <w:color w:val="000000" w:themeColor="text1"/>
          <w:sz w:val="16"/>
          <w:szCs w:val="16"/>
        </w:rPr>
        <w:t>27 мая</w:t>
      </w:r>
      <w:r w:rsidRPr="00F90EAE">
        <w:rPr>
          <w:color w:val="000000" w:themeColor="text1"/>
          <w:sz w:val="16"/>
          <w:szCs w:val="16"/>
        </w:rPr>
        <w:t xml:space="preserve"> в 1945 году во время авиашоу, когда он выполнял медленную "бочку", разбился третий «ХР-55». Пилот получил смертельные ранения. Второй прототип в настоящее время находится в Национальном музее авиации и космонавтики США в Вашингтоне (14904).</w:t>
      </w:r>
    </w:p>
    <w:p w14:paraId="443761C4" w14:textId="77777777" w:rsidR="00F37105" w:rsidRPr="00F90EAE" w:rsidRDefault="00F37105" w:rsidP="00F90EAE">
      <w:pPr>
        <w:jc w:val="both"/>
        <w:rPr>
          <w:color w:val="000000" w:themeColor="text1"/>
          <w:sz w:val="16"/>
          <w:szCs w:val="16"/>
        </w:rPr>
      </w:pPr>
    </w:p>
    <w:p w14:paraId="7848D641" w14:textId="77777777" w:rsidR="00247854" w:rsidRPr="00F90EAE" w:rsidRDefault="00247854" w:rsidP="00F90EAE">
      <w:pPr>
        <w:jc w:val="both"/>
        <w:rPr>
          <w:color w:val="0070C0"/>
          <w:sz w:val="16"/>
          <w:szCs w:val="16"/>
        </w:rPr>
      </w:pPr>
      <w:r w:rsidRPr="00F90EAE">
        <w:rPr>
          <w:color w:val="0070C0"/>
          <w:sz w:val="16"/>
          <w:szCs w:val="16"/>
        </w:rPr>
        <w:t>27 мая 1945 во время авиашоу Бонда на Ярмарке ВВС в Райт-Филд в Дейтоне, штат Огайо, пилот прототипа истребителя ВВС США Curtiss XP-55 Ascender (серийный номер 42-78847 ) пытается медленно лететь во время показательного полета после низкого прохода совместно с P-38 Lightning и P-51 Mustang, но теряет высоту и разбивается, рассыпая горящие обломки на гражданскими наземные транспортные средства на шоссе рядом с аэродромом. Крушение убивает пилота XP-55 и 2-4 гражданских лица (источники отличаются) на земле (20371).</w:t>
      </w:r>
    </w:p>
    <w:p w14:paraId="1D5084BC" w14:textId="77777777" w:rsidR="00247854" w:rsidRPr="00F90EAE" w:rsidRDefault="00247854" w:rsidP="00F90EAE">
      <w:pPr>
        <w:jc w:val="both"/>
        <w:rPr>
          <w:color w:val="0070C0"/>
          <w:sz w:val="16"/>
          <w:szCs w:val="16"/>
        </w:rPr>
      </w:pPr>
    </w:p>
    <w:p w14:paraId="3500E35C" w14:textId="77777777" w:rsidR="00247854" w:rsidRPr="00F90EAE" w:rsidRDefault="00247854" w:rsidP="00F90EAE">
      <w:pPr>
        <w:jc w:val="both"/>
        <w:rPr>
          <w:color w:val="0070C0"/>
          <w:sz w:val="16"/>
          <w:szCs w:val="16"/>
        </w:rPr>
      </w:pPr>
      <w:r w:rsidRPr="00F90EAE">
        <w:rPr>
          <w:color w:val="0070C0"/>
          <w:sz w:val="16"/>
          <w:szCs w:val="16"/>
        </w:rPr>
        <w:t>27–29 мая 1945 в восьмой атаке японцев кикусуи у Окинавы участвуют 110 камикадзе . Они потопили эсминец и повредили два эсминца, три торговых корабля и боевой транспорт (20371).</w:t>
      </w:r>
    </w:p>
    <w:p w14:paraId="7E1F09B3" w14:textId="77777777" w:rsidR="00247854" w:rsidRPr="00F90EAE" w:rsidRDefault="00247854" w:rsidP="00F90EAE">
      <w:pPr>
        <w:jc w:val="both"/>
        <w:rPr>
          <w:color w:val="0070C0"/>
          <w:sz w:val="16"/>
          <w:szCs w:val="16"/>
        </w:rPr>
      </w:pPr>
    </w:p>
    <w:p w14:paraId="1BAE857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1437B08" w14:textId="77777777" w:rsidR="00665165" w:rsidRPr="00F90EAE" w:rsidRDefault="00665165" w:rsidP="00F90EAE">
      <w:pPr>
        <w:autoSpaceDE w:val="0"/>
        <w:autoSpaceDN w:val="0"/>
        <w:adjustRightInd w:val="0"/>
        <w:jc w:val="both"/>
        <w:rPr>
          <w:iCs/>
          <w:color w:val="000000" w:themeColor="text1"/>
          <w:sz w:val="16"/>
          <w:szCs w:val="16"/>
        </w:rPr>
      </w:pPr>
    </w:p>
    <w:p w14:paraId="64D38FFC" w14:textId="77777777" w:rsidR="0038610C" w:rsidRPr="00F90EAE" w:rsidRDefault="0038610C" w:rsidP="00F90EAE">
      <w:pPr>
        <w:jc w:val="both"/>
        <w:rPr>
          <w:color w:val="000000" w:themeColor="text1"/>
          <w:sz w:val="16"/>
          <w:szCs w:val="16"/>
        </w:rPr>
      </w:pPr>
      <w:r w:rsidRPr="00F90EAE">
        <w:rPr>
          <w:color w:val="000000" w:themeColor="text1"/>
          <w:sz w:val="16"/>
          <w:szCs w:val="16"/>
        </w:rPr>
        <w:t>28 мая 1945 г. после доклада предварительных ре</w:t>
      </w:r>
      <w:r w:rsidRPr="00F90EAE">
        <w:rPr>
          <w:color w:val="000000" w:themeColor="text1"/>
          <w:sz w:val="16"/>
          <w:szCs w:val="16"/>
        </w:rPr>
        <w:softHyphen/>
        <w:t>зультатов расследований причин ава</w:t>
      </w:r>
      <w:r w:rsidRPr="00F90EAE">
        <w:rPr>
          <w:color w:val="000000" w:themeColor="text1"/>
          <w:sz w:val="16"/>
          <w:szCs w:val="16"/>
        </w:rPr>
        <w:softHyphen/>
        <w:t>рий и катастроф самолетов Ил-2 тремя комиссиями секре</w:t>
      </w:r>
      <w:r w:rsidRPr="00F90EAE">
        <w:rPr>
          <w:color w:val="000000" w:themeColor="text1"/>
          <w:sz w:val="16"/>
          <w:szCs w:val="16"/>
        </w:rPr>
        <w:softHyphen/>
        <w:t>тарю ЦК ВКП(б) Маленкову состоялось рассмотрения вопроса у Ста</w:t>
      </w:r>
      <w:r w:rsidRPr="00F90EAE">
        <w:rPr>
          <w:color w:val="000000" w:themeColor="text1"/>
          <w:sz w:val="16"/>
          <w:szCs w:val="16"/>
        </w:rPr>
        <w:softHyphen/>
        <w:t>лина и вышло постановление Государственного Комитета Обороны «О заводе №30 (Наркомата авиационной промышленности)». В нем указывалось:</w:t>
      </w:r>
    </w:p>
    <w:p w14:paraId="2347AB96" w14:textId="77777777" w:rsidR="0038610C" w:rsidRPr="00F90EAE" w:rsidRDefault="0038610C" w:rsidP="00F90EAE">
      <w:pPr>
        <w:jc w:val="both"/>
        <w:rPr>
          <w:color w:val="000000" w:themeColor="text1"/>
          <w:sz w:val="16"/>
          <w:szCs w:val="16"/>
        </w:rPr>
      </w:pPr>
      <w:r w:rsidRPr="00F90EAE">
        <w:rPr>
          <w:rStyle w:val="81"/>
          <w:rFonts w:ascii="Times New Roman" w:hAnsi="Times New Roman" w:cs="Times New Roman"/>
          <w:color w:val="000000" w:themeColor="text1"/>
        </w:rPr>
        <w:t>«В связи с тем, что на заводе №50 НКАП, где директором является т. Шапиро, глав</w:t>
      </w:r>
      <w:r w:rsidRPr="00F90EAE">
        <w:rPr>
          <w:rStyle w:val="81"/>
          <w:rFonts w:ascii="Times New Roman" w:hAnsi="Times New Roman" w:cs="Times New Roman"/>
          <w:color w:val="000000" w:themeColor="text1"/>
        </w:rPr>
        <w:softHyphen/>
        <w:t>ным инженером т. Бродянский, старшим военпредом т. Фалалеев, начальником от</w:t>
      </w:r>
      <w:r w:rsidRPr="00F90EAE">
        <w:rPr>
          <w:rStyle w:val="81"/>
          <w:rFonts w:ascii="Times New Roman" w:hAnsi="Times New Roman" w:cs="Times New Roman"/>
          <w:color w:val="000000" w:themeColor="text1"/>
        </w:rPr>
        <w:softHyphen/>
        <w:t>дела технического контроля т. Маргулис за последние</w:t>
      </w:r>
      <w:r w:rsidRPr="00F90EAE">
        <w:rPr>
          <w:rStyle w:val="885pt100"/>
          <w:rFonts w:ascii="Times New Roman" w:hAnsi="Times New Roman" w:cs="Times New Roman"/>
          <w:i w:val="0"/>
          <w:iCs w:val="0"/>
          <w:color w:val="000000" w:themeColor="text1"/>
          <w:sz w:val="16"/>
          <w:szCs w:val="16"/>
        </w:rPr>
        <w:t xml:space="preserve"> 5</w:t>
      </w:r>
      <w:r w:rsidRPr="00F90EAE">
        <w:rPr>
          <w:rStyle w:val="81"/>
          <w:rFonts w:ascii="Times New Roman" w:hAnsi="Times New Roman" w:cs="Times New Roman"/>
          <w:color w:val="000000" w:themeColor="text1"/>
        </w:rPr>
        <w:t xml:space="preserve"> месяца допустили по</w:t>
      </w:r>
      <w:r w:rsidRPr="00F90EAE">
        <w:rPr>
          <w:rStyle w:val="81"/>
          <w:rFonts w:ascii="Times New Roman" w:hAnsi="Times New Roman" w:cs="Times New Roman"/>
          <w:color w:val="000000" w:themeColor="text1"/>
        </w:rPr>
        <w:softHyphen/>
        <w:t>ставку недоброкачественных крыльев на нескольких самолетах Ил-2, в резуль</w:t>
      </w:r>
      <w:r w:rsidRPr="00F90EAE">
        <w:rPr>
          <w:rStyle w:val="81"/>
          <w:rFonts w:ascii="Times New Roman" w:hAnsi="Times New Roman" w:cs="Times New Roman"/>
          <w:color w:val="000000" w:themeColor="text1"/>
        </w:rPr>
        <w:softHyphen/>
        <w:t>тате чего на фронте имели место ката</w:t>
      </w:r>
      <w:r w:rsidRPr="00F90EAE">
        <w:rPr>
          <w:rStyle w:val="81"/>
          <w:rFonts w:ascii="Times New Roman" w:hAnsi="Times New Roman" w:cs="Times New Roman"/>
          <w:color w:val="000000" w:themeColor="text1"/>
        </w:rPr>
        <w:softHyphen/>
        <w:t>строфы, ГКО постановляет:</w:t>
      </w:r>
    </w:p>
    <w:p w14:paraId="0F8E68B2" w14:textId="77777777" w:rsidR="0038610C" w:rsidRPr="00F90EAE" w:rsidRDefault="0038610C" w:rsidP="00F90EAE">
      <w:pPr>
        <w:pStyle w:val="80"/>
        <w:shd w:val="clear" w:color="auto" w:fill="auto"/>
        <w:tabs>
          <w:tab w:val="left" w:pos="462"/>
        </w:tabs>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1. Отдать под суд начальника ОТК за</w:t>
      </w:r>
      <w:r w:rsidRPr="00F90EAE">
        <w:rPr>
          <w:rFonts w:ascii="Times New Roman" w:hAnsi="Times New Roman" w:cs="Times New Roman"/>
          <w:color w:val="000000" w:themeColor="text1"/>
        </w:rPr>
        <w:softHyphen/>
        <w:t>вода №50 НКАП т. Маргулиса.</w:t>
      </w:r>
    </w:p>
    <w:p w14:paraId="655327EA" w14:textId="77777777" w:rsidR="0038610C" w:rsidRPr="00F90EAE" w:rsidRDefault="0038610C" w:rsidP="00F90EAE">
      <w:pPr>
        <w:pStyle w:val="80"/>
        <w:shd w:val="clear" w:color="auto" w:fill="auto"/>
        <w:tabs>
          <w:tab w:val="left" w:pos="466"/>
        </w:tabs>
        <w:spacing w:line="240" w:lineRule="auto"/>
        <w:jc w:val="both"/>
        <w:rPr>
          <w:rFonts w:ascii="Times New Roman" w:hAnsi="Times New Roman" w:cs="Times New Roman"/>
          <w:color w:val="000000" w:themeColor="text1"/>
        </w:rPr>
      </w:pPr>
      <w:r w:rsidRPr="00F90EAE">
        <w:rPr>
          <w:rFonts w:ascii="Times New Roman" w:hAnsi="Times New Roman" w:cs="Times New Roman"/>
          <w:color w:val="000000" w:themeColor="text1"/>
        </w:rPr>
        <w:t>2. Объявить директору завода №50 НКАП т. Шапиро, главному инженеру за</w:t>
      </w:r>
      <w:r w:rsidRPr="00F90EAE">
        <w:rPr>
          <w:rFonts w:ascii="Times New Roman" w:hAnsi="Times New Roman" w:cs="Times New Roman"/>
          <w:color w:val="000000" w:themeColor="text1"/>
        </w:rPr>
        <w:softHyphen/>
        <w:t>вода №50 НКАП и старшему военпреду за</w:t>
      </w:r>
      <w:r w:rsidRPr="00F90EAE">
        <w:rPr>
          <w:rFonts w:ascii="Times New Roman" w:hAnsi="Times New Roman" w:cs="Times New Roman"/>
          <w:color w:val="000000" w:themeColor="text1"/>
        </w:rPr>
        <w:softHyphen/>
        <w:t>вода №50 НКАП строгий выговор с преду</w:t>
      </w:r>
      <w:r w:rsidRPr="00F90EAE">
        <w:rPr>
          <w:rFonts w:ascii="Times New Roman" w:hAnsi="Times New Roman" w:cs="Times New Roman"/>
          <w:color w:val="000000" w:themeColor="text1"/>
        </w:rPr>
        <w:softHyphen/>
        <w:t>преждением...</w:t>
      </w:r>
    </w:p>
    <w:p w14:paraId="422F1F23" w14:textId="77777777" w:rsidR="0038610C" w:rsidRPr="00F90EAE" w:rsidRDefault="0038610C" w:rsidP="00F90EAE">
      <w:pPr>
        <w:jc w:val="both"/>
        <w:rPr>
          <w:rStyle w:val="9pt80"/>
          <w:rFonts w:ascii="Times New Roman" w:hAnsi="Times New Roman" w:cs="Times New Roman"/>
          <w:color w:val="000000" w:themeColor="text1"/>
          <w:w w:val="100"/>
          <w:sz w:val="16"/>
          <w:szCs w:val="16"/>
        </w:rPr>
      </w:pPr>
      <w:r w:rsidRPr="00F90EAE">
        <w:rPr>
          <w:color w:val="000000" w:themeColor="text1"/>
          <w:sz w:val="16"/>
          <w:szCs w:val="16"/>
        </w:rPr>
        <w:t>5. Обязать Наркома авиационной про</w:t>
      </w:r>
      <w:r w:rsidRPr="00F90EAE">
        <w:rPr>
          <w:color w:val="000000" w:themeColor="text1"/>
          <w:sz w:val="16"/>
          <w:szCs w:val="16"/>
        </w:rPr>
        <w:softHyphen/>
        <w:t>мышленности т. Шахурина лично навести должный порядок на заводе, обеспечив вы</w:t>
      </w:r>
      <w:r w:rsidRPr="00F90EAE">
        <w:rPr>
          <w:color w:val="000000" w:themeColor="text1"/>
          <w:sz w:val="16"/>
          <w:szCs w:val="16"/>
        </w:rPr>
        <w:softHyphen/>
        <w:t>пуск заводом №50 вполне доброкачествен</w:t>
      </w:r>
      <w:r w:rsidRPr="00F90EAE">
        <w:rPr>
          <w:color w:val="000000" w:themeColor="text1"/>
          <w:sz w:val="16"/>
          <w:szCs w:val="16"/>
        </w:rPr>
        <w:softHyphen/>
        <w:t>ных самолетов".</w:t>
      </w:r>
    </w:p>
    <w:p w14:paraId="24CA6778" w14:textId="77777777" w:rsidR="0038610C" w:rsidRPr="00F90EAE" w:rsidRDefault="0038610C" w:rsidP="00F90EAE">
      <w:pPr>
        <w:pStyle w:val="250"/>
        <w:shd w:val="clear" w:color="auto" w:fill="auto"/>
        <w:spacing w:after="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Следствием решения ГКО стал приказ наркома Шахурина, согласно которому, по</w:t>
      </w:r>
      <w:r w:rsidRPr="00F90EAE">
        <w:rPr>
          <w:rFonts w:ascii="Times New Roman" w:cs="Times New Roman"/>
          <w:color w:val="000000" w:themeColor="text1"/>
          <w:sz w:val="16"/>
          <w:szCs w:val="16"/>
        </w:rPr>
        <w:softHyphen/>
        <w:t>мимо прочего, директорам заводов №№1 и 18 Третьякову и Белянскому объявлялось по выговору с предупреждением.</w:t>
      </w:r>
    </w:p>
    <w:p w14:paraId="03F033B3" w14:textId="77777777" w:rsidR="0038610C" w:rsidRPr="00F90EAE" w:rsidRDefault="0038610C" w:rsidP="00F90EAE">
      <w:pPr>
        <w:pStyle w:val="250"/>
        <w:shd w:val="clear" w:color="auto" w:fill="auto"/>
        <w:spacing w:after="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Одновременно военная прокура</w:t>
      </w:r>
      <w:r w:rsidRPr="00F90EAE">
        <w:rPr>
          <w:rFonts w:ascii="Times New Roman" w:cs="Times New Roman"/>
          <w:color w:val="000000" w:themeColor="text1"/>
          <w:sz w:val="16"/>
          <w:szCs w:val="16"/>
        </w:rPr>
        <w:softHyphen/>
        <w:t>тура провела свое расследование фак</w:t>
      </w:r>
      <w:r w:rsidRPr="00F90EAE">
        <w:rPr>
          <w:rFonts w:ascii="Times New Roman" w:cs="Times New Roman"/>
          <w:color w:val="000000" w:themeColor="text1"/>
          <w:sz w:val="16"/>
          <w:szCs w:val="16"/>
        </w:rPr>
        <w:softHyphen/>
        <w:t>тов нарушений при производстве само</w:t>
      </w:r>
      <w:r w:rsidRPr="00F90EAE">
        <w:rPr>
          <w:rFonts w:ascii="Times New Roman" w:cs="Times New Roman"/>
          <w:color w:val="000000" w:themeColor="text1"/>
          <w:sz w:val="16"/>
          <w:szCs w:val="16"/>
        </w:rPr>
        <w:softHyphen/>
        <w:t>летов Ил-2 на заводе №30. В результате несколько начальников цехов и работни</w:t>
      </w:r>
      <w:r w:rsidRPr="00F90EAE">
        <w:rPr>
          <w:rFonts w:ascii="Times New Roman" w:cs="Times New Roman"/>
          <w:color w:val="000000" w:themeColor="text1"/>
          <w:sz w:val="16"/>
          <w:szCs w:val="16"/>
        </w:rPr>
        <w:softHyphen/>
        <w:t xml:space="preserve">ков ОТК завода №30 были приговорены </w:t>
      </w:r>
      <w:r w:rsidRPr="00F90EAE">
        <w:rPr>
          <w:rStyle w:val="Impact7pt"/>
          <w:rFonts w:ascii="Times New Roman" w:hAnsi="Times New Roman" w:cs="Times New Roman"/>
          <w:color w:val="000000" w:themeColor="text1"/>
          <w:sz w:val="16"/>
          <w:szCs w:val="16"/>
        </w:rPr>
        <w:t>к</w:t>
      </w:r>
      <w:r w:rsidRPr="00F90EAE">
        <w:rPr>
          <w:rFonts w:ascii="Times New Roman" w:cs="Times New Roman"/>
          <w:color w:val="000000" w:themeColor="text1"/>
          <w:sz w:val="16"/>
          <w:szCs w:val="16"/>
        </w:rPr>
        <w:t xml:space="preserve"> различным срокам заключения (от трех до восьми лет) (19557).</w:t>
      </w:r>
    </w:p>
    <w:p w14:paraId="30FC09FC" w14:textId="77777777" w:rsidR="0038610C" w:rsidRPr="00F90EAE" w:rsidRDefault="0038610C" w:rsidP="00F90EAE">
      <w:pPr>
        <w:pStyle w:val="250"/>
        <w:shd w:val="clear" w:color="auto" w:fill="auto"/>
        <w:spacing w:after="0" w:line="240" w:lineRule="auto"/>
        <w:jc w:val="both"/>
        <w:rPr>
          <w:rFonts w:ascii="Times New Roman" w:cs="Times New Roman"/>
          <w:color w:val="000000" w:themeColor="text1"/>
          <w:sz w:val="16"/>
          <w:szCs w:val="16"/>
        </w:rPr>
      </w:pPr>
    </w:p>
    <w:p w14:paraId="5017C5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закончились заводские испытания Як-9С ВК105ПФ2 и НС-23, которые начались 10 мая 1945 (65,144).</w:t>
      </w:r>
    </w:p>
    <w:p w14:paraId="3B04F34C" w14:textId="77777777" w:rsidR="00665165" w:rsidRPr="00F90EAE" w:rsidRDefault="00665165" w:rsidP="00F90EAE">
      <w:pPr>
        <w:autoSpaceDE w:val="0"/>
        <w:autoSpaceDN w:val="0"/>
        <w:adjustRightInd w:val="0"/>
        <w:jc w:val="both"/>
        <w:rPr>
          <w:color w:val="000000" w:themeColor="text1"/>
          <w:sz w:val="16"/>
          <w:szCs w:val="16"/>
        </w:rPr>
      </w:pPr>
    </w:p>
    <w:p w14:paraId="47F68D97" w14:textId="77777777" w:rsidR="00F37105" w:rsidRPr="00F90EAE" w:rsidRDefault="00F37105" w:rsidP="00F90EAE">
      <w:pPr>
        <w:jc w:val="both"/>
        <w:rPr>
          <w:color w:val="000000" w:themeColor="text1"/>
          <w:sz w:val="16"/>
          <w:szCs w:val="16"/>
        </w:rPr>
      </w:pPr>
      <w:r w:rsidRPr="00F90EAE">
        <w:rPr>
          <w:bCs/>
          <w:color w:val="000000" w:themeColor="text1"/>
          <w:sz w:val="16"/>
          <w:szCs w:val="16"/>
        </w:rPr>
        <w:t>28 мая</w:t>
      </w:r>
      <w:r w:rsidRPr="00F90EAE">
        <w:rPr>
          <w:color w:val="000000" w:themeColor="text1"/>
          <w:sz w:val="16"/>
          <w:szCs w:val="16"/>
        </w:rPr>
        <w:t xml:space="preserve"> в 1945 году завершились (с 10 мая) заводские испытания </w:t>
      </w:r>
      <w:hyperlink r:id="rId132" w:tgtFrame="_blank" w:history="1">
        <w:r w:rsidRPr="00F90EAE">
          <w:rPr>
            <w:color w:val="000000" w:themeColor="text1"/>
            <w:sz w:val="16"/>
            <w:szCs w:val="16"/>
          </w:rPr>
          <w:t xml:space="preserve">«Як-9С» </w:t>
        </w:r>
      </w:hyperlink>
      <w:r w:rsidRPr="00F90EAE">
        <w:rPr>
          <w:color w:val="000000" w:themeColor="text1"/>
          <w:sz w:val="16"/>
          <w:szCs w:val="16"/>
        </w:rPr>
        <w:t>(летчик П.Я.Федрови) и государственные испытания с 28 августа по 14 сентября 1945 г. (летчики В.Г.Иванов и А.А.Манучаров, инженер по самолету И.А.Колосов, по вооружению - А.Г.Аронов). «Як-9С» с двигателем «ВК-105ПФ2» и винтом «ВИШ-105СВ-01» являлся модификацией серийного «Як-9М» и отличался от него вооружением, а также винтом, обладавшим более высоким КПД благодаря профилированию комлевых частей лопастей. Буква "С" в наименовании самолета - это заводской индекс, не несущий какой-либо смысловой нагрузки. Вместо установленных на «Як-9М» мотор-пушки «ШВАК» с боезапасом 120 снарядов и пулемета «УБС» с боезапасом 200 патронов на «Як-9С» были установлены мотор-пушка 2HС-23» калибра 23 мм с боезапасом 60 снарядов и две синхронные пушки «Б-20С» калибра 20 мм с боезапасом по 120 снарядов (14905).</w:t>
      </w:r>
    </w:p>
    <w:p w14:paraId="58A2B1AC" w14:textId="77777777" w:rsidR="00F37105" w:rsidRPr="00F90EAE" w:rsidRDefault="00F37105" w:rsidP="00F90EAE">
      <w:pPr>
        <w:jc w:val="both"/>
        <w:rPr>
          <w:color w:val="000000" w:themeColor="text1"/>
          <w:sz w:val="16"/>
          <w:szCs w:val="16"/>
        </w:rPr>
      </w:pPr>
    </w:p>
    <w:p w14:paraId="7486E8D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69EE295" w14:textId="77777777" w:rsidR="00665165" w:rsidRPr="00F90EAE" w:rsidRDefault="00665165" w:rsidP="00F90EAE">
      <w:pPr>
        <w:autoSpaceDE w:val="0"/>
        <w:autoSpaceDN w:val="0"/>
        <w:adjustRightInd w:val="0"/>
        <w:jc w:val="both"/>
        <w:rPr>
          <w:iCs/>
          <w:color w:val="000000" w:themeColor="text1"/>
          <w:sz w:val="16"/>
          <w:szCs w:val="16"/>
        </w:rPr>
      </w:pPr>
    </w:p>
    <w:p w14:paraId="486758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вышло Распоряжение ГКО № 8810. Об увеличении лимита отпуска электроэнергии заводу № 702 НКЧМ в мае-июне 1945 г. РГАНИР, Фонд ГКО, д. 421, лл. 6 (11012).</w:t>
      </w:r>
    </w:p>
    <w:p w14:paraId="3FC4A9DF" w14:textId="77777777" w:rsidR="00665165" w:rsidRPr="00F90EAE" w:rsidRDefault="00665165" w:rsidP="00F90EAE">
      <w:pPr>
        <w:autoSpaceDE w:val="0"/>
        <w:autoSpaceDN w:val="0"/>
        <w:adjustRightInd w:val="0"/>
        <w:jc w:val="both"/>
        <w:rPr>
          <w:color w:val="000000" w:themeColor="text1"/>
          <w:sz w:val="16"/>
          <w:szCs w:val="16"/>
        </w:rPr>
      </w:pPr>
    </w:p>
    <w:p w14:paraId="76B5A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вышло Распоряжение ГКО № 8811. О дополнительной поставке Ярославскому сажевому заводу НКРП зеленого масла. РГАНИР, Фонд ГКО, д. 421, лл. 7 (11012).</w:t>
      </w:r>
    </w:p>
    <w:p w14:paraId="32DFFAC1" w14:textId="77777777" w:rsidR="00665165" w:rsidRPr="00F90EAE" w:rsidRDefault="00665165" w:rsidP="00F90EAE">
      <w:pPr>
        <w:autoSpaceDE w:val="0"/>
        <w:autoSpaceDN w:val="0"/>
        <w:adjustRightInd w:val="0"/>
        <w:jc w:val="both"/>
        <w:rPr>
          <w:color w:val="000000" w:themeColor="text1"/>
          <w:sz w:val="16"/>
          <w:szCs w:val="16"/>
        </w:rPr>
      </w:pPr>
    </w:p>
    <w:p w14:paraId="55A39B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вышло Распоряжение ГКО № 8812. О дополнительном выделении угля СНК Казахской ССР в июне-июле 1945 г. для коммунально-бытовых нужд Петропавловска. РГАНИР, Фонд ГКО, д. 421, лл. 8 (11012).</w:t>
      </w:r>
    </w:p>
    <w:p w14:paraId="0081F7E3" w14:textId="77777777" w:rsidR="00665165" w:rsidRPr="00F90EAE" w:rsidRDefault="00665165" w:rsidP="00F90EAE">
      <w:pPr>
        <w:autoSpaceDE w:val="0"/>
        <w:autoSpaceDN w:val="0"/>
        <w:adjustRightInd w:val="0"/>
        <w:jc w:val="both"/>
        <w:rPr>
          <w:color w:val="000000" w:themeColor="text1"/>
          <w:sz w:val="16"/>
          <w:szCs w:val="16"/>
        </w:rPr>
      </w:pPr>
    </w:p>
    <w:p w14:paraId="150F5E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вышло Распоряжение ГКО № 8813. О восстановлении военизированной пожарной охраны на кинопленочной фабрике № 3 в Шостке Сумской обл. УССР. РГАНИР, Фонд ГКО, д. 421, лл. 9 (11012).</w:t>
      </w:r>
    </w:p>
    <w:p w14:paraId="09B6FBE3" w14:textId="77777777" w:rsidR="00665165" w:rsidRPr="00F90EAE" w:rsidRDefault="00665165" w:rsidP="00F90EAE">
      <w:pPr>
        <w:autoSpaceDE w:val="0"/>
        <w:autoSpaceDN w:val="0"/>
        <w:adjustRightInd w:val="0"/>
        <w:jc w:val="both"/>
        <w:rPr>
          <w:color w:val="000000" w:themeColor="text1"/>
          <w:sz w:val="16"/>
          <w:szCs w:val="16"/>
        </w:rPr>
      </w:pPr>
    </w:p>
    <w:p w14:paraId="4BE9E9E6" w14:textId="77777777" w:rsidR="00F3710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7BF081D" w14:textId="77777777" w:rsidR="00F37105" w:rsidRPr="00F90EAE" w:rsidRDefault="00F37105" w:rsidP="00F90EAE">
      <w:pPr>
        <w:autoSpaceDE w:val="0"/>
        <w:autoSpaceDN w:val="0"/>
        <w:adjustRightInd w:val="0"/>
        <w:jc w:val="both"/>
        <w:rPr>
          <w:iCs/>
          <w:color w:val="000000" w:themeColor="text1"/>
          <w:sz w:val="16"/>
          <w:szCs w:val="16"/>
        </w:rPr>
      </w:pPr>
    </w:p>
    <w:p w14:paraId="26A723BE" w14:textId="77777777" w:rsidR="00F37105" w:rsidRPr="00F90EAE" w:rsidRDefault="00F37105" w:rsidP="00F90EAE">
      <w:pPr>
        <w:jc w:val="both"/>
        <w:rPr>
          <w:color w:val="000000" w:themeColor="text1"/>
          <w:sz w:val="16"/>
          <w:szCs w:val="16"/>
        </w:rPr>
      </w:pPr>
      <w:r w:rsidRPr="00F90EAE">
        <w:rPr>
          <w:bCs/>
          <w:color w:val="000000" w:themeColor="text1"/>
          <w:sz w:val="16"/>
          <w:szCs w:val="16"/>
        </w:rPr>
        <w:t>28 мая</w:t>
      </w:r>
      <w:r w:rsidRPr="00F90EAE">
        <w:rPr>
          <w:color w:val="000000" w:themeColor="text1"/>
          <w:sz w:val="16"/>
          <w:szCs w:val="16"/>
        </w:rPr>
        <w:t xml:space="preserve"> в 1945 году впервые за всю историю России Патриарх Московский Алексий отправился в паломничество в Палестину (14905).</w:t>
      </w:r>
    </w:p>
    <w:p w14:paraId="7512F661" w14:textId="77777777" w:rsidR="00F37105" w:rsidRPr="00F90EAE" w:rsidRDefault="00F37105" w:rsidP="00F90EAE">
      <w:pPr>
        <w:jc w:val="both"/>
        <w:rPr>
          <w:color w:val="000000" w:themeColor="text1"/>
          <w:sz w:val="16"/>
          <w:szCs w:val="16"/>
        </w:rPr>
      </w:pPr>
    </w:p>
    <w:p w14:paraId="7382D69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D6EE8F8" w14:textId="77777777" w:rsidR="00665165" w:rsidRPr="00F90EAE" w:rsidRDefault="00665165" w:rsidP="00F90EAE">
      <w:pPr>
        <w:autoSpaceDE w:val="0"/>
        <w:autoSpaceDN w:val="0"/>
        <w:adjustRightInd w:val="0"/>
        <w:jc w:val="both"/>
        <w:rPr>
          <w:iCs/>
          <w:color w:val="000000" w:themeColor="text1"/>
          <w:sz w:val="16"/>
          <w:szCs w:val="16"/>
        </w:rPr>
      </w:pPr>
    </w:p>
    <w:p w14:paraId="22EC60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года СССР попросил уже 120 В-29 для использования на Дальнем Востоке против Японии. Однако американцы не дали ни одного. Но к этому времени у Советского Союза уже имелось три бомбардировщика этого тина. Всего же границу с СССР пересекли пять В-29. Все они участвовали в налетах на Японию, проводившихся "Сверхкрепостями" с июня 1944 года (3457,119).</w:t>
      </w:r>
    </w:p>
    <w:p w14:paraId="612C3EE9" w14:textId="77777777" w:rsidR="00665165" w:rsidRPr="00F90EAE" w:rsidRDefault="00665165" w:rsidP="00F90EAE">
      <w:pPr>
        <w:autoSpaceDE w:val="0"/>
        <w:autoSpaceDN w:val="0"/>
        <w:adjustRightInd w:val="0"/>
        <w:jc w:val="both"/>
        <w:rPr>
          <w:color w:val="000000" w:themeColor="text1"/>
          <w:sz w:val="16"/>
          <w:szCs w:val="16"/>
        </w:rPr>
      </w:pPr>
    </w:p>
    <w:p w14:paraId="797659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28 мая 1945 СССР запросил в США по ленд-лизу 120 В-29 для использования на ДВ. К этому времени в стране уже было 3 В-29 (2645,24).</w:t>
      </w:r>
    </w:p>
    <w:p w14:paraId="4C44CF80" w14:textId="77777777" w:rsidR="00665165" w:rsidRPr="00F90EAE" w:rsidRDefault="00665165" w:rsidP="00F90EAE">
      <w:pPr>
        <w:autoSpaceDE w:val="0"/>
        <w:autoSpaceDN w:val="0"/>
        <w:adjustRightInd w:val="0"/>
        <w:jc w:val="both"/>
        <w:rPr>
          <w:color w:val="000000" w:themeColor="text1"/>
          <w:sz w:val="16"/>
          <w:szCs w:val="16"/>
        </w:rPr>
      </w:pPr>
    </w:p>
    <w:p w14:paraId="06D93CFE" w14:textId="77777777" w:rsidR="005B62C6" w:rsidRPr="00F90EAE" w:rsidRDefault="005B62C6" w:rsidP="00F90EAE">
      <w:pPr>
        <w:jc w:val="both"/>
        <w:rPr>
          <w:color w:val="000000" w:themeColor="text1"/>
          <w:sz w:val="16"/>
          <w:szCs w:val="16"/>
        </w:rPr>
      </w:pPr>
      <w:r w:rsidRPr="00F90EAE">
        <w:rPr>
          <w:color w:val="000000" w:themeColor="text1"/>
          <w:sz w:val="16"/>
          <w:szCs w:val="16"/>
        </w:rPr>
        <w:t>28 мая 1945 В. М. Молотов и сопровождавший его нарком внешней торговли А. И. Микоян вручили послу США А. Гарриману памятную записку с заявкой на новые поставки на период с 1 июля по 31 декабря 1945 г. Наряду с этими грузами Соединенные Штаты должны были также в полной мере завезти все, что не было отгружено по Четвертому Протоколу и "спецпрограмме от 17 октября 1944 года". Значительную часть в общем объеме грузов по-прежнему занимало продовольствие. Помимо 1,4 млн. т продовольственных грузов, завезенных союзниками по Четвертому Протоколу на 12 мая, Соединенные Штаты до 2 сентября поставили в СССР дополнительно около 270 тыс. т по программе "Майлпоуст". Эти продукты были ощутимой добавкой к рациону русского солдата, вступившего в августе 1945 г. на землю Маньчжурии (19582).</w:t>
      </w:r>
    </w:p>
    <w:p w14:paraId="5705876E" w14:textId="77777777" w:rsidR="005B62C6" w:rsidRPr="00F90EAE" w:rsidRDefault="005B62C6" w:rsidP="00F90EAE">
      <w:pPr>
        <w:jc w:val="both"/>
        <w:rPr>
          <w:color w:val="000000" w:themeColor="text1"/>
          <w:sz w:val="16"/>
          <w:szCs w:val="16"/>
        </w:rPr>
      </w:pPr>
      <w:r w:rsidRPr="00F90EAE">
        <w:rPr>
          <w:color w:val="000000" w:themeColor="text1"/>
          <w:sz w:val="16"/>
          <w:szCs w:val="16"/>
        </w:rPr>
        <w:t>Таблица 1</w:t>
      </w:r>
    </w:p>
    <w:p w14:paraId="0A2978C8" w14:textId="77777777" w:rsidR="005B62C6" w:rsidRPr="00F90EAE" w:rsidRDefault="005B62C6" w:rsidP="00F90EAE">
      <w:pPr>
        <w:jc w:val="both"/>
        <w:rPr>
          <w:color w:val="000000" w:themeColor="text1"/>
          <w:sz w:val="16"/>
          <w:szCs w:val="16"/>
        </w:rPr>
      </w:pPr>
      <w:r w:rsidRPr="00F90EAE">
        <w:rPr>
          <w:color w:val="000000" w:themeColor="text1"/>
          <w:sz w:val="16"/>
          <w:szCs w:val="16"/>
        </w:rPr>
        <w:t>Энергетическая ценность продовольствия, поставленного в СССР Соединенными Штатами Америки в 1941-1945 гг. *</w:t>
      </w:r>
    </w:p>
    <w:p w14:paraId="740B40C2" w14:textId="77777777" w:rsidR="005B62C6" w:rsidRPr="00F90EAE" w:rsidRDefault="005B62C6" w:rsidP="00F90EAE">
      <w:pPr>
        <w:jc w:val="both"/>
        <w:rPr>
          <w:color w:val="000000" w:themeColor="text1"/>
          <w:sz w:val="16"/>
          <w:szCs w:val="16"/>
        </w:rPr>
      </w:pPr>
      <w:r w:rsidRPr="00F90EAE">
        <w:rPr>
          <w:color w:val="000000" w:themeColor="text1"/>
          <w:sz w:val="16"/>
          <w:szCs w:val="16"/>
        </w:rPr>
        <w:t>Вид продовольствия Вес нетто Калорийность, ккал на 100 г Суммарная калорийность, в млн. ккал в длинных тоннах в тоннах</w:t>
      </w:r>
    </w:p>
    <w:p w14:paraId="6EC043D7" w14:textId="77777777" w:rsidR="005B62C6" w:rsidRPr="00F90EAE" w:rsidRDefault="005B62C6" w:rsidP="00F90EAE">
      <w:pPr>
        <w:jc w:val="both"/>
        <w:rPr>
          <w:color w:val="000000" w:themeColor="text1"/>
          <w:sz w:val="16"/>
          <w:szCs w:val="16"/>
        </w:rPr>
      </w:pPr>
      <w:r w:rsidRPr="00F90EAE">
        <w:rPr>
          <w:color w:val="000000" w:themeColor="text1"/>
          <w:sz w:val="16"/>
          <w:szCs w:val="16"/>
        </w:rPr>
        <w:t>Поставки из США (с 1 октября 1941 г. по 1 июля 1945 г.)</w:t>
      </w:r>
    </w:p>
    <w:p w14:paraId="60F78890" w14:textId="77777777" w:rsidR="005B62C6" w:rsidRPr="00F90EAE" w:rsidRDefault="005B62C6" w:rsidP="00F90EAE">
      <w:pPr>
        <w:jc w:val="both"/>
        <w:rPr>
          <w:color w:val="000000" w:themeColor="text1"/>
          <w:sz w:val="16"/>
          <w:szCs w:val="16"/>
        </w:rPr>
      </w:pPr>
      <w:r w:rsidRPr="00F90EAE">
        <w:rPr>
          <w:color w:val="000000" w:themeColor="text1"/>
          <w:sz w:val="16"/>
          <w:szCs w:val="16"/>
        </w:rPr>
        <w:t>Пшеница 49535 50328 320 16 104 960</w:t>
      </w:r>
    </w:p>
    <w:p w14:paraId="133EE717" w14:textId="77777777" w:rsidR="005B62C6" w:rsidRPr="00F90EAE" w:rsidRDefault="005B62C6" w:rsidP="00F90EAE">
      <w:pPr>
        <w:jc w:val="both"/>
        <w:rPr>
          <w:color w:val="000000" w:themeColor="text1"/>
          <w:sz w:val="16"/>
          <w:szCs w:val="16"/>
        </w:rPr>
      </w:pPr>
      <w:r w:rsidRPr="00F90EAE">
        <w:rPr>
          <w:color w:val="000000" w:themeColor="text1"/>
          <w:sz w:val="16"/>
          <w:szCs w:val="16"/>
        </w:rPr>
        <w:t>Мука ржаная и 584 899 594 257 327 194 322 039</w:t>
      </w:r>
    </w:p>
    <w:p w14:paraId="6F340A9C" w14:textId="77777777" w:rsidR="005B62C6" w:rsidRPr="00F90EAE" w:rsidRDefault="005B62C6" w:rsidP="00F90EAE">
      <w:pPr>
        <w:jc w:val="both"/>
        <w:rPr>
          <w:color w:val="000000" w:themeColor="text1"/>
          <w:sz w:val="16"/>
          <w:szCs w:val="16"/>
        </w:rPr>
      </w:pPr>
      <w:r w:rsidRPr="00F90EAE">
        <w:rPr>
          <w:color w:val="000000" w:themeColor="text1"/>
          <w:sz w:val="16"/>
          <w:szCs w:val="16"/>
        </w:rPr>
        <w:t>Сухие бобы и горох 241 857 245 728 250 61 432 000</w:t>
      </w:r>
    </w:p>
    <w:p w14:paraId="3A87F7C9" w14:textId="77777777" w:rsidR="005B62C6" w:rsidRPr="00F90EAE" w:rsidRDefault="005B62C6" w:rsidP="00F90EAE">
      <w:pPr>
        <w:jc w:val="both"/>
        <w:rPr>
          <w:color w:val="000000" w:themeColor="text1"/>
          <w:sz w:val="16"/>
          <w:szCs w:val="16"/>
        </w:rPr>
      </w:pPr>
      <w:r w:rsidRPr="00F90EAE">
        <w:rPr>
          <w:color w:val="000000" w:themeColor="text1"/>
          <w:sz w:val="16"/>
          <w:szCs w:val="16"/>
        </w:rPr>
        <w:t>Крупа разная ( в т. ч. рис) 131 962 134073 325 43 573 725</w:t>
      </w:r>
    </w:p>
    <w:p w14:paraId="0D39B044" w14:textId="77777777" w:rsidR="005B62C6" w:rsidRPr="00F90EAE" w:rsidRDefault="005B62C6" w:rsidP="00F90EAE">
      <w:pPr>
        <w:jc w:val="both"/>
        <w:rPr>
          <w:color w:val="000000" w:themeColor="text1"/>
          <w:sz w:val="16"/>
          <w:szCs w:val="16"/>
        </w:rPr>
      </w:pPr>
      <w:r w:rsidRPr="00F90EAE">
        <w:rPr>
          <w:color w:val="000000" w:themeColor="text1"/>
          <w:sz w:val="16"/>
          <w:szCs w:val="16"/>
        </w:rPr>
        <w:t>Сахар 621 000 630 936 375 236 601 000</w:t>
      </w:r>
    </w:p>
    <w:p w14:paraId="792BD6CC" w14:textId="77777777" w:rsidR="005B62C6" w:rsidRPr="00F90EAE" w:rsidRDefault="005B62C6" w:rsidP="00F90EAE">
      <w:pPr>
        <w:jc w:val="both"/>
        <w:rPr>
          <w:color w:val="000000" w:themeColor="text1"/>
          <w:sz w:val="16"/>
          <w:szCs w:val="16"/>
        </w:rPr>
      </w:pPr>
      <w:r w:rsidRPr="00F90EAE">
        <w:rPr>
          <w:color w:val="000000" w:themeColor="text1"/>
          <w:sz w:val="16"/>
          <w:szCs w:val="16"/>
        </w:rPr>
        <w:t>Мясные консервы 676 125 686 943 1000 686 943 000</w:t>
      </w:r>
    </w:p>
    <w:p w14:paraId="21DC55DC" w14:textId="77777777" w:rsidR="005B62C6" w:rsidRPr="00F90EAE" w:rsidRDefault="005B62C6" w:rsidP="00F90EAE">
      <w:pPr>
        <w:jc w:val="both"/>
        <w:rPr>
          <w:color w:val="000000" w:themeColor="text1"/>
          <w:sz w:val="16"/>
          <w:szCs w:val="16"/>
        </w:rPr>
      </w:pPr>
      <w:r w:rsidRPr="00F90EAE">
        <w:rPr>
          <w:color w:val="000000" w:themeColor="text1"/>
          <w:sz w:val="16"/>
          <w:szCs w:val="16"/>
        </w:rPr>
        <w:t>Мясоовощные консервы 22228 22584 1500 33 876 000</w:t>
      </w:r>
    </w:p>
    <w:p w14:paraId="1CD6953E" w14:textId="77777777" w:rsidR="005B62C6" w:rsidRPr="00F90EAE" w:rsidRDefault="005B62C6" w:rsidP="00F90EAE">
      <w:pPr>
        <w:jc w:val="both"/>
        <w:rPr>
          <w:color w:val="000000" w:themeColor="text1"/>
          <w:sz w:val="16"/>
          <w:szCs w:val="16"/>
        </w:rPr>
      </w:pPr>
      <w:r w:rsidRPr="00F90EAE">
        <w:rPr>
          <w:color w:val="000000" w:themeColor="text1"/>
          <w:sz w:val="16"/>
          <w:szCs w:val="16"/>
        </w:rPr>
        <w:t>Мясо соленое и копченое 55932 56827 1500 85 240 500</w:t>
      </w:r>
    </w:p>
    <w:p w14:paraId="6F282777" w14:textId="77777777" w:rsidR="005B62C6" w:rsidRPr="00F90EAE" w:rsidRDefault="005B62C6" w:rsidP="00F90EAE">
      <w:pPr>
        <w:jc w:val="both"/>
        <w:rPr>
          <w:color w:val="000000" w:themeColor="text1"/>
          <w:sz w:val="16"/>
          <w:szCs w:val="16"/>
        </w:rPr>
      </w:pPr>
      <w:r w:rsidRPr="00F90EAE">
        <w:rPr>
          <w:color w:val="000000" w:themeColor="text1"/>
          <w:sz w:val="16"/>
          <w:szCs w:val="16"/>
        </w:rPr>
        <w:t>Шпиг 226 087 229 704 3500 803 964 000</w:t>
      </w:r>
    </w:p>
    <w:p w14:paraId="727EE60E" w14:textId="77777777" w:rsidR="005B62C6" w:rsidRPr="00F90EAE" w:rsidRDefault="005B62C6" w:rsidP="00F90EAE">
      <w:pPr>
        <w:jc w:val="both"/>
        <w:rPr>
          <w:color w:val="000000" w:themeColor="text1"/>
          <w:sz w:val="16"/>
          <w:szCs w:val="16"/>
        </w:rPr>
      </w:pPr>
      <w:r w:rsidRPr="00F90EAE">
        <w:rPr>
          <w:color w:val="000000" w:themeColor="text1"/>
          <w:sz w:val="16"/>
          <w:szCs w:val="16"/>
        </w:rPr>
        <w:t>Лярд 283 143 287 673 3500 1 006 855 500</w:t>
      </w:r>
    </w:p>
    <w:p w14:paraId="094CA199" w14:textId="77777777" w:rsidR="005B62C6" w:rsidRPr="00F90EAE" w:rsidRDefault="005B62C6" w:rsidP="00F90EAE">
      <w:pPr>
        <w:jc w:val="both"/>
        <w:rPr>
          <w:color w:val="000000" w:themeColor="text1"/>
          <w:sz w:val="16"/>
          <w:szCs w:val="16"/>
        </w:rPr>
      </w:pPr>
      <w:r w:rsidRPr="00F90EAE">
        <w:rPr>
          <w:color w:val="000000" w:themeColor="text1"/>
          <w:sz w:val="16"/>
          <w:szCs w:val="16"/>
        </w:rPr>
        <w:t>Баранье и говяжье сало 21 396 21 738 3700 80 430 600</w:t>
      </w:r>
    </w:p>
    <w:p w14:paraId="5BE01D75" w14:textId="77777777" w:rsidR="005B62C6" w:rsidRPr="00F90EAE" w:rsidRDefault="005B62C6" w:rsidP="00F90EAE">
      <w:pPr>
        <w:jc w:val="both"/>
        <w:rPr>
          <w:color w:val="000000" w:themeColor="text1"/>
          <w:sz w:val="16"/>
          <w:szCs w:val="16"/>
        </w:rPr>
      </w:pPr>
      <w:r w:rsidRPr="00F90EAE">
        <w:rPr>
          <w:color w:val="000000" w:themeColor="text1"/>
          <w:sz w:val="16"/>
          <w:szCs w:val="16"/>
        </w:rPr>
        <w:t>Масло сливочное 67721 68 805 3130 215 359 650</w:t>
      </w:r>
    </w:p>
    <w:p w14:paraId="3FD6F828" w14:textId="77777777" w:rsidR="005B62C6" w:rsidRPr="00F90EAE" w:rsidRDefault="005B62C6" w:rsidP="00F90EAE">
      <w:pPr>
        <w:jc w:val="both"/>
        <w:rPr>
          <w:color w:val="000000" w:themeColor="text1"/>
          <w:sz w:val="16"/>
          <w:szCs w:val="16"/>
        </w:rPr>
      </w:pPr>
      <w:r w:rsidRPr="00F90EAE">
        <w:rPr>
          <w:color w:val="000000" w:themeColor="text1"/>
          <w:sz w:val="16"/>
          <w:szCs w:val="16"/>
        </w:rPr>
        <w:t>Картер спред 21752 22 100 3000 66 300 000</w:t>
      </w:r>
    </w:p>
    <w:p w14:paraId="34FAEA87" w14:textId="77777777" w:rsidR="005B62C6" w:rsidRPr="00F90EAE" w:rsidRDefault="005B62C6" w:rsidP="00F90EAE">
      <w:pPr>
        <w:jc w:val="both"/>
        <w:rPr>
          <w:color w:val="000000" w:themeColor="text1"/>
          <w:sz w:val="16"/>
          <w:szCs w:val="16"/>
        </w:rPr>
      </w:pPr>
      <w:r w:rsidRPr="00F90EAE">
        <w:rPr>
          <w:color w:val="000000" w:themeColor="text1"/>
          <w:sz w:val="16"/>
          <w:szCs w:val="16"/>
        </w:rPr>
        <w:t>Растительное масло 399 852 406 250 3760 1 527 500 000</w:t>
      </w:r>
    </w:p>
    <w:p w14:paraId="19040846" w14:textId="77777777" w:rsidR="005B62C6" w:rsidRPr="00F90EAE" w:rsidRDefault="005B62C6" w:rsidP="00F90EAE">
      <w:pPr>
        <w:jc w:val="both"/>
        <w:rPr>
          <w:color w:val="000000" w:themeColor="text1"/>
          <w:sz w:val="16"/>
          <w:szCs w:val="16"/>
        </w:rPr>
      </w:pPr>
      <w:r w:rsidRPr="00F90EAE">
        <w:rPr>
          <w:color w:val="000000" w:themeColor="text1"/>
          <w:sz w:val="16"/>
          <w:szCs w:val="16"/>
        </w:rPr>
        <w:t>Шартенинг 18915 19 218 3000 57 654 000</w:t>
      </w:r>
    </w:p>
    <w:p w14:paraId="4ABE26FE" w14:textId="77777777" w:rsidR="005B62C6" w:rsidRPr="00F90EAE" w:rsidRDefault="005B62C6" w:rsidP="00F90EAE">
      <w:pPr>
        <w:jc w:val="both"/>
        <w:rPr>
          <w:color w:val="000000" w:themeColor="text1"/>
          <w:sz w:val="16"/>
          <w:szCs w:val="16"/>
        </w:rPr>
      </w:pPr>
      <w:r w:rsidRPr="00F90EAE">
        <w:rPr>
          <w:color w:val="000000" w:themeColor="text1"/>
          <w:sz w:val="16"/>
          <w:szCs w:val="16"/>
        </w:rPr>
        <w:t>Маргарин 46042 46779 3130 146 418 270</w:t>
      </w:r>
    </w:p>
    <w:p w14:paraId="7BEAB5A3" w14:textId="77777777" w:rsidR="005B62C6" w:rsidRPr="00F90EAE" w:rsidRDefault="005B62C6" w:rsidP="00F90EAE">
      <w:pPr>
        <w:jc w:val="both"/>
        <w:rPr>
          <w:color w:val="000000" w:themeColor="text1"/>
          <w:sz w:val="16"/>
          <w:szCs w:val="16"/>
        </w:rPr>
      </w:pPr>
      <w:r w:rsidRPr="00F90EAE">
        <w:rPr>
          <w:color w:val="000000" w:themeColor="text1"/>
          <w:sz w:val="16"/>
          <w:szCs w:val="16"/>
        </w:rPr>
        <w:t>Молоко сухое 67059 68 132 1700 115 824 400</w:t>
      </w:r>
    </w:p>
    <w:p w14:paraId="76472679" w14:textId="77777777" w:rsidR="005B62C6" w:rsidRPr="00F90EAE" w:rsidRDefault="005B62C6" w:rsidP="00F90EAE">
      <w:pPr>
        <w:jc w:val="both"/>
        <w:rPr>
          <w:color w:val="000000" w:themeColor="text1"/>
          <w:sz w:val="16"/>
          <w:szCs w:val="16"/>
        </w:rPr>
      </w:pPr>
      <w:r w:rsidRPr="00F90EAE">
        <w:rPr>
          <w:color w:val="000000" w:themeColor="text1"/>
          <w:sz w:val="16"/>
          <w:szCs w:val="16"/>
        </w:rPr>
        <w:t>Молоко сгущ. 27 186 27621 1200 33 145 200</w:t>
      </w:r>
    </w:p>
    <w:p w14:paraId="229BDE54" w14:textId="77777777" w:rsidR="005B62C6" w:rsidRPr="00F90EAE" w:rsidRDefault="005B62C6" w:rsidP="00F90EAE">
      <w:pPr>
        <w:jc w:val="both"/>
        <w:rPr>
          <w:color w:val="000000" w:themeColor="text1"/>
          <w:sz w:val="16"/>
          <w:szCs w:val="16"/>
        </w:rPr>
      </w:pPr>
      <w:r w:rsidRPr="00F90EAE">
        <w:rPr>
          <w:color w:val="000000" w:themeColor="text1"/>
          <w:sz w:val="16"/>
          <w:szCs w:val="16"/>
        </w:rPr>
        <w:t>Яичный порошок 107 028 108 740 2268 246 622 320</w:t>
      </w:r>
    </w:p>
    <w:p w14:paraId="50AD056C" w14:textId="77777777" w:rsidR="005B62C6" w:rsidRPr="00F90EAE" w:rsidRDefault="005B62C6" w:rsidP="00F90EAE">
      <w:pPr>
        <w:jc w:val="both"/>
        <w:rPr>
          <w:color w:val="000000" w:themeColor="text1"/>
          <w:sz w:val="16"/>
          <w:szCs w:val="16"/>
        </w:rPr>
      </w:pPr>
      <w:r w:rsidRPr="00F90EAE">
        <w:rPr>
          <w:color w:val="000000" w:themeColor="text1"/>
          <w:sz w:val="16"/>
          <w:szCs w:val="16"/>
        </w:rPr>
        <w:t>Соевая мука и крупа 63086 64095 1500 96 142500</w:t>
      </w:r>
    </w:p>
    <w:p w14:paraId="18B5CFF6" w14:textId="77777777" w:rsidR="005B62C6" w:rsidRPr="00F90EAE" w:rsidRDefault="005B62C6" w:rsidP="00F90EAE">
      <w:pPr>
        <w:jc w:val="both"/>
        <w:rPr>
          <w:color w:val="000000" w:themeColor="text1"/>
          <w:sz w:val="16"/>
          <w:szCs w:val="16"/>
        </w:rPr>
      </w:pPr>
      <w:r w:rsidRPr="00F90EAE">
        <w:rPr>
          <w:color w:val="000000" w:themeColor="text1"/>
          <w:sz w:val="16"/>
          <w:szCs w:val="16"/>
        </w:rPr>
        <w:t>Сыр 29550 30023 1300 39 029 900</w:t>
      </w:r>
    </w:p>
    <w:p w14:paraId="11F7CE09" w14:textId="77777777" w:rsidR="005B62C6" w:rsidRPr="00F90EAE" w:rsidRDefault="005B62C6" w:rsidP="00F90EAE">
      <w:pPr>
        <w:jc w:val="both"/>
        <w:rPr>
          <w:color w:val="000000" w:themeColor="text1"/>
          <w:sz w:val="16"/>
          <w:szCs w:val="16"/>
        </w:rPr>
      </w:pPr>
      <w:r w:rsidRPr="00F90EAE">
        <w:rPr>
          <w:color w:val="000000" w:themeColor="text1"/>
          <w:sz w:val="16"/>
          <w:szCs w:val="16"/>
        </w:rPr>
        <w:t>Сухие овощи 10844 11018 1200 13 221 600</w:t>
      </w:r>
    </w:p>
    <w:p w14:paraId="6AA7F58D" w14:textId="77777777" w:rsidR="005B62C6" w:rsidRPr="00F90EAE" w:rsidRDefault="005B62C6" w:rsidP="00F90EAE">
      <w:pPr>
        <w:jc w:val="both"/>
        <w:rPr>
          <w:color w:val="000000" w:themeColor="text1"/>
          <w:sz w:val="16"/>
          <w:szCs w:val="16"/>
        </w:rPr>
      </w:pPr>
      <w:r w:rsidRPr="00F90EAE">
        <w:rPr>
          <w:color w:val="000000" w:themeColor="text1"/>
          <w:sz w:val="16"/>
          <w:szCs w:val="16"/>
        </w:rPr>
        <w:t>Томатная паста 8203 8334 402 3 350 268</w:t>
      </w:r>
    </w:p>
    <w:p w14:paraId="48840A99" w14:textId="77777777" w:rsidR="005B62C6" w:rsidRPr="00F90EAE" w:rsidRDefault="005B62C6" w:rsidP="00F90EAE">
      <w:pPr>
        <w:jc w:val="both"/>
        <w:rPr>
          <w:color w:val="000000" w:themeColor="text1"/>
          <w:sz w:val="16"/>
          <w:szCs w:val="16"/>
        </w:rPr>
      </w:pPr>
      <w:r w:rsidRPr="00F90EAE">
        <w:rPr>
          <w:color w:val="000000" w:themeColor="text1"/>
          <w:sz w:val="16"/>
          <w:szCs w:val="16"/>
        </w:rPr>
        <w:t>Фруктовые соки 1 244 1 264 202 255 328</w:t>
      </w:r>
    </w:p>
    <w:p w14:paraId="0C976A66" w14:textId="77777777" w:rsidR="005B62C6" w:rsidRPr="00F90EAE" w:rsidRDefault="005B62C6" w:rsidP="00F90EAE">
      <w:pPr>
        <w:jc w:val="both"/>
        <w:rPr>
          <w:color w:val="000000" w:themeColor="text1"/>
          <w:sz w:val="16"/>
          <w:szCs w:val="16"/>
        </w:rPr>
      </w:pPr>
      <w:r w:rsidRPr="00F90EAE">
        <w:rPr>
          <w:color w:val="000000" w:themeColor="text1"/>
          <w:sz w:val="16"/>
          <w:szCs w:val="16"/>
        </w:rPr>
        <w:t>Супы-концентраты 6024 6 120 1500 9 180 000</w:t>
      </w:r>
    </w:p>
    <w:p w14:paraId="27D9843A" w14:textId="77777777" w:rsidR="005B62C6" w:rsidRPr="00F90EAE" w:rsidRDefault="005B62C6" w:rsidP="00F90EAE">
      <w:pPr>
        <w:jc w:val="both"/>
        <w:rPr>
          <w:color w:val="000000" w:themeColor="text1"/>
          <w:sz w:val="16"/>
          <w:szCs w:val="16"/>
        </w:rPr>
      </w:pPr>
      <w:r w:rsidRPr="00F90EAE">
        <w:rPr>
          <w:color w:val="000000" w:themeColor="text1"/>
          <w:sz w:val="16"/>
          <w:szCs w:val="16"/>
        </w:rPr>
        <w:t>Разные пищевые 56286 57187 1000 57 187 000</w:t>
      </w:r>
    </w:p>
    <w:p w14:paraId="5EB26F3F" w14:textId="77777777" w:rsidR="005B62C6" w:rsidRPr="00F90EAE" w:rsidRDefault="005B62C6" w:rsidP="00F90EAE">
      <w:pPr>
        <w:jc w:val="both"/>
        <w:rPr>
          <w:color w:val="000000" w:themeColor="text1"/>
          <w:sz w:val="16"/>
          <w:szCs w:val="16"/>
        </w:rPr>
      </w:pPr>
      <w:r w:rsidRPr="00F90EAE">
        <w:rPr>
          <w:color w:val="000000" w:themeColor="text1"/>
          <w:sz w:val="16"/>
          <w:szCs w:val="16"/>
        </w:rPr>
        <w:t>Семена 33846 34388 ? ?</w:t>
      </w:r>
    </w:p>
    <w:p w14:paraId="7E62BD58" w14:textId="77777777" w:rsidR="005B62C6" w:rsidRPr="00F90EAE" w:rsidRDefault="005B62C6" w:rsidP="00F90EAE">
      <w:pPr>
        <w:jc w:val="both"/>
        <w:rPr>
          <w:color w:val="000000" w:themeColor="text1"/>
          <w:sz w:val="16"/>
          <w:szCs w:val="16"/>
        </w:rPr>
      </w:pPr>
      <w:r w:rsidRPr="00F90EAE">
        <w:rPr>
          <w:color w:val="000000" w:themeColor="text1"/>
          <w:sz w:val="16"/>
          <w:szCs w:val="16"/>
        </w:rPr>
        <w:t>Дрожжи 264 268 ? ?</w:t>
      </w:r>
    </w:p>
    <w:p w14:paraId="2D06C3AB" w14:textId="77777777" w:rsidR="005B62C6" w:rsidRPr="00F90EAE" w:rsidRDefault="005B62C6" w:rsidP="00F90EAE">
      <w:pPr>
        <w:jc w:val="both"/>
        <w:rPr>
          <w:color w:val="000000" w:themeColor="text1"/>
          <w:sz w:val="16"/>
          <w:szCs w:val="16"/>
        </w:rPr>
      </w:pPr>
      <w:r w:rsidRPr="00F90EAE">
        <w:rPr>
          <w:color w:val="000000" w:themeColor="text1"/>
          <w:sz w:val="16"/>
          <w:szCs w:val="16"/>
        </w:rPr>
        <w:t>Витамины 654 664 ? ?</w:t>
      </w:r>
    </w:p>
    <w:p w14:paraId="778D43C5" w14:textId="77777777" w:rsidR="005B62C6" w:rsidRPr="00F90EAE" w:rsidRDefault="005B62C6" w:rsidP="00F90EAE">
      <w:pPr>
        <w:jc w:val="both"/>
        <w:rPr>
          <w:color w:val="000000" w:themeColor="text1"/>
          <w:sz w:val="16"/>
          <w:szCs w:val="16"/>
        </w:rPr>
      </w:pPr>
      <w:r w:rsidRPr="00F90EAE">
        <w:rPr>
          <w:color w:val="000000" w:themeColor="text1"/>
          <w:sz w:val="16"/>
          <w:szCs w:val="16"/>
        </w:rPr>
        <w:t>И т о г о ... 3 879 720 б 3 941 796 1651 в 58 765 338</w:t>
      </w:r>
    </w:p>
    <w:p w14:paraId="016DD5CE" w14:textId="77777777" w:rsidR="005B62C6" w:rsidRPr="00F90EAE" w:rsidRDefault="005B62C6" w:rsidP="00F90EAE">
      <w:pPr>
        <w:jc w:val="both"/>
        <w:rPr>
          <w:color w:val="000000" w:themeColor="text1"/>
          <w:sz w:val="16"/>
          <w:szCs w:val="16"/>
        </w:rPr>
      </w:pPr>
      <w:r w:rsidRPr="00F90EAE">
        <w:rPr>
          <w:color w:val="000000" w:themeColor="text1"/>
          <w:sz w:val="16"/>
          <w:szCs w:val="16"/>
        </w:rPr>
        <w:t>Спирт 337 674 343 077 2000 ?</w:t>
      </w:r>
    </w:p>
    <w:p w14:paraId="6DAFEF6A" w14:textId="77777777" w:rsidR="005B62C6" w:rsidRPr="00F90EAE" w:rsidRDefault="005B62C6" w:rsidP="00F90EAE">
      <w:pPr>
        <w:jc w:val="both"/>
        <w:rPr>
          <w:color w:val="000000" w:themeColor="text1"/>
          <w:sz w:val="16"/>
          <w:szCs w:val="16"/>
        </w:rPr>
      </w:pPr>
      <w:r w:rsidRPr="00F90EAE">
        <w:rPr>
          <w:color w:val="000000" w:themeColor="text1"/>
          <w:sz w:val="16"/>
          <w:szCs w:val="16"/>
        </w:rPr>
        <w:t>Сахарин 641 651 ? ?</w:t>
      </w:r>
    </w:p>
    <w:p w14:paraId="11809C77" w14:textId="77777777" w:rsidR="005B62C6" w:rsidRPr="00F90EAE" w:rsidRDefault="005B62C6" w:rsidP="00F90EAE">
      <w:pPr>
        <w:jc w:val="both"/>
        <w:rPr>
          <w:color w:val="000000" w:themeColor="text1"/>
          <w:sz w:val="16"/>
          <w:szCs w:val="16"/>
        </w:rPr>
      </w:pPr>
      <w:r w:rsidRPr="00F90EAE">
        <w:rPr>
          <w:color w:val="000000" w:themeColor="text1"/>
          <w:sz w:val="16"/>
          <w:szCs w:val="16"/>
        </w:rPr>
        <w:t>Поставки США в счет Великобритании с 1 октября 1941 г. по 1 июля 1945 г.</w:t>
      </w:r>
    </w:p>
    <w:p w14:paraId="0DFF2FEA" w14:textId="77777777" w:rsidR="005B62C6" w:rsidRPr="00F90EAE" w:rsidRDefault="005B62C6" w:rsidP="00F90EAE">
      <w:pPr>
        <w:jc w:val="both"/>
        <w:rPr>
          <w:color w:val="000000" w:themeColor="text1"/>
          <w:sz w:val="16"/>
          <w:szCs w:val="16"/>
        </w:rPr>
      </w:pPr>
      <w:r w:rsidRPr="00F90EAE">
        <w:rPr>
          <w:color w:val="000000" w:themeColor="text1"/>
          <w:sz w:val="16"/>
          <w:szCs w:val="16"/>
        </w:rPr>
        <w:t>Пшеница 11 007 11 183 320 3 578 560</w:t>
      </w:r>
    </w:p>
    <w:p w14:paraId="11DDDDB5" w14:textId="77777777" w:rsidR="005B62C6" w:rsidRPr="00F90EAE" w:rsidRDefault="005B62C6" w:rsidP="00F90EAE">
      <w:pPr>
        <w:jc w:val="both"/>
        <w:rPr>
          <w:color w:val="000000" w:themeColor="text1"/>
          <w:sz w:val="16"/>
          <w:szCs w:val="16"/>
        </w:rPr>
      </w:pPr>
      <w:r w:rsidRPr="00F90EAE">
        <w:rPr>
          <w:color w:val="000000" w:themeColor="text1"/>
          <w:sz w:val="16"/>
          <w:szCs w:val="16"/>
        </w:rPr>
        <w:t>Мука 99576 101 169 327 33 082 263</w:t>
      </w:r>
    </w:p>
    <w:p w14:paraId="078F16FD" w14:textId="77777777" w:rsidR="005B62C6" w:rsidRPr="00F90EAE" w:rsidRDefault="005B62C6" w:rsidP="00F90EAE">
      <w:pPr>
        <w:jc w:val="both"/>
        <w:rPr>
          <w:color w:val="000000" w:themeColor="text1"/>
          <w:sz w:val="16"/>
          <w:szCs w:val="16"/>
        </w:rPr>
      </w:pPr>
      <w:r w:rsidRPr="00F90EAE">
        <w:rPr>
          <w:color w:val="000000" w:themeColor="text1"/>
          <w:sz w:val="16"/>
          <w:szCs w:val="16"/>
        </w:rPr>
        <w:t>Всего... 110 583 112 352 36 660 823</w:t>
      </w:r>
    </w:p>
    <w:p w14:paraId="17719E29" w14:textId="77777777" w:rsidR="005B62C6" w:rsidRPr="00F90EAE" w:rsidRDefault="005B62C6" w:rsidP="00F90EAE">
      <w:pPr>
        <w:jc w:val="both"/>
        <w:rPr>
          <w:color w:val="000000" w:themeColor="text1"/>
          <w:sz w:val="16"/>
          <w:szCs w:val="16"/>
        </w:rPr>
      </w:pPr>
      <w:r w:rsidRPr="00F90EAE">
        <w:rPr>
          <w:color w:val="000000" w:themeColor="text1"/>
          <w:sz w:val="16"/>
          <w:szCs w:val="16"/>
        </w:rPr>
        <w:t>Поставки США с 13 мая по 20 сентября 1945г.</w:t>
      </w:r>
    </w:p>
    <w:p w14:paraId="7CCD51D9" w14:textId="77777777" w:rsidR="005B62C6" w:rsidRPr="00F90EAE" w:rsidRDefault="005B62C6" w:rsidP="00F90EAE">
      <w:pPr>
        <w:jc w:val="both"/>
        <w:rPr>
          <w:color w:val="000000" w:themeColor="text1"/>
          <w:sz w:val="16"/>
          <w:szCs w:val="16"/>
        </w:rPr>
      </w:pPr>
      <w:r w:rsidRPr="00F90EAE">
        <w:rPr>
          <w:color w:val="000000" w:themeColor="text1"/>
          <w:sz w:val="16"/>
          <w:szCs w:val="16"/>
        </w:rPr>
        <w:t>Продовольствие Всего из США 297 993 г 270 280 4 324 429 1651 д 4 462 323 63 594 269</w:t>
      </w:r>
    </w:p>
    <w:p w14:paraId="6BC9F28E" w14:textId="77777777" w:rsidR="005B62C6" w:rsidRPr="00F90EAE" w:rsidRDefault="005B62C6" w:rsidP="00F90EAE">
      <w:pPr>
        <w:jc w:val="both"/>
        <w:rPr>
          <w:color w:val="000000" w:themeColor="text1"/>
          <w:sz w:val="16"/>
          <w:szCs w:val="16"/>
        </w:rPr>
      </w:pPr>
      <w:r w:rsidRPr="00F90EAE">
        <w:rPr>
          <w:color w:val="000000" w:themeColor="text1"/>
          <w:sz w:val="16"/>
          <w:szCs w:val="16"/>
        </w:rPr>
        <w:t>(РГАЭ, ф. 413, on. 9, д. 438, л. 1, 14, 15;</w:t>
      </w:r>
    </w:p>
    <w:p w14:paraId="3D6B3430" w14:textId="77777777" w:rsidR="005B62C6" w:rsidRPr="00F90EAE" w:rsidRDefault="005B62C6" w:rsidP="00F90EAE">
      <w:pPr>
        <w:jc w:val="both"/>
        <w:rPr>
          <w:color w:val="000000" w:themeColor="text1"/>
          <w:sz w:val="16"/>
          <w:szCs w:val="16"/>
          <w:lang w:val="en-US"/>
        </w:rPr>
      </w:pPr>
      <w:r w:rsidRPr="00F90EAE">
        <w:rPr>
          <w:color w:val="000000" w:themeColor="text1"/>
          <w:sz w:val="16"/>
          <w:szCs w:val="16"/>
        </w:rPr>
        <w:t>Химический состав пищевых продуктов/Под ред. А</w:t>
      </w:r>
      <w:r w:rsidRPr="00F90EAE">
        <w:rPr>
          <w:color w:val="000000" w:themeColor="text1"/>
          <w:sz w:val="16"/>
          <w:szCs w:val="16"/>
          <w:lang w:val="en-US"/>
        </w:rPr>
        <w:t xml:space="preserve">. </w:t>
      </w:r>
      <w:r w:rsidRPr="00F90EAE">
        <w:rPr>
          <w:color w:val="000000" w:themeColor="text1"/>
          <w:sz w:val="16"/>
          <w:szCs w:val="16"/>
        </w:rPr>
        <w:t>А</w:t>
      </w:r>
      <w:r w:rsidRPr="00F90EAE">
        <w:rPr>
          <w:color w:val="000000" w:themeColor="text1"/>
          <w:sz w:val="16"/>
          <w:szCs w:val="16"/>
          <w:lang w:val="en-US"/>
        </w:rPr>
        <w:t xml:space="preserve">. </w:t>
      </w:r>
      <w:r w:rsidRPr="00F90EAE">
        <w:rPr>
          <w:color w:val="000000" w:themeColor="text1"/>
          <w:sz w:val="16"/>
          <w:szCs w:val="16"/>
        </w:rPr>
        <w:t>Покровского</w:t>
      </w:r>
      <w:r w:rsidRPr="00F90EAE">
        <w:rPr>
          <w:color w:val="000000" w:themeColor="text1"/>
          <w:sz w:val="16"/>
          <w:szCs w:val="16"/>
          <w:lang w:val="en-US"/>
        </w:rPr>
        <w:t xml:space="preserve">. </w:t>
      </w:r>
      <w:r w:rsidRPr="00F90EAE">
        <w:rPr>
          <w:color w:val="000000" w:themeColor="text1"/>
          <w:sz w:val="16"/>
          <w:szCs w:val="16"/>
        </w:rPr>
        <w:t>М</w:t>
      </w:r>
      <w:r w:rsidRPr="00F90EAE">
        <w:rPr>
          <w:color w:val="000000" w:themeColor="text1"/>
          <w:sz w:val="16"/>
          <w:szCs w:val="16"/>
          <w:lang w:val="en-US"/>
        </w:rPr>
        <w:t>. 1976;</w:t>
      </w:r>
    </w:p>
    <w:p w14:paraId="54BDDFFD" w14:textId="77777777" w:rsidR="005B62C6" w:rsidRPr="00F90EAE" w:rsidRDefault="005B62C6" w:rsidP="00F90EAE">
      <w:pPr>
        <w:jc w:val="both"/>
        <w:rPr>
          <w:color w:val="000000" w:themeColor="text1"/>
          <w:sz w:val="16"/>
          <w:szCs w:val="16"/>
        </w:rPr>
      </w:pPr>
      <w:r w:rsidRPr="00F90EAE">
        <w:rPr>
          <w:color w:val="000000" w:themeColor="text1"/>
          <w:sz w:val="16"/>
          <w:szCs w:val="16"/>
        </w:rPr>
        <w:t>Т</w:t>
      </w:r>
      <w:r w:rsidRPr="00F90EAE">
        <w:rPr>
          <w:color w:val="000000" w:themeColor="text1"/>
          <w:sz w:val="16"/>
          <w:szCs w:val="16"/>
          <w:lang w:val="en-US"/>
        </w:rPr>
        <w:t xml:space="preserve"> u y l l v a n H. Feeding the Bear. American Aid to the Soviet Union, 1941 - 1945. </w:t>
      </w:r>
      <w:r w:rsidRPr="00F90EAE">
        <w:rPr>
          <w:color w:val="000000" w:themeColor="text1"/>
          <w:sz w:val="16"/>
          <w:szCs w:val="16"/>
        </w:rPr>
        <w:t>N. Y.: Westpoint; L. 1989. P. 174.)</w:t>
      </w:r>
    </w:p>
    <w:p w14:paraId="1346E2DA" w14:textId="77777777" w:rsidR="005B62C6" w:rsidRPr="00F90EAE" w:rsidRDefault="005B62C6" w:rsidP="00F90EAE">
      <w:pPr>
        <w:jc w:val="both"/>
        <w:rPr>
          <w:color w:val="000000" w:themeColor="text1"/>
          <w:sz w:val="16"/>
          <w:szCs w:val="16"/>
        </w:rPr>
      </w:pPr>
      <w:r w:rsidRPr="00F90EAE">
        <w:rPr>
          <w:color w:val="000000" w:themeColor="text1"/>
          <w:sz w:val="16"/>
          <w:szCs w:val="16"/>
        </w:rPr>
        <w:lastRenderedPageBreak/>
        <w:t>a Поскольку в различных источниках данные приведены либо в длинных, либо в коротких тоннах, расчет калорийности продовольствия осуществлялся после приведения данных мер веса в единую систему: 1 длинная тонна (англо-тонна) = 1016 кг = 1,016 т; 1 короткая тонна = 907 кг = 0,907 т.</w:t>
      </w:r>
    </w:p>
    <w:p w14:paraId="217974ED" w14:textId="77777777" w:rsidR="005B62C6" w:rsidRPr="00F90EAE" w:rsidRDefault="005B62C6" w:rsidP="00F90EAE">
      <w:pPr>
        <w:jc w:val="both"/>
        <w:rPr>
          <w:color w:val="000000" w:themeColor="text1"/>
          <w:sz w:val="16"/>
          <w:szCs w:val="16"/>
        </w:rPr>
      </w:pPr>
      <w:r w:rsidRPr="00F90EAE">
        <w:rPr>
          <w:color w:val="000000" w:themeColor="text1"/>
          <w:sz w:val="16"/>
          <w:szCs w:val="16"/>
        </w:rPr>
        <w:t xml:space="preserve">б документе (РГАЭ, ф. 413, оп. 9, д. 438, л. 15), по данным которого составлена таблица, приводится цифра 3 887 223 - раскрыть ее не удалось. </w:t>
      </w:r>
    </w:p>
    <w:p w14:paraId="4B87769F" w14:textId="77777777" w:rsidR="005B62C6" w:rsidRPr="00F90EAE" w:rsidRDefault="005B62C6" w:rsidP="00F90EAE">
      <w:pPr>
        <w:jc w:val="both"/>
        <w:rPr>
          <w:color w:val="000000" w:themeColor="text1"/>
          <w:sz w:val="16"/>
          <w:szCs w:val="16"/>
        </w:rPr>
      </w:pPr>
      <w:r w:rsidRPr="00F90EAE">
        <w:rPr>
          <w:color w:val="000000" w:themeColor="text1"/>
          <w:sz w:val="16"/>
          <w:szCs w:val="16"/>
        </w:rPr>
        <w:t xml:space="preserve">в Средняя калорийность. </w:t>
      </w:r>
    </w:p>
    <w:p w14:paraId="26DE9964" w14:textId="77777777" w:rsidR="005B62C6" w:rsidRPr="00F90EAE" w:rsidRDefault="005B62C6" w:rsidP="00F90EAE">
      <w:pPr>
        <w:jc w:val="both"/>
        <w:rPr>
          <w:color w:val="000000" w:themeColor="text1"/>
          <w:sz w:val="16"/>
          <w:szCs w:val="16"/>
        </w:rPr>
      </w:pPr>
      <w:r w:rsidRPr="00F90EAE">
        <w:rPr>
          <w:color w:val="000000" w:themeColor="text1"/>
          <w:sz w:val="16"/>
          <w:szCs w:val="16"/>
        </w:rPr>
        <w:t>г Вес в коротких тоннах.</w:t>
      </w:r>
    </w:p>
    <w:p w14:paraId="44AF4CD2" w14:textId="77777777" w:rsidR="005B62C6" w:rsidRPr="00F90EAE" w:rsidRDefault="005B62C6" w:rsidP="00F90EAE">
      <w:pPr>
        <w:jc w:val="both"/>
        <w:rPr>
          <w:color w:val="000000" w:themeColor="text1"/>
          <w:sz w:val="16"/>
          <w:szCs w:val="16"/>
        </w:rPr>
      </w:pPr>
      <w:r w:rsidRPr="00F90EAE">
        <w:rPr>
          <w:color w:val="000000" w:themeColor="text1"/>
          <w:sz w:val="16"/>
          <w:szCs w:val="16"/>
        </w:rPr>
        <w:t>д Ввиду того, что номенклатуру поставок за этот период уточнить не удалось, расчеты калорийности продовольствия сделаны по среднеарифметической калорийности продуктов из США (1651 ккал) (19582).</w:t>
      </w:r>
    </w:p>
    <w:p w14:paraId="1422F6AC" w14:textId="77777777" w:rsidR="005B62C6" w:rsidRPr="00F90EAE" w:rsidRDefault="005B62C6" w:rsidP="00F90EAE">
      <w:pPr>
        <w:jc w:val="both"/>
        <w:rPr>
          <w:color w:val="000000" w:themeColor="text1"/>
          <w:sz w:val="16"/>
          <w:szCs w:val="16"/>
        </w:rPr>
      </w:pPr>
    </w:p>
    <w:p w14:paraId="1C5DEAEB"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A0A0951" w14:textId="77777777" w:rsidR="00665165" w:rsidRPr="00F90EAE" w:rsidRDefault="00665165" w:rsidP="00F90EAE">
      <w:pPr>
        <w:autoSpaceDE w:val="0"/>
        <w:autoSpaceDN w:val="0"/>
        <w:adjustRightInd w:val="0"/>
        <w:jc w:val="both"/>
        <w:rPr>
          <w:iCs/>
          <w:color w:val="000000" w:themeColor="text1"/>
          <w:sz w:val="16"/>
          <w:szCs w:val="16"/>
        </w:rPr>
      </w:pPr>
    </w:p>
    <w:p w14:paraId="4E14615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мая 1945 в лесах возле Дании английскими войсками арестован английский лорд Уильям Джойс, в течение всех лет войны ведший фашистскую пропаганду по радио из Германии (4962).</w:t>
      </w:r>
    </w:p>
    <w:p w14:paraId="7EE7E6B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18A70E4"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As discussions about use of the bomb continued, US authorities made preparations for the decision that seemed most likely. On May 28, a special committee in Washington nominated four urban industrial centers -- Kokura, Hiroshima, Niigata, and Kyoto -- as targets. On May 29, however, Secretary of War Stimson struck Kyoto (Japan's capital for more than 1,000 years) from the list. Nagasaki was eventually picked as the fourth potential target (1287).</w:t>
      </w:r>
    </w:p>
    <w:p w14:paraId="5719AB13" w14:textId="77777777" w:rsidR="00665165" w:rsidRPr="00F90EAE" w:rsidRDefault="00665165" w:rsidP="00F90EAE">
      <w:pPr>
        <w:autoSpaceDE w:val="0"/>
        <w:autoSpaceDN w:val="0"/>
        <w:adjustRightInd w:val="0"/>
        <w:jc w:val="both"/>
        <w:rPr>
          <w:color w:val="000000" w:themeColor="text1"/>
          <w:sz w:val="16"/>
          <w:szCs w:val="16"/>
          <w:lang w:val="en-US"/>
        </w:rPr>
      </w:pPr>
    </w:p>
    <w:p w14:paraId="0EC4E65A"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 xml:space="preserve">28 </w:t>
      </w:r>
      <w:r w:rsidRPr="00F90EAE">
        <w:rPr>
          <w:color w:val="000000" w:themeColor="text1"/>
          <w:sz w:val="16"/>
          <w:szCs w:val="16"/>
        </w:rPr>
        <w:t>мая</w:t>
      </w:r>
      <w:r w:rsidRPr="00F90EAE">
        <w:rPr>
          <w:color w:val="000000" w:themeColor="text1"/>
          <w:sz w:val="16"/>
          <w:szCs w:val="16"/>
          <w:lang w:val="en-US"/>
        </w:rPr>
        <w:t xml:space="preserve"> 1945 </w:t>
      </w:r>
      <w:r w:rsidRPr="00F90EAE">
        <w:rPr>
          <w:color w:val="000000" w:themeColor="text1"/>
          <w:sz w:val="16"/>
          <w:szCs w:val="16"/>
        </w:rPr>
        <w:t>специальныйкомитетвВашингтонеопределил</w:t>
      </w:r>
      <w:r w:rsidRPr="00F90EAE">
        <w:rPr>
          <w:color w:val="000000" w:themeColor="text1"/>
          <w:sz w:val="16"/>
          <w:szCs w:val="16"/>
          <w:lang w:val="en-US"/>
        </w:rPr>
        <w:t xml:space="preserve"> 4 </w:t>
      </w:r>
      <w:r w:rsidRPr="00F90EAE">
        <w:rPr>
          <w:color w:val="000000" w:themeColor="text1"/>
          <w:sz w:val="16"/>
          <w:szCs w:val="16"/>
        </w:rPr>
        <w:t>целидляатомнойбомбардировкиЯпонии</w:t>
      </w:r>
      <w:r w:rsidRPr="00F90EAE">
        <w:rPr>
          <w:color w:val="000000" w:themeColor="text1"/>
          <w:sz w:val="16"/>
          <w:szCs w:val="16"/>
          <w:lang w:val="en-US"/>
        </w:rPr>
        <w:t xml:space="preserve"> - </w:t>
      </w:r>
      <w:r w:rsidRPr="00F90EAE">
        <w:rPr>
          <w:color w:val="000000" w:themeColor="text1"/>
          <w:sz w:val="16"/>
          <w:szCs w:val="16"/>
        </w:rPr>
        <w:t>Кокуру</w:t>
      </w:r>
      <w:r w:rsidRPr="00F90EAE">
        <w:rPr>
          <w:color w:val="000000" w:themeColor="text1"/>
          <w:sz w:val="16"/>
          <w:szCs w:val="16"/>
          <w:lang w:val="en-US"/>
        </w:rPr>
        <w:t xml:space="preserve">, </w:t>
      </w:r>
      <w:r w:rsidRPr="00F90EAE">
        <w:rPr>
          <w:color w:val="000000" w:themeColor="text1"/>
          <w:sz w:val="16"/>
          <w:szCs w:val="16"/>
        </w:rPr>
        <w:t>Хиросиму</w:t>
      </w:r>
      <w:r w:rsidRPr="00F90EAE">
        <w:rPr>
          <w:color w:val="000000" w:themeColor="text1"/>
          <w:sz w:val="16"/>
          <w:szCs w:val="16"/>
          <w:lang w:val="en-US"/>
        </w:rPr>
        <w:t xml:space="preserve">, </w:t>
      </w:r>
      <w:r w:rsidRPr="00F90EAE">
        <w:rPr>
          <w:color w:val="000000" w:themeColor="text1"/>
          <w:sz w:val="16"/>
          <w:szCs w:val="16"/>
        </w:rPr>
        <w:t>НиигатуиКиото</w:t>
      </w:r>
      <w:r w:rsidRPr="00F90EAE">
        <w:rPr>
          <w:color w:val="000000" w:themeColor="text1"/>
          <w:sz w:val="16"/>
          <w:szCs w:val="16"/>
          <w:lang w:val="en-US"/>
        </w:rPr>
        <w:t xml:space="preserve">, </w:t>
      </w:r>
      <w:r w:rsidRPr="00F90EAE">
        <w:rPr>
          <w:color w:val="000000" w:themeColor="text1"/>
          <w:sz w:val="16"/>
          <w:szCs w:val="16"/>
        </w:rPr>
        <w:t>а</w:t>
      </w:r>
      <w:r w:rsidRPr="00F90EAE">
        <w:rPr>
          <w:color w:val="000000" w:themeColor="text1"/>
          <w:sz w:val="16"/>
          <w:szCs w:val="16"/>
          <w:lang w:val="en-US"/>
        </w:rPr>
        <w:t xml:space="preserve"> 29 </w:t>
      </w:r>
      <w:r w:rsidRPr="00F90EAE">
        <w:rPr>
          <w:color w:val="000000" w:themeColor="text1"/>
          <w:sz w:val="16"/>
          <w:szCs w:val="16"/>
        </w:rPr>
        <w:t>маяКиотозаменилинаНагасаки</w:t>
      </w:r>
      <w:r w:rsidRPr="00F90EAE">
        <w:rPr>
          <w:color w:val="000000" w:themeColor="text1"/>
          <w:sz w:val="16"/>
          <w:szCs w:val="16"/>
          <w:lang w:val="en-US"/>
        </w:rPr>
        <w:t xml:space="preserve"> (1287).</w:t>
      </w:r>
    </w:p>
    <w:p w14:paraId="32C5B422" w14:textId="77777777" w:rsidR="00665165" w:rsidRPr="00F90EAE" w:rsidRDefault="00665165" w:rsidP="00F90EAE">
      <w:pPr>
        <w:autoSpaceDE w:val="0"/>
        <w:autoSpaceDN w:val="0"/>
        <w:adjustRightInd w:val="0"/>
        <w:jc w:val="both"/>
        <w:rPr>
          <w:color w:val="000000" w:themeColor="text1"/>
          <w:sz w:val="16"/>
          <w:szCs w:val="16"/>
          <w:lang w:val="en-US"/>
        </w:rPr>
      </w:pPr>
    </w:p>
    <w:p w14:paraId="659C40F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675EC13" w14:textId="77777777" w:rsidR="00665165" w:rsidRPr="00F90EAE" w:rsidRDefault="00665165" w:rsidP="00F90EAE">
      <w:pPr>
        <w:autoSpaceDE w:val="0"/>
        <w:autoSpaceDN w:val="0"/>
        <w:adjustRightInd w:val="0"/>
        <w:jc w:val="both"/>
        <w:rPr>
          <w:iCs/>
          <w:color w:val="000000" w:themeColor="text1"/>
          <w:sz w:val="16"/>
          <w:szCs w:val="16"/>
        </w:rPr>
      </w:pPr>
    </w:p>
    <w:p w14:paraId="64EE57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взорвался РД-1ХЗ на Пе-2 N 15/185 (2471,42).</w:t>
      </w:r>
    </w:p>
    <w:p w14:paraId="2697892D" w14:textId="77777777" w:rsidR="00665165" w:rsidRPr="00F90EAE" w:rsidRDefault="00665165" w:rsidP="00F90EAE">
      <w:pPr>
        <w:autoSpaceDE w:val="0"/>
        <w:autoSpaceDN w:val="0"/>
        <w:adjustRightInd w:val="0"/>
        <w:jc w:val="both"/>
        <w:rPr>
          <w:color w:val="000000" w:themeColor="text1"/>
          <w:sz w:val="16"/>
          <w:szCs w:val="16"/>
        </w:rPr>
      </w:pPr>
    </w:p>
    <w:p w14:paraId="1E764E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произошел взрыв ракетного двигателя РД-1ХЗ на опытном самолете Пе-2 (4476).</w:t>
      </w:r>
    </w:p>
    <w:p w14:paraId="3BA5C5D9" w14:textId="77777777" w:rsidR="00665165" w:rsidRPr="00F90EAE" w:rsidRDefault="00665165" w:rsidP="00F90EAE">
      <w:pPr>
        <w:autoSpaceDE w:val="0"/>
        <w:autoSpaceDN w:val="0"/>
        <w:adjustRightInd w:val="0"/>
        <w:jc w:val="both"/>
        <w:rPr>
          <w:color w:val="000000" w:themeColor="text1"/>
          <w:sz w:val="16"/>
          <w:szCs w:val="16"/>
        </w:rPr>
      </w:pPr>
    </w:p>
    <w:p w14:paraId="61A3D7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658835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356D48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C8178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4DE7C332" w14:textId="77777777" w:rsidR="00665165" w:rsidRPr="00F90EAE" w:rsidRDefault="00665165" w:rsidP="00F90EAE">
      <w:pPr>
        <w:autoSpaceDE w:val="0"/>
        <w:autoSpaceDN w:val="0"/>
        <w:adjustRightInd w:val="0"/>
        <w:jc w:val="both"/>
        <w:rPr>
          <w:color w:val="000000" w:themeColor="text1"/>
          <w:sz w:val="16"/>
          <w:szCs w:val="16"/>
        </w:rPr>
      </w:pPr>
    </w:p>
    <w:p w14:paraId="4F3836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л М.К.Байкалов на БИ-7 с РД-1 Исаева вместо Д-1-А-1100 Л.С.Душкина выполнил 3-й полет, а 1-й и 2-й были 24 января и 9 марта 1945. Существенных отличий от БИ-2 и Би-3 не было, но вес вырос до 1757 кг, а баки - до 555 кг. Задание: проверка тряски при планировании без включения РД с взлетом и посадкой на буксире за В-25 На тряску машина не реагировала. С выпущенным шасси самолет тянуло в пикирование. В июне 1945 машину сняли с испытаний в связи с появлением активной коррозии (2928,21).</w:t>
      </w:r>
    </w:p>
    <w:p w14:paraId="3A953DD8" w14:textId="77777777" w:rsidR="00665165" w:rsidRPr="00F90EAE" w:rsidRDefault="00665165" w:rsidP="00F90EAE">
      <w:pPr>
        <w:autoSpaceDE w:val="0"/>
        <w:autoSpaceDN w:val="0"/>
        <w:adjustRightInd w:val="0"/>
        <w:jc w:val="both"/>
        <w:rPr>
          <w:color w:val="000000" w:themeColor="text1"/>
          <w:sz w:val="16"/>
          <w:szCs w:val="16"/>
        </w:rPr>
      </w:pPr>
    </w:p>
    <w:p w14:paraId="0A72628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139E34D" w14:textId="77777777" w:rsidR="00665165" w:rsidRPr="00F90EAE" w:rsidRDefault="00665165" w:rsidP="00F90EAE">
      <w:pPr>
        <w:autoSpaceDE w:val="0"/>
        <w:autoSpaceDN w:val="0"/>
        <w:adjustRightInd w:val="0"/>
        <w:jc w:val="both"/>
        <w:rPr>
          <w:iCs/>
          <w:color w:val="000000" w:themeColor="text1"/>
          <w:sz w:val="16"/>
          <w:szCs w:val="16"/>
        </w:rPr>
      </w:pPr>
    </w:p>
    <w:p w14:paraId="04D1E5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года в Демблине партизанами Армии крайовой был взорван В-17, восстанавливавшийся группой специалистов 45-й дивизии (3457,112).</w:t>
      </w:r>
    </w:p>
    <w:p w14:paraId="0350DD64" w14:textId="77777777" w:rsidR="00665165" w:rsidRPr="00F90EAE" w:rsidRDefault="00665165" w:rsidP="00F90EAE">
      <w:pPr>
        <w:autoSpaceDE w:val="0"/>
        <w:autoSpaceDN w:val="0"/>
        <w:adjustRightInd w:val="0"/>
        <w:jc w:val="both"/>
        <w:rPr>
          <w:color w:val="000000" w:themeColor="text1"/>
          <w:sz w:val="16"/>
          <w:szCs w:val="16"/>
        </w:rPr>
      </w:pPr>
    </w:p>
    <w:p w14:paraId="5049FF1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41CC3DA6" w14:textId="77777777" w:rsidR="00665165" w:rsidRPr="00F90EAE" w:rsidRDefault="00665165" w:rsidP="00F90EAE">
      <w:pPr>
        <w:autoSpaceDE w:val="0"/>
        <w:autoSpaceDN w:val="0"/>
        <w:adjustRightInd w:val="0"/>
        <w:jc w:val="both"/>
        <w:rPr>
          <w:iCs/>
          <w:color w:val="000000" w:themeColor="text1"/>
          <w:sz w:val="16"/>
          <w:szCs w:val="16"/>
        </w:rPr>
      </w:pPr>
    </w:p>
    <w:p w14:paraId="5365D2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года в НКВД подготовили проект письма заместителя наркома Чернышова и начальника ГУЛАГа Наседкина на имя Берии, в котором говорилось:</w:t>
      </w:r>
    </w:p>
    <w:p w14:paraId="0446D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окончанием военных действий, возникла необходимость в пересмотре директив НКВД и Прокурора СССР № 221 от 22 июня 1941 года и № 185 от 29 апреля 1942 года (7560).</w:t>
      </w:r>
    </w:p>
    <w:p w14:paraId="2BCAF8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этим директивам до конца войны было прекращено освобождение из мест заключения отбывших сроки наказания осужденных за контрреволюционные и другие особо-опасные преступления (7560).</w:t>
      </w:r>
    </w:p>
    <w:p w14:paraId="24A4B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годы войны задержано и содержится в исправительно-трудовых лагерях отбывших сроки наказания:</w:t>
      </w:r>
    </w:p>
    <w:p w14:paraId="5DEB07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 положении заключенных:</w:t>
      </w:r>
    </w:p>
    <w:p w14:paraId="1C9022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граждан СССР, осужденных за измену Родине, террор, шпионаж, диверсию, троцкистов, правых и бандитов - 20.634 чел (7560).</w:t>
      </w:r>
    </w:p>
    <w:p w14:paraId="6079E4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подданных, воевавших с СССР государств: Германии, Румынии, Италии, Финляндии, Венгрии, независимо от состава преступления, а также подданных союзных и нейтральных государств, осужденных за особоопасные к/р преступления - 1.850 чел (7560).</w:t>
      </w:r>
    </w:p>
    <w:p w14:paraId="3F3C98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внеподданных [лиц без гражданства], независимо от статей осуждения - 1.213 чел (7560).</w:t>
      </w:r>
    </w:p>
    <w:p w14:paraId="12B6A9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положении вольнонаемных, с закреплением до конца войны за лагерями НКВД, без права выезда за пределы районов работ лагерей, осужденных за другие контрреволюционные и особоопасные преступления (кроме перечисленных в п. 1) и уголовников-рецидивистов - 72.600 чел. (в том числе на Дальстрое - 44.200 чел) (7560).</w:t>
      </w:r>
    </w:p>
    <w:p w14:paraId="049C17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Полагали бы целесообразным отбывших сроки наказания:</w:t>
      </w:r>
    </w:p>
    <w:p w14:paraId="73470B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Осужденных за измену Родине, террор, шпионаж, диверсию, троцкистов, правых, бандитов, а также всех внеподданных из мест заключения освободить, определив им проживание в отдельных районах Советского Союза, применительно к предусмотренным в списке № 3 приказа НКВД СССР от 1 июня 1939 года № 0143 (с правом приезда к ним на жительство членов семей) (7560).</w:t>
      </w:r>
    </w:p>
    <w:p w14:paraId="079680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Установить, что в дальнейшем эти категории осужденных по отбытии сроков наказания - могут проживать только в отдаленных районах (7560).</w:t>
      </w:r>
    </w:p>
    <w:p w14:paraId="33DDB3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Подданных воевавших с СССР государств из мест заключения освободить и передать для дальнейшего содержания в лагеря для интернированных (7560).</w:t>
      </w:r>
    </w:p>
    <w:p w14:paraId="5B2FE1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Подданных союзных и нейтральных государств из мест заключения освободить и выдворить за пределы Советского Союза (7560).</w:t>
      </w:r>
    </w:p>
    <w:p w14:paraId="56F633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Бывшим заключенным, закрепленным за лагерями на правах вольнонаемных до конца войны в порядке п. 2 директивы № 185, разрешить отъезд и проживание по месту избранного жительства, с соблюдением установленных режимных ограничений (7560).</w:t>
      </w:r>
    </w:p>
    <w:p w14:paraId="3E14B2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Директивы НКВД и Прокурора СССР №№ 221 и 185 считать утратившими силу (7560).</w:t>
      </w:r>
    </w:p>
    <w:p w14:paraId="3B0B5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строительству Дальнего Севера сохранить существовавшее до войны положение, предоставляющее право начальнику Дальстроя оставлять на Колыме, в порядке вольного найма, лиц, отбывших сроки наказания, необходимых Дальстрою (7560).</w:t>
      </w:r>
    </w:p>
    <w:p w14:paraId="3DCD7B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рассмотрения этих предложений просим назначить комиссию НКВД-НКГБ в составе по вашему усмотрению” (7560).</w:t>
      </w:r>
    </w:p>
    <w:p w14:paraId="0F17EC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Комиссия предложела:</w:t>
      </w:r>
    </w:p>
    <w:p w14:paraId="23CFDD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“Отменить директивы НКВД и Прокурора СССР № 221 от 22 июня 1941 года и № 185 от 29 апреля 1942 года и все последующие к ним дополнения о задержке освобождения из мест заключения некоторых категорий осужденных (7560).</w:t>
      </w:r>
    </w:p>
    <w:p w14:paraId="78678C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Для рассмотрения материалов на заключенных, задержанных освобождением, образовать комиссии:</w:t>
      </w:r>
    </w:p>
    <w:p w14:paraId="379863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в отношении заключенных, содержащихся в исправительно-трудовых лагерях МВД, - в составе начальника лагеря, начальника оперативно-чекистского отдела лагеря, прокурора лагеря и представителя Управления Министерства государственной безопасности - по территориальности (7560).</w:t>
      </w:r>
    </w:p>
    <w:p w14:paraId="6C3CA1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в отношении заключенных, содержащихся в исправительно-трудовых колониях и тюрьмах МВД, - в составе заместителя министра внутренних дел автономной республики (зам. начальника УМВД), представителя от УМГБ и Прокуратуры республики, края, области.. (7560).</w:t>
      </w:r>
    </w:p>
    <w:p w14:paraId="6D163B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Комиссиям в месячный срок рассмотреть имеющиеся материалы на заключенных, задержанных освобождением, руководствуясь при этом следующим:</w:t>
      </w:r>
    </w:p>
    <w:p w14:paraId="090808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лиц, в отношении которых имеются данные об их практической антисоветской или иной преступной деятельности за время нахождения в заключении, - арестовать, оформив арест в установленном законом порядке. Дела по окончании следствия направить на рассмотрение в лагерные суды и Особое совещание при МВД СССР (7560).</w:t>
      </w:r>
    </w:p>
    <w:p w14:paraId="143A8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на заключенных, в отношении которых не имеется данных о проведении ими антисоветской работы в период нахождения в заключении, но являющихся социально-опасными по своей прошлой антисоветской деятельности и по тяжести совершенных ими преступлений (руководители шпионских резидентур и установленные агенты иностранных разведок, руководители антисоветских организаций, террористы, диверсанты, осужденные в совершении террористических и диверсионных актов, кадровые троцкисты, меньшевики, эсеры, а также бандиты), - завести учетные дела и с заключением комиссии представить их на рассмотрение Особого совещания при МВД СССР для направления таких осужденных в ссылку; до получения решения Особого совещания этих заключенных содержать в лагерях;</w:t>
      </w:r>
    </w:p>
    <w:p w14:paraId="24DDBB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остальных заключенных по решениям комиссии освободить из заключения с применением к ним существующих режимных ограничений, согласно положению о паспортах (7560).</w:t>
      </w:r>
    </w:p>
    <w:p w14:paraId="6961F0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Лиц, отбывших сроки наказания и прикрепленных для работы к лагерю (колонии) на положении вольнонаемных в порядке пункта 2 директивы НКВД и прокурора СССР № 185 1942 года, освободить от работы, применив к ним ограничения согласно положения о паспортах (7560).</w:t>
      </w:r>
    </w:p>
    <w:p w14:paraId="6D62D1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Объявить этим лицам под расписку в личном деле, что им разрешено проживать в любом районе СССР, кроме режимных местностей; при выезде выдать соответствующие документы, проездные билеты (7560).</w:t>
      </w:r>
    </w:p>
    <w:p w14:paraId="030D60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Освобождение заключенных, отбывших срок наказания, задержанных в исправительно-трудовых лагерях, колониях и тюрьмах до окончания войны на положении заключенных и вольнонаемных, - производить постепенно и закончить к 1 октября 1946 года” (7560).</w:t>
      </w:r>
    </w:p>
    <w:p w14:paraId="334AE8DD" w14:textId="77777777" w:rsidR="00665165" w:rsidRPr="00F90EAE" w:rsidRDefault="00665165" w:rsidP="00F90EAE">
      <w:pPr>
        <w:autoSpaceDE w:val="0"/>
        <w:autoSpaceDN w:val="0"/>
        <w:adjustRightInd w:val="0"/>
        <w:jc w:val="both"/>
        <w:rPr>
          <w:color w:val="000000" w:themeColor="text1"/>
          <w:sz w:val="16"/>
          <w:szCs w:val="16"/>
        </w:rPr>
      </w:pPr>
    </w:p>
    <w:p w14:paraId="5BD43E8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8709703" w14:textId="77777777" w:rsidR="00665165" w:rsidRPr="00F90EAE" w:rsidRDefault="00665165" w:rsidP="00F90EAE">
      <w:pPr>
        <w:autoSpaceDE w:val="0"/>
        <w:autoSpaceDN w:val="0"/>
        <w:adjustRightInd w:val="0"/>
        <w:jc w:val="both"/>
        <w:rPr>
          <w:iCs/>
          <w:color w:val="000000" w:themeColor="text1"/>
          <w:sz w:val="16"/>
          <w:szCs w:val="16"/>
        </w:rPr>
      </w:pPr>
    </w:p>
    <w:p w14:paraId="125E4E9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мая 1945 в Норвегии за сотрудничество с фашистами арестован писатель, Нобелевский лауреат Кнут Гамсун (4962).</w:t>
      </w:r>
    </w:p>
    <w:p w14:paraId="46F9E47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BBEEC31" w14:textId="77777777" w:rsidR="003605FA" w:rsidRPr="00F90EAE" w:rsidRDefault="003605FA"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67805C4" w14:textId="77777777" w:rsidR="003605FA" w:rsidRPr="00F90EAE" w:rsidRDefault="003605FA" w:rsidP="00F90EAE">
      <w:pPr>
        <w:autoSpaceDE w:val="0"/>
        <w:autoSpaceDN w:val="0"/>
        <w:adjustRightInd w:val="0"/>
        <w:jc w:val="both"/>
        <w:rPr>
          <w:iCs/>
          <w:color w:val="000000" w:themeColor="text1"/>
          <w:sz w:val="16"/>
          <w:szCs w:val="16"/>
        </w:rPr>
      </w:pPr>
    </w:p>
    <w:p w14:paraId="258214AF"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 20-х числах мая 1945 на НИБТ Полигон в подмосковной Кубинке прибыл тяжёлый танк T26E3. Была составлена программа испытаний, которая традиционно включала в себя изучение машины, тестирование её ходовых качеств, а также испытание вооружения. С последним пунктом, впрочем, как это часто бывало с иностранными танками, произошла заминка. Дело в том, что танк прибыл без боекомплекта. Хотя в СССР имелись зенитные орудия M1, снаряды от которых подходили к 90-мм танковой пушке M3, понадобилось время для их получения. Жалоба на отсутствие боеприпасов поступила 24 мая, и, судя по тому, что испытания вооружения удалось завершить до июля 1945 года, проблему удалось оперативно решить.</w:t>
      </w:r>
    </w:p>
    <w:p w14:paraId="0A60474F"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Вполне традиционно для подобных испытаний первым их этапом стало изучение нового танка. Этот процесс заметно облегчался тем, что вместе с танком прибыл большой объём технической литературы, включая инструкцию по эксплуатации танка и его орудия. Было подготовлено два варианта технического описания машины: краткий, который вошел в отчёт, и полный.</w:t>
      </w:r>
    </w:p>
    <w:p w14:paraId="2A9C4AFD"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Высокий интерес советских специалистов к T26E3 можно легко объяснить. Во-первых, это был первый серийный тяжёлый танк американской разработки, пусть даже тяжёлым он оказался лишь по боевой массе. Во-вторых, с точки зрения компоновки T26E3, как и другие машины семейства T20, разительно отличался от других американских средних и тяжёлых танков. От компоновки по типу Vickers Mk.E здесь было решено отказаться, вернувшись к классической схеме с размещением трансмиссии в кормовой части. К такой концепции американские конструкторы пришли в 1942 году. Забавно, что через год после американцев Генрих Книпкамп ту же самую концепцию решил использовать на Е-50, E-75 и других машинах E-серии. Использование классической схемы на T26E3 привело к тому, что танк получился на 20 см ниже, чем M4A2(76)W. Толщина его брони при этом получилась больше, удалось поставить и башню с более мощным вооружением.</w:t>
      </w:r>
    </w:p>
    <w:p w14:paraId="48F5829C"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Специалисты НИБТ Полигона в ходе изучения предположили, что T26E3 по конструкции основных агрегатов близок к GMC T70. Это предположение было отчасти верным, особенно в отношении конструкции ходовой части. Дело в том, что именно на GMC T70 американцы обкатали конструкцию торсионной подвески, позже использовавшейся на целом ряде американских танков и САУ на их базе. На T26E3 это сходство было уже не столь очевидным, чего не скажешь о T20E3 и T23E3, на которых использовались такие же, как у GMC T70 траки, катки и ведущие колёса. Сходство объяснялось просто: проектирование всех перечисленных машин велось в Tank-automotive Center, располагавшемся в Детройте. Также перешла с САУ на танк, пусть и в сильно измененном виде, система крепления ленивца, которая позволяла поддерживать постоянный уровень натяжения гусеничных лент.</w:t>
      </w:r>
    </w:p>
    <w:p w14:paraId="0DA06514"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Большой интерес вызвала компоновка агрегатов в моторно-трансмиссионном отделении. Между собой моторное и трансмиссионное отделения разделялись блоком, на котором устанавливалась система охлаждения. Испытатели отмечали наличие удобного доступа к агрегатам для обслуживания. Также стоит отметить, что двигатель и блок трансмиссии были объединены в единый узел. Это упрощало установку агрегатного блока в моторно-трансмиссионном отделении. Имелся у подобного решения и ряд недостатков. Во-первых, масса агрегатного блока составляла больше двух тонн, что в полевых условиях усложняло демонтаж. Во-вторых, по отдельности агрегаты вынуть не представлялось возможным, что также усложняло ремонт в поле.</w:t>
      </w:r>
    </w:p>
    <w:p w14:paraId="5D5271E7"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Еще одной вещью, которая роднила T26E3 и GMC T70, была схема трансмиссии. На обеих машинах использовалась коробка переключения передач (КПП) Torqmatic Model 900-T, а также гидротрансформатор. КПП, гидротрансформатор и двойной дифференциал были точно также объединены в один агрегат. Главным отличием от трансмиссии GMC T70 было то, что появился планетарный редуктор, расположенный между двигателем и гидротрансформатором. Установили его неспроста: проблемы, которые испытывала САУ на бездорожье, явно были известны не только советским испытателям. Появление планетарного редуктора позволило устранить проблему проворачивания гидротрансформатора.</w:t>
      </w:r>
    </w:p>
    <w:p w14:paraId="3EE88941"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Существенным отличием стала компоновка отделения управления. За счёт переноса трансмиссии назад здесь стало гораздо просторнее. Кроме того, управление стало сдвоенным, благодаря чему помощник механика-водителя стал таковым в полной мере. Дополнительным плюсом было наличие у механика-водителя регулировок сиденья в четырёх положениях.</w:t>
      </w:r>
    </w:p>
    <w:p w14:paraId="79E65063"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 целом обеспечивалось удобное управление и хороший обзор, но с одним нюансом. Уже после того, как были проведены ходовые испытания, в октябре 1945 года прошли сравнительные испытания, целью которых был замер усилий на рычагах управления. При развороте танка с минимальным радиусом на 1-й передаче усилие составило 35 килограмм на правом рычаге. При плавном развороте на левом рычаге необходимо было приложить усилие в 32 килограмма. Большими подобные показатели были только у ИС-3. Впрочем, у M4A2(76)W усилия оказались ненамного меньшими.</w:t>
      </w:r>
    </w:p>
    <w:p w14:paraId="13A6D4A3"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Конструкция корпуса вызвала у советских инженеров смешанные чувства. Во многом это связано с тем, что танк позиционировался как тяжёлый. Сама конструкция корпуса, в которой совместно использовались крупные катаные и литые элементы, вызвала интерес. К её плюсам относились большие люки моторного отделения, которые обеспечивали лёгкий доступ к агрегатам, а также внутренние перегородки, увеличивавшие жёсткость корпуса. Главным недостатком корпуса назвали толщину брони, составлявшей в лобовой части 101,6 мм. Для тяжёлого танка в 1945 году этого было явно недостаточно, да и защита новых советских средних танков, которые испытывались в этот момент, уже была выше. Минусом также назвали выступающий кожух вентилятора между люками механика-водителя и его помощника. Неудачной была признана конструкция крепления бортовых передач, выступавших за габариты корпуса. Существовал высокий риск повредить их на минах или при преодолении препятствий.</w:t>
      </w:r>
    </w:p>
    <w:p w14:paraId="02382FA2"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Башня также не могла похвастаться большой толщиной брони, составлявшей всё те же 101,6 мм в лобовой части. Её конструкция стала логичным развитием башни среднего танка T23, которая также устанавливалась и на M4A2(76)W. Развитая кормовая ниша позволила свободно разметить радиооборудование. Также башня традиционно для американских танков выгодно выделялась хорошим обзором. Несмотря на немного увеличившиеся размеры башни, место командира советские специалисты назвали несколько стеснённым. Зато очень удобным получилось место наводчика. Удачно были проработаны механизмы наведения орудия. Испытания показали, что при помощи ручного привода поворота башни полный оборот осуществлялся за 100 секунд, а с гидравлическим приводом — за 17.</w:t>
      </w:r>
    </w:p>
    <w:p w14:paraId="40881917"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Одно из немногих нареканий по месту наводчика вызвали прицелы. Дело в том, что на них была нанесена шкала только для бронебойных снарядов. Стрелять из пушки осколочно-фугасными снарядами, а также вести огонь из пулемёта с помощью этих прицелов оказалось неудобно. Претензии имелись и к малому оптическому увеличению. Место заряжающего в целом признали неплохо проработанным, но не без недостатков. Укладки снарядов, находящиеся на полу, заставляли заряжающего выполнять дополнительные движения, а это несколько снижало скорострельность орудия.</w:t>
      </w:r>
    </w:p>
    <w:p w14:paraId="40376CE3"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lastRenderedPageBreak/>
        <w:t>Первоначально предполагалось, что танк пройдёт стандартный цикл ходовых испытаний, включающий в себя езду по асфальтовому шоссе, по просёлку и по целине. Перед самым началом испытаний был получен приказ от начальника Главного бронетанкового управления Красной армии (ГБТУ КА) Федоренко о сокращении программы испытаний. В результате вместо 1000 километров дистанцию сократили до 500. Из программы вычеркнули определение максимальной скорости, а также езду по шоссе и по целине.</w:t>
      </w:r>
    </w:p>
    <w:p w14:paraId="29590FAA"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Движение осуществлялось по лесным дорогам, которые были изрядно разбиты. Это существенно повлияло на среднюю скорость движения, составившую 18,9 км/ч. Её признали хорошей, поскольку в более щадящих дорожных условиях скорость была бы явно больше. Ориентиром стали средние скорости движения других танков, которые примерно в это же время испытывались на тех же самых лесных дорогах. Речь идет прежде всего о тяжёлом танке ИС-3 и среднем танке Т-44. Для ИС-3 средняя скорость чистого движения в этих условиях составила 14,6 км/ч, а техническая — 11,1 км/ч. У Т-44 те же самые показатели составили 17,5 и 15,5 км/ч соответственно. Также проводилось сравнение с американским средним танком M4A4, для которого аналогичные показатели составили 16,5 и 14,8 км/ч, и с немецким средним танком Pz.Kpfw.Panther, по совокупности характеристик наиболее близким аналогом T26E3. Для немецкого танка аналогичные показатели составили 15,8 и 11,4 км/ч.</w:t>
      </w:r>
    </w:p>
    <w:p w14:paraId="58BAC65F"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Большим плюсом американского танка испытатели назвали наличие гидротрансформатора. Благодаря ему наблюдалась высокая приёмистость машины, которая особенно ощущалась на лесных дорогах. Танк быстро набирал скорость. Также отмечалась высокая плавность хода, которая обеспечивалась торсионной подвеской с телескопическими амортизаторами. Подвеска буквально проглатывала небольшие ухабы, благодаря чему средняя скорость движения увеличивалась. До 30 км/ч машина разгонялась по проселку за 15 секунд, проехав 68 метров.</w:t>
      </w:r>
    </w:p>
    <w:p w14:paraId="10590DA5"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Платой за использование гидротрансформатора стал рекордный для танков такой весовой категории расход топлива. На 100 километров пути T26E3 потреблял 585 литров бензина. Для сравнения, ИС-3 в тех же условиях потреблял 373 литра, а Т-44 378 литров. Надо, впрочем, учитывать тот факт, что у ИС-3 и Т-44 стояли дизельные двигатели. Оснащённые бензиновыми моторами M4A4 и Pz.Kpfw.Panther на той же дистанции потребляли 503 и 595 литров соответственно. Испытатели объяснили рекордный расход топлива у T26E3 низким КПД гидротрансформатора, а также тем, что двигатель работал на постоянных, соответствующих максимальной мощности, оборотах.</w:t>
      </w:r>
    </w:p>
    <w:p w14:paraId="436D3255"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Похожие проблемы испытывала и САУ GMC T70, но там вдобавок возникали принципиальные проблемы с преодолением ряда препятствий. Проведённые испытания T26E3 на трогание с места показали, что установка планетарного редуктора в значительной степени решила эти проблемы.</w:t>
      </w:r>
    </w:p>
    <w:p w14:paraId="4F30B3FB"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Повлияли улучшения в трансмиссии и на результаты преодоления подъёмов и спусков, а также на преодоление косогоров. Выяснилось, что танк успешно преодолевает подъёмы крутизной 31–32 градуса, как и указывалось в его инструкции. Также соответствовали действительности указанные американцами данные по максимальному углу спуска — 31 градус. Преодолел танк и косогор крутизной 35 градусов. Не вызвала проблем буксировка американским танком тяжёлого танка ИС-2, правда, расход топлива при этом вырастал до 160 литров в час.</w:t>
      </w:r>
    </w:p>
    <w:p w14:paraId="1A757A81"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 ходе испытаний танк продемонстрировал высокую надёжность. Единственная проблема с мотором случилась на 126-м километре пробега, да и то потому, что была допущена ошибка при монтаже шкива привода ремня вентилятора. На 54-м километре произошла единственная поломка трансмиссии: сломался валик привода масляного насоса. После его починки валик ломался ещё раз, по месту сварки. Тогда его заменили, сделав такую же деталь. Наибольшие проблемы выявились с ходовой частью. Во-первых, наблюдался большой износ зубьев ведущих колес. Во-вторых, ближе к концу ходовых испытаний разрушился бандаж одного из опорных катков. В дальнейшем началось частичное разрушение и бандажей других опорных катков.</w:t>
      </w:r>
    </w:p>
    <w:p w14:paraId="27E963EE"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Следующим этапом стало испытание вооружения. На Heavy Tank T26E3 была установлена 90-мм пушка M3, имевшая баллистику зенитного орудия M1. К моменту начала испытаний удалось получить оба типа бронебойных снарядов к ней, а также осколочно-фугасные. По итогам испытаний на скорострельность удалось добиться показателя в 6–7 выстрелов в минуту. В ходе стрельбы с коротких остановок удалось добиться скорострельности 1 выстрел в 11 секунд. Столь долгие промежутки между выстрелами стали результатом того, что при остановке танк некоторое время раскачивался. Точность стрельбы с коротких остановок была признана хорошей.</w:t>
      </w:r>
    </w:p>
    <w:p w14:paraId="3FAB7CB9"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 ходе стрельбы с хода удалось добиться 40–50% попаданий при движении на скорости 12–13 км/ч, и 10–20% при движении на скорости 24–26 км/ч. В отличие от M4A2(76)W, на танке отсутствовал гироскопический стабилизатор орудия, что очень сильно сказалось на результатах стрельбы. Испытания на устойчивость корпуса при стрельбе дали вполне удовлетворительные результаты.</w:t>
      </w:r>
    </w:p>
    <w:p w14:paraId="30DCA830"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Совсем другая картина вырисовалась в ходе определения загазованности боевого отделения при стрельбе. Выяснилось, что уровень загазованности значительно превышает нормы. При включении вентилятора и двигателя уровень загазованности падал, но всё равно оставался на высоком уровне.</w:t>
      </w:r>
    </w:p>
    <w:p w14:paraId="1C2D1142"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Весьма неоднозначными оказались и результаты испытаний орудия на пробиваемость. При стрельбе использовалось два типа бронебойных снарядов: остроголовый M77 без бронебойного наконечника и остроголовый M82 с бронебойным и баллистическим наконечником. Для отстрела использовались отдельные плиты немецкого тяжёлого танка Pz.Kpfw.Tiger Ausf.E, установленные под разными углами наклона. По итогам испытаний выяснилось, что снаряд M77 пробивает плиту толщиной 82 мм под углом наклона 50 градусов на дистанции 1300 м. В целом этот результат признали схожим с данными немецкой 88-мм пушки KwK 36. Результаты хорошие, но дело в том, что на немецких танках, особенно тяжёлых, стояли куда более мощные орудия. Также американское орудие оказалось немного лучшим 85-мм советского орудия С-53, но было хуже 100-мм пушки Д-10.</w:t>
      </w:r>
    </w:p>
    <w:p w14:paraId="07FBBFF6"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Не совсем заслуженный статус тяжёлого танка и крайне неоднозначные в связи с этим результаты испытаний стали причиной достаточно сурового вердикта. Признавая ряд положительных качеств T26E3, испытатели посчитали T26E3 не отвечающим современным требованиям. Но ведь на деле T26E3 был не тяжёлым танком, а средним. Да и заключение советских специалистов о том, что это опытный танк, оказалось большой ошибкой. Heavy Tank T26E3 вполне успешно воевал в последние месяцы Второй мировой войны. Вместе с тем вердикт о слабости его брони по итогам боёв подтвердился.</w:t>
      </w:r>
    </w:p>
    <w:p w14:paraId="5FFFEF92" w14:textId="77777777" w:rsidR="003605FA" w:rsidRPr="00F90EAE" w:rsidRDefault="003605FA" w:rsidP="00F90EAE">
      <w:pPr>
        <w:shd w:val="clear" w:color="auto" w:fill="FFFFFF"/>
        <w:jc w:val="both"/>
        <w:rPr>
          <w:color w:val="000000" w:themeColor="text1"/>
          <w:sz w:val="16"/>
          <w:szCs w:val="16"/>
        </w:rPr>
      </w:pPr>
      <w:r w:rsidRPr="00F90EAE">
        <w:rPr>
          <w:color w:val="000000" w:themeColor="text1"/>
          <w:sz w:val="16"/>
          <w:szCs w:val="16"/>
        </w:rPr>
        <w:t>Спустя 5 лет M26 Pershing, уже в статусе среднего танка, воевал в Корее. Там его противниками оказались Т-34–85, которые он значительно превосходил. Как бы то ни было, обвинять испытателей в недооценке американского танка не стоит. Формально он значился тяжёлым, поэтому советские специалисты и сравнивали его с немецкими тяжёлыми танками, а также с ИС-3. До наших дней испытывавшийся в СССР танк не дожил: по окончании испытаний он отправился в Ленинград, откуда уже не вернулся (17693).</w:t>
      </w:r>
    </w:p>
    <w:p w14:paraId="78969E82" w14:textId="77777777" w:rsidR="003605FA" w:rsidRPr="00F90EAE" w:rsidRDefault="003605FA" w:rsidP="00F90EAE">
      <w:pPr>
        <w:jc w:val="both"/>
        <w:rPr>
          <w:color w:val="000000" w:themeColor="text1"/>
          <w:sz w:val="16"/>
          <w:szCs w:val="16"/>
        </w:rPr>
      </w:pPr>
    </w:p>
    <w:p w14:paraId="454BE5B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BB7E344" w14:textId="77777777" w:rsidR="00665165" w:rsidRPr="00F90EAE" w:rsidRDefault="00665165" w:rsidP="00F90EAE">
      <w:pPr>
        <w:autoSpaceDE w:val="0"/>
        <w:autoSpaceDN w:val="0"/>
        <w:adjustRightInd w:val="0"/>
        <w:jc w:val="both"/>
        <w:rPr>
          <w:iCs/>
          <w:color w:val="000000" w:themeColor="text1"/>
          <w:sz w:val="16"/>
          <w:szCs w:val="16"/>
        </w:rPr>
      </w:pPr>
    </w:p>
    <w:p w14:paraId="289656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30 мая по 15 июня 1945,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F90EAE">
        <w:rPr>
          <w:color w:val="000000" w:themeColor="text1"/>
          <w:sz w:val="16"/>
          <w:szCs w:val="16"/>
        </w:rPr>
        <w:softHyphen/>
        <w:t>торые обнаружились еще при первых рулежках и пробежках по аэродрому. Одновременно с Ил-16 (экз. № 2) в институте ис</w:t>
      </w:r>
      <w:r w:rsidRPr="00F90EAE">
        <w:rPr>
          <w:color w:val="000000" w:themeColor="text1"/>
          <w:sz w:val="16"/>
          <w:szCs w:val="16"/>
        </w:rPr>
        <w:softHyphen/>
        <w:t>следовался и серийный самолет Ил-10 с мотором АМ-42.</w:t>
      </w:r>
    </w:p>
    <w:p w14:paraId="2A6E6E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F90EAE">
        <w:rPr>
          <w:color w:val="000000" w:themeColor="text1"/>
          <w:sz w:val="16"/>
          <w:szCs w:val="16"/>
        </w:rPr>
        <w:softHyphen/>
        <w:t>ских наук В.И. Поликовский.</w:t>
      </w:r>
    </w:p>
    <w:p w14:paraId="698A8F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03B155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452A34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7F381E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этом амплитуда колебаний на самолете Ил-10 по абсо</w:t>
      </w:r>
      <w:r w:rsidRPr="00F90EAE">
        <w:rPr>
          <w:color w:val="000000" w:themeColor="text1"/>
          <w:sz w:val="16"/>
          <w:szCs w:val="16"/>
        </w:rPr>
        <w:softHyphen/>
        <w:t>лютной величине в 1,5 раза была меньше, чем на Ил-16. Это объясняется тем, «что при более высоких оборотах 1,0 гармо</w:t>
      </w:r>
      <w:r w:rsidRPr="00F90EAE">
        <w:rPr>
          <w:color w:val="000000" w:themeColor="text1"/>
          <w:sz w:val="16"/>
          <w:szCs w:val="16"/>
        </w:rPr>
        <w:softHyphen/>
        <w:t>ника вообще несколько сильнее, и тем, что мотор АМ-43 мощ</w:t>
      </w:r>
      <w:r w:rsidRPr="00F90EAE">
        <w:rPr>
          <w:color w:val="000000" w:themeColor="text1"/>
          <w:sz w:val="16"/>
          <w:szCs w:val="16"/>
        </w:rPr>
        <w:softHyphen/>
        <w:t>нее АМ-42».</w:t>
      </w:r>
    </w:p>
    <w:p w14:paraId="26E5851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выводах отчета указывалось, что: «1,0 гармоника сильна на моторе АМ-43 и устранение ее из рабочего диапазона прак</w:t>
      </w:r>
      <w:r w:rsidRPr="00F90EAE">
        <w:rPr>
          <w:color w:val="000000" w:themeColor="text1"/>
          <w:sz w:val="16"/>
          <w:szCs w:val="16"/>
        </w:rPr>
        <w:softHyphen/>
        <w:t>тически невозможно. Вследствие различия в нагрузке цилинд</w:t>
      </w:r>
      <w:r w:rsidRPr="00F90EAE">
        <w:rPr>
          <w:color w:val="000000" w:themeColor="text1"/>
          <w:sz w:val="16"/>
          <w:szCs w:val="16"/>
        </w:rPr>
        <w:softHyphen/>
        <w:t>ров 1,0 гармоника на одних моторах может сказываться силь</w:t>
      </w:r>
      <w:r w:rsidRPr="00F90EAE">
        <w:rPr>
          <w:color w:val="000000" w:themeColor="text1"/>
          <w:sz w:val="16"/>
          <w:szCs w:val="16"/>
        </w:rPr>
        <w:softHyphen/>
        <w:t>нее, чем на других».</w:t>
      </w:r>
    </w:p>
    <w:p w14:paraId="4E2F3E7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уменьшения тряски на самолете Ил-16 рекомендова</w:t>
      </w:r>
      <w:r w:rsidRPr="00F90EAE">
        <w:rPr>
          <w:color w:val="000000" w:themeColor="text1"/>
          <w:sz w:val="16"/>
          <w:szCs w:val="16"/>
        </w:rPr>
        <w:softHyphen/>
        <w:t>лось «уменьшить жесткость подвески мотора, чтобы сдвинуть резонанс в область низких оборотов мотора» (11474,532).</w:t>
      </w:r>
    </w:p>
    <w:p w14:paraId="057CFC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6E80D56" w14:textId="77777777" w:rsidR="005F32F4" w:rsidRPr="00F90EAE" w:rsidRDefault="005F32F4" w:rsidP="00F90EAE">
      <w:pPr>
        <w:jc w:val="both"/>
        <w:rPr>
          <w:color w:val="000000" w:themeColor="text1"/>
          <w:sz w:val="16"/>
          <w:szCs w:val="16"/>
        </w:rPr>
      </w:pPr>
      <w:r w:rsidRPr="00F90EAE">
        <w:rPr>
          <w:color w:val="000000" w:themeColor="text1"/>
          <w:sz w:val="16"/>
          <w:szCs w:val="16"/>
        </w:rPr>
        <w:t>На 30 мая 1945, как следует из доклада старшего военпреда УЗСиМ ГУЗ ВВС на заводе №30 инженер-подполковника Г.И. Фалалеева, первый летный экзем</w:t>
      </w:r>
      <w:r w:rsidRPr="00F90EAE">
        <w:rPr>
          <w:color w:val="000000" w:themeColor="text1"/>
          <w:sz w:val="16"/>
          <w:szCs w:val="16"/>
        </w:rPr>
        <w:softHyphen/>
        <w:t>пляр Ил-16 находился в стадии оконча</w:t>
      </w:r>
      <w:r w:rsidRPr="00F90EAE">
        <w:rPr>
          <w:color w:val="000000" w:themeColor="text1"/>
          <w:sz w:val="16"/>
          <w:szCs w:val="16"/>
        </w:rPr>
        <w:softHyphen/>
        <w:t>ния монтажей в сборочном цехе завода №30. Предъявление готовых монтажей ожидалось 2-3 июня, после чего маши</w:t>
      </w:r>
      <w:r w:rsidRPr="00F90EAE">
        <w:rPr>
          <w:color w:val="000000" w:themeColor="text1"/>
          <w:sz w:val="16"/>
          <w:szCs w:val="16"/>
        </w:rPr>
        <w:softHyphen/>
        <w:t>на должна была перейти на площадку для проверки работы шасси и отстрела вооружения в тире.</w:t>
      </w:r>
    </w:p>
    <w:p w14:paraId="2F545D48"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 втором экземпляре состыковали бронекорпус с центропланом и хвосто</w:t>
      </w:r>
      <w:r w:rsidRPr="00F90EAE">
        <w:rPr>
          <w:rFonts w:ascii="Times New Roman" w:hAnsi="Times New Roman" w:cs="Times New Roman"/>
          <w:color w:val="000000" w:themeColor="text1"/>
          <w:sz w:val="16"/>
          <w:szCs w:val="16"/>
        </w:rPr>
        <w:softHyphen/>
        <w:t>вой частью и вместе с крылом самолет передали в цех №19 для подготовки к статическим испытаниям, которые пла</w:t>
      </w:r>
      <w:r w:rsidRPr="00F90EAE">
        <w:rPr>
          <w:rFonts w:ascii="Times New Roman" w:hAnsi="Times New Roman" w:cs="Times New Roman"/>
          <w:color w:val="000000" w:themeColor="text1"/>
          <w:sz w:val="16"/>
          <w:szCs w:val="16"/>
        </w:rPr>
        <w:softHyphen/>
        <w:t>нировались провести 6 июня.</w:t>
      </w:r>
    </w:p>
    <w:p w14:paraId="528B601B"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Для третьего экземпляра изготовили центроплан и хвостовую часть. Сборку консолей крыла предполагалось завер</w:t>
      </w:r>
      <w:r w:rsidRPr="00F90EAE">
        <w:rPr>
          <w:rFonts w:ascii="Times New Roman" w:hAnsi="Times New Roman" w:cs="Times New Roman"/>
          <w:color w:val="000000" w:themeColor="text1"/>
          <w:sz w:val="16"/>
          <w:szCs w:val="16"/>
        </w:rPr>
        <w:softHyphen/>
        <w:t>шить 3-4 июня.</w:t>
      </w:r>
    </w:p>
    <w:p w14:paraId="47F2DA8D"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Тем временем в ЦИАМ прошел тор</w:t>
      </w:r>
      <w:r w:rsidRPr="00F90EAE">
        <w:rPr>
          <w:rFonts w:ascii="Times New Roman" w:hAnsi="Times New Roman" w:cs="Times New Roman"/>
          <w:color w:val="000000" w:themeColor="text1"/>
          <w:sz w:val="16"/>
          <w:szCs w:val="16"/>
        </w:rPr>
        <w:softHyphen/>
        <w:t>сиографирование мотор М-43 зав. №4302, на котором были смонтирова</w:t>
      </w:r>
      <w:r w:rsidRPr="00F90EAE">
        <w:rPr>
          <w:rFonts w:ascii="Times New Roman" w:hAnsi="Times New Roman" w:cs="Times New Roman"/>
          <w:color w:val="000000" w:themeColor="text1"/>
          <w:sz w:val="16"/>
          <w:szCs w:val="16"/>
        </w:rPr>
        <w:softHyphen/>
        <w:t>ны два демпфера: «один роликовый, в большой шестерне редуктора, настро</w:t>
      </w:r>
      <w:r w:rsidRPr="00F90EAE">
        <w:rPr>
          <w:rFonts w:ascii="Times New Roman" w:hAnsi="Times New Roman" w:cs="Times New Roman"/>
          <w:color w:val="000000" w:themeColor="text1"/>
          <w:sz w:val="16"/>
          <w:szCs w:val="16"/>
        </w:rPr>
        <w:softHyphen/>
        <w:t>енный на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гармонику, другой с кача</w:t>
      </w:r>
      <w:r w:rsidRPr="00F90EAE">
        <w:rPr>
          <w:rFonts w:ascii="Times New Roman" w:hAnsi="Times New Roman" w:cs="Times New Roman"/>
          <w:color w:val="000000" w:themeColor="text1"/>
          <w:sz w:val="16"/>
          <w:szCs w:val="16"/>
        </w:rPr>
        <w:softHyphen/>
        <w:t>ющимися грузами, с бифилярным под</w:t>
      </w:r>
      <w:r w:rsidRPr="00F90EAE">
        <w:rPr>
          <w:rFonts w:ascii="Times New Roman" w:hAnsi="Times New Roman" w:cs="Times New Roman"/>
          <w:color w:val="000000" w:themeColor="text1"/>
          <w:sz w:val="16"/>
          <w:szCs w:val="16"/>
        </w:rPr>
        <w:softHyphen/>
        <w:t>весом, настроенный на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гармонику, и расположенный на вале рядом с малой шестерней редуктора». Расчет дем</w:t>
      </w:r>
      <w:r w:rsidRPr="00F90EAE">
        <w:rPr>
          <w:rFonts w:ascii="Times New Roman" w:hAnsi="Times New Roman" w:cs="Times New Roman"/>
          <w:color w:val="000000" w:themeColor="text1"/>
          <w:sz w:val="16"/>
          <w:szCs w:val="16"/>
        </w:rPr>
        <w:softHyphen/>
        <w:t>пферов был выполнен специалистами ЦИАМ, а конструированием и их изго</w:t>
      </w:r>
      <w:r w:rsidRPr="00F90EAE">
        <w:rPr>
          <w:rFonts w:ascii="Times New Roman" w:hAnsi="Times New Roman" w:cs="Times New Roman"/>
          <w:color w:val="000000" w:themeColor="text1"/>
          <w:sz w:val="16"/>
          <w:szCs w:val="16"/>
        </w:rPr>
        <w:softHyphen/>
        <w:t>товлением занимался завод №24.</w:t>
      </w:r>
    </w:p>
    <w:p w14:paraId="4AB73EE5" w14:textId="77777777" w:rsidR="005F32F4" w:rsidRPr="00F90EAE" w:rsidRDefault="005F32F4" w:rsidP="00F90EAE">
      <w:pPr>
        <w:jc w:val="both"/>
        <w:rPr>
          <w:color w:val="000000" w:themeColor="text1"/>
          <w:sz w:val="16"/>
          <w:szCs w:val="16"/>
        </w:rPr>
      </w:pPr>
      <w:r w:rsidRPr="00F90EAE">
        <w:rPr>
          <w:color w:val="000000" w:themeColor="text1"/>
          <w:sz w:val="16"/>
          <w:szCs w:val="16"/>
        </w:rPr>
        <w:lastRenderedPageBreak/>
        <w:t>Дело в том, что мотор М-43 имел коленчатый вал тех же размеров, что и мотор АМ-42 в варианте с усиленным валом и жесткой шестерней редукто</w:t>
      </w:r>
      <w:r w:rsidRPr="00F90EAE">
        <w:rPr>
          <w:color w:val="000000" w:themeColor="text1"/>
          <w:sz w:val="16"/>
          <w:szCs w:val="16"/>
        </w:rPr>
        <w:softHyphen/>
        <w:t>ра. Поэтому при неизменившихся весах поршней и шатунов система вала М-43 имела те же числа собственных колеба</w:t>
      </w:r>
      <w:r w:rsidRPr="00F90EAE">
        <w:rPr>
          <w:color w:val="000000" w:themeColor="text1"/>
          <w:sz w:val="16"/>
          <w:szCs w:val="16"/>
        </w:rPr>
        <w:softHyphen/>
        <w:t>ний, что и система вала АМ-42. Однако вследствие изменения номинального и взлетного режимов (повышенные обо</w:t>
      </w:r>
      <w:r w:rsidRPr="00F90EAE">
        <w:rPr>
          <w:color w:val="000000" w:themeColor="text1"/>
          <w:sz w:val="16"/>
          <w:szCs w:val="16"/>
        </w:rPr>
        <w:softHyphen/>
        <w:t>роты) и увеличения мощности мотора М-43, усилились те резонансы, которые на АМ-42 были еще не опасны.</w:t>
      </w:r>
    </w:p>
    <w:p w14:paraId="72F4B1B4" w14:textId="77777777" w:rsidR="005F32F4" w:rsidRPr="00F90EAE" w:rsidRDefault="005F32F4" w:rsidP="00F90EAE">
      <w:pPr>
        <w:jc w:val="both"/>
        <w:rPr>
          <w:color w:val="000000" w:themeColor="text1"/>
          <w:sz w:val="16"/>
          <w:szCs w:val="16"/>
        </w:rPr>
      </w:pPr>
      <w:r w:rsidRPr="00F90EAE">
        <w:rPr>
          <w:color w:val="000000" w:themeColor="text1"/>
          <w:sz w:val="16"/>
          <w:szCs w:val="16"/>
        </w:rPr>
        <w:t>Как следует из материалов иссле</w:t>
      </w:r>
      <w:r w:rsidRPr="00F90EAE">
        <w:rPr>
          <w:color w:val="000000" w:themeColor="text1"/>
          <w:sz w:val="16"/>
          <w:szCs w:val="16"/>
        </w:rPr>
        <w:softHyphen/>
        <w:t>дований, в ходе торсиографирования мотора АМ-42 было установлено, что «при работе на винте диаметром 4,0 м резонанс 2-х узловой формы, вызыва</w:t>
      </w:r>
      <w:r w:rsidRPr="00F90EAE">
        <w:rPr>
          <w:color w:val="000000" w:themeColor="text1"/>
          <w:sz w:val="16"/>
          <w:szCs w:val="16"/>
        </w:rPr>
        <w:softHyphen/>
        <w:t>емый 1</w:t>
      </w:r>
      <w:r w:rsidRPr="00F90EAE">
        <w:rPr>
          <w:color w:val="000000" w:themeColor="text1"/>
          <w:sz w:val="16"/>
          <w:szCs w:val="16"/>
          <w:vertAlign w:val="superscript"/>
        </w:rPr>
        <w:t>1/2</w:t>
      </w:r>
      <w:r w:rsidRPr="00F90EAE">
        <w:rPr>
          <w:color w:val="000000" w:themeColor="text1"/>
          <w:sz w:val="16"/>
          <w:szCs w:val="16"/>
        </w:rPr>
        <w:t xml:space="preserve"> гармоникой, приходится на оборотах 2630 об/мин, а при работе на винте с диаметром 3,8 м приблизитель</w:t>
      </w:r>
      <w:r w:rsidRPr="00F90EAE">
        <w:rPr>
          <w:color w:val="000000" w:themeColor="text1"/>
          <w:sz w:val="16"/>
          <w:szCs w:val="16"/>
        </w:rPr>
        <w:softHyphen/>
        <w:t>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w:t>
      </w:r>
      <w:r w:rsidRPr="00F90EAE">
        <w:rPr>
          <w:color w:val="000000" w:themeColor="text1"/>
          <w:sz w:val="16"/>
          <w:szCs w:val="16"/>
        </w:rPr>
        <w:softHyphen/>
        <w:t>ность, считались уже неприемлемыми. По утверждению специалистов ЦИАМ, «работа на винте диаметром 4,0 м не допустима, а на винте диаметром 3,8 м /.../ сопровождалась бы значительными напряжениями вала и усилением коле</w:t>
      </w:r>
      <w:r w:rsidRPr="00F90EAE">
        <w:rPr>
          <w:color w:val="000000" w:themeColor="text1"/>
          <w:sz w:val="16"/>
          <w:szCs w:val="16"/>
        </w:rPr>
        <w:softHyphen/>
        <w:t>баний хвоста вала», что в значительной мере «нагружает привод к нагнетате</w:t>
      </w:r>
      <w:r w:rsidRPr="00F90EAE">
        <w:rPr>
          <w:color w:val="000000" w:themeColor="text1"/>
          <w:sz w:val="16"/>
          <w:szCs w:val="16"/>
        </w:rPr>
        <w:softHyphen/>
        <w:t>лю». Кроме того, «уже в вале АМ-42 значительные напряжения вызывались колебаниями 4</w:t>
      </w:r>
      <w:r w:rsidRPr="00F90EAE">
        <w:rPr>
          <w:color w:val="000000" w:themeColor="text1"/>
          <w:sz w:val="16"/>
          <w:szCs w:val="16"/>
          <w:vertAlign w:val="superscript"/>
        </w:rPr>
        <w:t>1/2</w:t>
      </w:r>
      <w:r w:rsidRPr="00F90EAE">
        <w:rPr>
          <w:color w:val="000000" w:themeColor="text1"/>
          <w:sz w:val="16"/>
          <w:szCs w:val="16"/>
        </w:rPr>
        <w:t xml:space="preserve"> порядка, вследствие приближения на максимальных оборо</w:t>
      </w:r>
      <w:r w:rsidRPr="00F90EAE">
        <w:rPr>
          <w:color w:val="000000" w:themeColor="text1"/>
          <w:sz w:val="16"/>
          <w:szCs w:val="16"/>
        </w:rPr>
        <w:softHyphen/>
        <w:t>тах к резонансу 3-х узловой формы». При этом «суммарные напряжения от наиболее сильных гармоник колеба</w:t>
      </w:r>
      <w:r w:rsidRPr="00F90EAE">
        <w:rPr>
          <w:color w:val="000000" w:themeColor="text1"/>
          <w:sz w:val="16"/>
          <w:szCs w:val="16"/>
        </w:rPr>
        <w:softHyphen/>
        <w:t>ний» в моторе без демпферов достигали ±660 кг/см</w:t>
      </w:r>
      <w:r w:rsidRPr="00F90EAE">
        <w:rPr>
          <w:color w:val="000000" w:themeColor="text1"/>
          <w:sz w:val="16"/>
          <w:szCs w:val="16"/>
          <w:vertAlign w:val="superscript"/>
        </w:rPr>
        <w:t>2</w:t>
      </w:r>
      <w:r w:rsidRPr="00F90EAE">
        <w:rPr>
          <w:color w:val="000000" w:themeColor="text1"/>
          <w:sz w:val="16"/>
          <w:szCs w:val="16"/>
        </w:rPr>
        <w:t>, что превышает допустимый предел ±600 кг/см</w:t>
      </w:r>
      <w:r w:rsidRPr="00F90EAE">
        <w:rPr>
          <w:color w:val="000000" w:themeColor="text1"/>
          <w:sz w:val="16"/>
          <w:szCs w:val="16"/>
          <w:vertAlign w:val="superscript"/>
        </w:rPr>
        <w:t>2</w:t>
      </w:r>
      <w:r w:rsidRPr="00F90EAE">
        <w:rPr>
          <w:color w:val="000000" w:themeColor="text1"/>
          <w:sz w:val="16"/>
          <w:szCs w:val="16"/>
        </w:rPr>
        <w:t>. В этой связи «для уменьшения напряжения вала и сни</w:t>
      </w:r>
      <w:r w:rsidRPr="00F90EAE">
        <w:rPr>
          <w:color w:val="000000" w:themeColor="text1"/>
          <w:sz w:val="16"/>
          <w:szCs w:val="16"/>
        </w:rPr>
        <w:softHyphen/>
        <w:t>жения уровня колебаний хвоста вала» предлагалось «смягчить или устранить резонансы 1</w:t>
      </w:r>
      <w:r w:rsidRPr="00F90EAE">
        <w:rPr>
          <w:color w:val="000000" w:themeColor="text1"/>
          <w:sz w:val="16"/>
          <w:szCs w:val="16"/>
          <w:vertAlign w:val="superscript"/>
        </w:rPr>
        <w:t>1/2</w:t>
      </w:r>
      <w:r w:rsidRPr="00F90EAE">
        <w:rPr>
          <w:color w:val="000000" w:themeColor="text1"/>
          <w:sz w:val="16"/>
          <w:szCs w:val="16"/>
        </w:rPr>
        <w:t xml:space="preserve"> и 4</w:t>
      </w:r>
      <w:r w:rsidRPr="00F90EAE">
        <w:rPr>
          <w:color w:val="000000" w:themeColor="text1"/>
          <w:sz w:val="16"/>
          <w:szCs w:val="16"/>
          <w:vertAlign w:val="superscript"/>
        </w:rPr>
        <w:t>1/2</w:t>
      </w:r>
      <w:r w:rsidRPr="00F90EAE">
        <w:rPr>
          <w:color w:val="000000" w:themeColor="text1"/>
          <w:sz w:val="16"/>
          <w:szCs w:val="16"/>
        </w:rPr>
        <w:t xml:space="preserve"> гармоник», что по</w:t>
      </w:r>
      <w:r w:rsidRPr="00F90EAE">
        <w:rPr>
          <w:color w:val="000000" w:themeColor="text1"/>
          <w:sz w:val="16"/>
          <w:szCs w:val="16"/>
        </w:rPr>
        <w:softHyphen/>
        <w:t>зволило бы «безопасно форсировать мотор по оборотам и облегчило бы ус</w:t>
      </w:r>
      <w:r w:rsidRPr="00F90EAE">
        <w:rPr>
          <w:color w:val="000000" w:themeColor="text1"/>
          <w:sz w:val="16"/>
          <w:szCs w:val="16"/>
        </w:rPr>
        <w:softHyphen/>
        <w:t>ловия работы привода нагнетателя». Бо</w:t>
      </w:r>
      <w:r w:rsidRPr="00F90EAE">
        <w:rPr>
          <w:color w:val="000000" w:themeColor="text1"/>
          <w:sz w:val="16"/>
          <w:szCs w:val="16"/>
        </w:rPr>
        <w:softHyphen/>
        <w:t>роться с 1</w:t>
      </w:r>
      <w:r w:rsidRPr="00F90EAE">
        <w:rPr>
          <w:color w:val="000000" w:themeColor="text1"/>
          <w:sz w:val="16"/>
          <w:szCs w:val="16"/>
          <w:vertAlign w:val="superscript"/>
        </w:rPr>
        <w:t>1/2</w:t>
      </w:r>
      <w:r w:rsidRPr="00F90EAE">
        <w:rPr>
          <w:color w:val="000000" w:themeColor="text1"/>
          <w:sz w:val="16"/>
          <w:szCs w:val="16"/>
        </w:rPr>
        <w:t xml:space="preserve"> и 4</w:t>
      </w:r>
      <w:r w:rsidRPr="00F90EAE">
        <w:rPr>
          <w:color w:val="000000" w:themeColor="text1"/>
          <w:sz w:val="16"/>
          <w:szCs w:val="16"/>
          <w:vertAlign w:val="superscript"/>
        </w:rPr>
        <w:t>1/2</w:t>
      </w:r>
      <w:r w:rsidRPr="00F90EAE">
        <w:rPr>
          <w:color w:val="000000" w:themeColor="text1"/>
          <w:sz w:val="16"/>
          <w:szCs w:val="16"/>
        </w:rPr>
        <w:t xml:space="preserve"> гармониками решили при помощи демпферов.</w:t>
      </w:r>
    </w:p>
    <w:p w14:paraId="3052306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Торсиографирование мотора</w:t>
      </w:r>
      <w:r w:rsidRPr="00F90EAE">
        <w:rPr>
          <w:rStyle w:val="0pt1"/>
          <w:rFonts w:eastAsia="Calibri"/>
          <w:b w:val="0"/>
          <w:color w:val="000000" w:themeColor="text1"/>
          <w:spacing w:val="0"/>
          <w:sz w:val="16"/>
          <w:szCs w:val="16"/>
        </w:rPr>
        <w:t xml:space="preserve"> М-43 </w:t>
      </w:r>
      <w:r w:rsidRPr="00F90EAE">
        <w:rPr>
          <w:rFonts w:ascii="Times New Roman" w:hAnsi="Times New Roman" w:cs="Times New Roman"/>
          <w:color w:val="000000" w:themeColor="text1"/>
          <w:sz w:val="16"/>
          <w:szCs w:val="16"/>
        </w:rPr>
        <w:t>зав. №4302 проводилось на винте АВ-5Л-18Б диаметром 3,8 м по дрос</w:t>
      </w:r>
      <w:r w:rsidRPr="00F90EAE">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F90EAE">
        <w:rPr>
          <w:rFonts w:ascii="Times New Roman" w:hAnsi="Times New Roman" w:cs="Times New Roman"/>
          <w:color w:val="000000" w:themeColor="text1"/>
          <w:sz w:val="16"/>
          <w:szCs w:val="16"/>
        </w:rPr>
        <w:softHyphen/>
        <w:t>ристике - 2300-2800 об/мин.</w:t>
      </w:r>
    </w:p>
    <w:p w14:paraId="5C182D3F"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Выяснилось, что «роликовый дем</w:t>
      </w:r>
      <w:r w:rsidRPr="00F90EAE">
        <w:rPr>
          <w:rFonts w:ascii="Times New Roman" w:hAnsi="Times New Roman" w:cs="Times New Roman"/>
          <w:color w:val="000000" w:themeColor="text1"/>
          <w:sz w:val="16"/>
          <w:szCs w:val="16"/>
        </w:rPr>
        <w:softHyphen/>
        <w:t>пфер в большой шестерне редуктора, настроенный на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гармонику, работа</w:t>
      </w:r>
      <w:r w:rsidRPr="00F90EAE">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гармоники до ±110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вместо ±500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xml:space="preserve"> в двигателе без демпфе</w:t>
      </w:r>
      <w:r w:rsidRPr="00F90EAE">
        <w:rPr>
          <w:rFonts w:ascii="Times New Roman" w:hAnsi="Times New Roman" w:cs="Times New Roman"/>
          <w:color w:val="000000" w:themeColor="text1"/>
          <w:sz w:val="16"/>
          <w:szCs w:val="16"/>
        </w:rPr>
        <w:softHyphen/>
        <w:t>ра (в наиболее напряженной шатунной шейке)».</w:t>
      </w:r>
    </w:p>
    <w:p w14:paraId="268CA27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то же время «демпфер, настроен</w:t>
      </w:r>
      <w:r w:rsidRPr="00F90EAE">
        <w:rPr>
          <w:rFonts w:ascii="Times New Roman" w:hAnsi="Times New Roman" w:cs="Times New Roman"/>
          <w:color w:val="000000" w:themeColor="text1"/>
          <w:sz w:val="16"/>
          <w:szCs w:val="16"/>
        </w:rPr>
        <w:softHyphen/>
        <w:t>ный на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F90EAE">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F90EAE">
        <w:rPr>
          <w:rFonts w:ascii="Times New Roman" w:hAnsi="Times New Roman" w:cs="Times New Roman"/>
          <w:color w:val="000000" w:themeColor="text1"/>
          <w:sz w:val="16"/>
          <w:szCs w:val="16"/>
        </w:rPr>
        <w:softHyphen/>
        <w:t>чить достаточно острую настройку всех грузов».</w:t>
      </w:r>
    </w:p>
    <w:p w14:paraId="7C410A70"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F90EAE">
        <w:rPr>
          <w:rFonts w:ascii="Times New Roman" w:hAnsi="Times New Roman" w:cs="Times New Roman"/>
          <w:color w:val="000000" w:themeColor="text1"/>
          <w:sz w:val="16"/>
          <w:szCs w:val="16"/>
        </w:rPr>
        <w:softHyphen/>
        <w:t>нение испытанных демпферов и однов</w:t>
      </w:r>
      <w:r w:rsidRPr="00F90EAE">
        <w:rPr>
          <w:rFonts w:ascii="Times New Roman" w:hAnsi="Times New Roman" w:cs="Times New Roman"/>
          <w:color w:val="000000" w:themeColor="text1"/>
          <w:sz w:val="16"/>
          <w:szCs w:val="16"/>
        </w:rPr>
        <w:softHyphen/>
        <w:t>ременно смягчение привода к нагнета</w:t>
      </w:r>
      <w:r w:rsidRPr="00F90EAE">
        <w:rPr>
          <w:rFonts w:ascii="Times New Roman" w:hAnsi="Times New Roman" w:cs="Times New Roman"/>
          <w:color w:val="000000" w:themeColor="text1"/>
          <w:sz w:val="16"/>
          <w:szCs w:val="16"/>
        </w:rPr>
        <w:softHyphen/>
        <w:t>телю».</w:t>
      </w:r>
    </w:p>
    <w:p w14:paraId="663A63C5"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Однако при первых же гонках мото</w:t>
      </w:r>
      <w:r w:rsidRPr="00F90EAE">
        <w:rPr>
          <w:rFonts w:ascii="Times New Roman" w:hAnsi="Times New Roman" w:cs="Times New Roman"/>
          <w:color w:val="000000" w:themeColor="text1"/>
          <w:sz w:val="16"/>
          <w:szCs w:val="16"/>
        </w:rPr>
        <w:softHyphen/>
        <w:t>ра М-43 с демпферами на первом эк</w:t>
      </w:r>
      <w:r w:rsidRPr="00F90EAE">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F90EAE">
        <w:rPr>
          <w:rFonts w:ascii="Times New Roman" w:hAnsi="Times New Roman" w:cs="Times New Roman"/>
          <w:color w:val="000000" w:themeColor="text1"/>
          <w:sz w:val="16"/>
          <w:szCs w:val="16"/>
        </w:rPr>
        <w:softHyphen/>
        <w:t>ния причин появления тряски.</w:t>
      </w:r>
    </w:p>
    <w:p w14:paraId="69126AC9"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Эта работа проводилась до 13 июня в 14-м отделе института, начальником которого был Р.С. Кисаношвили. Непо</w:t>
      </w:r>
      <w:r w:rsidRPr="00F90EAE">
        <w:rPr>
          <w:rFonts w:ascii="Times New Roman" w:hAnsi="Times New Roman" w:cs="Times New Roman"/>
          <w:color w:val="000000" w:themeColor="text1"/>
          <w:sz w:val="16"/>
          <w:szCs w:val="16"/>
        </w:rPr>
        <w:softHyphen/>
        <w:t>средственным руководителем был стар</w:t>
      </w:r>
      <w:r w:rsidRPr="00F90EAE">
        <w:rPr>
          <w:rFonts w:ascii="Times New Roman" w:hAnsi="Times New Roman" w:cs="Times New Roman"/>
          <w:color w:val="000000" w:themeColor="text1"/>
          <w:sz w:val="16"/>
          <w:szCs w:val="16"/>
        </w:rPr>
        <w:softHyphen/>
        <w:t>ший научный сотрудник В.К. Житомир</w:t>
      </w:r>
      <w:r w:rsidRPr="00F90EAE">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02978248"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096DAECB"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На 30 мая 1945, как следует из доклада старшего военпреда УЗСиМ ГУЗ ВВС на заводе № 30 инженер-подполковника Г. И. Фалалеева, первый летный экземпляр Ил-16 находился в стадии окончания монтажей в сборочном цехе завода № 30. Предъявление готовых монтажей ожидалось 2-3 июня, после чего машина должна была перейти на площадку для проверки работы шасси и отстрела вооружения в тире.</w:t>
      </w:r>
    </w:p>
    <w:p w14:paraId="4FD762C9"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На втором экземпляре состыковали бронекорпус с центропланом и хвостовой частью и вместе с крылом самолет передали в цех № 19 для подготовки к статическим испытаниям, которые планировалось провести 6 июня.</w:t>
      </w:r>
    </w:p>
    <w:p w14:paraId="14F59CF8"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Для третьего экземпляра изготовили центроплан и хвостовую часть. Сборка консолей крыла предполагалось завершить 3-4 июня.</w:t>
      </w:r>
    </w:p>
    <w:p w14:paraId="2D938620"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Тем временем в ЦИАМ прошел торсиографирование мотор М-43 зав. № 4302, на котором были смонтированы два демпфера: «один роликовый, в большой шестерне редуктора, настроенный на 1/ гармонику, другой с качающимися грузами, с бифилярным подвесом, настроенный на 4/ гармонику и расположенный на вале рядом с малой шестерней редуктора». Расчет демпферов был выполнен специалистами ЦИАМ, а конструированием и их изготовлением занимался завод № 24.</w:t>
      </w:r>
    </w:p>
    <w:p w14:paraId="0F8D3DAA"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Дело в том, что мотор М-43 имел коленчатый вал тех же размеров, что и мотор АМ-42 в варианте с усиленным валом и жесткой шестерней редуктора. Поэтому при неизменившихся весах поршней и шатунов система вала М-43 имела те же числа собственных колебаний, что и система вала АМ-42. Однако вследствие изменения номинального и взлетного режимов (повышенные обороты) и увеличения мощности мотора М-43 усилились те резонансы, которые на АМ-42 были еще не опасны.</w:t>
      </w:r>
    </w:p>
    <w:p w14:paraId="38835389"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 xml:space="preserve">Как следует из материалов исследований, в ходе торсиографирования мотора АМ -42 было установлено, что «при работе на винте диаметром 4,0 м резонанс двухузловой формы, вызываемый 1/ гармоникой, приходится на оборотах 2630 об/мин, а при работе на винте с диаметром 3,8 м приблизительно на 2850 об/мин». Эти условия были вполне допустимыми для мотора АМ-42 на взлетном режиме работы (то есть при оборотах 2500 об/мин), но для мотора М-43, учитывая его повышенную мощность, считались уже неприемлемыми. По утверждению специалистов ЦИАМ, «работа на винте диаметром 4,0 м была бы недопустима, а на винте диаметром 3,8 м/... /сопровождалась бы значительными напряжениями вала и усилением колебаний хвоста вала», что в значительной мере «нагружает привод к нагнетателю». Кроме того, «уже в вале АМ-42 значительные напряжения вызывались колебаниями 4/ порядка, вследствие приближения на максимальных оборотах к резонансу трехузловой формы». При этом « суммарные напряжения от наиболее сильных гармоник колебаний» в моторе без демпферов достигали ±660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что превышает допустимый предел ±600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В этой связи «для уменьшения напряжения вала и снижения уровня колебаний хвоста вала» предлагалось «смягчить или устранить резонансы 1/ и 4/ гармоник», что позволило бы «безопасно форсировать мотор по оборотам и облегчило бы условия работы привода нагнетателя». Бороться с 1/ и 4/ гармониками решили при помощи демпферов.</w:t>
      </w:r>
    </w:p>
    <w:p w14:paraId="21289220"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C7AA9EC"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вместо ±500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в двигателе без демпфера (в наиболее напряженной шатунной шейке)».</w:t>
      </w:r>
    </w:p>
    <w:p w14:paraId="78D58378"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32219066"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CAD71FE" w14:textId="77777777" w:rsidR="00C82529" w:rsidRPr="00F90EAE" w:rsidRDefault="00C82529" w:rsidP="00F90EAE">
      <w:pPr>
        <w:jc w:val="both"/>
        <w:rPr>
          <w:color w:val="000000" w:themeColor="text1"/>
          <w:sz w:val="16"/>
          <w:szCs w:val="16"/>
        </w:rPr>
      </w:pPr>
      <w:r w:rsidRPr="00F90EAE">
        <w:rPr>
          <w:rStyle w:val="107"/>
          <w:rFonts w:eastAsiaTheme="minorHAnsi"/>
          <w:color w:val="000000" w:themeColor="text1"/>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 (17490).</w:t>
      </w:r>
    </w:p>
    <w:p w14:paraId="34FB0E6B" w14:textId="77777777" w:rsidR="00C82529" w:rsidRPr="00F90EAE" w:rsidRDefault="00C82529" w:rsidP="00F90EAE">
      <w:pPr>
        <w:jc w:val="both"/>
        <w:rPr>
          <w:rStyle w:val="107"/>
          <w:rFonts w:eastAsiaTheme="minorHAnsi"/>
          <w:color w:val="000000" w:themeColor="text1"/>
          <w:sz w:val="16"/>
          <w:szCs w:val="16"/>
        </w:rPr>
      </w:pPr>
    </w:p>
    <w:p w14:paraId="1E64DCF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E7E9FA4" w14:textId="77777777" w:rsidR="00665165" w:rsidRPr="00F90EAE" w:rsidRDefault="00665165" w:rsidP="00F90EAE">
      <w:pPr>
        <w:autoSpaceDE w:val="0"/>
        <w:autoSpaceDN w:val="0"/>
        <w:adjustRightInd w:val="0"/>
        <w:jc w:val="both"/>
        <w:rPr>
          <w:iCs/>
          <w:color w:val="000000" w:themeColor="text1"/>
          <w:sz w:val="16"/>
          <w:szCs w:val="16"/>
        </w:rPr>
      </w:pPr>
    </w:p>
    <w:p w14:paraId="7ABF263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 1945 вышло Постановление ГКО № 8814 [О комиссии по переговорам с союзниками о разделе торгового и военно-морского флотов Германии.] (7345, 10).</w:t>
      </w:r>
    </w:p>
    <w:p w14:paraId="122A5C22"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E1D4EE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 1945 года вышел приказ № 201сс НКБ</w:t>
      </w:r>
    </w:p>
    <w:p w14:paraId="4568E9D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распоряжения ГОКО № 8721с от 26 мая 1945 года:</w:t>
      </w:r>
    </w:p>
    <w:p w14:paraId="64E04CCD"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398 НКБ ликвидировать и передать программу завода № 398 на завод № 548.</w:t>
      </w:r>
    </w:p>
    <w:p w14:paraId="0BEF30F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Директору Московского механического института НКБ на площадях бывшего завода № 398 организовать экспериментально-производственные мастерские для изготовления опытных образцов специальных кафедр Института и лабораторного оборудования (5794, 1-3).</w:t>
      </w:r>
    </w:p>
    <w:p w14:paraId="7235203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B2173D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мая/1 июня 1945 года вышел приказ № 0325/205 Наркомата по строительству и НКБ</w:t>
      </w:r>
    </w:p>
    <w:p w14:paraId="4D669A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ГОКО № 8804 от 26 мая 1945 года</w:t>
      </w:r>
    </w:p>
    <w:p w14:paraId="7438BFFF"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4-му Гл. управлению НКБ передать завод № 13 (Кемерово) Главстроймеханизации Наркомстроя (5763, 147).</w:t>
      </w:r>
    </w:p>
    <w:p w14:paraId="402A9AA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7C3D8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 1945 года вышел приказ № 262сс НКТП</w:t>
      </w:r>
    </w:p>
    <w:p w14:paraId="62505E3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 мероприятиях по перестройке промышленности в связи с сокращением производства боеприпасов.</w:t>
      </w:r>
    </w:p>
    <w:p w14:paraId="403B7AD0"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ГКО от 26 мая 1945 года № 8804 сс:</w:t>
      </w:r>
    </w:p>
    <w:p w14:paraId="44E349B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Список предприятий НКТП полностью освобождаемых с 1 июня 1945 года от производства боеприпасов ………………..</w:t>
      </w:r>
    </w:p>
    <w:p w14:paraId="5E8ED3C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75</w:t>
      </w:r>
    </w:p>
    <w:p w14:paraId="285E85C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177</w:t>
      </w:r>
    </w:p>
    <w:p w14:paraId="4D3E138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183</w:t>
      </w:r>
    </w:p>
    <w:p w14:paraId="617F264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Кировский (Ленинград).</w:t>
      </w:r>
    </w:p>
    <w:p w14:paraId="65EBAF7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Ижорский</w:t>
      </w:r>
    </w:p>
    <w:p w14:paraId="1DB7E50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50</w:t>
      </w:r>
    </w:p>
    <w:p w14:paraId="32DA84E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Завод № 180</w:t>
      </w:r>
    </w:p>
    <w:p w14:paraId="042A5F34"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Кировский (Челябинск).</w:t>
      </w:r>
    </w:p>
    <w:p w14:paraId="6892FEF7"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112</w:t>
      </w:r>
    </w:p>
    <w:p w14:paraId="6A4C48F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43</w:t>
      </w:r>
    </w:p>
    <w:p w14:paraId="0B97C92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174</w:t>
      </w:r>
    </w:p>
    <w:p w14:paraId="590DABF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176</w:t>
      </w:r>
    </w:p>
    <w:p w14:paraId="7C8A52A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264</w:t>
      </w:r>
    </w:p>
    <w:p w14:paraId="6190E40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37</w:t>
      </w:r>
    </w:p>
    <w:p w14:paraId="0E8885A3"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42</w:t>
      </w:r>
    </w:p>
    <w:p w14:paraId="267B6E5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Уралмашзавод</w:t>
      </w:r>
    </w:p>
    <w:p w14:paraId="68440AC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200 (6215, 118).</w:t>
      </w:r>
    </w:p>
    <w:p w14:paraId="155EE0C5"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3E1A2E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 1945 года вышел приказ № 235с НКВ</w:t>
      </w:r>
    </w:p>
    <w:p w14:paraId="32347B9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ГОКО от 19 мая 1945 года за № 8664с:</w:t>
      </w:r>
    </w:p>
    <w:p w14:paraId="22766F3B"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Директору ОКБ-43 Кондакову М.Н. Реэвакуировать в июле 1945 года из Иошкар-Ола в Ленинград ОКБ № 43 (6446, 149).</w:t>
      </w:r>
    </w:p>
    <w:p w14:paraId="3495EB53"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6718E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30 мая 1945 года Приказом Наркомата средмаша все цеха и службы завода "Автозапчасть" и завода им. С.М.Кирова в Оренбурге были переведены на довоенный режим работы с 8-часовым рабочим днем. Сверхурочные работы допускались в исключительном случае (9686).</w:t>
      </w:r>
    </w:p>
    <w:p w14:paraId="7D67D83E" w14:textId="77777777" w:rsidR="00665165" w:rsidRPr="00F90EAE" w:rsidRDefault="00665165" w:rsidP="00F90EAE">
      <w:pPr>
        <w:autoSpaceDE w:val="0"/>
        <w:autoSpaceDN w:val="0"/>
        <w:adjustRightInd w:val="0"/>
        <w:jc w:val="both"/>
        <w:rPr>
          <w:color w:val="000000" w:themeColor="text1"/>
          <w:sz w:val="16"/>
          <w:szCs w:val="16"/>
        </w:rPr>
      </w:pPr>
    </w:p>
    <w:p w14:paraId="13DFAD7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70DD00D" w14:textId="77777777" w:rsidR="00665165" w:rsidRPr="00F90EAE" w:rsidRDefault="00665165" w:rsidP="00F90EAE">
      <w:pPr>
        <w:autoSpaceDE w:val="0"/>
        <w:autoSpaceDN w:val="0"/>
        <w:adjustRightInd w:val="0"/>
        <w:jc w:val="both"/>
        <w:rPr>
          <w:iCs/>
          <w:color w:val="000000" w:themeColor="text1"/>
          <w:sz w:val="16"/>
          <w:szCs w:val="16"/>
        </w:rPr>
      </w:pPr>
    </w:p>
    <w:p w14:paraId="37F329D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мая 1945 Иран призвал вывести с его территории английские и советские войска (4962).</w:t>
      </w:r>
    </w:p>
    <w:p w14:paraId="0698C98B"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2E7881F5" w14:textId="77777777" w:rsidR="00F37105" w:rsidRPr="00F90EAE" w:rsidRDefault="00F37105" w:rsidP="00F90EAE">
      <w:pPr>
        <w:jc w:val="both"/>
        <w:rPr>
          <w:color w:val="000000" w:themeColor="text1"/>
          <w:sz w:val="16"/>
          <w:szCs w:val="16"/>
        </w:rPr>
      </w:pPr>
      <w:r w:rsidRPr="00F90EAE">
        <w:rPr>
          <w:bCs/>
          <w:color w:val="000000" w:themeColor="text1"/>
          <w:sz w:val="16"/>
          <w:szCs w:val="16"/>
        </w:rPr>
        <w:t>30 мая</w:t>
      </w:r>
      <w:r w:rsidRPr="00F90EAE">
        <w:rPr>
          <w:color w:val="000000" w:themeColor="text1"/>
          <w:sz w:val="16"/>
          <w:szCs w:val="16"/>
        </w:rPr>
        <w:t xml:space="preserve"> в 1945 году японское военное командование отдало приказ командующему Квантунской армией генералу О.Ямаде быть в «готовности к отражению наступления Советской армии в Маньчжурию и Корею» (14907).</w:t>
      </w:r>
    </w:p>
    <w:p w14:paraId="601E7123" w14:textId="77777777" w:rsidR="00F37105" w:rsidRPr="00F90EAE" w:rsidRDefault="00F37105" w:rsidP="00F90EAE">
      <w:pPr>
        <w:jc w:val="both"/>
        <w:rPr>
          <w:color w:val="000000" w:themeColor="text1"/>
          <w:sz w:val="16"/>
          <w:szCs w:val="16"/>
        </w:rPr>
      </w:pPr>
    </w:p>
    <w:p w14:paraId="0AE74374"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51376A8" w14:textId="77777777" w:rsidR="00665165" w:rsidRPr="00F90EAE" w:rsidRDefault="00665165" w:rsidP="00F90EAE">
      <w:pPr>
        <w:autoSpaceDE w:val="0"/>
        <w:autoSpaceDN w:val="0"/>
        <w:adjustRightInd w:val="0"/>
        <w:jc w:val="both"/>
        <w:rPr>
          <w:iCs/>
          <w:color w:val="000000" w:themeColor="text1"/>
          <w:sz w:val="16"/>
          <w:szCs w:val="16"/>
        </w:rPr>
      </w:pPr>
    </w:p>
    <w:p w14:paraId="36BBE9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31 мая по 8 июня 1945 в ГК НИИ ВВС проходил гос. испытания модифицированный самолет УИл-2 с мотором АМ-38Ф (самолет N 18841133 производства 18 завода, апрель 1945) (тема 2 - 1945).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02E847" w14:textId="77777777" w:rsidR="00665165" w:rsidRPr="00F90EAE" w:rsidRDefault="00665165" w:rsidP="00F90EAE">
      <w:pPr>
        <w:autoSpaceDE w:val="0"/>
        <w:autoSpaceDN w:val="0"/>
        <w:adjustRightInd w:val="0"/>
        <w:jc w:val="both"/>
        <w:rPr>
          <w:color w:val="000000" w:themeColor="text1"/>
          <w:sz w:val="16"/>
          <w:szCs w:val="16"/>
        </w:rPr>
      </w:pPr>
    </w:p>
    <w:p w14:paraId="2495C5DC"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8818 О вывозе оборудования и материалов с филиалов немецких заводов фирм: "Хейшель" в г. Берлин, "Арадо" в Бабельсберге (район Потсдама) и с мастерских по производству самолетных агрегатов в г. Хохенофен на предприятия Наркомавиапрома. Ф.644 (11012).</w:t>
      </w:r>
    </w:p>
    <w:p w14:paraId="20D44923" w14:textId="77777777" w:rsidR="008D1FAE" w:rsidRPr="00F90EAE" w:rsidRDefault="008D1FAE" w:rsidP="00F90EAE">
      <w:pPr>
        <w:autoSpaceDE w:val="0"/>
        <w:autoSpaceDN w:val="0"/>
        <w:adjustRightInd w:val="0"/>
        <w:jc w:val="both"/>
        <w:rPr>
          <w:color w:val="000000" w:themeColor="text1"/>
          <w:sz w:val="16"/>
          <w:szCs w:val="16"/>
        </w:rPr>
      </w:pPr>
    </w:p>
    <w:p w14:paraId="0B0690BF"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8819 О вывозе с авиасборочного завода в г. Хайлигенбайль (Восточная Пруссия) металлоконструкций завода для Наркомавиапрома. РГАНИР, Фонд ГКО, д. 421, лл. 21 (11012).</w:t>
      </w:r>
    </w:p>
    <w:p w14:paraId="15EB9860" w14:textId="77777777" w:rsidR="008D1FAE" w:rsidRPr="00F90EAE" w:rsidRDefault="008D1FAE" w:rsidP="00F90EAE">
      <w:pPr>
        <w:autoSpaceDE w:val="0"/>
        <w:autoSpaceDN w:val="0"/>
        <w:adjustRightInd w:val="0"/>
        <w:jc w:val="both"/>
        <w:rPr>
          <w:color w:val="000000" w:themeColor="text1"/>
          <w:sz w:val="16"/>
          <w:szCs w:val="16"/>
        </w:rPr>
      </w:pPr>
    </w:p>
    <w:p w14:paraId="0A415C11"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8821 О вывозе немецкого самолета-бомбардировщика АРАДО-234 для Наркомавиапрома. РГАНИР, Фонд ГКО, д. 421, лл. 23 (11012).</w:t>
      </w:r>
    </w:p>
    <w:p w14:paraId="0875ACB4" w14:textId="77777777" w:rsidR="008D1FAE" w:rsidRPr="00F90EAE" w:rsidRDefault="008D1FAE" w:rsidP="00F90EAE">
      <w:pPr>
        <w:autoSpaceDE w:val="0"/>
        <w:autoSpaceDN w:val="0"/>
        <w:adjustRightInd w:val="0"/>
        <w:jc w:val="both"/>
        <w:rPr>
          <w:color w:val="000000" w:themeColor="text1"/>
          <w:sz w:val="16"/>
          <w:szCs w:val="16"/>
        </w:rPr>
      </w:pPr>
    </w:p>
    <w:p w14:paraId="256F3588"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8822 О вывозе самолетов "Мессершмидт-262" из района г. Прага для Наркомавиапрома. РГАНИР, Фонд ГКО, д. 421, лл. 24 (11012).</w:t>
      </w:r>
    </w:p>
    <w:p w14:paraId="36656877" w14:textId="77777777" w:rsidR="008D1FAE" w:rsidRPr="00F90EAE" w:rsidRDefault="008D1FAE" w:rsidP="00F90EAE">
      <w:pPr>
        <w:autoSpaceDE w:val="0"/>
        <w:autoSpaceDN w:val="0"/>
        <w:adjustRightInd w:val="0"/>
        <w:jc w:val="both"/>
        <w:rPr>
          <w:color w:val="000000" w:themeColor="text1"/>
          <w:sz w:val="16"/>
          <w:szCs w:val="16"/>
        </w:rPr>
      </w:pPr>
    </w:p>
    <w:p w14:paraId="0DC813AF" w14:textId="77777777" w:rsidR="00247854" w:rsidRPr="00F90EAE" w:rsidRDefault="00247854" w:rsidP="00F90EAE">
      <w:pPr>
        <w:jc w:val="both"/>
        <w:rPr>
          <w:color w:val="0070C0"/>
          <w:sz w:val="16"/>
          <w:szCs w:val="16"/>
          <w:shd w:val="clear" w:color="auto" w:fill="FFFFFF"/>
        </w:rPr>
      </w:pPr>
      <w:r w:rsidRPr="00F90EAE">
        <w:rPr>
          <w:color w:val="0070C0"/>
          <w:sz w:val="16"/>
          <w:szCs w:val="16"/>
          <w:shd w:val="clear" w:color="auto" w:fill="FFFFFF"/>
        </w:rPr>
        <w:t>31 мая 1945 вышло постановление ГКО №8823сс «О вывозе оборудования, материалов и образцов узлов реактивных снарядов с германского реактивного научно-исследовательского института в г. Пенемюнде (остров Узедом)». И, наконец, 3 августа 1945 года было подписано постановление ГКО №9716сс «О вывозе оборудования и материалов с немецкого подземного завода в районе г. Нордхаузена для Наркомата авиационной промышленности и Наркомата боеприпасов» (20875).</w:t>
      </w:r>
    </w:p>
    <w:p w14:paraId="4FA7E702" w14:textId="77777777" w:rsidR="00247854" w:rsidRPr="00F90EAE" w:rsidRDefault="00247854" w:rsidP="00F90EAE">
      <w:pPr>
        <w:jc w:val="both"/>
        <w:rPr>
          <w:color w:val="0070C0"/>
          <w:sz w:val="16"/>
          <w:szCs w:val="16"/>
          <w:shd w:val="clear" w:color="auto" w:fill="FFFFFF"/>
        </w:rPr>
      </w:pPr>
    </w:p>
    <w:p w14:paraId="6B6570B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DA16A34" w14:textId="77777777" w:rsidR="00665165" w:rsidRPr="00F90EAE" w:rsidRDefault="00665165" w:rsidP="00F90EAE">
      <w:pPr>
        <w:autoSpaceDE w:val="0"/>
        <w:autoSpaceDN w:val="0"/>
        <w:adjustRightInd w:val="0"/>
        <w:jc w:val="both"/>
        <w:rPr>
          <w:iCs/>
          <w:color w:val="000000" w:themeColor="text1"/>
          <w:sz w:val="16"/>
          <w:szCs w:val="16"/>
        </w:rPr>
      </w:pPr>
    </w:p>
    <w:p w14:paraId="24742B6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31 мая 1945 г. была подготовлена СПРАВКА-ДОКЛАД О ВЫПОЛНЕНИИ АТК И УПРАВЛЕНИЯМИ ГАВТУ КА ПЕРСПЕКТИВНОГО ПЛАНА РАБОТ ЗА </w:t>
      </w:r>
      <w:r w:rsidRPr="00F90EAE">
        <w:rPr>
          <w:color w:val="000000" w:themeColor="text1"/>
          <w:sz w:val="16"/>
          <w:szCs w:val="16"/>
          <w:lang w:val="en-US"/>
        </w:rPr>
        <w:t>I</w:t>
      </w:r>
      <w:r w:rsidRPr="00F90EAE">
        <w:rPr>
          <w:color w:val="000000" w:themeColor="text1"/>
          <w:sz w:val="16"/>
          <w:szCs w:val="16"/>
        </w:rPr>
        <w:t xml:space="preserve"> КВАРТАЛ 1945 ГОДА</w:t>
      </w:r>
    </w:p>
    <w:p w14:paraId="17B0DD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Автомобильно-технический комитет</w:t>
      </w:r>
    </w:p>
    <w:p w14:paraId="7731A9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Перспективным планом работ на </w:t>
      </w:r>
      <w:r w:rsidRPr="00F90EAE">
        <w:rPr>
          <w:color w:val="000000" w:themeColor="text1"/>
          <w:sz w:val="16"/>
          <w:szCs w:val="16"/>
          <w:lang w:val="en-US"/>
        </w:rPr>
        <w:t>I</w:t>
      </w:r>
      <w:r w:rsidRPr="00F90EAE">
        <w:rPr>
          <w:color w:val="000000" w:themeColor="text1"/>
          <w:sz w:val="16"/>
          <w:szCs w:val="16"/>
        </w:rPr>
        <w:t xml:space="preserve"> кв. 1945 года предусмотрено:</w:t>
      </w:r>
    </w:p>
    <w:p w14:paraId="475081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материалов по вопросу введения новых норм расхода ГСМ на автомашины;</w:t>
      </w:r>
    </w:p>
    <w:p w14:paraId="7691536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составление и издание справочника офицера-автомобилиста;</w:t>
      </w:r>
    </w:p>
    <w:p w14:paraId="403918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составление табелей паркового оборудования для войсковых частей Красной Армии;</w:t>
      </w:r>
    </w:p>
    <w:p w14:paraId="695D1E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пересмотр технических условий на специальные автомашины.</w:t>
      </w:r>
    </w:p>
    <w:p w14:paraId="3455512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перспективным планом работ на 1945 год предусмотрено выполнение основных научно-исследовательских работ в следующем объеме:</w:t>
      </w:r>
    </w:p>
    <w:p w14:paraId="481612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по новым конструкциям автомобилей и агрегатов — 14 работ;</w:t>
      </w:r>
    </w:p>
    <w:p w14:paraId="11BDF1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по службе эксплуатации — 7 работ;</w:t>
      </w:r>
    </w:p>
    <w:p w14:paraId="3EED6B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по службе ремонта — 13 работ. По данным отчета АТК за </w:t>
      </w:r>
      <w:r w:rsidRPr="00F90EAE">
        <w:rPr>
          <w:color w:val="000000" w:themeColor="text1"/>
          <w:sz w:val="16"/>
          <w:szCs w:val="16"/>
          <w:lang w:val="en-US"/>
        </w:rPr>
        <w:t>I</w:t>
      </w:r>
      <w:r w:rsidRPr="00F90EAE">
        <w:rPr>
          <w:color w:val="000000" w:themeColor="text1"/>
          <w:sz w:val="16"/>
          <w:szCs w:val="16"/>
        </w:rPr>
        <w:t xml:space="preserve"> квартал, выполнение характеризуется следующим:</w:t>
      </w:r>
    </w:p>
    <w:p w14:paraId="3553AEB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материалов по вопросу введения новых норм расхода ГСМ для автомобилей закон</w:t>
      </w:r>
      <w:r w:rsidRPr="00F90EAE">
        <w:rPr>
          <w:color w:val="000000" w:themeColor="text1"/>
          <w:sz w:val="16"/>
          <w:szCs w:val="16"/>
        </w:rPr>
        <w:softHyphen/>
        <w:t>чена. Проект норм представлен в Госплан СССР (№9 п.п.).</w:t>
      </w:r>
    </w:p>
    <w:p w14:paraId="666236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Составление справочника офицера-автомобилиста по приказу начальника ГАВТУ КА снято с АТК и возложено на специальную редакционную коллегию (№18 п.п.).</w:t>
      </w:r>
    </w:p>
    <w:p w14:paraId="60D6DF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Работы по составлению табелей паркового оборудования для войсковых частей КА частично исполнены в </w:t>
      </w:r>
      <w:r w:rsidRPr="00F90EAE">
        <w:rPr>
          <w:color w:val="000000" w:themeColor="text1"/>
          <w:sz w:val="16"/>
          <w:szCs w:val="16"/>
          <w:lang w:val="en-US"/>
        </w:rPr>
        <w:t>I</w:t>
      </w:r>
      <w:r w:rsidRPr="00F90EAE">
        <w:rPr>
          <w:color w:val="000000" w:themeColor="text1"/>
          <w:sz w:val="16"/>
          <w:szCs w:val="16"/>
        </w:rPr>
        <w:t xml:space="preserve"> квартале (№52 п.п.).</w:t>
      </w:r>
    </w:p>
    <w:p w14:paraId="2E5204F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Пересмотр технических условий на специальные машины (№76 п.п.). Составлены «Тактико-технические требования к автомобилям КА», которые будут разосланы начальникам родов войск КА для обсуждения и согласования. После внесения соответствующих коррективов они будут доложе</w:t>
      </w:r>
      <w:r w:rsidRPr="00F90EAE">
        <w:rPr>
          <w:color w:val="000000" w:themeColor="text1"/>
          <w:sz w:val="16"/>
          <w:szCs w:val="16"/>
        </w:rPr>
        <w:softHyphen/>
        <w:t>ны начальнику ГАВТУ КА на утверждение.</w:t>
      </w:r>
    </w:p>
    <w:p w14:paraId="1B945CA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новым конструкциям автомобилей и агрегатов:</w:t>
      </w:r>
    </w:p>
    <w:p w14:paraId="25B266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выполнена 1 тема («19-К») — «Испытание двигателя ЗИС-5 при трех выключенных цилиндрах». По 7 темам («18-К», «21-К», «22-К». «23-К», «24-К», «25-К» и «26-К») работы не закончены — перехо</w:t>
      </w:r>
      <w:r w:rsidRPr="00F90EAE">
        <w:rPr>
          <w:color w:val="000000" w:themeColor="text1"/>
          <w:sz w:val="16"/>
          <w:szCs w:val="16"/>
        </w:rPr>
        <w:softHyphen/>
        <w:t xml:space="preserve">дят на </w:t>
      </w:r>
      <w:r w:rsidRPr="00F90EAE">
        <w:rPr>
          <w:color w:val="000000" w:themeColor="text1"/>
          <w:sz w:val="16"/>
          <w:szCs w:val="16"/>
          <w:lang w:val="en-US"/>
        </w:rPr>
        <w:t>II</w:t>
      </w:r>
      <w:r w:rsidRPr="00F90EAE">
        <w:rPr>
          <w:color w:val="000000" w:themeColor="text1"/>
          <w:sz w:val="16"/>
          <w:szCs w:val="16"/>
        </w:rPr>
        <w:t xml:space="preserve"> квартал.</w:t>
      </w:r>
    </w:p>
    <w:p w14:paraId="481235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выполнению темы «20-К» — «Сравнительные поверочные расчеты импортных и отечествен</w:t>
      </w:r>
      <w:r w:rsidRPr="00F90EAE">
        <w:rPr>
          <w:color w:val="000000" w:themeColor="text1"/>
          <w:sz w:val="16"/>
          <w:szCs w:val="16"/>
        </w:rPr>
        <w:softHyphen/>
        <w:t>ных автомобилей» — не приступали, заказ на работу еще не размещен. Согласие на выполнение этой работы группой инженеров уже дано.</w:t>
      </w:r>
    </w:p>
    <w:p w14:paraId="7DABBC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службе эксплуатации:</w:t>
      </w:r>
    </w:p>
    <w:p w14:paraId="406F7B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выполнены 9 тем основных и 5 тем внеплановых.</w:t>
      </w:r>
    </w:p>
    <w:p w14:paraId="0FE754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По 16 темам работы не закончены — переходят на </w:t>
      </w:r>
      <w:r w:rsidRPr="00F90EAE">
        <w:rPr>
          <w:color w:val="000000" w:themeColor="text1"/>
          <w:sz w:val="16"/>
          <w:szCs w:val="16"/>
          <w:lang w:val="en-US"/>
        </w:rPr>
        <w:t>II</w:t>
      </w:r>
      <w:r w:rsidRPr="00F90EAE">
        <w:rPr>
          <w:color w:val="000000" w:themeColor="text1"/>
          <w:sz w:val="16"/>
          <w:szCs w:val="16"/>
        </w:rPr>
        <w:t xml:space="preserve"> квартал. По 2 темам («20-Э» и «21-Э»), срок исполнения которых 31.03.1945 г., работы соответственно выполнены на 40% и на 85%.</w:t>
      </w:r>
    </w:p>
    <w:p w14:paraId="3894A6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Увеличение числа тем, предусмотренных перспективным планом, произошло в связи с новыми , задачами, которые командование ГАВТУ КА ставило перед АТК. ;</w:t>
      </w:r>
    </w:p>
    <w:p w14:paraId="39BD9A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службе ремонта: |</w:t>
      </w:r>
    </w:p>
    <w:p w14:paraId="39DE78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выполнены 3 основные темы и 1 внеплановая.</w:t>
      </w:r>
    </w:p>
    <w:p w14:paraId="26C379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7 основным темам работы продолжаются.</w:t>
      </w:r>
    </w:p>
    <w:p w14:paraId="341C4A7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работе по теме «15-Р» не приступали из-за отсутствия исполнителей.</w:t>
      </w:r>
    </w:p>
    <w:p w14:paraId="3C61319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 Управление снабжения</w:t>
      </w:r>
    </w:p>
    <w:p w14:paraId="77B915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Перспективный план в </w:t>
      </w:r>
      <w:r w:rsidRPr="00F90EAE">
        <w:rPr>
          <w:color w:val="000000" w:themeColor="text1"/>
          <w:sz w:val="16"/>
          <w:szCs w:val="16"/>
          <w:lang w:val="en-US"/>
        </w:rPr>
        <w:t>I</w:t>
      </w:r>
      <w:r w:rsidRPr="00F90EAE">
        <w:rPr>
          <w:color w:val="000000" w:themeColor="text1"/>
          <w:sz w:val="16"/>
          <w:szCs w:val="16"/>
        </w:rPr>
        <w:t xml:space="preserve"> квартале, в основном, выполнен за исключением следующих работ:</w:t>
      </w:r>
    </w:p>
    <w:p w14:paraId="128CC5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и проведение мероприятий по замене во фронтах и округах автомашин, пришед</w:t>
      </w:r>
      <w:r w:rsidRPr="00F90EAE">
        <w:rPr>
          <w:color w:val="000000" w:themeColor="text1"/>
          <w:sz w:val="16"/>
          <w:szCs w:val="16"/>
        </w:rPr>
        <w:softHyphen/>
        <w:t>ших в состояние, непригодное для дальнейшей эксплуатации вследствие технического износа» (№79 п.п.).</w:t>
      </w:r>
    </w:p>
    <w:p w14:paraId="3D79FE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типовой походной вулканизационной мастерской» (№32 п.п.).</w:t>
      </w:r>
    </w:p>
    <w:p w14:paraId="0C2D102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Управление ремонта</w:t>
      </w:r>
    </w:p>
    <w:p w14:paraId="37D1ED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Основные мероприятия, намеченные перспективным планом, в </w:t>
      </w:r>
      <w:r w:rsidRPr="00F90EAE">
        <w:rPr>
          <w:color w:val="000000" w:themeColor="text1"/>
          <w:sz w:val="16"/>
          <w:szCs w:val="16"/>
          <w:lang w:val="en-US"/>
        </w:rPr>
        <w:t>I</w:t>
      </w:r>
      <w:r w:rsidRPr="00F90EAE">
        <w:rPr>
          <w:color w:val="000000" w:themeColor="text1"/>
          <w:sz w:val="16"/>
          <w:szCs w:val="16"/>
        </w:rPr>
        <w:t xml:space="preserve"> квартале 1945 года выполнены за исключением следующих:</w:t>
      </w:r>
    </w:p>
    <w:p w14:paraId="0B9ADE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«Реорганизация ремонтных средств частей СВГК» (№5 п.п.) — произведены подготовительные работы.</w:t>
      </w:r>
    </w:p>
    <w:p w14:paraId="4F53E93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 «Введение военной приемки на центральных и окружных стационарных авторемзаводах НКО» (№6 п.п.) — работы по введению будут закончены во </w:t>
      </w:r>
      <w:r w:rsidRPr="00F90EAE">
        <w:rPr>
          <w:color w:val="000000" w:themeColor="text1"/>
          <w:sz w:val="16"/>
          <w:szCs w:val="16"/>
          <w:lang w:val="en-US"/>
        </w:rPr>
        <w:t>II</w:t>
      </w:r>
      <w:r w:rsidRPr="00F90EAE">
        <w:rPr>
          <w:color w:val="000000" w:themeColor="text1"/>
          <w:sz w:val="16"/>
          <w:szCs w:val="16"/>
        </w:rPr>
        <w:t xml:space="preserve"> квартале.</w:t>
      </w:r>
    </w:p>
    <w:p w14:paraId="6126D93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в связи с переходом на хозрасчет, типового положения об организации и планиро</w:t>
      </w:r>
      <w:r w:rsidRPr="00F90EAE">
        <w:rPr>
          <w:color w:val="000000" w:themeColor="text1"/>
          <w:sz w:val="16"/>
          <w:szCs w:val="16"/>
        </w:rPr>
        <w:softHyphen/>
        <w:t>вании работы и материально-техническом снабжении стационарных ремпредприятий» (№10 п.п.).</w:t>
      </w:r>
    </w:p>
    <w:p w14:paraId="2A6804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«Организация технической учебы офицерского состава авторемонтных частей, складов и пред</w:t>
      </w:r>
      <w:r w:rsidRPr="00F90EAE">
        <w:rPr>
          <w:color w:val="000000" w:themeColor="text1"/>
          <w:sz w:val="16"/>
          <w:szCs w:val="16"/>
        </w:rPr>
        <w:softHyphen/>
        <w:t>приятий центрального подчинения» (№31 п.п.).</w:t>
      </w:r>
    </w:p>
    <w:p w14:paraId="73929C5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«Организация центральных курсов по подготовке сварщиков» (№35 п.п.), — проведена подго</w:t>
      </w:r>
      <w:r w:rsidRPr="00F90EAE">
        <w:rPr>
          <w:color w:val="000000" w:themeColor="text1"/>
          <w:sz w:val="16"/>
          <w:szCs w:val="16"/>
        </w:rPr>
        <w:softHyphen/>
        <w:t>товительная работа.</w:t>
      </w:r>
    </w:p>
    <w:p w14:paraId="5A83B8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Управление эксплуатации и автоперевозок</w:t>
      </w:r>
    </w:p>
    <w:p w14:paraId="0A4BCD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По данным отчета, основные мероприятия, намеченные перспективным планом, в </w:t>
      </w:r>
      <w:r w:rsidRPr="00F90EAE">
        <w:rPr>
          <w:color w:val="000000" w:themeColor="text1"/>
          <w:sz w:val="16"/>
          <w:szCs w:val="16"/>
          <w:lang w:val="en-US"/>
        </w:rPr>
        <w:t>I</w:t>
      </w:r>
      <w:r w:rsidRPr="00F90EAE">
        <w:rPr>
          <w:color w:val="000000" w:themeColor="text1"/>
          <w:sz w:val="16"/>
          <w:szCs w:val="16"/>
        </w:rPr>
        <w:t xml:space="preserve"> квартале 1945 г. выполнены, за исключением следующих:</w:t>
      </w:r>
    </w:p>
    <w:p w14:paraId="1906E8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и издание временного наставления по автомобильным перевозкам» (№17 п.п.).</w:t>
      </w:r>
    </w:p>
    <w:p w14:paraId="391EFD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«Разработка наиболее рациональной методики боевой подготовки личного состава линейных авточастей» (№30 п.п. — совместно со штабом).</w:t>
      </w:r>
    </w:p>
    <w:p w14:paraId="74E3CAB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«Составление табелей паркового оборудования для войсковых частей КА» (№52 п.п. — совмес</w:t>
      </w:r>
      <w:r w:rsidRPr="00F90EAE">
        <w:rPr>
          <w:color w:val="000000" w:themeColor="text1"/>
          <w:sz w:val="16"/>
          <w:szCs w:val="16"/>
        </w:rPr>
        <w:softHyphen/>
        <w:t>тно с АТК и УСГ КА) — частично исполнено. Вне плана выполнены следующие работы:</w:t>
      </w:r>
    </w:p>
    <w:p w14:paraId="61E3C1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разработаны новые межремонтные и межсмотровые пробеги отечественных и иностранных автомобилей;</w:t>
      </w:r>
    </w:p>
    <w:p w14:paraId="797932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оборудован и оформлен отдел «эксплуатации автопарка» на автомобильной выставке КА.</w:t>
      </w:r>
    </w:p>
    <w:p w14:paraId="398E78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Перспективный план основных мероприятий на </w:t>
      </w:r>
      <w:r w:rsidRPr="00F90EAE">
        <w:rPr>
          <w:color w:val="000000" w:themeColor="text1"/>
          <w:sz w:val="16"/>
          <w:szCs w:val="16"/>
          <w:lang w:val="en-US"/>
        </w:rPr>
        <w:t>I</w:t>
      </w:r>
      <w:r w:rsidRPr="00F90EAE">
        <w:rPr>
          <w:color w:val="000000" w:themeColor="text1"/>
          <w:sz w:val="16"/>
          <w:szCs w:val="16"/>
        </w:rPr>
        <w:t xml:space="preserve"> квартал 1945 года управлениями и АТК ГАВТУ КА, в основном, выполнен, за исключением мероприятий указанных выше.</w:t>
      </w:r>
    </w:p>
    <w:p w14:paraId="29AACDE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Увеличение количества тем по АТК произошло в связи с новыми задачами, которые командова</w:t>
      </w:r>
      <w:r w:rsidRPr="00F90EAE">
        <w:rPr>
          <w:color w:val="000000" w:themeColor="text1"/>
          <w:sz w:val="16"/>
          <w:szCs w:val="16"/>
        </w:rPr>
        <w:softHyphen/>
        <w:t>ние ГАВТУ КА ставило перед ним.</w:t>
      </w:r>
    </w:p>
    <w:p w14:paraId="18AA41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Отчетные данные управлениями представляются с большими опозданиями и не являются исчер</w:t>
      </w:r>
      <w:r w:rsidRPr="00F90EAE">
        <w:rPr>
          <w:color w:val="000000" w:themeColor="text1"/>
          <w:sz w:val="16"/>
          <w:szCs w:val="16"/>
        </w:rPr>
        <w:softHyphen/>
        <w:t>пывающими.</w:t>
      </w:r>
    </w:p>
    <w:p w14:paraId="56A3A89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Врид начальника 1 отдела штаба ГАВТУ КА подполковник Ведмедь</w:t>
      </w:r>
    </w:p>
    <w:p w14:paraId="5F881F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11584. Д. 13. Л. 78-82. Подлинник (11420).</w:t>
      </w:r>
    </w:p>
    <w:p w14:paraId="04228A2E" w14:textId="77777777" w:rsidR="00665165" w:rsidRPr="00F90EAE" w:rsidRDefault="00665165" w:rsidP="00F90EAE">
      <w:pPr>
        <w:autoSpaceDE w:val="0"/>
        <w:autoSpaceDN w:val="0"/>
        <w:adjustRightInd w:val="0"/>
        <w:jc w:val="both"/>
        <w:rPr>
          <w:color w:val="000000" w:themeColor="text1"/>
          <w:sz w:val="16"/>
          <w:szCs w:val="16"/>
        </w:rPr>
      </w:pPr>
    </w:p>
    <w:p w14:paraId="3C1BAA3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года вышел приказ № 226сс НКВ</w:t>
      </w:r>
    </w:p>
    <w:p w14:paraId="0C5E50A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ГОКО № 8803сс от 26 мая 1945 года “О мероприятиях по перестройке промышленности в связи с сокращением производства вооружения”</w:t>
      </w:r>
    </w:p>
    <w:p w14:paraId="194911D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w:t>
      </w:r>
    </w:p>
    <w:p w14:paraId="233EA35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ГОКО в целях укрупнения патронных заводов и освобождения временно занятых ими предприятий и учреждений разрешил НКВ перебазировать в течение июня-июля 1945 года патронные заводы НКВ:</w:t>
      </w:r>
    </w:p>
    <w:p w14:paraId="350D6E4A"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 529 (Новая Ляля Свердловской области) на заводы №№ 710, 711 (Подольск Московской области).</w:t>
      </w:r>
    </w:p>
    <w:p w14:paraId="5F4CE85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 540 (Иркутск) на завод № 544 (Глазов Удмуртской АССР).</w:t>
      </w:r>
    </w:p>
    <w:p w14:paraId="247B560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 541 (Челябинск) на заводы №№ 539 (Тула) и 270 (Ворошиловград).</w:t>
      </w:r>
    </w:p>
    <w:p w14:paraId="2AA062B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 545 (Чкалов) на завод № 270 (Ворошиловград).</w:t>
      </w:r>
    </w:p>
    <w:p w14:paraId="65F829AC"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ГОКО разрешил НКВ:</w:t>
      </w:r>
    </w:p>
    <w:p w14:paraId="7C639CD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Завод № 350 (Новосибирск) объединить с 1 июля 1945 года с заводом № 69 (Новосибирск), присвоив объединенному заводу № 69</w:t>
      </w:r>
    </w:p>
    <w:p w14:paraId="14852A3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Производство приборов для ВМФ с 1 июля 1945 года передать с завода № 350 НКВ на завод № 349 (Ленинград).</w:t>
      </w:r>
    </w:p>
    <w:p w14:paraId="53B163B6"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Реорганизовать завод оптического стекла № 588 (Ленинск-Кузнецкий) в цех и включить его в состав завода № 69 НКВ (6446, 87-95).</w:t>
      </w:r>
    </w:p>
    <w:p w14:paraId="574B0DE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560B6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8815 О вывозе оборудования с немецких паровозоремонтных заводов в г. г. Росток (провинция Мекленбург), Бранденбург-Вест (провинция Бранденбург) и паровозовагоноремонтных мастерских в г. Виттенберг (провинция Бранденбург). РГАНИР, Фонд ГКО, д. 421 (11012).</w:t>
      </w:r>
    </w:p>
    <w:p w14:paraId="1A3F6778" w14:textId="77777777" w:rsidR="00665165" w:rsidRPr="00F90EAE" w:rsidRDefault="00665165" w:rsidP="00F90EAE">
      <w:pPr>
        <w:autoSpaceDE w:val="0"/>
        <w:autoSpaceDN w:val="0"/>
        <w:adjustRightInd w:val="0"/>
        <w:jc w:val="both"/>
        <w:rPr>
          <w:color w:val="000000" w:themeColor="text1"/>
          <w:sz w:val="16"/>
          <w:szCs w:val="16"/>
        </w:rPr>
      </w:pPr>
    </w:p>
    <w:p w14:paraId="0D712D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8816 О вывозе оборудования немецких главных мастерских Берлинского метрополитена и завода металлоконструкций в г. Берлин на предприятия НКПС. РГАНИР, Фонд ГКО, д. 421, лл. 14-15 (11012).</w:t>
      </w:r>
    </w:p>
    <w:p w14:paraId="49F8D412" w14:textId="77777777" w:rsidR="00665165" w:rsidRPr="00F90EAE" w:rsidRDefault="00665165" w:rsidP="00F90EAE">
      <w:pPr>
        <w:autoSpaceDE w:val="0"/>
        <w:autoSpaceDN w:val="0"/>
        <w:adjustRightInd w:val="0"/>
        <w:jc w:val="both"/>
        <w:rPr>
          <w:color w:val="000000" w:themeColor="text1"/>
          <w:sz w:val="16"/>
          <w:szCs w:val="16"/>
        </w:rPr>
      </w:pPr>
    </w:p>
    <w:p w14:paraId="69EC8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8817 О вывозе оборудования немецких предприятий на заводы Наркомсредмаша. РГАНИР, Фонд ГКО, д. 421, лл. 16-17, 18 (11012).</w:t>
      </w:r>
    </w:p>
    <w:p w14:paraId="3149837C" w14:textId="77777777" w:rsidR="00665165" w:rsidRPr="00F90EAE" w:rsidRDefault="00665165" w:rsidP="00F90EAE">
      <w:pPr>
        <w:autoSpaceDE w:val="0"/>
        <w:autoSpaceDN w:val="0"/>
        <w:adjustRightInd w:val="0"/>
        <w:jc w:val="both"/>
        <w:rPr>
          <w:color w:val="000000" w:themeColor="text1"/>
          <w:sz w:val="16"/>
          <w:szCs w:val="16"/>
        </w:rPr>
      </w:pPr>
    </w:p>
    <w:p w14:paraId="6C45EE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8820 О вывозе оборудования с немецкого завода фирмы "Зингер" в г. Виттенберг на радиолокационный завод № 283 Наркомавиапрома в г. ЛенинграРГАНИР, Фонд ГКО, д. РГАНИР, Фонд ГКО, д. 421, лл. 22 (11012).</w:t>
      </w:r>
    </w:p>
    <w:p w14:paraId="51E74EF8" w14:textId="77777777" w:rsidR="00665165" w:rsidRPr="00F90EAE" w:rsidRDefault="00665165" w:rsidP="00F90EAE">
      <w:pPr>
        <w:autoSpaceDE w:val="0"/>
        <w:autoSpaceDN w:val="0"/>
        <w:adjustRightInd w:val="0"/>
        <w:jc w:val="both"/>
        <w:rPr>
          <w:color w:val="000000" w:themeColor="text1"/>
          <w:sz w:val="16"/>
          <w:szCs w:val="16"/>
        </w:rPr>
      </w:pPr>
    </w:p>
    <w:p w14:paraId="31CD5CEE"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31 мая 1945 ГКО приказал направлять в НКБ (а не НКАП) обломки ракет а за две недели до этого ему передали оборудование завода Ворверксверке по производству узлов Фау-2 (2393,24).</w:t>
      </w:r>
    </w:p>
    <w:p w14:paraId="2E72F253" w14:textId="77777777" w:rsidR="008D1FAE" w:rsidRPr="00F90EAE" w:rsidRDefault="008D1FAE" w:rsidP="00F90EAE">
      <w:pPr>
        <w:autoSpaceDE w:val="0"/>
        <w:autoSpaceDN w:val="0"/>
        <w:adjustRightInd w:val="0"/>
        <w:jc w:val="both"/>
        <w:rPr>
          <w:color w:val="000000" w:themeColor="text1"/>
          <w:sz w:val="16"/>
          <w:szCs w:val="16"/>
        </w:rPr>
      </w:pPr>
    </w:p>
    <w:p w14:paraId="0AC72828"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ГКО, придавая исключительное значение развитию реактивной техни</w:t>
      </w:r>
      <w:r w:rsidRPr="00F90EAE">
        <w:rPr>
          <w:color w:val="000000" w:themeColor="text1"/>
          <w:sz w:val="16"/>
          <w:szCs w:val="16"/>
        </w:rPr>
        <w:softHyphen/>
        <w:t>ки в СССР и изучению трофейной тех</w:t>
      </w:r>
      <w:r w:rsidRPr="00F90EAE">
        <w:rPr>
          <w:color w:val="000000" w:themeColor="text1"/>
          <w:sz w:val="16"/>
          <w:szCs w:val="16"/>
        </w:rPr>
        <w:softHyphen/>
        <w:t>ники, принял Постанов</w:t>
      </w:r>
      <w:r w:rsidRPr="00F90EAE">
        <w:rPr>
          <w:color w:val="000000" w:themeColor="text1"/>
          <w:sz w:val="16"/>
          <w:szCs w:val="16"/>
        </w:rPr>
        <w:softHyphen/>
        <w:t>ление «О проведении работы по выяв</w:t>
      </w:r>
      <w:r w:rsidRPr="00F90EAE">
        <w:rPr>
          <w:color w:val="000000" w:themeColor="text1"/>
          <w:sz w:val="16"/>
          <w:szCs w:val="16"/>
        </w:rPr>
        <w:softHyphen/>
        <w:t>лению и вывозу заводского и лабора</w:t>
      </w:r>
      <w:r w:rsidRPr="00F90EAE">
        <w:rPr>
          <w:color w:val="000000" w:themeColor="text1"/>
          <w:sz w:val="16"/>
          <w:szCs w:val="16"/>
        </w:rPr>
        <w:softHyphen/>
        <w:t>торного оборудования, чертежей и опытных образцов немецких реактив</w:t>
      </w:r>
      <w:r w:rsidRPr="00F90EAE">
        <w:rPr>
          <w:color w:val="000000" w:themeColor="text1"/>
          <w:sz w:val="16"/>
          <w:szCs w:val="16"/>
        </w:rPr>
        <w:softHyphen/>
        <w:t>ных снарядов». В частности, этим по</w:t>
      </w:r>
      <w:r w:rsidRPr="00F90EAE">
        <w:rPr>
          <w:color w:val="000000" w:themeColor="text1"/>
          <w:sz w:val="16"/>
          <w:szCs w:val="16"/>
        </w:rPr>
        <w:softHyphen/>
        <w:t>становлением наркому боеприпасов Б.Л. Ванникову предписывалось сроч</w:t>
      </w:r>
      <w:r w:rsidRPr="00F90EAE">
        <w:rPr>
          <w:color w:val="000000" w:themeColor="text1"/>
          <w:sz w:val="16"/>
          <w:szCs w:val="16"/>
        </w:rPr>
        <w:softHyphen/>
        <w:t>но вывезти на завод №67 (в ГЦКБ-1) все оборудование с опытного завода по твердотопливным реактивным снаря</w:t>
      </w:r>
      <w:r w:rsidRPr="00F90EAE">
        <w:rPr>
          <w:color w:val="000000" w:themeColor="text1"/>
          <w:sz w:val="16"/>
          <w:szCs w:val="16"/>
        </w:rPr>
        <w:softHyphen/>
        <w:t>дам для создания аналогичного про</w:t>
      </w:r>
      <w:r w:rsidRPr="00F90EAE">
        <w:rPr>
          <w:color w:val="000000" w:themeColor="text1"/>
          <w:sz w:val="16"/>
          <w:szCs w:val="16"/>
        </w:rPr>
        <w:softHyphen/>
        <w:t>изводства в Москве. Уже в июле 1945 г. Б.Л. Ванников доложил Г.М. Маленко</w:t>
      </w:r>
      <w:r w:rsidRPr="00F90EAE">
        <w:rPr>
          <w:color w:val="000000" w:themeColor="text1"/>
          <w:sz w:val="16"/>
          <w:szCs w:val="16"/>
        </w:rPr>
        <w:softHyphen/>
        <w:t>ву, что «с получением чертежей и до</w:t>
      </w:r>
      <w:r w:rsidRPr="00F90EAE">
        <w:rPr>
          <w:color w:val="000000" w:themeColor="text1"/>
          <w:sz w:val="16"/>
          <w:szCs w:val="16"/>
        </w:rPr>
        <w:softHyphen/>
        <w:t>кументации по реактивному снаряду «Курьер Рейна» ГЦКБ №1 НКБ на базе М-13-ДД и «Курьера Рейна» разрабо</w:t>
      </w:r>
      <w:r w:rsidRPr="00F90EAE">
        <w:rPr>
          <w:color w:val="000000" w:themeColor="text1"/>
          <w:sz w:val="16"/>
          <w:szCs w:val="16"/>
        </w:rPr>
        <w:softHyphen/>
        <w:t>тан проект реактивного четырехкамер-ного снаряда на пороховых зарядах М- 13с дальностью до 50 км».</w:t>
      </w:r>
    </w:p>
    <w:p w14:paraId="155C3D62"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Однако вскоре ГЦКБ-1 пришлось пережить орга</w:t>
      </w:r>
      <w:r w:rsidRPr="00F90EAE">
        <w:rPr>
          <w:color w:val="000000" w:themeColor="text1"/>
          <w:sz w:val="16"/>
          <w:szCs w:val="16"/>
        </w:rPr>
        <w:softHyphen/>
        <w:t>низационные перемены. Бюро переехало на тер</w:t>
      </w:r>
      <w:r w:rsidRPr="00F90EAE">
        <w:rPr>
          <w:color w:val="000000" w:themeColor="text1"/>
          <w:sz w:val="16"/>
          <w:szCs w:val="16"/>
        </w:rPr>
        <w:softHyphen/>
        <w:t>риторию завода №568 Наркомата боеприпасов на улице Верхней, неда</w:t>
      </w:r>
      <w:r w:rsidRPr="00F90EAE">
        <w:rPr>
          <w:color w:val="000000" w:themeColor="text1"/>
          <w:sz w:val="16"/>
          <w:szCs w:val="16"/>
        </w:rPr>
        <w:softHyphen/>
        <w:t>леко от Белорусского вокзала столицы. Глав</w:t>
      </w:r>
      <w:r w:rsidRPr="00F90EAE">
        <w:rPr>
          <w:color w:val="000000" w:themeColor="text1"/>
          <w:sz w:val="16"/>
          <w:szCs w:val="16"/>
        </w:rPr>
        <w:softHyphen/>
        <w:t>ным инженером ГЦКБ-1 был назначен бывший главный инженер завода №568 А.Н. Вознесенский. В ГЦКБ-1 была переведе</w:t>
      </w:r>
      <w:r w:rsidRPr="00F90EAE">
        <w:rPr>
          <w:color w:val="000000" w:themeColor="text1"/>
          <w:sz w:val="16"/>
          <w:szCs w:val="16"/>
        </w:rPr>
        <w:softHyphen/>
        <w:t>на группа сотрудников филиала №2 НИИ-1 НКАП, в которую входи</w:t>
      </w:r>
      <w:r w:rsidRPr="00F90EAE">
        <w:rPr>
          <w:color w:val="000000" w:themeColor="text1"/>
          <w:sz w:val="16"/>
          <w:szCs w:val="16"/>
        </w:rPr>
        <w:softHyphen/>
        <w:t>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(11090).</w:t>
      </w:r>
    </w:p>
    <w:p w14:paraId="0EAB8A95" w14:textId="77777777" w:rsidR="008D1FAE" w:rsidRPr="00F90EAE" w:rsidRDefault="008D1FAE" w:rsidP="00F90EAE">
      <w:pPr>
        <w:shd w:val="clear" w:color="auto" w:fill="FFFFFF"/>
        <w:autoSpaceDE w:val="0"/>
        <w:autoSpaceDN w:val="0"/>
        <w:adjustRightInd w:val="0"/>
        <w:jc w:val="both"/>
        <w:rPr>
          <w:color w:val="000000" w:themeColor="text1"/>
          <w:sz w:val="16"/>
          <w:szCs w:val="16"/>
        </w:rPr>
      </w:pPr>
    </w:p>
    <w:p w14:paraId="65F02F86"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ГКО, придавая исключительное значение развитию реактивной техники в СССР,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4A5C06C3"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Наркому боеприпасов Б.Л. Ванникову предписывалось срочно вывезти на завод № 671 и в ГКЦБ_1 все оборудование с опытного завода по реактивным снарядам фирмы «Рейн Металл Борзинг» для создания аналогичного производства в Москве. Ответственность за организацию работ по выявлению лабораторного и валового оборудования, а также образцов и чертежей реактивных снарядов и их передачу в ведение Наркомата боеприпасов возлагалась на уполномоченных Особого комитета при ГКО М.З. Сабурова, П.М. Зернова, П.С. Кучумова и Гамова (11254).</w:t>
      </w:r>
    </w:p>
    <w:p w14:paraId="477C53EF" w14:textId="77777777" w:rsidR="008D1FAE" w:rsidRPr="00F90EAE" w:rsidRDefault="008D1FAE" w:rsidP="00F90EAE">
      <w:pPr>
        <w:shd w:val="clear" w:color="auto" w:fill="FFFFFF"/>
        <w:autoSpaceDE w:val="0"/>
        <w:autoSpaceDN w:val="0"/>
        <w:adjustRightInd w:val="0"/>
        <w:jc w:val="both"/>
        <w:rPr>
          <w:color w:val="000000" w:themeColor="text1"/>
          <w:sz w:val="16"/>
          <w:szCs w:val="16"/>
        </w:rPr>
      </w:pPr>
    </w:p>
    <w:p w14:paraId="07ACE3A6"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Государственный Комитет Обороны СССР принял постановление № 8823сс «О вывозе оборудования, материалов и образцов узлов реактивных снарядов с германского реактивного научно-испытатель</w:t>
      </w:r>
      <w:r w:rsidRPr="00F90EAE">
        <w:rPr>
          <w:color w:val="000000" w:themeColor="text1"/>
          <w:sz w:val="16"/>
          <w:szCs w:val="16"/>
        </w:rPr>
        <w:softHyphen/>
        <w:t>ного института в Пеенемюнде (остров Узедом)», в котором предписывал Наркомату боеприпасов, Главному трофейному управлению и начальнику инженерных войск Красной Армии вывезти в СССР образцы узлов реактив</w:t>
      </w:r>
      <w:r w:rsidRPr="00F90EAE">
        <w:rPr>
          <w:color w:val="000000" w:themeColor="text1"/>
          <w:sz w:val="16"/>
          <w:szCs w:val="16"/>
        </w:rPr>
        <w:softHyphen/>
        <w:t>ных снарядов, турбины для Фау-2, радиоаппаратуру управления, стартовые установки, испытательные стенды, монтажно-строительные конструкции, трубопроводы и кабельное хозяйство института. При этом основные работы по демонтажу и отгрузке оборудования было предложено завершить до 15 июля 1945 г. Демонтажными работами в Пеенемюнде руководил пред</w:t>
      </w:r>
      <w:r w:rsidRPr="00F90EAE">
        <w:rPr>
          <w:color w:val="000000" w:themeColor="text1"/>
          <w:sz w:val="16"/>
          <w:szCs w:val="16"/>
        </w:rPr>
        <w:softHyphen/>
        <w:t>ставитель УВГМЧ ГАУ генерал-майор А.И. Соколов. Фактически демон</w:t>
      </w:r>
      <w:r w:rsidRPr="00F90EAE">
        <w:rPr>
          <w:color w:val="000000" w:themeColor="text1"/>
          <w:sz w:val="16"/>
          <w:szCs w:val="16"/>
        </w:rPr>
        <w:softHyphen/>
        <w:t>тировался целый город вместе с объектами инфраструктуры.</w:t>
      </w:r>
    </w:p>
    <w:p w14:paraId="0EA61965"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этот же день, 31 мая 1945 г., ГКО СССР принял еще одно постановле</w:t>
      </w:r>
      <w:r w:rsidRPr="00F90EAE">
        <w:rPr>
          <w:color w:val="000000" w:themeColor="text1"/>
          <w:sz w:val="16"/>
          <w:szCs w:val="16"/>
        </w:rPr>
        <w:softHyphen/>
        <w:t>ние № 8897сс по ракетной проблематике «О проведении работы по выявле</w:t>
      </w:r>
      <w:r w:rsidRPr="00F90EAE">
        <w:rPr>
          <w:color w:val="000000" w:themeColor="text1"/>
          <w:sz w:val="16"/>
          <w:szCs w:val="16"/>
        </w:rPr>
        <w:softHyphen/>
        <w:t>нию и вывозу заводского и лабораторного оборудования, чертежей и опыт</w:t>
      </w:r>
      <w:r w:rsidRPr="00F90EAE">
        <w:rPr>
          <w:color w:val="000000" w:themeColor="text1"/>
          <w:sz w:val="16"/>
          <w:szCs w:val="16"/>
        </w:rPr>
        <w:softHyphen/>
        <w:t xml:space="preserve">ных образцов немецких реактивных снарядов», которым предписывалось демонтировать все </w:t>
      </w:r>
      <w:r w:rsidRPr="00F90EAE">
        <w:rPr>
          <w:color w:val="000000" w:themeColor="text1"/>
          <w:sz w:val="16"/>
          <w:szCs w:val="16"/>
        </w:rPr>
        <w:lastRenderedPageBreak/>
        <w:t>оборудование опытного ракетного завода фирмы «Рейн-металл-Борзиг» в Берлин-Мариенфельде и направить его в Москву в распо</w:t>
      </w:r>
      <w:r w:rsidRPr="00F90EAE">
        <w:rPr>
          <w:color w:val="000000" w:themeColor="text1"/>
          <w:sz w:val="16"/>
          <w:szCs w:val="16"/>
        </w:rPr>
        <w:softHyphen/>
        <w:t>ряжение Центрального конструкторского бюро № 1 Наркомата боеприпа</w:t>
      </w:r>
      <w:r w:rsidRPr="00F90EAE">
        <w:rPr>
          <w:color w:val="000000" w:themeColor="text1"/>
          <w:sz w:val="16"/>
          <w:szCs w:val="16"/>
        </w:rPr>
        <w:softHyphen/>
        <w:t>сов для создания опытного завода по производству ракетных снарядов. О значении, которое советское руководство придавало выполнению данной задачи, свидетельствовал 5-й пункт постановления, который требовал выво</w:t>
      </w:r>
      <w:r w:rsidRPr="00F90EAE">
        <w:rPr>
          <w:color w:val="000000" w:themeColor="text1"/>
          <w:sz w:val="16"/>
          <w:szCs w:val="16"/>
        </w:rPr>
        <w:softHyphen/>
        <w:t>зить чертежи и образцы реактивных снарядов, а также наиболее ценное ла</w:t>
      </w:r>
      <w:r w:rsidRPr="00F90EAE">
        <w:rPr>
          <w:color w:val="000000" w:themeColor="text1"/>
          <w:sz w:val="16"/>
          <w:szCs w:val="16"/>
        </w:rPr>
        <w:softHyphen/>
        <w:t>бораторное оборудование самолетами ГВФ СССР (11419).</w:t>
      </w:r>
    </w:p>
    <w:p w14:paraId="1528F31D" w14:textId="77777777" w:rsidR="008D1FAE" w:rsidRPr="00F90EAE" w:rsidRDefault="008D1FAE" w:rsidP="00F90EAE">
      <w:pPr>
        <w:shd w:val="clear" w:color="auto" w:fill="FFFFFF"/>
        <w:autoSpaceDE w:val="0"/>
        <w:autoSpaceDN w:val="0"/>
        <w:adjustRightInd w:val="0"/>
        <w:jc w:val="both"/>
        <w:rPr>
          <w:color w:val="000000" w:themeColor="text1"/>
          <w:sz w:val="16"/>
          <w:szCs w:val="16"/>
        </w:rPr>
      </w:pPr>
    </w:p>
    <w:p w14:paraId="5F035495" w14:textId="77777777" w:rsidR="008D1FAE" w:rsidRPr="00F90EAE" w:rsidRDefault="008D1FAE" w:rsidP="00F90EAE">
      <w:pPr>
        <w:jc w:val="both"/>
        <w:rPr>
          <w:color w:val="000000" w:themeColor="text1"/>
          <w:sz w:val="16"/>
          <w:szCs w:val="16"/>
        </w:rPr>
      </w:pPr>
      <w:r w:rsidRPr="00F90EAE">
        <w:rPr>
          <w:color w:val="000000" w:themeColor="text1"/>
          <w:sz w:val="16"/>
          <w:szCs w:val="16"/>
        </w:rPr>
        <w:t>31 мая 1945 г. ГКО, придавая исключительное значение развитию реактивной техники в СССР и изучению трофейной техники, принял Постановление «О проведении работы по выявлению и вывозу заводского и лабораторного оборудования, чертежей и опытных образцов немецких реактивных снарядов». В частности, этим постановлением наркому боеприпасов Б.Л. Ванникову предписывалось срочно вывезти на завод №67 (в ГЦКБ-1) все оборудование с опытного завода по твердотопливным реактивным снарядам Rheinbote фирмы Rheinmetall-Borsig для создания аналогичного производства в Москве. Уже в июле 1945 г. Б.Л. Ванников доложил Г.М. Маленкову, что «с получением чертежей и документации по реактивному снаряду «Курьер Рейна» ГЦКБ №1 НКБ на базе М-13-ДД и «Курьера Рейна» разработан проект реактивного четырехкамерного снаряда на пороховых зарядах М-13 с дальностью до 50 км».</w:t>
      </w:r>
    </w:p>
    <w:p w14:paraId="1DD0C90C" w14:textId="77777777" w:rsidR="008D1FAE" w:rsidRPr="00F90EAE" w:rsidRDefault="008D1FAE" w:rsidP="00F90EAE">
      <w:pPr>
        <w:jc w:val="both"/>
        <w:rPr>
          <w:color w:val="000000" w:themeColor="text1"/>
          <w:sz w:val="16"/>
          <w:szCs w:val="16"/>
        </w:rPr>
      </w:pPr>
      <w:r w:rsidRPr="00F90EAE">
        <w:rPr>
          <w:color w:val="000000" w:themeColor="text1"/>
          <w:sz w:val="16"/>
          <w:szCs w:val="16"/>
        </w:rPr>
        <w:t>Однако вскоре ГЦКБ-1 пришлось пережить организационные перемены. Бюро переехало на территорию завода №568 Наркомата боеприпасов на улице Верхней, недалеко от Белорусского вокзала столицы. Главным инженером ГЦКБ-1 был назначен бывший главный инженер завода №568 А.Н. Вознесенский. В ГЦКБ-1 была переведена группа сотрудников филиала №2 НИИ-1 НКАП, в которую входили А.В. Андрианов, Н.П. Горбачев, В.В. Горбунов, Р.А. Острецова, И.В. Ярополов, а из ГСКБ-47 — Н.И. Александров, Г.П. Герасимов, Н.А. Жуков, С.П. Стрелков и другие. С Новосибирского комбината № 179 в КБ прибыли Н.П. Мазуров и А.А. Голицын, с завода №30 НКАП — И.С.Сергеев (12205).</w:t>
      </w:r>
    </w:p>
    <w:p w14:paraId="6DBDA0EE" w14:textId="77777777" w:rsidR="008D1FAE" w:rsidRPr="00F90EAE" w:rsidRDefault="008D1FAE" w:rsidP="00F90EAE">
      <w:pPr>
        <w:jc w:val="both"/>
        <w:rPr>
          <w:color w:val="000000" w:themeColor="text1"/>
          <w:sz w:val="16"/>
          <w:szCs w:val="16"/>
        </w:rPr>
      </w:pPr>
    </w:p>
    <w:p w14:paraId="1ED3C6EB"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вышло Постановление Государственного Комитета Обороны СССР № 8897 ее о проведении работы по выявлению и вывозу заводского и лабораторного оборудования, чертежей и опытных образцов немецких реактивных снарядов</w:t>
      </w:r>
    </w:p>
    <w:p w14:paraId="3D82F3F9"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Совершенно секретно</w:t>
      </w:r>
    </w:p>
    <w:p w14:paraId="63D65FB0"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3221C0AD"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постановляет:</w:t>
      </w:r>
    </w:p>
    <w:p w14:paraId="53E9693D"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Обязать Наркомбоеприпасов (т. Ванникова) вывезти на завод № 67 и Центральное конструкторское бюро № 1 НКБ в г. Москву для создания опытного завода по реактивным снарядам все оборудование с опытного за</w:t>
      </w:r>
      <w:r w:rsidRPr="00F90EAE">
        <w:rPr>
          <w:color w:val="000000" w:themeColor="text1"/>
          <w:sz w:val="16"/>
          <w:szCs w:val="16"/>
        </w:rPr>
        <w:softHyphen/>
        <w:t>вода фирмы «Рейнметалл-Борзиг» в г. Берлине (Мариенфелъде).</w:t>
      </w:r>
    </w:p>
    <w:p w14:paraId="3C77326F"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Утвердить ответственным руководителем по демонтажу и вывозу об</w:t>
      </w:r>
      <w:r w:rsidRPr="00F90EAE">
        <w:rPr>
          <w:color w:val="000000" w:themeColor="text1"/>
          <w:sz w:val="16"/>
          <w:szCs w:val="16"/>
        </w:rPr>
        <w:softHyphen/>
        <w:t>орудования с завода «Рейнметалл-Борзиг» начальника Технического отде</w:t>
      </w:r>
      <w:r w:rsidRPr="00F90EAE">
        <w:rPr>
          <w:color w:val="000000" w:themeColor="text1"/>
          <w:sz w:val="16"/>
          <w:szCs w:val="16"/>
        </w:rPr>
        <w:softHyphen/>
        <w:t>ла Наркомбоеприпасов т. Клавсуть М.С.</w:t>
      </w:r>
    </w:p>
    <w:p w14:paraId="43D6AE08"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Тов. Ванникову командировать в распоряжение т. Клавсуть 10 инженер</w:t>
      </w:r>
      <w:r w:rsidRPr="00F90EAE">
        <w:rPr>
          <w:color w:val="000000" w:themeColor="text1"/>
          <w:sz w:val="16"/>
          <w:szCs w:val="16"/>
        </w:rPr>
        <w:softHyphen/>
        <w:t>но-технических работников.</w:t>
      </w:r>
    </w:p>
    <w:p w14:paraId="1DDF3D5A"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Обязать Главное трофейное управление Красной Армии (т. Вахитова) приступить к демонтажу оборудования, указанного в пункте 2 настоящего постановления не позднее 10 июня 1945 г. и закончить отгрузку его к 25 июня 1945 г., выделив для этой цели необходимое количество рабочей силы и транспорта.</w:t>
      </w:r>
    </w:p>
    <w:p w14:paraId="1841745F"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Придавая исключительное значение развитию реактивной техники в СССР, обязать уполномоченных Особого комитета при ГОКО тт. Сабурова, Зернова, Гамова, Кучумова организовать на месте специальную работу по выявлению лабораторного и валового оборудования, а также образцов и чер</w:t>
      </w:r>
      <w:r w:rsidRPr="00F90EAE">
        <w:rPr>
          <w:color w:val="000000" w:themeColor="text1"/>
          <w:sz w:val="16"/>
          <w:szCs w:val="16"/>
        </w:rPr>
        <w:softHyphen/>
        <w:t>тежей реактивных снарядов и немедленно вносить предложения в Особый комитет при ГОКО о передаче их Наркомбоеприпасов.</w:t>
      </w:r>
    </w:p>
    <w:p w14:paraId="221A2FB7"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Обязать ГУГФ (т. Астахова) вывозить чертежи и образцы реактивных снарядов, а также наиболее ценное лабораторное оборудование самолетами по заявкам Наркомбоеприпасов.</w:t>
      </w:r>
    </w:p>
    <w:p w14:paraId="61A532BB"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 И. Сталин</w:t>
      </w:r>
    </w:p>
    <w:p w14:paraId="19981311" w14:textId="77777777" w:rsidR="008D1FAE" w:rsidRPr="00F90EAE" w:rsidRDefault="008D1FAE"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Послано: тт. Маленкову, Молотову, Берия (ГОКО), Вознесенскому, Булганину, Хрулеву, Вахитову, Ванникову, Жукову (ЦК), Андрееву (ЦК), Ковалеву (НКПС), Дмитриеву (ЦУПВОСО), Никитину (Госплан СССР), Чадаеву, Голубеву, Жукову, Сабурову, Зернову, Астахову, Борисову — все; тт. Гамову, Кучумову — 4, 5.</w:t>
      </w:r>
    </w:p>
    <w:p w14:paraId="7A203290" w14:textId="77777777" w:rsidR="008D1FAE" w:rsidRPr="00F90EAE" w:rsidRDefault="008D1FAE" w:rsidP="00F90EAE">
      <w:pPr>
        <w:autoSpaceDE w:val="0"/>
        <w:autoSpaceDN w:val="0"/>
        <w:adjustRightInd w:val="0"/>
        <w:jc w:val="both"/>
        <w:rPr>
          <w:color w:val="000000" w:themeColor="text1"/>
          <w:sz w:val="16"/>
          <w:szCs w:val="16"/>
        </w:rPr>
      </w:pPr>
      <w:r w:rsidRPr="00F90EAE">
        <w:rPr>
          <w:color w:val="000000" w:themeColor="text1"/>
          <w:sz w:val="16"/>
          <w:szCs w:val="16"/>
        </w:rPr>
        <w:t>РГАСПИ. Ф. 644. Оп. 1. Д. 421. Л. 169-170. Заверенная копия (11419).</w:t>
      </w:r>
    </w:p>
    <w:p w14:paraId="4040B1C7" w14:textId="77777777" w:rsidR="008D1FAE" w:rsidRPr="00F90EAE" w:rsidRDefault="008D1FAE" w:rsidP="00F90EAE">
      <w:pPr>
        <w:autoSpaceDE w:val="0"/>
        <w:autoSpaceDN w:val="0"/>
        <w:adjustRightInd w:val="0"/>
        <w:jc w:val="both"/>
        <w:rPr>
          <w:color w:val="000000" w:themeColor="text1"/>
          <w:sz w:val="16"/>
          <w:szCs w:val="16"/>
        </w:rPr>
      </w:pPr>
    </w:p>
    <w:p w14:paraId="0CF0F5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 РГАНИР, Фонд ГКО, д. 421, лл. 25-26 (11012).</w:t>
      </w:r>
    </w:p>
    <w:p w14:paraId="130E24FA" w14:textId="77777777" w:rsidR="00665165" w:rsidRPr="00F90EAE" w:rsidRDefault="00665165" w:rsidP="00F90EAE">
      <w:pPr>
        <w:autoSpaceDE w:val="0"/>
        <w:autoSpaceDN w:val="0"/>
        <w:adjustRightInd w:val="0"/>
        <w:jc w:val="both"/>
        <w:rPr>
          <w:color w:val="000000" w:themeColor="text1"/>
          <w:sz w:val="16"/>
          <w:szCs w:val="16"/>
        </w:rPr>
      </w:pPr>
    </w:p>
    <w:p w14:paraId="20AD3B9A" w14:textId="77777777" w:rsidR="008D1FAE" w:rsidRPr="00F90EAE" w:rsidRDefault="008D1FAE" w:rsidP="00F90EAE">
      <w:pPr>
        <w:jc w:val="both"/>
        <w:rPr>
          <w:color w:val="000000" w:themeColor="text1"/>
          <w:sz w:val="16"/>
          <w:szCs w:val="16"/>
        </w:rPr>
      </w:pPr>
      <w:r w:rsidRPr="00F90EAE">
        <w:rPr>
          <w:color w:val="000000" w:themeColor="text1"/>
          <w:sz w:val="16"/>
          <w:szCs w:val="16"/>
        </w:rPr>
        <w:t>31 мая 1945 вышло Постановление ГКО № 8823 О вывозе оборудования, материалов и образцов узлов реактивных снарядов с германского реактивного научно-исследовательского института в г. Пеннемюнде (остров Узедом)</w:t>
      </w:r>
    </w:p>
    <w:p w14:paraId="30D43FF0" w14:textId="77777777" w:rsidR="008D1FAE" w:rsidRPr="00F90EAE" w:rsidRDefault="008D1FAE"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Государственный Комитет Обороны постановляет:</w:t>
      </w:r>
    </w:p>
    <w:p w14:paraId="59A5AE7B" w14:textId="77777777" w:rsidR="008D1FAE" w:rsidRPr="00F90EAE" w:rsidRDefault="008D1FAE"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1. Обязать Наркомбоеприпасов ,(т,Ванникову) вывезти с германского реактивного научно-исследовательского института в г.Пеннемюнде:</w:t>
      </w:r>
    </w:p>
    <w:p w14:paraId="44238BC9" w14:textId="77777777" w:rsidR="008D1FAE" w:rsidRPr="00F90EAE" w:rsidRDefault="008D1FAE" w:rsidP="00F90EAE">
      <w:pPr>
        <w:pStyle w:val="27"/>
        <w:shd w:val="clear" w:color="auto" w:fill="auto"/>
        <w:tabs>
          <w:tab w:val="left" w:pos="1535"/>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а) в центральное конструкторское бюро № 1 Нарком- боеприпасов в г.Москву образцы узлов реактивных снаря</w:t>
      </w:r>
      <w:r w:rsidRPr="00F90EAE">
        <w:rPr>
          <w:rFonts w:ascii="Times New Roman" w:cs="Times New Roman"/>
          <w:color w:val="000000" w:themeColor="text1"/>
          <w:spacing w:val="0"/>
        </w:rPr>
        <w:softHyphen/>
        <w:t>дов, в том числе: 150 турбин для ФАУ-2, радиоаппарату</w:t>
      </w:r>
      <w:r w:rsidRPr="00F90EAE">
        <w:rPr>
          <w:rFonts w:ascii="Times New Roman" w:cs="Times New Roman"/>
          <w:color w:val="000000" w:themeColor="text1"/>
          <w:spacing w:val="0"/>
        </w:rPr>
        <w:softHyphen/>
        <w:t>ру для управления полетом снаряда, 20 комплектов гра</w:t>
      </w:r>
      <w:r w:rsidRPr="00F90EAE">
        <w:rPr>
          <w:rFonts w:ascii="Times New Roman" w:cs="Times New Roman"/>
          <w:color w:val="000000" w:themeColor="text1"/>
          <w:spacing w:val="0"/>
        </w:rPr>
        <w:softHyphen/>
        <w:t>фитовых рулей и другие детали и узлы реактивных сна</w:t>
      </w:r>
      <w:r w:rsidRPr="00F90EAE">
        <w:rPr>
          <w:rFonts w:ascii="Times New Roman" w:cs="Times New Roman"/>
          <w:color w:val="000000" w:themeColor="text1"/>
          <w:spacing w:val="0"/>
        </w:rPr>
        <w:softHyphen/>
        <w:t>рядов;</w:t>
      </w:r>
    </w:p>
    <w:p w14:paraId="22B67577" w14:textId="77777777" w:rsidR="008D1FAE" w:rsidRPr="00F90EAE" w:rsidRDefault="008D1FAE" w:rsidP="00F90EAE">
      <w:pPr>
        <w:pStyle w:val="27"/>
        <w:shd w:val="clear" w:color="auto" w:fill="auto"/>
        <w:tabs>
          <w:tab w:val="left" w:pos="1535"/>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б) все оборудование и монтажно-строительные мате</w:t>
      </w:r>
      <w:r w:rsidRPr="00F90EAE">
        <w:rPr>
          <w:rFonts w:ascii="Times New Roman" w:cs="Times New Roman"/>
          <w:color w:val="000000" w:themeColor="text1"/>
          <w:spacing w:val="0"/>
        </w:rPr>
        <w:softHyphen/>
        <w:t xml:space="preserve">риалы института, в том числе: 25 испытательных стендов, две кислородные станций, 30 кислостойких баков, 30 </w:t>
      </w:r>
    </w:p>
    <w:p w14:paraId="4CC508BB" w14:textId="77777777" w:rsidR="008D1FAE" w:rsidRPr="00F90EAE" w:rsidRDefault="008D1FAE"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баллонов высокого давления, одну дизельную станцию, под"емно-транспортные средства, подземную коммуникацию (трубопроводы и кабельное хозяйство) института, а также монтажно-строительные материалы.</w:t>
      </w:r>
    </w:p>
    <w:p w14:paraId="3DECD81C" w14:textId="77777777" w:rsidR="008D1FAE" w:rsidRPr="00F90EAE" w:rsidRDefault="008D1FAE"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2. Поручить Наркомату боеприпасов (т.Ванникову) представить в ГОКО свои предложения о месте монтажа перевозимых из Германии стартовых установок и испы</w:t>
      </w:r>
      <w:r w:rsidRPr="00F90EAE">
        <w:rPr>
          <w:rFonts w:ascii="Times New Roman" w:cs="Times New Roman"/>
          <w:color w:val="000000" w:themeColor="text1"/>
          <w:spacing w:val="0"/>
        </w:rPr>
        <w:softHyphen/>
        <w:t>тательных станций для реактивных снарядов дальнего действия.</w:t>
      </w:r>
    </w:p>
    <w:p w14:paraId="422B6C69" w14:textId="77777777" w:rsidR="008D1FAE" w:rsidRPr="00F90EAE" w:rsidRDefault="008D1FAE" w:rsidP="00F90EAE">
      <w:pPr>
        <w:jc w:val="both"/>
        <w:rPr>
          <w:color w:val="000000" w:themeColor="text1"/>
          <w:sz w:val="16"/>
          <w:szCs w:val="16"/>
        </w:rPr>
      </w:pPr>
      <w:r w:rsidRPr="00F90EAE">
        <w:rPr>
          <w:color w:val="000000" w:themeColor="text1"/>
          <w:sz w:val="16"/>
          <w:szCs w:val="16"/>
        </w:rPr>
        <w:t>Утвердить отвеотвенным руководителем работ по демонтажу и вывозу оборудования, материалов и образцов уэлов снарядов германского реактивного научно-испытатель</w:t>
      </w:r>
      <w:r w:rsidRPr="00F90EAE">
        <w:rPr>
          <w:color w:val="000000" w:themeColor="text1"/>
          <w:sz w:val="16"/>
          <w:szCs w:val="16"/>
        </w:rPr>
        <w:softHyphen/>
        <w:t>ногоинститутав г.Пеннемюнде главного инженера завода № 9 Наркомбоеприпасов т.Свинчицкого,</w:t>
      </w:r>
    </w:p>
    <w:p w14:paraId="16EAC181" w14:textId="77777777" w:rsidR="008D1FAE" w:rsidRPr="00F90EAE" w:rsidRDefault="008D1FAE" w:rsidP="00F90EAE">
      <w:pPr>
        <w:jc w:val="both"/>
        <w:rPr>
          <w:color w:val="000000" w:themeColor="text1"/>
          <w:sz w:val="16"/>
          <w:szCs w:val="16"/>
        </w:rPr>
      </w:pPr>
      <w:r w:rsidRPr="00F90EAE">
        <w:rPr>
          <w:color w:val="000000" w:themeColor="text1"/>
          <w:sz w:val="16"/>
          <w:szCs w:val="16"/>
        </w:rPr>
        <w:t>Тов.Ванникову командировать в распоряжение т.Свин</w:t>
      </w:r>
      <w:r w:rsidRPr="00F90EAE">
        <w:rPr>
          <w:color w:val="000000" w:themeColor="text1"/>
          <w:sz w:val="16"/>
          <w:szCs w:val="16"/>
        </w:rPr>
        <w:softHyphen/>
        <w:t>чицкого для технического руководства демонтажем и от- грузкой оборудования 15 инженерно-технических работников.</w:t>
      </w:r>
    </w:p>
    <w:p w14:paraId="470E1EAC" w14:textId="77777777" w:rsidR="008D1FAE" w:rsidRPr="00F90EAE" w:rsidRDefault="008D1FAE" w:rsidP="00F90EAE">
      <w:pPr>
        <w:tabs>
          <w:tab w:val="left" w:pos="816"/>
        </w:tabs>
        <w:jc w:val="both"/>
        <w:rPr>
          <w:color w:val="000000" w:themeColor="text1"/>
          <w:sz w:val="16"/>
          <w:szCs w:val="16"/>
        </w:rPr>
      </w:pPr>
      <w:r w:rsidRPr="00F90EAE">
        <w:rPr>
          <w:color w:val="000000" w:themeColor="text1"/>
          <w:sz w:val="16"/>
          <w:szCs w:val="16"/>
        </w:rPr>
        <w:t>3. Обязать Главное трофейное управление Красной Ар</w:t>
      </w:r>
      <w:r w:rsidRPr="00F90EAE">
        <w:rPr>
          <w:color w:val="000000" w:themeColor="text1"/>
          <w:sz w:val="16"/>
          <w:szCs w:val="16"/>
        </w:rPr>
        <w:softHyphen/>
        <w:t>мии (т.Вахитова) приступить к демонтажу оборудования, ука</w:t>
      </w:r>
      <w:r w:rsidRPr="00F90EAE">
        <w:rPr>
          <w:color w:val="000000" w:themeColor="text1"/>
          <w:sz w:val="16"/>
          <w:szCs w:val="16"/>
        </w:rPr>
        <w:softHyphen/>
        <w:t>занного в пункте 1 настоящего постановления, не позднее 10 июня 1945 г. и закончить отгрувку его не позднее 15 июля 1945г., выделив для этой цели необходимое количест</w:t>
      </w:r>
      <w:r w:rsidRPr="00F90EAE">
        <w:rPr>
          <w:color w:val="000000" w:themeColor="text1"/>
          <w:sz w:val="16"/>
          <w:szCs w:val="16"/>
        </w:rPr>
        <w:softHyphen/>
        <w:t>во рабочей силы и транспортных средств.</w:t>
      </w:r>
    </w:p>
    <w:p w14:paraId="03BB77CB" w14:textId="77777777" w:rsidR="008D1FAE" w:rsidRPr="00F90EAE" w:rsidRDefault="008D1FAE" w:rsidP="00F90EAE">
      <w:pPr>
        <w:tabs>
          <w:tab w:val="left" w:pos="835"/>
        </w:tabs>
        <w:jc w:val="both"/>
        <w:rPr>
          <w:color w:val="000000" w:themeColor="text1"/>
          <w:sz w:val="16"/>
          <w:szCs w:val="16"/>
        </w:rPr>
      </w:pPr>
      <w:r w:rsidRPr="00F90EAE">
        <w:rPr>
          <w:color w:val="000000" w:themeColor="text1"/>
          <w:sz w:val="16"/>
          <w:szCs w:val="16"/>
        </w:rPr>
        <w:t>4. Обязать начальника инженерных войск Красной Ар</w:t>
      </w:r>
      <w:r w:rsidRPr="00F90EAE">
        <w:rPr>
          <w:color w:val="000000" w:themeColor="text1"/>
          <w:sz w:val="16"/>
          <w:szCs w:val="16"/>
        </w:rPr>
        <w:softHyphen/>
        <w:t>мии т.Воробьева выделить рабочую силу для производства работ по монтажу оборудования, вывозимого из г,Пеннемюнде на Крымский полигон Наркомбоеприпасов (19520).</w:t>
      </w:r>
    </w:p>
    <w:p w14:paraId="49EF48EA" w14:textId="77777777" w:rsidR="008D1FAE" w:rsidRPr="00F90EAE" w:rsidRDefault="008D1FAE" w:rsidP="00F90EAE">
      <w:pPr>
        <w:autoSpaceDE w:val="0"/>
        <w:autoSpaceDN w:val="0"/>
        <w:adjustRightInd w:val="0"/>
        <w:jc w:val="both"/>
        <w:rPr>
          <w:color w:val="000000" w:themeColor="text1"/>
          <w:sz w:val="16"/>
          <w:szCs w:val="16"/>
        </w:rPr>
      </w:pPr>
    </w:p>
    <w:p w14:paraId="7BCD0C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было принято постановление ГКО СССР № 8823сс о вывозе оборудования, материалов и образцов узлов реактивных снарядов из германского реактивного НИИ в Пенемюнде (остров Узедом). В частности Наркомату боеприпасов СССР была поставлена задача “вывезти из геманского реактивного научно-испытательного института в Пенемюнде: а) в Центральное конструкторское бю</w:t>
      </w:r>
      <w:r w:rsidRPr="00F90EAE">
        <w:rPr>
          <w:color w:val="000000" w:themeColor="text1"/>
          <w:sz w:val="16"/>
          <w:szCs w:val="16"/>
        </w:rPr>
        <w:softHyphen/>
        <w:t>ро № 1 Наркомбосприпасов в г. Москву образцы узлов реактивных снарядов, в т. ч. 150 тур</w:t>
      </w:r>
      <w:r w:rsidRPr="00F90EAE">
        <w:rPr>
          <w:color w:val="000000" w:themeColor="text1"/>
          <w:sz w:val="16"/>
          <w:szCs w:val="16"/>
        </w:rPr>
        <w:softHyphen/>
        <w:t>бин для Фау-2, радиоаппаратуру для управления полетом снаряда, 20 комплектов графито</w:t>
      </w:r>
      <w:r w:rsidRPr="00F90EAE">
        <w:rPr>
          <w:color w:val="000000" w:themeColor="text1"/>
          <w:sz w:val="16"/>
          <w:szCs w:val="16"/>
        </w:rPr>
        <w:softHyphen/>
        <w:t>вых рулей и другие детали и узлы реактивных снарядов; б) все оборудование и монтажно-строительные материалы института, в том числе 25 испытательных стендов, две кислородные станции. 30 кислостойких баков, 30 баллонов высокого давления, одну дизель</w:t>
      </w:r>
      <w:r w:rsidRPr="00F90EAE">
        <w:rPr>
          <w:color w:val="000000" w:themeColor="text1"/>
          <w:sz w:val="16"/>
          <w:szCs w:val="16"/>
        </w:rPr>
        <w:softHyphen/>
        <w:t>ную станцию, подъемно-транспортные средства, подземную коммуникацию (трубопроводы и кабельное хозяйство) института, а также монтажно-строительные материалы». См.: РГАСПИ. Ф. 644. Оп. 1. Д. 421. Лл. 25-26. (11751).</w:t>
      </w:r>
    </w:p>
    <w:p w14:paraId="045BEB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5752806" w14:textId="77777777" w:rsidR="006C40C5" w:rsidRPr="00F90EAE" w:rsidRDefault="006C40C5" w:rsidP="00F90EAE">
      <w:pPr>
        <w:jc w:val="both"/>
        <w:rPr>
          <w:color w:val="000000" w:themeColor="text1"/>
          <w:sz w:val="16"/>
          <w:szCs w:val="16"/>
        </w:rPr>
      </w:pPr>
      <w:r w:rsidRPr="00F90EAE">
        <w:rPr>
          <w:color w:val="000000" w:themeColor="text1"/>
          <w:sz w:val="16"/>
          <w:szCs w:val="16"/>
        </w:rPr>
        <w:t xml:space="preserve">31 мая 1945 г. вышло сразу два совершенно секретных постановления Государственного комитета обороны (ГОКО): – о проведении работы по выявлению и вывозу заводского и лабораторного оборудования, чертежей и опытных образцов немецких реактивных снарядов (№ 8897); – о вывозе оборудования, материалов и образцов узлов реактивных снарядов из германского Реактивного научно-исследовательского института в Пенемюнде (№ 8823). 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w:t>
      </w:r>
      <w:r w:rsidRPr="00F90EAE">
        <w:rPr>
          <w:color w:val="000000" w:themeColor="text1"/>
          <w:sz w:val="16"/>
          <w:szCs w:val="16"/>
        </w:rPr>
        <w:lastRenderedPageBreak/>
        <w:t>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0A8D4FBD" w14:textId="77777777" w:rsidR="006C40C5" w:rsidRPr="00F90EAE" w:rsidRDefault="006C40C5" w:rsidP="00F90EAE">
      <w:pPr>
        <w:jc w:val="both"/>
        <w:rPr>
          <w:color w:val="000000" w:themeColor="text1"/>
          <w:sz w:val="16"/>
          <w:szCs w:val="16"/>
        </w:rPr>
      </w:pPr>
    </w:p>
    <w:p w14:paraId="6A38C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8824 О вывозе оборудования с предприятий электротехнической промышленности в г. г. Берлин и Дрезден. РГАНИР, Фонд ГКО, д. 421, лл. 27-30 (11012).</w:t>
      </w:r>
    </w:p>
    <w:p w14:paraId="1FFD648A" w14:textId="77777777" w:rsidR="00665165" w:rsidRPr="00F90EAE" w:rsidRDefault="00665165" w:rsidP="00F90EAE">
      <w:pPr>
        <w:autoSpaceDE w:val="0"/>
        <w:autoSpaceDN w:val="0"/>
        <w:adjustRightInd w:val="0"/>
        <w:jc w:val="both"/>
        <w:rPr>
          <w:color w:val="000000" w:themeColor="text1"/>
          <w:sz w:val="16"/>
          <w:szCs w:val="16"/>
        </w:rPr>
      </w:pPr>
    </w:p>
    <w:p w14:paraId="5706D0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8825 О вывозе на особые базы металлорежущих станков и другого оборудования. РГАНИР, Фонд ГКО, д. 421, лл. 31-33 (11012).</w:t>
      </w:r>
    </w:p>
    <w:p w14:paraId="3B7CC4C9" w14:textId="77777777" w:rsidR="00665165" w:rsidRPr="00F90EAE" w:rsidRDefault="00665165" w:rsidP="00F90EAE">
      <w:pPr>
        <w:autoSpaceDE w:val="0"/>
        <w:autoSpaceDN w:val="0"/>
        <w:adjustRightInd w:val="0"/>
        <w:jc w:val="both"/>
        <w:rPr>
          <w:color w:val="000000" w:themeColor="text1"/>
          <w:sz w:val="16"/>
          <w:szCs w:val="16"/>
        </w:rPr>
      </w:pPr>
    </w:p>
    <w:p w14:paraId="3C9638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8826 О вывозе оборудования заводов г. Берлин на заводы Наркомтяжмаша. РГАНИР, Фонд ГКО, д. 421, лл. 34-35 (11012).</w:t>
      </w:r>
    </w:p>
    <w:p w14:paraId="6A1570A4" w14:textId="77777777" w:rsidR="00665165" w:rsidRPr="00F90EAE" w:rsidRDefault="00665165" w:rsidP="00F90EAE">
      <w:pPr>
        <w:autoSpaceDE w:val="0"/>
        <w:autoSpaceDN w:val="0"/>
        <w:adjustRightInd w:val="0"/>
        <w:jc w:val="both"/>
        <w:rPr>
          <w:color w:val="000000" w:themeColor="text1"/>
          <w:sz w:val="16"/>
          <w:szCs w:val="16"/>
        </w:rPr>
      </w:pPr>
    </w:p>
    <w:p w14:paraId="538F33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8827 возврате на Николаевскую ТЭЦ вывезенного немцами турбогенератора мощностью 25 тысяч киловатт, а также вывозе 4 турбогенераторов общей мощностью 59 тысяч киловатт и неустановленного энергетического оборудования с немецких электростанций. РГАНИР, Фонд ГКО, д. 421, лл. (11012).</w:t>
      </w:r>
    </w:p>
    <w:p w14:paraId="37C6BCBF" w14:textId="77777777" w:rsidR="00665165" w:rsidRPr="00F90EAE" w:rsidRDefault="00665165" w:rsidP="00F90EAE">
      <w:pPr>
        <w:autoSpaceDE w:val="0"/>
        <w:autoSpaceDN w:val="0"/>
        <w:adjustRightInd w:val="0"/>
        <w:jc w:val="both"/>
        <w:rPr>
          <w:color w:val="000000" w:themeColor="text1"/>
          <w:sz w:val="16"/>
          <w:szCs w:val="16"/>
        </w:rPr>
      </w:pPr>
    </w:p>
    <w:p w14:paraId="5E43BC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8828 О вывозе оборудования предприятий г. Берлина на заводы Наркомтяжмаша. РГАНИР, Фонд ГКО, д. 421, лл. 39-40 (11012).</w:t>
      </w:r>
    </w:p>
    <w:p w14:paraId="67936385" w14:textId="77777777" w:rsidR="00665165" w:rsidRPr="00F90EAE" w:rsidRDefault="00665165" w:rsidP="00F90EAE">
      <w:pPr>
        <w:autoSpaceDE w:val="0"/>
        <w:autoSpaceDN w:val="0"/>
        <w:adjustRightInd w:val="0"/>
        <w:jc w:val="both"/>
        <w:rPr>
          <w:color w:val="000000" w:themeColor="text1"/>
          <w:sz w:val="16"/>
          <w:szCs w:val="16"/>
        </w:rPr>
      </w:pPr>
    </w:p>
    <w:p w14:paraId="1C5DC2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8829 О вывозе оборудования паровозостроительного завода фирмы "Берлинер Машиненбау" ("Шварцкопф") в г. Берлин, район Бог-Вильдау. РГАНИР, Фонд ГКО, д. 421, лл. 41-42 (11012).</w:t>
      </w:r>
    </w:p>
    <w:p w14:paraId="54052CFF" w14:textId="77777777" w:rsidR="00665165" w:rsidRPr="00F90EAE" w:rsidRDefault="00665165" w:rsidP="00F90EAE">
      <w:pPr>
        <w:autoSpaceDE w:val="0"/>
        <w:autoSpaceDN w:val="0"/>
        <w:adjustRightInd w:val="0"/>
        <w:jc w:val="both"/>
        <w:rPr>
          <w:color w:val="000000" w:themeColor="text1"/>
          <w:sz w:val="16"/>
          <w:szCs w:val="16"/>
        </w:rPr>
      </w:pPr>
    </w:p>
    <w:p w14:paraId="659C06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8830 О вывозе оборудования с металлургического завода Фридриха Флика в г. Бранденбург (Германия), с завода фирмы "Вентиляторцег" в гор. Вельтен (Германия) и со складов 1-го Белорусского фронта на Макеевский, Ново- Липецкий и Криворожский металлургические заводы Наркомчермета. РГАНИР, Фонд ГКО, д. 421, лл. 43-44 (11012).</w:t>
      </w:r>
    </w:p>
    <w:p w14:paraId="2DA0411E" w14:textId="77777777" w:rsidR="00665165" w:rsidRPr="00F90EAE" w:rsidRDefault="00665165" w:rsidP="00F90EAE">
      <w:pPr>
        <w:autoSpaceDE w:val="0"/>
        <w:autoSpaceDN w:val="0"/>
        <w:adjustRightInd w:val="0"/>
        <w:jc w:val="both"/>
        <w:rPr>
          <w:color w:val="000000" w:themeColor="text1"/>
          <w:sz w:val="16"/>
          <w:szCs w:val="16"/>
        </w:rPr>
      </w:pPr>
    </w:p>
    <w:p w14:paraId="77EED8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8831 О частичном изменении постановления Государственного Комитета Обороны от 26 апреля 1945 года № 8286сс. РГАНИР, Фонд ГКО, д. 421, лл. 45-46 (11012).</w:t>
      </w:r>
    </w:p>
    <w:p w14:paraId="20E3D88C" w14:textId="77777777" w:rsidR="00665165" w:rsidRPr="00F90EAE" w:rsidRDefault="00665165" w:rsidP="00F90EAE">
      <w:pPr>
        <w:autoSpaceDE w:val="0"/>
        <w:autoSpaceDN w:val="0"/>
        <w:adjustRightInd w:val="0"/>
        <w:jc w:val="both"/>
        <w:rPr>
          <w:color w:val="000000" w:themeColor="text1"/>
          <w:sz w:val="16"/>
          <w:szCs w:val="16"/>
        </w:rPr>
      </w:pPr>
    </w:p>
    <w:p w14:paraId="5FF73A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8832 О вывозе оборудования с берлинских предприятий "Аргусаппаратенбау" и "Пауль- андахт" на предприятия треста "Никополь-Марганец" и на Славянский механический завод Наркомчермета. РГАНИР, Фонд ГКО, д. 421, лл. 47-48 (11012).</w:t>
      </w:r>
    </w:p>
    <w:p w14:paraId="2A945FBD" w14:textId="77777777" w:rsidR="00665165" w:rsidRPr="00F90EAE" w:rsidRDefault="00665165" w:rsidP="00F90EAE">
      <w:pPr>
        <w:autoSpaceDE w:val="0"/>
        <w:autoSpaceDN w:val="0"/>
        <w:adjustRightInd w:val="0"/>
        <w:jc w:val="both"/>
        <w:rPr>
          <w:color w:val="000000" w:themeColor="text1"/>
          <w:sz w:val="16"/>
          <w:szCs w:val="16"/>
        </w:rPr>
      </w:pPr>
    </w:p>
    <w:p w14:paraId="1929A6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8833 О вывозе оборудования с чугунолитейного завода фирмы "Карл Шанинг" в г. Берлин на Уфалейский литейно-механический завод Наркомчермета Челябинской обл. РГАНИР, Фонд ГКО, д. 421, лл. 49-50 (11012).</w:t>
      </w:r>
    </w:p>
    <w:p w14:paraId="6DEB626E" w14:textId="77777777" w:rsidR="00665165" w:rsidRPr="00F90EAE" w:rsidRDefault="00665165" w:rsidP="00F90EAE">
      <w:pPr>
        <w:autoSpaceDE w:val="0"/>
        <w:autoSpaceDN w:val="0"/>
        <w:adjustRightInd w:val="0"/>
        <w:jc w:val="both"/>
        <w:rPr>
          <w:color w:val="000000" w:themeColor="text1"/>
          <w:sz w:val="16"/>
          <w:szCs w:val="16"/>
        </w:rPr>
      </w:pPr>
    </w:p>
    <w:p w14:paraId="7A2C09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8834 О вывозе оборудования с канатной фабрики в г. Либенвальде (севернее Берлина) на Магнитогорский калибровочный завод Наркомчермета. РГАНИР, Фонд ГКО, д. 421, лл. 51 (11012).</w:t>
      </w:r>
    </w:p>
    <w:p w14:paraId="066CB141" w14:textId="77777777" w:rsidR="00665165" w:rsidRPr="00F90EAE" w:rsidRDefault="00665165" w:rsidP="00F90EAE">
      <w:pPr>
        <w:autoSpaceDE w:val="0"/>
        <w:autoSpaceDN w:val="0"/>
        <w:adjustRightInd w:val="0"/>
        <w:jc w:val="both"/>
        <w:rPr>
          <w:color w:val="000000" w:themeColor="text1"/>
          <w:sz w:val="16"/>
          <w:szCs w:val="16"/>
        </w:rPr>
      </w:pPr>
    </w:p>
    <w:p w14:paraId="12D8B0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8835 О вывозе оборудования с берлинских предприятий: машиностроительных заводов "Флек-Зоне" и "Рейзер", фабрики "Бондо Хорн", мастерских "Автоунион Гюнтер", "Шрот", "Капински Борсерт" и со складов 16-й Воздушной армии в г. г. Вернейхен, Реппен, Сверженец, Беркенвердер и Бонцдорфна Макеевский металлургический завод Наркомчермета. РГАНИР, Фонд ГКО, д. 421, лл. 52-53 (11012).</w:t>
      </w:r>
    </w:p>
    <w:p w14:paraId="1DFBE14F" w14:textId="77777777" w:rsidR="00665165" w:rsidRPr="00F90EAE" w:rsidRDefault="00665165" w:rsidP="00F90EAE">
      <w:pPr>
        <w:autoSpaceDE w:val="0"/>
        <w:autoSpaceDN w:val="0"/>
        <w:adjustRightInd w:val="0"/>
        <w:jc w:val="both"/>
        <w:rPr>
          <w:color w:val="000000" w:themeColor="text1"/>
          <w:sz w:val="16"/>
          <w:szCs w:val="16"/>
        </w:rPr>
      </w:pPr>
    </w:p>
    <w:p w14:paraId="62FF5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8836 Об укомплектовании металлообрабатывающими станками предприятий Наркомнефти, Наркомчермета и Главкислорода при СНК СССР. РГАНИР, Фонд ГКО, д. 421, лл. 54 (11012).</w:t>
      </w:r>
    </w:p>
    <w:p w14:paraId="7837858C" w14:textId="77777777" w:rsidR="00665165" w:rsidRPr="00F90EAE" w:rsidRDefault="00665165" w:rsidP="00F90EAE">
      <w:pPr>
        <w:autoSpaceDE w:val="0"/>
        <w:autoSpaceDN w:val="0"/>
        <w:adjustRightInd w:val="0"/>
        <w:jc w:val="both"/>
        <w:rPr>
          <w:color w:val="000000" w:themeColor="text1"/>
          <w:sz w:val="16"/>
          <w:szCs w:val="16"/>
        </w:rPr>
      </w:pPr>
    </w:p>
    <w:p w14:paraId="050B5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8837 О вывозе оборудования с немецких заводов в г. Берлин на предприятия Наркомугля. РГАНИР, Фонд ГКО, д. 421, лл. 55-56 (11012).</w:t>
      </w:r>
    </w:p>
    <w:p w14:paraId="1E57C937" w14:textId="77777777" w:rsidR="00665165" w:rsidRPr="00F90EAE" w:rsidRDefault="00665165" w:rsidP="00F90EAE">
      <w:pPr>
        <w:autoSpaceDE w:val="0"/>
        <w:autoSpaceDN w:val="0"/>
        <w:adjustRightInd w:val="0"/>
        <w:jc w:val="both"/>
        <w:rPr>
          <w:color w:val="000000" w:themeColor="text1"/>
          <w:sz w:val="16"/>
          <w:szCs w:val="16"/>
        </w:rPr>
      </w:pPr>
    </w:p>
    <w:p w14:paraId="28CF0C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8838 О вывозе оборудования с машиностроительного завода фирмы "Ганц и К'" в г. Вена на предприятия Наркомугля. РГАНИР, Фонд ГКО, д. 421, лл. 57-58 (11012).</w:t>
      </w:r>
    </w:p>
    <w:p w14:paraId="2A21B207" w14:textId="77777777" w:rsidR="00665165" w:rsidRPr="00F90EAE" w:rsidRDefault="00665165" w:rsidP="00F90EAE">
      <w:pPr>
        <w:autoSpaceDE w:val="0"/>
        <w:autoSpaceDN w:val="0"/>
        <w:adjustRightInd w:val="0"/>
        <w:jc w:val="both"/>
        <w:rPr>
          <w:color w:val="000000" w:themeColor="text1"/>
          <w:sz w:val="16"/>
          <w:szCs w:val="16"/>
        </w:rPr>
      </w:pPr>
    </w:p>
    <w:p w14:paraId="69B775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8839 О вывозе оборудования, полуфабрикатов и радиоизмерительной аппаратуры с немецкого радиолокационного завода № 743 в г. Берлин, Кепник Виндельшлосштрассе 154-158. РГАНИР, Фонд ГКО, д. 421, лл. 59-60 (11012).</w:t>
      </w:r>
    </w:p>
    <w:p w14:paraId="3E22DFB4" w14:textId="77777777" w:rsidR="00665165" w:rsidRPr="00F90EAE" w:rsidRDefault="00665165" w:rsidP="00F90EAE">
      <w:pPr>
        <w:autoSpaceDE w:val="0"/>
        <w:autoSpaceDN w:val="0"/>
        <w:adjustRightInd w:val="0"/>
        <w:jc w:val="both"/>
        <w:rPr>
          <w:color w:val="000000" w:themeColor="text1"/>
          <w:sz w:val="16"/>
          <w:szCs w:val="16"/>
        </w:rPr>
      </w:pPr>
    </w:p>
    <w:p w14:paraId="5AECC5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8840 О вывозе оборудования и материалов с немецкого машиностроительного завода "Зейферд и Компания" в г. Эберсвальде на заводы № 457 и № 190 НКСП г. Ленинград . РГАНИР, Фонд ГКО, д. 421, лл. 61-62 (11012).</w:t>
      </w:r>
    </w:p>
    <w:p w14:paraId="485124B9" w14:textId="77777777" w:rsidR="00665165" w:rsidRPr="00F90EAE" w:rsidRDefault="00665165" w:rsidP="00F90EAE">
      <w:pPr>
        <w:autoSpaceDE w:val="0"/>
        <w:autoSpaceDN w:val="0"/>
        <w:adjustRightInd w:val="0"/>
        <w:jc w:val="both"/>
        <w:rPr>
          <w:color w:val="000000" w:themeColor="text1"/>
          <w:sz w:val="16"/>
          <w:szCs w:val="16"/>
        </w:rPr>
      </w:pPr>
    </w:p>
    <w:p w14:paraId="6BFA97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8841 О вывозе оборудования и металла с немецкого завода крепежных изделий фирмы "Металл унд Шраубен Фабрик" в г. Берлин на завод № 444 НКСП в г. Николаев. РГАНИР, Фонд ГКО, д. 421, лл. 63 (11012).</w:t>
      </w:r>
    </w:p>
    <w:p w14:paraId="0788C453" w14:textId="77777777" w:rsidR="00665165" w:rsidRPr="00F90EAE" w:rsidRDefault="00665165" w:rsidP="00F90EAE">
      <w:pPr>
        <w:autoSpaceDE w:val="0"/>
        <w:autoSpaceDN w:val="0"/>
        <w:adjustRightInd w:val="0"/>
        <w:jc w:val="both"/>
        <w:rPr>
          <w:color w:val="000000" w:themeColor="text1"/>
          <w:sz w:val="16"/>
          <w:szCs w:val="16"/>
        </w:rPr>
      </w:pPr>
    </w:p>
    <w:p w14:paraId="24E04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8842 О вывозе оборудования с немецкого завода фирмы "Металловерке Гильковский и Кильблок" в г. Финов (район Эберсвальде) на завод № 446 НКСП в г. Николаев. РГАНИР, Фонд ГКО, д. 421, лл. 64 (11012).</w:t>
      </w:r>
    </w:p>
    <w:p w14:paraId="4B94A3EC" w14:textId="77777777" w:rsidR="00665165" w:rsidRPr="00F90EAE" w:rsidRDefault="00665165" w:rsidP="00F90EAE">
      <w:pPr>
        <w:autoSpaceDE w:val="0"/>
        <w:autoSpaceDN w:val="0"/>
        <w:adjustRightInd w:val="0"/>
        <w:jc w:val="both"/>
        <w:rPr>
          <w:color w:val="000000" w:themeColor="text1"/>
          <w:sz w:val="16"/>
          <w:szCs w:val="16"/>
        </w:rPr>
      </w:pPr>
    </w:p>
    <w:p w14:paraId="20616A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8843 О вывозе оборудования и металла с немецкого судостроительного завода акционерного общества "Гебрюдер Захсенберг" в г. Рослау на Эльбе на завод № 497 НКСП в г. Севастополь. РГАНИР, Фонд ГКО, д. 421, лл. 65 (11012).</w:t>
      </w:r>
    </w:p>
    <w:p w14:paraId="5440960F" w14:textId="77777777" w:rsidR="00665165" w:rsidRPr="00F90EAE" w:rsidRDefault="00665165" w:rsidP="00F90EAE">
      <w:pPr>
        <w:autoSpaceDE w:val="0"/>
        <w:autoSpaceDN w:val="0"/>
        <w:adjustRightInd w:val="0"/>
        <w:jc w:val="both"/>
        <w:rPr>
          <w:color w:val="000000" w:themeColor="text1"/>
          <w:sz w:val="16"/>
          <w:szCs w:val="16"/>
        </w:rPr>
      </w:pPr>
    </w:p>
    <w:p w14:paraId="4CC98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8844 О вывозе оборудования с завода пластических масс фирмы "Шербишвер", с химического завода "Хиагверк" фирмы "Дейче Гольд унд Зильбер Шейдеанштальт" и с лакокрасочного завода "Пельнер-Верке" в г. Берлин на предприятия Наркомхимпрома. РГАНИР, Фонд ГКО, д. 421, лл. (11012).</w:t>
      </w:r>
    </w:p>
    <w:p w14:paraId="6B875185" w14:textId="77777777" w:rsidR="00665165" w:rsidRPr="00F90EAE" w:rsidRDefault="00665165" w:rsidP="00F90EAE">
      <w:pPr>
        <w:autoSpaceDE w:val="0"/>
        <w:autoSpaceDN w:val="0"/>
        <w:adjustRightInd w:val="0"/>
        <w:jc w:val="both"/>
        <w:rPr>
          <w:color w:val="000000" w:themeColor="text1"/>
          <w:sz w:val="16"/>
          <w:szCs w:val="16"/>
        </w:rPr>
      </w:pPr>
    </w:p>
    <w:p w14:paraId="414F4B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8845 О вывозе оборудования с завода органического стекла фирмы "Роом унд Гаас А.Г." в г. Миттенвальде (30 км южнее г. Берлин). РГАНИР, Фонд ГКО, д. 421, лл. 68-69 (11012).</w:t>
      </w:r>
    </w:p>
    <w:p w14:paraId="1A1B2A39" w14:textId="77777777" w:rsidR="00665165" w:rsidRPr="00F90EAE" w:rsidRDefault="00665165" w:rsidP="00F90EAE">
      <w:pPr>
        <w:autoSpaceDE w:val="0"/>
        <w:autoSpaceDN w:val="0"/>
        <w:adjustRightInd w:val="0"/>
        <w:jc w:val="both"/>
        <w:rPr>
          <w:color w:val="000000" w:themeColor="text1"/>
          <w:sz w:val="16"/>
          <w:szCs w:val="16"/>
        </w:rPr>
      </w:pPr>
    </w:p>
    <w:p w14:paraId="1F2F9C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8846 О вывозе оборудования с химического завода фирмы "Шеринг" в г. Финов (близ г. Эберсвальде). РГАНИР, Фонд ГКО, д. 421, лл. 70 (11012).</w:t>
      </w:r>
    </w:p>
    <w:p w14:paraId="00858C83" w14:textId="77777777" w:rsidR="00665165" w:rsidRPr="00F90EAE" w:rsidRDefault="00665165" w:rsidP="00F90EAE">
      <w:pPr>
        <w:autoSpaceDE w:val="0"/>
        <w:autoSpaceDN w:val="0"/>
        <w:adjustRightInd w:val="0"/>
        <w:jc w:val="both"/>
        <w:rPr>
          <w:color w:val="000000" w:themeColor="text1"/>
          <w:sz w:val="16"/>
          <w:szCs w:val="16"/>
        </w:rPr>
      </w:pPr>
    </w:p>
    <w:p w14:paraId="1E6C2D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8847 О вывозе оборудования с металлургического завода фирмы "Лаухаммер Мительдойче Стальверке" в г. Риза. РГАНИР, Фонд ГКО, д. 421, лл. 71-72 (11012).</w:t>
      </w:r>
    </w:p>
    <w:p w14:paraId="372D5027" w14:textId="77777777" w:rsidR="00665165" w:rsidRPr="00F90EAE" w:rsidRDefault="00665165" w:rsidP="00F90EAE">
      <w:pPr>
        <w:autoSpaceDE w:val="0"/>
        <w:autoSpaceDN w:val="0"/>
        <w:adjustRightInd w:val="0"/>
        <w:jc w:val="both"/>
        <w:rPr>
          <w:color w:val="000000" w:themeColor="text1"/>
          <w:sz w:val="16"/>
          <w:szCs w:val="16"/>
        </w:rPr>
      </w:pPr>
    </w:p>
    <w:p w14:paraId="6068B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8848 О вывозе оборудования с бронекорпусного завода фирмы "Бранденбурген-Айзенверке" в г. Бранденбург и с его филиала в местечке Кюрх- мезер (8 км юго-западнее г. Бранденбург). РГАНИР, Фонд ГКО, д. 421, лл. 73-74 (11012).</w:t>
      </w:r>
    </w:p>
    <w:p w14:paraId="2C22DCBB" w14:textId="77777777" w:rsidR="00665165" w:rsidRPr="00F90EAE" w:rsidRDefault="00665165" w:rsidP="00F90EAE">
      <w:pPr>
        <w:autoSpaceDE w:val="0"/>
        <w:autoSpaceDN w:val="0"/>
        <w:adjustRightInd w:val="0"/>
        <w:jc w:val="both"/>
        <w:rPr>
          <w:color w:val="000000" w:themeColor="text1"/>
          <w:sz w:val="16"/>
          <w:szCs w:val="16"/>
        </w:rPr>
      </w:pPr>
    </w:p>
    <w:p w14:paraId="507AC4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8849 О вывозе оборудования с завода электронно-оптических преобразователей фирмы АЕГ в г. Фрейберг. РГАНИР, Фонд ГКО, д. 421, лл. 75 (11012).</w:t>
      </w:r>
    </w:p>
    <w:p w14:paraId="10DA08C3" w14:textId="77777777" w:rsidR="00665165" w:rsidRPr="00F90EAE" w:rsidRDefault="00665165" w:rsidP="00F90EAE">
      <w:pPr>
        <w:autoSpaceDE w:val="0"/>
        <w:autoSpaceDN w:val="0"/>
        <w:adjustRightInd w:val="0"/>
        <w:jc w:val="both"/>
        <w:rPr>
          <w:color w:val="000000" w:themeColor="text1"/>
          <w:sz w:val="16"/>
          <w:szCs w:val="16"/>
        </w:rPr>
      </w:pPr>
    </w:p>
    <w:p w14:paraId="178ED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8850 О вывозе оборудования со строительства химкомбината фирмы "Дейче Гольд унд Зильбер Шендеанштальт" в г. Фюрстенберг. РГАНИР, Фонд ГКО, д. 421, лл. 76-77 (11012).</w:t>
      </w:r>
    </w:p>
    <w:p w14:paraId="5DF27368" w14:textId="77777777" w:rsidR="00665165" w:rsidRPr="00F90EAE" w:rsidRDefault="00665165" w:rsidP="00F90EAE">
      <w:pPr>
        <w:autoSpaceDE w:val="0"/>
        <w:autoSpaceDN w:val="0"/>
        <w:adjustRightInd w:val="0"/>
        <w:jc w:val="both"/>
        <w:rPr>
          <w:color w:val="000000" w:themeColor="text1"/>
          <w:sz w:val="16"/>
          <w:szCs w:val="16"/>
        </w:rPr>
      </w:pPr>
    </w:p>
    <w:p w14:paraId="394240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8851 О вывозе оборудования и кабеля с немецких механических заводов фирмы "Фарбениндустри" и "Беме" в г. Андрихау. РГАНИР, Фонд ГКО, д. 421, лл. 78-79 (11012).</w:t>
      </w:r>
    </w:p>
    <w:p w14:paraId="3DB7721B" w14:textId="77777777" w:rsidR="00665165" w:rsidRPr="00F90EAE" w:rsidRDefault="00665165" w:rsidP="00F90EAE">
      <w:pPr>
        <w:autoSpaceDE w:val="0"/>
        <w:autoSpaceDN w:val="0"/>
        <w:adjustRightInd w:val="0"/>
        <w:jc w:val="both"/>
        <w:rPr>
          <w:color w:val="000000" w:themeColor="text1"/>
          <w:sz w:val="16"/>
          <w:szCs w:val="16"/>
        </w:rPr>
      </w:pPr>
    </w:p>
    <w:p w14:paraId="41A140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8852 о вывозе оборудования и материалов с завода по обработке алюминиевых сплавов "Мефа" Дюринского металлургического товарищества в районе г. Варен (Германия) на заводы № 496 и 150 Наркомавиапрома и на базы Главного управления государственных материальных резервов при СНК СССР.РГАНИР, Фонд ГКО, д. 421, лл. 80-82 (11012).</w:t>
      </w:r>
    </w:p>
    <w:p w14:paraId="62237FE0" w14:textId="77777777" w:rsidR="00665165" w:rsidRPr="00F90EAE" w:rsidRDefault="00665165" w:rsidP="00F90EAE">
      <w:pPr>
        <w:autoSpaceDE w:val="0"/>
        <w:autoSpaceDN w:val="0"/>
        <w:adjustRightInd w:val="0"/>
        <w:jc w:val="both"/>
        <w:rPr>
          <w:color w:val="000000" w:themeColor="text1"/>
          <w:sz w:val="16"/>
          <w:szCs w:val="16"/>
        </w:rPr>
      </w:pPr>
    </w:p>
    <w:p w14:paraId="06ED9A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8853 О вывозе испытательных стендов фирмы "Штайер Даймлер Пух" в г. Штейер (Австрия) для Наркомавиапрома. РГАНИР, Фонд ГКО, д. 421, лл. 83 (11012).</w:t>
      </w:r>
    </w:p>
    <w:p w14:paraId="645E4FAA" w14:textId="77777777" w:rsidR="00665165" w:rsidRPr="00F90EAE" w:rsidRDefault="00665165" w:rsidP="00F90EAE">
      <w:pPr>
        <w:autoSpaceDE w:val="0"/>
        <w:autoSpaceDN w:val="0"/>
        <w:adjustRightInd w:val="0"/>
        <w:jc w:val="both"/>
        <w:rPr>
          <w:color w:val="000000" w:themeColor="text1"/>
          <w:sz w:val="16"/>
          <w:szCs w:val="16"/>
        </w:rPr>
      </w:pPr>
    </w:p>
    <w:p w14:paraId="112322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8854 О вывозе оборудования с немецкого электродного завода фирмы "Сименс Планиа Верке" в г. Лихтенберг в районе г. Берлин. РГАНИР, Фонд ГКО, д. 421, лл. 84-85 (11012).</w:t>
      </w:r>
    </w:p>
    <w:p w14:paraId="0BEE3D26" w14:textId="77777777" w:rsidR="00665165" w:rsidRPr="00F90EAE" w:rsidRDefault="00665165" w:rsidP="00F90EAE">
      <w:pPr>
        <w:autoSpaceDE w:val="0"/>
        <w:autoSpaceDN w:val="0"/>
        <w:adjustRightInd w:val="0"/>
        <w:jc w:val="both"/>
        <w:rPr>
          <w:color w:val="000000" w:themeColor="text1"/>
          <w:sz w:val="16"/>
          <w:szCs w:val="16"/>
        </w:rPr>
      </w:pPr>
    </w:p>
    <w:p w14:paraId="4DAC8F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8855 О вывозе оборудования с немецкого завода фирмы АВГ в г. Берлин (Вайсензее). РГАНИР, Фонд ГКО, д. 421, лл. 86 (11012).</w:t>
      </w:r>
    </w:p>
    <w:p w14:paraId="70037004" w14:textId="77777777" w:rsidR="00665165" w:rsidRPr="00F90EAE" w:rsidRDefault="00665165" w:rsidP="00F90EAE">
      <w:pPr>
        <w:autoSpaceDE w:val="0"/>
        <w:autoSpaceDN w:val="0"/>
        <w:adjustRightInd w:val="0"/>
        <w:jc w:val="both"/>
        <w:rPr>
          <w:color w:val="000000" w:themeColor="text1"/>
          <w:sz w:val="16"/>
          <w:szCs w:val="16"/>
        </w:rPr>
      </w:pPr>
    </w:p>
    <w:p w14:paraId="4EED3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8856 О вывозе оборудования с мастерской при морской обсерватории в г. Грейсвальд и материалов с военно-морского склада в районе г. г. Юкермюнде - Хоппенвальде. РГАНИР, Фонд ГКО, д. 421, лл. 87-88 (11012).</w:t>
      </w:r>
    </w:p>
    <w:p w14:paraId="7D38A5EB" w14:textId="77777777" w:rsidR="00665165" w:rsidRPr="00F90EAE" w:rsidRDefault="00665165" w:rsidP="00F90EAE">
      <w:pPr>
        <w:autoSpaceDE w:val="0"/>
        <w:autoSpaceDN w:val="0"/>
        <w:adjustRightInd w:val="0"/>
        <w:jc w:val="both"/>
        <w:rPr>
          <w:color w:val="000000" w:themeColor="text1"/>
          <w:sz w:val="16"/>
          <w:szCs w:val="16"/>
        </w:rPr>
      </w:pPr>
    </w:p>
    <w:p w14:paraId="014216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8857 О вывозе оборудования, материалов и готовой продукции с немецких предприятий бумажной промышленности. РГАНИР, Фонд ГКО, д. 421, лл. 89-91 (11012).</w:t>
      </w:r>
    </w:p>
    <w:p w14:paraId="5F66A064" w14:textId="77777777" w:rsidR="00665165" w:rsidRPr="00F90EAE" w:rsidRDefault="00665165" w:rsidP="00F90EAE">
      <w:pPr>
        <w:autoSpaceDE w:val="0"/>
        <w:autoSpaceDN w:val="0"/>
        <w:adjustRightInd w:val="0"/>
        <w:jc w:val="both"/>
        <w:rPr>
          <w:color w:val="000000" w:themeColor="text1"/>
          <w:sz w:val="16"/>
          <w:szCs w:val="16"/>
        </w:rPr>
      </w:pPr>
    </w:p>
    <w:p w14:paraId="7F23FF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8858 О вывозе из г. Берлин оборудования лаборатории по испытанию материалов для Наркомстроя. РГАНИР, Фонд ГКО, д. 421, лл. 92 (11012).</w:t>
      </w:r>
    </w:p>
    <w:p w14:paraId="23093CDA" w14:textId="77777777" w:rsidR="00665165" w:rsidRPr="00F90EAE" w:rsidRDefault="00665165" w:rsidP="00F90EAE">
      <w:pPr>
        <w:autoSpaceDE w:val="0"/>
        <w:autoSpaceDN w:val="0"/>
        <w:adjustRightInd w:val="0"/>
        <w:jc w:val="both"/>
        <w:rPr>
          <w:color w:val="000000" w:themeColor="text1"/>
          <w:sz w:val="16"/>
          <w:szCs w:val="16"/>
        </w:rPr>
      </w:pPr>
    </w:p>
    <w:p w14:paraId="347040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8859 О вывозе оборудования с берлинских заводов на предприятия Наркомстроя. РГАНИР, Фонд ГКО, д. 421, лл. 93-94 (11012).</w:t>
      </w:r>
    </w:p>
    <w:p w14:paraId="51693464" w14:textId="77777777" w:rsidR="00665165" w:rsidRPr="00F90EAE" w:rsidRDefault="00665165" w:rsidP="00F90EAE">
      <w:pPr>
        <w:autoSpaceDE w:val="0"/>
        <w:autoSpaceDN w:val="0"/>
        <w:adjustRightInd w:val="0"/>
        <w:jc w:val="both"/>
        <w:rPr>
          <w:color w:val="000000" w:themeColor="text1"/>
          <w:sz w:val="16"/>
          <w:szCs w:val="16"/>
        </w:rPr>
      </w:pPr>
    </w:p>
    <w:p w14:paraId="4C0BD1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8860 О вывозе оборудования с немецких предприятий из г. Берлин для Наркомстроя. РГАНИР, Фонд ГКО, д. 421, лл. 95-96 (11012).</w:t>
      </w:r>
    </w:p>
    <w:p w14:paraId="7C83EC2A" w14:textId="77777777" w:rsidR="00665165" w:rsidRPr="00F90EAE" w:rsidRDefault="00665165" w:rsidP="00F90EAE">
      <w:pPr>
        <w:autoSpaceDE w:val="0"/>
        <w:autoSpaceDN w:val="0"/>
        <w:adjustRightInd w:val="0"/>
        <w:jc w:val="both"/>
        <w:rPr>
          <w:color w:val="000000" w:themeColor="text1"/>
          <w:sz w:val="16"/>
          <w:szCs w:val="16"/>
        </w:rPr>
      </w:pPr>
    </w:p>
    <w:p w14:paraId="6C0800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8861 О вывозе оборудования с цементных заводов в г. г. Цульхов, Леббин и Царнглафе. РГАНИР, Фонд ГКО, д. 421, лл. 97-98 (11012).</w:t>
      </w:r>
    </w:p>
    <w:p w14:paraId="0A161700" w14:textId="77777777" w:rsidR="00665165" w:rsidRPr="00F90EAE" w:rsidRDefault="00665165" w:rsidP="00F90EAE">
      <w:pPr>
        <w:autoSpaceDE w:val="0"/>
        <w:autoSpaceDN w:val="0"/>
        <w:adjustRightInd w:val="0"/>
        <w:jc w:val="both"/>
        <w:rPr>
          <w:color w:val="000000" w:themeColor="text1"/>
          <w:sz w:val="16"/>
          <w:szCs w:val="16"/>
        </w:rPr>
      </w:pPr>
    </w:p>
    <w:p w14:paraId="0C7D00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8862 О вывозе 2300 тонн проката черных металлов с предприятий г. Штеттин на базу Главметаллосбыта в г. Никитовка (Донбасс). РГАНИР, Фонд ГКО, д. 421, лл. 99 (11012).</w:t>
      </w:r>
    </w:p>
    <w:p w14:paraId="327948D3" w14:textId="77777777" w:rsidR="00665165" w:rsidRPr="00F90EAE" w:rsidRDefault="00665165" w:rsidP="00F90EAE">
      <w:pPr>
        <w:autoSpaceDE w:val="0"/>
        <w:autoSpaceDN w:val="0"/>
        <w:adjustRightInd w:val="0"/>
        <w:jc w:val="both"/>
        <w:rPr>
          <w:color w:val="000000" w:themeColor="text1"/>
          <w:sz w:val="16"/>
          <w:szCs w:val="16"/>
        </w:rPr>
      </w:pPr>
    </w:p>
    <w:p w14:paraId="71EB91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8863 О вывозе черных и цветных металлов с трофейных складов, расположенных в районе г. Вена на базы Главметаллосбыта и ГУГМР. РГАНИР, Фонд ГКО, д. 421, лл. 100-102 (11012).</w:t>
      </w:r>
    </w:p>
    <w:p w14:paraId="753FAD0D" w14:textId="77777777" w:rsidR="00665165" w:rsidRPr="00F90EAE" w:rsidRDefault="00665165" w:rsidP="00F90EAE">
      <w:pPr>
        <w:autoSpaceDE w:val="0"/>
        <w:autoSpaceDN w:val="0"/>
        <w:adjustRightInd w:val="0"/>
        <w:jc w:val="both"/>
        <w:rPr>
          <w:color w:val="000000" w:themeColor="text1"/>
          <w:sz w:val="16"/>
          <w:szCs w:val="16"/>
        </w:rPr>
      </w:pPr>
    </w:p>
    <w:p w14:paraId="26DEAF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8864 О вывозе черных и цветных металлов из района г. Берлин с заводов г. г. Кольберг, Эркнер и Францвальде и со складов ж.РГАНИР, Фонд ГКО, д. станций Недер, Лейхольц, Цеден и Самотшин на базы Главметаллосбыта Наркомчермета и ГУГМР. РГАНИР, Фонд ГКО, д. 421, лл. 103-104 (11012).</w:t>
      </w:r>
    </w:p>
    <w:p w14:paraId="47FDC5FD" w14:textId="77777777" w:rsidR="00665165" w:rsidRPr="00F90EAE" w:rsidRDefault="00665165" w:rsidP="00F90EAE">
      <w:pPr>
        <w:autoSpaceDE w:val="0"/>
        <w:autoSpaceDN w:val="0"/>
        <w:adjustRightInd w:val="0"/>
        <w:jc w:val="both"/>
        <w:rPr>
          <w:color w:val="000000" w:themeColor="text1"/>
          <w:sz w:val="16"/>
          <w:szCs w:val="16"/>
        </w:rPr>
      </w:pPr>
    </w:p>
    <w:p w14:paraId="6DA154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8865 О вывозе оборудования с завода по производству корпусов снарядов в г. Фюрстенберг. РГАНИР, Фонд ГКО, д. 421, лл. 105 (11012).</w:t>
      </w:r>
    </w:p>
    <w:p w14:paraId="612EBC11" w14:textId="77777777" w:rsidR="00665165" w:rsidRPr="00F90EAE" w:rsidRDefault="00665165" w:rsidP="00F90EAE">
      <w:pPr>
        <w:autoSpaceDE w:val="0"/>
        <w:autoSpaceDN w:val="0"/>
        <w:adjustRightInd w:val="0"/>
        <w:jc w:val="both"/>
        <w:rPr>
          <w:color w:val="000000" w:themeColor="text1"/>
          <w:sz w:val="16"/>
          <w:szCs w:val="16"/>
        </w:rPr>
      </w:pPr>
    </w:p>
    <w:p w14:paraId="58F1C6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8866 О вывозе оборудования, учебной аппаратуры и приборов с танкового полигона и танковых учебных заведений в районе г. Берлин. РГАНИР, Фонд ГКО, д. 421, лл. 106 (11012).</w:t>
      </w:r>
    </w:p>
    <w:p w14:paraId="4E4F3235" w14:textId="77777777" w:rsidR="00665165" w:rsidRPr="00F90EAE" w:rsidRDefault="00665165" w:rsidP="00F90EAE">
      <w:pPr>
        <w:autoSpaceDE w:val="0"/>
        <w:autoSpaceDN w:val="0"/>
        <w:adjustRightInd w:val="0"/>
        <w:jc w:val="both"/>
        <w:rPr>
          <w:color w:val="000000" w:themeColor="text1"/>
          <w:sz w:val="16"/>
          <w:szCs w:val="16"/>
        </w:rPr>
      </w:pPr>
    </w:p>
    <w:p w14:paraId="4F45F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8867 О вывозе оборудования завода по производству санитарно-технической арматуры и военно-инженерного имущества в г. Штеттин (Германия). РГАНИР, Фонд ГКО, д. 421, лл. 107 (11012).</w:t>
      </w:r>
    </w:p>
    <w:p w14:paraId="49C16C6D" w14:textId="77777777" w:rsidR="00665165" w:rsidRPr="00F90EAE" w:rsidRDefault="00665165" w:rsidP="00F90EAE">
      <w:pPr>
        <w:autoSpaceDE w:val="0"/>
        <w:autoSpaceDN w:val="0"/>
        <w:adjustRightInd w:val="0"/>
        <w:jc w:val="both"/>
        <w:rPr>
          <w:color w:val="000000" w:themeColor="text1"/>
          <w:sz w:val="16"/>
          <w:szCs w:val="16"/>
        </w:rPr>
      </w:pPr>
    </w:p>
    <w:p w14:paraId="1C6965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31 мая 1945 вышло Постановление ГКО № 8868 О вывозе оборудования и материалов с немецких предприятий Померании и Мекленбурга. РГАНИР, Фонд ГКО, д. 421, лл. 108-111 (11012).</w:t>
      </w:r>
    </w:p>
    <w:p w14:paraId="126B4373" w14:textId="77777777" w:rsidR="00665165" w:rsidRPr="00F90EAE" w:rsidRDefault="00665165" w:rsidP="00F90EAE">
      <w:pPr>
        <w:autoSpaceDE w:val="0"/>
        <w:autoSpaceDN w:val="0"/>
        <w:adjustRightInd w:val="0"/>
        <w:jc w:val="both"/>
        <w:rPr>
          <w:color w:val="000000" w:themeColor="text1"/>
          <w:sz w:val="16"/>
          <w:szCs w:val="16"/>
        </w:rPr>
      </w:pPr>
    </w:p>
    <w:p w14:paraId="380754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8869 О вывозе полиграфического оборудования с типографий г. Берлин. РГАНИР, Фонд ГКО, д. 421, лл. 112-113 (11012).</w:t>
      </w:r>
    </w:p>
    <w:p w14:paraId="0C3B64FA" w14:textId="77777777" w:rsidR="00665165" w:rsidRPr="00F90EAE" w:rsidRDefault="00665165" w:rsidP="00F90EAE">
      <w:pPr>
        <w:autoSpaceDE w:val="0"/>
        <w:autoSpaceDN w:val="0"/>
        <w:adjustRightInd w:val="0"/>
        <w:jc w:val="both"/>
        <w:rPr>
          <w:color w:val="000000" w:themeColor="text1"/>
          <w:sz w:val="16"/>
          <w:szCs w:val="16"/>
        </w:rPr>
      </w:pPr>
    </w:p>
    <w:p w14:paraId="5D9D76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8870 О вывозе оборудования с немецких стационарных артиллерийских баз и складов боеприпасов и с механических заводов в г. Берлин. РГАНИР, Фонд ГКО, д. 421, лл. 114-115 (11012).</w:t>
      </w:r>
    </w:p>
    <w:p w14:paraId="7CD248FD" w14:textId="77777777" w:rsidR="00665165" w:rsidRPr="00F90EAE" w:rsidRDefault="00665165" w:rsidP="00F90EAE">
      <w:pPr>
        <w:autoSpaceDE w:val="0"/>
        <w:autoSpaceDN w:val="0"/>
        <w:adjustRightInd w:val="0"/>
        <w:jc w:val="both"/>
        <w:rPr>
          <w:color w:val="000000" w:themeColor="text1"/>
          <w:sz w:val="16"/>
          <w:szCs w:val="16"/>
        </w:rPr>
      </w:pPr>
    </w:p>
    <w:p w14:paraId="2A46FA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8871 О вывозе радиовещательного оборудования из г. г. Берлин и Бухарест. РГАНИР, Фонд ГКО, д. 421, лл. 116-117 (11012).</w:t>
      </w:r>
    </w:p>
    <w:p w14:paraId="7FF6DDAA" w14:textId="77777777" w:rsidR="00665165" w:rsidRPr="00F90EAE" w:rsidRDefault="00665165" w:rsidP="00F90EAE">
      <w:pPr>
        <w:autoSpaceDE w:val="0"/>
        <w:autoSpaceDN w:val="0"/>
        <w:adjustRightInd w:val="0"/>
        <w:jc w:val="both"/>
        <w:rPr>
          <w:color w:val="000000" w:themeColor="text1"/>
          <w:sz w:val="16"/>
          <w:szCs w:val="16"/>
        </w:rPr>
      </w:pPr>
    </w:p>
    <w:p w14:paraId="3CA2B1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8872 О вывозе оборудования немецких фабрик искусственного шелка в г. г. Берлин и Штеттин. РГАНИР, Фонд ГКО, д. 421, лл. 118-119 (11012).</w:t>
      </w:r>
    </w:p>
    <w:p w14:paraId="48806752" w14:textId="77777777" w:rsidR="00665165" w:rsidRPr="00F90EAE" w:rsidRDefault="00665165" w:rsidP="00F90EAE">
      <w:pPr>
        <w:autoSpaceDE w:val="0"/>
        <w:autoSpaceDN w:val="0"/>
        <w:adjustRightInd w:val="0"/>
        <w:jc w:val="both"/>
        <w:rPr>
          <w:color w:val="000000" w:themeColor="text1"/>
          <w:sz w:val="16"/>
          <w:szCs w:val="16"/>
        </w:rPr>
      </w:pPr>
    </w:p>
    <w:p w14:paraId="01089D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8873 О вывозе оборудования с механического завода фирмы "Копп" в гор. Бельциг. РГАНИР, Фонд ГКО, д. 421, лл. 120-121 (11012).</w:t>
      </w:r>
    </w:p>
    <w:p w14:paraId="42850EF1" w14:textId="77777777" w:rsidR="00665165" w:rsidRPr="00F90EAE" w:rsidRDefault="00665165" w:rsidP="00F90EAE">
      <w:pPr>
        <w:autoSpaceDE w:val="0"/>
        <w:autoSpaceDN w:val="0"/>
        <w:adjustRightInd w:val="0"/>
        <w:jc w:val="both"/>
        <w:rPr>
          <w:color w:val="000000" w:themeColor="text1"/>
          <w:sz w:val="16"/>
          <w:szCs w:val="16"/>
        </w:rPr>
      </w:pPr>
    </w:p>
    <w:p w14:paraId="059B0E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8874 О вывозе оборудования, полуфабрикатов, инструмента, оснастки и технической документации с заводов фирмы "Патин" в г. г. Миттельштейн, Роккерс и Юшенбург для Наркомавиапрома. РГАНИР, Фонд ГКО, д. 421, лл. 122-123 (11012).</w:t>
      </w:r>
    </w:p>
    <w:p w14:paraId="2899EFC0" w14:textId="77777777" w:rsidR="00665165" w:rsidRPr="00F90EAE" w:rsidRDefault="00665165" w:rsidP="00F90EAE">
      <w:pPr>
        <w:autoSpaceDE w:val="0"/>
        <w:autoSpaceDN w:val="0"/>
        <w:adjustRightInd w:val="0"/>
        <w:jc w:val="both"/>
        <w:rPr>
          <w:color w:val="000000" w:themeColor="text1"/>
          <w:sz w:val="16"/>
          <w:szCs w:val="16"/>
        </w:rPr>
      </w:pPr>
    </w:p>
    <w:p w14:paraId="348F60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8875 О вывозе оборудования немецкого склада горючего в местечке Хансдорф (Германия). РГАНИР, Фонд ГКО, д. 421, лл. 124 (11012).</w:t>
      </w:r>
    </w:p>
    <w:p w14:paraId="7B6E7C14" w14:textId="77777777" w:rsidR="00665165" w:rsidRPr="00F90EAE" w:rsidRDefault="00665165" w:rsidP="00F90EAE">
      <w:pPr>
        <w:autoSpaceDE w:val="0"/>
        <w:autoSpaceDN w:val="0"/>
        <w:adjustRightInd w:val="0"/>
        <w:jc w:val="both"/>
        <w:rPr>
          <w:color w:val="000000" w:themeColor="text1"/>
          <w:sz w:val="16"/>
          <w:szCs w:val="16"/>
        </w:rPr>
      </w:pPr>
    </w:p>
    <w:p w14:paraId="589B13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8876 О вывозе оборудования с завода фирмы "Фриц Килиан" в г. Берлин на завод Наркоммясомолпрома СССР в г. Полтава. РГАНИР, Фонд ГКО, д. 421, лл. 125 (11012).</w:t>
      </w:r>
    </w:p>
    <w:p w14:paraId="5038FF26" w14:textId="77777777" w:rsidR="00665165" w:rsidRPr="00F90EAE" w:rsidRDefault="00665165" w:rsidP="00F90EAE">
      <w:pPr>
        <w:autoSpaceDE w:val="0"/>
        <w:autoSpaceDN w:val="0"/>
        <w:adjustRightInd w:val="0"/>
        <w:jc w:val="both"/>
        <w:rPr>
          <w:color w:val="000000" w:themeColor="text1"/>
          <w:sz w:val="16"/>
          <w:szCs w:val="16"/>
        </w:rPr>
      </w:pPr>
    </w:p>
    <w:p w14:paraId="35A13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8877 О вывозе телефонно-телеграфного оборудования с предприятий, складов и узлов связи в г. г. Берлин, Бреслау и Лигниц. РГАНИР, Фонд ГКО, д. 421, лл. 126 (11012).</w:t>
      </w:r>
    </w:p>
    <w:p w14:paraId="04C09385" w14:textId="77777777" w:rsidR="00665165" w:rsidRPr="00F90EAE" w:rsidRDefault="00665165" w:rsidP="00F90EAE">
      <w:pPr>
        <w:autoSpaceDE w:val="0"/>
        <w:autoSpaceDN w:val="0"/>
        <w:adjustRightInd w:val="0"/>
        <w:jc w:val="both"/>
        <w:rPr>
          <w:color w:val="000000" w:themeColor="text1"/>
          <w:sz w:val="16"/>
          <w:szCs w:val="16"/>
        </w:rPr>
      </w:pPr>
    </w:p>
    <w:p w14:paraId="6AE813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8878 О вывозе оборудования немецкого завода калильных ламп и электроплиток фирмы "Грейц" в г. Берлин, район Трептов. РГАНИР, Фонд ГКО, д. 421, лл. 127 (11012).</w:t>
      </w:r>
    </w:p>
    <w:p w14:paraId="644132EC" w14:textId="77777777" w:rsidR="00665165" w:rsidRPr="00F90EAE" w:rsidRDefault="00665165" w:rsidP="00F90EAE">
      <w:pPr>
        <w:autoSpaceDE w:val="0"/>
        <w:autoSpaceDN w:val="0"/>
        <w:adjustRightInd w:val="0"/>
        <w:jc w:val="both"/>
        <w:rPr>
          <w:color w:val="000000" w:themeColor="text1"/>
          <w:sz w:val="16"/>
          <w:szCs w:val="16"/>
        </w:rPr>
      </w:pPr>
    </w:p>
    <w:p w14:paraId="344B7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8879 О вывозе оборудования с немецких предприятий, расположенных в г. Дрезден на заводы Наркомпищепрома СССР. РГАНИР, Фонд ГКО, д. 421, лл. 128, 129-130 (11012).</w:t>
      </w:r>
    </w:p>
    <w:p w14:paraId="4E88AC6E" w14:textId="77777777" w:rsidR="00665165" w:rsidRPr="00F90EAE" w:rsidRDefault="00665165" w:rsidP="00F90EAE">
      <w:pPr>
        <w:autoSpaceDE w:val="0"/>
        <w:autoSpaceDN w:val="0"/>
        <w:adjustRightInd w:val="0"/>
        <w:jc w:val="both"/>
        <w:rPr>
          <w:color w:val="000000" w:themeColor="text1"/>
          <w:sz w:val="16"/>
          <w:szCs w:val="16"/>
        </w:rPr>
      </w:pPr>
    </w:p>
    <w:p w14:paraId="6C4BE1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8880 О вывозе оборудования и наглядных пособий с классов, лабораторий и мастерской немецкой Высшей летно-технической школы в военном городке Альтес-Лагерь для ВВС Красной Армии. РГАНИР, Фонд ГКО, д. 421, лл. 131 (11012).</w:t>
      </w:r>
    </w:p>
    <w:p w14:paraId="3606DCC3" w14:textId="77777777" w:rsidR="00665165" w:rsidRPr="00F90EAE" w:rsidRDefault="00665165" w:rsidP="00F90EAE">
      <w:pPr>
        <w:autoSpaceDE w:val="0"/>
        <w:autoSpaceDN w:val="0"/>
        <w:adjustRightInd w:val="0"/>
        <w:jc w:val="both"/>
        <w:rPr>
          <w:color w:val="000000" w:themeColor="text1"/>
          <w:sz w:val="16"/>
          <w:szCs w:val="16"/>
        </w:rPr>
      </w:pPr>
    </w:p>
    <w:p w14:paraId="405001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8881 О вывозе лабораторного оборудования Грайфсвальдского и Ростокского университетов в г. г. Грайфсвальд и Росток (Германия). РГАНИР, Фонд ГКО, д. 421, лл. 132-133 (11012).</w:t>
      </w:r>
    </w:p>
    <w:p w14:paraId="585D25B5" w14:textId="77777777" w:rsidR="00665165" w:rsidRPr="00F90EAE" w:rsidRDefault="00665165" w:rsidP="00F90EAE">
      <w:pPr>
        <w:autoSpaceDE w:val="0"/>
        <w:autoSpaceDN w:val="0"/>
        <w:adjustRightInd w:val="0"/>
        <w:jc w:val="both"/>
        <w:rPr>
          <w:color w:val="000000" w:themeColor="text1"/>
          <w:sz w:val="16"/>
          <w:szCs w:val="16"/>
        </w:rPr>
      </w:pPr>
    </w:p>
    <w:p w14:paraId="087C85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8882 вывозе оборудования четырех заводов по производству кинопроекционной, кино- осветительной и кинокопировальной аппаратуры, оборудования кинокопировальной фабрики "Тейс Пауль" и фабрики реставрации старых кинофильмов фирмы "Реконо К-2 Шт. РГАНИР, Фонд ГКО, д. 421 (11012).</w:t>
      </w:r>
    </w:p>
    <w:p w14:paraId="2C0BAD1C" w14:textId="77777777" w:rsidR="00665165" w:rsidRPr="00F90EAE" w:rsidRDefault="00665165" w:rsidP="00F90EAE">
      <w:pPr>
        <w:autoSpaceDE w:val="0"/>
        <w:autoSpaceDN w:val="0"/>
        <w:adjustRightInd w:val="0"/>
        <w:jc w:val="both"/>
        <w:rPr>
          <w:color w:val="000000" w:themeColor="text1"/>
          <w:sz w:val="16"/>
          <w:szCs w:val="16"/>
        </w:rPr>
      </w:pPr>
    </w:p>
    <w:p w14:paraId="56FCE3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8883 О вывозе оборудования немецкого завода фирмы "Отто граф-автомеханик" в г. Берлин, район Грейдер. РГАНИР, Фонд ГКО, д. 421, лл. 136 (11012).</w:t>
      </w:r>
    </w:p>
    <w:p w14:paraId="3EB0F859" w14:textId="77777777" w:rsidR="00665165" w:rsidRPr="00F90EAE" w:rsidRDefault="00665165" w:rsidP="00F90EAE">
      <w:pPr>
        <w:autoSpaceDE w:val="0"/>
        <w:autoSpaceDN w:val="0"/>
        <w:adjustRightInd w:val="0"/>
        <w:jc w:val="both"/>
        <w:rPr>
          <w:color w:val="000000" w:themeColor="text1"/>
          <w:sz w:val="16"/>
          <w:szCs w:val="16"/>
        </w:rPr>
      </w:pPr>
    </w:p>
    <w:p w14:paraId="26344D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8884 О вывозе оборудования, аппаратуры и опытных установок из лаборатории искусственного климата селекционного сельскохозяйственного института в г. Мюнхенберг. РГАНИР, Фонд ГКО, д. 421, лл. 137-138 (11012).</w:t>
      </w:r>
    </w:p>
    <w:p w14:paraId="3F8AC89B" w14:textId="77777777" w:rsidR="00665165" w:rsidRPr="00F90EAE" w:rsidRDefault="00665165" w:rsidP="00F90EAE">
      <w:pPr>
        <w:autoSpaceDE w:val="0"/>
        <w:autoSpaceDN w:val="0"/>
        <w:adjustRightInd w:val="0"/>
        <w:jc w:val="both"/>
        <w:rPr>
          <w:color w:val="000000" w:themeColor="text1"/>
          <w:sz w:val="16"/>
          <w:szCs w:val="16"/>
        </w:rPr>
      </w:pPr>
    </w:p>
    <w:p w14:paraId="4A3EA7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8885 О вывозе промышленного и энергетического оборудования, строительных материалов и инструментов для народного хозяйства Смоленской области. РГАНИР, Фонд ГКО, д. 421, лл. 139-142, 143 (11012).</w:t>
      </w:r>
    </w:p>
    <w:p w14:paraId="60B6F2A7" w14:textId="77777777" w:rsidR="00665165" w:rsidRPr="00F90EAE" w:rsidRDefault="00665165" w:rsidP="00F90EAE">
      <w:pPr>
        <w:autoSpaceDE w:val="0"/>
        <w:autoSpaceDN w:val="0"/>
        <w:adjustRightInd w:val="0"/>
        <w:jc w:val="both"/>
        <w:rPr>
          <w:color w:val="000000" w:themeColor="text1"/>
          <w:sz w:val="16"/>
          <w:szCs w:val="16"/>
        </w:rPr>
      </w:pPr>
    </w:p>
    <w:p w14:paraId="6587D2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8886 О вывозе оборудования и казарменного инвентаря с трофейных складов 3-го Белорусского фронта. РГАНИР, Фонд ГКО, д. 421, лл. 144, 145 (11012).</w:t>
      </w:r>
    </w:p>
    <w:p w14:paraId="26A16131" w14:textId="77777777" w:rsidR="00665165" w:rsidRPr="00F90EAE" w:rsidRDefault="00665165" w:rsidP="00F90EAE">
      <w:pPr>
        <w:autoSpaceDE w:val="0"/>
        <w:autoSpaceDN w:val="0"/>
        <w:adjustRightInd w:val="0"/>
        <w:jc w:val="both"/>
        <w:rPr>
          <w:color w:val="000000" w:themeColor="text1"/>
          <w:sz w:val="16"/>
          <w:szCs w:val="16"/>
        </w:rPr>
      </w:pPr>
    </w:p>
    <w:p w14:paraId="181A5F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8887 О вывозе трофейной бумаги и картона со складов 1, 2, 3-го и 4-го Украинских и 2-го и 3-го Белорусских фронтов. РГАНИР, Фонд ГКО, д. 421, лл. 146-147 (11012).</w:t>
      </w:r>
    </w:p>
    <w:p w14:paraId="46C8F5A2" w14:textId="77777777" w:rsidR="00665165" w:rsidRPr="00F90EAE" w:rsidRDefault="00665165" w:rsidP="00F90EAE">
      <w:pPr>
        <w:autoSpaceDE w:val="0"/>
        <w:autoSpaceDN w:val="0"/>
        <w:adjustRightInd w:val="0"/>
        <w:jc w:val="both"/>
        <w:rPr>
          <w:color w:val="000000" w:themeColor="text1"/>
          <w:sz w:val="16"/>
          <w:szCs w:val="16"/>
        </w:rPr>
      </w:pPr>
    </w:p>
    <w:p w14:paraId="26841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8888 О вывозе оборудования с механического завода "Георг Виш" в г. Берлин на предприятия Наркомугля. РГАНИР, Фонд ГКО, д. 421, лл. 148 (11012).</w:t>
      </w:r>
    </w:p>
    <w:p w14:paraId="357D9B71" w14:textId="77777777" w:rsidR="00665165" w:rsidRPr="00F90EAE" w:rsidRDefault="00665165" w:rsidP="00F90EAE">
      <w:pPr>
        <w:autoSpaceDE w:val="0"/>
        <w:autoSpaceDN w:val="0"/>
        <w:adjustRightInd w:val="0"/>
        <w:jc w:val="both"/>
        <w:rPr>
          <w:color w:val="000000" w:themeColor="text1"/>
          <w:sz w:val="16"/>
          <w:szCs w:val="16"/>
        </w:rPr>
      </w:pPr>
    </w:p>
    <w:p w14:paraId="2EC0FF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8889 О вывозе оборудования и строительных материалов с трофейных складов 1, 2, 3-го Белорусских и 1, 2, 3, 4-го Украинских фронтов для Наркомата обороны. РГАНИР, Фонд ГКО, д. 421, лл. 149, 150-153 (11012).</w:t>
      </w:r>
    </w:p>
    <w:p w14:paraId="3D0F81EB" w14:textId="77777777" w:rsidR="00665165" w:rsidRPr="00F90EAE" w:rsidRDefault="00665165" w:rsidP="00F90EAE">
      <w:pPr>
        <w:autoSpaceDE w:val="0"/>
        <w:autoSpaceDN w:val="0"/>
        <w:adjustRightInd w:val="0"/>
        <w:jc w:val="both"/>
        <w:rPr>
          <w:color w:val="000000" w:themeColor="text1"/>
          <w:sz w:val="16"/>
          <w:szCs w:val="16"/>
        </w:rPr>
      </w:pPr>
    </w:p>
    <w:p w14:paraId="16F7F6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8890 Об охране и сопровождении железнодорожных транспортов с оборудованием и материалами, вывозимыми с немецких предприятий. РГАНИР, Фонд ГКО, д. 421, лл. 154-155 (11012).</w:t>
      </w:r>
    </w:p>
    <w:p w14:paraId="41C2108C" w14:textId="77777777" w:rsidR="00665165" w:rsidRPr="00F90EAE" w:rsidRDefault="00665165" w:rsidP="00F90EAE">
      <w:pPr>
        <w:autoSpaceDE w:val="0"/>
        <w:autoSpaceDN w:val="0"/>
        <w:adjustRightInd w:val="0"/>
        <w:jc w:val="both"/>
        <w:rPr>
          <w:color w:val="000000" w:themeColor="text1"/>
          <w:sz w:val="16"/>
          <w:szCs w:val="16"/>
        </w:rPr>
      </w:pPr>
    </w:p>
    <w:p w14:paraId="4D019A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8891 О вывозе хозяйственного имущества и оборудования с трофейных складов 1-го Белорусского фронта для санаториев и домов отдыха Красной Армии. РГАНИР, Фонд ГКО, д. 421, лл. 156, 157-158 (11012).</w:t>
      </w:r>
    </w:p>
    <w:p w14:paraId="519CC9C5" w14:textId="77777777" w:rsidR="00665165" w:rsidRPr="00F90EAE" w:rsidRDefault="00665165" w:rsidP="00F90EAE">
      <w:pPr>
        <w:autoSpaceDE w:val="0"/>
        <w:autoSpaceDN w:val="0"/>
        <w:adjustRightInd w:val="0"/>
        <w:jc w:val="both"/>
        <w:rPr>
          <w:color w:val="000000" w:themeColor="text1"/>
          <w:sz w:val="16"/>
          <w:szCs w:val="16"/>
        </w:rPr>
      </w:pPr>
    </w:p>
    <w:p w14:paraId="06F56A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8892 О вывозе строительных материалов и оборудования с трофейных складов 1-го Прибалтийского и 3-го Белорусского фронтов. РГАНИР, Фонд ГКО, д. 421, лл. 159, 160-162 (11012).</w:t>
      </w:r>
    </w:p>
    <w:p w14:paraId="1010F056" w14:textId="77777777" w:rsidR="00665165" w:rsidRPr="00F90EAE" w:rsidRDefault="00665165" w:rsidP="00F90EAE">
      <w:pPr>
        <w:autoSpaceDE w:val="0"/>
        <w:autoSpaceDN w:val="0"/>
        <w:adjustRightInd w:val="0"/>
        <w:jc w:val="both"/>
        <w:rPr>
          <w:color w:val="000000" w:themeColor="text1"/>
          <w:sz w:val="16"/>
          <w:szCs w:val="16"/>
        </w:rPr>
      </w:pPr>
    </w:p>
    <w:p w14:paraId="74E0BD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8893 О вывозе сельскохозяйственного инвентаря с трофейных складов 1-го Белорусского фронта для подсобных хозяйств Наркомата обороны. РГАНИР, Фонд ГКО, д. 421, лл. 163, 164 (11012).</w:t>
      </w:r>
    </w:p>
    <w:p w14:paraId="6CC46311" w14:textId="77777777" w:rsidR="00665165" w:rsidRPr="00F90EAE" w:rsidRDefault="00665165" w:rsidP="00F90EAE">
      <w:pPr>
        <w:autoSpaceDE w:val="0"/>
        <w:autoSpaceDN w:val="0"/>
        <w:adjustRightInd w:val="0"/>
        <w:jc w:val="both"/>
        <w:rPr>
          <w:color w:val="000000" w:themeColor="text1"/>
          <w:sz w:val="16"/>
          <w:szCs w:val="16"/>
        </w:rPr>
      </w:pPr>
    </w:p>
    <w:p w14:paraId="451979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8894 О вывозе ювелирных изделий, коллекций монет и медалей, картин и художественного фарфора из района г. Дрездена. РГАНИР, Фонд ГКО, д. 421, лл. 165 (11012).</w:t>
      </w:r>
    </w:p>
    <w:p w14:paraId="7D56830D" w14:textId="77777777" w:rsidR="00665165" w:rsidRPr="00F90EAE" w:rsidRDefault="00665165" w:rsidP="00F90EAE">
      <w:pPr>
        <w:autoSpaceDE w:val="0"/>
        <w:autoSpaceDN w:val="0"/>
        <w:adjustRightInd w:val="0"/>
        <w:jc w:val="both"/>
        <w:rPr>
          <w:color w:val="000000" w:themeColor="text1"/>
          <w:sz w:val="16"/>
          <w:szCs w:val="16"/>
        </w:rPr>
      </w:pPr>
    </w:p>
    <w:p w14:paraId="7AEE97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8895 О вывозе оборудования с немецких заводов в г. г. Финовфурт, Гросс-Шенебек и Краппитц (Германия) на предприятия домостроения Наркомстроя. РГАНИР, Фонд ГКО, д. 421, лл. 166-167 (11012).</w:t>
      </w:r>
    </w:p>
    <w:p w14:paraId="2E30A3C5" w14:textId="77777777" w:rsidR="00665165" w:rsidRPr="00F90EAE" w:rsidRDefault="00665165" w:rsidP="00F90EAE">
      <w:pPr>
        <w:autoSpaceDE w:val="0"/>
        <w:autoSpaceDN w:val="0"/>
        <w:adjustRightInd w:val="0"/>
        <w:jc w:val="both"/>
        <w:rPr>
          <w:color w:val="000000" w:themeColor="text1"/>
          <w:sz w:val="16"/>
          <w:szCs w:val="16"/>
        </w:rPr>
      </w:pPr>
    </w:p>
    <w:p w14:paraId="1B079B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31 мая 1945 вышло Постановление ГКО № 8896 О вывозе оборудования с немецких заводов фирмы "Штейер-Дамлер-Пух" в г. Вена. РГАНИР, Фонд ГКО, д. 421, лл. 168 (11012).</w:t>
      </w:r>
    </w:p>
    <w:p w14:paraId="0DD9DD2E" w14:textId="77777777" w:rsidR="00665165" w:rsidRPr="00F90EAE" w:rsidRDefault="00665165" w:rsidP="00F90EAE">
      <w:pPr>
        <w:autoSpaceDE w:val="0"/>
        <w:autoSpaceDN w:val="0"/>
        <w:adjustRightInd w:val="0"/>
        <w:jc w:val="both"/>
        <w:rPr>
          <w:color w:val="000000" w:themeColor="text1"/>
          <w:sz w:val="16"/>
          <w:szCs w:val="16"/>
        </w:rPr>
      </w:pPr>
    </w:p>
    <w:p w14:paraId="7A06E5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8897 О проведении работы по выявлению в вывозу заводского и лабораторного оборудования, чертежей и опытных образцов немецких реактивных снарядов. РГАНИР, Фонд ГКО, д. 421, лл. 169-170 (11012).</w:t>
      </w:r>
    </w:p>
    <w:p w14:paraId="75A0789B" w14:textId="77777777" w:rsidR="00665165" w:rsidRPr="00F90EAE" w:rsidRDefault="00665165" w:rsidP="00F90EAE">
      <w:pPr>
        <w:autoSpaceDE w:val="0"/>
        <w:autoSpaceDN w:val="0"/>
        <w:adjustRightInd w:val="0"/>
        <w:jc w:val="both"/>
        <w:rPr>
          <w:color w:val="000000" w:themeColor="text1"/>
          <w:sz w:val="16"/>
          <w:szCs w:val="16"/>
        </w:rPr>
      </w:pPr>
    </w:p>
    <w:p w14:paraId="283FC9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8898 О вывозе оборудования и материалов с немецких предприятий деревообрабатывающей промышленности. РГАНИР, Фонд ГКО, д. 421, лл. 171-173 (11012).</w:t>
      </w:r>
    </w:p>
    <w:p w14:paraId="32174D60" w14:textId="77777777" w:rsidR="00665165" w:rsidRPr="00F90EAE" w:rsidRDefault="00665165" w:rsidP="00F90EAE">
      <w:pPr>
        <w:autoSpaceDE w:val="0"/>
        <w:autoSpaceDN w:val="0"/>
        <w:adjustRightInd w:val="0"/>
        <w:jc w:val="both"/>
        <w:rPr>
          <w:color w:val="000000" w:themeColor="text1"/>
          <w:sz w:val="16"/>
          <w:szCs w:val="16"/>
        </w:rPr>
      </w:pPr>
    </w:p>
    <w:p w14:paraId="43002228"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8899 О порядке оплаты уполномоченных Особого комитета при ГОКО и работников их аппарата. (7345, 174).</w:t>
      </w:r>
    </w:p>
    <w:p w14:paraId="772B40E7"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165DF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8900 О вывозе оборудования с завода гидрирования угля и мазута фирмы "Гидрирверке Пелитц А.Г." в г. Пелитц (севернее г. Штеттин). РГАНИР, Фонд ГКО, д. 421, лл. 175-176 (11012).</w:t>
      </w:r>
    </w:p>
    <w:p w14:paraId="4C2C7B40" w14:textId="77777777" w:rsidR="00665165" w:rsidRPr="00F90EAE" w:rsidRDefault="00665165" w:rsidP="00F90EAE">
      <w:pPr>
        <w:autoSpaceDE w:val="0"/>
        <w:autoSpaceDN w:val="0"/>
        <w:adjustRightInd w:val="0"/>
        <w:jc w:val="both"/>
        <w:rPr>
          <w:color w:val="000000" w:themeColor="text1"/>
          <w:sz w:val="16"/>
          <w:szCs w:val="16"/>
        </w:rPr>
      </w:pPr>
    </w:p>
    <w:p w14:paraId="618136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8901 О вывозе энергетического оборудования, стройматериалов и арматуры с немецких складов, находящихся в районе г. Юнкермюнде (Померания), принадлежавших заводу гидрирования в г. Пелитц. РГАНИР, Фонд ГКО, д. 422, лл. 1-2 (11012).</w:t>
      </w:r>
    </w:p>
    <w:p w14:paraId="351FDCD8" w14:textId="77777777" w:rsidR="00665165" w:rsidRPr="00F90EAE" w:rsidRDefault="00665165" w:rsidP="00F90EAE">
      <w:pPr>
        <w:autoSpaceDE w:val="0"/>
        <w:autoSpaceDN w:val="0"/>
        <w:adjustRightInd w:val="0"/>
        <w:jc w:val="both"/>
        <w:rPr>
          <w:color w:val="000000" w:themeColor="text1"/>
          <w:sz w:val="16"/>
          <w:szCs w:val="16"/>
        </w:rPr>
      </w:pPr>
    </w:p>
    <w:p w14:paraId="22680ECE"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вышло Распоряжение ГКО № 8902 [О поставке нефти Ашхабадской железной дороге и Аму-Дарьинскому пароходству.] (7346, 3).</w:t>
      </w:r>
    </w:p>
    <w:p w14:paraId="0D0CC17E"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3D67AB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Распоряжение ГКО № 8903. О переносе линий электропередачи, пересекающих площадку строящегося Куйбышевского нефтеперерабатывающего завода. РГАНИР, Фонд ГКО, д. 422, лл. 4 (11012).</w:t>
      </w:r>
    </w:p>
    <w:p w14:paraId="4D22BEF3" w14:textId="77777777" w:rsidR="00665165" w:rsidRPr="00F90EAE" w:rsidRDefault="00665165" w:rsidP="00F90EAE">
      <w:pPr>
        <w:autoSpaceDE w:val="0"/>
        <w:autoSpaceDN w:val="0"/>
        <w:adjustRightInd w:val="0"/>
        <w:jc w:val="both"/>
        <w:rPr>
          <w:color w:val="000000" w:themeColor="text1"/>
          <w:sz w:val="16"/>
          <w:szCs w:val="16"/>
        </w:rPr>
      </w:pPr>
    </w:p>
    <w:p w14:paraId="490449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Распоряжение ГКО № 8904. О списании с ресурсов НКО импортных высокооктановых компонентов, израсходованных Азнефтекомбинатом в декабре 1944 - марте 1945 г. РГАНИР, Фонд ГКО, д. 422, лл. 5 (11012).</w:t>
      </w:r>
    </w:p>
    <w:p w14:paraId="447C93FE" w14:textId="77777777" w:rsidR="00665165" w:rsidRPr="00F90EAE" w:rsidRDefault="00665165" w:rsidP="00F90EAE">
      <w:pPr>
        <w:autoSpaceDE w:val="0"/>
        <w:autoSpaceDN w:val="0"/>
        <w:adjustRightInd w:val="0"/>
        <w:jc w:val="both"/>
        <w:rPr>
          <w:color w:val="000000" w:themeColor="text1"/>
          <w:sz w:val="16"/>
          <w:szCs w:val="16"/>
        </w:rPr>
      </w:pPr>
    </w:p>
    <w:p w14:paraId="7A4657A1"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вышло Распоряжение ГКО № 8905 [Об установлении дополнительно переходящих вымпелов и денежных премий победителям во Всесоюзном социалистическом соревновании НКРФ.] (7346, 6).</w:t>
      </w:r>
    </w:p>
    <w:p w14:paraId="779CABF4"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07DA2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8906 О восстановлении и строительстве в 1945 году складов жидкого топлива для Наркомвоенморфлота. РГАНИР, Фонд ГКО, д. 422, лл. 7-12, 13-18 (11012).</w:t>
      </w:r>
    </w:p>
    <w:p w14:paraId="7EC49AC0" w14:textId="77777777" w:rsidR="00665165" w:rsidRPr="00F90EAE" w:rsidRDefault="00665165" w:rsidP="00F90EAE">
      <w:pPr>
        <w:autoSpaceDE w:val="0"/>
        <w:autoSpaceDN w:val="0"/>
        <w:adjustRightInd w:val="0"/>
        <w:jc w:val="both"/>
        <w:rPr>
          <w:color w:val="000000" w:themeColor="text1"/>
          <w:sz w:val="16"/>
          <w:szCs w:val="16"/>
        </w:rPr>
      </w:pPr>
    </w:p>
    <w:p w14:paraId="5771AD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8907 О мерах по обеспечению завоза сырья цветной металлургии по железным дорогам в июне-сентябре 1945 года. РГАНИР, Фонд ГКО, д. 422, лл. 19-23 (11012).</w:t>
      </w:r>
    </w:p>
    <w:p w14:paraId="3F0FCFCE" w14:textId="77777777" w:rsidR="00665165" w:rsidRPr="00F90EAE" w:rsidRDefault="00665165" w:rsidP="00F90EAE">
      <w:pPr>
        <w:autoSpaceDE w:val="0"/>
        <w:autoSpaceDN w:val="0"/>
        <w:adjustRightInd w:val="0"/>
        <w:jc w:val="both"/>
        <w:rPr>
          <w:color w:val="000000" w:themeColor="text1"/>
          <w:sz w:val="16"/>
          <w:szCs w:val="16"/>
        </w:rPr>
      </w:pPr>
    </w:p>
    <w:p w14:paraId="5CA3F9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8908 О Керченском железнодорожном мосте. РГАНИР, Фонд ГКО, д. 422, лл. 24-25 (11012).</w:t>
      </w:r>
    </w:p>
    <w:p w14:paraId="1997A65F" w14:textId="77777777" w:rsidR="00665165" w:rsidRPr="00F90EAE" w:rsidRDefault="00665165" w:rsidP="00F90EAE">
      <w:pPr>
        <w:autoSpaceDE w:val="0"/>
        <w:autoSpaceDN w:val="0"/>
        <w:adjustRightInd w:val="0"/>
        <w:jc w:val="both"/>
        <w:rPr>
          <w:color w:val="000000" w:themeColor="text1"/>
          <w:sz w:val="16"/>
          <w:szCs w:val="16"/>
        </w:rPr>
      </w:pPr>
    </w:p>
    <w:p w14:paraId="69D65B22"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8908 О Керченском железнодорожном мосте. (7346, 24-25).</w:t>
      </w:r>
    </w:p>
    <w:p w14:paraId="5F731246"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5C90E8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8909 О строительстве угольных шахт в Нелидовском районе Великолукской области. РГАНИР, Фонд ГКО, д. 422, лл. 26-29, 30-35 (11012).</w:t>
      </w:r>
    </w:p>
    <w:p w14:paraId="3E46F86B" w14:textId="77777777" w:rsidR="00665165" w:rsidRPr="00F90EAE" w:rsidRDefault="00665165" w:rsidP="00F90EAE">
      <w:pPr>
        <w:autoSpaceDE w:val="0"/>
        <w:autoSpaceDN w:val="0"/>
        <w:adjustRightInd w:val="0"/>
        <w:jc w:val="both"/>
        <w:rPr>
          <w:color w:val="000000" w:themeColor="text1"/>
          <w:sz w:val="16"/>
          <w:szCs w:val="16"/>
        </w:rPr>
      </w:pPr>
    </w:p>
    <w:p w14:paraId="43B4F7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8910 О мерах помощи объединению "Грознефть". РГАНИР, Фонд ГКО, д. 422, лл. 36-40, 41-44 (11012).</w:t>
      </w:r>
    </w:p>
    <w:p w14:paraId="1092CED6" w14:textId="77777777" w:rsidR="00665165" w:rsidRPr="00F90EAE" w:rsidRDefault="00665165" w:rsidP="00F90EAE">
      <w:pPr>
        <w:autoSpaceDE w:val="0"/>
        <w:autoSpaceDN w:val="0"/>
        <w:adjustRightInd w:val="0"/>
        <w:jc w:val="both"/>
        <w:rPr>
          <w:color w:val="000000" w:themeColor="text1"/>
          <w:sz w:val="16"/>
          <w:szCs w:val="16"/>
        </w:rPr>
      </w:pPr>
    </w:p>
    <w:p w14:paraId="6B15A209"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8911 Об организации лесозаготовительных предприятий Наркомбумпрома в Карело-Финской ССР. (7346, 45-49,50-52).</w:t>
      </w:r>
    </w:p>
    <w:p w14:paraId="37F6193F"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773367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8912 О строительстве торфобрикетных заводов для нужд города Ленинграда. РГАНИР, Фонд ГКО, д. 422, лл. 53-58, 59-62 (11012).</w:t>
      </w:r>
    </w:p>
    <w:p w14:paraId="0A286605" w14:textId="77777777" w:rsidR="00665165" w:rsidRPr="00F90EAE" w:rsidRDefault="00665165" w:rsidP="00F90EAE">
      <w:pPr>
        <w:autoSpaceDE w:val="0"/>
        <w:autoSpaceDN w:val="0"/>
        <w:adjustRightInd w:val="0"/>
        <w:jc w:val="both"/>
        <w:rPr>
          <w:color w:val="000000" w:themeColor="text1"/>
          <w:sz w:val="16"/>
          <w:szCs w:val="16"/>
        </w:rPr>
      </w:pPr>
    </w:p>
    <w:p w14:paraId="4ADE87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8913 О мерах увеличения добычи природного газа для снабжения электростанций и оборонных предприятий г. Куйбышева. РГАНИР, Фонд ГКО, д. 422, лл. 63-67, 68-69 (11012).</w:t>
      </w:r>
    </w:p>
    <w:p w14:paraId="560FE089" w14:textId="77777777" w:rsidR="00665165" w:rsidRPr="00F90EAE" w:rsidRDefault="00665165" w:rsidP="00F90EAE">
      <w:pPr>
        <w:autoSpaceDE w:val="0"/>
        <w:autoSpaceDN w:val="0"/>
        <w:adjustRightInd w:val="0"/>
        <w:jc w:val="both"/>
        <w:rPr>
          <w:color w:val="000000" w:themeColor="text1"/>
          <w:sz w:val="16"/>
          <w:szCs w:val="16"/>
        </w:rPr>
      </w:pPr>
    </w:p>
    <w:p w14:paraId="3A25D6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вышло Постановление ГКО № 8914 Об экономии электроэнергии в промышленности в 1945 году. РГАНИР, Фонд ГКО, д. 422, лл. 70-77, 78-129 (11012).</w:t>
      </w:r>
    </w:p>
    <w:p w14:paraId="5894EBE8" w14:textId="77777777" w:rsidR="00665165" w:rsidRPr="00F90EAE" w:rsidRDefault="00665165" w:rsidP="00F90EAE">
      <w:pPr>
        <w:autoSpaceDE w:val="0"/>
        <w:autoSpaceDN w:val="0"/>
        <w:adjustRightInd w:val="0"/>
        <w:jc w:val="both"/>
        <w:rPr>
          <w:color w:val="000000" w:themeColor="text1"/>
          <w:sz w:val="16"/>
          <w:szCs w:val="16"/>
        </w:rPr>
      </w:pPr>
    </w:p>
    <w:p w14:paraId="642B126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 мая 1945 г. ГКО принимает постановление об отправке в СССР в Лабораторию № 2 библиотек и имущества физических и химических институтов Грейфсвальдского и Ростокского университетов. Отбором и спецификацией оборудования и библиотек руководил сотрудник Лаборатории № 2 М. Певзнер, а за демонтаж и перевозку имущества отвечал заместитель наркома НКВДВ. Чернышов (11254).</w:t>
      </w:r>
    </w:p>
    <w:p w14:paraId="636DBB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3B3A62A" w14:textId="77777777" w:rsidR="00F3710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DFA5ECB" w14:textId="77777777" w:rsidR="00F37105" w:rsidRPr="00F90EAE" w:rsidRDefault="00F37105" w:rsidP="00F90EAE">
      <w:pPr>
        <w:autoSpaceDE w:val="0"/>
        <w:autoSpaceDN w:val="0"/>
        <w:adjustRightInd w:val="0"/>
        <w:jc w:val="both"/>
        <w:rPr>
          <w:iCs/>
          <w:color w:val="000000" w:themeColor="text1"/>
          <w:sz w:val="16"/>
          <w:szCs w:val="16"/>
        </w:rPr>
      </w:pPr>
    </w:p>
    <w:p w14:paraId="29135ACE" w14:textId="77777777" w:rsidR="00F37105" w:rsidRPr="00F90EAE" w:rsidRDefault="00F37105" w:rsidP="00F90EAE">
      <w:pPr>
        <w:pStyle w:val="book"/>
        <w:ind w:firstLine="0"/>
        <w:jc w:val="both"/>
        <w:rPr>
          <w:color w:val="000000" w:themeColor="text1"/>
          <w:sz w:val="16"/>
          <w:szCs w:val="16"/>
        </w:rPr>
      </w:pPr>
      <w:r w:rsidRPr="00F90EAE">
        <w:rPr>
          <w:color w:val="000000" w:themeColor="text1"/>
          <w:sz w:val="16"/>
          <w:szCs w:val="16"/>
        </w:rPr>
        <w:t>31 мая 1945 г. вышло Постановление ГКО № 8894: «Обязать Наркомфин СССР (т. Зверева) вывезти на базу Управления драгоценных металлов Наркомфина СССР в г. Москву ювелирные изделия, коллекцию монет и медалей из района г. Дрездена.</w:t>
      </w:r>
    </w:p>
    <w:p w14:paraId="668F4822" w14:textId="77777777" w:rsidR="00F37105" w:rsidRPr="00F90EAE" w:rsidRDefault="00F37105" w:rsidP="00F90EAE">
      <w:pPr>
        <w:pStyle w:val="book"/>
        <w:ind w:firstLine="0"/>
        <w:jc w:val="both"/>
        <w:rPr>
          <w:color w:val="000000" w:themeColor="text1"/>
          <w:sz w:val="16"/>
          <w:szCs w:val="16"/>
        </w:rPr>
      </w:pPr>
      <w:r w:rsidRPr="00F90EAE">
        <w:rPr>
          <w:color w:val="000000" w:themeColor="text1"/>
          <w:sz w:val="16"/>
          <w:szCs w:val="16"/>
        </w:rPr>
        <w:t>Тов. Звереву командировать в район г. Дрездена ответственного руководителя по ввозу ювелирных изделий и коллекции монет и медалей» (15225).</w:t>
      </w:r>
    </w:p>
    <w:p w14:paraId="21CF1C24" w14:textId="77777777" w:rsidR="00F37105" w:rsidRPr="00F90EAE" w:rsidRDefault="00F37105" w:rsidP="00F90EAE">
      <w:pPr>
        <w:pStyle w:val="book"/>
        <w:ind w:firstLine="0"/>
        <w:jc w:val="both"/>
        <w:rPr>
          <w:color w:val="000000" w:themeColor="text1"/>
          <w:sz w:val="16"/>
          <w:szCs w:val="16"/>
        </w:rPr>
      </w:pPr>
    </w:p>
    <w:p w14:paraId="2177581D" w14:textId="77777777" w:rsidR="00F3710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A7C0B80" w14:textId="77777777" w:rsidR="00F37105" w:rsidRPr="00F90EAE" w:rsidRDefault="00F37105" w:rsidP="00F90EAE">
      <w:pPr>
        <w:autoSpaceDE w:val="0"/>
        <w:autoSpaceDN w:val="0"/>
        <w:adjustRightInd w:val="0"/>
        <w:jc w:val="both"/>
        <w:rPr>
          <w:iCs/>
          <w:color w:val="000000" w:themeColor="text1"/>
          <w:sz w:val="16"/>
          <w:szCs w:val="16"/>
        </w:rPr>
      </w:pPr>
    </w:p>
    <w:p w14:paraId="03D22BD5" w14:textId="77777777" w:rsidR="00F37105" w:rsidRPr="00F90EAE" w:rsidRDefault="00F37105" w:rsidP="00F90EAE">
      <w:pPr>
        <w:jc w:val="both"/>
        <w:rPr>
          <w:color w:val="000000" w:themeColor="text1"/>
          <w:sz w:val="16"/>
          <w:szCs w:val="16"/>
        </w:rPr>
      </w:pPr>
      <w:r w:rsidRPr="00F90EAE">
        <w:rPr>
          <w:bCs/>
          <w:color w:val="000000" w:themeColor="text1"/>
          <w:sz w:val="16"/>
          <w:szCs w:val="16"/>
        </w:rPr>
        <w:t>31 мая</w:t>
      </w:r>
      <w:r w:rsidRPr="00F90EAE">
        <w:rPr>
          <w:color w:val="000000" w:themeColor="text1"/>
          <w:sz w:val="16"/>
          <w:szCs w:val="16"/>
        </w:rPr>
        <w:t xml:space="preserve"> в 1945 году специальный комитет при новом президенте США Гарри Трумене начинает обсуждение проблемы атомной бомбы, обладателями которой вскоре должны стать американцы. Одним из вопросов двухдневной дискуссии являются отношения с СССР: стоит ли делиться тайной со Сталиным, как это повлияет на взаимоотношения двух стран, когда новое оружие может появиться у других стран. Главным выводом становится решение применить атомную бомбу для быстрейшего завершения войны, целью должен стать один из городов, никаких предупреждений о новом оружии не должно быть, чтобы произведенный им эффект потряс как противников, так и союзников (14908).</w:t>
      </w:r>
    </w:p>
    <w:p w14:paraId="30E84772" w14:textId="77777777" w:rsidR="00F37105" w:rsidRPr="00F90EAE" w:rsidRDefault="00F37105" w:rsidP="00F90EAE">
      <w:pPr>
        <w:jc w:val="both"/>
        <w:rPr>
          <w:color w:val="000000" w:themeColor="text1"/>
          <w:sz w:val="16"/>
          <w:szCs w:val="16"/>
        </w:rPr>
      </w:pPr>
    </w:p>
    <w:p w14:paraId="5A09BBA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271BED4" w14:textId="77777777" w:rsidR="00665165" w:rsidRPr="00F90EAE" w:rsidRDefault="00665165" w:rsidP="00F90EAE">
      <w:pPr>
        <w:autoSpaceDE w:val="0"/>
        <w:autoSpaceDN w:val="0"/>
        <w:adjustRightInd w:val="0"/>
        <w:jc w:val="both"/>
        <w:rPr>
          <w:iCs/>
          <w:color w:val="000000" w:themeColor="text1"/>
          <w:sz w:val="16"/>
          <w:szCs w:val="16"/>
        </w:rPr>
      </w:pPr>
    </w:p>
    <w:p w14:paraId="20B2A2D5" w14:textId="77777777" w:rsidR="00665165" w:rsidRPr="00F90EAE" w:rsidRDefault="00665165"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31 мая 1945 норвежское правительство вернулось из изгнания в Осло (4962).</w:t>
      </w:r>
    </w:p>
    <w:p w14:paraId="001D9ABA" w14:textId="77777777" w:rsidR="00665165" w:rsidRPr="00F90EAE" w:rsidRDefault="00665165" w:rsidP="00F90EAE">
      <w:pPr>
        <w:tabs>
          <w:tab w:val="left" w:pos="11199"/>
        </w:tabs>
        <w:autoSpaceDE w:val="0"/>
        <w:autoSpaceDN w:val="0"/>
        <w:adjustRightInd w:val="0"/>
        <w:jc w:val="both"/>
        <w:rPr>
          <w:color w:val="000000" w:themeColor="text1"/>
          <w:sz w:val="16"/>
          <w:szCs w:val="16"/>
        </w:rPr>
      </w:pPr>
    </w:p>
    <w:p w14:paraId="0AC580C7" w14:textId="77777777" w:rsidR="00665165" w:rsidRPr="00F90EAE" w:rsidRDefault="00665165"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The Interim Committee on S-1 (a code term for the Manhattan Project) advised the President on May 31 that the bomb should be used against Japan and that a demonstration explosion would not be sufficient. Reasons included the possibility that the bomb would not work, that the Japanese might think the demonstration was faked, and that there was no way to make the demonstration convincing enough to end the war (1287).</w:t>
      </w:r>
    </w:p>
    <w:p w14:paraId="55EA1667" w14:textId="77777777" w:rsidR="00665165" w:rsidRPr="00F90EAE" w:rsidRDefault="00665165" w:rsidP="00F90EAE">
      <w:pPr>
        <w:autoSpaceDE w:val="0"/>
        <w:autoSpaceDN w:val="0"/>
        <w:adjustRightInd w:val="0"/>
        <w:jc w:val="both"/>
        <w:rPr>
          <w:color w:val="000000" w:themeColor="text1"/>
          <w:sz w:val="16"/>
          <w:szCs w:val="16"/>
          <w:lang w:val="en-US"/>
        </w:rPr>
      </w:pPr>
    </w:p>
    <w:p w14:paraId="106A59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 мая 1945 комитет по Манхэттенскому проекту рекомендовал президенту применить атомную бомбу по Японии и сообщил, что демонстрации окажется недостаточным (1287).</w:t>
      </w:r>
    </w:p>
    <w:p w14:paraId="5B07E4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это был специальный комитет при новом Президенте Г.Трумэне, который принял решение о применении бомбы без предупреждений, чтобы произвести эффект как на противника, так и на союзников (3263,284).</w:t>
      </w:r>
    </w:p>
    <w:p w14:paraId="58D35748" w14:textId="77777777" w:rsidR="00665165" w:rsidRPr="00F90EAE" w:rsidRDefault="00665165" w:rsidP="00F90EAE">
      <w:pPr>
        <w:autoSpaceDE w:val="0"/>
        <w:autoSpaceDN w:val="0"/>
        <w:adjustRightInd w:val="0"/>
        <w:jc w:val="both"/>
        <w:rPr>
          <w:color w:val="000000" w:themeColor="text1"/>
          <w:sz w:val="16"/>
          <w:szCs w:val="16"/>
        </w:rPr>
      </w:pPr>
    </w:p>
    <w:p w14:paraId="2740CB4E" w14:textId="77777777" w:rsidR="00247854" w:rsidRPr="00F90EAE" w:rsidRDefault="00247854" w:rsidP="00F90EAE">
      <w:pPr>
        <w:jc w:val="both"/>
        <w:rPr>
          <w:color w:val="0070C0"/>
          <w:sz w:val="16"/>
          <w:szCs w:val="16"/>
        </w:rPr>
      </w:pPr>
      <w:r w:rsidRPr="00F90EAE">
        <w:rPr>
          <w:color w:val="0070C0"/>
          <w:sz w:val="16"/>
          <w:szCs w:val="16"/>
        </w:rPr>
        <w:t>31 мая 1945 основана компания Middle East Airlines. Он начнет полеты в январе 1946 года (20371).</w:t>
      </w:r>
    </w:p>
    <w:p w14:paraId="7BC44068" w14:textId="77777777" w:rsidR="00247854" w:rsidRPr="00F90EAE" w:rsidRDefault="00247854" w:rsidP="00F90EAE">
      <w:pPr>
        <w:jc w:val="both"/>
        <w:rPr>
          <w:color w:val="0070C0"/>
          <w:sz w:val="16"/>
          <w:szCs w:val="16"/>
        </w:rPr>
      </w:pPr>
    </w:p>
    <w:p w14:paraId="3EC840A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364CB77" w14:textId="77777777" w:rsidR="00665165" w:rsidRPr="00F90EAE" w:rsidRDefault="00665165" w:rsidP="00F90EAE">
      <w:pPr>
        <w:autoSpaceDE w:val="0"/>
        <w:autoSpaceDN w:val="0"/>
        <w:adjustRightInd w:val="0"/>
        <w:jc w:val="both"/>
        <w:rPr>
          <w:iCs/>
          <w:color w:val="000000" w:themeColor="text1"/>
          <w:sz w:val="16"/>
          <w:szCs w:val="16"/>
        </w:rPr>
      </w:pPr>
    </w:p>
    <w:p w14:paraId="6CDE5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последней декаде мая 1945 было решено объединить разрозненные группы советских специалистов из различных ведомств (от НКАП были В.Ф.Болховитинов, Б.Е.Черток, А.Н.Исаев, Ю.А.Победоносцев, от радиотехников - М.С.Рязанский, Е.Я.Богуславский, В.А.Говядинов, Н.М.Белов, Б.Ушаков и др.), направленных для ознакомления с ракетной техникой и подготовиться к приему значительного числа специалистов, направляемых через ЦК КПСС. Потом создали СТК - советскую техническую комиссию (1142).</w:t>
      </w:r>
    </w:p>
    <w:p w14:paraId="2A09930B" w14:textId="77777777" w:rsidR="00665165" w:rsidRPr="00F90EAE" w:rsidRDefault="00665165" w:rsidP="00F90EAE">
      <w:pPr>
        <w:autoSpaceDE w:val="0"/>
        <w:autoSpaceDN w:val="0"/>
        <w:adjustRightInd w:val="0"/>
        <w:jc w:val="both"/>
        <w:rPr>
          <w:color w:val="000000" w:themeColor="text1"/>
          <w:sz w:val="16"/>
          <w:szCs w:val="16"/>
        </w:rPr>
      </w:pPr>
    </w:p>
    <w:p w14:paraId="4C5AD826"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4230AC3" w14:textId="77777777" w:rsidR="00665165" w:rsidRPr="00F90EAE" w:rsidRDefault="00665165" w:rsidP="00F90EAE">
      <w:pPr>
        <w:autoSpaceDE w:val="0"/>
        <w:autoSpaceDN w:val="0"/>
        <w:adjustRightInd w:val="0"/>
        <w:jc w:val="both"/>
        <w:rPr>
          <w:iCs/>
          <w:color w:val="000000" w:themeColor="text1"/>
          <w:sz w:val="16"/>
          <w:szCs w:val="16"/>
        </w:rPr>
      </w:pPr>
    </w:p>
    <w:p w14:paraId="5F60B6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концу мая 1945 был изготовлен первый Ил-16 и в июне приступили к летным испытаниям. Вследствие того, что мотор М-43 был не доведен ГК С.В.И. дальнейшее испытание Ил-16 прекратил и рекомендацию о запуске его в серию снял (2490).</w:t>
      </w:r>
    </w:p>
    <w:p w14:paraId="1C3F860A" w14:textId="77777777" w:rsidR="00665165" w:rsidRPr="00F90EAE" w:rsidRDefault="00665165" w:rsidP="00F90EAE">
      <w:pPr>
        <w:autoSpaceDE w:val="0"/>
        <w:autoSpaceDN w:val="0"/>
        <w:adjustRightInd w:val="0"/>
        <w:jc w:val="both"/>
        <w:rPr>
          <w:color w:val="000000" w:themeColor="text1"/>
          <w:sz w:val="16"/>
          <w:szCs w:val="16"/>
        </w:rPr>
      </w:pPr>
    </w:p>
    <w:p w14:paraId="4C05F9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конца мая месяца 1945 на первом экземпляре Ил-16 удалось вы</w:t>
      </w:r>
      <w:r w:rsidRPr="00F90EAE">
        <w:rPr>
          <w:color w:val="000000" w:themeColor="text1"/>
          <w:sz w:val="16"/>
          <w:szCs w:val="16"/>
        </w:rPr>
        <w:softHyphen/>
        <w:t>полнить еще один полет, после чего приняли решение пере</w:t>
      </w:r>
      <w:r w:rsidRPr="00F90EAE">
        <w:rPr>
          <w:color w:val="000000" w:themeColor="text1"/>
          <w:sz w:val="16"/>
          <w:szCs w:val="16"/>
        </w:rPr>
        <w:softHyphen/>
        <w:t>дать одну машину на завод № 240 для доводки винтомоторной группы и продолжения летных испытаний, которые из-за не-доведенности мотора АМ-43 сильно затянулись.</w:t>
      </w:r>
    </w:p>
    <w:p w14:paraId="1C3197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Второй экземпляр перед испытаниями подвергся сущест</w:t>
      </w:r>
      <w:r w:rsidRPr="00F90EAE">
        <w:rPr>
          <w:color w:val="000000" w:themeColor="text1"/>
          <w:sz w:val="16"/>
          <w:szCs w:val="16"/>
        </w:rPr>
        <w:softHyphen/>
        <w:t>венной переделке. Хвостовую часть фюзеляжа удлинили на 50 см. Увеличили высоту и площадь хвостового оперения. На руле направления поставили триммер. Одновременно по реко</w:t>
      </w:r>
      <w:r w:rsidRPr="00F90EAE">
        <w:rPr>
          <w:color w:val="000000" w:themeColor="text1"/>
          <w:sz w:val="16"/>
          <w:szCs w:val="16"/>
        </w:rPr>
        <w:softHyphen/>
        <w:t>мендации ЦИАМ улучшили систему амортизации мотора. Эти мероприятия повысили продольную устойчивость самолета и уменьшили тряску в полете. Однако мотор работал ненадежно.</w:t>
      </w:r>
    </w:p>
    <w:p w14:paraId="358C54D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постоянные проблемы с мотором, испытатель</w:t>
      </w:r>
      <w:r w:rsidRPr="00F90EAE">
        <w:rPr>
          <w:color w:val="000000" w:themeColor="text1"/>
          <w:sz w:val="16"/>
          <w:szCs w:val="16"/>
        </w:rPr>
        <w:softHyphen/>
        <w:t>ной бригаде все же удалось снять почти все основные летные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составила 700 км. Время подъе</w:t>
      </w:r>
      <w:r w:rsidRPr="00F90EAE">
        <w:rPr>
          <w:color w:val="000000" w:themeColor="text1"/>
          <w:sz w:val="16"/>
          <w:szCs w:val="16"/>
        </w:rPr>
        <w:softHyphen/>
        <w:t>ма на высоту 4000 м — 6,0 мин., а на высоту 5000 м — 8,5 мин.; потолок — 8500 м; посадочная скорость — 140 км/ч.</w:t>
      </w:r>
    </w:p>
    <w:p w14:paraId="63A0C20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Еще в период испытаний распоряжением начальника 10-го главного управления НКАП Н.И. Кузнецова на заводе № 30 начали строить малую серию Ил-16 из 25 экземпляров. Срок завершения этой работы не устанавливался. К 1 октября 1945 г. один серийный самолет был построен и находился на летно-испытательной станции завода, два пребывали в цехе окончательной сборки, а в цехе предварительной сборки шла стыковка еще трех штурмовиков. Кроме этого, завод изготовил агрегаты и комплектующие на восемь машин, а еще на де</w:t>
      </w:r>
      <w:r w:rsidRPr="00F90EAE">
        <w:rPr>
          <w:color w:val="000000" w:themeColor="text1"/>
          <w:sz w:val="16"/>
          <w:szCs w:val="16"/>
        </w:rPr>
        <w:softHyphen/>
        <w:t>вять — находились в стадии завершения (11474,532).</w:t>
      </w:r>
    </w:p>
    <w:p w14:paraId="294090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CF98D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конце мая 1945 Глав</w:t>
      </w:r>
      <w:r w:rsidRPr="00F90EAE">
        <w:rPr>
          <w:color w:val="000000" w:themeColor="text1"/>
          <w:sz w:val="16"/>
          <w:szCs w:val="16"/>
        </w:rPr>
        <w:softHyphen/>
        <w:t>ный инженер ВВС КА генерал-полковник А.К. Репин, давая Новикову пояснения по вопросу запуска в производство Ил-16, обратил внимание командующего на следующие обстоятельства, сопутствующие постройке Ил-16: «...ЛТД &lt;...&gt; являются проектными. Эскиз</w:t>
      </w:r>
      <w:r w:rsidRPr="00F90EAE">
        <w:rPr>
          <w:color w:val="000000" w:themeColor="text1"/>
          <w:sz w:val="16"/>
          <w:szCs w:val="16"/>
        </w:rPr>
        <w:softHyphen/>
        <w:t>ный проект и макет самолета на заключение в ГК НИИ ВВС не представлялся, самолет строится без ТТТ. При по</w:t>
      </w:r>
      <w:r w:rsidRPr="00F90EAE">
        <w:rPr>
          <w:color w:val="000000" w:themeColor="text1"/>
          <w:sz w:val="16"/>
          <w:szCs w:val="16"/>
        </w:rPr>
        <w:softHyphen/>
        <w:t>стройке самолета не учтены выявленные при войсковых испы</w:t>
      </w:r>
      <w:r w:rsidRPr="00F90EAE">
        <w:rPr>
          <w:color w:val="000000" w:themeColor="text1"/>
          <w:sz w:val="16"/>
          <w:szCs w:val="16"/>
        </w:rPr>
        <w:softHyphen/>
        <w:t>таниях конструктивные недостатки однотипного самолета Ил-10. Основными из этих оставшихся на самолете Ил-16 яв</w:t>
      </w:r>
      <w:r w:rsidRPr="00F90EAE">
        <w:rPr>
          <w:color w:val="000000" w:themeColor="text1"/>
          <w:sz w:val="16"/>
          <w:szCs w:val="16"/>
        </w:rPr>
        <w:softHyphen/>
        <w:t>ляются: расчет прочности самолета по классу «Б» (ограничен</w:t>
      </w:r>
      <w:r w:rsidRPr="00F90EAE">
        <w:rPr>
          <w:color w:val="000000" w:themeColor="text1"/>
          <w:sz w:val="16"/>
          <w:szCs w:val="16"/>
        </w:rPr>
        <w:softHyphen/>
        <w:t>но маневренные самолеты), в то время как он должен быть от</w:t>
      </w:r>
      <w:r w:rsidRPr="00F90EAE">
        <w:rPr>
          <w:color w:val="000000" w:themeColor="text1"/>
          <w:sz w:val="16"/>
          <w:szCs w:val="16"/>
        </w:rPr>
        <w:softHyphen/>
        <w:t>несен к классу «А» (маневренные самолеты); ослабление бро</w:t>
      </w:r>
      <w:r w:rsidRPr="00F90EAE">
        <w:rPr>
          <w:color w:val="000000" w:themeColor="text1"/>
          <w:sz w:val="16"/>
          <w:szCs w:val="16"/>
        </w:rPr>
        <w:softHyphen/>
        <w:t>нирования по сравнению с самолетом Ил-10; ...сложная и громоздкая система подвески наружных бомб; ...отсутствие системы нейтральных газов и пылефильтров».</w:t>
      </w:r>
    </w:p>
    <w:p w14:paraId="7CC8F56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Здесь уместно напомнить, что подобный «маневр» — по</w:t>
      </w:r>
      <w:r w:rsidRPr="00F90EAE">
        <w:rPr>
          <w:color w:val="000000" w:themeColor="text1"/>
          <w:sz w:val="16"/>
          <w:szCs w:val="16"/>
        </w:rPr>
        <w:softHyphen/>
        <w:t>стройка опытного боевого самолета без согласования с ВВС требований к нему и проекта С.В. Ильюшин удачно провернул с Ил-10. Что из этого получилось, уже было известно.</w:t>
      </w:r>
    </w:p>
    <w:p w14:paraId="447B701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ВВС маршал А.А. Новиков в своем ответе вежливо пояснил Главному конструктору, что «до запуска в се</w:t>
      </w:r>
      <w:r w:rsidRPr="00F90EAE">
        <w:rPr>
          <w:color w:val="000000" w:themeColor="text1"/>
          <w:sz w:val="16"/>
          <w:szCs w:val="16"/>
        </w:rPr>
        <w:softHyphen/>
        <w:t>рию Ил-16 с М-43 должен пройти госиспытания».</w:t>
      </w:r>
    </w:p>
    <w:p w14:paraId="4E8836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 Ильюшин был вынужден официально снять свое пред</w:t>
      </w:r>
      <w:r w:rsidRPr="00F90EAE">
        <w:rPr>
          <w:color w:val="000000" w:themeColor="text1"/>
          <w:sz w:val="16"/>
          <w:szCs w:val="16"/>
        </w:rPr>
        <w:softHyphen/>
        <w:t>ложение о запуске в серийное производство Ил-16. В конечном итоге мотор АМ-43 до массового производства так и не довели, поэтому летом 1946 г. работы по Ил-16 прекратили. Судьба построенных и недостроенных самолетов этого типа неизвестна. По всей видимости, они все были списаны на разделку (11474,534).</w:t>
      </w:r>
    </w:p>
    <w:p w14:paraId="5A9977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C8975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мая 1945 закончились государственные испытания второго Пе-8ОН в ГК НИИ ВВС, которые проходили с марта. Самолет испытывал экипаж военных летчиков-испытателей во главе с ведущим летчиком-испытателем В.И Ждановым (ведущий инженер Панюшкин М.И.). Всего за время испытаний было выполнено 26 полетов общей продолжительностью 57 часов. В ходе испытаний были зафиксированы следующие летные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561F31" w:rsidRPr="00F90EAE" w14:paraId="006BF6B2" w14:textId="77777777">
        <w:tc>
          <w:tcPr>
            <w:tcW w:w="4261" w:type="dxa"/>
          </w:tcPr>
          <w:p w14:paraId="506555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Масса пустого самолета, кг</w:t>
            </w:r>
          </w:p>
        </w:tc>
        <w:tc>
          <w:tcPr>
            <w:tcW w:w="4261" w:type="dxa"/>
          </w:tcPr>
          <w:p w14:paraId="5A9E27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r>
      <w:tr w:rsidR="00561F31" w:rsidRPr="00F90EAE" w14:paraId="23552E73" w14:textId="77777777">
        <w:tc>
          <w:tcPr>
            <w:tcW w:w="4261" w:type="dxa"/>
          </w:tcPr>
          <w:p w14:paraId="48E3C0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полетная масса, кг</w:t>
            </w:r>
          </w:p>
        </w:tc>
        <w:tc>
          <w:tcPr>
            <w:tcW w:w="4261" w:type="dxa"/>
          </w:tcPr>
          <w:p w14:paraId="646F77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r>
      <w:tr w:rsidR="00561F31" w:rsidRPr="00F90EAE" w14:paraId="301749CD" w14:textId="77777777">
        <w:tc>
          <w:tcPr>
            <w:tcW w:w="4261" w:type="dxa"/>
          </w:tcPr>
          <w:p w14:paraId="15E3C6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Перегрузочная масса, кг</w:t>
            </w:r>
          </w:p>
        </w:tc>
        <w:tc>
          <w:tcPr>
            <w:tcW w:w="4261" w:type="dxa"/>
          </w:tcPr>
          <w:p w14:paraId="5E3847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r>
      <w:tr w:rsidR="00561F31" w:rsidRPr="00F90EAE" w14:paraId="1168AD04" w14:textId="77777777">
        <w:tc>
          <w:tcPr>
            <w:tcW w:w="4261" w:type="dxa"/>
          </w:tcPr>
          <w:p w14:paraId="087717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топливных баков, л</w:t>
            </w:r>
          </w:p>
        </w:tc>
        <w:tc>
          <w:tcPr>
            <w:tcW w:w="4261" w:type="dxa"/>
          </w:tcPr>
          <w:p w14:paraId="5BBD8A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r>
      <w:tr w:rsidR="00561F31" w:rsidRPr="00F90EAE" w14:paraId="77E88158" w14:textId="77777777">
        <w:tc>
          <w:tcPr>
            <w:tcW w:w="4261" w:type="dxa"/>
          </w:tcPr>
          <w:p w14:paraId="77C23F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 чел.</w:t>
            </w:r>
          </w:p>
        </w:tc>
        <w:tc>
          <w:tcPr>
            <w:tcW w:w="4261" w:type="dxa"/>
          </w:tcPr>
          <w:p w14:paraId="720D00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r>
      <w:tr w:rsidR="00561F31" w:rsidRPr="00F90EAE" w14:paraId="2C9E861B" w14:textId="77777777">
        <w:tc>
          <w:tcPr>
            <w:tcW w:w="4261" w:type="dxa"/>
          </w:tcPr>
          <w:p w14:paraId="2DB70E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км/ч у земли</w:t>
            </w:r>
          </w:p>
        </w:tc>
        <w:tc>
          <w:tcPr>
            <w:tcW w:w="4261" w:type="dxa"/>
          </w:tcPr>
          <w:p w14:paraId="62BAA0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r>
      <w:tr w:rsidR="00561F31" w:rsidRPr="00F90EAE" w14:paraId="6C05883C" w14:textId="77777777">
        <w:tc>
          <w:tcPr>
            <w:tcW w:w="4261" w:type="dxa"/>
          </w:tcPr>
          <w:p w14:paraId="588B8B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6000 м</w:t>
            </w:r>
          </w:p>
        </w:tc>
        <w:tc>
          <w:tcPr>
            <w:tcW w:w="4261" w:type="dxa"/>
          </w:tcPr>
          <w:p w14:paraId="7C6FE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r>
      <w:tr w:rsidR="00561F31" w:rsidRPr="00F90EAE" w14:paraId="2A2E17BD" w14:textId="77777777">
        <w:tc>
          <w:tcPr>
            <w:tcW w:w="4261" w:type="dxa"/>
          </w:tcPr>
          <w:p w14:paraId="2B485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4261" w:type="dxa"/>
          </w:tcPr>
          <w:p w14:paraId="1155F8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r>
      <w:tr w:rsidR="00561F31" w:rsidRPr="00F90EAE" w14:paraId="28390C57" w14:textId="77777777">
        <w:tc>
          <w:tcPr>
            <w:tcW w:w="4261" w:type="dxa"/>
          </w:tcPr>
          <w:p w14:paraId="45517C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Бремя подъема, мин на высоту 5000м</w:t>
            </w:r>
          </w:p>
        </w:tc>
        <w:tc>
          <w:tcPr>
            <w:tcW w:w="4261" w:type="dxa"/>
          </w:tcPr>
          <w:p w14:paraId="62245E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19,2</w:t>
            </w:r>
          </w:p>
        </w:tc>
      </w:tr>
      <w:tr w:rsidR="00561F31" w:rsidRPr="00F90EAE" w14:paraId="38063E2A" w14:textId="77777777">
        <w:tc>
          <w:tcPr>
            <w:tcW w:w="4261" w:type="dxa"/>
          </w:tcPr>
          <w:p w14:paraId="2F9B23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км</w:t>
            </w:r>
          </w:p>
        </w:tc>
        <w:tc>
          <w:tcPr>
            <w:tcW w:w="4261" w:type="dxa"/>
          </w:tcPr>
          <w:p w14:paraId="6DAD9A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r>
      <w:tr w:rsidR="00561F31" w:rsidRPr="00F90EAE" w14:paraId="0729ED72" w14:textId="77777777">
        <w:tc>
          <w:tcPr>
            <w:tcW w:w="4261" w:type="dxa"/>
          </w:tcPr>
          <w:p w14:paraId="628BAD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м</w:t>
            </w:r>
          </w:p>
        </w:tc>
        <w:tc>
          <w:tcPr>
            <w:tcW w:w="4261" w:type="dxa"/>
          </w:tcPr>
          <w:p w14:paraId="23802C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r>
      <w:tr w:rsidR="00561F31" w:rsidRPr="00F90EAE" w14:paraId="397D089B" w14:textId="77777777">
        <w:tc>
          <w:tcPr>
            <w:tcW w:w="4261" w:type="dxa"/>
          </w:tcPr>
          <w:p w14:paraId="6E86E0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пробега, м</w:t>
            </w:r>
          </w:p>
        </w:tc>
        <w:tc>
          <w:tcPr>
            <w:tcW w:w="4261" w:type="dxa"/>
          </w:tcPr>
          <w:p w14:paraId="47699B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r>
      <w:tr w:rsidR="00561F31" w:rsidRPr="00F90EAE" w14:paraId="7064E9B0" w14:textId="77777777">
        <w:tc>
          <w:tcPr>
            <w:tcW w:w="4261" w:type="dxa"/>
          </w:tcPr>
          <w:p w14:paraId="0CBFF1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 км/ч</w:t>
            </w:r>
          </w:p>
        </w:tc>
        <w:tc>
          <w:tcPr>
            <w:tcW w:w="4261" w:type="dxa"/>
          </w:tcPr>
          <w:p w14:paraId="3AAF41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r>
    </w:tbl>
    <w:p w14:paraId="6A65EC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была получена по результатам контрольного полета для полетной массы 35500 кг, при массе топлива 9150 кг.</w:t>
      </w:r>
    </w:p>
    <w:p w14:paraId="633132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Получить на испытаниях максимальную дальность не удалось из-за выбрасывания масла в полете через дренаж.</w:t>
      </w:r>
    </w:p>
    <w:p w14:paraId="71615D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Дежурными со стороны ГК НИИ ВВС были замечания по АЧ-ЗОБ. За время испытаний двигатели в среднем нарабатывали 67 часов, отмечалось наличие металлической стружки в маслосистеме двигателей, выброс масла из дренажей маслосистемы, недостаточная эффективность системы охлаждения двигателей на больших высотах и т.д.</w:t>
      </w:r>
    </w:p>
    <w:p w14:paraId="3F5B1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к Акту по испытаниям говорилось, что переоборудованный тяжелый бомбардировщик Пе-8 4АЧ-30Б №42712 в пассажирский высотный самолет дальнего действия выполнен в общем удовлетворительно. Конструкция самолета перетяжелена на 1362 кг, что привело к уменьшению полезной нагрузки, что в свою очередь привело к уменьшению запаса топлива и сокращению максимальной дальности полета. Предлагалось заводу №22 устранить дефекты и передать самолет в эксплуатацию по назначению. Что стало в дальнейшем с этими машинами, сейчас, по прошествии почти 60-ти лет, установить доподлинно трудно. Главный конструктор И.Ф.Незваль утверждает, что о дальнейшей судьбе машин ему ничего не известно. В то же время в годовом отчете ОКБ при заводе №22 за 1945 год в разделе "Модификация самолета Пе-8 с моторами АЧ-ЗОБ в пассажирском варианте на 14 мест" отмечается, что в 1945 году ОКБ было занято проектированием и постройкой 4-х пассажирских самолетов Пе-8 4АЧ-30Б и проведением летных испытаний 2-х самолетов. Также говорится, что в основном указанная тема состоит из проектирования и обслуживания производства 4-х пассажирских самолетов и что работы по этой теме продолжались до конца 1945 года и перешли на 1946 год. Эту тему с ОКБ не сняли даже после Приказа НКАП №263 от 22 июня 1945 года по подключению ОКБ Незваля к работам А. Н. Туполева по проекту Б-4 (Ту-4), хотя все остальные работы с Незваля во втором полугодии были сняты (7685).</w:t>
      </w:r>
    </w:p>
    <w:p w14:paraId="25685C56" w14:textId="77777777" w:rsidR="00665165" w:rsidRPr="00F90EAE" w:rsidRDefault="00665165" w:rsidP="00F90EAE">
      <w:pPr>
        <w:autoSpaceDE w:val="0"/>
        <w:autoSpaceDN w:val="0"/>
        <w:adjustRightInd w:val="0"/>
        <w:jc w:val="both"/>
        <w:rPr>
          <w:color w:val="000000" w:themeColor="text1"/>
          <w:sz w:val="16"/>
          <w:szCs w:val="16"/>
        </w:rPr>
      </w:pPr>
    </w:p>
    <w:p w14:paraId="2FAB2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мая 1945 закончились государственные испытания второго Пе-8ОН в ГК НИИ ВВС, которые проходили с марта или апреля 1945.</w:t>
      </w:r>
    </w:p>
    <w:p w14:paraId="53C142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383036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2CB876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3BAD64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05E315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73B1D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08089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4C248B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30F5FF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6859C2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56755F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6FDA02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9B033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17AA9A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07047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5238C1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66754F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3D838B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7A8966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043532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07D954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377966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4754E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1FB0AD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5809A4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4F35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058709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2892C3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215BF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6145FD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550E88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2992D3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00D021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4B9155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2176DA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67A1F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4AA480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23F4B8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7E4C9F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5C854E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011634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4BF745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682873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72F16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314BE0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470080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7959DB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074257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1724CB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79AF52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0956DF4A" w14:textId="77777777">
        <w:tc>
          <w:tcPr>
            <w:tcW w:w="4219" w:type="dxa"/>
            <w:tcBorders>
              <w:top w:val="single" w:sz="12" w:space="0" w:color="auto"/>
            </w:tcBorders>
          </w:tcPr>
          <w:p w14:paraId="55F9326D" w14:textId="77777777" w:rsidR="00665165" w:rsidRPr="00F90EAE" w:rsidRDefault="00665165"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541066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14495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5CC4EA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610B1778" w14:textId="77777777">
        <w:tc>
          <w:tcPr>
            <w:tcW w:w="4219" w:type="dxa"/>
          </w:tcPr>
          <w:p w14:paraId="64C0D1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54340C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6BDDD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39E6A9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07F3317C" w14:textId="77777777">
        <w:tc>
          <w:tcPr>
            <w:tcW w:w="4219" w:type="dxa"/>
          </w:tcPr>
          <w:p w14:paraId="019045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16D7DE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728E3D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55DFDB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1A41BB64" w14:textId="77777777">
        <w:tc>
          <w:tcPr>
            <w:tcW w:w="4219" w:type="dxa"/>
          </w:tcPr>
          <w:p w14:paraId="17BE1F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73DC15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5D2CDF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1D95E3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02506D57" w14:textId="77777777">
        <w:tc>
          <w:tcPr>
            <w:tcW w:w="4219" w:type="dxa"/>
          </w:tcPr>
          <w:p w14:paraId="66BE9E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39C257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6FAF2F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2EC623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3B7DB4C1" w14:textId="77777777">
        <w:tc>
          <w:tcPr>
            <w:tcW w:w="4219" w:type="dxa"/>
          </w:tcPr>
          <w:p w14:paraId="627F64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4C3B3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1790B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269BA1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15DE82F2" w14:textId="77777777">
        <w:tc>
          <w:tcPr>
            <w:tcW w:w="4219" w:type="dxa"/>
          </w:tcPr>
          <w:p w14:paraId="608C2B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7C7A24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74C6F8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10408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62FA6BFD" w14:textId="77777777">
        <w:tc>
          <w:tcPr>
            <w:tcW w:w="4219" w:type="dxa"/>
          </w:tcPr>
          <w:p w14:paraId="14523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31432F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7977CC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03EAD5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5D67C4AC" w14:textId="77777777">
        <w:tc>
          <w:tcPr>
            <w:tcW w:w="4219" w:type="dxa"/>
          </w:tcPr>
          <w:p w14:paraId="3C0DC6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7795D2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49CADE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06D2BB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0F5B960D" w14:textId="77777777">
        <w:tc>
          <w:tcPr>
            <w:tcW w:w="4219" w:type="dxa"/>
          </w:tcPr>
          <w:p w14:paraId="70F0DC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634A77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3ADB0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7FF5AF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19AAFCDF" w14:textId="77777777">
        <w:tc>
          <w:tcPr>
            <w:tcW w:w="4219" w:type="dxa"/>
          </w:tcPr>
          <w:p w14:paraId="479839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35E7A5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12B9EC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01B862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0C69E7CC" w14:textId="77777777">
        <w:tc>
          <w:tcPr>
            <w:tcW w:w="4219" w:type="dxa"/>
          </w:tcPr>
          <w:p w14:paraId="4FB3AB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3AC5C4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500C8A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0C3947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55C2C1D3" w14:textId="77777777">
        <w:tc>
          <w:tcPr>
            <w:tcW w:w="4219" w:type="dxa"/>
          </w:tcPr>
          <w:p w14:paraId="55EE42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30853C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0277F4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4EDB7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79BC7BB9" w14:textId="77777777">
        <w:tc>
          <w:tcPr>
            <w:tcW w:w="4219" w:type="dxa"/>
          </w:tcPr>
          <w:p w14:paraId="2B92B1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35A28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36CA94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14AE31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497C45D5" w14:textId="77777777">
        <w:tc>
          <w:tcPr>
            <w:tcW w:w="4219" w:type="dxa"/>
          </w:tcPr>
          <w:p w14:paraId="4EE353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01F8FA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47B373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4A58BD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0891F302" w14:textId="77777777">
        <w:tc>
          <w:tcPr>
            <w:tcW w:w="4219" w:type="dxa"/>
          </w:tcPr>
          <w:p w14:paraId="3F8FD0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0B3C9D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2F853D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258C0B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2BD6AD90" w14:textId="77777777">
        <w:tc>
          <w:tcPr>
            <w:tcW w:w="4219" w:type="dxa"/>
          </w:tcPr>
          <w:p w14:paraId="622447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24C6A7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742104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31C69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776CE600" w14:textId="77777777">
        <w:tc>
          <w:tcPr>
            <w:tcW w:w="4219" w:type="dxa"/>
          </w:tcPr>
          <w:p w14:paraId="65CD4A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0F9F8F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775C57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2C8B4F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26014493" w14:textId="77777777">
        <w:tc>
          <w:tcPr>
            <w:tcW w:w="4219" w:type="dxa"/>
            <w:tcBorders>
              <w:bottom w:val="single" w:sz="12" w:space="0" w:color="auto"/>
            </w:tcBorders>
          </w:tcPr>
          <w:p w14:paraId="27C08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20615B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51F174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371119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19B07C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22B6E7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5DCC7B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8BD14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Допустимая нагрузка при перегрузке: горючее - 5300, масло 200, всего 5500</w:t>
      </w:r>
    </w:p>
    <w:p w14:paraId="58B984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558DC0C7" w14:textId="77777777">
        <w:tc>
          <w:tcPr>
            <w:tcW w:w="675" w:type="dxa"/>
            <w:tcBorders>
              <w:top w:val="single" w:sz="12" w:space="0" w:color="auto"/>
            </w:tcBorders>
          </w:tcPr>
          <w:p w14:paraId="6026F9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5246C9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00A3B2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230019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55EF39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0297F9C7" w14:textId="77777777">
        <w:tc>
          <w:tcPr>
            <w:tcW w:w="675" w:type="dxa"/>
          </w:tcPr>
          <w:p w14:paraId="3A2970B4" w14:textId="77777777" w:rsidR="00665165" w:rsidRPr="00F90EAE" w:rsidRDefault="00665165" w:rsidP="00F90EAE">
            <w:pPr>
              <w:autoSpaceDE w:val="0"/>
              <w:autoSpaceDN w:val="0"/>
              <w:adjustRightInd w:val="0"/>
              <w:jc w:val="both"/>
              <w:rPr>
                <w:color w:val="000000" w:themeColor="text1"/>
                <w:sz w:val="16"/>
                <w:szCs w:val="16"/>
              </w:rPr>
            </w:pPr>
          </w:p>
        </w:tc>
        <w:tc>
          <w:tcPr>
            <w:tcW w:w="993" w:type="dxa"/>
          </w:tcPr>
          <w:p w14:paraId="62D57E22"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3354C8E7"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56AC04A2"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203A95F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4B5689C" w14:textId="77777777">
        <w:tc>
          <w:tcPr>
            <w:tcW w:w="675" w:type="dxa"/>
          </w:tcPr>
          <w:p w14:paraId="1B5600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4D70B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79494E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C5482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21221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025E0DF6" w14:textId="77777777">
        <w:tc>
          <w:tcPr>
            <w:tcW w:w="675" w:type="dxa"/>
          </w:tcPr>
          <w:p w14:paraId="2E7AFC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3F3077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417351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011E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4B1F14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4AEB3CC4" w14:textId="77777777">
        <w:tc>
          <w:tcPr>
            <w:tcW w:w="675" w:type="dxa"/>
          </w:tcPr>
          <w:p w14:paraId="6D4A38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535393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485EA4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1DC34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27DFAC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5F4128F0" w14:textId="77777777">
        <w:tc>
          <w:tcPr>
            <w:tcW w:w="675" w:type="dxa"/>
          </w:tcPr>
          <w:p w14:paraId="3D8717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028E09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1E0F51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4CA96D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1AE1B0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3B5C45D6" w14:textId="77777777">
        <w:tc>
          <w:tcPr>
            <w:tcW w:w="675" w:type="dxa"/>
          </w:tcPr>
          <w:p w14:paraId="61CC57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7757F5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045FD3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6B510D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1F91E7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32553A2E" w14:textId="77777777">
        <w:tc>
          <w:tcPr>
            <w:tcW w:w="675" w:type="dxa"/>
          </w:tcPr>
          <w:p w14:paraId="5DEFF7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59FED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2105FB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DA03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062AC8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42A1AEB9" w14:textId="77777777">
        <w:tc>
          <w:tcPr>
            <w:tcW w:w="675" w:type="dxa"/>
          </w:tcPr>
          <w:p w14:paraId="0AA5B8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12A3CC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30E59D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3DEE5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490E3F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2F43E832" w14:textId="77777777">
        <w:tc>
          <w:tcPr>
            <w:tcW w:w="675" w:type="dxa"/>
          </w:tcPr>
          <w:p w14:paraId="4FB8C4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7E4ACB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166B60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305E2B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27BD96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2DA12077" w14:textId="77777777">
        <w:tc>
          <w:tcPr>
            <w:tcW w:w="675" w:type="dxa"/>
            <w:tcBorders>
              <w:bottom w:val="single" w:sz="12" w:space="0" w:color="auto"/>
            </w:tcBorders>
          </w:tcPr>
          <w:p w14:paraId="5B2FA0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4D2877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2478FC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506CB4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755A8B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196739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5096456E" w14:textId="77777777">
        <w:tc>
          <w:tcPr>
            <w:tcW w:w="1868" w:type="dxa"/>
            <w:tcBorders>
              <w:top w:val="single" w:sz="12" w:space="0" w:color="auto"/>
            </w:tcBorders>
          </w:tcPr>
          <w:p w14:paraId="2809DC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1D6F23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4BC25B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7A4672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7BA90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1FD734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1DF4BA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0C0B55F7" w14:textId="77777777">
        <w:tc>
          <w:tcPr>
            <w:tcW w:w="1868" w:type="dxa"/>
          </w:tcPr>
          <w:p w14:paraId="2FF26F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02BD48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328E13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0F8E9E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6D5D71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4C807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78DB31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04A47223" w14:textId="77777777">
        <w:tc>
          <w:tcPr>
            <w:tcW w:w="1868" w:type="dxa"/>
          </w:tcPr>
          <w:p w14:paraId="29ED97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1AC6FC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5EE491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01A499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229D6F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CBA9B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6DEEFE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01374781" w14:textId="77777777">
        <w:tc>
          <w:tcPr>
            <w:tcW w:w="1868" w:type="dxa"/>
          </w:tcPr>
          <w:p w14:paraId="33BB57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75" w:type="dxa"/>
          </w:tcPr>
          <w:p w14:paraId="350EDE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1667CF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2792A3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3F8AC3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9750A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2A224E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72B6A1D8" w14:textId="77777777">
        <w:tc>
          <w:tcPr>
            <w:tcW w:w="1868" w:type="dxa"/>
          </w:tcPr>
          <w:p w14:paraId="40BED8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7487B9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15D9B6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5C4E0E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399706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1EDBB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482C9E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4285EEF1" w14:textId="77777777">
        <w:tc>
          <w:tcPr>
            <w:tcW w:w="1868" w:type="dxa"/>
          </w:tcPr>
          <w:p w14:paraId="636BC3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383C70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01C0FB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638728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532F6D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5D788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736D48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33F2A8E6" w14:textId="77777777">
        <w:tc>
          <w:tcPr>
            <w:tcW w:w="1868" w:type="dxa"/>
          </w:tcPr>
          <w:p w14:paraId="272C6E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6E9B6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5A7BE2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5DB281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242D2F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47542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519749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554BCD84" w14:textId="77777777">
        <w:tc>
          <w:tcPr>
            <w:tcW w:w="1868" w:type="dxa"/>
          </w:tcPr>
          <w:p w14:paraId="7F464F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476D7A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4DEFF2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093158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4514D07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A8D7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30F8D6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26BA000F" w14:textId="77777777">
        <w:tc>
          <w:tcPr>
            <w:tcW w:w="1868" w:type="dxa"/>
          </w:tcPr>
          <w:p w14:paraId="581829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31F096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75CDE0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76218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7E4B62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2D0605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5AFC9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0B289F00" w14:textId="77777777">
        <w:tc>
          <w:tcPr>
            <w:tcW w:w="1868" w:type="dxa"/>
            <w:tcBorders>
              <w:bottom w:val="single" w:sz="12" w:space="0" w:color="auto"/>
            </w:tcBorders>
          </w:tcPr>
          <w:p w14:paraId="48A0F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628B74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1B06D4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701513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73A056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693360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7307BE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306870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31A48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0F3CE5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2E4A8A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7CC173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247147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28DCAD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34F28D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582FA3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36B026B8" w14:textId="77777777" w:rsidR="00665165" w:rsidRPr="00F90EAE" w:rsidRDefault="00665165" w:rsidP="00F90EAE">
      <w:pPr>
        <w:autoSpaceDE w:val="0"/>
        <w:autoSpaceDN w:val="0"/>
        <w:adjustRightInd w:val="0"/>
        <w:jc w:val="both"/>
        <w:rPr>
          <w:color w:val="000000" w:themeColor="text1"/>
          <w:sz w:val="16"/>
          <w:szCs w:val="16"/>
        </w:rPr>
      </w:pPr>
    </w:p>
    <w:p w14:paraId="1ECA2B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конца мая 1945 закончились госиспытания второго Пе-8ОН на аэродроме Чкаловская, где их проводил экипаж В.И. Жданова. Всего там выполнили 26 полётов. Данные получились немного ниже, чем при испытаниях в Казани: скорость - 390 км/ч, практический потолок - 8200 м. Добиться максимальной дальности не удалось из-за выбрасывания масла через дренаж. Много претензий предъявили к дизелям АЧ-30Б. Отмечались наличие металлической стружки в маслосистеме, выбросы масла, недостаточная эффективность системы охлаждения на больших высотах. Оценка формулировалась как "в общем, удовлетворительно". Конструкция самолёта была перетяжелена по сравнению с расчётной на 1362 кг, что привело к уменьшению запаса топлива и сокращению максимальной дальности. Что позже стало с этими машинами - установить трудно. Главный конструктор Незваль утверждал, что ему об этом ничего не известно (11996).</w:t>
      </w:r>
    </w:p>
    <w:p w14:paraId="4CE43825" w14:textId="77777777" w:rsidR="00665165" w:rsidRPr="00F90EAE" w:rsidRDefault="00665165" w:rsidP="00F90EAE">
      <w:pPr>
        <w:autoSpaceDE w:val="0"/>
        <w:autoSpaceDN w:val="0"/>
        <w:adjustRightInd w:val="0"/>
        <w:jc w:val="both"/>
        <w:rPr>
          <w:color w:val="000000" w:themeColor="text1"/>
          <w:sz w:val="16"/>
          <w:szCs w:val="16"/>
        </w:rPr>
      </w:pPr>
    </w:p>
    <w:p w14:paraId="6A4ACA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конца мая 1945 на самолете Як-3 ВК-107А завода №292, вооруженном тремя пушками Б-20, выполнили три полета, показав максимальную скорость у земли 594 км/ч и 707 км/ч - на второй границы высотности.</w:t>
      </w:r>
    </w:p>
    <w:p w14:paraId="5234EE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втором самолете №0201 провели цикл статических испытаний, а первый серийный экземпляр машины, после завершения заводских испытаний по определению летных данных и температурных режимов систем водо- и маслоохлаждения, передали на эксплуатационные испытания для проверки прочности ее агрегатов. Поскольку на самолете № 0101 было установлено неусиленное крыло, испытания проводились только на посадки. После 349-й посадки сорвалась с заклепок рубашка тормозного диска правого колеса, на 360-й - лопнула обойма внутреннего подшипника левого колеса. Испытания прекратили после 365-й посадки из-за обрыва 5-й группы шатунов двигателя ВК-107А.</w:t>
      </w:r>
    </w:p>
    <w:p w14:paraId="53BBA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Уже после этого при разборке правой амортизационной стойки в ее цилидре обнаружили поломку "иглы". Естественно, были приняты соответствующие меры по устранению обнаруженных дефектов.</w:t>
      </w:r>
    </w:p>
    <w:p w14:paraId="608870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этого все три Як-3 ВК-107А саратовского завода передали в НИИ ВВС. Государственные испытания машины начались 10 апреля 1946 года, и 20 мая из-за неудовлетворительной работы силовой установки они были прекращены.</w:t>
      </w:r>
    </w:p>
    <w:p w14:paraId="6D4FD3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доводки в ЛИИ 29 июня Як-3 ВК- 107А №0101 поступил на повторные государственные испытания, проходившие с 5 по 30 июля. В ходе испытаний к ним подключились самолеты №0301 и №0401 (полетный вес - 2991 кг). Причем в состав вооружения первых двух машин входили мотор-пушка Б-20М и две синхронные Б-20С с общим боекомплектом 360 патронов, а №0401 - предъявили с двумя синхронными орудиями.</w:t>
      </w:r>
    </w:p>
    <w:p w14:paraId="2A667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самолетах стояли приемник РСИ-6 и передатчик РСИ-6М, электрогенераторы ГС-15-200 и аккумуляторы 12А-5, а также кислородные приборы КП-14 с двумя баллонами.</w:t>
      </w:r>
    </w:p>
    <w:p w14:paraId="39199E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Ведущими на этом этапе были инженер A.Т.Степанец, летчики А.Г. Прошаков, B.И.Хомяков, Ю.А. Антипов. Самолеты облетали В.Е. Голофастов, В.Г. Иванов, Л.М. Кувшинов и П.М. Стефановский.</w:t>
      </w:r>
    </w:p>
    <w:p w14:paraId="26E3C1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Общий результат государственных испытаний, несмотря на предпринятые меры, оказался отрицательным. Полетный вес самолета превысил 3050 кг, а максимальная скорость упала до 695 км/ч. По характеристикам горизонтального и вертикального маневра Як-3 сравнялся с Як- 9У (уступая немного в горизонтальном маневре), хотя имел некоторое преимущество перед американским истребителем Р- 63С-1 "Кингкобра" в вертикальном маневре и уступал британскому истребителю "Спитфайр" IX (при использовании последним пятиминутного боевого режима мотора). Серьезные дефекты силовой установки, не позволившие реализовать все возможности мотора, так и остались неустраненными. При этом специалисты НИИ ВВС сочли возможным разрешить самолетостроителям подготовить 30 машин для войсковых испытаний, но Совет Министров СССР решил иначе. Своим постановлением от 20 августа 1946 года он прекратил серийный выпуск самолетов Як-3 с ВК-107А, разрешив заводу №31 собрать из существующего задела лишь 75 самолетов с устранением на них дефектов, отмеченных на испытаниях серийных машин завода №292. Объем требуемых работ был велик, и заводу №31 (решая параллельно более важные задачи по освоению выпуска реактивной техники) удалось передать ВВС только 48 Як-3 с двигателем В К-107А.</w:t>
      </w:r>
    </w:p>
    <w:p w14:paraId="0A7928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Тогда же по указанию А.С. Яковлева на первом серийном самолете №0101 завода №292 усилили крыло и провели ряд доработок по улучшению тактических и эксплуатационных качеств истребителя. В частности, установили новый маслора- диатор №622, сохранив прежние размеры проходных сечений воздушных тоннелей. После 29 полетов общей продолжительностью 15,5 часов была получена скорость у земли 592 км/ч и на высоте 6150 метров - 712 км/ч. Температура охлаждающей жидкости на прямой не превышала 107 градусов по шкале Цельсия и в наборе высоты - 117 градусов на 4000 метрах, а масла 107 и 117 градусов соответственно. Таким образом, тенденций к улучшению температурного режима работы двигателя по сравнению с машиной №70-03 не наблюдалось. Тогда (в который раз) установили новый маслорадиатор и увеличили проходные сечения тоннеля. Но и это ничего не дало.</w:t>
      </w:r>
    </w:p>
    <w:p w14:paraId="650D49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Серьезные дефекты машины были выявлены и в ходе заводских эксплуатационных испытаний. В итоге дальнейшие работы по Як-3 с двигателем ВК-107А прекратили. Завод в Саратове выпустил лишь три истребителя (12047).</w:t>
      </w:r>
    </w:p>
    <w:p w14:paraId="49CF6069" w14:textId="77777777" w:rsidR="00665165" w:rsidRPr="00F90EAE" w:rsidRDefault="00665165" w:rsidP="00F90EAE">
      <w:pPr>
        <w:autoSpaceDE w:val="0"/>
        <w:autoSpaceDN w:val="0"/>
        <w:adjustRightInd w:val="0"/>
        <w:jc w:val="both"/>
        <w:rPr>
          <w:color w:val="000000" w:themeColor="text1"/>
          <w:sz w:val="16"/>
          <w:szCs w:val="16"/>
        </w:rPr>
      </w:pPr>
    </w:p>
    <w:p w14:paraId="33B286B2" w14:textId="77777777" w:rsidR="00F37105" w:rsidRPr="00F90EAE" w:rsidRDefault="00F37105" w:rsidP="00F90EAE">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r w:rsidRPr="00F90EAE">
        <w:rPr>
          <w:rFonts w:ascii="Times New Roman" w:hAnsi="Times New Roman" w:cs="Times New Roman"/>
          <w:color w:val="000000" w:themeColor="text1"/>
          <w:spacing w:val="0"/>
          <w:sz w:val="16"/>
          <w:szCs w:val="16"/>
        </w:rPr>
        <w:t>В конце мая 1945 в стапель заложили фюзеляж Утки. К середине июня стапельные работы заверщили (15848).</w:t>
      </w:r>
    </w:p>
    <w:p w14:paraId="62E61961" w14:textId="77777777" w:rsidR="00F37105" w:rsidRPr="00F90EAE" w:rsidRDefault="00F37105" w:rsidP="00F90EAE">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p>
    <w:p w14:paraId="306879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мая 1945 закончилась сборка ЛЛ-143 Г.М.Б. (2555,244) первого. Разобрали и отправили в Таганрог (3939,4).</w:t>
      </w:r>
    </w:p>
    <w:p w14:paraId="330446BD" w14:textId="77777777" w:rsidR="00665165" w:rsidRPr="00F90EAE" w:rsidRDefault="00665165" w:rsidP="00F90EAE">
      <w:pPr>
        <w:autoSpaceDE w:val="0"/>
        <w:autoSpaceDN w:val="0"/>
        <w:adjustRightInd w:val="0"/>
        <w:jc w:val="both"/>
        <w:rPr>
          <w:color w:val="000000" w:themeColor="text1"/>
          <w:sz w:val="16"/>
          <w:szCs w:val="16"/>
        </w:rPr>
      </w:pPr>
    </w:p>
    <w:p w14:paraId="461AA0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мая 1945 группа инженеров НКАП совершила поездку в Австрию. Выбор страны был не случаен. В Вене и ее окрестностях находились конструкторские бюро и заводы Э. Хейнкеля. Кроме большого количества технической документации, отправленной в ЦАГИ, в заводских цехах удалось обнаружить недостроенные образцы одномоторных реактивных истребителей Не-162, три поврежденных двухмоторных истребителя Не-280 с двигателями «Хейнкель S-8a» и части фюзеляжа и крыла четырехмоторного реактивного бомбардировщика Не-343. На подземном заводе в Хинтербрюле были найдены два полностью сохранившихся авиационных двигателя ЮМО-004 и БМВ-003. На другом заводе Хейнкеля члены группы обнаружили 11 подорванных немецких двигателей БМВ-003, пять из которых оказались в пригодном для изучения состоянии. На одном из аэродромов в окрестностях Праги нашли два немецких реактивных истребителя Ме-262 и еще четыре такие же частично разобранные машины (11765).</w:t>
      </w:r>
    </w:p>
    <w:p w14:paraId="06948771" w14:textId="77777777" w:rsidR="00665165" w:rsidRPr="00F90EAE" w:rsidRDefault="00665165" w:rsidP="00F90EAE">
      <w:pPr>
        <w:autoSpaceDE w:val="0"/>
        <w:autoSpaceDN w:val="0"/>
        <w:adjustRightInd w:val="0"/>
        <w:jc w:val="both"/>
        <w:rPr>
          <w:color w:val="000000" w:themeColor="text1"/>
          <w:sz w:val="16"/>
          <w:szCs w:val="16"/>
        </w:rPr>
      </w:pPr>
    </w:p>
    <w:p w14:paraId="0B1CB04D"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6A440ED" w14:textId="77777777" w:rsidR="00665165" w:rsidRPr="00F90EAE" w:rsidRDefault="00665165" w:rsidP="00F90EAE">
      <w:pPr>
        <w:autoSpaceDE w:val="0"/>
        <w:autoSpaceDN w:val="0"/>
        <w:adjustRightInd w:val="0"/>
        <w:jc w:val="both"/>
        <w:rPr>
          <w:iCs/>
          <w:color w:val="000000" w:themeColor="text1"/>
          <w:sz w:val="16"/>
          <w:szCs w:val="16"/>
        </w:rPr>
      </w:pPr>
    </w:p>
    <w:p w14:paraId="465BC4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концу мая, за первые пять месяцев 1945 г. завод № 183 передал военным пред</w:t>
      </w:r>
      <w:r w:rsidRPr="00F90EAE">
        <w:rPr>
          <w:color w:val="000000" w:themeColor="text1"/>
          <w:sz w:val="16"/>
          <w:szCs w:val="16"/>
        </w:rPr>
        <w:softHyphen/>
        <w:t>ставителям 3592 танка Т-34-85. Показатели сданной продукции заво</w:t>
      </w:r>
      <w:r w:rsidRPr="00F90EAE">
        <w:rPr>
          <w:color w:val="000000" w:themeColor="text1"/>
          <w:sz w:val="16"/>
          <w:szCs w:val="16"/>
        </w:rPr>
        <w:softHyphen/>
        <w:t>дом № 112 в 1945 г. были несколько ниже, чем у УВЗ. Так, за период с января по июнь 1945 г. заводом № 112 всего было выпущено 1545 тан</w:t>
      </w:r>
      <w:r w:rsidRPr="00F90EAE">
        <w:rPr>
          <w:color w:val="000000" w:themeColor="text1"/>
          <w:sz w:val="16"/>
          <w:szCs w:val="16"/>
        </w:rPr>
        <w:softHyphen/>
        <w:t>ков, из них 1428 линейных танков оснащенных радиостанцией 9РС, 62 командирских танка - с радиостанцией РСБ-Ф и 55 огнеметных танков ТО-34-85 с радиостанцией 9РС. С января по май 1945 г. завод № 174 сдал военным представителям 710 линейных танков Т-34-85 и 155 огне</w:t>
      </w:r>
      <w:r w:rsidRPr="00F90EAE">
        <w:rPr>
          <w:color w:val="000000" w:themeColor="text1"/>
          <w:sz w:val="16"/>
          <w:szCs w:val="16"/>
        </w:rPr>
        <w:softHyphen/>
        <w:t>метных танков ТО-34-85.(10703).</w:t>
      </w:r>
    </w:p>
    <w:p w14:paraId="499AAEB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2E6B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конца мая 1945 Т-44 сдавались лишь в учебные подраз</w:t>
      </w:r>
      <w:r w:rsidRPr="00F90EAE">
        <w:rPr>
          <w:color w:val="000000" w:themeColor="text1"/>
          <w:sz w:val="16"/>
          <w:szCs w:val="16"/>
        </w:rPr>
        <w:softHyphen/>
        <w:t>деления, тогда как завод продолжал «вылизывать» их в про</w:t>
      </w:r>
      <w:r w:rsidRPr="00F90EAE">
        <w:rPr>
          <w:color w:val="000000" w:themeColor="text1"/>
          <w:sz w:val="16"/>
          <w:szCs w:val="16"/>
        </w:rPr>
        <w:softHyphen/>
        <w:t>изводстве. Лишь в июне первая партия новых танков была признана «полностью удовлетворяющей заданию» и отгру</w:t>
      </w:r>
      <w:r w:rsidRPr="00F90EAE">
        <w:rPr>
          <w:color w:val="000000" w:themeColor="text1"/>
          <w:sz w:val="16"/>
          <w:szCs w:val="16"/>
        </w:rPr>
        <w:softHyphen/>
        <w:t>жена в войска, а в августе танковая часть, оснащенная новы</w:t>
      </w:r>
      <w:r w:rsidRPr="00F90EAE">
        <w:rPr>
          <w:color w:val="000000" w:themeColor="text1"/>
          <w:sz w:val="16"/>
          <w:szCs w:val="16"/>
        </w:rPr>
        <w:softHyphen/>
        <w:t>ми машинами, отправилась на Дальний Восток в действую</w:t>
      </w:r>
      <w:r w:rsidRPr="00F90EAE">
        <w:rPr>
          <w:color w:val="000000" w:themeColor="text1"/>
          <w:sz w:val="16"/>
          <w:szCs w:val="16"/>
        </w:rPr>
        <w:softHyphen/>
        <w:t>щую армию. Но в боях они участия не принимали (11135).</w:t>
      </w:r>
    </w:p>
    <w:p w14:paraId="65E16A8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FAB3F64" w14:textId="77777777" w:rsidR="003B056E" w:rsidRPr="00F90EAE" w:rsidRDefault="003B056E" w:rsidP="00F90EAE">
      <w:pPr>
        <w:jc w:val="both"/>
        <w:rPr>
          <w:color w:val="0070C0"/>
          <w:sz w:val="16"/>
          <w:szCs w:val="16"/>
        </w:rPr>
      </w:pPr>
      <w:r w:rsidRPr="00F90EAE">
        <w:rPr>
          <w:color w:val="0070C0"/>
          <w:sz w:val="16"/>
          <w:szCs w:val="16"/>
        </w:rPr>
        <w:t>В конце мая 1945 первые 12 СУ-100 вооружили новым орудием - самоуравновешенной в цапфах пушкой Д-10СК (т.е. «самоходная, компенсированная»). Иногда ее ошибочно называют Д-10СУ (уравновешенная), видимо, по аналогии с индексом ГАУ этого орудия 52- ПС-412У (прежняя Д-10С имела индекс 52- ПС-412). Однако в документах эпохи это ору</w:t>
      </w:r>
      <w:r w:rsidRPr="00F90EAE">
        <w:rPr>
          <w:color w:val="0070C0"/>
          <w:sz w:val="16"/>
          <w:szCs w:val="16"/>
        </w:rPr>
        <w:softHyphen/>
        <w:t>дие именуется только Д-10СК и никак иначе. Внешним отличием новой пушки была корне</w:t>
      </w:r>
      <w:r w:rsidRPr="00F90EAE">
        <w:rPr>
          <w:color w:val="0070C0"/>
          <w:sz w:val="16"/>
          <w:szCs w:val="16"/>
        </w:rPr>
        <w:softHyphen/>
        <w:t>вая часть ствола, плавно сходящая к трубе, и выраженная коническая форма самой трубы. На прежних Д-10С в корневой части был довольно резкий уступ при переходе к почти цилиндрической трубе ствола. Большая часть сохранившихся до нашего времени СУ- 100 вне зависимости от времени их выпуска была перевооружена при послевоенных ремонтах такими орудиями, поскольку их изначальные Д-10С расстреляли ресурс. Но некоторое количество музеифицированных СУ-100 раннего выпуска все же сохранилось со старыми пушками (по крайней мере, одна из ходовых машин в Кубинке с номером СУ412775, самоходка на постаменте в г. Ровно, в экспозиции Музея-заповедника «Прохоровское поле» и т.д.).</w:t>
      </w:r>
    </w:p>
    <w:p w14:paraId="37ABA191" w14:textId="77777777" w:rsidR="003B056E" w:rsidRPr="00F90EAE" w:rsidRDefault="003B056E" w:rsidP="00F90EAE">
      <w:pPr>
        <w:pStyle w:val="260"/>
        <w:shd w:val="clear" w:color="auto" w:fill="auto"/>
        <w:spacing w:line="240" w:lineRule="auto"/>
        <w:jc w:val="both"/>
        <w:rPr>
          <w:rFonts w:ascii="Times New Roman" w:hAnsi="Times New Roman"/>
          <w:color w:val="0070C0"/>
          <w:sz w:val="16"/>
          <w:szCs w:val="16"/>
        </w:rPr>
      </w:pPr>
      <w:r w:rsidRPr="00F90EAE">
        <w:rPr>
          <w:rFonts w:ascii="Times New Roman" w:hAnsi="Times New Roman"/>
          <w:color w:val="0070C0"/>
          <w:sz w:val="16"/>
          <w:szCs w:val="16"/>
        </w:rPr>
        <w:t>Уравновесить орудие было важно потому, что при этом уменьшались усилия на махови</w:t>
      </w:r>
      <w:r w:rsidRPr="00F90EAE">
        <w:rPr>
          <w:rFonts w:ascii="Times New Roman" w:hAnsi="Times New Roman"/>
          <w:color w:val="0070C0"/>
          <w:sz w:val="16"/>
          <w:szCs w:val="16"/>
        </w:rPr>
        <w:softHyphen/>
        <w:t>вик.</w:t>
      </w:r>
    </w:p>
    <w:p w14:paraId="4E620108" w14:textId="77777777" w:rsidR="003B056E" w:rsidRPr="00F90EAE" w:rsidRDefault="003B056E" w:rsidP="00F90EAE">
      <w:pPr>
        <w:jc w:val="both"/>
        <w:rPr>
          <w:color w:val="0070C0"/>
          <w:sz w:val="16"/>
          <w:szCs w:val="16"/>
        </w:rPr>
      </w:pPr>
      <w:r w:rsidRPr="00F90EAE">
        <w:rPr>
          <w:color w:val="0070C0"/>
          <w:sz w:val="16"/>
          <w:szCs w:val="16"/>
        </w:rPr>
        <w:t>Дол</w:t>
      </w:r>
      <w:r w:rsidRPr="00F90EAE">
        <w:rPr>
          <w:color w:val="0070C0"/>
          <w:sz w:val="16"/>
          <w:szCs w:val="16"/>
        </w:rPr>
        <w:softHyphen/>
        <w:t>говечность всех подвижных механизмов наведения. Работы в этом направлении раз</w:t>
      </w:r>
      <w:r w:rsidRPr="00F90EAE">
        <w:rPr>
          <w:color w:val="0070C0"/>
          <w:sz w:val="16"/>
          <w:szCs w:val="16"/>
        </w:rPr>
        <w:softHyphen/>
        <w:t>ными путями вели оба выпускавшие орудия Д-10С свердловских завода: и №8, и №9, соз</w:t>
      </w:r>
      <w:r w:rsidRPr="00F90EAE">
        <w:rPr>
          <w:color w:val="0070C0"/>
          <w:sz w:val="16"/>
          <w:szCs w:val="16"/>
        </w:rPr>
        <w:softHyphen/>
        <w:t>давшие свои образцы. Однако безусловным лидером на испытаниях оказался третий - совместный образец обоих заводов. Он и был решением комиссии ГАУ и ГБУ в апреле рекомендован к серийному производству (ЦАМО, фонд 38, опись 11369, дело 529). Уравновешивание Д-10СК было достигнуто, с одной стороны, уменьшением массы ствола за счет уменьшения толщины его трубы. Именно поэтому - для сохранения прочно</w:t>
      </w:r>
      <w:r w:rsidRPr="00F90EAE">
        <w:rPr>
          <w:color w:val="0070C0"/>
          <w:sz w:val="16"/>
          <w:szCs w:val="16"/>
        </w:rPr>
        <w:softHyphen/>
        <w:t>сти ствола в месте наибольшего давления пороховых газов - уступ в корневой части убрали и сделали плавный конический пере</w:t>
      </w:r>
      <w:r w:rsidRPr="00F90EAE">
        <w:rPr>
          <w:color w:val="0070C0"/>
          <w:sz w:val="16"/>
          <w:szCs w:val="16"/>
        </w:rPr>
        <w:softHyphen/>
        <w:t>ход. С другой стороны, утяжелили казенную часть за цапфами. Ради этого увеличили до 64 кг массу выдвижного ограждения, сделав его из более толстой стали, и подвесили дополнительный груз 67 кг под казенником. Пришлось также изменить для размещения грузов спусковой механизм. Электроспуск поставили типа РТ-9.</w:t>
      </w:r>
    </w:p>
    <w:p w14:paraId="20CE6314" w14:textId="77777777" w:rsidR="003B056E" w:rsidRPr="00F90EAE" w:rsidRDefault="003B056E" w:rsidP="00F90EAE">
      <w:pPr>
        <w:jc w:val="both"/>
        <w:rPr>
          <w:color w:val="0070C0"/>
          <w:sz w:val="16"/>
          <w:szCs w:val="16"/>
        </w:rPr>
      </w:pPr>
      <w:r w:rsidRPr="00F90EAE">
        <w:rPr>
          <w:color w:val="0070C0"/>
          <w:sz w:val="16"/>
          <w:szCs w:val="16"/>
        </w:rPr>
        <w:t>Меняются боковые решетки МТО - ничего радикального, просто расстояние между вер</w:t>
      </w:r>
      <w:r w:rsidRPr="00F90EAE">
        <w:rPr>
          <w:color w:val="0070C0"/>
          <w:sz w:val="16"/>
          <w:szCs w:val="16"/>
        </w:rPr>
        <w:softHyphen/>
        <w:t>тикальными перемычками с этого момента становится иным. Соответственно, визуально иначе относительно этих перемычек теперь размещаются петли (19927).</w:t>
      </w:r>
    </w:p>
    <w:p w14:paraId="28BBC192" w14:textId="77777777" w:rsidR="003B056E" w:rsidRPr="00F90EAE" w:rsidRDefault="003B056E" w:rsidP="00F90EAE">
      <w:pPr>
        <w:jc w:val="both"/>
        <w:rPr>
          <w:color w:val="0070C0"/>
          <w:sz w:val="16"/>
          <w:szCs w:val="16"/>
        </w:rPr>
      </w:pPr>
    </w:p>
    <w:p w14:paraId="13C07026" w14:textId="77777777" w:rsidR="002E5953" w:rsidRPr="00F90EAE" w:rsidRDefault="002E5953" w:rsidP="00F90EAE">
      <w:pPr>
        <w:shd w:val="clear" w:color="auto" w:fill="FFFFFF"/>
        <w:jc w:val="both"/>
        <w:rPr>
          <w:color w:val="000000" w:themeColor="text1"/>
          <w:sz w:val="16"/>
          <w:szCs w:val="16"/>
        </w:rPr>
      </w:pPr>
      <w:r w:rsidRPr="00F90EAE">
        <w:rPr>
          <w:color w:val="000000" w:themeColor="text1"/>
          <w:sz w:val="16"/>
          <w:szCs w:val="16"/>
        </w:rPr>
        <w:t>В конце мая 1945 началось более подробное изучение военно-технического наследия Третьего рейха, разбросанного вокруг немецкой столицы. 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589B10A2"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FDA04D8"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9F8C52E"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57B1796F"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4E8C7DC0"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7EC11433"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Представляю тактико-техническую характеристику сверхтяжёлого танка.</w:t>
      </w:r>
    </w:p>
    <w:p w14:paraId="5030E67B"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Характеристика является ориентировочной, так как оба танка оказались подорванными и подробно специалистами не изучены.</w:t>
      </w:r>
    </w:p>
    <w:p w14:paraId="7F06E38E" w14:textId="77777777" w:rsidR="002E5953" w:rsidRPr="00F90EAE" w:rsidRDefault="002E5953" w:rsidP="00F90EAE">
      <w:pPr>
        <w:shd w:val="clear" w:color="auto" w:fill="FFFFFF"/>
        <w:jc w:val="both"/>
        <w:rPr>
          <w:color w:val="000000" w:themeColor="text1"/>
          <w:sz w:val="16"/>
          <w:szCs w:val="16"/>
        </w:rPr>
      </w:pPr>
      <w:r w:rsidRPr="00F90EAE">
        <w:rPr>
          <w:iCs/>
          <w:color w:val="000000" w:themeColor="text1"/>
          <w:sz w:val="16"/>
          <w:szCs w:val="16"/>
        </w:rPr>
        <w:t>Более точные данные доложу Вам после тщательного изучения этих танков специалистами».</w:t>
      </w:r>
    </w:p>
    <w:p w14:paraId="4654CDD9" w14:textId="77777777" w:rsidR="002E5953" w:rsidRPr="00F90EAE" w:rsidRDefault="002E5953" w:rsidP="00F90EAE">
      <w:pPr>
        <w:shd w:val="clear" w:color="auto" w:fill="FFFFFF"/>
        <w:jc w:val="both"/>
        <w:rPr>
          <w:color w:val="000000" w:themeColor="text1"/>
          <w:sz w:val="16"/>
          <w:szCs w:val="16"/>
        </w:rPr>
      </w:pPr>
      <w:r w:rsidRPr="00F90EAE">
        <w:rPr>
          <w:color w:val="000000" w:themeColor="text1"/>
          <w:sz w:val="16"/>
          <w:szCs w:val="16"/>
        </w:rPr>
        <w:t>Наибольший интерес вызвал второй образец сверхтяжёлого танка. Несмотря на то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массо-габаритный макет (17676).</w:t>
      </w:r>
    </w:p>
    <w:p w14:paraId="3E69E310" w14:textId="77777777" w:rsidR="002E5953" w:rsidRPr="00F90EAE" w:rsidRDefault="002E5953" w:rsidP="00F90EAE">
      <w:pPr>
        <w:jc w:val="both"/>
        <w:rPr>
          <w:rStyle w:val="107"/>
          <w:rFonts w:eastAsiaTheme="minorHAnsi"/>
          <w:color w:val="000000" w:themeColor="text1"/>
          <w:sz w:val="16"/>
          <w:szCs w:val="16"/>
        </w:rPr>
      </w:pPr>
    </w:p>
    <w:p w14:paraId="7F389F7F" w14:textId="77777777" w:rsidR="00F3710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A4BBE4D" w14:textId="77777777" w:rsidR="00F37105" w:rsidRPr="00F90EAE" w:rsidRDefault="00F37105" w:rsidP="00F90EAE">
      <w:pPr>
        <w:autoSpaceDE w:val="0"/>
        <w:autoSpaceDN w:val="0"/>
        <w:adjustRightInd w:val="0"/>
        <w:jc w:val="both"/>
        <w:rPr>
          <w:iCs/>
          <w:color w:val="000000" w:themeColor="text1"/>
          <w:sz w:val="16"/>
          <w:szCs w:val="16"/>
        </w:rPr>
      </w:pPr>
    </w:p>
    <w:p w14:paraId="06D070DC" w14:textId="77777777" w:rsidR="00F37105" w:rsidRPr="00F90EAE" w:rsidRDefault="00F37105" w:rsidP="00F90EAE">
      <w:pPr>
        <w:pStyle w:val="book"/>
        <w:ind w:firstLine="0"/>
        <w:jc w:val="both"/>
        <w:rPr>
          <w:color w:val="000000" w:themeColor="text1"/>
          <w:sz w:val="16"/>
          <w:szCs w:val="16"/>
        </w:rPr>
      </w:pPr>
      <w:r w:rsidRPr="00F90EAE">
        <w:rPr>
          <w:color w:val="000000" w:themeColor="text1"/>
          <w:sz w:val="16"/>
          <w:szCs w:val="16"/>
        </w:rPr>
        <w:t>В конце мая 1945 г. заместитель начальника научно-исследовательского отдела Артиллерийского исторического музея полковник Н.Т. Сорокин прибыл в Дрезден, а 2 июля 1945 г. принял от техника-лейтенанта А.А. Сатышева Артиллерийский музей Дрездена. Была составлена краткая опись экспонатов. В музее насчитали 143 орудия, 36 минометов, 62 пулемета, 63 орудийных ствола, 1507 единиц огнестрельного оружия различных систем, 3 самолета и т.д., а также «библиотека с разными книгами — 1; нагрудников исторических стальных — 6 комнат; обмундирования музейного — 1 комната» (15225).</w:t>
      </w:r>
    </w:p>
    <w:p w14:paraId="05865615" w14:textId="77777777" w:rsidR="00F37105" w:rsidRPr="00F90EAE" w:rsidRDefault="00F37105" w:rsidP="00F90EAE">
      <w:pPr>
        <w:pStyle w:val="book"/>
        <w:ind w:firstLine="0"/>
        <w:jc w:val="both"/>
        <w:rPr>
          <w:color w:val="000000" w:themeColor="text1"/>
          <w:sz w:val="16"/>
          <w:szCs w:val="16"/>
        </w:rPr>
      </w:pPr>
    </w:p>
    <w:p w14:paraId="0DA112E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75F3FB8" w14:textId="77777777" w:rsidR="00665165" w:rsidRPr="00F90EAE" w:rsidRDefault="00665165" w:rsidP="00F90EAE">
      <w:pPr>
        <w:autoSpaceDE w:val="0"/>
        <w:autoSpaceDN w:val="0"/>
        <w:adjustRightInd w:val="0"/>
        <w:jc w:val="both"/>
        <w:rPr>
          <w:iCs/>
          <w:color w:val="000000" w:themeColor="text1"/>
          <w:sz w:val="16"/>
          <w:szCs w:val="16"/>
        </w:rPr>
      </w:pPr>
    </w:p>
    <w:p w14:paraId="1C1C76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се</w:t>
      </w:r>
      <w:r w:rsidRPr="00F90EAE">
        <w:rPr>
          <w:color w:val="000000" w:themeColor="text1"/>
          <w:sz w:val="16"/>
          <w:szCs w:val="16"/>
        </w:rPr>
        <w:softHyphen/>
        <w:t>рийный Ил-10 № 106037 на контрольных испытаниях в НИИ ВВС по</w:t>
      </w:r>
      <w:r w:rsidRPr="00F90EAE">
        <w:rPr>
          <w:color w:val="000000" w:themeColor="text1"/>
          <w:sz w:val="16"/>
          <w:szCs w:val="16"/>
        </w:rPr>
        <w:softHyphen/>
        <w:t>казал скорость у земли 503 км/ч и на высо</w:t>
      </w:r>
      <w:r w:rsidRPr="00F90EAE">
        <w:rPr>
          <w:color w:val="000000" w:themeColor="text1"/>
          <w:sz w:val="16"/>
          <w:szCs w:val="16"/>
        </w:rPr>
        <w:softHyphen/>
        <w:t>те 2850 м - 545 км/ч. Самолет № 1892908 в июле продемонстрировал еще худшие показатели: скорость 482 км/ч у земли и 528 км/ч на высоте 2660 м. Время набо</w:t>
      </w:r>
      <w:r w:rsidRPr="00F90EAE">
        <w:rPr>
          <w:color w:val="000000" w:themeColor="text1"/>
          <w:sz w:val="16"/>
          <w:szCs w:val="16"/>
        </w:rPr>
        <w:softHyphen/>
        <w:t>ра высоты 1000 м составило 2,1 мин, а 3000 м - 6,4 мин. (10680).</w:t>
      </w:r>
    </w:p>
    <w:p w14:paraId="0AEF3BDA" w14:textId="77777777" w:rsidR="00665165" w:rsidRPr="00F90EAE" w:rsidRDefault="00665165" w:rsidP="00F90EAE">
      <w:pPr>
        <w:autoSpaceDE w:val="0"/>
        <w:autoSpaceDN w:val="0"/>
        <w:adjustRightInd w:val="0"/>
        <w:jc w:val="both"/>
        <w:rPr>
          <w:color w:val="000000" w:themeColor="text1"/>
          <w:sz w:val="16"/>
          <w:szCs w:val="16"/>
        </w:rPr>
      </w:pPr>
    </w:p>
    <w:p w14:paraId="16D7CBF3" w14:textId="77777777" w:rsidR="00667228" w:rsidRPr="00F90EAE" w:rsidRDefault="00667228" w:rsidP="00F90EAE">
      <w:pPr>
        <w:autoSpaceDE w:val="0"/>
        <w:autoSpaceDN w:val="0"/>
        <w:adjustRightInd w:val="0"/>
        <w:jc w:val="both"/>
        <w:rPr>
          <w:color w:val="000000" w:themeColor="text1"/>
          <w:sz w:val="16"/>
          <w:szCs w:val="16"/>
        </w:rPr>
      </w:pPr>
      <w:r w:rsidRPr="00F90EAE">
        <w:rPr>
          <w:color w:val="000000" w:themeColor="text1"/>
          <w:sz w:val="16"/>
          <w:szCs w:val="16"/>
        </w:rPr>
        <w:t>В мае 1945 г. Ил-10 поступил на госиспытания в ГК НИИ ВВС, завершившиеся в начале июня с положительной оценкой. С полетным весом 5680 кг самолет имел максимальную скорость у земли 502 км/ч и 560 км/ч на высоте 2500 м (9528).</w:t>
      </w:r>
    </w:p>
    <w:p w14:paraId="6FB7F421" w14:textId="77777777" w:rsidR="00667228" w:rsidRPr="00F90EAE" w:rsidRDefault="00667228" w:rsidP="00F90EAE">
      <w:pPr>
        <w:autoSpaceDE w:val="0"/>
        <w:autoSpaceDN w:val="0"/>
        <w:adjustRightInd w:val="0"/>
        <w:jc w:val="both"/>
        <w:rPr>
          <w:color w:val="000000" w:themeColor="text1"/>
          <w:sz w:val="16"/>
          <w:szCs w:val="16"/>
        </w:rPr>
      </w:pPr>
    </w:p>
    <w:p w14:paraId="7F1D816F" w14:textId="77777777" w:rsidR="00667228" w:rsidRPr="00F90EAE" w:rsidRDefault="00667228" w:rsidP="00F90EAE">
      <w:pPr>
        <w:jc w:val="both"/>
        <w:rPr>
          <w:color w:val="000000" w:themeColor="text1"/>
          <w:sz w:val="16"/>
          <w:szCs w:val="16"/>
        </w:rPr>
      </w:pPr>
      <w:r w:rsidRPr="00F90EAE">
        <w:rPr>
          <w:rStyle w:val="107"/>
          <w:rFonts w:eastAsiaTheme="minorHAnsi"/>
          <w:color w:val="000000" w:themeColor="text1"/>
          <w:sz w:val="16"/>
          <w:szCs w:val="16"/>
        </w:rPr>
        <w:t>В мае 1945 года серийный самолет Ил-10 производства завода № 1 зав. № 106037 при прохождении контрольных испытаний в ГК НИИ ВВС показал скорость у земли 503 км/ч и на высоте 2850 м - 545 км/ч, что не соответствовало техническим условиям (17490).</w:t>
      </w:r>
    </w:p>
    <w:p w14:paraId="29FB6B73" w14:textId="77777777" w:rsidR="00667228" w:rsidRPr="00F90EAE" w:rsidRDefault="00667228" w:rsidP="00F90EAE">
      <w:pPr>
        <w:jc w:val="both"/>
        <w:rPr>
          <w:color w:val="000000" w:themeColor="text1"/>
          <w:sz w:val="16"/>
          <w:szCs w:val="16"/>
        </w:rPr>
      </w:pPr>
    </w:p>
    <w:p w14:paraId="2D55D273" w14:textId="77777777" w:rsidR="002E5953" w:rsidRPr="00F90EAE" w:rsidRDefault="002E5953"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В мае 1945 года крыло, установленное на серийном самолете Ил-10 зав. № 1899008, при испытаниях выдержало 125 % от расчетной нагрузки на случай А\ после чего между 1 -й и 2-й нервюрами произошел разрыв нижнего пояса заднего лонжерона и потеря устойчивости стенки заднего лонжерона.</w:t>
      </w:r>
    </w:p>
    <w:p w14:paraId="50775E0B" w14:textId="77777777" w:rsidR="002E5953" w:rsidRPr="00F90EAE" w:rsidRDefault="002E5953" w:rsidP="00F90EAE">
      <w:pPr>
        <w:jc w:val="both"/>
        <w:rPr>
          <w:color w:val="000000" w:themeColor="text1"/>
          <w:sz w:val="16"/>
          <w:szCs w:val="16"/>
        </w:rPr>
      </w:pPr>
      <w:r w:rsidRPr="00F90EAE">
        <w:rPr>
          <w:rStyle w:val="107"/>
          <w:rFonts w:eastAsiaTheme="minorHAnsi"/>
          <w:color w:val="000000" w:themeColor="text1"/>
          <w:sz w:val="16"/>
          <w:szCs w:val="16"/>
        </w:rPr>
        <w:t xml:space="preserve">К 10 марта 1945 на Ил-10 поставили уширенные ленты по 4-й и 8-й нервюрам для дополнительного крепления стрингеров и четыре дополнительных стрингера на верхней обшивке между 4-й и 5-й нервюрами. Перенесли стык стенок переднего лонжерона с 4-й на 5-ю нервюру. Добавили стойки на правом заднем лонжероне у </w:t>
      </w:r>
      <w:r w:rsidRPr="00F90EAE">
        <w:rPr>
          <w:rStyle w:val="107"/>
          <w:rFonts w:eastAsiaTheme="minorHAnsi"/>
          <w:color w:val="000000" w:themeColor="text1"/>
          <w:sz w:val="16"/>
          <w:szCs w:val="16"/>
        </w:rPr>
        <w:lastRenderedPageBreak/>
        <w:t>разъема и на правом переднем лонжероне у разъема, а также стойку на переднем левом лонжероне между 1 -й и 2-й нервюрами. На стенке передних лонжеронов от разъема до вырезов под пулеметы поставлены 1,5-мм накладки из ДЗл1,5. Профиль усиления выреза в переднем лонжероне крыла для пушки ВЯ выполнили из хромансилевой стали С30ХГСА вместо дюраля (17490).</w:t>
      </w:r>
    </w:p>
    <w:p w14:paraId="0E5FA4CA" w14:textId="77777777" w:rsidR="002E5953" w:rsidRPr="00F90EAE" w:rsidRDefault="002E5953" w:rsidP="00F90EAE">
      <w:pPr>
        <w:jc w:val="both"/>
        <w:rPr>
          <w:color w:val="000000" w:themeColor="text1"/>
          <w:sz w:val="16"/>
          <w:szCs w:val="16"/>
        </w:rPr>
      </w:pPr>
    </w:p>
    <w:p w14:paraId="0641963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50-часовой ресурс АМ-42 под</w:t>
      </w:r>
      <w:r w:rsidRPr="00F90EAE">
        <w:rPr>
          <w:color w:val="000000" w:themeColor="text1"/>
          <w:sz w:val="16"/>
          <w:szCs w:val="16"/>
        </w:rPr>
        <w:softHyphen/>
        <w:t>твердили на совместных испытаниях. В процессе доводки двигатель получил новый нижний картер, усиленные колен</w:t>
      </w:r>
      <w:r w:rsidRPr="00F90EAE">
        <w:rPr>
          <w:color w:val="000000" w:themeColor="text1"/>
          <w:sz w:val="16"/>
          <w:szCs w:val="16"/>
        </w:rPr>
        <w:softHyphen/>
        <w:t>чатый вал с противовесами, шатуны и поршни. В отчете об испытаниях указыва</w:t>
      </w:r>
      <w:r w:rsidRPr="00F90EAE">
        <w:rPr>
          <w:color w:val="000000" w:themeColor="text1"/>
          <w:sz w:val="16"/>
          <w:szCs w:val="16"/>
        </w:rPr>
        <w:softHyphen/>
        <w:t>лось: «...конструкция поддона с клапа</w:t>
      </w:r>
      <w:r w:rsidRPr="00F90EAE">
        <w:rPr>
          <w:color w:val="000000" w:themeColor="text1"/>
          <w:sz w:val="16"/>
          <w:szCs w:val="16"/>
        </w:rPr>
        <w:softHyphen/>
        <w:t>нами позволила значительно улучшить отсос масла из картера и сократить теплоотдачу в масле; введение колен</w:t>
      </w:r>
      <w:r w:rsidRPr="00F90EAE">
        <w:rPr>
          <w:color w:val="000000" w:themeColor="text1"/>
          <w:sz w:val="16"/>
          <w:szCs w:val="16"/>
        </w:rPr>
        <w:softHyphen/>
        <w:t>чатого вала с противовесами обеспе</w:t>
      </w:r>
      <w:r w:rsidRPr="00F90EAE">
        <w:rPr>
          <w:color w:val="000000" w:themeColor="text1"/>
          <w:sz w:val="16"/>
          <w:szCs w:val="16"/>
        </w:rPr>
        <w:softHyphen/>
        <w:t>чило возможность форсировки мотора по оборотам без развития коренных опор». В выводах комиссии отмечалось, что АМ-42 испытания прошел удовлетворительно и является «современным мо</w:t>
      </w:r>
      <w:r w:rsidRPr="00F90EAE">
        <w:rPr>
          <w:color w:val="000000" w:themeColor="text1"/>
          <w:sz w:val="16"/>
          <w:szCs w:val="16"/>
        </w:rPr>
        <w:softHyphen/>
        <w:t>тором, ценным для штурмовой авиа</w:t>
      </w:r>
      <w:r w:rsidRPr="00F90EAE">
        <w:rPr>
          <w:color w:val="000000" w:themeColor="text1"/>
          <w:sz w:val="16"/>
          <w:szCs w:val="16"/>
        </w:rPr>
        <w:softHyphen/>
        <w:t>ции». Но был выявлен и ряд дефектов: выкрашивание коренных и шатунных подшипников, поломки шестерен ре</w:t>
      </w:r>
      <w:r w:rsidRPr="00F90EAE">
        <w:rPr>
          <w:color w:val="000000" w:themeColor="text1"/>
          <w:sz w:val="16"/>
          <w:szCs w:val="16"/>
        </w:rPr>
        <w:softHyphen/>
        <w:t>дуктора, обрывы шпилек и подтекание масла. В связи с этим выдвигалось тре</w:t>
      </w:r>
      <w:r w:rsidRPr="00F90EAE">
        <w:rPr>
          <w:color w:val="000000" w:themeColor="text1"/>
          <w:sz w:val="16"/>
          <w:szCs w:val="16"/>
        </w:rPr>
        <w:softHyphen/>
        <w:t>бование «...в кратчайшие сроки устра</w:t>
      </w:r>
      <w:r w:rsidRPr="00F90EAE">
        <w:rPr>
          <w:color w:val="000000" w:themeColor="text1"/>
          <w:sz w:val="16"/>
          <w:szCs w:val="16"/>
        </w:rPr>
        <w:softHyphen/>
        <w:t>нить выявленные конструктивные не</w:t>
      </w:r>
      <w:r w:rsidRPr="00F90EAE">
        <w:rPr>
          <w:color w:val="000000" w:themeColor="text1"/>
          <w:sz w:val="16"/>
          <w:szCs w:val="16"/>
        </w:rPr>
        <w:softHyphen/>
        <w:t>достатки и дефекты мотора...». Шпильки усилили, а подпружинен</w:t>
      </w:r>
      <w:r w:rsidRPr="00F90EAE">
        <w:rPr>
          <w:color w:val="000000" w:themeColor="text1"/>
          <w:sz w:val="16"/>
          <w:szCs w:val="16"/>
        </w:rPr>
        <w:softHyphen/>
        <w:t>ную шестерню редуктора заменили жесткой. Торсиографирование показа</w:t>
      </w:r>
      <w:r w:rsidRPr="00F90EAE">
        <w:rPr>
          <w:color w:val="000000" w:themeColor="text1"/>
          <w:sz w:val="16"/>
          <w:szCs w:val="16"/>
        </w:rPr>
        <w:softHyphen/>
        <w:t>ло, что эта мера оказалась вполне оп</w:t>
      </w:r>
      <w:r w:rsidRPr="00F90EAE">
        <w:rPr>
          <w:color w:val="000000" w:themeColor="text1"/>
          <w:sz w:val="16"/>
          <w:szCs w:val="16"/>
        </w:rPr>
        <w:softHyphen/>
        <w:t>равданной. В мае Микулина освободи</w:t>
      </w:r>
      <w:r w:rsidRPr="00F90EAE">
        <w:rPr>
          <w:color w:val="000000" w:themeColor="text1"/>
          <w:sz w:val="16"/>
          <w:szCs w:val="16"/>
        </w:rPr>
        <w:softHyphen/>
        <w:t>ли от обязанностей главного конструк</w:t>
      </w:r>
      <w:r w:rsidRPr="00F90EAE">
        <w:rPr>
          <w:color w:val="000000" w:themeColor="text1"/>
          <w:sz w:val="16"/>
          <w:szCs w:val="16"/>
        </w:rPr>
        <w:softHyphen/>
        <w:t>тора завода № 24 (он занимал тогда эту должность сразу на трех предпри</w:t>
      </w:r>
      <w:r w:rsidRPr="00F90EAE">
        <w:rPr>
          <w:color w:val="000000" w:themeColor="text1"/>
          <w:sz w:val="16"/>
          <w:szCs w:val="16"/>
        </w:rPr>
        <w:softHyphen/>
        <w:t>ятиях), поэтому дальнейшая доводка АМ-42 велась под руководством М.Р. Флисского (10680).</w:t>
      </w:r>
    </w:p>
    <w:p w14:paraId="1D2CF56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0D04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было несколько улучше</w:t>
      </w:r>
      <w:r w:rsidRPr="00F90EAE">
        <w:rPr>
          <w:color w:val="000000" w:themeColor="text1"/>
          <w:sz w:val="16"/>
          <w:szCs w:val="16"/>
        </w:rPr>
        <w:softHyphen/>
        <w:t>но бронирование Ил-10. За головой лет</w:t>
      </w:r>
      <w:r w:rsidRPr="00F90EAE">
        <w:rPr>
          <w:color w:val="000000" w:themeColor="text1"/>
          <w:sz w:val="16"/>
          <w:szCs w:val="16"/>
        </w:rPr>
        <w:softHyphen/>
        <w:t>чика со стороны стрелка установили до</w:t>
      </w:r>
      <w:r w:rsidRPr="00F90EAE">
        <w:rPr>
          <w:color w:val="000000" w:themeColor="text1"/>
          <w:sz w:val="16"/>
          <w:szCs w:val="16"/>
        </w:rPr>
        <w:softHyphen/>
        <w:t>полнительный дюралюминиевый лист толщиной 1 мм, предохранявший по</w:t>
      </w:r>
      <w:r w:rsidRPr="00F90EAE">
        <w:rPr>
          <w:color w:val="000000" w:themeColor="text1"/>
          <w:sz w:val="16"/>
          <w:szCs w:val="16"/>
        </w:rPr>
        <w:softHyphen/>
        <w:t>следнего от осколков снарядов, разру</w:t>
      </w:r>
      <w:r w:rsidRPr="00F90EAE">
        <w:rPr>
          <w:color w:val="000000" w:themeColor="text1"/>
          <w:sz w:val="16"/>
          <w:szCs w:val="16"/>
        </w:rPr>
        <w:softHyphen/>
        <w:t>шавшихся на броне фонаря.(10680).</w:t>
      </w:r>
    </w:p>
    <w:p w14:paraId="3118053E" w14:textId="77777777" w:rsidR="00665165" w:rsidRPr="00F90EAE" w:rsidRDefault="00665165" w:rsidP="00F90EAE">
      <w:pPr>
        <w:autoSpaceDE w:val="0"/>
        <w:autoSpaceDN w:val="0"/>
        <w:adjustRightInd w:val="0"/>
        <w:jc w:val="both"/>
        <w:rPr>
          <w:color w:val="000000" w:themeColor="text1"/>
          <w:sz w:val="16"/>
          <w:szCs w:val="16"/>
        </w:rPr>
      </w:pPr>
    </w:p>
    <w:p w14:paraId="018DFB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мая 1945 г. (с 9-й серии завода № 18) все машины Ил-10 стали выпускать</w:t>
      </w:r>
      <w:r w:rsidRPr="00F90EAE">
        <w:rPr>
          <w:color w:val="000000" w:themeColor="text1"/>
          <w:sz w:val="16"/>
          <w:szCs w:val="16"/>
        </w:rPr>
        <w:softHyphen/>
        <w:t>ся с доработанным крылом. В строевые части выехали специальные бригады для переделки штурмовиков на местах (10680).</w:t>
      </w:r>
    </w:p>
    <w:p w14:paraId="3EF397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21A5D0A" w14:textId="77777777" w:rsidR="006825F8" w:rsidRPr="00F90EAE" w:rsidRDefault="006825F8" w:rsidP="00F90EAE">
      <w:pPr>
        <w:jc w:val="both"/>
        <w:rPr>
          <w:color w:val="000000" w:themeColor="text1"/>
          <w:sz w:val="16"/>
          <w:szCs w:val="16"/>
        </w:rPr>
      </w:pPr>
      <w:r w:rsidRPr="00F90EAE">
        <w:rPr>
          <w:rStyle w:val="107"/>
          <w:rFonts w:eastAsiaTheme="minorHAnsi"/>
          <w:color w:val="000000" w:themeColor="text1"/>
          <w:sz w:val="16"/>
          <w:szCs w:val="16"/>
        </w:rPr>
        <w:t>В мае 1945 года с целью устранения отказов моторов при эксплуатации с полевых аэродромов заводами были изготовлены партии пылефильтров полевого варианта с креплением на уже имеющиеся отверстия в броне. В войска выехали заводские бригады для оборудования такими фильтрами всех ранее выпущенных самолетов. При этом на самолетах завода № 1 одновременно с заменой нижней части всасывающего патрубка заменялась и его верхняя часть (17490).</w:t>
      </w:r>
    </w:p>
    <w:p w14:paraId="68701A4D" w14:textId="77777777" w:rsidR="006825F8" w:rsidRPr="00F90EAE" w:rsidRDefault="006825F8" w:rsidP="00F90EAE">
      <w:pPr>
        <w:jc w:val="both"/>
        <w:rPr>
          <w:color w:val="000000" w:themeColor="text1"/>
          <w:sz w:val="16"/>
          <w:szCs w:val="16"/>
        </w:rPr>
      </w:pPr>
    </w:p>
    <w:p w14:paraId="2FADFB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18-й авиазавод сдал ВВС 163 машины Ил-10 (7489).</w:t>
      </w:r>
    </w:p>
    <w:p w14:paraId="409EDCCC" w14:textId="77777777" w:rsidR="00665165" w:rsidRPr="00F90EAE" w:rsidRDefault="00665165" w:rsidP="00F90EAE">
      <w:pPr>
        <w:autoSpaceDE w:val="0"/>
        <w:autoSpaceDN w:val="0"/>
        <w:adjustRightInd w:val="0"/>
        <w:jc w:val="both"/>
        <w:rPr>
          <w:color w:val="000000" w:themeColor="text1"/>
          <w:sz w:val="16"/>
          <w:szCs w:val="16"/>
        </w:rPr>
      </w:pPr>
    </w:p>
    <w:p w14:paraId="298949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завод 18 выпустил 163 Ил-10, в марте - 90, в январе - 50. Завод 1 за 1945 сделал 1169 Ил-10, включая 186 спарок УИл-10 (1605,3).</w:t>
      </w:r>
    </w:p>
    <w:p w14:paraId="12E36F44" w14:textId="77777777" w:rsidR="00665165" w:rsidRPr="00F90EAE" w:rsidRDefault="00665165" w:rsidP="00F90EAE">
      <w:pPr>
        <w:autoSpaceDE w:val="0"/>
        <w:autoSpaceDN w:val="0"/>
        <w:adjustRightInd w:val="0"/>
        <w:jc w:val="both"/>
        <w:rPr>
          <w:color w:val="000000" w:themeColor="text1"/>
          <w:sz w:val="16"/>
          <w:szCs w:val="16"/>
        </w:rPr>
      </w:pPr>
    </w:p>
    <w:p w14:paraId="3A303E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на Ил-10 перешла 6 гшад, в составе которой был 108 гшап, который вел войсковые испытания 45 Ил-10 (1605,3).</w:t>
      </w:r>
    </w:p>
    <w:p w14:paraId="67CFE539" w14:textId="77777777" w:rsidR="00665165" w:rsidRPr="00F90EAE" w:rsidRDefault="00665165" w:rsidP="00F90EAE">
      <w:pPr>
        <w:autoSpaceDE w:val="0"/>
        <w:autoSpaceDN w:val="0"/>
        <w:adjustRightInd w:val="0"/>
        <w:jc w:val="both"/>
        <w:rPr>
          <w:color w:val="000000" w:themeColor="text1"/>
          <w:sz w:val="16"/>
          <w:szCs w:val="16"/>
        </w:rPr>
      </w:pPr>
    </w:p>
    <w:p w14:paraId="2D99B7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на гос. испытания был предъявлен второй экз. Ил-8 с АМ-42, который С.В.И. на 240 заводе переделал из машины, сделанной еще в мае 1943 с системой охлаждения, шасси и оперением по типу Ил-10. Испытывали до августа 1945 (2104).</w:t>
      </w:r>
    </w:p>
    <w:p w14:paraId="7D29B2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Сравнительные данные Ил-8 и Ил-10: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394"/>
      </w:tblGrid>
      <w:tr w:rsidR="00561F31" w:rsidRPr="00F90EAE" w14:paraId="73F3CED7" w14:textId="77777777">
        <w:tc>
          <w:tcPr>
            <w:tcW w:w="3652" w:type="dxa"/>
          </w:tcPr>
          <w:p w14:paraId="43B3F1F0"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695563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Ил-8</w:t>
            </w:r>
          </w:p>
        </w:tc>
        <w:tc>
          <w:tcPr>
            <w:tcW w:w="4394" w:type="dxa"/>
          </w:tcPr>
          <w:p w14:paraId="0BE53A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w:t>
            </w:r>
          </w:p>
        </w:tc>
      </w:tr>
      <w:tr w:rsidR="00561F31" w:rsidRPr="00F90EAE" w14:paraId="1C1426A2" w14:textId="77777777">
        <w:tc>
          <w:tcPr>
            <w:tcW w:w="3652" w:type="dxa"/>
          </w:tcPr>
          <w:p w14:paraId="6B52F9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Максимальная скорость у земли </w:t>
            </w:r>
          </w:p>
        </w:tc>
        <w:tc>
          <w:tcPr>
            <w:tcW w:w="2410" w:type="dxa"/>
          </w:tcPr>
          <w:p w14:paraId="693C82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461 </w:t>
            </w:r>
          </w:p>
        </w:tc>
        <w:tc>
          <w:tcPr>
            <w:tcW w:w="4394" w:type="dxa"/>
          </w:tcPr>
          <w:p w14:paraId="516148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507</w:t>
            </w:r>
          </w:p>
        </w:tc>
      </w:tr>
      <w:tr w:rsidR="00561F31" w:rsidRPr="00F90EAE" w14:paraId="1E446268" w14:textId="77777777">
        <w:tc>
          <w:tcPr>
            <w:tcW w:w="3652" w:type="dxa"/>
          </w:tcPr>
          <w:p w14:paraId="4C1AC747"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3A5BD2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(418 с 2хФАБ-500)</w:t>
            </w:r>
          </w:p>
        </w:tc>
        <w:tc>
          <w:tcPr>
            <w:tcW w:w="4394" w:type="dxa"/>
          </w:tcPr>
          <w:p w14:paraId="6F94105B"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5B1B3C7" w14:textId="77777777">
        <w:tc>
          <w:tcPr>
            <w:tcW w:w="3652" w:type="dxa"/>
          </w:tcPr>
          <w:p w14:paraId="407FE0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границе высотности</w:t>
            </w:r>
          </w:p>
        </w:tc>
        <w:tc>
          <w:tcPr>
            <w:tcW w:w="2410" w:type="dxa"/>
          </w:tcPr>
          <w:p w14:paraId="04CB31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509</w:t>
            </w:r>
          </w:p>
        </w:tc>
        <w:tc>
          <w:tcPr>
            <w:tcW w:w="4394" w:type="dxa"/>
          </w:tcPr>
          <w:p w14:paraId="02432A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551</w:t>
            </w:r>
          </w:p>
        </w:tc>
      </w:tr>
      <w:tr w:rsidR="00561F31" w:rsidRPr="00F90EAE" w14:paraId="52900733" w14:textId="77777777">
        <w:tc>
          <w:tcPr>
            <w:tcW w:w="3652" w:type="dxa"/>
          </w:tcPr>
          <w:p w14:paraId="6D4ABED2" w14:textId="77777777" w:rsidR="00665165" w:rsidRPr="00F90EAE" w:rsidRDefault="00665165" w:rsidP="00F90EAE">
            <w:pPr>
              <w:autoSpaceDE w:val="0"/>
              <w:autoSpaceDN w:val="0"/>
              <w:adjustRightInd w:val="0"/>
              <w:jc w:val="both"/>
              <w:rPr>
                <w:color w:val="000000" w:themeColor="text1"/>
                <w:sz w:val="16"/>
                <w:szCs w:val="16"/>
              </w:rPr>
            </w:pPr>
          </w:p>
        </w:tc>
        <w:tc>
          <w:tcPr>
            <w:tcW w:w="2410" w:type="dxa"/>
          </w:tcPr>
          <w:p w14:paraId="678773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(456 с 2хФАБ-500)</w:t>
            </w:r>
          </w:p>
        </w:tc>
        <w:tc>
          <w:tcPr>
            <w:tcW w:w="4394" w:type="dxa"/>
          </w:tcPr>
          <w:p w14:paraId="52744BE2"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1342F45" w14:textId="77777777">
        <w:tc>
          <w:tcPr>
            <w:tcW w:w="3652" w:type="dxa"/>
          </w:tcPr>
          <w:p w14:paraId="7A7111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3000 м</w:t>
            </w:r>
          </w:p>
        </w:tc>
        <w:tc>
          <w:tcPr>
            <w:tcW w:w="2410" w:type="dxa"/>
          </w:tcPr>
          <w:p w14:paraId="5EAC1F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w:t>
            </w:r>
          </w:p>
        </w:tc>
        <w:tc>
          <w:tcPr>
            <w:tcW w:w="4394" w:type="dxa"/>
          </w:tcPr>
          <w:p w14:paraId="0C3C52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w:t>
            </w:r>
          </w:p>
        </w:tc>
      </w:tr>
      <w:tr w:rsidR="00561F31" w:rsidRPr="00F90EAE" w14:paraId="14FC8626" w14:textId="77777777">
        <w:tc>
          <w:tcPr>
            <w:tcW w:w="3652" w:type="dxa"/>
          </w:tcPr>
          <w:p w14:paraId="4A0618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разбега на 45 м</w:t>
            </w:r>
          </w:p>
        </w:tc>
        <w:tc>
          <w:tcPr>
            <w:tcW w:w="2410" w:type="dxa"/>
          </w:tcPr>
          <w:p w14:paraId="66EA77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520</w:t>
            </w:r>
          </w:p>
        </w:tc>
        <w:tc>
          <w:tcPr>
            <w:tcW w:w="4394" w:type="dxa"/>
          </w:tcPr>
          <w:p w14:paraId="4BFF1C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475</w:t>
            </w:r>
          </w:p>
        </w:tc>
      </w:tr>
      <w:tr w:rsidR="00561F31" w:rsidRPr="00F90EAE" w14:paraId="4321E692" w14:textId="77777777">
        <w:tc>
          <w:tcPr>
            <w:tcW w:w="3652" w:type="dxa"/>
          </w:tcPr>
          <w:p w14:paraId="36B31D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нагрузка</w:t>
            </w:r>
          </w:p>
        </w:tc>
        <w:tc>
          <w:tcPr>
            <w:tcW w:w="2410" w:type="dxa"/>
          </w:tcPr>
          <w:p w14:paraId="107011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w:t>
            </w:r>
          </w:p>
        </w:tc>
        <w:tc>
          <w:tcPr>
            <w:tcW w:w="4394" w:type="dxa"/>
          </w:tcPr>
          <w:p w14:paraId="366B08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1655</w:t>
            </w:r>
          </w:p>
        </w:tc>
      </w:tr>
      <w:tr w:rsidR="00561F31" w:rsidRPr="00F90EAE" w14:paraId="2E99773D" w14:textId="77777777">
        <w:tc>
          <w:tcPr>
            <w:tcW w:w="3652" w:type="dxa"/>
          </w:tcPr>
          <w:p w14:paraId="069739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2410" w:type="dxa"/>
          </w:tcPr>
          <w:p w14:paraId="7291EB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4394" w:type="dxa"/>
          </w:tcPr>
          <w:p w14:paraId="6300BE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r>
      <w:tr w:rsidR="00561F31" w:rsidRPr="00F90EAE" w14:paraId="1E07D152" w14:textId="77777777">
        <w:tc>
          <w:tcPr>
            <w:tcW w:w="3652" w:type="dxa"/>
          </w:tcPr>
          <w:p w14:paraId="50803C3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w:t>
            </w:r>
          </w:p>
        </w:tc>
        <w:tc>
          <w:tcPr>
            <w:tcW w:w="2410" w:type="dxa"/>
          </w:tcPr>
          <w:p w14:paraId="629321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1140</w:t>
            </w:r>
          </w:p>
        </w:tc>
        <w:tc>
          <w:tcPr>
            <w:tcW w:w="4394" w:type="dxa"/>
          </w:tcPr>
          <w:p w14:paraId="416A17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 (2104)</w:t>
            </w:r>
          </w:p>
        </w:tc>
      </w:tr>
    </w:tbl>
    <w:p w14:paraId="2CF60491" w14:textId="77777777" w:rsidR="00665165" w:rsidRPr="00F90EAE" w:rsidRDefault="00665165" w:rsidP="00F90EAE">
      <w:pPr>
        <w:autoSpaceDE w:val="0"/>
        <w:autoSpaceDN w:val="0"/>
        <w:adjustRightInd w:val="0"/>
        <w:jc w:val="both"/>
        <w:rPr>
          <w:iCs/>
          <w:color w:val="000000" w:themeColor="text1"/>
          <w:sz w:val="16"/>
          <w:szCs w:val="16"/>
        </w:rPr>
      </w:pPr>
    </w:p>
    <w:p w14:paraId="7519F6F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 в ЛИИ испытывали новый пропеллер для Ил-4 АВ-7ФЕ-158А. Летал Н.С. Рыбко. Винты удостоились удовлетворитель</w:t>
      </w:r>
      <w:r w:rsidRPr="00F90EAE">
        <w:rPr>
          <w:color w:val="000000" w:themeColor="text1"/>
          <w:sz w:val="16"/>
          <w:szCs w:val="16"/>
        </w:rPr>
        <w:softHyphen/>
        <w:t>ной оценки, их рекомендовали для госу</w:t>
      </w:r>
      <w:r w:rsidRPr="00F90EAE">
        <w:rPr>
          <w:color w:val="000000" w:themeColor="text1"/>
          <w:sz w:val="16"/>
          <w:szCs w:val="16"/>
        </w:rPr>
        <w:softHyphen/>
        <w:t>дарственных и войсковых испытаний. Их ставили на некоторые Ил-4 послед</w:t>
      </w:r>
      <w:r w:rsidRPr="00F90EAE">
        <w:rPr>
          <w:color w:val="000000" w:themeColor="text1"/>
          <w:sz w:val="16"/>
          <w:szCs w:val="16"/>
        </w:rPr>
        <w:softHyphen/>
        <w:t>них серий (10734,81).</w:t>
      </w:r>
    </w:p>
    <w:p w14:paraId="0024DF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1ADE6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 ЛИИ испытывали новый пропеллер АВ-7ФЕ-158А для Ил-4. Летал Н.С.Рыбко.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(7666).</w:t>
      </w:r>
    </w:p>
    <w:p w14:paraId="276136BC" w14:textId="77777777" w:rsidR="00665165" w:rsidRPr="00F90EAE" w:rsidRDefault="00665165" w:rsidP="00F90EAE">
      <w:pPr>
        <w:autoSpaceDE w:val="0"/>
        <w:autoSpaceDN w:val="0"/>
        <w:adjustRightInd w:val="0"/>
        <w:jc w:val="both"/>
        <w:rPr>
          <w:color w:val="000000" w:themeColor="text1"/>
          <w:sz w:val="16"/>
          <w:szCs w:val="16"/>
        </w:rPr>
      </w:pPr>
    </w:p>
    <w:p w14:paraId="577D90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 ЛИИ испытывали новый пропеллер АВ-7ФЕ-158А для Ил-4. Продолжались эксперименты с флюгируемыми винтами. Летал Н.С. Рыбко. Винты удостоились удовлетворительной оценки, их рекомендовали для государственных и войсковых испытаний. Их ставили на некоторые Ил-4 последних серий (12021).</w:t>
      </w:r>
    </w:p>
    <w:p w14:paraId="071D8646" w14:textId="77777777" w:rsidR="00665165" w:rsidRPr="00F90EAE" w:rsidRDefault="00665165" w:rsidP="00F90EAE">
      <w:pPr>
        <w:autoSpaceDE w:val="0"/>
        <w:autoSpaceDN w:val="0"/>
        <w:adjustRightInd w:val="0"/>
        <w:jc w:val="both"/>
        <w:rPr>
          <w:color w:val="000000" w:themeColor="text1"/>
          <w:sz w:val="16"/>
          <w:szCs w:val="16"/>
        </w:rPr>
      </w:pPr>
    </w:p>
    <w:p w14:paraId="12B4E4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проходил заводские испытания Пе-2М с двигателями ВК-108. В этом же месяце машина испытывалась в ГК НИИ ВВС. Много рекламаций было на стрелковые установки завода № 43, обладавшие низкой надежностью, что и стало главной причиной отказа от Пе-2М (3337).</w:t>
      </w:r>
    </w:p>
    <w:p w14:paraId="409BB329" w14:textId="77777777" w:rsidR="00665165" w:rsidRPr="00F90EAE" w:rsidRDefault="00665165" w:rsidP="00F90EAE">
      <w:pPr>
        <w:autoSpaceDE w:val="0"/>
        <w:autoSpaceDN w:val="0"/>
        <w:adjustRightInd w:val="0"/>
        <w:jc w:val="both"/>
        <w:rPr>
          <w:color w:val="000000" w:themeColor="text1"/>
          <w:sz w:val="16"/>
          <w:szCs w:val="16"/>
        </w:rPr>
      </w:pPr>
    </w:p>
    <w:p w14:paraId="3034F9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самолет Ер-2 исследовали в натурной аэродинамической трубе Т-101 ЦАГИ, и вслед за этим начались его летные испытания. Из-за вышедшего из строя левого двигателя и последовавшей его замены испытания затянулись до середины сентября. За этот период на самолете выполнили 28 полетов общей продолжительностью 20 ч 28 мин. (11994)</w:t>
      </w:r>
    </w:p>
    <w:p w14:paraId="7B5823EB" w14:textId="77777777" w:rsidR="00665165" w:rsidRPr="00F90EAE" w:rsidRDefault="00665165" w:rsidP="00F90EAE">
      <w:pPr>
        <w:autoSpaceDE w:val="0"/>
        <w:autoSpaceDN w:val="0"/>
        <w:adjustRightInd w:val="0"/>
        <w:jc w:val="both"/>
        <w:rPr>
          <w:color w:val="000000" w:themeColor="text1"/>
          <w:sz w:val="16"/>
          <w:szCs w:val="16"/>
        </w:rPr>
      </w:pPr>
    </w:p>
    <w:p w14:paraId="7F66D7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наркомат авиапромышленности решил привлечь к сборке Ер-2 таганрогский завод N 86. Из Иркутска железнодорожным транспортом туда были отправлены пять комплектов узлов и агрегатов. Судя по всему, именно это выдающееся событие впоследствии позволило некоторым историкам авиации утверждать, что в Таганроге якобы осуществлялось серийное производство Ер-2 (3322,44).</w:t>
      </w:r>
    </w:p>
    <w:p w14:paraId="275A7780" w14:textId="77777777" w:rsidR="00665165" w:rsidRPr="00F90EAE" w:rsidRDefault="00665165" w:rsidP="00F90EAE">
      <w:pPr>
        <w:autoSpaceDE w:val="0"/>
        <w:autoSpaceDN w:val="0"/>
        <w:adjustRightInd w:val="0"/>
        <w:jc w:val="both"/>
        <w:rPr>
          <w:color w:val="000000" w:themeColor="text1"/>
          <w:sz w:val="16"/>
          <w:szCs w:val="16"/>
        </w:rPr>
      </w:pPr>
    </w:p>
    <w:p w14:paraId="54A73759" w14:textId="77777777" w:rsidR="0027059D" w:rsidRPr="00F90EAE" w:rsidRDefault="0027059D" w:rsidP="00F90EAE">
      <w:pPr>
        <w:shd w:val="clear" w:color="auto" w:fill="FFFFFF"/>
        <w:jc w:val="both"/>
        <w:rPr>
          <w:color w:val="000000" w:themeColor="text1"/>
          <w:sz w:val="16"/>
          <w:szCs w:val="16"/>
        </w:rPr>
      </w:pPr>
      <w:r w:rsidRPr="00F90EAE">
        <w:rPr>
          <w:color w:val="000000" w:themeColor="text1"/>
          <w:sz w:val="16"/>
          <w:szCs w:val="16"/>
        </w:rPr>
        <w:t>В мае месяце 1945 отсутствие двигателей и основных готовых изделий (турельных установок ТУМ-5, водо и маслорадиаторов, ручных помп, электромоторов и др.) стало причиной полной остановки работы сборочных цехов. Существенной причиной отставания являлось также проведение ряда конструктивных и технологических изменений (224) (15223).</w:t>
      </w:r>
    </w:p>
    <w:p w14:paraId="2E0346F9" w14:textId="77777777" w:rsidR="0027059D" w:rsidRPr="00F90EAE" w:rsidRDefault="0027059D" w:rsidP="00F90EAE">
      <w:pPr>
        <w:shd w:val="clear" w:color="auto" w:fill="FFFFFF"/>
        <w:jc w:val="both"/>
        <w:rPr>
          <w:color w:val="000000" w:themeColor="text1"/>
          <w:sz w:val="16"/>
          <w:szCs w:val="16"/>
        </w:rPr>
      </w:pPr>
    </w:p>
    <w:p w14:paraId="4EC678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в ЦИАМе приступили к наземным испытаниям комбинированной силовой установки Э-3130.</w:t>
      </w:r>
    </w:p>
    <w:p w14:paraId="2F1063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Работу над вариантом Ер-2 с комбинированной силовой установкой, включавшей дизели М-30Б и воздушно-реактивными компрессорными двигателями (ВРДК) завершилась в 1943 г. в ЦИАМ под руководством А.И. Толстова. Принципиальной особенностью ВРДК являлось использование поршневого М-ЗОБ с воздушным винтом в качестве основных двигателей на всех этапах полета, а пары ВРДК - как ускорителей, необходимых для сокращения разбега или кратковременного увеличения скорости полета.</w:t>
      </w:r>
    </w:p>
    <w:p w14:paraId="22D3AE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Результаты наземных испытаний в 1945 показали, что тяга ускорителя на номинальном режиме составляла 625 кг, а суммарная, с учетом работы двигателя АЧ-30Б - 875 кг, при этом удельный расход топлива достигал 3,63 кг/кгс/ч, что почти в три раза превышало аналогичный параметр ТРД, созданных в Германии (11994).</w:t>
      </w:r>
    </w:p>
    <w:p w14:paraId="2DE15F85" w14:textId="77777777" w:rsidR="00665165" w:rsidRPr="00F90EAE" w:rsidRDefault="00665165" w:rsidP="00F90EAE">
      <w:pPr>
        <w:autoSpaceDE w:val="0"/>
        <w:autoSpaceDN w:val="0"/>
        <w:adjustRightInd w:val="0"/>
        <w:jc w:val="both"/>
        <w:rPr>
          <w:color w:val="000000" w:themeColor="text1"/>
          <w:sz w:val="16"/>
          <w:szCs w:val="16"/>
        </w:rPr>
      </w:pPr>
    </w:p>
    <w:p w14:paraId="3A1A33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в ОКБ А.Н.Т. сделали Ту-2 с М-39ФНВ под шифром 68 (Ту-4, а затем Ту-10) (2629,27).</w:t>
      </w:r>
    </w:p>
    <w:p w14:paraId="1A2478D9" w14:textId="77777777" w:rsidR="00665165" w:rsidRPr="00F90EAE" w:rsidRDefault="00665165" w:rsidP="00F90EAE">
      <w:pPr>
        <w:autoSpaceDE w:val="0"/>
        <w:autoSpaceDN w:val="0"/>
        <w:adjustRightInd w:val="0"/>
        <w:jc w:val="both"/>
        <w:rPr>
          <w:color w:val="000000" w:themeColor="text1"/>
          <w:sz w:val="16"/>
          <w:szCs w:val="16"/>
        </w:rPr>
      </w:pPr>
    </w:p>
    <w:p w14:paraId="589DC7B1" w14:textId="77777777" w:rsidR="003B056E" w:rsidRPr="00F90EAE" w:rsidRDefault="003B056E" w:rsidP="00F90EAE">
      <w:pPr>
        <w:jc w:val="both"/>
        <w:rPr>
          <w:color w:val="0070C0"/>
          <w:sz w:val="16"/>
          <w:szCs w:val="16"/>
        </w:rPr>
      </w:pPr>
      <w:r w:rsidRPr="00F90EAE">
        <w:rPr>
          <w:color w:val="0070C0"/>
          <w:sz w:val="16"/>
          <w:szCs w:val="16"/>
        </w:rPr>
        <w:t xml:space="preserve">В мае 1945, после окончания войны оказалось, что фронтовых бомбардировщиков в советских ВВС насчитывается много, но значительная часть из них устарела и уже не в полной мере отвечает современному уровню. Встала задача качественного обновления парка. Немалая роль в этом процессе отводилась Ту-2, который являлся последним из принятых на вооружение самолетов данного класса. В это время промышленность начала переходить на режим мирного времени. Это означало, что у рабочих опять появились выходные дни и отпуска, стали незаконными постоянные сверхурочные работы. Вследствие этого производственная мощность завода № 23, выпускавшего самолеты Ту-2, упала более чем на треть. НКАП решил скомпенсировать потери передачей изготовления части узлов другим предприятиям. Заводу № 30 поручили поставлять консоли крыла, хвостовую часть фюзеляжа, № 82 – моторамы, заводам №№ 500 и 122 – отдельные детали. С середины декабря все </w:t>
      </w:r>
      <w:r w:rsidRPr="00F90EAE">
        <w:rPr>
          <w:color w:val="0070C0"/>
          <w:sz w:val="16"/>
          <w:szCs w:val="16"/>
        </w:rPr>
        <w:lastRenderedPageBreak/>
        <w:t>комплектующие должны были поступить на сборку в Филях. Но эти предприятия испытывали те же трудности переходного периода. До конца года с других заводов ничего не прибыло. Во-вторых, в конце войны советские ВВС, добившиеся перевеса в воздухе над противником, уже могли себе позволить требовать устранения тех недостатков, с которыми ранее мирились. Обзор из кабины Ту-2 и для летчика, и для штурмана по-прежнему считался неудовлетворительным. При значительной огневой мощи обороноспособность бомбардировщика снижалась малыми секторами обстрела и недостаточной маневренностью установок. Бомбосбрасыватели работали ненадежно. Наблюдались случаи неравномерной выработки горючего из баков в крыле, что нарушало центровку и осложняло пилотирование. Наземные службы жаловались на длительность процесса заправки. Многие советские бомбардировщики к этому времени получили систему «2-й зоны нейтрального газа». При ее наличии осушенные и охлажденные выхлопные газы подавались не только в освобождавшееся пространство самих бензобаков, но и заполняли весь отсек, где располагался бак. Это существенно снижало пожароопасность. А вот на Ту-2 имелась только система «1-й зоны» – наддув баков. В эксплуатации быстро прогорали выхлопные коллекторы, трескались всасывающие патрубки. Наблюдалось разрушение коков винтов. Прочность колес оказалась явно недостаточной. При взлете с грунтовых аэродромов с полной нагрузкой, а нередко и при посадке покрышки лопались, а диски сминались. Многие из этих дефектов подтвердились на контрольных испытаниях в НИИ ВВС самолета № 24/32, выпущенного в июне 1945 г. Машина их не выдержала, испытатели составили длинный список недостатков. 7–8 сентября 1945 г. главный инженер ВВС провел совещание по дефектам Ту-2 и их устранению. Туполеву предложили в кратчайшие сроки выправить положение, уже в ноябре представив на испытания в НИИ ВВС три модернизированных бомбардировщика. 27 октября утвердили согласованные между ВВС и НКАП требования по доработке самолета. Действительно, некоторые недостатки конструкторскому бюро и заводу ȹ23 удалось исправить еще до конца года. Чтобы избавиться от неравномерного расходования бензина, начиная с самолета ȹ21/38, переделали бензосистему. Ее разделили на две одинаковые половины. Для этого в первом фюзеляжном баке установили герметическую продольную перегородку. Левый отсек (85 л) вместе со вторым баком по емкости равнялся правому отсеку (225 л). Левая и правая группы баков имели свои заливные горловины. В нормальном режиме каждый мотор питался от своей группы баков. При неравномерном расходе пилот мог выровнять наполнение через кран магистрали кольцевания. Его же открывали, если нужно было подавать бензин обоим двигателям. Дренаж бензобаков при новой схеме был параллельным, а не последовательным. Дренажные трубки при ходили к двум «паукам», через которые стравливался избыточный воздух. У стрелка, начиная с 41-й серии, сделали новый нижний люк, открывающийся наружу; в аварийной ситуации он сбрасывался. С самолета ȹ6/42 на кресло пилота монтировалась более широкая и плоская бронеспинка. Увеличили люки над пушками в крыле. Вторую фару стали ставить на всех серийных самолетах. Появились новые выхлопные коллекторы с шаровыми и телескопическими соединениями. С 29-й серии бомбовый прицел ОПБ-1Р заменили на ОПБ-1Д. Постановление ГКО требовало сделать это еще во втором квартале 1944 г., а с 1 октября выпускать с ними не менее половины машин. Получилось, что опоздали почти на год. Провели усиление каркаса центроплана. Поскольку радиолокаторов у советской армии становилось все больше, на бомбардировщике поставили прибор опознавания МА (с 35-й серии). С самолета ȹ28/39 монтировали кислородные приборы КП-14, имевшие меньшее сопротивление вдоху. С 29-й серии радиополукомпас РПК-10 заменили на РПКО-10М, а с бомбардировщика ȹ7/41 ввели радиостанцию РСБ-3бисА с расширенным коротковолновым диапазоном. Нововведения увеличили трудоемкость изготовления Ту-2 примерно на 15. В сумме все эти факторы привели к резкому снижению выпуска бомбардировщиков. К концу года завод собрал 742 самолета, а сдал – 736 (при плане 910 машин). В конце 1945 г. в конструкторском бюро Туполева подготовили документацию по целому ряду изменений в конструкции, оборудовании и вооружении бомбардировщика. Их частично внедрили на самолетах 44-й серии, выпущенной в начале следующего года. На них провели местные усиления набора фюзеляжа, обзор стрелку улучшили, заменив три маленьких иллюминатора с каждого борта одним большим. Продолжили вытеснение из планера деревянных конструкций – вернулись к металлическому хвостовому коку. Раньше пилот и штурман забирались на свои рабочие места с приставной лестницы. Это было возможно только при невращающихся винтах. Теперь с помощью выдвигающихся подножек люди поднимались на центроплан, а оттуда шли по правому борту к кабине. Автомат пикирования АП-3 уступил место АП-3М с реле времени. Две машины 44-й серии подвергли дополнительным доработкам. В феврале 1946 г. в НИИ ВВС прибыли на испытания два бомбардировщика: 1/44 и 2/44. Они отличались тем, что на «2/44» стояли серийные моторы Аš-82ФН-212 (двигатели к этому времени за большие заслуги двигатели конструктора А.Д. šвецова стали именовать его инициалами), а на «1/44» – опытные Аš-82ФН-312 с трехскоростными нагнетателями. Одна из этих машин должна была стать эталоном для последующих серий, начиная с 48-й. Кроме упомянутых выше изменений, внесенных на всех серийных Ту-2, на этих самолетах появился ряд важных новинок. Фонарь кабины пилота и штурмана расширили и снабдили выпуклыми боковыми стеклами. Вместо стрелковой установки БУš смонтировали новую ВУС-1. Ствол пулемета у нее выходил не через шаровой шарнир плоского блистера, как раньше, а через прорезь в выпуклом козырьке. У стрелка-радиста стояла турель ВУБ-68. При этом его фонарь лишился «черепахи», замененной откидной секцией и неподвижным козырьком. У стрелка поставили усовершенствованную установку ЛУ-68. Претерпело некоторые изменения бомбовое вооружение. К оборудованию добавили новый компас ПДК-44. На самолетах летали испытатели А.М. Хрипков и Н.А. Степанов. Машины прошли полную программу государственных испытаний, но обе получили оценку «неудовлетворительно». В НИИ ВВС сочли, что новые требования не выполнены полностью. Кроме того, выявили снижение дальности (на 110 км) и уменьшение потолка (до 9400 м) по сравнению с бомбардировщиками выпуска 1945 г. (сравнивали с проходившим контрольные испытания самолетом ȹ24/32). Причина этого была ясна – машины стали тяжелее (21059).</w:t>
      </w:r>
    </w:p>
    <w:p w14:paraId="3802AA64" w14:textId="77777777" w:rsidR="003B056E" w:rsidRPr="00F90EAE" w:rsidRDefault="003B056E" w:rsidP="00F90EAE">
      <w:pPr>
        <w:jc w:val="both"/>
        <w:rPr>
          <w:color w:val="0070C0"/>
          <w:sz w:val="16"/>
          <w:szCs w:val="16"/>
        </w:rPr>
      </w:pPr>
    </w:p>
    <w:p w14:paraId="043CE6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в НИИ ВВС в Чкаловском закончили испытания Пе-8 (ТБ-7) ОН N 42712 с АЧ-30Б и ВИШ-61В, которые вели с апреля 1945. Был еще и 42612 (1103,143).</w:t>
      </w:r>
    </w:p>
    <w:p w14:paraId="2F631218" w14:textId="77777777" w:rsidR="00665165" w:rsidRPr="00F90EAE" w:rsidRDefault="00665165" w:rsidP="00F90EAE">
      <w:pPr>
        <w:autoSpaceDE w:val="0"/>
        <w:autoSpaceDN w:val="0"/>
        <w:adjustRightInd w:val="0"/>
        <w:jc w:val="both"/>
        <w:rPr>
          <w:color w:val="000000" w:themeColor="text1"/>
          <w:sz w:val="16"/>
          <w:szCs w:val="16"/>
        </w:rPr>
      </w:pPr>
    </w:p>
    <w:p w14:paraId="06B9DD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закончились государственные испытания второго Пе-8ОН в ГК НИИ ВВС, которые проходили с марта или апреля 1945.</w:t>
      </w:r>
    </w:p>
    <w:p w14:paraId="2374C1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51232D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4D922E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7C0CBD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0FD596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0FED2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17485F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4E96A2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03D3E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7285A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0D6EFF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76532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6FE0C0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1C37F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2935E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13D49DF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5EBBD3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66B0DB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29DB54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5E5004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3EC1C5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AC977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0DFB75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02DD2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785E98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600241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518C8D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1813F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504129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6EE168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58783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173B94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63CBDF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1F3993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7ECE07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41006B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482B7A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470F54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321E69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53AFB0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16187CE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447BED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61489E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3A073B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428FF7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2804C9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BD58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CFB8F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49CBCF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2AEFF1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42B3B5B8" w14:textId="77777777">
        <w:tc>
          <w:tcPr>
            <w:tcW w:w="4219" w:type="dxa"/>
            <w:tcBorders>
              <w:top w:val="single" w:sz="12" w:space="0" w:color="auto"/>
            </w:tcBorders>
          </w:tcPr>
          <w:p w14:paraId="5214334D" w14:textId="77777777" w:rsidR="00665165" w:rsidRPr="00F90EAE" w:rsidRDefault="00665165"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6C00FE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7D1FBD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45C8C8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2F3E1EA3" w14:textId="77777777">
        <w:tc>
          <w:tcPr>
            <w:tcW w:w="4219" w:type="dxa"/>
          </w:tcPr>
          <w:p w14:paraId="034F32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1041FC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4E8505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603D6A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4B7D847C" w14:textId="77777777">
        <w:tc>
          <w:tcPr>
            <w:tcW w:w="4219" w:type="dxa"/>
          </w:tcPr>
          <w:p w14:paraId="7D2A2B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55E425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2C870E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544739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5FBF564D" w14:textId="77777777">
        <w:tc>
          <w:tcPr>
            <w:tcW w:w="4219" w:type="dxa"/>
          </w:tcPr>
          <w:p w14:paraId="295057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0A3C6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49C852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25163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6370C9BA" w14:textId="77777777">
        <w:tc>
          <w:tcPr>
            <w:tcW w:w="4219" w:type="dxa"/>
          </w:tcPr>
          <w:p w14:paraId="4A5EBE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2FB6C9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124D57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3C27F1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76E0C5C8" w14:textId="77777777">
        <w:tc>
          <w:tcPr>
            <w:tcW w:w="4219" w:type="dxa"/>
          </w:tcPr>
          <w:p w14:paraId="78F7D3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566710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4AE752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274E0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0D2C9A04" w14:textId="77777777">
        <w:tc>
          <w:tcPr>
            <w:tcW w:w="4219" w:type="dxa"/>
          </w:tcPr>
          <w:p w14:paraId="281087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1D3232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29C7F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776F8A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01C65F35" w14:textId="77777777">
        <w:tc>
          <w:tcPr>
            <w:tcW w:w="4219" w:type="dxa"/>
          </w:tcPr>
          <w:p w14:paraId="031D40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143200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5D3949F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79D880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18CF4116" w14:textId="77777777">
        <w:tc>
          <w:tcPr>
            <w:tcW w:w="4219" w:type="dxa"/>
          </w:tcPr>
          <w:p w14:paraId="323F2A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3C4B7D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372BC8C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25C1D9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6989E37D" w14:textId="77777777">
        <w:tc>
          <w:tcPr>
            <w:tcW w:w="4219" w:type="dxa"/>
          </w:tcPr>
          <w:p w14:paraId="6200A8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4E3A25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27B7B2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4D3E49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42B2FC7C" w14:textId="77777777">
        <w:tc>
          <w:tcPr>
            <w:tcW w:w="4219" w:type="dxa"/>
          </w:tcPr>
          <w:p w14:paraId="69E92F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31D767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2FB411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2A0CA8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7C0C1CCB" w14:textId="77777777">
        <w:tc>
          <w:tcPr>
            <w:tcW w:w="4219" w:type="dxa"/>
          </w:tcPr>
          <w:p w14:paraId="678CEB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24204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04CC6F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31D60F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32C6532D" w14:textId="77777777">
        <w:tc>
          <w:tcPr>
            <w:tcW w:w="4219" w:type="dxa"/>
          </w:tcPr>
          <w:p w14:paraId="77B984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232FD7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7D775B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66F07B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794A2245" w14:textId="77777777">
        <w:tc>
          <w:tcPr>
            <w:tcW w:w="4219" w:type="dxa"/>
          </w:tcPr>
          <w:p w14:paraId="7D71B4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0E1F98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6D381F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1D1CEA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4566AB82" w14:textId="77777777">
        <w:tc>
          <w:tcPr>
            <w:tcW w:w="4219" w:type="dxa"/>
          </w:tcPr>
          <w:p w14:paraId="2C119F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3B15B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4ACFBD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1E97EC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11882864" w14:textId="77777777">
        <w:tc>
          <w:tcPr>
            <w:tcW w:w="4219" w:type="dxa"/>
          </w:tcPr>
          <w:p w14:paraId="0ECE70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20B208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68FFB8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35657D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07AC9042" w14:textId="77777777">
        <w:tc>
          <w:tcPr>
            <w:tcW w:w="4219" w:type="dxa"/>
          </w:tcPr>
          <w:p w14:paraId="2F824D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34E82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4901D1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65DA6D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167BCAE8" w14:textId="77777777">
        <w:tc>
          <w:tcPr>
            <w:tcW w:w="4219" w:type="dxa"/>
          </w:tcPr>
          <w:p w14:paraId="0226F4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2B7E48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26A8E3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383CFB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2ACDA275" w14:textId="77777777">
        <w:tc>
          <w:tcPr>
            <w:tcW w:w="4219" w:type="dxa"/>
            <w:tcBorders>
              <w:bottom w:val="single" w:sz="12" w:space="0" w:color="auto"/>
            </w:tcBorders>
          </w:tcPr>
          <w:p w14:paraId="2623E1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4990AB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4E17C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00E6A1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2DDE33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407907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7E2B64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1BA40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Допустимая нагрузка при перегрузке: горючее - 5300, масло 200, всего 5500</w:t>
      </w:r>
    </w:p>
    <w:p w14:paraId="414C91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696A8DBF" w14:textId="77777777">
        <w:tc>
          <w:tcPr>
            <w:tcW w:w="675" w:type="dxa"/>
            <w:tcBorders>
              <w:top w:val="single" w:sz="12" w:space="0" w:color="auto"/>
            </w:tcBorders>
          </w:tcPr>
          <w:p w14:paraId="3164D8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04C891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1D7FC0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49029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036233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3649D108" w14:textId="77777777">
        <w:tc>
          <w:tcPr>
            <w:tcW w:w="675" w:type="dxa"/>
          </w:tcPr>
          <w:p w14:paraId="37CCDAC3" w14:textId="77777777" w:rsidR="00665165" w:rsidRPr="00F90EAE" w:rsidRDefault="00665165" w:rsidP="00F90EAE">
            <w:pPr>
              <w:autoSpaceDE w:val="0"/>
              <w:autoSpaceDN w:val="0"/>
              <w:adjustRightInd w:val="0"/>
              <w:jc w:val="both"/>
              <w:rPr>
                <w:color w:val="000000" w:themeColor="text1"/>
                <w:sz w:val="16"/>
                <w:szCs w:val="16"/>
              </w:rPr>
            </w:pPr>
          </w:p>
        </w:tc>
        <w:tc>
          <w:tcPr>
            <w:tcW w:w="993" w:type="dxa"/>
          </w:tcPr>
          <w:p w14:paraId="48F146C7"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B351542" w14:textId="77777777" w:rsidR="00665165" w:rsidRPr="00F90EAE" w:rsidRDefault="00665165" w:rsidP="00F90EAE">
            <w:pPr>
              <w:autoSpaceDE w:val="0"/>
              <w:autoSpaceDN w:val="0"/>
              <w:adjustRightInd w:val="0"/>
              <w:jc w:val="both"/>
              <w:rPr>
                <w:color w:val="000000" w:themeColor="text1"/>
                <w:sz w:val="16"/>
                <w:szCs w:val="16"/>
              </w:rPr>
            </w:pPr>
          </w:p>
        </w:tc>
        <w:tc>
          <w:tcPr>
            <w:tcW w:w="992" w:type="dxa"/>
          </w:tcPr>
          <w:p w14:paraId="6E7D846D" w14:textId="77777777" w:rsidR="00665165" w:rsidRPr="00F90EAE" w:rsidRDefault="00665165" w:rsidP="00F90EAE">
            <w:pPr>
              <w:autoSpaceDE w:val="0"/>
              <w:autoSpaceDN w:val="0"/>
              <w:adjustRightInd w:val="0"/>
              <w:jc w:val="both"/>
              <w:rPr>
                <w:color w:val="000000" w:themeColor="text1"/>
                <w:sz w:val="16"/>
                <w:szCs w:val="16"/>
              </w:rPr>
            </w:pPr>
          </w:p>
        </w:tc>
        <w:tc>
          <w:tcPr>
            <w:tcW w:w="1134" w:type="dxa"/>
          </w:tcPr>
          <w:p w14:paraId="604E48C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04DBC975" w14:textId="77777777">
        <w:tc>
          <w:tcPr>
            <w:tcW w:w="675" w:type="dxa"/>
          </w:tcPr>
          <w:p w14:paraId="48E4ED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116DDB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3E9093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4B6802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70338E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210C8A0C" w14:textId="77777777">
        <w:tc>
          <w:tcPr>
            <w:tcW w:w="675" w:type="dxa"/>
          </w:tcPr>
          <w:p w14:paraId="7ECC4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7D13A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76D87F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6A9A5B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3EB782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61466960" w14:textId="77777777">
        <w:tc>
          <w:tcPr>
            <w:tcW w:w="675" w:type="dxa"/>
          </w:tcPr>
          <w:p w14:paraId="7918BC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44F373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4A9561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5FCF3B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2C33FB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0BA86667" w14:textId="77777777">
        <w:tc>
          <w:tcPr>
            <w:tcW w:w="675" w:type="dxa"/>
          </w:tcPr>
          <w:p w14:paraId="65456C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3354E9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5B7D49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06FF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129F7D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12255060" w14:textId="77777777">
        <w:tc>
          <w:tcPr>
            <w:tcW w:w="675" w:type="dxa"/>
          </w:tcPr>
          <w:p w14:paraId="566D38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3721A5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20D89C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0F55C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4FFC03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3BC4BEC8" w14:textId="77777777">
        <w:tc>
          <w:tcPr>
            <w:tcW w:w="675" w:type="dxa"/>
          </w:tcPr>
          <w:p w14:paraId="3C892E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75CA6E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71F53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667D71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757C47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78414A45" w14:textId="77777777">
        <w:tc>
          <w:tcPr>
            <w:tcW w:w="675" w:type="dxa"/>
          </w:tcPr>
          <w:p w14:paraId="05D7C2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414678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4779DB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8F7F2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4B0E22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2B41BC5E" w14:textId="77777777">
        <w:tc>
          <w:tcPr>
            <w:tcW w:w="675" w:type="dxa"/>
          </w:tcPr>
          <w:p w14:paraId="7BCB2E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3CD42F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333540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1CE84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174774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511EB905" w14:textId="77777777">
        <w:tc>
          <w:tcPr>
            <w:tcW w:w="675" w:type="dxa"/>
            <w:tcBorders>
              <w:bottom w:val="single" w:sz="12" w:space="0" w:color="auto"/>
            </w:tcBorders>
          </w:tcPr>
          <w:p w14:paraId="13E434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34CFF6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29398D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20019C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78DCFE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22ACE5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29D23E7E" w14:textId="77777777">
        <w:tc>
          <w:tcPr>
            <w:tcW w:w="1868" w:type="dxa"/>
            <w:tcBorders>
              <w:top w:val="single" w:sz="12" w:space="0" w:color="auto"/>
            </w:tcBorders>
          </w:tcPr>
          <w:p w14:paraId="5DEAAD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0F0A95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2417C2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3E8E5E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76BA1A1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5C87E5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648051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7B15079B" w14:textId="77777777">
        <w:tc>
          <w:tcPr>
            <w:tcW w:w="1868" w:type="dxa"/>
          </w:tcPr>
          <w:p w14:paraId="01B437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79B387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776E11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54A066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2880BB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6DA944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11BF83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0F9CFBEE" w14:textId="77777777">
        <w:tc>
          <w:tcPr>
            <w:tcW w:w="1868" w:type="dxa"/>
          </w:tcPr>
          <w:p w14:paraId="70D1C7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3AF1D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6C2AFE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4866A5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24F070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726B3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62B332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50D725C1" w14:textId="77777777">
        <w:tc>
          <w:tcPr>
            <w:tcW w:w="1868" w:type="dxa"/>
          </w:tcPr>
          <w:p w14:paraId="147992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2000</w:t>
            </w:r>
          </w:p>
        </w:tc>
        <w:tc>
          <w:tcPr>
            <w:tcW w:w="1075" w:type="dxa"/>
          </w:tcPr>
          <w:p w14:paraId="16E41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48158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7CBDCA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17FE23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BAD74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186AB6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45DDCD24" w14:textId="77777777">
        <w:tc>
          <w:tcPr>
            <w:tcW w:w="1868" w:type="dxa"/>
          </w:tcPr>
          <w:p w14:paraId="68D041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1879CD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13CFD0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26825B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72075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E3DEA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48537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08B0D3C5" w14:textId="77777777">
        <w:tc>
          <w:tcPr>
            <w:tcW w:w="1868" w:type="dxa"/>
          </w:tcPr>
          <w:p w14:paraId="6913C6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36B12A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45C9B2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65C532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593038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9E68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0AFF8C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2D0A63CB" w14:textId="77777777">
        <w:tc>
          <w:tcPr>
            <w:tcW w:w="1868" w:type="dxa"/>
          </w:tcPr>
          <w:p w14:paraId="02B8DC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08DC9E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12BF3E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4DCA5F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67CC53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49BE1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0B2532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0029BD56" w14:textId="77777777">
        <w:tc>
          <w:tcPr>
            <w:tcW w:w="1868" w:type="dxa"/>
          </w:tcPr>
          <w:p w14:paraId="02A33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49A32B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13D4FD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6D0512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76ABB7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34A676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7123A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37A2E500" w14:textId="77777777">
        <w:tc>
          <w:tcPr>
            <w:tcW w:w="1868" w:type="dxa"/>
          </w:tcPr>
          <w:p w14:paraId="5C5144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34B2BF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48734C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0A3DED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04CE41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77A2E7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3F9E51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4D4994F1" w14:textId="77777777">
        <w:tc>
          <w:tcPr>
            <w:tcW w:w="1868" w:type="dxa"/>
            <w:tcBorders>
              <w:bottom w:val="single" w:sz="12" w:space="0" w:color="auto"/>
            </w:tcBorders>
          </w:tcPr>
          <w:p w14:paraId="7F37F0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2013B9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2FB39B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185352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4F90C8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006C76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5BFB28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1AE3B6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2CD265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1E9CF7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06E066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69CB7A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3E35D8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32ADCA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5038CC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2E1A0E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38A217B4" w14:textId="77777777" w:rsidR="00665165" w:rsidRPr="00F90EAE" w:rsidRDefault="00665165" w:rsidP="00F90EAE">
      <w:pPr>
        <w:autoSpaceDE w:val="0"/>
        <w:autoSpaceDN w:val="0"/>
        <w:adjustRightInd w:val="0"/>
        <w:jc w:val="both"/>
        <w:rPr>
          <w:color w:val="000000" w:themeColor="text1"/>
          <w:sz w:val="16"/>
          <w:szCs w:val="16"/>
        </w:rPr>
      </w:pPr>
    </w:p>
    <w:p w14:paraId="3D7415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в руководстве страны началась проработка возможности копирования В-29 для советских ВВС. Самолет явно был очень удачным. Если бы удалось быстро его скопировать, то ВВС получили бы современный тяжелый бомбардировщик, минуя хлопотную стадию доводки вновь проектируемых машин (3457,120).</w:t>
      </w:r>
    </w:p>
    <w:p w14:paraId="2966E9EA" w14:textId="77777777" w:rsidR="00665165" w:rsidRPr="00F90EAE" w:rsidRDefault="00665165" w:rsidP="00F90EAE">
      <w:pPr>
        <w:autoSpaceDE w:val="0"/>
        <w:autoSpaceDN w:val="0"/>
        <w:adjustRightInd w:val="0"/>
        <w:jc w:val="both"/>
        <w:rPr>
          <w:color w:val="000000" w:themeColor="text1"/>
          <w:sz w:val="16"/>
          <w:szCs w:val="16"/>
        </w:rPr>
      </w:pPr>
    </w:p>
    <w:p w14:paraId="6C287E63" w14:textId="77777777" w:rsidR="00823A00" w:rsidRPr="00F90EAE" w:rsidRDefault="00823A00"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В мае 1945 года появился приказ № 263 о создании са</w:t>
      </w:r>
      <w:r w:rsidRPr="00F90EAE">
        <w:rPr>
          <w:color w:val="000000" w:themeColor="text1"/>
          <w:sz w:val="16"/>
          <w:szCs w:val="16"/>
        </w:rPr>
        <w:softHyphen/>
        <w:t>молета Б-4 (изделие «Р»), а вслед за ним по</w:t>
      </w:r>
      <w:r w:rsidRPr="00F90EAE">
        <w:rPr>
          <w:color w:val="000000" w:themeColor="text1"/>
          <w:sz w:val="16"/>
          <w:szCs w:val="16"/>
        </w:rPr>
        <w:softHyphen/>
        <w:t>становление ГКО от 6 июня МАП обязалиорганизовать производство Б-4 на заводе № 22 в Казани. Но с какими двигателями, не говорилось, и лишь в ноябре поступи</w:t>
      </w:r>
      <w:r w:rsidRPr="00F90EAE">
        <w:rPr>
          <w:color w:val="000000" w:themeColor="text1"/>
          <w:sz w:val="16"/>
          <w:szCs w:val="16"/>
        </w:rPr>
        <w:softHyphen/>
        <w:t>ло распоряжение (№ 16041) об организа</w:t>
      </w:r>
      <w:r w:rsidRPr="00F90EAE">
        <w:rPr>
          <w:color w:val="000000" w:themeColor="text1"/>
          <w:sz w:val="16"/>
          <w:szCs w:val="16"/>
        </w:rPr>
        <w:softHyphen/>
        <w:t>ции производства моторов АШ-72 для Б-4. Все предсказания Мясишева сбылись, хо</w:t>
      </w:r>
      <w:r w:rsidRPr="00F90EAE">
        <w:rPr>
          <w:color w:val="000000" w:themeColor="text1"/>
          <w:sz w:val="16"/>
          <w:szCs w:val="16"/>
        </w:rPr>
        <w:softHyphen/>
        <w:t>тя главную роль отвели не ему, а А.Н. Ту</w:t>
      </w:r>
      <w:r w:rsidRPr="00F90EAE">
        <w:rPr>
          <w:color w:val="000000" w:themeColor="text1"/>
          <w:sz w:val="16"/>
          <w:szCs w:val="16"/>
        </w:rPr>
        <w:softHyphen/>
        <w:t>полеву. Тем же приказом предписывалось в помошь Туполеву передать личный состав ОКБ Незваля и Мясишева, а также опыт</w:t>
      </w:r>
      <w:r w:rsidRPr="00F90EAE">
        <w:rPr>
          <w:color w:val="000000" w:themeColor="text1"/>
          <w:sz w:val="16"/>
          <w:szCs w:val="16"/>
        </w:rPr>
        <w:softHyphen/>
        <w:t>ный цех завода № 22 (12292).</w:t>
      </w:r>
    </w:p>
    <w:p w14:paraId="688587A2" w14:textId="77777777" w:rsidR="00823A00" w:rsidRPr="00F90EAE" w:rsidRDefault="00823A00" w:rsidP="00F90EAE">
      <w:pPr>
        <w:pStyle w:val="92"/>
        <w:shd w:val="clear" w:color="auto" w:fill="auto"/>
        <w:spacing w:after="0" w:line="240" w:lineRule="auto"/>
        <w:ind w:firstLine="0"/>
        <w:jc w:val="both"/>
        <w:rPr>
          <w:color w:val="000000" w:themeColor="text1"/>
          <w:sz w:val="16"/>
          <w:szCs w:val="16"/>
        </w:rPr>
      </w:pPr>
    </w:p>
    <w:p w14:paraId="65B152CD" w14:textId="77777777" w:rsidR="0027059D" w:rsidRPr="00F90EAE" w:rsidRDefault="0027059D" w:rsidP="00F90EAE">
      <w:pPr>
        <w:pStyle w:val="a3"/>
        <w:rPr>
          <w:color w:val="000000" w:themeColor="text1"/>
          <w:lang w:val="ru-RU"/>
        </w:rPr>
      </w:pPr>
      <w:r w:rsidRPr="00F90EAE">
        <w:rPr>
          <w:color w:val="000000" w:themeColor="text1"/>
          <w:lang w:val="ru-RU"/>
        </w:rPr>
        <w:t>В мае 1945 г. в Главном управлении ГВФ рассматривали возможность использования боевых самолётов для перевозки пассажиров и мелких грузов. Не обошли вниманием и бомбардировщик Ер-2. По мнению специалистов ГВФ, самолёт, имея сравнительно небольшой объём (11 куб. м), позволял транспортировать лишь до 2200 кг коммерче</w:t>
      </w:r>
      <w:r w:rsidRPr="00F90EAE">
        <w:rPr>
          <w:color w:val="000000" w:themeColor="text1"/>
          <w:lang w:val="ru-RU"/>
        </w:rPr>
        <w:softHyphen/>
        <w:t>ской нагрузки. Но этот недостаток компенсировали большие крейсерская скорость и дальность полёта, что, в сочетании с дешевым дизельным топливом, делало Ер-2 эко</w:t>
      </w:r>
      <w:r w:rsidRPr="00F90EAE">
        <w:rPr>
          <w:color w:val="000000" w:themeColor="text1"/>
          <w:lang w:val="ru-RU"/>
        </w:rPr>
        <w:softHyphen/>
        <w:t>номически выгодным в эксплуатации. Однако подходящих аэродромов с длинными ВПП для Ер-2 в гражданской авиации не было, недостаточным был и ресурс двигателей. Исходя из этого, руководство ГВФ отказалось от Ер-2, хотя не исключало возможность его использования для почтово-грузовых перевозок на большие расстояния.</w:t>
      </w:r>
    </w:p>
    <w:p w14:paraId="5EC27377" w14:textId="77777777" w:rsidR="0027059D" w:rsidRPr="00F90EAE" w:rsidRDefault="0027059D" w:rsidP="00F90EAE">
      <w:pPr>
        <w:pStyle w:val="a3"/>
        <w:rPr>
          <w:color w:val="000000" w:themeColor="text1"/>
          <w:lang w:val="ru-RU"/>
        </w:rPr>
      </w:pPr>
      <w:r w:rsidRPr="00F90EAE">
        <w:rPr>
          <w:color w:val="000000" w:themeColor="text1"/>
          <w:lang w:val="ru-RU"/>
        </w:rPr>
        <w:t>Отказался ГВФ и от гражданского Ер-20Н (коммерческая нагрузка 1000 кг), поскольку экономичность машины оставляла желать лучшего. Вдобавок, полёт на одном двигателе был возможен лишь при полётном весе не более 14 т и при наличии флюгирующихся вин</w:t>
      </w:r>
      <w:r w:rsidRPr="00F90EAE">
        <w:rPr>
          <w:color w:val="000000" w:themeColor="text1"/>
          <w:lang w:val="ru-RU"/>
        </w:rPr>
        <w:softHyphen/>
        <w:t>тов, которых в наличии не имелось. Как транспортный самолёт Ер-2 заметно проигрывал довоенному Ли-2, не говоря уже о ленд-лизовском С-47. В итоге почти все Ер-2 отпра</w:t>
      </w:r>
      <w:r w:rsidRPr="00F90EAE">
        <w:rPr>
          <w:color w:val="000000" w:themeColor="text1"/>
          <w:lang w:val="ru-RU"/>
        </w:rPr>
        <w:softHyphen/>
        <w:t>вили на металлолом. Лишь некоторые самолёты использовали для лётных испытаний раз</w:t>
      </w:r>
      <w:r w:rsidRPr="00F90EAE">
        <w:rPr>
          <w:color w:val="000000" w:themeColor="text1"/>
          <w:lang w:val="ru-RU"/>
        </w:rPr>
        <w:softHyphen/>
        <w:t>личных «изделий», в частности, при доводке пульсирующих воздушно-реактивных двига</w:t>
      </w:r>
      <w:r w:rsidRPr="00F90EAE">
        <w:rPr>
          <w:color w:val="000000" w:themeColor="text1"/>
          <w:lang w:val="ru-RU"/>
        </w:rPr>
        <w:softHyphen/>
        <w:t>телей для самолётов-снарядов В.Н. Челомея В мае 1945 г. на государственных испытаниях РД-2МЗВ, проведённых, получили сум</w:t>
      </w:r>
      <w:r w:rsidRPr="00F90EAE">
        <w:rPr>
          <w:color w:val="000000" w:themeColor="text1"/>
          <w:lang w:val="ru-RU"/>
        </w:rPr>
        <w:softHyphen/>
        <w:t>марную взлётную тягу 1500 кгс, номинальную — 1250 кгс и минимальную — 500 кгс. При работе только одной малой камеры максимальная тяга составляла 300 кгс, мини</w:t>
      </w:r>
      <w:r w:rsidRPr="00F90EAE">
        <w:rPr>
          <w:color w:val="000000" w:themeColor="text1"/>
          <w:lang w:val="ru-RU"/>
        </w:rPr>
        <w:softHyphen/>
        <w:t>мальная — 100 кгс. Удельная тяга на 1 кг топлива при совместной работе большой и малой камер, или при работе только малой камеры на режиме максимальной тяги со</w:t>
      </w:r>
      <w:r w:rsidRPr="00F90EAE">
        <w:rPr>
          <w:color w:val="000000" w:themeColor="text1"/>
          <w:lang w:val="ru-RU"/>
        </w:rPr>
        <w:softHyphen/>
        <w:t>ставляла 200 кгс. Масса ЖРД со всеми агрегатами — 224 кг. Двигатель планировалось выпустить в количестве 30 комплектов для обеспечения постройки как истребителей- перехватчиков ОКБ А.И. Микояна и С.А. Лавочкина, так и экспериментальных са</w:t>
      </w:r>
      <w:r w:rsidRPr="00F90EAE">
        <w:rPr>
          <w:color w:val="000000" w:themeColor="text1"/>
          <w:lang w:val="ru-RU"/>
        </w:rPr>
        <w:softHyphen/>
        <w:t>молётов НИИ-1 со сроком сдачи первого экземпляра ЖРД 10 марта, а последнего — 10 августа 1946 г. Изготовление двигателей поручили заводу № 65 в кооперации с другими предприятиями, а их сборку и контрольные испытания — НИИ-1.</w:t>
      </w:r>
    </w:p>
    <w:p w14:paraId="64D472C5" w14:textId="77777777" w:rsidR="0027059D" w:rsidRPr="00F90EAE" w:rsidRDefault="0027059D" w:rsidP="00F90EAE">
      <w:pPr>
        <w:pStyle w:val="a3"/>
        <w:rPr>
          <w:color w:val="000000" w:themeColor="text1"/>
          <w:lang w:val="ru-RU"/>
        </w:rPr>
      </w:pPr>
      <w:r w:rsidRPr="00F90EAE">
        <w:rPr>
          <w:color w:val="000000" w:themeColor="text1"/>
          <w:lang w:val="ru-RU"/>
        </w:rPr>
        <w:t>Однако как только в ОКБ-155 и ОКБ-301 взялись за выполнение поставленной зада</w:t>
      </w:r>
      <w:r w:rsidRPr="00F90EAE">
        <w:rPr>
          <w:color w:val="000000" w:themeColor="text1"/>
          <w:lang w:val="ru-RU"/>
        </w:rPr>
        <w:softHyphen/>
        <w:t>чи, выяснилось, что специалисты ЦАГИ ничего нового им дать пока не могут. Хотя уже имелись различные трофейные материалы по немецким исследованиям схем скоростных самолётов, в том числе с крыльями прямой и обратной стреловидности, ЦАГИ должен был провести большой комплекс собствен</w:t>
      </w:r>
      <w:r w:rsidRPr="00F90EAE">
        <w:rPr>
          <w:color w:val="000000" w:themeColor="text1"/>
          <w:lang w:val="ru-RU"/>
        </w:rPr>
        <w:softHyphen/>
        <w:t>ных исследований и сам всё изучить, прежде чем выдавать конкретные рекомендации. Это было совершенно необходимо как с техниче</w:t>
      </w:r>
      <w:r w:rsidRPr="00F90EAE">
        <w:rPr>
          <w:color w:val="000000" w:themeColor="text1"/>
          <w:lang w:val="ru-RU"/>
        </w:rPr>
        <w:softHyphen/>
        <w:t>ской, так и с «политической» точки зрения — принимать на веру документы недавнего вра</w:t>
      </w:r>
      <w:r w:rsidRPr="00F90EAE">
        <w:rPr>
          <w:color w:val="000000" w:themeColor="text1"/>
          <w:lang w:val="ru-RU"/>
        </w:rPr>
        <w:softHyphen/>
        <w:t>га было далеко небезопасно. Но в распоря</w:t>
      </w:r>
      <w:r w:rsidRPr="00F90EAE">
        <w:rPr>
          <w:color w:val="000000" w:themeColor="text1"/>
          <w:lang w:val="ru-RU"/>
        </w:rPr>
        <w:softHyphen/>
        <w:t>жении учёных ЦАГИ имелась всего одна ско</w:t>
      </w:r>
      <w:r w:rsidRPr="00F90EAE">
        <w:rPr>
          <w:color w:val="000000" w:themeColor="text1"/>
          <w:lang w:val="ru-RU"/>
        </w:rPr>
        <w:softHyphen/>
        <w:t>ростная труба Т-106 с диаметром рабочей зоны 2,6 м и скоростью потока до 900-950 км/ч (М=0,9), да и та больше простаивала из-за постоянных отключений электроэнергии. Строительства более скоростных труб пока и вовсе не предвиделось.</w:t>
      </w:r>
    </w:p>
    <w:p w14:paraId="4543E7E7" w14:textId="77777777" w:rsidR="0027059D" w:rsidRPr="00F90EAE" w:rsidRDefault="0027059D" w:rsidP="00F90EAE">
      <w:pPr>
        <w:pStyle w:val="a3"/>
        <w:rPr>
          <w:color w:val="000000" w:themeColor="text1"/>
          <w:lang w:val="ru-RU"/>
        </w:rPr>
      </w:pPr>
      <w:r w:rsidRPr="00F90EAE">
        <w:rPr>
          <w:color w:val="000000" w:themeColor="text1"/>
          <w:lang w:val="ru-RU"/>
        </w:rPr>
        <w:t>Вот как описана ситуация с проектированием ракетного перехватчика И-270 в годо</w:t>
      </w:r>
      <w:r w:rsidRPr="00F90EAE">
        <w:rPr>
          <w:color w:val="000000" w:themeColor="text1"/>
          <w:lang w:val="ru-RU"/>
        </w:rPr>
        <w:softHyphen/>
        <w:t>вом отчёте опытного авиазавода № 155 (ОКБ-155 А.И. Микояна) за 1946 год:</w:t>
      </w:r>
    </w:p>
    <w:p w14:paraId="592457D1" w14:textId="77777777" w:rsidR="0027059D" w:rsidRPr="00F90EAE" w:rsidRDefault="0027059D" w:rsidP="00F90EAE">
      <w:pPr>
        <w:pStyle w:val="a3"/>
        <w:rPr>
          <w:color w:val="000000" w:themeColor="text1"/>
          <w:lang w:val="ru-RU"/>
        </w:rPr>
      </w:pPr>
      <w:r w:rsidRPr="00F90EAE">
        <w:rPr>
          <w:color w:val="000000" w:themeColor="text1"/>
          <w:lang w:val="ru-RU"/>
        </w:rPr>
        <w:t>«Первоначальный проект самолёта предусматривал стреловидное крыло (20°). После проведения ЦАГИ исследований и расчётов выявилась недостаточность дан</w:t>
      </w:r>
      <w:r w:rsidRPr="00F90EAE">
        <w:rPr>
          <w:color w:val="000000" w:themeColor="text1"/>
          <w:lang w:val="ru-RU"/>
        </w:rPr>
        <w:softHyphen/>
        <w:t>ных для рабочего проекта такого крыла, что вызвало полный пересмотр проекта самолёта с принятием прямого 9% крыла /март 1946 года/. Дальнейшее исследование ЦАГИ вы</w:t>
      </w:r>
      <w:r w:rsidRPr="00F90EAE">
        <w:rPr>
          <w:color w:val="000000" w:themeColor="text1"/>
          <w:lang w:val="ru-RU"/>
        </w:rPr>
        <w:softHyphen/>
        <w:t>явило невозможность получения достаточных исходных данных и для самолёта с этим крылом. Работа была остановлена, и проект заново пересмотрен под 12% крыло /ап</w:t>
      </w:r>
      <w:r w:rsidRPr="00F90EAE">
        <w:rPr>
          <w:color w:val="000000" w:themeColor="text1"/>
          <w:lang w:val="ru-RU"/>
        </w:rPr>
        <w:softHyphen/>
        <w:t>рель 1946 года/. В дальнейшем работа сильно тормозилась получением как прочностных, так и аэродинамических данных по новому крылу /окончательные рекомендации по гео</w:t>
      </w:r>
      <w:r w:rsidRPr="00F90EAE">
        <w:rPr>
          <w:color w:val="000000" w:themeColor="text1"/>
          <w:lang w:val="ru-RU"/>
        </w:rPr>
        <w:softHyphen/>
        <w:t>метрии крыла утверждены 8 августа/». Аналогичный путь прошло и ОКБ С.А. Лавочкина. Отсутствие необходимого опыта у специалистов ЦАГИ в этом вопросе подтвердилось и в июле 1946 г., когда в МАП рассматривался проект ракетного самолёта ещё одного авиаконструктора — А.С. Москалёва (15808).</w:t>
      </w:r>
    </w:p>
    <w:p w14:paraId="6249D107" w14:textId="77777777" w:rsidR="0027059D" w:rsidRPr="00F90EAE" w:rsidRDefault="0027059D" w:rsidP="00F90EAE">
      <w:pPr>
        <w:pStyle w:val="a3"/>
        <w:rPr>
          <w:color w:val="000000" w:themeColor="text1"/>
          <w:lang w:val="ru-RU"/>
        </w:rPr>
      </w:pPr>
    </w:p>
    <w:p w14:paraId="44E4ED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контрольными испытаниями серийного самолета N 45212225 было установлено, что на малых и средних высотах в кабине Ла-5 и Ла-7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 (1879).</w:t>
      </w:r>
    </w:p>
    <w:p w14:paraId="1D6AFBCA" w14:textId="77777777" w:rsidR="00665165" w:rsidRPr="00F90EAE" w:rsidRDefault="00665165" w:rsidP="00F90EAE">
      <w:pPr>
        <w:autoSpaceDE w:val="0"/>
        <w:autoSpaceDN w:val="0"/>
        <w:adjustRightInd w:val="0"/>
        <w:jc w:val="both"/>
        <w:rPr>
          <w:color w:val="000000" w:themeColor="text1"/>
          <w:sz w:val="16"/>
          <w:szCs w:val="16"/>
        </w:rPr>
      </w:pPr>
    </w:p>
    <w:p w14:paraId="415DAB1B" w14:textId="77777777" w:rsidR="003B056E" w:rsidRPr="00F90EAE" w:rsidRDefault="003B056E" w:rsidP="00F90EAE">
      <w:pPr>
        <w:jc w:val="both"/>
        <w:rPr>
          <w:color w:val="0070C0"/>
          <w:sz w:val="16"/>
          <w:szCs w:val="16"/>
        </w:rPr>
      </w:pPr>
      <w:r w:rsidRPr="00F90EAE">
        <w:rPr>
          <w:color w:val="0070C0"/>
          <w:sz w:val="16"/>
          <w:szCs w:val="16"/>
        </w:rPr>
        <w:t>В мае 1945-го на контрольные испытания поступил Ла-7 № 45213276, на котором были предприняты дополнительные меры по герметизации замоторного пространства, а вместо старой трехрожковой вентиляции был поставлен один воздухозаборник на нижней части центроплана перед входом маслорадиатора. Воздух в кабине улучшился, при + 14 °С в кабине было «только» + 38, но поднялась температура в мотоотсеке: головки цилиндров грелись до + 210 °С, масло — до + 70. Главком ВВС Новиков в письме, направленном 21 мая, потребовал от Наркома авиапромышленности Шахурина: «Прошу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Лавочкин ответил так: «Считаю, что величина полученных температур в кабине пилота, как на опытной машине, так и на серийной машине завода № 21, достаточно приемлема. Высокая температура кабины на ранее выпущенных самолетах объясняется тем, что заводы и ГУЗ ВВС (Главное управление заказа. — Авт.) не реализовали выпущенный бюллетень по данному вопросу. В настоящее время заводы и ГУЗ ВВС срочно приступили к реализации вышеуказанного бюллетеня. Конструкция новой вентиляции внедрена в серию на всех заводах. Нами в настоящее время проводятся работы над дальнейшим снижением температур, независимо от достигнутых вышеуказанных результатов» (22769).</w:t>
      </w:r>
    </w:p>
    <w:p w14:paraId="417A0087" w14:textId="77777777" w:rsidR="003B056E" w:rsidRPr="00F90EAE" w:rsidRDefault="003B056E" w:rsidP="00F90EAE">
      <w:pPr>
        <w:jc w:val="both"/>
        <w:rPr>
          <w:color w:val="0070C0"/>
          <w:sz w:val="16"/>
          <w:szCs w:val="16"/>
        </w:rPr>
      </w:pPr>
    </w:p>
    <w:p w14:paraId="2C4A293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года в отчете старшего военпреда завода №19 инженер-майора И.К. Четверика от</w:t>
      </w:r>
      <w:r w:rsidRPr="00F90EAE">
        <w:rPr>
          <w:color w:val="000000" w:themeColor="text1"/>
          <w:sz w:val="16"/>
          <w:szCs w:val="16"/>
        </w:rPr>
        <w:softHyphen/>
        <w:t>мечалось:</w:t>
      </w:r>
    </w:p>
    <w:p w14:paraId="341BB24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Эксплоатация моторов типа АШ-82ФН происходила в основном на самолетах типа Ла-5, Ла-7 и Ту-2. Моторы, установленные на само</w:t>
      </w:r>
      <w:r w:rsidRPr="00F90EAE">
        <w:rPr>
          <w:color w:val="000000" w:themeColor="text1"/>
          <w:sz w:val="16"/>
          <w:szCs w:val="16"/>
        </w:rPr>
        <w:softHyphen/>
        <w:t>леты типа Ла-7 ред. 11/16, установ</w:t>
      </w:r>
      <w:r w:rsidRPr="00F90EAE">
        <w:rPr>
          <w:color w:val="000000" w:themeColor="text1"/>
          <w:sz w:val="16"/>
          <w:szCs w:val="16"/>
        </w:rPr>
        <w:softHyphen/>
        <w:t>ленный заводом ресурс в 100 ча</w:t>
      </w:r>
      <w:r w:rsidRPr="00F90EAE">
        <w:rPr>
          <w:color w:val="000000" w:themeColor="text1"/>
          <w:sz w:val="16"/>
          <w:szCs w:val="16"/>
        </w:rPr>
        <w:softHyphen/>
        <w:t>сов не вырабатывают. Лимитирует по-прежнему цилиндровая группа по причине выработки зеркала цилин</w:t>
      </w:r>
      <w:r w:rsidRPr="00F90EAE">
        <w:rPr>
          <w:color w:val="000000" w:themeColor="text1"/>
          <w:sz w:val="16"/>
          <w:szCs w:val="16"/>
        </w:rPr>
        <w:softHyphen/>
        <w:t>дров и поршневых колец. Выпускае</w:t>
      </w:r>
      <w:r w:rsidRPr="00F90EAE">
        <w:rPr>
          <w:color w:val="000000" w:themeColor="text1"/>
          <w:sz w:val="16"/>
          <w:szCs w:val="16"/>
        </w:rPr>
        <w:softHyphen/>
        <w:t>мые в настоящий момент самолеты Ла-7 с новыми воздухозаборниками, исключающими попадание пыли в цилиндровую группу мотора, очевидно несколько улучшат положение с ци</w:t>
      </w:r>
      <w:r w:rsidRPr="00F90EAE">
        <w:rPr>
          <w:color w:val="000000" w:themeColor="text1"/>
          <w:sz w:val="16"/>
          <w:szCs w:val="16"/>
        </w:rPr>
        <w:softHyphen/>
        <w:t>линдровой группой, но пока нет све</w:t>
      </w:r>
      <w:r w:rsidRPr="00F90EAE">
        <w:rPr>
          <w:color w:val="000000" w:themeColor="text1"/>
          <w:sz w:val="16"/>
          <w:szCs w:val="16"/>
        </w:rPr>
        <w:softHyphen/>
        <w:t>дений из эксплуатирующих органи</w:t>
      </w:r>
      <w:r w:rsidRPr="00F90EAE">
        <w:rPr>
          <w:color w:val="000000" w:themeColor="text1"/>
          <w:sz w:val="16"/>
          <w:szCs w:val="16"/>
        </w:rPr>
        <w:softHyphen/>
        <w:t>заций о их работе...» (10730).</w:t>
      </w:r>
    </w:p>
    <w:p w14:paraId="2592B6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087586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состоянию на май 1945 старший военпред завода №19 инженер-майора И.К. Четверика от</w:t>
      </w:r>
      <w:r w:rsidRPr="00F90EAE">
        <w:rPr>
          <w:color w:val="000000" w:themeColor="text1"/>
          <w:sz w:val="16"/>
          <w:szCs w:val="16"/>
        </w:rPr>
        <w:softHyphen/>
        <w:t>мечал:</w:t>
      </w:r>
    </w:p>
    <w:p w14:paraId="1FB781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основу проведения работ по борьбе с преждевременным износом и уступчатой выработки цилиндров моторов АШ-82ФН в 1945 году, за исключением нескольких предложе</w:t>
      </w:r>
      <w:r w:rsidRPr="00F90EAE">
        <w:rPr>
          <w:color w:val="000000" w:themeColor="text1"/>
          <w:sz w:val="16"/>
          <w:szCs w:val="16"/>
        </w:rPr>
        <w:softHyphen/>
        <w:t>ний возникших в последнее время, были вновь положены предположения о причинах образования дефекта, уже неоднократно подвергавшиеся про</w:t>
      </w:r>
      <w:r w:rsidRPr="00F90EAE">
        <w:rPr>
          <w:color w:val="000000" w:themeColor="text1"/>
          <w:sz w:val="16"/>
          <w:szCs w:val="16"/>
        </w:rPr>
        <w:softHyphen/>
        <w:t>верке в прошлые годы на различных типах выпускаемых заводом моторах.</w:t>
      </w:r>
    </w:p>
    <w:p w14:paraId="5E011F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Кратко эти предложения сводятся к следующему:</w:t>
      </w:r>
    </w:p>
    <w:p w14:paraId="6C352F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Неравномерная глубина и твер</w:t>
      </w:r>
      <w:r w:rsidRPr="00F90EAE">
        <w:rPr>
          <w:color w:val="000000" w:themeColor="text1"/>
          <w:sz w:val="16"/>
          <w:szCs w:val="16"/>
        </w:rPr>
        <w:softHyphen/>
        <w:t>дость азотированного слоя по длине рабочей поверхности гильзы.</w:t>
      </w:r>
    </w:p>
    <w:p w14:paraId="4F6C7F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 Распор силами газов верхнего поршневого кольца в такте расшире</w:t>
      </w:r>
      <w:r w:rsidRPr="00F90EAE">
        <w:rPr>
          <w:color w:val="000000" w:themeColor="text1"/>
          <w:sz w:val="16"/>
          <w:szCs w:val="16"/>
        </w:rPr>
        <w:softHyphen/>
        <w:t>ния.</w:t>
      </w:r>
    </w:p>
    <w:p w14:paraId="10539E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w:t>
      </w:r>
      <w:r w:rsidRPr="00F90EAE">
        <w:rPr>
          <w:color w:val="000000" w:themeColor="text1"/>
          <w:sz w:val="16"/>
          <w:szCs w:val="16"/>
        </w:rPr>
        <w:softHyphen/>
        <w:t>ранию и коксованию в них масла и, следовательно, к быстрому износу цилиндров.</w:t>
      </w:r>
    </w:p>
    <w:p w14:paraId="72EC8B6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Высокая степень чистоты рабо</w:t>
      </w:r>
      <w:r w:rsidRPr="00F90EAE">
        <w:rPr>
          <w:color w:val="000000" w:themeColor="text1"/>
          <w:sz w:val="16"/>
          <w:szCs w:val="16"/>
        </w:rPr>
        <w:softHyphen/>
        <w:t>чей поверхности цилиндра, недоста</w:t>
      </w:r>
      <w:r w:rsidRPr="00F90EAE">
        <w:rPr>
          <w:color w:val="000000" w:themeColor="text1"/>
          <w:sz w:val="16"/>
          <w:szCs w:val="16"/>
        </w:rPr>
        <w:softHyphen/>
        <w:t>точно хорошо удерживающая масло, особенно в верхней части цилиндра, в начальный период работы мотора.</w:t>
      </w:r>
    </w:p>
    <w:p w14:paraId="77AC8DF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Отступления от технологии ис</w:t>
      </w:r>
      <w:r w:rsidRPr="00F90EAE">
        <w:rPr>
          <w:color w:val="000000" w:themeColor="text1"/>
          <w:sz w:val="16"/>
          <w:szCs w:val="16"/>
        </w:rPr>
        <w:softHyphen/>
        <w:t>пытания моторов, заключающиеся в игнорировании заливки масла в ци</w:t>
      </w:r>
      <w:r w:rsidRPr="00F90EAE">
        <w:rPr>
          <w:color w:val="000000" w:themeColor="text1"/>
          <w:sz w:val="16"/>
          <w:szCs w:val="16"/>
        </w:rPr>
        <w:softHyphen/>
        <w:t>линдры перед началом испытания, про</w:t>
      </w:r>
      <w:r w:rsidRPr="00F90EAE">
        <w:rPr>
          <w:color w:val="000000" w:themeColor="text1"/>
          <w:sz w:val="16"/>
          <w:szCs w:val="16"/>
        </w:rPr>
        <w:softHyphen/>
        <w:t>качки масло-магистрали мотора го</w:t>
      </w:r>
      <w:r w:rsidRPr="00F90EAE">
        <w:rPr>
          <w:color w:val="000000" w:themeColor="text1"/>
          <w:sz w:val="16"/>
          <w:szCs w:val="16"/>
        </w:rPr>
        <w:softHyphen/>
        <w:t>рячим маслом перед запуском и не</w:t>
      </w:r>
      <w:r w:rsidRPr="00F90EAE">
        <w:rPr>
          <w:color w:val="000000" w:themeColor="text1"/>
          <w:sz w:val="16"/>
          <w:szCs w:val="16"/>
        </w:rPr>
        <w:softHyphen/>
        <w:t>достаточном прогреве моторов во время приработки.</w:t>
      </w:r>
    </w:p>
    <w:p w14:paraId="31CF02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Короткая {по времени) приработка моторов перед контрольным испыта</w:t>
      </w:r>
      <w:r w:rsidRPr="00F90EAE">
        <w:rPr>
          <w:color w:val="000000" w:themeColor="text1"/>
          <w:sz w:val="16"/>
          <w:szCs w:val="16"/>
        </w:rPr>
        <w:softHyphen/>
        <w:t>нием.</w:t>
      </w:r>
    </w:p>
    <w:p w14:paraId="6D9993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Плохая работа топливной аппа</w:t>
      </w:r>
      <w:r w:rsidRPr="00F90EAE">
        <w:rPr>
          <w:color w:val="000000" w:themeColor="text1"/>
          <w:sz w:val="16"/>
          <w:szCs w:val="16"/>
        </w:rPr>
        <w:softHyphen/>
        <w:t>ратуры, могущая проявляться в нека чественном распыле топлива форсун</w:t>
      </w:r>
      <w:r w:rsidRPr="00F90EAE">
        <w:rPr>
          <w:color w:val="000000" w:themeColor="text1"/>
          <w:sz w:val="16"/>
          <w:szCs w:val="16"/>
        </w:rPr>
        <w:softHyphen/>
        <w:t>ками и неравномерной подаче топ</w:t>
      </w:r>
      <w:r w:rsidRPr="00F90EAE">
        <w:rPr>
          <w:color w:val="000000" w:themeColor="text1"/>
          <w:sz w:val="16"/>
          <w:szCs w:val="16"/>
        </w:rPr>
        <w:softHyphen/>
        <w:t>лива по цилиндрам насосом непос</w:t>
      </w:r>
      <w:r w:rsidRPr="00F90EAE">
        <w:rPr>
          <w:color w:val="000000" w:themeColor="text1"/>
          <w:sz w:val="16"/>
          <w:szCs w:val="16"/>
        </w:rPr>
        <w:softHyphen/>
        <w:t>редственного впрыска.</w:t>
      </w:r>
    </w:p>
    <w:p w14:paraId="37C440E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Неравномерное распределение воздуха воздушными дефлекторами, устанавливаемыми на цилиндры мо</w:t>
      </w:r>
      <w:r w:rsidRPr="00F90EAE">
        <w:rPr>
          <w:color w:val="000000" w:themeColor="text1"/>
          <w:sz w:val="16"/>
          <w:szCs w:val="16"/>
        </w:rPr>
        <w:softHyphen/>
        <w:t>торов, собираемых на контрольное испытание и ведущее к неравномер</w:t>
      </w:r>
      <w:r w:rsidRPr="00F90EAE">
        <w:rPr>
          <w:color w:val="000000" w:themeColor="text1"/>
          <w:sz w:val="16"/>
          <w:szCs w:val="16"/>
        </w:rPr>
        <w:softHyphen/>
        <w:t>ным тепловым деформациям цилинд</w:t>
      </w:r>
      <w:r w:rsidRPr="00F90EAE">
        <w:rPr>
          <w:color w:val="000000" w:themeColor="text1"/>
          <w:sz w:val="16"/>
          <w:szCs w:val="16"/>
        </w:rPr>
        <w:softHyphen/>
        <w:t>ров.</w:t>
      </w:r>
    </w:p>
    <w:p w14:paraId="7EFA8F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Завышенные перекосы отверстий в главном шатуне под пальцы при</w:t>
      </w:r>
      <w:r w:rsidRPr="00F90EAE">
        <w:rPr>
          <w:color w:val="000000" w:themeColor="text1"/>
          <w:sz w:val="16"/>
          <w:szCs w:val="16"/>
        </w:rPr>
        <w:softHyphen/>
        <w:t>цепных шатунов и фланца крепления цилиндров к зеркалу цилиндра, нару</w:t>
      </w:r>
      <w:r w:rsidRPr="00F90EAE">
        <w:rPr>
          <w:color w:val="000000" w:themeColor="text1"/>
          <w:sz w:val="16"/>
          <w:szCs w:val="16"/>
        </w:rPr>
        <w:softHyphen/>
        <w:t>шающее движение поршня по рабо</w:t>
      </w:r>
      <w:r w:rsidRPr="00F90EAE">
        <w:rPr>
          <w:color w:val="000000" w:themeColor="text1"/>
          <w:sz w:val="16"/>
          <w:szCs w:val="16"/>
        </w:rPr>
        <w:softHyphen/>
        <w:t>чей поверхности цилиндра.</w:t>
      </w:r>
    </w:p>
    <w:p w14:paraId="6D63A47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Осушающее действие масло-сборных колец, расположенных в 4-й канавке поршня.</w:t>
      </w:r>
    </w:p>
    <w:p w14:paraId="22A958F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Повышенное содержание в масле бензина.</w:t>
      </w:r>
    </w:p>
    <w:p w14:paraId="55C6358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Возможность дымления цилин</w:t>
      </w:r>
      <w:r w:rsidRPr="00F90EAE">
        <w:rPr>
          <w:color w:val="000000" w:themeColor="text1"/>
          <w:sz w:val="16"/>
          <w:szCs w:val="16"/>
        </w:rPr>
        <w:softHyphen/>
        <w:t>дров, если на них отсутствует уступ</w:t>
      </w:r>
      <w:r w:rsidRPr="00F90EAE">
        <w:rPr>
          <w:color w:val="000000" w:themeColor="text1"/>
          <w:sz w:val="16"/>
          <w:szCs w:val="16"/>
        </w:rPr>
        <w:softHyphen/>
        <w:t>чатая выработка, от неравномерной затяжки цилиндровых гаек.</w:t>
      </w:r>
    </w:p>
    <w:p w14:paraId="300027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Режущее действие 1-го порш</w:t>
      </w:r>
      <w:r w:rsidRPr="00F90EAE">
        <w:rPr>
          <w:color w:val="000000" w:themeColor="text1"/>
          <w:sz w:val="16"/>
          <w:szCs w:val="16"/>
        </w:rPr>
        <w:softHyphen/>
        <w:t>невого кольца имеющего острую ра</w:t>
      </w:r>
      <w:r w:rsidRPr="00F90EAE">
        <w:rPr>
          <w:color w:val="000000" w:themeColor="text1"/>
          <w:sz w:val="16"/>
          <w:szCs w:val="16"/>
        </w:rPr>
        <w:softHyphen/>
        <w:t>бочую кромку и работающего по срав</w:t>
      </w:r>
      <w:r w:rsidRPr="00F90EAE">
        <w:rPr>
          <w:color w:val="000000" w:themeColor="text1"/>
          <w:sz w:val="16"/>
          <w:szCs w:val="16"/>
        </w:rPr>
        <w:softHyphen/>
        <w:t>нению с другими кольцами в наибо</w:t>
      </w:r>
      <w:r w:rsidRPr="00F90EAE">
        <w:rPr>
          <w:color w:val="000000" w:themeColor="text1"/>
          <w:sz w:val="16"/>
          <w:szCs w:val="16"/>
        </w:rPr>
        <w:softHyphen/>
        <w:t>лее трудных условиях.</w:t>
      </w:r>
    </w:p>
    <w:p w14:paraId="1109800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а) Раструб, получающийся в вер</w:t>
      </w:r>
      <w:r w:rsidRPr="00F90EAE">
        <w:rPr>
          <w:color w:val="000000" w:themeColor="text1"/>
          <w:sz w:val="16"/>
          <w:szCs w:val="16"/>
        </w:rPr>
        <w:softHyphen/>
        <w:t>хней части гильзы в результате теп</w:t>
      </w:r>
      <w:r w:rsidRPr="00F90EAE">
        <w:rPr>
          <w:color w:val="000000" w:themeColor="text1"/>
          <w:sz w:val="16"/>
          <w:szCs w:val="16"/>
        </w:rPr>
        <w:softHyphen/>
        <w:t>ловой деформации цилиндра и усу</w:t>
      </w:r>
      <w:r w:rsidRPr="00F90EAE">
        <w:rPr>
          <w:color w:val="000000" w:themeColor="text1"/>
          <w:sz w:val="16"/>
          <w:szCs w:val="16"/>
        </w:rPr>
        <w:softHyphen/>
        <w:t>губляющий режущее действие 1-го газоуплотнительного кольца.</w:t>
      </w:r>
    </w:p>
    <w:p w14:paraId="348246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Отрывание 1-го газоуплот</w:t>
      </w:r>
      <w:r w:rsidRPr="00F90EAE">
        <w:rPr>
          <w:color w:val="000000" w:themeColor="text1"/>
          <w:sz w:val="16"/>
          <w:szCs w:val="16"/>
        </w:rPr>
        <w:softHyphen/>
        <w:t>нительного кольца от профиля рабо</w:t>
      </w:r>
      <w:r w:rsidRPr="00F90EAE">
        <w:rPr>
          <w:color w:val="000000" w:themeColor="text1"/>
          <w:sz w:val="16"/>
          <w:szCs w:val="16"/>
        </w:rPr>
        <w:softHyphen/>
        <w:t>чей поверхности на кривизне, обра</w:t>
      </w:r>
      <w:r w:rsidRPr="00F90EAE">
        <w:rPr>
          <w:color w:val="000000" w:themeColor="text1"/>
          <w:sz w:val="16"/>
          <w:szCs w:val="16"/>
        </w:rPr>
        <w:softHyphen/>
        <w:t>зующей тепловой раструб в верхней части гильзы цилиндра.</w:t>
      </w:r>
    </w:p>
    <w:p w14:paraId="04D16C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ПРОВЕДЕННЫЕ ОПЫТНЫЕ РАБОТЫ</w:t>
      </w:r>
    </w:p>
    <w:p w14:paraId="7144A50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Для определения равномернос</w:t>
      </w:r>
      <w:r w:rsidRPr="00F90EAE">
        <w:rPr>
          <w:color w:val="000000" w:themeColor="text1"/>
          <w:sz w:val="16"/>
          <w:szCs w:val="16"/>
        </w:rPr>
        <w:softHyphen/>
        <w:t>ти по длине и окружности рабочей поверхности цилиндров глубины и твердости азотированного слоя были подвергнуты металлографическому исследованию ряд новых цилиндров, снятых с моторов по наличию уступ</w:t>
      </w:r>
      <w:r w:rsidRPr="00F90EAE">
        <w:rPr>
          <w:color w:val="000000" w:themeColor="text1"/>
          <w:sz w:val="16"/>
          <w:szCs w:val="16"/>
        </w:rPr>
        <w:softHyphen/>
        <w:t>чатой выработки.</w:t>
      </w:r>
    </w:p>
    <w:p w14:paraId="717B39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Металлографическим анализом установлено, что все вновь выпускае</w:t>
      </w:r>
      <w:r w:rsidRPr="00F90EAE">
        <w:rPr>
          <w:color w:val="000000" w:themeColor="text1"/>
          <w:sz w:val="16"/>
          <w:szCs w:val="16"/>
        </w:rPr>
        <w:softHyphen/>
        <w:t>мые цилиндры, а также 70% цилинд</w:t>
      </w:r>
      <w:r w:rsidRPr="00F90EAE">
        <w:rPr>
          <w:color w:val="000000" w:themeColor="text1"/>
          <w:sz w:val="16"/>
          <w:szCs w:val="16"/>
        </w:rPr>
        <w:softHyphen/>
        <w:t>ров с уступчатой выработкой имеют глубину и твердость азотированного слоя по длине и окружности зеркала, вполне соответствующие техническим условиям.</w:t>
      </w:r>
    </w:p>
    <w:p w14:paraId="1F5CEC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тем не менее, на всех исследу</w:t>
      </w:r>
      <w:r w:rsidRPr="00F90EAE">
        <w:rPr>
          <w:color w:val="000000" w:themeColor="text1"/>
          <w:sz w:val="16"/>
          <w:szCs w:val="16"/>
        </w:rPr>
        <w:softHyphen/>
        <w:t>емых образцах обнаружено, что не</w:t>
      </w:r>
      <w:r w:rsidRPr="00F90EAE">
        <w:rPr>
          <w:color w:val="000000" w:themeColor="text1"/>
          <w:sz w:val="16"/>
          <w:szCs w:val="16"/>
        </w:rPr>
        <w:softHyphen/>
        <w:t>посредственно в месте уступчатой выработки, толщина азотированного слоя и твердость поверхности, не вы</w:t>
      </w:r>
      <w:r w:rsidRPr="00F90EAE">
        <w:rPr>
          <w:color w:val="000000" w:themeColor="text1"/>
          <w:sz w:val="16"/>
          <w:szCs w:val="16"/>
        </w:rPr>
        <w:softHyphen/>
        <w:t>ходя из пределов технических усло</w:t>
      </w:r>
      <w:r w:rsidRPr="00F90EAE">
        <w:rPr>
          <w:color w:val="000000" w:themeColor="text1"/>
          <w:sz w:val="16"/>
          <w:szCs w:val="16"/>
        </w:rPr>
        <w:softHyphen/>
        <w:t>вий, все же несколько ниже, чем в точ</w:t>
      </w:r>
      <w:r w:rsidRPr="00F90EAE">
        <w:rPr>
          <w:color w:val="000000" w:themeColor="text1"/>
          <w:sz w:val="16"/>
          <w:szCs w:val="16"/>
        </w:rPr>
        <w:softHyphen/>
        <w:t>ках лежащих до и после выработки. Обычно уменьшение толщины слоя соответствует величине порядка 0,02-0,05 мм, а уменьшение твердости до</w:t>
      </w:r>
      <w:r w:rsidRPr="00F90EAE">
        <w:rPr>
          <w:color w:val="000000" w:themeColor="text1"/>
          <w:sz w:val="16"/>
          <w:szCs w:val="16"/>
        </w:rPr>
        <w:softHyphen/>
        <w:t>стигает 2-х единиц. Факт уменьшения в месте уступ</w:t>
      </w:r>
      <w:r w:rsidRPr="00F90EAE">
        <w:rPr>
          <w:color w:val="000000" w:themeColor="text1"/>
          <w:sz w:val="16"/>
          <w:szCs w:val="16"/>
        </w:rPr>
        <w:softHyphen/>
        <w:t>чатой выработки толщины и твердо</w:t>
      </w:r>
      <w:r w:rsidRPr="00F90EAE">
        <w:rPr>
          <w:color w:val="000000" w:themeColor="text1"/>
          <w:sz w:val="16"/>
          <w:szCs w:val="16"/>
        </w:rPr>
        <w:softHyphen/>
        <w:t>сти азотированного слоя свидетель</w:t>
      </w:r>
      <w:r w:rsidRPr="00F90EAE">
        <w:rPr>
          <w:color w:val="000000" w:themeColor="text1"/>
          <w:sz w:val="16"/>
          <w:szCs w:val="16"/>
        </w:rPr>
        <w:softHyphen/>
        <w:t>ствует о том, что кольцевая выработка есть не что иное, как местный износ рабочей поверхности.</w:t>
      </w:r>
    </w:p>
    <w:p w14:paraId="4AF1C50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дополнительного подтвержде</w:t>
      </w:r>
      <w:r w:rsidRPr="00F90EAE">
        <w:rPr>
          <w:color w:val="000000" w:themeColor="text1"/>
          <w:sz w:val="16"/>
          <w:szCs w:val="16"/>
        </w:rPr>
        <w:softHyphen/>
        <w:t>ния влияния на образование уступ</w:t>
      </w:r>
      <w:r w:rsidRPr="00F90EAE">
        <w:rPr>
          <w:color w:val="000000" w:themeColor="text1"/>
          <w:sz w:val="16"/>
          <w:szCs w:val="16"/>
        </w:rPr>
        <w:softHyphen/>
        <w:t>чатой выработки неравномерной глу</w:t>
      </w:r>
      <w:r w:rsidRPr="00F90EAE">
        <w:rPr>
          <w:color w:val="000000" w:themeColor="text1"/>
          <w:sz w:val="16"/>
          <w:szCs w:val="16"/>
        </w:rPr>
        <w:softHyphen/>
        <w:t>бины и твердости азотированного слоя, в период наибольшего подъема де</w:t>
      </w:r>
      <w:r w:rsidRPr="00F90EAE">
        <w:rPr>
          <w:color w:val="000000" w:themeColor="text1"/>
          <w:sz w:val="16"/>
          <w:szCs w:val="16"/>
        </w:rPr>
        <w:softHyphen/>
        <w:t>фекта было проведено контрольное испытание 10 моторов АШ-82ФН, с цилиндрами, изготовленными под стро</w:t>
      </w:r>
      <w:r w:rsidRPr="00F90EAE">
        <w:rPr>
          <w:color w:val="000000" w:themeColor="text1"/>
          <w:sz w:val="16"/>
          <w:szCs w:val="16"/>
        </w:rPr>
        <w:softHyphen/>
        <w:t>гим технологическим наблюдением.</w:t>
      </w:r>
    </w:p>
    <w:p w14:paraId="38207F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оказался не</w:t>
      </w:r>
      <w:r w:rsidRPr="00F90EAE">
        <w:rPr>
          <w:color w:val="000000" w:themeColor="text1"/>
          <w:sz w:val="16"/>
          <w:szCs w:val="16"/>
        </w:rPr>
        <w:softHyphen/>
        <w:t>удовлетворительным, так как 2 мото</w:t>
      </w:r>
      <w:r w:rsidRPr="00F90EAE">
        <w:rPr>
          <w:color w:val="000000" w:themeColor="text1"/>
          <w:sz w:val="16"/>
          <w:szCs w:val="16"/>
        </w:rPr>
        <w:softHyphen/>
        <w:t>ра было снято с испытания по дымле-</w:t>
      </w:r>
    </w:p>
    <w:p w14:paraId="51BE8E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нию 5-ти цилиндров, из которых 4 ци</w:t>
      </w:r>
      <w:r w:rsidRPr="00F90EAE">
        <w:rPr>
          <w:color w:val="000000" w:themeColor="text1"/>
          <w:sz w:val="16"/>
          <w:szCs w:val="16"/>
        </w:rPr>
        <w:softHyphen/>
        <w:t>линдра имели уступчатую выработку. Таким образом, указанным испы</w:t>
      </w:r>
      <w:r w:rsidRPr="00F90EAE">
        <w:rPr>
          <w:color w:val="000000" w:themeColor="text1"/>
          <w:sz w:val="16"/>
          <w:szCs w:val="16"/>
        </w:rPr>
        <w:softHyphen/>
        <w:t>танием удалось установить, что пара</w:t>
      </w:r>
      <w:r w:rsidRPr="00F90EAE">
        <w:rPr>
          <w:color w:val="000000" w:themeColor="text1"/>
          <w:sz w:val="16"/>
          <w:szCs w:val="16"/>
        </w:rPr>
        <w:softHyphen/>
        <w:t>метры глубины и твердости азотиро</w:t>
      </w:r>
      <w:r w:rsidRPr="00F90EAE">
        <w:rPr>
          <w:color w:val="000000" w:themeColor="text1"/>
          <w:sz w:val="16"/>
          <w:szCs w:val="16"/>
        </w:rPr>
        <w:softHyphen/>
        <w:t>ванного слоя основной причиной, вы</w:t>
      </w:r>
      <w:r w:rsidRPr="00F90EAE">
        <w:rPr>
          <w:color w:val="000000" w:themeColor="text1"/>
          <w:sz w:val="16"/>
          <w:szCs w:val="16"/>
        </w:rPr>
        <w:softHyphen/>
        <w:t>зывающей уступчатую выработку, не являются.</w:t>
      </w:r>
    </w:p>
    <w:p w14:paraId="1675115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Проверка мнения появления уступчатой выработки вследствие рас</w:t>
      </w:r>
      <w:r w:rsidRPr="00F90EAE">
        <w:rPr>
          <w:color w:val="000000" w:themeColor="text1"/>
          <w:sz w:val="16"/>
          <w:szCs w:val="16"/>
        </w:rPr>
        <w:softHyphen/>
        <w:t>пора силами газов верхнего поршне</w:t>
      </w:r>
      <w:r w:rsidRPr="00F90EAE">
        <w:rPr>
          <w:color w:val="000000" w:themeColor="text1"/>
          <w:sz w:val="16"/>
          <w:szCs w:val="16"/>
        </w:rPr>
        <w:softHyphen/>
        <w:t>вого кольца в такте расширения была произведена построением схемы сил, действующих в цилиндре мотора АШ-82ФН.</w:t>
      </w:r>
    </w:p>
    <w:p w14:paraId="242705C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этой схемы очевидно, что рас</w:t>
      </w:r>
      <w:r w:rsidRPr="00F90EAE">
        <w:rPr>
          <w:color w:val="000000" w:themeColor="text1"/>
          <w:sz w:val="16"/>
          <w:szCs w:val="16"/>
        </w:rPr>
        <w:softHyphen/>
        <w:t>пор силами газов первого газоуплот нительного кольца в момент прохож</w:t>
      </w:r>
      <w:r w:rsidRPr="00F90EAE">
        <w:rPr>
          <w:color w:val="000000" w:themeColor="text1"/>
          <w:sz w:val="16"/>
          <w:szCs w:val="16"/>
        </w:rPr>
        <w:softHyphen/>
        <w:t>дения им рабочей поверхности ци</w:t>
      </w:r>
      <w:r w:rsidRPr="00F90EAE">
        <w:rPr>
          <w:color w:val="000000" w:themeColor="text1"/>
          <w:sz w:val="16"/>
          <w:szCs w:val="16"/>
        </w:rPr>
        <w:softHyphen/>
        <w:t>линдра, на которой в подавляющем большинстве случаев образуется ме</w:t>
      </w:r>
      <w:r w:rsidRPr="00F90EAE">
        <w:rPr>
          <w:color w:val="000000" w:themeColor="text1"/>
          <w:sz w:val="16"/>
          <w:szCs w:val="16"/>
        </w:rPr>
        <w:softHyphen/>
        <w:t>стная кольцевая выработка, сравни</w:t>
      </w:r>
      <w:r w:rsidRPr="00F90EAE">
        <w:rPr>
          <w:color w:val="000000" w:themeColor="text1"/>
          <w:sz w:val="16"/>
          <w:szCs w:val="16"/>
        </w:rPr>
        <w:softHyphen/>
        <w:t>тельно невелик и вряд-ли может иметь существенное значение на образо</w:t>
      </w:r>
      <w:r w:rsidRPr="00F90EAE">
        <w:rPr>
          <w:color w:val="000000" w:themeColor="text1"/>
          <w:sz w:val="16"/>
          <w:szCs w:val="16"/>
        </w:rPr>
        <w:softHyphen/>
        <w:t>вание выработки. И в самом деле, если в начале движения поршня от ВМТ над его днищем в такте расши</w:t>
      </w:r>
      <w:r w:rsidRPr="00F90EAE">
        <w:rPr>
          <w:color w:val="000000" w:themeColor="text1"/>
          <w:sz w:val="16"/>
          <w:szCs w:val="16"/>
        </w:rPr>
        <w:softHyphen/>
        <w:t>рения действует усилие газов, рав</w:t>
      </w:r>
      <w:r w:rsidRPr="00F90EAE">
        <w:rPr>
          <w:color w:val="000000" w:themeColor="text1"/>
          <w:sz w:val="16"/>
          <w:szCs w:val="16"/>
        </w:rPr>
        <w:softHyphen/>
        <w:t>ное 11200 кг, то в момент прохожде</w:t>
      </w:r>
      <w:r w:rsidRPr="00F90EAE">
        <w:rPr>
          <w:color w:val="000000" w:themeColor="text1"/>
          <w:sz w:val="16"/>
          <w:szCs w:val="16"/>
        </w:rPr>
        <w:softHyphen/>
        <w:t>ния им зоны образования уступов над его днищем действует усилие, состав</w:t>
      </w:r>
      <w:r w:rsidRPr="00F90EAE">
        <w:rPr>
          <w:color w:val="000000" w:themeColor="text1"/>
          <w:sz w:val="16"/>
          <w:szCs w:val="16"/>
        </w:rPr>
        <w:softHyphen/>
        <w:t>ляющее всего лишь 4000 кг.</w:t>
      </w:r>
    </w:p>
    <w:p w14:paraId="081689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Влияние на образование коль</w:t>
      </w:r>
      <w:r w:rsidRPr="00F90EAE">
        <w:rPr>
          <w:color w:val="000000" w:themeColor="text1"/>
          <w:sz w:val="16"/>
          <w:szCs w:val="16"/>
        </w:rPr>
        <w:softHyphen/>
        <w:t>цевой выработки коробления торцев поршневых колец было проверено на двух малых сериях моторов АШ-82ФН по ТОО моторов в каждой, с постанов</w:t>
      </w:r>
      <w:r w:rsidRPr="00F90EAE">
        <w:rPr>
          <w:color w:val="000000" w:themeColor="text1"/>
          <w:sz w:val="16"/>
          <w:szCs w:val="16"/>
        </w:rPr>
        <w:softHyphen/>
        <w:t>кой на все поршни этих моторов га-зоуплотнительных колец, лапингован-ных по торцам.</w:t>
      </w:r>
    </w:p>
    <w:p w14:paraId="63A3E3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первом случае было проведено контрольное испытание ТОО моторов до момента резкого возрастания де</w:t>
      </w:r>
      <w:r w:rsidRPr="00F90EAE">
        <w:rPr>
          <w:color w:val="000000" w:themeColor="text1"/>
          <w:sz w:val="16"/>
          <w:szCs w:val="16"/>
        </w:rPr>
        <w:softHyphen/>
        <w:t>фекта дымления цилиндров.</w:t>
      </w:r>
    </w:p>
    <w:p w14:paraId="216B21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Полученный при этом результат показывает, что постановка на порш</w:t>
      </w:r>
      <w:r w:rsidRPr="00F90EAE">
        <w:rPr>
          <w:color w:val="000000" w:themeColor="text1"/>
          <w:sz w:val="16"/>
          <w:szCs w:val="16"/>
        </w:rPr>
        <w:softHyphen/>
        <w:t>ни колец, лапингованных по торцам, снижает дефект дымления с 14,7 до 9,5%.</w:t>
      </w:r>
    </w:p>
    <w:p w14:paraId="25DF235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втором случае, то же самое ис</w:t>
      </w:r>
      <w:r w:rsidRPr="00F90EAE">
        <w:rPr>
          <w:color w:val="000000" w:themeColor="text1"/>
          <w:sz w:val="16"/>
          <w:szCs w:val="16"/>
        </w:rPr>
        <w:softHyphen/>
        <w:t>пытание было проведено в период наибольшей интенсивности дефекта, но никаких улучшений не было заме</w:t>
      </w:r>
      <w:r w:rsidRPr="00F90EAE">
        <w:rPr>
          <w:color w:val="000000" w:themeColor="text1"/>
          <w:sz w:val="16"/>
          <w:szCs w:val="16"/>
        </w:rPr>
        <w:softHyphen/>
        <w:t>чено. Из числа поставленных на ис</w:t>
      </w:r>
      <w:r w:rsidRPr="00F90EAE">
        <w:rPr>
          <w:color w:val="000000" w:themeColor="text1"/>
          <w:sz w:val="16"/>
          <w:szCs w:val="16"/>
        </w:rPr>
        <w:softHyphen/>
        <w:t>пытание моторов 30% было снято по дымлению и уступчатой выработке цилиндров.</w:t>
      </w:r>
    </w:p>
    <w:p w14:paraId="7C5CC9D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По определению влияния на образование уступчатой выработки степени чистоты рабочей поверхнос</w:t>
      </w:r>
      <w:r w:rsidRPr="00F90EAE">
        <w:rPr>
          <w:color w:val="000000" w:themeColor="text1"/>
          <w:sz w:val="16"/>
          <w:szCs w:val="16"/>
        </w:rPr>
        <w:softHyphen/>
        <w:t>ти, на контрольное испытание было собрано 35 моторов с цилиндрами переднего ряда, предварительно про-хонингованными</w:t>
      </w:r>
      <w:r w:rsidRPr="00F90EAE">
        <w:rPr>
          <w:color w:val="000000" w:themeColor="text1"/>
          <w:sz w:val="16"/>
          <w:szCs w:val="16"/>
          <w:vertAlign w:val="superscript"/>
        </w:rPr>
        <w:t>2</w:t>
      </w:r>
      <w:r w:rsidRPr="00F90EAE">
        <w:rPr>
          <w:color w:val="000000" w:themeColor="text1"/>
          <w:sz w:val="16"/>
          <w:szCs w:val="16"/>
        </w:rPr>
        <w:t xml:space="preserve"> по зеркалу до сте</w:t>
      </w:r>
      <w:r w:rsidRPr="00F90EAE">
        <w:rPr>
          <w:color w:val="000000" w:themeColor="text1"/>
          <w:sz w:val="16"/>
          <w:szCs w:val="16"/>
        </w:rPr>
        <w:softHyphen/>
        <w:t>пени чистоты 10-15 микродюймов по профилометру, вместо 4-6 микродюй</w:t>
      </w:r>
      <w:r w:rsidRPr="00F90EAE">
        <w:rPr>
          <w:color w:val="000000" w:themeColor="text1"/>
          <w:sz w:val="16"/>
          <w:szCs w:val="16"/>
        </w:rPr>
        <w:softHyphen/>
        <w:t>мов, соответствующим новым цилинд</w:t>
      </w:r>
      <w:r w:rsidRPr="00F90EAE">
        <w:rPr>
          <w:color w:val="000000" w:themeColor="text1"/>
          <w:sz w:val="16"/>
          <w:szCs w:val="16"/>
        </w:rPr>
        <w:softHyphen/>
        <w:t>рам.</w:t>
      </w:r>
    </w:p>
    <w:p w14:paraId="0EB7AD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 Предварительное хонингова-ние цилиндров перед постановкой их на контрольное испытание снижает съем моторов по дымлению и уступ</w:t>
      </w:r>
      <w:r w:rsidRPr="00F90EAE">
        <w:rPr>
          <w:color w:val="000000" w:themeColor="text1"/>
          <w:sz w:val="16"/>
          <w:szCs w:val="16"/>
        </w:rPr>
        <w:softHyphen/>
        <w:t>чатой выработке цилиндров с 15% до 10%.</w:t>
      </w:r>
    </w:p>
    <w:p w14:paraId="3785C9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Для проверки качества выпол</w:t>
      </w:r>
      <w:r w:rsidRPr="00F90EAE">
        <w:rPr>
          <w:color w:val="000000" w:themeColor="text1"/>
          <w:sz w:val="16"/>
          <w:szCs w:val="16"/>
        </w:rPr>
        <w:softHyphen/>
        <w:t>нения технологии испытания моторов, в период наибольшего снятия мото</w:t>
      </w:r>
      <w:r w:rsidRPr="00F90EAE">
        <w:rPr>
          <w:color w:val="000000" w:themeColor="text1"/>
          <w:sz w:val="16"/>
          <w:szCs w:val="16"/>
        </w:rPr>
        <w:softHyphen/>
        <w:t>ров по дымлению цилиндров, в тече</w:t>
      </w:r>
      <w:r w:rsidRPr="00F90EAE">
        <w:rPr>
          <w:color w:val="000000" w:themeColor="text1"/>
          <w:sz w:val="16"/>
          <w:szCs w:val="16"/>
        </w:rPr>
        <w:softHyphen/>
        <w:t>ние 10 дней было организовано круг</w:t>
      </w:r>
      <w:r w:rsidRPr="00F90EAE">
        <w:rPr>
          <w:color w:val="000000" w:themeColor="text1"/>
          <w:sz w:val="16"/>
          <w:szCs w:val="16"/>
        </w:rPr>
        <w:softHyphen/>
        <w:t>лосуточное дежурство на балансах Испытательной станции работников ОТК, конструкторов и технологов.</w:t>
      </w:r>
    </w:p>
    <w:p w14:paraId="2299B4B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 Хонингование — чистовая шлифовка специальным инструментом ~ хоном -внутреннего зеркала гильзы цилиндра.</w:t>
      </w:r>
    </w:p>
    <w:p w14:paraId="7DB60AB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проверки: отступлений от технологии испытания не отмечено. Съем же моторов по дымлению и ус</w:t>
      </w:r>
      <w:r w:rsidRPr="00F90EAE">
        <w:rPr>
          <w:color w:val="000000" w:themeColor="text1"/>
          <w:sz w:val="16"/>
          <w:szCs w:val="16"/>
        </w:rPr>
        <w:softHyphen/>
        <w:t>тупчатой выработке цилиндров про</w:t>
      </w:r>
      <w:r w:rsidRPr="00F90EAE">
        <w:rPr>
          <w:color w:val="000000" w:themeColor="text1"/>
          <w:sz w:val="16"/>
          <w:szCs w:val="16"/>
        </w:rPr>
        <w:softHyphen/>
        <w:t>должал оставаться на прежнем уров</w:t>
      </w:r>
      <w:r w:rsidRPr="00F90EAE">
        <w:rPr>
          <w:color w:val="000000" w:themeColor="text1"/>
          <w:sz w:val="16"/>
          <w:szCs w:val="16"/>
        </w:rPr>
        <w:softHyphen/>
        <w:t>не (до 35%}.</w:t>
      </w:r>
    </w:p>
    <w:p w14:paraId="4BC630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Влияние на износ и дымление цилиндров продолжительности прира</w:t>
      </w:r>
      <w:r w:rsidRPr="00F90EAE">
        <w:rPr>
          <w:color w:val="000000" w:themeColor="text1"/>
          <w:sz w:val="16"/>
          <w:szCs w:val="16"/>
        </w:rPr>
        <w:softHyphen/>
        <w:t>ботки перед контрольным испытани</w:t>
      </w:r>
      <w:r w:rsidRPr="00F90EAE">
        <w:rPr>
          <w:color w:val="000000" w:themeColor="text1"/>
          <w:sz w:val="16"/>
          <w:szCs w:val="16"/>
        </w:rPr>
        <w:softHyphen/>
        <w:t>ем было проверено:</w:t>
      </w:r>
    </w:p>
    <w:p w14:paraId="0D4FC6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Контрольным испытанием 86 мо</w:t>
      </w:r>
      <w:r w:rsidRPr="00F90EAE">
        <w:rPr>
          <w:color w:val="000000" w:themeColor="text1"/>
          <w:sz w:val="16"/>
          <w:szCs w:val="16"/>
        </w:rPr>
        <w:softHyphen/>
        <w:t>торов АШ-82ФН с продолжительнос</w:t>
      </w:r>
      <w:r w:rsidRPr="00F90EAE">
        <w:rPr>
          <w:color w:val="000000" w:themeColor="text1"/>
          <w:sz w:val="16"/>
          <w:szCs w:val="16"/>
        </w:rPr>
        <w:softHyphen/>
        <w:t>тью приработки перед контрольным испытанием, равной 1 час 35 мин вместо существующих 43 мин.</w:t>
      </w:r>
    </w:p>
    <w:p w14:paraId="48714F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неудовлетворительный. Съем моторов с испытания по дымле</w:t>
      </w:r>
      <w:r w:rsidRPr="00F90EAE">
        <w:rPr>
          <w:color w:val="000000" w:themeColor="text1"/>
          <w:sz w:val="16"/>
          <w:szCs w:val="16"/>
        </w:rPr>
        <w:softHyphen/>
        <w:t>нию цилиндров составил 35%.</w:t>
      </w:r>
    </w:p>
    <w:p w14:paraId="3DFC69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Контрольным испытанием 31 мо</w:t>
      </w:r>
      <w:r w:rsidRPr="00F90EAE">
        <w:rPr>
          <w:color w:val="000000" w:themeColor="text1"/>
          <w:sz w:val="16"/>
          <w:szCs w:val="16"/>
        </w:rPr>
        <w:softHyphen/>
        <w:t>тора АШ-82ФН с увеличенным при</w:t>
      </w:r>
      <w:r w:rsidRPr="00F90EAE">
        <w:rPr>
          <w:color w:val="000000" w:themeColor="text1"/>
          <w:sz w:val="16"/>
          <w:szCs w:val="16"/>
        </w:rPr>
        <w:softHyphen/>
        <w:t>работком в 1 час 10 мин. Целью это</w:t>
      </w:r>
      <w:r w:rsidRPr="00F90EAE">
        <w:rPr>
          <w:color w:val="000000" w:themeColor="text1"/>
          <w:sz w:val="16"/>
          <w:szCs w:val="16"/>
        </w:rPr>
        <w:softHyphen/>
        <w:t>го испытания являлось создать наи</w:t>
      </w:r>
      <w:r w:rsidRPr="00F90EAE">
        <w:rPr>
          <w:color w:val="000000" w:themeColor="text1"/>
          <w:sz w:val="16"/>
          <w:szCs w:val="16"/>
        </w:rPr>
        <w:softHyphen/>
        <w:t>лучшие условия проведения прира</w:t>
      </w:r>
      <w:r w:rsidRPr="00F90EAE">
        <w:rPr>
          <w:color w:val="000000" w:themeColor="text1"/>
          <w:sz w:val="16"/>
          <w:szCs w:val="16"/>
        </w:rPr>
        <w:softHyphen/>
        <w:t>ботки перед режимной работой за счет плавного перехода с одних обо</w:t>
      </w:r>
      <w:r w:rsidRPr="00F90EAE">
        <w:rPr>
          <w:color w:val="000000" w:themeColor="text1"/>
          <w:sz w:val="16"/>
          <w:szCs w:val="16"/>
        </w:rPr>
        <w:softHyphen/>
        <w:t>ротов на другие (через каждые 100 оборотов с п=1000 об/мин до п=1600 об/мин) и увеличения времени рабо</w:t>
      </w:r>
      <w:r w:rsidRPr="00F90EAE">
        <w:rPr>
          <w:color w:val="000000" w:themeColor="text1"/>
          <w:sz w:val="16"/>
          <w:szCs w:val="16"/>
        </w:rPr>
        <w:softHyphen/>
        <w:t>ты на указанных оборотах.</w:t>
      </w:r>
    </w:p>
    <w:p w14:paraId="176F2C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неудовлетворительный. Из числа поставленных на испытание, 8 моторов были сняты с испытания по дымлению цилиндров.</w:t>
      </w:r>
    </w:p>
    <w:p w14:paraId="1EFF81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Вследствие того, что съем мото</w:t>
      </w:r>
      <w:r w:rsidRPr="00F90EAE">
        <w:rPr>
          <w:color w:val="000000" w:themeColor="text1"/>
          <w:sz w:val="16"/>
          <w:szCs w:val="16"/>
        </w:rPr>
        <w:softHyphen/>
        <w:t>ров по дымлению и уступчатой выра</w:t>
      </w:r>
      <w:r w:rsidRPr="00F90EAE">
        <w:rPr>
          <w:color w:val="000000" w:themeColor="text1"/>
          <w:sz w:val="16"/>
          <w:szCs w:val="16"/>
        </w:rPr>
        <w:softHyphen/>
        <w:t>ботке цилиндров присуще только кон</w:t>
      </w:r>
      <w:r w:rsidRPr="00F90EAE">
        <w:rPr>
          <w:color w:val="000000" w:themeColor="text1"/>
          <w:sz w:val="16"/>
          <w:szCs w:val="16"/>
        </w:rPr>
        <w:softHyphen/>
        <w:t>трольным моторам, собираемым на испытание с насосами непосред</w:t>
      </w:r>
      <w:r w:rsidRPr="00F90EAE">
        <w:rPr>
          <w:color w:val="000000" w:themeColor="text1"/>
          <w:sz w:val="16"/>
          <w:szCs w:val="16"/>
        </w:rPr>
        <w:softHyphen/>
        <w:t>ственного впрыска топлива в цилинд</w:t>
      </w:r>
      <w:r w:rsidRPr="00F90EAE">
        <w:rPr>
          <w:color w:val="000000" w:themeColor="text1"/>
          <w:sz w:val="16"/>
          <w:szCs w:val="16"/>
        </w:rPr>
        <w:softHyphen/>
        <w:t>ры, и является весьма редким по сда</w:t>
      </w:r>
      <w:r w:rsidRPr="00F90EAE">
        <w:rPr>
          <w:color w:val="000000" w:themeColor="text1"/>
          <w:sz w:val="16"/>
          <w:szCs w:val="16"/>
        </w:rPr>
        <w:softHyphen/>
        <w:t>точным моторам, собираемым на ис</w:t>
      </w:r>
      <w:r w:rsidRPr="00F90EAE">
        <w:rPr>
          <w:color w:val="000000" w:themeColor="text1"/>
          <w:sz w:val="16"/>
          <w:szCs w:val="16"/>
        </w:rPr>
        <w:softHyphen/>
        <w:t>пытание с карбюраторами, сложилось мнение, что основной причиной ус</w:t>
      </w:r>
      <w:r w:rsidRPr="00F90EAE">
        <w:rPr>
          <w:color w:val="000000" w:themeColor="text1"/>
          <w:sz w:val="16"/>
          <w:szCs w:val="16"/>
        </w:rPr>
        <w:softHyphen/>
        <w:t>тупчатой выработки цилиндров явля</w:t>
      </w:r>
      <w:r w:rsidRPr="00F90EAE">
        <w:rPr>
          <w:color w:val="000000" w:themeColor="text1"/>
          <w:sz w:val="16"/>
          <w:szCs w:val="16"/>
        </w:rPr>
        <w:softHyphen/>
        <w:t>ется некачественная работа топлив</w:t>
      </w:r>
      <w:r w:rsidRPr="00F90EAE">
        <w:rPr>
          <w:color w:val="000000" w:themeColor="text1"/>
          <w:sz w:val="16"/>
          <w:szCs w:val="16"/>
        </w:rPr>
        <w:softHyphen/>
        <w:t>ных форсунок и насоса непосред</w:t>
      </w:r>
      <w:r w:rsidRPr="00F90EAE">
        <w:rPr>
          <w:color w:val="000000" w:themeColor="text1"/>
          <w:sz w:val="16"/>
          <w:szCs w:val="16"/>
        </w:rPr>
        <w:softHyphen/>
        <w:t>ственного впрыска.</w:t>
      </w:r>
    </w:p>
    <w:p w14:paraId="4B0EAD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целью исследования этого воп</w:t>
      </w:r>
      <w:r w:rsidRPr="00F90EAE">
        <w:rPr>
          <w:color w:val="000000" w:themeColor="text1"/>
          <w:sz w:val="16"/>
          <w:szCs w:val="16"/>
        </w:rPr>
        <w:softHyphen/>
        <w:t>роса были поставлены эксперименты:</w:t>
      </w:r>
    </w:p>
    <w:p w14:paraId="0D33149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По причине того, что на заводе пока нет возможности для правиль</w:t>
      </w:r>
      <w:r w:rsidRPr="00F90EAE">
        <w:rPr>
          <w:color w:val="000000" w:themeColor="text1"/>
          <w:sz w:val="16"/>
          <w:szCs w:val="16"/>
        </w:rPr>
        <w:softHyphen/>
        <w:t>ного контролирования топливных фор</w:t>
      </w:r>
      <w:r w:rsidRPr="00F90EAE">
        <w:rPr>
          <w:color w:val="000000" w:themeColor="text1"/>
          <w:sz w:val="16"/>
          <w:szCs w:val="16"/>
        </w:rPr>
        <w:softHyphen/>
        <w:t>сунок на качество распыла топлива, было проведено испытание 6-ти мо</w:t>
      </w:r>
      <w:r w:rsidRPr="00F90EAE">
        <w:rPr>
          <w:color w:val="000000" w:themeColor="text1"/>
          <w:sz w:val="16"/>
          <w:szCs w:val="16"/>
        </w:rPr>
        <w:softHyphen/>
        <w:t>торов АШ-82ФН с форсунками, сня</w:t>
      </w:r>
      <w:r w:rsidRPr="00F90EAE">
        <w:rPr>
          <w:color w:val="000000" w:themeColor="text1"/>
          <w:sz w:val="16"/>
          <w:szCs w:val="16"/>
        </w:rPr>
        <w:softHyphen/>
        <w:t>тыми с цилиндров после образова</w:t>
      </w:r>
      <w:r w:rsidRPr="00F90EAE">
        <w:rPr>
          <w:color w:val="000000" w:themeColor="text1"/>
          <w:sz w:val="16"/>
          <w:szCs w:val="16"/>
        </w:rPr>
        <w:softHyphen/>
        <w:t>ния на них уступов или показавших плохую работу.</w:t>
      </w:r>
    </w:p>
    <w:p w14:paraId="7BAAE2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 Все моторы прошли испыта</w:t>
      </w:r>
      <w:r w:rsidRPr="00F90EAE">
        <w:rPr>
          <w:color w:val="000000" w:themeColor="text1"/>
          <w:sz w:val="16"/>
          <w:szCs w:val="16"/>
        </w:rPr>
        <w:softHyphen/>
        <w:t>ние без дефектов цилиндровой груп</w:t>
      </w:r>
      <w:r w:rsidRPr="00F90EAE">
        <w:rPr>
          <w:color w:val="000000" w:themeColor="text1"/>
          <w:sz w:val="16"/>
          <w:szCs w:val="16"/>
        </w:rPr>
        <w:softHyphen/>
        <w:t>пы.</w:t>
      </w:r>
    </w:p>
    <w:p w14:paraId="65B06D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Сдаточное испытание 6 моторов АШ-82ФН с постановкой насосов непосредственного впрыска вместо карбюраторов.</w:t>
      </w:r>
    </w:p>
    <w:p w14:paraId="3C61517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w:t>
      </w:r>
    </w:p>
    <w:p w14:paraId="7C8049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Цилиндров с уступами после ис</w:t>
      </w:r>
      <w:r w:rsidRPr="00F90EAE">
        <w:rPr>
          <w:color w:val="000000" w:themeColor="text1"/>
          <w:sz w:val="16"/>
          <w:szCs w:val="16"/>
        </w:rPr>
        <w:softHyphen/>
        <w:t>пытания не обнаружено.</w:t>
      </w:r>
    </w:p>
    <w:p w14:paraId="6090C7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2 десятичасовых испытания на одноцилиндровой установке топлив</w:t>
      </w:r>
      <w:r w:rsidRPr="00F90EAE">
        <w:rPr>
          <w:color w:val="000000" w:themeColor="text1"/>
          <w:sz w:val="16"/>
          <w:szCs w:val="16"/>
        </w:rPr>
        <w:softHyphen/>
        <w:t>ных форсунок с хорошим и плохим распилом топлива. Отбор форсунок, за неимением соответствующей ап</w:t>
      </w:r>
      <w:r w:rsidRPr="00F90EAE">
        <w:rPr>
          <w:color w:val="000000" w:themeColor="text1"/>
          <w:sz w:val="16"/>
          <w:szCs w:val="16"/>
        </w:rPr>
        <w:softHyphen/>
        <w:t>паратуры, был сделан приближенно.</w:t>
      </w:r>
    </w:p>
    <w:p w14:paraId="2D52EF3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износы ци</w:t>
      </w:r>
      <w:r w:rsidRPr="00F90EAE">
        <w:rPr>
          <w:color w:val="000000" w:themeColor="text1"/>
          <w:sz w:val="16"/>
          <w:szCs w:val="16"/>
        </w:rPr>
        <w:softHyphen/>
        <w:t>линдров равноценны. Износы колец больше с форсункой, имеющей пло</w:t>
      </w:r>
      <w:r w:rsidRPr="00F90EAE">
        <w:rPr>
          <w:color w:val="000000" w:themeColor="text1"/>
          <w:sz w:val="16"/>
          <w:szCs w:val="16"/>
        </w:rPr>
        <w:softHyphen/>
        <w:t>хой распыл.</w:t>
      </w:r>
    </w:p>
    <w:p w14:paraId="61B0178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5-ти часовое испытание на одно</w:t>
      </w:r>
      <w:r w:rsidRPr="00F90EAE">
        <w:rPr>
          <w:color w:val="000000" w:themeColor="text1"/>
          <w:sz w:val="16"/>
          <w:szCs w:val="16"/>
        </w:rPr>
        <w:softHyphen/>
        <w:t>цилиндровой установке по определе</w:t>
      </w:r>
      <w:r w:rsidRPr="00F90EAE">
        <w:rPr>
          <w:color w:val="000000" w:themeColor="text1"/>
          <w:sz w:val="16"/>
          <w:szCs w:val="16"/>
        </w:rPr>
        <w:softHyphen/>
        <w:t>нию влияния на износ цилиндров и поршневых колец обогащения сме</w:t>
      </w:r>
      <w:r w:rsidRPr="00F90EAE">
        <w:rPr>
          <w:color w:val="000000" w:themeColor="text1"/>
          <w:sz w:val="16"/>
          <w:szCs w:val="16"/>
        </w:rPr>
        <w:softHyphen/>
        <w:t>си.</w:t>
      </w:r>
    </w:p>
    <w:p w14:paraId="3B845E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на нормаль</w:t>
      </w:r>
      <w:r w:rsidRPr="00F90EAE">
        <w:rPr>
          <w:color w:val="000000" w:themeColor="text1"/>
          <w:sz w:val="16"/>
          <w:szCs w:val="16"/>
        </w:rPr>
        <w:softHyphen/>
        <w:t>ных смесях износы гильз и колец были больше, чем износы при работе мо</w:t>
      </w:r>
      <w:r w:rsidRPr="00F90EAE">
        <w:rPr>
          <w:color w:val="000000" w:themeColor="text1"/>
          <w:sz w:val="16"/>
          <w:szCs w:val="16"/>
        </w:rPr>
        <w:softHyphen/>
        <w:t>тора на богатой смеси.</w:t>
      </w:r>
    </w:p>
    <w:p w14:paraId="6033E67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Предположение о том, что уступ</w:t>
      </w:r>
      <w:r w:rsidRPr="00F90EAE">
        <w:rPr>
          <w:color w:val="000000" w:themeColor="text1"/>
          <w:sz w:val="16"/>
          <w:szCs w:val="16"/>
        </w:rPr>
        <w:softHyphen/>
        <w:t>чатая выработка является следстви</w:t>
      </w:r>
      <w:r w:rsidRPr="00F90EAE">
        <w:rPr>
          <w:color w:val="000000" w:themeColor="text1"/>
          <w:sz w:val="16"/>
          <w:szCs w:val="16"/>
        </w:rPr>
        <w:softHyphen/>
        <w:t>ем постановки на цилиндры дефлек</w:t>
      </w:r>
      <w:r w:rsidRPr="00F90EAE">
        <w:rPr>
          <w:color w:val="000000" w:themeColor="text1"/>
          <w:sz w:val="16"/>
          <w:szCs w:val="16"/>
        </w:rPr>
        <w:softHyphen/>
        <w:t>торов обдува, также как и в предыду</w:t>
      </w:r>
      <w:r w:rsidRPr="00F90EAE">
        <w:rPr>
          <w:color w:val="000000" w:themeColor="text1"/>
          <w:sz w:val="16"/>
          <w:szCs w:val="16"/>
        </w:rPr>
        <w:softHyphen/>
        <w:t>щем случае, сложилась на основании разницы в сборках сдаточных и конт</w:t>
      </w:r>
      <w:r w:rsidRPr="00F90EAE">
        <w:rPr>
          <w:color w:val="000000" w:themeColor="text1"/>
          <w:sz w:val="16"/>
          <w:szCs w:val="16"/>
        </w:rPr>
        <w:softHyphen/>
        <w:t>рольных моторов.</w:t>
      </w:r>
    </w:p>
    <w:p w14:paraId="421DEAC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установившемуся еще в 1941 году производству, дефлекторы обду</w:t>
      </w:r>
      <w:r w:rsidRPr="00F90EAE">
        <w:rPr>
          <w:color w:val="000000" w:themeColor="text1"/>
          <w:sz w:val="16"/>
          <w:szCs w:val="16"/>
        </w:rPr>
        <w:softHyphen/>
        <w:t>ва цилиндров устанавливаются толь</w:t>
      </w:r>
      <w:r w:rsidRPr="00F90EAE">
        <w:rPr>
          <w:color w:val="000000" w:themeColor="text1"/>
          <w:sz w:val="16"/>
          <w:szCs w:val="16"/>
        </w:rPr>
        <w:softHyphen/>
        <w:t>ко на моторы, собираемые на конт</w:t>
      </w:r>
      <w:r w:rsidRPr="00F90EAE">
        <w:rPr>
          <w:color w:val="000000" w:themeColor="text1"/>
          <w:sz w:val="16"/>
          <w:szCs w:val="16"/>
        </w:rPr>
        <w:softHyphen/>
        <w:t>рольное испытание, а сдаточное ис</w:t>
      </w:r>
      <w:r w:rsidRPr="00F90EAE">
        <w:rPr>
          <w:color w:val="000000" w:themeColor="text1"/>
          <w:sz w:val="16"/>
          <w:szCs w:val="16"/>
        </w:rPr>
        <w:softHyphen/>
        <w:t>пытание моторы проходят без деф</w:t>
      </w:r>
      <w:r w:rsidRPr="00F90EAE">
        <w:rPr>
          <w:color w:val="000000" w:themeColor="text1"/>
          <w:sz w:val="16"/>
          <w:szCs w:val="16"/>
        </w:rPr>
        <w:softHyphen/>
        <w:t>лекторов.</w:t>
      </w:r>
    </w:p>
    <w:p w14:paraId="10C3C17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определению влияния дефлек</w:t>
      </w:r>
      <w:r w:rsidRPr="00F90EAE">
        <w:rPr>
          <w:color w:val="000000" w:themeColor="text1"/>
          <w:sz w:val="16"/>
          <w:szCs w:val="16"/>
        </w:rPr>
        <w:softHyphen/>
        <w:t>торов обдува на дымление цилинд</w:t>
      </w:r>
      <w:r w:rsidRPr="00F90EAE">
        <w:rPr>
          <w:color w:val="000000" w:themeColor="text1"/>
          <w:sz w:val="16"/>
          <w:szCs w:val="16"/>
        </w:rPr>
        <w:softHyphen/>
        <w:t>ров было проведено:</w:t>
      </w:r>
    </w:p>
    <w:p w14:paraId="40E0989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а] Сдаточное испытание 8 моторов АШ-82ФН с постановкой всех деф</w:t>
      </w:r>
      <w:r w:rsidRPr="00F90EAE">
        <w:rPr>
          <w:color w:val="000000" w:themeColor="text1"/>
          <w:sz w:val="16"/>
          <w:szCs w:val="16"/>
        </w:rPr>
        <w:softHyphen/>
        <w:t>лекторов обдува цилиндров.</w:t>
      </w:r>
    </w:p>
    <w:p w14:paraId="0349B2F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 Все моторы прошли испыта</w:t>
      </w:r>
      <w:r w:rsidRPr="00F90EAE">
        <w:rPr>
          <w:color w:val="000000" w:themeColor="text1"/>
          <w:sz w:val="16"/>
          <w:szCs w:val="16"/>
        </w:rPr>
        <w:softHyphen/>
        <w:t>ние без дефектов цилиндровой груп</w:t>
      </w:r>
      <w:r w:rsidRPr="00F90EAE">
        <w:rPr>
          <w:color w:val="000000" w:themeColor="text1"/>
          <w:sz w:val="16"/>
          <w:szCs w:val="16"/>
        </w:rPr>
        <w:softHyphen/>
        <w:t>пы.</w:t>
      </w:r>
    </w:p>
    <w:p w14:paraId="3D6381B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Контрольное испытание 6-ти мо</w:t>
      </w:r>
      <w:r w:rsidRPr="00F90EAE">
        <w:rPr>
          <w:color w:val="000000" w:themeColor="text1"/>
          <w:sz w:val="16"/>
          <w:szCs w:val="16"/>
        </w:rPr>
        <w:softHyphen/>
        <w:t>торов АШ-82ФН без дефлекторов обдува переднего ряда цилиндров.</w:t>
      </w:r>
    </w:p>
    <w:p w14:paraId="2D7487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неудовлетворительный. Два мотора снято с испытания по дым</w:t>
      </w:r>
      <w:r w:rsidRPr="00F90EAE">
        <w:rPr>
          <w:color w:val="000000" w:themeColor="text1"/>
          <w:sz w:val="16"/>
          <w:szCs w:val="16"/>
        </w:rPr>
        <w:softHyphen/>
        <w:t>лению цилиндров.</w:t>
      </w:r>
    </w:p>
    <w:p w14:paraId="6A8A9C0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По вопросу влияния на износ и дымление цилиндров осей отверстий в главном шатуне под пальцы при</w:t>
      </w:r>
      <w:r w:rsidRPr="00F90EAE">
        <w:rPr>
          <w:color w:val="000000" w:themeColor="text1"/>
          <w:sz w:val="16"/>
          <w:szCs w:val="16"/>
        </w:rPr>
        <w:softHyphen/>
        <w:t>цепных шатунов и перекоса фланца крепления цилиндра к рабочей по</w:t>
      </w:r>
      <w:r w:rsidRPr="00F90EAE">
        <w:rPr>
          <w:color w:val="000000" w:themeColor="text1"/>
          <w:sz w:val="16"/>
          <w:szCs w:val="16"/>
        </w:rPr>
        <w:softHyphen/>
        <w:t>верхности было проделано:</w:t>
      </w:r>
    </w:p>
    <w:p w14:paraId="6290F9E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У 10-ти цилиндров, имеющих ус</w:t>
      </w:r>
      <w:r w:rsidRPr="00F90EAE">
        <w:rPr>
          <w:color w:val="000000" w:themeColor="text1"/>
          <w:sz w:val="16"/>
          <w:szCs w:val="16"/>
        </w:rPr>
        <w:softHyphen/>
        <w:t>тупчатую выработку на рабочей по</w:t>
      </w:r>
      <w:r w:rsidRPr="00F90EAE">
        <w:rPr>
          <w:color w:val="000000" w:themeColor="text1"/>
          <w:sz w:val="16"/>
          <w:szCs w:val="16"/>
        </w:rPr>
        <w:softHyphen/>
        <w:t>верхности и у 10-ти цилиндров, вновь изготовленных, была замерена вели</w:t>
      </w:r>
      <w:r w:rsidRPr="00F90EAE">
        <w:rPr>
          <w:color w:val="000000" w:themeColor="text1"/>
          <w:sz w:val="16"/>
          <w:szCs w:val="16"/>
        </w:rPr>
        <w:softHyphen/>
        <w:t>чина неперпендикулярности плоско</w:t>
      </w:r>
      <w:r w:rsidRPr="00F90EAE">
        <w:rPr>
          <w:color w:val="000000" w:themeColor="text1"/>
          <w:sz w:val="16"/>
          <w:szCs w:val="16"/>
        </w:rPr>
        <w:softHyphen/>
        <w:t>сти фланца к рабочей поверхности.</w:t>
      </w:r>
    </w:p>
    <w:p w14:paraId="6ED118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этой проверки уста</w:t>
      </w:r>
      <w:r w:rsidRPr="00F90EAE">
        <w:rPr>
          <w:color w:val="000000" w:themeColor="text1"/>
          <w:sz w:val="16"/>
          <w:szCs w:val="16"/>
        </w:rPr>
        <w:softHyphen/>
        <w:t>новлено, что на большинстве цилинд</w:t>
      </w:r>
      <w:r w:rsidRPr="00F90EAE">
        <w:rPr>
          <w:color w:val="000000" w:themeColor="text1"/>
          <w:sz w:val="16"/>
          <w:szCs w:val="16"/>
        </w:rPr>
        <w:softHyphen/>
        <w:t>ров величина неперпендикулярности плоскости фланца к зеркалу, по срав</w:t>
      </w:r>
      <w:r w:rsidRPr="00F90EAE">
        <w:rPr>
          <w:color w:val="000000" w:themeColor="text1"/>
          <w:sz w:val="16"/>
          <w:szCs w:val="16"/>
        </w:rPr>
        <w:softHyphen/>
        <w:t>нению с чертежом, значительно за</w:t>
      </w:r>
      <w:r w:rsidRPr="00F90EAE">
        <w:rPr>
          <w:color w:val="000000" w:themeColor="text1"/>
          <w:sz w:val="16"/>
          <w:szCs w:val="16"/>
        </w:rPr>
        <w:softHyphen/>
        <w:t>вышена и на отдельных цилиндрах вместо 0,05 мм составляет 0,1-0,14 мм.</w:t>
      </w:r>
    </w:p>
    <w:p w14:paraId="66A77AB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Иной же связи между завышен ной неперпендикулярностью фланца к зеркалу и уступчатой выработкой в данном случае не обнаружено.</w:t>
      </w:r>
    </w:p>
    <w:p w14:paraId="421B9F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Проведено контрольное испыта</w:t>
      </w:r>
      <w:r w:rsidRPr="00F90EAE">
        <w:rPr>
          <w:color w:val="000000" w:themeColor="text1"/>
          <w:sz w:val="16"/>
          <w:szCs w:val="16"/>
        </w:rPr>
        <w:softHyphen/>
        <w:t>ние 39 моторов АШ-82ФН с завы</w:t>
      </w:r>
      <w:r w:rsidRPr="00F90EAE">
        <w:rPr>
          <w:color w:val="000000" w:themeColor="text1"/>
          <w:sz w:val="16"/>
          <w:szCs w:val="16"/>
        </w:rPr>
        <w:softHyphen/>
        <w:t>шенным против чертежа перекосом осей отверстий в главном шатуне под пальцы прицепных шатунов.</w:t>
      </w:r>
    </w:p>
    <w:p w14:paraId="38CEC68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многих случаях перекос осей отверстий вместо 0,07 мм достигал от 0, 1 до 0,2 мм.</w:t>
      </w:r>
    </w:p>
    <w:p w14:paraId="6FA30C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испытания непосред</w:t>
      </w:r>
      <w:r w:rsidRPr="00F90EAE">
        <w:rPr>
          <w:color w:val="000000" w:themeColor="text1"/>
          <w:sz w:val="16"/>
          <w:szCs w:val="16"/>
        </w:rPr>
        <w:softHyphen/>
        <w:t>ственной связи дефектов дымления цилиндров и уступчатого износа с завышенными перекосами осей от</w:t>
      </w:r>
      <w:r w:rsidRPr="00F90EAE">
        <w:rPr>
          <w:color w:val="000000" w:themeColor="text1"/>
          <w:sz w:val="16"/>
          <w:szCs w:val="16"/>
        </w:rPr>
        <w:softHyphen/>
        <w:t>верстий в главном шатуне под паль</w:t>
      </w:r>
      <w:r w:rsidRPr="00F90EAE">
        <w:rPr>
          <w:color w:val="000000" w:themeColor="text1"/>
          <w:sz w:val="16"/>
          <w:szCs w:val="16"/>
        </w:rPr>
        <w:softHyphen/>
        <w:t>цы прицепных шатунов не установле</w:t>
      </w:r>
      <w:r w:rsidRPr="00F90EAE">
        <w:rPr>
          <w:color w:val="000000" w:themeColor="text1"/>
          <w:sz w:val="16"/>
          <w:szCs w:val="16"/>
        </w:rPr>
        <w:softHyphen/>
        <w:t>но.</w:t>
      </w:r>
    </w:p>
    <w:p w14:paraId="5D1C99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за время испытания было снято по дымлению цилиндров 4 мо</w:t>
      </w:r>
      <w:r w:rsidRPr="00F90EAE">
        <w:rPr>
          <w:color w:val="000000" w:themeColor="text1"/>
          <w:sz w:val="16"/>
          <w:szCs w:val="16"/>
        </w:rPr>
        <w:softHyphen/>
        <w:t>тора с общим количеством дымящих цилиндров 13 штук. Все эти цилинд</w:t>
      </w:r>
      <w:r w:rsidRPr="00F90EAE">
        <w:rPr>
          <w:color w:val="000000" w:themeColor="text1"/>
          <w:sz w:val="16"/>
          <w:szCs w:val="16"/>
        </w:rPr>
        <w:softHyphen/>
        <w:t>ры оказались в удовлетворительном состоянии, несмотря на то, что в трех из них стояли прицепные шатуны с завышенным перекосом.</w:t>
      </w:r>
    </w:p>
    <w:p w14:paraId="2D38C88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Для исследования влияния на образование уступчатой выработки осушающего действия маслосборных колец проведено контрольное испы</w:t>
      </w:r>
      <w:r w:rsidRPr="00F90EAE">
        <w:rPr>
          <w:color w:val="000000" w:themeColor="text1"/>
          <w:sz w:val="16"/>
          <w:szCs w:val="16"/>
        </w:rPr>
        <w:softHyphen/>
        <w:t>тание 25-ти моторов АШ-82ФН с маслосборными кольцами, имеющими глубину торцевых выемок для сброса масла, уменьшенную на 0,1 мм.</w:t>
      </w:r>
    </w:p>
    <w:p w14:paraId="7672538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неудовлетво</w:t>
      </w:r>
      <w:r w:rsidRPr="00F90EAE">
        <w:rPr>
          <w:color w:val="000000" w:themeColor="text1"/>
          <w:sz w:val="16"/>
          <w:szCs w:val="16"/>
        </w:rPr>
        <w:softHyphen/>
        <w:t>рительный. Из 25-ти моторов снято по дымлению цилиндров 5 шт., на 6-ти из числа дымящих цилиндров об</w:t>
      </w:r>
      <w:r w:rsidRPr="00F90EAE">
        <w:rPr>
          <w:color w:val="000000" w:themeColor="text1"/>
          <w:sz w:val="16"/>
          <w:szCs w:val="16"/>
        </w:rPr>
        <w:softHyphen/>
        <w:t>наружен кольцевой износ.</w:t>
      </w:r>
    </w:p>
    <w:p w14:paraId="1AFC97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 Возможность возникновения уступчатой выработки в зависимости от повышенного разжижения масла бензином была проверена анализом масла, взятого с 11 моторов, имевших дымление цилиндров, и 4-х моторов, работавших нормально.</w:t>
      </w:r>
    </w:p>
    <w:p w14:paraId="675486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Пробы масла брались при работе на режиме номинала из крана сли</w:t>
      </w:r>
      <w:r w:rsidRPr="00F90EAE">
        <w:rPr>
          <w:color w:val="000000" w:themeColor="text1"/>
          <w:sz w:val="16"/>
          <w:szCs w:val="16"/>
        </w:rPr>
        <w:softHyphen/>
        <w:t>ва магистрали у сетчатого фильтра.</w:t>
      </w:r>
    </w:p>
    <w:p w14:paraId="30B963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анализа: в масле, ото</w:t>
      </w:r>
      <w:r w:rsidRPr="00F90EAE">
        <w:rPr>
          <w:color w:val="000000" w:themeColor="text1"/>
          <w:sz w:val="16"/>
          <w:szCs w:val="16"/>
        </w:rPr>
        <w:softHyphen/>
        <w:t>бранном из магистрали дымивших моторов, содержалось в среднем от 2,2 до 3% бензина и только на одном моторе эта величина составила 4,4%. В масле удовлетворительно работав</w:t>
      </w:r>
      <w:r w:rsidRPr="00F90EAE">
        <w:rPr>
          <w:color w:val="000000" w:themeColor="text1"/>
          <w:sz w:val="16"/>
          <w:szCs w:val="16"/>
        </w:rPr>
        <w:softHyphen/>
        <w:t>ших моторов содержание бензина было несколько ниже: в 3-х случаях от 1,2 до 1,7% и в одном случае 2,45%.</w:t>
      </w:r>
    </w:p>
    <w:p w14:paraId="5330AE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 видно из приведенных цифр, разжижение масла не отличается от разжижения, наблюдаемого на удов</w:t>
      </w:r>
      <w:r w:rsidRPr="00F90EAE">
        <w:rPr>
          <w:color w:val="000000" w:themeColor="text1"/>
          <w:sz w:val="16"/>
          <w:szCs w:val="16"/>
        </w:rPr>
        <w:softHyphen/>
        <w:t>летворительно работающих моторах.</w:t>
      </w:r>
    </w:p>
    <w:p w14:paraId="0D95AF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Для проверки предположения причины выявления дымления цилин</w:t>
      </w:r>
      <w:r w:rsidRPr="00F90EAE">
        <w:rPr>
          <w:color w:val="000000" w:themeColor="text1"/>
          <w:sz w:val="16"/>
          <w:szCs w:val="16"/>
        </w:rPr>
        <w:softHyphen/>
        <w:t>дров в том случае, когда на рабочей поверхности их отсутствует чрезмер</w:t>
      </w:r>
      <w:r w:rsidRPr="00F90EAE">
        <w:rPr>
          <w:color w:val="000000" w:themeColor="text1"/>
          <w:sz w:val="16"/>
          <w:szCs w:val="16"/>
        </w:rPr>
        <w:softHyphen/>
        <w:t>ный износ или уступчатая выработка, от неравномерной затяжки цилинд</w:t>
      </w:r>
      <w:r w:rsidRPr="00F90EAE">
        <w:rPr>
          <w:color w:val="000000" w:themeColor="text1"/>
          <w:sz w:val="16"/>
          <w:szCs w:val="16"/>
        </w:rPr>
        <w:softHyphen/>
        <w:t>ровых гаек, вызывающей деформацию</w:t>
      </w:r>
    </w:p>
    <w:p w14:paraId="4272684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нижнего участка гильзы цилиндра, был проведен опыт следующего содержа</w:t>
      </w:r>
      <w:r w:rsidRPr="00F90EAE">
        <w:rPr>
          <w:color w:val="000000" w:themeColor="text1"/>
          <w:sz w:val="16"/>
          <w:szCs w:val="16"/>
        </w:rPr>
        <w:softHyphen/>
        <w:t>ния:</w:t>
      </w:r>
    </w:p>
    <w:p w14:paraId="3A1811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одном из контрольных моторов АШ-82ФН, на котором было отмече</w:t>
      </w:r>
      <w:r w:rsidRPr="00F90EAE">
        <w:rPr>
          <w:color w:val="000000" w:themeColor="text1"/>
          <w:sz w:val="16"/>
          <w:szCs w:val="16"/>
        </w:rPr>
        <w:softHyphen/>
        <w:t>но дымление цилиндров №№ 3, 4, 5 и 6, после предварительного осмотра их электролампочкой через свечное от</w:t>
      </w:r>
      <w:r w:rsidRPr="00F90EAE">
        <w:rPr>
          <w:color w:val="000000" w:themeColor="text1"/>
          <w:sz w:val="16"/>
          <w:szCs w:val="16"/>
        </w:rPr>
        <w:softHyphen/>
        <w:t>верстие, была произведена перетяж</w:t>
      </w:r>
      <w:r w:rsidRPr="00F90EAE">
        <w:rPr>
          <w:color w:val="000000" w:themeColor="text1"/>
          <w:sz w:val="16"/>
          <w:szCs w:val="16"/>
        </w:rPr>
        <w:softHyphen/>
        <w:t>ка цилиндровых гаек и мотор вновь отправлен на испытание. При повтор</w:t>
      </w:r>
      <w:r w:rsidRPr="00F90EAE">
        <w:rPr>
          <w:color w:val="000000" w:themeColor="text1"/>
          <w:sz w:val="16"/>
          <w:szCs w:val="16"/>
        </w:rPr>
        <w:softHyphen/>
        <w:t>ном испытании на моторе было от</w:t>
      </w:r>
      <w:r w:rsidRPr="00F90EAE">
        <w:rPr>
          <w:color w:val="000000" w:themeColor="text1"/>
          <w:sz w:val="16"/>
          <w:szCs w:val="16"/>
        </w:rPr>
        <w:softHyphen/>
        <w:t>мечено дымление у цилиндров №№ 2, 3, 4 и 7, а ранее дымившие цилинд</w:t>
      </w:r>
      <w:r w:rsidRPr="00F90EAE">
        <w:rPr>
          <w:color w:val="000000" w:themeColor="text1"/>
          <w:sz w:val="16"/>
          <w:szCs w:val="16"/>
        </w:rPr>
        <w:softHyphen/>
        <w:t>ры №№ 5 и 6 работали нормально. После вскрытия дымивших цилиндров, в цилиндре № 4 обнаружен значи</w:t>
      </w:r>
      <w:r w:rsidRPr="00F90EAE">
        <w:rPr>
          <w:color w:val="000000" w:themeColor="text1"/>
          <w:sz w:val="16"/>
          <w:szCs w:val="16"/>
        </w:rPr>
        <w:softHyphen/>
        <w:t>тельный уступ.</w:t>
      </w:r>
    </w:p>
    <w:p w14:paraId="48592A2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Восстановление нормальной рабо</w:t>
      </w:r>
      <w:r w:rsidRPr="00F90EAE">
        <w:rPr>
          <w:color w:val="000000" w:themeColor="text1"/>
          <w:sz w:val="16"/>
          <w:szCs w:val="16"/>
        </w:rPr>
        <w:softHyphen/>
        <w:t>ты цилиндрами №№ 5 и 6 после пе</w:t>
      </w:r>
      <w:r w:rsidRPr="00F90EAE">
        <w:rPr>
          <w:color w:val="000000" w:themeColor="text1"/>
          <w:sz w:val="16"/>
          <w:szCs w:val="16"/>
        </w:rPr>
        <w:softHyphen/>
        <w:t>ретяжки гаек их крепления говорит о том, что отдельные случаи плохой ра</w:t>
      </w:r>
      <w:r w:rsidRPr="00F90EAE">
        <w:rPr>
          <w:color w:val="000000" w:themeColor="text1"/>
          <w:sz w:val="16"/>
          <w:szCs w:val="16"/>
        </w:rPr>
        <w:softHyphen/>
        <w:t>боты цилиндров по вышеуказанной причине вполне возможны.</w:t>
      </w:r>
    </w:p>
    <w:p w14:paraId="1FB2AC0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Для определения зависимости износоустойчивости рабочей повер</w:t>
      </w:r>
      <w:r w:rsidRPr="00F90EAE">
        <w:rPr>
          <w:color w:val="000000" w:themeColor="text1"/>
          <w:sz w:val="16"/>
          <w:szCs w:val="16"/>
        </w:rPr>
        <w:softHyphen/>
        <w:t>хности цилиндров и возможности воз</w:t>
      </w:r>
      <w:r w:rsidRPr="00F90EAE">
        <w:rPr>
          <w:color w:val="000000" w:themeColor="text1"/>
          <w:sz w:val="16"/>
          <w:szCs w:val="16"/>
        </w:rPr>
        <w:softHyphen/>
        <w:t>никновения на ней уступчатой выра</w:t>
      </w:r>
      <w:r w:rsidRPr="00F90EAE">
        <w:rPr>
          <w:color w:val="000000" w:themeColor="text1"/>
          <w:sz w:val="16"/>
          <w:szCs w:val="16"/>
        </w:rPr>
        <w:softHyphen/>
        <w:t>ботки от конструкции газоуплотни-тельных колец (особенно 1-го) и раз</w:t>
      </w:r>
      <w:r w:rsidRPr="00F90EAE">
        <w:rPr>
          <w:color w:val="000000" w:themeColor="text1"/>
          <w:sz w:val="16"/>
          <w:szCs w:val="16"/>
        </w:rPr>
        <w:softHyphen/>
        <w:t>личных антифрикционных покрытий рабочей образующей этих колец, были проведены следующие испытания:</w:t>
      </w:r>
    </w:p>
    <w:p w14:paraId="247D5E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Контрольное испытание 16 мо</w:t>
      </w:r>
      <w:r w:rsidRPr="00F90EAE">
        <w:rPr>
          <w:color w:val="000000" w:themeColor="text1"/>
          <w:sz w:val="16"/>
          <w:szCs w:val="16"/>
        </w:rPr>
        <w:softHyphen/>
        <w:t>торов АШ-82ФН с постановкой в первую канавку поршней уплотнитель-ного кольца с цилиндрической обра</w:t>
      </w:r>
      <w:r w:rsidRPr="00F90EAE">
        <w:rPr>
          <w:color w:val="000000" w:themeColor="text1"/>
          <w:sz w:val="16"/>
          <w:szCs w:val="16"/>
        </w:rPr>
        <w:softHyphen/>
        <w:t>зующей вместо конусной образую</w:t>
      </w:r>
      <w:r w:rsidRPr="00F90EAE">
        <w:rPr>
          <w:color w:val="000000" w:themeColor="text1"/>
          <w:sz w:val="16"/>
          <w:szCs w:val="16"/>
        </w:rPr>
        <w:softHyphen/>
        <w:t>щей, присущей серийным газоуплот-нительным кольцам.</w:t>
      </w:r>
    </w:p>
    <w:p w14:paraId="78A61B8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постановка в первую канавку поршня уплотнитель-ного кольца с цилиндрической обра</w:t>
      </w:r>
      <w:r w:rsidRPr="00F90EAE">
        <w:rPr>
          <w:color w:val="000000" w:themeColor="text1"/>
          <w:sz w:val="16"/>
          <w:szCs w:val="16"/>
        </w:rPr>
        <w:softHyphen/>
        <w:t>зующей, при том же самом количе</w:t>
      </w:r>
      <w:r w:rsidRPr="00F90EAE">
        <w:rPr>
          <w:color w:val="000000" w:themeColor="text1"/>
          <w:sz w:val="16"/>
          <w:szCs w:val="16"/>
        </w:rPr>
        <w:softHyphen/>
        <w:t>стве снимаемых с испытания мото</w:t>
      </w:r>
      <w:r w:rsidRPr="00F90EAE">
        <w:rPr>
          <w:color w:val="000000" w:themeColor="text1"/>
          <w:sz w:val="16"/>
          <w:szCs w:val="16"/>
        </w:rPr>
        <w:softHyphen/>
        <w:t>ров по дымлению цилиндров, умень</w:t>
      </w:r>
      <w:r w:rsidRPr="00F90EAE">
        <w:rPr>
          <w:color w:val="000000" w:themeColor="text1"/>
          <w:sz w:val="16"/>
          <w:szCs w:val="16"/>
        </w:rPr>
        <w:softHyphen/>
        <w:t>шает вероятность образования на зеркале цилиндров уступчатой выра</w:t>
      </w:r>
      <w:r w:rsidRPr="00F90EAE">
        <w:rPr>
          <w:color w:val="000000" w:themeColor="text1"/>
          <w:sz w:val="16"/>
          <w:szCs w:val="16"/>
        </w:rPr>
        <w:softHyphen/>
        <w:t>ботки на 20-30%.</w:t>
      </w:r>
    </w:p>
    <w:p w14:paraId="177A7C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Контрольное испытание 17-ти моторов АШ-82ФН с постановкой в первую канавку поршней уплотнитель-ных колец с цилиндрической образу</w:t>
      </w:r>
      <w:r w:rsidRPr="00F90EAE">
        <w:rPr>
          <w:color w:val="000000" w:themeColor="text1"/>
          <w:sz w:val="16"/>
          <w:szCs w:val="16"/>
        </w:rPr>
        <w:softHyphen/>
        <w:t>ющей, и с целью достижения лучшей приработки этих колец, всеми прохо-нингованными перед постановкой на моторы цилиндрами.</w:t>
      </w:r>
    </w:p>
    <w:p w14:paraId="5111D8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удовлетворительный. Все моторы прошли испытание без де</w:t>
      </w:r>
      <w:r w:rsidRPr="00F90EAE">
        <w:rPr>
          <w:color w:val="000000" w:themeColor="text1"/>
          <w:sz w:val="16"/>
          <w:szCs w:val="16"/>
        </w:rPr>
        <w:softHyphen/>
        <w:t>фектов цилиндровой группы.</w:t>
      </w:r>
    </w:p>
    <w:p w14:paraId="34B709A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Контрольное испытание 215 мо</w:t>
      </w:r>
      <w:r w:rsidRPr="00F90EAE">
        <w:rPr>
          <w:color w:val="000000" w:themeColor="text1"/>
          <w:sz w:val="16"/>
          <w:szCs w:val="16"/>
        </w:rPr>
        <w:softHyphen/>
        <w:t>торов с предварительно прохонинго-ванными цилиндрами переднего ряда и цилиндра № 11 заднего ряда, с по</w:t>
      </w:r>
      <w:r w:rsidRPr="00F90EAE">
        <w:rPr>
          <w:color w:val="000000" w:themeColor="text1"/>
          <w:sz w:val="16"/>
          <w:szCs w:val="16"/>
        </w:rPr>
        <w:softHyphen/>
        <w:t>становкой в первую канавку порш</w:t>
      </w:r>
      <w:r w:rsidRPr="00F90EAE">
        <w:rPr>
          <w:color w:val="000000" w:themeColor="text1"/>
          <w:sz w:val="16"/>
          <w:szCs w:val="16"/>
        </w:rPr>
        <w:softHyphen/>
        <w:t>ней этих цилиндров газоуплотнитель-ных колец с цилиндрической образу</w:t>
      </w:r>
      <w:r w:rsidRPr="00F90EAE">
        <w:rPr>
          <w:color w:val="000000" w:themeColor="text1"/>
          <w:sz w:val="16"/>
          <w:szCs w:val="16"/>
        </w:rPr>
        <w:softHyphen/>
        <w:t>ющей.</w:t>
      </w:r>
    </w:p>
    <w:p w14:paraId="6CF991E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w:t>
      </w:r>
    </w:p>
    <w:p w14:paraId="3D5EFCA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230-ти поставленных на испы-</w:t>
      </w:r>
    </w:p>
    <w:p w14:paraId="00101D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тание моторов снято по дымлению цилиндров 24 мотора (11 %).</w:t>
      </w:r>
    </w:p>
    <w:p w14:paraId="054257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осмотре из числа дымивших цилиндров с уступчатой выработкой было обнаружено только 3 цилиндра на 3-х моторах, все же остальные ци</w:t>
      </w:r>
      <w:r w:rsidRPr="00F90EAE">
        <w:rPr>
          <w:color w:val="000000" w:themeColor="text1"/>
          <w:sz w:val="16"/>
          <w:szCs w:val="16"/>
        </w:rPr>
        <w:softHyphen/>
        <w:t>линдры находились в удовлетворитель</w:t>
      </w:r>
      <w:r w:rsidRPr="00F90EAE">
        <w:rPr>
          <w:color w:val="000000" w:themeColor="text1"/>
          <w:sz w:val="16"/>
          <w:szCs w:val="16"/>
        </w:rPr>
        <w:softHyphen/>
        <w:t>ном состоянии.</w:t>
      </w:r>
    </w:p>
    <w:p w14:paraId="5D2AE6E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ПРИМЕЧАНИЕ: В случае съема моторов по дымлению цилиндров, со</w:t>
      </w:r>
      <w:r w:rsidRPr="00F90EAE">
        <w:rPr>
          <w:color w:val="000000" w:themeColor="text1"/>
          <w:sz w:val="16"/>
          <w:szCs w:val="16"/>
        </w:rPr>
        <w:softHyphen/>
        <w:t>бранных на контрольное испытание с нехонингованными цилиндрами и уплотнительными поршневыми коль</w:t>
      </w:r>
      <w:r w:rsidRPr="00F90EAE">
        <w:rPr>
          <w:color w:val="000000" w:themeColor="text1"/>
          <w:sz w:val="16"/>
          <w:szCs w:val="16"/>
        </w:rPr>
        <w:softHyphen/>
        <w:t>цами с конусной образующей, цилин</w:t>
      </w:r>
      <w:r w:rsidRPr="00F90EAE">
        <w:rPr>
          <w:color w:val="000000" w:themeColor="text1"/>
          <w:sz w:val="16"/>
          <w:szCs w:val="16"/>
        </w:rPr>
        <w:softHyphen/>
        <w:t>дры с уступчатой выработкой обна</w:t>
      </w:r>
      <w:r w:rsidRPr="00F90EAE">
        <w:rPr>
          <w:color w:val="000000" w:themeColor="text1"/>
          <w:sz w:val="16"/>
          <w:szCs w:val="16"/>
        </w:rPr>
        <w:softHyphen/>
        <w:t>руживаются почти на каждом снятом моторе.</w:t>
      </w:r>
    </w:p>
    <w:p w14:paraId="51E9565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Контрольное испытание 22-х мо</w:t>
      </w:r>
      <w:r w:rsidRPr="00F90EAE">
        <w:rPr>
          <w:color w:val="000000" w:themeColor="text1"/>
          <w:sz w:val="16"/>
          <w:szCs w:val="16"/>
        </w:rPr>
        <w:softHyphen/>
        <w:t>торов АШ-82ФН с постановкой в первую канавку поршней газоуплот-нительных колец с закруглением ра</w:t>
      </w:r>
      <w:r w:rsidRPr="00F90EAE">
        <w:rPr>
          <w:color w:val="000000" w:themeColor="text1"/>
          <w:sz w:val="16"/>
          <w:szCs w:val="16"/>
        </w:rPr>
        <w:softHyphen/>
        <w:t>бочей кромки радиусом К 0,4ёО,6 мм вместо К 0,1 макс.</w:t>
      </w:r>
    </w:p>
    <w:p w14:paraId="7FA182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обеспечения лучшей прира</w:t>
      </w:r>
      <w:r w:rsidRPr="00F90EAE">
        <w:rPr>
          <w:color w:val="000000" w:themeColor="text1"/>
          <w:sz w:val="16"/>
          <w:szCs w:val="16"/>
        </w:rPr>
        <w:softHyphen/>
        <w:t>ботки этих колец к цилиндрам время приработки моторов перед конт</w:t>
      </w:r>
      <w:r w:rsidRPr="00F90EAE">
        <w:rPr>
          <w:color w:val="000000" w:themeColor="text1"/>
          <w:sz w:val="16"/>
          <w:szCs w:val="16"/>
        </w:rPr>
        <w:softHyphen/>
        <w:t>рольным испытанием было увеличено с 43 мин до 1 часа 35 мин.</w:t>
      </w:r>
    </w:p>
    <w:p w14:paraId="7207D72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w:t>
      </w:r>
    </w:p>
    <w:p w14:paraId="31D62C0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время испытания по дымлению цилиндров был снят только один мо</w:t>
      </w:r>
      <w:r w:rsidRPr="00F90EAE">
        <w:rPr>
          <w:color w:val="000000" w:themeColor="text1"/>
          <w:sz w:val="16"/>
          <w:szCs w:val="16"/>
        </w:rPr>
        <w:softHyphen/>
        <w:t>тор.</w:t>
      </w:r>
    </w:p>
    <w:p w14:paraId="006373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Несмотря на положительные ре</w:t>
      </w:r>
      <w:r w:rsidRPr="00F90EAE">
        <w:rPr>
          <w:color w:val="000000" w:themeColor="text1"/>
          <w:sz w:val="16"/>
          <w:szCs w:val="16"/>
        </w:rPr>
        <w:softHyphen/>
        <w:t>зультаты, полученные по работе этих колец, продолжение испытания их в более массовом масштабе не было осуществлено по причине трудностей правильного скругления радиуса ра</w:t>
      </w:r>
      <w:r w:rsidRPr="00F90EAE">
        <w:rPr>
          <w:color w:val="000000" w:themeColor="text1"/>
          <w:sz w:val="16"/>
          <w:szCs w:val="16"/>
        </w:rPr>
        <w:softHyphen/>
        <w:t>бочей кромки до величины 0,4ёО,6 и обеспечения его контролирования.</w:t>
      </w:r>
    </w:p>
    <w:p w14:paraId="02525AA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ТО десятичасовых испытаний на одноцилиндровой установке поршне</w:t>
      </w:r>
      <w:r w:rsidRPr="00F90EAE">
        <w:rPr>
          <w:color w:val="000000" w:themeColor="text1"/>
          <w:sz w:val="16"/>
          <w:szCs w:val="16"/>
        </w:rPr>
        <w:softHyphen/>
        <w:t>вых газоуплотнительных колец, хроми</w:t>
      </w:r>
      <w:r w:rsidRPr="00F90EAE">
        <w:rPr>
          <w:color w:val="000000" w:themeColor="text1"/>
          <w:sz w:val="16"/>
          <w:szCs w:val="16"/>
        </w:rPr>
        <w:softHyphen/>
        <w:t>рованных по образующей по 10 ва</w:t>
      </w:r>
      <w:r w:rsidRPr="00F90EAE">
        <w:rPr>
          <w:color w:val="000000" w:themeColor="text1"/>
          <w:sz w:val="16"/>
          <w:szCs w:val="16"/>
        </w:rPr>
        <w:softHyphen/>
        <w:t>риантам технологий.</w:t>
      </w:r>
    </w:p>
    <w:p w14:paraId="2C6D77A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случаях хромированию были подвергнуты кольца с конусной образующей (серийные).</w:t>
      </w:r>
    </w:p>
    <w:p w14:paraId="7E9399C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испытания установ</w:t>
      </w:r>
      <w:r w:rsidRPr="00F90EAE">
        <w:rPr>
          <w:color w:val="000000" w:themeColor="text1"/>
          <w:sz w:val="16"/>
          <w:szCs w:val="16"/>
        </w:rPr>
        <w:softHyphen/>
        <w:t>лено, что износ колец и цилиндров имеет связь с технологией хромиро</w:t>
      </w:r>
      <w:r w:rsidRPr="00F90EAE">
        <w:rPr>
          <w:color w:val="000000" w:themeColor="text1"/>
          <w:sz w:val="16"/>
          <w:szCs w:val="16"/>
        </w:rPr>
        <w:softHyphen/>
        <w:t>вания. Из 10-ти технологий выбраны 3, дающие наименьшие износы ко</w:t>
      </w:r>
      <w:r w:rsidRPr="00F90EAE">
        <w:rPr>
          <w:color w:val="000000" w:themeColor="text1"/>
          <w:sz w:val="16"/>
          <w:szCs w:val="16"/>
        </w:rPr>
        <w:softHyphen/>
        <w:t>лец и рабочей поверхности цилинд</w:t>
      </w:r>
      <w:r w:rsidRPr="00F90EAE">
        <w:rPr>
          <w:color w:val="000000" w:themeColor="text1"/>
          <w:sz w:val="16"/>
          <w:szCs w:val="16"/>
        </w:rPr>
        <w:softHyphen/>
        <w:t>ров. Общий износ цилиндров при работе в паре с хромированным коль</w:t>
      </w:r>
      <w:r w:rsidRPr="00F90EAE">
        <w:rPr>
          <w:color w:val="000000" w:themeColor="text1"/>
          <w:sz w:val="16"/>
          <w:szCs w:val="16"/>
        </w:rPr>
        <w:softHyphen/>
        <w:t>цом уменьшается на 20-25%. Кроме того, значительно улучшается работа 2-го и 3-го кольца и повышается стой</w:t>
      </w:r>
      <w:r w:rsidRPr="00F90EAE">
        <w:rPr>
          <w:color w:val="000000" w:themeColor="text1"/>
          <w:sz w:val="16"/>
          <w:szCs w:val="16"/>
        </w:rPr>
        <w:softHyphen/>
        <w:t>кость поршня к задиру.</w:t>
      </w:r>
    </w:p>
    <w:p w14:paraId="7F7FE8C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 10-ти часовое повторное испы</w:t>
      </w:r>
      <w:r w:rsidRPr="00F90EAE">
        <w:rPr>
          <w:color w:val="000000" w:themeColor="text1"/>
          <w:sz w:val="16"/>
          <w:szCs w:val="16"/>
        </w:rPr>
        <w:softHyphen/>
        <w:t>тание 3-х вариантов поршневых га</w:t>
      </w:r>
      <w:r w:rsidRPr="00F90EAE">
        <w:rPr>
          <w:color w:val="000000" w:themeColor="text1"/>
          <w:sz w:val="16"/>
          <w:szCs w:val="16"/>
        </w:rPr>
        <w:softHyphen/>
        <w:t>зоуплотнительных колец с конусной образующей по трем вариантам тех-нолигии (5-й, 6-й и 8-й).</w:t>
      </w:r>
    </w:p>
    <w:p w14:paraId="691235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испытаний удовлетвори</w:t>
      </w:r>
      <w:r w:rsidRPr="00F90EAE">
        <w:rPr>
          <w:color w:val="000000" w:themeColor="text1"/>
          <w:sz w:val="16"/>
          <w:szCs w:val="16"/>
        </w:rPr>
        <w:softHyphen/>
        <w:t>тельный. Износы цилиндров не пре</w:t>
      </w:r>
      <w:r w:rsidRPr="00F90EAE">
        <w:rPr>
          <w:color w:val="000000" w:themeColor="text1"/>
          <w:sz w:val="16"/>
          <w:szCs w:val="16"/>
        </w:rPr>
        <w:softHyphen/>
        <w:t>вышают 0,04ёО,06 мм. Кольца в хо</w:t>
      </w:r>
      <w:r w:rsidRPr="00F90EAE">
        <w:rPr>
          <w:color w:val="000000" w:themeColor="text1"/>
          <w:sz w:val="16"/>
          <w:szCs w:val="16"/>
        </w:rPr>
        <w:softHyphen/>
        <w:t>рошем состоянии. Из 3-х технологий лучшей оказалась технология № 5.</w:t>
      </w:r>
    </w:p>
    <w:p w14:paraId="7AA59C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ж) Сдаточное испытание 18 мото ров АШ-82ФН с постановкой на все поршни в первую канавку газоуплот-нительных колец, хромированных по об</w:t>
      </w:r>
      <w:r w:rsidRPr="00F90EAE">
        <w:rPr>
          <w:color w:val="000000" w:themeColor="text1"/>
          <w:sz w:val="16"/>
          <w:szCs w:val="16"/>
        </w:rPr>
        <w:softHyphen/>
        <w:t>разующей по лучшему варианту тех</w:t>
      </w:r>
      <w:r w:rsidRPr="00F90EAE">
        <w:rPr>
          <w:color w:val="000000" w:themeColor="text1"/>
          <w:sz w:val="16"/>
          <w:szCs w:val="16"/>
        </w:rPr>
        <w:softHyphen/>
        <w:t>нологии (№ 5).</w:t>
      </w:r>
    </w:p>
    <w:p w14:paraId="3E7D8DA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неудовлетво</w:t>
      </w:r>
      <w:r w:rsidRPr="00F90EAE">
        <w:rPr>
          <w:color w:val="000000" w:themeColor="text1"/>
          <w:sz w:val="16"/>
          <w:szCs w:val="16"/>
        </w:rPr>
        <w:softHyphen/>
        <w:t>рительный: по причине недостаточного скругления рабочих кромок после хромирования, а также и несовершен</w:t>
      </w:r>
      <w:r w:rsidRPr="00F90EAE">
        <w:rPr>
          <w:color w:val="000000" w:themeColor="text1"/>
          <w:sz w:val="16"/>
          <w:szCs w:val="16"/>
        </w:rPr>
        <w:softHyphen/>
        <w:t>ства технологии хромирования, обна</w:t>
      </w:r>
      <w:r w:rsidRPr="00F90EAE">
        <w:rPr>
          <w:color w:val="000000" w:themeColor="text1"/>
          <w:sz w:val="16"/>
          <w:szCs w:val="16"/>
        </w:rPr>
        <w:softHyphen/>
        <w:t>ружена неравномерная приработка и скалывание хрома.</w:t>
      </w:r>
    </w:p>
    <w:p w14:paraId="71B06BE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Продолжаются дальнейшие рабо</w:t>
      </w:r>
      <w:r w:rsidRPr="00F90EAE">
        <w:rPr>
          <w:color w:val="000000" w:themeColor="text1"/>
          <w:sz w:val="16"/>
          <w:szCs w:val="16"/>
        </w:rPr>
        <w:softHyphen/>
        <w:t>ты по усовершенствованию конструк</w:t>
      </w:r>
      <w:r w:rsidRPr="00F90EAE">
        <w:rPr>
          <w:color w:val="000000" w:themeColor="text1"/>
          <w:sz w:val="16"/>
          <w:szCs w:val="16"/>
        </w:rPr>
        <w:softHyphen/>
        <w:t>ции кольца и технологии хромирова</w:t>
      </w:r>
      <w:r w:rsidRPr="00F90EAE">
        <w:rPr>
          <w:color w:val="000000" w:themeColor="text1"/>
          <w:sz w:val="16"/>
          <w:szCs w:val="16"/>
        </w:rPr>
        <w:softHyphen/>
        <w:t>ния.</w:t>
      </w:r>
    </w:p>
    <w:p w14:paraId="182953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 10-ти часовое испытание на од</w:t>
      </w:r>
      <w:r w:rsidRPr="00F90EAE">
        <w:rPr>
          <w:color w:val="000000" w:themeColor="text1"/>
          <w:sz w:val="16"/>
          <w:szCs w:val="16"/>
        </w:rPr>
        <w:softHyphen/>
        <w:t>ноцилиндровой установке хромиро</w:t>
      </w:r>
      <w:r w:rsidRPr="00F90EAE">
        <w:rPr>
          <w:color w:val="000000" w:themeColor="text1"/>
          <w:sz w:val="16"/>
          <w:szCs w:val="16"/>
        </w:rPr>
        <w:softHyphen/>
        <w:t>ванного газоуплотнительного кольца с цилиндрической образующей. Хроми</w:t>
      </w:r>
      <w:r w:rsidRPr="00F90EAE">
        <w:rPr>
          <w:color w:val="000000" w:themeColor="text1"/>
          <w:sz w:val="16"/>
          <w:szCs w:val="16"/>
        </w:rPr>
        <w:softHyphen/>
        <w:t>рование производилось по варианту лучшей технологии.</w:t>
      </w:r>
    </w:p>
    <w:p w14:paraId="047A8DD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Результаты испытания удовлетвори</w:t>
      </w:r>
      <w:r w:rsidRPr="00F90EAE">
        <w:rPr>
          <w:color w:val="000000" w:themeColor="text1"/>
          <w:sz w:val="16"/>
          <w:szCs w:val="16"/>
        </w:rPr>
        <w:softHyphen/>
        <w:t>тельные. Состояние поршневых колец хорошее, а максимальный износ ци</w:t>
      </w:r>
      <w:r w:rsidRPr="00F90EAE">
        <w:rPr>
          <w:color w:val="000000" w:themeColor="text1"/>
          <w:sz w:val="16"/>
          <w:szCs w:val="16"/>
        </w:rPr>
        <w:softHyphen/>
        <w:t>линдра не превышает 0,035 мм.</w:t>
      </w:r>
    </w:p>
    <w:p w14:paraId="6C9FA9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Сдаточное и контрольное испы</w:t>
      </w:r>
      <w:r w:rsidRPr="00F90EAE">
        <w:rPr>
          <w:color w:val="000000" w:themeColor="text1"/>
          <w:sz w:val="16"/>
          <w:szCs w:val="16"/>
        </w:rPr>
        <w:softHyphen/>
        <w:t>тание 11 моторов АШ-82ФН с по</w:t>
      </w:r>
      <w:r w:rsidRPr="00F90EAE">
        <w:rPr>
          <w:color w:val="000000" w:themeColor="text1"/>
          <w:sz w:val="16"/>
          <w:szCs w:val="16"/>
        </w:rPr>
        <w:softHyphen/>
        <w:t>становкой в первую канавку порш</w:t>
      </w:r>
      <w:r w:rsidRPr="00F90EAE">
        <w:rPr>
          <w:color w:val="000000" w:themeColor="text1"/>
          <w:sz w:val="16"/>
          <w:szCs w:val="16"/>
        </w:rPr>
        <w:softHyphen/>
        <w:t>ней хромированных газоуплотнитель-ных колец с цилиндрической образу</w:t>
      </w:r>
      <w:r w:rsidRPr="00F90EAE">
        <w:rPr>
          <w:color w:val="000000" w:themeColor="text1"/>
          <w:sz w:val="16"/>
          <w:szCs w:val="16"/>
        </w:rPr>
        <w:softHyphen/>
        <w:t>ющей. После хромирования для уда</w:t>
      </w:r>
      <w:r w:rsidRPr="00F90EAE">
        <w:rPr>
          <w:color w:val="000000" w:themeColor="text1"/>
          <w:sz w:val="16"/>
          <w:szCs w:val="16"/>
        </w:rPr>
        <w:softHyphen/>
        <w:t>ления наплыва хрома с боковых гор</w:t>
      </w:r>
      <w:r w:rsidRPr="00F90EAE">
        <w:rPr>
          <w:color w:val="000000" w:themeColor="text1"/>
          <w:sz w:val="16"/>
          <w:szCs w:val="16"/>
        </w:rPr>
        <w:softHyphen/>
        <w:t>цев кольца подвергались дополнитель</w:t>
      </w:r>
      <w:r w:rsidRPr="00F90EAE">
        <w:rPr>
          <w:color w:val="000000" w:themeColor="text1"/>
          <w:sz w:val="16"/>
          <w:szCs w:val="16"/>
        </w:rPr>
        <w:softHyphen/>
        <w:t>ному лапингованию и скруглению рабочих кромок.</w:t>
      </w:r>
    </w:p>
    <w:p w14:paraId="4446AD8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Результаты испытания: состояние колец и цилиндров после сдаточного испытания удовлетворительное.</w:t>
      </w:r>
    </w:p>
    <w:p w14:paraId="667B27E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Контрольное испытание все мото</w:t>
      </w:r>
      <w:r w:rsidRPr="00F90EAE">
        <w:rPr>
          <w:color w:val="000000" w:themeColor="text1"/>
          <w:sz w:val="16"/>
          <w:szCs w:val="16"/>
        </w:rPr>
        <w:softHyphen/>
        <w:t>ры прошли без дефектов поршневой группы.</w:t>
      </w:r>
    </w:p>
    <w:p w14:paraId="1DB75E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Помимо вышеуказанных в этом параграфе работ, на одноцилиндро</w:t>
      </w:r>
      <w:r w:rsidRPr="00F90EAE">
        <w:rPr>
          <w:color w:val="000000" w:themeColor="text1"/>
          <w:sz w:val="16"/>
          <w:szCs w:val="16"/>
        </w:rPr>
        <w:softHyphen/>
        <w:t>вой установке в течение 10 часов были испытаны:</w:t>
      </w:r>
    </w:p>
    <w:p w14:paraId="1EAF5A3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3 варианта освинцованных порш невых колец, графитированные коль</w:t>
      </w:r>
      <w:r w:rsidRPr="00F90EAE">
        <w:rPr>
          <w:color w:val="000000" w:themeColor="text1"/>
          <w:sz w:val="16"/>
          <w:szCs w:val="16"/>
        </w:rPr>
        <w:softHyphen/>
        <w:t>ца, кольца с фаской на рабочей кромке (по типу завода № 29) и кольца уве</w:t>
      </w:r>
      <w:r w:rsidRPr="00F90EAE">
        <w:rPr>
          <w:color w:val="000000" w:themeColor="text1"/>
          <w:sz w:val="16"/>
          <w:szCs w:val="16"/>
        </w:rPr>
        <w:softHyphen/>
        <w:t>личенного сечения (на 0,6 по толщи</w:t>
      </w:r>
      <w:r w:rsidRPr="00F90EAE">
        <w:rPr>
          <w:color w:val="000000" w:themeColor="text1"/>
          <w:sz w:val="16"/>
          <w:szCs w:val="16"/>
        </w:rPr>
        <w:softHyphen/>
        <w:t>не и 0,7 по ширине).</w:t>
      </w:r>
    </w:p>
    <w:p w14:paraId="4823B9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Полученный во всех случаях резуль</w:t>
      </w:r>
      <w:r w:rsidRPr="00F90EAE">
        <w:rPr>
          <w:color w:val="000000" w:themeColor="text1"/>
          <w:sz w:val="16"/>
          <w:szCs w:val="16"/>
        </w:rPr>
        <w:softHyphen/>
        <w:t>тат неудовлетворительный: значитель</w:t>
      </w:r>
      <w:r w:rsidRPr="00F90EAE">
        <w:rPr>
          <w:color w:val="000000" w:themeColor="text1"/>
          <w:sz w:val="16"/>
          <w:szCs w:val="16"/>
        </w:rPr>
        <w:softHyphen/>
        <w:t>но повышается износ гильз и колец.</w:t>
      </w:r>
    </w:p>
    <w:p w14:paraId="1D88C55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Вопрос создания профиля ра</w:t>
      </w:r>
      <w:r w:rsidRPr="00F90EAE">
        <w:rPr>
          <w:color w:val="000000" w:themeColor="text1"/>
          <w:sz w:val="16"/>
          <w:szCs w:val="16"/>
        </w:rPr>
        <w:softHyphen/>
        <w:t>бочей поверхности цилиндра, который в нагретом (рабочем) состоянии мак</w:t>
      </w:r>
      <w:r w:rsidRPr="00F90EAE">
        <w:rPr>
          <w:color w:val="000000" w:themeColor="text1"/>
          <w:sz w:val="16"/>
          <w:szCs w:val="16"/>
        </w:rPr>
        <w:softHyphen/>
        <w:t>симально соответствовал бы цилинд</w:t>
      </w:r>
      <w:r w:rsidRPr="00F90EAE">
        <w:rPr>
          <w:color w:val="000000" w:themeColor="text1"/>
          <w:sz w:val="16"/>
          <w:szCs w:val="16"/>
        </w:rPr>
        <w:softHyphen/>
        <w:t>рическому, начал занимать внимание конструкторов нашего завода еще в 1939 году, но тогда все начатые в этом направлении работы вследствие бы</w:t>
      </w:r>
      <w:r w:rsidRPr="00F90EAE">
        <w:rPr>
          <w:color w:val="000000" w:themeColor="text1"/>
          <w:sz w:val="16"/>
          <w:szCs w:val="16"/>
        </w:rPr>
        <w:softHyphen/>
        <w:t>строй смены серийных объектов ос</w:t>
      </w:r>
      <w:r w:rsidRPr="00F90EAE">
        <w:rPr>
          <w:color w:val="000000" w:themeColor="text1"/>
          <w:sz w:val="16"/>
          <w:szCs w:val="16"/>
        </w:rPr>
        <w:softHyphen/>
        <w:t>тались незаконченными. И только с начала 1943 года, после внедрение в серийное производство мощного мо</w:t>
      </w:r>
      <w:r w:rsidRPr="00F90EAE">
        <w:rPr>
          <w:color w:val="000000" w:themeColor="text1"/>
          <w:sz w:val="16"/>
          <w:szCs w:val="16"/>
        </w:rPr>
        <w:softHyphen/>
        <w:t>тора АШ-82ФН этот вопрос приоб</w:t>
      </w:r>
      <w:r w:rsidRPr="00F90EAE">
        <w:rPr>
          <w:color w:val="000000" w:themeColor="text1"/>
          <w:sz w:val="16"/>
          <w:szCs w:val="16"/>
        </w:rPr>
        <w:softHyphen/>
        <w:t>рел соответствующую остроту в свя</w:t>
      </w:r>
      <w:r w:rsidRPr="00F90EAE">
        <w:rPr>
          <w:color w:val="000000" w:themeColor="text1"/>
          <w:sz w:val="16"/>
          <w:szCs w:val="16"/>
        </w:rPr>
        <w:softHyphen/>
        <w:t>зи с наблюдавшимися на этих мото</w:t>
      </w:r>
      <w:r w:rsidRPr="00F90EAE">
        <w:rPr>
          <w:color w:val="000000" w:themeColor="text1"/>
          <w:sz w:val="16"/>
          <w:szCs w:val="16"/>
        </w:rPr>
        <w:softHyphen/>
        <w:t>рах дефектами преждевременного износа и уступчатой выработки ци</w:t>
      </w:r>
      <w:r w:rsidRPr="00F90EAE">
        <w:rPr>
          <w:color w:val="000000" w:themeColor="text1"/>
          <w:sz w:val="16"/>
          <w:szCs w:val="16"/>
        </w:rPr>
        <w:softHyphen/>
        <w:t>линдров.</w:t>
      </w:r>
    </w:p>
    <w:p w14:paraId="2306A86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1943 года после ряда проведен</w:t>
      </w:r>
      <w:r w:rsidRPr="00F90EAE">
        <w:rPr>
          <w:color w:val="000000" w:themeColor="text1"/>
          <w:sz w:val="16"/>
          <w:szCs w:val="16"/>
        </w:rPr>
        <w:softHyphen/>
        <w:t>ных кратковременных и длительных испытаний (в том числе 2-х испыта</w:t>
      </w:r>
      <w:r w:rsidRPr="00F90EAE">
        <w:rPr>
          <w:color w:val="000000" w:themeColor="text1"/>
          <w:sz w:val="16"/>
          <w:szCs w:val="16"/>
        </w:rPr>
        <w:softHyphen/>
        <w:t>ний по 150 часов) были отработаны для внедрения в серийное производ</w:t>
      </w:r>
      <w:r w:rsidRPr="00F90EAE">
        <w:rPr>
          <w:color w:val="000000" w:themeColor="text1"/>
          <w:sz w:val="16"/>
          <w:szCs w:val="16"/>
        </w:rPr>
        <w:softHyphen/>
        <w:t>ство цилиндры с параболическим про</w:t>
      </w:r>
      <w:r w:rsidRPr="00F90EAE">
        <w:rPr>
          <w:color w:val="000000" w:themeColor="text1"/>
          <w:sz w:val="16"/>
          <w:szCs w:val="16"/>
        </w:rPr>
        <w:softHyphen/>
        <w:t>филем рабочей поверхности в верх</w:t>
      </w:r>
      <w:r w:rsidRPr="00F90EAE">
        <w:rPr>
          <w:color w:val="000000" w:themeColor="text1"/>
          <w:sz w:val="16"/>
          <w:szCs w:val="16"/>
        </w:rPr>
        <w:softHyphen/>
        <w:t>ней части, обеспечивающим с рас</w:t>
      </w:r>
      <w:r w:rsidRPr="00F90EAE">
        <w:rPr>
          <w:color w:val="000000" w:themeColor="text1"/>
          <w:sz w:val="16"/>
          <w:szCs w:val="16"/>
        </w:rPr>
        <w:softHyphen/>
        <w:t>стояния 80-100 мм от верхнего торца гильзы плавное сужение верхнего от</w:t>
      </w:r>
      <w:r w:rsidRPr="00F90EAE">
        <w:rPr>
          <w:color w:val="000000" w:themeColor="text1"/>
          <w:sz w:val="16"/>
          <w:szCs w:val="16"/>
        </w:rPr>
        <w:softHyphen/>
        <w:t>верстия гильзы на 0,15ёО,25 мм.</w:t>
      </w:r>
    </w:p>
    <w:p w14:paraId="5177CB3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Такой профиль рабочей поверхно</w:t>
      </w:r>
      <w:r w:rsidRPr="00F90EAE">
        <w:rPr>
          <w:color w:val="000000" w:themeColor="text1"/>
          <w:sz w:val="16"/>
          <w:szCs w:val="16"/>
        </w:rPr>
        <w:softHyphen/>
        <w:t>сти приблизительно на половину уменьшал тепловой раструб в верх</w:t>
      </w:r>
      <w:r w:rsidRPr="00F90EAE">
        <w:rPr>
          <w:color w:val="000000" w:themeColor="text1"/>
          <w:sz w:val="16"/>
          <w:szCs w:val="16"/>
        </w:rPr>
        <w:softHyphen/>
        <w:t>ней части цилиндра (см. фиг. 3) и, по мнению конструкторов, должен был значительно уменьшить возможность образования на рабочей поверхнос</w:t>
      </w:r>
      <w:r w:rsidRPr="00F90EAE">
        <w:rPr>
          <w:color w:val="000000" w:themeColor="text1"/>
          <w:sz w:val="16"/>
          <w:szCs w:val="16"/>
        </w:rPr>
        <w:softHyphen/>
        <w:t>ти цилиндров уступчатой выработки и удлинить срок службы цилиндров за счет увеличивающейся в этом случае нормы износа до прежнего ре</w:t>
      </w:r>
      <w:r w:rsidRPr="00F90EAE">
        <w:rPr>
          <w:color w:val="000000" w:themeColor="text1"/>
          <w:sz w:val="16"/>
          <w:szCs w:val="16"/>
        </w:rPr>
        <w:softHyphen/>
        <w:t>монтного размера.</w:t>
      </w:r>
    </w:p>
    <w:p w14:paraId="7BBCD01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Внедрение в серийное производ</w:t>
      </w:r>
      <w:r w:rsidRPr="00F90EAE">
        <w:rPr>
          <w:color w:val="000000" w:themeColor="text1"/>
          <w:sz w:val="16"/>
          <w:szCs w:val="16"/>
        </w:rPr>
        <w:softHyphen/>
        <w:t>ство цилиндров с параболическим профилем зеркала было начато в феврале месяце 1945 года сборкой и испытанием одного-двух моторов в сутки.</w:t>
      </w:r>
    </w:p>
    <w:p w14:paraId="158879B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этот период было собрано и испытано около 70 моторов, из кото</w:t>
      </w:r>
      <w:r w:rsidRPr="00F90EAE">
        <w:rPr>
          <w:color w:val="000000" w:themeColor="text1"/>
          <w:sz w:val="16"/>
          <w:szCs w:val="16"/>
        </w:rPr>
        <w:softHyphen/>
        <w:t>рых по дымлению и уступчатой выра</w:t>
      </w:r>
      <w:r w:rsidRPr="00F90EAE">
        <w:rPr>
          <w:color w:val="000000" w:themeColor="text1"/>
          <w:sz w:val="16"/>
          <w:szCs w:val="16"/>
        </w:rPr>
        <w:softHyphen/>
        <w:t>ботке цилиндров было снято только 6 моторов.</w:t>
      </w:r>
    </w:p>
    <w:p w14:paraId="2FB16C1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Полный переход на такие цилинд</w:t>
      </w:r>
      <w:r w:rsidRPr="00F90EAE">
        <w:rPr>
          <w:color w:val="000000" w:themeColor="text1"/>
          <w:sz w:val="16"/>
          <w:szCs w:val="16"/>
        </w:rPr>
        <w:softHyphen/>
        <w:t>ры был осуществлен в конце апреля 1945 года вследствие резкого возра</w:t>
      </w:r>
      <w:r w:rsidRPr="00F90EAE">
        <w:rPr>
          <w:color w:val="000000" w:themeColor="text1"/>
          <w:sz w:val="16"/>
          <w:szCs w:val="16"/>
        </w:rPr>
        <w:softHyphen/>
        <w:t>стания, по причине указанных дефек</w:t>
      </w:r>
      <w:r w:rsidRPr="00F90EAE">
        <w:rPr>
          <w:color w:val="000000" w:themeColor="text1"/>
          <w:sz w:val="16"/>
          <w:szCs w:val="16"/>
        </w:rPr>
        <w:softHyphen/>
        <w:t>тов, съема с контрольного испытания моторов АШ-82ФН. Но этим постав</w:t>
      </w:r>
      <w:r w:rsidRPr="00F90EAE">
        <w:rPr>
          <w:color w:val="000000" w:themeColor="text1"/>
          <w:sz w:val="16"/>
          <w:szCs w:val="16"/>
        </w:rPr>
        <w:softHyphen/>
        <w:t>ленной цели достигнуть не удалось, так как дефект не только не снизил</w:t>
      </w:r>
      <w:r w:rsidRPr="00F90EAE">
        <w:rPr>
          <w:color w:val="000000" w:themeColor="text1"/>
          <w:sz w:val="16"/>
          <w:szCs w:val="16"/>
        </w:rPr>
        <w:softHyphen/>
        <w:t>ся, а наоборот продолжал расти и в период половины мая достиг катаст</w:t>
      </w:r>
      <w:r w:rsidRPr="00F90EAE">
        <w:rPr>
          <w:color w:val="000000" w:themeColor="text1"/>
          <w:sz w:val="16"/>
          <w:szCs w:val="16"/>
        </w:rPr>
        <w:softHyphen/>
        <w:t>рофической величины, составившей 40% съема моторов от числа постав</w:t>
      </w:r>
      <w:r w:rsidRPr="00F90EAE">
        <w:rPr>
          <w:color w:val="000000" w:themeColor="text1"/>
          <w:sz w:val="16"/>
          <w:szCs w:val="16"/>
        </w:rPr>
        <w:softHyphen/>
        <w:t>ленных на испытание.</w:t>
      </w:r>
    </w:p>
    <w:p w14:paraId="448BB0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такого положения, сложившегося у некоторых ответствен</w:t>
      </w:r>
      <w:r w:rsidRPr="00F90EAE">
        <w:rPr>
          <w:color w:val="000000" w:themeColor="text1"/>
          <w:sz w:val="16"/>
          <w:szCs w:val="16"/>
        </w:rPr>
        <w:softHyphen/>
        <w:t>ных работников завода убеждения, что основной причиной такого интенсив</w:t>
      </w:r>
      <w:r w:rsidRPr="00F90EAE">
        <w:rPr>
          <w:color w:val="000000" w:themeColor="text1"/>
          <w:sz w:val="16"/>
          <w:szCs w:val="16"/>
        </w:rPr>
        <w:softHyphen/>
        <w:t>ного развития дефекта являются вновь введенные цилиндры с параболичес</w:t>
      </w:r>
      <w:r w:rsidRPr="00F90EAE">
        <w:rPr>
          <w:color w:val="000000" w:themeColor="text1"/>
          <w:sz w:val="16"/>
          <w:szCs w:val="16"/>
        </w:rPr>
        <w:softHyphen/>
        <w:t>ким профилем зеркала, последние с 15-го мая, по указанию директора за</w:t>
      </w:r>
      <w:r w:rsidRPr="00F90EAE">
        <w:rPr>
          <w:color w:val="000000" w:themeColor="text1"/>
          <w:sz w:val="16"/>
          <w:szCs w:val="16"/>
        </w:rPr>
        <w:softHyphen/>
        <w:t>вода, были с производства сняты и заменены цилиндрами прежней кон</w:t>
      </w:r>
      <w:r w:rsidRPr="00F90EAE">
        <w:rPr>
          <w:color w:val="000000" w:themeColor="text1"/>
          <w:sz w:val="16"/>
          <w:szCs w:val="16"/>
        </w:rPr>
        <w:softHyphen/>
        <w:t>струкции, т.е. с цилиндрическим про</w:t>
      </w:r>
      <w:r w:rsidRPr="00F90EAE">
        <w:rPr>
          <w:color w:val="000000" w:themeColor="text1"/>
          <w:sz w:val="16"/>
          <w:szCs w:val="16"/>
        </w:rPr>
        <w:softHyphen/>
        <w:t>филем зеркала.</w:t>
      </w:r>
    </w:p>
    <w:p w14:paraId="3DF28CA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Несколько позднее, анализом ста</w:t>
      </w:r>
      <w:r w:rsidRPr="00F90EAE">
        <w:rPr>
          <w:color w:val="000000" w:themeColor="text1"/>
          <w:sz w:val="16"/>
          <w:szCs w:val="16"/>
        </w:rPr>
        <w:softHyphen/>
        <w:t>тистических данных было установле</w:t>
      </w:r>
      <w:r w:rsidRPr="00F90EAE">
        <w:rPr>
          <w:color w:val="000000" w:themeColor="text1"/>
          <w:sz w:val="16"/>
          <w:szCs w:val="16"/>
        </w:rPr>
        <w:softHyphen/>
        <w:t>но, что действительно, параболический профиль рабочей поверхности в вер</w:t>
      </w:r>
      <w:r w:rsidRPr="00F90EAE">
        <w:rPr>
          <w:color w:val="000000" w:themeColor="text1"/>
          <w:sz w:val="16"/>
          <w:szCs w:val="16"/>
        </w:rPr>
        <w:softHyphen/>
        <w:t>хней части цилиндра работу цилинд</w:t>
      </w:r>
      <w:r w:rsidRPr="00F90EAE">
        <w:rPr>
          <w:color w:val="000000" w:themeColor="text1"/>
          <w:sz w:val="16"/>
          <w:szCs w:val="16"/>
        </w:rPr>
        <w:softHyphen/>
        <w:t>ровой группы нисколько не улучшает, ибо съем моторов по дымлению и от</w:t>
      </w:r>
      <w:r w:rsidRPr="00F90EAE">
        <w:rPr>
          <w:color w:val="000000" w:themeColor="text1"/>
          <w:sz w:val="16"/>
          <w:szCs w:val="16"/>
        </w:rPr>
        <w:softHyphen/>
        <w:t>браковка цилиндров по уступчатой выработке для цилиндров с парабо</w:t>
      </w:r>
      <w:r w:rsidRPr="00F90EAE">
        <w:rPr>
          <w:color w:val="000000" w:themeColor="text1"/>
          <w:sz w:val="16"/>
          <w:szCs w:val="16"/>
        </w:rPr>
        <w:softHyphen/>
        <w:t>лическим профилем зеркала и ци линдров с нормальным профилем зер</w:t>
      </w:r>
      <w:r w:rsidRPr="00F90EAE">
        <w:rPr>
          <w:color w:val="000000" w:themeColor="text1"/>
          <w:sz w:val="16"/>
          <w:szCs w:val="16"/>
        </w:rPr>
        <w:softHyphen/>
        <w:t>кала составляет одну и ту же вели</w:t>
      </w:r>
      <w:r w:rsidRPr="00F90EAE">
        <w:rPr>
          <w:color w:val="000000" w:themeColor="text1"/>
          <w:sz w:val="16"/>
          <w:szCs w:val="16"/>
        </w:rPr>
        <w:softHyphen/>
        <w:t>чину.</w:t>
      </w:r>
    </w:p>
    <w:p w14:paraId="1D0BE3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на этом работы с исследовани</w:t>
      </w:r>
      <w:r w:rsidRPr="00F90EAE">
        <w:rPr>
          <w:color w:val="000000" w:themeColor="text1"/>
          <w:sz w:val="16"/>
          <w:szCs w:val="16"/>
        </w:rPr>
        <w:softHyphen/>
        <w:t>ем профиля рабочей поверхности не прекратились, а продолжали разви</w:t>
      </w:r>
      <w:r w:rsidRPr="00F90EAE">
        <w:rPr>
          <w:color w:val="000000" w:themeColor="text1"/>
          <w:sz w:val="16"/>
          <w:szCs w:val="16"/>
        </w:rPr>
        <w:softHyphen/>
        <w:t>ваться дальше в свете новой гипоте</w:t>
      </w:r>
      <w:r w:rsidRPr="00F90EAE">
        <w:rPr>
          <w:color w:val="000000" w:themeColor="text1"/>
          <w:sz w:val="16"/>
          <w:szCs w:val="16"/>
        </w:rPr>
        <w:softHyphen/>
        <w:t>зы о природе образования уступов, высказанной Главным Конструктором А.Д. Швецовым.</w:t>
      </w:r>
    </w:p>
    <w:p w14:paraId="6C1DBC0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Сущность этой гипотезы заключа</w:t>
      </w:r>
      <w:r w:rsidRPr="00F90EAE">
        <w:rPr>
          <w:color w:val="000000" w:themeColor="text1"/>
          <w:sz w:val="16"/>
          <w:szCs w:val="16"/>
        </w:rPr>
        <w:softHyphen/>
        <w:t>ется в предположении периодичес</w:t>
      </w:r>
      <w:r w:rsidRPr="00F90EAE">
        <w:rPr>
          <w:color w:val="000000" w:themeColor="text1"/>
          <w:sz w:val="16"/>
          <w:szCs w:val="16"/>
        </w:rPr>
        <w:softHyphen/>
        <w:t>кого отставания главным образом первого газоуплотнительного кольцо поршня от профиля зеркала цилинд</w:t>
      </w:r>
      <w:r w:rsidRPr="00F90EAE">
        <w:rPr>
          <w:color w:val="000000" w:themeColor="text1"/>
          <w:sz w:val="16"/>
          <w:szCs w:val="16"/>
        </w:rPr>
        <w:softHyphen/>
        <w:t>ра в начале раструба, образующего</w:t>
      </w:r>
      <w:r w:rsidRPr="00F90EAE">
        <w:rPr>
          <w:color w:val="000000" w:themeColor="text1"/>
          <w:sz w:val="16"/>
          <w:szCs w:val="16"/>
        </w:rPr>
        <w:softHyphen/>
        <w:t>ся в верхней части гильзы в резуль</w:t>
      </w:r>
      <w:r w:rsidRPr="00F90EAE">
        <w:rPr>
          <w:color w:val="000000" w:themeColor="text1"/>
          <w:sz w:val="16"/>
          <w:szCs w:val="16"/>
        </w:rPr>
        <w:softHyphen/>
        <w:t>тате ее тепловой деформации. От</w:t>
      </w:r>
      <w:r w:rsidRPr="00F90EAE">
        <w:rPr>
          <w:color w:val="000000" w:themeColor="text1"/>
          <w:sz w:val="16"/>
          <w:szCs w:val="16"/>
        </w:rPr>
        <w:softHyphen/>
        <w:t>рыв кольца происходит под действи</w:t>
      </w:r>
      <w:r w:rsidRPr="00F90EAE">
        <w:rPr>
          <w:color w:val="000000" w:themeColor="text1"/>
          <w:sz w:val="16"/>
          <w:szCs w:val="16"/>
        </w:rPr>
        <w:softHyphen/>
        <w:t>ем большой скорости движения, мак</w:t>
      </w:r>
      <w:r w:rsidRPr="00F90EAE">
        <w:rPr>
          <w:color w:val="000000" w:themeColor="text1"/>
          <w:sz w:val="16"/>
          <w:szCs w:val="16"/>
        </w:rPr>
        <w:softHyphen/>
        <w:t>симальные значения которой (17-20 мт/сек), как подтвердили исследова</w:t>
      </w:r>
      <w:r w:rsidRPr="00F90EAE">
        <w:rPr>
          <w:color w:val="000000" w:themeColor="text1"/>
          <w:sz w:val="16"/>
          <w:szCs w:val="16"/>
        </w:rPr>
        <w:softHyphen/>
        <w:t>ния профиля зеркала цилиндра в нагретом состоянии, совпадают с мо</w:t>
      </w:r>
      <w:r w:rsidRPr="00F90EAE">
        <w:rPr>
          <w:color w:val="000000" w:themeColor="text1"/>
          <w:sz w:val="16"/>
          <w:szCs w:val="16"/>
        </w:rPr>
        <w:softHyphen/>
        <w:t>ментом прохождения кольцом кривиз</w:t>
      </w:r>
      <w:r w:rsidRPr="00F90EAE">
        <w:rPr>
          <w:color w:val="000000" w:themeColor="text1"/>
          <w:sz w:val="16"/>
          <w:szCs w:val="16"/>
        </w:rPr>
        <w:softHyphen/>
        <w:t>ны, образующей раструб.</w:t>
      </w:r>
    </w:p>
    <w:p w14:paraId="4BC230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Периодически отрываясь от про</w:t>
      </w:r>
      <w:r w:rsidRPr="00F90EAE">
        <w:rPr>
          <w:color w:val="000000" w:themeColor="text1"/>
          <w:sz w:val="16"/>
          <w:szCs w:val="16"/>
        </w:rPr>
        <w:softHyphen/>
        <w:t>филя рабочей поверхности, кольцо под действием силы упругости разжима</w:t>
      </w:r>
      <w:r w:rsidRPr="00F90EAE">
        <w:rPr>
          <w:color w:val="000000" w:themeColor="text1"/>
          <w:sz w:val="16"/>
          <w:szCs w:val="16"/>
        </w:rPr>
        <w:softHyphen/>
        <w:t>ется и с ударом вновь соприкасает</w:t>
      </w:r>
      <w:r w:rsidRPr="00F90EAE">
        <w:rPr>
          <w:color w:val="000000" w:themeColor="text1"/>
          <w:sz w:val="16"/>
          <w:szCs w:val="16"/>
        </w:rPr>
        <w:softHyphen/>
        <w:t>ся с зеркалом, производя в месте уда</w:t>
      </w:r>
      <w:r w:rsidRPr="00F90EAE">
        <w:rPr>
          <w:color w:val="000000" w:themeColor="text1"/>
          <w:sz w:val="16"/>
          <w:szCs w:val="16"/>
        </w:rPr>
        <w:softHyphen/>
        <w:t>ра уступчатую выработку.</w:t>
      </w:r>
    </w:p>
    <w:p w14:paraId="73D348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Наиболее вероятным тактом ра</w:t>
      </w:r>
      <w:r w:rsidRPr="00F90EAE">
        <w:rPr>
          <w:color w:val="000000" w:themeColor="text1"/>
          <w:sz w:val="16"/>
          <w:szCs w:val="16"/>
        </w:rPr>
        <w:softHyphen/>
        <w:t>бочего процесса, в котором происхо</w:t>
      </w:r>
      <w:r w:rsidRPr="00F90EAE">
        <w:rPr>
          <w:color w:val="000000" w:themeColor="text1"/>
          <w:sz w:val="16"/>
          <w:szCs w:val="16"/>
        </w:rPr>
        <w:softHyphen/>
        <w:t>дит отрыв кольца от зеркала цилинд</w:t>
      </w:r>
      <w:r w:rsidRPr="00F90EAE">
        <w:rPr>
          <w:color w:val="000000" w:themeColor="text1"/>
          <w:sz w:val="16"/>
          <w:szCs w:val="16"/>
        </w:rPr>
        <w:softHyphen/>
        <w:t>ра, следует предполагать такт выхлопа, так как в этом такте верхнее кольцо свободно от воздействия на него га</w:t>
      </w:r>
      <w:r w:rsidRPr="00F90EAE">
        <w:rPr>
          <w:color w:val="000000" w:themeColor="text1"/>
          <w:sz w:val="16"/>
          <w:szCs w:val="16"/>
        </w:rPr>
        <w:softHyphen/>
        <w:t>зовых усилий и в основном находит</w:t>
      </w:r>
      <w:r w:rsidRPr="00F90EAE">
        <w:rPr>
          <w:color w:val="000000" w:themeColor="text1"/>
          <w:sz w:val="16"/>
          <w:szCs w:val="16"/>
        </w:rPr>
        <w:softHyphen/>
        <w:t>ся только под влиянием сил собствен</w:t>
      </w:r>
      <w:r w:rsidRPr="00F90EAE">
        <w:rPr>
          <w:color w:val="000000" w:themeColor="text1"/>
          <w:sz w:val="16"/>
          <w:szCs w:val="16"/>
        </w:rPr>
        <w:softHyphen/>
        <w:t>ной упругости и силы инерции, раз</w:t>
      </w:r>
      <w:r w:rsidRPr="00F90EAE">
        <w:rPr>
          <w:color w:val="000000" w:themeColor="text1"/>
          <w:sz w:val="16"/>
          <w:szCs w:val="16"/>
        </w:rPr>
        <w:softHyphen/>
        <w:t>вивающейся от давления. Естествен</w:t>
      </w:r>
      <w:r w:rsidRPr="00F90EAE">
        <w:rPr>
          <w:color w:val="000000" w:themeColor="text1"/>
          <w:sz w:val="16"/>
          <w:szCs w:val="16"/>
        </w:rPr>
        <w:softHyphen/>
        <w:t>но, что для исключения явления от</w:t>
      </w:r>
      <w:r w:rsidRPr="00F90EAE">
        <w:rPr>
          <w:color w:val="000000" w:themeColor="text1"/>
          <w:sz w:val="16"/>
          <w:szCs w:val="16"/>
        </w:rPr>
        <w:softHyphen/>
        <w:t>ставания кольца от профиля рабо</w:t>
      </w:r>
      <w:r w:rsidRPr="00F90EAE">
        <w:rPr>
          <w:color w:val="000000" w:themeColor="text1"/>
          <w:sz w:val="16"/>
          <w:szCs w:val="16"/>
        </w:rPr>
        <w:softHyphen/>
        <w:t>чей поверхности этот профиль в на</w:t>
      </w:r>
      <w:r w:rsidRPr="00F90EAE">
        <w:rPr>
          <w:color w:val="000000" w:themeColor="text1"/>
          <w:sz w:val="16"/>
          <w:szCs w:val="16"/>
        </w:rPr>
        <w:softHyphen/>
        <w:t>гретом состоянии должен максимально приближаться к цилиндрическому.</w:t>
      </w:r>
    </w:p>
    <w:p w14:paraId="0B7EF7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Рядом проведенных опытов удалось установить, что лучшим профилем ра</w:t>
      </w:r>
      <w:r w:rsidRPr="00F90EAE">
        <w:rPr>
          <w:color w:val="000000" w:themeColor="text1"/>
          <w:sz w:val="16"/>
          <w:szCs w:val="16"/>
        </w:rPr>
        <w:softHyphen/>
        <w:t>бочей поверхности цилиндра, который в нагретом состоянии максимально приближается к цилиндрическому, яв</w:t>
      </w:r>
      <w:r w:rsidRPr="00F90EAE">
        <w:rPr>
          <w:color w:val="000000" w:themeColor="text1"/>
          <w:sz w:val="16"/>
          <w:szCs w:val="16"/>
        </w:rPr>
        <w:softHyphen/>
        <w:t>ляется профиль, соответствующий де</w:t>
      </w:r>
      <w:r w:rsidRPr="00F90EAE">
        <w:rPr>
          <w:color w:val="000000" w:themeColor="text1"/>
          <w:sz w:val="16"/>
          <w:szCs w:val="16"/>
        </w:rPr>
        <w:softHyphen/>
        <w:t>формации верхнего конца окончатель</w:t>
      </w:r>
      <w:r w:rsidRPr="00F90EAE">
        <w:rPr>
          <w:color w:val="000000" w:themeColor="text1"/>
          <w:sz w:val="16"/>
          <w:szCs w:val="16"/>
        </w:rPr>
        <w:softHyphen/>
        <w:t>но обработанной по зеркалу гильзы после навертывания на нее головки.</w:t>
      </w:r>
    </w:p>
    <w:p w14:paraId="20F65E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этом случае уменьшение диа</w:t>
      </w:r>
      <w:r w:rsidRPr="00F90EAE">
        <w:rPr>
          <w:color w:val="000000" w:themeColor="text1"/>
          <w:sz w:val="16"/>
          <w:szCs w:val="16"/>
        </w:rPr>
        <w:softHyphen/>
        <w:t>метра верхнего отверстия гильзы обес</w:t>
      </w:r>
      <w:r w:rsidRPr="00F90EAE">
        <w:rPr>
          <w:color w:val="000000" w:themeColor="text1"/>
          <w:sz w:val="16"/>
          <w:szCs w:val="16"/>
        </w:rPr>
        <w:softHyphen/>
        <w:t>печивается по произвольной кривой на величину от 0,3 до 0,5 мм на дли</w:t>
      </w:r>
      <w:r w:rsidRPr="00F90EAE">
        <w:rPr>
          <w:color w:val="000000" w:themeColor="text1"/>
          <w:sz w:val="16"/>
          <w:szCs w:val="16"/>
        </w:rPr>
        <w:softHyphen/>
        <w:t>не 50-65 мм от верхнего торца (см. фиг. №№ 4 и 5).</w:t>
      </w:r>
    </w:p>
    <w:p w14:paraId="268E70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проверки работы цилиндров с таким профилем было проведено:</w:t>
      </w:r>
    </w:p>
    <w:p w14:paraId="417D9A4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50-ти часовое испытание на од</w:t>
      </w:r>
      <w:r w:rsidRPr="00F90EAE">
        <w:rPr>
          <w:color w:val="000000" w:themeColor="text1"/>
          <w:sz w:val="16"/>
          <w:szCs w:val="16"/>
        </w:rPr>
        <w:softHyphen/>
        <w:t>ноцилиндровой установке в паре с серийными поршневыми кольцами.</w:t>
      </w:r>
    </w:p>
    <w:p w14:paraId="0A93E10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износ за 50-ти часовое испытание не превышает износа, получающегося за 10 часов на серийном цилиндре.</w:t>
      </w:r>
    </w:p>
    <w:p w14:paraId="662D41A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Состояние поршневых колец хоро</w:t>
      </w:r>
      <w:r w:rsidRPr="00F90EAE">
        <w:rPr>
          <w:color w:val="000000" w:themeColor="text1"/>
          <w:sz w:val="16"/>
          <w:szCs w:val="16"/>
        </w:rPr>
        <w:softHyphen/>
        <w:t>шее.</w:t>
      </w:r>
    </w:p>
    <w:p w14:paraId="713BA72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10-ти часовое моторное испыта</w:t>
      </w:r>
      <w:r w:rsidRPr="00F90EAE">
        <w:rPr>
          <w:color w:val="000000" w:themeColor="text1"/>
          <w:sz w:val="16"/>
          <w:szCs w:val="16"/>
        </w:rPr>
        <w:softHyphen/>
        <w:t>ние с газоуплотнительными кольцами и в первой канавке поршней хроми</w:t>
      </w:r>
      <w:r w:rsidRPr="00F90EAE">
        <w:rPr>
          <w:color w:val="000000" w:themeColor="text1"/>
          <w:sz w:val="16"/>
          <w:szCs w:val="16"/>
        </w:rPr>
        <w:softHyphen/>
        <w:t>рованными по образующей (образу</w:t>
      </w:r>
      <w:r w:rsidRPr="00F90EAE">
        <w:rPr>
          <w:color w:val="000000" w:themeColor="text1"/>
          <w:sz w:val="16"/>
          <w:szCs w:val="16"/>
        </w:rPr>
        <w:softHyphen/>
        <w:t>ющая конусная).</w:t>
      </w:r>
    </w:p>
    <w:p w14:paraId="1887C7E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износ цилин</w:t>
      </w:r>
      <w:r w:rsidRPr="00F90EAE">
        <w:rPr>
          <w:color w:val="000000" w:themeColor="text1"/>
          <w:sz w:val="16"/>
          <w:szCs w:val="16"/>
        </w:rPr>
        <w:softHyphen/>
        <w:t>дров не превышает 0,04 мм. Состоя</w:t>
      </w:r>
      <w:r w:rsidRPr="00F90EAE">
        <w:rPr>
          <w:color w:val="000000" w:themeColor="text1"/>
          <w:sz w:val="16"/>
          <w:szCs w:val="16"/>
        </w:rPr>
        <w:softHyphen/>
        <w:t>ние колец хорошее.</w:t>
      </w:r>
    </w:p>
    <w:p w14:paraId="2C0CA8D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Испытание малой серии мото</w:t>
      </w:r>
      <w:r w:rsidRPr="00F90EAE">
        <w:rPr>
          <w:color w:val="000000" w:themeColor="text1"/>
          <w:sz w:val="16"/>
          <w:szCs w:val="16"/>
        </w:rPr>
        <w:softHyphen/>
        <w:t>ров АШ-82ФН в количестве 60 мо</w:t>
      </w:r>
      <w:r w:rsidRPr="00F90EAE">
        <w:rPr>
          <w:color w:val="000000" w:themeColor="text1"/>
          <w:sz w:val="16"/>
          <w:szCs w:val="16"/>
        </w:rPr>
        <w:softHyphen/>
        <w:t>торов с постановкой в первую ка</w:t>
      </w:r>
      <w:r w:rsidRPr="00F90EAE">
        <w:rPr>
          <w:color w:val="000000" w:themeColor="text1"/>
          <w:sz w:val="16"/>
          <w:szCs w:val="16"/>
        </w:rPr>
        <w:softHyphen/>
        <w:t>навку всех поршней газоуплотнитель</w:t>
      </w:r>
      <w:r w:rsidRPr="00F90EAE">
        <w:rPr>
          <w:color w:val="000000" w:themeColor="text1"/>
          <w:sz w:val="16"/>
          <w:szCs w:val="16"/>
        </w:rPr>
        <w:softHyphen/>
        <w:t>ного кольца с цилиндрической обра</w:t>
      </w:r>
      <w:r w:rsidRPr="00F90EAE">
        <w:rPr>
          <w:color w:val="000000" w:themeColor="text1"/>
          <w:sz w:val="16"/>
          <w:szCs w:val="16"/>
        </w:rPr>
        <w:softHyphen/>
        <w:t>зующей.</w:t>
      </w:r>
    </w:p>
    <w:p w14:paraId="7CB5CAE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после сдаточ</w:t>
      </w:r>
      <w:r w:rsidRPr="00F90EAE">
        <w:rPr>
          <w:color w:val="000000" w:themeColor="text1"/>
          <w:sz w:val="16"/>
          <w:szCs w:val="16"/>
        </w:rPr>
        <w:softHyphen/>
        <w:t>ного испытания из числа опытных ци</w:t>
      </w:r>
      <w:r w:rsidRPr="00F90EAE">
        <w:rPr>
          <w:color w:val="000000" w:themeColor="text1"/>
          <w:sz w:val="16"/>
          <w:szCs w:val="16"/>
        </w:rPr>
        <w:softHyphen/>
        <w:t>линдров, было обнаружено 6 цилинд</w:t>
      </w:r>
      <w:r w:rsidRPr="00F90EAE">
        <w:rPr>
          <w:color w:val="000000" w:themeColor="text1"/>
          <w:sz w:val="16"/>
          <w:szCs w:val="16"/>
        </w:rPr>
        <w:softHyphen/>
        <w:t>ров с уступчатой выработкой, распо</w:t>
      </w:r>
      <w:r w:rsidRPr="00F90EAE">
        <w:rPr>
          <w:color w:val="000000" w:themeColor="text1"/>
          <w:sz w:val="16"/>
          <w:szCs w:val="16"/>
        </w:rPr>
        <w:softHyphen/>
        <w:t>ложенной на высоте 224 мм от ниж</w:t>
      </w:r>
      <w:r w:rsidRPr="00F90EAE">
        <w:rPr>
          <w:color w:val="000000" w:themeColor="text1"/>
          <w:sz w:val="16"/>
          <w:szCs w:val="16"/>
        </w:rPr>
        <w:softHyphen/>
        <w:t>него торца гильзы, которая в отличие от выработки, получающейся на ци</w:t>
      </w:r>
      <w:r w:rsidRPr="00F90EAE">
        <w:rPr>
          <w:color w:val="000000" w:themeColor="text1"/>
          <w:sz w:val="16"/>
          <w:szCs w:val="16"/>
        </w:rPr>
        <w:softHyphen/>
        <w:t>линдрах с обычным профилем, имела обратный характер (см. фиг. № 6).</w:t>
      </w:r>
    </w:p>
    <w:p w14:paraId="653593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Тотчас произведенными исследо</w:t>
      </w:r>
      <w:r w:rsidRPr="00F90EAE">
        <w:rPr>
          <w:color w:val="000000" w:themeColor="text1"/>
          <w:sz w:val="16"/>
          <w:szCs w:val="16"/>
        </w:rPr>
        <w:softHyphen/>
        <w:t>ваниями было установлено, что при</w:t>
      </w:r>
      <w:r w:rsidRPr="00F90EAE">
        <w:rPr>
          <w:color w:val="000000" w:themeColor="text1"/>
          <w:sz w:val="16"/>
          <w:szCs w:val="16"/>
        </w:rPr>
        <w:softHyphen/>
        <w:t>чиной такой выработки являлась ра</w:t>
      </w:r>
      <w:r w:rsidRPr="00F90EAE">
        <w:rPr>
          <w:color w:val="000000" w:themeColor="text1"/>
          <w:sz w:val="16"/>
          <w:szCs w:val="16"/>
        </w:rPr>
        <w:softHyphen/>
        <w:t>бота в распор 2-х маслосборных ко</w:t>
      </w:r>
      <w:r w:rsidRPr="00F90EAE">
        <w:rPr>
          <w:color w:val="000000" w:themeColor="text1"/>
          <w:sz w:val="16"/>
          <w:szCs w:val="16"/>
        </w:rPr>
        <w:softHyphen/>
        <w:t>лец, находящихся в 4-й канавке пор</w:t>
      </w:r>
      <w:r w:rsidRPr="00F90EAE">
        <w:rPr>
          <w:color w:val="000000" w:themeColor="text1"/>
          <w:sz w:val="16"/>
          <w:szCs w:val="16"/>
        </w:rPr>
        <w:softHyphen/>
        <w:t>шня.</w:t>
      </w:r>
    </w:p>
    <w:p w14:paraId="5356334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 соответствующего увеличе</w:t>
      </w:r>
      <w:r w:rsidRPr="00F90EAE">
        <w:rPr>
          <w:color w:val="000000" w:themeColor="text1"/>
          <w:sz w:val="16"/>
          <w:szCs w:val="16"/>
        </w:rPr>
        <w:softHyphen/>
        <w:t>ния зазора в стыке этих колец, ука</w:t>
      </w:r>
      <w:r w:rsidRPr="00F90EAE">
        <w:rPr>
          <w:color w:val="000000" w:themeColor="text1"/>
          <w:sz w:val="16"/>
          <w:szCs w:val="16"/>
        </w:rPr>
        <w:softHyphen/>
        <w:t>занная выработка больше не наблю</w:t>
      </w:r>
      <w:r w:rsidRPr="00F90EAE">
        <w:rPr>
          <w:color w:val="000000" w:themeColor="text1"/>
          <w:sz w:val="16"/>
          <w:szCs w:val="16"/>
        </w:rPr>
        <w:softHyphen/>
        <w:t>далась.</w:t>
      </w:r>
    </w:p>
    <w:p w14:paraId="2CFB274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прохождения моторами контрольного испытания, из их числа было снято по дымлению цилиндров только 3 мотора (5%). При вскрытии и осмотре восьми дымивших цилинд</w:t>
      </w:r>
      <w:r w:rsidRPr="00F90EAE">
        <w:rPr>
          <w:color w:val="000000" w:themeColor="text1"/>
          <w:sz w:val="16"/>
          <w:szCs w:val="16"/>
        </w:rPr>
        <w:softHyphen/>
        <w:t>ров обнаружено, что 7 цилиндров на</w:t>
      </w:r>
      <w:r w:rsidRPr="00F90EAE">
        <w:rPr>
          <w:color w:val="000000" w:themeColor="text1"/>
          <w:sz w:val="16"/>
          <w:szCs w:val="16"/>
        </w:rPr>
        <w:softHyphen/>
        <w:t>ходились в удовлетворительном состо</w:t>
      </w:r>
      <w:r w:rsidRPr="00F90EAE">
        <w:rPr>
          <w:color w:val="000000" w:themeColor="text1"/>
          <w:sz w:val="16"/>
          <w:szCs w:val="16"/>
        </w:rPr>
        <w:softHyphen/>
        <w:t>янии и один цилиндр имел прямую уступчатую выработку, расположенную по средине гильзы цилиндра.</w:t>
      </w:r>
    </w:p>
    <w:p w14:paraId="3A1EB6D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Длительное 50-ти часовое испы</w:t>
      </w:r>
      <w:r w:rsidRPr="00F90EAE">
        <w:rPr>
          <w:color w:val="000000" w:themeColor="text1"/>
          <w:sz w:val="16"/>
          <w:szCs w:val="16"/>
        </w:rPr>
        <w:softHyphen/>
        <w:t>тание мотора АШ-82ФН № 82142192, взятого из числа малой серии.</w:t>
      </w:r>
    </w:p>
    <w:p w14:paraId="475A47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Поршневые кольца в первой канавке с цилиндрической образующей.</w:t>
      </w:r>
    </w:p>
    <w:p w14:paraId="6D87254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 Все цилиндры после испыта</w:t>
      </w:r>
      <w:r w:rsidRPr="00F90EAE">
        <w:rPr>
          <w:color w:val="000000" w:themeColor="text1"/>
          <w:sz w:val="16"/>
          <w:szCs w:val="16"/>
        </w:rPr>
        <w:softHyphen/>
        <w:t>ния находились в хорошем состоя</w:t>
      </w:r>
      <w:r w:rsidRPr="00F90EAE">
        <w:rPr>
          <w:color w:val="000000" w:themeColor="text1"/>
          <w:sz w:val="16"/>
          <w:szCs w:val="16"/>
        </w:rPr>
        <w:softHyphen/>
        <w:t>нии, пригодном для дальнейшей ра</w:t>
      </w:r>
      <w:r w:rsidRPr="00F90EAE">
        <w:rPr>
          <w:color w:val="000000" w:themeColor="text1"/>
          <w:sz w:val="16"/>
          <w:szCs w:val="16"/>
        </w:rPr>
        <w:softHyphen/>
        <w:t>боты. Максимальный износ в верх</w:t>
      </w:r>
      <w:r w:rsidRPr="00F90EAE">
        <w:rPr>
          <w:color w:val="000000" w:themeColor="text1"/>
          <w:sz w:val="16"/>
          <w:szCs w:val="16"/>
        </w:rPr>
        <w:softHyphen/>
        <w:t>нем поясе у 5-ти цилиндров состав</w:t>
      </w:r>
      <w:r w:rsidRPr="00F90EAE">
        <w:rPr>
          <w:color w:val="000000" w:themeColor="text1"/>
          <w:sz w:val="16"/>
          <w:szCs w:val="16"/>
        </w:rPr>
        <w:softHyphen/>
        <w:t>лял от 0,12 до 0,17 мм.</w:t>
      </w:r>
    </w:p>
    <w:p w14:paraId="74AE9D4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Состояние поршневых колец хоро</w:t>
      </w:r>
      <w:r w:rsidRPr="00F90EAE">
        <w:rPr>
          <w:color w:val="000000" w:themeColor="text1"/>
          <w:sz w:val="16"/>
          <w:szCs w:val="16"/>
        </w:rPr>
        <w:softHyphen/>
        <w:t>шее.</w:t>
      </w:r>
    </w:p>
    <w:p w14:paraId="69D5013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Длительное 150-ти часовое Го</w:t>
      </w:r>
      <w:r w:rsidRPr="00F90EAE">
        <w:rPr>
          <w:color w:val="000000" w:themeColor="text1"/>
          <w:sz w:val="16"/>
          <w:szCs w:val="16"/>
        </w:rPr>
        <w:softHyphen/>
        <w:t>сударственное испытание мотора АШ-82ФН № 82143252, также взя</w:t>
      </w:r>
      <w:r w:rsidRPr="00F90EAE">
        <w:rPr>
          <w:color w:val="000000" w:themeColor="text1"/>
          <w:sz w:val="16"/>
          <w:szCs w:val="16"/>
        </w:rPr>
        <w:softHyphen/>
        <w:t>того из числа малой серии. Поршне</w:t>
      </w:r>
      <w:r w:rsidRPr="00F90EAE">
        <w:rPr>
          <w:color w:val="000000" w:themeColor="text1"/>
          <w:sz w:val="16"/>
          <w:szCs w:val="16"/>
        </w:rPr>
        <w:softHyphen/>
        <w:t>вые кольцо в первой канавке порш</w:t>
      </w:r>
      <w:r w:rsidRPr="00F90EAE">
        <w:rPr>
          <w:color w:val="000000" w:themeColor="text1"/>
          <w:sz w:val="16"/>
          <w:szCs w:val="16"/>
        </w:rPr>
        <w:softHyphen/>
        <w:t>ней с цилиндрической образующей.</w:t>
      </w:r>
    </w:p>
    <w:p w14:paraId="2B9C730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Результат испытания удовлетвори</w:t>
      </w:r>
      <w:r w:rsidRPr="00F90EAE">
        <w:rPr>
          <w:color w:val="000000" w:themeColor="text1"/>
          <w:sz w:val="16"/>
          <w:szCs w:val="16"/>
        </w:rPr>
        <w:softHyphen/>
        <w:t>тельный. Все цилиндры после испыта</w:t>
      </w:r>
      <w:r w:rsidRPr="00F90EAE">
        <w:rPr>
          <w:color w:val="000000" w:themeColor="text1"/>
          <w:sz w:val="16"/>
          <w:szCs w:val="16"/>
        </w:rPr>
        <w:softHyphen/>
        <w:t>ния находились в хорошем состоя</w:t>
      </w:r>
      <w:r w:rsidRPr="00F90EAE">
        <w:rPr>
          <w:color w:val="000000" w:themeColor="text1"/>
          <w:sz w:val="16"/>
          <w:szCs w:val="16"/>
        </w:rPr>
        <w:softHyphen/>
        <w:t>нии, пригодном для дальнейшей ра</w:t>
      </w:r>
      <w:r w:rsidRPr="00F90EAE">
        <w:rPr>
          <w:color w:val="000000" w:themeColor="text1"/>
          <w:sz w:val="16"/>
          <w:szCs w:val="16"/>
        </w:rPr>
        <w:softHyphen/>
        <w:t>боты.</w:t>
      </w:r>
    </w:p>
    <w:p w14:paraId="2BF5711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Максимальный износ на 4-х цилин</w:t>
      </w:r>
      <w:r w:rsidRPr="00F90EAE">
        <w:rPr>
          <w:color w:val="000000" w:themeColor="text1"/>
          <w:sz w:val="16"/>
          <w:szCs w:val="16"/>
        </w:rPr>
        <w:softHyphen/>
        <w:t>драх достигал от 0,14 до 0,18 мм.</w:t>
      </w:r>
    </w:p>
    <w:p w14:paraId="01FF626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Состояние поршневых колец хоро</w:t>
      </w:r>
      <w:r w:rsidRPr="00F90EAE">
        <w:rPr>
          <w:color w:val="000000" w:themeColor="text1"/>
          <w:sz w:val="16"/>
          <w:szCs w:val="16"/>
        </w:rPr>
        <w:softHyphen/>
        <w:t>шее.</w:t>
      </w:r>
    </w:p>
    <w:p w14:paraId="3D6E0ED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основании положительных ре</w:t>
      </w:r>
      <w:r w:rsidRPr="00F90EAE">
        <w:rPr>
          <w:color w:val="000000" w:themeColor="text1"/>
          <w:sz w:val="16"/>
          <w:szCs w:val="16"/>
        </w:rPr>
        <w:softHyphen/>
        <w:t>зультатов перечисленных выше испы</w:t>
      </w:r>
      <w:r w:rsidRPr="00F90EAE">
        <w:rPr>
          <w:color w:val="000000" w:themeColor="text1"/>
          <w:sz w:val="16"/>
          <w:szCs w:val="16"/>
        </w:rPr>
        <w:softHyphen/>
        <w:t>таний, цилиндры с гильзами, оконча</w:t>
      </w:r>
      <w:r w:rsidRPr="00F90EAE">
        <w:rPr>
          <w:color w:val="000000" w:themeColor="text1"/>
          <w:sz w:val="16"/>
          <w:szCs w:val="16"/>
        </w:rPr>
        <w:softHyphen/>
        <w:t>тельно обработанными до соединения с головкой, и постановка в первую канавку поршней газоуплотнительного кольца с цилиндрической образую</w:t>
      </w:r>
      <w:r w:rsidRPr="00F90EAE">
        <w:rPr>
          <w:color w:val="000000" w:themeColor="text1"/>
          <w:sz w:val="16"/>
          <w:szCs w:val="16"/>
        </w:rPr>
        <w:softHyphen/>
        <w:t>щей, с 1-го августа 1945 года введе</w:t>
      </w:r>
      <w:r w:rsidRPr="00F90EAE">
        <w:rPr>
          <w:color w:val="000000" w:themeColor="text1"/>
          <w:sz w:val="16"/>
          <w:szCs w:val="16"/>
        </w:rPr>
        <w:softHyphen/>
        <w:t>на в серийное производство для по</w:t>
      </w:r>
      <w:r w:rsidRPr="00F90EAE">
        <w:rPr>
          <w:color w:val="000000" w:themeColor="text1"/>
          <w:sz w:val="16"/>
          <w:szCs w:val="16"/>
        </w:rPr>
        <w:softHyphen/>
        <w:t>становки на моторы АШ-82ФН» (10730).</w:t>
      </w:r>
    </w:p>
    <w:p w14:paraId="423BFB4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22424AC" w14:textId="77777777" w:rsidR="00460A18" w:rsidRPr="00F90EAE" w:rsidRDefault="00460A1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мае 1945 г. в ОКБ и на заводе № 81 при ступили к изготовлению рабочих чертежей и макета самоле та Ла-150, а также моделей для продувок в трубах ЦАГИ. Завод № 81 был мал и не имел возможностей, чтобы спра виться со всем объемом работ по постройке нового самолета. Поэтому распоряжением НКАП выпуск малой серии (5 штук) опытных самолетов «150» был перенесен на завод № 381, на котором заканчивалось производство деревянных Ла-7.</w:t>
      </w:r>
    </w:p>
    <w:p w14:paraId="0F9F8559" w14:textId="77777777" w:rsidR="00460A18" w:rsidRPr="00F90EAE" w:rsidRDefault="00460A1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ОКБ С.А. Лавочкина должно было к 1 августа 1945 г. сдать все рабочие чертежи заводу № 381. Этот срок ОКБ выдержа ло, за исключением некоторых чертежей по фонарю и кабине пилота. Конструкторы предполагали установить катапультное кресло (прототипом явилось кресло немецкого самолета Не 162). К концу августа 1945 г. полный комплект чертежей был передан на завод. В начале июля на заводе № 81 был постро ен макет самолета, и на нем параллельно с выпуском черте жей происходила взаимная увязка агрегатов (19586).</w:t>
      </w:r>
    </w:p>
    <w:p w14:paraId="75CB56E9" w14:textId="77777777" w:rsidR="00460A18" w:rsidRPr="00F90EAE" w:rsidRDefault="00460A18" w:rsidP="00F90EAE">
      <w:pPr>
        <w:jc w:val="both"/>
        <w:rPr>
          <w:color w:val="000000" w:themeColor="text1"/>
          <w:sz w:val="16"/>
          <w:szCs w:val="16"/>
        </w:rPr>
      </w:pPr>
    </w:p>
    <w:p w14:paraId="14D20F99" w14:textId="77777777" w:rsidR="00460A18" w:rsidRPr="00F90EAE" w:rsidRDefault="00460A18" w:rsidP="00F90EAE">
      <w:pPr>
        <w:shd w:val="clear" w:color="auto" w:fill="FFFFFF"/>
        <w:jc w:val="both"/>
        <w:rPr>
          <w:color w:val="000000" w:themeColor="text1"/>
          <w:sz w:val="16"/>
          <w:szCs w:val="16"/>
        </w:rPr>
      </w:pPr>
      <w:r w:rsidRPr="00F90EAE">
        <w:rPr>
          <w:color w:val="000000" w:themeColor="text1"/>
          <w:sz w:val="16"/>
          <w:szCs w:val="16"/>
        </w:rPr>
        <w:t xml:space="preserve">В мае 1945 г. самолет Як-3РД поставили в цех ОКБ, где на нем заменили ЖРД, произвели полный технический осмотр са молета и устранили обнаруженные дефекты. Полеты с но вым двигателем возобновились 14 августа для подготовки к воздушному параду. Во втором полете, 15 августа, после нор мального включения ЖРД через 10.... 15 с упала тяга при одновременном падении давления керосина. Спустя еще не сколько секунд кабина наполнилась брызгами и парами бен зина, попавшими в лицо и глаза летчика, что крайне зат руднило пилотирование. Летчик выключил ЖРД и благо получно сел на Центральном аэродроме. На земле комиссия обнаружила обрыв шунтовой трубки керосиновой магистра ли высокого давления. Неисправность устранили. В полете 16 августа после выключения ЖРД самолет набрал высоту </w:t>
      </w:r>
      <w:r w:rsidRPr="00F90EAE">
        <w:rPr>
          <w:color w:val="000000" w:themeColor="text1"/>
          <w:sz w:val="16"/>
          <w:szCs w:val="16"/>
        </w:rPr>
        <w:lastRenderedPageBreak/>
        <w:t>2500 м, сделал «площадку» и плавно перешел в планирова ние, угол которого стал постепенно увеличиваться. На пи кировании, сначала почти отвесном, а у земли 45....50 гра дусов, самолет врезался в землю. Летчик-испытатель В.Л. Расторгуев погиб. Причину катастрофы установить не удалось, но достоверно известно, что не было взрыва ЖРД, пожара или явного разрушения самолета в воздухе. В акте комиссии высказано предположение, что причиной катаст рофы могли быть потеря летчиком способности управлять самолетом или поломка в системе управления рулем высо ты. В связи с появлением в послевоенное время турбореак тивных двигателей работа по оснащению поршневых само летов жидкостными ракетными ускорителями потеряла ак туальность и была прекращена (19586).</w:t>
      </w:r>
    </w:p>
    <w:p w14:paraId="59AD2A3C" w14:textId="77777777" w:rsidR="00460A18" w:rsidRPr="00F90EAE" w:rsidRDefault="00460A18" w:rsidP="00F90EAE">
      <w:pPr>
        <w:jc w:val="both"/>
        <w:rPr>
          <w:color w:val="000000" w:themeColor="text1"/>
          <w:sz w:val="16"/>
          <w:szCs w:val="16"/>
        </w:rPr>
      </w:pPr>
    </w:p>
    <w:p w14:paraId="633A2E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 НИИ доставили FW 190D-9 - один из последних вариантов знаменитого истребителя. Он отличался от предшественников главным образом винто-моторной группой. Вместо звездообразного двигателя на нём установили мотор жидкостного охлаждения Jumo 21 ЗА с непосредственным впрыском топлива, вращавший винт изменяемого шага с деревянными лопастями. В ходе испытаний FW 190D-9 был проведён показательный воздушный бой с Ла-7, подтвердивший, в частности, что "Лавочкин" имеет значительные преимущества перед "немцем" по скорости полёта, скороподъёмности и манёвренности. В горизонтальном манёвре при встрече на скоростях порядка 0,9 от максимальных Ла-7 заходил в хвост противнику за два-три виража. В вертикальном манёвре на максимальных скоростях Ла-7 набирал за боевой разворот большую высоту и, имея превосходство в высоте, заходил в хвост FW 190D-9.</w:t>
      </w:r>
    </w:p>
    <w:p w14:paraId="4A23CF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семейства истребителей-аналогов JIa-7 но результатам испытаний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561F31" w:rsidRPr="00F90EAE" w14:paraId="3DCF5B6E" w14:textId="77777777">
        <w:tc>
          <w:tcPr>
            <w:tcW w:w="3736" w:type="dxa"/>
            <w:tcBorders>
              <w:top w:val="single" w:sz="12" w:space="0" w:color="auto"/>
            </w:tcBorders>
          </w:tcPr>
          <w:p w14:paraId="5AD413E9" w14:textId="77777777" w:rsidR="00665165" w:rsidRPr="00F90EAE" w:rsidRDefault="00665165" w:rsidP="00F90EAE">
            <w:pPr>
              <w:autoSpaceDE w:val="0"/>
              <w:autoSpaceDN w:val="0"/>
              <w:adjustRightInd w:val="0"/>
              <w:jc w:val="both"/>
              <w:rPr>
                <w:color w:val="000000" w:themeColor="text1"/>
                <w:sz w:val="16"/>
                <w:szCs w:val="16"/>
              </w:rPr>
            </w:pPr>
          </w:p>
        </w:tc>
        <w:tc>
          <w:tcPr>
            <w:tcW w:w="3736" w:type="dxa"/>
            <w:tcBorders>
              <w:top w:val="single" w:sz="12" w:space="0" w:color="auto"/>
            </w:tcBorders>
          </w:tcPr>
          <w:p w14:paraId="150CBD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FW 190А-8</w:t>
            </w:r>
          </w:p>
        </w:tc>
        <w:tc>
          <w:tcPr>
            <w:tcW w:w="3736" w:type="dxa"/>
            <w:tcBorders>
              <w:top w:val="single" w:sz="12" w:space="0" w:color="auto"/>
            </w:tcBorders>
          </w:tcPr>
          <w:p w14:paraId="24C1E7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FW 190D-9</w:t>
            </w:r>
          </w:p>
        </w:tc>
      </w:tr>
      <w:tr w:rsidR="00561F31" w:rsidRPr="00F90EAE" w14:paraId="63F1ABCE" w14:textId="77777777">
        <w:tc>
          <w:tcPr>
            <w:tcW w:w="3736" w:type="dxa"/>
          </w:tcPr>
          <w:p w14:paraId="56F364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w:t>
            </w:r>
          </w:p>
        </w:tc>
        <w:tc>
          <w:tcPr>
            <w:tcW w:w="3736" w:type="dxa"/>
          </w:tcPr>
          <w:p w14:paraId="5271BE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BMW 801</w:t>
            </w:r>
          </w:p>
        </w:tc>
        <w:tc>
          <w:tcPr>
            <w:tcW w:w="3736" w:type="dxa"/>
          </w:tcPr>
          <w:p w14:paraId="709374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Jumo 21 ЗА</w:t>
            </w:r>
          </w:p>
        </w:tc>
      </w:tr>
      <w:tr w:rsidR="00561F31" w:rsidRPr="00F90EAE" w14:paraId="21DEB26D" w14:textId="77777777">
        <w:tc>
          <w:tcPr>
            <w:tcW w:w="3736" w:type="dxa"/>
          </w:tcPr>
          <w:p w14:paraId="4958EC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л.с.: взлётная</w:t>
            </w:r>
          </w:p>
        </w:tc>
        <w:tc>
          <w:tcPr>
            <w:tcW w:w="3736" w:type="dxa"/>
          </w:tcPr>
          <w:p w14:paraId="7375F5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1580</w:t>
            </w:r>
          </w:p>
        </w:tc>
        <w:tc>
          <w:tcPr>
            <w:tcW w:w="3736" w:type="dxa"/>
          </w:tcPr>
          <w:p w14:paraId="0F5A9A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1900**</w:t>
            </w:r>
          </w:p>
        </w:tc>
      </w:tr>
      <w:tr w:rsidR="00561F31" w:rsidRPr="00F90EAE" w14:paraId="5DF1C175" w14:textId="77777777">
        <w:tc>
          <w:tcPr>
            <w:tcW w:w="3736" w:type="dxa"/>
          </w:tcPr>
          <w:p w14:paraId="776FBE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первой границе высотности, м на второй границе высотности, м</w:t>
            </w:r>
          </w:p>
        </w:tc>
        <w:tc>
          <w:tcPr>
            <w:tcW w:w="3736" w:type="dxa"/>
          </w:tcPr>
          <w:p w14:paraId="14E7BE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1460/4970*</w:t>
            </w:r>
          </w:p>
        </w:tc>
        <w:tc>
          <w:tcPr>
            <w:tcW w:w="3736" w:type="dxa"/>
          </w:tcPr>
          <w:p w14:paraId="1972A35C"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181FD42" w14:textId="77777777">
        <w:tc>
          <w:tcPr>
            <w:tcW w:w="3736" w:type="dxa"/>
          </w:tcPr>
          <w:p w14:paraId="1E9798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3736" w:type="dxa"/>
          </w:tcPr>
          <w:p w14:paraId="38CE78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63F823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17B718F" w14:textId="77777777">
        <w:tc>
          <w:tcPr>
            <w:tcW w:w="3736" w:type="dxa"/>
          </w:tcPr>
          <w:p w14:paraId="32DDB7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самолёта, м</w:t>
            </w:r>
          </w:p>
        </w:tc>
        <w:tc>
          <w:tcPr>
            <w:tcW w:w="3736" w:type="dxa"/>
          </w:tcPr>
          <w:p w14:paraId="7EC255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8,95</w:t>
            </w:r>
          </w:p>
        </w:tc>
        <w:tc>
          <w:tcPr>
            <w:tcW w:w="3736" w:type="dxa"/>
          </w:tcPr>
          <w:p w14:paraId="005D2C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10,38</w:t>
            </w:r>
          </w:p>
        </w:tc>
      </w:tr>
      <w:tr w:rsidR="00561F31" w:rsidRPr="00F90EAE" w14:paraId="4332A2D0" w14:textId="77777777">
        <w:tc>
          <w:tcPr>
            <w:tcW w:w="3736" w:type="dxa"/>
          </w:tcPr>
          <w:p w14:paraId="47C02D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w:t>
            </w:r>
          </w:p>
        </w:tc>
        <w:tc>
          <w:tcPr>
            <w:tcW w:w="3736" w:type="dxa"/>
          </w:tcPr>
          <w:p w14:paraId="32ADCC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508CC3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2BFE633B" w14:textId="77777777">
        <w:tc>
          <w:tcPr>
            <w:tcW w:w="3736" w:type="dxa"/>
          </w:tcPr>
          <w:p w14:paraId="089CDA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Взлётный вес, кг</w:t>
            </w:r>
          </w:p>
        </w:tc>
        <w:tc>
          <w:tcPr>
            <w:tcW w:w="3736" w:type="dxa"/>
          </w:tcPr>
          <w:p w14:paraId="04758C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3986</w:t>
            </w:r>
          </w:p>
        </w:tc>
        <w:tc>
          <w:tcPr>
            <w:tcW w:w="3736" w:type="dxa"/>
          </w:tcPr>
          <w:p w14:paraId="2CA0B2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4197</w:t>
            </w:r>
          </w:p>
        </w:tc>
      </w:tr>
      <w:tr w:rsidR="00561F31" w:rsidRPr="00F90EAE" w14:paraId="5034B4EE" w14:textId="77777777">
        <w:tc>
          <w:tcPr>
            <w:tcW w:w="3736" w:type="dxa"/>
          </w:tcPr>
          <w:p w14:paraId="59319C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3736" w:type="dxa"/>
          </w:tcPr>
          <w:p w14:paraId="5F4B2B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61D1FF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343DB4D" w14:textId="77777777">
        <w:tc>
          <w:tcPr>
            <w:tcW w:w="3736" w:type="dxa"/>
          </w:tcPr>
          <w:p w14:paraId="110DED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горючего, кг</w:t>
            </w:r>
          </w:p>
        </w:tc>
        <w:tc>
          <w:tcPr>
            <w:tcW w:w="3736" w:type="dxa"/>
          </w:tcPr>
          <w:p w14:paraId="5E5EDA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3736" w:type="dxa"/>
          </w:tcPr>
          <w:p w14:paraId="77F4BE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47Q***</w:t>
            </w:r>
          </w:p>
        </w:tc>
      </w:tr>
      <w:tr w:rsidR="00561F31" w:rsidRPr="00F90EAE" w14:paraId="1698600B" w14:textId="77777777">
        <w:tc>
          <w:tcPr>
            <w:tcW w:w="3736" w:type="dxa"/>
          </w:tcPr>
          <w:p w14:paraId="5D40D4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км/ч: у земли</w:t>
            </w:r>
          </w:p>
        </w:tc>
        <w:tc>
          <w:tcPr>
            <w:tcW w:w="3736" w:type="dxa"/>
          </w:tcPr>
          <w:p w14:paraId="1B269B7D" w14:textId="77777777" w:rsidR="00665165" w:rsidRPr="00F90EAE" w:rsidRDefault="00665165" w:rsidP="00F90EAE">
            <w:pPr>
              <w:autoSpaceDE w:val="0"/>
              <w:autoSpaceDN w:val="0"/>
              <w:adjustRightInd w:val="0"/>
              <w:jc w:val="both"/>
              <w:rPr>
                <w:color w:val="000000" w:themeColor="text1"/>
                <w:sz w:val="16"/>
                <w:szCs w:val="16"/>
              </w:rPr>
            </w:pPr>
          </w:p>
        </w:tc>
        <w:tc>
          <w:tcPr>
            <w:tcW w:w="3736" w:type="dxa"/>
          </w:tcPr>
          <w:p w14:paraId="3327BD5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211A7FC2" w14:textId="77777777">
        <w:tc>
          <w:tcPr>
            <w:tcW w:w="3736" w:type="dxa"/>
          </w:tcPr>
          <w:p w14:paraId="6EA955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1-й границе высотности, м на 2-й границе высотности, м</w:t>
            </w:r>
          </w:p>
        </w:tc>
        <w:tc>
          <w:tcPr>
            <w:tcW w:w="3736" w:type="dxa"/>
          </w:tcPr>
          <w:p w14:paraId="715017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542 569/1250 642/2650</w:t>
            </w:r>
          </w:p>
        </w:tc>
        <w:tc>
          <w:tcPr>
            <w:tcW w:w="3736" w:type="dxa"/>
          </w:tcPr>
          <w:p w14:paraId="28A6C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543 595/ - 646/-</w:t>
            </w:r>
          </w:p>
        </w:tc>
      </w:tr>
      <w:tr w:rsidR="00561F31" w:rsidRPr="00F90EAE" w14:paraId="334A5777" w14:textId="77777777">
        <w:tc>
          <w:tcPr>
            <w:tcW w:w="3736" w:type="dxa"/>
          </w:tcPr>
          <w:p w14:paraId="10A40C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3736" w:type="dxa"/>
          </w:tcPr>
          <w:p w14:paraId="0070CD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w:t>
            </w:r>
          </w:p>
        </w:tc>
        <w:tc>
          <w:tcPr>
            <w:tcW w:w="3736" w:type="dxa"/>
          </w:tcPr>
          <w:p w14:paraId="028E9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5,6</w:t>
            </w:r>
          </w:p>
        </w:tc>
      </w:tr>
      <w:tr w:rsidR="00561F31" w:rsidRPr="00F90EAE" w14:paraId="59CD0D1D" w14:textId="77777777">
        <w:tc>
          <w:tcPr>
            <w:tcW w:w="3736" w:type="dxa"/>
          </w:tcPr>
          <w:p w14:paraId="460A45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3736" w:type="dxa"/>
          </w:tcPr>
          <w:p w14:paraId="131787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08A916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10 800</w:t>
            </w:r>
          </w:p>
        </w:tc>
      </w:tr>
      <w:tr w:rsidR="00561F31" w:rsidRPr="00F90EAE" w14:paraId="2A4A333E" w14:textId="77777777">
        <w:tc>
          <w:tcPr>
            <w:tcW w:w="3736" w:type="dxa"/>
          </w:tcPr>
          <w:p w14:paraId="2A7CE5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высоте 1000 м, с</w:t>
            </w:r>
          </w:p>
        </w:tc>
        <w:tc>
          <w:tcPr>
            <w:tcW w:w="3736" w:type="dxa"/>
          </w:tcPr>
          <w:p w14:paraId="146A3E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3736" w:type="dxa"/>
          </w:tcPr>
          <w:p w14:paraId="4AEE12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22-23</w:t>
            </w:r>
          </w:p>
        </w:tc>
      </w:tr>
      <w:tr w:rsidR="00561F31" w:rsidRPr="00F90EAE" w14:paraId="06A091B1" w14:textId="77777777">
        <w:tc>
          <w:tcPr>
            <w:tcW w:w="3736" w:type="dxa"/>
            <w:tcBorders>
              <w:bottom w:val="single" w:sz="12" w:space="0" w:color="auto"/>
            </w:tcBorders>
          </w:tcPr>
          <w:p w14:paraId="7B9C95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количествохкалибр, мм</w:t>
            </w:r>
          </w:p>
        </w:tc>
        <w:tc>
          <w:tcPr>
            <w:tcW w:w="3736" w:type="dxa"/>
            <w:tcBorders>
              <w:bottom w:val="single" w:sz="12" w:space="0" w:color="auto"/>
            </w:tcBorders>
          </w:tcPr>
          <w:p w14:paraId="41282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2x20;2x13</w:t>
            </w:r>
          </w:p>
        </w:tc>
        <w:tc>
          <w:tcPr>
            <w:tcW w:w="3736" w:type="dxa"/>
            <w:tcBorders>
              <w:bottom w:val="single" w:sz="12" w:space="0" w:color="auto"/>
            </w:tcBorders>
          </w:tcPr>
          <w:p w14:paraId="3C4037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2x20;2x13</w:t>
            </w:r>
          </w:p>
        </w:tc>
      </w:tr>
    </w:tbl>
    <w:p w14:paraId="5901E8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Примечание: * Максимальная (одноминутная) мощность мотора- 1760 л.с. на высоте 5500 м.</w:t>
      </w:r>
    </w:p>
    <w:p w14:paraId="394FAE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чрезвычайном режиме - 2100 л.с. * * *Общая ёмкость бензобаков - 642 л, предусмотрены подвесные баки на 300 л (11896).</w:t>
      </w:r>
    </w:p>
    <w:p w14:paraId="40E03F0F" w14:textId="77777777" w:rsidR="00665165" w:rsidRPr="00F90EAE" w:rsidRDefault="00665165" w:rsidP="00F90EAE">
      <w:pPr>
        <w:autoSpaceDE w:val="0"/>
        <w:autoSpaceDN w:val="0"/>
        <w:adjustRightInd w:val="0"/>
        <w:jc w:val="both"/>
        <w:rPr>
          <w:color w:val="000000" w:themeColor="text1"/>
          <w:sz w:val="16"/>
          <w:szCs w:val="16"/>
        </w:rPr>
      </w:pPr>
    </w:p>
    <w:p w14:paraId="75DFFB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зам. командующего ВВС маршал авиации Фалалеев и член военного совета ВВС генерал-полковник авиации Шиманов писали письмо N 703158 Шахурину.</w:t>
      </w:r>
    </w:p>
    <w:p w14:paraId="2CB356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войсковых испытаний на боевое применение самолетов ЯК-9Б, проведенных 130 истребительной авиационной дивизией, командующий 1 ВА генерал-полковник авиации Хрюкин и гл. инженер армии генерал-майор ИАС Бондаренко сделали следующее заключение:</w:t>
      </w:r>
    </w:p>
    <w:p w14:paraId="770A10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Самолет ЯК-9б в предъявленном варианте, как истребитель-бомбардировщик, на войсковых испытаниях показал себя неудовлетворительно, как по летно-тактическим, так и по эксплуатационным качествам.</w:t>
      </w:r>
    </w:p>
    <w:p w14:paraId="582F25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Использование самолета ЯК-9б в предъявленном варианте, как истребителя-бомбардировщика, возможно только по площадным и линейным целям и то после устранения всех конструктивных недостатков бомбардировочного вооружения, отмеченных в отчете.</w:t>
      </w:r>
    </w:p>
    <w:p w14:paraId="23CCD8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Дальнейшее строительство самолета ЯК-9б, в предъявленном на войсковые испытания варианте, нецелесообразно.</w:t>
      </w:r>
    </w:p>
    <w:p w14:paraId="049F01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свою очередь гл. маршал авиации, утверждая отчет по результатам войсковых испытаний, отметил:</w:t>
      </w:r>
    </w:p>
    <w:p w14:paraId="631734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истребитель-бомбардировщик при существующем варианте ЯК-9б крайне ограничен для боевого применения, как бомбардировщик, поэтому до устранения всех недостатков, изложенных в акте, в строевые части выпускать нецелесообразно. Летный состав крайне неохотно летает на данном типе самолета. Предложить конструктору самолет довести".</w:t>
      </w:r>
    </w:p>
    <w:p w14:paraId="0C3E76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настоящее время завод N 135, согласно Постановлению ГОКО N 7225 от 29 декабря 1944 года производит переоборудование самолетов ЯК-9 с ВК-105ПФ в варианте истребителя-бомбардировщика, причем на самолетах по-прежнему не устранены дефекты, указанные в акте войсковых испытаний, а бомбовая нагрузка составляет всего 300 кг, вместо требуемых постановлением ГОКО - 400 кг.</w:t>
      </w:r>
    </w:p>
    <w:p w14:paraId="5365D6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связи с этим ВВС согласно принять от НКАП указанные самолеты в нормальном истребительном варианте.</w:t>
      </w:r>
    </w:p>
    <w:p w14:paraId="04F1AC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Первый же самолет с устранением на нем дефектов, выявленных войсковыми испытаниями на боевое применение, прошу направить в ГК НИИ ВВС на испытание (1879,175).</w:t>
      </w:r>
    </w:p>
    <w:p w14:paraId="46703234" w14:textId="77777777" w:rsidR="00665165" w:rsidRPr="00F90EAE" w:rsidRDefault="00665165" w:rsidP="00F90EAE">
      <w:pPr>
        <w:autoSpaceDE w:val="0"/>
        <w:autoSpaceDN w:val="0"/>
        <w:adjustRightInd w:val="0"/>
        <w:jc w:val="both"/>
        <w:rPr>
          <w:color w:val="000000" w:themeColor="text1"/>
          <w:sz w:val="16"/>
          <w:szCs w:val="16"/>
        </w:rPr>
      </w:pPr>
    </w:p>
    <w:p w14:paraId="5942CA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 Анохин выполнял контрольные испытания истребителя Як-3 на прочность. Разрушение самолёта не предусматривалось, но и не исключалось. Надо было сделать 12 режимов с перегрузками. На пятом режиме у самолёта отломилось крыло. Лётчику стоило огромных усилий и самообладания сбросить фонарь и выпрыгнуть с парашютом из беспорядочно падающего к земле самолёта. Он получил тяжёлые ранения и потерял левый глаз. Через два месяца, после выхода из госпиталя, перед лётчиком стал выбор дальнейшего жизненного пути. Решение однозначно: только летать! Начинаются долгие месяцы усиленных тренировок. Он всячески разрабатывает глубинное зрение. И эти усилия оказались не напрасны. Уже в декабре возвращается к лётно-испытательной работе в ЛИИ и сразу же подключается к проведению самых сложных и ответственных испытаний (5996).</w:t>
      </w:r>
    </w:p>
    <w:p w14:paraId="726394B7" w14:textId="77777777" w:rsidR="00665165" w:rsidRPr="00F90EAE" w:rsidRDefault="00665165" w:rsidP="00F90EAE">
      <w:pPr>
        <w:autoSpaceDE w:val="0"/>
        <w:autoSpaceDN w:val="0"/>
        <w:adjustRightInd w:val="0"/>
        <w:jc w:val="both"/>
        <w:rPr>
          <w:color w:val="000000" w:themeColor="text1"/>
          <w:sz w:val="16"/>
          <w:szCs w:val="16"/>
        </w:rPr>
      </w:pPr>
    </w:p>
    <w:p w14:paraId="714D2C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завод № 292 получил указание завершить производство Як-3 с мотором ВК-105ПФ-2 и перейти на выпуск самолетов с ВК-107А с металлическими крылом и оперением. По плану в августе 1945 года завод №292 должен был выпустить десять самолетов такой модификации, но построили лишь четыре машины (включая одну для статиспытаний), и то в 1946 году (12047).</w:t>
      </w:r>
    </w:p>
    <w:p w14:paraId="38B92240" w14:textId="77777777" w:rsidR="00665165" w:rsidRPr="00F90EAE" w:rsidRDefault="00665165" w:rsidP="00F90EAE">
      <w:pPr>
        <w:autoSpaceDE w:val="0"/>
        <w:autoSpaceDN w:val="0"/>
        <w:adjustRightInd w:val="0"/>
        <w:jc w:val="both"/>
        <w:rPr>
          <w:color w:val="000000" w:themeColor="text1"/>
          <w:sz w:val="16"/>
          <w:szCs w:val="16"/>
        </w:rPr>
      </w:pPr>
    </w:p>
    <w:p w14:paraId="3163CCE3" w14:textId="77777777" w:rsidR="006825F8" w:rsidRPr="00F90EAE" w:rsidRDefault="006825F8" w:rsidP="00F90EAE">
      <w:pPr>
        <w:pStyle w:val="Bodytext1"/>
        <w:shd w:val="clear" w:color="auto" w:fill="auto"/>
        <w:spacing w:line="240" w:lineRule="auto"/>
        <w:ind w:firstLine="0"/>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мае 1945 г. началось проек</w:t>
      </w:r>
      <w:r w:rsidRPr="00F90EAE">
        <w:rPr>
          <w:rFonts w:ascii="Times New Roman" w:hAnsi="Times New Roman" w:cs="Times New Roman"/>
          <w:color w:val="000000" w:themeColor="text1"/>
          <w:sz w:val="16"/>
          <w:szCs w:val="16"/>
        </w:rPr>
        <w:softHyphen/>
        <w:t>тирование Як-15, но уже в начале 1944 г. в состав куриру</w:t>
      </w:r>
      <w:r w:rsidRPr="00F90EAE">
        <w:rPr>
          <w:rFonts w:ascii="Times New Roman" w:hAnsi="Times New Roman" w:cs="Times New Roman"/>
          <w:color w:val="000000" w:themeColor="text1"/>
          <w:sz w:val="16"/>
          <w:szCs w:val="16"/>
        </w:rPr>
        <w:softHyphen/>
        <w:t xml:space="preserve">емого им НИИ-1 была включена бригада </w:t>
      </w:r>
      <w:r w:rsidRPr="00F90EAE">
        <w:rPr>
          <w:rFonts w:ascii="Times New Roman" w:hAnsi="Times New Roman" w:cs="Times New Roman"/>
          <w:color w:val="000000" w:themeColor="text1"/>
          <w:sz w:val="16"/>
          <w:szCs w:val="16"/>
          <w:lang w:val="en-US"/>
        </w:rPr>
        <w:t>A</w:t>
      </w:r>
      <w:r w:rsidRPr="00F90EAE">
        <w:rPr>
          <w:rFonts w:ascii="Times New Roman" w:hAnsi="Times New Roman" w:cs="Times New Roman"/>
          <w:color w:val="000000" w:themeColor="text1"/>
          <w:sz w:val="16"/>
          <w:szCs w:val="16"/>
        </w:rPr>
        <w:t>.</w:t>
      </w:r>
      <w:r w:rsidRPr="00F90EAE">
        <w:rPr>
          <w:rFonts w:ascii="Times New Roman" w:hAnsi="Times New Roman" w:cs="Times New Roman"/>
          <w:color w:val="000000" w:themeColor="text1"/>
          <w:sz w:val="16"/>
          <w:szCs w:val="16"/>
          <w:lang w:val="en-US"/>
        </w:rPr>
        <w:t>M</w:t>
      </w:r>
      <w:r w:rsidRPr="00F90EAE">
        <w:rPr>
          <w:rFonts w:ascii="Times New Roman" w:hAnsi="Times New Roman" w:cs="Times New Roman"/>
          <w:color w:val="000000" w:themeColor="text1"/>
          <w:sz w:val="16"/>
          <w:szCs w:val="16"/>
        </w:rPr>
        <w:t>. Люльки, которая занималась как раз проектированием отечественных ТРД (18742).</w:t>
      </w:r>
    </w:p>
    <w:p w14:paraId="5CB7FFEC" w14:textId="77777777" w:rsidR="006825F8" w:rsidRPr="00F90EAE" w:rsidRDefault="006825F8" w:rsidP="00F90EAE">
      <w:pPr>
        <w:jc w:val="both"/>
        <w:rPr>
          <w:color w:val="000000" w:themeColor="text1"/>
          <w:sz w:val="16"/>
          <w:szCs w:val="16"/>
        </w:rPr>
      </w:pPr>
    </w:p>
    <w:p w14:paraId="19E1EA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мая 1945 ОКБ А.И.М. разрабатывало проект И-260 с двумя двигателями на консолях, но с началом работ по И-300 - свернули (7418, 28).</w:t>
      </w:r>
    </w:p>
    <w:p w14:paraId="0AE6AFEB" w14:textId="77777777" w:rsidR="00665165" w:rsidRPr="00F90EAE" w:rsidRDefault="00665165" w:rsidP="00F90EAE">
      <w:pPr>
        <w:autoSpaceDE w:val="0"/>
        <w:autoSpaceDN w:val="0"/>
        <w:adjustRightInd w:val="0"/>
        <w:jc w:val="both"/>
        <w:rPr>
          <w:color w:val="000000" w:themeColor="text1"/>
          <w:sz w:val="16"/>
          <w:szCs w:val="16"/>
        </w:rPr>
      </w:pPr>
    </w:p>
    <w:p w14:paraId="4EF78E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на заводские испытания поступил второй экземпляр истребителя И-250, который совершил первый полет 26 мая 1945 г. под управлением А.П.Деева (6000).</w:t>
      </w:r>
    </w:p>
    <w:p w14:paraId="0A1C230E" w14:textId="77777777" w:rsidR="00665165" w:rsidRPr="00F90EAE" w:rsidRDefault="00665165" w:rsidP="00F90EAE">
      <w:pPr>
        <w:autoSpaceDE w:val="0"/>
        <w:autoSpaceDN w:val="0"/>
        <w:adjustRightInd w:val="0"/>
        <w:jc w:val="both"/>
        <w:rPr>
          <w:color w:val="000000" w:themeColor="text1"/>
          <w:sz w:val="16"/>
          <w:szCs w:val="16"/>
        </w:rPr>
      </w:pPr>
    </w:p>
    <w:p w14:paraId="747991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на заводских испытаниях Як-3РД с РД-1 была достигнута скорость 782 км/ч (237,206).</w:t>
      </w:r>
    </w:p>
    <w:p w14:paraId="76C42572" w14:textId="77777777" w:rsidR="00665165" w:rsidRPr="00F90EAE" w:rsidRDefault="00665165" w:rsidP="00F90EAE">
      <w:pPr>
        <w:autoSpaceDE w:val="0"/>
        <w:autoSpaceDN w:val="0"/>
        <w:adjustRightInd w:val="0"/>
        <w:jc w:val="both"/>
        <w:rPr>
          <w:color w:val="000000" w:themeColor="text1"/>
          <w:sz w:val="16"/>
          <w:szCs w:val="16"/>
        </w:rPr>
      </w:pPr>
    </w:p>
    <w:p w14:paraId="5DDD71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были подготовлены справки по характеристикам серийных самолетов:</w:t>
      </w:r>
    </w:p>
    <w:p w14:paraId="1346526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Истребители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561F31" w:rsidRPr="00F90EAE" w14:paraId="6472CD9F" w14:textId="77777777">
        <w:tc>
          <w:tcPr>
            <w:tcW w:w="4219" w:type="dxa"/>
            <w:tcBorders>
              <w:top w:val="single" w:sz="12" w:space="0" w:color="auto"/>
            </w:tcBorders>
            <w:shd w:val="clear" w:color="auto" w:fill="FFFFFF"/>
          </w:tcPr>
          <w:p w14:paraId="0BD3A4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 с мототром ВК-107А</w:t>
            </w:r>
          </w:p>
        </w:tc>
        <w:tc>
          <w:tcPr>
            <w:tcW w:w="4253" w:type="dxa"/>
            <w:tcBorders>
              <w:top w:val="single" w:sz="12" w:space="0" w:color="auto"/>
            </w:tcBorders>
            <w:shd w:val="clear" w:color="auto" w:fill="FFFFFF"/>
          </w:tcPr>
          <w:p w14:paraId="51527C2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01930AC" w14:textId="77777777">
        <w:tc>
          <w:tcPr>
            <w:tcW w:w="4219" w:type="dxa"/>
            <w:shd w:val="clear" w:color="auto" w:fill="FFFFFF"/>
          </w:tcPr>
          <w:p w14:paraId="23472F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7CF9A4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531 км/час</w:t>
            </w:r>
          </w:p>
        </w:tc>
      </w:tr>
      <w:tr w:rsidR="00561F31" w:rsidRPr="00F90EAE" w14:paraId="7B75903C" w14:textId="77777777">
        <w:tc>
          <w:tcPr>
            <w:tcW w:w="4219" w:type="dxa"/>
            <w:shd w:val="clear" w:color="auto" w:fill="FFFFFF"/>
          </w:tcPr>
          <w:p w14:paraId="316CE5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5100 мт</w:t>
            </w:r>
          </w:p>
        </w:tc>
        <w:tc>
          <w:tcPr>
            <w:tcW w:w="4253" w:type="dxa"/>
            <w:shd w:val="clear" w:color="auto" w:fill="FFFFFF"/>
          </w:tcPr>
          <w:p w14:paraId="399A9C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679</w:t>
            </w:r>
          </w:p>
        </w:tc>
      </w:tr>
      <w:tr w:rsidR="00561F31" w:rsidRPr="00F90EAE" w14:paraId="6BDDB5A9" w14:textId="77777777">
        <w:tc>
          <w:tcPr>
            <w:tcW w:w="4219" w:type="dxa"/>
            <w:shd w:val="clear" w:color="auto" w:fill="FFFFFF"/>
          </w:tcPr>
          <w:p w14:paraId="682B50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под"ёма на высоту 5000 м</w:t>
            </w:r>
          </w:p>
        </w:tc>
        <w:tc>
          <w:tcPr>
            <w:tcW w:w="4253" w:type="dxa"/>
            <w:shd w:val="clear" w:color="auto" w:fill="FFFFFF"/>
          </w:tcPr>
          <w:p w14:paraId="60A9C4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 мин</w:t>
            </w:r>
            <w:r w:rsidRPr="00F90EAE">
              <w:rPr>
                <w:smallCaps/>
                <w:color w:val="000000" w:themeColor="text1"/>
                <w:sz w:val="16"/>
                <w:szCs w:val="16"/>
              </w:rPr>
              <w:t>.</w:t>
            </w:r>
          </w:p>
        </w:tc>
      </w:tr>
      <w:tr w:rsidR="00561F31" w:rsidRPr="00F90EAE" w14:paraId="4EC8C816" w14:textId="77777777">
        <w:tc>
          <w:tcPr>
            <w:tcW w:w="4219" w:type="dxa"/>
            <w:shd w:val="clear" w:color="auto" w:fill="FFFFFF"/>
          </w:tcPr>
          <w:p w14:paraId="338F0A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11A054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11600 м</w:t>
            </w:r>
          </w:p>
        </w:tc>
      </w:tr>
      <w:tr w:rsidR="00561F31" w:rsidRPr="00F90EAE" w14:paraId="47A3402E" w14:textId="77777777">
        <w:tc>
          <w:tcPr>
            <w:tcW w:w="4219" w:type="dxa"/>
            <w:shd w:val="clear" w:color="auto" w:fill="FFFFFF"/>
          </w:tcPr>
          <w:p w14:paraId="07B0DA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дальности на 0,9 максимальн. скорости на высоте 5000 мт.</w:t>
            </w:r>
          </w:p>
        </w:tc>
        <w:tc>
          <w:tcPr>
            <w:tcW w:w="4253" w:type="dxa"/>
            <w:shd w:val="clear" w:color="auto" w:fill="FFFFFF"/>
          </w:tcPr>
          <w:p w14:paraId="26ACA0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675 км</w:t>
            </w:r>
          </w:p>
        </w:tc>
      </w:tr>
      <w:tr w:rsidR="00561F31" w:rsidRPr="00F90EAE" w14:paraId="307BCBDB" w14:textId="77777777">
        <w:tc>
          <w:tcPr>
            <w:tcW w:w="4219" w:type="dxa"/>
            <w:shd w:val="clear" w:color="auto" w:fill="FFFFFF"/>
          </w:tcPr>
          <w:p w14:paraId="5CE20A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Полетный вес нормальный</w:t>
            </w:r>
          </w:p>
        </w:tc>
        <w:tc>
          <w:tcPr>
            <w:tcW w:w="4253" w:type="dxa"/>
            <w:shd w:val="clear" w:color="auto" w:fill="FFFFFF"/>
          </w:tcPr>
          <w:p w14:paraId="66A7051B" w14:textId="77777777" w:rsidR="00665165" w:rsidRPr="00F90EAE" w:rsidRDefault="00665165" w:rsidP="00F90EAE">
            <w:pPr>
              <w:autoSpaceDE w:val="0"/>
              <w:autoSpaceDN w:val="0"/>
              <w:adjustRightInd w:val="0"/>
              <w:jc w:val="both"/>
              <w:rPr>
                <w:color w:val="000000" w:themeColor="text1"/>
                <w:sz w:val="16"/>
                <w:szCs w:val="16"/>
                <w:vertAlign w:val="superscript"/>
              </w:rPr>
            </w:pPr>
            <w:r w:rsidRPr="00F90EAE">
              <w:rPr>
                <w:color w:val="000000" w:themeColor="text1"/>
                <w:sz w:val="16"/>
                <w:szCs w:val="16"/>
              </w:rPr>
              <w:t>3175 кг</w:t>
            </w:r>
          </w:p>
        </w:tc>
      </w:tr>
      <w:tr w:rsidR="00561F31" w:rsidRPr="00F90EAE" w14:paraId="67782639" w14:textId="77777777">
        <w:tc>
          <w:tcPr>
            <w:tcW w:w="4219" w:type="dxa"/>
            <w:shd w:val="clear" w:color="auto" w:fill="FFFFFF"/>
          </w:tcPr>
          <w:p w14:paraId="18484B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4253" w:type="dxa"/>
            <w:shd w:val="clear" w:color="auto" w:fill="FFFFFF"/>
          </w:tcPr>
          <w:p w14:paraId="288092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мотор-пупка калибра 20 мм</w:t>
            </w:r>
          </w:p>
        </w:tc>
      </w:tr>
      <w:tr w:rsidR="00561F31" w:rsidRPr="00F90EAE" w14:paraId="287D2A2B" w14:textId="77777777">
        <w:tc>
          <w:tcPr>
            <w:tcW w:w="4219" w:type="dxa"/>
            <w:shd w:val="clear" w:color="auto" w:fill="FFFFFF"/>
          </w:tcPr>
          <w:p w14:paraId="075F4BA7"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6DE5EB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синхронных пулемёта калибра 12,7 мм</w:t>
            </w:r>
          </w:p>
        </w:tc>
      </w:tr>
      <w:tr w:rsidR="00561F31" w:rsidRPr="00F90EAE" w14:paraId="3E961E46" w14:textId="77777777">
        <w:tc>
          <w:tcPr>
            <w:tcW w:w="4219" w:type="dxa"/>
            <w:shd w:val="clear" w:color="auto" w:fill="FFFFFF"/>
          </w:tcPr>
          <w:p w14:paraId="64C78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565CBB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испытаниях самолёта № 3929 выпуска завода № 166 от 5 декабря 1944 года.</w:t>
            </w:r>
          </w:p>
        </w:tc>
      </w:tr>
      <w:tr w:rsidR="00561F31" w:rsidRPr="00F90EAE" w14:paraId="4BCC64BE" w14:textId="77777777">
        <w:tc>
          <w:tcPr>
            <w:tcW w:w="4219" w:type="dxa"/>
            <w:shd w:val="clear" w:color="auto" w:fill="FFFFFF"/>
          </w:tcPr>
          <w:p w14:paraId="20142BAA"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40DBD0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указана по результатам госиспытаний НИИ ВВС КА серийного самолёта</w:t>
            </w:r>
          </w:p>
        </w:tc>
      </w:tr>
      <w:tr w:rsidR="00561F31" w:rsidRPr="00F90EAE" w14:paraId="211DEEDF" w14:textId="77777777">
        <w:tc>
          <w:tcPr>
            <w:tcW w:w="4219" w:type="dxa"/>
            <w:shd w:val="clear" w:color="auto" w:fill="FFFFFF"/>
          </w:tcPr>
          <w:p w14:paraId="7B41B6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с мотором М-105ПФ</w:t>
            </w:r>
          </w:p>
        </w:tc>
        <w:tc>
          <w:tcPr>
            <w:tcW w:w="4253" w:type="dxa"/>
            <w:shd w:val="clear" w:color="auto" w:fill="FFFFFF"/>
          </w:tcPr>
          <w:p w14:paraId="22FB635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92D9253" w14:textId="77777777">
        <w:tc>
          <w:tcPr>
            <w:tcW w:w="4219" w:type="dxa"/>
            <w:shd w:val="clear" w:color="auto" w:fill="FFFFFF"/>
          </w:tcPr>
          <w:p w14:paraId="1461AF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029DC2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 км/час</w:t>
            </w:r>
          </w:p>
        </w:tc>
      </w:tr>
      <w:tr w:rsidR="00561F31" w:rsidRPr="00F90EAE" w14:paraId="3B279010" w14:textId="77777777">
        <w:tc>
          <w:tcPr>
            <w:tcW w:w="4219" w:type="dxa"/>
            <w:shd w:val="clear" w:color="auto" w:fill="FFFFFF"/>
          </w:tcPr>
          <w:p w14:paraId="645383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4100 м</w:t>
            </w:r>
          </w:p>
        </w:tc>
        <w:tc>
          <w:tcPr>
            <w:tcW w:w="4253" w:type="dxa"/>
            <w:shd w:val="clear" w:color="auto" w:fill="FFFFFF"/>
          </w:tcPr>
          <w:p w14:paraId="72EE4D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650 -•-</w:t>
            </w:r>
          </w:p>
        </w:tc>
      </w:tr>
      <w:tr w:rsidR="00561F31" w:rsidRPr="00F90EAE" w14:paraId="55C3BE14" w14:textId="77777777">
        <w:tc>
          <w:tcPr>
            <w:tcW w:w="4219" w:type="dxa"/>
            <w:shd w:val="clear" w:color="auto" w:fill="FFFFFF"/>
          </w:tcPr>
          <w:p w14:paraId="77CE8C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под”ёма на высоту 5000 м</w:t>
            </w:r>
          </w:p>
        </w:tc>
        <w:tc>
          <w:tcPr>
            <w:tcW w:w="4253" w:type="dxa"/>
            <w:shd w:val="clear" w:color="auto" w:fill="FFFFFF"/>
          </w:tcPr>
          <w:p w14:paraId="4A024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4,6 минут</w:t>
            </w:r>
          </w:p>
        </w:tc>
      </w:tr>
      <w:tr w:rsidR="00561F31" w:rsidRPr="00F90EAE" w14:paraId="5BCECE62" w14:textId="77777777">
        <w:tc>
          <w:tcPr>
            <w:tcW w:w="4219" w:type="dxa"/>
            <w:shd w:val="clear" w:color="auto" w:fill="FFFFFF"/>
          </w:tcPr>
          <w:p w14:paraId="515FFA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6A1251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10800 м</w:t>
            </w:r>
          </w:p>
        </w:tc>
      </w:tr>
      <w:tr w:rsidR="00561F31" w:rsidRPr="00F90EAE" w14:paraId="4350340A" w14:textId="77777777">
        <w:tc>
          <w:tcPr>
            <w:tcW w:w="4219" w:type="dxa"/>
            <w:shd w:val="clear" w:color="auto" w:fill="FFFFFF"/>
          </w:tcPr>
          <w:p w14:paraId="27D068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0,9 максимальн. скорости на высоте 4350 м</w:t>
            </w:r>
          </w:p>
        </w:tc>
        <w:tc>
          <w:tcPr>
            <w:tcW w:w="4253" w:type="dxa"/>
            <w:shd w:val="clear" w:color="auto" w:fill="FFFFFF"/>
          </w:tcPr>
          <w:p w14:paraId="014EB3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 км</w:t>
            </w:r>
          </w:p>
        </w:tc>
      </w:tr>
      <w:tr w:rsidR="00561F31" w:rsidRPr="00F90EAE" w14:paraId="6269813A" w14:textId="77777777">
        <w:tc>
          <w:tcPr>
            <w:tcW w:w="4219" w:type="dxa"/>
            <w:shd w:val="clear" w:color="auto" w:fill="FFFFFF"/>
          </w:tcPr>
          <w:p w14:paraId="76E939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нормальный</w:t>
            </w:r>
          </w:p>
        </w:tc>
        <w:tc>
          <w:tcPr>
            <w:tcW w:w="4253" w:type="dxa"/>
            <w:shd w:val="clear" w:color="auto" w:fill="FFFFFF"/>
          </w:tcPr>
          <w:p w14:paraId="6C610E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2333 кг</w:t>
            </w:r>
          </w:p>
        </w:tc>
      </w:tr>
      <w:tr w:rsidR="00561F31" w:rsidRPr="00F90EAE" w14:paraId="574D92C4" w14:textId="77777777">
        <w:tc>
          <w:tcPr>
            <w:tcW w:w="4219" w:type="dxa"/>
            <w:shd w:val="clear" w:color="auto" w:fill="FFFFFF"/>
          </w:tcPr>
          <w:p w14:paraId="048F86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4253" w:type="dxa"/>
            <w:shd w:val="clear" w:color="auto" w:fill="FFFFFF"/>
          </w:tcPr>
          <w:p w14:paraId="113272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мотор-пушка калибра 20 мм</w:t>
            </w:r>
          </w:p>
        </w:tc>
      </w:tr>
      <w:tr w:rsidR="00561F31" w:rsidRPr="00F90EAE" w14:paraId="345FF12B" w14:textId="77777777">
        <w:tc>
          <w:tcPr>
            <w:tcW w:w="4219" w:type="dxa"/>
            <w:shd w:val="clear" w:color="auto" w:fill="FFFFFF"/>
          </w:tcPr>
          <w:p w14:paraId="56045EB1"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00B17E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синхронных пулемёта калибра 12,7 мм</w:t>
            </w:r>
          </w:p>
        </w:tc>
      </w:tr>
      <w:tr w:rsidR="00561F31" w:rsidRPr="00F90EAE" w14:paraId="5A23C6C6" w14:textId="77777777">
        <w:tc>
          <w:tcPr>
            <w:tcW w:w="4219" w:type="dxa"/>
            <w:shd w:val="clear" w:color="auto" w:fill="FFFFFF"/>
          </w:tcPr>
          <w:p w14:paraId="5FB3BD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0D7EF2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испытаниях самолёта № 2229, выпуска заво</w:t>
            </w:r>
            <w:r w:rsidRPr="00F90EAE">
              <w:rPr>
                <w:color w:val="000000" w:themeColor="text1"/>
                <w:sz w:val="16"/>
                <w:szCs w:val="16"/>
              </w:rPr>
              <w:softHyphen/>
              <w:t>да № 292 от 6 декабря 1944 г.</w:t>
            </w:r>
          </w:p>
        </w:tc>
      </w:tr>
      <w:tr w:rsidR="00561F31" w:rsidRPr="00F90EAE" w14:paraId="18CF6CC9" w14:textId="77777777">
        <w:tc>
          <w:tcPr>
            <w:tcW w:w="4219" w:type="dxa"/>
          </w:tcPr>
          <w:p w14:paraId="298D8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 с мотором ВК-105ПФ с пушкой 37 мм</w:t>
            </w:r>
          </w:p>
        </w:tc>
        <w:tc>
          <w:tcPr>
            <w:tcW w:w="4253" w:type="dxa"/>
          </w:tcPr>
          <w:p w14:paraId="3631351D"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A41EAA1" w14:textId="77777777">
        <w:tc>
          <w:tcPr>
            <w:tcW w:w="4219" w:type="dxa"/>
            <w:shd w:val="clear" w:color="auto" w:fill="FFFFFF"/>
          </w:tcPr>
          <w:p w14:paraId="688D06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054F9CE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537 км/час</w:t>
            </w:r>
          </w:p>
        </w:tc>
      </w:tr>
      <w:tr w:rsidR="00561F31" w:rsidRPr="00F90EAE" w14:paraId="47913F07" w14:textId="77777777">
        <w:tc>
          <w:tcPr>
            <w:tcW w:w="4219" w:type="dxa"/>
            <w:shd w:val="clear" w:color="auto" w:fill="FFFFFF"/>
          </w:tcPr>
          <w:p w14:paraId="2DD317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3700 м</w:t>
            </w:r>
          </w:p>
        </w:tc>
        <w:tc>
          <w:tcPr>
            <w:tcW w:w="4253" w:type="dxa"/>
            <w:shd w:val="clear" w:color="auto" w:fill="FFFFFF"/>
          </w:tcPr>
          <w:p w14:paraId="163D45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598 -»-</w:t>
            </w:r>
          </w:p>
        </w:tc>
      </w:tr>
      <w:tr w:rsidR="00561F31" w:rsidRPr="00F90EAE" w14:paraId="017C60B8" w14:textId="77777777">
        <w:tc>
          <w:tcPr>
            <w:tcW w:w="4219" w:type="dxa"/>
            <w:shd w:val="clear" w:color="auto" w:fill="FFFFFF"/>
          </w:tcPr>
          <w:p w14:paraId="2A2BD3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высоту 5000 м</w:t>
            </w:r>
          </w:p>
        </w:tc>
        <w:tc>
          <w:tcPr>
            <w:tcW w:w="4253" w:type="dxa"/>
            <w:shd w:val="clear" w:color="auto" w:fill="FFFFFF"/>
          </w:tcPr>
          <w:p w14:paraId="6E4C55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 минут</w:t>
            </w:r>
          </w:p>
        </w:tc>
      </w:tr>
      <w:tr w:rsidR="00561F31" w:rsidRPr="00F90EAE" w14:paraId="2A79F2F2" w14:textId="77777777">
        <w:tc>
          <w:tcPr>
            <w:tcW w:w="4219" w:type="dxa"/>
            <w:shd w:val="clear" w:color="auto" w:fill="FFFFFF"/>
          </w:tcPr>
          <w:p w14:paraId="1B9724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106C6C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10000 м</w:t>
            </w:r>
          </w:p>
        </w:tc>
      </w:tr>
      <w:tr w:rsidR="00561F31" w:rsidRPr="00F90EAE" w14:paraId="586F83EA" w14:textId="77777777">
        <w:tc>
          <w:tcPr>
            <w:tcW w:w="4219" w:type="dxa"/>
            <w:shd w:val="clear" w:color="auto" w:fill="FFFFFF"/>
          </w:tcPr>
          <w:p w14:paraId="236A0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0,9 максимальной скорости на высоте 5000 м</w:t>
            </w:r>
          </w:p>
        </w:tc>
        <w:tc>
          <w:tcPr>
            <w:tcW w:w="4253" w:type="dxa"/>
            <w:shd w:val="clear" w:color="auto" w:fill="FFFFFF"/>
          </w:tcPr>
          <w:p w14:paraId="350D40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 км</w:t>
            </w:r>
          </w:p>
        </w:tc>
      </w:tr>
      <w:tr w:rsidR="00561F31" w:rsidRPr="00F90EAE" w14:paraId="76A1C1AE" w14:textId="77777777">
        <w:tc>
          <w:tcPr>
            <w:tcW w:w="4219" w:type="dxa"/>
            <w:shd w:val="clear" w:color="auto" w:fill="FFFFFF"/>
          </w:tcPr>
          <w:p w14:paraId="492486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нормальный</w:t>
            </w:r>
          </w:p>
        </w:tc>
        <w:tc>
          <w:tcPr>
            <w:tcW w:w="4253" w:type="dxa"/>
            <w:shd w:val="clear" w:color="auto" w:fill="FFFFFF"/>
          </w:tcPr>
          <w:p w14:paraId="19413B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3035 кг</w:t>
            </w:r>
          </w:p>
        </w:tc>
      </w:tr>
      <w:tr w:rsidR="00561F31" w:rsidRPr="00F90EAE" w14:paraId="151C3F43" w14:textId="77777777">
        <w:tc>
          <w:tcPr>
            <w:tcW w:w="4219" w:type="dxa"/>
            <w:shd w:val="clear" w:color="auto" w:fill="FFFFFF"/>
          </w:tcPr>
          <w:p w14:paraId="369025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4253" w:type="dxa"/>
            <w:shd w:val="clear" w:color="auto" w:fill="FFFFFF"/>
          </w:tcPr>
          <w:p w14:paraId="5308D6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мотор-пушка калибра 37 мм</w:t>
            </w:r>
          </w:p>
        </w:tc>
      </w:tr>
      <w:tr w:rsidR="00561F31" w:rsidRPr="00F90EAE" w14:paraId="43617411" w14:textId="77777777">
        <w:tc>
          <w:tcPr>
            <w:tcW w:w="4219" w:type="dxa"/>
            <w:shd w:val="clear" w:color="auto" w:fill="FFFFFF"/>
          </w:tcPr>
          <w:p w14:paraId="77B3A4DC"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41C87C9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синхронный пулемёт калибра 12,7 мм</w:t>
            </w:r>
          </w:p>
        </w:tc>
      </w:tr>
      <w:tr w:rsidR="00561F31" w:rsidRPr="00F90EAE" w14:paraId="3D616F71" w14:textId="77777777">
        <w:tc>
          <w:tcPr>
            <w:tcW w:w="4219" w:type="dxa"/>
            <w:shd w:val="clear" w:color="auto" w:fill="FFFFFF"/>
          </w:tcPr>
          <w:p w14:paraId="0CAE92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203C1E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ЛИИ о контрольных испытаниях серийного самолёта № 1028 выпуска января 1944 года</w:t>
            </w:r>
          </w:p>
        </w:tc>
      </w:tr>
      <w:tr w:rsidR="00561F31" w:rsidRPr="00F90EAE" w14:paraId="20F4B8F3" w14:textId="77777777">
        <w:tc>
          <w:tcPr>
            <w:tcW w:w="4219" w:type="dxa"/>
            <w:shd w:val="clear" w:color="auto" w:fill="FFFFFF"/>
          </w:tcPr>
          <w:p w14:paraId="5DFD14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Як-9 с мотором ВК-105БПФ дальний</w:t>
            </w:r>
          </w:p>
        </w:tc>
        <w:tc>
          <w:tcPr>
            <w:tcW w:w="4253" w:type="dxa"/>
            <w:shd w:val="clear" w:color="auto" w:fill="FFFFFF"/>
          </w:tcPr>
          <w:p w14:paraId="511B576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15622BB1" w14:textId="77777777">
        <w:tc>
          <w:tcPr>
            <w:tcW w:w="4219" w:type="dxa"/>
            <w:shd w:val="clear" w:color="auto" w:fill="FFFFFF"/>
          </w:tcPr>
          <w:p w14:paraId="676814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1EE369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522 км/час</w:t>
            </w:r>
          </w:p>
        </w:tc>
      </w:tr>
      <w:tr w:rsidR="00561F31" w:rsidRPr="00F90EAE" w14:paraId="26A3196B" w14:textId="77777777">
        <w:tc>
          <w:tcPr>
            <w:tcW w:w="4219" w:type="dxa"/>
            <w:shd w:val="clear" w:color="auto" w:fill="FFFFFF"/>
          </w:tcPr>
          <w:p w14:paraId="7232F3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3900 м</w:t>
            </w:r>
          </w:p>
        </w:tc>
        <w:tc>
          <w:tcPr>
            <w:tcW w:w="4253" w:type="dxa"/>
            <w:shd w:val="clear" w:color="auto" w:fill="FFFFFF"/>
          </w:tcPr>
          <w:p w14:paraId="27ACAE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534</w:t>
            </w:r>
          </w:p>
        </w:tc>
      </w:tr>
      <w:tr w:rsidR="00561F31" w:rsidRPr="00F90EAE" w14:paraId="694B4E1D" w14:textId="77777777">
        <w:tc>
          <w:tcPr>
            <w:tcW w:w="4219" w:type="dxa"/>
            <w:shd w:val="clear" w:color="auto" w:fill="FFFFFF"/>
          </w:tcPr>
          <w:p w14:paraId="5A12D7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0,7 максималъной скорости</w:t>
            </w:r>
          </w:p>
        </w:tc>
        <w:tc>
          <w:tcPr>
            <w:tcW w:w="4253" w:type="dxa"/>
            <w:shd w:val="clear" w:color="auto" w:fill="FFFFFF"/>
          </w:tcPr>
          <w:p w14:paraId="1FD92A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2285 км</w:t>
            </w:r>
          </w:p>
        </w:tc>
      </w:tr>
      <w:tr w:rsidR="00561F31" w:rsidRPr="00F90EAE" w14:paraId="4D91C602" w14:textId="77777777">
        <w:tc>
          <w:tcPr>
            <w:tcW w:w="4219" w:type="dxa"/>
            <w:shd w:val="clear" w:color="auto" w:fill="FFFFFF"/>
          </w:tcPr>
          <w:p w14:paraId="09009A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нормальный</w:t>
            </w:r>
          </w:p>
        </w:tc>
        <w:tc>
          <w:tcPr>
            <w:tcW w:w="4253" w:type="dxa"/>
            <w:shd w:val="clear" w:color="auto" w:fill="FFFFFF"/>
          </w:tcPr>
          <w:p w14:paraId="772E7D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3276 кг</w:t>
            </w:r>
          </w:p>
        </w:tc>
      </w:tr>
      <w:tr w:rsidR="00561F31" w:rsidRPr="00F90EAE" w14:paraId="7665D950" w14:textId="77777777">
        <w:tc>
          <w:tcPr>
            <w:tcW w:w="4219" w:type="dxa"/>
            <w:shd w:val="clear" w:color="auto" w:fill="FFFFFF"/>
          </w:tcPr>
          <w:p w14:paraId="6C6616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 подчома на высоту 5000 м</w:t>
            </w:r>
          </w:p>
        </w:tc>
        <w:tc>
          <w:tcPr>
            <w:tcW w:w="4253" w:type="dxa"/>
            <w:shd w:val="clear" w:color="auto" w:fill="FFFFFF"/>
          </w:tcPr>
          <w:p w14:paraId="236F0D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6,8 мин</w:t>
            </w:r>
          </w:p>
        </w:tc>
      </w:tr>
      <w:tr w:rsidR="00561F31" w:rsidRPr="00F90EAE" w14:paraId="3354FAED" w14:textId="77777777">
        <w:tc>
          <w:tcPr>
            <w:tcW w:w="4219" w:type="dxa"/>
            <w:shd w:val="clear" w:color="auto" w:fill="FFFFFF"/>
          </w:tcPr>
          <w:p w14:paraId="3C4ECEE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3663F2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163E79E9" w14:textId="77777777">
        <w:tc>
          <w:tcPr>
            <w:tcW w:w="4219" w:type="dxa"/>
            <w:shd w:val="clear" w:color="auto" w:fill="FFFFFF"/>
          </w:tcPr>
          <w:p w14:paraId="5E2B31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4253" w:type="dxa"/>
            <w:shd w:val="clear" w:color="auto" w:fill="FFFFFF"/>
          </w:tcPr>
          <w:p w14:paraId="3A1A19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мотор-пушка калибра 20 мм</w:t>
            </w:r>
          </w:p>
        </w:tc>
      </w:tr>
      <w:tr w:rsidR="00561F31" w:rsidRPr="00F90EAE" w14:paraId="00755637" w14:textId="77777777">
        <w:tc>
          <w:tcPr>
            <w:tcW w:w="4219" w:type="dxa"/>
            <w:shd w:val="clear" w:color="auto" w:fill="FFFFFF"/>
          </w:tcPr>
          <w:p w14:paraId="75D78FBF"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69B283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сокростреных пулемета калибра 12,7 мм</w:t>
            </w:r>
          </w:p>
        </w:tc>
      </w:tr>
      <w:tr w:rsidR="00561F31" w:rsidRPr="00F90EAE" w14:paraId="6D5E859E" w14:textId="77777777">
        <w:tc>
          <w:tcPr>
            <w:tcW w:w="4219" w:type="dxa"/>
            <w:shd w:val="clear" w:color="auto" w:fill="FFFFFF"/>
          </w:tcPr>
          <w:p w14:paraId="307919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30E572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акт НИИ ВВС КА по госиспытаниям самолёта производства завода № 153 от 27 июня 1941 года</w:t>
            </w:r>
          </w:p>
        </w:tc>
      </w:tr>
      <w:tr w:rsidR="00561F31" w:rsidRPr="00F90EAE" w14:paraId="428E351A" w14:textId="77777777">
        <w:tc>
          <w:tcPr>
            <w:tcW w:w="4219" w:type="dxa"/>
            <w:shd w:val="clear" w:color="auto" w:fill="FFFFFF"/>
          </w:tcPr>
          <w:p w14:paraId="5E38E2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Ла-7 с мотором М-82ФН</w:t>
            </w:r>
          </w:p>
        </w:tc>
        <w:tc>
          <w:tcPr>
            <w:tcW w:w="4253" w:type="dxa"/>
            <w:shd w:val="clear" w:color="auto" w:fill="FFFFFF"/>
          </w:tcPr>
          <w:p w14:paraId="47632BA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BB62FCA" w14:textId="77777777">
        <w:tc>
          <w:tcPr>
            <w:tcW w:w="4219" w:type="dxa"/>
            <w:shd w:val="clear" w:color="auto" w:fill="FFFFFF"/>
          </w:tcPr>
          <w:p w14:paraId="649810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38B6E6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590 км/час</w:t>
            </w:r>
          </w:p>
        </w:tc>
      </w:tr>
      <w:tr w:rsidR="00561F31" w:rsidRPr="00F90EAE" w14:paraId="5E63C2A3" w14:textId="77777777">
        <w:tc>
          <w:tcPr>
            <w:tcW w:w="4219" w:type="dxa"/>
            <w:shd w:val="clear" w:color="auto" w:fill="FFFFFF"/>
          </w:tcPr>
          <w:p w14:paraId="775450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6150 м</w:t>
            </w:r>
          </w:p>
        </w:tc>
        <w:tc>
          <w:tcPr>
            <w:tcW w:w="4253" w:type="dxa"/>
            <w:shd w:val="clear" w:color="auto" w:fill="FFFFFF"/>
          </w:tcPr>
          <w:p w14:paraId="789DF2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675 -«-</w:t>
            </w:r>
          </w:p>
        </w:tc>
      </w:tr>
      <w:tr w:rsidR="00561F31" w:rsidRPr="00F90EAE" w14:paraId="317C5D2A" w14:textId="77777777">
        <w:tc>
          <w:tcPr>
            <w:tcW w:w="4219" w:type="dxa"/>
            <w:shd w:val="clear" w:color="auto" w:fill="FFFFFF"/>
          </w:tcPr>
          <w:p w14:paraId="342EE0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высоту 5000 м</w:t>
            </w:r>
          </w:p>
        </w:tc>
        <w:tc>
          <w:tcPr>
            <w:tcW w:w="4253" w:type="dxa"/>
            <w:shd w:val="clear" w:color="auto" w:fill="FFFFFF"/>
          </w:tcPr>
          <w:p w14:paraId="056291B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4,5 минут</w:t>
            </w:r>
          </w:p>
        </w:tc>
      </w:tr>
      <w:tr w:rsidR="00561F31" w:rsidRPr="00F90EAE" w14:paraId="7EE835DB" w14:textId="77777777">
        <w:tc>
          <w:tcPr>
            <w:tcW w:w="4219" w:type="dxa"/>
            <w:shd w:val="clear" w:color="auto" w:fill="FFFFFF"/>
          </w:tcPr>
          <w:p w14:paraId="0B0EE5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558C35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11200 м</w:t>
            </w:r>
          </w:p>
        </w:tc>
      </w:tr>
      <w:tr w:rsidR="00561F31" w:rsidRPr="00F90EAE" w14:paraId="49E61597" w14:textId="77777777">
        <w:tc>
          <w:tcPr>
            <w:tcW w:w="4219" w:type="dxa"/>
            <w:shd w:val="clear" w:color="auto" w:fill="FFFFFF"/>
          </w:tcPr>
          <w:p w14:paraId="2D6703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0,9 максимальной скорости на высоте 6000 м</w:t>
            </w:r>
          </w:p>
        </w:tc>
        <w:tc>
          <w:tcPr>
            <w:tcW w:w="4253" w:type="dxa"/>
            <w:shd w:val="clear" w:color="auto" w:fill="FFFFFF"/>
          </w:tcPr>
          <w:p w14:paraId="63F1AF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 км</w:t>
            </w:r>
          </w:p>
        </w:tc>
      </w:tr>
      <w:tr w:rsidR="00561F31" w:rsidRPr="00F90EAE" w14:paraId="0EA4025D" w14:textId="77777777">
        <w:tc>
          <w:tcPr>
            <w:tcW w:w="4219" w:type="dxa"/>
            <w:shd w:val="clear" w:color="auto" w:fill="FFFFFF"/>
          </w:tcPr>
          <w:p w14:paraId="1AD73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нормальный</w:t>
            </w:r>
          </w:p>
        </w:tc>
        <w:tc>
          <w:tcPr>
            <w:tcW w:w="4253" w:type="dxa"/>
            <w:shd w:val="clear" w:color="auto" w:fill="FFFFFF"/>
          </w:tcPr>
          <w:p w14:paraId="4C84685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3258 кг</w:t>
            </w:r>
          </w:p>
        </w:tc>
      </w:tr>
      <w:tr w:rsidR="00561F31" w:rsidRPr="00F90EAE" w14:paraId="1612100A" w14:textId="77777777">
        <w:tc>
          <w:tcPr>
            <w:tcW w:w="4219" w:type="dxa"/>
            <w:shd w:val="clear" w:color="auto" w:fill="FFFFFF"/>
          </w:tcPr>
          <w:p w14:paraId="44FB70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w:t>
            </w:r>
          </w:p>
        </w:tc>
        <w:tc>
          <w:tcPr>
            <w:tcW w:w="4253" w:type="dxa"/>
            <w:shd w:val="clear" w:color="auto" w:fill="FFFFFF"/>
          </w:tcPr>
          <w:p w14:paraId="7D07248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синхронные пушки калибра 20 мм</w:t>
            </w:r>
          </w:p>
        </w:tc>
      </w:tr>
      <w:tr w:rsidR="00561F31" w:rsidRPr="00F90EAE" w14:paraId="355C198D" w14:textId="77777777">
        <w:tc>
          <w:tcPr>
            <w:tcW w:w="4219" w:type="dxa"/>
            <w:tcBorders>
              <w:bottom w:val="single" w:sz="12" w:space="0" w:color="auto"/>
            </w:tcBorders>
            <w:shd w:val="clear" w:color="auto" w:fill="FFFFFF"/>
          </w:tcPr>
          <w:p w14:paraId="4DFE08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tcBorders>
              <w:bottom w:val="single" w:sz="12" w:space="0" w:color="auto"/>
            </w:tcBorders>
            <w:shd w:val="clear" w:color="auto" w:fill="FFFFFF"/>
          </w:tcPr>
          <w:p w14:paraId="25A491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испытаниях самолёта № 2225 выпуска завода № 21 март 1945 года</w:t>
            </w:r>
          </w:p>
        </w:tc>
      </w:tr>
    </w:tbl>
    <w:p w14:paraId="294CFA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Штурмовики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561F31" w:rsidRPr="00F90EAE" w14:paraId="23DD21B9" w14:textId="77777777">
        <w:tc>
          <w:tcPr>
            <w:tcW w:w="4219" w:type="dxa"/>
            <w:tcBorders>
              <w:top w:val="single" w:sz="12" w:space="0" w:color="auto"/>
            </w:tcBorders>
            <w:shd w:val="clear" w:color="auto" w:fill="FFFFFF"/>
          </w:tcPr>
          <w:p w14:paraId="09350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Ил-10 с мотором АМ-42</w:t>
            </w:r>
          </w:p>
        </w:tc>
        <w:tc>
          <w:tcPr>
            <w:tcW w:w="4253" w:type="dxa"/>
            <w:tcBorders>
              <w:top w:val="single" w:sz="12" w:space="0" w:color="auto"/>
            </w:tcBorders>
            <w:shd w:val="clear" w:color="auto" w:fill="FFFFFF"/>
          </w:tcPr>
          <w:p w14:paraId="533142D1"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732D8D" w14:textId="77777777">
        <w:tc>
          <w:tcPr>
            <w:tcW w:w="4219" w:type="dxa"/>
            <w:shd w:val="clear" w:color="auto" w:fill="FFFFFF"/>
          </w:tcPr>
          <w:p w14:paraId="756368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01BA91A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507 км/час</w:t>
            </w:r>
          </w:p>
        </w:tc>
      </w:tr>
      <w:tr w:rsidR="00561F31" w:rsidRPr="00F90EAE" w14:paraId="3A50187E" w14:textId="77777777">
        <w:tc>
          <w:tcPr>
            <w:tcW w:w="4219" w:type="dxa"/>
            <w:shd w:val="clear" w:color="auto" w:fill="FFFFFF"/>
          </w:tcPr>
          <w:p w14:paraId="76A771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Мксимальная скорость на высоте 2800 м</w:t>
            </w:r>
          </w:p>
        </w:tc>
        <w:tc>
          <w:tcPr>
            <w:tcW w:w="4253" w:type="dxa"/>
            <w:shd w:val="clear" w:color="auto" w:fill="FFFFFF"/>
          </w:tcPr>
          <w:p w14:paraId="10C03F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551 -»-</w:t>
            </w:r>
          </w:p>
        </w:tc>
      </w:tr>
      <w:tr w:rsidR="00561F31" w:rsidRPr="00F90EAE" w14:paraId="7D7931B6" w14:textId="77777777">
        <w:tc>
          <w:tcPr>
            <w:tcW w:w="4219" w:type="dxa"/>
            <w:shd w:val="clear" w:color="auto" w:fill="FFFFFF"/>
          </w:tcPr>
          <w:p w14:paraId="2DC866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высоту 3000 м</w:t>
            </w:r>
          </w:p>
        </w:tc>
        <w:tc>
          <w:tcPr>
            <w:tcW w:w="4253" w:type="dxa"/>
            <w:shd w:val="clear" w:color="auto" w:fill="FFFFFF"/>
          </w:tcPr>
          <w:p w14:paraId="7C0596D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 минут</w:t>
            </w:r>
          </w:p>
        </w:tc>
      </w:tr>
      <w:tr w:rsidR="00561F31" w:rsidRPr="00F90EAE" w14:paraId="239B34C1" w14:textId="77777777">
        <w:tc>
          <w:tcPr>
            <w:tcW w:w="4219" w:type="dxa"/>
            <w:shd w:val="clear" w:color="auto" w:fill="FFFFFF"/>
          </w:tcPr>
          <w:p w14:paraId="2D7511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7F2E05A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7480 м</w:t>
            </w:r>
          </w:p>
        </w:tc>
      </w:tr>
      <w:tr w:rsidR="00561F31" w:rsidRPr="00F90EAE" w14:paraId="7A427550" w14:textId="77777777">
        <w:tc>
          <w:tcPr>
            <w:tcW w:w="4219" w:type="dxa"/>
            <w:shd w:val="clear" w:color="auto" w:fill="FFFFFF"/>
          </w:tcPr>
          <w:p w14:paraId="1443916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с 400 кг бомб на 0,62 максимальной скорости</w:t>
            </w:r>
          </w:p>
        </w:tc>
        <w:tc>
          <w:tcPr>
            <w:tcW w:w="4253" w:type="dxa"/>
            <w:shd w:val="clear" w:color="auto" w:fill="FFFFFF"/>
          </w:tcPr>
          <w:p w14:paraId="7F2CF1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800 км</w:t>
            </w:r>
          </w:p>
        </w:tc>
      </w:tr>
      <w:tr w:rsidR="00561F31" w:rsidRPr="00F90EAE" w14:paraId="73EB0C57" w14:textId="77777777">
        <w:tc>
          <w:tcPr>
            <w:tcW w:w="4219" w:type="dxa"/>
            <w:shd w:val="clear" w:color="auto" w:fill="FFFFFF"/>
          </w:tcPr>
          <w:p w14:paraId="629B6A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нормальный с 400 кг. Бомб</w:t>
            </w:r>
          </w:p>
        </w:tc>
        <w:tc>
          <w:tcPr>
            <w:tcW w:w="4253" w:type="dxa"/>
            <w:shd w:val="clear" w:color="auto" w:fill="FFFFFF"/>
          </w:tcPr>
          <w:p w14:paraId="7F6229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6335 кг</w:t>
            </w:r>
          </w:p>
        </w:tc>
      </w:tr>
      <w:tr w:rsidR="00561F31" w:rsidRPr="00F90EAE" w14:paraId="7DD61355" w14:textId="77777777">
        <w:tc>
          <w:tcPr>
            <w:tcW w:w="4219" w:type="dxa"/>
            <w:shd w:val="clear" w:color="auto" w:fill="FFFFFF"/>
          </w:tcPr>
          <w:p w14:paraId="1B4568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перегрузочнйй с 600 кг бомб</w:t>
            </w:r>
          </w:p>
        </w:tc>
        <w:tc>
          <w:tcPr>
            <w:tcW w:w="4253" w:type="dxa"/>
            <w:shd w:val="clear" w:color="auto" w:fill="FFFFFF"/>
          </w:tcPr>
          <w:p w14:paraId="50C703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6535 кг</w:t>
            </w:r>
          </w:p>
        </w:tc>
      </w:tr>
      <w:tr w:rsidR="00561F31" w:rsidRPr="00F90EAE" w14:paraId="0A165984" w14:textId="77777777">
        <w:tc>
          <w:tcPr>
            <w:tcW w:w="4219" w:type="dxa"/>
            <w:shd w:val="clear" w:color="auto" w:fill="FFFFFF"/>
          </w:tcPr>
          <w:p w14:paraId="18B0A1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4B3D4F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чел.</w:t>
            </w:r>
          </w:p>
        </w:tc>
      </w:tr>
      <w:tr w:rsidR="00561F31" w:rsidRPr="00F90EAE" w14:paraId="574E489F" w14:textId="77777777">
        <w:tc>
          <w:tcPr>
            <w:tcW w:w="4219" w:type="dxa"/>
            <w:shd w:val="clear" w:color="auto" w:fill="FFFFFF"/>
          </w:tcPr>
          <w:p w14:paraId="1674DB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1C21C9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пулемёта калибра 7,62 мм</w:t>
            </w:r>
          </w:p>
        </w:tc>
      </w:tr>
      <w:tr w:rsidR="00561F31" w:rsidRPr="00F90EAE" w14:paraId="060D6CB3" w14:textId="77777777">
        <w:tc>
          <w:tcPr>
            <w:tcW w:w="4219" w:type="dxa"/>
            <w:shd w:val="clear" w:color="auto" w:fill="FFFFFF"/>
          </w:tcPr>
          <w:p w14:paraId="7144DC91"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79CE9A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пушки калибра 23 мм</w:t>
            </w:r>
          </w:p>
        </w:tc>
      </w:tr>
      <w:tr w:rsidR="00561F31" w:rsidRPr="00F90EAE" w14:paraId="4E57D4F8" w14:textId="77777777">
        <w:tc>
          <w:tcPr>
            <w:tcW w:w="4219" w:type="dxa"/>
            <w:shd w:val="clear" w:color="auto" w:fill="FFFFFF"/>
          </w:tcPr>
          <w:p w14:paraId="4C0FBA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126F2E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- 1 пулемёт а 12,7 мм</w:t>
            </w:r>
          </w:p>
        </w:tc>
      </w:tr>
      <w:tr w:rsidR="00561F31" w:rsidRPr="00F90EAE" w14:paraId="44538889" w14:textId="77777777">
        <w:tc>
          <w:tcPr>
            <w:tcW w:w="4219" w:type="dxa"/>
            <w:shd w:val="clear" w:color="auto" w:fill="FFFFFF"/>
          </w:tcPr>
          <w:p w14:paraId="1A91FA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4253" w:type="dxa"/>
            <w:shd w:val="clear" w:color="auto" w:fill="FFFFFF"/>
          </w:tcPr>
          <w:p w14:paraId="6D3925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 кг</w:t>
            </w:r>
          </w:p>
        </w:tc>
      </w:tr>
      <w:tr w:rsidR="00561F31" w:rsidRPr="00F90EAE" w14:paraId="6345D12B" w14:textId="77777777">
        <w:tc>
          <w:tcPr>
            <w:tcW w:w="4219" w:type="dxa"/>
            <w:shd w:val="clear" w:color="auto" w:fill="FFFFFF"/>
          </w:tcPr>
          <w:p w14:paraId="53A9C6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w:t>
            </w:r>
          </w:p>
        </w:tc>
        <w:tc>
          <w:tcPr>
            <w:tcW w:w="4253" w:type="dxa"/>
            <w:shd w:val="clear" w:color="auto" w:fill="FFFFFF"/>
          </w:tcPr>
          <w:p w14:paraId="3329BD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 кг</w:t>
            </w:r>
          </w:p>
        </w:tc>
      </w:tr>
      <w:tr w:rsidR="00561F31" w:rsidRPr="00F90EAE" w14:paraId="340EAA8B" w14:textId="77777777">
        <w:tc>
          <w:tcPr>
            <w:tcW w:w="4219" w:type="dxa"/>
            <w:shd w:val="clear" w:color="auto" w:fill="FFFFFF"/>
          </w:tcPr>
          <w:p w14:paraId="087642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3BEAA6D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 Отчёт НИИ ВВС КА о государственных испытаниях от 9 июня 1944 года.</w:t>
            </w:r>
          </w:p>
        </w:tc>
      </w:tr>
      <w:tr w:rsidR="00561F31" w:rsidRPr="00F90EAE" w14:paraId="1932B06F" w14:textId="77777777">
        <w:tc>
          <w:tcPr>
            <w:tcW w:w="4219" w:type="dxa"/>
            <w:shd w:val="clear" w:color="auto" w:fill="FFFFFF"/>
          </w:tcPr>
          <w:p w14:paraId="31B171A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Ил-2 с мотором АМ-38Ф</w:t>
            </w:r>
          </w:p>
        </w:tc>
        <w:tc>
          <w:tcPr>
            <w:tcW w:w="4253" w:type="dxa"/>
            <w:shd w:val="clear" w:color="auto" w:fill="FFFFFF"/>
          </w:tcPr>
          <w:p w14:paraId="7F632295"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30B3AD4" w14:textId="77777777">
        <w:tc>
          <w:tcPr>
            <w:tcW w:w="4219" w:type="dxa"/>
            <w:shd w:val="clear" w:color="auto" w:fill="FFFFFF"/>
          </w:tcPr>
          <w:p w14:paraId="48A741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у земли</w:t>
            </w:r>
          </w:p>
        </w:tc>
        <w:tc>
          <w:tcPr>
            <w:tcW w:w="4253" w:type="dxa"/>
            <w:shd w:val="clear" w:color="auto" w:fill="FFFFFF"/>
          </w:tcPr>
          <w:p w14:paraId="5375A36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396 км/час</w:t>
            </w:r>
          </w:p>
        </w:tc>
      </w:tr>
      <w:tr w:rsidR="00561F31" w:rsidRPr="00F90EAE" w14:paraId="5C3F65C7" w14:textId="77777777">
        <w:tc>
          <w:tcPr>
            <w:tcW w:w="4219" w:type="dxa"/>
            <w:shd w:val="clear" w:color="auto" w:fill="FFFFFF"/>
          </w:tcPr>
          <w:p w14:paraId="40DCB3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высоте 1150 мт</w:t>
            </w:r>
          </w:p>
        </w:tc>
        <w:tc>
          <w:tcPr>
            <w:tcW w:w="4253" w:type="dxa"/>
            <w:shd w:val="clear" w:color="auto" w:fill="FFFFFF"/>
          </w:tcPr>
          <w:p w14:paraId="6DE3EE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410 —»—</w:t>
            </w:r>
          </w:p>
        </w:tc>
      </w:tr>
      <w:tr w:rsidR="00561F31" w:rsidRPr="00F90EAE" w14:paraId="1EBB0313" w14:textId="77777777">
        <w:tc>
          <w:tcPr>
            <w:tcW w:w="4219" w:type="dxa"/>
            <w:shd w:val="clear" w:color="auto" w:fill="FFFFFF"/>
          </w:tcPr>
          <w:p w14:paraId="07305F8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под”ёма на высоту 3000 м</w:t>
            </w:r>
          </w:p>
        </w:tc>
        <w:tc>
          <w:tcPr>
            <w:tcW w:w="4253" w:type="dxa"/>
            <w:shd w:val="clear" w:color="auto" w:fill="FFFFFF"/>
          </w:tcPr>
          <w:p w14:paraId="65CDAE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8,2 мин</w:t>
            </w:r>
          </w:p>
        </w:tc>
      </w:tr>
      <w:tr w:rsidR="00561F31" w:rsidRPr="00F90EAE" w14:paraId="056B827E" w14:textId="77777777">
        <w:tc>
          <w:tcPr>
            <w:tcW w:w="4219" w:type="dxa"/>
            <w:shd w:val="clear" w:color="auto" w:fill="FFFFFF"/>
          </w:tcPr>
          <w:p w14:paraId="0771A3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2DA3F1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6600 м</w:t>
            </w:r>
          </w:p>
        </w:tc>
      </w:tr>
      <w:tr w:rsidR="00561F31" w:rsidRPr="00F90EAE" w14:paraId="4C78C056" w14:textId="77777777">
        <w:tc>
          <w:tcPr>
            <w:tcW w:w="4219" w:type="dxa"/>
            <w:shd w:val="clear" w:color="auto" w:fill="FFFFFF"/>
          </w:tcPr>
          <w:p w14:paraId="0879C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с 300 кг бомб на 0,8 максимальной скорости</w:t>
            </w:r>
          </w:p>
        </w:tc>
        <w:tc>
          <w:tcPr>
            <w:tcW w:w="4253" w:type="dxa"/>
            <w:shd w:val="clear" w:color="auto" w:fill="FFFFFF"/>
          </w:tcPr>
          <w:p w14:paraId="429AEC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600 км</w:t>
            </w:r>
          </w:p>
        </w:tc>
      </w:tr>
      <w:tr w:rsidR="00561F31" w:rsidRPr="00F90EAE" w14:paraId="03E5D96C" w14:textId="77777777">
        <w:tc>
          <w:tcPr>
            <w:tcW w:w="4219" w:type="dxa"/>
            <w:shd w:val="clear" w:color="auto" w:fill="FFFFFF"/>
          </w:tcPr>
          <w:p w14:paraId="4F778D7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с 400 кг бомб</w:t>
            </w:r>
          </w:p>
        </w:tc>
        <w:tc>
          <w:tcPr>
            <w:tcW w:w="4253" w:type="dxa"/>
            <w:shd w:val="clear" w:color="auto" w:fill="FFFFFF"/>
          </w:tcPr>
          <w:p w14:paraId="387BE3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6300 кг</w:t>
            </w:r>
          </w:p>
        </w:tc>
      </w:tr>
      <w:tr w:rsidR="00561F31" w:rsidRPr="00F90EAE" w14:paraId="779769F4" w14:textId="77777777">
        <w:tc>
          <w:tcPr>
            <w:tcW w:w="4219" w:type="dxa"/>
            <w:shd w:val="clear" w:color="auto" w:fill="FFFFFF"/>
          </w:tcPr>
          <w:p w14:paraId="23D2B1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64ED1D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чел.</w:t>
            </w:r>
          </w:p>
        </w:tc>
      </w:tr>
      <w:tr w:rsidR="00561F31" w:rsidRPr="00F90EAE" w14:paraId="187FBC5C" w14:textId="77777777">
        <w:tc>
          <w:tcPr>
            <w:tcW w:w="4219" w:type="dxa"/>
            <w:shd w:val="clear" w:color="auto" w:fill="FFFFFF"/>
          </w:tcPr>
          <w:p w14:paraId="06C8B1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w:t>
            </w:r>
          </w:p>
        </w:tc>
        <w:tc>
          <w:tcPr>
            <w:tcW w:w="4253" w:type="dxa"/>
            <w:shd w:val="clear" w:color="auto" w:fill="FFFFFF"/>
          </w:tcPr>
          <w:p w14:paraId="5C3FD9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400 кг</w:t>
            </w:r>
          </w:p>
        </w:tc>
      </w:tr>
      <w:tr w:rsidR="00561F31" w:rsidRPr="00F90EAE" w14:paraId="2A5C76DF" w14:textId="77777777">
        <w:tc>
          <w:tcPr>
            <w:tcW w:w="4219" w:type="dxa"/>
            <w:shd w:val="clear" w:color="auto" w:fill="FFFFFF"/>
          </w:tcPr>
          <w:p w14:paraId="7769CC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30C5AB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2-пулемета калибра 7,62 мм</w:t>
            </w:r>
          </w:p>
        </w:tc>
      </w:tr>
      <w:tr w:rsidR="00561F31" w:rsidRPr="00F90EAE" w14:paraId="6CEED401" w14:textId="77777777">
        <w:tc>
          <w:tcPr>
            <w:tcW w:w="4219" w:type="dxa"/>
            <w:shd w:val="clear" w:color="auto" w:fill="FFFFFF"/>
          </w:tcPr>
          <w:p w14:paraId="384900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пушки калибра 23 мм</w:t>
            </w:r>
          </w:p>
        </w:tc>
        <w:tc>
          <w:tcPr>
            <w:tcW w:w="4253" w:type="dxa"/>
            <w:shd w:val="clear" w:color="auto" w:fill="FFFFFF"/>
          </w:tcPr>
          <w:p w14:paraId="63A931F8"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A4AC073" w14:textId="77777777">
        <w:tc>
          <w:tcPr>
            <w:tcW w:w="4219" w:type="dxa"/>
            <w:shd w:val="clear" w:color="auto" w:fill="FFFFFF"/>
          </w:tcPr>
          <w:p w14:paraId="21480D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642F0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12,7 мм</w:t>
            </w:r>
          </w:p>
        </w:tc>
      </w:tr>
      <w:tr w:rsidR="00561F31" w:rsidRPr="00F90EAE" w14:paraId="16091D29" w14:textId="77777777">
        <w:tc>
          <w:tcPr>
            <w:tcW w:w="4219" w:type="dxa"/>
            <w:shd w:val="clear" w:color="auto" w:fill="FFFFFF"/>
          </w:tcPr>
          <w:p w14:paraId="20C5F2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6501ED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испытаниях самолёта № 3653 завода № 1 февраля 1944 года</w:t>
            </w:r>
          </w:p>
        </w:tc>
      </w:tr>
      <w:tr w:rsidR="00561F31" w:rsidRPr="00F90EAE" w14:paraId="1F318550" w14:textId="77777777">
        <w:tc>
          <w:tcPr>
            <w:tcW w:w="4219" w:type="dxa"/>
            <w:tcBorders>
              <w:bottom w:val="single" w:sz="12" w:space="0" w:color="auto"/>
            </w:tcBorders>
          </w:tcPr>
          <w:p w14:paraId="76B07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4253" w:type="dxa"/>
            <w:tcBorders>
              <w:bottom w:val="single" w:sz="12" w:space="0" w:color="auto"/>
            </w:tcBorders>
          </w:tcPr>
          <w:p w14:paraId="69DEB0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Данные по дальности указаны в отчете НИЙ ВВС КА по самолёту № 302804</w:t>
            </w:r>
          </w:p>
        </w:tc>
      </w:tr>
    </w:tbl>
    <w:p w14:paraId="49D403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4253"/>
      </w:tblGrid>
      <w:tr w:rsidR="00561F31" w:rsidRPr="00F90EAE" w14:paraId="7E4F88C4" w14:textId="77777777">
        <w:tc>
          <w:tcPr>
            <w:tcW w:w="4219" w:type="dxa"/>
            <w:tcBorders>
              <w:top w:val="single" w:sz="12" w:space="0" w:color="auto"/>
            </w:tcBorders>
            <w:shd w:val="clear" w:color="auto" w:fill="FFFFFF"/>
          </w:tcPr>
          <w:p w14:paraId="65997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Ту-2 с двумя моторами АШ-82ФН</w:t>
            </w:r>
          </w:p>
        </w:tc>
        <w:tc>
          <w:tcPr>
            <w:tcW w:w="4253" w:type="dxa"/>
            <w:tcBorders>
              <w:top w:val="single" w:sz="12" w:space="0" w:color="auto"/>
            </w:tcBorders>
            <w:shd w:val="clear" w:color="auto" w:fill="FFFFFF"/>
          </w:tcPr>
          <w:p w14:paraId="4BCFCF4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2AF52A2" w14:textId="77777777">
        <w:tc>
          <w:tcPr>
            <w:tcW w:w="4219" w:type="dxa"/>
            <w:shd w:val="clear" w:color="auto" w:fill="FFFFFF"/>
          </w:tcPr>
          <w:p w14:paraId="4C3ECD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2057C8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482 км/час</w:t>
            </w:r>
          </w:p>
        </w:tc>
      </w:tr>
      <w:tr w:rsidR="00561F31" w:rsidRPr="00F90EAE" w14:paraId="636B44A1" w14:textId="77777777">
        <w:tc>
          <w:tcPr>
            <w:tcW w:w="4219" w:type="dxa"/>
            <w:shd w:val="clear" w:color="auto" w:fill="FFFFFF"/>
          </w:tcPr>
          <w:p w14:paraId="7B01F4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высоте 5400 м</w:t>
            </w:r>
          </w:p>
        </w:tc>
        <w:tc>
          <w:tcPr>
            <w:tcW w:w="4253" w:type="dxa"/>
            <w:shd w:val="clear" w:color="auto" w:fill="FFFFFF"/>
          </w:tcPr>
          <w:p w14:paraId="150B09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549 -я-</w:t>
            </w:r>
          </w:p>
        </w:tc>
      </w:tr>
      <w:tr w:rsidR="00561F31" w:rsidRPr="00F90EAE" w14:paraId="5FB830B4" w14:textId="77777777">
        <w:tc>
          <w:tcPr>
            <w:tcW w:w="4219" w:type="dxa"/>
            <w:shd w:val="clear" w:color="auto" w:fill="FFFFFF"/>
          </w:tcPr>
          <w:p w14:paraId="2534D3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с 1000 кг бомб на 0,8 максимальной скорости</w:t>
            </w:r>
          </w:p>
        </w:tc>
        <w:tc>
          <w:tcPr>
            <w:tcW w:w="4253" w:type="dxa"/>
            <w:shd w:val="clear" w:color="auto" w:fill="FFFFFF"/>
          </w:tcPr>
          <w:p w14:paraId="769F7E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2050 км</w:t>
            </w:r>
          </w:p>
        </w:tc>
      </w:tr>
      <w:tr w:rsidR="00561F31" w:rsidRPr="00F90EAE" w14:paraId="4DFA6775" w14:textId="77777777">
        <w:tc>
          <w:tcPr>
            <w:tcW w:w="4219" w:type="dxa"/>
            <w:shd w:val="clear" w:color="auto" w:fill="FFFFFF"/>
          </w:tcPr>
          <w:p w14:paraId="383157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подъёма на внсоту 5000 м</w:t>
            </w:r>
          </w:p>
        </w:tc>
        <w:tc>
          <w:tcPr>
            <w:tcW w:w="4253" w:type="dxa"/>
            <w:shd w:val="clear" w:color="auto" w:fill="FFFFFF"/>
          </w:tcPr>
          <w:p w14:paraId="57FADC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 мин.</w:t>
            </w:r>
          </w:p>
        </w:tc>
      </w:tr>
      <w:tr w:rsidR="00561F31" w:rsidRPr="00F90EAE" w14:paraId="2A179D2E" w14:textId="77777777">
        <w:tc>
          <w:tcPr>
            <w:tcW w:w="4219" w:type="dxa"/>
            <w:shd w:val="clear" w:color="auto" w:fill="FFFFFF"/>
          </w:tcPr>
          <w:p w14:paraId="1A5FDA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w:t>
            </w:r>
          </w:p>
        </w:tc>
        <w:tc>
          <w:tcPr>
            <w:tcW w:w="4253" w:type="dxa"/>
            <w:shd w:val="clear" w:color="auto" w:fill="FFFFFF"/>
          </w:tcPr>
          <w:p w14:paraId="6A5DC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9500 мт</w:t>
            </w:r>
          </w:p>
        </w:tc>
      </w:tr>
      <w:tr w:rsidR="00561F31" w:rsidRPr="00F90EAE" w14:paraId="3CF6FD8A" w14:textId="77777777">
        <w:tc>
          <w:tcPr>
            <w:tcW w:w="4219" w:type="dxa"/>
            <w:shd w:val="clear" w:color="auto" w:fill="FFFFFF"/>
          </w:tcPr>
          <w:p w14:paraId="66F5B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4253" w:type="dxa"/>
            <w:shd w:val="clear" w:color="auto" w:fill="FFFFFF"/>
          </w:tcPr>
          <w:p w14:paraId="7AE1A1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0D1A0C12" w14:textId="77777777">
        <w:tc>
          <w:tcPr>
            <w:tcW w:w="4219" w:type="dxa"/>
            <w:shd w:val="clear" w:color="auto" w:fill="FFFFFF"/>
          </w:tcPr>
          <w:p w14:paraId="6A6971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w:t>
            </w:r>
          </w:p>
        </w:tc>
        <w:tc>
          <w:tcPr>
            <w:tcW w:w="4253" w:type="dxa"/>
            <w:shd w:val="clear" w:color="auto" w:fill="FFFFFF"/>
          </w:tcPr>
          <w:p w14:paraId="6A4250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3000 кг</w:t>
            </w:r>
          </w:p>
        </w:tc>
      </w:tr>
      <w:tr w:rsidR="00561F31" w:rsidRPr="00F90EAE" w14:paraId="36F98A67" w14:textId="77777777">
        <w:tc>
          <w:tcPr>
            <w:tcW w:w="4219" w:type="dxa"/>
            <w:shd w:val="clear" w:color="auto" w:fill="FFFFFF"/>
          </w:tcPr>
          <w:p w14:paraId="3B4DBA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 калибр подвешиваемых бомб</w:t>
            </w:r>
          </w:p>
        </w:tc>
        <w:tc>
          <w:tcPr>
            <w:tcW w:w="4253" w:type="dxa"/>
            <w:shd w:val="clear" w:color="auto" w:fill="FFFFFF"/>
          </w:tcPr>
          <w:p w14:paraId="3007D1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6398AE98" w14:textId="77777777">
        <w:tc>
          <w:tcPr>
            <w:tcW w:w="4219" w:type="dxa"/>
            <w:shd w:val="clear" w:color="auto" w:fill="FFFFFF"/>
          </w:tcPr>
          <w:p w14:paraId="1E3F62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00AF63E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пушки калибра 20 мм</w:t>
            </w:r>
          </w:p>
        </w:tc>
      </w:tr>
      <w:tr w:rsidR="00561F31" w:rsidRPr="00F90EAE" w14:paraId="3C47AE82" w14:textId="77777777">
        <w:tc>
          <w:tcPr>
            <w:tcW w:w="4219" w:type="dxa"/>
            <w:shd w:val="clear" w:color="auto" w:fill="FFFFFF"/>
          </w:tcPr>
          <w:p w14:paraId="736EEBF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015F33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пулемёта калибра 12,7 мм</w:t>
            </w:r>
          </w:p>
        </w:tc>
      </w:tr>
      <w:tr w:rsidR="00561F31" w:rsidRPr="00F90EAE" w14:paraId="01FE20DE" w14:textId="77777777">
        <w:tc>
          <w:tcPr>
            <w:tcW w:w="4219" w:type="dxa"/>
            <w:shd w:val="clear" w:color="auto" w:fill="FFFFFF"/>
          </w:tcPr>
          <w:p w14:paraId="24FE98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норнальный</w:t>
            </w:r>
          </w:p>
        </w:tc>
        <w:tc>
          <w:tcPr>
            <w:tcW w:w="4253" w:type="dxa"/>
            <w:shd w:val="clear" w:color="auto" w:fill="FFFFFF"/>
          </w:tcPr>
          <w:p w14:paraId="562C71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10500 кг</w:t>
            </w:r>
          </w:p>
        </w:tc>
      </w:tr>
      <w:tr w:rsidR="00561F31" w:rsidRPr="00F90EAE" w14:paraId="7752C671" w14:textId="77777777">
        <w:tc>
          <w:tcPr>
            <w:tcW w:w="4219" w:type="dxa"/>
            <w:shd w:val="clear" w:color="auto" w:fill="FFFFFF"/>
          </w:tcPr>
          <w:p w14:paraId="0D3F98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w:t>
            </w:r>
          </w:p>
        </w:tc>
        <w:tc>
          <w:tcPr>
            <w:tcW w:w="4253" w:type="dxa"/>
            <w:shd w:val="clear" w:color="auto" w:fill="FFFFFF"/>
          </w:tcPr>
          <w:p w14:paraId="5BCA34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11520 кг</w:t>
            </w:r>
          </w:p>
        </w:tc>
      </w:tr>
      <w:tr w:rsidR="00561F31" w:rsidRPr="00F90EAE" w14:paraId="3F72D5AD" w14:textId="77777777">
        <w:tc>
          <w:tcPr>
            <w:tcW w:w="4219" w:type="dxa"/>
            <w:shd w:val="clear" w:color="auto" w:fill="FFFFFF"/>
          </w:tcPr>
          <w:p w14:paraId="3D93E1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6D3FB0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чел.</w:t>
            </w:r>
          </w:p>
        </w:tc>
      </w:tr>
      <w:tr w:rsidR="00561F31" w:rsidRPr="00F90EAE" w14:paraId="543B3FA1" w14:textId="77777777">
        <w:tc>
          <w:tcPr>
            <w:tcW w:w="4219" w:type="dxa"/>
            <w:shd w:val="clear" w:color="auto" w:fill="FFFFFF"/>
          </w:tcPr>
          <w:p w14:paraId="337C31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3E86CB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контрольных испытаниях самолёта №2 18/11 в НИИ ВВС КА, март 1944 года</w:t>
            </w:r>
          </w:p>
        </w:tc>
      </w:tr>
      <w:tr w:rsidR="00561F31" w:rsidRPr="00F90EAE" w14:paraId="32CC7298" w14:textId="77777777">
        <w:tc>
          <w:tcPr>
            <w:tcW w:w="4219" w:type="dxa"/>
            <w:shd w:val="clear" w:color="auto" w:fill="FFFFFF"/>
          </w:tcPr>
          <w:p w14:paraId="0004DC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Пе-2 с двумя моторами ВК-105ПФ</w:t>
            </w:r>
          </w:p>
        </w:tc>
        <w:tc>
          <w:tcPr>
            <w:tcW w:w="4253" w:type="dxa"/>
            <w:shd w:val="clear" w:color="auto" w:fill="FFFFFF"/>
          </w:tcPr>
          <w:p w14:paraId="55979217"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6D953D32" w14:textId="77777777">
        <w:tc>
          <w:tcPr>
            <w:tcW w:w="4219" w:type="dxa"/>
            <w:shd w:val="clear" w:color="auto" w:fill="FFFFFF"/>
          </w:tcPr>
          <w:p w14:paraId="68550A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2187B0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474 км/час.</w:t>
            </w:r>
          </w:p>
        </w:tc>
      </w:tr>
      <w:tr w:rsidR="00561F31" w:rsidRPr="00F90EAE" w14:paraId="516BC73B" w14:textId="77777777">
        <w:tc>
          <w:tcPr>
            <w:tcW w:w="4219" w:type="dxa"/>
            <w:shd w:val="clear" w:color="auto" w:fill="FFFFFF"/>
          </w:tcPr>
          <w:p w14:paraId="115999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высоте 3700 м</w:t>
            </w:r>
          </w:p>
        </w:tc>
        <w:tc>
          <w:tcPr>
            <w:tcW w:w="4253" w:type="dxa"/>
            <w:shd w:val="clear" w:color="auto" w:fill="FFFFFF"/>
          </w:tcPr>
          <w:p w14:paraId="35712A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528 -«-</w:t>
            </w:r>
          </w:p>
        </w:tc>
      </w:tr>
      <w:tr w:rsidR="00561F31" w:rsidRPr="00F90EAE" w14:paraId="02E2BB3E" w14:textId="77777777">
        <w:tc>
          <w:tcPr>
            <w:tcW w:w="4219" w:type="dxa"/>
            <w:shd w:val="clear" w:color="auto" w:fill="FFFFFF"/>
          </w:tcPr>
          <w:p w14:paraId="2EC6F5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с 500 кг бомб на 0,7 максимальной скорости</w:t>
            </w:r>
          </w:p>
        </w:tc>
        <w:tc>
          <w:tcPr>
            <w:tcW w:w="4253" w:type="dxa"/>
            <w:shd w:val="clear" w:color="auto" w:fill="FFFFFF"/>
          </w:tcPr>
          <w:p w14:paraId="21D1A6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1280 км</w:t>
            </w:r>
          </w:p>
        </w:tc>
      </w:tr>
      <w:tr w:rsidR="00561F31" w:rsidRPr="00F90EAE" w14:paraId="381086DC" w14:textId="77777777">
        <w:tc>
          <w:tcPr>
            <w:tcW w:w="4219" w:type="dxa"/>
            <w:shd w:val="clear" w:color="auto" w:fill="FFFFFF"/>
          </w:tcPr>
          <w:p w14:paraId="4F35E7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высоту 5000 м</w:t>
            </w:r>
          </w:p>
        </w:tc>
        <w:tc>
          <w:tcPr>
            <w:tcW w:w="4253" w:type="dxa"/>
            <w:shd w:val="clear" w:color="auto" w:fill="FFFFFF"/>
          </w:tcPr>
          <w:p w14:paraId="620014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9,35 мин.</w:t>
            </w:r>
          </w:p>
        </w:tc>
      </w:tr>
      <w:tr w:rsidR="00561F31" w:rsidRPr="00F90EAE" w14:paraId="31AF7829" w14:textId="77777777">
        <w:tc>
          <w:tcPr>
            <w:tcW w:w="4219" w:type="dxa"/>
            <w:shd w:val="clear" w:color="auto" w:fill="FFFFFF"/>
          </w:tcPr>
          <w:p w14:paraId="6D12761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Потолок</w:t>
            </w:r>
          </w:p>
        </w:tc>
        <w:tc>
          <w:tcPr>
            <w:tcW w:w="4253" w:type="dxa"/>
            <w:shd w:val="clear" w:color="auto" w:fill="FFFFFF"/>
          </w:tcPr>
          <w:p w14:paraId="78495E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8800 мт.</w:t>
            </w:r>
          </w:p>
        </w:tc>
      </w:tr>
      <w:tr w:rsidR="00561F31" w:rsidRPr="00F90EAE" w14:paraId="3CE473B2" w14:textId="77777777">
        <w:tc>
          <w:tcPr>
            <w:tcW w:w="4219" w:type="dxa"/>
            <w:shd w:val="clear" w:color="auto" w:fill="FFFFFF"/>
          </w:tcPr>
          <w:p w14:paraId="33A188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4253" w:type="dxa"/>
            <w:shd w:val="clear" w:color="auto" w:fill="FFFFFF"/>
          </w:tcPr>
          <w:p w14:paraId="56F2D5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 кг</w:t>
            </w:r>
          </w:p>
        </w:tc>
      </w:tr>
      <w:tr w:rsidR="00561F31" w:rsidRPr="00F90EAE" w14:paraId="26EFDD34" w14:textId="77777777">
        <w:tc>
          <w:tcPr>
            <w:tcW w:w="4219" w:type="dxa"/>
            <w:shd w:val="clear" w:color="auto" w:fill="FFFFFF"/>
          </w:tcPr>
          <w:p w14:paraId="233745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w:t>
            </w:r>
          </w:p>
        </w:tc>
        <w:tc>
          <w:tcPr>
            <w:tcW w:w="4253" w:type="dxa"/>
            <w:shd w:val="clear" w:color="auto" w:fill="FFFFFF"/>
          </w:tcPr>
          <w:p w14:paraId="1A82CC9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72CF0BE1" w14:textId="77777777">
        <w:tc>
          <w:tcPr>
            <w:tcW w:w="4219" w:type="dxa"/>
            <w:shd w:val="clear" w:color="auto" w:fill="FFFFFF"/>
          </w:tcPr>
          <w:p w14:paraId="5B05E2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0BD483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7,62 ш</w:t>
            </w:r>
          </w:p>
        </w:tc>
      </w:tr>
      <w:tr w:rsidR="00561F31" w:rsidRPr="00F90EAE" w14:paraId="3169B0F9" w14:textId="77777777">
        <w:tc>
          <w:tcPr>
            <w:tcW w:w="4219" w:type="dxa"/>
            <w:shd w:val="clear" w:color="auto" w:fill="FFFFFF"/>
          </w:tcPr>
          <w:p w14:paraId="0C079A3F"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1AB51E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12,7 мм</w:t>
            </w:r>
          </w:p>
        </w:tc>
      </w:tr>
      <w:tr w:rsidR="00561F31" w:rsidRPr="00F90EAE" w14:paraId="62A934F3" w14:textId="77777777">
        <w:tc>
          <w:tcPr>
            <w:tcW w:w="4219" w:type="dxa"/>
            <w:shd w:val="clear" w:color="auto" w:fill="FFFFFF"/>
          </w:tcPr>
          <w:p w14:paraId="3EB718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11396A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пулемёта калибра 12,7 мм</w:t>
            </w:r>
          </w:p>
        </w:tc>
      </w:tr>
      <w:tr w:rsidR="00561F31" w:rsidRPr="00F90EAE" w14:paraId="570D5D6C" w14:textId="77777777">
        <w:tc>
          <w:tcPr>
            <w:tcW w:w="4219" w:type="dxa"/>
            <w:shd w:val="clear" w:color="auto" w:fill="FFFFFF"/>
          </w:tcPr>
          <w:p w14:paraId="10613A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нормальный</w:t>
            </w:r>
          </w:p>
        </w:tc>
        <w:tc>
          <w:tcPr>
            <w:tcW w:w="4253" w:type="dxa"/>
            <w:shd w:val="clear" w:color="auto" w:fill="FFFFFF"/>
          </w:tcPr>
          <w:p w14:paraId="7D12D8A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8300 кг.</w:t>
            </w:r>
          </w:p>
        </w:tc>
      </w:tr>
      <w:tr w:rsidR="00561F31" w:rsidRPr="00F90EAE" w14:paraId="1DD2AEAC" w14:textId="77777777">
        <w:tc>
          <w:tcPr>
            <w:tcW w:w="4219" w:type="dxa"/>
            <w:shd w:val="clear" w:color="auto" w:fill="FFFFFF"/>
          </w:tcPr>
          <w:p w14:paraId="36C5D6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w:t>
            </w:r>
          </w:p>
        </w:tc>
        <w:tc>
          <w:tcPr>
            <w:tcW w:w="4253" w:type="dxa"/>
            <w:shd w:val="clear" w:color="auto" w:fill="FFFFFF"/>
          </w:tcPr>
          <w:p w14:paraId="5EB9ED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8858 кг</w:t>
            </w:r>
          </w:p>
        </w:tc>
      </w:tr>
      <w:tr w:rsidR="00561F31" w:rsidRPr="00F90EAE" w14:paraId="4B0E075B" w14:textId="77777777">
        <w:tc>
          <w:tcPr>
            <w:tcW w:w="4219" w:type="dxa"/>
            <w:shd w:val="clear" w:color="auto" w:fill="FFFFFF"/>
          </w:tcPr>
          <w:p w14:paraId="3683B9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766991D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чел.</w:t>
            </w:r>
          </w:p>
        </w:tc>
      </w:tr>
      <w:tr w:rsidR="00561F31" w:rsidRPr="00F90EAE" w14:paraId="502E02FC" w14:textId="77777777">
        <w:tc>
          <w:tcPr>
            <w:tcW w:w="4219" w:type="dxa"/>
            <w:shd w:val="clear" w:color="auto" w:fill="FFFFFF"/>
          </w:tcPr>
          <w:p w14:paraId="743D04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63F1D9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самолёта № 11/427 испытаниях января 1945 года.</w:t>
            </w:r>
          </w:p>
        </w:tc>
      </w:tr>
      <w:tr w:rsidR="00561F31" w:rsidRPr="00F90EAE" w14:paraId="469B5915" w14:textId="77777777">
        <w:tc>
          <w:tcPr>
            <w:tcW w:w="4219" w:type="dxa"/>
            <w:shd w:val="clear" w:color="auto" w:fill="FFFFFF"/>
          </w:tcPr>
          <w:p w14:paraId="10354A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Ил-4 с двумямоторами АШ-88Б</w:t>
            </w:r>
          </w:p>
        </w:tc>
        <w:tc>
          <w:tcPr>
            <w:tcW w:w="4253" w:type="dxa"/>
            <w:shd w:val="clear" w:color="auto" w:fill="FFFFFF"/>
          </w:tcPr>
          <w:p w14:paraId="6780787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47B26478" w14:textId="77777777">
        <w:tc>
          <w:tcPr>
            <w:tcW w:w="4219" w:type="dxa"/>
            <w:shd w:val="clear" w:color="auto" w:fill="FFFFFF"/>
          </w:tcPr>
          <w:p w14:paraId="50B556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57BB4E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330 км/час</w:t>
            </w:r>
          </w:p>
        </w:tc>
      </w:tr>
      <w:tr w:rsidR="00561F31" w:rsidRPr="00F90EAE" w14:paraId="6A698DDA" w14:textId="77777777">
        <w:tc>
          <w:tcPr>
            <w:tcW w:w="4219" w:type="dxa"/>
            <w:shd w:val="clear" w:color="auto" w:fill="FFFFFF"/>
          </w:tcPr>
          <w:p w14:paraId="21C526D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высоте 6000 мт</w:t>
            </w:r>
          </w:p>
        </w:tc>
        <w:tc>
          <w:tcPr>
            <w:tcW w:w="4253" w:type="dxa"/>
            <w:shd w:val="clear" w:color="auto" w:fill="FFFFFF"/>
          </w:tcPr>
          <w:p w14:paraId="236EBD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r>
      <w:tr w:rsidR="00561F31" w:rsidRPr="00F90EAE" w14:paraId="5DC7AF0A" w14:textId="77777777">
        <w:tc>
          <w:tcPr>
            <w:tcW w:w="4219" w:type="dxa"/>
            <w:shd w:val="clear" w:color="auto" w:fill="FFFFFF"/>
          </w:tcPr>
          <w:p w14:paraId="6E73CB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с 1000 кг бомб на 0,8 максимальной скорости с подвесным баком</w:t>
            </w:r>
          </w:p>
        </w:tc>
        <w:tc>
          <w:tcPr>
            <w:tcW w:w="4253" w:type="dxa"/>
            <w:shd w:val="clear" w:color="auto" w:fill="FFFFFF"/>
          </w:tcPr>
          <w:p w14:paraId="6B5959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3150 км</w:t>
            </w:r>
          </w:p>
        </w:tc>
      </w:tr>
      <w:tr w:rsidR="00561F31" w:rsidRPr="00F90EAE" w14:paraId="78297A32" w14:textId="77777777">
        <w:tc>
          <w:tcPr>
            <w:tcW w:w="4219" w:type="dxa"/>
            <w:shd w:val="clear" w:color="auto" w:fill="FFFFFF"/>
          </w:tcPr>
          <w:p w14:paraId="5092FEC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с 1000 кг бомб на 0,8 максимальной скорости</w:t>
            </w:r>
          </w:p>
        </w:tc>
        <w:tc>
          <w:tcPr>
            <w:tcW w:w="4253" w:type="dxa"/>
            <w:shd w:val="clear" w:color="auto" w:fill="FFFFFF"/>
          </w:tcPr>
          <w:p w14:paraId="324410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2700 км</w:t>
            </w:r>
          </w:p>
        </w:tc>
      </w:tr>
      <w:tr w:rsidR="00561F31" w:rsidRPr="00F90EAE" w14:paraId="4FBF8232" w14:textId="77777777">
        <w:tc>
          <w:tcPr>
            <w:tcW w:w="4219" w:type="dxa"/>
            <w:shd w:val="clear" w:color="auto" w:fill="FFFFFF"/>
          </w:tcPr>
          <w:p w14:paraId="6A41D3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высоту 5000 мт</w:t>
            </w:r>
          </w:p>
        </w:tc>
        <w:tc>
          <w:tcPr>
            <w:tcW w:w="4253" w:type="dxa"/>
            <w:shd w:val="clear" w:color="auto" w:fill="FFFFFF"/>
          </w:tcPr>
          <w:p w14:paraId="7A59528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 мин.</w:t>
            </w:r>
          </w:p>
        </w:tc>
      </w:tr>
      <w:tr w:rsidR="00561F31" w:rsidRPr="00F90EAE" w14:paraId="04206EFB" w14:textId="77777777">
        <w:tc>
          <w:tcPr>
            <w:tcW w:w="4219" w:type="dxa"/>
            <w:shd w:val="clear" w:color="auto" w:fill="FFFFFF"/>
          </w:tcPr>
          <w:p w14:paraId="00F295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w:t>
            </w:r>
          </w:p>
        </w:tc>
        <w:tc>
          <w:tcPr>
            <w:tcW w:w="4253" w:type="dxa"/>
            <w:shd w:val="clear" w:color="auto" w:fill="FFFFFF"/>
          </w:tcPr>
          <w:p w14:paraId="756D7B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9400 мт</w:t>
            </w:r>
          </w:p>
        </w:tc>
      </w:tr>
      <w:tr w:rsidR="00561F31" w:rsidRPr="00F90EAE" w14:paraId="583B9044" w14:textId="77777777">
        <w:tc>
          <w:tcPr>
            <w:tcW w:w="4219" w:type="dxa"/>
            <w:shd w:val="clear" w:color="auto" w:fill="FFFFFF"/>
          </w:tcPr>
          <w:p w14:paraId="6B4E33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нормальная</w:t>
            </w:r>
          </w:p>
        </w:tc>
        <w:tc>
          <w:tcPr>
            <w:tcW w:w="4253" w:type="dxa"/>
            <w:shd w:val="clear" w:color="auto" w:fill="FFFFFF"/>
          </w:tcPr>
          <w:p w14:paraId="32253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62843F72" w14:textId="77777777">
        <w:tc>
          <w:tcPr>
            <w:tcW w:w="4219" w:type="dxa"/>
            <w:shd w:val="clear" w:color="auto" w:fill="FFFFFF"/>
          </w:tcPr>
          <w:p w14:paraId="001A71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w:t>
            </w:r>
          </w:p>
        </w:tc>
        <w:tc>
          <w:tcPr>
            <w:tcW w:w="4253" w:type="dxa"/>
            <w:shd w:val="clear" w:color="auto" w:fill="FFFFFF"/>
          </w:tcPr>
          <w:p w14:paraId="1182D0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2500 кг</w:t>
            </w:r>
          </w:p>
        </w:tc>
      </w:tr>
      <w:tr w:rsidR="00561F31" w:rsidRPr="00F90EAE" w14:paraId="119AA079" w14:textId="77777777">
        <w:tc>
          <w:tcPr>
            <w:tcW w:w="4219" w:type="dxa"/>
            <w:shd w:val="clear" w:color="auto" w:fill="FFFFFF"/>
          </w:tcPr>
          <w:p w14:paraId="0682D4F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 калибврподвешиваемых бомб</w:t>
            </w:r>
          </w:p>
        </w:tc>
        <w:tc>
          <w:tcPr>
            <w:tcW w:w="4253" w:type="dxa"/>
            <w:shd w:val="clear" w:color="auto" w:fill="FFFFFF"/>
          </w:tcPr>
          <w:p w14:paraId="642F9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7DFE64ED" w14:textId="77777777">
        <w:tc>
          <w:tcPr>
            <w:tcW w:w="4219" w:type="dxa"/>
            <w:shd w:val="clear" w:color="auto" w:fill="FFFFFF"/>
          </w:tcPr>
          <w:p w14:paraId="740AEC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622344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7;62 мм</w:t>
            </w:r>
          </w:p>
        </w:tc>
      </w:tr>
      <w:tr w:rsidR="00561F31" w:rsidRPr="00F90EAE" w14:paraId="7913998B" w14:textId="77777777">
        <w:tc>
          <w:tcPr>
            <w:tcW w:w="4219" w:type="dxa"/>
            <w:shd w:val="clear" w:color="auto" w:fill="FFFFFF"/>
          </w:tcPr>
          <w:p w14:paraId="2372C6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054311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12,7 мм</w:t>
            </w:r>
          </w:p>
        </w:tc>
      </w:tr>
      <w:tr w:rsidR="00561F31" w:rsidRPr="00F90EAE" w14:paraId="3F0E69C6" w14:textId="77777777">
        <w:tc>
          <w:tcPr>
            <w:tcW w:w="4219" w:type="dxa"/>
            <w:shd w:val="clear" w:color="auto" w:fill="FFFFFF"/>
          </w:tcPr>
          <w:p w14:paraId="7FF671A3"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2C727C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w:t>
            </w:r>
            <w:r w:rsidRPr="00F90EAE">
              <w:rPr>
                <w:color w:val="000000" w:themeColor="text1"/>
                <w:sz w:val="16"/>
                <w:szCs w:val="16"/>
                <w:vertAlign w:val="superscript"/>
              </w:rPr>
              <w:t>-</w:t>
            </w:r>
            <w:r w:rsidRPr="00F90EAE">
              <w:rPr>
                <w:color w:val="000000" w:themeColor="text1"/>
                <w:sz w:val="16"/>
                <w:szCs w:val="16"/>
              </w:rPr>
              <w:t>пулемет калибра 7,62 мм</w:t>
            </w:r>
          </w:p>
        </w:tc>
      </w:tr>
      <w:tr w:rsidR="00561F31" w:rsidRPr="00F90EAE" w14:paraId="190A1F60" w14:textId="77777777">
        <w:tc>
          <w:tcPr>
            <w:tcW w:w="4219" w:type="dxa"/>
            <w:shd w:val="clear" w:color="auto" w:fill="FFFFFF"/>
          </w:tcPr>
          <w:p w14:paraId="26FCA3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нормальный</w:t>
            </w:r>
          </w:p>
        </w:tc>
        <w:tc>
          <w:tcPr>
            <w:tcW w:w="4253" w:type="dxa"/>
            <w:shd w:val="clear" w:color="auto" w:fill="FFFFFF"/>
          </w:tcPr>
          <w:p w14:paraId="451386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9351 кг</w:t>
            </w:r>
          </w:p>
        </w:tc>
      </w:tr>
      <w:tr w:rsidR="00561F31" w:rsidRPr="00F90EAE" w14:paraId="1A08D9A6" w14:textId="77777777">
        <w:tc>
          <w:tcPr>
            <w:tcW w:w="4219" w:type="dxa"/>
            <w:shd w:val="clear" w:color="auto" w:fill="FFFFFF"/>
          </w:tcPr>
          <w:p w14:paraId="346275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w:t>
            </w:r>
          </w:p>
        </w:tc>
        <w:tc>
          <w:tcPr>
            <w:tcW w:w="4253" w:type="dxa"/>
            <w:shd w:val="clear" w:color="auto" w:fill="FFFFFF"/>
          </w:tcPr>
          <w:p w14:paraId="403DB3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11500 кг</w:t>
            </w:r>
          </w:p>
        </w:tc>
      </w:tr>
      <w:tr w:rsidR="00561F31" w:rsidRPr="00F90EAE" w14:paraId="70988455" w14:textId="77777777">
        <w:tc>
          <w:tcPr>
            <w:tcW w:w="4219" w:type="dxa"/>
            <w:shd w:val="clear" w:color="auto" w:fill="FFFFFF"/>
          </w:tcPr>
          <w:p w14:paraId="609276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6DCD1B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чел</w:t>
            </w:r>
          </w:p>
        </w:tc>
      </w:tr>
      <w:tr w:rsidR="00561F31" w:rsidRPr="00F90EAE" w14:paraId="694D7E48" w14:textId="77777777">
        <w:tc>
          <w:tcPr>
            <w:tcW w:w="4219" w:type="dxa"/>
            <w:shd w:val="clear" w:color="auto" w:fill="FFFFFF"/>
          </w:tcPr>
          <w:p w14:paraId="26199B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53" w:type="dxa"/>
            <w:shd w:val="clear" w:color="auto" w:fill="FFFFFF"/>
          </w:tcPr>
          <w:p w14:paraId="3F7AE9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 заводских испытаниях самолета № 16215 выпуска декабря 1944 года.</w:t>
            </w:r>
          </w:p>
        </w:tc>
      </w:tr>
      <w:tr w:rsidR="00561F31" w:rsidRPr="00F90EAE" w14:paraId="67A4EF62" w14:textId="77777777">
        <w:tc>
          <w:tcPr>
            <w:tcW w:w="4219" w:type="dxa"/>
            <w:shd w:val="clear" w:color="auto" w:fill="FFFFFF"/>
          </w:tcPr>
          <w:p w14:paraId="5CF289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Ер-2 с двумя моторами АЧ-З0Б.</w:t>
            </w:r>
          </w:p>
        </w:tc>
        <w:tc>
          <w:tcPr>
            <w:tcW w:w="4253" w:type="dxa"/>
            <w:shd w:val="clear" w:color="auto" w:fill="FFFFFF"/>
          </w:tcPr>
          <w:p w14:paraId="5F8AB740"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70EA98F8" w14:textId="77777777">
        <w:tc>
          <w:tcPr>
            <w:tcW w:w="4219" w:type="dxa"/>
            <w:shd w:val="clear" w:color="auto" w:fill="FFFFFF"/>
          </w:tcPr>
          <w:p w14:paraId="3D807A5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53" w:type="dxa"/>
            <w:shd w:val="clear" w:color="auto" w:fill="FFFFFF"/>
          </w:tcPr>
          <w:p w14:paraId="04E2192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w:t>
            </w:r>
          </w:p>
        </w:tc>
      </w:tr>
      <w:tr w:rsidR="00561F31" w:rsidRPr="00F90EAE" w14:paraId="6E47AD3B" w14:textId="77777777">
        <w:tc>
          <w:tcPr>
            <w:tcW w:w="4219" w:type="dxa"/>
            <w:shd w:val="clear" w:color="auto" w:fill="FFFFFF"/>
          </w:tcPr>
          <w:p w14:paraId="72FB52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на высоте 6000 мт</w:t>
            </w:r>
          </w:p>
        </w:tc>
        <w:tc>
          <w:tcPr>
            <w:tcW w:w="4253" w:type="dxa"/>
            <w:shd w:val="clear" w:color="auto" w:fill="FFFFFF"/>
          </w:tcPr>
          <w:p w14:paraId="2EA0E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420</w:t>
            </w:r>
          </w:p>
        </w:tc>
      </w:tr>
      <w:tr w:rsidR="00561F31" w:rsidRPr="00F90EAE" w14:paraId="3ECA5023" w14:textId="77777777">
        <w:tc>
          <w:tcPr>
            <w:tcW w:w="4219" w:type="dxa"/>
            <w:shd w:val="clear" w:color="auto" w:fill="FFFFFF"/>
          </w:tcPr>
          <w:p w14:paraId="4ECDA6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 с 4000 кг бомб на 0,8 максимальной скорости</w:t>
            </w:r>
          </w:p>
        </w:tc>
        <w:tc>
          <w:tcPr>
            <w:tcW w:w="4253" w:type="dxa"/>
            <w:shd w:val="clear" w:color="auto" w:fill="FFFFFF"/>
          </w:tcPr>
          <w:p w14:paraId="427FE0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км</w:t>
            </w:r>
          </w:p>
        </w:tc>
      </w:tr>
      <w:tr w:rsidR="00561F31" w:rsidRPr="00F90EAE" w14:paraId="416B1C17" w14:textId="77777777">
        <w:tc>
          <w:tcPr>
            <w:tcW w:w="4219" w:type="dxa"/>
            <w:shd w:val="clear" w:color="auto" w:fill="FFFFFF"/>
          </w:tcPr>
          <w:p w14:paraId="72712F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полёта максимальная с 1000 кг бомб на 0,8 максималь</w:t>
            </w:r>
            <w:r w:rsidRPr="00F90EAE">
              <w:rPr>
                <w:color w:val="000000" w:themeColor="text1"/>
                <w:sz w:val="16"/>
                <w:szCs w:val="16"/>
              </w:rPr>
              <w:softHyphen/>
              <w:t>ной скорости</w:t>
            </w:r>
          </w:p>
        </w:tc>
        <w:tc>
          <w:tcPr>
            <w:tcW w:w="4253" w:type="dxa"/>
            <w:shd w:val="clear" w:color="auto" w:fill="FFFFFF"/>
          </w:tcPr>
          <w:p w14:paraId="7B3BD51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 км</w:t>
            </w:r>
          </w:p>
        </w:tc>
      </w:tr>
      <w:tr w:rsidR="00561F31" w:rsidRPr="00F90EAE" w14:paraId="0C3DC391" w14:textId="77777777">
        <w:tc>
          <w:tcPr>
            <w:tcW w:w="4219" w:type="dxa"/>
            <w:shd w:val="clear" w:color="auto" w:fill="FFFFFF"/>
          </w:tcPr>
          <w:p w14:paraId="452169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Вреия под”ёма на высоту 5000 мт</w:t>
            </w:r>
          </w:p>
        </w:tc>
        <w:tc>
          <w:tcPr>
            <w:tcW w:w="4253" w:type="dxa"/>
            <w:shd w:val="clear" w:color="auto" w:fill="FFFFFF"/>
          </w:tcPr>
          <w:p w14:paraId="2DD981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мин.</w:t>
            </w:r>
          </w:p>
        </w:tc>
      </w:tr>
      <w:tr w:rsidR="00561F31" w:rsidRPr="00F90EAE" w14:paraId="674DB9A1" w14:textId="77777777">
        <w:tc>
          <w:tcPr>
            <w:tcW w:w="4219" w:type="dxa"/>
            <w:shd w:val="clear" w:color="auto" w:fill="FFFFFF"/>
          </w:tcPr>
          <w:p w14:paraId="38843C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w:t>
            </w:r>
          </w:p>
        </w:tc>
        <w:tc>
          <w:tcPr>
            <w:tcW w:w="4253" w:type="dxa"/>
            <w:shd w:val="clear" w:color="auto" w:fill="FFFFFF"/>
          </w:tcPr>
          <w:p w14:paraId="441EA9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8300 мт</w:t>
            </w:r>
          </w:p>
        </w:tc>
      </w:tr>
      <w:tr w:rsidR="00561F31" w:rsidRPr="00F90EAE" w14:paraId="55C39B7F" w14:textId="77777777">
        <w:tc>
          <w:tcPr>
            <w:tcW w:w="4219" w:type="dxa"/>
            <w:shd w:val="clear" w:color="auto" w:fill="FFFFFF"/>
          </w:tcPr>
          <w:p w14:paraId="2BD746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Бомбовая нагрузка - нормальная</w:t>
            </w:r>
          </w:p>
        </w:tc>
        <w:tc>
          <w:tcPr>
            <w:tcW w:w="4253" w:type="dxa"/>
            <w:shd w:val="clear" w:color="auto" w:fill="FFFFFF"/>
          </w:tcPr>
          <w:p w14:paraId="7CC612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1000 кг</w:t>
            </w:r>
          </w:p>
        </w:tc>
      </w:tr>
      <w:tr w:rsidR="00561F31" w:rsidRPr="00F90EAE" w14:paraId="3520F049" w14:textId="77777777">
        <w:tc>
          <w:tcPr>
            <w:tcW w:w="4219" w:type="dxa"/>
            <w:shd w:val="clear" w:color="auto" w:fill="FFFFFF"/>
          </w:tcPr>
          <w:p w14:paraId="4C3127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w:t>
            </w:r>
          </w:p>
        </w:tc>
        <w:tc>
          <w:tcPr>
            <w:tcW w:w="4253" w:type="dxa"/>
            <w:shd w:val="clear" w:color="auto" w:fill="FFFFFF"/>
          </w:tcPr>
          <w:p w14:paraId="14D7C8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5000 кг</w:t>
            </w:r>
          </w:p>
        </w:tc>
      </w:tr>
      <w:tr w:rsidR="00561F31" w:rsidRPr="00F90EAE" w14:paraId="5ADA87AD" w14:textId="77777777">
        <w:tc>
          <w:tcPr>
            <w:tcW w:w="4219" w:type="dxa"/>
            <w:shd w:val="clear" w:color="auto" w:fill="FFFFFF"/>
          </w:tcPr>
          <w:p w14:paraId="4BAEE8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 калибр подвешиваемых бомб</w:t>
            </w:r>
          </w:p>
        </w:tc>
        <w:tc>
          <w:tcPr>
            <w:tcW w:w="4253" w:type="dxa"/>
            <w:shd w:val="clear" w:color="auto" w:fill="FFFFFF"/>
          </w:tcPr>
          <w:p w14:paraId="100CEC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кг</w:t>
            </w:r>
          </w:p>
        </w:tc>
      </w:tr>
      <w:tr w:rsidR="00561F31" w:rsidRPr="00F90EAE" w14:paraId="3BABC9E9" w14:textId="77777777">
        <w:tc>
          <w:tcPr>
            <w:tcW w:w="4219" w:type="dxa"/>
            <w:shd w:val="clear" w:color="auto" w:fill="FFFFFF"/>
          </w:tcPr>
          <w:p w14:paraId="0C93DE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стрелковое вперед</w:t>
            </w:r>
          </w:p>
        </w:tc>
        <w:tc>
          <w:tcPr>
            <w:tcW w:w="4253" w:type="dxa"/>
            <w:shd w:val="clear" w:color="auto" w:fill="FFFFFF"/>
          </w:tcPr>
          <w:p w14:paraId="1FBD49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12,7 мм</w:t>
            </w:r>
          </w:p>
        </w:tc>
      </w:tr>
      <w:tr w:rsidR="00561F31" w:rsidRPr="00F90EAE" w14:paraId="3821B769" w14:textId="77777777">
        <w:tc>
          <w:tcPr>
            <w:tcW w:w="4219" w:type="dxa"/>
            <w:shd w:val="clear" w:color="auto" w:fill="FFFFFF"/>
          </w:tcPr>
          <w:p w14:paraId="486DD5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назад</w:t>
            </w:r>
          </w:p>
        </w:tc>
        <w:tc>
          <w:tcPr>
            <w:tcW w:w="4253" w:type="dxa"/>
            <w:shd w:val="clear" w:color="auto" w:fill="FFFFFF"/>
          </w:tcPr>
          <w:p w14:paraId="38ABF6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пулемёт калибра 12,7 мм</w:t>
            </w:r>
          </w:p>
        </w:tc>
      </w:tr>
      <w:tr w:rsidR="00561F31" w:rsidRPr="00F90EAE" w14:paraId="125B268E" w14:textId="77777777">
        <w:tc>
          <w:tcPr>
            <w:tcW w:w="4219" w:type="dxa"/>
            <w:shd w:val="clear" w:color="auto" w:fill="FFFFFF"/>
          </w:tcPr>
          <w:p w14:paraId="00861C14" w14:textId="77777777" w:rsidR="00665165" w:rsidRPr="00F90EAE" w:rsidRDefault="00665165" w:rsidP="00F90EAE">
            <w:pPr>
              <w:autoSpaceDE w:val="0"/>
              <w:autoSpaceDN w:val="0"/>
              <w:adjustRightInd w:val="0"/>
              <w:jc w:val="both"/>
              <w:rPr>
                <w:color w:val="000000" w:themeColor="text1"/>
                <w:sz w:val="16"/>
                <w:szCs w:val="16"/>
              </w:rPr>
            </w:pPr>
          </w:p>
        </w:tc>
        <w:tc>
          <w:tcPr>
            <w:tcW w:w="4253" w:type="dxa"/>
            <w:shd w:val="clear" w:color="auto" w:fill="FFFFFF"/>
          </w:tcPr>
          <w:p w14:paraId="33EFD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пушка калибра 20 мм</w:t>
            </w:r>
          </w:p>
        </w:tc>
      </w:tr>
      <w:tr w:rsidR="00561F31" w:rsidRPr="00F90EAE" w14:paraId="4F91EAB5" w14:textId="77777777">
        <w:tc>
          <w:tcPr>
            <w:tcW w:w="4219" w:type="dxa"/>
            <w:shd w:val="clear" w:color="auto" w:fill="FFFFFF"/>
          </w:tcPr>
          <w:p w14:paraId="4DE2DA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Полётный вес нормальный</w:t>
            </w:r>
          </w:p>
        </w:tc>
        <w:tc>
          <w:tcPr>
            <w:tcW w:w="4253" w:type="dxa"/>
            <w:shd w:val="clear" w:color="auto" w:fill="FFFFFF"/>
          </w:tcPr>
          <w:p w14:paraId="12D34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14850 кг</w:t>
            </w:r>
          </w:p>
        </w:tc>
      </w:tr>
      <w:tr w:rsidR="00561F31" w:rsidRPr="00F90EAE" w14:paraId="0CF8333B" w14:textId="77777777">
        <w:tc>
          <w:tcPr>
            <w:tcW w:w="4219" w:type="dxa"/>
            <w:shd w:val="clear" w:color="auto" w:fill="FFFFFF"/>
          </w:tcPr>
          <w:p w14:paraId="2BE60E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w:t>
            </w:r>
          </w:p>
        </w:tc>
        <w:tc>
          <w:tcPr>
            <w:tcW w:w="4253" w:type="dxa"/>
            <w:shd w:val="clear" w:color="auto" w:fill="FFFFFF"/>
          </w:tcPr>
          <w:p w14:paraId="33D1A6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18100 кг</w:t>
            </w:r>
          </w:p>
        </w:tc>
      </w:tr>
      <w:tr w:rsidR="00561F31" w:rsidRPr="00F90EAE" w14:paraId="659C68C5" w14:textId="77777777">
        <w:tc>
          <w:tcPr>
            <w:tcW w:w="4219" w:type="dxa"/>
            <w:shd w:val="clear" w:color="auto" w:fill="FFFFFF"/>
          </w:tcPr>
          <w:p w14:paraId="28D219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4253" w:type="dxa"/>
            <w:shd w:val="clear" w:color="auto" w:fill="FFFFFF"/>
          </w:tcPr>
          <w:p w14:paraId="1F283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чел.</w:t>
            </w:r>
          </w:p>
        </w:tc>
      </w:tr>
      <w:tr w:rsidR="00561F31" w:rsidRPr="00F90EAE" w14:paraId="52B40B43" w14:textId="77777777">
        <w:tc>
          <w:tcPr>
            <w:tcW w:w="4219" w:type="dxa"/>
            <w:tcBorders>
              <w:bottom w:val="single" w:sz="12" w:space="0" w:color="auto"/>
            </w:tcBorders>
          </w:tcPr>
          <w:p w14:paraId="3C6C41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Источник данных:</w:t>
            </w:r>
          </w:p>
        </w:tc>
        <w:tc>
          <w:tcPr>
            <w:tcW w:w="4253" w:type="dxa"/>
            <w:tcBorders>
              <w:bottom w:val="single" w:sz="12" w:space="0" w:color="auto"/>
            </w:tcBorders>
          </w:tcPr>
          <w:p w14:paraId="201EA5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Отчёт об испытании в НИИ ВВС ЕА самолёта № 7013901.</w:t>
            </w:r>
          </w:p>
        </w:tc>
      </w:tr>
    </w:tbl>
    <w:p w14:paraId="6020E7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Транспортные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561F31" w:rsidRPr="00F90EAE" w14:paraId="11CE1777" w14:textId="77777777">
        <w:tc>
          <w:tcPr>
            <w:tcW w:w="4261" w:type="dxa"/>
            <w:tcBorders>
              <w:top w:val="single" w:sz="12" w:space="0" w:color="auto"/>
            </w:tcBorders>
            <w:shd w:val="clear" w:color="auto" w:fill="FFFFFF"/>
          </w:tcPr>
          <w:p w14:paraId="6961C5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Ли-2 с двумя моторами АШ-62ИР в пассажирском варианте</w:t>
            </w:r>
          </w:p>
        </w:tc>
        <w:tc>
          <w:tcPr>
            <w:tcW w:w="4261" w:type="dxa"/>
            <w:tcBorders>
              <w:top w:val="single" w:sz="12" w:space="0" w:color="auto"/>
            </w:tcBorders>
            <w:shd w:val="clear" w:color="auto" w:fill="FFFFFF"/>
          </w:tcPr>
          <w:p w14:paraId="66EC498A"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44CE0DA" w14:textId="77777777">
        <w:tc>
          <w:tcPr>
            <w:tcW w:w="4261" w:type="dxa"/>
            <w:shd w:val="clear" w:color="auto" w:fill="FFFFFF"/>
          </w:tcPr>
          <w:p w14:paraId="2A66EC0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61" w:type="dxa"/>
            <w:shd w:val="clear" w:color="auto" w:fill="FFFFFF"/>
          </w:tcPr>
          <w:p w14:paraId="49797A1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309 км/час</w:t>
            </w:r>
          </w:p>
        </w:tc>
      </w:tr>
      <w:tr w:rsidR="00561F31" w:rsidRPr="00F90EAE" w14:paraId="4C32B22F" w14:textId="77777777">
        <w:tc>
          <w:tcPr>
            <w:tcW w:w="4261" w:type="dxa"/>
            <w:shd w:val="clear" w:color="auto" w:fill="FFFFFF"/>
          </w:tcPr>
          <w:p w14:paraId="245ADC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1760 м</w:t>
            </w:r>
          </w:p>
        </w:tc>
        <w:tc>
          <w:tcPr>
            <w:tcW w:w="4261" w:type="dxa"/>
            <w:shd w:val="clear" w:color="auto" w:fill="FFFFFF"/>
          </w:tcPr>
          <w:p w14:paraId="4CCF6A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333 ко/час</w:t>
            </w:r>
          </w:p>
        </w:tc>
      </w:tr>
      <w:tr w:rsidR="00561F31" w:rsidRPr="00F90EAE" w14:paraId="0E1554D2" w14:textId="77777777">
        <w:tc>
          <w:tcPr>
            <w:tcW w:w="4261" w:type="dxa"/>
            <w:shd w:val="clear" w:color="auto" w:fill="FFFFFF"/>
          </w:tcPr>
          <w:p w14:paraId="4FEAA6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под”ема на 3000 м</w:t>
            </w:r>
          </w:p>
        </w:tc>
        <w:tc>
          <w:tcPr>
            <w:tcW w:w="4261" w:type="dxa"/>
            <w:shd w:val="clear" w:color="auto" w:fill="FFFFFF"/>
          </w:tcPr>
          <w:p w14:paraId="77F1B0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13,8 минут</w:t>
            </w:r>
          </w:p>
        </w:tc>
      </w:tr>
      <w:tr w:rsidR="00561F31" w:rsidRPr="00F90EAE" w14:paraId="677DB182" w14:textId="77777777">
        <w:tc>
          <w:tcPr>
            <w:tcW w:w="4261" w:type="dxa"/>
            <w:shd w:val="clear" w:color="auto" w:fill="FFFFFF"/>
          </w:tcPr>
          <w:p w14:paraId="6363A4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w:t>
            </w:r>
          </w:p>
        </w:tc>
        <w:tc>
          <w:tcPr>
            <w:tcW w:w="4261" w:type="dxa"/>
            <w:shd w:val="clear" w:color="auto" w:fill="FFFFFF"/>
          </w:tcPr>
          <w:p w14:paraId="00BCD6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5720 м</w:t>
            </w:r>
          </w:p>
        </w:tc>
      </w:tr>
      <w:tr w:rsidR="00561F31" w:rsidRPr="00F90EAE" w14:paraId="1923C725" w14:textId="77777777">
        <w:tc>
          <w:tcPr>
            <w:tcW w:w="4261" w:type="dxa"/>
            <w:shd w:val="clear" w:color="auto" w:fill="FFFFFF"/>
          </w:tcPr>
          <w:p w14:paraId="5C0FAD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0,8 максимальной скорости</w:t>
            </w:r>
          </w:p>
        </w:tc>
        <w:tc>
          <w:tcPr>
            <w:tcW w:w="4261" w:type="dxa"/>
            <w:shd w:val="clear" w:color="auto" w:fill="FFFFFF"/>
          </w:tcPr>
          <w:p w14:paraId="607590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2600 км</w:t>
            </w:r>
          </w:p>
        </w:tc>
      </w:tr>
      <w:tr w:rsidR="00561F31" w:rsidRPr="00F90EAE" w14:paraId="250D2343" w14:textId="77777777">
        <w:tc>
          <w:tcPr>
            <w:tcW w:w="4261" w:type="dxa"/>
            <w:shd w:val="clear" w:color="auto" w:fill="FFFFFF"/>
          </w:tcPr>
          <w:p w14:paraId="0C9BA5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 нормальный</w:t>
            </w:r>
          </w:p>
        </w:tc>
        <w:tc>
          <w:tcPr>
            <w:tcW w:w="4261" w:type="dxa"/>
            <w:shd w:val="clear" w:color="auto" w:fill="FFFFFF"/>
          </w:tcPr>
          <w:p w14:paraId="4A25BE9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11000 кг</w:t>
            </w:r>
          </w:p>
        </w:tc>
      </w:tr>
      <w:tr w:rsidR="00561F31" w:rsidRPr="00F90EAE" w14:paraId="75F72239" w14:textId="77777777">
        <w:tc>
          <w:tcPr>
            <w:tcW w:w="4261" w:type="dxa"/>
            <w:shd w:val="clear" w:color="auto" w:fill="FFFFFF"/>
          </w:tcPr>
          <w:p w14:paraId="040E7F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максимальный</w:t>
            </w:r>
          </w:p>
        </w:tc>
        <w:tc>
          <w:tcPr>
            <w:tcW w:w="4261" w:type="dxa"/>
            <w:shd w:val="clear" w:color="auto" w:fill="FFFFFF"/>
          </w:tcPr>
          <w:p w14:paraId="3B4234F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11900</w:t>
            </w:r>
          </w:p>
        </w:tc>
      </w:tr>
      <w:tr w:rsidR="00561F31" w:rsidRPr="00F90EAE" w14:paraId="6D1B3905" w14:textId="77777777">
        <w:tc>
          <w:tcPr>
            <w:tcW w:w="4261" w:type="dxa"/>
            <w:shd w:val="clear" w:color="auto" w:fill="FFFFFF"/>
          </w:tcPr>
          <w:p w14:paraId="24E8E8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пассажиров</w:t>
            </w:r>
          </w:p>
        </w:tc>
        <w:tc>
          <w:tcPr>
            <w:tcW w:w="4261" w:type="dxa"/>
            <w:shd w:val="clear" w:color="auto" w:fill="FFFFFF"/>
          </w:tcPr>
          <w:p w14:paraId="163AE9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 чел.</w:t>
            </w:r>
          </w:p>
        </w:tc>
      </w:tr>
      <w:tr w:rsidR="00561F31" w:rsidRPr="00F90EAE" w14:paraId="4D9FB6A0" w14:textId="77777777">
        <w:tc>
          <w:tcPr>
            <w:tcW w:w="4261" w:type="dxa"/>
            <w:shd w:val="clear" w:color="auto" w:fill="FFFFFF"/>
          </w:tcPr>
          <w:p w14:paraId="486756E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61" w:type="dxa"/>
            <w:shd w:val="clear" w:color="auto" w:fill="FFFFFF"/>
          </w:tcPr>
          <w:p w14:paraId="3F7D86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 о государственных испытаниях самолета, 1940 года.</w:t>
            </w:r>
          </w:p>
        </w:tc>
      </w:tr>
      <w:tr w:rsidR="00561F31" w:rsidRPr="00F90EAE" w14:paraId="0384BD9F" w14:textId="77777777">
        <w:tc>
          <w:tcPr>
            <w:tcW w:w="4261" w:type="dxa"/>
            <w:shd w:val="clear" w:color="auto" w:fill="FFFFFF"/>
          </w:tcPr>
          <w:p w14:paraId="032DE5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Самолет Ще-2 с двумя моторами М-11</w:t>
            </w:r>
          </w:p>
        </w:tc>
        <w:tc>
          <w:tcPr>
            <w:tcW w:w="4261" w:type="dxa"/>
            <w:shd w:val="clear" w:color="auto" w:fill="FFFFFF"/>
          </w:tcPr>
          <w:p w14:paraId="12B9F8A6"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53346333" w14:textId="77777777">
        <w:tc>
          <w:tcPr>
            <w:tcW w:w="4261" w:type="dxa"/>
            <w:shd w:val="clear" w:color="auto" w:fill="FFFFFF"/>
          </w:tcPr>
          <w:p w14:paraId="166B21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у земли</w:t>
            </w:r>
          </w:p>
        </w:tc>
        <w:tc>
          <w:tcPr>
            <w:tcW w:w="4261" w:type="dxa"/>
            <w:shd w:val="clear" w:color="auto" w:fill="FFFFFF"/>
          </w:tcPr>
          <w:p w14:paraId="26F2FF2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157 км/час</w:t>
            </w:r>
          </w:p>
        </w:tc>
      </w:tr>
      <w:tr w:rsidR="00561F31" w:rsidRPr="00F90EAE" w14:paraId="2E2F2FD1" w14:textId="77777777">
        <w:tc>
          <w:tcPr>
            <w:tcW w:w="4261" w:type="dxa"/>
            <w:shd w:val="clear" w:color="auto" w:fill="FFFFFF"/>
          </w:tcPr>
          <w:p w14:paraId="1BCE6D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высоте 1000 м</w:t>
            </w:r>
          </w:p>
        </w:tc>
        <w:tc>
          <w:tcPr>
            <w:tcW w:w="4261" w:type="dxa"/>
            <w:shd w:val="clear" w:color="auto" w:fill="FFFFFF"/>
          </w:tcPr>
          <w:p w14:paraId="593A572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164 км/час</w:t>
            </w:r>
          </w:p>
        </w:tc>
      </w:tr>
      <w:tr w:rsidR="00561F31" w:rsidRPr="00F90EAE" w14:paraId="793CA269" w14:textId="77777777">
        <w:tc>
          <w:tcPr>
            <w:tcW w:w="4261" w:type="dxa"/>
            <w:shd w:val="clear" w:color="auto" w:fill="FFFFFF"/>
          </w:tcPr>
          <w:p w14:paraId="634A2FE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w:t>
            </w:r>
          </w:p>
        </w:tc>
        <w:tc>
          <w:tcPr>
            <w:tcW w:w="4261" w:type="dxa"/>
            <w:shd w:val="clear" w:color="auto" w:fill="FFFFFF"/>
          </w:tcPr>
          <w:p w14:paraId="301D90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2000 м</w:t>
            </w:r>
          </w:p>
        </w:tc>
      </w:tr>
      <w:tr w:rsidR="00561F31" w:rsidRPr="00F90EAE" w14:paraId="3D5600B9" w14:textId="77777777">
        <w:tc>
          <w:tcPr>
            <w:tcW w:w="4261" w:type="dxa"/>
            <w:shd w:val="clear" w:color="auto" w:fill="FFFFFF"/>
          </w:tcPr>
          <w:p w14:paraId="262F8D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0,8 максимальной скорости при нагрузив 865 кг</w:t>
            </w:r>
          </w:p>
        </w:tc>
        <w:tc>
          <w:tcPr>
            <w:tcW w:w="4261" w:type="dxa"/>
            <w:shd w:val="clear" w:color="auto" w:fill="FFFFFF"/>
          </w:tcPr>
          <w:p w14:paraId="094BD5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980 км</w:t>
            </w:r>
          </w:p>
        </w:tc>
      </w:tr>
      <w:tr w:rsidR="00561F31" w:rsidRPr="00F90EAE" w14:paraId="483D9075" w14:textId="77777777">
        <w:tc>
          <w:tcPr>
            <w:tcW w:w="4261" w:type="dxa"/>
            <w:shd w:val="clear" w:color="auto" w:fill="FFFFFF"/>
          </w:tcPr>
          <w:p w14:paraId="27669E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на 0,8 максимальной скорости при нагрузке 555 кг</w:t>
            </w:r>
          </w:p>
        </w:tc>
        <w:tc>
          <w:tcPr>
            <w:tcW w:w="4261" w:type="dxa"/>
            <w:shd w:val="clear" w:color="auto" w:fill="FFFFFF"/>
          </w:tcPr>
          <w:p w14:paraId="26DEB1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2160 км</w:t>
            </w:r>
          </w:p>
        </w:tc>
      </w:tr>
      <w:tr w:rsidR="00561F31" w:rsidRPr="00F90EAE" w14:paraId="36FB26C8" w14:textId="77777777">
        <w:tc>
          <w:tcPr>
            <w:tcW w:w="4261" w:type="dxa"/>
            <w:shd w:val="clear" w:color="auto" w:fill="FFFFFF"/>
          </w:tcPr>
          <w:p w14:paraId="7CDBBA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Полетный вес</w:t>
            </w:r>
          </w:p>
        </w:tc>
        <w:tc>
          <w:tcPr>
            <w:tcW w:w="4261" w:type="dxa"/>
            <w:shd w:val="clear" w:color="auto" w:fill="FFFFFF"/>
          </w:tcPr>
          <w:p w14:paraId="147DBE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3400 кг</w:t>
            </w:r>
          </w:p>
        </w:tc>
      </w:tr>
      <w:tr w:rsidR="00561F31" w:rsidRPr="00F90EAE" w14:paraId="7FF9EC09" w14:textId="77777777">
        <w:tc>
          <w:tcPr>
            <w:tcW w:w="4261" w:type="dxa"/>
            <w:shd w:val="clear" w:color="auto" w:fill="FFFFFF"/>
          </w:tcPr>
          <w:p w14:paraId="5C0B9C1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Нормальная нагрузка</w:t>
            </w:r>
          </w:p>
        </w:tc>
        <w:tc>
          <w:tcPr>
            <w:tcW w:w="4261" w:type="dxa"/>
            <w:shd w:val="clear" w:color="auto" w:fill="FFFFFF"/>
          </w:tcPr>
          <w:p w14:paraId="446F617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865 кг</w:t>
            </w:r>
          </w:p>
        </w:tc>
      </w:tr>
      <w:tr w:rsidR="00561F31" w:rsidRPr="00F90EAE" w14:paraId="43C042F8" w14:textId="77777777">
        <w:tc>
          <w:tcPr>
            <w:tcW w:w="4261" w:type="dxa"/>
            <w:tcBorders>
              <w:bottom w:val="single" w:sz="12" w:space="0" w:color="auto"/>
            </w:tcBorders>
          </w:tcPr>
          <w:p w14:paraId="31E11A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Источник данных:</w:t>
            </w:r>
          </w:p>
        </w:tc>
        <w:tc>
          <w:tcPr>
            <w:tcW w:w="4261" w:type="dxa"/>
            <w:tcBorders>
              <w:bottom w:val="single" w:sz="12" w:space="0" w:color="auto"/>
            </w:tcBorders>
          </w:tcPr>
          <w:p w14:paraId="23B3CC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 НИИ ВВС КА о государственных испытаниях самолета от 28 августа 1943 года</w:t>
            </w:r>
          </w:p>
        </w:tc>
      </w:tr>
    </w:tbl>
    <w:p w14:paraId="41D605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(1880,157).</w:t>
      </w:r>
    </w:p>
    <w:p w14:paraId="4A9AFE90" w14:textId="77777777" w:rsidR="00665165" w:rsidRPr="00F90EAE" w:rsidRDefault="00665165" w:rsidP="00F90EAE">
      <w:pPr>
        <w:autoSpaceDE w:val="0"/>
        <w:autoSpaceDN w:val="0"/>
        <w:adjustRightInd w:val="0"/>
        <w:jc w:val="both"/>
        <w:rPr>
          <w:color w:val="000000" w:themeColor="text1"/>
          <w:sz w:val="16"/>
          <w:szCs w:val="16"/>
        </w:rPr>
      </w:pPr>
    </w:p>
    <w:p w14:paraId="3724BD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Зибель Си-204 под номером Н-414 разбился в Тульской области. Отказ одного и сбои второго мотора привели к вынужденной посадке (5741,14).</w:t>
      </w:r>
    </w:p>
    <w:p w14:paraId="178A3D8C" w14:textId="77777777" w:rsidR="00665165" w:rsidRPr="00F90EAE" w:rsidRDefault="00665165" w:rsidP="00F90EAE">
      <w:pPr>
        <w:autoSpaceDE w:val="0"/>
        <w:autoSpaceDN w:val="0"/>
        <w:adjustRightInd w:val="0"/>
        <w:jc w:val="both"/>
        <w:rPr>
          <w:color w:val="000000" w:themeColor="text1"/>
          <w:sz w:val="16"/>
          <w:szCs w:val="16"/>
        </w:rPr>
      </w:pPr>
    </w:p>
    <w:p w14:paraId="2D67E8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в НИИ ВВС л В.Е.Голофастов испытал, а А.Г.Кочетков, А.Г.Прошаков, В.И.Хомяков, Л.М.Кувшинов и В.Г.Машин облетали Fw 190D-9 N 210251 (2466,83).</w:t>
      </w:r>
    </w:p>
    <w:p w14:paraId="0657B1EA" w14:textId="77777777" w:rsidR="00665165" w:rsidRPr="00F90EAE" w:rsidRDefault="00665165" w:rsidP="00F90EAE">
      <w:pPr>
        <w:autoSpaceDE w:val="0"/>
        <w:autoSpaceDN w:val="0"/>
        <w:adjustRightInd w:val="0"/>
        <w:jc w:val="both"/>
        <w:rPr>
          <w:color w:val="000000" w:themeColor="text1"/>
          <w:sz w:val="16"/>
          <w:szCs w:val="16"/>
        </w:rPr>
      </w:pPr>
    </w:p>
    <w:p w14:paraId="6D5114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вышел приказ наркома ВМФ об установлении до</w:t>
      </w:r>
      <w:r w:rsidRPr="00F90EAE">
        <w:rPr>
          <w:color w:val="000000" w:themeColor="text1"/>
          <w:sz w:val="16"/>
          <w:szCs w:val="16"/>
        </w:rPr>
        <w:softHyphen/>
        <w:t>полнительного вознаграждения летно-техническому составу за старты с ката</w:t>
      </w:r>
      <w:r w:rsidRPr="00F90EAE">
        <w:rPr>
          <w:color w:val="000000" w:themeColor="text1"/>
          <w:sz w:val="16"/>
          <w:szCs w:val="16"/>
        </w:rPr>
        <w:softHyphen/>
        <w:t>пульты. За первый такой взлет пилоту по</w:t>
      </w:r>
      <w:r w:rsidRPr="00F90EAE">
        <w:rPr>
          <w:color w:val="000000" w:themeColor="text1"/>
          <w:sz w:val="16"/>
          <w:szCs w:val="16"/>
        </w:rPr>
        <w:softHyphen/>
        <w:t>лагалось 150 руб., за все последующие — по 75 руб. Штурману выплачивалась пре</w:t>
      </w:r>
      <w:r w:rsidRPr="00F90EAE">
        <w:rPr>
          <w:color w:val="000000" w:themeColor="text1"/>
          <w:sz w:val="16"/>
          <w:szCs w:val="16"/>
        </w:rPr>
        <w:softHyphen/>
        <w:t>мия в размере 75% от вознаграждения летчика, а техникам — по 50%. Если же летчик выполнял контрольный облет само</w:t>
      </w:r>
      <w:r w:rsidRPr="00F90EAE">
        <w:rPr>
          <w:color w:val="000000" w:themeColor="text1"/>
          <w:sz w:val="16"/>
          <w:szCs w:val="16"/>
        </w:rPr>
        <w:softHyphen/>
        <w:t>лета, только что поступившего на корабль с завода или после капитального ремонта, ему причиталось 500 руб.(10685).</w:t>
      </w:r>
    </w:p>
    <w:p w14:paraId="5A7A4F52" w14:textId="77777777" w:rsidR="00665165" w:rsidRPr="00F90EAE" w:rsidRDefault="00665165" w:rsidP="00F90EAE">
      <w:pPr>
        <w:autoSpaceDE w:val="0"/>
        <w:autoSpaceDN w:val="0"/>
        <w:adjustRightInd w:val="0"/>
        <w:jc w:val="both"/>
        <w:rPr>
          <w:color w:val="000000" w:themeColor="text1"/>
          <w:sz w:val="16"/>
          <w:szCs w:val="16"/>
        </w:rPr>
      </w:pPr>
    </w:p>
    <w:p w14:paraId="2141E3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статическими испытаниями 5 самолетов Ут-2 производства з-да N 116, проведенными ЦАГИ, была выявлена недостаточная прочность носков нервюр крыла (2591,108).</w:t>
      </w:r>
    </w:p>
    <w:p w14:paraId="77C219EA" w14:textId="77777777" w:rsidR="00665165" w:rsidRPr="00F90EAE" w:rsidRDefault="00665165" w:rsidP="00F90EAE">
      <w:pPr>
        <w:autoSpaceDE w:val="0"/>
        <w:autoSpaceDN w:val="0"/>
        <w:adjustRightInd w:val="0"/>
        <w:jc w:val="both"/>
        <w:rPr>
          <w:color w:val="000000" w:themeColor="text1"/>
          <w:sz w:val="16"/>
          <w:szCs w:val="16"/>
        </w:rPr>
      </w:pPr>
    </w:p>
    <w:p w14:paraId="6C6913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 ГУ ГВФ рассматривалась возможность использования боевых самолетов для перевозки пассажиров и мелких грузов. Не обошли вниманием и Ер-2. По мнению специалистов ГВФ, он, имея сравнительно небольшой объем (11 м3), позволял транспортировать лишь до 2200 кг коммерческой нагрузки. Но этот недостаток компенсировался большими крейсерской скоростью и дальностью полета, что в сочетании с дешевым дизельным топливом делало Ер-2 экономически выгодным в эксплуатации. Однако подходящих аэродромов для Ер-2, нуждавшихся в длинных ВПП, в ГВФ не было. Недостаточен был и ресурс двигателей. Исходя из этого, руководство ГВФ отказалось от Ер-2, хотя не исключалась возможность его использования для почтово-грузовых перевозок на большие расстояния.</w:t>
      </w:r>
    </w:p>
    <w:p w14:paraId="161D17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Отказался ГВФ и от Ер-2ОН, поскольку его экономичность оставляла желать лучшего. Вдобавок, полет на одном двигателе допускался лишь при весе не более 14 т и при наличии флюгируемых винтов, которых не было. Как транспортный самолет Ер-2 заметно проигрывал Ли-2, не говоря уже о ленд-лизовском С-47. В итоге, почти все Ер-2 отправили на металлолом. Лишь несколько машин использовали для летных испытаний различных изделий, например, при доводке пульсирующих воздушно-реактивных двигателей для самолетов-снарядов В.Н. Челомея.</w:t>
      </w:r>
    </w:p>
    <w:p w14:paraId="7522E2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плане работ завода № 134 на 1945 г. числился 27-местный пассажирский вариант "ПС" на базе бомбардировщика с дизелями АЧ-31. Согласно расчетам максимальная скорость этой машины на высоте 6000 м должна была быть не менее 480 км/ч, а крейсерская на 3000 м - 360 км/ч. Ер-2ПС должен был перевозить 27 пассажиров на расстояние до 3500 км или 12 - на 5000 км. Но удалось завершить лишь эскизное проектирование, а до конца года - на 90% рабочее проектирование (11994).</w:t>
      </w:r>
    </w:p>
    <w:p w14:paraId="565A21B9" w14:textId="77777777" w:rsidR="00665165" w:rsidRPr="00F90EAE" w:rsidRDefault="00665165" w:rsidP="00F90EAE">
      <w:pPr>
        <w:autoSpaceDE w:val="0"/>
        <w:autoSpaceDN w:val="0"/>
        <w:adjustRightInd w:val="0"/>
        <w:jc w:val="both"/>
        <w:rPr>
          <w:color w:val="000000" w:themeColor="text1"/>
          <w:sz w:val="16"/>
          <w:szCs w:val="16"/>
        </w:rPr>
      </w:pPr>
    </w:p>
    <w:p w14:paraId="5ACCA2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прошли госиспытания двигателя Л.С.Душкина РД-2М3В и получили суммарную тягу 1500 кг, номинальную 1250 кг и малую 300 кг (10508,8).</w:t>
      </w:r>
    </w:p>
    <w:p w14:paraId="7787CDF5" w14:textId="77777777" w:rsidR="00665165" w:rsidRPr="00F90EAE" w:rsidRDefault="00665165" w:rsidP="00F90EAE">
      <w:pPr>
        <w:autoSpaceDE w:val="0"/>
        <w:autoSpaceDN w:val="0"/>
        <w:adjustRightInd w:val="0"/>
        <w:jc w:val="both"/>
        <w:rPr>
          <w:color w:val="000000" w:themeColor="text1"/>
          <w:sz w:val="16"/>
          <w:szCs w:val="16"/>
        </w:rPr>
      </w:pPr>
    </w:p>
    <w:p w14:paraId="2FF5172E" w14:textId="77777777" w:rsidR="00665165" w:rsidRPr="00F90EAE" w:rsidRDefault="00665165"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мае 1945 прошли госиспытания двигателя Л.С.Душкина РД-2М3В и получили суммарную тягу 1500 кг, номинальную 1250 кг и малую 300 кг (10508,8).</w:t>
      </w:r>
    </w:p>
    <w:p w14:paraId="68871E32" w14:textId="77777777" w:rsidR="00665165" w:rsidRPr="00F90EAE" w:rsidRDefault="00665165" w:rsidP="00F90EAE">
      <w:pPr>
        <w:widowControl w:val="0"/>
        <w:autoSpaceDE w:val="0"/>
        <w:autoSpaceDN w:val="0"/>
        <w:adjustRightInd w:val="0"/>
        <w:jc w:val="both"/>
        <w:rPr>
          <w:color w:val="000000" w:themeColor="text1"/>
          <w:sz w:val="16"/>
          <w:szCs w:val="16"/>
        </w:rPr>
      </w:pPr>
    </w:p>
    <w:p w14:paraId="229E3F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была подготовлена справка:</w:t>
      </w:r>
    </w:p>
    <w:p w14:paraId="2C055A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Сов.секретно</w:t>
      </w:r>
    </w:p>
    <w:p w14:paraId="64794FEC" w14:textId="77777777" w:rsidR="00665165" w:rsidRPr="00F90EAE" w:rsidRDefault="00665165" w:rsidP="00F90EAE">
      <w:pPr>
        <w:autoSpaceDE w:val="0"/>
        <w:autoSpaceDN w:val="0"/>
        <w:adjustRightInd w:val="0"/>
        <w:jc w:val="both"/>
        <w:rPr>
          <w:bCs/>
          <w:color w:val="000000" w:themeColor="text1"/>
          <w:sz w:val="16"/>
          <w:szCs w:val="16"/>
        </w:rPr>
      </w:pPr>
      <w:r w:rsidRPr="00F90EAE">
        <w:rPr>
          <w:color w:val="000000" w:themeColor="text1"/>
          <w:sz w:val="16"/>
          <w:szCs w:val="16"/>
        </w:rPr>
        <w:t>Воздушные турбореактивные двигатели</w:t>
      </w:r>
    </w:p>
    <w:p w14:paraId="1CFC0E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На подземном заводе "Хейнкель" в Хинтенбрюле обнаружены на ряду с самолетами Не-162, два воздушных турбореактивных двигателя. Один из них уже известный в Союзе ЮМО-004, второй двигатель фирмы БМВ, типа БМВ-003. Оба двигателя в хорошем состоянии.</w:t>
      </w:r>
    </w:p>
    <w:p w14:paraId="0CCC5C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БМВ-003 имеет габаритный диаметр около 860 мм и длину 3500 мм.</w:t>
      </w:r>
    </w:p>
    <w:p w14:paraId="170EA0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подземном заводе "Хейнкель" в Хейдфильде были найдены одиннадцать подорванных двигателей БМВ-003, пять из наиболее сохранившихся были отобраны для отправки в НИИ-1.</w:t>
      </w:r>
    </w:p>
    <w:p w14:paraId="2733AA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На том же заводе "Хейнкель" в Хейдфильде были обнаружены два турбореактивных двигателя, оригинальной конструкции, тип которых точно установить не удалось. Ориентровочно можно предполагать, что эти двигатели Хейнкель S-8а.</w:t>
      </w:r>
    </w:p>
    <w:p w14:paraId="0415759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Оба эти двигателя были установлены на двухмоторном чистореактивном самолете Хейнкель-280. Самолет был подорван немцами, причем поврежден от взрыва был главным образом фюзеляж. Двигатели же от взрыва почти не пострадали, если не считать небольших повреждений передней части левого двигателя.</w:t>
      </w:r>
    </w:p>
    <w:p w14:paraId="464C0C0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Габаритные размеры двигателей следующие: длина 3200 мм, диаметр миделя 800 мм, диаметр входной части диффузора 370 мм, диаметр конфузора 400 мм. Конфузор имеет регулирумое выходное сечение, посредством изменения угла конуса.</w:t>
      </w:r>
    </w:p>
    <w:p w14:paraId="6E752B0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Оба двигателя были демонтированы с самолета со всеми агрегатами. Из самолетных баков была отобрана проба горючего в количестве одного литра.</w:t>
      </w:r>
    </w:p>
    <w:p w14:paraId="20015D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Двигатель БМВ-003 был отправлен в НИИ-1 27-го апреля с.г. самолетом Си-17 (пилот ГВФ-подполковник Чулков).</w:t>
      </w:r>
    </w:p>
    <w:p w14:paraId="6F68FD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Два двигателя S-8а были отправлены по тому же адресу 28-го апреля с.г. на самолете Ли-2 (пилот завода N 500 - Макарский). Капоты двигателей S-8а и детали установки их на крыле были отправлены 26-го апреля на самолете Ли-2 Летного отряда НКАП (пилот Черкессов). Подорванные двигатели БМВ-003 были отправлены железнодорожным транспортом 2-го мая с.г. (N транспорта А-174/3282) на платформах N 51131 и 53507 в сопровождении сержанта Самарина и мл. сержанта Гражданского.</w:t>
      </w:r>
    </w:p>
    <w:p w14:paraId="29D4E35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 ЮМО-004 был отправлен железнодорожным транспортом 5-го мая с.г. (N транспорта 174/3281). Отобранные пробы горючего отсылаются 11.V.с.г. в НИИ-1 самолетом Летного отряда НКАП, летчик т. Воронин.</w:t>
      </w:r>
    </w:p>
    <w:p w14:paraId="672273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 р е д л о ж е н и я</w:t>
      </w:r>
    </w:p>
    <w:p w14:paraId="2FA36E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Необходимо из пяти подорванных двигателей БМВ-003 скомплектовать один двигатель, на котором произвести предварительное изучение конструкции, использовав остальные двигатели для металлографических исследований.</w:t>
      </w:r>
    </w:p>
    <w:p w14:paraId="2BD9668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 Двигатель БМВ-003, найденный на подземном заводе в Хантербрюле, следует тщательно разобрать, изучить полностью его конструкцию и после сборки поставить на испытания для снятия характеристик.</w:t>
      </w:r>
    </w:p>
    <w:p w14:paraId="4E3ED2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Предварительное изучение двигателя Не-S-8а следует провести на слегка поврежденном двигателе, после чего необходимо проверить все коммуникации, произвести частичную переброску второго двигателя и поставить его на соответствующие испытания на стенде.</w:t>
      </w:r>
    </w:p>
    <w:p w14:paraId="5B17F4C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В зависимости от полученных результатов стендовых испытаний, определить дальнейшую работу над этими двигателями.</w:t>
      </w:r>
    </w:p>
    <w:p w14:paraId="411721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п.п. Начальник 22-го отдела НИИ-1 (Бондарюх)</w:t>
      </w:r>
    </w:p>
    <w:p w14:paraId="2F7AB00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ВЕРНО: Секретариат НКАП (подпись) (8987).</w:t>
      </w:r>
    </w:p>
    <w:p w14:paraId="10C0558A" w14:textId="77777777" w:rsidR="00665165" w:rsidRPr="00F90EAE" w:rsidRDefault="00665165" w:rsidP="00F90EAE">
      <w:pPr>
        <w:autoSpaceDE w:val="0"/>
        <w:autoSpaceDN w:val="0"/>
        <w:adjustRightInd w:val="0"/>
        <w:jc w:val="both"/>
        <w:rPr>
          <w:color w:val="000000" w:themeColor="text1"/>
          <w:sz w:val="16"/>
          <w:szCs w:val="16"/>
        </w:rPr>
      </w:pPr>
    </w:p>
    <w:p w14:paraId="3D9E43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большая часть немецких автопилотов, сделанных в Берлине на заводе Аскания, были увезены в Москву и ОКБ-4 так и не смогло вернуть их (1795,82).</w:t>
      </w:r>
    </w:p>
    <w:p w14:paraId="7B9C2A45" w14:textId="77777777" w:rsidR="00665165" w:rsidRPr="00F90EAE" w:rsidRDefault="00665165" w:rsidP="00F90EAE">
      <w:pPr>
        <w:autoSpaceDE w:val="0"/>
        <w:autoSpaceDN w:val="0"/>
        <w:adjustRightInd w:val="0"/>
        <w:jc w:val="both"/>
        <w:rPr>
          <w:color w:val="000000" w:themeColor="text1"/>
          <w:sz w:val="16"/>
          <w:szCs w:val="16"/>
        </w:rPr>
      </w:pPr>
    </w:p>
    <w:p w14:paraId="310EA3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был подготовлен:</w:t>
      </w:r>
    </w:p>
    <w:p w14:paraId="19A76B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Доклад о работе ГВФ за период Отечественной войны (с 22 июня 1941 года – 15 мая 1945 года)</w:t>
      </w:r>
    </w:p>
    <w:p w14:paraId="46E5C9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СНК от 23 июня 1941 года были организованы особые авианруппы ГВФ, которые были приданы фронтам и в оперативном отношении подчинены командующим Воздушными армиями.</w:t>
      </w:r>
    </w:p>
    <w:p w14:paraId="787CC7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Из общего количества 3057 самолетов, имевшихся в ГВФ к началу войны в организованные фронтовые авиачасти ГВФ было направлено к 1 июля 1941 года 587 самолетов, из них 77 Ли-2.</w:t>
      </w:r>
    </w:p>
    <w:p w14:paraId="660A9C2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тыловых авиачастях ГВФ на 1 июля 1941 года оставалось 1411 самолетов, из них 11 Ли-2 и в учебных подразделениях ГВФ 1059 самолетов, из них 6 Ли-2.</w:t>
      </w:r>
    </w:p>
    <w:p w14:paraId="40156E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ноябре 1942 года особые авиагруппы ГВФ были переформированы (на основании директивы НКО) в отдельные авиадивизии, авиаполки и эскадрильи ГВФ.</w:t>
      </w:r>
    </w:p>
    <w:p w14:paraId="113CA7F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Все эти фронтовые авиачасти ГВФ были переведены на военные штаты НКО.</w:t>
      </w:r>
    </w:p>
    <w:p w14:paraId="5F03D6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31448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Работу по обслуживанию фронта выполняли: 2 авиадивизии ГВФ (авиатранспортная и дивизия связи), 12 отдельных авиаполков и 1 отдельная авиаэскадрилья ГВФ …………….(8653).</w:t>
      </w:r>
    </w:p>
    <w:p w14:paraId="2E11F1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специальному решению Правительства в ГВФ была организована особая авиагруппа в составе 12 самолетов С-47 для обслуживания Югославской народной армии.</w:t>
      </w:r>
    </w:p>
    <w:p w14:paraId="016AF44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13 самолетов С-47 и Ли-2 были выделены вместе с экипажами для обслуживания временного Правительства Польши.</w:t>
      </w:r>
    </w:p>
    <w:p w14:paraId="7F29F86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082C1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постановлению ГОКО осенью 1941 года была начата работа по строительству Красноярской воздушной трассы по маршруту: Красноярск – Якутск – Уэлькаль, общей протяженностью 4800 км. С октября 1942 года по трассе началась перегонка самолетов из США</w:t>
      </w:r>
    </w:p>
    <w:p w14:paraId="1F541AB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7892D0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22 июня 1941 года в ГВФ имелся 3001 самолет, из них 82 Ли-2.</w:t>
      </w:r>
    </w:p>
    <w:p w14:paraId="334EF0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 время войны (по 1 мая 1945 года) в ГВФ поступило из разных источников 2513 самолетов, из них 532 Ли-2 и С-47.</w:t>
      </w:r>
    </w:p>
    <w:p w14:paraId="766090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1 мая 1945 года в ГВФ имелось 2728 самолетов, из них 357 Ли-2 и С-47 (8653, 5-12).</w:t>
      </w:r>
    </w:p>
    <w:p w14:paraId="719D8ACF" w14:textId="77777777" w:rsidR="00665165" w:rsidRPr="00F90EAE" w:rsidRDefault="00665165" w:rsidP="00F90EAE">
      <w:pPr>
        <w:autoSpaceDE w:val="0"/>
        <w:autoSpaceDN w:val="0"/>
        <w:adjustRightInd w:val="0"/>
        <w:jc w:val="both"/>
        <w:rPr>
          <w:color w:val="000000" w:themeColor="text1"/>
          <w:sz w:val="16"/>
          <w:szCs w:val="16"/>
        </w:rPr>
      </w:pPr>
    </w:p>
    <w:p w14:paraId="43E313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мая 1945 года, когда была освобождена занятая во время ВОВ Авторемонтной базой военного ведомства промплощадка нужно считать начало организации завода № 283.</w:t>
      </w:r>
    </w:p>
    <w:p w14:paraId="79748E4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Проектное задание разработанное ГСПИ-10 предусматривало выпуск основной продукции начиная с 1946 года, второе полугодие 1945 года отводилось на освоение ряда несложных приборов и укомплектование завода оборудованием и рабочей силой.</w:t>
      </w:r>
    </w:p>
    <w:p w14:paraId="078434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Решением ГОКО № 8596 от 16 мая 1945 года заводу передавалось 250 единиц оборудования с немецкого завода “Отто-Лернер” и его филиала в Вене.</w:t>
      </w:r>
    </w:p>
    <w:p w14:paraId="75DE2D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Обводной канал, 14</w:t>
      </w:r>
    </w:p>
    <w:p w14:paraId="6775E1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завода – радиолокационное приборостроение</w:t>
      </w:r>
    </w:p>
    <w:p w14:paraId="3051BF5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1946 году по Постановлению СМ от 10 июня 1946 года и приказу МАП от 20 июня 1946 года, на заводе было организовано ОКБ.</w:t>
      </w:r>
    </w:p>
    <w:p w14:paraId="4B270B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Первым начальником ОКБ был Низов Ф.И., затем Смирнов В.И.</w:t>
      </w:r>
    </w:p>
    <w:p w14:paraId="33F420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Первым директором завода был Молодых Т.В., затем Лопырев А.П. Затем директором был назначен Кокуев М.Я. Весной 1949 года директором завода был назначен Васильев Е.Д. С 1951 года – директор Андреев Л.В. (9487)</w:t>
      </w:r>
    </w:p>
    <w:p w14:paraId="379C4C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директором завода № 301 был назначен Сычев В.В.</w:t>
      </w:r>
    </w:p>
    <w:p w14:paraId="0237F14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Приказом НКАП от 2 октября 1945 года за № 393с было произведено слияние завода с заводом № 81 и на территории завода № 301 было организовано опытное производство гл. конструктора Лавочкина.</w:t>
      </w:r>
    </w:p>
    <w:p w14:paraId="37311B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Этим же приказом директором завода назначен гл. конструктор С.А. Лавочкин.</w:t>
      </w:r>
    </w:p>
    <w:p w14:paraId="71FC836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 81 помещался на территории завода № 381. Производственное слияние резко увеличило мощности завода ………..(9602).</w:t>
      </w:r>
    </w:p>
    <w:p w14:paraId="7F4976C1" w14:textId="77777777" w:rsidR="00665165" w:rsidRPr="00F90EAE" w:rsidRDefault="00665165" w:rsidP="00F90EAE">
      <w:pPr>
        <w:autoSpaceDE w:val="0"/>
        <w:autoSpaceDN w:val="0"/>
        <w:adjustRightInd w:val="0"/>
        <w:jc w:val="both"/>
        <w:rPr>
          <w:color w:val="000000" w:themeColor="text1"/>
          <w:sz w:val="16"/>
          <w:szCs w:val="16"/>
        </w:rPr>
      </w:pPr>
    </w:p>
    <w:p w14:paraId="405DCBD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Гипроавиапром (1-й Государственный проектный институт (ГПИ-1) НКОП, НКАП, Государственная контора «Авиапроект» НКТП, Государственный институт по проектированию заводов авиационной промышленности «Гипроавиа» НКТП, НКОП, Государственный институт по проектированию заводов авиационной промышленности «Гипроавиапром» НКАП, МАП, Ордена Трудового Красного Знамени Государственный проектно-конструкторский я научно-исследовательский институт авиационной промышленности («ГипроНИИавиапром») МАП, п/я 3908, Г-4617, АООТ, ОАО, корпорация «ГипроНИИавиапром» /г. Москва ул. Володарского, 20 (1932-41 г.); ул. Нижняя Масловка (1941 г.); ул. Верхняя Масловка, 90 (1945 г.-)/ /127083 г. Москва ул. Верхняя Масловка, 20 тел. 612-92-03/) переехал в новое здание (в котором находился и в 2000-е г.) по ул. В. Масловка, 90.</w:t>
      </w:r>
    </w:p>
    <w:p w14:paraId="6960D4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имел 8 филиалов: Ленинградский, созданный 22.07.1940 г.; Харьковский, созданный 27.11.1940 г.; Специальное проектное бюро № 1 (СПБ-1) в г. Куйбышев, организованное 6.08.1940 г., в 1947 г. преобразовано в Куйбышевский филиал; СПБ-2; Сибирский филиал, созданный в 1951 г.; СПБ-6 в Казани, созданное 8.12.1941 г., 18.10.1952 г. преобразовано в Казанский филиал; Омский филиал, организованный 17.10.1959 г.; Уфимский филиал, организованый 18.02.1975 г.; СПБ-11 в Ульяновске, созданное в 1976 г.</w:t>
      </w:r>
    </w:p>
    <w:p w14:paraId="42C859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имел производственную базу в Химках, в 1967 г. она передана в ГС ПКБ.</w:t>
      </w:r>
    </w:p>
    <w:p w14:paraId="1B1125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конце 1957 г. в институте образована группа по подготовке проекта стартовой и технической позиции создаваемой системы ПРО. В 1958 г. эта группа преобразована в ОКБ наземного оборудования. В 1950-х г. создано оборудование технической позиции противоракеты В-1000 системы ПРО «А», в 1958 г. группа «Гипроавиапрома» по подготовке проекта стартовой и технической позиций системы ПРО преобразована в ОКБ наземного оборудования. Далее выделилось в самостоятельное ОКБ ГАП.</w:t>
      </w:r>
    </w:p>
    <w:p w14:paraId="7BCA35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Разработаны проекты: для предприятий АП: сборочный корпус завода № 22 (1930-е), аэродинамическая труба Т-128 ЦАГИ, реконструкция здания КОСОС (1950-е), корпус сборочного цеха для Ту-104 завода № 135 (1955 г.), здание ЛИК и производственно-лабораторный корпус № 9 для ОКБ-156, УАПК, корпус № 6 СибНИА (1960-70-е), комплекс корпусов для испытаний «Бурана» в НПО «Молния», комплекс Ц-110 в ЦИАМ, МИС завода № 19, корпус № 2 для ВАЗа, малярный корпус для Куйбышевского авиазавода, корпус № 206 для КАПО (1970-80-е), чугунолитейный корпус ВСМПО, цех точного литья ММЗ «Салют», литейный цех УМПО, сборочный корпус для ЛАПИЩ (1990-е); большое количество объектов гражданского строительства, в т.ч. Лыжного трамплина на Ленинских горах в Москве, реконструкции Пермского театра оперы и балета.</w:t>
      </w:r>
    </w:p>
    <w:p w14:paraId="176FCF7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Институт находился в ведении: НКАП (-1946 г.), МАП (1946-53; 1953-57; 1965-91 г.), МОП (1953 г.), ГКАТ (1957-65 г.). По приказу ГКАТ от 14.12.1964 г. «Гипроавиапром» реорганизован в «ГипроНИИавиапром» (с 1982 г. - ордена Трудового Красного Знамени). Имел наименования: п/я 3908 (1960-66 г.), Г-4617 (1966-89 г.).</w:t>
      </w:r>
    </w:p>
    <w:p w14:paraId="3777E03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1991 г. Ордена Трудового Красного Знамени ГипроНИИавиапром - в ведении Министерства промышленности. По Указу Президента РФ от 1.07.1992 г. предприятие 30.03.1993 г. акционировано и преобразовано в АООТ, с 28.05.1996 г. - ОАО «ГипроНИИавиапром». В 2001 г. - корпорация «ГипроНИИавиапром». По решению правительства № 22-р от 9.01.2004 г. и Указу Президента РФ № 1009 от 4.08.2004 г. вошло в число стратегических оборонных предприятий. В соответствии с Указом Президента РФ № 1052 от 10.07.2008 г. ОАО вошло в перечень предприятий, в отношении которых ГК «Ростехнология» осуществляет единую государственную политику по созданию техники военного и гражданского назначения.</w:t>
      </w:r>
    </w:p>
    <w:p w14:paraId="0CE1E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(2004 г.): НИР, разработка проектов реконструкции предприятий, проекты газотурбинных электростанций, газоперекачивающих станций, глушителей шума.</w:t>
      </w:r>
    </w:p>
    <w:p w14:paraId="517C6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(1936-37 г.)- Н.П. Теплов, (06.1937; -12.1937-23.05.1938 г.)- В.Н. Крицман(Кришшй); и.о. (11.1937; 23.05-07.1938 г.-)- С.В. Аврутин; (29.07-12.1938-; 1940 г.)- Г.И. Байдаков, (1939 г.-)- И.И. Штейнберг, (1940 г.)- Г.В. Вазирян. Директор (1955-72 г.)- М.М. Тимохин, (1972-93 г.)- И. Шандура. Гендиректор (1990-е)- Николаев, (-1998- 2005 г.-)- В.М. Логинов, (-07.2006-09 г.-)- С.Ю. Давыдкин.</w:t>
      </w:r>
    </w:p>
    <w:p w14:paraId="2C1A65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гендиректора (2002 г.)- А.Н. Панюков. Зам. директора (06.1937 г.)- С.В. Аврутин. Зам. гендиректора</w:t>
      </w:r>
    </w:p>
    <w:p w14:paraId="0BBDC1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(-2002-14.12.2005 г.)- С.Ю. Давыдкин.</w:t>
      </w:r>
    </w:p>
    <w:p w14:paraId="09A2FA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технический (2002 г.)- А.Н. Панюков; по экономике и финансам (2002 г.)- С.Ю. Давыдкин; по поставке оборудования (2002 г.)- С.Ф. Русанов.</w:t>
      </w:r>
      <w:r w:rsidRPr="00F90EAE">
        <w:rPr>
          <w:color w:val="000000" w:themeColor="text1"/>
          <w:sz w:val="16"/>
          <w:szCs w:val="16"/>
          <w:vertAlign w:val="superscript"/>
        </w:rPr>
        <w:t>69</w:t>
      </w:r>
    </w:p>
    <w:p w14:paraId="4C69C7E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Гл. инженер (06.1937 г.)- С.В. Аврутин.</w:t>
      </w:r>
    </w:p>
    <w:p w14:paraId="112782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(2004 г.)- И. Нечай.</w:t>
      </w:r>
    </w:p>
    <w:p w14:paraId="33B4F3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инженеры проектов: (1938 г.)- И.Н. Кенебас (завод № 124), (06.1938 г.)- Рубштейн (завод № 19), (7.08.1938 г.-)- Д.Г. Зальцман («Саркомбайн»), (29.09.1938 г.-)- М.М. Фадеев (№ 377), (07.1939 г.)- Бренгауз (№ 600), (1950-е)- Н.А. Шапиро (техническая позиция В-1000), (2000-е)- В.А. Звягинцев, П. Дунаев.</w:t>
      </w:r>
    </w:p>
    <w:p w14:paraId="4000B4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генпланов (09.1938 г.)- Демидов; технологического (-09.1938 г.)- М.П. Зюзин; (05.1937 г.)- Н.С. Берхен.</w:t>
      </w:r>
    </w:p>
    <w:p w14:paraId="76086F0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секторов: строительного (06.1938 г.)- Бибер.</w:t>
      </w:r>
    </w:p>
    <w:p w14:paraId="3C992A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Руководитель СПБ: (1946 г.)- М.А. Чикин.</w:t>
      </w:r>
    </w:p>
    <w:p w14:paraId="5AF1F6C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групп: водоснабжения (09.1938 г.)- Барабанов; (1935 г.-)- Е.А. Иванов.</w:t>
      </w:r>
    </w:p>
    <w:p w14:paraId="0F93F78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Архитекторы: (09.1938 г.)- Курочкин (№ 377).</w:t>
      </w:r>
    </w:p>
    <w:p w14:paraId="3A8B8601" w14:textId="77777777" w:rsidR="0027059D" w:rsidRPr="00F90EAE" w:rsidRDefault="0027059D"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институт по проектированию специальных металлургических заводов («Гипроспецмет»)</w:t>
      </w:r>
    </w:p>
    <w:p w14:paraId="15A0A24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03.1932 г. из состава Московского отделения института выделена самостоятельная Государственная контора «Авиапроект» (11982).</w:t>
      </w:r>
    </w:p>
    <w:p w14:paraId="4E7EC720" w14:textId="77777777" w:rsidR="0027059D" w:rsidRPr="00F90EAE" w:rsidRDefault="0027059D" w:rsidP="00F90EAE">
      <w:pPr>
        <w:autoSpaceDE w:val="0"/>
        <w:autoSpaceDN w:val="0"/>
        <w:adjustRightInd w:val="0"/>
        <w:jc w:val="both"/>
        <w:rPr>
          <w:iCs/>
          <w:color w:val="000000" w:themeColor="text1"/>
          <w:sz w:val="16"/>
          <w:szCs w:val="16"/>
        </w:rPr>
      </w:pPr>
    </w:p>
    <w:p w14:paraId="2C5B9D98" w14:textId="77777777" w:rsidR="00FB1A07" w:rsidRPr="00F90EAE" w:rsidRDefault="00FB1A07" w:rsidP="00F90EAE">
      <w:pPr>
        <w:jc w:val="both"/>
        <w:rPr>
          <w:color w:val="0070C0"/>
          <w:sz w:val="16"/>
          <w:szCs w:val="16"/>
        </w:rPr>
      </w:pPr>
      <w:r w:rsidRPr="00F90EAE">
        <w:rPr>
          <w:color w:val="0070C0"/>
          <w:sz w:val="16"/>
          <w:szCs w:val="16"/>
        </w:rPr>
        <w:t>В мае 1945 г. при штабе советской военной администрации в Берлине была образована Техническая комиссия по реактивной технике и вооружению. Генералом П.А. Дегтяревым были созданы три группы по сбору и изучению немецкой ракетной техники, которые возглавляли генерал Л..М. Гайдуков (район г. Берлина), генерал А.Ф. Тверецкий (район Тюрингии) и генерал А.И. Соколов (район Пенемюнде). Только теперь, после окончания войны, когда в распоряжении Технической КОМИССИИ оказалась почти вся Германия, стал выясняться подлинный размах немецких ракетных исследований. В частности, при тщательном осмотре хранилищ документации в Нордхаузене по фрагментам уцелевших отчетов, удалось выявить, что В. Брауном в январе 1945 г. были запущены двухступенчатая межконтинентальная ракета А9-А10 с тягой более 180 тонн и ракета Х-11 с подводной лодки. Ракета А9-А10 была многоступенчатой, последняя ее ступень являлась крылатой ракетой, «она предназначалась для ракетной атаки на Нью-Йорк с берегов Франции или Португалии. Но поскольку возможности тогдашних систем наведения не позволяли точно попадать в цель, предполагалось, что ее будут вести по радиомаяку с крыши одного из нью-йоркских небоскребов. Маяк должны были установить два разведчика, но их акция провалилась» (РГАНТД, Б.Е. Черток, Г.А. Тюлин. 30 ноября 1988 г.Фоно. Арх.№ 617, 19см.сек, мл, 6,25мм). Последнее ракетное нападение второй мировой войны не состоялось (22685).</w:t>
      </w:r>
    </w:p>
    <w:p w14:paraId="51B9984D" w14:textId="77777777" w:rsidR="00FB1A07" w:rsidRPr="00F90EAE" w:rsidRDefault="00FB1A07" w:rsidP="00F90EAE">
      <w:pPr>
        <w:jc w:val="both"/>
        <w:rPr>
          <w:color w:val="0070C0"/>
          <w:sz w:val="16"/>
          <w:szCs w:val="16"/>
        </w:rPr>
      </w:pPr>
    </w:p>
    <w:p w14:paraId="70A9F31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2DF7260" w14:textId="77777777" w:rsidR="00665165" w:rsidRPr="00F90EAE" w:rsidRDefault="00665165" w:rsidP="00F90EAE">
      <w:pPr>
        <w:autoSpaceDE w:val="0"/>
        <w:autoSpaceDN w:val="0"/>
        <w:adjustRightInd w:val="0"/>
        <w:jc w:val="both"/>
        <w:rPr>
          <w:iCs/>
          <w:color w:val="000000" w:themeColor="text1"/>
          <w:sz w:val="16"/>
          <w:szCs w:val="16"/>
        </w:rPr>
      </w:pPr>
    </w:p>
    <w:p w14:paraId="1133AF8F" w14:textId="77777777" w:rsidR="0027059D" w:rsidRPr="00F90EAE" w:rsidRDefault="0027059D" w:rsidP="00F90EAE">
      <w:pPr>
        <w:pStyle w:val="book"/>
        <w:ind w:firstLine="0"/>
        <w:jc w:val="both"/>
        <w:rPr>
          <w:color w:val="000000" w:themeColor="text1"/>
          <w:sz w:val="16"/>
          <w:szCs w:val="16"/>
        </w:rPr>
      </w:pPr>
      <w:r w:rsidRPr="00F90EAE">
        <w:rPr>
          <w:color w:val="000000" w:themeColor="text1"/>
          <w:sz w:val="16"/>
          <w:szCs w:val="16"/>
        </w:rPr>
        <w:t>В мае 1945 г. Советской армией была захвачена не только материальная часть 24-см дальнобойной пушки К.3, но и конструкторы этой системы, в том числе и главного конструктора Ассмана. Их включили в состав Артиллерийско-минометной группы, работавшей в городе Земмерда (Тюрингия). С советской стороны в доработке системы К.3 с цилиндро-коническим стволом участвовал капитан Дернов. Отчет о работе над К.З был утвержден 25 июня 1946 г. В конце 40-х годов в ряде конструкторских бюро (НИИ-58, ОКБ-172 и др.) интенсивно шли работы по проектированию цилиндрических стволов. При этом широко использовался опыт создания уникальной системы К.3 (15225).</w:t>
      </w:r>
    </w:p>
    <w:p w14:paraId="06E2BCE5" w14:textId="77777777" w:rsidR="0027059D" w:rsidRPr="00F90EAE" w:rsidRDefault="0027059D" w:rsidP="00F90EAE">
      <w:pPr>
        <w:pStyle w:val="book"/>
        <w:ind w:firstLine="0"/>
        <w:jc w:val="both"/>
        <w:rPr>
          <w:color w:val="000000" w:themeColor="text1"/>
          <w:sz w:val="16"/>
          <w:szCs w:val="16"/>
        </w:rPr>
      </w:pPr>
    </w:p>
    <w:p w14:paraId="43755CA8" w14:textId="77777777" w:rsidR="00823A00" w:rsidRPr="00F90EAE" w:rsidRDefault="00823A00" w:rsidP="00F90EAE">
      <w:pPr>
        <w:jc w:val="both"/>
        <w:rPr>
          <w:color w:val="000000" w:themeColor="text1"/>
          <w:sz w:val="16"/>
          <w:szCs w:val="16"/>
        </w:rPr>
      </w:pPr>
      <w:r w:rsidRPr="00F90EAE">
        <w:rPr>
          <w:color w:val="000000" w:themeColor="text1"/>
          <w:sz w:val="16"/>
          <w:szCs w:val="16"/>
        </w:rPr>
        <w:t>В мае 1945 г. Советской армией была захвачена не только материальная часть, но и конструкторы системы К.3. Над созданием К.З работали фирмы Круппа и «Рейнметалл».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08706D1B" w14:textId="77777777" w:rsidR="00823A00" w:rsidRPr="00F90EAE" w:rsidRDefault="00823A00" w:rsidP="00F90EAE">
      <w:pPr>
        <w:jc w:val="both"/>
        <w:rPr>
          <w:color w:val="000000" w:themeColor="text1"/>
          <w:sz w:val="16"/>
          <w:szCs w:val="16"/>
        </w:rPr>
      </w:pPr>
      <w:r w:rsidRPr="00F90EAE">
        <w:rPr>
          <w:color w:val="000000" w:themeColor="text1"/>
          <w:sz w:val="16"/>
          <w:szCs w:val="16"/>
        </w:rPr>
        <w:t>Живучесть первого конического ствола оказалась низкой. Менять стволы после нескольких десятков выстрелов было слишком дорогим удовольствием. Поэтому немецкие конструкторы решили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в полете.</w:t>
      </w:r>
    </w:p>
    <w:p w14:paraId="5C1650A4" w14:textId="77777777" w:rsidR="00823A00" w:rsidRPr="00F90EAE" w:rsidRDefault="00823A00" w:rsidP="00F90EAE">
      <w:pPr>
        <w:jc w:val="both"/>
        <w:rPr>
          <w:color w:val="000000" w:themeColor="text1"/>
          <w:sz w:val="16"/>
          <w:szCs w:val="16"/>
        </w:rPr>
      </w:pPr>
      <w:r w:rsidRPr="00F90EAE">
        <w:rPr>
          <w:color w:val="000000" w:themeColor="text1"/>
          <w:sz w:val="16"/>
          <w:szCs w:val="16"/>
        </w:rPr>
        <w:t>Вес насадки составил около тонны.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лейнера.</w:t>
      </w:r>
    </w:p>
    <w:p w14:paraId="5F208762" w14:textId="77777777" w:rsidR="00823A00" w:rsidRPr="00F90EAE" w:rsidRDefault="00823A00" w:rsidP="00F90EAE">
      <w:pPr>
        <w:jc w:val="both"/>
        <w:rPr>
          <w:color w:val="000000" w:themeColor="text1"/>
          <w:sz w:val="16"/>
          <w:szCs w:val="16"/>
        </w:rPr>
      </w:pPr>
      <w:r w:rsidRPr="00F90EAE">
        <w:rPr>
          <w:color w:val="000000" w:themeColor="text1"/>
          <w:sz w:val="16"/>
          <w:szCs w:val="16"/>
        </w:rPr>
        <w:t xml:space="preserve">В ходе стрельб в июле 1944 г. была получена начальная скорость 1130 м/с и дальность 50 км. Рассеивание при этом составило по дальности 900 м и боковое 120 м. </w:t>
      </w:r>
    </w:p>
    <w:p w14:paraId="7DF69257" w14:textId="77777777" w:rsidR="00823A00" w:rsidRPr="00F90EAE" w:rsidRDefault="00823A00" w:rsidP="00F90EAE">
      <w:pPr>
        <w:jc w:val="both"/>
        <w:rPr>
          <w:color w:val="000000" w:themeColor="text1"/>
          <w:sz w:val="16"/>
          <w:szCs w:val="16"/>
        </w:rPr>
      </w:pPr>
      <w:r w:rsidRPr="00F90EAE">
        <w:rPr>
          <w:color w:val="000000" w:themeColor="text1"/>
          <w:sz w:val="16"/>
          <w:szCs w:val="16"/>
        </w:rPr>
        <w:t>Доработка системы К.З с цилиндро-коническим стволом велась в 1945–1946 гг. в городе Земмерда (Тюрингия) группой немецких конструкторов под руководством Ассмана. С советской стороны ее курировал инженер-полковник Бутаков.[45] Отчет о работе над К.З был утвержден 25 июня 1946 г. Автору, к сожалению, не удалось найти материалы о дальнейших работах в СССР над орудием К.З (12705).</w:t>
      </w:r>
    </w:p>
    <w:p w14:paraId="77590857" w14:textId="77777777" w:rsidR="00823A00" w:rsidRPr="00F90EAE" w:rsidRDefault="00823A00" w:rsidP="00F90EAE">
      <w:pPr>
        <w:jc w:val="both"/>
        <w:rPr>
          <w:color w:val="000000" w:themeColor="text1"/>
          <w:sz w:val="16"/>
          <w:szCs w:val="16"/>
        </w:rPr>
      </w:pPr>
    </w:p>
    <w:p w14:paraId="2DA1F1CF"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Май 1945. За время войны завод им. Киркижа выпустил и отправил в действующую армию 1202481 единицу различного вооружения, в том числе:</w:t>
      </w:r>
    </w:p>
    <w:p w14:paraId="38C663F2"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пулеметов Дегтярева ДП и ДТ калибра 7,62мм;</w:t>
      </w:r>
    </w:p>
    <w:p w14:paraId="2DF51B46"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станковых пулеметов Горюнова СГ-43 калибра 7,62 мм - 28882;</w:t>
      </w:r>
    </w:p>
    <w:p w14:paraId="2F241689"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авиационных пулеметов Березина калибра 12,7 мм - 6381;</w:t>
      </w:r>
    </w:p>
    <w:p w14:paraId="168151E6"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авиационных пушек ШВАК калибра 20 мм - 86444; авиационных пушек ВЯ калибра 23 мм - 21920;</w:t>
      </w:r>
    </w:p>
    <w:p w14:paraId="7A2FAD02"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противотанковые ружья Дегтярева и т.д.</w:t>
      </w:r>
    </w:p>
    <w:p w14:paraId="120D185F"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За врёмя Великой Отечественной войны, работники конструкторского отдела и бюро создали 9 новых образцов автоматического стрелкового оружия, не считая работ по модернизации уже принятых на вооружение, систем. В разработке этих систем принимали участие П.М. Горюнов, В.Е. Воронков, М.М. Горюнов, С.В. Владимиров, Н.Н. Лопуховский, С.А. Харыкин,В.К. Егоров, А.П. Финогенов, П.П. Поляков, А.А. Дубынин, Г.П. Марков, К.М. Кустов, И.С. Лещинский и другие.</w:t>
      </w:r>
    </w:p>
    <w:p w14:paraId="1B6CA4B1"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Коллектив производства «ШВАК» и «ВЯ» выполнил-мартовскую программу, которая была увеличена по сравнению с февральской на 20%. Пушкари дали продукции сверх плана еще на 27% и.вернули себе переходящее Красное знамя завода.</w:t>
      </w:r>
    </w:p>
    <w:p w14:paraId="31F6EC46"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В цехах завода на протяжении всех военных лет большими партиями изготовлялись протезные шины, мясорубки, телефонные катушки, замки, запасные части к автомобилям и тракторам, мебель. Продолжалось крупносерийное производство инструмента и металлорежущих станков. Для обеспечения успешной деятельности всех производств, выпускавших разнообразные виды продукции, работали вспомогательные производства: службы материального обеспечения, газового хозяйства, энергетическая служба.</w:t>
      </w:r>
    </w:p>
    <w:p w14:paraId="68D30854" w14:textId="77777777" w:rsidR="00823A00" w:rsidRPr="00F90EAE" w:rsidRDefault="00823A00" w:rsidP="00F90EAE">
      <w:pPr>
        <w:pStyle w:val="ae"/>
        <w:spacing w:before="0" w:after="0"/>
        <w:jc w:val="both"/>
        <w:rPr>
          <w:color w:val="000000" w:themeColor="text1"/>
          <w:sz w:val="16"/>
          <w:szCs w:val="16"/>
        </w:rPr>
      </w:pPr>
      <w:r w:rsidRPr="00F90EAE">
        <w:rPr>
          <w:color w:val="000000" w:themeColor="text1"/>
          <w:sz w:val="16"/>
          <w:szCs w:val="16"/>
        </w:rPr>
        <w:t>Станкостроительное производство выпустило 5000 металлорежущих станков (12221).</w:t>
      </w:r>
    </w:p>
    <w:p w14:paraId="02F362A0" w14:textId="77777777" w:rsidR="00823A00" w:rsidRPr="00F90EAE" w:rsidRDefault="00823A00" w:rsidP="00F90EAE">
      <w:pPr>
        <w:pStyle w:val="ae"/>
        <w:spacing w:before="0" w:after="0"/>
        <w:jc w:val="both"/>
        <w:rPr>
          <w:color w:val="000000" w:themeColor="text1"/>
          <w:sz w:val="16"/>
          <w:szCs w:val="16"/>
        </w:rPr>
      </w:pPr>
    </w:p>
    <w:p w14:paraId="4E1B3B0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на ЧКЗ были выпущены последние 150 машин ИС-2 (10703).</w:t>
      </w:r>
    </w:p>
    <w:p w14:paraId="05B3C65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B11D409" w14:textId="77777777" w:rsidR="00A65CB5" w:rsidRPr="00F90EAE" w:rsidRDefault="00A65CB5" w:rsidP="00F90EAE">
      <w:pPr>
        <w:jc w:val="both"/>
        <w:rPr>
          <w:color w:val="0070C0"/>
          <w:sz w:val="16"/>
          <w:szCs w:val="16"/>
          <w:lang w:bidi="ru-RU"/>
        </w:rPr>
      </w:pPr>
      <w:r w:rsidRPr="00F90EAE">
        <w:rPr>
          <w:color w:val="0070C0"/>
          <w:sz w:val="16"/>
          <w:szCs w:val="16"/>
          <w:shd w:val="clear" w:color="auto" w:fill="FFFFFF"/>
        </w:rPr>
        <w:t>В мае 1945 года оба орудия Д-25 - танковую и самоходную версии направили на Кировский завод. К тому моменту ситуация с танками изменилась: в апреле 1945 года начался выпуск тяжелых танков ИС-3, которые летом 1945 года окончательно вытеснили ИС-2 с конвейера. Разумеется, теперь встал вопрос об установке орудия под унитар в ИС-3, и вот тут выяснилась простая истина. Утка в зайца влезать не хотела принципиально, то есть унитар в башню ИС-3, не имеющей, как таковой, кормовой ниши, попросту не помещался. А боекомплект, с учетом размещения снарядных укладок, становился смехотворным. Посему в Челябинске на предложение переделать ИС-3 под унитарное заряжание ответили отказом. Попытки заставить ОГК Кировского завода построить ИС-3 с орудием под унитатрное заряжание успехом не увенчались, и тут челябинцы были абсолютно правы. Это была бесполезная трата времени (20277).</w:t>
      </w:r>
    </w:p>
    <w:p w14:paraId="2600432D" w14:textId="77777777" w:rsidR="00A65CB5" w:rsidRPr="00F90EAE" w:rsidRDefault="00A65CB5" w:rsidP="00F90EAE">
      <w:pPr>
        <w:jc w:val="both"/>
        <w:rPr>
          <w:color w:val="0070C0"/>
          <w:sz w:val="16"/>
          <w:szCs w:val="16"/>
          <w:lang w:bidi="ru-RU"/>
        </w:rPr>
      </w:pPr>
    </w:p>
    <w:p w14:paraId="5CCD10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 к разработке нового тяжелого танка, получившего наименование ИС-7, приступили и на опытном заводе № 100. Общее ру</w:t>
      </w:r>
      <w:r w:rsidRPr="00F90EAE">
        <w:rPr>
          <w:color w:val="000000" w:themeColor="text1"/>
          <w:sz w:val="16"/>
          <w:szCs w:val="16"/>
        </w:rPr>
        <w:softHyphen/>
        <w:t>ководство по разработке нового танка было поручено заместителю главного конструктора завода А.С. Ермолаеву. Начиная новое проектирование главный конструктор Ж.Я Котин создал несколько узкоспециали</w:t>
      </w:r>
      <w:r w:rsidRPr="00F90EAE">
        <w:rPr>
          <w:color w:val="000000" w:themeColor="text1"/>
          <w:sz w:val="16"/>
          <w:szCs w:val="16"/>
        </w:rPr>
        <w:softHyphen/>
        <w:t>зированных групп, которые занимались детальной проработкой определенной части проекта. Эти группы возглавляли: А.С. Шнейдман (воору</w:t>
      </w:r>
      <w:r w:rsidRPr="00F90EAE">
        <w:rPr>
          <w:color w:val="000000" w:themeColor="text1"/>
          <w:sz w:val="16"/>
          <w:szCs w:val="16"/>
        </w:rPr>
        <w:softHyphen/>
        <w:t>жение), С.В. Мицкевич (корпус), Г.А. Серегин (ходовая часть), ГА. Тур</w:t>
      </w:r>
      <w:r w:rsidRPr="00F90EAE">
        <w:rPr>
          <w:color w:val="000000" w:themeColor="text1"/>
          <w:sz w:val="16"/>
          <w:szCs w:val="16"/>
        </w:rPr>
        <w:softHyphen/>
        <w:t>чанинов (трансмиссия), ГА. Осмоловский (моторная группа) и др. Ве</w:t>
      </w:r>
      <w:r w:rsidRPr="00F90EAE">
        <w:rPr>
          <w:color w:val="000000" w:themeColor="text1"/>
          <w:sz w:val="16"/>
          <w:szCs w:val="16"/>
        </w:rPr>
        <w:softHyphen/>
        <w:t>дущим конструктором по проекту назначили П.П. Исакова. К сентябрю 1945 г. было разработано несколько проек</w:t>
      </w:r>
      <w:r w:rsidRPr="00F90EAE">
        <w:rPr>
          <w:color w:val="000000" w:themeColor="text1"/>
          <w:sz w:val="16"/>
          <w:szCs w:val="16"/>
        </w:rPr>
        <w:softHyphen/>
        <w:t>тов нового танка с различными схемами механических и электромеха</w:t>
      </w:r>
      <w:r w:rsidRPr="00F90EAE">
        <w:rPr>
          <w:color w:val="000000" w:themeColor="text1"/>
          <w:sz w:val="16"/>
          <w:szCs w:val="16"/>
        </w:rPr>
        <w:softHyphen/>
        <w:t>нических трансмиссий ("Объекты 257 - 261"). Первоначально на танке планировалось использовать спаренную силовую установку, тем самым резко увеличив мощность до 1200 л.с. (882 кВт) и обеспечив расчетную маневренность, или один дизель КЧ-ЗОТ аналогичной мощности. Ма</w:t>
      </w:r>
      <w:r w:rsidRPr="00F90EAE">
        <w:rPr>
          <w:color w:val="000000" w:themeColor="text1"/>
          <w:sz w:val="16"/>
          <w:szCs w:val="16"/>
        </w:rPr>
        <w:softHyphen/>
        <w:t>шина имела дифференцированное бронирование. За счет рационально</w:t>
      </w:r>
      <w:r w:rsidRPr="00F90EAE">
        <w:rPr>
          <w:color w:val="000000" w:themeColor="text1"/>
          <w:sz w:val="16"/>
          <w:szCs w:val="16"/>
        </w:rPr>
        <w:softHyphen/>
        <w:t>го наклона броневых листов удалось значительно повысить уровень ее защищенности. Форма броневого корпуса танка ИС-7 значительно от</w:t>
      </w:r>
      <w:r w:rsidRPr="00F90EAE">
        <w:rPr>
          <w:color w:val="000000" w:themeColor="text1"/>
          <w:sz w:val="16"/>
          <w:szCs w:val="16"/>
        </w:rPr>
        <w:softHyphen/>
        <w:t>личалась от всех предыдущих машин ЧКЗ. Наравне с применением трехгранной лобовой части, жесткость и бронестойкость корпуса пред</w:t>
      </w:r>
      <w:r w:rsidRPr="00F90EAE">
        <w:rPr>
          <w:color w:val="000000" w:themeColor="text1"/>
          <w:sz w:val="16"/>
          <w:szCs w:val="16"/>
        </w:rPr>
        <w:softHyphen/>
        <w:t>полагалось повысить за счет применения вогнутого внутрь борта, созда</w:t>
      </w:r>
      <w:r w:rsidRPr="00F90EAE">
        <w:rPr>
          <w:color w:val="000000" w:themeColor="text1"/>
          <w:sz w:val="16"/>
          <w:szCs w:val="16"/>
        </w:rPr>
        <w:softHyphen/>
        <w:t xml:space="preserve">ющего условия для рикошетирования попадающих в борт бронебойных снарядов. </w:t>
      </w:r>
      <w:r w:rsidRPr="00F90EAE">
        <w:rPr>
          <w:color w:val="000000" w:themeColor="text1"/>
          <w:sz w:val="16"/>
          <w:szCs w:val="16"/>
        </w:rPr>
        <w:lastRenderedPageBreak/>
        <w:t>Скошенные борта образовывали полости в подмоторном по</w:t>
      </w:r>
      <w:r w:rsidRPr="00F90EAE">
        <w:rPr>
          <w:color w:val="000000" w:themeColor="text1"/>
          <w:sz w:val="16"/>
          <w:szCs w:val="16"/>
        </w:rPr>
        <w:softHyphen/>
        <w:t>стаменте, которые по мнению конструкторов можно было использовать в качестве топливных баков. В качестве основного оружия на танке пла</w:t>
      </w:r>
      <w:r w:rsidRPr="00F90EAE">
        <w:rPr>
          <w:color w:val="000000" w:themeColor="text1"/>
          <w:sz w:val="16"/>
          <w:szCs w:val="16"/>
        </w:rPr>
        <w:softHyphen/>
        <w:t>нировалось установить хорошо зарекомендовавшую в боевых условиях 122-мм танковую пушку Д-25. В Челябинске эти проекты в металле во</w:t>
      </w:r>
      <w:r w:rsidRPr="00F90EAE">
        <w:rPr>
          <w:color w:val="000000" w:themeColor="text1"/>
          <w:sz w:val="16"/>
          <w:szCs w:val="16"/>
        </w:rPr>
        <w:softHyphen/>
        <w:t>площены не были. Дальнейшие работы по танку ИС-7 были продолже</w:t>
      </w:r>
      <w:r w:rsidRPr="00F90EAE">
        <w:rPr>
          <w:color w:val="000000" w:themeColor="text1"/>
          <w:sz w:val="16"/>
          <w:szCs w:val="16"/>
        </w:rPr>
        <w:softHyphen/>
        <w:t>ны уже на Кировском заводе в Ленинграде после возращения большин</w:t>
      </w:r>
      <w:r w:rsidRPr="00F90EAE">
        <w:rPr>
          <w:color w:val="000000" w:themeColor="text1"/>
          <w:sz w:val="16"/>
          <w:szCs w:val="16"/>
        </w:rPr>
        <w:softHyphen/>
        <w:t>ства конструкторов из эвакуации в первые послевоенные годы. Таким образом, создание тяжелых танков на ЧКЗ и на заводе № 100 пошло по двум направлениям — каждый коллектив стремился создать свою машину и вывести ее на серийное производство, несмотря на то, что общее руководство всех работ осуществлялось Ж.Я. Котиным. Такое положение дел нашло свое отражение даже на заводских обозначениях вновь создаваемых объектов. С этого времени все машины, создаваемые в КБ ЧТЗ стали иметь обозначения, начиная с цифры 700, на опытном заводе сохранилась прежняя нумерация машин, начиная с цифры 200. Созданные в самый разгар танковых сражений тяжелые танки ИС-1 и ИС-2 внесли немалую лепту в окончательный разгром гитлеровской армии. Начиная с февраля 1944 г., не было ни одной наступательной операции, в которой не участвовали бы эти грозные машины. Опыт по созданию и производству тяжелых танков ИС-2 и ИС-3 лег в основу при проектировании и изготовлении тяжелых танков в после</w:t>
      </w:r>
      <w:r w:rsidRPr="00F90EAE">
        <w:rPr>
          <w:color w:val="000000" w:themeColor="text1"/>
          <w:sz w:val="16"/>
          <w:szCs w:val="16"/>
        </w:rPr>
        <w:softHyphen/>
        <w:t>военные годы. Сами же машины оставались на вооружении Советской Армии вплоть до начала 60-х гг. Официально танки ИС-2 и ИС-3 были сняты с вооружения только осенью 1997 г. (10703).</w:t>
      </w:r>
    </w:p>
    <w:p w14:paraId="41F1C7D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38C5FDD" w14:textId="77777777" w:rsidR="00823A00" w:rsidRPr="00F90EAE" w:rsidRDefault="00823A00" w:rsidP="00F90EAE">
      <w:pPr>
        <w:jc w:val="both"/>
        <w:rPr>
          <w:color w:val="000000" w:themeColor="text1"/>
          <w:sz w:val="16"/>
          <w:szCs w:val="16"/>
        </w:rPr>
      </w:pPr>
      <w:r w:rsidRPr="00F90EAE">
        <w:rPr>
          <w:color w:val="000000" w:themeColor="text1"/>
          <w:sz w:val="16"/>
          <w:szCs w:val="16"/>
        </w:rPr>
        <w:t>В мае 1945 г. эскизно-технический проект нового тяжелого танка ИС-7 («Объект 257») был рассмотрен и одобрен наркомом танковой промышленности В.А. Малышевым (приказ НКТП № 312). На основе дальнейшей глубокой проработки этого варианта тяжелого танка в ОКБ Опытного завода №100 в период июля—сентября 1945 г. подготовили технические проекты четырех различных вариантов машин (ведущие инженеры — Г.Н. Москвин и П.П. Исаков) с применением классической схемы общей компоновки, определяемой калибром основного оружия (БЛ-13-1 калибра 122 или С-26 калибра 130 мм), силовой установкой (один дизель или два спаренных) и типом трансмиссии (механическая или электромеханическая).</w:t>
      </w:r>
    </w:p>
    <w:p w14:paraId="6B469C8A" w14:textId="77777777" w:rsidR="00823A00" w:rsidRPr="00F90EAE" w:rsidRDefault="00823A00" w:rsidP="00F90EAE">
      <w:pPr>
        <w:jc w:val="both"/>
        <w:rPr>
          <w:color w:val="000000" w:themeColor="text1"/>
          <w:sz w:val="16"/>
          <w:szCs w:val="16"/>
        </w:rPr>
      </w:pPr>
      <w:r w:rsidRPr="00F90EAE">
        <w:rPr>
          <w:color w:val="000000" w:themeColor="text1"/>
          <w:sz w:val="16"/>
          <w:szCs w:val="16"/>
        </w:rPr>
        <w:t>Поэтапное внедрение в опытные конструкции передовых достижений отечественной промышленности позволило реализовывать неуклонно растущие требования по повышению боевых характеристик тяжелого танка, оставаясь в разумных границах боевой массы.</w:t>
      </w:r>
    </w:p>
    <w:p w14:paraId="0EF052B2" w14:textId="77777777" w:rsidR="00823A00" w:rsidRPr="00F90EAE" w:rsidRDefault="00823A00" w:rsidP="00F90EAE">
      <w:pPr>
        <w:jc w:val="both"/>
        <w:rPr>
          <w:color w:val="000000" w:themeColor="text1"/>
          <w:sz w:val="16"/>
          <w:szCs w:val="16"/>
        </w:rPr>
      </w:pPr>
      <w:r w:rsidRPr="00F90EAE">
        <w:rPr>
          <w:color w:val="000000" w:themeColor="text1"/>
          <w:sz w:val="16"/>
          <w:szCs w:val="16"/>
        </w:rPr>
        <w:t>Так, параллельно с отработкой технических проектов танка ИС-7 на Опытном заводе № 100 по эскизным чертежам ОКБ-172 был изготовлен и в июне 1945 г. прошел стендовые испытания механический досылатель для 122-мм пушки БЛ-13 конструкции ОКБ-172 НКВ. Он обеспечивал досыла-ние снаряда в зарядную камору орудия и размещался в бороде казенника между тормозом отката и накатником.</w:t>
      </w:r>
    </w:p>
    <w:p w14:paraId="34A1342E" w14:textId="77777777" w:rsidR="00823A00" w:rsidRPr="00F90EAE" w:rsidRDefault="00823A00" w:rsidP="00F90EAE">
      <w:pPr>
        <w:jc w:val="both"/>
        <w:rPr>
          <w:color w:val="000000" w:themeColor="text1"/>
          <w:sz w:val="16"/>
          <w:szCs w:val="16"/>
        </w:rPr>
      </w:pPr>
      <w:r w:rsidRPr="00F90EAE">
        <w:rPr>
          <w:color w:val="000000" w:themeColor="text1"/>
          <w:sz w:val="16"/>
          <w:szCs w:val="16"/>
        </w:rPr>
        <w:t>Во время испытаний (было выполнено 250 заряжаний) досылатель продемонстрировал надежную работу. Использование механического до- сылателя с места заряжающего обеспечивало последнему значительные удобства и ускорило процесс заряжания снаряда. Для окончательного заключения о работе механического досылателя рекомендовалось провести его испытания в условиях объекта (12258).</w:t>
      </w:r>
    </w:p>
    <w:p w14:paraId="275BA76C" w14:textId="77777777" w:rsidR="00823A00" w:rsidRPr="00F90EAE" w:rsidRDefault="00823A00" w:rsidP="00F90EAE">
      <w:pPr>
        <w:jc w:val="both"/>
        <w:rPr>
          <w:color w:val="000000" w:themeColor="text1"/>
          <w:sz w:val="16"/>
          <w:szCs w:val="16"/>
        </w:rPr>
      </w:pPr>
    </w:p>
    <w:p w14:paraId="0232A47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мая 1945 г. танк ИС-3 серийно выпу</w:t>
      </w:r>
      <w:r w:rsidRPr="00F90EAE">
        <w:rPr>
          <w:color w:val="000000" w:themeColor="text1"/>
          <w:sz w:val="16"/>
          <w:szCs w:val="16"/>
        </w:rPr>
        <w:softHyphen/>
        <w:t>скался на ЧКЗ. До 1 сентября 1945 г. заводом было изготовлено 875 тан</w:t>
      </w:r>
      <w:r w:rsidRPr="00F90EAE">
        <w:rPr>
          <w:color w:val="000000" w:themeColor="text1"/>
          <w:sz w:val="16"/>
          <w:szCs w:val="16"/>
        </w:rPr>
        <w:softHyphen/>
        <w:t>ков ИС-3. В Великой Отечественной войне и разгроме милитаристской Японии танки участия не принимали. После Великой Отечественной войны танк находился в серийном производстве до середины 1946 г., в процессе которого он неоднократно модернизировался. В 1952 г. были проведены мероприятия по глубокой модернизации танка и он получил обозначение ИС-3М (10703).</w:t>
      </w:r>
    </w:p>
    <w:p w14:paraId="6BDD297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E8CED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первая опытная партия тяжелых танков ИС-3 покинула заводские цеха. В боевых действиях Великой Отечественной войны они участия не принимали. По некоторым данным, ИС-3 применялись при разгроме японской Квантунской армии в августе 1945 года. (3862).</w:t>
      </w:r>
    </w:p>
    <w:p w14:paraId="1F8184CD" w14:textId="77777777" w:rsidR="00665165" w:rsidRPr="00F90EAE" w:rsidRDefault="00665165" w:rsidP="00F90EAE">
      <w:pPr>
        <w:autoSpaceDE w:val="0"/>
        <w:autoSpaceDN w:val="0"/>
        <w:adjustRightInd w:val="0"/>
        <w:jc w:val="both"/>
        <w:rPr>
          <w:color w:val="000000" w:themeColor="text1"/>
          <w:sz w:val="16"/>
          <w:szCs w:val="16"/>
        </w:rPr>
      </w:pPr>
    </w:p>
    <w:p w14:paraId="46D072C1" w14:textId="77777777" w:rsidR="00823A00" w:rsidRPr="00F90EAE" w:rsidRDefault="00823A00" w:rsidP="00F90EAE">
      <w:pPr>
        <w:jc w:val="both"/>
        <w:rPr>
          <w:color w:val="000000" w:themeColor="text1"/>
          <w:sz w:val="16"/>
          <w:szCs w:val="16"/>
        </w:rPr>
      </w:pPr>
      <w:r w:rsidRPr="00F90EAE">
        <w:rPr>
          <w:color w:val="000000" w:themeColor="text1"/>
          <w:sz w:val="16"/>
          <w:szCs w:val="16"/>
        </w:rPr>
        <w:t>В мае 1945 г. конструкторским бюро ЧКЗ (СКБ-2) и Опытного завода N9100 (ОКБ) была поручена разработка эскизных проектов различных вариантов тяжелых танков мощного бронирования (приказ НКТП №66 от 5 февраля 1945 г.). Вариант тяжелого танка, создававшийся в СКБ-2 ЧКЗ под руководством Н.Л. Духова, имел индекс «ОБЪЕКТ 705»; в ОКБ Опытного завода №100 работы по машине, получившей наименование ИС-7 («ОБЪЕКТ 257»), осуществлялись под руководством Ж.Я. Котина и А.С. Ермолаева.</w:t>
      </w:r>
    </w:p>
    <w:p w14:paraId="45CF3E7D" w14:textId="77777777" w:rsidR="00823A00" w:rsidRPr="00F90EAE" w:rsidRDefault="00823A00" w:rsidP="00F90EAE">
      <w:pPr>
        <w:jc w:val="both"/>
        <w:rPr>
          <w:color w:val="000000" w:themeColor="text1"/>
          <w:sz w:val="16"/>
          <w:szCs w:val="16"/>
        </w:rPr>
      </w:pPr>
      <w:r w:rsidRPr="00F90EAE">
        <w:rPr>
          <w:color w:val="000000" w:themeColor="text1"/>
          <w:sz w:val="16"/>
          <w:szCs w:val="16"/>
        </w:rPr>
        <w:t>Разработка этих машин велась в соответствии с требованиями, аналогичными для танка ИС-4.</w:t>
      </w:r>
    </w:p>
    <w:p w14:paraId="3A9D1C39" w14:textId="77777777" w:rsidR="00823A00" w:rsidRPr="00F90EAE" w:rsidRDefault="00823A00" w:rsidP="00F90EAE">
      <w:pPr>
        <w:jc w:val="both"/>
        <w:rPr>
          <w:color w:val="000000" w:themeColor="text1"/>
          <w:sz w:val="16"/>
          <w:szCs w:val="16"/>
        </w:rPr>
      </w:pPr>
      <w:r w:rsidRPr="00F90EAE">
        <w:rPr>
          <w:color w:val="000000" w:themeColor="text1"/>
          <w:sz w:val="16"/>
          <w:szCs w:val="16"/>
        </w:rPr>
        <w:t>По взглядам руководства БТ и МВ Красной Армии, с целью реализации в конструкции тяжелого танка предельных параметров огневой мощи и броневой защиты его боевая масса могла быть ограничена 97—100 т. Предельный габарит танка по ширине определялся возможностью железнодорожных перевозок с двухсторонним движением.</w:t>
      </w:r>
    </w:p>
    <w:p w14:paraId="3850963E" w14:textId="77777777" w:rsidR="00823A00" w:rsidRPr="00F90EAE" w:rsidRDefault="00823A00" w:rsidP="00F90EAE">
      <w:pPr>
        <w:jc w:val="both"/>
        <w:rPr>
          <w:color w:val="000000" w:themeColor="text1"/>
          <w:sz w:val="16"/>
          <w:szCs w:val="16"/>
        </w:rPr>
      </w:pPr>
      <w:r w:rsidRPr="00F90EAE">
        <w:rPr>
          <w:color w:val="000000" w:themeColor="text1"/>
          <w:sz w:val="16"/>
          <w:szCs w:val="16"/>
        </w:rPr>
        <w:t>Такие ограничения являлись предельно допустимыми и диктовались отсутствием на тот момент отработанных конструктивных решений для достижения требуемых характеристик без увеличения боевой массы танка.</w:t>
      </w:r>
    </w:p>
    <w:p w14:paraId="06A092B5" w14:textId="77777777" w:rsidR="00823A00" w:rsidRPr="00F90EAE" w:rsidRDefault="00823A00" w:rsidP="00F90EAE">
      <w:pPr>
        <w:jc w:val="both"/>
        <w:rPr>
          <w:color w:val="000000" w:themeColor="text1"/>
          <w:sz w:val="16"/>
          <w:szCs w:val="16"/>
        </w:rPr>
      </w:pPr>
      <w:r w:rsidRPr="00F90EAE">
        <w:rPr>
          <w:color w:val="000000" w:themeColor="text1"/>
          <w:sz w:val="16"/>
          <w:szCs w:val="16"/>
        </w:rPr>
        <w:t>В результате, согласно ТТХ, боевая масса танка «Объект 705» составляла 100 т. В состав экипажа входили пять человек. В башне танка предусматривалась установка 130-мм танковой пушки с начальной скоростью бронебойного снаряда 1000— 1100 м/с или 152-мм пушки с начальной скоростью бронебойного снаряда 900 м/с. С целью облегчения работы заряжающего предполагалось использовать устройство для механизации процесса заряжания. В качестве дополнительного и вспомогательного оружия предусматривалась установка трех пулеметов калибра 14,5 мм и четырех пулеметов калибра 7,62 мм. В боекомплект танка входили 40 выстрелов раздельного заряжания (при 130-мм пушке) или 35 выстрелов раздельного заряжания (при 152-мм пушке).</w:t>
      </w:r>
    </w:p>
    <w:p w14:paraId="5928D67C" w14:textId="77777777" w:rsidR="00823A00" w:rsidRPr="00F90EAE" w:rsidRDefault="00823A00" w:rsidP="00F90EAE">
      <w:pPr>
        <w:jc w:val="both"/>
        <w:rPr>
          <w:color w:val="000000" w:themeColor="text1"/>
          <w:sz w:val="16"/>
          <w:szCs w:val="16"/>
        </w:rPr>
      </w:pPr>
      <w:r w:rsidRPr="00F90EAE">
        <w:rPr>
          <w:color w:val="000000" w:themeColor="text1"/>
          <w:sz w:val="16"/>
          <w:szCs w:val="16"/>
        </w:rPr>
        <w:t>Лобовые и бортовые листы корпуса, а также лоб, борта и корма башни танка должны были обеспечивать защиту экипажа и внутреннего оборудования от бронебойного снаряда с начальной скоростью 1200 м/с при стрельбе в упор из полевой, танковой и противотанковой артиллерии калибра до 128 мм включительно, а также от действия кумулятивных мин и гранат калибра 150 мм.</w:t>
      </w:r>
    </w:p>
    <w:p w14:paraId="0EB93DC0" w14:textId="77777777" w:rsidR="00823A00" w:rsidRPr="00F90EAE" w:rsidRDefault="00823A00" w:rsidP="00F90EAE">
      <w:pPr>
        <w:jc w:val="both"/>
        <w:rPr>
          <w:color w:val="000000" w:themeColor="text1"/>
          <w:sz w:val="16"/>
          <w:szCs w:val="16"/>
        </w:rPr>
      </w:pPr>
      <w:r w:rsidRPr="00F90EAE">
        <w:rPr>
          <w:color w:val="000000" w:themeColor="text1"/>
          <w:sz w:val="16"/>
          <w:szCs w:val="16"/>
        </w:rPr>
        <w:t>Планетарная трансмиссия должна была гарантировать танку возможность движения по шоссе с максимальной скоростью не менее 55—60 км/ч. В ходовой части предусматривалось использование гусениц с РМШ (сайлентблоками) с гарантийным сроком службы не менее 3000 км и обеспечивавших машине среднее давление на грунт не более 88,3 кПа (0,9 кгс/см2) (12259).</w:t>
      </w:r>
    </w:p>
    <w:p w14:paraId="73829509" w14:textId="77777777" w:rsidR="00823A00" w:rsidRPr="00F90EAE" w:rsidRDefault="00823A00" w:rsidP="00F90EAE">
      <w:pPr>
        <w:jc w:val="both"/>
        <w:rPr>
          <w:color w:val="000000" w:themeColor="text1"/>
          <w:sz w:val="16"/>
          <w:szCs w:val="16"/>
        </w:rPr>
      </w:pPr>
    </w:p>
    <w:p w14:paraId="739C738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к концу войны с Германией советская танковая промышленность располагала следующими сборочными заводами, выпустившими танки:</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981"/>
        <w:gridCol w:w="4998"/>
      </w:tblGrid>
      <w:tr w:rsidR="00561F31" w:rsidRPr="00F90EAE" w14:paraId="1F7BB8C3" w14:textId="77777777">
        <w:trPr>
          <w:jc w:val="center"/>
        </w:trPr>
        <w:tc>
          <w:tcPr>
            <w:tcW w:w="4981" w:type="dxa"/>
            <w:shd w:val="solid" w:color="FFFFFF" w:fill="C0C0C0"/>
          </w:tcPr>
          <w:p w14:paraId="5407F1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w:t>
            </w:r>
          </w:p>
        </w:tc>
        <w:tc>
          <w:tcPr>
            <w:tcW w:w="4998" w:type="dxa"/>
            <w:shd w:val="solid" w:color="FFFFFF" w:fill="C0C0C0"/>
          </w:tcPr>
          <w:p w14:paraId="4FD452D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Продукция</w:t>
            </w:r>
          </w:p>
        </w:tc>
      </w:tr>
      <w:tr w:rsidR="00561F31" w:rsidRPr="00F90EAE" w14:paraId="075DDCE2" w14:textId="77777777">
        <w:trPr>
          <w:jc w:val="center"/>
        </w:trPr>
        <w:tc>
          <w:tcPr>
            <w:tcW w:w="4981" w:type="dxa"/>
            <w:shd w:val="solid" w:color="FFFFFF" w:fill="C0C0C0"/>
          </w:tcPr>
          <w:p w14:paraId="686BC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Челябинск, Кировский/ЧТЗ</w:t>
            </w:r>
          </w:p>
        </w:tc>
        <w:tc>
          <w:tcPr>
            <w:tcW w:w="4998" w:type="dxa"/>
            <w:shd w:val="solid" w:color="FFFFFF" w:fill="C0C0C0"/>
          </w:tcPr>
          <w:p w14:paraId="09CFE3A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 и ИСУ</w:t>
            </w:r>
          </w:p>
        </w:tc>
      </w:tr>
      <w:tr w:rsidR="00561F31" w:rsidRPr="00F90EAE" w14:paraId="0E212A11" w14:textId="77777777">
        <w:trPr>
          <w:jc w:val="center"/>
        </w:trPr>
        <w:tc>
          <w:tcPr>
            <w:tcW w:w="4981" w:type="dxa"/>
            <w:shd w:val="solid" w:color="FFFFFF" w:fill="C0C0C0"/>
          </w:tcPr>
          <w:p w14:paraId="36EF81B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Горький, № 112</w:t>
            </w:r>
          </w:p>
        </w:tc>
        <w:tc>
          <w:tcPr>
            <w:tcW w:w="4998" w:type="dxa"/>
            <w:shd w:val="solid" w:color="FFFFFF" w:fill="C0C0C0"/>
          </w:tcPr>
          <w:p w14:paraId="1D4F81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Т-34-85</w:t>
            </w:r>
          </w:p>
        </w:tc>
      </w:tr>
      <w:tr w:rsidR="00561F31" w:rsidRPr="00F90EAE" w14:paraId="15DC46E1" w14:textId="77777777">
        <w:trPr>
          <w:jc w:val="center"/>
        </w:trPr>
        <w:tc>
          <w:tcPr>
            <w:tcW w:w="4981" w:type="dxa"/>
            <w:shd w:val="solid" w:color="FFFFFF" w:fill="C0C0C0"/>
          </w:tcPr>
          <w:p w14:paraId="29578A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Горький, ГАЗ</w:t>
            </w:r>
          </w:p>
        </w:tc>
        <w:tc>
          <w:tcPr>
            <w:tcW w:w="4998" w:type="dxa"/>
            <w:shd w:val="solid" w:color="FFFFFF" w:fill="C0C0C0"/>
          </w:tcPr>
          <w:p w14:paraId="1E6EA5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СУ-76М и БА-64</w:t>
            </w:r>
          </w:p>
        </w:tc>
      </w:tr>
      <w:tr w:rsidR="00561F31" w:rsidRPr="00F90EAE" w14:paraId="5D06FD62" w14:textId="77777777">
        <w:trPr>
          <w:jc w:val="center"/>
        </w:trPr>
        <w:tc>
          <w:tcPr>
            <w:tcW w:w="4981" w:type="dxa"/>
            <w:shd w:val="solid" w:color="FFFFFF" w:fill="C0C0C0"/>
          </w:tcPr>
          <w:p w14:paraId="3E97D4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Ленинград, Кировский</w:t>
            </w:r>
          </w:p>
        </w:tc>
        <w:tc>
          <w:tcPr>
            <w:tcW w:w="4998" w:type="dxa"/>
            <w:shd w:val="solid" w:color="FFFFFF" w:fill="C0C0C0"/>
          </w:tcPr>
          <w:p w14:paraId="61B44D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w:t>
            </w:r>
          </w:p>
        </w:tc>
      </w:tr>
      <w:tr w:rsidR="00561F31" w:rsidRPr="00F90EAE" w14:paraId="7B12EE30" w14:textId="77777777">
        <w:trPr>
          <w:jc w:val="center"/>
        </w:trPr>
        <w:tc>
          <w:tcPr>
            <w:tcW w:w="4981" w:type="dxa"/>
            <w:shd w:val="solid" w:color="FFFFFF" w:fill="C0C0C0"/>
          </w:tcPr>
          <w:p w14:paraId="7033741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Мытищи, № 40</w:t>
            </w:r>
          </w:p>
        </w:tc>
        <w:tc>
          <w:tcPr>
            <w:tcW w:w="4998" w:type="dxa"/>
            <w:shd w:val="solid" w:color="FFFFFF" w:fill="C0C0C0"/>
          </w:tcPr>
          <w:p w14:paraId="00F967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СУ-76М</w:t>
            </w:r>
          </w:p>
        </w:tc>
      </w:tr>
      <w:tr w:rsidR="00561F31" w:rsidRPr="00F90EAE" w14:paraId="395A4FA5" w14:textId="77777777">
        <w:trPr>
          <w:jc w:val="center"/>
        </w:trPr>
        <w:tc>
          <w:tcPr>
            <w:tcW w:w="4981" w:type="dxa"/>
            <w:shd w:val="solid" w:color="FFFFFF" w:fill="C0C0C0"/>
          </w:tcPr>
          <w:p w14:paraId="2048A4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Нижний Тагил, № 183</w:t>
            </w:r>
          </w:p>
        </w:tc>
        <w:tc>
          <w:tcPr>
            <w:tcW w:w="4998" w:type="dxa"/>
            <w:shd w:val="solid" w:color="FFFFFF" w:fill="C0C0C0"/>
          </w:tcPr>
          <w:p w14:paraId="1DD2C19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Т-34-85</w:t>
            </w:r>
          </w:p>
        </w:tc>
      </w:tr>
      <w:tr w:rsidR="00561F31" w:rsidRPr="00F90EAE" w14:paraId="73FB63DE" w14:textId="77777777">
        <w:trPr>
          <w:jc w:val="center"/>
        </w:trPr>
        <w:tc>
          <w:tcPr>
            <w:tcW w:w="4981" w:type="dxa"/>
            <w:shd w:val="solid" w:color="FFFFFF" w:fill="C0C0C0"/>
          </w:tcPr>
          <w:p w14:paraId="58AE3B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Омск, № 174</w:t>
            </w:r>
          </w:p>
        </w:tc>
        <w:tc>
          <w:tcPr>
            <w:tcW w:w="4998" w:type="dxa"/>
            <w:shd w:val="solid" w:color="FFFFFF" w:fill="C0C0C0"/>
          </w:tcPr>
          <w:p w14:paraId="2F3A8B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Т-34-85</w:t>
            </w:r>
          </w:p>
        </w:tc>
      </w:tr>
      <w:tr w:rsidR="00561F31" w:rsidRPr="00F90EAE" w14:paraId="0C51F391" w14:textId="77777777">
        <w:trPr>
          <w:jc w:val="center"/>
        </w:trPr>
        <w:tc>
          <w:tcPr>
            <w:tcW w:w="4981" w:type="dxa"/>
            <w:shd w:val="solid" w:color="FFFFFF" w:fill="C0C0C0"/>
          </w:tcPr>
          <w:p w14:paraId="0E331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Свердловск, Уралмаш</w:t>
            </w:r>
          </w:p>
        </w:tc>
        <w:tc>
          <w:tcPr>
            <w:tcW w:w="4998" w:type="dxa"/>
            <w:shd w:val="solid" w:color="FFFFFF" w:fill="C0C0C0"/>
          </w:tcPr>
          <w:p w14:paraId="5A5BBC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СУ-100</w:t>
            </w:r>
          </w:p>
        </w:tc>
      </w:tr>
    </w:tbl>
    <w:p w14:paraId="3EF9AF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(4018).</w:t>
      </w:r>
    </w:p>
    <w:p w14:paraId="0BBBB573" w14:textId="77777777" w:rsidR="00665165" w:rsidRPr="00F90EAE" w:rsidRDefault="00665165" w:rsidP="00F90EAE">
      <w:pPr>
        <w:autoSpaceDE w:val="0"/>
        <w:autoSpaceDN w:val="0"/>
        <w:adjustRightInd w:val="0"/>
        <w:jc w:val="both"/>
        <w:rPr>
          <w:color w:val="000000" w:themeColor="text1"/>
          <w:sz w:val="16"/>
          <w:szCs w:val="16"/>
        </w:rPr>
      </w:pPr>
    </w:p>
    <w:p w14:paraId="3B2CA876" w14:textId="77777777" w:rsidR="00823A00" w:rsidRPr="00F90EAE" w:rsidRDefault="00823A00" w:rsidP="00F90EAE">
      <w:pPr>
        <w:jc w:val="both"/>
        <w:rPr>
          <w:color w:val="000000" w:themeColor="text1"/>
          <w:sz w:val="16"/>
          <w:szCs w:val="16"/>
        </w:rPr>
      </w:pPr>
      <w:r w:rsidRPr="00F90EAE">
        <w:rPr>
          <w:color w:val="000000" w:themeColor="text1"/>
          <w:sz w:val="16"/>
          <w:szCs w:val="16"/>
        </w:rPr>
        <w:t>С ноября 1942 года по май 1945 года ротные учения (в составе маршевых рот) прошли 4685 танков (Омского завода № 174), при этом были выявлены следующие основные дефекты.</w:t>
      </w:r>
    </w:p>
    <w:p w14:paraId="3B478CBC" w14:textId="77777777" w:rsidR="00823A00" w:rsidRPr="00F90EAE" w:rsidRDefault="00823A00" w:rsidP="00F90EAE">
      <w:pPr>
        <w:jc w:val="both"/>
        <w:rPr>
          <w:color w:val="000000" w:themeColor="text1"/>
          <w:sz w:val="16"/>
          <w:szCs w:val="16"/>
        </w:rPr>
      </w:pPr>
      <w:r w:rsidRPr="00F90EAE">
        <w:rPr>
          <w:color w:val="000000" w:themeColor="text1"/>
          <w:sz w:val="16"/>
          <w:szCs w:val="16"/>
        </w:rPr>
        <w:t>1. Выход из строя коробки перемены передач - всего за данный период заменена 371 коробка. В начале 1943 года поломки коробок передач приняли массовый характер, главным образом из-за разрушения шестерен 3 и 4-й передач. Основной причиной этого явления являлась некачественная термическая и механическая обработка. С введением 5-скоростной коробки перемены передач чисто поломок снизилось, но до конца воины изжить этот недостаток так и не удалось. Основными причинами этого являлись как некачественная механическая и термическая обработка, так и применение некачественных поковок для изготовления деталей, а также небрежный монтаж механизмов. Например, в мае 1945 года пришлось заменить 8 коробок передач из-за пропущенного брака.</w:t>
      </w:r>
    </w:p>
    <w:p w14:paraId="42EEE848" w14:textId="77777777" w:rsidR="00823A00" w:rsidRPr="00F90EAE" w:rsidRDefault="00823A00" w:rsidP="00F90EAE">
      <w:pPr>
        <w:jc w:val="both"/>
        <w:rPr>
          <w:color w:val="000000" w:themeColor="text1"/>
          <w:sz w:val="16"/>
          <w:szCs w:val="16"/>
        </w:rPr>
      </w:pPr>
      <w:r w:rsidRPr="00F90EAE">
        <w:rPr>
          <w:color w:val="000000" w:themeColor="text1"/>
          <w:sz w:val="16"/>
          <w:szCs w:val="16"/>
        </w:rPr>
        <w:t>2. В начале 1943 года выявлялось большое количество танков с деформированными дисками главного фрикциона. Этот дефект удалось устранить повысив контроль за качеством термической и механической обработки дисков.</w:t>
      </w:r>
    </w:p>
    <w:p w14:paraId="6251DFC8" w14:textId="77777777" w:rsidR="00823A00" w:rsidRPr="00F90EAE" w:rsidRDefault="00823A00" w:rsidP="00F90EAE">
      <w:pPr>
        <w:jc w:val="both"/>
        <w:rPr>
          <w:color w:val="000000" w:themeColor="text1"/>
          <w:sz w:val="16"/>
          <w:szCs w:val="16"/>
        </w:rPr>
      </w:pPr>
      <w:r w:rsidRPr="00F90EAE">
        <w:rPr>
          <w:color w:val="000000" w:themeColor="text1"/>
          <w:sz w:val="16"/>
          <w:szCs w:val="16"/>
        </w:rPr>
        <w:t>3. Довольно частым явлением были трешины и излом траков гусениц из-за некачественного литья или их некачественной термообработки.</w:t>
      </w:r>
    </w:p>
    <w:p w14:paraId="7A02DC63" w14:textId="77777777" w:rsidR="00823A00" w:rsidRPr="00F90EAE" w:rsidRDefault="00823A00" w:rsidP="00F90EAE">
      <w:pPr>
        <w:jc w:val="both"/>
        <w:rPr>
          <w:color w:val="000000" w:themeColor="text1"/>
          <w:sz w:val="16"/>
          <w:szCs w:val="16"/>
        </w:rPr>
      </w:pPr>
      <w:r w:rsidRPr="00F90EAE">
        <w:rPr>
          <w:color w:val="000000" w:themeColor="text1"/>
          <w:sz w:val="16"/>
          <w:szCs w:val="16"/>
        </w:rPr>
        <w:t>4. Разрушение резиновых амортизаторов балансиров опорных катков стало носить массовый характер зимой 1945 года (в феврале — 475 случаев). Причиной этого стало использование некачественной резины, которая при низких температурах теряла свои качества.</w:t>
      </w:r>
    </w:p>
    <w:p w14:paraId="5ACDAEE9" w14:textId="77777777" w:rsidR="00823A00" w:rsidRPr="00F90EAE" w:rsidRDefault="00823A00" w:rsidP="00F90EAE">
      <w:pPr>
        <w:jc w:val="both"/>
        <w:rPr>
          <w:color w:val="000000" w:themeColor="text1"/>
          <w:sz w:val="16"/>
          <w:szCs w:val="16"/>
        </w:rPr>
      </w:pPr>
      <w:r w:rsidRPr="00F90EAE">
        <w:rPr>
          <w:color w:val="000000" w:themeColor="text1"/>
          <w:sz w:val="16"/>
          <w:szCs w:val="16"/>
        </w:rPr>
        <w:t>5. Облом по сварному шву кронштейнов крепления амортизаторов балансиров в январе-феврале 1945 года из-за некачественной сварки и некачественной разделки шва под сварку.</w:t>
      </w:r>
    </w:p>
    <w:p w14:paraId="1FBBFEAF" w14:textId="77777777" w:rsidR="00823A00" w:rsidRPr="00F90EAE" w:rsidRDefault="00823A00" w:rsidP="00F90EAE">
      <w:pPr>
        <w:jc w:val="both"/>
        <w:rPr>
          <w:color w:val="000000" w:themeColor="text1"/>
          <w:sz w:val="16"/>
          <w:szCs w:val="16"/>
        </w:rPr>
      </w:pPr>
      <w:r w:rsidRPr="00F90EAE">
        <w:rPr>
          <w:color w:val="000000" w:themeColor="text1"/>
          <w:sz w:val="16"/>
          <w:szCs w:val="16"/>
        </w:rPr>
        <w:t>6. Трещины по сварному шву командирской башенки из-за некачественной сварки (непроварки или пережоги шва).</w:t>
      </w:r>
    </w:p>
    <w:p w14:paraId="0A26317B" w14:textId="77777777" w:rsidR="00823A00" w:rsidRPr="00F90EAE" w:rsidRDefault="00823A00" w:rsidP="00F90EAE">
      <w:pPr>
        <w:jc w:val="both"/>
        <w:rPr>
          <w:color w:val="000000" w:themeColor="text1"/>
          <w:sz w:val="16"/>
          <w:szCs w:val="16"/>
        </w:rPr>
      </w:pPr>
      <w:r w:rsidRPr="00F90EAE">
        <w:rPr>
          <w:color w:val="000000" w:themeColor="text1"/>
          <w:sz w:val="16"/>
          <w:szCs w:val="16"/>
        </w:rPr>
        <w:t>7. Трешины в наклонном бортовом бронелисте из-за некачественной огневой резки при заготовке листов.</w:t>
      </w:r>
    </w:p>
    <w:p w14:paraId="7644EE1B" w14:textId="77777777" w:rsidR="00823A00" w:rsidRPr="00F90EAE" w:rsidRDefault="00823A00" w:rsidP="00F90EAE">
      <w:pPr>
        <w:jc w:val="both"/>
        <w:rPr>
          <w:color w:val="000000" w:themeColor="text1"/>
          <w:sz w:val="16"/>
          <w:szCs w:val="16"/>
        </w:rPr>
      </w:pPr>
      <w:r w:rsidRPr="00F90EAE">
        <w:rPr>
          <w:color w:val="000000" w:themeColor="text1"/>
          <w:sz w:val="16"/>
          <w:szCs w:val="16"/>
        </w:rPr>
        <w:lastRenderedPageBreak/>
        <w:t>Довольно много поломок происходило во время ротных учений по вине механиков-водителей. Главным образом, это были выход из строя бортовой передачи, разрушение подшипников ленивца и опорных катков, изгиб оси кривошипа ленивца, а также различные дефекты опорных катков, ведущего, направляющего колес и траков гусениц. Причиной этого чаще всего являлось столкновение машин на маршах из-за недостаточного опыта вождения у механиков-водителей.</w:t>
      </w:r>
    </w:p>
    <w:p w14:paraId="4D6F8B60" w14:textId="77777777" w:rsidR="00823A00" w:rsidRPr="00F90EAE" w:rsidRDefault="00823A00" w:rsidP="00F90EAE">
      <w:pPr>
        <w:jc w:val="both"/>
        <w:rPr>
          <w:color w:val="000000" w:themeColor="text1"/>
          <w:sz w:val="16"/>
          <w:szCs w:val="16"/>
        </w:rPr>
      </w:pPr>
      <w:r w:rsidRPr="00F90EAE">
        <w:rPr>
          <w:color w:val="000000" w:themeColor="text1"/>
          <w:sz w:val="16"/>
          <w:szCs w:val="16"/>
        </w:rPr>
        <w:t>Что касается 300-километровых пробегов, то всего за 1942 - 1945 года в них участвовало 49 Т-34. Результаты их были следующими:</w:t>
      </w:r>
    </w:p>
    <w:p w14:paraId="4B42CE98" w14:textId="77777777" w:rsidR="00823A00" w:rsidRPr="00F90EAE" w:rsidRDefault="00823A00" w:rsidP="00F90EAE">
      <w:pPr>
        <w:jc w:val="both"/>
        <w:rPr>
          <w:color w:val="000000" w:themeColor="text1"/>
          <w:sz w:val="16"/>
          <w:szCs w:val="16"/>
        </w:rPr>
      </w:pPr>
      <w:r w:rsidRPr="00F90EAE">
        <w:rPr>
          <w:color w:val="000000" w:themeColor="text1"/>
          <w:sz w:val="16"/>
          <w:szCs w:val="16"/>
        </w:rPr>
        <w:t>в 1942 году испьнывалось 2 машины, обе прошли пробег (100%);</w:t>
      </w:r>
    </w:p>
    <w:p w14:paraId="5CFC8C90" w14:textId="77777777" w:rsidR="00823A00" w:rsidRPr="00F90EAE" w:rsidRDefault="00823A00" w:rsidP="00F90EAE">
      <w:pPr>
        <w:jc w:val="both"/>
        <w:rPr>
          <w:color w:val="000000" w:themeColor="text1"/>
          <w:sz w:val="16"/>
          <w:szCs w:val="16"/>
        </w:rPr>
      </w:pPr>
      <w:r w:rsidRPr="00F90EAE">
        <w:rPr>
          <w:color w:val="000000" w:themeColor="text1"/>
          <w:sz w:val="16"/>
          <w:szCs w:val="16"/>
        </w:rPr>
        <w:t>в 1943 году из 11 прошло 6 машин (54,5%);</w:t>
      </w:r>
    </w:p>
    <w:p w14:paraId="5FA94701" w14:textId="77777777" w:rsidR="00823A00" w:rsidRPr="00F90EAE" w:rsidRDefault="00823A00" w:rsidP="00F90EAE">
      <w:pPr>
        <w:jc w:val="both"/>
        <w:rPr>
          <w:color w:val="000000" w:themeColor="text1"/>
          <w:sz w:val="16"/>
          <w:szCs w:val="16"/>
        </w:rPr>
      </w:pPr>
      <w:r w:rsidRPr="00F90EAE">
        <w:rPr>
          <w:color w:val="000000" w:themeColor="text1"/>
          <w:sz w:val="16"/>
          <w:szCs w:val="16"/>
        </w:rPr>
        <w:t>в 1944 году из 26 прошло 10 машин (38,45%);</w:t>
      </w:r>
    </w:p>
    <w:p w14:paraId="7C15D145" w14:textId="77777777" w:rsidR="00823A00" w:rsidRPr="00F90EAE" w:rsidRDefault="00823A00" w:rsidP="00F90EAE">
      <w:pPr>
        <w:jc w:val="both"/>
        <w:rPr>
          <w:color w:val="000000" w:themeColor="text1"/>
          <w:sz w:val="16"/>
          <w:szCs w:val="16"/>
        </w:rPr>
      </w:pPr>
      <w:r w:rsidRPr="00F90EAE">
        <w:rPr>
          <w:color w:val="000000" w:themeColor="text1"/>
          <w:sz w:val="16"/>
          <w:szCs w:val="16"/>
        </w:rPr>
        <w:t>в 1945 году (за пять месяцев) из 10 прошло 3 (30%).</w:t>
      </w:r>
    </w:p>
    <w:p w14:paraId="6C0A3116" w14:textId="77777777" w:rsidR="00823A00" w:rsidRPr="00F90EAE" w:rsidRDefault="00823A00" w:rsidP="00F90EAE">
      <w:pPr>
        <w:jc w:val="both"/>
        <w:rPr>
          <w:color w:val="000000" w:themeColor="text1"/>
          <w:sz w:val="16"/>
          <w:szCs w:val="16"/>
        </w:rPr>
      </w:pPr>
      <w:r w:rsidRPr="00F90EAE">
        <w:rPr>
          <w:color w:val="000000" w:themeColor="text1"/>
          <w:sz w:val="16"/>
          <w:szCs w:val="16"/>
        </w:rPr>
        <w:t>Если судить по приведенным выше данным, то можно сделать вывод, что качество выпускаемых заводом № 174 танков с каждым годом ухудшалось. Однако на самом деле все обстояло не совсем так.</w:t>
      </w:r>
    </w:p>
    <w:p w14:paraId="5E09FDEB" w14:textId="77777777" w:rsidR="00823A00" w:rsidRPr="00F90EAE" w:rsidRDefault="00823A00" w:rsidP="00F90EAE">
      <w:pPr>
        <w:jc w:val="both"/>
        <w:rPr>
          <w:color w:val="000000" w:themeColor="text1"/>
          <w:sz w:val="16"/>
          <w:szCs w:val="16"/>
        </w:rPr>
      </w:pPr>
      <w:r w:rsidRPr="00F90EAE">
        <w:rPr>
          <w:color w:val="000000" w:themeColor="text1"/>
          <w:sz w:val="16"/>
          <w:szCs w:val="16"/>
        </w:rPr>
        <w:t>Дело в том, что рост числа машин, не выдержавших испытания, шел за счет того, что значительно ужесточились требования заказчика, предъявляемые к качеству выпускаемых танков. Так, программы испытаний, присланные ГБТУ КА в 1943-м, и особенно в 1944-м и 1945 годах значительно повышали требовательность к испытываемым танкам. Кроме этого и сам аппарат военной приемки завода № 174 в соответствии с указаниями главного бронетанкового управления стал проводить испытания более квалифицированными силами, предъявляя высокую требовательность.</w:t>
      </w:r>
    </w:p>
    <w:p w14:paraId="405F13FC" w14:textId="77777777" w:rsidR="00823A00" w:rsidRPr="00F90EAE" w:rsidRDefault="00823A00" w:rsidP="00F90EAE">
      <w:pPr>
        <w:jc w:val="both"/>
        <w:rPr>
          <w:color w:val="000000" w:themeColor="text1"/>
          <w:sz w:val="16"/>
          <w:szCs w:val="16"/>
        </w:rPr>
      </w:pPr>
      <w:r w:rsidRPr="00F90EAE">
        <w:rPr>
          <w:color w:val="000000" w:themeColor="text1"/>
          <w:sz w:val="16"/>
          <w:szCs w:val="16"/>
        </w:rPr>
        <w:t>Что касается гарантийных испытаний на НИБТ полигоне, то первый Т-34 был отправлен из Омска в Кубинку в апреле 1943 года. Всего до конца войны на гарантийный километраж испытывалось 14 танков: в 1943 году - 5, в 1944 году - семь и в 1945 году - два (за пять месяцев), из них выдержало испытание всего 4 машины (28,57%).</w:t>
      </w:r>
    </w:p>
    <w:p w14:paraId="1A8E8ECE" w14:textId="77777777" w:rsidR="00823A00" w:rsidRPr="00F90EAE" w:rsidRDefault="00823A00" w:rsidP="00F90EAE">
      <w:pPr>
        <w:jc w:val="both"/>
        <w:rPr>
          <w:color w:val="000000" w:themeColor="text1"/>
          <w:sz w:val="16"/>
          <w:szCs w:val="16"/>
        </w:rPr>
      </w:pPr>
      <w:r w:rsidRPr="00F90EAE">
        <w:rPr>
          <w:color w:val="000000" w:themeColor="text1"/>
          <w:sz w:val="16"/>
          <w:szCs w:val="16"/>
        </w:rPr>
        <w:t>Основными поломками и дефектами, по которым не были засчитаны результаты испытаний, были следующие:</w:t>
      </w:r>
    </w:p>
    <w:p w14:paraId="6A0929A8" w14:textId="77777777" w:rsidR="00823A00" w:rsidRPr="00F90EAE" w:rsidRDefault="00823A00" w:rsidP="00F90EAE">
      <w:pPr>
        <w:jc w:val="both"/>
        <w:rPr>
          <w:color w:val="000000" w:themeColor="text1"/>
          <w:sz w:val="16"/>
          <w:szCs w:val="16"/>
        </w:rPr>
      </w:pPr>
      <w:r w:rsidRPr="00F90EAE">
        <w:rPr>
          <w:color w:val="000000" w:themeColor="text1"/>
          <w:sz w:val="16"/>
          <w:szCs w:val="16"/>
        </w:rPr>
        <w:t>1. Выход из строя двигателей на пяти танках - обрыв шатунов, скручивание верхнего вертикального валика привода топливного насоса, разрушение хвостовика валика водяного насоса.</w:t>
      </w:r>
    </w:p>
    <w:p w14:paraId="7C901467" w14:textId="77777777" w:rsidR="00823A00" w:rsidRPr="00F90EAE" w:rsidRDefault="00823A00" w:rsidP="00F90EAE">
      <w:pPr>
        <w:jc w:val="both"/>
        <w:rPr>
          <w:color w:val="000000" w:themeColor="text1"/>
          <w:sz w:val="16"/>
          <w:szCs w:val="16"/>
        </w:rPr>
      </w:pPr>
      <w:r w:rsidRPr="00F90EAE">
        <w:rPr>
          <w:color w:val="000000" w:themeColor="text1"/>
          <w:sz w:val="16"/>
          <w:szCs w:val="16"/>
        </w:rPr>
        <w:t>2. Разрушение подшипника главного фрикциона.</w:t>
      </w:r>
    </w:p>
    <w:p w14:paraId="3E6BB5B8" w14:textId="77777777" w:rsidR="00823A00" w:rsidRPr="00F90EAE" w:rsidRDefault="00823A00" w:rsidP="00F90EAE">
      <w:pPr>
        <w:jc w:val="both"/>
        <w:rPr>
          <w:color w:val="000000" w:themeColor="text1"/>
          <w:sz w:val="16"/>
          <w:szCs w:val="16"/>
        </w:rPr>
      </w:pPr>
      <w:r w:rsidRPr="00F90EAE">
        <w:rPr>
          <w:color w:val="000000" w:themeColor="text1"/>
          <w:sz w:val="16"/>
          <w:szCs w:val="16"/>
        </w:rPr>
        <w:t>3. Поломка балансира переднего правого опорного катка.</w:t>
      </w:r>
    </w:p>
    <w:p w14:paraId="452728E3" w14:textId="77777777" w:rsidR="00823A00" w:rsidRPr="00F90EAE" w:rsidRDefault="00823A00" w:rsidP="00F90EAE">
      <w:pPr>
        <w:jc w:val="both"/>
        <w:rPr>
          <w:color w:val="000000" w:themeColor="text1"/>
          <w:sz w:val="16"/>
          <w:szCs w:val="16"/>
        </w:rPr>
      </w:pPr>
      <w:r w:rsidRPr="00F90EAE">
        <w:rPr>
          <w:color w:val="000000" w:themeColor="text1"/>
          <w:sz w:val="16"/>
          <w:szCs w:val="16"/>
        </w:rPr>
        <w:t>4. Выход из строя коробки перемены передач.</w:t>
      </w:r>
    </w:p>
    <w:p w14:paraId="0A586C87" w14:textId="77777777" w:rsidR="00823A00" w:rsidRPr="00F90EAE" w:rsidRDefault="00823A00" w:rsidP="00F90EAE">
      <w:pPr>
        <w:jc w:val="both"/>
        <w:rPr>
          <w:color w:val="000000" w:themeColor="text1"/>
          <w:sz w:val="16"/>
          <w:szCs w:val="16"/>
        </w:rPr>
      </w:pPr>
      <w:r w:rsidRPr="00F90EAE">
        <w:rPr>
          <w:color w:val="000000" w:themeColor="text1"/>
          <w:sz w:val="16"/>
          <w:szCs w:val="16"/>
        </w:rPr>
        <w:t>Рекламации из войск. Всего за 1942— 1945 года завод № 174 получил 171 рекламацию из воинских частей, причем наибольшее их количество - 83 - пришлось на 1942 год, то есть на начало выпуска Т-34. В 1943-1944 годах число рекламаций оставалось примерно на одном уровне (37 и 39 соответственно), но зато изменился их характер. Например, в 1943 году была 21 рекламация по разрушению зубьев коробки перемены передач, а в 1944-м — всего 7, то есть в три раза меньше. Количество рекламаций по разрушению подшипников бортовой передачи в 1943 году была одна, а в 1944-м - 12. Также в 1944 голу получено 9 рекламаций по трещинам в корпусах и башнях, тогда как в 1942 - 1943 годах по этим дефектам не было ни одной.</w:t>
      </w:r>
    </w:p>
    <w:p w14:paraId="7D482545" w14:textId="77777777" w:rsidR="00823A00" w:rsidRPr="00F90EAE" w:rsidRDefault="00823A00" w:rsidP="00F90EAE">
      <w:pPr>
        <w:jc w:val="both"/>
        <w:rPr>
          <w:color w:val="000000" w:themeColor="text1"/>
          <w:sz w:val="16"/>
          <w:szCs w:val="16"/>
        </w:rPr>
      </w:pPr>
      <w:r w:rsidRPr="00F90EAE">
        <w:rPr>
          <w:color w:val="000000" w:themeColor="text1"/>
          <w:sz w:val="16"/>
          <w:szCs w:val="16"/>
        </w:rPr>
        <w:t>Если посмотреть процент рекламаций к общему количеству выпущенных танков Т-34, то получится следующее:</w:t>
      </w:r>
    </w:p>
    <w:p w14:paraId="53CACB0A" w14:textId="77777777" w:rsidR="00823A00" w:rsidRPr="00F90EAE" w:rsidRDefault="00823A00" w:rsidP="00F90EAE">
      <w:pPr>
        <w:jc w:val="both"/>
        <w:rPr>
          <w:color w:val="000000" w:themeColor="text1"/>
          <w:sz w:val="16"/>
          <w:szCs w:val="16"/>
        </w:rPr>
      </w:pPr>
      <w:r w:rsidRPr="00F90EAE">
        <w:rPr>
          <w:color w:val="000000" w:themeColor="text1"/>
          <w:sz w:val="16"/>
          <w:szCs w:val="16"/>
        </w:rPr>
        <w:t>в 1942 году изготовлено 417, получено рекламаций 83, или 19,9%;</w:t>
      </w:r>
    </w:p>
    <w:p w14:paraId="25DC2BF5" w14:textId="77777777" w:rsidR="00823A00" w:rsidRPr="00F90EAE" w:rsidRDefault="00823A00" w:rsidP="00F90EAE">
      <w:pPr>
        <w:jc w:val="both"/>
        <w:rPr>
          <w:color w:val="000000" w:themeColor="text1"/>
          <w:sz w:val="16"/>
          <w:szCs w:val="16"/>
        </w:rPr>
      </w:pPr>
      <w:r w:rsidRPr="00F90EAE">
        <w:rPr>
          <w:color w:val="000000" w:themeColor="text1"/>
          <w:sz w:val="16"/>
          <w:szCs w:val="16"/>
        </w:rPr>
        <w:t>в 1943 году изготовлено 1347, получено рекламаций 37, или 2,8%;</w:t>
      </w:r>
    </w:p>
    <w:p w14:paraId="0A8F0A02" w14:textId="77777777" w:rsidR="00823A00" w:rsidRPr="00F90EAE" w:rsidRDefault="00823A00" w:rsidP="00F90EAE">
      <w:pPr>
        <w:jc w:val="both"/>
        <w:rPr>
          <w:color w:val="000000" w:themeColor="text1"/>
          <w:sz w:val="16"/>
          <w:szCs w:val="16"/>
        </w:rPr>
      </w:pPr>
      <w:r w:rsidRPr="00F90EAE">
        <w:rPr>
          <w:color w:val="000000" w:themeColor="text1"/>
          <w:sz w:val="16"/>
          <w:szCs w:val="16"/>
        </w:rPr>
        <w:t>в 1944 году изготовлено 2163, получено рекламаций 39, или 1,8%;</w:t>
      </w:r>
    </w:p>
    <w:p w14:paraId="2C7FA474" w14:textId="77777777" w:rsidR="00823A00" w:rsidRPr="00F90EAE" w:rsidRDefault="00823A00" w:rsidP="00F90EAE">
      <w:pPr>
        <w:jc w:val="both"/>
        <w:rPr>
          <w:color w:val="000000" w:themeColor="text1"/>
          <w:sz w:val="16"/>
          <w:szCs w:val="16"/>
        </w:rPr>
      </w:pPr>
      <w:r w:rsidRPr="00F90EAE">
        <w:rPr>
          <w:color w:val="000000" w:themeColor="text1"/>
          <w:sz w:val="16"/>
          <w:szCs w:val="16"/>
        </w:rPr>
        <w:t>в 1945 году (за пять месяцев) изготовлено 865, получено рекламаций 13, или 1,5%.</w:t>
      </w:r>
    </w:p>
    <w:p w14:paraId="37D4B2AF" w14:textId="77777777" w:rsidR="00823A00" w:rsidRPr="00F90EAE" w:rsidRDefault="00823A00" w:rsidP="00F90EAE">
      <w:pPr>
        <w:jc w:val="both"/>
        <w:rPr>
          <w:color w:val="000000" w:themeColor="text1"/>
          <w:sz w:val="16"/>
          <w:szCs w:val="16"/>
        </w:rPr>
      </w:pPr>
      <w:r w:rsidRPr="00F90EAE">
        <w:rPr>
          <w:color w:val="000000" w:themeColor="text1"/>
          <w:sz w:val="16"/>
          <w:szCs w:val="16"/>
        </w:rPr>
        <w:t>Таким образом процент получен- ныхзаводомрекламаций снизился с 19.9до 1.5% (12217).</w:t>
      </w:r>
    </w:p>
    <w:p w14:paraId="75D7B46B" w14:textId="77777777" w:rsidR="00823A00" w:rsidRPr="00F90EAE" w:rsidRDefault="00823A00" w:rsidP="00F90EAE">
      <w:pPr>
        <w:jc w:val="both"/>
        <w:rPr>
          <w:color w:val="000000" w:themeColor="text1"/>
          <w:sz w:val="16"/>
          <w:szCs w:val="16"/>
        </w:rPr>
      </w:pPr>
    </w:p>
    <w:p w14:paraId="6F316CB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было построено две машины по одному из предложенных проектов САУ КБ завода Уралмаш. САУ были созданы на базе танка Т-44 и имели кормовое боевое отделение. Первая САУ под индексом СУ-101 была вооружена 100-мм орудием Д-10С, а вторая - СУ-102 - вооружена 122-мм орудием Д-25-44С. Интересно то, что орудие Д-25-44С имело унитарный патрон. Обе САУ успешно прошли все испытания и по их результатам были рекомендованы для принятия на вооружение. Но тем не менее, на вооружение приняты не были, так как война должна была вот-вот закончится, я для мирного времени их надежность была неудовлетворительной (3862).</w:t>
      </w:r>
    </w:p>
    <w:p w14:paraId="5623E45F" w14:textId="77777777" w:rsidR="00665165" w:rsidRPr="00F90EAE" w:rsidRDefault="00665165" w:rsidP="00F90EAE">
      <w:pPr>
        <w:autoSpaceDE w:val="0"/>
        <w:autoSpaceDN w:val="0"/>
        <w:adjustRightInd w:val="0"/>
        <w:jc w:val="both"/>
        <w:rPr>
          <w:color w:val="000000" w:themeColor="text1"/>
          <w:sz w:val="16"/>
          <w:szCs w:val="16"/>
        </w:rPr>
      </w:pPr>
    </w:p>
    <w:p w14:paraId="39FCE6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 эталонный самоход «Уралмаш-1» был изготовлен По заданию их должно было быть 3 штуки, два с во</w:t>
      </w:r>
      <w:r w:rsidRPr="00F90EAE">
        <w:rPr>
          <w:color w:val="000000" w:themeColor="text1"/>
          <w:sz w:val="16"/>
          <w:szCs w:val="16"/>
        </w:rPr>
        <w:softHyphen/>
        <w:t>оружением из 100-мм пушки Д-10С и один со 122-мм пуш</w:t>
      </w:r>
      <w:r w:rsidRPr="00F90EAE">
        <w:rPr>
          <w:color w:val="000000" w:themeColor="text1"/>
          <w:sz w:val="16"/>
          <w:szCs w:val="16"/>
        </w:rPr>
        <w:softHyphen/>
        <w:t>кой, но автор не уверен, что данный план был выполнен. Скорее всего, было лишь две машины с разным вооружени</w:t>
      </w:r>
      <w:r w:rsidRPr="00F90EAE">
        <w:rPr>
          <w:color w:val="000000" w:themeColor="text1"/>
          <w:sz w:val="16"/>
          <w:szCs w:val="16"/>
        </w:rPr>
        <w:softHyphen/>
        <w:t>ем, но могло быть изготовлено и две однотипных 100-мм САУ, одна из которых была затем перевооружена 122-мм пушкой Д-25С. На испытаниях машины продемонстрирова</w:t>
      </w:r>
      <w:r w:rsidRPr="00F90EAE">
        <w:rPr>
          <w:color w:val="000000" w:themeColor="text1"/>
          <w:sz w:val="16"/>
          <w:szCs w:val="16"/>
        </w:rPr>
        <w:softHyphen/>
        <w:t>ли очень хорошие результаты. Так, по бронированию «Уралмаш» мог поспорить с любой современной ему боевой ма</w:t>
      </w:r>
      <w:r w:rsidRPr="00F90EAE">
        <w:rPr>
          <w:color w:val="000000" w:themeColor="text1"/>
          <w:sz w:val="16"/>
          <w:szCs w:val="16"/>
        </w:rPr>
        <w:softHyphen/>
        <w:t>шиной, а вооружение также было «на соответствующем уровне» и давало возможность дальнейшего увеличения его мощности. Но война закончилась, а для требований службы в мирное время агрегаты первых Т-44 уже не годились. Поэтому разворачивать производство принципиально новой боевой машины в мирных условиях сочли нецелесо</w:t>
      </w:r>
      <w:r w:rsidRPr="00F90EAE">
        <w:rPr>
          <w:color w:val="000000" w:themeColor="text1"/>
          <w:sz w:val="16"/>
          <w:szCs w:val="16"/>
        </w:rPr>
        <w:softHyphen/>
        <w:t>образным. Советский «фердинанд» остался в прототипе (11417).</w:t>
      </w:r>
    </w:p>
    <w:p w14:paraId="3616579C" w14:textId="77777777" w:rsidR="00665165" w:rsidRPr="00F90EAE" w:rsidRDefault="00665165" w:rsidP="00F90EAE">
      <w:pPr>
        <w:autoSpaceDE w:val="0"/>
        <w:autoSpaceDN w:val="0"/>
        <w:adjustRightInd w:val="0"/>
        <w:jc w:val="both"/>
        <w:rPr>
          <w:color w:val="000000" w:themeColor="text1"/>
          <w:sz w:val="16"/>
          <w:szCs w:val="16"/>
        </w:rPr>
      </w:pPr>
    </w:p>
    <w:p w14:paraId="122BD5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прошли гос. испытания ИСУ-122-1 (объект 243) со 122 мм БЛ-9. Разорвало ствол. На вооружение не приняли (7437, 27).</w:t>
      </w:r>
    </w:p>
    <w:p w14:paraId="36B09401" w14:textId="77777777" w:rsidR="00665165" w:rsidRPr="00F90EAE" w:rsidRDefault="00665165" w:rsidP="00F90EAE">
      <w:pPr>
        <w:autoSpaceDE w:val="0"/>
        <w:autoSpaceDN w:val="0"/>
        <w:adjustRightInd w:val="0"/>
        <w:jc w:val="both"/>
        <w:rPr>
          <w:color w:val="000000" w:themeColor="text1"/>
          <w:sz w:val="16"/>
          <w:szCs w:val="16"/>
        </w:rPr>
      </w:pPr>
    </w:p>
    <w:p w14:paraId="2F2ABB8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к концу войны в Красной Армии насчитывалось 27 бронетанковых ремонтных заводов, 4 подвиж</w:t>
      </w:r>
      <w:r w:rsidRPr="00F90EAE">
        <w:rPr>
          <w:color w:val="000000" w:themeColor="text1"/>
          <w:sz w:val="16"/>
          <w:szCs w:val="16"/>
        </w:rPr>
        <w:softHyphen/>
        <w:t>ных танкоремонтных завода и 9 подвижных танкоагрегатных ремонтных заводов (10703).</w:t>
      </w:r>
    </w:p>
    <w:p w14:paraId="15685F9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Ремонт бронетанкового вооружения и танковых агрегатов за годы войны</w:t>
      </w:r>
    </w:p>
    <w:tbl>
      <w:tblPr>
        <w:tblW w:w="0" w:type="auto"/>
        <w:tblInd w:w="40" w:type="dxa"/>
        <w:tblLayout w:type="fixed"/>
        <w:tblCellMar>
          <w:left w:w="40" w:type="dxa"/>
          <w:right w:w="40" w:type="dxa"/>
        </w:tblCellMar>
        <w:tblLook w:val="0000" w:firstRow="0" w:lastRow="0" w:firstColumn="0" w:lastColumn="0" w:noHBand="0" w:noVBand="0"/>
      </w:tblPr>
      <w:tblGrid>
        <w:gridCol w:w="3254"/>
        <w:gridCol w:w="2246"/>
        <w:gridCol w:w="1296"/>
        <w:gridCol w:w="1459"/>
        <w:gridCol w:w="2438"/>
      </w:tblGrid>
      <w:tr w:rsidR="00561F31" w:rsidRPr="00F90EAE" w14:paraId="56CDD259" w14:textId="77777777">
        <w:trPr>
          <w:trHeight w:val="259"/>
        </w:trPr>
        <w:tc>
          <w:tcPr>
            <w:tcW w:w="3254" w:type="dxa"/>
            <w:tcBorders>
              <w:top w:val="single" w:sz="6" w:space="0" w:color="auto"/>
              <w:left w:val="single" w:sz="6" w:space="0" w:color="auto"/>
              <w:bottom w:val="nil"/>
              <w:right w:val="single" w:sz="6" w:space="0" w:color="auto"/>
            </w:tcBorders>
          </w:tcPr>
          <w:p w14:paraId="6027026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изделий</w:t>
            </w:r>
          </w:p>
        </w:tc>
        <w:tc>
          <w:tcPr>
            <w:tcW w:w="7439" w:type="dxa"/>
            <w:gridSpan w:val="4"/>
            <w:tcBorders>
              <w:top w:val="single" w:sz="6" w:space="0" w:color="auto"/>
              <w:left w:val="single" w:sz="6" w:space="0" w:color="auto"/>
              <w:bottom w:val="single" w:sz="6" w:space="0" w:color="auto"/>
              <w:right w:val="single" w:sz="6" w:space="0" w:color="auto"/>
            </w:tcBorders>
          </w:tcPr>
          <w:p w14:paraId="5393591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Отремонтировано изделий (в процентах)</w:t>
            </w:r>
          </w:p>
        </w:tc>
      </w:tr>
      <w:tr w:rsidR="00561F31" w:rsidRPr="00F90EAE" w14:paraId="3506CB74" w14:textId="77777777">
        <w:trPr>
          <w:trHeight w:val="557"/>
        </w:trPr>
        <w:tc>
          <w:tcPr>
            <w:tcW w:w="3254" w:type="dxa"/>
            <w:tcBorders>
              <w:top w:val="nil"/>
              <w:left w:val="single" w:sz="6" w:space="0" w:color="auto"/>
              <w:bottom w:val="single" w:sz="6" w:space="0" w:color="auto"/>
              <w:right w:val="single" w:sz="6" w:space="0" w:color="auto"/>
            </w:tcBorders>
          </w:tcPr>
          <w:p w14:paraId="310B7800" w14:textId="77777777" w:rsidR="00665165" w:rsidRPr="00F90EAE" w:rsidRDefault="00665165" w:rsidP="00F90EAE">
            <w:pPr>
              <w:autoSpaceDE w:val="0"/>
              <w:autoSpaceDN w:val="0"/>
              <w:adjustRightInd w:val="0"/>
              <w:jc w:val="both"/>
              <w:rPr>
                <w:color w:val="000000" w:themeColor="text1"/>
                <w:sz w:val="16"/>
                <w:szCs w:val="16"/>
              </w:rPr>
            </w:pPr>
          </w:p>
        </w:tc>
        <w:tc>
          <w:tcPr>
            <w:tcW w:w="2246" w:type="dxa"/>
            <w:tcBorders>
              <w:top w:val="single" w:sz="6" w:space="0" w:color="auto"/>
              <w:left w:val="single" w:sz="6" w:space="0" w:color="auto"/>
              <w:bottom w:val="single" w:sz="6" w:space="0" w:color="auto"/>
              <w:right w:val="single" w:sz="6" w:space="0" w:color="auto"/>
            </w:tcBorders>
          </w:tcPr>
          <w:p w14:paraId="20075F6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Средствами войск (до армии включительно)</w:t>
            </w:r>
          </w:p>
        </w:tc>
        <w:tc>
          <w:tcPr>
            <w:tcW w:w="1296" w:type="dxa"/>
            <w:tcBorders>
              <w:top w:val="single" w:sz="6" w:space="0" w:color="auto"/>
              <w:left w:val="single" w:sz="6" w:space="0" w:color="auto"/>
              <w:bottom w:val="single" w:sz="6" w:space="0" w:color="auto"/>
              <w:right w:val="single" w:sz="6" w:space="0" w:color="auto"/>
            </w:tcBorders>
          </w:tcPr>
          <w:p w14:paraId="55E3F69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Средствами фронта</w:t>
            </w:r>
          </w:p>
        </w:tc>
        <w:tc>
          <w:tcPr>
            <w:tcW w:w="1459" w:type="dxa"/>
            <w:tcBorders>
              <w:top w:val="single" w:sz="6" w:space="0" w:color="auto"/>
              <w:left w:val="single" w:sz="6" w:space="0" w:color="auto"/>
              <w:bottom w:val="single" w:sz="6" w:space="0" w:color="auto"/>
              <w:right w:val="single" w:sz="6" w:space="0" w:color="auto"/>
            </w:tcBorders>
          </w:tcPr>
          <w:p w14:paraId="2577E89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Средствами центрального подчинения</w:t>
            </w:r>
          </w:p>
        </w:tc>
        <w:tc>
          <w:tcPr>
            <w:tcW w:w="2438" w:type="dxa"/>
            <w:tcBorders>
              <w:top w:val="single" w:sz="6" w:space="0" w:color="auto"/>
              <w:left w:val="single" w:sz="6" w:space="0" w:color="auto"/>
              <w:bottom w:val="single" w:sz="6" w:space="0" w:color="auto"/>
              <w:right w:val="single" w:sz="6" w:space="0" w:color="auto"/>
            </w:tcBorders>
          </w:tcPr>
          <w:p w14:paraId="04225AE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Заводами промышленности</w:t>
            </w:r>
          </w:p>
        </w:tc>
      </w:tr>
      <w:tr w:rsidR="00561F31" w:rsidRPr="00F90EAE" w14:paraId="2E1097E1"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60B7F21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Танки и САУ</w:t>
            </w:r>
          </w:p>
        </w:tc>
        <w:tc>
          <w:tcPr>
            <w:tcW w:w="2246" w:type="dxa"/>
            <w:tcBorders>
              <w:top w:val="single" w:sz="6" w:space="0" w:color="auto"/>
              <w:left w:val="single" w:sz="6" w:space="0" w:color="auto"/>
              <w:bottom w:val="single" w:sz="6" w:space="0" w:color="auto"/>
              <w:right w:val="single" w:sz="6" w:space="0" w:color="auto"/>
            </w:tcBorders>
          </w:tcPr>
          <w:p w14:paraId="0BCE304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66,5</w:t>
            </w:r>
          </w:p>
        </w:tc>
        <w:tc>
          <w:tcPr>
            <w:tcW w:w="1296" w:type="dxa"/>
            <w:tcBorders>
              <w:top w:val="single" w:sz="6" w:space="0" w:color="auto"/>
              <w:left w:val="single" w:sz="6" w:space="0" w:color="auto"/>
              <w:bottom w:val="single" w:sz="6" w:space="0" w:color="auto"/>
              <w:right w:val="single" w:sz="6" w:space="0" w:color="auto"/>
            </w:tcBorders>
          </w:tcPr>
          <w:p w14:paraId="001DB1F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27,6</w:t>
            </w:r>
          </w:p>
        </w:tc>
        <w:tc>
          <w:tcPr>
            <w:tcW w:w="1459" w:type="dxa"/>
            <w:tcBorders>
              <w:top w:val="single" w:sz="6" w:space="0" w:color="auto"/>
              <w:left w:val="single" w:sz="6" w:space="0" w:color="auto"/>
              <w:bottom w:val="single" w:sz="6" w:space="0" w:color="auto"/>
              <w:right w:val="single" w:sz="6" w:space="0" w:color="auto"/>
            </w:tcBorders>
          </w:tcPr>
          <w:p w14:paraId="0E40F26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w:t>
            </w:r>
          </w:p>
        </w:tc>
        <w:tc>
          <w:tcPr>
            <w:tcW w:w="2438" w:type="dxa"/>
            <w:tcBorders>
              <w:top w:val="single" w:sz="6" w:space="0" w:color="auto"/>
              <w:left w:val="single" w:sz="6" w:space="0" w:color="auto"/>
              <w:bottom w:val="single" w:sz="6" w:space="0" w:color="auto"/>
              <w:right w:val="single" w:sz="6" w:space="0" w:color="auto"/>
            </w:tcBorders>
          </w:tcPr>
          <w:p w14:paraId="6C9F15B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w:t>
            </w:r>
          </w:p>
        </w:tc>
      </w:tr>
      <w:tr w:rsidR="00561F31" w:rsidRPr="00F90EAE" w14:paraId="6CB5661B" w14:textId="77777777">
        <w:trPr>
          <w:trHeight w:val="202"/>
        </w:trPr>
        <w:tc>
          <w:tcPr>
            <w:tcW w:w="3254" w:type="dxa"/>
            <w:tcBorders>
              <w:top w:val="single" w:sz="6" w:space="0" w:color="auto"/>
              <w:left w:val="single" w:sz="6" w:space="0" w:color="auto"/>
              <w:bottom w:val="single" w:sz="6" w:space="0" w:color="auto"/>
              <w:right w:val="single" w:sz="6" w:space="0" w:color="auto"/>
            </w:tcBorders>
          </w:tcPr>
          <w:p w14:paraId="4D9F579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Танковые двигатели</w:t>
            </w:r>
          </w:p>
        </w:tc>
        <w:tc>
          <w:tcPr>
            <w:tcW w:w="2246" w:type="dxa"/>
            <w:tcBorders>
              <w:top w:val="single" w:sz="6" w:space="0" w:color="auto"/>
              <w:left w:val="single" w:sz="6" w:space="0" w:color="auto"/>
              <w:bottom w:val="single" w:sz="6" w:space="0" w:color="auto"/>
              <w:right w:val="single" w:sz="6" w:space="0" w:color="auto"/>
            </w:tcBorders>
          </w:tcPr>
          <w:p w14:paraId="74F05F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30,8</w:t>
            </w:r>
          </w:p>
        </w:tc>
        <w:tc>
          <w:tcPr>
            <w:tcW w:w="1296" w:type="dxa"/>
            <w:tcBorders>
              <w:top w:val="single" w:sz="6" w:space="0" w:color="auto"/>
              <w:left w:val="single" w:sz="6" w:space="0" w:color="auto"/>
              <w:bottom w:val="single" w:sz="6" w:space="0" w:color="auto"/>
              <w:right w:val="single" w:sz="6" w:space="0" w:color="auto"/>
            </w:tcBorders>
          </w:tcPr>
          <w:p w14:paraId="44923FB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52,4</w:t>
            </w:r>
          </w:p>
        </w:tc>
        <w:tc>
          <w:tcPr>
            <w:tcW w:w="1459" w:type="dxa"/>
            <w:tcBorders>
              <w:top w:val="single" w:sz="6" w:space="0" w:color="auto"/>
              <w:left w:val="single" w:sz="6" w:space="0" w:color="auto"/>
              <w:bottom w:val="single" w:sz="6" w:space="0" w:color="auto"/>
              <w:right w:val="single" w:sz="6" w:space="0" w:color="auto"/>
            </w:tcBorders>
          </w:tcPr>
          <w:p w14:paraId="39A241C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tc>
        <w:tc>
          <w:tcPr>
            <w:tcW w:w="2438" w:type="dxa"/>
            <w:tcBorders>
              <w:top w:val="single" w:sz="6" w:space="0" w:color="auto"/>
              <w:left w:val="single" w:sz="6" w:space="0" w:color="auto"/>
              <w:bottom w:val="single" w:sz="6" w:space="0" w:color="auto"/>
              <w:right w:val="single" w:sz="6" w:space="0" w:color="auto"/>
            </w:tcBorders>
          </w:tcPr>
          <w:p w14:paraId="20C2D01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w:t>
            </w:r>
          </w:p>
        </w:tc>
      </w:tr>
      <w:tr w:rsidR="00561F31" w:rsidRPr="00F90EAE" w14:paraId="1FFAE472" w14:textId="77777777">
        <w:trPr>
          <w:trHeight w:val="221"/>
        </w:trPr>
        <w:tc>
          <w:tcPr>
            <w:tcW w:w="3254" w:type="dxa"/>
            <w:tcBorders>
              <w:top w:val="single" w:sz="6" w:space="0" w:color="auto"/>
              <w:left w:val="single" w:sz="6" w:space="0" w:color="auto"/>
              <w:bottom w:val="single" w:sz="6" w:space="0" w:color="auto"/>
              <w:right w:val="single" w:sz="6" w:space="0" w:color="auto"/>
            </w:tcBorders>
          </w:tcPr>
          <w:p w14:paraId="061B07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Танковые агрегаты (кроме двигателей)</w:t>
            </w:r>
          </w:p>
        </w:tc>
        <w:tc>
          <w:tcPr>
            <w:tcW w:w="2246" w:type="dxa"/>
            <w:tcBorders>
              <w:top w:val="single" w:sz="6" w:space="0" w:color="auto"/>
              <w:left w:val="single" w:sz="6" w:space="0" w:color="auto"/>
              <w:bottom w:val="single" w:sz="6" w:space="0" w:color="auto"/>
              <w:right w:val="single" w:sz="6" w:space="0" w:color="auto"/>
            </w:tcBorders>
          </w:tcPr>
          <w:p w14:paraId="5601769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25,2</w:t>
            </w:r>
          </w:p>
        </w:tc>
        <w:tc>
          <w:tcPr>
            <w:tcW w:w="1296" w:type="dxa"/>
            <w:tcBorders>
              <w:top w:val="single" w:sz="6" w:space="0" w:color="auto"/>
              <w:left w:val="single" w:sz="6" w:space="0" w:color="auto"/>
              <w:bottom w:val="single" w:sz="6" w:space="0" w:color="auto"/>
              <w:right w:val="single" w:sz="6" w:space="0" w:color="auto"/>
            </w:tcBorders>
          </w:tcPr>
          <w:p w14:paraId="112F98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72,2</w:t>
            </w:r>
          </w:p>
        </w:tc>
        <w:tc>
          <w:tcPr>
            <w:tcW w:w="1459" w:type="dxa"/>
            <w:tcBorders>
              <w:top w:val="single" w:sz="6" w:space="0" w:color="auto"/>
              <w:left w:val="single" w:sz="6" w:space="0" w:color="auto"/>
              <w:bottom w:val="single" w:sz="6" w:space="0" w:color="auto"/>
              <w:right w:val="single" w:sz="6" w:space="0" w:color="auto"/>
            </w:tcBorders>
          </w:tcPr>
          <w:p w14:paraId="6A0427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tc>
        <w:tc>
          <w:tcPr>
            <w:tcW w:w="2438" w:type="dxa"/>
            <w:tcBorders>
              <w:top w:val="single" w:sz="6" w:space="0" w:color="auto"/>
              <w:left w:val="single" w:sz="6" w:space="0" w:color="auto"/>
              <w:bottom w:val="single" w:sz="6" w:space="0" w:color="auto"/>
              <w:right w:val="single" w:sz="6" w:space="0" w:color="auto"/>
            </w:tcBorders>
          </w:tcPr>
          <w:p w14:paraId="3C76432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w:t>
            </w:r>
          </w:p>
        </w:tc>
      </w:tr>
    </w:tbl>
    <w:p w14:paraId="771AA28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(10703)</w:t>
      </w:r>
    </w:p>
    <w:p w14:paraId="53D93EC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04B15C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 закончился выпуск Танка ИС-2 (ИС-122) на ЧКЗ, который был начат в июне 1944 г. Всего заводом было выпущено 2525 машин данной модификации. Еще по 5 танков было собрано в марте и июне 1945 г. на восстанавливавшемся ЛКЗ. Танки широко применялись в третьем периоде Великой Отечественной войны. После Великой Отече</w:t>
      </w:r>
      <w:r w:rsidRPr="00F90EAE">
        <w:rPr>
          <w:color w:val="000000" w:themeColor="text1"/>
          <w:sz w:val="16"/>
          <w:szCs w:val="16"/>
        </w:rPr>
        <w:softHyphen/>
        <w:t>ственной войны танк был модернизирован и ему была присвоена марка ИС-2М. Машина отличалась от танка ИС-2 обр. 1943 г. более мощной броне</w:t>
      </w:r>
      <w:r w:rsidRPr="00F90EAE">
        <w:rPr>
          <w:color w:val="000000" w:themeColor="text1"/>
          <w:sz w:val="16"/>
          <w:szCs w:val="16"/>
        </w:rPr>
        <w:softHyphen/>
        <w:t>вой защитой корпуса, установкой дополнительного оружия - зенитно</w:t>
      </w:r>
      <w:r w:rsidRPr="00F90EAE">
        <w:rPr>
          <w:color w:val="000000" w:themeColor="text1"/>
          <w:sz w:val="16"/>
          <w:szCs w:val="16"/>
        </w:rPr>
        <w:softHyphen/>
        <w:t>го пулемета ДШК. Начиная с ноября 1944 г. часть танков, а с января 1945 г. каждый танк ИС-2 оснащался зенитной пулеметной установкой. Экипаж танка состоял из четырех человек. Основное оружие, устанавливавшееся в танке, осталось без измене</w:t>
      </w:r>
      <w:r w:rsidRPr="00F90EAE">
        <w:rPr>
          <w:color w:val="000000" w:themeColor="text1"/>
          <w:sz w:val="16"/>
          <w:szCs w:val="16"/>
        </w:rPr>
        <w:softHyphen/>
        <w:t>ний. Во вращавшейся башне в единой броневой маске устанавливалась 122-мм танковая пушка Д-25 с клиновым горизонтальным полуавтома</w:t>
      </w:r>
      <w:r w:rsidRPr="00F90EAE">
        <w:rPr>
          <w:color w:val="000000" w:themeColor="text1"/>
          <w:sz w:val="16"/>
          <w:szCs w:val="16"/>
        </w:rPr>
        <w:softHyphen/>
        <w:t>тическим затвором и спаренный 7,62-мм пулемет ДТ (с октября 1944 г. - 7,62-мм пулемет ДТМ). Установка двух других пулеметов ДТ (курсо</w:t>
      </w:r>
      <w:r w:rsidRPr="00F90EAE">
        <w:rPr>
          <w:color w:val="000000" w:themeColor="text1"/>
          <w:sz w:val="16"/>
          <w:szCs w:val="16"/>
        </w:rPr>
        <w:softHyphen/>
        <w:t>вого и тыльного) была такой же, как и установка аналогичных пулеме</w:t>
      </w:r>
      <w:r w:rsidRPr="00F90EAE">
        <w:rPr>
          <w:color w:val="000000" w:themeColor="text1"/>
          <w:sz w:val="16"/>
          <w:szCs w:val="16"/>
        </w:rPr>
        <w:softHyphen/>
        <w:t>тов в танке НС-2 обр. 1943 г. Для стрельбы из тыльного пулемета при</w:t>
      </w:r>
      <w:r w:rsidRPr="00F90EAE">
        <w:rPr>
          <w:color w:val="000000" w:themeColor="text1"/>
          <w:sz w:val="16"/>
          <w:szCs w:val="16"/>
        </w:rPr>
        <w:softHyphen/>
        <w:t>менялся оптический прицел. В качестве дополнительного оружия на зе</w:t>
      </w:r>
      <w:r w:rsidRPr="00F90EAE">
        <w:rPr>
          <w:color w:val="000000" w:themeColor="text1"/>
          <w:sz w:val="16"/>
          <w:szCs w:val="16"/>
        </w:rPr>
        <w:softHyphen/>
        <w:t>нитной турели, монтировавшейся на вращавшемся погоне люка коман</w:t>
      </w:r>
      <w:r w:rsidRPr="00F90EAE">
        <w:rPr>
          <w:color w:val="000000" w:themeColor="text1"/>
          <w:sz w:val="16"/>
          <w:szCs w:val="16"/>
        </w:rPr>
        <w:softHyphen/>
        <w:t>дирской башенки, устанавливался 12,7-мм пулемет ДШК обр. 1938 г., предназначавшийся для стрельбы по воздушным и наземным целям. Для ведения прицельной стрельбы использовался коллиматорный при</w:t>
      </w:r>
      <w:r w:rsidRPr="00F90EAE">
        <w:rPr>
          <w:color w:val="000000" w:themeColor="text1"/>
          <w:sz w:val="16"/>
          <w:szCs w:val="16"/>
        </w:rPr>
        <w:softHyphen/>
        <w:t>цел К8-Т. Конструкция турельной установки позволяла вести круговой обстрел при любых углах возвышения от -4 до +85°. Прицельная даль</w:t>
      </w:r>
      <w:r w:rsidRPr="00F90EAE">
        <w:rPr>
          <w:color w:val="000000" w:themeColor="text1"/>
          <w:sz w:val="16"/>
          <w:szCs w:val="16"/>
        </w:rPr>
        <w:softHyphen/>
        <w:t>ность составляла 3500 м, предельная - 7000 м. Питание пулемета - лен</w:t>
      </w:r>
      <w:r w:rsidRPr="00F90EAE">
        <w:rPr>
          <w:color w:val="000000" w:themeColor="text1"/>
          <w:sz w:val="16"/>
          <w:szCs w:val="16"/>
        </w:rPr>
        <w:softHyphen/>
        <w:t>точное (50 патронов в ленте). Практическая скорострельность достига</w:t>
      </w:r>
      <w:r w:rsidRPr="00F90EAE">
        <w:rPr>
          <w:color w:val="000000" w:themeColor="text1"/>
          <w:sz w:val="16"/>
          <w:szCs w:val="16"/>
        </w:rPr>
        <w:softHyphen/>
        <w:t>ла 125 выстр./мин (10703).</w:t>
      </w:r>
    </w:p>
    <w:p w14:paraId="6B8ECB2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6013A367" w14:textId="77777777" w:rsidR="00996484" w:rsidRPr="00F90EAE" w:rsidRDefault="00996484" w:rsidP="00F90EAE">
      <w:pPr>
        <w:jc w:val="both"/>
        <w:rPr>
          <w:color w:val="000000" w:themeColor="text1"/>
          <w:sz w:val="16"/>
          <w:szCs w:val="16"/>
        </w:rPr>
      </w:pPr>
      <w:r w:rsidRPr="00F90EAE">
        <w:rPr>
          <w:color w:val="000000" w:themeColor="text1"/>
          <w:sz w:val="16"/>
          <w:szCs w:val="16"/>
        </w:rPr>
        <w:t>В мае 1945 года нижнюю полку нового вертикального стеллажа под боекомплект на СУ-76 ГАЗ пришлось усиливать, так как на испытаниях она прогибалась. Велись работы над улучшением двигателя и элементов ходовой части. Различные мелкие изменения появились и в июне, хотя работы по усовершенствованию конструкции были сильно подорваны исходом конструкторов с ГАЗ им. Молотова. Окончание Великой Отечественной войны стало для руководства завода сигналом к тому, чтобы потихоньку сворачивать военное производство. В июле это аукнулось: качество САУ упало, да и сдавал машины завод с большим напряжением. Но и в июле имели место некоторые нововведения. Появились новые запорные замки масляного радиатора, удлинённый на 36 мм отбойник гусеницы, с 10 июля машины получили изменённый рычаг КПП. Введение модернизированного боевого отделения несколько усложнило работу заводов в апреле, но производство не отставало от графика (18172).</w:t>
      </w:r>
    </w:p>
    <w:p w14:paraId="6C708E57" w14:textId="77777777" w:rsidR="00996484" w:rsidRPr="00F90EAE" w:rsidRDefault="00996484" w:rsidP="00F90EAE">
      <w:pPr>
        <w:jc w:val="both"/>
        <w:rPr>
          <w:color w:val="000000" w:themeColor="text1"/>
          <w:sz w:val="16"/>
          <w:szCs w:val="16"/>
        </w:rPr>
      </w:pPr>
    </w:p>
    <w:p w14:paraId="35119D56"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В мае 1945 года разразился достаточно крупный скандал, связанный с прибывающими танками M4A2E8. Его причиной стало качество этих машин, а именно — </w:t>
      </w:r>
      <w:r w:rsidRPr="00F90EAE">
        <w:rPr>
          <w:color w:val="000000" w:themeColor="text1"/>
          <w:sz w:val="16"/>
          <w:szCs w:val="16"/>
        </w:rPr>
        <w:lastRenderedPageBreak/>
        <w:t>ходовой части. Гусеничные ленты танков были собраны из траков трёх партий, одна из которых (с маркировкой D 80073 CC) имела очень высокий процент брака. Впервые это обнаружили в 16-м отдельном учебном танковом полку. Проверка, включавшая испытания танка с регистрационным номером U.S.A. 30122505, подтвердила проблемы с этими траками. В результате появился приказ о замене гусениц всех 177 прибывших на тот момент танков. Речь шла в первую очередь о переборке гусеничных лент и замене траков дефектной партии. Из-за этого отправка на фронт 33 танков, прибывших с конвоем JW-65, задержалась.</w:t>
      </w:r>
    </w:p>
    <w:p w14:paraId="7FCDBE49"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июне-июле 1945 года были выявлены проблемы с опорными катками, связанные с производственными дефектами. В 201-й танковой бригаде проблемы с катками имелись у 44 M4A2E8. Ещё 42 танка с такими проблемами было в 9-м гвардейском механизированном корпусе. Впрочем, M4A2(76)W с проблемными опорными катками здесь оказалось ещё больше — 48 штук. В общей сложности на танках требовалось заменить 299 опорных катков.</w:t>
      </w:r>
    </w:p>
    <w:p w14:paraId="1309F2C1"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 23 июля 1945 года в составе 9 гвардейского механизированного корпуса имелось 84 M4A2E8. Эти машины оказались единственными танками данного типа, которые Красная армия использовала по назначению — правда, уже в ходе советско-японской войны. Участие 201-й танковой бригады в войне оказалось условным — она находилась в резерве. После войны часть машин переделали в тягачи, из них несколько дожило до наших дней.</w:t>
      </w:r>
    </w:p>
    <w:p w14:paraId="7FB28FE1"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Как правило, на этом рассказ о M4A2E8 заканчивается. Иногда добавляется дежурная фраза о том, что почти все дизельные M4 с 76-мм пушками были отправлены в СССР. Такое утверждение выглядит несколько странно, ведь по американским данным в СССР было отправлено 2095 танков из 2915 изготовленных. В 1945 году 5 таких танков попало в Англию, это были машины позднего выпуска с траками T80. Эти машины получили английскую комплектацию, включавшую в том числе английские радиостанции №19. M4A2E8 получили английское обозначение Sherman IIIAY (A — 76-мм орудие, Y — подвеска HVSS).</w:t>
      </w:r>
    </w:p>
    <w:p w14:paraId="0046ACAB"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Один танк из этой партии дожил до наших дней и является, пожалуй, самым известным из M4A2E8. Машина с регистрационным номером T224875 была изучена англичанами, после чего отправилась в Военную академию в Шрайвенхеме. В 1985 году танк был передан в Бовингтон, где стал одним из музейных экспонатов. Недавно его траки T80 были заменены на резино-металлические T84, которые после войны получали и другие M4A2E8. Знаменитым эту машину сделал фильм «Ярость» (Fury), в котором танк сыграл одну из главных ролей. Правда, на вооружении американской армии M4A2E8 не было, но внешне эта машина очень похожа на M4A3E8.</w:t>
      </w:r>
    </w:p>
    <w:p w14:paraId="325ACE66"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После войны американская армия постепенно избавлялась от ненужной техники. В её числе оказались и M4A2E8, которые не успели отправить в СССР. 294 таких танка в 1946 году оказалось в канадской армии. За каждый танк Канада заплатила 1460 долларов США, цена для такой машины смехотворная. В Канаду попали танки со всеми тремя типами траков. Эти машины использовались как учебные: в Корее канадцы воевали на M4A3E8.</w:t>
      </w:r>
    </w:p>
    <w:p w14:paraId="60ACF453" w14:textId="77777777" w:rsidR="006825F8" w:rsidRPr="00F90EAE" w:rsidRDefault="006825F8" w:rsidP="00F90EAE">
      <w:pPr>
        <w:pStyle w:val="ae"/>
        <w:shd w:val="clear" w:color="auto" w:fill="FFFFFF"/>
        <w:spacing w:before="0" w:after="0"/>
        <w:jc w:val="both"/>
        <w:rPr>
          <w:color w:val="000000" w:themeColor="text1"/>
          <w:sz w:val="16"/>
          <w:szCs w:val="16"/>
        </w:rPr>
      </w:pPr>
      <w:r w:rsidRPr="00F90EAE">
        <w:rPr>
          <w:color w:val="000000" w:themeColor="text1"/>
          <w:sz w:val="16"/>
          <w:szCs w:val="16"/>
        </w:rPr>
        <w:t>Канадские M4A2E8 оказались долгожителями: в качестве тренировочных машин M4A3E8 применялись до 1972 года. До наших дней дожило более полусотни M4A2E8, некоторые из которых находятся в ходовом состоянии (17725).</w:t>
      </w:r>
    </w:p>
    <w:p w14:paraId="6625F123" w14:textId="77777777" w:rsidR="006825F8" w:rsidRPr="00F90EAE" w:rsidRDefault="006825F8" w:rsidP="00F90EAE">
      <w:pPr>
        <w:jc w:val="both"/>
        <w:rPr>
          <w:color w:val="000000" w:themeColor="text1"/>
          <w:sz w:val="16"/>
          <w:szCs w:val="16"/>
        </w:rPr>
      </w:pPr>
    </w:p>
    <w:p w14:paraId="58A0B5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возврат к мирной жизни сопровождался в автомобильной промышленности повышенной активностью в создании опытных образцов новых моделей, среди которых заметную роль играли спортивные и гоночные машины. Руководство отрасли и отдельных заводов видело в них одно из направлений научно-технического прогресса и охотно поддерживало энтузиастов. Известным подспорьем в этих начинаниях послужило знакомство с образцами совершенных конструкций спортивных и гоночных автомобилей, попавших в нашу страну с военными трофеями. В их числе такие конструкции, как БМВ-328, "Вандерер-В25К", "Альфа-Ромео-8Ц-2900", "Ягуар-ССЮО", а также свыше десятка различных гоночных автомобилей "Ауто-Унион" преимущественно постройки 1936-1939 гг. Для углубленного анализа конструкции эти "Ауто-Унионы" были переданы в НАМИ, на заводы ЗИС, ГАЗ, МЗМА, некоторые спортивные клубы и, безусловно, дали пищу для серьезных инженерных размышлений. В частности, специалисты НАМИ провели всестороннее изучение одной из гоночных моделей и отчет об этой работе направили всем заинтересованным конструкторским группам. В то же время на территории Германии в рамках советско-германского акционерного общества "Автовело" начало функционировать научно-техническое бюро автостроения (НТБА). Там под руководством В. Г. Мышкина работали немецкие специалисты, преимущественно из фирмы "Ауто-Унион". Перед ними была поставлена задача создать гоночный автомобиль мирового класса на базе опыта, накопленного при работе с машинами типа "Гран При" в период 1934- 1939 гг. Далеко не всегда производственные и материальные возможности нашего автомобилестроения соответствовали замыслам конструкторов. Однако же, несмотря на экономические трудности первых послевоенных лет, Минавтопром СССР весной 1946 г. создал при ЦКБ Главмотовелопрома конструкторскую бригаду, которую возглавил Александр Иванович Пельтцер. Он выдвинул идею создания специального гоночного автомобиля для установления рекордов скорости в самом малом классе машин - рабочим объемом до 350 см . Этот шаг смело можно назвать историческим. Для того было несколько причин. Во-первых, предстояло спроектировать и построить машину гоночную. Во-вторых, она с самого начала предназначалась для установления международных рекордов скорости. И в-третьих, эту сложную инженерную задачу предстояло решить специализированному, хоть и небольшому, подразделению отрасли. Именно отрасли, а не любительскому объединению, работающему в кустарных условиях в нерабочее время. Наконец, пожалуй, самое важное обстоятельство: работа А. И. Пельтцера явилась не выполнением разового задания, а первым звеном в цепи последовательной и целенаправленной деятельности по постройке гоночных автомобилей, причем деятельности, принесшей впоследствии высокие технические и спортивные результаты. Удивительны темпы, с которыми шло создание автомобиля, получившего наименование "Звезда". Проектирование, начатое в апреле 1946 г., было закончено в июне, а в конце октября того же года машина вышла на испытания. Доводка ее длилась недолго, но из-за погодных условий только 5 ноября 1946 г. удалось провести официальные заезды на установление рекордов скорости. Они закончились всесоюзным рекордом в классе 350 см на дистанции 1 км со стартом с хода. А. И. Пельтцер за рулем "Звезды" (учитывая дальнейшую реконструкцию, назовем ее "Звездой-1") достиг средней скорости 139,643 км/ч. Это было несколько ниже международного рекорда итальянца А. Чеккини - 146 км/ч. Однако скорость, показанная Пельтцером на испытаниях (148 км/ч), позволяла надеяться на то, что международный рекорд будет вскоре побит. Цель, к которой стремился Пельтцер при проектировании "Звезды",- получить минимальное сопротивление воздуха и при сравнительно маломощном двигателе достичь скорости 160 км/ч. Пока в СССР этот, в общем невысокий с точки зрения мирового автомобильного спорта, рубеж удалось взять лишь дважды на автомобилях ГАЗ-ГЛ1 и "ЗИС-101А-Спорт". Но они были снабжены двигателями мощностью соответственно 100 и 141 л. с. В распоряжении же Пельтцера находился силовой агрегат гоночного мотоцикла ДКВ-УЛ350 (346 см , 30,5 л. с. при 5500 об/мин). Кузов "Звезды" получил форму рассеченной капли. В поверхности его носовой части отсутствовал воздухозаборник, днище было гладким, выпускные трубы выходили в весьма небольшой срез задней кромки кузова, а выступавшие за обводы кузова колеса (они имели сравнительно большой диаметр) были закрыты обтекаемыми колпаками. Продувки моделей "Звезды" в масштабе 1:5, сделанные в аэродинамической трубе ЦАГИ, позволили довести коэффициент любого сопротивления Сх до весьма низкой величины - 0,138. Серьезную проблему создавали шины. Скоростных покрышек отечественная промышленность не делала, а следовательно, отсутствовали и пресс-формы для них. Пришлось заказать на ленинградском заводе "Красный треугольник" мотоциклетные шины размером 3,75-19 дюймов. Их изготовили из натурального каучука в серийных пресс-формах. А затем, смонтировав каждую покрышку на колесе, протачивали протектор, чтобы получить тонкую и легкую беговую дорожку, которая не отслаивалась бы при скорости 160 км/ч. Андрей Никитович Понизовкин первым из отечественных гонщиков показал скорость выше международного рекорда. 1947 г. Двухтактный двигатель ДКВ-УЛ350 в те годы выделялся высокими показателями. Он имел две пары цилиндров с общей камерой сгорания каждая. Впускными окнами управлял один поршень, выпускными - другой. Таким образом оказалось технически возможным закрывать выпускные окна с опережением против впускных, что позволяло осуществить наддув горючей смеси. Эту идею, выдвинутую немецким инженером А. Цоллером и реализованную в двигателях гоночных мотоциклов ДКВ, Пельтцер в дальнейшем творчески развил и довел до высокого совершенства. Нагнетатель на ДКВ-УЛ350 был поршневой и создавал избыточное давление 0,7 атм. Как следствие, высокая тепловая нагружен-ность двигателя потребовала водяного охлаждения - циркуляция воды в системе происходила благодаря разнице температур по термосифонному принципу. Силовой агрегат помещался в задней части кузова, вне колесной базы, поперек машины (12098).</w:t>
      </w:r>
    </w:p>
    <w:p w14:paraId="28604EB7" w14:textId="77777777" w:rsidR="00665165" w:rsidRPr="00F90EAE" w:rsidRDefault="00665165" w:rsidP="00F90EAE">
      <w:pPr>
        <w:autoSpaceDE w:val="0"/>
        <w:autoSpaceDN w:val="0"/>
        <w:adjustRightInd w:val="0"/>
        <w:jc w:val="both"/>
        <w:rPr>
          <w:color w:val="000000" w:themeColor="text1"/>
          <w:sz w:val="16"/>
          <w:szCs w:val="16"/>
        </w:rPr>
      </w:pPr>
    </w:p>
    <w:p w14:paraId="11B87A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начал работу Научно-исследовательский морской радиолокационный институт (НИМРИ), в его состав передан ряд подразделений НИМИС (10515).</w:t>
      </w:r>
    </w:p>
    <w:p w14:paraId="6D30228F" w14:textId="77777777" w:rsidR="00665165" w:rsidRPr="00F90EAE" w:rsidRDefault="00665165" w:rsidP="00F90EAE">
      <w:pPr>
        <w:autoSpaceDE w:val="0"/>
        <w:autoSpaceDN w:val="0"/>
        <w:adjustRightInd w:val="0"/>
        <w:jc w:val="both"/>
        <w:rPr>
          <w:color w:val="000000" w:themeColor="text1"/>
          <w:sz w:val="16"/>
          <w:szCs w:val="16"/>
        </w:rPr>
      </w:pPr>
    </w:p>
    <w:p w14:paraId="6AAACB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мае 1945 г. Завод № 283 (Завод № 283 НКАП, МАП, Ленинградской государственный завод «Новатор» МРП, В-8429, ЛПТО «Новатор» МРП, Радиотехнический завод № 1 (РТЗ-1) ЦНПО «Ленинец» МРП, завод «Новатор» /г. Ленинград Обводной канал, 14 (1944-70 г.)/ /196066  г. Санкт-Петербург Московский пр., 212/) был веден в эксплуатацию. Налажено производство </w:t>
      </w:r>
      <w:r w:rsidRPr="00F90EAE">
        <w:rPr>
          <w:color w:val="000000" w:themeColor="text1"/>
          <w:sz w:val="16"/>
          <w:szCs w:val="16"/>
          <w:lang w:val="en-US"/>
        </w:rPr>
        <w:t>PJI</w:t>
      </w:r>
      <w:r w:rsidRPr="00F90EAE">
        <w:rPr>
          <w:color w:val="000000" w:themeColor="text1"/>
          <w:sz w:val="16"/>
          <w:szCs w:val="16"/>
        </w:rPr>
        <w:t xml:space="preserve"> приборов, а после войны - </w:t>
      </w:r>
      <w:r w:rsidRPr="00F90EAE">
        <w:rPr>
          <w:color w:val="000000" w:themeColor="text1"/>
          <w:sz w:val="16"/>
          <w:szCs w:val="16"/>
          <w:lang w:val="en-US"/>
        </w:rPr>
        <w:t>PJIC</w:t>
      </w:r>
      <w:r w:rsidRPr="00F90EAE">
        <w:rPr>
          <w:color w:val="000000" w:themeColor="text1"/>
          <w:sz w:val="16"/>
          <w:szCs w:val="16"/>
        </w:rPr>
        <w:t>, бомбовых прицелов, телевизионных приемников.</w:t>
      </w:r>
    </w:p>
    <w:p w14:paraId="35432C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ГКО в 1945 г. на завод было поставлено 264 металлорежущих станка, вывезенных с приборного завода «Пихлер» ("</w:t>
      </w:r>
      <w:r w:rsidRPr="00F90EAE">
        <w:rPr>
          <w:color w:val="000000" w:themeColor="text1"/>
          <w:sz w:val="16"/>
          <w:szCs w:val="16"/>
          <w:lang w:val="en-US"/>
        </w:rPr>
        <w:t>OttoLerner</w:t>
      </w:r>
      <w:r w:rsidRPr="00F90EAE">
        <w:rPr>
          <w:color w:val="000000" w:themeColor="text1"/>
          <w:sz w:val="16"/>
          <w:szCs w:val="16"/>
        </w:rPr>
        <w:t>") в Вене, а также оборудование с завода "</w:t>
      </w:r>
      <w:r w:rsidRPr="00F90EAE">
        <w:rPr>
          <w:color w:val="000000" w:themeColor="text1"/>
          <w:sz w:val="16"/>
          <w:szCs w:val="16"/>
          <w:lang w:val="en-US"/>
        </w:rPr>
        <w:t>Singer</w:t>
      </w:r>
      <w:r w:rsidRPr="00F90EAE">
        <w:rPr>
          <w:color w:val="000000" w:themeColor="text1"/>
          <w:sz w:val="16"/>
          <w:szCs w:val="16"/>
        </w:rPr>
        <w:t>" (</w:t>
      </w:r>
      <w:r w:rsidRPr="00F90EAE">
        <w:rPr>
          <w:color w:val="000000" w:themeColor="text1"/>
          <w:sz w:val="16"/>
          <w:szCs w:val="16"/>
          <w:lang w:val="en-US"/>
        </w:rPr>
        <w:t>Wittenberg</w:t>
      </w:r>
      <w:r w:rsidRPr="00F90EAE">
        <w:rPr>
          <w:color w:val="000000" w:themeColor="text1"/>
          <w:sz w:val="16"/>
          <w:szCs w:val="16"/>
        </w:rPr>
        <w:t>); в 1946 г. - оборудование с завода "</w:t>
      </w:r>
      <w:r w:rsidRPr="00F90EAE">
        <w:rPr>
          <w:color w:val="000000" w:themeColor="text1"/>
          <w:sz w:val="16"/>
          <w:szCs w:val="16"/>
          <w:lang w:val="en-US"/>
        </w:rPr>
        <w:t>Wernig</w:t>
      </w:r>
      <w:r w:rsidRPr="00F90EAE">
        <w:rPr>
          <w:color w:val="000000" w:themeColor="text1"/>
          <w:sz w:val="16"/>
          <w:szCs w:val="16"/>
        </w:rPr>
        <w:t>" (</w:t>
      </w:r>
      <w:r w:rsidRPr="00F90EAE">
        <w:rPr>
          <w:color w:val="000000" w:themeColor="text1"/>
          <w:sz w:val="16"/>
          <w:szCs w:val="16"/>
          <w:lang w:val="en-US"/>
        </w:rPr>
        <w:t>Wernigerode</w:t>
      </w:r>
      <w:r w:rsidRPr="00F90EAE">
        <w:rPr>
          <w:color w:val="000000" w:themeColor="text1"/>
          <w:sz w:val="16"/>
          <w:szCs w:val="16"/>
        </w:rPr>
        <w:t>).</w:t>
      </w:r>
    </w:p>
    <w:p w14:paraId="6D1074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С 1946 г. началось освоение выпуска РПБ «Кобальт» (копия американской станции </w:t>
      </w:r>
      <w:r w:rsidRPr="00F90EAE">
        <w:rPr>
          <w:color w:val="000000" w:themeColor="text1"/>
          <w:sz w:val="16"/>
          <w:szCs w:val="16"/>
          <w:lang w:val="en-US"/>
        </w:rPr>
        <w:t>APQ</w:t>
      </w:r>
      <w:r w:rsidRPr="00F90EAE">
        <w:rPr>
          <w:color w:val="000000" w:themeColor="text1"/>
          <w:sz w:val="16"/>
          <w:szCs w:val="16"/>
        </w:rPr>
        <w:t>-13) для Ту-4. Освоение этой принципиально новой техники шло очень трудно. Далее - работы по системам наведения снарядов «воздух-земля».</w:t>
      </w:r>
    </w:p>
    <w:p w14:paraId="2B3F74A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1950-х на заводе работал коллектив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Дехтярева.</w:t>
      </w:r>
    </w:p>
    <w:p w14:paraId="3C6BE5B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04.1946 г. при заводе организовано ОКБ-283 МАП.</w:t>
      </w:r>
    </w:p>
    <w:p w14:paraId="12597C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713-342 от 26.06.1957 г. завод № 283 МАП передан в ведение Управления приборостроительной промышленности ЛенСНХ, с 1958 г. - Управления радиотехнической промышленности ЛенСНХ. В соответствии с пост, от 29.09.1965 г. завод № 283 передан в ведение МРП и переименован в Ленинградский государственный завод «Новатор». Имел наименование «п/я В-8429» (1970 г.).</w:t>
      </w:r>
    </w:p>
    <w:p w14:paraId="0DFC74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1970-х  г. началась производственная интеграция предприятий с целью наиболее эффективного использования мощностей. По приказу МРП № 602 от 29.10.1971 г. было создано Ленинградское производственно-техническое объединение (ЛПТО) «Новатор» в составе двух заводов: «Новатор» (производство № 1) и «Радиоприбор» (производство № 2) с общим ЦКБ ЛПТО. Одним из инициаторов его создания был Л.Н. Зайков.</w:t>
      </w:r>
    </w:p>
    <w:p w14:paraId="2905A3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 приказу МРП № 756 от 28.12.1973 г. в состав ЛПТО был включен завод «Ленинец» как производство № 3, а ЛПТО «Новатор» переименовано в ЛПТО «Ленинец». По приказу МРП № 146 от 1.01.1974 г. в состав ЛПТО включен строящийся Петрозаводский радиотехнический завод (ПРЗ). Тем же приказом механическое и заготовительное производство «Новатора» было переименовано в производство № 4, а ОКБ завода «Ленинец» вошло в состав ЦКБ ЛПТО. В целях соединения научного и производственного потенциалов в единую структуру в соответствии с пост. СМ СССР № 139 от 2.03.1976 г. и приказом МРП № 264 от 15.05.1974 г. было создано НПО «Ленинец», в которое вошли: НПО «Марс» с ВНИИРЭС (головная структурная единица), производства № 1, 2, 3 и 4 ЛПТО «Ленинец», ПРЗ и опытный завод в Гатчине. По приказу МРП № 578 от 22.09.1985 г. на базе НПО «Ленинец» образовано Центральное НПО (ЦНПО) «Ленинец». Завод стал РТЗ-1 в составе ЦНПО, в 1988 г. вновь переименован в завод «Новатор» в составе НПО. По приказу МРП № 686 от 20.07.1990 г. на базе ЦНПО «Ленинец» образован научно-производственный и внешнеэкономический концерн (НПВЭК) «Ленинец». В соответствии с решениями Госкомимущества РФ № 298-Р от 21.07.1992 г. и № 401-3 от 1.09.1992 г. НПВЭК «Ленинец» преобразован в АООТ «Холдинговая компания «Ленинец». В холдинг входит 38 дочерних предприятий и филиалов (2002 г.): ООО «Контур-НИРС», ОАО «Механический завод «Ленинец», Завод электробытовой аппаратуры, ГНПП «МИР» (2003 г.).</w:t>
      </w:r>
    </w:p>
    <w:p w14:paraId="5864320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1988 г. НПК-1 преобразовано в филиал ЦНПО «Сектор» (с 1990 г. - это самостоятельное НПП «Радар ММС»).</w:t>
      </w:r>
    </w:p>
    <w:p w14:paraId="16E03A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Работы (2002 г.): разработка и производство:_РЭ систем, РЛС, навигационных систем, бортовых компьютеров, бортовых комплексов автоматизированного контроля оборудования; морские навигационные средства берегового и корабельного базирования; телекоммуникационные системы; гиперзвуковые технологии; СВЧ-компоневты; датчики и системы для измерения физических полей.</w:t>
      </w:r>
    </w:p>
    <w:p w14:paraId="332269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правительства № 22-р от 9.01.2004 г. вошло в перечень стратегических предприятий.</w:t>
      </w:r>
    </w:p>
    <w:p w14:paraId="4A2C28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(1945-; -1949 г.)- Т.В. Молодых, (1947 г.)- А.П. Лопырев, (1948 г.)- М.Я. Кокуев, (1949-52 г.)- Е.Д. Васильев, (1952-61 г.)- Л.В. Андреев, (1961-71 г.)- Л.Н. Зайков, (1974 г.)- В.В. Ануров, (1986-89 г.)- Н.Л. Зайков, (1989-93 г.)-  Г.С. Галактионов, (1993-2001 г.)- А.В. Жук. Гендиректор ЛПТО (1971-74 г.)- Л.Н. Зайков.</w:t>
      </w:r>
    </w:p>
    <w:p w14:paraId="1B2A9E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Зам. директора (-1974 г.)-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T</w:t>
      </w:r>
      <w:r w:rsidRPr="00F90EAE">
        <w:rPr>
          <w:color w:val="000000" w:themeColor="text1"/>
          <w:sz w:val="16"/>
          <w:szCs w:val="16"/>
        </w:rPr>
        <w:t>. Михеев.</w:t>
      </w:r>
    </w:p>
    <w:p w14:paraId="4D0DB53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Ген. конструктор- Е.А. Зазорин, (1990-е  г.)-  Г.Н. Громов.</w:t>
      </w:r>
    </w:p>
    <w:p w14:paraId="21EEAA9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по натурным испытаниям (-1981 г.)- А.Л. Захаров.</w:t>
      </w:r>
    </w:p>
    <w:p w14:paraId="5C1457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(1974-76 г.)- Л.Т. Михеев.</w:t>
      </w:r>
    </w:p>
    <w:p w14:paraId="137B01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1-й зам. гл. инженера (1972-74 г.)- О.Ф. Бураков.</w:t>
      </w:r>
    </w:p>
    <w:p w14:paraId="70F9BF72"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БРЛС: «Пантера», «Пума» для Су-24, «Купол», «Купол-2», «Купол-3 и -ЗМ», для Су-34, А-813; ПНС-24М «Тигр» для Су-24; обзорно-прицельная система «Обзор-МС» для Ту-95МС, «Обзор-К» для Ту-160, «Обзор-</w:t>
      </w:r>
      <w:r w:rsidRPr="00F90EAE">
        <w:rPr>
          <w:color w:val="000000" w:themeColor="text1"/>
          <w:sz w:val="16"/>
          <w:szCs w:val="16"/>
          <w:lang w:val="en-US"/>
        </w:rPr>
        <w:t>MP</w:t>
      </w:r>
      <w:r w:rsidRPr="00F90EAE">
        <w:rPr>
          <w:color w:val="000000" w:themeColor="text1"/>
          <w:sz w:val="16"/>
          <w:szCs w:val="16"/>
        </w:rPr>
        <w:t>» для Ту-22МР; поисково-прицельная система (ППС) «Коршун» для Ту-142К, «Коршун-М» с ГАС «Кайра» для Ту-142КМ, «Коршун-МЗ» с ГАС «Заречье» для Ту-142МЗ; ППС: «Сова» для А-40, «Филин» для А- 42; «Новелла» для Ил-38Н (1990-е), экспортный вариант «Морской Змей» (</w:t>
      </w:r>
      <w:r w:rsidRPr="00F90EAE">
        <w:rPr>
          <w:color w:val="000000" w:themeColor="text1"/>
          <w:sz w:val="16"/>
          <w:szCs w:val="16"/>
          <w:lang w:val="en-US"/>
        </w:rPr>
        <w:t>SeaDragon</w:t>
      </w:r>
      <w:r w:rsidRPr="00F90EAE">
        <w:rPr>
          <w:color w:val="000000" w:themeColor="text1"/>
          <w:sz w:val="16"/>
          <w:szCs w:val="16"/>
        </w:rPr>
        <w:t>); ПНПК-П-76 для Ил-76М, ШШК-124 для Ан-124; ПНК «Купол-2А-76М» для Ил-76 (2000-е), А-820М для Ан-124 (2000-е); малогабаритная ГАС «Изумруд» для Ил-38; СУО; системы наведения для Х-31, Х-35 (У-505); бортовая система автоматизированного контроля для Ил-76 и Ан-124.</w:t>
      </w:r>
    </w:p>
    <w:p w14:paraId="38326955"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РЛ прицелы: РПБ «Кобальт» (1948-), РПБ-4 (1950-е), «Рубидий-М», «Стронций»; РЛС: многофункциональная для Ту-16 (1950-е), «Обзор-</w:t>
      </w:r>
      <w:r w:rsidRPr="00F90EAE">
        <w:rPr>
          <w:color w:val="000000" w:themeColor="text1"/>
          <w:sz w:val="16"/>
          <w:szCs w:val="16"/>
          <w:lang w:val="en-US"/>
        </w:rPr>
        <w:t>MP</w:t>
      </w:r>
      <w:r w:rsidRPr="00F90EAE">
        <w:rPr>
          <w:color w:val="000000" w:themeColor="text1"/>
          <w:sz w:val="16"/>
          <w:szCs w:val="16"/>
        </w:rPr>
        <w:t>, -МС, -К» для Ту-22МЗ, Ту-95МС и Ту-160; системы наведения: К-2 для «Комета» (1952-), «Рубикон» для КС-1, «Взлет» для КСР-2, -5, -11 (1964), «Венец» для К-10С и КСР-5 (1966), для Х-23 (прицел ПКИ и передатчик «Дельта»); ПНПК-22 «Купол-22» для Ан-22; радиоприемники: «Блюз-301, РП-203А», магнитола «Ленинград-003» (1974-).</w:t>
      </w:r>
    </w:p>
    <w:p w14:paraId="00FFB18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ОКБ-283 МАП, ГКАТ, ГКРЭ /г. Ленинград/</w:t>
      </w:r>
    </w:p>
    <w:p w14:paraId="6C4A65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Вновь организовано как Особое КБ № 283 при заводе № 283 МАП в системе 17ГУ по приказу МАП № 247с от 26.04.1946 г. Работы по РЛ бомбовым прицелам.</w:t>
      </w:r>
    </w:p>
    <w:p w14:paraId="7D15873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1947-50 г. обеспечило освоение и серийный выпуск прицела «Кобальт». Затем- разработка прицела «Рубидий», самостоятельная разработка РБП-4 для М-4. С 1953 г. работы по РЛ-оптическому бомбоприцелу «Рубин» для ЗМ, по системе наведения УР Х-44 для М-52 и М-56 (1958 г.). Позднее на базе «Рубина» создана обзорная РЛС «Лоция». С середины 1950-х  г. начались работы по созданию систем управления УРВП. По пр. МАП № 169 от 29.04.1957 г. на базе РЛС «Рубин-1» начата разработка системы «Рубикон» для комплекса К-16 в составе Ту-16 и КСР-2 (научный руководитель- В.И. Смирнов). На базе РБП-4 создан РБП-4Г для самолетов Ту- 104, -114, -124, -134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Дехтярев).</w:t>
      </w:r>
    </w:p>
    <w:p w14:paraId="3DF116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1956 г. в состав ОКБ-283 вошло конструкторско-технологическое бюро (ОКТБ) Ленинградского завода КИНАП во главе с А.Н. Амроминым.</w:t>
      </w:r>
    </w:p>
    <w:p w14:paraId="64EEB9C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08.1957 г.- в ведении 4ГУ ГКАТ, в 12.1958 г. ОКБ передано из ГКАТ во вновь образованный ГКРЭ.</w:t>
      </w:r>
    </w:p>
    <w:p w14:paraId="35594FF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615-278сс от 6.06.1959 г. на базе трех самостоятельных ОКБ-283, ОКБ-287 и ОКБ-794 в системе ГКРЭ в Ленинграде создан новый НИИ-131. ОКБ-283 стало базой для СКБ-1 НИИ-131.</w:t>
      </w:r>
    </w:p>
    <w:p w14:paraId="3E5EC1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(1946 г.-)- Ф.И. Низов, (-1959 г.)- В.М. Глушков.</w:t>
      </w:r>
    </w:p>
    <w:p w14:paraId="543334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 (1946 г.-)- Ф.И. Низов, В.И. Смирнов, (-1959 г.)- В.М. Глушков.</w:t>
      </w:r>
    </w:p>
    <w:p w14:paraId="4B6C58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конструкторы: (-1947-50 г.-)-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Дехтярев (РБП-4, «Рубин»), (-1953-58 г.-)- В.И. Смирнов («Рубикон»),  Г.А. Гальбертон («Лоция»),</w:t>
      </w:r>
    </w:p>
    <w:p w14:paraId="168C37B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(1954 г.-)- В.М. Глушков, (1957-59 г.)- А.Н. Амромин.</w:t>
      </w:r>
    </w:p>
    <w:p w14:paraId="1C421BB5"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РЛ бомбовые прицелы: РПБ-4 («Рубидий-ММП», 1950); аппаратура наведения ракет «Рубикон» для Ту-16КС (1958).</w:t>
      </w:r>
    </w:p>
    <w:p w14:paraId="2F2DB96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Петрозаводский радиотехнический завод (ПРЗ) /г. Петрозаводск Карельской АССР/</w:t>
      </w:r>
    </w:p>
    <w:p w14:paraId="082DBB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1.01.1974 г. строящийся ПРЗ вошел в состав ЛПТО «Новатор». Был в 1998 г.</w:t>
      </w:r>
    </w:p>
    <w:p w14:paraId="5D714C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ГНПП «МИР» /г. Пушкин Ленинградской обл./</w:t>
      </w:r>
    </w:p>
    <w:p w14:paraId="5E8D4D6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Входил в холдинг «Ленинец» (2003 г.).</w:t>
      </w:r>
    </w:p>
    <w:p w14:paraId="6DDF72E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2003 г. работы по модернизации индийских Ил-38 в вариант ?</w:t>
      </w:r>
      <w:r w:rsidRPr="00F90EAE">
        <w:rPr>
          <w:color w:val="000000" w:themeColor="text1"/>
          <w:sz w:val="16"/>
          <w:szCs w:val="16"/>
          <w:lang w:val="en-US"/>
        </w:rPr>
        <w:t>i</w:t>
      </w:r>
      <w:r w:rsidRPr="00F90EAE">
        <w:rPr>
          <w:color w:val="000000" w:themeColor="text1"/>
          <w:sz w:val="16"/>
          <w:szCs w:val="16"/>
        </w:rPr>
        <w:t>-38</w:t>
      </w:r>
      <w:r w:rsidRPr="00F90EAE">
        <w:rPr>
          <w:color w:val="000000" w:themeColor="text1"/>
          <w:sz w:val="16"/>
          <w:szCs w:val="16"/>
          <w:lang w:val="en-US"/>
        </w:rPr>
        <w:t>SD</w:t>
      </w:r>
      <w:r w:rsidRPr="00F90EAE">
        <w:rPr>
          <w:color w:val="000000" w:themeColor="text1"/>
          <w:sz w:val="16"/>
          <w:szCs w:val="16"/>
        </w:rPr>
        <w:t xml:space="preserve"> (установка новой ППС «Морской Змей» (</w:t>
      </w:r>
      <w:r w:rsidRPr="00F90EAE">
        <w:rPr>
          <w:color w:val="000000" w:themeColor="text1"/>
          <w:sz w:val="16"/>
          <w:szCs w:val="16"/>
          <w:lang w:val="en-US"/>
        </w:rPr>
        <w:t>SeaDragon</w:t>
      </w:r>
      <w:r w:rsidRPr="00F90EAE">
        <w:rPr>
          <w:color w:val="000000" w:themeColor="text1"/>
          <w:sz w:val="16"/>
          <w:szCs w:val="16"/>
        </w:rPr>
        <w:t>).</w:t>
      </w:r>
    </w:p>
    <w:p w14:paraId="30473B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Гендиректор (2004 г.)- В.А. Гнездилов.</w:t>
      </w:r>
    </w:p>
    <w:p w14:paraId="37CAB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ООО «Контур-НИРС» /196066  г. Санкт-Петербург Московский пр., 212 тел. 373-60-23/</w:t>
      </w:r>
    </w:p>
    <w:p w14:paraId="782D4A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Является дочерним предприятием ЗАО «Котлин-Новатор», входит в состав ХК «Ленинец».</w:t>
      </w:r>
    </w:p>
    <w:p w14:paraId="7C8A5C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(2002 г.)- С.Е. Зеленский.</w:t>
      </w:r>
    </w:p>
    <w:p w14:paraId="631CB2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(2002 г.)- А.Б. Дискович.</w:t>
      </w:r>
    </w:p>
    <w:p w14:paraId="5EFEFC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специалист (2002 г.)- С.А. Иванов. Начальник производства (2002 г.)- Ю.В. Виноградов. Начальник договорного отдела (2002 г.)- В.П. Мороз.</w:t>
      </w:r>
    </w:p>
    <w:p w14:paraId="771FEA94" w14:textId="77777777" w:rsidR="00665165" w:rsidRPr="00F90EAE" w:rsidRDefault="00665165"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(2002 г.) метео-РЛС «Контур-ЮЦ» и ее модификации для Ми-8, Ми-26, Ан-38, Ан-24, Ан-28, Ан-72, Бе-12, Бе-32, Ил-76, Ту-154, Т-101, Як-40, Як-42; блок графики и вычислений А813-2501; универсальный блок связи для Ан-12, Ан-24, Ан-26, Ан-72, Ан-74, Ил-18, Ил-76, Як-40, Як-42, Ту-134, Ту-154 (11982).</w:t>
      </w:r>
    </w:p>
    <w:p w14:paraId="1E772CF9" w14:textId="77777777" w:rsidR="00665165" w:rsidRPr="00F90EAE" w:rsidRDefault="00665165" w:rsidP="00F90EAE">
      <w:pPr>
        <w:autoSpaceDE w:val="0"/>
        <w:autoSpaceDN w:val="0"/>
        <w:adjustRightInd w:val="0"/>
        <w:jc w:val="both"/>
        <w:rPr>
          <w:color w:val="000000" w:themeColor="text1"/>
          <w:sz w:val="16"/>
          <w:szCs w:val="16"/>
        </w:rPr>
      </w:pPr>
    </w:p>
    <w:p w14:paraId="5D05140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Инструментальный завод Главчаспрома был выделен из НИИ часпрома в самостоятельный завод. На завод было возложено 2 основные задачи:</w:t>
      </w:r>
    </w:p>
    <w:p w14:paraId="26DDA2D7"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1. Организовать производство инструментов.</w:t>
      </w:r>
    </w:p>
    <w:p w14:paraId="1FBCCD3A" w14:textId="77777777" w:rsidR="00665165" w:rsidRPr="00F90EAE" w:rsidRDefault="00665165"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2. Организовать производство станков для часовой промышленности. В июне 1945 года завод с территории 2-го часового завода был переведен на территорию завода № 568 НКБ, который к этому времени прекратил свою деятельность (10447).</w:t>
      </w:r>
    </w:p>
    <w:p w14:paraId="2919E99C" w14:textId="77777777" w:rsidR="00665165" w:rsidRPr="00F90EAE" w:rsidRDefault="00665165" w:rsidP="00F90EAE">
      <w:pPr>
        <w:tabs>
          <w:tab w:val="left" w:pos="360"/>
        </w:tabs>
        <w:autoSpaceDE w:val="0"/>
        <w:autoSpaceDN w:val="0"/>
        <w:adjustRightInd w:val="0"/>
        <w:jc w:val="both"/>
        <w:rPr>
          <w:color w:val="000000" w:themeColor="text1"/>
          <w:sz w:val="16"/>
          <w:szCs w:val="16"/>
        </w:rPr>
      </w:pPr>
    </w:p>
    <w:p w14:paraId="6223E0B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Опытный инструментальный завод НИИ-5 (Опытный завод НИИЧаспрома, Инструментальный завод ММиП /г. Москва, 57 п/я 1312 (1948 г.)/), созданный в январе 1945, был выделен в самостоятельный Инструментальный завод Главчаспрома для производства инструмента и станков для часовой промышленности. В 06.1945 г. завод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157074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1947-48 г. завод - в ведении Главчаспрома ММиП.</w:t>
      </w:r>
    </w:p>
    <w:p w14:paraId="16265F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93CF46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 (1946 г.)- 327 ед., (1947 г.)- 473 ед.</w:t>
      </w:r>
    </w:p>
    <w:p w14:paraId="1278F3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(1947 г.)- 7,008 га; застройки (1947 г.)- 14126 м</w:t>
      </w:r>
      <w:r w:rsidRPr="00F90EAE">
        <w:rPr>
          <w:color w:val="000000" w:themeColor="text1"/>
          <w:sz w:val="16"/>
          <w:szCs w:val="16"/>
          <w:vertAlign w:val="superscript"/>
        </w:rPr>
        <w:t>2</w:t>
      </w:r>
      <w:r w:rsidRPr="00F90EAE">
        <w:rPr>
          <w:color w:val="000000" w:themeColor="text1"/>
          <w:sz w:val="16"/>
          <w:szCs w:val="16"/>
        </w:rPr>
        <w:t>; производственная (1946 г.)-8200 м</w:t>
      </w:r>
      <w:r w:rsidRPr="00F90EAE">
        <w:rPr>
          <w:color w:val="000000" w:themeColor="text1"/>
          <w:sz w:val="16"/>
          <w:szCs w:val="16"/>
          <w:vertAlign w:val="superscript"/>
        </w:rPr>
        <w:t>2</w:t>
      </w:r>
      <w:r w:rsidRPr="00F90EAE">
        <w:rPr>
          <w:color w:val="000000" w:themeColor="text1"/>
          <w:sz w:val="16"/>
          <w:szCs w:val="16"/>
        </w:rPr>
        <w:t>, (1947 г.)- 11065 м</w:t>
      </w:r>
      <w:r w:rsidRPr="00F90EAE">
        <w:rPr>
          <w:color w:val="000000" w:themeColor="text1"/>
          <w:sz w:val="16"/>
          <w:szCs w:val="16"/>
          <w:vertAlign w:val="superscript"/>
        </w:rPr>
        <w:t>2</w:t>
      </w:r>
      <w:r w:rsidRPr="00F90EAE">
        <w:rPr>
          <w:color w:val="000000" w:themeColor="text1"/>
          <w:sz w:val="16"/>
          <w:szCs w:val="16"/>
        </w:rPr>
        <w:t>.</w:t>
      </w:r>
    </w:p>
    <w:p w14:paraId="452443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(1946 г.)- 878 чел., (1947 г.)- 843 чел.</w:t>
      </w:r>
    </w:p>
    <w:p w14:paraId="1B494E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Директор (1948 г.)- Смирнов.</w:t>
      </w:r>
    </w:p>
    <w:p w14:paraId="6655BEE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(1948 г.)- Жардецкий.</w:t>
      </w:r>
    </w:p>
    <w:p w14:paraId="028A3A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0BF60740" w14:textId="77777777" w:rsidR="00665165" w:rsidRPr="00F90EAE" w:rsidRDefault="00665165" w:rsidP="00F90EAE">
      <w:pPr>
        <w:autoSpaceDE w:val="0"/>
        <w:autoSpaceDN w:val="0"/>
        <w:adjustRightInd w:val="0"/>
        <w:jc w:val="both"/>
        <w:rPr>
          <w:color w:val="000000" w:themeColor="text1"/>
          <w:sz w:val="16"/>
          <w:szCs w:val="16"/>
        </w:rPr>
      </w:pPr>
    </w:p>
    <w:p w14:paraId="7880E0A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мае 1945 года началось строительство крупнейшего в Сибири химического комбината. Он располагался у впадения в Ангару реки Китой. Все оборудование для него было вывезено из Германии. Сначала этот объект именовался «Китайский исправительно-трудовой лагерь» (в переписке он фигурировал как п/я ВМ-16), а с 1951 года получил статус города и имя Ангарск. В 1955 году химический комбинат был пущен. Десять лет — уникальный срок для возведения такого гигантского объекта </w:t>
      </w:r>
      <w:r w:rsidRPr="00F90EAE">
        <w:rPr>
          <w:color w:val="000000" w:themeColor="text1"/>
          <w:sz w:val="16"/>
          <w:szCs w:val="16"/>
        </w:rPr>
        <w:lastRenderedPageBreak/>
        <w:t>(Братющенко Ю. Ангарск: город, родившийся в «зоне». — «Секретные материалы», 2000, № 23 (42).). Оценить эффективность такого способа строительства, даже спустя полвека, сложно. Мнения специалистов расходятся. Одни утверждают, что оборудование до места назначения доходило разбитым, его бросали и оно постепенно ржавело и разрушалось. Обычная российская бесхозяйственность. Поэтому и было решение организовать производство непосредственно на территории Восточной Германии, которая контролировалась советскими войсками. Сторонники другой версии утверждают обратное. Вывезенное оборудование быстро монтировали, но из-за отсутствия квалифицированных кадров и невозможности их быстрой подготовки, оно простаивало (11765).</w:t>
      </w:r>
    </w:p>
    <w:p w14:paraId="0337D65C" w14:textId="77777777" w:rsidR="00665165" w:rsidRPr="00F90EAE" w:rsidRDefault="00665165" w:rsidP="00F90EAE">
      <w:pPr>
        <w:autoSpaceDE w:val="0"/>
        <w:autoSpaceDN w:val="0"/>
        <w:adjustRightInd w:val="0"/>
        <w:jc w:val="both"/>
        <w:rPr>
          <w:color w:val="000000" w:themeColor="text1"/>
          <w:sz w:val="16"/>
          <w:szCs w:val="16"/>
        </w:rPr>
      </w:pPr>
    </w:p>
    <w:p w14:paraId="10272E5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Постановлением ГКО был создан Горнохимический комбинат № 6 по добыче и переработке урановых руд.</w:t>
      </w:r>
    </w:p>
    <w:p w14:paraId="4A2870F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Это был первый отечественный комбинат, который явился началом создания сырьевой отрасли атомной промышленности.</w:t>
      </w:r>
    </w:p>
    <w:p w14:paraId="0C8232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Комбинат № 6 базировался на нескольких месторождениях урана, находящихся в Средней Азии: Тюямуюнского, Табошарского, Адрасманского, Майли-Суйского, Уйгур-Сайского и осуществлял свою деятельность на территории трех союзных республик – Таджикской, Узбекской и Киргизской.</w:t>
      </w:r>
    </w:p>
    <w:p w14:paraId="79E4E85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Необходимо подчеркнуть, что среднеазиатские руды содержали 0,05 – 0,07% урана, а поставляемая руда из ГДР, Чехословакии и Болгарии – 0,25% (11457).</w:t>
      </w:r>
    </w:p>
    <w:p w14:paraId="5DB194E9" w14:textId="77777777" w:rsidR="00665165" w:rsidRPr="00F90EAE" w:rsidRDefault="00665165" w:rsidP="00F90EAE">
      <w:pPr>
        <w:autoSpaceDE w:val="0"/>
        <w:autoSpaceDN w:val="0"/>
        <w:adjustRightInd w:val="0"/>
        <w:jc w:val="both"/>
        <w:rPr>
          <w:color w:val="000000" w:themeColor="text1"/>
          <w:sz w:val="16"/>
          <w:szCs w:val="16"/>
        </w:rPr>
      </w:pPr>
    </w:p>
    <w:p w14:paraId="00AAAA0E" w14:textId="77777777" w:rsidR="0027059D" w:rsidRPr="00F90EAE" w:rsidRDefault="0027059D" w:rsidP="00F90EAE">
      <w:pPr>
        <w:pStyle w:val="Default"/>
        <w:jc w:val="both"/>
        <w:rPr>
          <w:color w:val="000000" w:themeColor="text1"/>
          <w:sz w:val="16"/>
          <w:szCs w:val="16"/>
        </w:rPr>
      </w:pPr>
      <w:r w:rsidRPr="00F90EAE">
        <w:rPr>
          <w:color w:val="000000" w:themeColor="text1"/>
          <w:sz w:val="16"/>
          <w:szCs w:val="16"/>
        </w:rPr>
        <w:t>С мая 1945 в Германии шло собирание инженеров, техников, физиков и химиков в рамках так называемого научно-исследовательского технического бюро (</w:t>
      </w:r>
      <w:r w:rsidRPr="00F90EAE">
        <w:rPr>
          <w:iCs/>
          <w:color w:val="000000" w:themeColor="text1"/>
          <w:sz w:val="16"/>
          <w:szCs w:val="16"/>
        </w:rPr>
        <w:t>Wissenschaftlich-Technische-Büros - WTB</w:t>
      </w:r>
      <w:r w:rsidRPr="00F90EAE">
        <w:rPr>
          <w:color w:val="000000" w:themeColor="text1"/>
          <w:sz w:val="16"/>
          <w:szCs w:val="16"/>
        </w:rPr>
        <w:t xml:space="preserve">) Советской администрации. И 16 июля 1945 было образовано советско-германское предприятие: Das </w:t>
      </w:r>
      <w:r w:rsidRPr="00F90EAE">
        <w:rPr>
          <w:iCs/>
          <w:color w:val="000000" w:themeColor="text1"/>
          <w:sz w:val="16"/>
          <w:szCs w:val="16"/>
        </w:rPr>
        <w:t xml:space="preserve">Labor-Konstruk-tions-Versuchswerk Oberspree - LKVO </w:t>
      </w:r>
      <w:r w:rsidRPr="00F90EAE">
        <w:rPr>
          <w:color w:val="000000" w:themeColor="text1"/>
          <w:sz w:val="16"/>
          <w:szCs w:val="16"/>
        </w:rPr>
        <w:t>(в Берлине. 1945-48 гг.) подчиняющееся 7 Главному управлению Советской Администрации, а затем 5 ГУ министерства промышленности средств связи. Здесь шли многочисленные ОКР и НИР в интересах военной техники СССР.</w:t>
      </w:r>
    </w:p>
    <w:p w14:paraId="2E4A94C8" w14:textId="77777777" w:rsidR="0027059D" w:rsidRPr="00F90EAE" w:rsidRDefault="0027059D" w:rsidP="00F90EAE">
      <w:pPr>
        <w:shd w:val="clear" w:color="auto" w:fill="FFFFFF"/>
        <w:jc w:val="both"/>
        <w:rPr>
          <w:color w:val="000000" w:themeColor="text1"/>
          <w:sz w:val="16"/>
          <w:szCs w:val="16"/>
        </w:rPr>
      </w:pPr>
    </w:p>
    <w:p w14:paraId="7E3A9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для для разработки различных видов и типов морских карт для боевого кораблевождения и общего морепрлавания, технического и методического руководства корректурой карт и руководств для плавания создан Морской картографический институт ВМС (расформирован в 1946 году) (10515).</w:t>
      </w:r>
    </w:p>
    <w:p w14:paraId="27E32C5D" w14:textId="77777777" w:rsidR="00665165" w:rsidRPr="00F90EAE" w:rsidRDefault="00665165" w:rsidP="00F90EAE">
      <w:pPr>
        <w:autoSpaceDE w:val="0"/>
        <w:autoSpaceDN w:val="0"/>
        <w:adjustRightInd w:val="0"/>
        <w:jc w:val="both"/>
        <w:rPr>
          <w:color w:val="000000" w:themeColor="text1"/>
          <w:sz w:val="16"/>
          <w:szCs w:val="16"/>
        </w:rPr>
      </w:pPr>
    </w:p>
    <w:p w14:paraId="5129C16D" w14:textId="77777777" w:rsidR="0027059D" w:rsidRPr="00F90EAE" w:rsidRDefault="0027059D" w:rsidP="00F90EAE">
      <w:pPr>
        <w:pStyle w:val="book"/>
        <w:ind w:firstLine="0"/>
        <w:jc w:val="both"/>
        <w:rPr>
          <w:color w:val="000000" w:themeColor="text1"/>
          <w:sz w:val="16"/>
          <w:szCs w:val="16"/>
        </w:rPr>
      </w:pPr>
      <w:r w:rsidRPr="00F90EAE">
        <w:rPr>
          <w:color w:val="000000" w:themeColor="text1"/>
          <w:sz w:val="16"/>
          <w:szCs w:val="16"/>
        </w:rPr>
        <w:t>В мае 1945 г. в порту Калуннборг англичанами был захвачен Паром «Крильон» («Прессен») и до 20 марта 1946 г. ходил на линии Травемюнде — Треллеборк и Любек — Гдыня, перевозя бывших немецких солдат и репатриантов. 21 марта 1946 г. «Прессен» был передан СССР в порту Любек. Ремонт «Крильон» прошел в Одессе, а оттуда в 1947 г. направился во Владивосток. Первоначально он использовался как паром на линии Владивосток — Холмск, а в 1951 г. «Крильон» отправили в город Дальний на завод Совкитсудстрой, где его переделали в комфортабельный пассажирский лайнер по проекту ЦПКБ-7. Его пассажировместимость стала свыше 500 пассажиров: 4 — в каютах класса «Люкс», 58 — 1-го класса, 76 — 2-го, 386 — 3-го. С 1959 г. по 1975 г. лайнер эксплуатировался на линии Корсаков — Владивосток, иногда совершая рейсы в Японию. После исключения из состава флота «Крильон» был передан для разделки на металлолом (15225).</w:t>
      </w:r>
    </w:p>
    <w:p w14:paraId="49EE640A" w14:textId="77777777" w:rsidR="0027059D" w:rsidRPr="00F90EAE" w:rsidRDefault="0027059D" w:rsidP="00F90EAE">
      <w:pPr>
        <w:pStyle w:val="book"/>
        <w:ind w:firstLine="0"/>
        <w:jc w:val="both"/>
        <w:rPr>
          <w:color w:val="000000" w:themeColor="text1"/>
          <w:sz w:val="16"/>
          <w:szCs w:val="16"/>
        </w:rPr>
      </w:pPr>
    </w:p>
    <w:p w14:paraId="5980AD9F" w14:textId="77777777" w:rsidR="0027059D" w:rsidRPr="00F90EAE" w:rsidRDefault="0027059D" w:rsidP="00F90EAE">
      <w:pPr>
        <w:pStyle w:val="book"/>
        <w:ind w:firstLine="0"/>
        <w:jc w:val="both"/>
        <w:rPr>
          <w:color w:val="000000" w:themeColor="text1"/>
          <w:sz w:val="16"/>
          <w:szCs w:val="16"/>
        </w:rPr>
      </w:pPr>
      <w:r w:rsidRPr="00F90EAE">
        <w:rPr>
          <w:color w:val="000000" w:themeColor="text1"/>
          <w:sz w:val="16"/>
          <w:szCs w:val="16"/>
        </w:rPr>
        <w:t>В мае 1945 г. союзники захватили в Киле «Ругард» и в 1946 г. передали СССР. Пассажирский пароход был построен в 1927 г. на верфи в Штеттине под названием «Ругард». Его вместимость 1358 брт. Две паровые машины двойного расширения общей мощностью 1900 л. с. давали ход до 15 узлов. В сентябре 1939 г. «Ругард» был введен в состав Кригсмарине и использовался на Балтийском море в качестве штабного корабля, тендера и плавбазы. Судно было переименовано в «Илью Репина» и поставлено на ремонт в Висмаре. В январе 1950 г. отремонтированный и модернизированный пароход передали заказчику. Его тоннаж возрос до 1549 брт, мощность машин снизилась до 1500 л.с, а максимальная скорость хода не превышала 11 узлов. Пассажировместимость после переделки составила: 1 пассажир в каюте «Люкс», 32 пассажира — в каютах 1-го класса, 30 — 2-го и 119 — 3-го. На средней жилой палубе можно было разместить еще 92 человека. В 1946—1950 гг. «Репин» ходил по Балтике, порт приписки — Ленинград, а в 1950—1959 гт. — на Севере, порт приписки — Мурманск (15225).</w:t>
      </w:r>
    </w:p>
    <w:p w14:paraId="38918C5F" w14:textId="77777777" w:rsidR="0027059D" w:rsidRPr="00F90EAE" w:rsidRDefault="0027059D" w:rsidP="00F90EAE">
      <w:pPr>
        <w:pStyle w:val="book"/>
        <w:ind w:firstLine="0"/>
        <w:jc w:val="both"/>
        <w:rPr>
          <w:color w:val="000000" w:themeColor="text1"/>
          <w:sz w:val="16"/>
          <w:szCs w:val="16"/>
        </w:rPr>
      </w:pPr>
    </w:p>
    <w:p w14:paraId="42C2E9A9" w14:textId="77777777" w:rsidR="0027059D" w:rsidRPr="00F90EAE" w:rsidRDefault="0027059D" w:rsidP="00F90EAE">
      <w:pPr>
        <w:pStyle w:val="book"/>
        <w:ind w:firstLine="0"/>
        <w:jc w:val="both"/>
        <w:rPr>
          <w:color w:val="000000" w:themeColor="text1"/>
          <w:sz w:val="16"/>
          <w:szCs w:val="16"/>
        </w:rPr>
      </w:pPr>
      <w:r w:rsidRPr="00F90EAE">
        <w:rPr>
          <w:color w:val="000000" w:themeColor="text1"/>
          <w:sz w:val="16"/>
          <w:szCs w:val="16"/>
        </w:rPr>
        <w:t>В мае 1945 г. союзными войсками в Киле была захвачена «Хела». Авизо с романтическим названием «Берущая волна» («Avizo Hela») был заложен 23 ноября 1937 г. на верфи «Штюльнен-Зон». «Хела» вступила в строй 16 октября 1940 г. в качестве штабного корабля командующего германским подводным флотом адмирала Деница. Ее полное водоизмещение составляло 2520 т. Два дизеля суммарной мощностью в 8360 л. с. позволяли развивать скорость в 21 узел. Экипаж яхты — 244 человека. В связи с началом войны борта яхты украсила камуфляжная окраска, ее вооружили двумя 105-мм орудиями, а также спаренными 37-мм и 20-мм автоматами. Понятно, что главным на яхте была не артиллерия, а 6 кают апартаментов и 10 кают люкс — роскошный кабинет, спальня и ванная, все в стиле модерн. При разделе флота «Хела» досталась СССР, и ее на буксире привели в порт Свинемюнде. Официальная передача яхты советскому экипажу произошла 25 декабря 1945 г., а 20 января 1946 г. над пока еще безымянным советским учебным кораблем Балтииского флота капитан 2-го ранга Гинсбург впервые поднял Военно-морской флаг СССР. Свое новое имя — «Ангара» — яхта получила в мае 1946 г. У нас она также числилась, как у гроссадмирала Деница, «штабным кораблем». В ноябре—декабре 1946 г. на заводе «Нептун» в городе Ростоке (советская зона оккупации) был произведен ремонт машин и вспомогательных механизмов. Особое внимание уделялось реставрации кают. С 1946 г. «Ангара» находилась в составе Балтийского флота и регулярно использовалась для практики курсантов Военно-морского училища им. Фрунзе. Так, с 26 июля по 12 августа 1848 г. «Ангара» со 125-ю курсантами вышла из Балтики, обошла Скандинавский полуостров и зашла в губу Белушья на Новой Земле. Затем нанесла визиты в Мурманск, Архангельск и другие порты Северного флота и благополучно вернулась на Балтику. Совершив переход вокруг Европы, «Ангара» прибыла 28 июня 1949 г. в Севастополь. Некоторое время она числилась кораблем управления. Однако с конца 1949 г. «Ангару» обращают в правительственную яхту. Как сказано в документе: «Обеспечивает деятельность и отдых членов руководства страной и министерства обороны». С 22 июня 1957 г. по 13 марта 1958 г. «Ангара» временно входила в состав Морской Пограничной охраны МВД—КГБ СССР в качестве официальной правительственной яхты, а затем была возвращена Черноморскому флоту для использования в качестве штабного корабля управления. Яхту периодически посещали главы правительства СССР и зарубежных стран. Так, с 9 по 14 сентября 1954 г. на борту яхты Маленков, Молотов, Хрущев и Кириленко совершили круиз Севастополь — Ялта — Сочи — Ялта. В ходе визита в Севастополь произошел эпизод на уровне Чичикова и Манилова. «Около полудня на причале появляется кортеж легковых автомашин, и его сверкающая чистотой площадка заполняется массой людей. Впереди процессии Н.С. Хрущев и Н.А. Булганин, которые за несколько шагов до трапа начинают подталкивать друг друга вперед, видимо, взаимно уступая первенство восхождения на борт корабля. Такая потешная сцена заканчивается тем, что первым оказывается первый секретарь ЦК КПСС. Он и выслушал доклад командира корабля Н.Н. Симонова». Ну а 12 июня 1955 г. на «Ангаре» совершил морскую прогулку премьер-министр Индии Джавахарлал Неру со своей дочерью Индирой Ганди. Индира пожелала осмотреть «Артек». Ради этого в «Артеке» соорудили специальный причал. Ну а из «Артека» Неру с дочерью были доставлены в Ялту. В том же 1955 году, 26—27 августа, на «Ангаре» катались Хрущев и лидер Румынии Георге Георгиу-Деж. Пройдя по Сулинскому гирлу Дуная до города Тулчи, Хрущев покинул «Ангару» и перешел на румынский речной колесный пароход, на котором двинулся дальше в соответствии с программой его пребывания в дружественной стране. «Ангара» с находившимся на ее борту командующим флотом вице-адмиралом В.А. Пархоменко перешла в находящийся в устье гирла порт Сулима, куда через два дня должен был прибыть Хрущев. Однако Хрущев отправился дальше иным путем, а на юте «Ангары» вместо лидера появились сувениры — великолепные образцы румынской кукурузы, тщательно упакованные в специальную тару. Кстати, на «Ангаре» членам экипажа запрещалось появляться на предназначенной для гостей прогулочной палубе, исключение делалось лишь для приборщиков. Бывал на «Ангаре» и министр обороны Г.К. Жуков. Как-то маршал «увидел вдруг невероятное: на верхних палубах кораблей, стоящих на рейде и у причалов, личный состав был во всем белом. Это его не только поразило, но и возмутило. Он и не ведал, что таким образом выражается флотское уважение именно к нему. Ведь по случаю прибытия в главную базу ЧФ министра обороны была отдана команда появляться на верхней палубе кораблей только в форме № 1 (для офицеров — белый китель и белые брюки). На «Ангаре» плавали Иосип Броз Тито, король Афганистана Мухаммад Захир Шах, Урхо Кекконен, Владислав Гомулка, Янош Кадор и другие руководители. В 1983 и 1989 годах яхта прошла капитальный ремонт в Греции. После распада Советского Союза «Ангара» осталась в распоряжении Черноморского флота России и с 1 мая 1998 г. передана гражданскому экипажу. К этому времени судно числилось не яхтой, а плавказармой ПКЗ-14, хотя никто в этой «казарме» не проживал (15225).</w:t>
      </w:r>
    </w:p>
    <w:p w14:paraId="4A8AC75E" w14:textId="77777777" w:rsidR="0027059D" w:rsidRPr="00F90EAE" w:rsidRDefault="0027059D" w:rsidP="00F90EAE">
      <w:pPr>
        <w:pStyle w:val="book"/>
        <w:ind w:firstLine="0"/>
        <w:jc w:val="both"/>
        <w:rPr>
          <w:color w:val="000000" w:themeColor="text1"/>
          <w:sz w:val="16"/>
          <w:szCs w:val="16"/>
        </w:rPr>
      </w:pPr>
    </w:p>
    <w:p w14:paraId="490F4C3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AEBEFD6" w14:textId="77777777" w:rsidR="00665165" w:rsidRPr="00F90EAE" w:rsidRDefault="00665165" w:rsidP="00F90EAE">
      <w:pPr>
        <w:autoSpaceDE w:val="0"/>
        <w:autoSpaceDN w:val="0"/>
        <w:adjustRightInd w:val="0"/>
        <w:jc w:val="both"/>
        <w:rPr>
          <w:iCs/>
          <w:color w:val="000000" w:themeColor="text1"/>
          <w:sz w:val="16"/>
          <w:szCs w:val="16"/>
        </w:rPr>
      </w:pPr>
    </w:p>
    <w:p w14:paraId="785CC9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на Ил-10 перешла 6 гшад, в составе которой был 108 гшап. С конца апреля 1945 на Ил-10 воевал 118 гшап (командир В.Верещинский) в Прибалтике. Первыми начали летать на штурмовку без сопровождения и. За день до капитуляции э командира эскадрильи П.Однобокова сбил сразу два Bf-109 - те проскочили вперед и одного подбили пушки, а другого - ведомого - стрелок (1605,3).</w:t>
      </w:r>
    </w:p>
    <w:p w14:paraId="1AA61941" w14:textId="77777777" w:rsidR="00665165" w:rsidRPr="00F90EAE" w:rsidRDefault="00665165" w:rsidP="00F90EAE">
      <w:pPr>
        <w:autoSpaceDE w:val="0"/>
        <w:autoSpaceDN w:val="0"/>
        <w:adjustRightInd w:val="0"/>
        <w:jc w:val="both"/>
        <w:rPr>
          <w:color w:val="000000" w:themeColor="text1"/>
          <w:sz w:val="16"/>
          <w:szCs w:val="16"/>
        </w:rPr>
      </w:pPr>
    </w:p>
    <w:p w14:paraId="7123A10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месяце 1945 на Ил-10 завер</w:t>
      </w:r>
      <w:r w:rsidRPr="00F90EAE">
        <w:rPr>
          <w:color w:val="000000" w:themeColor="text1"/>
          <w:sz w:val="16"/>
          <w:szCs w:val="16"/>
        </w:rPr>
        <w:softHyphen/>
        <w:t>шили подготовку 686-й, 947-й, 806-й и 807-й шап и 15 экипажей из 995-го шап. Но ни один из них в действующую армию не отправ</w:t>
      </w:r>
      <w:r w:rsidRPr="00F90EAE">
        <w:rPr>
          <w:color w:val="000000" w:themeColor="text1"/>
          <w:sz w:val="16"/>
          <w:szCs w:val="16"/>
        </w:rPr>
        <w:softHyphen/>
        <w:t>лялся. Согласно документов пол</w:t>
      </w:r>
      <w:r w:rsidRPr="00F90EAE">
        <w:rPr>
          <w:color w:val="000000" w:themeColor="text1"/>
          <w:sz w:val="16"/>
          <w:szCs w:val="16"/>
        </w:rPr>
        <w:softHyphen/>
        <w:t>ки 7-го шак в мае проходили до</w:t>
      </w:r>
      <w:r w:rsidRPr="00F90EAE">
        <w:rPr>
          <w:color w:val="000000" w:themeColor="text1"/>
          <w:sz w:val="16"/>
          <w:szCs w:val="16"/>
        </w:rPr>
        <w:softHyphen/>
        <w:t>полнительную тренировку для участия в воздушном параде на Красной площади по случаю Побе</w:t>
      </w:r>
      <w:r w:rsidRPr="00F90EAE">
        <w:rPr>
          <w:color w:val="000000" w:themeColor="text1"/>
          <w:sz w:val="16"/>
          <w:szCs w:val="16"/>
        </w:rPr>
        <w:softHyphen/>
        <w:t>ды над Германией. Таким образом, до 1 мая 1945 г. 1-й запасной штурмовой авиабри</w:t>
      </w:r>
      <w:r w:rsidRPr="00F90EAE">
        <w:rPr>
          <w:color w:val="000000" w:themeColor="text1"/>
          <w:sz w:val="16"/>
          <w:szCs w:val="16"/>
        </w:rPr>
        <w:softHyphen/>
        <w:t>гадой на Ил-10 было переучено и отправлено в действующую армию в общей сложности 11 маршевых авиаполков, из которых большая часть так и не успела попасть на фронт. По состоянию на 10 мая 1945 г. в составе воздушных армий фронтов насчитывалось 120 ис</w:t>
      </w:r>
      <w:r w:rsidRPr="00F90EAE">
        <w:rPr>
          <w:color w:val="000000" w:themeColor="text1"/>
          <w:sz w:val="16"/>
          <w:szCs w:val="16"/>
        </w:rPr>
        <w:softHyphen/>
        <w:t>правных и 26 неисправных самоле</w:t>
      </w:r>
      <w:r w:rsidRPr="00F90EAE">
        <w:rPr>
          <w:color w:val="000000" w:themeColor="text1"/>
          <w:sz w:val="16"/>
          <w:szCs w:val="16"/>
        </w:rPr>
        <w:softHyphen/>
        <w:t>тов Ил-10. Кроме этого, 12 «деся</w:t>
      </w:r>
      <w:r w:rsidRPr="00F90EAE">
        <w:rPr>
          <w:color w:val="000000" w:themeColor="text1"/>
          <w:sz w:val="16"/>
          <w:szCs w:val="16"/>
        </w:rPr>
        <w:softHyphen/>
        <w:t>ток» имелось в ВВС ВМФ (11132).</w:t>
      </w:r>
    </w:p>
    <w:p w14:paraId="7EE6C3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конца ВОВ на Ил-10 перевооружили 12 шап, в т.ч. 26 и 37 шап ТОФ, которые воевали против Японии (1605,3).</w:t>
      </w:r>
    </w:p>
    <w:p w14:paraId="75E5B8B8" w14:textId="77777777" w:rsidR="00665165" w:rsidRPr="00F90EAE" w:rsidRDefault="00665165" w:rsidP="00F90EAE">
      <w:pPr>
        <w:autoSpaceDE w:val="0"/>
        <w:autoSpaceDN w:val="0"/>
        <w:adjustRightInd w:val="0"/>
        <w:jc w:val="both"/>
        <w:rPr>
          <w:color w:val="000000" w:themeColor="text1"/>
          <w:sz w:val="16"/>
          <w:szCs w:val="16"/>
        </w:rPr>
      </w:pPr>
    </w:p>
    <w:p w14:paraId="08EC5ADE" w14:textId="77777777" w:rsidR="0010105A" w:rsidRPr="00F90EAE" w:rsidRDefault="0010105A" w:rsidP="00F90EAE">
      <w:pPr>
        <w:jc w:val="both"/>
        <w:rPr>
          <w:color w:val="000000" w:themeColor="text1"/>
          <w:sz w:val="16"/>
          <w:szCs w:val="16"/>
        </w:rPr>
      </w:pPr>
      <w:r w:rsidRPr="00F90EAE">
        <w:rPr>
          <w:rStyle w:val="107"/>
          <w:rFonts w:eastAsiaTheme="minorHAnsi"/>
          <w:color w:val="000000" w:themeColor="text1"/>
          <w:sz w:val="16"/>
          <w:szCs w:val="16"/>
        </w:rPr>
        <w:t>В мае 1945 на Ил-10 завершили подготовку 686, 947, 806 и 807 шап и 15 экипажей из 995 шап. Но ни один из них в действующую армию не отправлялся. Согласно документам полки 7 шак в мае проходили дополнительную тренировку для участия в воздушном параде по случаю Победы над Германией (17490).</w:t>
      </w:r>
    </w:p>
    <w:p w14:paraId="6E66990A" w14:textId="77777777" w:rsidR="0010105A" w:rsidRPr="00F90EAE" w:rsidRDefault="0010105A" w:rsidP="00F90EAE">
      <w:pPr>
        <w:jc w:val="both"/>
        <w:rPr>
          <w:color w:val="000000" w:themeColor="text1"/>
          <w:sz w:val="16"/>
          <w:szCs w:val="16"/>
        </w:rPr>
      </w:pPr>
    </w:p>
    <w:p w14:paraId="7109FCC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1945-го в ВВС на Ил-4 летало 28 полков. В ходе послевоенного сокращения вооруженных сил их стало меньше. Кроме того, из оставшихся полков частично отечественные самолеты были вытеснены американскими В-25. Например, в 1946 г. на них перешел 330-й полк, дислоцированный в Бобруйске. Американский бомбардировщик считался более совершенным, а также более удобным как переходной тип к новым четырехмоторным машинам. Для дальней авиации готовился мощный и совершенный бомбардировщик Ту-4, скопированный с американского В-29. По своему оборудованию и особенностям пилотирования он был куда ближе к В-25, чем Ил-4. Но поставки В-25 и запчастей к ним завершились с окончанием ленд-лиза в сентябре 1945 г. Так что полноценной замены "Илу" пока не было (12021).</w:t>
      </w:r>
    </w:p>
    <w:p w14:paraId="27337114" w14:textId="77777777" w:rsidR="00665165" w:rsidRPr="00F90EAE" w:rsidRDefault="00665165" w:rsidP="00F90EAE">
      <w:pPr>
        <w:autoSpaceDE w:val="0"/>
        <w:autoSpaceDN w:val="0"/>
        <w:adjustRightInd w:val="0"/>
        <w:jc w:val="both"/>
        <w:rPr>
          <w:color w:val="000000" w:themeColor="text1"/>
          <w:sz w:val="16"/>
          <w:szCs w:val="16"/>
        </w:rPr>
      </w:pPr>
    </w:p>
    <w:p w14:paraId="7B85D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истребители Ла-5 имели на вооружении следующие гвардейские истребительные авиаполки: 3-й, 5-й, 26-й, 32-й, 41-й, 49 -и, 84-й, 88-й, 113-й, 156-й, 163-й, 178-й, 181-й; 3-й, 4-й и 10-й ГИАП КБФ. Кроме того на Ла-5 закончили войну большое количество истребительных авиаполков, не удостоенных гвардейского звания, в том числе: 70-й, 116-й, 122-й, 147-й, 156-й, 159-й, 162-й, 164-й, 171-й, 191-й, 236-й, 239-й, 254-й, 272-й, 287-й, 352-й, 482-й, 486-й, 522-й, 721-й, 760-й, 862-й, 939-й, а также 126-й, 562- и и 907-й ИАП ПВО. Ла-7 находились в мае 1945 г., прежде всего, на вооружении гвардейских полков: 2-го, 9-го, 30-го, 31-го, 40-го, 63-го, 111-го, 171-й, 176-го, 177-го, 179-го (4707).</w:t>
      </w:r>
    </w:p>
    <w:p w14:paraId="59E7F658" w14:textId="77777777" w:rsidR="00665165" w:rsidRPr="00F90EAE" w:rsidRDefault="00665165" w:rsidP="00F90EAE">
      <w:pPr>
        <w:autoSpaceDE w:val="0"/>
        <w:autoSpaceDN w:val="0"/>
        <w:adjustRightInd w:val="0"/>
        <w:jc w:val="both"/>
        <w:rPr>
          <w:color w:val="000000" w:themeColor="text1"/>
          <w:sz w:val="16"/>
          <w:szCs w:val="16"/>
        </w:rPr>
      </w:pPr>
    </w:p>
    <w:p w14:paraId="32E26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ВВС и авиация ПВО имели совместно 3078 Р-39. Из них иа долю ПВО приходилось около 700 машин. Многие полки и дивизии советских ВВС воевали на них до конца боевых действий против Германии, хотя с 1944 года их начали постепенно заменять современными отечественными истребителями Як-3, Лк-9У и Ла-7, а с 1945 года - и американскими Р-63. Именно иа "Кобре" Г. Г. Голубев сбил один из последних иа европейском театре воины вражеских самолетов - Дорнье Do 217 в Чехословакии. Флот к моменту капитуляции Германии успел получить 691 истребитель. Из них на Северный флот поступило 324, на Черное море - 176. И там, и там к концу воины "Кобра" стала основным типом истребителя. Иа севере имелось три полнокровных полка (по 40 и более самолетов) Р-39 - 2-й гвардейский, 27-й и 255-й: десяток машин включал 3-й учебный полк. На Черном море - 11-й и 43-й полки. Около полутораста машин находилось еще в перегоночных полках. Всего один Р-39 числился в училище им. Сталина и еще пять - на Высших офицерских курсах. 65-й полк в Москве располагал шестью "Аэрокобрами". На Балтику Р-39 не поступали. Хотя после воины Р-39 постепенно сменялись более современными истребителями Р-63 "Кингкобра", они служили до начала 50-х годов, а в училищах задержались еще на несколько лет. Так, на Северном флоте в мае 1946 года только началось переучивание летчиков 574-го разведывательного полка с Як-9 и Р-40 иа "Аэрокобры". A 18-й полк ПВО (Хабаровск) сменил Як-9У на Р-39 и Р-63 в июне 1950 года (3457,77).</w:t>
      </w:r>
    </w:p>
    <w:p w14:paraId="32CC40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На Северном флоте и на Балтике пробовали установить на "Кобры" убирающееся лыжное шасси. Но это новшество не прижилось-Р-39 продолжали круглый год летать на колесах. Для ускорения процесса переучивания летчиков создали учебный самолет со второй кабиной впереди основной, очень похожий на американский ТР-39. Их но чертежам ЦНЭБ ВВС делали в разных частях и соединениях. В.И.Воронов, летавший на такой машине уже после войны в 6-м гвардейском полку, писал: "Свою задачу "гибрид" выполнял, но в передней кабине было очень неуютно: винт вращался сантиметрах в сорока перед глазами. А если, в случае непредвиденного, придется покидать самолет с парашютом, то уж попадешь на винт непременно". За исключением усиления хвостовой части, "Кобры" у нас не подвергались сколько ни будь серьезным существенным конструктивным изменениям. Можно только упомянуть о переделке нескольких десятков Р-39 под моторы М-105П из-за нехватки запасных двигателей "Алиссон". Некоторые мелкие изменения вносились непосредственно в частях. Например, Покрышкину переделали ручку управления, совместив гашетки пушки и пулеметов. В 1-й перегоночной дивизии на одни Р-39 установили советский радиополукомпас РПК-10 и использовали эту машину как лидер при перегонке групп одномоторных самолетов. Радиополукомпас на некоторых "Кобрах” ставились и в США. Такие машины тоже поступали в нашу страну, но, видимо, в очень небольшом количестве, так как их не хватало даже в частях ПВО (3457,77).</w:t>
      </w:r>
    </w:p>
    <w:p w14:paraId="60E03086" w14:textId="77777777" w:rsidR="00665165" w:rsidRPr="00F90EAE" w:rsidRDefault="00665165" w:rsidP="00F90EAE">
      <w:pPr>
        <w:autoSpaceDE w:val="0"/>
        <w:autoSpaceDN w:val="0"/>
        <w:adjustRightInd w:val="0"/>
        <w:jc w:val="both"/>
        <w:rPr>
          <w:color w:val="000000" w:themeColor="text1"/>
          <w:sz w:val="16"/>
          <w:szCs w:val="16"/>
        </w:rPr>
      </w:pPr>
    </w:p>
    <w:p w14:paraId="13B27C4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До мая 1945 отдельные И-15бис задержались в составе авиации Северного флота, так как использовались для выполнения вспомогательных задач на самых отдаленных участках большой войны. В 1942 г. в губе Белушья на Новой Земле оборудовали новоземельскую военно-морскую базу, имеющую якорные стоянки для кораблей, опорные пункты, посты наблюдения и связи. Корабельные силы базы на первом этапе состояли из 15 единиц тральщиков и сторожевиков, выделенных из Беломорской флотилии. Противовоздушную оборону базы осуществляла эскадрилья истребителей И-15бис и И-153 54-го сап и самолеты МБР-2.</w:t>
      </w:r>
    </w:p>
    <w:p w14:paraId="415612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течение 1942-44 гг. И-15бис из состава 54-го сап постоянно вели воздушную разведку в районе новоземельской базы. Так, 23 июля 1944 г. истребитель И-15бис на подходе к губе Белушья обнаружил вражескую лодку и сбросил на нее 2 ФАБ-50. Понятно, что уничтожить лодку обычными фугасными авиабомбами было невозможно, однако признавалось, что даже отпугивающий характер действий при недостатке средств играет положительную роль. Базируясь на Новой Земле, несколько И-15бис и И-153 несли свою службу до окончания боевых действий. Последний И-15бис№5387 из состава 54-го сап списали 1 октября 1945 г. В этот же день списали и последнюю на севере "чайку" - И-153 №8148 (12014).</w:t>
      </w:r>
    </w:p>
    <w:p w14:paraId="1E162AE5" w14:textId="77777777" w:rsidR="00665165" w:rsidRPr="00F90EAE" w:rsidRDefault="00665165" w:rsidP="00F90EAE">
      <w:pPr>
        <w:autoSpaceDE w:val="0"/>
        <w:autoSpaceDN w:val="0"/>
        <w:adjustRightInd w:val="0"/>
        <w:jc w:val="both"/>
        <w:rPr>
          <w:color w:val="000000" w:themeColor="text1"/>
          <w:sz w:val="16"/>
          <w:szCs w:val="16"/>
        </w:rPr>
      </w:pPr>
    </w:p>
    <w:p w14:paraId="53785CB2" w14:textId="77777777" w:rsidR="00823A00" w:rsidRPr="00F90EAE" w:rsidRDefault="00823A00" w:rsidP="00F90EAE">
      <w:pPr>
        <w:jc w:val="both"/>
        <w:rPr>
          <w:color w:val="000000" w:themeColor="text1"/>
          <w:sz w:val="16"/>
          <w:szCs w:val="16"/>
        </w:rPr>
      </w:pPr>
      <w:r w:rsidRPr="00F90EAE">
        <w:rPr>
          <w:color w:val="000000" w:themeColor="text1"/>
          <w:sz w:val="16"/>
          <w:szCs w:val="16"/>
        </w:rPr>
        <w:t>В мае 1945 г. на момент окончания боевых действий против Германии неболь</w:t>
      </w:r>
      <w:r w:rsidRPr="00F90EAE">
        <w:rPr>
          <w:color w:val="000000" w:themeColor="text1"/>
          <w:sz w:val="16"/>
          <w:szCs w:val="16"/>
        </w:rPr>
        <w:softHyphen/>
        <w:t>шое количество старых бипланов ещё имелось на Дальнем Востоке (12294).</w:t>
      </w:r>
    </w:p>
    <w:p w14:paraId="4B88F9C5" w14:textId="77777777" w:rsidR="00823A00" w:rsidRPr="00F90EAE" w:rsidRDefault="00823A00" w:rsidP="00F90EAE">
      <w:pPr>
        <w:pStyle w:val="80"/>
        <w:shd w:val="clear" w:color="auto" w:fill="auto"/>
        <w:spacing w:line="240" w:lineRule="auto"/>
        <w:jc w:val="both"/>
        <w:rPr>
          <w:rFonts w:ascii="Times New Roman" w:hAnsi="Times New Roman" w:cs="Times New Roman"/>
          <w:color w:val="000000" w:themeColor="text1"/>
        </w:rPr>
      </w:pPr>
    </w:p>
    <w:p w14:paraId="60E2E3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на Дальнем Востоке в составе Амурской военой флотилии Р-5 использовались для охраны границы имелось некоторое количество Р-5. Еще в течении нескольких лет отдельные экземпляры применялись в Монголии.</w:t>
      </w:r>
    </w:p>
    <w:p w14:paraId="7B51508D" w14:textId="77777777" w:rsidR="00665165" w:rsidRPr="00F90EAE" w:rsidRDefault="00665165" w:rsidP="00F90EAE">
      <w:pPr>
        <w:autoSpaceDE w:val="0"/>
        <w:autoSpaceDN w:val="0"/>
        <w:adjustRightInd w:val="0"/>
        <w:jc w:val="both"/>
        <w:rPr>
          <w:color w:val="000000" w:themeColor="text1"/>
          <w:sz w:val="16"/>
          <w:szCs w:val="16"/>
        </w:rPr>
      </w:pPr>
    </w:p>
    <w:p w14:paraId="798C23C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мае 1945 г. в строевых частях числились 843 "Спит-файра". Большинство укомплектованных ан</w:t>
      </w:r>
      <w:r w:rsidRPr="00F90EAE">
        <w:rPr>
          <w:color w:val="000000" w:themeColor="text1"/>
          <w:sz w:val="16"/>
          <w:szCs w:val="16"/>
        </w:rPr>
        <w:softHyphen/>
        <w:t>глийскими истребителями полков нахо</w:t>
      </w:r>
      <w:r w:rsidRPr="00F90EAE">
        <w:rPr>
          <w:color w:val="000000" w:themeColor="text1"/>
          <w:sz w:val="16"/>
          <w:szCs w:val="16"/>
        </w:rPr>
        <w:softHyphen/>
        <w:t>дились достаточно далеко от фронта. Исключение составлял район Ленинг</w:t>
      </w:r>
      <w:r w:rsidRPr="00F90EAE">
        <w:rPr>
          <w:color w:val="000000" w:themeColor="text1"/>
          <w:sz w:val="16"/>
          <w:szCs w:val="16"/>
        </w:rPr>
        <w:softHyphen/>
        <w:t>рада, куда еще наведывались немец</w:t>
      </w:r>
      <w:r w:rsidRPr="00F90EAE">
        <w:rPr>
          <w:color w:val="000000" w:themeColor="text1"/>
          <w:sz w:val="16"/>
          <w:szCs w:val="16"/>
        </w:rPr>
        <w:softHyphen/>
        <w:t>кие воздушные разведчики. Там имели место боевые столкновения "Спитфайров" 1_Р IX с противником. 20 октября 1944 г. майор А. Карпов из 27-го гв. иап вылетел на перехват. Но, подни</w:t>
      </w:r>
      <w:r w:rsidRPr="00F90EAE">
        <w:rPr>
          <w:color w:val="000000" w:themeColor="text1"/>
          <w:sz w:val="16"/>
          <w:szCs w:val="16"/>
        </w:rPr>
        <w:softHyphen/>
        <w:t>маясь на высоту, из-за отказа кисло</w:t>
      </w:r>
      <w:r w:rsidRPr="00F90EAE">
        <w:rPr>
          <w:color w:val="000000" w:themeColor="text1"/>
          <w:sz w:val="16"/>
          <w:szCs w:val="16"/>
        </w:rPr>
        <w:softHyphen/>
        <w:t>родной системы летчик потерял созна</w:t>
      </w:r>
      <w:r w:rsidRPr="00F90EAE">
        <w:rPr>
          <w:color w:val="000000" w:themeColor="text1"/>
          <w:sz w:val="16"/>
          <w:szCs w:val="16"/>
        </w:rPr>
        <w:softHyphen/>
        <w:t>ние и разбился. 8 марта 1945 г. под Ленинградом летчики В. Рыбин и А. Федотов (из 11-го и 102-го гв. иап) на 1_Р IX перехвати</w:t>
      </w:r>
      <w:r w:rsidRPr="00F90EAE">
        <w:rPr>
          <w:color w:val="000000" w:themeColor="text1"/>
          <w:sz w:val="16"/>
          <w:szCs w:val="16"/>
        </w:rPr>
        <w:softHyphen/>
        <w:t>ли и сбили шедший на большой высо</w:t>
      </w:r>
      <w:r w:rsidRPr="00F90EAE">
        <w:rPr>
          <w:color w:val="000000" w:themeColor="text1"/>
          <w:sz w:val="16"/>
          <w:szCs w:val="16"/>
        </w:rPr>
        <w:softHyphen/>
        <w:t>те немецкий разведчик Ю 88S.</w:t>
      </w:r>
    </w:p>
    <w:p w14:paraId="1045CBE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95AC2B4" w14:textId="77777777" w:rsidR="00A65CB5" w:rsidRPr="00F90EAE" w:rsidRDefault="00A65CB5" w:rsidP="00F90EAE">
      <w:pPr>
        <w:jc w:val="both"/>
        <w:rPr>
          <w:color w:val="0070C0"/>
          <w:sz w:val="16"/>
          <w:szCs w:val="16"/>
        </w:rPr>
      </w:pPr>
      <w:r w:rsidRPr="00F90EAE">
        <w:rPr>
          <w:color w:val="0070C0"/>
          <w:sz w:val="16"/>
          <w:szCs w:val="16"/>
          <w:lang w:bidi="ru-RU"/>
        </w:rPr>
        <w:t>В мае 1945 г. на основе ряда частей Войска Польского был сформирован Корпус внутренней безопасности (КВБ) при Министерстве внутренних дел страны. Само ВП выделило поначалу для борьбы с «партизанткой народовей» (национальным парти</w:t>
      </w:r>
      <w:r w:rsidRPr="00F90EAE">
        <w:rPr>
          <w:color w:val="0070C0"/>
          <w:sz w:val="16"/>
          <w:szCs w:val="16"/>
          <w:lang w:bidi="ru-RU"/>
        </w:rPr>
        <w:softHyphen/>
        <w:t>занским движением) три пехотные дивизии и ряд других частей. Со временем их число росло.</w:t>
      </w:r>
    </w:p>
    <w:p w14:paraId="29EC71A5" w14:textId="77777777" w:rsidR="00A65CB5" w:rsidRPr="00F90EAE" w:rsidRDefault="00A65CB5" w:rsidP="00F90EAE">
      <w:pPr>
        <w:jc w:val="both"/>
        <w:rPr>
          <w:color w:val="0070C0"/>
          <w:sz w:val="16"/>
          <w:szCs w:val="16"/>
          <w:lang w:bidi="ru-RU"/>
        </w:rPr>
      </w:pPr>
      <w:r w:rsidRPr="00F90EAE">
        <w:rPr>
          <w:color w:val="0070C0"/>
          <w:sz w:val="16"/>
          <w:szCs w:val="16"/>
          <w:lang w:bidi="ru-RU"/>
        </w:rPr>
        <w:t>Привлечена была и авиация: 2-й отдельный авиаполк ВВС, 9-я отдельная эскадрилья связи КВБ (с весны 1946 г.), отдель</w:t>
      </w:r>
      <w:r w:rsidRPr="00F90EAE">
        <w:rPr>
          <w:color w:val="0070C0"/>
          <w:sz w:val="16"/>
          <w:szCs w:val="16"/>
          <w:lang w:bidi="ru-RU"/>
        </w:rPr>
        <w:softHyphen/>
        <w:t>ные звенья связи при штабах военных округов (с августа 1946 г.; каждое насчитывало по три самолета и восемь человек лет</w:t>
      </w:r>
      <w:r w:rsidRPr="00F90EAE">
        <w:rPr>
          <w:color w:val="0070C0"/>
          <w:sz w:val="16"/>
          <w:szCs w:val="16"/>
          <w:lang w:bidi="ru-RU"/>
        </w:rPr>
        <w:softHyphen/>
        <w:t>ного и технического состава), а также, частично, - Офицер</w:t>
      </w:r>
      <w:r w:rsidRPr="00F90EAE">
        <w:rPr>
          <w:color w:val="0070C0"/>
          <w:sz w:val="16"/>
          <w:szCs w:val="16"/>
          <w:lang w:bidi="ru-RU"/>
        </w:rPr>
        <w:softHyphen/>
        <w:t>ская авиашкола в Демблине. Все они летали на По-2. Эти ча</w:t>
      </w:r>
      <w:r w:rsidRPr="00F90EAE">
        <w:rPr>
          <w:color w:val="0070C0"/>
          <w:sz w:val="16"/>
          <w:szCs w:val="16"/>
          <w:lang w:bidi="ru-RU"/>
        </w:rPr>
        <w:softHyphen/>
        <w:t>сти и подразделения должны были выполнять ряд задач в ин</w:t>
      </w:r>
      <w:r w:rsidRPr="00F90EAE">
        <w:rPr>
          <w:color w:val="0070C0"/>
          <w:sz w:val="16"/>
          <w:szCs w:val="16"/>
          <w:lang w:bidi="ru-RU"/>
        </w:rPr>
        <w:softHyphen/>
        <w:t>тересах наземных частей: вести разведку, осуществлять связь между штабами, выполнять задачи агитационно-про</w:t>
      </w:r>
      <w:r w:rsidRPr="00F90EAE">
        <w:rPr>
          <w:color w:val="0070C0"/>
          <w:sz w:val="16"/>
          <w:szCs w:val="16"/>
          <w:lang w:bidi="ru-RU"/>
        </w:rPr>
        <w:softHyphen/>
        <w:t>пагандистского характера. О применении оружия речь не шла. При этом авиация направлялась в районы, где существова</w:t>
      </w:r>
      <w:r w:rsidRPr="00F90EAE">
        <w:rPr>
          <w:color w:val="0070C0"/>
          <w:sz w:val="16"/>
          <w:szCs w:val="16"/>
          <w:lang w:bidi="ru-RU"/>
        </w:rPr>
        <w:softHyphen/>
        <w:t>ла наибольшая угроза со стороны вооруженного подполья (20274).</w:t>
      </w:r>
    </w:p>
    <w:p w14:paraId="6ED0A353" w14:textId="77777777" w:rsidR="00A65CB5" w:rsidRPr="00F90EAE" w:rsidRDefault="00A65CB5" w:rsidP="00F90EAE">
      <w:pPr>
        <w:jc w:val="both"/>
        <w:rPr>
          <w:color w:val="0070C0"/>
          <w:sz w:val="16"/>
          <w:szCs w:val="16"/>
        </w:rPr>
      </w:pPr>
    </w:p>
    <w:p w14:paraId="60AB6C4D" w14:textId="77777777" w:rsidR="004F22D7" w:rsidRPr="00F90EAE" w:rsidRDefault="004F22D7"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B669F97" w14:textId="77777777" w:rsidR="004F22D7" w:rsidRPr="00F90EAE" w:rsidRDefault="004F22D7" w:rsidP="00F90EAE">
      <w:pPr>
        <w:autoSpaceDE w:val="0"/>
        <w:autoSpaceDN w:val="0"/>
        <w:adjustRightInd w:val="0"/>
        <w:jc w:val="both"/>
        <w:rPr>
          <w:iCs/>
          <w:color w:val="000000" w:themeColor="text1"/>
          <w:sz w:val="16"/>
          <w:szCs w:val="16"/>
        </w:rPr>
      </w:pPr>
    </w:p>
    <w:p w14:paraId="1B0520A0" w14:textId="77777777" w:rsidR="004F22D7" w:rsidRPr="00F90EAE" w:rsidRDefault="004F22D7" w:rsidP="00F90EAE">
      <w:pPr>
        <w:jc w:val="both"/>
        <w:rPr>
          <w:color w:val="000000" w:themeColor="text1"/>
          <w:sz w:val="16"/>
          <w:szCs w:val="16"/>
        </w:rPr>
      </w:pPr>
      <w:r w:rsidRPr="00F90EAE">
        <w:rPr>
          <w:color w:val="000000" w:themeColor="text1"/>
          <w:sz w:val="16"/>
          <w:szCs w:val="16"/>
          <w:shd w:val="clear" w:color="auto" w:fill="FFFFFF"/>
        </w:rPr>
        <w:t xml:space="preserve">В мае 1945 к концу войны в стране имелось 7,6 тысячи ОРСов, обслуживавших почти половину всех лиц, находившихся на централизованном снабжении. В послевоенные годы, по мере развития сети магазинов системы Министерства торговли, ОРСы сосредоточили свои усилия главным образом на обслуживании трудящихся, занятых в отраслях со специфическими условиями организации производства </w:t>
      </w:r>
      <w:r w:rsidRPr="00F90EAE">
        <w:rPr>
          <w:color w:val="000000" w:themeColor="text1"/>
          <w:sz w:val="16"/>
          <w:szCs w:val="16"/>
        </w:rPr>
        <w:t>(19551).</w:t>
      </w:r>
    </w:p>
    <w:p w14:paraId="2EC15984" w14:textId="77777777" w:rsidR="004F22D7" w:rsidRPr="00F90EAE" w:rsidRDefault="004F22D7" w:rsidP="00F90EAE">
      <w:pPr>
        <w:jc w:val="both"/>
        <w:rPr>
          <w:color w:val="000000" w:themeColor="text1"/>
          <w:sz w:val="16"/>
          <w:szCs w:val="16"/>
        </w:rPr>
      </w:pPr>
    </w:p>
    <w:p w14:paraId="4A93EA0E"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786F168" w14:textId="77777777" w:rsidR="00665165" w:rsidRPr="00F90EAE" w:rsidRDefault="00665165" w:rsidP="00F90EAE">
      <w:pPr>
        <w:autoSpaceDE w:val="0"/>
        <w:autoSpaceDN w:val="0"/>
        <w:adjustRightInd w:val="0"/>
        <w:jc w:val="both"/>
        <w:rPr>
          <w:iCs/>
          <w:color w:val="000000" w:themeColor="text1"/>
          <w:sz w:val="16"/>
          <w:szCs w:val="16"/>
        </w:rPr>
      </w:pPr>
    </w:p>
    <w:p w14:paraId="7EE7DFD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было принято решение о начале массового демонтажа и вывоза оборудования из Германии. При этом решили начать с Берлина. Всего с марта 1945-го по март 1946 года ГКО и другими высшими органами Советского Союза было принято 986 различных постановлений, относящихся к демонтажу 4389 предприятий, в том числе 2885 из Германии, 1137 немецких предприятий из Польши, 206 из Австрии, 11 из Венгрии, 54 немецких предприятий из Чехословакии и 96 из Китая (Маньчжурия) (Семиряга М. И. Как мы управляли Германией. — М., 1995, с. 122.). Кроме оборудования вывозились и наиболее интересные образцы техники. Например, в 1945 году в СССР было отправлено 89 образцов наиболее интересных сельскохозяйственных машин общей стоимостью 64 тысячи марок. А с августа 1945 по 10 января 1947 года репатриационные органы приобрели 1333 образца сельскохозяйственных машин и оборудования общей стоимостью 194 тысячи марок (Семиряга М. И. Как мы управляли Германией. — М., 1995, с. 127.) (11765).</w:t>
      </w:r>
    </w:p>
    <w:p w14:paraId="20836319" w14:textId="77777777" w:rsidR="00665165" w:rsidRPr="00F90EAE" w:rsidRDefault="00665165" w:rsidP="00F90EAE">
      <w:pPr>
        <w:autoSpaceDE w:val="0"/>
        <w:autoSpaceDN w:val="0"/>
        <w:adjustRightInd w:val="0"/>
        <w:jc w:val="both"/>
        <w:rPr>
          <w:color w:val="000000" w:themeColor="text1"/>
          <w:sz w:val="16"/>
          <w:szCs w:val="16"/>
        </w:rPr>
      </w:pPr>
    </w:p>
    <w:p w14:paraId="6B7D72D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6ABD496" w14:textId="77777777" w:rsidR="00665165" w:rsidRPr="00F90EAE" w:rsidRDefault="00665165" w:rsidP="00F90EAE">
      <w:pPr>
        <w:autoSpaceDE w:val="0"/>
        <w:autoSpaceDN w:val="0"/>
        <w:adjustRightInd w:val="0"/>
        <w:jc w:val="both"/>
        <w:rPr>
          <w:iCs/>
          <w:color w:val="000000" w:themeColor="text1"/>
          <w:sz w:val="16"/>
          <w:szCs w:val="16"/>
        </w:rPr>
      </w:pPr>
    </w:p>
    <w:p w14:paraId="749F3FC3" w14:textId="77777777" w:rsidR="00A65CB5" w:rsidRPr="00F90EAE" w:rsidRDefault="00A65CB5" w:rsidP="00F90EAE">
      <w:pPr>
        <w:pStyle w:val="1131"/>
        <w:shd w:val="clear" w:color="auto" w:fill="auto"/>
        <w:spacing w:line="240" w:lineRule="auto"/>
        <w:ind w:firstLine="0"/>
        <w:rPr>
          <w:rFonts w:ascii="Times New Roman" w:hAnsi="Times New Roman" w:cs="Times New Roman"/>
          <w:color w:val="0070C0"/>
          <w:sz w:val="16"/>
          <w:szCs w:val="16"/>
          <w:lang w:val="ru-RU"/>
        </w:rPr>
      </w:pPr>
      <w:r w:rsidRPr="00F90EAE">
        <w:rPr>
          <w:rFonts w:ascii="Times New Roman" w:hAnsi="Times New Roman" w:cs="Times New Roman"/>
          <w:color w:val="0070C0"/>
          <w:sz w:val="16"/>
          <w:szCs w:val="16"/>
          <w:lang w:val="ru-RU"/>
        </w:rPr>
        <w:t>В</w:t>
      </w:r>
      <w:r w:rsidRPr="00F90EAE">
        <w:rPr>
          <w:rFonts w:ascii="Times New Roman" w:hAnsi="Times New Roman" w:cs="Times New Roman"/>
          <w:color w:val="0070C0"/>
          <w:sz w:val="16"/>
          <w:szCs w:val="16"/>
        </w:rPr>
        <w:t xml:space="preserve"> мае </w:t>
      </w:r>
      <w:r w:rsidRPr="00F90EAE">
        <w:rPr>
          <w:rFonts w:ascii="Times New Roman" w:hAnsi="Times New Roman" w:cs="Times New Roman"/>
          <w:color w:val="0070C0"/>
          <w:sz w:val="16"/>
          <w:szCs w:val="16"/>
          <w:lang w:val="ru-RU"/>
        </w:rPr>
        <w:t xml:space="preserve">1945 </w:t>
      </w:r>
      <w:r w:rsidRPr="00F90EAE">
        <w:rPr>
          <w:rFonts w:ascii="Times New Roman" w:hAnsi="Times New Roman" w:cs="Times New Roman"/>
          <w:color w:val="0070C0"/>
          <w:sz w:val="16"/>
          <w:szCs w:val="16"/>
        </w:rPr>
        <w:t xml:space="preserve">контракты </w:t>
      </w:r>
      <w:r w:rsidRPr="00F90EAE">
        <w:rPr>
          <w:rFonts w:ascii="Times New Roman" w:hAnsi="Times New Roman" w:cs="Times New Roman"/>
          <w:color w:val="0070C0"/>
          <w:sz w:val="16"/>
          <w:szCs w:val="16"/>
          <w:lang w:val="ru-RU"/>
        </w:rPr>
        <w:t xml:space="preserve">на В-24 </w:t>
      </w:r>
      <w:r w:rsidRPr="00F90EAE">
        <w:rPr>
          <w:rFonts w:ascii="Times New Roman" w:hAnsi="Times New Roman" w:cs="Times New Roman"/>
          <w:color w:val="0070C0"/>
          <w:sz w:val="16"/>
          <w:szCs w:val="16"/>
        </w:rPr>
        <w:t>аннулировали. «Консолидейтед» успел сдать 916 B-24М-CO, а «Форд» — 1677 B-24M-FO. Законченные после 31 мая В-24М прямо с завода уходили на авиабазу Кингмен на разделку</w:t>
      </w:r>
      <w:r w:rsidRPr="00F90EAE">
        <w:rPr>
          <w:rFonts w:ascii="Times New Roman" w:hAnsi="Times New Roman" w:cs="Times New Roman"/>
          <w:color w:val="0070C0"/>
          <w:sz w:val="16"/>
          <w:szCs w:val="16"/>
          <w:lang w:val="ru-RU"/>
        </w:rPr>
        <w:t>.</w:t>
      </w:r>
    </w:p>
    <w:p w14:paraId="1C5E0DEA" w14:textId="77777777" w:rsidR="00A65CB5" w:rsidRPr="00F90EAE" w:rsidRDefault="00A65CB5" w:rsidP="00F90EAE">
      <w:pPr>
        <w:pStyle w:val="1131"/>
        <w:shd w:val="clear" w:color="auto" w:fill="auto"/>
        <w:spacing w:line="240" w:lineRule="auto"/>
        <w:ind w:firstLine="0"/>
        <w:rPr>
          <w:rFonts w:ascii="Times New Roman" w:hAnsi="Times New Roman" w:cs="Times New Roman"/>
          <w:color w:val="0070C0"/>
          <w:sz w:val="16"/>
          <w:szCs w:val="16"/>
        </w:rPr>
      </w:pPr>
      <w:r w:rsidRPr="00F90EAE">
        <w:rPr>
          <w:rFonts w:ascii="Times New Roman" w:hAnsi="Times New Roman" w:cs="Times New Roman"/>
          <w:color w:val="0070C0"/>
          <w:sz w:val="16"/>
          <w:szCs w:val="16"/>
        </w:rPr>
        <w:lastRenderedPageBreak/>
        <w:t>Постройка бомбардировщиков В-24 «Либерейтор» шла на двух заводах фирмы Консолидейтед, и еще три фирмы строили его по лицензии. Он стал самым массовым четырехмоторным самолетом всех стран и народов — за семь лет было построено 18482 таких воздушных корабля, и абсолютное большинство их пошло заказчикам именно в качестве тяжелого бомбардировщика. И в Англии, и в Германии, и в СССР, и в Японии в годы II мировой войны основу выпуска авиатехники составляли одномоторные самолеты. В Америке же рекордсменом стал четырехмоторный «Либерейтор»</w:t>
      </w:r>
      <w:r w:rsidRPr="00F90EAE">
        <w:rPr>
          <w:rFonts w:ascii="Times New Roman" w:hAnsi="Times New Roman" w:cs="Times New Roman"/>
          <w:color w:val="0070C0"/>
          <w:sz w:val="16"/>
          <w:szCs w:val="16"/>
          <w:lang w:val="ru-RU"/>
        </w:rPr>
        <w:t xml:space="preserve"> (22893)</w:t>
      </w:r>
      <w:r w:rsidRPr="00F90EAE">
        <w:rPr>
          <w:rFonts w:ascii="Times New Roman" w:hAnsi="Times New Roman" w:cs="Times New Roman"/>
          <w:color w:val="0070C0"/>
          <w:sz w:val="16"/>
          <w:szCs w:val="16"/>
        </w:rPr>
        <w:t>.</w:t>
      </w:r>
    </w:p>
    <w:p w14:paraId="5F489E27" w14:textId="77777777" w:rsidR="00A65CB5" w:rsidRPr="00F90EAE" w:rsidRDefault="00A65CB5" w:rsidP="00F90EAE">
      <w:pPr>
        <w:jc w:val="both"/>
        <w:rPr>
          <w:color w:val="0070C0"/>
          <w:sz w:val="16"/>
          <w:szCs w:val="16"/>
        </w:rPr>
      </w:pPr>
    </w:p>
    <w:p w14:paraId="7FE81754" w14:textId="77777777" w:rsidR="00A65CB5" w:rsidRPr="00F90EAE" w:rsidRDefault="00A65CB5" w:rsidP="00F90EAE">
      <w:pPr>
        <w:jc w:val="both"/>
        <w:rPr>
          <w:color w:val="0070C0"/>
          <w:sz w:val="16"/>
          <w:szCs w:val="16"/>
        </w:rPr>
      </w:pPr>
      <w:r w:rsidRPr="00F90EAE">
        <w:rPr>
          <w:color w:val="0070C0"/>
          <w:sz w:val="16"/>
          <w:szCs w:val="16"/>
        </w:rPr>
        <w:t>В мае 1945 г. начались испытания ХВ-44 - B-29A-5-BN №42-93845 с двигателями R-4360-33 мощностью по 3000 л.с. и показали, что скорость этой машины с ограниченным взлетным весом и вооруженной только хвостовой турелью на 21 км/ч ниже, чем у ХВ-39, тем не менее военные предпочли моторы «Пратт-Уитни» воздушного охлаждения «аллисонам» с охлаждением жидкостным. Проект серийной модификации «сверхкрепости» с моторами R-4360 получил военное обозначение B-29D, а на фирме «Боинг» — Модель 345-2. Разработка его формально началась в 1944 г., но Заказчик требовал в первую очередь устранить дефекты базового варианта В-29. И только в августе 1945 г. «Боинг» получил контракт на 200 новых бомбардировщиков (23012).</w:t>
      </w:r>
    </w:p>
    <w:p w14:paraId="05D3F791" w14:textId="77777777" w:rsidR="00A65CB5" w:rsidRPr="00F90EAE" w:rsidRDefault="00A65CB5" w:rsidP="00F90EAE">
      <w:pPr>
        <w:jc w:val="both"/>
        <w:rPr>
          <w:color w:val="0070C0"/>
          <w:sz w:val="16"/>
          <w:szCs w:val="16"/>
        </w:rPr>
      </w:pPr>
    </w:p>
    <w:p w14:paraId="4B052AF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 было начато проектирование «Морского специальный штурмовой планер Синрю («Божественный дракон»). Предполагалось, что такие планеры будут находиться в туннелях и взлетать при помощи ракетных двигателей. Имея 100 кг взрывчатки, они должны были использоваться против танков и кораблей в случае американского вторжения в Японию. В середине июля планер был построен, и началось его испытание. Предполагалось, что благодаря 30-секундной работе ракетных двигателей планер будет способен развить скорость 750 км/ч – достаточную для таранного удара по цели.</w:t>
      </w:r>
    </w:p>
    <w:p w14:paraId="204EBB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Проект другого планера – Синрю2 предполагал оснащение летательного аппарата двумя ракетными двигателями и 6–8 ракетами (11686).</w:t>
      </w:r>
    </w:p>
    <w:p w14:paraId="0770491B" w14:textId="77777777" w:rsidR="00665165" w:rsidRPr="00F90EAE" w:rsidRDefault="00665165" w:rsidP="00F90EAE">
      <w:pPr>
        <w:autoSpaceDE w:val="0"/>
        <w:autoSpaceDN w:val="0"/>
        <w:adjustRightInd w:val="0"/>
        <w:jc w:val="both"/>
        <w:rPr>
          <w:color w:val="000000" w:themeColor="text1"/>
          <w:sz w:val="16"/>
          <w:szCs w:val="16"/>
        </w:rPr>
      </w:pPr>
    </w:p>
    <w:p w14:paraId="44794945" w14:textId="77777777" w:rsidR="00A92FC9" w:rsidRPr="00F90EAE" w:rsidRDefault="00A92FC9" w:rsidP="00F90EAE">
      <w:pPr>
        <w:autoSpaceDE w:val="0"/>
        <w:autoSpaceDN w:val="0"/>
        <w:adjustRightInd w:val="0"/>
        <w:jc w:val="both"/>
        <w:rPr>
          <w:color w:val="000000" w:themeColor="text1"/>
          <w:sz w:val="16"/>
          <w:szCs w:val="16"/>
        </w:rPr>
      </w:pPr>
      <w:r w:rsidRPr="00F90EAE">
        <w:rPr>
          <w:color w:val="000000" w:themeColor="text1"/>
          <w:sz w:val="16"/>
          <w:szCs w:val="16"/>
        </w:rPr>
        <w:t>В мае 1945 в Нью Мексико был основан ракетный полигон White Sands (2990).</w:t>
      </w:r>
    </w:p>
    <w:p w14:paraId="7BFCB7B3" w14:textId="77777777" w:rsidR="00A92FC9" w:rsidRPr="00F90EAE" w:rsidRDefault="00A92FC9" w:rsidP="00F90EAE">
      <w:pPr>
        <w:autoSpaceDE w:val="0"/>
        <w:autoSpaceDN w:val="0"/>
        <w:adjustRightInd w:val="0"/>
        <w:jc w:val="both"/>
        <w:rPr>
          <w:color w:val="000000" w:themeColor="text1"/>
          <w:sz w:val="16"/>
          <w:szCs w:val="16"/>
        </w:rPr>
      </w:pPr>
    </w:p>
    <w:p w14:paraId="79B13F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года военное министерство Японии упразднило проект «Ни» по созданию атомной бомбы (11457).</w:t>
      </w:r>
    </w:p>
    <w:p w14:paraId="1FDA9E9A" w14:textId="77777777" w:rsidR="00665165" w:rsidRPr="00F90EAE" w:rsidRDefault="00665165" w:rsidP="00F90EAE">
      <w:pPr>
        <w:autoSpaceDE w:val="0"/>
        <w:autoSpaceDN w:val="0"/>
        <w:adjustRightInd w:val="0"/>
        <w:jc w:val="both"/>
        <w:rPr>
          <w:color w:val="000000" w:themeColor="text1"/>
          <w:sz w:val="16"/>
          <w:szCs w:val="16"/>
        </w:rPr>
      </w:pPr>
    </w:p>
    <w:p w14:paraId="21032C60" w14:textId="77777777" w:rsidR="0027059D" w:rsidRPr="00F90EAE" w:rsidRDefault="0027059D" w:rsidP="00F90EAE">
      <w:pPr>
        <w:pStyle w:val="book"/>
        <w:ind w:firstLine="0"/>
        <w:jc w:val="both"/>
        <w:rPr>
          <w:color w:val="000000" w:themeColor="text1"/>
          <w:sz w:val="16"/>
          <w:szCs w:val="16"/>
        </w:rPr>
      </w:pPr>
      <w:r w:rsidRPr="00F90EAE">
        <w:rPr>
          <w:color w:val="000000" w:themeColor="text1"/>
          <w:sz w:val="16"/>
          <w:szCs w:val="16"/>
        </w:rPr>
        <w:t>В мае 1945 г. U-1406 и U-1407 сдались союзникам, а остальные были затоплены экипажами. Союзники втайне от СССР поделили лодки с двигателями Вальтера: U-1406 взяли США, a U-1407 — Англия. В Англию был доставлен и сам доктор Вальтер (15225).</w:t>
      </w:r>
    </w:p>
    <w:p w14:paraId="11CA1BB8" w14:textId="77777777" w:rsidR="0027059D" w:rsidRPr="00F90EAE" w:rsidRDefault="0027059D" w:rsidP="00F90EAE">
      <w:pPr>
        <w:pStyle w:val="book"/>
        <w:ind w:firstLine="0"/>
        <w:jc w:val="both"/>
        <w:rPr>
          <w:color w:val="000000" w:themeColor="text1"/>
          <w:sz w:val="16"/>
          <w:szCs w:val="16"/>
        </w:rPr>
      </w:pPr>
    </w:p>
    <w:p w14:paraId="17C5A2F3" w14:textId="77777777" w:rsidR="00A92FC9" w:rsidRPr="00F90EAE" w:rsidRDefault="00A92FC9" w:rsidP="00F90EAE">
      <w:pPr>
        <w:jc w:val="both"/>
        <w:rPr>
          <w:color w:val="0070C0"/>
          <w:sz w:val="16"/>
          <w:szCs w:val="16"/>
        </w:rPr>
      </w:pPr>
      <w:r w:rsidRPr="00F90EAE">
        <w:rPr>
          <w:color w:val="0070C0"/>
          <w:sz w:val="16"/>
          <w:szCs w:val="16"/>
        </w:rPr>
        <w:t>В мае 1945 г. в Германию в составе «научной трофейной команды» Теодор фон Кармана прибыл ведущий аэроди</w:t>
      </w:r>
      <w:r w:rsidRPr="00F90EAE">
        <w:rPr>
          <w:color w:val="0070C0"/>
          <w:sz w:val="16"/>
          <w:szCs w:val="16"/>
        </w:rPr>
        <w:softHyphen/>
        <w:t>намик фирмы Боинг Джордж Шрайер и сообщил о находке материалов по стреловидному крылу.</w:t>
      </w:r>
    </w:p>
    <w:p w14:paraId="1408FE5A" w14:textId="77777777" w:rsidR="00A92FC9" w:rsidRPr="00F90EAE" w:rsidRDefault="00A92FC9" w:rsidP="00F90EAE">
      <w:pPr>
        <w:jc w:val="both"/>
        <w:rPr>
          <w:color w:val="0070C0"/>
          <w:sz w:val="16"/>
          <w:szCs w:val="16"/>
        </w:rPr>
      </w:pPr>
      <w:r w:rsidRPr="00F90EAE">
        <w:rPr>
          <w:color w:val="0070C0"/>
          <w:sz w:val="16"/>
          <w:szCs w:val="16"/>
        </w:rPr>
        <w:t>Уменьшив площадь и толщину прямого крыла нового баомбардировщика Модель 424, а также за</w:t>
      </w:r>
      <w:r w:rsidRPr="00F90EAE">
        <w:rPr>
          <w:color w:val="0070C0"/>
          <w:sz w:val="16"/>
          <w:szCs w:val="16"/>
        </w:rPr>
        <w:softHyphen/>
        <w:t>менив поршневые моторы четырьмя турбореактивными TG-180 взлетной тягой по 1815 кгс, можно было получить скорость не выше 825 км/ч, а стреловидное крыло открывало путь к околоз</w:t>
      </w:r>
      <w:r w:rsidRPr="00F90EAE">
        <w:rPr>
          <w:color w:val="0070C0"/>
          <w:sz w:val="16"/>
          <w:szCs w:val="16"/>
        </w:rPr>
        <w:softHyphen/>
        <w:t>вуковым скоростям при меньшем расходе топлива. Проект был переделан, причем на немецкий мотив крыло новой Модели 432 сделали чистым, установив четыре ТРД в носу фюзеляжа. Трофейным данным верили настолько, что ограничились про</w:t>
      </w:r>
      <w:r w:rsidRPr="00F90EAE">
        <w:rPr>
          <w:color w:val="0070C0"/>
          <w:sz w:val="16"/>
          <w:szCs w:val="16"/>
        </w:rPr>
        <w:softHyphen/>
        <w:t>дувками в аэродинамической трубе лишь отдельных агрегатов, но когда в NACA продули модель всего самолета, оказалось, что весь выигрыш от чистого стреловидного крыла «съела» гро</w:t>
      </w:r>
      <w:r w:rsidRPr="00F90EAE">
        <w:rPr>
          <w:color w:val="0070C0"/>
          <w:sz w:val="16"/>
          <w:szCs w:val="16"/>
        </w:rPr>
        <w:softHyphen/>
        <w:t>моздкая силовая установка.</w:t>
      </w:r>
    </w:p>
    <w:p w14:paraId="38126D68" w14:textId="77777777" w:rsidR="00A92FC9" w:rsidRPr="00F90EAE" w:rsidRDefault="00A92FC9" w:rsidP="00F90EAE">
      <w:pPr>
        <w:jc w:val="both"/>
        <w:rPr>
          <w:color w:val="0070C0"/>
          <w:sz w:val="16"/>
          <w:szCs w:val="16"/>
        </w:rPr>
      </w:pPr>
      <w:r w:rsidRPr="00F90EAE">
        <w:rPr>
          <w:color w:val="0070C0"/>
          <w:sz w:val="16"/>
          <w:szCs w:val="16"/>
        </w:rPr>
        <w:t>Тогда Дж. Мартин отказался от минимизации веса, разме</w:t>
      </w:r>
      <w:r w:rsidRPr="00F90EAE">
        <w:rPr>
          <w:color w:val="0070C0"/>
          <w:sz w:val="16"/>
          <w:szCs w:val="16"/>
        </w:rPr>
        <w:softHyphen/>
        <w:t>ров и цены, поставил еще два ТРД в хвосте. Но Заказчик счел, что самолет, фюзеляж которого забит баками между «реактив</w:t>
      </w:r>
      <w:r w:rsidRPr="00F90EAE">
        <w:rPr>
          <w:color w:val="0070C0"/>
          <w:sz w:val="16"/>
          <w:szCs w:val="16"/>
        </w:rPr>
        <w:softHyphen/>
        <w:t>ными горелками», просто обречен на катастрофу, - и забрако</w:t>
      </w:r>
      <w:r w:rsidRPr="00F90EAE">
        <w:rPr>
          <w:color w:val="0070C0"/>
          <w:sz w:val="16"/>
          <w:szCs w:val="16"/>
        </w:rPr>
        <w:softHyphen/>
        <w:t>вал Модель 448. Фирма «Норт Америкен» уже получила заказ на строительство бомбардировщика ХВ-45, и требовалась незаурядная смелость, чтобы отбросить все нара</w:t>
      </w:r>
      <w:r w:rsidRPr="00F90EAE">
        <w:rPr>
          <w:color w:val="0070C0"/>
          <w:sz w:val="16"/>
          <w:szCs w:val="16"/>
        </w:rPr>
        <w:softHyphen/>
        <w:t>ботки и взяться за полностью новый проект, - зато Модель 450 получилась поистине революционной (23024).</w:t>
      </w:r>
    </w:p>
    <w:p w14:paraId="35FBF6CA" w14:textId="77777777" w:rsidR="00A92FC9" w:rsidRPr="00F90EAE" w:rsidRDefault="00A92FC9" w:rsidP="00F90EAE">
      <w:pPr>
        <w:jc w:val="both"/>
        <w:rPr>
          <w:color w:val="0070C0"/>
          <w:sz w:val="16"/>
          <w:szCs w:val="16"/>
        </w:rPr>
      </w:pPr>
    </w:p>
    <w:p w14:paraId="1196283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1945 Йемен присоединился к подписанному 22 марта 1945 г. Египтом, Ираком, Саудовской Аравией, Трансиорданией, Сирией и Ливаном Договору о создании Лиги арабских государств (ЛАГ) (3871).</w:t>
      </w:r>
    </w:p>
    <w:p w14:paraId="48911BDF" w14:textId="77777777" w:rsidR="00665165" w:rsidRPr="00F90EAE" w:rsidRDefault="00665165" w:rsidP="00F90EAE">
      <w:pPr>
        <w:autoSpaceDE w:val="0"/>
        <w:autoSpaceDN w:val="0"/>
        <w:adjustRightInd w:val="0"/>
        <w:jc w:val="both"/>
        <w:rPr>
          <w:color w:val="000000" w:themeColor="text1"/>
          <w:sz w:val="16"/>
          <w:szCs w:val="16"/>
        </w:rPr>
      </w:pPr>
    </w:p>
    <w:p w14:paraId="01E710B5"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878A94D" w14:textId="77777777" w:rsidR="00665165" w:rsidRPr="00F90EAE" w:rsidRDefault="00665165" w:rsidP="00F90EAE">
      <w:pPr>
        <w:autoSpaceDE w:val="0"/>
        <w:autoSpaceDN w:val="0"/>
        <w:adjustRightInd w:val="0"/>
        <w:jc w:val="both"/>
        <w:rPr>
          <w:iCs/>
          <w:color w:val="000000" w:themeColor="text1"/>
          <w:sz w:val="16"/>
          <w:szCs w:val="16"/>
        </w:rPr>
      </w:pPr>
    </w:p>
    <w:p w14:paraId="6803B5A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разместили на консолях крыла по типу немецкого истребителя Ме-262. Вооружение включало одну 37-мм пушку Н-37 и две 23-мм пушки НС-23, расположенные в носовой части фюзеляжа. В соответствии с утвержденным в мае 1945 г. графиком проектирования и постройки И-260 выкатка опытного экземпляра была запланирована на 31 августа 1945 г. (6272).</w:t>
      </w:r>
    </w:p>
    <w:p w14:paraId="715BDD58" w14:textId="77777777" w:rsidR="00665165" w:rsidRPr="00F90EAE" w:rsidRDefault="00665165" w:rsidP="00F90EAE">
      <w:pPr>
        <w:autoSpaceDE w:val="0"/>
        <w:autoSpaceDN w:val="0"/>
        <w:adjustRightInd w:val="0"/>
        <w:jc w:val="both"/>
        <w:rPr>
          <w:color w:val="000000" w:themeColor="text1"/>
          <w:sz w:val="16"/>
          <w:szCs w:val="16"/>
        </w:rPr>
      </w:pPr>
    </w:p>
    <w:p w14:paraId="6C475C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мае-июне 1945 первая группа советских специалистов прибыли в Германию в ОКБ-1, они и организовывали ОКБ-1 (8987).</w:t>
      </w:r>
    </w:p>
    <w:p w14:paraId="08B37031" w14:textId="77777777" w:rsidR="004F22D7" w:rsidRPr="00F90EAE" w:rsidRDefault="004F22D7" w:rsidP="00F90EAE">
      <w:pPr>
        <w:pStyle w:val="ae"/>
        <w:shd w:val="clear" w:color="auto" w:fill="FFFFFF"/>
        <w:spacing w:before="0" w:after="0"/>
        <w:jc w:val="both"/>
        <w:rPr>
          <w:color w:val="000000" w:themeColor="text1"/>
          <w:sz w:val="16"/>
          <w:szCs w:val="16"/>
        </w:rPr>
      </w:pPr>
    </w:p>
    <w:p w14:paraId="66E3C05F" w14:textId="77777777" w:rsidR="004F22D7" w:rsidRPr="00F90EAE" w:rsidRDefault="004F22D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мае-июне 1945 г. коллективом ОКБ-155 был разработан проект истребителя, который получил название И-260 и заводской шифр «К». Силовая установка самолета состояла из двух турбореактивных двигателей BMW-003, которые размести ли на консолях крыла по типу немецкого истребителя Ме-262.</w:t>
      </w:r>
    </w:p>
    <w:p w14:paraId="4A57DBAC" w14:textId="77777777" w:rsidR="004F22D7" w:rsidRPr="00F90EAE" w:rsidRDefault="004F22D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Вооружение включало одну пушку Н-37 и две пушки НС-23, расположенные в носовой части фюзеляжа. В соответ ствии с утвержденным в мае 1945 г. графиком проектирова ния и постройки И-260, опытный экземпляр должен был быть выкачен на летное поле 31 августа 1945 г.</w:t>
      </w:r>
    </w:p>
    <w:p w14:paraId="27932330" w14:textId="77777777" w:rsidR="004F22D7" w:rsidRPr="00F90EAE" w:rsidRDefault="004F22D7" w:rsidP="00F90EAE">
      <w:pPr>
        <w:pStyle w:val="ae"/>
        <w:shd w:val="clear" w:color="auto" w:fill="FFFFFF"/>
        <w:spacing w:before="0" w:after="0"/>
        <w:jc w:val="both"/>
        <w:rPr>
          <w:color w:val="000000" w:themeColor="text1"/>
          <w:sz w:val="16"/>
          <w:szCs w:val="16"/>
        </w:rPr>
      </w:pPr>
      <w:r w:rsidRPr="00F90EAE">
        <w:rPr>
          <w:color w:val="000000" w:themeColor="text1"/>
          <w:sz w:val="16"/>
          <w:szCs w:val="16"/>
        </w:rPr>
        <w:t>Однако в июне 1945 г. в ОКБ-155 начали проектные рабо ты над другим вариантом истребителя с двумя двигателями, получившим наименование И-300 и шифр «Ф», у которого в отличие от И-260 два двигателя разместили не на консолях крыла, а в фюзеляже. Такая компоновка силовой установки оказалась наиболее перспективной, поэтому работы над И-260 были прекращены (19696).</w:t>
      </w:r>
    </w:p>
    <w:p w14:paraId="52B9A9C6" w14:textId="77777777" w:rsidR="00665165" w:rsidRPr="00F90EAE" w:rsidRDefault="00665165" w:rsidP="00F90EAE">
      <w:pPr>
        <w:autoSpaceDE w:val="0"/>
        <w:autoSpaceDN w:val="0"/>
        <w:adjustRightInd w:val="0"/>
        <w:jc w:val="both"/>
        <w:rPr>
          <w:color w:val="000000" w:themeColor="text1"/>
          <w:sz w:val="16"/>
          <w:szCs w:val="16"/>
        </w:rPr>
      </w:pPr>
    </w:p>
    <w:p w14:paraId="37B2F9C1"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8243F5F" w14:textId="77777777" w:rsidR="00665165" w:rsidRPr="00F90EAE" w:rsidRDefault="00665165" w:rsidP="00F90EAE">
      <w:pPr>
        <w:autoSpaceDE w:val="0"/>
        <w:autoSpaceDN w:val="0"/>
        <w:adjustRightInd w:val="0"/>
        <w:jc w:val="both"/>
        <w:rPr>
          <w:iCs/>
          <w:color w:val="000000" w:themeColor="text1"/>
          <w:sz w:val="16"/>
          <w:szCs w:val="16"/>
        </w:rPr>
      </w:pPr>
    </w:p>
    <w:p w14:paraId="51A00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мае-июне 1945 года были получены первые образцы металлического урана высокой чистоты (10549).</w:t>
      </w:r>
    </w:p>
    <w:p w14:paraId="04136201" w14:textId="77777777" w:rsidR="00665165" w:rsidRPr="00F90EAE" w:rsidRDefault="00665165" w:rsidP="00F90EAE">
      <w:pPr>
        <w:autoSpaceDE w:val="0"/>
        <w:autoSpaceDN w:val="0"/>
        <w:adjustRightInd w:val="0"/>
        <w:jc w:val="both"/>
        <w:rPr>
          <w:color w:val="000000" w:themeColor="text1"/>
          <w:sz w:val="16"/>
          <w:szCs w:val="16"/>
        </w:rPr>
      </w:pPr>
    </w:p>
    <w:p w14:paraId="76A37E53"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9323EAB" w14:textId="77777777" w:rsidR="00665165" w:rsidRPr="00F90EAE" w:rsidRDefault="00665165" w:rsidP="00F90EAE">
      <w:pPr>
        <w:autoSpaceDE w:val="0"/>
        <w:autoSpaceDN w:val="0"/>
        <w:adjustRightInd w:val="0"/>
        <w:jc w:val="both"/>
        <w:rPr>
          <w:iCs/>
          <w:color w:val="000000" w:themeColor="text1"/>
          <w:sz w:val="16"/>
          <w:szCs w:val="16"/>
        </w:rPr>
      </w:pPr>
    </w:p>
    <w:p w14:paraId="179B24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мае - сентябре 1945 г. экипажи 73-й вад перегнали по сибирской трассе еще 80 машин. Можно было подвести итоги: за 15 месяцев работы по сибирской трассе переброшено 218 Ер-2, в авариях и катастрофах оказались потерянными 11 машин, а еще 10 бомбардировщиков сидели "на вынужденной" вне аэродромов. Часть Ер-2 отправилась на войну железнодорожным транспортом. Самолеты, упакованные в ящики, подавались для сборки на московский 456-й авиазавод НКАП, директором которого был Т.Х.Филимончук. Всего в 1944 г. таким способом перебросили 20 Ер-2, из них только две машины успели собрать до конца года. По плану первого квартала 1945 г. предусматривалось "обработать" еще два десятка самолетов, но реально завод сдал только 18 единиц. Параллельно производилась сборка самолетов Ил-4 производства заводов N 39 (Иркутск) и N 126 (Комсомольск-на-Амуре). "Илов" за первые четыре месяца 1945 г. собрали значительно больше - 96 машин. Характерно, что цена комплекса работ по Ер-2 почти вдвое превышала цену сборки Ил-4 - 39,1 тысячи рублей против 21,5 тысячи (3322,43).</w:t>
      </w:r>
    </w:p>
    <w:p w14:paraId="35D51301" w14:textId="77777777" w:rsidR="00665165" w:rsidRPr="00F90EAE" w:rsidRDefault="00665165" w:rsidP="00F90EAE">
      <w:pPr>
        <w:autoSpaceDE w:val="0"/>
        <w:autoSpaceDN w:val="0"/>
        <w:adjustRightInd w:val="0"/>
        <w:jc w:val="both"/>
        <w:rPr>
          <w:color w:val="000000" w:themeColor="text1"/>
          <w:sz w:val="16"/>
          <w:szCs w:val="16"/>
        </w:rPr>
      </w:pPr>
    </w:p>
    <w:p w14:paraId="4A46DD8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BADB83F" w14:textId="77777777" w:rsidR="00665165" w:rsidRPr="00F90EAE" w:rsidRDefault="00665165" w:rsidP="00F90EAE">
      <w:pPr>
        <w:autoSpaceDE w:val="0"/>
        <w:autoSpaceDN w:val="0"/>
        <w:adjustRightInd w:val="0"/>
        <w:jc w:val="both"/>
        <w:rPr>
          <w:iCs/>
          <w:color w:val="000000" w:themeColor="text1"/>
          <w:sz w:val="16"/>
          <w:szCs w:val="16"/>
        </w:rPr>
      </w:pPr>
    </w:p>
    <w:p w14:paraId="72821CC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конце весны 1945 г., когда грунтовые аэродромы подсохли, столкнулись с массовым выходом моторов АМ-42 из строя по причине разрушения нагнетателей. По</w:t>
      </w:r>
      <w:r w:rsidRPr="00F90EAE">
        <w:rPr>
          <w:color w:val="000000" w:themeColor="text1"/>
          <w:sz w:val="16"/>
          <w:szCs w:val="16"/>
        </w:rPr>
        <w:softHyphen/>
        <w:t>падавшая внутрь пыль способствовала чрезвычайно быстрому износу валика крыльчатки. Поэтому с мая на обоих за</w:t>
      </w:r>
      <w:r w:rsidRPr="00F90EAE">
        <w:rPr>
          <w:color w:val="000000" w:themeColor="text1"/>
          <w:sz w:val="16"/>
          <w:szCs w:val="16"/>
        </w:rPr>
        <w:softHyphen/>
        <w:t>водах стали устанавливаться на всасы</w:t>
      </w:r>
      <w:r w:rsidRPr="00F90EAE">
        <w:rPr>
          <w:color w:val="000000" w:themeColor="text1"/>
          <w:sz w:val="16"/>
          <w:szCs w:val="16"/>
        </w:rPr>
        <w:softHyphen/>
        <w:t>вающий патрубок воздухоочиститель</w:t>
      </w:r>
      <w:r w:rsidRPr="00F90EAE">
        <w:rPr>
          <w:color w:val="000000" w:themeColor="text1"/>
          <w:sz w:val="16"/>
          <w:szCs w:val="16"/>
        </w:rPr>
        <w:softHyphen/>
        <w:t>ные фильтры, конструктивно подобные фильтру ЦАГИ, стоявшему на Ил-2. Они снабжались кассетой с сеткой типа «Дельбак». Для ранее выпущенных са</w:t>
      </w:r>
      <w:r w:rsidRPr="00F90EAE">
        <w:rPr>
          <w:color w:val="000000" w:themeColor="text1"/>
          <w:sz w:val="16"/>
          <w:szCs w:val="16"/>
        </w:rPr>
        <w:softHyphen/>
        <w:t>молетов были изготовлены партии таких фильтров с креплением к уже имею</w:t>
      </w:r>
      <w:r w:rsidRPr="00F90EAE">
        <w:rPr>
          <w:color w:val="000000" w:themeColor="text1"/>
          <w:sz w:val="16"/>
          <w:szCs w:val="16"/>
        </w:rPr>
        <w:softHyphen/>
        <w:t>щимся отверстиям в броне. Но в целом до окончания войны суще</w:t>
      </w:r>
      <w:r w:rsidRPr="00F90EAE">
        <w:rPr>
          <w:color w:val="000000" w:themeColor="text1"/>
          <w:sz w:val="16"/>
          <w:szCs w:val="16"/>
        </w:rPr>
        <w:softHyphen/>
        <w:t>ственных изменений Ил-10 не претерпел (10680).</w:t>
      </w:r>
    </w:p>
    <w:p w14:paraId="0497F57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54B075A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09D5917" w14:textId="77777777" w:rsidR="00665165" w:rsidRPr="00F90EAE" w:rsidRDefault="00665165" w:rsidP="00F90EAE">
      <w:pPr>
        <w:autoSpaceDE w:val="0"/>
        <w:autoSpaceDN w:val="0"/>
        <w:adjustRightInd w:val="0"/>
        <w:jc w:val="both"/>
        <w:rPr>
          <w:iCs/>
          <w:color w:val="000000" w:themeColor="text1"/>
          <w:sz w:val="16"/>
          <w:szCs w:val="16"/>
        </w:rPr>
      </w:pPr>
    </w:p>
    <w:p w14:paraId="7F6F72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1-й и 30-й авиазаводы приступили к серий</w:t>
      </w:r>
      <w:r w:rsidRPr="00F90EAE">
        <w:rPr>
          <w:color w:val="000000" w:themeColor="text1"/>
          <w:sz w:val="16"/>
          <w:szCs w:val="16"/>
        </w:rPr>
        <w:softHyphen/>
        <w:t>ному выпуску Ил-2 с удлиненным бро</w:t>
      </w:r>
      <w:r w:rsidRPr="00F90EAE">
        <w:rPr>
          <w:color w:val="000000" w:themeColor="text1"/>
          <w:sz w:val="16"/>
          <w:szCs w:val="16"/>
        </w:rPr>
        <w:softHyphen/>
        <w:t>некорпусом и к концу года сумели по</w:t>
      </w:r>
      <w:r w:rsidRPr="00F90EAE">
        <w:rPr>
          <w:color w:val="000000" w:themeColor="text1"/>
          <w:sz w:val="16"/>
          <w:szCs w:val="16"/>
        </w:rPr>
        <w:softHyphen/>
        <w:t>ставить в ВВС, соответственно, 186 и 407 модифицированных штурмовиков.</w:t>
      </w:r>
    </w:p>
    <w:p w14:paraId="71805DCB" w14:textId="77777777" w:rsidR="00665165" w:rsidRPr="00F90EAE" w:rsidRDefault="00665165" w:rsidP="00F90EAE">
      <w:pPr>
        <w:autoSpaceDE w:val="0"/>
        <w:autoSpaceDN w:val="0"/>
        <w:adjustRightInd w:val="0"/>
        <w:jc w:val="both"/>
        <w:rPr>
          <w:color w:val="000000" w:themeColor="text1"/>
          <w:sz w:val="16"/>
          <w:szCs w:val="16"/>
        </w:rPr>
      </w:pPr>
    </w:p>
    <w:p w14:paraId="649B17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 был построен разведчик и корректиров</w:t>
      </w:r>
      <w:r w:rsidRPr="00F90EAE">
        <w:rPr>
          <w:color w:val="000000" w:themeColor="text1"/>
          <w:sz w:val="16"/>
          <w:szCs w:val="16"/>
        </w:rPr>
        <w:softHyphen/>
        <w:t>щик артиллерийского огня с улучшенной защитой стрел</w:t>
      </w:r>
      <w:r w:rsidRPr="00F90EAE">
        <w:rPr>
          <w:color w:val="000000" w:themeColor="text1"/>
          <w:sz w:val="16"/>
          <w:szCs w:val="16"/>
        </w:rPr>
        <w:softHyphen/>
        <w:t>ка-наблюдателя на базе Ил-2 «крыло со стрелкой» (11474,390).</w:t>
      </w:r>
    </w:p>
    <w:p w14:paraId="2CE452B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464166" w14:textId="77777777" w:rsidR="0027059D" w:rsidRPr="00F90EAE" w:rsidRDefault="0027059D" w:rsidP="00F90EAE">
      <w:pPr>
        <w:pStyle w:val="a3"/>
        <w:rPr>
          <w:color w:val="000000" w:themeColor="text1"/>
          <w:lang w:val="ru-RU"/>
        </w:rPr>
      </w:pPr>
      <w:r w:rsidRPr="00F90EAE">
        <w:rPr>
          <w:color w:val="000000" w:themeColor="text1"/>
          <w:lang w:val="ru-RU"/>
        </w:rPr>
        <w:t>Весной 1945 г. без согласования с ВВС эскизного проекта и макета Ильюшин построил скоростной штурмовик Ил-16 с мотором М-43. Письмом от 25 мая Ильюшин ин</w:t>
      </w:r>
      <w:r w:rsidRPr="00F90EAE">
        <w:rPr>
          <w:color w:val="000000" w:themeColor="text1"/>
          <w:lang w:val="ru-RU"/>
        </w:rPr>
        <w:softHyphen/>
        <w:t>формировал командующего ВВС главного маршала А.А. Новикова о запланированном на 10 июня первом полёте нового штурмовика Ил-1 6 с мотором АМ-43 и предлагал «з-д</w:t>
      </w:r>
      <w:r w:rsidRPr="00F90EAE">
        <w:rPr>
          <w:rStyle w:val="164"/>
          <w:rFonts w:ascii="Times New Roman" w:hAnsi="Times New Roman" w:cs="Times New Roman"/>
          <w:i w:val="0"/>
          <w:color w:val="000000" w:themeColor="text1"/>
          <w:sz w:val="16"/>
          <w:szCs w:val="16"/>
          <w:lang w:val="ru-RU"/>
        </w:rPr>
        <w:t xml:space="preserve"> № 30 /.../ ориентировать на серийную постройку этого самолёта».</w:t>
      </w:r>
    </w:p>
    <w:p w14:paraId="7847B6C0" w14:textId="77777777" w:rsidR="0027059D" w:rsidRPr="00F90EAE" w:rsidRDefault="0027059D"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140"/>
          <w:rFonts w:ascii="Times New Roman" w:eastAsia="Arial Unicode MS" w:hAnsi="Times New Roman" w:cs="Times New Roman"/>
          <w:i w:val="0"/>
          <w:iCs w:val="0"/>
          <w:color w:val="000000" w:themeColor="text1"/>
        </w:rPr>
        <w:t>Главный инженер ВВС генерал-полковник Репин в докладе Новикову по этому вопросу отме</w:t>
      </w:r>
      <w:r w:rsidRPr="00F90EAE">
        <w:rPr>
          <w:rStyle w:val="2140"/>
          <w:rFonts w:ascii="Times New Roman" w:eastAsia="Arial Unicode MS" w:hAnsi="Times New Roman" w:cs="Times New Roman"/>
          <w:i w:val="0"/>
          <w:iCs w:val="0"/>
          <w:color w:val="000000" w:themeColor="text1"/>
        </w:rPr>
        <w:softHyphen/>
        <w:t>чал: «...</w:t>
      </w:r>
      <w:r w:rsidRPr="00F90EAE">
        <w:rPr>
          <w:rFonts w:ascii="Times New Roman" w:hAnsi="Times New Roman" w:cs="Times New Roman"/>
          <w:i w:val="0"/>
          <w:color w:val="000000" w:themeColor="text1"/>
          <w:sz w:val="16"/>
          <w:szCs w:val="16"/>
        </w:rPr>
        <w:t>ЛТД /.../ являются проектными. /.../ Эскизный проект и макет самолёта на заключение в ГК НИИ ВВС не представлялся, самолёт строится без ТТТ. При постройке самолёта не учтены выявленные при войсковых испытаниях конструктивные недостатки однотипного самолёта Ил- 10. Основными из этих оставшихся на самолёте Ил-16,</w:t>
      </w:r>
      <w:r w:rsidRPr="00F90EAE">
        <w:rPr>
          <w:rStyle w:val="2140"/>
          <w:rFonts w:ascii="Times New Roman" w:eastAsia="Arial Unicode MS" w:hAnsi="Times New Roman" w:cs="Times New Roman"/>
          <w:i w:val="0"/>
          <w:iCs w:val="0"/>
          <w:color w:val="000000" w:themeColor="text1"/>
        </w:rPr>
        <w:t xml:space="preserve"> являются:</w:t>
      </w:r>
      <w:r w:rsidRPr="00F90EAE">
        <w:rPr>
          <w:rFonts w:ascii="Times New Roman" w:hAnsi="Times New Roman" w:cs="Times New Roman"/>
          <w:i w:val="0"/>
          <w:color w:val="000000" w:themeColor="text1"/>
          <w:sz w:val="16"/>
          <w:szCs w:val="16"/>
        </w:rPr>
        <w:t xml:space="preserve"> расчёт прочности самолёта по классу «Б» (ограниченно маневренные самолёты), в то время как он должен быть отнесён к классу «А» (маневренные самолёты); ослабление бронирования по сравнению</w:t>
      </w:r>
      <w:r w:rsidRPr="00F90EAE">
        <w:rPr>
          <w:rStyle w:val="2140"/>
          <w:rFonts w:ascii="Times New Roman" w:eastAsia="Arial Unicode MS" w:hAnsi="Times New Roman" w:cs="Times New Roman"/>
          <w:i w:val="0"/>
          <w:iCs w:val="0"/>
          <w:color w:val="000000" w:themeColor="text1"/>
        </w:rPr>
        <w:t xml:space="preserve"> с</w:t>
      </w:r>
      <w:r w:rsidRPr="00F90EAE">
        <w:rPr>
          <w:rFonts w:ascii="Times New Roman" w:hAnsi="Times New Roman" w:cs="Times New Roman"/>
          <w:i w:val="0"/>
          <w:color w:val="000000" w:themeColor="text1"/>
          <w:sz w:val="16"/>
          <w:szCs w:val="16"/>
        </w:rPr>
        <w:t xml:space="preserve"> самолётом Ил-10; вес брони снизился на 230 кг; /.../ сложная и громоздкая система подвески наружных бомб; невозможность в сложных метеоусловиях летать с открытым фонарём; отсутствие систе</w:t>
      </w:r>
      <w:r w:rsidRPr="00F90EAE">
        <w:rPr>
          <w:rFonts w:ascii="Times New Roman" w:hAnsi="Times New Roman" w:cs="Times New Roman"/>
          <w:i w:val="0"/>
          <w:color w:val="000000" w:themeColor="text1"/>
          <w:sz w:val="16"/>
          <w:szCs w:val="16"/>
        </w:rPr>
        <w:softHyphen/>
        <w:t>мы нейтральных газов и пылефильтров».</w:t>
      </w:r>
    </w:p>
    <w:p w14:paraId="723AD5A3" w14:textId="77777777" w:rsidR="0027059D" w:rsidRPr="00F90EAE" w:rsidRDefault="0027059D" w:rsidP="00F90EAE">
      <w:pPr>
        <w:pStyle w:val="a3"/>
        <w:rPr>
          <w:rStyle w:val="164"/>
          <w:rFonts w:ascii="Times New Roman" w:hAnsi="Times New Roman" w:cs="Times New Roman"/>
          <w:i w:val="0"/>
          <w:color w:val="000000" w:themeColor="text1"/>
          <w:sz w:val="16"/>
          <w:szCs w:val="16"/>
          <w:lang w:val="ru-RU"/>
        </w:rPr>
      </w:pPr>
      <w:r w:rsidRPr="00F90EAE">
        <w:rPr>
          <w:color w:val="000000" w:themeColor="text1"/>
          <w:lang w:val="ru-RU"/>
        </w:rPr>
        <w:t>Командующему ВВС главному маршалу А.А. Новикову пришлось пояснять главному кон</w:t>
      </w:r>
      <w:r w:rsidRPr="00F90EAE">
        <w:rPr>
          <w:color w:val="000000" w:themeColor="text1"/>
          <w:lang w:val="ru-RU"/>
        </w:rPr>
        <w:softHyphen/>
        <w:t>структору, что «до</w:t>
      </w:r>
      <w:r w:rsidRPr="00F90EAE">
        <w:rPr>
          <w:rStyle w:val="164"/>
          <w:rFonts w:ascii="Times New Roman" w:hAnsi="Times New Roman" w:cs="Times New Roman"/>
          <w:i w:val="0"/>
          <w:color w:val="000000" w:themeColor="text1"/>
          <w:sz w:val="16"/>
          <w:szCs w:val="16"/>
          <w:lang w:val="ru-RU"/>
        </w:rPr>
        <w:t xml:space="preserve"> запуска в серию Ил-16 с М-43 должен пройти Госиспытания».</w:t>
      </w:r>
    </w:p>
    <w:p w14:paraId="5622D203" w14:textId="77777777" w:rsidR="0027059D" w:rsidRPr="00F90EAE" w:rsidRDefault="0027059D" w:rsidP="00F90EAE">
      <w:pPr>
        <w:pStyle w:val="a3"/>
        <w:rPr>
          <w:rStyle w:val="164"/>
          <w:rFonts w:ascii="Times New Roman" w:hAnsi="Times New Roman" w:cs="Times New Roman"/>
          <w:i w:val="0"/>
          <w:color w:val="000000" w:themeColor="text1"/>
          <w:sz w:val="16"/>
          <w:szCs w:val="16"/>
          <w:lang w:val="ru-RU"/>
        </w:rPr>
      </w:pPr>
      <w:r w:rsidRPr="00F90EAE">
        <w:rPr>
          <w:color w:val="000000" w:themeColor="text1"/>
          <w:lang w:val="ru-RU"/>
        </w:rPr>
        <w:t>Ильюшин был вынужден официально снять свое предложение по серийному производству Ил-1 6. В конечном итоге мотор АМ-43 так и не довели, поэтому летом 1 946 г. работы по Ил- 16 прекратили</w:t>
      </w:r>
      <w:r w:rsidRPr="00F90EAE">
        <w:rPr>
          <w:rStyle w:val="164"/>
          <w:rFonts w:ascii="Times New Roman" w:hAnsi="Times New Roman" w:cs="Times New Roman"/>
          <w:i w:val="0"/>
          <w:color w:val="000000" w:themeColor="text1"/>
          <w:sz w:val="16"/>
          <w:szCs w:val="16"/>
          <w:lang w:val="ru-RU"/>
        </w:rPr>
        <w:t xml:space="preserve"> (15978).</w:t>
      </w:r>
    </w:p>
    <w:p w14:paraId="10DFAA6A" w14:textId="77777777" w:rsidR="0027059D" w:rsidRPr="00F90EAE" w:rsidRDefault="0027059D" w:rsidP="00F90EAE">
      <w:pPr>
        <w:pStyle w:val="a3"/>
        <w:rPr>
          <w:color w:val="000000" w:themeColor="text1"/>
          <w:lang w:val="ru-RU"/>
        </w:rPr>
      </w:pPr>
    </w:p>
    <w:p w14:paraId="6F9958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года все работы по штурмовику были прекращены. О дальнейшей судьбе самолета Су-6 АМ-42 ничего не известно.</w:t>
      </w:r>
    </w:p>
    <w:p w14:paraId="68E54F5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Двухместный штурмовик Су-6 М-71Ф представлял собой свободно-несущий низкоплан с нормальным хвостовым оперением и убираю</w:t>
      </w:r>
      <w:r w:rsidRPr="00F90EAE">
        <w:rPr>
          <w:color w:val="000000" w:themeColor="text1"/>
          <w:sz w:val="16"/>
          <w:szCs w:val="16"/>
        </w:rPr>
        <w:softHyphen/>
        <w:t>щимся шасси.</w:t>
      </w:r>
    </w:p>
    <w:p w14:paraId="4020930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Фюзеляж смешанной конструк</w:t>
      </w:r>
      <w:r w:rsidRPr="00F90EAE">
        <w:rPr>
          <w:color w:val="000000" w:themeColor="text1"/>
          <w:sz w:val="16"/>
          <w:szCs w:val="16"/>
        </w:rPr>
        <w:softHyphen/>
        <w:t>ции состоял из передней части -бронекабины и хвостовой части -цельнодеревянной конструкции.</w:t>
      </w:r>
    </w:p>
    <w:p w14:paraId="3CB5E4D0"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передней части кабины рас</w:t>
      </w:r>
      <w:r w:rsidRPr="00F90EAE">
        <w:rPr>
          <w:color w:val="000000" w:themeColor="text1"/>
          <w:sz w:val="16"/>
          <w:szCs w:val="16"/>
        </w:rPr>
        <w:softHyphen/>
        <w:t>полагался моторный шпангоут, а под полом - бензиновый бак.</w:t>
      </w:r>
    </w:p>
    <w:p w14:paraId="2917D4E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хвостовой части, непосред</w:t>
      </w:r>
      <w:r w:rsidRPr="00F90EAE">
        <w:rPr>
          <w:color w:val="000000" w:themeColor="text1"/>
          <w:sz w:val="16"/>
          <w:szCs w:val="16"/>
        </w:rPr>
        <w:softHyphen/>
        <w:t>ственно за кабиной пилота, разме</w:t>
      </w:r>
      <w:r w:rsidRPr="00F90EAE">
        <w:rPr>
          <w:color w:val="000000" w:themeColor="text1"/>
          <w:sz w:val="16"/>
          <w:szCs w:val="16"/>
        </w:rPr>
        <w:softHyphen/>
        <w:t>щалась кабина стрелка. Между бортами кабины и обшивкой фю</w:t>
      </w:r>
      <w:r w:rsidRPr="00F90EAE">
        <w:rPr>
          <w:color w:val="000000" w:themeColor="text1"/>
          <w:sz w:val="16"/>
          <w:szCs w:val="16"/>
        </w:rPr>
        <w:softHyphen/>
        <w:t>зеляжа (слева и справа) размеща</w:t>
      </w:r>
      <w:r w:rsidRPr="00F90EAE">
        <w:rPr>
          <w:color w:val="000000" w:themeColor="text1"/>
          <w:sz w:val="16"/>
          <w:szCs w:val="16"/>
        </w:rPr>
        <w:softHyphen/>
        <w:t>лись по одному грузовому (бомбовому) отсеку. В нижней части отсе</w:t>
      </w:r>
      <w:r w:rsidRPr="00F90EAE">
        <w:rPr>
          <w:color w:val="000000" w:themeColor="text1"/>
          <w:sz w:val="16"/>
          <w:szCs w:val="16"/>
        </w:rPr>
        <w:softHyphen/>
        <w:t>ки имели люки со створками. Бом</w:t>
      </w:r>
      <w:r w:rsidRPr="00F90EAE">
        <w:rPr>
          <w:color w:val="000000" w:themeColor="text1"/>
          <w:sz w:val="16"/>
          <w:szCs w:val="16"/>
        </w:rPr>
        <w:softHyphen/>
        <w:t>бы большого калибра подвешива</w:t>
      </w:r>
      <w:r w:rsidRPr="00F90EAE">
        <w:rPr>
          <w:color w:val="000000" w:themeColor="text1"/>
          <w:sz w:val="16"/>
          <w:szCs w:val="16"/>
        </w:rPr>
        <w:softHyphen/>
        <w:t>лись на замки, а малого - уклады</w:t>
      </w:r>
      <w:r w:rsidRPr="00F90EAE">
        <w:rPr>
          <w:color w:val="000000" w:themeColor="text1"/>
          <w:sz w:val="16"/>
          <w:szCs w:val="16"/>
        </w:rPr>
        <w:softHyphen/>
        <w:t>вались на створки люка.</w:t>
      </w:r>
    </w:p>
    <w:p w14:paraId="124F9DD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Кабины пилота и стрелка сверху закрывались фонарем с откидными крышками. Фонарь стрелка закан</w:t>
      </w:r>
      <w:r w:rsidRPr="00F90EAE">
        <w:rPr>
          <w:color w:val="000000" w:themeColor="text1"/>
          <w:sz w:val="16"/>
          <w:szCs w:val="16"/>
        </w:rPr>
        <w:softHyphen/>
        <w:t>чивался установкой БЛУБ под круп</w:t>
      </w:r>
      <w:r w:rsidRPr="00F90EAE">
        <w:rPr>
          <w:color w:val="000000" w:themeColor="text1"/>
          <w:sz w:val="16"/>
          <w:szCs w:val="16"/>
        </w:rPr>
        <w:softHyphen/>
        <w:t>нокалиберный пулемет М.Е.Берези</w:t>
      </w:r>
      <w:r w:rsidRPr="00F90EAE">
        <w:rPr>
          <w:color w:val="000000" w:themeColor="text1"/>
          <w:sz w:val="16"/>
          <w:szCs w:val="16"/>
        </w:rPr>
        <w:softHyphen/>
        <w:t>на. Кабина стрелка имела броне</w:t>
      </w:r>
      <w:r w:rsidRPr="00F90EAE">
        <w:rPr>
          <w:color w:val="000000" w:themeColor="text1"/>
          <w:sz w:val="16"/>
          <w:szCs w:val="16"/>
        </w:rPr>
        <w:softHyphen/>
        <w:t>вую защиту.</w:t>
      </w:r>
    </w:p>
    <w:p w14:paraId="1367784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Крыло трапециевидной формы в плане, с посадочными щитками, эле</w:t>
      </w:r>
      <w:r w:rsidRPr="00F90EAE">
        <w:rPr>
          <w:color w:val="000000" w:themeColor="text1"/>
          <w:sz w:val="16"/>
          <w:szCs w:val="16"/>
        </w:rPr>
        <w:softHyphen/>
        <w:t>ронами и концевыми автоматичес</w:t>
      </w:r>
      <w:r w:rsidRPr="00F90EAE">
        <w:rPr>
          <w:color w:val="000000" w:themeColor="text1"/>
          <w:sz w:val="16"/>
          <w:szCs w:val="16"/>
        </w:rPr>
        <w:softHyphen/>
        <w:t>кими предкрылками, состояло из центроплана и двух отъемных кон</w:t>
      </w:r>
      <w:r w:rsidRPr="00F90EAE">
        <w:rPr>
          <w:color w:val="000000" w:themeColor="text1"/>
          <w:sz w:val="16"/>
          <w:szCs w:val="16"/>
        </w:rPr>
        <w:softHyphen/>
        <w:t>солей.</w:t>
      </w:r>
    </w:p>
    <w:p w14:paraId="037F267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цельнометаллическом центроп</w:t>
      </w:r>
      <w:r w:rsidRPr="00F90EAE">
        <w:rPr>
          <w:color w:val="000000" w:themeColor="text1"/>
          <w:sz w:val="16"/>
          <w:szCs w:val="16"/>
        </w:rPr>
        <w:softHyphen/>
        <w:t>лане размещались отсеки для убор</w:t>
      </w:r>
      <w:r w:rsidRPr="00F90EAE">
        <w:rPr>
          <w:color w:val="000000" w:themeColor="text1"/>
          <w:sz w:val="16"/>
          <w:szCs w:val="16"/>
        </w:rPr>
        <w:softHyphen/>
        <w:t>ки основных опор шасси.</w:t>
      </w:r>
    </w:p>
    <w:p w14:paraId="3FF2C2A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Силовой каркас отъемных кон</w:t>
      </w:r>
      <w:r w:rsidRPr="00F90EAE">
        <w:rPr>
          <w:color w:val="000000" w:themeColor="text1"/>
          <w:sz w:val="16"/>
          <w:szCs w:val="16"/>
        </w:rPr>
        <w:softHyphen/>
        <w:t>солей имел смешанную конструк</w:t>
      </w:r>
      <w:r w:rsidRPr="00F90EAE">
        <w:rPr>
          <w:color w:val="000000" w:themeColor="text1"/>
          <w:sz w:val="16"/>
          <w:szCs w:val="16"/>
        </w:rPr>
        <w:softHyphen/>
        <w:t>цию. Продольный набор консоли состоял из двух металлических лон</w:t>
      </w:r>
      <w:r w:rsidRPr="00F90EAE">
        <w:rPr>
          <w:color w:val="000000" w:themeColor="text1"/>
          <w:sz w:val="16"/>
          <w:szCs w:val="16"/>
        </w:rPr>
        <w:softHyphen/>
        <w:t>жеронов, деревянных стрингеров и дополнительной деревянной стен</w:t>
      </w:r>
      <w:r w:rsidRPr="00F90EAE">
        <w:rPr>
          <w:color w:val="000000" w:themeColor="text1"/>
          <w:sz w:val="16"/>
          <w:szCs w:val="16"/>
        </w:rPr>
        <w:softHyphen/>
        <w:t>ки. Поперечный набор включал 16 нервюр, три из которых металли</w:t>
      </w:r>
      <w:r w:rsidRPr="00F90EAE">
        <w:rPr>
          <w:color w:val="000000" w:themeColor="text1"/>
          <w:sz w:val="16"/>
          <w:szCs w:val="16"/>
        </w:rPr>
        <w:softHyphen/>
        <w:t>ческие, а остальные деревянные. Каркас консолей крыла обшивался бакелитовой фанерой.</w:t>
      </w:r>
    </w:p>
    <w:p w14:paraId="5F222E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Предкрылки и щитки имели цель</w:t>
      </w:r>
      <w:r w:rsidRPr="00F90EAE">
        <w:rPr>
          <w:color w:val="000000" w:themeColor="text1"/>
          <w:sz w:val="16"/>
          <w:szCs w:val="16"/>
        </w:rPr>
        <w:softHyphen/>
        <w:t>нометаллическую конструкцию, а металлические элероны были обтя</w:t>
      </w:r>
      <w:r w:rsidRPr="00F90EAE">
        <w:rPr>
          <w:color w:val="000000" w:themeColor="text1"/>
          <w:sz w:val="16"/>
          <w:szCs w:val="16"/>
        </w:rPr>
        <w:softHyphen/>
        <w:t>нуты полотном. Левый элерон имел триммер.</w:t>
      </w:r>
    </w:p>
    <w:p w14:paraId="3D70EA0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консолях крыла размещалось стрелково-пушечное вооружение, а на нижних поверхностях имелись узлы для установки шести РО-82 или подвески двух бомб.</w:t>
      </w:r>
    </w:p>
    <w:p w14:paraId="2FCF447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Оперение - свободнонесущее, однокилевое. Киль — деревянный, стабилизатор металлический. Рули обтянутые полотном, имели весо</w:t>
      </w:r>
      <w:r w:rsidRPr="00F90EAE">
        <w:rPr>
          <w:color w:val="000000" w:themeColor="text1"/>
          <w:sz w:val="16"/>
          <w:szCs w:val="16"/>
        </w:rPr>
        <w:softHyphen/>
        <w:t>вую и аэродинамическую компен</w:t>
      </w:r>
      <w:r w:rsidRPr="00F90EAE">
        <w:rPr>
          <w:color w:val="000000" w:themeColor="text1"/>
          <w:sz w:val="16"/>
          <w:szCs w:val="16"/>
        </w:rPr>
        <w:softHyphen/>
        <w:t>сацию, снабжались триммерами.</w:t>
      </w:r>
    </w:p>
    <w:p w14:paraId="3D828A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Основные опоры с тормозными колесами 800x260 убирались назад в центроплан с поворотом колес на 90°. Основная система уборки и выпуска - гидравлическая, ава</w:t>
      </w:r>
      <w:r w:rsidRPr="00F90EAE">
        <w:rPr>
          <w:color w:val="000000" w:themeColor="text1"/>
          <w:sz w:val="16"/>
          <w:szCs w:val="16"/>
        </w:rPr>
        <w:softHyphen/>
        <w:t>рийная система выпуска - пневмо-</w:t>
      </w:r>
    </w:p>
    <w:p w14:paraId="5401B77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гидравлическая. Торможение основ</w:t>
      </w:r>
      <w:r w:rsidRPr="00F90EAE">
        <w:rPr>
          <w:color w:val="000000" w:themeColor="text1"/>
          <w:sz w:val="16"/>
          <w:szCs w:val="16"/>
        </w:rPr>
        <w:softHyphen/>
        <w:t>ных колес шасси осуществлялось от пневмосистемы.</w:t>
      </w:r>
    </w:p>
    <w:p w14:paraId="60E75EB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Хвостовая опора с колесом 3004125 частично убиралась в об</w:t>
      </w:r>
      <w:r w:rsidRPr="00F90EAE">
        <w:rPr>
          <w:color w:val="000000" w:themeColor="text1"/>
          <w:sz w:val="16"/>
          <w:szCs w:val="16"/>
        </w:rPr>
        <w:softHyphen/>
        <w:t>текатель фюзеляжа. Система убор</w:t>
      </w:r>
      <w:r w:rsidRPr="00F90EAE">
        <w:rPr>
          <w:color w:val="000000" w:themeColor="text1"/>
          <w:sz w:val="16"/>
          <w:szCs w:val="16"/>
        </w:rPr>
        <w:softHyphen/>
        <w:t>ки и выпуска - механическая с при</w:t>
      </w:r>
      <w:r w:rsidRPr="00F90EAE">
        <w:rPr>
          <w:color w:val="000000" w:themeColor="text1"/>
          <w:sz w:val="16"/>
          <w:szCs w:val="16"/>
        </w:rPr>
        <w:softHyphen/>
        <w:t>водом от правой основной опоры шасси.</w:t>
      </w:r>
    </w:p>
    <w:p w14:paraId="2729653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Управление самолетом: рулем высоты и элеронами - смешанное, рулем поворота - тросовое. Управ</w:t>
      </w:r>
      <w:r w:rsidRPr="00F90EAE">
        <w:rPr>
          <w:color w:val="000000" w:themeColor="text1"/>
          <w:sz w:val="16"/>
          <w:szCs w:val="16"/>
        </w:rPr>
        <w:softHyphen/>
        <w:t>ление рулями дублировано.</w:t>
      </w:r>
    </w:p>
    <w:p w14:paraId="7A1C43B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Силовая установка включала 14-цилиндровый мотор воздушного охлаждения М-71Ф (2200 л.с.) с ме</w:t>
      </w:r>
      <w:r w:rsidRPr="00F90EAE">
        <w:rPr>
          <w:color w:val="000000" w:themeColor="text1"/>
          <w:sz w:val="16"/>
          <w:szCs w:val="16"/>
        </w:rPr>
        <w:softHyphen/>
        <w:t>таллическим трехлопастным винтом АВ-5-4А, диаметром 3,25 м.</w:t>
      </w:r>
    </w:p>
    <w:p w14:paraId="295FD7A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Мотор закрывался капотом МАСА, температура головок цилин</w:t>
      </w:r>
      <w:r w:rsidRPr="00F90EAE">
        <w:rPr>
          <w:color w:val="000000" w:themeColor="text1"/>
          <w:sz w:val="16"/>
          <w:szCs w:val="16"/>
        </w:rPr>
        <w:softHyphen/>
        <w:t>дров мотора регулировалась створками капота («юбкой»).</w:t>
      </w:r>
    </w:p>
    <w:p w14:paraId="5CE0A6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Бензиновая система состояла из одного протектированного метал</w:t>
      </w:r>
      <w:r w:rsidRPr="00F90EAE">
        <w:rPr>
          <w:color w:val="000000" w:themeColor="text1"/>
          <w:sz w:val="16"/>
          <w:szCs w:val="16"/>
        </w:rPr>
        <w:softHyphen/>
        <w:t>лического бака (770л) с заливным бачком (1,7л), фильтра, пожарного крана, бензонасоса (с приводом от М-71Ф), ручного насоса и трубо</w:t>
      </w:r>
      <w:r w:rsidRPr="00F90EAE">
        <w:rPr>
          <w:color w:val="000000" w:themeColor="text1"/>
          <w:sz w:val="16"/>
          <w:szCs w:val="16"/>
        </w:rPr>
        <w:softHyphen/>
        <w:t>проводов.</w:t>
      </w:r>
    </w:p>
    <w:p w14:paraId="31508F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Масляная система включала в себя: маслобак (71 л), два воздуш</w:t>
      </w:r>
      <w:r w:rsidRPr="00F90EAE">
        <w:rPr>
          <w:color w:val="000000" w:themeColor="text1"/>
          <w:sz w:val="16"/>
          <w:szCs w:val="16"/>
        </w:rPr>
        <w:softHyphen/>
        <w:t>но-масляных 9-ти дюймовых радиа</w:t>
      </w:r>
      <w:r w:rsidRPr="00F90EAE">
        <w:rPr>
          <w:color w:val="000000" w:themeColor="text1"/>
          <w:sz w:val="16"/>
          <w:szCs w:val="16"/>
        </w:rPr>
        <w:softHyphen/>
        <w:t>тора, установленных симметрично в носках центроплана, нагнетаю</w:t>
      </w:r>
      <w:r w:rsidRPr="00F90EAE">
        <w:rPr>
          <w:color w:val="000000" w:themeColor="text1"/>
          <w:sz w:val="16"/>
          <w:szCs w:val="16"/>
        </w:rPr>
        <w:softHyphen/>
        <w:t>щий и откачивающие маслонасо-сы, трехходовой кран и трубопро</w:t>
      </w:r>
      <w:r w:rsidRPr="00F90EAE">
        <w:rPr>
          <w:color w:val="000000" w:themeColor="text1"/>
          <w:sz w:val="16"/>
          <w:szCs w:val="16"/>
        </w:rPr>
        <w:softHyphen/>
        <w:t>воды. Масляный бак крепился на противопожарной перегородке, в пространстве за мотором.</w:t>
      </w:r>
    </w:p>
    <w:p w14:paraId="7A97749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самолете устанавливался комплект оборудования, соответ</w:t>
      </w:r>
      <w:r w:rsidRPr="00F90EAE">
        <w:rPr>
          <w:color w:val="000000" w:themeColor="text1"/>
          <w:sz w:val="16"/>
          <w:szCs w:val="16"/>
        </w:rPr>
        <w:softHyphen/>
        <w:t>ствующий ТТТ ВВС к самолетам данного типа и включавший: радио</w:t>
      </w:r>
      <w:r w:rsidRPr="00F90EAE">
        <w:rPr>
          <w:color w:val="000000" w:themeColor="text1"/>
          <w:sz w:val="16"/>
          <w:szCs w:val="16"/>
        </w:rPr>
        <w:softHyphen/>
        <w:t>оборудование, приборное и кис</w:t>
      </w:r>
      <w:r w:rsidRPr="00F90EAE">
        <w:rPr>
          <w:color w:val="000000" w:themeColor="text1"/>
          <w:sz w:val="16"/>
          <w:szCs w:val="16"/>
        </w:rPr>
        <w:softHyphen/>
        <w:t>лородное оборудование, а также фотооборудование. Источником электроэнергии постоянного тока служил генераторГС-350 и аккуму</w:t>
      </w:r>
      <w:r w:rsidRPr="00F90EAE">
        <w:rPr>
          <w:color w:val="000000" w:themeColor="text1"/>
          <w:sz w:val="16"/>
          <w:szCs w:val="16"/>
        </w:rPr>
        <w:softHyphen/>
        <w:t>ляторная батарея 12А10.</w:t>
      </w:r>
    </w:p>
    <w:p w14:paraId="1F608DF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Вооружение состояло из стрелково-пушечного и бомбардировоч</w:t>
      </w:r>
      <w:r w:rsidRPr="00F90EAE">
        <w:rPr>
          <w:color w:val="000000" w:themeColor="text1"/>
          <w:sz w:val="16"/>
          <w:szCs w:val="16"/>
        </w:rPr>
        <w:softHyphen/>
        <w:t>ного.</w:t>
      </w:r>
    </w:p>
    <w:p w14:paraId="5633E12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Стрелково-пушечное:</w:t>
      </w:r>
    </w:p>
    <w:p w14:paraId="1F525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две крыльевые пушки ОКБ-16,</w:t>
      </w:r>
    </w:p>
    <w:p w14:paraId="344787D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калибра 37 мм с суммарным бое</w:t>
      </w:r>
      <w:r w:rsidRPr="00F90EAE">
        <w:rPr>
          <w:color w:val="000000" w:themeColor="text1"/>
          <w:sz w:val="16"/>
          <w:szCs w:val="16"/>
        </w:rPr>
        <w:softHyphen/>
        <w:t>запасом 90 патронов;</w:t>
      </w:r>
    </w:p>
    <w:p w14:paraId="3733E0BC"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два крыльевых пулемета ШКАС, калибра 7,62 мм с суммарным бое</w:t>
      </w:r>
      <w:r w:rsidRPr="00F90EAE">
        <w:rPr>
          <w:color w:val="000000" w:themeColor="text1"/>
          <w:sz w:val="16"/>
          <w:szCs w:val="16"/>
        </w:rPr>
        <w:softHyphen/>
        <w:t>запасом 1400 патронов;</w:t>
      </w:r>
    </w:p>
    <w:p w14:paraId="5C414FA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подвижная блистерная установ</w:t>
      </w:r>
      <w:r w:rsidRPr="00F90EAE">
        <w:rPr>
          <w:color w:val="000000" w:themeColor="text1"/>
          <w:sz w:val="16"/>
          <w:szCs w:val="16"/>
        </w:rPr>
        <w:softHyphen/>
        <w:t>ка БЛУБ с пулеметом УБТ, калибра 12,7 мм с боезапасом 196 патро</w:t>
      </w:r>
      <w:r w:rsidRPr="00F90EAE">
        <w:rPr>
          <w:color w:val="000000" w:themeColor="text1"/>
          <w:sz w:val="16"/>
          <w:szCs w:val="16"/>
        </w:rPr>
        <w:softHyphen/>
        <w:t>нов.</w:t>
      </w:r>
    </w:p>
    <w:p w14:paraId="5099C52F"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Бомбардировочное вооруже</w:t>
      </w:r>
      <w:r w:rsidRPr="00F90EAE">
        <w:rPr>
          <w:color w:val="000000" w:themeColor="text1"/>
          <w:sz w:val="16"/>
          <w:szCs w:val="16"/>
        </w:rPr>
        <w:softHyphen/>
        <w:t>ние:</w:t>
      </w:r>
    </w:p>
    <w:p w14:paraId="362E7E2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при нормальной полетной мас</w:t>
      </w:r>
      <w:r w:rsidRPr="00F90EAE">
        <w:rPr>
          <w:color w:val="000000" w:themeColor="text1"/>
          <w:sz w:val="16"/>
          <w:szCs w:val="16"/>
        </w:rPr>
        <w:softHyphen/>
        <w:t>се (5534 кг) бомбовая нагрузка не предусматривалась;</w:t>
      </w:r>
    </w:p>
    <w:p w14:paraId="30AA95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перегрузочном варианте (5734 кг) допускалась подвеска 200 кг бомб (11845).</w:t>
      </w:r>
    </w:p>
    <w:p w14:paraId="1B34639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3DCCF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весны 1945 года проходили заводские летные испытания самолета Су-8 с небольшими пере</w:t>
      </w:r>
      <w:r w:rsidRPr="00F90EAE">
        <w:rPr>
          <w:color w:val="000000" w:themeColor="text1"/>
          <w:sz w:val="16"/>
          <w:szCs w:val="16"/>
        </w:rPr>
        <w:softHyphen/>
        <w:t>рывами для доработок и устране</w:t>
      </w:r>
      <w:r w:rsidRPr="00F90EAE">
        <w:rPr>
          <w:color w:val="000000" w:themeColor="text1"/>
          <w:sz w:val="16"/>
          <w:szCs w:val="16"/>
        </w:rPr>
        <w:softHyphen/>
        <w:t>ния неисправностей. На государ</w:t>
      </w:r>
      <w:r w:rsidRPr="00F90EAE">
        <w:rPr>
          <w:color w:val="000000" w:themeColor="text1"/>
          <w:sz w:val="16"/>
          <w:szCs w:val="16"/>
        </w:rPr>
        <w:softHyphen/>
        <w:t>ственные испытания самолет не передавался. После окончания войны интерес к штурмовику Су-8 пропал.</w:t>
      </w:r>
    </w:p>
    <w:p w14:paraId="091043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Бронированный штурмовик Су-8 с двумя двигателями М-71Ф, пред</w:t>
      </w:r>
      <w:r w:rsidRPr="00F90EAE">
        <w:rPr>
          <w:color w:val="000000" w:themeColor="text1"/>
          <w:sz w:val="16"/>
          <w:szCs w:val="16"/>
        </w:rPr>
        <w:softHyphen/>
        <w:t>назначенный «для действий по мо-томехчастям и живой силе против</w:t>
      </w:r>
      <w:r w:rsidRPr="00F90EAE">
        <w:rPr>
          <w:color w:val="000000" w:themeColor="text1"/>
          <w:sz w:val="16"/>
          <w:szCs w:val="16"/>
        </w:rPr>
        <w:softHyphen/>
        <w:t>ника», представлял собой моноплан смешанной конструкции со средне-расположенным крылом, двухкиле-вым разнесенным хвостовым опе</w:t>
      </w:r>
      <w:r w:rsidRPr="00F90EAE">
        <w:rPr>
          <w:color w:val="000000" w:themeColor="text1"/>
          <w:sz w:val="16"/>
          <w:szCs w:val="16"/>
        </w:rPr>
        <w:softHyphen/>
        <w:t>рением и трехколесным убираю</w:t>
      </w:r>
      <w:r w:rsidRPr="00F90EAE">
        <w:rPr>
          <w:color w:val="000000" w:themeColor="text1"/>
          <w:sz w:val="16"/>
          <w:szCs w:val="16"/>
        </w:rPr>
        <w:softHyphen/>
        <w:t>щимся шасси.</w:t>
      </w:r>
    </w:p>
    <w:p w14:paraId="4FF3B65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Фюзеляж овального сечения тех</w:t>
      </w:r>
      <w:r w:rsidRPr="00F90EAE">
        <w:rPr>
          <w:color w:val="000000" w:themeColor="text1"/>
          <w:sz w:val="16"/>
          <w:szCs w:val="16"/>
        </w:rPr>
        <w:softHyphen/>
        <w:t>нологически делился на три части: носовая часть была выполнена це</w:t>
      </w:r>
      <w:r w:rsidRPr="00F90EAE">
        <w:rPr>
          <w:color w:val="000000" w:themeColor="text1"/>
          <w:sz w:val="16"/>
          <w:szCs w:val="16"/>
        </w:rPr>
        <w:softHyphen/>
        <w:t>ликом из броневой стали, средняя часть была дюралевой, а хвостовая - полумонокок с деревянным набором и фанерной обшивкой.</w:t>
      </w:r>
    </w:p>
    <w:p w14:paraId="53A73D16"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Крыло - свободнонесущее тра</w:t>
      </w:r>
      <w:r w:rsidRPr="00F90EAE">
        <w:rPr>
          <w:color w:val="000000" w:themeColor="text1"/>
          <w:sz w:val="16"/>
          <w:szCs w:val="16"/>
        </w:rPr>
        <w:softHyphen/>
        <w:t>пециевидной формы в плане, состо</w:t>
      </w:r>
      <w:r w:rsidRPr="00F90EAE">
        <w:rPr>
          <w:color w:val="000000" w:themeColor="text1"/>
          <w:sz w:val="16"/>
          <w:szCs w:val="16"/>
        </w:rPr>
        <w:softHyphen/>
        <w:t>яло из центроплана и двух отъем</w:t>
      </w:r>
      <w:r w:rsidRPr="00F90EAE">
        <w:rPr>
          <w:color w:val="000000" w:themeColor="text1"/>
          <w:sz w:val="16"/>
          <w:szCs w:val="16"/>
        </w:rPr>
        <w:softHyphen/>
        <w:t>ных консолей. Центроплан - цель</w:t>
      </w:r>
      <w:r w:rsidRPr="00F90EAE">
        <w:rPr>
          <w:color w:val="000000" w:themeColor="text1"/>
          <w:sz w:val="16"/>
          <w:szCs w:val="16"/>
        </w:rPr>
        <w:softHyphen/>
        <w:t>нометаллический, консоли однолон-жеронной конструкции с дополни</w:t>
      </w:r>
      <w:r w:rsidRPr="00F90EAE">
        <w:rPr>
          <w:color w:val="000000" w:themeColor="text1"/>
          <w:sz w:val="16"/>
          <w:szCs w:val="16"/>
        </w:rPr>
        <w:softHyphen/>
        <w:t>тельной стенкой. Лонжерон и стен</w:t>
      </w:r>
      <w:r w:rsidRPr="00F90EAE">
        <w:rPr>
          <w:color w:val="000000" w:themeColor="text1"/>
          <w:sz w:val="16"/>
          <w:szCs w:val="16"/>
        </w:rPr>
        <w:softHyphen/>
        <w:t>ка - цельнометаллические, нервю</w:t>
      </w:r>
      <w:r w:rsidRPr="00F90EAE">
        <w:rPr>
          <w:color w:val="000000" w:themeColor="text1"/>
          <w:sz w:val="16"/>
          <w:szCs w:val="16"/>
        </w:rPr>
        <w:softHyphen/>
        <w:t>ры деревянные, обшивка фанерная. Профили крыла МАСА-230 большой относительной толщины. Механиза</w:t>
      </w:r>
      <w:r w:rsidRPr="00F90EAE">
        <w:rPr>
          <w:color w:val="000000" w:themeColor="text1"/>
          <w:sz w:val="16"/>
          <w:szCs w:val="16"/>
        </w:rPr>
        <w:softHyphen/>
        <w:t>ция крыла состояла из автомати</w:t>
      </w:r>
      <w:r w:rsidRPr="00F90EAE">
        <w:rPr>
          <w:color w:val="000000" w:themeColor="text1"/>
          <w:sz w:val="16"/>
          <w:szCs w:val="16"/>
        </w:rPr>
        <w:softHyphen/>
        <w:t>ческих предкрылков, элеронов и посадочных щитков.</w:t>
      </w:r>
    </w:p>
    <w:p w14:paraId="51DF5D2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Хвостовое оперение - цельно</w:t>
      </w:r>
      <w:r w:rsidRPr="00F90EAE">
        <w:rPr>
          <w:color w:val="000000" w:themeColor="text1"/>
          <w:sz w:val="16"/>
          <w:szCs w:val="16"/>
        </w:rPr>
        <w:softHyphen/>
        <w:t>металлическое, рули обтянуты по</w:t>
      </w:r>
      <w:r w:rsidRPr="00F90EAE">
        <w:rPr>
          <w:color w:val="000000" w:themeColor="text1"/>
          <w:sz w:val="16"/>
          <w:szCs w:val="16"/>
        </w:rPr>
        <w:softHyphen/>
        <w:t>лотном.</w:t>
      </w:r>
    </w:p>
    <w:p w14:paraId="01051A5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Шасси - трехопорное с хвосто</w:t>
      </w:r>
      <w:r w:rsidRPr="00F90EAE">
        <w:rPr>
          <w:color w:val="000000" w:themeColor="text1"/>
          <w:sz w:val="16"/>
          <w:szCs w:val="16"/>
        </w:rPr>
        <w:softHyphen/>
        <w:t>вым колесом. Основные опоры с колесами 1200x450 убирались в мотогондолы по потоку. Хвостовая опора с колесом 600x250 убира</w:t>
      </w:r>
      <w:r w:rsidRPr="00F90EAE">
        <w:rPr>
          <w:color w:val="000000" w:themeColor="text1"/>
          <w:sz w:val="16"/>
          <w:szCs w:val="16"/>
        </w:rPr>
        <w:softHyphen/>
        <w:t>лась в фюзеляж по потоку. Система уборки и выпуска шасси — гидрав</w:t>
      </w:r>
      <w:r w:rsidRPr="00F90EAE">
        <w:rPr>
          <w:color w:val="000000" w:themeColor="text1"/>
          <w:sz w:val="16"/>
          <w:szCs w:val="16"/>
        </w:rPr>
        <w:softHyphen/>
        <w:t>лическая.</w:t>
      </w:r>
    </w:p>
    <w:p w14:paraId="3BD0B43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Система управления самолетом смешанного типа.</w:t>
      </w:r>
    </w:p>
    <w:p w14:paraId="509F04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Силовая установка состояла из двух двигателей воздушного охлаж-</w:t>
      </w:r>
    </w:p>
    <w:p w14:paraId="7F7C1888"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дения М-71Ф, размещенных в мо</w:t>
      </w:r>
      <w:r w:rsidRPr="00F90EAE">
        <w:rPr>
          <w:color w:val="000000" w:themeColor="text1"/>
          <w:sz w:val="16"/>
          <w:szCs w:val="16"/>
        </w:rPr>
        <w:softHyphen/>
        <w:t>тогондолах. Топливные баки распо</w:t>
      </w:r>
      <w:r w:rsidRPr="00F90EAE">
        <w:rPr>
          <w:color w:val="000000" w:themeColor="text1"/>
          <w:sz w:val="16"/>
          <w:szCs w:val="16"/>
        </w:rPr>
        <w:softHyphen/>
        <w:t>лагались в мотогондолах и консо</w:t>
      </w:r>
      <w:r w:rsidRPr="00F90EAE">
        <w:rPr>
          <w:color w:val="000000" w:themeColor="text1"/>
          <w:sz w:val="16"/>
          <w:szCs w:val="16"/>
        </w:rPr>
        <w:softHyphen/>
        <w:t>лях крыла.</w:t>
      </w:r>
    </w:p>
    <w:p w14:paraId="56C6138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Пушечное вооружение включа</w:t>
      </w:r>
      <w:r w:rsidRPr="00F90EAE">
        <w:rPr>
          <w:color w:val="000000" w:themeColor="text1"/>
          <w:sz w:val="16"/>
          <w:szCs w:val="16"/>
        </w:rPr>
        <w:softHyphen/>
        <w:t>ло подфюзеляжную батарею из четырех пушек калибра 45 мм с сум</w:t>
      </w:r>
      <w:r w:rsidRPr="00F90EAE">
        <w:rPr>
          <w:color w:val="000000" w:themeColor="text1"/>
          <w:sz w:val="16"/>
          <w:szCs w:val="16"/>
        </w:rPr>
        <w:softHyphen/>
        <w:t>марным боекомплектом 200 патронов.</w:t>
      </w:r>
    </w:p>
    <w:p w14:paraId="07E871F9"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состо</w:t>
      </w:r>
      <w:r w:rsidRPr="00F90EAE">
        <w:rPr>
          <w:color w:val="000000" w:themeColor="text1"/>
          <w:sz w:val="16"/>
          <w:szCs w:val="16"/>
        </w:rPr>
        <w:softHyphen/>
        <w:t>яло из восьми пулеметов ШКАС (по четыре в каждой консоли крыла) с суммарным боекомплектом 4800 патронов, а также двух подвижных пулеметов в кабине стрелка-ради</w:t>
      </w:r>
      <w:r w:rsidRPr="00F90EAE">
        <w:rPr>
          <w:color w:val="000000" w:themeColor="text1"/>
          <w:sz w:val="16"/>
          <w:szCs w:val="16"/>
        </w:rPr>
        <w:softHyphen/>
        <w:t>ста. УБТ - на верхней турели УТК-1 с боекомплектом 200 патронов и пулемета ШКАС на нижней люко</w:t>
      </w:r>
      <w:r w:rsidRPr="00F90EAE">
        <w:rPr>
          <w:color w:val="000000" w:themeColor="text1"/>
          <w:sz w:val="16"/>
          <w:szCs w:val="16"/>
        </w:rPr>
        <w:softHyphen/>
        <w:t>вой турели ЛУ-100 с боекомплек</w:t>
      </w:r>
      <w:r w:rsidRPr="00F90EAE">
        <w:rPr>
          <w:color w:val="000000" w:themeColor="text1"/>
          <w:sz w:val="16"/>
          <w:szCs w:val="16"/>
        </w:rPr>
        <w:softHyphen/>
        <w:t>том 700 патронов.</w:t>
      </w:r>
    </w:p>
    <w:p w14:paraId="7B6912F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Бомбы размещались в шести бомбоотсеках центроплана. Каждый отсек вмещал одну бомбу калибра 100 кг или несколько авиабомб меньшего калибра. Под фюзеляжем предусматривалась подвеска трех бомб калибра 250 кг, либо двух бомб калибра 500 кг. Нормальная бомбовая нагрузка 1000 кг, в пере</w:t>
      </w:r>
      <w:r w:rsidRPr="00F90EAE">
        <w:rPr>
          <w:color w:val="000000" w:themeColor="text1"/>
          <w:sz w:val="16"/>
          <w:szCs w:val="16"/>
        </w:rPr>
        <w:softHyphen/>
        <w:t>грузочном варианте - 1400 кг.</w:t>
      </w:r>
    </w:p>
    <w:p w14:paraId="09090F0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Бронирование, общей массой 1680 кг, обеспечивало защиту пи</w:t>
      </w:r>
      <w:r w:rsidRPr="00F90EAE">
        <w:rPr>
          <w:color w:val="000000" w:themeColor="text1"/>
          <w:sz w:val="16"/>
          <w:szCs w:val="16"/>
        </w:rPr>
        <w:softHyphen/>
        <w:t>лота, стрелка-радиста, моторов, крыльевых бензобаков, маслобаков, маслорадиаторов и втулок воздуш</w:t>
      </w:r>
      <w:r w:rsidRPr="00F90EAE">
        <w:rPr>
          <w:color w:val="000000" w:themeColor="text1"/>
          <w:sz w:val="16"/>
          <w:szCs w:val="16"/>
        </w:rPr>
        <w:softHyphen/>
        <w:t>ных винтов (11853).</w:t>
      </w:r>
    </w:p>
    <w:p w14:paraId="3B9176A6" w14:textId="77777777" w:rsidR="00665165" w:rsidRPr="00F90EAE" w:rsidRDefault="00665165" w:rsidP="00F90EAE">
      <w:pPr>
        <w:autoSpaceDE w:val="0"/>
        <w:autoSpaceDN w:val="0"/>
        <w:adjustRightInd w:val="0"/>
        <w:jc w:val="both"/>
        <w:rPr>
          <w:color w:val="000000" w:themeColor="text1"/>
          <w:sz w:val="16"/>
          <w:szCs w:val="16"/>
        </w:rPr>
      </w:pPr>
    </w:p>
    <w:p w14:paraId="56819D9D" w14:textId="77777777" w:rsidR="006A1A77" w:rsidRPr="00F90EAE" w:rsidRDefault="006A1A77" w:rsidP="00F90EAE">
      <w:pPr>
        <w:jc w:val="both"/>
        <w:rPr>
          <w:color w:val="000000" w:themeColor="text1"/>
          <w:sz w:val="16"/>
          <w:szCs w:val="16"/>
        </w:rPr>
      </w:pPr>
      <w:r w:rsidRPr="00F90EAE">
        <w:rPr>
          <w:color w:val="000000" w:themeColor="text1"/>
          <w:sz w:val="16"/>
          <w:szCs w:val="16"/>
        </w:rPr>
        <w:t>До весны 1945 года с небольшими перерывами продолжались Заводские испытания самолета Су-8, которые начались в марте 1944.</w:t>
      </w:r>
    </w:p>
    <w:p w14:paraId="45886BAC" w14:textId="77777777" w:rsidR="006A1A77" w:rsidRPr="00F90EAE" w:rsidRDefault="006A1A77" w:rsidP="00F90EAE">
      <w:pPr>
        <w:jc w:val="both"/>
        <w:rPr>
          <w:color w:val="000000" w:themeColor="text1"/>
          <w:sz w:val="16"/>
          <w:szCs w:val="16"/>
        </w:rPr>
      </w:pPr>
      <w:r w:rsidRPr="00F90EAE">
        <w:rPr>
          <w:color w:val="000000" w:themeColor="text1"/>
          <w:sz w:val="16"/>
          <w:szCs w:val="16"/>
        </w:rPr>
        <w:lastRenderedPageBreak/>
        <w:t>С учетом требований войны вместо 37-мм пушек и пулеметов УБК под фюзеляжем установили четыре пушки НС-45 калибра 45 мм. Остальной состав вооружения остался без изменений. Вес нормальной бомбовой нагрузки – 600 кг (в перегрузку 1400 кг). Допускалась подвеска трех бомб калибра 250 кг либо двух бомб калибра 500 кг.</w:t>
      </w:r>
    </w:p>
    <w:p w14:paraId="1D9784F2" w14:textId="77777777" w:rsidR="006A1A77" w:rsidRPr="00F90EAE" w:rsidRDefault="006A1A77" w:rsidP="00F90EAE">
      <w:pPr>
        <w:jc w:val="both"/>
        <w:rPr>
          <w:color w:val="000000" w:themeColor="text1"/>
          <w:sz w:val="16"/>
          <w:szCs w:val="16"/>
        </w:rPr>
      </w:pPr>
      <w:r w:rsidRPr="00F90EAE">
        <w:rPr>
          <w:color w:val="000000" w:themeColor="text1"/>
          <w:sz w:val="16"/>
          <w:szCs w:val="16"/>
        </w:rPr>
        <w:t>Схема бронирования обеспечивала защиту от огня крупнокалиберных пулеметов: летчика, стрелка-радиста, моторов (не забронированы только цилиндры), крыльевых бензобаков, маслобаков, маслорадиаторов и цилиндров винтов. Спереди летчика защищали бронестекла толщиной 64 мм. Общий вес брони на самолете достигал 1680 кг.</w:t>
      </w:r>
    </w:p>
    <w:p w14:paraId="58D3FB20" w14:textId="77777777" w:rsidR="006A1A77" w:rsidRPr="00F90EAE" w:rsidRDefault="006A1A77" w:rsidP="00F90EAE">
      <w:pPr>
        <w:jc w:val="both"/>
        <w:rPr>
          <w:color w:val="000000" w:themeColor="text1"/>
          <w:sz w:val="16"/>
          <w:szCs w:val="16"/>
        </w:rPr>
      </w:pPr>
      <w:r w:rsidRPr="00F90EAE">
        <w:rPr>
          <w:color w:val="000000" w:themeColor="text1"/>
          <w:sz w:val="16"/>
          <w:szCs w:val="16"/>
        </w:rPr>
        <w:t>При нормальном полетном весе 12 413 кг (600 кг бомб) максимальная скорость полета составила 500 км/ч у земли и 550 км/ч – на высоте 4600 м. Время подъема на высоту 4000 м – 7,26 мин. Дальность полета на высоте 1000 м (скорость 335 км/ч) – 1000 км (в перегрузку 1500 км).</w:t>
      </w:r>
    </w:p>
    <w:p w14:paraId="5755D1D7" w14:textId="77777777" w:rsidR="006A1A77" w:rsidRPr="00F90EAE" w:rsidRDefault="006A1A77" w:rsidP="00F90EAE">
      <w:pPr>
        <w:jc w:val="both"/>
        <w:rPr>
          <w:color w:val="000000" w:themeColor="text1"/>
          <w:sz w:val="16"/>
          <w:szCs w:val="16"/>
        </w:rPr>
      </w:pPr>
      <w:r w:rsidRPr="00F90EAE">
        <w:rPr>
          <w:color w:val="000000" w:themeColor="text1"/>
          <w:sz w:val="16"/>
          <w:szCs w:val="16"/>
        </w:rPr>
        <w:t>Дело в том, что в связи с запуском в массовое производство штурмовика Ил-10 с мотором АМ-42 вопрос об организации серийного выпуска мотора М-71 с повестки дня был снят. В ОКБ Сухого оперативно подготовили проект Су-8 под мотор АМ-42. Получались вполне приличные летные данные. При полетном весе 12 774 кг максимальная скорость у земли составляла 485 км/ч, на высоте 2500 м – 525 км/ч. Время подъема на 4000 м – 8,5 мин. Скоростная дальность полета на высоте 1000 м – 620 км. Однако развития проект не получил.</w:t>
      </w:r>
    </w:p>
    <w:p w14:paraId="12600F6F" w14:textId="77777777" w:rsidR="006A1A77" w:rsidRPr="00F90EAE" w:rsidRDefault="006A1A77" w:rsidP="00F90EAE">
      <w:pPr>
        <w:jc w:val="both"/>
        <w:rPr>
          <w:color w:val="000000" w:themeColor="text1"/>
          <w:sz w:val="16"/>
          <w:szCs w:val="16"/>
        </w:rPr>
      </w:pPr>
      <w:r w:rsidRPr="00F90EAE">
        <w:rPr>
          <w:color w:val="000000" w:themeColor="text1"/>
          <w:sz w:val="16"/>
          <w:szCs w:val="16"/>
        </w:rPr>
        <w:t>На государственные испытания самолет не предъявлялся (17490).</w:t>
      </w:r>
    </w:p>
    <w:p w14:paraId="0A3CBF23" w14:textId="77777777" w:rsidR="006A1A77" w:rsidRPr="00F90EAE" w:rsidRDefault="006A1A77" w:rsidP="00F90EAE">
      <w:pPr>
        <w:jc w:val="both"/>
        <w:rPr>
          <w:color w:val="000000" w:themeColor="text1"/>
          <w:sz w:val="16"/>
          <w:szCs w:val="16"/>
        </w:rPr>
      </w:pPr>
    </w:p>
    <w:p w14:paraId="577D62D4"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До весны 1945 г. продолжались с небольшими перерывами заводские испытания самолета Су-8. На го</w:t>
      </w:r>
      <w:r w:rsidRPr="00F90EAE">
        <w:rPr>
          <w:rFonts w:ascii="Times New Roman" w:hAnsi="Times New Roman"/>
          <w:color w:val="000000" w:themeColor="text1"/>
          <w:spacing w:val="0"/>
          <w:sz w:val="16"/>
          <w:szCs w:val="16"/>
        </w:rPr>
        <w:softHyphen/>
        <w:t>сударственные испытания самолет не предъявлялся. После окончания войны интерес к машине и вовсе исчез. Все работы по ней были пре</w:t>
      </w:r>
      <w:r w:rsidRPr="00F90EAE">
        <w:rPr>
          <w:rFonts w:ascii="Times New Roman" w:hAnsi="Times New Roman"/>
          <w:color w:val="000000" w:themeColor="text1"/>
          <w:spacing w:val="0"/>
          <w:sz w:val="16"/>
          <w:szCs w:val="16"/>
        </w:rPr>
        <w:softHyphen/>
        <w:t>кращены.</w:t>
      </w:r>
    </w:p>
    <w:p w14:paraId="004532F1"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Максимальная скорость Су-8 2М-71ф составляла 485 км/ч (515 км/ч на форсаже) — у земли и 550 км/ч — на высоте 4600 м. Даль</w:t>
      </w:r>
      <w:r w:rsidRPr="00F90EAE">
        <w:rPr>
          <w:rFonts w:ascii="Times New Roman" w:hAnsi="Times New Roman"/>
          <w:color w:val="000000" w:themeColor="text1"/>
          <w:spacing w:val="0"/>
          <w:sz w:val="16"/>
          <w:szCs w:val="16"/>
        </w:rPr>
        <w:softHyphen/>
        <w:t>ность полета с 600 кг бомб на высо</w:t>
      </w:r>
      <w:r w:rsidRPr="00F90EAE">
        <w:rPr>
          <w:rFonts w:ascii="Times New Roman" w:hAnsi="Times New Roman"/>
          <w:color w:val="000000" w:themeColor="text1"/>
          <w:spacing w:val="0"/>
          <w:sz w:val="16"/>
          <w:szCs w:val="16"/>
        </w:rPr>
        <w:softHyphen/>
        <w:t>те 1000 м при скорости 335 км/ч — 1000 км (1500 км в перегрузку). Время подъема на 4000 м — 7,26 мин. Посадочная скорость — 138 км/ч.</w:t>
      </w:r>
    </w:p>
    <w:p w14:paraId="79BFE572"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Анализ боевых возможностей Су-8 показыва</w:t>
      </w:r>
      <w:r w:rsidRPr="00F90EAE">
        <w:rPr>
          <w:rFonts w:ascii="Times New Roman" w:hAnsi="Times New Roman"/>
          <w:color w:val="000000" w:themeColor="text1"/>
          <w:spacing w:val="0"/>
          <w:sz w:val="16"/>
          <w:szCs w:val="16"/>
        </w:rPr>
        <w:softHyphen/>
        <w:t>ет, что он мог успешно осуществлять как авиаци</w:t>
      </w:r>
      <w:r w:rsidRPr="00F90EAE">
        <w:rPr>
          <w:rFonts w:ascii="Times New Roman" w:hAnsi="Times New Roman"/>
          <w:color w:val="000000" w:themeColor="text1"/>
          <w:spacing w:val="0"/>
          <w:sz w:val="16"/>
          <w:szCs w:val="16"/>
        </w:rPr>
        <w:softHyphen/>
        <w:t>онную поддержку своих войск на этапе прорыва обороны противника, уничтожая хорошо защи</w:t>
      </w:r>
      <w:r w:rsidRPr="00F90EAE">
        <w:rPr>
          <w:rFonts w:ascii="Times New Roman" w:hAnsi="Times New Roman"/>
          <w:color w:val="000000" w:themeColor="text1"/>
          <w:spacing w:val="0"/>
          <w:sz w:val="16"/>
          <w:szCs w:val="16"/>
        </w:rPr>
        <w:softHyphen/>
        <w:t>щенные наземные цели, в том числе и танки, так и авиационное сопровождение танковых и ме</w:t>
      </w:r>
      <w:r w:rsidRPr="00F90EAE">
        <w:rPr>
          <w:rFonts w:ascii="Times New Roman" w:hAnsi="Times New Roman"/>
          <w:color w:val="000000" w:themeColor="text1"/>
          <w:spacing w:val="0"/>
          <w:sz w:val="16"/>
          <w:szCs w:val="16"/>
        </w:rPr>
        <w:softHyphen/>
        <w:t>ханизированных соединений на всех этапах вво</w:t>
      </w:r>
      <w:r w:rsidRPr="00F90EAE">
        <w:rPr>
          <w:rFonts w:ascii="Times New Roman" w:hAnsi="Times New Roman"/>
          <w:color w:val="000000" w:themeColor="text1"/>
          <w:spacing w:val="0"/>
          <w:sz w:val="16"/>
          <w:szCs w:val="16"/>
        </w:rPr>
        <w:softHyphen/>
        <w:t>да их в прорыв. Кроме этого, штурмовик мог эф</w:t>
      </w:r>
      <w:r w:rsidRPr="00F90EAE">
        <w:rPr>
          <w:rFonts w:ascii="Times New Roman" w:hAnsi="Times New Roman"/>
          <w:color w:val="000000" w:themeColor="text1"/>
          <w:spacing w:val="0"/>
          <w:sz w:val="16"/>
          <w:szCs w:val="16"/>
        </w:rPr>
        <w:softHyphen/>
        <w:t>фективно действовать в оперативной зоне и во</w:t>
      </w:r>
      <w:r w:rsidRPr="00F90EAE">
        <w:rPr>
          <w:rFonts w:ascii="Times New Roman" w:hAnsi="Times New Roman"/>
          <w:color w:val="000000" w:themeColor="text1"/>
          <w:spacing w:val="0"/>
          <w:sz w:val="16"/>
          <w:szCs w:val="16"/>
        </w:rPr>
        <w:softHyphen/>
        <w:t>йсковых тылах противника по резервам на марше и в местах их сосредоточения, по танковым и мо</w:t>
      </w:r>
      <w:r w:rsidRPr="00F90EAE">
        <w:rPr>
          <w:rFonts w:ascii="Times New Roman" w:hAnsi="Times New Roman"/>
          <w:color w:val="000000" w:themeColor="text1"/>
          <w:spacing w:val="0"/>
          <w:sz w:val="16"/>
          <w:szCs w:val="16"/>
        </w:rPr>
        <w:softHyphen/>
        <w:t>торизованным колоннам, по самолетам на аэро</w:t>
      </w:r>
      <w:r w:rsidRPr="00F90EAE">
        <w:rPr>
          <w:rFonts w:ascii="Times New Roman" w:hAnsi="Times New Roman"/>
          <w:color w:val="000000" w:themeColor="text1"/>
          <w:spacing w:val="0"/>
          <w:sz w:val="16"/>
          <w:szCs w:val="16"/>
        </w:rPr>
        <w:softHyphen/>
        <w:t>дромах, по железнодорожным составам и стан</w:t>
      </w:r>
      <w:r w:rsidRPr="00F90EAE">
        <w:rPr>
          <w:rFonts w:ascii="Times New Roman" w:hAnsi="Times New Roman"/>
          <w:color w:val="000000" w:themeColor="text1"/>
          <w:spacing w:val="0"/>
          <w:sz w:val="16"/>
          <w:szCs w:val="16"/>
        </w:rPr>
        <w:softHyphen/>
        <w:t>циям и т.д.</w:t>
      </w:r>
    </w:p>
    <w:p w14:paraId="51D23276"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То есть двухмоторный бронированный «воз</w:t>
      </w:r>
      <w:r w:rsidRPr="00F90EAE">
        <w:rPr>
          <w:rFonts w:ascii="Times New Roman" w:hAnsi="Times New Roman"/>
          <w:color w:val="000000" w:themeColor="text1"/>
          <w:spacing w:val="0"/>
          <w:sz w:val="16"/>
          <w:szCs w:val="16"/>
        </w:rPr>
        <w:softHyphen/>
        <w:t>душный линкор» П. О. Сухого «накрывал» абсолют</w:t>
      </w:r>
      <w:r w:rsidRPr="00F90EAE">
        <w:rPr>
          <w:rFonts w:ascii="Times New Roman" w:hAnsi="Times New Roman"/>
          <w:color w:val="000000" w:themeColor="text1"/>
          <w:spacing w:val="0"/>
          <w:sz w:val="16"/>
          <w:szCs w:val="16"/>
        </w:rPr>
        <w:softHyphen/>
        <w:t>но все боевые задачи авиационной поддержки наземных войск при проведении ими как глубо</w:t>
      </w:r>
      <w:r w:rsidRPr="00F90EAE">
        <w:rPr>
          <w:rFonts w:ascii="Times New Roman" w:hAnsi="Times New Roman"/>
          <w:color w:val="000000" w:themeColor="text1"/>
          <w:spacing w:val="0"/>
          <w:sz w:val="16"/>
          <w:szCs w:val="16"/>
        </w:rPr>
        <w:softHyphen/>
        <w:t>кой наступательной, так и оборонительной опе</w:t>
      </w:r>
      <w:r w:rsidRPr="00F90EAE">
        <w:rPr>
          <w:rFonts w:ascii="Times New Roman" w:hAnsi="Times New Roman"/>
          <w:color w:val="000000" w:themeColor="text1"/>
          <w:spacing w:val="0"/>
          <w:sz w:val="16"/>
          <w:szCs w:val="16"/>
        </w:rPr>
        <w:softHyphen/>
        <w:t>рации.</w:t>
      </w:r>
    </w:p>
    <w:p w14:paraId="07E6BE40"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Оценки показывают, что в типовых условиях боя летчик с хорошей летной и стрелковой подготов</w:t>
      </w:r>
      <w:r w:rsidRPr="00F90EAE">
        <w:rPr>
          <w:rFonts w:ascii="Times New Roman" w:hAnsi="Times New Roman"/>
          <w:color w:val="000000" w:themeColor="text1"/>
          <w:spacing w:val="0"/>
          <w:sz w:val="16"/>
          <w:szCs w:val="16"/>
        </w:rPr>
        <w:softHyphen/>
        <w:t>кой на Су-8 (4 НС-45, 6—10 РОФС-132 или РБС-132 или РБС-82) в каждом боевом вылете вполне мог гарантированно поразить 1—2 средних или тяже</w:t>
      </w:r>
      <w:r w:rsidRPr="00F90EAE">
        <w:rPr>
          <w:rFonts w:ascii="Times New Roman" w:hAnsi="Times New Roman"/>
          <w:color w:val="000000" w:themeColor="text1"/>
          <w:spacing w:val="0"/>
          <w:sz w:val="16"/>
          <w:szCs w:val="16"/>
        </w:rPr>
        <w:softHyphen/>
        <w:t>лых танков вермахта.</w:t>
      </w:r>
    </w:p>
    <w:p w14:paraId="3A1D4783"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Несомненно, постановка этой машины на во</w:t>
      </w:r>
      <w:r w:rsidRPr="00F90EAE">
        <w:rPr>
          <w:rFonts w:ascii="Times New Roman" w:hAnsi="Times New Roman"/>
          <w:color w:val="000000" w:themeColor="text1"/>
          <w:spacing w:val="0"/>
          <w:sz w:val="16"/>
          <w:szCs w:val="16"/>
        </w:rPr>
        <w:softHyphen/>
        <w:t>оружение штурмовых авиадивизий или корпусов Резерва Главного командования, например, из расчета один полк Су-8 на 3—4 полка одномотор</w:t>
      </w:r>
      <w:r w:rsidRPr="00F90EAE">
        <w:rPr>
          <w:rFonts w:ascii="Times New Roman" w:hAnsi="Times New Roman"/>
          <w:color w:val="000000" w:themeColor="text1"/>
          <w:spacing w:val="0"/>
          <w:sz w:val="16"/>
          <w:szCs w:val="16"/>
        </w:rPr>
        <w:softHyphen/>
        <w:t>ных штурмовиков типа Су-6 М-71ф, Ил-2 АМ-38ф или Ил-10 АМ-42, существенно повысила бы про</w:t>
      </w:r>
      <w:r w:rsidRPr="00F90EAE">
        <w:rPr>
          <w:rFonts w:ascii="Times New Roman" w:hAnsi="Times New Roman"/>
          <w:color w:val="000000" w:themeColor="text1"/>
          <w:spacing w:val="0"/>
          <w:sz w:val="16"/>
          <w:szCs w:val="16"/>
        </w:rPr>
        <w:softHyphen/>
        <w:t>бивную мощь подвижных танковых и механизи</w:t>
      </w:r>
      <w:r w:rsidRPr="00F90EAE">
        <w:rPr>
          <w:rFonts w:ascii="Times New Roman" w:hAnsi="Times New Roman"/>
          <w:color w:val="000000" w:themeColor="text1"/>
          <w:spacing w:val="0"/>
          <w:sz w:val="16"/>
          <w:szCs w:val="16"/>
        </w:rPr>
        <w:softHyphen/>
        <w:t>рованных групп прорыва Красной Армии, а также устойчивость противотанковой обороны войск. Это уменьшило бы потери войск в наступлении и обо</w:t>
      </w:r>
      <w:r w:rsidRPr="00F90EAE">
        <w:rPr>
          <w:rFonts w:ascii="Times New Roman" w:hAnsi="Times New Roman"/>
          <w:color w:val="000000" w:themeColor="text1"/>
          <w:spacing w:val="0"/>
          <w:sz w:val="16"/>
          <w:szCs w:val="16"/>
        </w:rPr>
        <w:softHyphen/>
        <w:t>роне.</w:t>
      </w:r>
    </w:p>
    <w:p w14:paraId="104D3127"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Кроме того, как показывает анализ боевого опыта применения Ил-2 на флоте, Су-8 вполне мог претендовать и на роль лучшего морского штурмо</w:t>
      </w:r>
      <w:r w:rsidRPr="00F90EAE">
        <w:rPr>
          <w:rFonts w:ascii="Times New Roman" w:hAnsi="Times New Roman"/>
          <w:color w:val="000000" w:themeColor="text1"/>
          <w:spacing w:val="0"/>
          <w:sz w:val="16"/>
          <w:szCs w:val="16"/>
        </w:rPr>
        <w:softHyphen/>
        <w:t>вика Второй мировой войны, обладая всеми необ</w:t>
      </w:r>
      <w:r w:rsidRPr="00F90EAE">
        <w:rPr>
          <w:rFonts w:ascii="Times New Roman" w:hAnsi="Times New Roman"/>
          <w:color w:val="000000" w:themeColor="text1"/>
          <w:spacing w:val="0"/>
          <w:sz w:val="16"/>
          <w:szCs w:val="16"/>
        </w:rPr>
        <w:softHyphen/>
        <w:t>ходимыми для этого качествами: мощным вооруже</w:t>
      </w:r>
      <w:r w:rsidRPr="00F90EAE">
        <w:rPr>
          <w:rFonts w:ascii="Times New Roman" w:hAnsi="Times New Roman"/>
          <w:color w:val="000000" w:themeColor="text1"/>
          <w:spacing w:val="0"/>
          <w:sz w:val="16"/>
          <w:szCs w:val="16"/>
        </w:rPr>
        <w:softHyphen/>
        <w:t>нием, достаточной дальностью полета и сильным бронированием.</w:t>
      </w:r>
    </w:p>
    <w:p w14:paraId="7C63605C"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К сожалению, «пассивная» позиция наркома</w:t>
      </w:r>
      <w:r w:rsidRPr="00F90EAE">
        <w:rPr>
          <w:rFonts w:ascii="Times New Roman" w:hAnsi="Times New Roman"/>
          <w:color w:val="000000" w:themeColor="text1"/>
          <w:spacing w:val="0"/>
          <w:sz w:val="16"/>
          <w:szCs w:val="16"/>
        </w:rPr>
        <w:softHyphen/>
        <w:t>та авиапромышленности в вопросе налаживания крупносерийного производства моторов М-71ф ре</w:t>
      </w:r>
      <w:r w:rsidRPr="00F90EAE">
        <w:rPr>
          <w:rFonts w:ascii="Times New Roman" w:hAnsi="Times New Roman"/>
          <w:color w:val="000000" w:themeColor="text1"/>
          <w:spacing w:val="0"/>
          <w:sz w:val="16"/>
          <w:szCs w:val="16"/>
        </w:rPr>
        <w:softHyphen/>
        <w:t>шила судьбу этого штурмовика — так же как и Су-6 М-71ф, в серии Су-8 не строился.</w:t>
      </w:r>
    </w:p>
    <w:p w14:paraId="0B74964C"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Пытаясь спасти штурмовик, П. О. Сухой в 1944 г. перепроектирует Су-8 (практически без изменений в аэродинамической компоновке и конструкции уже летавшего самолета) под мотор АМ-42 с взлет</w:t>
      </w:r>
      <w:r w:rsidRPr="00F90EAE">
        <w:rPr>
          <w:rFonts w:ascii="Times New Roman" w:hAnsi="Times New Roman"/>
          <w:color w:val="000000" w:themeColor="text1"/>
          <w:spacing w:val="0"/>
          <w:sz w:val="16"/>
          <w:szCs w:val="16"/>
        </w:rPr>
        <w:softHyphen/>
        <w:t>ной мощностью 2000 л.с.</w:t>
      </w:r>
    </w:p>
    <w:p w14:paraId="12B6923E"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Вес пустого самолета увеличился до 9728 кг. Нормальный полетный вес — 12 774 кг. Винты четырехлопастные диаметром 4 м. По расчетам, максимальная скорость у земли на номинальном режиме работы мотора составляла 485 км/ч, на высоте 2500 м — 525 км/ч. Время подъема на вы</w:t>
      </w:r>
      <w:r w:rsidRPr="00F90EAE">
        <w:rPr>
          <w:rFonts w:ascii="Times New Roman" w:hAnsi="Times New Roman"/>
          <w:color w:val="000000" w:themeColor="text1"/>
          <w:spacing w:val="0"/>
          <w:sz w:val="16"/>
          <w:szCs w:val="16"/>
        </w:rPr>
        <w:softHyphen/>
        <w:t>соту 4000 м — 8,5 мин. Максимальная скоростная дальность (на 0,9</w:t>
      </w:r>
      <w:r w:rsidRPr="00F90EAE">
        <w:rPr>
          <w:rFonts w:ascii="Times New Roman" w:hAnsi="Times New Roman"/>
          <w:color w:val="000000" w:themeColor="text1"/>
          <w:spacing w:val="0"/>
          <w:sz w:val="16"/>
          <w:szCs w:val="16"/>
          <w:lang w:val="en-US"/>
        </w:rPr>
        <w:t>V</w:t>
      </w:r>
      <w:r w:rsidRPr="00F90EAE">
        <w:rPr>
          <w:rFonts w:ascii="Times New Roman" w:hAnsi="Times New Roman"/>
          <w:color w:val="000000" w:themeColor="text1"/>
          <w:spacing w:val="0"/>
          <w:sz w:val="16"/>
          <w:szCs w:val="16"/>
          <w:vertAlign w:val="subscript"/>
          <w:lang w:val="en-US"/>
        </w:rPr>
        <w:t>max</w:t>
      </w:r>
      <w:r w:rsidRPr="00F90EAE">
        <w:rPr>
          <w:rFonts w:ascii="Times New Roman" w:hAnsi="Times New Roman"/>
          <w:color w:val="000000" w:themeColor="text1"/>
          <w:spacing w:val="0"/>
          <w:sz w:val="16"/>
          <w:szCs w:val="16"/>
        </w:rPr>
        <w:t>) полета на высоте 1000 м — 620 км.</w:t>
      </w:r>
    </w:p>
    <w:p w14:paraId="01150395" w14:textId="77777777" w:rsidR="006A1A77" w:rsidRPr="00F90EAE" w:rsidRDefault="006A1A77" w:rsidP="00F90EAE">
      <w:pPr>
        <w:pStyle w:val="123"/>
        <w:shd w:val="clear" w:color="auto" w:fill="auto"/>
        <w:spacing w:before="0" w:line="240" w:lineRule="auto"/>
        <w:ind w:firstLine="0"/>
        <w:rPr>
          <w:rFonts w:ascii="Times New Roman" w:hAnsi="Times New Roman"/>
          <w:color w:val="000000" w:themeColor="text1"/>
          <w:spacing w:val="0"/>
          <w:sz w:val="16"/>
          <w:szCs w:val="16"/>
        </w:rPr>
      </w:pPr>
      <w:r w:rsidRPr="00F90EAE">
        <w:rPr>
          <w:rFonts w:ascii="Times New Roman" w:hAnsi="Times New Roman"/>
          <w:color w:val="000000" w:themeColor="text1"/>
          <w:spacing w:val="0"/>
          <w:sz w:val="16"/>
          <w:szCs w:val="16"/>
        </w:rPr>
        <w:t>Кроме того, еще в конце 1942 г. на основе само</w:t>
      </w:r>
      <w:r w:rsidRPr="00F90EAE">
        <w:rPr>
          <w:rFonts w:ascii="Times New Roman" w:hAnsi="Times New Roman"/>
          <w:color w:val="000000" w:themeColor="text1"/>
          <w:spacing w:val="0"/>
          <w:sz w:val="16"/>
          <w:szCs w:val="16"/>
        </w:rPr>
        <w:softHyphen/>
        <w:t>лета Су-8 были разработаны проекты фронтового бомбардировщика и высотного разведчика. По за</w:t>
      </w:r>
      <w:r w:rsidRPr="00F90EAE">
        <w:rPr>
          <w:rFonts w:ascii="Times New Roman" w:hAnsi="Times New Roman"/>
          <w:color w:val="000000" w:themeColor="text1"/>
          <w:spacing w:val="0"/>
          <w:sz w:val="16"/>
          <w:szCs w:val="16"/>
        </w:rPr>
        <w:softHyphen/>
        <w:t>мыслу Сухого это придавало самолету некоторую многофункциональность.</w:t>
      </w:r>
    </w:p>
    <w:p w14:paraId="1E37214E" w14:textId="77777777" w:rsidR="006A1A77" w:rsidRPr="00F90EAE" w:rsidRDefault="006A1A77" w:rsidP="00F90EAE">
      <w:pPr>
        <w:jc w:val="both"/>
        <w:rPr>
          <w:color w:val="000000" w:themeColor="text1"/>
          <w:sz w:val="16"/>
          <w:szCs w:val="16"/>
        </w:rPr>
      </w:pPr>
      <w:r w:rsidRPr="00F90EAE">
        <w:rPr>
          <w:color w:val="000000" w:themeColor="text1"/>
          <w:sz w:val="16"/>
          <w:szCs w:val="16"/>
        </w:rPr>
        <w:t>Ни один из этих проектов дальнейшего разви</w:t>
      </w:r>
      <w:r w:rsidRPr="00F90EAE">
        <w:rPr>
          <w:color w:val="000000" w:themeColor="text1"/>
          <w:sz w:val="16"/>
          <w:szCs w:val="16"/>
        </w:rPr>
        <w:softHyphen/>
        <w:t>тия не получил (17500).</w:t>
      </w:r>
    </w:p>
    <w:p w14:paraId="44056D53" w14:textId="77777777" w:rsidR="006A1A77" w:rsidRPr="00F90EAE" w:rsidRDefault="006A1A77" w:rsidP="00F90EAE">
      <w:pPr>
        <w:jc w:val="both"/>
        <w:rPr>
          <w:rStyle w:val="107"/>
          <w:rFonts w:eastAsiaTheme="minorHAnsi"/>
          <w:color w:val="000000" w:themeColor="text1"/>
          <w:sz w:val="16"/>
          <w:szCs w:val="16"/>
        </w:rPr>
      </w:pPr>
    </w:p>
    <w:p w14:paraId="1F3FF3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в ОКБ П.О.С. приступили к большой модификации Ер-2. Параллельно с рабочим проектированием строился макет Ер-2БМ, предъявленный макетной комиссии в последний день августа. В ее протоколе отмечалось, что для улучшения лет- но-технических данных вместо АЧ-30Б установлены моторы АЧ-30БФ взлетной мощностью по 1900 л.с. (номинальная на высоте 6000 м - 1500 л.е.); радиаторы перенесены из крыла в передние части капотов моторов; емкость основных топливных баков уменьшена на 940 л, при этом вместо одного внутрифюзеляжного 420-литрового бака установлено два подвесных 1100-литровых (один для дальности 5000 км и два - для 6000 км). Общая емкость всех баков снизилась до 6200 л вместо 6420 л на серийном самолете.</w:t>
      </w:r>
    </w:p>
    <w:p w14:paraId="735F70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Крыло заменили новым без "обратной чайки", увеличив его площадь с 79 м2 до 81 м2 и размах с 23 до 28 м. Вместо профиля крыла С-240 применили ЦАГИ П-7 в центроплане и К-4 - на консолях. Самолет превратился в высокоплан с увеличенным объемом бомбоотсека, позволявшим подвешивать бомбы калибра от 100 до 1000 кг.</w:t>
      </w:r>
    </w:p>
    <w:p w14:paraId="2F5CDF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Взамен механического аварийного управления сбрасыванием бомб предусмотрели дублирующее электрическое. Ввели электрифицированную турель СЭБ-2 под пушку Б-20 взамен полумеханической турели ТУМ-5 под пушку ШВАК на серийном самолете. Вместо серийной люковой установки МВ-26 под УБТ с прицелом ОП-2Л установили электрифицированную НЭУ под Б-20 с коллиматор- ным визиром К8-7 и механизмом стабилизации вектора собственной скорости.</w:t>
      </w:r>
    </w:p>
    <w:p w14:paraId="18FDD3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Заказчик утвердил макет, но с небольшими оговорками, касавшимися кабины экипажа и компоновки винтомоторной группы (11994).</w:t>
      </w:r>
    </w:p>
    <w:p w14:paraId="5C9F260E" w14:textId="77777777" w:rsidR="00665165" w:rsidRPr="00F90EAE" w:rsidRDefault="00665165" w:rsidP="00F90EAE">
      <w:pPr>
        <w:autoSpaceDE w:val="0"/>
        <w:autoSpaceDN w:val="0"/>
        <w:adjustRightInd w:val="0"/>
        <w:jc w:val="both"/>
        <w:rPr>
          <w:color w:val="000000" w:themeColor="text1"/>
          <w:sz w:val="16"/>
          <w:szCs w:val="16"/>
        </w:rPr>
      </w:pPr>
    </w:p>
    <w:p w14:paraId="6083C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с видимой неохотой заниматься этой машиной, по решению Наркомата тематику Ер-2 был вынужден возглавить новый главный конструктор. При участии П.О. Сухого были построены три самолета Ер-20Н ("особого назначения"), предназначенные для перевозок высокопоставленных лиц, были изготовлены 4 образца пассажирского варианта машины ЕР-2: особого назначения - ЕР-20Н и несколько модификаций ЕР-2ММ. Вместо бомбового отсека и задних стрелковых точек на самолете разместили два больших комфортабельных пассажирских салона, в каждом из которых могло находится по девять человек. Максимальная взлетная масса Ер-20Н возросла до 19 000 кг. Окончательная декоративная отделка Ер-20Н должна была производится в Москве. Головной самолет, пилотируемый Героем Советского Союза А.Д. Алексеевым, по маршруту Иркутск- Москва прошел без посадки, что для того времени было рекордом. Аналогичный путь на втором Ер-20Н повторил Герой Советского Союза Коростелев. Итоги перелетов первых двух Ер-20Н показали, что требуемые летно-технические данные обеспечены. Третий самолет отделывался уже в Иркутске, причем опять "главное внимание было уделено комфортабельности и интерьеру пассажирского салона". Характеристики не снимались, так как самолеты вели себя отлично, но, поскольку двигатели были все-таки ненадежны, для самых ответственных полетов эти самолеты не применялись (12037).</w:t>
      </w:r>
    </w:p>
    <w:p w14:paraId="3AEBC5FE" w14:textId="77777777" w:rsidR="00665165" w:rsidRPr="00F90EAE" w:rsidRDefault="00665165" w:rsidP="00F90EAE">
      <w:pPr>
        <w:autoSpaceDE w:val="0"/>
        <w:autoSpaceDN w:val="0"/>
        <w:adjustRightInd w:val="0"/>
        <w:jc w:val="both"/>
        <w:rPr>
          <w:color w:val="000000" w:themeColor="text1"/>
          <w:sz w:val="16"/>
          <w:szCs w:val="16"/>
        </w:rPr>
      </w:pPr>
    </w:p>
    <w:p w14:paraId="0217769F" w14:textId="77777777" w:rsidR="0027059D" w:rsidRPr="00F90EAE" w:rsidRDefault="0027059D" w:rsidP="00F90EAE">
      <w:pPr>
        <w:pStyle w:val="a3"/>
        <w:rPr>
          <w:color w:val="000000" w:themeColor="text1"/>
          <w:lang w:val="ru-RU"/>
        </w:rPr>
      </w:pPr>
      <w:r w:rsidRPr="00F90EAE">
        <w:rPr>
          <w:color w:val="000000" w:themeColor="text1"/>
          <w:lang w:val="ru-RU"/>
        </w:rPr>
        <w:t>Весной 1945 г. приступили к работам по большой модификации самолёта Ер-2. Парал</w:t>
      </w:r>
      <w:r w:rsidRPr="00F90EAE">
        <w:rPr>
          <w:color w:val="000000" w:themeColor="text1"/>
          <w:lang w:val="ru-RU"/>
        </w:rPr>
        <w:softHyphen/>
        <w:t>лельно с рабочим проектированием Ер-2БМ строился его макет. 21 августа 1945 г. при</w:t>
      </w:r>
      <w:r w:rsidRPr="00F90EAE">
        <w:rPr>
          <w:color w:val="000000" w:themeColor="text1"/>
          <w:lang w:val="ru-RU"/>
        </w:rPr>
        <w:softHyphen/>
        <w:t>казом НКАП П.О. Сухому выдали официальное задание на проектирование и постройку самолёта Ер-2БМ с 2АЧ-31 и передачей его на заводские испытания 15 декабря 1945 г. На 1 января 1946 г. готовность лётного экземпляра Ер-2БМ составила 65%.</w:t>
      </w:r>
    </w:p>
    <w:p w14:paraId="592E60F7" w14:textId="77777777" w:rsidR="0027059D" w:rsidRPr="00F90EAE" w:rsidRDefault="0027059D" w:rsidP="00F90EAE">
      <w:pPr>
        <w:pStyle w:val="a3"/>
        <w:rPr>
          <w:color w:val="000000" w:themeColor="text1"/>
          <w:lang w:val="ru-RU"/>
        </w:rPr>
      </w:pPr>
      <w:r w:rsidRPr="00F90EAE">
        <w:rPr>
          <w:color w:val="000000" w:themeColor="text1"/>
          <w:lang w:val="ru-RU"/>
        </w:rPr>
        <w:t>В утвержденный 7ГУ НКАП план работ завода № 134 на 1945 год включили модифика</w:t>
      </w:r>
      <w:r w:rsidRPr="00F90EAE">
        <w:rPr>
          <w:color w:val="000000" w:themeColor="text1"/>
          <w:lang w:val="ru-RU"/>
        </w:rPr>
        <w:softHyphen/>
        <w:t>цию Ер-2 2АЧ-31 в пассажирском варианте (Ер-2ПС) с передачей на государственные лётные испытания 1 ноября 1945 г. Согласно проекту Ер-2ПС должен был перевозить 27 пассажиров на расстояние до 3500 км, а 12 человек — на 5000 км. Рабочие чертежи до конца 1945 г. изготовили на 90%. По плану завод № 134 должен был построить пла</w:t>
      </w:r>
      <w:r w:rsidRPr="00F90EAE">
        <w:rPr>
          <w:color w:val="000000" w:themeColor="text1"/>
          <w:lang w:val="ru-RU"/>
        </w:rPr>
        <w:softHyphen/>
        <w:t>нер для статических испытаний, а изготовление лётного экземпляра возлагалось на Та</w:t>
      </w:r>
      <w:r w:rsidRPr="00F90EAE">
        <w:rPr>
          <w:color w:val="000000" w:themeColor="text1"/>
          <w:lang w:val="ru-RU"/>
        </w:rPr>
        <w:softHyphen/>
        <w:t>ганрогский авиационный завод № 86, куда после войны перевели тюремное КБ Бартини (4-й спецотдел НКВД). Скорее всего, Роберт Людвигович об этом ничего не знал, и ес</w:t>
      </w:r>
      <w:r w:rsidRPr="00F90EAE">
        <w:rPr>
          <w:color w:val="000000" w:themeColor="text1"/>
          <w:lang w:val="ru-RU"/>
        </w:rPr>
        <w:softHyphen/>
        <w:t>ли бы планы наркомата претворились в жизнь, то он вполне мог бы стать свидетелем ро</w:t>
      </w:r>
      <w:r w:rsidRPr="00F90EAE">
        <w:rPr>
          <w:color w:val="000000" w:themeColor="text1"/>
          <w:lang w:val="ru-RU"/>
        </w:rPr>
        <w:softHyphen/>
        <w:t>ждения своего «правнука».</w:t>
      </w:r>
    </w:p>
    <w:p w14:paraId="634ACE34" w14:textId="77777777" w:rsidR="0027059D" w:rsidRPr="00F90EAE" w:rsidRDefault="0027059D" w:rsidP="00F90EAE">
      <w:pPr>
        <w:pStyle w:val="a3"/>
        <w:rPr>
          <w:color w:val="000000" w:themeColor="text1"/>
          <w:lang w:val="ru-RU"/>
        </w:rPr>
      </w:pPr>
      <w:r w:rsidRPr="00F90EAE">
        <w:rPr>
          <w:color w:val="000000" w:themeColor="text1"/>
          <w:lang w:val="ru-RU"/>
        </w:rPr>
        <w:t>Ер-2БМ и Ер-2ПС по согласованию с 7 ГУ НКАП включили в проект плана опытного самолётостроения на 1946 год, но в связи с решением о снятии Ер-2 с производства, в утвержденном плане они отсутствовали. Так проект остался только на бумаге (15810).</w:t>
      </w:r>
    </w:p>
    <w:p w14:paraId="47D59601" w14:textId="77777777" w:rsidR="0027059D" w:rsidRPr="00F90EAE" w:rsidRDefault="0027059D" w:rsidP="00F90EAE">
      <w:pPr>
        <w:pStyle w:val="a3"/>
        <w:rPr>
          <w:color w:val="000000" w:themeColor="text1"/>
          <w:lang w:val="ru-RU"/>
        </w:rPr>
      </w:pPr>
    </w:p>
    <w:p w14:paraId="67E87A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в ЛИИ ВВС ВМФ прошли испытания Ту-2Т торпедоносца с парой торпед 456-35АН (АНУ). Пред. Госкомиссии был ГСС г-м В.П.Канарев, ком. 2-й гмтасд им. Токарева. Вл Шемякин и вш Андреев. В заключении отметили, что самолет в варианте с одной или двумя торпедами испытания выдержал и рекомендован на вооружение ВВС ВМФ для низкого торпедометания. По сравнению с Ил-4Т и А-20Г обладал большей скоростью, более сильным оборонительным вооружением и не уступал в дальности. Эксплуатация выявила множество дефектов (4407,6).</w:t>
      </w:r>
    </w:p>
    <w:p w14:paraId="5CB188E6" w14:textId="77777777" w:rsidR="00665165" w:rsidRPr="00F90EAE" w:rsidRDefault="00665165" w:rsidP="00F90EAE">
      <w:pPr>
        <w:autoSpaceDE w:val="0"/>
        <w:autoSpaceDN w:val="0"/>
        <w:adjustRightInd w:val="0"/>
        <w:jc w:val="both"/>
        <w:rPr>
          <w:color w:val="000000" w:themeColor="text1"/>
          <w:sz w:val="16"/>
          <w:szCs w:val="16"/>
        </w:rPr>
      </w:pPr>
    </w:p>
    <w:p w14:paraId="21DDC3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в ЛИИ ВВС ВМФ выдержал государственные испытания Ту-2 торпедоносец. При необходимости самолет мог поднимать авиационные донные мины АМД-500 и АМД-1000, а также до 3000 кг бомб. В дальнейшем на борту Ту-2Т предполагали разместить надувную авиационную спасательную лодку ЛАС-3 с комплектом жизнеобеспечения.</w:t>
      </w:r>
    </w:p>
    <w:p w14:paraId="5390F8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Первым самолетом-торпедоносцем, созданным на базе Ту-2, стал Ту-2Т № 9/14 с экипажем из четырех человек. Эта машина с двумя торпедами 456-36-АН (АНУ), размешавшимися под центропланом.</w:t>
      </w:r>
    </w:p>
    <w:p w14:paraId="7BA10A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Испытания Ту-2Т проходили на аэродроме Саки (Крым). Председателем государственной комиссии по испытания Ту-2Т был Герой Советского Союза генерал-майор В.П. Канарев, командир 2-й гвардейский минно-торпедной авиационной смешанной авиадивизии (гмтасд) имени Токарева. Ведущими были летчик Шемякин и штурман Андреев. В своем заключении специалисты ЛИИ ВВС ВМФ отмечали, что самолет в варианте торпедоносца с одной и двумя торпедами испытания выдержал и рекомендовался на вооружение ВВС ВМФ для низкого торпедометания.</w:t>
      </w:r>
    </w:p>
    <w:p w14:paraId="6C0C2CB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положительное заключение, на заводе № 23 изготовили лишь один самолет Ту-2Т и серийно он не выпускался (12035).</w:t>
      </w:r>
    </w:p>
    <w:p w14:paraId="2A1CD3D5" w14:textId="77777777" w:rsidR="00665165" w:rsidRPr="00F90EAE" w:rsidRDefault="00665165" w:rsidP="00F90EAE">
      <w:pPr>
        <w:autoSpaceDE w:val="0"/>
        <w:autoSpaceDN w:val="0"/>
        <w:adjustRightInd w:val="0"/>
        <w:jc w:val="both"/>
        <w:rPr>
          <w:color w:val="000000" w:themeColor="text1"/>
          <w:sz w:val="16"/>
          <w:szCs w:val="16"/>
        </w:rPr>
      </w:pPr>
    </w:p>
    <w:p w14:paraId="2EF75A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на 125 заводе в кооперации с другими заводами по документации завода 51 начали серию 10Х и до конца войны сделали 300 (1800,5).</w:t>
      </w:r>
    </w:p>
    <w:p w14:paraId="625350CB" w14:textId="77777777" w:rsidR="00665165" w:rsidRPr="00F90EAE" w:rsidRDefault="00665165" w:rsidP="00F90EAE">
      <w:pPr>
        <w:autoSpaceDE w:val="0"/>
        <w:autoSpaceDN w:val="0"/>
        <w:adjustRightInd w:val="0"/>
        <w:jc w:val="both"/>
        <w:rPr>
          <w:color w:val="000000" w:themeColor="text1"/>
          <w:sz w:val="16"/>
          <w:szCs w:val="16"/>
        </w:rPr>
      </w:pPr>
    </w:p>
    <w:p w14:paraId="314F6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году в ОКБ Незваля приехал известный полярный летчик И.И.Черевичный. Он обратился к Незвалю с предложением переоборудовать два самолета Пе-8 для нужд Полярной авиации. Для этой цели командование Дальней авиации (тогда это уже была 18-я Воздушная Армия) выделило им два самолета, которые завод №22 по дополнительным техническим требованиям должен был переоборудовать. Совместно с Черевичным ОКБ детально проработало требования для эксплуатации машин в полярных условиях. С машин сняли все вооружение, заделали все образовавшиеся ниши, ввели в состав оборудования все, что необходимо было для полетов в высоких широтах. Одна машина, получившая бортовой регистрационный номер СССР-Н 395, предназначалась для самого Черевичного, вторая - СССР -Н 419 для полярного летчика В.И.Задкова. Самолет Черевичного начал эксплуатироваться в Полярной авиации в 1947 году 7 июля 1947 года он был разбит при взлете в районе мыса Касистый. Причина аварии была в ошибке при эксплуатации - механик перекрыл по ошибке все четыре крана топливоподачи к двигателям, в результате все двигатели самолета остановились. В 1979 году все, что осталось от этой машины, на транспортном самолете было привезено в музей ВВС в Монино. Вторая машина Н 419 участвовала в экспедициях "Север-2" и "Север-4", предпринятых в военных целях. В послевоенный период ВВС активно осваивали ледяные просторы Арктики с целью организации там аэродромов подскока для самолетов Дальней авиации для ударов по Севе-ро-Американскому континенту С весны 1950 года в Полярной авиации началась эксплуатация еще двух переоборудованных Пе-8 Н 396 с двигателями АШ-82ФН и Н 556 с двигателями АШ-73 со снятыми ТК. Н396 участвовал в научной экспедиции "Северный полюс - 2", Н 556 прославился тем, что в 1952 году на нем был доставлен вертолет Ми-1 в район полярной зимовки. Последние полеты Пе-8 в Полярной авиации совершали в 1954 году Вскоре их списали, а сменили их у полярников ледовые разведчики, переоборудованные из серийных Ту-4, которые к этому времени постепенно начали выводить из состава ВВС, заменяя их на реактивные Ту-16 (7685).</w:t>
      </w:r>
    </w:p>
    <w:p w14:paraId="4EC3886F" w14:textId="77777777" w:rsidR="00665165" w:rsidRPr="00F90EAE" w:rsidRDefault="00665165" w:rsidP="00F90EAE">
      <w:pPr>
        <w:autoSpaceDE w:val="0"/>
        <w:autoSpaceDN w:val="0"/>
        <w:adjustRightInd w:val="0"/>
        <w:jc w:val="both"/>
        <w:rPr>
          <w:color w:val="000000" w:themeColor="text1"/>
          <w:sz w:val="16"/>
          <w:szCs w:val="16"/>
        </w:rPr>
      </w:pPr>
    </w:p>
    <w:p w14:paraId="3E55F6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на заводе № 500 проводились испытания усовершенствованного варианта АЧ-30Б с ресурсом 200 ч (!) и даже готовился запуск этого двигателя в производство. Выявленные дефекты не драматизировались, считалось, что их устранение - дело ближайшего будущего. И вдруг картина радикально изменилась. Поводом для этого стал массовый брак коленчатых валов, выявленный военпредами завода № 500 в последней декаде апреля 1945 г. Сразу после окончания войны заметно ужесточились требования ВВС к качеству боевой техники. Были зафиксированы два случая обрыва шатунов и один случай заклинивания мотора в воздухе. Военпреды "отсеивали" едва ли не каждый второй дизель (8984).</w:t>
      </w:r>
    </w:p>
    <w:p w14:paraId="02E2111F" w14:textId="77777777" w:rsidR="00665165" w:rsidRPr="00F90EAE" w:rsidRDefault="00665165" w:rsidP="00F90EAE">
      <w:pPr>
        <w:autoSpaceDE w:val="0"/>
        <w:autoSpaceDN w:val="0"/>
        <w:adjustRightInd w:val="0"/>
        <w:jc w:val="both"/>
        <w:rPr>
          <w:color w:val="000000" w:themeColor="text1"/>
          <w:sz w:val="16"/>
          <w:szCs w:val="16"/>
        </w:rPr>
      </w:pPr>
    </w:p>
    <w:p w14:paraId="35B774F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года первым в учебно-тренировочный самолет (УТС) переделали Як-9 № (07-40) с мотором ВК-105ПФ силами 1-й ремонтной базы 13-й ВА. Самолет, получивший обозначение Як-9В (вывозной), отличался дублированным управлением рулями, элеронами, тормозами, нормальным газом, воздушным винтом, зажиганием, приборной доской и др. На самолете имелся приемник РСИ-4А, связанный с СПУ. Отсутствовало вооружение.</w:t>
      </w:r>
    </w:p>
    <w:p w14:paraId="5A0E92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НИИ ВВС, после проведения в марте того же года испытаний (ведущие инженер Г.А. Седов и летчик В.Г. Иванов), рекомендовал эту машину для обучения и тренировки летного состава при условии проведения ее статических испытаний и устранения выявленных дефектов. Несмотря на то, что в соответствии с февральским 1945 года постановлением ГКО спарки должны были выпускаться на заводе № 301, эта машина осталась в единственном экземпляре.</w:t>
      </w:r>
    </w:p>
    <w:p w14:paraId="7C0F86C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нее модифицировали в УТС Як-9Т № 11-01, построенный заводом № 153. При этом кабину курсанта второй спарки сместили вперед на 400 мм, между второй и третьей рамами фюзеляжа разместили кабину инструктора. Обе кабины закрывались общим фонарем с механизмом аварийного сброса. Бронеспинки заменили фанерными. Объем маслобака уменьшили с 60 до 51 литра, а с бензобаков сняли протекторы и систему нейтрального газа, ненужные для полета в мирном небе. Тогда же с самолета убрали радиостанцию и кислородное оборудование.</w:t>
      </w:r>
    </w:p>
    <w:p w14:paraId="7AB1CB2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задней кабине разместили ручное и ножное управление, управление тормозами и кнопку выключения тормозов передней кабины, сектора газа и управления шагом винта, переключатель магнето, две кабинные лампы и приборную доску, на которой располагались компас КИ-10, двухстрелоч- ный высотомер В-12, указатели скорости УС-800 и поворота УП-1, трехстрелочный индикатор ТМП-3 и тахометр ТЭ-22.</w:t>
      </w:r>
    </w:p>
    <w:p w14:paraId="11CC12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Пушку калибра 37 мм и синхронный пулемет БС заменили МП-20 ШВAK с боекомплектом 90 патронов. Перезарядка орудия - пневмомеханическая, управление огнем - электрическое.</w:t>
      </w:r>
    </w:p>
    <w:p w14:paraId="5CFC142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то, что машина по технике пилотирования не отличалась от серийного Як-9 с двигателем ВК-105ПФ, ее также не рекомендовали для летных школ и запасных авиаполков (ЗАПов). Причины были связаны не только с выявленными дефектами. Как следует из заключения НИИ ВВС, " Як-9В № 11-01 с двигателем ВК-105ПФ, производства завода № 153, модификации завода № 301, выпуска марта 1945 года, не может быть использован в качестве учебно- тренировочного самолета &lt;...&gt; вследствие недостаточного объема оборудования и неудобства задней кабины".</w:t>
      </w:r>
    </w:p>
    <w:p w14:paraId="4D9D152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Вопреки рекомендации ведущего института ВВС Як-9В запустили в серийное производство, поскольку по технике пилотирования он ничем не отличался от серийных Як-9 с мотором ВК-105ПФ. К тому времени в летных школах и ЗАПах находилось не менее 150 Як-9В (12046).</w:t>
      </w:r>
    </w:p>
    <w:p w14:paraId="1E412082" w14:textId="77777777" w:rsidR="00665165" w:rsidRPr="00F90EAE" w:rsidRDefault="00665165" w:rsidP="00F90EAE">
      <w:pPr>
        <w:autoSpaceDE w:val="0"/>
        <w:autoSpaceDN w:val="0"/>
        <w:adjustRightInd w:val="0"/>
        <w:jc w:val="both"/>
        <w:rPr>
          <w:color w:val="000000" w:themeColor="text1"/>
          <w:sz w:val="16"/>
          <w:szCs w:val="16"/>
        </w:rPr>
      </w:pPr>
    </w:p>
    <w:p w14:paraId="4388DC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года в связи с ужесточением заказчиком эксплуатационных требований к авиационной технике на серийном Як-3 с мотором ВК-107А завода №31 под руководством ведущего инженера К.А. Скржинского заменили фанерную обшивку фюзеляжа дюралюминиевой, а на рулях и элеронах перешли с ткани на легкий магниевый сплав "Электрон". Одновременно стальные тяги управления рулями и элеронами, а также стаканы гидроприводов выпуска посадочных щитков заменили дюралевыми. Кабину летчика сместили назад на 400 мм и установили маслорадиатор ОП- 700 с увеличенной охлаждающей поверхностью. На 30 кг снизили запас бензина и на восемь - масла. Установили дополнительную маслопомпу. В итоге самолет полегчал на 49 кг.</w:t>
      </w:r>
    </w:p>
    <w:p w14:paraId="748269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книге А.Т. Степанца говорится, что данную доработку выполнили на машине №7003, но этот самолет не мог одновременно проходить госиспытания в двух вариантах. Кроме этого, в "Альбоме самолетов ВВС КА", испытанных в НИИ ВВС в 1945 году, цельнометаллический Як-3 с двигателем В К-107А отсутствует.</w:t>
      </w:r>
    </w:p>
    <w:p w14:paraId="4A0841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 цельнометаллический "як" существовал, и его заводские летные испытания начались 12 апреля, но не в 1945-м, а в 1946 году в Москве. Как водится, все началось с пробежек и подлетов, и лишь 14 апреля машина, пилотируемая М.И. Ивановым, оторвалась от взлетно-посадочной полосы Центрального аэродрома.</w:t>
      </w:r>
    </w:p>
    <w:p w14:paraId="39D7DAC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следующем месяце (11 мая) истребитель поступил в НИИ ВВС и испытания проходил с 25 мая по 9 июня. Ведущими по машине были инженер И.А. Колосов и летчик Ю.А. Антипов. Машину облетали В.Г. Иванов, А.Г. Кочетков, А.Г. Проша- ков, Г.А. Седов и А.А. Манучаров. Но самолет, хотя по летным данным и соответствовал постановлению ГКО, сохранил те же дефекты силовой установки, что и предыдущие машины. </w:t>
      </w:r>
    </w:p>
    <w:p w14:paraId="28F0DE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семейства истребителей Як-3 с моторами ВК-107А и АШ-82ФН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tblGrid>
      <w:tr w:rsidR="00561F31" w:rsidRPr="00F90EAE" w14:paraId="6B4F7064" w14:textId="77777777">
        <w:tc>
          <w:tcPr>
            <w:tcW w:w="1121" w:type="dxa"/>
            <w:tcBorders>
              <w:top w:val="single" w:sz="12" w:space="0" w:color="auto"/>
            </w:tcBorders>
          </w:tcPr>
          <w:p w14:paraId="3B9AAF1E"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Borders>
              <w:top w:val="single" w:sz="12" w:space="0" w:color="auto"/>
            </w:tcBorders>
          </w:tcPr>
          <w:p w14:paraId="383CF4C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Як-1М 3) 1943 г.</w:t>
            </w:r>
          </w:p>
        </w:tc>
        <w:tc>
          <w:tcPr>
            <w:tcW w:w="1121" w:type="dxa"/>
            <w:tcBorders>
              <w:top w:val="single" w:sz="12" w:space="0" w:color="auto"/>
            </w:tcBorders>
          </w:tcPr>
          <w:p w14:paraId="158853B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1)</w:t>
            </w:r>
          </w:p>
        </w:tc>
        <w:tc>
          <w:tcPr>
            <w:tcW w:w="1121" w:type="dxa"/>
            <w:tcBorders>
              <w:top w:val="single" w:sz="12" w:space="0" w:color="auto"/>
            </w:tcBorders>
          </w:tcPr>
          <w:p w14:paraId="29FF3A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№01-01 Завод №292 ГИ</w:t>
            </w:r>
          </w:p>
        </w:tc>
        <w:tc>
          <w:tcPr>
            <w:tcW w:w="1121" w:type="dxa"/>
            <w:tcBorders>
              <w:top w:val="single" w:sz="12" w:space="0" w:color="auto"/>
            </w:tcBorders>
          </w:tcPr>
          <w:p w14:paraId="3F6266D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 №03-01 Завод №292 Контрольные ЗИ</w:t>
            </w:r>
          </w:p>
        </w:tc>
        <w:tc>
          <w:tcPr>
            <w:tcW w:w="1121" w:type="dxa"/>
            <w:tcBorders>
              <w:top w:val="single" w:sz="12" w:space="0" w:color="auto"/>
            </w:tcBorders>
          </w:tcPr>
          <w:p w14:paraId="3D0F9AA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Як-32) №70-03, завод №31</w:t>
            </w:r>
          </w:p>
        </w:tc>
        <w:tc>
          <w:tcPr>
            <w:tcW w:w="1121" w:type="dxa"/>
            <w:tcBorders>
              <w:top w:val="single" w:sz="12" w:space="0" w:color="auto"/>
            </w:tcBorders>
          </w:tcPr>
          <w:p w14:paraId="1AAC9E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Як-ЗУ</w:t>
            </w:r>
          </w:p>
        </w:tc>
      </w:tr>
      <w:tr w:rsidR="00561F31" w:rsidRPr="00F90EAE" w14:paraId="3D873532" w14:textId="77777777">
        <w:tc>
          <w:tcPr>
            <w:tcW w:w="1121" w:type="dxa"/>
          </w:tcPr>
          <w:p w14:paraId="619792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Двигатель</w:t>
            </w:r>
          </w:p>
        </w:tc>
        <w:tc>
          <w:tcPr>
            <w:tcW w:w="1121" w:type="dxa"/>
          </w:tcPr>
          <w:p w14:paraId="0EE01B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М-107А</w:t>
            </w:r>
          </w:p>
        </w:tc>
        <w:tc>
          <w:tcPr>
            <w:tcW w:w="1121" w:type="dxa"/>
          </w:tcPr>
          <w:p w14:paraId="469B2D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121" w:type="dxa"/>
          </w:tcPr>
          <w:p w14:paraId="4A27DDF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ВИШ-Ю7ЛО</w:t>
            </w:r>
          </w:p>
        </w:tc>
        <w:tc>
          <w:tcPr>
            <w:tcW w:w="1121" w:type="dxa"/>
          </w:tcPr>
          <w:p w14:paraId="767C1C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 ВИШ-107ЛО</w:t>
            </w:r>
          </w:p>
        </w:tc>
        <w:tc>
          <w:tcPr>
            <w:tcW w:w="1121" w:type="dxa"/>
          </w:tcPr>
          <w:p w14:paraId="1254F8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ВК-107А</w:t>
            </w:r>
          </w:p>
        </w:tc>
        <w:tc>
          <w:tcPr>
            <w:tcW w:w="1121" w:type="dxa"/>
          </w:tcPr>
          <w:p w14:paraId="60D3EF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АШ-82ФН</w:t>
            </w:r>
          </w:p>
        </w:tc>
      </w:tr>
      <w:tr w:rsidR="00561F31" w:rsidRPr="00F90EAE" w14:paraId="654AE5BC" w14:textId="77777777">
        <w:tc>
          <w:tcPr>
            <w:tcW w:w="1121" w:type="dxa"/>
          </w:tcPr>
          <w:p w14:paraId="071086B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Мощность, л.е.: взлетная номинальная/на высоте, м</w:t>
            </w:r>
          </w:p>
        </w:tc>
        <w:tc>
          <w:tcPr>
            <w:tcW w:w="1121" w:type="dxa"/>
          </w:tcPr>
          <w:p w14:paraId="200D2C9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1650 1500/5800</w:t>
            </w:r>
          </w:p>
        </w:tc>
        <w:tc>
          <w:tcPr>
            <w:tcW w:w="1121" w:type="dxa"/>
          </w:tcPr>
          <w:p w14:paraId="34747E5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741F8F2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79C359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564C91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1600 1650/1800 1500/4500</w:t>
            </w:r>
          </w:p>
        </w:tc>
        <w:tc>
          <w:tcPr>
            <w:tcW w:w="1121" w:type="dxa"/>
          </w:tcPr>
          <w:p w14:paraId="5283839A" w14:textId="77777777" w:rsidR="00665165" w:rsidRPr="00F90EAE" w:rsidRDefault="00665165" w:rsidP="00F90EAE">
            <w:pPr>
              <w:autoSpaceDE w:val="0"/>
              <w:autoSpaceDN w:val="0"/>
              <w:adjustRightInd w:val="0"/>
              <w:jc w:val="both"/>
              <w:rPr>
                <w:color w:val="000000" w:themeColor="text1"/>
                <w:sz w:val="16"/>
                <w:szCs w:val="16"/>
              </w:rPr>
            </w:pPr>
          </w:p>
          <w:p w14:paraId="1A5C8204" w14:textId="77777777" w:rsidR="00665165" w:rsidRPr="00F90EAE" w:rsidRDefault="00665165" w:rsidP="00F90EAE">
            <w:pPr>
              <w:autoSpaceDE w:val="0"/>
              <w:autoSpaceDN w:val="0"/>
              <w:adjustRightInd w:val="0"/>
              <w:jc w:val="both"/>
              <w:rPr>
                <w:color w:val="000000" w:themeColor="text1"/>
                <w:sz w:val="16"/>
                <w:szCs w:val="16"/>
              </w:rPr>
            </w:pPr>
          </w:p>
          <w:p w14:paraId="69F48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1850</w:t>
            </w:r>
          </w:p>
        </w:tc>
      </w:tr>
      <w:tr w:rsidR="00561F31" w:rsidRPr="00F90EAE" w14:paraId="5A8CAF0D" w14:textId="77777777">
        <w:tc>
          <w:tcPr>
            <w:tcW w:w="1121" w:type="dxa"/>
          </w:tcPr>
          <w:p w14:paraId="055C440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1121" w:type="dxa"/>
          </w:tcPr>
          <w:p w14:paraId="3FAA752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095CD3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492C8A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4CBD1AB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0DB7A85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9,2</w:t>
            </w:r>
          </w:p>
        </w:tc>
        <w:tc>
          <w:tcPr>
            <w:tcW w:w="1121" w:type="dxa"/>
          </w:tcPr>
          <w:p w14:paraId="59C0F5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9,4</w:t>
            </w:r>
          </w:p>
        </w:tc>
      </w:tr>
      <w:tr w:rsidR="00561F31" w:rsidRPr="00F90EAE" w14:paraId="73AD5923" w14:textId="77777777">
        <w:tc>
          <w:tcPr>
            <w:tcW w:w="1121" w:type="dxa"/>
          </w:tcPr>
          <w:p w14:paraId="62245EA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1121" w:type="dxa"/>
          </w:tcPr>
          <w:p w14:paraId="28506A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1121" w:type="dxa"/>
          </w:tcPr>
          <w:p w14:paraId="3013EE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8,5385</w:t>
            </w:r>
          </w:p>
        </w:tc>
        <w:tc>
          <w:tcPr>
            <w:tcW w:w="1121" w:type="dxa"/>
          </w:tcPr>
          <w:p w14:paraId="07A7D6F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121" w:type="dxa"/>
          </w:tcPr>
          <w:p w14:paraId="4CEF2AD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8,55</w:t>
            </w:r>
          </w:p>
        </w:tc>
        <w:tc>
          <w:tcPr>
            <w:tcW w:w="1121" w:type="dxa"/>
          </w:tcPr>
          <w:p w14:paraId="0E4B0A7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8,5385</w:t>
            </w:r>
          </w:p>
        </w:tc>
        <w:tc>
          <w:tcPr>
            <w:tcW w:w="1121" w:type="dxa"/>
          </w:tcPr>
          <w:p w14:paraId="6FDC5B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8,36</w:t>
            </w:r>
          </w:p>
        </w:tc>
      </w:tr>
      <w:tr w:rsidR="00561F31" w:rsidRPr="00F90EAE" w14:paraId="59F6E4B9" w14:textId="77777777">
        <w:tc>
          <w:tcPr>
            <w:tcW w:w="1121" w:type="dxa"/>
          </w:tcPr>
          <w:p w14:paraId="5C4198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м2</w:t>
            </w:r>
          </w:p>
        </w:tc>
        <w:tc>
          <w:tcPr>
            <w:tcW w:w="1121" w:type="dxa"/>
          </w:tcPr>
          <w:p w14:paraId="5B80E8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7B5EE0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01DEED4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604068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2207DF3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14,85</w:t>
            </w:r>
          </w:p>
        </w:tc>
        <w:tc>
          <w:tcPr>
            <w:tcW w:w="1121" w:type="dxa"/>
          </w:tcPr>
          <w:p w14:paraId="230A374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15,35</w:t>
            </w:r>
          </w:p>
        </w:tc>
      </w:tr>
      <w:tr w:rsidR="00561F31" w:rsidRPr="00F90EAE" w14:paraId="4ADAA04D" w14:textId="77777777">
        <w:tc>
          <w:tcPr>
            <w:tcW w:w="1121" w:type="dxa"/>
          </w:tcPr>
          <w:p w14:paraId="6FB16FC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Взлетный вес, кг</w:t>
            </w:r>
          </w:p>
        </w:tc>
        <w:tc>
          <w:tcPr>
            <w:tcW w:w="1121" w:type="dxa"/>
          </w:tcPr>
          <w:p w14:paraId="051B59E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2985</w:t>
            </w:r>
          </w:p>
        </w:tc>
        <w:tc>
          <w:tcPr>
            <w:tcW w:w="1121" w:type="dxa"/>
          </w:tcPr>
          <w:p w14:paraId="0554B69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2984</w:t>
            </w:r>
          </w:p>
        </w:tc>
        <w:tc>
          <w:tcPr>
            <w:tcW w:w="1121" w:type="dxa"/>
          </w:tcPr>
          <w:p w14:paraId="1DED266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3059</w:t>
            </w:r>
          </w:p>
        </w:tc>
        <w:tc>
          <w:tcPr>
            <w:tcW w:w="1121" w:type="dxa"/>
          </w:tcPr>
          <w:p w14:paraId="2DE81B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3057</w:t>
            </w:r>
          </w:p>
        </w:tc>
        <w:tc>
          <w:tcPr>
            <w:tcW w:w="1121" w:type="dxa"/>
          </w:tcPr>
          <w:p w14:paraId="3C760F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2935</w:t>
            </w:r>
          </w:p>
        </w:tc>
        <w:tc>
          <w:tcPr>
            <w:tcW w:w="1121" w:type="dxa"/>
          </w:tcPr>
          <w:p w14:paraId="183881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2792</w:t>
            </w:r>
          </w:p>
        </w:tc>
      </w:tr>
      <w:tr w:rsidR="00561F31" w:rsidRPr="00F90EAE" w14:paraId="05C8F615" w14:textId="77777777">
        <w:tc>
          <w:tcPr>
            <w:tcW w:w="1121" w:type="dxa"/>
          </w:tcPr>
          <w:p w14:paraId="4044797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Вес пустого, кг</w:t>
            </w:r>
          </w:p>
        </w:tc>
        <w:tc>
          <w:tcPr>
            <w:tcW w:w="1121" w:type="dxa"/>
          </w:tcPr>
          <w:p w14:paraId="1DF4E6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2438</w:t>
            </w:r>
          </w:p>
        </w:tc>
        <w:tc>
          <w:tcPr>
            <w:tcW w:w="1121" w:type="dxa"/>
          </w:tcPr>
          <w:p w14:paraId="572B864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2346</w:t>
            </w:r>
          </w:p>
        </w:tc>
        <w:tc>
          <w:tcPr>
            <w:tcW w:w="1121" w:type="dxa"/>
          </w:tcPr>
          <w:p w14:paraId="3BCB12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2411</w:t>
            </w:r>
          </w:p>
        </w:tc>
        <w:tc>
          <w:tcPr>
            <w:tcW w:w="1121" w:type="dxa"/>
          </w:tcPr>
          <w:p w14:paraId="7898829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0DD6AB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2342</w:t>
            </w:r>
          </w:p>
        </w:tc>
        <w:tc>
          <w:tcPr>
            <w:tcW w:w="1121" w:type="dxa"/>
          </w:tcPr>
          <w:p w14:paraId="7F7D523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2273</w:t>
            </w:r>
          </w:p>
        </w:tc>
      </w:tr>
      <w:tr w:rsidR="00561F31" w:rsidRPr="00F90EAE" w14:paraId="1F5BF3F0" w14:textId="77777777">
        <w:tc>
          <w:tcPr>
            <w:tcW w:w="1121" w:type="dxa"/>
          </w:tcPr>
          <w:p w14:paraId="09954A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Запас топлива, л</w:t>
            </w:r>
          </w:p>
        </w:tc>
        <w:tc>
          <w:tcPr>
            <w:tcW w:w="1121" w:type="dxa"/>
          </w:tcPr>
          <w:p w14:paraId="3F4FB76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21" w:type="dxa"/>
          </w:tcPr>
          <w:p w14:paraId="703AA41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21" w:type="dxa"/>
          </w:tcPr>
          <w:p w14:paraId="14B59B0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363</w:t>
            </w:r>
          </w:p>
        </w:tc>
        <w:tc>
          <w:tcPr>
            <w:tcW w:w="1121" w:type="dxa"/>
          </w:tcPr>
          <w:p w14:paraId="1609873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360</w:t>
            </w:r>
          </w:p>
        </w:tc>
        <w:tc>
          <w:tcPr>
            <w:tcW w:w="1121" w:type="dxa"/>
          </w:tcPr>
          <w:p w14:paraId="0694B50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352</w:t>
            </w:r>
          </w:p>
        </w:tc>
        <w:tc>
          <w:tcPr>
            <w:tcW w:w="1121" w:type="dxa"/>
          </w:tcPr>
          <w:p w14:paraId="11F2816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340</w:t>
            </w:r>
          </w:p>
        </w:tc>
      </w:tr>
      <w:tr w:rsidR="00561F31" w:rsidRPr="00F90EAE" w14:paraId="15B38EFA" w14:textId="77777777">
        <w:tc>
          <w:tcPr>
            <w:tcW w:w="1121" w:type="dxa"/>
          </w:tcPr>
          <w:p w14:paraId="25AA00A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 у земли на высоте, км посадочная</w:t>
            </w:r>
          </w:p>
        </w:tc>
        <w:tc>
          <w:tcPr>
            <w:tcW w:w="1121" w:type="dxa"/>
          </w:tcPr>
          <w:p w14:paraId="05E7BE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268687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611</w:t>
            </w:r>
          </w:p>
        </w:tc>
        <w:tc>
          <w:tcPr>
            <w:tcW w:w="1121" w:type="dxa"/>
          </w:tcPr>
          <w:p w14:paraId="12086C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602</w:t>
            </w:r>
          </w:p>
        </w:tc>
        <w:tc>
          <w:tcPr>
            <w:tcW w:w="1121" w:type="dxa"/>
          </w:tcPr>
          <w:p w14:paraId="68364249"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0499CC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604</w:t>
            </w:r>
          </w:p>
        </w:tc>
        <w:tc>
          <w:tcPr>
            <w:tcW w:w="1121" w:type="dxa"/>
          </w:tcPr>
          <w:p w14:paraId="1B4DE0BE" w14:textId="77777777" w:rsidR="00665165" w:rsidRPr="00F90EAE" w:rsidRDefault="00665165" w:rsidP="00F90EAE">
            <w:pPr>
              <w:autoSpaceDE w:val="0"/>
              <w:autoSpaceDN w:val="0"/>
              <w:adjustRightInd w:val="0"/>
              <w:jc w:val="both"/>
              <w:rPr>
                <w:color w:val="000000" w:themeColor="text1"/>
                <w:sz w:val="16"/>
                <w:szCs w:val="16"/>
              </w:rPr>
            </w:pPr>
          </w:p>
        </w:tc>
      </w:tr>
      <w:tr w:rsidR="00561F31" w:rsidRPr="00F90EAE" w14:paraId="33774D97" w14:textId="77777777">
        <w:tc>
          <w:tcPr>
            <w:tcW w:w="1121" w:type="dxa"/>
          </w:tcPr>
          <w:p w14:paraId="2480B7E8"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791C03C3"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42C950C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720/5,75</w:t>
            </w:r>
          </w:p>
        </w:tc>
        <w:tc>
          <w:tcPr>
            <w:tcW w:w="1121" w:type="dxa"/>
          </w:tcPr>
          <w:p w14:paraId="402D467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695/5,95</w:t>
            </w:r>
          </w:p>
          <w:p w14:paraId="23F487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21" w:type="dxa"/>
          </w:tcPr>
          <w:p w14:paraId="76F6EFB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707/5900</w:t>
            </w:r>
          </w:p>
        </w:tc>
        <w:tc>
          <w:tcPr>
            <w:tcW w:w="1121" w:type="dxa"/>
          </w:tcPr>
          <w:p w14:paraId="7A57CE9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706/5,9</w:t>
            </w:r>
          </w:p>
        </w:tc>
        <w:tc>
          <w:tcPr>
            <w:tcW w:w="1121" w:type="dxa"/>
          </w:tcPr>
          <w:p w14:paraId="159C97C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705/6,1</w:t>
            </w:r>
          </w:p>
        </w:tc>
      </w:tr>
      <w:tr w:rsidR="00561F31" w:rsidRPr="00F90EAE" w14:paraId="0984BC40" w14:textId="77777777">
        <w:tc>
          <w:tcPr>
            <w:tcW w:w="1121" w:type="dxa"/>
          </w:tcPr>
          <w:p w14:paraId="02E8585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5000 м, мин.</w:t>
            </w:r>
          </w:p>
        </w:tc>
        <w:tc>
          <w:tcPr>
            <w:tcW w:w="1121" w:type="dxa"/>
          </w:tcPr>
          <w:p w14:paraId="2692148B"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4D2AD38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3,9</w:t>
            </w:r>
          </w:p>
        </w:tc>
        <w:tc>
          <w:tcPr>
            <w:tcW w:w="1121" w:type="dxa"/>
          </w:tcPr>
          <w:p w14:paraId="7F024B1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w:t>
            </w:r>
          </w:p>
        </w:tc>
        <w:tc>
          <w:tcPr>
            <w:tcW w:w="1121" w:type="dxa"/>
          </w:tcPr>
          <w:p w14:paraId="1606C7A2"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1D25607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4,25</w:t>
            </w:r>
          </w:p>
        </w:tc>
        <w:tc>
          <w:tcPr>
            <w:tcW w:w="1121" w:type="dxa"/>
          </w:tcPr>
          <w:p w14:paraId="3DF20A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w:t>
            </w:r>
          </w:p>
        </w:tc>
      </w:tr>
      <w:tr w:rsidR="00561F31" w:rsidRPr="00F90EAE" w14:paraId="56375E0D" w14:textId="77777777">
        <w:tc>
          <w:tcPr>
            <w:tcW w:w="1121" w:type="dxa"/>
          </w:tcPr>
          <w:p w14:paraId="44369F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1121" w:type="dxa"/>
          </w:tcPr>
          <w:p w14:paraId="7E973F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0B796FE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11 800</w:t>
            </w:r>
          </w:p>
        </w:tc>
        <w:tc>
          <w:tcPr>
            <w:tcW w:w="1121" w:type="dxa"/>
          </w:tcPr>
          <w:p w14:paraId="4CC6C55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11 350</w:t>
            </w:r>
          </w:p>
        </w:tc>
        <w:tc>
          <w:tcPr>
            <w:tcW w:w="1121" w:type="dxa"/>
          </w:tcPr>
          <w:p w14:paraId="008E4F7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6E8B31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11 050</w:t>
            </w:r>
          </w:p>
        </w:tc>
        <w:tc>
          <w:tcPr>
            <w:tcW w:w="1121" w:type="dxa"/>
          </w:tcPr>
          <w:p w14:paraId="6CE632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685A21FD" w14:textId="77777777">
        <w:tc>
          <w:tcPr>
            <w:tcW w:w="1121" w:type="dxa"/>
          </w:tcPr>
          <w:p w14:paraId="251FFD8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Время виража на высоте 1000 м, с</w:t>
            </w:r>
          </w:p>
        </w:tc>
        <w:tc>
          <w:tcPr>
            <w:tcW w:w="1121" w:type="dxa"/>
          </w:tcPr>
          <w:p w14:paraId="574CFD1A"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3F96B3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17-18</w:t>
            </w:r>
          </w:p>
        </w:tc>
        <w:tc>
          <w:tcPr>
            <w:tcW w:w="1121" w:type="dxa"/>
          </w:tcPr>
          <w:p w14:paraId="13833605"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2BBC1A23"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6A436C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20</w:t>
            </w:r>
          </w:p>
        </w:tc>
        <w:tc>
          <w:tcPr>
            <w:tcW w:w="1121" w:type="dxa"/>
          </w:tcPr>
          <w:p w14:paraId="37AC4ED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3C242FA1" w14:textId="77777777">
        <w:tc>
          <w:tcPr>
            <w:tcW w:w="1121" w:type="dxa"/>
          </w:tcPr>
          <w:p w14:paraId="64D6DF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1121" w:type="dxa"/>
          </w:tcPr>
          <w:p w14:paraId="2247E266"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3AC53ACC"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3B6D727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1060</w:t>
            </w:r>
          </w:p>
        </w:tc>
        <w:tc>
          <w:tcPr>
            <w:tcW w:w="1121" w:type="dxa"/>
          </w:tcPr>
          <w:p w14:paraId="70CDD8B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1041 5)</w:t>
            </w:r>
          </w:p>
        </w:tc>
        <w:tc>
          <w:tcPr>
            <w:tcW w:w="1121" w:type="dxa"/>
          </w:tcPr>
          <w:p w14:paraId="24008E6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_</w:t>
            </w:r>
          </w:p>
        </w:tc>
        <w:tc>
          <w:tcPr>
            <w:tcW w:w="1121" w:type="dxa"/>
          </w:tcPr>
          <w:p w14:paraId="44639A5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777 4)</w:t>
            </w:r>
          </w:p>
        </w:tc>
      </w:tr>
      <w:tr w:rsidR="00561F31" w:rsidRPr="00F90EAE" w14:paraId="438189E5" w14:textId="77777777">
        <w:tc>
          <w:tcPr>
            <w:tcW w:w="1121" w:type="dxa"/>
          </w:tcPr>
          <w:p w14:paraId="5344064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Разбег/пробег, м</w:t>
            </w:r>
          </w:p>
        </w:tc>
        <w:tc>
          <w:tcPr>
            <w:tcW w:w="1121" w:type="dxa"/>
          </w:tcPr>
          <w:p w14:paraId="73B1ED57" w14:textId="77777777" w:rsidR="00665165" w:rsidRPr="00F90EAE" w:rsidRDefault="00665165" w:rsidP="00F90EAE">
            <w:pPr>
              <w:autoSpaceDE w:val="0"/>
              <w:autoSpaceDN w:val="0"/>
              <w:adjustRightInd w:val="0"/>
              <w:jc w:val="both"/>
              <w:rPr>
                <w:color w:val="000000" w:themeColor="text1"/>
                <w:sz w:val="16"/>
                <w:szCs w:val="16"/>
              </w:rPr>
            </w:pPr>
          </w:p>
        </w:tc>
        <w:tc>
          <w:tcPr>
            <w:tcW w:w="1121" w:type="dxa"/>
          </w:tcPr>
          <w:p w14:paraId="0BEB261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345/590</w:t>
            </w:r>
          </w:p>
        </w:tc>
        <w:tc>
          <w:tcPr>
            <w:tcW w:w="1121" w:type="dxa"/>
          </w:tcPr>
          <w:p w14:paraId="5721AB4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375/540</w:t>
            </w:r>
          </w:p>
        </w:tc>
        <w:tc>
          <w:tcPr>
            <w:tcW w:w="1121" w:type="dxa"/>
          </w:tcPr>
          <w:p w14:paraId="41B3C7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Pr>
          <w:p w14:paraId="28F7D4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-350/440</w:t>
            </w:r>
          </w:p>
        </w:tc>
        <w:tc>
          <w:tcPr>
            <w:tcW w:w="1121" w:type="dxa"/>
          </w:tcPr>
          <w:p w14:paraId="469E572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A097915" w14:textId="77777777">
        <w:tc>
          <w:tcPr>
            <w:tcW w:w="1121" w:type="dxa"/>
            <w:tcBorders>
              <w:bottom w:val="single" w:sz="12" w:space="0" w:color="auto"/>
            </w:tcBorders>
          </w:tcPr>
          <w:p w14:paraId="5B93E8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Вооружение: количество х калибр/ общий боезапас</w:t>
            </w:r>
          </w:p>
        </w:tc>
        <w:tc>
          <w:tcPr>
            <w:tcW w:w="1121" w:type="dxa"/>
            <w:tcBorders>
              <w:bottom w:val="single" w:sz="12" w:space="0" w:color="auto"/>
            </w:tcBorders>
          </w:tcPr>
          <w:p w14:paraId="543E622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1x20/120 1x12,7/200</w:t>
            </w:r>
          </w:p>
        </w:tc>
        <w:tc>
          <w:tcPr>
            <w:tcW w:w="1121" w:type="dxa"/>
            <w:tcBorders>
              <w:bottom w:val="single" w:sz="12" w:space="0" w:color="auto"/>
            </w:tcBorders>
          </w:tcPr>
          <w:p w14:paraId="78487CA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1121" w:type="dxa"/>
            <w:tcBorders>
              <w:bottom w:val="single" w:sz="12" w:space="0" w:color="auto"/>
            </w:tcBorders>
          </w:tcPr>
          <w:p w14:paraId="0FE2467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3x20</w:t>
            </w:r>
          </w:p>
        </w:tc>
        <w:tc>
          <w:tcPr>
            <w:tcW w:w="1121" w:type="dxa"/>
            <w:tcBorders>
              <w:bottom w:val="single" w:sz="12" w:space="0" w:color="auto"/>
            </w:tcBorders>
          </w:tcPr>
          <w:p w14:paraId="76B6278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3x20/300</w:t>
            </w:r>
          </w:p>
        </w:tc>
        <w:tc>
          <w:tcPr>
            <w:tcW w:w="1121" w:type="dxa"/>
            <w:tcBorders>
              <w:bottom w:val="single" w:sz="12" w:space="0" w:color="auto"/>
            </w:tcBorders>
          </w:tcPr>
          <w:p w14:paraId="45187B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w:t>
            </w:r>
          </w:p>
        </w:tc>
        <w:tc>
          <w:tcPr>
            <w:tcW w:w="1121" w:type="dxa"/>
            <w:tcBorders>
              <w:bottom w:val="single" w:sz="12" w:space="0" w:color="auto"/>
            </w:tcBorders>
          </w:tcPr>
          <w:p w14:paraId="573792D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2x20/240</w:t>
            </w:r>
          </w:p>
        </w:tc>
      </w:tr>
    </w:tbl>
    <w:p w14:paraId="2876E3D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Примечания: 1 - опытный №1 с крылом смешанной конструкции, без вооружения; 2 - цельнометаллический; 3 - краткое техническое описание самолета Як1-М с мотором М107-А. Апрель 1943 г.; 4 - с деревянным крылом, с металлическим - 2740 кг; 5 - на высоте 950 м со скоростью 312 км/ч (12047).</w:t>
      </w:r>
    </w:p>
    <w:p w14:paraId="740F4DF9" w14:textId="77777777" w:rsidR="00665165" w:rsidRPr="00F90EAE" w:rsidRDefault="00665165" w:rsidP="00F90EAE">
      <w:pPr>
        <w:autoSpaceDE w:val="0"/>
        <w:autoSpaceDN w:val="0"/>
        <w:adjustRightInd w:val="0"/>
        <w:jc w:val="both"/>
        <w:rPr>
          <w:color w:val="000000" w:themeColor="text1"/>
          <w:sz w:val="16"/>
          <w:szCs w:val="16"/>
        </w:rPr>
      </w:pPr>
    </w:p>
    <w:p w14:paraId="0A2F43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года на заводе №153 в Новосибирске опытная машина Як-3 АШ-82 была в основном изготовлена, а ее сборка завершилась в Москве. На самолете поставили две синхронные пушки Б-20С с боезапасом по 120 патронов на ствол.</w:t>
      </w:r>
    </w:p>
    <w:p w14:paraId="5238350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Первый полет истребителя, пилотируемого П.Я. Федрови (ведущий инженер по испытаниям A.M. Дружинин), состоялся 12 мая 1945 года. В ходе испытаний Федрови достиг скорости 682 км/ч на высоте 6000 метров. Время набора высоты 5000 метров не превышало 3,9 минуты. Несмотря на впечатляющие результаты испытаний, в середине июня самолет вернули с летно- испытательной станции на опытный завод ОКБ, для замены крыла металлическим. Одновременно сделали и другие доработки, включая увеличение проти во капотажного угла. Однако, несмотря на высокие летные данные, самолет больше в воздух не поднимался, а на его базе создали учебно- тренировочный истребитель Як-11 (12047).</w:t>
      </w:r>
    </w:p>
    <w:p w14:paraId="5156489F" w14:textId="77777777" w:rsidR="00665165" w:rsidRPr="00F90EAE" w:rsidRDefault="00665165" w:rsidP="00F90EAE">
      <w:pPr>
        <w:autoSpaceDE w:val="0"/>
        <w:autoSpaceDN w:val="0"/>
        <w:adjustRightInd w:val="0"/>
        <w:jc w:val="both"/>
        <w:rPr>
          <w:color w:val="000000" w:themeColor="text1"/>
          <w:sz w:val="16"/>
          <w:szCs w:val="16"/>
        </w:rPr>
      </w:pPr>
    </w:p>
    <w:p w14:paraId="762CCCC2" w14:textId="77777777" w:rsidR="0027059D" w:rsidRPr="00F90EAE" w:rsidRDefault="0027059D" w:rsidP="00F90EAE">
      <w:pPr>
        <w:jc w:val="both"/>
        <w:rPr>
          <w:color w:val="000000" w:themeColor="text1"/>
          <w:sz w:val="16"/>
          <w:szCs w:val="16"/>
        </w:rPr>
      </w:pPr>
      <w:r w:rsidRPr="00F90EAE">
        <w:rPr>
          <w:color w:val="000000" w:themeColor="text1"/>
          <w:sz w:val="16"/>
          <w:szCs w:val="16"/>
        </w:rPr>
        <w:t>Весной 1945 г. на испыта</w:t>
      </w:r>
      <w:r w:rsidRPr="00F90EAE">
        <w:rPr>
          <w:color w:val="000000" w:themeColor="text1"/>
          <w:sz w:val="16"/>
          <w:szCs w:val="16"/>
        </w:rPr>
        <w:softHyphen/>
        <w:t>ния вышли высотные истребители МиГ с мотором АМ-39Б и турбокомпрессорами: первый — с двумя ТК-2Б и с ТК-300Б — второй. На втором экземпляре МиГа 14 апре</w:t>
      </w:r>
      <w:r w:rsidRPr="00F90EAE">
        <w:rPr>
          <w:color w:val="000000" w:themeColor="text1"/>
          <w:sz w:val="16"/>
          <w:szCs w:val="16"/>
        </w:rPr>
        <w:softHyphen/>
        <w:t>ля 1945 г. достигли высоты 12300 м, 11 мая — 13000 м, а в день катастрофы высотно</w:t>
      </w:r>
      <w:r w:rsidRPr="00F90EAE">
        <w:rPr>
          <w:color w:val="000000" w:themeColor="text1"/>
          <w:sz w:val="16"/>
          <w:szCs w:val="16"/>
        </w:rPr>
        <w:softHyphen/>
        <w:t>го Ла-7 — 4 июля 1945 г. — 13700 м, причём наличие вертикальной скорости, равной 2,5 м/с, свидетельствовало о том, что запаса мощности мотора достаточно для получе</w:t>
      </w:r>
      <w:r w:rsidRPr="00F90EAE">
        <w:rPr>
          <w:color w:val="000000" w:themeColor="text1"/>
          <w:sz w:val="16"/>
          <w:szCs w:val="16"/>
        </w:rPr>
        <w:softHyphen/>
        <w:t>ния расчётного потолка 14000 м. Первый экземпляр МиГа, хотя и летал, но значитель</w:t>
      </w:r>
      <w:r w:rsidRPr="00F90EAE">
        <w:rPr>
          <w:color w:val="000000" w:themeColor="text1"/>
          <w:sz w:val="16"/>
          <w:szCs w:val="16"/>
        </w:rPr>
        <w:softHyphen/>
        <w:t>ных результатов на нём не получили (15830).</w:t>
      </w:r>
    </w:p>
    <w:p w14:paraId="2FB815E1" w14:textId="77777777" w:rsidR="0027059D" w:rsidRPr="00F90EAE" w:rsidRDefault="0027059D" w:rsidP="00F90EAE">
      <w:pPr>
        <w:jc w:val="both"/>
        <w:rPr>
          <w:color w:val="000000" w:themeColor="text1"/>
          <w:sz w:val="16"/>
          <w:szCs w:val="16"/>
        </w:rPr>
      </w:pPr>
    </w:p>
    <w:p w14:paraId="48F00E72" w14:textId="77777777" w:rsidR="00A92FC9" w:rsidRPr="00F90EAE" w:rsidRDefault="00A92FC9" w:rsidP="00F90EAE">
      <w:pPr>
        <w:jc w:val="both"/>
        <w:rPr>
          <w:color w:val="0070C0"/>
          <w:sz w:val="16"/>
          <w:szCs w:val="16"/>
        </w:rPr>
      </w:pPr>
      <w:r w:rsidRPr="00F90EAE">
        <w:rPr>
          <w:color w:val="0070C0"/>
          <w:sz w:val="16"/>
          <w:szCs w:val="16"/>
        </w:rPr>
        <w:t>Весной 1945 г. поставки Ла-7 возросли и уступали «по валу» лишь Як-9 в базовых вариантах, которых намечалось передать в войска 540 единиц (22772).</w:t>
      </w:r>
    </w:p>
    <w:p w14:paraId="3C6717B0" w14:textId="77777777" w:rsidR="00A92FC9" w:rsidRPr="00F90EAE" w:rsidRDefault="00A92FC9" w:rsidP="00F90EAE">
      <w:pPr>
        <w:jc w:val="both"/>
        <w:rPr>
          <w:color w:val="0070C0"/>
          <w:sz w:val="16"/>
          <w:szCs w:val="16"/>
        </w:rPr>
      </w:pPr>
    </w:p>
    <w:p w14:paraId="442C25B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в руки отечественных авиационных специалистов попали сначала отдельные узлы и агрегаты поврежденных германских "газотурбинников", а затем и исправные двигатели в сборе. По ревнивым оценкам люльковцев, эти ТРД были "недоведенными", обладавшими множеством дефектов и пр. Но они выпускались серийно, и с их помощью в небо поднимались боевые самолеты. А.М. Люлька вместе со своими коллективом (и, безусловно, не по своей вине) потерял много времени. Война своими железными законами, требовавшими увеличения выпуска серийной продукции именно сегодня, а не в отдаленной перспективе, отбросила его назад и поставила в положение догоняющего. Пригодный для полетов С-18 летом 1945 г. был таким же "журавлем в небе", как РД-1 весной 1941 г. (11407).</w:t>
      </w:r>
    </w:p>
    <w:p w14:paraId="6CAEBFAE" w14:textId="77777777" w:rsidR="00665165" w:rsidRPr="00F90EAE" w:rsidRDefault="00665165" w:rsidP="00F90EAE">
      <w:pPr>
        <w:autoSpaceDE w:val="0"/>
        <w:autoSpaceDN w:val="0"/>
        <w:adjustRightInd w:val="0"/>
        <w:jc w:val="both"/>
        <w:rPr>
          <w:color w:val="000000" w:themeColor="text1"/>
          <w:sz w:val="16"/>
          <w:szCs w:val="16"/>
        </w:rPr>
      </w:pPr>
    </w:p>
    <w:p w14:paraId="06FC61E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в ОКБ В.М.М. завода 482 началось проектирование дальнего истребителя сопровождения на основе Пе-2И и в конце 1945 машина была выкачена на испытания (2599,24).</w:t>
      </w:r>
    </w:p>
    <w:p w14:paraId="1B43F5B1" w14:textId="77777777" w:rsidR="00665165" w:rsidRPr="00F90EAE" w:rsidRDefault="00665165" w:rsidP="00F90EAE">
      <w:pPr>
        <w:autoSpaceDE w:val="0"/>
        <w:autoSpaceDN w:val="0"/>
        <w:adjustRightInd w:val="0"/>
        <w:jc w:val="both"/>
        <w:rPr>
          <w:color w:val="000000" w:themeColor="text1"/>
          <w:sz w:val="16"/>
          <w:szCs w:val="16"/>
        </w:rPr>
      </w:pPr>
    </w:p>
    <w:p w14:paraId="193551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ОКБ С.В.И. приступило к проектированию Ил-18 с 4 АЧ-72 (5,172).</w:t>
      </w:r>
    </w:p>
    <w:p w14:paraId="2D94EE01" w14:textId="77777777" w:rsidR="00665165" w:rsidRPr="00F90EAE" w:rsidRDefault="00665165" w:rsidP="00F90EAE">
      <w:pPr>
        <w:autoSpaceDE w:val="0"/>
        <w:autoSpaceDN w:val="0"/>
        <w:adjustRightInd w:val="0"/>
        <w:jc w:val="both"/>
        <w:rPr>
          <w:color w:val="000000" w:themeColor="text1"/>
          <w:sz w:val="16"/>
          <w:szCs w:val="16"/>
        </w:rPr>
      </w:pPr>
    </w:p>
    <w:p w14:paraId="457B6E56" w14:textId="77777777" w:rsidR="000B23E5" w:rsidRPr="00F90EAE" w:rsidRDefault="000B23E5"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Весной 1945 года макетная комиссия Заказчика дала положительное заключение по представленному маке</w:t>
      </w:r>
      <w:r w:rsidRPr="00F90EAE">
        <w:rPr>
          <w:rFonts w:ascii="Times New Roman" w:cs="Times New Roman"/>
          <w:color w:val="000000" w:themeColor="text1"/>
          <w:spacing w:val="0"/>
        </w:rPr>
        <w:softHyphen/>
        <w:t>ту Ил-14, в то же время, сопроводив его целым рядом новых пожеланий по изменению компоновки кабины летчиков и усилению оборонительного вооружения (12740).</w:t>
      </w:r>
    </w:p>
    <w:p w14:paraId="2B44A825" w14:textId="77777777" w:rsidR="000B23E5" w:rsidRPr="00F90EAE" w:rsidRDefault="000B23E5" w:rsidP="00F90EAE">
      <w:pPr>
        <w:jc w:val="both"/>
        <w:rPr>
          <w:color w:val="000000" w:themeColor="text1"/>
          <w:sz w:val="16"/>
          <w:szCs w:val="16"/>
        </w:rPr>
      </w:pPr>
    </w:p>
    <w:p w14:paraId="03F351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ОКБ С.А.Л. был выпущен проект легкого однодвигательного реактивного истребителя "150" первоначально с люльковским двигателем С-18, а затем с Jumo-004. Это был высокоплан с расположением двигателя по реданной схеме, однако в отличие от "яка" кабина располагалась в носовой части фюзеляжа. Поскольку тяга немецкого Jumo-004 была меньше, чем расчетная у отечественного С-18, пришлось искать способы уменьшения массы конструкции. Для отдаления момента возникновения явлений, получивших название "волнового кризиса", предлагалось использовать новые скоростные профили и рациональную компоновку их по длине крыла. Поскольку крыло следовало выполнять с малой относительной толщиной, шасси и топливные баки постарались убрать в фюзеляж. ЦАГИ рекомендовало возможно более высокое, на киле, расположение горизонтального оперения для выноса его из потока, возмущенного крылом.</w:t>
      </w:r>
    </w:p>
    <w:p w14:paraId="287E455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Воздухозаборник находился в носовой части фюзеляжа, два воздушных канала огибали по бортам кабину пилота. Непростой оказалась задача размещения топливных баков: получилась довольно сложная система, включавшая в себя кроме двух баков в центроплане еще пять фюзеляжных баков своеобразной конфигурации, которые со всех сторон "облепили" двигатель. Такое решение позволило максимально обжать фюзеляж и при ограниченной тяге двигателя получить приемлемые скоростные характеристики.</w:t>
      </w:r>
    </w:p>
    <w:p w14:paraId="0F36656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апреле предварительное проектирование самолета "150" с Jumo-004 было закончено. Затем в ОКБ и на заводе № 81 приступили к изготовлению рабочих чертежей и макета самолета, а также моделей для продувок в трубах ЦАГИ. Летом 1945 г. распоряжением НКАП выпуск малой серии опытных "150" поручили заводу № 381, который заканчивал производство поршневых истребителей Ла-7.</w:t>
      </w:r>
    </w:p>
    <w:p w14:paraId="34DD21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226D031C" w14:textId="77777777" w:rsidR="00665165" w:rsidRPr="00F90EAE" w:rsidRDefault="00665165" w:rsidP="00F90EAE">
      <w:pPr>
        <w:autoSpaceDE w:val="0"/>
        <w:autoSpaceDN w:val="0"/>
        <w:adjustRightInd w:val="0"/>
        <w:jc w:val="both"/>
        <w:rPr>
          <w:color w:val="000000" w:themeColor="text1"/>
          <w:sz w:val="16"/>
          <w:szCs w:val="16"/>
        </w:rPr>
      </w:pPr>
    </w:p>
    <w:p w14:paraId="4B1CFEBF" w14:textId="77777777" w:rsidR="005C2D05" w:rsidRPr="00F90EAE" w:rsidRDefault="005C2D05" w:rsidP="00F90EAE">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r w:rsidRPr="00F90EAE">
        <w:rPr>
          <w:rFonts w:ascii="Times New Roman" w:hAnsi="Times New Roman" w:cs="Times New Roman"/>
          <w:color w:val="000000" w:themeColor="text1"/>
          <w:spacing w:val="0"/>
          <w:sz w:val="16"/>
          <w:szCs w:val="16"/>
        </w:rPr>
        <w:t>Весной 1945 г. начали разворачивать изготовление экспериментальной машины Утка – по мере сдачи в производство рабочих чертежей. В конце апреля в деревообделочном цехе при</w:t>
      </w:r>
      <w:r w:rsidRPr="00F90EAE">
        <w:rPr>
          <w:rFonts w:ascii="Times New Roman" w:hAnsi="Times New Roman" w:cs="Times New Roman"/>
          <w:color w:val="000000" w:themeColor="text1"/>
          <w:spacing w:val="0"/>
          <w:sz w:val="16"/>
          <w:szCs w:val="16"/>
        </w:rPr>
        <w:softHyphen/>
        <w:t>ступили к заготовке деталей Утки (15848).</w:t>
      </w:r>
    </w:p>
    <w:p w14:paraId="3265BA5B" w14:textId="77777777" w:rsidR="005C2D05" w:rsidRPr="00F90EAE" w:rsidRDefault="005C2D05" w:rsidP="00F90EAE">
      <w:pPr>
        <w:pStyle w:val="613"/>
        <w:shd w:val="clear" w:color="auto" w:fill="auto"/>
        <w:spacing w:before="0" w:after="0" w:line="240" w:lineRule="auto"/>
        <w:jc w:val="both"/>
        <w:rPr>
          <w:rFonts w:ascii="Times New Roman" w:hAnsi="Times New Roman" w:cs="Times New Roman"/>
          <w:color w:val="000000" w:themeColor="text1"/>
          <w:spacing w:val="0"/>
          <w:sz w:val="16"/>
          <w:szCs w:val="16"/>
        </w:rPr>
      </w:pPr>
    </w:p>
    <w:p w14:paraId="03AB0E27" w14:textId="77777777" w:rsidR="005C2D05" w:rsidRPr="00F90EAE" w:rsidRDefault="005C2D05"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lastRenderedPageBreak/>
        <w:t>Весной 1945 г. Председатель Центрального Совета Осоавиахима СССР генерал-майор П. Кобелев направил в правительство письмо с просьбой оказать содействие по возвращению ЦС Осоавиахима СССР территории бывшего Тушинского планерного за</w:t>
      </w:r>
      <w:r w:rsidRPr="00F90EAE">
        <w:rPr>
          <w:rFonts w:ascii="Times New Roman" w:cs="Times New Roman"/>
          <w:color w:val="000000" w:themeColor="text1"/>
          <w:spacing w:val="0"/>
          <w:sz w:val="16"/>
          <w:szCs w:val="16"/>
        </w:rPr>
        <w:softHyphen/>
        <w:t>вода для организации производства планеров. НКАП сумел отклонить эту попытку, мо</w:t>
      </w:r>
      <w:r w:rsidRPr="00F90EAE">
        <w:rPr>
          <w:rFonts w:ascii="Times New Roman" w:cs="Times New Roman"/>
          <w:color w:val="000000" w:themeColor="text1"/>
          <w:spacing w:val="0"/>
          <w:sz w:val="16"/>
          <w:szCs w:val="16"/>
        </w:rPr>
        <w:softHyphen/>
        <w:t>тивируя тем, что на данной территории находится опытное производство главного конструктора П.О. Сухого, а других свободных площадей Наркомат не имеет. В сентя</w:t>
      </w:r>
      <w:r w:rsidRPr="00F90EAE">
        <w:rPr>
          <w:rFonts w:ascii="Times New Roman" w:cs="Times New Roman"/>
          <w:color w:val="000000" w:themeColor="text1"/>
          <w:spacing w:val="0"/>
          <w:sz w:val="16"/>
          <w:szCs w:val="16"/>
        </w:rPr>
        <w:softHyphen/>
        <w:t>бре повторную попытку овладеть данной территорией также «отбили» (15792).</w:t>
      </w:r>
    </w:p>
    <w:p w14:paraId="544AA085" w14:textId="77777777" w:rsidR="005C2D05" w:rsidRPr="00F90EAE" w:rsidRDefault="005C2D05" w:rsidP="00F90EAE">
      <w:pPr>
        <w:pStyle w:val="36"/>
        <w:shd w:val="clear" w:color="auto" w:fill="auto"/>
        <w:spacing w:after="0" w:line="240" w:lineRule="auto"/>
        <w:jc w:val="both"/>
        <w:rPr>
          <w:rFonts w:ascii="Times New Roman" w:cs="Times New Roman"/>
          <w:color w:val="000000" w:themeColor="text1"/>
          <w:spacing w:val="0"/>
          <w:sz w:val="16"/>
          <w:szCs w:val="16"/>
        </w:rPr>
      </w:pPr>
    </w:p>
    <w:p w14:paraId="4DFCEA8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был готов ЛЛ-143 (99,247).</w:t>
      </w:r>
    </w:p>
    <w:p w14:paraId="7ABF1410" w14:textId="77777777" w:rsidR="00665165" w:rsidRPr="00F90EAE" w:rsidRDefault="00665165" w:rsidP="00F90EAE">
      <w:pPr>
        <w:autoSpaceDE w:val="0"/>
        <w:autoSpaceDN w:val="0"/>
        <w:adjustRightInd w:val="0"/>
        <w:jc w:val="both"/>
        <w:rPr>
          <w:color w:val="000000" w:themeColor="text1"/>
          <w:sz w:val="16"/>
          <w:szCs w:val="16"/>
        </w:rPr>
      </w:pPr>
    </w:p>
    <w:p w14:paraId="0F7198C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прошел стендовые испытания ТРД С-18 с тягой 1030 кг А.М.Люльки - прообраз ТР-1 (553,173).</w:t>
      </w:r>
    </w:p>
    <w:p w14:paraId="13FF0AF3" w14:textId="77777777" w:rsidR="00665165" w:rsidRPr="00F90EAE" w:rsidRDefault="00665165" w:rsidP="00F90EAE">
      <w:pPr>
        <w:autoSpaceDE w:val="0"/>
        <w:autoSpaceDN w:val="0"/>
        <w:adjustRightInd w:val="0"/>
        <w:jc w:val="both"/>
        <w:rPr>
          <w:color w:val="000000" w:themeColor="text1"/>
          <w:sz w:val="16"/>
          <w:szCs w:val="16"/>
        </w:rPr>
      </w:pPr>
    </w:p>
    <w:p w14:paraId="3A53BB0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в самом конце Великой Отечественной войны в ГСКБ-47 учли многолетний опыт производства наиболее удачных в калибре 250 кг боеприпасов - ФАБ-250М43 - и создали авиабомбу предельно упрощенной конструкции (чертежа 3-01631 образца 1945 г. с индексом 7-Ф-325). В машиностроении таким идеально отработанным изделиям обычно принято присваивать наименование “бис”. От ФАБ-250М43 чертежа 3-01284 образца 1943 г. ее отличали головной запальный стакан, установленный на резьбе, и втулка запального стакана измененной конструкции. Кроме того, для улучшения баллистики авиабомбы стабилизатор выполнили приваренным. Исходя из этого донный запальный стакан пришлось приваривать к конусу корпуса и изменить конструкцию втулки запального стакана. А также в качестве основного варианта принят штампованный конус, а сварной оставлен как вариант (7453).</w:t>
      </w:r>
    </w:p>
    <w:p w14:paraId="393B08EF" w14:textId="77777777" w:rsidR="00665165" w:rsidRPr="00F90EAE" w:rsidRDefault="00665165" w:rsidP="00F90EAE">
      <w:pPr>
        <w:autoSpaceDE w:val="0"/>
        <w:autoSpaceDN w:val="0"/>
        <w:adjustRightInd w:val="0"/>
        <w:jc w:val="both"/>
        <w:rPr>
          <w:color w:val="000000" w:themeColor="text1"/>
          <w:sz w:val="16"/>
          <w:szCs w:val="16"/>
        </w:rPr>
      </w:pPr>
    </w:p>
    <w:p w14:paraId="28D2894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был подготовлен:</w:t>
      </w:r>
    </w:p>
    <w:p w14:paraId="2FEA059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 завода № 243 ГВФ по основной деятельности за 1944 год</w:t>
      </w:r>
    </w:p>
    <w:p w14:paraId="3FE5820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Место: Ташкент, п/я 95</w:t>
      </w:r>
    </w:p>
    <w:p w14:paraId="62B9BF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Ввод в эксплуатацию – 1929 год</w:t>
      </w:r>
    </w:p>
    <w:p w14:paraId="0AF7485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Задачи: ремонт самолетов и моторов, запчастей; ремонт автотранспорта (8651).</w:t>
      </w:r>
    </w:p>
    <w:p w14:paraId="4B9FE915" w14:textId="77777777" w:rsidR="00665165" w:rsidRPr="00F90EAE" w:rsidRDefault="00665165" w:rsidP="00F90EAE">
      <w:pPr>
        <w:autoSpaceDE w:val="0"/>
        <w:autoSpaceDN w:val="0"/>
        <w:adjustRightInd w:val="0"/>
        <w:jc w:val="both"/>
        <w:rPr>
          <w:color w:val="000000" w:themeColor="text1"/>
          <w:sz w:val="16"/>
          <w:szCs w:val="16"/>
        </w:rPr>
      </w:pPr>
    </w:p>
    <w:p w14:paraId="50BDA78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был подготовлен:</w:t>
      </w:r>
    </w:p>
    <w:p w14:paraId="16D13BF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Отчет завода № 245 ГВФ по основной деятельности за 1944 год</w:t>
      </w:r>
    </w:p>
    <w:p w14:paraId="73F63C9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Место: Чкалов, п/я 205</w:t>
      </w:r>
    </w:p>
    <w:p w14:paraId="48800A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Задачи: изготовление аэродромного оборудования, запчастей к самолетам и моторам</w:t>
      </w:r>
    </w:p>
    <w:p w14:paraId="73165A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Завод в основном расположен в жилых домах, переоборудованных в период войны в производство (8652).</w:t>
      </w:r>
    </w:p>
    <w:p w14:paraId="3BA8EF22" w14:textId="77777777" w:rsidR="00665165" w:rsidRPr="00F90EAE" w:rsidRDefault="00665165" w:rsidP="00F90EAE">
      <w:pPr>
        <w:autoSpaceDE w:val="0"/>
        <w:autoSpaceDN w:val="0"/>
        <w:adjustRightInd w:val="0"/>
        <w:jc w:val="both"/>
        <w:rPr>
          <w:color w:val="000000" w:themeColor="text1"/>
          <w:sz w:val="16"/>
          <w:szCs w:val="16"/>
        </w:rPr>
      </w:pPr>
    </w:p>
    <w:p w14:paraId="5AEAC83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начался первый этап летных испытаний КР 10X. Испытания проводились в Голодной степи между Ташкентом и рекой Сыр-Дарья. До конца августа с трех переоборудованных самолетов-носителей Пе-8 произвели шестьдесят три пуска 10Х, лишь 30% которых по совокупности показателей признали удовлетворительными. Во многом неудачи первого этапа связаны с плохой работой автомата регулятора подачи горючего.</w:t>
      </w:r>
    </w:p>
    <w:p w14:paraId="7C0EB54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анализа причин этих неудач на завод № 51 прибыли три генерала: В.Ф. Болховитинов, С.А.Лавочкин и Н.А.Жем-чужин (бывший заместитель Н.Н.Поликарпова). Дмитрий Людвигович вспоминал: “В.Н.Челомей предъявил им ранее отвергнутый и не утвержденный наш отчет как доказательство того, что он над этим вопросом работал”.</w:t>
      </w:r>
    </w:p>
    <w:p w14:paraId="5B4E18F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 результатам первого этапа испытаний в чертежи 10X внесли необходимые изменения. В 1946 г. построили новую партию из 180 модернизированных ракет, и начались повторные испытания (9536,10).</w:t>
      </w:r>
    </w:p>
    <w:p w14:paraId="5E20E5BE" w14:textId="77777777" w:rsidR="00665165" w:rsidRPr="00F90EAE" w:rsidRDefault="00665165" w:rsidP="00F90EAE">
      <w:pPr>
        <w:autoSpaceDE w:val="0"/>
        <w:autoSpaceDN w:val="0"/>
        <w:adjustRightInd w:val="0"/>
        <w:jc w:val="both"/>
        <w:rPr>
          <w:color w:val="000000" w:themeColor="text1"/>
          <w:sz w:val="16"/>
          <w:szCs w:val="16"/>
        </w:rPr>
      </w:pPr>
    </w:p>
    <w:p w14:paraId="2F1A895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на заводе № 125 в кооперации с другими заводами по документации завода № 51 началось серийное производство самолетов-снарядов 10Х. До приостановления работ в связи с окончанием Второй мировой войны успели построить 300 таких КР (11686).</w:t>
      </w:r>
    </w:p>
    <w:p w14:paraId="28135D85" w14:textId="77777777" w:rsidR="00665165" w:rsidRPr="00F90EAE" w:rsidRDefault="00665165" w:rsidP="00F90EAE">
      <w:pPr>
        <w:autoSpaceDE w:val="0"/>
        <w:autoSpaceDN w:val="0"/>
        <w:adjustRightInd w:val="0"/>
        <w:jc w:val="both"/>
        <w:rPr>
          <w:color w:val="000000" w:themeColor="text1"/>
          <w:sz w:val="16"/>
          <w:szCs w:val="16"/>
        </w:rPr>
      </w:pPr>
    </w:p>
    <w:p w14:paraId="09F7706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начался первый этап летных испытаний КР 10Х. Испытания проводились в Голодной степи между Ташкентом и рекой Сыр-Дарья на базе экспедиции в Джизаке. На первом этапе необходимо было проверить работу подвесного устройства, устройства сбрасывания, работу двигателя и других механизмов самолета-снаряда в момент отрыва его от самолета-носителя.</w:t>
      </w:r>
    </w:p>
    <w:p w14:paraId="74A055B7" w14:textId="77777777" w:rsidR="00665165" w:rsidRPr="00F90EAE" w:rsidRDefault="00665165" w:rsidP="00F90EAE">
      <w:pPr>
        <w:autoSpaceDE w:val="0"/>
        <w:autoSpaceDN w:val="0"/>
        <w:adjustRightInd w:val="0"/>
        <w:jc w:val="both"/>
        <w:rPr>
          <w:color w:val="000000" w:themeColor="text1"/>
          <w:sz w:val="16"/>
          <w:szCs w:val="16"/>
        </w:rPr>
      </w:pPr>
    </w:p>
    <w:p w14:paraId="46054B0F" w14:textId="77777777" w:rsidR="00823A00" w:rsidRPr="00F90EAE" w:rsidRDefault="00823A00" w:rsidP="00F90EAE">
      <w:pPr>
        <w:jc w:val="both"/>
        <w:rPr>
          <w:color w:val="000000" w:themeColor="text1"/>
          <w:sz w:val="16"/>
          <w:szCs w:val="16"/>
        </w:rPr>
      </w:pPr>
      <w:r w:rsidRPr="00F90EAE">
        <w:rPr>
          <w:color w:val="000000" w:themeColor="text1"/>
          <w:sz w:val="16"/>
          <w:szCs w:val="16"/>
        </w:rPr>
        <w:t>Весной 1945 года под контролем Красной армии оказалось две трети немецкой авиационной промышленности, а также исследовательские и производственные мощности в Австрии и Чехословакии. Были также захвачены практически не пострадавшие немецкие научно-исследовательские библиотеки. Советской авиапромышленности представился уникальный шанс не только догнать британских и американских конкурентов, недавних союзников, а теперь возможных противников в новой войне, но и превзойти их мощным рывком.</w:t>
      </w:r>
    </w:p>
    <w:p w14:paraId="541D68C6" w14:textId="77777777" w:rsidR="00823A00" w:rsidRPr="00F90EAE" w:rsidRDefault="00823A00" w:rsidP="00F90EAE">
      <w:pPr>
        <w:jc w:val="both"/>
        <w:rPr>
          <w:color w:val="000000" w:themeColor="text1"/>
          <w:sz w:val="16"/>
          <w:szCs w:val="16"/>
        </w:rPr>
      </w:pPr>
      <w:r w:rsidRPr="00F90EAE">
        <w:rPr>
          <w:color w:val="000000" w:themeColor="text1"/>
          <w:sz w:val="16"/>
          <w:szCs w:val="16"/>
        </w:rPr>
        <w:t>Проблема оборудования «особых поставок» исследовалась в работе П.Н. Кнышевского</w:t>
      </w:r>
      <w:r w:rsidR="00C46885" w:rsidRPr="00F90EAE">
        <w:rPr>
          <w:color w:val="000000" w:themeColor="text1"/>
          <w:sz w:val="16"/>
          <w:szCs w:val="16"/>
        </w:rPr>
        <w:fldChar w:fldCharType="begin"/>
      </w:r>
      <w:r w:rsidR="00C46885" w:rsidRPr="00F90EAE">
        <w:rPr>
          <w:color w:val="000000" w:themeColor="text1"/>
          <w:sz w:val="16"/>
          <w:szCs w:val="16"/>
        </w:rPr>
        <w:instrText xml:space="preserve">ref HYPERLINK  \l "n_86" \* MERGEFORMAT </w:instrText>
      </w:r>
      <w:r w:rsidR="00C46885" w:rsidRPr="00F90EAE">
        <w:rPr>
          <w:color w:val="000000" w:themeColor="text1"/>
          <w:sz w:val="16"/>
          <w:szCs w:val="16"/>
        </w:rPr>
        <w:fldChar w:fldCharType="separate"/>
      </w:r>
      <w:r w:rsidRPr="00F90EAE">
        <w:rPr>
          <w:color w:val="000000" w:themeColor="text1"/>
          <w:sz w:val="16"/>
          <w:szCs w:val="16"/>
        </w:rPr>
        <w:t>[86]</w:t>
      </w:r>
      <w:r w:rsidR="00C46885" w:rsidRPr="00F90EAE">
        <w:rPr>
          <w:color w:val="000000" w:themeColor="text1"/>
          <w:sz w:val="16"/>
          <w:szCs w:val="16"/>
        </w:rPr>
        <w:fldChar w:fldCharType="end"/>
      </w:r>
      <w:r w:rsidRPr="00F90EAE">
        <w:rPr>
          <w:color w:val="000000" w:themeColor="text1"/>
          <w:sz w:val="16"/>
          <w:szCs w:val="16"/>
        </w:rPr>
        <w:t>, однако автор не ставил перед собой задачу проанализировать вопрос, куда и сколько оборудования из Германии было направлено по отраслям промышленности, включая авиапром. П.Н. Кнышевский пишет: «Никто никогда не считал, а сейчас уже практически невозможно подсчитать коэффициент полезного использования «трофейного» оборудования и его потери от бесхозяйственности, как пока невозможно подсчитать и назвать окончательные показатели германских репараций, поскольку на соответствующие документы советского правительства по-прежнему сохраняется табу». Судя по данной работе, Сталин издал «строго секретное» распоряжение об укомплектовании казанского авиационного завода трофейным немецким оборудованием для налаживания производства четырехмоторного дальнего бомбардировщика Б-4. На киевские авиационные заводы вывезли производственное оборудование и материалы самолетно-агрегатных заводов из Торна и фирмы «Арадо» из Бабельсберга (Потсдам). Еще три филиала этой фирмы из Клаусдорфа доставили на особую базу № 2 Главного трофейного управления, а оборудование завода по производству самолетов «Фокке-Вульф-190» из Варнемюнде (вблизи Ростока) и из девяти его филиалов в Мальхине, Штафенхагене, Тетереве, Тиссене, Тутове и Грайнцвальде поделили между 23-м московским и строящимся на Ижорской площадке ленинградским авиационными заводами.</w:t>
      </w:r>
    </w:p>
    <w:p w14:paraId="0749441B" w14:textId="77777777" w:rsidR="00823A00" w:rsidRPr="00F90EAE" w:rsidRDefault="00823A00" w:rsidP="00F90EAE">
      <w:pPr>
        <w:jc w:val="both"/>
        <w:rPr>
          <w:color w:val="000000" w:themeColor="text1"/>
          <w:sz w:val="16"/>
          <w:szCs w:val="16"/>
        </w:rPr>
      </w:pPr>
      <w:r w:rsidRPr="00F90EAE">
        <w:rPr>
          <w:color w:val="000000" w:themeColor="text1"/>
          <w:sz w:val="16"/>
          <w:szCs w:val="16"/>
        </w:rPr>
        <w:t>Сайт Интернета «От Ме-262 к МиГ-15. Трофейные технологии и послевоенное развитие советской военной авиации» дополняет эти сведения: было демонтировано оборудование авиазавода фирмы «Дорнье» в Висмаре, включая два самых больших в мире пресса, которые использовались для производства частей Ю-88. За разборкой и транспортировкой захваченных заводов наблюдали инженеры, присланные с советских авиазаводов.</w:t>
      </w:r>
    </w:p>
    <w:p w14:paraId="20C680EC" w14:textId="77777777" w:rsidR="00823A00" w:rsidRPr="00F90EAE" w:rsidRDefault="00823A00" w:rsidP="00F90EAE">
      <w:pPr>
        <w:jc w:val="both"/>
        <w:rPr>
          <w:color w:val="000000" w:themeColor="text1"/>
          <w:sz w:val="16"/>
          <w:szCs w:val="16"/>
        </w:rPr>
      </w:pPr>
      <w:r w:rsidRPr="00F90EAE">
        <w:rPr>
          <w:color w:val="000000" w:themeColor="text1"/>
          <w:sz w:val="16"/>
          <w:szCs w:val="16"/>
        </w:rPr>
        <w:t>На Воронежском авиационном заводе № 64 были смонтированы металлорежущие станки и гидропрессы фирм «Фриц Мюллер» и «Лейк Ири», вывезенные из Германии в счет репараций.</w:t>
      </w:r>
    </w:p>
    <w:p w14:paraId="7A4CB1A7" w14:textId="77777777" w:rsidR="00823A00" w:rsidRPr="00F90EAE" w:rsidRDefault="00823A00" w:rsidP="00F90EAE">
      <w:pPr>
        <w:jc w:val="both"/>
        <w:rPr>
          <w:color w:val="000000" w:themeColor="text1"/>
          <w:sz w:val="16"/>
          <w:szCs w:val="16"/>
        </w:rPr>
      </w:pPr>
      <w:r w:rsidRPr="00F90EAE">
        <w:rPr>
          <w:color w:val="000000" w:themeColor="text1"/>
          <w:sz w:val="16"/>
          <w:szCs w:val="16"/>
        </w:rPr>
        <w:t>Впереди предприятия, склады, КБ Наркомавиапрома и «особые» базы ждало щедрое наследие авиационных заводов и исследовательских учреждений немецких фирм «Хирт», «Хеншель», «Отто Перан», «Хейнкель», «Даймлер Бенц», «Мефа», «Штейр Даймлер Пух», «Юнкерс» и других, пишет П.Н. Кнышевский, не уточняя, куда оборудование было направлено в дальнейшем.</w:t>
      </w:r>
    </w:p>
    <w:p w14:paraId="6B483E4A" w14:textId="77777777" w:rsidR="00823A00" w:rsidRPr="00F90EAE" w:rsidRDefault="00823A00" w:rsidP="00F90EAE">
      <w:pPr>
        <w:jc w:val="both"/>
        <w:rPr>
          <w:color w:val="000000" w:themeColor="text1"/>
          <w:sz w:val="16"/>
          <w:szCs w:val="16"/>
        </w:rPr>
      </w:pPr>
      <w:r w:rsidRPr="00F90EAE">
        <w:rPr>
          <w:color w:val="000000" w:themeColor="text1"/>
          <w:sz w:val="16"/>
          <w:szCs w:val="16"/>
        </w:rPr>
        <w:t>Таким образом, вопрос об использовании трофейного оборудования на авиационных заводах СССР остается пока открытым. Однако из документов НКАП, а затем МАП видно, что и с использованием уже имевшегося оборудования дело обстояло неблагополучно: «На 15 декабря 1945 года из всех прибывших металлорежущих станков смонтировано только 50%, а сдано в эксплуатацию 20 %. Монтаж кузнечно-прессового оборудования проведен только на 31 %, а сдача в эксплуатацию осуществлена в размере 15 %. Большое количество несмонтированного трофейного оборудования имеется на заводах № 466, 478, 36, 150, 65,451, 281, 287. Неудовлетворительно хранится прибывшее трофейное оборудование на заводах № 466, 150, 36, 458»; «Проверкой состояния хранения, монтажа и использования оборудования, произведенной на заводах Комиссией Госконтроля, а также представителями Наркомавиапрома, установлено, что большая часть имеющегося в наличии оборудования не смонтирована.</w:t>
      </w:r>
    </w:p>
    <w:p w14:paraId="4D8A8901" w14:textId="77777777" w:rsidR="00823A00" w:rsidRPr="00F90EAE" w:rsidRDefault="00823A00" w:rsidP="00F90EAE">
      <w:pPr>
        <w:jc w:val="both"/>
        <w:rPr>
          <w:color w:val="000000" w:themeColor="text1"/>
          <w:sz w:val="16"/>
          <w:szCs w:val="16"/>
        </w:rPr>
      </w:pPr>
      <w:r w:rsidRPr="00F90EAE">
        <w:rPr>
          <w:color w:val="000000" w:themeColor="text1"/>
          <w:sz w:val="16"/>
          <w:szCs w:val="16"/>
        </w:rPr>
        <w:t>На заводе № 36 смонтировано только 1267 единиц, или 65 % от общего количества оборудования, на заводе № 218 – 348 единиц, или 51 %, на заводе № 272 – 211 единиц, или 32 %, на заводе № 466 – 370 единиц, или 12,5%, на заводе № 456 – 568 единиц, или 61%.</w:t>
      </w:r>
    </w:p>
    <w:p w14:paraId="56B6C966" w14:textId="77777777" w:rsidR="00823A00" w:rsidRPr="00F90EAE" w:rsidRDefault="00823A00" w:rsidP="00F90EAE">
      <w:pPr>
        <w:jc w:val="both"/>
        <w:rPr>
          <w:color w:val="000000" w:themeColor="text1"/>
          <w:sz w:val="16"/>
          <w:szCs w:val="16"/>
        </w:rPr>
      </w:pPr>
      <w:r w:rsidRPr="00F90EAE">
        <w:rPr>
          <w:color w:val="000000" w:themeColor="text1"/>
          <w:sz w:val="16"/>
          <w:szCs w:val="16"/>
        </w:rPr>
        <w:t>Оборудование, находящееся в эксплуатации, используется совершенно неудовлетворительно. Коэффициент использования занятых в основном производстве металлорежущих станков во втором полугодии 1945 г. составил на заводе № 36 – 29,5 %, на заводе № 218 – 19 – 22 %. На заводе № 36 12 новых импортных и 2 3 отечественных станка бездействуют с 1943 – 1944 гг. Директора заводов не организовали надлежащим образом хранение неустановленного оборудования, в результате чего на заводах № 36 и № 466 свыше 1000 единиц оборудования находится на открытых площадках, подвергается порче и разукомплектовывается.</w:t>
      </w:r>
    </w:p>
    <w:p w14:paraId="3D592652" w14:textId="77777777" w:rsidR="00823A00" w:rsidRPr="00F90EAE" w:rsidRDefault="00823A00" w:rsidP="00F90EAE">
      <w:pPr>
        <w:jc w:val="both"/>
        <w:rPr>
          <w:color w:val="000000" w:themeColor="text1"/>
          <w:sz w:val="16"/>
          <w:szCs w:val="16"/>
        </w:rPr>
      </w:pPr>
      <w:r w:rsidRPr="00F90EAE">
        <w:rPr>
          <w:color w:val="000000" w:themeColor="text1"/>
          <w:sz w:val="16"/>
          <w:szCs w:val="16"/>
        </w:rPr>
        <w:t>Не организовано наблюдение за сохранностью излишнего – переданного, но не отгруженного другим заводам оборудования. На заводе № 456 лежат под открытым небом и подвергаются порче 2 единицы переданного оборудования».</w:t>
      </w:r>
    </w:p>
    <w:p w14:paraId="201FF095" w14:textId="77777777" w:rsidR="00823A00" w:rsidRPr="00F90EAE" w:rsidRDefault="00823A00" w:rsidP="00F90EAE">
      <w:pPr>
        <w:jc w:val="both"/>
        <w:rPr>
          <w:color w:val="000000" w:themeColor="text1"/>
          <w:sz w:val="16"/>
          <w:szCs w:val="16"/>
        </w:rPr>
      </w:pPr>
      <w:r w:rsidRPr="00F90EAE">
        <w:rPr>
          <w:color w:val="000000" w:themeColor="text1"/>
          <w:sz w:val="16"/>
          <w:szCs w:val="16"/>
        </w:rPr>
        <w:t>Есть некоторые сведения и о судьбе трофейного оборудования: «На перевалочной базе в г. Брест-Литовске скопилось большое количество оборудования, поступившего из Германии в адреса заводов МАП.</w:t>
      </w:r>
    </w:p>
    <w:p w14:paraId="045D40FA" w14:textId="77777777" w:rsidR="00823A00" w:rsidRPr="00F90EAE" w:rsidRDefault="00823A00" w:rsidP="00F90EAE">
      <w:pPr>
        <w:jc w:val="both"/>
        <w:rPr>
          <w:color w:val="000000" w:themeColor="text1"/>
          <w:sz w:val="16"/>
          <w:szCs w:val="16"/>
        </w:rPr>
      </w:pPr>
      <w:r w:rsidRPr="00F90EAE">
        <w:rPr>
          <w:color w:val="000000" w:themeColor="text1"/>
          <w:sz w:val="16"/>
          <w:szCs w:val="16"/>
        </w:rPr>
        <w:t>Оборудование лежит на земле, частью в неупакованном виде и поврежденной таре, подвергается порче и коррозии.</w:t>
      </w:r>
    </w:p>
    <w:p w14:paraId="089256D2" w14:textId="77777777" w:rsidR="00823A00" w:rsidRPr="00F90EAE" w:rsidRDefault="00823A00" w:rsidP="00F90EAE">
      <w:pPr>
        <w:jc w:val="both"/>
        <w:rPr>
          <w:color w:val="000000" w:themeColor="text1"/>
          <w:sz w:val="16"/>
          <w:szCs w:val="16"/>
        </w:rPr>
      </w:pPr>
      <w:r w:rsidRPr="00F90EAE">
        <w:rPr>
          <w:color w:val="000000" w:themeColor="text1"/>
          <w:sz w:val="16"/>
          <w:szCs w:val="16"/>
        </w:rPr>
        <w:t>Работа Брест-Литовской перевалочной базы не организована и находящаяся группа работников Министерства не имеет технических средств для работы.</w:t>
      </w:r>
    </w:p>
    <w:p w14:paraId="711958E7" w14:textId="77777777" w:rsidR="00823A00" w:rsidRPr="00F90EAE" w:rsidRDefault="00823A00" w:rsidP="00F90EAE">
      <w:pPr>
        <w:jc w:val="both"/>
        <w:rPr>
          <w:color w:val="000000" w:themeColor="text1"/>
          <w:sz w:val="16"/>
          <w:szCs w:val="16"/>
        </w:rPr>
      </w:pPr>
      <w:r w:rsidRPr="00F90EAE">
        <w:rPr>
          <w:color w:val="000000" w:themeColor="text1"/>
          <w:sz w:val="16"/>
          <w:szCs w:val="16"/>
        </w:rPr>
        <w:lastRenderedPageBreak/>
        <w:t>Директора заводов (№ 45, 65, 86 и КАИ) не выполнили приказа НКАП № 27с от 29.1.1946 г. о посылке в Брест-Литовск своих бригад, а некоторые отнеслись к выполнению этого приказа формально…» – говорится в приказе НКАП № 191с от 4 апреля 1946 г. (12207).</w:t>
      </w:r>
    </w:p>
    <w:p w14:paraId="747492F8" w14:textId="77777777" w:rsidR="00823A00" w:rsidRPr="00F90EAE" w:rsidRDefault="00823A00" w:rsidP="00F90EAE">
      <w:pPr>
        <w:jc w:val="both"/>
        <w:rPr>
          <w:color w:val="000000" w:themeColor="text1"/>
          <w:sz w:val="16"/>
          <w:szCs w:val="16"/>
        </w:rPr>
      </w:pPr>
    </w:p>
    <w:p w14:paraId="37373A71" w14:textId="77777777" w:rsidR="001E4635" w:rsidRPr="00F90EAE" w:rsidRDefault="001E4635" w:rsidP="00F90EAE">
      <w:pPr>
        <w:jc w:val="both"/>
        <w:rPr>
          <w:color w:val="000000" w:themeColor="text1"/>
          <w:sz w:val="16"/>
          <w:szCs w:val="16"/>
        </w:rPr>
      </w:pPr>
      <w:r w:rsidRPr="00F90EAE">
        <w:rPr>
          <w:color w:val="000000" w:themeColor="text1"/>
          <w:sz w:val="16"/>
          <w:szCs w:val="16"/>
        </w:rPr>
        <w:t>Весной 1945 года на заводах Junkers в Дассау был изготовлена полномасштабная модель самолета Junkers EF 126 Dolly и началось производство первого прототипа. Завершению работ помешало окончание Второй Мировой войны. В октябре 1945 года советские военные осмотрев производственные мощности в Дассау и предложили специалистам фирмы Junkers окончить работы над прототипом. В 1946 году после проведения исследований модели самолета было заказано строительство пяти прототипов самолета. В мае 1946 года был закончен первый бездвигательный прототип самолета EF.126 V1. Впервые он "полетел" прикрепленный к Ju.88G6 под присмотром конструктора Ханса Шрейбера. Но уже 21 мая первый прототип был потерян. В аварии погиб пилот-испытатель фирмы Маттекус. Не смотря на аварию работы продолжались, и в июне 1946 года состоялся первый полет самолета (15139).</w:t>
      </w:r>
    </w:p>
    <w:p w14:paraId="5CC9CEC0" w14:textId="77777777" w:rsidR="001E4635" w:rsidRPr="00F90EAE" w:rsidRDefault="001E4635" w:rsidP="00F90EAE">
      <w:pPr>
        <w:jc w:val="both"/>
        <w:rPr>
          <w:color w:val="000000" w:themeColor="text1"/>
          <w:sz w:val="16"/>
          <w:szCs w:val="16"/>
        </w:rPr>
      </w:pPr>
    </w:p>
    <w:p w14:paraId="450D8373"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Весной 1945 г. частями Красной армии были захвачены воздушные торпеды Hs 293 и Hs 294 и вызвали большой интерес у советского руководства. Разбираться с ними было поручено... Министерству сельскохозяйственного машиностроения. Изучением и испытаниями воздушных торпед занялось КБ-2 Минсельхозмаша. В 1948 г. при участии специалистов КБ-2 были проведены летные испытания Hs 293, а в качестве носителя переоборудовали самолет Ту-2Д. Пуски Hs 293 проводились с радиокомандными системами наведения — немецкой «Кель—Страсбург» и советской «Печора». Из 24-х запущенных Hs 293 с радиокомандными системами наведения в цель попали только три. По результатам испытаний Hs 293 было решено отказаться от запуска ракеты в серийное производство, которое планировалось начать на заводе № 272 в Ленинграде. Конструкторы КБ-2 и других организаций вышли к руководству с предложением создать на базе германских воздушных торпед более совершенное отечественное изделие. Постановлением Совмина СССР № 1175—440 от 14 апреля 1948 г. были начаты работы по «реактивной авиационной морской торпеде РАМТ-1400 "Щука"». Работы по «Щуке» фактически были продолжением работ по трофейной ракете Hs 293A, хотя внешне они не имели ничего общего. Естественно, что «Щукой» занялось КБ-2, которое безуспешно пыталось довести и Hs 293. Работы по «Щуке» велись небольшим коллективом под руководством талантливого конструктора М.В. Орлова. Увы, Орлов в работах над «Щукой» заклинился на двух германских «изюминках» — отделяющейся боевой части и интерцепторах. Отделяемая боевая часть, как у немцев, должна была поражать подводную часть корабля, что вызывало массу затруднений при ее проектировании. Да и линкоры в 1950-х годах превратились из ударной силы флота в корабли огневой поддержки десанта, а авианосцы, крейсера, эсминцы и другие суда достаточно эффективно поражались и в надводную часть. Причем остатки топлива в ракете, поразившей надводную часть корабля, зачастую играли не меньшую роль, чем взрывчатое вещество в боевой части. Вспомним гибель английского эсминца «Шеффилд» во время Фолклендской войны. Что же касается интерцепторов, то в качестве органов управления ракетой они оказались менее эффективны, чем элероны, элевоны, рули направления и т.д. По первоначальному проекту РАМТ-1400 «Щука» должна была управляться по классической схеме: на начальном этапе — инерциальной системой, а на конечном — головкой самонаведения. Но головки самонаведения в ближайшем будущем не предвиделось, и Орлов предложил разрабатывать проект торпеды в двух вариантах. Первый вариант — чисто немецкий «хеншелевский» (только радиокомандный). Он предполагал размещение на торпеде системы управления с наведением на цель через оптический визир. Этот вариант получил обозначение РАМТ-1400А или «Щука-А». Второй вариант предусматривал управление с автопилотом и радиолокационной ГСН. Этот вариант торпеды назвали РАМТ-1400Б или «Щука-Б». Правительство с таким предложением согласилось, что и было подтверждено Постановлением Совмина № 5766—2166 от 27 декабря 1949 г. Боевая часть «Щуки-А» весила 615—650 кг и содержала 320 кг мощного взрывчатого вещества ТГАГ-5. Взрыватель ВУ-150 контактный, мгновенного действия. В боевой части был сделан специальный кольцевой вырез, благодаря которому, входя в воду, она двигалась по изгибающейся траектории вверх для поражения цели в наиболее уязвимую подводную часть корпуса. Но для этого было необходимо обеспечить приводнение ракеты на удалении от цели около 60 м при угле входа в воду около 12°. При использовании только радиокомандной системы управления методом «трех точек» шансов у оператора выполнить эти условия практически не было. Управление «Щукой» производилось с помощью интерцепторов, помещенных на задних кромках крыльев и V-образного оперения. Испытания «Щуки» было решено проводить на полигоне под Феодосией. К концу 1948 г. на Черном море в Феодосии и ее ближайших окрестностях по Постановлению Совмина № 0017— 409 от 13 мая 1946 г. и приказом министра Вооруженных Сил СССР № 0019 от 2 февраля 1946 г. было развернуто Третье Управление Государственного Центрального полигона Министерства Вооруженных Сил СССР (ГЦП МВС СССР), в котором уже с сентября 1948 г. начались испытания ракетной техники и оружия, создаваемых для ВМС СССР. К моменту начала испытаний воздушных торпед РАМТ-1400 «Щука» Феодосийский полигон получил неофициальное название «Песчаная Балка». Первый пуск самолета-снаряда</w:t>
      </w:r>
      <w:bookmarkStart w:id="13" w:name="r18"/>
      <w:bookmarkEnd w:id="13"/>
      <w:r w:rsidRPr="00F90EAE">
        <w:rPr>
          <w:color w:val="000000" w:themeColor="text1"/>
          <w:sz w:val="16"/>
          <w:szCs w:val="16"/>
        </w:rPr>
        <w:t xml:space="preserve"> (воздушной торпеды — в разных документах ее именовали по-разному) «Щука-А» состоялся 16 июня 1949 г. Пуск ракеты производился с самолета-носителя Ту-2Т из состава 25-й отдельной авиаэскадрильи полигона, которая базировалась на аэродроме возле селения Кара-Гоз в 18 км к северо-западу от Феодосии. Пуск был осуществлен в пределах водной акватории полигона между мысами Чауда и Опук. К концу 1949 г. удалось провести только пуски пятнадцати ракет «Щука», не имевших даже радиокомандной системы наведения. Ракеты управлялись пневматическим автопилотом АП-19. Соответственно, не было и реальных целей (мишеней) для самолетов-снарядов. В 1950 г. прошли испытания «Щук» с немецкой радиокомандной системой наведения. Лишь в августе—ноябре 1951 г. были проведены пуски с отечественной радиокомандной системой наведения «КРУ-Щука». Пуски осуществлялись с высоты от 1000 до 4000 м, дистанция стрельбы составляла от 15 до 28 км при скоростях самолета-носителя от 110 до 280 м/с. В качестве самолетов-носителей кроме уже упомянутых Ту-2Т использовались Ту-2Т-2, Ту-2Т-3 и Ил-28. Мишенями служили списанные корабли: тральщики ТЩ-914 и ТЩ-915, торпедные катера типа Г-5, трофейные немецкие самоходные баржи ДК-26 и ТД-200. Случалось, что в нужный момент не оказывалось соответствующим образом оборудованных мишеней (надводными и подводными сетями, уголковыми отражателями). Тогда пуски проводились по скале Корабль-камень, расположенной недалеко от берега, практически на траверзе мыса Опук. В этом случае вершину скалы оборудовали уголковыми отражателями. В период всех этих испытаний постоянной головной болью М.В. Орлова была боевая часть ракеты, которую он скопировал у немцев. Боевая часть ракет «Щука-А», «Щука-Б», а потом и КСЩ представляла собой конусообразный снаряд длиной около 3 м с максимальным диаметром 0,36 м и весом 625 кг. В носовой части сразу за взрывателем находилось так называемое кавитационное кольцо высотой 30—35 мм со специальным вырезом в верхней части. Этот вырез и его размеры были предметом отдельных исследований ЦАГИ. Параллельно с испытаниями была проведена реорганизация. В соответствии с Постановлением Совмина № 5119—2226 от 15 декабря 1951 г. КБ-2 было объединено с заводом № 67. Новая организация получила название ГСНИИ-642 (Государственный научно-исследовательский институт № 642). Главный конструктор «Щуки» М.В. Орлов надеялся стать если не начальником ГСНИИ-642, то, во всяком случае, его заместителем. Однако большое начальство думало иначе. В 1952 г. в районе Феодосии было проведено 15 пусков ракет «Щука-А» с самолета-носителя Ту-2. Пуски проводились на высоте 2—5 км на дальность от 12 до 30 км. Восемь пусков были успешными, а в двух из них боевая часть даже якобы попадала в подводную часть мишени. Для применения «Щуки» с самолета-носителя Ил-28 ракету доработали: была изменена передняя часть корпуса, угол поперечного V-образного хвостового оперения уменьшен с 40° до 35°, а площадь оперения увеличена. В октябре—декабре 1952 г. был проведен второй этап испытаний. С реактивного самолета-носителя произведено 14 пусков. Лишь половина пусков оказались удачными, и было зафиксировано только два попадания в подводную часть. Постановлением Совмина № 2003—924 от 23 сентября 1954 г. ракета «Щука-А» была запущена в серию для проведения войсковых испытаний. Распоряжением Совмина № 3572 от 6 апреля 1954 г. было решено переоборудовать в носители «Щук» 12 бомбардировщиков Ил-28. Тем же распоряжением предполагалось испытать 20 ракет «Щука-А» по наземным целям на полигоне во Владимировке. Цель испытаний — оснащение ракет «Щука» фугасной боевой частью весом до 900 кг. К июлю 1955 г. работы по «Щуке-А» близились к завершению. А вот у «Щуки-Б», как говорится, «и конь не валялся». Разработчик радиолокационной системы самонаведения НИИ-885 с работой не справился. Испытания «Щуки-Б» с радиолокационным самонаведением с 1948 по 1952 год шли неудачно. Постановлением Совмина № 3556—121 работы по системе радиолокационного самонаведения, получившей название «РГ-Щука», были переданы новой организации. Согласно проекту ракета «Щука-Б», отделившись от самолета-носителя на высоте от 2 до 10 км, должна была планировать под углом 20—30° к горизонту. На высоте 600 м включался радиовысотомер, и ракета выходила на горизонтальный полет на высоте 60 м. Затем включался жидкостный реактивный двигатель, и ракета набирала скорость до 1030 км/час. На удалении 10—20 км от цели включалась активная радиолокационная ГСН, которая осуществляла поиск и захват цели в упрежденную точку в горизонтальной плоскости. На удалении до цели 750 м начиналось наведение ракеты в вертикальной плоскости, которое обеспечивало приводнение ракеты на удалении около 60 м от цели. При соприкосновении ракеты с водой подрывался пироболт крепления боевой части, она отделялась и шла к подводной части борта корабля. В 1953 г. провели пуски пяти ракет без системы радиолокационного самонаведения, но с радиовысотомером. С 17 марта по 20 июля 1954 г. провели пуски девяти ракет, пять из которых были оснащены активной радиолокационной ГСН. Результаты испытаний показали, что при волнении моря в 3—4 балла на дальности от цели 2—3 км в аппаратуре активной радиолокационной ГСН происходит срыв сопровождения цели. Сигнал от цели (транспорта «Очаков») забивался отражением от волн. Испытания ракет «Щука-Б» в 1955 г. шли с переменным успехом. Но 3 февраля 1956 г. вышло Постановление Совмина № 175— 104, согласно которому ракета «Щука-А» принятию на вооружение не подлежала, а доработка «Щуки-Б» прекращалась. Кстати, в скором времени прекратилось производство бомбардировщиков Ил-28, которые предназначалось использовать в качестве носителей обоих «Щук». Руководство ГСНИИ-642, видимо, предчувствовало прекращение работ по «Щукам» А и Б и решило подстраховаться, включив в план опытно-конструкторских работ на 1953—1954 гг. тему под названием «Исследования возможностей создания самолета-снаряда для стрельбы с корабля по кораблю на базе ракеты "Щука-Б"». Работы по самолету-снаряду корабельного базирования были официально утверждены Постановлением Совмина СССР № 2541—1222 от 30 декабря 1954 г. По этому же постановлению ГСНИИ-642 определялся головным по разработке как всего комплекса, так и самой ракеты, которая получила название КСЩ (корабельный снаряд «Щука»). Конечная цель этой разработки была проста и заманчива: создать ударное ракетное оружие для надводных кораблей водоизмещением около 3000 т для борьбы с крупными артиллерийскими кораблями вероятного противника на дистанции до 50—60 км, то есть не входя в зону досягаемости их мощной артиллерии. Старт КСЩ производился с помощью порохового ускорителя ПРД-19М, который подвешивался снизу в хвостовой части ракеты между двумя нижнерасположенными V-образными аэродинамическими гребнями. Стартовый двигатель работал 1,3 секунды, а затем сбрасывался. Ускоритель был создан в КБ завода № 81 Минавиапрома </w:t>
      </w:r>
      <w:r w:rsidRPr="00F90EAE">
        <w:rPr>
          <w:color w:val="000000" w:themeColor="text1"/>
          <w:sz w:val="16"/>
          <w:szCs w:val="16"/>
        </w:rPr>
        <w:lastRenderedPageBreak/>
        <w:t>в Москве. Главный конструктор И.И. Картуков. В качестве маршевого был использован авиационный турбореактивный двигатель АМ-5А с тягой 2,0—2,6 т. Эти двигатели устанавливались на истребителях Як-25, и на КСЩ предполагалось ставить выработавшие ресурс двигатели с самолетов. Аэродинамическая схема КСЩ — нормальная с нижнерасположенным прямым крылом, имевшим отогнутые к низу законцовки, с нижнерасположенным совковым воздухозаборником и V-образным оперением. Ракета имела интерцепторные органы управления (чувствовалось еще немецкое влияние). Создатели КСЩ рассказывали в свое время историку полигона «Песчаная Балка» капитану 2-го ранга Ю.С. Кузнецову о посещении А.Н. Туполевым филиала ОКБ-155 и осмотре им первого экземпляра КСЩ. Говорят, что Туполев обладал таким даром, как предвидение. Он мог по одному внешнему виду летательного аппарата, будь то самолет или ракета, определить летные свойства аппарата и сразу же сказать, полетит он или нет. Андрей Николаевич долго молча ходил вокруг ракеты, а потом сказал: «Это произведение мало похоже на ракету. Это — аэродинамический урод». У заинтересованных лиц поникли головы. Все ждали, что мэтр еще что-нибудь скажет. И он сказал: «Да! Урод. Но летать будет!» Заводские испытания ракет КСЩ на полигоне «Песчаная Балка» начались в августе 1955 г. Первоначально проводились пуски так называемого изделия БКС, которое внешне представлял собой авиационную ракету «Щука-Б», но единственным действующим агрегатом ее был стартовый ускоритель ПРД-19М. Первый пуск изделия БКС с береговой установки, разработанной ГСНИИ-642, был проведен 24 сентября 1955 г. Ракета пролетела 3840 м за 34,6 с. Еще два подобных пуска провели 29 сентября и 2 октября того же года. В ходе второго этапа заводских испытаний изделия БКС имели не только стартовый двигатель ПРД-19М, но и маршевый двигатель от ракеты «Щука-Б». Системы наведения БКС не имели. В ходе первого пуска 13 февраля 1956 г. произошел отказ в работе автопилота по каналу крена. Ракета приводнилась на 15,5-й секунде полета в 1640 м от места пуска. Последующие два пуска 24 и 27 февраля были более удачными: ракеты пролетели 5240 м за 34,8 с и 5190 м за 33,5 с. На третьем этапе заводских испытаний стреляли теми же БКС с ПРД-19М и маршевым двигателем от «Щуки-Б», но теперь был установлен и полный комплект систем наведения от «Щуки-Б», а также автопилот АПЛИ-5 от новой ракеты КСЩ. Все 4 пуска, проведенные в марте 1956 г., были удачными. В ходе пуска 27 марта 1956 г. была достигнута максимальная дальность полета 15,1 км, время полета составило 78 с. По итогам трех проведенных этапов экспериментальных (заводских) испытаний можно было сделать заключение, что прототип ракеты КСЩ — изделие БКС — летает нормально: стартовый двигатель ПРД-19М обеспечивает надежный старт изделия БКС с береговой ПУ разработки ГСНИИ-642; бортовая аппаратура в целом функционирует так, как от нее требуется (за исключением отказа в работе автопилота в пуске № 4 13 февраля 1956 г.), и обеспечивает выполнение заданных параметров стрельбы — дальность, высоту и время полета.</w:t>
      </w:r>
    </w:p>
    <w:p w14:paraId="3278BB9A" w14:textId="77777777" w:rsidR="001E4635" w:rsidRPr="00F90EAE" w:rsidRDefault="001E4635" w:rsidP="00F90EAE">
      <w:pPr>
        <w:pStyle w:val="book"/>
        <w:ind w:firstLine="0"/>
        <w:jc w:val="both"/>
        <w:rPr>
          <w:color w:val="000000" w:themeColor="text1"/>
          <w:sz w:val="16"/>
          <w:szCs w:val="16"/>
        </w:rPr>
      </w:pPr>
      <w:r w:rsidRPr="00F90EAE">
        <w:rPr>
          <w:iCs/>
          <w:color w:val="000000" w:themeColor="text1"/>
          <w:sz w:val="16"/>
          <w:szCs w:val="16"/>
        </w:rPr>
        <w:t>Данные крылатой ракеты КСЩ</w:t>
      </w:r>
    </w:p>
    <w:p w14:paraId="5CC1E134"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Дальность стрельбы минимальная, км — 20</w:t>
      </w:r>
    </w:p>
    <w:p w14:paraId="14E97510"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Дальность стрельбы с использованием корабельных средств обнаружения цели, км — до 40</w:t>
      </w:r>
    </w:p>
    <w:p w14:paraId="5B3CB33D"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Дальность стрельбы с использованием выносных постов, км — до 100</w:t>
      </w:r>
    </w:p>
    <w:p w14:paraId="42B50F7D"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Высота маршевого полета, м — 60</w:t>
      </w:r>
    </w:p>
    <w:p w14:paraId="37201091"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Стартовый вес ракеты, кг — 2958</w:t>
      </w:r>
    </w:p>
    <w:p w14:paraId="64286291"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 стартового двигателя, кг — 457</w:t>
      </w:r>
    </w:p>
    <w:p w14:paraId="7C5A30FC"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 топлива маршевого двигателя (керосина Т-1), кг — 220</w:t>
      </w:r>
    </w:p>
    <w:p w14:paraId="2B162B5C"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 боевой части, кг — 625</w:t>
      </w:r>
    </w:p>
    <w:p w14:paraId="0C8A2CFC"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 взрывчатого вещества в боевой части, кг — 340</w:t>
      </w:r>
    </w:p>
    <w:p w14:paraId="2BEC7ABE"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Длина ракеты, мм — 7600</w:t>
      </w:r>
    </w:p>
    <w:p w14:paraId="2A2D9188"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Размах крыла, мм — 4200</w:t>
      </w:r>
    </w:p>
    <w:p w14:paraId="3134E553"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Высота ракеты, подготовленной к пуску, мм — 1976</w:t>
      </w:r>
    </w:p>
    <w:p w14:paraId="554E6F9A"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Диаметр носовой части ракеты, мм — 900</w:t>
      </w:r>
    </w:p>
    <w:p w14:paraId="3D1C479A"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Уже в апреле 1956 г. на полигон «Песчаная Балка» стали поступать первые образцы ракет КСЩ. Ничего общего у них с изделиями БКС не было, разве только боевые части с системой их отделения от корпуса ракеты при приводнении, да стартовые двигатели. Характерным для ракет КСЩ было то, что они поступали на полигон в разобранном виде — в семи контейнерах и ящиках, основных из которых было четыре: контейнер со «среднехвостовой» частью ракеты со сложенными консолями крыла</w:t>
      </w:r>
      <w:bookmarkStart w:id="14" w:name="r19"/>
      <w:bookmarkEnd w:id="14"/>
      <w:r w:rsidR="00A371FF" w:rsidRPr="00F90EAE">
        <w:rPr>
          <w:color w:val="000000" w:themeColor="text1"/>
          <w:sz w:val="16"/>
          <w:szCs w:val="16"/>
          <w:vertAlign w:val="superscript"/>
        </w:rPr>
        <w:fldChar w:fldCharType="begin"/>
      </w:r>
      <w:r w:rsidRPr="00F90EAE">
        <w:rPr>
          <w:color w:val="000000" w:themeColor="text1"/>
          <w:sz w:val="16"/>
          <w:szCs w:val="16"/>
          <w:vertAlign w:val="superscript"/>
        </w:rPr>
        <w:instrText xml:space="preserve"> HYPERLINK "http://coollib.com/b/259723/read" \l "n_19" \o "    Предмет зависти всех автомобилистов — владельцев первой модели \«Москвича\». Это был готовый гараж для этой марки машины.   " </w:instrText>
      </w:r>
      <w:r w:rsidR="00A371FF" w:rsidRPr="00F90EAE">
        <w:rPr>
          <w:color w:val="000000" w:themeColor="text1"/>
          <w:sz w:val="16"/>
          <w:szCs w:val="16"/>
          <w:vertAlign w:val="superscript"/>
        </w:rPr>
        <w:fldChar w:fldCharType="separate"/>
      </w:r>
      <w:r w:rsidRPr="00F90EAE">
        <w:rPr>
          <w:rStyle w:val="a5"/>
          <w:color w:val="000000" w:themeColor="text1"/>
          <w:sz w:val="16"/>
          <w:szCs w:val="16"/>
          <w:vertAlign w:val="superscript"/>
        </w:rPr>
        <w:t>[19]</w:t>
      </w:r>
      <w:r w:rsidR="00A371FF" w:rsidRPr="00F90EAE">
        <w:rPr>
          <w:color w:val="000000" w:themeColor="text1"/>
          <w:sz w:val="16"/>
          <w:szCs w:val="16"/>
          <w:vertAlign w:val="superscript"/>
        </w:rPr>
        <w:fldChar w:fldCharType="end"/>
      </w:r>
      <w:r w:rsidRPr="00F90EAE">
        <w:rPr>
          <w:color w:val="000000" w:themeColor="text1"/>
          <w:sz w:val="16"/>
          <w:szCs w:val="16"/>
        </w:rPr>
        <w:t>, контейнер с носовой частью ракеты и контейнеры с боевой частью и стартовым двигателем. Ни до, ни после такого на полигоне не было: раньше комплекты ракет прибывали только в двух контейнерах: собственно ракета и стартовый двигатель или стартовый агрегат. Двигатели АМ-5А на ракеты КСЩ попадали не с завода-изготовителя. Сначала они честно отрабатывали свое на самолетах Як-25. Но после того как они вырабатывали свой ресурс на самолетах, их демонтировали и перебирали. После этого двигателям давался дополнительный пятичасовой ресурс, и они устанавливались на ракеты КСЩ. Ракета КСЩ поразила испытателей объемом лючков различной величины с очень замысловатыми запорами хеншелевской конструкции. Если снять все до единого лючки, то ракета бы выглядела как ракета. На КСЩ находилась масса торчащих, выступающих частей, например, громоздкий бортовой электроразъем, интерцептор со своими держателями, полуоси, с помощью которых на ракете крепились специальные многокилограммовые так называемые «башмаки», выполненные из стали и бронзы (приспособления для скольжения ракеты по направляющим пусковой установки при старте). Это тоже фантазия М.В. Орлова. После старта ракеты эти «башмаки» тут же сбрасывались. Такого потом не было ни на одной конструкции испытываемых ракет. Особенно импозантно выглядела ракета, вернее, ее носовая часть, в телеметрическом варианте. Испытатели телеметрические ракеты называли между собой «коровами». Стартовый двигатель ПРД-19М тоже не отличался простотой и изяществом своих линий. Достаточно было увидеть передние узлы крепления стартовика к корпусу ракеты. Для проведения пусков четвертого этапа экспериментальных (заводских) испытаний в поселок Черноморск на объекты была доставлена почти точная копия пусковой установки СМ-59—1, то есть такая, которая планировалась к монтажу на эсминце проекта 56Э «Бедовый». Согласно приказу по Министерству оборонной промышленности от 20 сентября 1955 г., разработка пусковой установки для ракеты КСЩ была поручена ЦКБ-34. В ноябре 1956 г. ЦКБ-34 представило заказчику технический проект пусковой установки СМ-59. Пусковая была ангарного типа с направляющими ферменной конструкции, которые были примерно в два раза длиннее самой ракеты. Установка стабилизированная, с броневой защитой основных механизмов и ракеты. Стабилизированная часть служила для стабилизации ракеты по углу вертикального наведения и по углу поперечного крена и состояла из направляющей балки и фермы, скрепленной болтами. На верхних поясах направляющей балки и фермы установлены направляющие рельсы, по которым двигалась ракета. В целях предотвращения замерзания рельс имелось устройство для обогрева их индукционными токами. Пусковая установка могла перезаряжаться запасными ракетами, хранившимися в специальных ангарах-погребах корабля. Расчетное время перезарядки 8—10 минут. В ЦНИИАГ была создана система дистанционного управления Д-59, которая обеспечивала автоматическое наведение установки по данным поста управления стрельбой в двух плоскостях и стабилизацию по крену. Ошибки при качке: 4—6 точек дальномера. Доставленные на полигон пусковые установки СМ-59—1 отличались от корабельных отсутствием броневой защиты и противообледенительного устройства. С завершением испытательных работ в поселке Черноморск пусковая установка СМ-59—1 была разобрана и отправлена в Николаев на судостроительный завод им. 61 Коммунара. Позднее ее установили на эсминце проекта 57бис «Упорный». Первый пуск изделия КСЩ в ходе четвертого этапа заводских испытаний состоялся 19 сентября 1956 г. Согласно полетному заданию, ракета должна была пролететь 15 км, но из-за неправильно выбранного угла установки стабилизаторов она на 40-й секунде полета поднялась на высоту 1180 м и с этой высоты начала плавно снижаться до приводнения. В итога ракета пролетела 60 150 м за 240,2 с. В ходе второго пуска 7 августа 1956 г. стартовый двигатель ПРД-19М при отделении на секунду зацепился за «гребни» ракеты. Поэтому изделие КСЩ не выполнило расчетную «горку» и преждевременно приводнилось, пролетев за 40,5 секунды 9,3 км вместо запланированных 15 км. В третьем старте 22 августа ракета также должна была пролететь 15 км, но из-за ненормальной работы рулевой машинки по каналу тангажа ракета не вышла в горизонтальный полет и преждевременно приводнилась, пролетев всего 1800 м за 7,8 с. Неудачным оказался и четвертый пуск 19 сентября 1956 г. Стартовик опять зацепился за гребень ракеты после окончания работы. В результате ракета вместе со стартовиком, не долетев до среза воды, упала на боевом поле полигона в 680 м от места старта на 5,6-й секунде полета. Зато последующие четыре старта (29 ноября, 10, 19 и 23 декабря 1956 г.) прошли удачно. Дальность стрельбы постепенно увеличивалась — 15 км, 20 км, 30 км. Соответственно, ракеты пролетели 14 800 м, 19 700 м, 31 200 м и 29 700 м. Учитывая, что в конце четвертого этапа испытаний наметилась тенденция стабильного полета ракеты в соответствии с заданием на пуск (ракета последовательно пролетела 15, 20 и 30 км), и что четыре неудачи на пусках № 11, 12, 13 и 14 имели чисто механические причины, сравнительно легко устранимые (при общих положительных итогах предыдущих трех этапов испытаний), а также в связи с тем, что сроки проведения Государственных испытаний, установленные Правительством СССР, поджимали (1957 г.), было решено сразу же после завершения экспериментальных (заводских) испытаний перейти к этапу летно-конструкторских испытаний и провести их с корабля. Официально летно-конструкторские испытания с участием эсминца «Бедовый» начались 5 января 1957 г. Основанием для проведения этих испытаний стало Постановление Совмина № 1238— 629 от 31 августа 1956 г. Эффективность ракеты КСЩ можно проиллюстрировать несколькими пусками:</w:t>
      </w:r>
    </w:p>
    <w:p w14:paraId="00F3C4ED"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30 августа КСЩ попала в борт мишени — лидера «Ереван». Несмотря на то, что боевая часть ракеты была инертной, в борту образовалась дыра 2,0 x 2,2 м, а нижняя кромка дыры оказалась на 0,3 м ниже ватерлинии. В результате прямого попадания лидер затонул.</w:t>
      </w:r>
    </w:p>
    <w:p w14:paraId="22D673BE"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6 сентября ракета была выпущена по катеру волнового управления (радиоуправления) проекта 183Ц, шедшему с 30-узловой скоростью у мыса Чауца. Было достигнуто прямое попадание без подводного хода боевой части. Катер развалился на две части и затонул.</w:t>
      </w:r>
    </w:p>
    <w:p w14:paraId="182309FB"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 районе Балаклавы в качестве мишени использовалась цитадель недостроенного тяжелого крейсера проекта 82 «Сталинград». Длина мишени составляла 150 м, а осадка — 8,5 м. Эта мишень имела ряд особенностей. По ней проводились не только ракетные стрельбы, но также артиллерийские и торпедные, а флотская авиация отрабатывала на этой мишени все виды бомбометаний. Поэтому мишень «Сталинград» имела постоянный обслуживающий личный состав. Во время проведения стрельб и бомбометаний личный состав был надежно укрыт и защищен (толщина бортовой брони составляла 230—260 мм, бортовых булей — 70—90 мм, палуб — 140—170 мм).</w:t>
      </w:r>
    </w:p>
    <w:p w14:paraId="1342ABE1"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lastRenderedPageBreak/>
        <w:t>27 декабря 1957 г. ракета попала в борт мишени, почти в самый ее центр, с отклонением 4 м влево. В борту «Сталинграда» появилось отверстие в виде восьмерки общей площадью 55 м</w:t>
      </w:r>
      <w:r w:rsidRPr="00F90EAE">
        <w:rPr>
          <w:color w:val="000000" w:themeColor="text1"/>
          <w:sz w:val="16"/>
          <w:szCs w:val="16"/>
          <w:vertAlign w:val="superscript"/>
        </w:rPr>
        <w:t>2</w:t>
      </w:r>
      <w:r w:rsidRPr="00F90EAE">
        <w:rPr>
          <w:color w:val="000000" w:themeColor="text1"/>
          <w:sz w:val="16"/>
          <w:szCs w:val="16"/>
        </w:rPr>
        <w:t>.</w:t>
      </w:r>
    </w:p>
    <w:p w14:paraId="7FC88FB8"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Комиссия рекомендовала комплекс принять на вооружение, и в начале 1958 г. вышло Постановление Совмина о принятии комплекса КСЩ. Комплекс КСЩ состоял на вооружении до начала 1970-х годов. В 1971 г. в ходе отработки ЗРК «Шторм» на БПК проекта 1134Б «Николаев» было решено использовать в качестве целей ракеты КСЩ. Ракетный корабль «Неуловимый» в районе Керчи запустил пять «Щук». Ракеты летели на высоте около 60 м, и ни одна из них «Штормом» сбита не была. Комплекс как будто хотел доказать начальству: «Рано вы меня списываете» (15225).</w:t>
      </w:r>
    </w:p>
    <w:p w14:paraId="4C3E7825" w14:textId="77777777" w:rsidR="001E4635" w:rsidRPr="00F90EAE" w:rsidRDefault="001E4635" w:rsidP="00F90EAE">
      <w:pPr>
        <w:pStyle w:val="book"/>
        <w:ind w:firstLine="0"/>
        <w:jc w:val="both"/>
        <w:rPr>
          <w:color w:val="000000" w:themeColor="text1"/>
          <w:sz w:val="16"/>
          <w:szCs w:val="16"/>
        </w:rPr>
      </w:pPr>
    </w:p>
    <w:p w14:paraId="13941410"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2D25D84" w14:textId="77777777" w:rsidR="00665165" w:rsidRPr="00F90EAE" w:rsidRDefault="00665165" w:rsidP="00F90EAE">
      <w:pPr>
        <w:autoSpaceDE w:val="0"/>
        <w:autoSpaceDN w:val="0"/>
        <w:adjustRightInd w:val="0"/>
        <w:jc w:val="both"/>
        <w:rPr>
          <w:iCs/>
          <w:color w:val="000000" w:themeColor="text1"/>
          <w:sz w:val="16"/>
          <w:szCs w:val="16"/>
        </w:rPr>
      </w:pPr>
    </w:p>
    <w:p w14:paraId="4B5A512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года под Кенигсбергом был один единственный случай боевого применения 305-мм гаубиц обр. 1915 в Великую Отечественную войну.</w:t>
      </w:r>
    </w:p>
    <w:p w14:paraId="62E8AB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Устройство гаубиц.</w:t>
      </w:r>
    </w:p>
    <w:p w14:paraId="130DCE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Ствол состоял из внутренней трубы, двух цилиндров (короткого и длинного), кожуха, казенника, скрепляющего кольца, перекрывающего кольца и диска.</w:t>
      </w:r>
    </w:p>
    <w:p w14:paraId="13BDC43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Казенник навинчен на казенную часть кожуха (на резьбе).</w:t>
      </w:r>
    </w:p>
    <w:p w14:paraId="721D733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Затвор поршневой системы Розенберга или системы Обуховского завода. Затвор Розенберга устроен так, что его можно присоединить к стволу как справа, так и слева.</w:t>
      </w:r>
    </w:p>
    <w:p w14:paraId="6EDA84E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Тормоз отката гидравлический, накатник гидропневматический. Противооткатные устройства собраны в люльке. Люлька массивная стальная отливка.</w:t>
      </w:r>
    </w:p>
    <w:p w14:paraId="502AB1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Подъемный механизм имел один зубчатый сектор, закрепленный в люльке. Механизма быстрого приведения к углу заряжания нет. Все приводы установки только ручные.</w:t>
      </w:r>
    </w:p>
    <w:p w14:paraId="10DE91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Фундаментная рама служила жестким основанием, на котором лежал погон шарового подпятника. Задняя часть рамы предусмотрена для катания по ней опорных роликов поворотного механизма.</w:t>
      </w:r>
    </w:p>
    <w:p w14:paraId="457E171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Деревянное основание помещалось в вырытом в земле котловане глубиной около 2-х метров. Длина деревянного основания по директрисе 7750 м, ширина 6400 м.</w:t>
      </w:r>
    </w:p>
    <w:p w14:paraId="1149411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Деревянное основание состояло из рядов 9-дюймовых квадратных деревянных брусьев, уложенных поочередно рядами по директрисе и перпендикулярно ей, и скрепленных между собой планками, болтами и скобками.</w:t>
      </w:r>
    </w:p>
    <w:p w14:paraId="4253313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Установочная часть состояла из стального установочного кольца из двух половин, соединенных стальными накладками. Кольцо имело 30 отверстий для установочных болтов диаметром 2 дюйма.</w:t>
      </w:r>
    </w:p>
    <w:p w14:paraId="0C9358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 перевозке гаубица разбиралась на три части: станок, люльку и ствол. Перевозка осуществлялась только по железной дороге на тележках с узкой (750-мм) колеей. Орудие, доставленное по широкой колее, посредством разборки рельс переводилось на узкую колею и доставлялось прямо к котловану. Снаряды подавались в вагонетках "ПЛ-4" Коломенского завода по 2 полных выстрела в каждой. На каждую гаубицу положено по штату 300 м узкой колеи и 2 вагонетки.</w:t>
      </w:r>
    </w:p>
    <w:p w14:paraId="0BB9101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Для перегрузки частей гаубицы с железнодорожной платформы с нормальной колеей на платформу узкоколейки снимали один рельс нормальной колеи и между рельсами широкой колеи укладывали 32 метра узкоколейки. Двумя парами домкратов поднимали ствол, железнодорожная платформа с нормальной колеей откатывалась и подкатывалась узкоколейная платформа, на которую опускали ствол. Аналогично перегружались лафет и основание.</w:t>
      </w:r>
    </w:p>
    <w:p w14:paraId="55A9EC6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Установка системы состояла из 8 операций:</w:t>
      </w:r>
    </w:p>
    <w:p w14:paraId="72E0481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Отрыт котлован и уложены брусья.</w:t>
      </w:r>
    </w:p>
    <w:p w14:paraId="213BB96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На дно котлована опускается установочное кольцо и укладывается на подкладки так, чтобы оно расположилось над соответствующим гнездом.</w:t>
      </w:r>
    </w:p>
    <w:p w14:paraId="0B43C2A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опускается установочный круг, а затем 4 ряда брусьев.</w:t>
      </w:r>
    </w:p>
    <w:p w14:paraId="418EBF7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На вагонетке подвозится основную часть фундаментной рамы, поднимается домкратами и опускается в котлован.</w:t>
      </w:r>
    </w:p>
    <w:p w14:paraId="1C54AA7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5) Поверх фундаментной рамы прокладывается рельсовый путь полевой железной дороги для подвозки станка и устанавливаются четыре 3-х метровых домкрата. Станок ставится над котлованом, поднимают его и убирают тележки станка и рельсовый путь. После этого опускают станок на фундаментную раму и сажают его на болты.</w:t>
      </w:r>
    </w:p>
    <w:p w14:paraId="771CC72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6) Сборка ствола с люлькой происходила недалеко от котлована. Тележка с люлькой устанавливалась перед тележкой со стволом, ствол поднимали домкратами до уровня люльки. Тележку ствола убирали, а люльку надвигали на дульную часть ствола.</w:t>
      </w:r>
    </w:p>
    <w:p w14:paraId="26115C9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7) Рельсовый путь прокладывали прямо через станок. Тележку с люлькой и стволом закатывали в станок. Люльку поднимали домкратами и укладывали так, чтобы цапфы люльки легли в цапфенные отверстия станка. Рельсовый путь убирают.</w:t>
      </w:r>
    </w:p>
    <w:p w14:paraId="031AE27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8) Убирают домкраты, заканчивают деревянное основание. Устанавливают на место и прикрепляют к станку тумбу с зарядным лотком.</w:t>
      </w:r>
    </w:p>
    <w:p w14:paraId="396E59C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Боеприпасы и баллистика</w:t>
      </w:r>
    </w:p>
    <w:p w14:paraId="5977E94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А. Снаряды</w:t>
      </w:r>
    </w:p>
    <w:p w14:paraId="683C8D5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 Заряды.</w:t>
      </w:r>
    </w:p>
    <w:p w14:paraId="7608742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1) Полный заряд из пороха СБ весом 28,641 кг + 0,27 кг воспламенитель.</w:t>
      </w:r>
    </w:p>
    <w:p w14:paraId="3D5C61D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2) Полный комбинированный заряд переменный, состоял из наименьшего заряда из комбинации порохов 9/7 и 15/7 и добавочных равновесных пучков 15/7.</w:t>
      </w:r>
    </w:p>
    <w:p w14:paraId="1C2364E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полного заряда, кг 31,25</w:t>
      </w:r>
    </w:p>
    <w:p w14:paraId="14E3CBC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основного заряда, кг 17,85</w:t>
      </w:r>
    </w:p>
    <w:p w14:paraId="020DC93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 пучка, кг 2,325</w:t>
      </w:r>
    </w:p>
    <w:p w14:paraId="65EE269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3) Уменьшенный заряд из пороха С42 состоял из одного пакета и двух довесков.</w:t>
      </w:r>
    </w:p>
    <w:p w14:paraId="7C4B4B3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4) Заряды 30-х 40-х годов (3861).</w:t>
      </w:r>
    </w:p>
    <w:p w14:paraId="6F9278F0" w14:textId="77777777" w:rsidR="00665165" w:rsidRPr="00F90EAE" w:rsidRDefault="00665165" w:rsidP="00F90EAE">
      <w:pPr>
        <w:autoSpaceDE w:val="0"/>
        <w:autoSpaceDN w:val="0"/>
        <w:adjustRightInd w:val="0"/>
        <w:jc w:val="both"/>
        <w:rPr>
          <w:color w:val="000000" w:themeColor="text1"/>
          <w:sz w:val="16"/>
          <w:szCs w:val="16"/>
        </w:rPr>
      </w:pPr>
    </w:p>
    <w:p w14:paraId="6136934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После окончания войны в СССР началась разработка новых мощных 406-мм, 305-мм и 180-мм ж. д. артсистем (3861).</w:t>
      </w:r>
    </w:p>
    <w:p w14:paraId="05BD3A5B" w14:textId="77777777" w:rsidR="00665165" w:rsidRPr="00F90EAE" w:rsidRDefault="00665165" w:rsidP="00F90EAE">
      <w:pPr>
        <w:autoSpaceDE w:val="0"/>
        <w:autoSpaceDN w:val="0"/>
        <w:adjustRightInd w:val="0"/>
        <w:jc w:val="both"/>
        <w:rPr>
          <w:color w:val="000000" w:themeColor="text1"/>
          <w:sz w:val="16"/>
          <w:szCs w:val="16"/>
        </w:rPr>
      </w:pPr>
    </w:p>
    <w:p w14:paraId="47745893" w14:textId="77777777" w:rsidR="00823A00" w:rsidRPr="00F90EAE" w:rsidRDefault="00823A00" w:rsidP="00F90EAE">
      <w:pPr>
        <w:pStyle w:val="a3"/>
        <w:rPr>
          <w:color w:val="000000" w:themeColor="text1"/>
          <w:lang w:val="ru-RU"/>
        </w:rPr>
      </w:pPr>
      <w:r w:rsidRPr="00F90EAE">
        <w:rPr>
          <w:color w:val="000000" w:themeColor="text1"/>
          <w:lang w:val="ru-RU"/>
        </w:rPr>
        <w:t>Весной 1945 г. Вопрос выбора варианта тяжелого танка, в числе про</w:t>
      </w:r>
      <w:r w:rsidRPr="00F90EAE">
        <w:rPr>
          <w:color w:val="000000" w:themeColor="text1"/>
          <w:lang w:val="ru-RU"/>
        </w:rPr>
        <w:softHyphen/>
        <w:t xml:space="preserve">чих, был вынесен на рассмотрение наркома В.А. Малышева, который поддержал второй вариант. В.А. Малышев при этом сказал: </w:t>
      </w:r>
      <w:r w:rsidRPr="00F90EAE">
        <w:rPr>
          <w:rStyle w:val="aff6"/>
          <w:rFonts w:ascii="Times New Roman" w:hAnsi="Times New Roman" w:cs="Times New Roman"/>
          <w:i w:val="0"/>
          <w:color w:val="000000" w:themeColor="text1"/>
          <w:lang w:val="ru-RU"/>
        </w:rPr>
        <w:t>«Не все оригинальное целесообразно. Прошу доказать».</w:t>
      </w:r>
      <w:r w:rsidRPr="00F90EAE">
        <w:rPr>
          <w:color w:val="000000" w:themeColor="text1"/>
          <w:lang w:val="ru-RU"/>
        </w:rPr>
        <w:t xml:space="preserve"> Это прозвучало как упрек авто</w:t>
      </w:r>
      <w:r w:rsidRPr="00F90EAE">
        <w:rPr>
          <w:color w:val="000000" w:themeColor="text1"/>
          <w:lang w:val="ru-RU"/>
        </w:rPr>
        <w:softHyphen/>
        <w:t>рам первого варианта, разрабатываемого П.П. Исаковым и одобренного Ж.Я. Котиным. В сентябре Г.Н. Москвина отстранили от этой работы, а конструкцию корпуса поручили дово</w:t>
      </w:r>
      <w:r w:rsidRPr="00F90EAE">
        <w:rPr>
          <w:color w:val="000000" w:themeColor="text1"/>
          <w:lang w:val="ru-RU"/>
        </w:rPr>
        <w:softHyphen/>
        <w:t>дить С.В. Мицкевичу (12615).</w:t>
      </w:r>
    </w:p>
    <w:p w14:paraId="5576DCFD" w14:textId="77777777" w:rsidR="00823A00" w:rsidRPr="00F90EAE" w:rsidRDefault="00823A00" w:rsidP="00F90EAE">
      <w:pPr>
        <w:jc w:val="both"/>
        <w:rPr>
          <w:color w:val="000000" w:themeColor="text1"/>
          <w:sz w:val="16"/>
          <w:szCs w:val="16"/>
        </w:rPr>
      </w:pPr>
    </w:p>
    <w:p w14:paraId="4C08AAB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 роизводство танков ИС-2 на ЧКЗ прекратилось. В мае были выпущены последние 150 машин (10703).</w:t>
      </w:r>
    </w:p>
    <w:p w14:paraId="038A9317"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763993F2"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 производство танков ИС-2 (ИС-122) бы</w:t>
      </w:r>
      <w:r w:rsidRPr="00F90EAE">
        <w:rPr>
          <w:color w:val="000000" w:themeColor="text1"/>
          <w:sz w:val="16"/>
          <w:szCs w:val="16"/>
        </w:rPr>
        <w:softHyphen/>
        <w:t>ло прекращено (11135).</w:t>
      </w:r>
    </w:p>
    <w:p w14:paraId="19EDACC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E09ACCD" w14:textId="77777777" w:rsidR="00996484" w:rsidRPr="00F90EAE" w:rsidRDefault="00996484" w:rsidP="00F90EAE">
      <w:pPr>
        <w:jc w:val="both"/>
        <w:rPr>
          <w:color w:val="000000" w:themeColor="text1"/>
          <w:sz w:val="16"/>
          <w:szCs w:val="16"/>
        </w:rPr>
      </w:pPr>
      <w:r w:rsidRPr="00F90EAE">
        <w:rPr>
          <w:color w:val="000000" w:themeColor="text1"/>
          <w:sz w:val="16"/>
          <w:szCs w:val="16"/>
        </w:rPr>
        <w:t>Весной 1945 года ИС-2 стал постепенно освобождать дорогу сменщику — тяжёлому танку ИС-3. Но самоходных установок на базе ИС-2 это не коснулось. В апреле ИСУ-152 сдали чуть меньше прежней нормы (95 штук), столько же было сдано в мае и июне. В июле их снова выпустили 100 штук, а за август, из-за недопоставок орудий, сдали 80 машин вместо предполагавшихся 50 (также было сдано70 ИСУ-122с вместо 50) (18171).</w:t>
      </w:r>
    </w:p>
    <w:p w14:paraId="643706E4" w14:textId="77777777" w:rsidR="00996484" w:rsidRPr="00F90EAE" w:rsidRDefault="00996484" w:rsidP="00F90EAE">
      <w:pPr>
        <w:jc w:val="both"/>
        <w:rPr>
          <w:color w:val="000000" w:themeColor="text1"/>
          <w:sz w:val="16"/>
          <w:szCs w:val="16"/>
        </w:rPr>
      </w:pPr>
      <w:r w:rsidRPr="00F90EAE">
        <w:rPr>
          <w:color w:val="000000" w:themeColor="text1"/>
          <w:sz w:val="16"/>
          <w:szCs w:val="16"/>
        </w:rPr>
        <w:t>Весной-летом 1945 года производство машин СУ-100 продолжалось на прежнем уровне. За май сдали 210 СУ-100, столько же в июне, в июле-августе — по 200 штук. Окончание Второй мировой войны существенно снизило объём выпуска: уже в сентябре 1945 года он снизился до 165 штук, в октябре УЗТМ сдал 160 СУ-100, в ноябре — 140, а в декабре — 150. Доработки уже имели сравнительно небольшой объём и окончательно прекратились к декабрю. Уже в ноябре на УЗТМ знали, что выпуск СУ-100 вскоре будет остановлен, завод постепенно переходил к производству гражданской продукции. Это существенно повлияло и на отношение к выпуску СУ-100. Последние СУ-100 сдали в 1946 году: 50 штук в январе, 100 в феврале, 102 в марте. Общий объём производства составил 3037 машин, таким образом, СУ-100 стала самой массовой советской средней САУ.</w:t>
      </w:r>
    </w:p>
    <w:p w14:paraId="2E10518A" w14:textId="77777777" w:rsidR="00996484" w:rsidRPr="00F90EAE" w:rsidRDefault="00996484" w:rsidP="00F90EAE">
      <w:pPr>
        <w:jc w:val="both"/>
        <w:rPr>
          <w:color w:val="000000" w:themeColor="text1"/>
          <w:sz w:val="16"/>
          <w:szCs w:val="16"/>
        </w:rPr>
      </w:pPr>
      <w:r w:rsidRPr="00F90EAE">
        <w:rPr>
          <w:color w:val="000000" w:themeColor="text1"/>
          <w:sz w:val="16"/>
          <w:szCs w:val="16"/>
        </w:rPr>
        <w:t>На этом выпуск СУ-100 приостановился, но не прекратился. В 1946 году окончилось производство </w:t>
      </w:r>
      <w:hyperlink r:id="rId133" w:history="1">
        <w:r w:rsidRPr="00F90EAE">
          <w:rPr>
            <w:rStyle w:val="a5"/>
            <w:color w:val="000000" w:themeColor="text1"/>
            <w:sz w:val="16"/>
            <w:szCs w:val="16"/>
          </w:rPr>
          <w:t>Т-34-85</w:t>
        </w:r>
      </w:hyperlink>
      <w:r w:rsidRPr="00F90EAE">
        <w:rPr>
          <w:color w:val="000000" w:themeColor="text1"/>
          <w:sz w:val="16"/>
          <w:szCs w:val="16"/>
        </w:rPr>
        <w:t> на заводе №174 в Омске. Предполагалось, что далее завод будет собирать Т-54, но машина всё ещё требовала доработки, это привело к существенному сдвигу начала её производства. Чтобы загрузить завод, было решено выпускать на нём СУ-100. План оказался небольшим: на 1947 год он составил всего 200 машин. Столь небольшие объёмы выпуска объяснялись тем, что СУ-100, по мнению ГБТУ КА, уже устарела, и фактически ею поддерживалось танкостроение в Омске. Всего за 1947 год завод №174 сдал 194 самоходных установки, ещё 10 штук сдали в 1948 году, после чего развернулись работы по выпуску Т-54.</w:t>
      </w:r>
    </w:p>
    <w:p w14:paraId="4314E683" w14:textId="77777777" w:rsidR="00996484" w:rsidRPr="00F90EAE" w:rsidRDefault="00996484" w:rsidP="00F90EAE">
      <w:pPr>
        <w:jc w:val="both"/>
        <w:rPr>
          <w:color w:val="000000" w:themeColor="text1"/>
          <w:sz w:val="16"/>
          <w:szCs w:val="16"/>
        </w:rPr>
      </w:pPr>
      <w:r w:rsidRPr="00F90EAE">
        <w:rPr>
          <w:color w:val="000000" w:themeColor="text1"/>
          <w:sz w:val="16"/>
          <w:szCs w:val="16"/>
        </w:rPr>
        <w:t>Ввиду небольшого объёма выпуска цена омской СУ-100 оказалась выше и составила 303 900 рублей за штуку. Внешне омские СУ-100 несколько отличались от свердловских: у них иначе выглядели буксирные крюки, ступичные крышки опорных катков, командирские башенки, передние брызговики и ряд других деталей. Петли верхней кормовой плиты были унифицированы. Позже многие элементы омских машин унаследовали чехословацкие </w:t>
      </w:r>
      <w:hyperlink r:id="rId134" w:history="1">
        <w:r w:rsidRPr="00F90EAE">
          <w:rPr>
            <w:rStyle w:val="a5"/>
            <w:color w:val="000000" w:themeColor="text1"/>
            <w:sz w:val="16"/>
            <w:szCs w:val="16"/>
          </w:rPr>
          <w:t>SD-100</w:t>
        </w:r>
      </w:hyperlink>
      <w:r w:rsidRPr="00F90EAE">
        <w:rPr>
          <w:color w:val="000000" w:themeColor="text1"/>
          <w:sz w:val="16"/>
          <w:szCs w:val="16"/>
        </w:rPr>
        <w:t xml:space="preserve"> (18252).</w:t>
      </w:r>
    </w:p>
    <w:p w14:paraId="13DBFF17" w14:textId="77777777" w:rsidR="00996484" w:rsidRPr="00F90EAE" w:rsidRDefault="00996484" w:rsidP="00F90EAE">
      <w:pPr>
        <w:jc w:val="both"/>
        <w:rPr>
          <w:color w:val="000000" w:themeColor="text1"/>
          <w:sz w:val="16"/>
          <w:szCs w:val="16"/>
        </w:rPr>
      </w:pPr>
    </w:p>
    <w:p w14:paraId="79D5E47A"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 в КБ завода № 183 под руководством главного конструктора А.А. Морозова по результатам испытаний первого опытного образца был разработан Танк Т-54 (второй образец) ("Объект 137"). Опытный образец танка был изготовлен в июле 1945 г. и имел заводское обозначение "Объект 137". В июле - ноябре того же года танк прошел испытания на НИБТ полигоне, по результатам которых члены комис</w:t>
      </w:r>
      <w:r w:rsidRPr="00F90EAE">
        <w:rPr>
          <w:color w:val="000000" w:themeColor="text1"/>
          <w:sz w:val="16"/>
          <w:szCs w:val="16"/>
        </w:rPr>
        <w:softHyphen/>
        <w:t>сии сочли целесообразным рекомендовать его для принятия на воору</w:t>
      </w:r>
      <w:r w:rsidRPr="00F90EAE">
        <w:rPr>
          <w:color w:val="000000" w:themeColor="text1"/>
          <w:sz w:val="16"/>
          <w:szCs w:val="16"/>
        </w:rPr>
        <w:softHyphen/>
        <w:t xml:space="preserve">жение </w:t>
      </w:r>
      <w:r w:rsidRPr="00F90EAE">
        <w:rPr>
          <w:color w:val="000000" w:themeColor="text1"/>
          <w:sz w:val="16"/>
          <w:szCs w:val="16"/>
        </w:rPr>
        <w:lastRenderedPageBreak/>
        <w:t>Красной Армии с обязательным устранением выявленных недо</w:t>
      </w:r>
      <w:r w:rsidRPr="00F90EAE">
        <w:rPr>
          <w:color w:val="000000" w:themeColor="text1"/>
          <w:sz w:val="16"/>
          <w:szCs w:val="16"/>
        </w:rPr>
        <w:softHyphen/>
        <w:t>статков. Являлся прототипом среднего танка Т-54, принятого на воору</w:t>
      </w:r>
      <w:r w:rsidRPr="00F90EAE">
        <w:rPr>
          <w:color w:val="000000" w:themeColor="text1"/>
          <w:sz w:val="16"/>
          <w:szCs w:val="16"/>
        </w:rPr>
        <w:softHyphen/>
        <w:t>жение Советской Армии в первый послевоенный период (10703).</w:t>
      </w:r>
    </w:p>
    <w:p w14:paraId="1DAB1555"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475E1ED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весны 1945 года Т-44 стали поступать в войска и как любая новая техника, имели ряд "детских болезней" (3862).</w:t>
      </w:r>
    </w:p>
    <w:p w14:paraId="00D20A75" w14:textId="77777777" w:rsidR="00665165" w:rsidRPr="00F90EAE" w:rsidRDefault="00665165" w:rsidP="00F90EAE">
      <w:pPr>
        <w:autoSpaceDE w:val="0"/>
        <w:autoSpaceDN w:val="0"/>
        <w:adjustRightInd w:val="0"/>
        <w:jc w:val="both"/>
        <w:rPr>
          <w:color w:val="000000" w:themeColor="text1"/>
          <w:sz w:val="16"/>
          <w:szCs w:val="16"/>
        </w:rPr>
      </w:pPr>
    </w:p>
    <w:p w14:paraId="14E7D0A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года, накануне освобождения Праги, на вооружение чехословацкой армии поступило несколько ИС-2..</w:t>
      </w:r>
    </w:p>
    <w:p w14:paraId="1C3C0EE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 концу боевых действий в Войске Польском осталось 26 ИС-2 (при этом 21 машину вернули Красной Армии). Оставшиеся 5 машин и вошли в состав послевоенного польского 7-го тяжелого танкового полка. 71 танк ИС-2 был передан для формирования 4-го и 5-го полков тяжелых танков Войска польского. За время боев в Померании 4-й полк уничтожил 31 танк противника, потеряв при этом 14 своих. Оба полка принимали участие в битве за Берлин. Планировалось сформировать еще два таких полка- 6-й и 7-й, но сделать этого не успели - война кончилась..</w:t>
      </w:r>
    </w:p>
    <w:p w14:paraId="471390E9"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50-х годов небольшое количество ИС-2 передали Китаю. Во время войны в Корее, китайские добровольцы применили их против американцев, хотя информации о боевых столкновениях с американскими танками нет. По данным американской разведки, китайские войска в Корее имели четыре отдельных танковых полка, каждый из которых состоял из четырех рот Т-34/85 и одной роты ИС-2 (по 5 танков в каждой)..</w:t>
      </w:r>
    </w:p>
    <w:p w14:paraId="54AB218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Во время войны в Индокитае французские войска столкнулись с ИС-2, которые Китай передал Вьетнаму. Один танк "Пантера", имевшийся у французов, был доставлен во Вьетнам для проведения экспериментов о возможности противодействия танку ИС-2..</w:t>
      </w:r>
    </w:p>
    <w:p w14:paraId="4433441D"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Куба получила два полка ИС-2 в начале 60-х годов. По сообщениям иностранной печати, эти машины все еще находятся в эксплуатации в береговой обороне в качестве огневых точек..</w:t>
      </w:r>
    </w:p>
    <w:p w14:paraId="7DC8EC3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Примерно в это же время ИС-2 поступили и в КНДР. В составе северокорейской армии имелись две танковые дивизии с одним тяжелым танковым полком каждая..</w:t>
      </w:r>
    </w:p>
    <w:p w14:paraId="201AF87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Советской Армии танки ИС-2М состояли на вооружении очень долго, пережив более поздние ИС-3 и ИС-4. Предполагалось, что окончательно их заменят в войсках только Т-10 но и этого в полном объеме не произошло. В 70-е годы, после ухудшения отношений с Китаем, танками ИС-2М и ИС-3 оснащались укрепленные районы, создаваемые вдоль советско-китайской границы в Забайкалье и на Дальнем Востоке. Боевые машины находились в парках и по тревоге должны были выдвигаться к границе и занимать специально подготовленные для них капониры..</w:t>
      </w:r>
    </w:p>
    <w:p w14:paraId="45BA91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Одесском военном округе последние известные учения с участием ИС-2М состоялись в 1982 году. Официальный же приказ министра обороны о снятии ИС-2М с вооружения Российской армии был отдан только в 1995 году! Вряд ли неудачная машина сумела бы "продержаться" на вооружении столько времени. (3862).</w:t>
      </w:r>
    </w:p>
    <w:p w14:paraId="21752B4B" w14:textId="77777777" w:rsidR="00665165" w:rsidRPr="00F90EAE" w:rsidRDefault="00665165" w:rsidP="00F90EAE">
      <w:pPr>
        <w:autoSpaceDE w:val="0"/>
        <w:autoSpaceDN w:val="0"/>
        <w:adjustRightInd w:val="0"/>
        <w:jc w:val="both"/>
        <w:rPr>
          <w:color w:val="000000" w:themeColor="text1"/>
          <w:sz w:val="16"/>
          <w:szCs w:val="16"/>
        </w:rPr>
      </w:pPr>
    </w:p>
    <w:p w14:paraId="270AA1DB"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весне 1945 г. М.Н.Щукин, выполнявший уже обязан</w:t>
      </w:r>
      <w:r w:rsidRPr="00F90EAE">
        <w:rPr>
          <w:color w:val="000000" w:themeColor="text1"/>
          <w:sz w:val="16"/>
          <w:szCs w:val="16"/>
        </w:rPr>
        <w:softHyphen/>
        <w:t>ности главного конструктора завода № 75 в Харькове, пред</w:t>
      </w:r>
      <w:r w:rsidRPr="00F90EAE">
        <w:rPr>
          <w:color w:val="000000" w:themeColor="text1"/>
          <w:sz w:val="16"/>
          <w:szCs w:val="16"/>
        </w:rPr>
        <w:softHyphen/>
        <w:t>лагал провести проектирование на базе общих конструкци</w:t>
      </w:r>
      <w:r w:rsidRPr="00F90EAE">
        <w:rPr>
          <w:color w:val="000000" w:themeColor="text1"/>
          <w:sz w:val="16"/>
          <w:szCs w:val="16"/>
        </w:rPr>
        <w:softHyphen/>
        <w:t>онных решений ОСА-76 легкого многоцелевого брониро</w:t>
      </w:r>
      <w:r w:rsidRPr="00F90EAE">
        <w:rPr>
          <w:color w:val="000000" w:themeColor="text1"/>
          <w:sz w:val="16"/>
          <w:szCs w:val="16"/>
        </w:rPr>
        <w:softHyphen/>
        <w:t>ванного транспортера пехоты и оружия по типу ленд-лизо-вского «универсала», а также легкой авиадесантной само</w:t>
      </w:r>
      <w:r w:rsidRPr="00F90EAE">
        <w:rPr>
          <w:color w:val="000000" w:themeColor="text1"/>
          <w:sz w:val="16"/>
          <w:szCs w:val="16"/>
        </w:rPr>
        <w:softHyphen/>
        <w:t>ходной установки, названной АСУ-76, с освоением их выпуска в Харькове. Но ввиду отказа от моторизации общевой</w:t>
      </w:r>
      <w:r w:rsidRPr="00F90EAE">
        <w:rPr>
          <w:color w:val="000000" w:themeColor="text1"/>
          <w:sz w:val="16"/>
          <w:szCs w:val="16"/>
        </w:rPr>
        <w:softHyphen/>
        <w:t>сковой артиллерии серийное производство ОСА-76 (танки</w:t>
      </w:r>
      <w:r w:rsidRPr="00F90EAE">
        <w:rPr>
          <w:color w:val="000000" w:themeColor="text1"/>
          <w:sz w:val="16"/>
          <w:szCs w:val="16"/>
        </w:rPr>
        <w:softHyphen/>
        <w:t>сты назвали ее на свой лад — ОСУ-76) развернуто не было (11417).</w:t>
      </w:r>
    </w:p>
    <w:p w14:paraId="5DF01E95" w14:textId="77777777" w:rsidR="00665165" w:rsidRPr="00F90EAE" w:rsidRDefault="00665165" w:rsidP="00F90EAE">
      <w:pPr>
        <w:autoSpaceDE w:val="0"/>
        <w:autoSpaceDN w:val="0"/>
        <w:adjustRightInd w:val="0"/>
        <w:jc w:val="both"/>
        <w:rPr>
          <w:color w:val="000000" w:themeColor="text1"/>
          <w:sz w:val="16"/>
          <w:szCs w:val="16"/>
        </w:rPr>
      </w:pPr>
    </w:p>
    <w:p w14:paraId="5FD213AB" w14:textId="77777777" w:rsidR="001E4635" w:rsidRPr="00F90EAE" w:rsidRDefault="001E4635" w:rsidP="00F90EAE">
      <w:pPr>
        <w:pStyle w:val="165"/>
        <w:shd w:val="clear" w:color="auto" w:fill="auto"/>
        <w:spacing w:before="0" w:line="240" w:lineRule="auto"/>
        <w:ind w:firstLine="0"/>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Весной 1945 г. на БТРЗ-135 изготовили стенды для испытания моторов «Харлей-Давидсон» и «Индиан» под наг</w:t>
      </w:r>
      <w:r w:rsidRPr="00F90EAE">
        <w:rPr>
          <w:rFonts w:ascii="Times New Roman" w:hAnsi="Times New Roman" w:cs="Times New Roman"/>
          <w:color w:val="000000" w:themeColor="text1"/>
          <w:sz w:val="16"/>
          <w:szCs w:val="16"/>
        </w:rPr>
        <w:softHyphen/>
        <w:t>рузкой. Отремонтированные мотоциклы стали хранить в крытых поме</w:t>
      </w:r>
      <w:r w:rsidRPr="00F90EAE">
        <w:rPr>
          <w:rFonts w:ascii="Times New Roman" w:hAnsi="Times New Roman" w:cs="Times New Roman"/>
          <w:color w:val="000000" w:themeColor="text1"/>
          <w:sz w:val="16"/>
          <w:szCs w:val="16"/>
        </w:rPr>
        <w:softHyphen/>
        <w:t>щениях на подставках. Благодаря грамотному обслуживанию и квалифицированному ре</w:t>
      </w:r>
      <w:r w:rsidRPr="00F90EAE">
        <w:rPr>
          <w:rFonts w:ascii="Times New Roman" w:hAnsi="Times New Roman" w:cs="Times New Roman"/>
          <w:color w:val="000000" w:themeColor="text1"/>
          <w:sz w:val="16"/>
          <w:szCs w:val="16"/>
        </w:rPr>
        <w:softHyphen/>
        <w:t>монту многие полученные от союзников мотоциклы продолжали воен</w:t>
      </w:r>
      <w:r w:rsidRPr="00F90EAE">
        <w:rPr>
          <w:rFonts w:ascii="Times New Roman" w:hAnsi="Times New Roman" w:cs="Times New Roman"/>
          <w:color w:val="000000" w:themeColor="text1"/>
          <w:sz w:val="16"/>
          <w:szCs w:val="16"/>
        </w:rPr>
        <w:softHyphen/>
        <w:t>ную службу до 1950-х гг., пока не были окончательно вытеснены отече</w:t>
      </w:r>
      <w:r w:rsidRPr="00F90EAE">
        <w:rPr>
          <w:rFonts w:ascii="Times New Roman" w:hAnsi="Times New Roman" w:cs="Times New Roman"/>
          <w:color w:val="000000" w:themeColor="text1"/>
          <w:sz w:val="16"/>
          <w:szCs w:val="16"/>
        </w:rPr>
        <w:softHyphen/>
        <w:t>ственной техникой24 ноября 1918 Габер-Влынский сдал вместо Россинского очередной «Фарман». (В полетном листе за 27 ноября фа</w:t>
      </w:r>
      <w:r w:rsidRPr="00F90EAE">
        <w:rPr>
          <w:rFonts w:ascii="Times New Roman" w:hAnsi="Times New Roman" w:cs="Times New Roman"/>
          <w:color w:val="000000" w:themeColor="text1"/>
          <w:sz w:val="16"/>
          <w:szCs w:val="16"/>
        </w:rPr>
        <w:softHyphen/>
        <w:t>милия Габера зачеркнута, поверх вписан Россинский.) (15781).</w:t>
      </w:r>
    </w:p>
    <w:p w14:paraId="19496349" w14:textId="77777777" w:rsidR="001E4635" w:rsidRPr="00F90EAE" w:rsidRDefault="001E4635" w:rsidP="00F90EAE">
      <w:pPr>
        <w:pStyle w:val="165"/>
        <w:shd w:val="clear" w:color="auto" w:fill="auto"/>
        <w:spacing w:before="0" w:line="240" w:lineRule="auto"/>
        <w:ind w:firstLine="0"/>
        <w:rPr>
          <w:rFonts w:ascii="Times New Roman" w:hAnsi="Times New Roman" w:cs="Times New Roman"/>
          <w:color w:val="000000" w:themeColor="text1"/>
          <w:sz w:val="16"/>
          <w:szCs w:val="16"/>
        </w:rPr>
      </w:pPr>
    </w:p>
    <w:p w14:paraId="2F72AB08" w14:textId="77777777" w:rsidR="001E4635" w:rsidRPr="00F90EAE" w:rsidRDefault="001E4635" w:rsidP="00F90EAE">
      <w:pPr>
        <w:pStyle w:val="book"/>
        <w:ind w:firstLine="0"/>
        <w:jc w:val="both"/>
        <w:rPr>
          <w:color w:val="000000" w:themeColor="text1"/>
          <w:sz w:val="16"/>
          <w:szCs w:val="16"/>
        </w:rPr>
      </w:pPr>
      <w:r w:rsidRPr="00F90EAE">
        <w:rPr>
          <w:color w:val="000000" w:themeColor="text1"/>
          <w:sz w:val="16"/>
          <w:szCs w:val="16"/>
        </w:rPr>
        <w:t>Весной 1945 г. Наркомат ВМФ СССР в Германию направилась большая делегация инженеров и военных под руководством адмирала Л.А. Коршунова</w:t>
      </w:r>
      <w:bookmarkStart w:id="15" w:name="r3"/>
      <w:bookmarkEnd w:id="15"/>
      <w:r w:rsidRPr="00F90EAE">
        <w:rPr>
          <w:color w:val="000000" w:themeColor="text1"/>
          <w:sz w:val="16"/>
          <w:szCs w:val="16"/>
        </w:rPr>
        <w:t>.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 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 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(15225).</w:t>
      </w:r>
    </w:p>
    <w:p w14:paraId="5D181EA2" w14:textId="77777777" w:rsidR="001E4635" w:rsidRPr="00F90EAE" w:rsidRDefault="001E4635" w:rsidP="00F90EAE">
      <w:pPr>
        <w:pStyle w:val="book"/>
        <w:ind w:firstLine="0"/>
        <w:jc w:val="both"/>
        <w:rPr>
          <w:color w:val="000000" w:themeColor="text1"/>
          <w:sz w:val="16"/>
          <w:szCs w:val="16"/>
        </w:rPr>
      </w:pPr>
    </w:p>
    <w:p w14:paraId="015C06B2"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Весной 1945 г. Наркомат ВМФ СССР направил в Германию большую делегацию инженеров и военных под руководством адмирала Л.А. Коршунова. Его группа прежде всего захватила архивы Высшего военно-морского командования Германии, а затем стала привлекать отдельных немецких специалистов, обеспечивая им за хорошую работу приличный оклад и продовольственный паек.</w:t>
      </w:r>
    </w:p>
    <w:p w14:paraId="427985F9"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Группе удалось раздобыть чертежи всех наиболее современных кораблей бывшего германского флота и многие документы, характеризующие взгляды и перспективы развития военно-морской техники. А на первых порах группа Коршунова очень помогла в организации работ и привлечении немецких специалистов в Техническое бюро Министерства судостроительной промышленности.</w:t>
      </w:r>
    </w:p>
    <w:p w14:paraId="4B157AD9"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Руководство этого Технического бюро постоянно менялось. Первоначально им руководил К.В. Грудницкий, через два месяца его сменил В.Ф. Критский, а еще через два месяца — С.А. Базилевский. Техбюро поначалу испытывало трудности со снабжением и финансированием в связи с тем, что оно было подчинено только начальнику Управления кораблестроения ВМФ Н.В. Исаченкову, находившемуся в Москве. Но в декабре 1945 г. при советской военной администрации в Германии был организован ученый совет, на который возлагались функции согласования и финансирования работ всех разрозненных групп инженеров разных специальностей, командированных в Германию разными министерствами.</w:t>
      </w:r>
    </w:p>
    <w:p w14:paraId="1216B086"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К середине 1946 г. в составе Техбюро имелось четыре отдела: минно-торпедный, кораблестроительный, приборостроительный и технологический. Всего в бюро работало свыше полутора тысяч немецких ученых, инженеров и рабочих. За ними приглядывали 60 советских инженеров. Бюро имело филиалы в ряде германских городов: Росслау, Дессау, Цвикау, Магдебурге, Бланбурге и Варнемюнде.</w:t>
      </w:r>
    </w:p>
    <w:p w14:paraId="0B7EC86B"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Основным видом деятельности Техбюро были отчеты и доклады немецких специалистов по различным вопросам науки и техники судостроения. Некоторые отчеты сопровождались опытными работами, макетами и образцами. Каждый отчет или доклад Техбюро перед отправкой в Москву переводился на русский язык, тщательно изучался и корректировался нашими инженерами.</w:t>
      </w:r>
    </w:p>
    <w:p w14:paraId="19DB6C24"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Но Техбюро занималось и практическими делами. Так, на верфи в Росслау строили торпедные и десантные катера на подводных крыльях (о них я рассказывал выше).</w:t>
      </w:r>
    </w:p>
    <w:p w14:paraId="11D06E8F"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В торпедном отделе и его филиалах изучались новейшие приборы самонаведения, программного и дистанционного управления. В мастерских приборостроительного отдела была изготовлена большая партия электронных осциллографов новой конструкции, и из СССР приходили на них все новые и новые заказы. Здесь разрабатывались модели механических счетно-решающих приборов, бывших в то время еще новинкой, гироскопических приборов и автоматов для управления корабельной, береговой и зенитной артиллерией. В технологическом отделе восстанавливалась технология секционных методов строительства подводных лодок и надводных кораблей.</w:t>
      </w:r>
    </w:p>
    <w:p w14:paraId="042E1063" w14:textId="77777777" w:rsidR="00996484" w:rsidRPr="00F90EAE" w:rsidRDefault="00996484" w:rsidP="00F90EAE">
      <w:pPr>
        <w:pStyle w:val="p1"/>
        <w:spacing w:before="0" w:beforeAutospacing="0" w:after="0" w:afterAutospacing="0"/>
        <w:jc w:val="both"/>
        <w:rPr>
          <w:color w:val="000000" w:themeColor="text1"/>
          <w:sz w:val="16"/>
          <w:szCs w:val="16"/>
        </w:rPr>
      </w:pPr>
      <w:r w:rsidRPr="00F90EAE">
        <w:rPr>
          <w:color w:val="000000" w:themeColor="text1"/>
          <w:sz w:val="16"/>
          <w:szCs w:val="16"/>
        </w:rPr>
        <w:t>Сотрудник Техбюро при разборке архивов Верховного командования ВМФ Германии нашел схему теплового двигателя, работавшего на жидком кислороде. Из опросов специалистов выяснилось, что по такой схеме инженером Пеффлером была смонтирована стендовая установка, прошедшая в конце войны серию испытаний. Позже эта схема пригодилась при проектировании аналогичных опытных установок для советских подводных лодок (19682).</w:t>
      </w:r>
    </w:p>
    <w:p w14:paraId="76374E6C" w14:textId="77777777" w:rsidR="00996484" w:rsidRPr="00F90EAE" w:rsidRDefault="00996484" w:rsidP="00F90EAE">
      <w:pPr>
        <w:jc w:val="both"/>
        <w:rPr>
          <w:color w:val="000000" w:themeColor="text1"/>
          <w:sz w:val="16"/>
          <w:szCs w:val="16"/>
        </w:rPr>
      </w:pPr>
    </w:p>
    <w:p w14:paraId="42C888BC"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23265BF" w14:textId="77777777" w:rsidR="00665165" w:rsidRPr="00F90EAE" w:rsidRDefault="00665165" w:rsidP="00F90EAE">
      <w:pPr>
        <w:autoSpaceDE w:val="0"/>
        <w:autoSpaceDN w:val="0"/>
        <w:adjustRightInd w:val="0"/>
        <w:jc w:val="both"/>
        <w:rPr>
          <w:iCs/>
          <w:color w:val="000000" w:themeColor="text1"/>
          <w:sz w:val="16"/>
          <w:szCs w:val="16"/>
        </w:rPr>
      </w:pPr>
    </w:p>
    <w:p w14:paraId="027614E0" w14:textId="77777777" w:rsidR="00996484" w:rsidRPr="00F90EAE" w:rsidRDefault="00996484" w:rsidP="00F90EAE">
      <w:pPr>
        <w:pStyle w:val="ae"/>
        <w:spacing w:before="0" w:after="0"/>
        <w:jc w:val="both"/>
        <w:textAlignment w:val="baseline"/>
        <w:rPr>
          <w:color w:val="000000" w:themeColor="text1"/>
          <w:sz w:val="16"/>
          <w:szCs w:val="16"/>
        </w:rPr>
      </w:pPr>
      <w:r w:rsidRPr="00F90EAE">
        <w:rPr>
          <w:color w:val="000000" w:themeColor="text1"/>
          <w:sz w:val="16"/>
          <w:szCs w:val="16"/>
        </w:rPr>
        <w:t>Весной 1945 г. 108-й гв. шап прибыл на фронт, имея в своем составе 43 Ил-10 (19522).</w:t>
      </w:r>
    </w:p>
    <w:p w14:paraId="070B899B" w14:textId="77777777" w:rsidR="00996484" w:rsidRPr="00F90EAE" w:rsidRDefault="00996484" w:rsidP="00F90EAE">
      <w:pPr>
        <w:pStyle w:val="ae"/>
        <w:spacing w:before="0" w:after="0"/>
        <w:jc w:val="both"/>
        <w:textAlignment w:val="baseline"/>
        <w:rPr>
          <w:color w:val="000000" w:themeColor="text1"/>
          <w:sz w:val="16"/>
          <w:szCs w:val="16"/>
        </w:rPr>
      </w:pPr>
    </w:p>
    <w:p w14:paraId="60AAA39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советские л начали встречать в бою Ме-262. Л.Сивков в 16ВА и во 2ВА были сбиты Ме-262, атаковавшие Ил-2 (3552,21).</w:t>
      </w:r>
    </w:p>
    <w:p w14:paraId="0D522BF1" w14:textId="77777777" w:rsidR="00665165" w:rsidRPr="00F90EAE" w:rsidRDefault="00665165" w:rsidP="00F90EAE">
      <w:pPr>
        <w:autoSpaceDE w:val="0"/>
        <w:autoSpaceDN w:val="0"/>
        <w:adjustRightInd w:val="0"/>
        <w:jc w:val="both"/>
        <w:rPr>
          <w:color w:val="000000" w:themeColor="text1"/>
          <w:sz w:val="16"/>
          <w:szCs w:val="16"/>
        </w:rPr>
      </w:pPr>
    </w:p>
    <w:p w14:paraId="246C762C"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весны 1945 года Р-63 начали поступать в строевые части ПВО. Это не удивительно: на высотах более 7500 м "Королевская кобра" обгоняла и "Спитфайр" IX, и наш Ла-7. У нее был хороший потолок. Стандартным оборудованием всех Р-63 являлся радиополукомпас MN-26Y, что существенно облегчало навигацию ночью и в облаках (3457,78).</w:t>
      </w:r>
    </w:p>
    <w:p w14:paraId="6FFE439C" w14:textId="77777777" w:rsidR="00665165" w:rsidRPr="00F90EAE" w:rsidRDefault="00665165" w:rsidP="00F90EAE">
      <w:pPr>
        <w:autoSpaceDE w:val="0"/>
        <w:autoSpaceDN w:val="0"/>
        <w:adjustRightInd w:val="0"/>
        <w:jc w:val="both"/>
        <w:rPr>
          <w:color w:val="000000" w:themeColor="text1"/>
          <w:sz w:val="16"/>
          <w:szCs w:val="16"/>
        </w:rPr>
      </w:pPr>
    </w:p>
    <w:p w14:paraId="08749868" w14:textId="77777777" w:rsidR="00823A00" w:rsidRPr="00F90EAE" w:rsidRDefault="00823A00" w:rsidP="00F90EAE">
      <w:pPr>
        <w:jc w:val="both"/>
        <w:rPr>
          <w:color w:val="000000" w:themeColor="text1"/>
          <w:sz w:val="16"/>
          <w:szCs w:val="16"/>
        </w:rPr>
      </w:pPr>
      <w:r w:rsidRPr="00F90EAE">
        <w:rPr>
          <w:color w:val="000000" w:themeColor="text1"/>
          <w:sz w:val="16"/>
          <w:szCs w:val="16"/>
        </w:rPr>
        <w:t>С весны 1945 г. Р-63 начали поступать в строевые части истребительной авиации ПВО. Это не удивительно: на высотах более 7500 м «Кингкобра» обгоняла и английский «Спитфайр» IX, и советский Ла-7. У неё был хороший потолок. На некоторых Р-63 имелся радиополукомпас М1Ч-26У, что существенно облегчало навигацию ночью и в облаках. В начале того же года поступил даже один экземпляр Р-63А-10, оснащённый РЛС. Правда, радар был не поисковый, а предназначенный для предупреждения об атаке сзади. На 1 мая в полках ПВО уже числился 51 Р-63.</w:t>
      </w:r>
    </w:p>
    <w:p w14:paraId="7C07946F" w14:textId="77777777" w:rsidR="00823A00" w:rsidRPr="00F90EAE" w:rsidRDefault="00823A00" w:rsidP="00F90EAE">
      <w:pPr>
        <w:jc w:val="both"/>
        <w:rPr>
          <w:color w:val="000000" w:themeColor="text1"/>
          <w:sz w:val="16"/>
          <w:szCs w:val="16"/>
        </w:rPr>
      </w:pPr>
      <w:r w:rsidRPr="00F90EAE">
        <w:rPr>
          <w:color w:val="000000" w:themeColor="text1"/>
          <w:sz w:val="16"/>
          <w:szCs w:val="16"/>
        </w:rPr>
        <w:lastRenderedPageBreak/>
        <w:t>В первую очередь «кингкобрами» пополняли части, ранее вооружённые Р-39. Первым Р-63 получил 28-й иап под Москвой. К августу по десятку машин прибыли в 17-й и 821-й иап ПВО. Осенью несколько машин попали в 39-й иап на аэродроме Малино (тоже в Подмосковье) (12265).</w:t>
      </w:r>
    </w:p>
    <w:p w14:paraId="49D6718A" w14:textId="77777777" w:rsidR="00823A00" w:rsidRPr="00F90EAE" w:rsidRDefault="00823A00" w:rsidP="00F90EAE">
      <w:pPr>
        <w:jc w:val="both"/>
        <w:rPr>
          <w:color w:val="000000" w:themeColor="text1"/>
          <w:sz w:val="16"/>
          <w:szCs w:val="16"/>
        </w:rPr>
      </w:pPr>
    </w:p>
    <w:p w14:paraId="42CEA7D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 весны 1945 года в ВВС начался процесс замены Boston A-20G на отечественные Ту-2, превосходившие их по дальности, потолку и бомбовой нагрузке. Часть машин вернули американцам или уничтожили под их контролем в 1946-1947 годах. Но далеко не все. "Бостоны" еще довольно долго служили в морской авиации. На Северном флоте и на Балтике А-20С встречались еще в 50-х годах, 9-й гвардейский минно-торпедный полк, уже летал на реактивных Ту-14, до 1954 года сохранял законсервированный комплект "Бостонов". Немало самолетов переделали в буксировщики мишеней для воздушной стрельбы и тренировки зенитчиков. Кое-где "Бостоны" до 1948-1950 годов использовали для вспомогательных целей - аэрофотосъемки, связи и т.н. Например, А-20С-31-1)0, оснащенные нашей фотоаппаратурой и без вооружения, в 1946-1949 годах летали в Прибалтике в 5-й отдельной аэрофотосъемочной эскадрилье. Несколько подобным образом оборудованных самолетов попало и в гражданскую авиацию. A-20G с пассажирским салоном, сделанным на месте кабины радиста, эксплуатировался в ЦАГИ. Всею американские заводы изготовили 7385 самолетов разных модификации. 3128 из них отправили в Советский Союз (3066-из США и 57-из Англии: дошло до места в общей сложности 2771) (3457,111).</w:t>
      </w:r>
    </w:p>
    <w:p w14:paraId="0D0A458B" w14:textId="77777777" w:rsidR="00665165" w:rsidRPr="00F90EAE" w:rsidRDefault="00665165" w:rsidP="00F90EAE">
      <w:pPr>
        <w:autoSpaceDE w:val="0"/>
        <w:autoSpaceDN w:val="0"/>
        <w:adjustRightInd w:val="0"/>
        <w:jc w:val="both"/>
        <w:rPr>
          <w:color w:val="000000" w:themeColor="text1"/>
          <w:sz w:val="16"/>
          <w:szCs w:val="16"/>
        </w:rPr>
      </w:pPr>
    </w:p>
    <w:p w14:paraId="5E1A95D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на территории СССР на Дальнем Востоке совершили вынужденные посадки несколько Б-29 (88,188).</w:t>
      </w:r>
    </w:p>
    <w:p w14:paraId="3CF29F90" w14:textId="77777777" w:rsidR="00665165" w:rsidRPr="00F90EAE" w:rsidRDefault="00665165" w:rsidP="00F90EAE">
      <w:pPr>
        <w:autoSpaceDE w:val="0"/>
        <w:autoSpaceDN w:val="0"/>
        <w:adjustRightInd w:val="0"/>
        <w:jc w:val="both"/>
        <w:rPr>
          <w:color w:val="000000" w:themeColor="text1"/>
          <w:sz w:val="16"/>
          <w:szCs w:val="16"/>
        </w:rPr>
      </w:pPr>
    </w:p>
    <w:p w14:paraId="42E01DF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планерист А.И.Пьецух, который потом построил дом из бутылок, попавший в стройбат за мертвую петлю на Ил-4 и воевавший на По-2, собрал вместе с сослуживцами из нескольких распатроненных машин Ме-410 один летный экз., прилетел на нем в Москву и в июне машина прошла испытания (2961,46).</w:t>
      </w:r>
    </w:p>
    <w:p w14:paraId="2AEA97F3" w14:textId="77777777" w:rsidR="00665165" w:rsidRPr="00F90EAE" w:rsidRDefault="00665165" w:rsidP="00F90EAE">
      <w:pPr>
        <w:autoSpaceDE w:val="0"/>
        <w:autoSpaceDN w:val="0"/>
        <w:adjustRightInd w:val="0"/>
        <w:jc w:val="both"/>
        <w:rPr>
          <w:color w:val="000000" w:themeColor="text1"/>
          <w:sz w:val="16"/>
          <w:szCs w:val="16"/>
        </w:rPr>
      </w:pPr>
    </w:p>
    <w:p w14:paraId="04D40B7D"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 1945 г., возникла проблема взаимного опознавания боевой техники между советскими и англо-американскими войсками, также ведущими боевые действия на территории Германии. Было принято реше</w:t>
      </w:r>
      <w:r w:rsidRPr="00F90EAE">
        <w:rPr>
          <w:color w:val="000000" w:themeColor="text1"/>
          <w:sz w:val="16"/>
          <w:szCs w:val="16"/>
        </w:rPr>
        <w:softHyphen/>
        <w:t>ние для взаимоопознавания на советские танки по периметру башни на</w:t>
      </w:r>
      <w:r w:rsidRPr="00F90EAE">
        <w:rPr>
          <w:color w:val="000000" w:themeColor="text1"/>
          <w:sz w:val="16"/>
          <w:szCs w:val="16"/>
        </w:rPr>
        <w:softHyphen/>
        <w:t>носить одну, а на танки союзников - две белые полосы. На крышах ба</w:t>
      </w:r>
      <w:r w:rsidRPr="00F90EAE">
        <w:rPr>
          <w:color w:val="000000" w:themeColor="text1"/>
          <w:sz w:val="16"/>
          <w:szCs w:val="16"/>
        </w:rPr>
        <w:softHyphen/>
        <w:t>шен также наносились перекрещенные белые полосы. Однако вскоре союзники отказались от этой системы опознавания с воздуха и исполь</w:t>
      </w:r>
      <w:r w:rsidRPr="00F90EAE">
        <w:rPr>
          <w:color w:val="000000" w:themeColor="text1"/>
          <w:sz w:val="16"/>
          <w:szCs w:val="16"/>
        </w:rPr>
        <w:softHyphen/>
        <w:t>зовали для этой цели красно-желтые флюоресцирующие панели с дуб</w:t>
      </w:r>
      <w:r w:rsidRPr="00F90EAE">
        <w:rPr>
          <w:color w:val="000000" w:themeColor="text1"/>
          <w:sz w:val="16"/>
          <w:szCs w:val="16"/>
        </w:rPr>
        <w:softHyphen/>
        <w:t>лированием их белой звездой - американским опознавательным зна</w:t>
      </w:r>
      <w:r w:rsidRPr="00F90EAE">
        <w:rPr>
          <w:color w:val="000000" w:themeColor="text1"/>
          <w:sz w:val="16"/>
          <w:szCs w:val="16"/>
        </w:rPr>
        <w:softHyphen/>
        <w:t>ком, который был принят на Западе в качестве основного для всех войск антигитлеровской коалиции. В советских танковых частях и соединени</w:t>
      </w:r>
      <w:r w:rsidRPr="00F90EAE">
        <w:rPr>
          <w:color w:val="000000" w:themeColor="text1"/>
          <w:sz w:val="16"/>
          <w:szCs w:val="16"/>
        </w:rPr>
        <w:softHyphen/>
        <w:t>ях белые полосы наносились только на боевые машины, участвовавшие в Берлинской операции. В связи с использованием немцами аналогич</w:t>
      </w:r>
      <w:r w:rsidRPr="00F90EAE">
        <w:rPr>
          <w:color w:val="000000" w:themeColor="text1"/>
          <w:sz w:val="16"/>
          <w:szCs w:val="16"/>
        </w:rPr>
        <w:softHyphen/>
        <w:t>ных опознавательных знаков для исключения нанесения авиаударов со</w:t>
      </w:r>
      <w:r w:rsidRPr="00F90EAE">
        <w:rPr>
          <w:color w:val="000000" w:themeColor="text1"/>
          <w:sz w:val="16"/>
          <w:szCs w:val="16"/>
        </w:rPr>
        <w:softHyphen/>
        <w:t>ветской авиации по своим войскам, на советских танках помимо выше</w:t>
      </w:r>
      <w:r w:rsidRPr="00F90EAE">
        <w:rPr>
          <w:color w:val="000000" w:themeColor="text1"/>
          <w:sz w:val="16"/>
          <w:szCs w:val="16"/>
        </w:rPr>
        <w:softHyphen/>
        <w:t>названных белых полос стали дополнительно наносить и белые треу</w:t>
      </w:r>
      <w:r w:rsidRPr="00F90EAE">
        <w:rPr>
          <w:color w:val="000000" w:themeColor="text1"/>
          <w:sz w:val="16"/>
          <w:szCs w:val="16"/>
        </w:rPr>
        <w:softHyphen/>
        <w:t>гольники. Помимо тактических знаков и обозначений в годы Великой Отече</w:t>
      </w:r>
      <w:r w:rsidRPr="00F90EAE">
        <w:rPr>
          <w:color w:val="000000" w:themeColor="text1"/>
          <w:sz w:val="16"/>
          <w:szCs w:val="16"/>
        </w:rPr>
        <w:softHyphen/>
        <w:t>ственной войны на советских бронированных машинах наносились над</w:t>
      </w:r>
      <w:r w:rsidRPr="00F90EAE">
        <w:rPr>
          <w:color w:val="000000" w:themeColor="text1"/>
          <w:sz w:val="16"/>
          <w:szCs w:val="16"/>
        </w:rPr>
        <w:softHyphen/>
        <w:t>писи, содержавшие патриотические лозунги, персональные названия боевых машин, названия танковых колонн, сформированных на средст</w:t>
      </w:r>
      <w:r w:rsidRPr="00F90EAE">
        <w:rPr>
          <w:color w:val="000000" w:themeColor="text1"/>
          <w:sz w:val="16"/>
          <w:szCs w:val="16"/>
        </w:rPr>
        <w:softHyphen/>
        <w:t>ва различных организаций, отдельных боевых машин, купленных на личные сбережения граждан СССР и переданных в действующие части. Например, "Хобаровский комсомолец", "Боевая подруга", "Дмитрий Донской", "Трудовые резервы - фронту", "Воронежский колхозник", "Дзержинец", "Московский пионер", "Школьник Свердловска", "Таня", "Грозный", "Беспощадный", "Владимир Маяковский", "За Советскую Белоруссию", "Орловский партизан", "Суворов", "За Сталина", "За Ро</w:t>
      </w:r>
      <w:r w:rsidRPr="00F90EAE">
        <w:rPr>
          <w:color w:val="000000" w:themeColor="text1"/>
          <w:sz w:val="16"/>
          <w:szCs w:val="16"/>
        </w:rPr>
        <w:softHyphen/>
        <w:t>дину", "Мститель", "Бей фашистов!", "Победа будет за нами". С окончанием Великой Отечественной войны и войны с Японией все названия танковых колонн, личностные названия и лозунги нане</w:t>
      </w:r>
      <w:r w:rsidRPr="00F90EAE">
        <w:rPr>
          <w:color w:val="000000" w:themeColor="text1"/>
          <w:sz w:val="16"/>
          <w:szCs w:val="16"/>
        </w:rPr>
        <w:softHyphen/>
        <w:t>сенные на боевых машинах были закрашены в связи с окраской их в од</w:t>
      </w:r>
      <w:r w:rsidRPr="00F90EAE">
        <w:rPr>
          <w:color w:val="000000" w:themeColor="text1"/>
          <w:sz w:val="16"/>
          <w:szCs w:val="16"/>
        </w:rPr>
        <w:softHyphen/>
        <w:t>нотонный защитный цвет хакки, а обозначение (нумерация) машин бы</w:t>
      </w:r>
      <w:r w:rsidRPr="00F90EAE">
        <w:rPr>
          <w:color w:val="000000" w:themeColor="text1"/>
          <w:sz w:val="16"/>
          <w:szCs w:val="16"/>
        </w:rPr>
        <w:softHyphen/>
        <w:t>ло приведено в соответствие с требованиями Боевого устава бронетан</w:t>
      </w:r>
      <w:r w:rsidRPr="00F90EAE">
        <w:rPr>
          <w:color w:val="000000" w:themeColor="text1"/>
          <w:sz w:val="16"/>
          <w:szCs w:val="16"/>
        </w:rPr>
        <w:softHyphen/>
        <w:t>ковых и механизированных войск Красной Армии 1944 г. (10703).</w:t>
      </w:r>
    </w:p>
    <w:p w14:paraId="55C97574"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2CABC21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5441320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642A5D83"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4852524A"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192BC9B6"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3FE60304"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760E774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240211C5"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7E707087"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3A99F390"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Германские ударные управляемые средства...</w:t>
      </w:r>
    </w:p>
    <w:p w14:paraId="3F21B3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AEA6DF2"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5E88A61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3B59B8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7C07B3AE"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4E85085B"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609E657F"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37A89C31"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5A7CE295" w14:textId="77777777" w:rsidR="00665165" w:rsidRPr="00F90EAE" w:rsidRDefault="00665165" w:rsidP="00F90EAE">
      <w:pPr>
        <w:autoSpaceDE w:val="0"/>
        <w:autoSpaceDN w:val="0"/>
        <w:adjustRightInd w:val="0"/>
        <w:jc w:val="both"/>
        <w:rPr>
          <w:color w:val="000000" w:themeColor="text1"/>
          <w:sz w:val="16"/>
          <w:szCs w:val="16"/>
        </w:rPr>
      </w:pPr>
    </w:p>
    <w:p w14:paraId="040D65B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г. 5 СБ числилось в Энгельской Высшей авиашколе пилотов (ВАШП) Приволжского военного круга. В середине лета именно эта пятерка перелетела в Москву для проведения большого авиационного парада, назначенного на 19 августа 1945 г. Парад этот не состоялся по причине сильных дождей и низкой облачности, не превышающей 200 метров (12027).</w:t>
      </w:r>
    </w:p>
    <w:p w14:paraId="1103F36D" w14:textId="77777777" w:rsidR="00665165" w:rsidRPr="00F90EAE" w:rsidRDefault="00665165" w:rsidP="00F90EAE">
      <w:pPr>
        <w:autoSpaceDE w:val="0"/>
        <w:autoSpaceDN w:val="0"/>
        <w:adjustRightInd w:val="0"/>
        <w:jc w:val="both"/>
        <w:rPr>
          <w:color w:val="000000" w:themeColor="text1"/>
          <w:sz w:val="16"/>
          <w:szCs w:val="16"/>
        </w:rPr>
      </w:pPr>
    </w:p>
    <w:p w14:paraId="5F9E5D2F"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969C3F1" w14:textId="77777777" w:rsidR="00665165" w:rsidRPr="00F90EAE" w:rsidRDefault="00665165" w:rsidP="00F90EAE">
      <w:pPr>
        <w:autoSpaceDE w:val="0"/>
        <w:autoSpaceDN w:val="0"/>
        <w:adjustRightInd w:val="0"/>
        <w:jc w:val="both"/>
        <w:rPr>
          <w:iCs/>
          <w:color w:val="000000" w:themeColor="text1"/>
          <w:sz w:val="16"/>
          <w:szCs w:val="16"/>
        </w:rPr>
      </w:pPr>
    </w:p>
    <w:p w14:paraId="0C332FC1" w14:textId="77777777" w:rsidR="00A92FC9" w:rsidRPr="00F90EAE" w:rsidRDefault="00A92FC9" w:rsidP="00F90EAE">
      <w:pPr>
        <w:jc w:val="both"/>
        <w:rPr>
          <w:color w:val="0070C0"/>
          <w:sz w:val="16"/>
          <w:szCs w:val="16"/>
        </w:rPr>
      </w:pPr>
      <w:r w:rsidRPr="00F90EAE">
        <w:rPr>
          <w:color w:val="0070C0"/>
          <w:sz w:val="16"/>
          <w:szCs w:val="16"/>
        </w:rPr>
        <w:t>Весной 1945 года состоялись последние удары крылатых ракет по Лондону. На этот раз Fi-103 запускали с борта бомбардировщиков He-111. Авиационный вариант крылатой ракеты отличался большей дальностью полета, достигнутой за счет уменьшения боеголовки и увеличения емкости топливного бака. При сбросе с бомбардировщика ракета могла преодолеть 400 км. Было запущено 275 ракет. Почти все ракеты удалось сбить (22878).</w:t>
      </w:r>
    </w:p>
    <w:p w14:paraId="22BBB4B0" w14:textId="77777777" w:rsidR="00A92FC9" w:rsidRPr="00F90EAE" w:rsidRDefault="00A92FC9" w:rsidP="00F90EAE">
      <w:pPr>
        <w:jc w:val="both"/>
        <w:rPr>
          <w:color w:val="0070C0"/>
          <w:sz w:val="16"/>
          <w:szCs w:val="16"/>
        </w:rPr>
      </w:pPr>
    </w:p>
    <w:p w14:paraId="498ED5A8" w14:textId="77777777" w:rsidR="00665165" w:rsidRPr="00F90EAE" w:rsidRDefault="00665165" w:rsidP="00F90EAE">
      <w:pPr>
        <w:autoSpaceDE w:val="0"/>
        <w:autoSpaceDN w:val="0"/>
        <w:adjustRightInd w:val="0"/>
        <w:jc w:val="both"/>
        <w:rPr>
          <w:color w:val="000000" w:themeColor="text1"/>
          <w:sz w:val="16"/>
          <w:szCs w:val="16"/>
        </w:rPr>
      </w:pPr>
      <w:r w:rsidRPr="00F90EAE">
        <w:rPr>
          <w:color w:val="000000" w:themeColor="text1"/>
          <w:sz w:val="16"/>
          <w:szCs w:val="16"/>
        </w:rPr>
        <w:t>Весной 1945 был изготовлен форсированный двигатель Юмо-004Ф и он потом дорабатывался с нашим участием в Дессау. Этот же двигатель попал и к американцам (1795,75).</w:t>
      </w:r>
    </w:p>
    <w:p w14:paraId="07A77776" w14:textId="77777777" w:rsidR="00665165" w:rsidRPr="00F90EAE" w:rsidRDefault="00665165" w:rsidP="00F90EAE">
      <w:pPr>
        <w:autoSpaceDE w:val="0"/>
        <w:autoSpaceDN w:val="0"/>
        <w:adjustRightInd w:val="0"/>
        <w:jc w:val="both"/>
        <w:rPr>
          <w:color w:val="000000" w:themeColor="text1"/>
          <w:sz w:val="16"/>
          <w:szCs w:val="16"/>
        </w:rPr>
      </w:pPr>
    </w:p>
    <w:p w14:paraId="3E9E8CC9" w14:textId="77777777" w:rsidR="0066516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38BC738" w14:textId="77777777" w:rsidR="00665165" w:rsidRPr="00F90EAE" w:rsidRDefault="00665165" w:rsidP="00F90EAE">
      <w:pPr>
        <w:autoSpaceDE w:val="0"/>
        <w:autoSpaceDN w:val="0"/>
        <w:adjustRightInd w:val="0"/>
        <w:jc w:val="both"/>
        <w:rPr>
          <w:iCs/>
          <w:color w:val="000000" w:themeColor="text1"/>
          <w:sz w:val="16"/>
          <w:szCs w:val="16"/>
        </w:rPr>
      </w:pPr>
    </w:p>
    <w:p w14:paraId="0466A523"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Весной-ле</w:t>
      </w:r>
      <w:r w:rsidRPr="00F90EAE">
        <w:rPr>
          <w:color w:val="000000" w:themeColor="text1"/>
          <w:sz w:val="16"/>
          <w:szCs w:val="16"/>
        </w:rPr>
        <w:softHyphen/>
        <w:t>том 1945 г. в КБ завода № 183 были проведены опытные работы по усилению огневой мощи танка Т-44. Они были вызваны уже проведенными испытаниями танка «ездя</w:t>
      </w:r>
      <w:r w:rsidRPr="00F90EAE">
        <w:rPr>
          <w:color w:val="000000" w:themeColor="text1"/>
          <w:sz w:val="16"/>
          <w:szCs w:val="16"/>
        </w:rPr>
        <w:softHyphen/>
        <w:t>щей лаборатории» - Т-34-100, вооруженного пушками Д-10, ЗИС-100 и ЛБ-1. Первый опытный Т-44- 100 полу</w:t>
      </w:r>
      <w:r w:rsidRPr="00F90EAE">
        <w:rPr>
          <w:color w:val="000000" w:themeColor="text1"/>
          <w:sz w:val="16"/>
          <w:szCs w:val="16"/>
        </w:rPr>
        <w:softHyphen/>
        <w:t>чил орудие Д-10Т КБ Ф. Петрова. Несмотря на отрица</w:t>
      </w:r>
      <w:r w:rsidRPr="00F90EAE">
        <w:rPr>
          <w:color w:val="000000" w:themeColor="text1"/>
          <w:sz w:val="16"/>
          <w:szCs w:val="16"/>
        </w:rPr>
        <w:softHyphen/>
        <w:t>тельный результат подобного действа с Т-34, Т-44, по мнению военных, мог рассчитывать на успех, так как танк имел более низкую линию огня. Но испытания Т-44- 100 с орудием Д-10 также закончилось неудачно. Танк, подобно Т-34-100, раскачивался при выстрелах, сбивая наводку; после интенсивных стрельб башенный погон получил не</w:t>
      </w:r>
      <w:r w:rsidRPr="00F90EAE">
        <w:rPr>
          <w:color w:val="000000" w:themeColor="text1"/>
          <w:sz w:val="16"/>
          <w:szCs w:val="16"/>
        </w:rPr>
        <w:softHyphen/>
        <w:t>большой люфт, не удавалось нормально уравновесить орудие в цапфах. Несколько позднее на испытания вышел Т-44- 100, вооруженный орудием ЛБ-1 с зенитной пуле</w:t>
      </w:r>
      <w:r w:rsidRPr="00F90EAE">
        <w:rPr>
          <w:color w:val="000000" w:themeColor="text1"/>
          <w:sz w:val="16"/>
          <w:szCs w:val="16"/>
        </w:rPr>
        <w:softHyphen/>
        <w:t>метной турелью для ДШКТ и навесными бортовыми про тивокумулятивными экранами по типу установленных на немецких танках РгКргIII и РгКргIV. Испытания тан</w:t>
      </w:r>
      <w:r w:rsidRPr="00F90EAE">
        <w:rPr>
          <w:color w:val="000000" w:themeColor="text1"/>
          <w:sz w:val="16"/>
          <w:szCs w:val="16"/>
        </w:rPr>
        <w:softHyphen/>
        <w:t>ка закончились в целом успешно, но впечатление о нем портило наличие на стволе орудия дульного тормоза.</w:t>
      </w:r>
    </w:p>
    <w:p w14:paraId="70D9D181" w14:textId="77777777" w:rsidR="00665165" w:rsidRPr="00F90EAE" w:rsidRDefault="00665165"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Таким образом, чуда не произошло, и ни один из тан</w:t>
      </w:r>
      <w:r w:rsidRPr="00F90EAE">
        <w:rPr>
          <w:color w:val="000000" w:themeColor="text1"/>
          <w:sz w:val="16"/>
          <w:szCs w:val="16"/>
        </w:rPr>
        <w:softHyphen/>
        <w:t>ков типа Т-34-100 и Т-44-100 допущен до государственных испытаний не был... Но результаты испытаний башни Т-44В на шасси Т-34 очень пригодились при рождении следу</w:t>
      </w:r>
      <w:r w:rsidRPr="00F90EAE">
        <w:rPr>
          <w:color w:val="000000" w:themeColor="text1"/>
          <w:sz w:val="16"/>
          <w:szCs w:val="16"/>
        </w:rPr>
        <w:softHyphen/>
        <w:t>ющей машины (11135).</w:t>
      </w:r>
    </w:p>
    <w:p w14:paraId="6F473EFE" w14:textId="77777777" w:rsidR="00665165" w:rsidRPr="00F90EAE" w:rsidRDefault="00665165" w:rsidP="00F90EAE">
      <w:pPr>
        <w:shd w:val="clear" w:color="auto" w:fill="FFFFFF"/>
        <w:autoSpaceDE w:val="0"/>
        <w:autoSpaceDN w:val="0"/>
        <w:adjustRightInd w:val="0"/>
        <w:jc w:val="both"/>
        <w:rPr>
          <w:color w:val="000000" w:themeColor="text1"/>
          <w:sz w:val="16"/>
          <w:szCs w:val="16"/>
        </w:rPr>
      </w:pPr>
    </w:p>
    <w:p w14:paraId="1B487D4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6FBC385" w14:textId="77777777" w:rsidR="006103B3" w:rsidRPr="00F90EAE" w:rsidRDefault="006103B3" w:rsidP="00F90EAE">
      <w:pPr>
        <w:autoSpaceDE w:val="0"/>
        <w:autoSpaceDN w:val="0"/>
        <w:adjustRightInd w:val="0"/>
        <w:jc w:val="both"/>
        <w:rPr>
          <w:iCs/>
          <w:color w:val="000000" w:themeColor="text1"/>
          <w:sz w:val="16"/>
          <w:szCs w:val="16"/>
        </w:rPr>
      </w:pPr>
    </w:p>
    <w:p w14:paraId="4388A94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первые месяцы 1945 г. ГМЗ работал вполне удачно, невзи</w:t>
      </w:r>
      <w:r w:rsidRPr="00F90EAE">
        <w:rPr>
          <w:color w:val="000000" w:themeColor="text1"/>
          <w:sz w:val="16"/>
          <w:szCs w:val="16"/>
        </w:rPr>
        <w:softHyphen/>
        <w:t>рая на частые отключения электроэнергии и несвоевременные поставки комплектующих изделий смежниками. И всё же план поставок ГМЗ мотоциклов в Красную Армию удалось выполнить лишь на 84%, см. табл. 25 [5.83].</w:t>
      </w:r>
    </w:p>
    <w:p w14:paraId="6CD2A1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Таблица 25 Поставки ГМЗ и ИМЗ мотоциклов М-72 в Красную Армию, 1945 г.</w:t>
      </w:r>
    </w:p>
    <w:tbl>
      <w:tblPr>
        <w:tblW w:w="0" w:type="auto"/>
        <w:tblInd w:w="40" w:type="dxa"/>
        <w:tblLayout w:type="fixed"/>
        <w:tblCellMar>
          <w:left w:w="40" w:type="dxa"/>
          <w:right w:w="40" w:type="dxa"/>
        </w:tblCellMar>
        <w:tblLook w:val="0000" w:firstRow="0" w:lastRow="0" w:firstColumn="0" w:lastColumn="0" w:noHBand="0" w:noVBand="0"/>
      </w:tblPr>
      <w:tblGrid>
        <w:gridCol w:w="1325"/>
        <w:gridCol w:w="710"/>
        <w:gridCol w:w="730"/>
        <w:gridCol w:w="710"/>
        <w:gridCol w:w="720"/>
        <w:gridCol w:w="720"/>
        <w:gridCol w:w="720"/>
        <w:gridCol w:w="730"/>
      </w:tblGrid>
      <w:tr w:rsidR="00561F31" w:rsidRPr="00F90EAE" w14:paraId="09345172" w14:textId="77777777">
        <w:trPr>
          <w:trHeight w:val="346"/>
        </w:trPr>
        <w:tc>
          <w:tcPr>
            <w:tcW w:w="1325" w:type="dxa"/>
            <w:tcBorders>
              <w:top w:val="single" w:sz="6" w:space="0" w:color="auto"/>
              <w:left w:val="single" w:sz="6" w:space="0" w:color="auto"/>
              <w:bottom w:val="nil"/>
              <w:right w:val="single" w:sz="6" w:space="0" w:color="auto"/>
            </w:tcBorders>
          </w:tcPr>
          <w:p w14:paraId="6793E2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F65E2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72B8E9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AD5F5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gridSpan w:val="2"/>
            <w:tcBorders>
              <w:top w:val="single" w:sz="6" w:space="0" w:color="auto"/>
              <w:left w:val="single" w:sz="6" w:space="0" w:color="auto"/>
              <w:bottom w:val="nil"/>
              <w:right w:val="single" w:sz="6" w:space="0" w:color="auto"/>
            </w:tcBorders>
          </w:tcPr>
          <w:p w14:paraId="3D3468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Фактически</w:t>
            </w:r>
          </w:p>
          <w:p w14:paraId="1E89A4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890" w:type="dxa"/>
            <w:gridSpan w:val="4"/>
            <w:tcBorders>
              <w:top w:val="single" w:sz="6" w:space="0" w:color="auto"/>
              <w:left w:val="single" w:sz="6" w:space="0" w:color="auto"/>
              <w:bottom w:val="nil"/>
              <w:right w:val="single" w:sz="6" w:space="0" w:color="auto"/>
            </w:tcBorders>
          </w:tcPr>
          <w:p w14:paraId="216C35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Поставки по месяцам, шт.</w:t>
            </w:r>
          </w:p>
          <w:p w14:paraId="4F40EF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8244E40" w14:textId="77777777">
        <w:trPr>
          <w:trHeight w:val="202"/>
        </w:trPr>
        <w:tc>
          <w:tcPr>
            <w:tcW w:w="1325" w:type="dxa"/>
            <w:tcBorders>
              <w:top w:val="nil"/>
              <w:left w:val="single" w:sz="6" w:space="0" w:color="auto"/>
              <w:bottom w:val="nil"/>
              <w:right w:val="single" w:sz="6" w:space="0" w:color="auto"/>
            </w:tcBorders>
          </w:tcPr>
          <w:p w14:paraId="372530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Завод</w:t>
            </w:r>
          </w:p>
          <w:p w14:paraId="28D0A6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67837A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w:t>
            </w:r>
          </w:p>
          <w:p w14:paraId="39F46B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gridSpan w:val="2"/>
            <w:tcBorders>
              <w:top w:val="nil"/>
              <w:left w:val="single" w:sz="6" w:space="0" w:color="auto"/>
              <w:bottom w:val="single" w:sz="6" w:space="0" w:color="auto"/>
              <w:right w:val="single" w:sz="6" w:space="0" w:color="auto"/>
            </w:tcBorders>
          </w:tcPr>
          <w:p w14:paraId="70CBAC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поставлено</w:t>
            </w:r>
          </w:p>
          <w:p w14:paraId="5096C6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890" w:type="dxa"/>
            <w:gridSpan w:val="4"/>
            <w:tcBorders>
              <w:top w:val="nil"/>
              <w:left w:val="single" w:sz="6" w:space="0" w:color="auto"/>
              <w:bottom w:val="single" w:sz="6" w:space="0" w:color="auto"/>
              <w:right w:val="single" w:sz="6" w:space="0" w:color="auto"/>
            </w:tcBorders>
          </w:tcPr>
          <w:p w14:paraId="434441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C8793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B61AD92" w14:textId="77777777">
        <w:trPr>
          <w:trHeight w:val="365"/>
        </w:trPr>
        <w:tc>
          <w:tcPr>
            <w:tcW w:w="1325" w:type="dxa"/>
            <w:tcBorders>
              <w:top w:val="nil"/>
              <w:left w:val="single" w:sz="6" w:space="0" w:color="auto"/>
              <w:bottom w:val="single" w:sz="6" w:space="0" w:color="auto"/>
              <w:right w:val="single" w:sz="6" w:space="0" w:color="auto"/>
            </w:tcBorders>
          </w:tcPr>
          <w:p w14:paraId="53DAD1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C9E5D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26E83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54C902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3E7E5B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1076F7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3F00FE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43625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4C535C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январь</w:t>
            </w:r>
          </w:p>
          <w:p w14:paraId="3504A0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D7C6A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февраль</w:t>
            </w:r>
          </w:p>
          <w:p w14:paraId="78FFA3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022276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март</w:t>
            </w:r>
          </w:p>
          <w:p w14:paraId="7F20E9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single" w:sz="6" w:space="0" w:color="auto"/>
              <w:right w:val="single" w:sz="6" w:space="0" w:color="auto"/>
            </w:tcBorders>
          </w:tcPr>
          <w:p w14:paraId="2CA6B2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апрель</w:t>
            </w:r>
          </w:p>
          <w:p w14:paraId="1227C9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3F9645B" w14:textId="77777777">
        <w:trPr>
          <w:trHeight w:val="365"/>
        </w:trPr>
        <w:tc>
          <w:tcPr>
            <w:tcW w:w="1325" w:type="dxa"/>
            <w:tcBorders>
              <w:top w:val="single" w:sz="6" w:space="0" w:color="auto"/>
              <w:left w:val="single" w:sz="6" w:space="0" w:color="auto"/>
              <w:bottom w:val="nil"/>
              <w:right w:val="single" w:sz="6" w:space="0" w:color="auto"/>
            </w:tcBorders>
          </w:tcPr>
          <w:p w14:paraId="0D4C68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ГМЗ</w:t>
            </w:r>
          </w:p>
          <w:p w14:paraId="474EBB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3278DC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w:t>
            </w:r>
          </w:p>
          <w:p w14:paraId="61C131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4B909E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670</w:t>
            </w:r>
          </w:p>
          <w:p w14:paraId="061882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single" w:sz="6" w:space="0" w:color="auto"/>
              <w:left w:val="single" w:sz="6" w:space="0" w:color="auto"/>
              <w:bottom w:val="nil"/>
              <w:right w:val="single" w:sz="6" w:space="0" w:color="auto"/>
            </w:tcBorders>
          </w:tcPr>
          <w:p w14:paraId="7555EF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w:t>
            </w:r>
          </w:p>
          <w:p w14:paraId="7CD6F6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DB9FA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42BFDD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5AFBD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520303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58B387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265</w:t>
            </w:r>
          </w:p>
          <w:p w14:paraId="7A6641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single" w:sz="6" w:space="0" w:color="auto"/>
              <w:left w:val="single" w:sz="6" w:space="0" w:color="auto"/>
              <w:bottom w:val="nil"/>
              <w:right w:val="single" w:sz="6" w:space="0" w:color="auto"/>
            </w:tcBorders>
          </w:tcPr>
          <w:p w14:paraId="3FF00A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205</w:t>
            </w:r>
          </w:p>
          <w:p w14:paraId="76E255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222D666" w14:textId="77777777">
        <w:trPr>
          <w:trHeight w:val="240"/>
        </w:trPr>
        <w:tc>
          <w:tcPr>
            <w:tcW w:w="1325" w:type="dxa"/>
            <w:tcBorders>
              <w:top w:val="nil"/>
              <w:left w:val="single" w:sz="6" w:space="0" w:color="auto"/>
              <w:bottom w:val="nil"/>
              <w:right w:val="single" w:sz="6" w:space="0" w:color="auto"/>
            </w:tcBorders>
          </w:tcPr>
          <w:p w14:paraId="718BD8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ИМЗ</w:t>
            </w:r>
          </w:p>
          <w:p w14:paraId="1CF94C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22F0BC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1200</w:t>
            </w:r>
          </w:p>
          <w:p w14:paraId="088314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27A759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925</w:t>
            </w:r>
          </w:p>
          <w:p w14:paraId="5A1404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nil"/>
              <w:right w:val="single" w:sz="6" w:space="0" w:color="auto"/>
            </w:tcBorders>
          </w:tcPr>
          <w:p w14:paraId="4D100C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w:t>
            </w:r>
          </w:p>
          <w:p w14:paraId="7BCB5C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43A479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350</w:t>
            </w:r>
          </w:p>
          <w:p w14:paraId="17C91E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19A1BB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C997D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nil"/>
              <w:right w:val="single" w:sz="6" w:space="0" w:color="auto"/>
            </w:tcBorders>
          </w:tcPr>
          <w:p w14:paraId="576371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w:t>
            </w:r>
          </w:p>
          <w:p w14:paraId="1D1377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nil"/>
              <w:right w:val="single" w:sz="6" w:space="0" w:color="auto"/>
            </w:tcBorders>
          </w:tcPr>
          <w:p w14:paraId="0EE262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225</w:t>
            </w:r>
          </w:p>
          <w:p w14:paraId="1DE841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C32DD42" w14:textId="77777777">
        <w:trPr>
          <w:trHeight w:val="413"/>
        </w:trPr>
        <w:tc>
          <w:tcPr>
            <w:tcW w:w="1325" w:type="dxa"/>
            <w:tcBorders>
              <w:top w:val="nil"/>
              <w:left w:val="single" w:sz="6" w:space="0" w:color="auto"/>
              <w:bottom w:val="single" w:sz="6" w:space="0" w:color="auto"/>
              <w:right w:val="single" w:sz="6" w:space="0" w:color="auto"/>
            </w:tcBorders>
          </w:tcPr>
          <w:p w14:paraId="3D8805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263AC4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378B44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2000</w:t>
            </w:r>
          </w:p>
          <w:p w14:paraId="74D494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1A428B7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1595</w:t>
            </w:r>
          </w:p>
          <w:p w14:paraId="05ECAB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10" w:type="dxa"/>
            <w:tcBorders>
              <w:top w:val="nil"/>
              <w:left w:val="single" w:sz="6" w:space="0" w:color="auto"/>
              <w:bottom w:val="single" w:sz="6" w:space="0" w:color="auto"/>
              <w:right w:val="single" w:sz="6" w:space="0" w:color="auto"/>
            </w:tcBorders>
          </w:tcPr>
          <w:p w14:paraId="636C9C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79,8</w:t>
            </w:r>
          </w:p>
          <w:p w14:paraId="58B3FA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B8F8F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450</w:t>
            </w:r>
          </w:p>
          <w:p w14:paraId="1D8198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0FBFFB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53151A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6B93C5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515</w:t>
            </w:r>
          </w:p>
          <w:p w14:paraId="1F04D7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0" w:type="dxa"/>
            <w:tcBorders>
              <w:top w:val="nil"/>
              <w:left w:val="single" w:sz="6" w:space="0" w:color="auto"/>
              <w:bottom w:val="single" w:sz="6" w:space="0" w:color="auto"/>
              <w:right w:val="single" w:sz="6" w:space="0" w:color="auto"/>
            </w:tcBorders>
          </w:tcPr>
          <w:p w14:paraId="17BE54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430</w:t>
            </w:r>
          </w:p>
          <w:p w14:paraId="7BBD67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365F06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(11429).</w:t>
      </w:r>
    </w:p>
    <w:p w14:paraId="768F91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CDB60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первые четыре месяца 1945 г. руководство ИМЗ планирова</w:t>
      </w:r>
      <w:r w:rsidRPr="00F90EAE">
        <w:rPr>
          <w:color w:val="000000" w:themeColor="text1"/>
          <w:sz w:val="16"/>
          <w:szCs w:val="16"/>
        </w:rPr>
        <w:softHyphen/>
        <w:t>ло поставить в Красную Армию 1200 мотоциклов, однако ГБТУ удалось получить лишь 925 машин, или 77% (табл. 25). Причина</w:t>
      </w:r>
      <w:r w:rsidRPr="00F90EAE">
        <w:rPr>
          <w:color w:val="000000" w:themeColor="text1"/>
          <w:sz w:val="16"/>
          <w:szCs w:val="16"/>
        </w:rPr>
        <w:softHyphen/>
        <w:t>ми невыполнения плана в этот период стала накопившаяся уста</w:t>
      </w:r>
      <w:r w:rsidRPr="00F90EAE">
        <w:rPr>
          <w:color w:val="000000" w:themeColor="text1"/>
          <w:sz w:val="16"/>
          <w:szCs w:val="16"/>
        </w:rPr>
        <w:softHyphen/>
        <w:t>лость работников и связанные с этим нарушения технологическо</w:t>
      </w:r>
      <w:r w:rsidRPr="00F90EAE">
        <w:rPr>
          <w:color w:val="000000" w:themeColor="text1"/>
          <w:sz w:val="16"/>
          <w:szCs w:val="16"/>
        </w:rPr>
        <w:softHyphen/>
        <w:t>го процесса. И всё же завод стал работать ритмичней по сравнению с 1944 г., условия труда в новых цехах улучшились [5.87]. На это особенно благоприятно влияло перемещение в новые корпуса ли</w:t>
      </w:r>
      <w:r w:rsidRPr="00F90EAE">
        <w:rPr>
          <w:color w:val="000000" w:themeColor="text1"/>
          <w:sz w:val="16"/>
          <w:szCs w:val="16"/>
        </w:rPr>
        <w:softHyphen/>
        <w:t>тейного и кузнечного цехов, а также введение в строй первой оче</w:t>
      </w:r>
      <w:r w:rsidRPr="00F90EAE">
        <w:rPr>
          <w:color w:val="000000" w:themeColor="text1"/>
          <w:sz w:val="16"/>
          <w:szCs w:val="16"/>
        </w:rPr>
        <w:softHyphen/>
        <w:t>реди общезаводской котельной [5.88]. С этого времени ИМЗ обес</w:t>
      </w:r>
      <w:r w:rsidRPr="00F90EAE">
        <w:rPr>
          <w:color w:val="000000" w:themeColor="text1"/>
          <w:sz w:val="16"/>
          <w:szCs w:val="16"/>
        </w:rPr>
        <w:softHyphen/>
        <w:t>печивали теплом и электричеством в полном объеме (11429).</w:t>
      </w:r>
    </w:p>
    <w:p w14:paraId="0706055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D0827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БТРЗ № 20 за 1942-1945 гг. выпустил более 10 тыс. мо</w:t>
      </w:r>
      <w:r w:rsidRPr="00F90EAE">
        <w:rPr>
          <w:color w:val="000000" w:themeColor="text1"/>
          <w:sz w:val="16"/>
          <w:szCs w:val="16"/>
        </w:rPr>
        <w:softHyphen/>
        <w:t>тоциклов, среди которых - 351 «Харлей-Дэвидсон», что составило приблизительно 3,5% общего выпуска [5.92]. На БТРЗ № 20 могли бы собирать больше американских мотоциклов, но из-за недоста</w:t>
      </w:r>
      <w:r w:rsidRPr="00F90EAE">
        <w:rPr>
          <w:color w:val="000000" w:themeColor="text1"/>
          <w:sz w:val="16"/>
          <w:szCs w:val="16"/>
        </w:rPr>
        <w:softHyphen/>
        <w:t>точных поставок колясок, изготавливаемых на ГАЗ, заводу прихо</w:t>
      </w:r>
      <w:r w:rsidRPr="00F90EAE">
        <w:rPr>
          <w:color w:val="000000" w:themeColor="text1"/>
          <w:sz w:val="16"/>
          <w:szCs w:val="16"/>
        </w:rPr>
        <w:softHyphen/>
        <w:t>дилось в первую очередь восстанавливать М-72 [5.47]. БТРЗ № 20 просуществовал до 1 февраля 1946 г. [5.92]. Основные фонды БТРЗ № 20 и значительную часть сотрудников перевели на БТРЗ № 24 в г. Мытищи Московской области, где освоили ремонт оте</w:t>
      </w:r>
      <w:r w:rsidRPr="00F90EAE">
        <w:rPr>
          <w:color w:val="000000" w:themeColor="text1"/>
          <w:sz w:val="16"/>
          <w:szCs w:val="16"/>
        </w:rPr>
        <w:softHyphen/>
        <w:t>чественных мотоциклов М-72 (в 1946 г. восстановили 50 М-72), однако в дальнейшем мотоциклы не ремонтировали [5.47].</w:t>
      </w:r>
    </w:p>
    <w:p w14:paraId="0CE184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надежности и ходовым качествам М-72 уступал мотоциклу «Харлей-Дэвидсон», зато оказался легче в ремонте, особенно в полевых условиях. На М-72 все три колеса были взаимозаменяе</w:t>
      </w:r>
      <w:r w:rsidRPr="00F90EAE">
        <w:rPr>
          <w:color w:val="000000" w:themeColor="text1"/>
          <w:sz w:val="16"/>
          <w:szCs w:val="16"/>
        </w:rPr>
        <w:softHyphen/>
        <w:t>мыми, а на американском - разные: на мотоцикле - оба американ</w:t>
      </w:r>
      <w:r w:rsidRPr="00F90EAE">
        <w:rPr>
          <w:color w:val="000000" w:themeColor="text1"/>
          <w:sz w:val="16"/>
          <w:szCs w:val="16"/>
        </w:rPr>
        <w:softHyphen/>
        <w:t>ские невзаимозаменяемые, а на коляске - отечественное от М-72.</w:t>
      </w:r>
    </w:p>
    <w:p w14:paraId="42A2BC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Поставки БТРЗ № 20 собранных мотоциклов Харлей-Дэвидсон</w:t>
      </w:r>
    </w:p>
    <w:tbl>
      <w:tblPr>
        <w:tblW w:w="0" w:type="auto"/>
        <w:tblInd w:w="40" w:type="dxa"/>
        <w:tblLayout w:type="fixed"/>
        <w:tblCellMar>
          <w:left w:w="40" w:type="dxa"/>
          <w:right w:w="40" w:type="dxa"/>
        </w:tblCellMar>
        <w:tblLook w:val="0000" w:firstRow="0" w:lastRow="0" w:firstColumn="0" w:lastColumn="0" w:noHBand="0" w:noVBand="0"/>
      </w:tblPr>
      <w:tblGrid>
        <w:gridCol w:w="730"/>
        <w:gridCol w:w="720"/>
        <w:gridCol w:w="950"/>
        <w:gridCol w:w="739"/>
      </w:tblGrid>
      <w:tr w:rsidR="00561F31" w:rsidRPr="00F90EAE" w14:paraId="2DEAC73D" w14:textId="77777777">
        <w:trPr>
          <w:trHeight w:val="547"/>
        </w:trPr>
        <w:tc>
          <w:tcPr>
            <w:tcW w:w="730" w:type="dxa"/>
            <w:tcBorders>
              <w:top w:val="single" w:sz="6" w:space="0" w:color="auto"/>
              <w:left w:val="single" w:sz="6" w:space="0" w:color="auto"/>
              <w:bottom w:val="single" w:sz="6" w:space="0" w:color="auto"/>
              <w:right w:val="single" w:sz="6" w:space="0" w:color="auto"/>
            </w:tcBorders>
          </w:tcPr>
          <w:p w14:paraId="782409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w:t>
            </w:r>
          </w:p>
          <w:p w14:paraId="1984B4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single" w:sz="6" w:space="0" w:color="auto"/>
              <w:right w:val="single" w:sz="6" w:space="0" w:color="auto"/>
            </w:tcBorders>
          </w:tcPr>
          <w:p w14:paraId="130F2A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План,</w:t>
            </w:r>
          </w:p>
          <w:p w14:paraId="47EE14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w:t>
            </w:r>
          </w:p>
          <w:p w14:paraId="13951C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A7489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Факти</w:t>
            </w:r>
            <w:r w:rsidRPr="00F90EAE">
              <w:rPr>
                <w:color w:val="000000" w:themeColor="text1"/>
                <w:sz w:val="16"/>
                <w:szCs w:val="16"/>
              </w:rPr>
              <w:softHyphen/>
              <w:t>чески, шт.</w:t>
            </w:r>
          </w:p>
          <w:p w14:paraId="43D6D1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340CF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875E5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95BC448" w14:textId="77777777">
        <w:trPr>
          <w:trHeight w:val="566"/>
        </w:trPr>
        <w:tc>
          <w:tcPr>
            <w:tcW w:w="730" w:type="dxa"/>
            <w:tcBorders>
              <w:top w:val="single" w:sz="6" w:space="0" w:color="auto"/>
              <w:left w:val="single" w:sz="6" w:space="0" w:color="auto"/>
              <w:bottom w:val="nil"/>
              <w:right w:val="single" w:sz="6" w:space="0" w:color="auto"/>
            </w:tcBorders>
          </w:tcPr>
          <w:p w14:paraId="22EA4A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1943 </w:t>
            </w:r>
          </w:p>
          <w:p w14:paraId="112D54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single" w:sz="6" w:space="0" w:color="auto"/>
              <w:left w:val="single" w:sz="6" w:space="0" w:color="auto"/>
              <w:bottom w:val="nil"/>
              <w:right w:val="single" w:sz="6" w:space="0" w:color="auto"/>
            </w:tcBorders>
          </w:tcPr>
          <w:p w14:paraId="13137C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450</w:t>
            </w:r>
          </w:p>
          <w:p w14:paraId="6D8DAB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50" w:type="dxa"/>
            <w:tcBorders>
              <w:top w:val="single" w:sz="6" w:space="0" w:color="auto"/>
              <w:left w:val="single" w:sz="6" w:space="0" w:color="auto"/>
              <w:bottom w:val="nil"/>
              <w:right w:val="single" w:sz="6" w:space="0" w:color="auto"/>
            </w:tcBorders>
          </w:tcPr>
          <w:p w14:paraId="6F065D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w:t>
            </w:r>
          </w:p>
          <w:p w14:paraId="6241B8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nil"/>
              <w:right w:val="single" w:sz="6" w:space="0" w:color="auto"/>
            </w:tcBorders>
          </w:tcPr>
          <w:p w14:paraId="0E530B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65,6</w:t>
            </w:r>
          </w:p>
          <w:p w14:paraId="22F342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3F7C50E" w14:textId="77777777">
        <w:trPr>
          <w:trHeight w:val="566"/>
        </w:trPr>
        <w:tc>
          <w:tcPr>
            <w:tcW w:w="730" w:type="dxa"/>
            <w:tcBorders>
              <w:top w:val="single" w:sz="6" w:space="0" w:color="auto"/>
              <w:left w:val="single" w:sz="6" w:space="0" w:color="auto"/>
              <w:bottom w:val="nil"/>
              <w:right w:val="single" w:sz="6" w:space="0" w:color="auto"/>
            </w:tcBorders>
          </w:tcPr>
          <w:p w14:paraId="0085E8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tc>
        <w:tc>
          <w:tcPr>
            <w:tcW w:w="720" w:type="dxa"/>
            <w:tcBorders>
              <w:top w:val="single" w:sz="6" w:space="0" w:color="auto"/>
              <w:left w:val="single" w:sz="6" w:space="0" w:color="auto"/>
              <w:bottom w:val="nil"/>
              <w:right w:val="single" w:sz="6" w:space="0" w:color="auto"/>
            </w:tcBorders>
          </w:tcPr>
          <w:p w14:paraId="2C42E6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950" w:type="dxa"/>
            <w:tcBorders>
              <w:top w:val="single" w:sz="6" w:space="0" w:color="auto"/>
              <w:left w:val="single" w:sz="6" w:space="0" w:color="auto"/>
              <w:bottom w:val="nil"/>
              <w:right w:val="single" w:sz="6" w:space="0" w:color="auto"/>
            </w:tcBorders>
          </w:tcPr>
          <w:p w14:paraId="1D8678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w:t>
            </w:r>
          </w:p>
        </w:tc>
        <w:tc>
          <w:tcPr>
            <w:tcW w:w="739" w:type="dxa"/>
            <w:tcBorders>
              <w:top w:val="single" w:sz="6" w:space="0" w:color="auto"/>
              <w:left w:val="single" w:sz="6" w:space="0" w:color="auto"/>
              <w:bottom w:val="nil"/>
              <w:right w:val="single" w:sz="6" w:space="0" w:color="auto"/>
            </w:tcBorders>
          </w:tcPr>
          <w:p w14:paraId="4AC934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4875FF9A" w14:textId="77777777">
        <w:trPr>
          <w:trHeight w:val="374"/>
        </w:trPr>
        <w:tc>
          <w:tcPr>
            <w:tcW w:w="730" w:type="dxa"/>
            <w:tcBorders>
              <w:top w:val="nil"/>
              <w:left w:val="single" w:sz="6" w:space="0" w:color="auto"/>
              <w:bottom w:val="single" w:sz="6" w:space="0" w:color="auto"/>
              <w:right w:val="single" w:sz="6" w:space="0" w:color="auto"/>
            </w:tcBorders>
          </w:tcPr>
          <w:p w14:paraId="734F7C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B5CDA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20" w:type="dxa"/>
            <w:tcBorders>
              <w:top w:val="nil"/>
              <w:left w:val="single" w:sz="6" w:space="0" w:color="auto"/>
              <w:bottom w:val="single" w:sz="6" w:space="0" w:color="auto"/>
              <w:right w:val="single" w:sz="6" w:space="0" w:color="auto"/>
            </w:tcBorders>
          </w:tcPr>
          <w:p w14:paraId="442780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450</w:t>
            </w:r>
          </w:p>
          <w:p w14:paraId="3A7192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50" w:type="dxa"/>
            <w:tcBorders>
              <w:top w:val="nil"/>
              <w:left w:val="single" w:sz="6" w:space="0" w:color="auto"/>
              <w:bottom w:val="single" w:sz="6" w:space="0" w:color="auto"/>
              <w:right w:val="single" w:sz="6" w:space="0" w:color="auto"/>
            </w:tcBorders>
          </w:tcPr>
          <w:p w14:paraId="320321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351</w:t>
            </w:r>
          </w:p>
          <w:p w14:paraId="3D1888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nil"/>
              <w:left w:val="single" w:sz="6" w:space="0" w:color="auto"/>
              <w:bottom w:val="single" w:sz="6" w:space="0" w:color="auto"/>
              <w:right w:val="single" w:sz="6" w:space="0" w:color="auto"/>
            </w:tcBorders>
          </w:tcPr>
          <w:p w14:paraId="713001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78,0</w:t>
            </w:r>
          </w:p>
          <w:p w14:paraId="59C3D2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71DB9F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(11429).</w:t>
      </w:r>
    </w:p>
    <w:p w14:paraId="117347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E9DA0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1943-1945 гг. на ММЗ выполняли сложные многоплановые работы:</w:t>
      </w:r>
    </w:p>
    <w:p w14:paraId="5031CE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крепление мотоколясок к одиночным мотоциклам М-72 и АМ-600, изготовленным на ИМЗ, ГМЗ и ТМЗ;</w:t>
      </w:r>
    </w:p>
    <w:p w14:paraId="21BD7B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ремонт трофейных мотоциклов;</w:t>
      </w:r>
    </w:p>
    <w:p w14:paraId="7D2AD6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изготовление ремкомплектов к М-72 и трофейным мотоци</w:t>
      </w:r>
      <w:r w:rsidRPr="00F90EAE">
        <w:rPr>
          <w:color w:val="000000" w:themeColor="text1"/>
          <w:sz w:val="16"/>
          <w:szCs w:val="16"/>
        </w:rPr>
        <w:softHyphen/>
        <w:t>клам, а также узлов крепления мотоколясок к трофейным и по</w:t>
      </w:r>
      <w:r w:rsidRPr="00F90EAE">
        <w:rPr>
          <w:color w:val="000000" w:themeColor="text1"/>
          <w:sz w:val="16"/>
          <w:szCs w:val="16"/>
        </w:rPr>
        <w:softHyphen/>
        <w:t>лучаемым по Ленд-лизу мотоциклам;</w:t>
      </w:r>
    </w:p>
    <w:p w14:paraId="6F70B0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сборка мотоциклов из комплектов, получаемых по Ленд-лизу.</w:t>
      </w:r>
    </w:p>
    <w:p w14:paraId="51395C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Сведения о поставках в Красную Армию мотоциклов, собран</w:t>
      </w:r>
      <w:r w:rsidRPr="00F90EAE">
        <w:rPr>
          <w:color w:val="000000" w:themeColor="text1"/>
          <w:sz w:val="16"/>
          <w:szCs w:val="16"/>
        </w:rPr>
        <w:softHyphen/>
        <w:t>ных из комплектов, получаемых по Ленд-лизу, приведены в табл. 27 [5.91]. Всего в течение Великой Отечественной войны на ММЗ собрали 14 347 мотоциклов из комплектов, поставлен</w:t>
      </w:r>
      <w:r w:rsidRPr="00F90EAE">
        <w:rPr>
          <w:color w:val="000000" w:themeColor="text1"/>
          <w:sz w:val="16"/>
          <w:szCs w:val="16"/>
        </w:rPr>
        <w:softHyphen/>
        <w:t>ных союзниками по Ленд-лизу.</w:t>
      </w:r>
    </w:p>
    <w:p w14:paraId="20927E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Таблица 27 Сборка импортных мотоциклов за период 1942-апрель1945г</w:t>
      </w:r>
    </w:p>
    <w:tbl>
      <w:tblPr>
        <w:tblW w:w="0" w:type="auto"/>
        <w:tblInd w:w="40" w:type="dxa"/>
        <w:tblLayout w:type="fixed"/>
        <w:tblCellMar>
          <w:left w:w="40" w:type="dxa"/>
          <w:right w:w="40" w:type="dxa"/>
        </w:tblCellMar>
        <w:tblLook w:val="0000" w:firstRow="0" w:lastRow="0" w:firstColumn="0" w:lastColumn="0" w:noHBand="0" w:noVBand="0"/>
      </w:tblPr>
      <w:tblGrid>
        <w:gridCol w:w="1507"/>
        <w:gridCol w:w="1440"/>
        <w:gridCol w:w="662"/>
        <w:gridCol w:w="691"/>
        <w:gridCol w:w="701"/>
        <w:gridCol w:w="701"/>
        <w:gridCol w:w="787"/>
      </w:tblGrid>
      <w:tr w:rsidR="00561F31" w:rsidRPr="00F90EAE" w14:paraId="1B76CF09" w14:textId="77777777">
        <w:trPr>
          <w:trHeight w:val="403"/>
        </w:trPr>
        <w:tc>
          <w:tcPr>
            <w:tcW w:w="1507" w:type="dxa"/>
            <w:tcBorders>
              <w:top w:val="single" w:sz="6" w:space="0" w:color="auto"/>
              <w:left w:val="single" w:sz="6" w:space="0" w:color="auto"/>
              <w:bottom w:val="nil"/>
              <w:right w:val="single" w:sz="6" w:space="0" w:color="auto"/>
            </w:tcBorders>
          </w:tcPr>
          <w:p w14:paraId="2F04E4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Завод</w:t>
            </w:r>
          </w:p>
          <w:p w14:paraId="69B780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FC37B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 мотоцикла</w:t>
            </w:r>
          </w:p>
          <w:p w14:paraId="495455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755" w:type="dxa"/>
            <w:gridSpan w:val="4"/>
            <w:tcBorders>
              <w:top w:val="single" w:sz="6" w:space="0" w:color="auto"/>
              <w:left w:val="single" w:sz="6" w:space="0" w:color="auto"/>
              <w:bottom w:val="single" w:sz="6" w:space="0" w:color="auto"/>
              <w:right w:val="single" w:sz="6" w:space="0" w:color="auto"/>
            </w:tcBorders>
          </w:tcPr>
          <w:p w14:paraId="435B16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Собрано по годам</w:t>
            </w:r>
          </w:p>
          <w:p w14:paraId="188BEC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4B045E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19711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A9AB74D" w14:textId="77777777">
        <w:trPr>
          <w:trHeight w:val="374"/>
        </w:trPr>
        <w:tc>
          <w:tcPr>
            <w:tcW w:w="1507" w:type="dxa"/>
            <w:tcBorders>
              <w:top w:val="nil"/>
              <w:left w:val="single" w:sz="6" w:space="0" w:color="auto"/>
              <w:bottom w:val="single" w:sz="6" w:space="0" w:color="auto"/>
              <w:right w:val="single" w:sz="6" w:space="0" w:color="auto"/>
            </w:tcBorders>
          </w:tcPr>
          <w:p w14:paraId="37F14A89" w14:textId="77777777" w:rsidR="006103B3" w:rsidRPr="00F90EAE" w:rsidRDefault="006103B3" w:rsidP="00F90EAE">
            <w:pPr>
              <w:autoSpaceDE w:val="0"/>
              <w:autoSpaceDN w:val="0"/>
              <w:adjustRightInd w:val="0"/>
              <w:jc w:val="both"/>
              <w:rPr>
                <w:color w:val="000000" w:themeColor="text1"/>
                <w:sz w:val="16"/>
                <w:szCs w:val="16"/>
              </w:rPr>
            </w:pPr>
          </w:p>
          <w:p w14:paraId="3EC54CF0" w14:textId="77777777" w:rsidR="006103B3" w:rsidRPr="00F90EAE" w:rsidRDefault="006103B3" w:rsidP="00F90EAE">
            <w:pPr>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2256935" w14:textId="77777777" w:rsidR="006103B3" w:rsidRPr="00F90EAE" w:rsidRDefault="006103B3" w:rsidP="00F90EAE">
            <w:pPr>
              <w:autoSpaceDE w:val="0"/>
              <w:autoSpaceDN w:val="0"/>
              <w:adjustRightInd w:val="0"/>
              <w:jc w:val="both"/>
              <w:rPr>
                <w:color w:val="000000" w:themeColor="text1"/>
                <w:sz w:val="16"/>
                <w:szCs w:val="16"/>
              </w:rPr>
            </w:pPr>
          </w:p>
          <w:p w14:paraId="6041DDCF" w14:textId="77777777" w:rsidR="006103B3" w:rsidRPr="00F90EAE" w:rsidRDefault="006103B3" w:rsidP="00F90EAE">
            <w:pPr>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59E739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w:t>
            </w:r>
          </w:p>
          <w:p w14:paraId="16A6DA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A153A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w:t>
            </w:r>
          </w:p>
          <w:p w14:paraId="3B75B4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D9116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w:t>
            </w:r>
          </w:p>
          <w:p w14:paraId="3207D4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17F76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w:t>
            </w:r>
          </w:p>
          <w:p w14:paraId="41E3FC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6267EC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7E797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B37F6CA" w14:textId="77777777">
        <w:trPr>
          <w:trHeight w:val="365"/>
        </w:trPr>
        <w:tc>
          <w:tcPr>
            <w:tcW w:w="1507" w:type="dxa"/>
            <w:tcBorders>
              <w:top w:val="single" w:sz="6" w:space="0" w:color="auto"/>
              <w:left w:val="single" w:sz="6" w:space="0" w:color="auto"/>
              <w:bottom w:val="nil"/>
              <w:right w:val="single" w:sz="6" w:space="0" w:color="auto"/>
            </w:tcBorders>
          </w:tcPr>
          <w:p w14:paraId="3C76B5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ММЗ</w:t>
            </w:r>
          </w:p>
          <w:p w14:paraId="312A49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3E64CB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Индиан с/к</w:t>
            </w:r>
          </w:p>
          <w:p w14:paraId="3BF2B6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single" w:sz="6" w:space="0" w:color="auto"/>
              <w:left w:val="single" w:sz="6" w:space="0" w:color="auto"/>
              <w:bottom w:val="nil"/>
              <w:right w:val="single" w:sz="6" w:space="0" w:color="auto"/>
            </w:tcBorders>
          </w:tcPr>
          <w:p w14:paraId="6959B7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31E805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single" w:sz="6" w:space="0" w:color="auto"/>
              <w:left w:val="single" w:sz="6" w:space="0" w:color="auto"/>
              <w:bottom w:val="nil"/>
              <w:right w:val="single" w:sz="6" w:space="0" w:color="auto"/>
            </w:tcBorders>
          </w:tcPr>
          <w:p w14:paraId="2D3136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1072</w:t>
            </w:r>
          </w:p>
          <w:p w14:paraId="53F427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589D61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28BEB8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single" w:sz="6" w:space="0" w:color="auto"/>
              <w:left w:val="single" w:sz="6" w:space="0" w:color="auto"/>
              <w:bottom w:val="nil"/>
              <w:right w:val="single" w:sz="6" w:space="0" w:color="auto"/>
            </w:tcBorders>
          </w:tcPr>
          <w:p w14:paraId="37ACEF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0077F6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single" w:sz="6" w:space="0" w:color="auto"/>
              <w:left w:val="single" w:sz="6" w:space="0" w:color="auto"/>
              <w:bottom w:val="nil"/>
              <w:right w:val="single" w:sz="6" w:space="0" w:color="auto"/>
            </w:tcBorders>
          </w:tcPr>
          <w:p w14:paraId="15467E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1072</w:t>
            </w:r>
          </w:p>
          <w:p w14:paraId="4C6A75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2C055A4" w14:textId="77777777">
        <w:trPr>
          <w:trHeight w:val="221"/>
        </w:trPr>
        <w:tc>
          <w:tcPr>
            <w:tcW w:w="1507" w:type="dxa"/>
            <w:tcBorders>
              <w:top w:val="nil"/>
              <w:left w:val="single" w:sz="6" w:space="0" w:color="auto"/>
              <w:bottom w:val="nil"/>
              <w:right w:val="single" w:sz="6" w:space="0" w:color="auto"/>
            </w:tcBorders>
          </w:tcPr>
          <w:p w14:paraId="1D0363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60252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21A6B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Х/Дс/к</w:t>
            </w:r>
          </w:p>
          <w:p w14:paraId="0A9D7F5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72B8C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CAE0E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7C651D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1817</w:t>
            </w:r>
          </w:p>
          <w:p w14:paraId="4E1EA5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8CA21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6204</w:t>
            </w:r>
          </w:p>
          <w:p w14:paraId="4D7408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77386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1905</w:t>
            </w:r>
          </w:p>
          <w:p w14:paraId="260DEE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F8B26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9926</w:t>
            </w:r>
          </w:p>
          <w:p w14:paraId="185AE9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4C0AD14" w14:textId="77777777">
        <w:trPr>
          <w:trHeight w:val="221"/>
        </w:trPr>
        <w:tc>
          <w:tcPr>
            <w:tcW w:w="1507" w:type="dxa"/>
            <w:tcBorders>
              <w:top w:val="nil"/>
              <w:left w:val="single" w:sz="6" w:space="0" w:color="auto"/>
              <w:bottom w:val="nil"/>
              <w:right w:val="single" w:sz="6" w:space="0" w:color="auto"/>
            </w:tcBorders>
          </w:tcPr>
          <w:p w14:paraId="57A264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BEBAB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B0E3B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Индиан б/к</w:t>
            </w:r>
          </w:p>
          <w:p w14:paraId="1C195A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3B0D1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171BE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03A3FD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1415</w:t>
            </w:r>
          </w:p>
          <w:p w14:paraId="453B02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3D4D1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w:t>
            </w:r>
          </w:p>
          <w:p w14:paraId="1679B1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5AC89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7174B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3AFCB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1606</w:t>
            </w:r>
          </w:p>
          <w:p w14:paraId="7A0C4B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AD683F2" w14:textId="77777777">
        <w:trPr>
          <w:trHeight w:val="230"/>
        </w:trPr>
        <w:tc>
          <w:tcPr>
            <w:tcW w:w="1507" w:type="dxa"/>
            <w:tcBorders>
              <w:top w:val="nil"/>
              <w:left w:val="single" w:sz="6" w:space="0" w:color="auto"/>
              <w:bottom w:val="nil"/>
              <w:right w:val="single" w:sz="6" w:space="0" w:color="auto"/>
            </w:tcBorders>
          </w:tcPr>
          <w:p w14:paraId="2EBCA1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596E3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8A926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Х/Дб/к</w:t>
            </w:r>
          </w:p>
          <w:p w14:paraId="6C4681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67F32D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71DB2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9549B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DCE47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D912F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1345</w:t>
            </w:r>
          </w:p>
          <w:p w14:paraId="45DF0B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8CC70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241</w:t>
            </w:r>
          </w:p>
          <w:p w14:paraId="7606C3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C780C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1586</w:t>
            </w:r>
          </w:p>
          <w:p w14:paraId="249673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066C6C0" w14:textId="77777777">
        <w:trPr>
          <w:trHeight w:val="202"/>
        </w:trPr>
        <w:tc>
          <w:tcPr>
            <w:tcW w:w="1507" w:type="dxa"/>
            <w:tcBorders>
              <w:top w:val="nil"/>
              <w:left w:val="single" w:sz="6" w:space="0" w:color="auto"/>
              <w:bottom w:val="nil"/>
              <w:right w:val="single" w:sz="6" w:space="0" w:color="auto"/>
            </w:tcBorders>
          </w:tcPr>
          <w:p w14:paraId="5290BD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5D4B1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BB8D5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Велосет б/к</w:t>
            </w:r>
          </w:p>
          <w:p w14:paraId="1CF514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11901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7612D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60ED2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9EB1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0027F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w:t>
            </w:r>
          </w:p>
          <w:p w14:paraId="5AD4B6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D7053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94ABF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3AA12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w:t>
            </w:r>
          </w:p>
          <w:p w14:paraId="3E954A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2F9EC06" w14:textId="77777777">
        <w:trPr>
          <w:trHeight w:val="221"/>
        </w:trPr>
        <w:tc>
          <w:tcPr>
            <w:tcW w:w="1507" w:type="dxa"/>
            <w:tcBorders>
              <w:top w:val="nil"/>
              <w:left w:val="single" w:sz="6" w:space="0" w:color="auto"/>
              <w:bottom w:val="nil"/>
              <w:right w:val="single" w:sz="6" w:space="0" w:color="auto"/>
            </w:tcBorders>
          </w:tcPr>
          <w:p w14:paraId="01E376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E54B2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258EC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Матчес б/к</w:t>
            </w:r>
          </w:p>
          <w:p w14:paraId="08867E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AA840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3C59A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ED019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07C1A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411B9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56F521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5010C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44FD1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51258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0BDCDC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4924DE1" w14:textId="77777777">
        <w:trPr>
          <w:trHeight w:val="221"/>
        </w:trPr>
        <w:tc>
          <w:tcPr>
            <w:tcW w:w="1507" w:type="dxa"/>
            <w:tcBorders>
              <w:top w:val="nil"/>
              <w:left w:val="single" w:sz="6" w:space="0" w:color="auto"/>
              <w:bottom w:val="nil"/>
              <w:right w:val="single" w:sz="6" w:space="0" w:color="auto"/>
            </w:tcBorders>
          </w:tcPr>
          <w:p w14:paraId="38E070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53C71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AEB43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БСА б/к</w:t>
            </w:r>
          </w:p>
          <w:p w14:paraId="3E790F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55AA5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18B26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24D9C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6732A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B4427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109</w:t>
            </w:r>
          </w:p>
          <w:p w14:paraId="10ACA8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AB5F8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21B1E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57F00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109</w:t>
            </w:r>
          </w:p>
          <w:p w14:paraId="14301B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D4B503B" w14:textId="77777777">
        <w:trPr>
          <w:trHeight w:val="278"/>
        </w:trPr>
        <w:tc>
          <w:tcPr>
            <w:tcW w:w="1507" w:type="dxa"/>
            <w:tcBorders>
              <w:top w:val="nil"/>
              <w:left w:val="single" w:sz="6" w:space="0" w:color="auto"/>
              <w:bottom w:val="nil"/>
              <w:right w:val="single" w:sz="6" w:space="0" w:color="auto"/>
            </w:tcBorders>
          </w:tcPr>
          <w:p w14:paraId="4BC26C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CBEF5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4E919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на ММЗ</w:t>
            </w:r>
          </w:p>
          <w:p w14:paraId="3D7EAE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FF445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90B16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597AD2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4304</w:t>
            </w:r>
          </w:p>
          <w:p w14:paraId="57DCA5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6CD3F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7897</w:t>
            </w:r>
          </w:p>
          <w:p w14:paraId="4B0562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89CCE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2146</w:t>
            </w:r>
          </w:p>
          <w:p w14:paraId="2299B1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7D31A6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14 347</w:t>
            </w:r>
          </w:p>
          <w:p w14:paraId="74D292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B4A5CC2" w14:textId="77777777">
        <w:trPr>
          <w:trHeight w:val="298"/>
        </w:trPr>
        <w:tc>
          <w:tcPr>
            <w:tcW w:w="1507" w:type="dxa"/>
            <w:tcBorders>
              <w:top w:val="nil"/>
              <w:left w:val="single" w:sz="6" w:space="0" w:color="auto"/>
              <w:bottom w:val="nil"/>
              <w:right w:val="single" w:sz="6" w:space="0" w:color="auto"/>
            </w:tcBorders>
          </w:tcPr>
          <w:p w14:paraId="5D51BA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смз</w:t>
            </w:r>
          </w:p>
          <w:p w14:paraId="236DB7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32EC0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Х/Дс/к</w:t>
            </w:r>
          </w:p>
          <w:p w14:paraId="73A27F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C0A8B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B9BC5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1ED1A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293</w:t>
            </w:r>
          </w:p>
          <w:p w14:paraId="200D40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781E7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DA838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989FA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D6B3E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638FD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293</w:t>
            </w:r>
          </w:p>
          <w:p w14:paraId="335B29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12DCCFF" w14:textId="77777777">
        <w:trPr>
          <w:trHeight w:val="221"/>
        </w:trPr>
        <w:tc>
          <w:tcPr>
            <w:tcW w:w="1507" w:type="dxa"/>
            <w:tcBorders>
              <w:top w:val="nil"/>
              <w:left w:val="single" w:sz="6" w:space="0" w:color="auto"/>
              <w:bottom w:val="nil"/>
              <w:right w:val="single" w:sz="6" w:space="0" w:color="auto"/>
            </w:tcBorders>
          </w:tcPr>
          <w:p w14:paraId="7ED556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964F0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05FC4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Х/Дб/к</w:t>
            </w:r>
          </w:p>
          <w:p w14:paraId="44F878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B22A2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CA8E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57CF23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659</w:t>
            </w:r>
          </w:p>
          <w:p w14:paraId="4085BA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5589C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p w14:paraId="1379BA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FFADA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59D83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6C68F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683</w:t>
            </w:r>
          </w:p>
          <w:p w14:paraId="1A6FE1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39F9D80" w14:textId="77777777">
        <w:trPr>
          <w:trHeight w:val="259"/>
        </w:trPr>
        <w:tc>
          <w:tcPr>
            <w:tcW w:w="1507" w:type="dxa"/>
            <w:tcBorders>
              <w:top w:val="nil"/>
              <w:left w:val="single" w:sz="6" w:space="0" w:color="auto"/>
              <w:bottom w:val="nil"/>
              <w:right w:val="single" w:sz="6" w:space="0" w:color="auto"/>
            </w:tcBorders>
          </w:tcPr>
          <w:p w14:paraId="651E31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25DAD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ECF41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на СМЗ</w:t>
            </w:r>
          </w:p>
          <w:p w14:paraId="200A67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A3412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AA71C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07FF34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952</w:t>
            </w:r>
          </w:p>
          <w:p w14:paraId="648A0B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EE6A8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w:t>
            </w:r>
          </w:p>
          <w:p w14:paraId="11ED43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63062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93D64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33874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976</w:t>
            </w:r>
          </w:p>
          <w:p w14:paraId="07D28E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24AE832" w14:textId="77777777">
        <w:trPr>
          <w:trHeight w:val="355"/>
        </w:trPr>
        <w:tc>
          <w:tcPr>
            <w:tcW w:w="1507" w:type="dxa"/>
            <w:tcBorders>
              <w:top w:val="nil"/>
              <w:left w:val="single" w:sz="6" w:space="0" w:color="auto"/>
              <w:bottom w:val="nil"/>
              <w:right w:val="single" w:sz="6" w:space="0" w:color="auto"/>
            </w:tcBorders>
          </w:tcPr>
          <w:p w14:paraId="0D6A14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БТРЗ № 20</w:t>
            </w:r>
          </w:p>
          <w:p w14:paraId="399263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3FFFB3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Х/Дс/к</w:t>
            </w:r>
          </w:p>
          <w:p w14:paraId="4F8821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48598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43392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9782F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w:t>
            </w:r>
          </w:p>
          <w:p w14:paraId="22C170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720D4A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w:t>
            </w:r>
          </w:p>
          <w:p w14:paraId="02F601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2ADD9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28A3A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1BF484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351</w:t>
            </w:r>
          </w:p>
          <w:p w14:paraId="0E7F3C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75447EF" w14:textId="77777777">
        <w:trPr>
          <w:trHeight w:val="288"/>
        </w:trPr>
        <w:tc>
          <w:tcPr>
            <w:tcW w:w="1507" w:type="dxa"/>
            <w:tcBorders>
              <w:top w:val="nil"/>
              <w:left w:val="single" w:sz="6" w:space="0" w:color="auto"/>
              <w:bottom w:val="nil"/>
              <w:right w:val="single" w:sz="6" w:space="0" w:color="auto"/>
            </w:tcBorders>
          </w:tcPr>
          <w:p w14:paraId="4EBA9A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ХВЗ</w:t>
            </w:r>
          </w:p>
          <w:p w14:paraId="67C461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73E14E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БСА б/к</w:t>
            </w:r>
          </w:p>
          <w:p w14:paraId="2596F4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B3315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61C73A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31FC0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43040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A2A7E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394</w:t>
            </w:r>
          </w:p>
          <w:p w14:paraId="3B4D77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5F9A4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5194E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6F350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394</w:t>
            </w:r>
          </w:p>
          <w:p w14:paraId="1F706E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FBD7751" w14:textId="77777777">
        <w:trPr>
          <w:trHeight w:val="202"/>
        </w:trPr>
        <w:tc>
          <w:tcPr>
            <w:tcW w:w="1507" w:type="dxa"/>
            <w:tcBorders>
              <w:top w:val="nil"/>
              <w:left w:val="single" w:sz="6" w:space="0" w:color="auto"/>
              <w:bottom w:val="nil"/>
              <w:right w:val="single" w:sz="6" w:space="0" w:color="auto"/>
            </w:tcBorders>
          </w:tcPr>
          <w:p w14:paraId="375873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75090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8BD08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Велосет б/к</w:t>
            </w:r>
          </w:p>
          <w:p w14:paraId="1700F1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A4A87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3839E4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1FF421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3AB06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32B46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w:t>
            </w:r>
          </w:p>
          <w:p w14:paraId="2E38C2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28A5D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284C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203D6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w:t>
            </w:r>
          </w:p>
          <w:p w14:paraId="084CA7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95F3441" w14:textId="77777777">
        <w:trPr>
          <w:trHeight w:val="221"/>
        </w:trPr>
        <w:tc>
          <w:tcPr>
            <w:tcW w:w="1507" w:type="dxa"/>
            <w:tcBorders>
              <w:top w:val="nil"/>
              <w:left w:val="single" w:sz="6" w:space="0" w:color="auto"/>
              <w:bottom w:val="nil"/>
              <w:right w:val="single" w:sz="6" w:space="0" w:color="auto"/>
            </w:tcBorders>
          </w:tcPr>
          <w:p w14:paraId="22976B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5F622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E9E89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Матчес б/к</w:t>
            </w:r>
          </w:p>
          <w:p w14:paraId="531802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B2076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076500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8BF5F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0BE3E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D6839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w:t>
            </w:r>
          </w:p>
          <w:p w14:paraId="326493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77236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3AFF8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20DA71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w:t>
            </w:r>
          </w:p>
          <w:p w14:paraId="7745BC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ECC81F7" w14:textId="77777777">
        <w:trPr>
          <w:trHeight w:val="278"/>
        </w:trPr>
        <w:tc>
          <w:tcPr>
            <w:tcW w:w="1507" w:type="dxa"/>
            <w:tcBorders>
              <w:top w:val="nil"/>
              <w:left w:val="single" w:sz="6" w:space="0" w:color="auto"/>
              <w:bottom w:val="nil"/>
              <w:right w:val="single" w:sz="6" w:space="0" w:color="auto"/>
            </w:tcBorders>
          </w:tcPr>
          <w:p w14:paraId="646482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F0055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AEB7C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на ХВЗ</w:t>
            </w:r>
          </w:p>
          <w:p w14:paraId="470199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235FC5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C1BFB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89CB6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F077D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D6A4F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455</w:t>
            </w:r>
          </w:p>
          <w:p w14:paraId="12681C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F077A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D04B0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7F960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455</w:t>
            </w:r>
          </w:p>
          <w:p w14:paraId="1502FD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506F36E" w14:textId="77777777">
        <w:trPr>
          <w:trHeight w:val="365"/>
        </w:trPr>
        <w:tc>
          <w:tcPr>
            <w:tcW w:w="1507" w:type="dxa"/>
            <w:tcBorders>
              <w:top w:val="nil"/>
              <w:left w:val="single" w:sz="6" w:space="0" w:color="auto"/>
              <w:bottom w:val="nil"/>
              <w:right w:val="single" w:sz="6" w:space="0" w:color="auto"/>
            </w:tcBorders>
          </w:tcPr>
          <w:p w14:paraId="76A2BF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договору</w:t>
            </w:r>
          </w:p>
          <w:p w14:paraId="5CA57B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385C7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 не выявлен</w:t>
            </w:r>
          </w:p>
          <w:p w14:paraId="4E50DE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F7A41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03831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6D46B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2074</w:t>
            </w:r>
          </w:p>
          <w:p w14:paraId="7E25D1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BF620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2172</w:t>
            </w:r>
          </w:p>
          <w:p w14:paraId="7C3A07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9379D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241</w:t>
            </w:r>
          </w:p>
          <w:p w14:paraId="458FA6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32F551F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4487</w:t>
            </w:r>
          </w:p>
          <w:p w14:paraId="0856CD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0098FAF" w14:textId="77777777">
        <w:trPr>
          <w:trHeight w:val="288"/>
        </w:trPr>
        <w:tc>
          <w:tcPr>
            <w:tcW w:w="1507" w:type="dxa"/>
            <w:tcBorders>
              <w:top w:val="nil"/>
              <w:left w:val="single" w:sz="6" w:space="0" w:color="auto"/>
              <w:bottom w:val="nil"/>
              <w:right w:val="single" w:sz="6" w:space="0" w:color="auto"/>
            </w:tcBorders>
          </w:tcPr>
          <w:p w14:paraId="76B571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Склады</w:t>
            </w:r>
          </w:p>
          <w:p w14:paraId="29BE81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0C8172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Индиан б/к</w:t>
            </w:r>
          </w:p>
          <w:p w14:paraId="5D1F3C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27151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317</w:t>
            </w:r>
          </w:p>
          <w:p w14:paraId="204AA9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B623C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554</w:t>
            </w:r>
          </w:p>
          <w:p w14:paraId="32C357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0B119FE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E2F40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5D2C5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1F79C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32A7C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871</w:t>
            </w:r>
          </w:p>
          <w:p w14:paraId="5000F6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8981A5A" w14:textId="77777777">
        <w:trPr>
          <w:trHeight w:val="202"/>
        </w:trPr>
        <w:tc>
          <w:tcPr>
            <w:tcW w:w="1507" w:type="dxa"/>
            <w:tcBorders>
              <w:top w:val="nil"/>
              <w:left w:val="single" w:sz="6" w:space="0" w:color="auto"/>
              <w:bottom w:val="nil"/>
              <w:right w:val="single" w:sz="6" w:space="0" w:color="auto"/>
            </w:tcBorders>
          </w:tcPr>
          <w:p w14:paraId="19DA0B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CFE19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B16CC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Велосет б/к</w:t>
            </w:r>
          </w:p>
          <w:p w14:paraId="54AE19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3623151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p w14:paraId="7AEC08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4C1253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w:t>
            </w:r>
          </w:p>
          <w:p w14:paraId="7616B2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FD5F2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81</w:t>
            </w:r>
          </w:p>
          <w:p w14:paraId="2DD0B9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3B72F0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38866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62BF0F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294</w:t>
            </w:r>
          </w:p>
          <w:p w14:paraId="56BFD6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76CADD8" w14:textId="77777777">
        <w:trPr>
          <w:trHeight w:val="211"/>
        </w:trPr>
        <w:tc>
          <w:tcPr>
            <w:tcW w:w="1507" w:type="dxa"/>
            <w:tcBorders>
              <w:top w:val="nil"/>
              <w:left w:val="single" w:sz="6" w:space="0" w:color="auto"/>
              <w:bottom w:val="nil"/>
              <w:right w:val="single" w:sz="6" w:space="0" w:color="auto"/>
            </w:tcBorders>
          </w:tcPr>
          <w:p w14:paraId="1E37AA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89CF4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86C84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Матчес б/к</w:t>
            </w:r>
          </w:p>
          <w:p w14:paraId="16357D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1D1F50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556733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731F30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E8710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E8737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545D72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1FEF09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04CDE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0FEE7A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4AE03C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F355D5C" w14:textId="77777777">
        <w:trPr>
          <w:trHeight w:val="221"/>
        </w:trPr>
        <w:tc>
          <w:tcPr>
            <w:tcW w:w="1507" w:type="dxa"/>
            <w:tcBorders>
              <w:top w:val="nil"/>
              <w:left w:val="single" w:sz="6" w:space="0" w:color="auto"/>
              <w:bottom w:val="nil"/>
              <w:right w:val="single" w:sz="6" w:space="0" w:color="auto"/>
            </w:tcBorders>
          </w:tcPr>
          <w:p w14:paraId="3F55F9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0481E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49D5AF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БСА б/к</w:t>
            </w:r>
          </w:p>
          <w:p w14:paraId="25CDB9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60412B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_</w:t>
            </w:r>
          </w:p>
          <w:p w14:paraId="3F381A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6650F7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B2F25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AC12A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w:t>
            </w:r>
          </w:p>
          <w:p w14:paraId="0F754B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1E3C6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A3A09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5F9BA0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w:t>
            </w:r>
          </w:p>
          <w:p w14:paraId="705C47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9496E48" w14:textId="77777777">
        <w:trPr>
          <w:trHeight w:val="269"/>
        </w:trPr>
        <w:tc>
          <w:tcPr>
            <w:tcW w:w="1507" w:type="dxa"/>
            <w:tcBorders>
              <w:top w:val="nil"/>
              <w:left w:val="single" w:sz="6" w:space="0" w:color="auto"/>
              <w:bottom w:val="nil"/>
              <w:right w:val="single" w:sz="6" w:space="0" w:color="auto"/>
            </w:tcBorders>
          </w:tcPr>
          <w:p w14:paraId="5D4B52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DB3C3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647261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на</w:t>
            </w:r>
          </w:p>
          <w:p w14:paraId="13192B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47B89C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457</w:t>
            </w:r>
          </w:p>
          <w:p w14:paraId="106986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B66D6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627</w:t>
            </w:r>
          </w:p>
          <w:p w14:paraId="733712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22BC2F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177</w:t>
            </w:r>
          </w:p>
          <w:p w14:paraId="286F67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4EEF5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E3DAC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EFE65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1261</w:t>
            </w:r>
          </w:p>
          <w:p w14:paraId="1079BC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CEEB376" w14:textId="77777777">
        <w:trPr>
          <w:trHeight w:val="240"/>
        </w:trPr>
        <w:tc>
          <w:tcPr>
            <w:tcW w:w="1507" w:type="dxa"/>
            <w:tcBorders>
              <w:top w:val="nil"/>
              <w:left w:val="single" w:sz="6" w:space="0" w:color="auto"/>
              <w:bottom w:val="nil"/>
              <w:right w:val="single" w:sz="6" w:space="0" w:color="auto"/>
            </w:tcBorders>
          </w:tcPr>
          <w:p w14:paraId="011883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48003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5E2075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складах</w:t>
            </w:r>
          </w:p>
          <w:p w14:paraId="1E4F24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5D3E29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4B8F6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36CB76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68630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54F6F8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1A7FE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4E5B5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B65DD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DE27A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480D1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D3C469A" w14:textId="77777777">
        <w:trPr>
          <w:trHeight w:val="346"/>
        </w:trPr>
        <w:tc>
          <w:tcPr>
            <w:tcW w:w="1507" w:type="dxa"/>
            <w:tcBorders>
              <w:top w:val="nil"/>
              <w:left w:val="single" w:sz="6" w:space="0" w:color="auto"/>
              <w:bottom w:val="nil"/>
              <w:right w:val="single" w:sz="6" w:space="0" w:color="auto"/>
            </w:tcBorders>
          </w:tcPr>
          <w:p w14:paraId="4C679B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Учебные полки</w:t>
            </w:r>
          </w:p>
          <w:p w14:paraId="3DC70F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18BD5D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Индиан б/к</w:t>
            </w:r>
          </w:p>
          <w:p w14:paraId="33C0F2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nil"/>
              <w:right w:val="single" w:sz="6" w:space="0" w:color="auto"/>
            </w:tcBorders>
          </w:tcPr>
          <w:p w14:paraId="0C1760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7E836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nil"/>
              <w:right w:val="single" w:sz="6" w:space="0" w:color="auto"/>
            </w:tcBorders>
          </w:tcPr>
          <w:p w14:paraId="228AB9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648</w:t>
            </w:r>
          </w:p>
          <w:p w14:paraId="3EF48C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46B291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B7895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nil"/>
              <w:right w:val="single" w:sz="6" w:space="0" w:color="auto"/>
            </w:tcBorders>
          </w:tcPr>
          <w:p w14:paraId="6BFB4A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25C3F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nil"/>
              <w:right w:val="single" w:sz="6" w:space="0" w:color="auto"/>
            </w:tcBorders>
          </w:tcPr>
          <w:p w14:paraId="47EA0D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648</w:t>
            </w:r>
          </w:p>
          <w:p w14:paraId="791ECA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7D929D1" w14:textId="77777777">
        <w:trPr>
          <w:trHeight w:val="499"/>
        </w:trPr>
        <w:tc>
          <w:tcPr>
            <w:tcW w:w="1507" w:type="dxa"/>
            <w:tcBorders>
              <w:top w:val="nil"/>
              <w:left w:val="single" w:sz="6" w:space="0" w:color="auto"/>
              <w:bottom w:val="single" w:sz="6" w:space="0" w:color="auto"/>
              <w:right w:val="single" w:sz="6" w:space="0" w:color="auto"/>
            </w:tcBorders>
          </w:tcPr>
          <w:p w14:paraId="7C6D3E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061171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664058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D9F20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2" w:type="dxa"/>
            <w:tcBorders>
              <w:top w:val="nil"/>
              <w:left w:val="single" w:sz="6" w:space="0" w:color="auto"/>
              <w:bottom w:val="single" w:sz="6" w:space="0" w:color="auto"/>
              <w:right w:val="single" w:sz="6" w:space="0" w:color="auto"/>
            </w:tcBorders>
          </w:tcPr>
          <w:p w14:paraId="6CA560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457</w:t>
            </w:r>
          </w:p>
          <w:p w14:paraId="1F6EA8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91" w:type="dxa"/>
            <w:tcBorders>
              <w:top w:val="nil"/>
              <w:left w:val="single" w:sz="6" w:space="0" w:color="auto"/>
              <w:bottom w:val="single" w:sz="6" w:space="0" w:color="auto"/>
              <w:right w:val="single" w:sz="6" w:space="0" w:color="auto"/>
            </w:tcBorders>
          </w:tcPr>
          <w:p w14:paraId="733793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8900</w:t>
            </w:r>
          </w:p>
          <w:p w14:paraId="3618FF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781198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10781</w:t>
            </w:r>
          </w:p>
          <w:p w14:paraId="5601EE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01" w:type="dxa"/>
            <w:tcBorders>
              <w:top w:val="nil"/>
              <w:left w:val="single" w:sz="6" w:space="0" w:color="auto"/>
              <w:bottom w:val="single" w:sz="6" w:space="0" w:color="auto"/>
              <w:right w:val="single" w:sz="6" w:space="0" w:color="auto"/>
            </w:tcBorders>
          </w:tcPr>
          <w:p w14:paraId="23165A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2387</w:t>
            </w:r>
          </w:p>
          <w:p w14:paraId="2BA7B6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87" w:type="dxa"/>
            <w:tcBorders>
              <w:top w:val="nil"/>
              <w:left w:val="single" w:sz="6" w:space="0" w:color="auto"/>
              <w:bottom w:val="single" w:sz="6" w:space="0" w:color="auto"/>
              <w:right w:val="single" w:sz="6" w:space="0" w:color="auto"/>
            </w:tcBorders>
          </w:tcPr>
          <w:p w14:paraId="5C0124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22 525</w:t>
            </w:r>
          </w:p>
          <w:p w14:paraId="32E28A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2126020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(11429).</w:t>
      </w:r>
    </w:p>
    <w:p w14:paraId="4A27BA5A" w14:textId="77777777" w:rsidR="006103B3" w:rsidRPr="00F90EAE" w:rsidRDefault="006103B3" w:rsidP="00F90EAE">
      <w:pPr>
        <w:autoSpaceDE w:val="0"/>
        <w:autoSpaceDN w:val="0"/>
        <w:adjustRightInd w:val="0"/>
        <w:jc w:val="both"/>
        <w:rPr>
          <w:color w:val="000000" w:themeColor="text1"/>
          <w:sz w:val="16"/>
          <w:szCs w:val="16"/>
        </w:rPr>
      </w:pPr>
    </w:p>
    <w:p w14:paraId="7124EE4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0D6F77C" w14:textId="77777777" w:rsidR="006103B3" w:rsidRPr="00F90EAE" w:rsidRDefault="006103B3" w:rsidP="00F90EAE">
      <w:pPr>
        <w:autoSpaceDE w:val="0"/>
        <w:autoSpaceDN w:val="0"/>
        <w:adjustRightInd w:val="0"/>
        <w:jc w:val="both"/>
        <w:rPr>
          <w:iCs/>
          <w:color w:val="000000" w:themeColor="text1"/>
          <w:sz w:val="16"/>
          <w:szCs w:val="16"/>
        </w:rPr>
      </w:pPr>
    </w:p>
    <w:p w14:paraId="41E11F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июню 1945 завод 22 построил 4 суперпешки и головной серийный Пе-2М N 1/1002 передали в НИИ ВВС для гос. испытаний (2471,40).</w:t>
      </w:r>
    </w:p>
    <w:p w14:paraId="7472CDC2" w14:textId="77777777" w:rsidR="006103B3" w:rsidRPr="00F90EAE" w:rsidRDefault="006103B3" w:rsidP="00F90EAE">
      <w:pPr>
        <w:autoSpaceDE w:val="0"/>
        <w:autoSpaceDN w:val="0"/>
        <w:adjustRightInd w:val="0"/>
        <w:jc w:val="both"/>
        <w:rPr>
          <w:color w:val="000000" w:themeColor="text1"/>
          <w:sz w:val="16"/>
          <w:szCs w:val="16"/>
        </w:rPr>
      </w:pPr>
    </w:p>
    <w:p w14:paraId="734C76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июню 1945 г. с огромными трудностями казанский завод смог построить всего 4 машины Пе-2М. Война на Западе закончилась, требования к качеству авиационной техники стали неуклонно повышаться. В связи с этим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 Ни один из четырех построенных Пе-2М так никогда и не был принят ВВС. Все эти машины впоследствии передали заводам № 26 и № 482 для проведения опытных работ (4476).</w:t>
      </w:r>
    </w:p>
    <w:p w14:paraId="577847E9" w14:textId="77777777" w:rsidR="006103B3" w:rsidRPr="00F90EAE" w:rsidRDefault="006103B3" w:rsidP="00F90EAE">
      <w:pPr>
        <w:autoSpaceDE w:val="0"/>
        <w:autoSpaceDN w:val="0"/>
        <w:adjustRightInd w:val="0"/>
        <w:jc w:val="both"/>
        <w:rPr>
          <w:color w:val="000000" w:themeColor="text1"/>
          <w:sz w:val="16"/>
          <w:szCs w:val="16"/>
        </w:rPr>
      </w:pPr>
    </w:p>
    <w:p w14:paraId="3C6B90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июню 1945 г. казанский завод смог построить всего четыре машины. Война на Западе закончилась, требования к качеству авиационной техники стали заметно более строгими. В связи с этим головной серийный самолет Пе-2М зав. № 1/1002 передали в НИИ ВВС для проведения государственных испытаний. Их поручили закрепленным за "пешками" специалистам - ведущему инженеру Грибакину и ведущему летчику Хрипкову.</w:t>
      </w:r>
    </w:p>
    <w:p w14:paraId="05A017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рост полетной массы и некоторое ухудшение аэродинамики Пе-2М все же был отличным шагом вперед в деле совершенствования "пешки". Подвели моторы ВК-107А.</w:t>
      </w:r>
    </w:p>
    <w:p w14:paraId="69AE33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ходе испытаний Хрипков достиг на второй границе высотности максимальной скорости 630 км/ч. Время набора высоты 5000 м увеличилось на 1,8 мин по сравнению с Пе-2И, а дальность полета уменьшилась на 225 км. Такова оказалась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 размере порядка 48 км/ч - вдвое больше, чем потеряли конструкторы ОКО-22.</w:t>
      </w:r>
    </w:p>
    <w:p w14:paraId="5AF18C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введением третьего члена экипажа, увеличением массы бронирования и вооружения Пе-2М стал заметно тяжелее предшественника и перестал соответствовать нормам прочности по ряду показателей. Стойки шасси и колеса отказывались "держать" 12-тонную машину. Усложнилось покидание самолета в воздухе, поскольку ВУ-5-20 серьезно мешала сбросу фонаря. По-прежнему досаждали дефекты моторов ВК-107А. Они нарабатывали 47-54 ч в воздухе, после чего начинали "стрелять шатунами". Течи водяных и маслорадиаторов, а также различных уплотнений считались почти нормальным явлением. Отмечались другие отказы, втом числе и у новых подвижных установок вооружения.</w:t>
      </w:r>
    </w:p>
    <w:p w14:paraId="7FAE7B9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моменту окончания госиспытаний Пе-2М руководство авиапромышленности приняло принципиальное решение о прекращении производства всех вариантов "пешек". Заключение акта по испытаниям являлось довольно противоречивым:</w:t>
      </w:r>
    </w:p>
    <w:p w14:paraId="63C78F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Предъявленный на государственные испытания дневной бомбардировщик Пе-2М с 2BK-I07A по летно-техническим данным отвечает современным требованиям к данному типу самолетов...</w:t>
      </w:r>
    </w:p>
    <w:p w14:paraId="79CA4E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w:t>
      </w:r>
    </w:p>
    <w:p w14:paraId="61245F3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Ни один из четырех построенных Пе-2М так никогда и не был принят ВВС. Все эти машины впоследствии передали заводам № 26 и № 482 для проведения опытных работ (12042).</w:t>
      </w:r>
    </w:p>
    <w:p w14:paraId="4B64C9EB" w14:textId="77777777" w:rsidR="006103B3" w:rsidRPr="00F90EAE" w:rsidRDefault="006103B3" w:rsidP="00F90EAE">
      <w:pPr>
        <w:autoSpaceDE w:val="0"/>
        <w:autoSpaceDN w:val="0"/>
        <w:adjustRightInd w:val="0"/>
        <w:jc w:val="both"/>
        <w:rPr>
          <w:color w:val="000000" w:themeColor="text1"/>
          <w:sz w:val="16"/>
          <w:szCs w:val="16"/>
        </w:rPr>
      </w:pPr>
    </w:p>
    <w:p w14:paraId="74A3248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1BCEE97" w14:textId="77777777" w:rsidR="006103B3" w:rsidRPr="00F90EAE" w:rsidRDefault="006103B3" w:rsidP="00F90EAE">
      <w:pPr>
        <w:autoSpaceDE w:val="0"/>
        <w:autoSpaceDN w:val="0"/>
        <w:adjustRightInd w:val="0"/>
        <w:jc w:val="both"/>
        <w:rPr>
          <w:iCs/>
          <w:color w:val="000000" w:themeColor="text1"/>
          <w:sz w:val="16"/>
          <w:szCs w:val="16"/>
        </w:rPr>
      </w:pPr>
    </w:p>
    <w:p w14:paraId="3819DC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июню 1945 г. отделом 1600 Харьковского завода транспортного машиностроения (ХЗТМ) была окончена разработка конструкции нового сверхмощного дизеля. Технический проект отправили в Москву, в Наркомат транспортного машиностроения (9024).</w:t>
      </w:r>
    </w:p>
    <w:p w14:paraId="532B9141" w14:textId="77777777" w:rsidR="006103B3" w:rsidRPr="00F90EAE" w:rsidRDefault="006103B3" w:rsidP="00F90EAE">
      <w:pPr>
        <w:autoSpaceDE w:val="0"/>
        <w:autoSpaceDN w:val="0"/>
        <w:adjustRightInd w:val="0"/>
        <w:jc w:val="both"/>
        <w:rPr>
          <w:color w:val="000000" w:themeColor="text1"/>
          <w:sz w:val="16"/>
          <w:szCs w:val="16"/>
        </w:rPr>
      </w:pPr>
    </w:p>
    <w:p w14:paraId="6070D307" w14:textId="5A324BD0" w:rsidR="00A92FC9" w:rsidRPr="00F90EAE" w:rsidRDefault="00A92FC9" w:rsidP="00F90EAE">
      <w:pPr>
        <w:autoSpaceDE w:val="0"/>
        <w:autoSpaceDN w:val="0"/>
        <w:adjustRightInd w:val="0"/>
        <w:jc w:val="both"/>
        <w:rPr>
          <w:i/>
          <w:iCs/>
          <w:color w:val="000000" w:themeColor="text1"/>
          <w:sz w:val="16"/>
          <w:szCs w:val="16"/>
        </w:rPr>
      </w:pPr>
      <w:r w:rsidRPr="00F90EAE">
        <w:rPr>
          <w:i/>
          <w:iCs/>
          <w:color w:val="000000" w:themeColor="text1"/>
          <w:sz w:val="16"/>
          <w:szCs w:val="16"/>
        </w:rPr>
        <w:t>Армия:</w:t>
      </w:r>
    </w:p>
    <w:p w14:paraId="705DFDA2" w14:textId="77777777" w:rsidR="00A92FC9" w:rsidRPr="00F90EAE" w:rsidRDefault="00A92FC9" w:rsidP="00F90EAE">
      <w:pPr>
        <w:autoSpaceDE w:val="0"/>
        <w:autoSpaceDN w:val="0"/>
        <w:adjustRightInd w:val="0"/>
        <w:jc w:val="both"/>
        <w:rPr>
          <w:i/>
          <w:iCs/>
          <w:color w:val="000000" w:themeColor="text1"/>
          <w:sz w:val="16"/>
          <w:szCs w:val="16"/>
        </w:rPr>
      </w:pPr>
    </w:p>
    <w:p w14:paraId="56934B38" w14:textId="77777777" w:rsidR="00A92FC9" w:rsidRPr="00F90EAE" w:rsidRDefault="00A92FC9" w:rsidP="00F90EAE">
      <w:pPr>
        <w:jc w:val="both"/>
        <w:rPr>
          <w:color w:val="0070C0"/>
          <w:sz w:val="16"/>
          <w:szCs w:val="16"/>
        </w:rPr>
      </w:pPr>
      <w:r w:rsidRPr="00F90EAE">
        <w:rPr>
          <w:color w:val="0070C0"/>
          <w:sz w:val="16"/>
          <w:szCs w:val="16"/>
          <w:lang w:bidi="ru-RU"/>
        </w:rPr>
        <w:t>К июню 1945 г. относит</w:t>
      </w:r>
      <w:r w:rsidRPr="00F90EAE">
        <w:rPr>
          <w:color w:val="0070C0"/>
          <w:sz w:val="16"/>
          <w:szCs w:val="16"/>
          <w:lang w:bidi="ru-RU"/>
        </w:rPr>
        <w:softHyphen/>
        <w:t>ся начало боевой работы авиации АК против партизан. В период с 19 июня по 30 июля части 3-й пехотной дивизии им. Р. Траугутта проводили в Яновских лесах (Люблинское воеводство) операцию против отрядов ко</w:t>
      </w:r>
      <w:r w:rsidRPr="00F90EAE">
        <w:rPr>
          <w:color w:val="0070C0"/>
          <w:sz w:val="16"/>
          <w:szCs w:val="16"/>
          <w:lang w:bidi="ru-RU"/>
        </w:rPr>
        <w:softHyphen/>
        <w:t>мандиров «Тарзана», «Орла» и «Ежи». В боях погибли 36 членов подполья, шестеро ранены, задержан и арестован 541 человек. Захвачены неплохие трофеи: два станковых и шесть ручных пулемётов, одно противотанковое ружье, двенад</w:t>
      </w:r>
      <w:r w:rsidRPr="00F90EAE">
        <w:rPr>
          <w:color w:val="0070C0"/>
          <w:sz w:val="16"/>
          <w:szCs w:val="16"/>
          <w:lang w:bidi="ru-RU"/>
        </w:rPr>
        <w:softHyphen/>
        <w:t>цать пистолетов-пулеметов, тридцать одна винтовка и кара</w:t>
      </w:r>
      <w:r w:rsidRPr="00F90EAE">
        <w:rPr>
          <w:color w:val="0070C0"/>
          <w:sz w:val="16"/>
          <w:szCs w:val="16"/>
          <w:lang w:bidi="ru-RU"/>
        </w:rPr>
        <w:softHyphen/>
        <w:t>бин. Приданное дивизии звено По-2 приступило к выполне</w:t>
      </w:r>
      <w:r w:rsidRPr="00F90EAE">
        <w:rPr>
          <w:color w:val="0070C0"/>
          <w:sz w:val="16"/>
          <w:szCs w:val="16"/>
          <w:lang w:bidi="ru-RU"/>
        </w:rPr>
        <w:softHyphen/>
        <w:t>нию задач, связанных с подготовкой к этой операции еще 13 июня, полеты продолжались до 20 августа. Всего выполне</w:t>
      </w:r>
      <w:r w:rsidRPr="00F90EAE">
        <w:rPr>
          <w:color w:val="0070C0"/>
          <w:sz w:val="16"/>
          <w:szCs w:val="16"/>
          <w:lang w:bidi="ru-RU"/>
        </w:rPr>
        <w:softHyphen/>
        <w:t>но 115 боевых вылетов: 61 разведывательный и 54 агитаци</w:t>
      </w:r>
      <w:r w:rsidRPr="00F90EAE">
        <w:rPr>
          <w:color w:val="0070C0"/>
          <w:sz w:val="16"/>
          <w:szCs w:val="16"/>
          <w:lang w:bidi="ru-RU"/>
        </w:rPr>
        <w:softHyphen/>
        <w:t>онно-пропагандистских, в ходе которых было разбросано 750 000 листовок. Надо сказать, что последние также оказы</w:t>
      </w:r>
      <w:r w:rsidRPr="00F90EAE">
        <w:rPr>
          <w:color w:val="0070C0"/>
          <w:sz w:val="16"/>
          <w:szCs w:val="16"/>
          <w:lang w:bidi="ru-RU"/>
        </w:rPr>
        <w:softHyphen/>
        <w:t>вали разлагающее влияние на личный состав партизанских отрядов: под влиянием правительственных агитматериалов властям добровольно сдалось 117 человек из вышеупомяну</w:t>
      </w:r>
      <w:r w:rsidRPr="00F90EAE">
        <w:rPr>
          <w:color w:val="0070C0"/>
          <w:sz w:val="16"/>
          <w:szCs w:val="16"/>
          <w:lang w:bidi="ru-RU"/>
        </w:rPr>
        <w:softHyphen/>
        <w:t>тых и некоторых других отрядов. С собой они принесли 190 единиц стрелкового оружия, от пистолетов до станковых пулеметов.</w:t>
      </w:r>
    </w:p>
    <w:p w14:paraId="6BB98952" w14:textId="77777777" w:rsidR="00A92FC9" w:rsidRPr="00F90EAE" w:rsidRDefault="00A92FC9" w:rsidP="00F90EAE">
      <w:pPr>
        <w:jc w:val="both"/>
        <w:rPr>
          <w:color w:val="0070C0"/>
          <w:sz w:val="16"/>
          <w:szCs w:val="16"/>
          <w:lang w:bidi="ru-RU"/>
        </w:rPr>
      </w:pPr>
      <w:r w:rsidRPr="00F90EAE">
        <w:rPr>
          <w:color w:val="0070C0"/>
          <w:sz w:val="16"/>
          <w:szCs w:val="16"/>
          <w:lang w:bidi="ru-RU"/>
        </w:rPr>
        <w:t>Зимой 1946 г. к действиям против вооруженной оппози</w:t>
      </w:r>
      <w:r w:rsidRPr="00F90EAE">
        <w:rPr>
          <w:color w:val="0070C0"/>
          <w:sz w:val="16"/>
          <w:szCs w:val="16"/>
          <w:lang w:bidi="ru-RU"/>
        </w:rPr>
        <w:softHyphen/>
        <w:t>ции были привлечены части 6-й, 8-й, 9-й и 18-й пехотных дивизий. Каждой из них были приданы два По-2. К боевой работе они приступили в конце января - начале февраля. В ряде случаев, в условиях зимнего бездорожья и горно-ле</w:t>
      </w:r>
      <w:r w:rsidRPr="00F90EAE">
        <w:rPr>
          <w:color w:val="0070C0"/>
          <w:sz w:val="16"/>
          <w:szCs w:val="16"/>
          <w:lang w:bidi="ru-RU"/>
        </w:rPr>
        <w:softHyphen/>
        <w:t>систой местности, самолеты оказывались практически единственным средством ведения разведки, обеспечения связи и распространения агитматериалов. В частности, именно благодаря воздушной разведке, проведенной 25 фе</w:t>
      </w:r>
      <w:r w:rsidRPr="00F90EAE">
        <w:rPr>
          <w:color w:val="0070C0"/>
          <w:sz w:val="16"/>
          <w:szCs w:val="16"/>
          <w:lang w:bidi="ru-RU"/>
        </w:rPr>
        <w:softHyphen/>
        <w:t>враля в районе Плашкова - Камёнки - Бенгарово Краков</w:t>
      </w:r>
      <w:r w:rsidRPr="00F90EAE">
        <w:rPr>
          <w:color w:val="0070C0"/>
          <w:sz w:val="16"/>
          <w:szCs w:val="16"/>
          <w:lang w:bidi="ru-RU"/>
        </w:rPr>
        <w:softHyphen/>
        <w:t>ского воеводства, подразделения 18-го пехотного полка 6-й дивизии разгромили один из отрядов НСЗ.</w:t>
      </w:r>
    </w:p>
    <w:p w14:paraId="47D5F0CC" w14:textId="77777777" w:rsidR="00A92FC9" w:rsidRPr="00F90EAE" w:rsidRDefault="00A92FC9" w:rsidP="00F90EAE">
      <w:pPr>
        <w:jc w:val="both"/>
        <w:rPr>
          <w:color w:val="0070C0"/>
          <w:sz w:val="16"/>
          <w:szCs w:val="16"/>
        </w:rPr>
      </w:pPr>
      <w:r w:rsidRPr="00F90EAE">
        <w:rPr>
          <w:color w:val="0070C0"/>
          <w:sz w:val="16"/>
          <w:szCs w:val="16"/>
          <w:lang w:bidi="ru-RU"/>
        </w:rPr>
        <w:t>В марте напряжение боевой работы не снижалось. Лишь с 10 по 20 марта самолеты совершили 107 боевых вылетов, при этом наиболее результативно вели разведку экипажи, приданные 9-й дивизии.</w:t>
      </w:r>
    </w:p>
    <w:p w14:paraId="75838C10" w14:textId="77777777" w:rsidR="00A92FC9" w:rsidRPr="00F90EAE" w:rsidRDefault="00A92FC9" w:rsidP="00F90EAE">
      <w:pPr>
        <w:jc w:val="both"/>
        <w:rPr>
          <w:color w:val="0070C0"/>
          <w:sz w:val="16"/>
          <w:szCs w:val="16"/>
        </w:rPr>
      </w:pPr>
      <w:r w:rsidRPr="00F90EAE">
        <w:rPr>
          <w:color w:val="0070C0"/>
          <w:sz w:val="16"/>
          <w:szCs w:val="16"/>
          <w:lang w:bidi="ru-RU"/>
        </w:rPr>
        <w:t>Не отставали и летчики, работавшие с 8-й дивизией. В на</w:t>
      </w:r>
      <w:r w:rsidRPr="00F90EAE">
        <w:rPr>
          <w:color w:val="0070C0"/>
          <w:sz w:val="16"/>
          <w:szCs w:val="16"/>
          <w:lang w:bidi="ru-RU"/>
        </w:rPr>
        <w:softHyphen/>
        <w:t>чале апреля один из разведывательных взводов соединения, возвращаясь с задания, угодил в засаду, приготовленную от</w:t>
      </w:r>
      <w:r w:rsidRPr="00F90EAE">
        <w:rPr>
          <w:color w:val="0070C0"/>
          <w:sz w:val="16"/>
          <w:szCs w:val="16"/>
          <w:lang w:bidi="ru-RU"/>
        </w:rPr>
        <w:softHyphen/>
        <w:t>рядом НСЗ командира «Жубрыда» между н.п. Грабовница и Пакошувка, что в 11 км к северо-западу от г. Санок, где рас</w:t>
      </w:r>
      <w:r w:rsidRPr="00F90EAE">
        <w:rPr>
          <w:color w:val="0070C0"/>
          <w:sz w:val="16"/>
          <w:szCs w:val="16"/>
          <w:lang w:bidi="ru-RU"/>
        </w:rPr>
        <w:softHyphen/>
        <w:t>полагался штаб соединения. На призыв о помощи через 15 минут прибыл По-2 и с бреющего полёта атаковал нападав</w:t>
      </w:r>
      <w:r w:rsidRPr="00F90EAE">
        <w:rPr>
          <w:color w:val="0070C0"/>
          <w:sz w:val="16"/>
          <w:szCs w:val="16"/>
          <w:lang w:bidi="ru-RU"/>
        </w:rPr>
        <w:softHyphen/>
        <w:t>ших. Удачно сброшенными гранатами был подавлен станко</w:t>
      </w:r>
      <w:r w:rsidRPr="00F90EAE">
        <w:rPr>
          <w:color w:val="0070C0"/>
          <w:sz w:val="16"/>
          <w:szCs w:val="16"/>
          <w:lang w:bidi="ru-RU"/>
        </w:rPr>
        <w:softHyphen/>
        <w:t>вый пулемет, а огонь бортового «шкаса» рассеял находивших</w:t>
      </w:r>
      <w:r w:rsidRPr="00F90EAE">
        <w:rPr>
          <w:color w:val="0070C0"/>
          <w:sz w:val="16"/>
          <w:szCs w:val="16"/>
          <w:lang w:bidi="ru-RU"/>
        </w:rPr>
        <w:softHyphen/>
        <w:t>ся в засаде энэсзевцев. Взвод сумел вырваться из ловушки и далее без приключений добрался до Санока. Все это вре</w:t>
      </w:r>
      <w:r w:rsidRPr="00F90EAE">
        <w:rPr>
          <w:color w:val="0070C0"/>
          <w:sz w:val="16"/>
          <w:szCs w:val="16"/>
          <w:lang w:bidi="ru-RU"/>
        </w:rPr>
        <w:softHyphen/>
        <w:t>мя По-2 прикрывал его с воздуха.</w:t>
      </w:r>
    </w:p>
    <w:p w14:paraId="52A1265E" w14:textId="77777777" w:rsidR="00A92FC9" w:rsidRPr="00F90EAE" w:rsidRDefault="00A92FC9" w:rsidP="00F90EAE">
      <w:pPr>
        <w:jc w:val="both"/>
        <w:rPr>
          <w:color w:val="0070C0"/>
          <w:sz w:val="16"/>
          <w:szCs w:val="16"/>
        </w:rPr>
      </w:pPr>
      <w:r w:rsidRPr="00F90EAE">
        <w:rPr>
          <w:color w:val="0070C0"/>
          <w:sz w:val="16"/>
          <w:szCs w:val="16"/>
          <w:lang w:bidi="ru-RU"/>
        </w:rPr>
        <w:t>Весной того же года произошла некоторая реорганизация в распределении авиации, связанная с принятием нового пла</w:t>
      </w:r>
      <w:r w:rsidRPr="00F90EAE">
        <w:rPr>
          <w:color w:val="0070C0"/>
          <w:sz w:val="16"/>
          <w:szCs w:val="16"/>
          <w:lang w:bidi="ru-RU"/>
        </w:rPr>
        <w:softHyphen/>
        <w:t>на повсеместной ликвидации вооруженного подполья по всей стране. 2-й авиаполк выделил свои По-2 по воеводст</w:t>
      </w:r>
      <w:r w:rsidRPr="00F90EAE">
        <w:rPr>
          <w:color w:val="0070C0"/>
          <w:sz w:val="16"/>
          <w:szCs w:val="16"/>
          <w:lang w:bidi="ru-RU"/>
        </w:rPr>
        <w:softHyphen/>
        <w:t>вам, наиболее затронутым боевой активностью антиправи</w:t>
      </w:r>
      <w:r w:rsidRPr="00F90EAE">
        <w:rPr>
          <w:color w:val="0070C0"/>
          <w:sz w:val="16"/>
          <w:szCs w:val="16"/>
          <w:lang w:bidi="ru-RU"/>
        </w:rPr>
        <w:softHyphen/>
        <w:t>тельственных формирований, в распоряжение местных коман</w:t>
      </w:r>
      <w:r w:rsidRPr="00F90EAE">
        <w:rPr>
          <w:color w:val="0070C0"/>
          <w:sz w:val="16"/>
          <w:szCs w:val="16"/>
          <w:lang w:bidi="ru-RU"/>
        </w:rPr>
        <w:softHyphen/>
        <w:t>дований ВП: шесть самолетов в Жешувское воеводство, по три в Люблинское и Варшавское, два - в Белостокское.</w:t>
      </w:r>
    </w:p>
    <w:p w14:paraId="0B49B500" w14:textId="77777777" w:rsidR="00A92FC9" w:rsidRPr="00F90EAE" w:rsidRDefault="00A92FC9" w:rsidP="00F90EAE">
      <w:pPr>
        <w:jc w:val="both"/>
        <w:rPr>
          <w:color w:val="0070C0"/>
          <w:sz w:val="16"/>
          <w:szCs w:val="16"/>
          <w:lang w:bidi="ru-RU"/>
        </w:rPr>
      </w:pPr>
      <w:r w:rsidRPr="00F90EAE">
        <w:rPr>
          <w:color w:val="0070C0"/>
          <w:sz w:val="16"/>
          <w:szCs w:val="16"/>
          <w:lang w:bidi="ru-RU"/>
        </w:rPr>
        <w:t>Начала свою боевую работу 9-я эскадрилья КВБ, часть эки</w:t>
      </w:r>
      <w:r w:rsidRPr="00F90EAE">
        <w:rPr>
          <w:color w:val="0070C0"/>
          <w:sz w:val="16"/>
          <w:szCs w:val="16"/>
          <w:lang w:bidi="ru-RU"/>
        </w:rPr>
        <w:softHyphen/>
        <w:t>пажей которых также была придана местным командовани</w:t>
      </w:r>
      <w:r w:rsidRPr="00F90EAE">
        <w:rPr>
          <w:color w:val="0070C0"/>
          <w:sz w:val="16"/>
          <w:szCs w:val="16"/>
          <w:lang w:bidi="ru-RU"/>
        </w:rPr>
        <w:softHyphen/>
        <w:t>ям оперативных частей МВД. В период с 17 по 27 апреля эки</w:t>
      </w:r>
      <w:r w:rsidRPr="00F90EAE">
        <w:rPr>
          <w:color w:val="0070C0"/>
          <w:sz w:val="16"/>
          <w:szCs w:val="16"/>
          <w:lang w:bidi="ru-RU"/>
        </w:rPr>
        <w:softHyphen/>
        <w:t>пажи 9-й аэ хорошо себя проявили при разгроме оператив</w:t>
      </w:r>
      <w:r w:rsidRPr="00F90EAE">
        <w:rPr>
          <w:color w:val="0070C0"/>
          <w:sz w:val="16"/>
          <w:szCs w:val="16"/>
          <w:lang w:bidi="ru-RU"/>
        </w:rPr>
        <w:softHyphen/>
        <w:t>ными частями КВБ отряда командира «Мечислава». С 3 по 10 мая самолеты поддерживали оперативников, проводив</w:t>
      </w:r>
      <w:r w:rsidRPr="00F90EAE">
        <w:rPr>
          <w:color w:val="0070C0"/>
          <w:sz w:val="16"/>
          <w:szCs w:val="16"/>
          <w:lang w:bidi="ru-RU"/>
        </w:rPr>
        <w:softHyphen/>
        <w:t>ших операцию по разгрому группировки «Варшица» в рай</w:t>
      </w:r>
      <w:r w:rsidRPr="00F90EAE">
        <w:rPr>
          <w:color w:val="0070C0"/>
          <w:sz w:val="16"/>
          <w:szCs w:val="16"/>
          <w:lang w:bidi="ru-RU"/>
        </w:rPr>
        <w:softHyphen/>
        <w:t>оне г. Радомско. Остатки ее были добиты в июне, а самого «Варшица» в конце месяца сумели арестовать (20274).</w:t>
      </w:r>
    </w:p>
    <w:p w14:paraId="25B1741A" w14:textId="77777777" w:rsidR="00A92FC9" w:rsidRPr="00F90EAE" w:rsidRDefault="00A92FC9" w:rsidP="00F90EAE">
      <w:pPr>
        <w:jc w:val="both"/>
        <w:rPr>
          <w:color w:val="0070C0"/>
          <w:sz w:val="16"/>
          <w:szCs w:val="16"/>
        </w:rPr>
      </w:pPr>
    </w:p>
    <w:p w14:paraId="49704427" w14:textId="635C8B6F" w:rsidR="0014451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2F36854" w14:textId="77777777" w:rsidR="00144515" w:rsidRPr="00F90EAE" w:rsidRDefault="00144515" w:rsidP="00F90EAE">
      <w:pPr>
        <w:autoSpaceDE w:val="0"/>
        <w:autoSpaceDN w:val="0"/>
        <w:adjustRightInd w:val="0"/>
        <w:jc w:val="both"/>
        <w:rPr>
          <w:iCs/>
          <w:color w:val="000000" w:themeColor="text1"/>
          <w:sz w:val="16"/>
          <w:szCs w:val="16"/>
        </w:rPr>
      </w:pPr>
    </w:p>
    <w:p w14:paraId="7EF64863" w14:textId="77777777" w:rsidR="00144515" w:rsidRPr="00F90EAE" w:rsidRDefault="00144515" w:rsidP="00F90EAE">
      <w:pPr>
        <w:pStyle w:val="a3"/>
        <w:rPr>
          <w:color w:val="000000" w:themeColor="text1"/>
          <w:lang w:val="ru-RU"/>
        </w:rPr>
      </w:pPr>
      <w:r w:rsidRPr="00F90EAE">
        <w:rPr>
          <w:color w:val="000000" w:themeColor="text1"/>
          <w:lang w:val="ru-RU"/>
        </w:rPr>
        <w:t>К лету 1945 в ЦИАМ установили основную при</w:t>
      </w:r>
      <w:r w:rsidRPr="00F90EAE">
        <w:rPr>
          <w:color w:val="000000" w:themeColor="text1"/>
          <w:lang w:val="ru-RU"/>
        </w:rPr>
        <w:softHyphen/>
        <w:t>чину тряски на самолёте Ил-10. Этобыл резонанс подмоторной рамы под действием 1</w:t>
      </w:r>
      <w:r w:rsidRPr="00F90EAE">
        <w:rPr>
          <w:color w:val="000000" w:themeColor="text1"/>
        </w:rPr>
        <w:t>S</w:t>
      </w:r>
      <w:r w:rsidRPr="00F90EAE">
        <w:rPr>
          <w:color w:val="000000" w:themeColor="text1"/>
          <w:lang w:val="ru-RU"/>
        </w:rPr>
        <w:t xml:space="preserve"> гармоники крутящего момента мотора АМ-42, наступаю</w:t>
      </w:r>
      <w:r w:rsidRPr="00F90EAE">
        <w:rPr>
          <w:color w:val="000000" w:themeColor="text1"/>
          <w:lang w:val="ru-RU"/>
        </w:rPr>
        <w:softHyphen/>
        <w:t>щий при оборотах 1810 об/мин. С этим явлением начали бороться, но без особых успехов.</w:t>
      </w:r>
    </w:p>
    <w:p w14:paraId="4943F121" w14:textId="77777777" w:rsidR="00144515" w:rsidRPr="00F90EAE" w:rsidRDefault="00144515" w:rsidP="00F90EAE">
      <w:pPr>
        <w:pStyle w:val="a3"/>
        <w:rPr>
          <w:color w:val="000000" w:themeColor="text1"/>
          <w:lang w:val="ru-RU"/>
        </w:rPr>
      </w:pPr>
      <w:r w:rsidRPr="00F90EAE">
        <w:rPr>
          <w:color w:val="000000" w:themeColor="text1"/>
          <w:lang w:val="ru-RU"/>
        </w:rPr>
        <w:t>Кроме того, в ходе войсковых испытаний и эксплуатации Ил-10 в войсках было выявлено множество конструктивных дефектов самого са</w:t>
      </w:r>
      <w:r w:rsidRPr="00F90EAE">
        <w:rPr>
          <w:color w:val="000000" w:themeColor="text1"/>
          <w:lang w:val="ru-RU"/>
        </w:rPr>
        <w:softHyphen/>
        <w:t>молёта и винтомоторной группы. При этом ряд из них были очень и очень серьёзными.</w:t>
      </w:r>
    </w:p>
    <w:p w14:paraId="4E865FDF" w14:textId="77777777" w:rsidR="00144515" w:rsidRPr="00F90EAE" w:rsidRDefault="00144515" w:rsidP="00F90EAE">
      <w:pPr>
        <w:pStyle w:val="a3"/>
        <w:rPr>
          <w:color w:val="000000" w:themeColor="text1"/>
          <w:lang w:val="ru-RU"/>
        </w:rPr>
      </w:pPr>
      <w:r w:rsidRPr="00F90EAE">
        <w:rPr>
          <w:color w:val="000000" w:themeColor="text1"/>
          <w:lang w:val="ru-RU"/>
        </w:rPr>
        <w:t>Так, имели место деформация и срывы обшивки крыла. Листы обшив</w:t>
      </w:r>
      <w:r w:rsidRPr="00F90EAE">
        <w:rPr>
          <w:color w:val="000000" w:themeColor="text1"/>
          <w:lang w:val="ru-RU"/>
        </w:rPr>
        <w:softHyphen/>
        <w:t>ки шли волнами, заклёпки срезались или вырывались по полкам переднего лонжерона. На некоторых машинах наблюдался отрыв листов нижней об</w:t>
      </w:r>
      <w:r w:rsidRPr="00F90EAE">
        <w:rPr>
          <w:color w:val="000000" w:themeColor="text1"/>
          <w:lang w:val="ru-RU"/>
        </w:rPr>
        <w:softHyphen/>
        <w:t>шивки центроплана по поперечным швам, а также деформации стенок переднего лонжерона консолей. На</w:t>
      </w:r>
      <w:r w:rsidRPr="00F90EAE">
        <w:rPr>
          <w:color w:val="000000" w:themeColor="text1"/>
          <w:lang w:val="ru-RU"/>
        </w:rPr>
        <w:softHyphen/>
        <w:t>блюдались случаи ослабления за</w:t>
      </w:r>
      <w:r w:rsidRPr="00F90EAE">
        <w:rPr>
          <w:color w:val="000000" w:themeColor="text1"/>
          <w:lang w:val="ru-RU"/>
        </w:rPr>
        <w:softHyphen/>
        <w:t>клёпочных швов обшивки фюзеляжа в области крепления костыльной уста</w:t>
      </w:r>
      <w:r w:rsidRPr="00F90EAE">
        <w:rPr>
          <w:color w:val="000000" w:themeColor="text1"/>
          <w:lang w:val="ru-RU"/>
        </w:rPr>
        <w:softHyphen/>
        <w:t>новки и по листу перехода килевой части, а также деформация рам хво</w:t>
      </w:r>
      <w:r w:rsidRPr="00F90EAE">
        <w:rPr>
          <w:color w:val="000000" w:themeColor="text1"/>
          <w:lang w:val="ru-RU"/>
        </w:rPr>
        <w:softHyphen/>
        <w:t>стовой части фюзеляжа.</w:t>
      </w:r>
    </w:p>
    <w:p w14:paraId="1418C289" w14:textId="77777777" w:rsidR="00144515" w:rsidRPr="00F90EAE" w:rsidRDefault="00144515" w:rsidP="00F90EAE">
      <w:pPr>
        <w:pStyle w:val="a3"/>
        <w:rPr>
          <w:color w:val="000000" w:themeColor="text1"/>
          <w:lang w:val="ru-RU"/>
        </w:rPr>
      </w:pPr>
      <w:r w:rsidRPr="00F90EAE">
        <w:rPr>
          <w:color w:val="000000" w:themeColor="text1"/>
          <w:lang w:val="ru-RU"/>
        </w:rPr>
        <w:t>Например, в 15 ВА с марта по май 1945 г. по этой причине вышли из строя все «десятки» из первой партии поставки - 45 Ил-10 производства завода № 1. Дефекты проявились уже после 15-18 ч налета. Как следует из доклада главного инженера армии генерала Иоффе, «все</w:t>
      </w:r>
      <w:r w:rsidRPr="00F90EAE">
        <w:rPr>
          <w:rStyle w:val="245"/>
          <w:rFonts w:ascii="Times New Roman" w:hAnsi="Times New Roman" w:cs="Times New Roman"/>
          <w:i w:val="0"/>
          <w:color w:val="000000" w:themeColor="text1"/>
          <w:sz w:val="16"/>
          <w:szCs w:val="16"/>
          <w:lang w:val="ru-RU"/>
        </w:rPr>
        <w:t xml:space="preserve"> эти машины были сняты с эксплуатации и переданы в школы ВВС».</w:t>
      </w:r>
    </w:p>
    <w:p w14:paraId="14EBB10D" w14:textId="77777777" w:rsidR="00144515" w:rsidRPr="00F90EAE" w:rsidRDefault="00144515" w:rsidP="00F90EAE">
      <w:pPr>
        <w:pStyle w:val="212"/>
        <w:shd w:val="clear" w:color="auto" w:fill="auto"/>
        <w:spacing w:line="240" w:lineRule="auto"/>
        <w:jc w:val="both"/>
        <w:rPr>
          <w:rFonts w:ascii="Times New Roman" w:hAnsi="Times New Roman" w:cs="Times New Roman"/>
          <w:i w:val="0"/>
          <w:color w:val="000000" w:themeColor="text1"/>
          <w:sz w:val="16"/>
          <w:szCs w:val="16"/>
        </w:rPr>
      </w:pPr>
      <w:r w:rsidRPr="00F90EAE">
        <w:rPr>
          <w:rStyle w:val="219"/>
          <w:rFonts w:ascii="Times New Roman" w:eastAsia="Arial Unicode MS" w:hAnsi="Times New Roman" w:cs="Times New Roman"/>
          <w:i w:val="0"/>
          <w:iCs w:val="0"/>
          <w:color w:val="000000" w:themeColor="text1"/>
        </w:rPr>
        <w:t>Лётный состав особо указывал, что</w:t>
      </w:r>
      <w:r w:rsidRPr="00F90EAE">
        <w:rPr>
          <w:rFonts w:ascii="Times New Roman" w:hAnsi="Times New Roman" w:cs="Times New Roman"/>
          <w:i w:val="0"/>
          <w:color w:val="000000" w:themeColor="text1"/>
          <w:sz w:val="16"/>
          <w:szCs w:val="16"/>
        </w:rPr>
        <w:t xml:space="preserve"> «самолёт Ил-10 на пикировании не терпит резкостей в </w:t>
      </w:r>
      <w:r w:rsidRPr="00F90EAE">
        <w:rPr>
          <w:rStyle w:val="219"/>
          <w:rFonts w:ascii="Times New Roman" w:eastAsia="Arial Unicode MS" w:hAnsi="Times New Roman" w:cs="Times New Roman"/>
          <w:i w:val="0"/>
          <w:iCs w:val="0"/>
          <w:color w:val="000000" w:themeColor="text1"/>
        </w:rPr>
        <w:t>выводе,</w:t>
      </w:r>
      <w:r w:rsidRPr="00F90EAE">
        <w:rPr>
          <w:rFonts w:ascii="Times New Roman" w:hAnsi="Times New Roman" w:cs="Times New Roman"/>
          <w:i w:val="0"/>
          <w:color w:val="000000" w:themeColor="text1"/>
          <w:sz w:val="16"/>
          <w:szCs w:val="16"/>
        </w:rPr>
        <w:t xml:space="preserve"> не допускает перегрузки 5,5 единиц» (15978).</w:t>
      </w:r>
    </w:p>
    <w:p w14:paraId="30F40ACD" w14:textId="77777777" w:rsidR="00144515" w:rsidRPr="00F90EAE" w:rsidRDefault="00144515" w:rsidP="00F90EAE">
      <w:pPr>
        <w:pStyle w:val="212"/>
        <w:shd w:val="clear" w:color="auto" w:fill="auto"/>
        <w:spacing w:line="240" w:lineRule="auto"/>
        <w:jc w:val="both"/>
        <w:rPr>
          <w:rFonts w:ascii="Times New Roman" w:hAnsi="Times New Roman" w:cs="Times New Roman"/>
          <w:i w:val="0"/>
          <w:color w:val="000000" w:themeColor="text1"/>
          <w:sz w:val="16"/>
          <w:szCs w:val="16"/>
        </w:rPr>
      </w:pPr>
    </w:p>
    <w:p w14:paraId="1D4F347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29C727B" w14:textId="77777777" w:rsidR="006103B3" w:rsidRPr="00F90EAE" w:rsidRDefault="006103B3" w:rsidP="00F90EAE">
      <w:pPr>
        <w:autoSpaceDE w:val="0"/>
        <w:autoSpaceDN w:val="0"/>
        <w:adjustRightInd w:val="0"/>
        <w:jc w:val="both"/>
        <w:rPr>
          <w:iCs/>
          <w:color w:val="000000" w:themeColor="text1"/>
          <w:sz w:val="16"/>
          <w:szCs w:val="16"/>
        </w:rPr>
      </w:pPr>
    </w:p>
    <w:p w14:paraId="46E083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лету 1945 г. "амбарчики" продолжали там оставаться основными самолётами-разведчиками на ТОФ. Несмотря на предпринятые в преддверии войны с Японией меры по усилению Тихоокеанского флота и его морской авиации, в частях насчитывалось 146 МБР-2 (в том числе такие раритеты, как МБР-2 с аппаратурой волнового управления) и 70 "каталин". Они были распределены между тремя полками (117-м и 48-м морскими дальнеразведыва- тельными и 115-м морским разведывательным), а также отдельными эскадрильями и звеньями (морскими разведывательными и волнового управления). Ещё десять МБР-2 составляли 2-й отдельный морской бомбардировочный авиационный пограничный полк (омбапп) Приморского пограничного округа, базировавшийся на Камчатке и находившийся в оперативном подчинении 128-й смешанной авиационной дивизии 10-й воздушной армии (12003).</w:t>
      </w:r>
    </w:p>
    <w:p w14:paraId="2E206192" w14:textId="77777777" w:rsidR="006103B3" w:rsidRPr="00F90EAE" w:rsidRDefault="006103B3" w:rsidP="00F90EAE">
      <w:pPr>
        <w:widowControl w:val="0"/>
        <w:autoSpaceDE w:val="0"/>
        <w:autoSpaceDN w:val="0"/>
        <w:adjustRightInd w:val="0"/>
        <w:jc w:val="both"/>
        <w:rPr>
          <w:color w:val="000000" w:themeColor="text1"/>
          <w:sz w:val="16"/>
          <w:szCs w:val="16"/>
        </w:rPr>
      </w:pPr>
    </w:p>
    <w:p w14:paraId="2B4BF9C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CB9212E" w14:textId="77777777" w:rsidR="006103B3" w:rsidRPr="00F90EAE" w:rsidRDefault="006103B3" w:rsidP="00F90EAE">
      <w:pPr>
        <w:autoSpaceDE w:val="0"/>
        <w:autoSpaceDN w:val="0"/>
        <w:adjustRightInd w:val="0"/>
        <w:jc w:val="both"/>
        <w:rPr>
          <w:iCs/>
          <w:color w:val="000000" w:themeColor="text1"/>
          <w:sz w:val="16"/>
          <w:szCs w:val="16"/>
        </w:rPr>
      </w:pPr>
    </w:p>
    <w:p w14:paraId="053AA0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лету 1945 выставка трофейной техники, открытая в начале лета 1943 на набережной Москвы-реки в Парке Горького, достигла рассвета, протянувшись на сотни метров. Просуществовала до конца 1948, когда техника - обветшала (4617,2).</w:t>
      </w:r>
    </w:p>
    <w:p w14:paraId="3537B011" w14:textId="77777777" w:rsidR="006103B3" w:rsidRPr="00F90EAE" w:rsidRDefault="006103B3" w:rsidP="00F90EAE">
      <w:pPr>
        <w:autoSpaceDE w:val="0"/>
        <w:autoSpaceDN w:val="0"/>
        <w:adjustRightInd w:val="0"/>
        <w:jc w:val="both"/>
        <w:rPr>
          <w:color w:val="000000" w:themeColor="text1"/>
          <w:sz w:val="16"/>
          <w:szCs w:val="16"/>
        </w:rPr>
      </w:pPr>
    </w:p>
    <w:p w14:paraId="346A3C9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AA434F7" w14:textId="77777777" w:rsidR="006103B3" w:rsidRPr="00F90EAE" w:rsidRDefault="006103B3" w:rsidP="00F90EAE">
      <w:pPr>
        <w:autoSpaceDE w:val="0"/>
        <w:autoSpaceDN w:val="0"/>
        <w:adjustRightInd w:val="0"/>
        <w:jc w:val="both"/>
        <w:rPr>
          <w:iCs/>
          <w:color w:val="000000" w:themeColor="text1"/>
          <w:sz w:val="16"/>
          <w:szCs w:val="16"/>
        </w:rPr>
      </w:pPr>
    </w:p>
    <w:p w14:paraId="3890D115" w14:textId="77777777" w:rsidR="002365D7" w:rsidRPr="00F90EAE" w:rsidRDefault="002365D7" w:rsidP="00F90EAE">
      <w:pPr>
        <w:jc w:val="both"/>
        <w:rPr>
          <w:color w:val="000000" w:themeColor="text1"/>
          <w:sz w:val="16"/>
          <w:szCs w:val="16"/>
        </w:rPr>
      </w:pPr>
      <w:r w:rsidRPr="00F90EAE">
        <w:rPr>
          <w:rStyle w:val="107"/>
          <w:rFonts w:eastAsiaTheme="minorHAnsi"/>
          <w:color w:val="000000" w:themeColor="text1"/>
          <w:sz w:val="16"/>
          <w:szCs w:val="16"/>
        </w:rPr>
        <w:t>На 1 июня 1945 года заводы № 1 и № 18 сдали ВВС по боевой готовности 1035 самолетов Ил-10. По этой причине кондиционных «десяток» в 1-й запасной штурмовой авиабригаде постоянно не хватало для обеспечения бесперебойного процесса переучивания маршевых полков (17490).</w:t>
      </w:r>
    </w:p>
    <w:p w14:paraId="26B1D4F1" w14:textId="77777777" w:rsidR="002365D7" w:rsidRPr="00F90EAE" w:rsidRDefault="002365D7" w:rsidP="00F90EAE">
      <w:pPr>
        <w:jc w:val="both"/>
        <w:rPr>
          <w:rStyle w:val="107"/>
          <w:rFonts w:eastAsiaTheme="minorHAnsi"/>
          <w:color w:val="000000" w:themeColor="text1"/>
          <w:sz w:val="16"/>
          <w:szCs w:val="16"/>
        </w:rPr>
      </w:pPr>
    </w:p>
    <w:p w14:paraId="0F42F1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 Нач. НИИ ВВС гп ис Репин подписал Акт по гос. испытаниям самолета Пе-8 (ТБ-7) N 42712 с 4хАЧ-30Б и ВИШ-61-В-1 в пассажирском варианте</w:t>
      </w:r>
    </w:p>
    <w:p w14:paraId="1645ED6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ВВС гма А.А.Новиков утвердил 5 июня 1945</w:t>
      </w:r>
    </w:p>
    <w:p w14:paraId="13B23A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37727A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3DDDEF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0638EF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514781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3F3BDF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6F53D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3958042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00A32B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0EBB1D6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3B6304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60B0AE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751AC1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1E6CA8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49843B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70EE41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7F6424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3FE852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4EB246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28355D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225495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21F308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0394FA7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05591B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67131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7F7A38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0EE26C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1F7BEF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7096D6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65BE1A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49124D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5E4025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5DDDA4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1AF230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5830A4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5D2163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4F53C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2F31A0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1DDA0E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515BC0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47FBA6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1C3928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57CA46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05F673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5AC626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7EB8C1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10F371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6657A5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6D91A993" w14:textId="77777777">
        <w:tc>
          <w:tcPr>
            <w:tcW w:w="4219" w:type="dxa"/>
            <w:tcBorders>
              <w:top w:val="single" w:sz="12" w:space="0" w:color="auto"/>
            </w:tcBorders>
          </w:tcPr>
          <w:p w14:paraId="4B620A74" w14:textId="77777777" w:rsidR="006103B3" w:rsidRPr="00F90EAE" w:rsidRDefault="006103B3"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0B37DD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794BB7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68D925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79226A2F" w14:textId="77777777">
        <w:tc>
          <w:tcPr>
            <w:tcW w:w="4219" w:type="dxa"/>
          </w:tcPr>
          <w:p w14:paraId="082365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50F934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0356F5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3A26AF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068AD367" w14:textId="77777777">
        <w:tc>
          <w:tcPr>
            <w:tcW w:w="4219" w:type="dxa"/>
          </w:tcPr>
          <w:p w14:paraId="385080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035A44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390D9F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5AA4FD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5851FC5F" w14:textId="77777777">
        <w:tc>
          <w:tcPr>
            <w:tcW w:w="4219" w:type="dxa"/>
          </w:tcPr>
          <w:p w14:paraId="16DCC73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2ED2AC8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63313E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733BCD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011BF7C0" w14:textId="77777777">
        <w:tc>
          <w:tcPr>
            <w:tcW w:w="4219" w:type="dxa"/>
          </w:tcPr>
          <w:p w14:paraId="5C4BA1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5C7DA9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5BEC80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1B17F4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5FBC6311" w14:textId="77777777">
        <w:tc>
          <w:tcPr>
            <w:tcW w:w="4219" w:type="dxa"/>
          </w:tcPr>
          <w:p w14:paraId="28FC37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6EE8012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558235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7F4045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56E1DBF3" w14:textId="77777777">
        <w:tc>
          <w:tcPr>
            <w:tcW w:w="4219" w:type="dxa"/>
          </w:tcPr>
          <w:p w14:paraId="59316F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589E93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568EC5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3E3A1F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7CFC6781" w14:textId="77777777">
        <w:tc>
          <w:tcPr>
            <w:tcW w:w="4219" w:type="dxa"/>
          </w:tcPr>
          <w:p w14:paraId="31BFDE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28B984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701F43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7A67D8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4CBC7894" w14:textId="77777777">
        <w:tc>
          <w:tcPr>
            <w:tcW w:w="4219" w:type="dxa"/>
          </w:tcPr>
          <w:p w14:paraId="7A1BBA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14E0A6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0968A6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0ECC3FE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2980E144" w14:textId="77777777">
        <w:tc>
          <w:tcPr>
            <w:tcW w:w="4219" w:type="dxa"/>
          </w:tcPr>
          <w:p w14:paraId="756AA2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16EFA9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034D42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45F029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6103DDED" w14:textId="77777777">
        <w:tc>
          <w:tcPr>
            <w:tcW w:w="4219" w:type="dxa"/>
          </w:tcPr>
          <w:p w14:paraId="504EA9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74D7A46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0FCA0B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5520A9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38EA9339" w14:textId="77777777">
        <w:tc>
          <w:tcPr>
            <w:tcW w:w="4219" w:type="dxa"/>
          </w:tcPr>
          <w:p w14:paraId="6C65AFA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140F87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32DBCA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34FF15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1CE758DC" w14:textId="77777777">
        <w:tc>
          <w:tcPr>
            <w:tcW w:w="4219" w:type="dxa"/>
          </w:tcPr>
          <w:p w14:paraId="1A1EB2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26BC16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18B1CF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7884E2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4B624A75" w14:textId="77777777">
        <w:tc>
          <w:tcPr>
            <w:tcW w:w="4219" w:type="dxa"/>
          </w:tcPr>
          <w:p w14:paraId="7248B3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6A1E35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24027E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0EBB88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3C164DC2" w14:textId="77777777">
        <w:tc>
          <w:tcPr>
            <w:tcW w:w="4219" w:type="dxa"/>
          </w:tcPr>
          <w:p w14:paraId="14CF36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6C6FAD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13587B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4498FC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05B948F5" w14:textId="77777777">
        <w:tc>
          <w:tcPr>
            <w:tcW w:w="4219" w:type="dxa"/>
          </w:tcPr>
          <w:p w14:paraId="3EB1DA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481378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2E1502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770B40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5EA49F2F" w14:textId="77777777">
        <w:tc>
          <w:tcPr>
            <w:tcW w:w="4219" w:type="dxa"/>
          </w:tcPr>
          <w:p w14:paraId="303094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52C686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2521C7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1BE296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396042E3" w14:textId="77777777">
        <w:tc>
          <w:tcPr>
            <w:tcW w:w="4219" w:type="dxa"/>
          </w:tcPr>
          <w:p w14:paraId="6C7BBC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61EACA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07766A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64D7799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4BC5CAD1" w14:textId="77777777">
        <w:tc>
          <w:tcPr>
            <w:tcW w:w="4219" w:type="dxa"/>
            <w:tcBorders>
              <w:bottom w:val="single" w:sz="12" w:space="0" w:color="auto"/>
            </w:tcBorders>
          </w:tcPr>
          <w:p w14:paraId="3CF2DE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4C554F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7FC520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488906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7E02942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43F9BE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5F1CB8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6BE0A1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Допустимая нагрузка при перегрузке: горючее - 5300, масло 200, всего 5500</w:t>
      </w:r>
    </w:p>
    <w:p w14:paraId="23A1D3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25703288" w14:textId="77777777">
        <w:tc>
          <w:tcPr>
            <w:tcW w:w="675" w:type="dxa"/>
            <w:tcBorders>
              <w:top w:val="single" w:sz="12" w:space="0" w:color="auto"/>
            </w:tcBorders>
          </w:tcPr>
          <w:p w14:paraId="124DAA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489DA4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62C661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6FA0A9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01A156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1E543DA8" w14:textId="77777777">
        <w:tc>
          <w:tcPr>
            <w:tcW w:w="675" w:type="dxa"/>
          </w:tcPr>
          <w:p w14:paraId="5C4F4926" w14:textId="77777777" w:rsidR="006103B3" w:rsidRPr="00F90EAE" w:rsidRDefault="006103B3" w:rsidP="00F90EAE">
            <w:pPr>
              <w:autoSpaceDE w:val="0"/>
              <w:autoSpaceDN w:val="0"/>
              <w:adjustRightInd w:val="0"/>
              <w:jc w:val="both"/>
              <w:rPr>
                <w:color w:val="000000" w:themeColor="text1"/>
                <w:sz w:val="16"/>
                <w:szCs w:val="16"/>
              </w:rPr>
            </w:pPr>
          </w:p>
        </w:tc>
        <w:tc>
          <w:tcPr>
            <w:tcW w:w="993" w:type="dxa"/>
          </w:tcPr>
          <w:p w14:paraId="68B60F8E" w14:textId="77777777" w:rsidR="006103B3" w:rsidRPr="00F90EAE" w:rsidRDefault="006103B3" w:rsidP="00F90EAE">
            <w:pPr>
              <w:autoSpaceDE w:val="0"/>
              <w:autoSpaceDN w:val="0"/>
              <w:adjustRightInd w:val="0"/>
              <w:jc w:val="both"/>
              <w:rPr>
                <w:color w:val="000000" w:themeColor="text1"/>
                <w:sz w:val="16"/>
                <w:szCs w:val="16"/>
              </w:rPr>
            </w:pPr>
          </w:p>
        </w:tc>
        <w:tc>
          <w:tcPr>
            <w:tcW w:w="1134" w:type="dxa"/>
          </w:tcPr>
          <w:p w14:paraId="2B7FAD87" w14:textId="77777777" w:rsidR="006103B3" w:rsidRPr="00F90EAE" w:rsidRDefault="006103B3" w:rsidP="00F90EAE">
            <w:pPr>
              <w:autoSpaceDE w:val="0"/>
              <w:autoSpaceDN w:val="0"/>
              <w:adjustRightInd w:val="0"/>
              <w:jc w:val="both"/>
              <w:rPr>
                <w:color w:val="000000" w:themeColor="text1"/>
                <w:sz w:val="16"/>
                <w:szCs w:val="16"/>
              </w:rPr>
            </w:pPr>
          </w:p>
        </w:tc>
        <w:tc>
          <w:tcPr>
            <w:tcW w:w="992" w:type="dxa"/>
          </w:tcPr>
          <w:p w14:paraId="5C30DFF2" w14:textId="77777777" w:rsidR="006103B3" w:rsidRPr="00F90EAE" w:rsidRDefault="006103B3" w:rsidP="00F90EAE">
            <w:pPr>
              <w:autoSpaceDE w:val="0"/>
              <w:autoSpaceDN w:val="0"/>
              <w:adjustRightInd w:val="0"/>
              <w:jc w:val="both"/>
              <w:rPr>
                <w:color w:val="000000" w:themeColor="text1"/>
                <w:sz w:val="16"/>
                <w:szCs w:val="16"/>
              </w:rPr>
            </w:pPr>
          </w:p>
        </w:tc>
        <w:tc>
          <w:tcPr>
            <w:tcW w:w="1134" w:type="dxa"/>
          </w:tcPr>
          <w:p w14:paraId="5A0C20D4" w14:textId="77777777" w:rsidR="006103B3" w:rsidRPr="00F90EAE" w:rsidRDefault="006103B3" w:rsidP="00F90EAE">
            <w:pPr>
              <w:autoSpaceDE w:val="0"/>
              <w:autoSpaceDN w:val="0"/>
              <w:adjustRightInd w:val="0"/>
              <w:jc w:val="both"/>
              <w:rPr>
                <w:color w:val="000000" w:themeColor="text1"/>
                <w:sz w:val="16"/>
                <w:szCs w:val="16"/>
              </w:rPr>
            </w:pPr>
          </w:p>
        </w:tc>
      </w:tr>
      <w:tr w:rsidR="00561F31" w:rsidRPr="00F90EAE" w14:paraId="0F9A192A" w14:textId="77777777">
        <w:tc>
          <w:tcPr>
            <w:tcW w:w="675" w:type="dxa"/>
          </w:tcPr>
          <w:p w14:paraId="20CE2B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205FF7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1CA98A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F38469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1CF8CB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06A68F03" w14:textId="77777777">
        <w:tc>
          <w:tcPr>
            <w:tcW w:w="675" w:type="dxa"/>
          </w:tcPr>
          <w:p w14:paraId="25C41B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6F63B7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5F7F46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0AD63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06D724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295F476F" w14:textId="77777777">
        <w:tc>
          <w:tcPr>
            <w:tcW w:w="675" w:type="dxa"/>
          </w:tcPr>
          <w:p w14:paraId="3EC926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45CC6B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4E4494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7F7F5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3E99B2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48EF2713" w14:textId="77777777">
        <w:tc>
          <w:tcPr>
            <w:tcW w:w="675" w:type="dxa"/>
          </w:tcPr>
          <w:p w14:paraId="474431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1E2C2D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1FD2E4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892E4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36612C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706B0E09" w14:textId="77777777">
        <w:tc>
          <w:tcPr>
            <w:tcW w:w="675" w:type="dxa"/>
          </w:tcPr>
          <w:p w14:paraId="19BAEE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335A96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355A2A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5F23DD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7DF664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7E3AC9D6" w14:textId="77777777">
        <w:tc>
          <w:tcPr>
            <w:tcW w:w="675" w:type="dxa"/>
          </w:tcPr>
          <w:p w14:paraId="560672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505C81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07EBFF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03B942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753B47B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78F7602C" w14:textId="77777777">
        <w:tc>
          <w:tcPr>
            <w:tcW w:w="675" w:type="dxa"/>
          </w:tcPr>
          <w:p w14:paraId="305E03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21C8F4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35590A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33F594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6F5708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4A013F06" w14:textId="77777777">
        <w:tc>
          <w:tcPr>
            <w:tcW w:w="675" w:type="dxa"/>
          </w:tcPr>
          <w:p w14:paraId="453181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1746CA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11E258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336FF7F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69890E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7E37750C" w14:textId="77777777">
        <w:tc>
          <w:tcPr>
            <w:tcW w:w="675" w:type="dxa"/>
            <w:tcBorders>
              <w:bottom w:val="single" w:sz="12" w:space="0" w:color="auto"/>
            </w:tcBorders>
          </w:tcPr>
          <w:p w14:paraId="2CDB9B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7FE1B5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1108A2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133E0D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4EAA818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309254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30D0389D" w14:textId="77777777">
        <w:tc>
          <w:tcPr>
            <w:tcW w:w="1868" w:type="dxa"/>
            <w:tcBorders>
              <w:top w:val="single" w:sz="12" w:space="0" w:color="auto"/>
            </w:tcBorders>
          </w:tcPr>
          <w:p w14:paraId="78B633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00E193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68D921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6CEB30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15BDA5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2778D5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61AFD0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4CB57FC6" w14:textId="77777777">
        <w:tc>
          <w:tcPr>
            <w:tcW w:w="1868" w:type="dxa"/>
          </w:tcPr>
          <w:p w14:paraId="3F18A2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2F1DC1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239D67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68962B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6409D2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67D377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3696A7F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06678EB9" w14:textId="77777777">
        <w:tc>
          <w:tcPr>
            <w:tcW w:w="1868" w:type="dxa"/>
          </w:tcPr>
          <w:p w14:paraId="69F3A3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42DDC7E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514AC9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3D2F71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602FFC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C025C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71A949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4DB89BAE" w14:textId="77777777">
        <w:tc>
          <w:tcPr>
            <w:tcW w:w="1868" w:type="dxa"/>
          </w:tcPr>
          <w:p w14:paraId="4DDAFBF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1075" w:type="dxa"/>
          </w:tcPr>
          <w:p w14:paraId="650010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4E94A1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36F5CE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0F0A31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5146F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4C03ED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46281C40" w14:textId="77777777">
        <w:tc>
          <w:tcPr>
            <w:tcW w:w="1868" w:type="dxa"/>
          </w:tcPr>
          <w:p w14:paraId="3E3952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3825A9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17DE37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42F32D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0615A1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06EB06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017024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49E6049D" w14:textId="77777777">
        <w:tc>
          <w:tcPr>
            <w:tcW w:w="1868" w:type="dxa"/>
          </w:tcPr>
          <w:p w14:paraId="0BD097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5C52A2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69200F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0DF55F5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19567D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60DA7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74E680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5F579018" w14:textId="77777777">
        <w:tc>
          <w:tcPr>
            <w:tcW w:w="1868" w:type="dxa"/>
          </w:tcPr>
          <w:p w14:paraId="184BE4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327CCC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78C472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23674D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4D0ED8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DA1D9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5519F1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18EEC69A" w14:textId="77777777">
        <w:tc>
          <w:tcPr>
            <w:tcW w:w="1868" w:type="dxa"/>
          </w:tcPr>
          <w:p w14:paraId="3D3FC4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525137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10B927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2A3F04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4E9A81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87351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1B0B3B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15468832" w14:textId="77777777">
        <w:tc>
          <w:tcPr>
            <w:tcW w:w="1868" w:type="dxa"/>
          </w:tcPr>
          <w:p w14:paraId="1B45BC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5D56360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4F62C8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1BB6F9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558945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0E4845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059A8E0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16633EF0" w14:textId="77777777">
        <w:tc>
          <w:tcPr>
            <w:tcW w:w="1868" w:type="dxa"/>
            <w:tcBorders>
              <w:bottom w:val="single" w:sz="12" w:space="0" w:color="auto"/>
            </w:tcBorders>
          </w:tcPr>
          <w:p w14:paraId="4DE392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2E8186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3A0434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4E6689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4EA853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2A9D96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7AA13B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78722F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4F883E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38BFFEB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389A7A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195E6F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56F740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667894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3AE5A4B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16EC5B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04866807" w14:textId="77777777" w:rsidR="006103B3" w:rsidRPr="00F90EAE" w:rsidRDefault="006103B3" w:rsidP="00F90EAE">
      <w:pPr>
        <w:autoSpaceDE w:val="0"/>
        <w:autoSpaceDN w:val="0"/>
        <w:adjustRightInd w:val="0"/>
        <w:jc w:val="both"/>
        <w:rPr>
          <w:color w:val="000000" w:themeColor="text1"/>
          <w:sz w:val="16"/>
          <w:szCs w:val="16"/>
        </w:rPr>
      </w:pPr>
    </w:p>
    <w:p w14:paraId="335176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 г. согласно заключения ЦАГИ по испытаниям, ГУЗ ВВС письмом N 703471с поставило перед гл. конструктором Яковлевым вопрос о разработке мероприятия по усилению носков крыла Ут-2 для серийного производства (2591,108).</w:t>
      </w:r>
    </w:p>
    <w:p w14:paraId="572A1886" w14:textId="77777777" w:rsidR="006103B3" w:rsidRPr="00F90EAE" w:rsidRDefault="006103B3" w:rsidP="00F90EAE">
      <w:pPr>
        <w:autoSpaceDE w:val="0"/>
        <w:autoSpaceDN w:val="0"/>
        <w:adjustRightInd w:val="0"/>
        <w:jc w:val="both"/>
        <w:rPr>
          <w:color w:val="000000" w:themeColor="text1"/>
          <w:sz w:val="16"/>
          <w:szCs w:val="16"/>
        </w:rPr>
      </w:pPr>
    </w:p>
    <w:p w14:paraId="04FBC4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 года Комиссией НКАП 268 завод был принят, а 11 июля 1945 года приказом НКАП введен в эксплуатацию. С начала 1945 года завод начинает выпуск продукции проката.</w:t>
      </w:r>
    </w:p>
    <w:p w14:paraId="499C9B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1946 году определился на ближайшее время производственный профиль завода, для комплексного металлургического предприятия, организованного в сочетании трех основных производств: прокатного, прессового, кузнечно-прессового (9599).</w:t>
      </w:r>
    </w:p>
    <w:p w14:paraId="17F47539" w14:textId="77777777" w:rsidR="006103B3" w:rsidRPr="00F90EAE" w:rsidRDefault="006103B3" w:rsidP="00F90EAE">
      <w:pPr>
        <w:autoSpaceDE w:val="0"/>
        <w:autoSpaceDN w:val="0"/>
        <w:adjustRightInd w:val="0"/>
        <w:jc w:val="both"/>
        <w:rPr>
          <w:color w:val="000000" w:themeColor="text1"/>
          <w:sz w:val="16"/>
          <w:szCs w:val="16"/>
        </w:rPr>
      </w:pPr>
    </w:p>
    <w:p w14:paraId="1841D4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 июня 1945 года площадка завода № 794 МАП была передана НК среднего машиностроения, а заводу № 794 по приказу НКАП за № 249 от 15 июня 1945 года была предоставлена новая площадка бывш. завода № 273 (Волковская ул., д. 23), который занимался выпуском лыж и катеров.</w:t>
      </w:r>
    </w:p>
    <w:p w14:paraId="30723B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переходом на новую площадку изменился и профиль завода.</w:t>
      </w:r>
    </w:p>
    <w:p w14:paraId="2967C3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0CBB18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 А.П. – с 1 апреля 1945 года</w:t>
      </w:r>
    </w:p>
    <w:p w14:paraId="009805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ОКБ:</w:t>
      </w:r>
    </w:p>
    <w:p w14:paraId="630562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Комедатов Ю.Г. – с 3 июня 1946 года по 3 сентября 1950 года</w:t>
      </w:r>
    </w:p>
    <w:p w14:paraId="609D4E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Котов А.А. – с 3 сентября 1950 года по 23 сентября 1954 года</w:t>
      </w:r>
    </w:p>
    <w:p w14:paraId="0DE9DE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Зазорин Е.А. – с 23 сентября 1954 года</w:t>
      </w:r>
    </w:p>
    <w:p w14:paraId="6000E6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w:t>
      </w:r>
    </w:p>
    <w:p w14:paraId="1DA2B8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Волковская ул., д. 27 (9866).</w:t>
      </w:r>
    </w:p>
    <w:p w14:paraId="068E41DB" w14:textId="77777777" w:rsidR="006103B3" w:rsidRPr="00F90EAE" w:rsidRDefault="006103B3" w:rsidP="00F90EAE">
      <w:pPr>
        <w:autoSpaceDE w:val="0"/>
        <w:autoSpaceDN w:val="0"/>
        <w:adjustRightInd w:val="0"/>
        <w:jc w:val="both"/>
        <w:rPr>
          <w:color w:val="000000" w:themeColor="text1"/>
          <w:sz w:val="16"/>
          <w:szCs w:val="16"/>
        </w:rPr>
      </w:pPr>
    </w:p>
    <w:p w14:paraId="1A81191F" w14:textId="77777777" w:rsidR="00996484" w:rsidRPr="00F90EAE" w:rsidRDefault="00996484" w:rsidP="00F90EAE">
      <w:pPr>
        <w:pStyle w:val="ae"/>
        <w:spacing w:before="0" w:after="0"/>
        <w:jc w:val="both"/>
        <w:textAlignment w:val="top"/>
        <w:rPr>
          <w:color w:val="000000" w:themeColor="text1"/>
          <w:sz w:val="16"/>
          <w:szCs w:val="16"/>
        </w:rPr>
      </w:pPr>
      <w:r w:rsidRPr="00F90EAE">
        <w:rPr>
          <w:color w:val="000000" w:themeColor="text1"/>
          <w:sz w:val="16"/>
          <w:szCs w:val="16"/>
        </w:rPr>
        <w:t>1 июня 1945 г. начальник Разведывательного управления Генштаба Красной Армии генерал Ф.Ф.Кузнецов сообщил А.И.Шахурину: «Пленный Э.Пурукер представляет для Вас большой интерес, так он широко осведомлен о производстве в Германии реактивных двигателей для самолетов. Пленный находится в Москве и может быть предоставлен для специального допроса вашим представителем.»</w:t>
      </w:r>
    </w:p>
    <w:p w14:paraId="65AD7454" w14:textId="77777777" w:rsidR="00996484" w:rsidRPr="00F90EAE" w:rsidRDefault="00996484" w:rsidP="00F90EAE">
      <w:pPr>
        <w:pStyle w:val="ae"/>
        <w:spacing w:before="0" w:after="0"/>
        <w:jc w:val="both"/>
        <w:textAlignment w:val="top"/>
        <w:rPr>
          <w:color w:val="000000" w:themeColor="text1"/>
          <w:sz w:val="16"/>
          <w:szCs w:val="16"/>
        </w:rPr>
      </w:pPr>
      <w:r w:rsidRPr="00F90EAE">
        <w:rPr>
          <w:color w:val="000000" w:themeColor="text1"/>
          <w:sz w:val="16"/>
          <w:szCs w:val="16"/>
        </w:rPr>
        <w:t>Пурукер рассказал о решении Гитлера в начале 1945 г. сосредоточить все усилия авиапромышленности на выпуске Me. 262, как наиболее доведенном по сравнению с Не 162, Аг 234 и Me 163. Чертежи этих машин и двигателей к ним, а также исправные образцы, по мнению задержанного, наиболее вероятно могли сохраниться на занятой советскими войсками территории: Ческе-Будеевице, Винер-Нойштадт и Бергкристал, восточнее Линца. Высокопоставленный инженер сообщил также о сосредоточении до 60 машин в окрестностях Праги. Представляла интерес информация, что наибольшие трудности немцы испытали при доведении лопаток турбин двигателя вследствие высоких тепловых нагрузок. Лишь после применения специальных жаропрочных сталей «Хромадур» и «Тринадур» удалось обеспечить работоспособность двигателей. Пика выпуска Me 262 немцы достигли в марте 1945 г., приняв с конвейеров 237 таких машин (19689).</w:t>
      </w:r>
    </w:p>
    <w:p w14:paraId="4A54B1F3" w14:textId="77777777" w:rsidR="00996484" w:rsidRPr="00F90EAE" w:rsidRDefault="00996484" w:rsidP="00F90EAE">
      <w:pPr>
        <w:pStyle w:val="ae"/>
        <w:spacing w:before="0" w:after="0"/>
        <w:jc w:val="both"/>
        <w:textAlignment w:val="top"/>
        <w:rPr>
          <w:color w:val="000000" w:themeColor="text1"/>
          <w:sz w:val="16"/>
          <w:szCs w:val="16"/>
        </w:rPr>
      </w:pPr>
    </w:p>
    <w:p w14:paraId="2E3BA5A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14E9A23" w14:textId="77777777" w:rsidR="006103B3" w:rsidRPr="00F90EAE" w:rsidRDefault="006103B3" w:rsidP="00F90EAE">
      <w:pPr>
        <w:autoSpaceDE w:val="0"/>
        <w:autoSpaceDN w:val="0"/>
        <w:adjustRightInd w:val="0"/>
        <w:jc w:val="both"/>
        <w:rPr>
          <w:iCs/>
          <w:color w:val="000000" w:themeColor="text1"/>
          <w:sz w:val="16"/>
          <w:szCs w:val="16"/>
        </w:rPr>
      </w:pPr>
    </w:p>
    <w:p w14:paraId="7F7BF977" w14:textId="77777777" w:rsidR="00823A00" w:rsidRPr="00F90EAE" w:rsidRDefault="00823A00" w:rsidP="00F90EAE">
      <w:pPr>
        <w:jc w:val="both"/>
        <w:rPr>
          <w:color w:val="000000" w:themeColor="text1"/>
          <w:sz w:val="16"/>
          <w:szCs w:val="16"/>
        </w:rPr>
      </w:pPr>
      <w:r w:rsidRPr="00F90EAE">
        <w:rPr>
          <w:color w:val="000000" w:themeColor="text1"/>
          <w:sz w:val="16"/>
          <w:szCs w:val="16"/>
        </w:rPr>
        <w:t>По 1 июня 1945 года с сентября 1941-го завод № 112 «Красное Сормово» сдал представителям ГБТУ КА 10894 танка Т-34, из них: 6270 Т-34-76 (3004 линейных, 2739 радийных, 310 огнеметных линейных ТО-34-76, 77 огнеметных радийных ТО-34-76 и 140 «генеральских» с радиостанцией РСБ-Ф), 255 Т-34-85 с пушкой Д5-Т (250 радийных и 5 «генеральских» с радиостанцией РСБ-Ф) и 4369 Т-34-85 с пушкой ЗИС-С-53 (4123 радийных, 55 огнеметных радийных ТО-34-85 и 191 «генеральский» с радиостанцией РСБ-Ф) (12217).</w:t>
      </w:r>
    </w:p>
    <w:p w14:paraId="521E58BE" w14:textId="77777777" w:rsidR="00823A00" w:rsidRPr="00F90EAE" w:rsidRDefault="00823A00" w:rsidP="00F90EAE">
      <w:pPr>
        <w:jc w:val="both"/>
        <w:rPr>
          <w:color w:val="000000" w:themeColor="text1"/>
          <w:sz w:val="16"/>
          <w:szCs w:val="16"/>
        </w:rPr>
      </w:pPr>
    </w:p>
    <w:p w14:paraId="713F5D71" w14:textId="77777777" w:rsidR="00823A00" w:rsidRPr="00F90EAE" w:rsidRDefault="00823A00" w:rsidP="00F90EAE">
      <w:pPr>
        <w:jc w:val="both"/>
        <w:rPr>
          <w:color w:val="000000" w:themeColor="text1"/>
          <w:sz w:val="16"/>
          <w:szCs w:val="16"/>
        </w:rPr>
      </w:pPr>
      <w:r w:rsidRPr="00F90EAE">
        <w:rPr>
          <w:color w:val="000000" w:themeColor="text1"/>
          <w:sz w:val="16"/>
          <w:szCs w:val="16"/>
        </w:rPr>
        <w:t xml:space="preserve">Всего по 1 июня 1945 года с 1 января 1942-го броневое производство завода № 183 изготовило 24537 бронекорпусов Т-34-76 и Т-34-85. Основным их дефектом было наличие трещин, в разные годы составлявших от 6,1 до 39% всех изготовленных корпусов. При этом наибольшее число трещин имелось на корпусах при вырезке </w:t>
      </w:r>
      <w:r w:rsidRPr="00F90EAE">
        <w:rPr>
          <w:color w:val="000000" w:themeColor="text1"/>
          <w:sz w:val="16"/>
          <w:szCs w:val="16"/>
        </w:rPr>
        <w:lastRenderedPageBreak/>
        <w:t>бортов в закаленном состоянии. После перехода на вырезку бортов в высоко- отпушенном состоянии общее количество трещин на корпусах уменьшилась примерно в пять раз.</w:t>
      </w:r>
    </w:p>
    <w:p w14:paraId="26F0B1E3" w14:textId="77777777" w:rsidR="00823A00" w:rsidRPr="00F90EAE" w:rsidRDefault="00823A00" w:rsidP="00F90EAE">
      <w:pPr>
        <w:jc w:val="both"/>
        <w:rPr>
          <w:color w:val="000000" w:themeColor="text1"/>
          <w:sz w:val="16"/>
          <w:szCs w:val="16"/>
        </w:rPr>
      </w:pPr>
      <w:r w:rsidRPr="00F90EAE">
        <w:rPr>
          <w:color w:val="000000" w:themeColor="text1"/>
          <w:sz w:val="16"/>
          <w:szCs w:val="16"/>
        </w:rPr>
        <w:t>В течение всей войны завод № 183 получал броневой лист с трех предприятий: Ново-Тагильского металлургического завода, Кузнецкого и Магнитогорского металлургических комбинатов. За все время работы, до июня 1945 года, большихперебоев со снабжением завода № 183 бронелис- том не было.</w:t>
      </w:r>
    </w:p>
    <w:p w14:paraId="7AE5126D" w14:textId="77777777" w:rsidR="00823A00" w:rsidRPr="00F90EAE" w:rsidRDefault="00823A00" w:rsidP="00F90EAE">
      <w:pPr>
        <w:jc w:val="both"/>
        <w:rPr>
          <w:color w:val="000000" w:themeColor="text1"/>
          <w:sz w:val="16"/>
          <w:szCs w:val="16"/>
        </w:rPr>
      </w:pPr>
      <w:r w:rsidRPr="00F90EAE">
        <w:rPr>
          <w:color w:val="000000" w:themeColor="text1"/>
          <w:sz w:val="16"/>
          <w:szCs w:val="16"/>
        </w:rPr>
        <w:t>За 1942-й - май 1945 года завод №183 отлил 28247 башен для танков Т-34-76 и Т-34-85, из них 1514 (примерно 5,4% общего выпуска) были признаны бракованными. Литье велось в земляные формы, при этом основными видами брака при производстве литых башен являлись обвал, срыв и засор форм и стержней. Причинами этого было неудовлетворительное состояние оснастки - сварные опоки вместо литых, из-за малых размеров не позволявшие иметь нормальный по толщине слой земли, что в свою очередь обуславливалось габаритами и мощностью формовочных машин, а также использование некондиционных формовочных смесей (горелая земля вместо свежего песка) и нарушение технологии литья (12217).</w:t>
      </w:r>
    </w:p>
    <w:p w14:paraId="4100CBF2" w14:textId="77777777" w:rsidR="00823A00" w:rsidRPr="00F90EAE" w:rsidRDefault="00823A00" w:rsidP="00F90EAE">
      <w:pPr>
        <w:jc w:val="both"/>
        <w:rPr>
          <w:color w:val="000000" w:themeColor="text1"/>
          <w:sz w:val="16"/>
          <w:szCs w:val="16"/>
        </w:rPr>
      </w:pPr>
    </w:p>
    <w:p w14:paraId="042200CD" w14:textId="77777777" w:rsidR="00B3672C" w:rsidRPr="00F90EAE" w:rsidRDefault="00B3672C" w:rsidP="00F90EAE">
      <w:pPr>
        <w:jc w:val="both"/>
        <w:rPr>
          <w:color w:val="0070C0"/>
          <w:sz w:val="16"/>
          <w:szCs w:val="16"/>
        </w:rPr>
      </w:pPr>
      <w:r w:rsidRPr="00F90EAE">
        <w:rPr>
          <w:color w:val="0070C0"/>
          <w:sz w:val="16"/>
          <w:szCs w:val="16"/>
        </w:rPr>
        <w:t>С 1 июня 1945 приказом-изменением №137 ОГК УЗТМ вводится на Су-100 ящик для личных вещей на правой надгусеничной полке спереди (пись</w:t>
      </w:r>
      <w:r w:rsidRPr="00F90EAE">
        <w:rPr>
          <w:color w:val="0070C0"/>
          <w:sz w:val="16"/>
          <w:szCs w:val="16"/>
        </w:rPr>
        <w:softHyphen/>
        <w:t>мо от 31 мая 1945 г. ЦАМО, фонд 38 опись 11369 дело 507). Однако эта ранняя кон</w:t>
      </w:r>
      <w:r w:rsidRPr="00F90EAE">
        <w:rPr>
          <w:color w:val="0070C0"/>
          <w:sz w:val="16"/>
          <w:szCs w:val="16"/>
        </w:rPr>
        <w:softHyphen/>
        <w:t>струкция ящика оказалась неудачной - при движении по кустарнику он сминался и отры</w:t>
      </w:r>
      <w:r w:rsidRPr="00F90EAE">
        <w:rPr>
          <w:color w:val="0070C0"/>
          <w:sz w:val="16"/>
          <w:szCs w:val="16"/>
        </w:rPr>
        <w:softHyphen/>
        <w:t>вался ветками. Неизвестно, оснащались ли все выпускавшиеся с июня по ноябрь СУ-100 такими ящиками, плохо показавшими себя на испытаниях, или все-таки в серии ящики для личный вещей, но уже улучшенной конструк</w:t>
      </w:r>
      <w:r w:rsidRPr="00F90EAE">
        <w:rPr>
          <w:color w:val="0070C0"/>
          <w:sz w:val="16"/>
          <w:szCs w:val="16"/>
        </w:rPr>
        <w:softHyphen/>
        <w:t>ции,утвердилисьтолько в ноябре (19927).</w:t>
      </w:r>
    </w:p>
    <w:p w14:paraId="2785782A" w14:textId="77777777" w:rsidR="00B3672C" w:rsidRPr="00F90EAE" w:rsidRDefault="00B3672C" w:rsidP="00F90EAE">
      <w:pPr>
        <w:jc w:val="both"/>
        <w:rPr>
          <w:color w:val="0070C0"/>
          <w:sz w:val="16"/>
          <w:szCs w:val="16"/>
        </w:rPr>
      </w:pPr>
    </w:p>
    <w:p w14:paraId="569CCF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июня 1945 г. был подготовлен КРАТКИЙ ОТЧЕТ О РАБОТЕ УПРАВЛЕНИЯ СНАБЖЕНИЯ ГАВТУ КА ЗА ГОДЫ ВЕЛИКОЙ ОТЕЧЕСТВЕННОЙ ВОЙНЫ</w:t>
      </w:r>
    </w:p>
    <w:p w14:paraId="58D3C0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r w:rsidRPr="00F90EAE">
        <w:rPr>
          <w:color w:val="000000" w:themeColor="text1"/>
          <w:sz w:val="16"/>
          <w:szCs w:val="16"/>
        </w:rPr>
        <w:t>. Получение новых автомашин от промышленности и по импорту</w:t>
      </w:r>
    </w:p>
    <w:p w14:paraId="4E8E90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период ведения Отечественной войны получено 463044 автомашины, в том числе 150430 оте</w:t>
      </w:r>
      <w:r w:rsidRPr="00F90EAE">
        <w:rPr>
          <w:color w:val="000000" w:themeColor="text1"/>
          <w:sz w:val="16"/>
          <w:szCs w:val="16"/>
        </w:rPr>
        <w:softHyphen/>
        <w:t>чественного производства и 312614 импортных:</w:t>
      </w:r>
    </w:p>
    <w:tbl>
      <w:tblPr>
        <w:tblW w:w="0" w:type="auto"/>
        <w:tblInd w:w="40" w:type="dxa"/>
        <w:tblLayout w:type="fixed"/>
        <w:tblCellMar>
          <w:left w:w="40" w:type="dxa"/>
          <w:right w:w="40" w:type="dxa"/>
        </w:tblCellMar>
        <w:tblLook w:val="0000" w:firstRow="0" w:lastRow="0" w:firstColumn="0" w:lastColumn="0" w:noHBand="0" w:noVBand="0"/>
      </w:tblPr>
      <w:tblGrid>
        <w:gridCol w:w="2352"/>
        <w:gridCol w:w="1325"/>
        <w:gridCol w:w="1325"/>
        <w:gridCol w:w="1325"/>
        <w:gridCol w:w="1162"/>
        <w:gridCol w:w="1162"/>
        <w:gridCol w:w="941"/>
      </w:tblGrid>
      <w:tr w:rsidR="00561F31" w:rsidRPr="00F90EAE" w14:paraId="54CA0F84" w14:textId="77777777">
        <w:trPr>
          <w:trHeight w:val="250"/>
        </w:trPr>
        <w:tc>
          <w:tcPr>
            <w:tcW w:w="2352" w:type="dxa"/>
            <w:tcBorders>
              <w:top w:val="single" w:sz="6" w:space="0" w:color="auto"/>
              <w:left w:val="single" w:sz="6" w:space="0" w:color="auto"/>
              <w:bottom w:val="nil"/>
              <w:right w:val="single" w:sz="6" w:space="0" w:color="auto"/>
            </w:tcBorders>
          </w:tcPr>
          <w:p w14:paraId="4E502F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Годы</w:t>
            </w:r>
          </w:p>
          <w:p w14:paraId="75421E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49210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Отечественные машины</w:t>
            </w:r>
          </w:p>
          <w:p w14:paraId="72824C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BACB5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Импортные машины</w:t>
            </w:r>
          </w:p>
          <w:p w14:paraId="7BBC49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015583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89E5A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265" w:type="dxa"/>
            <w:gridSpan w:val="3"/>
            <w:tcBorders>
              <w:top w:val="single" w:sz="6" w:space="0" w:color="auto"/>
              <w:left w:val="single" w:sz="6" w:space="0" w:color="auto"/>
              <w:bottom w:val="single" w:sz="6" w:space="0" w:color="auto"/>
              <w:right w:val="single" w:sz="6" w:space="0" w:color="auto"/>
            </w:tcBorders>
          </w:tcPr>
          <w:p w14:paraId="7E05FC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46AF79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26DBED1" w14:textId="77777777">
        <w:trPr>
          <w:trHeight w:val="240"/>
        </w:trPr>
        <w:tc>
          <w:tcPr>
            <w:tcW w:w="2352" w:type="dxa"/>
            <w:tcBorders>
              <w:top w:val="nil"/>
              <w:left w:val="single" w:sz="6" w:space="0" w:color="auto"/>
              <w:bottom w:val="single" w:sz="6" w:space="0" w:color="auto"/>
              <w:right w:val="single" w:sz="6" w:space="0" w:color="auto"/>
            </w:tcBorders>
          </w:tcPr>
          <w:p w14:paraId="66C2214E" w14:textId="77777777" w:rsidR="006103B3" w:rsidRPr="00F90EAE" w:rsidRDefault="006103B3" w:rsidP="00F90EAE">
            <w:pPr>
              <w:autoSpaceDE w:val="0"/>
              <w:autoSpaceDN w:val="0"/>
              <w:adjustRightInd w:val="0"/>
              <w:jc w:val="both"/>
              <w:rPr>
                <w:color w:val="000000" w:themeColor="text1"/>
                <w:sz w:val="16"/>
                <w:szCs w:val="16"/>
              </w:rPr>
            </w:pPr>
          </w:p>
          <w:p w14:paraId="40848BD2" w14:textId="77777777" w:rsidR="006103B3" w:rsidRPr="00F90EAE" w:rsidRDefault="006103B3" w:rsidP="00F90EAE">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37F4D301" w14:textId="77777777" w:rsidR="006103B3" w:rsidRPr="00F90EAE" w:rsidRDefault="006103B3" w:rsidP="00F90EAE">
            <w:pPr>
              <w:autoSpaceDE w:val="0"/>
              <w:autoSpaceDN w:val="0"/>
              <w:adjustRightInd w:val="0"/>
              <w:jc w:val="both"/>
              <w:rPr>
                <w:color w:val="000000" w:themeColor="text1"/>
                <w:sz w:val="16"/>
                <w:szCs w:val="16"/>
              </w:rPr>
            </w:pPr>
          </w:p>
          <w:p w14:paraId="464F8D6D" w14:textId="77777777" w:rsidR="006103B3" w:rsidRPr="00F90EAE" w:rsidRDefault="006103B3" w:rsidP="00F90EAE">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74F1740C" w14:textId="77777777" w:rsidR="006103B3" w:rsidRPr="00F90EAE" w:rsidRDefault="006103B3" w:rsidP="00F90EAE">
            <w:pPr>
              <w:autoSpaceDE w:val="0"/>
              <w:autoSpaceDN w:val="0"/>
              <w:adjustRightInd w:val="0"/>
              <w:jc w:val="both"/>
              <w:rPr>
                <w:color w:val="000000" w:themeColor="text1"/>
                <w:sz w:val="16"/>
                <w:szCs w:val="16"/>
              </w:rPr>
            </w:pPr>
          </w:p>
          <w:p w14:paraId="6DFDEE50" w14:textId="77777777" w:rsidR="006103B3" w:rsidRPr="00F90EAE" w:rsidRDefault="006103B3" w:rsidP="00F90EAE">
            <w:pPr>
              <w:autoSpaceDE w:val="0"/>
              <w:autoSpaceDN w:val="0"/>
              <w:adjustRightInd w:val="0"/>
              <w:jc w:val="both"/>
              <w:rPr>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41AC59F0" w14:textId="77777777" w:rsidR="006103B3" w:rsidRPr="00F90EAE" w:rsidRDefault="006103B3" w:rsidP="00F90EAE">
            <w:pPr>
              <w:autoSpaceDE w:val="0"/>
              <w:autoSpaceDN w:val="0"/>
              <w:adjustRightInd w:val="0"/>
              <w:jc w:val="both"/>
              <w:rPr>
                <w:color w:val="000000" w:themeColor="text1"/>
                <w:sz w:val="16"/>
                <w:szCs w:val="16"/>
              </w:rPr>
            </w:pPr>
          </w:p>
          <w:p w14:paraId="0C03352A" w14:textId="77777777" w:rsidR="006103B3" w:rsidRPr="00F90EAE" w:rsidRDefault="006103B3" w:rsidP="00F90EAE">
            <w:pPr>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21B52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грузовые</w:t>
            </w:r>
          </w:p>
          <w:p w14:paraId="1D2921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DEEBAC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тягачи</w:t>
            </w:r>
          </w:p>
          <w:p w14:paraId="5A7FFB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AEC82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легковые</w:t>
            </w:r>
          </w:p>
          <w:p w14:paraId="5E565E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B93C687"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373E2C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 (с 22.06 по 31. 12)</w:t>
            </w:r>
          </w:p>
          <w:p w14:paraId="674D26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5C270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37321</w:t>
            </w:r>
          </w:p>
          <w:p w14:paraId="5F70F7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BCA1C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385</w:t>
            </w:r>
          </w:p>
          <w:p w14:paraId="63BCFA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3E45A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37706</w:t>
            </w:r>
          </w:p>
          <w:p w14:paraId="4A6AD6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B317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36833</w:t>
            </w:r>
          </w:p>
          <w:p w14:paraId="14A616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42B926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4164A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6454C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873</w:t>
            </w:r>
          </w:p>
          <w:p w14:paraId="5B8A16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76E1DFA"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4F341C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год</w:t>
            </w:r>
          </w:p>
          <w:p w14:paraId="1D2DDD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3A7E3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25038</w:t>
            </w:r>
          </w:p>
          <w:p w14:paraId="5AC60E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B30C9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32460</w:t>
            </w:r>
          </w:p>
          <w:p w14:paraId="19A731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E2364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57498</w:t>
            </w:r>
          </w:p>
          <w:p w14:paraId="6EDD04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00BFB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36820</w:t>
            </w:r>
          </w:p>
          <w:p w14:paraId="56CC02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B8793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14747 ^</w:t>
            </w:r>
          </w:p>
          <w:p w14:paraId="4B3FFF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713485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5931</w:t>
            </w:r>
          </w:p>
          <w:p w14:paraId="06F81C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69BCA08"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5680FE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2DAE5A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DB0F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40619</w:t>
            </w:r>
          </w:p>
          <w:p w14:paraId="32F32B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5CEB3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95191</w:t>
            </w:r>
          </w:p>
          <w:p w14:paraId="55BF94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A7AB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135810</w:t>
            </w:r>
          </w:p>
          <w:p w14:paraId="086758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FC758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61809</w:t>
            </w:r>
          </w:p>
          <w:p w14:paraId="1D92ED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8A34B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59550</w:t>
            </w:r>
          </w:p>
          <w:p w14:paraId="1B888C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608085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14451</w:t>
            </w:r>
          </w:p>
          <w:p w14:paraId="3D8587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7E56AE5" w14:textId="77777777">
        <w:trPr>
          <w:trHeight w:val="230"/>
        </w:trPr>
        <w:tc>
          <w:tcPr>
            <w:tcW w:w="2352" w:type="dxa"/>
            <w:tcBorders>
              <w:top w:val="single" w:sz="6" w:space="0" w:color="auto"/>
              <w:left w:val="single" w:sz="6" w:space="0" w:color="auto"/>
              <w:bottom w:val="single" w:sz="6" w:space="0" w:color="auto"/>
              <w:right w:val="single" w:sz="6" w:space="0" w:color="auto"/>
            </w:tcBorders>
          </w:tcPr>
          <w:p w14:paraId="61A25E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2D0FA3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4BF1C1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36709</w:t>
            </w:r>
          </w:p>
          <w:p w14:paraId="149BA1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18902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140562</w:t>
            </w:r>
          </w:p>
          <w:p w14:paraId="703409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74F27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177271</w:t>
            </w:r>
          </w:p>
          <w:p w14:paraId="52A69F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D4BC8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62889</w:t>
            </w:r>
          </w:p>
          <w:p w14:paraId="3F547C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274391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95526</w:t>
            </w:r>
          </w:p>
          <w:p w14:paraId="663EE4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C1DB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18856</w:t>
            </w:r>
          </w:p>
          <w:p w14:paraId="490C4C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D92310C" w14:textId="77777777">
        <w:trPr>
          <w:trHeight w:val="240"/>
        </w:trPr>
        <w:tc>
          <w:tcPr>
            <w:tcW w:w="2352" w:type="dxa"/>
            <w:tcBorders>
              <w:top w:val="single" w:sz="6" w:space="0" w:color="auto"/>
              <w:left w:val="single" w:sz="6" w:space="0" w:color="auto"/>
              <w:bottom w:val="single" w:sz="6" w:space="0" w:color="auto"/>
              <w:right w:val="single" w:sz="6" w:space="0" w:color="auto"/>
            </w:tcBorders>
          </w:tcPr>
          <w:p w14:paraId="3742D7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1.01 по 9.05)</w:t>
            </w:r>
          </w:p>
          <w:p w14:paraId="1A4A14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27097A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10743</w:t>
            </w:r>
          </w:p>
          <w:p w14:paraId="31A7F9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40896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44016</w:t>
            </w:r>
          </w:p>
          <w:p w14:paraId="288444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53208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54759</w:t>
            </w:r>
          </w:p>
          <w:p w14:paraId="1B6B8F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87A49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17586</w:t>
            </w:r>
          </w:p>
          <w:p w14:paraId="565FD3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53D28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31683</w:t>
            </w:r>
          </w:p>
          <w:p w14:paraId="0658BD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1570A5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5490</w:t>
            </w:r>
          </w:p>
          <w:p w14:paraId="1D8B21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EFC73FC" w14:textId="77777777">
        <w:trPr>
          <w:trHeight w:val="259"/>
        </w:trPr>
        <w:tc>
          <w:tcPr>
            <w:tcW w:w="2352" w:type="dxa"/>
            <w:tcBorders>
              <w:top w:val="single" w:sz="6" w:space="0" w:color="auto"/>
              <w:left w:val="single" w:sz="6" w:space="0" w:color="auto"/>
              <w:bottom w:val="single" w:sz="6" w:space="0" w:color="auto"/>
              <w:right w:val="single" w:sz="6" w:space="0" w:color="auto"/>
            </w:tcBorders>
          </w:tcPr>
          <w:p w14:paraId="6C70A6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38C283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194E39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150430</w:t>
            </w:r>
          </w:p>
          <w:p w14:paraId="68F483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07603E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312614</w:t>
            </w:r>
          </w:p>
          <w:p w14:paraId="124EA6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6E56C0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463044</w:t>
            </w:r>
          </w:p>
          <w:p w14:paraId="1115E2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0FA59F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215937</w:t>
            </w:r>
          </w:p>
          <w:p w14:paraId="5FF601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7B9E85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201506</w:t>
            </w:r>
          </w:p>
          <w:p w14:paraId="0B756F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3350AF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45601</w:t>
            </w:r>
          </w:p>
          <w:p w14:paraId="396C68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05FA4E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Снижение поставки отечественных машин в 1942 г. объясняется временным выходом из строя Горьковского автозавода и эвакуацией части автозавода им. Сталина.</w:t>
      </w:r>
    </w:p>
    <w:p w14:paraId="6E9A01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w:t>
      </w:r>
      <w:r w:rsidRPr="00F90EAE">
        <w:rPr>
          <w:color w:val="000000" w:themeColor="text1"/>
          <w:sz w:val="16"/>
          <w:szCs w:val="16"/>
        </w:rPr>
        <w:t>. Выдача автомашин на укомплектование войск</w:t>
      </w:r>
    </w:p>
    <w:p w14:paraId="25436F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укомплектование формируемых танковых, артиллерийских, стрелковых и других частей резерва Ставки, а также для пополнения некомплекта автопарка фронтов за годы войны выдано 444810 машин. Кроме того, 30844 машины выдано НКВД, НКВМФ и народному хозяйству по поста</w:t>
      </w:r>
      <w:r w:rsidRPr="00F90EAE">
        <w:rPr>
          <w:color w:val="000000" w:themeColor="text1"/>
          <w:sz w:val="16"/>
          <w:szCs w:val="16"/>
        </w:rPr>
        <w:softHyphen/>
        <w:t>новлениям правительства, а всего — 475654 машины.</w:t>
      </w:r>
    </w:p>
    <w:tbl>
      <w:tblPr>
        <w:tblW w:w="0" w:type="auto"/>
        <w:tblInd w:w="40" w:type="dxa"/>
        <w:tblLayout w:type="fixed"/>
        <w:tblCellMar>
          <w:left w:w="40" w:type="dxa"/>
          <w:right w:w="40" w:type="dxa"/>
        </w:tblCellMar>
        <w:tblLook w:val="0000" w:firstRow="0" w:lastRow="0" w:firstColumn="0" w:lastColumn="0" w:noHBand="0" w:noVBand="0"/>
      </w:tblPr>
      <w:tblGrid>
        <w:gridCol w:w="3119"/>
        <w:gridCol w:w="1134"/>
        <w:gridCol w:w="992"/>
        <w:gridCol w:w="1134"/>
        <w:gridCol w:w="1134"/>
        <w:gridCol w:w="1134"/>
        <w:gridCol w:w="851"/>
      </w:tblGrid>
      <w:tr w:rsidR="00561F31" w:rsidRPr="00F90EAE" w14:paraId="4D996E66" w14:textId="77777777">
        <w:trPr>
          <w:trHeight w:val="586"/>
        </w:trPr>
        <w:tc>
          <w:tcPr>
            <w:tcW w:w="3119" w:type="dxa"/>
            <w:tcBorders>
              <w:top w:val="single" w:sz="6" w:space="0" w:color="auto"/>
              <w:left w:val="single" w:sz="6" w:space="0" w:color="auto"/>
              <w:bottom w:val="single" w:sz="6" w:space="0" w:color="auto"/>
              <w:right w:val="single" w:sz="6" w:space="0" w:color="auto"/>
            </w:tcBorders>
          </w:tcPr>
          <w:p w14:paraId="27271D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родов войск</w:t>
            </w:r>
          </w:p>
          <w:p w14:paraId="22B1AA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E353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 (с 1 .07 по 31.12)</w:t>
            </w:r>
          </w:p>
          <w:p w14:paraId="6FF578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72660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год</w:t>
            </w:r>
          </w:p>
          <w:p w14:paraId="566226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60E0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35A2A3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B6225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3F536B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50BE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 .01 по 9.05)</w:t>
            </w:r>
          </w:p>
          <w:p w14:paraId="7A9BF3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BD94F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6AD6CD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B2B176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22D0B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Танковые и механизированные</w:t>
            </w:r>
          </w:p>
          <w:p w14:paraId="651B72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8F6B5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14916</w:t>
            </w:r>
          </w:p>
          <w:p w14:paraId="5B983B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7A3256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30813</w:t>
            </w:r>
          </w:p>
          <w:p w14:paraId="782321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D66A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26479</w:t>
            </w:r>
          </w:p>
          <w:p w14:paraId="1AD20C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43C4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30186</w:t>
            </w:r>
          </w:p>
          <w:p w14:paraId="4DD899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75B3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8574</w:t>
            </w:r>
          </w:p>
          <w:p w14:paraId="03739B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529F5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110968</w:t>
            </w:r>
          </w:p>
          <w:p w14:paraId="35C895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9FF2E8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F2EBB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Артиллерия</w:t>
            </w:r>
          </w:p>
          <w:p w14:paraId="6ED6C7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009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7644</w:t>
            </w:r>
          </w:p>
          <w:p w14:paraId="2238E4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7B9509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18583</w:t>
            </w:r>
          </w:p>
          <w:p w14:paraId="1FA7C2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1E4D9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33040</w:t>
            </w:r>
          </w:p>
          <w:p w14:paraId="438029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C5EB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32998</w:t>
            </w:r>
          </w:p>
          <w:p w14:paraId="11F3D4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C4E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13065</w:t>
            </w:r>
          </w:p>
          <w:p w14:paraId="22EFC3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32543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105330</w:t>
            </w:r>
          </w:p>
          <w:p w14:paraId="278B67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2823EF9"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3DA9DC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388938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35AF2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31927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069C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3A542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5E8AD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A421E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4D9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035BF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F226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CADDB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4D1DA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1A56E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DAB537B"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9B6AE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Артиллерийские части РВГК</w:t>
            </w:r>
          </w:p>
          <w:p w14:paraId="0042C9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D2715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1120</w:t>
            </w:r>
          </w:p>
          <w:p w14:paraId="7F78F7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EB079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11047</w:t>
            </w:r>
          </w:p>
          <w:p w14:paraId="332F4E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8DF65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24724 ]</w:t>
            </w:r>
          </w:p>
          <w:p w14:paraId="6D567B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CFE3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25024</w:t>
            </w:r>
          </w:p>
          <w:p w14:paraId="27513C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2954C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10140</w:t>
            </w:r>
          </w:p>
          <w:p w14:paraId="649CED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356FF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72055</w:t>
            </w:r>
          </w:p>
          <w:p w14:paraId="6B98BD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255E96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10AE90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Гв. минометные</w:t>
            </w:r>
          </w:p>
          <w:p w14:paraId="13EA00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200AF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6524</w:t>
            </w:r>
          </w:p>
          <w:p w14:paraId="4F51F2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15CE6F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7108</w:t>
            </w:r>
          </w:p>
          <w:p w14:paraId="2B969A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BC110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6365</w:t>
            </w:r>
          </w:p>
          <w:p w14:paraId="489AE3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918EE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5162</w:t>
            </w:r>
          </w:p>
          <w:p w14:paraId="4C8BCA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9DC35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1895</w:t>
            </w:r>
          </w:p>
          <w:p w14:paraId="000307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3297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27054</w:t>
            </w:r>
          </w:p>
          <w:p w14:paraId="22ECD2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966544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4E756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Части ПВО</w:t>
            </w:r>
          </w:p>
          <w:p w14:paraId="19F681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0CC14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0406F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30759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428</w:t>
            </w:r>
          </w:p>
          <w:p w14:paraId="5BF1AC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18238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1951</w:t>
            </w:r>
          </w:p>
          <w:p w14:paraId="5BC48E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E8B51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2812</w:t>
            </w:r>
          </w:p>
          <w:p w14:paraId="61B744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BBAD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1030</w:t>
            </w:r>
          </w:p>
          <w:p w14:paraId="11037E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E0E34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6221</w:t>
            </w:r>
          </w:p>
          <w:p w14:paraId="12015D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331A56F"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5BB1B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Стрелковые</w:t>
            </w:r>
          </w:p>
          <w:p w14:paraId="361343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00EB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9195</w:t>
            </w:r>
          </w:p>
          <w:p w14:paraId="6A4AC4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15FB5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285</w:t>
            </w:r>
          </w:p>
          <w:p w14:paraId="5FC909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8176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19183</w:t>
            </w:r>
          </w:p>
          <w:p w14:paraId="07A2E0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E7B1C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18305</w:t>
            </w:r>
          </w:p>
          <w:p w14:paraId="240C03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E9F7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6744</w:t>
            </w:r>
          </w:p>
          <w:p w14:paraId="59C504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7649C9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53712</w:t>
            </w:r>
          </w:p>
          <w:p w14:paraId="07C09C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E0418EE"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22A43C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Кавалерийские</w:t>
            </w:r>
          </w:p>
          <w:p w14:paraId="11BEA9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7390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E7692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5EFAF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w:t>
            </w:r>
          </w:p>
          <w:p w14:paraId="172978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CFFF4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578</w:t>
            </w:r>
          </w:p>
          <w:p w14:paraId="7240A4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4FC4F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1042</w:t>
            </w:r>
          </w:p>
          <w:p w14:paraId="4E88C3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AE21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p w14:paraId="065796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93A4D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1739</w:t>
            </w:r>
          </w:p>
          <w:p w14:paraId="7CC649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A8750CA"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5E3D42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Военно-воздушные</w:t>
            </w:r>
          </w:p>
          <w:p w14:paraId="6F1F5D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5501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1084</w:t>
            </w:r>
          </w:p>
          <w:p w14:paraId="553300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BA03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896</w:t>
            </w:r>
          </w:p>
          <w:p w14:paraId="1B1A20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6C58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4322</w:t>
            </w:r>
          </w:p>
          <w:p w14:paraId="5B796A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E7EF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7543</w:t>
            </w:r>
          </w:p>
          <w:p w14:paraId="6BEE8B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6AE8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2872</w:t>
            </w:r>
          </w:p>
          <w:p w14:paraId="55729E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9252E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16717</w:t>
            </w:r>
          </w:p>
          <w:p w14:paraId="128670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EB1BC07"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3329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Воздушно-десантные</w:t>
            </w:r>
          </w:p>
          <w:p w14:paraId="79D878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9AED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29621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418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240</w:t>
            </w:r>
          </w:p>
          <w:p w14:paraId="3AAE2CD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FC06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488</w:t>
            </w:r>
          </w:p>
          <w:p w14:paraId="4D8322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C61F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884</w:t>
            </w:r>
          </w:p>
          <w:p w14:paraId="5DBD30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0965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98330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8DC04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1612</w:t>
            </w:r>
          </w:p>
          <w:p w14:paraId="7BA331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B71A674"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3873A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Автомобильные</w:t>
            </w:r>
          </w:p>
          <w:p w14:paraId="35DB1D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0022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1126</w:t>
            </w:r>
          </w:p>
          <w:p w14:paraId="4A259D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014BA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3087</w:t>
            </w:r>
          </w:p>
          <w:p w14:paraId="5645CB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EA1A4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28318</w:t>
            </w:r>
          </w:p>
          <w:p w14:paraId="2A3081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1D716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25597</w:t>
            </w:r>
          </w:p>
          <w:p w14:paraId="537C61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5C387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5059</w:t>
            </w:r>
          </w:p>
          <w:p w14:paraId="19398F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04DB6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63187</w:t>
            </w:r>
          </w:p>
          <w:p w14:paraId="505F84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6902D2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520BA6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Дорожные</w:t>
            </w:r>
          </w:p>
          <w:p w14:paraId="240062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D2CA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5AA762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8479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F2A99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0586C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1378</w:t>
            </w:r>
          </w:p>
          <w:p w14:paraId="0B4B4F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33D54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1349</w:t>
            </w:r>
          </w:p>
          <w:p w14:paraId="42D8ED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1205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105</w:t>
            </w:r>
          </w:p>
          <w:p w14:paraId="29574B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50056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2832</w:t>
            </w:r>
          </w:p>
          <w:p w14:paraId="48F47D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68C351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42086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Части связи</w:t>
            </w:r>
          </w:p>
          <w:p w14:paraId="2ED322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D2F2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455</w:t>
            </w:r>
          </w:p>
          <w:p w14:paraId="5BBBCB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E8BDD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961</w:t>
            </w:r>
          </w:p>
          <w:p w14:paraId="66C328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B54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1384</w:t>
            </w:r>
          </w:p>
          <w:p w14:paraId="4A0615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67F47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1253</w:t>
            </w:r>
          </w:p>
          <w:p w14:paraId="3BEE32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C1668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481</w:t>
            </w:r>
          </w:p>
          <w:p w14:paraId="42C4F3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8B737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4534</w:t>
            </w:r>
          </w:p>
          <w:p w14:paraId="47D44C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442874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3BDCCE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Инженерные</w:t>
            </w:r>
          </w:p>
          <w:p w14:paraId="20D9B2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AB24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419</w:t>
            </w:r>
          </w:p>
          <w:p w14:paraId="7292D8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68194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w:t>
            </w:r>
          </w:p>
          <w:p w14:paraId="341FAD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E61A8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1109</w:t>
            </w:r>
          </w:p>
          <w:p w14:paraId="437B09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22EDA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782</w:t>
            </w:r>
          </w:p>
          <w:p w14:paraId="3A8565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A8CBB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363</w:t>
            </w:r>
          </w:p>
          <w:p w14:paraId="7408C1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EE99E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2696</w:t>
            </w:r>
          </w:p>
          <w:p w14:paraId="3379D7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9CE0353"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74C02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Санитарные</w:t>
            </w:r>
          </w:p>
          <w:p w14:paraId="69FDA8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3375E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466</w:t>
            </w:r>
          </w:p>
          <w:p w14:paraId="3E266B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2E3C4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403</w:t>
            </w:r>
          </w:p>
          <w:p w14:paraId="57088C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E0F6A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737</w:t>
            </w:r>
          </w:p>
          <w:p w14:paraId="308790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C501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1212</w:t>
            </w:r>
          </w:p>
          <w:p w14:paraId="2FCA0E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A032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141</w:t>
            </w:r>
          </w:p>
          <w:p w14:paraId="1DACBD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70185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2959</w:t>
            </w:r>
          </w:p>
          <w:p w14:paraId="607028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18A590F"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7F625E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Химические</w:t>
            </w:r>
          </w:p>
          <w:p w14:paraId="7BD6A5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A967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1FEBA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43AE5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550</w:t>
            </w:r>
          </w:p>
          <w:p w14:paraId="2281C8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E32D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1208</w:t>
            </w:r>
          </w:p>
          <w:p w14:paraId="115DFE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DEA1A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1272</w:t>
            </w:r>
          </w:p>
          <w:p w14:paraId="79156D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27B8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w:t>
            </w:r>
          </w:p>
          <w:p w14:paraId="7CE598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0F1828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3190</w:t>
            </w:r>
          </w:p>
          <w:p w14:paraId="2CD424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D4753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138784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Фронты действующей армии</w:t>
            </w:r>
          </w:p>
          <w:p w14:paraId="50F778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C40A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1603</w:t>
            </w:r>
          </w:p>
          <w:p w14:paraId="3BCF8F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4BFD3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3225</w:t>
            </w:r>
          </w:p>
          <w:p w14:paraId="6E1149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8429B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17785</w:t>
            </w:r>
          </w:p>
          <w:p w14:paraId="1E545A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25F0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26824</w:t>
            </w:r>
          </w:p>
          <w:p w14:paraId="3B8B8E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3E1B1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1963</w:t>
            </w:r>
          </w:p>
          <w:p w14:paraId="3458A1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74A34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51400</w:t>
            </w:r>
          </w:p>
          <w:p w14:paraId="04CD26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EF0A3B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4449E9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ДВФ и Забфронт</w:t>
            </w:r>
          </w:p>
          <w:p w14:paraId="628D9E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0441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45932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CE184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p w14:paraId="52A5C8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D15E6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0C32B7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C21A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4042</w:t>
            </w:r>
          </w:p>
          <w:p w14:paraId="018530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AAB1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5003</w:t>
            </w:r>
          </w:p>
          <w:p w14:paraId="485DC2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FF228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9078</w:t>
            </w:r>
          </w:p>
          <w:p w14:paraId="17FE39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940266A" w14:textId="77777777">
        <w:trPr>
          <w:trHeight w:val="250"/>
        </w:trPr>
        <w:tc>
          <w:tcPr>
            <w:tcW w:w="3119" w:type="dxa"/>
            <w:tcBorders>
              <w:top w:val="single" w:sz="6" w:space="0" w:color="auto"/>
              <w:left w:val="single" w:sz="6" w:space="0" w:color="auto"/>
              <w:bottom w:val="single" w:sz="6" w:space="0" w:color="auto"/>
              <w:right w:val="single" w:sz="6" w:space="0" w:color="auto"/>
            </w:tcBorders>
          </w:tcPr>
          <w:p w14:paraId="40C570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Военные округа</w:t>
            </w:r>
          </w:p>
          <w:p w14:paraId="7179FA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8EC0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w:t>
            </w:r>
          </w:p>
          <w:p w14:paraId="528D2B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CD180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5C3634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68B95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855</w:t>
            </w:r>
          </w:p>
          <w:p w14:paraId="53E540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CDDA2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4257</w:t>
            </w:r>
          </w:p>
          <w:p w14:paraId="7DB963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302D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1463</w:t>
            </w:r>
          </w:p>
          <w:p w14:paraId="6F4B4D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36EAA8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6925</w:t>
            </w:r>
          </w:p>
          <w:p w14:paraId="633C3E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FEB8C1B" w14:textId="77777777">
        <w:trPr>
          <w:trHeight w:val="413"/>
        </w:trPr>
        <w:tc>
          <w:tcPr>
            <w:tcW w:w="3119" w:type="dxa"/>
            <w:tcBorders>
              <w:top w:val="single" w:sz="6" w:space="0" w:color="auto"/>
              <w:left w:val="single" w:sz="6" w:space="0" w:color="auto"/>
              <w:bottom w:val="single" w:sz="6" w:space="0" w:color="auto"/>
              <w:right w:val="single" w:sz="6" w:space="0" w:color="auto"/>
            </w:tcBorders>
          </w:tcPr>
          <w:p w14:paraId="4D0E82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Управления, учреждения и учебные части Красной Армии</w:t>
            </w:r>
          </w:p>
          <w:p w14:paraId="40A218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8861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163</w:t>
            </w:r>
          </w:p>
          <w:p w14:paraId="7C1C01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596085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610</w:t>
            </w:r>
          </w:p>
          <w:p w14:paraId="66F8A5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FC29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812</w:t>
            </w:r>
          </w:p>
          <w:p w14:paraId="43DD1A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43D70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4431</w:t>
            </w:r>
          </w:p>
          <w:p w14:paraId="142195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60F2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1915</w:t>
            </w:r>
          </w:p>
          <w:p w14:paraId="0D427C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AB5AA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7931</w:t>
            </w:r>
          </w:p>
          <w:p w14:paraId="365041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942FD82"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4A6AAB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для Красной Армии</w:t>
            </w:r>
          </w:p>
          <w:p w14:paraId="7943D5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5420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37321</w:t>
            </w:r>
          </w:p>
          <w:p w14:paraId="486E48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49D3C3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59861</w:t>
            </w:r>
          </w:p>
          <w:p w14:paraId="5BF0DE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8404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137683</w:t>
            </w:r>
          </w:p>
          <w:p w14:paraId="5DA5B4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90855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161977</w:t>
            </w:r>
          </w:p>
          <w:p w14:paraId="0FBC52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C112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47968</w:t>
            </w:r>
          </w:p>
          <w:p w14:paraId="780119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5D3624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444810</w:t>
            </w:r>
          </w:p>
          <w:p w14:paraId="012BD2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BF6B1F8"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A0421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Войска НКВД</w:t>
            </w:r>
          </w:p>
          <w:p w14:paraId="3B83E0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D520F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01A1A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648154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509F0B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89DF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1258</w:t>
            </w:r>
          </w:p>
          <w:p w14:paraId="444A91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BBA0D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4382</w:t>
            </w:r>
          </w:p>
          <w:p w14:paraId="2BB69C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79886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1039</w:t>
            </w:r>
          </w:p>
          <w:p w14:paraId="517669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AA5C1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6693</w:t>
            </w:r>
          </w:p>
          <w:p w14:paraId="109AC1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6F1760D"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621628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Военно-Морской Флот</w:t>
            </w:r>
          </w:p>
          <w:p w14:paraId="071898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59DC4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08F0A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2A9568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w:t>
            </w:r>
          </w:p>
          <w:p w14:paraId="40CB01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7140C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402</w:t>
            </w:r>
          </w:p>
          <w:p w14:paraId="671E22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22B2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1456</w:t>
            </w:r>
          </w:p>
          <w:p w14:paraId="7017A4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60241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2164</w:t>
            </w:r>
          </w:p>
          <w:p w14:paraId="2F993A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245C91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4034</w:t>
            </w:r>
          </w:p>
          <w:p w14:paraId="0E42E2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516C8DD" w14:textId="77777777">
        <w:trPr>
          <w:trHeight w:val="230"/>
        </w:trPr>
        <w:tc>
          <w:tcPr>
            <w:tcW w:w="3119" w:type="dxa"/>
            <w:tcBorders>
              <w:top w:val="single" w:sz="6" w:space="0" w:color="auto"/>
              <w:left w:val="single" w:sz="6" w:space="0" w:color="auto"/>
              <w:bottom w:val="single" w:sz="6" w:space="0" w:color="auto"/>
              <w:right w:val="single" w:sz="6" w:space="0" w:color="auto"/>
            </w:tcBorders>
          </w:tcPr>
          <w:p w14:paraId="684A99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Народное хозяйство</w:t>
            </w:r>
          </w:p>
          <w:p w14:paraId="10FA44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C3420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6CCE2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1D2D0B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w:t>
            </w:r>
          </w:p>
          <w:p w14:paraId="642311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5A8D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4583</w:t>
            </w:r>
          </w:p>
          <w:p w14:paraId="1CFB4C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FB076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12658</w:t>
            </w:r>
          </w:p>
          <w:p w14:paraId="5FB632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BC0E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2821</w:t>
            </w:r>
          </w:p>
          <w:p w14:paraId="288BC2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14BE6A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20117</w:t>
            </w:r>
          </w:p>
          <w:p w14:paraId="6803CE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6722711" w14:textId="77777777">
        <w:trPr>
          <w:trHeight w:val="240"/>
        </w:trPr>
        <w:tc>
          <w:tcPr>
            <w:tcW w:w="3119" w:type="dxa"/>
            <w:tcBorders>
              <w:top w:val="single" w:sz="6" w:space="0" w:color="auto"/>
              <w:left w:val="single" w:sz="6" w:space="0" w:color="auto"/>
              <w:bottom w:val="single" w:sz="6" w:space="0" w:color="auto"/>
              <w:right w:val="single" w:sz="6" w:space="0" w:color="auto"/>
            </w:tcBorders>
          </w:tcPr>
          <w:p w14:paraId="0624AC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47FA07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E1025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C8D0D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3A52B8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81</w:t>
            </w:r>
          </w:p>
          <w:p w14:paraId="1284D2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C8084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6243</w:t>
            </w:r>
          </w:p>
          <w:p w14:paraId="3975A4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12E95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18496</w:t>
            </w:r>
          </w:p>
          <w:p w14:paraId="231E4E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BFB6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6024</w:t>
            </w:r>
          </w:p>
          <w:p w14:paraId="41B7E1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464718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30844</w:t>
            </w:r>
          </w:p>
          <w:p w14:paraId="307653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79839BF" w14:textId="77777777">
        <w:trPr>
          <w:trHeight w:val="259"/>
        </w:trPr>
        <w:tc>
          <w:tcPr>
            <w:tcW w:w="3119" w:type="dxa"/>
            <w:tcBorders>
              <w:top w:val="single" w:sz="6" w:space="0" w:color="auto"/>
              <w:left w:val="single" w:sz="6" w:space="0" w:color="auto"/>
              <w:bottom w:val="single" w:sz="6" w:space="0" w:color="auto"/>
              <w:right w:val="single" w:sz="6" w:space="0" w:color="auto"/>
            </w:tcBorders>
          </w:tcPr>
          <w:p w14:paraId="245195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68D331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90C1D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37321</w:t>
            </w:r>
          </w:p>
          <w:p w14:paraId="30C16B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92" w:type="dxa"/>
            <w:tcBorders>
              <w:top w:val="single" w:sz="6" w:space="0" w:color="auto"/>
              <w:left w:val="single" w:sz="6" w:space="0" w:color="auto"/>
              <w:bottom w:val="single" w:sz="6" w:space="0" w:color="auto"/>
              <w:right w:val="single" w:sz="6" w:space="0" w:color="auto"/>
            </w:tcBorders>
          </w:tcPr>
          <w:p w14:paraId="075294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59942</w:t>
            </w:r>
          </w:p>
          <w:p w14:paraId="060E85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26BA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143926</w:t>
            </w:r>
          </w:p>
          <w:p w14:paraId="46BF75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0BB6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180473</w:t>
            </w:r>
          </w:p>
          <w:p w14:paraId="6E7451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F6D1A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53992</w:t>
            </w:r>
          </w:p>
          <w:p w14:paraId="17A65D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51" w:type="dxa"/>
            <w:tcBorders>
              <w:top w:val="single" w:sz="6" w:space="0" w:color="auto"/>
              <w:left w:val="single" w:sz="6" w:space="0" w:color="auto"/>
              <w:bottom w:val="single" w:sz="6" w:space="0" w:color="auto"/>
              <w:right w:val="single" w:sz="6" w:space="0" w:color="auto"/>
            </w:tcBorders>
          </w:tcPr>
          <w:p w14:paraId="6463D0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475654"</w:t>
            </w:r>
          </w:p>
          <w:p w14:paraId="64302F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15EC23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В том числе 463044 с заводов промышленности и по импорту, и 12610 за счет остатков, имевших</w:t>
      </w:r>
      <w:r w:rsidRPr="00F90EAE">
        <w:rPr>
          <w:color w:val="000000" w:themeColor="text1"/>
          <w:sz w:val="16"/>
          <w:szCs w:val="16"/>
        </w:rPr>
        <w:softHyphen/>
        <w:t>ся на складах к началу войны, и из резерва ГАВТУ КА (с ремонтных предприятий и их авточастей).</w:t>
      </w:r>
    </w:p>
    <w:p w14:paraId="1F156B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Основная масса автомашин направлялась в течение всего периода ведения войны на укомп</w:t>
      </w:r>
      <w:r w:rsidRPr="00F90EAE">
        <w:rPr>
          <w:color w:val="000000" w:themeColor="text1"/>
          <w:sz w:val="16"/>
          <w:szCs w:val="16"/>
        </w:rPr>
        <w:softHyphen/>
        <w:t>лектование формирований танковых и артиллерийских частей, выдача которым составила 216298 машин или 48,6% от общего количества машин выданных частям Красной Армии.</w:t>
      </w:r>
    </w:p>
    <w:p w14:paraId="13C9B0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Автомобильные части резерва СВГК, а также фронтовые средства подвоза формировались и укомплектовывались, главным образом, в период наступательных операций Красной Армии 1943-1945 гг. Всего автомобильным частям было выдано 63187 машин и частям фронтов — 51400.</w:t>
      </w:r>
    </w:p>
    <w:p w14:paraId="3B7C05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этот же период производилось усиленное укомплектование резервных армий СВГК, выдача которым составила 53712 машин.</w:t>
      </w:r>
    </w:p>
    <w:p w14:paraId="1FE565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усиленного пополнения новыми автомашинами автопарк Красной Армии, несмот</w:t>
      </w:r>
      <w:r w:rsidRPr="00F90EAE">
        <w:rPr>
          <w:color w:val="000000" w:themeColor="text1"/>
          <w:sz w:val="16"/>
          <w:szCs w:val="16"/>
        </w:rPr>
        <w:softHyphen/>
        <w:t>ря на большие потери в первый период боевых действий, вырос за годы войны в 2,4 раза по сравне</w:t>
      </w:r>
      <w:r w:rsidRPr="00F90EAE">
        <w:rPr>
          <w:color w:val="000000" w:themeColor="text1"/>
          <w:sz w:val="16"/>
          <w:szCs w:val="16"/>
        </w:rPr>
        <w:softHyphen/>
        <w:t>нию с довоенным уровнем.</w:t>
      </w:r>
    </w:p>
    <w:p w14:paraId="3E7573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III</w:t>
      </w:r>
      <w:r w:rsidRPr="00F90EAE">
        <w:rPr>
          <w:color w:val="000000" w:themeColor="text1"/>
          <w:sz w:val="16"/>
          <w:szCs w:val="16"/>
        </w:rPr>
        <w:t>. Автопарк Красной Армии к началу Отечественной войны</w:t>
      </w:r>
    </w:p>
    <w:p w14:paraId="3AD3D5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началу войны (на 22.06.1941 г.) автопарк Красной Армии насчитывал 272605 автомобилей оте</w:t>
      </w:r>
      <w:r w:rsidRPr="00F90EAE">
        <w:rPr>
          <w:color w:val="000000" w:themeColor="text1"/>
          <w:sz w:val="16"/>
          <w:szCs w:val="16"/>
        </w:rPr>
        <w:softHyphen/>
        <w:t>чественного производства, из них 257791 грузовых и специальных машин и 14814 легковых. Автомашины находились в 17 военных округах.</w:t>
      </w:r>
    </w:p>
    <w:p w14:paraId="6BB2EC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IV</w:t>
      </w:r>
      <w:r w:rsidRPr="00F90EAE">
        <w:rPr>
          <w:color w:val="000000" w:themeColor="text1"/>
          <w:sz w:val="16"/>
          <w:szCs w:val="16"/>
        </w:rPr>
        <w:t>. Рост автопарка за годы войны</w:t>
      </w:r>
    </w:p>
    <w:p w14:paraId="4A209E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войны автопарк Красной Армии непрерывно увеличивался и на 1 мая 1945 г. составил 664455 отечественных, импортных и трофейных автомобилей, из них 610715 грузовых и специаль</w:t>
      </w:r>
      <w:r w:rsidRPr="00F90EAE">
        <w:rPr>
          <w:color w:val="000000" w:themeColor="text1"/>
          <w:sz w:val="16"/>
          <w:szCs w:val="16"/>
        </w:rPr>
        <w:softHyphen/>
        <w:t>ных машин и 53740 легковых:</w:t>
      </w:r>
    </w:p>
    <w:tbl>
      <w:tblPr>
        <w:tblW w:w="0" w:type="auto"/>
        <w:tblInd w:w="40" w:type="dxa"/>
        <w:tblLayout w:type="fixed"/>
        <w:tblCellMar>
          <w:left w:w="40" w:type="dxa"/>
          <w:right w:w="40" w:type="dxa"/>
        </w:tblCellMar>
        <w:tblLook w:val="0000" w:firstRow="0" w:lastRow="0" w:firstColumn="0" w:lastColumn="0" w:noHBand="0" w:noVBand="0"/>
      </w:tblPr>
      <w:tblGrid>
        <w:gridCol w:w="1219"/>
        <w:gridCol w:w="1037"/>
        <w:gridCol w:w="1046"/>
        <w:gridCol w:w="1046"/>
        <w:gridCol w:w="1037"/>
        <w:gridCol w:w="1046"/>
        <w:gridCol w:w="1037"/>
        <w:gridCol w:w="1037"/>
        <w:gridCol w:w="1104"/>
      </w:tblGrid>
      <w:tr w:rsidR="00561F31" w:rsidRPr="00F90EAE" w14:paraId="5EA2F350" w14:textId="77777777">
        <w:trPr>
          <w:trHeight w:val="250"/>
        </w:trPr>
        <w:tc>
          <w:tcPr>
            <w:tcW w:w="1219" w:type="dxa"/>
            <w:tcBorders>
              <w:top w:val="single" w:sz="6" w:space="0" w:color="auto"/>
              <w:left w:val="single" w:sz="6" w:space="0" w:color="auto"/>
              <w:bottom w:val="nil"/>
              <w:right w:val="single" w:sz="6" w:space="0" w:color="auto"/>
            </w:tcBorders>
          </w:tcPr>
          <w:p w14:paraId="606286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Годы</w:t>
            </w:r>
          </w:p>
          <w:p w14:paraId="3EC3A47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289B4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Отечествен</w:t>
            </w:r>
            <w:r w:rsidRPr="00F90EAE">
              <w:rPr>
                <w:color w:val="000000" w:themeColor="text1"/>
                <w:sz w:val="16"/>
                <w:szCs w:val="16"/>
              </w:rPr>
              <w:softHyphen/>
              <w:t>ные</w:t>
            </w:r>
          </w:p>
          <w:p w14:paraId="27DED7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nil"/>
              <w:right w:val="single" w:sz="6" w:space="0" w:color="auto"/>
            </w:tcBorders>
          </w:tcPr>
          <w:p w14:paraId="2AFABE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Импортные</w:t>
            </w:r>
          </w:p>
          <w:p w14:paraId="7069ED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nil"/>
              <w:right w:val="single" w:sz="6" w:space="0" w:color="auto"/>
            </w:tcBorders>
          </w:tcPr>
          <w:p w14:paraId="2ADA03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Трофейные</w:t>
            </w:r>
          </w:p>
          <w:p w14:paraId="08B3F5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nil"/>
              <w:right w:val="single" w:sz="6" w:space="0" w:color="auto"/>
            </w:tcBorders>
          </w:tcPr>
          <w:p w14:paraId="7ACE7E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5EE053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224" w:type="dxa"/>
            <w:gridSpan w:val="4"/>
            <w:tcBorders>
              <w:top w:val="single" w:sz="6" w:space="0" w:color="auto"/>
              <w:left w:val="single" w:sz="6" w:space="0" w:color="auto"/>
              <w:bottom w:val="single" w:sz="6" w:space="0" w:color="auto"/>
              <w:right w:val="single" w:sz="6" w:space="0" w:color="auto"/>
            </w:tcBorders>
          </w:tcPr>
          <w:p w14:paraId="5EEA7C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64C7C3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B51EEE5" w14:textId="77777777">
        <w:trPr>
          <w:trHeight w:val="413"/>
        </w:trPr>
        <w:tc>
          <w:tcPr>
            <w:tcW w:w="1219" w:type="dxa"/>
            <w:tcBorders>
              <w:top w:val="nil"/>
              <w:left w:val="single" w:sz="6" w:space="0" w:color="auto"/>
              <w:bottom w:val="single" w:sz="6" w:space="0" w:color="auto"/>
              <w:right w:val="single" w:sz="6" w:space="0" w:color="auto"/>
            </w:tcBorders>
          </w:tcPr>
          <w:p w14:paraId="2C5D35A8" w14:textId="77777777" w:rsidR="006103B3" w:rsidRPr="00F90EAE" w:rsidRDefault="006103B3" w:rsidP="00F90EAE">
            <w:pPr>
              <w:autoSpaceDE w:val="0"/>
              <w:autoSpaceDN w:val="0"/>
              <w:adjustRightInd w:val="0"/>
              <w:jc w:val="both"/>
              <w:rPr>
                <w:color w:val="000000" w:themeColor="text1"/>
                <w:sz w:val="16"/>
                <w:szCs w:val="16"/>
              </w:rPr>
            </w:pPr>
          </w:p>
          <w:p w14:paraId="0EE02F99" w14:textId="77777777" w:rsidR="006103B3" w:rsidRPr="00F90EAE" w:rsidRDefault="006103B3" w:rsidP="00F90EAE">
            <w:pPr>
              <w:autoSpaceDE w:val="0"/>
              <w:autoSpaceDN w:val="0"/>
              <w:adjustRightInd w:val="0"/>
              <w:jc w:val="both"/>
              <w:rPr>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498EB196" w14:textId="77777777" w:rsidR="006103B3" w:rsidRPr="00F90EAE" w:rsidRDefault="006103B3" w:rsidP="00F90EAE">
            <w:pPr>
              <w:autoSpaceDE w:val="0"/>
              <w:autoSpaceDN w:val="0"/>
              <w:adjustRightInd w:val="0"/>
              <w:jc w:val="both"/>
              <w:rPr>
                <w:color w:val="000000" w:themeColor="text1"/>
                <w:sz w:val="16"/>
                <w:szCs w:val="16"/>
              </w:rPr>
            </w:pPr>
          </w:p>
          <w:p w14:paraId="023F9965" w14:textId="77777777" w:rsidR="006103B3" w:rsidRPr="00F90EAE" w:rsidRDefault="006103B3" w:rsidP="00F90EAE">
            <w:pPr>
              <w:autoSpaceDE w:val="0"/>
              <w:autoSpaceDN w:val="0"/>
              <w:adjustRightInd w:val="0"/>
              <w:jc w:val="both"/>
              <w:rPr>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5CEC5942" w14:textId="77777777" w:rsidR="006103B3" w:rsidRPr="00F90EAE" w:rsidRDefault="006103B3" w:rsidP="00F90EAE">
            <w:pPr>
              <w:autoSpaceDE w:val="0"/>
              <w:autoSpaceDN w:val="0"/>
              <w:adjustRightInd w:val="0"/>
              <w:jc w:val="both"/>
              <w:rPr>
                <w:color w:val="000000" w:themeColor="text1"/>
                <w:sz w:val="16"/>
                <w:szCs w:val="16"/>
              </w:rPr>
            </w:pPr>
          </w:p>
          <w:p w14:paraId="72292134" w14:textId="77777777" w:rsidR="006103B3" w:rsidRPr="00F90EAE" w:rsidRDefault="006103B3" w:rsidP="00F90EAE">
            <w:pPr>
              <w:autoSpaceDE w:val="0"/>
              <w:autoSpaceDN w:val="0"/>
              <w:adjustRightInd w:val="0"/>
              <w:jc w:val="both"/>
              <w:rPr>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2EEBABC5" w14:textId="77777777" w:rsidR="006103B3" w:rsidRPr="00F90EAE" w:rsidRDefault="006103B3" w:rsidP="00F90EAE">
            <w:pPr>
              <w:autoSpaceDE w:val="0"/>
              <w:autoSpaceDN w:val="0"/>
              <w:adjustRightInd w:val="0"/>
              <w:jc w:val="both"/>
              <w:rPr>
                <w:color w:val="000000" w:themeColor="text1"/>
                <w:sz w:val="16"/>
                <w:szCs w:val="16"/>
              </w:rPr>
            </w:pPr>
          </w:p>
          <w:p w14:paraId="2229835A" w14:textId="77777777" w:rsidR="006103B3" w:rsidRPr="00F90EAE" w:rsidRDefault="006103B3" w:rsidP="00F90EAE">
            <w:pPr>
              <w:autoSpaceDE w:val="0"/>
              <w:autoSpaceDN w:val="0"/>
              <w:adjustRightInd w:val="0"/>
              <w:jc w:val="both"/>
              <w:rPr>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2DA0E4EB" w14:textId="77777777" w:rsidR="006103B3" w:rsidRPr="00F90EAE" w:rsidRDefault="006103B3" w:rsidP="00F90EAE">
            <w:pPr>
              <w:autoSpaceDE w:val="0"/>
              <w:autoSpaceDN w:val="0"/>
              <w:adjustRightInd w:val="0"/>
              <w:jc w:val="both"/>
              <w:rPr>
                <w:color w:val="000000" w:themeColor="text1"/>
                <w:sz w:val="16"/>
                <w:szCs w:val="16"/>
              </w:rPr>
            </w:pPr>
          </w:p>
          <w:p w14:paraId="107AE151" w14:textId="77777777" w:rsidR="006103B3" w:rsidRPr="00F90EAE" w:rsidRDefault="006103B3" w:rsidP="00F90EAE">
            <w:pPr>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522A1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Легковые</w:t>
            </w:r>
          </w:p>
          <w:p w14:paraId="2C87DF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3A79B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Автобусы и Пикап</w:t>
            </w:r>
          </w:p>
          <w:p w14:paraId="7FF66A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438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Грузовые</w:t>
            </w:r>
          </w:p>
          <w:p w14:paraId="3EE922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0DACE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Специальные</w:t>
            </w:r>
          </w:p>
          <w:p w14:paraId="353487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6618DB5"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14695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22.06.1941 г.</w:t>
            </w:r>
          </w:p>
          <w:p w14:paraId="1BF314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6EAC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272605</w:t>
            </w:r>
          </w:p>
          <w:p w14:paraId="4BD642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B7B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1A523B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B82B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762A2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F4C4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272605</w:t>
            </w:r>
          </w:p>
          <w:p w14:paraId="12161F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5C828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14814</w:t>
            </w:r>
          </w:p>
          <w:p w14:paraId="1AD7B4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02F35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7348</w:t>
            </w:r>
          </w:p>
          <w:p w14:paraId="0E2C96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FA32B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203878</w:t>
            </w:r>
          </w:p>
          <w:p w14:paraId="11CFF5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720ECA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46565</w:t>
            </w:r>
          </w:p>
          <w:p w14:paraId="3C6EEC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E2BF19D"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785FE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1942 г.</w:t>
            </w:r>
          </w:p>
          <w:p w14:paraId="1A933C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D717F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317117</w:t>
            </w:r>
          </w:p>
          <w:p w14:paraId="26371C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B5B1F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1D659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7284E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1368</w:t>
            </w:r>
          </w:p>
          <w:p w14:paraId="605ED3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F25B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318485</w:t>
            </w:r>
          </w:p>
          <w:p w14:paraId="5CA8D5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4082F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17910</w:t>
            </w:r>
          </w:p>
          <w:p w14:paraId="59201F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07592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7831</w:t>
            </w:r>
          </w:p>
          <w:p w14:paraId="797882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F2806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237807</w:t>
            </w:r>
          </w:p>
          <w:p w14:paraId="5D9778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6FB3E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54937</w:t>
            </w:r>
          </w:p>
          <w:p w14:paraId="3F8D63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E124A62"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66E0E3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1943 г.</w:t>
            </w:r>
          </w:p>
          <w:p w14:paraId="5C85CD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4389C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378796</w:t>
            </w:r>
          </w:p>
          <w:p w14:paraId="5AE5A4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F789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22022</w:t>
            </w:r>
          </w:p>
          <w:p w14:paraId="51689C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540AD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3735</w:t>
            </w:r>
          </w:p>
          <w:p w14:paraId="0D5899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017E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404553</w:t>
            </w:r>
          </w:p>
          <w:p w14:paraId="235341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C0280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29101</w:t>
            </w:r>
          </w:p>
          <w:p w14:paraId="17167E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510C9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13426</w:t>
            </w:r>
          </w:p>
          <w:p w14:paraId="001022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5F716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294257</w:t>
            </w:r>
          </w:p>
          <w:p w14:paraId="732DCF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3F7A80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67769</w:t>
            </w:r>
          </w:p>
          <w:p w14:paraId="59AAF1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E5EE0EA"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6EBC52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1944 г.</w:t>
            </w:r>
          </w:p>
          <w:p w14:paraId="49B28A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82E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386965</w:t>
            </w:r>
          </w:p>
          <w:p w14:paraId="405DF9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0297F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94070</w:t>
            </w:r>
          </w:p>
          <w:p w14:paraId="03151D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C27A2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14869</w:t>
            </w:r>
          </w:p>
          <w:p w14:paraId="779940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D46F5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495904</w:t>
            </w:r>
          </w:p>
          <w:p w14:paraId="363294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727B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38457</w:t>
            </w:r>
          </w:p>
          <w:p w14:paraId="3BFB43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16B2F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10554</w:t>
            </w:r>
          </w:p>
          <w:p w14:paraId="78177E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86A8E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361647</w:t>
            </w:r>
          </w:p>
          <w:p w14:paraId="6AE595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4B1B7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85246</w:t>
            </w:r>
          </w:p>
          <w:p w14:paraId="30D534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967150C"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18E77F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1945 г.</w:t>
            </w:r>
          </w:p>
          <w:p w14:paraId="041C9D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8CA6C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395244</w:t>
            </w:r>
          </w:p>
          <w:p w14:paraId="68C1D2E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EC3FB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191348</w:t>
            </w:r>
          </w:p>
          <w:p w14:paraId="6F96F7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D96D7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34692</w:t>
            </w:r>
          </w:p>
          <w:p w14:paraId="6ED4CC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4A3A2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621284</w:t>
            </w:r>
          </w:p>
          <w:p w14:paraId="44AB40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8C963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45461</w:t>
            </w:r>
          </w:p>
          <w:p w14:paraId="60F344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FA575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11033</w:t>
            </w:r>
          </w:p>
          <w:p w14:paraId="3990F7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9858A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456993</w:t>
            </w:r>
          </w:p>
          <w:p w14:paraId="631303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B7BB6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107797</w:t>
            </w:r>
          </w:p>
          <w:p w14:paraId="04151F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73F3ED6"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29F3E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1.05. 1945 г.</w:t>
            </w:r>
          </w:p>
          <w:p w14:paraId="721F70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390E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385708</w:t>
            </w:r>
          </w:p>
          <w:p w14:paraId="16E08F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FDD28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218121</w:t>
            </w:r>
          </w:p>
          <w:p w14:paraId="226EB3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BEA99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60626</w:t>
            </w:r>
          </w:p>
          <w:p w14:paraId="421105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21BF5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664455</w:t>
            </w:r>
          </w:p>
          <w:p w14:paraId="25B7BB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48FD6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53740</w:t>
            </w:r>
          </w:p>
          <w:p w14:paraId="6D1207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7B024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10201</w:t>
            </w:r>
          </w:p>
          <w:p w14:paraId="6B6EFD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BF218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481047</w:t>
            </w:r>
          </w:p>
          <w:p w14:paraId="31996F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664CAF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119467</w:t>
            </w:r>
          </w:p>
          <w:p w14:paraId="2707F4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5BEF96C" w14:textId="77777777">
        <w:trPr>
          <w:trHeight w:val="230"/>
        </w:trPr>
        <w:tc>
          <w:tcPr>
            <w:tcW w:w="1219" w:type="dxa"/>
            <w:tcBorders>
              <w:top w:val="single" w:sz="6" w:space="0" w:color="auto"/>
              <w:left w:val="single" w:sz="6" w:space="0" w:color="auto"/>
              <w:bottom w:val="single" w:sz="6" w:space="0" w:color="auto"/>
              <w:right w:val="single" w:sz="6" w:space="0" w:color="auto"/>
            </w:tcBorders>
          </w:tcPr>
          <w:p w14:paraId="505A8C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3CDA83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5FF2B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9454F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2FC86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CCE81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0941AA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74730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127CE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F33E1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466D8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89C3B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CA994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0A509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667D7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8CE52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2E4E23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6C16E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B6D4690" w14:textId="77777777">
        <w:trPr>
          <w:trHeight w:val="240"/>
        </w:trPr>
        <w:tc>
          <w:tcPr>
            <w:tcW w:w="1219" w:type="dxa"/>
            <w:tcBorders>
              <w:top w:val="single" w:sz="6" w:space="0" w:color="auto"/>
              <w:left w:val="single" w:sz="6" w:space="0" w:color="auto"/>
              <w:bottom w:val="single" w:sz="6" w:space="0" w:color="auto"/>
              <w:right w:val="single" w:sz="6" w:space="0" w:color="auto"/>
            </w:tcBorders>
          </w:tcPr>
          <w:p w14:paraId="4A738E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фронтах</w:t>
            </w:r>
          </w:p>
          <w:p w14:paraId="4E33B3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08CFA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259279</w:t>
            </w:r>
          </w:p>
          <w:p w14:paraId="2B77C6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D11CD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162824</w:t>
            </w:r>
          </w:p>
          <w:p w14:paraId="1F0F62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52AA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59620</w:t>
            </w:r>
          </w:p>
          <w:p w14:paraId="7A59A9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CDA77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481723</w:t>
            </w:r>
          </w:p>
          <w:p w14:paraId="442EB1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E49DF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37548</w:t>
            </w:r>
          </w:p>
          <w:p w14:paraId="0322B8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601DE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6028</w:t>
            </w:r>
          </w:p>
          <w:p w14:paraId="70C21A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8C6D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358461</w:t>
            </w:r>
          </w:p>
          <w:p w14:paraId="633F14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5F81D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79686</w:t>
            </w:r>
          </w:p>
          <w:p w14:paraId="1A856B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CFCD875" w14:textId="77777777">
        <w:trPr>
          <w:trHeight w:val="259"/>
        </w:trPr>
        <w:tc>
          <w:tcPr>
            <w:tcW w:w="1219" w:type="dxa"/>
            <w:tcBorders>
              <w:top w:val="single" w:sz="6" w:space="0" w:color="auto"/>
              <w:left w:val="single" w:sz="6" w:space="0" w:color="auto"/>
              <w:bottom w:val="single" w:sz="6" w:space="0" w:color="auto"/>
              <w:right w:val="single" w:sz="6" w:space="0" w:color="auto"/>
            </w:tcBorders>
          </w:tcPr>
          <w:p w14:paraId="7A38B2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округах</w:t>
            </w:r>
          </w:p>
          <w:p w14:paraId="6C131E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486BB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126429</w:t>
            </w:r>
          </w:p>
          <w:p w14:paraId="2FE4EE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7C9DCE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55297</w:t>
            </w:r>
          </w:p>
          <w:p w14:paraId="4CF5F1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41B1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1006</w:t>
            </w:r>
          </w:p>
          <w:p w14:paraId="7D445E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2D953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182732</w:t>
            </w:r>
          </w:p>
          <w:p w14:paraId="266028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2109A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16192</w:t>
            </w:r>
          </w:p>
          <w:p w14:paraId="6205A8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E1587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4173</w:t>
            </w:r>
          </w:p>
          <w:p w14:paraId="6AF0C6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207C2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122586</w:t>
            </w:r>
          </w:p>
          <w:p w14:paraId="6EC7FC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092200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39781</w:t>
            </w:r>
          </w:p>
          <w:p w14:paraId="7877F4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7B08D3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w:t>
      </w:r>
      <w:r w:rsidRPr="00F90EAE">
        <w:rPr>
          <w:color w:val="000000" w:themeColor="text1"/>
          <w:sz w:val="16"/>
          <w:szCs w:val="16"/>
        </w:rPr>
        <w:t>. Изменение технического состояния автопарка за годы войны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930"/>
        <w:gridCol w:w="1757"/>
        <w:gridCol w:w="1891"/>
        <w:gridCol w:w="2093"/>
      </w:tblGrid>
      <w:tr w:rsidR="00561F31" w:rsidRPr="00F90EAE" w14:paraId="016E41A9" w14:textId="77777777">
        <w:trPr>
          <w:trHeight w:val="240"/>
        </w:trPr>
        <w:tc>
          <w:tcPr>
            <w:tcW w:w="1939" w:type="dxa"/>
            <w:tcBorders>
              <w:top w:val="single" w:sz="6" w:space="0" w:color="auto"/>
              <w:left w:val="single" w:sz="6" w:space="0" w:color="auto"/>
              <w:bottom w:val="nil"/>
              <w:right w:val="single" w:sz="6" w:space="0" w:color="auto"/>
            </w:tcBorders>
          </w:tcPr>
          <w:p w14:paraId="1CB03F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Годы</w:t>
            </w:r>
          </w:p>
          <w:p w14:paraId="306E8D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nil"/>
              <w:right w:val="single" w:sz="6" w:space="0" w:color="auto"/>
            </w:tcBorders>
          </w:tcPr>
          <w:p w14:paraId="1C406D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Исправные автомашины</w:t>
            </w:r>
          </w:p>
          <w:p w14:paraId="6EAAC3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nil"/>
              <w:right w:val="single" w:sz="6" w:space="0" w:color="auto"/>
            </w:tcBorders>
          </w:tcPr>
          <w:p w14:paraId="282859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Неисправные автомашины</w:t>
            </w:r>
          </w:p>
          <w:p w14:paraId="2EEF7B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984" w:type="dxa"/>
            <w:gridSpan w:val="2"/>
            <w:tcBorders>
              <w:top w:val="single" w:sz="6" w:space="0" w:color="auto"/>
              <w:left w:val="single" w:sz="6" w:space="0" w:color="auto"/>
              <w:bottom w:val="single" w:sz="6" w:space="0" w:color="auto"/>
              <w:right w:val="single" w:sz="6" w:space="0" w:color="auto"/>
            </w:tcBorders>
          </w:tcPr>
          <w:p w14:paraId="347453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w:t>
            </w:r>
          </w:p>
          <w:p w14:paraId="6DA8D7D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838B5DD" w14:textId="77777777">
        <w:trPr>
          <w:trHeight w:val="413"/>
        </w:trPr>
        <w:tc>
          <w:tcPr>
            <w:tcW w:w="1939" w:type="dxa"/>
            <w:tcBorders>
              <w:top w:val="nil"/>
              <w:left w:val="single" w:sz="6" w:space="0" w:color="auto"/>
              <w:bottom w:val="single" w:sz="6" w:space="0" w:color="auto"/>
              <w:right w:val="single" w:sz="6" w:space="0" w:color="auto"/>
            </w:tcBorders>
          </w:tcPr>
          <w:p w14:paraId="7DD993FB" w14:textId="77777777" w:rsidR="006103B3" w:rsidRPr="00F90EAE" w:rsidRDefault="006103B3" w:rsidP="00F90EAE">
            <w:pPr>
              <w:autoSpaceDE w:val="0"/>
              <w:autoSpaceDN w:val="0"/>
              <w:adjustRightInd w:val="0"/>
              <w:jc w:val="both"/>
              <w:rPr>
                <w:color w:val="000000" w:themeColor="text1"/>
                <w:sz w:val="16"/>
                <w:szCs w:val="16"/>
              </w:rPr>
            </w:pPr>
          </w:p>
          <w:p w14:paraId="1F0F0F1B" w14:textId="77777777" w:rsidR="006103B3" w:rsidRPr="00F90EAE" w:rsidRDefault="006103B3" w:rsidP="00F90EAE">
            <w:pPr>
              <w:autoSpaceDE w:val="0"/>
              <w:autoSpaceDN w:val="0"/>
              <w:adjustRightInd w:val="0"/>
              <w:jc w:val="both"/>
              <w:rPr>
                <w:color w:val="000000" w:themeColor="text1"/>
                <w:sz w:val="16"/>
                <w:szCs w:val="16"/>
              </w:rPr>
            </w:pPr>
          </w:p>
        </w:tc>
        <w:tc>
          <w:tcPr>
            <w:tcW w:w="1930" w:type="dxa"/>
            <w:tcBorders>
              <w:top w:val="nil"/>
              <w:left w:val="single" w:sz="6" w:space="0" w:color="auto"/>
              <w:bottom w:val="single" w:sz="6" w:space="0" w:color="auto"/>
              <w:right w:val="single" w:sz="6" w:space="0" w:color="auto"/>
            </w:tcBorders>
          </w:tcPr>
          <w:p w14:paraId="1FC334AF" w14:textId="77777777" w:rsidR="006103B3" w:rsidRPr="00F90EAE" w:rsidRDefault="006103B3" w:rsidP="00F90EAE">
            <w:pPr>
              <w:autoSpaceDE w:val="0"/>
              <w:autoSpaceDN w:val="0"/>
              <w:adjustRightInd w:val="0"/>
              <w:jc w:val="both"/>
              <w:rPr>
                <w:color w:val="000000" w:themeColor="text1"/>
                <w:sz w:val="16"/>
                <w:szCs w:val="16"/>
              </w:rPr>
            </w:pPr>
          </w:p>
          <w:p w14:paraId="1EC8E80E" w14:textId="77777777" w:rsidR="006103B3" w:rsidRPr="00F90EAE" w:rsidRDefault="006103B3" w:rsidP="00F90EAE">
            <w:pPr>
              <w:autoSpaceDE w:val="0"/>
              <w:autoSpaceDN w:val="0"/>
              <w:adjustRightInd w:val="0"/>
              <w:jc w:val="both"/>
              <w:rPr>
                <w:color w:val="000000" w:themeColor="text1"/>
                <w:sz w:val="16"/>
                <w:szCs w:val="16"/>
              </w:rPr>
            </w:pPr>
          </w:p>
        </w:tc>
        <w:tc>
          <w:tcPr>
            <w:tcW w:w="1757" w:type="dxa"/>
            <w:tcBorders>
              <w:top w:val="nil"/>
              <w:left w:val="single" w:sz="6" w:space="0" w:color="auto"/>
              <w:bottom w:val="single" w:sz="6" w:space="0" w:color="auto"/>
              <w:right w:val="single" w:sz="6" w:space="0" w:color="auto"/>
            </w:tcBorders>
          </w:tcPr>
          <w:p w14:paraId="1C7B29B2" w14:textId="77777777" w:rsidR="006103B3" w:rsidRPr="00F90EAE" w:rsidRDefault="006103B3" w:rsidP="00F90EAE">
            <w:pPr>
              <w:autoSpaceDE w:val="0"/>
              <w:autoSpaceDN w:val="0"/>
              <w:adjustRightInd w:val="0"/>
              <w:jc w:val="both"/>
              <w:rPr>
                <w:color w:val="000000" w:themeColor="text1"/>
                <w:sz w:val="16"/>
                <w:szCs w:val="16"/>
              </w:rPr>
            </w:pPr>
          </w:p>
          <w:p w14:paraId="3BFB4584" w14:textId="77777777" w:rsidR="006103B3" w:rsidRPr="00F90EAE" w:rsidRDefault="006103B3" w:rsidP="00F90EAE">
            <w:pPr>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1A6A7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Требует среднего ремонта</w:t>
            </w:r>
          </w:p>
          <w:p w14:paraId="61657B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D4346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Требует капитального ремонта</w:t>
            </w:r>
          </w:p>
          <w:p w14:paraId="68ED71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CFA6D44"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2A5C9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22.06. 1941 г.</w:t>
            </w:r>
          </w:p>
          <w:p w14:paraId="1D3156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08C1DC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88,7</w:t>
            </w:r>
          </w:p>
          <w:p w14:paraId="104049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0D4D30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11,3</w:t>
            </w:r>
          </w:p>
          <w:p w14:paraId="6538C2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D9904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w:t>
            </w:r>
          </w:p>
          <w:p w14:paraId="023BAB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62F21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p w14:paraId="191671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669CA2F"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7E3E6F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1942 г.</w:t>
            </w:r>
          </w:p>
          <w:p w14:paraId="3C5296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4765C1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82,0</w:t>
            </w:r>
          </w:p>
          <w:p w14:paraId="25C269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E45D6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18,0</w:t>
            </w:r>
          </w:p>
          <w:p w14:paraId="483328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6DA71D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12,1</w:t>
            </w:r>
          </w:p>
          <w:p w14:paraId="3F21FD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161460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w:t>
            </w:r>
          </w:p>
          <w:p w14:paraId="26D437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F0A0207"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137E46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1943 г.</w:t>
            </w:r>
          </w:p>
          <w:p w14:paraId="6E53B2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BE46F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81,2</w:t>
            </w:r>
          </w:p>
          <w:p w14:paraId="25A1FC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250D8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18,8</w:t>
            </w:r>
          </w:p>
          <w:p w14:paraId="028B677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90C73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w:t>
            </w:r>
          </w:p>
          <w:p w14:paraId="2DC375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3E738A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w:t>
            </w:r>
          </w:p>
          <w:p w14:paraId="719A14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1741B01"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7DFC8C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1944 г.</w:t>
            </w:r>
          </w:p>
          <w:p w14:paraId="5CAAC3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1E17A0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77,8</w:t>
            </w:r>
          </w:p>
          <w:p w14:paraId="0B81F7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40967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22,2</w:t>
            </w:r>
          </w:p>
          <w:p w14:paraId="47C408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4693D7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14,7</w:t>
            </w:r>
          </w:p>
          <w:p w14:paraId="30C9C5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47ACD7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4CDD50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27FF1BD"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E3CE4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1.01. 1945 г.</w:t>
            </w:r>
          </w:p>
          <w:p w14:paraId="411ECA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554957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86,8</w:t>
            </w:r>
          </w:p>
          <w:p w14:paraId="79A7D1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3628D7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13,2</w:t>
            </w:r>
          </w:p>
          <w:p w14:paraId="57CEFA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3A6AB0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w:t>
            </w:r>
          </w:p>
          <w:p w14:paraId="29FDE9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0CEF34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w:t>
            </w:r>
          </w:p>
          <w:p w14:paraId="4FBE4C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83CABBE" w14:textId="77777777">
        <w:trPr>
          <w:trHeight w:val="250"/>
        </w:trPr>
        <w:tc>
          <w:tcPr>
            <w:tcW w:w="1939" w:type="dxa"/>
            <w:tcBorders>
              <w:top w:val="single" w:sz="6" w:space="0" w:color="auto"/>
              <w:left w:val="single" w:sz="6" w:space="0" w:color="auto"/>
              <w:bottom w:val="single" w:sz="6" w:space="0" w:color="auto"/>
              <w:right w:val="single" w:sz="6" w:space="0" w:color="auto"/>
            </w:tcBorders>
          </w:tcPr>
          <w:p w14:paraId="1169CC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1.05. 1945 г.</w:t>
            </w:r>
          </w:p>
          <w:p w14:paraId="22CCD4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30" w:type="dxa"/>
            <w:tcBorders>
              <w:top w:val="single" w:sz="6" w:space="0" w:color="auto"/>
              <w:left w:val="single" w:sz="6" w:space="0" w:color="auto"/>
              <w:bottom w:val="single" w:sz="6" w:space="0" w:color="auto"/>
              <w:right w:val="single" w:sz="6" w:space="0" w:color="auto"/>
            </w:tcBorders>
          </w:tcPr>
          <w:p w14:paraId="270E1B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85,2</w:t>
            </w:r>
          </w:p>
          <w:p w14:paraId="63302D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4A5992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w:t>
            </w:r>
          </w:p>
          <w:p w14:paraId="695407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91" w:type="dxa"/>
            <w:tcBorders>
              <w:top w:val="single" w:sz="6" w:space="0" w:color="auto"/>
              <w:left w:val="single" w:sz="6" w:space="0" w:color="auto"/>
              <w:bottom w:val="single" w:sz="6" w:space="0" w:color="auto"/>
              <w:right w:val="single" w:sz="6" w:space="0" w:color="auto"/>
            </w:tcBorders>
          </w:tcPr>
          <w:p w14:paraId="57A1CC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w:t>
            </w:r>
          </w:p>
          <w:p w14:paraId="7529C3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3" w:type="dxa"/>
            <w:tcBorders>
              <w:top w:val="single" w:sz="6" w:space="0" w:color="auto"/>
              <w:left w:val="single" w:sz="6" w:space="0" w:color="auto"/>
              <w:bottom w:val="single" w:sz="6" w:space="0" w:color="auto"/>
              <w:right w:val="single" w:sz="6" w:space="0" w:color="auto"/>
            </w:tcBorders>
          </w:tcPr>
          <w:p w14:paraId="5E44D7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w:t>
            </w:r>
          </w:p>
          <w:p w14:paraId="120797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5A9576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Улучшение технического состояния автопарка в 1944-1945 гг. произошло за счет улучшения организации ремонта в войсках и на ремзаводах, а также усиленного пополнения автопарка новыми машинами в 1944 году.</w:t>
      </w:r>
    </w:p>
    <w:p w14:paraId="32DEF5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VI</w:t>
      </w:r>
      <w:r w:rsidRPr="00F90EAE">
        <w:rPr>
          <w:color w:val="000000" w:themeColor="text1"/>
          <w:sz w:val="16"/>
          <w:szCs w:val="16"/>
        </w:rPr>
        <w:t>. Специальные автомашины</w:t>
      </w:r>
    </w:p>
    <w:p w14:paraId="2E8546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1943 году на управление снабжения была возложена задача обеспечения частей Красной Армии специальными автомашинами — бензоцистернами, походно-зарядными станциями и под</w:t>
      </w:r>
      <w:r w:rsidRPr="00F90EAE">
        <w:rPr>
          <w:color w:val="000000" w:themeColor="text1"/>
          <w:sz w:val="16"/>
          <w:szCs w:val="16"/>
        </w:rPr>
        <w:softHyphen/>
        <w:t>вижными ремонтными мастерскими.</w:t>
      </w:r>
    </w:p>
    <w:p w14:paraId="49E5A8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спецмашин организовано на 16 предприятиях.</w:t>
      </w:r>
    </w:p>
    <w:p w14:paraId="0A754B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годы войны получено и выдано войскам 4536 специальных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112"/>
        <w:gridCol w:w="1114"/>
        <w:gridCol w:w="1123"/>
        <w:gridCol w:w="1498"/>
        <w:gridCol w:w="1450"/>
        <w:gridCol w:w="1258"/>
        <w:gridCol w:w="1056"/>
      </w:tblGrid>
      <w:tr w:rsidR="00561F31" w:rsidRPr="00F90EAE" w14:paraId="7E66BD4D" w14:textId="77777777">
        <w:trPr>
          <w:trHeight w:val="250"/>
        </w:trPr>
        <w:tc>
          <w:tcPr>
            <w:tcW w:w="2112" w:type="dxa"/>
            <w:tcBorders>
              <w:top w:val="single" w:sz="6" w:space="0" w:color="auto"/>
              <w:left w:val="single" w:sz="6" w:space="0" w:color="auto"/>
              <w:bottom w:val="nil"/>
              <w:right w:val="single" w:sz="6" w:space="0" w:color="auto"/>
            </w:tcBorders>
          </w:tcPr>
          <w:p w14:paraId="50E94D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Годы</w:t>
            </w:r>
          </w:p>
          <w:p w14:paraId="2149BF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237" w:type="dxa"/>
            <w:gridSpan w:val="2"/>
            <w:tcBorders>
              <w:top w:val="single" w:sz="6" w:space="0" w:color="auto"/>
              <w:left w:val="single" w:sz="6" w:space="0" w:color="auto"/>
              <w:bottom w:val="single" w:sz="6" w:space="0" w:color="auto"/>
              <w:right w:val="single" w:sz="6" w:space="0" w:color="auto"/>
            </w:tcBorders>
          </w:tcPr>
          <w:p w14:paraId="25438B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Ремлетучки</w:t>
            </w:r>
          </w:p>
          <w:p w14:paraId="2B411D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7C05E0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Походно-зарядные станции</w:t>
            </w:r>
          </w:p>
          <w:p w14:paraId="08773D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618BA9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Бензоцистерны</w:t>
            </w:r>
          </w:p>
          <w:p w14:paraId="45E463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nil"/>
              <w:right w:val="single" w:sz="6" w:space="0" w:color="auto"/>
            </w:tcBorders>
          </w:tcPr>
          <w:p w14:paraId="65C08F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Бензоприцепы (двухосные)</w:t>
            </w:r>
          </w:p>
          <w:p w14:paraId="2753C7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nil"/>
              <w:right w:val="single" w:sz="6" w:space="0" w:color="auto"/>
            </w:tcBorders>
          </w:tcPr>
          <w:p w14:paraId="5422A8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Всего</w:t>
            </w:r>
          </w:p>
          <w:p w14:paraId="509BA7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B0B64D5" w14:textId="77777777">
        <w:trPr>
          <w:trHeight w:val="230"/>
        </w:trPr>
        <w:tc>
          <w:tcPr>
            <w:tcW w:w="2112" w:type="dxa"/>
            <w:tcBorders>
              <w:top w:val="nil"/>
              <w:left w:val="single" w:sz="6" w:space="0" w:color="auto"/>
              <w:bottom w:val="single" w:sz="6" w:space="0" w:color="auto"/>
              <w:right w:val="single" w:sz="6" w:space="0" w:color="auto"/>
            </w:tcBorders>
          </w:tcPr>
          <w:p w14:paraId="467934E6" w14:textId="77777777" w:rsidR="006103B3" w:rsidRPr="00F90EAE" w:rsidRDefault="006103B3" w:rsidP="00F90EAE">
            <w:pPr>
              <w:autoSpaceDE w:val="0"/>
              <w:autoSpaceDN w:val="0"/>
              <w:adjustRightInd w:val="0"/>
              <w:jc w:val="both"/>
              <w:rPr>
                <w:color w:val="000000" w:themeColor="text1"/>
                <w:sz w:val="16"/>
                <w:szCs w:val="16"/>
              </w:rPr>
            </w:pPr>
          </w:p>
          <w:p w14:paraId="32EF3432" w14:textId="77777777" w:rsidR="006103B3" w:rsidRPr="00F90EAE" w:rsidRDefault="006103B3" w:rsidP="00F90EAE">
            <w:pPr>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DB237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типа «А»</w:t>
            </w:r>
          </w:p>
          <w:p w14:paraId="59056B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00A2B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типа «Б»</w:t>
            </w:r>
          </w:p>
          <w:p w14:paraId="612D13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194861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8BE4C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078EEA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0D734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nil"/>
              <w:left w:val="single" w:sz="6" w:space="0" w:color="auto"/>
              <w:bottom w:val="single" w:sz="6" w:space="0" w:color="auto"/>
              <w:right w:val="single" w:sz="6" w:space="0" w:color="auto"/>
            </w:tcBorders>
          </w:tcPr>
          <w:p w14:paraId="2AF997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43180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nil"/>
              <w:left w:val="single" w:sz="6" w:space="0" w:color="auto"/>
              <w:bottom w:val="single" w:sz="6" w:space="0" w:color="auto"/>
              <w:right w:val="single" w:sz="6" w:space="0" w:color="auto"/>
            </w:tcBorders>
          </w:tcPr>
          <w:p w14:paraId="3A0EA4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ED7E2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545660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F280C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5E73A1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14F460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260</w:t>
            </w:r>
          </w:p>
          <w:p w14:paraId="7E2437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E6768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w:t>
            </w:r>
          </w:p>
          <w:p w14:paraId="7027FF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8E44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w:t>
            </w:r>
          </w:p>
          <w:p w14:paraId="71E01B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3D9D97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828</w:t>
            </w:r>
          </w:p>
          <w:p w14:paraId="61BEF3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7598B2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325</w:t>
            </w:r>
          </w:p>
          <w:p w14:paraId="7E0134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F45CC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1915</w:t>
            </w:r>
          </w:p>
          <w:p w14:paraId="03B802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DFA0B78"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12691A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653229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50668A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311</w:t>
            </w:r>
          </w:p>
          <w:p w14:paraId="08D62D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1BAED2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w:t>
            </w:r>
          </w:p>
          <w:p w14:paraId="1CBFC4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3D7E4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549</w:t>
            </w:r>
          </w:p>
          <w:p w14:paraId="0C66C1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5D161B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970</w:t>
            </w:r>
          </w:p>
          <w:p w14:paraId="343A43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A4D3D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139"</w:t>
            </w:r>
          </w:p>
          <w:p w14:paraId="403001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0CBFCA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2052</w:t>
            </w:r>
          </w:p>
          <w:p w14:paraId="34C9D4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F974CBF" w14:textId="77777777">
        <w:trPr>
          <w:trHeight w:val="240"/>
        </w:trPr>
        <w:tc>
          <w:tcPr>
            <w:tcW w:w="2112" w:type="dxa"/>
            <w:tcBorders>
              <w:top w:val="single" w:sz="6" w:space="0" w:color="auto"/>
              <w:left w:val="single" w:sz="6" w:space="0" w:color="auto"/>
              <w:bottom w:val="single" w:sz="6" w:space="0" w:color="auto"/>
              <w:right w:val="single" w:sz="6" w:space="0" w:color="auto"/>
            </w:tcBorders>
          </w:tcPr>
          <w:p w14:paraId="3C96DB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1.01 по 1.05)</w:t>
            </w:r>
          </w:p>
          <w:p w14:paraId="02604C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43631B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w:t>
            </w:r>
          </w:p>
          <w:p w14:paraId="4C1AFB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423B5D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p w14:paraId="7A71DE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D7AC1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w:t>
            </w:r>
          </w:p>
          <w:p w14:paraId="695527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2EC10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297</w:t>
            </w:r>
          </w:p>
          <w:p w14:paraId="354093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95CE4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BB3F7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522E85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569</w:t>
            </w:r>
          </w:p>
          <w:p w14:paraId="5DCF95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300376B" w14:textId="77777777">
        <w:trPr>
          <w:trHeight w:val="250"/>
        </w:trPr>
        <w:tc>
          <w:tcPr>
            <w:tcW w:w="2112" w:type="dxa"/>
            <w:tcBorders>
              <w:top w:val="single" w:sz="6" w:space="0" w:color="auto"/>
              <w:left w:val="single" w:sz="6" w:space="0" w:color="auto"/>
              <w:bottom w:val="single" w:sz="6" w:space="0" w:color="auto"/>
              <w:right w:val="single" w:sz="6" w:space="0" w:color="auto"/>
            </w:tcBorders>
          </w:tcPr>
          <w:p w14:paraId="6A6840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3C8C18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14" w:type="dxa"/>
            <w:tcBorders>
              <w:top w:val="single" w:sz="6" w:space="0" w:color="auto"/>
              <w:left w:val="single" w:sz="6" w:space="0" w:color="auto"/>
              <w:bottom w:val="single" w:sz="6" w:space="0" w:color="auto"/>
              <w:right w:val="single" w:sz="6" w:space="0" w:color="auto"/>
            </w:tcBorders>
          </w:tcPr>
          <w:p w14:paraId="6596A5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685</w:t>
            </w:r>
          </w:p>
          <w:p w14:paraId="5F5DB5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90DEA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144</w:t>
            </w:r>
          </w:p>
          <w:p w14:paraId="15D726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9F157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1148</w:t>
            </w:r>
          </w:p>
          <w:p w14:paraId="3ABEB2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40D529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2095</w:t>
            </w:r>
          </w:p>
          <w:p w14:paraId="4C9BC4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0EC89D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464</w:t>
            </w:r>
          </w:p>
          <w:p w14:paraId="41519A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56" w:type="dxa"/>
            <w:tcBorders>
              <w:top w:val="single" w:sz="6" w:space="0" w:color="auto"/>
              <w:left w:val="single" w:sz="6" w:space="0" w:color="auto"/>
              <w:bottom w:val="single" w:sz="6" w:space="0" w:color="auto"/>
              <w:right w:val="single" w:sz="6" w:space="0" w:color="auto"/>
            </w:tcBorders>
          </w:tcPr>
          <w:p w14:paraId="72A487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4536</w:t>
            </w:r>
          </w:p>
          <w:p w14:paraId="2CF58B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1A5AF3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vertAlign w:val="superscript"/>
        </w:rPr>
        <w:t>х)</w:t>
      </w:r>
      <w:r w:rsidRPr="00F90EAE">
        <w:rPr>
          <w:color w:val="000000" w:themeColor="text1"/>
          <w:sz w:val="16"/>
          <w:szCs w:val="16"/>
        </w:rPr>
        <w:t xml:space="preserve"> Кроме того изготовлено 211 грузовых и бензоприцепов на шасси трофейных машин.</w:t>
      </w:r>
    </w:p>
    <w:p w14:paraId="2E485A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VII</w:t>
      </w:r>
      <w:r w:rsidRPr="00F90EAE">
        <w:rPr>
          <w:color w:val="000000" w:themeColor="text1"/>
          <w:sz w:val="16"/>
          <w:szCs w:val="16"/>
        </w:rPr>
        <w:t>. Авторезина</w:t>
      </w:r>
    </w:p>
    <w:p w14:paraId="28CA04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годы войны для Красной Армии получено 3275 тыс. комплектов авторезины, причем поставка, начиная с 1942 г., ежегодно возрастала: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1392"/>
        <w:gridCol w:w="2054"/>
        <w:gridCol w:w="1267"/>
        <w:gridCol w:w="1267"/>
        <w:gridCol w:w="1267"/>
        <w:gridCol w:w="1267"/>
        <w:gridCol w:w="1085"/>
      </w:tblGrid>
      <w:tr w:rsidR="00561F31" w:rsidRPr="00F90EAE" w14:paraId="355F9E28" w14:textId="77777777">
        <w:trPr>
          <w:trHeight w:val="250"/>
        </w:trPr>
        <w:tc>
          <w:tcPr>
            <w:tcW w:w="3446" w:type="dxa"/>
            <w:gridSpan w:val="2"/>
            <w:tcBorders>
              <w:top w:val="single" w:sz="6" w:space="0" w:color="auto"/>
              <w:left w:val="single" w:sz="6" w:space="0" w:color="auto"/>
              <w:bottom w:val="single" w:sz="6" w:space="0" w:color="auto"/>
              <w:right w:val="single" w:sz="6" w:space="0" w:color="auto"/>
            </w:tcBorders>
          </w:tcPr>
          <w:p w14:paraId="691C2B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год</w:t>
            </w:r>
          </w:p>
          <w:p w14:paraId="78CFB8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3D7F7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p w14:paraId="1F4DFC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0DE2AB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4BDAFC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2B0796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5D3864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nil"/>
              <w:right w:val="single" w:sz="6" w:space="0" w:color="auto"/>
            </w:tcBorders>
          </w:tcPr>
          <w:p w14:paraId="577AB8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 .01 по 1 .05)</w:t>
            </w:r>
          </w:p>
          <w:p w14:paraId="19F7AD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nil"/>
              <w:right w:val="single" w:sz="6" w:space="0" w:color="auto"/>
            </w:tcBorders>
          </w:tcPr>
          <w:p w14:paraId="4DCE82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с 22.06. 1941 г. по 1.05. 1945 г.</w:t>
            </w:r>
          </w:p>
          <w:p w14:paraId="067E46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2CFFB84" w14:textId="77777777">
        <w:trPr>
          <w:trHeight w:val="509"/>
        </w:trPr>
        <w:tc>
          <w:tcPr>
            <w:tcW w:w="1392" w:type="dxa"/>
            <w:tcBorders>
              <w:top w:val="single" w:sz="6" w:space="0" w:color="auto"/>
              <w:left w:val="single" w:sz="6" w:space="0" w:color="auto"/>
              <w:bottom w:val="single" w:sz="6" w:space="0" w:color="auto"/>
              <w:right w:val="single" w:sz="6" w:space="0" w:color="auto"/>
            </w:tcBorders>
          </w:tcPr>
          <w:p w14:paraId="30433B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1E6098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54" w:type="dxa"/>
            <w:tcBorders>
              <w:top w:val="single" w:sz="6" w:space="0" w:color="auto"/>
              <w:left w:val="single" w:sz="6" w:space="0" w:color="auto"/>
              <w:bottom w:val="single" w:sz="6" w:space="0" w:color="auto"/>
              <w:right w:val="single" w:sz="6" w:space="0" w:color="auto"/>
            </w:tcBorders>
          </w:tcPr>
          <w:p w14:paraId="7AC06B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том числе с 22.06 по 31. 12</w:t>
            </w:r>
          </w:p>
          <w:p w14:paraId="42FAA4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49787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43419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3DD44A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43DFE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295F6C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CD7A1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nil"/>
              <w:left w:val="single" w:sz="6" w:space="0" w:color="auto"/>
              <w:bottom w:val="single" w:sz="6" w:space="0" w:color="auto"/>
              <w:right w:val="single" w:sz="6" w:space="0" w:color="auto"/>
            </w:tcBorders>
          </w:tcPr>
          <w:p w14:paraId="0768EC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F49C9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nil"/>
              <w:left w:val="single" w:sz="6" w:space="0" w:color="auto"/>
              <w:bottom w:val="single" w:sz="6" w:space="0" w:color="auto"/>
              <w:right w:val="single" w:sz="6" w:space="0" w:color="auto"/>
            </w:tcBorders>
          </w:tcPr>
          <w:p w14:paraId="2CD47E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EFAB3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21BE37B" w14:textId="77777777">
        <w:trPr>
          <w:trHeight w:val="259"/>
        </w:trPr>
        <w:tc>
          <w:tcPr>
            <w:tcW w:w="1392" w:type="dxa"/>
            <w:tcBorders>
              <w:top w:val="single" w:sz="6" w:space="0" w:color="auto"/>
              <w:left w:val="single" w:sz="6" w:space="0" w:color="auto"/>
              <w:bottom w:val="single" w:sz="6" w:space="0" w:color="auto"/>
              <w:right w:val="single" w:sz="6" w:space="0" w:color="auto"/>
            </w:tcBorders>
          </w:tcPr>
          <w:p w14:paraId="1FF0B4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880,6</w:t>
            </w:r>
          </w:p>
          <w:p w14:paraId="703CBE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54" w:type="dxa"/>
            <w:tcBorders>
              <w:top w:val="single" w:sz="6" w:space="0" w:color="auto"/>
              <w:left w:val="single" w:sz="6" w:space="0" w:color="auto"/>
              <w:bottom w:val="single" w:sz="6" w:space="0" w:color="auto"/>
              <w:right w:val="single" w:sz="6" w:space="0" w:color="auto"/>
            </w:tcBorders>
          </w:tcPr>
          <w:p w14:paraId="657159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530,0</w:t>
            </w:r>
          </w:p>
          <w:p w14:paraId="48713A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AD1F2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602,1</w:t>
            </w:r>
          </w:p>
          <w:p w14:paraId="234AE8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BC8F1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747,1</w:t>
            </w:r>
          </w:p>
          <w:p w14:paraId="36DCC1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E03B8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994,9</w:t>
            </w:r>
          </w:p>
          <w:p w14:paraId="7FBF72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6E927B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401,1</w:t>
            </w:r>
          </w:p>
          <w:p w14:paraId="049F70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A3BB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3275,2</w:t>
            </w:r>
          </w:p>
          <w:p w14:paraId="6B6FFB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42F2B0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Достигнутый уровень поставки авторезины дал возможность обеспечить потребность частей Красной Армии.</w:t>
      </w:r>
    </w:p>
    <w:p w14:paraId="7376E2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Отгрузка авторезины составила (в тыс. комплектов):</w:t>
      </w:r>
    </w:p>
    <w:tbl>
      <w:tblPr>
        <w:tblW w:w="0" w:type="auto"/>
        <w:tblInd w:w="40" w:type="dxa"/>
        <w:tblLayout w:type="fixed"/>
        <w:tblCellMar>
          <w:left w:w="40" w:type="dxa"/>
          <w:right w:w="40" w:type="dxa"/>
        </w:tblCellMar>
        <w:tblLook w:val="0000" w:firstRow="0" w:lastRow="0" w:firstColumn="0" w:lastColumn="0" w:noHBand="0" w:noVBand="0"/>
      </w:tblPr>
      <w:tblGrid>
        <w:gridCol w:w="2976"/>
        <w:gridCol w:w="1306"/>
        <w:gridCol w:w="1133"/>
        <w:gridCol w:w="1133"/>
        <w:gridCol w:w="1133"/>
        <w:gridCol w:w="1171"/>
        <w:gridCol w:w="739"/>
      </w:tblGrid>
      <w:tr w:rsidR="00561F31" w:rsidRPr="00F90EAE" w14:paraId="38B6E34E" w14:textId="77777777">
        <w:trPr>
          <w:trHeight w:val="586"/>
        </w:trPr>
        <w:tc>
          <w:tcPr>
            <w:tcW w:w="2976" w:type="dxa"/>
            <w:tcBorders>
              <w:top w:val="single" w:sz="6" w:space="0" w:color="auto"/>
              <w:left w:val="single" w:sz="6" w:space="0" w:color="auto"/>
              <w:bottom w:val="single" w:sz="6" w:space="0" w:color="auto"/>
              <w:right w:val="single" w:sz="6" w:space="0" w:color="auto"/>
            </w:tcBorders>
          </w:tcPr>
          <w:p w14:paraId="32E3C8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79041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242F90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 (с 22.06 по31.12)</w:t>
            </w:r>
          </w:p>
          <w:p w14:paraId="4FCCDC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12BCE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w:t>
            </w:r>
          </w:p>
          <w:p w14:paraId="0894AF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B2A9A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3C6BA7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908CE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31EEA5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B4F54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 .01 по 1.05)</w:t>
            </w:r>
          </w:p>
          <w:p w14:paraId="1D6C4C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5EC5F7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6BB924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12B3EDE"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B3AF7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Фронтам</w:t>
            </w:r>
          </w:p>
          <w:p w14:paraId="002D7E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C4B18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265,9</w:t>
            </w:r>
          </w:p>
          <w:p w14:paraId="17FD0E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22A61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357,4</w:t>
            </w:r>
          </w:p>
          <w:p w14:paraId="0EDC7F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C080C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456,6</w:t>
            </w:r>
          </w:p>
          <w:p w14:paraId="1BCB26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B8483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731,8</w:t>
            </w:r>
          </w:p>
          <w:p w14:paraId="05AC5E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0C2B6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222,0</w:t>
            </w:r>
          </w:p>
          <w:p w14:paraId="08D249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64F77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2033,7</w:t>
            </w:r>
          </w:p>
          <w:p w14:paraId="319737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DB5F1B0"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431775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Округам</w:t>
            </w:r>
          </w:p>
          <w:p w14:paraId="7603D2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0BA2A2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150,0</w:t>
            </w:r>
          </w:p>
          <w:p w14:paraId="7943AB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0627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212,9</w:t>
            </w:r>
          </w:p>
          <w:p w14:paraId="6B17FE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28467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78,9</w:t>
            </w:r>
          </w:p>
          <w:p w14:paraId="7C8D3A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10BC1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170,9</w:t>
            </w:r>
          </w:p>
          <w:p w14:paraId="4B1512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277AA1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54,9</w:t>
            </w:r>
          </w:p>
          <w:p w14:paraId="43C3F4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4F978B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667,6</w:t>
            </w:r>
          </w:p>
          <w:p w14:paraId="03C8E9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90393C8" w14:textId="77777777">
        <w:trPr>
          <w:trHeight w:val="240"/>
        </w:trPr>
        <w:tc>
          <w:tcPr>
            <w:tcW w:w="2976" w:type="dxa"/>
            <w:tcBorders>
              <w:top w:val="single" w:sz="6" w:space="0" w:color="auto"/>
              <w:left w:val="single" w:sz="6" w:space="0" w:color="auto"/>
              <w:bottom w:val="single" w:sz="6" w:space="0" w:color="auto"/>
              <w:right w:val="single" w:sz="6" w:space="0" w:color="auto"/>
            </w:tcBorders>
          </w:tcPr>
          <w:p w14:paraId="5805D0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Частям, формируемым в центре</w:t>
            </w:r>
          </w:p>
          <w:p w14:paraId="7225E0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322C8D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50,0</w:t>
            </w:r>
          </w:p>
          <w:p w14:paraId="724040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5FB4BF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84,2</w:t>
            </w:r>
          </w:p>
          <w:p w14:paraId="349EB5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7AE56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133,7</w:t>
            </w:r>
          </w:p>
          <w:p w14:paraId="06343E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D3C38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174,9</w:t>
            </w:r>
          </w:p>
          <w:p w14:paraId="2A5FF6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E71D4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83,0</w:t>
            </w:r>
          </w:p>
          <w:p w14:paraId="3002AE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1E242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525,8</w:t>
            </w:r>
          </w:p>
          <w:p w14:paraId="1012B7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D0FE017" w14:textId="77777777">
        <w:trPr>
          <w:trHeight w:val="230"/>
        </w:trPr>
        <w:tc>
          <w:tcPr>
            <w:tcW w:w="2976" w:type="dxa"/>
            <w:tcBorders>
              <w:top w:val="single" w:sz="6" w:space="0" w:color="auto"/>
              <w:left w:val="single" w:sz="6" w:space="0" w:color="auto"/>
              <w:bottom w:val="single" w:sz="6" w:space="0" w:color="auto"/>
              <w:right w:val="single" w:sz="6" w:space="0" w:color="auto"/>
            </w:tcBorders>
          </w:tcPr>
          <w:p w14:paraId="594921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Ремзаводам</w:t>
            </w:r>
          </w:p>
          <w:p w14:paraId="658958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612206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151C1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86CED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35DE83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3459A3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18,6</w:t>
            </w:r>
          </w:p>
          <w:p w14:paraId="6DD661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546AF9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41,9</w:t>
            </w:r>
          </w:p>
          <w:p w14:paraId="26EEE7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43F3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9,5</w:t>
            </w:r>
          </w:p>
          <w:p w14:paraId="67EAA3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2F9EB3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70,0</w:t>
            </w:r>
          </w:p>
          <w:p w14:paraId="765DF1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2AA6506" w14:textId="77777777">
        <w:trPr>
          <w:trHeight w:val="259"/>
        </w:trPr>
        <w:tc>
          <w:tcPr>
            <w:tcW w:w="2976" w:type="dxa"/>
            <w:tcBorders>
              <w:top w:val="single" w:sz="6" w:space="0" w:color="auto"/>
              <w:left w:val="single" w:sz="6" w:space="0" w:color="auto"/>
              <w:bottom w:val="single" w:sz="6" w:space="0" w:color="auto"/>
              <w:right w:val="single" w:sz="6" w:space="0" w:color="auto"/>
            </w:tcBorders>
          </w:tcPr>
          <w:p w14:paraId="351492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714D77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06" w:type="dxa"/>
            <w:tcBorders>
              <w:top w:val="single" w:sz="6" w:space="0" w:color="auto"/>
              <w:left w:val="single" w:sz="6" w:space="0" w:color="auto"/>
              <w:bottom w:val="single" w:sz="6" w:space="0" w:color="auto"/>
              <w:right w:val="single" w:sz="6" w:space="0" w:color="auto"/>
            </w:tcBorders>
          </w:tcPr>
          <w:p w14:paraId="43FA074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465,9</w:t>
            </w:r>
          </w:p>
          <w:p w14:paraId="69F723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4921D7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654,5</w:t>
            </w:r>
          </w:p>
          <w:p w14:paraId="3265A4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07794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687,8</w:t>
            </w:r>
          </w:p>
          <w:p w14:paraId="0694E9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19BC4F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1119,5</w:t>
            </w:r>
          </w:p>
          <w:p w14:paraId="684353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9D7E6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369,4</w:t>
            </w:r>
          </w:p>
          <w:p w14:paraId="6AAC78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588C8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3297,1</w:t>
            </w:r>
          </w:p>
          <w:p w14:paraId="1B8399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7DF26A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снабжения войск новой авторезиной, начиная с 1943 г., проделана большая работа по организации ремонта авторезины на центральных ремзаводах и фронтовыми и окружными ремон</w:t>
      </w:r>
      <w:r w:rsidRPr="00F90EAE">
        <w:rPr>
          <w:color w:val="000000" w:themeColor="text1"/>
          <w:sz w:val="16"/>
          <w:szCs w:val="16"/>
        </w:rPr>
        <w:softHyphen/>
        <w:t>тными средствами:</w:t>
      </w:r>
    </w:p>
    <w:tbl>
      <w:tblPr>
        <w:tblW w:w="0" w:type="auto"/>
        <w:tblInd w:w="40" w:type="dxa"/>
        <w:tblLayout w:type="fixed"/>
        <w:tblCellMar>
          <w:left w:w="40" w:type="dxa"/>
          <w:right w:w="40" w:type="dxa"/>
        </w:tblCellMar>
        <w:tblLook w:val="0000" w:firstRow="0" w:lastRow="0" w:firstColumn="0" w:lastColumn="0" w:noHBand="0" w:noVBand="0"/>
      </w:tblPr>
      <w:tblGrid>
        <w:gridCol w:w="3821"/>
        <w:gridCol w:w="1277"/>
        <w:gridCol w:w="1277"/>
        <w:gridCol w:w="1286"/>
        <w:gridCol w:w="1958"/>
      </w:tblGrid>
      <w:tr w:rsidR="00561F31" w:rsidRPr="00F90EAE" w14:paraId="5E09C1FC" w14:textId="77777777">
        <w:trPr>
          <w:trHeight w:val="413"/>
        </w:trPr>
        <w:tc>
          <w:tcPr>
            <w:tcW w:w="3821" w:type="dxa"/>
            <w:tcBorders>
              <w:top w:val="single" w:sz="6" w:space="0" w:color="auto"/>
              <w:left w:val="single" w:sz="6" w:space="0" w:color="auto"/>
              <w:bottom w:val="single" w:sz="6" w:space="0" w:color="auto"/>
              <w:right w:val="single" w:sz="6" w:space="0" w:color="auto"/>
            </w:tcBorders>
          </w:tcPr>
          <w:p w14:paraId="57E6C9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Отремонтировано покрышек</w:t>
            </w:r>
          </w:p>
          <w:p w14:paraId="4BE02A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1CF56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3A3720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FF350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1 944 год</w:t>
            </w:r>
          </w:p>
          <w:p w14:paraId="645A0B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D6D8C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(с1 .01 по 1 .05)</w:t>
            </w:r>
          </w:p>
          <w:p w14:paraId="1EB7FC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1364BE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1ADAFC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2571474"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3763C6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заводах промышленности</w:t>
            </w:r>
          </w:p>
          <w:p w14:paraId="09CC84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5FC3B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208098</w:t>
            </w:r>
          </w:p>
          <w:p w14:paraId="3885E8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4481E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243475</w:t>
            </w:r>
          </w:p>
          <w:p w14:paraId="5DC356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9CF85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33200</w:t>
            </w:r>
          </w:p>
          <w:p w14:paraId="193D78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6651A1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484773</w:t>
            </w:r>
          </w:p>
          <w:p w14:paraId="64A6E9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DFD7CF5" w14:textId="77777777">
        <w:trPr>
          <w:trHeight w:val="240"/>
        </w:trPr>
        <w:tc>
          <w:tcPr>
            <w:tcW w:w="3821" w:type="dxa"/>
            <w:tcBorders>
              <w:top w:val="single" w:sz="6" w:space="0" w:color="auto"/>
              <w:left w:val="single" w:sz="6" w:space="0" w:color="auto"/>
              <w:bottom w:val="single" w:sz="6" w:space="0" w:color="auto"/>
              <w:right w:val="single" w:sz="6" w:space="0" w:color="auto"/>
            </w:tcBorders>
          </w:tcPr>
          <w:p w14:paraId="11B896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Фронтовыми и окружными ремсредствами</w:t>
            </w:r>
          </w:p>
          <w:p w14:paraId="715FAB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52D3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178911</w:t>
            </w:r>
          </w:p>
          <w:p w14:paraId="4A8F59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8566E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273573</w:t>
            </w:r>
          </w:p>
          <w:p w14:paraId="26D552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0BBD2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103415</w:t>
            </w:r>
          </w:p>
          <w:p w14:paraId="207889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4B3F49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555899</w:t>
            </w:r>
          </w:p>
          <w:p w14:paraId="560377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93E945F" w14:textId="77777777">
        <w:trPr>
          <w:trHeight w:val="259"/>
        </w:trPr>
        <w:tc>
          <w:tcPr>
            <w:tcW w:w="3821" w:type="dxa"/>
            <w:tcBorders>
              <w:top w:val="single" w:sz="6" w:space="0" w:color="auto"/>
              <w:left w:val="single" w:sz="6" w:space="0" w:color="auto"/>
              <w:bottom w:val="single" w:sz="6" w:space="0" w:color="auto"/>
              <w:right w:val="single" w:sz="6" w:space="0" w:color="auto"/>
            </w:tcBorders>
          </w:tcPr>
          <w:p w14:paraId="60AFB2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F6556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DB488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387009</w:t>
            </w:r>
          </w:p>
          <w:p w14:paraId="11EB36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7A313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517048</w:t>
            </w:r>
          </w:p>
          <w:p w14:paraId="162FB6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7DB0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136615</w:t>
            </w:r>
          </w:p>
          <w:p w14:paraId="53DC93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58" w:type="dxa"/>
            <w:tcBorders>
              <w:top w:val="single" w:sz="6" w:space="0" w:color="auto"/>
              <w:left w:val="single" w:sz="6" w:space="0" w:color="auto"/>
              <w:bottom w:val="single" w:sz="6" w:space="0" w:color="auto"/>
              <w:right w:val="single" w:sz="6" w:space="0" w:color="auto"/>
            </w:tcBorders>
          </w:tcPr>
          <w:p w14:paraId="5024B6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1040672</w:t>
            </w:r>
          </w:p>
          <w:p w14:paraId="2B85DB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00CEE2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декабря 1943 г., в соответствии с постановлением СНК СССР № 1293, управлением проводи</w:t>
      </w:r>
      <w:r w:rsidRPr="00F90EAE">
        <w:rPr>
          <w:color w:val="000000" w:themeColor="text1"/>
          <w:sz w:val="16"/>
          <w:szCs w:val="16"/>
        </w:rPr>
        <w:softHyphen/>
        <w:t>лась работа по организации сдачи утильной резины на заводы промышленности.</w:t>
      </w:r>
    </w:p>
    <w:p w14:paraId="1BE051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1944 и 1945 гг. (по 1 мая) фронтами, округами и частями сдано 19238 тыс. утильной резины.</w:t>
      </w:r>
    </w:p>
    <w:p w14:paraId="07AD2D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VIII</w:t>
      </w:r>
      <w:r w:rsidRPr="00F90EAE">
        <w:rPr>
          <w:color w:val="000000" w:themeColor="text1"/>
          <w:sz w:val="16"/>
          <w:szCs w:val="16"/>
        </w:rPr>
        <w:t>. Перевозка автомашин железнодорожным транспортом</w:t>
      </w:r>
    </w:p>
    <w:p w14:paraId="19AB41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Получаемые от промышленности и по импорту автомашины направлялись фронтам и войско</w:t>
      </w:r>
      <w:r w:rsidRPr="00F90EAE">
        <w:rPr>
          <w:color w:val="000000" w:themeColor="text1"/>
          <w:sz w:val="16"/>
          <w:szCs w:val="16"/>
        </w:rPr>
        <w:softHyphen/>
        <w:t>вым частям железнодорожными транспортами.</w:t>
      </w:r>
    </w:p>
    <w:p w14:paraId="5A0715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по железной дороге перевезено: 3051 эшелон — 218607 машин.</w:t>
      </w:r>
    </w:p>
    <w:tbl>
      <w:tblPr>
        <w:tblW w:w="0" w:type="auto"/>
        <w:tblInd w:w="40" w:type="dxa"/>
        <w:tblLayout w:type="fixed"/>
        <w:tblCellMar>
          <w:left w:w="40" w:type="dxa"/>
          <w:right w:w="40" w:type="dxa"/>
        </w:tblCellMar>
        <w:tblLook w:val="0000" w:firstRow="0" w:lastRow="0" w:firstColumn="0" w:lastColumn="0" w:noHBand="0" w:noVBand="0"/>
      </w:tblPr>
      <w:tblGrid>
        <w:gridCol w:w="1411"/>
        <w:gridCol w:w="1363"/>
        <w:gridCol w:w="1363"/>
        <w:gridCol w:w="1363"/>
        <w:gridCol w:w="1373"/>
        <w:gridCol w:w="1363"/>
        <w:gridCol w:w="1382"/>
      </w:tblGrid>
      <w:tr w:rsidR="00561F31" w:rsidRPr="00F90EAE" w14:paraId="03E88D0A" w14:textId="77777777">
        <w:trPr>
          <w:trHeight w:val="422"/>
        </w:trPr>
        <w:tc>
          <w:tcPr>
            <w:tcW w:w="1411" w:type="dxa"/>
            <w:tcBorders>
              <w:top w:val="single" w:sz="6" w:space="0" w:color="auto"/>
              <w:left w:val="single" w:sz="6" w:space="0" w:color="auto"/>
              <w:bottom w:val="single" w:sz="6" w:space="0" w:color="auto"/>
              <w:right w:val="single" w:sz="6" w:space="0" w:color="auto"/>
            </w:tcBorders>
          </w:tcPr>
          <w:p w14:paraId="5CBE38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w:t>
            </w:r>
          </w:p>
          <w:p w14:paraId="089C63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2A7C4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1941 год (с 22.06 по 31. 12)</w:t>
            </w:r>
          </w:p>
          <w:p w14:paraId="291DC9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BF04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год</w:t>
            </w:r>
          </w:p>
          <w:p w14:paraId="190F2C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63780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4A5442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1D7DE0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010813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2DCFE7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год (с 1.01 по 1.05)</w:t>
            </w:r>
          </w:p>
          <w:p w14:paraId="1BFED2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9E69C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3F0027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3C4E1AE" w14:textId="77777777">
        <w:trPr>
          <w:trHeight w:val="240"/>
        </w:trPr>
        <w:tc>
          <w:tcPr>
            <w:tcW w:w="1411" w:type="dxa"/>
            <w:tcBorders>
              <w:top w:val="single" w:sz="6" w:space="0" w:color="auto"/>
              <w:left w:val="single" w:sz="6" w:space="0" w:color="auto"/>
              <w:bottom w:val="single" w:sz="6" w:space="0" w:color="auto"/>
              <w:right w:val="single" w:sz="6" w:space="0" w:color="auto"/>
            </w:tcBorders>
          </w:tcPr>
          <w:p w14:paraId="0B7775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Эшелонов</w:t>
            </w:r>
          </w:p>
          <w:p w14:paraId="00D710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59527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168</w:t>
            </w:r>
          </w:p>
          <w:p w14:paraId="561E20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CD8AC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493</w:t>
            </w:r>
          </w:p>
          <w:p w14:paraId="7F6506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1C372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510</w:t>
            </w:r>
          </w:p>
          <w:p w14:paraId="221D5A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B2596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1426</w:t>
            </w:r>
          </w:p>
          <w:p w14:paraId="4C1ACA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D56F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454</w:t>
            </w:r>
          </w:p>
          <w:p w14:paraId="2932A7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74C83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3051</w:t>
            </w:r>
          </w:p>
          <w:p w14:paraId="6D51BC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21B057C" w14:textId="77777777">
        <w:trPr>
          <w:trHeight w:val="250"/>
        </w:trPr>
        <w:tc>
          <w:tcPr>
            <w:tcW w:w="1411" w:type="dxa"/>
            <w:tcBorders>
              <w:top w:val="single" w:sz="6" w:space="0" w:color="auto"/>
              <w:left w:val="single" w:sz="6" w:space="0" w:color="auto"/>
              <w:bottom w:val="single" w:sz="6" w:space="0" w:color="auto"/>
              <w:right w:val="single" w:sz="6" w:space="0" w:color="auto"/>
            </w:tcBorders>
          </w:tcPr>
          <w:p w14:paraId="6312CE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Автомашин</w:t>
            </w:r>
          </w:p>
          <w:p w14:paraId="6398C6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7110C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5856</w:t>
            </w:r>
          </w:p>
          <w:p w14:paraId="640C43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58698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22200</w:t>
            </w:r>
          </w:p>
          <w:p w14:paraId="57873C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7A1F2C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60883</w:t>
            </w:r>
          </w:p>
          <w:p w14:paraId="18F38A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5201D7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99694</w:t>
            </w:r>
          </w:p>
          <w:p w14:paraId="2BB7F7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B99D0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29974</w:t>
            </w:r>
          </w:p>
          <w:p w14:paraId="66E47C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68F3B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218607</w:t>
            </w:r>
          </w:p>
          <w:p w14:paraId="1FEF80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21AE40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 производился перегон автомашин своим ходом, авточастями, подчиненными управлению.</w:t>
      </w:r>
    </w:p>
    <w:p w14:paraId="34E418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IX</w:t>
      </w:r>
      <w:r w:rsidRPr="00F90EAE">
        <w:rPr>
          <w:color w:val="000000" w:themeColor="text1"/>
          <w:sz w:val="16"/>
          <w:szCs w:val="16"/>
        </w:rPr>
        <w:t>. Работа автомобильных частей</w:t>
      </w:r>
    </w:p>
    <w:p w14:paraId="2D8C5E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Автомобильными частями, подчиненными управлению снабжения, за годы войны проделана большая работа по перегону автомашин с заводов промышленности на склады и в резерв, для после</w:t>
      </w:r>
      <w:r w:rsidRPr="00F90EAE">
        <w:rPr>
          <w:color w:val="000000" w:themeColor="text1"/>
          <w:sz w:val="16"/>
          <w:szCs w:val="16"/>
        </w:rPr>
        <w:softHyphen/>
        <w:t>дующей выдачи войскам и непосредственно фронтам и войсковым частям:</w:t>
      </w:r>
    </w:p>
    <w:tbl>
      <w:tblPr>
        <w:tblW w:w="0" w:type="auto"/>
        <w:tblInd w:w="40" w:type="dxa"/>
        <w:tblLayout w:type="fixed"/>
        <w:tblCellMar>
          <w:left w:w="40" w:type="dxa"/>
          <w:right w:w="40" w:type="dxa"/>
        </w:tblCellMar>
        <w:tblLook w:val="0000" w:firstRow="0" w:lastRow="0" w:firstColumn="0" w:lastColumn="0" w:noHBand="0" w:noVBand="0"/>
      </w:tblPr>
      <w:tblGrid>
        <w:gridCol w:w="2438"/>
        <w:gridCol w:w="1786"/>
        <w:gridCol w:w="1766"/>
        <w:gridCol w:w="1757"/>
        <w:gridCol w:w="1853"/>
      </w:tblGrid>
      <w:tr w:rsidR="00561F31" w:rsidRPr="00F90EAE" w14:paraId="32415E33" w14:textId="77777777">
        <w:trPr>
          <w:trHeight w:val="422"/>
        </w:trPr>
        <w:tc>
          <w:tcPr>
            <w:tcW w:w="2438" w:type="dxa"/>
            <w:tcBorders>
              <w:top w:val="single" w:sz="6" w:space="0" w:color="auto"/>
              <w:left w:val="single" w:sz="6" w:space="0" w:color="auto"/>
              <w:bottom w:val="single" w:sz="6" w:space="0" w:color="auto"/>
              <w:right w:val="single" w:sz="6" w:space="0" w:color="auto"/>
            </w:tcBorders>
          </w:tcPr>
          <w:p w14:paraId="7D1464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Перегон машин</w:t>
            </w:r>
          </w:p>
          <w:p w14:paraId="124F00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BE11C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w:t>
            </w:r>
          </w:p>
          <w:p w14:paraId="061676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26C0D8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w:t>
            </w:r>
          </w:p>
          <w:p w14:paraId="4F49B6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59FB20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 (с 1.01 по 1.05)</w:t>
            </w:r>
          </w:p>
          <w:p w14:paraId="122155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3D53D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6A490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3B513E1" w14:textId="77777777">
        <w:trPr>
          <w:trHeight w:val="230"/>
        </w:trPr>
        <w:tc>
          <w:tcPr>
            <w:tcW w:w="2438" w:type="dxa"/>
            <w:tcBorders>
              <w:top w:val="single" w:sz="6" w:space="0" w:color="auto"/>
              <w:left w:val="single" w:sz="6" w:space="0" w:color="auto"/>
              <w:bottom w:val="single" w:sz="6" w:space="0" w:color="auto"/>
              <w:right w:val="single" w:sz="6" w:space="0" w:color="auto"/>
            </w:tcBorders>
          </w:tcPr>
          <w:p w14:paraId="10C79E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Фронтам и войсковым частям</w:t>
            </w:r>
          </w:p>
          <w:p w14:paraId="550AE6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E3BAB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4219</w:t>
            </w:r>
          </w:p>
          <w:p w14:paraId="7238E0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B0D7D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7524</w:t>
            </w:r>
          </w:p>
          <w:p w14:paraId="1FA076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69FA28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157</w:t>
            </w:r>
          </w:p>
          <w:p w14:paraId="3CF49A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ED7F2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11900</w:t>
            </w:r>
          </w:p>
          <w:p w14:paraId="0D781B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7E2BFC1" w14:textId="77777777">
        <w:trPr>
          <w:trHeight w:val="240"/>
        </w:trPr>
        <w:tc>
          <w:tcPr>
            <w:tcW w:w="2438" w:type="dxa"/>
            <w:tcBorders>
              <w:top w:val="single" w:sz="6" w:space="0" w:color="auto"/>
              <w:left w:val="single" w:sz="6" w:space="0" w:color="auto"/>
              <w:bottom w:val="single" w:sz="6" w:space="0" w:color="auto"/>
              <w:right w:val="single" w:sz="6" w:space="0" w:color="auto"/>
            </w:tcBorders>
          </w:tcPr>
          <w:p w14:paraId="64C891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склады с заводов промышленности</w:t>
            </w:r>
          </w:p>
          <w:p w14:paraId="7D86AC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28AA4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20269</w:t>
            </w:r>
          </w:p>
          <w:p w14:paraId="0BD7DA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72DE28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35510</w:t>
            </w:r>
          </w:p>
          <w:p w14:paraId="4FC9FA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12A212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11924</w:t>
            </w:r>
          </w:p>
          <w:p w14:paraId="6EAF11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D2FF6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67703</w:t>
            </w:r>
          </w:p>
          <w:p w14:paraId="441AEC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6960937" w14:textId="77777777">
        <w:trPr>
          <w:trHeight w:val="259"/>
        </w:trPr>
        <w:tc>
          <w:tcPr>
            <w:tcW w:w="2438" w:type="dxa"/>
            <w:tcBorders>
              <w:top w:val="single" w:sz="6" w:space="0" w:color="auto"/>
              <w:left w:val="single" w:sz="6" w:space="0" w:color="auto"/>
              <w:bottom w:val="single" w:sz="6" w:space="0" w:color="auto"/>
              <w:right w:val="single" w:sz="6" w:space="0" w:color="auto"/>
            </w:tcBorders>
          </w:tcPr>
          <w:p w14:paraId="30E3274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1567AD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56ABE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24488</w:t>
            </w:r>
          </w:p>
          <w:p w14:paraId="2B28C3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55F067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43034</w:t>
            </w:r>
          </w:p>
          <w:p w14:paraId="02CA4E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57" w:type="dxa"/>
            <w:tcBorders>
              <w:top w:val="single" w:sz="6" w:space="0" w:color="auto"/>
              <w:left w:val="single" w:sz="6" w:space="0" w:color="auto"/>
              <w:bottom w:val="single" w:sz="6" w:space="0" w:color="auto"/>
              <w:right w:val="single" w:sz="6" w:space="0" w:color="auto"/>
            </w:tcBorders>
          </w:tcPr>
          <w:p w14:paraId="2643C4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12081</w:t>
            </w:r>
          </w:p>
          <w:p w14:paraId="10DCF9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084DBD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79603</w:t>
            </w:r>
          </w:p>
          <w:p w14:paraId="296519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64EC4B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2. Подготовка водителей на машины, выдаваемые войскам, проводилась в авточастях управления в 1942-1944 гг. Со </w:t>
      </w:r>
      <w:r w:rsidRPr="00F90EAE">
        <w:rPr>
          <w:color w:val="000000" w:themeColor="text1"/>
          <w:sz w:val="16"/>
          <w:szCs w:val="16"/>
          <w:lang w:val="en-US"/>
        </w:rPr>
        <w:t>II</w:t>
      </w:r>
      <w:r w:rsidRPr="00F90EAE">
        <w:rPr>
          <w:color w:val="000000" w:themeColor="text1"/>
          <w:sz w:val="16"/>
          <w:szCs w:val="16"/>
        </w:rPr>
        <w:t xml:space="preserve"> квартала 1944 г. эта работа передана в штаб ГАВТУ КА. Всего подготовлено 65761 водитель, из них: в 1942 году -21620; в 1943 году - 35586; в 1944 году (</w:t>
      </w:r>
      <w:r w:rsidRPr="00F90EAE">
        <w:rPr>
          <w:color w:val="000000" w:themeColor="text1"/>
          <w:sz w:val="16"/>
          <w:szCs w:val="16"/>
          <w:lang w:val="en-US"/>
        </w:rPr>
        <w:t>I</w:t>
      </w:r>
      <w:r w:rsidRPr="00F90EAE">
        <w:rPr>
          <w:color w:val="000000" w:themeColor="text1"/>
          <w:sz w:val="16"/>
          <w:szCs w:val="16"/>
        </w:rPr>
        <w:t xml:space="preserve"> кв.) -8555.</w:t>
      </w:r>
    </w:p>
    <w:p w14:paraId="582813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Силами авточастей произведены крупные перевозки автоимущества с заводов на централь</w:t>
      </w:r>
      <w:r w:rsidRPr="00F90EAE">
        <w:rPr>
          <w:color w:val="000000" w:themeColor="text1"/>
          <w:sz w:val="16"/>
          <w:szCs w:val="16"/>
        </w:rPr>
        <w:softHyphen/>
        <w:t>ные склады, с заводов и складов фронтам, а также различных грузов для предприятий народного хозяйства по заданиям начальника тыла Красной Армии.</w:t>
      </w:r>
    </w:p>
    <w:p w14:paraId="1474FC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за годы войны перевезено 794,3 тыс. тонн различных грузов:</w:t>
      </w:r>
    </w:p>
    <w:tbl>
      <w:tblPr>
        <w:tblW w:w="0" w:type="auto"/>
        <w:tblInd w:w="40" w:type="dxa"/>
        <w:tblLayout w:type="fixed"/>
        <w:tblCellMar>
          <w:left w:w="40" w:type="dxa"/>
          <w:right w:w="40" w:type="dxa"/>
        </w:tblCellMar>
        <w:tblLook w:val="0000" w:firstRow="0" w:lastRow="0" w:firstColumn="0" w:lastColumn="0" w:noHBand="0" w:noVBand="0"/>
      </w:tblPr>
      <w:tblGrid>
        <w:gridCol w:w="2928"/>
        <w:gridCol w:w="1248"/>
        <w:gridCol w:w="1258"/>
        <w:gridCol w:w="1248"/>
        <w:gridCol w:w="1258"/>
        <w:gridCol w:w="1661"/>
      </w:tblGrid>
      <w:tr w:rsidR="00561F31" w:rsidRPr="00F90EAE" w14:paraId="4F7A1509" w14:textId="77777777">
        <w:trPr>
          <w:trHeight w:val="365"/>
        </w:trPr>
        <w:tc>
          <w:tcPr>
            <w:tcW w:w="2928" w:type="dxa"/>
            <w:tcBorders>
              <w:top w:val="single" w:sz="6" w:space="0" w:color="auto"/>
              <w:left w:val="single" w:sz="6" w:space="0" w:color="auto"/>
              <w:bottom w:val="single" w:sz="6" w:space="0" w:color="auto"/>
              <w:right w:val="single" w:sz="6" w:space="0" w:color="auto"/>
            </w:tcBorders>
          </w:tcPr>
          <w:p w14:paraId="67064D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7E672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5ECD0A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1942 год</w:t>
            </w:r>
          </w:p>
          <w:p w14:paraId="7B1B15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921F0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060176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012593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1 944 год</w:t>
            </w:r>
          </w:p>
          <w:p w14:paraId="1998F3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BBD0A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1 945 год (с 1 .01 по 1 .05)</w:t>
            </w:r>
          </w:p>
          <w:p w14:paraId="3E4512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AD1A1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57360C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21CA11B" w14:textId="77777777">
        <w:trPr>
          <w:trHeight w:val="173"/>
        </w:trPr>
        <w:tc>
          <w:tcPr>
            <w:tcW w:w="2928" w:type="dxa"/>
            <w:tcBorders>
              <w:top w:val="single" w:sz="6" w:space="0" w:color="auto"/>
              <w:left w:val="single" w:sz="6" w:space="0" w:color="auto"/>
              <w:bottom w:val="single" w:sz="6" w:space="0" w:color="auto"/>
              <w:right w:val="single" w:sz="6" w:space="0" w:color="auto"/>
            </w:tcBorders>
          </w:tcPr>
          <w:p w14:paraId="1985D5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Выделено машин</w:t>
            </w:r>
          </w:p>
          <w:p w14:paraId="3E6924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62B846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12765</w:t>
            </w:r>
          </w:p>
          <w:p w14:paraId="526F74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8E117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21574</w:t>
            </w:r>
          </w:p>
          <w:p w14:paraId="0E3DE5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7A4C2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7351"</w:t>
            </w:r>
          </w:p>
          <w:p w14:paraId="06C7C0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38416F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573</w:t>
            </w:r>
          </w:p>
          <w:p w14:paraId="415DC5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456147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42263</w:t>
            </w:r>
          </w:p>
          <w:p w14:paraId="3FFB2D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3C309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3F5D46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Перевезено в тыс. тонн груза</w:t>
            </w:r>
          </w:p>
          <w:p w14:paraId="78629C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A239E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149,9</w:t>
            </w:r>
          </w:p>
          <w:p w14:paraId="4381BC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32578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179,5</w:t>
            </w:r>
          </w:p>
          <w:p w14:paraId="2F8088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710DFA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458,2</w:t>
            </w:r>
          </w:p>
          <w:p w14:paraId="404127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1E8A4C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w:t>
            </w:r>
          </w:p>
          <w:p w14:paraId="3AA233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7B9AFF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794,3</w:t>
            </w:r>
          </w:p>
          <w:p w14:paraId="0452B3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8F6DC5F" w14:textId="77777777">
        <w:trPr>
          <w:trHeight w:val="192"/>
        </w:trPr>
        <w:tc>
          <w:tcPr>
            <w:tcW w:w="2928" w:type="dxa"/>
            <w:tcBorders>
              <w:top w:val="single" w:sz="6" w:space="0" w:color="auto"/>
              <w:left w:val="single" w:sz="6" w:space="0" w:color="auto"/>
              <w:bottom w:val="single" w:sz="6" w:space="0" w:color="auto"/>
              <w:right w:val="single" w:sz="6" w:space="0" w:color="auto"/>
            </w:tcBorders>
          </w:tcPr>
          <w:p w14:paraId="1C4B7D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Пройдено тыс. км</w:t>
            </w:r>
          </w:p>
          <w:p w14:paraId="171842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18C2AC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2399,8</w:t>
            </w:r>
          </w:p>
          <w:p w14:paraId="7F61B4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625282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5198,6</w:t>
            </w:r>
          </w:p>
          <w:p w14:paraId="126438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48" w:type="dxa"/>
            <w:tcBorders>
              <w:top w:val="single" w:sz="6" w:space="0" w:color="auto"/>
              <w:left w:val="single" w:sz="6" w:space="0" w:color="auto"/>
              <w:bottom w:val="single" w:sz="6" w:space="0" w:color="auto"/>
              <w:right w:val="single" w:sz="6" w:space="0" w:color="auto"/>
            </w:tcBorders>
          </w:tcPr>
          <w:p w14:paraId="29D820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741,0</w:t>
            </w:r>
          </w:p>
          <w:p w14:paraId="63554A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58" w:type="dxa"/>
            <w:tcBorders>
              <w:top w:val="single" w:sz="6" w:space="0" w:color="auto"/>
              <w:left w:val="single" w:sz="6" w:space="0" w:color="auto"/>
              <w:bottom w:val="single" w:sz="6" w:space="0" w:color="auto"/>
              <w:right w:val="single" w:sz="6" w:space="0" w:color="auto"/>
            </w:tcBorders>
          </w:tcPr>
          <w:p w14:paraId="5A08EF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65,3</w:t>
            </w:r>
          </w:p>
          <w:p w14:paraId="23E797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61" w:type="dxa"/>
            <w:tcBorders>
              <w:top w:val="single" w:sz="6" w:space="0" w:color="auto"/>
              <w:left w:val="single" w:sz="6" w:space="0" w:color="auto"/>
              <w:bottom w:val="single" w:sz="6" w:space="0" w:color="auto"/>
              <w:right w:val="single" w:sz="6" w:space="0" w:color="auto"/>
            </w:tcBorders>
          </w:tcPr>
          <w:p w14:paraId="06ACFB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8404,7</w:t>
            </w:r>
          </w:p>
          <w:p w14:paraId="35390E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61710A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vertAlign w:val="superscript"/>
        </w:rPr>
        <w:t>х)</w:t>
      </w:r>
      <w:r w:rsidRPr="00F90EAE">
        <w:rPr>
          <w:color w:val="000000" w:themeColor="text1"/>
          <w:sz w:val="16"/>
          <w:szCs w:val="16"/>
        </w:rPr>
        <w:t xml:space="preserve"> Сравнительно небольшое количество выделенных машин при большом тоннаже перевезенно</w:t>
      </w:r>
      <w:r w:rsidRPr="00F90EAE">
        <w:rPr>
          <w:color w:val="000000" w:themeColor="text1"/>
          <w:sz w:val="16"/>
          <w:szCs w:val="16"/>
        </w:rPr>
        <w:softHyphen/>
        <w:t>го груза объясняется длительными сроками работы машин по обслуживанию нескольких предпри</w:t>
      </w:r>
      <w:r w:rsidRPr="00F90EAE">
        <w:rPr>
          <w:color w:val="000000" w:themeColor="text1"/>
          <w:sz w:val="16"/>
          <w:szCs w:val="16"/>
        </w:rPr>
        <w:softHyphen/>
        <w:t>ятий.</w:t>
      </w:r>
    </w:p>
    <w:p w14:paraId="48AA7A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Большая работа проделана авточастями по оказанию помощи автозаводам в сборке автомашин. Всего собрано 45601 машина и 99487 отдельных агрегатов:</w:t>
      </w:r>
    </w:p>
    <w:tbl>
      <w:tblPr>
        <w:tblW w:w="0" w:type="auto"/>
        <w:tblInd w:w="40" w:type="dxa"/>
        <w:tblLayout w:type="fixed"/>
        <w:tblCellMar>
          <w:left w:w="40" w:type="dxa"/>
          <w:right w:w="40" w:type="dxa"/>
        </w:tblCellMar>
        <w:tblLook w:val="0000" w:firstRow="0" w:lastRow="0" w:firstColumn="0" w:lastColumn="0" w:noHBand="0" w:noVBand="0"/>
      </w:tblPr>
      <w:tblGrid>
        <w:gridCol w:w="1555"/>
        <w:gridCol w:w="1949"/>
        <w:gridCol w:w="2160"/>
        <w:gridCol w:w="2294"/>
        <w:gridCol w:w="1680"/>
      </w:tblGrid>
      <w:tr w:rsidR="00561F31" w:rsidRPr="00F90EAE" w14:paraId="4459C32E" w14:textId="77777777">
        <w:trPr>
          <w:trHeight w:val="413"/>
        </w:trPr>
        <w:tc>
          <w:tcPr>
            <w:tcW w:w="1555" w:type="dxa"/>
            <w:tcBorders>
              <w:top w:val="single" w:sz="6" w:space="0" w:color="auto"/>
              <w:left w:val="single" w:sz="6" w:space="0" w:color="auto"/>
              <w:bottom w:val="single" w:sz="6" w:space="0" w:color="auto"/>
              <w:right w:val="single" w:sz="6" w:space="0" w:color="auto"/>
            </w:tcBorders>
          </w:tcPr>
          <w:p w14:paraId="4F2683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Собрано</w:t>
            </w:r>
          </w:p>
          <w:p w14:paraId="13986D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59A44C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1943 год</w:t>
            </w:r>
          </w:p>
          <w:p w14:paraId="0F0574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5F4873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1944 год</w:t>
            </w:r>
          </w:p>
          <w:p w14:paraId="798C18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0E9421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1945 год (с 1 .01 по 1 .05)</w:t>
            </w:r>
          </w:p>
          <w:p w14:paraId="63CA2E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5E551C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022AF0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2E20BC5" w14:textId="77777777">
        <w:trPr>
          <w:trHeight w:val="240"/>
        </w:trPr>
        <w:tc>
          <w:tcPr>
            <w:tcW w:w="1555" w:type="dxa"/>
            <w:tcBorders>
              <w:top w:val="single" w:sz="6" w:space="0" w:color="auto"/>
              <w:left w:val="single" w:sz="6" w:space="0" w:color="auto"/>
              <w:bottom w:val="single" w:sz="6" w:space="0" w:color="auto"/>
              <w:right w:val="single" w:sz="6" w:space="0" w:color="auto"/>
            </w:tcBorders>
          </w:tcPr>
          <w:p w14:paraId="42A1A3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Автомашин</w:t>
            </w:r>
          </w:p>
          <w:p w14:paraId="4E0F92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46774D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7166</w:t>
            </w:r>
          </w:p>
          <w:p w14:paraId="69DE31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0C2D79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37000</w:t>
            </w:r>
          </w:p>
          <w:p w14:paraId="47985D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3B3D8C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1435</w:t>
            </w:r>
          </w:p>
          <w:p w14:paraId="433D61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4E2EB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45601</w:t>
            </w:r>
          </w:p>
          <w:p w14:paraId="3070CF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F5E2718" w14:textId="77777777">
        <w:trPr>
          <w:trHeight w:val="259"/>
        </w:trPr>
        <w:tc>
          <w:tcPr>
            <w:tcW w:w="1555" w:type="dxa"/>
            <w:tcBorders>
              <w:top w:val="single" w:sz="6" w:space="0" w:color="auto"/>
              <w:left w:val="single" w:sz="6" w:space="0" w:color="auto"/>
              <w:bottom w:val="single" w:sz="6" w:space="0" w:color="auto"/>
              <w:right w:val="single" w:sz="6" w:space="0" w:color="auto"/>
            </w:tcBorders>
          </w:tcPr>
          <w:p w14:paraId="64EA8C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Агрегатов</w:t>
            </w:r>
          </w:p>
          <w:p w14:paraId="1513BE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49" w:type="dxa"/>
            <w:tcBorders>
              <w:top w:val="single" w:sz="6" w:space="0" w:color="auto"/>
              <w:left w:val="single" w:sz="6" w:space="0" w:color="auto"/>
              <w:bottom w:val="single" w:sz="6" w:space="0" w:color="auto"/>
              <w:right w:val="single" w:sz="6" w:space="0" w:color="auto"/>
            </w:tcBorders>
          </w:tcPr>
          <w:p w14:paraId="317B79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19487</w:t>
            </w:r>
          </w:p>
          <w:p w14:paraId="68F079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160" w:type="dxa"/>
            <w:tcBorders>
              <w:top w:val="single" w:sz="6" w:space="0" w:color="auto"/>
              <w:left w:val="single" w:sz="6" w:space="0" w:color="auto"/>
              <w:bottom w:val="single" w:sz="6" w:space="0" w:color="auto"/>
              <w:right w:val="single" w:sz="6" w:space="0" w:color="auto"/>
            </w:tcBorders>
          </w:tcPr>
          <w:p w14:paraId="6C7667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80000</w:t>
            </w:r>
          </w:p>
          <w:p w14:paraId="157285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294" w:type="dxa"/>
            <w:tcBorders>
              <w:top w:val="single" w:sz="6" w:space="0" w:color="auto"/>
              <w:left w:val="single" w:sz="6" w:space="0" w:color="auto"/>
              <w:bottom w:val="single" w:sz="6" w:space="0" w:color="auto"/>
              <w:right w:val="single" w:sz="6" w:space="0" w:color="auto"/>
            </w:tcBorders>
          </w:tcPr>
          <w:p w14:paraId="657461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CDD08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06AB56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99487</w:t>
            </w:r>
          </w:p>
          <w:p w14:paraId="763236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5A0EB2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X</w:t>
      </w:r>
      <w:r w:rsidRPr="00F90EAE">
        <w:rPr>
          <w:color w:val="000000" w:themeColor="text1"/>
          <w:sz w:val="16"/>
          <w:szCs w:val="16"/>
        </w:rPr>
        <w:t>. Работа организации военных приемок, складов и баз</w:t>
      </w:r>
    </w:p>
    <w:p w14:paraId="00E424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По импортным машинам.</w:t>
      </w:r>
    </w:p>
    <w:p w14:paraId="4B5886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приема и передачи на укомплектование войск импортных автомашин были организованы:</w:t>
      </w:r>
    </w:p>
    <w:p w14:paraId="1E292A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5 военных приемок в портах (Владивосток, Мурманск, Архангельск, Одесса, Новороссийск), через которые шел поток агрегатов автомашин, направляемых для сборки на автозаводах.</w:t>
      </w:r>
    </w:p>
    <w:p w14:paraId="2C3F64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5 военных приемок на автозаводах (ГАЗ, ЗИС, завод № 79, Одесский и Минский автосбороч</w:t>
      </w:r>
      <w:r w:rsidRPr="00F90EAE">
        <w:rPr>
          <w:color w:val="000000" w:themeColor="text1"/>
          <w:sz w:val="16"/>
          <w:szCs w:val="16"/>
        </w:rPr>
        <w:softHyphen/>
        <w:t>ные заводы), принимающих собранные на заводах машины и производящих отправку их частям.</w:t>
      </w:r>
    </w:p>
    <w:p w14:paraId="16FCA7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Центральная база в составе 1 автобригады и двух автомобильных складов в Закавказье, осу</w:t>
      </w:r>
      <w:r w:rsidRPr="00F90EAE">
        <w:rPr>
          <w:color w:val="000000" w:themeColor="text1"/>
          <w:sz w:val="16"/>
          <w:szCs w:val="16"/>
        </w:rPr>
        <w:softHyphen/>
        <w:t>ществляющих перегон готовых машин, поступающих через Иран.</w:t>
      </w:r>
    </w:p>
    <w:p w14:paraId="75BD52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Силами этой базы принято, перегнано своим ходом на расстояние 700 км и отправлено для час</w:t>
      </w:r>
      <w:r w:rsidRPr="00F90EAE">
        <w:rPr>
          <w:color w:val="000000" w:themeColor="text1"/>
          <w:sz w:val="16"/>
          <w:szCs w:val="16"/>
        </w:rPr>
        <w:softHyphen/>
        <w:t>тей 180000 машин, или 57,5% от общего количества полученных по импорту автомашин.</w:t>
      </w:r>
    </w:p>
    <w:p w14:paraId="7B180C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По отечественным автомашинам.</w:t>
      </w:r>
    </w:p>
    <w:p w14:paraId="64AF3F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Организовано 7 военных приемок на заводах (УралЗИС и на 6 заводах, изготавливающих специ</w:t>
      </w:r>
      <w:r w:rsidRPr="00F90EAE">
        <w:rPr>
          <w:color w:val="000000" w:themeColor="text1"/>
          <w:sz w:val="16"/>
          <w:szCs w:val="16"/>
        </w:rPr>
        <w:softHyphen/>
        <w:t>альные автомобили по заказам ГАВТУ КА).</w:t>
      </w:r>
    </w:p>
    <w:p w14:paraId="321B72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XI</w:t>
      </w:r>
      <w:r w:rsidRPr="00F90EAE">
        <w:rPr>
          <w:color w:val="000000" w:themeColor="text1"/>
          <w:sz w:val="16"/>
          <w:szCs w:val="16"/>
        </w:rPr>
        <w:t>. Работа по испытаниям, внедрению в производство новых образцов автомашин и</w:t>
      </w:r>
    </w:p>
    <w:p w14:paraId="621458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изданию технической литературы</w:t>
      </w:r>
    </w:p>
    <w:p w14:paraId="41A5F3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За годы войны освоено производство новых образцов автомашин: легкового повышенной про</w:t>
      </w:r>
      <w:r w:rsidRPr="00F90EAE">
        <w:rPr>
          <w:color w:val="000000" w:themeColor="text1"/>
          <w:sz w:val="16"/>
          <w:szCs w:val="16"/>
        </w:rPr>
        <w:softHyphen/>
        <w:t>ходимости ГАЗ-67 (модернизирован в 1943 и 1944 гг.), автотягача ЗИС-42 (модернизирован в 1943 г.), санитарных ЗИС-44, штабных автобусов упрощенной конструкции ГАЗ-55Б.</w:t>
      </w:r>
    </w:p>
    <w:p w14:paraId="167720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Организовано оборудование кузовами автомашин ГАЗ-67 и Додж 3/4 тонн.</w:t>
      </w:r>
    </w:p>
    <w:p w14:paraId="731CA6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Управление принимало участие в организации и проведении испытаний новых образцов авто</w:t>
      </w:r>
      <w:r w:rsidRPr="00F90EAE">
        <w:rPr>
          <w:color w:val="000000" w:themeColor="text1"/>
          <w:sz w:val="16"/>
          <w:szCs w:val="16"/>
        </w:rPr>
        <w:softHyphen/>
        <w:t>машин отечественного производства — двухмоторного тягача АТ-14, грузовиков ГАЗ-63, ЗИС-150, артиллерийского тягача с торсионной подвеской АТ-3, газогенераторного автомобиля с радиатор</w:t>
      </w:r>
      <w:r w:rsidRPr="00F90EAE">
        <w:rPr>
          <w:color w:val="000000" w:themeColor="text1"/>
          <w:sz w:val="16"/>
          <w:szCs w:val="16"/>
        </w:rPr>
        <w:softHyphen/>
        <w:t>ным охлаждением ЗИС-41, легковых ГАЗ-20 и ЗИС-110,</w:t>
      </w:r>
    </w:p>
    <w:p w14:paraId="2D3F28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Машина ЗИС-110 утверждена к производству со 2 полугодия 1945 г., остальные — подготовлены к показу правительственной комиссии.</w:t>
      </w:r>
    </w:p>
    <w:p w14:paraId="6AF43D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По импортным автомашинам — с участием управления проведены испытания в условиях нор</w:t>
      </w:r>
      <w:r w:rsidRPr="00F90EAE">
        <w:rPr>
          <w:color w:val="000000" w:themeColor="text1"/>
          <w:sz w:val="16"/>
          <w:szCs w:val="16"/>
        </w:rPr>
        <w:softHyphen/>
        <w:t>мальной эксплуатации всех основных марок получаемых машин (20 моделей), а также испытания новых марок Студебекер-трайлер, амфибий Форд и Лжиемси.</w:t>
      </w:r>
    </w:p>
    <w:p w14:paraId="36F7A9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Разработаны при участии управления и изданы 40 различных пособий, главным образом, по импортным автомобилям (наставления, руководства, инструкции, памятки).</w:t>
      </w:r>
    </w:p>
    <w:p w14:paraId="563514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УС ГАВТУ КА инженер-полковник Гольберг</w:t>
      </w:r>
    </w:p>
    <w:p w14:paraId="4D6FF7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1 отдела УС ГАВТУ КА инженер-подполковник Ермаков</w:t>
      </w:r>
    </w:p>
    <w:p w14:paraId="5B870B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11584. Д. 13. Л. 131-141. Подлинник (11420).</w:t>
      </w:r>
    </w:p>
    <w:p w14:paraId="66C95865" w14:textId="77777777" w:rsidR="006103B3" w:rsidRPr="00F90EAE" w:rsidRDefault="006103B3" w:rsidP="00F90EAE">
      <w:pPr>
        <w:autoSpaceDE w:val="0"/>
        <w:autoSpaceDN w:val="0"/>
        <w:adjustRightInd w:val="0"/>
        <w:jc w:val="both"/>
        <w:rPr>
          <w:color w:val="000000" w:themeColor="text1"/>
          <w:sz w:val="16"/>
          <w:szCs w:val="16"/>
        </w:rPr>
      </w:pPr>
    </w:p>
    <w:p w14:paraId="555109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 вышло Постановление ГКО № 8915 Об отгрузке лесоматериалов предприятиям Наркомнефти в июне 1945 года. РГАНИР, Фонд ГКО, д. 422, лл. 130-133, 134-135 (11012).</w:t>
      </w:r>
    </w:p>
    <w:p w14:paraId="20DB3363" w14:textId="77777777" w:rsidR="006103B3" w:rsidRPr="00F90EAE" w:rsidRDefault="006103B3" w:rsidP="00F90EAE">
      <w:pPr>
        <w:autoSpaceDE w:val="0"/>
        <w:autoSpaceDN w:val="0"/>
        <w:adjustRightInd w:val="0"/>
        <w:jc w:val="both"/>
        <w:rPr>
          <w:color w:val="000000" w:themeColor="text1"/>
          <w:sz w:val="16"/>
          <w:szCs w:val="16"/>
        </w:rPr>
      </w:pPr>
    </w:p>
    <w:p w14:paraId="144F1D7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A2ABA38" w14:textId="77777777" w:rsidR="006103B3" w:rsidRPr="00F90EAE" w:rsidRDefault="006103B3" w:rsidP="00F90EAE">
      <w:pPr>
        <w:autoSpaceDE w:val="0"/>
        <w:autoSpaceDN w:val="0"/>
        <w:adjustRightInd w:val="0"/>
        <w:jc w:val="both"/>
        <w:rPr>
          <w:iCs/>
          <w:color w:val="000000" w:themeColor="text1"/>
          <w:sz w:val="16"/>
          <w:szCs w:val="16"/>
        </w:rPr>
      </w:pPr>
    </w:p>
    <w:p w14:paraId="1436DB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июня 1945 г. была подготовлена СПРАВКА-ДОКЛАД НАЧАЛЬНИКА 1 -го ОТДЕЛА ШТАБА ГАВТУ КА О НАЛИЧИИ АВТОПАРКА В СССР</w:t>
      </w:r>
    </w:p>
    <w:p w14:paraId="179259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Наличие автопарка к началу войны</w:t>
      </w:r>
    </w:p>
    <w:p w14:paraId="647094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началу Отечественной войны, по состоянию на 20 июня 1941 г., в стране имелось 1093947 авто</w:t>
      </w:r>
      <w:r w:rsidRPr="00F90EAE">
        <w:rPr>
          <w:color w:val="000000" w:themeColor="text1"/>
          <w:sz w:val="16"/>
          <w:szCs w:val="16"/>
        </w:rPr>
        <w:softHyphen/>
        <w:t>мобилей, из них:</w:t>
      </w:r>
    </w:p>
    <w:p w14:paraId="4DF0A3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 — 272605</w:t>
      </w:r>
    </w:p>
    <w:p w14:paraId="23B70E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 —821342</w:t>
      </w:r>
    </w:p>
    <w:p w14:paraId="40A6EE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- 1093947.</w:t>
      </w:r>
    </w:p>
    <w:p w14:paraId="5F10A4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Наличие автопарка к концу войны</w:t>
      </w:r>
    </w:p>
    <w:p w14:paraId="1C7C6E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концу войны, по состоянию на 1 мая 1945 г., в стране осталось 929427 автомобилей, из них:</w:t>
      </w:r>
    </w:p>
    <w:p w14:paraId="6CAACB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 — 664455</w:t>
      </w:r>
    </w:p>
    <w:p w14:paraId="6F444B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 — 264972</w:t>
      </w:r>
    </w:p>
    <w:p w14:paraId="2A2024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 - 929427.</w:t>
      </w:r>
    </w:p>
    <w:p w14:paraId="2E197F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Изменения в наличии автопарка за годы войны</w:t>
      </w:r>
    </w:p>
    <w:p w14:paraId="233112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 годы Отечественной войны автомобильный парк Союза Советских Социалистических Республик уменьшился на 164520 машин, из них:</w:t>
      </w:r>
    </w:p>
    <w:tbl>
      <w:tblPr>
        <w:tblW w:w="0" w:type="auto"/>
        <w:tblInd w:w="40" w:type="dxa"/>
        <w:tblLayout w:type="fixed"/>
        <w:tblCellMar>
          <w:left w:w="40" w:type="dxa"/>
          <w:right w:w="40" w:type="dxa"/>
        </w:tblCellMar>
        <w:tblLook w:val="0000" w:firstRow="0" w:lastRow="0" w:firstColumn="0" w:lastColumn="0" w:noHBand="0" w:noVBand="0"/>
      </w:tblPr>
      <w:tblGrid>
        <w:gridCol w:w="2419"/>
        <w:gridCol w:w="1690"/>
        <w:gridCol w:w="1680"/>
        <w:gridCol w:w="1795"/>
      </w:tblGrid>
      <w:tr w:rsidR="00561F31" w:rsidRPr="00F90EAE" w14:paraId="6AB3A57F" w14:textId="77777777">
        <w:trPr>
          <w:trHeight w:val="211"/>
        </w:trPr>
        <w:tc>
          <w:tcPr>
            <w:tcW w:w="2419" w:type="dxa"/>
            <w:tcBorders>
              <w:top w:val="single" w:sz="6" w:space="0" w:color="auto"/>
              <w:left w:val="single" w:sz="6" w:space="0" w:color="auto"/>
              <w:bottom w:val="nil"/>
              <w:right w:val="single" w:sz="6" w:space="0" w:color="auto"/>
            </w:tcBorders>
          </w:tcPr>
          <w:p w14:paraId="2CAFFA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763053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370140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автомашин</w:t>
            </w:r>
          </w:p>
          <w:p w14:paraId="462696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nil"/>
              <w:right w:val="single" w:sz="6" w:space="0" w:color="auto"/>
            </w:tcBorders>
          </w:tcPr>
          <w:p w14:paraId="51576B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Разница</w:t>
            </w:r>
          </w:p>
          <w:p w14:paraId="21CDAE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282C1B7" w14:textId="77777777">
        <w:trPr>
          <w:trHeight w:val="211"/>
        </w:trPr>
        <w:tc>
          <w:tcPr>
            <w:tcW w:w="2419" w:type="dxa"/>
            <w:tcBorders>
              <w:top w:val="nil"/>
              <w:left w:val="single" w:sz="6" w:space="0" w:color="auto"/>
              <w:bottom w:val="single" w:sz="6" w:space="0" w:color="auto"/>
              <w:right w:val="single" w:sz="6" w:space="0" w:color="auto"/>
            </w:tcBorders>
          </w:tcPr>
          <w:p w14:paraId="08E0FA3E" w14:textId="77777777" w:rsidR="006103B3" w:rsidRPr="00F90EAE" w:rsidRDefault="006103B3" w:rsidP="00F90EAE">
            <w:pPr>
              <w:autoSpaceDE w:val="0"/>
              <w:autoSpaceDN w:val="0"/>
              <w:adjustRightInd w:val="0"/>
              <w:jc w:val="both"/>
              <w:rPr>
                <w:color w:val="000000" w:themeColor="text1"/>
                <w:sz w:val="16"/>
                <w:szCs w:val="16"/>
              </w:rPr>
            </w:pPr>
          </w:p>
          <w:p w14:paraId="39ECCEBA" w14:textId="77777777" w:rsidR="006103B3" w:rsidRPr="00F90EAE" w:rsidRDefault="006103B3" w:rsidP="00F90EAE">
            <w:pPr>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CC383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20.06. 1941 г.</w:t>
            </w:r>
          </w:p>
          <w:p w14:paraId="03A6D4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23BF8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1.05. 1945 г.</w:t>
            </w:r>
          </w:p>
          <w:p w14:paraId="41ABD1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95" w:type="dxa"/>
            <w:tcBorders>
              <w:top w:val="nil"/>
              <w:left w:val="single" w:sz="6" w:space="0" w:color="auto"/>
              <w:bottom w:val="single" w:sz="6" w:space="0" w:color="auto"/>
              <w:right w:val="single" w:sz="6" w:space="0" w:color="auto"/>
            </w:tcBorders>
          </w:tcPr>
          <w:p w14:paraId="778E13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09295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919441B"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5D4E51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w:t>
            </w:r>
          </w:p>
          <w:p w14:paraId="20A750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4DCBB1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272605</w:t>
            </w:r>
          </w:p>
          <w:p w14:paraId="1A6E3C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12255D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664455</w:t>
            </w:r>
          </w:p>
          <w:p w14:paraId="3E873A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64E4774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+391850</w:t>
            </w:r>
          </w:p>
          <w:p w14:paraId="2BC03E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EAB89E6" w14:textId="77777777">
        <w:trPr>
          <w:trHeight w:val="202"/>
        </w:trPr>
        <w:tc>
          <w:tcPr>
            <w:tcW w:w="2419" w:type="dxa"/>
            <w:tcBorders>
              <w:top w:val="single" w:sz="6" w:space="0" w:color="auto"/>
              <w:left w:val="single" w:sz="6" w:space="0" w:color="auto"/>
              <w:bottom w:val="single" w:sz="6" w:space="0" w:color="auto"/>
              <w:right w:val="single" w:sz="6" w:space="0" w:color="auto"/>
            </w:tcBorders>
          </w:tcPr>
          <w:p w14:paraId="295668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w:t>
            </w:r>
          </w:p>
          <w:p w14:paraId="7304DB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C53E1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821342</w:t>
            </w:r>
          </w:p>
          <w:p w14:paraId="58F648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7B3993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264972</w:t>
            </w:r>
          </w:p>
          <w:p w14:paraId="6AD2A46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DF955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-556370</w:t>
            </w:r>
          </w:p>
          <w:p w14:paraId="514BA9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96CB7AE" w14:textId="77777777">
        <w:trPr>
          <w:trHeight w:val="221"/>
        </w:trPr>
        <w:tc>
          <w:tcPr>
            <w:tcW w:w="2419" w:type="dxa"/>
            <w:tcBorders>
              <w:top w:val="single" w:sz="6" w:space="0" w:color="auto"/>
              <w:left w:val="single" w:sz="6" w:space="0" w:color="auto"/>
              <w:bottom w:val="single" w:sz="6" w:space="0" w:color="auto"/>
              <w:right w:val="single" w:sz="6" w:space="0" w:color="auto"/>
            </w:tcBorders>
          </w:tcPr>
          <w:p w14:paraId="75D637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362DB8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130902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1093947</w:t>
            </w:r>
          </w:p>
          <w:p w14:paraId="5BABAE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444F3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929427</w:t>
            </w:r>
          </w:p>
          <w:p w14:paraId="4434930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FF83C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-164520</w:t>
            </w:r>
          </w:p>
          <w:p w14:paraId="612452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6ACF6A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произошли значительные изменения в составе автопарка: наряду с отечественными автомашинами, к концу войны в Союзе Советских Социалистических Республик имеется 238998 импортных автомобилей и в Красной Армии 60626 трофейных автомобилей (наличие трофейных автомобилей в народном хозяйстве отдельно не показано).</w:t>
      </w:r>
    </w:p>
    <w:tbl>
      <w:tblPr>
        <w:tblW w:w="0" w:type="auto"/>
        <w:tblInd w:w="40" w:type="dxa"/>
        <w:tblLayout w:type="fixed"/>
        <w:tblCellMar>
          <w:left w:w="40" w:type="dxa"/>
          <w:right w:w="40" w:type="dxa"/>
        </w:tblCellMar>
        <w:tblLook w:val="0000" w:firstRow="0" w:lastRow="0" w:firstColumn="0" w:lastColumn="0" w:noHBand="0" w:noVBand="0"/>
      </w:tblPr>
      <w:tblGrid>
        <w:gridCol w:w="2256"/>
        <w:gridCol w:w="1680"/>
        <w:gridCol w:w="1690"/>
        <w:gridCol w:w="1968"/>
      </w:tblGrid>
      <w:tr w:rsidR="00561F31" w:rsidRPr="00F90EAE" w14:paraId="5B39FA88" w14:textId="77777777">
        <w:trPr>
          <w:trHeight w:val="250"/>
        </w:trPr>
        <w:tc>
          <w:tcPr>
            <w:tcW w:w="2256" w:type="dxa"/>
            <w:tcBorders>
              <w:top w:val="single" w:sz="6" w:space="0" w:color="auto"/>
              <w:left w:val="single" w:sz="6" w:space="0" w:color="auto"/>
              <w:bottom w:val="nil"/>
              <w:right w:val="single" w:sz="6" w:space="0" w:color="auto"/>
            </w:tcBorders>
          </w:tcPr>
          <w:p w14:paraId="3241E7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255F26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370" w:type="dxa"/>
            <w:gridSpan w:val="2"/>
            <w:tcBorders>
              <w:top w:val="single" w:sz="6" w:space="0" w:color="auto"/>
              <w:left w:val="single" w:sz="6" w:space="0" w:color="auto"/>
              <w:bottom w:val="single" w:sz="6" w:space="0" w:color="auto"/>
              <w:right w:val="single" w:sz="6" w:space="0" w:color="auto"/>
            </w:tcBorders>
          </w:tcPr>
          <w:p w14:paraId="4E45E3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Количество автомашин</w:t>
            </w:r>
          </w:p>
          <w:p w14:paraId="6A2B06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nil"/>
              <w:right w:val="single" w:sz="6" w:space="0" w:color="auto"/>
            </w:tcBorders>
          </w:tcPr>
          <w:p w14:paraId="0FB2D0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5A005E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59079CF" w14:textId="77777777">
        <w:trPr>
          <w:trHeight w:val="240"/>
        </w:trPr>
        <w:tc>
          <w:tcPr>
            <w:tcW w:w="2256" w:type="dxa"/>
            <w:tcBorders>
              <w:top w:val="nil"/>
              <w:left w:val="single" w:sz="6" w:space="0" w:color="auto"/>
              <w:bottom w:val="single" w:sz="6" w:space="0" w:color="auto"/>
              <w:right w:val="single" w:sz="6" w:space="0" w:color="auto"/>
            </w:tcBorders>
          </w:tcPr>
          <w:p w14:paraId="5A4D2346" w14:textId="77777777" w:rsidR="006103B3" w:rsidRPr="00F90EAE" w:rsidRDefault="006103B3" w:rsidP="00F90EAE">
            <w:pPr>
              <w:autoSpaceDE w:val="0"/>
              <w:autoSpaceDN w:val="0"/>
              <w:adjustRightInd w:val="0"/>
              <w:jc w:val="both"/>
              <w:rPr>
                <w:color w:val="000000" w:themeColor="text1"/>
                <w:sz w:val="16"/>
                <w:szCs w:val="16"/>
              </w:rPr>
            </w:pPr>
          </w:p>
          <w:p w14:paraId="5C4F1589" w14:textId="77777777" w:rsidR="006103B3" w:rsidRPr="00F90EAE" w:rsidRDefault="006103B3" w:rsidP="00F90EAE">
            <w:pPr>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0FA12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импортных</w:t>
            </w:r>
          </w:p>
          <w:p w14:paraId="7498D1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25A7CE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трофейных</w:t>
            </w:r>
          </w:p>
          <w:p w14:paraId="31AE52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68" w:type="dxa"/>
            <w:tcBorders>
              <w:top w:val="nil"/>
              <w:left w:val="single" w:sz="6" w:space="0" w:color="auto"/>
              <w:bottom w:val="single" w:sz="6" w:space="0" w:color="auto"/>
              <w:right w:val="single" w:sz="6" w:space="0" w:color="auto"/>
            </w:tcBorders>
          </w:tcPr>
          <w:p w14:paraId="07AF10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21FB5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CE7E264" w14:textId="77777777">
        <w:trPr>
          <w:trHeight w:val="240"/>
        </w:trPr>
        <w:tc>
          <w:tcPr>
            <w:tcW w:w="2256" w:type="dxa"/>
            <w:tcBorders>
              <w:top w:val="single" w:sz="6" w:space="0" w:color="auto"/>
              <w:left w:val="single" w:sz="6" w:space="0" w:color="auto"/>
              <w:bottom w:val="single" w:sz="6" w:space="0" w:color="auto"/>
              <w:right w:val="single" w:sz="6" w:space="0" w:color="auto"/>
            </w:tcBorders>
          </w:tcPr>
          <w:p w14:paraId="429DDF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w:t>
            </w:r>
          </w:p>
          <w:p w14:paraId="3D9701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651FFDC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218121</w:t>
            </w:r>
          </w:p>
          <w:p w14:paraId="1756D8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9CC4F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60626</w:t>
            </w:r>
          </w:p>
          <w:p w14:paraId="2E21B1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5D98B7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278747</w:t>
            </w:r>
          </w:p>
          <w:p w14:paraId="46D74E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609914F" w14:textId="77777777">
        <w:trPr>
          <w:trHeight w:val="230"/>
        </w:trPr>
        <w:tc>
          <w:tcPr>
            <w:tcW w:w="2256" w:type="dxa"/>
            <w:tcBorders>
              <w:top w:val="single" w:sz="6" w:space="0" w:color="auto"/>
              <w:left w:val="single" w:sz="6" w:space="0" w:color="auto"/>
              <w:bottom w:val="single" w:sz="6" w:space="0" w:color="auto"/>
              <w:right w:val="single" w:sz="6" w:space="0" w:color="auto"/>
            </w:tcBorders>
          </w:tcPr>
          <w:p w14:paraId="76E504C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в народном хозяйстве</w:t>
            </w:r>
          </w:p>
          <w:p w14:paraId="4AF4EF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19D9D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20877</w:t>
            </w:r>
          </w:p>
          <w:p w14:paraId="06B58C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7DCB73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нет сведений</w:t>
            </w:r>
          </w:p>
          <w:p w14:paraId="010E10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1393AE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20877</w:t>
            </w:r>
          </w:p>
          <w:p w14:paraId="2397EA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1304A8D" w14:textId="77777777">
        <w:trPr>
          <w:trHeight w:val="259"/>
        </w:trPr>
        <w:tc>
          <w:tcPr>
            <w:tcW w:w="2256" w:type="dxa"/>
            <w:tcBorders>
              <w:top w:val="single" w:sz="6" w:space="0" w:color="auto"/>
              <w:left w:val="single" w:sz="6" w:space="0" w:color="auto"/>
              <w:bottom w:val="single" w:sz="6" w:space="0" w:color="auto"/>
              <w:right w:val="single" w:sz="6" w:space="0" w:color="auto"/>
            </w:tcBorders>
          </w:tcPr>
          <w:p w14:paraId="081851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280A4C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358E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238998</w:t>
            </w:r>
          </w:p>
          <w:p w14:paraId="579E27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90" w:type="dxa"/>
            <w:tcBorders>
              <w:top w:val="single" w:sz="6" w:space="0" w:color="auto"/>
              <w:left w:val="single" w:sz="6" w:space="0" w:color="auto"/>
              <w:bottom w:val="single" w:sz="6" w:space="0" w:color="auto"/>
              <w:right w:val="single" w:sz="6" w:space="0" w:color="auto"/>
            </w:tcBorders>
          </w:tcPr>
          <w:p w14:paraId="696860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60626</w:t>
            </w:r>
          </w:p>
          <w:p w14:paraId="644A41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0FCA22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299624</w:t>
            </w:r>
          </w:p>
          <w:p w14:paraId="58A4B1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74A8D1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Техническое состояние автопарка страны</w:t>
      </w:r>
    </w:p>
    <w:p w14:paraId="0B77F4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Наличие автомашин ходового парка и машин, требующих ремонта, в стране к концу войны видно из приведенных ниже таблиц, из них же видно, что техническое состояние автопарка народ</w:t>
      </w:r>
      <w:r w:rsidRPr="00F90EAE">
        <w:rPr>
          <w:color w:val="000000" w:themeColor="text1"/>
          <w:sz w:val="16"/>
          <w:szCs w:val="16"/>
        </w:rPr>
        <w:softHyphen/>
        <w:t>ного хозяйства хуже, чем в Красной Армии.</w:t>
      </w:r>
    </w:p>
    <w:p w14:paraId="13ECD1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наличие ходового автопарка</w:t>
      </w:r>
    </w:p>
    <w:tbl>
      <w:tblPr>
        <w:tblW w:w="0" w:type="auto"/>
        <w:tblInd w:w="40" w:type="dxa"/>
        <w:tblLayout w:type="fixed"/>
        <w:tblCellMar>
          <w:left w:w="40" w:type="dxa"/>
          <w:right w:w="40" w:type="dxa"/>
        </w:tblCellMar>
        <w:tblLook w:val="0000" w:firstRow="0" w:lastRow="0" w:firstColumn="0" w:lastColumn="0" w:noHBand="0" w:noVBand="0"/>
      </w:tblPr>
      <w:tblGrid>
        <w:gridCol w:w="1939"/>
        <w:gridCol w:w="1459"/>
        <w:gridCol w:w="1680"/>
        <w:gridCol w:w="1507"/>
        <w:gridCol w:w="1507"/>
        <w:gridCol w:w="1440"/>
      </w:tblGrid>
      <w:tr w:rsidR="00561F31" w:rsidRPr="00F90EAE" w14:paraId="5063871E" w14:textId="77777777">
        <w:trPr>
          <w:trHeight w:val="250"/>
        </w:trPr>
        <w:tc>
          <w:tcPr>
            <w:tcW w:w="1939" w:type="dxa"/>
            <w:tcBorders>
              <w:top w:val="single" w:sz="6" w:space="0" w:color="auto"/>
              <w:left w:val="single" w:sz="6" w:space="0" w:color="auto"/>
              <w:bottom w:val="nil"/>
              <w:right w:val="single" w:sz="6" w:space="0" w:color="auto"/>
            </w:tcBorders>
          </w:tcPr>
          <w:p w14:paraId="7F2C5D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64063C7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nil"/>
              <w:right w:val="single" w:sz="6" w:space="0" w:color="auto"/>
            </w:tcBorders>
          </w:tcPr>
          <w:p w14:paraId="5E4A2A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автомашин</w:t>
            </w:r>
          </w:p>
          <w:p w14:paraId="5E50FE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694" w:type="dxa"/>
            <w:gridSpan w:val="3"/>
            <w:tcBorders>
              <w:top w:val="single" w:sz="6" w:space="0" w:color="auto"/>
              <w:left w:val="single" w:sz="6" w:space="0" w:color="auto"/>
              <w:bottom w:val="single" w:sz="6" w:space="0" w:color="auto"/>
              <w:right w:val="single" w:sz="6" w:space="0" w:color="auto"/>
            </w:tcBorders>
          </w:tcPr>
          <w:p w14:paraId="643139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w:t>
            </w:r>
          </w:p>
          <w:p w14:paraId="4F7539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5F1F7C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неходовых машин</w:t>
            </w:r>
          </w:p>
          <w:p w14:paraId="55E86B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5B6E0D7" w14:textId="77777777">
        <w:trPr>
          <w:trHeight w:val="240"/>
        </w:trPr>
        <w:tc>
          <w:tcPr>
            <w:tcW w:w="1939" w:type="dxa"/>
            <w:tcBorders>
              <w:top w:val="nil"/>
              <w:left w:val="single" w:sz="6" w:space="0" w:color="auto"/>
              <w:bottom w:val="nil"/>
              <w:right w:val="single" w:sz="6" w:space="0" w:color="auto"/>
            </w:tcBorders>
          </w:tcPr>
          <w:p w14:paraId="15435C79" w14:textId="77777777" w:rsidR="006103B3" w:rsidRPr="00F90EAE" w:rsidRDefault="006103B3" w:rsidP="00F90EAE">
            <w:pPr>
              <w:autoSpaceDE w:val="0"/>
              <w:autoSpaceDN w:val="0"/>
              <w:adjustRightInd w:val="0"/>
              <w:jc w:val="both"/>
              <w:rPr>
                <w:color w:val="000000" w:themeColor="text1"/>
                <w:sz w:val="16"/>
                <w:szCs w:val="16"/>
              </w:rPr>
            </w:pPr>
          </w:p>
          <w:p w14:paraId="543F47E0" w14:textId="77777777" w:rsidR="006103B3" w:rsidRPr="00F90EAE" w:rsidRDefault="006103B3" w:rsidP="00F90EAE">
            <w:pPr>
              <w:autoSpaceDE w:val="0"/>
              <w:autoSpaceDN w:val="0"/>
              <w:adjustRightInd w:val="0"/>
              <w:jc w:val="both"/>
              <w:rPr>
                <w:color w:val="000000" w:themeColor="text1"/>
                <w:sz w:val="16"/>
                <w:szCs w:val="16"/>
              </w:rPr>
            </w:pPr>
          </w:p>
        </w:tc>
        <w:tc>
          <w:tcPr>
            <w:tcW w:w="1459" w:type="dxa"/>
            <w:tcBorders>
              <w:top w:val="nil"/>
              <w:left w:val="single" w:sz="6" w:space="0" w:color="auto"/>
              <w:bottom w:val="nil"/>
              <w:right w:val="single" w:sz="6" w:space="0" w:color="auto"/>
            </w:tcBorders>
          </w:tcPr>
          <w:p w14:paraId="1AB545E0" w14:textId="77777777" w:rsidR="006103B3" w:rsidRPr="00F90EAE" w:rsidRDefault="006103B3" w:rsidP="00F90EAE">
            <w:pPr>
              <w:autoSpaceDE w:val="0"/>
              <w:autoSpaceDN w:val="0"/>
              <w:adjustRightInd w:val="0"/>
              <w:jc w:val="both"/>
              <w:rPr>
                <w:color w:val="000000" w:themeColor="text1"/>
                <w:sz w:val="16"/>
                <w:szCs w:val="16"/>
              </w:rPr>
            </w:pPr>
          </w:p>
          <w:p w14:paraId="374672A0" w14:textId="77777777" w:rsidR="006103B3" w:rsidRPr="00F90EAE" w:rsidRDefault="006103B3" w:rsidP="00F90EAE">
            <w:pPr>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nil"/>
              <w:right w:val="single" w:sz="6" w:space="0" w:color="auto"/>
            </w:tcBorders>
          </w:tcPr>
          <w:p w14:paraId="24A82C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ходу, в том числе треб, ремонта</w:t>
            </w:r>
          </w:p>
          <w:p w14:paraId="62B4BD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014" w:type="dxa"/>
            <w:gridSpan w:val="2"/>
            <w:tcBorders>
              <w:top w:val="single" w:sz="6" w:space="0" w:color="auto"/>
              <w:left w:val="single" w:sz="6" w:space="0" w:color="auto"/>
              <w:bottom w:val="single" w:sz="6" w:space="0" w:color="auto"/>
              <w:right w:val="single" w:sz="6" w:space="0" w:color="auto"/>
            </w:tcBorders>
          </w:tcPr>
          <w:p w14:paraId="4AC586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 на ходу (требующие ремонта)</w:t>
            </w:r>
          </w:p>
          <w:p w14:paraId="16CE29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nil"/>
              <w:right w:val="single" w:sz="6" w:space="0" w:color="auto"/>
            </w:tcBorders>
          </w:tcPr>
          <w:p w14:paraId="7E15E3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8D4C5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5A1682E" w14:textId="77777777">
        <w:trPr>
          <w:trHeight w:val="240"/>
        </w:trPr>
        <w:tc>
          <w:tcPr>
            <w:tcW w:w="1939" w:type="dxa"/>
            <w:tcBorders>
              <w:top w:val="nil"/>
              <w:left w:val="single" w:sz="6" w:space="0" w:color="auto"/>
              <w:bottom w:val="single" w:sz="6" w:space="0" w:color="auto"/>
              <w:right w:val="single" w:sz="6" w:space="0" w:color="auto"/>
            </w:tcBorders>
          </w:tcPr>
          <w:p w14:paraId="53DC44C3" w14:textId="77777777" w:rsidR="006103B3" w:rsidRPr="00F90EAE" w:rsidRDefault="006103B3" w:rsidP="00F90EAE">
            <w:pPr>
              <w:autoSpaceDE w:val="0"/>
              <w:autoSpaceDN w:val="0"/>
              <w:adjustRightInd w:val="0"/>
              <w:jc w:val="both"/>
              <w:rPr>
                <w:color w:val="000000" w:themeColor="text1"/>
                <w:sz w:val="16"/>
                <w:szCs w:val="16"/>
              </w:rPr>
            </w:pPr>
          </w:p>
          <w:p w14:paraId="4446D092" w14:textId="77777777" w:rsidR="006103B3" w:rsidRPr="00F90EAE" w:rsidRDefault="006103B3" w:rsidP="00F90EAE">
            <w:pPr>
              <w:autoSpaceDE w:val="0"/>
              <w:autoSpaceDN w:val="0"/>
              <w:adjustRightInd w:val="0"/>
              <w:jc w:val="both"/>
              <w:rPr>
                <w:color w:val="000000" w:themeColor="text1"/>
                <w:sz w:val="16"/>
                <w:szCs w:val="16"/>
              </w:rPr>
            </w:pPr>
          </w:p>
        </w:tc>
        <w:tc>
          <w:tcPr>
            <w:tcW w:w="1459" w:type="dxa"/>
            <w:tcBorders>
              <w:top w:val="nil"/>
              <w:left w:val="single" w:sz="6" w:space="0" w:color="auto"/>
              <w:bottom w:val="single" w:sz="6" w:space="0" w:color="auto"/>
              <w:right w:val="single" w:sz="6" w:space="0" w:color="auto"/>
            </w:tcBorders>
          </w:tcPr>
          <w:p w14:paraId="6BBC41CF" w14:textId="77777777" w:rsidR="006103B3" w:rsidRPr="00F90EAE" w:rsidRDefault="006103B3" w:rsidP="00F90EAE">
            <w:pPr>
              <w:autoSpaceDE w:val="0"/>
              <w:autoSpaceDN w:val="0"/>
              <w:adjustRightInd w:val="0"/>
              <w:jc w:val="both"/>
              <w:rPr>
                <w:color w:val="000000" w:themeColor="text1"/>
                <w:sz w:val="16"/>
                <w:szCs w:val="16"/>
              </w:rPr>
            </w:pPr>
          </w:p>
          <w:p w14:paraId="30359B0F" w14:textId="77777777" w:rsidR="006103B3" w:rsidRPr="00F90EAE" w:rsidRDefault="006103B3" w:rsidP="00F90EAE">
            <w:pPr>
              <w:autoSpaceDE w:val="0"/>
              <w:autoSpaceDN w:val="0"/>
              <w:adjustRightInd w:val="0"/>
              <w:jc w:val="both"/>
              <w:rPr>
                <w:color w:val="000000" w:themeColor="text1"/>
                <w:sz w:val="16"/>
                <w:szCs w:val="16"/>
              </w:rPr>
            </w:pPr>
          </w:p>
        </w:tc>
        <w:tc>
          <w:tcPr>
            <w:tcW w:w="1680" w:type="dxa"/>
            <w:tcBorders>
              <w:top w:val="nil"/>
              <w:left w:val="single" w:sz="6" w:space="0" w:color="auto"/>
              <w:bottom w:val="single" w:sz="6" w:space="0" w:color="auto"/>
              <w:right w:val="single" w:sz="6" w:space="0" w:color="auto"/>
            </w:tcBorders>
          </w:tcPr>
          <w:p w14:paraId="138A67D7" w14:textId="77777777" w:rsidR="006103B3" w:rsidRPr="00F90EAE" w:rsidRDefault="006103B3" w:rsidP="00F90EAE">
            <w:pPr>
              <w:autoSpaceDE w:val="0"/>
              <w:autoSpaceDN w:val="0"/>
              <w:adjustRightInd w:val="0"/>
              <w:jc w:val="both"/>
              <w:rPr>
                <w:color w:val="000000" w:themeColor="text1"/>
                <w:sz w:val="16"/>
                <w:szCs w:val="16"/>
              </w:rPr>
            </w:pPr>
          </w:p>
          <w:p w14:paraId="3FBE7155" w14:textId="77777777" w:rsidR="006103B3" w:rsidRPr="00F90EAE" w:rsidRDefault="006103B3" w:rsidP="00F90EAE">
            <w:pPr>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0E95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капитального</w:t>
            </w:r>
          </w:p>
          <w:p w14:paraId="328F33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C42C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среднего</w:t>
            </w:r>
          </w:p>
          <w:p w14:paraId="12FB48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4D08D6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71B83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0EB2E58" w14:textId="77777777">
        <w:trPr>
          <w:trHeight w:val="240"/>
        </w:trPr>
        <w:tc>
          <w:tcPr>
            <w:tcW w:w="1939" w:type="dxa"/>
            <w:tcBorders>
              <w:top w:val="single" w:sz="6" w:space="0" w:color="auto"/>
              <w:left w:val="single" w:sz="6" w:space="0" w:color="auto"/>
              <w:bottom w:val="single" w:sz="6" w:space="0" w:color="auto"/>
              <w:right w:val="single" w:sz="6" w:space="0" w:color="auto"/>
            </w:tcBorders>
          </w:tcPr>
          <w:p w14:paraId="3C2665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w:t>
            </w:r>
          </w:p>
          <w:p w14:paraId="282239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43F75C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664455</w:t>
            </w:r>
          </w:p>
          <w:p w14:paraId="0396BC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48BCED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565206</w:t>
            </w:r>
          </w:p>
          <w:p w14:paraId="12E861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7E738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32485</w:t>
            </w:r>
          </w:p>
          <w:p w14:paraId="7C7BE4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7F6E1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65764</w:t>
            </w:r>
          </w:p>
          <w:p w14:paraId="15272C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AE95D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w:t>
            </w:r>
          </w:p>
          <w:p w14:paraId="05BEB9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06E9C96" w14:textId="77777777">
        <w:trPr>
          <w:trHeight w:val="230"/>
        </w:trPr>
        <w:tc>
          <w:tcPr>
            <w:tcW w:w="1939" w:type="dxa"/>
            <w:tcBorders>
              <w:top w:val="single" w:sz="6" w:space="0" w:color="auto"/>
              <w:left w:val="single" w:sz="6" w:space="0" w:color="auto"/>
              <w:bottom w:val="single" w:sz="6" w:space="0" w:color="auto"/>
              <w:right w:val="single" w:sz="6" w:space="0" w:color="auto"/>
            </w:tcBorders>
          </w:tcPr>
          <w:p w14:paraId="595D87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w:t>
            </w:r>
          </w:p>
          <w:p w14:paraId="7433DA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044C72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264972</w:t>
            </w:r>
          </w:p>
          <w:p w14:paraId="03CEC7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2ECBDF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184155</w:t>
            </w:r>
          </w:p>
          <w:p w14:paraId="5E5182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806B7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41335</w:t>
            </w:r>
          </w:p>
          <w:p w14:paraId="34C1DE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C7F40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39482</w:t>
            </w:r>
          </w:p>
          <w:p w14:paraId="08CC43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F3AD6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w:t>
            </w:r>
          </w:p>
          <w:p w14:paraId="2F3507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0834EC8" w14:textId="77777777">
        <w:trPr>
          <w:trHeight w:val="259"/>
        </w:trPr>
        <w:tc>
          <w:tcPr>
            <w:tcW w:w="1939" w:type="dxa"/>
            <w:tcBorders>
              <w:top w:val="single" w:sz="6" w:space="0" w:color="auto"/>
              <w:left w:val="single" w:sz="6" w:space="0" w:color="auto"/>
              <w:bottom w:val="single" w:sz="6" w:space="0" w:color="auto"/>
              <w:right w:val="single" w:sz="6" w:space="0" w:color="auto"/>
            </w:tcBorders>
          </w:tcPr>
          <w:p w14:paraId="4E79F8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383DBC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59" w:type="dxa"/>
            <w:tcBorders>
              <w:top w:val="single" w:sz="6" w:space="0" w:color="auto"/>
              <w:left w:val="single" w:sz="6" w:space="0" w:color="auto"/>
              <w:bottom w:val="single" w:sz="6" w:space="0" w:color="auto"/>
              <w:right w:val="single" w:sz="6" w:space="0" w:color="auto"/>
            </w:tcBorders>
          </w:tcPr>
          <w:p w14:paraId="336722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929427</w:t>
            </w:r>
          </w:p>
          <w:p w14:paraId="1693BF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680" w:type="dxa"/>
            <w:tcBorders>
              <w:top w:val="single" w:sz="6" w:space="0" w:color="auto"/>
              <w:left w:val="single" w:sz="6" w:space="0" w:color="auto"/>
              <w:bottom w:val="single" w:sz="6" w:space="0" w:color="auto"/>
              <w:right w:val="single" w:sz="6" w:space="0" w:color="auto"/>
            </w:tcBorders>
          </w:tcPr>
          <w:p w14:paraId="3D3871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750361</w:t>
            </w:r>
          </w:p>
          <w:p w14:paraId="39613E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62A850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73820</w:t>
            </w:r>
          </w:p>
          <w:p w14:paraId="6E1E82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37F71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105246</w:t>
            </w:r>
          </w:p>
          <w:p w14:paraId="6B2318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C6C5A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w:t>
            </w:r>
          </w:p>
          <w:p w14:paraId="23E418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487207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наличие автопарка, требующего капитального и среднего ремонта</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498"/>
        <w:gridCol w:w="1565"/>
        <w:gridCol w:w="1565"/>
        <w:gridCol w:w="1565"/>
        <w:gridCol w:w="1440"/>
      </w:tblGrid>
      <w:tr w:rsidR="00561F31" w:rsidRPr="00F90EAE" w14:paraId="4B5A3598" w14:textId="77777777">
        <w:trPr>
          <w:trHeight w:val="259"/>
        </w:trPr>
        <w:tc>
          <w:tcPr>
            <w:tcW w:w="1891" w:type="dxa"/>
            <w:tcBorders>
              <w:top w:val="single" w:sz="6" w:space="0" w:color="auto"/>
              <w:left w:val="single" w:sz="6" w:space="0" w:color="auto"/>
              <w:bottom w:val="nil"/>
              <w:right w:val="single" w:sz="6" w:space="0" w:color="auto"/>
            </w:tcBorders>
          </w:tcPr>
          <w:p w14:paraId="59A8D9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w:t>
            </w:r>
          </w:p>
          <w:p w14:paraId="3DBDA2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nil"/>
              <w:right w:val="single" w:sz="6" w:space="0" w:color="auto"/>
            </w:tcBorders>
          </w:tcPr>
          <w:p w14:paraId="2F1012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автомашин</w:t>
            </w:r>
          </w:p>
          <w:p w14:paraId="169AA2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695" w:type="dxa"/>
            <w:gridSpan w:val="3"/>
            <w:tcBorders>
              <w:top w:val="single" w:sz="6" w:space="0" w:color="auto"/>
              <w:left w:val="single" w:sz="6" w:space="0" w:color="auto"/>
              <w:bottom w:val="single" w:sz="6" w:space="0" w:color="auto"/>
              <w:right w:val="single" w:sz="6" w:space="0" w:color="auto"/>
            </w:tcBorders>
          </w:tcPr>
          <w:p w14:paraId="455938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w:t>
            </w:r>
          </w:p>
          <w:p w14:paraId="0ACE21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nil"/>
              <w:right w:val="single" w:sz="6" w:space="0" w:color="auto"/>
            </w:tcBorders>
          </w:tcPr>
          <w:p w14:paraId="20D784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машин, треб, капитального и среднего рем.</w:t>
            </w:r>
          </w:p>
          <w:p w14:paraId="0711A7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5678658" w14:textId="77777777">
        <w:trPr>
          <w:trHeight w:val="403"/>
        </w:trPr>
        <w:tc>
          <w:tcPr>
            <w:tcW w:w="1891" w:type="dxa"/>
            <w:tcBorders>
              <w:top w:val="nil"/>
              <w:left w:val="single" w:sz="6" w:space="0" w:color="auto"/>
              <w:bottom w:val="single" w:sz="6" w:space="0" w:color="auto"/>
              <w:right w:val="single" w:sz="6" w:space="0" w:color="auto"/>
            </w:tcBorders>
          </w:tcPr>
          <w:p w14:paraId="5EC6E654" w14:textId="77777777" w:rsidR="006103B3" w:rsidRPr="00F90EAE" w:rsidRDefault="006103B3" w:rsidP="00F90EAE">
            <w:pPr>
              <w:autoSpaceDE w:val="0"/>
              <w:autoSpaceDN w:val="0"/>
              <w:adjustRightInd w:val="0"/>
              <w:jc w:val="both"/>
              <w:rPr>
                <w:color w:val="000000" w:themeColor="text1"/>
                <w:sz w:val="16"/>
                <w:szCs w:val="16"/>
              </w:rPr>
            </w:pPr>
          </w:p>
          <w:p w14:paraId="0F7F03C1" w14:textId="77777777" w:rsidR="006103B3" w:rsidRPr="00F90EAE" w:rsidRDefault="006103B3" w:rsidP="00F90EAE">
            <w:pPr>
              <w:autoSpaceDE w:val="0"/>
              <w:autoSpaceDN w:val="0"/>
              <w:adjustRightInd w:val="0"/>
              <w:jc w:val="both"/>
              <w:rPr>
                <w:color w:val="000000" w:themeColor="text1"/>
                <w:sz w:val="16"/>
                <w:szCs w:val="16"/>
              </w:rPr>
            </w:pPr>
          </w:p>
        </w:tc>
        <w:tc>
          <w:tcPr>
            <w:tcW w:w="1498" w:type="dxa"/>
            <w:tcBorders>
              <w:top w:val="nil"/>
              <w:left w:val="single" w:sz="6" w:space="0" w:color="auto"/>
              <w:bottom w:val="single" w:sz="6" w:space="0" w:color="auto"/>
              <w:right w:val="single" w:sz="6" w:space="0" w:color="auto"/>
            </w:tcBorders>
          </w:tcPr>
          <w:p w14:paraId="16BFB16C" w14:textId="77777777" w:rsidR="006103B3" w:rsidRPr="00F90EAE" w:rsidRDefault="006103B3" w:rsidP="00F90EAE">
            <w:pPr>
              <w:autoSpaceDE w:val="0"/>
              <w:autoSpaceDN w:val="0"/>
              <w:adjustRightInd w:val="0"/>
              <w:jc w:val="both"/>
              <w:rPr>
                <w:color w:val="000000" w:themeColor="text1"/>
                <w:sz w:val="16"/>
                <w:szCs w:val="16"/>
              </w:rPr>
            </w:pPr>
          </w:p>
          <w:p w14:paraId="53063973" w14:textId="77777777" w:rsidR="006103B3" w:rsidRPr="00F90EAE" w:rsidRDefault="006103B3" w:rsidP="00F90EAE">
            <w:pPr>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D6D9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исправных и тек. рем.</w:t>
            </w:r>
          </w:p>
          <w:p w14:paraId="3D7526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5514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капитального ремонта</w:t>
            </w:r>
          </w:p>
          <w:p w14:paraId="2500DA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CC1C2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среднего ремонта</w:t>
            </w:r>
          </w:p>
          <w:p w14:paraId="204925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nil"/>
              <w:left w:val="single" w:sz="6" w:space="0" w:color="auto"/>
              <w:bottom w:val="single" w:sz="6" w:space="0" w:color="auto"/>
              <w:right w:val="single" w:sz="6" w:space="0" w:color="auto"/>
            </w:tcBorders>
          </w:tcPr>
          <w:p w14:paraId="312111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CA307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7554EFE" w14:textId="77777777">
        <w:trPr>
          <w:trHeight w:val="240"/>
        </w:trPr>
        <w:tc>
          <w:tcPr>
            <w:tcW w:w="1891" w:type="dxa"/>
            <w:tcBorders>
              <w:top w:val="single" w:sz="6" w:space="0" w:color="auto"/>
              <w:left w:val="single" w:sz="6" w:space="0" w:color="auto"/>
              <w:bottom w:val="single" w:sz="6" w:space="0" w:color="auto"/>
              <w:right w:val="single" w:sz="6" w:space="0" w:color="auto"/>
            </w:tcBorders>
          </w:tcPr>
          <w:p w14:paraId="1F99D1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w:t>
            </w:r>
          </w:p>
          <w:p w14:paraId="6AFEA5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63234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664605</w:t>
            </w:r>
          </w:p>
          <w:p w14:paraId="0F0579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17C1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533421</w:t>
            </w:r>
          </w:p>
          <w:p w14:paraId="0A57AA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604743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39211</w:t>
            </w:r>
          </w:p>
          <w:p w14:paraId="28ED3B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30026B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91973</w:t>
            </w:r>
          </w:p>
          <w:p w14:paraId="67E6F4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23E88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19,6</w:t>
            </w:r>
          </w:p>
          <w:p w14:paraId="53F9F5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C4D8B8D" w14:textId="77777777">
        <w:trPr>
          <w:trHeight w:val="230"/>
        </w:trPr>
        <w:tc>
          <w:tcPr>
            <w:tcW w:w="1891" w:type="dxa"/>
            <w:tcBorders>
              <w:top w:val="single" w:sz="6" w:space="0" w:color="auto"/>
              <w:left w:val="single" w:sz="6" w:space="0" w:color="auto"/>
              <w:bottom w:val="single" w:sz="6" w:space="0" w:color="auto"/>
              <w:right w:val="single" w:sz="6" w:space="0" w:color="auto"/>
            </w:tcBorders>
          </w:tcPr>
          <w:p w14:paraId="5EC43F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w:t>
            </w:r>
          </w:p>
          <w:p w14:paraId="29BFAB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392329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264972</w:t>
            </w:r>
          </w:p>
          <w:p w14:paraId="150502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C2FE7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173556</w:t>
            </w:r>
          </w:p>
          <w:p w14:paraId="54D7FE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D5659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49020</w:t>
            </w:r>
          </w:p>
          <w:p w14:paraId="74B5A1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770394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42396</w:t>
            </w:r>
          </w:p>
          <w:p w14:paraId="5F719D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4C357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34,5</w:t>
            </w:r>
          </w:p>
          <w:p w14:paraId="74FCAB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31C0FFF" w14:textId="77777777">
        <w:trPr>
          <w:trHeight w:val="259"/>
        </w:trPr>
        <w:tc>
          <w:tcPr>
            <w:tcW w:w="1891" w:type="dxa"/>
            <w:tcBorders>
              <w:top w:val="single" w:sz="6" w:space="0" w:color="auto"/>
              <w:left w:val="single" w:sz="6" w:space="0" w:color="auto"/>
              <w:bottom w:val="single" w:sz="6" w:space="0" w:color="auto"/>
              <w:right w:val="single" w:sz="6" w:space="0" w:color="auto"/>
            </w:tcBorders>
          </w:tcPr>
          <w:p w14:paraId="65EF5F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2B30F7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08AC6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929427</w:t>
            </w:r>
          </w:p>
          <w:p w14:paraId="36E036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528995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706977</w:t>
            </w:r>
          </w:p>
          <w:p w14:paraId="032B30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2B013D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88231</w:t>
            </w:r>
          </w:p>
          <w:p w14:paraId="699301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65" w:type="dxa"/>
            <w:tcBorders>
              <w:top w:val="single" w:sz="6" w:space="0" w:color="auto"/>
              <w:left w:val="single" w:sz="6" w:space="0" w:color="auto"/>
              <w:bottom w:val="single" w:sz="6" w:space="0" w:color="auto"/>
              <w:right w:val="single" w:sz="6" w:space="0" w:color="auto"/>
            </w:tcBorders>
          </w:tcPr>
          <w:p w14:paraId="47BE5B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134369</w:t>
            </w:r>
          </w:p>
          <w:p w14:paraId="6CB826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FA973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23,4</w:t>
            </w:r>
          </w:p>
          <w:p w14:paraId="52C6E3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569E7B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Наличие ходового автопарка страны по типам машин</w:t>
      </w:r>
    </w:p>
    <w:tbl>
      <w:tblPr>
        <w:tblW w:w="0" w:type="auto"/>
        <w:tblInd w:w="40" w:type="dxa"/>
        <w:tblLayout w:type="fixed"/>
        <w:tblCellMar>
          <w:left w:w="40" w:type="dxa"/>
          <w:right w:w="40" w:type="dxa"/>
        </w:tblCellMar>
        <w:tblLook w:val="0000" w:firstRow="0" w:lastRow="0" w:firstColumn="0" w:lastColumn="0" w:noHBand="0" w:noVBand="0"/>
      </w:tblPr>
      <w:tblGrid>
        <w:gridCol w:w="1747"/>
        <w:gridCol w:w="1382"/>
        <w:gridCol w:w="1507"/>
        <w:gridCol w:w="1517"/>
        <w:gridCol w:w="1507"/>
        <w:gridCol w:w="1843"/>
      </w:tblGrid>
      <w:tr w:rsidR="00561F31" w:rsidRPr="00F90EAE" w14:paraId="5D9B4B3A" w14:textId="77777777">
        <w:trPr>
          <w:trHeight w:val="259"/>
        </w:trPr>
        <w:tc>
          <w:tcPr>
            <w:tcW w:w="1747" w:type="dxa"/>
            <w:tcBorders>
              <w:top w:val="single" w:sz="6" w:space="0" w:color="auto"/>
              <w:left w:val="single" w:sz="6" w:space="0" w:color="auto"/>
              <w:bottom w:val="nil"/>
              <w:right w:val="single" w:sz="6" w:space="0" w:color="auto"/>
            </w:tcBorders>
          </w:tcPr>
          <w:p w14:paraId="19045E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Тип автомашин</w:t>
            </w:r>
          </w:p>
          <w:p w14:paraId="579912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nil"/>
              <w:right w:val="single" w:sz="6" w:space="0" w:color="auto"/>
            </w:tcBorders>
          </w:tcPr>
          <w:p w14:paraId="266F78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 автомашин</w:t>
            </w:r>
          </w:p>
          <w:p w14:paraId="1D6EC3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531" w:type="dxa"/>
            <w:gridSpan w:val="3"/>
            <w:tcBorders>
              <w:top w:val="single" w:sz="6" w:space="0" w:color="auto"/>
              <w:left w:val="single" w:sz="6" w:space="0" w:color="auto"/>
              <w:bottom w:val="single" w:sz="6" w:space="0" w:color="auto"/>
              <w:right w:val="single" w:sz="6" w:space="0" w:color="auto"/>
            </w:tcBorders>
          </w:tcPr>
          <w:p w14:paraId="3D3CDF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w:t>
            </w:r>
          </w:p>
          <w:p w14:paraId="63532F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nil"/>
              <w:right w:val="single" w:sz="6" w:space="0" w:color="auto"/>
            </w:tcBorders>
          </w:tcPr>
          <w:p w14:paraId="095463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машин не на ходу</w:t>
            </w:r>
          </w:p>
          <w:p w14:paraId="056DBA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BDF7F98" w14:textId="77777777">
        <w:trPr>
          <w:trHeight w:val="413"/>
        </w:trPr>
        <w:tc>
          <w:tcPr>
            <w:tcW w:w="1747" w:type="dxa"/>
            <w:tcBorders>
              <w:top w:val="nil"/>
              <w:left w:val="single" w:sz="6" w:space="0" w:color="auto"/>
              <w:bottom w:val="single" w:sz="6" w:space="0" w:color="auto"/>
              <w:right w:val="single" w:sz="6" w:space="0" w:color="auto"/>
            </w:tcBorders>
          </w:tcPr>
          <w:p w14:paraId="29A1E842" w14:textId="77777777" w:rsidR="006103B3" w:rsidRPr="00F90EAE" w:rsidRDefault="006103B3" w:rsidP="00F90EAE">
            <w:pPr>
              <w:autoSpaceDE w:val="0"/>
              <w:autoSpaceDN w:val="0"/>
              <w:adjustRightInd w:val="0"/>
              <w:jc w:val="both"/>
              <w:rPr>
                <w:color w:val="000000" w:themeColor="text1"/>
                <w:sz w:val="16"/>
                <w:szCs w:val="16"/>
              </w:rPr>
            </w:pPr>
          </w:p>
          <w:p w14:paraId="4357ECF1" w14:textId="77777777" w:rsidR="006103B3" w:rsidRPr="00F90EAE" w:rsidRDefault="006103B3" w:rsidP="00F90EAE">
            <w:pPr>
              <w:autoSpaceDE w:val="0"/>
              <w:autoSpaceDN w:val="0"/>
              <w:adjustRightInd w:val="0"/>
              <w:jc w:val="both"/>
              <w:rPr>
                <w:color w:val="000000" w:themeColor="text1"/>
                <w:sz w:val="16"/>
                <w:szCs w:val="16"/>
              </w:rPr>
            </w:pPr>
          </w:p>
        </w:tc>
        <w:tc>
          <w:tcPr>
            <w:tcW w:w="1382" w:type="dxa"/>
            <w:tcBorders>
              <w:top w:val="nil"/>
              <w:left w:val="single" w:sz="6" w:space="0" w:color="auto"/>
              <w:bottom w:val="single" w:sz="6" w:space="0" w:color="auto"/>
              <w:right w:val="single" w:sz="6" w:space="0" w:color="auto"/>
            </w:tcBorders>
          </w:tcPr>
          <w:p w14:paraId="1F299F89" w14:textId="77777777" w:rsidR="006103B3" w:rsidRPr="00F90EAE" w:rsidRDefault="006103B3" w:rsidP="00F90EAE">
            <w:pPr>
              <w:autoSpaceDE w:val="0"/>
              <w:autoSpaceDN w:val="0"/>
              <w:adjustRightInd w:val="0"/>
              <w:jc w:val="both"/>
              <w:rPr>
                <w:color w:val="000000" w:themeColor="text1"/>
                <w:sz w:val="16"/>
                <w:szCs w:val="16"/>
              </w:rPr>
            </w:pPr>
          </w:p>
          <w:p w14:paraId="1ADA1746" w14:textId="77777777" w:rsidR="006103B3" w:rsidRPr="00F90EAE" w:rsidRDefault="006103B3" w:rsidP="00F90EAE">
            <w:pPr>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BBB9D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ходу</w:t>
            </w:r>
          </w:p>
          <w:p w14:paraId="2790D6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A8E0E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капитальный ремонт</w:t>
            </w:r>
          </w:p>
          <w:p w14:paraId="36D136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31FE4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средний ремонт</w:t>
            </w:r>
          </w:p>
          <w:p w14:paraId="49809F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nil"/>
              <w:left w:val="single" w:sz="6" w:space="0" w:color="auto"/>
              <w:bottom w:val="single" w:sz="6" w:space="0" w:color="auto"/>
              <w:right w:val="single" w:sz="6" w:space="0" w:color="auto"/>
            </w:tcBorders>
          </w:tcPr>
          <w:p w14:paraId="66817F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10FF2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C42B3BA"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382EC2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Красной Армии</w:t>
            </w:r>
          </w:p>
          <w:p w14:paraId="74EDA7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B981B21"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5F5D4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легковых</w:t>
            </w:r>
          </w:p>
          <w:p w14:paraId="42DA2B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46CA57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53740</w:t>
            </w:r>
          </w:p>
          <w:p w14:paraId="5B89BB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DDEBC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43499</w:t>
            </w:r>
          </w:p>
          <w:p w14:paraId="74FF31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7D1B4B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4069</w:t>
            </w:r>
          </w:p>
          <w:p w14:paraId="1B23B0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34239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6172</w:t>
            </w:r>
          </w:p>
          <w:p w14:paraId="5E92C7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3FF164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19,1</w:t>
            </w:r>
          </w:p>
          <w:p w14:paraId="2AADE0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67D963B" w14:textId="77777777">
        <w:trPr>
          <w:trHeight w:val="230"/>
        </w:trPr>
        <w:tc>
          <w:tcPr>
            <w:tcW w:w="1747" w:type="dxa"/>
            <w:tcBorders>
              <w:top w:val="single" w:sz="6" w:space="0" w:color="auto"/>
              <w:left w:val="single" w:sz="6" w:space="0" w:color="auto"/>
              <w:bottom w:val="single" w:sz="6" w:space="0" w:color="auto"/>
              <w:right w:val="single" w:sz="6" w:space="0" w:color="auto"/>
            </w:tcBorders>
          </w:tcPr>
          <w:p w14:paraId="4555BE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грузовых</w:t>
            </w:r>
          </w:p>
          <w:p w14:paraId="057CAB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1AB8EF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481047</w:t>
            </w:r>
          </w:p>
          <w:p w14:paraId="43BC52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AB44C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407521</w:t>
            </w:r>
          </w:p>
          <w:p w14:paraId="61F2A5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4C970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24019</w:t>
            </w:r>
          </w:p>
          <w:p w14:paraId="2EF281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85031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49507</w:t>
            </w:r>
          </w:p>
          <w:p w14:paraId="2780CC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343DF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15,3</w:t>
            </w:r>
          </w:p>
          <w:p w14:paraId="2DEA74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4362A26"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AF915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специальных</w:t>
            </w:r>
          </w:p>
          <w:p w14:paraId="70BA8E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FFD0E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119467</w:t>
            </w:r>
          </w:p>
          <w:p w14:paraId="6A25D2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7F75D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107145</w:t>
            </w:r>
          </w:p>
          <w:p w14:paraId="77CD43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189B4F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3599</w:t>
            </w:r>
          </w:p>
          <w:p w14:paraId="1954A7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B588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8723</w:t>
            </w:r>
          </w:p>
          <w:p w14:paraId="523750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2F10FE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p w14:paraId="3A11B4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AEA47E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3CFBC7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автобусы</w:t>
            </w:r>
          </w:p>
          <w:p w14:paraId="2215CF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9CF41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10201</w:t>
            </w:r>
          </w:p>
          <w:p w14:paraId="5F1D36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EBC3B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8041</w:t>
            </w:r>
          </w:p>
          <w:p w14:paraId="164A08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3140A0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798</w:t>
            </w:r>
          </w:p>
          <w:p w14:paraId="1749DF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8121E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1362</w:t>
            </w:r>
          </w:p>
          <w:p w14:paraId="3A2C05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5D65B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w:t>
            </w:r>
          </w:p>
          <w:p w14:paraId="4B93A9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136C7547"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08D557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7B7F9A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9641D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664455</w:t>
            </w:r>
          </w:p>
          <w:p w14:paraId="40C6A0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F1748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566206</w:t>
            </w:r>
          </w:p>
          <w:p w14:paraId="5B4767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D67B7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32485</w:t>
            </w:r>
          </w:p>
          <w:p w14:paraId="6F019C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BCD05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65764</w:t>
            </w:r>
          </w:p>
          <w:p w14:paraId="7347AB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1F90D6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14,8</w:t>
            </w:r>
          </w:p>
          <w:p w14:paraId="128856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A253716" w14:textId="77777777">
        <w:trPr>
          <w:trHeight w:val="230"/>
        </w:trPr>
        <w:tc>
          <w:tcPr>
            <w:tcW w:w="9503" w:type="dxa"/>
            <w:gridSpan w:val="6"/>
            <w:tcBorders>
              <w:top w:val="single" w:sz="6" w:space="0" w:color="auto"/>
              <w:left w:val="single" w:sz="6" w:space="0" w:color="auto"/>
              <w:bottom w:val="single" w:sz="6" w:space="0" w:color="auto"/>
              <w:right w:val="single" w:sz="6" w:space="0" w:color="auto"/>
            </w:tcBorders>
          </w:tcPr>
          <w:p w14:paraId="42DBDE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народном хозяйстве</w:t>
            </w:r>
          </w:p>
          <w:p w14:paraId="07F056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DEB8CEC"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70BF0D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легковых</w:t>
            </w:r>
          </w:p>
          <w:p w14:paraId="6C789E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6A5D47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44781</w:t>
            </w:r>
          </w:p>
          <w:p w14:paraId="1784A3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5684E3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сведений нет</w:t>
            </w:r>
          </w:p>
          <w:p w14:paraId="431955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D17B4B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108A1A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грузовых</w:t>
            </w:r>
          </w:p>
          <w:p w14:paraId="1D3773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7352FB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199407</w:t>
            </w:r>
          </w:p>
          <w:p w14:paraId="518A29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nil"/>
            </w:tcBorders>
          </w:tcPr>
          <w:p w14:paraId="3C60E1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139635</w:t>
            </w:r>
          </w:p>
          <w:p w14:paraId="6BA564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nil"/>
              <w:bottom w:val="single" w:sz="6" w:space="0" w:color="auto"/>
              <w:right w:val="nil"/>
            </w:tcBorders>
          </w:tcPr>
          <w:p w14:paraId="4313C4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28980</w:t>
            </w:r>
          </w:p>
          <w:p w14:paraId="6866F8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nil"/>
              <w:bottom w:val="single" w:sz="6" w:space="0" w:color="auto"/>
              <w:right w:val="nil"/>
            </w:tcBorders>
          </w:tcPr>
          <w:p w14:paraId="5154A2A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30792</w:t>
            </w:r>
          </w:p>
          <w:p w14:paraId="36F161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nil"/>
              <w:bottom w:val="single" w:sz="6" w:space="0" w:color="auto"/>
              <w:right w:val="single" w:sz="6" w:space="0" w:color="auto"/>
            </w:tcBorders>
          </w:tcPr>
          <w:p w14:paraId="653FBE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p w14:paraId="597232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94935DD"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17CA0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специальных</w:t>
            </w:r>
          </w:p>
          <w:p w14:paraId="05236E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3B5437B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16498</w:t>
            </w:r>
          </w:p>
          <w:p w14:paraId="28E944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374" w:type="dxa"/>
            <w:gridSpan w:val="4"/>
            <w:tcBorders>
              <w:top w:val="single" w:sz="6" w:space="0" w:color="auto"/>
              <w:left w:val="single" w:sz="6" w:space="0" w:color="auto"/>
              <w:bottom w:val="single" w:sz="6" w:space="0" w:color="auto"/>
              <w:right w:val="single" w:sz="6" w:space="0" w:color="auto"/>
            </w:tcBorders>
          </w:tcPr>
          <w:p w14:paraId="17F34C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сведений нет</w:t>
            </w:r>
          </w:p>
          <w:p w14:paraId="6BDB5B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E92DD38" w14:textId="77777777">
        <w:trPr>
          <w:trHeight w:val="240"/>
        </w:trPr>
        <w:tc>
          <w:tcPr>
            <w:tcW w:w="1747" w:type="dxa"/>
            <w:tcBorders>
              <w:top w:val="single" w:sz="6" w:space="0" w:color="auto"/>
              <w:left w:val="single" w:sz="6" w:space="0" w:color="auto"/>
              <w:bottom w:val="single" w:sz="6" w:space="0" w:color="auto"/>
              <w:right w:val="single" w:sz="6" w:space="0" w:color="auto"/>
            </w:tcBorders>
          </w:tcPr>
          <w:p w14:paraId="68A44A5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автобусов</w:t>
            </w:r>
          </w:p>
          <w:p w14:paraId="01C574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0F1529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4286</w:t>
            </w:r>
          </w:p>
          <w:p w14:paraId="39F367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9E467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A6AEC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52FC3C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1A347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FFE6D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EB52A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73C7F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6FF63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8738A8F" w14:textId="77777777">
        <w:trPr>
          <w:trHeight w:val="250"/>
        </w:trPr>
        <w:tc>
          <w:tcPr>
            <w:tcW w:w="1747" w:type="dxa"/>
            <w:tcBorders>
              <w:top w:val="single" w:sz="6" w:space="0" w:color="auto"/>
              <w:left w:val="single" w:sz="6" w:space="0" w:color="auto"/>
              <w:bottom w:val="single" w:sz="6" w:space="0" w:color="auto"/>
              <w:right w:val="single" w:sz="6" w:space="0" w:color="auto"/>
            </w:tcBorders>
          </w:tcPr>
          <w:p w14:paraId="233D744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07A3885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382" w:type="dxa"/>
            <w:tcBorders>
              <w:top w:val="single" w:sz="6" w:space="0" w:color="auto"/>
              <w:left w:val="single" w:sz="6" w:space="0" w:color="auto"/>
              <w:bottom w:val="single" w:sz="6" w:space="0" w:color="auto"/>
              <w:right w:val="single" w:sz="6" w:space="0" w:color="auto"/>
            </w:tcBorders>
          </w:tcPr>
          <w:p w14:paraId="27B2275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264972</w:t>
            </w:r>
          </w:p>
          <w:p w14:paraId="789BA4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5FF94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184155</w:t>
            </w:r>
          </w:p>
          <w:p w14:paraId="38E0C3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17" w:type="dxa"/>
            <w:tcBorders>
              <w:top w:val="single" w:sz="6" w:space="0" w:color="auto"/>
              <w:left w:val="single" w:sz="6" w:space="0" w:color="auto"/>
              <w:bottom w:val="single" w:sz="6" w:space="0" w:color="auto"/>
              <w:right w:val="single" w:sz="6" w:space="0" w:color="auto"/>
            </w:tcBorders>
          </w:tcPr>
          <w:p w14:paraId="21AC24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41335</w:t>
            </w:r>
          </w:p>
          <w:p w14:paraId="640BF6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9FD8C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39482</w:t>
            </w:r>
          </w:p>
          <w:p w14:paraId="4EF5CE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843" w:type="dxa"/>
            <w:tcBorders>
              <w:top w:val="single" w:sz="6" w:space="0" w:color="auto"/>
              <w:left w:val="single" w:sz="6" w:space="0" w:color="auto"/>
              <w:bottom w:val="single" w:sz="6" w:space="0" w:color="auto"/>
              <w:right w:val="single" w:sz="6" w:space="0" w:color="auto"/>
            </w:tcBorders>
          </w:tcPr>
          <w:p w14:paraId="46F3FF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w:t>
            </w:r>
          </w:p>
          <w:p w14:paraId="199C9E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73975B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Примечание: наличие автопарка в народном хозяйстве к концу войны показано по данным на 1.01.1945 г.</w:t>
      </w:r>
    </w:p>
    <w:p w14:paraId="10A5D4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Врид начальника 1 отдела штаба ГАВТУ КА подполковник Ведмедь</w:t>
      </w:r>
    </w:p>
    <w:p w14:paraId="44D0FB2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11584. Д. 13. Л. 147-149. Копия (11420).</w:t>
      </w:r>
    </w:p>
    <w:p w14:paraId="2040F62B" w14:textId="77777777" w:rsidR="006103B3" w:rsidRPr="00F90EAE" w:rsidRDefault="006103B3" w:rsidP="00F90EAE">
      <w:pPr>
        <w:autoSpaceDE w:val="0"/>
        <w:autoSpaceDN w:val="0"/>
        <w:adjustRightInd w:val="0"/>
        <w:jc w:val="both"/>
        <w:rPr>
          <w:color w:val="000000" w:themeColor="text1"/>
          <w:sz w:val="16"/>
          <w:szCs w:val="16"/>
        </w:rPr>
      </w:pPr>
    </w:p>
    <w:p w14:paraId="77309D0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1F04BB02" w14:textId="77777777" w:rsidR="006103B3" w:rsidRPr="00F90EAE" w:rsidRDefault="006103B3" w:rsidP="00F90EAE">
      <w:pPr>
        <w:autoSpaceDE w:val="0"/>
        <w:autoSpaceDN w:val="0"/>
        <w:adjustRightInd w:val="0"/>
        <w:jc w:val="both"/>
        <w:rPr>
          <w:iCs/>
          <w:color w:val="000000" w:themeColor="text1"/>
          <w:sz w:val="16"/>
          <w:szCs w:val="16"/>
        </w:rPr>
      </w:pPr>
    </w:p>
    <w:p w14:paraId="13870E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1 июня 1945 в ИТЛ и ИТК содержалось 1 501 305 заключенных, из них работало 1 222 113 человек, в том числе: в промышленном строительстве - 109 832, на строительстве железных дорог - 141 666, в Дальстрое, Норильлаге, Воркутлаге и на других горно-металлургических предприятиях - 192 435, в лесных лагерях - 156 617, на стройках ГУШОСДОР - 17 691, на стройках ГУАС - 4522, в промышленных колониях и совхозах - 599 350, на контрагентских работах в других наркоматах - 279 092 человека (7560).</w:t>
      </w:r>
    </w:p>
    <w:p w14:paraId="3F4AB93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 работало 216 955 заключенных, в том числе находилось в пересыльных пунктах и в этапах 70 983 человека, неработающих инвалидов - 145 972 человека (7560).</w:t>
      </w:r>
    </w:p>
    <w:p w14:paraId="30B17A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Каторжан - 36 572 человека, из них в Воркутлаге - 12 878 человек, Тайшетлаге - 7774, Севвостлаге - 3787, Норильлаге - 1902, Котласлаге - 194, Карлаге - 180, в тюрьмах - 7481, на пересыльных пунктах - 2376 каторжан (7560).</w:t>
      </w:r>
    </w:p>
    <w:p w14:paraId="23C01CC8" w14:textId="77777777" w:rsidR="006103B3" w:rsidRPr="00F90EAE" w:rsidRDefault="006103B3" w:rsidP="00F90EAE">
      <w:pPr>
        <w:autoSpaceDE w:val="0"/>
        <w:autoSpaceDN w:val="0"/>
        <w:adjustRightInd w:val="0"/>
        <w:jc w:val="both"/>
        <w:rPr>
          <w:color w:val="000000" w:themeColor="text1"/>
          <w:sz w:val="16"/>
          <w:szCs w:val="16"/>
        </w:rPr>
      </w:pPr>
    </w:p>
    <w:p w14:paraId="1C1CDB22" w14:textId="77777777" w:rsidR="006F2DF6" w:rsidRPr="00F90EAE" w:rsidRDefault="006F2DF6" w:rsidP="00F90EAE">
      <w:pPr>
        <w:jc w:val="both"/>
        <w:rPr>
          <w:bCs/>
          <w:color w:val="000000" w:themeColor="text1"/>
          <w:sz w:val="16"/>
          <w:szCs w:val="16"/>
        </w:rPr>
      </w:pPr>
      <w:r w:rsidRPr="00F90EAE">
        <w:rPr>
          <w:bCs/>
          <w:color w:val="000000" w:themeColor="text1"/>
          <w:sz w:val="16"/>
          <w:szCs w:val="16"/>
        </w:rPr>
        <w:t>1 июня</w:t>
      </w:r>
      <w:r w:rsidRPr="00F90EAE">
        <w:rPr>
          <w:color w:val="000000" w:themeColor="text1"/>
          <w:sz w:val="16"/>
          <w:szCs w:val="16"/>
        </w:rPr>
        <w:t xml:space="preserve"> в 1945 году "Лиенцкая обедня". В Южной Австрии, в городе Лиенце произошла выдача личного состава кавалерийского казачьего корпуса вермахта, а также членов их семей из т.н. "Казачьего стана". Примерно треть из их числа не являлась гражданами СССР и не подлежала выдаче, согласно ялтинским соглашениям. </w:t>
      </w:r>
      <w:r w:rsidRPr="00F90EAE">
        <w:rPr>
          <w:color w:val="000000" w:themeColor="text1"/>
          <w:sz w:val="16"/>
          <w:szCs w:val="16"/>
        </w:rPr>
        <w:lastRenderedPageBreak/>
        <w:t>Выдача сопровождалась обманом, зверским насилием над безоружными и массовыми самоубийствами. Не желая возвращаться в Советский Союз на муки и верную смерть, казаки капитулировали перед бригадой британской королевской гвардии, под честное слово ее командира, но оказались жертвой обмана. Оставшись без офицеров и генералов, так же, обманом, отделенных от остальной массы, казаки сплотились вокруг священников, начавших служить литургию, во время которой британские солдаты вырывали людей из толпы и швыряли их в кузова автомобилей, избивая остальных прикладами, пока не прервали службу и не погрузили всех. (источник: Отдел Московского Патриархата по взаимодействию с вооруженными силами и правоохранительными учреждениями)</w:t>
      </w:r>
    </w:p>
    <w:p w14:paraId="1A0F5CDA" w14:textId="77777777" w:rsidR="006F2DF6" w:rsidRPr="00F90EAE" w:rsidRDefault="006F2DF6" w:rsidP="00F90EAE">
      <w:pPr>
        <w:jc w:val="both"/>
        <w:rPr>
          <w:bCs/>
          <w:color w:val="000000" w:themeColor="text1"/>
          <w:sz w:val="16"/>
          <w:szCs w:val="16"/>
        </w:rPr>
      </w:pPr>
    </w:p>
    <w:p w14:paraId="5A69E53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B8A8C60" w14:textId="77777777" w:rsidR="006103B3" w:rsidRPr="00F90EAE" w:rsidRDefault="006103B3" w:rsidP="00F90EAE">
      <w:pPr>
        <w:autoSpaceDE w:val="0"/>
        <w:autoSpaceDN w:val="0"/>
        <w:adjustRightInd w:val="0"/>
        <w:jc w:val="both"/>
        <w:rPr>
          <w:iCs/>
          <w:color w:val="000000" w:themeColor="text1"/>
          <w:sz w:val="16"/>
          <w:szCs w:val="16"/>
        </w:rPr>
      </w:pPr>
    </w:p>
    <w:p w14:paraId="7D38173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июня 1945 англичане в Австрии начали выдачу Советам около 40 тыс. членов РОА и других профашистских русских организаций (4962).</w:t>
      </w:r>
    </w:p>
    <w:p w14:paraId="6BDF78BD"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727C9E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июня 1945 оккупационные власти Берлина заявили, что за каждое нападение на союзников будут казнены по 50 пленных нацистов (4962).</w:t>
      </w:r>
    </w:p>
    <w:p w14:paraId="4C792AE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F70FD7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CB7EA77" w14:textId="77777777" w:rsidR="006103B3" w:rsidRPr="00F90EAE" w:rsidRDefault="006103B3" w:rsidP="00F90EAE">
      <w:pPr>
        <w:autoSpaceDE w:val="0"/>
        <w:autoSpaceDN w:val="0"/>
        <w:adjustRightInd w:val="0"/>
        <w:jc w:val="both"/>
        <w:rPr>
          <w:iCs/>
          <w:color w:val="000000" w:themeColor="text1"/>
          <w:sz w:val="16"/>
          <w:szCs w:val="16"/>
        </w:rPr>
      </w:pPr>
    </w:p>
    <w:p w14:paraId="06AA87DD" w14:textId="4E351B17" w:rsidR="006F2DF6" w:rsidRPr="00F90EAE" w:rsidRDefault="006F2DF6" w:rsidP="00F90EAE">
      <w:pPr>
        <w:jc w:val="both"/>
        <w:rPr>
          <w:color w:val="000000" w:themeColor="text1"/>
          <w:sz w:val="16"/>
          <w:szCs w:val="16"/>
        </w:rPr>
      </w:pPr>
      <w:r w:rsidRPr="00F90EAE">
        <w:rPr>
          <w:bCs/>
          <w:color w:val="000000" w:themeColor="text1"/>
          <w:sz w:val="16"/>
          <w:szCs w:val="16"/>
        </w:rPr>
        <w:t>1 июня</w:t>
      </w:r>
      <w:r w:rsidRPr="00F90EAE">
        <w:rPr>
          <w:color w:val="000000" w:themeColor="text1"/>
          <w:sz w:val="16"/>
          <w:szCs w:val="16"/>
        </w:rPr>
        <w:t xml:space="preserve"> в 1945 году ВВС США подписали контракт с фирмой «Northrop» на переделку двух «YB-35» под реактивные двигатели. По замыслу конструкторов, предполагалось вместо четырех поршневых установить восемь турбореактивных двигателей «J33» («TG-180») фирмы «Allison», разместив их двумя пакетами по четыре двигателя на каждом полукрыле. При этом, правда, пришлось пожертвовать двумя бомбоотсеками. Новой модификации присвоили сначала обозначение «ХВ-35В», потом его изменили на «ХВ-49», а в процессе постройки - на </w:t>
      </w:r>
      <w:hyperlink r:id="rId135" w:tgtFrame="_blank" w:history="1">
        <w:r w:rsidRPr="00F90EAE">
          <w:rPr>
            <w:color w:val="000000" w:themeColor="text1"/>
            <w:sz w:val="16"/>
            <w:szCs w:val="16"/>
          </w:rPr>
          <w:t>«YB-49»</w:t>
        </w:r>
        <w:r w:rsidR="00B3672C" w:rsidRPr="00F90EAE">
          <w:rPr>
            <w:color w:val="000000" w:themeColor="text1"/>
            <w:sz w:val="16"/>
            <w:szCs w:val="16"/>
          </w:rPr>
          <w:t xml:space="preserve"> (22474)</w:t>
        </w:r>
        <w:r w:rsidRPr="00F90EAE">
          <w:rPr>
            <w:color w:val="000000" w:themeColor="text1"/>
            <w:sz w:val="16"/>
            <w:szCs w:val="16"/>
          </w:rPr>
          <w:t>.</w:t>
        </w:r>
      </w:hyperlink>
    </w:p>
    <w:p w14:paraId="572AD857" w14:textId="77777777" w:rsidR="006F2DF6" w:rsidRPr="00F90EAE" w:rsidRDefault="006F2DF6" w:rsidP="00F90EAE">
      <w:pPr>
        <w:jc w:val="both"/>
        <w:rPr>
          <w:color w:val="000000" w:themeColor="text1"/>
          <w:sz w:val="16"/>
          <w:szCs w:val="16"/>
        </w:rPr>
      </w:pPr>
    </w:p>
    <w:p w14:paraId="21BA5E25" w14:textId="77777777" w:rsidR="006F2DF6" w:rsidRPr="00F90EAE" w:rsidRDefault="006F2DF6" w:rsidP="00F90EAE">
      <w:pPr>
        <w:jc w:val="both"/>
        <w:rPr>
          <w:color w:val="000000" w:themeColor="text1"/>
          <w:sz w:val="16"/>
          <w:szCs w:val="16"/>
        </w:rPr>
      </w:pPr>
      <w:r w:rsidRPr="00F90EAE">
        <w:rPr>
          <w:bCs/>
          <w:color w:val="000000" w:themeColor="text1"/>
          <w:sz w:val="16"/>
          <w:szCs w:val="16"/>
        </w:rPr>
        <w:t>1 июня</w:t>
      </w:r>
      <w:r w:rsidRPr="00F90EAE">
        <w:rPr>
          <w:color w:val="000000" w:themeColor="text1"/>
          <w:sz w:val="16"/>
          <w:szCs w:val="16"/>
        </w:rPr>
        <w:t xml:space="preserve"> в 1945 году Бирнс доложил рекомендации Временного комитета (председатель - военный министр Г.Стимсон, представитель президента — Дж.Бирнс, члены - заместитель морского министра США Ральф А. Бард; помощник государственного секретаря Уильям Л.Клайтон, ученые: В.Буш, К.Комптон и Дж.Конант, генералы Дж.Маршалл и Л.Гровс, специальный консультант военного министра Дж.Гаррисон) президенту Г.Трумену.</w:t>
      </w:r>
    </w:p>
    <w:p w14:paraId="05BA716F" w14:textId="77777777" w:rsidR="006F2DF6" w:rsidRPr="00F90EAE" w:rsidRDefault="006F2DF6" w:rsidP="00F90EAE">
      <w:pPr>
        <w:jc w:val="both"/>
        <w:rPr>
          <w:color w:val="000000" w:themeColor="text1"/>
          <w:sz w:val="16"/>
          <w:szCs w:val="16"/>
        </w:rPr>
      </w:pPr>
      <w:r w:rsidRPr="00F90EAE">
        <w:rPr>
          <w:color w:val="000000" w:themeColor="text1"/>
          <w:sz w:val="16"/>
          <w:szCs w:val="16"/>
        </w:rPr>
        <w:t>1. Атомная бомба должна быть применена против Японии как можно скорее.</w:t>
      </w:r>
    </w:p>
    <w:p w14:paraId="5C9E6772" w14:textId="77777777" w:rsidR="006F2DF6" w:rsidRPr="00F90EAE" w:rsidRDefault="006F2DF6" w:rsidP="00F90EAE">
      <w:pPr>
        <w:jc w:val="both"/>
        <w:rPr>
          <w:color w:val="000000" w:themeColor="text1"/>
          <w:sz w:val="16"/>
          <w:szCs w:val="16"/>
        </w:rPr>
      </w:pPr>
      <w:r w:rsidRPr="00F90EAE">
        <w:rPr>
          <w:color w:val="000000" w:themeColor="text1"/>
          <w:sz w:val="16"/>
          <w:szCs w:val="16"/>
        </w:rPr>
        <w:t>2. Бомбу следует применить против военного объекта, находящегося в окружении других сооружений.</w:t>
      </w:r>
    </w:p>
    <w:p w14:paraId="43F35C20" w14:textId="77777777" w:rsidR="006F2DF6" w:rsidRPr="00F90EAE" w:rsidRDefault="006F2DF6" w:rsidP="00F90EAE">
      <w:pPr>
        <w:jc w:val="both"/>
        <w:rPr>
          <w:color w:val="000000" w:themeColor="text1"/>
          <w:sz w:val="16"/>
          <w:szCs w:val="16"/>
        </w:rPr>
      </w:pPr>
      <w:r w:rsidRPr="00F90EAE">
        <w:rPr>
          <w:color w:val="000000" w:themeColor="text1"/>
          <w:sz w:val="16"/>
          <w:szCs w:val="16"/>
        </w:rPr>
        <w:t>3. Бомбу следует сбросить без предварительного предупреждения о ее свойствах и характере.</w:t>
      </w:r>
    </w:p>
    <w:p w14:paraId="6A221E0D" w14:textId="77777777" w:rsidR="006F2DF6" w:rsidRPr="00F90EAE" w:rsidRDefault="006F2DF6" w:rsidP="00F90EAE">
      <w:pPr>
        <w:jc w:val="both"/>
        <w:rPr>
          <w:color w:val="000000" w:themeColor="text1"/>
          <w:sz w:val="16"/>
          <w:szCs w:val="16"/>
        </w:rPr>
      </w:pPr>
      <w:r w:rsidRPr="00F90EAE">
        <w:rPr>
          <w:color w:val="000000" w:themeColor="text1"/>
          <w:sz w:val="16"/>
          <w:szCs w:val="16"/>
        </w:rPr>
        <w:t>Президент в тот же день утвердил данные рекомендации (14909).</w:t>
      </w:r>
    </w:p>
    <w:p w14:paraId="39E7BE2D" w14:textId="77777777" w:rsidR="006F2DF6" w:rsidRPr="00F90EAE" w:rsidRDefault="006F2DF6" w:rsidP="00F90EAE">
      <w:pPr>
        <w:jc w:val="both"/>
        <w:rPr>
          <w:color w:val="000000" w:themeColor="text1"/>
          <w:sz w:val="16"/>
          <w:szCs w:val="16"/>
        </w:rPr>
      </w:pPr>
    </w:p>
    <w:p w14:paraId="0A779BF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июня 1945 индонезийский лидер Сукарно выдвинул свои “Пять принципов”, положенных в основу государственной идеологии современной Индонезии (4962).</w:t>
      </w:r>
    </w:p>
    <w:p w14:paraId="29A62CF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718C7D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CB76C75" w14:textId="77777777" w:rsidR="006103B3" w:rsidRPr="00F90EAE" w:rsidRDefault="006103B3" w:rsidP="00F90EAE">
      <w:pPr>
        <w:autoSpaceDE w:val="0"/>
        <w:autoSpaceDN w:val="0"/>
        <w:adjustRightInd w:val="0"/>
        <w:jc w:val="both"/>
        <w:rPr>
          <w:iCs/>
          <w:color w:val="000000" w:themeColor="text1"/>
          <w:sz w:val="16"/>
          <w:szCs w:val="16"/>
        </w:rPr>
      </w:pPr>
    </w:p>
    <w:p w14:paraId="63C886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июня 1945 В.М.Мясищев писал А.И.Шахурину:</w:t>
      </w:r>
    </w:p>
    <w:p w14:paraId="1EE8D0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стрелка, нами разработана для бомбардировщика с моторами ВК-108 новая передняя кабина.</w:t>
      </w:r>
    </w:p>
    <w:p w14:paraId="6489F6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Размещение штурмана впереди летчика дало возможность решить весьма существенный вопрос о замене перископического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1BBAB3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новой кабине размещается 3 члена экипажа, рабочее место штурмана находится в носу кабины, а при взлете и посадке штурман может переходить в заднюю часть кабины, где у него имеется дополнительное сидение около стрелка верхней задней установки.</w:t>
      </w:r>
    </w:p>
    <w:p w14:paraId="648AD2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Экипаж самолета составит, таким образом, 4 человека, включая стрелка задних установок.</w:t>
      </w:r>
    </w:p>
    <w:p w14:paraId="3CC11B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 предварительном осмотре работниками ГК НИИ ВВС выполненного нами макета новой кабины, ими высказаны пожелания скорейшего осуществления ее на одном из типов наших бомбардировщиков.</w:t>
      </w:r>
    </w:p>
    <w:p w14:paraId="57564E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Самолет ДБ-ВК-108 при установке на нем новой передней кабины &lt;...&gt; по максимальной скорости, бомбовой нагрузке, мощи оружия защиты при хорошем размещении экипажа &lt;...&gt; будет иметь крупные преимущества по сравнению со всеми двухмоторными бомбардировщиками.</w:t>
      </w:r>
    </w:p>
    <w:p w14:paraId="250838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сокращении длины разбега на 50 м и повышении потолка на 500 м. Максимальная скорость уменьшится.</w:t>
      </w:r>
    </w:p>
    <w:p w14:paraId="4776BD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Полагаю, что оснащение наших ВВС КА такими бомбардировщиками должно представить большой интерес.</w:t>
      </w:r>
    </w:p>
    <w:p w14:paraId="314718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Исходя из этого, прошу Вашего согласия на:</w:t>
      </w:r>
    </w:p>
    <w:p w14:paraId="0F7E99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Предъявление Государственной макетной комиссии макета новой кабины.</w:t>
      </w:r>
    </w:p>
    <w:p w14:paraId="06C080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Изготовление на заводе № 482 такой кабины и установку ее на 2-м экземпляре самолета ДБ-ВК-108, после прохождения государственных испытаний.</w:t>
      </w:r>
    </w:p>
    <w:p w14:paraId="220C81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Постройку второго экземпляра такого же самолета, в связи с отсутствием дублера.</w:t>
      </w:r>
    </w:p>
    <w:p w14:paraId="54CC82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44C9FD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Дальнейшее развитие этого бомбардировщика может идти по следующим направлениям:</w:t>
      </w:r>
    </w:p>
    <w:p w14:paraId="140D00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Установка форсированных моторов ВК-108Ф со взлетной мощностью 2100 л.с., улучшающих разбег и максимальную скорость.</w:t>
      </w:r>
    </w:p>
    <w:p w14:paraId="51E9E1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Установка моторов ВК-109 с одновременной заменой обычных кабин на герметические, по типу кабины самолета ВБ-ВК-109, заканчивающегося постройкой на заводе № 482.</w:t>
      </w:r>
    </w:p>
    <w:p w14:paraId="146BEF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На самолете хорошо устанавливаются реактивные ускорители, обеспечивающие улучшение разбега в перегрузочном весе и резкое приращение скорости на короткий промежуток времени." (3337).</w:t>
      </w:r>
    </w:p>
    <w:p w14:paraId="0BD15AFA" w14:textId="77777777" w:rsidR="006103B3" w:rsidRPr="00F90EAE" w:rsidRDefault="006103B3" w:rsidP="00F90EAE">
      <w:pPr>
        <w:autoSpaceDE w:val="0"/>
        <w:autoSpaceDN w:val="0"/>
        <w:adjustRightInd w:val="0"/>
        <w:jc w:val="both"/>
        <w:rPr>
          <w:color w:val="000000" w:themeColor="text1"/>
          <w:sz w:val="16"/>
          <w:szCs w:val="16"/>
        </w:rPr>
      </w:pPr>
    </w:p>
    <w:p w14:paraId="799BD4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июня 1945 Мясищев пи</w:t>
      </w:r>
      <w:r w:rsidRPr="00F90EAE">
        <w:rPr>
          <w:color w:val="000000" w:themeColor="text1"/>
          <w:sz w:val="16"/>
          <w:szCs w:val="16"/>
        </w:rPr>
        <w:softHyphen/>
        <w:t>сал Шахурину:</w:t>
      </w:r>
    </w:p>
    <w:p w14:paraId="6A25CF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«Учитывая неоднократно высказанное командованием ВВС Красной Армии пожелание в отношении посадки штурмана впереди летчика для улучшения обзора при прицельном бомбометании и навигационной работе, а также для освобождения его от работы в качестве стрел</w:t>
      </w:r>
      <w:r w:rsidRPr="00F90EAE">
        <w:rPr>
          <w:color w:val="000000" w:themeColor="text1"/>
          <w:sz w:val="16"/>
          <w:szCs w:val="16"/>
        </w:rPr>
        <w:softHyphen/>
        <w:t>ка, нами разработана для бомбардировщика с моторами ВК-108 новая передняя кабина.</w:t>
      </w:r>
    </w:p>
    <w:p w14:paraId="47918A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Размещение штурмана впереди летчика дало возмож</w:t>
      </w:r>
      <w:r w:rsidRPr="00F90EAE">
        <w:rPr>
          <w:color w:val="000000" w:themeColor="text1"/>
          <w:sz w:val="16"/>
          <w:szCs w:val="16"/>
        </w:rPr>
        <w:softHyphen/>
        <w:t>ность решить весьма существенный вопрос о замене пе</w:t>
      </w:r>
      <w:r w:rsidRPr="00F90EAE">
        <w:rPr>
          <w:color w:val="000000" w:themeColor="text1"/>
          <w:sz w:val="16"/>
          <w:szCs w:val="16"/>
        </w:rPr>
        <w:softHyphen/>
        <w:t>рископического прицела, применяемого на всех наших бомбардировщиках, современными коллиматорными, значительно улучшающими видимость при бомбометании ночью и в тумане.</w:t>
      </w:r>
    </w:p>
    <w:p w14:paraId="357CA2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новой кабине размещается 3 члена экипажа, рабо</w:t>
      </w:r>
      <w:r w:rsidRPr="00F90EAE">
        <w:rPr>
          <w:color w:val="000000" w:themeColor="text1"/>
          <w:sz w:val="16"/>
          <w:szCs w:val="16"/>
        </w:rPr>
        <w:softHyphen/>
        <w:t>чее место штурмана находится в носу кабины, а при взле</w:t>
      </w:r>
      <w:r w:rsidRPr="00F90EAE">
        <w:rPr>
          <w:color w:val="000000" w:themeColor="text1"/>
          <w:sz w:val="16"/>
          <w:szCs w:val="16"/>
        </w:rPr>
        <w:softHyphen/>
        <w:t>те и посадке штурман может переходить в заднюю часть кабины, где у него имеется дополнительное сиденье око</w:t>
      </w:r>
      <w:r w:rsidRPr="00F90EAE">
        <w:rPr>
          <w:color w:val="000000" w:themeColor="text1"/>
          <w:sz w:val="16"/>
          <w:szCs w:val="16"/>
        </w:rPr>
        <w:softHyphen/>
        <w:t>ло стрелка верхней задней установки.</w:t>
      </w:r>
    </w:p>
    <w:p w14:paraId="098073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Экипаж самолета составит, таким образом, 4 челове</w:t>
      </w:r>
      <w:r w:rsidRPr="00F90EAE">
        <w:rPr>
          <w:color w:val="000000" w:themeColor="text1"/>
          <w:sz w:val="16"/>
          <w:szCs w:val="16"/>
        </w:rPr>
        <w:softHyphen/>
        <w:t>ка, включая стрелка задних установок.</w:t>
      </w:r>
    </w:p>
    <w:p w14:paraId="1FD88A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предварительном осмотре работниками ГК НИИ ВВС выполненного нами макета новой кабины, ими вы</w:t>
      </w:r>
      <w:r w:rsidRPr="00F90EAE">
        <w:rPr>
          <w:color w:val="000000" w:themeColor="text1"/>
          <w:sz w:val="16"/>
          <w:szCs w:val="16"/>
        </w:rPr>
        <w:softHyphen/>
        <w:t>сказаны пожелания скорейшего осуществления ее на од</w:t>
      </w:r>
      <w:r w:rsidRPr="00F90EAE">
        <w:rPr>
          <w:color w:val="000000" w:themeColor="text1"/>
          <w:sz w:val="16"/>
          <w:szCs w:val="16"/>
        </w:rPr>
        <w:softHyphen/>
        <w:t>ном из типов наших бомбардировщиков.</w:t>
      </w:r>
    </w:p>
    <w:p w14:paraId="515052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Самолет ДБ-ВК-108 при установке на нем новой пе</w:t>
      </w:r>
      <w:r w:rsidRPr="00F90EAE">
        <w:rPr>
          <w:color w:val="000000" w:themeColor="text1"/>
          <w:sz w:val="16"/>
          <w:szCs w:val="16"/>
        </w:rPr>
        <w:softHyphen/>
        <w:t>редней кабины &lt;...&gt; по максимальной скорости, бомбо</w:t>
      </w:r>
      <w:r w:rsidRPr="00F90EAE">
        <w:rPr>
          <w:color w:val="000000" w:themeColor="text1"/>
          <w:sz w:val="16"/>
          <w:szCs w:val="16"/>
        </w:rPr>
        <w:softHyphen/>
        <w:t>вой нагрузке, мощи оружия защиты при хорошем разме</w:t>
      </w:r>
      <w:r w:rsidRPr="00F90EAE">
        <w:rPr>
          <w:color w:val="000000" w:themeColor="text1"/>
          <w:sz w:val="16"/>
          <w:szCs w:val="16"/>
        </w:rPr>
        <w:softHyphen/>
        <w:t>щении экипажа &lt;...&gt; будет иметь крупные преимущества по сравнению со всеми двухмоторными бомбардировщи</w:t>
      </w:r>
      <w:r w:rsidRPr="00F90EAE">
        <w:rPr>
          <w:color w:val="000000" w:themeColor="text1"/>
          <w:sz w:val="16"/>
          <w:szCs w:val="16"/>
        </w:rPr>
        <w:softHyphen/>
        <w:t>ками.</w:t>
      </w:r>
    </w:p>
    <w:p w14:paraId="116E55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варианте дальнего бомбардировщика, при замене лишь отъемных частей крыла, дальность полета может быть увеличена на 700 км, при одновременном сокраще</w:t>
      </w:r>
      <w:r w:rsidRPr="00F90EAE">
        <w:rPr>
          <w:color w:val="000000" w:themeColor="text1"/>
          <w:sz w:val="16"/>
          <w:szCs w:val="16"/>
        </w:rPr>
        <w:softHyphen/>
        <w:t>нии длины разбега на 50м и повышении потолка на 500 м. Максимальная скорость уменьшится на 10—12 км/ч.</w:t>
      </w:r>
    </w:p>
    <w:p w14:paraId="50E358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Полагаю, что оснащение наших ВВС КА такими бом</w:t>
      </w:r>
      <w:r w:rsidRPr="00F90EAE">
        <w:rPr>
          <w:color w:val="000000" w:themeColor="text1"/>
          <w:sz w:val="16"/>
          <w:szCs w:val="16"/>
        </w:rPr>
        <w:softHyphen/>
        <w:t>бардировщиками должно представить большой интерес.</w:t>
      </w:r>
    </w:p>
    <w:p w14:paraId="3CC3A2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Исходя из этого, прошу Вашего согласия на:</w:t>
      </w:r>
    </w:p>
    <w:p w14:paraId="384CCA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Предъявление Государственной макетной комис</w:t>
      </w:r>
      <w:r w:rsidRPr="00F90EAE">
        <w:rPr>
          <w:color w:val="000000" w:themeColor="text1"/>
          <w:sz w:val="16"/>
          <w:szCs w:val="16"/>
        </w:rPr>
        <w:softHyphen/>
        <w:t>сии макета новой кабины.</w:t>
      </w:r>
    </w:p>
    <w:p w14:paraId="74F37B3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Изготовление на заводе № 482 такой кабины и уста</w:t>
      </w:r>
      <w:r w:rsidRPr="00F90EAE">
        <w:rPr>
          <w:color w:val="000000" w:themeColor="text1"/>
          <w:sz w:val="16"/>
          <w:szCs w:val="16"/>
        </w:rPr>
        <w:softHyphen/>
        <w:t>новку ее на 2-м экземпляре самолета ДБ-ВК-108, после прохождения государственных испытаний.</w:t>
      </w:r>
    </w:p>
    <w:p w14:paraId="3BCB4A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Постройку второго экземпляра такого же самолета, в связи с отсутствием дублера.</w:t>
      </w:r>
    </w:p>
    <w:p w14:paraId="00E655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Размещение в ОКБ-140 заказа на постройку двух электрифицированных стрелковых установок ВЭУ-2 и двух люковых стрелковых установок НЭУ-1.</w:t>
      </w:r>
    </w:p>
    <w:p w14:paraId="1F6942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Дальнейшее развитие этого бомбардировщика может идти по следующим направлениям:</w:t>
      </w:r>
    </w:p>
    <w:p w14:paraId="24187A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Установка форсированных моторов ВК-108Ф со взлетной мощностью 2100 л.с., улучшающих разбег и мак</w:t>
      </w:r>
      <w:r w:rsidRPr="00F90EAE">
        <w:rPr>
          <w:color w:val="000000" w:themeColor="text1"/>
          <w:sz w:val="16"/>
          <w:szCs w:val="16"/>
        </w:rPr>
        <w:softHyphen/>
        <w:t>симальную скорость.</w:t>
      </w:r>
    </w:p>
    <w:p w14:paraId="5A2D685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Установка моторов ВК-109 с одновременной заме</w:t>
      </w:r>
      <w:r w:rsidRPr="00F90EAE">
        <w:rPr>
          <w:color w:val="000000" w:themeColor="text1"/>
          <w:sz w:val="16"/>
          <w:szCs w:val="16"/>
        </w:rPr>
        <w:softHyphen/>
        <w:t>ной обычных кабин на герметические, по типу кабины са</w:t>
      </w:r>
      <w:r w:rsidRPr="00F90EAE">
        <w:rPr>
          <w:color w:val="000000" w:themeColor="text1"/>
          <w:sz w:val="16"/>
          <w:szCs w:val="16"/>
        </w:rPr>
        <w:softHyphen/>
        <w:t>молета ВБ-ВК-109, заканчивающегося постройкой на за</w:t>
      </w:r>
      <w:r w:rsidRPr="00F90EAE">
        <w:rPr>
          <w:color w:val="000000" w:themeColor="text1"/>
          <w:sz w:val="16"/>
          <w:szCs w:val="16"/>
        </w:rPr>
        <w:softHyphen/>
        <w:t>воде № 482.</w:t>
      </w:r>
    </w:p>
    <w:p w14:paraId="1B0835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3. На самолете хорошо устанавливаются реактивные ускорители, обеспечивающие улучшение разбега в пере</w:t>
      </w:r>
      <w:r w:rsidRPr="00F90EAE">
        <w:rPr>
          <w:color w:val="000000" w:themeColor="text1"/>
          <w:sz w:val="16"/>
          <w:szCs w:val="16"/>
        </w:rPr>
        <w:softHyphen/>
        <w:t>грузочном весе и резкое приращение скорости на корот</w:t>
      </w:r>
      <w:r w:rsidRPr="00F90EAE">
        <w:rPr>
          <w:color w:val="000000" w:themeColor="text1"/>
          <w:sz w:val="16"/>
          <w:szCs w:val="16"/>
        </w:rPr>
        <w:softHyphen/>
        <w:t>кий промежуток времени» (11446).</w:t>
      </w:r>
    </w:p>
    <w:p w14:paraId="24E6E2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88D03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июня 1945 вышел приказ:</w:t>
      </w:r>
    </w:p>
    <w:p w14:paraId="64BDB1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12 мая 1945 года во время опытного высотного полета самолета со спецдвигателем на высоте 7000 метров при включении спецдвигателя произошел взрыв, разрушивший двигатель и повредивший хвостовое оперение самолета. Особо отмечаю четкую и умелую работу экипажа самолета во время аварии, блестяще справившегося со своей задачей в сложной обстановке и благополучно посадившего машину на аэродроме. В связи с этим объявляю благодарность экипажу самолета: </w:t>
      </w:r>
    </w:p>
    <w:p w14:paraId="5C47A6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летчику-испытателю капитану Васильченко А.Г.</w:t>
      </w:r>
    </w:p>
    <w:p w14:paraId="43BEBF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инженеру-экспериментатору Королеву С.П.</w:t>
      </w:r>
    </w:p>
    <w:p w14:paraId="07C933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бортмеханику Харламову С.Ф.</w:t>
      </w:r>
    </w:p>
    <w:p w14:paraId="4CD1B2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Главный конструктор ОКБ В. Глушко" (10676).</w:t>
      </w:r>
    </w:p>
    <w:p w14:paraId="23C7E21D" w14:textId="77777777" w:rsidR="006103B3" w:rsidRPr="00F90EAE" w:rsidRDefault="006103B3" w:rsidP="00F90EAE">
      <w:pPr>
        <w:autoSpaceDE w:val="0"/>
        <w:autoSpaceDN w:val="0"/>
        <w:adjustRightInd w:val="0"/>
        <w:jc w:val="both"/>
        <w:rPr>
          <w:color w:val="000000" w:themeColor="text1"/>
          <w:sz w:val="16"/>
          <w:szCs w:val="16"/>
        </w:rPr>
      </w:pPr>
    </w:p>
    <w:p w14:paraId="463A48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июня 1945 был подписан:</w:t>
      </w:r>
    </w:p>
    <w:p w14:paraId="4509B6A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20AFF3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Акт №77 по результатам государственных испытаний трофейного самолета МЕ-410-В2 с двумя моторами ДБ-603А и винтами VДМ от 2.06.45 г. с утверждением п.п. командующего ВВС Красной Армии главного маршала авиации Новикова и капитана АТС Коломинова (8995).</w:t>
      </w:r>
    </w:p>
    <w:p w14:paraId="1918FFF3" w14:textId="77777777" w:rsidR="006103B3" w:rsidRPr="00F90EAE" w:rsidRDefault="006103B3" w:rsidP="00F90EAE">
      <w:pPr>
        <w:autoSpaceDE w:val="0"/>
        <w:autoSpaceDN w:val="0"/>
        <w:adjustRightInd w:val="0"/>
        <w:jc w:val="both"/>
        <w:rPr>
          <w:color w:val="000000" w:themeColor="text1"/>
          <w:sz w:val="16"/>
          <w:szCs w:val="16"/>
        </w:rPr>
      </w:pPr>
    </w:p>
    <w:p w14:paraId="6F1FBEB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FE4E147" w14:textId="77777777" w:rsidR="006103B3" w:rsidRPr="00F90EAE" w:rsidRDefault="006103B3" w:rsidP="00F90EAE">
      <w:pPr>
        <w:autoSpaceDE w:val="0"/>
        <w:autoSpaceDN w:val="0"/>
        <w:adjustRightInd w:val="0"/>
        <w:jc w:val="both"/>
        <w:rPr>
          <w:iCs/>
          <w:color w:val="000000" w:themeColor="text1"/>
          <w:sz w:val="16"/>
          <w:szCs w:val="16"/>
        </w:rPr>
      </w:pPr>
    </w:p>
    <w:p w14:paraId="7AA3366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 июня 1945 папа римский выразил надежду на то, что Германия навсегда очистилась от нацизма и начала новую жизнь (4962).</w:t>
      </w:r>
    </w:p>
    <w:p w14:paraId="626C31C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BBE0657" w14:textId="77777777" w:rsidR="006F2DF6" w:rsidRPr="00F90EAE" w:rsidRDefault="006F2DF6" w:rsidP="00F90EAE">
      <w:pPr>
        <w:jc w:val="both"/>
        <w:rPr>
          <w:color w:val="000000" w:themeColor="text1"/>
          <w:sz w:val="16"/>
          <w:szCs w:val="16"/>
        </w:rPr>
      </w:pPr>
      <w:r w:rsidRPr="00F90EAE">
        <w:rPr>
          <w:bCs/>
          <w:color w:val="000000" w:themeColor="text1"/>
          <w:sz w:val="16"/>
          <w:szCs w:val="16"/>
        </w:rPr>
        <w:t>2 июня</w:t>
      </w:r>
      <w:r w:rsidRPr="00F90EAE">
        <w:rPr>
          <w:color w:val="000000" w:themeColor="text1"/>
          <w:sz w:val="16"/>
          <w:szCs w:val="16"/>
        </w:rPr>
        <w:t xml:space="preserve"> в 1945 году (2-3 июня) американское соединение «Task Force-58» проводит рейд на южную часть острова Кюсю (14910).</w:t>
      </w:r>
    </w:p>
    <w:p w14:paraId="74062526" w14:textId="77777777" w:rsidR="006F2DF6" w:rsidRPr="00F90EAE" w:rsidRDefault="006F2DF6" w:rsidP="00F90EAE">
      <w:pPr>
        <w:jc w:val="both"/>
        <w:rPr>
          <w:color w:val="000000" w:themeColor="text1"/>
          <w:sz w:val="16"/>
          <w:szCs w:val="16"/>
        </w:rPr>
      </w:pPr>
    </w:p>
    <w:p w14:paraId="2E19AF58" w14:textId="77777777" w:rsidR="00B3672C" w:rsidRPr="00F90EAE" w:rsidRDefault="00B3672C" w:rsidP="00F90EAE">
      <w:pPr>
        <w:jc w:val="both"/>
        <w:rPr>
          <w:color w:val="0070C0"/>
          <w:sz w:val="16"/>
          <w:szCs w:val="16"/>
        </w:rPr>
      </w:pPr>
      <w:r w:rsidRPr="00F90EAE">
        <w:rPr>
          <w:color w:val="0070C0"/>
          <w:sz w:val="16"/>
          <w:szCs w:val="16"/>
        </w:rPr>
        <w:t>2–3 июня 1945 авианосец 38 группы наносит удар по Кюсю (20371).</w:t>
      </w:r>
    </w:p>
    <w:p w14:paraId="2A688847" w14:textId="77777777" w:rsidR="00B3672C" w:rsidRPr="00F90EAE" w:rsidRDefault="00B3672C" w:rsidP="00F90EAE">
      <w:pPr>
        <w:jc w:val="both"/>
        <w:rPr>
          <w:color w:val="0070C0"/>
          <w:sz w:val="16"/>
          <w:szCs w:val="16"/>
        </w:rPr>
      </w:pPr>
    </w:p>
    <w:p w14:paraId="2ACC123A" w14:textId="77777777" w:rsidR="00CC601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1E3F271" w14:textId="77777777" w:rsidR="00CC6018" w:rsidRPr="00F90EAE" w:rsidRDefault="00CC6018" w:rsidP="00F90EAE">
      <w:pPr>
        <w:autoSpaceDE w:val="0"/>
        <w:autoSpaceDN w:val="0"/>
        <w:adjustRightInd w:val="0"/>
        <w:jc w:val="both"/>
        <w:rPr>
          <w:iCs/>
          <w:color w:val="000000" w:themeColor="text1"/>
          <w:sz w:val="16"/>
          <w:szCs w:val="16"/>
        </w:rPr>
      </w:pPr>
    </w:p>
    <w:p w14:paraId="50D8BBCE" w14:textId="77777777" w:rsidR="00CC6018" w:rsidRPr="00F90EAE" w:rsidRDefault="00CC6018" w:rsidP="00F90EAE">
      <w:pPr>
        <w:pStyle w:val="a3"/>
        <w:rPr>
          <w:color w:val="000000" w:themeColor="text1"/>
          <w:lang w:val="ru-RU"/>
        </w:rPr>
      </w:pPr>
      <w:r w:rsidRPr="00F90EAE">
        <w:rPr>
          <w:color w:val="000000" w:themeColor="text1"/>
          <w:lang w:val="ru-RU"/>
        </w:rPr>
        <w:t>С 3 июня по 23 августа 1945 г. Ер-2ММ № 7023901 проходил совместные контрольные испытания в ГК НИИ ВВС. В процессе испытаний выявилась необходимость проведе</w:t>
      </w:r>
      <w:r w:rsidRPr="00F90EAE">
        <w:rPr>
          <w:color w:val="000000" w:themeColor="text1"/>
          <w:lang w:val="ru-RU"/>
        </w:rPr>
        <w:softHyphen/>
        <w:t>ния ряда доработок, в связи с чем 24 августа машину поставили на доработки. С 18 сен</w:t>
      </w:r>
      <w:r w:rsidRPr="00F90EAE">
        <w:rPr>
          <w:color w:val="000000" w:themeColor="text1"/>
          <w:lang w:val="ru-RU"/>
        </w:rPr>
        <w:softHyphen/>
        <w:t>тября испытания продолжались и завершились 13 октября 1945 г. В середине декабря 1945 г. отчёты по испытаниям обоих самолётов Ер-2ММ поступили в 7ГУ НКАП СССР (15810).</w:t>
      </w:r>
    </w:p>
    <w:p w14:paraId="25A9B743" w14:textId="77777777" w:rsidR="00CC6018" w:rsidRPr="00F90EAE" w:rsidRDefault="00CC6018" w:rsidP="00F90EAE">
      <w:pPr>
        <w:pStyle w:val="a3"/>
        <w:rPr>
          <w:color w:val="000000" w:themeColor="text1"/>
          <w:lang w:val="ru-RU"/>
        </w:rPr>
      </w:pPr>
    </w:p>
    <w:p w14:paraId="7AE84E9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D1CF5F7" w14:textId="77777777" w:rsidR="006103B3" w:rsidRPr="00F90EAE" w:rsidRDefault="006103B3" w:rsidP="00F90EAE">
      <w:pPr>
        <w:autoSpaceDE w:val="0"/>
        <w:autoSpaceDN w:val="0"/>
        <w:adjustRightInd w:val="0"/>
        <w:jc w:val="both"/>
        <w:rPr>
          <w:iCs/>
          <w:color w:val="000000" w:themeColor="text1"/>
          <w:sz w:val="16"/>
          <w:szCs w:val="16"/>
        </w:rPr>
      </w:pPr>
    </w:p>
    <w:p w14:paraId="1B14D4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июня 1945 г. было подготовлено СООБЩЕНИЕ ЗАМЕСТИТЕЛЯ НАЧАЛЬНИКА УСГ КА НАЧАЛЬНИКУ ГАВТУ КА О МАРКИРОВКЕ КРАСИТЕЛЯМИ БЕНЗИНОВ №01430204</w:t>
      </w:r>
    </w:p>
    <w:p w14:paraId="091EAA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того, чтобы предотвратить ошибки в применении автомобильных бензинов, проэтилирован-ных ранее этиловой жидкостью В-20 и имеющих желтый цвет, от неэтилированных крекинг-бензи</w:t>
      </w:r>
      <w:r w:rsidRPr="00F90EAE">
        <w:rPr>
          <w:color w:val="000000" w:themeColor="text1"/>
          <w:sz w:val="16"/>
          <w:szCs w:val="16"/>
        </w:rPr>
        <w:softHyphen/>
        <w:t>нов, имеющих также желтый цвет, с 1 июля 1945 г. промышленность приступает к выпуску этиловой жидкости В-20, окрашенной красителем «Судан 4» в красный цвет. До этого этиловая жидкость В-20 окрашивалась в оранжевый цвет.</w:t>
      </w:r>
    </w:p>
    <w:p w14:paraId="788202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отличие от этиловой жидкости Р-9 авиационной (окрашивается так же краской «Судан 4» в красный цвет) этиловая жидкость В-20 будет выпускаться с заводов в бочках, окрашенных в сталь</w:t>
      </w:r>
      <w:r w:rsidRPr="00F90EAE">
        <w:rPr>
          <w:color w:val="000000" w:themeColor="text1"/>
          <w:sz w:val="16"/>
          <w:szCs w:val="16"/>
        </w:rPr>
        <w:softHyphen/>
        <w:t>ной цвет, с трафаретом «для наземных машин», В-20.</w:t>
      </w:r>
    </w:p>
    <w:p w14:paraId="2EAA68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Бочки с этиловой жидкостью Р-9 окрашиваются в зеленый цвет.</w:t>
      </w:r>
    </w:p>
    <w:p w14:paraId="5A76A9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предотвращения ошибок в применении этиловых жидкостей В-20 и Р-9, одинаково окра</w:t>
      </w:r>
      <w:r w:rsidRPr="00F90EAE">
        <w:rPr>
          <w:color w:val="000000" w:themeColor="text1"/>
          <w:sz w:val="16"/>
          <w:szCs w:val="16"/>
        </w:rPr>
        <w:softHyphen/>
        <w:t>шенных в красный цвет, прошу дать соответствующие указания всем воинским частям, связанным с применением указанных продуктов, а также с применением этилированных бензинов.</w:t>
      </w:r>
    </w:p>
    <w:p w14:paraId="1542E8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принять меры для предупреждения каких-либо недоразумений и ошибок по этому воп</w:t>
      </w:r>
      <w:r w:rsidRPr="00F90EAE">
        <w:rPr>
          <w:color w:val="000000" w:themeColor="text1"/>
          <w:sz w:val="16"/>
          <w:szCs w:val="16"/>
        </w:rPr>
        <w:softHyphen/>
        <w:t>росу.</w:t>
      </w:r>
    </w:p>
    <w:p w14:paraId="42EAA2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начальника УСГ КА инженер-подполковник Варшавер</w:t>
      </w:r>
    </w:p>
    <w:p w14:paraId="3E7AE66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11592. Д. 401. Л. 22. Подлинник (11420).</w:t>
      </w:r>
    </w:p>
    <w:p w14:paraId="0BE5BCE3" w14:textId="77777777" w:rsidR="006103B3" w:rsidRPr="00F90EAE" w:rsidRDefault="006103B3" w:rsidP="00F90EAE">
      <w:pPr>
        <w:autoSpaceDE w:val="0"/>
        <w:autoSpaceDN w:val="0"/>
        <w:adjustRightInd w:val="0"/>
        <w:jc w:val="both"/>
        <w:rPr>
          <w:color w:val="000000" w:themeColor="text1"/>
          <w:sz w:val="16"/>
          <w:szCs w:val="16"/>
        </w:rPr>
      </w:pPr>
    </w:p>
    <w:p w14:paraId="078BFE2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июня 1945 вышло Постановление ГКО № 8916 [О перевозке войск в состав ЗабФ, ДВФ, Приморской группы войск, образовании неприкосновенных запасов, обеспечении войск автомашинами.] (7346, 136-145,146-166).</w:t>
      </w:r>
    </w:p>
    <w:p w14:paraId="20A2B02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C4DB88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CAC77B1" w14:textId="77777777" w:rsidR="006103B3" w:rsidRPr="00F90EAE" w:rsidRDefault="006103B3" w:rsidP="00F90EAE">
      <w:pPr>
        <w:autoSpaceDE w:val="0"/>
        <w:autoSpaceDN w:val="0"/>
        <w:adjustRightInd w:val="0"/>
        <w:jc w:val="both"/>
        <w:rPr>
          <w:iCs/>
          <w:color w:val="000000" w:themeColor="text1"/>
          <w:sz w:val="16"/>
          <w:szCs w:val="16"/>
        </w:rPr>
      </w:pPr>
    </w:p>
    <w:p w14:paraId="2F78B6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июня 1945 г. была подготовлена СПРАВКА КОМАНДУЮЩЕГО БТ и МВ КА В УПРАВЛЕНИЕ ОПЕРАТИВНОГО ОКРУЖНОГО ТЫЛА ГШ КА О СОСТОЯНИИ ТАНКОВОГО ПАРКА № 00793344</w:t>
      </w:r>
    </w:p>
    <w:p w14:paraId="44EC77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ТАНКИ и СУ</w:t>
      </w:r>
    </w:p>
    <w:tbl>
      <w:tblPr>
        <w:tblW w:w="0" w:type="auto"/>
        <w:tblInd w:w="40" w:type="dxa"/>
        <w:tblLayout w:type="fixed"/>
        <w:tblCellMar>
          <w:left w:w="40" w:type="dxa"/>
          <w:right w:w="40" w:type="dxa"/>
        </w:tblCellMar>
        <w:tblLook w:val="0000" w:firstRow="0" w:lastRow="0" w:firstColumn="0" w:lastColumn="0" w:noHBand="0" w:noVBand="0"/>
      </w:tblPr>
      <w:tblGrid>
        <w:gridCol w:w="2842"/>
        <w:gridCol w:w="1210"/>
        <w:gridCol w:w="1219"/>
        <w:gridCol w:w="1286"/>
        <w:gridCol w:w="1142"/>
        <w:gridCol w:w="1085"/>
        <w:gridCol w:w="874"/>
      </w:tblGrid>
      <w:tr w:rsidR="00561F31" w:rsidRPr="00F90EAE" w14:paraId="6A7782C1" w14:textId="77777777">
        <w:trPr>
          <w:trHeight w:val="211"/>
        </w:trPr>
        <w:tc>
          <w:tcPr>
            <w:tcW w:w="2842" w:type="dxa"/>
            <w:tcBorders>
              <w:top w:val="single" w:sz="6" w:space="0" w:color="auto"/>
              <w:left w:val="single" w:sz="6" w:space="0" w:color="auto"/>
              <w:bottom w:val="nil"/>
              <w:right w:val="single" w:sz="6" w:space="0" w:color="auto"/>
            </w:tcBorders>
          </w:tcPr>
          <w:p w14:paraId="3EB02E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7F9AFE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nil"/>
              <w:right w:val="single" w:sz="6" w:space="0" w:color="auto"/>
            </w:tcBorders>
          </w:tcPr>
          <w:p w14:paraId="10DD18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Было на 1.06.1941 г.</w:t>
            </w:r>
          </w:p>
          <w:p w14:paraId="0D1387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nil"/>
              <w:right w:val="single" w:sz="6" w:space="0" w:color="auto"/>
            </w:tcBorders>
          </w:tcPr>
          <w:p w14:paraId="41416C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Состоит на 1.05.1945 г.</w:t>
            </w:r>
          </w:p>
          <w:p w14:paraId="05DA031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87" w:type="dxa"/>
            <w:gridSpan w:val="4"/>
            <w:tcBorders>
              <w:top w:val="single" w:sz="6" w:space="0" w:color="auto"/>
              <w:left w:val="single" w:sz="6" w:space="0" w:color="auto"/>
              <w:bottom w:val="single" w:sz="6" w:space="0" w:color="auto"/>
              <w:right w:val="single" w:sz="6" w:space="0" w:color="auto"/>
            </w:tcBorders>
          </w:tcPr>
          <w:p w14:paraId="17B451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них</w:t>
            </w:r>
          </w:p>
          <w:p w14:paraId="7BA0FF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6DB75C4" w14:textId="77777777">
        <w:trPr>
          <w:trHeight w:val="374"/>
        </w:trPr>
        <w:tc>
          <w:tcPr>
            <w:tcW w:w="2842" w:type="dxa"/>
            <w:tcBorders>
              <w:top w:val="nil"/>
              <w:left w:val="single" w:sz="6" w:space="0" w:color="auto"/>
              <w:bottom w:val="single" w:sz="6" w:space="0" w:color="auto"/>
              <w:right w:val="single" w:sz="6" w:space="0" w:color="auto"/>
            </w:tcBorders>
          </w:tcPr>
          <w:p w14:paraId="05E0269F" w14:textId="77777777" w:rsidR="006103B3" w:rsidRPr="00F90EAE" w:rsidRDefault="006103B3" w:rsidP="00F90EAE">
            <w:pPr>
              <w:autoSpaceDE w:val="0"/>
              <w:autoSpaceDN w:val="0"/>
              <w:adjustRightInd w:val="0"/>
              <w:jc w:val="both"/>
              <w:rPr>
                <w:color w:val="000000" w:themeColor="text1"/>
                <w:sz w:val="16"/>
                <w:szCs w:val="16"/>
              </w:rPr>
            </w:pPr>
          </w:p>
          <w:p w14:paraId="03364296" w14:textId="77777777" w:rsidR="006103B3" w:rsidRPr="00F90EAE" w:rsidRDefault="006103B3" w:rsidP="00F90EAE">
            <w:pPr>
              <w:autoSpaceDE w:val="0"/>
              <w:autoSpaceDN w:val="0"/>
              <w:adjustRightInd w:val="0"/>
              <w:jc w:val="both"/>
              <w:rPr>
                <w:color w:val="000000" w:themeColor="text1"/>
                <w:sz w:val="16"/>
                <w:szCs w:val="16"/>
              </w:rPr>
            </w:pPr>
          </w:p>
        </w:tc>
        <w:tc>
          <w:tcPr>
            <w:tcW w:w="1210" w:type="dxa"/>
            <w:tcBorders>
              <w:top w:val="nil"/>
              <w:left w:val="single" w:sz="6" w:space="0" w:color="auto"/>
              <w:bottom w:val="single" w:sz="6" w:space="0" w:color="auto"/>
              <w:right w:val="single" w:sz="6" w:space="0" w:color="auto"/>
            </w:tcBorders>
          </w:tcPr>
          <w:p w14:paraId="53A51709" w14:textId="77777777" w:rsidR="006103B3" w:rsidRPr="00F90EAE" w:rsidRDefault="006103B3" w:rsidP="00F90EAE">
            <w:pPr>
              <w:autoSpaceDE w:val="0"/>
              <w:autoSpaceDN w:val="0"/>
              <w:adjustRightInd w:val="0"/>
              <w:jc w:val="both"/>
              <w:rPr>
                <w:color w:val="000000" w:themeColor="text1"/>
                <w:sz w:val="16"/>
                <w:szCs w:val="16"/>
              </w:rPr>
            </w:pPr>
          </w:p>
          <w:p w14:paraId="7F7183FE" w14:textId="77777777" w:rsidR="006103B3" w:rsidRPr="00F90EAE" w:rsidRDefault="006103B3" w:rsidP="00F90EAE">
            <w:pPr>
              <w:autoSpaceDE w:val="0"/>
              <w:autoSpaceDN w:val="0"/>
              <w:adjustRightInd w:val="0"/>
              <w:jc w:val="both"/>
              <w:rPr>
                <w:color w:val="000000" w:themeColor="text1"/>
                <w:sz w:val="16"/>
                <w:szCs w:val="16"/>
              </w:rPr>
            </w:pPr>
          </w:p>
        </w:tc>
        <w:tc>
          <w:tcPr>
            <w:tcW w:w="1219" w:type="dxa"/>
            <w:tcBorders>
              <w:top w:val="nil"/>
              <w:left w:val="single" w:sz="6" w:space="0" w:color="auto"/>
              <w:bottom w:val="single" w:sz="6" w:space="0" w:color="auto"/>
              <w:right w:val="single" w:sz="6" w:space="0" w:color="auto"/>
            </w:tcBorders>
          </w:tcPr>
          <w:p w14:paraId="40E1A24E" w14:textId="77777777" w:rsidR="006103B3" w:rsidRPr="00F90EAE" w:rsidRDefault="006103B3" w:rsidP="00F90EAE">
            <w:pPr>
              <w:autoSpaceDE w:val="0"/>
              <w:autoSpaceDN w:val="0"/>
              <w:adjustRightInd w:val="0"/>
              <w:jc w:val="both"/>
              <w:rPr>
                <w:color w:val="000000" w:themeColor="text1"/>
                <w:sz w:val="16"/>
                <w:szCs w:val="16"/>
              </w:rPr>
            </w:pPr>
          </w:p>
          <w:p w14:paraId="2B1C6E11" w14:textId="77777777" w:rsidR="006103B3" w:rsidRPr="00F90EAE" w:rsidRDefault="006103B3" w:rsidP="00F90EAE">
            <w:pPr>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B752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фронтах</w:t>
            </w:r>
          </w:p>
          <w:p w14:paraId="1FF606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C6EB3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резерве</w:t>
            </w:r>
          </w:p>
          <w:p w14:paraId="7DE21F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CCA8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округах</w:t>
            </w:r>
          </w:p>
          <w:p w14:paraId="545DC54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C6729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рем. заводах</w:t>
            </w:r>
          </w:p>
          <w:p w14:paraId="0CA3E6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4E18AB0" w14:textId="77777777">
        <w:trPr>
          <w:trHeight w:val="1018"/>
        </w:trPr>
        <w:tc>
          <w:tcPr>
            <w:tcW w:w="2842" w:type="dxa"/>
            <w:tcBorders>
              <w:top w:val="single" w:sz="6" w:space="0" w:color="auto"/>
              <w:left w:val="single" w:sz="6" w:space="0" w:color="auto"/>
              <w:bottom w:val="single" w:sz="6" w:space="0" w:color="auto"/>
              <w:right w:val="single" w:sz="6" w:space="0" w:color="auto"/>
            </w:tcBorders>
          </w:tcPr>
          <w:p w14:paraId="2C4181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КВ, Т-34</w:t>
            </w:r>
          </w:p>
          <w:p w14:paraId="680DEB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Т-34, ИС</w:t>
            </w:r>
          </w:p>
          <w:p w14:paraId="790E09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Иностранные средние танки</w:t>
            </w:r>
          </w:p>
          <w:p w14:paraId="2A829C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ИСУ-152-122</w:t>
            </w:r>
          </w:p>
          <w:p w14:paraId="6FBB9B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СУ- 152-76</w:t>
            </w:r>
          </w:p>
          <w:p w14:paraId="0B51AF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57D6AE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1390</w:t>
            </w:r>
          </w:p>
          <w:p w14:paraId="61F8EB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256341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BE67D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0457E07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1219" w:type="dxa"/>
            <w:tcBorders>
              <w:top w:val="single" w:sz="6" w:space="0" w:color="auto"/>
              <w:left w:val="single" w:sz="6" w:space="0" w:color="auto"/>
              <w:bottom w:val="single" w:sz="6" w:space="0" w:color="auto"/>
              <w:right w:val="single" w:sz="6" w:space="0" w:color="auto"/>
            </w:tcBorders>
          </w:tcPr>
          <w:p w14:paraId="3A4A39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C9EE7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10312</w:t>
            </w:r>
          </w:p>
          <w:p w14:paraId="07114A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1817</w:t>
            </w:r>
          </w:p>
          <w:p w14:paraId="3D7596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2028</w:t>
            </w:r>
          </w:p>
          <w:p w14:paraId="63133C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5903</w:t>
            </w:r>
          </w:p>
          <w:p w14:paraId="7416D6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B3969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499E6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-5640</w:t>
            </w:r>
          </w:p>
          <w:p w14:paraId="2F3265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877</w:t>
            </w:r>
          </w:p>
          <w:p w14:paraId="3B7032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1196</w:t>
            </w:r>
          </w:p>
          <w:p w14:paraId="5A4611F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3546</w:t>
            </w:r>
          </w:p>
          <w:p w14:paraId="4D2BAC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F72B7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F06A1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963</w:t>
            </w:r>
          </w:p>
          <w:p w14:paraId="0C6E20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219</w:t>
            </w:r>
          </w:p>
          <w:p w14:paraId="77E3FA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340</w:t>
            </w:r>
          </w:p>
          <w:p w14:paraId="000322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999</w:t>
            </w:r>
          </w:p>
          <w:p w14:paraId="13456D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89A4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075D3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1677</w:t>
            </w:r>
          </w:p>
          <w:p w14:paraId="233486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275</w:t>
            </w:r>
          </w:p>
          <w:p w14:paraId="310951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129</w:t>
            </w:r>
          </w:p>
          <w:p w14:paraId="4D964A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688</w:t>
            </w:r>
          </w:p>
          <w:p w14:paraId="19B5DC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0CDBB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FAAFD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2032</w:t>
            </w:r>
          </w:p>
          <w:p w14:paraId="7DC215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446</w:t>
            </w:r>
          </w:p>
          <w:p w14:paraId="19CF2B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363</w:t>
            </w:r>
          </w:p>
          <w:p w14:paraId="3BCCDB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670</w:t>
            </w:r>
          </w:p>
          <w:p w14:paraId="3D0ADD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014FBEC" w14:textId="77777777">
        <w:trPr>
          <w:trHeight w:val="202"/>
        </w:trPr>
        <w:tc>
          <w:tcPr>
            <w:tcW w:w="2842" w:type="dxa"/>
            <w:tcBorders>
              <w:top w:val="single" w:sz="6" w:space="0" w:color="auto"/>
              <w:left w:val="single" w:sz="6" w:space="0" w:color="auto"/>
              <w:bottom w:val="single" w:sz="6" w:space="0" w:color="auto"/>
              <w:right w:val="single" w:sz="6" w:space="0" w:color="auto"/>
            </w:tcBorders>
          </w:tcPr>
          <w:p w14:paraId="3B926B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7B3077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0D75FA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1390</w:t>
            </w:r>
          </w:p>
          <w:p w14:paraId="020EF9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1373E1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20060</w:t>
            </w:r>
          </w:p>
          <w:p w14:paraId="5F8C83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2C9C46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11259</w:t>
            </w:r>
          </w:p>
          <w:p w14:paraId="024471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16CA82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2521</w:t>
            </w:r>
          </w:p>
          <w:p w14:paraId="71FFEA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1DE35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2769</w:t>
            </w:r>
          </w:p>
          <w:p w14:paraId="44C58F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A283C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3511</w:t>
            </w:r>
          </w:p>
          <w:p w14:paraId="24B147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93C14BA" w14:textId="77777777">
        <w:trPr>
          <w:trHeight w:val="1219"/>
        </w:trPr>
        <w:tc>
          <w:tcPr>
            <w:tcW w:w="2842" w:type="dxa"/>
            <w:tcBorders>
              <w:top w:val="single" w:sz="6" w:space="0" w:color="auto"/>
              <w:left w:val="single" w:sz="6" w:space="0" w:color="auto"/>
              <w:bottom w:val="single" w:sz="6" w:space="0" w:color="auto"/>
              <w:right w:val="single" w:sz="6" w:space="0" w:color="auto"/>
            </w:tcBorders>
          </w:tcPr>
          <w:p w14:paraId="001154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Кроме того:</w:t>
            </w:r>
          </w:p>
          <w:p w14:paraId="33EFA5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[...]БТ</w:t>
            </w:r>
          </w:p>
          <w:p w14:paraId="0BB595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Т-26</w:t>
            </w:r>
          </w:p>
          <w:p w14:paraId="5029E2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Прочие марки</w:t>
            </w:r>
          </w:p>
          <w:p w14:paraId="71D1F7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Иностранные легкие танки</w:t>
            </w:r>
          </w:p>
          <w:p w14:paraId="1F1936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СУ-57</w:t>
            </w:r>
          </w:p>
          <w:p w14:paraId="25479C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475DDA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69C8B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6172</w:t>
            </w:r>
          </w:p>
          <w:p w14:paraId="6EA652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8436</w:t>
            </w:r>
          </w:p>
          <w:p w14:paraId="7DA847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3706</w:t>
            </w:r>
          </w:p>
          <w:p w14:paraId="3BBA79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7BD774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3A848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299</w:t>
            </w:r>
          </w:p>
          <w:p w14:paraId="39F3CA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424</w:t>
            </w:r>
          </w:p>
          <w:p w14:paraId="58A687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2960</w:t>
            </w:r>
          </w:p>
          <w:p w14:paraId="07AD25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914</w:t>
            </w:r>
          </w:p>
          <w:p w14:paraId="18937A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340</w:t>
            </w:r>
          </w:p>
          <w:p w14:paraId="6CDC49D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A0AB9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87EBE1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614EF8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p w14:paraId="2DA054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265</w:t>
            </w:r>
          </w:p>
          <w:p w14:paraId="7ADBE1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207</w:t>
            </w:r>
          </w:p>
          <w:p w14:paraId="6053E3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w:t>
            </w:r>
          </w:p>
          <w:p w14:paraId="0D5982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3DFFCE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994A0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75D01C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BEC01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269</w:t>
            </w:r>
          </w:p>
          <w:p w14:paraId="37F855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109</w:t>
            </w:r>
          </w:p>
          <w:p w14:paraId="4CE1EB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w:t>
            </w:r>
          </w:p>
          <w:p w14:paraId="1201E8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E45F2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C704C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43</w:t>
            </w:r>
          </w:p>
          <w:p w14:paraId="4B274B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213</w:t>
            </w:r>
          </w:p>
          <w:p w14:paraId="3D8ABEC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1750</w:t>
            </w:r>
          </w:p>
          <w:p w14:paraId="0EC5047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295</w:t>
            </w:r>
          </w:p>
          <w:p w14:paraId="37487F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735BB5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203C10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B4851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256</w:t>
            </w:r>
          </w:p>
          <w:p w14:paraId="6062C5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176</w:t>
            </w:r>
          </w:p>
          <w:p w14:paraId="482FFB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676</w:t>
            </w:r>
          </w:p>
          <w:p w14:paraId="73C924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303</w:t>
            </w:r>
          </w:p>
          <w:p w14:paraId="06976B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w:t>
            </w:r>
          </w:p>
          <w:p w14:paraId="79F78F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837F8F0" w14:textId="77777777">
        <w:trPr>
          <w:trHeight w:val="221"/>
        </w:trPr>
        <w:tc>
          <w:tcPr>
            <w:tcW w:w="2842" w:type="dxa"/>
            <w:tcBorders>
              <w:top w:val="single" w:sz="6" w:space="0" w:color="auto"/>
              <w:left w:val="single" w:sz="6" w:space="0" w:color="auto"/>
              <w:bottom w:val="single" w:sz="6" w:space="0" w:color="auto"/>
              <w:right w:val="single" w:sz="6" w:space="0" w:color="auto"/>
            </w:tcBorders>
          </w:tcPr>
          <w:p w14:paraId="00F3EE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p w14:paraId="291A10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0" w:type="dxa"/>
            <w:tcBorders>
              <w:top w:val="single" w:sz="6" w:space="0" w:color="auto"/>
              <w:left w:val="single" w:sz="6" w:space="0" w:color="auto"/>
              <w:bottom w:val="single" w:sz="6" w:space="0" w:color="auto"/>
              <w:right w:val="single" w:sz="6" w:space="0" w:color="auto"/>
            </w:tcBorders>
          </w:tcPr>
          <w:p w14:paraId="67EAF6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18314</w:t>
            </w:r>
          </w:p>
          <w:p w14:paraId="3C08DA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19" w:type="dxa"/>
            <w:tcBorders>
              <w:top w:val="single" w:sz="6" w:space="0" w:color="auto"/>
              <w:left w:val="single" w:sz="6" w:space="0" w:color="auto"/>
              <w:bottom w:val="single" w:sz="6" w:space="0" w:color="auto"/>
              <w:right w:val="single" w:sz="6" w:space="0" w:color="auto"/>
            </w:tcBorders>
          </w:tcPr>
          <w:p w14:paraId="3AAFC8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4937*</w:t>
            </w:r>
          </w:p>
          <w:p w14:paraId="04A07F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C54DB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757</w:t>
            </w:r>
          </w:p>
          <w:p w14:paraId="7E71F4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142" w:type="dxa"/>
            <w:tcBorders>
              <w:top w:val="single" w:sz="6" w:space="0" w:color="auto"/>
              <w:left w:val="single" w:sz="6" w:space="0" w:color="auto"/>
              <w:bottom w:val="single" w:sz="6" w:space="0" w:color="auto"/>
              <w:right w:val="single" w:sz="6" w:space="0" w:color="auto"/>
            </w:tcBorders>
          </w:tcPr>
          <w:p w14:paraId="74AF7D8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444</w:t>
            </w:r>
          </w:p>
          <w:p w14:paraId="0B6FF2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0AA50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2311</w:t>
            </w:r>
          </w:p>
          <w:p w14:paraId="00D113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6FE5E5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1425</w:t>
            </w:r>
          </w:p>
          <w:p w14:paraId="61A5FF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5655D2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Без Дальневосточного и Забайкальского фронтов. Указанные сведения даны по донесениям фронтов и округов.</w:t>
      </w:r>
    </w:p>
    <w:p w14:paraId="35670A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4D1AB1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142912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38. Он. 11353. Д. 1448. Л. 55. Копия (11420).</w:t>
      </w:r>
    </w:p>
    <w:p w14:paraId="06B71823" w14:textId="77777777" w:rsidR="006103B3" w:rsidRPr="00F90EAE" w:rsidRDefault="006103B3" w:rsidP="00F90EAE">
      <w:pPr>
        <w:autoSpaceDE w:val="0"/>
        <w:autoSpaceDN w:val="0"/>
        <w:adjustRightInd w:val="0"/>
        <w:jc w:val="both"/>
        <w:rPr>
          <w:color w:val="000000" w:themeColor="text1"/>
          <w:sz w:val="16"/>
          <w:szCs w:val="16"/>
        </w:rPr>
      </w:pPr>
    </w:p>
    <w:p w14:paraId="39259835" w14:textId="77777777" w:rsidR="00B17B62" w:rsidRPr="00F90EAE" w:rsidRDefault="00B17B62" w:rsidP="00F90EAE">
      <w:pPr>
        <w:jc w:val="both"/>
        <w:rPr>
          <w:color w:val="000000" w:themeColor="text1"/>
          <w:sz w:val="16"/>
          <w:szCs w:val="16"/>
        </w:rPr>
      </w:pPr>
      <w:r w:rsidRPr="00F90EAE">
        <w:rPr>
          <w:color w:val="000000" w:themeColor="text1"/>
          <w:sz w:val="16"/>
          <w:szCs w:val="16"/>
        </w:rPr>
        <w:t>3 июня 1945 г.</w:t>
      </w:r>
    </w:p>
    <w:p w14:paraId="724D0A82" w14:textId="77777777" w:rsidR="00B17B62" w:rsidRPr="00F90EAE" w:rsidRDefault="00B17B62" w:rsidP="00F90EAE">
      <w:pPr>
        <w:jc w:val="both"/>
        <w:rPr>
          <w:color w:val="000000" w:themeColor="text1"/>
          <w:sz w:val="16"/>
          <w:szCs w:val="16"/>
        </w:rPr>
      </w:pPr>
      <w:r w:rsidRPr="00F90EAE">
        <w:rPr>
          <w:bCs/>
          <w:color w:val="000000" w:themeColor="text1"/>
          <w:sz w:val="16"/>
          <w:szCs w:val="16"/>
        </w:rPr>
        <w:lastRenderedPageBreak/>
        <w:t>СПРАВКА КОМАНДУЮЩЕГО БТ и МВ КА В УПРАВЛЕНИЕ ОПЕРАТИВНОГО ОКРУЖНОГО ТЫЛА ГШ КА О СОСТОЯНИИ ТАНКОВОГО ПАРКА</w:t>
      </w:r>
    </w:p>
    <w:p w14:paraId="10991497" w14:textId="77777777" w:rsidR="00B17B62" w:rsidRPr="00F90EAE" w:rsidRDefault="00B17B62" w:rsidP="00F90EAE">
      <w:pPr>
        <w:jc w:val="both"/>
        <w:rPr>
          <w:color w:val="000000" w:themeColor="text1"/>
          <w:sz w:val="16"/>
          <w:szCs w:val="16"/>
        </w:rPr>
      </w:pPr>
      <w:r w:rsidRPr="00F90EAE">
        <w:rPr>
          <w:color w:val="000000" w:themeColor="text1"/>
          <w:sz w:val="16"/>
          <w:szCs w:val="16"/>
        </w:rPr>
        <w:t>№ 00793344</w:t>
      </w:r>
    </w:p>
    <w:p w14:paraId="5BB7A5F7" w14:textId="77777777" w:rsidR="00B17B62" w:rsidRPr="00F90EAE" w:rsidRDefault="00B17B62" w:rsidP="00F90EAE">
      <w:pPr>
        <w:jc w:val="both"/>
        <w:rPr>
          <w:color w:val="000000" w:themeColor="text1"/>
          <w:sz w:val="16"/>
          <w:szCs w:val="16"/>
        </w:rPr>
      </w:pPr>
      <w:r w:rsidRPr="00F90EAE">
        <w:rPr>
          <w:color w:val="000000" w:themeColor="text1"/>
          <w:sz w:val="16"/>
          <w:szCs w:val="16"/>
        </w:rPr>
        <w:t>ТАНКИ и СУ</w:t>
      </w:r>
    </w:p>
    <w:p w14:paraId="2F66EF04"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 xml:space="preserve">                            Было на      Состоит на                     Из них</w:t>
      </w:r>
    </w:p>
    <w:p w14:paraId="1AEC30B7"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 xml:space="preserve">                          1.06.1941 г.  1.05.1945 г.  на фронтах  в резерве  в округах  на рем.</w:t>
      </w:r>
    </w:p>
    <w:p w14:paraId="7215A229"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 xml:space="preserve">                                                                                        заводах</w:t>
      </w:r>
    </w:p>
    <w:p w14:paraId="42FAFC40"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КВ, Т-34                     1 390           —             —           —          —        —</w:t>
      </w:r>
    </w:p>
    <w:p w14:paraId="31ABF8BF"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Т-34, ИС                       —          10 312         5 640         963      1 677    2 032</w:t>
      </w:r>
    </w:p>
    <w:p w14:paraId="2D727488"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Иностранные средние танки      —           1 817           877         219        275      446</w:t>
      </w:r>
    </w:p>
    <w:p w14:paraId="1AED4147"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ИСУ-152-122                    —           2 028         1 196         340        129      363</w:t>
      </w:r>
    </w:p>
    <w:p w14:paraId="1AEDF94B"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СУ-152-76                      —           5 903         3 546         999        688      670</w:t>
      </w:r>
    </w:p>
    <w:p w14:paraId="36816413"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bCs/>
          <w:color w:val="000000" w:themeColor="text1"/>
          <w:sz w:val="16"/>
          <w:szCs w:val="16"/>
        </w:rPr>
        <w:t>Итого</w:t>
      </w:r>
      <w:r w:rsidRPr="00F90EAE">
        <w:rPr>
          <w:color w:val="000000" w:themeColor="text1"/>
          <w:sz w:val="16"/>
          <w:szCs w:val="16"/>
        </w:rPr>
        <w:t xml:space="preserve">                        1 390        20 060        11 259       2 521      2 769    3 511</w:t>
      </w:r>
    </w:p>
    <w:p w14:paraId="1CE8FEBA"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Кроме того:</w:t>
      </w:r>
    </w:p>
    <w:p w14:paraId="3180E689"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[...]11                      6 172           299           —           —           43      256</w:t>
      </w:r>
    </w:p>
    <w:p w14:paraId="3918DBC1"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Т-26                         8 436           424            35         —          213      176</w:t>
      </w:r>
    </w:p>
    <w:p w14:paraId="09B3479E"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Прочие марки                 3 706         2 960           265         269      1 750      676</w:t>
      </w:r>
    </w:p>
    <w:p w14:paraId="3DCF3D55"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Иностранные легкие танки       —             914           207         109        295      303</w:t>
      </w:r>
    </w:p>
    <w:p w14:paraId="5270C3EA"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СУ-57                          —             340           250          66         10       14</w:t>
      </w:r>
    </w:p>
    <w:p w14:paraId="4B18C046"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bCs/>
          <w:color w:val="000000" w:themeColor="text1"/>
          <w:sz w:val="16"/>
          <w:szCs w:val="16"/>
        </w:rPr>
        <w:t>Итого</w:t>
      </w:r>
      <w:r w:rsidRPr="00F90EAE">
        <w:rPr>
          <w:color w:val="000000" w:themeColor="text1"/>
          <w:sz w:val="16"/>
          <w:szCs w:val="16"/>
        </w:rPr>
        <w:t xml:space="preserve">                       18 314         4 937*          757         444      2 311    1 425</w:t>
      </w:r>
    </w:p>
    <w:p w14:paraId="0F951639"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 Без Дальневосточного и Забайкальского фронтов.</w:t>
      </w:r>
    </w:p>
    <w:p w14:paraId="6582458C"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Указанные сведения даны по донесениям фронтов и округов.</w:t>
      </w:r>
    </w:p>
    <w:p w14:paraId="51B2F894"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Сопоставление первых итогов (1390 и 20060) показывает, что в ходе войны численность наших танков современных образцов возросла в 14,4 раза.</w:t>
      </w:r>
    </w:p>
    <w:p w14:paraId="59F7351C"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Командующий БТ и МВ КА</w:t>
      </w:r>
    </w:p>
    <w:p w14:paraId="7BBD49DC"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 xml:space="preserve">маршал бронетанковых войск </w:t>
      </w:r>
      <w:r w:rsidRPr="00F90EAE">
        <w:rPr>
          <w:bCs/>
          <w:color w:val="000000" w:themeColor="text1"/>
          <w:sz w:val="16"/>
          <w:szCs w:val="16"/>
        </w:rPr>
        <w:t>Я. Федоренко</w:t>
      </w:r>
    </w:p>
    <w:p w14:paraId="27C78332"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color w:val="000000" w:themeColor="text1"/>
          <w:sz w:val="16"/>
          <w:szCs w:val="16"/>
        </w:rPr>
        <w:t>ЦАМО. Ф. 38. Оп. 11353. Д. 1448. Л. 55. Копия.</w:t>
      </w:r>
    </w:p>
    <w:p w14:paraId="2C00DBD3"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F90EAE">
        <w:rPr>
          <w:bCs/>
          <w:color w:val="000000" w:themeColor="text1"/>
          <w:sz w:val="16"/>
          <w:szCs w:val="16"/>
        </w:rPr>
        <w:t>Главное автобронетанковое управление. Люди, события, факты в документах. 1944-1945 гг. Кн. IV. М., 2007</w:t>
      </w:r>
      <w:r w:rsidRPr="00F90EAE">
        <w:rPr>
          <w:color w:val="000000" w:themeColor="text1"/>
          <w:sz w:val="16"/>
          <w:szCs w:val="16"/>
        </w:rPr>
        <w:t xml:space="preserve"> (18690)</w:t>
      </w:r>
      <w:r w:rsidRPr="00F90EAE">
        <w:rPr>
          <w:bCs/>
          <w:color w:val="000000" w:themeColor="text1"/>
          <w:sz w:val="16"/>
          <w:szCs w:val="16"/>
        </w:rPr>
        <w:t>.</w:t>
      </w:r>
    </w:p>
    <w:p w14:paraId="37FDEC25" w14:textId="77777777" w:rsidR="00B17B62" w:rsidRPr="00F90EAE" w:rsidRDefault="00B17B62" w:rsidP="00F90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p>
    <w:p w14:paraId="23590DA7"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июня 1945 советское правительство приняло постановление о переброске войск в Забайкалье и на Дальний Восток (4962).</w:t>
      </w:r>
    </w:p>
    <w:p w14:paraId="2A6D7AB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509770D" w14:textId="77777777" w:rsidR="00CC601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7290CE2" w14:textId="77777777" w:rsidR="00CC6018" w:rsidRPr="00F90EAE" w:rsidRDefault="00CC6018" w:rsidP="00F90EAE">
      <w:pPr>
        <w:autoSpaceDE w:val="0"/>
        <w:autoSpaceDN w:val="0"/>
        <w:adjustRightInd w:val="0"/>
        <w:jc w:val="both"/>
        <w:rPr>
          <w:iCs/>
          <w:color w:val="000000" w:themeColor="text1"/>
          <w:sz w:val="16"/>
          <w:szCs w:val="16"/>
        </w:rPr>
      </w:pPr>
    </w:p>
    <w:p w14:paraId="1CE007CE" w14:textId="77777777" w:rsidR="00CC6018" w:rsidRPr="00F90EAE" w:rsidRDefault="00CC6018" w:rsidP="00F90EAE">
      <w:pPr>
        <w:jc w:val="both"/>
        <w:rPr>
          <w:color w:val="000000" w:themeColor="text1"/>
          <w:sz w:val="16"/>
          <w:szCs w:val="16"/>
        </w:rPr>
      </w:pPr>
      <w:r w:rsidRPr="00F90EAE">
        <w:rPr>
          <w:bCs/>
          <w:color w:val="000000" w:themeColor="text1"/>
          <w:sz w:val="16"/>
          <w:szCs w:val="16"/>
        </w:rPr>
        <w:t>3 июня</w:t>
      </w:r>
      <w:r w:rsidRPr="00F90EAE">
        <w:rPr>
          <w:color w:val="000000" w:themeColor="text1"/>
          <w:sz w:val="16"/>
          <w:szCs w:val="16"/>
        </w:rPr>
        <w:t xml:space="preserve"> в 1945 году бывший премьер-министр Японии К.Хирота встретился с послом СССР в Японии Я.А.Маликом на предмет возможных переговоров о посредничестве СССР в заключении мира Японии с США и Великобританией, однако, эта попытка успеха не имела (14911).</w:t>
      </w:r>
    </w:p>
    <w:p w14:paraId="59982B2C" w14:textId="77777777" w:rsidR="00CC6018" w:rsidRPr="00F90EAE" w:rsidRDefault="00CC6018" w:rsidP="00F90EAE">
      <w:pPr>
        <w:jc w:val="both"/>
        <w:rPr>
          <w:color w:val="000000" w:themeColor="text1"/>
          <w:sz w:val="16"/>
          <w:szCs w:val="16"/>
        </w:rPr>
      </w:pPr>
    </w:p>
    <w:p w14:paraId="3DBD1FCF" w14:textId="77777777" w:rsidR="00CC6018" w:rsidRPr="00F90EAE" w:rsidRDefault="00CC6018" w:rsidP="00F90EAE">
      <w:pPr>
        <w:jc w:val="both"/>
        <w:rPr>
          <w:color w:val="000000" w:themeColor="text1"/>
          <w:sz w:val="16"/>
          <w:szCs w:val="16"/>
        </w:rPr>
      </w:pPr>
      <w:r w:rsidRPr="00F90EAE">
        <w:rPr>
          <w:bCs/>
          <w:color w:val="000000" w:themeColor="text1"/>
          <w:sz w:val="16"/>
          <w:szCs w:val="16"/>
        </w:rPr>
        <w:t>3 июня</w:t>
      </w:r>
      <w:r w:rsidRPr="00F90EAE">
        <w:rPr>
          <w:color w:val="000000" w:themeColor="text1"/>
          <w:sz w:val="16"/>
          <w:szCs w:val="16"/>
        </w:rPr>
        <w:t xml:space="preserve"> в 1945 году подписана «Декларация о поражении Германии и взятии на себя верховной власти в отношении Германии правительствами Советского Союза, Соединенного Королевства, Соединенных Штатов Америки и Временным правительством Французской Республики» (14911).</w:t>
      </w:r>
    </w:p>
    <w:p w14:paraId="1B7A2676" w14:textId="77777777" w:rsidR="00CC6018" w:rsidRPr="00F90EAE" w:rsidRDefault="00CC6018" w:rsidP="00F90EAE">
      <w:pPr>
        <w:jc w:val="both"/>
        <w:rPr>
          <w:color w:val="000000" w:themeColor="text1"/>
          <w:sz w:val="16"/>
          <w:szCs w:val="16"/>
        </w:rPr>
      </w:pPr>
    </w:p>
    <w:p w14:paraId="382243A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58B1047" w14:textId="77777777" w:rsidR="006103B3" w:rsidRPr="00F90EAE" w:rsidRDefault="006103B3" w:rsidP="00F90EAE">
      <w:pPr>
        <w:autoSpaceDE w:val="0"/>
        <w:autoSpaceDN w:val="0"/>
        <w:adjustRightInd w:val="0"/>
        <w:jc w:val="both"/>
        <w:rPr>
          <w:iCs/>
          <w:color w:val="000000" w:themeColor="text1"/>
          <w:sz w:val="16"/>
          <w:szCs w:val="16"/>
        </w:rPr>
      </w:pPr>
    </w:p>
    <w:p w14:paraId="12FC31C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 июня 1945 в Польше всем немцам, не занятым на восстановлении хозяйства, предписано немедленно покинуть страну (4962).</w:t>
      </w:r>
    </w:p>
    <w:p w14:paraId="700DC1A1"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FA92C16" w14:textId="77777777" w:rsidR="00B3672C" w:rsidRPr="00F90EAE" w:rsidRDefault="00B3672C" w:rsidP="00F90EAE">
      <w:pPr>
        <w:jc w:val="both"/>
        <w:rPr>
          <w:color w:val="0070C0"/>
          <w:sz w:val="16"/>
          <w:szCs w:val="16"/>
        </w:rPr>
      </w:pPr>
      <w:r w:rsidRPr="00F90EAE">
        <w:rPr>
          <w:color w:val="0070C0"/>
          <w:sz w:val="16"/>
          <w:szCs w:val="16"/>
        </w:rPr>
        <w:t>3–7 июня 1945 девятая атака Кикусуи у Окинавы, в которой участвуют только 50 камикадзе, не причиняет значительного ущерба (20371).</w:t>
      </w:r>
    </w:p>
    <w:p w14:paraId="280D1997" w14:textId="77777777" w:rsidR="00B3672C" w:rsidRPr="00F90EAE" w:rsidRDefault="00B3672C" w:rsidP="00F90EAE">
      <w:pPr>
        <w:jc w:val="both"/>
        <w:rPr>
          <w:color w:val="0070C0"/>
          <w:sz w:val="16"/>
          <w:szCs w:val="16"/>
        </w:rPr>
      </w:pPr>
    </w:p>
    <w:p w14:paraId="5ACA3BB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1B62C46A" w14:textId="77777777" w:rsidR="006103B3" w:rsidRPr="00F90EAE" w:rsidRDefault="006103B3" w:rsidP="00F90EAE">
      <w:pPr>
        <w:autoSpaceDE w:val="0"/>
        <w:autoSpaceDN w:val="0"/>
        <w:adjustRightInd w:val="0"/>
        <w:jc w:val="both"/>
        <w:rPr>
          <w:iCs/>
          <w:color w:val="000000" w:themeColor="text1"/>
          <w:sz w:val="16"/>
          <w:szCs w:val="16"/>
        </w:rPr>
      </w:pPr>
    </w:p>
    <w:p w14:paraId="3715C8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г командующим ВВС КА главным маршалом А.А.Новиковым был утвержден Акт по результатам государственных испытаний учебного штурмовика (7489).</w:t>
      </w:r>
    </w:p>
    <w:p w14:paraId="59BBFC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Предъявленный на госиспытания серийный УИл-10 (зав. № 106085) производства завода № 1 при полетном весе 5680 кг (вес пустого 4571 кг) показал максимальную скорость полета у земли 502 км/ч, на высоте 2500 м</w:t>
      </w:r>
    </w:p>
    <w:p w14:paraId="1BD953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- 560 км/ч. Время набора высоты 1000 м составило 1,5 мин, а высоты 3000 м</w:t>
      </w:r>
    </w:p>
    <w:p w14:paraId="7B7119A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- 4,8 мин. Длина разбега - 485 м, а пробега - 520 м. Посадочная скорость</w:t>
      </w:r>
    </w:p>
    <w:p w14:paraId="3CF29D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- 145 км/ч (7489).</w:t>
      </w:r>
    </w:p>
    <w:p w14:paraId="428E0C1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Основные отличия УИл-10 от боевого Ил-10 состояли в следующем: кабина стрелка была переоборудована в кабину летчика-инструктора, в которой было смонтировано второе управление самолетом, установлены приборная доска с указателем скорости, поворота, авиагоризонт, высотомер, компас. На самолете была снята бронепе-регородка между кабинами пилота и стрелка. Из вооружения были сняты пушки ВЯ-23, оборонительная установка ВУ-8 с пулеметом УБТ, держатель авиагранат АГ-2 и 2 балки РО. Изменена система механизма закрывания бомболюков (7489).</w:t>
      </w:r>
    </w:p>
    <w:p w14:paraId="5E723E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выводах отчета по испытаниям указывалось, что по технике пилотирования из первой кабины учебный штурмовик ничем не отличается от Ил-10, а из второй кабины - от УИл-2. Однако обзор (особенно на посадке) у УИл-10 был хуже, чем у Ил-10. Кроме того, вторая кабина не отвечала ТТТ на 1945 г.: "не удобно открывание и закрывание фонаря, нельзя открыть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w:t>
      </w:r>
    </w:p>
    <w:p w14:paraId="5FE4AD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акта указывалось:</w:t>
      </w:r>
    </w:p>
    <w:p w14:paraId="62E25D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"Учитывая большую потребность в УИл-10, считать необходимым их выпуск продолжать, потребовав внесения всех изменений и устранения всех недостатков, после чего предъявить самолет на повторные испытания в ГК НИИ ВВС КА." (7489).</w:t>
      </w:r>
    </w:p>
    <w:p w14:paraId="213367B1" w14:textId="77777777" w:rsidR="006103B3" w:rsidRPr="00F90EAE" w:rsidRDefault="006103B3" w:rsidP="00F90EAE">
      <w:pPr>
        <w:autoSpaceDE w:val="0"/>
        <w:autoSpaceDN w:val="0"/>
        <w:adjustRightInd w:val="0"/>
        <w:jc w:val="both"/>
        <w:rPr>
          <w:color w:val="000000" w:themeColor="text1"/>
          <w:sz w:val="16"/>
          <w:szCs w:val="16"/>
        </w:rPr>
      </w:pPr>
    </w:p>
    <w:p w14:paraId="4C1DBC14" w14:textId="77777777" w:rsidR="00CC6018" w:rsidRPr="00F90EAE" w:rsidRDefault="00CC6018" w:rsidP="00F90EAE">
      <w:pPr>
        <w:jc w:val="both"/>
        <w:rPr>
          <w:color w:val="000000" w:themeColor="text1"/>
          <w:sz w:val="16"/>
          <w:szCs w:val="16"/>
        </w:rPr>
      </w:pPr>
      <w:r w:rsidRPr="00F90EAE">
        <w:rPr>
          <w:bCs/>
          <w:color w:val="000000" w:themeColor="text1"/>
          <w:sz w:val="16"/>
          <w:szCs w:val="16"/>
        </w:rPr>
        <w:t>4 июня</w:t>
      </w:r>
      <w:r w:rsidRPr="00F90EAE">
        <w:rPr>
          <w:color w:val="000000" w:themeColor="text1"/>
          <w:sz w:val="16"/>
          <w:szCs w:val="16"/>
        </w:rPr>
        <w:t xml:space="preserve"> в 1945 году командующим ВВС КА главным маршалом А.А.Новиковым утвержден акт по результатам государственных испытаний учебного штурмовика </w:t>
      </w:r>
      <w:hyperlink r:id="rId136" w:tgtFrame="_blank" w:history="1">
        <w:r w:rsidRPr="00F90EAE">
          <w:rPr>
            <w:color w:val="000000" w:themeColor="text1"/>
            <w:sz w:val="16"/>
            <w:szCs w:val="16"/>
          </w:rPr>
          <w:t xml:space="preserve">«УИл-10». </w:t>
        </w:r>
      </w:hyperlink>
    </w:p>
    <w:p w14:paraId="2BC52FBF" w14:textId="77777777" w:rsidR="00CC6018" w:rsidRPr="00F90EAE" w:rsidRDefault="00CC6018" w:rsidP="00F90EAE">
      <w:pPr>
        <w:jc w:val="both"/>
        <w:rPr>
          <w:color w:val="000000" w:themeColor="text1"/>
          <w:sz w:val="16"/>
          <w:szCs w:val="16"/>
        </w:rPr>
      </w:pPr>
    </w:p>
    <w:p w14:paraId="46C57C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N 8920сс о проверке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 (1896,55).</w:t>
      </w:r>
    </w:p>
    <w:p w14:paraId="21375A8D" w14:textId="77777777" w:rsidR="006103B3" w:rsidRPr="00F90EAE" w:rsidRDefault="006103B3" w:rsidP="00F90EAE">
      <w:pPr>
        <w:autoSpaceDE w:val="0"/>
        <w:autoSpaceDN w:val="0"/>
        <w:adjustRightInd w:val="0"/>
        <w:jc w:val="both"/>
        <w:rPr>
          <w:color w:val="000000" w:themeColor="text1"/>
          <w:sz w:val="16"/>
          <w:szCs w:val="16"/>
        </w:rPr>
      </w:pPr>
    </w:p>
    <w:p w14:paraId="639989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8920 Об оборудовании самолета Ли-2 в самолет-тральщик. РГАНИР, Фонд ГКО, д. 425, лл. 2-3 (11012).</w:t>
      </w:r>
    </w:p>
    <w:p w14:paraId="144CED24" w14:textId="77777777" w:rsidR="006103B3" w:rsidRPr="00F90EAE" w:rsidRDefault="006103B3" w:rsidP="00F90EAE">
      <w:pPr>
        <w:autoSpaceDE w:val="0"/>
        <w:autoSpaceDN w:val="0"/>
        <w:adjustRightInd w:val="0"/>
        <w:jc w:val="both"/>
        <w:rPr>
          <w:color w:val="000000" w:themeColor="text1"/>
          <w:sz w:val="16"/>
          <w:szCs w:val="16"/>
        </w:rPr>
      </w:pPr>
    </w:p>
    <w:p w14:paraId="66323FB7" w14:textId="77777777" w:rsidR="000D0537" w:rsidRPr="00F90EAE" w:rsidRDefault="000D0537" w:rsidP="00F90EAE">
      <w:pPr>
        <w:jc w:val="both"/>
        <w:rPr>
          <w:color w:val="000000" w:themeColor="text1"/>
          <w:sz w:val="16"/>
          <w:szCs w:val="16"/>
        </w:rPr>
      </w:pPr>
      <w:r w:rsidRPr="00F90EAE">
        <w:rPr>
          <w:color w:val="000000" w:themeColor="text1"/>
          <w:sz w:val="16"/>
          <w:szCs w:val="16"/>
        </w:rPr>
        <w:t>4 июня 1945 вышло Постановление ГКО № 8920 Об оборудовании самолета Ли-2 в самолет-тральщик</w:t>
      </w:r>
    </w:p>
    <w:p w14:paraId="30C32DD1" w14:textId="77777777" w:rsidR="000D0537" w:rsidRPr="00F90EAE" w:rsidRDefault="000D053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целях проверки в условиях боевого использования возможности принятия на вооружение Военно-Морского Флота переоборудованного самолета Ли-2 в самолет-тральщик для траления магнитных к индукционных мин по проекту, разработанному главным конструктором завода № 456 Наркомавиапрома тов.Голубковнм, Государственный Комитет Обороны постановляет:</w:t>
      </w:r>
    </w:p>
    <w:p w14:paraId="4AC178B3" w14:textId="77777777" w:rsidR="000D0537" w:rsidRPr="00F90EAE" w:rsidRDefault="000D0537" w:rsidP="00F90EAE">
      <w:pPr>
        <w:pStyle w:val="27"/>
        <w:shd w:val="clear" w:color="auto" w:fill="auto"/>
        <w:tabs>
          <w:tab w:val="left" w:pos="895"/>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1. Обязать Наркомавиапром (т.Шахурина):</w:t>
      </w:r>
    </w:p>
    <w:p w14:paraId="7B4059B1" w14:textId="77777777" w:rsidR="000D0537" w:rsidRPr="00F90EAE" w:rsidRDefault="000D0537" w:rsidP="00F90EAE">
      <w:pPr>
        <w:pStyle w:val="27"/>
        <w:shd w:val="clear" w:color="auto" w:fill="auto"/>
        <w:tabs>
          <w:tab w:val="left" w:pos="935"/>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а) выделить в счет плана производства два самолета Ли-2 и поручить директору завода № 456 т.Еськову пере</w:t>
      </w:r>
      <w:r w:rsidRPr="00F90EAE">
        <w:rPr>
          <w:rFonts w:ascii="Times New Roman" w:cs="Times New Roman"/>
          <w:color w:val="000000" w:themeColor="text1"/>
          <w:spacing w:val="0"/>
        </w:rPr>
        <w:softHyphen/>
        <w:t>оборудовать их по проекту завода № 456 НКАП и НИИ-627 НКЭП в самолеты-тральщики магнитных мин со сроками пред"явления Наркомвоенморфлоту на летные испытания:</w:t>
      </w:r>
    </w:p>
    <w:p w14:paraId="6EBDE65D" w14:textId="77777777" w:rsidR="000D0537" w:rsidRPr="00F90EAE" w:rsidRDefault="000D0537" w:rsidP="00F90EAE">
      <w:pPr>
        <w:pStyle w:val="27"/>
        <w:shd w:val="clear" w:color="auto" w:fill="auto"/>
        <w:tabs>
          <w:tab w:val="left" w:pos="1128"/>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1го самолета - 1 октября 1945г.</w:t>
      </w:r>
    </w:p>
    <w:p w14:paraId="063B82C9" w14:textId="77777777" w:rsidR="000D0537" w:rsidRPr="00F90EAE" w:rsidRDefault="000D0537" w:rsidP="00F90EAE">
      <w:pPr>
        <w:pStyle w:val="27"/>
        <w:shd w:val="clear" w:color="auto" w:fill="auto"/>
        <w:tabs>
          <w:tab w:val="left" w:pos="1158"/>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2го самолета - 1 ноября 1945г.</w:t>
      </w:r>
    </w:p>
    <w:p w14:paraId="34151C62" w14:textId="77777777" w:rsidR="000D0537" w:rsidRPr="00F90EAE" w:rsidRDefault="000D0537" w:rsidP="00F90EAE">
      <w:pPr>
        <w:pStyle w:val="27"/>
        <w:shd w:val="clear" w:color="auto" w:fill="auto"/>
        <w:tabs>
          <w:tab w:val="left" w:pos="928"/>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б) поручить директору завода № 16 т.Лукину выделить три мотора МВ-6, изготовить соединительные муфты, при</w:t>
      </w:r>
      <w:r w:rsidRPr="00F90EAE">
        <w:rPr>
          <w:rFonts w:ascii="Times New Roman" w:cs="Times New Roman"/>
          <w:color w:val="000000" w:themeColor="text1"/>
          <w:spacing w:val="0"/>
        </w:rPr>
        <w:softHyphen/>
        <w:t>способить моторы к электрогенераторам ПСТ-3 и поста</w:t>
      </w:r>
      <w:r w:rsidRPr="00F90EAE">
        <w:rPr>
          <w:rFonts w:ascii="Times New Roman" w:cs="Times New Roman"/>
          <w:color w:val="000000" w:themeColor="text1"/>
          <w:spacing w:val="0"/>
        </w:rPr>
        <w:softHyphen/>
        <w:t>вить их эаводу № 456 к 15 июля 1945 года. Заводу № 456 закончить к 1 августа 1945г. установку мотор-гвнерато- ров на самолете Ли-2 для производства монтажа электро</w:t>
      </w:r>
      <w:r w:rsidRPr="00F90EAE">
        <w:rPr>
          <w:rFonts w:ascii="Times New Roman" w:cs="Times New Roman"/>
          <w:color w:val="000000" w:themeColor="text1"/>
          <w:spacing w:val="0"/>
        </w:rPr>
        <w:softHyphen/>
        <w:t>оборудования.</w:t>
      </w:r>
    </w:p>
    <w:p w14:paraId="28EE9A65" w14:textId="77777777" w:rsidR="000D0537" w:rsidRPr="00F90EAE" w:rsidRDefault="000D0537" w:rsidP="00F90EAE">
      <w:pPr>
        <w:pStyle w:val="27"/>
        <w:shd w:val="clear" w:color="auto" w:fill="auto"/>
        <w:tabs>
          <w:tab w:val="left" w:pos="925"/>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2. Обязать Наркомэлектропром (т.Кабанова):</w:t>
      </w:r>
    </w:p>
    <w:p w14:paraId="64A5D068" w14:textId="77777777" w:rsidR="000D0537" w:rsidRPr="00F90EAE" w:rsidRDefault="000D0537" w:rsidP="00F90EAE">
      <w:pPr>
        <w:pStyle w:val="27"/>
        <w:framePr w:h="259" w:wrap="around" w:hAnchor="margin" w:x="-1714" w:y="3451"/>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lang w:val="en-US"/>
        </w:rPr>
        <w:t>It</w:t>
      </w:r>
    </w:p>
    <w:p w14:paraId="48391D11" w14:textId="77777777" w:rsidR="000D0537" w:rsidRPr="00F90EAE" w:rsidRDefault="000D0537" w:rsidP="00F90EAE">
      <w:pPr>
        <w:jc w:val="both"/>
        <w:rPr>
          <w:color w:val="000000" w:themeColor="text1"/>
          <w:sz w:val="16"/>
          <w:szCs w:val="16"/>
        </w:rPr>
      </w:pPr>
      <w:r w:rsidRPr="00F90EAE">
        <w:rPr>
          <w:color w:val="000000" w:themeColor="text1"/>
          <w:sz w:val="16"/>
          <w:szCs w:val="16"/>
        </w:rPr>
        <w:lastRenderedPageBreak/>
        <w:t>а) изготовить и подать заводу № 456 НКАП к 15 июля 1945г. 10000 метров алюминиевого кабеля в облег</w:t>
      </w:r>
      <w:r w:rsidRPr="00F90EAE">
        <w:rPr>
          <w:color w:val="000000" w:themeColor="text1"/>
          <w:sz w:val="16"/>
          <w:szCs w:val="16"/>
        </w:rPr>
        <w:softHyphen/>
        <w:t>ченной изоляции по фондам Госплана на Ш квартал 1945г</w:t>
      </w:r>
    </w:p>
    <w:p w14:paraId="521CF59C" w14:textId="77777777" w:rsidR="000D0537" w:rsidRPr="00F90EAE" w:rsidRDefault="000D0537"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б) поручить НИИ-627 произвести к 1 сентября 1945г. монтаж всего электрооборудования на двух самолетах-траль</w:t>
      </w:r>
      <w:r w:rsidRPr="00F90EAE">
        <w:rPr>
          <w:rFonts w:ascii="Times New Roman" w:cs="Times New Roman"/>
          <w:color w:val="000000" w:themeColor="text1"/>
          <w:spacing w:val="0"/>
        </w:rPr>
        <w:softHyphen/>
        <w:t>щиках Ли-2 и изготовить в январе 1946г. опытный образец облегченного генератора мощностью 150-200 квт по тех</w:t>
      </w:r>
      <w:r w:rsidRPr="00F90EAE">
        <w:rPr>
          <w:rFonts w:ascii="Times New Roman" w:cs="Times New Roman"/>
          <w:color w:val="000000" w:themeColor="text1"/>
          <w:spacing w:val="0"/>
        </w:rPr>
        <w:softHyphen/>
        <w:t>ническим требованиям Наркомвоенморфлота.</w:t>
      </w:r>
    </w:p>
    <w:p w14:paraId="3C0732BF" w14:textId="77777777" w:rsidR="000D0537" w:rsidRPr="00F90EAE" w:rsidRDefault="000D0537" w:rsidP="00F90EAE">
      <w:pPr>
        <w:pStyle w:val="27"/>
        <w:shd w:val="clear" w:color="auto" w:fill="auto"/>
        <w:tabs>
          <w:tab w:val="left" w:pos="770"/>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3. Обявать Наркомвоенморфлот (т.Кузнецова) провести до 1 декабря 1945г- летные испытания самолета-тральщика Ли-2 и представить в ГОКО свое заключение о целесообраз</w:t>
      </w:r>
      <w:r w:rsidRPr="00F90EAE">
        <w:rPr>
          <w:rFonts w:ascii="Times New Roman" w:cs="Times New Roman"/>
          <w:color w:val="000000" w:themeColor="text1"/>
          <w:spacing w:val="0"/>
        </w:rPr>
        <w:softHyphen/>
        <w:t>ности принятия на ворружение Военно-Морского Флота ука</w:t>
      </w:r>
      <w:r w:rsidRPr="00F90EAE">
        <w:rPr>
          <w:rFonts w:ascii="Times New Roman" w:cs="Times New Roman"/>
          <w:color w:val="000000" w:themeColor="text1"/>
          <w:spacing w:val="0"/>
        </w:rPr>
        <w:softHyphen/>
        <w:t>занного самолета-тралыщик а также свои соображения о серийном производстве зтого- типа самолета.</w:t>
      </w:r>
    </w:p>
    <w:p w14:paraId="7B329164" w14:textId="77777777" w:rsidR="000D0537" w:rsidRPr="00F90EAE" w:rsidRDefault="000D0537" w:rsidP="00F90EAE">
      <w:pPr>
        <w:pStyle w:val="27"/>
        <w:shd w:val="clear" w:color="auto" w:fill="auto"/>
        <w:tabs>
          <w:tab w:val="left" w:pos="758"/>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4. Обяэать Академию наук СССР (Физический институт) разработать по</w:t>
      </w:r>
      <w:r w:rsidRPr="00F90EAE">
        <w:rPr>
          <w:rStyle w:val="FranklinGothicBook85pt0pt"/>
          <w:rFonts w:ascii="Times New Roman" w:hAnsi="Times New Roman" w:cs="Times New Roman"/>
          <w:b w:val="0"/>
          <w:color w:val="000000" w:themeColor="text1"/>
          <w:spacing w:val="0"/>
          <w:sz w:val="16"/>
          <w:szCs w:val="16"/>
        </w:rPr>
        <w:t xml:space="preserve"> заданию</w:t>
      </w:r>
      <w:r w:rsidRPr="00F90EAE">
        <w:rPr>
          <w:rFonts w:ascii="Times New Roman" w:cs="Times New Roman"/>
          <w:color w:val="000000" w:themeColor="text1"/>
          <w:spacing w:val="0"/>
        </w:rPr>
        <w:t xml:space="preserve"> Наркомвоенморфлота и изготовить опытный образец устройства для траления с самолетов акустических и комбинированных магнитно-акустических мин,</w:t>
      </w:r>
    </w:p>
    <w:p w14:paraId="5E009885" w14:textId="77777777" w:rsidR="000D0537" w:rsidRPr="00F90EAE" w:rsidRDefault="000D0537" w:rsidP="00F90EAE">
      <w:pPr>
        <w:pStyle w:val="27"/>
        <w:shd w:val="clear" w:color="auto" w:fill="auto"/>
        <w:tabs>
          <w:tab w:val="left" w:pos="770"/>
        </w:tabs>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5. Обяэать Наркомфин СССР (т.Зверева) выделить из резервного фонда Совнаркома СССР для проведения указан</w:t>
      </w:r>
      <w:r w:rsidRPr="00F90EAE">
        <w:rPr>
          <w:rFonts w:ascii="Times New Roman" w:cs="Times New Roman"/>
          <w:color w:val="000000" w:themeColor="text1"/>
          <w:spacing w:val="0"/>
        </w:rPr>
        <w:softHyphen/>
        <w:t>ных выше работ: Наркомавиапрому 2000 тыс.рублей, Наркомэлектропрому 700 тыс.рублей, Академии наук 200 тыс.руб</w:t>
      </w:r>
      <w:r w:rsidRPr="00F90EAE">
        <w:rPr>
          <w:rFonts w:ascii="Times New Roman" w:cs="Times New Roman"/>
          <w:color w:val="000000" w:themeColor="text1"/>
          <w:spacing w:val="0"/>
        </w:rPr>
        <w:softHyphen/>
        <w:t>лей, в том числе для премирования работников НКАП 200 тыс,руьле, НКЭП 70 тыс.рублей</w:t>
      </w:r>
      <w:r w:rsidRPr="00F90EAE">
        <w:rPr>
          <w:rStyle w:val="FranklinGothicBook85pt"/>
          <w:rFonts w:ascii="Times New Roman" w:hAnsi="Times New Roman" w:cs="Times New Roman"/>
          <w:b w:val="0"/>
          <w:color w:val="000000" w:themeColor="text1"/>
          <w:sz w:val="16"/>
          <w:szCs w:val="16"/>
        </w:rPr>
        <w:t xml:space="preserve"> за</w:t>
      </w:r>
      <w:r w:rsidRPr="00F90EAE">
        <w:rPr>
          <w:rFonts w:ascii="Times New Roman" w:cs="Times New Roman"/>
          <w:color w:val="000000" w:themeColor="text1"/>
          <w:spacing w:val="0"/>
        </w:rPr>
        <w:t xml:space="preserve"> своевременное и качественное выполненее настоящего</w:t>
      </w:r>
      <w:r w:rsidRPr="00F90EAE">
        <w:rPr>
          <w:rStyle w:val="FranklinGothicBook85pt"/>
          <w:rFonts w:ascii="Times New Roman" w:hAnsi="Times New Roman" w:cs="Times New Roman"/>
          <w:b w:val="0"/>
          <w:color w:val="000000" w:themeColor="text1"/>
          <w:sz w:val="16"/>
          <w:szCs w:val="16"/>
        </w:rPr>
        <w:t xml:space="preserve"> задания </w:t>
      </w:r>
      <w:r w:rsidRPr="00F90EAE">
        <w:rPr>
          <w:rFonts w:ascii="Times New Roman" w:cs="Times New Roman"/>
          <w:color w:val="000000" w:themeColor="text1"/>
          <w:spacing w:val="0"/>
        </w:rPr>
        <w:t>(19519).</w:t>
      </w:r>
    </w:p>
    <w:p w14:paraId="57E8156F" w14:textId="77777777" w:rsidR="000D0537" w:rsidRPr="00F90EAE" w:rsidRDefault="000D0537" w:rsidP="00F90EAE">
      <w:pPr>
        <w:autoSpaceDE w:val="0"/>
        <w:autoSpaceDN w:val="0"/>
        <w:adjustRightInd w:val="0"/>
        <w:jc w:val="both"/>
        <w:rPr>
          <w:color w:val="000000" w:themeColor="text1"/>
          <w:sz w:val="16"/>
          <w:szCs w:val="16"/>
        </w:rPr>
      </w:pPr>
    </w:p>
    <w:p w14:paraId="7D8B2B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был подписан:</w:t>
      </w:r>
    </w:p>
    <w:p w14:paraId="5F0FAD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Секретно</w:t>
      </w:r>
    </w:p>
    <w:p w14:paraId="777576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Акт №94 по результатам государственных испытаний трофейного модифицированного самолета ФВ-190 Д-9 с мотором жидкостного охлаждения ЮМО-213А и винтом УS'-111 от 4.06.45 г. с утверждением п.п. командующего ВВС Красной Армии главного маршала авиации Новикова и капитана АТС Коломинова (8996).</w:t>
      </w:r>
    </w:p>
    <w:p w14:paraId="703E5404" w14:textId="77777777" w:rsidR="006103B3" w:rsidRPr="00F90EAE" w:rsidRDefault="006103B3" w:rsidP="00F90EAE">
      <w:pPr>
        <w:autoSpaceDE w:val="0"/>
        <w:autoSpaceDN w:val="0"/>
        <w:adjustRightInd w:val="0"/>
        <w:jc w:val="both"/>
        <w:rPr>
          <w:color w:val="000000" w:themeColor="text1"/>
          <w:sz w:val="16"/>
          <w:szCs w:val="16"/>
        </w:rPr>
      </w:pPr>
    </w:p>
    <w:p w14:paraId="222A1D5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4B5084C" w14:textId="77777777" w:rsidR="006103B3" w:rsidRPr="00F90EAE" w:rsidRDefault="006103B3" w:rsidP="00F90EAE">
      <w:pPr>
        <w:autoSpaceDE w:val="0"/>
        <w:autoSpaceDN w:val="0"/>
        <w:adjustRightInd w:val="0"/>
        <w:jc w:val="both"/>
        <w:rPr>
          <w:iCs/>
          <w:color w:val="000000" w:themeColor="text1"/>
          <w:sz w:val="16"/>
          <w:szCs w:val="16"/>
        </w:rPr>
      </w:pPr>
    </w:p>
    <w:p w14:paraId="700C1616" w14:textId="77777777" w:rsidR="00BB4FEE" w:rsidRPr="00F90EAE" w:rsidRDefault="00BB4FEE" w:rsidP="00F90EAE">
      <w:pPr>
        <w:pStyle w:val="ae"/>
        <w:shd w:val="clear" w:color="auto" w:fill="FFFFFF"/>
        <w:spacing w:before="0" w:after="0"/>
        <w:jc w:val="both"/>
        <w:rPr>
          <w:color w:val="000000" w:themeColor="text1"/>
          <w:sz w:val="16"/>
          <w:szCs w:val="16"/>
        </w:rPr>
      </w:pPr>
      <w:r w:rsidRPr="00F90EAE">
        <w:rPr>
          <w:color w:val="000000" w:themeColor="text1"/>
          <w:sz w:val="16"/>
          <w:szCs w:val="16"/>
        </w:rPr>
        <w:t xml:space="preserve">4 июня 1945 года в ГБТУ КА пришла информация о найденном неподалеку от Цоссена опытном образце немецкого </w:t>
      </w:r>
      <w:hyperlink r:id="rId137" w:history="1">
        <w:r w:rsidRPr="00F90EAE">
          <w:rPr>
            <w:rStyle w:val="a5"/>
            <w:color w:val="000000" w:themeColor="text1"/>
            <w:sz w:val="16"/>
            <w:szCs w:val="16"/>
          </w:rPr>
          <w:t>сверхтяжелого танка Pz.Kpfw. Maus</w:t>
        </w:r>
      </w:hyperlink>
      <w:r w:rsidRPr="00F90EAE">
        <w:rPr>
          <w:color w:val="000000" w:themeColor="text1"/>
          <w:sz w:val="16"/>
          <w:szCs w:val="16"/>
        </w:rPr>
        <w:t>. Еще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тяжелых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1AB838F7" w14:textId="77777777" w:rsidR="00BB4FEE" w:rsidRPr="00F90EAE" w:rsidRDefault="00BB4FEE" w:rsidP="00F90EAE">
      <w:pPr>
        <w:pStyle w:val="ae"/>
        <w:shd w:val="clear" w:color="auto" w:fill="FFFFFF"/>
        <w:spacing w:before="0" w:after="0"/>
        <w:jc w:val="both"/>
        <w:rPr>
          <w:color w:val="000000" w:themeColor="text1"/>
          <w:sz w:val="16"/>
          <w:szCs w:val="16"/>
        </w:rPr>
      </w:pPr>
      <w:r w:rsidRPr="00F90EAE">
        <w:rPr>
          <w:color w:val="000000" w:themeColor="text1"/>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ее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(17209).</w:t>
      </w:r>
    </w:p>
    <w:p w14:paraId="286E0FA8" w14:textId="77777777" w:rsidR="00BB4FEE" w:rsidRPr="00F90EAE" w:rsidRDefault="00BB4FEE" w:rsidP="00F90EAE">
      <w:pPr>
        <w:pStyle w:val="ae"/>
        <w:shd w:val="clear" w:color="auto" w:fill="FFFFFF"/>
        <w:spacing w:before="0" w:after="0"/>
        <w:jc w:val="both"/>
        <w:rPr>
          <w:color w:val="000000" w:themeColor="text1"/>
          <w:sz w:val="16"/>
          <w:szCs w:val="16"/>
        </w:rPr>
      </w:pPr>
    </w:p>
    <w:p w14:paraId="215B75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июня 1945 г. была подготовлена ВЕДОМОСТЬ ПРЕДНАЗНАЧЕНИЯ ЦЕНТРАЛЬНЫХ АВТОРЕМОНТНЫХ ЗАВОДОВ КРАСНОЙ АРМИИ №1352883</w:t>
      </w:r>
    </w:p>
    <w:tbl>
      <w:tblPr>
        <w:tblW w:w="0" w:type="auto"/>
        <w:tblInd w:w="40" w:type="dxa"/>
        <w:tblLayout w:type="fixed"/>
        <w:tblCellMar>
          <w:left w:w="40" w:type="dxa"/>
          <w:right w:w="40" w:type="dxa"/>
        </w:tblCellMar>
        <w:tblLook w:val="0000" w:firstRow="0" w:lastRow="0" w:firstColumn="0" w:lastColumn="0" w:noHBand="0" w:noVBand="0"/>
      </w:tblPr>
      <w:tblGrid>
        <w:gridCol w:w="480"/>
        <w:gridCol w:w="4032"/>
        <w:gridCol w:w="902"/>
        <w:gridCol w:w="1085"/>
        <w:gridCol w:w="3149"/>
      </w:tblGrid>
      <w:tr w:rsidR="00561F31" w:rsidRPr="00F90EAE" w14:paraId="123DE48F"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4CAA19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п/п</w:t>
            </w:r>
          </w:p>
          <w:p w14:paraId="34ADD0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B3218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Наименование заводов</w:t>
            </w:r>
          </w:p>
          <w:p w14:paraId="1BD686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FF315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штата</w:t>
            </w:r>
          </w:p>
          <w:p w14:paraId="7B86D5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B16F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Какого подчи</w:t>
            </w:r>
            <w:r w:rsidRPr="00F90EAE">
              <w:rPr>
                <w:color w:val="000000" w:themeColor="text1"/>
                <w:sz w:val="16"/>
                <w:szCs w:val="16"/>
              </w:rPr>
              <w:softHyphen/>
              <w:t>нения</w:t>
            </w:r>
          </w:p>
          <w:p w14:paraId="781104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E5CC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Предложение по дальнейшему использованию</w:t>
            </w:r>
          </w:p>
          <w:p w14:paraId="6DE556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4C9F87E"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6B760F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w:t>
            </w:r>
          </w:p>
          <w:p w14:paraId="2B3D7B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0AEAA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Автомобильный ремонтный завод №10 в Харькове</w:t>
            </w:r>
          </w:p>
          <w:p w14:paraId="77D1F5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B2200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032/43А</w:t>
            </w:r>
          </w:p>
          <w:p w14:paraId="68838A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96828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4BD493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532F6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по существующему штату</w:t>
            </w:r>
          </w:p>
          <w:p w14:paraId="7F358F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7C27B2F" w14:textId="77777777">
        <w:trPr>
          <w:trHeight w:val="240"/>
        </w:trPr>
        <w:tc>
          <w:tcPr>
            <w:tcW w:w="480" w:type="dxa"/>
            <w:tcBorders>
              <w:top w:val="single" w:sz="6" w:space="0" w:color="auto"/>
              <w:left w:val="single" w:sz="6" w:space="0" w:color="auto"/>
              <w:bottom w:val="single" w:sz="6" w:space="0" w:color="auto"/>
              <w:right w:val="single" w:sz="6" w:space="0" w:color="auto"/>
            </w:tcBorders>
          </w:tcPr>
          <w:p w14:paraId="134ED0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51A604E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91610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Автомобильный ремонтный завод №1 1 в Киеве</w:t>
            </w:r>
          </w:p>
          <w:p w14:paraId="0E847D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BD196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032/43А</w:t>
            </w:r>
          </w:p>
          <w:p w14:paraId="0278B5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BC83C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7BC1F7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B3B815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Передать в народное хозяйство</w:t>
            </w:r>
          </w:p>
          <w:p w14:paraId="14DD45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7B9D614"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4AFC73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51EF41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62A894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Центральный авторемонтный завод НКО №26 во Львове</w:t>
            </w:r>
          </w:p>
          <w:p w14:paraId="785A37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82276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032/31</w:t>
            </w:r>
          </w:p>
          <w:p w14:paraId="1D185A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A65B7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3B3F7A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D4D8D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с переводом на штат №032/43Ак1.01.1945 г.</w:t>
            </w:r>
          </w:p>
          <w:p w14:paraId="7342E0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97E2073"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5F569B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18A7B0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741F99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Авторемонтный завод №38 в Москве</w:t>
            </w:r>
          </w:p>
          <w:p w14:paraId="7B4054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E7605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032/32</w:t>
            </w:r>
          </w:p>
          <w:p w14:paraId="606867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047A3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77606C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92DC1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с переводом на штат №032/43Ак1.01.1945 г.</w:t>
            </w:r>
          </w:p>
          <w:p w14:paraId="7B676A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F9F6DF2"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06AFBC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1EDFB4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70FD9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Центральный авторемонтный завод НКО №39 в Москве</w:t>
            </w:r>
          </w:p>
          <w:p w14:paraId="06260A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678C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032/41</w:t>
            </w:r>
          </w:p>
          <w:p w14:paraId="2B8B2B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51733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360DBA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47A6B5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с переводом на штат №032/43Ак1.01.1945 г.</w:t>
            </w:r>
          </w:p>
          <w:p w14:paraId="619FEE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0445C27"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3249AC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4F5F8E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1FD834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Центральный авторемонтный завод НКО №44 в Доктау (Вост. Пруссия)</w:t>
            </w:r>
          </w:p>
          <w:p w14:paraId="446F68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138A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032/31</w:t>
            </w:r>
          </w:p>
          <w:p w14:paraId="65AB07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D59DB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2B3F87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3F3FC6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Передать в народное хозяйство</w:t>
            </w:r>
          </w:p>
          <w:p w14:paraId="0CAFD3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2248DF7" w14:textId="77777777">
        <w:trPr>
          <w:trHeight w:val="403"/>
        </w:trPr>
        <w:tc>
          <w:tcPr>
            <w:tcW w:w="480" w:type="dxa"/>
            <w:tcBorders>
              <w:top w:val="single" w:sz="6" w:space="0" w:color="auto"/>
              <w:left w:val="single" w:sz="6" w:space="0" w:color="auto"/>
              <w:bottom w:val="single" w:sz="6" w:space="0" w:color="auto"/>
              <w:right w:val="single" w:sz="6" w:space="0" w:color="auto"/>
            </w:tcBorders>
          </w:tcPr>
          <w:p w14:paraId="69902D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5B4048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4C37B12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Центральный авторемонтный завод НКО №45 в Виннице</w:t>
            </w:r>
          </w:p>
          <w:p w14:paraId="0F941C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022CDE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032/41</w:t>
            </w:r>
          </w:p>
          <w:p w14:paraId="1242DF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A9577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431022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5CFC86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с переводом на штат №032/43Ак1.01.1946 г.</w:t>
            </w:r>
          </w:p>
          <w:p w14:paraId="5EC54C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3D80BC3" w14:textId="77777777">
        <w:trPr>
          <w:trHeight w:val="230"/>
        </w:trPr>
        <w:tc>
          <w:tcPr>
            <w:tcW w:w="480" w:type="dxa"/>
            <w:tcBorders>
              <w:top w:val="single" w:sz="6" w:space="0" w:color="auto"/>
              <w:left w:val="single" w:sz="6" w:space="0" w:color="auto"/>
              <w:bottom w:val="single" w:sz="6" w:space="0" w:color="auto"/>
              <w:right w:val="single" w:sz="6" w:space="0" w:color="auto"/>
            </w:tcBorders>
          </w:tcPr>
          <w:p w14:paraId="5F6718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w:t>
            </w:r>
          </w:p>
          <w:p w14:paraId="1118EDD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046A29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Автомобильный ремонтный завод №51 в Днепропетровске</w:t>
            </w:r>
          </w:p>
          <w:p w14:paraId="77B7A0E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AA4FC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032/43А</w:t>
            </w:r>
          </w:p>
          <w:p w14:paraId="0664D2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4E03FC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09FB5B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0AF536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по существующему штату</w:t>
            </w:r>
          </w:p>
          <w:p w14:paraId="7C2573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CA128B0" w14:textId="77777777">
        <w:trPr>
          <w:trHeight w:val="413"/>
        </w:trPr>
        <w:tc>
          <w:tcPr>
            <w:tcW w:w="480" w:type="dxa"/>
            <w:tcBorders>
              <w:top w:val="single" w:sz="6" w:space="0" w:color="auto"/>
              <w:left w:val="single" w:sz="6" w:space="0" w:color="auto"/>
              <w:bottom w:val="single" w:sz="6" w:space="0" w:color="auto"/>
              <w:right w:val="single" w:sz="6" w:space="0" w:color="auto"/>
            </w:tcBorders>
          </w:tcPr>
          <w:p w14:paraId="524809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w:t>
            </w:r>
          </w:p>
          <w:p w14:paraId="30A49FD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369538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Центральный авторемонтный завод НКО №1 12 в Москве</w:t>
            </w:r>
          </w:p>
          <w:p w14:paraId="159DAE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D2CE3E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032/91</w:t>
            </w:r>
          </w:p>
          <w:p w14:paraId="1E2FE1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DF11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61B15EF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6C95C0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 в ГАВТУ КА с переводом на штат №032/43Ак1.01.1946 г.</w:t>
            </w:r>
          </w:p>
          <w:p w14:paraId="480E03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74BDFC2" w14:textId="77777777">
        <w:trPr>
          <w:trHeight w:val="422"/>
        </w:trPr>
        <w:tc>
          <w:tcPr>
            <w:tcW w:w="480" w:type="dxa"/>
            <w:tcBorders>
              <w:top w:val="single" w:sz="6" w:space="0" w:color="auto"/>
              <w:left w:val="single" w:sz="6" w:space="0" w:color="auto"/>
              <w:bottom w:val="single" w:sz="6" w:space="0" w:color="auto"/>
              <w:right w:val="single" w:sz="6" w:space="0" w:color="auto"/>
            </w:tcBorders>
          </w:tcPr>
          <w:p w14:paraId="2DA2DC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p w14:paraId="5C0432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032" w:type="dxa"/>
            <w:tcBorders>
              <w:top w:val="single" w:sz="6" w:space="0" w:color="auto"/>
              <w:left w:val="single" w:sz="6" w:space="0" w:color="auto"/>
              <w:bottom w:val="single" w:sz="6" w:space="0" w:color="auto"/>
              <w:right w:val="single" w:sz="6" w:space="0" w:color="auto"/>
            </w:tcBorders>
          </w:tcPr>
          <w:p w14:paraId="27FFC3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Полевой автомобильно-агрегатный ремонтный завод НКО №1 14 1 -и Белорусский фронт</w:t>
            </w:r>
          </w:p>
          <w:p w14:paraId="19F936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9CF6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032/91</w:t>
            </w:r>
          </w:p>
          <w:p w14:paraId="089A5D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4F91C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ГАВТУКА</w:t>
            </w:r>
          </w:p>
          <w:p w14:paraId="03D0AE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3149" w:type="dxa"/>
            <w:tcBorders>
              <w:top w:val="single" w:sz="6" w:space="0" w:color="auto"/>
              <w:left w:val="single" w:sz="6" w:space="0" w:color="auto"/>
              <w:bottom w:val="single" w:sz="6" w:space="0" w:color="auto"/>
              <w:right w:val="single" w:sz="6" w:space="0" w:color="auto"/>
            </w:tcBorders>
          </w:tcPr>
          <w:p w14:paraId="77CF63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Оставить</w:t>
            </w:r>
          </w:p>
          <w:p w14:paraId="6A1D0B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bl>
    <w:p w14:paraId="34D418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ГАВТУ КА генерал-лейтенант технических войск Тягунов</w:t>
      </w:r>
    </w:p>
    <w:p w14:paraId="47AF61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41. Оп. 11584. Д. 584. Л. 3. Копия (11420).</w:t>
      </w:r>
    </w:p>
    <w:p w14:paraId="2E40AEE2" w14:textId="77777777" w:rsidR="006103B3" w:rsidRPr="00F90EAE" w:rsidRDefault="006103B3" w:rsidP="00F90EAE">
      <w:pPr>
        <w:autoSpaceDE w:val="0"/>
        <w:autoSpaceDN w:val="0"/>
        <w:adjustRightInd w:val="0"/>
        <w:jc w:val="both"/>
        <w:rPr>
          <w:color w:val="000000" w:themeColor="text1"/>
          <w:sz w:val="16"/>
          <w:szCs w:val="16"/>
        </w:rPr>
      </w:pPr>
    </w:p>
    <w:p w14:paraId="0281EE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июня 1945 советскими войсками в Германии были найдены два сверхтяжелых немецких танка.</w:t>
      </w:r>
    </w:p>
    <w:p w14:paraId="4DAEC6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45126F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6F3962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077E69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декабря 1944 года оба танка были доставлены на танковый полигон для испытаний, отку</w:t>
      </w:r>
      <w:r w:rsidRPr="00F90EAE">
        <w:rPr>
          <w:color w:val="000000" w:themeColor="text1"/>
          <w:sz w:val="16"/>
          <w:szCs w:val="16"/>
        </w:rPr>
        <w:softHyphen/>
        <w:t>да один (вооруженный) образец в марте с.г. был своим ходом доставлен в Штамлагер.</w:t>
      </w:r>
    </w:p>
    <w:p w14:paraId="179FD2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2725. Л. 15. Копия (11420).</w:t>
      </w:r>
    </w:p>
    <w:p w14:paraId="695FC493" w14:textId="77777777" w:rsidR="006103B3" w:rsidRPr="00F90EAE" w:rsidRDefault="006103B3" w:rsidP="00F90EAE">
      <w:pPr>
        <w:autoSpaceDE w:val="0"/>
        <w:autoSpaceDN w:val="0"/>
        <w:adjustRightInd w:val="0"/>
        <w:jc w:val="both"/>
        <w:rPr>
          <w:color w:val="000000" w:themeColor="text1"/>
          <w:sz w:val="16"/>
          <w:szCs w:val="16"/>
        </w:rPr>
      </w:pPr>
    </w:p>
    <w:p w14:paraId="1A0518B1" w14:textId="77777777" w:rsidR="002365D7" w:rsidRPr="00F90EAE" w:rsidRDefault="002365D7" w:rsidP="00F90EAE">
      <w:pPr>
        <w:shd w:val="clear" w:color="auto" w:fill="FFFFFF"/>
        <w:jc w:val="both"/>
        <w:rPr>
          <w:color w:val="000000" w:themeColor="text1"/>
          <w:sz w:val="16"/>
          <w:szCs w:val="16"/>
        </w:rPr>
      </w:pPr>
      <w:r w:rsidRPr="00F90EAE">
        <w:rPr>
          <w:color w:val="000000" w:themeColor="text1"/>
          <w:sz w:val="16"/>
          <w:szCs w:val="16"/>
        </w:rPr>
        <w:t xml:space="preserve">4 июня 1945 года в ГБТУ КА пришла информация о найденном неподалёку от Цоссена опытном образце немецкого </w:t>
      </w:r>
      <w:hyperlink r:id="rId138" w:history="1">
        <w:r w:rsidRPr="00F90EAE">
          <w:rPr>
            <w:color w:val="000000" w:themeColor="text1"/>
            <w:sz w:val="16"/>
            <w:szCs w:val="16"/>
          </w:rPr>
          <w:t>сверхтяжёлого танка Pz.Kpfw. Maus</w:t>
        </w:r>
      </w:hyperlink>
      <w:r w:rsidRPr="00F90EAE">
        <w:rPr>
          <w:color w:val="000000" w:themeColor="text1"/>
          <w:sz w:val="16"/>
          <w:szCs w:val="16"/>
        </w:rPr>
        <w:t>. Ещё одна такая машина обнаружилась на полигоне Куммерсдорф. Также в Австрии был захвачен вполне исправный образец немецкого истребителя танков Jagdtiger. Стало ясно, что предполагавшаяся защита Объекта 257 от 122-мм пушки БЛ-13 с лобовой части уже недостаточна. Теперь в качестве орудия, от которого должна была защищать броня перспективных тяжёлых танков, выступали 12,8 cm Pak 44 и KwK 44, которые ставились, соответственно, в Jagdtiger и Pz.Kpfw. Maus. Это означало, что боевую массу танка придется увеличивать.</w:t>
      </w:r>
    </w:p>
    <w:p w14:paraId="5090F73F" w14:textId="77777777" w:rsidR="002365D7" w:rsidRPr="00F90EAE" w:rsidRDefault="002365D7" w:rsidP="00F90EAE">
      <w:pPr>
        <w:shd w:val="clear" w:color="auto" w:fill="FFFFFF"/>
        <w:jc w:val="both"/>
        <w:rPr>
          <w:color w:val="000000" w:themeColor="text1"/>
          <w:sz w:val="16"/>
          <w:szCs w:val="16"/>
        </w:rPr>
      </w:pPr>
      <w:r w:rsidRPr="00F90EAE">
        <w:rPr>
          <w:color w:val="000000" w:themeColor="text1"/>
          <w:sz w:val="16"/>
          <w:szCs w:val="16"/>
        </w:rPr>
        <w:t>Одновременно пришлось пересматривать и вооружение. Дело в том, что для БЛ-13 броня обнаруженных немецких боевых машин являлась предельной. Пробить её она могла разве что в упор. Таким образом, нужна была замена, которая быстро нашлась. Ею стала 130-мм пушка С-26, которую спроектировал коллектив ЦАКБ под руководством В. Г. Грабина. Но теперь появилась новая проблема, которая заключалась в том, что существующая башня Объекта 257 по внутренним габаритам для новой пушки не подходила (16735).</w:t>
      </w:r>
    </w:p>
    <w:p w14:paraId="646A0786" w14:textId="77777777" w:rsidR="002365D7" w:rsidRPr="00F90EAE" w:rsidRDefault="002365D7" w:rsidP="00F90EAE">
      <w:pPr>
        <w:jc w:val="both"/>
        <w:rPr>
          <w:rStyle w:val="107"/>
          <w:rFonts w:eastAsiaTheme="minorHAnsi"/>
          <w:color w:val="000000" w:themeColor="text1"/>
          <w:sz w:val="16"/>
          <w:szCs w:val="16"/>
        </w:rPr>
      </w:pPr>
    </w:p>
    <w:p w14:paraId="52AF7F2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года вышел приказ № 207с НКБ</w:t>
      </w:r>
    </w:p>
    <w:p w14:paraId="31AD4B4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Совнаркома от 25 мая 1945 года № 8252:</w:t>
      </w:r>
    </w:p>
    <w:p w14:paraId="602E2D1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Передать в ведение Совнаркома Литовской ССР завод № 508, находящийся на территории Литовской ССР (5763, 154).</w:t>
      </w:r>
    </w:p>
    <w:p w14:paraId="6685026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7BA1FF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8917 Об общем плане перевозок по железнодорожному и водному транспорту на июнь 1945 г. (7346, 167).</w:t>
      </w:r>
    </w:p>
    <w:p w14:paraId="5A68BB1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EDF41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8918 О плане и мерах по обеспечению перевозок народнохозяйственных грузов по железнодорожному, речному и морскому транспорту на июнь 1945 года. РГАНИР, Фонд ГКО, д. 423, лл. 1-12, 13-234 (11012).</w:t>
      </w:r>
    </w:p>
    <w:p w14:paraId="55ECD98C" w14:textId="77777777" w:rsidR="006103B3" w:rsidRPr="00F90EAE" w:rsidRDefault="006103B3" w:rsidP="00F90EAE">
      <w:pPr>
        <w:autoSpaceDE w:val="0"/>
        <w:autoSpaceDN w:val="0"/>
        <w:adjustRightInd w:val="0"/>
        <w:jc w:val="both"/>
        <w:rPr>
          <w:color w:val="000000" w:themeColor="text1"/>
          <w:sz w:val="16"/>
          <w:szCs w:val="16"/>
        </w:rPr>
      </w:pPr>
    </w:p>
    <w:p w14:paraId="7A62BBF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8922 [О плане ремонта и производства военно-технического имущества на II кв.1945 г. по НКО СССР.] (7347, 16-18,19-78).</w:t>
      </w:r>
    </w:p>
    <w:p w14:paraId="38D26A2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B3EDE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8923 Об обеспечении рабочей силой предприятий Наркомбумпрома в г. г. Тильзит, Кенигсберг, Рагнит, Велау и Мемель. РГАНИР, Фонд ГКО, д. 425, лл. 79-84, 85-86 (11012).</w:t>
      </w:r>
    </w:p>
    <w:p w14:paraId="35F99550" w14:textId="77777777" w:rsidR="006103B3" w:rsidRPr="00F90EAE" w:rsidRDefault="006103B3" w:rsidP="00F90EAE">
      <w:pPr>
        <w:autoSpaceDE w:val="0"/>
        <w:autoSpaceDN w:val="0"/>
        <w:adjustRightInd w:val="0"/>
        <w:jc w:val="both"/>
        <w:rPr>
          <w:color w:val="000000" w:themeColor="text1"/>
          <w:sz w:val="16"/>
          <w:szCs w:val="16"/>
        </w:rPr>
      </w:pPr>
    </w:p>
    <w:p w14:paraId="42E1F8C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8924 О строительстве шоссейных дорог для обеспечения автотранспортной связи между промышленными и областными центрами страны. (7347, 87-91,92-95).</w:t>
      </w:r>
    </w:p>
    <w:p w14:paraId="7212A909"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0EBB2EF" w14:textId="77777777" w:rsidR="00B44E2B"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D3C4D9E" w14:textId="77777777" w:rsidR="00B44E2B" w:rsidRPr="00F90EAE" w:rsidRDefault="00B44E2B" w:rsidP="00F90EAE">
      <w:pPr>
        <w:tabs>
          <w:tab w:val="left" w:pos="11199"/>
        </w:tabs>
        <w:autoSpaceDE w:val="0"/>
        <w:autoSpaceDN w:val="0"/>
        <w:adjustRightInd w:val="0"/>
        <w:jc w:val="both"/>
        <w:rPr>
          <w:color w:val="000000" w:themeColor="text1"/>
          <w:sz w:val="16"/>
          <w:szCs w:val="16"/>
        </w:rPr>
      </w:pPr>
    </w:p>
    <w:p w14:paraId="0D7A9B97" w14:textId="77777777" w:rsidR="00B44E2B" w:rsidRPr="00F90EAE" w:rsidRDefault="00B44E2B" w:rsidP="00F90EAE">
      <w:pPr>
        <w:jc w:val="both"/>
        <w:rPr>
          <w:color w:val="000000" w:themeColor="text1"/>
          <w:sz w:val="16"/>
          <w:szCs w:val="16"/>
        </w:rPr>
      </w:pPr>
      <w:r w:rsidRPr="00F90EAE">
        <w:rPr>
          <w:bCs/>
          <w:color w:val="000000" w:themeColor="text1"/>
          <w:sz w:val="16"/>
          <w:szCs w:val="16"/>
        </w:rPr>
        <w:t>4 июня</w:t>
      </w:r>
      <w:r w:rsidRPr="00F90EAE">
        <w:rPr>
          <w:color w:val="000000" w:themeColor="text1"/>
          <w:sz w:val="16"/>
          <w:szCs w:val="16"/>
        </w:rPr>
        <w:t xml:space="preserve"> в 1945 году указом Президиума Верховного Совета СССР генерал армии Алексей Антонов и маршал Семен Тимошенко награждены высшим военным орденом "Победа" (14912).</w:t>
      </w:r>
    </w:p>
    <w:p w14:paraId="33AFA6A1" w14:textId="77777777" w:rsidR="00B44E2B" w:rsidRPr="00F90EAE" w:rsidRDefault="00B44E2B" w:rsidP="00F90EAE">
      <w:pPr>
        <w:jc w:val="both"/>
        <w:rPr>
          <w:color w:val="000000" w:themeColor="text1"/>
          <w:sz w:val="16"/>
          <w:szCs w:val="16"/>
        </w:rPr>
      </w:pPr>
    </w:p>
    <w:p w14:paraId="74983FD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FD6BECE" w14:textId="77777777" w:rsidR="006103B3" w:rsidRPr="00F90EAE" w:rsidRDefault="006103B3" w:rsidP="00F90EAE">
      <w:pPr>
        <w:autoSpaceDE w:val="0"/>
        <w:autoSpaceDN w:val="0"/>
        <w:adjustRightInd w:val="0"/>
        <w:jc w:val="both"/>
        <w:rPr>
          <w:iCs/>
          <w:color w:val="000000" w:themeColor="text1"/>
          <w:sz w:val="16"/>
          <w:szCs w:val="16"/>
        </w:rPr>
      </w:pPr>
    </w:p>
    <w:p w14:paraId="3C629D42"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вышло Распоряжение ГКО № 8919 [О выделении автомашин, мотоциклов и лошадей для органов НКВД СССР в освобожденных районах.] (7347, 1).</w:t>
      </w:r>
    </w:p>
    <w:p w14:paraId="2E37BE33"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B88807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вышло Постановление ГКО № 8921 О распределении военнопленных и мероприятиях по улучшению их трудового использования. (7347, 4-14,15).</w:t>
      </w:r>
    </w:p>
    <w:p w14:paraId="2EB5628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F925E5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D3AF6E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A1E7240" w14:textId="77777777" w:rsidR="00B44E2B" w:rsidRPr="00F90EAE" w:rsidRDefault="00B44E2B" w:rsidP="00F90EAE">
      <w:pPr>
        <w:jc w:val="both"/>
        <w:rPr>
          <w:color w:val="000000" w:themeColor="text1"/>
          <w:sz w:val="16"/>
          <w:szCs w:val="16"/>
        </w:rPr>
      </w:pPr>
      <w:r w:rsidRPr="00F90EAE">
        <w:rPr>
          <w:bCs/>
          <w:color w:val="000000" w:themeColor="text1"/>
          <w:sz w:val="16"/>
          <w:szCs w:val="16"/>
        </w:rPr>
        <w:t>4 июня</w:t>
      </w:r>
      <w:r w:rsidRPr="00F90EAE">
        <w:rPr>
          <w:color w:val="000000" w:themeColor="text1"/>
          <w:sz w:val="16"/>
          <w:szCs w:val="16"/>
        </w:rPr>
        <w:t xml:space="preserve"> в 1945 году создана Союзническая комиссия по Австрии. Австрия разделена на четыре зоны оккупации Союзники гарантировали восстановление Австрии в границах 1937 года (14912).</w:t>
      </w:r>
    </w:p>
    <w:p w14:paraId="0D11F0E6" w14:textId="77777777" w:rsidR="00B44E2B" w:rsidRPr="00F90EAE" w:rsidRDefault="00B44E2B" w:rsidP="00F90EAE">
      <w:pPr>
        <w:jc w:val="both"/>
        <w:rPr>
          <w:color w:val="000000" w:themeColor="text1"/>
          <w:sz w:val="16"/>
          <w:szCs w:val="16"/>
        </w:rPr>
      </w:pPr>
    </w:p>
    <w:p w14:paraId="04534D66" w14:textId="77777777" w:rsidR="00B44E2B" w:rsidRPr="00F90EAE" w:rsidRDefault="00B44E2B" w:rsidP="00F90EAE">
      <w:pPr>
        <w:jc w:val="both"/>
        <w:rPr>
          <w:color w:val="000000" w:themeColor="text1"/>
          <w:sz w:val="16"/>
          <w:szCs w:val="16"/>
        </w:rPr>
      </w:pPr>
      <w:r w:rsidRPr="00F90EAE">
        <w:rPr>
          <w:bCs/>
          <w:color w:val="000000" w:themeColor="text1"/>
          <w:sz w:val="16"/>
          <w:szCs w:val="16"/>
        </w:rPr>
        <w:t>4 июня</w:t>
      </w:r>
      <w:r w:rsidRPr="00F90EAE">
        <w:rPr>
          <w:color w:val="000000" w:themeColor="text1"/>
          <w:sz w:val="16"/>
          <w:szCs w:val="16"/>
        </w:rPr>
        <w:t xml:space="preserve"> в 1945 году Черчилль в предвыборной речи по радио заявил, что социализм тесно переплетается с тоталитарными идеями и «отвратительным преклонением перед государством» (14912).</w:t>
      </w:r>
    </w:p>
    <w:p w14:paraId="0ACCEB1E" w14:textId="77777777" w:rsidR="00B44E2B" w:rsidRPr="00F90EAE" w:rsidRDefault="00B44E2B" w:rsidP="00F90EAE">
      <w:pPr>
        <w:jc w:val="both"/>
        <w:rPr>
          <w:color w:val="000000" w:themeColor="text1"/>
          <w:sz w:val="16"/>
          <w:szCs w:val="16"/>
        </w:rPr>
      </w:pPr>
    </w:p>
    <w:p w14:paraId="7264A60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4 июня 1945 единый национальный фронт Вьетнама - Вьетмин, созданный по инициативе КП Индокитая, создал первый освобожденный р-н в Северном Вьетнаме (3960, 219).</w:t>
      </w:r>
    </w:p>
    <w:p w14:paraId="1A433DD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0A8BB3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4234A2F" w14:textId="77777777" w:rsidR="006103B3" w:rsidRPr="00F90EAE" w:rsidRDefault="006103B3" w:rsidP="00F90EAE">
      <w:pPr>
        <w:autoSpaceDE w:val="0"/>
        <w:autoSpaceDN w:val="0"/>
        <w:adjustRightInd w:val="0"/>
        <w:jc w:val="both"/>
        <w:rPr>
          <w:iCs/>
          <w:color w:val="000000" w:themeColor="text1"/>
          <w:sz w:val="16"/>
          <w:szCs w:val="16"/>
        </w:rPr>
      </w:pPr>
    </w:p>
    <w:p w14:paraId="58E1A3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вышел приказ Командующего ВВС и НКАП N 0116/239с "О проведении гос. испытаний опытного 2-х местного бронированного штурмовика Ил-8 N 1 с АМ-42 и опытным винтом АВ-9Л-22В конструкции С.В.И. производства завода 240:</w:t>
      </w:r>
    </w:p>
    <w:p w14:paraId="6351CD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Испытания начать 5 июня 1945 и закончить в течение 12 летных дней." (1897,86).</w:t>
      </w:r>
    </w:p>
    <w:p w14:paraId="544413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Точно, что начали и провели в срок.</w:t>
      </w:r>
    </w:p>
    <w:p w14:paraId="52BFAEDF" w14:textId="77777777" w:rsidR="006103B3" w:rsidRPr="00F90EAE" w:rsidRDefault="006103B3" w:rsidP="00F90EAE">
      <w:pPr>
        <w:autoSpaceDE w:val="0"/>
        <w:autoSpaceDN w:val="0"/>
        <w:adjustRightInd w:val="0"/>
        <w:jc w:val="both"/>
        <w:rPr>
          <w:color w:val="000000" w:themeColor="text1"/>
          <w:sz w:val="16"/>
          <w:szCs w:val="16"/>
        </w:rPr>
      </w:pPr>
    </w:p>
    <w:p w14:paraId="1EA472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Командующий ВВС гма А.А.Новиков утвердил Акт по гос. испытаниям самолета Пе-8 (ТБ-7) N 42712 с 4хАЧ-30Б и ВИШ-61-В-1 в пассажирском варианте</w:t>
      </w:r>
    </w:p>
    <w:p w14:paraId="25C21D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Отв. испытатели:</w:t>
      </w:r>
    </w:p>
    <w:p w14:paraId="22F6CC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 и/п м.и.Панюшкин</w:t>
      </w:r>
    </w:p>
    <w:p w14:paraId="71103A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вл пп В.И.Жданов</w:t>
      </w:r>
    </w:p>
    <w:p w14:paraId="16AA68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 Панюшкин</w:t>
      </w:r>
    </w:p>
    <w:p w14:paraId="227BFD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Краткие сведения об объекте и результатах испытаний:</w:t>
      </w:r>
    </w:p>
    <w:p w14:paraId="09BB75C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Согласно постановлению КО от 12 мая 1940 № 200 и от 25 мая 1940 № 227 завод № 124 (ныне № 22) приступил к работе и 16 января 1941 предъявил на госиспытания ТБ-7 № 4225 с 4хдизель-мотор и винтами ВИШ-24.</w:t>
      </w:r>
    </w:p>
    <w:p w14:paraId="77A2EF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с 18 января по 20 февраля 1941 года проходил в ГК НИИ ВВС КА госиспытания. Самолет по летным данным полностью отвечал требованиям постановления КО от 25 мая 1940 № 227. Однако, отмечалось, что дизель-моторы М-40 недоведены, имеют ряд дефектов, осложняют нормальную эксплуатацию в строевых частях.</w:t>
      </w:r>
    </w:p>
    <w:p w14:paraId="40DBF2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Вторым самолетом, проходившим госиспытания, был самолет ТБ-7 № 42015 с моторами АМ-35А и винтами ВИШ-24.</w:t>
      </w:r>
    </w:p>
    <w:p w14:paraId="50FD8A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конструкцию самолета, кроме изменений ВМГ, было введено дополнительное оборудование, позволяющее использовать его и как бомбардировщик и как транспортный самолет.</w:t>
      </w:r>
    </w:p>
    <w:p w14:paraId="29B4FC3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Этот самолет на госиспытаниях в 1941 (акт от 8 августа 1941) показал макс. скорость 443 км/час на 6300, т.е. на 50 км/час выше, чем у с-та ТБ-7 с 4хМ-40. Время набора практического потолка уменьшилось на 6,5 мин. До 43,5 мин. Самолет строился серийно.</w:t>
      </w:r>
    </w:p>
    <w:p w14:paraId="1F3C00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ТБ-7 (Пе-8) 4АМ-35А успешно участвовал в ОВ в составе 45 тяжелой АД ДД.</w:t>
      </w:r>
    </w:p>
    <w:p w14:paraId="5BF0DA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Третьим самолетом этого типа, поступившим на госиспытания, является пассажирский с-т Пе-8 № 42712 с дизель-моторами АЧ-30Б с винтом ВИШ-61В-1, который построен в 1944 на заводе № 22 согласно постановлению ГКО от 15 марта 1944 № 5402.</w:t>
      </w:r>
    </w:p>
    <w:p w14:paraId="420050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проходил заводские контрольные испытания в г. Казани на заводе № 22 с 25 февраля по 4 марта 1945 г.</w:t>
      </w:r>
    </w:p>
    <w:p w14:paraId="212C251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выполнил 3 полета и налетал 2 час. 50 мин. Внешне данный самолет отличается от серийных машин отсутствием верхней турельной установки ТАТ и несколько увеличенной площадью киля. Параметры крыла, фюзеляжа, ГО остались такими же, как и на серийном с-те Пе-8.</w:t>
      </w:r>
    </w:p>
    <w:p w14:paraId="359739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фюзеляже самолета расположена спальная кабина на три места в центроплане, пассажирская кабина на 12 мест в Ф-3 и туалетная комната.</w:t>
      </w:r>
    </w:p>
    <w:p w14:paraId="05849C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 осталось таким же. Как и на серийном самолете. Снята только верхняя турельная установка.</w:t>
      </w:r>
    </w:p>
    <w:p w14:paraId="4B68D7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переддней и шассийной установках по одному пулемету Березина как 12,7мм, на корме с-та - электрофицированная башня КЭБ под пушки ШВАК-20.</w:t>
      </w:r>
    </w:p>
    <w:p w14:paraId="101A39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Бомбовое вооружение полностью снято.</w:t>
      </w:r>
    </w:p>
    <w:p w14:paraId="590DE7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Специальное оборудование также осталось без изменений и соответствует оборудованию серийных самолетов, находящихся на вооружении ВВС КА.</w:t>
      </w:r>
    </w:p>
    <w:p w14:paraId="05835E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 полностью оборудован пилотажно-навигационными приборами для производства высотных полетов как днем, так и ночью.</w:t>
      </w:r>
    </w:p>
    <w:p w14:paraId="1BD792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Постановлением ГКО № 5402 от 15 марта 1944 предусматривалось оборудование с-та антиобледенительными устройствами. Самолет оборудован антиобледенительными устройствами только винтов, стекла фонаря кабины пилота и антенны. Антиобледенительное устройство кромок крыла на самолете не установлено.</w:t>
      </w:r>
    </w:p>
    <w:p w14:paraId="381FA1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Заключение:</w:t>
      </w:r>
    </w:p>
    <w:p w14:paraId="308AE0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Переоборудование ТБ самолета Пе-8 4АЧ-30Б № 42712 в пассажирский высотный самолет дальнего действия выполнено в общем удовлетворительно.</w:t>
      </w:r>
    </w:p>
    <w:p w14:paraId="5ACB3A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Конструкция самолета перетяжелена на 1362 кг, что привело к уменьшению полезной нагрузки, т.е. запаса горючего и, следовательно, к сокращению максимальной дальности полета.</w:t>
      </w:r>
    </w:p>
    <w:p w14:paraId="4189218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3. Максимальная техническая дальность полета с-та Пе-8 № 42712 при начальном полетном вече 35500 кг и при заправке горючим9150 кг составляет 5600 км, но существующая на самолете маслосистема не обеспечивает этой дальности из-за выброса масла в полете через дренаж, начинающегося уже при заправке масла в 250 л на мотор, что составляет всего лишь 50% емкости маслобака.</w:t>
      </w:r>
    </w:p>
    <w:p w14:paraId="44D8D5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После устранения дефектов и выполнения предложений, указанных в выводах настоящего акта, с-т передать для эксплоатации по назначению.</w:t>
      </w:r>
    </w:p>
    <w:p w14:paraId="4D8FAA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Акт разослать:</w:t>
      </w:r>
    </w:p>
    <w:p w14:paraId="1B9019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Шахурину,</w:t>
      </w:r>
    </w:p>
    <w:p w14:paraId="022B67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УК ЦК ВКП(б)</w:t>
      </w:r>
    </w:p>
    <w:p w14:paraId="5624CC2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Шиманову</w:t>
      </w:r>
    </w:p>
    <w:p w14:paraId="5CB7EB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Репину</w:t>
      </w:r>
    </w:p>
    <w:p w14:paraId="16D552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ГК завода № 22 Незвалю</w:t>
      </w:r>
    </w:p>
    <w:p w14:paraId="10C03D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НИИ ГК ВВС, чл. ВС Петрову</w:t>
      </w:r>
    </w:p>
    <w:p w14:paraId="39F709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Из выводов.</w:t>
      </w:r>
    </w:p>
    <w:p w14:paraId="552D1D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ВМГ</w:t>
      </w:r>
    </w:p>
    <w:p w14:paraId="3ED09B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Из 4-х моторов АЧ-30Б, установленных на с-те, три мотора за время испытаний наработали в среднем 67 час., а с начала их эксплуатации - по 82-83 час.</w:t>
      </w:r>
    </w:p>
    <w:p w14:paraId="63F8AF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Основные дефекты в работе ВМГ</w:t>
      </w:r>
    </w:p>
    <w:p w14:paraId="5682D3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плохая работа РПД (не обеспечивается поддержка наддува). Заменено 6 РПД по различным причинам</w:t>
      </w:r>
    </w:p>
    <w:p w14:paraId="73F3B2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появление металлической стружки в маслофильтре, вследствие чего мотор был снаят после 40:50 часов работы</w:t>
      </w:r>
    </w:p>
    <w:p w14:paraId="6701EA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падение давления масла на 4-м (правом крайнем) моторе ниже допустимого предела</w:t>
      </w:r>
    </w:p>
    <w:p w14:paraId="4F9D35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выброс масла через дренаж мотора при заправке более 250 л в каждый бак, хотя емкость бака 500 л.</w:t>
      </w:r>
    </w:p>
    <w:p w14:paraId="5D0BCF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маслорадиатора обеспечивает норм. температуру масла, как на наборе, так и в гор. полете на всех высотах.</w:t>
      </w:r>
    </w:p>
    <w:p w14:paraId="29287C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охлаждения мотора на номинальном режиме (240 г/л.с./ч, обор. - 1800) с полностью открытыми заслонками обеспечивает норм. температуру охлаждающей жидкости в гор. полете. На наборе высоты система охлаждения при тех же условиях не обеспечивает нормальной температуры охлаждающей жидкости.</w:t>
      </w:r>
    </w:p>
    <w:p w14:paraId="113732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Система антиобледениея винтов работает неудовлетворительно (смачивание лопастей винтов антифризом достигает только 30% длины лопасти)</w:t>
      </w:r>
    </w:p>
    <w:p w14:paraId="0D9F26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Надежность радиосвязи и навигации в дальних полетах: дальность действия РПК-2 недостаточна и равна 130 км вместо 200 км; приемник “УС” для работы с маяками на слух не имеет вовсе антенны; жесткая антенна связной радиостанции РСБ-3бис обеспечивает телеграфную связь на расстоянии до 400 км, от выпускной антенны - до 1300 км.; установленный РПК РПК-2с устарел. Целесообразна установка американского РПК СЦР-269</w:t>
      </w:r>
    </w:p>
    <w:p w14:paraId="2D84BF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пулеметно-пушечное вооружение самолета неотработано и некомплектно.</w:t>
      </w:r>
    </w:p>
    <w:p w14:paraId="58ABFE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кабину экипажа проникают дурнопахнущие продукты термического разложения керосина, концентрация которых недопустима (0,12 мг,литр), т.к. может повлиять на работоспособность экипажа</w:t>
      </w:r>
    </w:p>
    <w:p w14:paraId="59574A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Сравнительная таблица: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2330"/>
        <w:gridCol w:w="2330"/>
        <w:gridCol w:w="2330"/>
      </w:tblGrid>
      <w:tr w:rsidR="00561F31" w:rsidRPr="00F90EAE" w14:paraId="1AAD45A8" w14:textId="77777777">
        <w:tc>
          <w:tcPr>
            <w:tcW w:w="4219" w:type="dxa"/>
            <w:tcBorders>
              <w:top w:val="single" w:sz="12" w:space="0" w:color="auto"/>
            </w:tcBorders>
          </w:tcPr>
          <w:p w14:paraId="04DBC8A0" w14:textId="77777777" w:rsidR="006103B3" w:rsidRPr="00F90EAE" w:rsidRDefault="006103B3" w:rsidP="00F90EAE">
            <w:pPr>
              <w:autoSpaceDE w:val="0"/>
              <w:autoSpaceDN w:val="0"/>
              <w:adjustRightInd w:val="0"/>
              <w:jc w:val="both"/>
              <w:rPr>
                <w:color w:val="000000" w:themeColor="text1"/>
                <w:sz w:val="16"/>
                <w:szCs w:val="16"/>
              </w:rPr>
            </w:pPr>
          </w:p>
        </w:tc>
        <w:tc>
          <w:tcPr>
            <w:tcW w:w="2330" w:type="dxa"/>
            <w:tcBorders>
              <w:top w:val="single" w:sz="12" w:space="0" w:color="auto"/>
            </w:tcBorders>
          </w:tcPr>
          <w:p w14:paraId="7EAC54E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4АЧ-30Б пассажирский вариант, госиспытания в апреле 1945</w:t>
            </w:r>
          </w:p>
        </w:tc>
        <w:tc>
          <w:tcPr>
            <w:tcW w:w="2330" w:type="dxa"/>
            <w:tcBorders>
              <w:top w:val="single" w:sz="12" w:space="0" w:color="auto"/>
            </w:tcBorders>
          </w:tcPr>
          <w:p w14:paraId="3442E7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4АМ35А госиспытания 1941, бомбардировочный вариант</w:t>
            </w:r>
          </w:p>
        </w:tc>
        <w:tc>
          <w:tcPr>
            <w:tcW w:w="2330" w:type="dxa"/>
            <w:tcBorders>
              <w:top w:val="single" w:sz="12" w:space="0" w:color="auto"/>
            </w:tcBorders>
          </w:tcPr>
          <w:p w14:paraId="05C2BB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4М-40 бомбардировщик, испытания февраля 1941</w:t>
            </w:r>
          </w:p>
        </w:tc>
      </w:tr>
      <w:tr w:rsidR="00561F31" w:rsidRPr="00F90EAE" w14:paraId="09041633" w14:textId="77777777">
        <w:tc>
          <w:tcPr>
            <w:tcW w:w="4219" w:type="dxa"/>
          </w:tcPr>
          <w:p w14:paraId="0455FF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w:t>
            </w:r>
          </w:p>
        </w:tc>
        <w:tc>
          <w:tcPr>
            <w:tcW w:w="2330" w:type="dxa"/>
          </w:tcPr>
          <w:p w14:paraId="722442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22864</w:t>
            </w:r>
          </w:p>
        </w:tc>
        <w:tc>
          <w:tcPr>
            <w:tcW w:w="2330" w:type="dxa"/>
          </w:tcPr>
          <w:p w14:paraId="741C9A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18571</w:t>
            </w:r>
          </w:p>
        </w:tc>
        <w:tc>
          <w:tcPr>
            <w:tcW w:w="2330" w:type="dxa"/>
          </w:tcPr>
          <w:p w14:paraId="0856E7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19790</w:t>
            </w:r>
          </w:p>
        </w:tc>
      </w:tr>
      <w:tr w:rsidR="00561F31" w:rsidRPr="00F90EAE" w14:paraId="2FE0838D" w14:textId="77777777">
        <w:tc>
          <w:tcPr>
            <w:tcW w:w="4219" w:type="dxa"/>
          </w:tcPr>
          <w:p w14:paraId="7CD457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Нормальный полетный вес</w:t>
            </w:r>
          </w:p>
        </w:tc>
        <w:tc>
          <w:tcPr>
            <w:tcW w:w="2330" w:type="dxa"/>
          </w:tcPr>
          <w:p w14:paraId="792513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30000</w:t>
            </w:r>
          </w:p>
        </w:tc>
        <w:tc>
          <w:tcPr>
            <w:tcW w:w="2330" w:type="dxa"/>
          </w:tcPr>
          <w:p w14:paraId="1E76D8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27000</w:t>
            </w:r>
          </w:p>
        </w:tc>
        <w:tc>
          <w:tcPr>
            <w:tcW w:w="2330" w:type="dxa"/>
          </w:tcPr>
          <w:p w14:paraId="506AE5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26000</w:t>
            </w:r>
          </w:p>
        </w:tc>
      </w:tr>
      <w:tr w:rsidR="00561F31" w:rsidRPr="00F90EAE" w14:paraId="4864EC53" w14:textId="77777777">
        <w:tc>
          <w:tcPr>
            <w:tcW w:w="4219" w:type="dxa"/>
          </w:tcPr>
          <w:p w14:paraId="53237B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Перегрузочный вес</w:t>
            </w:r>
          </w:p>
        </w:tc>
        <w:tc>
          <w:tcPr>
            <w:tcW w:w="2330" w:type="dxa"/>
          </w:tcPr>
          <w:p w14:paraId="134328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35500</w:t>
            </w:r>
          </w:p>
        </w:tc>
        <w:tc>
          <w:tcPr>
            <w:tcW w:w="2330" w:type="dxa"/>
          </w:tcPr>
          <w:p w14:paraId="127720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33500</w:t>
            </w:r>
          </w:p>
        </w:tc>
        <w:tc>
          <w:tcPr>
            <w:tcW w:w="2330" w:type="dxa"/>
          </w:tcPr>
          <w:p w14:paraId="7F24F8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33500</w:t>
            </w:r>
          </w:p>
        </w:tc>
      </w:tr>
      <w:tr w:rsidR="00561F31" w:rsidRPr="00F90EAE" w14:paraId="013BC64A" w14:textId="77777777">
        <w:tc>
          <w:tcPr>
            <w:tcW w:w="4219" w:type="dxa"/>
          </w:tcPr>
          <w:p w14:paraId="62CB00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 на кв метр при нормальном полетном весе</w:t>
            </w:r>
          </w:p>
        </w:tc>
        <w:tc>
          <w:tcPr>
            <w:tcW w:w="2330" w:type="dxa"/>
          </w:tcPr>
          <w:p w14:paraId="20D17D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159</w:t>
            </w:r>
          </w:p>
        </w:tc>
        <w:tc>
          <w:tcPr>
            <w:tcW w:w="2330" w:type="dxa"/>
          </w:tcPr>
          <w:p w14:paraId="1FB683D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143.5</w:t>
            </w:r>
          </w:p>
        </w:tc>
        <w:tc>
          <w:tcPr>
            <w:tcW w:w="2330" w:type="dxa"/>
          </w:tcPr>
          <w:p w14:paraId="37EC59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137,5</w:t>
            </w:r>
          </w:p>
        </w:tc>
      </w:tr>
      <w:tr w:rsidR="00561F31" w:rsidRPr="00F90EAE" w14:paraId="1CE2E1AC" w14:textId="77777777">
        <w:tc>
          <w:tcPr>
            <w:tcW w:w="4219" w:type="dxa"/>
          </w:tcPr>
          <w:p w14:paraId="6D32A6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Тип мотора</w:t>
            </w:r>
          </w:p>
        </w:tc>
        <w:tc>
          <w:tcPr>
            <w:tcW w:w="2330" w:type="dxa"/>
          </w:tcPr>
          <w:p w14:paraId="4B2872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4АЧ-30Б</w:t>
            </w:r>
          </w:p>
        </w:tc>
        <w:tc>
          <w:tcPr>
            <w:tcW w:w="2330" w:type="dxa"/>
          </w:tcPr>
          <w:p w14:paraId="69AA68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4АМ35А</w:t>
            </w:r>
          </w:p>
        </w:tc>
        <w:tc>
          <w:tcPr>
            <w:tcW w:w="2330" w:type="dxa"/>
          </w:tcPr>
          <w:p w14:paraId="498560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4М-40</w:t>
            </w:r>
          </w:p>
        </w:tc>
      </w:tr>
      <w:tr w:rsidR="00561F31" w:rsidRPr="00F90EAE" w14:paraId="4296C70E" w14:textId="77777777">
        <w:tc>
          <w:tcPr>
            <w:tcW w:w="4219" w:type="dxa"/>
          </w:tcPr>
          <w:p w14:paraId="46F84A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Мощность взлетная</w:t>
            </w:r>
          </w:p>
        </w:tc>
        <w:tc>
          <w:tcPr>
            <w:tcW w:w="2330" w:type="dxa"/>
          </w:tcPr>
          <w:p w14:paraId="3E60CA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c>
          <w:tcPr>
            <w:tcW w:w="2330" w:type="dxa"/>
          </w:tcPr>
          <w:p w14:paraId="2245C2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4х1340</w:t>
            </w:r>
          </w:p>
        </w:tc>
        <w:tc>
          <w:tcPr>
            <w:tcW w:w="2330" w:type="dxa"/>
          </w:tcPr>
          <w:p w14:paraId="695024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4х1500</w:t>
            </w:r>
          </w:p>
        </w:tc>
      </w:tr>
      <w:tr w:rsidR="00561F31" w:rsidRPr="00F90EAE" w14:paraId="77437DE0" w14:textId="77777777">
        <w:tc>
          <w:tcPr>
            <w:tcW w:w="4219" w:type="dxa"/>
          </w:tcPr>
          <w:p w14:paraId="2D5F46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Мощность номинальная</w:t>
            </w:r>
          </w:p>
        </w:tc>
        <w:tc>
          <w:tcPr>
            <w:tcW w:w="2330" w:type="dxa"/>
          </w:tcPr>
          <w:p w14:paraId="3B2AAF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4х1250</w:t>
            </w:r>
          </w:p>
        </w:tc>
        <w:tc>
          <w:tcPr>
            <w:tcW w:w="2330" w:type="dxa"/>
          </w:tcPr>
          <w:p w14:paraId="6F9BF40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4х1120</w:t>
            </w:r>
          </w:p>
        </w:tc>
        <w:tc>
          <w:tcPr>
            <w:tcW w:w="2330" w:type="dxa"/>
          </w:tcPr>
          <w:p w14:paraId="4CEE912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4х1000</w:t>
            </w:r>
          </w:p>
        </w:tc>
      </w:tr>
      <w:tr w:rsidR="00561F31" w:rsidRPr="00F90EAE" w14:paraId="4F4F199C" w14:textId="77777777">
        <w:tc>
          <w:tcPr>
            <w:tcW w:w="4219" w:type="dxa"/>
          </w:tcPr>
          <w:p w14:paraId="7340EC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Винты</w:t>
            </w:r>
          </w:p>
        </w:tc>
        <w:tc>
          <w:tcPr>
            <w:tcW w:w="2330" w:type="dxa"/>
          </w:tcPr>
          <w:p w14:paraId="1CAF0A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ВИШ-61-В-1, 4,1 м</w:t>
            </w:r>
          </w:p>
        </w:tc>
        <w:tc>
          <w:tcPr>
            <w:tcW w:w="2330" w:type="dxa"/>
          </w:tcPr>
          <w:p w14:paraId="02347A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c>
          <w:tcPr>
            <w:tcW w:w="2330" w:type="dxa"/>
          </w:tcPr>
          <w:p w14:paraId="3238FD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ВИШ-24, 4,1 м</w:t>
            </w:r>
          </w:p>
        </w:tc>
      </w:tr>
      <w:tr w:rsidR="00561F31" w:rsidRPr="00F90EAE" w14:paraId="16F325FE" w14:textId="77777777">
        <w:tc>
          <w:tcPr>
            <w:tcW w:w="4219" w:type="dxa"/>
          </w:tcPr>
          <w:p w14:paraId="289645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Емкость баков</w:t>
            </w:r>
          </w:p>
        </w:tc>
        <w:tc>
          <w:tcPr>
            <w:tcW w:w="2330" w:type="dxa"/>
          </w:tcPr>
          <w:p w14:paraId="27E2B8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13600</w:t>
            </w:r>
          </w:p>
        </w:tc>
        <w:tc>
          <w:tcPr>
            <w:tcW w:w="2330" w:type="dxa"/>
          </w:tcPr>
          <w:p w14:paraId="3FC7C9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12440</w:t>
            </w:r>
          </w:p>
        </w:tc>
        <w:tc>
          <w:tcPr>
            <w:tcW w:w="2330" w:type="dxa"/>
          </w:tcPr>
          <w:p w14:paraId="6E7844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11660</w:t>
            </w:r>
          </w:p>
        </w:tc>
      </w:tr>
      <w:tr w:rsidR="00561F31" w:rsidRPr="00F90EAE" w14:paraId="6106F473" w14:textId="77777777">
        <w:tc>
          <w:tcPr>
            <w:tcW w:w="4219" w:type="dxa"/>
          </w:tcPr>
          <w:p w14:paraId="09052E7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Экипаж</w:t>
            </w:r>
          </w:p>
        </w:tc>
        <w:tc>
          <w:tcPr>
            <w:tcW w:w="2330" w:type="dxa"/>
          </w:tcPr>
          <w:p w14:paraId="26D406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w:t>
            </w:r>
          </w:p>
        </w:tc>
        <w:tc>
          <w:tcPr>
            <w:tcW w:w="2330" w:type="dxa"/>
          </w:tcPr>
          <w:p w14:paraId="2F01F8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w:t>
            </w:r>
          </w:p>
        </w:tc>
        <w:tc>
          <w:tcPr>
            <w:tcW w:w="2330" w:type="dxa"/>
          </w:tcPr>
          <w:p w14:paraId="79B2F2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w:t>
            </w:r>
          </w:p>
        </w:tc>
      </w:tr>
      <w:tr w:rsidR="00561F31" w:rsidRPr="00F90EAE" w14:paraId="03BCD5DD" w14:textId="77777777">
        <w:tc>
          <w:tcPr>
            <w:tcW w:w="4219" w:type="dxa"/>
          </w:tcPr>
          <w:p w14:paraId="62DCD6B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 Макс на 0</w:t>
            </w:r>
          </w:p>
        </w:tc>
        <w:tc>
          <w:tcPr>
            <w:tcW w:w="2330" w:type="dxa"/>
          </w:tcPr>
          <w:p w14:paraId="4D2501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2330" w:type="dxa"/>
          </w:tcPr>
          <w:p w14:paraId="1FC66D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347</w:t>
            </w:r>
          </w:p>
        </w:tc>
        <w:tc>
          <w:tcPr>
            <w:tcW w:w="2330" w:type="dxa"/>
          </w:tcPr>
          <w:p w14:paraId="1A63DA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345</w:t>
            </w:r>
          </w:p>
        </w:tc>
      </w:tr>
      <w:tr w:rsidR="00561F31" w:rsidRPr="00F90EAE" w14:paraId="27CD192D" w14:textId="77777777">
        <w:tc>
          <w:tcPr>
            <w:tcW w:w="4219" w:type="dxa"/>
          </w:tcPr>
          <w:p w14:paraId="7E653B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 Мккс. На границе высотности</w:t>
            </w:r>
          </w:p>
        </w:tc>
        <w:tc>
          <w:tcPr>
            <w:tcW w:w="2330" w:type="dxa"/>
          </w:tcPr>
          <w:p w14:paraId="0CBAC4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390/6000</w:t>
            </w:r>
          </w:p>
        </w:tc>
        <w:tc>
          <w:tcPr>
            <w:tcW w:w="2330" w:type="dxa"/>
          </w:tcPr>
          <w:p w14:paraId="74153F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443/6360</w:t>
            </w:r>
          </w:p>
        </w:tc>
        <w:tc>
          <w:tcPr>
            <w:tcW w:w="2330" w:type="dxa"/>
          </w:tcPr>
          <w:p w14:paraId="6E35FA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393/5680</w:t>
            </w:r>
          </w:p>
        </w:tc>
      </w:tr>
      <w:tr w:rsidR="00561F31" w:rsidRPr="00F90EAE" w14:paraId="370B20F5" w14:textId="77777777">
        <w:tc>
          <w:tcPr>
            <w:tcW w:w="4219" w:type="dxa"/>
          </w:tcPr>
          <w:p w14:paraId="024B9D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w:t>
            </w:r>
          </w:p>
        </w:tc>
        <w:tc>
          <w:tcPr>
            <w:tcW w:w="2330" w:type="dxa"/>
          </w:tcPr>
          <w:p w14:paraId="29DE77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2330" w:type="dxa"/>
          </w:tcPr>
          <w:p w14:paraId="569C46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14,6</w:t>
            </w:r>
          </w:p>
        </w:tc>
        <w:tc>
          <w:tcPr>
            <w:tcW w:w="2330" w:type="dxa"/>
          </w:tcPr>
          <w:p w14:paraId="4452C98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16,2</w:t>
            </w:r>
          </w:p>
        </w:tc>
      </w:tr>
      <w:tr w:rsidR="00561F31" w:rsidRPr="00F90EAE" w14:paraId="28D37FE5" w14:textId="77777777">
        <w:tc>
          <w:tcPr>
            <w:tcW w:w="4219" w:type="dxa"/>
          </w:tcPr>
          <w:p w14:paraId="40FC1EB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w:t>
            </w:r>
          </w:p>
        </w:tc>
        <w:tc>
          <w:tcPr>
            <w:tcW w:w="2330" w:type="dxa"/>
          </w:tcPr>
          <w:p w14:paraId="2332FF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8200</w:t>
            </w:r>
          </w:p>
        </w:tc>
        <w:tc>
          <w:tcPr>
            <w:tcW w:w="2330" w:type="dxa"/>
          </w:tcPr>
          <w:p w14:paraId="767E44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9300</w:t>
            </w:r>
          </w:p>
        </w:tc>
        <w:tc>
          <w:tcPr>
            <w:tcW w:w="2330" w:type="dxa"/>
          </w:tcPr>
          <w:p w14:paraId="65271E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9200</w:t>
            </w:r>
          </w:p>
        </w:tc>
      </w:tr>
      <w:tr w:rsidR="00561F31" w:rsidRPr="00F90EAE" w14:paraId="248FA8E9" w14:textId="77777777">
        <w:tc>
          <w:tcPr>
            <w:tcW w:w="4219" w:type="dxa"/>
          </w:tcPr>
          <w:p w14:paraId="54DE4D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Дальность полета</w:t>
            </w:r>
          </w:p>
        </w:tc>
        <w:tc>
          <w:tcPr>
            <w:tcW w:w="2330" w:type="dxa"/>
          </w:tcPr>
          <w:p w14:paraId="6F4A7B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5600*</w:t>
            </w:r>
          </w:p>
        </w:tc>
        <w:tc>
          <w:tcPr>
            <w:tcW w:w="2330" w:type="dxa"/>
          </w:tcPr>
          <w:p w14:paraId="177A002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330" w:type="dxa"/>
          </w:tcPr>
          <w:p w14:paraId="3E642F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5460</w:t>
            </w:r>
          </w:p>
        </w:tc>
      </w:tr>
      <w:tr w:rsidR="00561F31" w:rsidRPr="00F90EAE" w14:paraId="029CFE4F" w14:textId="77777777">
        <w:tc>
          <w:tcPr>
            <w:tcW w:w="4219" w:type="dxa"/>
          </w:tcPr>
          <w:p w14:paraId="364FB8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Разбег</w:t>
            </w:r>
          </w:p>
        </w:tc>
        <w:tc>
          <w:tcPr>
            <w:tcW w:w="2330" w:type="dxa"/>
          </w:tcPr>
          <w:p w14:paraId="2B5C65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2330" w:type="dxa"/>
          </w:tcPr>
          <w:p w14:paraId="12B3F7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470</w:t>
            </w:r>
          </w:p>
        </w:tc>
        <w:tc>
          <w:tcPr>
            <w:tcW w:w="2330" w:type="dxa"/>
          </w:tcPr>
          <w:p w14:paraId="1D3483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337</w:t>
            </w:r>
          </w:p>
        </w:tc>
      </w:tr>
      <w:tr w:rsidR="00561F31" w:rsidRPr="00F90EAE" w14:paraId="4372214C" w14:textId="77777777">
        <w:tc>
          <w:tcPr>
            <w:tcW w:w="4219" w:type="dxa"/>
          </w:tcPr>
          <w:p w14:paraId="5BD4C3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Пробег</w:t>
            </w:r>
          </w:p>
        </w:tc>
        <w:tc>
          <w:tcPr>
            <w:tcW w:w="2330" w:type="dxa"/>
          </w:tcPr>
          <w:p w14:paraId="0C4C16A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770</w:t>
            </w:r>
          </w:p>
        </w:tc>
        <w:tc>
          <w:tcPr>
            <w:tcW w:w="2330" w:type="dxa"/>
          </w:tcPr>
          <w:p w14:paraId="5E0DED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510</w:t>
            </w:r>
          </w:p>
        </w:tc>
        <w:tc>
          <w:tcPr>
            <w:tcW w:w="2330" w:type="dxa"/>
          </w:tcPr>
          <w:p w14:paraId="575719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580</w:t>
            </w:r>
          </w:p>
        </w:tc>
      </w:tr>
      <w:tr w:rsidR="00561F31" w:rsidRPr="00F90EAE" w14:paraId="79DD4AD7" w14:textId="77777777">
        <w:tc>
          <w:tcPr>
            <w:tcW w:w="4219" w:type="dxa"/>
            <w:tcBorders>
              <w:bottom w:val="single" w:sz="12" w:space="0" w:color="auto"/>
            </w:tcBorders>
          </w:tcPr>
          <w:p w14:paraId="0C742C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Посадочная скорость</w:t>
            </w:r>
          </w:p>
        </w:tc>
        <w:tc>
          <w:tcPr>
            <w:tcW w:w="2330" w:type="dxa"/>
            <w:tcBorders>
              <w:bottom w:val="single" w:sz="12" w:space="0" w:color="auto"/>
            </w:tcBorders>
          </w:tcPr>
          <w:p w14:paraId="5FD3D7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130</w:t>
            </w:r>
          </w:p>
        </w:tc>
        <w:tc>
          <w:tcPr>
            <w:tcW w:w="2330" w:type="dxa"/>
            <w:tcBorders>
              <w:bottom w:val="single" w:sz="12" w:space="0" w:color="auto"/>
            </w:tcBorders>
          </w:tcPr>
          <w:p w14:paraId="5D0E2A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114</w:t>
            </w:r>
          </w:p>
        </w:tc>
        <w:tc>
          <w:tcPr>
            <w:tcW w:w="2330" w:type="dxa"/>
            <w:tcBorders>
              <w:bottom w:val="single" w:sz="12" w:space="0" w:color="auto"/>
            </w:tcBorders>
          </w:tcPr>
          <w:p w14:paraId="038E01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111</w:t>
            </w:r>
          </w:p>
        </w:tc>
      </w:tr>
    </w:tbl>
    <w:p w14:paraId="398D20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Получена расчетным путем по результатам контрольных испытаний для с-та нач. весом 35500 кг при загрузке горючего 9150 кг</w:t>
      </w:r>
    </w:p>
    <w:p w14:paraId="761750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26 полетов прод. 57:05</w:t>
      </w:r>
    </w:p>
    <w:p w14:paraId="7772AB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Нагрузка нормального полетного веса: экипаж 9 чел., 810 кг, вооружение - 120, боекомплект - 136, пассажиры 12 чел. - 1200 кг., масло - 900, горючее (0,85) - 3850, антифриз - 100</w:t>
      </w:r>
    </w:p>
    <w:p w14:paraId="052050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Допустимая нагрузка при перегрузке: горючее - 5300, масло 200, всего 5500</w:t>
      </w:r>
    </w:p>
    <w:p w14:paraId="43CA81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скорости по высотам (вес - 30000, обороты - 1800)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993"/>
        <w:gridCol w:w="1134"/>
        <w:gridCol w:w="992"/>
        <w:gridCol w:w="1134"/>
      </w:tblGrid>
      <w:tr w:rsidR="00561F31" w:rsidRPr="00F90EAE" w14:paraId="0FF9BD5A" w14:textId="77777777">
        <w:tc>
          <w:tcPr>
            <w:tcW w:w="675" w:type="dxa"/>
            <w:tcBorders>
              <w:top w:val="single" w:sz="12" w:space="0" w:color="auto"/>
            </w:tcBorders>
          </w:tcPr>
          <w:p w14:paraId="4ACD6E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993" w:type="dxa"/>
            <w:tcBorders>
              <w:top w:val="single" w:sz="12" w:space="0" w:color="auto"/>
            </w:tcBorders>
          </w:tcPr>
          <w:p w14:paraId="460502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Скорость</w:t>
            </w:r>
          </w:p>
        </w:tc>
        <w:tc>
          <w:tcPr>
            <w:tcW w:w="1134" w:type="dxa"/>
            <w:tcBorders>
              <w:top w:val="single" w:sz="12" w:space="0" w:color="auto"/>
            </w:tcBorders>
          </w:tcPr>
          <w:p w14:paraId="4949773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992" w:type="dxa"/>
            <w:tcBorders>
              <w:top w:val="single" w:sz="12" w:space="0" w:color="auto"/>
            </w:tcBorders>
          </w:tcPr>
          <w:p w14:paraId="227080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51038B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15ED146E" w14:textId="77777777">
        <w:tc>
          <w:tcPr>
            <w:tcW w:w="675" w:type="dxa"/>
          </w:tcPr>
          <w:p w14:paraId="7AE1DA71" w14:textId="77777777" w:rsidR="006103B3" w:rsidRPr="00F90EAE" w:rsidRDefault="006103B3" w:rsidP="00F90EAE">
            <w:pPr>
              <w:autoSpaceDE w:val="0"/>
              <w:autoSpaceDN w:val="0"/>
              <w:adjustRightInd w:val="0"/>
              <w:jc w:val="both"/>
              <w:rPr>
                <w:color w:val="000000" w:themeColor="text1"/>
                <w:sz w:val="16"/>
                <w:szCs w:val="16"/>
              </w:rPr>
            </w:pPr>
          </w:p>
        </w:tc>
        <w:tc>
          <w:tcPr>
            <w:tcW w:w="993" w:type="dxa"/>
          </w:tcPr>
          <w:p w14:paraId="45861C75" w14:textId="77777777" w:rsidR="006103B3" w:rsidRPr="00F90EAE" w:rsidRDefault="006103B3" w:rsidP="00F90EAE">
            <w:pPr>
              <w:autoSpaceDE w:val="0"/>
              <w:autoSpaceDN w:val="0"/>
              <w:adjustRightInd w:val="0"/>
              <w:jc w:val="both"/>
              <w:rPr>
                <w:color w:val="000000" w:themeColor="text1"/>
                <w:sz w:val="16"/>
                <w:szCs w:val="16"/>
              </w:rPr>
            </w:pPr>
          </w:p>
        </w:tc>
        <w:tc>
          <w:tcPr>
            <w:tcW w:w="1134" w:type="dxa"/>
          </w:tcPr>
          <w:p w14:paraId="44FE94A3" w14:textId="77777777" w:rsidR="006103B3" w:rsidRPr="00F90EAE" w:rsidRDefault="006103B3" w:rsidP="00F90EAE">
            <w:pPr>
              <w:autoSpaceDE w:val="0"/>
              <w:autoSpaceDN w:val="0"/>
              <w:adjustRightInd w:val="0"/>
              <w:jc w:val="both"/>
              <w:rPr>
                <w:color w:val="000000" w:themeColor="text1"/>
                <w:sz w:val="16"/>
                <w:szCs w:val="16"/>
              </w:rPr>
            </w:pPr>
          </w:p>
        </w:tc>
        <w:tc>
          <w:tcPr>
            <w:tcW w:w="992" w:type="dxa"/>
          </w:tcPr>
          <w:p w14:paraId="75990CC6" w14:textId="77777777" w:rsidR="006103B3" w:rsidRPr="00F90EAE" w:rsidRDefault="006103B3" w:rsidP="00F90EAE">
            <w:pPr>
              <w:autoSpaceDE w:val="0"/>
              <w:autoSpaceDN w:val="0"/>
              <w:adjustRightInd w:val="0"/>
              <w:jc w:val="both"/>
              <w:rPr>
                <w:color w:val="000000" w:themeColor="text1"/>
                <w:sz w:val="16"/>
                <w:szCs w:val="16"/>
              </w:rPr>
            </w:pPr>
          </w:p>
        </w:tc>
        <w:tc>
          <w:tcPr>
            <w:tcW w:w="1134" w:type="dxa"/>
          </w:tcPr>
          <w:p w14:paraId="0B8C06C9" w14:textId="77777777" w:rsidR="006103B3" w:rsidRPr="00F90EAE" w:rsidRDefault="006103B3" w:rsidP="00F90EAE">
            <w:pPr>
              <w:autoSpaceDE w:val="0"/>
              <w:autoSpaceDN w:val="0"/>
              <w:adjustRightInd w:val="0"/>
              <w:jc w:val="both"/>
              <w:rPr>
                <w:color w:val="000000" w:themeColor="text1"/>
                <w:sz w:val="16"/>
                <w:szCs w:val="16"/>
              </w:rPr>
            </w:pPr>
          </w:p>
        </w:tc>
      </w:tr>
      <w:tr w:rsidR="00561F31" w:rsidRPr="00F90EAE" w14:paraId="1676C1AB" w14:textId="77777777">
        <w:tc>
          <w:tcPr>
            <w:tcW w:w="675" w:type="dxa"/>
          </w:tcPr>
          <w:p w14:paraId="433577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993" w:type="dxa"/>
          </w:tcPr>
          <w:p w14:paraId="7532BA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342</w:t>
            </w:r>
          </w:p>
        </w:tc>
        <w:tc>
          <w:tcPr>
            <w:tcW w:w="1134" w:type="dxa"/>
          </w:tcPr>
          <w:p w14:paraId="3629CC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C8497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560</w:t>
            </w:r>
          </w:p>
        </w:tc>
        <w:tc>
          <w:tcPr>
            <w:tcW w:w="1134" w:type="dxa"/>
          </w:tcPr>
          <w:p w14:paraId="05BBF3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1400</w:t>
            </w:r>
          </w:p>
        </w:tc>
      </w:tr>
      <w:tr w:rsidR="00561F31" w:rsidRPr="00F90EAE" w14:paraId="1B313443" w14:textId="77777777">
        <w:tc>
          <w:tcPr>
            <w:tcW w:w="675" w:type="dxa"/>
          </w:tcPr>
          <w:p w14:paraId="64F0768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993" w:type="dxa"/>
          </w:tcPr>
          <w:p w14:paraId="77FF85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350</w:t>
            </w:r>
          </w:p>
        </w:tc>
        <w:tc>
          <w:tcPr>
            <w:tcW w:w="1134" w:type="dxa"/>
          </w:tcPr>
          <w:p w14:paraId="209F97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57EB6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093040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1390</w:t>
            </w:r>
          </w:p>
        </w:tc>
      </w:tr>
      <w:tr w:rsidR="00561F31" w:rsidRPr="00F90EAE" w14:paraId="50519C66" w14:textId="77777777">
        <w:tc>
          <w:tcPr>
            <w:tcW w:w="675" w:type="dxa"/>
          </w:tcPr>
          <w:p w14:paraId="49AEA3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2000</w:t>
            </w:r>
          </w:p>
        </w:tc>
        <w:tc>
          <w:tcPr>
            <w:tcW w:w="993" w:type="dxa"/>
          </w:tcPr>
          <w:p w14:paraId="4BBEFD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393</w:t>
            </w:r>
          </w:p>
        </w:tc>
        <w:tc>
          <w:tcPr>
            <w:tcW w:w="1134" w:type="dxa"/>
          </w:tcPr>
          <w:p w14:paraId="791E96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258740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585</w:t>
            </w:r>
          </w:p>
        </w:tc>
        <w:tc>
          <w:tcPr>
            <w:tcW w:w="1134" w:type="dxa"/>
          </w:tcPr>
          <w:p w14:paraId="50D32C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642C4237" w14:textId="77777777">
        <w:tc>
          <w:tcPr>
            <w:tcW w:w="675" w:type="dxa"/>
          </w:tcPr>
          <w:p w14:paraId="65E9D2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993" w:type="dxa"/>
          </w:tcPr>
          <w:p w14:paraId="564872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w:t>
            </w:r>
          </w:p>
        </w:tc>
        <w:tc>
          <w:tcPr>
            <w:tcW w:w="1134" w:type="dxa"/>
          </w:tcPr>
          <w:p w14:paraId="344F91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6BA078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w:t>
            </w:r>
          </w:p>
        </w:tc>
        <w:tc>
          <w:tcPr>
            <w:tcW w:w="1134" w:type="dxa"/>
          </w:tcPr>
          <w:p w14:paraId="064019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1370</w:t>
            </w:r>
          </w:p>
        </w:tc>
      </w:tr>
      <w:tr w:rsidR="00561F31" w:rsidRPr="00F90EAE" w14:paraId="69058DF8" w14:textId="77777777">
        <w:tc>
          <w:tcPr>
            <w:tcW w:w="675" w:type="dxa"/>
          </w:tcPr>
          <w:p w14:paraId="10F5348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993" w:type="dxa"/>
          </w:tcPr>
          <w:p w14:paraId="29EC5B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392</w:t>
            </w:r>
          </w:p>
        </w:tc>
        <w:tc>
          <w:tcPr>
            <w:tcW w:w="1134" w:type="dxa"/>
          </w:tcPr>
          <w:p w14:paraId="6B6F18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1FFDB2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62B8DD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21E95B99" w14:textId="77777777">
        <w:tc>
          <w:tcPr>
            <w:tcW w:w="675" w:type="dxa"/>
          </w:tcPr>
          <w:p w14:paraId="152457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993" w:type="dxa"/>
          </w:tcPr>
          <w:p w14:paraId="2E3081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386</w:t>
            </w:r>
          </w:p>
        </w:tc>
        <w:tc>
          <w:tcPr>
            <w:tcW w:w="1134" w:type="dxa"/>
          </w:tcPr>
          <w:p w14:paraId="15DA9D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7ECFCB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625</w:t>
            </w:r>
          </w:p>
        </w:tc>
        <w:tc>
          <w:tcPr>
            <w:tcW w:w="1134" w:type="dxa"/>
          </w:tcPr>
          <w:p w14:paraId="04B4A9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1350</w:t>
            </w:r>
          </w:p>
        </w:tc>
      </w:tr>
      <w:tr w:rsidR="00561F31" w:rsidRPr="00F90EAE" w14:paraId="049DDC19" w14:textId="77777777">
        <w:tc>
          <w:tcPr>
            <w:tcW w:w="675" w:type="dxa"/>
          </w:tcPr>
          <w:p w14:paraId="106BC18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993" w:type="dxa"/>
          </w:tcPr>
          <w:p w14:paraId="10EBC2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390</w:t>
            </w:r>
          </w:p>
        </w:tc>
        <w:tc>
          <w:tcPr>
            <w:tcW w:w="1134" w:type="dxa"/>
          </w:tcPr>
          <w:p w14:paraId="3FA43C2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243</w:t>
            </w:r>
          </w:p>
        </w:tc>
        <w:tc>
          <w:tcPr>
            <w:tcW w:w="992" w:type="dxa"/>
          </w:tcPr>
          <w:p w14:paraId="1AA5632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645</w:t>
            </w:r>
          </w:p>
        </w:tc>
        <w:tc>
          <w:tcPr>
            <w:tcW w:w="1134" w:type="dxa"/>
          </w:tcPr>
          <w:p w14:paraId="55D918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0C32B572" w14:textId="77777777">
        <w:tc>
          <w:tcPr>
            <w:tcW w:w="675" w:type="dxa"/>
          </w:tcPr>
          <w:p w14:paraId="37114D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993" w:type="dxa"/>
          </w:tcPr>
          <w:p w14:paraId="2DDEA2B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382</w:t>
            </w:r>
          </w:p>
        </w:tc>
        <w:tc>
          <w:tcPr>
            <w:tcW w:w="1134" w:type="dxa"/>
          </w:tcPr>
          <w:p w14:paraId="51154C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228</w:t>
            </w:r>
          </w:p>
        </w:tc>
        <w:tc>
          <w:tcPr>
            <w:tcW w:w="992" w:type="dxa"/>
          </w:tcPr>
          <w:p w14:paraId="392E4E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4090C0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1220</w:t>
            </w:r>
          </w:p>
        </w:tc>
      </w:tr>
      <w:tr w:rsidR="00561F31" w:rsidRPr="00F90EAE" w14:paraId="205A264A" w14:textId="77777777">
        <w:tc>
          <w:tcPr>
            <w:tcW w:w="675" w:type="dxa"/>
            <w:tcBorders>
              <w:bottom w:val="single" w:sz="12" w:space="0" w:color="auto"/>
            </w:tcBorders>
          </w:tcPr>
          <w:p w14:paraId="106791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993" w:type="dxa"/>
            <w:tcBorders>
              <w:bottom w:val="single" w:sz="12" w:space="0" w:color="auto"/>
            </w:tcBorders>
          </w:tcPr>
          <w:p w14:paraId="704414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366</w:t>
            </w:r>
          </w:p>
        </w:tc>
        <w:tc>
          <w:tcPr>
            <w:tcW w:w="1134" w:type="dxa"/>
            <w:tcBorders>
              <w:bottom w:val="single" w:sz="12" w:space="0" w:color="auto"/>
            </w:tcBorders>
          </w:tcPr>
          <w:p w14:paraId="7ED0EB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213</w:t>
            </w:r>
          </w:p>
        </w:tc>
        <w:tc>
          <w:tcPr>
            <w:tcW w:w="992" w:type="dxa"/>
            <w:tcBorders>
              <w:bottom w:val="single" w:sz="12" w:space="0" w:color="auto"/>
            </w:tcBorders>
          </w:tcPr>
          <w:p w14:paraId="2FF4B1A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Borders>
              <w:bottom w:val="single" w:sz="12" w:space="0" w:color="auto"/>
            </w:tcBorders>
          </w:tcPr>
          <w:p w14:paraId="595155E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1100</w:t>
            </w:r>
          </w:p>
        </w:tc>
      </w:tr>
    </w:tbl>
    <w:p w14:paraId="3D7B99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Вертикальные скорости с-та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075"/>
        <w:gridCol w:w="1134"/>
        <w:gridCol w:w="1134"/>
        <w:gridCol w:w="1134"/>
        <w:gridCol w:w="1134"/>
        <w:gridCol w:w="1134"/>
      </w:tblGrid>
      <w:tr w:rsidR="00561F31" w:rsidRPr="00F90EAE" w14:paraId="5266A753" w14:textId="77777777">
        <w:tc>
          <w:tcPr>
            <w:tcW w:w="1868" w:type="dxa"/>
            <w:tcBorders>
              <w:top w:val="single" w:sz="12" w:space="0" w:color="auto"/>
            </w:tcBorders>
          </w:tcPr>
          <w:p w14:paraId="49B9114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высота</w:t>
            </w:r>
          </w:p>
        </w:tc>
        <w:tc>
          <w:tcPr>
            <w:tcW w:w="1075" w:type="dxa"/>
            <w:tcBorders>
              <w:top w:val="single" w:sz="12" w:space="0" w:color="auto"/>
            </w:tcBorders>
          </w:tcPr>
          <w:p w14:paraId="5BD8E3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Скороподъемность (м/с)</w:t>
            </w:r>
          </w:p>
        </w:tc>
        <w:tc>
          <w:tcPr>
            <w:tcW w:w="1134" w:type="dxa"/>
            <w:tcBorders>
              <w:top w:val="single" w:sz="12" w:space="0" w:color="auto"/>
            </w:tcBorders>
          </w:tcPr>
          <w:p w14:paraId="2A9F78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время</w:t>
            </w:r>
          </w:p>
        </w:tc>
        <w:tc>
          <w:tcPr>
            <w:tcW w:w="1134" w:type="dxa"/>
            <w:tcBorders>
              <w:top w:val="single" w:sz="12" w:space="0" w:color="auto"/>
            </w:tcBorders>
          </w:tcPr>
          <w:p w14:paraId="42D47C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Скорость гор.</w:t>
            </w:r>
          </w:p>
        </w:tc>
        <w:tc>
          <w:tcPr>
            <w:tcW w:w="1134" w:type="dxa"/>
            <w:tcBorders>
              <w:top w:val="single" w:sz="12" w:space="0" w:color="auto"/>
            </w:tcBorders>
          </w:tcPr>
          <w:p w14:paraId="6CCB3A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Расход топлива г/л.с./ч</w:t>
            </w:r>
          </w:p>
        </w:tc>
        <w:tc>
          <w:tcPr>
            <w:tcW w:w="1134" w:type="dxa"/>
            <w:tcBorders>
              <w:top w:val="single" w:sz="12" w:space="0" w:color="auto"/>
            </w:tcBorders>
          </w:tcPr>
          <w:p w14:paraId="4B9E2B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Темп. Выхлопных газов - средняя для 4-х</w:t>
            </w:r>
          </w:p>
        </w:tc>
        <w:tc>
          <w:tcPr>
            <w:tcW w:w="1134" w:type="dxa"/>
            <w:tcBorders>
              <w:top w:val="single" w:sz="12" w:space="0" w:color="auto"/>
            </w:tcBorders>
          </w:tcPr>
          <w:p w14:paraId="0DF385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Наддув</w:t>
            </w:r>
          </w:p>
        </w:tc>
      </w:tr>
      <w:tr w:rsidR="00561F31" w:rsidRPr="00F90EAE" w14:paraId="5642670E" w14:textId="77777777">
        <w:tc>
          <w:tcPr>
            <w:tcW w:w="1868" w:type="dxa"/>
          </w:tcPr>
          <w:p w14:paraId="472DF2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075" w:type="dxa"/>
          </w:tcPr>
          <w:p w14:paraId="48AF4A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1134" w:type="dxa"/>
          </w:tcPr>
          <w:p w14:paraId="07D7B6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797F8C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Pr>
          <w:p w14:paraId="2D4B8C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46485D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34" w:type="dxa"/>
          </w:tcPr>
          <w:p w14:paraId="6142AF0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1380</w:t>
            </w:r>
          </w:p>
        </w:tc>
      </w:tr>
      <w:tr w:rsidR="00561F31" w:rsidRPr="00F90EAE" w14:paraId="5BC421C5" w14:textId="77777777">
        <w:tc>
          <w:tcPr>
            <w:tcW w:w="1868" w:type="dxa"/>
          </w:tcPr>
          <w:p w14:paraId="4C785C0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1000</w:t>
            </w:r>
          </w:p>
        </w:tc>
        <w:tc>
          <w:tcPr>
            <w:tcW w:w="1075" w:type="dxa"/>
          </w:tcPr>
          <w:p w14:paraId="407042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w:t>
            </w:r>
          </w:p>
        </w:tc>
        <w:tc>
          <w:tcPr>
            <w:tcW w:w="1134" w:type="dxa"/>
          </w:tcPr>
          <w:p w14:paraId="2DA0ED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w:t>
            </w:r>
          </w:p>
        </w:tc>
        <w:tc>
          <w:tcPr>
            <w:tcW w:w="1134" w:type="dxa"/>
          </w:tcPr>
          <w:p w14:paraId="11CB64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198</w:t>
            </w:r>
          </w:p>
        </w:tc>
        <w:tc>
          <w:tcPr>
            <w:tcW w:w="1134" w:type="dxa"/>
          </w:tcPr>
          <w:p w14:paraId="42CE4F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FDE6C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570</w:t>
            </w:r>
          </w:p>
        </w:tc>
        <w:tc>
          <w:tcPr>
            <w:tcW w:w="1134" w:type="dxa"/>
          </w:tcPr>
          <w:p w14:paraId="12FF00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1360</w:t>
            </w:r>
          </w:p>
        </w:tc>
      </w:tr>
      <w:tr w:rsidR="00561F31" w:rsidRPr="00F90EAE" w14:paraId="14F6FBC9" w14:textId="77777777">
        <w:tc>
          <w:tcPr>
            <w:tcW w:w="1868" w:type="dxa"/>
          </w:tcPr>
          <w:p w14:paraId="0E505D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2000</w:t>
            </w:r>
          </w:p>
        </w:tc>
        <w:tc>
          <w:tcPr>
            <w:tcW w:w="1075" w:type="dxa"/>
          </w:tcPr>
          <w:p w14:paraId="3C20F18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4,5</w:t>
            </w:r>
          </w:p>
        </w:tc>
        <w:tc>
          <w:tcPr>
            <w:tcW w:w="1134" w:type="dxa"/>
          </w:tcPr>
          <w:p w14:paraId="56DE16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w:t>
            </w:r>
          </w:p>
        </w:tc>
        <w:tc>
          <w:tcPr>
            <w:tcW w:w="1134" w:type="dxa"/>
          </w:tcPr>
          <w:p w14:paraId="2120FC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196</w:t>
            </w:r>
          </w:p>
        </w:tc>
        <w:tc>
          <w:tcPr>
            <w:tcW w:w="1134" w:type="dxa"/>
          </w:tcPr>
          <w:p w14:paraId="098A36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164BCC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590</w:t>
            </w:r>
          </w:p>
        </w:tc>
        <w:tc>
          <w:tcPr>
            <w:tcW w:w="1134" w:type="dxa"/>
          </w:tcPr>
          <w:p w14:paraId="74FFD0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1340</w:t>
            </w:r>
          </w:p>
        </w:tc>
      </w:tr>
      <w:tr w:rsidR="00561F31" w:rsidRPr="00F90EAE" w14:paraId="3324FD93" w14:textId="77777777">
        <w:tc>
          <w:tcPr>
            <w:tcW w:w="1868" w:type="dxa"/>
          </w:tcPr>
          <w:p w14:paraId="622618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3000</w:t>
            </w:r>
          </w:p>
        </w:tc>
        <w:tc>
          <w:tcPr>
            <w:tcW w:w="1075" w:type="dxa"/>
          </w:tcPr>
          <w:p w14:paraId="6A950E7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4,1</w:t>
            </w:r>
          </w:p>
        </w:tc>
        <w:tc>
          <w:tcPr>
            <w:tcW w:w="1134" w:type="dxa"/>
          </w:tcPr>
          <w:p w14:paraId="73588A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11,0</w:t>
            </w:r>
          </w:p>
        </w:tc>
        <w:tc>
          <w:tcPr>
            <w:tcW w:w="1134" w:type="dxa"/>
          </w:tcPr>
          <w:p w14:paraId="26C53A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w:t>
            </w:r>
          </w:p>
        </w:tc>
        <w:tc>
          <w:tcPr>
            <w:tcW w:w="1134" w:type="dxa"/>
          </w:tcPr>
          <w:p w14:paraId="775C1B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239826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610</w:t>
            </w:r>
          </w:p>
        </w:tc>
        <w:tc>
          <w:tcPr>
            <w:tcW w:w="1134" w:type="dxa"/>
          </w:tcPr>
          <w:p w14:paraId="1F058D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1320</w:t>
            </w:r>
          </w:p>
        </w:tc>
      </w:tr>
      <w:tr w:rsidR="00561F31" w:rsidRPr="00F90EAE" w14:paraId="784D98F3" w14:textId="77777777">
        <w:tc>
          <w:tcPr>
            <w:tcW w:w="1868" w:type="dxa"/>
          </w:tcPr>
          <w:p w14:paraId="2D20C2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4000</w:t>
            </w:r>
          </w:p>
        </w:tc>
        <w:tc>
          <w:tcPr>
            <w:tcW w:w="1075" w:type="dxa"/>
          </w:tcPr>
          <w:p w14:paraId="5CBF4C6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3.7</w:t>
            </w:r>
          </w:p>
        </w:tc>
        <w:tc>
          <w:tcPr>
            <w:tcW w:w="1134" w:type="dxa"/>
          </w:tcPr>
          <w:p w14:paraId="31E39D9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15,0</w:t>
            </w:r>
          </w:p>
        </w:tc>
        <w:tc>
          <w:tcPr>
            <w:tcW w:w="1134" w:type="dxa"/>
          </w:tcPr>
          <w:p w14:paraId="042128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190</w:t>
            </w:r>
          </w:p>
        </w:tc>
        <w:tc>
          <w:tcPr>
            <w:tcW w:w="1134" w:type="dxa"/>
          </w:tcPr>
          <w:p w14:paraId="071BD2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516FF8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630</w:t>
            </w:r>
          </w:p>
        </w:tc>
        <w:tc>
          <w:tcPr>
            <w:tcW w:w="1134" w:type="dxa"/>
          </w:tcPr>
          <w:p w14:paraId="4FA497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1310</w:t>
            </w:r>
          </w:p>
        </w:tc>
      </w:tr>
      <w:tr w:rsidR="00561F31" w:rsidRPr="00F90EAE" w14:paraId="418F642E" w14:textId="77777777">
        <w:tc>
          <w:tcPr>
            <w:tcW w:w="1868" w:type="dxa"/>
          </w:tcPr>
          <w:p w14:paraId="53F187A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5000</w:t>
            </w:r>
          </w:p>
        </w:tc>
        <w:tc>
          <w:tcPr>
            <w:tcW w:w="1075" w:type="dxa"/>
          </w:tcPr>
          <w:p w14:paraId="73EE08B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w:t>
            </w:r>
          </w:p>
        </w:tc>
        <w:tc>
          <w:tcPr>
            <w:tcW w:w="1134" w:type="dxa"/>
          </w:tcPr>
          <w:p w14:paraId="0DD1B9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19,5</w:t>
            </w:r>
          </w:p>
        </w:tc>
        <w:tc>
          <w:tcPr>
            <w:tcW w:w="1134" w:type="dxa"/>
          </w:tcPr>
          <w:p w14:paraId="41C4C1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187</w:t>
            </w:r>
          </w:p>
        </w:tc>
        <w:tc>
          <w:tcPr>
            <w:tcW w:w="1134" w:type="dxa"/>
          </w:tcPr>
          <w:p w14:paraId="343894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99AFB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650</w:t>
            </w:r>
          </w:p>
        </w:tc>
        <w:tc>
          <w:tcPr>
            <w:tcW w:w="1134" w:type="dxa"/>
          </w:tcPr>
          <w:p w14:paraId="49B861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1300</w:t>
            </w:r>
          </w:p>
        </w:tc>
      </w:tr>
      <w:tr w:rsidR="00561F31" w:rsidRPr="00F90EAE" w14:paraId="19F1E697" w14:textId="77777777">
        <w:tc>
          <w:tcPr>
            <w:tcW w:w="1868" w:type="dxa"/>
          </w:tcPr>
          <w:p w14:paraId="35030D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6000</w:t>
            </w:r>
          </w:p>
        </w:tc>
        <w:tc>
          <w:tcPr>
            <w:tcW w:w="1075" w:type="dxa"/>
          </w:tcPr>
          <w:p w14:paraId="5119A65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34" w:type="dxa"/>
          </w:tcPr>
          <w:p w14:paraId="600F04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25,0</w:t>
            </w:r>
          </w:p>
        </w:tc>
        <w:tc>
          <w:tcPr>
            <w:tcW w:w="1134" w:type="dxa"/>
          </w:tcPr>
          <w:p w14:paraId="3B2EE1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183</w:t>
            </w:r>
          </w:p>
        </w:tc>
        <w:tc>
          <w:tcPr>
            <w:tcW w:w="1134" w:type="dxa"/>
          </w:tcPr>
          <w:p w14:paraId="108FC4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240</w:t>
            </w:r>
          </w:p>
        </w:tc>
        <w:tc>
          <w:tcPr>
            <w:tcW w:w="1134" w:type="dxa"/>
          </w:tcPr>
          <w:p w14:paraId="768099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660</w:t>
            </w:r>
          </w:p>
        </w:tc>
        <w:tc>
          <w:tcPr>
            <w:tcW w:w="1134" w:type="dxa"/>
          </w:tcPr>
          <w:p w14:paraId="3E889C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1290</w:t>
            </w:r>
          </w:p>
        </w:tc>
      </w:tr>
      <w:tr w:rsidR="00561F31" w:rsidRPr="00F90EAE" w14:paraId="3EEEF1D3" w14:textId="77777777">
        <w:tc>
          <w:tcPr>
            <w:tcW w:w="1868" w:type="dxa"/>
          </w:tcPr>
          <w:p w14:paraId="7027DF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1075" w:type="dxa"/>
          </w:tcPr>
          <w:p w14:paraId="44C3CC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34" w:type="dxa"/>
          </w:tcPr>
          <w:p w14:paraId="26955C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31,5</w:t>
            </w:r>
          </w:p>
        </w:tc>
        <w:tc>
          <w:tcPr>
            <w:tcW w:w="1134" w:type="dxa"/>
          </w:tcPr>
          <w:p w14:paraId="4B0298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179</w:t>
            </w:r>
          </w:p>
        </w:tc>
        <w:tc>
          <w:tcPr>
            <w:tcW w:w="1134" w:type="dxa"/>
          </w:tcPr>
          <w:p w14:paraId="3D9EEF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220</w:t>
            </w:r>
          </w:p>
        </w:tc>
        <w:tc>
          <w:tcPr>
            <w:tcW w:w="1134" w:type="dxa"/>
          </w:tcPr>
          <w:p w14:paraId="156299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680</w:t>
            </w:r>
          </w:p>
        </w:tc>
        <w:tc>
          <w:tcPr>
            <w:tcW w:w="1134" w:type="dxa"/>
          </w:tcPr>
          <w:p w14:paraId="02BA44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1160</w:t>
            </w:r>
          </w:p>
        </w:tc>
      </w:tr>
      <w:tr w:rsidR="00561F31" w:rsidRPr="00F90EAE" w14:paraId="67F9A608" w14:textId="77777777">
        <w:tc>
          <w:tcPr>
            <w:tcW w:w="1868" w:type="dxa"/>
            <w:tcBorders>
              <w:bottom w:val="single" w:sz="12" w:space="0" w:color="auto"/>
            </w:tcBorders>
          </w:tcPr>
          <w:p w14:paraId="6FBFF4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8000</w:t>
            </w:r>
          </w:p>
        </w:tc>
        <w:tc>
          <w:tcPr>
            <w:tcW w:w="1075" w:type="dxa"/>
            <w:tcBorders>
              <w:bottom w:val="single" w:sz="12" w:space="0" w:color="auto"/>
            </w:tcBorders>
          </w:tcPr>
          <w:p w14:paraId="321BB86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0,9</w:t>
            </w:r>
          </w:p>
        </w:tc>
        <w:tc>
          <w:tcPr>
            <w:tcW w:w="1134" w:type="dxa"/>
            <w:tcBorders>
              <w:bottom w:val="single" w:sz="12" w:space="0" w:color="auto"/>
            </w:tcBorders>
          </w:tcPr>
          <w:p w14:paraId="6C7EB3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42,0</w:t>
            </w:r>
          </w:p>
        </w:tc>
        <w:tc>
          <w:tcPr>
            <w:tcW w:w="1134" w:type="dxa"/>
            <w:tcBorders>
              <w:bottom w:val="single" w:sz="12" w:space="0" w:color="auto"/>
            </w:tcBorders>
          </w:tcPr>
          <w:p w14:paraId="53BF75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184</w:t>
            </w:r>
          </w:p>
        </w:tc>
        <w:tc>
          <w:tcPr>
            <w:tcW w:w="1134" w:type="dxa"/>
            <w:tcBorders>
              <w:bottom w:val="single" w:sz="12" w:space="0" w:color="auto"/>
            </w:tcBorders>
          </w:tcPr>
          <w:p w14:paraId="731CA2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200</w:t>
            </w:r>
          </w:p>
        </w:tc>
        <w:tc>
          <w:tcPr>
            <w:tcW w:w="1134" w:type="dxa"/>
            <w:tcBorders>
              <w:bottom w:val="single" w:sz="12" w:space="0" w:color="auto"/>
            </w:tcBorders>
          </w:tcPr>
          <w:p w14:paraId="2C819E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w:t>
            </w:r>
          </w:p>
        </w:tc>
        <w:tc>
          <w:tcPr>
            <w:tcW w:w="1134" w:type="dxa"/>
            <w:tcBorders>
              <w:bottom w:val="single" w:sz="12" w:space="0" w:color="auto"/>
            </w:tcBorders>
          </w:tcPr>
          <w:p w14:paraId="039AE2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1060</w:t>
            </w:r>
          </w:p>
        </w:tc>
      </w:tr>
    </w:tbl>
    <w:p w14:paraId="6F6369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гр. Высотности - 1850 м, скор. 5,7, 2-я гр. Высотности - 5500, скор. 3,15</w:t>
      </w:r>
    </w:p>
    <w:p w14:paraId="53CAC9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ГК НИИ ВВС гп ис А.Репин</w:t>
      </w:r>
    </w:p>
    <w:p w14:paraId="25B30E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июня 1945</w:t>
      </w:r>
    </w:p>
    <w:p w14:paraId="614500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 ГК НИИ ВВС</w:t>
      </w:r>
    </w:p>
    <w:p w14:paraId="2F3773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гм а </w:t>
      </w:r>
    </w:p>
    <w:p w14:paraId="7D4BEF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мая 1945</w:t>
      </w:r>
    </w:p>
    <w:p w14:paraId="6536B2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 2У ГК НИИ ВВС</w:t>
      </w:r>
    </w:p>
    <w:p w14:paraId="7E789B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гм иас М.Левин</w:t>
      </w:r>
    </w:p>
    <w:p w14:paraId="73E8033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мая 1945 (1000,3).</w:t>
      </w:r>
    </w:p>
    <w:p w14:paraId="26CF6A36" w14:textId="77777777" w:rsidR="006103B3" w:rsidRPr="00F90EAE" w:rsidRDefault="006103B3" w:rsidP="00F90EAE">
      <w:pPr>
        <w:autoSpaceDE w:val="0"/>
        <w:autoSpaceDN w:val="0"/>
        <w:adjustRightInd w:val="0"/>
        <w:jc w:val="both"/>
        <w:rPr>
          <w:color w:val="000000" w:themeColor="text1"/>
          <w:sz w:val="16"/>
          <w:szCs w:val="16"/>
        </w:rPr>
      </w:pPr>
    </w:p>
    <w:p w14:paraId="7E2A536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произошла катастрофа с ДБ-108 В.М.М. и при заходе на посадку с одним мотором (второй горел и был выключен) л Васильченко зацепил за деревенский дом и врезался во второй. Погиб ви Л.А.Дьяков, двое детей и еще один чел. (2471,42).</w:t>
      </w:r>
    </w:p>
    <w:p w14:paraId="38CDD887" w14:textId="77777777" w:rsidR="006103B3" w:rsidRPr="00F90EAE" w:rsidRDefault="006103B3" w:rsidP="00F90EAE">
      <w:pPr>
        <w:autoSpaceDE w:val="0"/>
        <w:autoSpaceDN w:val="0"/>
        <w:adjustRightInd w:val="0"/>
        <w:jc w:val="both"/>
        <w:rPr>
          <w:color w:val="000000" w:themeColor="text1"/>
          <w:sz w:val="16"/>
          <w:szCs w:val="16"/>
        </w:rPr>
      </w:pPr>
    </w:p>
    <w:p w14:paraId="4BF88BA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г. в одном из испытательных полетов произошла катастрофа ДВБ-108 -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был тяжело ранен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(4476).</w:t>
      </w:r>
    </w:p>
    <w:p w14:paraId="19138DD8" w14:textId="77777777" w:rsidR="006103B3" w:rsidRPr="00F90EAE" w:rsidRDefault="006103B3" w:rsidP="00F90EAE">
      <w:pPr>
        <w:autoSpaceDE w:val="0"/>
        <w:autoSpaceDN w:val="0"/>
        <w:adjustRightInd w:val="0"/>
        <w:jc w:val="both"/>
        <w:rPr>
          <w:color w:val="000000" w:themeColor="text1"/>
          <w:sz w:val="16"/>
          <w:szCs w:val="16"/>
        </w:rPr>
      </w:pPr>
    </w:p>
    <w:p w14:paraId="1E356612" w14:textId="77777777" w:rsidR="00B87114" w:rsidRPr="00F90EAE" w:rsidRDefault="00B87114" w:rsidP="00F90EAE">
      <w:pPr>
        <w:jc w:val="both"/>
        <w:rPr>
          <w:color w:val="000000" w:themeColor="text1"/>
          <w:sz w:val="16"/>
          <w:szCs w:val="16"/>
        </w:rPr>
      </w:pPr>
      <w:r w:rsidRPr="00F90EAE">
        <w:rPr>
          <w:bCs/>
          <w:color w:val="000000" w:themeColor="text1"/>
          <w:sz w:val="16"/>
          <w:szCs w:val="16"/>
        </w:rPr>
        <w:t>5 июня</w:t>
      </w:r>
      <w:r w:rsidRPr="00F90EAE">
        <w:rPr>
          <w:color w:val="000000" w:themeColor="text1"/>
          <w:sz w:val="16"/>
          <w:szCs w:val="16"/>
        </w:rPr>
        <w:t xml:space="preserve"> в 1945 году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Л.А.Дьяконов и трое жителей (в том числе двое детей), а сам Васильченко был тяжело ранен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 (14913).</w:t>
      </w:r>
    </w:p>
    <w:p w14:paraId="019988C6" w14:textId="77777777" w:rsidR="00B87114" w:rsidRPr="00F90EAE" w:rsidRDefault="00B87114" w:rsidP="00F90EAE">
      <w:pPr>
        <w:jc w:val="both"/>
        <w:rPr>
          <w:color w:val="000000" w:themeColor="text1"/>
          <w:sz w:val="16"/>
          <w:szCs w:val="16"/>
        </w:rPr>
      </w:pPr>
    </w:p>
    <w:p w14:paraId="7A20CB4C" w14:textId="77777777" w:rsidR="00B87114" w:rsidRPr="00F90EAE" w:rsidRDefault="00B87114"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5 июня 1945 первый экземпляр ДБ 2ВК-108 по</w:t>
      </w:r>
      <w:r w:rsidRPr="00F90EAE">
        <w:rPr>
          <w:rFonts w:ascii="Times New Roman" w:cs="Times New Roman"/>
          <w:color w:val="000000" w:themeColor="text1"/>
          <w:spacing w:val="0"/>
        </w:rPr>
        <w:softHyphen/>
        <w:t>терпел катастрофу. На высоте 1500 м «по причине плохой герметизации со</w:t>
      </w:r>
      <w:r w:rsidRPr="00F90EAE">
        <w:rPr>
          <w:rFonts w:ascii="Times New Roman" w:cs="Times New Roman"/>
          <w:color w:val="000000" w:themeColor="text1"/>
          <w:spacing w:val="0"/>
        </w:rPr>
        <w:softHyphen/>
        <w:t>единения самолетной бензопроводки с карбюратором правого блока право</w:t>
      </w:r>
      <w:r w:rsidRPr="00F90EAE">
        <w:rPr>
          <w:rFonts w:ascii="Times New Roman" w:cs="Times New Roman"/>
          <w:color w:val="000000" w:themeColor="text1"/>
          <w:spacing w:val="0"/>
        </w:rPr>
        <w:softHyphen/>
        <w:t>го мотора» на самолете загорелся пра</w:t>
      </w:r>
      <w:r w:rsidRPr="00F90EAE">
        <w:rPr>
          <w:rFonts w:ascii="Times New Roman" w:cs="Times New Roman"/>
          <w:color w:val="000000" w:themeColor="text1"/>
          <w:spacing w:val="0"/>
        </w:rPr>
        <w:softHyphen/>
        <w:t>вый мотор. При посадке при одном ра</w:t>
      </w:r>
      <w:r w:rsidRPr="00F90EAE">
        <w:rPr>
          <w:rFonts w:ascii="Times New Roman" w:cs="Times New Roman"/>
          <w:color w:val="000000" w:themeColor="text1"/>
          <w:spacing w:val="0"/>
        </w:rPr>
        <w:softHyphen/>
        <w:t>ботающем моторе летчик-испытатель завода №22 капитан Васильченко «сде</w:t>
      </w:r>
      <w:r w:rsidRPr="00F90EAE">
        <w:rPr>
          <w:rFonts w:ascii="Times New Roman" w:cs="Times New Roman"/>
          <w:color w:val="000000" w:themeColor="text1"/>
          <w:spacing w:val="0"/>
        </w:rPr>
        <w:softHyphen/>
        <w:t>лал змейку, чтобы пропустить садящий</w:t>
      </w:r>
      <w:r w:rsidRPr="00F90EAE">
        <w:rPr>
          <w:rFonts w:ascii="Times New Roman" w:cs="Times New Roman"/>
          <w:color w:val="000000" w:themeColor="text1"/>
          <w:spacing w:val="0"/>
        </w:rPr>
        <w:softHyphen/>
        <w:t>ся Пе-2, и задел за дом». Погибли веду</w:t>
      </w:r>
      <w:r w:rsidRPr="00F90EAE">
        <w:rPr>
          <w:rFonts w:ascii="Times New Roman" w:cs="Times New Roman"/>
          <w:color w:val="000000" w:themeColor="text1"/>
          <w:spacing w:val="0"/>
        </w:rPr>
        <w:softHyphen/>
        <w:t>щий инженер по самолету Дьяконов и трое жителей, а Васильченко - получил тяжелые ранения (15758).</w:t>
      </w:r>
    </w:p>
    <w:p w14:paraId="57242BBA" w14:textId="77777777" w:rsidR="00B87114" w:rsidRPr="00F90EAE" w:rsidRDefault="00B87114" w:rsidP="00F90EAE">
      <w:pPr>
        <w:pStyle w:val="27"/>
        <w:shd w:val="clear" w:color="auto" w:fill="auto"/>
        <w:spacing w:after="0" w:line="240" w:lineRule="auto"/>
        <w:ind w:firstLine="0"/>
        <w:rPr>
          <w:rFonts w:ascii="Times New Roman" w:cs="Times New Roman"/>
          <w:color w:val="000000" w:themeColor="text1"/>
          <w:spacing w:val="0"/>
        </w:rPr>
      </w:pPr>
    </w:p>
    <w:p w14:paraId="21AE73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г. произошла катастрофа ДБ-108 - при заходе на посадку на одном моторе (второй горел и был выключен) летчик Васильченко зацепился за деревенский дом и врезался в другой. Погиб ведущий инженер самолета Л.А. Дьяконов и трое жителей (в том числе двое детей), а сам Васильченко получил тяжелое ранение и чудом остался жив. Косвенной причиной катастрофы явилась халатность руководства летно-испытательной станции завода № 22, выпустившего опытный самолет в полет одновременно с плановым облетом серийных машин. Одна из этих "пешек" помешала тянувшему на посадку Васильченко, ему пришлось делать "змейку" и потерять драгоценные секунды и метры высоты.</w:t>
      </w:r>
    </w:p>
    <w:p w14:paraId="3C8D57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Следует отметить, что цепочка аварий и катастроф в первые послевоенные месяцы серьезно сказалась на реноме ОКО-22. Так, 29 мая произошел взрыв ракетного двигателя РД-1ХЗ на опытном самолете Пе-2 зав. № 15/185, а 4 июля в результате обрыва шатуна мотора потерпел аварию третий серийный Пе-2И. В этом же месяце в соответствии с постановлением ГКО завод № 22 прекратил выпуск боевых вариантов "пешек" и полностью перешел на производство учебных УПе-2, совершенно необходимых для обучения экипажей в мирное время. В августе последовало решение о запуске в серию на заводе № 22 самолета Б-4 (будущего Ту-4). Конструкторский коллектив ОКО-22 передали в подчинение И.Ф. Незваля, который, в свою очередь, поступил в распоряжение нового главного конструктора А.Н. Туполева.</w:t>
      </w:r>
    </w:p>
    <w:p w14:paraId="155964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Однако основные кадры Мясищева, занимавшиеся проектированием новых самолетов, к этому времени трудились в Москве. Для выполнения опытных работ Владимиру Михайловичу еще в 1944 г. предоставили небольшой авиазавод № 482. После сворачивания работ по "суперпешкам" на заводе № 22 сюда же перебросили, предварительно разобрав, второй опытный бомбардировщик ДБ-108. Его конструкция послужила основой для создания двух новых вариантов "суперпешки": дальнего истребителя сопровождения ДИС с двумя моторами ВК-107А и высотного бомбардировщика с еще более мощными двигателями ВК-109 (в переписке он обозначался как ВБ-2ВК-109, ВДБ-2ВК-109 или ВБ-109).</w:t>
      </w:r>
    </w:p>
    <w:p w14:paraId="2182C6A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Необходимость в истребителе сопровождения, способном обеспечивать пролет дальних бомбардировщиков через наиболее опасную прифронтовую зону, а если возможно - то и на всю глубину боевой задачи, не раз высказывалась специалистами НИИ ВВС. Так, на 1944 г. задавались следующие желаемые характеристики к "двухмоторному двухместному истребителю, крейсеру и истребителю ПВО": "Максимальная скорость полета у земли - 625 км/ч, на высоте - 700 км/ч, два мотора воздушного охлаждения, дальность полета 3000 км, вооружение - две пушки ВЯ и два пулемета УБК".</w:t>
      </w:r>
    </w:p>
    <w:p w14:paraId="310B98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Советские ВВС в годы Великой Отечественной войны не располагали машинами такого назначения (если не считать относительно немногочисленных и далеких от совершенства Пе-3), что вынуждало применять авиацию дальнего действия исключительно в ночных условиях. Однако в 1944-1945 гг. темнота перестала быть эффективным средством защиты, поскольку совершенствование немцами наземных и авиационных радиолокаторов начало затруднять использование этой тактики (12042).</w:t>
      </w:r>
    </w:p>
    <w:p w14:paraId="24DD0088" w14:textId="77777777" w:rsidR="006103B3" w:rsidRPr="00F90EAE" w:rsidRDefault="006103B3" w:rsidP="00F90EAE">
      <w:pPr>
        <w:autoSpaceDE w:val="0"/>
        <w:autoSpaceDN w:val="0"/>
        <w:adjustRightInd w:val="0"/>
        <w:jc w:val="both"/>
        <w:rPr>
          <w:color w:val="000000" w:themeColor="text1"/>
          <w:sz w:val="16"/>
          <w:szCs w:val="16"/>
        </w:rPr>
      </w:pPr>
    </w:p>
    <w:p w14:paraId="4D6A321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E110155" w14:textId="77777777" w:rsidR="006103B3" w:rsidRPr="00F90EAE" w:rsidRDefault="006103B3" w:rsidP="00F90EAE">
      <w:pPr>
        <w:autoSpaceDE w:val="0"/>
        <w:autoSpaceDN w:val="0"/>
        <w:adjustRightInd w:val="0"/>
        <w:jc w:val="both"/>
        <w:rPr>
          <w:iCs/>
          <w:color w:val="000000" w:themeColor="text1"/>
          <w:sz w:val="16"/>
          <w:szCs w:val="16"/>
        </w:rPr>
      </w:pPr>
    </w:p>
    <w:p w14:paraId="6D6D1DAD" w14:textId="77777777" w:rsidR="00E52CE4" w:rsidRPr="00F90EAE" w:rsidRDefault="00E52CE4" w:rsidP="00F90EAE">
      <w:pPr>
        <w:shd w:val="clear" w:color="auto" w:fill="FFFFFF"/>
        <w:jc w:val="both"/>
        <w:rPr>
          <w:color w:val="000000" w:themeColor="text1"/>
          <w:sz w:val="16"/>
          <w:szCs w:val="16"/>
        </w:rPr>
      </w:pPr>
      <w:r w:rsidRPr="00F90EAE">
        <w:rPr>
          <w:color w:val="000000" w:themeColor="text1"/>
          <w:sz w:val="16"/>
          <w:szCs w:val="16"/>
        </w:rPr>
        <w:t xml:space="preserve">5 июня 1945 года был представлен эскизный проект тяжёлого танка </w:t>
      </w:r>
      <w:hyperlink r:id="rId139" w:history="1">
        <w:r w:rsidRPr="00F90EAE">
          <w:rPr>
            <w:color w:val="000000" w:themeColor="text1"/>
            <w:sz w:val="16"/>
            <w:szCs w:val="16"/>
          </w:rPr>
          <w:t>«Объект 257»</w:t>
        </w:r>
      </w:hyperlink>
      <w:r w:rsidRPr="00F90EAE">
        <w:rPr>
          <w:color w:val="000000" w:themeColor="text1"/>
          <w:sz w:val="16"/>
          <w:szCs w:val="16"/>
        </w:rPr>
        <w:t>, который обладал увеличенной броневой защитой и 122-мм пушкой БЛ-13. Предполагалось, что эта машина станет настоящим скачком вперёд для советского танкостроения. И тут совершенно неожиданно выяснилось, что в Германии обнаружен танк, который перспективной пушкой пробивался с трудом, а установленное на нём орудие вполне пробивало броню «Объекта 257» (17676).</w:t>
      </w:r>
    </w:p>
    <w:p w14:paraId="0E18632C" w14:textId="77777777" w:rsidR="00E52CE4" w:rsidRPr="00F90EAE" w:rsidRDefault="00E52CE4" w:rsidP="00F90EAE">
      <w:pPr>
        <w:jc w:val="both"/>
        <w:rPr>
          <w:color w:val="000000" w:themeColor="text1"/>
          <w:sz w:val="16"/>
          <w:szCs w:val="16"/>
        </w:rPr>
      </w:pPr>
    </w:p>
    <w:p w14:paraId="58A143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8925. О мерах по организации на заводе № 569 НКБ производства корпусов морских дымовых шашек. РГАНИР, Фонд ГКО, д. 425, лл. 96-97, 98 (11012).</w:t>
      </w:r>
    </w:p>
    <w:p w14:paraId="3D967981" w14:textId="77777777" w:rsidR="006103B3" w:rsidRPr="00F90EAE" w:rsidRDefault="006103B3" w:rsidP="00F90EAE">
      <w:pPr>
        <w:autoSpaceDE w:val="0"/>
        <w:autoSpaceDN w:val="0"/>
        <w:adjustRightInd w:val="0"/>
        <w:jc w:val="both"/>
        <w:rPr>
          <w:color w:val="000000" w:themeColor="text1"/>
          <w:sz w:val="16"/>
          <w:szCs w:val="16"/>
        </w:rPr>
      </w:pPr>
    </w:p>
    <w:p w14:paraId="50C028A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8926 [Об укомплектовании отдельного эксплуатационного и отдельного путевого железнодорожных полков.] (7347, 99).</w:t>
      </w:r>
    </w:p>
    <w:p w14:paraId="76E4398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C7FC5F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8927 [О ликвидации Западно-Двинского и Чудского военно-восстановительных управлений НКРФ.] (7347, 100).</w:t>
      </w:r>
    </w:p>
    <w:p w14:paraId="3CDB3B93"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18946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8928. Об организации конструкторского бюро НКБ по авиационным боеприпасам. РГАНИР, Фонд ГКО, д. 425, лл. 101 (11012).</w:t>
      </w:r>
    </w:p>
    <w:p w14:paraId="4A70DC5C" w14:textId="77777777" w:rsidR="006103B3" w:rsidRPr="00F90EAE" w:rsidRDefault="006103B3" w:rsidP="00F90EAE">
      <w:pPr>
        <w:autoSpaceDE w:val="0"/>
        <w:autoSpaceDN w:val="0"/>
        <w:adjustRightInd w:val="0"/>
        <w:jc w:val="both"/>
        <w:rPr>
          <w:color w:val="000000" w:themeColor="text1"/>
          <w:sz w:val="16"/>
          <w:szCs w:val="16"/>
        </w:rPr>
      </w:pPr>
    </w:p>
    <w:p w14:paraId="66C29F38"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8929 [О выделении бензина для работ по ремонту здания правительства в Кремле.] (7347, 102).</w:t>
      </w:r>
    </w:p>
    <w:p w14:paraId="5363137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AEE9A3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вышло Распоряжение ГКО № 8930 [О выделении самолета советнику НКВД при Министерстве общественной безопасности Польши.] (7347, 103).</w:t>
      </w:r>
    </w:p>
    <w:p w14:paraId="4E9E1B19"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2826AF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года вышло Постановление ГОКО за № 8928 и 13 июня 1945 года вышел приказ НКБ за № 220 которыми было основано ГСКБ-398.</w:t>
      </w:r>
    </w:p>
    <w:p w14:paraId="004F751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034C56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2A67B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67DDA6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Москва, Зацепа, д. 21</w:t>
      </w:r>
    </w:p>
    <w:p w14:paraId="3D57A5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ГСКБ-398 организовано на базе вспомогательных помещений завода № 398 (9491).</w:t>
      </w:r>
    </w:p>
    <w:p w14:paraId="6682361E" w14:textId="77777777" w:rsidR="006103B3" w:rsidRPr="00F90EAE" w:rsidRDefault="006103B3" w:rsidP="00F90EAE">
      <w:pPr>
        <w:autoSpaceDE w:val="0"/>
        <w:autoSpaceDN w:val="0"/>
        <w:adjustRightInd w:val="0"/>
        <w:jc w:val="both"/>
        <w:rPr>
          <w:color w:val="000000" w:themeColor="text1"/>
          <w:sz w:val="16"/>
          <w:szCs w:val="16"/>
        </w:rPr>
      </w:pPr>
    </w:p>
    <w:p w14:paraId="2C63174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0800A34" w14:textId="77777777" w:rsidR="006103B3" w:rsidRPr="00F90EAE" w:rsidRDefault="006103B3" w:rsidP="00F90EAE">
      <w:pPr>
        <w:autoSpaceDE w:val="0"/>
        <w:autoSpaceDN w:val="0"/>
        <w:adjustRightInd w:val="0"/>
        <w:jc w:val="both"/>
        <w:rPr>
          <w:iCs/>
          <w:color w:val="000000" w:themeColor="text1"/>
          <w:sz w:val="16"/>
          <w:szCs w:val="16"/>
        </w:rPr>
      </w:pPr>
    </w:p>
    <w:p w14:paraId="7B1454D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союзники подписали в Берлине Декларацию о поражении Германии (4962), Берлин был разделён на четыре оккупационные зоны (4963 ).</w:t>
      </w:r>
    </w:p>
    <w:p w14:paraId="5606AD5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935C816"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5 1945 Allies divide up Germany and Berlin and take over government (1050).</w:t>
      </w:r>
    </w:p>
    <w:p w14:paraId="7F49E521" w14:textId="77777777" w:rsidR="006103B3" w:rsidRPr="00F90EAE" w:rsidRDefault="006103B3" w:rsidP="00F90EAE">
      <w:pPr>
        <w:autoSpaceDE w:val="0"/>
        <w:autoSpaceDN w:val="0"/>
        <w:adjustRightInd w:val="0"/>
        <w:jc w:val="both"/>
        <w:rPr>
          <w:color w:val="000000" w:themeColor="text1"/>
          <w:sz w:val="16"/>
          <w:szCs w:val="16"/>
          <w:lang w:val="en-US"/>
        </w:rPr>
      </w:pPr>
    </w:p>
    <w:p w14:paraId="50E82D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июня 1945 союзники разделили Германию и Берлин и приняли на себя руководство территориями (1050). Это была декларация о поражении Германии (2438,211).</w:t>
      </w:r>
    </w:p>
    <w:p w14:paraId="76330E2E" w14:textId="77777777" w:rsidR="006103B3" w:rsidRPr="00F90EAE" w:rsidRDefault="006103B3" w:rsidP="00F90EAE">
      <w:pPr>
        <w:autoSpaceDE w:val="0"/>
        <w:autoSpaceDN w:val="0"/>
        <w:adjustRightInd w:val="0"/>
        <w:jc w:val="both"/>
        <w:rPr>
          <w:color w:val="000000" w:themeColor="text1"/>
          <w:sz w:val="16"/>
          <w:szCs w:val="16"/>
        </w:rPr>
      </w:pPr>
    </w:p>
    <w:p w14:paraId="1FB3F7B2" w14:textId="77777777" w:rsidR="00B87114" w:rsidRPr="00F90EAE" w:rsidRDefault="00B87114" w:rsidP="00F90EAE">
      <w:pPr>
        <w:jc w:val="both"/>
        <w:rPr>
          <w:bCs/>
          <w:color w:val="000000" w:themeColor="text1"/>
          <w:sz w:val="16"/>
          <w:szCs w:val="16"/>
        </w:rPr>
      </w:pPr>
      <w:r w:rsidRPr="00F90EAE">
        <w:rPr>
          <w:bCs/>
          <w:color w:val="000000" w:themeColor="text1"/>
          <w:sz w:val="16"/>
          <w:szCs w:val="16"/>
        </w:rPr>
        <w:t>5 июня</w:t>
      </w:r>
      <w:r w:rsidRPr="00F90EAE">
        <w:rPr>
          <w:color w:val="000000" w:themeColor="text1"/>
          <w:sz w:val="16"/>
          <w:szCs w:val="16"/>
        </w:rPr>
        <w:t xml:space="preserve"> в 1945 году военачальники союзных держав Жуков, Эйзенхауэр, Монтгомери и Делатр де Тасиньи подписали в Берлине декларации о поражении Германии и принятии верховной власти в отношении Германии правительствами СССР, США, Великобритании и Временным правительством Французской республики. Во время войны и после её окончания большая часть Берлина была разрушена в результате многочисленных бомбардировок и уличных боёв 1945 года. После захвата города Красной армией и полной и безоговорочной капитуляции Германии, Берлин, как и вся Германия, был разделён на три сектора под иностранным управлением. Секторы западных союзников (США, Великобритания) были образованы в западной части города, а сектор Советского Союза — в восточной. С 26 июля 1945 был образован четвертый французский сектор. Противостояние западных союзников и Советского Союза привело в 1948-1949 годах к экономической блокаде Западного Берлина, для преодоления которой западными союзниками был организован так называемый воздушный мост для снабжения города. Это противостояние привело также к образованию двух германских государств на оккупированных территориях: вначале ФРГ в западной зоне, а следом и ГДР на востоке — обеих в 1949 году. В 1953 году в Восточном Берлине произошло массовое антиправительственное выступление, подавленное с помощью советских оккупационных войск. Западный Берлин становится "витриной Запада", городом с высоким уровнем жизни, социальной защиты, демократических свобод. В то время как ФРГ основала новую столицу в городе Бонн, ГДР свою столицу разместила в Восточном Берлине. Конфликт между Востоком и Западом на территории Берлина повлёк в 1961 году в строительство Берлинской стены, возведённой по инициативе социалистической ГДР. Переход граждан с одной территории на другую допускался только через пограничные контрольно-пропускные пункты. В 1971 году было подписано Четырёхстороннее соглашение по Западному Берлину, урегулировавшее правовой статус разделённого города. После 1949 года, в начальный период разделения города на две (западную и восточную) части, примечательной чертой всех региональных проектов застройки города было практически полное игнорирование архитекторами (как на западе, так и на востоке) данной политической реалии. Соседние части территории городского района рассматривались в этот период как объекты реализации единых по замыслу архитектурных проектов. Так, например, неоднократно разрабатывавшийся в период 1965—1978 годов «План использования территории Западного Берлина» в части разработки демографической гипотезы и предложений по развитию транспортной инфраструктуры охватывал всю территорию Большого Берлина.</w:t>
      </w:r>
    </w:p>
    <w:p w14:paraId="56321A3D" w14:textId="77777777" w:rsidR="00B87114" w:rsidRPr="00F90EAE" w:rsidRDefault="00B87114" w:rsidP="00F90EAE">
      <w:pPr>
        <w:jc w:val="both"/>
        <w:rPr>
          <w:color w:val="000000" w:themeColor="text1"/>
          <w:sz w:val="16"/>
          <w:szCs w:val="16"/>
        </w:rPr>
      </w:pPr>
      <w:r w:rsidRPr="00F90EAE">
        <w:rPr>
          <w:color w:val="000000" w:themeColor="text1"/>
          <w:sz w:val="16"/>
          <w:szCs w:val="16"/>
        </w:rPr>
        <w:t>И только в разработанной в 1984 году новой редакции этого плана его проектные решения были жёстко ориентированы на проблемы развития западной части города и практически не касались каких-либо проблем развития его восточной части или всего городского района в целом. Аналогичная тенденция прослеживается в истории разработки генерального плана Восточного Берлина. Как и в самом этом плане, который начал составляться ещё в 1949 году, так и в примыкающем к нему «Плане пространственной организации территории Большого Берлина» (начало разработки — 1955 год) в процессе анализа и решения всех планировочных проблем речь шла о едином городском районе. На всю его территорию, а также на выделенную в его пределах зону непосредственного тяготения Берлина (в радиусе 30 км) была разработана единая, рассчитанная на далёкую перспективу концепция функционального использования территории, предусматривающая возможность расселения здесь не менее 4 млн человек. В соответствии с этой концепцией было предусмотрено резкое повышение уровня интенсивности использования селитебных и промышленных территорий при сохранении больших незастроенных пространств, предназначенных для сельскохозяйственного и рекреационного использования. Предусмотрены были также крупномасштабные мероприятия по реконструкции сложившейся на территории данного района сети автомобильных дорог: завершение строительства кольцевой автодороги, её соединение с помощью скоростных магистралей с четырёхугольником тангенциального транспортного «обвода» центральной части города, создание системы репрезентативных улиц, соединяющих центры городских районов с зоной общегородского центра. Район Курфюрстендамм трактовался как единый деловой центр города (своего рода «Сити»), однако, без чётких указаний на выполняемые им конкретные функции. Берлинская стена пала только в 1989 году под давлением населения ГДР, и произошло это благодаря отказу Советского Союза вмешиваться во внутренние дела ГДР. 3 октября 1990 года ГДР присоединяется к зоне действия Основного закона ФРГ. Германия стала единой страной. В 1991 году бундестаг принял решение о переезде в Берлин и тем самым подвёл итог дискуссии о месте нахождения правительства Германии. 1 сентября 1999 года правительство и парламент Германии приступили к работе уже в Берлине. В Берлине расположены посольства 147 государств (14913).</w:t>
      </w:r>
    </w:p>
    <w:p w14:paraId="5B25874D" w14:textId="77777777" w:rsidR="00B87114" w:rsidRPr="00F90EAE" w:rsidRDefault="00B87114" w:rsidP="00F90EAE">
      <w:pPr>
        <w:jc w:val="both"/>
        <w:rPr>
          <w:color w:val="000000" w:themeColor="text1"/>
          <w:sz w:val="16"/>
          <w:szCs w:val="16"/>
        </w:rPr>
      </w:pPr>
    </w:p>
    <w:p w14:paraId="49C4797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17420E0" w14:textId="77777777" w:rsidR="006103B3" w:rsidRPr="00F90EAE" w:rsidRDefault="006103B3" w:rsidP="00F90EAE">
      <w:pPr>
        <w:autoSpaceDE w:val="0"/>
        <w:autoSpaceDN w:val="0"/>
        <w:adjustRightInd w:val="0"/>
        <w:jc w:val="both"/>
        <w:rPr>
          <w:iCs/>
          <w:color w:val="000000" w:themeColor="text1"/>
          <w:sz w:val="16"/>
          <w:szCs w:val="16"/>
        </w:rPr>
      </w:pPr>
    </w:p>
    <w:p w14:paraId="2F1DDAA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Черчилль отверг обвинения генерала Де Голля в том, что за антифранцузскими выступлениями арабов в Сирии стоит Англия (4962).</w:t>
      </w:r>
    </w:p>
    <w:p w14:paraId="275A627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17FECE8" w14:textId="77777777" w:rsidR="00B87114" w:rsidRPr="00F90EAE" w:rsidRDefault="00B87114" w:rsidP="00F90EAE">
      <w:pPr>
        <w:jc w:val="both"/>
        <w:rPr>
          <w:color w:val="000000" w:themeColor="text1"/>
          <w:sz w:val="16"/>
          <w:szCs w:val="16"/>
        </w:rPr>
      </w:pPr>
      <w:r w:rsidRPr="00F90EAE">
        <w:rPr>
          <w:bCs/>
          <w:color w:val="000000" w:themeColor="text1"/>
          <w:sz w:val="16"/>
          <w:szCs w:val="16"/>
        </w:rPr>
        <w:t>5 июня</w:t>
      </w:r>
      <w:r w:rsidRPr="00F90EAE">
        <w:rPr>
          <w:color w:val="000000" w:themeColor="text1"/>
          <w:sz w:val="16"/>
          <w:szCs w:val="16"/>
        </w:rPr>
        <w:t xml:space="preserve"> в 1945 году на парламентских выборах в Великобритании победила Лейбористская партия (14913).</w:t>
      </w:r>
    </w:p>
    <w:p w14:paraId="33B06848" w14:textId="77777777" w:rsidR="00B87114" w:rsidRPr="00F90EAE" w:rsidRDefault="00B87114" w:rsidP="00F90EAE">
      <w:pPr>
        <w:jc w:val="both"/>
        <w:rPr>
          <w:color w:val="000000" w:themeColor="text1"/>
          <w:sz w:val="16"/>
          <w:szCs w:val="16"/>
        </w:rPr>
      </w:pPr>
    </w:p>
    <w:p w14:paraId="119D707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5 июня 1945 мощным ураганом повреждены 4 американских линкора у Окинавы (4962).</w:t>
      </w:r>
    </w:p>
    <w:p w14:paraId="5FF15F8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9EB6C87" w14:textId="77777777" w:rsidR="00B87114" w:rsidRPr="00F90EAE" w:rsidRDefault="00B87114" w:rsidP="00F90EAE">
      <w:pPr>
        <w:jc w:val="both"/>
        <w:rPr>
          <w:color w:val="000000" w:themeColor="text1"/>
          <w:sz w:val="16"/>
          <w:szCs w:val="16"/>
        </w:rPr>
      </w:pPr>
      <w:r w:rsidRPr="00F90EAE">
        <w:rPr>
          <w:bCs/>
          <w:color w:val="000000" w:themeColor="text1"/>
          <w:sz w:val="16"/>
          <w:szCs w:val="16"/>
        </w:rPr>
        <w:t>5 июня</w:t>
      </w:r>
      <w:r w:rsidRPr="00F90EAE">
        <w:rPr>
          <w:color w:val="000000" w:themeColor="text1"/>
          <w:sz w:val="16"/>
          <w:szCs w:val="16"/>
        </w:rPr>
        <w:t xml:space="preserve"> в 1945 году части американского 5-го флота попадают в Филиппинском море в сильный тайфун, многие корабли тяжело повреждены, в том числе 4 линкора (14913).</w:t>
      </w:r>
    </w:p>
    <w:p w14:paraId="67AF5BBF" w14:textId="77777777" w:rsidR="00B87114" w:rsidRPr="00F90EAE" w:rsidRDefault="00B87114" w:rsidP="00F90EAE">
      <w:pPr>
        <w:jc w:val="both"/>
        <w:rPr>
          <w:color w:val="000000" w:themeColor="text1"/>
          <w:sz w:val="16"/>
          <w:szCs w:val="16"/>
        </w:rPr>
      </w:pPr>
    </w:p>
    <w:p w14:paraId="683251FA" w14:textId="77777777" w:rsidR="00B5377E" w:rsidRPr="00F90EAE" w:rsidRDefault="00B5377E" w:rsidP="00F90EAE">
      <w:pPr>
        <w:jc w:val="both"/>
        <w:rPr>
          <w:color w:val="0070C0"/>
          <w:sz w:val="16"/>
          <w:szCs w:val="16"/>
        </w:rPr>
      </w:pPr>
      <w:r w:rsidRPr="00F90EAE">
        <w:rPr>
          <w:color w:val="0070C0"/>
          <w:sz w:val="16"/>
          <w:szCs w:val="16"/>
        </w:rPr>
        <w:t>5 июня 1945 тайфун обрушился на оперативную группу 38 ВМС США к юго-востоку от Окинавы. Авианосцы USS Hornet, USS Bennington, USS Belleau Wood, USS San Jacinto, USS Windham Bay и USS Salamaua повреждены, а оперативная группа потеряла 76 самолетов (20371).</w:t>
      </w:r>
    </w:p>
    <w:p w14:paraId="6D7FC96C" w14:textId="77777777" w:rsidR="00B5377E" w:rsidRPr="00F90EAE" w:rsidRDefault="00B5377E" w:rsidP="00F90EAE">
      <w:pPr>
        <w:jc w:val="both"/>
        <w:rPr>
          <w:color w:val="0070C0"/>
          <w:sz w:val="16"/>
          <w:szCs w:val="16"/>
        </w:rPr>
      </w:pPr>
    </w:p>
    <w:p w14:paraId="4D5F8D0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5B1E277" w14:textId="77777777" w:rsidR="006103B3" w:rsidRPr="00F90EAE" w:rsidRDefault="006103B3" w:rsidP="00F90EAE">
      <w:pPr>
        <w:autoSpaceDE w:val="0"/>
        <w:autoSpaceDN w:val="0"/>
        <w:adjustRightInd w:val="0"/>
        <w:jc w:val="both"/>
        <w:rPr>
          <w:iCs/>
          <w:color w:val="000000" w:themeColor="text1"/>
          <w:sz w:val="16"/>
          <w:szCs w:val="16"/>
        </w:rPr>
      </w:pPr>
    </w:p>
    <w:p w14:paraId="7449CD6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года закончились эксплуатационные испытания самолета № 0528 Саратовского авиазавода (общий налет 72 часа), которые шли с 14 ноября 1944 и показали, что после наработки двигателем 95 часов максимальная скорость у земли снижалась на 10 км/ч, на 1-й границе высотности - на 5 км/ч и на 2-й границе высотности - на 19 км/ч. При этом 1-я граница высотности снизилась на 250 метров, а 2-я - на 350 метров. Время набора высоты 5000 метров возрастало на 18 секунд. Других замечаний к машине практически не было (12047).</w:t>
      </w:r>
    </w:p>
    <w:p w14:paraId="4E5A41B6" w14:textId="77777777" w:rsidR="006103B3" w:rsidRPr="00F90EAE" w:rsidRDefault="006103B3" w:rsidP="00F90EAE">
      <w:pPr>
        <w:autoSpaceDE w:val="0"/>
        <w:autoSpaceDN w:val="0"/>
        <w:adjustRightInd w:val="0"/>
        <w:jc w:val="both"/>
        <w:rPr>
          <w:color w:val="000000" w:themeColor="text1"/>
          <w:sz w:val="16"/>
          <w:szCs w:val="16"/>
        </w:rPr>
      </w:pPr>
    </w:p>
    <w:p w14:paraId="7797B3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 вышло постановление № 7 ГОКО-8934сс “О плане производства самолетов и авиационных моторов на июнь и Ш квартал”. В нем говорилось непосредственно о конверсии. Июньский план уменьшался на 1452 самолета: предусматривался выпуск 2233 самолетов вместо 3685 по ранее установленному плану. В Ш квартале программа выпуска составляла 5419 самолетов (по плану П квартала было 10642 самолета), т.е. уменьшалась почти вдвое. При этом одним из принципов было прекращение выпуска боевых самолетов того или иного типа и переход к изготовлению на его основе учебных самолетов, имевших двойное управление (напр., истребителей типа ЯК-9 модель ВК-105ПФ и Ла-7 АШ-82ФН; штурмовиков Ил-2 АМ-38Ф и Ил 10 АМ-42; бомбардировщиков Пе-2 2ВК-105 ПФ); сохранялся на прежнем уровне лишь выпуск транспортных самолетов типа Ли-2 и Ще-2.</w:t>
      </w:r>
    </w:p>
    <w:p w14:paraId="11D464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Намеченные меры позволяли сохранять на высоком уровне потенциал авиационной промышленности и боевые возможности советских военно-воздушных сил на случай возобновления военных действий. Вместе с тем, наркомату авиационной промышленности (нарком А.И.Шахурин) ставилась задача “организовать на заводе № 22 в г. Казани производство 4-моторных дальних бомбардировщиков Б-4” (7543).</w:t>
      </w:r>
    </w:p>
    <w:p w14:paraId="1C287FF2" w14:textId="77777777" w:rsidR="006103B3" w:rsidRPr="00F90EAE" w:rsidRDefault="006103B3" w:rsidP="00F90EAE">
      <w:pPr>
        <w:autoSpaceDE w:val="0"/>
        <w:autoSpaceDN w:val="0"/>
        <w:adjustRightInd w:val="0"/>
        <w:jc w:val="both"/>
        <w:rPr>
          <w:color w:val="000000" w:themeColor="text1"/>
          <w:sz w:val="16"/>
          <w:szCs w:val="16"/>
        </w:rPr>
      </w:pPr>
    </w:p>
    <w:p w14:paraId="58C13A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года Постановлением ГКО № 8934сс и 15 июня 1945 года приказом НКАП № 251сс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800A7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1C3007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 продолжал ремонт самолетов ЛА-9 до 1951 года.</w:t>
      </w:r>
    </w:p>
    <w:p w14:paraId="79A927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69670B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Местонахождение – завод расположен в 12 км от Улан-Удэ</w:t>
      </w:r>
    </w:p>
    <w:p w14:paraId="313E84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самолетостроительный завод по выпуску самолетов УТИ МИГ-15 и вертолетов КА-15</w:t>
      </w:r>
    </w:p>
    <w:p w14:paraId="465C1E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571BDCF0" w14:textId="77777777" w:rsidR="006103B3" w:rsidRPr="00F90EAE" w:rsidRDefault="006103B3" w:rsidP="00F90EAE">
      <w:pPr>
        <w:autoSpaceDE w:val="0"/>
        <w:autoSpaceDN w:val="0"/>
        <w:adjustRightInd w:val="0"/>
        <w:jc w:val="both"/>
        <w:rPr>
          <w:color w:val="000000" w:themeColor="text1"/>
          <w:sz w:val="16"/>
          <w:szCs w:val="16"/>
        </w:rPr>
      </w:pPr>
    </w:p>
    <w:p w14:paraId="09F3079C" w14:textId="77777777" w:rsidR="00B5377E" w:rsidRPr="00F90EAE" w:rsidRDefault="00B5377E" w:rsidP="00F90EAE">
      <w:pPr>
        <w:jc w:val="both"/>
        <w:rPr>
          <w:color w:val="0070C0"/>
          <w:sz w:val="16"/>
          <w:szCs w:val="16"/>
        </w:rPr>
      </w:pPr>
      <w:r w:rsidRPr="00F90EAE">
        <w:rPr>
          <w:color w:val="0070C0"/>
          <w:sz w:val="16"/>
          <w:szCs w:val="16"/>
          <w:lang w:bidi="ru-RU"/>
        </w:rPr>
        <w:t>6 июня 1945 г. было одобрено Постановление, которое предусматривало полное сворачивание выпуска самолетов заводами № 135 и № 473. Первый из них должен был наладить производство грузовых мотоциклов, а второй — автобусов. Но вскоре планы скорректировали, и оба предприятия сохранили свой авиационный профиль. Их передали в ведение 11-го Главного управления Министерства авиационной промышленности (МАП) СССР, занимающегося легкомоторной авиацией. Но загрузить их долгое время не удавалось. Завод № 473 в течение 1946—1948 гг. изготовил лишь опытные партии геликоптеров Г-3 и Г-4 (соответственно, семь и че</w:t>
      </w:r>
      <w:r w:rsidRPr="00F90EAE">
        <w:rPr>
          <w:color w:val="0070C0"/>
          <w:sz w:val="16"/>
          <w:szCs w:val="16"/>
          <w:lang w:bidi="ru-RU"/>
        </w:rPr>
        <w:softHyphen/>
        <w:t>тыре экземпляра) конструкции И. Братухина и Ми-1 конструкции М. Миля (три единицы). Харьковский завод № 135 в конце 1946 г. вообще собрались перепрофилировать. Положение было спасено только благодаря обращению группы работников завода в Министерство авиационной промышленности СССР и ЦК КП(б)У с просьбой сохранить за предприятием самолетостро</w:t>
      </w:r>
      <w:r w:rsidRPr="00F90EAE">
        <w:rPr>
          <w:color w:val="0070C0"/>
          <w:sz w:val="16"/>
          <w:szCs w:val="16"/>
          <w:lang w:bidi="ru-RU"/>
        </w:rPr>
        <w:softHyphen/>
        <w:t>ительный профиль и утвердить техническое задание на ближайшие годы. К мнению работников прислушались и в марте 1947 г. решили внедрить в производство на заводе № 135 новый учебный самолет Як-18. Параллельно завод производил и широкую гамму непрофильных изделий гражданского назначения — кровати, молокомеры, детские санки, ученические парты, культиваторы и пр. (23180).</w:t>
      </w:r>
    </w:p>
    <w:p w14:paraId="4B77A37E" w14:textId="77777777" w:rsidR="00B5377E" w:rsidRPr="00F90EAE" w:rsidRDefault="00B5377E" w:rsidP="00F90EAE">
      <w:pPr>
        <w:jc w:val="both"/>
        <w:rPr>
          <w:color w:val="0070C0"/>
          <w:sz w:val="16"/>
          <w:szCs w:val="16"/>
        </w:rPr>
      </w:pPr>
    </w:p>
    <w:p w14:paraId="62F7D7C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8934сс О плане производства самолетов и авиамоторов на июнь и III квартал 1945 и в нем уже говорилось о конверсии АП - больше учебных + гражданские двигатели для автомашин и мотоциклов, радиаторы, электромоторы и т.п. Уменьшили июньский план на 1452 с-та до 2233, а в целом по квартала - до 5419, пости вдвое по сравнению с предыдущим кварталом (10642) (7543, 13).</w:t>
      </w:r>
    </w:p>
    <w:p w14:paraId="591DB90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450CD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6 июня 1945 г. вышло Постановление ГОКО № 8934сс О плане производства самолетов и авиационных моторов на июнь и </w:t>
      </w:r>
      <w:r w:rsidRPr="00F90EAE">
        <w:rPr>
          <w:color w:val="000000" w:themeColor="text1"/>
          <w:sz w:val="16"/>
          <w:szCs w:val="16"/>
          <w:lang w:val="en-US"/>
        </w:rPr>
        <w:t>III</w:t>
      </w:r>
      <w:r w:rsidRPr="00F90EAE">
        <w:rPr>
          <w:color w:val="000000" w:themeColor="text1"/>
          <w:sz w:val="16"/>
          <w:szCs w:val="16"/>
        </w:rPr>
        <w:t xml:space="preserve"> квартал</w:t>
      </w:r>
    </w:p>
    <w:p w14:paraId="0AE23D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Строго секретно</w:t>
      </w:r>
    </w:p>
    <w:p w14:paraId="244FC9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23E466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r w:rsidRPr="00F90EAE">
        <w:rPr>
          <w:color w:val="000000" w:themeColor="text1"/>
          <w:sz w:val="16"/>
          <w:szCs w:val="16"/>
        </w:rPr>
        <w:t>.</w:t>
      </w:r>
    </w:p>
    <w:p w14:paraId="0C2D25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сокращении выпуска самолетов и авиационных моторов</w:t>
      </w:r>
    </w:p>
    <w:p w14:paraId="3AF3FD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Уменьшить Наркомавиапрому на июнь 1945 г. план производства на 1452 самолета и утвердить программу выпуска в июне 2233 самолета вместо 3685 самолетов по ранее установленному плану.</w:t>
      </w:r>
    </w:p>
    <w:p w14:paraId="3D5203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Утвердить Наркомавиапрому программу выпуска са</w:t>
      </w:r>
      <w:r w:rsidRPr="00F90EAE">
        <w:rPr>
          <w:color w:val="000000" w:themeColor="text1"/>
          <w:sz w:val="16"/>
          <w:szCs w:val="16"/>
        </w:rPr>
        <w:softHyphen/>
        <w:t xml:space="preserve">молетов в </w:t>
      </w:r>
      <w:r w:rsidRPr="00F90EAE">
        <w:rPr>
          <w:color w:val="000000" w:themeColor="text1"/>
          <w:sz w:val="16"/>
          <w:szCs w:val="16"/>
          <w:lang w:val="en-US"/>
        </w:rPr>
        <w:t>III</w:t>
      </w:r>
      <w:r w:rsidRPr="00F90EAE">
        <w:rPr>
          <w:color w:val="000000" w:themeColor="text1"/>
          <w:sz w:val="16"/>
          <w:szCs w:val="16"/>
        </w:rPr>
        <w:t xml:space="preserve"> квартале 1945 г. в количестве 5419 самоле</w:t>
      </w:r>
      <w:r w:rsidRPr="00F90EAE">
        <w:rPr>
          <w:color w:val="000000" w:themeColor="text1"/>
          <w:sz w:val="16"/>
          <w:szCs w:val="16"/>
        </w:rPr>
        <w:softHyphen/>
        <w:t xml:space="preserve">тов, против 10642 самолетов по плану </w:t>
      </w:r>
      <w:r w:rsidRPr="00F90EAE">
        <w:rPr>
          <w:color w:val="000000" w:themeColor="text1"/>
          <w:sz w:val="16"/>
          <w:szCs w:val="16"/>
          <w:lang w:val="en-US"/>
        </w:rPr>
        <w:t>II</w:t>
      </w:r>
      <w:r w:rsidRPr="00F90EAE">
        <w:rPr>
          <w:color w:val="000000" w:themeColor="text1"/>
          <w:sz w:val="16"/>
          <w:szCs w:val="16"/>
        </w:rPr>
        <w:t xml:space="preserve"> квартала.</w:t>
      </w:r>
    </w:p>
    <w:p w14:paraId="0E62EED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Установить Наркомавиапрому следующий план на июнь и </w:t>
      </w:r>
      <w:r w:rsidRPr="00F90EAE">
        <w:rPr>
          <w:color w:val="000000" w:themeColor="text1"/>
          <w:sz w:val="16"/>
          <w:szCs w:val="16"/>
          <w:lang w:val="en-US"/>
        </w:rPr>
        <w:t>III</w:t>
      </w:r>
      <w:r w:rsidRPr="00F90EAE">
        <w:rPr>
          <w:color w:val="000000" w:themeColor="text1"/>
          <w:sz w:val="16"/>
          <w:szCs w:val="16"/>
        </w:rPr>
        <w:t xml:space="preserve"> квартал 1945 г. по типам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268"/>
        <w:gridCol w:w="928"/>
        <w:gridCol w:w="888"/>
        <w:gridCol w:w="445"/>
        <w:gridCol w:w="554"/>
        <w:gridCol w:w="663"/>
        <w:gridCol w:w="437"/>
      </w:tblGrid>
      <w:tr w:rsidR="00561F31" w:rsidRPr="00F90EAE" w14:paraId="6DE3B801" w14:textId="77777777">
        <w:trPr>
          <w:trHeight w:val="317"/>
        </w:trPr>
        <w:tc>
          <w:tcPr>
            <w:tcW w:w="2268" w:type="dxa"/>
            <w:tcBorders>
              <w:top w:val="single" w:sz="12" w:space="0" w:color="auto"/>
            </w:tcBorders>
          </w:tcPr>
          <w:p w14:paraId="047096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E59E0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28" w:type="dxa"/>
            <w:tcBorders>
              <w:top w:val="single" w:sz="12" w:space="0" w:color="auto"/>
            </w:tcBorders>
          </w:tcPr>
          <w:p w14:paraId="090B49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Ранее уста</w:t>
            </w:r>
            <w:r w:rsidRPr="00F90EAE">
              <w:rPr>
                <w:color w:val="000000" w:themeColor="text1"/>
                <w:sz w:val="16"/>
                <w:szCs w:val="16"/>
              </w:rPr>
              <w:softHyphen/>
              <w:t>новленный план</w:t>
            </w:r>
          </w:p>
          <w:p w14:paraId="111417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Borders>
              <w:top w:val="single" w:sz="12" w:space="0" w:color="auto"/>
            </w:tcBorders>
          </w:tcPr>
          <w:p w14:paraId="4AC43F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Сокращенный план на июнь</w:t>
            </w:r>
          </w:p>
          <w:p w14:paraId="65B9C20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2098" w:type="dxa"/>
            <w:gridSpan w:val="4"/>
            <w:tcBorders>
              <w:top w:val="single" w:sz="12" w:space="0" w:color="auto"/>
            </w:tcBorders>
          </w:tcPr>
          <w:p w14:paraId="22553D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План на </w:t>
            </w:r>
            <w:r w:rsidRPr="00F90EAE">
              <w:rPr>
                <w:color w:val="000000" w:themeColor="text1"/>
                <w:sz w:val="16"/>
                <w:szCs w:val="16"/>
                <w:lang w:val="en-US"/>
              </w:rPr>
              <w:t xml:space="preserve">III </w:t>
            </w:r>
            <w:r w:rsidRPr="00F90EAE">
              <w:rPr>
                <w:color w:val="000000" w:themeColor="text1"/>
                <w:sz w:val="16"/>
                <w:szCs w:val="16"/>
              </w:rPr>
              <w:t>квартал</w:t>
            </w:r>
          </w:p>
          <w:p w14:paraId="3B37FC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659B2490" w14:textId="77777777">
        <w:trPr>
          <w:trHeight w:val="163"/>
        </w:trPr>
        <w:tc>
          <w:tcPr>
            <w:tcW w:w="2268" w:type="dxa"/>
          </w:tcPr>
          <w:p w14:paraId="5416E072" w14:textId="77777777" w:rsidR="006103B3" w:rsidRPr="00F90EAE" w:rsidRDefault="006103B3" w:rsidP="00F90EAE">
            <w:pPr>
              <w:autoSpaceDE w:val="0"/>
              <w:autoSpaceDN w:val="0"/>
              <w:adjustRightInd w:val="0"/>
              <w:jc w:val="both"/>
              <w:rPr>
                <w:color w:val="000000" w:themeColor="text1"/>
                <w:sz w:val="16"/>
                <w:szCs w:val="16"/>
              </w:rPr>
            </w:pPr>
          </w:p>
          <w:p w14:paraId="0CAD466A" w14:textId="77777777" w:rsidR="006103B3" w:rsidRPr="00F90EAE" w:rsidRDefault="006103B3" w:rsidP="00F90EAE">
            <w:pPr>
              <w:autoSpaceDE w:val="0"/>
              <w:autoSpaceDN w:val="0"/>
              <w:adjustRightInd w:val="0"/>
              <w:jc w:val="both"/>
              <w:rPr>
                <w:color w:val="000000" w:themeColor="text1"/>
                <w:sz w:val="16"/>
                <w:szCs w:val="16"/>
              </w:rPr>
            </w:pPr>
          </w:p>
        </w:tc>
        <w:tc>
          <w:tcPr>
            <w:tcW w:w="928" w:type="dxa"/>
          </w:tcPr>
          <w:p w14:paraId="6E73118B" w14:textId="77777777" w:rsidR="006103B3" w:rsidRPr="00F90EAE" w:rsidRDefault="006103B3" w:rsidP="00F90EAE">
            <w:pPr>
              <w:autoSpaceDE w:val="0"/>
              <w:autoSpaceDN w:val="0"/>
              <w:adjustRightInd w:val="0"/>
              <w:jc w:val="both"/>
              <w:rPr>
                <w:color w:val="000000" w:themeColor="text1"/>
                <w:sz w:val="16"/>
                <w:szCs w:val="16"/>
              </w:rPr>
            </w:pPr>
          </w:p>
          <w:p w14:paraId="4F74F4CF" w14:textId="77777777" w:rsidR="006103B3" w:rsidRPr="00F90EAE" w:rsidRDefault="006103B3" w:rsidP="00F90EAE">
            <w:pPr>
              <w:autoSpaceDE w:val="0"/>
              <w:autoSpaceDN w:val="0"/>
              <w:adjustRightInd w:val="0"/>
              <w:jc w:val="both"/>
              <w:rPr>
                <w:color w:val="000000" w:themeColor="text1"/>
                <w:sz w:val="16"/>
                <w:szCs w:val="16"/>
              </w:rPr>
            </w:pPr>
          </w:p>
        </w:tc>
        <w:tc>
          <w:tcPr>
            <w:tcW w:w="888" w:type="dxa"/>
          </w:tcPr>
          <w:p w14:paraId="54E09804" w14:textId="77777777" w:rsidR="006103B3" w:rsidRPr="00F90EAE" w:rsidRDefault="006103B3" w:rsidP="00F90EAE">
            <w:pPr>
              <w:autoSpaceDE w:val="0"/>
              <w:autoSpaceDN w:val="0"/>
              <w:adjustRightInd w:val="0"/>
              <w:jc w:val="both"/>
              <w:rPr>
                <w:color w:val="000000" w:themeColor="text1"/>
                <w:sz w:val="16"/>
                <w:szCs w:val="16"/>
              </w:rPr>
            </w:pPr>
          </w:p>
          <w:p w14:paraId="4734C418" w14:textId="77777777" w:rsidR="006103B3" w:rsidRPr="00F90EAE" w:rsidRDefault="006103B3" w:rsidP="00F90EAE">
            <w:pPr>
              <w:autoSpaceDE w:val="0"/>
              <w:autoSpaceDN w:val="0"/>
              <w:adjustRightInd w:val="0"/>
              <w:jc w:val="both"/>
              <w:rPr>
                <w:color w:val="000000" w:themeColor="text1"/>
                <w:sz w:val="16"/>
                <w:szCs w:val="16"/>
              </w:rPr>
            </w:pPr>
          </w:p>
        </w:tc>
        <w:tc>
          <w:tcPr>
            <w:tcW w:w="445" w:type="dxa"/>
          </w:tcPr>
          <w:p w14:paraId="4E53A3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июль</w:t>
            </w:r>
          </w:p>
          <w:p w14:paraId="79A553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5683DF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август</w:t>
            </w:r>
          </w:p>
          <w:p w14:paraId="1C15CB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0B1EFF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сентябрь</w:t>
            </w:r>
          </w:p>
          <w:p w14:paraId="3F368F9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2B2F45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p w14:paraId="4F82BD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A0DFA56" w14:textId="77777777">
        <w:trPr>
          <w:trHeight w:val="202"/>
        </w:trPr>
        <w:tc>
          <w:tcPr>
            <w:tcW w:w="2268" w:type="dxa"/>
          </w:tcPr>
          <w:p w14:paraId="0BD692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p w14:paraId="41CA072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928" w:type="dxa"/>
          </w:tcPr>
          <w:p w14:paraId="7E805C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w:t>
            </w:r>
          </w:p>
          <w:p w14:paraId="1D5ECB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58AD05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w:t>
            </w:r>
          </w:p>
          <w:p w14:paraId="00BCDC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6853E4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w:t>
            </w:r>
          </w:p>
          <w:p w14:paraId="756378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042388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p w14:paraId="622FAD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5A17AA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w:t>
            </w:r>
          </w:p>
          <w:p w14:paraId="58FF65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58DDAF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w:t>
            </w:r>
          </w:p>
          <w:p w14:paraId="4B9A50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2A943930" w14:textId="77777777">
        <w:trPr>
          <w:trHeight w:val="202"/>
        </w:trPr>
        <w:tc>
          <w:tcPr>
            <w:tcW w:w="2268" w:type="dxa"/>
          </w:tcPr>
          <w:p w14:paraId="0549A0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Истребителей</w:t>
            </w:r>
          </w:p>
        </w:tc>
        <w:tc>
          <w:tcPr>
            <w:tcW w:w="928" w:type="dxa"/>
          </w:tcPr>
          <w:p w14:paraId="74AF0B9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7A5CB7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51ED69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1BE81B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3284C2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2A2362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7282887" w14:textId="77777777">
        <w:trPr>
          <w:trHeight w:val="202"/>
        </w:trPr>
        <w:tc>
          <w:tcPr>
            <w:tcW w:w="2268" w:type="dxa"/>
          </w:tcPr>
          <w:p w14:paraId="1362A0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ЯК-9 ВК-107 А</w:t>
            </w:r>
          </w:p>
        </w:tc>
        <w:tc>
          <w:tcPr>
            <w:tcW w:w="928" w:type="dxa"/>
          </w:tcPr>
          <w:p w14:paraId="49BFEB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416</w:t>
            </w:r>
          </w:p>
        </w:tc>
        <w:tc>
          <w:tcPr>
            <w:tcW w:w="888" w:type="dxa"/>
          </w:tcPr>
          <w:p w14:paraId="62C535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280</w:t>
            </w:r>
          </w:p>
        </w:tc>
        <w:tc>
          <w:tcPr>
            <w:tcW w:w="445" w:type="dxa"/>
          </w:tcPr>
          <w:p w14:paraId="42A3DF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275</w:t>
            </w:r>
          </w:p>
        </w:tc>
        <w:tc>
          <w:tcPr>
            <w:tcW w:w="554" w:type="dxa"/>
          </w:tcPr>
          <w:p w14:paraId="23CE82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w:t>
            </w:r>
          </w:p>
        </w:tc>
        <w:tc>
          <w:tcPr>
            <w:tcW w:w="663" w:type="dxa"/>
          </w:tcPr>
          <w:p w14:paraId="447856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245</w:t>
            </w:r>
          </w:p>
        </w:tc>
        <w:tc>
          <w:tcPr>
            <w:tcW w:w="437" w:type="dxa"/>
          </w:tcPr>
          <w:p w14:paraId="57893E4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770</w:t>
            </w:r>
          </w:p>
        </w:tc>
      </w:tr>
      <w:tr w:rsidR="00561F31" w:rsidRPr="00F90EAE" w14:paraId="7C7D64C2" w14:textId="77777777">
        <w:trPr>
          <w:trHeight w:val="202"/>
        </w:trPr>
        <w:tc>
          <w:tcPr>
            <w:tcW w:w="2268" w:type="dxa"/>
          </w:tcPr>
          <w:p w14:paraId="6AA795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ЯК-3 ВК-107А</w:t>
            </w:r>
          </w:p>
        </w:tc>
        <w:tc>
          <w:tcPr>
            <w:tcW w:w="928" w:type="dxa"/>
          </w:tcPr>
          <w:p w14:paraId="3A31E7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tc>
        <w:tc>
          <w:tcPr>
            <w:tcW w:w="888" w:type="dxa"/>
          </w:tcPr>
          <w:p w14:paraId="279186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w:t>
            </w:r>
          </w:p>
        </w:tc>
        <w:tc>
          <w:tcPr>
            <w:tcW w:w="445" w:type="dxa"/>
          </w:tcPr>
          <w:p w14:paraId="14DD09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w:t>
            </w:r>
          </w:p>
        </w:tc>
        <w:tc>
          <w:tcPr>
            <w:tcW w:w="554" w:type="dxa"/>
          </w:tcPr>
          <w:p w14:paraId="7EBCEB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w:t>
            </w:r>
          </w:p>
        </w:tc>
        <w:tc>
          <w:tcPr>
            <w:tcW w:w="663" w:type="dxa"/>
          </w:tcPr>
          <w:p w14:paraId="309A1ED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tc>
        <w:tc>
          <w:tcPr>
            <w:tcW w:w="437" w:type="dxa"/>
          </w:tcPr>
          <w:p w14:paraId="239DEC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r>
      <w:tr w:rsidR="00561F31" w:rsidRPr="00F90EAE" w14:paraId="45E87EBD" w14:textId="77777777">
        <w:trPr>
          <w:trHeight w:val="202"/>
        </w:trPr>
        <w:tc>
          <w:tcPr>
            <w:tcW w:w="2268" w:type="dxa"/>
          </w:tcPr>
          <w:p w14:paraId="718F5C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ЯК-9 ВК-105ПФ</w:t>
            </w:r>
          </w:p>
        </w:tc>
        <w:tc>
          <w:tcPr>
            <w:tcW w:w="928" w:type="dxa"/>
          </w:tcPr>
          <w:p w14:paraId="23ED43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338</w:t>
            </w:r>
          </w:p>
        </w:tc>
        <w:tc>
          <w:tcPr>
            <w:tcW w:w="888" w:type="dxa"/>
          </w:tcPr>
          <w:p w14:paraId="604DBBA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w:t>
            </w:r>
          </w:p>
        </w:tc>
        <w:tc>
          <w:tcPr>
            <w:tcW w:w="445" w:type="dxa"/>
          </w:tcPr>
          <w:p w14:paraId="2124BC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Прекращается</w:t>
            </w:r>
          </w:p>
        </w:tc>
        <w:tc>
          <w:tcPr>
            <w:tcW w:w="554" w:type="dxa"/>
          </w:tcPr>
          <w:p w14:paraId="195C80E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0CC8F9D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1524F5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784F6A8" w14:textId="77777777">
        <w:trPr>
          <w:trHeight w:val="202"/>
        </w:trPr>
        <w:tc>
          <w:tcPr>
            <w:tcW w:w="2268" w:type="dxa"/>
          </w:tcPr>
          <w:p w14:paraId="0352E3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ЯК-9 ВК-105ПФС двойным управлением (учебные)</w:t>
            </w:r>
          </w:p>
        </w:tc>
        <w:tc>
          <w:tcPr>
            <w:tcW w:w="928" w:type="dxa"/>
          </w:tcPr>
          <w:p w14:paraId="1DE384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88" w:type="dxa"/>
          </w:tcPr>
          <w:p w14:paraId="3C6111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445" w:type="dxa"/>
          </w:tcPr>
          <w:p w14:paraId="72F025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554" w:type="dxa"/>
          </w:tcPr>
          <w:p w14:paraId="01E4A2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663" w:type="dxa"/>
          </w:tcPr>
          <w:p w14:paraId="3B3021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437" w:type="dxa"/>
          </w:tcPr>
          <w:p w14:paraId="407585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tc>
      </w:tr>
      <w:tr w:rsidR="00561F31" w:rsidRPr="00F90EAE" w14:paraId="51C7DFF0" w14:textId="77777777">
        <w:trPr>
          <w:trHeight w:val="202"/>
        </w:trPr>
        <w:tc>
          <w:tcPr>
            <w:tcW w:w="2268" w:type="dxa"/>
          </w:tcPr>
          <w:p w14:paraId="42F77D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ЯК-3 ВК-105ПФ</w:t>
            </w:r>
          </w:p>
        </w:tc>
        <w:tc>
          <w:tcPr>
            <w:tcW w:w="928" w:type="dxa"/>
          </w:tcPr>
          <w:p w14:paraId="2B88E6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354</w:t>
            </w:r>
          </w:p>
        </w:tc>
        <w:tc>
          <w:tcPr>
            <w:tcW w:w="888" w:type="dxa"/>
          </w:tcPr>
          <w:p w14:paraId="3E0D47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w:t>
            </w:r>
          </w:p>
        </w:tc>
        <w:tc>
          <w:tcPr>
            <w:tcW w:w="445" w:type="dxa"/>
          </w:tcPr>
          <w:p w14:paraId="1E7957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155</w:t>
            </w:r>
          </w:p>
        </w:tc>
        <w:tc>
          <w:tcPr>
            <w:tcW w:w="554" w:type="dxa"/>
          </w:tcPr>
          <w:p w14:paraId="302045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663" w:type="dxa"/>
          </w:tcPr>
          <w:p w14:paraId="6117A0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437" w:type="dxa"/>
          </w:tcPr>
          <w:p w14:paraId="627586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305</w:t>
            </w:r>
          </w:p>
        </w:tc>
      </w:tr>
      <w:tr w:rsidR="00561F31" w:rsidRPr="00F90EAE" w14:paraId="4AEF9A6D" w14:textId="77777777">
        <w:trPr>
          <w:trHeight w:val="202"/>
        </w:trPr>
        <w:tc>
          <w:tcPr>
            <w:tcW w:w="2268" w:type="dxa"/>
          </w:tcPr>
          <w:p w14:paraId="7BE6E0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ЛА-7 ФШ-82 ФН</w:t>
            </w:r>
          </w:p>
        </w:tc>
        <w:tc>
          <w:tcPr>
            <w:tcW w:w="928" w:type="dxa"/>
          </w:tcPr>
          <w:p w14:paraId="632FAD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546</w:t>
            </w:r>
          </w:p>
        </w:tc>
        <w:tc>
          <w:tcPr>
            <w:tcW w:w="888" w:type="dxa"/>
          </w:tcPr>
          <w:p w14:paraId="371BC9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275</w:t>
            </w:r>
          </w:p>
        </w:tc>
        <w:tc>
          <w:tcPr>
            <w:tcW w:w="445" w:type="dxa"/>
          </w:tcPr>
          <w:p w14:paraId="401B28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215</w:t>
            </w:r>
          </w:p>
        </w:tc>
        <w:tc>
          <w:tcPr>
            <w:tcW w:w="554" w:type="dxa"/>
          </w:tcPr>
          <w:p w14:paraId="6CE415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165</w:t>
            </w:r>
          </w:p>
          <w:p w14:paraId="0521C7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7BF41D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p w14:paraId="5F0FBE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7A0C4A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520</w:t>
            </w:r>
          </w:p>
          <w:p w14:paraId="449609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E41A000" w14:textId="77777777">
        <w:trPr>
          <w:trHeight w:val="202"/>
        </w:trPr>
        <w:tc>
          <w:tcPr>
            <w:tcW w:w="2268" w:type="dxa"/>
          </w:tcPr>
          <w:p w14:paraId="65041E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ЛА-7 ФШ-82ФН с ДВОЙНЫМ управлением (учебные)</w:t>
            </w:r>
          </w:p>
        </w:tc>
        <w:tc>
          <w:tcPr>
            <w:tcW w:w="928" w:type="dxa"/>
          </w:tcPr>
          <w:p w14:paraId="6A023D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88" w:type="dxa"/>
          </w:tcPr>
          <w:p w14:paraId="72F1E0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445" w:type="dxa"/>
          </w:tcPr>
          <w:p w14:paraId="444749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p w14:paraId="7DE1CF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5AE646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4F35EF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632925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75</w:t>
            </w:r>
          </w:p>
          <w:p w14:paraId="3CA392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6A291A4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175</w:t>
            </w:r>
          </w:p>
          <w:p w14:paraId="45E21B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461508AD" w14:textId="77777777">
        <w:trPr>
          <w:trHeight w:val="202"/>
        </w:trPr>
        <w:tc>
          <w:tcPr>
            <w:tcW w:w="2268" w:type="dxa"/>
          </w:tcPr>
          <w:p w14:paraId="06A3DD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28" w:type="dxa"/>
          </w:tcPr>
          <w:p w14:paraId="576A70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1664</w:t>
            </w:r>
          </w:p>
        </w:tc>
        <w:tc>
          <w:tcPr>
            <w:tcW w:w="888" w:type="dxa"/>
          </w:tcPr>
          <w:p w14:paraId="295E6F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900</w:t>
            </w:r>
          </w:p>
        </w:tc>
        <w:tc>
          <w:tcPr>
            <w:tcW w:w="445" w:type="dxa"/>
          </w:tcPr>
          <w:p w14:paraId="26E667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780</w:t>
            </w:r>
          </w:p>
        </w:tc>
        <w:tc>
          <w:tcPr>
            <w:tcW w:w="554" w:type="dxa"/>
          </w:tcPr>
          <w:p w14:paraId="701769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725</w:t>
            </w:r>
          </w:p>
          <w:p w14:paraId="4D2E4E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049163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670</w:t>
            </w:r>
          </w:p>
          <w:p w14:paraId="5898FC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001865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2175</w:t>
            </w:r>
          </w:p>
          <w:p w14:paraId="4308DD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9495EC4" w14:textId="77777777">
        <w:trPr>
          <w:trHeight w:val="202"/>
        </w:trPr>
        <w:tc>
          <w:tcPr>
            <w:tcW w:w="2268" w:type="dxa"/>
          </w:tcPr>
          <w:p w14:paraId="2FFAAAD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Штурмовиков</w:t>
            </w:r>
          </w:p>
        </w:tc>
        <w:tc>
          <w:tcPr>
            <w:tcW w:w="928" w:type="dxa"/>
          </w:tcPr>
          <w:p w14:paraId="3E79CE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61E88C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31682A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043AD4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5FF999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058ACF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035DB514" w14:textId="77777777">
        <w:trPr>
          <w:trHeight w:val="202"/>
        </w:trPr>
        <w:tc>
          <w:tcPr>
            <w:tcW w:w="2268" w:type="dxa"/>
          </w:tcPr>
          <w:p w14:paraId="4EC559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АМ-38Ф</w:t>
            </w:r>
          </w:p>
        </w:tc>
        <w:tc>
          <w:tcPr>
            <w:tcW w:w="928" w:type="dxa"/>
          </w:tcPr>
          <w:p w14:paraId="0404645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484</w:t>
            </w:r>
          </w:p>
        </w:tc>
        <w:tc>
          <w:tcPr>
            <w:tcW w:w="888" w:type="dxa"/>
          </w:tcPr>
          <w:p w14:paraId="378B45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250</w:t>
            </w:r>
          </w:p>
        </w:tc>
        <w:tc>
          <w:tcPr>
            <w:tcW w:w="445" w:type="dxa"/>
          </w:tcPr>
          <w:p w14:paraId="74FE2F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tc>
        <w:tc>
          <w:tcPr>
            <w:tcW w:w="554" w:type="dxa"/>
          </w:tcPr>
          <w:p w14:paraId="56753B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663" w:type="dxa"/>
          </w:tcPr>
          <w:p w14:paraId="6A656C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437" w:type="dxa"/>
          </w:tcPr>
          <w:p w14:paraId="4FF4F4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w:t>
            </w:r>
          </w:p>
        </w:tc>
      </w:tr>
      <w:tr w:rsidR="00561F31" w:rsidRPr="00F90EAE" w14:paraId="5BA65AEB" w14:textId="77777777">
        <w:trPr>
          <w:trHeight w:val="202"/>
        </w:trPr>
        <w:tc>
          <w:tcPr>
            <w:tcW w:w="2268" w:type="dxa"/>
          </w:tcPr>
          <w:p w14:paraId="3CF87F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Ил-2 АМ-38Ф С двойным управлением (учебные)</w:t>
            </w:r>
          </w:p>
        </w:tc>
        <w:tc>
          <w:tcPr>
            <w:tcW w:w="928" w:type="dxa"/>
          </w:tcPr>
          <w:p w14:paraId="24405D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88" w:type="dxa"/>
          </w:tcPr>
          <w:p w14:paraId="544BA3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w:t>
            </w:r>
          </w:p>
        </w:tc>
        <w:tc>
          <w:tcPr>
            <w:tcW w:w="445" w:type="dxa"/>
          </w:tcPr>
          <w:p w14:paraId="74DB1E2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554" w:type="dxa"/>
          </w:tcPr>
          <w:p w14:paraId="152053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663" w:type="dxa"/>
          </w:tcPr>
          <w:p w14:paraId="1439AC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437" w:type="dxa"/>
          </w:tcPr>
          <w:p w14:paraId="03908E0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w:t>
            </w:r>
          </w:p>
        </w:tc>
      </w:tr>
      <w:tr w:rsidR="00561F31" w:rsidRPr="00F90EAE" w14:paraId="73E4B19B" w14:textId="77777777">
        <w:trPr>
          <w:trHeight w:val="202"/>
        </w:trPr>
        <w:tc>
          <w:tcPr>
            <w:tcW w:w="2268" w:type="dxa"/>
          </w:tcPr>
          <w:p w14:paraId="17FACD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Ил-10 АМ-42</w:t>
            </w:r>
          </w:p>
        </w:tc>
        <w:tc>
          <w:tcPr>
            <w:tcW w:w="928" w:type="dxa"/>
          </w:tcPr>
          <w:p w14:paraId="0B9E0F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w:t>
            </w:r>
          </w:p>
        </w:tc>
        <w:tc>
          <w:tcPr>
            <w:tcW w:w="888" w:type="dxa"/>
          </w:tcPr>
          <w:p w14:paraId="49B5B3B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300</w:t>
            </w:r>
          </w:p>
        </w:tc>
        <w:tc>
          <w:tcPr>
            <w:tcW w:w="445" w:type="dxa"/>
          </w:tcPr>
          <w:p w14:paraId="5ABCE6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260</w:t>
            </w:r>
          </w:p>
        </w:tc>
        <w:tc>
          <w:tcPr>
            <w:tcW w:w="554" w:type="dxa"/>
          </w:tcPr>
          <w:p w14:paraId="1BE84BD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225</w:t>
            </w:r>
          </w:p>
        </w:tc>
        <w:tc>
          <w:tcPr>
            <w:tcW w:w="663" w:type="dxa"/>
          </w:tcPr>
          <w:p w14:paraId="39B318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w:t>
            </w:r>
          </w:p>
        </w:tc>
        <w:tc>
          <w:tcPr>
            <w:tcW w:w="437" w:type="dxa"/>
          </w:tcPr>
          <w:p w14:paraId="26C1CD1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675</w:t>
            </w:r>
          </w:p>
        </w:tc>
      </w:tr>
      <w:tr w:rsidR="00561F31" w:rsidRPr="00F90EAE" w14:paraId="45A54C54" w14:textId="77777777">
        <w:trPr>
          <w:trHeight w:val="202"/>
        </w:trPr>
        <w:tc>
          <w:tcPr>
            <w:tcW w:w="2268" w:type="dxa"/>
          </w:tcPr>
          <w:p w14:paraId="277E7C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Ил-10 АМ-42 С двойным управлением (учебные)</w:t>
            </w:r>
          </w:p>
        </w:tc>
        <w:tc>
          <w:tcPr>
            <w:tcW w:w="928" w:type="dxa"/>
          </w:tcPr>
          <w:p w14:paraId="3A7AF1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888" w:type="dxa"/>
          </w:tcPr>
          <w:p w14:paraId="1986DB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w:t>
            </w:r>
          </w:p>
        </w:tc>
        <w:tc>
          <w:tcPr>
            <w:tcW w:w="445" w:type="dxa"/>
          </w:tcPr>
          <w:p w14:paraId="65AB2B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w:t>
            </w:r>
          </w:p>
        </w:tc>
        <w:tc>
          <w:tcPr>
            <w:tcW w:w="554" w:type="dxa"/>
          </w:tcPr>
          <w:p w14:paraId="72AAFA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tc>
        <w:tc>
          <w:tcPr>
            <w:tcW w:w="663" w:type="dxa"/>
          </w:tcPr>
          <w:p w14:paraId="2455320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60</w:t>
            </w:r>
          </w:p>
        </w:tc>
        <w:tc>
          <w:tcPr>
            <w:tcW w:w="437" w:type="dxa"/>
          </w:tcPr>
          <w:p w14:paraId="736D5D6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r>
      <w:tr w:rsidR="00561F31" w:rsidRPr="00F90EAE" w14:paraId="415C7CE9" w14:textId="77777777">
        <w:trPr>
          <w:trHeight w:val="202"/>
        </w:trPr>
        <w:tc>
          <w:tcPr>
            <w:tcW w:w="2268" w:type="dxa"/>
          </w:tcPr>
          <w:p w14:paraId="716DFB9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28" w:type="dxa"/>
          </w:tcPr>
          <w:p w14:paraId="2358ED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884</w:t>
            </w:r>
          </w:p>
        </w:tc>
        <w:tc>
          <w:tcPr>
            <w:tcW w:w="888" w:type="dxa"/>
          </w:tcPr>
          <w:p w14:paraId="25A3C7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580</w:t>
            </w:r>
          </w:p>
        </w:tc>
        <w:tc>
          <w:tcPr>
            <w:tcW w:w="445" w:type="dxa"/>
          </w:tcPr>
          <w:p w14:paraId="173B23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445</w:t>
            </w:r>
          </w:p>
        </w:tc>
        <w:tc>
          <w:tcPr>
            <w:tcW w:w="554" w:type="dxa"/>
          </w:tcPr>
          <w:p w14:paraId="52D563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400</w:t>
            </w:r>
          </w:p>
        </w:tc>
        <w:tc>
          <w:tcPr>
            <w:tcW w:w="663" w:type="dxa"/>
          </w:tcPr>
          <w:p w14:paraId="5F484E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350</w:t>
            </w:r>
          </w:p>
        </w:tc>
        <w:tc>
          <w:tcPr>
            <w:tcW w:w="437" w:type="dxa"/>
          </w:tcPr>
          <w:p w14:paraId="73FCB94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1195</w:t>
            </w:r>
          </w:p>
        </w:tc>
      </w:tr>
      <w:tr w:rsidR="00561F31" w:rsidRPr="00F90EAE" w14:paraId="5251891C" w14:textId="77777777">
        <w:trPr>
          <w:trHeight w:val="202"/>
        </w:trPr>
        <w:tc>
          <w:tcPr>
            <w:tcW w:w="2268" w:type="dxa"/>
          </w:tcPr>
          <w:p w14:paraId="1430BF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Бомбардировщиков:</w:t>
            </w:r>
          </w:p>
        </w:tc>
        <w:tc>
          <w:tcPr>
            <w:tcW w:w="928" w:type="dxa"/>
          </w:tcPr>
          <w:p w14:paraId="2D2B943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7BE17B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143EBF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465097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1CDC71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4FED01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589CBF6" w14:textId="77777777">
        <w:trPr>
          <w:trHeight w:val="202"/>
        </w:trPr>
        <w:tc>
          <w:tcPr>
            <w:tcW w:w="2268" w:type="dxa"/>
          </w:tcPr>
          <w:p w14:paraId="1D05D8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Ту-2 2АШ-82ФН</w:t>
            </w:r>
          </w:p>
        </w:tc>
        <w:tc>
          <w:tcPr>
            <w:tcW w:w="928" w:type="dxa"/>
          </w:tcPr>
          <w:p w14:paraId="044FA4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104</w:t>
            </w:r>
          </w:p>
        </w:tc>
        <w:tc>
          <w:tcPr>
            <w:tcW w:w="888" w:type="dxa"/>
          </w:tcPr>
          <w:p w14:paraId="7E733C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w:t>
            </w:r>
          </w:p>
        </w:tc>
        <w:tc>
          <w:tcPr>
            <w:tcW w:w="445" w:type="dxa"/>
          </w:tcPr>
          <w:p w14:paraId="25DCFC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w:t>
            </w:r>
          </w:p>
        </w:tc>
        <w:tc>
          <w:tcPr>
            <w:tcW w:w="554" w:type="dxa"/>
          </w:tcPr>
          <w:p w14:paraId="29E048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w:t>
            </w:r>
          </w:p>
        </w:tc>
        <w:tc>
          <w:tcPr>
            <w:tcW w:w="663" w:type="dxa"/>
          </w:tcPr>
          <w:p w14:paraId="1C38CB6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90</w:t>
            </w:r>
          </w:p>
        </w:tc>
        <w:tc>
          <w:tcPr>
            <w:tcW w:w="437" w:type="dxa"/>
          </w:tcPr>
          <w:p w14:paraId="49E0F0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w:t>
            </w:r>
          </w:p>
        </w:tc>
      </w:tr>
      <w:tr w:rsidR="00561F31" w:rsidRPr="00F90EAE" w14:paraId="1486699B" w14:textId="77777777">
        <w:trPr>
          <w:trHeight w:val="202"/>
        </w:trPr>
        <w:tc>
          <w:tcPr>
            <w:tcW w:w="2268" w:type="dxa"/>
          </w:tcPr>
          <w:p w14:paraId="226283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 2ВК-105ПФ</w:t>
            </w:r>
          </w:p>
        </w:tc>
        <w:tc>
          <w:tcPr>
            <w:tcW w:w="928" w:type="dxa"/>
          </w:tcPr>
          <w:p w14:paraId="384C0A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228</w:t>
            </w:r>
          </w:p>
        </w:tc>
        <w:tc>
          <w:tcPr>
            <w:tcW w:w="888" w:type="dxa"/>
          </w:tcPr>
          <w:p w14:paraId="5842A2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0F67D5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прекращается</w:t>
            </w:r>
          </w:p>
        </w:tc>
        <w:tc>
          <w:tcPr>
            <w:tcW w:w="554" w:type="dxa"/>
          </w:tcPr>
          <w:p w14:paraId="1D76D67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730D43F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5EF5BD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F1B2467" w14:textId="77777777">
        <w:trPr>
          <w:trHeight w:val="202"/>
        </w:trPr>
        <w:tc>
          <w:tcPr>
            <w:tcW w:w="2268" w:type="dxa"/>
          </w:tcPr>
          <w:p w14:paraId="038E18D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 2ВК-105ПФ С двойным управлением (учебные)</w:t>
            </w:r>
          </w:p>
        </w:tc>
        <w:tc>
          <w:tcPr>
            <w:tcW w:w="928" w:type="dxa"/>
          </w:tcPr>
          <w:p w14:paraId="7D5C503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tc>
        <w:tc>
          <w:tcPr>
            <w:tcW w:w="888" w:type="dxa"/>
          </w:tcPr>
          <w:p w14:paraId="597E32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100</w:t>
            </w:r>
          </w:p>
        </w:tc>
        <w:tc>
          <w:tcPr>
            <w:tcW w:w="445" w:type="dxa"/>
          </w:tcPr>
          <w:p w14:paraId="597102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554" w:type="dxa"/>
          </w:tcPr>
          <w:p w14:paraId="5F6A686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663" w:type="dxa"/>
          </w:tcPr>
          <w:p w14:paraId="1034F4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437" w:type="dxa"/>
          </w:tcPr>
          <w:p w14:paraId="5A8C9A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150</w:t>
            </w:r>
          </w:p>
        </w:tc>
      </w:tr>
      <w:tr w:rsidR="00561F31" w:rsidRPr="00F90EAE" w14:paraId="3D64C6CA" w14:textId="77777777">
        <w:trPr>
          <w:trHeight w:val="202"/>
        </w:trPr>
        <w:tc>
          <w:tcPr>
            <w:tcW w:w="2268" w:type="dxa"/>
          </w:tcPr>
          <w:p w14:paraId="2F5068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Пе-2 2ВК-107А</w:t>
            </w:r>
          </w:p>
        </w:tc>
        <w:tc>
          <w:tcPr>
            <w:tcW w:w="928" w:type="dxa"/>
          </w:tcPr>
          <w:p w14:paraId="3ABD0B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01744D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65D2AB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прекращается</w:t>
            </w:r>
          </w:p>
        </w:tc>
        <w:tc>
          <w:tcPr>
            <w:tcW w:w="554" w:type="dxa"/>
          </w:tcPr>
          <w:p w14:paraId="5E11AA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66D339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505DE6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75CDC175" w14:textId="77777777">
        <w:trPr>
          <w:trHeight w:val="202"/>
        </w:trPr>
        <w:tc>
          <w:tcPr>
            <w:tcW w:w="2268" w:type="dxa"/>
          </w:tcPr>
          <w:p w14:paraId="5E2AFE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Ер-2 2АЧ-30Б</w:t>
            </w:r>
          </w:p>
        </w:tc>
        <w:tc>
          <w:tcPr>
            <w:tcW w:w="928" w:type="dxa"/>
          </w:tcPr>
          <w:p w14:paraId="32682F3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45</w:t>
            </w:r>
          </w:p>
        </w:tc>
        <w:tc>
          <w:tcPr>
            <w:tcW w:w="888" w:type="dxa"/>
          </w:tcPr>
          <w:p w14:paraId="61E949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45" w:type="dxa"/>
          </w:tcPr>
          <w:p w14:paraId="4DB55D2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554" w:type="dxa"/>
          </w:tcPr>
          <w:p w14:paraId="41C3C76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663" w:type="dxa"/>
          </w:tcPr>
          <w:p w14:paraId="0EC6C97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37" w:type="dxa"/>
          </w:tcPr>
          <w:p w14:paraId="7B2C83E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tc>
      </w:tr>
      <w:tr w:rsidR="00561F31" w:rsidRPr="00F90EAE" w14:paraId="64DAA350" w14:textId="77777777">
        <w:trPr>
          <w:trHeight w:val="202"/>
        </w:trPr>
        <w:tc>
          <w:tcPr>
            <w:tcW w:w="2268" w:type="dxa"/>
          </w:tcPr>
          <w:p w14:paraId="7183A5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Ил-4 2М-88Б</w:t>
            </w:r>
          </w:p>
        </w:tc>
        <w:tc>
          <w:tcPr>
            <w:tcW w:w="928" w:type="dxa"/>
          </w:tcPr>
          <w:p w14:paraId="6278E2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tc>
        <w:tc>
          <w:tcPr>
            <w:tcW w:w="888" w:type="dxa"/>
          </w:tcPr>
          <w:p w14:paraId="529628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45" w:type="dxa"/>
          </w:tcPr>
          <w:p w14:paraId="65AD29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554" w:type="dxa"/>
          </w:tcPr>
          <w:p w14:paraId="3F2D24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663" w:type="dxa"/>
          </w:tcPr>
          <w:p w14:paraId="41E071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37" w:type="dxa"/>
          </w:tcPr>
          <w:p w14:paraId="5A6161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tc>
      </w:tr>
      <w:tr w:rsidR="00561F31" w:rsidRPr="00F90EAE" w14:paraId="62E3C570" w14:textId="77777777">
        <w:trPr>
          <w:trHeight w:val="202"/>
        </w:trPr>
        <w:tc>
          <w:tcPr>
            <w:tcW w:w="2268" w:type="dxa"/>
          </w:tcPr>
          <w:p w14:paraId="32B820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28" w:type="dxa"/>
          </w:tcPr>
          <w:p w14:paraId="5CBD48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461</w:t>
            </w:r>
          </w:p>
        </w:tc>
        <w:tc>
          <w:tcPr>
            <w:tcW w:w="888" w:type="dxa"/>
          </w:tcPr>
          <w:p w14:paraId="649DC3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270</w:t>
            </w:r>
          </w:p>
        </w:tc>
        <w:tc>
          <w:tcPr>
            <w:tcW w:w="445" w:type="dxa"/>
          </w:tcPr>
          <w:p w14:paraId="135C0A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w:t>
            </w:r>
          </w:p>
        </w:tc>
        <w:tc>
          <w:tcPr>
            <w:tcW w:w="554" w:type="dxa"/>
          </w:tcPr>
          <w:p w14:paraId="4D1E8E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w:t>
            </w:r>
          </w:p>
        </w:tc>
        <w:tc>
          <w:tcPr>
            <w:tcW w:w="663" w:type="dxa"/>
          </w:tcPr>
          <w:p w14:paraId="283CC2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220</w:t>
            </w:r>
          </w:p>
        </w:tc>
        <w:tc>
          <w:tcPr>
            <w:tcW w:w="437" w:type="dxa"/>
          </w:tcPr>
          <w:p w14:paraId="3E0BB9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660</w:t>
            </w:r>
          </w:p>
        </w:tc>
      </w:tr>
      <w:tr w:rsidR="00561F31" w:rsidRPr="00F90EAE" w14:paraId="5E133716" w14:textId="77777777">
        <w:trPr>
          <w:trHeight w:val="202"/>
        </w:trPr>
        <w:tc>
          <w:tcPr>
            <w:tcW w:w="2268" w:type="dxa"/>
          </w:tcPr>
          <w:p w14:paraId="571A3C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Транспортных</w:t>
            </w:r>
          </w:p>
        </w:tc>
        <w:tc>
          <w:tcPr>
            <w:tcW w:w="928" w:type="dxa"/>
          </w:tcPr>
          <w:p w14:paraId="24A1C3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6CD2CB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6DC62EC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66FDB1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2D917B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412907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5BC72450" w14:textId="77777777">
        <w:trPr>
          <w:trHeight w:val="202"/>
        </w:trPr>
        <w:tc>
          <w:tcPr>
            <w:tcW w:w="2268" w:type="dxa"/>
          </w:tcPr>
          <w:p w14:paraId="22352D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Ли-2 2АШ-62ИР</w:t>
            </w:r>
          </w:p>
        </w:tc>
        <w:tc>
          <w:tcPr>
            <w:tcW w:w="928" w:type="dxa"/>
          </w:tcPr>
          <w:p w14:paraId="6D2AA6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tc>
        <w:tc>
          <w:tcPr>
            <w:tcW w:w="888" w:type="dxa"/>
          </w:tcPr>
          <w:p w14:paraId="184924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tc>
        <w:tc>
          <w:tcPr>
            <w:tcW w:w="445" w:type="dxa"/>
          </w:tcPr>
          <w:p w14:paraId="48FE7AF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52</w:t>
            </w:r>
          </w:p>
        </w:tc>
        <w:tc>
          <w:tcPr>
            <w:tcW w:w="554" w:type="dxa"/>
          </w:tcPr>
          <w:p w14:paraId="65C11A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w:t>
            </w:r>
          </w:p>
        </w:tc>
        <w:tc>
          <w:tcPr>
            <w:tcW w:w="663" w:type="dxa"/>
          </w:tcPr>
          <w:p w14:paraId="3C15D0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50</w:t>
            </w:r>
          </w:p>
        </w:tc>
        <w:tc>
          <w:tcPr>
            <w:tcW w:w="437" w:type="dxa"/>
          </w:tcPr>
          <w:p w14:paraId="2BF7C82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156</w:t>
            </w:r>
          </w:p>
        </w:tc>
      </w:tr>
      <w:tr w:rsidR="00561F31" w:rsidRPr="00F90EAE" w14:paraId="7116FC19" w14:textId="77777777">
        <w:trPr>
          <w:trHeight w:val="202"/>
        </w:trPr>
        <w:tc>
          <w:tcPr>
            <w:tcW w:w="2268" w:type="dxa"/>
          </w:tcPr>
          <w:p w14:paraId="01C8F3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lastRenderedPageBreak/>
              <w:t>Ще-2 2М11</w:t>
            </w:r>
          </w:p>
        </w:tc>
        <w:tc>
          <w:tcPr>
            <w:tcW w:w="928" w:type="dxa"/>
          </w:tcPr>
          <w:p w14:paraId="1527833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tc>
        <w:tc>
          <w:tcPr>
            <w:tcW w:w="888" w:type="dxa"/>
          </w:tcPr>
          <w:p w14:paraId="27E271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tc>
        <w:tc>
          <w:tcPr>
            <w:tcW w:w="445" w:type="dxa"/>
          </w:tcPr>
          <w:p w14:paraId="351A27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26</w:t>
            </w:r>
          </w:p>
        </w:tc>
        <w:tc>
          <w:tcPr>
            <w:tcW w:w="554" w:type="dxa"/>
          </w:tcPr>
          <w:p w14:paraId="476EE08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27</w:t>
            </w:r>
          </w:p>
        </w:tc>
        <w:tc>
          <w:tcPr>
            <w:tcW w:w="663" w:type="dxa"/>
          </w:tcPr>
          <w:p w14:paraId="03A90F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25</w:t>
            </w:r>
          </w:p>
        </w:tc>
        <w:tc>
          <w:tcPr>
            <w:tcW w:w="437" w:type="dxa"/>
          </w:tcPr>
          <w:p w14:paraId="07D4283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78</w:t>
            </w:r>
          </w:p>
        </w:tc>
      </w:tr>
      <w:tr w:rsidR="00561F31" w:rsidRPr="00F90EAE" w14:paraId="0842EB57" w14:textId="77777777">
        <w:trPr>
          <w:trHeight w:val="202"/>
        </w:trPr>
        <w:tc>
          <w:tcPr>
            <w:tcW w:w="2268" w:type="dxa"/>
          </w:tcPr>
          <w:p w14:paraId="19D247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По-2с М-11</w:t>
            </w:r>
          </w:p>
        </w:tc>
        <w:tc>
          <w:tcPr>
            <w:tcW w:w="928" w:type="dxa"/>
          </w:tcPr>
          <w:p w14:paraId="330F47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65</w:t>
            </w:r>
          </w:p>
        </w:tc>
        <w:tc>
          <w:tcPr>
            <w:tcW w:w="888" w:type="dxa"/>
          </w:tcPr>
          <w:p w14:paraId="6C3FBF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45" w:type="dxa"/>
          </w:tcPr>
          <w:p w14:paraId="64A37B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554" w:type="dxa"/>
          </w:tcPr>
          <w:p w14:paraId="6ED0641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663" w:type="dxa"/>
          </w:tcPr>
          <w:p w14:paraId="4B9DE98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40</w:t>
            </w:r>
          </w:p>
        </w:tc>
        <w:tc>
          <w:tcPr>
            <w:tcW w:w="437" w:type="dxa"/>
          </w:tcPr>
          <w:p w14:paraId="0413D79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120</w:t>
            </w:r>
          </w:p>
        </w:tc>
      </w:tr>
      <w:tr w:rsidR="00561F31" w:rsidRPr="00F90EAE" w14:paraId="2BF08ABC" w14:textId="77777777">
        <w:trPr>
          <w:trHeight w:val="202"/>
        </w:trPr>
        <w:tc>
          <w:tcPr>
            <w:tcW w:w="2268" w:type="dxa"/>
          </w:tcPr>
          <w:p w14:paraId="0A4B2B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Итого:</w:t>
            </w:r>
          </w:p>
        </w:tc>
        <w:tc>
          <w:tcPr>
            <w:tcW w:w="928" w:type="dxa"/>
          </w:tcPr>
          <w:p w14:paraId="00D148A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w:t>
            </w:r>
          </w:p>
        </w:tc>
        <w:tc>
          <w:tcPr>
            <w:tcW w:w="888" w:type="dxa"/>
          </w:tcPr>
          <w:p w14:paraId="77DD4F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118</w:t>
            </w:r>
          </w:p>
        </w:tc>
        <w:tc>
          <w:tcPr>
            <w:tcW w:w="445" w:type="dxa"/>
          </w:tcPr>
          <w:p w14:paraId="004CB9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118</w:t>
            </w:r>
          </w:p>
        </w:tc>
        <w:tc>
          <w:tcPr>
            <w:tcW w:w="554" w:type="dxa"/>
          </w:tcPr>
          <w:p w14:paraId="1A8008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121</w:t>
            </w:r>
          </w:p>
        </w:tc>
        <w:tc>
          <w:tcPr>
            <w:tcW w:w="663" w:type="dxa"/>
          </w:tcPr>
          <w:p w14:paraId="3CCEE3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115</w:t>
            </w:r>
          </w:p>
        </w:tc>
        <w:tc>
          <w:tcPr>
            <w:tcW w:w="437" w:type="dxa"/>
          </w:tcPr>
          <w:p w14:paraId="67F137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354</w:t>
            </w:r>
          </w:p>
        </w:tc>
      </w:tr>
      <w:tr w:rsidR="00561F31" w:rsidRPr="00F90EAE" w14:paraId="44092754" w14:textId="77777777">
        <w:trPr>
          <w:trHeight w:val="202"/>
        </w:trPr>
        <w:tc>
          <w:tcPr>
            <w:tcW w:w="2268" w:type="dxa"/>
          </w:tcPr>
          <w:p w14:paraId="460727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Учебных</w:t>
            </w:r>
          </w:p>
        </w:tc>
        <w:tc>
          <w:tcPr>
            <w:tcW w:w="928" w:type="dxa"/>
          </w:tcPr>
          <w:p w14:paraId="1B7BF9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888" w:type="dxa"/>
          </w:tcPr>
          <w:p w14:paraId="7E2B5A8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45" w:type="dxa"/>
          </w:tcPr>
          <w:p w14:paraId="603DEA0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554" w:type="dxa"/>
          </w:tcPr>
          <w:p w14:paraId="4248E7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663" w:type="dxa"/>
          </w:tcPr>
          <w:p w14:paraId="01DDD1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c>
          <w:tcPr>
            <w:tcW w:w="437" w:type="dxa"/>
          </w:tcPr>
          <w:p w14:paraId="35B38BD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tc>
      </w:tr>
      <w:tr w:rsidR="00561F31" w:rsidRPr="00F90EAE" w14:paraId="3537BEFE" w14:textId="77777777">
        <w:trPr>
          <w:trHeight w:val="202"/>
        </w:trPr>
        <w:tc>
          <w:tcPr>
            <w:tcW w:w="2268" w:type="dxa"/>
          </w:tcPr>
          <w:p w14:paraId="2E3699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По-2 М-11</w:t>
            </w:r>
          </w:p>
        </w:tc>
        <w:tc>
          <w:tcPr>
            <w:tcW w:w="928" w:type="dxa"/>
          </w:tcPr>
          <w:p w14:paraId="7F99A7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390</w:t>
            </w:r>
          </w:p>
        </w:tc>
        <w:tc>
          <w:tcPr>
            <w:tcW w:w="888" w:type="dxa"/>
          </w:tcPr>
          <w:p w14:paraId="44C4E3B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240</w:t>
            </w:r>
          </w:p>
        </w:tc>
        <w:tc>
          <w:tcPr>
            <w:tcW w:w="445" w:type="dxa"/>
          </w:tcPr>
          <w:p w14:paraId="5060A6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240</w:t>
            </w:r>
          </w:p>
        </w:tc>
        <w:tc>
          <w:tcPr>
            <w:tcW w:w="554" w:type="dxa"/>
          </w:tcPr>
          <w:p w14:paraId="26D66C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w:t>
            </w:r>
          </w:p>
        </w:tc>
        <w:tc>
          <w:tcPr>
            <w:tcW w:w="663" w:type="dxa"/>
          </w:tcPr>
          <w:p w14:paraId="0B0555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190</w:t>
            </w:r>
          </w:p>
        </w:tc>
        <w:tc>
          <w:tcPr>
            <w:tcW w:w="437" w:type="dxa"/>
          </w:tcPr>
          <w:p w14:paraId="66BE7F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620</w:t>
            </w:r>
          </w:p>
        </w:tc>
      </w:tr>
      <w:tr w:rsidR="00561F31" w:rsidRPr="00F90EAE" w14:paraId="505F7718" w14:textId="77777777">
        <w:trPr>
          <w:trHeight w:val="202"/>
        </w:trPr>
        <w:tc>
          <w:tcPr>
            <w:tcW w:w="2268" w:type="dxa"/>
          </w:tcPr>
          <w:p w14:paraId="36A6F2B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Ут-2 М-11</w:t>
            </w:r>
          </w:p>
        </w:tc>
        <w:tc>
          <w:tcPr>
            <w:tcW w:w="928" w:type="dxa"/>
          </w:tcPr>
          <w:p w14:paraId="3DBAF5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143</w:t>
            </w:r>
          </w:p>
        </w:tc>
        <w:tc>
          <w:tcPr>
            <w:tcW w:w="888" w:type="dxa"/>
          </w:tcPr>
          <w:p w14:paraId="486FF6D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125</w:t>
            </w:r>
          </w:p>
        </w:tc>
        <w:tc>
          <w:tcPr>
            <w:tcW w:w="445" w:type="dxa"/>
          </w:tcPr>
          <w:p w14:paraId="0A5C8B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135</w:t>
            </w:r>
          </w:p>
        </w:tc>
        <w:tc>
          <w:tcPr>
            <w:tcW w:w="554" w:type="dxa"/>
          </w:tcPr>
          <w:p w14:paraId="1B5773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tc>
        <w:tc>
          <w:tcPr>
            <w:tcW w:w="663" w:type="dxa"/>
          </w:tcPr>
          <w:p w14:paraId="04EEB1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140</w:t>
            </w:r>
          </w:p>
        </w:tc>
        <w:tc>
          <w:tcPr>
            <w:tcW w:w="437" w:type="dxa"/>
          </w:tcPr>
          <w:p w14:paraId="541F50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415</w:t>
            </w:r>
          </w:p>
        </w:tc>
      </w:tr>
      <w:tr w:rsidR="00561F31" w:rsidRPr="00F90EAE" w14:paraId="09BD0132" w14:textId="77777777">
        <w:trPr>
          <w:trHeight w:val="202"/>
        </w:trPr>
        <w:tc>
          <w:tcPr>
            <w:tcW w:w="2268" w:type="dxa"/>
            <w:tcBorders>
              <w:bottom w:val="single" w:sz="12" w:space="0" w:color="auto"/>
            </w:tcBorders>
          </w:tcPr>
          <w:p w14:paraId="7968A9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Всего:</w:t>
            </w:r>
          </w:p>
        </w:tc>
        <w:tc>
          <w:tcPr>
            <w:tcW w:w="928" w:type="dxa"/>
            <w:tcBorders>
              <w:bottom w:val="single" w:sz="12" w:space="0" w:color="auto"/>
            </w:tcBorders>
          </w:tcPr>
          <w:p w14:paraId="3F3EBF7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3685</w:t>
            </w:r>
          </w:p>
        </w:tc>
        <w:tc>
          <w:tcPr>
            <w:tcW w:w="888" w:type="dxa"/>
            <w:tcBorders>
              <w:bottom w:val="single" w:sz="12" w:space="0" w:color="auto"/>
            </w:tcBorders>
          </w:tcPr>
          <w:p w14:paraId="6544790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2233</w:t>
            </w:r>
          </w:p>
        </w:tc>
        <w:tc>
          <w:tcPr>
            <w:tcW w:w="445" w:type="dxa"/>
            <w:tcBorders>
              <w:bottom w:val="single" w:sz="12" w:space="0" w:color="auto"/>
            </w:tcBorders>
          </w:tcPr>
          <w:p w14:paraId="0EE39C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1938</w:t>
            </w:r>
          </w:p>
        </w:tc>
        <w:tc>
          <w:tcPr>
            <w:tcW w:w="554" w:type="dxa"/>
            <w:tcBorders>
              <w:bottom w:val="single" w:sz="12" w:space="0" w:color="auto"/>
            </w:tcBorders>
          </w:tcPr>
          <w:p w14:paraId="4CF85C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1796</w:t>
            </w:r>
          </w:p>
        </w:tc>
        <w:tc>
          <w:tcPr>
            <w:tcW w:w="663" w:type="dxa"/>
            <w:tcBorders>
              <w:bottom w:val="single" w:sz="12" w:space="0" w:color="auto"/>
            </w:tcBorders>
          </w:tcPr>
          <w:p w14:paraId="6F0C1C8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1685</w:t>
            </w:r>
          </w:p>
        </w:tc>
        <w:tc>
          <w:tcPr>
            <w:tcW w:w="437" w:type="dxa"/>
            <w:tcBorders>
              <w:bottom w:val="single" w:sz="12" w:space="0" w:color="auto"/>
            </w:tcBorders>
          </w:tcPr>
          <w:p w14:paraId="3EB03A6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5419</w:t>
            </w:r>
          </w:p>
        </w:tc>
      </w:tr>
    </w:tbl>
    <w:p w14:paraId="32E3A0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Уменьшить Наркомавиапрому на июнь 1945 г. план производства до 3530 авиационных моторов вместо ранее утвержденному плану.</w:t>
      </w:r>
    </w:p>
    <w:p w14:paraId="6181BD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Утвердить Наркомавиапрому программу выпуска авиа</w:t>
      </w:r>
      <w:r w:rsidRPr="00F90EAE">
        <w:rPr>
          <w:color w:val="000000" w:themeColor="text1"/>
          <w:sz w:val="16"/>
          <w:szCs w:val="16"/>
        </w:rPr>
        <w:softHyphen/>
        <w:t xml:space="preserve">ционных моторов в следующих количествах: в июне 3530 и в </w:t>
      </w:r>
      <w:r w:rsidRPr="00F90EAE">
        <w:rPr>
          <w:color w:val="000000" w:themeColor="text1"/>
          <w:sz w:val="16"/>
          <w:szCs w:val="16"/>
          <w:lang w:val="en-US"/>
        </w:rPr>
        <w:t>III</w:t>
      </w:r>
      <w:r w:rsidRPr="00F90EAE">
        <w:rPr>
          <w:color w:val="000000" w:themeColor="text1"/>
          <w:sz w:val="16"/>
          <w:szCs w:val="16"/>
        </w:rPr>
        <w:t xml:space="preserve"> квартале 1945 г. 10005 моторов...</w:t>
      </w:r>
    </w:p>
    <w:p w14:paraId="494100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В целях создания тяжелых бомбардировщиков даль</w:t>
      </w:r>
      <w:r w:rsidRPr="00F90EAE">
        <w:rPr>
          <w:color w:val="000000" w:themeColor="text1"/>
          <w:sz w:val="16"/>
          <w:szCs w:val="16"/>
        </w:rPr>
        <w:softHyphen/>
        <w:t>него действия обязать Наркомавиапром (т. Шахурина) организовать на заводе № 22 в г. Казани производство 4-моторных дальних бомбардировщиков Б-4.</w:t>
      </w:r>
    </w:p>
    <w:p w14:paraId="5DB024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Производство самолетов Пе-2 с двумя моторами ВК-105 ПФ на заводе № 22 прекратить. Оставшийся за</w:t>
      </w:r>
      <w:r w:rsidRPr="00F90EAE">
        <w:rPr>
          <w:color w:val="000000" w:themeColor="text1"/>
          <w:sz w:val="16"/>
          <w:szCs w:val="16"/>
        </w:rPr>
        <w:softHyphen/>
        <w:t>дел по этому самолету использовать на выпуск 250 само</w:t>
      </w:r>
      <w:r w:rsidRPr="00F90EAE">
        <w:rPr>
          <w:color w:val="000000" w:themeColor="text1"/>
          <w:sz w:val="16"/>
          <w:szCs w:val="16"/>
        </w:rPr>
        <w:softHyphen/>
        <w:t>летов Пе-2 в учебном варианте (с двойным управлением).</w:t>
      </w:r>
    </w:p>
    <w:p w14:paraId="4963C39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Обязать Наркомавиапром (т. Шахурина) доукомп</w:t>
      </w:r>
      <w:r w:rsidRPr="00F90EAE">
        <w:rPr>
          <w:color w:val="000000" w:themeColor="text1"/>
          <w:sz w:val="16"/>
          <w:szCs w:val="16"/>
        </w:rPr>
        <w:softHyphen/>
        <w:t>лектовать завод № 22 оборудованием для организации производства бомбардировщиков Б-4...</w:t>
      </w:r>
    </w:p>
    <w:p w14:paraId="135258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w:t>
      </w:r>
    </w:p>
    <w:p w14:paraId="59081A4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 использовании освобождающихся мощностей авиационных заводов</w:t>
      </w:r>
    </w:p>
    <w:p w14:paraId="26E3DF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выпуска гражданской продукции</w:t>
      </w:r>
    </w:p>
    <w:p w14:paraId="0F1300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Принять предложение Наркомавиапрома об орга</w:t>
      </w:r>
      <w:r w:rsidRPr="00F90EAE">
        <w:rPr>
          <w:color w:val="000000" w:themeColor="text1"/>
          <w:sz w:val="16"/>
          <w:szCs w:val="16"/>
        </w:rPr>
        <w:softHyphen/>
        <w:t>низации на авиационных заводах производства следую</w:t>
      </w:r>
      <w:r w:rsidRPr="00F90EAE">
        <w:rPr>
          <w:color w:val="000000" w:themeColor="text1"/>
          <w:sz w:val="16"/>
          <w:szCs w:val="16"/>
        </w:rPr>
        <w:softHyphen/>
        <w:t>щих видов продукции:</w:t>
      </w:r>
    </w:p>
    <w:p w14:paraId="670575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автомобильных дизелей типа «Джиемси» мощностью 110-160 л.с. для грузовых автомобилей грудоподъемнос-тью 5-8-10 тонн на авиамоторном заводе № 45 в г. Мос</w:t>
      </w:r>
      <w:r w:rsidRPr="00F90EAE">
        <w:rPr>
          <w:color w:val="000000" w:themeColor="text1"/>
          <w:sz w:val="16"/>
          <w:szCs w:val="16"/>
        </w:rPr>
        <w:softHyphen/>
        <w:t>кве и восстанавливаемом авиамоторном заводе № 274 в г. Ленинграде;</w:t>
      </w:r>
    </w:p>
    <w:p w14:paraId="577A7A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автомобильных бензиновых моторов типа «Додж» 76 л.с. для автомобилей, выпускаемых Горьковским заводом им.Молотова — на авиамоторном заводе № 466 в г. Горь</w:t>
      </w:r>
      <w:r w:rsidRPr="00F90EAE">
        <w:rPr>
          <w:color w:val="000000" w:themeColor="text1"/>
          <w:sz w:val="16"/>
          <w:szCs w:val="16"/>
        </w:rPr>
        <w:softHyphen/>
        <w:t>ком;</w:t>
      </w:r>
    </w:p>
    <w:p w14:paraId="10BB9FF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моторов для мотоциклов М-72 на восстанавливае</w:t>
      </w:r>
      <w:r w:rsidRPr="00F90EAE">
        <w:rPr>
          <w:color w:val="000000" w:themeColor="text1"/>
          <w:sz w:val="16"/>
          <w:szCs w:val="16"/>
        </w:rPr>
        <w:softHyphen/>
        <w:t>мом авиамоторном заводе № 470 в г. Запорожье (бывш. завод № 29);</w:t>
      </w:r>
    </w:p>
    <w:p w14:paraId="08F51B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пассажирских автобусов (на стандартном шасси производства Наркомсредмаша) на самолетостроитель</w:t>
      </w:r>
      <w:r w:rsidRPr="00F90EAE">
        <w:rPr>
          <w:color w:val="000000" w:themeColor="text1"/>
          <w:sz w:val="16"/>
          <w:szCs w:val="16"/>
        </w:rPr>
        <w:softHyphen/>
        <w:t>ных заводах № 292 в г. Саратове и № 473 в г. Киеве.</w:t>
      </w:r>
    </w:p>
    <w:p w14:paraId="3E225F0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пассажирских троллейбусов на самолетостроитель</w:t>
      </w:r>
      <w:r w:rsidRPr="00F90EAE">
        <w:rPr>
          <w:color w:val="000000" w:themeColor="text1"/>
          <w:sz w:val="16"/>
          <w:szCs w:val="16"/>
        </w:rPr>
        <w:softHyphen/>
        <w:t>ном заводе № 82 в г. Москве в кооперации с заводом № 43 в г. Москве.</w:t>
      </w:r>
    </w:p>
    <w:p w14:paraId="47A388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 легковых пятиместных автомобилей с моторами типа «Додж» на самолетостроительных заводах № 21 в г. Горь</w:t>
      </w:r>
      <w:r w:rsidRPr="00F90EAE">
        <w:rPr>
          <w:color w:val="000000" w:themeColor="text1"/>
          <w:sz w:val="16"/>
          <w:szCs w:val="16"/>
        </w:rPr>
        <w:softHyphen/>
        <w:t>ком и № 64 в г. Воронеже в кооперации с заводами № 469, 467 и 119 Наркомавиапрома;</w:t>
      </w:r>
    </w:p>
    <w:p w14:paraId="67B94A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ж) велосипедов на самолетостроительном заводе № 153 в г.Новосибирске;</w:t>
      </w:r>
    </w:p>
    <w:p w14:paraId="4A6752F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 автомобилей со специальными кузовами для торговой сети (на стандартном шасси производства Наркомсредма</w:t>
      </w:r>
      <w:r w:rsidRPr="00F90EAE">
        <w:rPr>
          <w:color w:val="000000" w:themeColor="text1"/>
          <w:sz w:val="16"/>
          <w:szCs w:val="16"/>
        </w:rPr>
        <w:softHyphen/>
        <w:t>ша) на заводах № 163 в г. Пензе и № 167 в г. Саратове;</w:t>
      </w:r>
    </w:p>
    <w:p w14:paraId="78E5AA02"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 специальных грузовых мотоциклов для городской торговой сети (на стандартном мотоциклетном шасси производства Наркомсредмаша) на заводах № 481 в г. Сызрани, № 135 в г.Харькове и № 172 в г. Ленинграде;</w:t>
      </w:r>
    </w:p>
    <w:p w14:paraId="1DB813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мельничных машин на филиале завода № 21 в г. Горьком (бывш. завод им.Воробьева);</w:t>
      </w:r>
    </w:p>
    <w:p w14:paraId="39CB2A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 радиаторов для автомобилей и тракторов на радиа</w:t>
      </w:r>
      <w:r w:rsidRPr="00F90EAE">
        <w:rPr>
          <w:color w:val="000000" w:themeColor="text1"/>
          <w:sz w:val="16"/>
          <w:szCs w:val="16"/>
        </w:rPr>
        <w:softHyphen/>
        <w:t>торных заводах № 469 в г. Горьком и № 472 в г. Кузнецке;</w:t>
      </w:r>
    </w:p>
    <w:p w14:paraId="423023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 карбюраторов для автомобильных моторов на заводе № 33 в г. Молотове;</w:t>
      </w:r>
    </w:p>
    <w:p w14:paraId="4BBCC5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 магнето, генераторов и свечей для автомобильных моторов на заводах № 266 в г. Кирове, № 284 в г. Сара</w:t>
      </w:r>
      <w:r w:rsidRPr="00F90EAE">
        <w:rPr>
          <w:color w:val="000000" w:themeColor="text1"/>
          <w:sz w:val="16"/>
          <w:szCs w:val="16"/>
        </w:rPr>
        <w:softHyphen/>
        <w:t>пуле, № 36 в г. Саратове и № 161 в г. Уфе;</w:t>
      </w:r>
    </w:p>
    <w:p w14:paraId="240484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электромоторов переменного тока мощностью от 0,2 до 5 квт на заводах № 266 в г.Кирове, № 140 в г. Москве и № 219 в г.Балашихе;</w:t>
      </w:r>
    </w:p>
    <w:p w14:paraId="5C4FA9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 электромоторчиков «Уорренн» на заводах № 230 в г. Казани и № 282 в г. Москве;</w:t>
      </w:r>
    </w:p>
    <w:p w14:paraId="7728AC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 приборы и установки по радиолокации и телевиде</w:t>
      </w:r>
      <w:r w:rsidRPr="00F90EAE">
        <w:rPr>
          <w:color w:val="000000" w:themeColor="text1"/>
          <w:sz w:val="16"/>
          <w:szCs w:val="16"/>
        </w:rPr>
        <w:softHyphen/>
        <w:t>нию на заводах 17 Главного управления;</w:t>
      </w:r>
    </w:p>
    <w:p w14:paraId="6E6B33B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 распределительных цехов устройств на заводах № 145 в г. Куйбышеве и № 481 в г. Сызрани;</w:t>
      </w:r>
    </w:p>
    <w:p w14:paraId="21AB481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 пусковой аппаратуры низковольтной на заводах № 32 и 266 в г. Кирове;</w:t>
      </w:r>
    </w:p>
    <w:p w14:paraId="42F9BA7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 электрокар грузоподъемностью 0,75 тонны, 1 тонны и 1,5 тонны на заводах № 27 в г. Москве, № 28 в г. Свердловске и № 140 в г. Москве;</w:t>
      </w:r>
    </w:p>
    <w:p w14:paraId="0173BA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ф) электроинструмента (для сверления, отвертки и шлифовки) на заводе № 480 в г. Харькове;</w:t>
      </w:r>
    </w:p>
    <w:p w14:paraId="4FC7AF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 телефонных аппаратов на заводе № 89 в г. Тарту;</w:t>
      </w:r>
    </w:p>
    <w:p w14:paraId="3AA76E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 стандартных домов на заводах № 494 в Козловке Чувашской АССР и № 499 ст. Заводоуковская;</w:t>
      </w:r>
    </w:p>
    <w:p w14:paraId="4451751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 мебели на заводах № 383 в г. Москве и № 387 в г. Казани;</w:t>
      </w:r>
    </w:p>
    <w:p w14:paraId="040631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 увеличения втрое производства электроизмеритель</w:t>
      </w:r>
      <w:r w:rsidRPr="00F90EAE">
        <w:rPr>
          <w:color w:val="000000" w:themeColor="text1"/>
          <w:sz w:val="16"/>
          <w:szCs w:val="16"/>
        </w:rPr>
        <w:softHyphen/>
        <w:t>ных и тепловых приборов общепромышленного назначе</w:t>
      </w:r>
      <w:r w:rsidRPr="00F90EAE">
        <w:rPr>
          <w:color w:val="000000" w:themeColor="text1"/>
          <w:sz w:val="16"/>
          <w:szCs w:val="16"/>
        </w:rPr>
        <w:softHyphen/>
        <w:t>ния;</w:t>
      </w:r>
    </w:p>
    <w:p w14:paraId="7CAF5B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щ) рефрижераторов (холодильников) па заводах № 30 и № 140 в г. Москве;</w:t>
      </w:r>
    </w:p>
    <w:p w14:paraId="6E4DAC6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 предметов широкого потребления: электросчетчики переменного тока, электроутюги, электропечи, электро</w:t>
      </w:r>
      <w:r w:rsidRPr="00F90EAE">
        <w:rPr>
          <w:color w:val="000000" w:themeColor="text1"/>
          <w:sz w:val="16"/>
          <w:szCs w:val="16"/>
        </w:rPr>
        <w:softHyphen/>
        <w:t>плитки, радиоприемники, кровати, детские коляски, ве</w:t>
      </w:r>
      <w:r w:rsidRPr="00F90EAE">
        <w:rPr>
          <w:color w:val="000000" w:themeColor="text1"/>
          <w:sz w:val="16"/>
          <w:szCs w:val="16"/>
        </w:rPr>
        <w:softHyphen/>
        <w:t>лосипеды и кухонная посуда на освобождающихся мощ</w:t>
      </w:r>
      <w:r w:rsidRPr="00F90EAE">
        <w:rPr>
          <w:color w:val="000000" w:themeColor="text1"/>
          <w:sz w:val="16"/>
          <w:szCs w:val="16"/>
        </w:rPr>
        <w:softHyphen/>
        <w:t>ностях других заводов Наркомавиапрома.</w:t>
      </w:r>
    </w:p>
    <w:p w14:paraId="34DBBDC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II</w:t>
      </w:r>
      <w:r w:rsidRPr="00F90EAE">
        <w:rPr>
          <w:color w:val="000000" w:themeColor="text1"/>
          <w:sz w:val="16"/>
          <w:szCs w:val="16"/>
        </w:rPr>
        <w:t xml:space="preserve">. Обязать Наркомавиапром и Госплан СССР в 2-недельный срок представить на утверждение Совнаркома СССР план производства гражданской продукции на авиационных заводах на </w:t>
      </w:r>
      <w:r w:rsidRPr="00F90EAE">
        <w:rPr>
          <w:color w:val="000000" w:themeColor="text1"/>
          <w:sz w:val="16"/>
          <w:szCs w:val="16"/>
          <w:lang w:val="en-US"/>
        </w:rPr>
        <w:t>III</w:t>
      </w:r>
      <w:r w:rsidRPr="00F90EAE">
        <w:rPr>
          <w:color w:val="000000" w:themeColor="text1"/>
          <w:sz w:val="16"/>
          <w:szCs w:val="16"/>
        </w:rPr>
        <w:t xml:space="preserve"> квартал 1945 г.*</w:t>
      </w:r>
    </w:p>
    <w:p w14:paraId="6D0BD3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w:t>
      </w:r>
    </w:p>
    <w:p w14:paraId="79C3AA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И.Сталин</w:t>
      </w:r>
    </w:p>
    <w:p w14:paraId="6270BBA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Круглая печать:</w:t>
      </w:r>
    </w:p>
    <w:p w14:paraId="19DBD6B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«Государственный Комитет Обороны. № </w:t>
      </w:r>
      <w:r w:rsidRPr="00F90EAE">
        <w:rPr>
          <w:color w:val="000000" w:themeColor="text1"/>
          <w:sz w:val="16"/>
          <w:szCs w:val="16"/>
          <w:lang w:val="en-US"/>
        </w:rPr>
        <w:t>I</w:t>
      </w:r>
      <w:r w:rsidRPr="00F90EAE">
        <w:rPr>
          <w:color w:val="000000" w:themeColor="text1"/>
          <w:sz w:val="16"/>
          <w:szCs w:val="16"/>
        </w:rPr>
        <w:t>. Протокольная часть ГОКО»</w:t>
      </w:r>
    </w:p>
    <w:p w14:paraId="21C873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РЦХИДНИ. Ф.644. Оп.1. Д.425. Л. 107-117. Заверенная копия.</w:t>
      </w:r>
    </w:p>
    <w:p w14:paraId="22032973"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В п. 12-21. Разрешалось выплачивать рабочим и служащим в течение 2-3 мес. среднюю заработную плату: Госплану - создать мобилизационный сектор: восстановить очередные отпуска и выходные дни; предлагалось сохранить техническую докумен</w:t>
      </w:r>
      <w:r w:rsidRPr="00F90EAE">
        <w:rPr>
          <w:color w:val="000000" w:themeColor="text1"/>
          <w:sz w:val="16"/>
          <w:szCs w:val="16"/>
        </w:rPr>
        <w:softHyphen/>
        <w:t xml:space="preserve">тацию: рассматривались поправки к плану на </w:t>
      </w:r>
      <w:r w:rsidRPr="00F90EAE">
        <w:rPr>
          <w:color w:val="000000" w:themeColor="text1"/>
          <w:sz w:val="16"/>
          <w:szCs w:val="16"/>
          <w:lang w:val="en-US"/>
        </w:rPr>
        <w:t>II</w:t>
      </w:r>
      <w:r w:rsidRPr="00F90EAE">
        <w:rPr>
          <w:color w:val="000000" w:themeColor="text1"/>
          <w:sz w:val="16"/>
          <w:szCs w:val="16"/>
        </w:rPr>
        <w:t xml:space="preserve"> квартал и Разрешалось в июне произвести больше самолетов и моторов: поручалось комиссии во 1/шве с Н.А.Возиесенским разработать и внести в ГОКО предложения по сохранению и поощрению кадров на заводах Наркомавиапрома и др. Там же. Л. 117-119 (11461).</w:t>
      </w:r>
    </w:p>
    <w:p w14:paraId="6E59EC9A" w14:textId="77777777" w:rsidR="006103B3" w:rsidRPr="00F90EAE" w:rsidRDefault="006103B3" w:rsidP="00F90EAE">
      <w:pPr>
        <w:widowControl w:val="0"/>
        <w:autoSpaceDE w:val="0"/>
        <w:autoSpaceDN w:val="0"/>
        <w:adjustRightInd w:val="0"/>
        <w:jc w:val="both"/>
        <w:rPr>
          <w:color w:val="000000" w:themeColor="text1"/>
          <w:sz w:val="16"/>
          <w:szCs w:val="16"/>
        </w:rPr>
      </w:pPr>
    </w:p>
    <w:p w14:paraId="0AD6C9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N 8934cc по организации производства Ту-2 на 166 заводе (1835,29).</w:t>
      </w:r>
    </w:p>
    <w:p w14:paraId="6CF39F72" w14:textId="77777777" w:rsidR="006103B3" w:rsidRPr="00F90EAE" w:rsidRDefault="006103B3" w:rsidP="00F90EAE">
      <w:pPr>
        <w:autoSpaceDE w:val="0"/>
        <w:autoSpaceDN w:val="0"/>
        <w:adjustRightInd w:val="0"/>
        <w:jc w:val="both"/>
        <w:rPr>
          <w:color w:val="000000" w:themeColor="text1"/>
          <w:sz w:val="16"/>
          <w:szCs w:val="16"/>
        </w:rPr>
      </w:pPr>
    </w:p>
    <w:p w14:paraId="5938DAA3"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6 июня 1945 года вышло постановление ГКО, в соответствии с которым на заводе № 166 возобновилось серийное производство Ту-2 с новым бомбардировочным вооружением (по типу самолета "68"), размещавшимся как в грузовом отсеке, так и на подфюзеляжных балочных держателях. В августе того же года ОКБ Туполева передало на завод документацию машины, в которой увеличили емкость бомбодержателей до 4000 кг, была установлена штанговая проводка аварийного сброса бомб, возрос запас топлива за счет замены бензобаков № 6 и № 7 одним. К постройке самолетов завод приступил во второй половине 1946 г.</w:t>
      </w:r>
    </w:p>
    <w:p w14:paraId="752893BA"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В январе 1948 года на государственные испытания предъявили серийный самолет № 04/07, выпущенный в августе 1947 г.</w:t>
      </w:r>
    </w:p>
    <w:p w14:paraId="30B831B8"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Заказчик потребовал в 1948 году согласно новым техническим условиям установить на Ту-2 противообледенительные устройства крыла, оперения, воздушных винтов и остекления фонаря кабины летчика, флюгерные воздушные винты (четырехлопастные АВ-9Вф-21к диаметром 3,6 метра), элек- трофицированную стрелковую установку ВЭУ-1 вместо ВУБ-68, электромагнитные замки бомбодержателей вместо электропиротехнических и светотехническое оборудование по типу дальнего бомбардировщика Ту-4. Эти доработки завод № 166 выполнил на самолете № 06/15 в августе 1948 г. Одновременно установили дистанционный компас ПДК-45 вместо ПДК-44 и обеспечили вентиляцию генераторов ГС-1500.</w:t>
      </w:r>
    </w:p>
    <w:p w14:paraId="25583018"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Самолет № 06/15 выдержал государственные испытания, а все его доработки внедрили на бомбардировщиках завода № 166, начиная с машины № 1660920, выпущенной в 1949 г. Самолет был предъявлен в НИИ ВВС в августе того же года. На машине № 1660920 были размешены также коротковолновая радиостанция РСБ-5/230 вместо РСБ-ЗбисДД, гирополукомпас АГК-47А вместо АГП-2, гирополукомпас ГПК-46 вместо гиромагнитного компаса ГМК-2, радиовысотомер РВ-2, радиокомпас АРК-5 и маркерный приемник МРП-48.</w:t>
      </w:r>
    </w:p>
    <w:p w14:paraId="4339D0CD"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максимальная скорость на высоте 5550 м возросла до 560 км/ч, практический потолок остался прежний - 9000 м, время набора высоты 5000 м составило 10,3 минуты, а техническая дальность - 2050 км.</w:t>
      </w:r>
    </w:p>
    <w:p w14:paraId="1C0C1846"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ноябре 1948 года в НИИ ВВС на Ту-2 выдержал испытания с оценкой удовлетворительно флюгерно-реверсивный воздушный винт АВ-30В-21К Жданова. Эту работу хотели поручить летчику-испытателю М.А. Нюхтикову, но он отказался из-за отсутствия блокировки на винте и летные исследования провел Митронин. Но </w:t>
      </w:r>
      <w:r w:rsidRPr="00F90EAE">
        <w:rPr>
          <w:color w:val="000000" w:themeColor="text1"/>
          <w:sz w:val="16"/>
          <w:szCs w:val="16"/>
        </w:rPr>
        <w:lastRenderedPageBreak/>
        <w:t>из-за осторожности заказчик, посчитавший, что при эксплуатации самолета с запыленных грунтовых аэродромов, будут быстрее изнашиваться моторы, отказался от внедрения флю- герно-реверсивных воздушных винтов.</w:t>
      </w:r>
    </w:p>
    <w:p w14:paraId="170BFA11"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В июле 1949 года выдержал государственные испытания Ту-2 № 1660908 с двигателями АШ-82ФН и воздушными винтами АВ-9ВФ-21К, предназначенный для транспортировки на внешней подвеске автомобилей, 120-мм полковых минометов и 76-мм артиллерийских орудий, и их парашютного десантирования.</w:t>
      </w:r>
    </w:p>
    <w:p w14:paraId="41852056"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Как следует из акта по результатам государственных испытаний, "транспортировка автомобилей ГАЗ-67Б на самолетах Ту-2 возможна на высотах до 6000 м.</w:t>
      </w:r>
    </w:p>
    <w:p w14:paraId="2B366BFE"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Вследствие того, что снятие створок бом- болюков и подвеска автомобиля ГАЗ-67Б значительно снижают скорость Ту-2 (150- 160 км/ч), целесообразно разработать и заказать МАП обтекатели бомболюков и подвески автомобиля ГАЗ-76Б...".</w:t>
      </w:r>
    </w:p>
    <w:p w14:paraId="61D9C690" w14:textId="77777777" w:rsidR="00B87114" w:rsidRPr="00F90EAE" w:rsidRDefault="00B87114"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на Ту-2С опробовали транспортировку 120-мм полкового миномета и 76-мм пушки (12035).</w:t>
      </w:r>
    </w:p>
    <w:p w14:paraId="7AA3739A" w14:textId="77777777" w:rsidR="00B87114" w:rsidRPr="00F90EAE" w:rsidRDefault="00B87114" w:rsidP="00F90EAE">
      <w:pPr>
        <w:autoSpaceDE w:val="0"/>
        <w:autoSpaceDN w:val="0"/>
        <w:adjustRightInd w:val="0"/>
        <w:jc w:val="both"/>
        <w:rPr>
          <w:color w:val="000000" w:themeColor="text1"/>
          <w:sz w:val="16"/>
          <w:szCs w:val="16"/>
        </w:rPr>
      </w:pPr>
    </w:p>
    <w:p w14:paraId="6B96CD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этом же постановлении от 6 июня 1945 N 8934сс НКАП было поручено организовать на заводе 22 производство 4-х моторных бомбардировщиков Б-4 (1894,23) и о производстве Ту-2 на 1 заводе (1894,73).</w:t>
      </w:r>
    </w:p>
    <w:p w14:paraId="13512A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То есть, постановление было по А.Н.Т.</w:t>
      </w:r>
    </w:p>
    <w:p w14:paraId="2BD26F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4316D7C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ГК по опытному самолету Б-4 назначить А.Н.Т." (1894,23).</w:t>
      </w:r>
    </w:p>
    <w:p w14:paraId="5E6170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В-29 N 42-6256 передали в ЛИИ для изучения и доводки мотоустановки с АШ-73ТК Ramp Tramp - дали номер 256, N 42-6365 - разобрали для снятия чертежей - дали номер 365, а N 42-6358 оставили как эталонный - дали номер 358 (2645,26).</w:t>
      </w:r>
    </w:p>
    <w:p w14:paraId="5B35CFF8" w14:textId="77777777" w:rsidR="006103B3" w:rsidRPr="00F90EAE" w:rsidRDefault="006103B3" w:rsidP="00F90EAE">
      <w:pPr>
        <w:autoSpaceDE w:val="0"/>
        <w:autoSpaceDN w:val="0"/>
        <w:adjustRightInd w:val="0"/>
        <w:jc w:val="both"/>
        <w:rPr>
          <w:color w:val="000000" w:themeColor="text1"/>
          <w:sz w:val="16"/>
          <w:szCs w:val="16"/>
        </w:rPr>
      </w:pPr>
    </w:p>
    <w:p w14:paraId="3A784CD0" w14:textId="77777777" w:rsidR="00B87114" w:rsidRPr="00F90EAE" w:rsidRDefault="00B87114" w:rsidP="00F90EAE">
      <w:pPr>
        <w:jc w:val="both"/>
        <w:rPr>
          <w:color w:val="000000" w:themeColor="text1"/>
          <w:sz w:val="16"/>
          <w:szCs w:val="16"/>
        </w:rPr>
      </w:pPr>
      <w:r w:rsidRPr="00F90EAE">
        <w:rPr>
          <w:color w:val="000000" w:themeColor="text1"/>
          <w:sz w:val="16"/>
          <w:szCs w:val="16"/>
        </w:rPr>
        <w:t>6 июня 1945 г. вышло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w:t>
      </w:r>
    </w:p>
    <w:p w14:paraId="34279ABC" w14:textId="77777777" w:rsidR="00B87114" w:rsidRPr="00F90EAE" w:rsidRDefault="00B87114" w:rsidP="00F90EAE">
      <w:pPr>
        <w:jc w:val="both"/>
        <w:rPr>
          <w:color w:val="000000" w:themeColor="text1"/>
          <w:sz w:val="16"/>
          <w:szCs w:val="16"/>
        </w:rPr>
      </w:pPr>
      <w:r w:rsidRPr="00F90EAE">
        <w:rPr>
          <w:color w:val="000000" w:themeColor="text1"/>
          <w:sz w:val="16"/>
          <w:szCs w:val="16"/>
        </w:rPr>
        <w:t>Несмотря на то что все силы ОКБ были переключены на Б-4, еще почти два года «самолет 64» оставался в планах туполевцев. С момента утверждения макета в апреле 1945 г. исходный проект неоднократно перерабатывался с учетом тех конструкторских решений, которые инженеры ОКБ увидели на В-29. В результате третий и последний вариант проекта «самолета 64» с двигателями АМ-46ТК-ЗПБ мощностью 2300 л. с. был готов к концу 1946 г. и отличался от предыдущих проектов. Он стал низкопланом, что позволило унифицировать конструкцию планера как для бомбардировочного, так и для пассажирского варианта. Остекление передней кабины летчиков стало ступенчатым, что значительно улучшило обзор. В передней кабине была установлена радиолокационная станция «Кобальт» по типу американской AN/APQ-13. Бортовое оборудование, в особенности радионавигационное, было расширено по составу в соответствии с требованиями заказчика и комплектацией аналогичных систем на В-29 (15568).</w:t>
      </w:r>
    </w:p>
    <w:p w14:paraId="6E67E999" w14:textId="77777777" w:rsidR="00B87114" w:rsidRPr="00F90EAE" w:rsidRDefault="00B87114" w:rsidP="00F90EAE">
      <w:pPr>
        <w:jc w:val="both"/>
        <w:rPr>
          <w:color w:val="000000" w:themeColor="text1"/>
          <w:sz w:val="16"/>
          <w:szCs w:val="16"/>
        </w:rPr>
      </w:pPr>
    </w:p>
    <w:p w14:paraId="237981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решение ГКО N 8934cc о копировании и запуске в серию В-29</w:t>
      </w:r>
      <w:r w:rsidR="00D7144C" w:rsidRPr="00F90EAE">
        <w:rPr>
          <w:color w:val="000000" w:themeColor="text1"/>
          <w:sz w:val="16"/>
          <w:szCs w:val="16"/>
        </w:rPr>
        <w:t xml:space="preserve"> - Б-4</w:t>
      </w:r>
      <w:r w:rsidRPr="00F90EAE">
        <w:rPr>
          <w:color w:val="000000" w:themeColor="text1"/>
          <w:sz w:val="16"/>
          <w:szCs w:val="16"/>
        </w:rPr>
        <w:t xml:space="preserve"> (1051,53)</w:t>
      </w:r>
    </w:p>
    <w:p w14:paraId="0768F89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114A4F2" w14:textId="77777777" w:rsidR="00B87114" w:rsidRPr="00F90EAE" w:rsidRDefault="00B87114" w:rsidP="00F90EAE">
      <w:pPr>
        <w:jc w:val="both"/>
        <w:rPr>
          <w:color w:val="000000" w:themeColor="text1"/>
          <w:sz w:val="16"/>
          <w:szCs w:val="16"/>
        </w:rPr>
      </w:pPr>
      <w:r w:rsidRPr="00F90EAE">
        <w:rPr>
          <w:bCs/>
          <w:color w:val="000000" w:themeColor="text1"/>
          <w:sz w:val="16"/>
          <w:szCs w:val="16"/>
        </w:rPr>
        <w:t>6 июня</w:t>
      </w:r>
      <w:r w:rsidRPr="00F90EAE">
        <w:rPr>
          <w:color w:val="000000" w:themeColor="text1"/>
          <w:sz w:val="16"/>
          <w:szCs w:val="16"/>
        </w:rPr>
        <w:t xml:space="preserve"> в 1945 году решение Государственного комитета обороны, по которому ОКБ Туполева поручалось организовать производство самолета «Б-4» (Ту-4) - советской копии-аналога американского бомбардировщика «В-29». Начало этих работ в ОКБ стало окончанием активного проектирования "самолета 64". В начале июня 1945 г. А.Н.Туполев и его заместитель А.А.Архангельский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 "Товарищ Туполев, вы будете копировать «В-29». Подробности - у Шахурина". 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А.И.Шахурину за получением конкретного задания (14914).</w:t>
      </w:r>
    </w:p>
    <w:p w14:paraId="7008C2AF" w14:textId="77777777" w:rsidR="00B87114" w:rsidRPr="00F90EAE" w:rsidRDefault="00B87114" w:rsidP="00F90EAE">
      <w:pPr>
        <w:jc w:val="both"/>
        <w:rPr>
          <w:color w:val="000000" w:themeColor="text1"/>
          <w:sz w:val="16"/>
          <w:szCs w:val="16"/>
        </w:rPr>
      </w:pPr>
    </w:p>
    <w:p w14:paraId="1B21AD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была авторитетному ОКБ А.Н.Туполева поставлена задача скопировать американский бомбардировщик и наладить его выпуск под обозначением Б-4 ("бомбардировщик четырехмоторный"), а через две недели появился соответствующий приказ НКАП. Он гласил: "Главному конструктору тов. Туполеву немедленно приступить к разработке чертежей, плазов и технической документации на самолет Б-4, считая эту работу первоочередной задачей для конструкторского и производственного коллективов завода № 156....В целях всемерного форсирования работ по самолету Б-4 создать на заводе № 22 в помощь основному ОКБ тов. Туполева опытно-конструкторское бюро по самолету Б-4 с включением в пего всего личного состава ОКБ тов. Незваль, ОКБ тов. Мясищева на заводе № 22 и опытного цеха завода № 22". Далее приказом уточнялся круг задач различных организаций, Туполеву поручалось расстыковать В-29 на агрегаты, снять теоретические обводы, демонтировать оборудование и передать его соответствующим заводам; начальнику Всесоюзного института авиационных материалов Туманову - организовать изучение всех конструкционных материалов Б-2 9 и дать заказы заводам па неосвоенные материалы; начальнику Центрального института авиационного моторостроения Поликовскому- организовать изучение винтомоторной группы и провести необходимые испытания и доработки, которые позволили бы поставить па новый самолет отечественные двигатели АШ-73 и специальные турбокомпрессоры; начальнику Центрального Аэрогидродинамического института Шишкину - заняться изучением аэродинамики и прочности самолета; начальнику Научного института самолетного оборудования Петрову - провести изучение оборудования В-29 и подготовить задания.для заводов но его серийному выпуску. Первый "советский В-29 - Б-4 - было приказано выпустить на испытания уже через год - в июне 1946-го. Б-4 должен был до мелочей соответствовать В-29 за исключением двигателей AШ-73TK (но с копированием американских турбокомпрессоров), стрелкового вооружения (вместо пулеметов - пушки HP-23), аккумуляторов, аппаратуры опознавания "свой-чужой" и более совершенной коротковолновой радиостанции, также американского образца (3457,120).</w:t>
      </w:r>
    </w:p>
    <w:p w14:paraId="760C15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Б-4 внедрялся в производство на заводе № 22 в Казани, где в связи с этим прекратили выпуск двухмоторных бомбардировщиков Пе-2 и остановили работу но подготовке к постройке опытного экземпляра четырехмоторного бомбардировщика А. Н. Туполева "64". В рамках программы создания Б-4 самолет В-29 № 42-6256 передали в Жуковский, в ЛИИ для изучения и для доводки мотоустановки с двигателями AШ-73ТК. Самолет № 42-6365 решили разобрать для снятия чертежей, a No 42-6358 па всякий случай оставить как эталонный. "Рэмн Трэми" перегонял из Балбасова в Жуковский смешанный экипаж: от 890-го полка- командир самолета Н.А.Ищенко, а от ЛИИ - известный летчик-испытатель М.Л.Галлай. Обучение Галлай проходил прямо на ходу - во время полета. После доставки В-29 в ЛИИ Галлая загрузили испытаниями немецкого трофейного ракетного самолета Me-163B, а американский бомбардировщик принял экипаж И. С. Рыбко (командир) и И. И. Шумейко (второй пилот). До постройки первых Б-4 хотели досконально изучить особенности пилотирования В-29. Все три американские машины получили в СССР бортовые номера в виде трех последних цифр первоначального номера - "256", "365" и "358". Их нанесли на киле выше старого номера, более крупными цифрами. Иа месте символов американских ВВС нарисовали красные звезды (3457,120).</w:t>
      </w:r>
    </w:p>
    <w:p w14:paraId="48A94A32" w14:textId="77777777" w:rsidR="006103B3" w:rsidRPr="00F90EAE" w:rsidRDefault="006103B3" w:rsidP="00F90EAE">
      <w:pPr>
        <w:autoSpaceDE w:val="0"/>
        <w:autoSpaceDN w:val="0"/>
        <w:adjustRightInd w:val="0"/>
        <w:jc w:val="both"/>
        <w:rPr>
          <w:color w:val="000000" w:themeColor="text1"/>
          <w:sz w:val="16"/>
          <w:szCs w:val="16"/>
        </w:rPr>
      </w:pPr>
    </w:p>
    <w:p w14:paraId="219035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года вышло постановление ГКО, согласно которому КБ Туполева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 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 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346D11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 По мнению 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573CAA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4D709A44" w14:textId="77777777" w:rsidR="006103B3" w:rsidRPr="00F90EAE" w:rsidRDefault="006103B3" w:rsidP="00F90EAE">
      <w:pPr>
        <w:autoSpaceDE w:val="0"/>
        <w:autoSpaceDN w:val="0"/>
        <w:adjustRightInd w:val="0"/>
        <w:jc w:val="both"/>
        <w:rPr>
          <w:color w:val="000000" w:themeColor="text1"/>
          <w:sz w:val="16"/>
          <w:szCs w:val="16"/>
        </w:rPr>
      </w:pPr>
    </w:p>
    <w:p w14:paraId="73DAF3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года вышло Постановление ГКО за № 8934сс и 28 июня 1945 года вышел приказ НКАП за № 268сс, согласно которым завод № 207 освоил производство бронезащиты ТУ-2 для обеспечения серийного выпуска заводом № 1 им. Сталина двухмоторного бомбардировщика ТУ-2 с мотором АМ-39ф.</w:t>
      </w:r>
    </w:p>
    <w:p w14:paraId="31C9C1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завод приступил к осовению производства новой конструкции бронекорпуса ИЛ-16.</w:t>
      </w:r>
    </w:p>
    <w:p w14:paraId="240479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AC32A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0C43A6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1A4A24F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Куйбышев</w:t>
      </w:r>
    </w:p>
    <w:p w14:paraId="29783E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0507F48C" w14:textId="77777777" w:rsidR="006103B3" w:rsidRPr="00F90EAE" w:rsidRDefault="006103B3" w:rsidP="00F90EAE">
      <w:pPr>
        <w:autoSpaceDE w:val="0"/>
        <w:autoSpaceDN w:val="0"/>
        <w:adjustRightInd w:val="0"/>
        <w:jc w:val="both"/>
        <w:rPr>
          <w:color w:val="000000" w:themeColor="text1"/>
          <w:sz w:val="16"/>
          <w:szCs w:val="16"/>
        </w:rPr>
      </w:pPr>
    </w:p>
    <w:p w14:paraId="1D3D3F9B" w14:textId="77777777" w:rsidR="00B87114" w:rsidRPr="00F90EAE" w:rsidRDefault="00B87114" w:rsidP="00F90EAE">
      <w:pPr>
        <w:jc w:val="both"/>
        <w:rPr>
          <w:color w:val="000000" w:themeColor="text1"/>
          <w:sz w:val="16"/>
          <w:szCs w:val="16"/>
        </w:rPr>
      </w:pPr>
      <w:r w:rsidRPr="00F90EAE">
        <w:rPr>
          <w:bCs/>
          <w:color w:val="000000" w:themeColor="text1"/>
          <w:sz w:val="16"/>
          <w:szCs w:val="16"/>
        </w:rPr>
        <w:t>6 июня</w:t>
      </w:r>
      <w:r w:rsidRPr="00F90EAE">
        <w:rPr>
          <w:color w:val="000000" w:themeColor="text1"/>
          <w:sz w:val="16"/>
          <w:szCs w:val="16"/>
        </w:rPr>
        <w:t xml:space="preserve"> в 1945 году первый полет опытного истребителя-штурмовика </w:t>
      </w:r>
      <w:hyperlink r:id="rId140" w:tgtFrame="_blank" w:history="1">
        <w:r w:rsidRPr="00F90EAE">
          <w:rPr>
            <w:color w:val="000000" w:themeColor="text1"/>
            <w:sz w:val="16"/>
            <w:szCs w:val="16"/>
          </w:rPr>
          <w:t xml:space="preserve">«Як-9» </w:t>
        </w:r>
      </w:hyperlink>
      <w:r w:rsidRPr="00F90EAE">
        <w:rPr>
          <w:color w:val="000000" w:themeColor="text1"/>
          <w:sz w:val="16"/>
          <w:szCs w:val="16"/>
        </w:rPr>
        <w:t>с 57-мм пушкой Ш-57. Як-9 был создан как истребитель для сопровождения бомбардировщиков дальней авиации. Создатели дальнего «Як-9»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В 1944 г. появилась 57-мм авиационная автоматическая пушка системы Шпитального («Ш-57»), она предназначалась для установки на самолетах истребительной, штурмовой и бомбардировочной авиации. Для пушки «Ш-57» использовались новые боеприпасы – патроны со снарядами осколочно-зажигательно-трассирующего действия большой мощности и снаряды кумулятивного действия большой мощности, пробивающие при своем попадании, независимо от дистанции, броню толщиной 70-80 мм, что делало данную пушку грозным оружием не только в воздушном бою, но и при использовании по таким целям, как танки, бронеавтомобили, корабли и суда военно-морского флота малого тоннажа.Простая по своей конструкции пушка отличалась легкостью сборки и разборки. Стрельба из пушки могла производиться длинными, короткими очередями и одиночными выстрелами. Пушка «Ш-57» имела непрерывное питание, осуществляемое при помощи ящика питания, имеющего бесконечную звеньевую ленту. Темп стрельбы составлял 150 – 200 выстр./мин. Однако 57-мм авиационная пушка Шпитального «Ш-57» так и осталась существовать только в опытных образцах. Много снимков различных модификаций «Як-9» (14914).</w:t>
      </w:r>
    </w:p>
    <w:p w14:paraId="51BDDF3F" w14:textId="77777777" w:rsidR="00B87114" w:rsidRPr="00F90EAE" w:rsidRDefault="00B87114" w:rsidP="00F90EAE">
      <w:pPr>
        <w:jc w:val="both"/>
        <w:rPr>
          <w:color w:val="000000" w:themeColor="text1"/>
          <w:sz w:val="16"/>
          <w:szCs w:val="16"/>
        </w:rPr>
      </w:pPr>
    </w:p>
    <w:p w14:paraId="7C2A47B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D0EB496" w14:textId="77777777" w:rsidR="006103B3" w:rsidRPr="00F90EAE" w:rsidRDefault="006103B3" w:rsidP="00F90EAE">
      <w:pPr>
        <w:autoSpaceDE w:val="0"/>
        <w:autoSpaceDN w:val="0"/>
        <w:adjustRightInd w:val="0"/>
        <w:jc w:val="both"/>
        <w:rPr>
          <w:iCs/>
          <w:color w:val="000000" w:themeColor="text1"/>
          <w:sz w:val="16"/>
          <w:szCs w:val="16"/>
        </w:rPr>
      </w:pPr>
    </w:p>
    <w:p w14:paraId="3832CECF" w14:textId="77777777" w:rsidR="00BB4FEE" w:rsidRPr="00F90EAE" w:rsidRDefault="00BB4FEE" w:rsidP="00F90EAE">
      <w:pPr>
        <w:pStyle w:val="ae"/>
        <w:shd w:val="clear" w:color="auto" w:fill="FFFFFF"/>
        <w:spacing w:before="0" w:after="0"/>
        <w:jc w:val="both"/>
        <w:rPr>
          <w:color w:val="000000" w:themeColor="text1"/>
          <w:sz w:val="16"/>
          <w:szCs w:val="16"/>
        </w:rPr>
      </w:pPr>
      <w:r w:rsidRPr="00F90EAE">
        <w:rPr>
          <w:color w:val="000000" w:themeColor="text1"/>
          <w:sz w:val="16"/>
          <w:szCs w:val="16"/>
        </w:rPr>
        <w:t>6 июня 1945 года были подготовлены окончательно материалы по Объекту 257. Общая концепция новой машины была накромом танковой промышленности Малышевым одобрена, но примерно в то же время начали меняться требования к перспективным тяжелым танкам. Для начала, очень узким местом для нового танка оказалась его силовая установка. Испытания В-16Ф, проходившие в течение марта-мая 1945 года, показали низкую надежность двигателя. До уровня В-12 мотор даже не стали форсировать, а при форсировании до 600 лошадиных сил отмечалась масса дефектов. При мощности 520 лошадиных сил дефекты также имели место, да и для нового тяжелого танка в таком виде он уже не годился. Дело в том, что в таком случае по мощности он даже чуть уступал серийному мотору В-2ИС. Работы по В-16 продолжились, Окончательно из программы ИС-7 он исчез только к началу 1946 года, хотя к этому времени его конфигурация несколько изменилась (17209).</w:t>
      </w:r>
    </w:p>
    <w:p w14:paraId="1034BFD5" w14:textId="77777777" w:rsidR="00BB4FEE" w:rsidRPr="00F90EAE" w:rsidRDefault="00BB4FEE" w:rsidP="00F90EAE">
      <w:pPr>
        <w:pStyle w:val="ae"/>
        <w:shd w:val="clear" w:color="auto" w:fill="FFFFFF"/>
        <w:spacing w:before="0" w:after="0"/>
        <w:jc w:val="both"/>
        <w:rPr>
          <w:color w:val="000000" w:themeColor="text1"/>
          <w:sz w:val="16"/>
          <w:szCs w:val="16"/>
        </w:rPr>
      </w:pPr>
    </w:p>
    <w:p w14:paraId="52AFFFAE" w14:textId="77777777" w:rsidR="00C8021E" w:rsidRPr="00F90EAE" w:rsidRDefault="00C8021E" w:rsidP="00F90EAE">
      <w:pPr>
        <w:shd w:val="clear" w:color="auto" w:fill="FFFFFF"/>
        <w:jc w:val="both"/>
        <w:rPr>
          <w:color w:val="000000" w:themeColor="text1"/>
          <w:sz w:val="16"/>
          <w:szCs w:val="16"/>
        </w:rPr>
      </w:pPr>
      <w:r w:rsidRPr="00F90EAE">
        <w:rPr>
          <w:color w:val="000000" w:themeColor="text1"/>
          <w:sz w:val="16"/>
          <w:szCs w:val="16"/>
        </w:rPr>
        <w:t>6 июня 1945 года были подготовлены окончательно материалы по Объекту 257. Общая концепция новой машины была одобрена наркомом танковой промышленности Малышевым, но примерно в то же время начали меняться требования к перспективным тяжёлым танкам (16735).</w:t>
      </w:r>
    </w:p>
    <w:p w14:paraId="44F0A3FB" w14:textId="77777777" w:rsidR="00C8021E" w:rsidRPr="00F90EAE" w:rsidRDefault="00C8021E" w:rsidP="00F90EAE">
      <w:pPr>
        <w:jc w:val="both"/>
        <w:rPr>
          <w:rStyle w:val="107"/>
          <w:rFonts w:eastAsiaTheme="minorHAnsi"/>
          <w:color w:val="000000" w:themeColor="text1"/>
          <w:sz w:val="16"/>
          <w:szCs w:val="16"/>
        </w:rPr>
      </w:pPr>
    </w:p>
    <w:p w14:paraId="5ECFB1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8932 О заказе в США оборудования первой очереди Днепропетровской гидроэлектростанции им. В.И.Ленина. РГАНИР, Фонд ГКО, д. 425, лл. 105 (11012).</w:t>
      </w:r>
    </w:p>
    <w:p w14:paraId="60EC46FF" w14:textId="77777777" w:rsidR="006103B3" w:rsidRPr="00F90EAE" w:rsidRDefault="006103B3" w:rsidP="00F90EAE">
      <w:pPr>
        <w:autoSpaceDE w:val="0"/>
        <w:autoSpaceDN w:val="0"/>
        <w:adjustRightInd w:val="0"/>
        <w:jc w:val="both"/>
        <w:rPr>
          <w:color w:val="000000" w:themeColor="text1"/>
          <w:sz w:val="16"/>
          <w:szCs w:val="16"/>
        </w:rPr>
      </w:pPr>
    </w:p>
    <w:p w14:paraId="636C89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Распоряжение ГКО № 8933. О заказе в Швеции трех генераторов для Храмской ГЭС. РГАНИР, Фонд ГКО, д. 425, лл. 106 (11012).</w:t>
      </w:r>
    </w:p>
    <w:p w14:paraId="55EEEC77" w14:textId="77777777" w:rsidR="006103B3" w:rsidRPr="00F90EAE" w:rsidRDefault="006103B3" w:rsidP="00F90EAE">
      <w:pPr>
        <w:autoSpaceDE w:val="0"/>
        <w:autoSpaceDN w:val="0"/>
        <w:adjustRightInd w:val="0"/>
        <w:jc w:val="both"/>
        <w:rPr>
          <w:color w:val="000000" w:themeColor="text1"/>
          <w:sz w:val="16"/>
          <w:szCs w:val="16"/>
        </w:rPr>
      </w:pPr>
    </w:p>
    <w:p w14:paraId="49F262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8934 О плане производства самолетов и авиационных моторов на июнь и Ш квартал 1945 г. РГАНИР, Фонд ГКО, д. 425, лл. 107-119, 120 (11012).</w:t>
      </w:r>
    </w:p>
    <w:p w14:paraId="72AC5299" w14:textId="77777777" w:rsidR="006103B3" w:rsidRPr="00F90EAE" w:rsidRDefault="006103B3" w:rsidP="00F90EAE">
      <w:pPr>
        <w:autoSpaceDE w:val="0"/>
        <w:autoSpaceDN w:val="0"/>
        <w:adjustRightInd w:val="0"/>
        <w:jc w:val="both"/>
        <w:rPr>
          <w:color w:val="000000" w:themeColor="text1"/>
          <w:sz w:val="16"/>
          <w:szCs w:val="16"/>
        </w:rPr>
      </w:pPr>
    </w:p>
    <w:p w14:paraId="57E9AF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8935 О мероприятиях по жилищному строительству для главной военно-морской базы и завода № 497 Наркомсудпрома в Севастополе. РГАНИР, Фонд ГКО, д. 425, лл. 121-126, 127-129 (11012).</w:t>
      </w:r>
    </w:p>
    <w:p w14:paraId="3AEC1AF9" w14:textId="77777777" w:rsidR="006103B3" w:rsidRPr="00F90EAE" w:rsidRDefault="006103B3" w:rsidP="00F90EAE">
      <w:pPr>
        <w:autoSpaceDE w:val="0"/>
        <w:autoSpaceDN w:val="0"/>
        <w:adjustRightInd w:val="0"/>
        <w:jc w:val="both"/>
        <w:rPr>
          <w:color w:val="000000" w:themeColor="text1"/>
          <w:sz w:val="16"/>
          <w:szCs w:val="16"/>
        </w:rPr>
      </w:pPr>
    </w:p>
    <w:p w14:paraId="0ED399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8936 Об изготовлении на заводах Наркомминвооружения оборудования для компрессорных станций газопровода Саратов-Москва. РГАНИР, Фонд ГКО, д. 425, лл. 130-132, 133-134 (11012).</w:t>
      </w:r>
    </w:p>
    <w:p w14:paraId="66AA0695" w14:textId="77777777" w:rsidR="006103B3" w:rsidRPr="00F90EAE" w:rsidRDefault="006103B3" w:rsidP="00F90EAE">
      <w:pPr>
        <w:autoSpaceDE w:val="0"/>
        <w:autoSpaceDN w:val="0"/>
        <w:adjustRightInd w:val="0"/>
        <w:jc w:val="both"/>
        <w:rPr>
          <w:color w:val="000000" w:themeColor="text1"/>
          <w:sz w:val="16"/>
          <w:szCs w:val="16"/>
        </w:rPr>
      </w:pPr>
    </w:p>
    <w:p w14:paraId="23CB6B0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июня 1945 г. вышло Постановления Государственного Комитета Обороны № 8936 с Об изготовлении на заводах Наркомминвооружения оборудования для компрессорных станций газопровода Саратов-Москва</w:t>
      </w:r>
    </w:p>
    <w:p w14:paraId="4DD5D0C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Секретно</w:t>
      </w:r>
    </w:p>
    <w:p w14:paraId="1EB6FE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6D52C0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Обязать Наркомминвооружения изготовить и отгрузить ГУАС НКВД СССР для строительства газопровода Саратов-Москва: а) технологическое оборудование в количествах и сроки в соответствии с приложением;</w:t>
      </w:r>
    </w:p>
    <w:p w14:paraId="1AA445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центробежные насосы марки 8-НДВ 30 штук в сроки до 1 ноября 1945 года;</w:t>
      </w:r>
    </w:p>
    <w:p w14:paraId="2B04C1C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стальную арматуру на рабочее давление до 55 атм раз</w:t>
      </w:r>
      <w:r w:rsidRPr="00F90EAE">
        <w:rPr>
          <w:color w:val="000000" w:themeColor="text1"/>
          <w:sz w:val="16"/>
          <w:szCs w:val="16"/>
        </w:rPr>
        <w:softHyphen/>
        <w:t>мером от 2 до 12 дюймов в количестве 1000 штук до 31 де</w:t>
      </w:r>
      <w:r w:rsidRPr="00F90EAE">
        <w:rPr>
          <w:color w:val="000000" w:themeColor="text1"/>
          <w:sz w:val="16"/>
          <w:szCs w:val="16"/>
        </w:rPr>
        <w:softHyphen/>
        <w:t>кабря 1945 г. равномерно по месяцам.</w:t>
      </w:r>
    </w:p>
    <w:p w14:paraId="708B62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Освободить Наркомвнешторг от поставки с импорта ука</w:t>
      </w:r>
      <w:r w:rsidRPr="00F90EAE">
        <w:rPr>
          <w:color w:val="000000" w:themeColor="text1"/>
          <w:sz w:val="16"/>
          <w:szCs w:val="16"/>
        </w:rPr>
        <w:softHyphen/>
        <w:t>занного оборудования...</w:t>
      </w:r>
    </w:p>
    <w:p w14:paraId="2E4F06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Обязать Наркомвнешторг (т. Микояна) поставить Нар-комминвооружению из первых импортных поступлений, железнодорожный кран грузоподъемностью 35 тонн 1 шт.: 4 карусельных станка размер планшайбы 1500 мм, трубы цель</w:t>
      </w:r>
      <w:r w:rsidRPr="00F90EAE">
        <w:rPr>
          <w:color w:val="000000" w:themeColor="text1"/>
          <w:sz w:val="16"/>
          <w:szCs w:val="16"/>
        </w:rPr>
        <w:softHyphen/>
        <w:t>нотянутые диаметром 14/1 - 16/1 250 тыс. метров в июне и июле 1945 г., 20 тонн качественных электродов, 30 электро</w:t>
      </w:r>
      <w:r w:rsidRPr="00F90EAE">
        <w:rPr>
          <w:color w:val="000000" w:themeColor="text1"/>
          <w:sz w:val="16"/>
          <w:szCs w:val="16"/>
        </w:rPr>
        <w:softHyphen/>
        <w:t>моторов для укомплектования насосов 8-НДВ в сроки до 1 января 1946 г....»</w:t>
      </w:r>
    </w:p>
    <w:p w14:paraId="28B148D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Далее указывалось, что должны сделать для Наркомата ми</w:t>
      </w:r>
      <w:r w:rsidRPr="00F90EAE">
        <w:rPr>
          <w:color w:val="000000" w:themeColor="text1"/>
          <w:sz w:val="16"/>
          <w:szCs w:val="16"/>
        </w:rPr>
        <w:softHyphen/>
        <w:t>нометного вооружения Главгазопром, Наркомчермет, Нарком-танкопром, Наркомэлектропром; Наркомэлектростанций.</w:t>
      </w:r>
    </w:p>
    <w:p w14:paraId="3443E8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w:t>
      </w:r>
    </w:p>
    <w:p w14:paraId="2C2FB7A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И.Сталин</w:t>
      </w:r>
    </w:p>
    <w:p w14:paraId="3DA66F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РЦХИДНИ. Ф. 644. Оп. 1. Д. 425. Л. 130-131. Копия (11461).</w:t>
      </w:r>
    </w:p>
    <w:p w14:paraId="3503A0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72223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г вышло постановление ГОКО “Об изготовлении на заводах Наркомвооружения оборудования для компрессорных станций газопровода Саратов-Москва” (7543)</w:t>
      </w:r>
    </w:p>
    <w:p w14:paraId="23C02F1E" w14:textId="77777777" w:rsidR="006103B3" w:rsidRPr="00F90EAE" w:rsidRDefault="006103B3" w:rsidP="00F90EAE">
      <w:pPr>
        <w:autoSpaceDE w:val="0"/>
        <w:autoSpaceDN w:val="0"/>
        <w:adjustRightInd w:val="0"/>
        <w:jc w:val="both"/>
        <w:rPr>
          <w:iCs/>
          <w:color w:val="000000" w:themeColor="text1"/>
          <w:sz w:val="16"/>
          <w:szCs w:val="16"/>
        </w:rPr>
      </w:pPr>
    </w:p>
    <w:p w14:paraId="1EDC685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июня 1945 вышло решение ГКО Об изготовлении на заводах НКВ оборудования для компрессорных станций газопровода Саратов-Москва (7543, 14).</w:t>
      </w:r>
    </w:p>
    <w:p w14:paraId="089CA92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D12102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8937 О материальном обеспечении строительства, выполняемого НКВД СССР для Наркомнефти. (7347, 135-143,144-149).</w:t>
      </w:r>
    </w:p>
    <w:p w14:paraId="3903E52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57B7377"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6 июня 1945 вышло Постановление ГКО № 8938 О перераспределении фондов П квартала 1945 г. по черным и цветным металлам в связи с сокращением производства боеприпасов, вооружения и другого военного имущества. (7347, 150-151,152-178).</w:t>
      </w:r>
    </w:p>
    <w:p w14:paraId="4C099C0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7B4C0A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8939 О перераспределении фондов II квартала 1945 г. по химикатам, спирту, бумаге и автомашинам. РГАНИР, Фонд ГКО, д. 425, лл. 179, 180-188 (11012).</w:t>
      </w:r>
    </w:p>
    <w:p w14:paraId="5C4F4192" w14:textId="77777777" w:rsidR="006103B3" w:rsidRPr="00F90EAE" w:rsidRDefault="006103B3" w:rsidP="00F90EAE">
      <w:pPr>
        <w:autoSpaceDE w:val="0"/>
        <w:autoSpaceDN w:val="0"/>
        <w:adjustRightInd w:val="0"/>
        <w:jc w:val="both"/>
        <w:rPr>
          <w:color w:val="000000" w:themeColor="text1"/>
          <w:sz w:val="16"/>
          <w:szCs w:val="16"/>
        </w:rPr>
      </w:pPr>
    </w:p>
    <w:p w14:paraId="679370C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июня 1945 в СССР учреждена медаль “За доблестный труд в Великой Отечественной войне” (4962).</w:t>
      </w:r>
    </w:p>
    <w:p w14:paraId="1E59797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995FD3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A20BE50" w14:textId="77777777" w:rsidR="006103B3" w:rsidRPr="00F90EAE" w:rsidRDefault="006103B3" w:rsidP="00F90EAE">
      <w:pPr>
        <w:autoSpaceDE w:val="0"/>
        <w:autoSpaceDN w:val="0"/>
        <w:adjustRightInd w:val="0"/>
        <w:jc w:val="both"/>
        <w:rPr>
          <w:iCs/>
          <w:color w:val="000000" w:themeColor="text1"/>
          <w:sz w:val="16"/>
          <w:szCs w:val="16"/>
        </w:rPr>
      </w:pPr>
    </w:p>
    <w:p w14:paraId="1531E2E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 июня 1945 вышло Постановление ГКО № 8931 О выдаче пособия летчикам французского истребительного авиационного полка "Нормандия". (7347, 104).</w:t>
      </w:r>
    </w:p>
    <w:p w14:paraId="35DA513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36BA080" w14:textId="77777777" w:rsidR="006103B3" w:rsidRPr="00F90EAE" w:rsidRDefault="001561D1" w:rsidP="00F90EAE">
      <w:pPr>
        <w:tabs>
          <w:tab w:val="left" w:pos="11199"/>
        </w:tabs>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2F91456" w14:textId="77777777" w:rsidR="006103B3" w:rsidRPr="00F90EAE" w:rsidRDefault="006103B3" w:rsidP="00F90EAE">
      <w:pPr>
        <w:tabs>
          <w:tab w:val="left" w:pos="11199"/>
        </w:tabs>
        <w:autoSpaceDE w:val="0"/>
        <w:autoSpaceDN w:val="0"/>
        <w:adjustRightInd w:val="0"/>
        <w:jc w:val="both"/>
        <w:rPr>
          <w:iCs/>
          <w:color w:val="000000" w:themeColor="text1"/>
          <w:sz w:val="16"/>
          <w:szCs w:val="16"/>
        </w:rPr>
      </w:pPr>
    </w:p>
    <w:p w14:paraId="488DE5C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июня 1945 г. постановлением СНК СССР № 1326—301сс (Об организации Военной администрации по управлению Советской зоной оккупации в Герма</w:t>
      </w:r>
      <w:r w:rsidRPr="00F90EAE">
        <w:rPr>
          <w:color w:val="000000" w:themeColor="text1"/>
          <w:sz w:val="16"/>
          <w:szCs w:val="16"/>
        </w:rPr>
        <w:softHyphen/>
        <w:t>нии. Приложение) была создана Со</w:t>
      </w:r>
      <w:r w:rsidRPr="00F90EAE">
        <w:rPr>
          <w:color w:val="000000" w:themeColor="text1"/>
          <w:sz w:val="16"/>
          <w:szCs w:val="16"/>
        </w:rPr>
        <w:softHyphen/>
        <w:t>ветская военная администрация в Германии — СВАГ. В соответствии с по</w:t>
      </w:r>
      <w:r w:rsidRPr="00F90EAE">
        <w:rPr>
          <w:color w:val="000000" w:themeColor="text1"/>
          <w:sz w:val="16"/>
          <w:szCs w:val="16"/>
        </w:rPr>
        <w:softHyphen/>
        <w:t>становлением СНК СССР от 6 июня 1945 г. (Постановление Совета Народных Комиссаров СССР от 6 июня 1945 г.. Положение о Советской военной администрации по управлению Совет</w:t>
      </w:r>
      <w:r w:rsidRPr="00F90EAE">
        <w:rPr>
          <w:color w:val="000000" w:themeColor="text1"/>
          <w:sz w:val="16"/>
          <w:szCs w:val="16"/>
        </w:rPr>
        <w:softHyphen/>
        <w:t>ской зоной оккупации в Германии. ГА РФ. Ф. Р-7317. Оп. 7. Д. 5. Л. 6—13.) были сформированы органы СВА в Германии, которые включали Штаб, три управления: комендантской службы, экономическое и административно-хозяйственное, а также 21 от</w:t>
      </w:r>
      <w:r w:rsidRPr="00F90EAE">
        <w:rPr>
          <w:color w:val="000000" w:themeColor="text1"/>
          <w:sz w:val="16"/>
          <w:szCs w:val="16"/>
        </w:rPr>
        <w:softHyphen/>
        <w:t>дел. Организационная структура органов СВАГ на местах в принципе по</w:t>
      </w:r>
      <w:r w:rsidRPr="00F90EAE">
        <w:rPr>
          <w:color w:val="000000" w:themeColor="text1"/>
          <w:sz w:val="16"/>
          <w:szCs w:val="16"/>
        </w:rPr>
        <w:softHyphen/>
        <w:t>вторяла структуру центрального аппарата. Она включала пять управлений СВА в провинциях и землях зоны и Управление военного коменданта совет</w:t>
      </w:r>
      <w:r w:rsidRPr="00F90EAE">
        <w:rPr>
          <w:color w:val="000000" w:themeColor="text1"/>
          <w:sz w:val="16"/>
          <w:szCs w:val="16"/>
        </w:rPr>
        <w:softHyphen/>
        <w:t>ского сектора оккупации Берлина, которым, в свою очередь, подчинялись районные, городские и окружные военные комендатуры. Органы СВАГ тес</w:t>
      </w:r>
      <w:r w:rsidRPr="00F90EAE">
        <w:rPr>
          <w:color w:val="000000" w:themeColor="text1"/>
          <w:sz w:val="16"/>
          <w:szCs w:val="16"/>
        </w:rPr>
        <w:softHyphen/>
        <w:t>но взаимодействовали с Группой советских оккупационных войск в Герма</w:t>
      </w:r>
      <w:r w:rsidRPr="00F90EAE">
        <w:rPr>
          <w:color w:val="000000" w:themeColor="text1"/>
          <w:sz w:val="16"/>
          <w:szCs w:val="16"/>
        </w:rPr>
        <w:softHyphen/>
        <w:t>нии (ГСОВГ), соединения и части которой дислоцировались во всех про</w:t>
      </w:r>
      <w:r w:rsidRPr="00F90EAE">
        <w:rPr>
          <w:color w:val="000000" w:themeColor="text1"/>
          <w:sz w:val="16"/>
          <w:szCs w:val="16"/>
        </w:rPr>
        <w:softHyphen/>
        <w:t>винциях и землях Советской зоны оккупации Германии. Первым Главноначальствующим СВАГ был назначен Главнокомандующий совет</w:t>
      </w:r>
      <w:r w:rsidRPr="00F90EAE">
        <w:rPr>
          <w:color w:val="000000" w:themeColor="text1"/>
          <w:sz w:val="16"/>
          <w:szCs w:val="16"/>
        </w:rPr>
        <w:softHyphen/>
        <w:t>скими оккупационными войсками в Германии маршал Советского Союза Г.К. Жуков. После полного поражения и капитуляции нацистской Германии во Вто</w:t>
      </w:r>
      <w:r w:rsidRPr="00F90EAE">
        <w:rPr>
          <w:color w:val="000000" w:themeColor="text1"/>
          <w:sz w:val="16"/>
          <w:szCs w:val="16"/>
        </w:rPr>
        <w:softHyphen/>
        <w:t>рой мировой войне вся ее территория была оккупирована войсками держав антигитлеровской коалиции. Советская зона оккупации включала около од</w:t>
      </w:r>
      <w:r w:rsidRPr="00F90EAE">
        <w:rPr>
          <w:color w:val="000000" w:themeColor="text1"/>
          <w:sz w:val="16"/>
          <w:szCs w:val="16"/>
        </w:rPr>
        <w:softHyphen/>
        <w:t>ной трети территории Германии (земли Саксония и Тюрингия, провинции Мекленбург и Западная Померания, Бранденбург и Саксония), а также со</w:t>
      </w:r>
      <w:r w:rsidRPr="00F90EAE">
        <w:rPr>
          <w:color w:val="000000" w:themeColor="text1"/>
          <w:sz w:val="16"/>
          <w:szCs w:val="16"/>
        </w:rPr>
        <w:softHyphen/>
        <w:t>ветский сектор оккупации Большого Берлина (11419).</w:t>
      </w:r>
    </w:p>
    <w:p w14:paraId="06B603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FAC572A" w14:textId="77777777" w:rsidR="00B17B62" w:rsidRPr="00F90EAE" w:rsidRDefault="00B17B62" w:rsidP="00F90EAE">
      <w:pPr>
        <w:pStyle w:val="ae"/>
        <w:spacing w:before="0" w:after="0"/>
        <w:jc w:val="both"/>
        <w:rPr>
          <w:color w:val="000000" w:themeColor="text1"/>
          <w:sz w:val="16"/>
          <w:szCs w:val="16"/>
        </w:rPr>
      </w:pPr>
      <w:r w:rsidRPr="00F90EAE">
        <w:rPr>
          <w:color w:val="000000" w:themeColor="text1"/>
          <w:sz w:val="16"/>
          <w:szCs w:val="16"/>
        </w:rPr>
        <w:t>6 июня 1945 г. для осуществления задач Союзной контрольной власти в Германии и управления Советской зоной оккупации Германии постановлением Совета Народных Комиссаров СССР от была создана Советская военная администрация в Германии (СВАГ). Её Главноначальствующим был назначен Главнокомандующий советскими оккупационными войсками в Германии маршал Советского Союза Г. К. Жуков, его первым заместителем — генерал армии В. Д. Соколовский, заместителем по делам гражданской администрации — комиссар государственной безопасности 2-го ранга И. А. Серов, начальником Штаба — генерал-полковник В. В. Курасов, политическим советником при Главноначальствующем — первый заместитель наркома иностранных дел СССР А. Я. Вышинский.</w:t>
      </w:r>
    </w:p>
    <w:p w14:paraId="61989F34" w14:textId="77777777" w:rsidR="00B17B62" w:rsidRPr="00F90EAE" w:rsidRDefault="00B17B62" w:rsidP="00F90EAE">
      <w:pPr>
        <w:pStyle w:val="ae"/>
        <w:spacing w:before="0" w:after="0"/>
        <w:jc w:val="both"/>
        <w:rPr>
          <w:color w:val="000000" w:themeColor="text1"/>
          <w:sz w:val="16"/>
          <w:szCs w:val="16"/>
        </w:rPr>
      </w:pPr>
      <w:r w:rsidRPr="00F90EAE">
        <w:rPr>
          <w:color w:val="000000" w:themeColor="text1"/>
          <w:sz w:val="16"/>
          <w:szCs w:val="16"/>
        </w:rPr>
        <w:t>В соответствии с постановлением СНК СССР от 6 июня 1945 г. были созданы органы Советской Военной Администрации в Германии, которые включали Штаб, 3 управления: комендантской службы, экономическое и административно-хозяйственное, а также 21 отдел: военный, военно-морской, военно-воздушный, связи, репатриации, кадров, здравоохранения, организационно-учетный, политический, цензуры, правовой, народного образования, внутренних дел, промышленный, сельскохозяйственный, транспортный, топливный, рабочей силы, финансовый, торговли и снабжения, репараций и поставок. Впоследствии организационная структура центральных органов СВАГ неоднократно изменялась (19146).</w:t>
      </w:r>
    </w:p>
    <w:p w14:paraId="37206987" w14:textId="77777777" w:rsidR="00B17B62" w:rsidRPr="00F90EAE" w:rsidRDefault="00B17B62" w:rsidP="00F90EAE">
      <w:pPr>
        <w:pStyle w:val="ae"/>
        <w:spacing w:before="0" w:after="0"/>
        <w:jc w:val="both"/>
        <w:rPr>
          <w:color w:val="000000" w:themeColor="text1"/>
          <w:sz w:val="16"/>
          <w:szCs w:val="16"/>
        </w:rPr>
      </w:pPr>
    </w:p>
    <w:p w14:paraId="717D3F80" w14:textId="77777777" w:rsidR="00B17B62" w:rsidRPr="00F90EAE" w:rsidRDefault="00B17B62" w:rsidP="00F90EAE">
      <w:pPr>
        <w:jc w:val="both"/>
        <w:rPr>
          <w:color w:val="000000" w:themeColor="text1"/>
          <w:sz w:val="16"/>
          <w:szCs w:val="16"/>
        </w:rPr>
      </w:pPr>
      <w:r w:rsidRPr="00F90EAE">
        <w:rPr>
          <w:color w:val="000000" w:themeColor="text1"/>
          <w:sz w:val="16"/>
          <w:szCs w:val="16"/>
        </w:rPr>
        <w:t>6 июня 1945 г. создается Советская военная администрация в Германии (СВАГ). С этого дня деятельность научно-технических подразделений, изучавших немецкую ракетную технику, приобрела особенный размах. В СВАГ формируется Управление по изучению достижений науки и техники в Германии. Независимо от СВАГ 8 июля 1945 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CF9FB12" w14:textId="77777777" w:rsidR="00B17B62" w:rsidRPr="00F90EAE" w:rsidRDefault="00B17B62" w:rsidP="00F90EAE">
      <w:pPr>
        <w:jc w:val="both"/>
        <w:rPr>
          <w:color w:val="000000" w:themeColor="text1"/>
          <w:sz w:val="16"/>
          <w:szCs w:val="16"/>
        </w:rPr>
      </w:pPr>
    </w:p>
    <w:p w14:paraId="4D21DF31" w14:textId="77777777" w:rsidR="00B87114" w:rsidRPr="00F90EAE" w:rsidRDefault="00B87114" w:rsidP="00F90EAE">
      <w:pPr>
        <w:jc w:val="both"/>
        <w:rPr>
          <w:color w:val="000000" w:themeColor="text1"/>
          <w:sz w:val="16"/>
          <w:szCs w:val="16"/>
        </w:rPr>
      </w:pPr>
      <w:r w:rsidRPr="00F90EAE">
        <w:rPr>
          <w:bCs/>
          <w:color w:val="000000" w:themeColor="text1"/>
          <w:sz w:val="16"/>
          <w:szCs w:val="16"/>
        </w:rPr>
        <w:t>6 июня</w:t>
      </w:r>
      <w:r w:rsidRPr="00F90EAE">
        <w:rPr>
          <w:color w:val="000000" w:themeColor="text1"/>
          <w:sz w:val="16"/>
          <w:szCs w:val="16"/>
        </w:rPr>
        <w:t xml:space="preserve"> в 1945 году Советское правительство утвердило Положение о Советской военной администрации в Германии (14914).</w:t>
      </w:r>
    </w:p>
    <w:p w14:paraId="277C4C2B" w14:textId="77777777" w:rsidR="00B87114" w:rsidRPr="00F90EAE" w:rsidRDefault="00B87114" w:rsidP="00F90EAE">
      <w:pPr>
        <w:jc w:val="both"/>
        <w:rPr>
          <w:color w:val="000000" w:themeColor="text1"/>
          <w:sz w:val="16"/>
          <w:szCs w:val="16"/>
        </w:rPr>
      </w:pPr>
    </w:p>
    <w:p w14:paraId="6682E0A4" w14:textId="77777777" w:rsidR="00B87114" w:rsidRPr="00F90EAE" w:rsidRDefault="00B87114" w:rsidP="00F90EAE">
      <w:pPr>
        <w:jc w:val="both"/>
        <w:rPr>
          <w:color w:val="000000" w:themeColor="text1"/>
          <w:sz w:val="16"/>
          <w:szCs w:val="16"/>
        </w:rPr>
      </w:pPr>
      <w:r w:rsidRPr="00F90EAE">
        <w:rPr>
          <w:bCs/>
          <w:color w:val="000000" w:themeColor="text1"/>
          <w:sz w:val="16"/>
          <w:szCs w:val="16"/>
        </w:rPr>
        <w:lastRenderedPageBreak/>
        <w:t>6 июня</w:t>
      </w:r>
      <w:r w:rsidRPr="00F90EAE">
        <w:rPr>
          <w:color w:val="000000" w:themeColor="text1"/>
          <w:sz w:val="16"/>
          <w:szCs w:val="16"/>
        </w:rPr>
        <w:t xml:space="preserve"> в 1945 году между Польшей и Советским Союзом заключено соглашение о репатриации поляков и польских евреев в Польшу (14914).</w:t>
      </w:r>
    </w:p>
    <w:p w14:paraId="45F0D74F" w14:textId="77777777" w:rsidR="00B87114" w:rsidRPr="00F90EAE" w:rsidRDefault="00B87114" w:rsidP="00F90EAE">
      <w:pPr>
        <w:jc w:val="both"/>
        <w:rPr>
          <w:color w:val="000000" w:themeColor="text1"/>
          <w:sz w:val="16"/>
          <w:szCs w:val="16"/>
        </w:rPr>
      </w:pPr>
    </w:p>
    <w:p w14:paraId="6636521F" w14:textId="63447C7D" w:rsidR="00B5377E" w:rsidRPr="00F90EAE" w:rsidRDefault="00B5377E" w:rsidP="00F90EAE">
      <w:pPr>
        <w:autoSpaceDE w:val="0"/>
        <w:autoSpaceDN w:val="0"/>
        <w:adjustRightInd w:val="0"/>
        <w:jc w:val="both"/>
        <w:rPr>
          <w:i/>
          <w:iCs/>
          <w:color w:val="000000" w:themeColor="text1"/>
          <w:sz w:val="16"/>
          <w:szCs w:val="16"/>
        </w:rPr>
      </w:pPr>
      <w:r w:rsidRPr="00F90EAE">
        <w:rPr>
          <w:i/>
          <w:iCs/>
          <w:color w:val="000000" w:themeColor="text1"/>
          <w:sz w:val="16"/>
          <w:szCs w:val="16"/>
        </w:rPr>
        <w:t>За рубежом:</w:t>
      </w:r>
    </w:p>
    <w:p w14:paraId="1544DBCA" w14:textId="77777777" w:rsidR="00B5377E" w:rsidRPr="00F90EAE" w:rsidRDefault="00B5377E" w:rsidP="00F90EAE">
      <w:pPr>
        <w:autoSpaceDE w:val="0"/>
        <w:autoSpaceDN w:val="0"/>
        <w:adjustRightInd w:val="0"/>
        <w:jc w:val="both"/>
        <w:rPr>
          <w:i/>
          <w:iCs/>
          <w:color w:val="000000" w:themeColor="text1"/>
          <w:sz w:val="16"/>
          <w:szCs w:val="16"/>
        </w:rPr>
      </w:pPr>
    </w:p>
    <w:p w14:paraId="5568A3CC" w14:textId="77777777" w:rsidR="00B5377E" w:rsidRPr="00F90EAE" w:rsidRDefault="00B5377E" w:rsidP="00F90EAE">
      <w:pPr>
        <w:jc w:val="both"/>
        <w:rPr>
          <w:color w:val="0070C0"/>
          <w:sz w:val="16"/>
          <w:szCs w:val="16"/>
        </w:rPr>
      </w:pPr>
      <w:r w:rsidRPr="00F90EAE">
        <w:rPr>
          <w:color w:val="0070C0"/>
          <w:sz w:val="16"/>
          <w:szCs w:val="16"/>
        </w:rPr>
        <w:t>6 июня 1945 временная международная организация гражданской авиации (PICAO) учреждена в соответствии с Конвенцией о международной гражданской авиации и рассчитана на работу до тех пор, пока 26 стран не ратифицируют эту конвенцию и тем самым разрешат создание постоянной организации (20371).</w:t>
      </w:r>
    </w:p>
    <w:p w14:paraId="2A60A187" w14:textId="77777777" w:rsidR="00B5377E" w:rsidRPr="00F90EAE" w:rsidRDefault="00B5377E" w:rsidP="00F90EAE">
      <w:pPr>
        <w:jc w:val="both"/>
        <w:rPr>
          <w:color w:val="0070C0"/>
          <w:sz w:val="16"/>
          <w:szCs w:val="16"/>
        </w:rPr>
      </w:pPr>
    </w:p>
    <w:p w14:paraId="4380C279" w14:textId="4CF95BD5"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DB16E74" w14:textId="77777777" w:rsidR="006103B3" w:rsidRPr="00F90EAE" w:rsidRDefault="006103B3" w:rsidP="00F90EAE">
      <w:pPr>
        <w:autoSpaceDE w:val="0"/>
        <w:autoSpaceDN w:val="0"/>
        <w:adjustRightInd w:val="0"/>
        <w:jc w:val="both"/>
        <w:rPr>
          <w:iCs/>
          <w:color w:val="000000" w:themeColor="text1"/>
          <w:sz w:val="16"/>
          <w:szCs w:val="16"/>
        </w:rPr>
      </w:pPr>
    </w:p>
    <w:p w14:paraId="5AE731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первых числах июня 1945 года А. Н. Туполев и его первый заместитель А. А. Архангельский были срочно вызваны в Кремль к И. В. Сталину. Как позднее вспоминал А. Архангельский, Сталин сразу же перешел к сути дела: «Товарищ Туполев, мы приняли решение скопировать американский бомбардировщик В-29, подробности узнаете у Шахурина». Знаменитый авиаконструктор растерялся от такого заявления. Его заместитель, нарушив внезапно наступившее молчание, бодро отрапортовал: «Задание партии и правительства будет, безусловно, выполнено». А что еще они могли сказать в такой ситуации? Попытаться объяснить, что советская авиационная промышленность не в состоянии организовать серийный выпуск большинства узлов и деталей В-29? Предложить создать отечественную машину с аналогичными характеристиками? А сколько времени потребуется для реализации этого проекта? А бомбардировщик, способный нести атомные бомбы, нужен СССР немедленно! Ведь важно не только освоить серийное производство атомных боезарядов, но и обеспечить их эффективное использование. Постановление ГКО было принято 6 июня 1945 года. Согласно этому документу КБ Туполева поручалось организовать производство «близнеца» В-29 — Б-4 («бомбардировщик четырехмоторный»). Всем наркоматам, ведомствам, конструкторским бюро, заводам и другим организациям предписывалось скрупулезно, по требованиям КБ Туполева, воспроизвести буквально все, из чего состоял В-29: материалы, агрегаты и приборы. Сроки были установлены предельно жесткие. Через год КБ Туполева должно было подготовить комплект чертежей и технической документации, а через два года Казанский авиационный завод выпустить двадцать машин. В какой-то мере выполнению задачи способствовало то, что в Советском Союзе уже было три серийных образца американского бомбардировщика.</w:t>
      </w:r>
    </w:p>
    <w:p w14:paraId="72611C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самом большом ангаре на Центральном аэродроме первый самолет был полностью разобран, его детали использовали для выпуска чертежей, а «начинку» — приборы и оборудование — передали в специализированные организации. Второй самолет использовали для уточнения летных данных и тренировок экипажей будущих Б-4, а третий был сохранен как дубликат на случай аварии второго самолета.</w:t>
      </w:r>
    </w:p>
    <w:p w14:paraId="129934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личным указанием Сталина ни в одной детали не допускалось ни малейшего отклонения от американского образца. «Оргвыводы» по нерадивым или строптивым главным конструкторам были суровыми: те, кто не желал копировать или только пытался доказать, что его серийная разработка лучше американской, были уволены.</w:t>
      </w:r>
    </w:p>
    <w:p w14:paraId="1A881C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традиционном воздушном параде в Тушино 3 августа 1947 года тройка самолетов Б-4 была продемонстрирована публике. При постановке самолета на вооружение он был обозначен, как Ту-4. Говорят, что решение о переименовании принял сам Сталин. Всего с 1948 по 1952 год было выпущено около 850 машин.</w:t>
      </w:r>
    </w:p>
    <w:p w14:paraId="72AFF5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мнению специалистов, создание и серийное производство самолета Ту-4 подготовило благодатную почву для подлинной революции в отечественной авиации — появление первого поколения советских реактивных самолетов, сначала военных, а затем и гражданских.</w:t>
      </w:r>
    </w:p>
    <w:p w14:paraId="63748D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Особо нужно отметить тот факт, что благодаря серийному выпуску Ту-4 советская авиационная промышленность смогла в короткие сроки освоить множество американских технологий, ведь пришлось создавать производство, аналогичное американскому. В какой-то мере ликвидация отставания в авиастроении была вызвана участием во Второй мировой войне. Если в 30-е годы в развитии отечественной авиации активное участие принимала Германия, то в середине 40-х годов — США (11765).</w:t>
      </w:r>
    </w:p>
    <w:p w14:paraId="09713929" w14:textId="77777777" w:rsidR="006103B3" w:rsidRPr="00F90EAE" w:rsidRDefault="006103B3" w:rsidP="00F90EAE">
      <w:pPr>
        <w:autoSpaceDE w:val="0"/>
        <w:autoSpaceDN w:val="0"/>
        <w:adjustRightInd w:val="0"/>
        <w:jc w:val="both"/>
        <w:rPr>
          <w:color w:val="000000" w:themeColor="text1"/>
          <w:sz w:val="16"/>
          <w:szCs w:val="16"/>
        </w:rPr>
      </w:pPr>
    </w:p>
    <w:p w14:paraId="57AA9024" w14:textId="77777777" w:rsidR="00D7144C" w:rsidRPr="00F90EAE" w:rsidRDefault="00D7144C" w:rsidP="00F90EAE">
      <w:pPr>
        <w:jc w:val="both"/>
        <w:rPr>
          <w:color w:val="000000" w:themeColor="text1"/>
          <w:sz w:val="16"/>
          <w:szCs w:val="16"/>
        </w:rPr>
      </w:pPr>
      <w:r w:rsidRPr="00F90EAE">
        <w:rPr>
          <w:color w:val="000000" w:themeColor="text1"/>
          <w:sz w:val="16"/>
          <w:szCs w:val="16"/>
        </w:rPr>
        <w:t>В начале июня 1945 г. А. Н. Туполев и его заместитель А. А. Архангельский были вызваны в Кремль к Сталину. Оба они были уверены, что речь пойдет о «самолете 64», поэтому захватили с собой красочный альбом с основными проектными данными «64». Но разговор у Сталина касался вовсе не «самолета 64», и альбом не пригодился. По воспоминаниям Архангельского, Сталин, поздоровавшись, сразу перешел к сути вопроса:</w:t>
      </w:r>
    </w:p>
    <w:p w14:paraId="4568A266" w14:textId="77777777" w:rsidR="00D7144C" w:rsidRPr="00F90EAE" w:rsidRDefault="00D7144C" w:rsidP="00F90EAE">
      <w:pPr>
        <w:jc w:val="both"/>
        <w:rPr>
          <w:color w:val="000000" w:themeColor="text1"/>
          <w:sz w:val="16"/>
          <w:szCs w:val="16"/>
        </w:rPr>
      </w:pPr>
      <w:r w:rsidRPr="00F90EAE">
        <w:rPr>
          <w:color w:val="000000" w:themeColor="text1"/>
          <w:sz w:val="16"/>
          <w:szCs w:val="16"/>
        </w:rPr>
        <w:t>«Товарищ Туполев, вы будете копировать В-29. Подробности — у Шахурина».</w:t>
      </w:r>
    </w:p>
    <w:p w14:paraId="5A2AFD6B" w14:textId="77777777" w:rsidR="00D7144C" w:rsidRPr="00F90EAE" w:rsidRDefault="00D7144C" w:rsidP="00F90EAE">
      <w:pPr>
        <w:jc w:val="both"/>
        <w:rPr>
          <w:color w:val="000000" w:themeColor="text1"/>
          <w:sz w:val="16"/>
          <w:szCs w:val="16"/>
        </w:rPr>
      </w:pPr>
      <w:r w:rsidRPr="00F90EAE">
        <w:rPr>
          <w:color w:val="000000" w:themeColor="text1"/>
          <w:sz w:val="16"/>
          <w:szCs w:val="16"/>
        </w:rPr>
        <w:t>Туполев, несколько растерявшись от неожиданного поворота событий, промолчал. Архангельский ответил за обоих, что задание будет выполнено, они покинули кабинет Сталина и направились к наркому авиационной промышленности А. И. Шахурину за получением конкретного задания (15568).</w:t>
      </w:r>
    </w:p>
    <w:p w14:paraId="3E48CDF5" w14:textId="77777777" w:rsidR="00D7144C" w:rsidRPr="00F90EAE" w:rsidRDefault="00D7144C" w:rsidP="00F90EAE">
      <w:pPr>
        <w:jc w:val="both"/>
        <w:rPr>
          <w:color w:val="000000" w:themeColor="text1"/>
          <w:sz w:val="16"/>
          <w:szCs w:val="16"/>
        </w:rPr>
      </w:pPr>
    </w:p>
    <w:p w14:paraId="0A1212EA"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В начале июня 1945 экипаж Героя Советского Союза Коростылева осуществил перегон второго Ер-2ОН в Москву. Третий и четвертый экземпляры варианта Ер-2ОН были закончены производством в октябре 1945 года (15223).</w:t>
      </w:r>
    </w:p>
    <w:p w14:paraId="726C457D" w14:textId="77777777" w:rsidR="00D7144C" w:rsidRPr="00F90EAE" w:rsidRDefault="00D7144C" w:rsidP="00F90EAE">
      <w:pPr>
        <w:shd w:val="clear" w:color="auto" w:fill="FFFFFF"/>
        <w:jc w:val="both"/>
        <w:rPr>
          <w:color w:val="000000" w:themeColor="text1"/>
          <w:sz w:val="16"/>
          <w:szCs w:val="16"/>
        </w:rPr>
      </w:pPr>
    </w:p>
    <w:p w14:paraId="3EB2CC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начале июня 1945 "Либерейторы" начали концентрировать в 203-м гвардейском полку. На 1 июля там значились 17 Пе-8, два В-25 и 19 В-24. Надо сказать, что отношение летчиков к "Либерейтору" было куда хуже, чем к "Летающей крепости". К нему прочно приклеилась кличка "Утюг", данная за инертность в управлении. Он медленнее, чем B-17G, разгонялся, за то быстрее терял скорость при уборке газа. Взлет на В-24 имел две неприятные особенности: перед отрывом переднего колеса от полосы возникала тряска, а при уборке основных стоек резко изменялось обтекание крыла. Непривычным после Пе-8 являлось трехколесное шасси (3457,117).</w:t>
      </w:r>
    </w:p>
    <w:p w14:paraId="6C521580" w14:textId="77777777" w:rsidR="006103B3" w:rsidRPr="00F90EAE" w:rsidRDefault="006103B3" w:rsidP="00F90EAE">
      <w:pPr>
        <w:autoSpaceDE w:val="0"/>
        <w:autoSpaceDN w:val="0"/>
        <w:adjustRightInd w:val="0"/>
        <w:jc w:val="both"/>
        <w:rPr>
          <w:color w:val="000000" w:themeColor="text1"/>
          <w:sz w:val="16"/>
          <w:szCs w:val="16"/>
        </w:rPr>
      </w:pPr>
    </w:p>
    <w:p w14:paraId="240FCB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первых числах июня 1945 г на правый и средний моторы самолёта Ю-52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0CFC25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“Юнкере” считался надёжным и простым в эксплуатации самолётом. По сводкам за 1-е полугодие 1945 г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 “планер самолёта Ю-52 построен немцами прочно” (эта фраза взята из стенограммы бесед с техсоставом Туркменского управления ГВФ).</w:t>
      </w:r>
    </w:p>
    <w:p w14:paraId="403AB12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клапанов,создающие дополнительные изгибающие усилия в штоке. BMW 132 пытались эксплуатировать со свечами от М-17 вместо “родных” 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маслом.</w:t>
      </w:r>
    </w:p>
    <w:p w14:paraId="26ABE2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Ю-52 являлся настоящей “рабочей лошадкой”. Он не отличался скоростью, дальностью полёта или потолком, был инертен в пилотировании, но зато очень устойчив, прост, послушен и отличался несокрушимой прочностью и прекрасной живучестью. Расколотить его было непросто (6393)..</w:t>
      </w:r>
    </w:p>
    <w:p w14:paraId="2B16F9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начале июня 1945 г. Ил-10 закончил с положительной оценкой госиспытания в ГК НИИ ВВС, которые проходили с мая 1945. С полетным весом 5680 кг самолет имел максимальную скорость у земли 502 км/ч и 560 км/ч на высоте 2500 м (9528).</w:t>
      </w:r>
    </w:p>
    <w:p w14:paraId="2B5C37B8" w14:textId="77777777" w:rsidR="006103B3" w:rsidRPr="00F90EAE" w:rsidRDefault="006103B3" w:rsidP="00F90EAE">
      <w:pPr>
        <w:autoSpaceDE w:val="0"/>
        <w:autoSpaceDN w:val="0"/>
        <w:adjustRightInd w:val="0"/>
        <w:jc w:val="both"/>
        <w:rPr>
          <w:color w:val="000000" w:themeColor="text1"/>
          <w:sz w:val="16"/>
          <w:szCs w:val="16"/>
        </w:rPr>
      </w:pPr>
    </w:p>
    <w:p w14:paraId="0BD24DD6" w14:textId="77777777" w:rsidR="004A092D" w:rsidRPr="00F90EAE" w:rsidRDefault="004A092D" w:rsidP="00F90EAE">
      <w:pPr>
        <w:jc w:val="both"/>
        <w:rPr>
          <w:color w:val="000000" w:themeColor="text1"/>
          <w:sz w:val="16"/>
          <w:szCs w:val="16"/>
        </w:rPr>
      </w:pPr>
      <w:r w:rsidRPr="00F90EAE">
        <w:rPr>
          <w:color w:val="000000" w:themeColor="text1"/>
          <w:sz w:val="16"/>
          <w:szCs w:val="16"/>
          <w:shd w:val="clear" w:color="auto" w:fill="FFFFFF"/>
        </w:rPr>
        <w:t>В первых числах июня 1945 года на правый и средний моторы самолёта Л-68 установили воздушные фильтры конструкции НИИ ГВФ. На левом сделали предложенный местными умельцами всасывающий патрубок над, а не под мотором. После успешных испытаний на линиях Ашхабад – Ташауз и Ашхабад – Дарваза на всех самолётах в Туркмении средние моторы оборудовали новыми всасывающими патрубками. Позднее появился измененный вариант патрубка, опробованный на машине Л-35.</w:t>
      </w:r>
    </w:p>
    <w:p w14:paraId="1E00C2DE" w14:textId="77777777" w:rsidR="004A092D" w:rsidRPr="00F90EAE" w:rsidRDefault="004A092D" w:rsidP="00F90EAE">
      <w:pPr>
        <w:jc w:val="both"/>
        <w:rPr>
          <w:color w:val="000000" w:themeColor="text1"/>
          <w:sz w:val="16"/>
          <w:szCs w:val="16"/>
          <w:shd w:val="clear" w:color="auto" w:fill="FFFFFF"/>
        </w:rPr>
      </w:pPr>
      <w:r w:rsidRPr="00F90EAE">
        <w:rPr>
          <w:color w:val="000000" w:themeColor="text1"/>
          <w:sz w:val="16"/>
          <w:szCs w:val="16"/>
          <w:shd w:val="clear" w:color="auto" w:fill="FFFFFF"/>
        </w:rPr>
        <w:t>Двигатели BMW 132 сильно страдали от песчаной пыли. Даже зимой поршневые кольца в Туркмении изнашивались за 15-20 лётных часов.</w:t>
      </w:r>
    </w:p>
    <w:p w14:paraId="1E407400" w14:textId="77777777" w:rsidR="004A092D" w:rsidRPr="00F90EAE" w:rsidRDefault="004A092D" w:rsidP="00F90EAE">
      <w:pPr>
        <w:jc w:val="both"/>
        <w:rPr>
          <w:color w:val="000000" w:themeColor="text1"/>
          <w:sz w:val="16"/>
          <w:szCs w:val="16"/>
        </w:rPr>
      </w:pPr>
      <w:r w:rsidRPr="00F90EAE">
        <w:rPr>
          <w:color w:val="000000" w:themeColor="text1"/>
          <w:sz w:val="16"/>
          <w:szCs w:val="16"/>
        </w:rPr>
        <w:t>«Юнкерс» считался надёжным и простым в эксплуатации самолётом. По сводкам за 1-е полугодие 1945 года по аварийности (в % к наличному парку) он занимал промежуточное положение между Ли-2 и Си-47. Причём по надёжности собственно планера ему не было равных. В графе «Поломки планера» просто стоит прочерк. Механики часто ограничивались обслуживанием винтомоторной группы, считая, что</w:t>
      </w:r>
    </w:p>
    <w:p w14:paraId="29AEE411" w14:textId="77777777" w:rsidR="004A092D" w:rsidRPr="00F90EAE" w:rsidRDefault="004A092D" w:rsidP="00F90EAE">
      <w:pPr>
        <w:jc w:val="both"/>
        <w:rPr>
          <w:iCs/>
          <w:color w:val="000000" w:themeColor="text1"/>
          <w:sz w:val="16"/>
          <w:szCs w:val="16"/>
        </w:rPr>
      </w:pPr>
      <w:r w:rsidRPr="00F90EAE">
        <w:rPr>
          <w:iCs/>
          <w:color w:val="000000" w:themeColor="text1"/>
          <w:sz w:val="16"/>
          <w:szCs w:val="16"/>
        </w:rPr>
        <w:t>«планер самолёта Ю-52 построен немцами прочно» (эта фраза взята из стенограммы бесед с техсоставом Туркменского управления ГВФ).</w:t>
      </w:r>
    </w:p>
    <w:p w14:paraId="35701F44" w14:textId="77777777" w:rsidR="004A092D" w:rsidRPr="00F90EAE" w:rsidRDefault="004A092D" w:rsidP="00F90EAE">
      <w:pPr>
        <w:jc w:val="both"/>
        <w:rPr>
          <w:color w:val="000000" w:themeColor="text1"/>
          <w:sz w:val="16"/>
          <w:szCs w:val="16"/>
        </w:rPr>
      </w:pPr>
      <w:r w:rsidRPr="00F90EAE">
        <w:rPr>
          <w:color w:val="000000" w:themeColor="text1"/>
          <w:sz w:val="16"/>
          <w:szCs w:val="16"/>
        </w:rPr>
        <w:t xml:space="preserve">А вот мотоустановка действительно создавала хлопоты. Но больше из-за неграмотной эксплуатации и ремонта. Например, выпускные клапаны проваливались в цилиндры. Но причиной оказалась неправильная сборка после ремонта. Обрывались грибки клапанов. Но выяснилось, что у нас при ремонте устанавливают удлинённые ударники клапанов, создающие дополнительные изгибающие усилия в штоке. BMW 132 пытались эксплуатировать со свечами от М-17 вместо «родных» немецких – получили обгорание электродов. Разрушались крышки нагнетателей – выявили неправильную контровку. В Средней Азии жаловались на закупорку нагнетающей масломагистрали. Диагноз: пыль вкупе с некачественным маслом </w:t>
      </w:r>
      <w:r w:rsidRPr="00F90EAE">
        <w:rPr>
          <w:color w:val="000000" w:themeColor="text1"/>
          <w:sz w:val="16"/>
          <w:szCs w:val="16"/>
          <w:shd w:val="clear" w:color="auto" w:fill="FFFFFF"/>
        </w:rPr>
        <w:t xml:space="preserve"> (19686).</w:t>
      </w:r>
    </w:p>
    <w:p w14:paraId="296C4B4C" w14:textId="77777777" w:rsidR="004A092D" w:rsidRPr="00F90EAE" w:rsidRDefault="004A092D" w:rsidP="00F90EAE">
      <w:pPr>
        <w:jc w:val="both"/>
        <w:rPr>
          <w:color w:val="000000" w:themeColor="text1"/>
          <w:sz w:val="16"/>
          <w:szCs w:val="16"/>
        </w:rPr>
      </w:pPr>
    </w:p>
    <w:p w14:paraId="1CFD4E7F" w14:textId="77777777" w:rsidR="00B5377E" w:rsidRPr="00F90EAE" w:rsidRDefault="00B5377E" w:rsidP="00F90EAE">
      <w:pPr>
        <w:jc w:val="both"/>
        <w:rPr>
          <w:color w:val="0070C0"/>
          <w:sz w:val="16"/>
          <w:szCs w:val="16"/>
        </w:rPr>
      </w:pPr>
      <w:r w:rsidRPr="00F90EAE">
        <w:rPr>
          <w:color w:val="0070C0"/>
          <w:sz w:val="16"/>
          <w:szCs w:val="16"/>
          <w:shd w:val="clear" w:color="auto" w:fill="FFFFFF"/>
        </w:rPr>
        <w:lastRenderedPageBreak/>
        <w:t>В первых числах июня 1945 г. на правый и средний моторы самолета Ю-52 Л-68 установили воздушные фильтры конструкции НИИ ГВФ. На левом по предложению местных умельцев всасывающий патрубок установили не под мотогондолой, а над нею. После успешных испытаний на линиях Ашхабад - Ташауз и Ашхабад - Дарваза на всех самолетах в Туркмении средние моторы оборудовали новыми всасывающими патрубками. Позднее появился другой вариант патрубка, опробованный на машине Л-35. В Средней Азии мотоустановку Ю-52 пришлось подвергнуть доработке. Немецкие двигатели сильно страдали от песчаной пыли. Даже зимой поршневые кольца изнашивались за 15 - 20 летных часов (21550).</w:t>
      </w:r>
    </w:p>
    <w:p w14:paraId="3CB92013" w14:textId="77777777" w:rsidR="00B5377E" w:rsidRPr="00F90EAE" w:rsidRDefault="00B5377E" w:rsidP="00F90EAE">
      <w:pPr>
        <w:jc w:val="both"/>
        <w:rPr>
          <w:color w:val="0070C0"/>
          <w:sz w:val="16"/>
          <w:szCs w:val="16"/>
        </w:rPr>
      </w:pPr>
    </w:p>
    <w:p w14:paraId="3A91630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691A54A" w14:textId="77777777" w:rsidR="006103B3" w:rsidRPr="00F90EAE" w:rsidRDefault="006103B3" w:rsidP="00F90EAE">
      <w:pPr>
        <w:autoSpaceDE w:val="0"/>
        <w:autoSpaceDN w:val="0"/>
        <w:adjustRightInd w:val="0"/>
        <w:jc w:val="both"/>
        <w:rPr>
          <w:iCs/>
          <w:color w:val="000000" w:themeColor="text1"/>
          <w:sz w:val="16"/>
          <w:szCs w:val="16"/>
        </w:rPr>
      </w:pPr>
    </w:p>
    <w:p w14:paraId="4C7EF1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июня 1945 г. закончились летные испытания УИл-10 в НИИ ВВС, которые проходили с 20 мая. За</w:t>
      </w:r>
      <w:r w:rsidRPr="00F90EAE">
        <w:rPr>
          <w:color w:val="000000" w:themeColor="text1"/>
          <w:sz w:val="16"/>
          <w:szCs w:val="16"/>
        </w:rPr>
        <w:softHyphen/>
        <w:t>вершили их 7 июня, после выполнения 31 полета. Ведущим инженером и одно</w:t>
      </w:r>
      <w:r w:rsidRPr="00F90EAE">
        <w:rPr>
          <w:color w:val="000000" w:themeColor="text1"/>
          <w:sz w:val="16"/>
          <w:szCs w:val="16"/>
        </w:rPr>
        <w:softHyphen/>
        <w:t>временно ведущим летчиком был капи</w:t>
      </w:r>
      <w:r w:rsidRPr="00F90EAE">
        <w:rPr>
          <w:color w:val="000000" w:themeColor="text1"/>
          <w:sz w:val="16"/>
          <w:szCs w:val="16"/>
        </w:rPr>
        <w:softHyphen/>
        <w:t>тан С.Г. Фролов. При полетном весе 5680 кг (вес пусто</w:t>
      </w:r>
      <w:r w:rsidRPr="00F90EAE">
        <w:rPr>
          <w:color w:val="000000" w:themeColor="text1"/>
          <w:sz w:val="16"/>
          <w:szCs w:val="16"/>
        </w:rPr>
        <w:softHyphen/>
        <w:t>го 4571 кг) УИл-10 показал максималь</w:t>
      </w:r>
      <w:r w:rsidRPr="00F90EAE">
        <w:rPr>
          <w:color w:val="000000" w:themeColor="text1"/>
          <w:sz w:val="16"/>
          <w:szCs w:val="16"/>
        </w:rPr>
        <w:softHyphen/>
        <w:t>ную скорость полета у земли 502 км/ч, на высоте 2500 м - 560 км/ч. Время на</w:t>
      </w:r>
      <w:r w:rsidRPr="00F90EAE">
        <w:rPr>
          <w:color w:val="000000" w:themeColor="text1"/>
          <w:sz w:val="16"/>
          <w:szCs w:val="16"/>
        </w:rPr>
        <w:softHyphen/>
        <w:t>бора высоты 1000 м составило 1,5 мин, а 3000 м-4,8 мин. В выводах отчета по испытаниям ука</w:t>
      </w:r>
      <w:r w:rsidRPr="00F90EAE">
        <w:rPr>
          <w:color w:val="000000" w:themeColor="text1"/>
          <w:sz w:val="16"/>
          <w:szCs w:val="16"/>
        </w:rPr>
        <w:softHyphen/>
        <w:t>зывалось, что по технике пилотирования из передней кабины учебный штурмовик ничем не отличается от Ил-10, а из вто</w:t>
      </w:r>
      <w:r w:rsidRPr="00F90EAE">
        <w:rPr>
          <w:color w:val="000000" w:themeColor="text1"/>
          <w:sz w:val="16"/>
          <w:szCs w:val="16"/>
        </w:rPr>
        <w:softHyphen/>
        <w:t>рой кабины - от УИл-2. Однако обзор (особенно на посадке) у УИл-10 был ху</w:t>
      </w:r>
      <w:r w:rsidRPr="00F90EAE">
        <w:rPr>
          <w:color w:val="000000" w:themeColor="text1"/>
          <w:sz w:val="16"/>
          <w:szCs w:val="16"/>
        </w:rPr>
        <w:softHyphen/>
        <w:t>же, чем у боевого варианта. Поспешно оборудованное место инструктора име</w:t>
      </w:r>
      <w:r w:rsidRPr="00F90EAE">
        <w:rPr>
          <w:color w:val="000000" w:themeColor="text1"/>
          <w:sz w:val="16"/>
          <w:szCs w:val="16"/>
        </w:rPr>
        <w:softHyphen/>
        <w:t>ло много недостатков: «неудобно откры</w:t>
      </w:r>
      <w:r w:rsidRPr="00F90EAE">
        <w:rPr>
          <w:color w:val="000000" w:themeColor="text1"/>
          <w:sz w:val="16"/>
          <w:szCs w:val="16"/>
        </w:rPr>
        <w:softHyphen/>
        <w:t>вание и закрывание фонаря, нельзя от</w:t>
      </w:r>
      <w:r w:rsidRPr="00F90EAE">
        <w:rPr>
          <w:color w:val="000000" w:themeColor="text1"/>
          <w:sz w:val="16"/>
          <w:szCs w:val="16"/>
        </w:rPr>
        <w:softHyphen/>
        <w:t>крыть фонарь в воздухе, нет аварийного сброса бомб, мал размер пола в кабине, нет радиосвязи инструктора с землей, не установлен подлокотник, заголовник, и т.д.» Кроме того, военные требовали вместо пулеметов установить пушки. В замечаниях к акту испытания УИл-10 генерал-полковник А.А. Никитин указывал: «Все требования правильны и долж</w:t>
      </w:r>
      <w:r w:rsidRPr="00F90EAE">
        <w:rPr>
          <w:color w:val="000000" w:themeColor="text1"/>
          <w:sz w:val="16"/>
          <w:szCs w:val="16"/>
        </w:rPr>
        <w:softHyphen/>
        <w:t>ны быть реализованы....Учитывая боль</w:t>
      </w:r>
      <w:r w:rsidRPr="00F90EAE">
        <w:rPr>
          <w:color w:val="000000" w:themeColor="text1"/>
          <w:sz w:val="16"/>
          <w:szCs w:val="16"/>
        </w:rPr>
        <w:softHyphen/>
        <w:t>шую потребность в УИл-10, считать не</w:t>
      </w:r>
      <w:r w:rsidRPr="00F90EAE">
        <w:rPr>
          <w:color w:val="000000" w:themeColor="text1"/>
          <w:sz w:val="16"/>
          <w:szCs w:val="16"/>
        </w:rPr>
        <w:softHyphen/>
        <w:t>обходимым их выпуск продолжать, по</w:t>
      </w:r>
      <w:r w:rsidRPr="00F90EAE">
        <w:rPr>
          <w:color w:val="000000" w:themeColor="text1"/>
          <w:sz w:val="16"/>
          <w:szCs w:val="16"/>
        </w:rPr>
        <w:softHyphen/>
        <w:t>требовав внесения всех изменений и устранения всех недостатков, после чего предъявить самолет на повторные испы</w:t>
      </w:r>
      <w:r w:rsidRPr="00F90EAE">
        <w:rPr>
          <w:color w:val="000000" w:themeColor="text1"/>
          <w:sz w:val="16"/>
          <w:szCs w:val="16"/>
        </w:rPr>
        <w:softHyphen/>
        <w:t>тания в ГК НИИ ВВС КА...» (10681).</w:t>
      </w:r>
    </w:p>
    <w:p w14:paraId="3CF94D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315BB3D"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7 июня 1945 ГУЗ ВВС предъявил на испытания самолет Ил-10 с пылефильтром в ГК НИИ ВВС. Испытания самолета официально начались в институте лишь 13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3BCD9F8" w14:textId="77777777" w:rsidR="00C8021E" w:rsidRPr="00F90EAE" w:rsidRDefault="00C8021E" w:rsidP="00F90EAE">
      <w:pPr>
        <w:jc w:val="both"/>
        <w:rPr>
          <w:color w:val="000000" w:themeColor="text1"/>
          <w:sz w:val="16"/>
          <w:szCs w:val="16"/>
        </w:rPr>
      </w:pPr>
    </w:p>
    <w:p w14:paraId="6F02CB85"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7 июня 1945, после выполнения 31 полета (суммарный налет 15 ч) завершили летные испытания одного из первых УИл-10 (зав. № 106085), которые вели с 26 мая 1945 года. Мотор АМ-42 зав. № 451101 со 100-часовым ресурсом удовлетворительно наработал за все время испытаний в воздухе 15 ч, на земле - 3 ч 40 мин. Ведущим инженером и одновременно ведущим летчиком был инженер-капитан С. Г. Фролов. Его помощником был старший лейтенант В. В. Часовников. Акт по результатам государственных испытаний заместитель командующего ВВС КА генерал-полковник А. К. Репин утвердил 4 июля.</w:t>
      </w:r>
    </w:p>
    <w:p w14:paraId="594691A5"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При полетном весе 5680 кг УИл-10 показал несколько лучшие летные данные, чем боевой самолет Ил-10 производства того же завода. Максимальная скорость полета составила 502 км/ч у земли и 560 км/ч - на высоте 2500 м. Время набора высоты 1000 м - 1,5 мин, 3000 м - 4,8 мин.</w:t>
      </w:r>
    </w:p>
    <w:p w14:paraId="034E492D"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Все вооружение было отработано на земле и в воздухе. Из пулеметов стреляли и в горизонтальном полете, и на пикировании 25-30°. В пяти полетах было выполнено 3550 выстрелов. Задержек и отказов в стрельбе не было. Бомбардировочное оружие проверили сбросом бомб на земле и в воздухе при всех вариантах боевого использования. Оказалось, что на внешние держатели нельзя подвесить практические бомбы типа П-50сч, П-40, БАБ-50-25.</w:t>
      </w:r>
    </w:p>
    <w:p w14:paraId="6D59FBD7"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По технике пилотирования из передней кабины учебный штурмовик ничем не отличался от Ил-10, а из второй кабины - от учебного УИл-2. Однако обзор (особенно на посадке) на УИл-10 был хуже, чем у боевого варианта «десятки» («так как поле зрения попадает в переплет фонаря»). В то же время «пилотирование и исправление ошибок учеников из задней кабины возможно». Рабочее место инструктора имело много недостатков: «Неудобно открывание и закрывание фонаря, нет аварийного сброса фонаря, нельзя открыть фонарь в воздухе, мал размер пола в кабине, нет радиосвязи инструктора с землей, не предусмотрен заголовник, подлокотник, нет часов и т. д.». Констатировалось, что «2-я кабина не отвечает ТТТ на 1945 г.».</w:t>
      </w:r>
    </w:p>
    <w:p w14:paraId="301F65AA"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Необходимо было установить во второй кабине управление винтомоторной группой, шагом винта, заслонками радиаторов, триммерами руля поворота и стопором костыля, мягкую подушку на подголовнике, под левую руку подлокотник, предохранительные стенки по бортам кабины. Одновременно предлагалось продлить пол до бронеперегородки и изменить конструкцию фонаря («фонарь 2 -й кабины должен быть сдвижным, допускать стопорение в любом положении и аварийно сбрасываться в воздухе»).</w:t>
      </w:r>
    </w:p>
    <w:p w14:paraId="3F8BED38" w14:textId="77777777" w:rsidR="00C8021E" w:rsidRPr="00F90EAE" w:rsidRDefault="00C8021E"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На самолете отсутствовал пылефильтр. Система управления работой винта и мотора конструкции ЦИАМ «не обеспечивает подключения требуемых соотношений наддува по оборотам на эксплуатационном и экономическом режимах работы мотора». Самолет не оборудован установкой для буксировки конуса. Эксплуатация фотокинопулемета ПАУ-22 была затруднена («мал отсек»).</w:t>
      </w:r>
    </w:p>
    <w:p w14:paraId="76185B9A"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Военные потребовали устранить все выявленные недочеты по кабине инструктора, довести бомбардировочное вооружение, установить пушки вместо пулеметов и два ракетных орудия.</w:t>
      </w:r>
    </w:p>
    <w:p w14:paraId="1F7F101E"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В заключении акта по результатам испытаний отмечалось, что «1. Модифицированный самолет УИл-10 № 106085 не полностью отвечает требованиям к самолету УИл-10 на 1945 год. 2. Просить наркома авиапромышленности дать указание: а) Произвести дополнительные конструктивные изменения и подготовить УИл-10 в полном соответствии с ТТТ. б) Устранить отмеченные недостатки. в) После устранения предъявить самолет на повторные испытания».</w:t>
      </w:r>
    </w:p>
    <w:p w14:paraId="689A1B66" w14:textId="77777777" w:rsidR="00C8021E" w:rsidRPr="00F90EAE" w:rsidRDefault="00C8021E" w:rsidP="00F90EAE">
      <w:pPr>
        <w:jc w:val="both"/>
        <w:rPr>
          <w:color w:val="000000" w:themeColor="text1"/>
          <w:sz w:val="16"/>
          <w:szCs w:val="16"/>
        </w:rPr>
      </w:pPr>
      <w:r w:rsidRPr="00F90EAE">
        <w:rPr>
          <w:rStyle w:val="107"/>
          <w:rFonts w:eastAsiaTheme="minorHAnsi"/>
          <w:color w:val="000000" w:themeColor="text1"/>
          <w:sz w:val="16"/>
          <w:szCs w:val="16"/>
        </w:rPr>
        <w:t>Начальник Главного управления формирования и обучения ВВС КА генерал-полковник А. В. Никитин в замечаниях к акту от 26 июня указывал: «1. Все требования правильны и должны быть реализованы./.../3.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B1A0359" w14:textId="77777777" w:rsidR="00C8021E" w:rsidRPr="00F90EAE" w:rsidRDefault="00C8021E" w:rsidP="00F90EAE">
      <w:pPr>
        <w:jc w:val="both"/>
        <w:rPr>
          <w:rStyle w:val="107"/>
          <w:rFonts w:eastAsiaTheme="minorHAnsi"/>
          <w:color w:val="000000" w:themeColor="text1"/>
          <w:sz w:val="16"/>
          <w:szCs w:val="16"/>
        </w:rPr>
      </w:pPr>
    </w:p>
    <w:p w14:paraId="2FFF71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июня 1945 закончились совместные испытания и доводки РЛС на самолете 104 А.Н.Т. - серийном Ту-2 N 104, но котором установили РЛС типа ПНБ-4, а также дополнительно 2 ВЯ, которые шли на аэродроме НММ Спецслужб КА с 10 августа 1945. По окончанию испытаний машину передали в ГК НИИ ВВС для гос. испытаний. 3 февраля 1947 104 самолет передали в ОКБ-51 (П.О.С.) для последующей переделки в УТБ (1835,59).</w:t>
      </w:r>
    </w:p>
    <w:p w14:paraId="75BAEB45" w14:textId="77777777" w:rsidR="006103B3" w:rsidRPr="00F90EAE" w:rsidRDefault="006103B3" w:rsidP="00F90EAE">
      <w:pPr>
        <w:autoSpaceDE w:val="0"/>
        <w:autoSpaceDN w:val="0"/>
        <w:adjustRightInd w:val="0"/>
        <w:jc w:val="both"/>
        <w:rPr>
          <w:color w:val="000000" w:themeColor="text1"/>
          <w:sz w:val="16"/>
          <w:szCs w:val="16"/>
        </w:rPr>
      </w:pPr>
    </w:p>
    <w:p w14:paraId="1EE0BC31" w14:textId="77777777" w:rsidR="00D7144C" w:rsidRPr="00F90EAE" w:rsidRDefault="00D7144C" w:rsidP="00F90EAE">
      <w:pPr>
        <w:jc w:val="both"/>
        <w:rPr>
          <w:color w:val="000000" w:themeColor="text1"/>
          <w:sz w:val="16"/>
          <w:szCs w:val="16"/>
        </w:rPr>
      </w:pPr>
      <w:r w:rsidRPr="00F90EAE">
        <w:rPr>
          <w:bCs/>
          <w:color w:val="000000" w:themeColor="text1"/>
          <w:sz w:val="16"/>
          <w:szCs w:val="16"/>
        </w:rPr>
        <w:t>7 июня</w:t>
      </w:r>
      <w:r w:rsidRPr="00F90EAE">
        <w:rPr>
          <w:color w:val="000000" w:themeColor="text1"/>
          <w:sz w:val="16"/>
          <w:szCs w:val="16"/>
        </w:rPr>
        <w:t xml:space="preserve"> в 1945 году завершились (с 10 августа 1944 года) совместные испытания и доводка радиолокационной аппаратуры ПНБ-4 на серийном самолете </w:t>
      </w:r>
      <w:hyperlink r:id="rId141" w:tgtFrame="_blank" w:history="1">
        <w:r w:rsidRPr="00F90EAE">
          <w:rPr>
            <w:color w:val="000000" w:themeColor="text1"/>
            <w:sz w:val="16"/>
            <w:szCs w:val="16"/>
          </w:rPr>
          <w:t xml:space="preserve">«Ту-2» </w:t>
        </w:r>
      </w:hyperlink>
      <w:r w:rsidRPr="00F90EAE">
        <w:rPr>
          <w:color w:val="000000" w:themeColor="text1"/>
          <w:sz w:val="16"/>
          <w:szCs w:val="16"/>
        </w:rPr>
        <w:t>№104 (выпущенного в 1942 году Омским заводом №166), по окончанию которых самолет был передан в ГК НИИ ВВС для Государственных испытаний. 18 июля 1944 года на самолете "104" летчик-испытатель А.Д.Перелет с аэродрома ГК НИИ ВВС совершает первый вылет. В качестве ведущего инженера по испытаниям спецоборудования самолета "104" от ОКБ А.Н.Туполева участвует Л.Л.Кербер (14915).</w:t>
      </w:r>
    </w:p>
    <w:p w14:paraId="2EA05CAC" w14:textId="77777777" w:rsidR="00D7144C" w:rsidRPr="00F90EAE" w:rsidRDefault="00D7144C" w:rsidP="00F90EAE">
      <w:pPr>
        <w:jc w:val="both"/>
        <w:rPr>
          <w:color w:val="000000" w:themeColor="text1"/>
          <w:sz w:val="16"/>
          <w:szCs w:val="16"/>
        </w:rPr>
      </w:pPr>
    </w:p>
    <w:p w14:paraId="591007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7/8 июня 1945 года врид начальника ВВС ВМФ генерал-лейтенант авиации Бартновский писал письмо N 105499с Шахурину.</w:t>
      </w:r>
    </w:p>
    <w:p w14:paraId="56EF46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Вашего указания об изготовлении в 1945 году для ВВС ВМФ двух геликоптеров конструкции Братухина И.П., необходимых для проведения испытаний в целях выявления степени их применимости в условиях моря и определения целесообразности вооружения ими кораблей флота, а так же для доработки и уточнения специальных тактико-технических требований к морскому геликоптеру.</w:t>
      </w:r>
    </w:p>
    <w:p w14:paraId="3479F6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Ваше решение по этому вопросу прошу мне сообщить (2595).</w:t>
      </w:r>
    </w:p>
    <w:p w14:paraId="45F5B33B" w14:textId="77777777" w:rsidR="006103B3" w:rsidRPr="00F90EAE" w:rsidRDefault="006103B3" w:rsidP="00F90EAE">
      <w:pPr>
        <w:autoSpaceDE w:val="0"/>
        <w:autoSpaceDN w:val="0"/>
        <w:adjustRightInd w:val="0"/>
        <w:jc w:val="both"/>
        <w:rPr>
          <w:color w:val="000000" w:themeColor="text1"/>
          <w:sz w:val="16"/>
          <w:szCs w:val="16"/>
        </w:rPr>
      </w:pPr>
    </w:p>
    <w:p w14:paraId="7DE9B6F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июня 1942 г. приказом НКАП №424 для более целесообразного использования площадей и создания нормальной работы ЦИАМ завод №41 был переведен со всем оборудованием, заделами и личным составом с территории опытного завода ЦИАМ на площади бывшего завода №20 НКАП. Одновременно помещения лесотарного завода (по Старопетровскому проезду) переданы обратно в НКПП для налаживания производства корпусов зажигательных АБ (10777).</w:t>
      </w:r>
    </w:p>
    <w:p w14:paraId="0A1E49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 А.С.Кочедыков (194243гг), Н.Ф.Казаков (с 1943-46 гг). Все ремонтные работы переданы в .7.42 г. вновь организованным ремонтным мастерским ЦИАМ. На заводе оставлено производство моторов М-11, далее налажено изготовление М-11Д (1943-46гг), М-11ФН (1945-46гг). В послевоенные годы выпускалось много изделий ширпотреба. </w:t>
      </w:r>
    </w:p>
    <w:p w14:paraId="46EEE1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начале 1944 г. на основании приказов НКАП №16 от 8.1.44 г. и №146 от 26.2.44 г. в составе 8ГУ для проведения работ по маломощным моторам на территории завода образовано ОКБ с оп. базой. Тем же приказ. гл.к. завода назначен Е.В.Урмин (переведен с завода №29 НКАП). На территорию завода №41 было переведено ОКБ завода №154 НКАП из г.Андижана со всеми кадрами и оборудованием для концентрации работ по легким моторам. Велись работы по модернизации М-11 по части повышения мощности - М-11Ф (вед. к. А.М.Власенко), модификации М-11Я. На базе М-11 создавался мотор М-12 для учебных и транспортных самолетов (вед. к. А.М.Власенко). В .4.46 г. в МАП сделан вывод о неудовлетворительной работе по маломощным моторам в ОКБ завода. Е.В.Урмин от обязанностей гл.к. освобожден. Руководителем работ и начальником ОКБ был назначен И.А.Мужилов. Под его руководством в к. 1946 г. проводились работы по мотору М-11ФР. </w:t>
      </w:r>
    </w:p>
    <w:p w14:paraId="555811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 xml:space="preserve">В виду развертывания на заводе работ по ГТУ, производство моторов серии М-11 перевели на завод №154 МАП. Доводки и испытания мотора М-11ФРВ проведены в Москве, а 1949 г. на заводе №154 МАП выпущена малая серия. В 1947-48гг. проводились работы по мотору М-13. В рамках сокращения опытных работ ОКБ, руководимое И.А.Мужиловым, ликвидировано в 1948 г. Работы по мотору М-13 прекращены. </w:t>
      </w:r>
    </w:p>
    <w:p w14:paraId="2EA006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соответствии с приказом №62 от 14.2.45 г. на завод возложена организация выпуска опытной серии моторов МБ-8 конструкции гл.к. С.С.Баландина (начальник Спецсектора ЦИАМ). Для сопровождения этих работ на завод из ЦИАМ командирована группа во главе с С.С.Баландиным. Далее с .8.46 г. для продолжения работ сформировано ОКБ на заводе №500 МАП под руководством С.С.Баландина. </w:t>
      </w:r>
    </w:p>
    <w:p w14:paraId="4C24D4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Производство завода было разнообразным. В первые послевоенные годы кроме производства моторов М-11 шло изготовление стрелковых установок типа ПВ-23 к Ту-4. Оказывалась помощь в изготовлении агрегатов для опытных двигателей конструкции Л.С.Душкина и М.М.Бондарюка (НИИ-1 МАП). </w:t>
      </w:r>
    </w:p>
    <w:p w14:paraId="3BFCFB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 образованием ОКБ гл.к. В.В.Уварова завод №41 преобразован в Опытный завод газотурбинных двигателей (приказ №414 от 1.7.46 г.) и вскоре завод передан из 3ГУ в 8ГУ (в опытные). </w:t>
      </w:r>
    </w:p>
    <w:p w14:paraId="7355AC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 завода №41 МАП (ОКБ-41 МАП) образовано в .6.46 г. для проведения работ по опытным авиационным газотурбинным двигателям, в т.ч. по Э-30-80М (приказ №414 от 1.7.46 г.). Ответственным рук. и гл.к. назначен В.В.Уваров (приказ №546 от 15.8.46 г.). Штат формировался в основном за счет опытного и серийного КБ завода. </w:t>
      </w:r>
    </w:p>
    <w:p w14:paraId="38C236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Разрабатывались и осваивались в производстве экспериментальные турбовинтовые двигатели: Э-30-80А (1947 г.), Э-30-80М (1948 г.), Э-30-81, Э-30-81А (1948 г.) и Э-30-81М. Двигатели проходили успешные стендовые испытания. На некоторое время ОКБ закрывалось, и вновь образовано, выделившись из завода №41 (приказ МАП №440 от 21.6.48 г.) в системе 8ГУ МАП. Гл.к. оставался В.В.Уваров. Но по приказу №773 от 10 октября 1949 г. работы по Э-3081А и др. ТВД были прекращены. С 1949 г. В.В.Уваров на преподавательской работе в МВТУ (по 1977 г.). </w:t>
      </w:r>
    </w:p>
    <w:p w14:paraId="0D9FF7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 .7.48 г. завод передан из 8ГУ в 4ГУ (моторные агрегаты), с 1.7.49 г. - во 2ГУ МАП (самолетные агрегаты). </w:t>
      </w:r>
    </w:p>
    <w:p w14:paraId="4CF12E1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А.Т.Завитаев (1946-48гг). Далее дир. - Ю.А.Мизюров (до 1950 г.), И.А.Лихачев (в 1950-53гг.). </w:t>
      </w:r>
    </w:p>
    <w:p w14:paraId="5B82D7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Завод с 1953 г. перепрофилирован на новую тематику - ракетостроение (как серийный завод). В связи с этим с .1.53 г. передан из 2ГУ в 6ГУ МАП. В 1953-75гг. директором был А.Я.Секачев, гл.инж. в 1953-69гг. был А.В.Малютин. В 1953 г. для расширения производства В-300 и в виду получения задания на производство В-750 завод получил корпус соседнего Котельно-мех. завода Минпищепрома. С 10.7.53 г. в связи с ликвидацией МАП завод передан в 9ГУ (специальное) МОП, с .8.53 г. - вновь в составе 6ГУ вновь образованного МАП. С 1.4.55 г. передан из 6ГУ в систему МОП (приказ №268 от 19.4.55 г.). </w:t>
      </w:r>
    </w:p>
    <w:p w14:paraId="458FD9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 заводе №41 (заводе "Авангард") проводилось производство ЗУР типа: В-300 - изд."205" (1953-54гг.), изд."207" (1954-56гг.), сборка МКР "Буря" (1956 г.), Производство ЗУР В-750 (изд."1Д", в 1956-58гг.), В-750ВН (с 1958г), В-755 (для комплекса С-75М, с 1960 г.), изд."20Д", "500Р", "500РМ", 5В55 (для С-300). </w:t>
      </w:r>
    </w:p>
    <w:p w14:paraId="3AA264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заводе в 1960-х гг. была разработана собственная опытная модификация одной из серийных ЗУР - изд."59". Работы проводились группой специалистов под руководством гл. инж. А.В.Малютина.</w:t>
      </w:r>
    </w:p>
    <w:p w14:paraId="0307F7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Некоторое время действовало НПО "Авангард", которое включало кроме самого завода еще филиал в г.Гомеле и филиал в г.Торжок (Торжокский завод металлоизделий). С 1975 г. директор - В.П.Пасько, в н. вр. - Г.В.Кожин. </w:t>
      </w:r>
    </w:p>
    <w:p w14:paraId="63B483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Авангард, Московский машиностроительный завод, ОАО (ОАО "ММЗ "Авангард") </w:t>
      </w:r>
    </w:p>
    <w:p w14:paraId="1F2C85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Ранее - Завод №41, Московский машиностроительный завод "Авангард", Московское машиностроительное ПО "Авангард", ГП ММЗ "Авангард" </w:t>
      </w:r>
    </w:p>
    <w:p w14:paraId="09F82D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- 125130 г.Москва ул.Цеткин К., 33 (10777).</w:t>
      </w:r>
    </w:p>
    <w:p w14:paraId="10FEACF6" w14:textId="77777777" w:rsidR="006103B3" w:rsidRPr="00F90EAE" w:rsidRDefault="006103B3" w:rsidP="00F90EAE">
      <w:pPr>
        <w:autoSpaceDE w:val="0"/>
        <w:autoSpaceDN w:val="0"/>
        <w:adjustRightInd w:val="0"/>
        <w:jc w:val="both"/>
        <w:rPr>
          <w:color w:val="000000" w:themeColor="text1"/>
          <w:sz w:val="16"/>
          <w:szCs w:val="16"/>
        </w:rPr>
      </w:pPr>
    </w:p>
    <w:p w14:paraId="153E06E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79C765C" w14:textId="77777777" w:rsidR="006103B3" w:rsidRPr="00F90EAE" w:rsidRDefault="006103B3" w:rsidP="00F90EAE">
      <w:pPr>
        <w:autoSpaceDE w:val="0"/>
        <w:autoSpaceDN w:val="0"/>
        <w:adjustRightInd w:val="0"/>
        <w:jc w:val="both"/>
        <w:rPr>
          <w:iCs/>
          <w:color w:val="000000" w:themeColor="text1"/>
          <w:sz w:val="16"/>
          <w:szCs w:val="16"/>
        </w:rPr>
      </w:pPr>
    </w:p>
    <w:p w14:paraId="18756D1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июня 1945 вышло постановление СНК № 1644 О плане и метериально-техническом обеспечении производства запчастей к тракторам и сельхозмашинам в 3 кв. 1945 - обязали оборонные заводв (7543, 106).</w:t>
      </w:r>
    </w:p>
    <w:p w14:paraId="6BE77BCC" w14:textId="77777777" w:rsidR="006103B3" w:rsidRPr="00F90EAE" w:rsidRDefault="006103B3" w:rsidP="00F90EAE">
      <w:pPr>
        <w:autoSpaceDE w:val="0"/>
        <w:autoSpaceDN w:val="0"/>
        <w:adjustRightInd w:val="0"/>
        <w:jc w:val="both"/>
        <w:rPr>
          <w:color w:val="000000" w:themeColor="text1"/>
          <w:sz w:val="16"/>
          <w:szCs w:val="16"/>
        </w:rPr>
      </w:pPr>
    </w:p>
    <w:p w14:paraId="2A853CE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47DD35D" w14:textId="77777777" w:rsidR="006103B3" w:rsidRPr="00F90EAE" w:rsidRDefault="006103B3" w:rsidP="00F90EAE">
      <w:pPr>
        <w:autoSpaceDE w:val="0"/>
        <w:autoSpaceDN w:val="0"/>
        <w:adjustRightInd w:val="0"/>
        <w:jc w:val="both"/>
        <w:rPr>
          <w:iCs/>
          <w:color w:val="000000" w:themeColor="text1"/>
          <w:sz w:val="16"/>
          <w:szCs w:val="16"/>
        </w:rPr>
      </w:pPr>
    </w:p>
    <w:p w14:paraId="7A227D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июня 1945 военачальники союзных держав Г.К.Ж., Эйзенхауэр, Монтгомери и Делатр де Тассиньи подписали в Берлине Декларацию о поражении Германии и принятии верховной власти в ней правительствами СССР, США, Великобритании и Франции (3263,296).</w:t>
      </w:r>
    </w:p>
    <w:p w14:paraId="18278634" w14:textId="77777777" w:rsidR="006103B3" w:rsidRPr="00F90EAE" w:rsidRDefault="006103B3" w:rsidP="00F90EAE">
      <w:pPr>
        <w:autoSpaceDE w:val="0"/>
        <w:autoSpaceDN w:val="0"/>
        <w:adjustRightInd w:val="0"/>
        <w:jc w:val="both"/>
        <w:rPr>
          <w:color w:val="000000" w:themeColor="text1"/>
          <w:sz w:val="16"/>
          <w:szCs w:val="16"/>
        </w:rPr>
      </w:pPr>
    </w:p>
    <w:p w14:paraId="3F542E5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B81A076" w14:textId="77777777" w:rsidR="006103B3" w:rsidRPr="00F90EAE" w:rsidRDefault="006103B3" w:rsidP="00F90EAE">
      <w:pPr>
        <w:autoSpaceDE w:val="0"/>
        <w:autoSpaceDN w:val="0"/>
        <w:adjustRightInd w:val="0"/>
        <w:jc w:val="both"/>
        <w:rPr>
          <w:iCs/>
          <w:color w:val="000000" w:themeColor="text1"/>
          <w:sz w:val="16"/>
          <w:szCs w:val="16"/>
        </w:rPr>
      </w:pPr>
    </w:p>
    <w:p w14:paraId="56F589D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7 июня 1945 всем немецким жителям в зонах оккупации союзников приказано посмотреть фильмы о злодеяниях нацистов в Бухенвальде (4962).</w:t>
      </w:r>
    </w:p>
    <w:p w14:paraId="24B5AEB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8FC3908"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F24DB99" w14:textId="77777777" w:rsidR="006103B3" w:rsidRPr="00F90EAE" w:rsidRDefault="006103B3" w:rsidP="00F90EAE">
      <w:pPr>
        <w:autoSpaceDE w:val="0"/>
        <w:autoSpaceDN w:val="0"/>
        <w:adjustRightInd w:val="0"/>
        <w:jc w:val="both"/>
        <w:rPr>
          <w:iCs/>
          <w:color w:val="000000" w:themeColor="text1"/>
          <w:sz w:val="16"/>
          <w:szCs w:val="16"/>
        </w:rPr>
      </w:pPr>
    </w:p>
    <w:p w14:paraId="340941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 ГК НИИ ВВС проходил гос. испытания модифицированный самолет УИл-2 с мотором АМ-38Ф (самолет N 18841133 производства 18 завода, апрель 1945) (тема 2 - 1945), которые проходили с 31 мая 1945. Ви - ли - ик - Е.В.Зюскевич, второй ли - ст. л. Олейников. Облетали п Долгов, Тиняков и Фролов. Выполнили 26 полетов продолжительностью 13:06.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220631E" w14:textId="77777777" w:rsidR="006103B3" w:rsidRPr="00F90EAE" w:rsidRDefault="006103B3" w:rsidP="00F90EAE">
      <w:pPr>
        <w:autoSpaceDE w:val="0"/>
        <w:autoSpaceDN w:val="0"/>
        <w:adjustRightInd w:val="0"/>
        <w:jc w:val="both"/>
        <w:rPr>
          <w:color w:val="000000" w:themeColor="text1"/>
          <w:sz w:val="16"/>
          <w:szCs w:val="16"/>
        </w:rPr>
      </w:pPr>
    </w:p>
    <w:p w14:paraId="0F8752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Ф.Ф.Опадчий закончил заводские испытания Ту-10 (68) и начались гос. испытания, которые шли до 20 ноября 1946 (4,182).</w:t>
      </w:r>
    </w:p>
    <w:p w14:paraId="556C92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Заводские испытания шли с 17 мая 1945, хотя первый полет был сделан 19 мая. 68 - фронтовой скоростной бомбардировщик с АМ-39ФНВ, сделанный на основе Ту-2 (1835,58).</w:t>
      </w:r>
    </w:p>
    <w:p w14:paraId="414DC1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другим данным гос. испытания 68 проходили с 28 июня по 30 июля 1945, но так и не были закончены (1835,58).</w:t>
      </w:r>
    </w:p>
    <w:p w14:paraId="5F07192F" w14:textId="77777777" w:rsidR="006103B3" w:rsidRPr="00F90EAE" w:rsidRDefault="006103B3" w:rsidP="00F90EAE">
      <w:pPr>
        <w:autoSpaceDE w:val="0"/>
        <w:autoSpaceDN w:val="0"/>
        <w:adjustRightInd w:val="0"/>
        <w:jc w:val="both"/>
        <w:rPr>
          <w:color w:val="000000" w:themeColor="text1"/>
          <w:sz w:val="16"/>
          <w:szCs w:val="16"/>
        </w:rPr>
      </w:pPr>
    </w:p>
    <w:p w14:paraId="2E5E0D8C" w14:textId="77777777" w:rsidR="00D7144C" w:rsidRPr="00F90EAE" w:rsidRDefault="00D7144C" w:rsidP="00F90EAE">
      <w:pPr>
        <w:jc w:val="both"/>
        <w:rPr>
          <w:color w:val="000000" w:themeColor="text1"/>
          <w:sz w:val="16"/>
          <w:szCs w:val="16"/>
        </w:rPr>
      </w:pPr>
      <w:r w:rsidRPr="00F90EAE">
        <w:rPr>
          <w:bCs/>
          <w:color w:val="000000" w:themeColor="text1"/>
          <w:sz w:val="16"/>
          <w:szCs w:val="16"/>
        </w:rPr>
        <w:t>8 июня</w:t>
      </w:r>
      <w:r w:rsidRPr="00F90EAE">
        <w:rPr>
          <w:color w:val="000000" w:themeColor="text1"/>
          <w:sz w:val="16"/>
          <w:szCs w:val="16"/>
        </w:rPr>
        <w:t xml:space="preserve"> в 1945 году закончились заводские испытания самолета </w:t>
      </w:r>
      <w:hyperlink r:id="rId142" w:tgtFrame="_blank" w:history="1">
        <w:r w:rsidRPr="00F90EAE">
          <w:rPr>
            <w:color w:val="000000" w:themeColor="text1"/>
            <w:sz w:val="16"/>
            <w:szCs w:val="16"/>
          </w:rPr>
          <w:t xml:space="preserve">"68" 2хАМ-39ФНВ </w:t>
        </w:r>
      </w:hyperlink>
      <w:r w:rsidRPr="00F90EAE">
        <w:rPr>
          <w:color w:val="000000" w:themeColor="text1"/>
          <w:sz w:val="16"/>
          <w:szCs w:val="16"/>
        </w:rPr>
        <w:t>Неделю на самолете устраняли выявленные дефекты, а 16 июня сдали НИИ ВВС на государственные испытания (14916).</w:t>
      </w:r>
    </w:p>
    <w:p w14:paraId="693A75CB" w14:textId="77777777" w:rsidR="00D7144C" w:rsidRPr="00F90EAE" w:rsidRDefault="00D7144C" w:rsidP="00F90EAE">
      <w:pPr>
        <w:jc w:val="both"/>
        <w:rPr>
          <w:color w:val="000000" w:themeColor="text1"/>
          <w:sz w:val="16"/>
          <w:szCs w:val="16"/>
        </w:rPr>
      </w:pPr>
    </w:p>
    <w:p w14:paraId="02C5E6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Нарком ВМФ а Кузнецов издал приказ о переоборудовании двух Ли-2 в тральщики, который разработал в КБ завода 89 А.П.Голубков и поручил провести испытания в декабре (3772).</w:t>
      </w:r>
    </w:p>
    <w:p w14:paraId="7D3A024B" w14:textId="77777777" w:rsidR="006103B3" w:rsidRPr="00F90EAE" w:rsidRDefault="006103B3" w:rsidP="00F90EAE">
      <w:pPr>
        <w:autoSpaceDE w:val="0"/>
        <w:autoSpaceDN w:val="0"/>
        <w:adjustRightInd w:val="0"/>
        <w:jc w:val="both"/>
        <w:rPr>
          <w:color w:val="000000" w:themeColor="text1"/>
          <w:sz w:val="16"/>
          <w:szCs w:val="16"/>
        </w:rPr>
      </w:pPr>
    </w:p>
    <w:p w14:paraId="3576E76B" w14:textId="77777777" w:rsidR="00D7144C" w:rsidRPr="00F90EAE" w:rsidRDefault="00D7144C" w:rsidP="00F90EAE">
      <w:pPr>
        <w:jc w:val="both"/>
        <w:rPr>
          <w:color w:val="000000" w:themeColor="text1"/>
          <w:sz w:val="16"/>
          <w:szCs w:val="16"/>
        </w:rPr>
      </w:pPr>
      <w:r w:rsidRPr="00F90EAE">
        <w:rPr>
          <w:bCs/>
          <w:color w:val="000000" w:themeColor="text1"/>
          <w:sz w:val="16"/>
          <w:szCs w:val="16"/>
        </w:rPr>
        <w:t>8 июня</w:t>
      </w:r>
      <w:r w:rsidRPr="00F90EAE">
        <w:rPr>
          <w:color w:val="000000" w:themeColor="text1"/>
          <w:sz w:val="16"/>
          <w:szCs w:val="16"/>
        </w:rPr>
        <w:t xml:space="preserve"> в 1945 году приказ Наркома ВМФ СССР адмирала Кузнецова о переоборудовании двух </w:t>
      </w:r>
      <w:hyperlink r:id="rId143" w:tgtFrame="_blank" w:history="1">
        <w:r w:rsidRPr="00F90EAE">
          <w:rPr>
            <w:color w:val="000000" w:themeColor="text1"/>
            <w:sz w:val="16"/>
            <w:szCs w:val="16"/>
          </w:rPr>
          <w:t xml:space="preserve">«Ли-2» </w:t>
        </w:r>
      </w:hyperlink>
      <w:r w:rsidRPr="00F90EAE">
        <w:rPr>
          <w:color w:val="000000" w:themeColor="text1"/>
          <w:sz w:val="16"/>
          <w:szCs w:val="16"/>
        </w:rPr>
        <w:t>в самолеты-тральщики и проведении в декабре первых испытательных полетов. Это был уже не первый документ подобного рода, и пока не обнаружено подтверждений, что он был исполнен. В 1943 г. главный конструктор КБ завода № 89 А.П.Голубков по заданию наркома ВМФ разработал и предложил эскизный проект авиационного тральщика для борьбы с магнитными минами «ПС-84-Т». Идея была не нова, так как годом раньше аналогичную машину разработали немцы "на базе «Ju-52». В нашей стране первый подобный проект, «ПС-84Т» или «ПС-84Тр», создали на заводе № 89 в 1943 году. Под крыльями и фюзеляжем располагалось огромное кольцо с обмоткой внутри. Оно удерживалось системой тросов и расчалок. Ток в обмотке создавал электрогенератор, работавший от дополнительного двигателя «МВ-6» в фюзеляже. Идя на высоте 20 м со скоростью 200 км/ч, «ПС-84Т» мог протралить полосу шириной 45 м, уничтожая мины на глубинах до 30 м. Проект был поддержан наркомом ВМФ Н.Г.Кузнецовым. В 1944 года на заводе № 456 предложили новый вариант тральщика с более мощным дополнительным мотором «М-105». Разработка «ПС-84Т», впоследствии переименованного в «Ли-2МТ», потихоньку шла всю войну, переходя из одной организации в другую. Наконец, им занялось ОКБ-30. В июне 1946 года МАП предписало испытать в ЛИИ опытный образец "тральщика Голубкова". Командиром экипажа испытателей был П.Е.Генаев. Последние упоминания о «Ли-2МТ» относятся к 1949 году, когда подготовили проект с установкой в качестве вспомогательного двигателя нового авиамотора «М-14». В августе того же года ОКБ-30 подписало с командованием ВМФ договор о эскизном проектировании самолета, а в декабре — договор о разработке основного узла, электромагнитного трала. Но данных об их выполнении пока найти не удалось (14916).</w:t>
      </w:r>
    </w:p>
    <w:p w14:paraId="2D98BB21" w14:textId="77777777" w:rsidR="00D7144C" w:rsidRPr="00F90EAE" w:rsidRDefault="00D7144C" w:rsidP="00F90EAE">
      <w:pPr>
        <w:jc w:val="both"/>
        <w:rPr>
          <w:color w:val="000000" w:themeColor="text1"/>
          <w:sz w:val="16"/>
          <w:szCs w:val="16"/>
        </w:rPr>
      </w:pPr>
    </w:p>
    <w:p w14:paraId="574FB0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начались наземные испытания первого опытного Ил-12 (3846,21).</w:t>
      </w:r>
    </w:p>
    <w:p w14:paraId="2740D9E4" w14:textId="77777777" w:rsidR="006103B3" w:rsidRPr="00F90EAE" w:rsidRDefault="006103B3" w:rsidP="00F90EAE">
      <w:pPr>
        <w:autoSpaceDE w:val="0"/>
        <w:autoSpaceDN w:val="0"/>
        <w:adjustRightInd w:val="0"/>
        <w:jc w:val="both"/>
        <w:rPr>
          <w:color w:val="000000" w:themeColor="text1"/>
          <w:sz w:val="16"/>
          <w:szCs w:val="16"/>
        </w:rPr>
      </w:pPr>
    </w:p>
    <w:p w14:paraId="7DF3BD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8 июня 1945 г. был предъявлен макет скоростного бомбардировщика Ил-14 с четырьмя моторами АМ-43, оснащенными двухскоростными нагнетателями. В этом варианте взлетная мощность двигателей составляла 2500 л.с., боевая - 2450 л.с. на высоте 2000 м, а номинальная - 1750 л.с. на высоте 8000 м. По расчетам Ил-14 на </w:t>
      </w:r>
      <w:r w:rsidRPr="00F90EAE">
        <w:rPr>
          <w:color w:val="000000" w:themeColor="text1"/>
          <w:sz w:val="16"/>
          <w:szCs w:val="16"/>
        </w:rPr>
        <w:lastRenderedPageBreak/>
        <w:t>высоте 9000 м мог развить максимальную скорость 760 км/ч. В 1946 г. было построено пять самолетов Ил-14, но из-за отсутствия двигателей машины не поднимались в воздух (9032).</w:t>
      </w:r>
    </w:p>
    <w:p w14:paraId="0AC7D6C7" w14:textId="77777777" w:rsidR="006103B3" w:rsidRPr="00F90EAE" w:rsidRDefault="006103B3" w:rsidP="00F90EAE">
      <w:pPr>
        <w:autoSpaceDE w:val="0"/>
        <w:autoSpaceDN w:val="0"/>
        <w:adjustRightInd w:val="0"/>
        <w:jc w:val="both"/>
        <w:rPr>
          <w:color w:val="000000" w:themeColor="text1"/>
          <w:sz w:val="16"/>
          <w:szCs w:val="16"/>
        </w:rPr>
      </w:pPr>
    </w:p>
    <w:p w14:paraId="2F873D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г. состоялось заседание государственной макетной комиссии по самолету Ил-14 (первого самолета под таким обозначением), предназначавшегося для замены самолета Ил-4 и способного превысить скорость 700 км/ч. После ознакомления с чертежами, схемами и осмотром строящегося Ил-14 комиссия в целом одобрила самолет, но рекомендовала завершить его постройку в варианте с двухместной кабиной летчиков, сидящих рядом, увеличить боезапас оборонительного вооружения и установить спаренные пушки для защиты задней полусферы, причем пушечные установки вверху и внизу должны были обеспечивать круговой обстрел. Несмотря на положительное заключение военных, в связи с окончанием Второй мировой войны постройку опытного самолета Ил-14 прекратили (9528).</w:t>
      </w:r>
    </w:p>
    <w:p w14:paraId="7259B895" w14:textId="77777777" w:rsidR="006103B3" w:rsidRPr="00F90EAE" w:rsidRDefault="006103B3" w:rsidP="00F90EAE">
      <w:pPr>
        <w:autoSpaceDE w:val="0"/>
        <w:autoSpaceDN w:val="0"/>
        <w:adjustRightInd w:val="0"/>
        <w:jc w:val="both"/>
        <w:rPr>
          <w:color w:val="000000" w:themeColor="text1"/>
          <w:sz w:val="16"/>
          <w:szCs w:val="16"/>
        </w:rPr>
      </w:pPr>
    </w:p>
    <w:p w14:paraId="770B1C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8987 О вывозе оборудования с немецких авиационных заводов в районе г. Ратенов, в местечке Рангсдорф и в г. Бург на предприятия Наркомавиапрома. РГАНИР, Фонд ГКО, д. 426, лл. 99-101 (11012).</w:t>
      </w:r>
    </w:p>
    <w:p w14:paraId="0049664E" w14:textId="77777777" w:rsidR="006103B3" w:rsidRPr="00F90EAE" w:rsidRDefault="006103B3" w:rsidP="00F90EAE">
      <w:pPr>
        <w:autoSpaceDE w:val="0"/>
        <w:autoSpaceDN w:val="0"/>
        <w:adjustRightInd w:val="0"/>
        <w:jc w:val="both"/>
        <w:rPr>
          <w:color w:val="000000" w:themeColor="text1"/>
          <w:sz w:val="16"/>
          <w:szCs w:val="16"/>
        </w:rPr>
      </w:pPr>
    </w:p>
    <w:p w14:paraId="1AE677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года нарком авиационной промышленности Шахурин в докладной записке писал:</w:t>
      </w:r>
    </w:p>
    <w:p w14:paraId="1694BFA2"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«…Институт задолго до прихода Красной Армии был эвакуирован в среднею Германию (Тюрингию), куда вывезены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сохранились два больших кислородных завода, действующая электростанция и детали от различных ракетных снарядов» (11688).</w:t>
      </w:r>
    </w:p>
    <w:p w14:paraId="6388729B" w14:textId="77777777" w:rsidR="006103B3" w:rsidRPr="00F90EAE" w:rsidRDefault="006103B3" w:rsidP="00F90EAE">
      <w:pPr>
        <w:widowControl w:val="0"/>
        <w:autoSpaceDE w:val="0"/>
        <w:autoSpaceDN w:val="0"/>
        <w:adjustRightInd w:val="0"/>
        <w:jc w:val="both"/>
        <w:rPr>
          <w:color w:val="000000" w:themeColor="text1"/>
          <w:sz w:val="16"/>
          <w:szCs w:val="16"/>
        </w:rPr>
      </w:pPr>
    </w:p>
    <w:p w14:paraId="04A18C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июня 1945 г. была Докладная записка А.И. Шахурина Г.М. Маленкову о результатах обследования германского реактивного научно-испытательного института в Пенемюнде</w:t>
      </w:r>
    </w:p>
    <w:p w14:paraId="449650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Секретно</w:t>
      </w:r>
    </w:p>
    <w:p w14:paraId="55A5A7D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 товарищу Маленкову Г.М.</w:t>
      </w:r>
    </w:p>
    <w:p w14:paraId="4F2439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Вам результаты обследования германского научно-исследовательского института ракетного вооружения в Пенемюнде (так в документе. Правильно: Германский реактивный научно-испытательный институт ракетного вооружения.), про</w:t>
      </w:r>
      <w:r w:rsidRPr="00F90EAE">
        <w:rPr>
          <w:color w:val="000000" w:themeColor="text1"/>
          <w:sz w:val="16"/>
          <w:szCs w:val="16"/>
        </w:rPr>
        <w:softHyphen/>
        <w:t>изведенного заместителем начальника НИИ-1 профессором Абрамови</w:t>
      </w:r>
      <w:r w:rsidRPr="00F90EAE">
        <w:rPr>
          <w:color w:val="000000" w:themeColor="text1"/>
          <w:sz w:val="16"/>
          <w:szCs w:val="16"/>
        </w:rPr>
        <w:softHyphen/>
        <w:t>чем Г.Н., который был послан в Германию с комиссией генерал-майора Петрова Н.И.</w:t>
      </w:r>
    </w:p>
    <w:p w14:paraId="3BAE45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Институт в Пенемюнде представляет собой огромный комбинат, зани</w:t>
      </w:r>
      <w:r w:rsidRPr="00F90EAE">
        <w:rPr>
          <w:color w:val="000000" w:themeColor="text1"/>
          <w:sz w:val="16"/>
          <w:szCs w:val="16"/>
        </w:rPr>
        <w:softHyphen/>
        <w:t>мавшийся разработкой и испытанием ракетных снарядов.</w:t>
      </w:r>
    </w:p>
    <w:p w14:paraId="27A191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Институт располагался на территории площадью около 80 кв. киломе</w:t>
      </w:r>
      <w:r w:rsidRPr="00F90EAE">
        <w:rPr>
          <w:color w:val="000000" w:themeColor="text1"/>
          <w:sz w:val="16"/>
          <w:szCs w:val="16"/>
        </w:rPr>
        <w:softHyphen/>
        <w:t>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7500 человек.</w:t>
      </w:r>
    </w:p>
    <w:p w14:paraId="7C50977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Институт входил в систему управления вооружением Рейхсвера. Руководил им специальный уполномоченный Гитлера генерал СС Кеммлер (заместитель Гимлера). Координацией работы института и промышленности ведал представитель министра вооружения Шпеера. Научным руководителем института был профессор фон Браун, который работал над ракетными снарядами еще с 1932 года. Строительство института в Пенемюнде началось в 1935 году. Масштабы работы института можно оценить по 11 гигантским стендам высотой до 30 метров, которые легко вмещали для различного характера испыта</w:t>
      </w:r>
      <w:r w:rsidRPr="00F90EAE">
        <w:rPr>
          <w:color w:val="000000" w:themeColor="text1"/>
          <w:sz w:val="16"/>
          <w:szCs w:val="16"/>
        </w:rPr>
        <w:softHyphen/>
        <w:t>ний (в том числе и при действующих двигателях) такие крупные снаряды, как фау-2, в натуральную величину. Стенды были оборудованы водоохлаждаемыми стенками, динамометрами для измерения сил, действующих на снаря</w:t>
      </w:r>
      <w:r w:rsidRPr="00F90EAE">
        <w:rPr>
          <w:color w:val="000000" w:themeColor="text1"/>
          <w:sz w:val="16"/>
          <w:szCs w:val="16"/>
        </w:rPr>
        <w:softHyphen/>
        <w:t>ды, приборами для измерения угловых ускорений свободноподвешенного снаряда, аппаратурой для тепловых измерений и т. п.</w:t>
      </w:r>
    </w:p>
    <w:p w14:paraId="3ACF44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Обращает на себя внимание исключительная целеустремленность работ института. Здесь, несмотря на большую мощь и большое число сотрудни</w:t>
      </w:r>
      <w:r w:rsidRPr="00F90EAE">
        <w:rPr>
          <w:color w:val="000000" w:themeColor="text1"/>
          <w:sz w:val="16"/>
          <w:szCs w:val="16"/>
        </w:rPr>
        <w:softHyphen/>
        <w:t>ков, занимались только ракетной артиллерией — ракетными снарядами, действующими только на жидком топливе и жидком окислителе.</w:t>
      </w:r>
    </w:p>
    <w:p w14:paraId="3C909D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Эта целеустремленность подчеркивается еще тем обстоятельством, что помещавшаяся рядом с институтом станция испытания самолетов-снаря</w:t>
      </w:r>
      <w:r w:rsidRPr="00F90EAE">
        <w:rPr>
          <w:color w:val="000000" w:themeColor="text1"/>
          <w:sz w:val="16"/>
          <w:szCs w:val="16"/>
        </w:rPr>
        <w:softHyphen/>
        <w:t>дов Фау-1 (по показаниям оставшихся в Пенемюнде бывших работников института) не имела никакого отношения к системе института и, в отли</w:t>
      </w:r>
      <w:r w:rsidRPr="00F90EAE">
        <w:rPr>
          <w:color w:val="000000" w:themeColor="text1"/>
          <w:sz w:val="16"/>
          <w:szCs w:val="16"/>
        </w:rPr>
        <w:softHyphen/>
        <w:t>чие от последнего, подчинялась непосредственно управлению военно-воздушных сил.</w:t>
      </w:r>
    </w:p>
    <w:p w14:paraId="1301EB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Институт задолго до прихода Красной Армии был эвакуирован в сред</w:t>
      </w:r>
      <w:r w:rsidRPr="00F90EAE">
        <w:rPr>
          <w:color w:val="000000" w:themeColor="text1"/>
          <w:sz w:val="16"/>
          <w:szCs w:val="16"/>
        </w:rPr>
        <w:softHyphen/>
        <w:t>нюю Германию (в Тюрингию), куда вывезено все производственное обо</w:t>
      </w:r>
      <w:r w:rsidRPr="00F90EAE">
        <w:rPr>
          <w:color w:val="000000" w:themeColor="text1"/>
          <w:sz w:val="16"/>
          <w:szCs w:val="16"/>
        </w:rPr>
        <w:softHyphen/>
        <w:t>рудование, основные кадры сотрудников во главе с профессором фон Бра</w:t>
      </w:r>
      <w:r w:rsidRPr="00F90EAE">
        <w:rPr>
          <w:color w:val="000000" w:themeColor="text1"/>
          <w:sz w:val="16"/>
          <w:szCs w:val="16"/>
        </w:rPr>
        <w:softHyphen/>
        <w:t>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BC3EC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оставшимся сооружениям, найденным деталям снарядов и опросу оставшихся (второстепенных) работников института можно сделать сле</w:t>
      </w:r>
      <w:r w:rsidRPr="00F90EAE">
        <w:rPr>
          <w:color w:val="000000" w:themeColor="text1"/>
          <w:sz w:val="16"/>
          <w:szCs w:val="16"/>
        </w:rPr>
        <w:softHyphen/>
        <w:t>дующие заключения:</w:t>
      </w:r>
    </w:p>
    <w:p w14:paraId="36543C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Основной тематикой работы института была отработка дальнобой</w:t>
      </w:r>
      <w:r w:rsidRPr="00F90EAE">
        <w:rPr>
          <w:color w:val="000000" w:themeColor="text1"/>
          <w:sz w:val="16"/>
          <w:szCs w:val="16"/>
        </w:rPr>
        <w:softHyphen/>
        <w:t>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w:t>
      </w:r>
      <w:r w:rsidRPr="00F90EAE">
        <w:rPr>
          <w:color w:val="000000" w:themeColor="text1"/>
          <w:sz w:val="16"/>
          <w:szCs w:val="16"/>
        </w:rPr>
        <w:softHyphen/>
        <w:t>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w:t>
      </w:r>
      <w:r w:rsidRPr="00F90EAE">
        <w:rPr>
          <w:color w:val="000000" w:themeColor="text1"/>
          <w:sz w:val="16"/>
          <w:szCs w:val="16"/>
        </w:rPr>
        <w:softHyphen/>
        <w:t>шению кучности и увеличению дальности снарядов Фау-2 до 550-600 км.</w:t>
      </w:r>
    </w:p>
    <w:p w14:paraId="58A7597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 институте велась разработка ракетных зенитных снарядов с радио</w:t>
      </w:r>
      <w:r w:rsidRPr="00F90EAE">
        <w:rPr>
          <w:color w:val="000000" w:themeColor="text1"/>
          <w:sz w:val="16"/>
          <w:szCs w:val="16"/>
        </w:rPr>
        <w:softHyphen/>
        <w:t>управлением. По форме ракетный зенитный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2720D8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результате работы комиссии обнаружены снаряды, а также некоторые чертежи, которые позволяют изучить устройство и действие немецких ра</w:t>
      </w:r>
      <w:r w:rsidRPr="00F90EAE">
        <w:rPr>
          <w:color w:val="000000" w:themeColor="text1"/>
          <w:sz w:val="16"/>
          <w:szCs w:val="16"/>
        </w:rPr>
        <w:softHyphen/>
        <w:t>кетных снарядов, установить тенденции в их развитии и учесть опыт их разработки.</w:t>
      </w:r>
    </w:p>
    <w:p w14:paraId="3212AA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 материалов обследования германского института ракетного воору</w:t>
      </w:r>
      <w:r w:rsidRPr="00F90EAE">
        <w:rPr>
          <w:color w:val="000000" w:themeColor="text1"/>
          <w:sz w:val="16"/>
          <w:szCs w:val="16"/>
        </w:rPr>
        <w:softHyphen/>
        <w:t>жения в Пенемюнде видно, что работа по созданию Фау-2 и других типов ракетных снарядов имеет артиллерийский профиль, и поэтому ее целесо</w:t>
      </w:r>
      <w:r w:rsidRPr="00F90EAE">
        <w:rPr>
          <w:color w:val="000000" w:themeColor="text1"/>
          <w:sz w:val="16"/>
          <w:szCs w:val="16"/>
        </w:rPr>
        <w:softHyphen/>
        <w:t>образно поручить Народному комиссариату боеприпасов, передав ему все сохранившееся оборудование института в г. Пенемюнде.</w:t>
      </w:r>
    </w:p>
    <w:p w14:paraId="1114097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Шахурин</w:t>
      </w:r>
    </w:p>
    <w:p w14:paraId="48BC4DF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Помета: «В секр. архив. О вывозе оборудования института в Пенемюнде принято постановление ГОКО. Институт вывозится для НКБ 10.06.45».</w:t>
      </w:r>
    </w:p>
    <w:p w14:paraId="7B088D0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АП РФ. Ф. 3. Оп. 47. Д. 182. Лл. 70-72. Подлинник. На бланке Народного комиссара авиационной промышленности № Н-22/2524 от 8 июня 1945 г. Подпись — автограф (11751).</w:t>
      </w:r>
    </w:p>
    <w:p w14:paraId="1216D5C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1150359" w14:textId="77777777" w:rsidR="004A092D" w:rsidRPr="00F90EAE" w:rsidRDefault="004A092D" w:rsidP="00F90EAE">
      <w:pPr>
        <w:jc w:val="both"/>
        <w:rPr>
          <w:color w:val="000000" w:themeColor="text1"/>
          <w:sz w:val="16"/>
          <w:szCs w:val="16"/>
        </w:rPr>
      </w:pPr>
      <w:r w:rsidRPr="00F90EAE">
        <w:rPr>
          <w:color w:val="000000" w:themeColor="text1"/>
          <w:sz w:val="16"/>
          <w:szCs w:val="16"/>
        </w:rPr>
        <w:t xml:space="preserve">8 июля 1945 г. шезависимо от СВАГ постановлением ГОКО № 9475 создается Специальная техническая комиссия по изучению немецкого реактивного вооружения под руководством генерал-майора Л. М. Гайдукова. Вскоре Совет Министров СССР создает группу уполномоченного Особого комитета по Германии генерал-майора Н. Э. Носовского. Работа проводилась системно и по нескольким направлениям: – поиск и вывоз реактивной техники, ее фрагментов и заводского оборудования; – поиск и вывоз немецких специалистов по ракетной технике; – создание специальных научно-технических структур в Германии для освоения новых технологий с использованием немецких специалистов на месте; – работа с патентами и закупка германских изобретений; – иные формы работы (проведение в СВАГ Ученых советов, организация в Советском Союзе выставок трофейного вооружения, выпуск Военным издательством серии книг «Обзоры трофейной техники» и т. п.). География «точек вывоза» образцов ракетной техники была достаточно обширна. Берлин. В немецком исследовательском центре «Люфтваффе» в Адлерсгофе обнаружили рулевые машинки для «Фау-2» и ряд приборов. Интересными оказались лаборатории и заводы «Аскания», «Телефункен», «Лоренц», «Сименс», «Йен-радио». Проблемами изучения зенитных управляемых снарядов занимался коллектив созданного института «Берлин». Пенемюнде. Из Германского реактивного научно-исследовательского института все оборудование было демонтировано и вывезено в Тюрингию (частично на полигон в Близну в Польше), а оставшееся было приведено в совершенно негодное состояние зондеркомандой СС. Тем не менее, удалось обнаружить несколько реактивных снарядов и чертежи, позволявшие изучить их устройство и понять логику разработки. Кроме того, был обнаружен отчет «Дальний бомбардировщик с ракетным двигателем». Отчет был переведен, изучен, а в 1946 г. опубликован Военным издательством в серии «Обзор трофейной техники». Тюрингия. В соответствии с решением Крымской конференции Тюрингия должна была войти в советскую оккупационную зону. Однако в реальности получилось иначе. Советские войска постарались решить политическую задачу — занять Берлин первыми. А союзники сосредоточили свои усилия для занятия Южной Тюрингии, где были сосредоточены основные заводы по сборке ракет и комплектующих элементов. В результате американцы вывезли Южной Тюрингии около 100 совершенно целых и готовых к запуску ракет «Фау-2» и около 1000 т различного оборудования. Большое количество ракет отправили в Великобританию. Американцам предложили свои услуги большинство разработчиков и испытателей ракет во главе с Вернером фон Брауном. Наконец, произошла перегруппировка американских и советских войск так, чтобы оказались выполнены решения Крымской конференции о зонах оккупации. Советским специалистам досталось проводить тщательную работу по выявлению техники и документации, не обнаруженных американцами. Но это уже были вторичные трофеи. Нордхаузен. Город первыми заняли американские войска, которые забрали только полностью собранные ракеты. Оборудование американцы оставили нетронутым. Из имевшихся комплектующих можно было собрать около десятка ракет. Оборудование и комплектующие остались советским войскам. В городе в четырех штольнях располагался подземный завод. В двух штольнях производились авиационные турбореактивные двигатели, в третьей штольне — крылатые ракеты «Фау-1», в четвертой штольне — ракеты «Фау-2» (А-4). После того, как была поставлена на учет ракетная техника, которую не успели </w:t>
      </w:r>
      <w:r w:rsidRPr="00F90EAE">
        <w:rPr>
          <w:color w:val="000000" w:themeColor="text1"/>
          <w:sz w:val="16"/>
          <w:szCs w:val="16"/>
        </w:rPr>
        <w:lastRenderedPageBreak/>
        <w:t>вывезти американцы, собраны оставшиеся немецкие специалисты, было принято решение создать на их основе во главе с прибывшими советскими специалистами отдельный институт. Институт «Рабе»/»Нордхаузен». Возглавил институт Б. Е. Черток. Институт начал работу в августе 1945 г. В 1946 г. было принято решение на базе института «Рабе» создать более масштабную организацию — институт «Нордхаузен» под руководством Л. М. Гайдукова и главного инженера С. П. Королева. Прага. Особое значение имела архивная военно-техническая документация, которая содержала, в частности, материалы о новейших немецких разработках в области ракетостроения. Немцы эвакуировали свой военно-технический архив в П рагу. Группе во главе с В. П . Барминым удалось отследить передвижение поезда и в октябре 1945 г. отправить из Праги все 60 вагонов в Москву в распоряжение Особого комитета при Совете народных комиссаров по Германии. Впервые задача поиска немецких военных ученых и изобретателей была поставлена в приказе Главноначальствующего СВАГ № 09 от 18 июля 1945 г., который требовал выявить и взять на учет всех конструкторов, изобретателей и научных работников, занятых в военной промышленности и в военных структурах Германии. Большую помощь оказали данные Главного разведывательного управления Генштаба Красной Армии о крупных немецких специалистах, занятых в военной промышленности Германии. Такой же работой занимался Технический отдел СВАГ. Еще одно направление трансферта знаний в области ракетной техники — розыск и отправка в СССР немецкой патентной документации и приобретение прав на немецкие научно-технические изобретения. Германия занимала лидирующее положение в мире по количеству выданных патентов на изобретения. В довоенное время германское правительство оформляло до 70 тыс. патентов в год. На день капитуляции Германии в немецком Патентном ведомстве имелось 180 тыс. еще не рассмотренных заявок на получение патентов — почти трехлетняя норма по мирному времени. Поиск немецкой патентной документации и отправка ее в Советский Союз начались немедленно. Что же касается выдачи патентов и авторских свидетельств в советской зоне оккупации, а также защиты технических новинок, разрабатываемых германскими специалистами по заданию советских организаций, то с этим дело обстояло сложнее. В советской стране патенты считались «буржуазным пережитком», специалистов по патентному праву почти не было. Эта работа разворачивалась «с чистого листа». Тем не менее, удалось много сделать не без пользы для развития не только ракетной техники, но и патентного права в СССР [8, с. 111– 117, 434–439]. До 1949 г. в советской зоне оккупации велась плановая научно-техническая работа. Однако ракетная тематика была полностью переведена в Советский Союз, где заложили все необходимое для создания в СССР ракетной, а затем ракетно-космической отрасли промышленности (19800).</w:t>
      </w:r>
    </w:p>
    <w:p w14:paraId="6E2E3A0E" w14:textId="77777777" w:rsidR="004A092D" w:rsidRPr="00F90EAE" w:rsidRDefault="004A092D" w:rsidP="00F90EAE">
      <w:pPr>
        <w:jc w:val="both"/>
        <w:rPr>
          <w:color w:val="000000" w:themeColor="text1"/>
          <w:sz w:val="16"/>
          <w:szCs w:val="16"/>
        </w:rPr>
      </w:pPr>
    </w:p>
    <w:p w14:paraId="7E762B49" w14:textId="77777777" w:rsidR="004A092D" w:rsidRPr="00F90EAE" w:rsidRDefault="004A092D" w:rsidP="00F90EAE">
      <w:pPr>
        <w:jc w:val="both"/>
        <w:rPr>
          <w:color w:val="000000" w:themeColor="text1"/>
          <w:sz w:val="16"/>
          <w:szCs w:val="16"/>
        </w:rPr>
      </w:pPr>
      <w:r w:rsidRPr="00F90EAE">
        <w:rPr>
          <w:color w:val="000000" w:themeColor="text1"/>
          <w:sz w:val="16"/>
          <w:szCs w:val="16"/>
        </w:rPr>
        <w:t>8 июня 1945г.</w:t>
      </w:r>
    </w:p>
    <w:p w14:paraId="166787A2" w14:textId="77777777" w:rsidR="004A092D" w:rsidRPr="00F90EAE" w:rsidRDefault="004A092D" w:rsidP="00F90EAE">
      <w:pPr>
        <w:jc w:val="both"/>
        <w:rPr>
          <w:color w:val="000000" w:themeColor="text1"/>
          <w:sz w:val="16"/>
          <w:szCs w:val="16"/>
        </w:rPr>
      </w:pPr>
      <w:r w:rsidRPr="00F90EAE">
        <w:rPr>
          <w:color w:val="000000" w:themeColor="text1"/>
          <w:sz w:val="16"/>
          <w:szCs w:val="16"/>
        </w:rPr>
        <w:t>О результатах обследования германского реактивного научно-исследовательского института в Пенемюнде</w:t>
      </w:r>
    </w:p>
    <w:p w14:paraId="1CCB0BEC" w14:textId="77777777" w:rsidR="004A092D" w:rsidRPr="00F90EAE" w:rsidRDefault="004A092D" w:rsidP="00F90EAE">
      <w:pPr>
        <w:jc w:val="both"/>
        <w:rPr>
          <w:color w:val="000000" w:themeColor="text1"/>
          <w:sz w:val="16"/>
          <w:szCs w:val="16"/>
        </w:rPr>
      </w:pPr>
      <w:r w:rsidRPr="00F90EAE">
        <w:rPr>
          <w:color w:val="000000" w:themeColor="text1"/>
          <w:sz w:val="16"/>
          <w:szCs w:val="16"/>
        </w:rPr>
        <w:t>Докладная записка А.И. Шахурина Г.Н. Маленкову от 8 июня 1945 г. о результатах обследования германского реактивного научно-исследовательского института в Пенемюнде</w:t>
      </w:r>
    </w:p>
    <w:p w14:paraId="34952DCF" w14:textId="77777777" w:rsidR="004A092D" w:rsidRPr="00F90EAE" w:rsidRDefault="004A092D" w:rsidP="00F90EAE">
      <w:pPr>
        <w:jc w:val="both"/>
        <w:rPr>
          <w:color w:val="000000" w:themeColor="text1"/>
          <w:sz w:val="16"/>
          <w:szCs w:val="16"/>
        </w:rPr>
      </w:pPr>
      <w:r w:rsidRPr="00F90EAE">
        <w:rPr>
          <w:color w:val="000000" w:themeColor="text1"/>
          <w:sz w:val="16"/>
          <w:szCs w:val="16"/>
        </w:rPr>
        <w:t>8 июня 1945г.</w:t>
      </w:r>
    </w:p>
    <w:p w14:paraId="5A0B2634" w14:textId="77777777" w:rsidR="004A092D" w:rsidRPr="00F90EAE" w:rsidRDefault="004A092D" w:rsidP="00F90EAE">
      <w:pPr>
        <w:jc w:val="both"/>
        <w:rPr>
          <w:color w:val="000000" w:themeColor="text1"/>
          <w:sz w:val="16"/>
          <w:szCs w:val="16"/>
        </w:rPr>
      </w:pPr>
      <w:r w:rsidRPr="00F90EAE">
        <w:rPr>
          <w:color w:val="000000" w:themeColor="text1"/>
          <w:sz w:val="16"/>
          <w:szCs w:val="16"/>
        </w:rPr>
        <w:t>Секретно</w:t>
      </w:r>
    </w:p>
    <w:p w14:paraId="78C58815" w14:textId="77777777" w:rsidR="004A092D" w:rsidRPr="00F90EAE" w:rsidRDefault="004A092D" w:rsidP="00F90EAE">
      <w:pPr>
        <w:jc w:val="both"/>
        <w:rPr>
          <w:color w:val="000000" w:themeColor="text1"/>
          <w:sz w:val="16"/>
          <w:szCs w:val="16"/>
        </w:rPr>
      </w:pPr>
      <w:r w:rsidRPr="00F90EAE">
        <w:rPr>
          <w:color w:val="000000" w:themeColor="text1"/>
          <w:sz w:val="16"/>
          <w:szCs w:val="16"/>
        </w:rPr>
        <w:t>Государственный Комитет Обороны</w:t>
      </w:r>
    </w:p>
    <w:p w14:paraId="4D027CBF" w14:textId="77777777" w:rsidR="004A092D" w:rsidRPr="00F90EAE" w:rsidRDefault="004A092D" w:rsidP="00F90EAE">
      <w:pPr>
        <w:jc w:val="both"/>
        <w:rPr>
          <w:color w:val="000000" w:themeColor="text1"/>
          <w:sz w:val="16"/>
          <w:szCs w:val="16"/>
        </w:rPr>
      </w:pPr>
      <w:r w:rsidRPr="00F90EAE">
        <w:rPr>
          <w:color w:val="000000" w:themeColor="text1"/>
          <w:sz w:val="16"/>
          <w:szCs w:val="16"/>
        </w:rPr>
        <w:t>товарищу Маленкову Г.Н.</w:t>
      </w:r>
    </w:p>
    <w:p w14:paraId="7378939C" w14:textId="77777777" w:rsidR="004A092D" w:rsidRPr="00F90EAE" w:rsidRDefault="004A092D" w:rsidP="00F90EAE">
      <w:pPr>
        <w:jc w:val="both"/>
        <w:rPr>
          <w:color w:val="000000" w:themeColor="text1"/>
          <w:sz w:val="16"/>
          <w:szCs w:val="16"/>
        </w:rPr>
      </w:pPr>
      <w:r w:rsidRPr="00F90EAE">
        <w:rPr>
          <w:color w:val="000000" w:themeColor="text1"/>
          <w:sz w:val="16"/>
          <w:szCs w:val="16"/>
        </w:rPr>
        <w:t>Докладываю Вам результаты обследования германского научно-исследовательского института ракетного вооружения в Пенемюнде, произведенного заместителем начальника НИИ-1 профессором Абрамовичем Г.Н., который был послан в Германию с комиссией генерал-майора Петрова Н.И.</w:t>
      </w:r>
    </w:p>
    <w:p w14:paraId="73C3BAE9" w14:textId="77777777" w:rsidR="004A092D" w:rsidRPr="00F90EAE" w:rsidRDefault="004A092D" w:rsidP="00F90EAE">
      <w:pPr>
        <w:jc w:val="both"/>
        <w:rPr>
          <w:color w:val="000000" w:themeColor="text1"/>
          <w:sz w:val="16"/>
          <w:szCs w:val="16"/>
        </w:rPr>
      </w:pPr>
      <w:r w:rsidRPr="00F90EAE">
        <w:rPr>
          <w:color w:val="000000" w:themeColor="text1"/>
          <w:sz w:val="16"/>
          <w:szCs w:val="16"/>
        </w:rPr>
        <w:t>Институт в Пенемюнде представляет собой огромный комбинат, занимавшийся разработкой и испытанием ракетных снарядов.</w:t>
      </w:r>
    </w:p>
    <w:p w14:paraId="36E66492" w14:textId="77777777" w:rsidR="004A092D" w:rsidRPr="00F90EAE" w:rsidRDefault="004A092D" w:rsidP="00F90EAE">
      <w:pPr>
        <w:jc w:val="both"/>
        <w:rPr>
          <w:color w:val="000000" w:themeColor="text1"/>
          <w:sz w:val="16"/>
          <w:szCs w:val="16"/>
        </w:rPr>
      </w:pPr>
      <w:r w:rsidRPr="00F90EAE">
        <w:rPr>
          <w:color w:val="000000" w:themeColor="text1"/>
          <w:sz w:val="16"/>
          <w:szCs w:val="16"/>
        </w:rPr>
        <w:t>Институт располагался на территории площадью около 80 кв. километров, имея более 150 зданий и сооружений общей площадью более 200 тысяч квадратных метров. Мощность сохранившейся электростанции института 30 тысяч киловатт. Число сотрудников и рабочих в институте доходило до 7 500 человек.</w:t>
      </w:r>
    </w:p>
    <w:p w14:paraId="3FAD0C7B" w14:textId="77777777" w:rsidR="004A092D" w:rsidRPr="00F90EAE" w:rsidRDefault="004A092D" w:rsidP="00F90EAE">
      <w:pPr>
        <w:jc w:val="both"/>
        <w:rPr>
          <w:color w:val="000000" w:themeColor="text1"/>
          <w:sz w:val="16"/>
          <w:szCs w:val="16"/>
        </w:rPr>
      </w:pPr>
      <w:r w:rsidRPr="00F90EAE">
        <w:rPr>
          <w:color w:val="000000" w:themeColor="text1"/>
          <w:sz w:val="16"/>
          <w:szCs w:val="16"/>
        </w:rPr>
        <w:t>Институт входил систему управления вооружения Рейхсвера. Руководил им специальный уполномоченный Гитлера генерал СС Каммлер (заместитель Гиммлера). Координацией работы института и промышленности ведал представитель министра вооружений Шпеера. Научным руководителем институты был профессор фон Браун, который работал над ракетными снарядами еще 1932 года. Строительство института в Пенемюнде началось в 1935 году. Масштабы работы института можно оценить по 11 гигантским стендам высотою до 30 метров, которые легко вмещали для различного характера испытаний (в том числе и при действующих двигателях) такие крупные снаряды, как </w:t>
      </w:r>
      <w:hyperlink r:id="rId144" w:history="1">
        <w:r w:rsidRPr="00F90EAE">
          <w:rPr>
            <w:rStyle w:val="a5"/>
            <w:color w:val="000000" w:themeColor="text1"/>
            <w:sz w:val="16"/>
            <w:szCs w:val="16"/>
          </w:rPr>
          <w:t>Фау-2</w:t>
        </w:r>
      </w:hyperlink>
      <w:r w:rsidRPr="00F90EAE">
        <w:rPr>
          <w:color w:val="000000" w:themeColor="text1"/>
          <w:sz w:val="16"/>
          <w:szCs w:val="16"/>
        </w:rPr>
        <w:t>, в натуральную величину. Стенды были оборудованы водоохлаждаемыми стенками, динамометрами для измерения сил, действующих на снаряды, приборами для измерения угловых ускорений свободноподвешенного снаряда, аппаратурой для тепловых измерений и т.п.</w:t>
      </w:r>
    </w:p>
    <w:p w14:paraId="6CC4A38C" w14:textId="77777777" w:rsidR="004A092D" w:rsidRPr="00F90EAE" w:rsidRDefault="004A092D" w:rsidP="00F90EAE">
      <w:pPr>
        <w:jc w:val="both"/>
        <w:rPr>
          <w:color w:val="000000" w:themeColor="text1"/>
          <w:sz w:val="16"/>
          <w:szCs w:val="16"/>
        </w:rPr>
      </w:pPr>
      <w:r w:rsidRPr="00F90EAE">
        <w:rPr>
          <w:color w:val="000000" w:themeColor="text1"/>
          <w:sz w:val="16"/>
          <w:szCs w:val="16"/>
        </w:rPr>
        <w:t>Обращает на себя внимание исключительная целеустремленность работ института. Здесь, не смотря на большую мощь и большое число сотрудников, занимались только ракетной артиллерией — ракетными снарядами, действующими только на жидком топливе и жидком окислителе.</w:t>
      </w:r>
    </w:p>
    <w:p w14:paraId="4EC31C08" w14:textId="77777777" w:rsidR="004A092D" w:rsidRPr="00F90EAE" w:rsidRDefault="004A092D" w:rsidP="00F90EAE">
      <w:pPr>
        <w:jc w:val="both"/>
        <w:rPr>
          <w:color w:val="000000" w:themeColor="text1"/>
          <w:sz w:val="16"/>
          <w:szCs w:val="16"/>
        </w:rPr>
      </w:pPr>
      <w:r w:rsidRPr="00F90EAE">
        <w:rPr>
          <w:color w:val="000000" w:themeColor="text1"/>
          <w:sz w:val="16"/>
          <w:szCs w:val="16"/>
        </w:rPr>
        <w:t>Эта целеустремленность подчеркивается еще тем обстоятельством, что помещавшаяся рядом с институтом станция испытания самолетов–снарядов Фау-1 (по показаниям оставшихся в Пенемюнде бывших работников института) не имела никакого отношения к системе института и, в отличие от последнего, подчинялись непосредственно управлению военно-воздушных сил.</w:t>
      </w:r>
    </w:p>
    <w:p w14:paraId="2E174795" w14:textId="77777777" w:rsidR="004A092D" w:rsidRPr="00F90EAE" w:rsidRDefault="004A092D" w:rsidP="00F90EAE">
      <w:pPr>
        <w:jc w:val="both"/>
        <w:rPr>
          <w:color w:val="000000" w:themeColor="text1"/>
          <w:sz w:val="16"/>
          <w:szCs w:val="16"/>
        </w:rPr>
      </w:pPr>
      <w:r w:rsidRPr="00F90EAE">
        <w:rPr>
          <w:color w:val="000000" w:themeColor="text1"/>
          <w:sz w:val="16"/>
          <w:szCs w:val="16"/>
        </w:rPr>
        <w:t>Институт задолго до прихода Красной Армии был эвакуирован в среднюю Германию (в Тюрингию), куда было вывезено все производственное оборудование, основные кадры сотрудников во главе с профессором фон Брауном и вся лабораторно-испытательная аппаратура. Остались на месте крупные испытательные стенды с тяжелым оборудованием, цистерны с различными топливами и окислителями, полностью сохранившиеся два больших кислородных завода, действующая электростанция и детали от различных ракетных снарядов.</w:t>
      </w:r>
    </w:p>
    <w:p w14:paraId="4E21EF74" w14:textId="77777777" w:rsidR="004A092D" w:rsidRPr="00F90EAE" w:rsidRDefault="004A092D" w:rsidP="00F90EAE">
      <w:pPr>
        <w:jc w:val="both"/>
        <w:rPr>
          <w:color w:val="000000" w:themeColor="text1"/>
          <w:sz w:val="16"/>
          <w:szCs w:val="16"/>
        </w:rPr>
      </w:pPr>
      <w:r w:rsidRPr="00F90EAE">
        <w:rPr>
          <w:color w:val="000000" w:themeColor="text1"/>
          <w:sz w:val="16"/>
          <w:szCs w:val="16"/>
        </w:rPr>
        <w:t>По оставшимся сооружениям, найденным деталям снарядов и опросу оставшихся (второстепенных) работников института можно сделать следующие заключения:</w:t>
      </w:r>
    </w:p>
    <w:p w14:paraId="06EC0432" w14:textId="77777777" w:rsidR="004A092D" w:rsidRPr="00F90EAE" w:rsidRDefault="004A092D" w:rsidP="00F90EAE">
      <w:pPr>
        <w:jc w:val="both"/>
        <w:rPr>
          <w:color w:val="000000" w:themeColor="text1"/>
          <w:sz w:val="16"/>
          <w:szCs w:val="16"/>
        </w:rPr>
      </w:pPr>
      <w:r w:rsidRPr="00F90EAE">
        <w:rPr>
          <w:color w:val="000000" w:themeColor="text1"/>
          <w:sz w:val="16"/>
          <w:szCs w:val="16"/>
        </w:rPr>
        <w:t>Основной тематикой работы института была отработка дальнобойных снарядов Фау-2 (длиной 14 метров) с дальностью стрельбы 300-350 км. Снаряды эти были разработаны еще в 1942 году на двигателе со спиртом в качестве топлива и жидким кислородом в качестве окислителя. Однако в полете эти снаряды давали преждевременные разрывы и недостаточно точно управлялись по радио, что удалось устранить лишь в конце 1944 года, после чего они нашли применение при бомбардировках Лондона (техническое наименование этого снаряда — А-4). Велась работа по улучшению кучности и увеличению дальности снарядов Фау-2 до 550-600 км.</w:t>
      </w:r>
    </w:p>
    <w:p w14:paraId="2769977B" w14:textId="77777777" w:rsidR="004A092D" w:rsidRPr="00F90EAE" w:rsidRDefault="004A092D" w:rsidP="00F90EAE">
      <w:pPr>
        <w:jc w:val="both"/>
        <w:rPr>
          <w:color w:val="000000" w:themeColor="text1"/>
          <w:sz w:val="16"/>
          <w:szCs w:val="16"/>
        </w:rPr>
      </w:pPr>
      <w:r w:rsidRPr="00F90EAE">
        <w:rPr>
          <w:color w:val="000000" w:themeColor="text1"/>
          <w:sz w:val="16"/>
          <w:szCs w:val="16"/>
        </w:rPr>
        <w:t>В институте велась разработка ракетных зенитных снарядов с радиоуправлением. По форме зенитный ракетный снаряд напоминает снаряд Фау-2, но отличается от него меньшими размерами (длина 8 метров). Двигатель работает на азотной кислоте в качестве окислителя (кислород не пригоден для зенитного снаряда из-за своей быстрой испаряемости, тогда как зенитный снаряд должен долго храниться в состоянии полной готовности к стрельбе).</w:t>
      </w:r>
    </w:p>
    <w:p w14:paraId="18E50EB2" w14:textId="77777777" w:rsidR="004A092D" w:rsidRPr="00F90EAE" w:rsidRDefault="004A092D" w:rsidP="00F90EAE">
      <w:pPr>
        <w:jc w:val="both"/>
        <w:rPr>
          <w:color w:val="000000" w:themeColor="text1"/>
          <w:sz w:val="16"/>
          <w:szCs w:val="16"/>
        </w:rPr>
      </w:pPr>
      <w:r w:rsidRPr="00F90EAE">
        <w:rPr>
          <w:color w:val="000000" w:themeColor="text1"/>
          <w:sz w:val="16"/>
          <w:szCs w:val="16"/>
        </w:rPr>
        <w:t>В результате работы комиссии обнаружены снаряды, а также некоторые чертежи, которые позволяют изучить устройство и действие немецких ракетных снарядов, установить тенденции в их развитии и учесть опыт их разработки.</w:t>
      </w:r>
    </w:p>
    <w:p w14:paraId="2671814E" w14:textId="77777777" w:rsidR="004A092D" w:rsidRPr="00F90EAE" w:rsidRDefault="004A092D" w:rsidP="00F90EAE">
      <w:pPr>
        <w:jc w:val="both"/>
        <w:rPr>
          <w:color w:val="000000" w:themeColor="text1"/>
          <w:sz w:val="16"/>
          <w:szCs w:val="16"/>
        </w:rPr>
      </w:pPr>
      <w:r w:rsidRPr="00F90EAE">
        <w:rPr>
          <w:color w:val="000000" w:themeColor="text1"/>
          <w:sz w:val="16"/>
          <w:szCs w:val="16"/>
        </w:rPr>
        <w:t>Из материалов обследования германского института ракетного вооружения в Пенемюнде видно, что работа по созданию Фау-2 и других типов ракетных снарядов имеет артиллерийский профиль, и поэтому ее целесообразно поручить Народному комиссариату боеприпасов, передав ему все сохранившееся оборудование института в г. Пенемюнде.</w:t>
      </w:r>
    </w:p>
    <w:p w14:paraId="6B7A617A" w14:textId="77777777" w:rsidR="004A092D" w:rsidRPr="00F90EAE" w:rsidRDefault="004A092D" w:rsidP="00F90EAE">
      <w:pPr>
        <w:jc w:val="both"/>
        <w:rPr>
          <w:color w:val="000000" w:themeColor="text1"/>
          <w:sz w:val="16"/>
          <w:szCs w:val="16"/>
        </w:rPr>
      </w:pPr>
      <w:r w:rsidRPr="00F90EAE">
        <w:rPr>
          <w:color w:val="000000" w:themeColor="text1"/>
          <w:sz w:val="16"/>
          <w:szCs w:val="16"/>
        </w:rPr>
        <w:t>А. Шахурин (19623).</w:t>
      </w:r>
    </w:p>
    <w:p w14:paraId="50FA84D9" w14:textId="77777777" w:rsidR="004A092D" w:rsidRPr="00F90EAE" w:rsidRDefault="004A092D" w:rsidP="00F90EAE">
      <w:pPr>
        <w:jc w:val="both"/>
        <w:rPr>
          <w:color w:val="000000" w:themeColor="text1"/>
          <w:sz w:val="16"/>
          <w:szCs w:val="16"/>
        </w:rPr>
      </w:pPr>
    </w:p>
    <w:p w14:paraId="35C758A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BA157D0" w14:textId="77777777" w:rsidR="006103B3" w:rsidRPr="00F90EAE" w:rsidRDefault="006103B3" w:rsidP="00F90EAE">
      <w:pPr>
        <w:autoSpaceDE w:val="0"/>
        <w:autoSpaceDN w:val="0"/>
        <w:adjustRightInd w:val="0"/>
        <w:jc w:val="both"/>
        <w:rPr>
          <w:iCs/>
          <w:color w:val="000000" w:themeColor="text1"/>
          <w:sz w:val="16"/>
          <w:szCs w:val="16"/>
        </w:rPr>
      </w:pPr>
    </w:p>
    <w:p w14:paraId="37B2892D"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8 июня 1945 г. нарком промышленности стройматериалов Л. Соснин направил по поводу его судьбы письмо Н.А. Вознесенскому:</w:t>
      </w:r>
    </w:p>
    <w:p w14:paraId="5745492E"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 xml:space="preserve"> «Московский завод им. Войкова выпускал до войны ежегодно 600—700 тыс. кв. м отопительных радиаторов. В 1942 г. этот завод был временно передан в систему Наркомата Боеприпасов СССР. В настоящее время продукция, которую вырабатывал завод, с производства снимается. В связи с резким увеличением потребности в радиаторах для нужд восстановления жилого фонда, прошу СНК СССР возвратить завод им. Войкова из Наркомбоеприпасов в систему Наркомстройматериалов СССР, для восстановления на нем производства радиаторов. Проект распоряжения СНК СССР прилагается».</w:t>
      </w:r>
    </w:p>
    <w:p w14:paraId="18154EA4"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В ответ Ванников и поддержавший его заместитель председателя Госплана Борисов направили Вознесенскому свое письмо с возражениями:</w:t>
      </w:r>
    </w:p>
    <w:p w14:paraId="0476B6C2"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«По вашему поручению, в связи с письмом Наркомстройматериалов СССР (т. Соснина) № НВ-11903 от 8/VI-1945 года о возврате завода № 557 НКБ (им. Войкова) в систему НКПСМ для производства отопительных радиаторов, докладываем:</w:t>
      </w:r>
    </w:p>
    <w:p w14:paraId="594DE766"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1. Завод № 557 НКБ (им. Войкова) был передан Наркомату боеприпасов в апреле 1942 года для производства корпусов 76 мм снарядов сталистого чугуна. При этом основная часть оборудования для производства радиаторов и 27 чел. мастеров этого производства переданы заводам Наркомстройматериалов. За годы Отечественной войны производство корпусов 76 мм снарядов на заводе № 557 НКВ было усилено за счет переброски специального оборудования и рабочих с других заводов НКБ, дополнительной поставки оборудования по фондам НКБ и дополнительного получения рабочих по планам распределения рабочей силы для НКБ. Производство боеприпасов на этом заводе организовано на основе передовой технологии, механизации потока и всего технологического процесса, что дало возможность довести выпуск снарядов до 200 тыс. штук в месяц готовых корпусов и 150 тыс. штук в месяц поставки литья их на сторону.</w:t>
      </w:r>
    </w:p>
    <w:p w14:paraId="1CB3135E"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В результате этого совершенно изменился профиль завода. Из пяти ранее действовавших литейных цехов — три заняты под механические цеха с большим количеством станочного оборудования.</w:t>
      </w:r>
    </w:p>
    <w:p w14:paraId="1CFAB26D"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 xml:space="preserve">2. Учитывая, что постановлением ГОКО № 8804 сс от 26/V-1945 года все предприятия других наркоматов освобождены от производства корпусов 76 мм снарядов, считаем целесообразным сохранить завод № 557, как базу для производства корпусов 76 мм снарядов сталистого чугуна, в системе наркомата боеприпасов и обязать </w:t>
      </w:r>
      <w:r w:rsidRPr="00F90EAE">
        <w:rPr>
          <w:color w:val="000000" w:themeColor="text1"/>
          <w:sz w:val="16"/>
          <w:szCs w:val="16"/>
        </w:rPr>
        <w:lastRenderedPageBreak/>
        <w:t>НКБ на временно освобождающихся мощностях от производства боеприпасов, не нарушая механизации и потока по ним, организовать выпуск гражданской продукции, в том числе:</w:t>
      </w:r>
    </w:p>
    <w:tbl>
      <w:tblPr>
        <w:tblW w:w="7155"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65"/>
        <w:gridCol w:w="963"/>
        <w:gridCol w:w="877"/>
        <w:gridCol w:w="671"/>
        <w:gridCol w:w="1479"/>
      </w:tblGrid>
      <w:tr w:rsidR="00561F31" w:rsidRPr="00F90EAE" w14:paraId="7CE24B93" w14:textId="77777777" w:rsidTr="004E29EA">
        <w:trPr>
          <w:trHeight w:val="46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9BB8B1" w14:textId="77777777" w:rsidR="00D7144C" w:rsidRPr="00F90EAE" w:rsidRDefault="00D7144C" w:rsidP="00F90EAE">
            <w:pPr>
              <w:jc w:val="both"/>
              <w:rPr>
                <w:color w:val="000000" w:themeColor="text1"/>
                <w:sz w:val="16"/>
                <w:szCs w:val="16"/>
              </w:rPr>
            </w:pPr>
            <w:r w:rsidRPr="00F90EAE">
              <w:rPr>
                <w:color w:val="000000" w:themeColor="text1"/>
                <w:sz w:val="16"/>
                <w:szCs w:val="16"/>
              </w:rPr>
              <w:t> </w:t>
            </w:r>
          </w:p>
        </w:tc>
        <w:tc>
          <w:tcPr>
            <w:tcW w:w="963" w:type="dxa"/>
            <w:tcBorders>
              <w:top w:val="outset" w:sz="6" w:space="0" w:color="auto"/>
              <w:left w:val="outset" w:sz="6" w:space="0" w:color="auto"/>
              <w:bottom w:val="outset" w:sz="6" w:space="0" w:color="auto"/>
              <w:right w:val="outset" w:sz="6" w:space="0" w:color="auto"/>
            </w:tcBorders>
            <w:vAlign w:val="center"/>
            <w:hideMark/>
          </w:tcPr>
          <w:p w14:paraId="690947DF" w14:textId="77777777" w:rsidR="00D7144C" w:rsidRPr="00F90EAE" w:rsidRDefault="00D7144C" w:rsidP="00F90EAE">
            <w:pPr>
              <w:jc w:val="both"/>
              <w:rPr>
                <w:color w:val="000000" w:themeColor="text1"/>
                <w:sz w:val="16"/>
                <w:szCs w:val="16"/>
              </w:rPr>
            </w:pPr>
            <w:r w:rsidRPr="00F90EAE">
              <w:rPr>
                <w:rStyle w:val="a7"/>
                <w:b w:val="0"/>
                <w:color w:val="000000" w:themeColor="text1"/>
                <w:sz w:val="16"/>
                <w:szCs w:val="16"/>
              </w:rPr>
              <w:t>Един. измер.</w:t>
            </w:r>
          </w:p>
        </w:tc>
        <w:tc>
          <w:tcPr>
            <w:tcW w:w="877" w:type="dxa"/>
            <w:tcBorders>
              <w:top w:val="outset" w:sz="6" w:space="0" w:color="auto"/>
              <w:left w:val="outset" w:sz="6" w:space="0" w:color="auto"/>
              <w:bottom w:val="outset" w:sz="6" w:space="0" w:color="auto"/>
              <w:right w:val="outset" w:sz="6" w:space="0" w:color="auto"/>
            </w:tcBorders>
            <w:vAlign w:val="center"/>
            <w:hideMark/>
          </w:tcPr>
          <w:p w14:paraId="24173398" w14:textId="77777777" w:rsidR="00D7144C" w:rsidRPr="00F90EAE" w:rsidRDefault="00D7144C" w:rsidP="00F90EAE">
            <w:pPr>
              <w:jc w:val="both"/>
              <w:rPr>
                <w:color w:val="000000" w:themeColor="text1"/>
                <w:sz w:val="16"/>
                <w:szCs w:val="16"/>
              </w:rPr>
            </w:pPr>
            <w:r w:rsidRPr="00F90EAE">
              <w:rPr>
                <w:rStyle w:val="a7"/>
                <w:b w:val="0"/>
                <w:color w:val="000000" w:themeColor="text1"/>
                <w:sz w:val="16"/>
                <w:szCs w:val="16"/>
              </w:rPr>
              <w:t>1945</w:t>
            </w:r>
          </w:p>
        </w:tc>
        <w:tc>
          <w:tcPr>
            <w:tcW w:w="671" w:type="dxa"/>
            <w:tcBorders>
              <w:top w:val="outset" w:sz="6" w:space="0" w:color="auto"/>
              <w:left w:val="outset" w:sz="6" w:space="0" w:color="auto"/>
              <w:bottom w:val="outset" w:sz="6" w:space="0" w:color="auto"/>
              <w:right w:val="outset" w:sz="6" w:space="0" w:color="auto"/>
            </w:tcBorders>
            <w:vAlign w:val="center"/>
            <w:hideMark/>
          </w:tcPr>
          <w:p w14:paraId="2923122E" w14:textId="77777777" w:rsidR="00D7144C" w:rsidRPr="00F90EAE" w:rsidRDefault="00D7144C" w:rsidP="00F90EAE">
            <w:pPr>
              <w:jc w:val="both"/>
              <w:rPr>
                <w:color w:val="000000" w:themeColor="text1"/>
                <w:sz w:val="16"/>
                <w:szCs w:val="16"/>
              </w:rPr>
            </w:pPr>
            <w:r w:rsidRPr="00F90EAE">
              <w:rPr>
                <w:rStyle w:val="a7"/>
                <w:b w:val="0"/>
                <w:color w:val="000000" w:themeColor="text1"/>
                <w:sz w:val="16"/>
                <w:szCs w:val="16"/>
              </w:rPr>
              <w:t>1946</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17D3EE2" w14:textId="77777777" w:rsidR="00D7144C" w:rsidRPr="00F90EAE" w:rsidRDefault="00D7144C" w:rsidP="00F90EAE">
            <w:pPr>
              <w:jc w:val="both"/>
              <w:rPr>
                <w:color w:val="000000" w:themeColor="text1"/>
                <w:sz w:val="16"/>
                <w:szCs w:val="16"/>
              </w:rPr>
            </w:pPr>
            <w:r w:rsidRPr="00F90EAE">
              <w:rPr>
                <w:rStyle w:val="a7"/>
                <w:b w:val="0"/>
                <w:color w:val="000000" w:themeColor="text1"/>
                <w:sz w:val="16"/>
                <w:szCs w:val="16"/>
              </w:rPr>
              <w:t>Фактический выпуск в 1940 г.</w:t>
            </w:r>
          </w:p>
        </w:tc>
      </w:tr>
      <w:tr w:rsidR="00561F31" w:rsidRPr="00F90EAE" w14:paraId="6B3480E4" w14:textId="77777777" w:rsidTr="004E29EA">
        <w:trPr>
          <w:trHeight w:val="31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07A40B0" w14:textId="77777777" w:rsidR="00D7144C" w:rsidRPr="00F90EAE" w:rsidRDefault="00D7144C" w:rsidP="00F90EAE">
            <w:pPr>
              <w:jc w:val="both"/>
              <w:rPr>
                <w:color w:val="000000" w:themeColor="text1"/>
                <w:sz w:val="16"/>
                <w:szCs w:val="16"/>
              </w:rPr>
            </w:pPr>
            <w:r w:rsidRPr="00F90EAE">
              <w:rPr>
                <w:color w:val="000000" w:themeColor="text1"/>
                <w:sz w:val="16"/>
                <w:szCs w:val="16"/>
              </w:rPr>
              <w:t>Радиаторы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3D106433" w14:textId="77777777" w:rsidR="00D7144C" w:rsidRPr="00F90EAE" w:rsidRDefault="00D7144C" w:rsidP="00F90EAE">
            <w:pPr>
              <w:jc w:val="both"/>
              <w:rPr>
                <w:color w:val="000000" w:themeColor="text1"/>
                <w:sz w:val="16"/>
                <w:szCs w:val="16"/>
              </w:rPr>
            </w:pPr>
            <w:r w:rsidRPr="00F90EAE">
              <w:rPr>
                <w:color w:val="000000" w:themeColor="text1"/>
                <w:sz w:val="16"/>
                <w:szCs w:val="16"/>
              </w:rPr>
              <w:t>тыс. м</w:t>
            </w:r>
            <w:r w:rsidRPr="00F90EAE">
              <w:rPr>
                <w:color w:val="000000" w:themeColor="text1"/>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38E0BE36" w14:textId="77777777" w:rsidR="00D7144C" w:rsidRPr="00F90EAE" w:rsidRDefault="00D7144C" w:rsidP="00F90EAE">
            <w:pPr>
              <w:jc w:val="both"/>
              <w:rPr>
                <w:color w:val="000000" w:themeColor="text1"/>
                <w:sz w:val="16"/>
                <w:szCs w:val="16"/>
              </w:rPr>
            </w:pPr>
            <w:r w:rsidRPr="00F90EAE">
              <w:rPr>
                <w:color w:val="000000" w:themeColor="text1"/>
                <w:sz w:val="16"/>
                <w:szCs w:val="16"/>
              </w:rPr>
              <w:t>80</w:t>
            </w:r>
          </w:p>
        </w:tc>
        <w:tc>
          <w:tcPr>
            <w:tcW w:w="671" w:type="dxa"/>
            <w:tcBorders>
              <w:top w:val="outset" w:sz="6" w:space="0" w:color="auto"/>
              <w:left w:val="outset" w:sz="6" w:space="0" w:color="auto"/>
              <w:bottom w:val="outset" w:sz="6" w:space="0" w:color="auto"/>
              <w:right w:val="outset" w:sz="6" w:space="0" w:color="auto"/>
            </w:tcBorders>
            <w:vAlign w:val="center"/>
            <w:hideMark/>
          </w:tcPr>
          <w:p w14:paraId="20EDF49C" w14:textId="77777777" w:rsidR="00D7144C" w:rsidRPr="00F90EAE" w:rsidRDefault="00D7144C" w:rsidP="00F90EAE">
            <w:pPr>
              <w:jc w:val="both"/>
              <w:rPr>
                <w:color w:val="000000" w:themeColor="text1"/>
                <w:sz w:val="16"/>
                <w:szCs w:val="16"/>
              </w:rPr>
            </w:pPr>
            <w:r w:rsidRPr="00F90EAE">
              <w:rPr>
                <w:color w:val="000000" w:themeColor="text1"/>
                <w:sz w:val="16"/>
                <w:szCs w:val="16"/>
              </w:rPr>
              <w:t>250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63CDDA17" w14:textId="77777777" w:rsidR="00D7144C" w:rsidRPr="00F90EAE" w:rsidRDefault="00D7144C" w:rsidP="00F90EAE">
            <w:pPr>
              <w:jc w:val="both"/>
              <w:rPr>
                <w:color w:val="000000" w:themeColor="text1"/>
                <w:sz w:val="16"/>
                <w:szCs w:val="16"/>
              </w:rPr>
            </w:pPr>
            <w:r w:rsidRPr="00F90EAE">
              <w:rPr>
                <w:color w:val="000000" w:themeColor="text1"/>
                <w:sz w:val="16"/>
                <w:szCs w:val="16"/>
              </w:rPr>
              <w:t>450</w:t>
            </w:r>
          </w:p>
        </w:tc>
      </w:tr>
      <w:tr w:rsidR="00561F31" w:rsidRPr="00F90EAE" w14:paraId="0EA2AF6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5841912E" w14:textId="77777777" w:rsidR="00D7144C" w:rsidRPr="00F90EAE" w:rsidRDefault="00D7144C" w:rsidP="00F90EAE">
            <w:pPr>
              <w:jc w:val="both"/>
              <w:rPr>
                <w:color w:val="000000" w:themeColor="text1"/>
                <w:sz w:val="16"/>
                <w:szCs w:val="16"/>
              </w:rPr>
            </w:pPr>
            <w:r w:rsidRPr="00F90EAE">
              <w:rPr>
                <w:color w:val="000000" w:themeColor="text1"/>
                <w:sz w:val="16"/>
                <w:szCs w:val="16"/>
              </w:rPr>
              <w:t>Судовые иллюминаторы</w:t>
            </w:r>
          </w:p>
        </w:tc>
        <w:tc>
          <w:tcPr>
            <w:tcW w:w="963" w:type="dxa"/>
            <w:tcBorders>
              <w:top w:val="outset" w:sz="6" w:space="0" w:color="auto"/>
              <w:left w:val="outset" w:sz="6" w:space="0" w:color="auto"/>
              <w:bottom w:val="outset" w:sz="6" w:space="0" w:color="auto"/>
              <w:right w:val="outset" w:sz="6" w:space="0" w:color="auto"/>
            </w:tcBorders>
            <w:vAlign w:val="center"/>
            <w:hideMark/>
          </w:tcPr>
          <w:p w14:paraId="666B7058" w14:textId="77777777" w:rsidR="00D7144C" w:rsidRPr="00F90EAE" w:rsidRDefault="00D7144C" w:rsidP="00F90EAE">
            <w:pPr>
              <w:jc w:val="both"/>
              <w:rPr>
                <w:color w:val="000000" w:themeColor="text1"/>
                <w:sz w:val="16"/>
                <w:szCs w:val="16"/>
              </w:rPr>
            </w:pPr>
            <w:r w:rsidRPr="00F90EAE">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42C1C99E" w14:textId="77777777" w:rsidR="00D7144C" w:rsidRPr="00F90EAE" w:rsidRDefault="00D7144C" w:rsidP="00F90EAE">
            <w:pPr>
              <w:jc w:val="both"/>
              <w:rPr>
                <w:color w:val="000000" w:themeColor="text1"/>
                <w:sz w:val="16"/>
                <w:szCs w:val="16"/>
              </w:rPr>
            </w:pPr>
            <w:r w:rsidRPr="00F90EAE">
              <w:rPr>
                <w:color w:val="000000" w:themeColor="text1"/>
                <w:sz w:val="16"/>
                <w:szCs w:val="16"/>
              </w:rPr>
              <w:t>2</w:t>
            </w:r>
          </w:p>
        </w:tc>
        <w:tc>
          <w:tcPr>
            <w:tcW w:w="671" w:type="dxa"/>
            <w:tcBorders>
              <w:top w:val="outset" w:sz="6" w:space="0" w:color="auto"/>
              <w:left w:val="outset" w:sz="6" w:space="0" w:color="auto"/>
              <w:bottom w:val="outset" w:sz="6" w:space="0" w:color="auto"/>
              <w:right w:val="outset" w:sz="6" w:space="0" w:color="auto"/>
            </w:tcBorders>
            <w:vAlign w:val="center"/>
            <w:hideMark/>
          </w:tcPr>
          <w:p w14:paraId="1F609096" w14:textId="77777777" w:rsidR="00D7144C" w:rsidRPr="00F90EAE" w:rsidRDefault="00D7144C" w:rsidP="00F90EAE">
            <w:pPr>
              <w:jc w:val="both"/>
              <w:rPr>
                <w:color w:val="000000" w:themeColor="text1"/>
                <w:sz w:val="16"/>
                <w:szCs w:val="16"/>
              </w:rPr>
            </w:pPr>
            <w:r w:rsidRPr="00F90EAE">
              <w:rPr>
                <w:color w:val="000000" w:themeColor="text1"/>
                <w:sz w:val="16"/>
                <w:szCs w:val="16"/>
              </w:rPr>
              <w:t>8</w:t>
            </w:r>
          </w:p>
        </w:tc>
        <w:tc>
          <w:tcPr>
            <w:tcW w:w="1479" w:type="dxa"/>
            <w:tcBorders>
              <w:top w:val="outset" w:sz="6" w:space="0" w:color="auto"/>
              <w:left w:val="outset" w:sz="6" w:space="0" w:color="auto"/>
              <w:bottom w:val="outset" w:sz="6" w:space="0" w:color="auto"/>
              <w:right w:val="outset" w:sz="6" w:space="0" w:color="auto"/>
            </w:tcBorders>
            <w:vAlign w:val="center"/>
            <w:hideMark/>
          </w:tcPr>
          <w:p w14:paraId="56978A54"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r>
      <w:tr w:rsidR="00561F31" w:rsidRPr="00F90EAE" w14:paraId="49577F10" w14:textId="77777777" w:rsidTr="004E29EA">
        <w:trPr>
          <w:trHeight w:val="270"/>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230CC8E" w14:textId="77777777" w:rsidR="00D7144C" w:rsidRPr="00F90EAE" w:rsidRDefault="00D7144C" w:rsidP="00F90EAE">
            <w:pPr>
              <w:jc w:val="both"/>
              <w:rPr>
                <w:color w:val="000000" w:themeColor="text1"/>
                <w:sz w:val="16"/>
                <w:szCs w:val="16"/>
              </w:rPr>
            </w:pPr>
            <w:r w:rsidRPr="00F90EAE">
              <w:rPr>
                <w:color w:val="000000" w:themeColor="text1"/>
                <w:sz w:val="16"/>
                <w:szCs w:val="16"/>
              </w:rPr>
              <w:t>Тюбинги замковые для метро</w:t>
            </w:r>
          </w:p>
        </w:tc>
        <w:tc>
          <w:tcPr>
            <w:tcW w:w="963" w:type="dxa"/>
            <w:tcBorders>
              <w:top w:val="outset" w:sz="6" w:space="0" w:color="auto"/>
              <w:left w:val="outset" w:sz="6" w:space="0" w:color="auto"/>
              <w:bottom w:val="outset" w:sz="6" w:space="0" w:color="auto"/>
              <w:right w:val="outset" w:sz="6" w:space="0" w:color="auto"/>
            </w:tcBorders>
            <w:vAlign w:val="center"/>
            <w:hideMark/>
          </w:tcPr>
          <w:p w14:paraId="752422E6" w14:textId="77777777" w:rsidR="00D7144C" w:rsidRPr="00F90EAE" w:rsidRDefault="00D7144C" w:rsidP="00F90EAE">
            <w:pPr>
              <w:jc w:val="both"/>
              <w:rPr>
                <w:color w:val="000000" w:themeColor="text1"/>
                <w:sz w:val="16"/>
                <w:szCs w:val="16"/>
              </w:rPr>
            </w:pPr>
            <w:r w:rsidRPr="00F90EAE">
              <w:rPr>
                <w:color w:val="000000" w:themeColor="text1"/>
                <w:sz w:val="16"/>
                <w:szCs w:val="16"/>
              </w:rPr>
              <w:t>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65BBE0E" w14:textId="77777777" w:rsidR="00D7144C" w:rsidRPr="00F90EAE" w:rsidRDefault="00D7144C" w:rsidP="00F90EAE">
            <w:pPr>
              <w:jc w:val="both"/>
              <w:rPr>
                <w:color w:val="000000" w:themeColor="text1"/>
                <w:sz w:val="16"/>
                <w:szCs w:val="16"/>
              </w:rPr>
            </w:pPr>
            <w:r w:rsidRPr="00F90EAE">
              <w:rPr>
                <w:color w:val="000000" w:themeColor="text1"/>
                <w:sz w:val="16"/>
                <w:szCs w:val="16"/>
              </w:rPr>
              <w:t>400</w:t>
            </w:r>
          </w:p>
        </w:tc>
        <w:tc>
          <w:tcPr>
            <w:tcW w:w="671" w:type="dxa"/>
            <w:tcBorders>
              <w:top w:val="outset" w:sz="6" w:space="0" w:color="auto"/>
              <w:left w:val="outset" w:sz="6" w:space="0" w:color="auto"/>
              <w:bottom w:val="outset" w:sz="6" w:space="0" w:color="auto"/>
              <w:right w:val="outset" w:sz="6" w:space="0" w:color="auto"/>
            </w:tcBorders>
            <w:vAlign w:val="center"/>
            <w:hideMark/>
          </w:tcPr>
          <w:p w14:paraId="0896D32A" w14:textId="77777777" w:rsidR="00D7144C" w:rsidRPr="00F90EAE" w:rsidRDefault="00D7144C" w:rsidP="00F90EAE">
            <w:pPr>
              <w:jc w:val="both"/>
              <w:rPr>
                <w:color w:val="000000" w:themeColor="text1"/>
                <w:sz w:val="16"/>
                <w:szCs w:val="16"/>
              </w:rPr>
            </w:pPr>
            <w:r w:rsidRPr="00F90EAE">
              <w:rPr>
                <w:color w:val="000000" w:themeColor="text1"/>
                <w:sz w:val="16"/>
                <w:szCs w:val="16"/>
              </w:rPr>
              <w:t>800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1D2FAEF4"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r>
      <w:tr w:rsidR="00561F31" w:rsidRPr="00F90EAE" w14:paraId="7D85DF5E"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3CB25A09" w14:textId="77777777" w:rsidR="00D7144C" w:rsidRPr="00F90EAE" w:rsidRDefault="00D7144C" w:rsidP="00F90EAE">
            <w:pPr>
              <w:jc w:val="both"/>
              <w:rPr>
                <w:color w:val="000000" w:themeColor="text1"/>
                <w:sz w:val="16"/>
                <w:szCs w:val="16"/>
              </w:rPr>
            </w:pPr>
            <w:r w:rsidRPr="00F90EAE">
              <w:rPr>
                <w:color w:val="000000" w:themeColor="text1"/>
                <w:sz w:val="16"/>
                <w:szCs w:val="16"/>
              </w:rPr>
              <w:t>Цепи Кейстона</w:t>
            </w:r>
          </w:p>
        </w:tc>
        <w:tc>
          <w:tcPr>
            <w:tcW w:w="963" w:type="dxa"/>
            <w:tcBorders>
              <w:top w:val="outset" w:sz="6" w:space="0" w:color="auto"/>
              <w:left w:val="outset" w:sz="6" w:space="0" w:color="auto"/>
              <w:bottom w:val="outset" w:sz="6" w:space="0" w:color="auto"/>
              <w:right w:val="outset" w:sz="6" w:space="0" w:color="auto"/>
            </w:tcBorders>
            <w:vAlign w:val="center"/>
            <w:hideMark/>
          </w:tcPr>
          <w:p w14:paraId="2134E137" w14:textId="77777777" w:rsidR="00D7144C" w:rsidRPr="00F90EAE" w:rsidRDefault="00D7144C" w:rsidP="00F90EAE">
            <w:pPr>
              <w:jc w:val="both"/>
              <w:rPr>
                <w:color w:val="000000" w:themeColor="text1"/>
                <w:sz w:val="16"/>
                <w:szCs w:val="16"/>
              </w:rPr>
            </w:pPr>
            <w:r w:rsidRPr="00F90EAE">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04B0BB93" w14:textId="77777777" w:rsidR="00D7144C" w:rsidRPr="00F90EAE" w:rsidRDefault="00D7144C" w:rsidP="00F90EAE">
            <w:pPr>
              <w:jc w:val="both"/>
              <w:rPr>
                <w:color w:val="000000" w:themeColor="text1"/>
                <w:sz w:val="16"/>
                <w:szCs w:val="16"/>
              </w:rPr>
            </w:pPr>
            <w:r w:rsidRPr="00F90EAE">
              <w:rPr>
                <w:color w:val="000000" w:themeColor="text1"/>
                <w:sz w:val="16"/>
                <w:szCs w:val="16"/>
              </w:rPr>
              <w:t>18</w:t>
            </w:r>
          </w:p>
        </w:tc>
        <w:tc>
          <w:tcPr>
            <w:tcW w:w="671" w:type="dxa"/>
            <w:tcBorders>
              <w:top w:val="outset" w:sz="6" w:space="0" w:color="auto"/>
              <w:left w:val="outset" w:sz="6" w:space="0" w:color="auto"/>
              <w:bottom w:val="outset" w:sz="6" w:space="0" w:color="auto"/>
              <w:right w:val="outset" w:sz="6" w:space="0" w:color="auto"/>
            </w:tcBorders>
            <w:vAlign w:val="center"/>
            <w:hideMark/>
          </w:tcPr>
          <w:p w14:paraId="0B18998C" w14:textId="77777777" w:rsidR="00D7144C" w:rsidRPr="00F90EAE" w:rsidRDefault="00D7144C" w:rsidP="00F90EAE">
            <w:pPr>
              <w:jc w:val="both"/>
              <w:rPr>
                <w:color w:val="000000" w:themeColor="text1"/>
                <w:sz w:val="16"/>
                <w:szCs w:val="16"/>
              </w:rPr>
            </w:pPr>
            <w:r w:rsidRPr="00F90EAE">
              <w:rPr>
                <w:color w:val="000000" w:themeColor="text1"/>
                <w:sz w:val="16"/>
                <w:szCs w:val="16"/>
              </w:rPr>
              <w:t>30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49C74A9A"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r>
      <w:tr w:rsidR="00561F31" w:rsidRPr="00F90EAE" w14:paraId="544271BD" w14:textId="77777777" w:rsidTr="004E29EA">
        <w:trPr>
          <w:trHeight w:val="28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3D708CB" w14:textId="77777777" w:rsidR="00D7144C" w:rsidRPr="00F90EAE" w:rsidRDefault="00D7144C" w:rsidP="00F90EAE">
            <w:pPr>
              <w:jc w:val="both"/>
              <w:rPr>
                <w:color w:val="000000" w:themeColor="text1"/>
                <w:sz w:val="16"/>
                <w:szCs w:val="16"/>
              </w:rPr>
            </w:pPr>
            <w:r w:rsidRPr="00F90EAE">
              <w:rPr>
                <w:color w:val="000000" w:themeColor="text1"/>
                <w:sz w:val="16"/>
                <w:szCs w:val="16"/>
              </w:rPr>
              <w:t>Литье деталей насосов для НКСС</w:t>
            </w:r>
          </w:p>
        </w:tc>
        <w:tc>
          <w:tcPr>
            <w:tcW w:w="963" w:type="dxa"/>
            <w:tcBorders>
              <w:top w:val="outset" w:sz="6" w:space="0" w:color="auto"/>
              <w:left w:val="outset" w:sz="6" w:space="0" w:color="auto"/>
              <w:bottom w:val="outset" w:sz="6" w:space="0" w:color="auto"/>
              <w:right w:val="outset" w:sz="6" w:space="0" w:color="auto"/>
            </w:tcBorders>
            <w:vAlign w:val="center"/>
            <w:hideMark/>
          </w:tcPr>
          <w:p w14:paraId="3B792019" w14:textId="77777777" w:rsidR="00D7144C" w:rsidRPr="00F90EAE" w:rsidRDefault="00D7144C" w:rsidP="00F90EAE">
            <w:pPr>
              <w:jc w:val="both"/>
              <w:rPr>
                <w:color w:val="000000" w:themeColor="text1"/>
                <w:sz w:val="16"/>
                <w:szCs w:val="16"/>
              </w:rPr>
            </w:pPr>
            <w:r w:rsidRPr="00F90EAE">
              <w:rPr>
                <w:color w:val="000000" w:themeColor="text1"/>
                <w:sz w:val="16"/>
                <w:szCs w:val="16"/>
              </w:rPr>
              <w:t>тыс. шт.</w:t>
            </w:r>
          </w:p>
        </w:tc>
        <w:tc>
          <w:tcPr>
            <w:tcW w:w="877" w:type="dxa"/>
            <w:tcBorders>
              <w:top w:val="outset" w:sz="6" w:space="0" w:color="auto"/>
              <w:left w:val="outset" w:sz="6" w:space="0" w:color="auto"/>
              <w:bottom w:val="outset" w:sz="6" w:space="0" w:color="auto"/>
              <w:right w:val="outset" w:sz="6" w:space="0" w:color="auto"/>
            </w:tcBorders>
            <w:vAlign w:val="center"/>
            <w:hideMark/>
          </w:tcPr>
          <w:p w14:paraId="30D13C72" w14:textId="77777777" w:rsidR="00D7144C" w:rsidRPr="00F90EAE" w:rsidRDefault="00D7144C" w:rsidP="00F90EAE">
            <w:pPr>
              <w:jc w:val="both"/>
              <w:rPr>
                <w:color w:val="000000" w:themeColor="text1"/>
                <w:sz w:val="16"/>
                <w:szCs w:val="16"/>
              </w:rPr>
            </w:pPr>
            <w:r w:rsidRPr="00F90EAE">
              <w:rPr>
                <w:color w:val="000000" w:themeColor="text1"/>
                <w:sz w:val="16"/>
                <w:szCs w:val="16"/>
              </w:rPr>
              <w:t>60</w:t>
            </w:r>
          </w:p>
        </w:tc>
        <w:tc>
          <w:tcPr>
            <w:tcW w:w="671" w:type="dxa"/>
            <w:tcBorders>
              <w:top w:val="outset" w:sz="6" w:space="0" w:color="auto"/>
              <w:left w:val="outset" w:sz="6" w:space="0" w:color="auto"/>
              <w:bottom w:val="outset" w:sz="6" w:space="0" w:color="auto"/>
              <w:right w:val="outset" w:sz="6" w:space="0" w:color="auto"/>
            </w:tcBorders>
            <w:vAlign w:val="center"/>
            <w:hideMark/>
          </w:tcPr>
          <w:p w14:paraId="6608A153" w14:textId="77777777" w:rsidR="00D7144C" w:rsidRPr="00F90EAE" w:rsidRDefault="00D7144C" w:rsidP="00F90EAE">
            <w:pPr>
              <w:jc w:val="both"/>
              <w:rPr>
                <w:color w:val="000000" w:themeColor="text1"/>
                <w:sz w:val="16"/>
                <w:szCs w:val="16"/>
              </w:rPr>
            </w:pPr>
            <w:r w:rsidRPr="00F90EAE">
              <w:rPr>
                <w:color w:val="000000" w:themeColor="text1"/>
                <w:sz w:val="16"/>
                <w:szCs w:val="16"/>
              </w:rPr>
              <w:t>100</w:t>
            </w:r>
          </w:p>
        </w:tc>
        <w:tc>
          <w:tcPr>
            <w:tcW w:w="1479" w:type="dxa"/>
            <w:tcBorders>
              <w:top w:val="outset" w:sz="6" w:space="0" w:color="auto"/>
              <w:left w:val="outset" w:sz="6" w:space="0" w:color="auto"/>
              <w:bottom w:val="outset" w:sz="6" w:space="0" w:color="auto"/>
              <w:right w:val="outset" w:sz="6" w:space="0" w:color="auto"/>
            </w:tcBorders>
            <w:vAlign w:val="center"/>
            <w:hideMark/>
          </w:tcPr>
          <w:p w14:paraId="7421EB07"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r>
      <w:tr w:rsidR="00561F31" w:rsidRPr="00F90EAE" w14:paraId="4AF80D3C" w14:textId="77777777" w:rsidTr="004E29EA">
        <w:trPr>
          <w:trHeight w:val="255"/>
          <w:tblCellSpacing w:w="0" w:type="dxa"/>
        </w:trPr>
        <w:tc>
          <w:tcPr>
            <w:tcW w:w="3165" w:type="dxa"/>
            <w:tcBorders>
              <w:top w:val="outset" w:sz="6" w:space="0" w:color="auto"/>
              <w:left w:val="outset" w:sz="6" w:space="0" w:color="auto"/>
              <w:bottom w:val="outset" w:sz="6" w:space="0" w:color="auto"/>
              <w:right w:val="outset" w:sz="6" w:space="0" w:color="auto"/>
            </w:tcBorders>
            <w:vAlign w:val="center"/>
            <w:hideMark/>
          </w:tcPr>
          <w:p w14:paraId="141245CA" w14:textId="77777777" w:rsidR="00D7144C" w:rsidRPr="00F90EAE" w:rsidRDefault="00D7144C" w:rsidP="00F90EAE">
            <w:pPr>
              <w:jc w:val="both"/>
              <w:rPr>
                <w:color w:val="000000" w:themeColor="text1"/>
                <w:sz w:val="16"/>
                <w:szCs w:val="16"/>
              </w:rPr>
            </w:pPr>
            <w:r w:rsidRPr="00F90EAE">
              <w:rPr>
                <w:color w:val="000000" w:themeColor="text1"/>
                <w:sz w:val="16"/>
                <w:szCs w:val="16"/>
              </w:rPr>
              <w:t>Котлы отопительные</w:t>
            </w:r>
          </w:p>
        </w:tc>
        <w:tc>
          <w:tcPr>
            <w:tcW w:w="963" w:type="dxa"/>
            <w:tcBorders>
              <w:top w:val="outset" w:sz="6" w:space="0" w:color="auto"/>
              <w:left w:val="outset" w:sz="6" w:space="0" w:color="auto"/>
              <w:bottom w:val="outset" w:sz="6" w:space="0" w:color="auto"/>
              <w:right w:val="outset" w:sz="6" w:space="0" w:color="auto"/>
            </w:tcBorders>
            <w:vAlign w:val="center"/>
            <w:hideMark/>
          </w:tcPr>
          <w:p w14:paraId="1C0C1FF7" w14:textId="77777777" w:rsidR="00D7144C" w:rsidRPr="00F90EAE" w:rsidRDefault="00D7144C" w:rsidP="00F90EAE">
            <w:pPr>
              <w:jc w:val="both"/>
              <w:rPr>
                <w:color w:val="000000" w:themeColor="text1"/>
                <w:sz w:val="16"/>
                <w:szCs w:val="16"/>
              </w:rPr>
            </w:pPr>
            <w:r w:rsidRPr="00F90EAE">
              <w:rPr>
                <w:color w:val="000000" w:themeColor="text1"/>
                <w:sz w:val="16"/>
                <w:szCs w:val="16"/>
              </w:rPr>
              <w:t>тыс. м</w:t>
            </w:r>
            <w:r w:rsidRPr="00F90EAE">
              <w:rPr>
                <w:color w:val="000000" w:themeColor="text1"/>
                <w:sz w:val="16"/>
                <w:szCs w:val="16"/>
                <w:vertAlign w:val="superscript"/>
              </w:rPr>
              <w:t>2</w:t>
            </w:r>
          </w:p>
        </w:tc>
        <w:tc>
          <w:tcPr>
            <w:tcW w:w="877" w:type="dxa"/>
            <w:tcBorders>
              <w:top w:val="outset" w:sz="6" w:space="0" w:color="auto"/>
              <w:left w:val="outset" w:sz="6" w:space="0" w:color="auto"/>
              <w:bottom w:val="outset" w:sz="6" w:space="0" w:color="auto"/>
              <w:right w:val="outset" w:sz="6" w:space="0" w:color="auto"/>
            </w:tcBorders>
            <w:vAlign w:val="center"/>
            <w:hideMark/>
          </w:tcPr>
          <w:p w14:paraId="18330872"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c>
          <w:tcPr>
            <w:tcW w:w="671" w:type="dxa"/>
            <w:tcBorders>
              <w:top w:val="outset" w:sz="6" w:space="0" w:color="auto"/>
              <w:left w:val="outset" w:sz="6" w:space="0" w:color="auto"/>
              <w:bottom w:val="outset" w:sz="6" w:space="0" w:color="auto"/>
              <w:right w:val="outset" w:sz="6" w:space="0" w:color="auto"/>
            </w:tcBorders>
            <w:vAlign w:val="center"/>
            <w:hideMark/>
          </w:tcPr>
          <w:p w14:paraId="78D7BC5A" w14:textId="77777777" w:rsidR="00D7144C" w:rsidRPr="00F90EAE" w:rsidRDefault="00D7144C" w:rsidP="00F90EAE">
            <w:pPr>
              <w:jc w:val="both"/>
              <w:rPr>
                <w:color w:val="000000" w:themeColor="text1"/>
                <w:sz w:val="16"/>
                <w:szCs w:val="16"/>
              </w:rPr>
            </w:pPr>
            <w:r w:rsidRPr="00F90EAE">
              <w:rPr>
                <w:color w:val="000000" w:themeColor="text1"/>
                <w:sz w:val="16"/>
                <w:szCs w:val="16"/>
              </w:rPr>
              <w:t>—</w:t>
            </w:r>
          </w:p>
        </w:tc>
        <w:tc>
          <w:tcPr>
            <w:tcW w:w="1479" w:type="dxa"/>
            <w:tcBorders>
              <w:top w:val="outset" w:sz="6" w:space="0" w:color="auto"/>
              <w:left w:val="outset" w:sz="6" w:space="0" w:color="auto"/>
              <w:bottom w:val="outset" w:sz="6" w:space="0" w:color="auto"/>
              <w:right w:val="outset" w:sz="6" w:space="0" w:color="auto"/>
            </w:tcBorders>
            <w:vAlign w:val="center"/>
            <w:hideMark/>
          </w:tcPr>
          <w:p w14:paraId="0761B8B8" w14:textId="77777777" w:rsidR="00D7144C" w:rsidRPr="00F90EAE" w:rsidRDefault="00D7144C" w:rsidP="00F90EAE">
            <w:pPr>
              <w:jc w:val="both"/>
              <w:rPr>
                <w:color w:val="000000" w:themeColor="text1"/>
                <w:sz w:val="16"/>
                <w:szCs w:val="16"/>
              </w:rPr>
            </w:pPr>
            <w:r w:rsidRPr="00F90EAE">
              <w:rPr>
                <w:color w:val="000000" w:themeColor="text1"/>
                <w:sz w:val="16"/>
                <w:szCs w:val="16"/>
              </w:rPr>
              <w:t>20</w:t>
            </w:r>
          </w:p>
        </w:tc>
      </w:tr>
    </w:tbl>
    <w:p w14:paraId="29209EF3"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Проект постановления СНК СССР по этому вопросу прилагаем для Вашего рассмотрения и утверждения».</w:t>
      </w:r>
    </w:p>
    <w:p w14:paraId="637E962F" w14:textId="77777777" w:rsidR="00D7144C" w:rsidRPr="00F90EAE" w:rsidRDefault="00D7144C" w:rsidP="00F90EAE">
      <w:pPr>
        <w:shd w:val="clear" w:color="auto" w:fill="FFFFFF"/>
        <w:jc w:val="both"/>
        <w:rPr>
          <w:color w:val="000000" w:themeColor="text1"/>
          <w:sz w:val="16"/>
          <w:szCs w:val="16"/>
        </w:rPr>
      </w:pPr>
      <w:r w:rsidRPr="00F90EAE">
        <w:rPr>
          <w:color w:val="000000" w:themeColor="text1"/>
          <w:sz w:val="16"/>
          <w:szCs w:val="16"/>
        </w:rPr>
        <w:t>Как видим, в этом письме основной упор в аргументации все еще сделан на важности сохранения военного производства. Сами по себе они были довольно уязвимы: дело в том, что боеприпасы из сталистого чугуна производились в качестве вынужденной меры в период войны и необходимость в продолжении их производства в период мирного времени вызывает сомнения. Но наряду с этими старыми аргументами уже появляются новые доводы: Ванников и Борисов пишут о собственных конверсионных планах. Видимо, система аргументов в их письме оказалась все же недостаточно убедительной, и борьба за предприятие продолжилась (15847).</w:t>
      </w:r>
    </w:p>
    <w:p w14:paraId="0A5474F9" w14:textId="77777777" w:rsidR="00D7144C" w:rsidRPr="00F90EAE" w:rsidRDefault="00D7144C" w:rsidP="00F90EAE">
      <w:pPr>
        <w:shd w:val="clear" w:color="auto" w:fill="FFFFFF"/>
        <w:jc w:val="both"/>
        <w:rPr>
          <w:color w:val="000000" w:themeColor="text1"/>
          <w:sz w:val="16"/>
          <w:szCs w:val="16"/>
        </w:rPr>
      </w:pPr>
    </w:p>
    <w:p w14:paraId="65183D8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8941 [О дополнительном выделении мазута НКСС, НКТМ, НКздраву, НКЛП, НКМВ и Одесскому горисполкому за счет вывоза из Румынии.] (7348, 3).</w:t>
      </w:r>
    </w:p>
    <w:p w14:paraId="6DFCA83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0CF7B0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8942 [О реэвакуации из Ярославля и Алма-Аты ленинградских училища военных сообщений и электротехнического института инженеров сигнализации и связи НКПС.] (7348, 4).</w:t>
      </w:r>
    </w:p>
    <w:p w14:paraId="02AFF5B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3733BF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8943 [Об упразднении Военно-промышленного отдела НКПС.] (7348, 5).</w:t>
      </w:r>
    </w:p>
    <w:p w14:paraId="66D0203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970B2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8944. О дополнительном выделении бензина НКЧМ в июне 1945 г. РГАНИР, Фонд ГКО, д. 426, лл. 6 (11012).</w:t>
      </w:r>
    </w:p>
    <w:p w14:paraId="53740E88" w14:textId="77777777" w:rsidR="006103B3" w:rsidRPr="00F90EAE" w:rsidRDefault="006103B3" w:rsidP="00F90EAE">
      <w:pPr>
        <w:autoSpaceDE w:val="0"/>
        <w:autoSpaceDN w:val="0"/>
        <w:adjustRightInd w:val="0"/>
        <w:jc w:val="both"/>
        <w:rPr>
          <w:color w:val="000000" w:themeColor="text1"/>
          <w:sz w:val="16"/>
          <w:szCs w:val="16"/>
        </w:rPr>
      </w:pPr>
    </w:p>
    <w:p w14:paraId="265E4E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8945. Об освобождении жилья для рабочих завода № 784 НКВ в Киеве. РГАНИР, Фонд ГКО, д. 426, лл. 7 (11012).</w:t>
      </w:r>
    </w:p>
    <w:p w14:paraId="0B03B3B3" w14:textId="77777777" w:rsidR="006103B3" w:rsidRPr="00F90EAE" w:rsidRDefault="006103B3" w:rsidP="00F90EAE">
      <w:pPr>
        <w:autoSpaceDE w:val="0"/>
        <w:autoSpaceDN w:val="0"/>
        <w:adjustRightInd w:val="0"/>
        <w:jc w:val="both"/>
        <w:rPr>
          <w:color w:val="000000" w:themeColor="text1"/>
          <w:sz w:val="16"/>
          <w:szCs w:val="16"/>
        </w:rPr>
      </w:pPr>
    </w:p>
    <w:p w14:paraId="28119D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8946. О мерах по обеспечению сырьем установленного на июнь 1945 г. плана выработки бензина и топочного мазута на Саратовском крекинг-заводе. РГАНИР, Фонд ГКО, д. 426, лл. 8-9 (11012).</w:t>
      </w:r>
    </w:p>
    <w:p w14:paraId="46E10358" w14:textId="77777777" w:rsidR="006103B3" w:rsidRPr="00F90EAE" w:rsidRDefault="006103B3" w:rsidP="00F90EAE">
      <w:pPr>
        <w:autoSpaceDE w:val="0"/>
        <w:autoSpaceDN w:val="0"/>
        <w:adjustRightInd w:val="0"/>
        <w:jc w:val="both"/>
        <w:rPr>
          <w:color w:val="000000" w:themeColor="text1"/>
          <w:sz w:val="16"/>
          <w:szCs w:val="16"/>
        </w:rPr>
      </w:pPr>
    </w:p>
    <w:p w14:paraId="414A105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8947 Об изменении лимитов мощности и отпуска электроэнергии промышленным наркоматам на июнь 1945 года. РГАНИР, Фонд ГКО, д. 426, лл. 10, 11-14 (11012).</w:t>
      </w:r>
    </w:p>
    <w:p w14:paraId="51611352" w14:textId="77777777" w:rsidR="006103B3" w:rsidRPr="00F90EAE" w:rsidRDefault="006103B3" w:rsidP="00F90EAE">
      <w:pPr>
        <w:autoSpaceDE w:val="0"/>
        <w:autoSpaceDN w:val="0"/>
        <w:adjustRightInd w:val="0"/>
        <w:jc w:val="both"/>
        <w:rPr>
          <w:color w:val="000000" w:themeColor="text1"/>
          <w:sz w:val="16"/>
          <w:szCs w:val="16"/>
        </w:rPr>
      </w:pPr>
    </w:p>
    <w:p w14:paraId="142F227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8948 [О дополнительном выделении бензина СНК Таджикской ССР для перевозки спецпереселенцев.] (7348, 15).</w:t>
      </w:r>
    </w:p>
    <w:p w14:paraId="6F49AB0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8334B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8949 О вывозе оборудования на заводы Наркомсредмаша. РГАНИР, Фонд ГКО, д. 426, лл. 16-18, 19 (11012).</w:t>
      </w:r>
    </w:p>
    <w:p w14:paraId="62E4D94C" w14:textId="77777777" w:rsidR="006103B3" w:rsidRPr="00F90EAE" w:rsidRDefault="006103B3" w:rsidP="00F90EAE">
      <w:pPr>
        <w:autoSpaceDE w:val="0"/>
        <w:autoSpaceDN w:val="0"/>
        <w:adjustRightInd w:val="0"/>
        <w:jc w:val="both"/>
        <w:rPr>
          <w:color w:val="000000" w:themeColor="text1"/>
          <w:sz w:val="16"/>
          <w:szCs w:val="16"/>
        </w:rPr>
      </w:pPr>
    </w:p>
    <w:p w14:paraId="00712A6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8950 О вывозе оборудования немецких предприятий на заводы Наркомсредмаша. РГАНИР, Фонд ГКО, д. 426, лл. 20-21, 22 (11012).</w:t>
      </w:r>
    </w:p>
    <w:p w14:paraId="10756E11" w14:textId="77777777" w:rsidR="006103B3" w:rsidRPr="00F90EAE" w:rsidRDefault="006103B3" w:rsidP="00F90EAE">
      <w:pPr>
        <w:autoSpaceDE w:val="0"/>
        <w:autoSpaceDN w:val="0"/>
        <w:adjustRightInd w:val="0"/>
        <w:jc w:val="both"/>
        <w:rPr>
          <w:color w:val="000000" w:themeColor="text1"/>
          <w:sz w:val="16"/>
          <w:szCs w:val="16"/>
        </w:rPr>
      </w:pPr>
    </w:p>
    <w:p w14:paraId="040C4D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8951 О вывозе оборудования завода фирмы "Вандерер" в г. Хемниц. РГАНИР, Фонд ГКО, д. 426, лл. 23-24 (11012).</w:t>
      </w:r>
    </w:p>
    <w:p w14:paraId="66F9BC3B" w14:textId="77777777" w:rsidR="006103B3" w:rsidRPr="00F90EAE" w:rsidRDefault="006103B3" w:rsidP="00F90EAE">
      <w:pPr>
        <w:autoSpaceDE w:val="0"/>
        <w:autoSpaceDN w:val="0"/>
        <w:adjustRightInd w:val="0"/>
        <w:jc w:val="both"/>
        <w:rPr>
          <w:color w:val="000000" w:themeColor="text1"/>
          <w:sz w:val="16"/>
          <w:szCs w:val="16"/>
        </w:rPr>
      </w:pPr>
    </w:p>
    <w:p w14:paraId="15B715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8952 О вывозе оборудования немецких предприятий на заводы Наркомтяжмаша. РГАНИР, Фонд ГКО, д. 426, лл. 25-26 (11012).</w:t>
      </w:r>
    </w:p>
    <w:p w14:paraId="2BCC9DC9" w14:textId="77777777" w:rsidR="006103B3" w:rsidRPr="00F90EAE" w:rsidRDefault="006103B3" w:rsidP="00F90EAE">
      <w:pPr>
        <w:autoSpaceDE w:val="0"/>
        <w:autoSpaceDN w:val="0"/>
        <w:adjustRightInd w:val="0"/>
        <w:jc w:val="both"/>
        <w:rPr>
          <w:color w:val="000000" w:themeColor="text1"/>
          <w:sz w:val="16"/>
          <w:szCs w:val="16"/>
        </w:rPr>
      </w:pPr>
    </w:p>
    <w:p w14:paraId="63CDFD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8953 О вывозе оборудования кислородного завода электромеханического общества в г. Псенмюнде (Померания). РГАНИР, Фонд ГКО, д. 426, лл. 27 (11012).</w:t>
      </w:r>
    </w:p>
    <w:p w14:paraId="7094AD51" w14:textId="77777777" w:rsidR="006103B3" w:rsidRPr="00F90EAE" w:rsidRDefault="006103B3" w:rsidP="00F90EAE">
      <w:pPr>
        <w:autoSpaceDE w:val="0"/>
        <w:autoSpaceDN w:val="0"/>
        <w:adjustRightInd w:val="0"/>
        <w:jc w:val="both"/>
        <w:rPr>
          <w:color w:val="000000" w:themeColor="text1"/>
          <w:sz w:val="16"/>
          <w:szCs w:val="16"/>
        </w:rPr>
      </w:pPr>
    </w:p>
    <w:p w14:paraId="12C9EC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8954 О вывозе оборудования немецких заводов в г. г. Берлин, Фрейталь, Дебельн и Тарандт на заводы Наркомата станкостроения. РГАНИР, Фонд ГКО, д. 426, лл. 28-30, 31-32 (11012).</w:t>
      </w:r>
    </w:p>
    <w:p w14:paraId="677ADA6D" w14:textId="77777777" w:rsidR="006103B3" w:rsidRPr="00F90EAE" w:rsidRDefault="006103B3" w:rsidP="00F90EAE">
      <w:pPr>
        <w:autoSpaceDE w:val="0"/>
        <w:autoSpaceDN w:val="0"/>
        <w:adjustRightInd w:val="0"/>
        <w:jc w:val="both"/>
        <w:rPr>
          <w:color w:val="000000" w:themeColor="text1"/>
          <w:sz w:val="16"/>
          <w:szCs w:val="16"/>
        </w:rPr>
      </w:pPr>
    </w:p>
    <w:p w14:paraId="6F1A77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8955 О вывозе оборудования ТЭЦ с немецкого завода фирмы "Юлиус Пинч" в г. Фюрстенвальде и оборудования завода "Нордойчмашин" в г. Виттенберг на завод № 444 НКСП в г. Николаев. РГАНИР, Фонд ГКО, д. 426, лл. 33-34 (11012).</w:t>
      </w:r>
    </w:p>
    <w:p w14:paraId="657A106E" w14:textId="77777777" w:rsidR="006103B3" w:rsidRPr="00F90EAE" w:rsidRDefault="006103B3" w:rsidP="00F90EAE">
      <w:pPr>
        <w:autoSpaceDE w:val="0"/>
        <w:autoSpaceDN w:val="0"/>
        <w:adjustRightInd w:val="0"/>
        <w:jc w:val="both"/>
        <w:rPr>
          <w:color w:val="000000" w:themeColor="text1"/>
          <w:sz w:val="16"/>
          <w:szCs w:val="16"/>
        </w:rPr>
      </w:pPr>
    </w:p>
    <w:p w14:paraId="16D53E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8956 О вывозе оборудования с различных заводов, расположенных в г. г. Рослау, Каменец, Гюстров, Варнемюнде, Рейхенберг, Виттенберг, Ландесгут, Штральзунд на предприятия Наркомсудпрома. РГАНИР, Фонд ГКО, д. 426, лл. 35-37 (11012).</w:t>
      </w:r>
    </w:p>
    <w:p w14:paraId="0DDDCFB2" w14:textId="77777777" w:rsidR="006103B3" w:rsidRPr="00F90EAE" w:rsidRDefault="006103B3" w:rsidP="00F90EAE">
      <w:pPr>
        <w:autoSpaceDE w:val="0"/>
        <w:autoSpaceDN w:val="0"/>
        <w:adjustRightInd w:val="0"/>
        <w:jc w:val="both"/>
        <w:rPr>
          <w:color w:val="000000" w:themeColor="text1"/>
          <w:sz w:val="16"/>
          <w:szCs w:val="16"/>
        </w:rPr>
      </w:pPr>
    </w:p>
    <w:p w14:paraId="11758F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8957 О вывозе оборудования и лесоматериалов с немецких лесопильных заводов в г. г. Прауют, Унтер-Кальбуде и Штеттин - Факенвальде. РГАНИР, Фонд ГКО, д. 426, лл. 38-39 (11012).</w:t>
      </w:r>
    </w:p>
    <w:p w14:paraId="65FF64BB" w14:textId="77777777" w:rsidR="006103B3" w:rsidRPr="00F90EAE" w:rsidRDefault="006103B3" w:rsidP="00F90EAE">
      <w:pPr>
        <w:autoSpaceDE w:val="0"/>
        <w:autoSpaceDN w:val="0"/>
        <w:adjustRightInd w:val="0"/>
        <w:jc w:val="both"/>
        <w:rPr>
          <w:color w:val="000000" w:themeColor="text1"/>
          <w:sz w:val="16"/>
          <w:szCs w:val="16"/>
        </w:rPr>
      </w:pPr>
    </w:p>
    <w:p w14:paraId="11C852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8958 О вывозе оборудования с немецких заводов "Остермана" в г. г. Гарц-на-Одере и г. Вольгост на завод № 189 в г. ЛенинграРГАНИР, Фонд ГКО, д. РГАНИР, Фонд ГКО, д. 426, лл. 40 (11012).</w:t>
      </w:r>
    </w:p>
    <w:p w14:paraId="4D00505A" w14:textId="77777777" w:rsidR="006103B3" w:rsidRPr="00F90EAE" w:rsidRDefault="006103B3" w:rsidP="00F90EAE">
      <w:pPr>
        <w:autoSpaceDE w:val="0"/>
        <w:autoSpaceDN w:val="0"/>
        <w:adjustRightInd w:val="0"/>
        <w:jc w:val="both"/>
        <w:rPr>
          <w:color w:val="000000" w:themeColor="text1"/>
          <w:sz w:val="16"/>
          <w:szCs w:val="16"/>
        </w:rPr>
      </w:pPr>
    </w:p>
    <w:p w14:paraId="20177D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8959 о вывозе 4 турбогенераторов общей мощностью 33 тыс. киловатт с электростанций г. г. Штральзунд и Пеенемюнде (Западная Померания) и металлоконструкции зданий демонтированных электростанций в г. г. Блехгаммер и Освенцим. РГАНИР, Фонд ГКО, д. 426, лл. 41-4 (11012).</w:t>
      </w:r>
    </w:p>
    <w:p w14:paraId="40298063" w14:textId="77777777" w:rsidR="006103B3" w:rsidRPr="00F90EAE" w:rsidRDefault="006103B3" w:rsidP="00F90EAE">
      <w:pPr>
        <w:autoSpaceDE w:val="0"/>
        <w:autoSpaceDN w:val="0"/>
        <w:adjustRightInd w:val="0"/>
        <w:jc w:val="both"/>
        <w:rPr>
          <w:color w:val="000000" w:themeColor="text1"/>
          <w:sz w:val="16"/>
          <w:szCs w:val="16"/>
        </w:rPr>
      </w:pPr>
    </w:p>
    <w:p w14:paraId="132F1E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8960 О вывозе оборудования с предприятий электротехнической промышленности в г. г. Берлин, Дрезден, Фрейбург и Софиенау. РГАНИР, Фонд ГКО, д. 426, лл. 43-45 (11012).</w:t>
      </w:r>
    </w:p>
    <w:p w14:paraId="11AEE184" w14:textId="77777777" w:rsidR="006103B3" w:rsidRPr="00F90EAE" w:rsidRDefault="006103B3" w:rsidP="00F90EAE">
      <w:pPr>
        <w:autoSpaceDE w:val="0"/>
        <w:autoSpaceDN w:val="0"/>
        <w:adjustRightInd w:val="0"/>
        <w:jc w:val="both"/>
        <w:rPr>
          <w:color w:val="000000" w:themeColor="text1"/>
          <w:sz w:val="16"/>
          <w:szCs w:val="16"/>
        </w:rPr>
      </w:pPr>
    </w:p>
    <w:p w14:paraId="7D0E34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8961 О вывозе оборудования по производству приборов видения в темноте с опытного завода в г. Берлин. РГАНИР, Фонд ГКО, д. 426, лл. 46 (11012).</w:t>
      </w:r>
    </w:p>
    <w:p w14:paraId="25136B95" w14:textId="77777777" w:rsidR="006103B3" w:rsidRPr="00F90EAE" w:rsidRDefault="006103B3" w:rsidP="00F90EAE">
      <w:pPr>
        <w:autoSpaceDE w:val="0"/>
        <w:autoSpaceDN w:val="0"/>
        <w:adjustRightInd w:val="0"/>
        <w:jc w:val="both"/>
        <w:rPr>
          <w:color w:val="000000" w:themeColor="text1"/>
          <w:sz w:val="16"/>
          <w:szCs w:val="16"/>
        </w:rPr>
      </w:pPr>
    </w:p>
    <w:p w14:paraId="75130A4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8962 О вывозе оборудования для прокатки и волочения тугоплавких металлов с завода фирмы "Телефункен" в г. Берлин. РГАНИР, Фонд ГКО, д. 426, лл. 47 (11012).</w:t>
      </w:r>
    </w:p>
    <w:p w14:paraId="767DDC6B" w14:textId="77777777" w:rsidR="006103B3" w:rsidRPr="00F90EAE" w:rsidRDefault="006103B3" w:rsidP="00F90EAE">
      <w:pPr>
        <w:autoSpaceDE w:val="0"/>
        <w:autoSpaceDN w:val="0"/>
        <w:adjustRightInd w:val="0"/>
        <w:jc w:val="both"/>
        <w:rPr>
          <w:color w:val="000000" w:themeColor="text1"/>
          <w:sz w:val="16"/>
          <w:szCs w:val="16"/>
        </w:rPr>
      </w:pPr>
    </w:p>
    <w:p w14:paraId="557DEF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8963 О вывозе оборудования с немецких угольных карьеров и брикетных фабрик в район г. Дрезден на предприятия Наркомугля. РГАНИР, Фонд ГКО, д. 426, лл. 48-49 (11012).</w:t>
      </w:r>
    </w:p>
    <w:p w14:paraId="5B60B4F6" w14:textId="77777777" w:rsidR="006103B3" w:rsidRPr="00F90EAE" w:rsidRDefault="006103B3" w:rsidP="00F90EAE">
      <w:pPr>
        <w:autoSpaceDE w:val="0"/>
        <w:autoSpaceDN w:val="0"/>
        <w:adjustRightInd w:val="0"/>
        <w:jc w:val="both"/>
        <w:rPr>
          <w:color w:val="000000" w:themeColor="text1"/>
          <w:sz w:val="16"/>
          <w:szCs w:val="16"/>
        </w:rPr>
      </w:pPr>
    </w:p>
    <w:p w14:paraId="280B17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 июня 1945 вышло Постановление ГКО № 8964 О вывозе оборудования завода фирмы "Крупп", размещенного в корпусах текстильной фабрики в г. Вирсте-Гирсердорф. РГАНИР, Фонд ГКО, д. 426, лл. 50 (11012).</w:t>
      </w:r>
    </w:p>
    <w:p w14:paraId="4C92B843" w14:textId="77777777" w:rsidR="006103B3" w:rsidRPr="00F90EAE" w:rsidRDefault="006103B3" w:rsidP="00F90EAE">
      <w:pPr>
        <w:autoSpaceDE w:val="0"/>
        <w:autoSpaceDN w:val="0"/>
        <w:adjustRightInd w:val="0"/>
        <w:jc w:val="both"/>
        <w:rPr>
          <w:color w:val="000000" w:themeColor="text1"/>
          <w:sz w:val="16"/>
          <w:szCs w:val="16"/>
        </w:rPr>
      </w:pPr>
    </w:p>
    <w:p w14:paraId="33B3C5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8965 О вывозе оборудования с котельного завода фирмы "Айзенбау Манигал" в местечке Рулланд (35 км. севернее г. Дрезден), с филиала машиностроительного завода фирмы "Фриц Крупп" в селе Дицдорф (4 км. южнее г. Неймаркт ) и с котлостроительного завода в селе Мерцдорф (в районе г. Котбус) на предприятия Наркомнефти. РГАНИР, Фонд ГКО, д. 426, лл. 51-52 (11012).</w:t>
      </w:r>
    </w:p>
    <w:p w14:paraId="12B9D1B4" w14:textId="77777777" w:rsidR="006103B3" w:rsidRPr="00F90EAE" w:rsidRDefault="006103B3" w:rsidP="00F90EAE">
      <w:pPr>
        <w:autoSpaceDE w:val="0"/>
        <w:autoSpaceDN w:val="0"/>
        <w:adjustRightInd w:val="0"/>
        <w:jc w:val="both"/>
        <w:rPr>
          <w:color w:val="000000" w:themeColor="text1"/>
          <w:sz w:val="16"/>
          <w:szCs w:val="16"/>
        </w:rPr>
      </w:pPr>
    </w:p>
    <w:p w14:paraId="7DAE9E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8966 О вывозе оборудования из трех механических мастерских фирм "Вильказна", "ЮлиусИост" и "Кобе" в г. Лукенвальде, с механического инструментального завода фирмы "Рихлинг Питерс" в г. Финовфурт (12 км западнее г. Эберсвальде), с геофизической базы фирмы "Гезельшафт Юфр Трактише Лагерштеттефоршунг" в г. Бизеланге (6 км. Юго-восточнее г. Науен) и с лесопильного завода "Генрих Арренд" в г. Эберсвальде. РГАНИР, Фонд ГКО, д. 426, лл. 53-55 (11012).</w:t>
      </w:r>
    </w:p>
    <w:p w14:paraId="2F1242A8" w14:textId="77777777" w:rsidR="006103B3" w:rsidRPr="00F90EAE" w:rsidRDefault="006103B3" w:rsidP="00F90EAE">
      <w:pPr>
        <w:autoSpaceDE w:val="0"/>
        <w:autoSpaceDN w:val="0"/>
        <w:adjustRightInd w:val="0"/>
        <w:jc w:val="both"/>
        <w:rPr>
          <w:color w:val="000000" w:themeColor="text1"/>
          <w:sz w:val="16"/>
          <w:szCs w:val="16"/>
        </w:rPr>
      </w:pPr>
    </w:p>
    <w:p w14:paraId="6A93F8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8967 О вывозе оборудования с химического завода "Унион" в г. Штеттин (Штольценхаген). РГАНИР, Фонд ГКО, д. 426, лл. 56 (11012).</w:t>
      </w:r>
    </w:p>
    <w:p w14:paraId="49C18A64" w14:textId="77777777" w:rsidR="006103B3" w:rsidRPr="00F90EAE" w:rsidRDefault="006103B3" w:rsidP="00F90EAE">
      <w:pPr>
        <w:autoSpaceDE w:val="0"/>
        <w:autoSpaceDN w:val="0"/>
        <w:adjustRightInd w:val="0"/>
        <w:jc w:val="both"/>
        <w:rPr>
          <w:color w:val="000000" w:themeColor="text1"/>
          <w:sz w:val="16"/>
          <w:szCs w:val="16"/>
        </w:rPr>
      </w:pPr>
    </w:p>
    <w:p w14:paraId="20E7068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8968 О вывозе оборудования химического завода "Параксоль" из предместья г. Берлин - Нидерлеме. РГАНИР, Фонд ГКО, д. 426, лл. 57 (11012).</w:t>
      </w:r>
    </w:p>
    <w:p w14:paraId="59F34276" w14:textId="77777777" w:rsidR="006103B3" w:rsidRPr="00F90EAE" w:rsidRDefault="006103B3" w:rsidP="00F90EAE">
      <w:pPr>
        <w:autoSpaceDE w:val="0"/>
        <w:autoSpaceDN w:val="0"/>
        <w:adjustRightInd w:val="0"/>
        <w:jc w:val="both"/>
        <w:rPr>
          <w:color w:val="000000" w:themeColor="text1"/>
          <w:sz w:val="16"/>
          <w:szCs w:val="16"/>
        </w:rPr>
      </w:pPr>
    </w:p>
    <w:p w14:paraId="644990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8969 О выводе оборудования с химического завода фирмы "Александер Ваккер" в г. Мюкенберг (севернее г. Дрезден), с завода ферросплавов той же фирмы в г. Мюккенберг, с завода пластмасс фирмы "Новак" в г. Бауцен, с химического завода фирмы "Фон-Хайден" в районе г. Дрезден и с завода химических реактивов фирмы "Теодор Шухарт" в г. Герлиц. РГАНИР, Фонд ГКО, д. 426, лл. 58-60 (11012).</w:t>
      </w:r>
    </w:p>
    <w:p w14:paraId="753ED35E" w14:textId="77777777" w:rsidR="006103B3" w:rsidRPr="00F90EAE" w:rsidRDefault="006103B3" w:rsidP="00F90EAE">
      <w:pPr>
        <w:autoSpaceDE w:val="0"/>
        <w:autoSpaceDN w:val="0"/>
        <w:adjustRightInd w:val="0"/>
        <w:jc w:val="both"/>
        <w:rPr>
          <w:color w:val="000000" w:themeColor="text1"/>
          <w:sz w:val="16"/>
          <w:szCs w:val="16"/>
        </w:rPr>
      </w:pPr>
    </w:p>
    <w:p w14:paraId="063FBDA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8970 О вывозе оборудования немецкого химического завода в местечке Кансдорф-Пишельдорф (Австрия). РГАНИР, Фонд ГКО, д. 426, лл. 61 (11012).</w:t>
      </w:r>
    </w:p>
    <w:p w14:paraId="565B76EC" w14:textId="77777777" w:rsidR="006103B3" w:rsidRPr="00F90EAE" w:rsidRDefault="006103B3" w:rsidP="00F90EAE">
      <w:pPr>
        <w:autoSpaceDE w:val="0"/>
        <w:autoSpaceDN w:val="0"/>
        <w:adjustRightInd w:val="0"/>
        <w:jc w:val="both"/>
        <w:rPr>
          <w:color w:val="000000" w:themeColor="text1"/>
          <w:sz w:val="16"/>
          <w:szCs w:val="16"/>
        </w:rPr>
      </w:pPr>
    </w:p>
    <w:p w14:paraId="0DEE31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Распоряжение ГКО № 8971. О комиссии по изучению газового хозяйства г. Берлин. РГАНИР, Фонд ГКО, д. 426, лл. 62 (11012).</w:t>
      </w:r>
    </w:p>
    <w:p w14:paraId="05FFE910" w14:textId="77777777" w:rsidR="006103B3" w:rsidRPr="00F90EAE" w:rsidRDefault="006103B3" w:rsidP="00F90EAE">
      <w:pPr>
        <w:autoSpaceDE w:val="0"/>
        <w:autoSpaceDN w:val="0"/>
        <w:adjustRightInd w:val="0"/>
        <w:jc w:val="both"/>
        <w:rPr>
          <w:color w:val="000000" w:themeColor="text1"/>
          <w:sz w:val="16"/>
          <w:szCs w:val="16"/>
        </w:rPr>
      </w:pPr>
    </w:p>
    <w:p w14:paraId="459CC8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8972 О вывозе оборудования с завода пластмасс фирмы "Курт Ганфе" в г. Дрезден, с завода пластмасс фирмы "Элингер и Гейслер" в местечке Хокендорф (близ г. Дрезден) и с лакокрасочного завода фирмы "Каст и Эхингер " в г. Берлин. РГАНИР, Фонд ГКО, д. 426 (11012).</w:t>
      </w:r>
    </w:p>
    <w:p w14:paraId="2AD23C52" w14:textId="77777777" w:rsidR="006103B3" w:rsidRPr="00F90EAE" w:rsidRDefault="006103B3" w:rsidP="00F90EAE">
      <w:pPr>
        <w:autoSpaceDE w:val="0"/>
        <w:autoSpaceDN w:val="0"/>
        <w:adjustRightInd w:val="0"/>
        <w:jc w:val="both"/>
        <w:rPr>
          <w:color w:val="000000" w:themeColor="text1"/>
          <w:sz w:val="16"/>
          <w:szCs w:val="16"/>
        </w:rPr>
      </w:pPr>
    </w:p>
    <w:p w14:paraId="5E60E9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8973 О вывозе оборудования арматурного завода фирмы "Густав Макенберг" в г. Штеттин. РГАНИР, Фонд ГКО, д. 426, лл. 65 (11012).</w:t>
      </w:r>
    </w:p>
    <w:p w14:paraId="46ECEFA3" w14:textId="77777777" w:rsidR="006103B3" w:rsidRPr="00F90EAE" w:rsidRDefault="006103B3" w:rsidP="00F90EAE">
      <w:pPr>
        <w:autoSpaceDE w:val="0"/>
        <w:autoSpaceDN w:val="0"/>
        <w:adjustRightInd w:val="0"/>
        <w:jc w:val="both"/>
        <w:rPr>
          <w:color w:val="000000" w:themeColor="text1"/>
          <w:sz w:val="16"/>
          <w:szCs w:val="16"/>
        </w:rPr>
      </w:pPr>
    </w:p>
    <w:p w14:paraId="0AB20E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8974 О вывозе оборудования химического завода фирмы "Фон-Хайден" в г. Дрезден. РГАНИР, Фонд ГКО, д. 426, лл. 66-67 (11012).</w:t>
      </w:r>
    </w:p>
    <w:p w14:paraId="6BD55151" w14:textId="77777777" w:rsidR="006103B3" w:rsidRPr="00F90EAE" w:rsidRDefault="006103B3" w:rsidP="00F90EAE">
      <w:pPr>
        <w:autoSpaceDE w:val="0"/>
        <w:autoSpaceDN w:val="0"/>
        <w:adjustRightInd w:val="0"/>
        <w:jc w:val="both"/>
        <w:rPr>
          <w:color w:val="000000" w:themeColor="text1"/>
          <w:sz w:val="16"/>
          <w:szCs w:val="16"/>
        </w:rPr>
      </w:pPr>
    </w:p>
    <w:p w14:paraId="719D933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8975 О вывозе оборудования и материалов с заводав асбестовой промышленности в районе г. Дрезден на предприятия Наркомрезинпрома. РГАНИР, Фонд ГКО, д. 426, лл. 68-69 (11012).</w:t>
      </w:r>
    </w:p>
    <w:p w14:paraId="4526DDC9" w14:textId="77777777" w:rsidR="006103B3" w:rsidRPr="00F90EAE" w:rsidRDefault="006103B3" w:rsidP="00F90EAE">
      <w:pPr>
        <w:autoSpaceDE w:val="0"/>
        <w:autoSpaceDN w:val="0"/>
        <w:adjustRightInd w:val="0"/>
        <w:jc w:val="both"/>
        <w:rPr>
          <w:color w:val="000000" w:themeColor="text1"/>
          <w:sz w:val="16"/>
          <w:szCs w:val="16"/>
        </w:rPr>
      </w:pPr>
    </w:p>
    <w:p w14:paraId="7F17324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8976 О вывозе оборудования с завода резиновых изделий фирмы "Даубитс" в г. Берлин. РГАНИР, Фонд ГКО, д. 426, лл. 70 (11012).</w:t>
      </w:r>
    </w:p>
    <w:p w14:paraId="37F0817F" w14:textId="77777777" w:rsidR="006103B3" w:rsidRPr="00F90EAE" w:rsidRDefault="006103B3" w:rsidP="00F90EAE">
      <w:pPr>
        <w:autoSpaceDE w:val="0"/>
        <w:autoSpaceDN w:val="0"/>
        <w:adjustRightInd w:val="0"/>
        <w:jc w:val="both"/>
        <w:rPr>
          <w:color w:val="000000" w:themeColor="text1"/>
          <w:sz w:val="16"/>
          <w:szCs w:val="16"/>
        </w:rPr>
      </w:pPr>
    </w:p>
    <w:p w14:paraId="20A4A5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8977 О вывозе оборудования с заводов резиновой промышленности в г. Фюрстенвальде на предприятия Наркомрезинпрома. РГАНИР, Фонд ГКО, д. 426, лл. 71 (11012).</w:t>
      </w:r>
    </w:p>
    <w:p w14:paraId="676DFA76" w14:textId="77777777" w:rsidR="006103B3" w:rsidRPr="00F90EAE" w:rsidRDefault="006103B3" w:rsidP="00F90EAE">
      <w:pPr>
        <w:autoSpaceDE w:val="0"/>
        <w:autoSpaceDN w:val="0"/>
        <w:adjustRightInd w:val="0"/>
        <w:jc w:val="both"/>
        <w:rPr>
          <w:color w:val="000000" w:themeColor="text1"/>
          <w:sz w:val="16"/>
          <w:szCs w:val="16"/>
        </w:rPr>
      </w:pPr>
    </w:p>
    <w:p w14:paraId="012E6E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8978 О вывозе оборудования с заводов резиновой промышленности в г. Берлин на предприятия Наркомрезинпрома. РГАНИР, Фонд ГКО, д. 426, лл. 72-73 (11012).</w:t>
      </w:r>
    </w:p>
    <w:p w14:paraId="6D4BC18A" w14:textId="77777777" w:rsidR="006103B3" w:rsidRPr="00F90EAE" w:rsidRDefault="006103B3" w:rsidP="00F90EAE">
      <w:pPr>
        <w:autoSpaceDE w:val="0"/>
        <w:autoSpaceDN w:val="0"/>
        <w:adjustRightInd w:val="0"/>
        <w:jc w:val="both"/>
        <w:rPr>
          <w:color w:val="000000" w:themeColor="text1"/>
          <w:sz w:val="16"/>
          <w:szCs w:val="16"/>
        </w:rPr>
      </w:pPr>
    </w:p>
    <w:p w14:paraId="0E4CC5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8979 О вывозе оборудования с механических заводов в г. Берлин на предприятия Наркомрезинпрома. РГАНИР, Фонд ГКО, д. 426, лл. 74-75 (11012).</w:t>
      </w:r>
    </w:p>
    <w:p w14:paraId="323B89E0" w14:textId="77777777" w:rsidR="006103B3" w:rsidRPr="00F90EAE" w:rsidRDefault="006103B3" w:rsidP="00F90EAE">
      <w:pPr>
        <w:autoSpaceDE w:val="0"/>
        <w:autoSpaceDN w:val="0"/>
        <w:adjustRightInd w:val="0"/>
        <w:jc w:val="both"/>
        <w:rPr>
          <w:color w:val="000000" w:themeColor="text1"/>
          <w:sz w:val="16"/>
          <w:szCs w:val="16"/>
        </w:rPr>
      </w:pPr>
    </w:p>
    <w:p w14:paraId="312526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8980 О вывозе оборудования с завода синтеза бензина фирмы "Брабаг" в Шварцхайде (в 50 км от г. Дрезден). РГАНИР, Фонд ГКО, д. 426, лл. 76-77 (11012).</w:t>
      </w:r>
    </w:p>
    <w:p w14:paraId="7933711C" w14:textId="77777777" w:rsidR="006103B3" w:rsidRPr="00F90EAE" w:rsidRDefault="006103B3" w:rsidP="00F90EAE">
      <w:pPr>
        <w:autoSpaceDE w:val="0"/>
        <w:autoSpaceDN w:val="0"/>
        <w:adjustRightInd w:val="0"/>
        <w:jc w:val="both"/>
        <w:rPr>
          <w:color w:val="000000" w:themeColor="text1"/>
          <w:sz w:val="16"/>
          <w:szCs w:val="16"/>
        </w:rPr>
      </w:pPr>
    </w:p>
    <w:p w14:paraId="45872B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8981 О вывозе оборудования с немецкого завода по производству свинцового проката в г. Фрейберг для Наркомцветмета. РГАНИР, Фонд ГКО, д. 426, лл. 78 (11012).</w:t>
      </w:r>
    </w:p>
    <w:p w14:paraId="6DA8D973" w14:textId="77777777" w:rsidR="006103B3" w:rsidRPr="00F90EAE" w:rsidRDefault="006103B3" w:rsidP="00F90EAE">
      <w:pPr>
        <w:autoSpaceDE w:val="0"/>
        <w:autoSpaceDN w:val="0"/>
        <w:adjustRightInd w:val="0"/>
        <w:jc w:val="both"/>
        <w:rPr>
          <w:color w:val="000000" w:themeColor="text1"/>
          <w:sz w:val="16"/>
          <w:szCs w:val="16"/>
        </w:rPr>
      </w:pPr>
    </w:p>
    <w:p w14:paraId="01AAF9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8982 О вывозе оборудования из г. Берлин на предприятия НКПС. РГАНИР, Фонд ГКО, д. 426, лл. 79-81 (11012).</w:t>
      </w:r>
    </w:p>
    <w:p w14:paraId="1733877D" w14:textId="77777777" w:rsidR="006103B3" w:rsidRPr="00F90EAE" w:rsidRDefault="006103B3" w:rsidP="00F90EAE">
      <w:pPr>
        <w:autoSpaceDE w:val="0"/>
        <w:autoSpaceDN w:val="0"/>
        <w:adjustRightInd w:val="0"/>
        <w:jc w:val="both"/>
        <w:rPr>
          <w:color w:val="000000" w:themeColor="text1"/>
          <w:sz w:val="16"/>
          <w:szCs w:val="16"/>
        </w:rPr>
      </w:pPr>
    </w:p>
    <w:p w14:paraId="2EE178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8983 Об укомплектовании восстановительных, вагоноремонтных и шпалозаготовительных предприятий НКПС лесопильным и деревообрабатывающим оборудованием с немецких лесозаводов. РГАНИР, Фонд ГКО, д. 426, лл. 82, 83-87 (11012).</w:t>
      </w:r>
    </w:p>
    <w:p w14:paraId="1AE883D3" w14:textId="77777777" w:rsidR="006103B3" w:rsidRPr="00F90EAE" w:rsidRDefault="006103B3" w:rsidP="00F90EAE">
      <w:pPr>
        <w:autoSpaceDE w:val="0"/>
        <w:autoSpaceDN w:val="0"/>
        <w:adjustRightInd w:val="0"/>
        <w:jc w:val="both"/>
        <w:rPr>
          <w:color w:val="000000" w:themeColor="text1"/>
          <w:sz w:val="16"/>
          <w:szCs w:val="16"/>
        </w:rPr>
      </w:pPr>
    </w:p>
    <w:p w14:paraId="6515EE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8984 О разборке узкоколейных железнодорожных линий на территории Восточной Пруссии. РГАНИР, Фонд ГКО, д. 426, лл. 88-89, 90-94 (11012).</w:t>
      </w:r>
    </w:p>
    <w:p w14:paraId="1577DED6" w14:textId="77777777" w:rsidR="006103B3" w:rsidRPr="00F90EAE" w:rsidRDefault="006103B3" w:rsidP="00F90EAE">
      <w:pPr>
        <w:autoSpaceDE w:val="0"/>
        <w:autoSpaceDN w:val="0"/>
        <w:adjustRightInd w:val="0"/>
        <w:jc w:val="both"/>
        <w:rPr>
          <w:color w:val="000000" w:themeColor="text1"/>
          <w:sz w:val="16"/>
          <w:szCs w:val="16"/>
        </w:rPr>
      </w:pPr>
    </w:p>
    <w:p w14:paraId="32AC647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8985 О дополнительной разборке узкоколейных линий на территории Восточной Пруссии. (7348, 95).</w:t>
      </w:r>
    </w:p>
    <w:p w14:paraId="1A9760A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C63D9A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8986 О частичном изменении постановления ГОКО № 7688сс от 6 марта 1945 г. и дополнительной разборке 800 километров железнодорожных линий на территории Восточной Пруссии. (7348, 96-97,98).</w:t>
      </w:r>
    </w:p>
    <w:p w14:paraId="5DA2E17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CAFA83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8988 О вывозе оборудования с семи оптико-механических заводов концерна "Цейс-Икон" в г. Дрезден. РГАНИР, Фонд ГКО, д. 426, лл. 102-103 (11012).</w:t>
      </w:r>
    </w:p>
    <w:p w14:paraId="09D4D246" w14:textId="77777777" w:rsidR="006103B3" w:rsidRPr="00F90EAE" w:rsidRDefault="006103B3" w:rsidP="00F90EAE">
      <w:pPr>
        <w:autoSpaceDE w:val="0"/>
        <w:autoSpaceDN w:val="0"/>
        <w:adjustRightInd w:val="0"/>
        <w:jc w:val="both"/>
        <w:rPr>
          <w:color w:val="000000" w:themeColor="text1"/>
          <w:sz w:val="16"/>
          <w:szCs w:val="16"/>
        </w:rPr>
      </w:pPr>
    </w:p>
    <w:p w14:paraId="449372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8989 О вывозе оборудования с фабрик фотоаппаратуры фирм "Бейер", и "Церто" и "Вельта Камера Верке" в г. Дрезден. РГАНИР, Фонд ГКО, д. 426, лл. 104-105 (11012).</w:t>
      </w:r>
    </w:p>
    <w:p w14:paraId="67A875EB" w14:textId="77777777" w:rsidR="006103B3" w:rsidRPr="00F90EAE" w:rsidRDefault="006103B3" w:rsidP="00F90EAE">
      <w:pPr>
        <w:autoSpaceDE w:val="0"/>
        <w:autoSpaceDN w:val="0"/>
        <w:adjustRightInd w:val="0"/>
        <w:jc w:val="both"/>
        <w:rPr>
          <w:color w:val="000000" w:themeColor="text1"/>
          <w:sz w:val="16"/>
          <w:szCs w:val="16"/>
        </w:rPr>
      </w:pPr>
    </w:p>
    <w:p w14:paraId="44C0A8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8990 О вывозе оборудования по производству оптических прицепов с завода фирмы "Олгее и Маузер" в г. Берлин. РГАНИР, Фонд ГКО, д. 426, лл. 106 (11012).</w:t>
      </w:r>
    </w:p>
    <w:p w14:paraId="2E1A0C3C" w14:textId="77777777" w:rsidR="006103B3" w:rsidRPr="00F90EAE" w:rsidRDefault="006103B3" w:rsidP="00F90EAE">
      <w:pPr>
        <w:autoSpaceDE w:val="0"/>
        <w:autoSpaceDN w:val="0"/>
        <w:adjustRightInd w:val="0"/>
        <w:jc w:val="both"/>
        <w:rPr>
          <w:color w:val="000000" w:themeColor="text1"/>
          <w:sz w:val="16"/>
          <w:szCs w:val="16"/>
        </w:rPr>
      </w:pPr>
    </w:p>
    <w:p w14:paraId="385422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8991 О вывозе оборудования по производству взрывателей с немецкого завода фирмы "Цейс-Икон" в г. Дрезден. РГАНИР, Фонд ГКО, д. 426, лл. 107 (11012).</w:t>
      </w:r>
    </w:p>
    <w:p w14:paraId="0EB2E3E5" w14:textId="77777777" w:rsidR="006103B3" w:rsidRPr="00F90EAE" w:rsidRDefault="006103B3" w:rsidP="00F90EAE">
      <w:pPr>
        <w:autoSpaceDE w:val="0"/>
        <w:autoSpaceDN w:val="0"/>
        <w:adjustRightInd w:val="0"/>
        <w:jc w:val="both"/>
        <w:rPr>
          <w:color w:val="000000" w:themeColor="text1"/>
          <w:sz w:val="16"/>
          <w:szCs w:val="16"/>
        </w:rPr>
      </w:pPr>
    </w:p>
    <w:p w14:paraId="7FDD78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8992 О вывозе оборудования по производству гексогена с немецкого завода в поселке Дюбериц-Сапель (в районе г. Ратенов). РГАНИР, Фонд ГКО, д. 426, лл. 108-109 (11012).</w:t>
      </w:r>
    </w:p>
    <w:p w14:paraId="6E59E6BD" w14:textId="77777777" w:rsidR="006103B3" w:rsidRPr="00F90EAE" w:rsidRDefault="006103B3" w:rsidP="00F90EAE">
      <w:pPr>
        <w:autoSpaceDE w:val="0"/>
        <w:autoSpaceDN w:val="0"/>
        <w:adjustRightInd w:val="0"/>
        <w:jc w:val="both"/>
        <w:rPr>
          <w:color w:val="000000" w:themeColor="text1"/>
          <w:sz w:val="16"/>
          <w:szCs w:val="16"/>
        </w:rPr>
      </w:pPr>
    </w:p>
    <w:p w14:paraId="09F5DE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 июня 1945 вышло Постановление ГКО № 8993 О вывозе оборудования с механических мастерских фирм "Клаус Гетбарт" в местечке Клаусдорф (район г. Ютербок ). РГАНИР, Фонд ГКО, д. 426, лл. 110 (11012).</w:t>
      </w:r>
    </w:p>
    <w:p w14:paraId="3858D4B0" w14:textId="77777777" w:rsidR="006103B3" w:rsidRPr="00F90EAE" w:rsidRDefault="006103B3" w:rsidP="00F90EAE">
      <w:pPr>
        <w:autoSpaceDE w:val="0"/>
        <w:autoSpaceDN w:val="0"/>
        <w:adjustRightInd w:val="0"/>
        <w:jc w:val="both"/>
        <w:rPr>
          <w:color w:val="000000" w:themeColor="text1"/>
          <w:sz w:val="16"/>
          <w:szCs w:val="16"/>
        </w:rPr>
      </w:pPr>
    </w:p>
    <w:p w14:paraId="42E43F3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8994 О вывозе оборудования с автоматической телефонной станции в г. Штральзунд. РГАНИР, Фонд ГКО, д. 426, лл. 111 (11012).</w:t>
      </w:r>
    </w:p>
    <w:p w14:paraId="49596A82" w14:textId="77777777" w:rsidR="006103B3" w:rsidRPr="00F90EAE" w:rsidRDefault="006103B3" w:rsidP="00F90EAE">
      <w:pPr>
        <w:autoSpaceDE w:val="0"/>
        <w:autoSpaceDN w:val="0"/>
        <w:adjustRightInd w:val="0"/>
        <w:jc w:val="both"/>
        <w:rPr>
          <w:color w:val="000000" w:themeColor="text1"/>
          <w:sz w:val="16"/>
          <w:szCs w:val="16"/>
        </w:rPr>
      </w:pPr>
    </w:p>
    <w:p w14:paraId="0657D5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8995 О вывозе оборудования по производству морских шаровых мин с немецкого завода фирмы "Август Баштедт" в г. Гюстров. РГАНИР, Фонд ГКО, д. 426, лл. 112 (11012).</w:t>
      </w:r>
    </w:p>
    <w:p w14:paraId="7294DC56" w14:textId="77777777" w:rsidR="006103B3" w:rsidRPr="00F90EAE" w:rsidRDefault="006103B3" w:rsidP="00F90EAE">
      <w:pPr>
        <w:autoSpaceDE w:val="0"/>
        <w:autoSpaceDN w:val="0"/>
        <w:adjustRightInd w:val="0"/>
        <w:jc w:val="both"/>
        <w:rPr>
          <w:color w:val="000000" w:themeColor="text1"/>
          <w:sz w:val="16"/>
          <w:szCs w:val="16"/>
        </w:rPr>
      </w:pPr>
    </w:p>
    <w:p w14:paraId="53D5CB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8996 О вывозе оборудования с мастерских немецкого военно-морского лагеря в районе г. Варен. РГАНИР, Фонд ГКО, д. 426, лл. 113 (11012).</w:t>
      </w:r>
    </w:p>
    <w:p w14:paraId="4BE0419B" w14:textId="77777777" w:rsidR="006103B3" w:rsidRPr="00F90EAE" w:rsidRDefault="006103B3" w:rsidP="00F90EAE">
      <w:pPr>
        <w:autoSpaceDE w:val="0"/>
        <w:autoSpaceDN w:val="0"/>
        <w:adjustRightInd w:val="0"/>
        <w:jc w:val="both"/>
        <w:rPr>
          <w:color w:val="000000" w:themeColor="text1"/>
          <w:sz w:val="16"/>
          <w:szCs w:val="16"/>
        </w:rPr>
      </w:pPr>
    </w:p>
    <w:p w14:paraId="7541C3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8997 О вывозе оборудования с оптико-механического завода "Эрнеман-Верке" в г. Дрезден. РГАНИР, Фонд ГКО, д. 426, лл. 114 (11012).</w:t>
      </w:r>
    </w:p>
    <w:p w14:paraId="76F0510C" w14:textId="77777777" w:rsidR="006103B3" w:rsidRPr="00F90EAE" w:rsidRDefault="006103B3" w:rsidP="00F90EAE">
      <w:pPr>
        <w:autoSpaceDE w:val="0"/>
        <w:autoSpaceDN w:val="0"/>
        <w:adjustRightInd w:val="0"/>
        <w:jc w:val="both"/>
        <w:rPr>
          <w:color w:val="000000" w:themeColor="text1"/>
          <w:sz w:val="16"/>
          <w:szCs w:val="16"/>
        </w:rPr>
      </w:pPr>
    </w:p>
    <w:p w14:paraId="7C6235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8998 О вывозе оборудования с фабрик по производству кинофотоматериалов фирм "Мимоза" и "Вебер" в г. Дрезден и наиболее ценных кинокартин из фильмохранилища в г. Берлин. РГАНИР, Фонд ГКО, д. 426, лл. 115-116 (11012).</w:t>
      </w:r>
    </w:p>
    <w:p w14:paraId="5EA0628F" w14:textId="77777777" w:rsidR="006103B3" w:rsidRPr="00F90EAE" w:rsidRDefault="006103B3" w:rsidP="00F90EAE">
      <w:pPr>
        <w:autoSpaceDE w:val="0"/>
        <w:autoSpaceDN w:val="0"/>
        <w:adjustRightInd w:val="0"/>
        <w:jc w:val="both"/>
        <w:rPr>
          <w:color w:val="000000" w:themeColor="text1"/>
          <w:sz w:val="16"/>
          <w:szCs w:val="16"/>
        </w:rPr>
      </w:pPr>
    </w:p>
    <w:p w14:paraId="49F1F1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8999 О вывозе оборудования с немецких заводов в г. Губен для Наркомугля. РГАНИР, Фонд ГКО, д. 426, лл. 117 (11012).</w:t>
      </w:r>
    </w:p>
    <w:p w14:paraId="61BFF969" w14:textId="77777777" w:rsidR="006103B3" w:rsidRPr="00F90EAE" w:rsidRDefault="006103B3" w:rsidP="00F90EAE">
      <w:pPr>
        <w:autoSpaceDE w:val="0"/>
        <w:autoSpaceDN w:val="0"/>
        <w:adjustRightInd w:val="0"/>
        <w:jc w:val="both"/>
        <w:rPr>
          <w:color w:val="000000" w:themeColor="text1"/>
          <w:sz w:val="16"/>
          <w:szCs w:val="16"/>
        </w:rPr>
      </w:pPr>
    </w:p>
    <w:p w14:paraId="1CD02B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9000 О вывозе оборудования с немецкого завода фирмы "Нора-радио" и его филиала в г. Швейндниц на опытный завод ЦКБ-17 НКАП г. Москва. РГАНИР, Фонд ГКО, д. 426, лл. 118 (11012).</w:t>
      </w:r>
    </w:p>
    <w:p w14:paraId="7932FE50" w14:textId="77777777" w:rsidR="006103B3" w:rsidRPr="00F90EAE" w:rsidRDefault="006103B3" w:rsidP="00F90EAE">
      <w:pPr>
        <w:autoSpaceDE w:val="0"/>
        <w:autoSpaceDN w:val="0"/>
        <w:adjustRightInd w:val="0"/>
        <w:jc w:val="both"/>
        <w:rPr>
          <w:color w:val="000000" w:themeColor="text1"/>
          <w:sz w:val="16"/>
          <w:szCs w:val="16"/>
        </w:rPr>
      </w:pPr>
    </w:p>
    <w:p w14:paraId="345338A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9001 О вывозе деревообрабатывающего и механического оборудования с немецких предприятий на протезные заводы Наркомсобеса РСФСР. РГАНИР, Фонд ГКО, д. 426, лл. 119-121 (11012).</w:t>
      </w:r>
    </w:p>
    <w:p w14:paraId="77B02BD0" w14:textId="77777777" w:rsidR="006103B3" w:rsidRPr="00F90EAE" w:rsidRDefault="006103B3" w:rsidP="00F90EAE">
      <w:pPr>
        <w:autoSpaceDE w:val="0"/>
        <w:autoSpaceDN w:val="0"/>
        <w:adjustRightInd w:val="0"/>
        <w:jc w:val="both"/>
        <w:rPr>
          <w:color w:val="000000" w:themeColor="text1"/>
          <w:sz w:val="16"/>
          <w:szCs w:val="16"/>
        </w:rPr>
      </w:pPr>
    </w:p>
    <w:p w14:paraId="3C8DB4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9002 О вывозе оборудования двух фабрик по производству армейских погон в г. Дрезден и г. Фрейберг (Германия). РГАНИР, Фонд ГКО, д. 426, лл. 122 (11012).</w:t>
      </w:r>
    </w:p>
    <w:p w14:paraId="23589907" w14:textId="77777777" w:rsidR="006103B3" w:rsidRPr="00F90EAE" w:rsidRDefault="006103B3" w:rsidP="00F90EAE">
      <w:pPr>
        <w:autoSpaceDE w:val="0"/>
        <w:autoSpaceDN w:val="0"/>
        <w:adjustRightInd w:val="0"/>
        <w:jc w:val="both"/>
        <w:rPr>
          <w:color w:val="000000" w:themeColor="text1"/>
          <w:sz w:val="16"/>
          <w:szCs w:val="16"/>
        </w:rPr>
      </w:pPr>
    </w:p>
    <w:p w14:paraId="18F36F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9003 О вывозе оборудования с типографии "Мюллер" в г. Эберсвальде (Германия). РГАНИР, Фонд ГКО, д. 426, лл. 123 (11012).</w:t>
      </w:r>
    </w:p>
    <w:p w14:paraId="4DF6E59D" w14:textId="77777777" w:rsidR="006103B3" w:rsidRPr="00F90EAE" w:rsidRDefault="006103B3" w:rsidP="00F90EAE">
      <w:pPr>
        <w:autoSpaceDE w:val="0"/>
        <w:autoSpaceDN w:val="0"/>
        <w:adjustRightInd w:val="0"/>
        <w:jc w:val="both"/>
        <w:rPr>
          <w:color w:val="000000" w:themeColor="text1"/>
          <w:sz w:val="16"/>
          <w:szCs w:val="16"/>
        </w:rPr>
      </w:pPr>
    </w:p>
    <w:p w14:paraId="13D386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9004 О вывозе оборудования и аппаратуры Ветеринарного научно-исследовательского института на острове Римс (Германия). РГАНИР, Фонд ГКО, д. 426, лл. 124-125 (11012).</w:t>
      </w:r>
    </w:p>
    <w:p w14:paraId="34E9830F" w14:textId="77777777" w:rsidR="006103B3" w:rsidRPr="00F90EAE" w:rsidRDefault="006103B3" w:rsidP="00F90EAE">
      <w:pPr>
        <w:autoSpaceDE w:val="0"/>
        <w:autoSpaceDN w:val="0"/>
        <w:adjustRightInd w:val="0"/>
        <w:jc w:val="both"/>
        <w:rPr>
          <w:color w:val="000000" w:themeColor="text1"/>
          <w:sz w:val="16"/>
          <w:szCs w:val="16"/>
        </w:rPr>
      </w:pPr>
    </w:p>
    <w:p w14:paraId="7D55A7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9005 Об укомплектовании металлообрабатывающими станками предприятий Наркомугля, Наркомэлектростанций, Наркомхимпрома и Наркомрезинпрома. РГАНИР, Фонд ГКО, д. 426, лл. 126 (11012).</w:t>
      </w:r>
    </w:p>
    <w:p w14:paraId="5A14072B" w14:textId="77777777" w:rsidR="006103B3" w:rsidRPr="00F90EAE" w:rsidRDefault="006103B3" w:rsidP="00F90EAE">
      <w:pPr>
        <w:autoSpaceDE w:val="0"/>
        <w:autoSpaceDN w:val="0"/>
        <w:adjustRightInd w:val="0"/>
        <w:jc w:val="both"/>
        <w:rPr>
          <w:color w:val="000000" w:themeColor="text1"/>
          <w:sz w:val="16"/>
          <w:szCs w:val="16"/>
        </w:rPr>
      </w:pPr>
    </w:p>
    <w:p w14:paraId="4D63DB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9006 О вывозе оборудования подсобного радиоузла Верховного командования германской армии в г. Бельциг и имущества связи с трофейных складов 1-го Белорусского фронта. РГАНИР, Фонд ГКО, д. 426, лл. 127 (11012).</w:t>
      </w:r>
    </w:p>
    <w:p w14:paraId="0AE4F602" w14:textId="77777777" w:rsidR="006103B3" w:rsidRPr="00F90EAE" w:rsidRDefault="006103B3" w:rsidP="00F90EAE">
      <w:pPr>
        <w:autoSpaceDE w:val="0"/>
        <w:autoSpaceDN w:val="0"/>
        <w:adjustRightInd w:val="0"/>
        <w:jc w:val="both"/>
        <w:rPr>
          <w:color w:val="000000" w:themeColor="text1"/>
          <w:sz w:val="16"/>
          <w:szCs w:val="16"/>
        </w:rPr>
      </w:pPr>
    </w:p>
    <w:p w14:paraId="0CBE5A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9007 О вывозе оборудования с завода фирмы "Карл Фербериэ" и механической мастерской фирмы "Бруно Хубрих" в районе Нейкелльн г. Берлин. РГАНИР, Фонд ГКО, д. 426, лл. 128 (11012).</w:t>
      </w:r>
    </w:p>
    <w:p w14:paraId="7D9B4949" w14:textId="77777777" w:rsidR="006103B3" w:rsidRPr="00F90EAE" w:rsidRDefault="006103B3" w:rsidP="00F90EAE">
      <w:pPr>
        <w:autoSpaceDE w:val="0"/>
        <w:autoSpaceDN w:val="0"/>
        <w:adjustRightInd w:val="0"/>
        <w:jc w:val="both"/>
        <w:rPr>
          <w:color w:val="000000" w:themeColor="text1"/>
          <w:sz w:val="16"/>
          <w:szCs w:val="16"/>
        </w:rPr>
      </w:pPr>
    </w:p>
    <w:p w14:paraId="495765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9008 8 июня 1945 вышло Постановление ГКО О вывозе санитарно-технических и отделочных материалов и оборудования с трофейных военно-инженерных складов Саксонии и немецкой Силезии. РГАНИР, Фонд ГКО, д. 426, лл. 129, 130-131 (11012).</w:t>
      </w:r>
    </w:p>
    <w:p w14:paraId="38D96826" w14:textId="77777777" w:rsidR="006103B3" w:rsidRPr="00F90EAE" w:rsidRDefault="006103B3" w:rsidP="00F90EAE">
      <w:pPr>
        <w:autoSpaceDE w:val="0"/>
        <w:autoSpaceDN w:val="0"/>
        <w:adjustRightInd w:val="0"/>
        <w:jc w:val="both"/>
        <w:rPr>
          <w:color w:val="000000" w:themeColor="text1"/>
          <w:sz w:val="16"/>
          <w:szCs w:val="16"/>
        </w:rPr>
      </w:pPr>
    </w:p>
    <w:p w14:paraId="077D43D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9009 О вывозе станочного оборудования с трофейных складов фронтов. РГАНИР, Фонд ГКО, д. 426, лл. 132 (11012).</w:t>
      </w:r>
    </w:p>
    <w:p w14:paraId="6BA02DE6" w14:textId="77777777" w:rsidR="006103B3" w:rsidRPr="00F90EAE" w:rsidRDefault="006103B3" w:rsidP="00F90EAE">
      <w:pPr>
        <w:autoSpaceDE w:val="0"/>
        <w:autoSpaceDN w:val="0"/>
        <w:adjustRightInd w:val="0"/>
        <w:jc w:val="both"/>
        <w:rPr>
          <w:color w:val="000000" w:themeColor="text1"/>
          <w:sz w:val="16"/>
          <w:szCs w:val="16"/>
        </w:rPr>
      </w:pPr>
    </w:p>
    <w:p w14:paraId="7B0DC3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9010 О вывозе оборудования с двух фармацевтических фабрик "Мадаус" и "Хейне и К'", а также 150 стационарных рентгеновских аппаратов с товарных складов фирмы "Коха Штерцель" в районе г. Дрезден. РГАНИР, Фонд ГКО, д. 426, лл. 133-134 (11012).</w:t>
      </w:r>
    </w:p>
    <w:p w14:paraId="5A11AB30" w14:textId="77777777" w:rsidR="006103B3" w:rsidRPr="00F90EAE" w:rsidRDefault="006103B3" w:rsidP="00F90EAE">
      <w:pPr>
        <w:autoSpaceDE w:val="0"/>
        <w:autoSpaceDN w:val="0"/>
        <w:adjustRightInd w:val="0"/>
        <w:jc w:val="both"/>
        <w:rPr>
          <w:color w:val="000000" w:themeColor="text1"/>
          <w:sz w:val="16"/>
          <w:szCs w:val="16"/>
        </w:rPr>
      </w:pPr>
    </w:p>
    <w:p w14:paraId="72E138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9011 О вывозе оборудования немецкого завода органопрепаратов в г. Берлин на мясокомбинат Наркоммясомолпрома СССР в г. Москву. РГАНИР, Фонд ГКО, д. 426, лл. 135 (11012).</w:t>
      </w:r>
    </w:p>
    <w:p w14:paraId="453C1F27" w14:textId="77777777" w:rsidR="006103B3" w:rsidRPr="00F90EAE" w:rsidRDefault="006103B3" w:rsidP="00F90EAE">
      <w:pPr>
        <w:autoSpaceDE w:val="0"/>
        <w:autoSpaceDN w:val="0"/>
        <w:adjustRightInd w:val="0"/>
        <w:jc w:val="both"/>
        <w:rPr>
          <w:color w:val="000000" w:themeColor="text1"/>
          <w:sz w:val="16"/>
          <w:szCs w:val="16"/>
        </w:rPr>
      </w:pPr>
    </w:p>
    <w:p w14:paraId="2E83ED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9012 О вывозе оборудования немецких предприятий в г. г. Штеттин и Магдебург на заводы Наркомпищепрома СССР. РГАНИР, Фонд ГКО, д. 426, лл. 136-138 (11012).</w:t>
      </w:r>
    </w:p>
    <w:p w14:paraId="16302CDA" w14:textId="77777777" w:rsidR="006103B3" w:rsidRPr="00F90EAE" w:rsidRDefault="006103B3" w:rsidP="00F90EAE">
      <w:pPr>
        <w:autoSpaceDE w:val="0"/>
        <w:autoSpaceDN w:val="0"/>
        <w:adjustRightInd w:val="0"/>
        <w:jc w:val="both"/>
        <w:rPr>
          <w:color w:val="000000" w:themeColor="text1"/>
          <w:sz w:val="16"/>
          <w:szCs w:val="16"/>
        </w:rPr>
      </w:pPr>
    </w:p>
    <w:p w14:paraId="513560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9013 О вывозе оборудования с химических заводов "Шеринг Кольбаум" в г. Берлин на предприятия Наркомхимпрома и Наркомздрава СССР. РГАНИР, Фонд ГКО, д. 426, лл. 139-141 (11012).</w:t>
      </w:r>
    </w:p>
    <w:p w14:paraId="07CFFF8E" w14:textId="77777777" w:rsidR="006103B3" w:rsidRPr="00F90EAE" w:rsidRDefault="006103B3" w:rsidP="00F90EAE">
      <w:pPr>
        <w:autoSpaceDE w:val="0"/>
        <w:autoSpaceDN w:val="0"/>
        <w:adjustRightInd w:val="0"/>
        <w:jc w:val="both"/>
        <w:rPr>
          <w:color w:val="000000" w:themeColor="text1"/>
          <w:sz w:val="16"/>
          <w:szCs w:val="16"/>
        </w:rPr>
      </w:pPr>
    </w:p>
    <w:p w14:paraId="518BA4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9014 О мерах по ускорению вывоза оборудования с немецкого завода гидрирования угля в г. Блеххаммер. РГАНИР, Фонд ГКО, д. 426, лл. 142-144 (11012).</w:t>
      </w:r>
    </w:p>
    <w:p w14:paraId="75441195" w14:textId="77777777" w:rsidR="006103B3" w:rsidRPr="00F90EAE" w:rsidRDefault="006103B3" w:rsidP="00F90EAE">
      <w:pPr>
        <w:autoSpaceDE w:val="0"/>
        <w:autoSpaceDN w:val="0"/>
        <w:adjustRightInd w:val="0"/>
        <w:jc w:val="both"/>
        <w:rPr>
          <w:color w:val="000000" w:themeColor="text1"/>
          <w:sz w:val="16"/>
          <w:szCs w:val="16"/>
        </w:rPr>
      </w:pPr>
    </w:p>
    <w:p w14:paraId="4F6385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9015 О вывозе драгоценных и цветных металлов с немецких заводов по выплавке цветных металлов из руды в районе г. Фрейберг - Управлению драгоценных металлов Наркомфина СССР в г. Москва и на базу ГУГМР при СНК СССР в г. Свердловск. Ф.644, оп.1, (11012).</w:t>
      </w:r>
    </w:p>
    <w:p w14:paraId="3800A4A5" w14:textId="77777777" w:rsidR="006103B3" w:rsidRPr="00F90EAE" w:rsidRDefault="006103B3" w:rsidP="00F90EAE">
      <w:pPr>
        <w:autoSpaceDE w:val="0"/>
        <w:autoSpaceDN w:val="0"/>
        <w:adjustRightInd w:val="0"/>
        <w:jc w:val="both"/>
        <w:rPr>
          <w:color w:val="000000" w:themeColor="text1"/>
          <w:sz w:val="16"/>
          <w:szCs w:val="16"/>
        </w:rPr>
      </w:pPr>
    </w:p>
    <w:p w14:paraId="0BB90F9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9016 О вывозе писчей бумаги с немецких складов в г. Штеттин. РГАНИР, Фонд ГКО, д. 426, лл. 146 (11012).</w:t>
      </w:r>
    </w:p>
    <w:p w14:paraId="55977F19" w14:textId="77777777" w:rsidR="006103B3" w:rsidRPr="00F90EAE" w:rsidRDefault="006103B3" w:rsidP="00F90EAE">
      <w:pPr>
        <w:autoSpaceDE w:val="0"/>
        <w:autoSpaceDN w:val="0"/>
        <w:adjustRightInd w:val="0"/>
        <w:jc w:val="both"/>
        <w:rPr>
          <w:color w:val="000000" w:themeColor="text1"/>
          <w:sz w:val="16"/>
          <w:szCs w:val="16"/>
        </w:rPr>
      </w:pPr>
    </w:p>
    <w:p w14:paraId="2FF3D6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9017 О прекращении отгрузки металла и троса, а также прекращении демонтажа и вывоза оборудования с предприятий и складов на территории Венгрии. РГАНИР, Фонд ГКО, д. 426, лл. 147 (11012).</w:t>
      </w:r>
    </w:p>
    <w:p w14:paraId="386E1103" w14:textId="77777777" w:rsidR="006103B3" w:rsidRPr="00F90EAE" w:rsidRDefault="006103B3" w:rsidP="00F90EAE">
      <w:pPr>
        <w:autoSpaceDE w:val="0"/>
        <w:autoSpaceDN w:val="0"/>
        <w:adjustRightInd w:val="0"/>
        <w:jc w:val="both"/>
        <w:rPr>
          <w:color w:val="000000" w:themeColor="text1"/>
          <w:sz w:val="16"/>
          <w:szCs w:val="16"/>
        </w:rPr>
      </w:pPr>
    </w:p>
    <w:p w14:paraId="718F84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9018 О вывозе оборудования с немецких предприятий в г. г. Фелькенвальде, Фрейталь, Фрейберг и Дрезден (Германия) на заводы Наркомстройматериалов СССР. РГАНИР, Фонд ГКО, д. 426, лл. 148-149 (11012).</w:t>
      </w:r>
    </w:p>
    <w:p w14:paraId="29E63E62" w14:textId="77777777" w:rsidR="006103B3" w:rsidRPr="00F90EAE" w:rsidRDefault="006103B3" w:rsidP="00F90EAE">
      <w:pPr>
        <w:autoSpaceDE w:val="0"/>
        <w:autoSpaceDN w:val="0"/>
        <w:adjustRightInd w:val="0"/>
        <w:jc w:val="both"/>
        <w:rPr>
          <w:color w:val="000000" w:themeColor="text1"/>
          <w:sz w:val="16"/>
          <w:szCs w:val="16"/>
        </w:rPr>
      </w:pPr>
    </w:p>
    <w:p w14:paraId="00F3F8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9019 О частичных изменениях в постановлениях ГОКО о вывозе оборудования с трофейных предприятий с территории Польши, Восточной Пруссии, Померании и Силезии. РГАНИР, Фонд ГКО, д. 426, лл. 150-151 (11012).</w:t>
      </w:r>
    </w:p>
    <w:p w14:paraId="2AA2DA86" w14:textId="77777777" w:rsidR="006103B3" w:rsidRPr="00F90EAE" w:rsidRDefault="006103B3" w:rsidP="00F90EAE">
      <w:pPr>
        <w:autoSpaceDE w:val="0"/>
        <w:autoSpaceDN w:val="0"/>
        <w:adjustRightInd w:val="0"/>
        <w:jc w:val="both"/>
        <w:rPr>
          <w:color w:val="000000" w:themeColor="text1"/>
          <w:sz w:val="16"/>
          <w:szCs w:val="16"/>
        </w:rPr>
      </w:pPr>
    </w:p>
    <w:p w14:paraId="44A6026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9020 о вывозе оборудования с завода сельскохозяйственных машин фирмы "Кауфман", с автогенного цеха завода фирмы "Баксмунг", с завода фирмы "Томсен Шварцкопф", сфилиала машиностроительного завода на территории текстил ьной фабрики фирмы "Каспари (11012).</w:t>
      </w:r>
    </w:p>
    <w:p w14:paraId="2FB6DF7B" w14:textId="77777777" w:rsidR="006103B3" w:rsidRPr="00F90EAE" w:rsidRDefault="006103B3" w:rsidP="00F90EAE">
      <w:pPr>
        <w:autoSpaceDE w:val="0"/>
        <w:autoSpaceDN w:val="0"/>
        <w:adjustRightInd w:val="0"/>
        <w:jc w:val="both"/>
        <w:rPr>
          <w:color w:val="000000" w:themeColor="text1"/>
          <w:sz w:val="16"/>
          <w:szCs w:val="16"/>
        </w:rPr>
      </w:pPr>
    </w:p>
    <w:p w14:paraId="15A83A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9021 О вывозе оборудования по производству патронов с немецкого государственного завода в г. Фигов. РГАНИР, Фонд ГКО, д. 427, лл. 1 (11012).</w:t>
      </w:r>
    </w:p>
    <w:p w14:paraId="71D3E2F7" w14:textId="77777777" w:rsidR="006103B3" w:rsidRPr="00F90EAE" w:rsidRDefault="006103B3" w:rsidP="00F90EAE">
      <w:pPr>
        <w:autoSpaceDE w:val="0"/>
        <w:autoSpaceDN w:val="0"/>
        <w:adjustRightInd w:val="0"/>
        <w:jc w:val="both"/>
        <w:rPr>
          <w:color w:val="000000" w:themeColor="text1"/>
          <w:sz w:val="16"/>
          <w:szCs w:val="16"/>
        </w:rPr>
      </w:pPr>
    </w:p>
    <w:p w14:paraId="68B70E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8 июня 1945 вышло Постановление ГКО № 9022 О вывозе оборудования по производству гранат фирмы "Динамит Акстольон Гозельшафт" в местечке Людвигсдорф (район г. Мельке ). РГАНИР, Фонд ГКО, д. 427, лл. 2 (11012).</w:t>
      </w:r>
    </w:p>
    <w:p w14:paraId="51A5A6C8" w14:textId="77777777" w:rsidR="006103B3" w:rsidRPr="00F90EAE" w:rsidRDefault="006103B3" w:rsidP="00F90EAE">
      <w:pPr>
        <w:autoSpaceDE w:val="0"/>
        <w:autoSpaceDN w:val="0"/>
        <w:adjustRightInd w:val="0"/>
        <w:jc w:val="both"/>
        <w:rPr>
          <w:color w:val="000000" w:themeColor="text1"/>
          <w:sz w:val="16"/>
          <w:szCs w:val="16"/>
        </w:rPr>
      </w:pPr>
    </w:p>
    <w:p w14:paraId="5AFC39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9023 О вывозе оборудования по производству триеров с завода фирмы "Фламмер Цудзе и К'" в г. Родебойль. РГАНИР, Фонд ГКО, д. 427, лл. 3 (11012).</w:t>
      </w:r>
    </w:p>
    <w:p w14:paraId="193A6E7D" w14:textId="77777777" w:rsidR="006103B3" w:rsidRPr="00F90EAE" w:rsidRDefault="006103B3" w:rsidP="00F90EAE">
      <w:pPr>
        <w:autoSpaceDE w:val="0"/>
        <w:autoSpaceDN w:val="0"/>
        <w:adjustRightInd w:val="0"/>
        <w:jc w:val="both"/>
        <w:rPr>
          <w:color w:val="000000" w:themeColor="text1"/>
          <w:sz w:val="16"/>
          <w:szCs w:val="16"/>
        </w:rPr>
      </w:pPr>
    </w:p>
    <w:p w14:paraId="71AD64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9024 О вывозе оборудования с немецких заводов в г. Берлин, Фалькенберг и на станции Нидефинов для Наркомстроя. РГАНИР, Фонд ГКО, д. 427, лл. 4-5 (11012).</w:t>
      </w:r>
    </w:p>
    <w:p w14:paraId="24070A02" w14:textId="77777777" w:rsidR="006103B3" w:rsidRPr="00F90EAE" w:rsidRDefault="006103B3" w:rsidP="00F90EAE">
      <w:pPr>
        <w:autoSpaceDE w:val="0"/>
        <w:autoSpaceDN w:val="0"/>
        <w:adjustRightInd w:val="0"/>
        <w:jc w:val="both"/>
        <w:rPr>
          <w:color w:val="000000" w:themeColor="text1"/>
          <w:sz w:val="16"/>
          <w:szCs w:val="16"/>
        </w:rPr>
      </w:pPr>
    </w:p>
    <w:p w14:paraId="3D17C4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9025 О вывозе оборудования немецкого цементного завода фирмы "Пресишен Бергверк унд Гуттен А.Г. Берлинен Абтайлунг" в г. Рюдерсдорф. РГАНИР, Фонд ГКО, д. 427, лл. 6 (11012).</w:t>
      </w:r>
    </w:p>
    <w:p w14:paraId="53C9BC1B" w14:textId="77777777" w:rsidR="006103B3" w:rsidRPr="00F90EAE" w:rsidRDefault="006103B3" w:rsidP="00F90EAE">
      <w:pPr>
        <w:autoSpaceDE w:val="0"/>
        <w:autoSpaceDN w:val="0"/>
        <w:adjustRightInd w:val="0"/>
        <w:jc w:val="both"/>
        <w:rPr>
          <w:color w:val="000000" w:themeColor="text1"/>
          <w:sz w:val="16"/>
          <w:szCs w:val="16"/>
        </w:rPr>
      </w:pPr>
    </w:p>
    <w:p w14:paraId="7D4242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9026 О вывозе оборудования немецких заводов специального стекла в г. г. Пирна, Мейссен и Тчерниц на заводы Наркомстройматериалов СССР. РГАНИР, Фонд ГКО, д. 427, лл. 7-8 (11012).</w:t>
      </w:r>
    </w:p>
    <w:p w14:paraId="71F5A243" w14:textId="77777777" w:rsidR="006103B3" w:rsidRPr="00F90EAE" w:rsidRDefault="006103B3" w:rsidP="00F90EAE">
      <w:pPr>
        <w:autoSpaceDE w:val="0"/>
        <w:autoSpaceDN w:val="0"/>
        <w:adjustRightInd w:val="0"/>
        <w:jc w:val="both"/>
        <w:rPr>
          <w:color w:val="000000" w:themeColor="text1"/>
          <w:sz w:val="16"/>
          <w:szCs w:val="16"/>
        </w:rPr>
      </w:pPr>
    </w:p>
    <w:p w14:paraId="775EE9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9027 О вывозе оборудования с немецких заводов деревообрабатывающей промышленности в городах Мюльрозе и Потсдам на домостроительные предприятия Наркомлеса СССР. РГАНИР, Фонд ГКО, д. 427, лл. 9-10 (11012).</w:t>
      </w:r>
    </w:p>
    <w:p w14:paraId="0F4170EF" w14:textId="77777777" w:rsidR="006103B3" w:rsidRPr="00F90EAE" w:rsidRDefault="006103B3" w:rsidP="00F90EAE">
      <w:pPr>
        <w:autoSpaceDE w:val="0"/>
        <w:autoSpaceDN w:val="0"/>
        <w:adjustRightInd w:val="0"/>
        <w:jc w:val="both"/>
        <w:rPr>
          <w:color w:val="000000" w:themeColor="text1"/>
          <w:sz w:val="16"/>
          <w:szCs w:val="16"/>
        </w:rPr>
      </w:pPr>
    </w:p>
    <w:p w14:paraId="5C9645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9028 О вывозе оборудования немецких предприятий в г. г. Франфурт-на-Одере, Берлин и Вайсвассер на заводы Наркомпищепрома СССР. РГАНИР, Фонд ГКО, д. 427, лл. 11, 12 (11012).</w:t>
      </w:r>
    </w:p>
    <w:p w14:paraId="0BE522AE" w14:textId="77777777" w:rsidR="006103B3" w:rsidRPr="00F90EAE" w:rsidRDefault="006103B3" w:rsidP="00F90EAE">
      <w:pPr>
        <w:autoSpaceDE w:val="0"/>
        <w:autoSpaceDN w:val="0"/>
        <w:adjustRightInd w:val="0"/>
        <w:jc w:val="both"/>
        <w:rPr>
          <w:color w:val="000000" w:themeColor="text1"/>
          <w:sz w:val="16"/>
          <w:szCs w:val="16"/>
        </w:rPr>
      </w:pPr>
    </w:p>
    <w:p w14:paraId="70701DD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9029 О вывозе оборудования лесопильных заводов в г. г. Ярлин, Фридлянд и Гайнрихсвальде на предприятия Наркомгражданстроя РСФСР. РГАНИР, Фонд ГКО, д. 427, лл. 13-14 (11012).</w:t>
      </w:r>
    </w:p>
    <w:p w14:paraId="18359687" w14:textId="77777777" w:rsidR="006103B3" w:rsidRPr="00F90EAE" w:rsidRDefault="006103B3" w:rsidP="00F90EAE">
      <w:pPr>
        <w:autoSpaceDE w:val="0"/>
        <w:autoSpaceDN w:val="0"/>
        <w:adjustRightInd w:val="0"/>
        <w:jc w:val="both"/>
        <w:rPr>
          <w:color w:val="000000" w:themeColor="text1"/>
          <w:sz w:val="16"/>
          <w:szCs w:val="16"/>
        </w:rPr>
      </w:pPr>
    </w:p>
    <w:p w14:paraId="5ADC6F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9030 О вывозе черных и цветных металлов с завода "Дюрметалл Верке" в г. Берлин на базы Главметаллосбыта в ГУГМР при СНК СССР. РГАНИР, Фонд ГКО, д. 427, лл. 15-16 (11012).</w:t>
      </w:r>
    </w:p>
    <w:p w14:paraId="55A37755" w14:textId="77777777" w:rsidR="006103B3" w:rsidRPr="00F90EAE" w:rsidRDefault="006103B3" w:rsidP="00F90EAE">
      <w:pPr>
        <w:autoSpaceDE w:val="0"/>
        <w:autoSpaceDN w:val="0"/>
        <w:adjustRightInd w:val="0"/>
        <w:jc w:val="both"/>
        <w:rPr>
          <w:color w:val="000000" w:themeColor="text1"/>
          <w:sz w:val="16"/>
          <w:szCs w:val="16"/>
        </w:rPr>
      </w:pPr>
    </w:p>
    <w:p w14:paraId="7B25D6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9031 О вывозе оборудования с немецких предприятий деревообрабатывающей промышленности для укомплектования деревообрабатывающего завода Псковского облисполкома. РГАНИР, Фонд ГКО, д. 427, лл. 17-18 (11012).</w:t>
      </w:r>
    </w:p>
    <w:p w14:paraId="759D897F" w14:textId="77777777" w:rsidR="006103B3" w:rsidRPr="00F90EAE" w:rsidRDefault="006103B3" w:rsidP="00F90EAE">
      <w:pPr>
        <w:autoSpaceDE w:val="0"/>
        <w:autoSpaceDN w:val="0"/>
        <w:adjustRightInd w:val="0"/>
        <w:jc w:val="both"/>
        <w:rPr>
          <w:color w:val="000000" w:themeColor="text1"/>
          <w:sz w:val="16"/>
          <w:szCs w:val="16"/>
        </w:rPr>
      </w:pPr>
    </w:p>
    <w:p w14:paraId="37B0B3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9032 О вывозе оборудования на особую базу № 3. РГАНИР, Фонд ГКО, д. 427, лл. 19 (11012).</w:t>
      </w:r>
    </w:p>
    <w:p w14:paraId="10E580D8" w14:textId="77777777" w:rsidR="006103B3" w:rsidRPr="00F90EAE" w:rsidRDefault="006103B3" w:rsidP="00F90EAE">
      <w:pPr>
        <w:autoSpaceDE w:val="0"/>
        <w:autoSpaceDN w:val="0"/>
        <w:adjustRightInd w:val="0"/>
        <w:jc w:val="both"/>
        <w:rPr>
          <w:color w:val="000000" w:themeColor="text1"/>
          <w:sz w:val="16"/>
          <w:szCs w:val="16"/>
        </w:rPr>
      </w:pPr>
    </w:p>
    <w:p w14:paraId="4F8C96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9033 О вывозе оборудования фабрики искусственного волокна и шерсти для Наркомтекстиля СССР. РГАНИР, Фонд ГКО, д. 427, лл. 20-26 (11012).</w:t>
      </w:r>
    </w:p>
    <w:p w14:paraId="5F7CDA70" w14:textId="77777777" w:rsidR="006103B3" w:rsidRPr="00F90EAE" w:rsidRDefault="006103B3" w:rsidP="00F90EAE">
      <w:pPr>
        <w:autoSpaceDE w:val="0"/>
        <w:autoSpaceDN w:val="0"/>
        <w:adjustRightInd w:val="0"/>
        <w:jc w:val="both"/>
        <w:rPr>
          <w:color w:val="000000" w:themeColor="text1"/>
          <w:sz w:val="16"/>
          <w:szCs w:val="16"/>
        </w:rPr>
      </w:pPr>
    </w:p>
    <w:p w14:paraId="53D4DC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9034 О вывозе оборудования фабрики искусственной кожи "Вайтинг Гезельшафт". РГАНИР, Фонд ГКО, д. 427, лл. 22 (11012).</w:t>
      </w:r>
    </w:p>
    <w:p w14:paraId="282EE21A" w14:textId="77777777" w:rsidR="006103B3" w:rsidRPr="00F90EAE" w:rsidRDefault="006103B3" w:rsidP="00F90EAE">
      <w:pPr>
        <w:autoSpaceDE w:val="0"/>
        <w:autoSpaceDN w:val="0"/>
        <w:adjustRightInd w:val="0"/>
        <w:jc w:val="both"/>
        <w:rPr>
          <w:color w:val="000000" w:themeColor="text1"/>
          <w:sz w:val="16"/>
          <w:szCs w:val="16"/>
        </w:rPr>
      </w:pPr>
    </w:p>
    <w:p w14:paraId="29A4D38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9035 О вывозе оборудования для восстановления обозного производства на предприятиях местной промышленности и промкооперации Украинской ССР. РГАНИР, Фонд ГКО, д. 427, лл. 23-25 (11012).</w:t>
      </w:r>
    </w:p>
    <w:p w14:paraId="33534127" w14:textId="77777777" w:rsidR="006103B3" w:rsidRPr="00F90EAE" w:rsidRDefault="006103B3" w:rsidP="00F90EAE">
      <w:pPr>
        <w:autoSpaceDE w:val="0"/>
        <w:autoSpaceDN w:val="0"/>
        <w:adjustRightInd w:val="0"/>
        <w:jc w:val="both"/>
        <w:rPr>
          <w:color w:val="000000" w:themeColor="text1"/>
          <w:sz w:val="16"/>
          <w:szCs w:val="16"/>
        </w:rPr>
      </w:pPr>
    </w:p>
    <w:p w14:paraId="1BF7329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55D6269" w14:textId="77777777" w:rsidR="006103B3" w:rsidRPr="00F90EAE" w:rsidRDefault="006103B3" w:rsidP="00F90EAE">
      <w:pPr>
        <w:autoSpaceDE w:val="0"/>
        <w:autoSpaceDN w:val="0"/>
        <w:adjustRightInd w:val="0"/>
        <w:jc w:val="both"/>
        <w:rPr>
          <w:iCs/>
          <w:color w:val="000000" w:themeColor="text1"/>
          <w:sz w:val="16"/>
          <w:szCs w:val="16"/>
        </w:rPr>
      </w:pPr>
    </w:p>
    <w:p w14:paraId="1A954A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июня 1945 вышло Постановление ГКО № 8940 О снабжении продовольствием населения г. Хемниц. РГАНИР, Фонд ГКО, д. 426, лл. 1-2 (11012).</w:t>
      </w:r>
    </w:p>
    <w:p w14:paraId="6C6699F0" w14:textId="77777777" w:rsidR="006103B3" w:rsidRPr="00F90EAE" w:rsidRDefault="006103B3" w:rsidP="00F90EAE">
      <w:pPr>
        <w:autoSpaceDE w:val="0"/>
        <w:autoSpaceDN w:val="0"/>
        <w:adjustRightInd w:val="0"/>
        <w:jc w:val="both"/>
        <w:rPr>
          <w:color w:val="000000" w:themeColor="text1"/>
          <w:sz w:val="16"/>
          <w:szCs w:val="16"/>
        </w:rPr>
      </w:pPr>
    </w:p>
    <w:p w14:paraId="372C843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1D9583F" w14:textId="77777777" w:rsidR="006103B3" w:rsidRPr="00F90EAE" w:rsidRDefault="006103B3" w:rsidP="00F90EAE">
      <w:pPr>
        <w:autoSpaceDE w:val="0"/>
        <w:autoSpaceDN w:val="0"/>
        <w:adjustRightInd w:val="0"/>
        <w:jc w:val="both"/>
        <w:rPr>
          <w:iCs/>
          <w:color w:val="000000" w:themeColor="text1"/>
          <w:sz w:val="16"/>
          <w:szCs w:val="16"/>
        </w:rPr>
      </w:pPr>
    </w:p>
    <w:p w14:paraId="4A1B450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8 июня 1945 у берегов Явы английская подлодка затопила японский крейсер “Ашигара” (4962).</w:t>
      </w:r>
    </w:p>
    <w:p w14:paraId="1334C73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97BE9E1" w14:textId="77777777" w:rsidR="00B5377E" w:rsidRPr="00F90EAE" w:rsidRDefault="00B5377E" w:rsidP="00F90EAE">
      <w:pPr>
        <w:jc w:val="both"/>
        <w:rPr>
          <w:color w:val="0070C0"/>
          <w:sz w:val="16"/>
          <w:szCs w:val="16"/>
        </w:rPr>
      </w:pPr>
      <w:r w:rsidRPr="00F90EAE">
        <w:rPr>
          <w:color w:val="0070C0"/>
          <w:sz w:val="16"/>
          <w:szCs w:val="16"/>
        </w:rPr>
        <w:t>8 июня 1945 г.</w:t>
      </w:r>
    </w:p>
    <w:p w14:paraId="21C8541A" w14:textId="77777777" w:rsidR="00B5377E" w:rsidRPr="00F90EAE" w:rsidRDefault="00B5377E" w:rsidP="00F90EAE">
      <w:pPr>
        <w:jc w:val="both"/>
        <w:rPr>
          <w:color w:val="0070C0"/>
          <w:sz w:val="16"/>
          <w:szCs w:val="16"/>
        </w:rPr>
      </w:pPr>
      <w:r w:rsidRPr="00F90EAE">
        <w:rPr>
          <w:color w:val="0070C0"/>
          <w:sz w:val="16"/>
          <w:szCs w:val="16"/>
        </w:rPr>
        <w:t>ИЗ ЗАКЛЮЧЕНИЯ НАЧАЛЬНИКОВ ШТАБОВ ВЕЛИКОБРИТАНИИ ОТНОСИТЕЛЬНО ПЛАНА ВОЙНЫ ПРОТИВ СССР</w:t>
      </w:r>
    </w:p>
    <w:p w14:paraId="1D4F2A8F" w14:textId="77777777" w:rsidR="00B5377E" w:rsidRPr="00F90EAE" w:rsidRDefault="00B5377E" w:rsidP="00F90EAE">
      <w:pPr>
        <w:jc w:val="both"/>
        <w:rPr>
          <w:color w:val="0070C0"/>
          <w:sz w:val="16"/>
          <w:szCs w:val="16"/>
        </w:rPr>
      </w:pPr>
      <w:r w:rsidRPr="00F90EAE">
        <w:rPr>
          <w:color w:val="0070C0"/>
          <w:sz w:val="16"/>
          <w:szCs w:val="16"/>
        </w:rPr>
        <w:t>(ПЛАНА «НЕМЫСЛИМОЕ»)</w:t>
      </w:r>
    </w:p>
    <w:p w14:paraId="012083E0" w14:textId="77777777" w:rsidR="00B5377E" w:rsidRPr="00F90EAE" w:rsidRDefault="00B5377E" w:rsidP="00F90EAE">
      <w:pPr>
        <w:jc w:val="both"/>
        <w:rPr>
          <w:color w:val="0070C0"/>
          <w:sz w:val="16"/>
          <w:szCs w:val="16"/>
        </w:rPr>
      </w:pPr>
      <w:r w:rsidRPr="00F90EAE">
        <w:rPr>
          <w:color w:val="0070C0"/>
          <w:sz w:val="16"/>
          <w:szCs w:val="16"/>
        </w:rPr>
        <w:t>8 июня 1945 г.</w:t>
      </w:r>
    </w:p>
    <w:p w14:paraId="576FC645" w14:textId="77777777" w:rsidR="00B5377E" w:rsidRPr="00F90EAE" w:rsidRDefault="00B5377E" w:rsidP="00F90EAE">
      <w:pPr>
        <w:jc w:val="both"/>
        <w:rPr>
          <w:color w:val="0070C0"/>
          <w:sz w:val="16"/>
          <w:szCs w:val="16"/>
        </w:rPr>
      </w:pPr>
      <w:r w:rsidRPr="00F90EAE">
        <w:rPr>
          <w:color w:val="0070C0"/>
          <w:sz w:val="16"/>
          <w:szCs w:val="16"/>
        </w:rPr>
        <w:t>Премьер-министру</w:t>
      </w:r>
    </w:p>
    <w:p w14:paraId="7616311C" w14:textId="77777777" w:rsidR="00B5377E" w:rsidRPr="00F90EAE" w:rsidRDefault="00B5377E" w:rsidP="00F90EAE">
      <w:pPr>
        <w:jc w:val="both"/>
        <w:rPr>
          <w:color w:val="0070C0"/>
          <w:sz w:val="16"/>
          <w:szCs w:val="16"/>
        </w:rPr>
      </w:pPr>
      <w:r w:rsidRPr="00F90EAE">
        <w:rPr>
          <w:color w:val="0070C0"/>
          <w:sz w:val="16"/>
          <w:szCs w:val="16"/>
        </w:rPr>
        <w:t>В соответствии с Вашими инструкциями, мы рассмотрели наши потенциальные возможности оказания давления на Россию путем угрозы или применения силы. Мы ограничиваемся тем, о чем свидетельствуют конкретные факты и цифры. Мы готовы обсудить их с Вами, если Вы того пожелаете.</w:t>
      </w:r>
    </w:p>
    <w:p w14:paraId="4C6707FE" w14:textId="77777777" w:rsidR="00B5377E" w:rsidRPr="00F90EAE" w:rsidRDefault="00B5377E" w:rsidP="00F90EAE">
      <w:pPr>
        <w:jc w:val="both"/>
        <w:rPr>
          <w:color w:val="0070C0"/>
          <w:sz w:val="16"/>
          <w:szCs w:val="16"/>
        </w:rPr>
      </w:pPr>
      <w:r w:rsidRPr="00F90EAE">
        <w:rPr>
          <w:color w:val="0070C0"/>
          <w:sz w:val="16"/>
          <w:szCs w:val="16"/>
        </w:rPr>
        <w:t>а) Сухопутные войска</w:t>
      </w:r>
    </w:p>
    <w:p w14:paraId="27AA68D3" w14:textId="77777777" w:rsidR="00B5377E" w:rsidRPr="00F90EAE" w:rsidRDefault="00B5377E" w:rsidP="00F90EAE">
      <w:pPr>
        <w:jc w:val="both"/>
        <w:rPr>
          <w:color w:val="0070C0"/>
          <w:sz w:val="16"/>
          <w:szCs w:val="16"/>
        </w:rPr>
      </w:pPr>
      <w:r w:rsidRPr="00F90EAE">
        <w:rPr>
          <w:color w:val="0070C0"/>
          <w:sz w:val="16"/>
          <w:szCs w:val="16"/>
        </w:rPr>
        <w:t>Русская дивизия отличается по своему составу от дивизии союзников. Поэтому мы пересчитали русские дивизии на их британский эквивалент. Наша оценка общего соотношения сил в Европе по состоянию на 1 июля:</w:t>
      </w:r>
    </w:p>
    <w:p w14:paraId="4F84406A" w14:textId="77777777" w:rsidR="00B5377E" w:rsidRPr="00F90EAE" w:rsidRDefault="00B5377E" w:rsidP="00F90EAE">
      <w:pPr>
        <w:jc w:val="both"/>
        <w:rPr>
          <w:color w:val="0070C0"/>
          <w:sz w:val="16"/>
          <w:szCs w:val="16"/>
        </w:rPr>
      </w:pPr>
      <w:r w:rsidRPr="00F90EAE">
        <w:rPr>
          <w:color w:val="0070C0"/>
          <w:sz w:val="16"/>
          <w:szCs w:val="16"/>
        </w:rPr>
        <w:t>Союзники</w:t>
      </w:r>
      <w:r w:rsidRPr="00F90EAE">
        <w:rPr>
          <w:color w:val="0070C0"/>
          <w:sz w:val="16"/>
          <w:szCs w:val="16"/>
        </w:rPr>
        <w:tab/>
      </w:r>
      <w:r w:rsidRPr="00F90EAE">
        <w:rPr>
          <w:color w:val="0070C0"/>
          <w:sz w:val="16"/>
          <w:szCs w:val="16"/>
        </w:rPr>
        <w:tab/>
        <w:t>Русские</w:t>
      </w:r>
    </w:p>
    <w:p w14:paraId="1FA81394" w14:textId="77777777" w:rsidR="00B5377E" w:rsidRPr="00F90EAE" w:rsidRDefault="00B5377E" w:rsidP="00F90EAE">
      <w:pPr>
        <w:jc w:val="both"/>
        <w:rPr>
          <w:color w:val="0070C0"/>
          <w:sz w:val="16"/>
          <w:szCs w:val="16"/>
        </w:rPr>
      </w:pPr>
      <w:r w:rsidRPr="00F90EAE">
        <w:rPr>
          <w:color w:val="0070C0"/>
          <w:sz w:val="16"/>
          <w:szCs w:val="16"/>
        </w:rPr>
        <w:t>США</w:t>
      </w:r>
      <w:r w:rsidRPr="00F90EAE">
        <w:rPr>
          <w:color w:val="0070C0"/>
          <w:sz w:val="16"/>
          <w:szCs w:val="16"/>
        </w:rPr>
        <w:tab/>
        <w:t>64 дивизии</w:t>
      </w:r>
      <w:r w:rsidRPr="00F90EAE">
        <w:rPr>
          <w:color w:val="0070C0"/>
          <w:sz w:val="16"/>
          <w:szCs w:val="16"/>
        </w:rPr>
        <w:tab/>
      </w:r>
    </w:p>
    <w:p w14:paraId="0E03CBEB" w14:textId="77777777" w:rsidR="00B5377E" w:rsidRPr="00F90EAE" w:rsidRDefault="00B5377E" w:rsidP="00F90EAE">
      <w:pPr>
        <w:jc w:val="both"/>
        <w:rPr>
          <w:color w:val="0070C0"/>
          <w:sz w:val="16"/>
          <w:szCs w:val="16"/>
        </w:rPr>
      </w:pPr>
      <w:r w:rsidRPr="00F90EAE">
        <w:rPr>
          <w:color w:val="0070C0"/>
          <w:sz w:val="16"/>
          <w:szCs w:val="16"/>
        </w:rPr>
        <w:t>Британия и доминионы</w:t>
      </w:r>
      <w:r w:rsidRPr="00F90EAE">
        <w:rPr>
          <w:color w:val="0070C0"/>
          <w:sz w:val="16"/>
          <w:szCs w:val="16"/>
        </w:rPr>
        <w:tab/>
        <w:t>35 дивизий</w:t>
      </w:r>
      <w:r w:rsidRPr="00F90EAE">
        <w:rPr>
          <w:color w:val="0070C0"/>
          <w:sz w:val="16"/>
          <w:szCs w:val="16"/>
        </w:rPr>
        <w:tab/>
      </w:r>
    </w:p>
    <w:p w14:paraId="42B29DDC" w14:textId="77777777" w:rsidR="00B5377E" w:rsidRPr="00F90EAE" w:rsidRDefault="00B5377E" w:rsidP="00F90EAE">
      <w:pPr>
        <w:jc w:val="both"/>
        <w:rPr>
          <w:color w:val="0070C0"/>
          <w:sz w:val="16"/>
          <w:szCs w:val="16"/>
        </w:rPr>
      </w:pPr>
      <w:r w:rsidRPr="00F90EAE">
        <w:rPr>
          <w:color w:val="0070C0"/>
          <w:sz w:val="16"/>
          <w:szCs w:val="16"/>
        </w:rPr>
        <w:t>Польша</w:t>
      </w:r>
      <w:r w:rsidRPr="00F90EAE">
        <w:rPr>
          <w:color w:val="0070C0"/>
          <w:sz w:val="16"/>
          <w:szCs w:val="16"/>
        </w:rPr>
        <w:tab/>
        <w:t>4 дивизии</w:t>
      </w:r>
      <w:r w:rsidRPr="00F90EAE">
        <w:rPr>
          <w:color w:val="0070C0"/>
          <w:sz w:val="16"/>
          <w:szCs w:val="16"/>
        </w:rPr>
        <w:tab/>
      </w:r>
    </w:p>
    <w:p w14:paraId="595ED032" w14:textId="77777777" w:rsidR="00B5377E" w:rsidRPr="00F90EAE" w:rsidRDefault="00B5377E" w:rsidP="00F90EAE">
      <w:pPr>
        <w:jc w:val="both"/>
        <w:rPr>
          <w:color w:val="0070C0"/>
          <w:sz w:val="16"/>
          <w:szCs w:val="16"/>
        </w:rPr>
      </w:pPr>
      <w:r w:rsidRPr="00F90EAE">
        <w:rPr>
          <w:color w:val="0070C0"/>
          <w:sz w:val="16"/>
          <w:szCs w:val="16"/>
        </w:rPr>
        <w:t>Всего</w:t>
      </w:r>
      <w:r w:rsidRPr="00F90EAE">
        <w:rPr>
          <w:color w:val="0070C0"/>
          <w:sz w:val="16"/>
          <w:szCs w:val="16"/>
        </w:rPr>
        <w:tab/>
        <w:t>103 дивизии (в т. ч. 36 танковых)</w:t>
      </w:r>
      <w:r w:rsidRPr="00F90EAE">
        <w:rPr>
          <w:color w:val="0070C0"/>
          <w:sz w:val="16"/>
          <w:szCs w:val="16"/>
        </w:rPr>
        <w:tab/>
        <w:t>264 дивизии</w:t>
      </w:r>
    </w:p>
    <w:p w14:paraId="2565EEC0" w14:textId="77777777" w:rsidR="00B5377E" w:rsidRPr="00F90EAE" w:rsidRDefault="00B5377E" w:rsidP="00F90EAE">
      <w:pPr>
        <w:jc w:val="both"/>
        <w:rPr>
          <w:color w:val="0070C0"/>
          <w:sz w:val="16"/>
          <w:szCs w:val="16"/>
        </w:rPr>
      </w:pPr>
      <w:r w:rsidRPr="00F90EAE">
        <w:rPr>
          <w:color w:val="0070C0"/>
          <w:sz w:val="16"/>
          <w:szCs w:val="16"/>
        </w:rPr>
        <w:t>б) Военно-воздушные силы</w:t>
      </w:r>
    </w:p>
    <w:p w14:paraId="5284F465" w14:textId="77777777" w:rsidR="00B5377E" w:rsidRPr="00F90EAE" w:rsidRDefault="00B5377E" w:rsidP="00F90EAE">
      <w:pPr>
        <w:jc w:val="both"/>
        <w:rPr>
          <w:color w:val="0070C0"/>
          <w:sz w:val="16"/>
          <w:szCs w:val="16"/>
        </w:rPr>
      </w:pPr>
      <w:r w:rsidRPr="00F90EAE">
        <w:rPr>
          <w:color w:val="0070C0"/>
          <w:sz w:val="16"/>
          <w:szCs w:val="16"/>
        </w:rPr>
        <w:t>Союзники (число самолетов)</w:t>
      </w:r>
      <w:r w:rsidRPr="00F90EAE">
        <w:rPr>
          <w:color w:val="0070C0"/>
          <w:sz w:val="16"/>
          <w:szCs w:val="16"/>
        </w:rPr>
        <w:tab/>
      </w:r>
      <w:r w:rsidRPr="00F90EAE">
        <w:rPr>
          <w:color w:val="0070C0"/>
          <w:sz w:val="16"/>
          <w:szCs w:val="16"/>
        </w:rPr>
        <w:tab/>
      </w:r>
      <w:r w:rsidRPr="00F90EAE">
        <w:rPr>
          <w:color w:val="0070C0"/>
          <w:sz w:val="16"/>
          <w:szCs w:val="16"/>
        </w:rPr>
        <w:tab/>
        <w:t>Русские  (число самолетов)</w:t>
      </w:r>
      <w:r w:rsidRPr="00F90EAE">
        <w:rPr>
          <w:color w:val="0070C0"/>
          <w:sz w:val="16"/>
          <w:szCs w:val="16"/>
        </w:rPr>
        <w:tab/>
      </w:r>
    </w:p>
    <w:p w14:paraId="51A0ACD1" w14:textId="77777777" w:rsidR="00B5377E" w:rsidRPr="00F90EAE" w:rsidRDefault="00B5377E" w:rsidP="00F90EAE">
      <w:pPr>
        <w:jc w:val="both"/>
        <w:rPr>
          <w:color w:val="0070C0"/>
          <w:sz w:val="16"/>
          <w:szCs w:val="16"/>
        </w:rPr>
      </w:pPr>
      <w:r w:rsidRPr="00F90EAE">
        <w:rPr>
          <w:color w:val="0070C0"/>
          <w:sz w:val="16"/>
          <w:szCs w:val="16"/>
        </w:rPr>
        <w:tab/>
        <w:t>тактическая</w:t>
      </w:r>
      <w:r w:rsidRPr="00F90EAE">
        <w:rPr>
          <w:color w:val="0070C0"/>
          <w:sz w:val="16"/>
          <w:szCs w:val="16"/>
        </w:rPr>
        <w:tab/>
        <w:t>стратегическая</w:t>
      </w:r>
      <w:r w:rsidRPr="00F90EAE">
        <w:rPr>
          <w:color w:val="0070C0"/>
          <w:sz w:val="16"/>
          <w:szCs w:val="16"/>
        </w:rPr>
        <w:tab/>
        <w:t>тактическая</w:t>
      </w:r>
      <w:r w:rsidRPr="00F90EAE">
        <w:rPr>
          <w:color w:val="0070C0"/>
          <w:sz w:val="16"/>
          <w:szCs w:val="16"/>
        </w:rPr>
        <w:tab/>
        <w:t>стратегическая</w:t>
      </w:r>
    </w:p>
    <w:p w14:paraId="1C12BDDF" w14:textId="77777777" w:rsidR="00B5377E" w:rsidRPr="00F90EAE" w:rsidRDefault="00B5377E" w:rsidP="00F90EAE">
      <w:pPr>
        <w:jc w:val="both"/>
        <w:rPr>
          <w:color w:val="0070C0"/>
          <w:sz w:val="16"/>
          <w:szCs w:val="16"/>
        </w:rPr>
      </w:pPr>
      <w:r w:rsidRPr="00F90EAE">
        <w:rPr>
          <w:color w:val="0070C0"/>
          <w:sz w:val="16"/>
          <w:szCs w:val="16"/>
        </w:rPr>
        <w:tab/>
        <w:t>авиация</w:t>
      </w:r>
      <w:r w:rsidRPr="00F90EAE">
        <w:rPr>
          <w:color w:val="0070C0"/>
          <w:sz w:val="16"/>
          <w:szCs w:val="16"/>
        </w:rPr>
        <w:tab/>
        <w:t>авиация</w:t>
      </w:r>
      <w:r w:rsidRPr="00F90EAE">
        <w:rPr>
          <w:color w:val="0070C0"/>
          <w:sz w:val="16"/>
          <w:szCs w:val="16"/>
        </w:rPr>
        <w:tab/>
        <w:t>авиация</w:t>
      </w:r>
      <w:r w:rsidRPr="00F90EAE">
        <w:rPr>
          <w:color w:val="0070C0"/>
          <w:sz w:val="16"/>
          <w:szCs w:val="16"/>
        </w:rPr>
        <w:tab/>
        <w:t>авиация</w:t>
      </w:r>
    </w:p>
    <w:p w14:paraId="160AD5BA" w14:textId="77777777" w:rsidR="00B5377E" w:rsidRPr="00F90EAE" w:rsidRDefault="00B5377E" w:rsidP="00F90EAE">
      <w:pPr>
        <w:jc w:val="both"/>
        <w:rPr>
          <w:color w:val="0070C0"/>
          <w:sz w:val="16"/>
          <w:szCs w:val="16"/>
        </w:rPr>
      </w:pPr>
      <w:r w:rsidRPr="00F90EAE">
        <w:rPr>
          <w:color w:val="0070C0"/>
          <w:sz w:val="16"/>
          <w:szCs w:val="16"/>
        </w:rPr>
        <w:t>США</w:t>
      </w:r>
      <w:r w:rsidRPr="00F90EAE">
        <w:rPr>
          <w:color w:val="0070C0"/>
          <w:sz w:val="16"/>
          <w:szCs w:val="16"/>
        </w:rPr>
        <w:tab/>
        <w:t>3480</w:t>
      </w:r>
      <w:r w:rsidRPr="00F90EAE">
        <w:rPr>
          <w:color w:val="0070C0"/>
          <w:sz w:val="16"/>
          <w:szCs w:val="16"/>
        </w:rPr>
        <w:tab/>
        <w:t>1008</w:t>
      </w:r>
      <w:r w:rsidRPr="00F90EAE">
        <w:rPr>
          <w:color w:val="0070C0"/>
          <w:sz w:val="16"/>
          <w:szCs w:val="16"/>
        </w:rPr>
        <w:tab/>
      </w:r>
      <w:r w:rsidRPr="00F90EAE">
        <w:rPr>
          <w:color w:val="0070C0"/>
          <w:sz w:val="16"/>
          <w:szCs w:val="16"/>
        </w:rPr>
        <w:tab/>
      </w:r>
    </w:p>
    <w:p w14:paraId="38B5FF83" w14:textId="77777777" w:rsidR="00B5377E" w:rsidRPr="00F90EAE" w:rsidRDefault="00B5377E" w:rsidP="00F90EAE">
      <w:pPr>
        <w:jc w:val="both"/>
        <w:rPr>
          <w:color w:val="0070C0"/>
          <w:sz w:val="16"/>
          <w:szCs w:val="16"/>
        </w:rPr>
      </w:pPr>
      <w:r w:rsidRPr="00F90EAE">
        <w:rPr>
          <w:color w:val="0070C0"/>
          <w:sz w:val="16"/>
          <w:szCs w:val="16"/>
        </w:rPr>
        <w:t>Британия</w:t>
      </w:r>
      <w:r w:rsidRPr="00F90EAE">
        <w:rPr>
          <w:color w:val="0070C0"/>
          <w:sz w:val="16"/>
          <w:szCs w:val="16"/>
        </w:rPr>
        <w:tab/>
        <w:t>2370</w:t>
      </w:r>
      <w:r w:rsidRPr="00F90EAE">
        <w:rPr>
          <w:color w:val="0070C0"/>
          <w:sz w:val="16"/>
          <w:szCs w:val="16"/>
        </w:rPr>
        <w:tab/>
        <w:t>1722</w:t>
      </w:r>
      <w:r w:rsidRPr="00F90EAE">
        <w:rPr>
          <w:color w:val="0070C0"/>
          <w:sz w:val="16"/>
          <w:szCs w:val="16"/>
        </w:rPr>
        <w:tab/>
      </w:r>
      <w:r w:rsidRPr="00F90EAE">
        <w:rPr>
          <w:color w:val="0070C0"/>
          <w:sz w:val="16"/>
          <w:szCs w:val="16"/>
        </w:rPr>
        <w:tab/>
      </w:r>
    </w:p>
    <w:p w14:paraId="39180E3F" w14:textId="77777777" w:rsidR="00B5377E" w:rsidRPr="00F90EAE" w:rsidRDefault="00B5377E" w:rsidP="00F90EAE">
      <w:pPr>
        <w:jc w:val="both"/>
        <w:rPr>
          <w:color w:val="0070C0"/>
          <w:sz w:val="16"/>
          <w:szCs w:val="16"/>
        </w:rPr>
      </w:pPr>
      <w:r w:rsidRPr="00F90EAE">
        <w:rPr>
          <w:color w:val="0070C0"/>
          <w:sz w:val="16"/>
          <w:szCs w:val="16"/>
        </w:rPr>
        <w:t>И доминионы</w:t>
      </w:r>
      <w:r w:rsidRPr="00F90EAE">
        <w:rPr>
          <w:color w:val="0070C0"/>
          <w:sz w:val="16"/>
          <w:szCs w:val="16"/>
        </w:rPr>
        <w:tab/>
      </w:r>
      <w:r w:rsidRPr="00F90EAE">
        <w:rPr>
          <w:color w:val="0070C0"/>
          <w:sz w:val="16"/>
          <w:szCs w:val="16"/>
        </w:rPr>
        <w:tab/>
      </w:r>
      <w:r w:rsidRPr="00F90EAE">
        <w:rPr>
          <w:color w:val="0070C0"/>
          <w:sz w:val="16"/>
          <w:szCs w:val="16"/>
        </w:rPr>
        <w:tab/>
      </w:r>
      <w:r w:rsidRPr="00F90EAE">
        <w:rPr>
          <w:color w:val="0070C0"/>
          <w:sz w:val="16"/>
          <w:szCs w:val="16"/>
        </w:rPr>
        <w:tab/>
      </w:r>
    </w:p>
    <w:p w14:paraId="6AE74F91" w14:textId="77777777" w:rsidR="00B5377E" w:rsidRPr="00F90EAE" w:rsidRDefault="00B5377E" w:rsidP="00F90EAE">
      <w:pPr>
        <w:jc w:val="both"/>
        <w:rPr>
          <w:color w:val="0070C0"/>
          <w:sz w:val="16"/>
          <w:szCs w:val="16"/>
        </w:rPr>
      </w:pPr>
      <w:r w:rsidRPr="00F90EAE">
        <w:rPr>
          <w:color w:val="0070C0"/>
          <w:sz w:val="16"/>
          <w:szCs w:val="16"/>
        </w:rPr>
        <w:t>Польша</w:t>
      </w:r>
      <w:r w:rsidRPr="00F90EAE">
        <w:rPr>
          <w:color w:val="0070C0"/>
          <w:sz w:val="16"/>
          <w:szCs w:val="16"/>
        </w:rPr>
        <w:tab/>
        <w:t>198</w:t>
      </w:r>
      <w:r w:rsidRPr="00F90EAE">
        <w:rPr>
          <w:color w:val="0070C0"/>
          <w:sz w:val="16"/>
          <w:szCs w:val="16"/>
        </w:rPr>
        <w:tab/>
        <w:t>20</w:t>
      </w:r>
      <w:r w:rsidRPr="00F90EAE">
        <w:rPr>
          <w:color w:val="0070C0"/>
          <w:sz w:val="16"/>
          <w:szCs w:val="16"/>
        </w:rPr>
        <w:tab/>
      </w:r>
      <w:r w:rsidRPr="00F90EAE">
        <w:rPr>
          <w:color w:val="0070C0"/>
          <w:sz w:val="16"/>
          <w:szCs w:val="16"/>
        </w:rPr>
        <w:tab/>
      </w:r>
    </w:p>
    <w:p w14:paraId="46E44EDC" w14:textId="77777777" w:rsidR="00B5377E" w:rsidRPr="00F90EAE" w:rsidRDefault="00B5377E" w:rsidP="00F90EAE">
      <w:pPr>
        <w:jc w:val="both"/>
        <w:rPr>
          <w:color w:val="0070C0"/>
          <w:sz w:val="16"/>
          <w:szCs w:val="16"/>
        </w:rPr>
      </w:pPr>
      <w:r w:rsidRPr="00F90EAE">
        <w:rPr>
          <w:color w:val="0070C0"/>
          <w:sz w:val="16"/>
          <w:szCs w:val="16"/>
        </w:rPr>
        <w:t>Всего</w:t>
      </w:r>
      <w:r w:rsidRPr="00F90EAE">
        <w:rPr>
          <w:color w:val="0070C0"/>
          <w:sz w:val="16"/>
          <w:szCs w:val="16"/>
        </w:rPr>
        <w:tab/>
        <w:t>6048</w:t>
      </w:r>
      <w:r w:rsidRPr="00F90EAE">
        <w:rPr>
          <w:color w:val="0070C0"/>
          <w:sz w:val="16"/>
          <w:szCs w:val="16"/>
        </w:rPr>
        <w:tab/>
        <w:t>2750</w:t>
      </w:r>
      <w:r w:rsidRPr="00F90EAE">
        <w:rPr>
          <w:color w:val="0070C0"/>
          <w:sz w:val="16"/>
          <w:szCs w:val="16"/>
        </w:rPr>
        <w:tab/>
        <w:t>И 802</w:t>
      </w:r>
      <w:r w:rsidRPr="00F90EAE">
        <w:rPr>
          <w:color w:val="0070C0"/>
          <w:sz w:val="16"/>
          <w:szCs w:val="16"/>
        </w:rPr>
        <w:tab/>
        <w:t>960</w:t>
      </w:r>
    </w:p>
    <w:p w14:paraId="3FB21807" w14:textId="77777777" w:rsidR="00B5377E" w:rsidRPr="00F90EAE" w:rsidRDefault="00B5377E" w:rsidP="00F90EAE">
      <w:pPr>
        <w:jc w:val="both"/>
        <w:rPr>
          <w:color w:val="0070C0"/>
          <w:sz w:val="16"/>
          <w:szCs w:val="16"/>
        </w:rPr>
      </w:pPr>
      <w:r w:rsidRPr="00F90EAE">
        <w:rPr>
          <w:color w:val="0070C0"/>
          <w:sz w:val="16"/>
          <w:szCs w:val="16"/>
        </w:rPr>
        <w:t>Превосходство в численности русской авиации будет в течение определенного времени компенсироваться значительным превосходством союзников в ее управлении и эффективности, особенно стратегической авиации. Однако, после определенного периода времени операций наши воздушные силы будут серьезно ослаблены из-за недостатка в восполнении самолетов и экипажей.</w:t>
      </w:r>
    </w:p>
    <w:p w14:paraId="2E5090AC" w14:textId="77777777" w:rsidR="00B5377E" w:rsidRPr="00F90EAE" w:rsidRDefault="00B5377E" w:rsidP="00F90EAE">
      <w:pPr>
        <w:jc w:val="both"/>
        <w:rPr>
          <w:color w:val="0070C0"/>
          <w:sz w:val="16"/>
          <w:szCs w:val="16"/>
        </w:rPr>
      </w:pPr>
      <w:r w:rsidRPr="00F90EAE">
        <w:rPr>
          <w:color w:val="0070C0"/>
          <w:sz w:val="16"/>
          <w:szCs w:val="16"/>
        </w:rPr>
        <w:t>в) Военно-морские силы</w:t>
      </w:r>
    </w:p>
    <w:p w14:paraId="63CADEF0" w14:textId="77777777" w:rsidR="00B5377E" w:rsidRPr="00F90EAE" w:rsidRDefault="00B5377E" w:rsidP="00F90EAE">
      <w:pPr>
        <w:jc w:val="both"/>
        <w:rPr>
          <w:color w:val="0070C0"/>
          <w:sz w:val="16"/>
          <w:szCs w:val="16"/>
        </w:rPr>
      </w:pPr>
      <w:r w:rsidRPr="00F90EAE">
        <w:rPr>
          <w:color w:val="0070C0"/>
          <w:sz w:val="16"/>
          <w:szCs w:val="16"/>
        </w:rPr>
        <w:t>Союзники безусловно могут обеспечить доминирующее превосходство своих сил на море.</w:t>
      </w:r>
    </w:p>
    <w:p w14:paraId="78D78FD3" w14:textId="77777777" w:rsidR="00B5377E" w:rsidRPr="00F90EAE" w:rsidRDefault="00B5377E" w:rsidP="00F90EAE">
      <w:pPr>
        <w:jc w:val="both"/>
        <w:rPr>
          <w:color w:val="0070C0"/>
          <w:sz w:val="16"/>
          <w:szCs w:val="16"/>
        </w:rPr>
      </w:pPr>
      <w:r w:rsidRPr="00F90EAE">
        <w:rPr>
          <w:color w:val="0070C0"/>
          <w:sz w:val="16"/>
          <w:szCs w:val="16"/>
        </w:rPr>
        <w:t>3. Из соотношения сухопутных сил сторон ясно, что мы не располагаем возможностями наступления с целью достижения быстрого успеха. Учитывая, однако, что русские и союзнические сухопутные войска соприкасаются от Балтики до Средиземного моря мы должны быть готовы к операциям на сухопутном театре.</w:t>
      </w:r>
    </w:p>
    <w:p w14:paraId="00B58E6A" w14:textId="77777777" w:rsidR="00B5377E" w:rsidRPr="00F90EAE" w:rsidRDefault="00B5377E" w:rsidP="00F90EAE">
      <w:pPr>
        <w:jc w:val="both"/>
        <w:rPr>
          <w:color w:val="0070C0"/>
          <w:sz w:val="16"/>
          <w:szCs w:val="16"/>
        </w:rPr>
      </w:pPr>
      <w:r w:rsidRPr="00F90EAE">
        <w:rPr>
          <w:color w:val="0070C0"/>
          <w:sz w:val="16"/>
          <w:szCs w:val="16"/>
        </w:rPr>
        <w:t>[...]</w:t>
      </w:r>
    </w:p>
    <w:p w14:paraId="50251641" w14:textId="77777777" w:rsidR="00B5377E" w:rsidRPr="00F90EAE" w:rsidRDefault="00B5377E" w:rsidP="00F90EAE">
      <w:pPr>
        <w:jc w:val="both"/>
        <w:rPr>
          <w:color w:val="0070C0"/>
          <w:sz w:val="16"/>
          <w:szCs w:val="16"/>
        </w:rPr>
      </w:pPr>
      <w:r w:rsidRPr="00F90EAE">
        <w:rPr>
          <w:color w:val="0070C0"/>
          <w:sz w:val="16"/>
          <w:szCs w:val="16"/>
        </w:rPr>
        <w:t>4. Поэтому мы считаем, что если начнется война достигнуть быстрого ограниченного успеха будет вне наших возможностей и мы окажемся втянутыми в длительную войну против превосходящих сил. Более того, превосходство этих сил может непомерно возрасти, если возрастет усталость и безразличие американцев и их оттянет на свою сторону магнит войны на Тихом океане. [...]</w:t>
      </w:r>
    </w:p>
    <w:p w14:paraId="39D399BA" w14:textId="77777777" w:rsidR="00B5377E" w:rsidRPr="00F90EAE" w:rsidRDefault="00B5377E" w:rsidP="00F90EAE">
      <w:pPr>
        <w:jc w:val="both"/>
        <w:rPr>
          <w:color w:val="0070C0"/>
          <w:sz w:val="16"/>
          <w:szCs w:val="16"/>
        </w:rPr>
      </w:pPr>
      <w:r w:rsidRPr="00F90EAE">
        <w:rPr>
          <w:color w:val="0070C0"/>
          <w:sz w:val="16"/>
          <w:szCs w:val="16"/>
        </w:rPr>
        <w:t>Начальник Имперского генерального штаба фельдмаршал А. БРУК</w:t>
      </w:r>
    </w:p>
    <w:p w14:paraId="05BD38E9" w14:textId="77777777" w:rsidR="00B5377E" w:rsidRPr="00F90EAE" w:rsidRDefault="00B5377E" w:rsidP="00F90EAE">
      <w:pPr>
        <w:jc w:val="both"/>
        <w:rPr>
          <w:color w:val="0070C0"/>
          <w:sz w:val="16"/>
          <w:szCs w:val="16"/>
        </w:rPr>
      </w:pPr>
      <w:r w:rsidRPr="00F90EAE">
        <w:rPr>
          <w:color w:val="0070C0"/>
          <w:sz w:val="16"/>
          <w:szCs w:val="16"/>
        </w:rPr>
        <w:lastRenderedPageBreak/>
        <w:t>[...]</w:t>
      </w:r>
    </w:p>
    <w:p w14:paraId="473CE8EF" w14:textId="77777777" w:rsidR="00B5377E" w:rsidRPr="00F90EAE" w:rsidRDefault="00B5377E" w:rsidP="00F90EAE">
      <w:pPr>
        <w:jc w:val="both"/>
        <w:rPr>
          <w:color w:val="0070C0"/>
          <w:sz w:val="16"/>
          <w:szCs w:val="16"/>
        </w:rPr>
      </w:pPr>
      <w:r w:rsidRPr="00F90EAE">
        <w:rPr>
          <w:color w:val="0070C0"/>
          <w:sz w:val="16"/>
          <w:szCs w:val="16"/>
        </w:rPr>
        <w:t>Ржешевский О. А. Секретные военные планы У. Черчилля против СССР в мае 1945 г. // Новая и новейшая история. 1999. № 3 (20922).</w:t>
      </w:r>
    </w:p>
    <w:p w14:paraId="06C0EBB3" w14:textId="77777777" w:rsidR="00B5377E" w:rsidRPr="00F90EAE" w:rsidRDefault="00B5377E" w:rsidP="00F90EAE">
      <w:pPr>
        <w:jc w:val="both"/>
        <w:rPr>
          <w:color w:val="0070C0"/>
          <w:sz w:val="16"/>
          <w:szCs w:val="16"/>
        </w:rPr>
      </w:pPr>
    </w:p>
    <w:p w14:paraId="6ACC158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2628F85" w14:textId="77777777" w:rsidR="006103B3" w:rsidRPr="00F90EAE" w:rsidRDefault="006103B3" w:rsidP="00F90EAE">
      <w:pPr>
        <w:autoSpaceDE w:val="0"/>
        <w:autoSpaceDN w:val="0"/>
        <w:adjustRightInd w:val="0"/>
        <w:jc w:val="both"/>
        <w:rPr>
          <w:iCs/>
          <w:color w:val="000000" w:themeColor="text1"/>
          <w:sz w:val="16"/>
          <w:szCs w:val="16"/>
        </w:rPr>
      </w:pPr>
    </w:p>
    <w:p w14:paraId="0A28B3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закончились заводские испытания на ЦА Як-3У с АШ-82ФН, построенного с 20 января по 23 апреля 1945 сначала в Новосибирске, а затем в Москве, которые шли с 29 апреля 1945. Первый вылет был 12 мая (летал П.Я.Федрови). Всего было 19 полетов продолжительностью 8:40. Ведущий к В.В.Барсуков, ведущий и по испытаниям - А.М.Дружинин, м - А.М.Гусев (65,198).</w:t>
      </w:r>
    </w:p>
    <w:p w14:paraId="566A4D2B" w14:textId="77777777" w:rsidR="006103B3" w:rsidRPr="00F90EAE" w:rsidRDefault="006103B3" w:rsidP="00F90EAE">
      <w:pPr>
        <w:autoSpaceDE w:val="0"/>
        <w:autoSpaceDN w:val="0"/>
        <w:adjustRightInd w:val="0"/>
        <w:jc w:val="both"/>
        <w:rPr>
          <w:color w:val="000000" w:themeColor="text1"/>
          <w:sz w:val="16"/>
          <w:szCs w:val="16"/>
        </w:rPr>
      </w:pPr>
    </w:p>
    <w:p w14:paraId="471F5B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года закончились государственные испытания Як-3 ВК-107А с металлическим крылом, которые шли с 21 мая, и акт по их результатам утвердили 27 июня 1945 года.</w:t>
      </w:r>
    </w:p>
    <w:p w14:paraId="18F64D7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3C075681" w14:textId="77777777" w:rsidR="006103B3" w:rsidRPr="00F90EAE" w:rsidRDefault="006103B3" w:rsidP="00F90EAE">
      <w:pPr>
        <w:autoSpaceDE w:val="0"/>
        <w:autoSpaceDN w:val="0"/>
        <w:adjustRightInd w:val="0"/>
        <w:jc w:val="both"/>
        <w:rPr>
          <w:color w:val="000000" w:themeColor="text1"/>
          <w:sz w:val="16"/>
          <w:szCs w:val="16"/>
        </w:rPr>
      </w:pPr>
    </w:p>
    <w:p w14:paraId="008E5F25" w14:textId="77777777" w:rsidR="00D7144C" w:rsidRPr="00F90EAE" w:rsidRDefault="00D7144C" w:rsidP="00F90EAE">
      <w:pPr>
        <w:jc w:val="both"/>
        <w:rPr>
          <w:color w:val="000000" w:themeColor="text1"/>
          <w:sz w:val="16"/>
          <w:szCs w:val="16"/>
        </w:rPr>
      </w:pPr>
      <w:r w:rsidRPr="00F90EAE">
        <w:rPr>
          <w:bCs/>
          <w:color w:val="000000" w:themeColor="text1"/>
          <w:sz w:val="16"/>
          <w:szCs w:val="16"/>
        </w:rPr>
        <w:t>9 июня</w:t>
      </w:r>
      <w:r w:rsidRPr="00F90EAE">
        <w:rPr>
          <w:color w:val="000000" w:themeColor="text1"/>
          <w:sz w:val="16"/>
          <w:szCs w:val="16"/>
        </w:rPr>
        <w:t xml:space="preserve"> в 1945 году на Центральном аэродроме Москвы завершились (с 29 апреля) заводские испытания самолета </w:t>
      </w:r>
      <w:hyperlink r:id="rId145" w:tgtFrame="_blank" w:history="1">
        <w:r w:rsidRPr="00F90EAE">
          <w:rPr>
            <w:color w:val="000000" w:themeColor="text1"/>
            <w:sz w:val="16"/>
            <w:szCs w:val="16"/>
          </w:rPr>
          <w:t xml:space="preserve">«Як-3У». </w:t>
        </w:r>
      </w:hyperlink>
      <w:r w:rsidRPr="00F90EAE">
        <w:rPr>
          <w:color w:val="000000" w:themeColor="text1"/>
          <w:sz w:val="16"/>
          <w:szCs w:val="16"/>
        </w:rPr>
        <w:t>«Як-ЗУ» построен ОКБ А.С.Яковлева по постановлению ГКО в одном экземпляре с 20 января по 23 апреля 1945 г. (постройка начата в Hовосибирске и закончена в Москве). Этот самолет представлял собой попытку «скрестить» планер Як-3 с двигателем Швецова. Большая мощ¬ность двигателя давала надежду на то, что «Як-3» в этой модификации может стать лучшим советским истребителем. Чтобы установить на истребитель звез¬дообразный двигатель потребовалось радикальным образом переработать носовую часть фюзеляжа. Некоторые конструктивные изменения пришлось внести и в другие части самолета. Первый вылет состоялся 12 мая 1945 года. Было произведено 19 полетов общей продолжительностью 8 ч 40 мин. Ведущий летчик-испытатель П.Я.Федрови, ведущий конструктор В.В.Барсуков, ведущий инженер по испытаниям А.М.Дружинин и механик А.М.Гусев. Были получены скорость 682 км/ч на высоте 6000 м и время набора высоты 5000 м - 3,9 мин. После завершения заводских испытаний самолет был 15 июня 1945 года возвращен в ОКБ для доработки, в процессе которой было установлено металлическое крыло взамен деревянного; увеличена эффективность триммера руля высоты; увеличен противокапотажный угол до 25° за счет увеличения выноса шасси на 80 мм и увеличения угла установки щкворней; произведена герметизация капота двигателя и выполнены некоторые другие работы. Полетная масса благодаря металлическому крылу должна была снизиться с 2792 до 2740 кг. Доработку закончили 25 сентября 1945 г. Самолет получился в общем удачным. Однако к концу войны он был уже не нужен, поэтому испытаний не проходил и все работы на нем были прекращены (14917).</w:t>
      </w:r>
    </w:p>
    <w:p w14:paraId="70E4BE78" w14:textId="77777777" w:rsidR="00D7144C" w:rsidRPr="00F90EAE" w:rsidRDefault="00D7144C" w:rsidP="00F90EAE">
      <w:pPr>
        <w:jc w:val="both"/>
        <w:rPr>
          <w:color w:val="000000" w:themeColor="text1"/>
          <w:sz w:val="16"/>
          <w:szCs w:val="16"/>
        </w:rPr>
      </w:pPr>
    </w:p>
    <w:p w14:paraId="126BEBFF"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14951F4" w14:textId="77777777" w:rsidR="006103B3" w:rsidRPr="00F90EAE" w:rsidRDefault="006103B3" w:rsidP="00F90EAE">
      <w:pPr>
        <w:autoSpaceDE w:val="0"/>
        <w:autoSpaceDN w:val="0"/>
        <w:adjustRightInd w:val="0"/>
        <w:jc w:val="both"/>
        <w:rPr>
          <w:iCs/>
          <w:color w:val="000000" w:themeColor="text1"/>
          <w:sz w:val="16"/>
          <w:szCs w:val="16"/>
        </w:rPr>
      </w:pPr>
    </w:p>
    <w:p w14:paraId="04D9DF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июня 1945 г. были подготовлены СООБРАЖЕНИЯ НАЧАЛЬНИКА УЧЕБНОГО ЦЕНТРА САМОХОДНОЙ АРТИЛЛЕРИИ БТ и МВ КА НАЧАЛЬНИКУ УСА ГБТУ КА О РАЗМЕЩЕНИИ БОЕПРИПАСОВ В БОЕУКЛАДКАХ САМОХОДНЫХ УСТАНОВОК №01725</w:t>
      </w:r>
    </w:p>
    <w:p w14:paraId="35712C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соответствии с Вашим письмом за №843079с от 25 мая с.г., на основании детальной проверки созданных для этого комиссий, сообщаем свои соображения о рациональном размещении боеприпа</w:t>
      </w:r>
      <w:r w:rsidRPr="00F90EAE">
        <w:rPr>
          <w:color w:val="000000" w:themeColor="text1"/>
          <w:sz w:val="16"/>
          <w:szCs w:val="16"/>
        </w:rPr>
        <w:softHyphen/>
        <w:t>сов в боеукладках по их назначению с учетом безопасности от детонации, и в какие цвета окрасить места расположения боеприпасов.</w:t>
      </w:r>
    </w:p>
    <w:p w14:paraId="51CE49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СУ-76</w:t>
      </w:r>
    </w:p>
    <w:p w14:paraId="71D6EFE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При боевом комплекте снарядов 35 осколочно-фугасных, 15 бронебойных и 10 подкалиберных:</w:t>
      </w:r>
    </w:p>
    <w:p w14:paraId="5DBEC7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осколочно-фугасные снаряды разместить в боевом отделении с правой стороны — 11 шт.; с левой стороны — 17 шт.; под люлькой — 7 шт.;</w:t>
      </w:r>
    </w:p>
    <w:p w14:paraId="7B044E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бронебойные — 15 шт. в верхней части ниши;</w:t>
      </w:r>
    </w:p>
    <w:p w14:paraId="6F3CD4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подкалиберные — 10 шт., в нижней части ниши.</w:t>
      </w:r>
    </w:p>
    <w:p w14:paraId="0BB923F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Размещение всех снарядов можно произвести путем переконструкции с изъятием нижних четырех гнезд ниши и переноса их в правую часть боевого отделения, где уменьшить на 10 см сиде</w:t>
      </w:r>
      <w:r w:rsidRPr="00F90EAE">
        <w:rPr>
          <w:color w:val="000000" w:themeColor="text1"/>
          <w:sz w:val="16"/>
          <w:szCs w:val="16"/>
        </w:rPr>
        <w:softHyphen/>
        <w:t>ния (см. чертеж №1) , т.к. в нижней части ниши доставание снаряда крайне неудобно.</w:t>
      </w:r>
    </w:p>
    <w:p w14:paraId="58A53FC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Для безопасности от детонации необходимо изготовить крышки согласно чертежа №2 (обоз</w:t>
      </w:r>
      <w:r w:rsidRPr="00F90EAE">
        <w:rPr>
          <w:color w:val="000000" w:themeColor="text1"/>
          <w:sz w:val="16"/>
          <w:szCs w:val="16"/>
        </w:rPr>
        <w:softHyphen/>
        <w:t>наченные буквами А, Б, В).</w:t>
      </w:r>
    </w:p>
    <w:p w14:paraId="568B89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Окраску мест для боеприпасов рекомендуем следующую:</w:t>
      </w:r>
    </w:p>
    <w:p w14:paraId="4217C1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осколочно-фугасные гранаты — в красный цвет;</w:t>
      </w:r>
    </w:p>
    <w:p w14:paraId="245E8C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бронебойные снаряды — в красный с черной полоской;</w:t>
      </w:r>
    </w:p>
    <w:p w14:paraId="5A5102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подкалиберные — в светло зеленый цвет.</w:t>
      </w:r>
    </w:p>
    <w:p w14:paraId="70CDDE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Окраску указанных цветов делать по наружной части дверок ниши, а внутри разделить броне</w:t>
      </w:r>
      <w:r w:rsidRPr="00F90EAE">
        <w:rPr>
          <w:color w:val="000000" w:themeColor="text1"/>
          <w:sz w:val="16"/>
          <w:szCs w:val="16"/>
        </w:rPr>
        <w:softHyphen/>
        <w:t>бойные от подкалиберных с желтой полоской по гнездам. Для осколочно-фугасных гранат все гнезда окрасить в красный цвет, а также окрасить часть брони, у которой расположены боеприпасы.</w:t>
      </w:r>
    </w:p>
    <w:p w14:paraId="24CD7B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СУ-100</w:t>
      </w:r>
    </w:p>
    <w:p w14:paraId="7A0DC6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а) осколочно-фугасные гранаты укладывать с правой и левой стороны внутреннего помещения СУ;</w:t>
      </w:r>
    </w:p>
    <w:p w14:paraId="7D8520F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снаряды специального назначения (бронетрассирующие, бронепрожигающие) следует укла</w:t>
      </w:r>
      <w:r w:rsidRPr="00F90EAE">
        <w:rPr>
          <w:color w:val="000000" w:themeColor="text1"/>
          <w:sz w:val="16"/>
          <w:szCs w:val="16"/>
        </w:rPr>
        <w:softHyphen/>
        <w:t>дывать к моторной перегородке;</w:t>
      </w:r>
    </w:p>
    <w:p w14:paraId="774ECF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снаряды, которые будут чувствительны к взрыву от детонации, также следует укладывать к моторной перегородке, что сохранит их от воспринятия различных ударов, т.к. будут отдалены от внешних стенок СУ;</w:t>
      </w:r>
    </w:p>
    <w:p w14:paraId="25828E0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 для исключения удара ногой по взрывателю экипажем при влезании в СУ следует устроить откидывающийся металлический козырек с амортизатором. 2. Окраску делать рекомендуется следующую:</w:t>
      </w:r>
    </w:p>
    <w:p w14:paraId="1C9026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осколочно-фугасные снаряды — красный;</w:t>
      </w:r>
    </w:p>
    <w:p w14:paraId="6126677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бронебойно-трассирующие — красный с черной полоской;</w:t>
      </w:r>
    </w:p>
    <w:p w14:paraId="195B57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бронебойно-прожигающие (кумулятивные) — черная.</w:t>
      </w:r>
    </w:p>
    <w:p w14:paraId="603506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боевых машин ИСУ-122-152</w:t>
      </w:r>
    </w:p>
    <w:p w14:paraId="6D3BAF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С целью предохранения от детонации, особенно осколочных выстрелов, как наиболее чувстви</w:t>
      </w:r>
      <w:r w:rsidRPr="00F90EAE">
        <w:rPr>
          <w:color w:val="000000" w:themeColor="text1"/>
          <w:sz w:val="16"/>
          <w:szCs w:val="16"/>
        </w:rPr>
        <w:softHyphen/>
        <w:t>тельных, целесообразно:</w:t>
      </w:r>
    </w:p>
    <w:p w14:paraId="25B7DF2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в самоходной установке ИСУ-122 в отделении осколочных выстрелов крайний ряд от борто</w:t>
      </w:r>
      <w:r w:rsidRPr="00F90EAE">
        <w:rPr>
          <w:color w:val="000000" w:themeColor="text1"/>
          <w:sz w:val="16"/>
          <w:szCs w:val="16"/>
        </w:rPr>
        <w:softHyphen/>
        <w:t>вого листа заменить бронебойными выстрелами, а свободные кассеты в первом внутреннем ряду заполнить осколочными и расходовать их в первую очередь;</w:t>
      </w:r>
    </w:p>
    <w:p w14:paraId="19F92C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места размещения снарядов окрашивать нет необходимости, так как снаряды осколочные от бронебойных резко различаются;</w:t>
      </w:r>
    </w:p>
    <w:p w14:paraId="073C10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боевые снаряды оставить в том же расположении, но места их окрасить — для бронебойных зарядов в красный с черной полоской, а для осколочных в красный.</w:t>
      </w:r>
    </w:p>
    <w:p w14:paraId="2650F6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 ИСУ-152 боевую укладку оставить по-старому, но места размещения зарядов окрасить в тот же цвет, как и в ИСУ-122.</w:t>
      </w:r>
    </w:p>
    <w:p w14:paraId="0B0D991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учебного центра самоходной артиллерии БТ и МВ КА</w:t>
      </w:r>
    </w:p>
    <w:p w14:paraId="23B5F1B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генерал-майор артиллерии Касаткин</w:t>
      </w:r>
    </w:p>
    <w:p w14:paraId="16072A2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Начальник штаба учебного центра самоходной артиллерии БТ и МВ КА</w:t>
      </w:r>
    </w:p>
    <w:p w14:paraId="2BE94C9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полковник Евграфов</w:t>
      </w:r>
    </w:p>
    <w:p w14:paraId="302B69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11369. Д. 517. Л. 132-133. Подлинник (11420).</w:t>
      </w:r>
    </w:p>
    <w:p w14:paraId="0C7C8736" w14:textId="77777777" w:rsidR="006103B3" w:rsidRPr="00F90EAE" w:rsidRDefault="006103B3" w:rsidP="00F90EAE">
      <w:pPr>
        <w:autoSpaceDE w:val="0"/>
        <w:autoSpaceDN w:val="0"/>
        <w:adjustRightInd w:val="0"/>
        <w:jc w:val="both"/>
        <w:rPr>
          <w:color w:val="000000" w:themeColor="text1"/>
          <w:sz w:val="16"/>
          <w:szCs w:val="16"/>
        </w:rPr>
      </w:pPr>
    </w:p>
    <w:p w14:paraId="205BDF5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июня 1945 вышло Распоряжение ГКО № 9037 [О выработке к 15 июня проекта постановления ГКО о мерах по увеличению добычи нефти в Баку.] (7349, 28).</w:t>
      </w:r>
    </w:p>
    <w:p w14:paraId="7F92B87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ABC3E4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вышло Распоряжение ГКО № 9038. О выработке к 15 июня проекта постановления ГКО об организации в 1945 г. геологоразведочных и буровых работ на нефть в Северном Иране. РГАНИР, Фонд ГКО, д. 427, лл. 29 (11012).</w:t>
      </w:r>
    </w:p>
    <w:p w14:paraId="62ADB302" w14:textId="77777777" w:rsidR="006103B3" w:rsidRPr="00F90EAE" w:rsidRDefault="006103B3" w:rsidP="00F90EAE">
      <w:pPr>
        <w:autoSpaceDE w:val="0"/>
        <w:autoSpaceDN w:val="0"/>
        <w:adjustRightInd w:val="0"/>
        <w:jc w:val="both"/>
        <w:rPr>
          <w:color w:val="000000" w:themeColor="text1"/>
          <w:sz w:val="16"/>
          <w:szCs w:val="16"/>
        </w:rPr>
      </w:pPr>
    </w:p>
    <w:p w14:paraId="3CB93AA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июня 1945 вышло Распоряжение ГКО № 9039 [О поставках НКМВ железным дорогам Дальнего Востока 50 насосов в июне-июле.] (7349, 30).</w:t>
      </w:r>
    </w:p>
    <w:p w14:paraId="290CEEB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02EC3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вышло Распоряжение ГКО № 9040. О поставках прессов НКМП РСФСР для НКО. РГАНИР, Фонд ГКО, д. 427, лл. 31 (11012).</w:t>
      </w:r>
    </w:p>
    <w:p w14:paraId="4D123AEA" w14:textId="77777777" w:rsidR="006103B3" w:rsidRPr="00F90EAE" w:rsidRDefault="006103B3" w:rsidP="00F90EAE">
      <w:pPr>
        <w:autoSpaceDE w:val="0"/>
        <w:autoSpaceDN w:val="0"/>
        <w:adjustRightInd w:val="0"/>
        <w:jc w:val="both"/>
        <w:rPr>
          <w:color w:val="000000" w:themeColor="text1"/>
          <w:sz w:val="16"/>
          <w:szCs w:val="16"/>
        </w:rPr>
      </w:pPr>
    </w:p>
    <w:p w14:paraId="4F6B12B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вышло Распоряжение ГКО № 9041. Об отпуске конной упряжи НКлесу. РГАНИР, Фонд ГКО, д. 427, лл. 32 (11012).</w:t>
      </w:r>
    </w:p>
    <w:p w14:paraId="59BA3CBD" w14:textId="77777777" w:rsidR="006103B3" w:rsidRPr="00F90EAE" w:rsidRDefault="006103B3" w:rsidP="00F90EAE">
      <w:pPr>
        <w:autoSpaceDE w:val="0"/>
        <w:autoSpaceDN w:val="0"/>
        <w:adjustRightInd w:val="0"/>
        <w:jc w:val="both"/>
        <w:rPr>
          <w:color w:val="000000" w:themeColor="text1"/>
          <w:sz w:val="16"/>
          <w:szCs w:val="16"/>
        </w:rPr>
      </w:pPr>
    </w:p>
    <w:p w14:paraId="58B9105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9 июня 1945 в составе Госплана была образована специальная комиссия, которой поручалось рассмотрение проектов специализации з-в вооружения, боеприпасов, танковых и авиационных, высвобождаемых от пр-ва военной продукции (7543, 14).</w:t>
      </w:r>
    </w:p>
    <w:p w14:paraId="4EB42F0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17DB2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г. в составе Госплана СССР была образована особая комиссия из наиболее квалифицированных сотрудников, которой поручалось, в частности, рассмотрение проектов специализации заводов вооружения, боеприпасов, танковых и авиационных, освобождаемых от производства военной продукции (7543).</w:t>
      </w:r>
    </w:p>
    <w:p w14:paraId="7E39B694" w14:textId="77777777" w:rsidR="006103B3" w:rsidRPr="00F90EAE" w:rsidRDefault="006103B3" w:rsidP="00F90EAE">
      <w:pPr>
        <w:autoSpaceDE w:val="0"/>
        <w:autoSpaceDN w:val="0"/>
        <w:adjustRightInd w:val="0"/>
        <w:jc w:val="both"/>
        <w:rPr>
          <w:color w:val="000000" w:themeColor="text1"/>
          <w:sz w:val="16"/>
          <w:szCs w:val="16"/>
        </w:rPr>
      </w:pPr>
    </w:p>
    <w:p w14:paraId="071E36B1" w14:textId="77777777" w:rsidR="00D7144C" w:rsidRPr="00F90EAE" w:rsidRDefault="00D7144C" w:rsidP="00F90EAE">
      <w:pPr>
        <w:pStyle w:val="book"/>
        <w:ind w:firstLine="0"/>
        <w:jc w:val="both"/>
        <w:rPr>
          <w:color w:val="000000" w:themeColor="text1"/>
          <w:sz w:val="16"/>
          <w:szCs w:val="16"/>
        </w:rPr>
      </w:pPr>
      <w:r w:rsidRPr="00F90EAE">
        <w:rPr>
          <w:color w:val="000000" w:themeColor="text1"/>
          <w:sz w:val="16"/>
          <w:szCs w:val="16"/>
        </w:rPr>
        <w:t>9 июня 1945 г. англичане захватили пароход «Иберия». Лайнер был построен по заказу немецкой судоходной компании на верфи «Шихау» в Вольном городе Данциге в 1928 г. для эксплуатации на линии Европа — Центральная Америка — Вест-Индия под именем «Магдалена». В первый рейс лайнер вышел 29 декабря 1928 г. Двухвальная энергоустановка из двух 8-цилиндровых дизельных двигателей «Зульцер» марки 8SM68 мощностью по 3500 л.с. каждый позволяла теплоходу развивать скорость до 15,5 узла, работая на два четырехлопастных гребных винта. 8 февраля 1934 г. у острова Кюрасао теплоход сел на мель, с которой его удалось снять лишь 25 августа. Пройдя полугодичный ремонт и переоборудование на верфи «Блом и Фосс» в Гамбурге, лайнер «Магдалена» вышел оттуда однотрубным теплоходом с новым названием «Иберия». С началом Второй мировой войны «Иберия» была мобилизована и использовалась в качестве плавбазы Кригсмарине в Киле. 18 февраля 1946 г. не пострадавшая в военных действиях «Иберия» по репарации была передана СССР и вошла в состав Черноморского морского пароходства под названием «Победа». Предварительно был проведен ремонт судна и малая модернизация. Вместимость лайнера увеличилась до 600 пассажирских мест. Пассажирские каюты — от просторных комфортабельных люксов до маленьких внутренних комнатушек — размещались на четырех палубах. К услугам пассажиров были несколько ресторанов, музыкальный салон, просторные фойе и другие общественные помещения. Имущество пассажиров и коммерческий груз перевозились в шести трюмах в носовой и кормовой частях судна. Лайнер курсировал на линии Одесса — Нью-Йорк — Одесса. 31 июля 1948 г. теплоход «Победа» с 323 пассажирами и 277 т груза на борту вышел из порта Нью-Йорка в Одессу. В числе пассажиров были в основном работники министерств иностранных дел и внешней торговли с семьями, а также несколько представителей других ведомств и семья китайского маршала Фэн Юйсяна, направлявшегося в Китай через Советский Союз. На подходе к Гибралтару капитан получил указание зайти в Александрию и принять на борт еще около двух тысяч армян-репатриантов из Египта, возвращавшихся в Армению. Также было дополнительно погружено 1500 т груза. Таким образом, все нормы пассажировместимости были превышены. Несмотря на это, лайнер благополучно достиг порта назначения Батуми, где репатрианты сошли на берег. 31 августа судно вышло из Батуми в Одессу. На борту оставалось 310 пассажиров и члены экипажа. 1 сентября в час дня радиостанция Черноморского пароходства в Одессе получила плановое донесение с теплохода о том, что прошли Новороссийск и к двум часам 2 сентября предполагается прибытие в Одессу. После этого радиосвязь с судном прекратилась. Утром 2 сентября в Черноморском пароходстве начали предпринимать меры к выяснению причин молчания теплохода, запросив суда в море и порты на пути следования лайнера. Однако безрезультатно — никто связи с «Победой» не имел и сигналов SOS не слышал. Тогда руководство пароходства обратилось за помощью к командованию Черноморского флота, направившему в море поисковые самолеты морской авиации. В 21.00 один из летчиков сообщил, что обнаружил обгоревший теплоход «Победа» в 70 милях к юго-востоку от Ялты и возле него пять шлюпок с людьми. К аварийному судну из Феодосии, Севастополя, других мест направились спасатели, а из Одессы — курсанты и преподаватели Одесского высшего мореходного училища. «Следствие установило, что 1 сентября 1948 г. около 13 часов лайнер миновал Новороссийский порт. В это время исполняющий обязанности судового киномеханика радиотехник Коваленко решил подготовить к сдаче на культбазу партию кинофильмов, взятых в рейс, и попросил матроса Скрипникова перемотать киноленты после просмотра. Фильмы хранились в небольшой кладовой в центральной части судна. Часть была упакована в жестяные коробки, а часть, предназначенная к перемотке, лежала на столе в открытом виде. В этой же кладовой хранилось около 2 тысяч патефонных пластинок. Примерно в 15 часов при перемотке на ручном станке лента заискрила и вспыхнула. От нее загорелись рядом лежащие мотки. Через несколько секунд пламя охватило кладовую, вспыхнула одежда на матросе. Скрипников выскочил из кладовой, захлопнул дверь и с криками о помощи кинулся бежать по коридору. Раскаленным воздухом в кладовой выбило дверь, и вырвавшийся огненный смерч охватил ковровые дорожки и фанерные переборки кают. Пламя, вытягиваемое по коридору мощной струей воздуха, дошло до трапа, ведущего в вестибюль вышележащей палубы, и оттуда по двум вертикальным шахтам лестницы достигло верхнего мостика, воспламеняя все на своем пути. В считаные минуты огонь охватил центральную часть судна, в том числе штурманскую, рулевую и радиорубку, каюты капитана и штурманов. Пожар начал распространяться по жилым помещениям на нос и корму, на шлюпочную палубу, приблизился к трюмам и машинному отделению. Вахтенный радист Веденеев, застигнутый огнем, выскочил из рубки через иллюминатор, не успев передать ни сигнал бедствия, ни сообщение о том, что вынужден покинуть вахту. Капитан приказал дать сигнал SOS по запасной рации, однако она уже сгорела в штурманской рубке. Общесудовую пожарную тревогу объявили лишь через несколько минут судовым колоколом. Тушением занимались несколько самостоятельных, случайно образовавшихся групп в разных частях судна. В ночь на 3 сентября, когда к судну подошли спасатели, основной пожар был уже потушен. Теплоход повели на буксире, но затем выяснилось, что он может идти самостоятельно. 5 сентября "Победа" пришла в Одессу, спасенные пассажиры прибыли на турбоходе "Вячеслав Молотов". При пожаре погибли два члена экипажа — буфетчица Г. Гуньян и матрос В. Скрипников и 40 пассажиров, включая 19 женщин и 15 детей, среди них были китайский маршал Фэн Юйсян и его дочь. О пожаре на теплоходе "Победа" и гибели китайского маршала сразу же было доложено Сталину. Существует мнение, что первоначально в происшествии была заподозрена диверсия. Постановлением Совета Министров СССР от 14 сентября полностью и немедленно отменена репатриация в СССР зарубежных армян и воспрещен прием армянских переселенцев в Армению». В начале 1949 г. состоялся закрытый суд над виновниками случившегося. Ими были признаны нештатный киномеханик Коваленко, помогавший ему матрос Скрипников, капитан теплохода Пахолок и два его помощника, а также радист, не передавший сигнал SOS, и диспетчер пароходства. Капитан судна Николай Пахолок и киномеханик Коваленко были приговорены к 15 годам лишения свободы, помполит Першуков — к десяти, радист Веденеев — к восьми. Работники береговых служб, косвенно виновные в трагедии, получили более мягкие приговоры. А строже всех был наказан старпом Александр Набокин, отвечавший за пожарную безопасность: он был приговорен к 25 годам лишения свободы — тогдашней высшей мере. После ремонта лайнер «Победа» продолжала использоваться Черноморским морским пароходством на внутренних и зарубежных линиях. В середине 1950-х годов он считался одним из лучших судов пароходства. В 1962 г. во время Карибского кризиса судно использовали для перевозки советских войск на Кубу, в конце 1970-х годов оно было списано из состава флота и утилизировано на берегу Гадани-бич в городе Читтагонг (Бангладеш) (15225).</w:t>
      </w:r>
    </w:p>
    <w:p w14:paraId="2D24DF92" w14:textId="77777777" w:rsidR="00D7144C" w:rsidRPr="00F90EAE" w:rsidRDefault="00D7144C" w:rsidP="00F90EAE">
      <w:pPr>
        <w:pStyle w:val="book"/>
        <w:ind w:firstLine="0"/>
        <w:jc w:val="both"/>
        <w:rPr>
          <w:color w:val="000000" w:themeColor="text1"/>
          <w:sz w:val="16"/>
          <w:szCs w:val="16"/>
        </w:rPr>
      </w:pPr>
    </w:p>
    <w:p w14:paraId="7AA1B183"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823E7C0" w14:textId="77777777" w:rsidR="006103B3" w:rsidRPr="00F90EAE" w:rsidRDefault="006103B3" w:rsidP="00F90EAE">
      <w:pPr>
        <w:autoSpaceDE w:val="0"/>
        <w:autoSpaceDN w:val="0"/>
        <w:adjustRightInd w:val="0"/>
        <w:jc w:val="both"/>
        <w:rPr>
          <w:iCs/>
          <w:color w:val="000000" w:themeColor="text1"/>
          <w:sz w:val="16"/>
          <w:szCs w:val="16"/>
        </w:rPr>
      </w:pPr>
    </w:p>
    <w:p w14:paraId="047E7F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иап Нормандия-Неман отбыл во Францию (438,952).</w:t>
      </w:r>
    </w:p>
    <w:p w14:paraId="03F3E76A" w14:textId="77777777" w:rsidR="006103B3" w:rsidRPr="00F90EAE" w:rsidRDefault="006103B3" w:rsidP="00F90EAE">
      <w:pPr>
        <w:autoSpaceDE w:val="0"/>
        <w:autoSpaceDN w:val="0"/>
        <w:adjustRightInd w:val="0"/>
        <w:jc w:val="both"/>
        <w:rPr>
          <w:color w:val="000000" w:themeColor="text1"/>
          <w:sz w:val="16"/>
          <w:szCs w:val="16"/>
        </w:rPr>
      </w:pPr>
    </w:p>
    <w:p w14:paraId="3F017465" w14:textId="77777777" w:rsidR="00D7144C" w:rsidRPr="00F90EAE" w:rsidRDefault="00D7144C" w:rsidP="00F90EAE">
      <w:pPr>
        <w:pStyle w:val="book"/>
        <w:ind w:firstLine="0"/>
        <w:jc w:val="both"/>
        <w:rPr>
          <w:color w:val="000000" w:themeColor="text1"/>
          <w:sz w:val="16"/>
          <w:szCs w:val="16"/>
        </w:rPr>
      </w:pPr>
      <w:r w:rsidRPr="00F90EAE">
        <w:rPr>
          <w:color w:val="000000" w:themeColor="text1"/>
          <w:sz w:val="16"/>
          <w:szCs w:val="16"/>
        </w:rPr>
        <w:t>9 июня 1945 г. приказом Сталина было узаконено взятие трофеев. Солдатам разрешалось пересылать регламентированное количество посылок плюс все, что смогут унести на себе при демобилизации. Генералам бесплатно выдавалось по автомобилю, офицерам — по мотоциклу или велосипеду. Офицерам продавали по низким ценам ковры, меха, сервизы, фотоаппараты, а полковникам — автомобили (15225).</w:t>
      </w:r>
    </w:p>
    <w:p w14:paraId="35DB2AF2" w14:textId="77777777" w:rsidR="00D7144C" w:rsidRPr="00F90EAE" w:rsidRDefault="00D7144C" w:rsidP="00F90EAE">
      <w:pPr>
        <w:pStyle w:val="book"/>
        <w:ind w:firstLine="0"/>
        <w:jc w:val="both"/>
        <w:rPr>
          <w:color w:val="000000" w:themeColor="text1"/>
          <w:sz w:val="16"/>
          <w:szCs w:val="16"/>
        </w:rPr>
      </w:pPr>
    </w:p>
    <w:p w14:paraId="340B61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вышло Постановление ГКО № 9036 О выдаче офицерам и генералам трофейного имущества. РГАНИР, Фонд ГКО, д. 427, лл. 26-27 (11012).</w:t>
      </w:r>
    </w:p>
    <w:p w14:paraId="3398FE75" w14:textId="77777777" w:rsidR="006103B3" w:rsidRPr="00F90EAE" w:rsidRDefault="006103B3" w:rsidP="00F90EAE">
      <w:pPr>
        <w:autoSpaceDE w:val="0"/>
        <w:autoSpaceDN w:val="0"/>
        <w:adjustRightInd w:val="0"/>
        <w:jc w:val="both"/>
        <w:rPr>
          <w:color w:val="000000" w:themeColor="text1"/>
          <w:sz w:val="16"/>
          <w:szCs w:val="16"/>
        </w:rPr>
      </w:pPr>
    </w:p>
    <w:p w14:paraId="0F66AA7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0A58604" w14:textId="77777777" w:rsidR="006103B3" w:rsidRPr="00F90EAE" w:rsidRDefault="006103B3" w:rsidP="00F90EAE">
      <w:pPr>
        <w:autoSpaceDE w:val="0"/>
        <w:autoSpaceDN w:val="0"/>
        <w:adjustRightInd w:val="0"/>
        <w:jc w:val="both"/>
        <w:rPr>
          <w:iCs/>
          <w:color w:val="000000" w:themeColor="text1"/>
          <w:sz w:val="16"/>
          <w:szCs w:val="16"/>
        </w:rPr>
      </w:pPr>
    </w:p>
    <w:p w14:paraId="191346E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года к наркому Берии письмо начальника Ухтинского комбината НКВД комиссара ГБ 3 ранга С. Н. Бурдакова:</w:t>
      </w:r>
    </w:p>
    <w:p w14:paraId="13940B1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“Особыми указаниями НКВД СССР и Прокурора Союза на время войны был введен ряд чрезвычайных положений по лагерям:</w:t>
      </w:r>
    </w:p>
    <w:p w14:paraId="317994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Лица, осужденные за особо опасные преступления против государства, хотя и окончившие сроки наказания, были оставлены на положении заключенных до конца военных действий. Таких заключенных у нас имеется 1905 человек (7560).</w:t>
      </w:r>
    </w:p>
    <w:p w14:paraId="204C29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Лица, осужденные за контрреволюционные преступления, по отбытии срока наказания были освобождены из лагеря, но прикреплены к производству до конца военных действий. Таких лиц имеется 1654 человека (7560).</w:t>
      </w:r>
    </w:p>
    <w:p w14:paraId="24EA4D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Лица, освобожденные из лагеря, осужденные в прошлом за маловажные преступления и имеющие право свободного выезда за пределы лагеря, оставлялись нами на работе в лагере, иногда и против их желания. В интересах производства, как владеющие определенными специальностями или получившие таковые за время пребывания в лагере (7560).</w:t>
      </w:r>
    </w:p>
    <w:p w14:paraId="4BA6E5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войны были мобилизованы и направлены на работу в Ухтинский комбинат НКВД 3538 человек немок и 1500 человек корейцев и болгар (7560).</w:t>
      </w:r>
    </w:p>
    <w:p w14:paraId="5CCC49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победоносным завершением войны с фашистской Германией, среди заключенных, окончивших сроки, прикрепленных к производству и мобилизованных, наблюдаются массовые настроения выезда из лагеря, и сейчас создалось такое положение, что многие из них начинают плохо работать, ожидая специального Правительственного указа, позволяющего им выехать из лагеря в места прежнего жительства. По этому поводу в лагере идут всевозможные толки (7560).</w:t>
      </w:r>
    </w:p>
    <w:p w14:paraId="2419E5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Всех контингентов, имеющих право выезда из лагеря, насчитывается 8597 человек, или почти 50% всего рабочего состава (7560).</w:t>
      </w:r>
    </w:p>
    <w:p w14:paraId="107748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Совершенно ясно, что мы не можем одновременно отпустить такое огромное количество людей. Так как это нарушит нормальную работу производства и может привести к весьма тяжелому положению (7560).</w:t>
      </w:r>
    </w:p>
    <w:p w14:paraId="4B12FA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Исходя из интересов выполнения государственных планов, установленных для Комбината, имея в виду невозможность освободить одновременно такое огромное количество людей и принимая во внимание, что большинство из них привыкло к природным условиям Севера и приобрело определенные специальности, - считаю возможным внести на Ваше решение следующие предложения:</w:t>
      </w:r>
    </w:p>
    <w:p w14:paraId="322A792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В отношении задержанных в лагере до конца военных действий:</w:t>
      </w:r>
    </w:p>
    <w:p w14:paraId="2276D2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Всех лиц, окончивших сроки наказания, но задержанных в лагере до конца военных действий, оставить на постоянное жительство на территории Ухтинского комбината с использованием их по специальности. Разрешить им привезти в Ухту семьи и обзавестись хозяйством. Разрешить выехать из лагеря только тем, которые не нужны для производства, инвалидам и больным (7560).</w:t>
      </w:r>
    </w:p>
    <w:p w14:paraId="4374FE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В отношении прикрепленных к производству:</w:t>
      </w:r>
    </w:p>
    <w:p w14:paraId="7A5010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Лиц, окончивших сроки наказания, освобожденных из лагеря, но прикрепленных к производству до конца военных действий, оставить на постоянное жительство в лагере, разрешив им привезти семьи и обзавестись хозяйством. Выезд разрешить только больным, инвалидам и не представляющим никакой ценности для лагеря (7560).</w:t>
      </w:r>
    </w:p>
    <w:p w14:paraId="6C83C4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обоих случаях считал бы необходимым сделать специальные оговорки в паспортах этих лиц, ограничивающие свободу их передвижения (7560).</w:t>
      </w:r>
    </w:p>
    <w:p w14:paraId="160C67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В отношении трудмобилизованных немок, корейцев и болгар:</w:t>
      </w:r>
    </w:p>
    <w:p w14:paraId="74E59F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Всех, без исключения, немок оставить на постоянное жительство на территории лагеря, с использованием их на производстве (7560).</w:t>
      </w:r>
    </w:p>
    <w:p w14:paraId="282B30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Всех корейцев и болгар, получивших определенные специальности и привыкнувших к климатическим условиям Севера, оставить на жительство в лагере, предоставив возможность выехать из лагеря только тем, кто не имеет никакой специальности, или кому состояние здоровья не позволяет находиться на Севере. Разрешить немкам официально выходить замуж, привозить свои семьи и обзаводиться хозяйством (7560).</w:t>
      </w:r>
    </w:p>
    <w:p w14:paraId="1BFFB0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Проблема освоения Севера в первую очередь зависит от народонаселения, которого здесь очень мало. Оставление сравнительно большого количества людей указанных категорий на Севере даст возможность быстро его заселить и обеспечить рабочей силой растущую промышленность (7560).</w:t>
      </w:r>
    </w:p>
    <w:p w14:paraId="3B102F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Совершенно очевидно, что освоение такого большого количества людей и перевод их на положение вольнонаемного состава будет проходить с большими трудностями: в первую очередь потребуется большое жилстроительство: необходимо будет дать этим хозяйствам скот, птицу и т. д. Но во всяком случае это мероприятие будет оправдано (7560).</w:t>
      </w:r>
    </w:p>
    <w:p w14:paraId="76F5FF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 условии оставления этих категорий на постоянное место жительство в Ухтинском комбинате, ряд наших подразделений мы полностью можем перевести на вольнонаемный состав: Водный промысел, Асфальтитовый рудник, сажевые заводы, Нефтеперегонный завод, Ремонтно-Механический завод, систему энергохозяйства и другие (7560).</w:t>
      </w:r>
    </w:p>
    <w:p w14:paraId="56593B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Вам, что настроения о выезде из Ухты сейчас наблюдаются не только среди указанных выше категорий, но и среди вольнонаемного состава, которые считают, что они уже достаточно поработали на Севере и имеют право выехать в более благоприятные по климатическим условиям места (7560).</w:t>
      </w:r>
    </w:p>
    <w:p w14:paraId="384DA78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Мне кажется совершенно необходимым восстановить все льготы, существовавшие до войны для работников Севера, и распространить их также на контингенты, о которых указано выше (7560).</w:t>
      </w:r>
    </w:p>
    <w:p w14:paraId="162189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указаний” (7560).</w:t>
      </w:r>
    </w:p>
    <w:p w14:paraId="1F99D7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письме имеется резолюция Берии: “Тов. Чернышов! Переговорите со мной” (7560).</w:t>
      </w:r>
    </w:p>
    <w:p w14:paraId="6BE47F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июле 1945 года находившемуся в Потсдаме Берии было направлено письмо за подписями В. Н. Меркулова, Б. З. Кобулова и В. В. Чернышова:</w:t>
      </w:r>
    </w:p>
    <w:p w14:paraId="37FD5B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“Представляем на Ваше рассмотрение проект приказа НКВД, НКГБ, НКЮ и Прокурора СССР “Об отмене специальных мероприятий НКВД, НКГБ и Прокуратуры СССР на период войны и о порядке применения амнистии к некоторым категориям преступников” (7560).</w:t>
      </w:r>
    </w:p>
    <w:p w14:paraId="0DB96C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Приказом намечаются к проведению следующие мероприятия:</w:t>
      </w:r>
    </w:p>
    <w:p w14:paraId="1D8EB2B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Освободить из тюрем, исправительно-трудовых лагерей и колоний НКВД заключенных, отбывших сроки наказания, но задержанных в местах заключения до конца войны (7560).</w:t>
      </w:r>
    </w:p>
    <w:p w14:paraId="066AAE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подлежит освобождению заключенных этой категории 21.156 человек, в том числе:</w:t>
      </w:r>
    </w:p>
    <w:p w14:paraId="45AAFD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Осужденных за участие в правотроцкистских, меньшевистских, эсеровских и других антисоветских организациях - 9014 чел (7560).</w:t>
      </w:r>
    </w:p>
    <w:p w14:paraId="4BCCF3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бандитизм, разбой и умышленные убийства - 4199 чел (7560).</w:t>
      </w:r>
    </w:p>
    <w:p w14:paraId="10ADAA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шпионаж - 2372 чел (7560).</w:t>
      </w:r>
    </w:p>
    <w:p w14:paraId="716D7C3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террор - 1707 чел (7560).</w:t>
      </w:r>
    </w:p>
    <w:p w14:paraId="104225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диверсии - 334 чел (7560).</w:t>
      </w:r>
    </w:p>
    <w:p w14:paraId="54A318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измену Родине - 126 чел (7560).</w:t>
      </w:r>
    </w:p>
    <w:p w14:paraId="0FDD6B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Освобождение заключенных, в отношении которых имеются материалы об их антисоветской работе за время нахождения в заключении, будет задержано (7560).</w:t>
      </w:r>
    </w:p>
    <w:p w14:paraId="3C835E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Для рассмотрения материалов и решения вопросов об их аресте и новом привлечении к уголовной ответственности или освобождении (за отсутствием достаточных оснований к аресту) создаются специальные комиссии НКВД, НКГБ и Прокуратуры (7560).</w:t>
      </w:r>
    </w:p>
    <w:p w14:paraId="16C5E1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Освобождаемым разрешается проживание на территории СССР, кроме режимных местностей (7560).</w:t>
      </w:r>
    </w:p>
    <w:p w14:paraId="40650B0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Освободить из исправительно-трудовых лагерей НКВД заключенных, осужденных на срок до окончания войны (7560).</w:t>
      </w:r>
    </w:p>
    <w:p w14:paraId="7F65DB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Заключенных этой категории в лагерях содержится 816 человек, все они осуждены за сдачу в плен войскам Финляндии в советско-финскую войну 1939-1940 годов (7560).</w:t>
      </w:r>
    </w:p>
    <w:p w14:paraId="019DA9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Разрешить выезд из лагерей и колоний НКВД к местам жительства, с соблюдением режимных ограничений, бывшим заключенным, отбывшим сроки наказания и оставленным до окончания войны в лагерях и колониях НКВД на положении вольнонаемных (7560).</w:t>
      </w:r>
    </w:p>
    <w:p w14:paraId="1883F7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таких лиц в лагерях и колониях НКВД работает 71.511 человек (7560).</w:t>
      </w:r>
    </w:p>
    <w:p w14:paraId="19CBB0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Освобождаемые заключенные:</w:t>
      </w:r>
    </w:p>
    <w:p w14:paraId="362E67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подданные и граждане Германии, Италии, Финляндии, Румынии и Венгрии (всего 798 человек) - переводятся в лагери НКВД для интернированных;</w:t>
      </w:r>
    </w:p>
    <w:p w14:paraId="2D45DA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подданные и граждане союзных и нейтральных государств (всего 1052 человека) - высылаются из пределов СССР в установленном порядке;</w:t>
      </w:r>
    </w:p>
    <w:p w14:paraId="6BEC9F7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не имеющие гражданства (3813 человек) - расселяются в отдаленных местностях СССР под надзор органов НКВД-НКГБ;</w:t>
      </w:r>
    </w:p>
    <w:p w14:paraId="6FADC1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немцы, итальянцы, финны, румыны и венгры, состоящие в советском гражданстве (1500 человек) - передаются в рабочие колонны;</w:t>
      </w:r>
    </w:p>
    <w:p w14:paraId="77D55F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 калмыки, карачаевцы, чеченцы, ингуши, балкарцы, крымские татары, турки, курды и другие спецпереселенцы - по освобождении направляются на жительство в места расселения их семей (7560).</w:t>
      </w:r>
    </w:p>
    <w:p w14:paraId="4FC7453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Кроме того, в приказе разъясняется порядок применения амнистии к ссыльным, высланным и к лицам, арестованным, как социально-опасный элемент:</w:t>
      </w:r>
    </w:p>
    <w:p w14:paraId="2AB6D0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К ссыльным и высланным по решению судебных органов и Особого Совещания при НКВД СССР на срок до трех лет, предлагается применить статью 1-ю Указа “Об амнистии” и освободить их (7560).</w:t>
      </w:r>
    </w:p>
    <w:p w14:paraId="427729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ссыльным и высланным на срок свыше 3-х лет предлагается применить статью 2-ю того же Указа о сокращении неотбытого срока наказания наполовину (7560).</w:t>
      </w:r>
    </w:p>
    <w:p w14:paraId="708B08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в ссылке и высылке по решениям судов и Особого Совещания числится 17.287 человек (7560).</w:t>
      </w:r>
    </w:p>
    <w:p w14:paraId="20C349A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Высланных на основании Указа Президиума Верховного Совета Союза ССР от 22 июня 1941 года “О военном положении”, а также высланных органами НКВД, НКГБ в административном порядке до и в период войны, за исключением лиц, высланных из Прибалтики, Западных областей Украины и Белоруссии, Молдавской ССР и Дальнего Востока, - от высылки освободить и разрешить им свободное проживание по территории СССР, кроме режимных областей (7560).</w:t>
      </w:r>
    </w:p>
    <w:p w14:paraId="7EED75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по этому пункту: подлежит освобождению от высылки 9.118 человек, остаются на положении административно высланных - 18.433 человека (7560).</w:t>
      </w:r>
    </w:p>
    <w:p w14:paraId="76B1E2F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Приказом предлагается не применять амнистию к арестованным по статье 7/35 УК РСФСР (как социально-опасный элемент), если они подпадают под это определение по признаку своей антисоветской деятельности; к арестованным социально-опасным элементам по признакам уголовно-бытового порядка амнистия будет применяться на общих основаниях (7560).</w:t>
      </w:r>
    </w:p>
    <w:p w14:paraId="215E43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Просим Вашего решения” (7560).</w:t>
      </w:r>
    </w:p>
    <w:p w14:paraId="384AB1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письме имеется резолюция Берии: “Решить в Москве”; решение, однако, затянулось (7560).</w:t>
      </w:r>
    </w:p>
    <w:p w14:paraId="247A2C3C" w14:textId="77777777" w:rsidR="006103B3" w:rsidRPr="00F90EAE" w:rsidRDefault="006103B3" w:rsidP="00F90EAE">
      <w:pPr>
        <w:autoSpaceDE w:val="0"/>
        <w:autoSpaceDN w:val="0"/>
        <w:adjustRightInd w:val="0"/>
        <w:jc w:val="both"/>
        <w:rPr>
          <w:color w:val="000000" w:themeColor="text1"/>
          <w:sz w:val="16"/>
          <w:szCs w:val="16"/>
        </w:rPr>
      </w:pPr>
    </w:p>
    <w:p w14:paraId="7DFFCD3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96FB102" w14:textId="77777777" w:rsidR="006103B3" w:rsidRPr="00F90EAE" w:rsidRDefault="006103B3" w:rsidP="00F90EAE">
      <w:pPr>
        <w:autoSpaceDE w:val="0"/>
        <w:autoSpaceDN w:val="0"/>
        <w:adjustRightInd w:val="0"/>
        <w:jc w:val="both"/>
        <w:rPr>
          <w:iCs/>
          <w:color w:val="000000" w:themeColor="text1"/>
          <w:sz w:val="16"/>
          <w:szCs w:val="16"/>
        </w:rPr>
      </w:pPr>
    </w:p>
    <w:p w14:paraId="2CE67C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СССР учредил в Восточной части Германии собственную военную администрацию (3907,257).</w:t>
      </w:r>
    </w:p>
    <w:p w14:paraId="2139C459" w14:textId="77777777" w:rsidR="006103B3" w:rsidRPr="00F90EAE" w:rsidRDefault="006103B3" w:rsidP="00F90EAE">
      <w:pPr>
        <w:autoSpaceDE w:val="0"/>
        <w:autoSpaceDN w:val="0"/>
        <w:adjustRightInd w:val="0"/>
        <w:jc w:val="both"/>
        <w:rPr>
          <w:color w:val="000000" w:themeColor="text1"/>
          <w:sz w:val="16"/>
          <w:szCs w:val="16"/>
        </w:rPr>
      </w:pPr>
    </w:p>
    <w:p w14:paraId="402E520A" w14:textId="77777777" w:rsidR="00D7144C" w:rsidRPr="00F90EAE" w:rsidRDefault="00D7144C" w:rsidP="00F90EAE">
      <w:pPr>
        <w:jc w:val="both"/>
        <w:rPr>
          <w:color w:val="000000" w:themeColor="text1"/>
          <w:sz w:val="16"/>
          <w:szCs w:val="16"/>
        </w:rPr>
      </w:pPr>
      <w:r w:rsidRPr="00F90EAE">
        <w:rPr>
          <w:bCs/>
          <w:color w:val="000000" w:themeColor="text1"/>
          <w:sz w:val="16"/>
          <w:szCs w:val="16"/>
        </w:rPr>
        <w:t>9 июня</w:t>
      </w:r>
      <w:r w:rsidRPr="00F90EAE">
        <w:rPr>
          <w:color w:val="000000" w:themeColor="text1"/>
          <w:sz w:val="16"/>
          <w:szCs w:val="16"/>
        </w:rPr>
        <w:t xml:space="preserve"> в 1945 году первый Главнокомандующий советскими оккупационными войсками Маршал Советского Союза Г.К.Жуков подписал приказ № 1 об образовании военной администрации по управлению советской зоной оккупации в Германии, задачей которой является осуществление контроля за выполнением Германией условий безоговорочной капитуляции. С 10 июня приступит к выполнению своих задач Группа советских оккупационных войск в Германии (ГСОВГ), которая в 1949 </w:t>
      </w:r>
      <w:r w:rsidRPr="00F90EAE">
        <w:rPr>
          <w:color w:val="000000" w:themeColor="text1"/>
          <w:sz w:val="16"/>
          <w:szCs w:val="16"/>
        </w:rPr>
        <w:lastRenderedPageBreak/>
        <w:t>в связи с образованием ГДР будет преобразована в Группу советских войск в Германии (ГСВГ); с 1989 - Западная группа войск (ЗГВ). 31 августа 1994 будет завершен вывод российских войск на родину (14917).</w:t>
      </w:r>
    </w:p>
    <w:p w14:paraId="4C0E1CF4" w14:textId="77777777" w:rsidR="00D7144C" w:rsidRPr="00F90EAE" w:rsidRDefault="00D7144C" w:rsidP="00F90EAE">
      <w:pPr>
        <w:jc w:val="both"/>
        <w:rPr>
          <w:color w:val="000000" w:themeColor="text1"/>
          <w:sz w:val="16"/>
          <w:szCs w:val="16"/>
        </w:rPr>
      </w:pPr>
    </w:p>
    <w:p w14:paraId="547995E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777BF64" w14:textId="77777777" w:rsidR="006103B3" w:rsidRPr="00F90EAE" w:rsidRDefault="006103B3" w:rsidP="00F90EAE">
      <w:pPr>
        <w:autoSpaceDE w:val="0"/>
        <w:autoSpaceDN w:val="0"/>
        <w:adjustRightInd w:val="0"/>
        <w:jc w:val="both"/>
        <w:rPr>
          <w:iCs/>
          <w:color w:val="000000" w:themeColor="text1"/>
          <w:sz w:val="16"/>
          <w:szCs w:val="16"/>
        </w:rPr>
      </w:pPr>
    </w:p>
    <w:p w14:paraId="27F63353" w14:textId="77777777" w:rsidR="00D7144C" w:rsidRPr="00F90EAE" w:rsidRDefault="00D7144C" w:rsidP="00F90EAE">
      <w:pPr>
        <w:jc w:val="both"/>
        <w:rPr>
          <w:color w:val="000000" w:themeColor="text1"/>
          <w:sz w:val="16"/>
          <w:szCs w:val="16"/>
        </w:rPr>
      </w:pPr>
      <w:r w:rsidRPr="00F90EAE">
        <w:rPr>
          <w:bCs/>
          <w:color w:val="000000" w:themeColor="text1"/>
          <w:sz w:val="16"/>
          <w:szCs w:val="16"/>
        </w:rPr>
        <w:t>9 июня</w:t>
      </w:r>
      <w:r w:rsidRPr="00F90EAE">
        <w:rPr>
          <w:color w:val="000000" w:themeColor="text1"/>
          <w:sz w:val="16"/>
          <w:szCs w:val="16"/>
        </w:rPr>
        <w:t xml:space="preserve"> в 1945 году в Белграде подписано соглашение между Югославией с одной стороны и США и Великобританией с другой о выводе югославских войск из Триеста и земене их англо-американскими (14917).</w:t>
      </w:r>
    </w:p>
    <w:p w14:paraId="2B1BC262" w14:textId="77777777" w:rsidR="00D7144C" w:rsidRPr="00F90EAE" w:rsidRDefault="00D7144C" w:rsidP="00F90EAE">
      <w:pPr>
        <w:jc w:val="both"/>
        <w:rPr>
          <w:color w:val="000000" w:themeColor="text1"/>
          <w:sz w:val="16"/>
          <w:szCs w:val="16"/>
        </w:rPr>
      </w:pPr>
    </w:p>
    <w:p w14:paraId="62FCEB29" w14:textId="77777777" w:rsidR="00D7144C" w:rsidRPr="00F90EAE" w:rsidRDefault="00D7144C" w:rsidP="00F90EAE">
      <w:pPr>
        <w:jc w:val="both"/>
        <w:rPr>
          <w:color w:val="000000" w:themeColor="text1"/>
          <w:sz w:val="16"/>
          <w:szCs w:val="16"/>
        </w:rPr>
      </w:pPr>
      <w:r w:rsidRPr="00F90EAE">
        <w:rPr>
          <w:bCs/>
          <w:color w:val="000000" w:themeColor="text1"/>
          <w:sz w:val="16"/>
          <w:szCs w:val="16"/>
        </w:rPr>
        <w:t>9 июня</w:t>
      </w:r>
      <w:r w:rsidRPr="00F90EAE">
        <w:rPr>
          <w:color w:val="000000" w:themeColor="text1"/>
          <w:sz w:val="16"/>
          <w:szCs w:val="16"/>
        </w:rPr>
        <w:t xml:space="preserve"> в 1945 году японский парламент утвердил законы «О чрезвычайных мерах военного времени», «О добровольной военной службе населения» (14917).</w:t>
      </w:r>
    </w:p>
    <w:p w14:paraId="1BD681A0" w14:textId="77777777" w:rsidR="00D7144C" w:rsidRPr="00F90EAE" w:rsidRDefault="00D7144C" w:rsidP="00F90EAE">
      <w:pPr>
        <w:jc w:val="both"/>
        <w:rPr>
          <w:color w:val="000000" w:themeColor="text1"/>
          <w:sz w:val="16"/>
          <w:szCs w:val="16"/>
        </w:rPr>
      </w:pPr>
    </w:p>
    <w:p w14:paraId="0F37A9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июня 1945 Премьер министров Японии Кантаро Сузуки заявил, что Япония лучше будет сражаться до последнего, чем примет безусловную капитуляцию (2100).</w:t>
      </w:r>
    </w:p>
    <w:p w14:paraId="655C131C" w14:textId="77777777" w:rsidR="006103B3" w:rsidRPr="00F90EAE" w:rsidRDefault="006103B3" w:rsidP="00F90EAE">
      <w:pPr>
        <w:autoSpaceDE w:val="0"/>
        <w:autoSpaceDN w:val="0"/>
        <w:adjustRightInd w:val="0"/>
        <w:jc w:val="both"/>
        <w:rPr>
          <w:color w:val="000000" w:themeColor="text1"/>
          <w:sz w:val="16"/>
          <w:szCs w:val="16"/>
        </w:rPr>
      </w:pPr>
    </w:p>
    <w:p w14:paraId="1856016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68072EF" w14:textId="77777777" w:rsidR="006103B3" w:rsidRPr="00F90EAE" w:rsidRDefault="006103B3" w:rsidP="00F90EAE">
      <w:pPr>
        <w:autoSpaceDE w:val="0"/>
        <w:autoSpaceDN w:val="0"/>
        <w:adjustRightInd w:val="0"/>
        <w:jc w:val="both"/>
        <w:rPr>
          <w:iCs/>
          <w:color w:val="000000" w:themeColor="text1"/>
          <w:sz w:val="16"/>
          <w:szCs w:val="16"/>
        </w:rPr>
      </w:pPr>
    </w:p>
    <w:p w14:paraId="78C5FC3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июня 1945 опытный Ил-16 под управле</w:t>
      </w:r>
      <w:r w:rsidRPr="00F90EAE">
        <w:rPr>
          <w:color w:val="000000" w:themeColor="text1"/>
          <w:sz w:val="16"/>
          <w:szCs w:val="16"/>
        </w:rPr>
        <w:softHyphen/>
        <w:t>нием летчика В.К. Коккинаки ушел в пер</w:t>
      </w:r>
      <w:r w:rsidRPr="00F90EAE">
        <w:rPr>
          <w:color w:val="000000" w:themeColor="text1"/>
          <w:sz w:val="16"/>
          <w:szCs w:val="16"/>
        </w:rPr>
        <w:softHyphen/>
        <w:t>вый испытательный полет. Сильный ре</w:t>
      </w:r>
      <w:r w:rsidRPr="00F90EAE">
        <w:rPr>
          <w:color w:val="000000" w:themeColor="text1"/>
          <w:sz w:val="16"/>
          <w:szCs w:val="16"/>
        </w:rPr>
        <w:softHyphen/>
        <w:t>активный момент от винта в сочетании с узкой базой шасси создал значительные затруднения на взлете. В полете само</w:t>
      </w:r>
      <w:r w:rsidRPr="00F90EAE">
        <w:rPr>
          <w:color w:val="000000" w:themeColor="text1"/>
          <w:sz w:val="16"/>
          <w:szCs w:val="16"/>
        </w:rPr>
        <w:softHyphen/>
        <w:t>лету недоставало продольной устойчи</w:t>
      </w:r>
      <w:r w:rsidRPr="00F90EAE">
        <w:rPr>
          <w:color w:val="000000" w:themeColor="text1"/>
          <w:sz w:val="16"/>
          <w:szCs w:val="16"/>
        </w:rPr>
        <w:softHyphen/>
        <w:t>вости. Этот полет выявил и серьезные недостатки винто-моторной группы (ВМГ). До конца месяца на Ил-16 удалось выполнить еще один полет, после чего приняли решение передать одну маши</w:t>
      </w:r>
      <w:r w:rsidRPr="00F90EAE">
        <w:rPr>
          <w:color w:val="000000" w:themeColor="text1"/>
          <w:sz w:val="16"/>
          <w:szCs w:val="16"/>
        </w:rPr>
        <w:softHyphen/>
        <w:t>ну на завод № 240 для доводки ВМГ и продолжения летных испытаний, кото</w:t>
      </w:r>
      <w:r w:rsidRPr="00F90EAE">
        <w:rPr>
          <w:color w:val="000000" w:themeColor="text1"/>
          <w:sz w:val="16"/>
          <w:szCs w:val="16"/>
        </w:rPr>
        <w:softHyphen/>
        <w:t>рые из-за недоведенности мотора АМ-43 сильно затянулись. Второй экземпляр перед испытаниями подвергся существенной переделке. Хвостовую часть фюзеляжа удлинили на 50 см, увеличили высоту и площадь хво</w:t>
      </w:r>
      <w:r w:rsidRPr="00F90EAE">
        <w:rPr>
          <w:color w:val="000000" w:themeColor="text1"/>
          <w:sz w:val="16"/>
          <w:szCs w:val="16"/>
        </w:rPr>
        <w:softHyphen/>
        <w:t>стового оперения; на руле направления поставили триммер. Все это улучшило продольную устойчивость. Несмотря на постоянные проблемы с мотором, испытательной бригаде все же удалось снять почти все основные лет</w:t>
      </w:r>
      <w:r w:rsidRPr="00F90EAE">
        <w:rPr>
          <w:color w:val="000000" w:themeColor="text1"/>
          <w:sz w:val="16"/>
          <w:szCs w:val="16"/>
        </w:rPr>
        <w:softHyphen/>
        <w:t>ные данные Ил-16. При полетном весе 5980 кг он показал скорость у земли 525 км/ч, на высоте 3000 м - 575 км/ч. Дальность полета на высоте 500 м на скорости 373 км/ч с бомбовой нагрузкой 400 кг и запасом топлива 535 кг состави</w:t>
      </w:r>
      <w:r w:rsidRPr="00F90EAE">
        <w:rPr>
          <w:color w:val="000000" w:themeColor="text1"/>
          <w:sz w:val="16"/>
          <w:szCs w:val="16"/>
        </w:rPr>
        <w:softHyphen/>
        <w:t>ла 700 км. Время подъема на высоту 4000 м - 6,0 мин, а на высоту 5000 м -8,5 мин; потолок - 8500 м; посадочная скорость - 140 км/ч. Еще в период испытаний распоряже</w:t>
      </w:r>
      <w:r w:rsidRPr="00F90EAE">
        <w:rPr>
          <w:color w:val="000000" w:themeColor="text1"/>
          <w:sz w:val="16"/>
          <w:szCs w:val="16"/>
        </w:rPr>
        <w:softHyphen/>
        <w:t>нием начальника 10-го главного управления НКАП Н.И. Кузнецова на заводе № 30 начали делать малую серию Ил-16 из 25 экземпляров. Срок завершения этой работы не устанавливался. К 1 ок</w:t>
      </w:r>
      <w:r w:rsidRPr="00F90EAE">
        <w:rPr>
          <w:color w:val="000000" w:themeColor="text1"/>
          <w:sz w:val="16"/>
          <w:szCs w:val="16"/>
        </w:rPr>
        <w:softHyphen/>
        <w:t>тября 1945 г. один серийный самолет был построен и находился на летно-ис-пытательной станции завода, два пре</w:t>
      </w:r>
      <w:r w:rsidRPr="00F90EAE">
        <w:rPr>
          <w:color w:val="000000" w:themeColor="text1"/>
          <w:sz w:val="16"/>
          <w:szCs w:val="16"/>
        </w:rPr>
        <w:softHyphen/>
        <w:t>бывали в цехе окончательной сборки, а в цехе предварительной сборки шла стыковка еще трех штурмовиков. Кроме этого, завод изготовил агрегаты и ком</w:t>
      </w:r>
      <w:r w:rsidRPr="00F90EAE">
        <w:rPr>
          <w:color w:val="000000" w:themeColor="text1"/>
          <w:sz w:val="16"/>
          <w:szCs w:val="16"/>
        </w:rPr>
        <w:softHyphen/>
        <w:t>плектующие на восемь машин; еще на девять они находились в стадии завер</w:t>
      </w:r>
      <w:r w:rsidRPr="00F90EAE">
        <w:rPr>
          <w:color w:val="000000" w:themeColor="text1"/>
          <w:sz w:val="16"/>
          <w:szCs w:val="16"/>
        </w:rPr>
        <w:softHyphen/>
        <w:t>шения. Но мотор АМ-43 так и не довели до массового производства, поэтому ле</w:t>
      </w:r>
      <w:r w:rsidRPr="00F90EAE">
        <w:rPr>
          <w:color w:val="000000" w:themeColor="text1"/>
          <w:sz w:val="16"/>
          <w:szCs w:val="16"/>
        </w:rPr>
        <w:softHyphen/>
        <w:t>том 1946 г. работы по Ил-16 прекратили (10681).</w:t>
      </w:r>
    </w:p>
    <w:p w14:paraId="5E6A799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5C76FFF"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F2050D2" w14:textId="77777777" w:rsidR="006103B3" w:rsidRPr="00F90EAE" w:rsidRDefault="006103B3" w:rsidP="00F90EAE">
      <w:pPr>
        <w:autoSpaceDE w:val="0"/>
        <w:autoSpaceDN w:val="0"/>
        <w:adjustRightInd w:val="0"/>
        <w:jc w:val="both"/>
        <w:rPr>
          <w:iCs/>
          <w:color w:val="000000" w:themeColor="text1"/>
          <w:sz w:val="16"/>
          <w:szCs w:val="16"/>
        </w:rPr>
      </w:pPr>
    </w:p>
    <w:p w14:paraId="55C95131"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10 июня 1945 года командую</w:t>
      </w:r>
      <w:r w:rsidRPr="00F90EAE">
        <w:rPr>
          <w:rFonts w:ascii="Times New Roman" w:cs="Times New Roman"/>
          <w:color w:val="000000" w:themeColor="text1"/>
          <w:spacing w:val="0"/>
        </w:rPr>
        <w:softHyphen/>
        <w:t>щий бронетанковыми и механизированны</w:t>
      </w:r>
      <w:r w:rsidRPr="00F90EAE">
        <w:rPr>
          <w:rFonts w:ascii="Times New Roman" w:cs="Times New Roman"/>
          <w:color w:val="000000" w:themeColor="text1"/>
          <w:spacing w:val="0"/>
        </w:rPr>
        <w:softHyphen/>
        <w:t>ми войсками Красной Армии Я. Федоренко докладывал заместителю наркома обороны СССР Н. Булганину:</w:t>
      </w:r>
    </w:p>
    <w:p w14:paraId="273CBAE4"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«На бронетанковых ремонтных заводах Главного управления ремонта танков Крас</w:t>
      </w:r>
      <w:r w:rsidRPr="00F90EAE">
        <w:rPr>
          <w:rFonts w:ascii="Times New Roman" w:cs="Times New Roman"/>
          <w:color w:val="000000" w:themeColor="text1"/>
          <w:spacing w:val="0"/>
        </w:rPr>
        <w:softHyphen/>
        <w:t>ной Армии имеются требующие капитально</w:t>
      </w:r>
      <w:r w:rsidRPr="00F90EAE">
        <w:rPr>
          <w:rFonts w:ascii="Times New Roman" w:cs="Times New Roman"/>
          <w:color w:val="000000" w:themeColor="text1"/>
          <w:spacing w:val="0"/>
        </w:rPr>
        <w:softHyphen/>
        <w:t xml:space="preserve">го ремонта танки </w:t>
      </w:r>
      <w:r w:rsidRPr="00F90EAE">
        <w:rPr>
          <w:rFonts w:ascii="Times New Roman" w:cs="Times New Roman"/>
          <w:color w:val="000000" w:themeColor="text1"/>
          <w:spacing w:val="0"/>
          <w:lang w:val="en-US"/>
        </w:rPr>
        <w:t>KB</w:t>
      </w:r>
      <w:r w:rsidRPr="00F90EAE">
        <w:rPr>
          <w:rFonts w:ascii="Times New Roman" w:cs="Times New Roman"/>
          <w:color w:val="000000" w:themeColor="text1"/>
          <w:spacing w:val="0"/>
        </w:rPr>
        <w:t xml:space="preserve"> с 76-мм пушкой в ко</w:t>
      </w:r>
      <w:r w:rsidRPr="00F90EAE">
        <w:rPr>
          <w:rFonts w:ascii="Times New Roman" w:cs="Times New Roman"/>
          <w:color w:val="000000" w:themeColor="text1"/>
          <w:spacing w:val="0"/>
        </w:rPr>
        <w:softHyphen/>
        <w:t>личестве 205 штук и самоходные артилле</w:t>
      </w:r>
      <w:r w:rsidRPr="00F90EAE">
        <w:rPr>
          <w:rFonts w:ascii="Times New Roman" w:cs="Times New Roman"/>
          <w:color w:val="000000" w:themeColor="text1"/>
          <w:spacing w:val="0"/>
        </w:rPr>
        <w:softHyphen/>
        <w:t xml:space="preserve">рийские установки СУ-152, изготовленные на базе танков </w:t>
      </w:r>
      <w:r w:rsidRPr="00F90EAE">
        <w:rPr>
          <w:rFonts w:ascii="Times New Roman" w:cs="Times New Roman"/>
          <w:color w:val="000000" w:themeColor="text1"/>
          <w:spacing w:val="0"/>
          <w:lang w:val="en-US"/>
        </w:rPr>
        <w:t>KB</w:t>
      </w:r>
      <w:r w:rsidRPr="00F90EAE">
        <w:rPr>
          <w:rFonts w:ascii="Times New Roman" w:cs="Times New Roman"/>
          <w:color w:val="000000" w:themeColor="text1"/>
          <w:spacing w:val="0"/>
        </w:rPr>
        <w:t xml:space="preserve"> - 151 штука. Всего имеет</w:t>
      </w:r>
      <w:r w:rsidRPr="00F90EAE">
        <w:rPr>
          <w:rFonts w:ascii="Times New Roman" w:cs="Times New Roman"/>
          <w:color w:val="000000" w:themeColor="text1"/>
          <w:spacing w:val="0"/>
        </w:rPr>
        <w:softHyphen/>
        <w:t>ся 356 штук.</w:t>
      </w:r>
    </w:p>
    <w:p w14:paraId="5FDA7A7E"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Эти танки и самоходные установки, как устаревшие, на укомплектование танковых частей не используются.</w:t>
      </w:r>
    </w:p>
    <w:p w14:paraId="5B9A206B"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марте месяце с.г. Вами было разреше</w:t>
      </w:r>
      <w:r w:rsidRPr="00F90EAE">
        <w:rPr>
          <w:rFonts w:ascii="Times New Roman" w:cs="Times New Roman"/>
          <w:color w:val="000000" w:themeColor="text1"/>
          <w:spacing w:val="0"/>
        </w:rPr>
        <w:softHyphen/>
        <w:t xml:space="preserve">но переделать 40 танков </w:t>
      </w:r>
      <w:r w:rsidRPr="00F90EAE">
        <w:rPr>
          <w:rFonts w:ascii="Times New Roman" w:cs="Times New Roman"/>
          <w:color w:val="000000" w:themeColor="text1"/>
          <w:spacing w:val="0"/>
          <w:lang w:val="en-US"/>
        </w:rPr>
        <w:t>KB</w:t>
      </w:r>
      <w:r w:rsidRPr="00F90EAE">
        <w:rPr>
          <w:rFonts w:ascii="Times New Roman" w:cs="Times New Roman"/>
          <w:color w:val="000000" w:themeColor="text1"/>
          <w:spacing w:val="0"/>
        </w:rPr>
        <w:t xml:space="preserve"> на тягачи. Этого количества для покрытия потребности тан</w:t>
      </w:r>
      <w:r w:rsidRPr="00F90EAE">
        <w:rPr>
          <w:rFonts w:ascii="Times New Roman" w:cs="Times New Roman"/>
          <w:color w:val="000000" w:themeColor="text1"/>
          <w:spacing w:val="0"/>
        </w:rPr>
        <w:softHyphen/>
        <w:t>ковых частей Красной Армии недостаточно.</w:t>
      </w:r>
    </w:p>
    <w:p w14:paraId="42DA913F"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Прошу Вашего разрешения переделать указанные выше танки на тягачи для эва</w:t>
      </w:r>
      <w:r w:rsidRPr="00F90EAE">
        <w:rPr>
          <w:rFonts w:ascii="Times New Roman" w:cs="Times New Roman"/>
          <w:color w:val="000000" w:themeColor="text1"/>
          <w:spacing w:val="0"/>
        </w:rPr>
        <w:softHyphen/>
        <w:t>куации танков. Тягачи в настоящее время для танковых частей Красной Армии крайне необходимы» (15226).</w:t>
      </w:r>
    </w:p>
    <w:p w14:paraId="5602F8B3" w14:textId="77777777" w:rsidR="00D7144C" w:rsidRPr="00F90EAE" w:rsidRDefault="00D7144C" w:rsidP="00F90EAE">
      <w:pPr>
        <w:pStyle w:val="27"/>
        <w:shd w:val="clear" w:color="auto" w:fill="auto"/>
        <w:spacing w:after="0" w:line="240" w:lineRule="auto"/>
        <w:ind w:firstLine="0"/>
        <w:rPr>
          <w:rFonts w:ascii="Times New Roman" w:cs="Times New Roman"/>
          <w:color w:val="000000" w:themeColor="text1"/>
          <w:spacing w:val="0"/>
        </w:rPr>
      </w:pPr>
    </w:p>
    <w:p w14:paraId="4B0BCA9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июня 1945 вышло Распоряжение ГКО № 9042 [О мерах по обеспечению строительными материалами строек НКЧМ, НКЦМ, НКЭС, НКПС, НКУП и НКНП.] (7349, 33-34,35-52).</w:t>
      </w:r>
    </w:p>
    <w:p w14:paraId="1E66C07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6F374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Постановление ГКО № 9043 О плане снабжения горюче-смазочными материалами Красной Армии и Военно-Морского Флота на июнь 1945 года. РГАНИР, Фонд ГКО, д. 427, лл. 53-54, 55-75 (11012).</w:t>
      </w:r>
    </w:p>
    <w:p w14:paraId="24D75359" w14:textId="77777777" w:rsidR="006103B3" w:rsidRPr="00F90EAE" w:rsidRDefault="006103B3" w:rsidP="00F90EAE">
      <w:pPr>
        <w:autoSpaceDE w:val="0"/>
        <w:autoSpaceDN w:val="0"/>
        <w:adjustRightInd w:val="0"/>
        <w:jc w:val="both"/>
        <w:rPr>
          <w:color w:val="000000" w:themeColor="text1"/>
          <w:sz w:val="16"/>
          <w:szCs w:val="16"/>
        </w:rPr>
      </w:pPr>
    </w:p>
    <w:p w14:paraId="73A549FB"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июня 1945 вышло Распоряжение ГКО № 9044 [О подготовке вопроса о выделении в самостоятельную дорогу железнодорожных линий на территории Азербайджанской ССР.] (7349, 76).</w:t>
      </w:r>
    </w:p>
    <w:p w14:paraId="27141B6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96CAD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Распоряжение ГКО № 9045. О выделении строительству газопровода Саратов-Москва финских домов, леса и пиломатериалов. РГАНИР, Фонд ГКО, д. 427, лл. 77 (11012).</w:t>
      </w:r>
    </w:p>
    <w:p w14:paraId="6954EB83" w14:textId="77777777" w:rsidR="006103B3" w:rsidRPr="00F90EAE" w:rsidRDefault="006103B3" w:rsidP="00F90EAE">
      <w:pPr>
        <w:autoSpaceDE w:val="0"/>
        <w:autoSpaceDN w:val="0"/>
        <w:adjustRightInd w:val="0"/>
        <w:jc w:val="both"/>
        <w:rPr>
          <w:color w:val="000000" w:themeColor="text1"/>
          <w:sz w:val="16"/>
          <w:szCs w:val="16"/>
        </w:rPr>
      </w:pPr>
    </w:p>
    <w:p w14:paraId="79DBF0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Распоряжение ГКО № 9046. Об организации на предприятиях НКБ производства бурового и эксплуатационного оборудования для НКНП. РГАНИР, Фонд ГКО, д. 427, лл. 78 (11012).</w:t>
      </w:r>
    </w:p>
    <w:p w14:paraId="05A4999D" w14:textId="77777777" w:rsidR="006103B3" w:rsidRPr="00F90EAE" w:rsidRDefault="006103B3" w:rsidP="00F90EAE">
      <w:pPr>
        <w:autoSpaceDE w:val="0"/>
        <w:autoSpaceDN w:val="0"/>
        <w:adjustRightInd w:val="0"/>
        <w:jc w:val="both"/>
        <w:rPr>
          <w:color w:val="000000" w:themeColor="text1"/>
          <w:sz w:val="16"/>
          <w:szCs w:val="16"/>
        </w:rPr>
      </w:pPr>
    </w:p>
    <w:p w14:paraId="16A5DF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Постановление ГКО № 9047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РГАНИР, Фонд ГКО, д. 427, лл. 79-85, 86-92 (11012).</w:t>
      </w:r>
    </w:p>
    <w:p w14:paraId="746C8B5C" w14:textId="77777777" w:rsidR="006103B3" w:rsidRPr="00F90EAE" w:rsidRDefault="006103B3" w:rsidP="00F90EAE">
      <w:pPr>
        <w:autoSpaceDE w:val="0"/>
        <w:autoSpaceDN w:val="0"/>
        <w:adjustRightInd w:val="0"/>
        <w:jc w:val="both"/>
        <w:rPr>
          <w:color w:val="000000" w:themeColor="text1"/>
          <w:sz w:val="16"/>
          <w:szCs w:val="16"/>
        </w:rPr>
      </w:pPr>
    </w:p>
    <w:p w14:paraId="032B3A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года 4-е главное управление по наземной радиолокационной аппаратуре было образовано в Наркомате вооружений (10109).</w:t>
      </w:r>
    </w:p>
    <w:p w14:paraId="2C82CB69" w14:textId="77777777" w:rsidR="006103B3" w:rsidRPr="00F90EAE" w:rsidRDefault="006103B3" w:rsidP="00F90EAE">
      <w:pPr>
        <w:autoSpaceDE w:val="0"/>
        <w:autoSpaceDN w:val="0"/>
        <w:adjustRightInd w:val="0"/>
        <w:jc w:val="both"/>
        <w:rPr>
          <w:color w:val="000000" w:themeColor="text1"/>
          <w:sz w:val="16"/>
          <w:szCs w:val="16"/>
        </w:rPr>
      </w:pPr>
    </w:p>
    <w:p w14:paraId="30C24A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года В соответствии с постановлением ГКО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 на заводах страны начались подготовительные работы. Для комплексного проектирования СОН, ПУАЗО и ССП образовано Центральное конструкторское бюро (ЦКБ-20). Патронные и радиотехнические заводы №№ 79 (Коломна), 304 (Кунцево), 465 (Москва), 526 (Новокузнецк), 569 (Загорск), 780 (Ленинград), а также ЦКБ-20 (Москва) переданы 4-му (радиолокационному) главному управлению Наркомата вооружений.. Для подготовки специалистов в Ленинградской Военной академии связи имени С.М.Буденного был организован радиолокационный факультет. Кунцевский завод № 304 стал основным заводом НКВ по производству СОН. Прекратив производство патронов, завод развернул подготовительные работы к выпуску СОН “Юпитер-3” по технической документации НИИ-10 Наркомсудпрома.</w:t>
      </w:r>
    </w:p>
    <w:p w14:paraId="28A822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Загорский завод № 569 в марте 1946 года приступил к организации производства ПУАЗО. В этом же году на заводе создано ОКБ-569 по счетно-решающим приборам. Позже начато освоение аппаратуры для систем С-25, С-50 и С-75 (10109).</w:t>
      </w:r>
    </w:p>
    <w:p w14:paraId="5548A4AA" w14:textId="77777777" w:rsidR="006103B3" w:rsidRPr="00F90EAE" w:rsidRDefault="006103B3" w:rsidP="00F90EAE">
      <w:pPr>
        <w:autoSpaceDE w:val="0"/>
        <w:autoSpaceDN w:val="0"/>
        <w:adjustRightInd w:val="0"/>
        <w:jc w:val="both"/>
        <w:rPr>
          <w:color w:val="000000" w:themeColor="text1"/>
          <w:sz w:val="16"/>
          <w:szCs w:val="16"/>
        </w:rPr>
      </w:pPr>
    </w:p>
    <w:p w14:paraId="5EE1F3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г. КБ завода № 465 было преобразовано в ЦКБ-20. В соответствии с пост. СНК от 29.09.1945 г. ЦКБ-20 переименовано в НИИ- 20, ему в качестве опытной базы передан завод № 465, а вместе они переданы в подчинение НКВ.</w:t>
      </w:r>
    </w:p>
    <w:p w14:paraId="1D58F4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(1942 г.-)- А.Я. Брейтбарт (СОН-2).</w:t>
      </w:r>
    </w:p>
    <w:p w14:paraId="78B898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конструкторов: (1942 г.-)- С.П. Рабинович (СОН-2) (11982).</w:t>
      </w:r>
    </w:p>
    <w:p w14:paraId="5CD0FB0B" w14:textId="77777777" w:rsidR="006103B3" w:rsidRPr="00F90EAE" w:rsidRDefault="006103B3" w:rsidP="00F90EAE">
      <w:pPr>
        <w:autoSpaceDE w:val="0"/>
        <w:autoSpaceDN w:val="0"/>
        <w:adjustRightInd w:val="0"/>
        <w:jc w:val="both"/>
        <w:rPr>
          <w:color w:val="000000" w:themeColor="text1"/>
          <w:sz w:val="16"/>
          <w:szCs w:val="16"/>
        </w:rPr>
      </w:pPr>
    </w:p>
    <w:p w14:paraId="583BC1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Постановление ГКО № 9048 О материально-техническом обеспечении работ по ремонту нефтеперерабатывающих заводов Наркомнефти. РГАНИР, Фонд ГКО, д. 427, лл. 93-98, 99-106 (11012).</w:t>
      </w:r>
    </w:p>
    <w:p w14:paraId="077DB916" w14:textId="77777777" w:rsidR="006103B3" w:rsidRPr="00F90EAE" w:rsidRDefault="006103B3" w:rsidP="00F90EAE">
      <w:pPr>
        <w:autoSpaceDE w:val="0"/>
        <w:autoSpaceDN w:val="0"/>
        <w:adjustRightInd w:val="0"/>
        <w:jc w:val="both"/>
        <w:rPr>
          <w:color w:val="000000" w:themeColor="text1"/>
          <w:sz w:val="16"/>
          <w:szCs w:val="16"/>
        </w:rPr>
      </w:pPr>
    </w:p>
    <w:p w14:paraId="7D3239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вышло Постановление ГКО № 9049 О восстановлении и развитии сланцевой промышленности Эстонской ССР и Ленинградской области и об обеспечении газом г. Ленинграда. РГАНИР, Фонд ГКО, д. 427, лл. 107-118, 119-263 (11012).</w:t>
      </w:r>
    </w:p>
    <w:p w14:paraId="0AD7287A" w14:textId="77777777" w:rsidR="006103B3" w:rsidRPr="00F90EAE" w:rsidRDefault="006103B3" w:rsidP="00F90EAE">
      <w:pPr>
        <w:autoSpaceDE w:val="0"/>
        <w:autoSpaceDN w:val="0"/>
        <w:adjustRightInd w:val="0"/>
        <w:jc w:val="both"/>
        <w:rPr>
          <w:color w:val="000000" w:themeColor="text1"/>
          <w:sz w:val="16"/>
          <w:szCs w:val="16"/>
        </w:rPr>
      </w:pPr>
    </w:p>
    <w:p w14:paraId="7B3877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10 июня 1945 г. КБ завода 465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40590F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3B375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Есть информация, что в 1954 г. НИИ-20 переименован в НИИ-244.</w:t>
      </w:r>
    </w:p>
    <w:p w14:paraId="06B6CD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2E0534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1954 г. работала группа гл. конструктора Н.А. Викторова (далее- в НИИ-244) по разработке АРГС для снаряда «Щука».</w:t>
      </w:r>
    </w:p>
    <w:p w14:paraId="18CE98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конце 1940-х г. НИР «Топаз» по созданию систем радиоуправления МБР (Б.М. Коноплев).60 </w:t>
      </w:r>
    </w:p>
    <w:p w14:paraId="48B33D3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1F3F63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5DCFA8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027B5D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51AE28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гл. конструктор (1958-70 г.-) - В.П. Ефремов.</w:t>
      </w:r>
    </w:p>
    <w:p w14:paraId="21460A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Ген. директор- Ю.И. Бадалов, (2002 г.) - Ю.М. Свирин (до этого был директором Марийского МЗ).</w:t>
      </w:r>
    </w:p>
    <w:p w14:paraId="16FB741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47A0EC5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Ген. конструктор «Антея» (2002-03 г.-)- В.П. Ефремов.</w:t>
      </w:r>
    </w:p>
    <w:p w14:paraId="0396E3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(1970 г.)- И.М. Дризе.</w:t>
      </w:r>
    </w:p>
    <w:p w14:paraId="4EA08E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Президент ПК «Концерн «Антей» (1999 г.)- Ю.И. Бадалов.</w:t>
      </w:r>
    </w:p>
    <w:p w14:paraId="008A17B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совета директоров ПК «Концерн «Антей» (2001 г.-)- В. Иванов.</w:t>
      </w:r>
    </w:p>
    <w:p w14:paraId="4CBC5C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Член совета директоров (2002 г.)- А.А. Ноговицын.</w:t>
      </w:r>
    </w:p>
    <w:p w14:paraId="71258F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(-1958-75 г.-)- И.М. Дризе (9А330), (1960 г.)- М.М. Косичкин.</w:t>
      </w:r>
    </w:p>
    <w:p w14:paraId="491098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1CC0C3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2A0DB0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6A40CB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Москва Ленинградский пр., 80 (1947 г.)/</w:t>
      </w:r>
    </w:p>
    <w:p w14:paraId="52BF32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121471 г. Москва, ул. Верейская, 41 тел. 448-94-60, 448-75-32/</w:t>
      </w:r>
    </w:p>
    <w:p w14:paraId="0BFD3D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Ленинградский филиал НИИ-20 НКОП</w:t>
      </w:r>
    </w:p>
    <w:p w14:paraId="0D3159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Ленинград ул. Красной Связи</w:t>
      </w:r>
    </w:p>
    <w:p w14:paraId="39399B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7221BA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1939 г. филиал, как и НИИ-20, передан из ОТУ в 7ГУ. </w:t>
      </w:r>
    </w:p>
    <w:p w14:paraId="1304996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филиала (1937 г.)- Медведев.</w:t>
      </w:r>
    </w:p>
    <w:p w14:paraId="327D00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ОАО «НИИ «Стрела»</w:t>
      </w:r>
    </w:p>
    <w:p w14:paraId="007C5A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 Тула, ул. Горького, 6</w:t>
      </w:r>
    </w:p>
    <w:p w14:paraId="3DBAC4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B89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Гендиректор (2005 г.)- Н. Зайцев.</w:t>
      </w:r>
    </w:p>
    <w:p w14:paraId="5885CA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гендиректора: по производству (11.2005 г.-)- В. Кузьмин; по экономическим вопросам (2005 г.)- Ю. Гавриков.</w:t>
      </w:r>
    </w:p>
    <w:p w14:paraId="1FB055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Создано: комплексы разведки и стрельбы: «Зоопарк», «Фара»; РЛС «Кредо-М1», «Гамма-ПВ».</w:t>
      </w:r>
    </w:p>
    <w:p w14:paraId="4AD1DC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ВНИИ радиоаппаратуры РАСУ</w:t>
      </w:r>
    </w:p>
    <w:p w14:paraId="6FF795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(2003 г.)- Г.Н. Громов.</w:t>
      </w:r>
    </w:p>
    <w:p w14:paraId="083952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ОАО «Концерн ПВО «Алмаз-Антей»</w:t>
      </w:r>
    </w:p>
    <w:p w14:paraId="1A2396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62506B5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Председатель совета директоров (04.2002-05 г.-)- В. Иванов.</w:t>
      </w:r>
    </w:p>
    <w:p w14:paraId="423291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290DF5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Ген. конструктор (2005 г.)- А.И. Савин.</w:t>
      </w:r>
    </w:p>
    <w:p w14:paraId="178285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1-й зам. ген. конструктора (2005 г.)- П. Созинов.</w:t>
      </w:r>
    </w:p>
    <w:p w14:paraId="0546740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7ADE15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гендиректора (04.2002- 02.2003 г.)- И. Климов, (2002 г.-)- И. Ашурбейли,Ъ-17.02.03 (-2003-05 г.-)- Я. Новиков, (2005 г.)- П. Созинов (10776).</w:t>
      </w:r>
    </w:p>
    <w:p w14:paraId="34FBCF5C" w14:textId="77777777" w:rsidR="006103B3" w:rsidRPr="00F90EAE" w:rsidRDefault="006103B3" w:rsidP="00F90EAE">
      <w:pPr>
        <w:autoSpaceDE w:val="0"/>
        <w:autoSpaceDN w:val="0"/>
        <w:adjustRightInd w:val="0"/>
        <w:jc w:val="both"/>
        <w:rPr>
          <w:color w:val="000000" w:themeColor="text1"/>
          <w:sz w:val="16"/>
          <w:szCs w:val="16"/>
        </w:rPr>
      </w:pPr>
    </w:p>
    <w:p w14:paraId="3B4EC0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10 июня 1945 г. КБ завода № 465 было преобразовано в ЦКБ-20(ЦКБ-20, НИИ-20 НКВ, </w:t>
      </w:r>
      <w:r w:rsidRPr="00F90EAE">
        <w:rPr>
          <w:color w:val="000000" w:themeColor="text1"/>
          <w:sz w:val="16"/>
          <w:szCs w:val="16"/>
          <w:lang w:val="en-US"/>
        </w:rPr>
        <w:t>MB</w:t>
      </w:r>
      <w:r w:rsidRPr="00F90EAE">
        <w:rPr>
          <w:color w:val="000000" w:themeColor="text1"/>
          <w:sz w:val="16"/>
          <w:szCs w:val="16"/>
        </w:rPr>
        <w:t>, МИСС, МОП, ГКРЭ, Научно -исследовательский электромеханический институт (НИЭМИ) МРП, ОАО «НИЭМИ» / г. Москва Ленинградский пр., 80 (1947 г.)/ /121471  г. Москва ул. Верейская, 41 тел. 448-94-60,443-79-59/). В 1946 г. (в соответствии с пост. СНК от 29.09.1945 г.) ЦКБ-20 преобразовано в НИИ-20, ему в качестве опытной базы передан завод № 465, а вместе они переданы в подчинение НКВ. Научные кадры завода вместе с лабораториями переведены в НИИ-20.</w:t>
      </w:r>
    </w:p>
    <w:p w14:paraId="574E3E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Велась разработка РЛС «Нептун» и СОН-4. В 1945 г. получено задание на разработку РЛС «Плутон» для обнаружения БР на дальности до 2000 км по программе «Анти-ФАУ» (научный руководитель - Н.А. Баршай). В соответствии с пост.ениями СМ СССР от 14.04(02). 1948 г. и от 6.02.1949 г. институт определен головным по разработке РЛС системы борьбы с БР (тема И-32). Начата НИР «Разработка РЛС для дальнего обнаружения и пеленга скорости ракет дальнего действия...». В 1950 г. выполнен отчет по работе, но дальнейшие работы отложены. Разработаны первые в стране РЛС с высокой точностью определения координат воздушных целей и повышенной помехозащищенностью «Крона», «Просвет».</w:t>
      </w:r>
    </w:p>
    <w:p w14:paraId="6FC9C5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1946 г. группа специалистов из НИИ-20 была переведена во вновь созданный НИИ-885.</w:t>
      </w:r>
    </w:p>
    <w:p w14:paraId="2AABC95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Сначала НИИ-20 базировался в Москве на Ленинградском пр-те. 29.08.1947 г. создан отдел № 24 по РЛ управлению под руководством С.Л. Берия, 8.09.1947 г. отдел преобразован в самостоятельное СБ-1 </w:t>
      </w:r>
      <w:r w:rsidRPr="00F90EAE">
        <w:rPr>
          <w:color w:val="000000" w:themeColor="text1"/>
          <w:sz w:val="16"/>
          <w:szCs w:val="16"/>
          <w:lang w:val="en-US"/>
        </w:rPr>
        <w:t>MB</w:t>
      </w:r>
      <w:r w:rsidRPr="00F90EAE">
        <w:rPr>
          <w:color w:val="000000" w:themeColor="text1"/>
          <w:sz w:val="16"/>
          <w:szCs w:val="16"/>
        </w:rPr>
        <w:t xml:space="preserve">. В 08.1950 г. после образования на его территории и стремительного роста КБ-1 приказом </w:t>
      </w:r>
      <w:r w:rsidRPr="00F90EAE">
        <w:rPr>
          <w:color w:val="000000" w:themeColor="text1"/>
          <w:sz w:val="16"/>
          <w:szCs w:val="16"/>
          <w:lang w:val="en-US"/>
        </w:rPr>
        <w:t>MB</w:t>
      </w:r>
      <w:r w:rsidRPr="00F90EAE">
        <w:rPr>
          <w:color w:val="000000" w:themeColor="text1"/>
          <w:sz w:val="16"/>
          <w:szCs w:val="16"/>
        </w:rPr>
        <w:t xml:space="preserve"> все помещения института переданы КБ-1, а НИИ-20 переведен в Кунцево на площадку завода № 304.</w:t>
      </w:r>
    </w:p>
    <w:p w14:paraId="1B5743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1948 г. НИИ-20 - в подчинении </w:t>
      </w:r>
      <w:r w:rsidRPr="00F90EAE">
        <w:rPr>
          <w:color w:val="000000" w:themeColor="text1"/>
          <w:sz w:val="16"/>
          <w:szCs w:val="16"/>
          <w:lang w:val="en-US"/>
        </w:rPr>
        <w:t>MB</w:t>
      </w:r>
      <w:r w:rsidRPr="00F90EAE">
        <w:rPr>
          <w:color w:val="000000" w:themeColor="text1"/>
          <w:sz w:val="16"/>
          <w:szCs w:val="16"/>
        </w:rPr>
        <w:t>, в 1949 г. - МПСС, в 1956 г. - в ведении МОП, в 1958 г. - ГКРЭ,</w:t>
      </w:r>
      <w:r w:rsidRPr="00F90EAE">
        <w:rPr>
          <w:color w:val="000000" w:themeColor="text1"/>
          <w:sz w:val="16"/>
          <w:szCs w:val="16"/>
          <w:vertAlign w:val="superscript"/>
        </w:rPr>
        <w:t xml:space="preserve">57 </w:t>
      </w:r>
      <w:r w:rsidRPr="00F90EAE">
        <w:rPr>
          <w:color w:val="000000" w:themeColor="text1"/>
          <w:sz w:val="16"/>
          <w:szCs w:val="16"/>
        </w:rPr>
        <w:t>ГКОТ.</w:t>
      </w:r>
      <w:r w:rsidRPr="00F90EAE">
        <w:rPr>
          <w:color w:val="000000" w:themeColor="text1"/>
          <w:sz w:val="16"/>
          <w:szCs w:val="16"/>
          <w:vertAlign w:val="superscript"/>
        </w:rPr>
        <w:t>104</w:t>
      </w:r>
      <w:r w:rsidRPr="00F90EAE">
        <w:rPr>
          <w:color w:val="000000" w:themeColor="text1"/>
          <w:sz w:val="16"/>
          <w:szCs w:val="16"/>
        </w:rPr>
        <w:t xml:space="preserve"> В 1966 г. НИИ-20 преобразован в НИЭМИ МРП (и на 1970 г.). НПО «Антей» образовалось в 1983 г. в результате объединения НИЭМИ (головной) и НИИ «Стрела».</w:t>
      </w:r>
      <w:r w:rsidRPr="00F90EAE">
        <w:rPr>
          <w:color w:val="000000" w:themeColor="text1"/>
          <w:sz w:val="16"/>
          <w:szCs w:val="16"/>
          <w:vertAlign w:val="superscript"/>
        </w:rPr>
        <w:t>58</w:t>
      </w:r>
      <w:r w:rsidRPr="00F90EAE">
        <w:rPr>
          <w:color w:val="000000" w:themeColor="text1"/>
          <w:sz w:val="16"/>
          <w:szCs w:val="16"/>
        </w:rPr>
        <w:t xml:space="preserve"> В НПО вошел также Тульский завод «Арсенал».</w:t>
      </w:r>
    </w:p>
    <w:p w14:paraId="7DC94B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После войны разрабатывались радиоприборные комплексы (РПК) управления огнем зенитной артиллерии, приборы управления артиллерийским зенитным огнем (ПУАЗО), артиллерийские РЛС обнаружения минометов (АРСОМ).</w:t>
      </w:r>
    </w:p>
    <w:p w14:paraId="2E6638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1940-х  г. НИР «Топаз» по созданию систем радиоуправления МБР (Б.М. Коноплев).</w:t>
      </w:r>
      <w:r w:rsidRPr="00F90EAE">
        <w:rPr>
          <w:color w:val="000000" w:themeColor="text1"/>
          <w:sz w:val="16"/>
          <w:szCs w:val="16"/>
          <w:vertAlign w:val="superscript"/>
        </w:rPr>
        <w:t>60</w:t>
      </w:r>
    </w:p>
    <w:p w14:paraId="22A297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соответствии с ПСМ № 787-341сс от 27.04.1954 г. РЛС «Гром-2» пнв. В соответствии с ПСМ № 2142-1012сс от 16.10.1954 г. пнв РЛС АРСОМ-2.</w:t>
      </w:r>
    </w:p>
    <w:p w14:paraId="52A6FD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1956 г. институту выдано задание на разработку РЛС визирования противоракет (РСВПР) для системы ПРО «А», в 1959 г. она была создана. С 1957 г. начаты работы по созданию техники ПВО. 13.02.1958 г. вышло постановление СМ СССР № 188-88 о создании ЗРК «Круг». В НИИ для него создавалась станция наведения ракет 1С32. В соответствии с ПСМ № 966-377 от 26.11.1964 г. ЗРК пнв.</w:t>
      </w:r>
    </w:p>
    <w:p w14:paraId="6B654E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2452-1179сс от 17.12.1954 г. ПУАЗО-6 пнв.</w:t>
      </w:r>
    </w:p>
    <w:p w14:paraId="287857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1956 г. начата разработка ЗРК войсковой ПВО. 27.10.1960 г. - постановление СМ СССР о создании ЗРК 9КЗЗ «Оса» (проектное название- «Эллипсоид»).</w:t>
      </w:r>
    </w:p>
    <w:p w14:paraId="2BCC35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ПСМ № 736-307 от 13.07.1960 г. ОПК-1 «Ваза» пнв.</w:t>
      </w:r>
    </w:p>
    <w:p w14:paraId="542B53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1962 г. груша специалистов по ПРО во главе с С.П. Рабиновичем переведена в СКБ-30.</w:t>
      </w:r>
    </w:p>
    <w:p w14:paraId="1D30E2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Работы по созданию дивизионного автономного самоходного ЗРК «Тор» (9К330) начались в соответствии с Пост. ЦК КПСС и СМ СССР от 4.02.1975 г.</w:t>
      </w:r>
    </w:p>
    <w:p w14:paraId="77693F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составе института действовало КБ (1960-е).</w:t>
      </w:r>
    </w:p>
    <w:p w14:paraId="1BB284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Выполнены НИР: «Тема-2, -3».</w:t>
      </w:r>
    </w:p>
    <w:p w14:paraId="2A8D19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1994 г. образовано ОАО «Промышленная компания «Концерн «Антей». 2002 г. в Концерн «Антей» входили: Марийский машиностроительный завод, МЗИК, ИЭМЗ «Купол».</w:t>
      </w:r>
      <w:r w:rsidRPr="00F90EAE">
        <w:rPr>
          <w:color w:val="000000" w:themeColor="text1"/>
          <w:sz w:val="16"/>
          <w:szCs w:val="16"/>
          <w:vertAlign w:val="superscript"/>
        </w:rPr>
        <w:t>69</w:t>
      </w:r>
      <w:r w:rsidRPr="00F90EAE">
        <w:rPr>
          <w:color w:val="000000" w:themeColor="text1"/>
          <w:sz w:val="16"/>
          <w:szCs w:val="16"/>
        </w:rPr>
        <w:t xml:space="preserve"> По Указу Президента РФ № 1009 от 4.08.2004 г. ОАО НИЭМИ вошло в число стратегических оборонных предприятий.</w:t>
      </w:r>
    </w:p>
    <w:p w14:paraId="021D55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И.О. директора (1942 г.)- </w:t>
      </w:r>
      <w:r w:rsidRPr="00F90EAE">
        <w:rPr>
          <w:color w:val="000000" w:themeColor="text1"/>
          <w:sz w:val="16"/>
          <w:szCs w:val="16"/>
          <w:lang w:val="en-US"/>
        </w:rPr>
        <w:t>M</w:t>
      </w:r>
      <w:r w:rsidRPr="00F90EAE">
        <w:rPr>
          <w:color w:val="000000" w:themeColor="text1"/>
          <w:sz w:val="16"/>
          <w:szCs w:val="16"/>
        </w:rPr>
        <w:t>.</w:t>
      </w:r>
      <w:r w:rsidRPr="00F90EAE">
        <w:rPr>
          <w:color w:val="000000" w:themeColor="text1"/>
          <w:sz w:val="16"/>
          <w:szCs w:val="16"/>
          <w:lang w:val="en-US"/>
        </w:rPr>
        <w:t>JI</w:t>
      </w:r>
      <w:r w:rsidRPr="00F90EAE">
        <w:rPr>
          <w:color w:val="000000" w:themeColor="text1"/>
          <w:sz w:val="16"/>
          <w:szCs w:val="16"/>
        </w:rPr>
        <w:t xml:space="preserve">. Слиозбер г. Директор (1942-45 г.)- А.А. Форштер, (1945-47 г.)- </w:t>
      </w:r>
      <w:r w:rsidRPr="00F90EAE">
        <w:rPr>
          <w:color w:val="000000" w:themeColor="text1"/>
          <w:sz w:val="16"/>
          <w:szCs w:val="16"/>
          <w:lang w:val="en-US"/>
        </w:rPr>
        <w:t>M</w:t>
      </w:r>
      <w:r w:rsidRPr="00F90EAE">
        <w:rPr>
          <w:color w:val="000000" w:themeColor="text1"/>
          <w:sz w:val="16"/>
          <w:szCs w:val="16"/>
        </w:rPr>
        <w:t>.</w:t>
      </w:r>
      <w:r w:rsidRPr="00F90EAE">
        <w:rPr>
          <w:color w:val="000000" w:themeColor="text1"/>
          <w:sz w:val="16"/>
          <w:szCs w:val="16"/>
          <w:lang w:val="en-US"/>
        </w:rPr>
        <w:t>JI</w:t>
      </w:r>
      <w:r w:rsidRPr="00F90EAE">
        <w:rPr>
          <w:color w:val="000000" w:themeColor="text1"/>
          <w:sz w:val="16"/>
          <w:szCs w:val="16"/>
        </w:rPr>
        <w:t>. Слиозберг, Н.Н. Чистяков, (1951-54 г.)- К.М. Герасимов, (1954-64 г.)- П.М. Чудаков, (1964-68 г.)- М.М. Косичкин, (1969-83 г.)- В.П. Ефремов, (1984-93 г.)-  Г.И. Сергеев, (1993-99 г.)- М.А. Горбачев. Гендиректор (1999-2004 г.)- В.А. Попов, (2005 г.)- А.А. Мурафетов, (2007 г.)-  Г.И. Сергеев.</w:t>
      </w:r>
    </w:p>
    <w:p w14:paraId="3A7881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1-й зам. гендиректора (2007 г.)- С.К. Раевский. Зам. директора, гендиректора: по госзаказу (2000-е)- В.А. Попов; (-1988 г.)- Ю.И. Бадалов, А.П. Белоусов.</w:t>
      </w:r>
    </w:p>
    <w:p w14:paraId="3C02A8B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(24.10.1945 г.-)- С.П. Рабинович, (1969-83 г.)- В.П. Ефремов («Тор»). Ген. конструктор (1984- 2005 г.)- академик (1992 г.) В.П. Ефремов {22.05.1926-16.09.2006}.</w:t>
      </w:r>
    </w:p>
    <w:p w14:paraId="4D0FAE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1-й зам. ген. конструктора (2000-е)- Ю.Л. Усов. Зам. гл. конструктора (1970 г.)- И.М. Дризе.</w:t>
      </w:r>
    </w:p>
    <w:p w14:paraId="6DA46B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Научный руководитель (1968-69; 2005-06 г.)- В.П. Ефремов. Ответственный научно-технический руководитель (1992-95 г.)- В.П. Ефремов.</w:t>
      </w:r>
    </w:p>
    <w:p w14:paraId="57BE46F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М.Л. Слиозберг, Ю.И. Бадалов, (2007 г.)- С.К. Раевский.</w:t>
      </w:r>
    </w:p>
    <w:p w14:paraId="39B5C7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(1954-66 г.)- В.П. Ефремов, (-1958 г.)- К.Н. Богданов, (-1979 г.)- Б.Н. Степанов, (-2000 г.)- В. А. Богданов.</w:t>
      </w:r>
    </w:p>
    <w:p w14:paraId="0DAD9C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(-1983 г.)- К.А. Петров.</w:t>
      </w:r>
    </w:p>
    <w:p w14:paraId="5848FF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отделений: технологического (2000-е)- И.И. Жуков; конструкторского (-2006 г.)- В.И. Матросов.</w:t>
      </w:r>
    </w:p>
    <w:p w14:paraId="038D546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отделения: (-2000 г.)- А.И. Извеков.</w:t>
      </w:r>
    </w:p>
    <w:p w14:paraId="5FEC8C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(1942-50 г.)- А.Я. Брейтбарт (СОН-2, «Плутон»), (1945-62 г.)- С.П. Рабинович (СОН-4, РСВПР), М.Л. Слиозберг («Шпага»), (-1958-75 г.-&gt; И.М. Дризе (1С32, 9А330), (1958-88 г.-)- В.П. Ефремов («Круг», «Оса», С-300В, «Тор», «Антей-2500»), (1960 г.)- М.М. Косичкин (АРСОМ, «Марс», «Ваза», «Байкал», «Оса»), В.Н. Епифанов, В.П. Нечаев, Б.Н. Степанов, А.Я. Фиошин, (2000-е)- В.П. Чувилин; направления- С.А. Барсукова.</w:t>
      </w:r>
    </w:p>
    <w:p w14:paraId="10D5E4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конструкторов: (1950-е)- В.И. Фролов (РСВПР), (1950-е-62 г.)- А.К. Нелопко (РСВПР), (1950-е)- В.Т. Киселев (РСВПР), В.И. Абрамов, Б.З. Белокринилкий, (-1996 г.)- В.А. Винокуров, В.А. Грачев, Ю.Я. Зотов, В. Г. Костиков, Ю.В. Леонов, В.И. Матросов, В.В. Осипов, Д.В. Петрушевский, Д.И. Прокофьев, А.М. Рожнов, Э.И. Соренков, Э.К. Спрингис, Б.Н. Степанов (СОН-4), М.А. Толкачев, Р.С. Толмачев, (2000-е)- С.И. Чибисов, (2000- е)- В.Н. Шебеко.</w:t>
      </w:r>
    </w:p>
    <w:p w14:paraId="78B008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 КБ (1960-66 г.)- А.В. Кривозубов.</w:t>
      </w:r>
    </w:p>
    <w:p w14:paraId="144953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отделов: С.А. Барсукова, (1945 г.-)- К.Н. Богданов, А.Я. Брейтбарт, (-1945 г.)- А.А. Гапеев, С.Б. Добровольский, И.М. Дризе, В.Н. Епифанов, (1959-68 г.)- В.П. Ефремов, А.Ю. Заславский, В.М. Константиновский (ЭВМ), (2000-е)- В. Г. Костиков, (-1997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Кротков («Дископ»), Н.Ф. Лавров, (2000-е)- В.А. Марков, (-1968 г.)- Л.П. Налетов, (-2004 г.)- В.П. Нечаев, (-1995 г.)- В.З. Пескин, (1983 г.)- К.А. Петров, Д.И. Прокофьев, (-1970 г.)- М.Л. Слиозберг, (-2002 г.)- Э.И. Соренков, (2000-е)- Ю.Л. Усов, А.Я. Фиошин, (-1997 г.)- В.Н. Фомин, (-2003 г.)- Р.А. Фомин, (2000-е)- В.Ф. Церцек.</w:t>
      </w:r>
    </w:p>
    <w:p w14:paraId="5C0F65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отдела: К.Я. Гохштейн, М.Б. Дуэль, Н.А. Забелин.</w:t>
      </w:r>
    </w:p>
    <w:p w14:paraId="55AC6C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Начальники секторов: (2000-е)- М.А. Безверхов, (1966-2005 г.)- А.К. Ботвинов, (-2003 г.)- И.Д. Волков, К.Я. Гохштейн, В.А. Грачев, М.Б. Дуэль, А.С. Захарченко, (-2004 г.)- А.С. Кирильцев, (2000-е)- В.И. Леонидов, (2000- е)- Ю.В. Леонов, Е.А. Немчинов, М.И. Николенко, (-1977 г.)- М.М. Новиков, (2000-е)- А.И. Парфенов, Д.В. Петрушевский, (-1986 г.)- А. Г. Подцветов, (-1985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Рожнов, А.И. Смаржевский, (-1998 г.)- В.М. Сыроквасовский, (2000-е)- В.А. Терлецкий, М.А. Толкачев, Р.С. Толмачев, С.И. Чибисов.</w:t>
      </w:r>
    </w:p>
    <w:p w14:paraId="52C53D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лабораторий: (1945-51 г.)- В.А. Афанасьев, (1942 г.-)- А.Я. Брейтбарт, А.А. Гапеев, И.М. Дризе, (1946 г.-)- Н.А. Забелин, Ю.Я. Зотов, (2000-е)- В.В. Осипов, (1951 г.-)- С.П. Рабинович, М.Л. Слиозберг, (2000-е)- Э.К. Спрингис, (2000-е)- И.А. Черепанов, В.П. Чувилин, В.Н. Шебеко.</w:t>
      </w:r>
    </w:p>
    <w:p w14:paraId="73E335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лаборатории: (1956 г.-)- М.А. Безверхов. Зам. начальника цеха (-1988 г.)- П.А. Солодовников.</w:t>
      </w:r>
    </w:p>
    <w:p w14:paraId="6E8B56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бюро: (2007 г.)- А.А. Рогов.</w:t>
      </w:r>
    </w:p>
    <w:p w14:paraId="72951B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Научные руководители НИР: (1950-е)- В.П. Ефремов («Тема-2, -3»).</w:t>
      </w:r>
    </w:p>
    <w:p w14:paraId="5D4248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Создано: </w:t>
      </w:r>
      <w:r w:rsidRPr="00F90EAE">
        <w:rPr>
          <w:color w:val="000000" w:themeColor="text1"/>
          <w:sz w:val="16"/>
          <w:szCs w:val="16"/>
          <w:lang w:val="en-US"/>
        </w:rPr>
        <w:t>PJJC</w:t>
      </w:r>
      <w:r w:rsidRPr="00F90EAE">
        <w:rPr>
          <w:color w:val="000000" w:themeColor="text1"/>
          <w:sz w:val="16"/>
          <w:szCs w:val="16"/>
        </w:rPr>
        <w:t>: «Нептун», «Луч», СОН-4 «Зенит» (1940-е), «Конус», СОН-15 «Гром-12», подвижная орудийной наводки «Гром-2» (пнв 27.04.1954 г.), СОН-ЗО (1950-е), «Плутон» (1945-50), «Крона», «Просвет», «Просвет-К», «Восход», «Март», «Снайпер», «Визир», «Тантал», измерительная «Кама» (1950-е), РСВПР системы «А» (1959); «Комплекс-30», «Молния», «Буксир», 9С32; дальнего обнаружения «Шпага»; обнаружения позиций стреляющих минометов АРСОМ-1 (1950-е), АРСОМ-2 («Искра», пнв 16.10.1954 г.), АРСОМ-3; метеорологическая РМС-1 «Метеор» (1950-е); радиомаяк «Опал» (1945); телеметрическая система «Бразилионит» (копия немецкой системы «Мессина»); РЛ прибор управления ПУ ЗУР «Ворон» (1950-е), ПУАЗО «Алмаз», ПУАЗО-5, -6 (пнв 17.12.1954 г.), -30, -СК, МПУАЗО-СОЮЗ; радиоприборные комплексы (РПК): «Байкал» для ЗСУ-37-2 «Енисей», управления огнем войсковой зенитной артиллерии ОПК-1 «Ваза» (пнв 13.07.1960 г.); счетно- решающее устройство для ЗСУ «Тунгуска», КП 9С457 и РЛС программного обзора «Имбирь» 9С19М2 и спецЭВМ 9С483/М1, СЦВМ-3 для С-300В; противотанковый комплекс «Омар» (1950-е); РЖ «Зоопарк-1», радиопеленгационный метеорологический комплекс 1Б44 «Улыбка»; аппаратура топопривязки и орентирования для БРК «Бал-Э»; прибор слежения за полетом МБР ППН-1; диалоговая система отладки прикладного ПО «Дископ»; ЗРК: «Круг» (2К11, пнв 26.11.1964 г.), «Круг-А» (2К11А, пнв в 1967 г.), «Круг-М» (2К11М, пнв в 1971 г.), «Круг-М 1» (2К11М1, пнв в 1974 г.), «Оса» (9КЗЗ, пнв 4.10.1971 г., экспортный- «Ромб»), «Оса-М» (пнв в 1973 г.), «Оса-АК» (9КЗЗМ2, пнв в 1975 г.), «Оса-АКМ» (9ЮЗМЗ, пнв в 1980 г.), морской «Оса-МА» (пнв в 1980 г.), «Оса-МА2» (пнв в 1984 г.); С-300В (9К81, пнв в 1983 г.), С-300ВМ («Антей-2500») (1990-е), «Тор» (9К330, пнв 19.03.1986 г.), «Тор-М1» (9К331, пнв в 1991 г.);</w:t>
      </w:r>
      <w:r w:rsidRPr="00F90EAE">
        <w:rPr>
          <w:color w:val="000000" w:themeColor="text1"/>
          <w:sz w:val="16"/>
          <w:szCs w:val="16"/>
          <w:vertAlign w:val="superscript"/>
        </w:rPr>
        <w:t>57</w:t>
      </w:r>
      <w:r w:rsidRPr="00F90EAE">
        <w:rPr>
          <w:color w:val="000000" w:themeColor="text1"/>
          <w:sz w:val="16"/>
          <w:szCs w:val="16"/>
        </w:rPr>
        <w:t xml:space="preserve"> УР-ВС (опытный, 1960 г.); М-31 (опытный, 1961); физиотерапевтический аппарат «Инфита» (11982).</w:t>
      </w:r>
    </w:p>
    <w:p w14:paraId="52E52F65" w14:textId="77777777" w:rsidR="006103B3" w:rsidRPr="00F90EAE" w:rsidRDefault="006103B3" w:rsidP="00F90EAE">
      <w:pPr>
        <w:autoSpaceDE w:val="0"/>
        <w:autoSpaceDN w:val="0"/>
        <w:adjustRightInd w:val="0"/>
        <w:jc w:val="both"/>
        <w:rPr>
          <w:color w:val="000000" w:themeColor="text1"/>
          <w:sz w:val="16"/>
          <w:szCs w:val="16"/>
        </w:rPr>
      </w:pPr>
    </w:p>
    <w:p w14:paraId="3D58130D" w14:textId="77777777" w:rsidR="00B147AB" w:rsidRPr="00F90EAE" w:rsidRDefault="00B147AB" w:rsidP="00F90EAE">
      <w:pPr>
        <w:pStyle w:val="ae"/>
        <w:spacing w:before="0" w:after="0"/>
        <w:jc w:val="both"/>
        <w:rPr>
          <w:color w:val="000000" w:themeColor="text1"/>
          <w:sz w:val="16"/>
          <w:szCs w:val="16"/>
          <w:shd w:val="clear" w:color="auto" w:fill="F0FFFF"/>
        </w:rPr>
      </w:pPr>
      <w:r w:rsidRPr="00F90EAE">
        <w:rPr>
          <w:color w:val="000000" w:themeColor="text1"/>
          <w:sz w:val="16"/>
          <w:szCs w:val="16"/>
        </w:rPr>
        <w:t>10 июня 1945 года сразу после заводских испытаний, п/л М-401 прошла государственную приемку, которая продолжалась до конца года. Комиссию госприемки возглавлял К.М. Бубнов. На скоростных испытаниях корабль развил достаточно высокую скорость: надводная 19,1 уз., подводная 12,5 уз., при том, что «М-401» была в два раза меньше </w:t>
      </w:r>
      <w:hyperlink r:id="rId146" w:history="1">
        <w:r w:rsidRPr="00F90EAE">
          <w:rPr>
            <w:rStyle w:val="a5"/>
            <w:rFonts w:eastAsiaTheme="majorEastAsia"/>
            <w:color w:val="000000" w:themeColor="text1"/>
            <w:sz w:val="16"/>
            <w:szCs w:val="16"/>
          </w:rPr>
          <w:t>«малюток» XII серии</w:t>
        </w:r>
      </w:hyperlink>
      <w:r w:rsidRPr="00F90EAE">
        <w:rPr>
          <w:color w:val="000000" w:themeColor="text1"/>
          <w:sz w:val="16"/>
          <w:szCs w:val="16"/>
        </w:rPr>
        <w:t>. Всего субмарина совершила 74 выхода в море, произвела 68 погружений/всплытий, прошла 2800 миль, из них 360 под водой с использованием технологии «замкнутого цикла».</w:t>
      </w:r>
    </w:p>
    <w:p w14:paraId="76DFBFFF" w14:textId="77777777" w:rsidR="00B147AB" w:rsidRPr="00F90EAE" w:rsidRDefault="00B147AB" w:rsidP="00F90EAE">
      <w:pPr>
        <w:pStyle w:val="ae"/>
        <w:spacing w:before="0" w:after="0"/>
        <w:jc w:val="both"/>
        <w:rPr>
          <w:color w:val="000000" w:themeColor="text1"/>
          <w:sz w:val="16"/>
          <w:szCs w:val="16"/>
          <w:shd w:val="clear" w:color="auto" w:fill="F0FFFF"/>
        </w:rPr>
      </w:pPr>
      <w:r w:rsidRPr="00F90EAE">
        <w:rPr>
          <w:color w:val="000000" w:themeColor="text1"/>
          <w:sz w:val="16"/>
          <w:szCs w:val="16"/>
        </w:rPr>
        <w:t>В 1946 году подводная лодка с учетом замечаний комиссии госприемки была принята в состав ВМФ. В акте отмечались следующие недостатки: малые автономность и время пребывания в готовности, необитаемость дизельного отсека при работе по «замкнутому циклу», шумность дизелей и малый моторесурс главных двигателей, низкий уровень обитаемости. 25 февраля 1946 года подводная лодка зачислена в состав учебного дивизиона ПЛ учебной бригады ПЛ Северо-Балтийского флота (с января 1947 года – 8-й ВМФ).</w:t>
      </w:r>
    </w:p>
    <w:p w14:paraId="00D59785" w14:textId="77777777" w:rsidR="00B147AB" w:rsidRPr="00F90EAE" w:rsidRDefault="00B147AB" w:rsidP="00F90EAE">
      <w:pPr>
        <w:pStyle w:val="ae"/>
        <w:spacing w:before="0" w:after="0"/>
        <w:jc w:val="both"/>
        <w:rPr>
          <w:color w:val="000000" w:themeColor="text1"/>
          <w:sz w:val="16"/>
          <w:szCs w:val="16"/>
        </w:rPr>
      </w:pPr>
      <w:r w:rsidRPr="00F90EAE">
        <w:rPr>
          <w:color w:val="000000" w:themeColor="text1"/>
          <w:sz w:val="16"/>
          <w:szCs w:val="16"/>
        </w:rPr>
        <w:t>Вскоре «М-401» по железной дороге перевезли в Ленинград, где на заводе № 196 она прошла текущий ремонт, но после этого работы по «проекту 95» прекратили. С 1949 года «М-401» использовалась в качестве плавучего стенда для отработки «единого двигателя», на ней велась подготовка специалистов для подводных лодок пр. А615, а также разрабатывались различные опытовые конструкции.</w:t>
      </w:r>
    </w:p>
    <w:p w14:paraId="1D2282CA" w14:textId="77777777" w:rsidR="00B147AB" w:rsidRPr="00F90EAE" w:rsidRDefault="00B147AB" w:rsidP="00F90EAE">
      <w:pPr>
        <w:pStyle w:val="ae"/>
        <w:spacing w:before="0" w:after="0"/>
        <w:jc w:val="both"/>
        <w:rPr>
          <w:color w:val="000000" w:themeColor="text1"/>
          <w:sz w:val="16"/>
          <w:szCs w:val="16"/>
          <w:shd w:val="clear" w:color="auto" w:fill="F0FFFF"/>
        </w:rPr>
      </w:pPr>
      <w:r w:rsidRPr="00F90EAE">
        <w:rPr>
          <w:color w:val="000000" w:themeColor="text1"/>
          <w:sz w:val="16"/>
          <w:szCs w:val="16"/>
        </w:rPr>
        <w:t>27 января 1953 года субмарина переформирована в кабинет боевой подготовки «КБП-26», поставлена на прикол в Зимней гавани Кронштадта (впоследствии на установлена на территории подразделения ПЛ). 25 февраля она переформирована в учебно-тренировочную станцию «УТС-66», а 18 апреля 1959 года исключена из списков ВМФ и разделана на металл в Ленинграде</w:t>
      </w:r>
      <w:r w:rsidRPr="00F90EAE">
        <w:rPr>
          <w:color w:val="000000" w:themeColor="text1"/>
          <w:sz w:val="16"/>
          <w:szCs w:val="16"/>
          <w:shd w:val="clear" w:color="auto" w:fill="F0FFFF"/>
        </w:rPr>
        <w:t xml:space="preserve"> </w:t>
      </w:r>
      <w:r w:rsidRPr="00F90EAE">
        <w:rPr>
          <w:color w:val="000000" w:themeColor="text1"/>
          <w:sz w:val="16"/>
          <w:szCs w:val="16"/>
        </w:rPr>
        <w:t>(19841).</w:t>
      </w:r>
    </w:p>
    <w:p w14:paraId="50003F13" w14:textId="77777777" w:rsidR="00B147AB" w:rsidRPr="00F90EAE" w:rsidRDefault="00B147AB" w:rsidP="00F90EAE">
      <w:pPr>
        <w:pStyle w:val="ae"/>
        <w:spacing w:before="0" w:after="0"/>
        <w:jc w:val="both"/>
        <w:rPr>
          <w:color w:val="000000" w:themeColor="text1"/>
          <w:sz w:val="16"/>
          <w:szCs w:val="16"/>
          <w:shd w:val="clear" w:color="auto" w:fill="F0FFFF"/>
        </w:rPr>
      </w:pPr>
    </w:p>
    <w:p w14:paraId="34808A0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23B8FF9" w14:textId="77777777" w:rsidR="006103B3" w:rsidRPr="00F90EAE" w:rsidRDefault="006103B3" w:rsidP="00F90EAE">
      <w:pPr>
        <w:autoSpaceDE w:val="0"/>
        <w:autoSpaceDN w:val="0"/>
        <w:adjustRightInd w:val="0"/>
        <w:jc w:val="both"/>
        <w:rPr>
          <w:iCs/>
          <w:color w:val="000000" w:themeColor="text1"/>
          <w:sz w:val="16"/>
          <w:szCs w:val="16"/>
        </w:rPr>
      </w:pPr>
    </w:p>
    <w:p w14:paraId="020F19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состоянию на 11 июня 1945 г. в шес</w:t>
      </w:r>
      <w:r w:rsidRPr="00F90EAE">
        <w:rPr>
          <w:color w:val="000000" w:themeColor="text1"/>
          <w:sz w:val="16"/>
          <w:szCs w:val="16"/>
        </w:rPr>
        <w:softHyphen/>
        <w:t>ти полках 7-го ШАК, первого соедине</w:t>
      </w:r>
      <w:r w:rsidRPr="00F90EAE">
        <w:rPr>
          <w:color w:val="000000" w:themeColor="text1"/>
          <w:sz w:val="16"/>
          <w:szCs w:val="16"/>
        </w:rPr>
        <w:softHyphen/>
        <w:t>ния ВВС КА, полностью перевооружен</w:t>
      </w:r>
      <w:r w:rsidRPr="00F90EAE">
        <w:rPr>
          <w:color w:val="000000" w:themeColor="text1"/>
          <w:sz w:val="16"/>
          <w:szCs w:val="16"/>
        </w:rPr>
        <w:softHyphen/>
        <w:t>ного на самолет Ил-10, насчитывалось 74,7% боеготовых самолетов, осталь</w:t>
      </w:r>
      <w:r w:rsidRPr="00F90EAE">
        <w:rPr>
          <w:color w:val="000000" w:themeColor="text1"/>
          <w:sz w:val="16"/>
          <w:szCs w:val="16"/>
        </w:rPr>
        <w:softHyphen/>
        <w:t>ные были неисправными (11161).</w:t>
      </w:r>
    </w:p>
    <w:p w14:paraId="1842C58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4A07FA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июня 1945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(4963 ).</w:t>
      </w:r>
    </w:p>
    <w:p w14:paraId="2C4EB9B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33829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10 июня 1945 год, сел на брюхо последний из В-25 - B-25J Р.Уолбринка, сильно поврежденный японскими зенитчиками. Всего на Камчатке приземлились 12 В-25. Несколько самолетов удалось отремонтировать и поставить в строй 128-й смешанной дивизии. На 27 августа там имелось пять В-25, из них четыре - в 903-м бомбардировочном полку. Все они были разных модификаций - С, D, G, и J. Их использовали как учебные, для подготовки к получению американских бомбардировщиков А-20, а также для различных вспомогательных целей (3457,97).</w:t>
      </w:r>
    </w:p>
    <w:p w14:paraId="7C983E09" w14:textId="77777777" w:rsidR="006103B3" w:rsidRPr="00F90EAE" w:rsidRDefault="006103B3" w:rsidP="00F90EAE">
      <w:pPr>
        <w:autoSpaceDE w:val="0"/>
        <w:autoSpaceDN w:val="0"/>
        <w:adjustRightInd w:val="0"/>
        <w:jc w:val="both"/>
        <w:rPr>
          <w:color w:val="000000" w:themeColor="text1"/>
          <w:sz w:val="16"/>
          <w:szCs w:val="16"/>
        </w:rPr>
      </w:pPr>
    </w:p>
    <w:p w14:paraId="7790CA4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10 июня 1945 г. была подготовлена ДОКЛАДНАЯ ЗАПИСКА КОМАНДУЮЩЕГО БТ и МВ КА ЗАМЕСТИТЕЛЮ НАРКОМА ОБОРОНЫ СССР ГЕНЕРАЛУ АРМИИ Н.А. БУЛГАНИНУ О ПЕРЕДЕЛКЕ СТАРЫХ ТАНКОВ И СУ В ТЯГАЧИ № 0859293</w:t>
      </w:r>
    </w:p>
    <w:p w14:paraId="08AC7B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бронетанковых ремонтных заводах Главного управления ремонта танков Красной Армии имеются требующие капитального ремонта танки КВ с 76-мм пушкой в количестве 205 штук и само</w:t>
      </w:r>
      <w:r w:rsidRPr="00F90EAE">
        <w:rPr>
          <w:color w:val="000000" w:themeColor="text1"/>
          <w:sz w:val="16"/>
          <w:szCs w:val="16"/>
        </w:rPr>
        <w:softHyphen/>
        <w:t>ходные артиллерийские установки СУ-152, изготовленные на базе танков КВ, — 151 штук. Всего имеется 356 штук.</w:t>
      </w:r>
    </w:p>
    <w:p w14:paraId="5C0048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Эти танки и самоходные установки, как устаревшие, на укомплектование танковых частей не используются.</w:t>
      </w:r>
    </w:p>
    <w:p w14:paraId="11F957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марте месяце с.г. Вами было разрешено передать 40 танков КВ на тягачи. Этого количества для покрытия потребности танковых частей Красной Армии недостаточно.</w:t>
      </w:r>
    </w:p>
    <w:p w14:paraId="259CC3F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Прошу Вашего разрешения передать указанные выше танки на тягачи для эвакуации тяжелых танков. Тягачи в настоящее время для танковых частей Красной Армии крайне необходимы.</w:t>
      </w:r>
    </w:p>
    <w:p w14:paraId="0A160D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0B1896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11380. Д. 290. Л. 29. Копия (11420).</w:t>
      </w:r>
    </w:p>
    <w:p w14:paraId="495AF300" w14:textId="77777777" w:rsidR="006103B3" w:rsidRPr="00F90EAE" w:rsidRDefault="006103B3" w:rsidP="00F90EAE">
      <w:pPr>
        <w:autoSpaceDE w:val="0"/>
        <w:autoSpaceDN w:val="0"/>
        <w:adjustRightInd w:val="0"/>
        <w:jc w:val="both"/>
        <w:rPr>
          <w:color w:val="000000" w:themeColor="text1"/>
          <w:sz w:val="16"/>
          <w:szCs w:val="16"/>
        </w:rPr>
      </w:pPr>
    </w:p>
    <w:p w14:paraId="41291EE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6192ED23" w14:textId="77777777" w:rsidR="006103B3" w:rsidRPr="00F90EAE" w:rsidRDefault="006103B3" w:rsidP="00F90EAE">
      <w:pPr>
        <w:autoSpaceDE w:val="0"/>
        <w:autoSpaceDN w:val="0"/>
        <w:adjustRightInd w:val="0"/>
        <w:jc w:val="both"/>
        <w:rPr>
          <w:iCs/>
          <w:color w:val="000000" w:themeColor="text1"/>
          <w:sz w:val="16"/>
          <w:szCs w:val="16"/>
        </w:rPr>
      </w:pPr>
    </w:p>
    <w:p w14:paraId="5CA04F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СВАГ разрешила деятельность антифашистских партий и профсоюзов в Германии (3186).</w:t>
      </w:r>
    </w:p>
    <w:p w14:paraId="0D17B288" w14:textId="77777777" w:rsidR="006103B3" w:rsidRPr="00F90EAE" w:rsidRDefault="006103B3" w:rsidP="00F90EAE">
      <w:pPr>
        <w:autoSpaceDE w:val="0"/>
        <w:autoSpaceDN w:val="0"/>
        <w:adjustRightInd w:val="0"/>
        <w:jc w:val="both"/>
        <w:rPr>
          <w:color w:val="000000" w:themeColor="text1"/>
          <w:sz w:val="16"/>
          <w:szCs w:val="16"/>
        </w:rPr>
      </w:pPr>
    </w:p>
    <w:p w14:paraId="6128BFA1" w14:textId="77777777" w:rsidR="00D7144C" w:rsidRPr="00F90EAE" w:rsidRDefault="00D7144C" w:rsidP="00F90EAE">
      <w:pPr>
        <w:jc w:val="both"/>
        <w:rPr>
          <w:color w:val="000000" w:themeColor="text1"/>
          <w:sz w:val="16"/>
          <w:szCs w:val="16"/>
        </w:rPr>
      </w:pPr>
      <w:r w:rsidRPr="00F90EAE">
        <w:rPr>
          <w:bCs/>
          <w:color w:val="000000" w:themeColor="text1"/>
          <w:sz w:val="16"/>
          <w:szCs w:val="16"/>
        </w:rPr>
        <w:t>10 июня</w:t>
      </w:r>
      <w:r w:rsidRPr="00F90EAE">
        <w:rPr>
          <w:color w:val="000000" w:themeColor="text1"/>
          <w:sz w:val="16"/>
          <w:szCs w:val="16"/>
        </w:rPr>
        <w:t xml:space="preserve"> в 1945 году 1-й Белорусский фронт расформирован и его управление передано Группе Советских Войск в Германии. 2-й Белорусский фронт расформирован и его управление передано Северной Группе Советских Войск в Польше (14918).</w:t>
      </w:r>
    </w:p>
    <w:p w14:paraId="734C747A" w14:textId="77777777" w:rsidR="00D7144C" w:rsidRPr="00F90EAE" w:rsidRDefault="00D7144C" w:rsidP="00F90EAE">
      <w:pPr>
        <w:jc w:val="both"/>
        <w:rPr>
          <w:color w:val="000000" w:themeColor="text1"/>
          <w:sz w:val="16"/>
          <w:szCs w:val="16"/>
        </w:rPr>
      </w:pPr>
    </w:p>
    <w:p w14:paraId="571D693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июня 1945 во Франкфурте маршал Жуков вручил советский орден “Победа” Эйзенхауэру и Монтгомери (4962).</w:t>
      </w:r>
    </w:p>
    <w:p w14:paraId="1E5AA81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6F05CC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E23AB30" w14:textId="77777777" w:rsidR="006103B3" w:rsidRPr="00F90EAE" w:rsidRDefault="006103B3" w:rsidP="00F90EAE">
      <w:pPr>
        <w:autoSpaceDE w:val="0"/>
        <w:autoSpaceDN w:val="0"/>
        <w:adjustRightInd w:val="0"/>
        <w:jc w:val="both"/>
        <w:rPr>
          <w:iCs/>
          <w:color w:val="000000" w:themeColor="text1"/>
          <w:sz w:val="16"/>
          <w:szCs w:val="16"/>
        </w:rPr>
      </w:pPr>
    </w:p>
    <w:p w14:paraId="596B1E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англичане арестовали И.Риббентропа (2248,7).</w:t>
      </w:r>
    </w:p>
    <w:p w14:paraId="7D6D2C8B" w14:textId="77777777" w:rsidR="006103B3" w:rsidRPr="00F90EAE" w:rsidRDefault="006103B3" w:rsidP="00F90EAE">
      <w:pPr>
        <w:autoSpaceDE w:val="0"/>
        <w:autoSpaceDN w:val="0"/>
        <w:adjustRightInd w:val="0"/>
        <w:jc w:val="both"/>
        <w:rPr>
          <w:color w:val="000000" w:themeColor="text1"/>
          <w:sz w:val="16"/>
          <w:szCs w:val="16"/>
        </w:rPr>
      </w:pPr>
    </w:p>
    <w:p w14:paraId="6052BD71" w14:textId="77777777" w:rsidR="00D7144C" w:rsidRPr="00F90EAE" w:rsidRDefault="00D7144C" w:rsidP="00F90EAE">
      <w:pPr>
        <w:jc w:val="both"/>
        <w:rPr>
          <w:color w:val="000000" w:themeColor="text1"/>
          <w:sz w:val="16"/>
          <w:szCs w:val="16"/>
        </w:rPr>
      </w:pPr>
      <w:r w:rsidRPr="00F90EAE">
        <w:rPr>
          <w:bCs/>
          <w:color w:val="000000" w:themeColor="text1"/>
          <w:sz w:val="16"/>
          <w:szCs w:val="16"/>
        </w:rPr>
        <w:t>10 июня</w:t>
      </w:r>
      <w:r w:rsidRPr="00F90EAE">
        <w:rPr>
          <w:color w:val="000000" w:themeColor="text1"/>
          <w:sz w:val="16"/>
          <w:szCs w:val="16"/>
        </w:rPr>
        <w:t xml:space="preserve"> в 1945 году премьер-министр Японии Судзуки заявил, выступая в парламенте, что Япония будет защищаться во что бы то ни стало (14918).</w:t>
      </w:r>
    </w:p>
    <w:p w14:paraId="613A7616" w14:textId="77777777" w:rsidR="00D7144C" w:rsidRPr="00F90EAE" w:rsidRDefault="00D7144C" w:rsidP="00F90EAE">
      <w:pPr>
        <w:jc w:val="both"/>
        <w:rPr>
          <w:color w:val="000000" w:themeColor="text1"/>
          <w:sz w:val="16"/>
          <w:szCs w:val="16"/>
        </w:rPr>
      </w:pPr>
    </w:p>
    <w:p w14:paraId="1AD10243" w14:textId="77777777" w:rsidR="00D7144C" w:rsidRPr="00F90EAE" w:rsidRDefault="00D7144C" w:rsidP="00F90EAE">
      <w:pPr>
        <w:jc w:val="both"/>
        <w:rPr>
          <w:color w:val="000000" w:themeColor="text1"/>
          <w:sz w:val="16"/>
          <w:szCs w:val="16"/>
        </w:rPr>
      </w:pPr>
      <w:r w:rsidRPr="00F90EAE">
        <w:rPr>
          <w:bCs/>
          <w:color w:val="000000" w:themeColor="text1"/>
          <w:sz w:val="16"/>
          <w:szCs w:val="16"/>
        </w:rPr>
        <w:t>10 июня</w:t>
      </w:r>
      <w:r w:rsidRPr="00F90EAE">
        <w:rPr>
          <w:color w:val="000000" w:themeColor="text1"/>
          <w:sz w:val="16"/>
          <w:szCs w:val="16"/>
        </w:rPr>
        <w:t xml:space="preserve"> в 1945 году у Окинавы, после удачной атаки японских камикадзе, потоплен эсминец «USS William D.Porter» («DD-579») (14918).</w:t>
      </w:r>
    </w:p>
    <w:p w14:paraId="5F5076C4" w14:textId="77777777" w:rsidR="00D7144C" w:rsidRPr="00F90EAE" w:rsidRDefault="00D7144C" w:rsidP="00F90EAE">
      <w:pPr>
        <w:jc w:val="both"/>
        <w:rPr>
          <w:color w:val="000000" w:themeColor="text1"/>
          <w:sz w:val="16"/>
          <w:szCs w:val="16"/>
        </w:rPr>
      </w:pPr>
    </w:p>
    <w:p w14:paraId="2CE9206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10 июня 1945 Австралийские войска высадились на остроеве Борнео (4963 ).</w:t>
      </w:r>
    </w:p>
    <w:p w14:paraId="068D228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F7177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июня 1945 Х.Бустаменте был избран президентом Перу (3907,257).</w:t>
      </w:r>
    </w:p>
    <w:p w14:paraId="6F0F7029" w14:textId="77777777" w:rsidR="006103B3" w:rsidRPr="00F90EAE" w:rsidRDefault="006103B3" w:rsidP="00F90EAE">
      <w:pPr>
        <w:autoSpaceDE w:val="0"/>
        <w:autoSpaceDN w:val="0"/>
        <w:adjustRightInd w:val="0"/>
        <w:jc w:val="both"/>
        <w:rPr>
          <w:color w:val="000000" w:themeColor="text1"/>
          <w:sz w:val="16"/>
          <w:szCs w:val="16"/>
        </w:rPr>
      </w:pPr>
    </w:p>
    <w:p w14:paraId="3E4EB4E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C7DE970" w14:textId="77777777" w:rsidR="006103B3" w:rsidRPr="00F90EAE" w:rsidRDefault="006103B3" w:rsidP="00F90EAE">
      <w:pPr>
        <w:autoSpaceDE w:val="0"/>
        <w:autoSpaceDN w:val="0"/>
        <w:adjustRightInd w:val="0"/>
        <w:jc w:val="both"/>
        <w:rPr>
          <w:iCs/>
          <w:color w:val="000000" w:themeColor="text1"/>
          <w:sz w:val="16"/>
          <w:szCs w:val="16"/>
        </w:rPr>
      </w:pPr>
    </w:p>
    <w:p w14:paraId="357155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На 11 июня 1945 г. в двух дивизиях 7-го </w:t>
      </w:r>
      <w:r w:rsidRPr="00F90EAE">
        <w:rPr>
          <w:iCs/>
          <w:color w:val="000000" w:themeColor="text1"/>
          <w:sz w:val="16"/>
          <w:szCs w:val="16"/>
        </w:rPr>
        <w:t xml:space="preserve">шак, </w:t>
      </w:r>
      <w:r w:rsidRPr="00F90EAE">
        <w:rPr>
          <w:color w:val="000000" w:themeColor="text1"/>
          <w:sz w:val="16"/>
          <w:szCs w:val="16"/>
        </w:rPr>
        <w:t>первого соединения ВВС КА, полностью перевооруженного на Ил-10 насчитывалось 74,7% боего-товых самолетов, остальные были не</w:t>
      </w:r>
      <w:r w:rsidRPr="00F90EAE">
        <w:rPr>
          <w:color w:val="000000" w:themeColor="text1"/>
          <w:sz w:val="16"/>
          <w:szCs w:val="16"/>
        </w:rPr>
        <w:softHyphen/>
        <w:t>исправными.</w:t>
      </w:r>
    </w:p>
    <w:p w14:paraId="57E59FC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всех полках, эксплуатирующих Ил-10, имели место случаи дефор</w:t>
      </w:r>
      <w:r w:rsidRPr="00F90EAE">
        <w:rPr>
          <w:color w:val="000000" w:themeColor="text1"/>
          <w:sz w:val="16"/>
          <w:szCs w:val="16"/>
        </w:rPr>
        <w:softHyphen/>
        <w:t>мации верхней и нижней обшивки консольной части крыла, срез и от</w:t>
      </w:r>
      <w:r w:rsidRPr="00F90EAE">
        <w:rPr>
          <w:color w:val="000000" w:themeColor="text1"/>
          <w:sz w:val="16"/>
          <w:szCs w:val="16"/>
        </w:rPr>
        <w:softHyphen/>
        <w:t>рыв заклепок. На некоторых маши</w:t>
      </w:r>
      <w:r w:rsidRPr="00F90EAE">
        <w:rPr>
          <w:color w:val="000000" w:themeColor="text1"/>
          <w:sz w:val="16"/>
          <w:szCs w:val="16"/>
        </w:rPr>
        <w:softHyphen/>
        <w:t>нах наблюдалось отставание листов нижней обшивки центроплана, со</w:t>
      </w:r>
      <w:r w:rsidRPr="00F90EAE">
        <w:rPr>
          <w:color w:val="000000" w:themeColor="text1"/>
          <w:sz w:val="16"/>
          <w:szCs w:val="16"/>
        </w:rPr>
        <w:softHyphen/>
        <w:t>провождавшееся срезом заклепок по шву крепления листов к угольнику на бронекорпусе. Имелись случаи ос</w:t>
      </w:r>
      <w:r w:rsidRPr="00F90EAE">
        <w:rPr>
          <w:color w:val="000000" w:themeColor="text1"/>
          <w:sz w:val="16"/>
          <w:szCs w:val="16"/>
        </w:rPr>
        <w:softHyphen/>
        <w:t>лабления заклепочных швов обшив</w:t>
      </w:r>
      <w:r w:rsidRPr="00F90EAE">
        <w:rPr>
          <w:color w:val="000000" w:themeColor="text1"/>
          <w:sz w:val="16"/>
          <w:szCs w:val="16"/>
        </w:rPr>
        <w:softHyphen/>
        <w:t>ки фюзеляжа в области крепления костыльной установки, а также по листу перехода килевой части фю</w:t>
      </w:r>
      <w:r w:rsidRPr="00F90EAE">
        <w:rPr>
          <w:color w:val="000000" w:themeColor="text1"/>
          <w:sz w:val="16"/>
          <w:szCs w:val="16"/>
        </w:rPr>
        <w:softHyphen/>
        <w:t>зеляжа. Система шасси оказалась довольно слабой в прочностном от</w:t>
      </w:r>
      <w:r w:rsidRPr="00F90EAE">
        <w:rPr>
          <w:color w:val="000000" w:themeColor="text1"/>
          <w:sz w:val="16"/>
          <w:szCs w:val="16"/>
        </w:rPr>
        <w:softHyphen/>
        <w:t>ношении и ненадежной: ломались складывающиеся подкосы шасси и обтекатели хвостового колеса, на</w:t>
      </w:r>
      <w:r w:rsidRPr="00F90EAE">
        <w:rPr>
          <w:color w:val="000000" w:themeColor="text1"/>
          <w:sz w:val="16"/>
          <w:szCs w:val="16"/>
        </w:rPr>
        <w:softHyphen/>
        <w:t>блюдались многочисленные случаи поломок и срывов обтекателя колеса шасси (так называемый "лопух") и т.д.</w:t>
      </w:r>
    </w:p>
    <w:p w14:paraId="1F2FE6A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Много проблем было и с воору</w:t>
      </w:r>
      <w:r w:rsidRPr="00F90EAE">
        <w:rPr>
          <w:color w:val="000000" w:themeColor="text1"/>
          <w:sz w:val="16"/>
          <w:szCs w:val="16"/>
        </w:rPr>
        <w:softHyphen/>
        <w:t>жением. Постоянно рвались и зае</w:t>
      </w:r>
      <w:r w:rsidRPr="00F90EAE">
        <w:rPr>
          <w:color w:val="000000" w:themeColor="text1"/>
          <w:sz w:val="16"/>
          <w:szCs w:val="16"/>
        </w:rPr>
        <w:softHyphen/>
        <w:t>дали троса бомболюков, створки бомболюков деформировались при загрузке мелких бомб и поврежда</w:t>
      </w:r>
      <w:r w:rsidRPr="00F90EAE">
        <w:rPr>
          <w:color w:val="000000" w:themeColor="text1"/>
          <w:sz w:val="16"/>
          <w:szCs w:val="16"/>
        </w:rPr>
        <w:softHyphen/>
        <w:t>лись при сбросе бомб крупного ка</w:t>
      </w:r>
      <w:r w:rsidRPr="00F90EAE">
        <w:rPr>
          <w:color w:val="000000" w:themeColor="text1"/>
          <w:sz w:val="16"/>
          <w:szCs w:val="16"/>
        </w:rPr>
        <w:softHyphen/>
        <w:t>либра. Все это приводило к тому, что</w:t>
      </w:r>
    </w:p>
    <w:p w14:paraId="0BB00E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над целью экипажи после сброса бомб зачастую продолжали выпол</w:t>
      </w:r>
      <w:r w:rsidRPr="00F90EAE">
        <w:rPr>
          <w:color w:val="000000" w:themeColor="text1"/>
          <w:sz w:val="16"/>
          <w:szCs w:val="16"/>
        </w:rPr>
        <w:softHyphen/>
        <w:t xml:space="preserve">нять атаки с открытыми бомболюка-ми. В результате </w:t>
      </w:r>
      <w:r w:rsidRPr="00F90EAE">
        <w:rPr>
          <w:iCs/>
          <w:color w:val="000000" w:themeColor="text1"/>
          <w:sz w:val="16"/>
          <w:szCs w:val="16"/>
        </w:rPr>
        <w:t xml:space="preserve">"самолет терял в маневренности". </w:t>
      </w:r>
      <w:r w:rsidRPr="00F90EAE">
        <w:rPr>
          <w:color w:val="000000" w:themeColor="text1"/>
          <w:sz w:val="16"/>
          <w:szCs w:val="16"/>
        </w:rPr>
        <w:t>Кроме этого, име</w:t>
      </w:r>
      <w:r w:rsidRPr="00F90EAE">
        <w:rPr>
          <w:color w:val="000000" w:themeColor="text1"/>
          <w:sz w:val="16"/>
          <w:szCs w:val="16"/>
        </w:rPr>
        <w:softHyphen/>
        <w:t>лись случаи, когда створки бомбо</w:t>
      </w:r>
      <w:r w:rsidRPr="00F90EAE">
        <w:rPr>
          <w:color w:val="000000" w:themeColor="text1"/>
          <w:sz w:val="16"/>
          <w:szCs w:val="16"/>
        </w:rPr>
        <w:softHyphen/>
        <w:t>вых отсеков открывались не полнос</w:t>
      </w:r>
      <w:r w:rsidRPr="00F90EAE">
        <w:rPr>
          <w:color w:val="000000" w:themeColor="text1"/>
          <w:sz w:val="16"/>
          <w:szCs w:val="16"/>
        </w:rPr>
        <w:softHyphen/>
        <w:t>тью и бомбы зависали.</w:t>
      </w:r>
    </w:p>
    <w:p w14:paraId="7C32A8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Специальная комиссия ВВС в се</w:t>
      </w:r>
      <w:r w:rsidRPr="00F90EAE">
        <w:rPr>
          <w:color w:val="000000" w:themeColor="text1"/>
          <w:sz w:val="16"/>
          <w:szCs w:val="16"/>
        </w:rPr>
        <w:softHyphen/>
        <w:t>редине мая запретила эксплуатацию самолетов Ил-10 в строевых частях ВВС КА до проведения необходимых доработок машины.</w:t>
      </w:r>
    </w:p>
    <w:p w14:paraId="3E6AAAA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судя по до</w:t>
      </w:r>
      <w:r w:rsidRPr="00F90EAE">
        <w:rPr>
          <w:color w:val="000000" w:themeColor="text1"/>
          <w:sz w:val="16"/>
          <w:szCs w:val="16"/>
        </w:rPr>
        <w:softHyphen/>
        <w:t>кументам, недостатки и дефекты мо</w:t>
      </w:r>
      <w:r w:rsidRPr="00F90EAE">
        <w:rPr>
          <w:color w:val="000000" w:themeColor="text1"/>
          <w:sz w:val="16"/>
          <w:szCs w:val="16"/>
        </w:rPr>
        <w:softHyphen/>
        <w:t>тора АМ-42 обуславливались не только объективными трудностями, но также и "особым" отношением мо</w:t>
      </w:r>
      <w:r w:rsidRPr="00F90EAE">
        <w:rPr>
          <w:color w:val="000000" w:themeColor="text1"/>
          <w:sz w:val="16"/>
          <w:szCs w:val="16"/>
        </w:rPr>
        <w:softHyphen/>
        <w:t>тористов к вопросу выяснения истин</w:t>
      </w:r>
      <w:r w:rsidRPr="00F90EAE">
        <w:rPr>
          <w:color w:val="000000" w:themeColor="text1"/>
          <w:sz w:val="16"/>
          <w:szCs w:val="16"/>
        </w:rPr>
        <w:softHyphen/>
        <w:t xml:space="preserve">ных причин </w:t>
      </w:r>
      <w:r w:rsidRPr="00F90EAE">
        <w:rPr>
          <w:iCs/>
          <w:color w:val="000000" w:themeColor="text1"/>
          <w:sz w:val="16"/>
          <w:szCs w:val="16"/>
        </w:rPr>
        <w:t xml:space="preserve">"летных происшествий, происходящих по причине отказа моторов". </w:t>
      </w:r>
      <w:r w:rsidRPr="00F90EAE">
        <w:rPr>
          <w:color w:val="000000" w:themeColor="text1"/>
          <w:sz w:val="16"/>
          <w:szCs w:val="16"/>
        </w:rPr>
        <w:t xml:space="preserve">В письме командира 1-й запасной штурмовой авиабригады генерал-майора А. И. Подольского директору завода № 24 М. С. Жез-лову от 14 июня 1945 г. отмечалось, что: </w:t>
      </w:r>
      <w:r w:rsidRPr="00F90EAE">
        <w:rPr>
          <w:iCs/>
          <w:color w:val="000000" w:themeColor="text1"/>
          <w:sz w:val="16"/>
          <w:szCs w:val="16"/>
        </w:rPr>
        <w:t>"...представители завода запу</w:t>
      </w:r>
      <w:r w:rsidRPr="00F90EAE">
        <w:rPr>
          <w:iCs/>
          <w:color w:val="000000" w:themeColor="text1"/>
          <w:sz w:val="16"/>
          <w:szCs w:val="16"/>
        </w:rPr>
        <w:softHyphen/>
        <w:t>тывают расследования причин отка</w:t>
      </w:r>
      <w:r w:rsidRPr="00F90EAE">
        <w:rPr>
          <w:iCs/>
          <w:color w:val="000000" w:themeColor="text1"/>
          <w:sz w:val="16"/>
          <w:szCs w:val="16"/>
        </w:rPr>
        <w:softHyphen/>
        <w:t>зов моторов, а значит, стремятся за</w:t>
      </w:r>
      <w:r w:rsidRPr="00F90EAE">
        <w:rPr>
          <w:iCs/>
          <w:color w:val="000000" w:themeColor="text1"/>
          <w:sz w:val="16"/>
          <w:szCs w:val="16"/>
        </w:rPr>
        <w:softHyphen/>
        <w:t>мазать их. Расследования затягива</w:t>
      </w:r>
      <w:r w:rsidRPr="00F90EAE">
        <w:rPr>
          <w:iCs/>
          <w:color w:val="000000" w:themeColor="text1"/>
          <w:sz w:val="16"/>
          <w:szCs w:val="16"/>
        </w:rPr>
        <w:softHyphen/>
        <w:t>ются на полгода и более. Такое "рас</w:t>
      </w:r>
      <w:r w:rsidRPr="00F90EAE">
        <w:rPr>
          <w:iCs/>
          <w:color w:val="000000" w:themeColor="text1"/>
          <w:sz w:val="16"/>
          <w:szCs w:val="16"/>
        </w:rPr>
        <w:softHyphen/>
        <w:t>следование" не может предупредить вовремя повторение летных проис</w:t>
      </w:r>
      <w:r w:rsidRPr="00F90EAE">
        <w:rPr>
          <w:iCs/>
          <w:color w:val="000000" w:themeColor="text1"/>
          <w:sz w:val="16"/>
          <w:szCs w:val="16"/>
        </w:rPr>
        <w:softHyphen/>
        <w:t>шествий по тем же причинам. Завя</w:t>
      </w:r>
      <w:r w:rsidRPr="00F90EAE">
        <w:rPr>
          <w:iCs/>
          <w:color w:val="000000" w:themeColor="text1"/>
          <w:sz w:val="16"/>
          <w:szCs w:val="16"/>
        </w:rPr>
        <w:softHyphen/>
        <w:t>зывается бессмысленная переписка, в результате которой все же Вам при</w:t>
      </w:r>
      <w:r w:rsidRPr="00F90EAE">
        <w:rPr>
          <w:iCs/>
          <w:color w:val="000000" w:themeColor="text1"/>
          <w:sz w:val="16"/>
          <w:szCs w:val="16"/>
        </w:rPr>
        <w:softHyphen/>
        <w:t>ходиться признавать вину за заво</w:t>
      </w:r>
      <w:r w:rsidRPr="00F90EAE">
        <w:rPr>
          <w:iCs/>
          <w:color w:val="000000" w:themeColor="text1"/>
          <w:sz w:val="16"/>
          <w:szCs w:val="16"/>
        </w:rPr>
        <w:softHyphen/>
        <w:t>дом. Нелогичность "особых" мнений и отсутствие в них обоснования го</w:t>
      </w:r>
      <w:r w:rsidRPr="00F90EAE">
        <w:rPr>
          <w:iCs/>
          <w:color w:val="000000" w:themeColor="text1"/>
          <w:sz w:val="16"/>
          <w:szCs w:val="16"/>
        </w:rPr>
        <w:softHyphen/>
        <w:t>ворит о чрезвычайно низкой техни</w:t>
      </w:r>
      <w:r w:rsidRPr="00F90EAE">
        <w:rPr>
          <w:iCs/>
          <w:color w:val="000000" w:themeColor="text1"/>
          <w:sz w:val="16"/>
          <w:szCs w:val="16"/>
        </w:rPr>
        <w:softHyphen/>
        <w:t>ческой грамотности представителей завода, работающих в бригаде..."</w:t>
      </w:r>
    </w:p>
    <w:p w14:paraId="1D2291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Забегая вперед, укажем, что до</w:t>
      </w:r>
      <w:r w:rsidRPr="00F90EAE">
        <w:rPr>
          <w:color w:val="000000" w:themeColor="text1"/>
          <w:sz w:val="16"/>
          <w:szCs w:val="16"/>
        </w:rPr>
        <w:softHyphen/>
        <w:t>водка АМ-42 затянулась фактически до середины 1947 г., когда были вне</w:t>
      </w:r>
      <w:r w:rsidRPr="00F90EAE">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F90EAE">
        <w:rPr>
          <w:color w:val="000000" w:themeColor="text1"/>
          <w:sz w:val="16"/>
          <w:szCs w:val="16"/>
        </w:rPr>
        <w:softHyphen/>
        <w:t>мени, недостаточная его надежность определяла и довольно высокую ава</w:t>
      </w:r>
      <w:r w:rsidRPr="00F90EAE">
        <w:rPr>
          <w:color w:val="000000" w:themeColor="text1"/>
          <w:sz w:val="16"/>
          <w:szCs w:val="16"/>
        </w:rPr>
        <w:softHyphen/>
        <w:t xml:space="preserve">рийность в частях ВВС. Например, в феврале-марте 1946 г. в частях 10-й </w:t>
      </w:r>
      <w:r w:rsidRPr="00F90EAE">
        <w:rPr>
          <w:iCs/>
          <w:color w:val="000000" w:themeColor="text1"/>
          <w:sz w:val="16"/>
          <w:szCs w:val="16"/>
        </w:rPr>
        <w:t xml:space="preserve">гшад </w:t>
      </w:r>
      <w:r w:rsidRPr="00F90EAE">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52248B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проблем с мотором, се</w:t>
      </w:r>
      <w:r w:rsidRPr="00F90EAE">
        <w:rPr>
          <w:color w:val="000000" w:themeColor="text1"/>
          <w:sz w:val="16"/>
          <w:szCs w:val="16"/>
        </w:rPr>
        <w:softHyphen/>
        <w:t>рийные Ил-10 характеризовались и пониженными летными данными в сравнении с опытной машиной. Ут</w:t>
      </w:r>
      <w:r w:rsidRPr="00F90EAE">
        <w:rPr>
          <w:color w:val="000000" w:themeColor="text1"/>
          <w:sz w:val="16"/>
          <w:szCs w:val="16"/>
        </w:rPr>
        <w:softHyphen/>
        <w:t>вержденные на совместном совеща</w:t>
      </w:r>
      <w:r w:rsidRPr="00F90EAE">
        <w:rPr>
          <w:color w:val="000000" w:themeColor="text1"/>
          <w:sz w:val="16"/>
          <w:szCs w:val="16"/>
        </w:rPr>
        <w:softHyphen/>
        <w:t>нии ВВС и НКАП в январе 1945 г. технические условия на самолет Ил-10 оказались для заводов высокими.</w:t>
      </w:r>
    </w:p>
    <w:p w14:paraId="5EFA22D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3D167D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2E2EF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 июня 1945 года вышел приказ НКАП:</w:t>
      </w:r>
    </w:p>
    <w:p w14:paraId="7713057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Утвердить Васильева В.К. директором завода № 469 (8958)</w:t>
      </w:r>
    </w:p>
    <w:p w14:paraId="2FC572BC" w14:textId="77777777" w:rsidR="006103B3" w:rsidRPr="00F90EAE" w:rsidRDefault="006103B3" w:rsidP="00F90EAE">
      <w:pPr>
        <w:autoSpaceDE w:val="0"/>
        <w:autoSpaceDN w:val="0"/>
        <w:adjustRightInd w:val="0"/>
        <w:jc w:val="both"/>
        <w:rPr>
          <w:iCs/>
          <w:color w:val="000000" w:themeColor="text1"/>
          <w:sz w:val="16"/>
          <w:szCs w:val="16"/>
        </w:rPr>
      </w:pPr>
    </w:p>
    <w:p w14:paraId="44CF5B4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1EEA456" w14:textId="77777777" w:rsidR="006103B3" w:rsidRPr="00F90EAE" w:rsidRDefault="006103B3" w:rsidP="00F90EAE">
      <w:pPr>
        <w:autoSpaceDE w:val="0"/>
        <w:autoSpaceDN w:val="0"/>
        <w:adjustRightInd w:val="0"/>
        <w:jc w:val="both"/>
        <w:rPr>
          <w:iCs/>
          <w:color w:val="000000" w:themeColor="text1"/>
          <w:sz w:val="16"/>
          <w:szCs w:val="16"/>
        </w:rPr>
      </w:pPr>
    </w:p>
    <w:p w14:paraId="1B2371C1" w14:textId="77777777" w:rsidR="00BB4FEE" w:rsidRPr="00F90EAE" w:rsidRDefault="00BB4FEE" w:rsidP="00F90EAE">
      <w:pPr>
        <w:pStyle w:val="ae"/>
        <w:shd w:val="clear" w:color="auto" w:fill="FFFFFF"/>
        <w:spacing w:before="0" w:after="0"/>
        <w:jc w:val="both"/>
        <w:rPr>
          <w:color w:val="000000" w:themeColor="text1"/>
          <w:sz w:val="16"/>
          <w:szCs w:val="16"/>
        </w:rPr>
      </w:pPr>
      <w:r w:rsidRPr="00F90EAE">
        <w:rPr>
          <w:color w:val="000000" w:themeColor="text1"/>
          <w:sz w:val="16"/>
          <w:szCs w:val="16"/>
        </w:rPr>
        <w:t>11 июня 1945 года был разработан проект тактико-технических требований на тяжелый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вооружение утверждалась либо 122-мм пушка с начальной скоростью 1000 м/с, либо 130-мм пушка. Подвеска по типу американского танка М4А2 все еще рассматривалась, правда, уже как запасной вариант. Торсионная подвеска снова стала считаться приоритетной, но при условии, что ее удастся разместить вне корпуса танка. Таким образом, Объект 257 оказывался не удел, а коллективу завода №100 предстояло на его базе построить новый танк. История ИС-7 только начиналась (17209).</w:t>
      </w:r>
    </w:p>
    <w:p w14:paraId="39CFABEA" w14:textId="77777777" w:rsidR="00BB4FEE" w:rsidRPr="00F90EAE" w:rsidRDefault="00BB4FEE" w:rsidP="00F90EAE">
      <w:pPr>
        <w:jc w:val="both"/>
        <w:rPr>
          <w:color w:val="000000" w:themeColor="text1"/>
          <w:sz w:val="16"/>
          <w:szCs w:val="16"/>
        </w:rPr>
      </w:pPr>
    </w:p>
    <w:p w14:paraId="6F030FB0" w14:textId="77777777" w:rsidR="00EB4C06" w:rsidRPr="00F90EAE" w:rsidRDefault="00EB4C06" w:rsidP="00F90EAE">
      <w:pPr>
        <w:jc w:val="both"/>
        <w:rPr>
          <w:rStyle w:val="107"/>
          <w:rFonts w:eastAsiaTheme="minorHAnsi"/>
          <w:color w:val="000000" w:themeColor="text1"/>
          <w:sz w:val="16"/>
          <w:szCs w:val="16"/>
        </w:rPr>
      </w:pPr>
      <w:r w:rsidRPr="00F90EAE">
        <w:rPr>
          <w:color w:val="000000" w:themeColor="text1"/>
          <w:sz w:val="16"/>
          <w:szCs w:val="16"/>
        </w:rPr>
        <w:t xml:space="preserve">11 июня 1945 года был разработан проект тактико-технических требований на тяжёлый танк. Согласно ему, боевая масса утверждалась в 60 тонн, экипаж увеличился до 5 человек (добавился второй заряжающий). Броня должна была обеспечивать защиту танка от 128-мм немецкой пушки. В качестве вооружения утверждалась либо </w:t>
      </w:r>
      <w:r w:rsidRPr="00F90EAE">
        <w:rPr>
          <w:color w:val="000000" w:themeColor="text1"/>
          <w:sz w:val="16"/>
          <w:szCs w:val="16"/>
        </w:rPr>
        <w:lastRenderedPageBreak/>
        <w:t>122-мм пушка с начальной скоростью 1000 м/с, либо 130-мм пушка. Подвеска по типу американского танка М4А2 всё ещё рассматривалась, правда, уже как запасной вариант. Торсионная подвеска снова стала считаться приоритетной, но при условии, что её удастся разместить вне корпуса танка. Таким образом, Объект 257 оказывался не удел, а коллективу завода №100 предстояло на его базе построить новый танк (17635).</w:t>
      </w:r>
    </w:p>
    <w:p w14:paraId="637DD16A" w14:textId="77777777" w:rsidR="00EB4C06" w:rsidRPr="00F90EAE" w:rsidRDefault="00EB4C06" w:rsidP="00F90EAE">
      <w:pPr>
        <w:jc w:val="both"/>
        <w:rPr>
          <w:rStyle w:val="107"/>
          <w:rFonts w:eastAsiaTheme="minorHAnsi"/>
          <w:color w:val="000000" w:themeColor="text1"/>
          <w:sz w:val="16"/>
          <w:szCs w:val="16"/>
        </w:rPr>
      </w:pPr>
    </w:p>
    <w:p w14:paraId="6CD7C0B9" w14:textId="77777777" w:rsidR="00EB4C06" w:rsidRPr="00F90EAE" w:rsidRDefault="00EB4C06" w:rsidP="00F90EAE">
      <w:pPr>
        <w:shd w:val="clear" w:color="auto" w:fill="FFFFFF"/>
        <w:jc w:val="both"/>
        <w:rPr>
          <w:color w:val="000000" w:themeColor="text1"/>
          <w:sz w:val="16"/>
          <w:szCs w:val="16"/>
        </w:rPr>
      </w:pPr>
      <w:r w:rsidRPr="00F90EAE">
        <w:rPr>
          <w:color w:val="000000" w:themeColor="text1"/>
          <w:sz w:val="16"/>
          <w:szCs w:val="16"/>
        </w:rPr>
        <w:t>11 июня 1945 года был разработан проект тактико-технических требований для нового тяжёлого танка. Его боевая масса утверждалась в пределах 60 тонн, экипаж увеличился до 5 человек. Броня должна была обеспечивать защиту танка от 128-мм немецкой пушки. Кроме того, в дополнении к пушке БЛ-13 появилось требование и на другое орудие, калибра 130 мм. Кроме как запуском программы по созданию «противомышиного» танка, эти тактико-технические объяснить сложно. Именно из них и родился танк, известный как ИС-7.</w:t>
      </w:r>
    </w:p>
    <w:p w14:paraId="2C0964A8" w14:textId="77777777" w:rsidR="00EB4C06" w:rsidRPr="00F90EAE" w:rsidRDefault="00EB4C06" w:rsidP="00F90EAE">
      <w:pPr>
        <w:shd w:val="clear" w:color="auto" w:fill="FFFFFF"/>
        <w:jc w:val="both"/>
        <w:rPr>
          <w:color w:val="000000" w:themeColor="text1"/>
          <w:sz w:val="16"/>
          <w:szCs w:val="16"/>
        </w:rPr>
      </w:pPr>
      <w:r w:rsidRPr="00F90EAE">
        <w:rPr>
          <w:color w:val="000000" w:themeColor="text1"/>
          <w:sz w:val="16"/>
          <w:szCs w:val="16"/>
        </w:rPr>
        <w:t xml:space="preserve">Обнаруженный немецкий танк спровоцировал вторую волну гонки вооружений, аналогичную той, что породила </w:t>
      </w:r>
      <w:hyperlink r:id="rId147" w:history="1">
        <w:r w:rsidRPr="00F90EAE">
          <w:rPr>
            <w:color w:val="000000" w:themeColor="text1"/>
            <w:sz w:val="16"/>
            <w:szCs w:val="16"/>
          </w:rPr>
          <w:t>КВ-3</w:t>
        </w:r>
      </w:hyperlink>
      <w:r w:rsidRPr="00F90EAE">
        <w:rPr>
          <w:color w:val="000000" w:themeColor="text1"/>
          <w:sz w:val="16"/>
          <w:szCs w:val="16"/>
        </w:rPr>
        <w:t xml:space="preserve">, </w:t>
      </w:r>
      <w:hyperlink r:id="rId148" w:history="1">
        <w:r w:rsidRPr="00F90EAE">
          <w:rPr>
            <w:color w:val="000000" w:themeColor="text1"/>
            <w:sz w:val="16"/>
            <w:szCs w:val="16"/>
          </w:rPr>
          <w:t>КВ-4 и КВ-5</w:t>
        </w:r>
      </w:hyperlink>
      <w:r w:rsidRPr="00F90EAE">
        <w:rPr>
          <w:color w:val="000000" w:themeColor="text1"/>
          <w:sz w:val="16"/>
          <w:szCs w:val="16"/>
        </w:rPr>
        <w:t xml:space="preserve">. Вместо того чтобы сконцентрироваться на совершенствовании уже имеющихся неплохих образцов, конструкторы начали работы по созданию стальных монстров. Даже ИС-4 теперь уже казался устаревшим: по планам на вторую пятилетку 40-х годов, с 1948 года предполагалось выпускать по 2760 тяжёлых танков нового типа (ИС-7) в год. К слову, «Объект 260» оказался далеко не самым тяжёлым и сильно вооружённым. В Челябинске работали над проектом тяжёлого танка «Объект 705», самая его тяжёлая версия должна была иметь пушку калибра 152 мм, а боевая масса составляла бы 100 тонн. Помимо танков, прорабатывались еще и </w:t>
      </w:r>
      <w:hyperlink r:id="rId149" w:history="1">
        <w:r w:rsidRPr="00F90EAE">
          <w:rPr>
            <w:color w:val="000000" w:themeColor="text1"/>
            <w:sz w:val="16"/>
            <w:szCs w:val="16"/>
          </w:rPr>
          <w:t>самоходные установки на базе ИС-4 и ИС-7</w:t>
        </w:r>
      </w:hyperlink>
      <w:r w:rsidRPr="00F90EAE">
        <w:rPr>
          <w:color w:val="000000" w:themeColor="text1"/>
          <w:sz w:val="16"/>
          <w:szCs w:val="16"/>
        </w:rPr>
        <w:t xml:space="preserve"> с длинноствольными орудиями калибра 152 мм (17676).</w:t>
      </w:r>
    </w:p>
    <w:p w14:paraId="7F6746C9" w14:textId="77777777" w:rsidR="00EB4C06" w:rsidRPr="00F90EAE" w:rsidRDefault="00EB4C06" w:rsidP="00F90EAE">
      <w:pPr>
        <w:jc w:val="both"/>
        <w:rPr>
          <w:rStyle w:val="107"/>
          <w:rFonts w:eastAsiaTheme="minorHAnsi"/>
          <w:color w:val="000000" w:themeColor="text1"/>
          <w:sz w:val="16"/>
          <w:szCs w:val="16"/>
        </w:rPr>
      </w:pPr>
    </w:p>
    <w:p w14:paraId="38139158"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июня 1945 года вышел приказ № 256 НКВ</w:t>
      </w:r>
    </w:p>
    <w:p w14:paraId="61BBAE6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дополнение к приказу НВ № 226-сс от 31 мая 1945 года:</w:t>
      </w:r>
    </w:p>
    <w:p w14:paraId="781F035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Для осуществления сдачи-приемки завода № 350 заводу № 69.</w:t>
      </w:r>
    </w:p>
    <w:p w14:paraId="58D094A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Незавершенное производство ………….. по морскому приборостроению завода № 350 передать заводу № 349 (6445, 59).</w:t>
      </w:r>
    </w:p>
    <w:p w14:paraId="54E36F0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4267D3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июня 1945 года вышел приказ № 257 НКВ</w:t>
      </w:r>
    </w:p>
    <w:p w14:paraId="439F5B0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дополнение к приказу НВ № 226-сс от 31 мая 1945 года:</w:t>
      </w:r>
    </w:p>
    <w:p w14:paraId="5373515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Для осуществления сдачи-приемки завода № 588 заводу № 69 на правах отдельного цеха</w:t>
      </w:r>
    </w:p>
    <w:p w14:paraId="0A053D5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(6445, 66).</w:t>
      </w:r>
    </w:p>
    <w:p w14:paraId="06101E29"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361CA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 июня 1945 г. завод № 523 (Завод № 523 НКреЗИНПрома, НКСМ, Завод «Металл» НКХП, Завод «Автоарматура» НКСМ /г. Ленинград/) переименован в завод «Автоарматура» НКСМ, в 1946 г. передан в ведение Управления автоэлектроприборостроения Министерства автомобильной промышленности. С 1957 г. завод - в ведении Управления приборостроительной промышленности ЛенСНХ.</w:t>
      </w:r>
    </w:p>
    <w:p w14:paraId="49A87E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газовых рулей для ЗУР Р-101 (1948 г.).</w:t>
      </w:r>
      <w:r w:rsidRPr="00F90EAE">
        <w:rPr>
          <w:color w:val="000000" w:themeColor="text1"/>
          <w:sz w:val="16"/>
          <w:szCs w:val="16"/>
          <w:vertAlign w:val="superscript"/>
        </w:rPr>
        <w:t>57</w:t>
      </w:r>
    </w:p>
    <w:p w14:paraId="601BFE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1969 г. завод «Автоарматура» вошел в состав ПО «Ленинградский карбюраторный завод им. В.В. Куйбышева».</w:t>
      </w:r>
      <w:r w:rsidRPr="00F90EAE">
        <w:rPr>
          <w:color w:val="000000" w:themeColor="text1"/>
          <w:sz w:val="16"/>
          <w:szCs w:val="16"/>
          <w:vertAlign w:val="superscript"/>
        </w:rPr>
        <w:t>131</w:t>
      </w:r>
    </w:p>
    <w:p w14:paraId="2D008CB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w:t>
      </w:r>
    </w:p>
    <w:p w14:paraId="0922EB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1BBBD3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карбюраторов (1932 г.).</w:t>
      </w:r>
    </w:p>
    <w:p w14:paraId="0FB1E8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F90EAE">
        <w:rPr>
          <w:color w:val="000000" w:themeColor="text1"/>
          <w:sz w:val="16"/>
          <w:szCs w:val="16"/>
          <w:vertAlign w:val="superscript"/>
        </w:rPr>
        <w:t>65</w:t>
      </w:r>
    </w:p>
    <w:p w14:paraId="373EE39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2ADDD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6304AF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45BB91D0" w14:textId="77777777" w:rsidR="006103B3" w:rsidRPr="00F90EAE" w:rsidRDefault="006103B3" w:rsidP="00F90EAE">
      <w:pPr>
        <w:autoSpaceDE w:val="0"/>
        <w:autoSpaceDN w:val="0"/>
        <w:adjustRightInd w:val="0"/>
        <w:jc w:val="both"/>
        <w:rPr>
          <w:color w:val="000000" w:themeColor="text1"/>
          <w:sz w:val="16"/>
          <w:szCs w:val="16"/>
        </w:rPr>
      </w:pPr>
    </w:p>
    <w:p w14:paraId="47D5A31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июня 1945 вышло Постановление ГКО № 9050 [О включении в состав Морской комиссии (см. Постановление ГКО № 8814 от 30 мая 1945 г.) зам. наркома рыбной промышленности Скорнякова Н.Е.] (7350, 1).</w:t>
      </w:r>
    </w:p>
    <w:p w14:paraId="69DF857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F10490D" w14:textId="77777777" w:rsidR="00D7144C" w:rsidRPr="00F90EAE" w:rsidRDefault="00D7144C" w:rsidP="00F90EAE">
      <w:pPr>
        <w:jc w:val="both"/>
        <w:rPr>
          <w:color w:val="000000" w:themeColor="text1"/>
          <w:sz w:val="16"/>
          <w:szCs w:val="16"/>
        </w:rPr>
      </w:pPr>
      <w:r w:rsidRPr="00F90EAE">
        <w:rPr>
          <w:color w:val="000000" w:themeColor="text1"/>
          <w:sz w:val="16"/>
          <w:szCs w:val="16"/>
        </w:rPr>
        <w:t xml:space="preserve">11 июня </w:t>
      </w:r>
      <w:smartTag w:uri="urn:schemas-microsoft-com:office:smarttags" w:element="metricconverter">
        <w:smartTagPr>
          <w:attr w:name="ProductID" w:val="1945 г"/>
        </w:smartTagPr>
        <w:r w:rsidRPr="00F90EAE">
          <w:rPr>
            <w:color w:val="000000" w:themeColor="text1"/>
            <w:sz w:val="16"/>
            <w:szCs w:val="16"/>
          </w:rPr>
          <w:t>1945 г</w:t>
        </w:r>
      </w:smartTag>
      <w:r w:rsidRPr="00F90EAE">
        <w:rPr>
          <w:color w:val="000000" w:themeColor="text1"/>
          <w:sz w:val="16"/>
          <w:szCs w:val="16"/>
        </w:rPr>
        <w:t>. гор. Москва «ПРИКАЗ</w:t>
      </w:r>
    </w:p>
    <w:p w14:paraId="6ECF463F" w14:textId="77777777" w:rsidR="00D7144C" w:rsidRPr="00F90EAE" w:rsidRDefault="00D7144C" w:rsidP="00F90EAE">
      <w:pPr>
        <w:jc w:val="both"/>
        <w:rPr>
          <w:color w:val="000000" w:themeColor="text1"/>
          <w:sz w:val="16"/>
          <w:szCs w:val="16"/>
        </w:rPr>
      </w:pPr>
      <w:r w:rsidRPr="00F90EAE">
        <w:rPr>
          <w:color w:val="000000" w:themeColor="text1"/>
          <w:sz w:val="16"/>
          <w:szCs w:val="16"/>
        </w:rPr>
        <w:t>начальника инженерных войск Красной Армии</w:t>
      </w:r>
    </w:p>
    <w:p w14:paraId="20C6C684" w14:textId="77777777" w:rsidR="00D7144C" w:rsidRPr="00F90EAE" w:rsidRDefault="00D7144C" w:rsidP="00F90EAE">
      <w:pPr>
        <w:jc w:val="both"/>
        <w:rPr>
          <w:color w:val="000000" w:themeColor="text1"/>
          <w:sz w:val="16"/>
          <w:szCs w:val="16"/>
        </w:rPr>
      </w:pPr>
      <w:r w:rsidRPr="00F90EAE">
        <w:rPr>
          <w:color w:val="000000" w:themeColor="text1"/>
          <w:sz w:val="16"/>
          <w:szCs w:val="16"/>
        </w:rPr>
        <w:t>§1. Завод №342 Наркомсудпрома СССР является одним из основных заводов по поставке для инженерных войск Красной Армии тяжелых, средних и легких понтонно-мостовых парков.</w:t>
      </w:r>
    </w:p>
    <w:p w14:paraId="04BA7186" w14:textId="77777777" w:rsidR="00D7144C" w:rsidRPr="00F90EAE" w:rsidRDefault="00D7144C" w:rsidP="00F90EAE">
      <w:pPr>
        <w:jc w:val="both"/>
        <w:rPr>
          <w:color w:val="000000" w:themeColor="text1"/>
          <w:sz w:val="16"/>
          <w:szCs w:val="16"/>
        </w:rPr>
      </w:pPr>
      <w:r w:rsidRPr="00F90EAE">
        <w:rPr>
          <w:color w:val="000000" w:themeColor="text1"/>
          <w:sz w:val="16"/>
          <w:szCs w:val="16"/>
        </w:rPr>
        <w:t>За время Отечественной войны завод № 342 в минимально короткий срок освоил массовое производство понтонно-мостовых парков, благодаря чему Красная Армия никогда не ощущала острой нужды в парках, всегда обеспечивалась средствами в нужных количествах.</w:t>
      </w:r>
    </w:p>
    <w:p w14:paraId="7FA1E4A9" w14:textId="77777777" w:rsidR="00D7144C" w:rsidRPr="00F90EAE" w:rsidRDefault="00D7144C" w:rsidP="00F90EAE">
      <w:pPr>
        <w:jc w:val="both"/>
        <w:rPr>
          <w:color w:val="000000" w:themeColor="text1"/>
          <w:sz w:val="16"/>
          <w:szCs w:val="16"/>
        </w:rPr>
      </w:pPr>
      <w:r w:rsidRPr="00F90EAE">
        <w:rPr>
          <w:color w:val="000000" w:themeColor="text1"/>
          <w:sz w:val="16"/>
          <w:szCs w:val="16"/>
        </w:rPr>
        <w:t>Изготовленные заводом №342 понтонно-мостовые парки участвовали на всех фронтах Отечественной войны и показали себя только с хорошей стороны.</w:t>
      </w:r>
    </w:p>
    <w:p w14:paraId="00CE3670" w14:textId="77777777" w:rsidR="00D7144C" w:rsidRPr="00F90EAE" w:rsidRDefault="00D7144C" w:rsidP="00F90EAE">
      <w:pPr>
        <w:jc w:val="both"/>
        <w:rPr>
          <w:color w:val="000000" w:themeColor="text1"/>
          <w:sz w:val="16"/>
          <w:szCs w:val="16"/>
        </w:rPr>
      </w:pPr>
      <w:r w:rsidRPr="00F90EAE">
        <w:rPr>
          <w:color w:val="000000" w:themeColor="text1"/>
          <w:sz w:val="16"/>
          <w:szCs w:val="16"/>
        </w:rPr>
        <w:t>В процессе серийного производства парков завод проделал большую работу по модернизации основных парков, благодаря чему улучшено качество и тактико-технические показатели этих средств.</w:t>
      </w:r>
    </w:p>
    <w:p w14:paraId="020B10BA" w14:textId="77777777" w:rsidR="00D7144C" w:rsidRPr="00F90EAE" w:rsidRDefault="00D7144C" w:rsidP="00F90EAE">
      <w:pPr>
        <w:jc w:val="both"/>
        <w:rPr>
          <w:color w:val="000000" w:themeColor="text1"/>
          <w:sz w:val="16"/>
          <w:szCs w:val="16"/>
        </w:rPr>
      </w:pPr>
      <w:r w:rsidRPr="00F90EAE">
        <w:rPr>
          <w:color w:val="000000" w:themeColor="text1"/>
          <w:sz w:val="16"/>
          <w:szCs w:val="16"/>
        </w:rPr>
        <w:t>§2. Достигнутые успехи оказались возможными благодаря пониманию задач и упорному труду со стороны всего коллектива рабочих, служащих и инженерно-технических работников завода №342, благодаря инициативной, энергичной и успешной работе со стороны директора завода т. Карпова Василия Павловича, который правильно нацеливал коллектив завода на выполнение поставленных задач.</w:t>
      </w:r>
    </w:p>
    <w:p w14:paraId="7D8D5F39" w14:textId="77777777" w:rsidR="00D7144C" w:rsidRPr="00F90EAE" w:rsidRDefault="00D7144C" w:rsidP="00F90EAE">
      <w:pPr>
        <w:jc w:val="both"/>
        <w:rPr>
          <w:color w:val="000000" w:themeColor="text1"/>
          <w:sz w:val="16"/>
          <w:szCs w:val="16"/>
        </w:rPr>
      </w:pPr>
      <w:r w:rsidRPr="00F90EAE">
        <w:rPr>
          <w:color w:val="000000" w:themeColor="text1"/>
          <w:sz w:val="16"/>
          <w:szCs w:val="16"/>
        </w:rPr>
        <w:t>§3. За успешную и плодотворную работу заводу №342 НКСП ССР по поставке для инженерных войск Кранной Армии понтонно-мостовых парков:</w:t>
      </w:r>
    </w:p>
    <w:p w14:paraId="338B0721" w14:textId="77777777" w:rsidR="00D7144C" w:rsidRPr="00F90EAE" w:rsidRDefault="00D7144C" w:rsidP="00F90EAE">
      <w:pPr>
        <w:jc w:val="both"/>
        <w:rPr>
          <w:color w:val="000000" w:themeColor="text1"/>
          <w:sz w:val="16"/>
          <w:szCs w:val="16"/>
        </w:rPr>
      </w:pPr>
      <w:r w:rsidRPr="00F90EAE">
        <w:rPr>
          <w:color w:val="000000" w:themeColor="text1"/>
          <w:sz w:val="16"/>
          <w:szCs w:val="16"/>
        </w:rPr>
        <w:t>а) объявляю благодарность коллективу рабочих, служащих и инженерно-технических работников завода №342;</w:t>
      </w:r>
    </w:p>
    <w:p w14:paraId="779D3A0D" w14:textId="77777777" w:rsidR="00D7144C" w:rsidRPr="00F90EAE" w:rsidRDefault="00D7144C" w:rsidP="00F90EAE">
      <w:pPr>
        <w:jc w:val="both"/>
        <w:rPr>
          <w:color w:val="000000" w:themeColor="text1"/>
          <w:sz w:val="16"/>
          <w:szCs w:val="16"/>
        </w:rPr>
      </w:pPr>
      <w:r w:rsidRPr="00F90EAE">
        <w:rPr>
          <w:color w:val="000000" w:themeColor="text1"/>
          <w:sz w:val="16"/>
          <w:szCs w:val="16"/>
        </w:rPr>
        <w:t>б) директору завода №342 т. Карпову В.П. объявляю благодарность и награждаю ценным подарком.</w:t>
      </w:r>
    </w:p>
    <w:p w14:paraId="65C90659" w14:textId="77777777" w:rsidR="00D7144C" w:rsidRPr="00F90EAE" w:rsidRDefault="00D7144C" w:rsidP="00F90EAE">
      <w:pPr>
        <w:jc w:val="both"/>
        <w:rPr>
          <w:color w:val="000000" w:themeColor="text1"/>
          <w:sz w:val="16"/>
          <w:szCs w:val="16"/>
        </w:rPr>
      </w:pPr>
      <w:r w:rsidRPr="00F90EAE">
        <w:rPr>
          <w:color w:val="000000" w:themeColor="text1"/>
          <w:sz w:val="16"/>
          <w:szCs w:val="16"/>
        </w:rPr>
        <w:t>§4. Начальнику ГВИУ КА предоставить мне материалы для вхождения в Правительство о награждении орденом завода и лучших работников правительственными наградами.</w:t>
      </w:r>
    </w:p>
    <w:p w14:paraId="6C056776" w14:textId="77777777" w:rsidR="00D7144C" w:rsidRPr="00F90EAE" w:rsidRDefault="00D7144C" w:rsidP="00F90EAE">
      <w:pPr>
        <w:jc w:val="both"/>
        <w:rPr>
          <w:color w:val="000000" w:themeColor="text1"/>
          <w:sz w:val="16"/>
          <w:szCs w:val="16"/>
        </w:rPr>
      </w:pPr>
      <w:r w:rsidRPr="00F90EAE">
        <w:rPr>
          <w:color w:val="000000" w:themeColor="text1"/>
          <w:sz w:val="16"/>
          <w:szCs w:val="16"/>
        </w:rPr>
        <w:t>Начальник инженерных войск Красной Армии</w:t>
      </w:r>
    </w:p>
    <w:p w14:paraId="265EFF9F" w14:textId="77777777" w:rsidR="00D7144C" w:rsidRPr="00F90EAE" w:rsidRDefault="00D7144C" w:rsidP="00F90EAE">
      <w:pPr>
        <w:jc w:val="both"/>
        <w:rPr>
          <w:color w:val="000000" w:themeColor="text1"/>
          <w:sz w:val="16"/>
          <w:szCs w:val="16"/>
        </w:rPr>
      </w:pPr>
      <w:r w:rsidRPr="00F90EAE">
        <w:rPr>
          <w:color w:val="000000" w:themeColor="text1"/>
          <w:sz w:val="16"/>
          <w:szCs w:val="16"/>
        </w:rPr>
        <w:t>маршал инженерных войск М. Воробьев».</w:t>
      </w:r>
    </w:p>
    <w:p w14:paraId="25814404" w14:textId="77777777" w:rsidR="00D7144C" w:rsidRPr="00F90EAE" w:rsidRDefault="00D7144C" w:rsidP="00F90EAE">
      <w:pPr>
        <w:shd w:val="clear" w:color="auto" w:fill="FFFFFF"/>
        <w:jc w:val="both"/>
        <w:rPr>
          <w:color w:val="000000" w:themeColor="text1"/>
          <w:sz w:val="16"/>
          <w:szCs w:val="16"/>
        </w:rPr>
      </w:pPr>
    </w:p>
    <w:p w14:paraId="6B1B0B5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78F0A29" w14:textId="77777777" w:rsidR="006103B3" w:rsidRPr="00F90EAE" w:rsidRDefault="006103B3" w:rsidP="00F90EAE">
      <w:pPr>
        <w:autoSpaceDE w:val="0"/>
        <w:autoSpaceDN w:val="0"/>
        <w:adjustRightInd w:val="0"/>
        <w:jc w:val="both"/>
        <w:rPr>
          <w:iCs/>
          <w:color w:val="000000" w:themeColor="text1"/>
          <w:sz w:val="16"/>
          <w:szCs w:val="16"/>
        </w:rPr>
      </w:pPr>
    </w:p>
    <w:p w14:paraId="15857C9F" w14:textId="77777777" w:rsidR="00A42EE3" w:rsidRPr="00F90EAE" w:rsidRDefault="00A42EE3" w:rsidP="00F90EAE">
      <w:pPr>
        <w:jc w:val="both"/>
        <w:rPr>
          <w:color w:val="000000" w:themeColor="text1"/>
          <w:sz w:val="16"/>
          <w:szCs w:val="16"/>
        </w:rPr>
      </w:pPr>
      <w:r w:rsidRPr="00F90EAE">
        <w:rPr>
          <w:bCs/>
          <w:color w:val="000000" w:themeColor="text1"/>
          <w:sz w:val="16"/>
          <w:szCs w:val="16"/>
        </w:rPr>
        <w:t>11 июня</w:t>
      </w:r>
      <w:r w:rsidRPr="00F90EAE">
        <w:rPr>
          <w:color w:val="000000" w:themeColor="text1"/>
          <w:sz w:val="16"/>
          <w:szCs w:val="16"/>
        </w:rPr>
        <w:t xml:space="preserve"> в 1945 году обращение Центрального Комитета Коммунистической партии Германии к народу с программой демократического переустройства страны (14919).</w:t>
      </w:r>
    </w:p>
    <w:p w14:paraId="3D0A9C4E" w14:textId="77777777" w:rsidR="00A42EE3" w:rsidRPr="00F90EAE" w:rsidRDefault="00A42EE3" w:rsidP="00F90EAE">
      <w:pPr>
        <w:jc w:val="both"/>
        <w:rPr>
          <w:color w:val="000000" w:themeColor="text1"/>
          <w:sz w:val="16"/>
          <w:szCs w:val="16"/>
        </w:rPr>
      </w:pPr>
    </w:p>
    <w:p w14:paraId="5B1B2D2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июня 1945 советские власти начали депортацию судетских немцев из Чехословакии в Германию (4962).</w:t>
      </w:r>
    </w:p>
    <w:p w14:paraId="3CA13D8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0C2AC5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759DA26" w14:textId="77777777" w:rsidR="006103B3" w:rsidRPr="00F90EAE" w:rsidRDefault="006103B3" w:rsidP="00F90EAE">
      <w:pPr>
        <w:autoSpaceDE w:val="0"/>
        <w:autoSpaceDN w:val="0"/>
        <w:adjustRightInd w:val="0"/>
        <w:jc w:val="both"/>
        <w:rPr>
          <w:iCs/>
          <w:color w:val="000000" w:themeColor="text1"/>
          <w:sz w:val="16"/>
          <w:szCs w:val="16"/>
        </w:rPr>
      </w:pPr>
    </w:p>
    <w:p w14:paraId="6D12B027"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11 июня 1945 австралийские войска высадились на острове Борнео (4962).</w:t>
      </w:r>
    </w:p>
    <w:p w14:paraId="00FCCBE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D26D04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5103311" w14:textId="77777777" w:rsidR="006103B3" w:rsidRPr="00F90EAE" w:rsidRDefault="006103B3" w:rsidP="00F90EAE">
      <w:pPr>
        <w:autoSpaceDE w:val="0"/>
        <w:autoSpaceDN w:val="0"/>
        <w:adjustRightInd w:val="0"/>
        <w:jc w:val="both"/>
        <w:rPr>
          <w:iCs/>
          <w:color w:val="000000" w:themeColor="text1"/>
          <w:sz w:val="16"/>
          <w:szCs w:val="16"/>
        </w:rPr>
      </w:pPr>
    </w:p>
    <w:p w14:paraId="6983F64E" w14:textId="77777777" w:rsidR="005F32F4" w:rsidRPr="00F90EAE" w:rsidRDefault="005F32F4" w:rsidP="00F90EAE">
      <w:pPr>
        <w:jc w:val="both"/>
        <w:rPr>
          <w:color w:val="000000" w:themeColor="text1"/>
          <w:sz w:val="16"/>
          <w:szCs w:val="16"/>
        </w:rPr>
      </w:pPr>
      <w:r w:rsidRPr="00F90EAE">
        <w:rPr>
          <w:color w:val="000000" w:themeColor="text1"/>
          <w:sz w:val="16"/>
          <w:szCs w:val="16"/>
        </w:rPr>
        <w:t>12 июня 1945 г. на имя главного мар</w:t>
      </w:r>
      <w:r w:rsidRPr="00F90EAE">
        <w:rPr>
          <w:color w:val="000000" w:themeColor="text1"/>
          <w:sz w:val="16"/>
          <w:szCs w:val="16"/>
        </w:rPr>
        <w:softHyphen/>
        <w:t>шала авиации А.А. Новикова ушло обращение за подписью главного конструктора самолета Ил-2 С.В. Ильюшина, начальника техническо</w:t>
      </w:r>
      <w:r w:rsidRPr="00F90EAE">
        <w:rPr>
          <w:color w:val="000000" w:themeColor="text1"/>
          <w:sz w:val="16"/>
          <w:szCs w:val="16"/>
        </w:rPr>
        <w:softHyphen/>
        <w:t>го отдела НКАП А.Т. Туманова и заместителя начальника ВИАМ С.Т. Кишкина. Они отмеча</w:t>
      </w:r>
      <w:r w:rsidRPr="00F90EAE">
        <w:rPr>
          <w:color w:val="000000" w:themeColor="text1"/>
          <w:sz w:val="16"/>
          <w:szCs w:val="16"/>
        </w:rPr>
        <w:softHyphen/>
        <w:t>ли, что изменения правил приемки без согла</w:t>
      </w:r>
      <w:r w:rsidRPr="00F90EAE">
        <w:rPr>
          <w:color w:val="000000" w:themeColor="text1"/>
          <w:sz w:val="16"/>
          <w:szCs w:val="16"/>
        </w:rPr>
        <w:softHyphen/>
        <w:t xml:space="preserve">сования с главным </w:t>
      </w:r>
      <w:r w:rsidRPr="00F90EAE">
        <w:rPr>
          <w:color w:val="000000" w:themeColor="text1"/>
          <w:sz w:val="16"/>
          <w:szCs w:val="16"/>
        </w:rPr>
        <w:lastRenderedPageBreak/>
        <w:t>конструктором самолета и Наркоматом авиационной промышленности является беспрецедентным случаем. Главным виновником считался районный инженер 5-го отдела УЗСиМ ГУЗ ВВС инженер-майор Фрид</w:t>
      </w:r>
      <w:r w:rsidRPr="00F90EAE">
        <w:rPr>
          <w:color w:val="000000" w:themeColor="text1"/>
          <w:sz w:val="16"/>
          <w:szCs w:val="16"/>
        </w:rPr>
        <w:softHyphen/>
        <w:t>ман, который</w:t>
      </w:r>
      <w:r w:rsidRPr="00F90EAE">
        <w:rPr>
          <w:rStyle w:val="aff6"/>
          <w:rFonts w:ascii="Times New Roman" w:hAnsi="Times New Roman" w:cs="Times New Roman"/>
          <w:i w:val="0"/>
          <w:color w:val="000000" w:themeColor="text1"/>
        </w:rPr>
        <w:t xml:space="preserve"> «предложил взамен брони АБ-2 цементованную броню ХД в гомогенном вари</w:t>
      </w:r>
      <w:r w:rsidRPr="00F90EAE">
        <w:rPr>
          <w:rStyle w:val="aff6"/>
          <w:rFonts w:ascii="Times New Roman" w:hAnsi="Times New Roman" w:cs="Times New Roman"/>
          <w:i w:val="0"/>
          <w:color w:val="000000" w:themeColor="text1"/>
        </w:rPr>
        <w:softHyphen/>
        <w:t>анте и занял резко отрицательную позицию по отношению к броне АБ-3».</w:t>
      </w:r>
    </w:p>
    <w:p w14:paraId="068CF418" w14:textId="77777777" w:rsidR="005F32F4" w:rsidRPr="00F90EAE" w:rsidRDefault="005F32F4" w:rsidP="00F90EAE">
      <w:pPr>
        <w:jc w:val="both"/>
        <w:rPr>
          <w:color w:val="000000" w:themeColor="text1"/>
          <w:sz w:val="16"/>
          <w:szCs w:val="16"/>
        </w:rPr>
      </w:pPr>
      <w:r w:rsidRPr="00F90EAE">
        <w:rPr>
          <w:color w:val="000000" w:themeColor="text1"/>
          <w:sz w:val="16"/>
          <w:szCs w:val="16"/>
        </w:rPr>
        <w:t>По их единодушному мнению,</w:t>
      </w:r>
      <w:r w:rsidRPr="00F90EAE">
        <w:rPr>
          <w:rStyle w:val="aff6"/>
          <w:rFonts w:ascii="Times New Roman" w:hAnsi="Times New Roman" w:cs="Times New Roman"/>
          <w:i w:val="0"/>
          <w:color w:val="000000" w:themeColor="text1"/>
        </w:rPr>
        <w:t xml:space="preserve"> «вопрос о новых требованиях к броне, с учетом оружия крупного калибра, должен быть рассмотрен особо, причем повышение противоснарядной живучести брони не должно идти за счет сни</w:t>
      </w:r>
      <w:r w:rsidRPr="00F90EAE">
        <w:rPr>
          <w:rStyle w:val="aff6"/>
          <w:rFonts w:ascii="Times New Roman" w:hAnsi="Times New Roman" w:cs="Times New Roman"/>
          <w:i w:val="0"/>
          <w:color w:val="000000" w:themeColor="text1"/>
        </w:rPr>
        <w:softHyphen/>
        <w:t>жения ее пулестойкости».</w:t>
      </w:r>
      <w:r w:rsidRPr="00F90EAE">
        <w:rPr>
          <w:color w:val="000000" w:themeColor="text1"/>
          <w:sz w:val="16"/>
          <w:szCs w:val="16"/>
        </w:rPr>
        <w:t xml:space="preserve"> Между тем, именно этому требованию броня ХД, созданная специ</w:t>
      </w:r>
      <w:r w:rsidRPr="00F90EAE">
        <w:rPr>
          <w:color w:val="000000" w:themeColor="text1"/>
          <w:sz w:val="16"/>
          <w:szCs w:val="16"/>
        </w:rPr>
        <w:softHyphen/>
        <w:t>ально как цементованная (с низким содержа</w:t>
      </w:r>
      <w:r w:rsidRPr="00F90EAE">
        <w:rPr>
          <w:color w:val="000000" w:themeColor="text1"/>
          <w:sz w:val="16"/>
          <w:szCs w:val="16"/>
        </w:rPr>
        <w:softHyphen/>
        <w:t>нием углерода при высоком - хрома), не могла отвечать в гомогенном варианте.</w:t>
      </w:r>
    </w:p>
    <w:p w14:paraId="687CE374" w14:textId="77777777" w:rsidR="005F32F4" w:rsidRPr="00F90EAE" w:rsidRDefault="005F32F4" w:rsidP="00F90EAE">
      <w:pPr>
        <w:pStyle w:val="45"/>
        <w:shd w:val="clear" w:color="auto" w:fill="auto"/>
        <w:spacing w:before="0" w:line="240" w:lineRule="auto"/>
        <w:jc w:val="both"/>
        <w:rPr>
          <w:rStyle w:val="4e"/>
          <w:rFonts w:ascii="Times New Roman" w:eastAsia="Calibri" w:hAnsi="Times New Roman" w:cs="Times New Roman"/>
          <w:i w:val="0"/>
          <w:color w:val="000000" w:themeColor="text1"/>
          <w:sz w:val="16"/>
          <w:szCs w:val="16"/>
        </w:rPr>
      </w:pPr>
      <w:r w:rsidRPr="00F90EAE">
        <w:rPr>
          <w:rStyle w:val="4e"/>
          <w:rFonts w:ascii="Times New Roman" w:eastAsia="Calibri" w:hAnsi="Times New Roman" w:cs="Times New Roman"/>
          <w:i w:val="0"/>
          <w:color w:val="000000" w:themeColor="text1"/>
          <w:sz w:val="16"/>
          <w:szCs w:val="16"/>
        </w:rPr>
        <w:t>В заключение они просили маршала Но</w:t>
      </w:r>
      <w:r w:rsidRPr="00F90EAE">
        <w:rPr>
          <w:rStyle w:val="4e"/>
          <w:rFonts w:ascii="Times New Roman" w:eastAsia="Calibri" w:hAnsi="Times New Roman" w:cs="Times New Roman"/>
          <w:i w:val="0"/>
          <w:color w:val="000000" w:themeColor="text1"/>
          <w:sz w:val="16"/>
          <w:szCs w:val="16"/>
        </w:rPr>
        <w:softHyphen/>
        <w:t>викова</w:t>
      </w:r>
      <w:r w:rsidRPr="00F90EAE">
        <w:rPr>
          <w:rFonts w:ascii="Times New Roman" w:cs="Times New Roman"/>
          <w:color w:val="000000" w:themeColor="text1"/>
          <w:sz w:val="16"/>
          <w:szCs w:val="16"/>
        </w:rPr>
        <w:t xml:space="preserve"> «решить вопрос о приемке броневых деталей из стали АБ-3 по ТУ на броню АБ-2, взамен которой и рекомендована броня АБ-3». </w:t>
      </w:r>
      <w:r w:rsidRPr="00F90EAE">
        <w:rPr>
          <w:rStyle w:val="4e"/>
          <w:rFonts w:ascii="Times New Roman" w:eastAsia="Calibri" w:hAnsi="Times New Roman" w:cs="Times New Roman"/>
          <w:i w:val="0"/>
          <w:color w:val="000000" w:themeColor="text1"/>
          <w:sz w:val="16"/>
          <w:szCs w:val="16"/>
        </w:rPr>
        <w:t>Ответный доклад был подготовлен и 19 июня доложен командующему ВВС (17479).</w:t>
      </w:r>
    </w:p>
    <w:p w14:paraId="1A2ED5D3"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p>
    <w:p w14:paraId="11CDBCB9"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На 12 июня 1945 состояние опытного строительства на заводе № 81 было следующим:</w:t>
      </w:r>
    </w:p>
    <w:p w14:paraId="1CCDBA1C"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По с-ту “К” все работы прекращены.</w:t>
      </w:r>
    </w:p>
    <w:p w14:paraId="1B6980CB"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Изделие 120Р (АШ-83 и РД-1) - строительство с-та закончено. Нет РД-1</w:t>
      </w:r>
    </w:p>
    <w:p w14:paraId="397E9D33"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с АШ-82 с 3 пушками Шпитального калибра 20 мм - произведен отстрел 2-х б/к в тире. В дальнейшем на с-те Ла-7 АШ-82ФН завода № 81 согласно приказу Шахурина будут ставить 3 облегченные пушки калибра 23мм. Все работы по установке 3-х 23 мм пушек предполагается закончить к 1 июля</w:t>
      </w:r>
    </w:p>
    <w:p w14:paraId="496182DF"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Ла-7 АШ-82ФН с 2 пушками НС-23 и Ла-7 УТИ - с-ты переданы в ГК НИИ ВВС</w:t>
      </w:r>
    </w:p>
    <w:p w14:paraId="3CE67A95"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Изделие 150 (реактивный с-т с ВРД) - с-т с ЮМО-004 представляет собой одноместный одномоторный истребитель цельнометаллической конструкциис векрхним расположением крыла. ВРД расположен в фюзеляже позади кабины л. Забор воздуха производится из передней части через специальные каналы к воздухоприемнику ВРД. Крыло с ламинизированным профилем с толщиной 12%, площадью 10 м2. Установлены 2 пушки НС-23. Шасси - трехколесное с гидравлической уборкой. Горючее рпазмещено в бензобаке объемом 540 л (25-28 минут на номинальном режиме). Полетный вес 2800 кг. Утвержден эскизный проект. Изготовлены чертежи на макет. Начато изготовление макета (738,37).</w:t>
      </w:r>
    </w:p>
    <w:p w14:paraId="70F96A3C" w14:textId="77777777" w:rsidR="006103B3" w:rsidRPr="00F90EAE" w:rsidRDefault="006103B3" w:rsidP="00F90EAE">
      <w:pPr>
        <w:widowControl w:val="0"/>
        <w:autoSpaceDE w:val="0"/>
        <w:autoSpaceDN w:val="0"/>
        <w:adjustRightInd w:val="0"/>
        <w:jc w:val="both"/>
        <w:rPr>
          <w:color w:val="000000" w:themeColor="text1"/>
          <w:sz w:val="16"/>
          <w:szCs w:val="16"/>
        </w:rPr>
      </w:pPr>
    </w:p>
    <w:p w14:paraId="2B6D844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вышел вышло распоряжение СНК № 9154р:</w:t>
      </w:r>
    </w:p>
    <w:p w14:paraId="23782A4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 Директору з-да 493 Дьяченко передать НКХП помещения, занимаемые з-м 493 в Кемерово.</w:t>
      </w:r>
    </w:p>
    <w:p w14:paraId="53FBA0A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2....обеспечить перевозку рабочих з-да и оборудования на базу площадки з-да 307 в Ржеве Калиниской обл., в течение 3-го кв. 1945</w:t>
      </w:r>
    </w:p>
    <w:p w14:paraId="774E9728"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Дементьев (1891, 70).</w:t>
      </w:r>
    </w:p>
    <w:p w14:paraId="1D09C2B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A805A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 июня 1945 года вышло постановление СНК за № 9154р о том, что на старую территорию завода № 307 переводится завод № 493 НКАП (8972).</w:t>
      </w:r>
    </w:p>
    <w:p w14:paraId="4923510D" w14:textId="77777777" w:rsidR="006103B3" w:rsidRPr="00F90EAE" w:rsidRDefault="006103B3" w:rsidP="00F90EAE">
      <w:pPr>
        <w:autoSpaceDE w:val="0"/>
        <w:autoSpaceDN w:val="0"/>
        <w:adjustRightInd w:val="0"/>
        <w:jc w:val="both"/>
        <w:rPr>
          <w:color w:val="000000" w:themeColor="text1"/>
          <w:sz w:val="16"/>
          <w:szCs w:val="16"/>
        </w:rPr>
      </w:pPr>
    </w:p>
    <w:p w14:paraId="6AE92E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 июня 1945 года на основании решения Совнаркома за № 3154с, завод № 493 НКАП в августе 1945 года перебазировался из Кемерово в Ржев Калининской области на площадку бывш. завода № 307 МАП. Перебазировка повлекла за собой восстановление и реконструкцию бывш. завода № 307.</w:t>
      </w:r>
    </w:p>
    <w:p w14:paraId="0E976EE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основании приказа МАП за № 376с от 16 ноября профиль завода определен на выпуск сварочного оборудования для сварки нержавеющей, жаропрочных сталей и алюминиевых сплавов корпусов ракет и самолетов, а также электроэрозионного оборудования и индукционных плавильных печей для алюминиевых и магниевых сплавов.</w:t>
      </w:r>
    </w:p>
    <w:p w14:paraId="62865B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Ржев Калининской области</w:t>
      </w:r>
    </w:p>
    <w:p w14:paraId="577B9C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создание и изготовление сварочной аппаратуры в среде защитных газов (9860).</w:t>
      </w:r>
    </w:p>
    <w:p w14:paraId="3C23AE6F" w14:textId="77777777" w:rsidR="006103B3" w:rsidRPr="00F90EAE" w:rsidRDefault="006103B3" w:rsidP="00F90EAE">
      <w:pPr>
        <w:autoSpaceDE w:val="0"/>
        <w:autoSpaceDN w:val="0"/>
        <w:adjustRightInd w:val="0"/>
        <w:jc w:val="both"/>
        <w:rPr>
          <w:color w:val="000000" w:themeColor="text1"/>
          <w:sz w:val="16"/>
          <w:szCs w:val="16"/>
        </w:rPr>
      </w:pPr>
    </w:p>
    <w:p w14:paraId="3FE7BFB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8B30F86" w14:textId="77777777" w:rsidR="006103B3" w:rsidRPr="00F90EAE" w:rsidRDefault="006103B3" w:rsidP="00F90EAE">
      <w:pPr>
        <w:autoSpaceDE w:val="0"/>
        <w:autoSpaceDN w:val="0"/>
        <w:adjustRightInd w:val="0"/>
        <w:jc w:val="both"/>
        <w:rPr>
          <w:iCs/>
          <w:color w:val="000000" w:themeColor="text1"/>
          <w:sz w:val="16"/>
          <w:szCs w:val="16"/>
        </w:rPr>
      </w:pPr>
    </w:p>
    <w:p w14:paraId="4867500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вышло распоряжение № 10630-р о производстве деталей и зап. частей к гардинно-тюлевому и кружевенному оборудованию на заводах НК минометного вооружения (7543, 93).</w:t>
      </w:r>
    </w:p>
    <w:p w14:paraId="3E773B1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F23EEC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12 июня 1945 г. Совет Народных Комиссаров Союза ССР выпустил Распоряжение № 10630-р</w:t>
      </w:r>
    </w:p>
    <w:p w14:paraId="208C0BF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37B36A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целях увеличения выпуска текстильно-галантерейных изделий гражданского ассортимента (платков, кашне, ко</w:t>
      </w:r>
      <w:r w:rsidRPr="00F90EAE">
        <w:rPr>
          <w:color w:val="000000" w:themeColor="text1"/>
          <w:sz w:val="16"/>
          <w:szCs w:val="16"/>
        </w:rPr>
        <w:softHyphen/>
        <w:t>сынок, тюля, гардин, кружев и др.) во П полугодии 1945 года на 12 млн. рублей, в том числе: гардинного полотна на 280 тыс. метров, вышитых купонов на 40 тыс. штук, рези</w:t>
      </w:r>
      <w:r w:rsidRPr="00F90EAE">
        <w:rPr>
          <w:color w:val="000000" w:themeColor="text1"/>
          <w:sz w:val="16"/>
          <w:szCs w:val="16"/>
        </w:rPr>
        <w:softHyphen/>
        <w:t>новых изделий на 560 тыс. метров, шелковых лент на 700 тыс. метров и ботиночного шнура на 6 млн. пар.</w:t>
      </w:r>
    </w:p>
    <w:p w14:paraId="7904E3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Обязать Наркомат Минометного Вооружения (т.Паршина) приступить во втором полугодии 1945 года к изготовлению деталей и запасных частей для гардинно-тюлевого и кружевного оборудования.</w:t>
      </w:r>
    </w:p>
    <w:p w14:paraId="4BA424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Обязать Наркомтекстиль СССР (т. Седина):</w:t>
      </w:r>
    </w:p>
    <w:p w14:paraId="730B258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изготовить до 1 января 1946 г. для Главного Управ</w:t>
      </w:r>
      <w:r w:rsidRPr="00F90EAE">
        <w:rPr>
          <w:color w:val="000000" w:themeColor="text1"/>
          <w:sz w:val="16"/>
          <w:szCs w:val="16"/>
        </w:rPr>
        <w:softHyphen/>
        <w:t>ления текстильно-галантерейной промышленности Нар-комлегпрома РСФСР:</w:t>
      </w:r>
    </w:p>
    <w:p w14:paraId="0DAAE1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бердочного зуба — 500 тыс. штук,</w:t>
      </w:r>
    </w:p>
    <w:p w14:paraId="6F967C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галев металлических — 500</w:t>
      </w:r>
    </w:p>
    <w:p w14:paraId="7B3897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выделять ежеквартально гардинно-тюлевой фабрике имени Самойлова 20 тонн хлопчатобумажной пряжи с Ленинградских текстильных фабрик;</w:t>
      </w:r>
    </w:p>
    <w:p w14:paraId="4511BC1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организовать при Московском текстильном институ</w:t>
      </w:r>
      <w:r w:rsidRPr="00F90EAE">
        <w:rPr>
          <w:color w:val="000000" w:themeColor="text1"/>
          <w:sz w:val="16"/>
          <w:szCs w:val="16"/>
        </w:rPr>
        <w:softHyphen/>
        <w:t>те и Московском текстильном техникуме группы по подготовке специалистов для текстильно-галантерейной промышленности.</w:t>
      </w:r>
    </w:p>
    <w:p w14:paraId="5469AB13"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3. Обязать Главснаблес при Совнаркоме СССР (т. Лопухова) выделить во втором полугодии 1945 г. Нар-комлегпрому РСФСР для текстильно-галантерейной промышленности 200 кбм бука белого, 300 кбм пилома</w:t>
      </w:r>
      <w:r w:rsidRPr="00F90EAE">
        <w:rPr>
          <w:color w:val="000000" w:themeColor="text1"/>
          <w:sz w:val="16"/>
          <w:szCs w:val="16"/>
        </w:rPr>
        <w:softHyphen/>
        <w:t>териалов и 50 кбм фанеры.</w:t>
      </w:r>
    </w:p>
    <w:p w14:paraId="74D4E73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4. Обязать Главснабуголь при Совнаркоме СССР (т. Курмашева) поставить в </w:t>
      </w:r>
      <w:r w:rsidRPr="00F90EAE">
        <w:rPr>
          <w:color w:val="000000" w:themeColor="text1"/>
          <w:sz w:val="16"/>
          <w:szCs w:val="16"/>
          <w:lang w:val="en-US"/>
        </w:rPr>
        <w:t>III</w:t>
      </w:r>
      <w:r w:rsidRPr="00F90EAE">
        <w:rPr>
          <w:color w:val="000000" w:themeColor="text1"/>
          <w:sz w:val="16"/>
          <w:szCs w:val="16"/>
        </w:rPr>
        <w:t xml:space="preserve"> квартале 1945 года фабри</w:t>
      </w:r>
      <w:r w:rsidRPr="00F90EAE">
        <w:rPr>
          <w:color w:val="000000" w:themeColor="text1"/>
          <w:sz w:val="16"/>
          <w:szCs w:val="16"/>
        </w:rPr>
        <w:softHyphen/>
        <w:t>ке № 7 Главного Управления текстильно-галантерейной промышленности донецкого угля в количестве 900 тони за счет фондов Наркомлегпрома СССР.</w:t>
      </w:r>
    </w:p>
    <w:p w14:paraId="26B8329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5. Обязать Наркомат Среднего Машиностроения (т. Акопова) выделить в </w:t>
      </w:r>
      <w:r w:rsidRPr="00F90EAE">
        <w:rPr>
          <w:color w:val="000000" w:themeColor="text1"/>
          <w:sz w:val="16"/>
          <w:szCs w:val="16"/>
          <w:lang w:val="en-US"/>
        </w:rPr>
        <w:t>III</w:t>
      </w:r>
      <w:r w:rsidRPr="00F90EAE">
        <w:rPr>
          <w:color w:val="000000" w:themeColor="text1"/>
          <w:sz w:val="16"/>
          <w:szCs w:val="16"/>
        </w:rPr>
        <w:t xml:space="preserve"> квартале 1945 года Нарком-легпрому РСФСР для текстильно-галантерейной про</w:t>
      </w:r>
      <w:r w:rsidRPr="00F90EAE">
        <w:rPr>
          <w:color w:val="000000" w:themeColor="text1"/>
          <w:sz w:val="16"/>
          <w:szCs w:val="16"/>
        </w:rPr>
        <w:softHyphen/>
        <w:t>мышленности 20 автомашин за счет фондов Наркомлегп</w:t>
      </w:r>
      <w:r w:rsidRPr="00F90EAE">
        <w:rPr>
          <w:color w:val="000000" w:themeColor="text1"/>
          <w:sz w:val="16"/>
          <w:szCs w:val="16"/>
        </w:rPr>
        <w:softHyphen/>
        <w:t>рома СССР.</w:t>
      </w:r>
    </w:p>
    <w:p w14:paraId="037937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6. Обязать Наркомстройматериалов СССР (т. Соснина) выделить в </w:t>
      </w:r>
      <w:r w:rsidRPr="00F90EAE">
        <w:rPr>
          <w:color w:val="000000" w:themeColor="text1"/>
          <w:sz w:val="16"/>
          <w:szCs w:val="16"/>
          <w:lang w:val="en-US"/>
        </w:rPr>
        <w:t>III</w:t>
      </w:r>
      <w:r w:rsidRPr="00F90EAE">
        <w:rPr>
          <w:color w:val="000000" w:themeColor="text1"/>
          <w:sz w:val="16"/>
          <w:szCs w:val="16"/>
        </w:rPr>
        <w:t xml:space="preserve"> кв. 1945 г. Наркомлегпрому РСФСР для тек</w:t>
      </w:r>
      <w:r w:rsidRPr="00F90EAE">
        <w:rPr>
          <w:color w:val="000000" w:themeColor="text1"/>
          <w:sz w:val="16"/>
          <w:szCs w:val="16"/>
        </w:rPr>
        <w:softHyphen/>
        <w:t>стильно-галантерейной промышленности 40 тонн цемента и 500 рулонов толя за счет остатков промышленности.</w:t>
      </w:r>
    </w:p>
    <w:p w14:paraId="5C5C8E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Разрешить Главному Управлению текстильно-галанте</w:t>
      </w:r>
      <w:r w:rsidRPr="00F90EAE">
        <w:rPr>
          <w:color w:val="000000" w:themeColor="text1"/>
          <w:sz w:val="16"/>
          <w:szCs w:val="16"/>
        </w:rPr>
        <w:softHyphen/>
        <w:t>рейной промышленности Наркомлегпрома РСФСР реэва</w:t>
      </w:r>
      <w:r w:rsidRPr="00F90EAE">
        <w:rPr>
          <w:color w:val="000000" w:themeColor="text1"/>
          <w:sz w:val="16"/>
          <w:szCs w:val="16"/>
        </w:rPr>
        <w:softHyphen/>
        <w:t>куировать в Москву 100 работников с их семьями.</w:t>
      </w:r>
    </w:p>
    <w:p w14:paraId="65CED9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Зам.Председателя Совета Народных Комиссаров Союза ССР</w:t>
      </w:r>
    </w:p>
    <w:p w14:paraId="4B7EFC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(А.Косыгин)</w:t>
      </w:r>
    </w:p>
    <w:p w14:paraId="61A0277F"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Г АРФ. Ф. 5446. Оп .2. Д. 128. Л. 18, 19. Подлинник (11461).</w:t>
      </w:r>
    </w:p>
    <w:p w14:paraId="581823D4" w14:textId="77777777" w:rsidR="006103B3" w:rsidRPr="00F90EAE" w:rsidRDefault="006103B3" w:rsidP="00F90EAE">
      <w:pPr>
        <w:widowControl w:val="0"/>
        <w:autoSpaceDE w:val="0"/>
        <w:autoSpaceDN w:val="0"/>
        <w:adjustRightInd w:val="0"/>
        <w:jc w:val="both"/>
        <w:rPr>
          <w:color w:val="000000" w:themeColor="text1"/>
          <w:sz w:val="16"/>
          <w:szCs w:val="16"/>
        </w:rPr>
      </w:pPr>
    </w:p>
    <w:p w14:paraId="31235D0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года вышел приказ № 219с НКБ</w:t>
      </w:r>
    </w:p>
    <w:p w14:paraId="34B577D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Совнаркома от 8 июня 1945 года № 8906-рс:</w:t>
      </w:r>
    </w:p>
    <w:p w14:paraId="30C25A5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Передать из ведения Наркомата боеприпасов завод № 105 в систему Горьковского треста “Сельэлектро” Наркомзема (5795, 17).</w:t>
      </w:r>
    </w:p>
    <w:p w14:paraId="2B10145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2E946E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A525BC4" w14:textId="77777777" w:rsidR="006103B3" w:rsidRPr="00F90EAE" w:rsidRDefault="006103B3" w:rsidP="00F90EAE">
      <w:pPr>
        <w:autoSpaceDE w:val="0"/>
        <w:autoSpaceDN w:val="0"/>
        <w:adjustRightInd w:val="0"/>
        <w:jc w:val="both"/>
        <w:rPr>
          <w:iCs/>
          <w:color w:val="000000" w:themeColor="text1"/>
          <w:sz w:val="16"/>
          <w:szCs w:val="16"/>
        </w:rPr>
      </w:pPr>
    </w:p>
    <w:p w14:paraId="74976975" w14:textId="77777777" w:rsidR="00B147AB" w:rsidRPr="00F90EAE" w:rsidRDefault="00B147AB" w:rsidP="00F90EAE">
      <w:pPr>
        <w:jc w:val="both"/>
        <w:rPr>
          <w:color w:val="000000" w:themeColor="text1"/>
          <w:sz w:val="16"/>
          <w:szCs w:val="16"/>
        </w:rPr>
      </w:pPr>
      <w:r w:rsidRPr="00F90EAE">
        <w:rPr>
          <w:color w:val="000000" w:themeColor="text1"/>
          <w:sz w:val="16"/>
          <w:szCs w:val="16"/>
        </w:rPr>
        <w:t>12 июня 1945. Снижены цены на спиртные напитки в среднем на 16,7% (18688).</w:t>
      </w:r>
    </w:p>
    <w:p w14:paraId="6FB5A5FC" w14:textId="77777777" w:rsidR="00B147AB" w:rsidRPr="00F90EAE" w:rsidRDefault="00B147AB" w:rsidP="00F90EAE">
      <w:pPr>
        <w:jc w:val="both"/>
        <w:rPr>
          <w:color w:val="000000" w:themeColor="text1"/>
          <w:sz w:val="16"/>
          <w:szCs w:val="16"/>
        </w:rPr>
      </w:pPr>
    </w:p>
    <w:p w14:paraId="26ADB7C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вышло Постановление ГКО № 9052 Об организации Балтийского государственного рыбопромышленного треста Наркомрыбпрома СССР в г. Кенигсберг. (7350, 3,4-6).</w:t>
      </w:r>
    </w:p>
    <w:p w14:paraId="716EF65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8ECA31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вышло Постановление ГКО № 9053 О переселении колхозников в районы Карельского перешейка Ленинградской области. (7350, 7-13,14).</w:t>
      </w:r>
    </w:p>
    <w:p w14:paraId="393AB581"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C51D62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A916A2B" w14:textId="77777777" w:rsidR="006103B3" w:rsidRPr="00F90EAE" w:rsidRDefault="006103B3" w:rsidP="00F90EAE">
      <w:pPr>
        <w:autoSpaceDE w:val="0"/>
        <w:autoSpaceDN w:val="0"/>
        <w:adjustRightInd w:val="0"/>
        <w:jc w:val="both"/>
        <w:rPr>
          <w:iCs/>
          <w:color w:val="000000" w:themeColor="text1"/>
          <w:sz w:val="16"/>
          <w:szCs w:val="16"/>
        </w:rPr>
      </w:pPr>
    </w:p>
    <w:p w14:paraId="07A298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 июня 1945 вышло Постановление ГКО № 9051 О поставке силезского угля для нужд г. Берлин. РГАНИР, Фонд ГКО, д. 428, лл. 2 (11012).</w:t>
      </w:r>
    </w:p>
    <w:p w14:paraId="03C0B4FA" w14:textId="77777777" w:rsidR="006103B3" w:rsidRPr="00F90EAE" w:rsidRDefault="006103B3" w:rsidP="00F90EAE">
      <w:pPr>
        <w:autoSpaceDE w:val="0"/>
        <w:autoSpaceDN w:val="0"/>
        <w:adjustRightInd w:val="0"/>
        <w:jc w:val="both"/>
        <w:rPr>
          <w:color w:val="000000" w:themeColor="text1"/>
          <w:sz w:val="16"/>
          <w:szCs w:val="16"/>
        </w:rPr>
      </w:pPr>
    </w:p>
    <w:p w14:paraId="12EB8BD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За рубежом:</w:t>
      </w:r>
    </w:p>
    <w:p w14:paraId="715FEF8C" w14:textId="77777777" w:rsidR="006103B3" w:rsidRPr="00F90EAE" w:rsidRDefault="006103B3" w:rsidP="00F90EAE">
      <w:pPr>
        <w:autoSpaceDE w:val="0"/>
        <w:autoSpaceDN w:val="0"/>
        <w:adjustRightInd w:val="0"/>
        <w:jc w:val="both"/>
        <w:rPr>
          <w:iCs/>
          <w:color w:val="000000" w:themeColor="text1"/>
          <w:sz w:val="16"/>
          <w:szCs w:val="16"/>
        </w:rPr>
      </w:pPr>
    </w:p>
    <w:p w14:paraId="0875BC28" w14:textId="785CE2A3" w:rsidR="00A42EE3" w:rsidRPr="00F90EAE" w:rsidRDefault="00A42EE3" w:rsidP="00F90EAE">
      <w:pPr>
        <w:jc w:val="both"/>
        <w:rPr>
          <w:bCs/>
          <w:color w:val="000000" w:themeColor="text1"/>
          <w:sz w:val="16"/>
          <w:szCs w:val="16"/>
        </w:rPr>
      </w:pPr>
      <w:r w:rsidRPr="00F90EAE">
        <w:rPr>
          <w:bCs/>
          <w:color w:val="000000" w:themeColor="text1"/>
          <w:sz w:val="16"/>
          <w:szCs w:val="16"/>
        </w:rPr>
        <w:t>12 июня</w:t>
      </w:r>
      <w:r w:rsidRPr="00F90EAE">
        <w:rPr>
          <w:color w:val="000000" w:themeColor="text1"/>
          <w:sz w:val="16"/>
          <w:szCs w:val="16"/>
        </w:rPr>
        <w:t xml:space="preserve"> в 1945 году на острове Уоллопс (штат Вирджиния, США) был создан ракетный полигон «Уоллопс» («Wallops Island</w:t>
      </w:r>
      <w:r w:rsidR="00EA774D" w:rsidRPr="00F90EAE">
        <w:rPr>
          <w:color w:val="000000" w:themeColor="text1"/>
          <w:sz w:val="16"/>
          <w:szCs w:val="16"/>
        </w:rPr>
        <w:t>) (22463).</w:t>
      </w:r>
    </w:p>
    <w:p w14:paraId="27C00C65" w14:textId="77777777" w:rsidR="00A42EE3" w:rsidRPr="00F90EAE" w:rsidRDefault="00A42EE3" w:rsidP="00F90EAE">
      <w:pPr>
        <w:jc w:val="both"/>
        <w:rPr>
          <w:bCs/>
          <w:color w:val="000000" w:themeColor="text1"/>
          <w:sz w:val="16"/>
          <w:szCs w:val="16"/>
        </w:rPr>
      </w:pPr>
    </w:p>
    <w:p w14:paraId="0DA84B92"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во Франции отменена цензура печати, введенная во время войны (4962).</w:t>
      </w:r>
    </w:p>
    <w:p w14:paraId="0C67E17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840E89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12 июня 1945 под нажимом союзников югославские войска Броз Тито покинули Триест (4962).</w:t>
      </w:r>
    </w:p>
    <w:p w14:paraId="3D27032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CB1C2E5" w14:textId="77777777" w:rsidR="00A42EE3" w:rsidRPr="00F90EAE" w:rsidRDefault="00A42EE3" w:rsidP="00F90EAE">
      <w:pPr>
        <w:jc w:val="both"/>
        <w:rPr>
          <w:color w:val="000000" w:themeColor="text1"/>
          <w:sz w:val="16"/>
          <w:szCs w:val="16"/>
        </w:rPr>
      </w:pPr>
      <w:r w:rsidRPr="00F90EAE">
        <w:rPr>
          <w:bCs/>
          <w:color w:val="000000" w:themeColor="text1"/>
          <w:sz w:val="16"/>
          <w:szCs w:val="16"/>
        </w:rPr>
        <w:t>12 июня</w:t>
      </w:r>
      <w:r w:rsidRPr="00F90EAE">
        <w:rPr>
          <w:color w:val="000000" w:themeColor="text1"/>
          <w:sz w:val="16"/>
          <w:szCs w:val="16"/>
        </w:rPr>
        <w:t xml:space="preserve"> в 1945 году провозглашена независимая Вьетнамская Империя во главе с императором Бао Даем (14920).</w:t>
      </w:r>
    </w:p>
    <w:p w14:paraId="6A8E9418" w14:textId="77777777" w:rsidR="00A42EE3" w:rsidRPr="00F90EAE" w:rsidRDefault="00A42EE3" w:rsidP="00F90EAE">
      <w:pPr>
        <w:jc w:val="both"/>
        <w:rPr>
          <w:color w:val="000000" w:themeColor="text1"/>
          <w:sz w:val="16"/>
          <w:szCs w:val="16"/>
        </w:rPr>
      </w:pPr>
    </w:p>
    <w:p w14:paraId="7AD452C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E798CDE" w14:textId="77777777" w:rsidR="006103B3" w:rsidRPr="00F90EAE" w:rsidRDefault="006103B3" w:rsidP="00F90EAE">
      <w:pPr>
        <w:autoSpaceDE w:val="0"/>
        <w:autoSpaceDN w:val="0"/>
        <w:adjustRightInd w:val="0"/>
        <w:jc w:val="both"/>
        <w:rPr>
          <w:iCs/>
          <w:color w:val="000000" w:themeColor="text1"/>
          <w:sz w:val="16"/>
          <w:szCs w:val="16"/>
        </w:rPr>
      </w:pPr>
    </w:p>
    <w:p w14:paraId="581DE701"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13 июня 1945 в НИИ ВВС официально начались испытания Ил-10 с пылефильтром, предъявлкенного 7 июня, но вскоре были приостановлены. По инициативе Подлесецкого 18 июня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E3400B6" w14:textId="77777777" w:rsidR="00B40434" w:rsidRPr="00F90EAE" w:rsidRDefault="00B40434" w:rsidP="00F90EAE">
      <w:pPr>
        <w:jc w:val="both"/>
        <w:rPr>
          <w:color w:val="000000" w:themeColor="text1"/>
          <w:sz w:val="16"/>
          <w:szCs w:val="16"/>
        </w:rPr>
      </w:pPr>
    </w:p>
    <w:p w14:paraId="7C0BF671"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До 13 июня 1945 в 14-м отделе ЦИАМ, начальником которого был Р. С. Кисаношвили велись работы по торсиографирование мотора М-43 зав. № 4302. Непосредственным руководителем был старший научный сотрудник В. К. Житомирский. Отчет утвердил начальник ЦИАМ профессор, доктор технических наук В. И. Поликовский 15 июня.</w:t>
      </w:r>
    </w:p>
    <w:p w14:paraId="71FA5352"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Торсиографирование мотора М-43 зав. № 4302 проводилось на винте АВ-5Л-18 Б диаметром 3,8 м по дроссельной характеристике в диапазоне 700-2450 об/мин и по внешней характеристике - 2300-2800 об/мин.</w:t>
      </w:r>
    </w:p>
    <w:p w14:paraId="2B5B5DD0"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 xml:space="preserve">Выяснилось, что «роликовый демпфер в большой шестерне редуктора, настроенный на 1/ гармонику, работает на моторе М-43 хорошо, обеспечивая смещение резонанса на 3020 об/мин и снижение напряжений при 2600 об/мин от 1/ гармоники до ±110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вместо ±500 кг/см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xml:space="preserve"> в двигателе без демпфера (в наиболее напряженной шатунной шейке)».</w:t>
      </w:r>
    </w:p>
    <w:p w14:paraId="6B2AB320"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В то же время «демпфер, настроенный на 4/ порядок, работает не вполне удовлетворительно, вследствие больших углов колебаний грузов», хотя он и «понизил напряжения на 15 % и сделал колебания 4/ порядка неустойчивыми». Для улучшения его работы считалось необходимым «увеличить его момент инерции не менее чем на 50 % и обеспечить достаточно острую настройку всех грузов».</w:t>
      </w:r>
    </w:p>
    <w:p w14:paraId="6026C62A"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По результатам торсиографирования рекомендовалось «для М-43 применение испытанных демпферов и одновременно смягчение привода к нагнетателю».</w:t>
      </w:r>
    </w:p>
    <w:p w14:paraId="4A8D16B1"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Однако при первых же гонках мотора М-43 с демпферами на первом экземпляре Ил-16 (экз. № 1), рулежках и пробежках по аэродрому обнаружилась сильная тряска на самолете. Машину сразу же передали в ЦИАМ для выявления причин появления тряски.</w:t>
      </w:r>
    </w:p>
    <w:p w14:paraId="21AC718C"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Оказалось, что основной причиной тряски на самолете Ил-16 является резонанс подмоторной рамы под действием 1/ гармоники крутящего момента мотора АМ-43, наступающий при оборотах 1910 об/мин.</w:t>
      </w:r>
    </w:p>
    <w:p w14:paraId="6F8CDB41"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09C42CD3"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45F856D2" w14:textId="77777777" w:rsidR="00B40434" w:rsidRPr="00F90EAE" w:rsidRDefault="00B40434"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При этом амплитуда колебаний на самолете Ил-10 по абсолютной величине в 1,5 раза была меньше, чем на Ил-16. Это объяснялось тем, «что при более высоких оборотах 1/ гармоника вообще несколько сильнее, и тем, что мотор АМ-43 мощнее АМ-42».</w:t>
      </w:r>
    </w:p>
    <w:p w14:paraId="63278AA8"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В выводах отчета указывалось, что «1/ гармоника сильна на моторе АМ -43 и устранение ее из рабочего диапазона практически невозможно. Вследствие различия в нагрузке цилиндров 1/ гармоника на одних моторах может сказываться сильнее, чем на других».</w:t>
      </w:r>
    </w:p>
    <w:p w14:paraId="7EFF3D19" w14:textId="77777777" w:rsidR="00B40434" w:rsidRPr="00F90EAE" w:rsidRDefault="00B40434" w:rsidP="00F90EAE">
      <w:pPr>
        <w:jc w:val="both"/>
        <w:rPr>
          <w:color w:val="000000" w:themeColor="text1"/>
          <w:sz w:val="16"/>
          <w:szCs w:val="16"/>
        </w:rPr>
      </w:pPr>
      <w:r w:rsidRPr="00F90EAE">
        <w:rPr>
          <w:rStyle w:val="107"/>
          <w:rFonts w:eastAsiaTheme="minorHAnsi"/>
          <w:color w:val="000000" w:themeColor="text1"/>
          <w:sz w:val="16"/>
          <w:szCs w:val="16"/>
        </w:rPr>
        <w:t>Для уменьшения тряски на самолете Ил-16 рекомендовалось «уменьшить жесткость подвески мотора, чтобы сдвинуть резонанс в область низких оборотов мотора» (17490).</w:t>
      </w:r>
    </w:p>
    <w:p w14:paraId="20D7E1C5" w14:textId="77777777" w:rsidR="00B40434" w:rsidRPr="00F90EAE" w:rsidRDefault="00B40434" w:rsidP="00F90EAE">
      <w:pPr>
        <w:jc w:val="both"/>
        <w:rPr>
          <w:color w:val="000000" w:themeColor="text1"/>
          <w:sz w:val="16"/>
          <w:szCs w:val="16"/>
        </w:rPr>
      </w:pPr>
    </w:p>
    <w:p w14:paraId="14FCF57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До 13 июня 1945 в 14-м отделе ЦИАМ, начальником которого был Р.С. Кисаношвили проводилось торсиографирование мотора</w:t>
      </w:r>
      <w:r w:rsidRPr="00F90EAE">
        <w:rPr>
          <w:rStyle w:val="0pt1"/>
          <w:rFonts w:eastAsia="Calibri"/>
          <w:b w:val="0"/>
          <w:color w:val="000000" w:themeColor="text1"/>
          <w:spacing w:val="0"/>
          <w:sz w:val="16"/>
          <w:szCs w:val="16"/>
        </w:rPr>
        <w:t xml:space="preserve"> М-43 </w:t>
      </w:r>
      <w:r w:rsidRPr="00F90EAE">
        <w:rPr>
          <w:rFonts w:ascii="Times New Roman" w:hAnsi="Times New Roman" w:cs="Times New Roman"/>
          <w:color w:val="000000" w:themeColor="text1"/>
          <w:sz w:val="16"/>
          <w:szCs w:val="16"/>
        </w:rPr>
        <w:t>зав. №4302 на винте АВ-5Л-18Б диаметром 3,8 м по дрос</w:t>
      </w:r>
      <w:r w:rsidRPr="00F90EAE">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F90EAE">
        <w:rPr>
          <w:rFonts w:ascii="Times New Roman" w:hAnsi="Times New Roman" w:cs="Times New Roman"/>
          <w:color w:val="000000" w:themeColor="text1"/>
          <w:sz w:val="16"/>
          <w:szCs w:val="16"/>
        </w:rPr>
        <w:softHyphen/>
        <w:t>ристике - 2300-2800 об/мин.</w:t>
      </w:r>
    </w:p>
    <w:p w14:paraId="4760D6B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Выяснилось, что «роликовый дем</w:t>
      </w:r>
      <w:r w:rsidRPr="00F90EAE">
        <w:rPr>
          <w:rFonts w:ascii="Times New Roman" w:hAnsi="Times New Roman" w:cs="Times New Roman"/>
          <w:color w:val="000000" w:themeColor="text1"/>
          <w:sz w:val="16"/>
          <w:szCs w:val="16"/>
        </w:rPr>
        <w:softHyphen/>
        <w:t>пфер в большой шестерне редуктора, настроенный на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гармонику, работа</w:t>
      </w:r>
      <w:r w:rsidRPr="00F90EAE">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гармоники до ±110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вместо ±500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xml:space="preserve"> в двигателе без демпфе</w:t>
      </w:r>
      <w:r w:rsidRPr="00F90EAE">
        <w:rPr>
          <w:rFonts w:ascii="Times New Roman" w:hAnsi="Times New Roman" w:cs="Times New Roman"/>
          <w:color w:val="000000" w:themeColor="text1"/>
          <w:sz w:val="16"/>
          <w:szCs w:val="16"/>
        </w:rPr>
        <w:softHyphen/>
        <w:t>ра (в наиболее напряженной шатунной шейке)».</w:t>
      </w:r>
    </w:p>
    <w:p w14:paraId="69198B6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то же время «демпфер, настроен</w:t>
      </w:r>
      <w:r w:rsidRPr="00F90EAE">
        <w:rPr>
          <w:rFonts w:ascii="Times New Roman" w:hAnsi="Times New Roman" w:cs="Times New Roman"/>
          <w:color w:val="000000" w:themeColor="text1"/>
          <w:sz w:val="16"/>
          <w:szCs w:val="16"/>
        </w:rPr>
        <w:softHyphen/>
        <w:t>ный на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F90EAE">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F90EAE">
        <w:rPr>
          <w:rFonts w:ascii="Times New Roman" w:hAnsi="Times New Roman" w:cs="Times New Roman"/>
          <w:color w:val="000000" w:themeColor="text1"/>
          <w:sz w:val="16"/>
          <w:szCs w:val="16"/>
        </w:rPr>
        <w:softHyphen/>
        <w:t>чить достаточно острую настройку всех грузов».</w:t>
      </w:r>
    </w:p>
    <w:p w14:paraId="1405203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F90EAE">
        <w:rPr>
          <w:rFonts w:ascii="Times New Roman" w:hAnsi="Times New Roman" w:cs="Times New Roman"/>
          <w:color w:val="000000" w:themeColor="text1"/>
          <w:sz w:val="16"/>
          <w:szCs w:val="16"/>
        </w:rPr>
        <w:softHyphen/>
        <w:t>нение испытанных демпферов и однов</w:t>
      </w:r>
      <w:r w:rsidRPr="00F90EAE">
        <w:rPr>
          <w:rFonts w:ascii="Times New Roman" w:hAnsi="Times New Roman" w:cs="Times New Roman"/>
          <w:color w:val="000000" w:themeColor="text1"/>
          <w:sz w:val="16"/>
          <w:szCs w:val="16"/>
        </w:rPr>
        <w:softHyphen/>
        <w:t>ременно смягчение привода к нагнета</w:t>
      </w:r>
      <w:r w:rsidRPr="00F90EAE">
        <w:rPr>
          <w:rFonts w:ascii="Times New Roman" w:hAnsi="Times New Roman" w:cs="Times New Roman"/>
          <w:color w:val="000000" w:themeColor="text1"/>
          <w:sz w:val="16"/>
          <w:szCs w:val="16"/>
        </w:rPr>
        <w:softHyphen/>
        <w:t>телю».</w:t>
      </w:r>
    </w:p>
    <w:p w14:paraId="23B0DFB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Однако при первых же гонках мото</w:t>
      </w:r>
      <w:r w:rsidRPr="00F90EAE">
        <w:rPr>
          <w:rFonts w:ascii="Times New Roman" w:hAnsi="Times New Roman" w:cs="Times New Roman"/>
          <w:color w:val="000000" w:themeColor="text1"/>
          <w:sz w:val="16"/>
          <w:szCs w:val="16"/>
        </w:rPr>
        <w:softHyphen/>
        <w:t>ра М-43 с демпферами на первом эк</w:t>
      </w:r>
      <w:r w:rsidRPr="00F90EAE">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F90EAE">
        <w:rPr>
          <w:rFonts w:ascii="Times New Roman" w:hAnsi="Times New Roman" w:cs="Times New Roman"/>
          <w:color w:val="000000" w:themeColor="text1"/>
          <w:sz w:val="16"/>
          <w:szCs w:val="16"/>
        </w:rPr>
        <w:softHyphen/>
        <w:t>ния причин появления тряски.</w:t>
      </w:r>
    </w:p>
    <w:p w14:paraId="5383B9F0"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Оказалось, что основной причиной тряски на самолете Ил-16 является ре</w:t>
      </w:r>
      <w:r w:rsidRPr="00F90EAE">
        <w:rPr>
          <w:rFonts w:ascii="Times New Roman" w:hAnsi="Times New Roman" w:cs="Times New Roman"/>
          <w:color w:val="000000" w:themeColor="text1"/>
          <w:sz w:val="16"/>
          <w:szCs w:val="16"/>
        </w:rPr>
        <w:softHyphen/>
        <w:t>зонанс подмоторной рамы под дейст</w:t>
      </w:r>
      <w:r w:rsidRPr="00F90EAE">
        <w:rPr>
          <w:rFonts w:ascii="Times New Roman" w:hAnsi="Times New Roman" w:cs="Times New Roman"/>
          <w:color w:val="000000" w:themeColor="text1"/>
          <w:sz w:val="16"/>
          <w:szCs w:val="16"/>
        </w:rPr>
        <w:softHyphen/>
        <w:t>вием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гармоники крутящего момента мотора АМ-43, наступающий при оборо</w:t>
      </w:r>
      <w:r w:rsidRPr="00F90EAE">
        <w:rPr>
          <w:rFonts w:ascii="Times New Roman" w:hAnsi="Times New Roman" w:cs="Times New Roman"/>
          <w:color w:val="000000" w:themeColor="text1"/>
          <w:sz w:val="16"/>
          <w:szCs w:val="16"/>
        </w:rPr>
        <w:softHyphen/>
        <w:t>тах 1910 об/мин.</w:t>
      </w:r>
    </w:p>
    <w:p w14:paraId="7F80FE15"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резонансе подмоторная рама сильно колебалась из стороны в сторону в горизонтальной плоскости, значитель</w:t>
      </w:r>
      <w:r w:rsidRPr="00F90EAE">
        <w:rPr>
          <w:rFonts w:ascii="Times New Roman" w:hAnsi="Times New Roman" w:cs="Times New Roman"/>
          <w:color w:val="000000" w:themeColor="text1"/>
          <w:sz w:val="16"/>
          <w:szCs w:val="16"/>
        </w:rPr>
        <w:softHyphen/>
        <w:t>но слабее в продольном направлении и совсем незначительно - в вертикальной плоскости.</w:t>
      </w:r>
    </w:p>
    <w:p w14:paraId="12A059ED"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 самолете Ил-10 с АМ-42 также наблюдался резонанс подмоторной рамы, но на более низких оборотах мо</w:t>
      </w:r>
      <w:r w:rsidRPr="00F90EAE">
        <w:rPr>
          <w:rFonts w:ascii="Times New Roman" w:hAnsi="Times New Roman" w:cs="Times New Roman"/>
          <w:color w:val="000000" w:themeColor="text1"/>
          <w:sz w:val="16"/>
          <w:szCs w:val="16"/>
        </w:rPr>
        <w:softHyphen/>
        <w:t>тора- 1810 об/мин.</w:t>
      </w:r>
    </w:p>
    <w:p w14:paraId="2CA69AF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этом амплитуда колебаний на самолете Ил-10 по абсолютной вели</w:t>
      </w:r>
      <w:r w:rsidRPr="00F90EAE">
        <w:rPr>
          <w:rFonts w:ascii="Times New Roman" w:hAnsi="Times New Roman" w:cs="Times New Roman"/>
          <w:color w:val="000000" w:themeColor="text1"/>
          <w:sz w:val="16"/>
          <w:szCs w:val="16"/>
        </w:rPr>
        <w:softHyphen/>
        <w:t>чине в 1,5 раза была меньше, чем на Ил-16. Это объяснялось тем, «что при более высоких оборотах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гармоника вообще несколько сильнее и тем, что мотор АМ-43 мощнее АМ-42».</w:t>
      </w:r>
    </w:p>
    <w:p w14:paraId="0E939C3F"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выводах отчета указывалось, что: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F90EAE">
        <w:rPr>
          <w:rFonts w:ascii="Times New Roman" w:hAnsi="Times New Roman" w:cs="Times New Roman"/>
          <w:color w:val="000000" w:themeColor="text1"/>
          <w:sz w:val="16"/>
          <w:szCs w:val="16"/>
          <w:vertAlign w:val="superscript"/>
        </w:rPr>
        <w:t>1</w:t>
      </w:r>
      <w:r w:rsidRPr="00F90EAE">
        <w:rPr>
          <w:rFonts w:ascii="Times New Roman" w:hAnsi="Times New Roman" w:cs="Times New Roman"/>
          <w:color w:val="000000" w:themeColor="text1"/>
          <w:sz w:val="16"/>
          <w:szCs w:val="16"/>
        </w:rPr>
        <w:t>'</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xml:space="preserve"> гар</w:t>
      </w:r>
      <w:r w:rsidRPr="00F90EAE">
        <w:rPr>
          <w:rFonts w:ascii="Times New Roman" w:hAnsi="Times New Roman" w:cs="Times New Roman"/>
          <w:color w:val="000000" w:themeColor="text1"/>
          <w:sz w:val="16"/>
          <w:szCs w:val="16"/>
        </w:rPr>
        <w:softHyphen/>
        <w:t>моника на одних моторах может сказы</w:t>
      </w:r>
      <w:r w:rsidRPr="00F90EAE">
        <w:rPr>
          <w:rFonts w:ascii="Times New Roman" w:hAnsi="Times New Roman" w:cs="Times New Roman"/>
          <w:color w:val="000000" w:themeColor="text1"/>
          <w:sz w:val="16"/>
          <w:szCs w:val="16"/>
        </w:rPr>
        <w:softHyphen/>
        <w:t>ваться сильнее, чем на других».</w:t>
      </w:r>
    </w:p>
    <w:p w14:paraId="4FDDDE4C"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Для уменьшения тряски на само</w:t>
      </w:r>
      <w:r w:rsidRPr="00F90EAE">
        <w:rPr>
          <w:rFonts w:ascii="Times New Roman" w:hAnsi="Times New Roman" w:cs="Times New Roman"/>
          <w:color w:val="000000" w:themeColor="text1"/>
          <w:sz w:val="16"/>
          <w:szCs w:val="16"/>
        </w:rPr>
        <w:softHyphen/>
        <w:t>лете Ил-16 рекомендовалось «умень</w:t>
      </w:r>
      <w:r w:rsidRPr="00F90EAE">
        <w:rPr>
          <w:rFonts w:ascii="Times New Roman" w:hAnsi="Times New Roman" w:cs="Times New Roman"/>
          <w:color w:val="000000" w:themeColor="text1"/>
          <w:sz w:val="16"/>
          <w:szCs w:val="16"/>
        </w:rPr>
        <w:softHyphen/>
        <w:t>шить жесткость подвески мотора, что</w:t>
      </w:r>
      <w:r w:rsidRPr="00F90EAE">
        <w:rPr>
          <w:rFonts w:ascii="Times New Roman" w:hAnsi="Times New Roman" w:cs="Times New Roman"/>
          <w:color w:val="000000" w:themeColor="text1"/>
          <w:sz w:val="16"/>
          <w:szCs w:val="16"/>
        </w:rPr>
        <w:softHyphen/>
        <w:t>бы сдвинуть резонанс в область низких оборотов мотора».</w:t>
      </w:r>
    </w:p>
    <w:p w14:paraId="0DA5F968"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Непо</w:t>
      </w:r>
      <w:r w:rsidRPr="00F90EAE">
        <w:rPr>
          <w:rFonts w:ascii="Times New Roman" w:hAnsi="Times New Roman" w:cs="Times New Roman"/>
          <w:color w:val="000000" w:themeColor="text1"/>
          <w:sz w:val="16"/>
          <w:szCs w:val="16"/>
        </w:rPr>
        <w:softHyphen/>
        <w:t>средственным руководителем был стар</w:t>
      </w:r>
      <w:r w:rsidRPr="00F90EAE">
        <w:rPr>
          <w:rFonts w:ascii="Times New Roman" w:hAnsi="Times New Roman" w:cs="Times New Roman"/>
          <w:color w:val="000000" w:themeColor="text1"/>
          <w:sz w:val="16"/>
          <w:szCs w:val="16"/>
        </w:rPr>
        <w:softHyphen/>
        <w:t>ший научный сотрудник В.К. Житомир</w:t>
      </w:r>
      <w:r w:rsidRPr="00F90EAE">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335DBE8F"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2E643B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вышел указ о награждении 52 работников ОКБ П.О.С. орденами, но П.О.С. не получил, так как не был офицером, а так и остался прапорщиком российской армии (1454,12).</w:t>
      </w:r>
    </w:p>
    <w:p w14:paraId="563D5041" w14:textId="77777777" w:rsidR="006103B3" w:rsidRPr="00F90EAE" w:rsidRDefault="006103B3" w:rsidP="00F90EAE">
      <w:pPr>
        <w:autoSpaceDE w:val="0"/>
        <w:autoSpaceDN w:val="0"/>
        <w:adjustRightInd w:val="0"/>
        <w:jc w:val="both"/>
        <w:rPr>
          <w:color w:val="000000" w:themeColor="text1"/>
          <w:sz w:val="16"/>
          <w:szCs w:val="16"/>
        </w:rPr>
      </w:pPr>
    </w:p>
    <w:p w14:paraId="093CC3B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вышел приказ НКАП, которым ГК Колосова обязали освоить и обеспечить конструкторским руководством ТРД BMW-003 и постройка под маркой РД-20 была поручена 16 заводу (2449,13).</w:t>
      </w:r>
    </w:p>
    <w:p w14:paraId="7B2C8E0E" w14:textId="77777777" w:rsidR="006103B3" w:rsidRPr="00F90EAE" w:rsidRDefault="006103B3" w:rsidP="00F90EAE">
      <w:pPr>
        <w:autoSpaceDE w:val="0"/>
        <w:autoSpaceDN w:val="0"/>
        <w:adjustRightInd w:val="0"/>
        <w:jc w:val="both"/>
        <w:rPr>
          <w:color w:val="000000" w:themeColor="text1"/>
          <w:sz w:val="16"/>
          <w:szCs w:val="16"/>
        </w:rPr>
      </w:pPr>
    </w:p>
    <w:p w14:paraId="77529B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г. приказом НКАП № 247сс заводу № 16 поручалось освоить производство реактивных двигателей РД-20 (по типу БМВ-003) (9033).</w:t>
      </w:r>
    </w:p>
    <w:p w14:paraId="372D3D76" w14:textId="77777777" w:rsidR="006103B3" w:rsidRPr="00F90EAE" w:rsidRDefault="006103B3" w:rsidP="00F90EAE">
      <w:pPr>
        <w:autoSpaceDE w:val="0"/>
        <w:autoSpaceDN w:val="0"/>
        <w:adjustRightInd w:val="0"/>
        <w:jc w:val="both"/>
        <w:rPr>
          <w:color w:val="000000" w:themeColor="text1"/>
          <w:sz w:val="16"/>
          <w:szCs w:val="16"/>
        </w:rPr>
      </w:pPr>
    </w:p>
    <w:p w14:paraId="5D9B9A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С.П.К. завершил предварительные расчеты пороховых ракет дальнего действия Д-1 (баллистическая), Д-2 (крылатая), Д-3 (сдвоенная Д-1) (ААН, р. 4, оп. 17, № 127; АРКК, № 6503) (10676).</w:t>
      </w:r>
    </w:p>
    <w:p w14:paraId="357C66C7" w14:textId="77777777" w:rsidR="006103B3" w:rsidRPr="00F90EAE" w:rsidRDefault="006103B3" w:rsidP="00F90EAE">
      <w:pPr>
        <w:autoSpaceDE w:val="0"/>
        <w:autoSpaceDN w:val="0"/>
        <w:adjustRightInd w:val="0"/>
        <w:jc w:val="both"/>
        <w:rPr>
          <w:color w:val="000000" w:themeColor="text1"/>
          <w:sz w:val="16"/>
          <w:szCs w:val="16"/>
        </w:rPr>
      </w:pPr>
    </w:p>
    <w:p w14:paraId="007FA71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C3A5CDF" w14:textId="77777777" w:rsidR="006103B3" w:rsidRPr="00F90EAE" w:rsidRDefault="006103B3" w:rsidP="00F90EAE">
      <w:pPr>
        <w:autoSpaceDE w:val="0"/>
        <w:autoSpaceDN w:val="0"/>
        <w:adjustRightInd w:val="0"/>
        <w:jc w:val="both"/>
        <w:rPr>
          <w:iCs/>
          <w:color w:val="000000" w:themeColor="text1"/>
          <w:sz w:val="16"/>
          <w:szCs w:val="16"/>
        </w:rPr>
      </w:pPr>
    </w:p>
    <w:p w14:paraId="2609BB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13 июня 1945 г. согласно записке в правительство ЦСУ СССР главным источником финансирования военных расходов в 1943 г. были: накопление государственных предприятий и ор</w:t>
      </w:r>
      <w:r w:rsidRPr="00F90EAE">
        <w:rPr>
          <w:color w:val="000000" w:themeColor="text1"/>
          <w:sz w:val="16"/>
          <w:szCs w:val="16"/>
        </w:rPr>
        <w:softHyphen/>
        <w:t xml:space="preserve">ганизаций и их амортизационные отчисления (более 100 млд. руб.), размещение займов среди населения и их добровольные взносы (около 25 млд. </w:t>
      </w:r>
      <w:r w:rsidRPr="00F90EAE">
        <w:rPr>
          <w:color w:val="000000" w:themeColor="text1"/>
          <w:sz w:val="16"/>
          <w:szCs w:val="16"/>
        </w:rPr>
        <w:lastRenderedPageBreak/>
        <w:t>руб.), налоги (30 млд. руб.) и эмиссия (11,5 млд. руб.). В общем объеме финансовых ресурсов эмиссия определялась Госпланом в количестве не более 5%. Военные же расходы, как сказано выше, составили около 220 млд. руб. За счет чего были Покрыты остальные 53 млд. руб., если государственный бюджет 1943 г. составлялся без дефицита? Дополнительным источником Покрытия военных расходов являлось повышение цен на товары широкого потребления государственной розничной торговли, ко</w:t>
      </w:r>
      <w:r w:rsidRPr="00F90EAE">
        <w:rPr>
          <w:color w:val="000000" w:themeColor="text1"/>
          <w:sz w:val="16"/>
          <w:szCs w:val="16"/>
        </w:rPr>
        <w:softHyphen/>
        <w:t>торое составило не менее 30 млд. руб. (РГАЭ ф. 4372, оп. 94, д. 115, л. 48).</w:t>
      </w:r>
    </w:p>
    <w:p w14:paraId="5E64E63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Неясны источники покрытия оставшихся 23 млд.руб. Вероят</w:t>
      </w:r>
      <w:r w:rsidRPr="00F90EAE">
        <w:rPr>
          <w:color w:val="000000" w:themeColor="text1"/>
          <w:sz w:val="16"/>
          <w:szCs w:val="16"/>
        </w:rPr>
        <w:softHyphen/>
        <w:t>нее всего их покрыла кредитная эмиссия Государственного Банка СССР. Если в финансовых ресурсах, направленных на покрытие государственных.расходов, эмиссия измерялась в 1943 г. в ко</w:t>
      </w:r>
      <w:r w:rsidRPr="00F90EAE">
        <w:rPr>
          <w:color w:val="000000" w:themeColor="text1"/>
          <w:sz w:val="16"/>
          <w:szCs w:val="16"/>
        </w:rPr>
        <w:softHyphen/>
        <w:t>личестве 5%, то в финансовых ресурсах Государственного Банка СССР эмиссия составляла более 50% /83/. То есть объем эмис</w:t>
      </w:r>
      <w:r w:rsidRPr="00F90EAE">
        <w:rPr>
          <w:color w:val="000000" w:themeColor="text1"/>
          <w:sz w:val="16"/>
          <w:szCs w:val="16"/>
        </w:rPr>
        <w:softHyphen/>
        <w:t>сионных денег в обращении, связанных с финансированием на</w:t>
      </w:r>
      <w:r w:rsidRPr="00F90EAE">
        <w:rPr>
          <w:color w:val="000000" w:themeColor="text1"/>
          <w:sz w:val="16"/>
          <w:szCs w:val="16"/>
        </w:rPr>
        <w:softHyphen/>
        <w:t>родного хозяйства, по нашему мнению, в действительности, был более значительным, чем его показывала официальная ста</w:t>
      </w:r>
      <w:r w:rsidRPr="00F90EAE">
        <w:rPr>
          <w:color w:val="000000" w:themeColor="text1"/>
          <w:sz w:val="16"/>
          <w:szCs w:val="16"/>
        </w:rPr>
        <w:softHyphen/>
        <w:t>тистика (1566).</w:t>
      </w:r>
    </w:p>
    <w:p w14:paraId="5FE10E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807258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13 июня 1945 года вышел приказ № 220с НКБ</w:t>
      </w:r>
    </w:p>
    <w:p w14:paraId="25371D5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ГКО от 5 июня 1945 года за № 8928:</w:t>
      </w:r>
    </w:p>
    <w:p w14:paraId="4E6E152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Организовать КБ по авиавыстрелу с опытным заводом для изготовления новых образцов и опытных партий авиавыстрелов.</w:t>
      </w:r>
    </w:p>
    <w:p w14:paraId="702F7FD7"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Присвоить № 398 вновь организованному КБ, подчинить 8 Гл. управлению. Помещение бывшего завода № 398 по Зацепе 21 (5795, 20-21).</w:t>
      </w:r>
    </w:p>
    <w:p w14:paraId="69485E2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850F2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года вышел приказ НКБ за № 220 во исполнение Постановления ГОКО за № 8928 от 5 июня 1945 года которым было основано ГСКБ-398.</w:t>
      </w:r>
    </w:p>
    <w:p w14:paraId="747528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момент организации перед ГСКБ ставились задачи по обработке новых образцов и модернизации существующих образцов боеприпасов для авиационного вооружения.</w:t>
      </w:r>
    </w:p>
    <w:p w14:paraId="4DA40D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ГСКБ-398 осуществляет отработку новых образцов боеприпасов и модернизацию существующих, предназначаемых для автоматических пушек калибра до 37 мм. Работы выполняются по договорам с ВВС, ГАУ и ВМФ.</w:t>
      </w:r>
    </w:p>
    <w:p w14:paraId="29AFEB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ГСКБ проводит НИР по изучению перспектив дальнейшего развития малокалиберного выстрела к автоматическим пушкам.</w:t>
      </w:r>
    </w:p>
    <w:p w14:paraId="5CEA26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Москва, Зацепа, д. 21</w:t>
      </w:r>
    </w:p>
    <w:p w14:paraId="1DE055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ГСКБ-398 организовано на базе вспомогательных помещений завода № 398 (9491).</w:t>
      </w:r>
    </w:p>
    <w:p w14:paraId="4241C752" w14:textId="77777777" w:rsidR="006103B3" w:rsidRPr="00F90EAE" w:rsidRDefault="006103B3" w:rsidP="00F90EAE">
      <w:pPr>
        <w:autoSpaceDE w:val="0"/>
        <w:autoSpaceDN w:val="0"/>
        <w:adjustRightInd w:val="0"/>
        <w:jc w:val="both"/>
        <w:rPr>
          <w:color w:val="000000" w:themeColor="text1"/>
          <w:sz w:val="16"/>
          <w:szCs w:val="16"/>
        </w:rPr>
      </w:pPr>
    </w:p>
    <w:p w14:paraId="708879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г. на базе завода создано КБ-398 (Завод № 398 НКОП, НКБ,</w:t>
      </w:r>
      <w:r w:rsidRPr="00F90EAE">
        <w:rPr>
          <w:smallCaps/>
          <w:color w:val="000000" w:themeColor="text1"/>
          <w:sz w:val="16"/>
          <w:szCs w:val="16"/>
        </w:rPr>
        <w:t xml:space="preserve"> цкб</w:t>
      </w:r>
      <w:r w:rsidRPr="00F90EAE">
        <w:rPr>
          <w:color w:val="000000" w:themeColor="text1"/>
          <w:sz w:val="16"/>
          <w:szCs w:val="16"/>
        </w:rPr>
        <w:t>-23 нкоп, гс</w:t>
      </w:r>
      <w:r w:rsidRPr="00F90EAE">
        <w:rPr>
          <w:smallCaps/>
          <w:color w:val="000000" w:themeColor="text1"/>
          <w:sz w:val="16"/>
          <w:szCs w:val="16"/>
        </w:rPr>
        <w:t xml:space="preserve"> кб</w:t>
      </w:r>
      <w:r w:rsidRPr="00F90EAE">
        <w:rPr>
          <w:color w:val="000000" w:themeColor="text1"/>
          <w:sz w:val="16"/>
          <w:szCs w:val="16"/>
        </w:rPr>
        <w:t>-23 нкоп, Специальное КБ НКТП, п/я 1354 /г. Москва 54 п/я 1354 «Пружина» (1942-43 г.)/).</w:t>
      </w:r>
    </w:p>
    <w:p w14:paraId="3EB255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 (04.1943 г.)- 733 ед.</w:t>
      </w:r>
    </w:p>
    <w:p w14:paraId="5A747E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Площадь (1943 г.): производственная- 4893 м</w:t>
      </w:r>
      <w:r w:rsidRPr="00F90EAE">
        <w:rPr>
          <w:color w:val="000000" w:themeColor="text1"/>
          <w:sz w:val="16"/>
          <w:szCs w:val="16"/>
          <w:vertAlign w:val="superscript"/>
        </w:rPr>
        <w:t>2</w:t>
      </w:r>
      <w:r w:rsidRPr="00F90EAE">
        <w:rPr>
          <w:color w:val="000000" w:themeColor="text1"/>
          <w:sz w:val="16"/>
          <w:szCs w:val="16"/>
        </w:rPr>
        <w:t>; вспомогательная- 1828 м</w:t>
      </w:r>
      <w:r w:rsidRPr="00F90EAE">
        <w:rPr>
          <w:color w:val="000000" w:themeColor="text1"/>
          <w:sz w:val="16"/>
          <w:szCs w:val="16"/>
          <w:vertAlign w:val="superscript"/>
        </w:rPr>
        <w:t>2</w:t>
      </w:r>
      <w:r w:rsidRPr="00F90EAE">
        <w:rPr>
          <w:color w:val="000000" w:themeColor="text1"/>
          <w:sz w:val="16"/>
          <w:szCs w:val="16"/>
        </w:rPr>
        <w:t>.</w:t>
      </w:r>
    </w:p>
    <w:p w14:paraId="421C4A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(09.1941 г.)- 634 чел., (12.1942 г.)- 2191 чел.</w:t>
      </w:r>
    </w:p>
    <w:p w14:paraId="5262BD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(07.1937 г.)- Карпов, (12.1942 г.)- Антонов, (04.1943 г.)- А. Волков.</w:t>
      </w:r>
    </w:p>
    <w:p w14:paraId="310DEA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директора (06.1937 г.)-</w:t>
      </w:r>
      <w:r w:rsidRPr="00F90EAE">
        <w:rPr>
          <w:iCs/>
          <w:color w:val="000000" w:themeColor="text1"/>
          <w:sz w:val="16"/>
          <w:szCs w:val="16"/>
        </w:rPr>
        <w:t xml:space="preserve"> Я.</w:t>
      </w:r>
      <w:r w:rsidRPr="00F90EAE">
        <w:rPr>
          <w:color w:val="000000" w:themeColor="text1"/>
          <w:sz w:val="16"/>
          <w:szCs w:val="16"/>
        </w:rPr>
        <w:t>Д. Савельев. Помощник директора по найму и увольнению (12.1942 г.)- Сердюков.</w:t>
      </w:r>
    </w:p>
    <w:p w14:paraId="7DEE6B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(06.1937 г.)- Я.Д. Савельев.</w:t>
      </w:r>
      <w:r w:rsidRPr="00F90EAE">
        <w:rPr>
          <w:color w:val="000000" w:themeColor="text1"/>
          <w:sz w:val="16"/>
          <w:szCs w:val="16"/>
          <w:vertAlign w:val="superscript"/>
        </w:rPr>
        <w:t>139</w:t>
      </w:r>
    </w:p>
    <w:p w14:paraId="3EA16E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планово-экономического (04.1943 г.)- Кисляк; ОТК (1941-44 г.)- А.С. Егоров-Кузьмин.</w:t>
      </w:r>
      <w:r w:rsidRPr="00F90EAE">
        <w:rPr>
          <w:color w:val="000000" w:themeColor="text1"/>
          <w:sz w:val="16"/>
          <w:szCs w:val="16"/>
          <w:vertAlign w:val="superscript"/>
        </w:rPr>
        <w:t>130</w:t>
      </w:r>
    </w:p>
    <w:p w14:paraId="52078A37"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трубки ВМ-7, ВМ-16 (-1941); К-6, МП-82 (1943).</w:t>
      </w:r>
      <w:r w:rsidRPr="00F90EAE">
        <w:rPr>
          <w:color w:val="000000" w:themeColor="text1"/>
          <w:sz w:val="16"/>
          <w:szCs w:val="16"/>
          <w:vertAlign w:val="superscript"/>
        </w:rPr>
        <w:t>132</w:t>
      </w:r>
    </w:p>
    <w:p w14:paraId="064E41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КБ-398, ГСКБ-398 МСХМ, МОП, НИИ приборов (НИИП), НПО «Прибор», ГНПП «Прибор», Московский научно-производственный комплекс (МНПК) «Прибор», ГУП «ФНПЦ «Прибор» Росбоеприпаса /117519  г. Москва ул. Кировоградская, 1 тел. 311-07-90/</w:t>
      </w:r>
    </w:p>
    <w:p w14:paraId="032992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КБ-398 по взрывателям создано на базе опытного завода № 398 НКБ по приказу от 13.06.1945 г. В 1947 г. получило статус ГС КБ-398. Работы по снарядам (взрывателям для них) для авиапушек НС-23, Н-37 и др.</w:t>
      </w:r>
    </w:p>
    <w:p w14:paraId="6CD8EF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1947 г. ГСКБ-398 передан завод № 548 в качестве опытного производства для сборки опытных партий боеприпасов. В том же году по приказу Министерства автотракторной промышленности № 425 завод № 548 преобразован в НЗТА.</w:t>
      </w:r>
    </w:p>
    <w:p w14:paraId="597970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1962 г. ГСКБ-398 преобразовано в НИИП. В 1977 г. на базе НИИП и его Ногинского филиала создано НПО «Прибор». В 1982 г. преобразовано в ГНПП «Прибор. Пост, правительства от 1.07.1998 г. присвоен статус ФНПЦ «Прибор». По приказу МЭ № 428 от 4.11.1998 г. предприятие получило название ГУП «ФНПЦ «Прибор».</w:t>
      </w:r>
    </w:p>
    <w:p w14:paraId="22E861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ФНПЦ «Прибор» имел несколько филиалов. При ФНПЦ в 2000 г. создан Координационный НТС.</w:t>
      </w:r>
    </w:p>
    <w:p w14:paraId="47F80C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правительства № 713 от 11.10.2001 г. на базе ФНПЦ «Прибор», как головной организации планировалось создание Государственной научно-производственной корпорации «Малокалиберный выстрел».</w:t>
      </w:r>
    </w:p>
    <w:p w14:paraId="120299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и производство (2002-05 г.): боеприпасы нового поколения; кислородные газогенераторы; лазерное оборудование; минизаводы для пищевой промышленности, оборудование для вакуумной упаковки; медоборудование; модернизация существующих боеприпасов. В 2000-е  г. велась разработка лазерных скальпелей. Руководитель проекта (2005 г.)- В. Тищенко.</w:t>
      </w:r>
    </w:p>
    <w:p w14:paraId="08C6C7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Головной разработчик (2005 г.) артиллерийских боеприпасов к автоматическим пушечным комплексам вооружения ВВС, Сухопутных войск и ВМФ, выстрелов для подствольных и автоматических гранатометов.</w:t>
      </w:r>
    </w:p>
    <w:p w14:paraId="4CD775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CD8F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2005 г. создано и сдано в серию более 100 видов боеприпасов к артсистемам калибра 20, 23, 25, 30 и 37 мм.</w:t>
      </w:r>
    </w:p>
    <w:p w14:paraId="690932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А.А. Бобровский, (1960-70 г.)- А.П. Артамонов, (1970-90 г.)- С.С. Голембиовский. Гендиректор (1990-2005 г.-&gt; О.Т. Чижевский.</w:t>
      </w:r>
    </w:p>
    <w:p w14:paraId="20F636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(2005 г.)- О.Т. Чижевский.</w:t>
      </w:r>
    </w:p>
    <w:p w14:paraId="2095DE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(начало 1950-х  г.)- А.А. Бобровский (гл. инженер ГУ по взрывателям в НКБ).</w:t>
      </w:r>
      <w:r w:rsidRPr="00F90EAE">
        <w:rPr>
          <w:color w:val="000000" w:themeColor="text1"/>
          <w:sz w:val="16"/>
          <w:szCs w:val="16"/>
          <w:vertAlign w:val="superscript"/>
        </w:rPr>
        <w:t>101</w:t>
      </w:r>
    </w:p>
    <w:p w14:paraId="307E68AC"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патроны: к авиапушкам калибра 23 и 37 мм, 30-мм АО-18, ЗУОФ7 к ЗУ-23 (2004);</w:t>
      </w:r>
      <w:r w:rsidRPr="00F90EAE">
        <w:rPr>
          <w:iCs/>
          <w:color w:val="000000" w:themeColor="text1"/>
          <w:sz w:val="16"/>
          <w:szCs w:val="16"/>
        </w:rPr>
        <w:t xml:space="preserve"> выстрелы для гранатометов:</w:t>
      </w:r>
      <w:r w:rsidRPr="00F90EAE">
        <w:rPr>
          <w:color w:val="000000" w:themeColor="text1"/>
          <w:sz w:val="16"/>
          <w:szCs w:val="16"/>
        </w:rPr>
        <w:t xml:space="preserve"> 7П17 к ГП-25 (2004), ВОГ-17, ВОГ-25, ВОГ-25П, -25М, -25ПМ, ВОГ-ЗО, практический 7П44У; лазерный скальпель «Лазон-10-П» (11982).</w:t>
      </w:r>
    </w:p>
    <w:p w14:paraId="7C825E81" w14:textId="77777777" w:rsidR="006103B3" w:rsidRPr="00F90EAE" w:rsidRDefault="006103B3" w:rsidP="00F90EAE">
      <w:pPr>
        <w:autoSpaceDE w:val="0"/>
        <w:autoSpaceDN w:val="0"/>
        <w:adjustRightInd w:val="0"/>
        <w:jc w:val="both"/>
        <w:rPr>
          <w:color w:val="000000" w:themeColor="text1"/>
          <w:sz w:val="16"/>
          <w:szCs w:val="16"/>
        </w:rPr>
      </w:pPr>
    </w:p>
    <w:p w14:paraId="30707AC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13 июня 1945 г. был организован Ленинградский филиал СКБ НКСП (с 1949 г.- НИИ-303 МСП). </w:t>
      </w:r>
    </w:p>
    <w:p w14:paraId="66228D70" w14:textId="77777777" w:rsidR="006103B3" w:rsidRPr="00F90EAE" w:rsidRDefault="006103B3" w:rsidP="00F90EAE">
      <w:pPr>
        <w:autoSpaceDE w:val="0"/>
        <w:autoSpaceDN w:val="0"/>
        <w:adjustRightInd w:val="0"/>
        <w:jc w:val="both"/>
        <w:rPr>
          <w:iCs/>
          <w:color w:val="000000" w:themeColor="text1"/>
          <w:sz w:val="16"/>
          <w:szCs w:val="16"/>
        </w:rPr>
      </w:pPr>
    </w:p>
    <w:p w14:paraId="5698F2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г. был организован Ленинградский филиал СКБ НКСП для решения задач высокоточной морской навигации. Основу коллектива составили работники военно-морской части завода «Электроприбор». В 1949 г. филиал преобразован в самостоятельный НИИ-303 МСП (НИИ-303 ГКС, ГКРЭ, МСП, Ленинградский филиал СКБ НКСП, ЦНИИ «Электроприбор», ФГУП ГНЦ РФ «ЦНИИ «Электроприбор» /197046  г. Ленинград ул. Братьев Васильевых/ /197046  г. Санкт-Петербург ул. М. Посадская, 30 тел. 232-59-15/). С 1953 г.- разработка навигационной аппаратуры для АПЛ.</w:t>
      </w:r>
    </w:p>
    <w:p w14:paraId="449D14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гироскопов: с начала 1950-х  г._ - на аэродинамическом подвесе для НК 2-го поколения; с электростатическим подвесом -сферического ротора (ЭСГ) для НК 3-го поколения; с магнитно-резонансным подвесом сферического ротора (МСГ) для НК 4-го поколения (1980-е-90-е); волоконно-оптических (ВОГ) для БИНС (1990-е); лазерных гироскопов.</w:t>
      </w:r>
    </w:p>
    <w:p w14:paraId="591591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Работы: по КР П-20; по НК 1-го поколения для кораблей и ПЛ (1950-60-е  г., В.И. Маслевский); НК 2-го и 3-го поколения (1970-е-80-е).</w:t>
      </w:r>
    </w:p>
    <w:p w14:paraId="2B742B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1957 г. в состав института в качестве опытного завода включен завод «Электроприбор». В 1966 г. НИИ-303 переименован в ЦНИИ «Электроприбор». Для производства гироскопов был построен филиал института в Гатчине.</w:t>
      </w:r>
    </w:p>
    <w:p w14:paraId="22B51F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Находился в ведении ГКС, затем передан в ГКРЭ. В 1974 г. на базе института образовано Ленинградское НПО «Азимут». В 1991 г. НПО расформировано, институт вновь стал самостоятельным.</w:t>
      </w:r>
    </w:p>
    <w:p w14:paraId="197A91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Институтом создано 4 поколения навигационных комплексов (НК) для ПЛ более чем 30 проектов; инерциальные навигационные системы (ИНС); радиоастрооптические навигационные системы (РАНК), не имевшие аналогов в мире; бескарданные ИНС (БИНС). Разработаны системы: управления вооружением кораблей; гироскопической стабилизации; управления движением экранопланов, СПК и СВП; морские радиоастрономические и гравиметрические; прецизионная система ориентации ИСЗ.</w:t>
      </w:r>
    </w:p>
    <w:p w14:paraId="0E2397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068537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1998 г. бывший опытный завод «Электроприбор» стал дочерним предприятием ФГУП «ЦНИИ «Электроприбор» - «Азимут-Электроприбор». Имел Гатчинский филиал (2002 г.). В 2002 г. в состав ЦНИИ в качестве ИТЦ вошло ГУП «КБ «Связьморпроект».</w:t>
      </w:r>
    </w:p>
    <w:p w14:paraId="3FBD50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составе института (2005 г.): опытное производство; научно-технологический гироскопический комплекс; ИТЦ «КБ «Связьморпроект» с производством и испытательным центром; ипытательная база.</w:t>
      </w:r>
    </w:p>
    <w:p w14:paraId="5CBCE3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Работы (2005 г.): прецизионный свободный гироскоп с электростатическим подвесом ротора и инерциальные НС на его основе; высокоточный управляемый гироскоп с магниторезонансным подвесом ротора и НС на его основе (не имеет аналогов в мире); перископные радиоастрооптические НС (не имеют аналогов в мире); высокостабильные морские гидрографичекие и навигационные гравиметры; интегрированная спутниково- инерциальная НС; мобильный аэроморской гравиметр; медтехника (прецизионный нейрохирургический стереотаксический манипулятор).</w:t>
      </w:r>
      <w:r w:rsidRPr="00F90EAE">
        <w:rPr>
          <w:color w:val="000000" w:themeColor="text1"/>
          <w:sz w:val="16"/>
          <w:szCs w:val="16"/>
          <w:vertAlign w:val="superscript"/>
        </w:rPr>
        <w:t>101</w:t>
      </w:r>
    </w:p>
    <w:p w14:paraId="557237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Директор (1945-77 г.)- В.М. Грибов, (1980-е-2005 г.-)- академик В. Г. Пешехонов.</w:t>
      </w:r>
    </w:p>
    <w:p w14:paraId="19B867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1-й зам. директора (1945-78 г.)- С.Ф. Фармаковский.</w:t>
      </w:r>
    </w:p>
    <w:p w14:paraId="525E637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В.И. Маслевский.</w:t>
      </w:r>
    </w:p>
    <w:p w14:paraId="0A1B66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(1950-е)- С.Ф. Фармаковский (Север-А644У), (1964 г.)- А. Г. Пинчук (МПП-315).</w:t>
      </w:r>
    </w:p>
    <w:p w14:paraId="5831C6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Ведущие конструкторы: (1960-е)- В.Б. Диомидов.</w:t>
      </w:r>
    </w:p>
    <w:p w14:paraId="08939E74"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Создано: НК:</w:t>
      </w:r>
      <w:r w:rsidRPr="00F90EAE">
        <w:rPr>
          <w:color w:val="000000" w:themeColor="text1"/>
          <w:sz w:val="16"/>
          <w:szCs w:val="16"/>
        </w:rPr>
        <w:t xml:space="preserve"> I поколения «Сила-Н» для АПЛ пр. 627 (пнв в 1962 г.), «Сигма», II поколения «Медведица» (1977), «Андромеда» для ТАРК, III поколения «Симфония», IV поколения «Апассионата-ЭКМ» для пр. 877ЭКМ, «Апассионата-ЭКМ.1» для пр. 636 (1997); системы ПУС: «Молния АЦ-68бис» для пр. 68бис (1947-49), для корабельной РСЗО С-39 (начало 1950-х); выносной индикатор МПП-315 для РЛС «Волга» (пнв в 1964 г.); СУ стрельбой «Север-А644У» для ПЛ пр. 644 (1950-е); гироазимут-горизонт для СУ стрельбой «Лев-214» (1976), гирогоризонт-компас «Зенит-СК» (2000-е); центральная система гиростабилизации «Надир» (1973); системы для экранопланов: пилотажной индикации и контроля координат движения «Гамма» для КМ (1960-е), стабилизации и демпфирования «изд. 127» (1960-е), автоматического управления движением «Смена-4» для пр. 904 (1974); инерциальный корректор на базе ЭСГ «Скандий»;</w:t>
      </w:r>
      <w:r w:rsidRPr="00F90EAE">
        <w:rPr>
          <w:iCs/>
          <w:color w:val="000000" w:themeColor="text1"/>
          <w:sz w:val="16"/>
          <w:szCs w:val="16"/>
        </w:rPr>
        <w:t xml:space="preserve"> ИНС:</w:t>
      </w:r>
      <w:r w:rsidRPr="00F90EAE">
        <w:rPr>
          <w:color w:val="000000" w:themeColor="text1"/>
          <w:sz w:val="16"/>
          <w:szCs w:val="16"/>
        </w:rPr>
        <w:t xml:space="preserve"> «Стрелец» (1977), «Алеут», «Ладога-МЭ» (1990-е), БИНС «Съемка-СИПК» (1990-е), спутниковая «Мининавигация» (1990-е); картографическая навигационная система «Маркер» (1990-е); всплывающее аварийное радионавигационное устройство «Надежда» для ПЛ (2004); унифицированный перископный комплекс УПК, его экспортный вариант «Парус-98Э» (2000-е); комплекс средств связи: для БРК «Бал-Э», «Дистанция-Э»; СУ системы электродвижения ПЛ СУ СЭД-1 (2000-е); мобильный морской гравиметр «Чекан-АМ» (1990-е); гироскопический ориентатор для КА «Космос-4», система измерения микроускорений «Синус» для КА «Фотон», гироскопический командный прибор для системы ориентации КА, блок перенацеливания и сканирования со следящей системой для оптического телескопа КА, система управления астрономического телескопа СОДАРТ (2002);</w:t>
      </w:r>
      <w:r w:rsidRPr="00F90EAE">
        <w:rPr>
          <w:color w:val="000000" w:themeColor="text1"/>
          <w:sz w:val="16"/>
          <w:szCs w:val="16"/>
          <w:vertAlign w:val="superscript"/>
        </w:rPr>
        <w:t>69</w:t>
      </w:r>
      <w:r w:rsidRPr="00F90EAE">
        <w:rPr>
          <w:color w:val="000000" w:themeColor="text1"/>
          <w:sz w:val="16"/>
          <w:szCs w:val="16"/>
        </w:rPr>
        <w:t xml:space="preserve"> стереотаксический манипулятор для операций на головном мозге (2000-е); ветроэнергетические установки малой мощности (2000-е).</w:t>
      </w:r>
    </w:p>
    <w:p w14:paraId="223272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Гатчинский филиал ЦНИИ «Электроприбор» /188350  г. Гатчина Ленинградской обл. Промзона тел. 21-984/</w:t>
      </w:r>
    </w:p>
    <w:p w14:paraId="0455DE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Создан для производства гироскопов.</w:t>
      </w:r>
    </w:p>
    <w:p w14:paraId="6D3B8D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Разработка и производство (2002 г.): гироскопы, акселерометры.</w:t>
      </w:r>
    </w:p>
    <w:p w14:paraId="20B3EC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(2002 г.)- А.А. Смолов.</w:t>
      </w:r>
      <w:r w:rsidRPr="00F90EAE">
        <w:rPr>
          <w:color w:val="000000" w:themeColor="text1"/>
          <w:sz w:val="16"/>
          <w:szCs w:val="16"/>
          <w:vertAlign w:val="superscript"/>
        </w:rPr>
        <w:t xml:space="preserve">69 </w:t>
      </w:r>
      <w:r w:rsidRPr="00F90EAE">
        <w:rPr>
          <w:color w:val="000000" w:themeColor="text1"/>
          <w:sz w:val="16"/>
          <w:szCs w:val="16"/>
        </w:rPr>
        <w:t>КБ «Связьморпроект», ГУП «КБ «Связьморпроект» МСП, Инженерно-технический центр (ИТЦ)</w:t>
      </w:r>
    </w:p>
    <w:p w14:paraId="317EA3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«КБ «Связьморпроект»</w:t>
      </w:r>
    </w:p>
    <w:p w14:paraId="6258A2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Создано в 1935 г. Разработка корабельных антенн всех типов.</w:t>
      </w:r>
    </w:p>
    <w:p w14:paraId="7D6C11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01.2002 г. в качестве ИТЦ вошло в состав ЦНИИ «Электроприбор».</w:t>
      </w:r>
    </w:p>
    <w:p w14:paraId="35DEF4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Создана аппаратура внутрикорабельной безбатарейной телефонной связи для ПЛ (2000-е).</w:t>
      </w:r>
    </w:p>
    <w:p w14:paraId="454A75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(1949 г.)-  Г. Г. Власов.</w:t>
      </w:r>
    </w:p>
    <w:p w14:paraId="5487EC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Ленинградское НПО «Азимут» МСП</w:t>
      </w:r>
    </w:p>
    <w:p w14:paraId="7D8143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Ленинградское НПО «Азимут» образовано в 1974 г. на базе ЦНИИ «Электроприбор», в его состав вошел также завод «Электроприбор». В 1991 г. НПО расформировано.</w:t>
      </w:r>
    </w:p>
    <w:p w14:paraId="62F54373" w14:textId="77777777" w:rsidR="006103B3" w:rsidRPr="00F90EAE" w:rsidRDefault="006103B3" w:rsidP="00F90EAE">
      <w:pPr>
        <w:tabs>
          <w:tab w:val="left" w:pos="9127"/>
        </w:tabs>
        <w:autoSpaceDE w:val="0"/>
        <w:autoSpaceDN w:val="0"/>
        <w:adjustRightInd w:val="0"/>
        <w:jc w:val="both"/>
        <w:rPr>
          <w:color w:val="000000" w:themeColor="text1"/>
          <w:sz w:val="16"/>
          <w:szCs w:val="16"/>
        </w:rPr>
      </w:pPr>
      <w:r w:rsidRPr="00F90EAE">
        <w:rPr>
          <w:color w:val="000000" w:themeColor="text1"/>
          <w:sz w:val="16"/>
          <w:szCs w:val="16"/>
        </w:rPr>
        <w:t>Созданы приборы управления стрельбой для РПК-5 «Ливень» (1970-е).</w:t>
      </w:r>
    </w:p>
    <w:p w14:paraId="76297F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ОАО «Концерн «ЦНИИ «Электроприбор»</w:t>
      </w:r>
    </w:p>
    <w:p w14:paraId="311899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Концерн создан по Указу Президента РФ от 22.03.2007 г. на базе ЦНИИ «Электроприбор». В его состав вошло также ОАО «АПЗ «Ротор» ( г. Барнаул) (11982).</w:t>
      </w:r>
    </w:p>
    <w:p w14:paraId="17D75F17" w14:textId="77777777" w:rsidR="006103B3" w:rsidRPr="00F90EAE" w:rsidRDefault="006103B3" w:rsidP="00F90EAE">
      <w:pPr>
        <w:autoSpaceDE w:val="0"/>
        <w:autoSpaceDN w:val="0"/>
        <w:adjustRightInd w:val="0"/>
        <w:jc w:val="both"/>
        <w:rPr>
          <w:color w:val="000000" w:themeColor="text1"/>
          <w:sz w:val="16"/>
          <w:szCs w:val="16"/>
        </w:rPr>
      </w:pPr>
    </w:p>
    <w:p w14:paraId="3C67BE56" w14:textId="77777777" w:rsidR="00B147AB" w:rsidRPr="00F90EAE" w:rsidRDefault="00B147AB"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2FDBFEE" w14:textId="77777777" w:rsidR="00B147AB" w:rsidRPr="00F90EAE" w:rsidRDefault="00B147AB" w:rsidP="00F90EAE">
      <w:pPr>
        <w:autoSpaceDE w:val="0"/>
        <w:autoSpaceDN w:val="0"/>
        <w:adjustRightInd w:val="0"/>
        <w:jc w:val="both"/>
        <w:rPr>
          <w:iCs/>
          <w:color w:val="000000" w:themeColor="text1"/>
          <w:sz w:val="16"/>
          <w:szCs w:val="16"/>
        </w:rPr>
      </w:pPr>
    </w:p>
    <w:p w14:paraId="0BB913BC" w14:textId="77777777" w:rsidR="00B147AB" w:rsidRPr="00F90EAE" w:rsidRDefault="00B147AB" w:rsidP="00F90EAE">
      <w:pPr>
        <w:jc w:val="both"/>
        <w:rPr>
          <w:color w:val="000000" w:themeColor="text1"/>
          <w:sz w:val="16"/>
          <w:szCs w:val="16"/>
        </w:rPr>
      </w:pPr>
      <w:r w:rsidRPr="00F90EAE">
        <w:rPr>
          <w:color w:val="000000" w:themeColor="text1"/>
          <w:sz w:val="16"/>
          <w:szCs w:val="16"/>
        </w:rPr>
        <w:t>13 июня 1945 г. была записка ЦСУ в Правительство, согласно которым главным источником финансирования военных расходов на переломном этапе войны в 1943 г. были: накопления государственных предприятий и организаций и их амортизационные отчисления (свыше 100 млрд. руб.), размещение займов среди населения и их добровольные взносы (около 25 млрд. руб.), налоги (30 млрд. руб.) и эмиссия (11,5 млрд. руб.). Дополнительным источником покрытия военных расходов (помимо эмиссии, которая в общем объеме финансовых ресурсов составляла не более 5%) являлось повышение цен на товары широкого потребления государственной розничной торговли, которое (по некоторым сведениям) составило не менее 30 млрд. руб. &lt;1&gt;. Хотя, по официальным данным, розничные цены государственной и кооперативной торговли были повышены лишь на спиртные напитки и табачные изделия; нормированное снабжение населения продовольствием и промышленными товарами производилось в основном по низким довоенным ценам.</w:t>
      </w:r>
    </w:p>
    <w:p w14:paraId="5636D9F4" w14:textId="77777777" w:rsidR="00B147AB" w:rsidRPr="00F90EAE" w:rsidRDefault="00B147AB" w:rsidP="00F90EAE">
      <w:pPr>
        <w:jc w:val="both"/>
        <w:rPr>
          <w:color w:val="000000" w:themeColor="text1"/>
          <w:sz w:val="16"/>
          <w:szCs w:val="16"/>
        </w:rPr>
      </w:pPr>
      <w:r w:rsidRPr="00F90EAE">
        <w:rPr>
          <w:color w:val="000000" w:themeColor="text1"/>
          <w:sz w:val="16"/>
          <w:szCs w:val="16"/>
        </w:rPr>
        <w:t>В 1943 г. военные расходы СССР составили около 150 млрд. руб., или 36% национального дохода. С учетом строительства и реконструкции военных заводов общая сумма всех затрат измерялась в сумме 220 млрд. руб., или 52,2% от величины национального дохода, рассчитанной в действующих ценах (18390).</w:t>
      </w:r>
    </w:p>
    <w:p w14:paraId="11544A7F" w14:textId="77777777" w:rsidR="00B147AB" w:rsidRPr="00F90EAE" w:rsidRDefault="00B147AB" w:rsidP="00F90EAE">
      <w:pPr>
        <w:jc w:val="both"/>
        <w:rPr>
          <w:color w:val="000000" w:themeColor="text1"/>
          <w:sz w:val="16"/>
          <w:szCs w:val="16"/>
        </w:rPr>
      </w:pPr>
    </w:p>
    <w:p w14:paraId="69BAB058" w14:textId="77777777" w:rsidR="006103B3"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3A0C0160" w14:textId="77777777" w:rsidR="006103B3" w:rsidRPr="00F90EAE" w:rsidRDefault="006103B3" w:rsidP="00F90EAE">
      <w:pPr>
        <w:autoSpaceDE w:val="0"/>
        <w:autoSpaceDN w:val="0"/>
        <w:adjustRightInd w:val="0"/>
        <w:jc w:val="both"/>
        <w:rPr>
          <w:iCs/>
          <w:color w:val="000000" w:themeColor="text1"/>
          <w:sz w:val="16"/>
          <w:szCs w:val="16"/>
          <w:lang w:val="en-US"/>
        </w:rPr>
      </w:pPr>
    </w:p>
    <w:p w14:paraId="799D9ECE"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13 1945 A ramjet engine produced power in supersonic flight in a test conducted by the Applied Physics Laboratory at Island Beach, N.J. The ramjet unit was launched by a booster of four 5-inch high velocity aircraft rockets and achieved a range of 11,000 yards, nearly double that of similarly launched, cold units (1090).</w:t>
      </w:r>
    </w:p>
    <w:p w14:paraId="2EE24A5C" w14:textId="77777777" w:rsidR="006103B3" w:rsidRPr="00F90EAE" w:rsidRDefault="006103B3" w:rsidP="00F90EAE">
      <w:pPr>
        <w:autoSpaceDE w:val="0"/>
        <w:autoSpaceDN w:val="0"/>
        <w:adjustRightInd w:val="0"/>
        <w:jc w:val="both"/>
        <w:rPr>
          <w:color w:val="000000" w:themeColor="text1"/>
          <w:sz w:val="16"/>
          <w:szCs w:val="16"/>
          <w:lang w:val="en-US"/>
        </w:rPr>
      </w:pPr>
    </w:p>
    <w:p w14:paraId="3A4B79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июня 1945 прямоточный двигатель развил в США скорость, равную 2-м скоростям звука (1090).</w:t>
      </w:r>
    </w:p>
    <w:p w14:paraId="7C7841B3" w14:textId="77777777" w:rsidR="006103B3" w:rsidRPr="00F90EAE" w:rsidRDefault="006103B3" w:rsidP="00F90EAE">
      <w:pPr>
        <w:autoSpaceDE w:val="0"/>
        <w:autoSpaceDN w:val="0"/>
        <w:adjustRightInd w:val="0"/>
        <w:jc w:val="both"/>
        <w:rPr>
          <w:color w:val="000000" w:themeColor="text1"/>
          <w:sz w:val="16"/>
          <w:szCs w:val="16"/>
        </w:rPr>
      </w:pPr>
    </w:p>
    <w:p w14:paraId="2C7D76F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44A0D8A" w14:textId="77777777" w:rsidR="006103B3" w:rsidRPr="00F90EAE" w:rsidRDefault="006103B3" w:rsidP="00F90EAE">
      <w:pPr>
        <w:autoSpaceDE w:val="0"/>
        <w:autoSpaceDN w:val="0"/>
        <w:adjustRightInd w:val="0"/>
        <w:jc w:val="both"/>
        <w:rPr>
          <w:iCs/>
          <w:color w:val="000000" w:themeColor="text1"/>
          <w:sz w:val="16"/>
          <w:szCs w:val="16"/>
        </w:rPr>
      </w:pPr>
    </w:p>
    <w:p w14:paraId="07F654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14 июня 1945 г. в письме ко</w:t>
      </w:r>
      <w:r w:rsidRPr="00F90EAE">
        <w:rPr>
          <w:color w:val="000000" w:themeColor="text1"/>
          <w:sz w:val="16"/>
          <w:szCs w:val="16"/>
        </w:rPr>
        <w:softHyphen/>
        <w:t>мандира 1-й запасной штурмовой авиабригады генерал-майора А. И. Подольского директору завода № 24 М. С. Жезлову отмечалось, что: «...пред</w:t>
      </w:r>
      <w:r w:rsidRPr="00F90EAE">
        <w:rPr>
          <w:color w:val="000000" w:themeColor="text1"/>
          <w:sz w:val="16"/>
          <w:szCs w:val="16"/>
        </w:rPr>
        <w:softHyphen/>
        <w:t>ставители завода запутывают рас</w:t>
      </w:r>
      <w:r w:rsidRPr="00F90EAE">
        <w:rPr>
          <w:color w:val="000000" w:themeColor="text1"/>
          <w:sz w:val="16"/>
          <w:szCs w:val="16"/>
        </w:rPr>
        <w:softHyphen/>
        <w:t>следования причин отказов мото</w:t>
      </w:r>
      <w:r w:rsidRPr="00F90EAE">
        <w:rPr>
          <w:color w:val="000000" w:themeColor="text1"/>
          <w:sz w:val="16"/>
          <w:szCs w:val="16"/>
        </w:rPr>
        <w:softHyphen/>
        <w:t>ров, а значит, стремятся замазать их.Расследования затягиваются на полгода и более. Такое «расследо</w:t>
      </w:r>
      <w:r w:rsidRPr="00F90EAE">
        <w:rPr>
          <w:color w:val="000000" w:themeColor="text1"/>
          <w:sz w:val="16"/>
          <w:szCs w:val="16"/>
        </w:rPr>
        <w:softHyphen/>
        <w:t>вание» не может предупредить вовремя повторение летных про</w:t>
      </w:r>
      <w:r w:rsidRPr="00F90EAE">
        <w:rPr>
          <w:color w:val="000000" w:themeColor="text1"/>
          <w:sz w:val="16"/>
          <w:szCs w:val="16"/>
        </w:rPr>
        <w:softHyphen/>
        <w:t>исшествий по тем же причинам.За</w:t>
      </w:r>
      <w:r w:rsidRPr="00F90EAE">
        <w:rPr>
          <w:color w:val="000000" w:themeColor="text1"/>
          <w:sz w:val="16"/>
          <w:szCs w:val="16"/>
        </w:rPr>
        <w:softHyphen/>
        <w:t>вязывается бессмысленная пере</w:t>
      </w:r>
      <w:r w:rsidRPr="00F90EAE">
        <w:rPr>
          <w:color w:val="000000" w:themeColor="text1"/>
          <w:sz w:val="16"/>
          <w:szCs w:val="16"/>
        </w:rPr>
        <w:softHyphen/>
        <w:t>писка, в результате которой все же Вам приходиться признавать вину за заводом. Нелогичность «осо</w:t>
      </w:r>
      <w:r w:rsidRPr="00F90EAE">
        <w:rPr>
          <w:color w:val="000000" w:themeColor="text1"/>
          <w:sz w:val="16"/>
          <w:szCs w:val="16"/>
        </w:rPr>
        <w:softHyphen/>
        <w:t>бых» мнений и отсутствие в них обо</w:t>
      </w:r>
      <w:r w:rsidRPr="00F90EAE">
        <w:rPr>
          <w:color w:val="000000" w:themeColor="text1"/>
          <w:sz w:val="16"/>
          <w:szCs w:val="16"/>
        </w:rPr>
        <w:softHyphen/>
        <w:t>снования говорит о чрезвычайно низкой технической грамотности представителей завода, работаю</w:t>
      </w:r>
      <w:r w:rsidRPr="00F90EAE">
        <w:rPr>
          <w:color w:val="000000" w:themeColor="text1"/>
          <w:sz w:val="16"/>
          <w:szCs w:val="16"/>
        </w:rPr>
        <w:softHyphen/>
        <w:t>щих в бригаде...» (11132). Забегая вперед, укажем, что до</w:t>
      </w:r>
      <w:r w:rsidRPr="00F90EAE">
        <w:rPr>
          <w:color w:val="000000" w:themeColor="text1"/>
          <w:sz w:val="16"/>
          <w:szCs w:val="16"/>
        </w:rPr>
        <w:softHyphen/>
        <w:t>водка АМ-42 затянулась фактически до середины 1947 г., когда были внесены кардинальные изменения в его конструкцию, после чего мо</w:t>
      </w:r>
      <w:r w:rsidRPr="00F90EAE">
        <w:rPr>
          <w:color w:val="000000" w:themeColor="text1"/>
          <w:sz w:val="16"/>
          <w:szCs w:val="16"/>
        </w:rPr>
        <w:softHyphen/>
        <w:t>тор стал нормально работать. А до этого времени, недостаточная его надежность определяла и доволь</w:t>
      </w:r>
      <w:r w:rsidRPr="00F90EAE">
        <w:rPr>
          <w:color w:val="000000" w:themeColor="text1"/>
          <w:sz w:val="16"/>
          <w:szCs w:val="16"/>
        </w:rPr>
        <w:softHyphen/>
        <w:t>но высокую аварийность в частях ВВС. Например, в феврале-марте 1946 г. в частях 10-й гшад произо</w:t>
      </w:r>
      <w:r w:rsidRPr="00F90EAE">
        <w:rPr>
          <w:color w:val="000000" w:themeColor="text1"/>
          <w:sz w:val="16"/>
          <w:szCs w:val="16"/>
        </w:rPr>
        <w:softHyphen/>
        <w:t>шел массовый выход из строя мото</w:t>
      </w:r>
      <w:r w:rsidRPr="00F90EAE">
        <w:rPr>
          <w:color w:val="000000" w:themeColor="text1"/>
          <w:sz w:val="16"/>
          <w:szCs w:val="16"/>
        </w:rPr>
        <w:softHyphen/>
        <w:t>ров АМ-42, что привело к многочис</w:t>
      </w:r>
      <w:r w:rsidRPr="00F90EAE">
        <w:rPr>
          <w:color w:val="000000" w:themeColor="text1"/>
          <w:sz w:val="16"/>
          <w:szCs w:val="16"/>
        </w:rPr>
        <w:softHyphen/>
        <w:t>ленным авариям и даже катастро</w:t>
      </w:r>
      <w:r w:rsidRPr="00F90EAE">
        <w:rPr>
          <w:color w:val="000000" w:themeColor="text1"/>
          <w:sz w:val="16"/>
          <w:szCs w:val="16"/>
        </w:rPr>
        <w:softHyphen/>
        <w:t>фам. В конце 1946 г. при перегонке в части авиации ВМФ 40 Ил-10 из-за мотора произошло три аварии...(11132).</w:t>
      </w:r>
    </w:p>
    <w:p w14:paraId="100A20E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F9CB34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14 июня 1945 г. в письме командира 1-й запасной штурмовой авиабригады генерал-майора А. И. Подольского директору завода № 24 М. С. Жезлову от отмечалось, что: </w:t>
      </w:r>
      <w:r w:rsidRPr="00F90EAE">
        <w:rPr>
          <w:iCs/>
          <w:color w:val="000000" w:themeColor="text1"/>
          <w:sz w:val="16"/>
          <w:szCs w:val="16"/>
        </w:rPr>
        <w:t>"...представители завода запу</w:t>
      </w:r>
      <w:r w:rsidRPr="00F90EAE">
        <w:rPr>
          <w:iCs/>
          <w:color w:val="000000" w:themeColor="text1"/>
          <w:sz w:val="16"/>
          <w:szCs w:val="16"/>
        </w:rPr>
        <w:softHyphen/>
        <w:t>тывают расследования причин отка</w:t>
      </w:r>
      <w:r w:rsidRPr="00F90EAE">
        <w:rPr>
          <w:iCs/>
          <w:color w:val="000000" w:themeColor="text1"/>
          <w:sz w:val="16"/>
          <w:szCs w:val="16"/>
        </w:rPr>
        <w:softHyphen/>
        <w:t>зов моторов, а значит, стремятся за</w:t>
      </w:r>
      <w:r w:rsidRPr="00F90EAE">
        <w:rPr>
          <w:iCs/>
          <w:color w:val="000000" w:themeColor="text1"/>
          <w:sz w:val="16"/>
          <w:szCs w:val="16"/>
        </w:rPr>
        <w:softHyphen/>
        <w:t>мазать их. Расследования затягива</w:t>
      </w:r>
      <w:r w:rsidRPr="00F90EAE">
        <w:rPr>
          <w:iCs/>
          <w:color w:val="000000" w:themeColor="text1"/>
          <w:sz w:val="16"/>
          <w:szCs w:val="16"/>
        </w:rPr>
        <w:softHyphen/>
        <w:t>ются на полгода и более. Такое "рас</w:t>
      </w:r>
      <w:r w:rsidRPr="00F90EAE">
        <w:rPr>
          <w:iCs/>
          <w:color w:val="000000" w:themeColor="text1"/>
          <w:sz w:val="16"/>
          <w:szCs w:val="16"/>
        </w:rPr>
        <w:softHyphen/>
        <w:t>следование" не может предупредить вовремя повторение летных проис</w:t>
      </w:r>
      <w:r w:rsidRPr="00F90EAE">
        <w:rPr>
          <w:iCs/>
          <w:color w:val="000000" w:themeColor="text1"/>
          <w:sz w:val="16"/>
          <w:szCs w:val="16"/>
        </w:rPr>
        <w:softHyphen/>
        <w:t>шествий по тем же причинам. Завя</w:t>
      </w:r>
      <w:r w:rsidRPr="00F90EAE">
        <w:rPr>
          <w:iCs/>
          <w:color w:val="000000" w:themeColor="text1"/>
          <w:sz w:val="16"/>
          <w:szCs w:val="16"/>
        </w:rPr>
        <w:softHyphen/>
        <w:t>зывается бессмысленная переписка, в результате которой все же Вам при</w:t>
      </w:r>
      <w:r w:rsidRPr="00F90EAE">
        <w:rPr>
          <w:iCs/>
          <w:color w:val="000000" w:themeColor="text1"/>
          <w:sz w:val="16"/>
          <w:szCs w:val="16"/>
        </w:rPr>
        <w:softHyphen/>
        <w:t>ходиться признавать вину за заво</w:t>
      </w:r>
      <w:r w:rsidRPr="00F90EAE">
        <w:rPr>
          <w:iCs/>
          <w:color w:val="000000" w:themeColor="text1"/>
          <w:sz w:val="16"/>
          <w:szCs w:val="16"/>
        </w:rPr>
        <w:softHyphen/>
        <w:t>дом. Нелогичность "особых" мнений и отсутствие в них обоснования го</w:t>
      </w:r>
      <w:r w:rsidRPr="00F90EAE">
        <w:rPr>
          <w:iCs/>
          <w:color w:val="000000" w:themeColor="text1"/>
          <w:sz w:val="16"/>
          <w:szCs w:val="16"/>
        </w:rPr>
        <w:softHyphen/>
        <w:t>ворит о чрезвычайно низкой техни</w:t>
      </w:r>
      <w:r w:rsidRPr="00F90EAE">
        <w:rPr>
          <w:iCs/>
          <w:color w:val="000000" w:themeColor="text1"/>
          <w:sz w:val="16"/>
          <w:szCs w:val="16"/>
        </w:rPr>
        <w:softHyphen/>
        <w:t>ческой грамотности представителей завода, работающих в бригаде..."</w:t>
      </w:r>
    </w:p>
    <w:p w14:paraId="69968C9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Забегая вперед, укажем, что до</w:t>
      </w:r>
      <w:r w:rsidRPr="00F90EAE">
        <w:rPr>
          <w:color w:val="000000" w:themeColor="text1"/>
          <w:sz w:val="16"/>
          <w:szCs w:val="16"/>
        </w:rPr>
        <w:softHyphen/>
        <w:t>водка АМ-42 затянулась фактически до середины 1947 г., когда были вне</w:t>
      </w:r>
      <w:r w:rsidRPr="00F90EAE">
        <w:rPr>
          <w:color w:val="000000" w:themeColor="text1"/>
          <w:sz w:val="16"/>
          <w:szCs w:val="16"/>
        </w:rPr>
        <w:softHyphen/>
        <w:t>сены кардинальные изменения в его конструкцию, после чего мотор стал нормально работать. А до этого вре</w:t>
      </w:r>
      <w:r w:rsidRPr="00F90EAE">
        <w:rPr>
          <w:color w:val="000000" w:themeColor="text1"/>
          <w:sz w:val="16"/>
          <w:szCs w:val="16"/>
        </w:rPr>
        <w:softHyphen/>
        <w:t>мени, недостаточная его надежность определяла и довольно высокую ава</w:t>
      </w:r>
      <w:r w:rsidRPr="00F90EAE">
        <w:rPr>
          <w:color w:val="000000" w:themeColor="text1"/>
          <w:sz w:val="16"/>
          <w:szCs w:val="16"/>
        </w:rPr>
        <w:softHyphen/>
        <w:t xml:space="preserve">рийность в частях ВВС. Например, в феврале-марте 1946 г. в частях 10-й </w:t>
      </w:r>
      <w:r w:rsidRPr="00F90EAE">
        <w:rPr>
          <w:iCs/>
          <w:color w:val="000000" w:themeColor="text1"/>
          <w:sz w:val="16"/>
          <w:szCs w:val="16"/>
        </w:rPr>
        <w:t xml:space="preserve">гшад </w:t>
      </w:r>
      <w:r w:rsidRPr="00F90EAE">
        <w:rPr>
          <w:color w:val="000000" w:themeColor="text1"/>
          <w:sz w:val="16"/>
          <w:szCs w:val="16"/>
        </w:rPr>
        <w:t>произошел массовый выход из строя моторов АМ-42, что привело к многочисленным авариям и даже катастрофам. В конце 1946 г. при перегонке в части авиации ВМФ 40 Ил-10 из-за мотора произошло три аварии...</w:t>
      </w:r>
    </w:p>
    <w:p w14:paraId="4F9BBE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Помимо проблем с мотором, се</w:t>
      </w:r>
      <w:r w:rsidRPr="00F90EAE">
        <w:rPr>
          <w:color w:val="000000" w:themeColor="text1"/>
          <w:sz w:val="16"/>
          <w:szCs w:val="16"/>
        </w:rPr>
        <w:softHyphen/>
        <w:t>рийные Ил-10 характеризовались и пониженными летными данными в сравнении с опытной машиной. Ут</w:t>
      </w:r>
      <w:r w:rsidRPr="00F90EAE">
        <w:rPr>
          <w:color w:val="000000" w:themeColor="text1"/>
          <w:sz w:val="16"/>
          <w:szCs w:val="16"/>
        </w:rPr>
        <w:softHyphen/>
        <w:t>вержденные на совместном совеща</w:t>
      </w:r>
      <w:r w:rsidRPr="00F90EAE">
        <w:rPr>
          <w:color w:val="000000" w:themeColor="text1"/>
          <w:sz w:val="16"/>
          <w:szCs w:val="16"/>
        </w:rPr>
        <w:softHyphen/>
        <w:t>нии ВВС и НКАП в январе 1945 г. технические условия на самолет Ил-10 оказались для заводов высокими.</w:t>
      </w:r>
    </w:p>
    <w:p w14:paraId="24F7025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Усиление конструкции самолета (кры</w:t>
      </w:r>
      <w:r w:rsidRPr="00F90EAE">
        <w:rPr>
          <w:color w:val="000000" w:themeColor="text1"/>
          <w:sz w:val="16"/>
          <w:szCs w:val="16"/>
        </w:rPr>
        <w:softHyphen/>
        <w:t>ло, фюзеляж, шасси и т.д.), внесение различного рода изменений и дора</w:t>
      </w:r>
      <w:r w:rsidRPr="00F90EAE">
        <w:rPr>
          <w:color w:val="000000" w:themeColor="text1"/>
          <w:sz w:val="16"/>
          <w:szCs w:val="16"/>
        </w:rPr>
        <w:softHyphen/>
        <w:t>ботки машины, естественно, сопро</w:t>
      </w:r>
      <w:r w:rsidRPr="00F90EAE">
        <w:rPr>
          <w:color w:val="000000" w:themeColor="text1"/>
          <w:sz w:val="16"/>
          <w:szCs w:val="16"/>
        </w:rPr>
        <w:softHyphen/>
        <w:t>вождались ростом полетного веса. На контрольных испытаниях в НИИ ВВС серийные "десятки" стабильно не додавали в скорости и скороподъ</w:t>
      </w:r>
      <w:r w:rsidRPr="00F90EAE">
        <w:rPr>
          <w:color w:val="000000" w:themeColor="text1"/>
          <w:sz w:val="16"/>
          <w:szCs w:val="16"/>
        </w:rPr>
        <w:softHyphen/>
        <w:t>емности. Естественно, усилились тре</w:t>
      </w:r>
      <w:r w:rsidRPr="00F90EAE">
        <w:rPr>
          <w:color w:val="000000" w:themeColor="text1"/>
          <w:sz w:val="16"/>
          <w:szCs w:val="16"/>
        </w:rPr>
        <w:softHyphen/>
        <w:t>ния между заводами и военными представителями по вопросам при</w:t>
      </w:r>
      <w:r w:rsidRPr="00F90EAE">
        <w:rPr>
          <w:color w:val="000000" w:themeColor="text1"/>
          <w:sz w:val="16"/>
          <w:szCs w:val="16"/>
        </w:rPr>
        <w:softHyphen/>
        <w:t>емки самолетов и их оплаты. На мно</w:t>
      </w:r>
      <w:r w:rsidRPr="00F90EAE">
        <w:rPr>
          <w:color w:val="000000" w:themeColor="text1"/>
          <w:sz w:val="16"/>
          <w:szCs w:val="16"/>
        </w:rPr>
        <w:softHyphen/>
        <w:t>гочисленных совещаниях по устране</w:t>
      </w:r>
      <w:r w:rsidRPr="00F90EAE">
        <w:rPr>
          <w:color w:val="000000" w:themeColor="text1"/>
          <w:sz w:val="16"/>
          <w:szCs w:val="16"/>
        </w:rPr>
        <w:softHyphen/>
        <w:t>нию дефектов Ил-10 не всегда уда</w:t>
      </w:r>
      <w:r w:rsidRPr="00F90EAE">
        <w:rPr>
          <w:color w:val="000000" w:themeColor="text1"/>
          <w:sz w:val="16"/>
          <w:szCs w:val="16"/>
        </w:rPr>
        <w:softHyphen/>
        <w:t>валось прийти к соглашению. Пред</w:t>
      </w:r>
      <w:r w:rsidRPr="00F90EAE">
        <w:rPr>
          <w:color w:val="000000" w:themeColor="text1"/>
          <w:sz w:val="16"/>
          <w:szCs w:val="16"/>
        </w:rPr>
        <w:softHyphen/>
        <w:t>ставители промышленности каждый раз принимали на себя обязатель</w:t>
      </w:r>
      <w:r w:rsidRPr="00F90EAE">
        <w:rPr>
          <w:color w:val="000000" w:themeColor="text1"/>
          <w:sz w:val="16"/>
          <w:szCs w:val="16"/>
        </w:rPr>
        <w:softHyphen/>
        <w:t>ства по улучшению летных и эксплу</w:t>
      </w:r>
      <w:r w:rsidRPr="00F90EAE">
        <w:rPr>
          <w:color w:val="000000" w:themeColor="text1"/>
          <w:sz w:val="16"/>
          <w:szCs w:val="16"/>
        </w:rPr>
        <w:softHyphen/>
        <w:t>атационных качеств машины и вся</w:t>
      </w:r>
      <w:r w:rsidRPr="00F90EAE">
        <w:rPr>
          <w:color w:val="000000" w:themeColor="text1"/>
          <w:sz w:val="16"/>
          <w:szCs w:val="16"/>
        </w:rPr>
        <w:softHyphen/>
        <w:t>кий раз их не выдерживали. Соот</w:t>
      </w:r>
      <w:r w:rsidRPr="00F90EAE">
        <w:rPr>
          <w:color w:val="000000" w:themeColor="text1"/>
          <w:sz w:val="16"/>
          <w:szCs w:val="16"/>
        </w:rPr>
        <w:softHyphen/>
        <w:t>ветственно, военные делали офици</w:t>
      </w:r>
      <w:r w:rsidRPr="00F90EAE">
        <w:rPr>
          <w:color w:val="000000" w:themeColor="text1"/>
          <w:sz w:val="16"/>
          <w:szCs w:val="16"/>
        </w:rPr>
        <w:softHyphen/>
        <w:t xml:space="preserve">альные выводы: </w:t>
      </w:r>
      <w:r w:rsidRPr="00F90EAE">
        <w:rPr>
          <w:iCs/>
          <w:color w:val="000000" w:themeColor="text1"/>
          <w:sz w:val="16"/>
          <w:szCs w:val="16"/>
        </w:rPr>
        <w:t>"Со стороны НКАП сроки выполнения Постановлений ГОКО, СНК и приказов НКАП не вы</w:t>
      </w:r>
      <w:r w:rsidRPr="00F90EAE">
        <w:rPr>
          <w:iCs/>
          <w:color w:val="000000" w:themeColor="text1"/>
          <w:sz w:val="16"/>
          <w:szCs w:val="16"/>
        </w:rPr>
        <w:softHyphen/>
        <w:t xml:space="preserve">держиваются". </w:t>
      </w:r>
      <w:r w:rsidRPr="00F90EAE">
        <w:rPr>
          <w:color w:val="000000" w:themeColor="text1"/>
          <w:sz w:val="16"/>
          <w:szCs w:val="16"/>
        </w:rPr>
        <w:t>Напряженность во взаимоотношениях ВВС и НКАП на</w:t>
      </w:r>
      <w:r w:rsidRPr="00F90EAE">
        <w:rPr>
          <w:color w:val="000000" w:themeColor="text1"/>
          <w:sz w:val="16"/>
          <w:szCs w:val="16"/>
        </w:rPr>
        <w:softHyphen/>
        <w:t>растала с каждым месяцем (11431).</w:t>
      </w:r>
    </w:p>
    <w:p w14:paraId="3322022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AB94246" w14:textId="77777777" w:rsidR="0002077A" w:rsidRPr="00F90EAE" w:rsidRDefault="0002077A" w:rsidP="00F90EAE">
      <w:pPr>
        <w:jc w:val="both"/>
        <w:rPr>
          <w:color w:val="000000" w:themeColor="text1"/>
          <w:sz w:val="16"/>
          <w:szCs w:val="16"/>
        </w:rPr>
      </w:pPr>
      <w:r w:rsidRPr="00F90EAE">
        <w:rPr>
          <w:color w:val="000000" w:themeColor="text1"/>
          <w:sz w:val="16"/>
          <w:szCs w:val="16"/>
        </w:rPr>
        <w:t>14 июня 1945 состоялся контрольный полёт высотного Ла-7 до вы</w:t>
      </w:r>
      <w:r w:rsidRPr="00F90EAE">
        <w:rPr>
          <w:color w:val="000000" w:themeColor="text1"/>
          <w:sz w:val="16"/>
          <w:szCs w:val="16"/>
        </w:rPr>
        <w:softHyphen/>
        <w:t>соты 1000 м без включения турбокомпрессора, факел образовался только при посадке, для его устране</w:t>
      </w:r>
      <w:r w:rsidRPr="00F90EAE">
        <w:rPr>
          <w:color w:val="000000" w:themeColor="text1"/>
          <w:sz w:val="16"/>
          <w:szCs w:val="16"/>
        </w:rPr>
        <w:softHyphen/>
        <w:t>ния отрегулировали мотор по расходам топлива. На следующий день состоялся полёт с работающим турбокомпрессором до высоты 2500 м. Во время посадки вновь по</w:t>
      </w:r>
      <w:r w:rsidRPr="00F90EAE">
        <w:rPr>
          <w:color w:val="000000" w:themeColor="text1"/>
          <w:sz w:val="16"/>
          <w:szCs w:val="16"/>
        </w:rPr>
        <w:softHyphen/>
        <w:t>явился факел, его длина достигала 2 м, тогда как в предыдущий раз — 80 см. Снова про</w:t>
      </w:r>
      <w:r w:rsidRPr="00F90EAE">
        <w:rPr>
          <w:color w:val="000000" w:themeColor="text1"/>
          <w:sz w:val="16"/>
          <w:szCs w:val="16"/>
        </w:rPr>
        <w:softHyphen/>
        <w:t xml:space="preserve">извели регулировку мотора. После нескольких дней нелётной погоды для высотных </w:t>
      </w:r>
      <w:r w:rsidRPr="00F90EAE">
        <w:rPr>
          <w:rStyle w:val="aff6"/>
          <w:rFonts w:ascii="Times New Roman" w:eastAsia="Arial Unicode MS" w:hAnsi="Times New Roman" w:cs="Times New Roman"/>
          <w:i w:val="0"/>
          <w:color w:val="000000" w:themeColor="text1"/>
        </w:rPr>
        <w:t>полётов,</w:t>
      </w:r>
      <w:r w:rsidRPr="00F90EAE">
        <w:rPr>
          <w:color w:val="000000" w:themeColor="text1"/>
          <w:sz w:val="16"/>
          <w:szCs w:val="16"/>
        </w:rPr>
        <w:t xml:space="preserve"> лётные испытания вновь продолжили только 25 июня. Задание — определение максимальных скоростей на высотах от 8000 до 9000 м. Из-за </w:t>
      </w:r>
      <w:r w:rsidRPr="00F90EAE">
        <w:rPr>
          <w:color w:val="000000" w:themeColor="text1"/>
          <w:sz w:val="16"/>
          <w:szCs w:val="16"/>
        </w:rPr>
        <w:lastRenderedPageBreak/>
        <w:t>выливания бензина из горловины правого бензобака (оказалась пробита прокладка под пробкой бака), в пер</w:t>
      </w:r>
      <w:r w:rsidRPr="00F90EAE">
        <w:rPr>
          <w:color w:val="000000" w:themeColor="text1"/>
          <w:sz w:val="16"/>
          <w:szCs w:val="16"/>
        </w:rPr>
        <w:softHyphen/>
        <w:t>вом полёте задание выполнить не удалось. В повторном полёте, после устранения это</w:t>
      </w:r>
      <w:r w:rsidRPr="00F90EAE">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F90EAE">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90EAE">
        <w:rPr>
          <w:color w:val="000000" w:themeColor="text1"/>
          <w:sz w:val="16"/>
          <w:szCs w:val="16"/>
        </w:rPr>
        <w:softHyphen/>
        <w:t>рофы послужила потеря лётчиком сознания на высоте.</w:t>
      </w:r>
    </w:p>
    <w:p w14:paraId="7030426E" w14:textId="77777777" w:rsidR="0002077A" w:rsidRPr="00F90EAE" w:rsidRDefault="0002077A" w:rsidP="00F90EAE">
      <w:pPr>
        <w:jc w:val="both"/>
        <w:rPr>
          <w:color w:val="000000" w:themeColor="text1"/>
          <w:sz w:val="16"/>
          <w:szCs w:val="16"/>
        </w:rPr>
      </w:pPr>
      <w:r w:rsidRPr="00F90EAE">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90EAE">
        <w:rPr>
          <w:color w:val="000000" w:themeColor="text1"/>
          <w:sz w:val="16"/>
          <w:szCs w:val="16"/>
        </w:rPr>
        <w:softHyphen/>
        <w:t>требителям. На этом закончилось развитие опытных самолётов С.А. Лавочкина с ТК (15830).</w:t>
      </w:r>
    </w:p>
    <w:p w14:paraId="06716F59" w14:textId="77777777" w:rsidR="0002077A" w:rsidRPr="00F90EAE" w:rsidRDefault="0002077A" w:rsidP="00F90EAE">
      <w:pPr>
        <w:jc w:val="both"/>
        <w:rPr>
          <w:color w:val="000000" w:themeColor="text1"/>
          <w:sz w:val="16"/>
          <w:szCs w:val="16"/>
        </w:rPr>
      </w:pPr>
    </w:p>
    <w:p w14:paraId="48C966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 июня 1945 вышел приказ НКАП N 248сс "Об оборудовании самолета Ли-2 в самолет-тральщик" в исполнение постановления ГКО от 4 июня 1945 N 8920сс в целях проверки в условиях боевого использования возможности принятия на вооружение ВМФ переоборудованного самолета Ли-2 в самолет тральщик для траления магнитных и индукционных мин по проекту, разработанному ГК завода 456 Голубковым:</w:t>
      </w:r>
    </w:p>
    <w:p w14:paraId="7175B1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Директору завода 456:</w:t>
      </w:r>
    </w:p>
    <w:p w14:paraId="4B32D7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переоборудовать 2 самолета Ли-2 по проекту завода и НИИ 627 НКЭП в самолет-тральщик магнитных мин и предъявить НКВМФ на летные испытания: 1-й - 1 октября 1945, 2-й - 1 ноября 1945.</w:t>
      </w:r>
    </w:p>
    <w:p w14:paraId="78941E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закончить к 1 августа 1945 установку мотор-генератора на самолет Ли-2 для монтажа электрооборудования." (1996,55).</w:t>
      </w:r>
    </w:p>
    <w:p w14:paraId="65624945" w14:textId="77777777" w:rsidR="006103B3" w:rsidRPr="00F90EAE" w:rsidRDefault="006103B3" w:rsidP="00F90EAE">
      <w:pPr>
        <w:autoSpaceDE w:val="0"/>
        <w:autoSpaceDN w:val="0"/>
        <w:adjustRightInd w:val="0"/>
        <w:jc w:val="both"/>
        <w:rPr>
          <w:color w:val="000000" w:themeColor="text1"/>
          <w:sz w:val="16"/>
          <w:szCs w:val="16"/>
        </w:rPr>
      </w:pPr>
    </w:p>
    <w:p w14:paraId="06A1CE30" w14:textId="77777777" w:rsidR="00B147AB" w:rsidRPr="00F90EAE" w:rsidRDefault="00B147AB" w:rsidP="00F90EAE">
      <w:pPr>
        <w:shd w:val="clear" w:color="auto" w:fill="FFFFFF"/>
        <w:jc w:val="both"/>
        <w:rPr>
          <w:color w:val="000000" w:themeColor="text1"/>
          <w:sz w:val="16"/>
          <w:szCs w:val="16"/>
        </w:rPr>
      </w:pPr>
      <w:r w:rsidRPr="00F90EAE">
        <w:rPr>
          <w:color w:val="000000" w:themeColor="text1"/>
          <w:sz w:val="16"/>
          <w:szCs w:val="16"/>
        </w:rPr>
        <w:t>14 июня 1945 г. из ОКБ-16 при шел двигатель РД-1ХЗ новой модификации для Ла-7Р-2 Его оборудовали специальны ми пусковым и сливным клапанами, ввели последовательное включение форсунок обоих компонентов топлива, существен но повышающее эффективность зажигательного факела и де лающее запуск двигателя плавным, без удара. Двигатель был установлен на Ла-7Р-2 25 июля 1945 г. [27].</w:t>
      </w:r>
    </w:p>
    <w:p w14:paraId="086FAD0E" w14:textId="77777777" w:rsidR="00B147AB" w:rsidRPr="00F90EAE" w:rsidRDefault="00B147AB" w:rsidP="00F90EAE">
      <w:pPr>
        <w:shd w:val="clear" w:color="auto" w:fill="FFFFFF"/>
        <w:jc w:val="both"/>
        <w:rPr>
          <w:color w:val="000000" w:themeColor="text1"/>
          <w:sz w:val="16"/>
          <w:szCs w:val="16"/>
        </w:rPr>
      </w:pPr>
      <w:r w:rsidRPr="00F90EAE">
        <w:rPr>
          <w:color w:val="000000" w:themeColor="text1"/>
          <w:sz w:val="16"/>
          <w:szCs w:val="16"/>
        </w:rPr>
        <w:t>До 16 сентября 1945 г. на этом самолете было совершено 14 полетов. Из 49 запусков двигателя 8 произвели в воздухе.</w:t>
      </w:r>
    </w:p>
    <w:p w14:paraId="3F4EAC9B" w14:textId="77777777" w:rsidR="00B147AB" w:rsidRPr="00F90EAE" w:rsidRDefault="00B147AB" w:rsidP="00F90EAE">
      <w:pPr>
        <w:shd w:val="clear" w:color="auto" w:fill="FFFFFF"/>
        <w:jc w:val="both"/>
        <w:rPr>
          <w:color w:val="000000" w:themeColor="text1"/>
          <w:sz w:val="16"/>
          <w:szCs w:val="16"/>
        </w:rPr>
      </w:pPr>
      <w:r w:rsidRPr="00F90EAE">
        <w:rPr>
          <w:color w:val="000000" w:themeColor="text1"/>
          <w:sz w:val="16"/>
          <w:szCs w:val="16"/>
        </w:rPr>
        <w:t>За этот период были заменены 4 камеры РД-1ХЗ и два насоса.</w:t>
      </w:r>
    </w:p>
    <w:p w14:paraId="48408AD4" w14:textId="77777777" w:rsidR="00B147AB" w:rsidRPr="00F90EAE" w:rsidRDefault="00B147AB" w:rsidP="00F90EAE">
      <w:pPr>
        <w:shd w:val="clear" w:color="auto" w:fill="FFFFFF"/>
        <w:jc w:val="both"/>
        <w:rPr>
          <w:color w:val="000000" w:themeColor="text1"/>
          <w:sz w:val="16"/>
          <w:szCs w:val="16"/>
        </w:rPr>
      </w:pPr>
      <w:r w:rsidRPr="00F90EAE">
        <w:rPr>
          <w:color w:val="000000" w:themeColor="text1"/>
          <w:sz w:val="16"/>
          <w:szCs w:val="16"/>
        </w:rPr>
        <w:t>Двигатель отказывал 23 раза, но на долю зажигания выпало только 2 отказа. Испытания довели до конца. На Ла-7Р-2 была достигнута максимальная скорость полета 795 км/ч на высо те 6300 м (19588).</w:t>
      </w:r>
    </w:p>
    <w:p w14:paraId="6F1ABCA8" w14:textId="77777777" w:rsidR="00B147AB" w:rsidRPr="00F90EAE" w:rsidRDefault="00B147AB" w:rsidP="00F90EAE">
      <w:pPr>
        <w:shd w:val="clear" w:color="auto" w:fill="FFFFFF"/>
        <w:jc w:val="both"/>
        <w:rPr>
          <w:color w:val="000000" w:themeColor="text1"/>
          <w:sz w:val="16"/>
          <w:szCs w:val="16"/>
        </w:rPr>
      </w:pPr>
    </w:p>
    <w:p w14:paraId="6FC46A78"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D357E18" w14:textId="77777777" w:rsidR="006103B3" w:rsidRPr="00F90EAE" w:rsidRDefault="006103B3" w:rsidP="00F90EAE">
      <w:pPr>
        <w:autoSpaceDE w:val="0"/>
        <w:autoSpaceDN w:val="0"/>
        <w:adjustRightInd w:val="0"/>
        <w:jc w:val="both"/>
        <w:rPr>
          <w:iCs/>
          <w:color w:val="000000" w:themeColor="text1"/>
          <w:sz w:val="16"/>
          <w:szCs w:val="16"/>
        </w:rPr>
      </w:pPr>
    </w:p>
    <w:p w14:paraId="68334C5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июня 1945 года вышел приказ № 265 НКВ</w:t>
      </w:r>
    </w:p>
    <w:p w14:paraId="1304757B"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ГОКО № 9047 от 10 июня 1945 года “Об организации производства радиолокационных станций орудийной наводки, приборов управления артиллерийским зенитным огнем и синхронно-силовых приводов для сухопутной зенитной артиллерии”:</w:t>
      </w:r>
    </w:p>
    <w:p w14:paraId="2D1BBB4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Организовать ЦКБ-20 НКВ</w:t>
      </w:r>
    </w:p>
    <w:p w14:paraId="1BECC3E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Специализировать завод № 304 НКВ по производству СОН и ПУАЗО для сухопутной зенитной артиллерии</w:t>
      </w:r>
    </w:p>
    <w:p w14:paraId="65251DDB"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(6445, 85).</w:t>
      </w:r>
    </w:p>
    <w:p w14:paraId="5BF754B1"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A78E6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 июня 1945 г. приказом Наркомата вооружения СССР было создано Центральное конструкторское бюро № 20 (ЦКБ-20). Приказом Министерства вооружения СССР от 16 июля 1946 г. бюро переименовано в Научно-исследовательский институт № 20 (НИИ-20), который приказом Министерства радиопромышленности СССР от 24 марта 1966 года переименован в Научно-исследовательский электромеханический институт (НИЭМИ) (12101).</w:t>
      </w:r>
    </w:p>
    <w:p w14:paraId="4B4245D6" w14:textId="77777777" w:rsidR="0002077A" w:rsidRPr="00F90EAE" w:rsidRDefault="0002077A" w:rsidP="00F90EAE">
      <w:pPr>
        <w:autoSpaceDE w:val="0"/>
        <w:autoSpaceDN w:val="0"/>
        <w:adjustRightInd w:val="0"/>
        <w:jc w:val="both"/>
        <w:rPr>
          <w:color w:val="000000" w:themeColor="text1"/>
          <w:sz w:val="16"/>
          <w:szCs w:val="16"/>
        </w:rPr>
      </w:pPr>
    </w:p>
    <w:p w14:paraId="487DF8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14 июня 1945 г. приказом НКВ № 265с в соответствии с пост. ГКО № 9047с от 10.06.1945 г. завод завод № 304 НКВ (Завод № 304 НКВ, </w:t>
      </w:r>
      <w:r w:rsidRPr="00F90EAE">
        <w:rPr>
          <w:color w:val="000000" w:themeColor="text1"/>
          <w:sz w:val="16"/>
          <w:szCs w:val="16"/>
          <w:lang w:val="en-US"/>
        </w:rPr>
        <w:t>MB</w:t>
      </w:r>
      <w:r w:rsidRPr="00F90EAE">
        <w:rPr>
          <w:color w:val="000000" w:themeColor="text1"/>
          <w:sz w:val="16"/>
          <w:szCs w:val="16"/>
        </w:rPr>
        <w:t>, МОП, Кунцевский радиотехнический завод, Кунцевский механический завод (КМЗ) СНХ, МРП, Московский радиотехнический завод (МРТЗ) МРП, АООТ «МРТЗ», ОАО «НПО МРТЗ» /пос. Кунцево Московской обл./ /121357  г. Москва ул. Верейская, 29 тел. 444-97-77,443-71-40/) перепрофилирован на производство радиотехнической аппаратуры. В конце 1945 г. на заводе создан ОГК для обеспечения производства конструкторской и технологической документацией. В 1946 г. заводу поручено производство радиотехники для ПВО страны, завод определен головным по этому направлению. С конца 1940-х  г. начат выпуск станций орудийного наведения СОН. В 1950 г. начато освоение производства системы ПВО С-25, в 1952 г. завод определен головным по производству аппаратуры центральной РЛС наведения (ЦРН) С-25.</w:t>
      </w:r>
      <w:r w:rsidRPr="00F90EAE">
        <w:rPr>
          <w:iCs/>
          <w:color w:val="000000" w:themeColor="text1"/>
          <w:sz w:val="16"/>
          <w:szCs w:val="16"/>
        </w:rPr>
        <w:t xml:space="preserve"> Для </w:t>
      </w:r>
      <w:r w:rsidRPr="00F90EAE">
        <w:rPr>
          <w:color w:val="000000" w:themeColor="text1"/>
          <w:sz w:val="16"/>
          <w:szCs w:val="16"/>
        </w:rPr>
        <w:t xml:space="preserve">этого он был освобожден от выпуска </w:t>
      </w:r>
      <w:r w:rsidRPr="00F90EAE">
        <w:rPr>
          <w:color w:val="000000" w:themeColor="text1"/>
          <w:sz w:val="16"/>
          <w:szCs w:val="16"/>
          <w:lang w:val="en-US"/>
        </w:rPr>
        <w:t>PJIC</w:t>
      </w:r>
      <w:r w:rsidRPr="00F90EAE">
        <w:rPr>
          <w:color w:val="000000" w:themeColor="text1"/>
          <w:sz w:val="16"/>
          <w:szCs w:val="16"/>
        </w:rPr>
        <w:t xml:space="preserve"> орудийной наводки; реконструированы старые цеха и построены новые.</w:t>
      </w:r>
    </w:p>
    <w:p w14:paraId="23C5B8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Завод № 304 (назывался также Кунцевский радиотехнический завод) находился в ведении </w:t>
      </w:r>
      <w:r w:rsidRPr="00F90EAE">
        <w:rPr>
          <w:color w:val="000000" w:themeColor="text1"/>
          <w:sz w:val="16"/>
          <w:szCs w:val="16"/>
          <w:lang w:val="en-US"/>
        </w:rPr>
        <w:t>MB</w:t>
      </w:r>
      <w:r w:rsidRPr="00F90EAE">
        <w:rPr>
          <w:color w:val="000000" w:themeColor="text1"/>
          <w:sz w:val="16"/>
          <w:szCs w:val="16"/>
        </w:rPr>
        <w:t>, затем (вероятно, с момента образования в 1953 г.) в 1953-57г,- в ведении 8ГУ МОП. В 1957-61 г. - в ведении МособлСНХ, в 1961-65 г.- МосгорСНХ. В 1963 г. завод № 304 переименован в Кунцевский механический завод (КМЗ). С 1965 г.- в ведении 13ГУ МРП.</w:t>
      </w:r>
    </w:p>
    <w:p w14:paraId="7331041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1946 г. ОГК завода преобразовано в ОКБ завода. Затем КБ при заводе организовывались в 1956 г. и в 1966 г.</w:t>
      </w:r>
    </w:p>
    <w:p w14:paraId="3A7788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21.02.1952 г. при заводе № 304 образовано СМУ-304 для проведения завершающего этапа работ по монтажу, настройке, проведению испытаний и вводу в эксплуатацию объектов системы ПВО С-25. В 1960 г. предприятие выделено из состава завода № 304 и преобразовано в СМУ Мособлсовнархоза (далее- ГПТП).</w:t>
      </w:r>
    </w:p>
    <w:p w14:paraId="16C715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1953 г. освоен выпуск телевизоров. В 1960 г. начата разработка и производство ультразвуковой аппаратуры для медицины и народного хозяйства.</w:t>
      </w:r>
    </w:p>
    <w:p w14:paraId="6E95AB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1970-х по 1990-е  г.- производство телевизионных станций. В 1970-е-90-е  г. прошла реконструкция завода, и освоен выпуск аппаратуры для СПРН и ПРО. С 1992 г. освоен выпуск ручного электроинструмента.</w:t>
      </w:r>
    </w:p>
    <w:p w14:paraId="7EDEBB6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МРП № 711 от 18.01.1971 г. КМЗ переименован в Московский радиотехнический завод. 27.08.1993 г. предприятие преобразовано в АООТ «МРТЗ», с 10.01.2002 г. - ОАО «НПО «МРТЗ». Крупнейшее предприятие РЭ промышленности РФ. Входит в МФПГ «Оборонительные системы», с 2002 г.- в концерн «Алмаз- Антей». По решению правительства № 22-р от 9.01.2004 г. вошло в перечень стратегических предприятий.</w:t>
      </w:r>
    </w:p>
    <w:p w14:paraId="41C774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Имеет производства (2005 г.): инструментальное; литейное; изделий из пластмасс; механообрабатывающее; метизов; сборочно-каркасное; штамповочное; сборочное; керамическое, ферритовое и электротехническое; лакокрасочных и гальванических покрытий; печатных плат; лаборатория типовых испытаний.</w:t>
      </w:r>
    </w:p>
    <w:p w14:paraId="1BC91F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Директор (10.1941-03.1942 г.)- Н.Я. Каприз, (01.1944-45 г.)- Н.Ф. Червяков, (1945-50 г.)- А.А. Форштер, (1951- 52; 1960-75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Чучалов, (1953-54 г.)- Ю.В. Яхонтов, (1954-60 г.)- М.А. Брежнев, (1975-81 г.)- Е.И. Котельников, (1982-83 г.)- Ю.Н. Захаров, (1983-97 г.)- В.П. Милованов. Гендиректор (1997-98 г.)- А.В. Гусев, (1998-2003 г.)- Ю.Л. Булкин, (2003-11.2004 г.)- А.Б. Романов, (2004-05 г.-&gt; С.В. Бочков.</w:t>
      </w:r>
    </w:p>
    <w:p w14:paraId="0DD514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Гл. инженер (-1952 г.)- И.В. Илларионов, (1952-60 г.)- </w:t>
      </w:r>
      <w:r w:rsidRPr="00F90EAE">
        <w:rPr>
          <w:color w:val="000000" w:themeColor="text1"/>
          <w:sz w:val="16"/>
          <w:szCs w:val="16"/>
          <w:lang w:val="en-US"/>
        </w:rPr>
        <w:t>A</w:t>
      </w:r>
      <w:r w:rsidRPr="00F90EAE">
        <w:rPr>
          <w:color w:val="000000" w:themeColor="text1"/>
          <w:sz w:val="16"/>
          <w:szCs w:val="16"/>
        </w:rPr>
        <w:t>.</w:t>
      </w:r>
      <w:r w:rsidRPr="00F90EAE">
        <w:rPr>
          <w:color w:val="000000" w:themeColor="text1"/>
          <w:sz w:val="16"/>
          <w:szCs w:val="16"/>
          <w:lang w:val="en-US"/>
        </w:rPr>
        <w:t>M</w:t>
      </w:r>
      <w:r w:rsidRPr="00F90EAE">
        <w:rPr>
          <w:color w:val="000000" w:themeColor="text1"/>
          <w:sz w:val="16"/>
          <w:szCs w:val="16"/>
        </w:rPr>
        <w:t>. Чучалов, (-1971 г.)- В.В. Вюнш, (1972-75 г.)- Е.И. Котельников, (-1983 г.)- В.П. Милованов.</w:t>
      </w:r>
    </w:p>
    <w:p w14:paraId="427B5C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(1945 г.-)- В.Н. Казанцев, (1960-62 г.)-  Г.Т. Парамонов.</w:t>
      </w:r>
    </w:p>
    <w:p w14:paraId="11A1FC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конструктора (1951-55г,)- И.В. Илларионов.</w:t>
      </w:r>
    </w:p>
    <w:p w14:paraId="0E562C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технолог- В.П. Милованов.</w:t>
      </w:r>
    </w:p>
    <w:p w14:paraId="1AE455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телевизионного (1976 г.)- М.Т. Афанасьев; (-1970 г.)- Е.И. Котельников, В.П. Милованов.</w:t>
      </w:r>
    </w:p>
    <w:p w14:paraId="44BE33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лабораторий: ЦЗЛ (-1974 г.)- Е.П. Котов; Е.И. Котельников.</w:t>
      </w:r>
    </w:p>
    <w:p w14:paraId="4FDD0F5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бюро: КБ- В.П. Милованов; технического (1997-2001 г.)- Е.И. Котельников.</w:t>
      </w:r>
    </w:p>
    <w:p w14:paraId="6EA1FFFA"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патроны для ППШ, пулеметов 12,7 мм, противотанковых ружей (ВОВ); с танции: СОН-2, СОН-3, СОН-4 (1940-е), Б-200; аппаратура для систем С-25 (1952-), С-75 (1959), С-125, С-200, С-300, пункт боевого управления 54К6Е и другая аппаратура для ЗРК С-300ПМУ1; системы радиотехнического контроля полета ракет и КА: РКТ (1950), «Иртыш», «Бинокль», РЛС траекторных измерений: «Истра» (1950-е), «Кама» (1960), «Кама-А, -М, -Н» (1980-е-2004-), «Кубань» (1960-е); фазовый пеленгатор «Висла»; приемные устройства РЛС РКЦ-35 системы А-35 (1966); радиотехническая аппаратура для системы УС-К (1970-е); ЗРК «Печора-2М» (2005); приемная аппаратура станции телевещания «Орбита» (1966-); аппаратура радиорелейной связи «Заря», «Рассвет» (1966-), «Курс»-( 1980-е); радиодальномер РД-75 «Амазонка»</w:t>
      </w:r>
    </w:p>
    <w:p w14:paraId="57E5FA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(1965-);</w:t>
      </w:r>
      <w:r w:rsidRPr="00F90EAE">
        <w:rPr>
          <w:color w:val="000000" w:themeColor="text1"/>
          <w:sz w:val="16"/>
          <w:szCs w:val="16"/>
          <w:vertAlign w:val="superscript"/>
        </w:rPr>
        <w:t>130</w:t>
      </w:r>
    </w:p>
    <w:p w14:paraId="2CC140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механический электрогравировальный автомат «МЭГА» (1966-); рентгенографическая установка досмотра багажа «Визир-1» (1990-е), «Контроль-1М» (1998-); фильтры присоединительные и разделительные для электроэнергетики (1994-); ультразвуковой генератор (УЗГ) (1960-е-);</w:t>
      </w:r>
      <w:r w:rsidRPr="00F90EAE">
        <w:rPr>
          <w:iCs/>
          <w:color w:val="000000" w:themeColor="text1"/>
          <w:sz w:val="16"/>
          <w:szCs w:val="16"/>
        </w:rPr>
        <w:t xml:space="preserve"> телевизоры:</w:t>
      </w:r>
      <w:r w:rsidRPr="00F90EAE">
        <w:rPr>
          <w:color w:val="000000" w:themeColor="text1"/>
          <w:sz w:val="16"/>
          <w:szCs w:val="16"/>
        </w:rPr>
        <w:t xml:space="preserve"> «Зенит» (1954-), «Луч» (1950- е), «Старт» (1955-), «Старт-2, -3 (1959-), -ЗМ, -4 (1967-), -6, -308, -310», «Свет-702» (1976-), «Юность» (1959-), «Юность-2 (1</w:t>
      </w:r>
      <w:r w:rsidRPr="00F90EAE">
        <w:rPr>
          <w:iCs/>
          <w:color w:val="000000" w:themeColor="text1"/>
          <w:sz w:val="16"/>
          <w:szCs w:val="16"/>
        </w:rPr>
        <w:t>969-),</w:t>
      </w:r>
      <w:r w:rsidRPr="00F90EAE">
        <w:rPr>
          <w:color w:val="000000" w:themeColor="text1"/>
          <w:sz w:val="16"/>
          <w:szCs w:val="16"/>
        </w:rPr>
        <w:t xml:space="preserve"> -401, -402, -403, -405 (1980-), -406, -602, -603, 31ТБ-410, 31ТБ-4127, 31ТБ-4301, Ц-401, Ц-440, Ц-442, 32ТЦ-309 (1991), 32ТЦ-312, </w:t>
      </w:r>
      <w:r w:rsidRPr="00F90EAE">
        <w:rPr>
          <w:color w:val="000000" w:themeColor="text1"/>
          <w:sz w:val="16"/>
          <w:szCs w:val="16"/>
          <w:lang w:val="en-US"/>
        </w:rPr>
        <w:t>TVR</w:t>
      </w:r>
      <w:r w:rsidRPr="00F90EAE">
        <w:rPr>
          <w:color w:val="000000" w:themeColor="text1"/>
          <w:sz w:val="16"/>
          <w:szCs w:val="16"/>
        </w:rPr>
        <w:t>-8» (-2000)- всего более 10 млн.;</w:t>
      </w:r>
      <w:r w:rsidRPr="00F90EAE">
        <w:rPr>
          <w:color w:val="000000" w:themeColor="text1"/>
          <w:sz w:val="16"/>
          <w:szCs w:val="16"/>
          <w:vertAlign w:val="superscript"/>
        </w:rPr>
        <w:t>101</w:t>
      </w:r>
      <w:r w:rsidRPr="00F90EAE">
        <w:rPr>
          <w:color w:val="000000" w:themeColor="text1"/>
          <w:sz w:val="16"/>
          <w:szCs w:val="16"/>
        </w:rPr>
        <w:t xml:space="preserve"> радиоприемник «Эхо»; пилы электрические ручные: дисковые, цепные; рубанок электрический, электрокультиватор (1992-) (11982).</w:t>
      </w:r>
    </w:p>
    <w:p w14:paraId="0CD671D6" w14:textId="77777777" w:rsidR="006103B3" w:rsidRPr="00F90EAE" w:rsidRDefault="006103B3" w:rsidP="00F90EAE">
      <w:pPr>
        <w:autoSpaceDE w:val="0"/>
        <w:autoSpaceDN w:val="0"/>
        <w:adjustRightInd w:val="0"/>
        <w:jc w:val="both"/>
        <w:rPr>
          <w:color w:val="000000" w:themeColor="text1"/>
          <w:sz w:val="16"/>
          <w:szCs w:val="16"/>
        </w:rPr>
      </w:pPr>
    </w:p>
    <w:p w14:paraId="19D9E7F3" w14:textId="77777777" w:rsidR="00B147AB" w:rsidRPr="00F90EAE" w:rsidRDefault="00B147AB" w:rsidP="00F90EAE">
      <w:pPr>
        <w:jc w:val="both"/>
        <w:rPr>
          <w:color w:val="000000" w:themeColor="text1"/>
          <w:sz w:val="16"/>
          <w:szCs w:val="16"/>
        </w:rPr>
      </w:pPr>
      <w:r w:rsidRPr="00F90EAE">
        <w:rPr>
          <w:color w:val="000000" w:themeColor="text1"/>
          <w:sz w:val="16"/>
          <w:szCs w:val="16"/>
        </w:rPr>
        <w:t xml:space="preserve">14 июня 1945 г. Приказом НКЭП № К-330с впервые после начала войны был утвержден «Сводный план основных научно-исследовательских работ и новых разработок НКЭП на 1945 г.». В соответствии с ним заводу им. Козицкого ставилась задача разработки КВ передатчика мощностью 250 Вт для вооружения кораблей всех типов. Он был призван заменить станции «Бухта» завода им. Коминтерна, «Дельфин» завода № 197 и «БризМК» самого завода им. Козицкого3. Взамен радиостанций «Бухта» </w:t>
      </w:r>
      <w:r w:rsidRPr="00F90EAE">
        <w:rPr>
          <w:color w:val="000000" w:themeColor="text1"/>
          <w:sz w:val="16"/>
          <w:szCs w:val="16"/>
        </w:rPr>
        <w:lastRenderedPageBreak/>
        <w:t>и «Бриз-МК», устанавливаемых на подводных лодках, началась разработка новой КВ станции мощностью 50 Вт. Для проведения всех этих работ в сентябре 1945 г. на предприятии была организована специальная лаборатория передающих устройств4. Необходимо подчеркнуть, что с самого начала проведения новых разработок упор сделан был на то, чтобы обеспечить возможность использования морских радиоустановок в армейских частях РККА (18297).</w:t>
      </w:r>
    </w:p>
    <w:p w14:paraId="57A41A83" w14:textId="77777777" w:rsidR="00B147AB" w:rsidRPr="00F90EAE" w:rsidRDefault="00B147AB" w:rsidP="00F90EAE">
      <w:pPr>
        <w:jc w:val="both"/>
        <w:rPr>
          <w:color w:val="000000" w:themeColor="text1"/>
          <w:sz w:val="16"/>
          <w:szCs w:val="16"/>
        </w:rPr>
      </w:pPr>
    </w:p>
    <w:p w14:paraId="4D99E722" w14:textId="77777777" w:rsidR="00B90038" w:rsidRPr="00F90EAE" w:rsidRDefault="00B90038" w:rsidP="00F90EAE">
      <w:pPr>
        <w:jc w:val="both"/>
        <w:rPr>
          <w:color w:val="000000" w:themeColor="text1"/>
          <w:sz w:val="16"/>
          <w:szCs w:val="16"/>
        </w:rPr>
      </w:pPr>
      <w:r w:rsidRPr="00F90EAE">
        <w:rPr>
          <w:color w:val="000000" w:themeColor="text1"/>
          <w:sz w:val="16"/>
          <w:szCs w:val="16"/>
        </w:rPr>
        <w:t>14 июня 1946 г. Письмо заместителя председателя Комитета по делам геологии при СМ СССР И.Ф. Григорьева В.А. Махневу с представлением протокола Всесоюзной комиссии по запасам полезных ископаемых</w:t>
      </w:r>
    </w:p>
    <w:p w14:paraId="2444F180" w14:textId="77777777" w:rsidR="00B90038" w:rsidRPr="00F90EAE" w:rsidRDefault="00B90038" w:rsidP="00F90EAE">
      <w:pPr>
        <w:jc w:val="both"/>
        <w:rPr>
          <w:color w:val="000000" w:themeColor="text1"/>
          <w:sz w:val="16"/>
          <w:szCs w:val="16"/>
        </w:rPr>
      </w:pPr>
      <w:r w:rsidRPr="00F90EAE">
        <w:rPr>
          <w:color w:val="000000" w:themeColor="text1"/>
          <w:sz w:val="16"/>
          <w:szCs w:val="16"/>
        </w:rPr>
        <w:t>Сов. секретно</w:t>
      </w:r>
    </w:p>
    <w:p w14:paraId="03F16F6E" w14:textId="77777777" w:rsidR="00B90038" w:rsidRPr="00F90EAE" w:rsidRDefault="00B90038" w:rsidP="00F90EAE">
      <w:pPr>
        <w:jc w:val="both"/>
        <w:rPr>
          <w:color w:val="000000" w:themeColor="text1"/>
          <w:sz w:val="16"/>
          <w:szCs w:val="16"/>
        </w:rPr>
      </w:pPr>
      <w:r w:rsidRPr="00F90EAE">
        <w:rPr>
          <w:color w:val="000000" w:themeColor="text1"/>
          <w:sz w:val="16"/>
          <w:szCs w:val="16"/>
        </w:rPr>
        <w:t>Совет Министров Союза СССР Товарищу Махневу В.А.</w:t>
      </w:r>
    </w:p>
    <w:p w14:paraId="604C7DB7" w14:textId="77777777" w:rsidR="00B90038" w:rsidRPr="00F90EAE" w:rsidRDefault="00B90038" w:rsidP="00F90EAE">
      <w:pPr>
        <w:jc w:val="both"/>
        <w:rPr>
          <w:color w:val="000000" w:themeColor="text1"/>
          <w:sz w:val="16"/>
          <w:szCs w:val="16"/>
        </w:rPr>
      </w:pPr>
      <w:r w:rsidRPr="00F90EAE">
        <w:rPr>
          <w:color w:val="000000" w:themeColor="text1"/>
          <w:sz w:val="16"/>
          <w:szCs w:val="16"/>
        </w:rPr>
        <w:t>Направляю Вам протокол № 3827 от 6 апреля 1946 г. заседания Всесоюзной комиссии по запасам по вопросу: Рассмотрение материалов Первого главного управления при Совете Министров Союза ССР «Ураноносные районы и месторождения Болгарии и предварительная оценка их перспектив и промышленного значения».</w:t>
      </w:r>
    </w:p>
    <w:p w14:paraId="717FBC81" w14:textId="77777777" w:rsidR="00B90038" w:rsidRPr="00F90EAE" w:rsidRDefault="00B90038" w:rsidP="00F90EAE">
      <w:pPr>
        <w:jc w:val="both"/>
        <w:rPr>
          <w:color w:val="000000" w:themeColor="text1"/>
          <w:sz w:val="16"/>
          <w:szCs w:val="16"/>
        </w:rPr>
      </w:pPr>
      <w:r w:rsidRPr="00F90EAE">
        <w:rPr>
          <w:color w:val="000000" w:themeColor="text1"/>
          <w:sz w:val="16"/>
          <w:szCs w:val="16"/>
        </w:rPr>
        <w:t>Приложение: Упомянутое на 4 листах.</w:t>
      </w:r>
    </w:p>
    <w:p w14:paraId="4C6F97B3" w14:textId="77777777" w:rsidR="00B90038" w:rsidRPr="00F90EAE" w:rsidRDefault="00B90038" w:rsidP="00F90EAE">
      <w:pPr>
        <w:jc w:val="both"/>
        <w:rPr>
          <w:color w:val="000000" w:themeColor="text1"/>
          <w:sz w:val="16"/>
          <w:szCs w:val="16"/>
        </w:rPr>
      </w:pPr>
      <w:r w:rsidRPr="00F90EAE">
        <w:rPr>
          <w:color w:val="000000" w:themeColor="text1"/>
          <w:sz w:val="16"/>
          <w:szCs w:val="16"/>
        </w:rPr>
        <w:t>Зам. председателя Комитета по делам геологии при Совете Министров СССР</w:t>
      </w:r>
    </w:p>
    <w:p w14:paraId="701B8B29" w14:textId="77777777" w:rsidR="00B90038" w:rsidRPr="00F90EAE" w:rsidRDefault="00B90038" w:rsidP="00F90EAE">
      <w:pPr>
        <w:jc w:val="both"/>
        <w:rPr>
          <w:color w:val="000000" w:themeColor="text1"/>
          <w:sz w:val="16"/>
          <w:szCs w:val="16"/>
        </w:rPr>
      </w:pPr>
      <w:r w:rsidRPr="00F90EAE">
        <w:rPr>
          <w:color w:val="000000" w:themeColor="text1"/>
          <w:sz w:val="16"/>
          <w:szCs w:val="16"/>
        </w:rPr>
        <w:t>И. Григорьев</w:t>
      </w:r>
    </w:p>
    <w:p w14:paraId="6BB69BA1" w14:textId="77777777" w:rsidR="00B90038" w:rsidRPr="00F90EAE" w:rsidRDefault="00B90038" w:rsidP="00F90EAE">
      <w:pPr>
        <w:jc w:val="both"/>
        <w:rPr>
          <w:color w:val="000000" w:themeColor="text1"/>
          <w:sz w:val="16"/>
          <w:szCs w:val="16"/>
        </w:rPr>
      </w:pPr>
      <w:r w:rsidRPr="00F90EAE">
        <w:rPr>
          <w:color w:val="000000" w:themeColor="text1"/>
          <w:sz w:val="16"/>
          <w:szCs w:val="16"/>
        </w:rPr>
        <w:t>Приложение</w:t>
      </w:r>
    </w:p>
    <w:p w14:paraId="577D5384" w14:textId="77777777" w:rsidR="00B90038" w:rsidRPr="00F90EAE" w:rsidRDefault="00B90038" w:rsidP="00F90EAE">
      <w:pPr>
        <w:jc w:val="both"/>
        <w:rPr>
          <w:color w:val="000000" w:themeColor="text1"/>
          <w:sz w:val="16"/>
          <w:szCs w:val="16"/>
        </w:rPr>
      </w:pPr>
      <w:r w:rsidRPr="00F90EAE">
        <w:rPr>
          <w:color w:val="000000" w:themeColor="text1"/>
          <w:sz w:val="16"/>
          <w:szCs w:val="16"/>
        </w:rPr>
        <w:t>Протокол № 3827 заседания Всесоюзной комиссии по запасам полезных ископаемых Комитета по делам геологии при Совете Министров Союза ССР</w:t>
      </w:r>
    </w:p>
    <w:p w14:paraId="7DF9DBAC" w14:textId="77777777" w:rsidR="00B90038" w:rsidRPr="00F90EAE" w:rsidRDefault="00B90038" w:rsidP="00F90EAE">
      <w:pPr>
        <w:jc w:val="both"/>
        <w:rPr>
          <w:color w:val="000000" w:themeColor="text1"/>
          <w:sz w:val="16"/>
          <w:szCs w:val="16"/>
        </w:rPr>
      </w:pPr>
      <w:r w:rsidRPr="00F90EAE">
        <w:rPr>
          <w:color w:val="000000" w:themeColor="text1"/>
          <w:sz w:val="16"/>
          <w:szCs w:val="16"/>
        </w:rPr>
        <w:t>г. Москва 6 апреля 1946 г.</w:t>
      </w:r>
    </w:p>
    <w:p w14:paraId="756D44D3" w14:textId="77777777" w:rsidR="00B90038" w:rsidRPr="00F90EAE" w:rsidRDefault="00B90038" w:rsidP="00F90EAE">
      <w:pPr>
        <w:jc w:val="both"/>
        <w:rPr>
          <w:color w:val="000000" w:themeColor="text1"/>
          <w:sz w:val="16"/>
          <w:szCs w:val="16"/>
        </w:rPr>
      </w:pPr>
      <w:r w:rsidRPr="00F90EAE">
        <w:rPr>
          <w:color w:val="000000" w:themeColor="text1"/>
          <w:sz w:val="16"/>
          <w:szCs w:val="16"/>
        </w:rPr>
        <w:t>Повестка дня: Рассмотрение материалов Первого главного управления при Совете Министров Союза ССР3 «Ураноносные районы и месторождения Болгарии и предварительная оценка их перспектив и промышленного значения» (автор — проф. Русаков М. П.).</w:t>
      </w:r>
    </w:p>
    <w:p w14:paraId="7BF64FDB" w14:textId="77777777" w:rsidR="00B90038" w:rsidRPr="00F90EAE" w:rsidRDefault="00B90038" w:rsidP="00F90EAE">
      <w:pPr>
        <w:jc w:val="both"/>
        <w:rPr>
          <w:color w:val="000000" w:themeColor="text1"/>
          <w:sz w:val="16"/>
          <w:szCs w:val="16"/>
        </w:rPr>
      </w:pPr>
      <w:r w:rsidRPr="00F90EAE">
        <w:rPr>
          <w:color w:val="000000" w:themeColor="text1"/>
          <w:sz w:val="16"/>
          <w:szCs w:val="16"/>
        </w:rPr>
        <w:t>Слушали:</w:t>
      </w:r>
    </w:p>
    <w:p w14:paraId="3362727B" w14:textId="77777777" w:rsidR="00B90038" w:rsidRPr="00F90EAE" w:rsidRDefault="00B90038" w:rsidP="00F90EAE">
      <w:pPr>
        <w:jc w:val="both"/>
        <w:rPr>
          <w:color w:val="000000" w:themeColor="text1"/>
          <w:sz w:val="16"/>
          <w:szCs w:val="16"/>
        </w:rPr>
      </w:pPr>
      <w:r w:rsidRPr="00F90EAE">
        <w:rPr>
          <w:color w:val="000000" w:themeColor="text1"/>
          <w:sz w:val="16"/>
          <w:szCs w:val="16"/>
        </w:rPr>
        <w:t>1. Доклад проф.. доктора Русакова М. П. по работе «Ураноносные районы и месторождения Болгарии и предварительная оценка их перспектив и промышленного значения».</w:t>
      </w:r>
    </w:p>
    <w:p w14:paraId="62CE9E24" w14:textId="77777777" w:rsidR="00B90038" w:rsidRPr="00F90EAE" w:rsidRDefault="00B90038" w:rsidP="00F90EAE">
      <w:pPr>
        <w:jc w:val="both"/>
        <w:rPr>
          <w:color w:val="000000" w:themeColor="text1"/>
          <w:sz w:val="16"/>
          <w:szCs w:val="16"/>
        </w:rPr>
      </w:pPr>
      <w:r w:rsidRPr="00F90EAE">
        <w:rPr>
          <w:color w:val="000000" w:themeColor="text1"/>
          <w:sz w:val="16"/>
          <w:szCs w:val="16"/>
        </w:rPr>
        <w:t>2. Экспертное заключение эксперта— члена ВКЗ, проф.. доктора Щербакова А.И. (см. прил 1937 вышел приказ НКОП № I4).</w:t>
      </w:r>
    </w:p>
    <w:p w14:paraId="2B95B388" w14:textId="77777777" w:rsidR="00B90038" w:rsidRPr="00F90EAE" w:rsidRDefault="00B90038" w:rsidP="00F90EAE">
      <w:pPr>
        <w:jc w:val="both"/>
        <w:rPr>
          <w:color w:val="000000" w:themeColor="text1"/>
          <w:sz w:val="16"/>
          <w:szCs w:val="16"/>
        </w:rPr>
      </w:pPr>
      <w:r w:rsidRPr="00F90EAE">
        <w:rPr>
          <w:color w:val="000000" w:themeColor="text1"/>
          <w:sz w:val="16"/>
          <w:szCs w:val="16"/>
        </w:rPr>
        <w:t>3. Экспертное заключение эксперта— члена ВКЗ, нач. сектора № 6 ВИМСа Альтгаузена М.Н. (см. прил 1937 вышел приказ НКОП № 24).</w:t>
      </w:r>
    </w:p>
    <w:p w14:paraId="291523D3" w14:textId="77777777" w:rsidR="00B90038" w:rsidRPr="00F90EAE" w:rsidRDefault="00B90038" w:rsidP="00F90EAE">
      <w:pPr>
        <w:jc w:val="both"/>
        <w:rPr>
          <w:color w:val="000000" w:themeColor="text1"/>
          <w:sz w:val="16"/>
          <w:szCs w:val="16"/>
        </w:rPr>
      </w:pPr>
      <w:r w:rsidRPr="00F90EAE">
        <w:rPr>
          <w:color w:val="000000" w:themeColor="text1"/>
          <w:sz w:val="16"/>
          <w:szCs w:val="16"/>
        </w:rPr>
        <w:t>4. Экспертное заключение эксперта— члена ВКЗ, проф., доктора Крейтера В.М. (см. прил 1937 вышел приказ НКОП № З4).</w:t>
      </w:r>
    </w:p>
    <w:p w14:paraId="2B0C3111" w14:textId="77777777" w:rsidR="00B90038" w:rsidRPr="00F90EAE" w:rsidRDefault="00B90038" w:rsidP="00F90EAE">
      <w:pPr>
        <w:jc w:val="both"/>
        <w:rPr>
          <w:color w:val="000000" w:themeColor="text1"/>
          <w:sz w:val="16"/>
          <w:szCs w:val="16"/>
        </w:rPr>
      </w:pPr>
      <w:r w:rsidRPr="00F90EAE">
        <w:rPr>
          <w:color w:val="000000" w:themeColor="text1"/>
          <w:sz w:val="16"/>
          <w:szCs w:val="16"/>
        </w:rPr>
        <w:t>ВКЗ констатирует:</w:t>
      </w:r>
    </w:p>
    <w:p w14:paraId="0DC323BC" w14:textId="77777777" w:rsidR="00B90038" w:rsidRPr="00F90EAE" w:rsidRDefault="00B90038" w:rsidP="00F90EAE">
      <w:pPr>
        <w:jc w:val="both"/>
        <w:rPr>
          <w:color w:val="000000" w:themeColor="text1"/>
          <w:sz w:val="16"/>
          <w:szCs w:val="16"/>
        </w:rPr>
      </w:pPr>
      <w:r w:rsidRPr="00F90EAE">
        <w:rPr>
          <w:color w:val="000000" w:themeColor="text1"/>
          <w:sz w:val="16"/>
          <w:szCs w:val="16"/>
        </w:rPr>
        <w:t>1. Рассматриваемая работа представляет необычайно расширенное экспертное заключение об урановых месторождениях Болгарии, основанное на личном полевом осмотре автором месторождений Готен и Стрелча и на анализе существующей литературы.</w:t>
      </w:r>
    </w:p>
    <w:p w14:paraId="123E8C83" w14:textId="77777777" w:rsidR="00B90038" w:rsidRPr="00F90EAE" w:rsidRDefault="00B90038" w:rsidP="00F90EAE">
      <w:pPr>
        <w:jc w:val="both"/>
        <w:rPr>
          <w:color w:val="000000" w:themeColor="text1"/>
          <w:sz w:val="16"/>
          <w:szCs w:val="16"/>
        </w:rPr>
      </w:pPr>
      <w:r w:rsidRPr="00F90EAE">
        <w:rPr>
          <w:color w:val="000000" w:themeColor="text1"/>
          <w:sz w:val="16"/>
          <w:szCs w:val="16"/>
        </w:rPr>
        <w:t>2. Кроме освещения и экспертизы рудных полей и месторождений урана, автором затронуты в работе весьма широкие вопросы общей структуры складчатых комплексов, интрузивных циклов и металлогении крупных областей Болгарии, а также дано общее заключение по минерально-сырьевой базе по урану в СССР.</w:t>
      </w:r>
    </w:p>
    <w:p w14:paraId="04A12D53" w14:textId="77777777" w:rsidR="00B90038" w:rsidRPr="00F90EAE" w:rsidRDefault="00B90038" w:rsidP="00F90EAE">
      <w:pPr>
        <w:jc w:val="both"/>
        <w:rPr>
          <w:color w:val="000000" w:themeColor="text1"/>
          <w:sz w:val="16"/>
          <w:szCs w:val="16"/>
        </w:rPr>
      </w:pPr>
      <w:r w:rsidRPr="00F90EAE">
        <w:rPr>
          <w:color w:val="000000" w:themeColor="text1"/>
          <w:sz w:val="16"/>
          <w:szCs w:val="16"/>
        </w:rPr>
        <w:t>3. Указанное выше загромождение работы соображениями, не имеющими прямого отношения к ее задаче, привело к излишнему объему статьи (353 страницы машинописи) и обусловило появление в ней неоднократных повторений, чрезмерно гипотетических концепций и явно ошибочных утверждений (в отношении оценки сырьевой базы СССР по урану— неправильная оценка ресурсов и промышленного значения месторождений Волыни, Акчатау, Каратау, Прибалтики).</w:t>
      </w:r>
    </w:p>
    <w:p w14:paraId="36547151" w14:textId="77777777" w:rsidR="00B90038" w:rsidRPr="00F90EAE" w:rsidRDefault="00B90038" w:rsidP="00F90EAE">
      <w:pPr>
        <w:jc w:val="both"/>
        <w:rPr>
          <w:color w:val="000000" w:themeColor="text1"/>
          <w:sz w:val="16"/>
          <w:szCs w:val="16"/>
        </w:rPr>
      </w:pPr>
      <w:r w:rsidRPr="00F90EAE">
        <w:rPr>
          <w:color w:val="000000" w:themeColor="text1"/>
          <w:sz w:val="16"/>
          <w:szCs w:val="16"/>
        </w:rPr>
        <w:t>4. Для месторождения Готен к моменту экспертизы его проф. М.П. Русаковым имелась только компасная съемка м. 1:1 800. расширенная им глазомерно с измерением расстояний шагами. Разведочно-эксплуатационные выработки, пройденные на месторождении болгарскими предпринимателями, оказались недоступными для осмотра; количество естественных обнажений оказалось очень невелико; никаких графических материалов — планов, зарисовок, профилей по месторождению— не существует: участок месторождения сильно задернован.</w:t>
      </w:r>
    </w:p>
    <w:p w14:paraId="608BF1B0" w14:textId="77777777" w:rsidR="00B90038" w:rsidRPr="00F90EAE" w:rsidRDefault="00B90038" w:rsidP="00F90EAE">
      <w:pPr>
        <w:jc w:val="both"/>
        <w:rPr>
          <w:color w:val="000000" w:themeColor="text1"/>
          <w:sz w:val="16"/>
          <w:szCs w:val="16"/>
        </w:rPr>
      </w:pPr>
      <w:r w:rsidRPr="00F90EAE">
        <w:rPr>
          <w:color w:val="000000" w:themeColor="text1"/>
          <w:sz w:val="16"/>
          <w:szCs w:val="16"/>
        </w:rPr>
        <w:t>5. Из изложенного видно, что для оценки месторождения Готен М.П. Русаков мог располагать лишь весьма СКУДНЫМ Фактическим материалом и не вполне достоверными литературными данными.</w:t>
      </w:r>
    </w:p>
    <w:p w14:paraId="73C3CECA" w14:textId="77777777" w:rsidR="00B90038" w:rsidRPr="00F90EAE" w:rsidRDefault="00B90038" w:rsidP="00F90EAE">
      <w:pPr>
        <w:jc w:val="both"/>
        <w:rPr>
          <w:color w:val="000000" w:themeColor="text1"/>
          <w:sz w:val="16"/>
          <w:szCs w:val="16"/>
        </w:rPr>
      </w:pPr>
      <w:r w:rsidRPr="00F90EAE">
        <w:rPr>
          <w:color w:val="000000" w:themeColor="text1"/>
          <w:sz w:val="16"/>
          <w:szCs w:val="16"/>
        </w:rPr>
        <w:t>6. Экспертизой М.П. Русакова достоверно установлено наличие на Готенском месторождении почти неразведанной рудной зоны, насыщенной вторичными урановыми минералами, типичными для зоны окисления. Оценка среднего содержания U30g в этой окисленной руде произведена М.П. Русаковым в достаточной мере обоснованно. Однако предположение его о трубообразной форме рудного тела, сложенного6 первичными рудами, весьма гипотетично и ни в коей мере не обосновано фактическими данными. Совершенно не доказано также ни фактическими, ни литературными данными наличие под зоной окисления промышленно ценных первичных руд.</w:t>
      </w:r>
    </w:p>
    <w:p w14:paraId="39E12421" w14:textId="77777777" w:rsidR="00B90038" w:rsidRPr="00F90EAE" w:rsidRDefault="00B90038" w:rsidP="00F90EAE">
      <w:pPr>
        <w:jc w:val="both"/>
        <w:rPr>
          <w:color w:val="000000" w:themeColor="text1"/>
          <w:sz w:val="16"/>
          <w:szCs w:val="16"/>
        </w:rPr>
      </w:pPr>
      <w:r w:rsidRPr="00F90EAE">
        <w:rPr>
          <w:color w:val="000000" w:themeColor="text1"/>
          <w:sz w:val="16"/>
          <w:szCs w:val="16"/>
        </w:rPr>
        <w:t>На основании изложенного В КЗ постановила:</w:t>
      </w:r>
    </w:p>
    <w:p w14:paraId="0D33CC80" w14:textId="77777777" w:rsidR="00B90038" w:rsidRPr="00F90EAE" w:rsidRDefault="00B90038" w:rsidP="00F90EAE">
      <w:pPr>
        <w:jc w:val="both"/>
        <w:rPr>
          <w:color w:val="000000" w:themeColor="text1"/>
          <w:sz w:val="16"/>
          <w:szCs w:val="16"/>
        </w:rPr>
      </w:pPr>
      <w:r w:rsidRPr="00F90EAE">
        <w:rPr>
          <w:color w:val="000000" w:themeColor="text1"/>
          <w:sz w:val="16"/>
          <w:szCs w:val="16"/>
        </w:rPr>
        <w:t>1. Отметить, что проф. М.П. Русаковым проделана в весьма короткий срок и в необычайно трудных условиях (даже для геолога высшей квалификации) огромная работа по экспертизе урановых рудопроявлений в Болгарии.</w:t>
      </w:r>
    </w:p>
    <w:p w14:paraId="1738FB0E" w14:textId="77777777" w:rsidR="00B90038" w:rsidRPr="00F90EAE" w:rsidRDefault="00B90038" w:rsidP="00F90EAE">
      <w:pPr>
        <w:jc w:val="both"/>
        <w:rPr>
          <w:color w:val="000000" w:themeColor="text1"/>
          <w:sz w:val="16"/>
          <w:szCs w:val="16"/>
        </w:rPr>
      </w:pPr>
      <w:r w:rsidRPr="00F90EAE">
        <w:rPr>
          <w:color w:val="000000" w:themeColor="text1"/>
          <w:sz w:val="16"/>
          <w:szCs w:val="16"/>
        </w:rPr>
        <w:t>2. Отметить, что проф. М.П. Русаковым правильно и своевременно поднят вопрос о необходимости и целесообразности освоения месторождения Готен и об организации геолого-по- исковых и геологоразведочных работ на уран на территории Болгарии.</w:t>
      </w:r>
    </w:p>
    <w:p w14:paraId="0004168A" w14:textId="77777777" w:rsidR="00B90038" w:rsidRPr="00F90EAE" w:rsidRDefault="00B90038" w:rsidP="00F90EAE">
      <w:pPr>
        <w:jc w:val="both"/>
        <w:rPr>
          <w:color w:val="000000" w:themeColor="text1"/>
          <w:sz w:val="16"/>
          <w:szCs w:val="16"/>
        </w:rPr>
      </w:pPr>
      <w:r w:rsidRPr="00F90EAE">
        <w:rPr>
          <w:color w:val="000000" w:themeColor="text1"/>
          <w:sz w:val="16"/>
          <w:szCs w:val="16"/>
        </w:rPr>
        <w:t>3. ПРИНЯТЬ запасы, подсчитанные М.П. Русаковым по 1-му варианту, в количестве 131 тонны U308, как геологически перспективные по категории С2 по состоянию на 01.01.1945 г. при среднем содержании U30g в руде 0.22% и количестве руды 58 ООО тонн.</w:t>
      </w:r>
    </w:p>
    <w:p w14:paraId="37E1666E" w14:textId="77777777" w:rsidR="00B90038" w:rsidRPr="00F90EAE" w:rsidRDefault="00B90038" w:rsidP="00F90EAE">
      <w:pPr>
        <w:jc w:val="both"/>
        <w:rPr>
          <w:color w:val="000000" w:themeColor="text1"/>
          <w:sz w:val="16"/>
          <w:szCs w:val="16"/>
        </w:rPr>
      </w:pPr>
      <w:r w:rsidRPr="00F90EAE">
        <w:rPr>
          <w:color w:val="000000" w:themeColor="text1"/>
          <w:sz w:val="16"/>
          <w:szCs w:val="16"/>
        </w:rPr>
        <w:t>4. Рекомендовать Первому главному управлению при Совете Министров СССР и Первому главному управлению при Комитете по делам геологии при Совете Министров СССР организовать изучение и разведку месторождений Готен и Стрелча, а также геолого-поисковые работы на уран на территории Болгарии.</w:t>
      </w:r>
    </w:p>
    <w:p w14:paraId="5D234993" w14:textId="77777777" w:rsidR="00B90038" w:rsidRPr="00F90EAE" w:rsidRDefault="00B90038" w:rsidP="00F90EAE">
      <w:pPr>
        <w:jc w:val="both"/>
        <w:rPr>
          <w:color w:val="000000" w:themeColor="text1"/>
          <w:sz w:val="16"/>
          <w:szCs w:val="16"/>
        </w:rPr>
      </w:pPr>
      <w:r w:rsidRPr="00F90EAE">
        <w:rPr>
          <w:color w:val="000000" w:themeColor="text1"/>
          <w:sz w:val="16"/>
          <w:szCs w:val="16"/>
        </w:rPr>
        <w:t>Председатель ВКЗ профессор, доктор Татаринов П.М.</w:t>
      </w:r>
    </w:p>
    <w:p w14:paraId="2DCA7C46" w14:textId="77777777" w:rsidR="00B90038" w:rsidRPr="00F90EAE" w:rsidRDefault="00B90038" w:rsidP="00F90EAE">
      <w:pPr>
        <w:jc w:val="both"/>
        <w:rPr>
          <w:color w:val="000000" w:themeColor="text1"/>
          <w:sz w:val="16"/>
          <w:szCs w:val="16"/>
        </w:rPr>
      </w:pPr>
      <w:r w:rsidRPr="00F90EAE">
        <w:rPr>
          <w:color w:val="000000" w:themeColor="text1"/>
          <w:sz w:val="16"/>
          <w:szCs w:val="16"/>
        </w:rPr>
        <w:t>Члены ВКЗ Шутлив Ф.А.</w:t>
      </w:r>
    </w:p>
    <w:p w14:paraId="4C0E442C" w14:textId="77777777" w:rsidR="00B90038" w:rsidRPr="00F90EAE" w:rsidRDefault="00B90038" w:rsidP="00F90EAE">
      <w:pPr>
        <w:jc w:val="both"/>
        <w:rPr>
          <w:color w:val="000000" w:themeColor="text1"/>
          <w:sz w:val="16"/>
          <w:szCs w:val="16"/>
        </w:rPr>
      </w:pPr>
      <w:r w:rsidRPr="00F90EAE">
        <w:rPr>
          <w:color w:val="000000" w:themeColor="text1"/>
          <w:sz w:val="16"/>
          <w:szCs w:val="16"/>
        </w:rPr>
        <w:t>Щербаков Д.И. Альтгаузен М.Н. Крейтер В.М.</w:t>
      </w:r>
    </w:p>
    <w:p w14:paraId="5A5A3568" w14:textId="77777777" w:rsidR="00B90038" w:rsidRPr="00F90EAE" w:rsidRDefault="00B90038" w:rsidP="00F90EAE">
      <w:pPr>
        <w:jc w:val="both"/>
        <w:rPr>
          <w:color w:val="000000" w:themeColor="text1"/>
          <w:sz w:val="16"/>
          <w:szCs w:val="16"/>
        </w:rPr>
      </w:pPr>
      <w:r w:rsidRPr="00F90EAE">
        <w:rPr>
          <w:color w:val="000000" w:themeColor="text1"/>
          <w:sz w:val="16"/>
          <w:szCs w:val="16"/>
        </w:rPr>
        <w:t>Резолюция В.А. Махнева, от руки: m. Сизову (подчеркнуто). Доложите вместе с заявлением проф. Русакова.8 (подпись) 14/VI (15720).</w:t>
      </w:r>
    </w:p>
    <w:p w14:paraId="51BFC66C" w14:textId="77777777" w:rsidR="00B90038" w:rsidRPr="00F90EAE" w:rsidRDefault="00B90038" w:rsidP="00F90EAE">
      <w:pPr>
        <w:jc w:val="both"/>
        <w:rPr>
          <w:color w:val="000000" w:themeColor="text1"/>
          <w:sz w:val="16"/>
          <w:szCs w:val="16"/>
        </w:rPr>
      </w:pPr>
    </w:p>
    <w:p w14:paraId="452C0FCD"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14  июня  </w:t>
      </w:r>
      <w:bookmarkStart w:id="16" w:name="YANDEX_7"/>
      <w:bookmarkEnd w:id="16"/>
      <w:r w:rsidRPr="00F90EAE">
        <w:rPr>
          <w:color w:val="000000" w:themeColor="text1"/>
          <w:sz w:val="16"/>
          <w:szCs w:val="16"/>
        </w:rPr>
        <w:t xml:space="preserve"> 1945  года приказом Командующего 4-м ВМФ Балтийского моря адмирала Левченко за № 0132  в разряд действующих судоремонтных предприятий ВМС СССР  был введен бывший Пиллаусский морской </w:t>
      </w:r>
      <w:bookmarkStart w:id="17" w:name="YANDEX_4"/>
      <w:bookmarkEnd w:id="17"/>
      <w:r w:rsidRPr="00F90EAE">
        <w:rPr>
          <w:color w:val="000000" w:themeColor="text1"/>
          <w:sz w:val="16"/>
          <w:szCs w:val="16"/>
        </w:rPr>
        <w:t> завод Данцингской судостроительной фирмы «Шихау», созданный в 1889 - будущий завод № 33.</w:t>
      </w:r>
    </w:p>
    <w:p w14:paraId="4666FAE6"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Для организации военного  судоремонта на базе  Пиллаусского морского </w:t>
      </w:r>
      <w:bookmarkStart w:id="18" w:name="YANDEX_8"/>
      <w:bookmarkEnd w:id="18"/>
      <w:r w:rsidRPr="00F90EAE">
        <w:rPr>
          <w:color w:val="000000" w:themeColor="text1"/>
          <w:sz w:val="16"/>
          <w:szCs w:val="16"/>
        </w:rPr>
        <w:t xml:space="preserve"> завода  начальник технического отдела БФ назначил инженер-капитан-лейтенанта Хохлова Павла Михайловича. Одновременно с этим было отдано приказание командиру судоремонтного батальона в Ленинграде о направлении в Пиллау одного судоремонтного взвода. Захватив с собой материалы и запасные части со складов технического отдела ЛенВМБ, колонна автомашин 25 мая </w:t>
      </w:r>
      <w:bookmarkStart w:id="19" w:name="YANDEX_9"/>
      <w:bookmarkEnd w:id="19"/>
      <w:r w:rsidRPr="00F90EAE">
        <w:rPr>
          <w:color w:val="000000" w:themeColor="text1"/>
          <w:sz w:val="16"/>
          <w:szCs w:val="16"/>
        </w:rPr>
        <w:t> 1945  года прибыла в г. Пиллау.</w:t>
      </w:r>
    </w:p>
    <w:p w14:paraId="77B411B5"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26 мая </w:t>
      </w:r>
      <w:bookmarkStart w:id="20" w:name="YANDEX_10"/>
      <w:bookmarkEnd w:id="20"/>
      <w:r w:rsidRPr="00F90EAE">
        <w:rPr>
          <w:color w:val="000000" w:themeColor="text1"/>
          <w:sz w:val="16"/>
          <w:szCs w:val="16"/>
        </w:rPr>
        <w:t xml:space="preserve"> 1945  года на </w:t>
      </w:r>
      <w:bookmarkStart w:id="21" w:name="YANDEX_11"/>
      <w:bookmarkEnd w:id="21"/>
      <w:r w:rsidRPr="00F90EAE">
        <w:rPr>
          <w:color w:val="000000" w:themeColor="text1"/>
          <w:sz w:val="16"/>
          <w:szCs w:val="16"/>
        </w:rPr>
        <w:t> завод  прибыл Командующий Юго-Западным морским оборонительным районом (ЮЗМОР) вице-адмирал Виноградов Н.И. и поставил первым организаторам завода три основные задачи:</w:t>
      </w:r>
    </w:p>
    <w:p w14:paraId="521849E2"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-восстановить разрушенные здания и ввести в строй основное оборудование </w:t>
      </w:r>
      <w:bookmarkStart w:id="22" w:name="YANDEX_12"/>
      <w:bookmarkEnd w:id="22"/>
      <w:r w:rsidRPr="00F90EAE">
        <w:rPr>
          <w:color w:val="000000" w:themeColor="text1"/>
          <w:sz w:val="16"/>
          <w:szCs w:val="16"/>
        </w:rPr>
        <w:t> завода ;</w:t>
      </w:r>
    </w:p>
    <w:p w14:paraId="08D74A22" w14:textId="77777777" w:rsidR="00873386" w:rsidRPr="00F90EAE" w:rsidRDefault="00873386" w:rsidP="00F90EAE">
      <w:pPr>
        <w:jc w:val="both"/>
        <w:rPr>
          <w:color w:val="000000" w:themeColor="text1"/>
          <w:sz w:val="16"/>
          <w:szCs w:val="16"/>
        </w:rPr>
      </w:pPr>
      <w:r w:rsidRPr="00F90EAE">
        <w:rPr>
          <w:color w:val="000000" w:themeColor="text1"/>
          <w:sz w:val="16"/>
          <w:szCs w:val="16"/>
        </w:rPr>
        <w:t>-обеспечить ремонт кораблей, в первую очередь – тральщиков, занятых боевым тралением;</w:t>
      </w:r>
    </w:p>
    <w:p w14:paraId="4643A476" w14:textId="77777777" w:rsidR="00873386" w:rsidRPr="00F90EAE" w:rsidRDefault="00873386" w:rsidP="00F90EAE">
      <w:pPr>
        <w:jc w:val="both"/>
        <w:rPr>
          <w:color w:val="000000" w:themeColor="text1"/>
          <w:sz w:val="16"/>
          <w:szCs w:val="16"/>
        </w:rPr>
      </w:pPr>
      <w:r w:rsidRPr="00F90EAE">
        <w:rPr>
          <w:color w:val="000000" w:themeColor="text1"/>
          <w:sz w:val="16"/>
          <w:szCs w:val="16"/>
        </w:rPr>
        <w:t>-оказать помощь инженерному отделу военно-морской базы в восстановлении водоснабжения и  энергетики базы.</w:t>
      </w:r>
    </w:p>
    <w:p w14:paraId="2C091FDB"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27 мая </w:t>
      </w:r>
      <w:bookmarkStart w:id="23" w:name="YANDEX_13"/>
      <w:bookmarkEnd w:id="23"/>
      <w:r w:rsidRPr="00F90EAE">
        <w:rPr>
          <w:color w:val="000000" w:themeColor="text1"/>
          <w:sz w:val="16"/>
          <w:szCs w:val="16"/>
        </w:rPr>
        <w:t xml:space="preserve"> 1945  года инженер-капитан-лейтенант Хохлов П.М. подписал приказ №1 об организации Пиллаусского судоремонтного </w:t>
      </w:r>
      <w:bookmarkStart w:id="24" w:name="YANDEX_14"/>
      <w:bookmarkEnd w:id="24"/>
      <w:r w:rsidRPr="00F90EAE">
        <w:rPr>
          <w:color w:val="000000" w:themeColor="text1"/>
          <w:sz w:val="16"/>
          <w:szCs w:val="16"/>
        </w:rPr>
        <w:t xml:space="preserve"> завода  и назначил исполняющим обязанности Главного инженера — инженера-капитана М.М. Ципина, Главного механика — старшину 1 статьи Резниченко и других специалистов. В этот же день прошло первое производственное совещание руководящего состава </w:t>
      </w:r>
      <w:bookmarkStart w:id="25" w:name="YANDEX_15"/>
      <w:bookmarkEnd w:id="25"/>
      <w:r w:rsidRPr="00F90EAE">
        <w:rPr>
          <w:color w:val="000000" w:themeColor="text1"/>
          <w:sz w:val="16"/>
          <w:szCs w:val="16"/>
        </w:rPr>
        <w:t xml:space="preserve"> завода  по реализации плана восстановления </w:t>
      </w:r>
      <w:bookmarkStart w:id="26" w:name="YANDEX_16"/>
      <w:bookmarkEnd w:id="26"/>
      <w:r w:rsidRPr="00F90EAE">
        <w:rPr>
          <w:color w:val="000000" w:themeColor="text1"/>
          <w:sz w:val="16"/>
          <w:szCs w:val="16"/>
        </w:rPr>
        <w:t> завода  и организации судоремонта.</w:t>
      </w:r>
    </w:p>
    <w:p w14:paraId="7517D7FE"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1 июля </w:t>
      </w:r>
      <w:bookmarkStart w:id="27" w:name="YANDEX_17"/>
      <w:bookmarkEnd w:id="27"/>
      <w:r w:rsidRPr="00F90EAE">
        <w:rPr>
          <w:color w:val="000000" w:themeColor="text1"/>
          <w:sz w:val="16"/>
          <w:szCs w:val="16"/>
        </w:rPr>
        <w:t xml:space="preserve"> 1945  года на </w:t>
      </w:r>
      <w:bookmarkStart w:id="28" w:name="YANDEX_18"/>
      <w:bookmarkEnd w:id="28"/>
      <w:r w:rsidRPr="00F90EAE">
        <w:rPr>
          <w:color w:val="000000" w:themeColor="text1"/>
          <w:sz w:val="16"/>
          <w:szCs w:val="16"/>
        </w:rPr>
        <w:t xml:space="preserve"> завод  прибыл первый официальный начальник </w:t>
      </w:r>
      <w:bookmarkStart w:id="29" w:name="YANDEX_19"/>
      <w:bookmarkEnd w:id="29"/>
      <w:r w:rsidRPr="00F90EAE">
        <w:rPr>
          <w:color w:val="000000" w:themeColor="text1"/>
          <w:sz w:val="16"/>
          <w:szCs w:val="16"/>
        </w:rPr>
        <w:t xml:space="preserve"> завода  – капитан 3 ранга Чарторижский Николай Леонтьевич, а 3 июля – Главный инженер </w:t>
      </w:r>
      <w:bookmarkStart w:id="30" w:name="YANDEX_20"/>
      <w:bookmarkEnd w:id="30"/>
      <w:r w:rsidRPr="00F90EAE">
        <w:rPr>
          <w:color w:val="000000" w:themeColor="text1"/>
          <w:sz w:val="16"/>
          <w:szCs w:val="16"/>
        </w:rPr>
        <w:t> завода  – инженер-капитан 3 ранга Сешко Иван Петрович. Инженер-капитан-лейтенант Хохлов П.М. был назначен Главным строителем.</w:t>
      </w:r>
    </w:p>
    <w:p w14:paraId="2EC61765" w14:textId="77777777" w:rsidR="00873386" w:rsidRPr="00F90EAE" w:rsidRDefault="00873386" w:rsidP="00F90EAE">
      <w:pPr>
        <w:jc w:val="both"/>
        <w:rPr>
          <w:color w:val="000000" w:themeColor="text1"/>
          <w:sz w:val="16"/>
          <w:szCs w:val="16"/>
        </w:rPr>
      </w:pPr>
      <w:r w:rsidRPr="00F90EAE">
        <w:rPr>
          <w:color w:val="000000" w:themeColor="text1"/>
          <w:sz w:val="16"/>
          <w:szCs w:val="16"/>
        </w:rPr>
        <w:t xml:space="preserve">К середине лета </w:t>
      </w:r>
      <w:bookmarkStart w:id="31" w:name="YANDEX_21"/>
      <w:bookmarkEnd w:id="31"/>
      <w:r w:rsidRPr="00F90EAE">
        <w:rPr>
          <w:color w:val="000000" w:themeColor="text1"/>
          <w:sz w:val="16"/>
          <w:szCs w:val="16"/>
        </w:rPr>
        <w:t xml:space="preserve"> 1945  года на </w:t>
      </w:r>
      <w:bookmarkStart w:id="32" w:name="YANDEX_22"/>
      <w:bookmarkEnd w:id="32"/>
      <w:r w:rsidRPr="00F90EAE">
        <w:rPr>
          <w:color w:val="000000" w:themeColor="text1"/>
          <w:sz w:val="16"/>
          <w:szCs w:val="16"/>
        </w:rPr>
        <w:t> заводе  уже работали слесарно-механический, дизелеремонтный и электротехнический цеха, подняли и ввели в строй затонувший у причала плавучий док, отремонтировали и частично углубили причальные стенки.  Завод  успешно осваивал ремонт больших охотников пр. 122Б, буксиров, катерных тральщиков – 100-тонников, торпедных катеров Г-5, вспомогательных судов.</w:t>
      </w:r>
    </w:p>
    <w:p w14:paraId="007C5BBB" w14:textId="77777777" w:rsidR="00873386" w:rsidRPr="00F90EAE" w:rsidRDefault="00873386" w:rsidP="00F90EAE">
      <w:pPr>
        <w:jc w:val="both"/>
        <w:rPr>
          <w:color w:val="000000" w:themeColor="text1"/>
          <w:sz w:val="16"/>
          <w:szCs w:val="16"/>
        </w:rPr>
      </w:pPr>
      <w:r w:rsidRPr="00F90EAE">
        <w:rPr>
          <w:color w:val="000000" w:themeColor="text1"/>
          <w:sz w:val="16"/>
          <w:szCs w:val="16"/>
        </w:rPr>
        <w:t>Начиная с  1945  года, каждую зиму на ремонт становились паровые землечерпалки и землесосы ЗМС-6. Все четыре землечерпалки с шаландами (т.н. караваны) очень интенсивно работали на дноуглубительных работах в гаванях Военно-Морской базы и на акватории  завода </w:t>
      </w:r>
      <w:bookmarkStart w:id="33" w:name="YANDEX_LAST"/>
      <w:bookmarkEnd w:id="33"/>
      <w:r w:rsidRPr="00F90EAE">
        <w:rPr>
          <w:color w:val="000000" w:themeColor="text1"/>
          <w:sz w:val="16"/>
          <w:szCs w:val="16"/>
        </w:rPr>
        <w:t>, вывозя в море тысячи тонн ила и грязи.</w:t>
      </w:r>
    </w:p>
    <w:p w14:paraId="3DD7C6D6" w14:textId="77777777" w:rsidR="00873386" w:rsidRPr="00F90EAE" w:rsidRDefault="00873386" w:rsidP="00F90EAE">
      <w:pPr>
        <w:jc w:val="both"/>
        <w:rPr>
          <w:color w:val="000000" w:themeColor="text1"/>
          <w:sz w:val="16"/>
          <w:szCs w:val="16"/>
        </w:rPr>
      </w:pPr>
      <w:r w:rsidRPr="00F90EAE">
        <w:rPr>
          <w:color w:val="000000" w:themeColor="text1"/>
          <w:sz w:val="16"/>
          <w:szCs w:val="16"/>
        </w:rPr>
        <w:t>Наличие незамерзающих гаваней завода, оборудованных причалов, доков, квалифицированных специалистов позволило освоить за истекшие 61 год ремонт более 80 проектов военных кораблей и вспомогательных судов Дважды Краснознаменного Балтийского флота.</w:t>
      </w:r>
    </w:p>
    <w:p w14:paraId="19F3D889" w14:textId="77777777" w:rsidR="00873386" w:rsidRPr="00F90EAE" w:rsidRDefault="00873386" w:rsidP="00F90EAE">
      <w:pPr>
        <w:jc w:val="both"/>
        <w:rPr>
          <w:color w:val="000000" w:themeColor="text1"/>
          <w:sz w:val="16"/>
          <w:szCs w:val="16"/>
        </w:rPr>
      </w:pPr>
      <w:r w:rsidRPr="00F90EAE">
        <w:rPr>
          <w:color w:val="000000" w:themeColor="text1"/>
          <w:sz w:val="16"/>
          <w:szCs w:val="16"/>
        </w:rPr>
        <w:t>С конца 80-х годов прошлого века завод освоил ремонт гражданских судов рыбопромыслового флота, нефтеналивных, сухогрузов и научно-исследовательских судов.</w:t>
      </w:r>
    </w:p>
    <w:p w14:paraId="3AC6C813" w14:textId="77777777" w:rsidR="00873386" w:rsidRPr="00F90EAE" w:rsidRDefault="00873386" w:rsidP="00F90EAE">
      <w:pPr>
        <w:jc w:val="both"/>
        <w:rPr>
          <w:color w:val="000000" w:themeColor="text1"/>
          <w:sz w:val="16"/>
          <w:szCs w:val="16"/>
        </w:rPr>
      </w:pPr>
      <w:r w:rsidRPr="00F90EAE">
        <w:rPr>
          <w:color w:val="000000" w:themeColor="text1"/>
          <w:sz w:val="16"/>
          <w:szCs w:val="16"/>
        </w:rPr>
        <w:t>Экономический кризис в стране 1997-1998 годов затронул и наш завод. Генеральный заказчик – ВМФ – значительно сократил пакет заказов, в 1998 году оплата по счетам за выполненный судоремонт составила лишь 27% (17450).</w:t>
      </w:r>
    </w:p>
    <w:p w14:paraId="65A4C9F1" w14:textId="77777777" w:rsidR="00873386" w:rsidRPr="00F90EAE" w:rsidRDefault="00873386" w:rsidP="00F90EAE">
      <w:pPr>
        <w:jc w:val="both"/>
        <w:rPr>
          <w:color w:val="000000" w:themeColor="text1"/>
          <w:sz w:val="16"/>
          <w:szCs w:val="16"/>
        </w:rPr>
      </w:pPr>
    </w:p>
    <w:p w14:paraId="7DE40C4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0B7BE96" w14:textId="77777777" w:rsidR="006103B3" w:rsidRPr="00F90EAE" w:rsidRDefault="006103B3" w:rsidP="00F90EAE">
      <w:pPr>
        <w:autoSpaceDE w:val="0"/>
        <w:autoSpaceDN w:val="0"/>
        <w:adjustRightInd w:val="0"/>
        <w:jc w:val="both"/>
        <w:rPr>
          <w:iCs/>
          <w:color w:val="000000" w:themeColor="text1"/>
          <w:sz w:val="16"/>
          <w:szCs w:val="16"/>
        </w:rPr>
      </w:pPr>
    </w:p>
    <w:p w14:paraId="14173C5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июня 1945 вышло Постановление ГКО № 9054 О мероприятиях, связанных с проведением закона о демобилизации старших возрастов личного состава действующей армии. (7350, 15-21,22-27).</w:t>
      </w:r>
    </w:p>
    <w:p w14:paraId="5A73744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A40C6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 июня 1945 иап Нормандия-Неман на 38 Як-3 вылетел во Францию (438,952).</w:t>
      </w:r>
    </w:p>
    <w:p w14:paraId="42061627" w14:textId="77777777" w:rsidR="006103B3" w:rsidRPr="00F90EAE" w:rsidRDefault="006103B3" w:rsidP="00F90EAE">
      <w:pPr>
        <w:autoSpaceDE w:val="0"/>
        <w:autoSpaceDN w:val="0"/>
        <w:adjustRightInd w:val="0"/>
        <w:jc w:val="both"/>
        <w:rPr>
          <w:color w:val="000000" w:themeColor="text1"/>
          <w:sz w:val="16"/>
          <w:szCs w:val="16"/>
        </w:rPr>
      </w:pPr>
    </w:p>
    <w:p w14:paraId="7E8CBD7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784E771E" w14:textId="77777777" w:rsidR="006103B3" w:rsidRPr="00F90EAE" w:rsidRDefault="006103B3" w:rsidP="00F90EAE">
      <w:pPr>
        <w:autoSpaceDE w:val="0"/>
        <w:autoSpaceDN w:val="0"/>
        <w:adjustRightInd w:val="0"/>
        <w:jc w:val="both"/>
        <w:rPr>
          <w:iCs/>
          <w:color w:val="000000" w:themeColor="text1"/>
          <w:sz w:val="16"/>
          <w:szCs w:val="16"/>
        </w:rPr>
      </w:pPr>
    </w:p>
    <w:p w14:paraId="73AC3CFD" w14:textId="77777777" w:rsidR="004533E5" w:rsidRPr="00F90EAE" w:rsidRDefault="004533E5" w:rsidP="00F90EAE">
      <w:pPr>
        <w:jc w:val="both"/>
        <w:rPr>
          <w:color w:val="0070C0"/>
          <w:sz w:val="16"/>
          <w:szCs w:val="16"/>
        </w:rPr>
      </w:pPr>
      <w:r w:rsidRPr="00F90EAE">
        <w:rPr>
          <w:color w:val="0070C0"/>
          <w:sz w:val="16"/>
          <w:szCs w:val="16"/>
        </w:rPr>
        <w:t>14 июня 1945 первый полет Avro Tudor 1 G-AGPF, первого британского гражданский герметичного самолета (20371).</w:t>
      </w:r>
    </w:p>
    <w:p w14:paraId="31ACAB40" w14:textId="77777777" w:rsidR="004533E5" w:rsidRPr="00F90EAE" w:rsidRDefault="004533E5" w:rsidP="00F90EAE">
      <w:pPr>
        <w:jc w:val="both"/>
        <w:rPr>
          <w:color w:val="0070C0"/>
          <w:sz w:val="16"/>
          <w:szCs w:val="16"/>
        </w:rPr>
      </w:pPr>
    </w:p>
    <w:p w14:paraId="753CACE9" w14:textId="77777777" w:rsidR="0002077A" w:rsidRPr="00F90EAE" w:rsidRDefault="0002077A"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июня 1945 в Гамбурге английскими солдатами арестован скрывшийся министр иностранных дел Германии И. Риббентроп (4962).</w:t>
      </w:r>
    </w:p>
    <w:p w14:paraId="33C25FF4" w14:textId="77777777" w:rsidR="0002077A" w:rsidRPr="00F90EAE" w:rsidRDefault="0002077A" w:rsidP="00F90EAE">
      <w:pPr>
        <w:tabs>
          <w:tab w:val="left" w:pos="11199"/>
        </w:tabs>
        <w:autoSpaceDE w:val="0"/>
        <w:autoSpaceDN w:val="0"/>
        <w:adjustRightInd w:val="0"/>
        <w:jc w:val="both"/>
        <w:rPr>
          <w:color w:val="000000" w:themeColor="text1"/>
          <w:sz w:val="16"/>
          <w:szCs w:val="16"/>
        </w:rPr>
      </w:pPr>
    </w:p>
    <w:p w14:paraId="42E7F07A" w14:textId="77777777" w:rsidR="0002077A" w:rsidRPr="00F90EAE" w:rsidRDefault="0002077A" w:rsidP="00F90EAE">
      <w:pPr>
        <w:autoSpaceDE w:val="0"/>
        <w:autoSpaceDN w:val="0"/>
        <w:adjustRightInd w:val="0"/>
        <w:jc w:val="both"/>
        <w:rPr>
          <w:color w:val="000000" w:themeColor="text1"/>
          <w:sz w:val="16"/>
          <w:szCs w:val="16"/>
        </w:rPr>
      </w:pPr>
      <w:r w:rsidRPr="00F90EAE">
        <w:rPr>
          <w:color w:val="000000" w:themeColor="text1"/>
          <w:sz w:val="16"/>
          <w:szCs w:val="16"/>
        </w:rPr>
        <w:t>14 июня 1945 в Гамбурге был схвачен Иоахим фон Риббентроп и потом попал под Нюрнбергский трибунал (3263,328).</w:t>
      </w:r>
    </w:p>
    <w:p w14:paraId="5701542E" w14:textId="77777777" w:rsidR="0002077A" w:rsidRPr="00F90EAE" w:rsidRDefault="0002077A" w:rsidP="00F90EAE">
      <w:pPr>
        <w:autoSpaceDE w:val="0"/>
        <w:autoSpaceDN w:val="0"/>
        <w:adjustRightInd w:val="0"/>
        <w:jc w:val="both"/>
        <w:rPr>
          <w:color w:val="000000" w:themeColor="text1"/>
          <w:sz w:val="16"/>
          <w:szCs w:val="16"/>
        </w:rPr>
      </w:pPr>
    </w:p>
    <w:p w14:paraId="69075D13" w14:textId="77777777" w:rsidR="0002077A" w:rsidRPr="00F90EAE" w:rsidRDefault="0002077A" w:rsidP="00F90EAE">
      <w:pPr>
        <w:jc w:val="both"/>
        <w:rPr>
          <w:color w:val="000000" w:themeColor="text1"/>
          <w:sz w:val="16"/>
          <w:szCs w:val="16"/>
        </w:rPr>
      </w:pPr>
      <w:r w:rsidRPr="00F90EAE">
        <w:rPr>
          <w:bCs/>
          <w:color w:val="000000" w:themeColor="text1"/>
          <w:sz w:val="16"/>
          <w:szCs w:val="16"/>
        </w:rPr>
        <w:t>14 июня</w:t>
      </w:r>
      <w:r w:rsidRPr="00F90EAE">
        <w:rPr>
          <w:color w:val="000000" w:themeColor="text1"/>
          <w:sz w:val="16"/>
          <w:szCs w:val="16"/>
        </w:rPr>
        <w:t xml:space="preserve"> в 1945 году в Гамбурге схвачен пытавшийся скрыться Иоахим Риббентроп, министр иностранных дел фашистской Германии. Он предстанет перед Нюрнбергским трибуналом в числе главных военных преступников (14922).</w:t>
      </w:r>
    </w:p>
    <w:p w14:paraId="5A8A7F1D" w14:textId="77777777" w:rsidR="0002077A" w:rsidRPr="00F90EAE" w:rsidRDefault="0002077A" w:rsidP="00F90EAE">
      <w:pPr>
        <w:jc w:val="both"/>
        <w:rPr>
          <w:color w:val="000000" w:themeColor="text1"/>
          <w:sz w:val="16"/>
          <w:szCs w:val="16"/>
        </w:rPr>
      </w:pPr>
    </w:p>
    <w:p w14:paraId="0E3B53E1" w14:textId="77777777" w:rsidR="0002077A" w:rsidRPr="00F90EAE" w:rsidRDefault="0002077A" w:rsidP="00F90EAE">
      <w:pPr>
        <w:jc w:val="both"/>
        <w:rPr>
          <w:color w:val="000000" w:themeColor="text1"/>
          <w:sz w:val="16"/>
          <w:szCs w:val="16"/>
        </w:rPr>
      </w:pPr>
      <w:r w:rsidRPr="00F90EAE">
        <w:rPr>
          <w:bCs/>
          <w:color w:val="000000" w:themeColor="text1"/>
          <w:sz w:val="16"/>
          <w:szCs w:val="16"/>
        </w:rPr>
        <w:t>14 июня</w:t>
      </w:r>
      <w:r w:rsidRPr="00F90EAE">
        <w:rPr>
          <w:color w:val="000000" w:themeColor="text1"/>
          <w:sz w:val="16"/>
          <w:szCs w:val="16"/>
        </w:rPr>
        <w:t xml:space="preserve"> в 1945 году У.Черчилль в предвыборной полемике заявил, что если лейбористы получат власть, в Великобритании неизбежно возникнет гестапо (14922).</w:t>
      </w:r>
    </w:p>
    <w:p w14:paraId="150D9823" w14:textId="77777777" w:rsidR="0002077A" w:rsidRPr="00F90EAE" w:rsidRDefault="0002077A" w:rsidP="00F90EAE">
      <w:pPr>
        <w:jc w:val="both"/>
        <w:rPr>
          <w:color w:val="000000" w:themeColor="text1"/>
          <w:sz w:val="16"/>
          <w:szCs w:val="16"/>
        </w:rPr>
      </w:pPr>
    </w:p>
    <w:p w14:paraId="45922F70" w14:textId="77777777" w:rsidR="0002077A" w:rsidRPr="00F90EAE" w:rsidRDefault="0002077A" w:rsidP="00F90EAE">
      <w:pPr>
        <w:jc w:val="both"/>
        <w:rPr>
          <w:color w:val="000000" w:themeColor="text1"/>
          <w:sz w:val="16"/>
          <w:szCs w:val="16"/>
        </w:rPr>
      </w:pPr>
      <w:r w:rsidRPr="00F90EAE">
        <w:rPr>
          <w:bCs/>
          <w:color w:val="000000" w:themeColor="text1"/>
          <w:sz w:val="16"/>
          <w:szCs w:val="16"/>
        </w:rPr>
        <w:t>14 июня</w:t>
      </w:r>
      <w:r w:rsidRPr="00F90EAE">
        <w:rPr>
          <w:color w:val="000000" w:themeColor="text1"/>
          <w:sz w:val="16"/>
          <w:szCs w:val="16"/>
        </w:rPr>
        <w:t xml:space="preserve"> в 1945 году несколько радиостанций различных стран сообщают о том, что Гитлер жив и может скрываться в Испании, Аргентине или Ирландии (14922).</w:t>
      </w:r>
    </w:p>
    <w:p w14:paraId="1432A26C" w14:textId="77777777" w:rsidR="0002077A" w:rsidRPr="00F90EAE" w:rsidRDefault="0002077A" w:rsidP="00F90EAE">
      <w:pPr>
        <w:jc w:val="both"/>
        <w:rPr>
          <w:color w:val="000000" w:themeColor="text1"/>
          <w:sz w:val="16"/>
          <w:szCs w:val="16"/>
        </w:rPr>
      </w:pPr>
    </w:p>
    <w:p w14:paraId="758DCEB1" w14:textId="77777777" w:rsidR="0002077A" w:rsidRPr="00F90EAE" w:rsidRDefault="0002077A" w:rsidP="00F90EAE">
      <w:pPr>
        <w:jc w:val="both"/>
        <w:rPr>
          <w:color w:val="000000" w:themeColor="text1"/>
          <w:sz w:val="16"/>
          <w:szCs w:val="16"/>
        </w:rPr>
      </w:pPr>
      <w:r w:rsidRPr="00F90EAE">
        <w:rPr>
          <w:bCs/>
          <w:color w:val="000000" w:themeColor="text1"/>
          <w:sz w:val="16"/>
          <w:szCs w:val="16"/>
        </w:rPr>
        <w:t>14 июня</w:t>
      </w:r>
      <w:r w:rsidRPr="00F90EAE">
        <w:rPr>
          <w:color w:val="000000" w:themeColor="text1"/>
          <w:sz w:val="16"/>
          <w:szCs w:val="16"/>
        </w:rPr>
        <w:t xml:space="preserve"> в 1945 году началось выселение судетских немцев из Чехословакии (14922).</w:t>
      </w:r>
    </w:p>
    <w:p w14:paraId="5C3F44C0" w14:textId="77777777" w:rsidR="0002077A" w:rsidRPr="00F90EAE" w:rsidRDefault="0002077A" w:rsidP="00F90EAE">
      <w:pPr>
        <w:jc w:val="both"/>
        <w:rPr>
          <w:color w:val="000000" w:themeColor="text1"/>
          <w:sz w:val="16"/>
          <w:szCs w:val="16"/>
        </w:rPr>
      </w:pPr>
    </w:p>
    <w:p w14:paraId="023D5BAF" w14:textId="77777777" w:rsidR="0002077A" w:rsidRPr="00F90EAE" w:rsidRDefault="0002077A" w:rsidP="00F90EAE">
      <w:pPr>
        <w:jc w:val="both"/>
        <w:rPr>
          <w:color w:val="000000" w:themeColor="text1"/>
          <w:sz w:val="16"/>
          <w:szCs w:val="16"/>
        </w:rPr>
      </w:pPr>
      <w:r w:rsidRPr="00F90EAE">
        <w:rPr>
          <w:bCs/>
          <w:color w:val="000000" w:themeColor="text1"/>
          <w:sz w:val="16"/>
          <w:szCs w:val="16"/>
        </w:rPr>
        <w:t>14 июня</w:t>
      </w:r>
      <w:r w:rsidRPr="00F90EAE">
        <w:rPr>
          <w:color w:val="000000" w:themeColor="text1"/>
          <w:sz w:val="16"/>
          <w:szCs w:val="16"/>
        </w:rPr>
        <w:t xml:space="preserve"> в 1945 году (14-15 июня) рейд английских торпедоносцев на острова Трук (14922).</w:t>
      </w:r>
    </w:p>
    <w:p w14:paraId="06F30B90" w14:textId="77777777" w:rsidR="0002077A" w:rsidRPr="00F90EAE" w:rsidRDefault="0002077A" w:rsidP="00F90EAE">
      <w:pPr>
        <w:jc w:val="both"/>
        <w:rPr>
          <w:color w:val="000000" w:themeColor="text1"/>
          <w:sz w:val="16"/>
          <w:szCs w:val="16"/>
        </w:rPr>
      </w:pPr>
    </w:p>
    <w:p w14:paraId="350F55A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14 июня 1945 английские войска полностью освободили Бирму от японских фашистов (4962).</w:t>
      </w:r>
    </w:p>
    <w:p w14:paraId="2854C27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6B446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 июня 1945 английские войска освободили Бирму (2100).</w:t>
      </w:r>
    </w:p>
    <w:p w14:paraId="5CF400DF" w14:textId="77777777" w:rsidR="006103B3" w:rsidRPr="00F90EAE" w:rsidRDefault="006103B3" w:rsidP="00F90EAE">
      <w:pPr>
        <w:autoSpaceDE w:val="0"/>
        <w:autoSpaceDN w:val="0"/>
        <w:adjustRightInd w:val="0"/>
        <w:jc w:val="both"/>
        <w:rPr>
          <w:color w:val="000000" w:themeColor="text1"/>
          <w:sz w:val="16"/>
          <w:szCs w:val="16"/>
        </w:rPr>
      </w:pPr>
    </w:p>
    <w:p w14:paraId="17D2641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7D56DAEF" w14:textId="77777777" w:rsidR="006103B3" w:rsidRPr="00F90EAE" w:rsidRDefault="006103B3" w:rsidP="00F90EAE">
      <w:pPr>
        <w:autoSpaceDE w:val="0"/>
        <w:autoSpaceDN w:val="0"/>
        <w:adjustRightInd w:val="0"/>
        <w:jc w:val="both"/>
        <w:rPr>
          <w:iCs/>
          <w:color w:val="000000" w:themeColor="text1"/>
          <w:sz w:val="16"/>
          <w:szCs w:val="16"/>
        </w:rPr>
      </w:pPr>
    </w:p>
    <w:p w14:paraId="081A0A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июня 1945 г. С.В. Ильюшин направил на имя командующего ВВС главного маршала авиации А.А. Но</w:t>
      </w:r>
      <w:r w:rsidRPr="00F90EAE">
        <w:rPr>
          <w:color w:val="000000" w:themeColor="text1"/>
          <w:sz w:val="16"/>
          <w:szCs w:val="16"/>
        </w:rPr>
        <w:softHyphen/>
        <w:t>викова письмо, в котором говорилось: «...Считаю необходимым доложить Вам, что самолет Ил-10 является штурмови</w:t>
      </w:r>
      <w:r w:rsidRPr="00F90EAE">
        <w:rPr>
          <w:color w:val="000000" w:themeColor="text1"/>
          <w:sz w:val="16"/>
          <w:szCs w:val="16"/>
        </w:rPr>
        <w:softHyphen/>
        <w:t>ком, с запасом прочности 8,28 крат и по</w:t>
      </w:r>
      <w:r w:rsidRPr="00F90EAE">
        <w:rPr>
          <w:color w:val="000000" w:themeColor="text1"/>
          <w:sz w:val="16"/>
          <w:szCs w:val="16"/>
        </w:rPr>
        <w:softHyphen/>
        <w:t>этому он должен эксплуатироваться в частях ВВС КА как штурмовик в соответ</w:t>
      </w:r>
      <w:r w:rsidRPr="00F90EAE">
        <w:rPr>
          <w:color w:val="000000" w:themeColor="text1"/>
          <w:sz w:val="16"/>
          <w:szCs w:val="16"/>
        </w:rPr>
        <w:softHyphen/>
        <w:t>ствии с существующей инструкцией по боевому применению штурмовиков Ил-2, о чем и прошу дать указание авиацион</w:t>
      </w:r>
      <w:r w:rsidRPr="00F90EAE">
        <w:rPr>
          <w:color w:val="000000" w:themeColor="text1"/>
          <w:sz w:val="16"/>
          <w:szCs w:val="16"/>
        </w:rPr>
        <w:softHyphen/>
        <w:t>ным частям.</w:t>
      </w:r>
    </w:p>
    <w:p w14:paraId="6A0F888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F90EAE">
        <w:rPr>
          <w:color w:val="000000" w:themeColor="text1"/>
          <w:sz w:val="16"/>
          <w:szCs w:val="16"/>
        </w:rPr>
        <w:softHyphen/>
        <w:t>лете, то прошу Вас сообщить об этом, чтобы я мог принять соответствующие конструктивные решения по самолету Ил-10».</w:t>
      </w:r>
    </w:p>
    <w:p w14:paraId="70F6CB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 самым Ильюшин в определенной степени возлагал ответственность за поломки крыла на летчиков, якобы де</w:t>
      </w:r>
      <w:r w:rsidRPr="00F90EAE">
        <w:rPr>
          <w:color w:val="000000" w:themeColor="text1"/>
          <w:sz w:val="16"/>
          <w:szCs w:val="16"/>
        </w:rPr>
        <w:softHyphen/>
        <w:t>лавших с самолетом то, на что он прин</w:t>
      </w:r>
      <w:r w:rsidRPr="00F90EAE">
        <w:rPr>
          <w:color w:val="000000" w:themeColor="text1"/>
          <w:sz w:val="16"/>
          <w:szCs w:val="16"/>
        </w:rPr>
        <w:softHyphen/>
        <w:t>ципиально был неспособен (например, фигуры высшего пилотажа). Надо ска</w:t>
      </w:r>
      <w:r w:rsidRPr="00F90EAE">
        <w:rPr>
          <w:color w:val="000000" w:themeColor="text1"/>
          <w:sz w:val="16"/>
          <w:szCs w:val="16"/>
        </w:rPr>
        <w:softHyphen/>
        <w:t>зать, что такая страховка, учитывая тог</w:t>
      </w:r>
      <w:r w:rsidRPr="00F90EAE">
        <w:rPr>
          <w:color w:val="000000" w:themeColor="text1"/>
          <w:sz w:val="16"/>
          <w:szCs w:val="16"/>
        </w:rPr>
        <w:softHyphen/>
        <w:t>дашнюю обстановку, была вовсе не лишней...(10680).</w:t>
      </w:r>
    </w:p>
    <w:p w14:paraId="46E19A98" w14:textId="77777777" w:rsidR="006103B3" w:rsidRPr="00F90EAE" w:rsidRDefault="006103B3" w:rsidP="00F90EAE">
      <w:pPr>
        <w:autoSpaceDE w:val="0"/>
        <w:autoSpaceDN w:val="0"/>
        <w:adjustRightInd w:val="0"/>
        <w:jc w:val="both"/>
        <w:rPr>
          <w:color w:val="000000" w:themeColor="text1"/>
          <w:sz w:val="16"/>
          <w:szCs w:val="16"/>
        </w:rPr>
      </w:pPr>
    </w:p>
    <w:p w14:paraId="3DC15EF2" w14:textId="77777777" w:rsidR="00EA774D" w:rsidRPr="00F90EAE" w:rsidRDefault="00EA774D" w:rsidP="00F90EAE">
      <w:pPr>
        <w:jc w:val="both"/>
        <w:rPr>
          <w:color w:val="0070C0"/>
          <w:sz w:val="16"/>
          <w:szCs w:val="16"/>
        </w:rPr>
      </w:pPr>
      <w:r w:rsidRPr="00F90EAE">
        <w:rPr>
          <w:color w:val="0070C0"/>
          <w:sz w:val="16"/>
          <w:szCs w:val="16"/>
        </w:rPr>
        <w:t>15 июня 1945 С.В.И. вынужден был сообщить Шахурину:</w:t>
      </w:r>
    </w:p>
    <w:p w14:paraId="3E644494" w14:textId="77777777" w:rsidR="00EA774D" w:rsidRPr="00F90EAE" w:rsidRDefault="00EA774D" w:rsidP="00F90EAE">
      <w:pPr>
        <w:jc w:val="both"/>
        <w:rPr>
          <w:color w:val="0070C0"/>
          <w:sz w:val="16"/>
          <w:szCs w:val="16"/>
        </w:rPr>
      </w:pPr>
      <w:r w:rsidRPr="00F90EAE">
        <w:rPr>
          <w:color w:val="0070C0"/>
          <w:sz w:val="16"/>
          <w:szCs w:val="16"/>
        </w:rPr>
        <w:t>«Ил-10 вследствие легкого управления и высо</w:t>
      </w:r>
      <w:r w:rsidRPr="00F90EAE">
        <w:rPr>
          <w:color w:val="0070C0"/>
          <w:sz w:val="16"/>
          <w:szCs w:val="16"/>
        </w:rPr>
        <w:softHyphen/>
        <w:t>кой маневренности в частях ВВС КА эксплуатируется с выполнением всех фигур высшего пилотажа.</w:t>
      </w:r>
    </w:p>
    <w:p w14:paraId="27A7B35D" w14:textId="77777777" w:rsidR="00EA774D" w:rsidRPr="00F90EAE" w:rsidRDefault="00EA774D" w:rsidP="00F90EAE">
      <w:pPr>
        <w:jc w:val="both"/>
        <w:rPr>
          <w:color w:val="0070C0"/>
          <w:sz w:val="16"/>
          <w:szCs w:val="16"/>
        </w:rPr>
      </w:pPr>
      <w:r w:rsidRPr="00F90EAE">
        <w:rPr>
          <w:color w:val="0070C0"/>
          <w:sz w:val="16"/>
          <w:szCs w:val="16"/>
        </w:rPr>
        <w:t>Считаю необходимым доложить Вам, что само</w:t>
      </w:r>
      <w:r w:rsidRPr="00F90EAE">
        <w:rPr>
          <w:color w:val="0070C0"/>
          <w:sz w:val="16"/>
          <w:szCs w:val="16"/>
        </w:rPr>
        <w:softHyphen/>
        <w:t>лет Ил-10 является штурмовиком, с запасом прочно</w:t>
      </w:r>
      <w:r w:rsidRPr="00F90EAE">
        <w:rPr>
          <w:color w:val="0070C0"/>
          <w:sz w:val="16"/>
          <w:szCs w:val="16"/>
        </w:rPr>
        <w:softHyphen/>
        <w:t>сти 8,28 &lt;...&gt; и потому он должен эксплуатироваться в частях ВВС КА как штурмовик в соответствии с су</w:t>
      </w:r>
      <w:r w:rsidRPr="00F90EAE">
        <w:rPr>
          <w:color w:val="0070C0"/>
          <w:sz w:val="16"/>
          <w:szCs w:val="16"/>
        </w:rPr>
        <w:softHyphen/>
        <w:t>ществующей инструкцией по боевому применению штурмовика Ил-2, о чем и прошу дать указания ави</w:t>
      </w:r>
      <w:r w:rsidRPr="00F90EAE">
        <w:rPr>
          <w:color w:val="0070C0"/>
          <w:sz w:val="16"/>
          <w:szCs w:val="16"/>
        </w:rPr>
        <w:softHyphen/>
        <w:t>ационным частям.</w:t>
      </w:r>
    </w:p>
    <w:p w14:paraId="6798C934" w14:textId="77777777" w:rsidR="00EA774D" w:rsidRPr="00F90EAE" w:rsidRDefault="00EA774D" w:rsidP="00F90EAE">
      <w:pPr>
        <w:jc w:val="both"/>
        <w:rPr>
          <w:color w:val="0070C0"/>
          <w:sz w:val="16"/>
          <w:szCs w:val="16"/>
        </w:rPr>
      </w:pPr>
      <w:r w:rsidRPr="00F90EAE">
        <w:rPr>
          <w:color w:val="0070C0"/>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w:t>
      </w:r>
      <w:r w:rsidRPr="00F90EAE">
        <w:rPr>
          <w:color w:val="0070C0"/>
          <w:sz w:val="16"/>
          <w:szCs w:val="16"/>
        </w:rPr>
        <w:softHyphen/>
        <w:t>лете, то прошу Вас сообщить об этом, чтобы я мог принять соответствующие конструктивные решения по самолету Ил-10» (23188).</w:t>
      </w:r>
    </w:p>
    <w:p w14:paraId="6B6BC899" w14:textId="77777777" w:rsidR="00EA774D" w:rsidRPr="00F90EAE" w:rsidRDefault="00EA774D" w:rsidP="00F90EAE">
      <w:pPr>
        <w:jc w:val="both"/>
        <w:rPr>
          <w:color w:val="0070C0"/>
          <w:sz w:val="16"/>
          <w:szCs w:val="16"/>
        </w:rPr>
      </w:pPr>
    </w:p>
    <w:p w14:paraId="57F4826C" w14:textId="77777777" w:rsidR="009A64F5" w:rsidRPr="00F90EAE" w:rsidRDefault="009A64F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15 июня 1945 Ильюшин вместо ответа генералу Лапину (его письмо он переадресовал на завод № 18 своему заместителю Бугайскому) направил на имя командующего ВВС КА главного маршала авиации Новикова письмо, в котором указывал: «Бронированный штурмовик, самолет Ил-10 вследствие легкого управления и высокой маневренности в частях ВВС КА эксплуатируется с выполнением всех фигур высшего пилотажа.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 -2, о чем и прошу дать указание авиационным частям. 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w:t>
      </w:r>
    </w:p>
    <w:p w14:paraId="5A3C54D5" w14:textId="77777777" w:rsidR="009A64F5" w:rsidRPr="00F90EAE" w:rsidRDefault="009A64F5"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Позиция военных по этому вопросу была проста и вполне надежна. Инструкция по боевому применению Ил-2 ориентирована на его летные данные. Зачем же тогда строить самолет с лучшими летными данными (Ил-10 с АМ-42), чтобы затем эти самые лучшие летные данные не использовать в бою. Кроме того, инструкции по боевому применению нового образца авиационной техники отрабатываются только после того, как становятся известными его фактические летно -боевые и эксплуатационные качества. К тому же пилотаж крутили всего лишь отдельные летчики 108 гшап, а «десятки» «посыпались» во всех полках, и в 118 гшап, и в 571 шап. Положение дел в частях 1 заб также было не лучше, но самолет в бригаде все это время эксплуатировался строго по инструкции (17490).</w:t>
      </w:r>
    </w:p>
    <w:p w14:paraId="578F42EC" w14:textId="77777777" w:rsidR="009A64F5" w:rsidRPr="00F90EAE" w:rsidRDefault="009A64F5" w:rsidP="00F90EAE">
      <w:pPr>
        <w:jc w:val="both"/>
        <w:rPr>
          <w:rStyle w:val="107"/>
          <w:rFonts w:eastAsiaTheme="minorHAnsi"/>
          <w:color w:val="000000" w:themeColor="text1"/>
          <w:sz w:val="16"/>
          <w:szCs w:val="16"/>
        </w:rPr>
      </w:pPr>
    </w:p>
    <w:p w14:paraId="2E0745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г. в связи с попытками использовать Ил-10 для воздушного боя "Главный Конструктор самолетов Ил" С.В.Ильюшин направил на имя Главкома ВВС КА А.А.Новикова письмо, в котором писал: " Считаю необходимым доложить Вам, что самолет Ил-10 является штурмовиком, с запасом прочности 8,28 крат и поэтому он должен эксплуатироваться в частях ВВС КА как штурмовик в соответствии с существующей инструкцией по боевому применению штурмовиков Ил-2, о чем и прошу дать указание авиационным частям (7489).</w:t>
      </w:r>
    </w:p>
    <w:p w14:paraId="6810A3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Если опыт войны требует изменения инструкции по боевому применению штурмовиков Ил, и если это изменение инструкции требует изменений в самолете, то прошу Вас сообщить об этом, чтобы я мог принять соответствующие конструктивные решения по самолету Ил-10 (7489).</w:t>
      </w:r>
    </w:p>
    <w:p w14:paraId="614B18A9" w14:textId="77777777" w:rsidR="006103B3" w:rsidRPr="00F90EAE" w:rsidRDefault="006103B3" w:rsidP="00F90EAE">
      <w:pPr>
        <w:autoSpaceDE w:val="0"/>
        <w:autoSpaceDN w:val="0"/>
        <w:adjustRightInd w:val="0"/>
        <w:jc w:val="both"/>
        <w:rPr>
          <w:color w:val="000000" w:themeColor="text1"/>
          <w:sz w:val="16"/>
          <w:szCs w:val="16"/>
        </w:rPr>
      </w:pPr>
    </w:p>
    <w:p w14:paraId="18FDF26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15 июня 1945 с 30 мая, пока первый летный экземпляр готовился к полету, второй построенный Ил-16 находился в ЦИАМ, где исследовались причины появления тряски на самолете, ко</w:t>
      </w:r>
      <w:r w:rsidRPr="00F90EAE">
        <w:rPr>
          <w:color w:val="000000" w:themeColor="text1"/>
          <w:sz w:val="16"/>
          <w:szCs w:val="16"/>
        </w:rPr>
        <w:softHyphen/>
        <w:t>торые обнаружились еще при первых рулежках и пробежках по аэродрому. Одновременно с Ил-16 (экз. № 2) в институте ис</w:t>
      </w:r>
      <w:r w:rsidRPr="00F90EAE">
        <w:rPr>
          <w:color w:val="000000" w:themeColor="text1"/>
          <w:sz w:val="16"/>
          <w:szCs w:val="16"/>
        </w:rPr>
        <w:softHyphen/>
        <w:t>следовался и серийный самолет Ил-10 с мотором АМ-42.</w:t>
      </w:r>
    </w:p>
    <w:p w14:paraId="6149E9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Работа проводилась в 14-м отделе, начальником которого был Р.С. Кисаношвили. Непосредственно руководил этими работами старший научный сотрудник В.К. Житомирский. Отчет утвердил начальник ЦИАМ профессор доктор техниче</w:t>
      </w:r>
      <w:r w:rsidRPr="00F90EAE">
        <w:rPr>
          <w:color w:val="000000" w:themeColor="text1"/>
          <w:sz w:val="16"/>
          <w:szCs w:val="16"/>
        </w:rPr>
        <w:softHyphen/>
        <w:t>ских наук В.И. Поликовский.</w:t>
      </w:r>
    </w:p>
    <w:p w14:paraId="6B97A1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Оказалось, что основной причиной тряски на самолете Ил-16 является резонанс подмоторной рамы под действием 1,0 гармоники крутящего момента мотора АМ-43, наступающий при оборотах 1910 об/мин.</w:t>
      </w:r>
    </w:p>
    <w:p w14:paraId="3324B9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резонансе подмоторная рама сильно колебалась из стороны в сторону в горизонтальной плоскости, значительно слабее в продольном направлении и совсем незначительно — в вертикальной плоскости.</w:t>
      </w:r>
    </w:p>
    <w:p w14:paraId="22EBA9A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самолете Ил-10 с АМ-42 также наблюдался резонанс подмоторной рамы, но на более низких оборотах мотора — 1810 об/мин.</w:t>
      </w:r>
    </w:p>
    <w:p w14:paraId="45D73D1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 этом амплитуда колебаний на самолете Ил-10 по абсо</w:t>
      </w:r>
      <w:r w:rsidRPr="00F90EAE">
        <w:rPr>
          <w:color w:val="000000" w:themeColor="text1"/>
          <w:sz w:val="16"/>
          <w:szCs w:val="16"/>
        </w:rPr>
        <w:softHyphen/>
        <w:t>лютной величине в 1,5 раза была меньше, чем на Ил-16. Это объясняется тем, «что при более высоких оборотах 1,0 гармо</w:t>
      </w:r>
      <w:r w:rsidRPr="00F90EAE">
        <w:rPr>
          <w:color w:val="000000" w:themeColor="text1"/>
          <w:sz w:val="16"/>
          <w:szCs w:val="16"/>
        </w:rPr>
        <w:softHyphen/>
        <w:t>ника вообще несколько сильнее, и тем, что мотор АМ-43 мощ</w:t>
      </w:r>
      <w:r w:rsidRPr="00F90EAE">
        <w:rPr>
          <w:color w:val="000000" w:themeColor="text1"/>
          <w:sz w:val="16"/>
          <w:szCs w:val="16"/>
        </w:rPr>
        <w:softHyphen/>
        <w:t>нее АМ-42».</w:t>
      </w:r>
    </w:p>
    <w:p w14:paraId="6D4F46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выводах отчета указывалось, что: «1,0 гармоника сильна на моторе АМ-43 и устранение ее из рабочего диапазона прак</w:t>
      </w:r>
      <w:r w:rsidRPr="00F90EAE">
        <w:rPr>
          <w:color w:val="000000" w:themeColor="text1"/>
          <w:sz w:val="16"/>
          <w:szCs w:val="16"/>
        </w:rPr>
        <w:softHyphen/>
        <w:t>тически невозможно. Вследствие различия в нагрузке цилинд</w:t>
      </w:r>
      <w:r w:rsidRPr="00F90EAE">
        <w:rPr>
          <w:color w:val="000000" w:themeColor="text1"/>
          <w:sz w:val="16"/>
          <w:szCs w:val="16"/>
        </w:rPr>
        <w:softHyphen/>
        <w:t>ров 1,0 гармоника на одних моторах может сказываться силь</w:t>
      </w:r>
      <w:r w:rsidRPr="00F90EAE">
        <w:rPr>
          <w:color w:val="000000" w:themeColor="text1"/>
          <w:sz w:val="16"/>
          <w:szCs w:val="16"/>
        </w:rPr>
        <w:softHyphen/>
        <w:t>нее, чем на других».</w:t>
      </w:r>
    </w:p>
    <w:p w14:paraId="154861C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Для уменьшения тряски на самолете Ил-16 рекомендова</w:t>
      </w:r>
      <w:r w:rsidRPr="00F90EAE">
        <w:rPr>
          <w:color w:val="000000" w:themeColor="text1"/>
          <w:sz w:val="16"/>
          <w:szCs w:val="16"/>
        </w:rPr>
        <w:softHyphen/>
        <w:t>лось «уменьшить жесткость подвески мотора, чтобы сдвинуть резонанс в область низких оборотов мотора» (11474,532).</w:t>
      </w:r>
    </w:p>
    <w:p w14:paraId="14DC8B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BE376A4"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lastRenderedPageBreak/>
        <w:t>15 июня 1945 начальник ЦИАМ профессор доктор технических наук В.И. Поликовский утвердил Отчет о торсиографировании мотора</w:t>
      </w:r>
      <w:r w:rsidRPr="00F90EAE">
        <w:rPr>
          <w:rStyle w:val="0pt1"/>
          <w:rFonts w:eastAsia="Calibri"/>
          <w:b w:val="0"/>
          <w:color w:val="000000" w:themeColor="text1"/>
          <w:spacing w:val="0"/>
          <w:sz w:val="16"/>
          <w:szCs w:val="16"/>
        </w:rPr>
        <w:t xml:space="preserve"> М-43 </w:t>
      </w:r>
      <w:r w:rsidRPr="00F90EAE">
        <w:rPr>
          <w:rFonts w:ascii="Times New Roman" w:hAnsi="Times New Roman" w:cs="Times New Roman"/>
          <w:color w:val="000000" w:themeColor="text1"/>
          <w:sz w:val="16"/>
          <w:szCs w:val="16"/>
        </w:rPr>
        <w:t>зав. №4302 на винте АВ-5Л-18Б диаметром 3,8 м по дрос</w:t>
      </w:r>
      <w:r w:rsidRPr="00F90EAE">
        <w:rPr>
          <w:rFonts w:ascii="Times New Roman" w:hAnsi="Times New Roman" w:cs="Times New Roman"/>
          <w:color w:val="000000" w:themeColor="text1"/>
          <w:sz w:val="16"/>
          <w:szCs w:val="16"/>
        </w:rPr>
        <w:softHyphen/>
        <w:t>сельной характеристике в диапазоне 700-2450 об/мин и по внешней характе</w:t>
      </w:r>
      <w:r w:rsidRPr="00F90EAE">
        <w:rPr>
          <w:rFonts w:ascii="Times New Roman" w:hAnsi="Times New Roman" w:cs="Times New Roman"/>
          <w:color w:val="000000" w:themeColor="text1"/>
          <w:sz w:val="16"/>
          <w:szCs w:val="16"/>
        </w:rPr>
        <w:softHyphen/>
        <w:t>ристике - 2300-2800 об/мин., которое до 13 июня 1945 велось в 14-м отделе ЦИАМ, начальником которого был Р.С. Кисаношвили.</w:t>
      </w:r>
    </w:p>
    <w:p w14:paraId="104B7588"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Выяснилось, что «роликовый дем</w:t>
      </w:r>
      <w:r w:rsidRPr="00F90EAE">
        <w:rPr>
          <w:rFonts w:ascii="Times New Roman" w:hAnsi="Times New Roman" w:cs="Times New Roman"/>
          <w:color w:val="000000" w:themeColor="text1"/>
          <w:sz w:val="16"/>
          <w:szCs w:val="16"/>
        </w:rPr>
        <w:softHyphen/>
        <w:t>пфер в большой шестерне редуктора, настроенный на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гармонику, работа</w:t>
      </w:r>
      <w:r w:rsidRPr="00F90EAE">
        <w:rPr>
          <w:rFonts w:ascii="Times New Roman" w:hAnsi="Times New Roman" w:cs="Times New Roman"/>
          <w:color w:val="000000" w:themeColor="text1"/>
          <w:sz w:val="16"/>
          <w:szCs w:val="16"/>
        </w:rPr>
        <w:softHyphen/>
        <w:t>ет на моторе М-43 хорошо, обеспечивая смещение резонанса на 3020 об/мин и снижение напряжений при 2600 об/мин от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гармоники до ±110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вместо ±500 кг/см</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xml:space="preserve"> в двигателе без демпфе</w:t>
      </w:r>
      <w:r w:rsidRPr="00F90EAE">
        <w:rPr>
          <w:rFonts w:ascii="Times New Roman" w:hAnsi="Times New Roman" w:cs="Times New Roman"/>
          <w:color w:val="000000" w:themeColor="text1"/>
          <w:sz w:val="16"/>
          <w:szCs w:val="16"/>
        </w:rPr>
        <w:softHyphen/>
        <w:t>ра (в наиболее напряженной шатунной шейке)».</w:t>
      </w:r>
    </w:p>
    <w:p w14:paraId="39E890F0"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то же время «демпфер, настроен</w:t>
      </w:r>
      <w:r w:rsidRPr="00F90EAE">
        <w:rPr>
          <w:rFonts w:ascii="Times New Roman" w:hAnsi="Times New Roman" w:cs="Times New Roman"/>
          <w:color w:val="000000" w:themeColor="text1"/>
          <w:sz w:val="16"/>
          <w:szCs w:val="16"/>
        </w:rPr>
        <w:softHyphen/>
        <w:t>ный на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порядок, работает не вполне удовлетворительно, вследствие боль</w:t>
      </w:r>
      <w:r w:rsidRPr="00F90EAE">
        <w:rPr>
          <w:rFonts w:ascii="Times New Roman" w:hAnsi="Times New Roman" w:cs="Times New Roman"/>
          <w:color w:val="000000" w:themeColor="text1"/>
          <w:sz w:val="16"/>
          <w:szCs w:val="16"/>
        </w:rPr>
        <w:softHyphen/>
        <w:t>ших углов колебаний грузов», хотя он и «понизил напряжения на 15% и сделал колебания 4</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порядка неустойчивыми». Для улучшения его работы считалось необходимым «увеличить его момент инерции не менее чем на 50% и обеспе</w:t>
      </w:r>
      <w:r w:rsidRPr="00F90EAE">
        <w:rPr>
          <w:rFonts w:ascii="Times New Roman" w:hAnsi="Times New Roman" w:cs="Times New Roman"/>
          <w:color w:val="000000" w:themeColor="text1"/>
          <w:sz w:val="16"/>
          <w:szCs w:val="16"/>
        </w:rPr>
        <w:softHyphen/>
        <w:t>чить достаточно острую настройку всех грузов».</w:t>
      </w:r>
    </w:p>
    <w:p w14:paraId="2A0D1950"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 результатам торсиографирова- ния рекомендовалось «для М-43 приме</w:t>
      </w:r>
      <w:r w:rsidRPr="00F90EAE">
        <w:rPr>
          <w:rFonts w:ascii="Times New Roman" w:hAnsi="Times New Roman" w:cs="Times New Roman"/>
          <w:color w:val="000000" w:themeColor="text1"/>
          <w:sz w:val="16"/>
          <w:szCs w:val="16"/>
        </w:rPr>
        <w:softHyphen/>
        <w:t>нение испытанных демпферов и однов</w:t>
      </w:r>
      <w:r w:rsidRPr="00F90EAE">
        <w:rPr>
          <w:rFonts w:ascii="Times New Roman" w:hAnsi="Times New Roman" w:cs="Times New Roman"/>
          <w:color w:val="000000" w:themeColor="text1"/>
          <w:sz w:val="16"/>
          <w:szCs w:val="16"/>
        </w:rPr>
        <w:softHyphen/>
        <w:t>ременно смягчение привода к нагнета</w:t>
      </w:r>
      <w:r w:rsidRPr="00F90EAE">
        <w:rPr>
          <w:rFonts w:ascii="Times New Roman" w:hAnsi="Times New Roman" w:cs="Times New Roman"/>
          <w:color w:val="000000" w:themeColor="text1"/>
          <w:sz w:val="16"/>
          <w:szCs w:val="16"/>
        </w:rPr>
        <w:softHyphen/>
        <w:t>телю».</w:t>
      </w:r>
    </w:p>
    <w:p w14:paraId="5390C889"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Однако при первых же гонках мото</w:t>
      </w:r>
      <w:r w:rsidRPr="00F90EAE">
        <w:rPr>
          <w:rFonts w:ascii="Times New Roman" w:hAnsi="Times New Roman" w:cs="Times New Roman"/>
          <w:color w:val="000000" w:themeColor="text1"/>
          <w:sz w:val="16"/>
          <w:szCs w:val="16"/>
        </w:rPr>
        <w:softHyphen/>
        <w:t>ра М-43 с демпферами на первом эк</w:t>
      </w:r>
      <w:r w:rsidRPr="00F90EAE">
        <w:rPr>
          <w:rFonts w:ascii="Times New Roman" w:hAnsi="Times New Roman" w:cs="Times New Roman"/>
          <w:color w:val="000000" w:themeColor="text1"/>
          <w:sz w:val="16"/>
          <w:szCs w:val="16"/>
        </w:rPr>
        <w:softHyphen/>
        <w:t>земпляре Ил-16 (экз. №1), рулежках и пробежках по аэродрому обнаружилась сильная тряска на самолете. Машину сразу же передали в ЦИАМ для выявле</w:t>
      </w:r>
      <w:r w:rsidRPr="00F90EAE">
        <w:rPr>
          <w:rFonts w:ascii="Times New Roman" w:hAnsi="Times New Roman" w:cs="Times New Roman"/>
          <w:color w:val="000000" w:themeColor="text1"/>
          <w:sz w:val="16"/>
          <w:szCs w:val="16"/>
        </w:rPr>
        <w:softHyphen/>
        <w:t>ния причин появления тряски.</w:t>
      </w:r>
    </w:p>
    <w:p w14:paraId="746A0BA1"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Оказалось, что основной причиной тряски на самолете Ил-16 является ре</w:t>
      </w:r>
      <w:r w:rsidRPr="00F90EAE">
        <w:rPr>
          <w:rFonts w:ascii="Times New Roman" w:hAnsi="Times New Roman" w:cs="Times New Roman"/>
          <w:color w:val="000000" w:themeColor="text1"/>
          <w:sz w:val="16"/>
          <w:szCs w:val="16"/>
        </w:rPr>
        <w:softHyphen/>
        <w:t>зонанс подмоторной рамы под дейст</w:t>
      </w:r>
      <w:r w:rsidRPr="00F90EAE">
        <w:rPr>
          <w:rFonts w:ascii="Times New Roman" w:hAnsi="Times New Roman" w:cs="Times New Roman"/>
          <w:color w:val="000000" w:themeColor="text1"/>
          <w:sz w:val="16"/>
          <w:szCs w:val="16"/>
        </w:rPr>
        <w:softHyphen/>
        <w:t>вием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гармоники крутящего момента мотора АМ-43, наступающий при оборо</w:t>
      </w:r>
      <w:r w:rsidRPr="00F90EAE">
        <w:rPr>
          <w:rFonts w:ascii="Times New Roman" w:hAnsi="Times New Roman" w:cs="Times New Roman"/>
          <w:color w:val="000000" w:themeColor="text1"/>
          <w:sz w:val="16"/>
          <w:szCs w:val="16"/>
        </w:rPr>
        <w:softHyphen/>
        <w:t>тах 1910 об/мин.</w:t>
      </w:r>
    </w:p>
    <w:p w14:paraId="234D13DB"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резонансе подмоторная рама сильно колебалась из стороны в сторону в горизонтальной плоскости, значитель</w:t>
      </w:r>
      <w:r w:rsidRPr="00F90EAE">
        <w:rPr>
          <w:rFonts w:ascii="Times New Roman" w:hAnsi="Times New Roman" w:cs="Times New Roman"/>
          <w:color w:val="000000" w:themeColor="text1"/>
          <w:sz w:val="16"/>
          <w:szCs w:val="16"/>
        </w:rPr>
        <w:softHyphen/>
        <w:t>но слабее в продольном направлении и совсем незначительно - в вертикальной плоскости.</w:t>
      </w:r>
    </w:p>
    <w:p w14:paraId="5EFF6F7B"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На самолете Ил-10 с АМ-42 также наблюдался резонанс подмоторной рамы, но на более низких оборотах мо</w:t>
      </w:r>
      <w:r w:rsidRPr="00F90EAE">
        <w:rPr>
          <w:rFonts w:ascii="Times New Roman" w:hAnsi="Times New Roman" w:cs="Times New Roman"/>
          <w:color w:val="000000" w:themeColor="text1"/>
          <w:sz w:val="16"/>
          <w:szCs w:val="16"/>
        </w:rPr>
        <w:softHyphen/>
        <w:t>тора- 1810 об/мин.</w:t>
      </w:r>
    </w:p>
    <w:p w14:paraId="0864A0FF"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этом амплитуда колебаний на самолете Ил-10 по абсолютной вели</w:t>
      </w:r>
      <w:r w:rsidRPr="00F90EAE">
        <w:rPr>
          <w:rFonts w:ascii="Times New Roman" w:hAnsi="Times New Roman" w:cs="Times New Roman"/>
          <w:color w:val="000000" w:themeColor="text1"/>
          <w:sz w:val="16"/>
          <w:szCs w:val="16"/>
        </w:rPr>
        <w:softHyphen/>
        <w:t>чине в 1,5 раза была меньше, чем на Ил-16. Это объяснялось тем, «что при более высоких оборотах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гармоника вообще несколько сильнее и тем, что мотор АМ-43 мощнее АМ-42».</w:t>
      </w:r>
    </w:p>
    <w:p w14:paraId="17810BE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 выводах отчета указывалось, что: «1</w:t>
      </w:r>
      <w:r w:rsidRPr="00F90EAE">
        <w:rPr>
          <w:rFonts w:ascii="Times New Roman" w:hAnsi="Times New Roman" w:cs="Times New Roman"/>
          <w:color w:val="000000" w:themeColor="text1"/>
          <w:sz w:val="16"/>
          <w:szCs w:val="16"/>
          <w:vertAlign w:val="superscript"/>
        </w:rPr>
        <w:t>1/2</w:t>
      </w:r>
      <w:r w:rsidRPr="00F90EAE">
        <w:rPr>
          <w:rFonts w:ascii="Times New Roman" w:hAnsi="Times New Roman" w:cs="Times New Roman"/>
          <w:color w:val="000000" w:themeColor="text1"/>
          <w:sz w:val="16"/>
          <w:szCs w:val="16"/>
        </w:rPr>
        <w:t xml:space="preserve"> гармоника сильна на моторе АМ-43 и устранение ее из рабочего диапазона практически невозможно. Вследствие различия в нагрузке цилиндров 1</w:t>
      </w:r>
      <w:r w:rsidRPr="00F90EAE">
        <w:rPr>
          <w:rFonts w:ascii="Times New Roman" w:hAnsi="Times New Roman" w:cs="Times New Roman"/>
          <w:color w:val="000000" w:themeColor="text1"/>
          <w:sz w:val="16"/>
          <w:szCs w:val="16"/>
          <w:vertAlign w:val="superscript"/>
        </w:rPr>
        <w:t>1</w:t>
      </w:r>
      <w:r w:rsidRPr="00F90EAE">
        <w:rPr>
          <w:rFonts w:ascii="Times New Roman" w:hAnsi="Times New Roman" w:cs="Times New Roman"/>
          <w:color w:val="000000" w:themeColor="text1"/>
          <w:sz w:val="16"/>
          <w:szCs w:val="16"/>
        </w:rPr>
        <w:t>'</w:t>
      </w:r>
      <w:r w:rsidRPr="00F90EAE">
        <w:rPr>
          <w:rFonts w:ascii="Times New Roman" w:hAnsi="Times New Roman" w:cs="Times New Roman"/>
          <w:color w:val="000000" w:themeColor="text1"/>
          <w:sz w:val="16"/>
          <w:szCs w:val="16"/>
          <w:vertAlign w:val="superscript"/>
        </w:rPr>
        <w:t>2</w:t>
      </w:r>
      <w:r w:rsidRPr="00F90EAE">
        <w:rPr>
          <w:rFonts w:ascii="Times New Roman" w:hAnsi="Times New Roman" w:cs="Times New Roman"/>
          <w:color w:val="000000" w:themeColor="text1"/>
          <w:sz w:val="16"/>
          <w:szCs w:val="16"/>
        </w:rPr>
        <w:t xml:space="preserve"> гар</w:t>
      </w:r>
      <w:r w:rsidRPr="00F90EAE">
        <w:rPr>
          <w:rFonts w:ascii="Times New Roman" w:hAnsi="Times New Roman" w:cs="Times New Roman"/>
          <w:color w:val="000000" w:themeColor="text1"/>
          <w:sz w:val="16"/>
          <w:szCs w:val="16"/>
        </w:rPr>
        <w:softHyphen/>
        <w:t>моника на одних моторах может сказы</w:t>
      </w:r>
      <w:r w:rsidRPr="00F90EAE">
        <w:rPr>
          <w:rFonts w:ascii="Times New Roman" w:hAnsi="Times New Roman" w:cs="Times New Roman"/>
          <w:color w:val="000000" w:themeColor="text1"/>
          <w:sz w:val="16"/>
          <w:szCs w:val="16"/>
        </w:rPr>
        <w:softHyphen/>
        <w:t>ваться сильнее, чем на других».</w:t>
      </w:r>
    </w:p>
    <w:p w14:paraId="4CB2C91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Для уменьшения тряски на само</w:t>
      </w:r>
      <w:r w:rsidRPr="00F90EAE">
        <w:rPr>
          <w:rFonts w:ascii="Times New Roman" w:hAnsi="Times New Roman" w:cs="Times New Roman"/>
          <w:color w:val="000000" w:themeColor="text1"/>
          <w:sz w:val="16"/>
          <w:szCs w:val="16"/>
        </w:rPr>
        <w:softHyphen/>
        <w:t>лете Ил-16 рекомендовалось «умень</w:t>
      </w:r>
      <w:r w:rsidRPr="00F90EAE">
        <w:rPr>
          <w:rFonts w:ascii="Times New Roman" w:hAnsi="Times New Roman" w:cs="Times New Roman"/>
          <w:color w:val="000000" w:themeColor="text1"/>
          <w:sz w:val="16"/>
          <w:szCs w:val="16"/>
        </w:rPr>
        <w:softHyphen/>
        <w:t>шить жесткость подвески мотора, что</w:t>
      </w:r>
      <w:r w:rsidRPr="00F90EAE">
        <w:rPr>
          <w:rFonts w:ascii="Times New Roman" w:hAnsi="Times New Roman" w:cs="Times New Roman"/>
          <w:color w:val="000000" w:themeColor="text1"/>
          <w:sz w:val="16"/>
          <w:szCs w:val="16"/>
        </w:rPr>
        <w:softHyphen/>
        <w:t>бы сдвинуть резонанс в область низких оборотов мотора».Непо</w:t>
      </w:r>
      <w:r w:rsidRPr="00F90EAE">
        <w:rPr>
          <w:rFonts w:ascii="Times New Roman" w:hAnsi="Times New Roman" w:cs="Times New Roman"/>
          <w:color w:val="000000" w:themeColor="text1"/>
          <w:sz w:val="16"/>
          <w:szCs w:val="16"/>
        </w:rPr>
        <w:softHyphen/>
        <w:t>средственным руководителем был стар</w:t>
      </w:r>
      <w:r w:rsidRPr="00F90EAE">
        <w:rPr>
          <w:rFonts w:ascii="Times New Roman" w:hAnsi="Times New Roman" w:cs="Times New Roman"/>
          <w:color w:val="000000" w:themeColor="text1"/>
          <w:sz w:val="16"/>
          <w:szCs w:val="16"/>
        </w:rPr>
        <w:softHyphen/>
        <w:t>ший научный сотрудник В.К. Житомир</w:t>
      </w:r>
      <w:r w:rsidRPr="00F90EAE">
        <w:rPr>
          <w:rFonts w:ascii="Times New Roman" w:hAnsi="Times New Roman" w:cs="Times New Roman"/>
          <w:color w:val="000000" w:themeColor="text1"/>
          <w:sz w:val="16"/>
          <w:szCs w:val="16"/>
        </w:rPr>
        <w:softHyphen/>
        <w:t>ский. Отчет утвердил начальник ЦИАМ профессор доктор технических наук В.И. Поликовский 15 июня (17469).</w:t>
      </w:r>
    </w:p>
    <w:p w14:paraId="01D9D40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1CA79B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15 июня 1945 заводские испытания Су-5, которые проходили с 6 апреля 1945 г. на Тушинском аэродроме, прекратились из-за аварии дви</w:t>
      </w:r>
      <w:r w:rsidRPr="00F90EAE">
        <w:rPr>
          <w:color w:val="000000" w:themeColor="text1"/>
          <w:sz w:val="16"/>
          <w:szCs w:val="16"/>
        </w:rPr>
        <w:softHyphen/>
        <w:t>гателя ВК-107А. К этому моменту были выполнены 23 полета с общим нале</w:t>
      </w:r>
      <w:r w:rsidRPr="00F90EAE">
        <w:rPr>
          <w:color w:val="000000" w:themeColor="text1"/>
          <w:sz w:val="16"/>
          <w:szCs w:val="16"/>
        </w:rPr>
        <w:softHyphen/>
        <w:t>том 8 ч. 50 мин. По их результатам составили отчет, в котором указыва</w:t>
      </w:r>
      <w:r w:rsidRPr="00F90EAE">
        <w:rPr>
          <w:color w:val="000000" w:themeColor="text1"/>
          <w:sz w:val="16"/>
          <w:szCs w:val="16"/>
        </w:rPr>
        <w:softHyphen/>
        <w:t>лось:</w:t>
      </w:r>
    </w:p>
    <w:p w14:paraId="64F36C3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1. Винтомоторная установка в части питания, смазки и охлаждения работает на всех режимах вполне удов</w:t>
      </w:r>
      <w:r w:rsidRPr="00F90EAE">
        <w:rPr>
          <w:color w:val="000000" w:themeColor="text1"/>
          <w:sz w:val="16"/>
          <w:szCs w:val="16"/>
        </w:rPr>
        <w:softHyphen/>
        <w:t>летворительно.</w:t>
      </w:r>
    </w:p>
    <w:p w14:paraId="698BFA9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Управляемость и устойчивость самолета на различных скоростях и эволюциях - нормальная.</w:t>
      </w:r>
    </w:p>
    <w:p w14:paraId="3A1A111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При производстве полета на сверхмаксимальную скорость никаких элементов срыва и вибраций не на</w:t>
      </w:r>
      <w:r w:rsidRPr="00F90EAE">
        <w:rPr>
          <w:color w:val="000000" w:themeColor="text1"/>
          <w:sz w:val="16"/>
          <w:szCs w:val="16"/>
        </w:rPr>
        <w:softHyphen/>
        <w:t>блюдалось.</w:t>
      </w:r>
    </w:p>
    <w:p w14:paraId="150E276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Полученная максимальная ско</w:t>
      </w:r>
      <w:r w:rsidRPr="00F90EAE">
        <w:rPr>
          <w:color w:val="000000" w:themeColor="text1"/>
          <w:sz w:val="16"/>
          <w:szCs w:val="16"/>
        </w:rPr>
        <w:softHyphen/>
        <w:t>рость на высоте Н=4350 м равна 793 км/ч. При дальнейших полетах подтвердить полученную однажды ско</w:t>
      </w:r>
      <w:r w:rsidRPr="00F90EAE">
        <w:rPr>
          <w:color w:val="000000" w:themeColor="text1"/>
          <w:sz w:val="16"/>
          <w:szCs w:val="16"/>
        </w:rPr>
        <w:softHyphen/>
        <w:t>рость не удалось../', что объяснялось не-доведенностью ВРДК (10669).</w:t>
      </w:r>
    </w:p>
    <w:p w14:paraId="5B09520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F9DEE88"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15 июня 1945 из-за аварии двигателя ВК-107А испытания были прекращены. К этому моменту были выполнены 23 полета с общим налетом 8 ч. 50 мин.</w:t>
      </w:r>
    </w:p>
    <w:p w14:paraId="38D48C28"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По результатам испытаний был выпущен отчет:</w:t>
      </w:r>
    </w:p>
    <w:p w14:paraId="4D11AF93"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 1. Винтомоторная установка в части питания, смазки и охлаждения работает на всех режимах вполне удовлетво рительно.</w:t>
      </w:r>
    </w:p>
    <w:p w14:paraId="3A897A76"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2. Управляемость и устойчивость самолета на различных скоростях и эволюциях — нормальная.</w:t>
      </w:r>
    </w:p>
    <w:p w14:paraId="472BD576"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3. При производстве полета на сверхмаксимальную ско рость никаких элементов срыва и вибраций не наблюдалось.</w:t>
      </w:r>
    </w:p>
    <w:p w14:paraId="77A8EC7A"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4. Полученная максимальная скорость на высоте 4 350 м равна 793 км/ч. При дальнейших полетах подтвердить полу ченную однажды скорость не удалось...», что объяснялось не доведенностью ВРДК.</w:t>
      </w:r>
    </w:p>
    <w:p w14:paraId="2684F1A4"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За время вынужденного простоя из-за отсутствия двигате ля на самолете было установлено новое крыло с ламинаризи рованным профилем ЦАГИ. Кроме этого, в связи с подготовкой к авиационному параду, по распоряжению НКАП, ЛИС о завода № 134 была передислоцирована на Центральный аэро дром.</w:t>
      </w:r>
    </w:p>
    <w:p w14:paraId="5536FB04" w14:textId="77777777" w:rsidR="00230342" w:rsidRPr="00F90EAE" w:rsidRDefault="00230342" w:rsidP="00F90EAE">
      <w:pPr>
        <w:pStyle w:val="ae"/>
        <w:shd w:val="clear" w:color="auto" w:fill="FFFFFF"/>
        <w:spacing w:before="0" w:after="0"/>
        <w:jc w:val="both"/>
        <w:rPr>
          <w:color w:val="000000" w:themeColor="text1"/>
          <w:sz w:val="16"/>
          <w:szCs w:val="16"/>
        </w:rPr>
      </w:pPr>
      <w:r w:rsidRPr="00F90EAE">
        <w:rPr>
          <w:color w:val="000000" w:themeColor="text1"/>
          <w:sz w:val="16"/>
          <w:szCs w:val="16"/>
        </w:rPr>
        <w:t>Новый двигатель ВК-107Р (модификация ПД ВК-107А с трехлопастным винтом) с 15-часовым ресурсом (вместо 25-ча сового) был получен 7 июля 1945 года, а доработанный комп рессор ВРДК еще позже — 2 августа (19586).</w:t>
      </w:r>
    </w:p>
    <w:p w14:paraId="3948AB82" w14:textId="77777777" w:rsidR="00230342" w:rsidRPr="00F90EAE" w:rsidRDefault="00230342" w:rsidP="00F90EAE">
      <w:pPr>
        <w:pStyle w:val="ae"/>
        <w:shd w:val="clear" w:color="auto" w:fill="FFFFFF"/>
        <w:spacing w:before="0" w:after="0"/>
        <w:jc w:val="both"/>
        <w:rPr>
          <w:color w:val="000000" w:themeColor="text1"/>
          <w:sz w:val="16"/>
          <w:szCs w:val="16"/>
        </w:rPr>
      </w:pPr>
    </w:p>
    <w:p w14:paraId="33E87903" w14:textId="77777777" w:rsidR="00230342" w:rsidRPr="00F90EAE" w:rsidRDefault="00230342" w:rsidP="00F90EAE">
      <w:pPr>
        <w:autoSpaceDE w:val="0"/>
        <w:autoSpaceDN w:val="0"/>
        <w:adjustRightInd w:val="0"/>
        <w:jc w:val="both"/>
        <w:rPr>
          <w:color w:val="000000" w:themeColor="text1"/>
          <w:sz w:val="16"/>
          <w:szCs w:val="16"/>
        </w:rPr>
      </w:pPr>
      <w:r w:rsidRPr="00F90EAE">
        <w:rPr>
          <w:color w:val="000000" w:themeColor="text1"/>
          <w:sz w:val="16"/>
          <w:szCs w:val="16"/>
        </w:rPr>
        <w:t>С 15 июня по 25 сентября 1945 в ОКБ А.С.Я. дорабатывали Як-3У с АШ-82ФН по результатам гос. испытаний, которые шли с 29 апреля по 9 июня 1945. Установили металлическое крыло взамен деревянного, увеличили вынос шасси на 80 мм и т.п. Машина простояла в цеху 11 месяцев, ее передали в ЛИС, а затем списали. Запускать в серию не стали, так как пошел Як-7 с АШ-21, в серии ставший Як-11 (65,198).</w:t>
      </w:r>
    </w:p>
    <w:p w14:paraId="7877394F" w14:textId="77777777" w:rsidR="00230342" w:rsidRPr="00F90EAE" w:rsidRDefault="00230342" w:rsidP="00F90EAE">
      <w:pPr>
        <w:autoSpaceDE w:val="0"/>
        <w:autoSpaceDN w:val="0"/>
        <w:adjustRightInd w:val="0"/>
        <w:jc w:val="both"/>
        <w:rPr>
          <w:color w:val="000000" w:themeColor="text1"/>
          <w:sz w:val="16"/>
          <w:szCs w:val="16"/>
        </w:rPr>
      </w:pPr>
    </w:p>
    <w:p w14:paraId="10DE880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вышел приказ НКАП № 249с:</w:t>
      </w:r>
    </w:p>
    <w:p w14:paraId="441475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целях организации производства специальных керамических изделий для радиолокационных з-в 17 ГУ:</w:t>
      </w:r>
    </w:p>
    <w:p w14:paraId="5FE84DC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Передать 17 ГУ в г. Ленинграде площадку № 2 з-да 273 (б. З-д Каракозова) для организации на этой территории з-да по производству спец. керамических изделий, присвоив ему № 794 (1896, 66).</w:t>
      </w:r>
    </w:p>
    <w:p w14:paraId="6DFD8E75" w14:textId="77777777" w:rsidR="006103B3" w:rsidRPr="00F90EAE" w:rsidRDefault="006103B3" w:rsidP="00F90EAE">
      <w:pPr>
        <w:autoSpaceDE w:val="0"/>
        <w:autoSpaceDN w:val="0"/>
        <w:adjustRightInd w:val="0"/>
        <w:jc w:val="both"/>
        <w:rPr>
          <w:color w:val="000000" w:themeColor="text1"/>
          <w:sz w:val="16"/>
          <w:szCs w:val="16"/>
        </w:rPr>
      </w:pPr>
    </w:p>
    <w:p w14:paraId="334F08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года по приказу НКАП за № 249 заводу № 794 МАП, который с 1 июня 1945 года потерял площадку, которая была передана НК среднего машиностроения, была предоставлена новая площадка бывш. завода № 273 (Волковская ул., д. 23), который занимался выпуском лыж и катеров.</w:t>
      </w:r>
    </w:p>
    <w:p w14:paraId="79FE5E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переходом на новую площадку изменился и профиль завода.</w:t>
      </w:r>
    </w:p>
    <w:p w14:paraId="2E6C9C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протяжении 1946-1948 гг. профиль завода формировался в направлении: керамика установочная и конденсаторная, сопротивления непроволочные остеклованные и опрессованные, конденсаторы полуперемнные и постоянные на керамической основе, штепсельные разъемы, ламповые панели и т.п.</w:t>
      </w:r>
    </w:p>
    <w:p w14:paraId="17C390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 А.П. – с 1 апреля 1945 года</w:t>
      </w:r>
    </w:p>
    <w:p w14:paraId="449167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ОКБ:</w:t>
      </w:r>
    </w:p>
    <w:p w14:paraId="194AFD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Комедатов Ю.Г. – с 3 июня 1946 года по 3 сентября 1950 года</w:t>
      </w:r>
    </w:p>
    <w:p w14:paraId="6CE54A2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Котов А.А. – с 3 сентября 1950 года по 23 сентября 1954 года</w:t>
      </w:r>
    </w:p>
    <w:p w14:paraId="335A43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Зазорин Е.А. – с 23 сентября 1954 года</w:t>
      </w:r>
    </w:p>
    <w:p w14:paraId="28EEEC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 Петров</w:t>
      </w:r>
    </w:p>
    <w:p w14:paraId="70F759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Ленинград, Волковская ул., д. 27 (9866).</w:t>
      </w:r>
    </w:p>
    <w:p w14:paraId="5C2180F9" w14:textId="77777777" w:rsidR="006103B3" w:rsidRPr="00F90EAE" w:rsidRDefault="006103B3" w:rsidP="00F90EAE">
      <w:pPr>
        <w:autoSpaceDE w:val="0"/>
        <w:autoSpaceDN w:val="0"/>
        <w:adjustRightInd w:val="0"/>
        <w:jc w:val="both"/>
        <w:rPr>
          <w:color w:val="000000" w:themeColor="text1"/>
          <w:sz w:val="16"/>
          <w:szCs w:val="16"/>
        </w:rPr>
      </w:pPr>
    </w:p>
    <w:p w14:paraId="0C5DC4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15 июня 1945 г. по приказу № 249с  завод (Завод № 794 НКАП, МАП, ЛенСНХ, Ленинградский государственный завод «Радиоприбор» МРП, ГП «Завод «Радиоприбор» МРП, ОАО «Завод «Радиоприбор» /г. Ленинград ул. Волковская, 23; пр. Обуховской обороны, 143/ /196084  г. Санкт-Петербург ул. Коли Томчака, 32 тел. 388-34-27/) был переведен на вторую площадку завода № 273 (бывший завод им. Каракозова). Производство керамических изделий для РЛ-техники, остеклованных сопротивлений, штепсельных разъемов, других радиодеталей. С 1948 г. основной продукцией становятся </w:t>
      </w:r>
      <w:r w:rsidRPr="00F90EAE">
        <w:rPr>
          <w:color w:val="000000" w:themeColor="text1"/>
          <w:sz w:val="16"/>
          <w:szCs w:val="16"/>
          <w:lang w:val="en-US"/>
        </w:rPr>
        <w:t>PJI</w:t>
      </w:r>
      <w:r w:rsidRPr="00F90EAE">
        <w:rPr>
          <w:color w:val="000000" w:themeColor="text1"/>
          <w:sz w:val="16"/>
          <w:szCs w:val="16"/>
        </w:rPr>
        <w:t xml:space="preserve"> приборы для авиации: приемо-передающие устройства, доплеровские измерители, системы наведения ракет. Наряду с этим освоен выпуск бытовой радиоаппаратуры.</w:t>
      </w:r>
    </w:p>
    <w:p w14:paraId="04490A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1959 г.- НИР «Прима» (работы по РЛС обеспечения безопасности полета низколетящего бомбардировщика).</w:t>
      </w:r>
    </w:p>
    <w:p w14:paraId="0112244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1946 г. завод № 794 - в ведении МАП. В соответствии с пост. СМ СССР № 713-342 от 26.06.1957 г. завод передан в ведение Управления авиационной промышленности ЛенСНХ. В соответствии с пост. ЦК КПСС от 29.09.1965 г. завод передан в ведение МРП и получил наименование Ленинградский государственный завод «Радиоприбор».</w:t>
      </w:r>
    </w:p>
    <w:p w14:paraId="3006960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602 от 29.10.1971 г. «Радиоприбор» вместе с заводом «Новатор» вошел в качестве производства № 2 во вновь созданное ЛПТО «Новатор» с общим ЦКБ, в 1973 г.- в ЛПТО «Ленинец», в 1976 г.- в НПО «Ленинец», в 1985 г.- в ЦНПО «Ленинец» (на 2005 г. - в составе ХК «Ленинец»).</w:t>
      </w:r>
    </w:p>
    <w:p w14:paraId="07B75D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МРП № 680 от 20.07.1990 г. было создано ГП «Завод «Радиоприбор», 20.09.1993 г. ГП преобразовано в АООТ, с 12.08.1996 г.- ОАО.</w:t>
      </w:r>
    </w:p>
    <w:p w14:paraId="2099F2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1991 г. в рамках конверсии были разработаны и освоен выпуск электронных систем управления тяговым оборудованием рельсового транспорта (тиристорно-импульсной системы управления- ТИСУ), медицинских диагностических электронных приборов.</w:t>
      </w:r>
    </w:p>
    <w:p w14:paraId="4CEA5B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Производственные площади (2003 г.)- более 60 тыс. м</w:t>
      </w:r>
      <w:r w:rsidRPr="00F90EAE">
        <w:rPr>
          <w:color w:val="000000" w:themeColor="text1"/>
          <w:sz w:val="16"/>
          <w:szCs w:val="16"/>
          <w:vertAlign w:val="superscript"/>
        </w:rPr>
        <w:t>2</w:t>
      </w:r>
      <w:r w:rsidRPr="00F90EAE">
        <w:rPr>
          <w:color w:val="000000" w:themeColor="text1"/>
          <w:sz w:val="16"/>
          <w:szCs w:val="16"/>
        </w:rPr>
        <w:t>.</w:t>
      </w:r>
    </w:p>
    <w:p w14:paraId="55D382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(2003  г.)- около 1000 чел.</w:t>
      </w:r>
    </w:p>
    <w:p w14:paraId="2E5342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(02.1945-57 г.)- А.П. Петров, (1957-63 г.)- А.П. Зубов, (1963-68 г.)- В.Т. Бедняков, (1968-72 г.)- Ю.Т. Машенков, (08,1991-93 г.)- А.О. Бураков. Гендиректор (1993-2007 г.-)- А.О. Бураков.</w:t>
      </w:r>
    </w:p>
    <w:p w14:paraId="4B2CDD6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Зам. директора, гендиректора: по производству (-1991 г.)- А.О. Бураков; по коммерческим вопросам (2003 г.)- А.Н. Окунев.</w:t>
      </w:r>
    </w:p>
    <w:p w14:paraId="1335E1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(-1972 г.)- О.Ф. Бураков, (2003 г.)- Б.К. Румянцев.</w:t>
      </w:r>
    </w:p>
    <w:p w14:paraId="151310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гл. инженера- А.О. Бураков.</w:t>
      </w:r>
    </w:p>
    <w:p w14:paraId="177F84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производства (1983 г.-)- А.О. Бураков.</w:t>
      </w:r>
    </w:p>
    <w:p w14:paraId="1217F82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ОМТС (2003 г.)- А.З. Ялышев; ОВКиК (2003 г.)-  Г.В. Кузнецова; кадров (2003 г.)- В.В. Макаров; маркетинга (2003 г.)- Ю.В. Дженчако.</w:t>
      </w:r>
    </w:p>
    <w:p w14:paraId="3C97FE62"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РЛ бомбоприцел «Кобальт-1М, -2М» для Ту-4, -16 (1950-е);</w:t>
      </w:r>
      <w:r w:rsidRPr="00F90EAE">
        <w:rPr>
          <w:iCs/>
          <w:color w:val="000000" w:themeColor="text1"/>
          <w:sz w:val="16"/>
          <w:szCs w:val="16"/>
          <w:lang w:val="en-US"/>
        </w:rPr>
        <w:t>PJI</w:t>
      </w:r>
      <w:r w:rsidRPr="00F90EAE">
        <w:rPr>
          <w:iCs/>
          <w:color w:val="000000" w:themeColor="text1"/>
          <w:sz w:val="16"/>
          <w:szCs w:val="16"/>
        </w:rPr>
        <w:t>- дальномеры:</w:t>
      </w:r>
      <w:r w:rsidRPr="00F90EAE">
        <w:rPr>
          <w:color w:val="000000" w:themeColor="text1"/>
          <w:sz w:val="16"/>
          <w:szCs w:val="16"/>
        </w:rPr>
        <w:t xml:space="preserve"> СРД-1М (1956), «База-6», «Перо»; следящая система для РЛС «Фрегат» (1957 г.); радиотехническая аппаратура «Антей» для КР П- 6, аппаратура управления К-1 ракетой «КС»; РЛС: «Изумруд», «ПН» для Ту-22 (1960-е); радиола «Аврора» (1955- </w:t>
      </w:r>
      <w:r w:rsidRPr="00F90EAE">
        <w:rPr>
          <w:iCs/>
          <w:color w:val="000000" w:themeColor="text1"/>
          <w:sz w:val="16"/>
          <w:szCs w:val="16"/>
        </w:rPr>
        <w:t>); телевизоры:</w:t>
      </w:r>
      <w:r w:rsidRPr="00F90EAE">
        <w:rPr>
          <w:color w:val="000000" w:themeColor="text1"/>
          <w:sz w:val="16"/>
          <w:szCs w:val="16"/>
        </w:rPr>
        <w:t xml:space="preserve"> «Сигнал» (1963-), «Балтика», «Атлант»;</w:t>
      </w:r>
      <w:r w:rsidRPr="00F90EAE">
        <w:rPr>
          <w:iCs/>
          <w:color w:val="000000" w:themeColor="text1"/>
          <w:sz w:val="16"/>
          <w:szCs w:val="16"/>
        </w:rPr>
        <w:t xml:space="preserve"> радиоприемники:</w:t>
      </w:r>
      <w:r w:rsidRPr="00F90EAE">
        <w:rPr>
          <w:color w:val="000000" w:themeColor="text1"/>
          <w:sz w:val="16"/>
          <w:szCs w:val="16"/>
        </w:rPr>
        <w:t xml:space="preserve"> «Нева», «Нева-2», «Алмаз» (1964-), «Алмаз-401» (1971-), «Соната» (1965-), «Соната-201 (1972-), РП-602, -607, -608», «Ленинград-002 (1975-), -004, - 006С (1978-), -010С, -015 (1985-), РП-015С (1987-)»; магнитола «Соната РМ-323С»; ТИСУ для трамваев МЭРА-1, МЭРА-3 (1994-), МЭРА-4 (1998-), для троллейбусов МЭРА-2 (1997-); реогастрограф РГГ9-01 (199 </w:t>
      </w:r>
      <w:r w:rsidRPr="00F90EAE">
        <w:rPr>
          <w:color w:val="000000" w:themeColor="text1"/>
          <w:sz w:val="16"/>
          <w:szCs w:val="16"/>
          <w:lang w:val="en-US"/>
        </w:rPr>
        <w:t>l</w:t>
      </w:r>
      <w:r w:rsidRPr="00F90EAE">
        <w:rPr>
          <w:color w:val="000000" w:themeColor="text1"/>
          <w:sz w:val="16"/>
          <w:szCs w:val="16"/>
        </w:rPr>
        <w:t>-).</w:t>
      </w:r>
    </w:p>
    <w:p w14:paraId="2E06C6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ОКБ-794 МАП, ГКАТ, ГКРЭ /г. Ленинград/</w:t>
      </w:r>
    </w:p>
    <w:p w14:paraId="54E6C4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ОКБ-794 образовано в системе 17ГУ МАП по приказу № 247с от 26.04.1946 г. при заводе № 794 МАП. Работы по деталям и узлам для </w:t>
      </w:r>
      <w:r w:rsidRPr="00F90EAE">
        <w:rPr>
          <w:color w:val="000000" w:themeColor="text1"/>
          <w:sz w:val="16"/>
          <w:szCs w:val="16"/>
          <w:lang w:val="en-US"/>
        </w:rPr>
        <w:t>PJI</w:t>
      </w:r>
      <w:r w:rsidRPr="00F90EAE">
        <w:rPr>
          <w:color w:val="000000" w:themeColor="text1"/>
          <w:sz w:val="16"/>
          <w:szCs w:val="16"/>
        </w:rPr>
        <w:t xml:space="preserve">-аппаратуры. Сопровождение серийного производства на заводе доплеровских измерителей скорости, бомбоприцела «Кобальт» и </w:t>
      </w:r>
      <w:r w:rsidRPr="00F90EAE">
        <w:rPr>
          <w:color w:val="000000" w:themeColor="text1"/>
          <w:sz w:val="16"/>
          <w:szCs w:val="16"/>
          <w:lang w:val="en-US"/>
        </w:rPr>
        <w:t>PJIC</w:t>
      </w:r>
      <w:r w:rsidRPr="00F90EAE">
        <w:rPr>
          <w:color w:val="000000" w:themeColor="text1"/>
          <w:sz w:val="16"/>
          <w:szCs w:val="16"/>
        </w:rPr>
        <w:t xml:space="preserve"> «Изумруд», аппаратуры управления К-1 ракетой «КС», радиодальномера СРД-1М.</w:t>
      </w:r>
    </w:p>
    <w:p w14:paraId="33FABB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1950-х  г. начались самостоятельные разработки семейства радиодальномеров «СРД» для МиГ-17, МиГ-19 и МиГ-21; ДИСС для самолетов и вертолетов. Была начата разработка РЛС для предупреждения столкновений для самолетов ГА и ВТА.</w:t>
      </w:r>
    </w:p>
    <w:p w14:paraId="34F317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Сюда 1.06.1955 г. из НИИ-17 был переведен В.А. Малышев (специалист по радиодальномерам), возглавил работы по придельно-навигационным системам.</w:t>
      </w:r>
    </w:p>
    <w:p w14:paraId="6CD0207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08.1957 г. ОКБ- в ведении 4ГУ ГКАТ. Для концентрации работ по радиоэлектронике в 12.1958 г. ОКБ передано во вновь образованный ГКРЭ.</w:t>
      </w:r>
    </w:p>
    <w:p w14:paraId="077A0E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пост. СМ СССР № 615-278сс от 6.06.1959 г. на базе трех ОКБ-283, ОКБ-287 и ОКБ-794 в системе ГКРЭ в Ленинграде создан новый НИИ-131. ОКБ-794 стало базой для СКБ-3 НИИ-131.</w:t>
      </w:r>
    </w:p>
    <w:p w14:paraId="708786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 (04.1946 г.-)- А.А. Котов.</w:t>
      </w:r>
    </w:p>
    <w:p w14:paraId="1A4BF4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Ю. Г. Комедатов, (-1956-59 г.)- Е. А. Зазорин (затем- руководитель СКБ-3 НИИ-131).</w:t>
      </w:r>
    </w:p>
    <w:p w14:paraId="6EEA78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конструкторы: (1947 г.-)- А.С. Чефранов («Залив»), (1950-е)- Е.А. Зазорин (радиодальномеры, ДИСС), (- 1959 г.)- В.Л. Коблов («Эмблема»).</w:t>
      </w:r>
    </w:p>
    <w:p w14:paraId="340ED2B1"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Создано:</w:t>
      </w:r>
      <w:r w:rsidRPr="00F90EAE">
        <w:rPr>
          <w:color w:val="000000" w:themeColor="text1"/>
          <w:sz w:val="16"/>
          <w:szCs w:val="16"/>
        </w:rPr>
        <w:t xml:space="preserve"> самолетные радиодальномеры: «СРД», «База-6», «Перо»; ДИСС «Ветер-1», «Ветер-2» для Ту-16, Бе- 8, ДИВ-1 «Скорость» для вертолетов; РЛС: РТР «Залив» (1940-е); метеоРЛС для Ил-18 (1959); предупреждения столкновений: РППС-1 «Рубеж» для Ил-14, РПСН «Эмблема»; система «Пума-А».</w:t>
      </w:r>
    </w:p>
    <w:p w14:paraId="37B5A8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СЛ-П (СЛ-11) при заводе № 794 МАП</w:t>
      </w:r>
    </w:p>
    <w:p w14:paraId="4F07FB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Специальная лаборатория СЛ-П (СЛ-11) создана в 1956 г.</w:t>
      </w:r>
    </w:p>
    <w:p w14:paraId="0055C9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Руководители- Иосиф Вениаминович Берг, Ф. Г. Старое (настоящие имена: Альфред Сарант и Джоэл Барр)- разведчики, переправленные в СССР после разоблачения. Разработка вычислительной техники. Создан первый советский компьютер.</w:t>
      </w:r>
    </w:p>
    <w:p w14:paraId="762A29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1959 г. на базе СЛ-П создано СКБ-2 НИИ-131 (11982).</w:t>
      </w:r>
    </w:p>
    <w:p w14:paraId="4A84813C" w14:textId="77777777" w:rsidR="006103B3" w:rsidRPr="00F90EAE" w:rsidRDefault="006103B3" w:rsidP="00F90EAE">
      <w:pPr>
        <w:autoSpaceDE w:val="0"/>
        <w:autoSpaceDN w:val="0"/>
        <w:adjustRightInd w:val="0"/>
        <w:jc w:val="both"/>
        <w:rPr>
          <w:color w:val="000000" w:themeColor="text1"/>
          <w:sz w:val="16"/>
          <w:szCs w:val="16"/>
        </w:rPr>
      </w:pPr>
    </w:p>
    <w:p w14:paraId="585EB1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года вышел приказ НКАП № 251сс во исполнение Постановления ГКО № 8934сс от 6 июня 1945 года о сокращении плана производства самолетов и на освобожденных мощностях завода № 99 было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43BAA9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6AF5DD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 продолжал ремонт самолетов ЛА-9 до 1951 года.</w:t>
      </w:r>
    </w:p>
    <w:p w14:paraId="753011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 начиная с 1951 года начал серийный выпуск самолета МИГ-15 с крыльями получаемыми с родственных заводов.</w:t>
      </w:r>
    </w:p>
    <w:p w14:paraId="500AFB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Местонахождение – завод расположен в 12 км от Улан-Удэ</w:t>
      </w:r>
    </w:p>
    <w:p w14:paraId="504E58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самолетостроительный завод по выпуску самолетов УТИ МИГ-15 и вертолетов КА-15</w:t>
      </w:r>
    </w:p>
    <w:p w14:paraId="68A4F4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1B49495C" w14:textId="77777777" w:rsidR="006103B3" w:rsidRPr="00F90EAE" w:rsidRDefault="006103B3" w:rsidP="00F90EAE">
      <w:pPr>
        <w:autoSpaceDE w:val="0"/>
        <w:autoSpaceDN w:val="0"/>
        <w:adjustRightInd w:val="0"/>
        <w:jc w:val="both"/>
        <w:rPr>
          <w:color w:val="000000" w:themeColor="text1"/>
          <w:sz w:val="16"/>
          <w:szCs w:val="16"/>
        </w:rPr>
      </w:pPr>
    </w:p>
    <w:p w14:paraId="659020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г. приказом НКУП в соответствии с пост. СНК от 10.06.1945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6548D0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57FAD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F90EAE">
        <w:rPr>
          <w:color w:val="000000" w:themeColor="text1"/>
          <w:sz w:val="16"/>
          <w:szCs w:val="16"/>
          <w:vertAlign w:val="superscript"/>
        </w:rPr>
        <w:t>131</w:t>
      </w:r>
    </w:p>
    <w:p w14:paraId="7E2858D5" w14:textId="77777777" w:rsidR="0002077A" w:rsidRPr="00F90EAE" w:rsidRDefault="0002077A" w:rsidP="00F90EAE">
      <w:pPr>
        <w:autoSpaceDE w:val="0"/>
        <w:autoSpaceDN w:val="0"/>
        <w:adjustRightInd w:val="0"/>
        <w:jc w:val="both"/>
        <w:rPr>
          <w:color w:val="000000" w:themeColor="text1"/>
          <w:sz w:val="16"/>
          <w:szCs w:val="16"/>
        </w:rPr>
      </w:pPr>
      <w:r w:rsidRPr="00F90EAE">
        <w:rPr>
          <w:color w:val="000000" w:themeColor="text1"/>
          <w:sz w:val="16"/>
          <w:szCs w:val="16"/>
        </w:rPr>
        <w:t>НПО «Ленстройробот»</w:t>
      </w:r>
    </w:p>
    <w:p w14:paraId="6CE4D8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22608F4C" w14:textId="77777777" w:rsidR="0002077A" w:rsidRPr="00F90EAE" w:rsidRDefault="0002077A" w:rsidP="00F90EAE">
      <w:pPr>
        <w:autoSpaceDE w:val="0"/>
        <w:autoSpaceDN w:val="0"/>
        <w:adjustRightInd w:val="0"/>
        <w:jc w:val="both"/>
        <w:rPr>
          <w:iCs/>
          <w:color w:val="000000" w:themeColor="text1"/>
          <w:sz w:val="16"/>
          <w:szCs w:val="16"/>
        </w:rPr>
      </w:pPr>
    </w:p>
    <w:p w14:paraId="6D66179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0A32864" w14:textId="77777777" w:rsidR="006103B3" w:rsidRPr="00F90EAE" w:rsidRDefault="006103B3" w:rsidP="00F90EAE">
      <w:pPr>
        <w:autoSpaceDE w:val="0"/>
        <w:autoSpaceDN w:val="0"/>
        <w:adjustRightInd w:val="0"/>
        <w:jc w:val="both"/>
        <w:rPr>
          <w:iCs/>
          <w:color w:val="000000" w:themeColor="text1"/>
          <w:sz w:val="16"/>
          <w:szCs w:val="16"/>
        </w:rPr>
      </w:pPr>
    </w:p>
    <w:p w14:paraId="0E512A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1944 года на аэродроме Елизово после налета на Шумшу приземлились первые машины Локхид PV-1 из эскадрильи VВ-135. Сначала сел PV-1 Р. Бона с поврежденным двигателем. Чуть позже И-16 привел к аэродрому самолет летчика Шуэтта, блуждавший в поисках места для посадки. У него были пробиты баки и горючего не хватило бы на обратный путь к острову Атту (3457,123).</w:t>
      </w:r>
    </w:p>
    <w:p w14:paraId="5ADCC245" w14:textId="77777777" w:rsidR="006103B3" w:rsidRPr="00F90EAE" w:rsidRDefault="006103B3" w:rsidP="00F90EAE">
      <w:pPr>
        <w:autoSpaceDE w:val="0"/>
        <w:autoSpaceDN w:val="0"/>
        <w:adjustRightInd w:val="0"/>
        <w:jc w:val="both"/>
        <w:rPr>
          <w:color w:val="000000" w:themeColor="text1"/>
          <w:sz w:val="16"/>
          <w:szCs w:val="16"/>
        </w:rPr>
      </w:pPr>
    </w:p>
    <w:p w14:paraId="6215B2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июня 1945 вышло распоряжение СНК № 9279-р:</w:t>
      </w:r>
    </w:p>
    <w:p w14:paraId="75685B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Разрешить Нач. Тыла КА т. Хрулеву, Нач. Инженерных войск т. Воробьеву и Нач. Управления снабжения горючим КА т. Кормилицыну передать Наркомтекстилю транспортные ср-ва, интсрумент, тару и проволоку согласно приложению.</w:t>
      </w:r>
    </w:p>
    <w:p w14:paraId="3F7C9D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В.М.М. (7543, 96).</w:t>
      </w:r>
    </w:p>
    <w:p w14:paraId="2AA33354" w14:textId="77777777" w:rsidR="006103B3" w:rsidRPr="00F90EAE" w:rsidRDefault="006103B3" w:rsidP="00F90EAE">
      <w:pPr>
        <w:autoSpaceDE w:val="0"/>
        <w:autoSpaceDN w:val="0"/>
        <w:adjustRightInd w:val="0"/>
        <w:jc w:val="both"/>
        <w:rPr>
          <w:color w:val="000000" w:themeColor="text1"/>
          <w:sz w:val="16"/>
          <w:szCs w:val="16"/>
        </w:rPr>
      </w:pPr>
    </w:p>
    <w:p w14:paraId="51F4EB4A" w14:textId="77777777" w:rsidR="0002077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BF3648D" w14:textId="77777777" w:rsidR="0002077A" w:rsidRPr="00F90EAE" w:rsidRDefault="0002077A" w:rsidP="00F90EAE">
      <w:pPr>
        <w:autoSpaceDE w:val="0"/>
        <w:autoSpaceDN w:val="0"/>
        <w:adjustRightInd w:val="0"/>
        <w:jc w:val="both"/>
        <w:rPr>
          <w:iCs/>
          <w:color w:val="000000" w:themeColor="text1"/>
          <w:sz w:val="16"/>
          <w:szCs w:val="16"/>
        </w:rPr>
      </w:pPr>
    </w:p>
    <w:p w14:paraId="036559EE" w14:textId="77777777" w:rsidR="0002077A" w:rsidRPr="00F90EAE" w:rsidRDefault="0002077A" w:rsidP="00F90EAE">
      <w:pPr>
        <w:jc w:val="both"/>
        <w:rPr>
          <w:color w:val="000000" w:themeColor="text1"/>
          <w:sz w:val="16"/>
          <w:szCs w:val="16"/>
        </w:rPr>
      </w:pPr>
      <w:r w:rsidRPr="00F90EAE">
        <w:rPr>
          <w:bCs/>
          <w:color w:val="000000" w:themeColor="text1"/>
          <w:sz w:val="16"/>
          <w:szCs w:val="16"/>
        </w:rPr>
        <w:t>15 июня</w:t>
      </w:r>
      <w:r w:rsidRPr="00F90EAE">
        <w:rPr>
          <w:color w:val="000000" w:themeColor="text1"/>
          <w:sz w:val="16"/>
          <w:szCs w:val="16"/>
        </w:rPr>
        <w:t xml:space="preserve"> в 1945 году (15 июня - 2 июля) юбилейная сессия Академии наук СССР, посвященная 220-летию со времени ее основания (14923).</w:t>
      </w:r>
    </w:p>
    <w:p w14:paraId="6237B7BB" w14:textId="77777777" w:rsidR="0002077A" w:rsidRPr="00F90EAE" w:rsidRDefault="0002077A" w:rsidP="00F90EAE">
      <w:pPr>
        <w:jc w:val="both"/>
        <w:rPr>
          <w:color w:val="000000" w:themeColor="text1"/>
          <w:sz w:val="16"/>
          <w:szCs w:val="16"/>
        </w:rPr>
      </w:pPr>
    </w:p>
    <w:p w14:paraId="0E906A9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555B450" w14:textId="77777777" w:rsidR="006103B3" w:rsidRPr="00F90EAE" w:rsidRDefault="006103B3" w:rsidP="00F90EAE">
      <w:pPr>
        <w:autoSpaceDE w:val="0"/>
        <w:autoSpaceDN w:val="0"/>
        <w:adjustRightInd w:val="0"/>
        <w:jc w:val="both"/>
        <w:rPr>
          <w:iCs/>
          <w:color w:val="000000" w:themeColor="text1"/>
          <w:sz w:val="16"/>
          <w:szCs w:val="16"/>
        </w:rPr>
      </w:pPr>
    </w:p>
    <w:p w14:paraId="53F3474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июня 1945 Венгрия обязалась поставить в СССР товары в возмещение ущерба, нанесенного военными действиями венгров против СССР (4962).</w:t>
      </w:r>
    </w:p>
    <w:p w14:paraId="3701CC4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B059734" w14:textId="77777777" w:rsidR="0002077A" w:rsidRPr="00F90EAE" w:rsidRDefault="0002077A" w:rsidP="00F90EAE">
      <w:pPr>
        <w:jc w:val="both"/>
        <w:rPr>
          <w:color w:val="000000" w:themeColor="text1"/>
          <w:sz w:val="16"/>
          <w:szCs w:val="16"/>
        </w:rPr>
      </w:pPr>
      <w:r w:rsidRPr="00F90EAE">
        <w:rPr>
          <w:bCs/>
          <w:color w:val="000000" w:themeColor="text1"/>
          <w:sz w:val="16"/>
          <w:szCs w:val="16"/>
        </w:rPr>
        <w:t>15 июня</w:t>
      </w:r>
      <w:r w:rsidRPr="00F90EAE">
        <w:rPr>
          <w:color w:val="000000" w:themeColor="text1"/>
          <w:sz w:val="16"/>
          <w:szCs w:val="16"/>
        </w:rPr>
        <w:t xml:space="preserve"> в 1945 году в Будапеште подписано соглашение между Советским правительством и Временным национальным правительством Венгрии о поставках Венгрией товаров в возмещение убытков, причиненных Советскому Союзу военными действиями и оккупацией советских территорий (14923).</w:t>
      </w:r>
    </w:p>
    <w:p w14:paraId="00868B93" w14:textId="77777777" w:rsidR="0002077A" w:rsidRPr="00F90EAE" w:rsidRDefault="0002077A" w:rsidP="00F90EAE">
      <w:pPr>
        <w:jc w:val="both"/>
        <w:rPr>
          <w:color w:val="000000" w:themeColor="text1"/>
          <w:sz w:val="16"/>
          <w:szCs w:val="16"/>
        </w:rPr>
      </w:pPr>
    </w:p>
    <w:p w14:paraId="44A5262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EB6406D" w14:textId="77777777" w:rsidR="006103B3" w:rsidRPr="00F90EAE" w:rsidRDefault="006103B3" w:rsidP="00F90EAE">
      <w:pPr>
        <w:autoSpaceDE w:val="0"/>
        <w:autoSpaceDN w:val="0"/>
        <w:adjustRightInd w:val="0"/>
        <w:jc w:val="both"/>
        <w:rPr>
          <w:iCs/>
          <w:color w:val="000000" w:themeColor="text1"/>
          <w:sz w:val="16"/>
          <w:szCs w:val="16"/>
        </w:rPr>
      </w:pPr>
    </w:p>
    <w:p w14:paraId="75BBE97B" w14:textId="77777777" w:rsidR="004533E5" w:rsidRPr="00F90EAE" w:rsidRDefault="004533E5" w:rsidP="00F90EAE">
      <w:pPr>
        <w:jc w:val="both"/>
        <w:rPr>
          <w:color w:val="0070C0"/>
          <w:sz w:val="16"/>
          <w:szCs w:val="16"/>
          <w:lang w:val="en-US"/>
        </w:rPr>
      </w:pPr>
      <w:r w:rsidRPr="00F90EAE">
        <w:rPr>
          <w:color w:val="0070C0"/>
          <w:sz w:val="16"/>
          <w:szCs w:val="16"/>
          <w:lang w:val="en-US"/>
        </w:rPr>
        <w:lastRenderedPageBreak/>
        <w:t xml:space="preserve">15 </w:t>
      </w:r>
      <w:r w:rsidRPr="00F90EAE">
        <w:rPr>
          <w:color w:val="0070C0"/>
          <w:sz w:val="16"/>
          <w:szCs w:val="16"/>
        </w:rPr>
        <w:t>июня</w:t>
      </w:r>
      <w:r w:rsidRPr="00F90EAE">
        <w:rPr>
          <w:color w:val="0070C0"/>
          <w:sz w:val="16"/>
          <w:szCs w:val="16"/>
          <w:lang w:val="en-US"/>
        </w:rPr>
        <w:t xml:space="preserve"> 1945 - </w:t>
      </w:r>
      <w:r w:rsidRPr="00F90EAE">
        <w:rPr>
          <w:color w:val="0070C0"/>
          <w:sz w:val="16"/>
          <w:szCs w:val="16"/>
        </w:rPr>
        <w:t>Первый</w:t>
      </w:r>
      <w:r w:rsidRPr="00F90EAE">
        <w:rPr>
          <w:color w:val="0070C0"/>
          <w:sz w:val="16"/>
          <w:szCs w:val="16"/>
          <w:lang w:val="en-US"/>
        </w:rPr>
        <w:t xml:space="preserve"> </w:t>
      </w:r>
      <w:r w:rsidRPr="00F90EAE">
        <w:rPr>
          <w:color w:val="0070C0"/>
          <w:sz w:val="16"/>
          <w:szCs w:val="16"/>
        </w:rPr>
        <w:t>полет</w:t>
      </w:r>
      <w:r w:rsidRPr="00F90EAE">
        <w:rPr>
          <w:color w:val="0070C0"/>
          <w:sz w:val="16"/>
          <w:szCs w:val="16"/>
          <w:lang w:val="en-US"/>
        </w:rPr>
        <w:t xml:space="preserve"> North American F-82 Twin Mustang, J. E. Barton.</w:t>
      </w:r>
    </w:p>
    <w:p w14:paraId="44F919A8" w14:textId="77777777" w:rsidR="004533E5" w:rsidRPr="00F90EAE" w:rsidRDefault="004533E5" w:rsidP="00F90EAE">
      <w:pPr>
        <w:jc w:val="both"/>
        <w:rPr>
          <w:color w:val="0070C0"/>
          <w:sz w:val="16"/>
          <w:szCs w:val="16"/>
        </w:rPr>
      </w:pPr>
      <w:r w:rsidRPr="00F90EAE">
        <w:rPr>
          <w:color w:val="0070C0"/>
          <w:sz w:val="16"/>
          <w:szCs w:val="16"/>
        </w:rPr>
        <w:t>Разработка самолета началась в конце 1943 года, когда многие осознали, что большие расстояния, на которые приходилось летать одноместным истребителям на Tихом океане, накладывают на пилотов очень большую физическую нагрузку. В ходе многих полетов пилоты истребителей проводили в воздухе до восьми часов. После возврата из таких полетов пилоты, зачастую так уставали, что не могли самостоятельно передвигаться.</w:t>
      </w:r>
    </w:p>
    <w:p w14:paraId="235A132E" w14:textId="77777777" w:rsidR="004533E5" w:rsidRPr="00F90EAE" w:rsidRDefault="004533E5" w:rsidP="00F90EAE">
      <w:pPr>
        <w:jc w:val="both"/>
        <w:rPr>
          <w:color w:val="0070C0"/>
          <w:sz w:val="16"/>
          <w:szCs w:val="16"/>
        </w:rPr>
      </w:pPr>
      <w:r w:rsidRPr="00F90EAE">
        <w:rPr>
          <w:color w:val="0070C0"/>
          <w:sz w:val="16"/>
          <w:szCs w:val="16"/>
        </w:rPr>
        <w:t>Именно в это время родилась идея создания истребителя со вторым местом для второго пилота. Инженеры North American Aviation предложили соединить два фюзеляжа Mustang посредством крыла с постоянной хордой и прямоугольным хвостовым стабилизатором с использованием с другой стороны стандартного крыла. Проект получил обозначение внутри компании NA-120.</w:t>
      </w:r>
    </w:p>
    <w:p w14:paraId="519E9AAF" w14:textId="77777777" w:rsidR="004533E5" w:rsidRPr="00F90EAE" w:rsidRDefault="004533E5" w:rsidP="00F90EAE">
      <w:pPr>
        <w:jc w:val="both"/>
        <w:rPr>
          <w:color w:val="0070C0"/>
          <w:sz w:val="16"/>
          <w:szCs w:val="16"/>
        </w:rPr>
      </w:pPr>
      <w:r w:rsidRPr="00F90EAE">
        <w:rPr>
          <w:color w:val="0070C0"/>
          <w:sz w:val="16"/>
          <w:szCs w:val="16"/>
        </w:rPr>
        <w:t>Первые Twin Mustang стали поступать в части в ходе 1948 года. Twin Mustang широко применялся в Корее в роли истребителя сопровождения и штурмовика до ноября 1951 года. Однако F-82 всегда играл второстепенную роль по сравнению со своим предшественником - одномоторным F-51. Поскольку к концу 1951 года на вооружение воюющих сторон поступило большое количество реактивных самолетов, конкурировать с которыми Twin Mustang не мог, F-82 перестали применять для боевых вылетов и вскоре сняли с вооружения. Последний Twin Mustang сняли с вооружения в середине 1953 года (22460).</w:t>
      </w:r>
    </w:p>
    <w:p w14:paraId="4CA116A5" w14:textId="77777777" w:rsidR="004533E5" w:rsidRPr="00F90EAE" w:rsidRDefault="004533E5" w:rsidP="00F90EAE">
      <w:pPr>
        <w:jc w:val="both"/>
        <w:rPr>
          <w:color w:val="0070C0"/>
          <w:sz w:val="16"/>
          <w:szCs w:val="16"/>
        </w:rPr>
      </w:pPr>
    </w:p>
    <w:p w14:paraId="00D25DC2"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июня 1945 в Англии распущен военный парламент, просуществовавший девять с половиной лет (4962).</w:t>
      </w:r>
    </w:p>
    <w:p w14:paraId="21638BE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2FA1D9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15 июня 1945 английскими войсками освобожден индийский политик Дж. Неру (4962).</w:t>
      </w:r>
    </w:p>
    <w:p w14:paraId="504F047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26A0A35" w14:textId="77777777" w:rsidR="00B9003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91646F5" w14:textId="77777777" w:rsidR="00B90038" w:rsidRPr="00F90EAE" w:rsidRDefault="00B90038" w:rsidP="00F90EAE">
      <w:pPr>
        <w:autoSpaceDE w:val="0"/>
        <w:autoSpaceDN w:val="0"/>
        <w:adjustRightInd w:val="0"/>
        <w:jc w:val="both"/>
        <w:rPr>
          <w:iCs/>
          <w:color w:val="000000" w:themeColor="text1"/>
          <w:sz w:val="16"/>
          <w:szCs w:val="16"/>
        </w:rPr>
      </w:pPr>
    </w:p>
    <w:p w14:paraId="26ACE539" w14:textId="77777777" w:rsidR="00230342" w:rsidRPr="00F90EAE" w:rsidRDefault="00230342" w:rsidP="00F90EAE">
      <w:pPr>
        <w:jc w:val="both"/>
        <w:rPr>
          <w:color w:val="000000" w:themeColor="text1"/>
          <w:sz w:val="16"/>
          <w:szCs w:val="16"/>
        </w:rPr>
      </w:pPr>
      <w:r w:rsidRPr="00F90EAE">
        <w:rPr>
          <w:color w:val="000000" w:themeColor="text1"/>
          <w:sz w:val="16"/>
          <w:szCs w:val="16"/>
        </w:rPr>
        <w:t>К середине июня 1945 года, согласно переписке, окончательно собрали «Кировец-2». Далее машина направилась на московский завод №37, а оттуда на НИБТ Полигон. Там самоходная установка ожидала отправки на артиллерийские испытания. Ходовых испытаний НИБТ Полигон не проводил, поскольку на это не было указаний. Тем не менее на полигоне составили краткое описание машины. Испытатели отметили повысившуюся броневую защиту. Нередко в публикациях, посвящённых «Кировцу-2», говорится о том, что специалисты НИБТ Полигона признали боевое отделение тесным, но летом 1945 года оценка оказалась совсем иной:</w:t>
      </w:r>
    </w:p>
    <w:p w14:paraId="51E2795F" w14:textId="77777777" w:rsidR="00230342" w:rsidRPr="00F90EAE" w:rsidRDefault="00230342" w:rsidP="00F90EAE">
      <w:pPr>
        <w:jc w:val="both"/>
        <w:rPr>
          <w:color w:val="000000" w:themeColor="text1"/>
          <w:sz w:val="16"/>
          <w:szCs w:val="16"/>
        </w:rPr>
      </w:pPr>
      <w:r w:rsidRPr="00F90EAE">
        <w:rPr>
          <w:color w:val="000000" w:themeColor="text1"/>
          <w:sz w:val="16"/>
          <w:szCs w:val="16"/>
        </w:rPr>
        <w:t>Ввиду различных согласований артиллерийские испытания «Кировца-2» прошли только осенью 1945 года.</w:t>
      </w:r>
    </w:p>
    <w:p w14:paraId="78571E28" w14:textId="77777777" w:rsidR="00230342" w:rsidRPr="00F90EAE" w:rsidRDefault="00230342" w:rsidP="00F90EAE">
      <w:pPr>
        <w:jc w:val="both"/>
        <w:rPr>
          <w:color w:val="000000" w:themeColor="text1"/>
          <w:sz w:val="16"/>
          <w:szCs w:val="16"/>
        </w:rPr>
      </w:pPr>
      <w:r w:rsidRPr="00F90EAE">
        <w:rPr>
          <w:color w:val="000000" w:themeColor="text1"/>
          <w:sz w:val="16"/>
          <w:szCs w:val="16"/>
        </w:rPr>
        <w:t>Ситуация вокруг «Кировца-2» выглядела несколько комичной ввиду того, что Наркомат вооружений просил отправить машину на Ленинградский артиллерийский научно-исследовательский опытный полигон (АНИОП). Это указание было вполне логичным, поскольку требовалось испытать прежде всего вооружение машины, с которого и началась разработка. В то же время «Кировец-2» продолжал находиться в Кубинке без всякого движения. Даже утверждённая НКВ программа испытаний МЛ-20см и письмо Устинова, датированное концом июля 1945 года, поначалу не особо помогли. В августе на проведение испытаний согласилось руководство ГАУ КА, и «Кировец-2» отправили на АНИОП. Тем не менее ни в августе, ни в сентябре 1945 года никаких испытаний не проводилось. На сей раз виновниками стали представители завода №172, которые на полигон не поехали.</w:t>
      </w:r>
    </w:p>
    <w:p w14:paraId="412CCCE8" w14:textId="77777777" w:rsidR="00230342" w:rsidRPr="00F90EAE" w:rsidRDefault="00230342" w:rsidP="00F90EAE">
      <w:pPr>
        <w:jc w:val="both"/>
        <w:rPr>
          <w:color w:val="000000" w:themeColor="text1"/>
          <w:sz w:val="16"/>
          <w:szCs w:val="16"/>
        </w:rPr>
      </w:pPr>
      <w:r w:rsidRPr="00F90EAE">
        <w:rPr>
          <w:color w:val="000000" w:themeColor="text1"/>
          <w:sz w:val="16"/>
          <w:szCs w:val="16"/>
        </w:rPr>
        <w:t>Наконец, к 24 сентября представители завода прибыли, но лишь для того, чтобы спустя несколько дней уехать, оставив одного конструктора, не имевшего полномочий на проведение испытаний. Таким образом, только за счёт различных проволочек и согласований было потеряно полгода. Обычно такие действия ни к чему хорошему не приводили, и история «Кировца-2» не стала исключением.</w:t>
      </w:r>
    </w:p>
    <w:p w14:paraId="6EBDBB2B" w14:textId="77777777" w:rsidR="00230342" w:rsidRPr="00F90EAE" w:rsidRDefault="00230342" w:rsidP="00F90EAE">
      <w:pPr>
        <w:jc w:val="both"/>
        <w:rPr>
          <w:color w:val="000000" w:themeColor="text1"/>
          <w:sz w:val="16"/>
          <w:szCs w:val="16"/>
        </w:rPr>
      </w:pPr>
      <w:r w:rsidRPr="00F90EAE">
        <w:rPr>
          <w:color w:val="000000" w:themeColor="text1"/>
          <w:sz w:val="16"/>
          <w:szCs w:val="16"/>
        </w:rPr>
        <w:t>По итогам всех согласований и задержек испытания растянулись с 25 сентября по 13 ноября 1945 года. От завода №172 на них прибыли Кузнецов и старший инженер-конструктор Назаров. Всего за это время было произведено 65 выстрелов на полном заряде, и 244 — на усиленном заряде. Стрельба прошла успешно, а иногда случавшиеся проблемы экстракции гильз оказались связаны с их деформацией, не имевшей к орудию никакого отношения. Одной из немногих проблем, на которую указали при испытаниях МЛ-2см, стала необходимость введения лючка в подвижной бронировке для доступа к воздушному вентилю тормоза отката.</w:t>
      </w:r>
    </w:p>
    <w:p w14:paraId="7FC2471F" w14:textId="77777777" w:rsidR="00230342" w:rsidRPr="00F90EAE" w:rsidRDefault="00230342" w:rsidP="00F90EAE">
      <w:pPr>
        <w:jc w:val="both"/>
        <w:rPr>
          <w:color w:val="000000" w:themeColor="text1"/>
          <w:sz w:val="16"/>
          <w:szCs w:val="16"/>
        </w:rPr>
      </w:pPr>
      <w:r w:rsidRPr="00F90EAE">
        <w:rPr>
          <w:color w:val="000000" w:themeColor="text1"/>
          <w:sz w:val="16"/>
          <w:szCs w:val="16"/>
        </w:rPr>
        <w:t>Хвалебных отзывов к орудию оказалось больше. Однозначным плюсом назвали отсутствие дульного тормоза, что снизило демаскировку при стрельбе. Правда, при стрельбе разбило фару, в результате было принято решение поставить её на амортизаторе. Также похвалили спусковой механизм, снабжённый рычажным и электрическим спуском. Высокой оценки удостоился и прицел ТШ-17, более удобный, чем СТ-10. При стрельбе почти не наблюдалось сбиваемости прицела.</w:t>
      </w:r>
    </w:p>
    <w:p w14:paraId="5B2F5CAE" w14:textId="77777777" w:rsidR="00230342" w:rsidRPr="00F90EAE" w:rsidRDefault="00230342" w:rsidP="00F90EAE">
      <w:pPr>
        <w:jc w:val="both"/>
        <w:rPr>
          <w:color w:val="000000" w:themeColor="text1"/>
          <w:sz w:val="16"/>
          <w:szCs w:val="16"/>
        </w:rPr>
      </w:pPr>
      <w:r w:rsidRPr="00F90EAE">
        <w:rPr>
          <w:color w:val="000000" w:themeColor="text1"/>
          <w:sz w:val="16"/>
          <w:szCs w:val="16"/>
        </w:rPr>
        <w:t>Оценка боевого отделения «Кировца-2» оказалась такой же, как у испытателей НИБТ Полигона. Удобство работы механика-водителя признали более высоким, чем на СУ-152 и ИСУ-152, причём это касалось не только вождения, но и доступа. Ещё более высокой оценки удостоилось место командира. В отличие от </w:t>
      </w:r>
      <w:hyperlink r:id="rId150" w:history="1">
        <w:r w:rsidRPr="00F90EAE">
          <w:rPr>
            <w:rStyle w:val="a5"/>
            <w:color w:val="000000" w:themeColor="text1"/>
            <w:sz w:val="16"/>
            <w:szCs w:val="16"/>
          </w:rPr>
          <w:t>СУ-152</w:t>
        </w:r>
      </w:hyperlink>
      <w:r w:rsidRPr="00F90EAE">
        <w:rPr>
          <w:color w:val="000000" w:themeColor="text1"/>
          <w:sz w:val="16"/>
          <w:szCs w:val="16"/>
        </w:rPr>
        <w:t> и ИСУ-152, он сидел по ходу движения машины, а не боком. Существенно выше оказалась обзорность, похвалили и люк, вращавшийся вокруг своей оси. Наводчик также получил более удобное рабочее место.</w:t>
      </w:r>
    </w:p>
    <w:p w14:paraId="4303791F" w14:textId="77777777" w:rsidR="00230342" w:rsidRPr="00F90EAE" w:rsidRDefault="00230342" w:rsidP="00F90EAE">
      <w:pPr>
        <w:jc w:val="both"/>
        <w:rPr>
          <w:color w:val="000000" w:themeColor="text1"/>
          <w:sz w:val="16"/>
          <w:szCs w:val="16"/>
        </w:rPr>
      </w:pPr>
      <w:r w:rsidRPr="00F90EAE">
        <w:rPr>
          <w:color w:val="000000" w:themeColor="text1"/>
          <w:sz w:val="16"/>
          <w:szCs w:val="16"/>
        </w:rPr>
        <w:t>Хуже была ситуация с заряжающими. Комиссия признала, что из 20 снарядов удобно заряжать 12, находящихся на левом борту. До остальных было добираться сложнее, впрочем, аналогичные проблемы имелись и у ИСУ-152. С точки зрения заряжающего наклонные борта рубки признали плохой идеей, поскольку уменьшался боекомплект. Комиссия предлагала от рациональных углов наклона отказаться. Наименее удобными оказались условия работы замкового (впрочем, стоит отметить, что у ИСУ-152 наблюдались похожие трудности).</w:t>
      </w:r>
    </w:p>
    <w:p w14:paraId="774A620A" w14:textId="77777777" w:rsidR="00230342" w:rsidRPr="00F90EAE" w:rsidRDefault="00230342" w:rsidP="00F90EAE">
      <w:pPr>
        <w:jc w:val="both"/>
        <w:rPr>
          <w:color w:val="000000" w:themeColor="text1"/>
          <w:sz w:val="16"/>
          <w:szCs w:val="16"/>
        </w:rPr>
      </w:pPr>
      <w:r w:rsidRPr="00F90EAE">
        <w:rPr>
          <w:color w:val="000000" w:themeColor="text1"/>
          <w:sz w:val="16"/>
          <w:szCs w:val="16"/>
        </w:rPr>
        <w:t>Самоходную установку «Кировец-2» и орудие МЛ-20см признали выдержавшими испытания. В планах НИБТ Полигона появился пункт о проведении ходовых испытаний, но драгоценное время было потеряно (18636).</w:t>
      </w:r>
    </w:p>
    <w:p w14:paraId="7BA01A48" w14:textId="77777777" w:rsidR="00230342" w:rsidRPr="00F90EAE" w:rsidRDefault="00230342" w:rsidP="00F90EAE">
      <w:pPr>
        <w:jc w:val="both"/>
        <w:rPr>
          <w:color w:val="000000" w:themeColor="text1"/>
          <w:sz w:val="16"/>
          <w:szCs w:val="16"/>
        </w:rPr>
      </w:pPr>
    </w:p>
    <w:p w14:paraId="481D37B6" w14:textId="77777777" w:rsidR="00B90038" w:rsidRPr="00F90EAE" w:rsidRDefault="00B90038" w:rsidP="00F90EAE">
      <w:pPr>
        <w:shd w:val="clear" w:color="auto" w:fill="FFFFFF"/>
        <w:jc w:val="both"/>
        <w:rPr>
          <w:color w:val="000000" w:themeColor="text1"/>
          <w:sz w:val="16"/>
          <w:szCs w:val="16"/>
        </w:rPr>
      </w:pPr>
      <w:r w:rsidRPr="00F90EAE">
        <w:rPr>
          <w:color w:val="000000" w:themeColor="text1"/>
          <w:sz w:val="16"/>
          <w:szCs w:val="16"/>
        </w:rPr>
        <w:t>В середине июня 1945 года в Берлин приехала специальная комиссия Совета по радиолокации, созданная решением ГКО для установления научно-технического уровня радиолокации, электроники и радиосвязи, которого достигла Германия ко времени окончания войны. Председателем комиссии был назначен капитан 1-го ранга А.И. Шокин, будущий министр электронной промышленности (14927).</w:t>
      </w:r>
    </w:p>
    <w:p w14:paraId="23EF2F30" w14:textId="77777777" w:rsidR="00B90038" w:rsidRPr="00F90EAE" w:rsidRDefault="00B90038" w:rsidP="00F90EAE">
      <w:pPr>
        <w:shd w:val="clear" w:color="auto" w:fill="FFFFFF"/>
        <w:jc w:val="both"/>
        <w:rPr>
          <w:color w:val="000000" w:themeColor="text1"/>
          <w:sz w:val="16"/>
          <w:szCs w:val="16"/>
        </w:rPr>
      </w:pPr>
    </w:p>
    <w:p w14:paraId="29F217C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478646B7" w14:textId="77777777" w:rsidR="006103B3" w:rsidRPr="00F90EAE" w:rsidRDefault="006103B3" w:rsidP="00F90EAE">
      <w:pPr>
        <w:autoSpaceDE w:val="0"/>
        <w:autoSpaceDN w:val="0"/>
        <w:adjustRightInd w:val="0"/>
        <w:jc w:val="both"/>
        <w:rPr>
          <w:iCs/>
          <w:color w:val="000000" w:themeColor="text1"/>
          <w:sz w:val="16"/>
          <w:szCs w:val="16"/>
        </w:rPr>
      </w:pPr>
    </w:p>
    <w:p w14:paraId="0553C1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середине июня 1945 с авиазавода № 24 в 571 шап прибыла бригада во главе с «меха</w:t>
      </w:r>
      <w:r w:rsidRPr="00F90EAE">
        <w:rPr>
          <w:color w:val="000000" w:themeColor="text1"/>
          <w:sz w:val="16"/>
          <w:szCs w:val="16"/>
        </w:rPr>
        <w:softHyphen/>
        <w:t>ником Кузнецовым и представителем НКАП инженером Серебряковым». В ее задачу входила замена нагнетателей на всех моторах. Кроме этого, с авиаза</w:t>
      </w:r>
      <w:r w:rsidRPr="00F90EAE">
        <w:rPr>
          <w:color w:val="000000" w:themeColor="text1"/>
          <w:sz w:val="16"/>
          <w:szCs w:val="16"/>
        </w:rPr>
        <w:softHyphen/>
        <w:t>вода № 18 были «доставлены добавоч</w:t>
      </w:r>
      <w:r w:rsidRPr="00F90EAE">
        <w:rPr>
          <w:color w:val="000000" w:themeColor="text1"/>
          <w:sz w:val="16"/>
          <w:szCs w:val="16"/>
        </w:rPr>
        <w:softHyphen/>
        <w:t>ные фильтры для постановки снаружи всасывающей трубы»...(11157).</w:t>
      </w:r>
    </w:p>
    <w:p w14:paraId="7925095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CE4669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13F63E1" w14:textId="77777777" w:rsidR="006103B3" w:rsidRPr="00F90EAE" w:rsidRDefault="006103B3" w:rsidP="00F90EAE">
      <w:pPr>
        <w:autoSpaceDE w:val="0"/>
        <w:autoSpaceDN w:val="0"/>
        <w:adjustRightInd w:val="0"/>
        <w:jc w:val="both"/>
        <w:rPr>
          <w:iCs/>
          <w:color w:val="000000" w:themeColor="text1"/>
          <w:sz w:val="16"/>
          <w:szCs w:val="16"/>
        </w:rPr>
      </w:pPr>
    </w:p>
    <w:p w14:paraId="77E75F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июня 1945 года на фирме Кокусай группой капитана Мизуама был построен первый и единственный прототип самолета - специального легкого штурмовика - Та-Го (4800).</w:t>
      </w:r>
    </w:p>
    <w:p w14:paraId="0250CDED" w14:textId="77777777" w:rsidR="006103B3" w:rsidRPr="00F90EAE" w:rsidRDefault="006103B3" w:rsidP="00F90EAE">
      <w:pPr>
        <w:autoSpaceDE w:val="0"/>
        <w:autoSpaceDN w:val="0"/>
        <w:adjustRightInd w:val="0"/>
        <w:jc w:val="both"/>
        <w:rPr>
          <w:color w:val="000000" w:themeColor="text1"/>
          <w:sz w:val="16"/>
          <w:szCs w:val="16"/>
        </w:rPr>
      </w:pPr>
    </w:p>
    <w:p w14:paraId="70F8AA4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EA953F1" w14:textId="77777777" w:rsidR="006103B3" w:rsidRPr="00F90EAE" w:rsidRDefault="006103B3" w:rsidP="00F90EAE">
      <w:pPr>
        <w:autoSpaceDE w:val="0"/>
        <w:autoSpaceDN w:val="0"/>
        <w:adjustRightInd w:val="0"/>
        <w:jc w:val="both"/>
        <w:rPr>
          <w:iCs/>
          <w:color w:val="000000" w:themeColor="text1"/>
          <w:sz w:val="16"/>
          <w:szCs w:val="16"/>
        </w:rPr>
      </w:pPr>
    </w:p>
    <w:p w14:paraId="11060F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 июня 1945 года П. Дементьев писал письмо N Н-32/2668 начальнику УЗОМ ГУЗ ВВС генерал-лейтенанту ИАС Селезневу, зам. наркома химической промышленности Касаткину, зам. наркома промышленности стройматериалов Шилову, зам. гл. инженера ВВС генерал-лейтенанту</w:t>
      </w:r>
    </w:p>
    <w:p w14:paraId="308F8D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N 703336 от 18 мая 1945 года.</w:t>
      </w:r>
    </w:p>
    <w:p w14:paraId="0E3857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Наркомавиапром согласен с требованием о части снижения по новым ТУ оптического искажения прозрачной авиаброни для передних деталей в пределах 6 мин. и для заголовных - в пределах 12 минут.</w:t>
      </w:r>
    </w:p>
    <w:p w14:paraId="226FEB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Для обеспечения выполнения этого требования заводами НКАП, необходимо наркомату промышленности стройматериалов обеспечить выпуск силикатного стекла двухсторонней шлифовки с величиной оптического искажения не выше 2-х минут.</w:t>
      </w:r>
    </w:p>
    <w:p w14:paraId="3AA6C7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Температуру нагрева образцов прозрачной авиаброни перед определением ее теплостойкости считаем целесообразным установить 55 градусов, так как именно такая температура принята по новым ТУ для определения термоводостойкости (1879).</w:t>
      </w:r>
    </w:p>
    <w:p w14:paraId="2B37C81C" w14:textId="77777777" w:rsidR="006103B3" w:rsidRPr="00F90EAE" w:rsidRDefault="006103B3" w:rsidP="00F90EAE">
      <w:pPr>
        <w:autoSpaceDE w:val="0"/>
        <w:autoSpaceDN w:val="0"/>
        <w:adjustRightInd w:val="0"/>
        <w:jc w:val="both"/>
        <w:rPr>
          <w:color w:val="000000" w:themeColor="text1"/>
          <w:sz w:val="16"/>
          <w:szCs w:val="16"/>
        </w:rPr>
      </w:pPr>
    </w:p>
    <w:p w14:paraId="1604A16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AB1C8D6" w14:textId="77777777" w:rsidR="006103B3" w:rsidRPr="00F90EAE" w:rsidRDefault="006103B3" w:rsidP="00F90EAE">
      <w:pPr>
        <w:autoSpaceDE w:val="0"/>
        <w:autoSpaceDN w:val="0"/>
        <w:adjustRightInd w:val="0"/>
        <w:jc w:val="both"/>
        <w:rPr>
          <w:iCs/>
          <w:color w:val="000000" w:themeColor="text1"/>
          <w:sz w:val="16"/>
          <w:szCs w:val="16"/>
        </w:rPr>
      </w:pPr>
    </w:p>
    <w:p w14:paraId="217285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 июня 1945 г. вышел ПРИКАЗ № 0114 О ПРОВЕДЕНИИ ВОЙСКОВЫХ ИСПЫТАНИЙ ОПЫТНЫХ ОБРАЗЦОВ СТРЕЛКОВОГО ВООРУЖЕНИЯ</w:t>
      </w:r>
    </w:p>
    <w:p w14:paraId="417265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Одобрен Народным комиссаром обороны СССР</w:t>
      </w:r>
    </w:p>
    <w:p w14:paraId="5CA7D6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Главному инспектору пехоты в период июль — август т. г. провести войсковые испытания следующих опытных образцов стрелкового вооружения:</w:t>
      </w:r>
    </w:p>
    <w:p w14:paraId="2DE1FE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7,62-мм ручной пулемет РПД конструкции Дегтярева под 7,62-мм промежуточный патрон обр. 1943 г.;</w:t>
      </w:r>
    </w:p>
    <w:p w14:paraId="51FFE6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7,62-мм автомат АС-44 конструкции Судаева под 7,62-мм промежуточный патрон обр. 1943 г.;</w:t>
      </w:r>
    </w:p>
    <w:p w14:paraId="613059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7,62-мм ручной пулемет ДПМ с ленточным питанием под штатный винтовочный патрон;</w:t>
      </w:r>
    </w:p>
    <w:p w14:paraId="16EEE4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г) 7,62-мм укороченную винтовку обр 1891/30 гг. с неотъемным штыком. Целью испытаний ставится:</w:t>
      </w:r>
    </w:p>
    <w:p w14:paraId="65BEEC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выявление боевых, служебных и тактико-технических свойств перечисленных выше образцов и проверка соответствия их требованиям войск, вытекающим из опыта Отечественной войны;</w:t>
      </w:r>
    </w:p>
    <w:p w14:paraId="6879BF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составление мотивированного заключения о необходимости принятия их на вооружение армии и определение места испытываемым образцам в системе стрелкового вооружения.</w:t>
      </w:r>
    </w:p>
    <w:p w14:paraId="21B61A1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Испытания провести в следующих военных округах и фронтах: Московском, Среднеазиатском, Закавказском и на курсах усовершенствования офицерского состава “Выстрел”.</w:t>
      </w:r>
    </w:p>
    <w:p w14:paraId="621432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Главному инспектору пехоты дать указания военным советам округов и фронтов, где проводятся испытания, и начальнику КУОС “Выстрел” — о назначении комиссий для проведения испытания опытных образцов вооружения.</w:t>
      </w:r>
    </w:p>
    <w:p w14:paraId="3BED0C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состав комиссий включить представителей от инспекции пехоты, Главного артиллерийского управления и командующего кавалерией Красной Армии.</w:t>
      </w:r>
    </w:p>
    <w:p w14:paraId="10096A0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Комиссиям при проведении испытаний руководствоваться указаниями главного инспектора пехоты Красной Армии.</w:t>
      </w:r>
    </w:p>
    <w:p w14:paraId="54347E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Начальнику ГАУ обеспечить отправку материальной части и боеприпасов в округа не позднее 20 июня 1945 г.</w:t>
      </w:r>
    </w:p>
    <w:p w14:paraId="7CD5BD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Акты комиссий, утвержденные командующими округами (фронтами) и начальником “Выстрел” представить главному инспектору пехоты и начальнику ГАУ к 1 сентября 1945 г.</w:t>
      </w:r>
    </w:p>
    <w:p w14:paraId="2EDA6B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Главному инспектору пехоты и начальнику ГАУ результаты войсковых испытаний со своими заключениями доложить мне.</w:t>
      </w:r>
    </w:p>
    <w:p w14:paraId="0C632B9E"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Заместитель Народного комиссара обороны СССР генерал армии БУЛГАНИН</w:t>
      </w:r>
      <w:r w:rsidRPr="00F90EAE">
        <w:rPr>
          <w:color w:val="000000" w:themeColor="text1"/>
          <w:sz w:val="16"/>
          <w:szCs w:val="16"/>
        </w:rPr>
        <w:t xml:space="preserve"> (9844).</w:t>
      </w:r>
    </w:p>
    <w:p w14:paraId="538D0199" w14:textId="77777777" w:rsidR="006103B3" w:rsidRPr="00F90EAE" w:rsidRDefault="006103B3" w:rsidP="00F90EAE">
      <w:pPr>
        <w:autoSpaceDE w:val="0"/>
        <w:autoSpaceDN w:val="0"/>
        <w:adjustRightInd w:val="0"/>
        <w:jc w:val="both"/>
        <w:rPr>
          <w:color w:val="000000" w:themeColor="text1"/>
          <w:sz w:val="16"/>
          <w:szCs w:val="16"/>
        </w:rPr>
      </w:pPr>
    </w:p>
    <w:p w14:paraId="63832312"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июня 1945 вышло Постановление ГКО № 9055 О порядке отправки советских репатриантов с фронтовых лагерей и сборно-пересыльных пунктов к месту постоянного жительства. (7350, 28-30,31).</w:t>
      </w:r>
    </w:p>
    <w:p w14:paraId="38E5573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1506FA3" w14:textId="77777777" w:rsidR="0002077A"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5D7AE10" w14:textId="77777777" w:rsidR="0002077A" w:rsidRPr="00F90EAE" w:rsidRDefault="0002077A" w:rsidP="00F90EAE">
      <w:pPr>
        <w:autoSpaceDE w:val="0"/>
        <w:autoSpaceDN w:val="0"/>
        <w:adjustRightInd w:val="0"/>
        <w:jc w:val="both"/>
        <w:rPr>
          <w:iCs/>
          <w:color w:val="000000" w:themeColor="text1"/>
          <w:sz w:val="16"/>
          <w:szCs w:val="16"/>
        </w:rPr>
      </w:pPr>
    </w:p>
    <w:p w14:paraId="0E3D5A3B" w14:textId="77777777" w:rsidR="0002077A" w:rsidRPr="00F90EAE" w:rsidRDefault="0002077A" w:rsidP="00F90EAE">
      <w:pPr>
        <w:pStyle w:val="book"/>
        <w:ind w:firstLine="0"/>
        <w:jc w:val="both"/>
        <w:rPr>
          <w:color w:val="000000" w:themeColor="text1"/>
          <w:sz w:val="16"/>
          <w:szCs w:val="16"/>
        </w:rPr>
      </w:pPr>
      <w:r w:rsidRPr="00F90EAE">
        <w:rPr>
          <w:color w:val="000000" w:themeColor="text1"/>
          <w:sz w:val="16"/>
          <w:szCs w:val="16"/>
        </w:rPr>
        <w:t>16 июня 1945 года генерад Берзарин вместе со своим ординарцем разбился на мотоцикле, налетев на "Студебеккер" (15225).</w:t>
      </w:r>
    </w:p>
    <w:p w14:paraId="62BB48AC" w14:textId="77777777" w:rsidR="0002077A" w:rsidRPr="00F90EAE" w:rsidRDefault="0002077A" w:rsidP="00F90EAE">
      <w:pPr>
        <w:pStyle w:val="book"/>
        <w:ind w:firstLine="0"/>
        <w:jc w:val="both"/>
        <w:rPr>
          <w:color w:val="000000" w:themeColor="text1"/>
          <w:sz w:val="16"/>
          <w:szCs w:val="16"/>
        </w:rPr>
      </w:pPr>
    </w:p>
    <w:p w14:paraId="45DFD403"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36D555A6" w14:textId="77777777" w:rsidR="006103B3" w:rsidRPr="00F90EAE" w:rsidRDefault="006103B3" w:rsidP="00F90EAE">
      <w:pPr>
        <w:autoSpaceDE w:val="0"/>
        <w:autoSpaceDN w:val="0"/>
        <w:adjustRightInd w:val="0"/>
        <w:jc w:val="both"/>
        <w:rPr>
          <w:iCs/>
          <w:color w:val="000000" w:themeColor="text1"/>
          <w:sz w:val="16"/>
          <w:szCs w:val="16"/>
        </w:rPr>
      </w:pPr>
    </w:p>
    <w:p w14:paraId="3143A3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 июня 1945 года в Кремле состоялся большой смотр перспективных образцов отечественной автомобильной техники, где в числе прочих образцов руководству Партии и Правительства были предъявлены образцы модернизированного КИМ-10-52 и трофейного Опель-Кадет К-38. В процессе осмотра этих образцов И.В. Сталиным было окончательно принято и озвучено решение о постановке на производство на МЗМА автомобиля Опель-Кадет в его существующем виде, несмотря на уже выявленный ряд слабых мест в конструкции его двигателя и трансмиссии. 20 июня 1945 года все работы по модернизации автомобилей КИМ-10-52 и подготовке их производства были свернуты. 26 августа 1945 года Постановлением Государственного Комитета Обороны СССР № 9905 были утверждены опытный образец и техническая характеристика нового объекта производства. Завод приступил к освоению производства своего первого послевоенного автомобиля модели М-400, которому было присвоено имя «Москвич». В процессе подготовки его производства из Германии было вывезено в Москву 539 единиц репарационного оборудования. 26 августа 1945 года Постановлением Государственного Комитета Обороны СССР № 9905 были утверждены опытный образец и техническая характеристика нового автомобиля. В соответствии с Приказом Наркома Среднего Машиностроения №541 от 23 октября 1945 года «О подготовке и обслуживании производства и выпуска малолитражных автомобилей «Москвич» в 1946 году заводу предписывалось в срок до 1 ноября 1945 года сдать в подготовку производства чертежи шасси, в срок до 20 января 1946 года – чертежи заново разработанного четырехдверного кузова, а в срок до 25 декабря 1945 года – завершить разработку технологического процесса. Выпуск первых пяти автомобилей по графику подготовки производства намечался на июль 1946 года. Однако, в связи с многочисленными задержками подготовки производства на заводах-смежниках и в связи со сложностями в организации ремонта крайне разнотипного (в том числе репарационного) заводского оборудования Приказом Министра Автотракторной промышленности СССР №368 от 17 августа 1946 года начало производства было перенесено на VI-й квартал 1946 года (10766).</w:t>
      </w:r>
    </w:p>
    <w:p w14:paraId="0AF6DCDB" w14:textId="77777777" w:rsidR="006103B3" w:rsidRPr="00F90EAE" w:rsidRDefault="006103B3" w:rsidP="00F90EAE">
      <w:pPr>
        <w:autoSpaceDE w:val="0"/>
        <w:autoSpaceDN w:val="0"/>
        <w:adjustRightInd w:val="0"/>
        <w:jc w:val="both"/>
        <w:rPr>
          <w:color w:val="000000" w:themeColor="text1"/>
          <w:sz w:val="16"/>
          <w:szCs w:val="16"/>
        </w:rPr>
      </w:pPr>
    </w:p>
    <w:p w14:paraId="3B837D0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E602340" w14:textId="77777777" w:rsidR="006103B3" w:rsidRPr="00F90EAE" w:rsidRDefault="006103B3" w:rsidP="00F90EAE">
      <w:pPr>
        <w:autoSpaceDE w:val="0"/>
        <w:autoSpaceDN w:val="0"/>
        <w:adjustRightInd w:val="0"/>
        <w:jc w:val="both"/>
        <w:rPr>
          <w:iCs/>
          <w:color w:val="000000" w:themeColor="text1"/>
          <w:sz w:val="16"/>
          <w:szCs w:val="16"/>
        </w:rPr>
      </w:pPr>
    </w:p>
    <w:p w14:paraId="0935207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16 июня 1945 в автокатастрофе погиб первый военный комендант Берлина , командующий 5-ой ударной армией Герой Советского Союза генерал-полковник Н.Э. Берзарин (4963 ).</w:t>
      </w:r>
    </w:p>
    <w:p w14:paraId="562A993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B44D11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A16075E" w14:textId="77777777" w:rsidR="006103B3" w:rsidRPr="00F90EAE" w:rsidRDefault="006103B3" w:rsidP="00F90EAE">
      <w:pPr>
        <w:autoSpaceDE w:val="0"/>
        <w:autoSpaceDN w:val="0"/>
        <w:adjustRightInd w:val="0"/>
        <w:jc w:val="both"/>
        <w:rPr>
          <w:iCs/>
          <w:color w:val="000000" w:themeColor="text1"/>
          <w:sz w:val="16"/>
          <w:szCs w:val="16"/>
        </w:rPr>
      </w:pPr>
    </w:p>
    <w:p w14:paraId="1A257A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9078. Об оставлении в распоряжении НКАП 24 отремонтированных там машин. РГАНИР, Фонд ГКО, д. 428, лл. 57 (11012).</w:t>
      </w:r>
    </w:p>
    <w:p w14:paraId="2AE64DD8" w14:textId="77777777" w:rsidR="006103B3" w:rsidRPr="00F90EAE" w:rsidRDefault="006103B3" w:rsidP="00F90EAE">
      <w:pPr>
        <w:autoSpaceDE w:val="0"/>
        <w:autoSpaceDN w:val="0"/>
        <w:adjustRightInd w:val="0"/>
        <w:jc w:val="both"/>
        <w:rPr>
          <w:color w:val="000000" w:themeColor="text1"/>
          <w:sz w:val="16"/>
          <w:szCs w:val="16"/>
        </w:rPr>
      </w:pPr>
    </w:p>
    <w:p w14:paraId="604512B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4ECAA23" w14:textId="77777777" w:rsidR="006103B3" w:rsidRPr="00F90EAE" w:rsidRDefault="006103B3" w:rsidP="00F90EAE">
      <w:pPr>
        <w:autoSpaceDE w:val="0"/>
        <w:autoSpaceDN w:val="0"/>
        <w:adjustRightInd w:val="0"/>
        <w:jc w:val="both"/>
        <w:rPr>
          <w:iCs/>
          <w:color w:val="000000" w:themeColor="text1"/>
          <w:sz w:val="16"/>
          <w:szCs w:val="16"/>
        </w:rPr>
      </w:pPr>
    </w:p>
    <w:p w14:paraId="1647D38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9056 [О мерах по ремонту железных дорог на Дальнем Востоке.] (7350, 32).</w:t>
      </w:r>
    </w:p>
    <w:p w14:paraId="5C8A176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8B11AA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Постановление ГКО № 9057 О восстановлении железнодорожного участка Коканд - Наманган Ташкентской жел. дороги. (7350, 33).</w:t>
      </w:r>
    </w:p>
    <w:p w14:paraId="7D57FD4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39DC9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9058. О дополнительном выделении нефти заводу № 742 НКРП в июне 1945 г. РГАНИР, Фонд ГКО, д. 428, лл. 34 (11012).</w:t>
      </w:r>
    </w:p>
    <w:p w14:paraId="47590156" w14:textId="77777777" w:rsidR="006103B3" w:rsidRPr="00F90EAE" w:rsidRDefault="006103B3" w:rsidP="00F90EAE">
      <w:pPr>
        <w:autoSpaceDE w:val="0"/>
        <w:autoSpaceDN w:val="0"/>
        <w:adjustRightInd w:val="0"/>
        <w:jc w:val="both"/>
        <w:rPr>
          <w:color w:val="000000" w:themeColor="text1"/>
          <w:sz w:val="16"/>
          <w:szCs w:val="16"/>
        </w:rPr>
      </w:pPr>
    </w:p>
    <w:p w14:paraId="3C9511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9059. Об освобождении завода № 88 НКВ от поставки НКВМФ в июне-июле спаренных морских артустановок. РГАНИР, Фонд ГКО, д. 428, лл. 35 (11012).</w:t>
      </w:r>
    </w:p>
    <w:p w14:paraId="3DCBD82C" w14:textId="77777777" w:rsidR="006103B3" w:rsidRPr="00F90EAE" w:rsidRDefault="006103B3" w:rsidP="00F90EAE">
      <w:pPr>
        <w:autoSpaceDE w:val="0"/>
        <w:autoSpaceDN w:val="0"/>
        <w:adjustRightInd w:val="0"/>
        <w:jc w:val="both"/>
        <w:rPr>
          <w:color w:val="000000" w:themeColor="text1"/>
          <w:sz w:val="16"/>
          <w:szCs w:val="16"/>
        </w:rPr>
      </w:pPr>
    </w:p>
    <w:p w14:paraId="5030F6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9060. О дополнительном выделении угля заводу Казахсельмаш НКВМ в июне 1945 г. РГАНИР, Фонд ГКО, д. 428, лл. 36 (11012).</w:t>
      </w:r>
    </w:p>
    <w:p w14:paraId="017E1EB2" w14:textId="77777777" w:rsidR="006103B3" w:rsidRPr="00F90EAE" w:rsidRDefault="006103B3" w:rsidP="00F90EAE">
      <w:pPr>
        <w:autoSpaceDE w:val="0"/>
        <w:autoSpaceDN w:val="0"/>
        <w:adjustRightInd w:val="0"/>
        <w:jc w:val="both"/>
        <w:rPr>
          <w:color w:val="000000" w:themeColor="text1"/>
          <w:sz w:val="16"/>
          <w:szCs w:val="16"/>
        </w:rPr>
      </w:pPr>
    </w:p>
    <w:p w14:paraId="5E6C4D68"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9061 [О производстве на подольском заводе "Красный котельщик" НКТМ котлов для НКНП.] (7350, 37).</w:t>
      </w:r>
    </w:p>
    <w:p w14:paraId="7BE2783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A2A5E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9062. О помощи заводу № 637 НКБ в Комсомольске-на-Амуре поставкой рельсов, проведением работ по МПВО и усилением охраны НКВРГАНИР, Фонд ГКО, д. РГАНИР, Фонд ГКО, д. 428, лл. 38-39 (11012).</w:t>
      </w:r>
    </w:p>
    <w:p w14:paraId="0664EA43" w14:textId="77777777" w:rsidR="006103B3" w:rsidRPr="00F90EAE" w:rsidRDefault="006103B3" w:rsidP="00F90EAE">
      <w:pPr>
        <w:autoSpaceDE w:val="0"/>
        <w:autoSpaceDN w:val="0"/>
        <w:adjustRightInd w:val="0"/>
        <w:jc w:val="both"/>
        <w:rPr>
          <w:color w:val="000000" w:themeColor="text1"/>
          <w:sz w:val="16"/>
          <w:szCs w:val="16"/>
        </w:rPr>
      </w:pPr>
    </w:p>
    <w:p w14:paraId="687BD20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9063 [О передаче ГУЛЖДС НКВД совхоза №11 в Узбекской ССР.] (7350, 40).</w:t>
      </w:r>
    </w:p>
    <w:p w14:paraId="7135072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A60F8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9064. О лимите отпуска электроэнергии некоторым предприятиям НКХП, НКВ и НКПС. РГАНИР, Фонд ГКО, д. 428, лл. 41 (11012).</w:t>
      </w:r>
    </w:p>
    <w:p w14:paraId="152663F5" w14:textId="77777777" w:rsidR="006103B3" w:rsidRPr="00F90EAE" w:rsidRDefault="006103B3" w:rsidP="00F90EAE">
      <w:pPr>
        <w:autoSpaceDE w:val="0"/>
        <w:autoSpaceDN w:val="0"/>
        <w:adjustRightInd w:val="0"/>
        <w:jc w:val="both"/>
        <w:rPr>
          <w:color w:val="000000" w:themeColor="text1"/>
          <w:sz w:val="16"/>
          <w:szCs w:val="16"/>
        </w:rPr>
      </w:pPr>
    </w:p>
    <w:p w14:paraId="7CD56D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9065. О дополнительном выделении бензина НКстрою в июне 1945 г. РГАНИР, Фонд ГКО, д. 428, лл. 42 (11012).</w:t>
      </w:r>
    </w:p>
    <w:p w14:paraId="22E987C3" w14:textId="77777777" w:rsidR="006103B3" w:rsidRPr="00F90EAE" w:rsidRDefault="006103B3" w:rsidP="00F90EAE">
      <w:pPr>
        <w:autoSpaceDE w:val="0"/>
        <w:autoSpaceDN w:val="0"/>
        <w:adjustRightInd w:val="0"/>
        <w:jc w:val="both"/>
        <w:rPr>
          <w:color w:val="000000" w:themeColor="text1"/>
          <w:sz w:val="16"/>
          <w:szCs w:val="16"/>
        </w:rPr>
      </w:pPr>
    </w:p>
    <w:p w14:paraId="7409F9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9066. О дополнительном выделении сланцев для НКО и НКПСМ. РГАНИР, Фонд ГКО, д. 428, лл. 43 (11012).</w:t>
      </w:r>
    </w:p>
    <w:p w14:paraId="3DAC6CBC" w14:textId="77777777" w:rsidR="006103B3" w:rsidRPr="00F90EAE" w:rsidRDefault="006103B3" w:rsidP="00F90EAE">
      <w:pPr>
        <w:autoSpaceDE w:val="0"/>
        <w:autoSpaceDN w:val="0"/>
        <w:adjustRightInd w:val="0"/>
        <w:jc w:val="both"/>
        <w:rPr>
          <w:color w:val="000000" w:themeColor="text1"/>
          <w:sz w:val="16"/>
          <w:szCs w:val="16"/>
        </w:rPr>
      </w:pPr>
    </w:p>
    <w:p w14:paraId="1AD449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9067. О дополнительном выделении угля УНКВД Ленинградской обл. и ХЭМЗ НКЭП. РГАНИР, Фонд ГКО, д. 428, лл. 44 (11012).</w:t>
      </w:r>
    </w:p>
    <w:p w14:paraId="5D197D74" w14:textId="77777777" w:rsidR="006103B3" w:rsidRPr="00F90EAE" w:rsidRDefault="006103B3" w:rsidP="00F90EAE">
      <w:pPr>
        <w:autoSpaceDE w:val="0"/>
        <w:autoSpaceDN w:val="0"/>
        <w:adjustRightInd w:val="0"/>
        <w:jc w:val="both"/>
        <w:rPr>
          <w:color w:val="000000" w:themeColor="text1"/>
          <w:sz w:val="16"/>
          <w:szCs w:val="16"/>
        </w:rPr>
      </w:pPr>
    </w:p>
    <w:p w14:paraId="35EEAE6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9068 [О дополнительном выделении угля НКВМФ, НКВ и НКсовхозов.] (7350, 45).</w:t>
      </w:r>
    </w:p>
    <w:p w14:paraId="20A6329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2EE83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9069. О выделении угля заводу № 742 НКРП и НКПСМ в июне 1945 г. РГАНИР, Фонд ГКО, д. 428, лл. 46 (11012).</w:t>
      </w:r>
    </w:p>
    <w:p w14:paraId="332B060D" w14:textId="77777777" w:rsidR="006103B3" w:rsidRPr="00F90EAE" w:rsidRDefault="006103B3" w:rsidP="00F90EAE">
      <w:pPr>
        <w:autoSpaceDE w:val="0"/>
        <w:autoSpaceDN w:val="0"/>
        <w:adjustRightInd w:val="0"/>
        <w:jc w:val="both"/>
        <w:rPr>
          <w:color w:val="000000" w:themeColor="text1"/>
          <w:sz w:val="16"/>
          <w:szCs w:val="16"/>
        </w:rPr>
      </w:pPr>
    </w:p>
    <w:p w14:paraId="1493FD1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Постановление ГКО № 9070 О дополнительной организации топливных складов на железных дорогах Дальнего Востока для хранения угля государственного резерва. (7350, 47,48).</w:t>
      </w:r>
    </w:p>
    <w:p w14:paraId="0C61F39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4CAA83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9071 [О дополнительном выделении бензина НКГБ в июне 1945 г.] (7350, 49).</w:t>
      </w:r>
    </w:p>
    <w:p w14:paraId="0DA4474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25068C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9072 [О дополнительном выделении нефти СНК Туркменской ССР.] (7350, 50).</w:t>
      </w:r>
    </w:p>
    <w:p w14:paraId="11D18F2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F6D05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Постановление ГКО № 9073 О расформировании части военно-санитарных поездов и передаче высвобождающихся вагонов из этих поездов НКПС для эксплуатации. РГАНИР, Фонд ГКО, д. 428, лл. 51 (11012).</w:t>
      </w:r>
    </w:p>
    <w:p w14:paraId="047B229C" w14:textId="77777777" w:rsidR="006103B3" w:rsidRPr="00F90EAE" w:rsidRDefault="006103B3" w:rsidP="00F90EAE">
      <w:pPr>
        <w:autoSpaceDE w:val="0"/>
        <w:autoSpaceDN w:val="0"/>
        <w:adjustRightInd w:val="0"/>
        <w:jc w:val="both"/>
        <w:rPr>
          <w:color w:val="000000" w:themeColor="text1"/>
          <w:sz w:val="16"/>
          <w:szCs w:val="16"/>
        </w:rPr>
      </w:pPr>
    </w:p>
    <w:p w14:paraId="02EB5E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9074. О передаче НКМВ заводских корпусов, принадлежащих НКБ. РГАНИР, Фонд ГКО, д. 428, лл. 52 (11012).</w:t>
      </w:r>
    </w:p>
    <w:p w14:paraId="1A865528" w14:textId="77777777" w:rsidR="006103B3" w:rsidRPr="00F90EAE" w:rsidRDefault="006103B3" w:rsidP="00F90EAE">
      <w:pPr>
        <w:autoSpaceDE w:val="0"/>
        <w:autoSpaceDN w:val="0"/>
        <w:adjustRightInd w:val="0"/>
        <w:jc w:val="both"/>
        <w:rPr>
          <w:color w:val="000000" w:themeColor="text1"/>
          <w:sz w:val="16"/>
          <w:szCs w:val="16"/>
        </w:rPr>
      </w:pPr>
    </w:p>
    <w:p w14:paraId="2E7D921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9075 [Об автоколоннах централизованного резерва в Латвийской ССР и Смоленской обл.] (7350, 53).</w:t>
      </w:r>
    </w:p>
    <w:p w14:paraId="225B1DF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C98F50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9076 [О выделении Башкирской АССР одной автоколонны централизованного резерва.] (7350, 54-55).</w:t>
      </w:r>
    </w:p>
    <w:p w14:paraId="32FDE4A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1393727"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вышло Распоряжение ГКО № 9077 [О направлении двух автоколонн централизованного резерва вместо Туркменской ССР в Распоряжение ГКО НКНП.] (7350, 56).</w:t>
      </w:r>
    </w:p>
    <w:p w14:paraId="1B05A943"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33B3DDD" w14:textId="77777777" w:rsidR="0002077A" w:rsidRPr="00F90EAE" w:rsidRDefault="0002077A" w:rsidP="00F90EAE">
      <w:pPr>
        <w:jc w:val="both"/>
        <w:rPr>
          <w:color w:val="000000" w:themeColor="text1"/>
          <w:sz w:val="16"/>
          <w:szCs w:val="16"/>
        </w:rPr>
      </w:pPr>
      <w:r w:rsidRPr="00F90EAE">
        <w:rPr>
          <w:color w:val="000000" w:themeColor="text1"/>
          <w:sz w:val="16"/>
          <w:szCs w:val="16"/>
        </w:rPr>
        <w:t>17 июня 1946 г. Письмо Б.Л. Ванникова В.А. Махневу о верстке статьи Л.Д. Ландау «Атомная энергия» с представлением отзыва В.Г. Левича</w:t>
      </w:r>
    </w:p>
    <w:p w14:paraId="52C12EE9" w14:textId="77777777" w:rsidR="0002077A" w:rsidRPr="00F90EAE" w:rsidRDefault="0002077A" w:rsidP="00F90EAE">
      <w:pPr>
        <w:jc w:val="both"/>
        <w:rPr>
          <w:color w:val="000000" w:themeColor="text1"/>
          <w:sz w:val="16"/>
          <w:szCs w:val="16"/>
        </w:rPr>
      </w:pPr>
      <w:r w:rsidRPr="00F90EAE">
        <w:rPr>
          <w:color w:val="000000" w:themeColor="text1"/>
          <w:sz w:val="16"/>
          <w:szCs w:val="16"/>
        </w:rPr>
        <w:t>Сов. секретно</w:t>
      </w:r>
    </w:p>
    <w:p w14:paraId="58318280" w14:textId="77777777" w:rsidR="0002077A" w:rsidRPr="00F90EAE" w:rsidRDefault="0002077A" w:rsidP="00F90EAE">
      <w:pPr>
        <w:jc w:val="both"/>
        <w:rPr>
          <w:color w:val="000000" w:themeColor="text1"/>
          <w:sz w:val="16"/>
          <w:szCs w:val="16"/>
        </w:rPr>
      </w:pPr>
      <w:r w:rsidRPr="00F90EAE">
        <w:rPr>
          <w:color w:val="000000" w:themeColor="text1"/>
          <w:sz w:val="16"/>
          <w:szCs w:val="16"/>
        </w:rPr>
        <w:t>Товарищу Махневу В.А.</w:t>
      </w:r>
    </w:p>
    <w:p w14:paraId="7E684AE1" w14:textId="77777777" w:rsidR="0002077A" w:rsidRPr="00F90EAE" w:rsidRDefault="0002077A" w:rsidP="00F90EAE">
      <w:pPr>
        <w:jc w:val="both"/>
        <w:rPr>
          <w:color w:val="000000" w:themeColor="text1"/>
          <w:sz w:val="16"/>
          <w:szCs w:val="16"/>
        </w:rPr>
      </w:pPr>
      <w:r w:rsidRPr="00F90EAE">
        <w:rPr>
          <w:color w:val="000000" w:themeColor="text1"/>
          <w:sz w:val="16"/>
          <w:szCs w:val="16"/>
        </w:rPr>
        <w:t>На № 3/375с от 8. VI46 г.</w:t>
      </w:r>
    </w:p>
    <w:p w14:paraId="020D868A" w14:textId="77777777" w:rsidR="0002077A" w:rsidRPr="00F90EAE" w:rsidRDefault="0002077A" w:rsidP="00F90EAE">
      <w:pPr>
        <w:jc w:val="both"/>
        <w:rPr>
          <w:color w:val="000000" w:themeColor="text1"/>
          <w:sz w:val="16"/>
          <w:szCs w:val="16"/>
        </w:rPr>
      </w:pPr>
      <w:r w:rsidRPr="00F90EAE">
        <w:rPr>
          <w:color w:val="000000" w:themeColor="text1"/>
          <w:sz w:val="16"/>
          <w:szCs w:val="16"/>
        </w:rPr>
        <w:t>По вопросу статьи Л. Ландау сообщаю:</w:t>
      </w:r>
    </w:p>
    <w:p w14:paraId="5BEF05B7" w14:textId="77777777" w:rsidR="0002077A" w:rsidRPr="00F90EAE" w:rsidRDefault="0002077A" w:rsidP="00F90EAE">
      <w:pPr>
        <w:jc w:val="both"/>
        <w:rPr>
          <w:color w:val="000000" w:themeColor="text1"/>
          <w:sz w:val="16"/>
          <w:szCs w:val="16"/>
        </w:rPr>
      </w:pPr>
      <w:r w:rsidRPr="00F90EAE">
        <w:rPr>
          <w:color w:val="000000" w:themeColor="text1"/>
          <w:sz w:val="16"/>
          <w:szCs w:val="16"/>
        </w:rPr>
        <w:t>Статья Л. Ландау «Атомная энергия» рассматривалась профессором Леви чем В.Г.</w:t>
      </w:r>
    </w:p>
    <w:p w14:paraId="7BBB366A" w14:textId="77777777" w:rsidR="0002077A" w:rsidRPr="00F90EAE" w:rsidRDefault="0002077A" w:rsidP="00F90EAE">
      <w:pPr>
        <w:jc w:val="both"/>
        <w:rPr>
          <w:color w:val="000000" w:themeColor="text1"/>
          <w:sz w:val="16"/>
          <w:szCs w:val="16"/>
        </w:rPr>
      </w:pPr>
      <w:r w:rsidRPr="00F90EAE">
        <w:rPr>
          <w:color w:val="000000" w:themeColor="text1"/>
          <w:sz w:val="16"/>
          <w:szCs w:val="16"/>
        </w:rPr>
        <w:t>Профессор Левич В.Г. считает целесообразным из статьи изъять следующие места, сообщение которых выходит за рамки официальной американской информации (книги Смита):</w:t>
      </w:r>
    </w:p>
    <w:p w14:paraId="582377CB" w14:textId="77777777" w:rsidR="0002077A" w:rsidRPr="00F90EAE" w:rsidRDefault="0002077A" w:rsidP="00F90EAE">
      <w:pPr>
        <w:jc w:val="both"/>
        <w:rPr>
          <w:color w:val="000000" w:themeColor="text1"/>
          <w:sz w:val="16"/>
          <w:szCs w:val="16"/>
        </w:rPr>
      </w:pPr>
      <w:r w:rsidRPr="00F90EAE">
        <w:rPr>
          <w:color w:val="000000" w:themeColor="text1"/>
          <w:sz w:val="16"/>
          <w:szCs w:val="16"/>
        </w:rPr>
        <w:t>1. Масса бомбы — стр. 147.</w:t>
      </w:r>
    </w:p>
    <w:p w14:paraId="63B7872D" w14:textId="77777777" w:rsidR="0002077A" w:rsidRPr="00F90EAE" w:rsidRDefault="0002077A" w:rsidP="00F90EAE">
      <w:pPr>
        <w:jc w:val="both"/>
        <w:rPr>
          <w:color w:val="000000" w:themeColor="text1"/>
          <w:sz w:val="16"/>
          <w:szCs w:val="16"/>
        </w:rPr>
      </w:pPr>
      <w:r w:rsidRPr="00F90EAE">
        <w:rPr>
          <w:color w:val="000000" w:themeColor="text1"/>
          <w:sz w:val="16"/>
          <w:szCs w:val="16"/>
        </w:rPr>
        <w:t>2. Замечания о характере сближения частей бомбы — стр. 147.</w:t>
      </w:r>
    </w:p>
    <w:p w14:paraId="12C9C0C9" w14:textId="77777777" w:rsidR="0002077A" w:rsidRPr="00F90EAE" w:rsidRDefault="0002077A" w:rsidP="00F90EAE">
      <w:pPr>
        <w:jc w:val="both"/>
        <w:rPr>
          <w:color w:val="000000" w:themeColor="text1"/>
          <w:sz w:val="16"/>
          <w:szCs w:val="16"/>
        </w:rPr>
      </w:pPr>
      <w:r w:rsidRPr="00F90EAE">
        <w:rPr>
          <w:color w:val="000000" w:themeColor="text1"/>
          <w:sz w:val="16"/>
          <w:szCs w:val="16"/>
        </w:rPr>
        <w:t>3. Количество U-235 в американской бомбе — стр. 147.</w:t>
      </w:r>
    </w:p>
    <w:p w14:paraId="60F5A706" w14:textId="77777777" w:rsidR="0002077A" w:rsidRPr="00F90EAE" w:rsidRDefault="0002077A" w:rsidP="00F90EAE">
      <w:pPr>
        <w:jc w:val="both"/>
        <w:rPr>
          <w:color w:val="000000" w:themeColor="text1"/>
          <w:sz w:val="16"/>
          <w:szCs w:val="16"/>
        </w:rPr>
      </w:pPr>
      <w:r w:rsidRPr="00F90EAE">
        <w:rPr>
          <w:color w:val="000000" w:themeColor="text1"/>
          <w:sz w:val="16"/>
          <w:szCs w:val="16"/>
        </w:rPr>
        <w:t>4. Вопрос об использовании тория — стр. 151-152.</w:t>
      </w:r>
    </w:p>
    <w:p w14:paraId="4B15805F" w14:textId="77777777" w:rsidR="0002077A" w:rsidRPr="00F90EAE" w:rsidRDefault="0002077A" w:rsidP="00F90EAE">
      <w:pPr>
        <w:jc w:val="both"/>
        <w:rPr>
          <w:color w:val="000000" w:themeColor="text1"/>
          <w:sz w:val="16"/>
          <w:szCs w:val="16"/>
        </w:rPr>
      </w:pPr>
      <w:r w:rsidRPr="00F90EAE">
        <w:rPr>
          <w:color w:val="000000" w:themeColor="text1"/>
          <w:sz w:val="16"/>
          <w:szCs w:val="16"/>
        </w:rPr>
        <w:t>5. Обсуждение возможности цепной реакции в легких элементах — стр. 152. Произведенные сокращения не изменят существенно общий характер статьи и могут быть проведены без всякого для нее ущерба.</w:t>
      </w:r>
    </w:p>
    <w:p w14:paraId="12EAABA2" w14:textId="77777777" w:rsidR="0002077A" w:rsidRPr="00F90EAE" w:rsidRDefault="0002077A" w:rsidP="00F90EAE">
      <w:pPr>
        <w:jc w:val="both"/>
        <w:rPr>
          <w:color w:val="000000" w:themeColor="text1"/>
          <w:sz w:val="16"/>
          <w:szCs w:val="16"/>
        </w:rPr>
      </w:pPr>
      <w:r w:rsidRPr="00F90EAE">
        <w:rPr>
          <w:color w:val="000000" w:themeColor="text1"/>
          <w:sz w:val="16"/>
          <w:szCs w:val="16"/>
        </w:rPr>
        <w:t>Заключение профессора Левича В.Г. и статья Л. Ландау прилагаются.</w:t>
      </w:r>
    </w:p>
    <w:p w14:paraId="4FC727A3" w14:textId="77777777" w:rsidR="0002077A" w:rsidRPr="00F90EAE" w:rsidRDefault="0002077A" w:rsidP="00F90EAE">
      <w:pPr>
        <w:jc w:val="both"/>
        <w:rPr>
          <w:color w:val="000000" w:themeColor="text1"/>
          <w:sz w:val="16"/>
          <w:szCs w:val="16"/>
        </w:rPr>
      </w:pPr>
      <w:r w:rsidRPr="00F90EAE">
        <w:rPr>
          <w:color w:val="000000" w:themeColor="text1"/>
          <w:sz w:val="16"/>
          <w:szCs w:val="16"/>
        </w:rPr>
        <w:t>Б. Ванников</w:t>
      </w:r>
    </w:p>
    <w:p w14:paraId="2648847D" w14:textId="77777777" w:rsidR="0002077A" w:rsidRPr="00F90EAE" w:rsidRDefault="0002077A" w:rsidP="00F90EAE">
      <w:pPr>
        <w:jc w:val="both"/>
        <w:rPr>
          <w:color w:val="000000" w:themeColor="text1"/>
          <w:sz w:val="16"/>
          <w:szCs w:val="16"/>
        </w:rPr>
      </w:pPr>
      <w:r w:rsidRPr="00F90EAE">
        <w:rPr>
          <w:color w:val="000000" w:themeColor="text1"/>
          <w:sz w:val="16"/>
          <w:szCs w:val="16"/>
        </w:rPr>
        <w:t>Приложение № 1</w:t>
      </w:r>
    </w:p>
    <w:p w14:paraId="470F74F2" w14:textId="77777777" w:rsidR="0002077A" w:rsidRPr="00F90EAE" w:rsidRDefault="0002077A" w:rsidP="00F90EAE">
      <w:pPr>
        <w:jc w:val="both"/>
        <w:rPr>
          <w:color w:val="000000" w:themeColor="text1"/>
          <w:sz w:val="16"/>
          <w:szCs w:val="16"/>
        </w:rPr>
      </w:pPr>
      <w:r w:rsidRPr="00F90EAE">
        <w:rPr>
          <w:color w:val="000000" w:themeColor="text1"/>
          <w:sz w:val="16"/>
          <w:szCs w:val="16"/>
        </w:rPr>
        <w:t>Отзыв на верстку статьи проф. Л. Ландау «Атомная энергия»</w:t>
      </w:r>
    </w:p>
    <w:p w14:paraId="370630F8" w14:textId="77777777" w:rsidR="0002077A" w:rsidRPr="00F90EAE" w:rsidRDefault="0002077A" w:rsidP="00F90EAE">
      <w:pPr>
        <w:jc w:val="both"/>
        <w:rPr>
          <w:color w:val="000000" w:themeColor="text1"/>
          <w:sz w:val="16"/>
          <w:szCs w:val="16"/>
        </w:rPr>
      </w:pPr>
      <w:r w:rsidRPr="00F90EAE">
        <w:rPr>
          <w:color w:val="000000" w:themeColor="text1"/>
          <w:sz w:val="16"/>
          <w:szCs w:val="16"/>
        </w:rPr>
        <w:t>Секретно</w:t>
      </w:r>
    </w:p>
    <w:p w14:paraId="039177C2" w14:textId="77777777" w:rsidR="0002077A" w:rsidRPr="00F90EAE" w:rsidRDefault="0002077A" w:rsidP="00F90EAE">
      <w:pPr>
        <w:jc w:val="both"/>
        <w:rPr>
          <w:color w:val="000000" w:themeColor="text1"/>
          <w:sz w:val="16"/>
          <w:szCs w:val="16"/>
        </w:rPr>
      </w:pPr>
      <w:r w:rsidRPr="00F90EAE">
        <w:rPr>
          <w:color w:val="000000" w:themeColor="text1"/>
          <w:sz w:val="16"/>
          <w:szCs w:val="16"/>
        </w:rPr>
        <w:t>Считаю, что из статьи следует изъять следующие места, выходящие за рамки официальной американской информации (книги Смита):</w:t>
      </w:r>
    </w:p>
    <w:p w14:paraId="7EAC02E6" w14:textId="77777777" w:rsidR="0002077A" w:rsidRPr="00F90EAE" w:rsidRDefault="0002077A" w:rsidP="00F90EAE">
      <w:pPr>
        <w:jc w:val="both"/>
        <w:rPr>
          <w:color w:val="000000" w:themeColor="text1"/>
          <w:sz w:val="16"/>
          <w:szCs w:val="16"/>
        </w:rPr>
      </w:pPr>
      <w:r w:rsidRPr="00F90EAE">
        <w:rPr>
          <w:color w:val="000000" w:themeColor="text1"/>
          <w:sz w:val="16"/>
          <w:szCs w:val="16"/>
        </w:rPr>
        <w:t>1. Масса бомбы — стр. 147.</w:t>
      </w:r>
    </w:p>
    <w:p w14:paraId="27F81EF4" w14:textId="77777777" w:rsidR="0002077A" w:rsidRPr="00F90EAE" w:rsidRDefault="0002077A" w:rsidP="00F90EAE">
      <w:pPr>
        <w:jc w:val="both"/>
        <w:rPr>
          <w:color w:val="000000" w:themeColor="text1"/>
          <w:sz w:val="16"/>
          <w:szCs w:val="16"/>
        </w:rPr>
      </w:pPr>
      <w:r w:rsidRPr="00F90EAE">
        <w:rPr>
          <w:color w:val="000000" w:themeColor="text1"/>
          <w:sz w:val="16"/>
          <w:szCs w:val="16"/>
        </w:rPr>
        <w:t>2. Замечания о характере сближения частей бомбы — стр. 147.</w:t>
      </w:r>
    </w:p>
    <w:p w14:paraId="74C8319B" w14:textId="77777777" w:rsidR="0002077A" w:rsidRPr="00F90EAE" w:rsidRDefault="0002077A" w:rsidP="00F90EAE">
      <w:pPr>
        <w:jc w:val="both"/>
        <w:rPr>
          <w:color w:val="000000" w:themeColor="text1"/>
          <w:sz w:val="16"/>
          <w:szCs w:val="16"/>
        </w:rPr>
      </w:pPr>
      <w:r w:rsidRPr="00F90EAE">
        <w:rPr>
          <w:color w:val="000000" w:themeColor="text1"/>
          <w:sz w:val="16"/>
          <w:szCs w:val="16"/>
        </w:rPr>
        <w:t>3. Количество U-235 в американской бомбе — стр. 147.</w:t>
      </w:r>
    </w:p>
    <w:p w14:paraId="3F2405A3" w14:textId="77777777" w:rsidR="0002077A" w:rsidRPr="00F90EAE" w:rsidRDefault="0002077A" w:rsidP="00F90EAE">
      <w:pPr>
        <w:jc w:val="both"/>
        <w:rPr>
          <w:color w:val="000000" w:themeColor="text1"/>
          <w:sz w:val="16"/>
          <w:szCs w:val="16"/>
        </w:rPr>
      </w:pPr>
      <w:r w:rsidRPr="00F90EAE">
        <w:rPr>
          <w:color w:val="000000" w:themeColor="text1"/>
          <w:sz w:val="16"/>
          <w:szCs w:val="16"/>
        </w:rPr>
        <w:t>4. Вопрос об использовании тория — стр. 151-152. (По-видимому, последний вопрос все же обсуждался в открытой американской литературе, но за краткостью времени на составление отзыва я не мог уточнить это обстоятельство.)</w:t>
      </w:r>
    </w:p>
    <w:p w14:paraId="63F921A5" w14:textId="77777777" w:rsidR="0002077A" w:rsidRPr="00F90EAE" w:rsidRDefault="0002077A" w:rsidP="00F90EAE">
      <w:pPr>
        <w:jc w:val="both"/>
        <w:rPr>
          <w:color w:val="000000" w:themeColor="text1"/>
          <w:sz w:val="16"/>
          <w:szCs w:val="16"/>
        </w:rPr>
      </w:pPr>
      <w:r w:rsidRPr="00F90EAE">
        <w:rPr>
          <w:color w:val="000000" w:themeColor="text1"/>
          <w:sz w:val="16"/>
          <w:szCs w:val="16"/>
        </w:rPr>
        <w:t>5. Обсуждение возможности цепной реакции в легких элементах — стр. 152.</w:t>
      </w:r>
    </w:p>
    <w:p w14:paraId="678C9234" w14:textId="77777777" w:rsidR="0002077A" w:rsidRPr="00F90EAE" w:rsidRDefault="0002077A" w:rsidP="00F90EAE">
      <w:pPr>
        <w:jc w:val="both"/>
        <w:rPr>
          <w:color w:val="000000" w:themeColor="text1"/>
          <w:sz w:val="16"/>
          <w:szCs w:val="16"/>
        </w:rPr>
      </w:pPr>
      <w:r w:rsidRPr="00F90EAE">
        <w:rPr>
          <w:color w:val="000000" w:themeColor="text1"/>
          <w:sz w:val="16"/>
          <w:szCs w:val="16"/>
        </w:rPr>
        <w:t>Указанные сокращения не изменят существенно общий характер статьи и могут быть проведены без всякого для нее ущерба.</w:t>
      </w:r>
    </w:p>
    <w:p w14:paraId="16D1B7E0" w14:textId="77777777" w:rsidR="0002077A" w:rsidRPr="00F90EAE" w:rsidRDefault="0002077A" w:rsidP="00F90EAE">
      <w:pPr>
        <w:jc w:val="both"/>
        <w:rPr>
          <w:color w:val="000000" w:themeColor="text1"/>
          <w:sz w:val="16"/>
          <w:szCs w:val="16"/>
        </w:rPr>
      </w:pPr>
      <w:r w:rsidRPr="00F90EAE">
        <w:rPr>
          <w:color w:val="000000" w:themeColor="text1"/>
          <w:sz w:val="16"/>
          <w:szCs w:val="16"/>
        </w:rPr>
        <w:t>Проф. В. Левич (15720).</w:t>
      </w:r>
    </w:p>
    <w:p w14:paraId="0687BDD5" w14:textId="77777777" w:rsidR="0002077A" w:rsidRPr="00F90EAE" w:rsidRDefault="0002077A" w:rsidP="00F90EAE">
      <w:pPr>
        <w:jc w:val="both"/>
        <w:rPr>
          <w:color w:val="000000" w:themeColor="text1"/>
          <w:sz w:val="16"/>
          <w:szCs w:val="16"/>
        </w:rPr>
      </w:pPr>
      <w:r w:rsidRPr="00F90EAE">
        <w:rPr>
          <w:color w:val="000000" w:themeColor="text1"/>
          <w:sz w:val="16"/>
          <w:szCs w:val="16"/>
        </w:rPr>
        <w:t>КОМИТЕТ ПО РАДИОФИКАЦИИ И РАДИОВЕЩАНИЮ при СОВЕТЕ МИНИСТРОВ СССР В ПОМОЩЬ МЕСТНЫМ РАДИОКОМИТЕТАМ</w:t>
      </w:r>
    </w:p>
    <w:p w14:paraId="208A435C" w14:textId="77777777" w:rsidR="0002077A" w:rsidRPr="00F90EAE" w:rsidRDefault="0002077A" w:rsidP="00F90EAE">
      <w:pPr>
        <w:jc w:val="both"/>
        <w:rPr>
          <w:color w:val="000000" w:themeColor="text1"/>
          <w:sz w:val="16"/>
          <w:szCs w:val="16"/>
        </w:rPr>
      </w:pPr>
      <w:r w:rsidRPr="00F90EAE">
        <w:rPr>
          <w:color w:val="000000" w:themeColor="text1"/>
          <w:sz w:val="16"/>
          <w:szCs w:val="16"/>
        </w:rPr>
        <w:t>На правах рукописи</w:t>
      </w:r>
    </w:p>
    <w:p w14:paraId="7346F5FD" w14:textId="77777777" w:rsidR="0002077A" w:rsidRPr="00F90EAE" w:rsidRDefault="0002077A" w:rsidP="00F90EAE">
      <w:pPr>
        <w:jc w:val="both"/>
        <w:rPr>
          <w:color w:val="000000" w:themeColor="text1"/>
          <w:sz w:val="16"/>
          <w:szCs w:val="16"/>
        </w:rPr>
      </w:pPr>
      <w:r w:rsidRPr="00F90EAE">
        <w:rPr>
          <w:color w:val="000000" w:themeColor="text1"/>
          <w:sz w:val="16"/>
          <w:szCs w:val="16"/>
        </w:rPr>
        <w:t>МАТЕРИАЛЫ ЦЕНТРАЛЬНОГО РАДИОВЕЩАНИЯ</w:t>
      </w:r>
    </w:p>
    <w:p w14:paraId="0457D563" w14:textId="77777777" w:rsidR="0002077A" w:rsidRPr="00F90EAE" w:rsidRDefault="0002077A" w:rsidP="00F90EAE">
      <w:pPr>
        <w:jc w:val="both"/>
        <w:rPr>
          <w:color w:val="000000" w:themeColor="text1"/>
          <w:sz w:val="16"/>
          <w:szCs w:val="16"/>
        </w:rPr>
      </w:pPr>
      <w:r w:rsidRPr="00F90EAE">
        <w:rPr>
          <w:color w:val="000000" w:themeColor="text1"/>
          <w:sz w:val="16"/>
          <w:szCs w:val="16"/>
        </w:rPr>
        <w:t>ЛАУРЕАТ СТАЛИНСКОЙ ПРЕМИИ. ДОКТОР ФИЗИКО-МАТЕМАТИЧЕСКИХ НАУК. ПРОФЕССОР ЛЕВ ДАВЫДОВИЧ ЛАНДАУ</w:t>
      </w:r>
    </w:p>
    <w:p w14:paraId="38A1EECA" w14:textId="77777777" w:rsidR="0002077A" w:rsidRPr="00F90EAE" w:rsidRDefault="0002077A" w:rsidP="00F90EAE">
      <w:pPr>
        <w:jc w:val="both"/>
        <w:rPr>
          <w:color w:val="000000" w:themeColor="text1"/>
          <w:sz w:val="16"/>
          <w:szCs w:val="16"/>
        </w:rPr>
      </w:pPr>
      <w:r w:rsidRPr="00F90EAE">
        <w:rPr>
          <w:color w:val="000000" w:themeColor="text1"/>
          <w:sz w:val="16"/>
          <w:szCs w:val="16"/>
        </w:rPr>
        <w:t>АТОМНАЯ ЭНЕРГИЯ</w:t>
      </w:r>
    </w:p>
    <w:p w14:paraId="37527B39" w14:textId="77777777" w:rsidR="0002077A" w:rsidRPr="00F90EAE" w:rsidRDefault="0002077A" w:rsidP="00F90EAE">
      <w:pPr>
        <w:jc w:val="both"/>
        <w:rPr>
          <w:color w:val="000000" w:themeColor="text1"/>
          <w:sz w:val="16"/>
          <w:szCs w:val="16"/>
        </w:rPr>
      </w:pPr>
      <w:r w:rsidRPr="00F90EAE">
        <w:rPr>
          <w:color w:val="000000" w:themeColor="text1"/>
          <w:sz w:val="16"/>
          <w:szCs w:val="16"/>
        </w:rPr>
        <w:t>Приложение № 2</w:t>
      </w:r>
    </w:p>
    <w:p w14:paraId="724E0A41" w14:textId="77777777" w:rsidR="0002077A" w:rsidRPr="00F90EAE" w:rsidRDefault="0002077A" w:rsidP="00F90EAE">
      <w:pPr>
        <w:jc w:val="both"/>
        <w:rPr>
          <w:color w:val="000000" w:themeColor="text1"/>
          <w:sz w:val="16"/>
          <w:szCs w:val="16"/>
        </w:rPr>
      </w:pPr>
      <w:r w:rsidRPr="00F90EAE">
        <w:rPr>
          <w:color w:val="000000" w:themeColor="text1"/>
          <w:sz w:val="16"/>
          <w:szCs w:val="16"/>
        </w:rPr>
        <w:t>Статья Л.Д. Ландау «Атомная энергия»</w:t>
      </w:r>
    </w:p>
    <w:p w14:paraId="36EC4392" w14:textId="77777777" w:rsidR="0002077A" w:rsidRPr="00F90EAE" w:rsidRDefault="0002077A" w:rsidP="00F90EAE">
      <w:pPr>
        <w:jc w:val="both"/>
        <w:rPr>
          <w:color w:val="000000" w:themeColor="text1"/>
          <w:sz w:val="16"/>
          <w:szCs w:val="16"/>
        </w:rPr>
      </w:pPr>
      <w:r w:rsidRPr="00F90EAE">
        <w:rPr>
          <w:color w:val="000000" w:themeColor="text1"/>
          <w:sz w:val="16"/>
          <w:szCs w:val="16"/>
        </w:rPr>
        <w:t>Лауреат Сталинской премии, доктор физико-математических наук, профессор Лев Давидович Ландау</w:t>
      </w:r>
    </w:p>
    <w:p w14:paraId="20E8F781" w14:textId="77777777" w:rsidR="0002077A" w:rsidRPr="00F90EAE" w:rsidRDefault="0002077A" w:rsidP="00F90EAE">
      <w:pPr>
        <w:jc w:val="both"/>
        <w:rPr>
          <w:color w:val="000000" w:themeColor="text1"/>
          <w:sz w:val="16"/>
          <w:szCs w:val="16"/>
        </w:rPr>
      </w:pPr>
      <w:r w:rsidRPr="00F90EAE">
        <w:rPr>
          <w:color w:val="000000" w:themeColor="text1"/>
          <w:sz w:val="16"/>
          <w:szCs w:val="16"/>
        </w:rPr>
        <w:t>Атомная энергия</w:t>
      </w:r>
    </w:p>
    <w:p w14:paraId="246BE3EF" w14:textId="77777777" w:rsidR="0002077A" w:rsidRPr="00F90EAE" w:rsidRDefault="0002077A" w:rsidP="00F90EAE">
      <w:pPr>
        <w:jc w:val="both"/>
        <w:rPr>
          <w:color w:val="000000" w:themeColor="text1"/>
          <w:sz w:val="16"/>
          <w:szCs w:val="16"/>
        </w:rPr>
      </w:pPr>
      <w:r w:rsidRPr="00F90EAE">
        <w:rPr>
          <w:color w:val="000000" w:themeColor="text1"/>
          <w:sz w:val="16"/>
          <w:szCs w:val="16"/>
        </w:rPr>
        <w:t>О существовании внутриатомной энергии стало известно человечеству очень недавно. Можно даже назвать дату, когда она вдруг неожиданно «объявилась» и удивила физиков. Это было ровно полвека назад.</w:t>
      </w:r>
    </w:p>
    <w:p w14:paraId="5A141A05" w14:textId="77777777" w:rsidR="0002077A" w:rsidRPr="00F90EAE" w:rsidRDefault="0002077A" w:rsidP="00F90EAE">
      <w:pPr>
        <w:jc w:val="both"/>
        <w:rPr>
          <w:color w:val="000000" w:themeColor="text1"/>
          <w:sz w:val="16"/>
          <w:szCs w:val="16"/>
        </w:rPr>
      </w:pPr>
      <w:r w:rsidRPr="00F90EAE">
        <w:rPr>
          <w:color w:val="000000" w:themeColor="text1"/>
          <w:sz w:val="16"/>
          <w:szCs w:val="16"/>
        </w:rPr>
        <w:t>Что же представляла собой физика в то время?</w:t>
      </w:r>
    </w:p>
    <w:p w14:paraId="5037159F" w14:textId="77777777" w:rsidR="0002077A" w:rsidRPr="00F90EAE" w:rsidRDefault="0002077A" w:rsidP="00F90EAE">
      <w:pPr>
        <w:jc w:val="both"/>
        <w:rPr>
          <w:color w:val="000000" w:themeColor="text1"/>
          <w:sz w:val="16"/>
          <w:szCs w:val="16"/>
        </w:rPr>
      </w:pPr>
      <w:r w:rsidRPr="00F90EAE">
        <w:rPr>
          <w:color w:val="000000" w:themeColor="text1"/>
          <w:sz w:val="16"/>
          <w:szCs w:val="16"/>
        </w:rPr>
        <w:t>Еще в конце восемнадцатого века французский химик Лавуазье показал, что все вещества окружающей природы построены из неизменных составных частей — простых тел, элементов. Вода есть соединение кислорода и водорода. Но кислород и водород ни из каких других веществ не образуются. Они неразложимы. К концу прошлого века было известно более семидесяти таких элементов. Физики знали, что все они состоят из мельчайших частичек— атомов. Это твердо установил еще английский ученый Дальтон. Легче всех— атом водорода. Самый тяжелый, почти в 240 раз тяжелее, — атом урана.</w:t>
      </w:r>
    </w:p>
    <w:p w14:paraId="6C454C80" w14:textId="77777777" w:rsidR="0002077A" w:rsidRPr="00F90EAE" w:rsidRDefault="0002077A" w:rsidP="00F90EAE">
      <w:pPr>
        <w:jc w:val="both"/>
        <w:rPr>
          <w:color w:val="000000" w:themeColor="text1"/>
          <w:sz w:val="16"/>
          <w:szCs w:val="16"/>
        </w:rPr>
      </w:pPr>
      <w:r w:rsidRPr="00F90EAE">
        <w:rPr>
          <w:color w:val="000000" w:themeColor="text1"/>
          <w:sz w:val="16"/>
          <w:szCs w:val="16"/>
        </w:rPr>
        <w:t>Когда великий русский химик Менделеев расположил элементы в порядке возрастающего веса их атомов, у него получилась замечательная таблица, с помощью которой он предсказал существование новых, неизвестных элементов. Они потом действительно были открыты.</w:t>
      </w:r>
    </w:p>
    <w:p w14:paraId="3994BF3D" w14:textId="77777777" w:rsidR="0002077A" w:rsidRPr="00F90EAE" w:rsidRDefault="0002077A" w:rsidP="00F90EAE">
      <w:pPr>
        <w:jc w:val="both"/>
        <w:rPr>
          <w:color w:val="000000" w:themeColor="text1"/>
          <w:sz w:val="16"/>
          <w:szCs w:val="16"/>
        </w:rPr>
      </w:pPr>
      <w:r w:rsidRPr="00F90EAE">
        <w:rPr>
          <w:color w:val="000000" w:themeColor="text1"/>
          <w:sz w:val="16"/>
          <w:szCs w:val="16"/>
        </w:rPr>
        <w:t>Место, которое занимает каждый элемент в таблице, оказалось в дальнейшем еще более важным, чем думал сам Менделеев. Оно называется атомным номером.</w:t>
      </w:r>
    </w:p>
    <w:p w14:paraId="1A796100" w14:textId="77777777" w:rsidR="0002077A" w:rsidRPr="00F90EAE" w:rsidRDefault="0002077A" w:rsidP="00F90EAE">
      <w:pPr>
        <w:jc w:val="both"/>
        <w:rPr>
          <w:color w:val="000000" w:themeColor="text1"/>
          <w:sz w:val="16"/>
          <w:szCs w:val="16"/>
        </w:rPr>
      </w:pPr>
      <w:r w:rsidRPr="00F90EAE">
        <w:rPr>
          <w:color w:val="000000" w:themeColor="text1"/>
          <w:sz w:val="16"/>
          <w:szCs w:val="16"/>
        </w:rPr>
        <w:t>Водород открывает таблицу и обозначен номером первым. За ним идет гелий — под номером два. Самый последний — уран — имеет девяносто второй номер.</w:t>
      </w:r>
    </w:p>
    <w:p w14:paraId="3D8B0EAC" w14:textId="77777777" w:rsidR="0002077A" w:rsidRPr="00F90EAE" w:rsidRDefault="0002077A" w:rsidP="00F90EAE">
      <w:pPr>
        <w:jc w:val="both"/>
        <w:rPr>
          <w:color w:val="000000" w:themeColor="text1"/>
          <w:sz w:val="16"/>
          <w:szCs w:val="16"/>
        </w:rPr>
      </w:pPr>
      <w:r w:rsidRPr="00F90EAE">
        <w:rPr>
          <w:color w:val="000000" w:themeColor="text1"/>
          <w:sz w:val="16"/>
          <w:szCs w:val="16"/>
        </w:rPr>
        <w:t>В 1896 году было сделано удивительное открытие, поставившее науку в тупик. Французский физик Анри Беккерель обнаружил, что уран и все его соединения без всякой внешней причины испускают невидимые для глаз лучи. Этому явлению дали название радиоактивности (от латинского слова «радиус» — луч) и стали прилежно его изучать.</w:t>
      </w:r>
    </w:p>
    <w:p w14:paraId="1ABEB5E0" w14:textId="77777777" w:rsidR="0002077A" w:rsidRPr="00F90EAE" w:rsidRDefault="0002077A" w:rsidP="00F90EAE">
      <w:pPr>
        <w:jc w:val="both"/>
        <w:rPr>
          <w:color w:val="000000" w:themeColor="text1"/>
          <w:sz w:val="16"/>
          <w:szCs w:val="16"/>
        </w:rPr>
      </w:pPr>
      <w:r w:rsidRPr="00F90EAE">
        <w:rPr>
          <w:color w:val="000000" w:themeColor="text1"/>
          <w:sz w:val="16"/>
          <w:szCs w:val="16"/>
        </w:rPr>
        <w:t>Вскоре выяснилось, что радиоактивными являются все девять последних элементов периодической системы — от восемьдесят четвертого до девяносто второго.</w:t>
      </w:r>
    </w:p>
    <w:p w14:paraId="2154209A" w14:textId="77777777" w:rsidR="0002077A" w:rsidRPr="00F90EAE" w:rsidRDefault="0002077A" w:rsidP="00F90EAE">
      <w:pPr>
        <w:jc w:val="both"/>
        <w:rPr>
          <w:color w:val="000000" w:themeColor="text1"/>
          <w:sz w:val="16"/>
          <w:szCs w:val="16"/>
        </w:rPr>
      </w:pPr>
      <w:r w:rsidRPr="00F90EAE">
        <w:rPr>
          <w:color w:val="000000" w:themeColor="text1"/>
          <w:sz w:val="16"/>
          <w:szCs w:val="16"/>
        </w:rPr>
        <w:t>Радиоактивные вещества требуют большой осторожности в обращении. Беккерель держал некоторое время крупицы радия в жилетном кармане; в результате у него на груди образовалась рана, которая потребовала длительного лечения. Таково действие лучей радиоактивных веществ на живые ткани. В дальнейшем выяснилось, что еще более разрушительное действие оказывает радиоактивность на клетки раковых опухолей. Поэтому эти вещества получили широкое применение в медицине.</w:t>
      </w:r>
    </w:p>
    <w:p w14:paraId="33737FB3" w14:textId="77777777" w:rsidR="0002077A" w:rsidRPr="00F90EAE" w:rsidRDefault="0002077A" w:rsidP="00F90EAE">
      <w:pPr>
        <w:jc w:val="both"/>
        <w:rPr>
          <w:color w:val="000000" w:themeColor="text1"/>
          <w:sz w:val="16"/>
          <w:szCs w:val="16"/>
        </w:rPr>
      </w:pPr>
      <w:r w:rsidRPr="00F90EAE">
        <w:rPr>
          <w:color w:val="000000" w:themeColor="text1"/>
          <w:sz w:val="16"/>
          <w:szCs w:val="16"/>
        </w:rPr>
        <w:t>Природу радиоактивности объяснил один из крупнейших физиков двадцатого века — англичанин Эрнест Резерфорд. Оказалось, что считавшиеся неизменными атомы вещества на самом деле распадаются и лучи представляют собою летящие во все стороны осколки. Радий распадается на тяжелые атомы радиоактивного элемента радона и на более легкие атомы гелия, летящие с громадной скоростью пятнадцати тысяч километров в секунду и получившие название альфа-лучей.</w:t>
      </w:r>
    </w:p>
    <w:p w14:paraId="70F6C201" w14:textId="77777777" w:rsidR="0002077A" w:rsidRPr="00F90EAE" w:rsidRDefault="0002077A" w:rsidP="00F90EAE">
      <w:pPr>
        <w:jc w:val="both"/>
        <w:rPr>
          <w:color w:val="000000" w:themeColor="text1"/>
          <w:sz w:val="16"/>
          <w:szCs w:val="16"/>
        </w:rPr>
      </w:pPr>
      <w:r w:rsidRPr="00F90EAE">
        <w:rPr>
          <w:color w:val="000000" w:themeColor="text1"/>
          <w:sz w:val="16"/>
          <w:szCs w:val="16"/>
        </w:rPr>
        <w:t>Процесс распада радиоактивных атомов происходит с различной быстротой. Уран распадается необычайно медленно: количество его на Земле уменьшится вдвое примерно через пять миллиардов лет. За два-три миллиарда лет существования Земли около четвертой части имевшегося урана уже распалось. Гораздо быстрее распадается радий. Его запасы уменьшаются вдвое примерно за полторы тысячи лет. Ясно, что весь радий, когда-то бывший на Земле, давно исчез, а тот, что имеется сейчас, непрерывно возникает из урана. Неудивительно, что его добыто всего лишь около килограмма.</w:t>
      </w:r>
    </w:p>
    <w:p w14:paraId="457D813F" w14:textId="77777777" w:rsidR="0002077A" w:rsidRPr="00F90EAE" w:rsidRDefault="0002077A" w:rsidP="00F90EAE">
      <w:pPr>
        <w:jc w:val="both"/>
        <w:rPr>
          <w:color w:val="000000" w:themeColor="text1"/>
          <w:sz w:val="16"/>
          <w:szCs w:val="16"/>
        </w:rPr>
      </w:pPr>
      <w:r w:rsidRPr="00F90EAE">
        <w:rPr>
          <w:color w:val="000000" w:themeColor="text1"/>
          <w:sz w:val="16"/>
          <w:szCs w:val="16"/>
        </w:rPr>
        <w:t xml:space="preserve">Распад атомов сопровождается выделением энергии. Один килограмм урана при распаде выделяет столько же тепла, сколько дают пятьдесят тонн угля. Казалось бы, энергии немало, но она постепенно выделяется в течение нескольких миллиардов лет. Поэтому целые тонны урана не смогут отопить даже маленькой комнаты. Легко рассчитать, что всего собранного на Земле радия хватило бы разве на то, чтобы вскипятить за сутки два больших чайника. Правда, их можно кипятить в продолжение </w:t>
      </w:r>
      <w:r w:rsidRPr="00F90EAE">
        <w:rPr>
          <w:color w:val="000000" w:themeColor="text1"/>
          <w:sz w:val="16"/>
          <w:szCs w:val="16"/>
        </w:rPr>
        <w:lastRenderedPageBreak/>
        <w:t>тысячелетий, но вряд ли стоит этим заниматься. Другое дело, если процесс радиоактивного распада можно было бы ускорить. Перспектива замены ста тонн угля двумя килограммами урана выглядит очень заманчиво. Однако все попытки повлиять на скорость радиоактивного распада оказались безрезультатными. Он продолжается с точностью, далеко превосходящей лучшие часовые механизмы.</w:t>
      </w:r>
    </w:p>
    <w:p w14:paraId="7AD4227A" w14:textId="77777777" w:rsidR="0002077A" w:rsidRPr="00F90EAE" w:rsidRDefault="0002077A" w:rsidP="00F90EAE">
      <w:pPr>
        <w:jc w:val="both"/>
        <w:rPr>
          <w:color w:val="000000" w:themeColor="text1"/>
          <w:sz w:val="16"/>
          <w:szCs w:val="16"/>
        </w:rPr>
      </w:pPr>
      <w:r w:rsidRPr="00F90EAE">
        <w:rPr>
          <w:color w:val="000000" w:themeColor="text1"/>
          <w:sz w:val="16"/>
          <w:szCs w:val="16"/>
        </w:rPr>
        <w:t>Что собою представляют таинственные атомы, которые невозможно разбить, несмотря ни на какие старания, и которые, с другой стороны, ни с того ни с сего сами распадаются? На этот вопрос наука отвечает ясно и определенно. Никакого сплошного атома не существует. Он похож на солнечную систему с тяжелым ядром посредине и легкими электронами, движущимися вокруг него. Тяжесть ядра, конечно, относительная. Самое тяжелое ядро весит в сотни миллиардов раз меньше грамма. Ученые определили и силы, которые действуют между частицами, входящими в состав атома. Это силы электрического притяжения и отталкивания. Ядро заряжено положительным электричеством, электроны — отрицательным. Поэтому электроны притягиваются к ядру и отталкиваются друг от друга.</w:t>
      </w:r>
    </w:p>
    <w:p w14:paraId="373BA54C" w14:textId="77777777" w:rsidR="0002077A" w:rsidRPr="00F90EAE" w:rsidRDefault="0002077A" w:rsidP="00F90EAE">
      <w:pPr>
        <w:jc w:val="both"/>
        <w:rPr>
          <w:color w:val="000000" w:themeColor="text1"/>
          <w:sz w:val="16"/>
          <w:szCs w:val="16"/>
        </w:rPr>
      </w:pPr>
      <w:r w:rsidRPr="00F90EAE">
        <w:rPr>
          <w:color w:val="000000" w:themeColor="text1"/>
          <w:sz w:val="16"/>
          <w:szCs w:val="16"/>
        </w:rPr>
        <w:t>Значение этого открытия огромно. Теперь, наконец, человечество впервые узнало, как построена материя. После того как установили механику движения электронов в атоме, люди научились распознавать свойства веществ иногда лучше, чем свойства машин, которые сами создали.</w:t>
      </w:r>
    </w:p>
    <w:p w14:paraId="06411B92" w14:textId="77777777" w:rsidR="0002077A" w:rsidRPr="00F90EAE" w:rsidRDefault="0002077A" w:rsidP="00F90EAE">
      <w:pPr>
        <w:jc w:val="both"/>
        <w:rPr>
          <w:color w:val="000000" w:themeColor="text1"/>
          <w:sz w:val="16"/>
          <w:szCs w:val="16"/>
        </w:rPr>
      </w:pPr>
      <w:r w:rsidRPr="00F90EAE">
        <w:rPr>
          <w:color w:val="000000" w:themeColor="text1"/>
          <w:sz w:val="16"/>
          <w:szCs w:val="16"/>
        </w:rPr>
        <w:t>Все электроны совершенно одинаковы. Их число в атоме определяется зарядом его ядра.</w:t>
      </w:r>
    </w:p>
    <w:p w14:paraId="0ACB640B" w14:textId="77777777" w:rsidR="0002077A" w:rsidRPr="00F90EAE" w:rsidRDefault="0002077A" w:rsidP="00F90EAE">
      <w:pPr>
        <w:jc w:val="both"/>
        <w:rPr>
          <w:color w:val="000000" w:themeColor="text1"/>
          <w:sz w:val="16"/>
          <w:szCs w:val="16"/>
        </w:rPr>
      </w:pPr>
      <w:r w:rsidRPr="00F90EAE">
        <w:rPr>
          <w:color w:val="000000" w:themeColor="text1"/>
          <w:sz w:val="16"/>
          <w:szCs w:val="16"/>
        </w:rPr>
        <w:t>Электрический заряд ядра имеет для свойств атома несравненно большее значение, чем его вес или масса. Два ядра с одинаковым зарядом, но различной массой дают атомы настолько похожие, что их почти невозможно различить. Мы всегда принимаем их за атомы того же самого элемента. В действительности они не совсем одинаковы. Их называют изотопами. У водорода наряду с обычными ядрами — протонами — иногда присутствуют в ничтожном количестве дейтроны, вес которых вдвое больше. Водород с ядрами удвоенного веса называется тяжелым водородом, а вода, приготовленная из него, — тяжелой водой. Она составляет всего около сотой доли процента природной воды, и добывать ее приходится с чрезвычайным трудом. Тяжелая вода кипит при ста трех градусах, и вообще разница между обыкновенной и тяжелой водой очень невелика. У водорода, таким образом, один изотоп является ничтожной примесью. В других случаях дело обстоит иначе. Например, в любом количестве хлора около половины его атомов несколько легче, другая — тяжелее. Он состоит из смеси двух изотопов почти поровну.</w:t>
      </w:r>
    </w:p>
    <w:p w14:paraId="37C9AFB8" w14:textId="77777777" w:rsidR="0002077A" w:rsidRPr="00F90EAE" w:rsidRDefault="0002077A" w:rsidP="00F90EAE">
      <w:pPr>
        <w:jc w:val="both"/>
        <w:rPr>
          <w:color w:val="000000" w:themeColor="text1"/>
          <w:sz w:val="16"/>
          <w:szCs w:val="16"/>
        </w:rPr>
      </w:pPr>
      <w:r w:rsidRPr="00F90EAE">
        <w:rPr>
          <w:color w:val="000000" w:themeColor="text1"/>
          <w:sz w:val="16"/>
          <w:szCs w:val="16"/>
        </w:rPr>
        <w:t>Радиоактивность — это распад атомного ядра, распад той маленькой частицы, которая находится в центре атома. Но она сама имеет сложное строение. Тяжелые ядра химических элементов, стоящих в последнем ряду системы Менделеева, неустойчивы и постепенно одно за другим распадаются.</w:t>
      </w:r>
    </w:p>
    <w:p w14:paraId="4F6708C0" w14:textId="77777777" w:rsidR="0002077A" w:rsidRPr="00F90EAE" w:rsidRDefault="0002077A" w:rsidP="00F90EAE">
      <w:pPr>
        <w:jc w:val="both"/>
        <w:rPr>
          <w:color w:val="000000" w:themeColor="text1"/>
          <w:sz w:val="16"/>
          <w:szCs w:val="16"/>
        </w:rPr>
      </w:pPr>
      <w:r w:rsidRPr="00F90EAE">
        <w:rPr>
          <w:color w:val="000000" w:themeColor="text1"/>
          <w:sz w:val="16"/>
          <w:szCs w:val="16"/>
        </w:rPr>
        <w:t>Большое количество энергии, выделяющееся при распаде, показывает, что взаимодействие частиц внутри ядер гораздо сильнее, чем взаимодействие между электронами и ядром. Это и естественно, если принять во внимание колоссальную тесноту, необычайную уплотненность вещества внутри ядер. Расстояние между частицами в ядрах в десятки тысяч раз меньше, чем расстояние между ядром и окружающими его электронами.</w:t>
      </w:r>
    </w:p>
    <w:p w14:paraId="3EC77E99" w14:textId="77777777" w:rsidR="0002077A" w:rsidRPr="00F90EAE" w:rsidRDefault="0002077A" w:rsidP="00F90EAE">
      <w:pPr>
        <w:jc w:val="both"/>
        <w:rPr>
          <w:color w:val="000000" w:themeColor="text1"/>
          <w:sz w:val="16"/>
          <w:szCs w:val="16"/>
        </w:rPr>
      </w:pPr>
      <w:r w:rsidRPr="00F90EAE">
        <w:rPr>
          <w:color w:val="000000" w:themeColor="text1"/>
          <w:sz w:val="16"/>
          <w:szCs w:val="16"/>
        </w:rPr>
        <w:t>Физики не любят ограничиваться простым наблюдением того, что происходит в природе независимо от них. Им всегда хочется вмешаться самим. Двадцать семь лет назад Резерфорду удалось искусственным путем расщепить атомное ядро. Идея его эксперимента была очень проста. Он облучал различные вещества лучами радиоактивных элементов, то есть обстреливал их пулями, состоящими из ядер атомов гелия, движущихся со скоростью пятнадцать тысяч километров в секунду— в несколько тысяч раз быстрее, чем пушечный снаряд. При облучении азота ему удалось, наконец, осуществить превращение элементов. Это было мечтой алхимиков и почти полтора столетия считалось совершенно невозможным. В результате обстрела ядро атома азота поглотило альфа-частицу и тотчас же выбросило из себя протон. На месте азота оказался ничего общего с ним не имеющий кислород. Так азот и гелий были превращены в кислород и водород.</w:t>
      </w:r>
    </w:p>
    <w:p w14:paraId="06508D0D" w14:textId="77777777" w:rsidR="0002077A" w:rsidRPr="00F90EAE" w:rsidRDefault="0002077A" w:rsidP="00F90EAE">
      <w:pPr>
        <w:jc w:val="both"/>
        <w:rPr>
          <w:color w:val="000000" w:themeColor="text1"/>
          <w:sz w:val="16"/>
          <w:szCs w:val="16"/>
        </w:rPr>
      </w:pPr>
      <w:r w:rsidRPr="00F90EAE">
        <w:rPr>
          <w:color w:val="000000" w:themeColor="text1"/>
          <w:sz w:val="16"/>
          <w:szCs w:val="16"/>
        </w:rPr>
        <w:t>Только четверть века прошло с того времени, когда человек осуществил первую ядерную реакцию. Но теперь число их достигло многих сотен. Правда, возможности для этого необычайно возросли. Сейчас уже нет необходимости ограничиваться альфа-лучами радиоактивных веществ. В распоряжении физиков имеются более удобные пулеметы, дающие значительно больше пуль, движущихся с гораздо большей скоростью. Существует много различных приборов этого рода. С помощью аппарата циклотрона получают мощные пучки протонов, дейтронов или альфа-частиц, скорость которых достигает более тридцати тысяч километров в секунду.</w:t>
      </w:r>
    </w:p>
    <w:p w14:paraId="5B3FDA8D" w14:textId="77777777" w:rsidR="0002077A" w:rsidRPr="00F90EAE" w:rsidRDefault="0002077A" w:rsidP="00F90EAE">
      <w:pPr>
        <w:jc w:val="both"/>
        <w:rPr>
          <w:color w:val="000000" w:themeColor="text1"/>
          <w:sz w:val="16"/>
          <w:szCs w:val="16"/>
        </w:rPr>
      </w:pPr>
      <w:r w:rsidRPr="00F90EAE">
        <w:rPr>
          <w:color w:val="000000" w:themeColor="text1"/>
          <w:sz w:val="16"/>
          <w:szCs w:val="16"/>
        </w:rPr>
        <w:t>При многих ядерных реакциях энергии выделяется больше, чем в процессе радиоактивного распада. Однако она не поддается использованию. Дело в том, что ядерные реакции крайне неэффективны. Летящие частицы, положительно заряженные, как и ядро атома, отталкиваются от него. Только очень быстро двигаясь, они могут влететь внутрь ядра и вызвать реакцию. Между тем эти частицы, находясь внутри материи, постепенно замедляются и становятся бессильными преодолеть отталкивание.</w:t>
      </w:r>
    </w:p>
    <w:p w14:paraId="3BB04138" w14:textId="77777777" w:rsidR="0002077A" w:rsidRPr="00F90EAE" w:rsidRDefault="0002077A" w:rsidP="00F90EAE">
      <w:pPr>
        <w:jc w:val="both"/>
        <w:rPr>
          <w:color w:val="000000" w:themeColor="text1"/>
          <w:sz w:val="16"/>
          <w:szCs w:val="16"/>
        </w:rPr>
      </w:pPr>
      <w:r w:rsidRPr="00F90EAE">
        <w:rPr>
          <w:color w:val="000000" w:themeColor="text1"/>
          <w:sz w:val="16"/>
          <w:szCs w:val="16"/>
        </w:rPr>
        <w:t>Для ничтожно малой альфа-частицы, летящей внутри вещества, расстояния между атомами, между ядрами и окружающими их электронами так велики, что вероятность попадания ее в какое-нибудь ядро крайне сомнительна. Представьте себе лес, где каждое дерево находится от другого в пяти километрах. Можно ли попасть снарядом в какое-нибудь дерево без прицела? Ясно, что при этих условиях в лучшем случае удается вызвать одну ядерную реакцию с помощью миллиона частиц. Таким образом, на ускорение множества летящих частиц в циклотроне приходится затрачивать энергии гораздо больше, чем можно получить в результате ядерной реакции. Положение выглядело настолько безнадежно, что физики долгое время относились к перспективе использования внутриядерной энергии примерно так же, как к проблеме вечного двигателя.</w:t>
      </w:r>
    </w:p>
    <w:p w14:paraId="73C2CDB1" w14:textId="77777777" w:rsidR="0002077A" w:rsidRPr="00F90EAE" w:rsidRDefault="0002077A" w:rsidP="00F90EAE">
      <w:pPr>
        <w:jc w:val="both"/>
        <w:rPr>
          <w:color w:val="000000" w:themeColor="text1"/>
          <w:sz w:val="16"/>
          <w:szCs w:val="16"/>
        </w:rPr>
      </w:pPr>
      <w:r w:rsidRPr="00F90EAE">
        <w:rPr>
          <w:color w:val="000000" w:themeColor="text1"/>
          <w:sz w:val="16"/>
          <w:szCs w:val="16"/>
        </w:rPr>
        <w:t>Хитрая природа, оказывается, только дразнила физиков. Там, где все казалось ясным, вдруг открылись новые, неожиданные явления. Ученые обнаружили, что при облучении альфа-лучами элемента бериллия из его ядра выбрасываются новые частицы, отличающиеся электрической нейтральностью. Они получили название нейтронов. Далее выяснилось, что в действительности нейтроны, наряду с протонами, являются теми кирпичами, из которых построены все ядра атомов, вся материя. Например, дейтрон — это соединение одного протона и одного нейтрона, гелий — соединение двух протонов и двух нейтронов и т.д. Ядро урана содержит девяносто два протона и сто сорок шесть нейтронов.</w:t>
      </w:r>
    </w:p>
    <w:p w14:paraId="135A0307" w14:textId="77777777" w:rsidR="0002077A" w:rsidRPr="00F90EAE" w:rsidRDefault="0002077A" w:rsidP="00F90EAE">
      <w:pPr>
        <w:jc w:val="both"/>
        <w:rPr>
          <w:color w:val="000000" w:themeColor="text1"/>
          <w:sz w:val="16"/>
          <w:szCs w:val="16"/>
        </w:rPr>
      </w:pPr>
      <w:r w:rsidRPr="00F90EAE">
        <w:rPr>
          <w:color w:val="000000" w:themeColor="text1"/>
          <w:sz w:val="16"/>
          <w:szCs w:val="16"/>
        </w:rPr>
        <w:t>Открытие нейтронов произвело переворот в ядерной артиллерии. Ведь они не отталкиваются, и поэтому ничто не препятствует им проникнуть в ядро. Они путешествуют в материи до тех пор, пока не влетят в какое-нибудь ядро и не застрянут в нем, либо поглотившись, либо вызвав другую ядерную реакцию. Нейтроны во всех случаях безотказно вызывают ядерные превращения. Это заговоренные пули, которые всегда находят намеченную жертву.</w:t>
      </w:r>
    </w:p>
    <w:p w14:paraId="7F32E39A" w14:textId="77777777" w:rsidR="0002077A" w:rsidRPr="00F90EAE" w:rsidRDefault="0002077A" w:rsidP="00F90EAE">
      <w:pPr>
        <w:jc w:val="both"/>
        <w:rPr>
          <w:color w:val="000000" w:themeColor="text1"/>
          <w:sz w:val="16"/>
          <w:szCs w:val="16"/>
        </w:rPr>
      </w:pPr>
      <w:r w:rsidRPr="00F90EAE">
        <w:rPr>
          <w:color w:val="000000" w:themeColor="text1"/>
          <w:sz w:val="16"/>
          <w:szCs w:val="16"/>
        </w:rPr>
        <w:t>Нейтрон открыл вход в зачарованный замок, где хранится внутриядерная энергия. Но здесь осталась еще более прочная дверь, как бы окованная железом. Когда нейтрон производит реакцию, из ядра вместо нейтрона вылетает заряженный протон или альфа-частица. Они застревают в материи, и реакция останавливается. Надежда на успех казалась обманчивой. Но главное все же было сделано: мысль о доступности внутриатомной энергии стала крепнуть.</w:t>
      </w:r>
    </w:p>
    <w:p w14:paraId="5E5296C3" w14:textId="77777777" w:rsidR="0002077A" w:rsidRPr="00F90EAE" w:rsidRDefault="0002077A" w:rsidP="00F90EAE">
      <w:pPr>
        <w:jc w:val="both"/>
        <w:rPr>
          <w:color w:val="000000" w:themeColor="text1"/>
          <w:sz w:val="16"/>
          <w:szCs w:val="16"/>
        </w:rPr>
      </w:pPr>
      <w:r w:rsidRPr="00F90EAE">
        <w:rPr>
          <w:color w:val="000000" w:themeColor="text1"/>
          <w:sz w:val="16"/>
          <w:szCs w:val="16"/>
        </w:rPr>
        <w:t>Семь лет назад появилось сообщение, что ядро урана при поглощении нейтронов не выбрасывает из себя, как обычно, протона или альфа-частицы, а делится на две части. Этот новый тип ядерной реакции получил название деления.</w:t>
      </w:r>
    </w:p>
    <w:p w14:paraId="216E8E95" w14:textId="77777777" w:rsidR="0002077A" w:rsidRPr="00F90EAE" w:rsidRDefault="0002077A" w:rsidP="00F90EAE">
      <w:pPr>
        <w:jc w:val="both"/>
        <w:rPr>
          <w:color w:val="000000" w:themeColor="text1"/>
          <w:sz w:val="16"/>
          <w:szCs w:val="16"/>
        </w:rPr>
      </w:pPr>
      <w:r w:rsidRPr="00F90EAE">
        <w:rPr>
          <w:color w:val="000000" w:themeColor="text1"/>
          <w:sz w:val="16"/>
          <w:szCs w:val="16"/>
        </w:rPr>
        <w:t>Казалось бы, что ничего особо важного не произошло. Однако именно деление явилось тем волшебным ключом, который открыл последнюю дверь, за которой скрывалась внутриядерная энергия. Тяжелый темно-серый металл уран, известный уже около ста лет, оказался тем философским камнем, который так долго и бесплодно искали алхимики. Дело даже не в том, что деление дает энергии в десять раз больше, чем обычная ядерная реакция. Оказалось, что в процессе деления из ядра выбрасываются от двух до трех новых нейтронов. Нейтроны, таким образом, не погибают, а возрождаются в удвоенном числе, опять проникают в соседние ядра урана, делят их, и так самопроизвольно, быстро нарастая, процесс может развиваться дальше. Это произвело на физиков ошеломляющее впечатление. Открылась клетка, в которой сидел зверь, страшную силу которого мы очень хорошо себе представляли.</w:t>
      </w:r>
    </w:p>
    <w:p w14:paraId="2960B881" w14:textId="77777777" w:rsidR="0002077A" w:rsidRPr="00F90EAE" w:rsidRDefault="0002077A" w:rsidP="00F90EAE">
      <w:pPr>
        <w:jc w:val="both"/>
        <w:rPr>
          <w:color w:val="000000" w:themeColor="text1"/>
          <w:sz w:val="16"/>
          <w:szCs w:val="16"/>
        </w:rPr>
      </w:pPr>
      <w:r w:rsidRPr="00F90EAE">
        <w:rPr>
          <w:color w:val="000000" w:themeColor="text1"/>
          <w:sz w:val="16"/>
          <w:szCs w:val="16"/>
        </w:rPr>
        <w:t>Однако сразу же возникли некоторые трудности. Природный уран содержит в основном изотоп с атомным весом 238 и ничтожную примесь изотопа 235. Оказалось, что уран-235 делится любыми нейтронами безотказно, а уран-238 — только очень быстрыми нейтронами. Нейтроны, движущиеся с меньшей скоростью, не только не делят ядер урана-238, но просто поглощаются им и выходят из игры. Значит, обычный, встречающийся в природе уран непригоден для деления.</w:t>
      </w:r>
    </w:p>
    <w:p w14:paraId="7E93068D" w14:textId="77777777" w:rsidR="0002077A" w:rsidRPr="00F90EAE" w:rsidRDefault="0002077A" w:rsidP="00F90EAE">
      <w:pPr>
        <w:jc w:val="both"/>
        <w:rPr>
          <w:color w:val="000000" w:themeColor="text1"/>
          <w:sz w:val="16"/>
          <w:szCs w:val="16"/>
        </w:rPr>
      </w:pPr>
      <w:r w:rsidRPr="00F90EAE">
        <w:rPr>
          <w:color w:val="000000" w:themeColor="text1"/>
          <w:sz w:val="16"/>
          <w:szCs w:val="16"/>
        </w:rPr>
        <w:t>Чтобы решить задачу, остается выделить из обычного урана чистый уран-235. Задача эта очень нелегкая, так как различие свойств этих двух изотопов совершенно ничтожно. Но физики нашли способ их разделения. Оставалось только преобразовать лабораторную технику в промышленную. Этим и занялись физики разных стран, подстегиваемые второй мировой войной. Грандиозность поставленной задачи видна уже из того, что американцы и англичане, имея в своем распоряжении громадные ресурсы техники и большинство физиков мира, вынуждены были напряженно работать более четырех лет.</w:t>
      </w:r>
    </w:p>
    <w:p w14:paraId="696F3952" w14:textId="77777777" w:rsidR="0002077A" w:rsidRPr="00F90EAE" w:rsidRDefault="0002077A" w:rsidP="00F90EAE">
      <w:pPr>
        <w:jc w:val="both"/>
        <w:rPr>
          <w:color w:val="000000" w:themeColor="text1"/>
          <w:sz w:val="16"/>
          <w:szCs w:val="16"/>
        </w:rPr>
      </w:pPr>
      <w:r w:rsidRPr="00F90EAE">
        <w:rPr>
          <w:color w:val="000000" w:themeColor="text1"/>
          <w:sz w:val="16"/>
          <w:szCs w:val="16"/>
        </w:rPr>
        <w:t>Решить эту проблему пыталась и фашистская Германия. Обанкротившийся Гитлер лихорадочно торопился создать новое орудие разрушения. Если немцы не достигли цели, то заслуга в этом принадлежит советскому народу, который уничтожил фашистского зверя в его берлоге, не дав ему совершить последний страшный прыжок. Немало объектов, имеющих отношение к созданию атомной бомбы, разрушила на территории Германии и союзная авиация.</w:t>
      </w:r>
    </w:p>
    <w:p w14:paraId="6AF6E06B" w14:textId="77777777" w:rsidR="0002077A" w:rsidRPr="00F90EAE" w:rsidRDefault="0002077A" w:rsidP="00F90EAE">
      <w:pPr>
        <w:jc w:val="both"/>
        <w:rPr>
          <w:color w:val="000000" w:themeColor="text1"/>
          <w:sz w:val="16"/>
          <w:szCs w:val="16"/>
        </w:rPr>
      </w:pPr>
      <w:r w:rsidRPr="00F90EAE">
        <w:rPr>
          <w:color w:val="000000" w:themeColor="text1"/>
          <w:sz w:val="16"/>
          <w:szCs w:val="16"/>
        </w:rPr>
        <w:t>Когда собрано достаточное количество урана-235, то для реакции все готово. Если же его слишком мало, то нейтроны, прежде чем попасть в ядро, будут бесплодно уходить в воздух. Размножения нейтронов не произойдет, и деление прекратится. Необходимое количество урана зависит от того, как он геометрически расположен. Его потребуется всего несколько килограммов в том случае, если всю массу собрать в форме шара.</w:t>
      </w:r>
    </w:p>
    <w:p w14:paraId="1C0C5CB6" w14:textId="77777777" w:rsidR="0002077A" w:rsidRPr="00F90EAE" w:rsidRDefault="0002077A" w:rsidP="00F90EAE">
      <w:pPr>
        <w:jc w:val="both"/>
        <w:rPr>
          <w:color w:val="000000" w:themeColor="text1"/>
          <w:sz w:val="16"/>
          <w:szCs w:val="16"/>
        </w:rPr>
      </w:pPr>
      <w:r w:rsidRPr="00F90EAE">
        <w:rPr>
          <w:color w:val="000000" w:themeColor="text1"/>
          <w:sz w:val="16"/>
          <w:szCs w:val="16"/>
        </w:rPr>
        <w:t>Чтобы получить мгновенный взрыв, можно, например, взять два куска урана, каждый из которых слишком мал для взрыва, и выстрелить одним в другой, «поджигая» нейтронами в момент попадания.</w:t>
      </w:r>
    </w:p>
    <w:p w14:paraId="214D8511" w14:textId="77777777" w:rsidR="0002077A" w:rsidRPr="00F90EAE" w:rsidRDefault="0002077A" w:rsidP="00F90EAE">
      <w:pPr>
        <w:jc w:val="both"/>
        <w:rPr>
          <w:color w:val="000000" w:themeColor="text1"/>
          <w:sz w:val="16"/>
          <w:szCs w:val="16"/>
        </w:rPr>
      </w:pPr>
      <w:r w:rsidRPr="00F90EAE">
        <w:rPr>
          <w:color w:val="000000" w:themeColor="text1"/>
          <w:sz w:val="16"/>
          <w:szCs w:val="16"/>
        </w:rPr>
        <w:t>Как показали дальнейшие исследования, разделение изотопов урана не единственный способ получения внутриатомной энергии. Оказывается, если сильно замедлить скорость движения нейтронов, реакция деления может произойти и на природном уране. Таким замедлителем служат легкие ядра других веществ, сталкиваясь с которыми нейтроны теряют заметную часть своей энергии движения.</w:t>
      </w:r>
    </w:p>
    <w:p w14:paraId="35F69393" w14:textId="77777777" w:rsidR="0002077A" w:rsidRPr="00F90EAE" w:rsidRDefault="0002077A" w:rsidP="00F90EAE">
      <w:pPr>
        <w:jc w:val="both"/>
        <w:rPr>
          <w:color w:val="000000" w:themeColor="text1"/>
          <w:sz w:val="16"/>
          <w:szCs w:val="16"/>
        </w:rPr>
      </w:pPr>
      <w:r w:rsidRPr="00F90EAE">
        <w:rPr>
          <w:color w:val="000000" w:themeColor="text1"/>
          <w:sz w:val="16"/>
          <w:szCs w:val="16"/>
        </w:rPr>
        <w:t>Лучшие замедлители — это тяжелый водород или тяжелая вода и углерод. Но этот медленный процесс деления непригоден для взрывов. Такой способ реакции был использован для создания уранового котла, настоящей ядерной кухни, в которой шныряют нейтроны и происходят ядерные реакции в неслыханных масштабах.</w:t>
      </w:r>
    </w:p>
    <w:p w14:paraId="4F88434C" w14:textId="77777777" w:rsidR="0002077A" w:rsidRPr="00F90EAE" w:rsidRDefault="0002077A" w:rsidP="00F90EAE">
      <w:pPr>
        <w:jc w:val="both"/>
        <w:rPr>
          <w:color w:val="000000" w:themeColor="text1"/>
          <w:sz w:val="16"/>
          <w:szCs w:val="16"/>
        </w:rPr>
      </w:pPr>
      <w:r w:rsidRPr="00F90EAE">
        <w:rPr>
          <w:color w:val="000000" w:themeColor="text1"/>
          <w:sz w:val="16"/>
          <w:szCs w:val="16"/>
        </w:rPr>
        <w:t>Для «поджигания» урана в котле нет необходимости впускать нейтроны со стороны.</w:t>
      </w:r>
    </w:p>
    <w:p w14:paraId="398A8CBB" w14:textId="77777777" w:rsidR="0002077A" w:rsidRPr="00F90EAE" w:rsidRDefault="0002077A" w:rsidP="00F90EAE">
      <w:pPr>
        <w:jc w:val="both"/>
        <w:rPr>
          <w:color w:val="000000" w:themeColor="text1"/>
          <w:sz w:val="16"/>
          <w:szCs w:val="16"/>
        </w:rPr>
      </w:pPr>
      <w:r w:rsidRPr="00F90EAE">
        <w:rPr>
          <w:color w:val="000000" w:themeColor="text1"/>
          <w:sz w:val="16"/>
          <w:szCs w:val="16"/>
        </w:rPr>
        <w:t xml:space="preserve">В 1940 году два молодых советских физика Флеров и Петржак установили, что уран понемногу делится сам по себе. Правда, это происходит страшно медленно, но все же каждую секунду в нем рождаются сотни тысяч нейтронов, которых вполне достаточно для начала реакции. В ходе реакции в котле из урана получаются два не </w:t>
      </w:r>
      <w:r w:rsidRPr="00F90EAE">
        <w:rPr>
          <w:color w:val="000000" w:themeColor="text1"/>
          <w:sz w:val="16"/>
          <w:szCs w:val="16"/>
        </w:rPr>
        <w:lastRenderedPageBreak/>
        <w:t>известных ранее новых химических элемента, следующих за ураном. Их назвали нептуний и плутоний. При этом оказалось, что плутоний годится для атомной бомбы не менее, чем уран-235. Получение его из смеси не требует чрезвычайно трудоемкого разделения изотопов. Он не изотоп урана, а самостоятельный химический элемент. Поэтому выделить его можно обычным способом. В приготовлении плутония наиболее трудным является отвод громадного количества тепла, образующегося в котле. Для охлаждения приходится выпускать на котел чуть ли не целую реку. Производство одного килограмма плутония сопровождается выделением такого количества тепла, которого достаточно, чтобы вскипятить озеро воды в двести тысяч кубометров.</w:t>
      </w:r>
    </w:p>
    <w:p w14:paraId="1345BEC6" w14:textId="77777777" w:rsidR="0002077A" w:rsidRPr="00F90EAE" w:rsidRDefault="0002077A" w:rsidP="00F90EAE">
      <w:pPr>
        <w:jc w:val="both"/>
        <w:rPr>
          <w:color w:val="000000" w:themeColor="text1"/>
          <w:sz w:val="16"/>
          <w:szCs w:val="16"/>
        </w:rPr>
      </w:pPr>
      <w:r w:rsidRPr="00F90EAE">
        <w:rPr>
          <w:color w:val="000000" w:themeColor="text1"/>
          <w:sz w:val="16"/>
          <w:szCs w:val="16"/>
        </w:rPr>
        <w:t>Урановый котел представляет интерес еще и с другой стороны. В результате деления урана получаются радиоактивные ядра. Сроки распада их невелики — от минуты до нескольких лет. Но именно благодаря этому степень их радиоактивности чудовищна. Радиоактивность продуктов распада одного килограмма урана в миллион раз превышает радиоактивность килограмма радия, то есть всего запаса его на Земле. Урановый котел дает человечеству источник радиоактивности, совершенно несравнимый с тем, что имелось до сих пор. Трудно даже предсказать, какую роль это может сыграть, например, в медицине.</w:t>
      </w:r>
    </w:p>
    <w:p w14:paraId="75B4676D" w14:textId="77777777" w:rsidR="0002077A" w:rsidRPr="00F90EAE" w:rsidRDefault="0002077A" w:rsidP="00F90EAE">
      <w:pPr>
        <w:jc w:val="both"/>
        <w:rPr>
          <w:color w:val="000000" w:themeColor="text1"/>
          <w:sz w:val="16"/>
          <w:szCs w:val="16"/>
        </w:rPr>
      </w:pPr>
      <w:r w:rsidRPr="00F90EAE">
        <w:rPr>
          <w:color w:val="000000" w:themeColor="text1"/>
          <w:sz w:val="16"/>
          <w:szCs w:val="16"/>
        </w:rPr>
        <w:t>Возникает вопрос: могут ли служить источником получения внутриатомной энергии и другие химические элементы?</w:t>
      </w:r>
    </w:p>
    <w:p w14:paraId="24F0B4F7" w14:textId="77777777" w:rsidR="0002077A" w:rsidRPr="00F90EAE" w:rsidRDefault="0002077A" w:rsidP="00F90EAE">
      <w:pPr>
        <w:jc w:val="both"/>
        <w:rPr>
          <w:color w:val="000000" w:themeColor="text1"/>
          <w:sz w:val="16"/>
          <w:szCs w:val="16"/>
        </w:rPr>
      </w:pPr>
      <w:r w:rsidRPr="00F90EAE">
        <w:rPr>
          <w:color w:val="000000" w:themeColor="text1"/>
          <w:sz w:val="16"/>
          <w:szCs w:val="16"/>
        </w:rPr>
        <w:t>Надо считать, что в современных условиях для этой цели пригодны только уран и, возможно, элемент торий, запасов которого на Земле больше, чем урана.</w:t>
      </w:r>
    </w:p>
    <w:p w14:paraId="415B1EA7" w14:textId="77777777" w:rsidR="0002077A" w:rsidRPr="00F90EAE" w:rsidRDefault="0002077A" w:rsidP="00F90EAE">
      <w:pPr>
        <w:jc w:val="both"/>
        <w:rPr>
          <w:color w:val="000000" w:themeColor="text1"/>
          <w:sz w:val="16"/>
          <w:szCs w:val="16"/>
        </w:rPr>
      </w:pPr>
      <w:r w:rsidRPr="00F90EAE">
        <w:rPr>
          <w:color w:val="000000" w:themeColor="text1"/>
          <w:sz w:val="16"/>
          <w:szCs w:val="16"/>
        </w:rPr>
        <w:t>Использование ядерной энергии в мирных целях является многообещающей, но довольно трудной проблемой. Прежде всего стоит вопрос об энергетическом применении ядерного топлива. Главная трудность здесь — в создании двигателей. Ведь объем, который занимает урановый котел, сравнительно невелик, а современная техника пока не знает способа извлечения огромных мощностей с малой поверхности. Особый интерес представляет использование урана для специальных двигателей и, в частности, для межпланетных сообщений.</w:t>
      </w:r>
    </w:p>
    <w:p w14:paraId="5FB3CBFA" w14:textId="77777777" w:rsidR="0002077A" w:rsidRPr="00F90EAE" w:rsidRDefault="0002077A" w:rsidP="00F90EAE">
      <w:pPr>
        <w:jc w:val="both"/>
        <w:rPr>
          <w:color w:val="000000" w:themeColor="text1"/>
          <w:sz w:val="16"/>
          <w:szCs w:val="16"/>
        </w:rPr>
      </w:pPr>
      <w:r w:rsidRPr="00F90EAE">
        <w:rPr>
          <w:color w:val="000000" w:themeColor="text1"/>
          <w:sz w:val="16"/>
          <w:szCs w:val="16"/>
        </w:rPr>
        <w:t>Использование атомной энергии в промышленности и транспорте, несомненно, означает начало новой эры в мировой технике. Русские ученые внесли свой вклад в решение проблемы атома. Роль советской науки в этих исследованиях непрерывно возрастает.</w:t>
      </w:r>
    </w:p>
    <w:p w14:paraId="0FA51176" w14:textId="77777777" w:rsidR="0002077A" w:rsidRPr="00F90EAE" w:rsidRDefault="0002077A" w:rsidP="00F90EAE">
      <w:pPr>
        <w:jc w:val="both"/>
        <w:rPr>
          <w:color w:val="000000" w:themeColor="text1"/>
          <w:sz w:val="16"/>
          <w:szCs w:val="16"/>
        </w:rPr>
      </w:pPr>
      <w:r w:rsidRPr="00F90EAE">
        <w:rPr>
          <w:color w:val="000000" w:themeColor="text1"/>
          <w:sz w:val="16"/>
          <w:szCs w:val="16"/>
        </w:rPr>
        <w:t>В плане новой пятилетки восстановления и развития хозяйства намечены экспериментальные и теоретические работы, которые должны привести к практическому использованию атомной энергии на благо нашей родины и в интересах всего человечества (15720).</w:t>
      </w:r>
    </w:p>
    <w:p w14:paraId="4A9B94F6" w14:textId="77777777" w:rsidR="0002077A" w:rsidRPr="00F90EAE" w:rsidRDefault="0002077A" w:rsidP="00F90EAE">
      <w:pPr>
        <w:jc w:val="both"/>
        <w:rPr>
          <w:color w:val="000000" w:themeColor="text1"/>
          <w:sz w:val="16"/>
          <w:szCs w:val="16"/>
        </w:rPr>
      </w:pPr>
    </w:p>
    <w:p w14:paraId="4DAE8AF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C1516C5" w14:textId="77777777" w:rsidR="006103B3" w:rsidRPr="00F90EAE" w:rsidRDefault="006103B3" w:rsidP="00F90EAE">
      <w:pPr>
        <w:autoSpaceDE w:val="0"/>
        <w:autoSpaceDN w:val="0"/>
        <w:adjustRightInd w:val="0"/>
        <w:jc w:val="both"/>
        <w:rPr>
          <w:iCs/>
          <w:color w:val="000000" w:themeColor="text1"/>
          <w:sz w:val="16"/>
          <w:szCs w:val="16"/>
        </w:rPr>
      </w:pPr>
    </w:p>
    <w:p w14:paraId="118756A7" w14:textId="77777777" w:rsidR="007B3FB8" w:rsidRPr="00F90EAE" w:rsidRDefault="007B3FB8" w:rsidP="00F90EAE">
      <w:pPr>
        <w:jc w:val="both"/>
        <w:rPr>
          <w:color w:val="0070C0"/>
          <w:sz w:val="16"/>
          <w:szCs w:val="16"/>
        </w:rPr>
      </w:pPr>
      <w:r w:rsidRPr="00F90EAE">
        <w:rPr>
          <w:color w:val="0070C0"/>
          <w:sz w:val="16"/>
          <w:szCs w:val="16"/>
        </w:rPr>
        <w:t>17 июня 1945 457 B-29 Superfortress сбрасывают 3 195 тонн (2 898 485 кг) бомб на Омута и другие города Японии (20371).</w:t>
      </w:r>
    </w:p>
    <w:p w14:paraId="1013F7D9" w14:textId="77777777" w:rsidR="007B3FB8" w:rsidRPr="00F90EAE" w:rsidRDefault="007B3FB8" w:rsidP="00F90EAE">
      <w:pPr>
        <w:jc w:val="both"/>
        <w:rPr>
          <w:color w:val="0070C0"/>
          <w:sz w:val="16"/>
          <w:szCs w:val="16"/>
        </w:rPr>
      </w:pPr>
    </w:p>
    <w:p w14:paraId="10174788"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17 июня 1945 окруженный американцами покончил с собой командующий японской военно-морской базой на Окинаве адмирал Минору Ота (4962).</w:t>
      </w:r>
    </w:p>
    <w:p w14:paraId="681FD63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869E375" w14:textId="77777777" w:rsidR="00B90038"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147D36E" w14:textId="77777777" w:rsidR="00B90038" w:rsidRPr="00F90EAE" w:rsidRDefault="00B90038" w:rsidP="00F90EAE">
      <w:pPr>
        <w:autoSpaceDE w:val="0"/>
        <w:autoSpaceDN w:val="0"/>
        <w:adjustRightInd w:val="0"/>
        <w:jc w:val="both"/>
        <w:rPr>
          <w:iCs/>
          <w:color w:val="000000" w:themeColor="text1"/>
          <w:sz w:val="16"/>
          <w:szCs w:val="16"/>
        </w:rPr>
      </w:pPr>
    </w:p>
    <w:p w14:paraId="3B86C0DC" w14:textId="77777777" w:rsidR="00B92A5E" w:rsidRPr="00F90EAE" w:rsidRDefault="00B92A5E" w:rsidP="00F90EAE">
      <w:pPr>
        <w:jc w:val="both"/>
        <w:rPr>
          <w:color w:val="000000" w:themeColor="text1"/>
          <w:sz w:val="16"/>
          <w:szCs w:val="16"/>
        </w:rPr>
      </w:pPr>
      <w:r w:rsidRPr="00F90EAE">
        <w:rPr>
          <w:rStyle w:val="107"/>
          <w:rFonts w:eastAsiaTheme="minorHAnsi"/>
          <w:color w:val="000000" w:themeColor="text1"/>
          <w:sz w:val="16"/>
          <w:szCs w:val="16"/>
        </w:rPr>
        <w:t>18 июня 1945 по инициативе начальника 1-го отдела ГУ ИАС ВВС КА инженер -полковника Подлесецкого «начальнику 5-го отдела 1-го Управления ГК НИИ ВВС КА было передано указание генерал-лейтенанта тов. Лапина ускорить испытание пылефильтров», а 22 июня -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3BA17D9B" w14:textId="77777777" w:rsidR="00B92A5E" w:rsidRPr="00F90EAE" w:rsidRDefault="00B92A5E" w:rsidP="00F90EAE">
      <w:pPr>
        <w:jc w:val="both"/>
        <w:rPr>
          <w:color w:val="000000" w:themeColor="text1"/>
          <w:sz w:val="16"/>
          <w:szCs w:val="16"/>
        </w:rPr>
      </w:pPr>
    </w:p>
    <w:p w14:paraId="3D5C85C4" w14:textId="77777777" w:rsidR="00B90038" w:rsidRPr="00F90EAE" w:rsidRDefault="00B90038" w:rsidP="00F90EAE">
      <w:pPr>
        <w:jc w:val="both"/>
        <w:rPr>
          <w:color w:val="000000" w:themeColor="text1"/>
          <w:sz w:val="16"/>
          <w:szCs w:val="16"/>
        </w:rPr>
      </w:pPr>
      <w:r w:rsidRPr="00F90EAE">
        <w:rPr>
          <w:color w:val="000000" w:themeColor="text1"/>
          <w:sz w:val="16"/>
          <w:szCs w:val="16"/>
        </w:rPr>
        <w:t>18 июня 1945 г. Из докладной записки директора завода № 16 М. М. Лукина в Татарский обком ВКП (б) об основных показателях работы завода за май и 5 месяцев 1945 г.</w:t>
      </w:r>
    </w:p>
    <w:p w14:paraId="21847D9B" w14:textId="77777777" w:rsidR="00B90038" w:rsidRPr="00F90EAE" w:rsidRDefault="00B90038" w:rsidP="00F90EAE">
      <w:pPr>
        <w:jc w:val="both"/>
        <w:rPr>
          <w:color w:val="000000" w:themeColor="text1"/>
          <w:sz w:val="16"/>
          <w:szCs w:val="16"/>
        </w:rPr>
      </w:pPr>
      <w:r w:rsidRPr="00F90EAE">
        <w:rPr>
          <w:color w:val="000000" w:themeColor="text1"/>
          <w:sz w:val="16"/>
          <w:szCs w:val="16"/>
        </w:rPr>
        <w:t>Сообщаю основные показатели работы завода за май месяц и за 5 месяцев 1945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7"/>
        <w:gridCol w:w="850"/>
        <w:gridCol w:w="851"/>
        <w:gridCol w:w="709"/>
        <w:gridCol w:w="1134"/>
        <w:gridCol w:w="850"/>
        <w:gridCol w:w="851"/>
        <w:gridCol w:w="1134"/>
      </w:tblGrid>
      <w:tr w:rsidR="00561F31" w:rsidRPr="00F90EAE" w14:paraId="235F9B72" w14:textId="77777777" w:rsidTr="004E29EA">
        <w:trPr>
          <w:tblCellSpacing w:w="0" w:type="dxa"/>
        </w:trPr>
        <w:tc>
          <w:tcPr>
            <w:tcW w:w="1977" w:type="dxa"/>
            <w:vMerge w:val="restart"/>
            <w:tcBorders>
              <w:top w:val="outset" w:sz="6" w:space="0" w:color="auto"/>
              <w:left w:val="outset" w:sz="6" w:space="0" w:color="auto"/>
              <w:bottom w:val="outset" w:sz="6" w:space="0" w:color="auto"/>
              <w:right w:val="outset" w:sz="6" w:space="0" w:color="auto"/>
            </w:tcBorders>
            <w:hideMark/>
          </w:tcPr>
          <w:p w14:paraId="72D36F22" w14:textId="77777777" w:rsidR="00B90038" w:rsidRPr="00F90EAE" w:rsidRDefault="00B90038" w:rsidP="00F90EAE">
            <w:pPr>
              <w:jc w:val="both"/>
              <w:rPr>
                <w:color w:val="000000" w:themeColor="text1"/>
                <w:sz w:val="16"/>
                <w:szCs w:val="16"/>
              </w:rPr>
            </w:pPr>
            <w:r w:rsidRPr="00F90EAE">
              <w:rPr>
                <w:color w:val="000000" w:themeColor="text1"/>
                <w:sz w:val="16"/>
                <w:szCs w:val="16"/>
              </w:rPr>
              <w:t>Основные показатели</w:t>
            </w:r>
          </w:p>
        </w:tc>
        <w:tc>
          <w:tcPr>
            <w:tcW w:w="850" w:type="dxa"/>
            <w:vMerge w:val="restart"/>
            <w:tcBorders>
              <w:top w:val="outset" w:sz="6" w:space="0" w:color="auto"/>
              <w:left w:val="outset" w:sz="6" w:space="0" w:color="auto"/>
              <w:bottom w:val="outset" w:sz="6" w:space="0" w:color="auto"/>
              <w:right w:val="outset" w:sz="6" w:space="0" w:color="auto"/>
            </w:tcBorders>
            <w:hideMark/>
          </w:tcPr>
          <w:p w14:paraId="345B64A9" w14:textId="77777777" w:rsidR="00B90038" w:rsidRPr="00F90EAE" w:rsidRDefault="00B90038" w:rsidP="00F90EAE">
            <w:pPr>
              <w:jc w:val="both"/>
              <w:rPr>
                <w:color w:val="000000" w:themeColor="text1"/>
                <w:sz w:val="16"/>
                <w:szCs w:val="16"/>
              </w:rPr>
            </w:pPr>
            <w:r w:rsidRPr="00F90EAE">
              <w:rPr>
                <w:color w:val="000000" w:themeColor="text1"/>
                <w:sz w:val="16"/>
                <w:szCs w:val="16"/>
              </w:rPr>
              <w:t>Ед. изм.</w:t>
            </w:r>
          </w:p>
        </w:tc>
        <w:tc>
          <w:tcPr>
            <w:tcW w:w="1560" w:type="dxa"/>
            <w:gridSpan w:val="2"/>
            <w:tcBorders>
              <w:top w:val="outset" w:sz="6" w:space="0" w:color="auto"/>
              <w:left w:val="outset" w:sz="6" w:space="0" w:color="auto"/>
              <w:bottom w:val="outset" w:sz="6" w:space="0" w:color="auto"/>
              <w:right w:val="outset" w:sz="6" w:space="0" w:color="auto"/>
            </w:tcBorders>
            <w:hideMark/>
          </w:tcPr>
          <w:p w14:paraId="3131843B" w14:textId="77777777" w:rsidR="00B90038" w:rsidRPr="00F90EAE" w:rsidRDefault="00B90038" w:rsidP="00F90EAE">
            <w:pPr>
              <w:jc w:val="both"/>
              <w:rPr>
                <w:color w:val="000000" w:themeColor="text1"/>
                <w:sz w:val="16"/>
                <w:szCs w:val="16"/>
              </w:rPr>
            </w:pPr>
            <w:r w:rsidRPr="00F90EAE">
              <w:rPr>
                <w:color w:val="000000" w:themeColor="text1"/>
                <w:sz w:val="16"/>
                <w:szCs w:val="16"/>
              </w:rPr>
              <w:t>май 1945 г.</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3AAA74B" w14:textId="77777777" w:rsidR="00B90038" w:rsidRPr="00F90EAE" w:rsidRDefault="00B90038" w:rsidP="00F90EAE">
            <w:pPr>
              <w:jc w:val="both"/>
              <w:rPr>
                <w:color w:val="000000" w:themeColor="text1"/>
                <w:sz w:val="16"/>
                <w:szCs w:val="16"/>
              </w:rPr>
            </w:pPr>
            <w:r w:rsidRPr="00F90EAE">
              <w:rPr>
                <w:color w:val="000000" w:themeColor="text1"/>
                <w:sz w:val="16"/>
                <w:szCs w:val="16"/>
              </w:rPr>
              <w:t>% вып.</w:t>
            </w:r>
          </w:p>
        </w:tc>
        <w:tc>
          <w:tcPr>
            <w:tcW w:w="1701" w:type="dxa"/>
            <w:gridSpan w:val="2"/>
            <w:tcBorders>
              <w:top w:val="outset" w:sz="6" w:space="0" w:color="auto"/>
              <w:left w:val="outset" w:sz="6" w:space="0" w:color="auto"/>
              <w:bottom w:val="outset" w:sz="6" w:space="0" w:color="auto"/>
              <w:right w:val="outset" w:sz="6" w:space="0" w:color="auto"/>
            </w:tcBorders>
            <w:hideMark/>
          </w:tcPr>
          <w:p w14:paraId="54E0DC9C" w14:textId="77777777" w:rsidR="00B90038" w:rsidRPr="00F90EAE" w:rsidRDefault="00B90038" w:rsidP="00F90EAE">
            <w:pPr>
              <w:jc w:val="both"/>
              <w:rPr>
                <w:color w:val="000000" w:themeColor="text1"/>
                <w:sz w:val="16"/>
                <w:szCs w:val="16"/>
              </w:rPr>
            </w:pPr>
            <w:r w:rsidRPr="00F90EAE">
              <w:rPr>
                <w:color w:val="000000" w:themeColor="text1"/>
                <w:sz w:val="16"/>
                <w:szCs w:val="16"/>
              </w:rPr>
              <w:t>за 5 месяцев</w:t>
            </w:r>
          </w:p>
        </w:tc>
        <w:tc>
          <w:tcPr>
            <w:tcW w:w="1134" w:type="dxa"/>
            <w:vMerge w:val="restart"/>
            <w:tcBorders>
              <w:top w:val="outset" w:sz="6" w:space="0" w:color="auto"/>
              <w:left w:val="outset" w:sz="6" w:space="0" w:color="auto"/>
              <w:bottom w:val="outset" w:sz="6" w:space="0" w:color="auto"/>
              <w:right w:val="outset" w:sz="6" w:space="0" w:color="auto"/>
            </w:tcBorders>
            <w:hideMark/>
          </w:tcPr>
          <w:p w14:paraId="517C29E2" w14:textId="77777777" w:rsidR="00B90038" w:rsidRPr="00F90EAE" w:rsidRDefault="00B90038" w:rsidP="00F90EAE">
            <w:pPr>
              <w:jc w:val="both"/>
              <w:rPr>
                <w:color w:val="000000" w:themeColor="text1"/>
                <w:sz w:val="16"/>
                <w:szCs w:val="16"/>
              </w:rPr>
            </w:pPr>
            <w:r w:rsidRPr="00F90EAE">
              <w:rPr>
                <w:color w:val="000000" w:themeColor="text1"/>
                <w:sz w:val="16"/>
                <w:szCs w:val="16"/>
              </w:rPr>
              <w:t>% выполнения</w:t>
            </w:r>
          </w:p>
        </w:tc>
      </w:tr>
      <w:tr w:rsidR="00561F31" w:rsidRPr="00F90EAE" w14:paraId="07EC14EC" w14:textId="77777777" w:rsidTr="004E29EA">
        <w:trPr>
          <w:tblCellSpacing w:w="0" w:type="dxa"/>
        </w:trPr>
        <w:tc>
          <w:tcPr>
            <w:tcW w:w="1977" w:type="dxa"/>
            <w:vMerge/>
            <w:tcBorders>
              <w:top w:val="outset" w:sz="6" w:space="0" w:color="auto"/>
              <w:left w:val="outset" w:sz="6" w:space="0" w:color="auto"/>
              <w:bottom w:val="outset" w:sz="6" w:space="0" w:color="auto"/>
              <w:right w:val="outset" w:sz="6" w:space="0" w:color="auto"/>
            </w:tcBorders>
            <w:vAlign w:val="center"/>
            <w:hideMark/>
          </w:tcPr>
          <w:p w14:paraId="25DB1DD0" w14:textId="77777777" w:rsidR="00B90038" w:rsidRPr="00F90EAE" w:rsidRDefault="00B90038" w:rsidP="00F90EAE">
            <w:pPr>
              <w:jc w:val="both"/>
              <w:rPr>
                <w:color w:val="000000" w:themeColor="text1"/>
                <w:sz w:val="16"/>
                <w:szCs w:val="16"/>
              </w:rPr>
            </w:pPr>
          </w:p>
        </w:tc>
        <w:tc>
          <w:tcPr>
            <w:tcW w:w="850" w:type="dxa"/>
            <w:vMerge/>
            <w:tcBorders>
              <w:top w:val="outset" w:sz="6" w:space="0" w:color="auto"/>
              <w:left w:val="outset" w:sz="6" w:space="0" w:color="auto"/>
              <w:bottom w:val="outset" w:sz="6" w:space="0" w:color="auto"/>
              <w:right w:val="outset" w:sz="6" w:space="0" w:color="auto"/>
            </w:tcBorders>
            <w:vAlign w:val="center"/>
            <w:hideMark/>
          </w:tcPr>
          <w:p w14:paraId="62136D48" w14:textId="77777777" w:rsidR="00B90038" w:rsidRPr="00F90EAE" w:rsidRDefault="00B90038" w:rsidP="00F90EAE">
            <w:pPr>
              <w:jc w:val="both"/>
              <w:rPr>
                <w:color w:val="000000" w:themeColor="text1"/>
                <w:sz w:val="16"/>
                <w:szCs w:val="16"/>
              </w:rPr>
            </w:pPr>
          </w:p>
        </w:tc>
        <w:tc>
          <w:tcPr>
            <w:tcW w:w="851" w:type="dxa"/>
            <w:tcBorders>
              <w:top w:val="outset" w:sz="6" w:space="0" w:color="auto"/>
              <w:left w:val="outset" w:sz="6" w:space="0" w:color="auto"/>
              <w:bottom w:val="outset" w:sz="6" w:space="0" w:color="auto"/>
              <w:right w:val="outset" w:sz="6" w:space="0" w:color="auto"/>
            </w:tcBorders>
            <w:hideMark/>
          </w:tcPr>
          <w:p w14:paraId="1E545041" w14:textId="77777777" w:rsidR="00B90038" w:rsidRPr="00F90EAE" w:rsidRDefault="00B90038" w:rsidP="00F90EAE">
            <w:pPr>
              <w:jc w:val="both"/>
              <w:rPr>
                <w:color w:val="000000" w:themeColor="text1"/>
                <w:sz w:val="16"/>
                <w:szCs w:val="16"/>
              </w:rPr>
            </w:pPr>
            <w:r w:rsidRPr="00F90EAE">
              <w:rPr>
                <w:color w:val="000000" w:themeColor="text1"/>
                <w:sz w:val="16"/>
                <w:szCs w:val="16"/>
              </w:rPr>
              <w:t>план</w:t>
            </w:r>
          </w:p>
        </w:tc>
        <w:tc>
          <w:tcPr>
            <w:tcW w:w="709" w:type="dxa"/>
            <w:tcBorders>
              <w:top w:val="outset" w:sz="6" w:space="0" w:color="auto"/>
              <w:left w:val="outset" w:sz="6" w:space="0" w:color="auto"/>
              <w:bottom w:val="outset" w:sz="6" w:space="0" w:color="auto"/>
              <w:right w:val="outset" w:sz="6" w:space="0" w:color="auto"/>
            </w:tcBorders>
            <w:hideMark/>
          </w:tcPr>
          <w:p w14:paraId="23979313" w14:textId="77777777" w:rsidR="00B90038" w:rsidRPr="00F90EAE" w:rsidRDefault="00B90038" w:rsidP="00F90EAE">
            <w:pPr>
              <w:jc w:val="both"/>
              <w:rPr>
                <w:color w:val="000000" w:themeColor="text1"/>
                <w:sz w:val="16"/>
                <w:szCs w:val="16"/>
              </w:rPr>
            </w:pPr>
            <w:r w:rsidRPr="00F90EAE">
              <w:rPr>
                <w:color w:val="000000" w:themeColor="text1"/>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08F201FE" w14:textId="77777777" w:rsidR="00B90038" w:rsidRPr="00F90EAE" w:rsidRDefault="00B90038" w:rsidP="00F90EAE">
            <w:pPr>
              <w:jc w:val="both"/>
              <w:rPr>
                <w:color w:val="000000" w:themeColor="text1"/>
                <w:sz w:val="16"/>
                <w:szCs w:val="16"/>
              </w:rPr>
            </w:pPr>
          </w:p>
        </w:tc>
        <w:tc>
          <w:tcPr>
            <w:tcW w:w="850" w:type="dxa"/>
            <w:tcBorders>
              <w:top w:val="outset" w:sz="6" w:space="0" w:color="auto"/>
              <w:left w:val="outset" w:sz="6" w:space="0" w:color="auto"/>
              <w:bottom w:val="outset" w:sz="6" w:space="0" w:color="auto"/>
              <w:right w:val="outset" w:sz="6" w:space="0" w:color="auto"/>
            </w:tcBorders>
            <w:hideMark/>
          </w:tcPr>
          <w:p w14:paraId="474328B1" w14:textId="77777777" w:rsidR="00B90038" w:rsidRPr="00F90EAE" w:rsidRDefault="00B90038" w:rsidP="00F90EAE">
            <w:pPr>
              <w:jc w:val="both"/>
              <w:rPr>
                <w:color w:val="000000" w:themeColor="text1"/>
                <w:sz w:val="16"/>
                <w:szCs w:val="16"/>
              </w:rPr>
            </w:pPr>
            <w:r w:rsidRPr="00F90EAE">
              <w:rPr>
                <w:color w:val="000000" w:themeColor="text1"/>
                <w:sz w:val="16"/>
                <w:szCs w:val="16"/>
              </w:rPr>
              <w:t>план</w:t>
            </w:r>
          </w:p>
        </w:tc>
        <w:tc>
          <w:tcPr>
            <w:tcW w:w="851" w:type="dxa"/>
            <w:tcBorders>
              <w:top w:val="outset" w:sz="6" w:space="0" w:color="auto"/>
              <w:left w:val="outset" w:sz="6" w:space="0" w:color="auto"/>
              <w:bottom w:val="outset" w:sz="6" w:space="0" w:color="auto"/>
              <w:right w:val="outset" w:sz="6" w:space="0" w:color="auto"/>
            </w:tcBorders>
            <w:hideMark/>
          </w:tcPr>
          <w:p w14:paraId="767CE9B6" w14:textId="77777777" w:rsidR="00B90038" w:rsidRPr="00F90EAE" w:rsidRDefault="00B90038" w:rsidP="00F90EAE">
            <w:pPr>
              <w:jc w:val="both"/>
              <w:rPr>
                <w:color w:val="000000" w:themeColor="text1"/>
                <w:sz w:val="16"/>
                <w:szCs w:val="16"/>
              </w:rPr>
            </w:pPr>
            <w:r w:rsidRPr="00F90EAE">
              <w:rPr>
                <w:color w:val="000000" w:themeColor="text1"/>
                <w:sz w:val="16"/>
                <w:szCs w:val="16"/>
              </w:rPr>
              <w:t>факт.</w:t>
            </w:r>
          </w:p>
        </w:tc>
        <w:tc>
          <w:tcPr>
            <w:tcW w:w="1134" w:type="dxa"/>
            <w:vMerge/>
            <w:tcBorders>
              <w:top w:val="outset" w:sz="6" w:space="0" w:color="auto"/>
              <w:left w:val="outset" w:sz="6" w:space="0" w:color="auto"/>
              <w:bottom w:val="outset" w:sz="6" w:space="0" w:color="auto"/>
              <w:right w:val="outset" w:sz="6" w:space="0" w:color="auto"/>
            </w:tcBorders>
            <w:vAlign w:val="center"/>
            <w:hideMark/>
          </w:tcPr>
          <w:p w14:paraId="311EDC09" w14:textId="77777777" w:rsidR="00B90038" w:rsidRPr="00F90EAE" w:rsidRDefault="00B90038" w:rsidP="00F90EAE">
            <w:pPr>
              <w:jc w:val="both"/>
              <w:rPr>
                <w:color w:val="000000" w:themeColor="text1"/>
                <w:sz w:val="16"/>
                <w:szCs w:val="16"/>
              </w:rPr>
            </w:pPr>
          </w:p>
        </w:tc>
      </w:tr>
      <w:tr w:rsidR="00561F31" w:rsidRPr="00F90EAE" w14:paraId="195184B2"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06EB5870" w14:textId="77777777" w:rsidR="00B90038" w:rsidRPr="00F90EAE" w:rsidRDefault="00B90038" w:rsidP="00F90EAE">
            <w:pPr>
              <w:jc w:val="both"/>
              <w:rPr>
                <w:color w:val="000000" w:themeColor="text1"/>
                <w:sz w:val="16"/>
                <w:szCs w:val="16"/>
              </w:rPr>
            </w:pPr>
            <w:r w:rsidRPr="00F90EAE">
              <w:rPr>
                <w:color w:val="000000" w:themeColor="text1"/>
                <w:sz w:val="16"/>
                <w:szCs w:val="16"/>
              </w:rPr>
              <w:t>Моторы</w:t>
            </w:r>
          </w:p>
        </w:tc>
        <w:tc>
          <w:tcPr>
            <w:tcW w:w="850" w:type="dxa"/>
            <w:tcBorders>
              <w:top w:val="outset" w:sz="6" w:space="0" w:color="auto"/>
              <w:left w:val="outset" w:sz="6" w:space="0" w:color="auto"/>
              <w:bottom w:val="outset" w:sz="6" w:space="0" w:color="auto"/>
              <w:right w:val="outset" w:sz="6" w:space="0" w:color="auto"/>
            </w:tcBorders>
            <w:hideMark/>
          </w:tcPr>
          <w:p w14:paraId="0DAC64BB" w14:textId="77777777" w:rsidR="00B90038" w:rsidRPr="00F90EAE" w:rsidRDefault="00B90038" w:rsidP="00F90EAE">
            <w:pPr>
              <w:jc w:val="both"/>
              <w:rPr>
                <w:color w:val="000000" w:themeColor="text1"/>
                <w:sz w:val="16"/>
                <w:szCs w:val="16"/>
              </w:rPr>
            </w:pPr>
            <w:r w:rsidRPr="00F90EAE">
              <w:rPr>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29A11B93" w14:textId="77777777" w:rsidR="00B90038" w:rsidRPr="00F90EAE" w:rsidRDefault="00B90038" w:rsidP="00F90EAE">
            <w:pPr>
              <w:jc w:val="both"/>
              <w:rPr>
                <w:color w:val="000000" w:themeColor="text1"/>
                <w:sz w:val="16"/>
                <w:szCs w:val="16"/>
              </w:rPr>
            </w:pPr>
            <w:r w:rsidRPr="00F90EAE">
              <w:rPr>
                <w:color w:val="000000" w:themeColor="text1"/>
                <w:sz w:val="16"/>
                <w:szCs w:val="16"/>
              </w:rPr>
              <w:t>456</w:t>
            </w:r>
          </w:p>
        </w:tc>
        <w:tc>
          <w:tcPr>
            <w:tcW w:w="709" w:type="dxa"/>
            <w:tcBorders>
              <w:top w:val="outset" w:sz="6" w:space="0" w:color="auto"/>
              <w:left w:val="outset" w:sz="6" w:space="0" w:color="auto"/>
              <w:bottom w:val="outset" w:sz="6" w:space="0" w:color="auto"/>
              <w:right w:val="outset" w:sz="6" w:space="0" w:color="auto"/>
            </w:tcBorders>
            <w:hideMark/>
          </w:tcPr>
          <w:p w14:paraId="24AB8E60" w14:textId="77777777" w:rsidR="00B90038" w:rsidRPr="00F90EAE" w:rsidRDefault="00B90038" w:rsidP="00F90EAE">
            <w:pPr>
              <w:jc w:val="both"/>
              <w:rPr>
                <w:color w:val="000000" w:themeColor="text1"/>
                <w:sz w:val="16"/>
                <w:szCs w:val="16"/>
              </w:rPr>
            </w:pPr>
            <w:r w:rsidRPr="00F90EAE">
              <w:rPr>
                <w:color w:val="000000" w:themeColor="text1"/>
                <w:sz w:val="16"/>
                <w:szCs w:val="16"/>
              </w:rPr>
              <w:t>480</w:t>
            </w:r>
          </w:p>
        </w:tc>
        <w:tc>
          <w:tcPr>
            <w:tcW w:w="1134" w:type="dxa"/>
            <w:tcBorders>
              <w:top w:val="outset" w:sz="6" w:space="0" w:color="auto"/>
              <w:left w:val="outset" w:sz="6" w:space="0" w:color="auto"/>
              <w:bottom w:val="outset" w:sz="6" w:space="0" w:color="auto"/>
              <w:right w:val="outset" w:sz="6" w:space="0" w:color="auto"/>
            </w:tcBorders>
            <w:hideMark/>
          </w:tcPr>
          <w:p w14:paraId="6481C6A6" w14:textId="77777777" w:rsidR="00B90038" w:rsidRPr="00F90EAE" w:rsidRDefault="00B90038" w:rsidP="00F90EAE">
            <w:pPr>
              <w:jc w:val="both"/>
              <w:rPr>
                <w:color w:val="000000" w:themeColor="text1"/>
                <w:sz w:val="16"/>
                <w:szCs w:val="16"/>
              </w:rPr>
            </w:pPr>
            <w:r w:rsidRPr="00F90EAE">
              <w:rPr>
                <w:color w:val="000000" w:themeColor="text1"/>
                <w:sz w:val="16"/>
                <w:szCs w:val="16"/>
              </w:rPr>
              <w:t>105,3</w:t>
            </w:r>
          </w:p>
        </w:tc>
        <w:tc>
          <w:tcPr>
            <w:tcW w:w="850" w:type="dxa"/>
            <w:tcBorders>
              <w:top w:val="outset" w:sz="6" w:space="0" w:color="auto"/>
              <w:left w:val="outset" w:sz="6" w:space="0" w:color="auto"/>
              <w:bottom w:val="outset" w:sz="6" w:space="0" w:color="auto"/>
              <w:right w:val="outset" w:sz="6" w:space="0" w:color="auto"/>
            </w:tcBorders>
            <w:hideMark/>
          </w:tcPr>
          <w:p w14:paraId="61AEBCF9" w14:textId="77777777" w:rsidR="00B90038" w:rsidRPr="00F90EAE" w:rsidRDefault="00B90038" w:rsidP="00F90EAE">
            <w:pPr>
              <w:jc w:val="both"/>
              <w:rPr>
                <w:color w:val="000000" w:themeColor="text1"/>
                <w:sz w:val="16"/>
                <w:szCs w:val="16"/>
              </w:rPr>
            </w:pPr>
            <w:r w:rsidRPr="00F90EAE">
              <w:rPr>
                <w:color w:val="000000" w:themeColor="text1"/>
                <w:sz w:val="16"/>
                <w:szCs w:val="16"/>
              </w:rPr>
              <w:t>2284</w:t>
            </w:r>
          </w:p>
        </w:tc>
        <w:tc>
          <w:tcPr>
            <w:tcW w:w="851" w:type="dxa"/>
            <w:tcBorders>
              <w:top w:val="outset" w:sz="6" w:space="0" w:color="auto"/>
              <w:left w:val="outset" w:sz="6" w:space="0" w:color="auto"/>
              <w:bottom w:val="outset" w:sz="6" w:space="0" w:color="auto"/>
              <w:right w:val="outset" w:sz="6" w:space="0" w:color="auto"/>
            </w:tcBorders>
            <w:hideMark/>
          </w:tcPr>
          <w:p w14:paraId="0794812A" w14:textId="77777777" w:rsidR="00B90038" w:rsidRPr="00F90EAE" w:rsidRDefault="00B90038" w:rsidP="00F90EAE">
            <w:pPr>
              <w:jc w:val="both"/>
              <w:rPr>
                <w:color w:val="000000" w:themeColor="text1"/>
                <w:sz w:val="16"/>
                <w:szCs w:val="16"/>
              </w:rPr>
            </w:pPr>
            <w:r w:rsidRPr="00F90EAE">
              <w:rPr>
                <w:color w:val="000000" w:themeColor="text1"/>
                <w:sz w:val="16"/>
                <w:szCs w:val="16"/>
              </w:rPr>
              <w:t>2408</w:t>
            </w:r>
          </w:p>
        </w:tc>
        <w:tc>
          <w:tcPr>
            <w:tcW w:w="1134" w:type="dxa"/>
            <w:tcBorders>
              <w:top w:val="outset" w:sz="6" w:space="0" w:color="auto"/>
              <w:left w:val="outset" w:sz="6" w:space="0" w:color="auto"/>
              <w:bottom w:val="outset" w:sz="6" w:space="0" w:color="auto"/>
              <w:right w:val="outset" w:sz="6" w:space="0" w:color="auto"/>
            </w:tcBorders>
            <w:hideMark/>
          </w:tcPr>
          <w:p w14:paraId="672BE087" w14:textId="77777777" w:rsidR="00B90038" w:rsidRPr="00F90EAE" w:rsidRDefault="00B90038" w:rsidP="00F90EAE">
            <w:pPr>
              <w:jc w:val="both"/>
              <w:rPr>
                <w:color w:val="000000" w:themeColor="text1"/>
                <w:sz w:val="16"/>
                <w:szCs w:val="16"/>
              </w:rPr>
            </w:pPr>
            <w:r w:rsidRPr="00F90EAE">
              <w:rPr>
                <w:color w:val="000000" w:themeColor="text1"/>
                <w:sz w:val="16"/>
                <w:szCs w:val="16"/>
              </w:rPr>
              <w:t>105,4</w:t>
            </w:r>
          </w:p>
        </w:tc>
      </w:tr>
      <w:tr w:rsidR="00561F31" w:rsidRPr="00F90EAE" w14:paraId="77AA1F56" w14:textId="77777777" w:rsidTr="004E29EA">
        <w:trPr>
          <w:tblCellSpacing w:w="0" w:type="dxa"/>
        </w:trPr>
        <w:tc>
          <w:tcPr>
            <w:tcW w:w="1977" w:type="dxa"/>
            <w:tcBorders>
              <w:top w:val="outset" w:sz="6" w:space="0" w:color="auto"/>
              <w:left w:val="outset" w:sz="6" w:space="0" w:color="auto"/>
              <w:bottom w:val="outset" w:sz="6" w:space="0" w:color="auto"/>
              <w:right w:val="outset" w:sz="6" w:space="0" w:color="auto"/>
            </w:tcBorders>
            <w:hideMark/>
          </w:tcPr>
          <w:p w14:paraId="675C587C" w14:textId="77777777" w:rsidR="00B90038" w:rsidRPr="00F90EAE" w:rsidRDefault="00B90038" w:rsidP="00F90EAE">
            <w:pPr>
              <w:jc w:val="both"/>
              <w:rPr>
                <w:color w:val="000000" w:themeColor="text1"/>
                <w:sz w:val="16"/>
                <w:szCs w:val="16"/>
              </w:rPr>
            </w:pPr>
            <w:r w:rsidRPr="00F90EAE">
              <w:rPr>
                <w:color w:val="000000" w:themeColor="text1"/>
                <w:sz w:val="16"/>
                <w:szCs w:val="16"/>
              </w:rPr>
              <w:t>Групповые комплекты</w:t>
            </w:r>
          </w:p>
        </w:tc>
        <w:tc>
          <w:tcPr>
            <w:tcW w:w="850" w:type="dxa"/>
            <w:tcBorders>
              <w:top w:val="outset" w:sz="6" w:space="0" w:color="auto"/>
              <w:left w:val="outset" w:sz="6" w:space="0" w:color="auto"/>
              <w:bottom w:val="outset" w:sz="6" w:space="0" w:color="auto"/>
              <w:right w:val="outset" w:sz="6" w:space="0" w:color="auto"/>
            </w:tcBorders>
            <w:hideMark/>
          </w:tcPr>
          <w:p w14:paraId="5CBB733F" w14:textId="77777777" w:rsidR="00B90038" w:rsidRPr="00F90EAE" w:rsidRDefault="00B90038" w:rsidP="00F90EAE">
            <w:pPr>
              <w:jc w:val="both"/>
              <w:rPr>
                <w:color w:val="000000" w:themeColor="text1"/>
                <w:sz w:val="16"/>
                <w:szCs w:val="16"/>
              </w:rPr>
            </w:pPr>
            <w:r w:rsidRPr="00F90EAE">
              <w:rPr>
                <w:color w:val="000000" w:themeColor="text1"/>
                <w:sz w:val="16"/>
                <w:szCs w:val="16"/>
              </w:rPr>
              <w:t>шт.</w:t>
            </w:r>
          </w:p>
        </w:tc>
        <w:tc>
          <w:tcPr>
            <w:tcW w:w="851" w:type="dxa"/>
            <w:tcBorders>
              <w:top w:val="outset" w:sz="6" w:space="0" w:color="auto"/>
              <w:left w:val="outset" w:sz="6" w:space="0" w:color="auto"/>
              <w:bottom w:val="outset" w:sz="6" w:space="0" w:color="auto"/>
              <w:right w:val="outset" w:sz="6" w:space="0" w:color="auto"/>
            </w:tcBorders>
            <w:hideMark/>
          </w:tcPr>
          <w:p w14:paraId="1E412ECD" w14:textId="77777777" w:rsidR="00B90038" w:rsidRPr="00F90EAE" w:rsidRDefault="00B90038" w:rsidP="00F90EAE">
            <w:pPr>
              <w:jc w:val="both"/>
              <w:rPr>
                <w:color w:val="000000" w:themeColor="text1"/>
                <w:sz w:val="16"/>
                <w:szCs w:val="16"/>
              </w:rPr>
            </w:pPr>
            <w:r w:rsidRPr="00F90EAE">
              <w:rPr>
                <w:color w:val="000000" w:themeColor="text1"/>
                <w:sz w:val="16"/>
                <w:szCs w:val="16"/>
              </w:rPr>
              <w:t>48</w:t>
            </w:r>
          </w:p>
        </w:tc>
        <w:tc>
          <w:tcPr>
            <w:tcW w:w="709" w:type="dxa"/>
            <w:tcBorders>
              <w:top w:val="outset" w:sz="6" w:space="0" w:color="auto"/>
              <w:left w:val="outset" w:sz="6" w:space="0" w:color="auto"/>
              <w:bottom w:val="outset" w:sz="6" w:space="0" w:color="auto"/>
              <w:right w:val="outset" w:sz="6" w:space="0" w:color="auto"/>
            </w:tcBorders>
            <w:hideMark/>
          </w:tcPr>
          <w:p w14:paraId="45AD2C10" w14:textId="77777777" w:rsidR="00B90038" w:rsidRPr="00F90EAE" w:rsidRDefault="00B90038" w:rsidP="00F90EAE">
            <w:pPr>
              <w:jc w:val="both"/>
              <w:rPr>
                <w:color w:val="000000" w:themeColor="text1"/>
                <w:sz w:val="16"/>
                <w:szCs w:val="16"/>
              </w:rPr>
            </w:pPr>
            <w:r w:rsidRPr="00F90EAE">
              <w:rPr>
                <w:color w:val="000000" w:themeColor="text1"/>
                <w:sz w:val="16"/>
                <w:szCs w:val="16"/>
              </w:rPr>
              <w:t>48</w:t>
            </w:r>
          </w:p>
        </w:tc>
        <w:tc>
          <w:tcPr>
            <w:tcW w:w="1134" w:type="dxa"/>
            <w:tcBorders>
              <w:top w:val="outset" w:sz="6" w:space="0" w:color="auto"/>
              <w:left w:val="outset" w:sz="6" w:space="0" w:color="auto"/>
              <w:bottom w:val="outset" w:sz="6" w:space="0" w:color="auto"/>
              <w:right w:val="outset" w:sz="6" w:space="0" w:color="auto"/>
            </w:tcBorders>
            <w:hideMark/>
          </w:tcPr>
          <w:p w14:paraId="1F80477E" w14:textId="77777777" w:rsidR="00B90038" w:rsidRPr="00F90EAE" w:rsidRDefault="00B90038" w:rsidP="00F90EAE">
            <w:pPr>
              <w:jc w:val="both"/>
              <w:rPr>
                <w:color w:val="000000" w:themeColor="text1"/>
                <w:sz w:val="16"/>
                <w:szCs w:val="16"/>
              </w:rPr>
            </w:pPr>
            <w:r w:rsidRPr="00F90EAE">
              <w:rPr>
                <w:color w:val="000000" w:themeColor="text1"/>
                <w:sz w:val="16"/>
                <w:szCs w:val="16"/>
              </w:rPr>
              <w:t>100,0</w:t>
            </w:r>
          </w:p>
        </w:tc>
        <w:tc>
          <w:tcPr>
            <w:tcW w:w="850" w:type="dxa"/>
            <w:tcBorders>
              <w:top w:val="outset" w:sz="6" w:space="0" w:color="auto"/>
              <w:left w:val="outset" w:sz="6" w:space="0" w:color="auto"/>
              <w:bottom w:val="outset" w:sz="6" w:space="0" w:color="auto"/>
              <w:right w:val="outset" w:sz="6" w:space="0" w:color="auto"/>
            </w:tcBorders>
            <w:hideMark/>
          </w:tcPr>
          <w:p w14:paraId="174372E9" w14:textId="77777777" w:rsidR="00B90038" w:rsidRPr="00F90EAE" w:rsidRDefault="00B90038" w:rsidP="00F90EAE">
            <w:pPr>
              <w:jc w:val="both"/>
              <w:rPr>
                <w:color w:val="000000" w:themeColor="text1"/>
                <w:sz w:val="16"/>
                <w:szCs w:val="16"/>
              </w:rPr>
            </w:pPr>
            <w:r w:rsidRPr="00F90EAE">
              <w:rPr>
                <w:color w:val="000000" w:themeColor="text1"/>
                <w:sz w:val="16"/>
                <w:szCs w:val="16"/>
              </w:rPr>
              <w:t>231</w:t>
            </w:r>
          </w:p>
        </w:tc>
        <w:tc>
          <w:tcPr>
            <w:tcW w:w="851" w:type="dxa"/>
            <w:tcBorders>
              <w:top w:val="outset" w:sz="6" w:space="0" w:color="auto"/>
              <w:left w:val="outset" w:sz="6" w:space="0" w:color="auto"/>
              <w:bottom w:val="outset" w:sz="6" w:space="0" w:color="auto"/>
              <w:right w:val="outset" w:sz="6" w:space="0" w:color="auto"/>
            </w:tcBorders>
            <w:hideMark/>
          </w:tcPr>
          <w:p w14:paraId="119C08B9" w14:textId="77777777" w:rsidR="00B90038" w:rsidRPr="00F90EAE" w:rsidRDefault="00B90038" w:rsidP="00F90EAE">
            <w:pPr>
              <w:jc w:val="both"/>
              <w:rPr>
                <w:color w:val="000000" w:themeColor="text1"/>
                <w:sz w:val="16"/>
                <w:szCs w:val="16"/>
              </w:rPr>
            </w:pPr>
            <w:r w:rsidRPr="00F90EAE">
              <w:rPr>
                <w:color w:val="000000" w:themeColor="text1"/>
                <w:sz w:val="16"/>
                <w:szCs w:val="16"/>
              </w:rPr>
              <w:t>248</w:t>
            </w:r>
          </w:p>
        </w:tc>
        <w:tc>
          <w:tcPr>
            <w:tcW w:w="1134" w:type="dxa"/>
            <w:tcBorders>
              <w:top w:val="outset" w:sz="6" w:space="0" w:color="auto"/>
              <w:left w:val="outset" w:sz="6" w:space="0" w:color="auto"/>
              <w:bottom w:val="outset" w:sz="6" w:space="0" w:color="auto"/>
              <w:right w:val="outset" w:sz="6" w:space="0" w:color="auto"/>
            </w:tcBorders>
            <w:hideMark/>
          </w:tcPr>
          <w:p w14:paraId="2A075DE7" w14:textId="77777777" w:rsidR="00B90038" w:rsidRPr="00F90EAE" w:rsidRDefault="00B90038" w:rsidP="00F90EAE">
            <w:pPr>
              <w:jc w:val="both"/>
              <w:rPr>
                <w:color w:val="000000" w:themeColor="text1"/>
                <w:sz w:val="16"/>
                <w:szCs w:val="16"/>
              </w:rPr>
            </w:pPr>
            <w:r w:rsidRPr="00F90EAE">
              <w:rPr>
                <w:color w:val="000000" w:themeColor="text1"/>
                <w:sz w:val="16"/>
                <w:szCs w:val="16"/>
              </w:rPr>
              <w:t>107,4[…]</w:t>
            </w:r>
            <w:hyperlink r:id="rId151" w:anchor="_ftn1" w:history="1">
              <w:r w:rsidRPr="00F90EAE">
                <w:rPr>
                  <w:color w:val="000000" w:themeColor="text1"/>
                  <w:sz w:val="16"/>
                  <w:szCs w:val="16"/>
                </w:rPr>
                <w:t>[1]</w:t>
              </w:r>
            </w:hyperlink>
          </w:p>
        </w:tc>
      </w:tr>
    </w:tbl>
    <w:p w14:paraId="54811DD4" w14:textId="77777777" w:rsidR="00B90038" w:rsidRPr="00F90EAE" w:rsidRDefault="00B90038" w:rsidP="00F90EAE">
      <w:pPr>
        <w:jc w:val="both"/>
        <w:rPr>
          <w:color w:val="000000" w:themeColor="text1"/>
          <w:sz w:val="16"/>
          <w:szCs w:val="16"/>
        </w:rPr>
      </w:pPr>
      <w:r w:rsidRPr="00F90EAE">
        <w:rPr>
          <w:color w:val="000000" w:themeColor="text1"/>
          <w:sz w:val="16"/>
          <w:szCs w:val="16"/>
        </w:rPr>
        <w:t>Директор завода № 16 Лукин</w:t>
      </w:r>
    </w:p>
    <w:p w14:paraId="786223F5" w14:textId="77777777" w:rsidR="00B90038" w:rsidRPr="00F90EAE" w:rsidRDefault="00B90038" w:rsidP="00F90EAE">
      <w:pPr>
        <w:jc w:val="both"/>
        <w:rPr>
          <w:color w:val="000000" w:themeColor="text1"/>
          <w:sz w:val="16"/>
          <w:szCs w:val="16"/>
        </w:rPr>
      </w:pPr>
      <w:r w:rsidRPr="00F90EAE">
        <w:rPr>
          <w:color w:val="000000" w:themeColor="text1"/>
          <w:sz w:val="16"/>
          <w:szCs w:val="16"/>
        </w:rPr>
        <w:t>Начальник планового отдела Снимщикова</w:t>
      </w:r>
    </w:p>
    <w:p w14:paraId="680A54F4" w14:textId="77777777" w:rsidR="00B90038" w:rsidRPr="00F90EAE" w:rsidRDefault="00B90038" w:rsidP="00F90EAE">
      <w:pPr>
        <w:jc w:val="both"/>
        <w:rPr>
          <w:color w:val="000000" w:themeColor="text1"/>
          <w:sz w:val="16"/>
          <w:szCs w:val="16"/>
        </w:rPr>
      </w:pPr>
      <w:r w:rsidRPr="00F90EAE">
        <w:rPr>
          <w:color w:val="000000" w:themeColor="text1"/>
          <w:sz w:val="16"/>
          <w:szCs w:val="16"/>
        </w:rPr>
        <w:t>НА РТ. Ф. Р-5940. Оп. 1. Д. 183. Л. 31-32. Отпуск (15494).</w:t>
      </w:r>
    </w:p>
    <w:p w14:paraId="6F6A04A8" w14:textId="77777777" w:rsidR="00B90038" w:rsidRPr="00F90EAE" w:rsidRDefault="00B90038" w:rsidP="00F90EAE">
      <w:pPr>
        <w:jc w:val="both"/>
        <w:rPr>
          <w:color w:val="000000" w:themeColor="text1"/>
          <w:sz w:val="16"/>
          <w:szCs w:val="16"/>
        </w:rPr>
      </w:pPr>
    </w:p>
    <w:p w14:paraId="51419013"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B410A3C" w14:textId="77777777" w:rsidR="006103B3" w:rsidRPr="00F90EAE" w:rsidRDefault="006103B3" w:rsidP="00F90EAE">
      <w:pPr>
        <w:autoSpaceDE w:val="0"/>
        <w:autoSpaceDN w:val="0"/>
        <w:adjustRightInd w:val="0"/>
        <w:jc w:val="both"/>
        <w:rPr>
          <w:iCs/>
          <w:color w:val="000000" w:themeColor="text1"/>
          <w:sz w:val="16"/>
          <w:szCs w:val="16"/>
        </w:rPr>
      </w:pPr>
    </w:p>
    <w:p w14:paraId="693277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 июня 1945 г. фирма «Баджер» сообщает зам. наркома нефтяной промышленности Чекрыжеву, что воздушные фильтры для турбокомпрессоров «Гудри», а также масло для фильтров были отправлены двумя пароходами и «Отдел Снабжения Американской Военной Миссии сообщил им, что грузы с парохода «Жорж Вимс» уже приняты, а пароход «Ф.Т. Фрелингхьюсен» прибыл в Мурманск» (11475).</w:t>
      </w:r>
    </w:p>
    <w:p w14:paraId="5029571F" w14:textId="77777777" w:rsidR="006103B3" w:rsidRPr="00F90EAE" w:rsidRDefault="006103B3" w:rsidP="00F90EAE">
      <w:pPr>
        <w:autoSpaceDE w:val="0"/>
        <w:autoSpaceDN w:val="0"/>
        <w:adjustRightInd w:val="0"/>
        <w:jc w:val="both"/>
        <w:rPr>
          <w:color w:val="000000" w:themeColor="text1"/>
          <w:sz w:val="16"/>
          <w:szCs w:val="16"/>
        </w:rPr>
      </w:pPr>
    </w:p>
    <w:p w14:paraId="5D000D9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6161EB6" w14:textId="77777777" w:rsidR="006103B3" w:rsidRPr="00F90EAE" w:rsidRDefault="006103B3" w:rsidP="00F90EAE">
      <w:pPr>
        <w:autoSpaceDE w:val="0"/>
        <w:autoSpaceDN w:val="0"/>
        <w:adjustRightInd w:val="0"/>
        <w:jc w:val="both"/>
        <w:rPr>
          <w:iCs/>
          <w:color w:val="000000" w:themeColor="text1"/>
          <w:sz w:val="16"/>
          <w:szCs w:val="16"/>
        </w:rPr>
      </w:pPr>
    </w:p>
    <w:p w14:paraId="79A5298B"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18 июня 1945 французский авиаполк “Нормандия-Неман” вылетел из СССР во Францию на подаренных советским правительством самолетах (4962).</w:t>
      </w:r>
    </w:p>
    <w:p w14:paraId="5037BC3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53D9562" w14:textId="77777777" w:rsidR="00697AC7" w:rsidRPr="00F90EAE" w:rsidRDefault="00697AC7" w:rsidP="00F90EAE">
      <w:pPr>
        <w:autoSpaceDE w:val="0"/>
        <w:autoSpaceDN w:val="0"/>
        <w:adjustRightInd w:val="0"/>
        <w:jc w:val="both"/>
        <w:rPr>
          <w:color w:val="000000" w:themeColor="text1"/>
          <w:sz w:val="16"/>
          <w:szCs w:val="16"/>
        </w:rPr>
      </w:pPr>
      <w:r w:rsidRPr="00F90EAE">
        <w:rPr>
          <w:color w:val="000000" w:themeColor="text1"/>
          <w:sz w:val="16"/>
          <w:szCs w:val="16"/>
        </w:rPr>
        <w:t>18 или 19 июня (1945)</w:t>
      </w:r>
      <w:r w:rsidRPr="00F90EAE">
        <w:rPr>
          <w:bCs/>
          <w:color w:val="000000" w:themeColor="text1"/>
          <w:sz w:val="16"/>
          <w:szCs w:val="16"/>
        </w:rPr>
        <w:t xml:space="preserve"> И.В.С. вызвал к себе на дачу Жукова и, уточнив, не разучился ли тот ездить верхом, сказал, что Жуков будет принимать, а Рокоссовский командовать парадом. При этом Сталин не счел нужным рассказывать, что он попробовал проехать верхом на коне, но был сброшен на опилки манежа и сильно ушиб руку(17459).</w:t>
      </w:r>
    </w:p>
    <w:p w14:paraId="26987192" w14:textId="77777777" w:rsidR="00697AC7" w:rsidRPr="00F90EAE" w:rsidRDefault="00697AC7" w:rsidP="00F90EAE">
      <w:pPr>
        <w:autoSpaceDE w:val="0"/>
        <w:autoSpaceDN w:val="0"/>
        <w:adjustRightInd w:val="0"/>
        <w:jc w:val="both"/>
        <w:rPr>
          <w:color w:val="000000" w:themeColor="text1"/>
          <w:sz w:val="16"/>
          <w:szCs w:val="16"/>
        </w:rPr>
      </w:pPr>
    </w:p>
    <w:p w14:paraId="4149C4E2" w14:textId="77777777" w:rsidR="00697AC7" w:rsidRPr="00F90EAE" w:rsidRDefault="00697AC7" w:rsidP="00F90EAE">
      <w:pPr>
        <w:autoSpaceDE w:val="0"/>
        <w:autoSpaceDN w:val="0"/>
        <w:adjustRightInd w:val="0"/>
        <w:jc w:val="both"/>
        <w:rPr>
          <w:iCs/>
          <w:color w:val="000000" w:themeColor="text1"/>
          <w:sz w:val="16"/>
          <w:szCs w:val="16"/>
        </w:rPr>
      </w:pPr>
      <w:r w:rsidRPr="00F90EAE">
        <w:rPr>
          <w:color w:val="000000" w:themeColor="text1"/>
          <w:sz w:val="16"/>
          <w:szCs w:val="16"/>
        </w:rPr>
        <w:t>18 июня 1945 г. в Москве начался открытый процесс над 16-ю польскими оппозиционерами. 27 марта 1945 г. поляков пригласили на переговоры с представителями маршала Георгия Жукова, но 28 марта 1945 г. переговорщиков арестовали, отвезли в Москву и предали суду. Через 3 дня «процесс 16-ти» закончился. «Судьба» распорядилась с поляками по-разному: 3-е оправданы, 6 получили от 4 месяцев до 1,5 лет, 2-е по 5 лет – выжил один, один — 8 лет – умер (убит?) по окончании срока. Главный обвиняемый последний командующий А.К. генерал Леопольд Окулицкий, который распустил А.К. 19 января 1945 – получил 10 лет и пропал. Через 10 лет на запрос поляков,- из Москвы сообщили, что генерал Леопольд Окулицкий умер от сердечной недостаточности 24 декабря 1946 г., тело кремировано (17459).</w:t>
      </w:r>
    </w:p>
    <w:p w14:paraId="4612D995" w14:textId="77777777" w:rsidR="00697AC7" w:rsidRPr="00F90EAE" w:rsidRDefault="00697AC7" w:rsidP="00F90EAE">
      <w:pPr>
        <w:autoSpaceDE w:val="0"/>
        <w:autoSpaceDN w:val="0"/>
        <w:adjustRightInd w:val="0"/>
        <w:jc w:val="both"/>
        <w:rPr>
          <w:iCs/>
          <w:color w:val="000000" w:themeColor="text1"/>
          <w:sz w:val="16"/>
          <w:szCs w:val="16"/>
        </w:rPr>
      </w:pPr>
    </w:p>
    <w:p w14:paraId="5C320DE8"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74C62E3" w14:textId="77777777" w:rsidR="006103B3" w:rsidRPr="00F90EAE" w:rsidRDefault="006103B3" w:rsidP="00F90EAE">
      <w:pPr>
        <w:autoSpaceDE w:val="0"/>
        <w:autoSpaceDN w:val="0"/>
        <w:adjustRightInd w:val="0"/>
        <w:jc w:val="both"/>
        <w:rPr>
          <w:iCs/>
          <w:color w:val="000000" w:themeColor="text1"/>
          <w:sz w:val="16"/>
          <w:szCs w:val="16"/>
        </w:rPr>
      </w:pPr>
    </w:p>
    <w:p w14:paraId="187A5D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 июня 1945 в Ленинграде вышел на маршрут первый после блокады троллейбус (3960, 238).</w:t>
      </w:r>
    </w:p>
    <w:p w14:paraId="2966C80D" w14:textId="77777777" w:rsidR="006103B3" w:rsidRPr="00F90EAE" w:rsidRDefault="006103B3" w:rsidP="00F90EAE">
      <w:pPr>
        <w:autoSpaceDE w:val="0"/>
        <w:autoSpaceDN w:val="0"/>
        <w:adjustRightInd w:val="0"/>
        <w:jc w:val="both"/>
        <w:rPr>
          <w:color w:val="000000" w:themeColor="text1"/>
          <w:sz w:val="16"/>
          <w:szCs w:val="16"/>
        </w:rPr>
      </w:pPr>
    </w:p>
    <w:p w14:paraId="6715570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8B8FCF1" w14:textId="77777777" w:rsidR="006103B3" w:rsidRPr="00F90EAE" w:rsidRDefault="006103B3" w:rsidP="00F90EAE">
      <w:pPr>
        <w:autoSpaceDE w:val="0"/>
        <w:autoSpaceDN w:val="0"/>
        <w:adjustRightInd w:val="0"/>
        <w:jc w:val="both"/>
        <w:rPr>
          <w:iCs/>
          <w:color w:val="000000" w:themeColor="text1"/>
          <w:sz w:val="16"/>
          <w:szCs w:val="16"/>
        </w:rPr>
      </w:pPr>
    </w:p>
    <w:p w14:paraId="2BCC6904" w14:textId="77777777" w:rsidR="00B90038" w:rsidRPr="00F90EAE" w:rsidRDefault="00B90038" w:rsidP="00F90EAE">
      <w:pPr>
        <w:jc w:val="both"/>
        <w:rPr>
          <w:color w:val="000000" w:themeColor="text1"/>
          <w:sz w:val="16"/>
          <w:szCs w:val="16"/>
        </w:rPr>
      </w:pPr>
      <w:r w:rsidRPr="00F90EAE">
        <w:rPr>
          <w:bCs/>
          <w:color w:val="000000" w:themeColor="text1"/>
          <w:sz w:val="16"/>
          <w:szCs w:val="16"/>
        </w:rPr>
        <w:t>18 июня</w:t>
      </w:r>
      <w:r w:rsidRPr="00F90EAE">
        <w:rPr>
          <w:color w:val="000000" w:themeColor="text1"/>
          <w:sz w:val="16"/>
          <w:szCs w:val="16"/>
        </w:rPr>
        <w:t xml:space="preserve"> в 1945 году французский авиаполк "Нормандия-Неман" вылетел из СССР во Францию на подаренных советским правительством самолетах (14926).</w:t>
      </w:r>
    </w:p>
    <w:p w14:paraId="5BE59285" w14:textId="77777777" w:rsidR="00B90038" w:rsidRPr="00F90EAE" w:rsidRDefault="00B90038" w:rsidP="00F90EAE">
      <w:pPr>
        <w:jc w:val="both"/>
        <w:rPr>
          <w:color w:val="000000" w:themeColor="text1"/>
          <w:sz w:val="16"/>
          <w:szCs w:val="16"/>
        </w:rPr>
      </w:pPr>
    </w:p>
    <w:p w14:paraId="1132F0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 июня 1945 Москва. Советско-албанские переговоры (7594).</w:t>
      </w:r>
    </w:p>
    <w:p w14:paraId="6A4FA52D" w14:textId="77777777" w:rsidR="006103B3" w:rsidRPr="00F90EAE" w:rsidRDefault="006103B3" w:rsidP="00F90EAE">
      <w:pPr>
        <w:autoSpaceDE w:val="0"/>
        <w:autoSpaceDN w:val="0"/>
        <w:adjustRightInd w:val="0"/>
        <w:jc w:val="both"/>
        <w:rPr>
          <w:color w:val="000000" w:themeColor="text1"/>
          <w:sz w:val="16"/>
          <w:szCs w:val="16"/>
        </w:rPr>
      </w:pPr>
    </w:p>
    <w:p w14:paraId="0C80AD75" w14:textId="77777777" w:rsidR="006103B3" w:rsidRPr="00F90EAE" w:rsidRDefault="001561D1" w:rsidP="00F90EAE">
      <w:pPr>
        <w:autoSpaceDE w:val="0"/>
        <w:autoSpaceDN w:val="0"/>
        <w:adjustRightInd w:val="0"/>
        <w:jc w:val="both"/>
        <w:rPr>
          <w:iCs/>
          <w:color w:val="000000" w:themeColor="text1"/>
          <w:sz w:val="16"/>
          <w:szCs w:val="16"/>
          <w:lang w:val="en-US"/>
        </w:rPr>
      </w:pPr>
      <w:r w:rsidRPr="00F90EAE">
        <w:rPr>
          <w:i/>
          <w:iCs/>
          <w:color w:val="000000" w:themeColor="text1"/>
          <w:sz w:val="16"/>
          <w:szCs w:val="16"/>
        </w:rPr>
        <w:t>За</w:t>
      </w:r>
      <w:r w:rsidRPr="00F90EAE">
        <w:rPr>
          <w:i/>
          <w:iCs/>
          <w:color w:val="000000" w:themeColor="text1"/>
          <w:sz w:val="16"/>
          <w:szCs w:val="16"/>
          <w:lang w:val="en-US"/>
        </w:rPr>
        <w:t xml:space="preserve"> </w:t>
      </w:r>
      <w:r w:rsidRPr="00F90EAE">
        <w:rPr>
          <w:i/>
          <w:iCs/>
          <w:color w:val="000000" w:themeColor="text1"/>
          <w:sz w:val="16"/>
          <w:szCs w:val="16"/>
        </w:rPr>
        <w:t>рубежом</w:t>
      </w:r>
      <w:r w:rsidRPr="00F90EAE">
        <w:rPr>
          <w:i/>
          <w:iCs/>
          <w:color w:val="000000" w:themeColor="text1"/>
          <w:sz w:val="16"/>
          <w:szCs w:val="16"/>
          <w:lang w:val="en-US"/>
        </w:rPr>
        <w:t>:</w:t>
      </w:r>
    </w:p>
    <w:p w14:paraId="3F8B0984" w14:textId="77777777" w:rsidR="006103B3" w:rsidRPr="00F90EAE" w:rsidRDefault="006103B3" w:rsidP="00F90EAE">
      <w:pPr>
        <w:autoSpaceDE w:val="0"/>
        <w:autoSpaceDN w:val="0"/>
        <w:adjustRightInd w:val="0"/>
        <w:jc w:val="both"/>
        <w:rPr>
          <w:iCs/>
          <w:color w:val="000000" w:themeColor="text1"/>
          <w:sz w:val="16"/>
          <w:szCs w:val="16"/>
          <w:lang w:val="en-US"/>
        </w:rPr>
      </w:pPr>
    </w:p>
    <w:p w14:paraId="53F8E6A4"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18 1945 Truman approves DOWNFALL. JCS predict 200,000 casualties (1052).</w:t>
      </w:r>
    </w:p>
    <w:p w14:paraId="0EB50BAE" w14:textId="77777777" w:rsidR="006103B3" w:rsidRPr="00F90EAE" w:rsidRDefault="006103B3" w:rsidP="00F90EAE">
      <w:pPr>
        <w:autoSpaceDE w:val="0"/>
        <w:autoSpaceDN w:val="0"/>
        <w:adjustRightInd w:val="0"/>
        <w:jc w:val="both"/>
        <w:rPr>
          <w:color w:val="000000" w:themeColor="text1"/>
          <w:sz w:val="16"/>
          <w:szCs w:val="16"/>
          <w:lang w:val="en-US"/>
        </w:rPr>
      </w:pPr>
    </w:p>
    <w:p w14:paraId="528DCD7A"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18. 1945 Truman meets with Secretary of War, Joint Chiefs, and approves plan briefed by Marshall for invasion of Japan (1287).</w:t>
      </w:r>
    </w:p>
    <w:p w14:paraId="2510B529" w14:textId="77777777" w:rsidR="006103B3" w:rsidRPr="00F90EAE" w:rsidRDefault="006103B3" w:rsidP="00F90EAE">
      <w:pPr>
        <w:autoSpaceDE w:val="0"/>
        <w:autoSpaceDN w:val="0"/>
        <w:adjustRightInd w:val="0"/>
        <w:jc w:val="both"/>
        <w:rPr>
          <w:color w:val="000000" w:themeColor="text1"/>
          <w:sz w:val="16"/>
          <w:szCs w:val="16"/>
          <w:lang w:val="en-US"/>
        </w:rPr>
      </w:pPr>
    </w:p>
    <w:p w14:paraId="0D02B8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 июня 1945 Г.Трумэн одобрил план вторжения в Японию (1052;1287) и предполагалось до 200000 потерь (3186).</w:t>
      </w:r>
    </w:p>
    <w:p w14:paraId="3C742D20" w14:textId="77777777" w:rsidR="006103B3" w:rsidRPr="00F90EAE" w:rsidRDefault="006103B3" w:rsidP="00F90EAE">
      <w:pPr>
        <w:autoSpaceDE w:val="0"/>
        <w:autoSpaceDN w:val="0"/>
        <w:adjustRightInd w:val="0"/>
        <w:jc w:val="both"/>
        <w:rPr>
          <w:color w:val="000000" w:themeColor="text1"/>
          <w:sz w:val="16"/>
          <w:szCs w:val="16"/>
        </w:rPr>
      </w:pPr>
    </w:p>
    <w:p w14:paraId="4FF401C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lastRenderedPageBreak/>
        <w:t>18 июня 1945 на Окинаве шрапнелью убит командующий 10-й американской армией генерал С. Бакнер (4962).</w:t>
      </w:r>
    </w:p>
    <w:p w14:paraId="5EF4673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12866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 июня 1945 экипаж судна Виктория сообщил о том, что в этот день в месте с координатами 36/40 северной широты и 14/44 восточной долготы наблюдали за всплытием трех ослепительных дисков, казавшиеся в пять раз больше луны, которые были связаны тонкими сверкающими нитями и поднялись в небо (3710).</w:t>
      </w:r>
    </w:p>
    <w:p w14:paraId="65F0F4D8" w14:textId="77777777" w:rsidR="006103B3" w:rsidRPr="00F90EAE" w:rsidRDefault="006103B3" w:rsidP="00F90EAE">
      <w:pPr>
        <w:autoSpaceDE w:val="0"/>
        <w:autoSpaceDN w:val="0"/>
        <w:adjustRightInd w:val="0"/>
        <w:jc w:val="both"/>
        <w:rPr>
          <w:color w:val="000000" w:themeColor="text1"/>
          <w:sz w:val="16"/>
          <w:szCs w:val="16"/>
        </w:rPr>
      </w:pPr>
    </w:p>
    <w:p w14:paraId="67EDF31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E936D0F" w14:textId="77777777" w:rsidR="006103B3" w:rsidRPr="00F90EAE" w:rsidRDefault="006103B3" w:rsidP="00F90EAE">
      <w:pPr>
        <w:autoSpaceDE w:val="0"/>
        <w:autoSpaceDN w:val="0"/>
        <w:adjustRightInd w:val="0"/>
        <w:jc w:val="both"/>
        <w:rPr>
          <w:iCs/>
          <w:color w:val="000000" w:themeColor="text1"/>
          <w:sz w:val="16"/>
          <w:szCs w:val="16"/>
        </w:rPr>
      </w:pPr>
    </w:p>
    <w:p w14:paraId="68CB98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Зам. ком. ВВС, г-п ИАС Репин утвердил "Акт N 109 по результатам гос. испытаний модифицированного самолета УИл-2 с мотором АМ-38Ф (самолет N 18841133 производства 18 завода, апрель 1945).", тема 2 - 1945 Данный самолет был модифицирован с учетом результатов гос. контрольных испытаний УИл-2 N 1881100109 18 завода, которые проходили в июле 1944, в когда был выявлен ряд существенных недостатков, главным образом в части оборудования второй кабины. Скорость выросла на 9 км/час у земли и на границе высотности. Испытания прошел удовлетворительно и изменения сочли целесообразным для внедрения в серийное производство, хотя нашли еще недостатки и недоработки (1969,1).</w:t>
      </w:r>
    </w:p>
    <w:p w14:paraId="65AC7EC8" w14:textId="77777777" w:rsidR="006103B3" w:rsidRPr="00F90EAE" w:rsidRDefault="006103B3" w:rsidP="00F90EAE">
      <w:pPr>
        <w:autoSpaceDE w:val="0"/>
        <w:autoSpaceDN w:val="0"/>
        <w:adjustRightInd w:val="0"/>
        <w:jc w:val="both"/>
        <w:rPr>
          <w:color w:val="000000" w:themeColor="text1"/>
          <w:sz w:val="16"/>
          <w:szCs w:val="16"/>
        </w:rPr>
      </w:pPr>
    </w:p>
    <w:p w14:paraId="2588B45F" w14:textId="77777777" w:rsidR="005F32F4" w:rsidRPr="00F90EAE" w:rsidRDefault="005F32F4" w:rsidP="00F90EAE">
      <w:pPr>
        <w:jc w:val="both"/>
        <w:rPr>
          <w:color w:val="000000" w:themeColor="text1"/>
          <w:sz w:val="16"/>
          <w:szCs w:val="16"/>
        </w:rPr>
      </w:pPr>
      <w:r w:rsidRPr="00F90EAE">
        <w:rPr>
          <w:color w:val="000000" w:themeColor="text1"/>
          <w:sz w:val="16"/>
          <w:szCs w:val="16"/>
        </w:rPr>
        <w:t>19 июня 1945 старший военпред УЗСиМ ГУЗ ВВС КА на заводе №207 инженер-капитан И.П. Близнюк в письме от на имя ди</w:t>
      </w:r>
      <w:r w:rsidRPr="00F90EAE">
        <w:rPr>
          <w:color w:val="000000" w:themeColor="text1"/>
          <w:sz w:val="16"/>
          <w:szCs w:val="16"/>
        </w:rPr>
        <w:softHyphen/>
        <w:t>ректора завода инженер-полковника В.И. За- сульского предложил изгбтовлять гомогенные авиабронедетали толщиной 8 и 15 мм только из стали ХД. При этом он отказывался прини</w:t>
      </w:r>
      <w:r w:rsidRPr="00F90EAE">
        <w:rPr>
          <w:color w:val="000000" w:themeColor="text1"/>
          <w:sz w:val="16"/>
          <w:szCs w:val="16"/>
        </w:rPr>
        <w:softHyphen/>
        <w:t>мать изготовленную в июне из стали АБ-2 пар</w:t>
      </w:r>
      <w:r w:rsidRPr="00F90EAE">
        <w:rPr>
          <w:color w:val="000000" w:themeColor="text1"/>
          <w:sz w:val="16"/>
          <w:szCs w:val="16"/>
        </w:rPr>
        <w:softHyphen/>
        <w:t>тию деталей для Ту-2 в количестве 75 комплек</w:t>
      </w:r>
      <w:r w:rsidRPr="00F90EAE">
        <w:rPr>
          <w:color w:val="000000" w:themeColor="text1"/>
          <w:sz w:val="16"/>
          <w:szCs w:val="16"/>
        </w:rPr>
        <w:softHyphen/>
        <w:t>тов. Одновременно он запретил принимать и бронекорпуса самолетов Ил-2 из стали АБ-3, которых к этому времени на заводе имелось десять комплектов. Как следует из докумен</w:t>
      </w:r>
      <w:r w:rsidRPr="00F90EAE">
        <w:rPr>
          <w:color w:val="000000" w:themeColor="text1"/>
          <w:sz w:val="16"/>
          <w:szCs w:val="16"/>
        </w:rPr>
        <w:softHyphen/>
        <w:t>тов, это письмо было подготовлено по распо</w:t>
      </w:r>
      <w:r w:rsidRPr="00F90EAE">
        <w:rPr>
          <w:color w:val="000000" w:themeColor="text1"/>
          <w:sz w:val="16"/>
          <w:szCs w:val="16"/>
        </w:rPr>
        <w:softHyphen/>
        <w:t>ряжению районного инженера УЗСиМ ГУЗ ВВС КА инженер-майора В.Г. Фридмана.</w:t>
      </w:r>
    </w:p>
    <w:p w14:paraId="087C61B4" w14:textId="77777777" w:rsidR="005F32F4" w:rsidRPr="00F90EAE" w:rsidRDefault="005F32F4" w:rsidP="00F90EAE">
      <w:pPr>
        <w:jc w:val="both"/>
        <w:rPr>
          <w:color w:val="000000" w:themeColor="text1"/>
          <w:sz w:val="16"/>
          <w:szCs w:val="16"/>
        </w:rPr>
      </w:pPr>
      <w:r w:rsidRPr="00F90EAE">
        <w:rPr>
          <w:color w:val="000000" w:themeColor="text1"/>
          <w:sz w:val="16"/>
          <w:szCs w:val="16"/>
        </w:rPr>
        <w:t>Дирекция завода №207 пыталась давить как на военное представительство на заводе, так и на руководство 5-го отдела УЗСиМ ГУЗ ВВС. Но из этого ничего не получилось. Воен</w:t>
      </w:r>
      <w:r w:rsidRPr="00F90EAE">
        <w:rPr>
          <w:color w:val="000000" w:themeColor="text1"/>
          <w:sz w:val="16"/>
          <w:szCs w:val="16"/>
        </w:rPr>
        <w:softHyphen/>
        <w:t>ные «стояли насмерть», ссылаясь на указание ГК НИИ ВВС КА за № омк/079, предусматри</w:t>
      </w:r>
      <w:r w:rsidRPr="00F90EAE">
        <w:rPr>
          <w:color w:val="000000" w:themeColor="text1"/>
          <w:sz w:val="16"/>
          <w:szCs w:val="16"/>
        </w:rPr>
        <w:softHyphen/>
        <w:t>вавшее, что</w:t>
      </w:r>
      <w:r w:rsidRPr="00F90EAE">
        <w:rPr>
          <w:rStyle w:val="aff6"/>
          <w:rFonts w:ascii="Times New Roman" w:hAnsi="Times New Roman" w:cs="Times New Roman"/>
          <w:i w:val="0"/>
          <w:color w:val="000000" w:themeColor="text1"/>
        </w:rPr>
        <w:t xml:space="preserve"> «гомогенная авиаброня толщиной 8 и 15 мм изготавливается только из стали марки ХД».</w:t>
      </w:r>
    </w:p>
    <w:p w14:paraId="26BCEAEB" w14:textId="77777777" w:rsidR="005F32F4" w:rsidRPr="00F90EAE" w:rsidRDefault="005F32F4" w:rsidP="00F90EAE">
      <w:pPr>
        <w:jc w:val="both"/>
        <w:rPr>
          <w:color w:val="000000" w:themeColor="text1"/>
          <w:sz w:val="16"/>
          <w:szCs w:val="16"/>
        </w:rPr>
      </w:pPr>
      <w:r w:rsidRPr="00F90EAE">
        <w:rPr>
          <w:color w:val="000000" w:themeColor="text1"/>
          <w:sz w:val="16"/>
          <w:szCs w:val="16"/>
        </w:rPr>
        <w:t xml:space="preserve">Для разбора конфликтной ситуации 22 июня сформировали совместную комиссию ВВС и НКАП, которая выехала на завод №207 в г. Куйбышев. В случае существенного различия химического состава стали АБ-3 требовалось </w:t>
      </w:r>
      <w:r w:rsidRPr="00F90EAE">
        <w:rPr>
          <w:rStyle w:val="aff6"/>
          <w:rFonts w:ascii="Times New Roman" w:hAnsi="Times New Roman" w:cs="Times New Roman"/>
          <w:i w:val="0"/>
          <w:color w:val="000000" w:themeColor="text1"/>
        </w:rPr>
        <w:t>«провести по существующим техническим условиям на обстрел стали АБ-2, испытания плавок опытной партии стали АБ-3».</w:t>
      </w:r>
      <w:r w:rsidRPr="00F90EAE">
        <w:rPr>
          <w:color w:val="000000" w:themeColor="text1"/>
          <w:sz w:val="16"/>
          <w:szCs w:val="16"/>
        </w:rPr>
        <w:t xml:space="preserve"> При этом считалось, что</w:t>
      </w:r>
      <w:r w:rsidRPr="00F90EAE">
        <w:rPr>
          <w:rStyle w:val="aff6"/>
          <w:rFonts w:ascii="Times New Roman" w:hAnsi="Times New Roman" w:cs="Times New Roman"/>
          <w:i w:val="0"/>
          <w:color w:val="000000" w:themeColor="text1"/>
        </w:rPr>
        <w:t xml:space="preserve"> «наличие в стали титана больше 0,07% является существенным для различия в химсоставе сталей».</w:t>
      </w:r>
      <w:r w:rsidRPr="00F90EAE">
        <w:rPr>
          <w:color w:val="000000" w:themeColor="text1"/>
          <w:sz w:val="16"/>
          <w:szCs w:val="16"/>
        </w:rPr>
        <w:t xml:space="preserve"> Кроме того, требовалось провести обстрел АБ-3 боеприпасами калибра 12,7 и 20 мм (17479).</w:t>
      </w:r>
    </w:p>
    <w:p w14:paraId="388CF983" w14:textId="77777777" w:rsidR="005F32F4" w:rsidRPr="00F90EAE" w:rsidRDefault="005F32F4" w:rsidP="00F90EAE">
      <w:pPr>
        <w:jc w:val="both"/>
        <w:rPr>
          <w:color w:val="000000" w:themeColor="text1"/>
          <w:sz w:val="16"/>
          <w:szCs w:val="16"/>
        </w:rPr>
      </w:pPr>
    </w:p>
    <w:p w14:paraId="134CDC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года начальник ГУГВФ маршал авиации Астахов писал письмо Шахурину А.И.</w:t>
      </w:r>
    </w:p>
    <w:p w14:paraId="06B99F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увеличением пассажирских перевозок на воздушных линиях ГВФ значительно возросла потребность в пассажирских самолетах.</w:t>
      </w:r>
    </w:p>
    <w:p w14:paraId="1A33561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дать распоряжение переоборудовать ежемесячно 5 самолетов С-47 в пассажирский вариант (8972).</w:t>
      </w:r>
    </w:p>
    <w:p w14:paraId="3E7B2838" w14:textId="77777777" w:rsidR="006103B3" w:rsidRPr="00F90EAE" w:rsidRDefault="006103B3" w:rsidP="00F90EAE">
      <w:pPr>
        <w:autoSpaceDE w:val="0"/>
        <w:autoSpaceDN w:val="0"/>
        <w:adjustRightInd w:val="0"/>
        <w:jc w:val="both"/>
        <w:rPr>
          <w:color w:val="000000" w:themeColor="text1"/>
          <w:sz w:val="16"/>
          <w:szCs w:val="16"/>
        </w:rPr>
      </w:pPr>
    </w:p>
    <w:p w14:paraId="15C2C1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г. вышло постановление, согласно которому в Куйбышеве разрабатывался М-45  (он уже не именовался АМ- 45), который вел родословную от АМ-42 и заимствовал многие конструктивные решения АМ-43. Некоторые документы говорят, что предварительные проработки велись и ранее, еще с января. Для этого двигателя в ЦИАМ специально проектировали двухступенчатый четырехскоростной нагнетатель Э-174, испытанный там же на стенде в марте-апреле 1945 г.</w:t>
      </w:r>
    </w:p>
    <w:p w14:paraId="6B7653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М-45 Флисский отказался от многих характерных для Микулина конструкторских решений, шедших зачастую еще от М-34. Так, гильзы ставились в блок не свободно, а с натягом. Вместо непосредственного привода клапанов появился рычажный механизм, один в один копирующий изделия "Юн- керс моторенбау". Вообще знакомство с германскими двигателями изрядно повлияло на М-45. В частности, на соединении шатуна с его крышкой ввели довольно типичные для немцев трехгранные шлицы. Все последние моторы Микулина имели редуктор с шевронными шестернями, посредством которых осевая нагрузка с винта частично передавалось на опоры в носке коленчатого вала. Флисский предпочел прямозубые шестерни, а на носок коленчатого вала установил демпфер крутильных колебаний. На самом валу смонтировали съемные противовесы. Поскольку по сравнению с предшественниками обороты повысились, то редуктор сделали с понижением в соотношении 0,462. Кроме того, но М-45 немного изменили верхний картер, предусмотрели толстостенные коренные вкладыши, литые впускные воздуховоды с улучшенной гидравликой (мотор с самого начала делался под непосредственный впрыск) и водо-воздушный интеркулер. Степень сжатия оставалась довольно низкой - 5,8, хотя мотор рассчитывался на эксплуатацию на высококачественном этилированном бензине.</w:t>
      </w:r>
    </w:p>
    <w:p w14:paraId="356FBA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июле 1945 г. ПЦН Э- 174 испытывали на М-43. Постоянно ломались муфты переключения скоростей. В апреле следующего года закончили проектирование двух новых вариантов нагнетателя, оба они использовали всю гидравлическую часть от Э-174, но в сочетании с двухскоростным механизмом. Первый из них (тип 186) опробовали на стенде в конце августа 1946 г., а на двигатель его поставили в феврале 1947 г. Он и оказался наиболее удачным.</w:t>
      </w:r>
    </w:p>
    <w:p w14:paraId="1A4784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июля 1946 г. М-45 испытывался со старым одноступенчатым ПЦН. Основной задачей считалась отработка нового редуктора. Его шестерни поначалу выкрашивались, но после внесения ряда изменений все пришло в норму. В сентябре 1946 г. убрали, как бесполезный, демпфер, утолщили днища поршней, доработали насос непосредственного впрыска, ужесточили вал редуктора и поставили но поршнях верхние так называемые "минутные" кольца. Прежде чем в апреле 1947 г. удовлетворительно прошли заводские испытания, вышли из строя не менее трех моторов. В сентябре того же года двигатель успешно отработал на государственных испытаниях, подтвердив максимальную мощность 2500 л.с.</w:t>
      </w:r>
    </w:p>
    <w:p w14:paraId="44BEAE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было изготовлено 16 штук АМ-45 разных вариантов. Среди них были три АМ-45Д мощностью 1750/ 2700 л.с. и два АМ-45Ш (2400/3000 л.с.). Последний проходил заводские испытания в 1948 г. Существовал проект модификации Ил-10 с этим двигателем (11934).</w:t>
      </w:r>
    </w:p>
    <w:p w14:paraId="624696C4" w14:textId="77777777" w:rsidR="006103B3" w:rsidRPr="00F90EAE" w:rsidRDefault="006103B3" w:rsidP="00F90EAE">
      <w:pPr>
        <w:autoSpaceDE w:val="0"/>
        <w:autoSpaceDN w:val="0"/>
        <w:adjustRightInd w:val="0"/>
        <w:jc w:val="both"/>
        <w:rPr>
          <w:color w:val="000000" w:themeColor="text1"/>
          <w:sz w:val="16"/>
          <w:szCs w:val="16"/>
        </w:rPr>
      </w:pPr>
    </w:p>
    <w:p w14:paraId="4912D88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309D8DB" w14:textId="77777777" w:rsidR="006103B3" w:rsidRPr="00F90EAE" w:rsidRDefault="006103B3" w:rsidP="00F90EAE">
      <w:pPr>
        <w:autoSpaceDE w:val="0"/>
        <w:autoSpaceDN w:val="0"/>
        <w:adjustRightInd w:val="0"/>
        <w:jc w:val="both"/>
        <w:rPr>
          <w:iCs/>
          <w:color w:val="000000" w:themeColor="text1"/>
          <w:sz w:val="16"/>
          <w:szCs w:val="16"/>
        </w:rPr>
      </w:pPr>
    </w:p>
    <w:p w14:paraId="5BD148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19 июня 1945 г. ьыла подготовлена ДИРЕКТИВА ЗАМЕСТИТЕЛЯ КОМАНДУЮЩЕГО БТ и МВ КА О СЛУЧАЯХ НЕПРАВИЛЬНОГО ИСПОЛЬЗОВАНИЯ САМОХОДНЫХ АРТУСТАНОВОК СУ-76 №850469</w:t>
      </w:r>
    </w:p>
    <w:p w14:paraId="06DC717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имеющимся в УЭТ ГБТУ КА сведениям имеют место случаи неправильного использования самоходных установок СУ-76 легких самоходных артиллерийских полков, приданных стрелковым корпусам.</w:t>
      </w:r>
    </w:p>
    <w:p w14:paraId="51F9399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Так, например, в 37 и 39 стрелковых корпусах 9 гв. армии самоходные установки СУ-76 1513 и 1524 ЛСАП-ов, приданных этим корпусам, по 4-6 дней работали, как тягачи по буксировке трофей</w:t>
      </w:r>
      <w:r w:rsidRPr="00F90EAE">
        <w:rPr>
          <w:color w:val="000000" w:themeColor="text1"/>
          <w:sz w:val="16"/>
          <w:szCs w:val="16"/>
        </w:rPr>
        <w:softHyphen/>
        <w:t>ных машин, на что было израсходовано, каждой самоходной установкой, до 25-30 моточасов и прой</w:t>
      </w:r>
      <w:r w:rsidRPr="00F90EAE">
        <w:rPr>
          <w:color w:val="000000" w:themeColor="text1"/>
          <w:sz w:val="16"/>
          <w:szCs w:val="16"/>
        </w:rPr>
        <w:softHyphen/>
        <w:t>дено по 250-450 км.</w:t>
      </w:r>
    </w:p>
    <w:p w14:paraId="6124515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ПРИКАЗЫВАЮ:</w:t>
      </w:r>
    </w:p>
    <w:p w14:paraId="49525D5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Запретить использование танков и самоходных установок частей и соединений БТ и МВ войск Красной Армии для буксирования машин; для этой цели использовать имеющиеся в частях тракторы и тягачи.</w:t>
      </w:r>
    </w:p>
    <w:p w14:paraId="77D486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Командующим БТ и МВ фронтов проверить правильность использования танков и самоход</w:t>
      </w:r>
      <w:r w:rsidRPr="00F90EAE">
        <w:rPr>
          <w:color w:val="000000" w:themeColor="text1"/>
          <w:sz w:val="16"/>
          <w:szCs w:val="16"/>
        </w:rPr>
        <w:softHyphen/>
        <w:t>ных установок во всех танковых и самоходных артиллерийских полках, приданных стрелковым корпусам.</w:t>
      </w:r>
    </w:p>
    <w:p w14:paraId="2F4969F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Командующему БТ и МВ 2-го Украинского фронта расследовать случаи неправильного исполь</w:t>
      </w:r>
      <w:r w:rsidRPr="00F90EAE">
        <w:rPr>
          <w:color w:val="000000" w:themeColor="text1"/>
          <w:sz w:val="16"/>
          <w:szCs w:val="16"/>
        </w:rPr>
        <w:softHyphen/>
        <w:t>зования самоходных установок СУ-76 в 1513 и 1524 ЛСАП-ах, приданных 37 и 39 стрелковым корпу</w:t>
      </w:r>
      <w:r w:rsidRPr="00F90EAE">
        <w:rPr>
          <w:color w:val="000000" w:themeColor="text1"/>
          <w:sz w:val="16"/>
          <w:szCs w:val="16"/>
        </w:rPr>
        <w:softHyphen/>
        <w:t>сам, и виновных привлечь к ответственности.</w:t>
      </w:r>
    </w:p>
    <w:p w14:paraId="2E7345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Настоящую директиву довести до командиров частей и соединений БТ и МВ Красной Армии и командиров стрелковых корпусов, коим приданы танковые и самоходные артиллерийские полки.</w:t>
      </w:r>
    </w:p>
    <w:p w14:paraId="1745F8D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 выполнении донести к 10 июля с.г.</w:t>
      </w:r>
    </w:p>
    <w:p w14:paraId="7267F98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Заместитель командующего БТ и МВ КА генерал-полковник танковых войск Коробков</w:t>
      </w:r>
    </w:p>
    <w:p w14:paraId="19DD0E2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ЦАМО. Ф. 38. Оп. 11362. Д. 16. Л. 23. Подлинник (11420).</w:t>
      </w:r>
    </w:p>
    <w:p w14:paraId="5073F08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ADEBA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19 июня 1945 г. состоялся смотр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w:t>
      </w:r>
      <w:r w:rsidRPr="00F90EAE">
        <w:rPr>
          <w:color w:val="000000" w:themeColor="text1"/>
          <w:sz w:val="16"/>
          <w:szCs w:val="16"/>
        </w:rPr>
        <w:lastRenderedPageBreak/>
        <w:t>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1D9F72E6" w14:textId="77777777" w:rsidR="006103B3" w:rsidRPr="00F90EAE" w:rsidRDefault="006103B3" w:rsidP="00F90EAE">
      <w:pPr>
        <w:autoSpaceDE w:val="0"/>
        <w:autoSpaceDN w:val="0"/>
        <w:adjustRightInd w:val="0"/>
        <w:jc w:val="both"/>
        <w:rPr>
          <w:color w:val="000000" w:themeColor="text1"/>
          <w:sz w:val="16"/>
          <w:szCs w:val="16"/>
        </w:rPr>
      </w:pPr>
    </w:p>
    <w:p w14:paraId="0907AC7D" w14:textId="77777777" w:rsidR="00C84475" w:rsidRPr="00F90EAE" w:rsidRDefault="00C84475" w:rsidP="00F90EAE">
      <w:pPr>
        <w:pStyle w:val="book"/>
        <w:ind w:firstLine="0"/>
        <w:jc w:val="both"/>
        <w:rPr>
          <w:color w:val="000000" w:themeColor="text1"/>
          <w:sz w:val="16"/>
          <w:szCs w:val="16"/>
        </w:rPr>
      </w:pPr>
      <w:r w:rsidRPr="00F90EAE">
        <w:rPr>
          <w:color w:val="000000" w:themeColor="text1"/>
          <w:sz w:val="16"/>
          <w:szCs w:val="16"/>
        </w:rPr>
        <w:t>С 19 июня 1945 г. на Сталинградский тракторный завод прибывает оборудование с лесозаводов № 1 и № 2 из г. Белау, а также из Австрии, с демонтированных заводов "Беллер", "Небелунгенверке", "Штенвер Демлер Пух", "Гамбринусверке". В конце июля на СТЗ стало поступать оборудование с предприятий фирмы "Алкет", специализировавшейся в годы войны на производстве самоходных артиллерийских установок, а также с завода "Даймлер-Бенц", выпускавшего танки. На Сталинградский тракторный завод оборудование поступало в таких объемах, что для транспортировки пришлось проложить дополнительные железнодорожные пути, а также использовать шесть тракторов с лебедками. Даже этих транспортных средств не хватало, поэтому поступил приказ развозить оборудование по цехам без составления актов о его получении и спецификации. В результате этого решения серьезно пострадал учет репарационного имущества, но другого выхода в сложившейся ситуации у администрации завода не было (15225).</w:t>
      </w:r>
    </w:p>
    <w:p w14:paraId="0670DD1A" w14:textId="77777777" w:rsidR="00C84475" w:rsidRPr="00F90EAE" w:rsidRDefault="00C84475" w:rsidP="00F90EAE">
      <w:pPr>
        <w:pStyle w:val="book"/>
        <w:ind w:firstLine="0"/>
        <w:jc w:val="both"/>
        <w:rPr>
          <w:color w:val="000000" w:themeColor="text1"/>
          <w:sz w:val="16"/>
          <w:szCs w:val="16"/>
        </w:rPr>
      </w:pPr>
    </w:p>
    <w:p w14:paraId="32DEEFEF" w14:textId="77777777" w:rsidR="00C84475" w:rsidRPr="00F90EAE" w:rsidRDefault="00C84475" w:rsidP="00F90EAE">
      <w:pPr>
        <w:jc w:val="both"/>
        <w:rPr>
          <w:color w:val="000000" w:themeColor="text1"/>
          <w:sz w:val="16"/>
          <w:szCs w:val="16"/>
        </w:rPr>
      </w:pPr>
      <w:r w:rsidRPr="00F90EAE">
        <w:rPr>
          <w:bCs/>
          <w:color w:val="000000" w:themeColor="text1"/>
          <w:sz w:val="16"/>
          <w:szCs w:val="16"/>
        </w:rPr>
        <w:t xml:space="preserve">19 июня </w:t>
      </w:r>
      <w:r w:rsidRPr="00F90EAE">
        <w:rPr>
          <w:color w:val="000000" w:themeColor="text1"/>
          <w:sz w:val="16"/>
          <w:szCs w:val="16"/>
        </w:rPr>
        <w:t>в 1945 году в канун Парада Победы группа инженеров Горьковского автозавода представила И.В.Сталину новую модель легкового автомобиля «ГАЗ-М-20» «Победа» (главный конструктор А.А.Липгарт). Уже летом 1946 г. «Победа» стала серийной моделью ГАЗа, первым послевоенным легковым автомобилем СССР. Выпускалась в Советском Союзе с 1946 по 1958 г. с кузовами седан и кабриолет. После снятия «Победы» с конвейера лицензия на производство была передана Польше, где модель выпускалась до 1974 г. под названием «Варшава» (14927).</w:t>
      </w:r>
    </w:p>
    <w:p w14:paraId="2DA77439" w14:textId="77777777" w:rsidR="00C84475" w:rsidRPr="00F90EAE" w:rsidRDefault="00C84475" w:rsidP="00F90EAE">
      <w:pPr>
        <w:jc w:val="both"/>
        <w:rPr>
          <w:color w:val="000000" w:themeColor="text1"/>
          <w:sz w:val="16"/>
          <w:szCs w:val="16"/>
        </w:rPr>
      </w:pPr>
    </w:p>
    <w:p w14:paraId="0C2284B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г. на осмотре послевоенных моделей, состоявшемся в Кремле, И. В. Сталин отметил, что ГАЗ-20 с шестицилиндровым двигателем недостаточно экономичен, хотя в послевоенные годы положение в стране с жидким топливом не обещало быть радужным. Присутствовавший на осмотре А. А. Липгарт указал, что завод предусмотрел вариант автомобиля с четырехцилиндровым мотором. По-видимому, такое объяснение несколько смягчило критическое отношение Сталина к машине. И когда директор ГАЗа И. К. Лоскутов обратился к нему с просьбой закрепить за новой моделью наименование "Победа", услышал такой ответ: "Невелика победа, но пусть будет "Победа". Первую партию новых машин завод собрал 28 июня 1946 г., и 28 апреля 1947 г. Сталину вновь показывали "Победы", на этот раз не их опытные образцы, а серийные. Производство ГАЗ-20, которое велось в небольших масштабах, было приостановлено в октябре 1948 г. Эксплуатация этих машин выявила много недоработок как конструкторских, так и технологических. Среди них рывки сцепления при трогании, низкая эффективность глушителя и стояночного тормоза. Кроме того, довольно быстро "садились" задние рессоры, кузов оказался неравнопрочным, в него проникала пыль. Автомобиль плохо разгонялся, расходовал много топлива. В салоне оказалось недостаточным расстояние от подушки заднего сиденья до потолка, отсутствовали обогреватель лобового стекла и отопитель, ненадежно работали стеклоподъемники. Бесспорно, коллективу ГАЗа были заданы очень жесткие сроки освоения новой и непривычно сложной машины: выезд первого опытного образца и начало выпуска первой промышленной партии "Побед" разделяли лишь 20 месяцев. Разумеется, подготовка производства проходила в обстановке жесточайшего дефицита времени на доводку конструкции и технологическую проработку. Внимание к новой машине высшего руководства страной и стремление отраслевой и заводской администрации любой ценой выполнить, как принято было тогда говорить, "почетное и ответственное задание" косвенно стали причинами неудач. За низкое качество автомобилей "Победа" И. К. Лоскутова освободили от должности директора ГАЗа (12098).</w:t>
      </w:r>
    </w:p>
    <w:p w14:paraId="234A9B21" w14:textId="77777777" w:rsidR="006103B3" w:rsidRPr="00F90EAE" w:rsidRDefault="006103B3" w:rsidP="00F90EAE">
      <w:pPr>
        <w:autoSpaceDE w:val="0"/>
        <w:autoSpaceDN w:val="0"/>
        <w:adjustRightInd w:val="0"/>
        <w:jc w:val="both"/>
        <w:rPr>
          <w:color w:val="000000" w:themeColor="text1"/>
          <w:sz w:val="16"/>
          <w:szCs w:val="16"/>
        </w:rPr>
      </w:pPr>
    </w:p>
    <w:p w14:paraId="002E0660" w14:textId="77777777" w:rsidR="00F60434" w:rsidRPr="00F90EAE" w:rsidRDefault="00F60434" w:rsidP="00F90EAE">
      <w:pPr>
        <w:jc w:val="both"/>
        <w:rPr>
          <w:color w:val="000000" w:themeColor="text1"/>
          <w:sz w:val="16"/>
          <w:szCs w:val="16"/>
        </w:rPr>
      </w:pPr>
      <w:r w:rsidRPr="00F90EAE">
        <w:rPr>
          <w:color w:val="000000" w:themeColor="text1"/>
          <w:sz w:val="16"/>
          <w:szCs w:val="16"/>
        </w:rPr>
        <w:t>19 июня 1945 года, за 5 дней до парада Победы, автомобиль ГАЗ М20 предстал на суд Иосифу Сталину. К машине с шестеркой Сталин отнесся скептически. Кроме того, в послевоенной стране была напряженка с топливом, а вариант с четверкой был очень экономичен. В итоге после долгого изучения обеих машин Сталин сказал: «Надо принять машину с четверкой, машина хорошая».</w:t>
      </w:r>
    </w:p>
    <w:p w14:paraId="00B74BFF" w14:textId="77777777" w:rsidR="00F60434" w:rsidRPr="00F90EAE" w:rsidRDefault="00F60434" w:rsidP="00F90EAE">
      <w:pPr>
        <w:jc w:val="both"/>
        <w:rPr>
          <w:color w:val="000000" w:themeColor="text1"/>
          <w:sz w:val="16"/>
          <w:szCs w:val="16"/>
        </w:rPr>
      </w:pPr>
      <w:r w:rsidRPr="00F90EAE">
        <w:rPr>
          <w:color w:val="000000" w:themeColor="text1"/>
          <w:sz w:val="16"/>
          <w:szCs w:val="16"/>
        </w:rPr>
        <w:t>И вскоре постановлением ГКО «О восстановлении и развитии автомобильной промышленности» было предусмотрено с 28 июня 1946 года начать серийный выпуск нового автомобиля.</w:t>
      </w:r>
    </w:p>
    <w:p w14:paraId="12EB352E" w14:textId="77777777" w:rsidR="00F60434" w:rsidRPr="00F90EAE" w:rsidRDefault="00F60434" w:rsidP="00F90EAE">
      <w:pPr>
        <w:jc w:val="both"/>
        <w:rPr>
          <w:color w:val="000000" w:themeColor="text1"/>
          <w:sz w:val="16"/>
          <w:szCs w:val="16"/>
        </w:rPr>
      </w:pPr>
      <w:r w:rsidRPr="00F90EAE">
        <w:rPr>
          <w:color w:val="000000" w:themeColor="text1"/>
          <w:sz w:val="16"/>
          <w:szCs w:val="16"/>
        </w:rPr>
        <w:t>Первоначально автомобиль планировали назвать «Родина» («Победа» была запасным вариантом). Спросили у Сталина. «А сколько будет стоить Родина?» – спросил Сталин. И машину назвали Победой. А сколько стоит ПОБЕДА, Сталин знал…(18294)</w:t>
      </w:r>
    </w:p>
    <w:p w14:paraId="6463E8C2" w14:textId="77777777" w:rsidR="00F60434" w:rsidRPr="00F90EAE" w:rsidRDefault="00F60434" w:rsidP="00F90EAE">
      <w:pPr>
        <w:jc w:val="both"/>
        <w:rPr>
          <w:color w:val="000000" w:themeColor="text1"/>
          <w:sz w:val="16"/>
          <w:szCs w:val="16"/>
        </w:rPr>
      </w:pPr>
    </w:p>
    <w:p w14:paraId="67E53EB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0A4671F" w14:textId="77777777" w:rsidR="006103B3" w:rsidRPr="00F90EAE" w:rsidRDefault="006103B3" w:rsidP="00F90EAE">
      <w:pPr>
        <w:autoSpaceDE w:val="0"/>
        <w:autoSpaceDN w:val="0"/>
        <w:adjustRightInd w:val="0"/>
        <w:jc w:val="both"/>
        <w:rPr>
          <w:iCs/>
          <w:color w:val="000000" w:themeColor="text1"/>
          <w:sz w:val="16"/>
          <w:szCs w:val="16"/>
        </w:rPr>
      </w:pPr>
    </w:p>
    <w:p w14:paraId="1E14EC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года командующий 4 воздушной армией генерал-полковник авиации Вершинин писал письмо гл. маршалу авиации Новикову.</w:t>
      </w:r>
    </w:p>
    <w:p w14:paraId="23B915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Допрос произвел военный переводчик - ст. лейтенант административной службы - Мальцев.</w:t>
      </w:r>
    </w:p>
    <w:p w14:paraId="0E758C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Докладываю показания военнопленных генералов немецкой армии о действиях авиации 4 воздушной армии в районе города Данциг.</w:t>
      </w:r>
    </w:p>
    <w:p w14:paraId="4E8D33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Командующий армейской группировкой "Восточная Пруссия" генерал-полковник танковых войск фон Заукен показал:</w:t>
      </w:r>
    </w:p>
    <w:p w14:paraId="1A1049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"Авиация в успехе русских войск, особенно в последнее время, имела исключительно большое значение. Воздушные силы Германии в последние 2 года значительно отставали в своем развитии от авиации русских. Появление самолетов на поле боя имело большое значение в исходе боев на земле. Эффективность действия русской авиации в районе Данциг огромна. Командование КА сосредоточило в этом районе большие силы авиации. Авиация парализовала маневренность наших войск и препятствовала подходу резервов к фронту, постоянно действуя по нашим коммуникациям. Мы не могли противопоставить этой воздушной мощи русских, чтобы защитить свои войска от массированных налетов, ни своей авиации, ни сильного огня артиллерии, потому что наши истребители были подавлены огромным превосходством в воздухе, а зенитная артиллерия была в значительной степени выведена из строя в наземных боях или же осталась без боеприпасов. Русская авиация почти беспрепятственно и безнаказанно совершила налеты на наши войска в районе Данциг и в Восточной Пруссии, нанося значительные потери нашим войскам бомбовыми и штурмовыми ударами. Оценить эти потери я затрудняюсь, так как удары авиации наносились одновременно с такими же мощными ударами наземных войск. особенно большие потери наносила авиация военной технике, транспорту и движущимся колоннам в районе Данциг. В районе Пиллау, где наши войска были плотно сосредоточены на узком участке, прямым попаданием бомб уничтожено много артиллерии.</w:t>
      </w:r>
    </w:p>
    <w:p w14:paraId="7DE55B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Особенно хорошо действовали штурмовики ИЛ-2, которые непрерывно совершали налеты на позиции пехоты, артиллерии и транспорт на дорогах, умело используя бортовое оружие и осколочные бомбы. Кроме дневных налетов нас постоянно беспокоили налеты ночных бомбардировщиков У-2. Учитывая узкий участок фронта, на котором было сосредоточено большое количество войск (в районе Данциг), эти налеты наносили нашим войскам существенные потери и препятствовали нормальному движению.</w:t>
      </w:r>
    </w:p>
    <w:p w14:paraId="62EEC9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Следует отметить особенно хорошее взаимодействие наземных войск и авиации русских, что имело важное значение в тактике боев. У нас это взаимодействие было организовано плохо. Я не раз сожалел о разрыве в действиях наших воздушных сил с наземными войсками и не мог получить в свое распоряжение ближних воздушных разведчиков. Считаю, что взаимодействие авиации с наземными войсками является основой успеха в наземных боях.</w:t>
      </w:r>
    </w:p>
    <w:p w14:paraId="7DABFE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Моральное действие налетов русской авиации исключительно большое, особенно там, где войска были сосредоточены на узком участке фронта. Русские летчики дерутся хорошо, действуют смело и дерзко. Я объясняю это тем, что молодежь увлекается авиацией и техникой, умело используя ее достижения, что имеет большое значение в боях."</w:t>
      </w:r>
    </w:p>
    <w:p w14:paraId="4A4DB6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1-й бригады тяжелых минометов, подчиненной 2-й армии, генерал-майор Гроте, показал:</w:t>
      </w:r>
    </w:p>
    <w:p w14:paraId="226511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начале войны русская авиация была в пеленках, тогда как наша авиация значительно превосходила ее в техническом и в количественном отношении. Но в течение войны авиация русских непрерывно развивалась и росла. Впервые мы испытали массированные налеты на Северном Кавказе. Это было для нас неприятным сюрпризом. С течением времени можно было заметить, как боевой дух русских летчиков все повышался, тогда как с нашей стороны наблюдалось обратное явление. Русские летчики действовали смело и дерзко.</w:t>
      </w:r>
    </w:p>
    <w:p w14:paraId="1A4D72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последних боях русские в значительной степени применили массированное действие штурмовиков. Штурмовики являются эффективным оружием, поддерживающим действие наземных войск. Не всегда применение штурмовиков на поле боя вызывает большие потери, но моральное действие их всегда исключительно большое.</w:t>
      </w:r>
    </w:p>
    <w:p w14:paraId="283AEF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Особенно эффективно действовала русская авиация в боях в районе Данциг, где она была применена в больших масштабах. Я оцениваю потери, понесенные войсками при налетах русской авиации в артиллерии и ее прислуге (на позициях) до 60% от общих потерь. Артиллерия находилась под постоянными ударами штурмовиков и ночных бомбардировщиков. У-2, этот маленький самолет, мы по праву ненавидим, так как никогда нельзя угадать его появление над целью. Налеты этих самолетов сильно действуют на нервы.</w:t>
      </w:r>
    </w:p>
    <w:p w14:paraId="780F76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Массированные действия авиации русских на участке в районе Данциг и на косе Фриш-Нерунг имело большое угнетающее действие на наши войска, хотя в последнее время чувства солдат были настолько притуплены, что многие перестали бояться ужасных налетов русских штурмовиков.</w:t>
      </w:r>
    </w:p>
    <w:p w14:paraId="043F08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Можно с уверенностью сказать, что в общих успехах русских войск в последних операциях авиация имела, по моему мнению, решающее значение".</w:t>
      </w:r>
    </w:p>
    <w:p w14:paraId="012FDC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203 ПД, генерал-майор Гедике, показал:</w:t>
      </w:r>
    </w:p>
    <w:p w14:paraId="242089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"Значение русской авиации в последних боях было решающим. В то же время с немецкой стороны действия авиации по войскам противника почти не было. Поэтому в боях за Данциг воздушные силы сыграли одну из значительных ролей. Постоянные массированные налеты наносили довольно ощутительные потери в людях и технике, кроме большого психологического действия на солдат. Так например, за два ночных налета на Данциг было убито свыше 600 солдат и такое же количество, примерно, ранено. Авиацией разрушены или уничтожены в Данциге склады боеприпасов и продовольствия, казармы и т.п. На дорогах в этом районе уничтожено </w:t>
      </w:r>
      <w:r w:rsidRPr="00F90EAE">
        <w:rPr>
          <w:color w:val="000000" w:themeColor="text1"/>
          <w:sz w:val="16"/>
          <w:szCs w:val="16"/>
        </w:rPr>
        <w:lastRenderedPageBreak/>
        <w:t>много машин, техники и людей. В боях в районе Хайлигенбайль в феврале налетами штурмовиков, в основном, была подавлена наша артиллерия. Особенно эффективными были налеты на порт Хель, где было потоплено и повреждено большое количество судов. В районе Пиллау, где были сосредоточены наши войска, на узком участке, авиация нанесла нам большой урон. В том числе ночные бомбардировщики У-2, которые у нас презрительно "швейные машины" или "кофейные мельницы" оправдали свое назначение.</w:t>
      </w:r>
    </w:p>
    <w:p w14:paraId="0F391A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Я считаю, что значение русской авиации если и не было решающим, то во всяком случае большим в общем успехе КА, т.к. авиация прокладывала дорогу пехоте, подавляя нашу артиллерию и минометы".</w:t>
      </w:r>
    </w:p>
    <w:p w14:paraId="1CC97D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558 народно-гренадерской дивизии генерал-лейтенант фон Беркен, показал:</w:t>
      </w:r>
    </w:p>
    <w:p w14:paraId="78E9F39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"Успехи русских войск в последних операциях в значительной степени обязаны массированному применению авиации. Воздушные налеты, кроме огромного деморализующего воздействия, наносили нам значительные потери в живой силе и военных материалах.</w:t>
      </w:r>
    </w:p>
    <w:p w14:paraId="42320E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последний год авиация русских многому научилась и в оперативно-тактическом отношении достигла совершенства. В техническом отношении самолеты на уровне современной техники. Целесообразно применяются легкие ночные бомбардировщики. Массированное применение штурмовиков по массовым целям очень эффективно. Если же не было массовых целей (скопления войск, транспорта и техники), то действие штурмовиков имело, главным образом, деморализующее значение.</w:t>
      </w:r>
    </w:p>
    <w:p w14:paraId="156EC02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Наша зенитная оборона в последнее время была очень слабой и русская авиация действовала свободно, часто атакуя наши войска на бреющем полете, умело используя при этом бортовое оружие.</w:t>
      </w:r>
    </w:p>
    <w:p w14:paraId="54CDED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Большие потери понесли наши войска в районе Пиллау."</w:t>
      </w:r>
    </w:p>
    <w:p w14:paraId="7B214C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23 пд, генерал-лейтенант Ширмер, показал:</w:t>
      </w:r>
    </w:p>
    <w:p w14:paraId="4790A5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участке моей дивизии юго-восточнее Данциг в последние недели налеты русской авиации были незначительны, это было некоторой передышкой для солдат, так как все они очень боятся авиации. Моральное действие в воздушных налетах очень большое, особенно при обстреле из бортового оружия штурмовиков. Вообще действие ИЛ-2 очень неприятно. Моя дивизия пережила всю тяжесть атак этих самолетов на полуострове Эзель, где войска были стеснены на небольшом пространстве и каждый налет приносил большие потери для нас".</w:t>
      </w:r>
    </w:p>
    <w:p w14:paraId="132F6F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армейской военной школы 2-й армии, генерал-майор Ноак, показал:</w:t>
      </w:r>
    </w:p>
    <w:p w14:paraId="1DD563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последнее время я находился на косе Путцигер-Нерунг и неоднократно испытал налеты русской авиации. Особенно эффективными были налеты на порт Хель, где я слышал было потоплено и повреждено ряд судов и транспортов. Русская авиация совершала частые массированные налеты по войскам на косе. Штурмовики волнами, делая по несколько заходов, атаковывали позиции пехоты и артиллерии, особенно страшна атака бортовым оружием. Бомбу можно слышать, пули и снаряд труднее угадать где они упадут. Войска постоянно старались держаться в укрытиях при налетах авиации".</w:t>
      </w:r>
    </w:p>
    <w:p w14:paraId="1E45FC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35 пд, генерал-лейтенант Рихерт, показал:</w:t>
      </w:r>
    </w:p>
    <w:p w14:paraId="7E0619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последние два года русская авиация значительно увеличилась и выросла в количественном отношении. Если в начале войны воздушные налеты русских почти не представляли никакой опасности для наших войск, то в дальнейшем они были все более ощутительны и, наконец, переросли в постоянную угрозу для наших войск. Наши коммуникации находились под непрерывным воздействием русской авиации. Транспорт и войска на марше в последнее время несли большие потери от налетов русской авиации.</w:t>
      </w:r>
    </w:p>
    <w:p w14:paraId="4B1D41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Авиации принадлежит значительная доля в успехе КА, она подавляла в большинстве случаев нашу артиллерию и особенно деморализующее действовала на войска. Со времени Бобруйской наступательной операции русских, наши войска все в возрастающей степени подвергались обработке штурмовой авиацией.</w:t>
      </w:r>
    </w:p>
    <w:p w14:paraId="3C5A88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последнее время, находясь в обороне в районе Мертвая Висла, моя дивизия подвергалась незначительным воздушным атакам, а при налетах несла небольшие потери, так как войска были рассредоточены.</w:t>
      </w:r>
    </w:p>
    <w:p w14:paraId="783F33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Русские летчики действуют храбро и умело."</w:t>
      </w:r>
    </w:p>
    <w:p w14:paraId="2BB25D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 12 авиаполевой дивизии, генерал-майор Шлипер, показал:</w:t>
      </w:r>
    </w:p>
    <w:p w14:paraId="74BB67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"Я пережил сильные атаки русской авиации в районе Данциг. Действия штурмовиков более эффективны в смысле материальных и людских потерь при атаках бомбами и менее эффективны при атаках бортовым оружием, так как люди, как правило, прячутся в укрытиях при появлении авиации. Большие потери несли обозы. Главное значение русской авиации в боях в районе Данциг - это удручающее моральное действие на солдат и нарушение подвоза и маневренности войск на дорогах движения.</w:t>
      </w:r>
    </w:p>
    <w:p w14:paraId="548DCA8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Авиация русских сыграла значительную роль в успехе КА, хотя и не решающую. В тактическом отношении применение русской авиации я считаю правильным и умелым" (1879).</w:t>
      </w:r>
    </w:p>
    <w:p w14:paraId="5EA087EB" w14:textId="77777777" w:rsidR="006103B3" w:rsidRPr="00F90EAE" w:rsidRDefault="006103B3" w:rsidP="00F90EAE">
      <w:pPr>
        <w:autoSpaceDE w:val="0"/>
        <w:autoSpaceDN w:val="0"/>
        <w:adjustRightInd w:val="0"/>
        <w:jc w:val="both"/>
        <w:rPr>
          <w:color w:val="000000" w:themeColor="text1"/>
          <w:sz w:val="16"/>
          <w:szCs w:val="16"/>
        </w:rPr>
      </w:pPr>
    </w:p>
    <w:p w14:paraId="4F8B368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2AB707E6" w14:textId="77777777" w:rsidR="006103B3" w:rsidRPr="00F90EAE" w:rsidRDefault="006103B3" w:rsidP="00F90EAE">
      <w:pPr>
        <w:autoSpaceDE w:val="0"/>
        <w:autoSpaceDN w:val="0"/>
        <w:adjustRightInd w:val="0"/>
        <w:jc w:val="both"/>
        <w:rPr>
          <w:iCs/>
          <w:color w:val="000000" w:themeColor="text1"/>
          <w:sz w:val="16"/>
          <w:szCs w:val="16"/>
        </w:rPr>
      </w:pPr>
    </w:p>
    <w:p w14:paraId="4AB6C0E5" w14:textId="77777777" w:rsidR="00B90038" w:rsidRPr="00F90EAE" w:rsidRDefault="00B90038" w:rsidP="00F90EAE">
      <w:pPr>
        <w:jc w:val="both"/>
        <w:rPr>
          <w:color w:val="000000" w:themeColor="text1"/>
          <w:sz w:val="16"/>
          <w:szCs w:val="16"/>
        </w:rPr>
      </w:pPr>
      <w:r w:rsidRPr="00F90EAE">
        <w:rPr>
          <w:bCs/>
          <w:color w:val="000000" w:themeColor="text1"/>
          <w:sz w:val="16"/>
          <w:szCs w:val="16"/>
        </w:rPr>
        <w:t xml:space="preserve">19 июня </w:t>
      </w:r>
      <w:r w:rsidRPr="00F90EAE">
        <w:rPr>
          <w:color w:val="000000" w:themeColor="text1"/>
          <w:sz w:val="16"/>
          <w:szCs w:val="16"/>
        </w:rPr>
        <w:t>в 1945 году в советской зоне оккупации Германии создан совместный рабочий комитет Коммунистической и Социал-демократической партий Германии для координации политической деятельности (14927).</w:t>
      </w:r>
    </w:p>
    <w:p w14:paraId="6012EFD3" w14:textId="77777777" w:rsidR="00B90038" w:rsidRPr="00F90EAE" w:rsidRDefault="00B90038" w:rsidP="00F90EAE">
      <w:pPr>
        <w:jc w:val="both"/>
        <w:rPr>
          <w:color w:val="000000" w:themeColor="text1"/>
          <w:sz w:val="16"/>
          <w:szCs w:val="16"/>
        </w:rPr>
      </w:pPr>
    </w:p>
    <w:p w14:paraId="51875B4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июня 1945 в Москве начался открытый процесс над командирами польской партизанской Армией Краёвой (4962).</w:t>
      </w:r>
    </w:p>
    <w:p w14:paraId="50C6772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8D61F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вышло Постановление ГКО № 9079 О снабжении продовольствием населения г. Будапешта. РГАНИР, Фонд ГКО, д. 428, лл. 58-59 (11012).</w:t>
      </w:r>
    </w:p>
    <w:p w14:paraId="798C3FD7" w14:textId="77777777" w:rsidR="006103B3" w:rsidRPr="00F90EAE" w:rsidRDefault="006103B3" w:rsidP="00F90EAE">
      <w:pPr>
        <w:autoSpaceDE w:val="0"/>
        <w:autoSpaceDN w:val="0"/>
        <w:adjustRightInd w:val="0"/>
        <w:jc w:val="both"/>
        <w:rPr>
          <w:color w:val="000000" w:themeColor="text1"/>
          <w:sz w:val="16"/>
          <w:szCs w:val="16"/>
        </w:rPr>
      </w:pPr>
    </w:p>
    <w:p w14:paraId="147A256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 июня 1945 года, руководство НКВД санкционировало первую попытку «инвентаризации» своих интеллектуальных «ресурсов» — высококвалифицированных «зэков»-специалистов. В тот день было издано распоряжение НКВД № 132 «Об учете специалистов, работающих в лагерях НКВД для военнопленных и интернированных», в котором говорилось:</w:t>
      </w:r>
    </w:p>
    <w:p w14:paraId="2CFA861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соответствии с приказом НКВД №0014 от 11 января 1945 г. учет специалистов, работающих в лагерях для военнопленных и интернированных, должен проводиться отделами кадров НКВД республик и УНКВД краев и областей, в связи с чем предлагается:</w:t>
      </w:r>
    </w:p>
    <w:p w14:paraId="21F5E7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Взять на учет всех специалистов с законченным высшим и средним специальным образованием, работающих как военнопленные и интернированные, и должны их учитывать в общих квартальных отчетах о движении специалистов по форме 52-Т (объявлена приказом НКВД СССР №002286 1942 г.), представляемых в отделы кадров НКВД.</w:t>
      </w:r>
    </w:p>
    <w:p w14:paraId="71CD9B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Представить в отдел кадров НКВД по установленной форме на указанных специалистов контрольные списки по состоянию на 1 июля 1945 г.» (Военнопленные в СССР. 1939-1956. Документы и материалы. М., 2000, с. 617.) (11765).</w:t>
      </w:r>
    </w:p>
    <w:p w14:paraId="77CB9669" w14:textId="77777777" w:rsidR="006103B3" w:rsidRPr="00F90EAE" w:rsidRDefault="006103B3" w:rsidP="00F90EAE">
      <w:pPr>
        <w:autoSpaceDE w:val="0"/>
        <w:autoSpaceDN w:val="0"/>
        <w:adjustRightInd w:val="0"/>
        <w:jc w:val="both"/>
        <w:rPr>
          <w:color w:val="000000" w:themeColor="text1"/>
          <w:sz w:val="16"/>
          <w:szCs w:val="16"/>
        </w:rPr>
      </w:pPr>
    </w:p>
    <w:p w14:paraId="5856383F" w14:textId="77777777" w:rsidR="00C8447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EB8BDB2" w14:textId="77777777" w:rsidR="00C84475" w:rsidRPr="00F90EAE" w:rsidRDefault="00C84475" w:rsidP="00F90EAE">
      <w:pPr>
        <w:autoSpaceDE w:val="0"/>
        <w:autoSpaceDN w:val="0"/>
        <w:adjustRightInd w:val="0"/>
        <w:jc w:val="both"/>
        <w:rPr>
          <w:iCs/>
          <w:color w:val="000000" w:themeColor="text1"/>
          <w:sz w:val="16"/>
          <w:szCs w:val="16"/>
        </w:rPr>
      </w:pPr>
    </w:p>
    <w:p w14:paraId="10525CB0" w14:textId="77777777" w:rsidR="00C84475" w:rsidRPr="00F90EAE" w:rsidRDefault="00C84475" w:rsidP="00F90EAE">
      <w:pPr>
        <w:jc w:val="both"/>
        <w:rPr>
          <w:color w:val="000000" w:themeColor="text1"/>
          <w:sz w:val="16"/>
          <w:szCs w:val="16"/>
        </w:rPr>
      </w:pPr>
      <w:r w:rsidRPr="00F90EAE">
        <w:rPr>
          <w:bCs/>
          <w:color w:val="000000" w:themeColor="text1"/>
          <w:sz w:val="16"/>
          <w:szCs w:val="16"/>
        </w:rPr>
        <w:t xml:space="preserve">19 июня </w:t>
      </w:r>
      <w:r w:rsidRPr="00F90EAE">
        <w:rPr>
          <w:color w:val="000000" w:themeColor="text1"/>
          <w:sz w:val="16"/>
          <w:szCs w:val="16"/>
        </w:rPr>
        <w:t>в 1945 году конференция стран – участниц ООН в Сан-Франциско одобрила внесенную делегацией Мексики резолюцию об отказе в приеме в члены ООН тем странам, политические режимы которых были установлены при помощи вооруженных сил стран «оси». Резолюция касалась прежде всего Испании (14927).</w:t>
      </w:r>
    </w:p>
    <w:p w14:paraId="42BA8BB4" w14:textId="77777777" w:rsidR="00C84475" w:rsidRPr="00F90EAE" w:rsidRDefault="00C84475" w:rsidP="00F90EAE">
      <w:pPr>
        <w:jc w:val="both"/>
        <w:rPr>
          <w:color w:val="000000" w:themeColor="text1"/>
          <w:sz w:val="16"/>
          <w:szCs w:val="16"/>
        </w:rPr>
      </w:pPr>
    </w:p>
    <w:p w14:paraId="098E41F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3185AF2C" w14:textId="77777777" w:rsidR="006103B3" w:rsidRPr="00F90EAE" w:rsidRDefault="006103B3" w:rsidP="00F90EAE">
      <w:pPr>
        <w:autoSpaceDE w:val="0"/>
        <w:autoSpaceDN w:val="0"/>
        <w:adjustRightInd w:val="0"/>
        <w:jc w:val="both"/>
        <w:rPr>
          <w:iCs/>
          <w:color w:val="000000" w:themeColor="text1"/>
          <w:sz w:val="16"/>
          <w:szCs w:val="16"/>
        </w:rPr>
      </w:pPr>
    </w:p>
    <w:p w14:paraId="709DE9EC" w14:textId="77777777" w:rsidR="00C84475" w:rsidRPr="00F90EAE" w:rsidRDefault="00C84475" w:rsidP="00F90EAE">
      <w:pPr>
        <w:jc w:val="both"/>
        <w:rPr>
          <w:color w:val="000000" w:themeColor="text1"/>
          <w:sz w:val="16"/>
          <w:szCs w:val="16"/>
        </w:rPr>
      </w:pPr>
      <w:r w:rsidRPr="00F90EAE">
        <w:rPr>
          <w:bCs/>
          <w:color w:val="000000" w:themeColor="text1"/>
          <w:sz w:val="16"/>
          <w:szCs w:val="16"/>
        </w:rPr>
        <w:t xml:space="preserve">19 июня </w:t>
      </w:r>
      <w:r w:rsidRPr="00F90EAE">
        <w:rPr>
          <w:color w:val="000000" w:themeColor="text1"/>
          <w:sz w:val="16"/>
          <w:szCs w:val="16"/>
        </w:rPr>
        <w:t>в 1945 году в ночь на 19 июня 1945 года в городе Прерау (ныне Пржеров) чешские солдаты остановили поезд с немцами, которых депортировали из их страны. Чешские солдаты под командованием офицера Карола Пазупа вывели всех немцев из поезда и заставили их вырыть себе братскую могилу. А потом расстреляли 265 немцев. Среди которых было 120 женщин и 74 ребенка. Самому старшему из убитых было 80 лет, а самому младшему – 8 месяцев (14927).</w:t>
      </w:r>
    </w:p>
    <w:p w14:paraId="7523F2C0" w14:textId="77777777" w:rsidR="00C84475" w:rsidRPr="00F90EAE" w:rsidRDefault="00C84475" w:rsidP="00F90EAE">
      <w:pPr>
        <w:jc w:val="both"/>
        <w:rPr>
          <w:color w:val="000000" w:themeColor="text1"/>
          <w:sz w:val="16"/>
          <w:szCs w:val="16"/>
        </w:rPr>
      </w:pPr>
    </w:p>
    <w:p w14:paraId="7F249ED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19 июня 1945 Испании отказано в праве вступления в ООН (4962).</w:t>
      </w:r>
    </w:p>
    <w:p w14:paraId="3AEF92E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6A0CFB5" w14:textId="77777777" w:rsidR="007B3FB8" w:rsidRPr="00F90EAE" w:rsidRDefault="007B3FB8" w:rsidP="00F90EAE">
      <w:pPr>
        <w:jc w:val="both"/>
        <w:rPr>
          <w:color w:val="0070C0"/>
          <w:sz w:val="16"/>
          <w:szCs w:val="16"/>
        </w:rPr>
      </w:pPr>
      <w:r w:rsidRPr="00F90EAE">
        <w:rPr>
          <w:color w:val="0070C0"/>
          <w:sz w:val="16"/>
          <w:szCs w:val="16"/>
        </w:rPr>
        <w:t>19 июня 1945 481 B-29 сбросил 3335 тонн (3025 492 кг) бомб на Тоёхаси и другие города Японии (20371).</w:t>
      </w:r>
    </w:p>
    <w:p w14:paraId="724D331C" w14:textId="77777777" w:rsidR="007B3FB8" w:rsidRPr="00F90EAE" w:rsidRDefault="007B3FB8" w:rsidP="00F90EAE">
      <w:pPr>
        <w:jc w:val="both"/>
        <w:rPr>
          <w:color w:val="0070C0"/>
          <w:sz w:val="16"/>
          <w:szCs w:val="16"/>
        </w:rPr>
      </w:pPr>
    </w:p>
    <w:p w14:paraId="16AEA9A4" w14:textId="77777777" w:rsidR="007B3FB8" w:rsidRPr="00F90EAE" w:rsidRDefault="007B3FB8" w:rsidP="00F90EAE">
      <w:pPr>
        <w:jc w:val="both"/>
        <w:rPr>
          <w:color w:val="0070C0"/>
          <w:sz w:val="16"/>
          <w:szCs w:val="16"/>
        </w:rPr>
      </w:pPr>
      <w:r w:rsidRPr="00F90EAE">
        <w:rPr>
          <w:color w:val="0070C0"/>
          <w:sz w:val="16"/>
          <w:szCs w:val="16"/>
        </w:rPr>
        <w:t>19 июня 1945 B-24 Liberators 404-й бомбардировочной эскадрильи ВВС США совершили самый продолжительный бомбардировочный полет в северной части Тихого океана во время Второй мировой войны, пролетев 2700 миль (4348 км) туда и обратно из Шеми, чтобы атаковать японскую базу в Круппу на Курильских островах. B-24s находится в воздухе в течение 15 1 / 2 часов (20371).</w:t>
      </w:r>
    </w:p>
    <w:p w14:paraId="45AEC4C8" w14:textId="77777777" w:rsidR="007B3FB8" w:rsidRPr="00F90EAE" w:rsidRDefault="007B3FB8" w:rsidP="00F90EAE">
      <w:pPr>
        <w:jc w:val="both"/>
        <w:rPr>
          <w:color w:val="0070C0"/>
          <w:sz w:val="16"/>
          <w:szCs w:val="16"/>
        </w:rPr>
      </w:pPr>
    </w:p>
    <w:p w14:paraId="13E2685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FC926E5" w14:textId="77777777" w:rsidR="006103B3" w:rsidRPr="00F90EAE" w:rsidRDefault="006103B3" w:rsidP="00F90EAE">
      <w:pPr>
        <w:autoSpaceDE w:val="0"/>
        <w:autoSpaceDN w:val="0"/>
        <w:adjustRightInd w:val="0"/>
        <w:jc w:val="both"/>
        <w:rPr>
          <w:iCs/>
          <w:color w:val="000000" w:themeColor="text1"/>
          <w:sz w:val="16"/>
          <w:szCs w:val="16"/>
        </w:rPr>
      </w:pPr>
    </w:p>
    <w:p w14:paraId="12E60A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20/21 июня 1945 года N 5/100724с Шахурину.</w:t>
      </w:r>
    </w:p>
    <w:p w14:paraId="1E3B9A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Одним из основных типов торпедоносцев ВВС ВМФ являются самолеты Ил-4, которых на ВВС флотов имеется 207 шт. и в училищах 55 шт.</w:t>
      </w:r>
    </w:p>
    <w:p w14:paraId="6FB14E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этих самолетах стоят моторы, прошедшие 3-4 капитальных ремонта, не обеспечивающих надежности полетов в открытое море.</w:t>
      </w:r>
    </w:p>
    <w:p w14:paraId="000A52E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Резервный же моторный парк М-88б в количестве 390 шт. не может быть использован, так как по своему состоянию эти моторы хуже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271B60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 о. ВВС ВМФ оказались совершенно необеспеченными моторным парком М-88 как резервным, так и на самолетах (2595).</w:t>
      </w:r>
    </w:p>
    <w:p w14:paraId="604B4C62" w14:textId="77777777" w:rsidR="006103B3" w:rsidRPr="00F90EAE" w:rsidRDefault="006103B3" w:rsidP="00F90EAE">
      <w:pPr>
        <w:autoSpaceDE w:val="0"/>
        <w:autoSpaceDN w:val="0"/>
        <w:adjustRightInd w:val="0"/>
        <w:jc w:val="both"/>
        <w:rPr>
          <w:color w:val="000000" w:themeColor="text1"/>
          <w:sz w:val="16"/>
          <w:szCs w:val="16"/>
        </w:rPr>
      </w:pPr>
    </w:p>
    <w:p w14:paraId="43BE3939" w14:textId="77777777" w:rsidR="00C84475" w:rsidRPr="00F90EAE" w:rsidRDefault="00C84475"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20 июня 1945 в развитие линии Пе-2И с ВК-107А и ДБ с ВК-108 постановлением ГОКО и приказом НКАП от 29 июня 1945 г. ОКБ-482 поручалось создать двухместный дальний истребитель со</w:t>
      </w:r>
      <w:r w:rsidRPr="00F90EAE">
        <w:rPr>
          <w:rFonts w:ascii="Times New Roman" w:cs="Times New Roman"/>
          <w:color w:val="000000" w:themeColor="text1"/>
          <w:spacing w:val="0"/>
        </w:rPr>
        <w:softHyphen/>
        <w:t>провождения ДИС 2ВК-107А.</w:t>
      </w:r>
    </w:p>
    <w:p w14:paraId="73A60F94" w14:textId="77777777" w:rsidR="00C84475" w:rsidRPr="00F90EAE" w:rsidRDefault="00C84475"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Интересно отметить, что в ходе подготовки проекта постановления В.М. Мясищев предлагал строить даль</w:t>
      </w:r>
      <w:r w:rsidRPr="00F90EAE">
        <w:rPr>
          <w:rFonts w:ascii="Times New Roman" w:cs="Times New Roman"/>
          <w:color w:val="000000" w:themeColor="text1"/>
          <w:spacing w:val="0"/>
        </w:rPr>
        <w:softHyphen/>
        <w:t>ний истребитель сопровождения на базе Пе-2И 2М-107А в одноместном ва</w:t>
      </w:r>
      <w:r w:rsidRPr="00F90EAE">
        <w:rPr>
          <w:rFonts w:ascii="Times New Roman" w:cs="Times New Roman"/>
          <w:color w:val="000000" w:themeColor="text1"/>
          <w:spacing w:val="0"/>
        </w:rPr>
        <w:softHyphen/>
        <w:t>рианте, «также как и американский са</w:t>
      </w:r>
      <w:r w:rsidRPr="00F90EAE">
        <w:rPr>
          <w:rFonts w:ascii="Times New Roman" w:cs="Times New Roman"/>
          <w:color w:val="000000" w:themeColor="text1"/>
          <w:spacing w:val="0"/>
        </w:rPr>
        <w:softHyphen/>
        <w:t>молет Лайтнинг». Максимальная ско</w:t>
      </w:r>
      <w:r w:rsidRPr="00F90EAE">
        <w:rPr>
          <w:rFonts w:ascii="Times New Roman" w:cs="Times New Roman"/>
          <w:color w:val="000000" w:themeColor="text1"/>
          <w:spacing w:val="0"/>
        </w:rPr>
        <w:softHyphen/>
        <w:t>рость по расчетам получалась 640 км/ч на высоте 5700 м, дальность полета без подвесных топливных баков - 4000 км, вооружение - две пушки калибра 20 мм и две пушки калибра 37 мм (или 45 мм), две бомбы калибра 500 кг. При исполь</w:t>
      </w:r>
      <w:r w:rsidRPr="00F90EAE">
        <w:rPr>
          <w:rFonts w:ascii="Times New Roman" w:cs="Times New Roman"/>
          <w:color w:val="000000" w:themeColor="text1"/>
          <w:spacing w:val="0"/>
        </w:rPr>
        <w:softHyphen/>
        <w:t xml:space="preserve">зовании более мощных моторов М-108 максимальная скорость возрастала до </w:t>
      </w:r>
      <w:r w:rsidRPr="00F90EAE">
        <w:rPr>
          <w:rStyle w:val="BookAntiqua10pt0pt"/>
          <w:rFonts w:ascii="Times New Roman" w:eastAsia="Arial Narrow" w:hAnsi="Times New Roman" w:cs="Times New Roman"/>
          <w:b w:val="0"/>
          <w:color w:val="000000" w:themeColor="text1"/>
          <w:spacing w:val="0"/>
          <w:sz w:val="16"/>
          <w:szCs w:val="16"/>
        </w:rPr>
        <w:t>680</w:t>
      </w:r>
      <w:r w:rsidRPr="00F90EAE">
        <w:rPr>
          <w:rFonts w:ascii="Times New Roman" w:cs="Times New Roman"/>
          <w:color w:val="000000" w:themeColor="text1"/>
          <w:spacing w:val="0"/>
        </w:rPr>
        <w:t xml:space="preserve"> км/ч при сохранении дальности и вооружения на прежнем уровне. Утвер</w:t>
      </w:r>
      <w:r w:rsidRPr="00F90EAE">
        <w:rPr>
          <w:rFonts w:ascii="Times New Roman" w:cs="Times New Roman"/>
          <w:color w:val="000000" w:themeColor="text1"/>
          <w:spacing w:val="0"/>
        </w:rPr>
        <w:softHyphen/>
        <w:t>ждалось, «что по дальности, скорости и вооружению предлагаемый истреби</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тель</w:t>
      </w:r>
      <w:r w:rsidRPr="00F90EAE">
        <w:rPr>
          <w:rFonts w:ascii="Times New Roman" w:cs="Times New Roman"/>
          <w:color w:val="000000" w:themeColor="text1"/>
          <w:spacing w:val="0"/>
        </w:rPr>
        <w:t xml:space="preserve"> сопровождения стоит на уровне лучших образцов иностранных самоле</w:t>
      </w:r>
      <w:r w:rsidRPr="00F90EAE">
        <w:rPr>
          <w:rFonts w:ascii="Times New Roman" w:cs="Times New Roman"/>
          <w:color w:val="000000" w:themeColor="text1"/>
          <w:spacing w:val="0"/>
        </w:rPr>
        <w:softHyphen/>
      </w:r>
      <w:r w:rsidRPr="00F90EAE">
        <w:rPr>
          <w:rStyle w:val="95pt-1pt"/>
          <w:rFonts w:ascii="Times New Roman" w:hAnsi="Times New Roman" w:cs="Times New Roman"/>
          <w:b w:val="0"/>
          <w:color w:val="000000" w:themeColor="text1"/>
          <w:spacing w:val="0"/>
          <w:sz w:val="16"/>
          <w:szCs w:val="16"/>
        </w:rPr>
        <w:t>те».</w:t>
      </w:r>
      <w:r w:rsidRPr="00F90EAE">
        <w:rPr>
          <w:rFonts w:ascii="Times New Roman" w:cs="Times New Roman"/>
          <w:color w:val="000000" w:themeColor="text1"/>
          <w:spacing w:val="0"/>
        </w:rPr>
        <w:t xml:space="preserve"> Самолет с небольшими изменени</w:t>
      </w:r>
      <w:r w:rsidRPr="00F90EAE">
        <w:rPr>
          <w:rFonts w:ascii="Times New Roman" w:cs="Times New Roman"/>
          <w:color w:val="000000" w:themeColor="text1"/>
          <w:spacing w:val="0"/>
        </w:rPr>
        <w:softHyphen/>
        <w:t xml:space="preserve">ям позволял также использование его </w:t>
      </w:r>
      <w:r w:rsidRPr="00F90EAE">
        <w:rPr>
          <w:rStyle w:val="TimesNewRoman10pt"/>
          <w:rFonts w:eastAsia="Arial Narrow"/>
          <w:b w:val="0"/>
          <w:color w:val="000000" w:themeColor="text1"/>
          <w:sz w:val="16"/>
          <w:szCs w:val="16"/>
        </w:rPr>
        <w:t>в</w:t>
      </w:r>
      <w:r w:rsidRPr="00F90EAE">
        <w:rPr>
          <w:rFonts w:ascii="Times New Roman" w:cs="Times New Roman"/>
          <w:color w:val="000000" w:themeColor="text1"/>
          <w:spacing w:val="0"/>
        </w:rPr>
        <w:t xml:space="preserve"> качестве дальнего разведчика и ноч</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ного</w:t>
      </w:r>
      <w:r w:rsidRPr="00F90EAE">
        <w:rPr>
          <w:rFonts w:ascii="Times New Roman" w:cs="Times New Roman"/>
          <w:color w:val="000000" w:themeColor="text1"/>
          <w:spacing w:val="0"/>
        </w:rPr>
        <w:t xml:space="preserve"> истребителя в системе ПВО при установке на нем радиолокационных устройств типа СЧ или «Гнейс». В пер</w:t>
      </w:r>
      <w:r w:rsidRPr="00F90EAE">
        <w:rPr>
          <w:rFonts w:ascii="Times New Roman" w:cs="Times New Roman"/>
          <w:color w:val="000000" w:themeColor="text1"/>
          <w:spacing w:val="0"/>
        </w:rPr>
        <w:softHyphen/>
        <w:t>спективе, «после отработки тов. Климо</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вым</w:t>
      </w:r>
      <w:r w:rsidRPr="00F90EAE">
        <w:rPr>
          <w:rFonts w:ascii="Times New Roman" w:cs="Times New Roman"/>
          <w:color w:val="000000" w:themeColor="text1"/>
          <w:spacing w:val="0"/>
        </w:rPr>
        <w:t xml:space="preserve"> высотных моторов ВК-109», пред</w:t>
      </w:r>
      <w:r w:rsidRPr="00F90EAE">
        <w:rPr>
          <w:rFonts w:ascii="Times New Roman" w:cs="Times New Roman"/>
          <w:color w:val="000000" w:themeColor="text1"/>
          <w:spacing w:val="0"/>
        </w:rPr>
        <w:softHyphen/>
        <w:t xml:space="preserve">полагался выпуск истребителя с этими моторами и гермокабиной для экипажа </w:t>
      </w:r>
      <w:r w:rsidRPr="00F90EAE">
        <w:rPr>
          <w:rStyle w:val="Candara10pt"/>
          <w:rFonts w:ascii="Times New Roman" w:hAnsi="Times New Roman" w:cs="Times New Roman"/>
          <w:b w:val="0"/>
          <w:color w:val="000000" w:themeColor="text1"/>
          <w:sz w:val="16"/>
          <w:szCs w:val="16"/>
        </w:rPr>
        <w:t>и</w:t>
      </w:r>
      <w:r w:rsidRPr="00F90EAE">
        <w:rPr>
          <w:rFonts w:ascii="Times New Roman" w:cs="Times New Roman"/>
          <w:color w:val="000000" w:themeColor="text1"/>
          <w:spacing w:val="0"/>
        </w:rPr>
        <w:t xml:space="preserve"> высотностью до 12000 м.</w:t>
      </w:r>
    </w:p>
    <w:p w14:paraId="44B092BB" w14:textId="77777777" w:rsidR="00C84475" w:rsidRPr="00F90EAE" w:rsidRDefault="00C84475"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 xml:space="preserve">Командующий ВВС КА маршал </w:t>
      </w:r>
      <w:r w:rsidRPr="00F90EAE">
        <w:rPr>
          <w:rStyle w:val="aff9"/>
          <w:rFonts w:ascii="Times New Roman" w:cs="Times New Roman"/>
          <w:b w:val="0"/>
          <w:color w:val="000000" w:themeColor="text1"/>
          <w:spacing w:val="0"/>
          <w:sz w:val="16"/>
          <w:szCs w:val="16"/>
        </w:rPr>
        <w:t>АА</w:t>
      </w:r>
      <w:r w:rsidRPr="00F90EAE">
        <w:rPr>
          <w:rFonts w:ascii="Times New Roman" w:cs="Times New Roman"/>
          <w:color w:val="000000" w:themeColor="text1"/>
          <w:spacing w:val="0"/>
        </w:rPr>
        <w:t xml:space="preserve"> Новиков возражал, считая лучшим вариантом дальний истребитель с эки</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пажем</w:t>
      </w:r>
      <w:r w:rsidRPr="00F90EAE">
        <w:rPr>
          <w:rFonts w:ascii="Times New Roman" w:cs="Times New Roman"/>
          <w:color w:val="000000" w:themeColor="text1"/>
          <w:spacing w:val="0"/>
        </w:rPr>
        <w:t xml:space="preserve"> из двух человек (летчик и штур</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ман)</w:t>
      </w:r>
      <w:r w:rsidRPr="00F90EAE">
        <w:rPr>
          <w:rFonts w:ascii="Times New Roman" w:cs="Times New Roman"/>
          <w:color w:val="000000" w:themeColor="text1"/>
          <w:spacing w:val="0"/>
        </w:rPr>
        <w:t xml:space="preserve"> и оборонительным вооружением для защиты от атак противника со сто</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роны</w:t>
      </w:r>
      <w:r w:rsidRPr="00F90EAE">
        <w:rPr>
          <w:rFonts w:ascii="Times New Roman" w:cs="Times New Roman"/>
          <w:color w:val="000000" w:themeColor="text1"/>
          <w:spacing w:val="0"/>
        </w:rPr>
        <w:t xml:space="preserve"> задней полусферы. Его не сму</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тило</w:t>
      </w:r>
      <w:r w:rsidRPr="00F90EAE">
        <w:rPr>
          <w:rFonts w:ascii="Times New Roman" w:cs="Times New Roman"/>
          <w:color w:val="000000" w:themeColor="text1"/>
          <w:spacing w:val="0"/>
        </w:rPr>
        <w:t xml:space="preserve"> неизбежное в этом случае сниже</w:t>
      </w:r>
      <w:r w:rsidRPr="00F90EAE">
        <w:rPr>
          <w:rFonts w:ascii="Times New Roman" w:cs="Times New Roman"/>
          <w:color w:val="000000" w:themeColor="text1"/>
          <w:spacing w:val="0"/>
        </w:rPr>
        <w:softHyphen/>
      </w:r>
      <w:r w:rsidRPr="00F90EAE">
        <w:rPr>
          <w:rStyle w:val="aff9"/>
          <w:rFonts w:ascii="Times New Roman" w:cs="Times New Roman"/>
          <w:b w:val="0"/>
          <w:color w:val="000000" w:themeColor="text1"/>
          <w:spacing w:val="0"/>
          <w:sz w:val="16"/>
          <w:szCs w:val="16"/>
        </w:rPr>
        <w:t>ние</w:t>
      </w:r>
      <w:r w:rsidRPr="00F90EAE">
        <w:rPr>
          <w:rFonts w:ascii="Times New Roman" w:cs="Times New Roman"/>
          <w:color w:val="000000" w:themeColor="text1"/>
          <w:spacing w:val="0"/>
        </w:rPr>
        <w:t xml:space="preserve"> летных данных самолета: скорости, дальности полета. Мнение Новикова оказалось решающим.</w:t>
      </w:r>
    </w:p>
    <w:p w14:paraId="44F9F46A" w14:textId="77777777" w:rsidR="00C84475" w:rsidRPr="00F90EAE" w:rsidRDefault="00C84475"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Планировалось строить сразу два экземпляра истребителя на заводе N9482 со сроком передачи на испытания не позже 15 августа 1945 г. Для их по</w:t>
      </w:r>
      <w:r w:rsidRPr="00F90EAE">
        <w:rPr>
          <w:rFonts w:ascii="Times New Roman" w:cs="Times New Roman"/>
          <w:color w:val="000000" w:themeColor="text1"/>
          <w:spacing w:val="0"/>
        </w:rPr>
        <w:softHyphen/>
        <w:t>стройки предполагалось использовать агрегаты и узлы уже изготовленного на заводе №22 самолета Пе-2И. Вопрос о серийном выпуске этих самолетов предлагалось решить после проведе</w:t>
      </w:r>
      <w:r w:rsidRPr="00F90EAE">
        <w:rPr>
          <w:rFonts w:ascii="Times New Roman" w:cs="Times New Roman"/>
          <w:color w:val="000000" w:themeColor="text1"/>
          <w:spacing w:val="0"/>
        </w:rPr>
        <w:softHyphen/>
        <w:t>ния летных испытаний. На строительст</w:t>
      </w:r>
      <w:r w:rsidRPr="00F90EAE">
        <w:rPr>
          <w:rFonts w:ascii="Times New Roman" w:cs="Times New Roman"/>
          <w:color w:val="000000" w:themeColor="text1"/>
          <w:spacing w:val="0"/>
        </w:rPr>
        <w:softHyphen/>
        <w:t>во двух опытных экземпляров самолета выделялось 5800 тыс. рублей (15758).</w:t>
      </w:r>
    </w:p>
    <w:p w14:paraId="4422503D" w14:textId="77777777" w:rsidR="00C84475" w:rsidRPr="00F90EAE" w:rsidRDefault="00C84475" w:rsidP="00F90EAE">
      <w:pPr>
        <w:pStyle w:val="27"/>
        <w:shd w:val="clear" w:color="auto" w:fill="auto"/>
        <w:spacing w:after="0" w:line="240" w:lineRule="auto"/>
        <w:ind w:firstLine="0"/>
        <w:rPr>
          <w:rFonts w:ascii="Times New Roman" w:cs="Times New Roman"/>
          <w:color w:val="000000" w:themeColor="text1"/>
          <w:spacing w:val="0"/>
        </w:rPr>
      </w:pPr>
    </w:p>
    <w:p w14:paraId="736D03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N 9080с от о создании в кратчайший срок самолетов истребителей сопровождения (1894127).</w:t>
      </w:r>
    </w:p>
    <w:p w14:paraId="3837F943" w14:textId="77777777" w:rsidR="006103B3" w:rsidRPr="00F90EAE" w:rsidRDefault="006103B3" w:rsidP="00F90EAE">
      <w:pPr>
        <w:autoSpaceDE w:val="0"/>
        <w:autoSpaceDN w:val="0"/>
        <w:adjustRightInd w:val="0"/>
        <w:jc w:val="both"/>
        <w:rPr>
          <w:color w:val="000000" w:themeColor="text1"/>
          <w:sz w:val="16"/>
          <w:szCs w:val="16"/>
        </w:rPr>
      </w:pPr>
    </w:p>
    <w:p w14:paraId="566249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9080 О постройке самолетов-истребителей сопровождения. РГАНИР, Фонд ГКО, д. 428, лл. 60 (11012).</w:t>
      </w:r>
    </w:p>
    <w:p w14:paraId="13B9A5C5" w14:textId="77777777" w:rsidR="006103B3" w:rsidRPr="00F90EAE" w:rsidRDefault="006103B3" w:rsidP="00F90EAE">
      <w:pPr>
        <w:autoSpaceDE w:val="0"/>
        <w:autoSpaceDN w:val="0"/>
        <w:adjustRightInd w:val="0"/>
        <w:jc w:val="both"/>
        <w:rPr>
          <w:color w:val="000000" w:themeColor="text1"/>
          <w:sz w:val="16"/>
          <w:szCs w:val="16"/>
        </w:rPr>
      </w:pPr>
    </w:p>
    <w:p w14:paraId="541926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за № 0349 Г.К.Жуковым и 22 июня в ГШ ВВС РККА за № 02252 было получено письмо Роберта Гюсснера</w:t>
      </w:r>
    </w:p>
    <w:p w14:paraId="63DF00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Коменданту Берлина</w:t>
      </w:r>
    </w:p>
    <w:p w14:paraId="7D14FF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через ст. л. Мочалина</w:t>
      </w:r>
    </w:p>
    <w:p w14:paraId="29ACFB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Виза</w:t>
      </w:r>
    </w:p>
    <w:p w14:paraId="6C3FFE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“Лично</w:t>
      </w:r>
    </w:p>
    <w:p w14:paraId="6E0EA3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В.Новикову А.А.</w:t>
      </w:r>
    </w:p>
    <w:p w14:paraId="42A75F8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разобраться, переговорить с т. Шахуриным и свое мнение доложить”</w:t>
      </w:r>
    </w:p>
    <w:p w14:paraId="2A089F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w:t>
      </w:r>
    </w:p>
    <w:p w14:paraId="27D6FDD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Ссылаясь на мои переговоры с г. ст. л. Мочалиным я вручаю, согласно высказанного мне пожелания, приложенную к сему сводку, передающую приблизительное содержание моих изложений.</w:t>
      </w:r>
    </w:p>
    <w:p w14:paraId="7DD5046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Применение приобретенных в области электрических колебаний познаний, законом и методов подсчета также в области механики и, в частности, машино строения могло бы внеспециалисте вызвать понятные сомнения в допустимости такового. Позволю себе указать на то, что правильность резонансного принципа в машинах осциляционно- и кругово-колебательного действия уже доказана. Резонансные машины изготовляются машиностроительными заводами акц. Обва Фридр. Крупа в Магдебурге, Акц.О-ва Иос. Фегеле в Мангейме, Акц.О-во Гутегофнукгсгютте Обергаузен в Дюссельдорфе, Акц.О-ве Гумбольт-Дейц-мотороз вКелън-Дейце и др. Эти крупные фирмы, ближе всего, пожалуй, стоящие к практике, действительности и хо</w:t>
      </w:r>
      <w:r w:rsidRPr="00F90EAE">
        <w:rPr>
          <w:color w:val="000000" w:themeColor="text1"/>
          <w:sz w:val="16"/>
          <w:szCs w:val="16"/>
        </w:rPr>
        <w:softHyphen/>
        <w:t>зяйственности, точнейшим образом исследовали, контролировали и путем точнейших измерений изучили резонансный принцип во всех его выявлениях и путем постройки и продажи таковых машин на сумму свыше 20 милионов марок они завоевали резонансному принципу признанное превосходство над до сих пор существующими вопреки всем нападкам со стороны влиятельных кругов нынешней профессорской династии.</w:t>
      </w:r>
    </w:p>
    <w:p w14:paraId="701617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Специалисту ныне уже ясно, что область резонансных машин, как и иные крупные отрасли техники, прогрессивно возрастет и в конечном итоге займет в механике то же положение, как напр. Отрасли машин переменного тока и высокой частоты в электротехнике.</w:t>
      </w:r>
    </w:p>
    <w:p w14:paraId="1A885D1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Дело касается здесь, значит, не какого-то частичного изобретения, затрагивающего конструкции одной какой-либо машины или категории машин, а до сих пор широкими кругами оставленного без внимания основного принципа дтч передачи полезного действия. Что этот испытанный принцип применим также в конструткции самолетов, и при том невообразиным полезным эффектом, это не подлежит для меня ни малейшему сомнению.</w:t>
      </w:r>
    </w:p>
    <w:p w14:paraId="7C68AB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Во избежание недоразумений я повторяю!, что я не являюсь изобретателен этого принципа, а только сотрудничал в области изученимя принципов колебаний в течение 10 лет. Само собой разумеется, я попытаюсь привлечь и самого изобретателя - человека уже весьма преклонного возраста - к участию в работе и осущестлению предлашгаемого Вам проекта.</w:t>
      </w:r>
    </w:p>
    <w:p w14:paraId="56996CA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РЕЗОНАНСНЫЕ САМОЛЕТЫ.</w:t>
      </w:r>
    </w:p>
    <w:p w14:paraId="56E957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А. </w:t>
      </w:r>
      <w:r w:rsidRPr="00F90EAE">
        <w:rPr>
          <w:smallCaps/>
          <w:color w:val="000000" w:themeColor="text1"/>
          <w:sz w:val="16"/>
          <w:szCs w:val="16"/>
        </w:rPr>
        <w:t>развитИЕ ТЕХНИКИ полета.</w:t>
      </w:r>
    </w:p>
    <w:p w14:paraId="50C6CD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начала нынешнего столетия встречало всякое намерение полета при помощи “машин тяжелее воздуха” лишь недоверчивую улыбку. Даже признанные корифеи науки и практические техники, ка-то Гелъмгольц и Вернер Фон Зименс, высказывались ошибочно против такой возможности и нанесли этим германской летательной технике, занявшей с Отто Лилиенталем во главе тогда ведущее положение, не малый вред.</w:t>
      </w:r>
    </w:p>
    <w:p w14:paraId="75BE38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Тем временен разрешение этой проблемы теоретически и практически давно уже удалось, однако опять уже находятся отрица</w:t>
      </w:r>
      <w:r w:rsidRPr="00F90EAE">
        <w:rPr>
          <w:color w:val="000000" w:themeColor="text1"/>
          <w:sz w:val="16"/>
          <w:szCs w:val="16"/>
        </w:rPr>
        <w:softHyphen/>
        <w:t>тельно настроенные критики, старающиеся все ставить в смешном виде следующий важный шаг летательной техники, а именно подражателъное применение естественного колебательного полета. Ар</w:t>
      </w:r>
      <w:r w:rsidRPr="00F90EAE">
        <w:rPr>
          <w:color w:val="000000" w:themeColor="text1"/>
          <w:sz w:val="16"/>
          <w:szCs w:val="16"/>
        </w:rPr>
        <w:softHyphen/>
        <w:t>гументация их гласит приблизительно так:</w:t>
      </w:r>
    </w:p>
    <w:p w14:paraId="1D92C47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"Лучшим средством передвижения в воздушной среде является скользящая, движимая при помощи пропеллера плоскости, и этим средством пользовалась бы и природа, будь она в состоянии питать ротирующие наподобие пропеллера органы через обычную кровеносную система животного типа".</w:t>
      </w:r>
    </w:p>
    <w:p w14:paraId="22879F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Противопоставить этому можно, что животныйполет показывает многократно лучший коэффициент полезного дейстзия при одинако</w:t>
      </w:r>
      <w:r w:rsidRPr="00F90EAE">
        <w:rPr>
          <w:color w:val="000000" w:themeColor="text1"/>
          <w:sz w:val="16"/>
          <w:szCs w:val="16"/>
        </w:rPr>
        <w:softHyphen/>
        <w:t>вой затрате энергии, что он позволяет пользоваться точкообразными площадями для старта и посадки и во время полета в воздухе остановиться неподвижно; что дальше природа в лице полета на</w:t>
      </w:r>
      <w:r w:rsidRPr="00F90EAE">
        <w:rPr>
          <w:color w:val="000000" w:themeColor="text1"/>
          <w:sz w:val="16"/>
          <w:szCs w:val="16"/>
        </w:rPr>
        <w:softHyphen/>
        <w:t>секомых обладает летательным методом настолько поосто и легко применимым, что мастерски пользоваться им в состоянии даже жи</w:t>
      </w:r>
      <w:r w:rsidRPr="00F90EAE">
        <w:rPr>
          <w:color w:val="000000" w:themeColor="text1"/>
          <w:sz w:val="16"/>
          <w:szCs w:val="16"/>
        </w:rPr>
        <w:softHyphen/>
        <w:t>вотные, длительность жизни которых ограничена всего лишь не</w:t>
      </w:r>
      <w:r w:rsidRPr="00F90EAE">
        <w:rPr>
          <w:color w:val="000000" w:themeColor="text1"/>
          <w:sz w:val="16"/>
          <w:szCs w:val="16"/>
        </w:rPr>
        <w:softHyphen/>
        <w:t>сколькими днями либо часами, и следовательно не имеющие времени для улучшений в полете. Всеми этими соображениями не только опровергнуто ложное мнение, будто нами якобы превзойдення при</w:t>
      </w:r>
      <w:r w:rsidRPr="00F90EAE">
        <w:rPr>
          <w:color w:val="000000" w:themeColor="text1"/>
          <w:sz w:val="16"/>
          <w:szCs w:val="16"/>
        </w:rPr>
        <w:softHyphen/>
        <w:t>рода должна у нас учиться, но и доказана настоятельная обязан</w:t>
      </w:r>
      <w:r w:rsidRPr="00F90EAE">
        <w:rPr>
          <w:color w:val="000000" w:themeColor="text1"/>
          <w:sz w:val="16"/>
          <w:szCs w:val="16"/>
        </w:rPr>
        <w:softHyphen/>
        <w:t>ность для нас, извлечь для нас пользу из познанных преимуществ естественного полета.</w:t>
      </w:r>
    </w:p>
    <w:p w14:paraId="4803EF9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Последуюцие строки имеют целью доказать, что это действи</w:t>
      </w:r>
      <w:r w:rsidRPr="00F90EAE">
        <w:rPr>
          <w:color w:val="000000" w:themeColor="text1"/>
          <w:sz w:val="16"/>
          <w:szCs w:val="16"/>
        </w:rPr>
        <w:softHyphen/>
        <w:t>тельно реализуемо.</w:t>
      </w:r>
    </w:p>
    <w:p w14:paraId="5A0BDA6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Знакомые роды полета.</w:t>
      </w:r>
    </w:p>
    <w:p w14:paraId="13C6C47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Знакомые роды полета можно подразделить следующим образом:</w:t>
      </w:r>
    </w:p>
    <w:p w14:paraId="4B6BC64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lang w:val="en-US"/>
        </w:rPr>
        <w:t>I</w:t>
      </w:r>
      <w:r w:rsidRPr="00F90EAE">
        <w:rPr>
          <w:color w:val="000000" w:themeColor="text1"/>
          <w:sz w:val="16"/>
          <w:szCs w:val="16"/>
        </w:rPr>
        <w:t>) Скользящие плоскости, движимые вперед тяговой силой (пропеллером); на этом принципе построены все с успехом приме</w:t>
      </w:r>
      <w:r w:rsidRPr="00F90EAE">
        <w:rPr>
          <w:color w:val="000000" w:themeColor="text1"/>
          <w:sz w:val="16"/>
          <w:szCs w:val="16"/>
        </w:rPr>
        <w:softHyphen/>
        <w:t>няемые роды человеческих самолетов,</w:t>
      </w:r>
    </w:p>
    <w:p w14:paraId="00A32C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Естественный метод полета, применяемый птицами, и;</w:t>
      </w:r>
    </w:p>
    <w:p w14:paraId="0EFD49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иетод, преимущественно свойственный насекомым.</w:t>
      </w:r>
    </w:p>
    <w:p w14:paraId="260C6D1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п. 1. Первоуаомянутый метод полета является т.н. методом постоянной силы, т.е. постонно вращиающийся винтовой пропеллер вызывает в воздухе постоянные, направленные вперед силы, движузие скользящую плоскость - в зависимости от устанавливаемого угла наклона - постоянно вверх, горизонтально или вниз.</w:t>
      </w:r>
    </w:p>
    <w:p w14:paraId="45C1EC3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К п. 2 Второй метод полета пользуется физическим принципом переменных сил. Движение вперед вызывается переменнымми воздушнымси импульсами, создаваемыми ударяющими вверх-вниз крыльями </w:t>
      </w:r>
    </w:p>
    <w:p w14:paraId="3B8F44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 а. 3. Третий метод полета зиждется на принципе т.н. круговых колебаний. При этом принципе наблюдаемы физические явления как постоянных, так и переменных сил, кроме того, управление применяется не только динамическое, действующее во время полета, но действующее в состоянии покоя статическое.</w:t>
      </w:r>
    </w:p>
    <w:p w14:paraId="024D17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Прежде, чем вдаваться в подробности, следует указать на то, что технике удалось осуществитвление первого метода полета, т.е. метода, вообще не имеющего аналога в природе, только потому, что она вплоть до последних годов владела из всех вышеназванных механических принципов дествительно суверенно только этим принципос постоянных сил. Из числа переменно-силовых явлений изучен был лишь тот, при котором данная масса двигалась попеременно в двух диаметрально </w:t>
      </w:r>
      <w:r w:rsidRPr="00F90EAE">
        <w:rPr>
          <w:color w:val="000000" w:themeColor="text1"/>
          <w:sz w:val="16"/>
          <w:szCs w:val="16"/>
        </w:rPr>
        <w:lastRenderedPageBreak/>
        <w:t>противоположных направлениях при помощи неупругих элементов при граниченном размахе движения. Но как раз этот способ движения оказался в результате безчисленных практических опытов обсолютно непригодным.</w:t>
      </w:r>
    </w:p>
    <w:p w14:paraId="6299A09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Что при животном полете применяется исключительно колебательный процесс с переменной, ограниченной свободными силами амплитудой, достигающей своего максимума в случае равной настройки (резонанса), это было доказано уже в 1922 г. на конгрессе естествоведов в Лейпциге (100-й конгресс) и впоследствии было аналогично перенесено на все прочие являения переменных сил. Для механики этим была открыта совершенно новая область.</w:t>
      </w:r>
    </w:p>
    <w:p w14:paraId="3AB2FE9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Область динамической резонансной машины.</w:t>
      </w:r>
    </w:p>
    <w:p w14:paraId="7FDD3A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Что все до сих пор приложенные старания и предпринятые попытки подражания животному полету окончились полной неудачей доказывает явно, что тут оказался пробел в намем техническом знании. Лишь проведенное при помощи киносъемок точное доказательство того, что птицы при полете действительно пользуются принципом резонанса, вполне замкнула эту цепь мыслей. На первых порах сразу после открытия области резонансных машин казалось обоснованным выражение сомнения в том, что действительно ли этот принцип позволит столь существенно улучшать коэффициент полезного действия механической аппаратуры, и широчайшим образом таковые сомнения были высказаны. Тем временем однако развитие резонансных машин доказало воочию, что самыя оптимостическия предположения далеко были превзойдены действительностью. Так, например, резонансная просевная машина длинною 28 м и 20000 кг веса, приводящая в колебательные движения два сита весом 7400 кг, при частоте колебаний 320 периодов минуту и амплитудой колебаний 4 см, просевая при том 1000 т материала в минуту, требовала при этом двигательную силу всего в 3 л.с., тогда как при применении прежнего принципа потребовалась в равных условиях двигательная энергия в 50-60 лс, т.е. до 20 крано большая.</w:t>
      </w:r>
    </w:p>
    <w:p w14:paraId="652B452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Этот факт находится в полном сочетании с наблюдаемвми в летательной технике фактом, что животный резонансный полет работает с бросающейся в глаза значительно лучшим полезным эффектом, чем пропелерный полет.</w:t>
      </w:r>
    </w:p>
    <w:p w14:paraId="4809EB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Но и отрицательный факт, что техника даже при лучшем своем желании не могла осуществить животного полета, объясняется тем, что при применении (увеличении) числа оборотов или колебаний от 250 до 2000 потеря от трения при жестко двигаемых ситах возрастает с 0,42 до 96 лс (!) и кпд падает от 70% до 1,03%. Полезный эффект при том остается постоянным и равным 1 лс. При равных условиях возрастет потеря от трения при резонансных машинах всего лишь от 0,01 лс до 0,32 лс и кпд падает с 90% до 71%.</w:t>
      </w:r>
    </w:p>
    <w:p w14:paraId="3FAAB50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Эти цифры показывают, что технике до сих пор ей</w:t>
      </w:r>
      <w:r w:rsidRPr="00F90EAE">
        <w:rPr>
          <w:color w:val="000000" w:themeColor="text1"/>
          <w:sz w:val="16"/>
          <w:szCs w:val="16"/>
        </w:rPr>
        <w:tab/>
        <w:t xml:space="preserve"> известными средствами ограниченных движений, разрешение проблемы животного полета никогда и не могло удасться, т.к. в вышеуказанном примере от приложенных 100 лс осталось полезным эффектом в результате всего 1 лс.</w:t>
      </w:r>
    </w:p>
    <w:p w14:paraId="12EEF6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 Резонансный самолет</w:t>
      </w:r>
    </w:p>
    <w:p w14:paraId="7469DDF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Работающий по принципу птичбьего полета резонансом переменно-силовой самолет.</w:t>
      </w:r>
    </w:p>
    <w:p w14:paraId="1C767D4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Сами по себе периодически действующие крылья используются здесь путем движения их вверх и вниз как органы движения вперед и вызыватю на основании их эластичных и прочих свойств, главным образом при ударе вниз, в меньшей мере и при подъеме крыльев вверх, двигательные силы, направленные вперед.</w:t>
      </w:r>
    </w:p>
    <w:p w14:paraId="08B171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то время значит, как крылья сами по себе должны быть рассматриваемы, как апериодическое тело, масса крыльев соответственно с мускулатурой притцы является телом с колебательной способностью и ярко выраженным собственным периодом колебаний (2591).</w:t>
      </w:r>
    </w:p>
    <w:p w14:paraId="1A52774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8B675C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3AD1E3E2" w14:textId="77777777" w:rsidR="006103B3" w:rsidRPr="00F90EAE" w:rsidRDefault="006103B3" w:rsidP="00F90EAE">
      <w:pPr>
        <w:autoSpaceDE w:val="0"/>
        <w:autoSpaceDN w:val="0"/>
        <w:adjustRightInd w:val="0"/>
        <w:jc w:val="both"/>
        <w:rPr>
          <w:iCs/>
          <w:color w:val="000000" w:themeColor="text1"/>
          <w:sz w:val="16"/>
          <w:szCs w:val="16"/>
        </w:rPr>
      </w:pPr>
    </w:p>
    <w:p w14:paraId="212027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9081 О возвращении на родину из рабочих батальонов и лагерей военнопленных на территории СССР поляков - жителей Польши и переданных Польше территорий Германии. РГАНИР, Фонд ГКО, д. 428, лл. 61 (11012).</w:t>
      </w:r>
    </w:p>
    <w:p w14:paraId="699BF1E5" w14:textId="77777777" w:rsidR="006103B3" w:rsidRPr="00F90EAE" w:rsidRDefault="006103B3" w:rsidP="00F90EAE">
      <w:pPr>
        <w:autoSpaceDE w:val="0"/>
        <w:autoSpaceDN w:val="0"/>
        <w:adjustRightInd w:val="0"/>
        <w:jc w:val="both"/>
        <w:rPr>
          <w:color w:val="000000" w:themeColor="text1"/>
          <w:sz w:val="16"/>
          <w:szCs w:val="16"/>
        </w:rPr>
      </w:pPr>
    </w:p>
    <w:p w14:paraId="1E9BCB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9082 Об утверждении уполномоченных Особого комитета при ГОКО и их заместителей на территории Германии и Польши. РГАНИР, Фонд ГКО, д. 428, лл. 62-63 (11012).</w:t>
      </w:r>
    </w:p>
    <w:p w14:paraId="59E6BA6F" w14:textId="77777777" w:rsidR="006103B3" w:rsidRPr="00F90EAE" w:rsidRDefault="006103B3" w:rsidP="00F90EAE">
      <w:pPr>
        <w:autoSpaceDE w:val="0"/>
        <w:autoSpaceDN w:val="0"/>
        <w:adjustRightInd w:val="0"/>
        <w:jc w:val="both"/>
        <w:rPr>
          <w:color w:val="000000" w:themeColor="text1"/>
          <w:sz w:val="16"/>
          <w:szCs w:val="16"/>
        </w:rPr>
      </w:pPr>
    </w:p>
    <w:p w14:paraId="038B26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9083 О вывозе оборудования с немецких предприятий в г. г. Берлин, Риза, Куцдорф, Дрезден, Пирна, Фюрстенвальде и Мейсен для Наркомчермета. РГАНИР, Фонд ГКО, д. 428, лл. 64-67 (11012).</w:t>
      </w:r>
    </w:p>
    <w:p w14:paraId="0C48C94A" w14:textId="77777777" w:rsidR="006103B3" w:rsidRPr="00F90EAE" w:rsidRDefault="006103B3" w:rsidP="00F90EAE">
      <w:pPr>
        <w:autoSpaceDE w:val="0"/>
        <w:autoSpaceDN w:val="0"/>
        <w:adjustRightInd w:val="0"/>
        <w:jc w:val="both"/>
        <w:rPr>
          <w:color w:val="000000" w:themeColor="text1"/>
          <w:sz w:val="16"/>
          <w:szCs w:val="16"/>
        </w:rPr>
      </w:pPr>
    </w:p>
    <w:p w14:paraId="5F5EDE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9084 О вывозе оборудования с металлургического завода концерна "Миттельдейтше Штальверке-Зексише Гуштальверке Делен" в г. Дрезден на предприятия Наркомчермета и Наркомбоеприпасов. РГАНИР, Фонд ГКО, д. 428, лл. 68-69 (11012).</w:t>
      </w:r>
    </w:p>
    <w:p w14:paraId="559033B6" w14:textId="77777777" w:rsidR="006103B3" w:rsidRPr="00F90EAE" w:rsidRDefault="006103B3" w:rsidP="00F90EAE">
      <w:pPr>
        <w:autoSpaceDE w:val="0"/>
        <w:autoSpaceDN w:val="0"/>
        <w:adjustRightInd w:val="0"/>
        <w:jc w:val="both"/>
        <w:rPr>
          <w:color w:val="000000" w:themeColor="text1"/>
          <w:sz w:val="16"/>
          <w:szCs w:val="16"/>
        </w:rPr>
      </w:pPr>
    </w:p>
    <w:p w14:paraId="181CA9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9085 Об укомплектовании оборудованием Минского автозавода. РГАНИР, Фонд ГКО, д. 428, лл. 70-71, 72 (11012).</w:t>
      </w:r>
    </w:p>
    <w:p w14:paraId="1EAB11C4" w14:textId="77777777" w:rsidR="006103B3" w:rsidRPr="00F90EAE" w:rsidRDefault="006103B3" w:rsidP="00F90EAE">
      <w:pPr>
        <w:autoSpaceDE w:val="0"/>
        <w:autoSpaceDN w:val="0"/>
        <w:adjustRightInd w:val="0"/>
        <w:jc w:val="both"/>
        <w:rPr>
          <w:color w:val="000000" w:themeColor="text1"/>
          <w:sz w:val="16"/>
          <w:szCs w:val="16"/>
        </w:rPr>
      </w:pPr>
    </w:p>
    <w:p w14:paraId="23D53C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9086 О вывозе оборудования на заводы Наркомсредмаша. РГАНИР, Фонд ГКО, д. 428, лл. 73-74, 75 (11012).</w:t>
      </w:r>
    </w:p>
    <w:p w14:paraId="466ECE17" w14:textId="77777777" w:rsidR="006103B3" w:rsidRPr="00F90EAE" w:rsidRDefault="006103B3" w:rsidP="00F90EAE">
      <w:pPr>
        <w:autoSpaceDE w:val="0"/>
        <w:autoSpaceDN w:val="0"/>
        <w:adjustRightInd w:val="0"/>
        <w:jc w:val="both"/>
        <w:rPr>
          <w:color w:val="000000" w:themeColor="text1"/>
          <w:sz w:val="16"/>
          <w:szCs w:val="16"/>
        </w:rPr>
      </w:pPr>
    </w:p>
    <w:p w14:paraId="23E527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9087 О вывозе оборудования по производству швейных машин с завода акционерного общества "Зингер" в г. Виттенберг. РГАНИР, Фонд ГКО, д. 428, лл. 76-77 (11012).</w:t>
      </w:r>
    </w:p>
    <w:p w14:paraId="29326044" w14:textId="77777777" w:rsidR="006103B3" w:rsidRPr="00F90EAE" w:rsidRDefault="006103B3" w:rsidP="00F90EAE">
      <w:pPr>
        <w:autoSpaceDE w:val="0"/>
        <w:autoSpaceDN w:val="0"/>
        <w:adjustRightInd w:val="0"/>
        <w:jc w:val="both"/>
        <w:rPr>
          <w:color w:val="000000" w:themeColor="text1"/>
          <w:sz w:val="16"/>
          <w:szCs w:val="16"/>
        </w:rPr>
      </w:pPr>
    </w:p>
    <w:p w14:paraId="0CA3EC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9088 О вывозе оборудования с немецких заводов, расположенных в г. г. Берлин, Виттенберг, Хемниц, Бишофсверде, Глясс Хютте на предприятия Наркомсудпрома. РГАНИР, Фонд ГКО, д. 428, лл. 78-80 (11012).</w:t>
      </w:r>
    </w:p>
    <w:p w14:paraId="07A32596" w14:textId="77777777" w:rsidR="006103B3" w:rsidRPr="00F90EAE" w:rsidRDefault="006103B3" w:rsidP="00F90EAE">
      <w:pPr>
        <w:autoSpaceDE w:val="0"/>
        <w:autoSpaceDN w:val="0"/>
        <w:adjustRightInd w:val="0"/>
        <w:jc w:val="both"/>
        <w:rPr>
          <w:color w:val="000000" w:themeColor="text1"/>
          <w:sz w:val="16"/>
          <w:szCs w:val="16"/>
        </w:rPr>
      </w:pPr>
    </w:p>
    <w:p w14:paraId="18E598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9089 О вывозе оборудования с филиала немецкого завода фирмы "Аргус" в г. Берлин и завода фирмы МБА в г. Бабельсберг на предприятия Наркомсудпрома. РГАНИР, Фонд ГКО, д. 428, лл. 81-82 (11012).</w:t>
      </w:r>
    </w:p>
    <w:p w14:paraId="3B24AC5F" w14:textId="77777777" w:rsidR="006103B3" w:rsidRPr="00F90EAE" w:rsidRDefault="006103B3" w:rsidP="00F90EAE">
      <w:pPr>
        <w:autoSpaceDE w:val="0"/>
        <w:autoSpaceDN w:val="0"/>
        <w:adjustRightInd w:val="0"/>
        <w:jc w:val="both"/>
        <w:rPr>
          <w:color w:val="000000" w:themeColor="text1"/>
          <w:sz w:val="16"/>
          <w:szCs w:val="16"/>
        </w:rPr>
      </w:pPr>
    </w:p>
    <w:p w14:paraId="08F58A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9090 О вывозе оборудования 12 станкостроительных и инструментальных заводов в г. г. Берлин, Дрезден и Фрейталь на заводы Наркомстанкостроения. РГАНИР, Фонд ГКО, д. 428, лл. 83-84, 85 (11012).</w:t>
      </w:r>
    </w:p>
    <w:p w14:paraId="4ED165D1" w14:textId="77777777" w:rsidR="006103B3" w:rsidRPr="00F90EAE" w:rsidRDefault="006103B3" w:rsidP="00F90EAE">
      <w:pPr>
        <w:autoSpaceDE w:val="0"/>
        <w:autoSpaceDN w:val="0"/>
        <w:adjustRightInd w:val="0"/>
        <w:jc w:val="both"/>
        <w:rPr>
          <w:color w:val="000000" w:themeColor="text1"/>
          <w:sz w:val="16"/>
          <w:szCs w:val="16"/>
        </w:rPr>
      </w:pPr>
    </w:p>
    <w:p w14:paraId="523BE2E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9091 О вывозе оборудования, приборов и установок из высотной лаборатории при заводе "Борзиг" и с завода и лабораторий фирмы "Шварц" в г. Берлин для Наркомавиапрома. РГАНИР, Фонд ГКО, д. 428, лл. 86-87 (11012).</w:t>
      </w:r>
    </w:p>
    <w:p w14:paraId="5E7CD245" w14:textId="77777777" w:rsidR="006103B3" w:rsidRPr="00F90EAE" w:rsidRDefault="006103B3" w:rsidP="00F90EAE">
      <w:pPr>
        <w:autoSpaceDE w:val="0"/>
        <w:autoSpaceDN w:val="0"/>
        <w:adjustRightInd w:val="0"/>
        <w:jc w:val="both"/>
        <w:rPr>
          <w:color w:val="000000" w:themeColor="text1"/>
          <w:sz w:val="16"/>
          <w:szCs w:val="16"/>
        </w:rPr>
      </w:pPr>
    </w:p>
    <w:p w14:paraId="759B81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9092 Об укомплектовании оборудованием турбинного и танкового производства Кировского завода Наркомтанкопрома в г. Ленинград. РГАНИР, Фонд ГКО, д. 428, лл. 88-89 (11012).</w:t>
      </w:r>
    </w:p>
    <w:p w14:paraId="69CF5C0E" w14:textId="77777777" w:rsidR="006103B3" w:rsidRPr="00F90EAE" w:rsidRDefault="006103B3" w:rsidP="00F90EAE">
      <w:pPr>
        <w:autoSpaceDE w:val="0"/>
        <w:autoSpaceDN w:val="0"/>
        <w:adjustRightInd w:val="0"/>
        <w:jc w:val="both"/>
        <w:rPr>
          <w:color w:val="000000" w:themeColor="text1"/>
          <w:sz w:val="16"/>
          <w:szCs w:val="16"/>
        </w:rPr>
      </w:pPr>
    </w:p>
    <w:p w14:paraId="530B63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9093 О вывозе оборудования химического и механического заводов концерна "И.Г. Фарбениндустри" в г. Вальденбург и складов на угольной шахте "Густав Грубо" концерна "И.Г. Фарбендустри" и фирмы "Энергиябау" в местечке Шевенбах (12 км от Вальденбурга). РГАНИР, Фонд ГКО, д. 428, лл. 90-91 (11012).</w:t>
      </w:r>
    </w:p>
    <w:p w14:paraId="76E67486" w14:textId="77777777" w:rsidR="006103B3" w:rsidRPr="00F90EAE" w:rsidRDefault="006103B3" w:rsidP="00F90EAE">
      <w:pPr>
        <w:autoSpaceDE w:val="0"/>
        <w:autoSpaceDN w:val="0"/>
        <w:adjustRightInd w:val="0"/>
        <w:jc w:val="both"/>
        <w:rPr>
          <w:color w:val="000000" w:themeColor="text1"/>
          <w:sz w:val="16"/>
          <w:szCs w:val="16"/>
        </w:rPr>
      </w:pPr>
    </w:p>
    <w:p w14:paraId="021137D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9094 О вывозе оборудования с химического комбината концерна "И.Г. Фарбениндустри" в г. Гапель (Германия) и о частичном изменении постановления ГОКО № 8844сс от 31 мая 1945 г. о вывозе оборудования с завода "Хиаг Верке" фирмы "Дейче Гольд унд Зильбер Шейдеаншальт" в г Берлине район Вильдау.РГАНИР, Фонд ГКО, д. 428, лл. 92-93 (11012).</w:t>
      </w:r>
    </w:p>
    <w:p w14:paraId="6997C9A8" w14:textId="77777777" w:rsidR="006103B3" w:rsidRPr="00F90EAE" w:rsidRDefault="006103B3" w:rsidP="00F90EAE">
      <w:pPr>
        <w:autoSpaceDE w:val="0"/>
        <w:autoSpaceDN w:val="0"/>
        <w:adjustRightInd w:val="0"/>
        <w:jc w:val="both"/>
        <w:rPr>
          <w:color w:val="000000" w:themeColor="text1"/>
          <w:sz w:val="16"/>
          <w:szCs w:val="16"/>
        </w:rPr>
      </w:pPr>
    </w:p>
    <w:p w14:paraId="7F2025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9095 О вывозе из г. Лекнитц оборудования государственного военно-химического завода из г. Штеттин суперфосфатного завода фирмы "Померансдорф-Мильх" на предприятия Наркомхимпрома. РГАНИР, Фонд ГКО, д. 428, лл. 94-95 (11012).</w:t>
      </w:r>
    </w:p>
    <w:p w14:paraId="0F540613" w14:textId="77777777" w:rsidR="006103B3" w:rsidRPr="00F90EAE" w:rsidRDefault="006103B3" w:rsidP="00F90EAE">
      <w:pPr>
        <w:autoSpaceDE w:val="0"/>
        <w:autoSpaceDN w:val="0"/>
        <w:adjustRightInd w:val="0"/>
        <w:jc w:val="both"/>
        <w:rPr>
          <w:color w:val="000000" w:themeColor="text1"/>
          <w:sz w:val="16"/>
          <w:szCs w:val="16"/>
        </w:rPr>
      </w:pPr>
    </w:p>
    <w:p w14:paraId="2579AE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9096 О вывозе оборудования со строительства военно-химического завода и материалов из арсенала отравляющих веществ в селе Фолькенхаген (близ Франкфурта-на-Одере) и с завода по производству пресс-форм фирмы "Вилли-Шетц" в г. Дрезден. РГАНИР, Фонд ГКО, д. 428, лл. 96-97 (11012).</w:t>
      </w:r>
    </w:p>
    <w:p w14:paraId="482F8116" w14:textId="77777777" w:rsidR="006103B3" w:rsidRPr="00F90EAE" w:rsidRDefault="006103B3" w:rsidP="00F90EAE">
      <w:pPr>
        <w:autoSpaceDE w:val="0"/>
        <w:autoSpaceDN w:val="0"/>
        <w:adjustRightInd w:val="0"/>
        <w:jc w:val="both"/>
        <w:rPr>
          <w:color w:val="000000" w:themeColor="text1"/>
          <w:sz w:val="16"/>
          <w:szCs w:val="16"/>
        </w:rPr>
      </w:pPr>
    </w:p>
    <w:p w14:paraId="6177F9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9097 О вывозе оборудования с предприятий электротехнической промышленности Германии на предприятия Наркомэлектропрома. РГАНИР, Фонд ГКО, д. 428, лл. 98-102 (11012).</w:t>
      </w:r>
    </w:p>
    <w:p w14:paraId="529BC7DD" w14:textId="77777777" w:rsidR="006103B3" w:rsidRPr="00F90EAE" w:rsidRDefault="006103B3" w:rsidP="00F90EAE">
      <w:pPr>
        <w:autoSpaceDE w:val="0"/>
        <w:autoSpaceDN w:val="0"/>
        <w:adjustRightInd w:val="0"/>
        <w:jc w:val="both"/>
        <w:rPr>
          <w:color w:val="000000" w:themeColor="text1"/>
          <w:sz w:val="16"/>
          <w:szCs w:val="16"/>
        </w:rPr>
      </w:pPr>
    </w:p>
    <w:p w14:paraId="3D4F41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 июня 1945 вышло Постановление ГКО № 9098 О вывозе из г. Берлин оборудования на заводы Наркомтяжмаша. РГАНИР, Фонд ГКО, д. 428, лл. 103-104, 105 (11012).</w:t>
      </w:r>
    </w:p>
    <w:p w14:paraId="2489F767" w14:textId="77777777" w:rsidR="006103B3" w:rsidRPr="00F90EAE" w:rsidRDefault="006103B3" w:rsidP="00F90EAE">
      <w:pPr>
        <w:autoSpaceDE w:val="0"/>
        <w:autoSpaceDN w:val="0"/>
        <w:adjustRightInd w:val="0"/>
        <w:jc w:val="both"/>
        <w:rPr>
          <w:color w:val="000000" w:themeColor="text1"/>
          <w:sz w:val="16"/>
          <w:szCs w:val="16"/>
        </w:rPr>
      </w:pPr>
    </w:p>
    <w:p w14:paraId="5BE4F3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9099 О вывозе из г. Берлин оборудования опытной установки по передаче электроэнергии постоянным током и станочного оборудования для ремонтных заводов Наркомата электростанций. РГАНИР, Фонд ГКО, д. 428, лл. 106-107 (11012).</w:t>
      </w:r>
    </w:p>
    <w:p w14:paraId="7963065B" w14:textId="77777777" w:rsidR="006103B3" w:rsidRPr="00F90EAE" w:rsidRDefault="006103B3" w:rsidP="00F90EAE">
      <w:pPr>
        <w:autoSpaceDE w:val="0"/>
        <w:autoSpaceDN w:val="0"/>
        <w:adjustRightInd w:val="0"/>
        <w:jc w:val="both"/>
        <w:rPr>
          <w:color w:val="000000" w:themeColor="text1"/>
          <w:sz w:val="16"/>
          <w:szCs w:val="16"/>
        </w:rPr>
      </w:pPr>
    </w:p>
    <w:p w14:paraId="66F7CA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9100 О вывозе из г. Берлин электронного микроскопа. РГАНИР, Фонд ГКО, д. 428, лл. 108 (11012).</w:t>
      </w:r>
    </w:p>
    <w:p w14:paraId="4B3253F3" w14:textId="77777777" w:rsidR="006103B3" w:rsidRPr="00F90EAE" w:rsidRDefault="006103B3" w:rsidP="00F90EAE">
      <w:pPr>
        <w:autoSpaceDE w:val="0"/>
        <w:autoSpaceDN w:val="0"/>
        <w:adjustRightInd w:val="0"/>
        <w:jc w:val="both"/>
        <w:rPr>
          <w:color w:val="000000" w:themeColor="text1"/>
          <w:sz w:val="16"/>
          <w:szCs w:val="16"/>
        </w:rPr>
      </w:pPr>
    </w:p>
    <w:p w14:paraId="64CB72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9101 О вывозе оборудования с заводов резиноасбестовой промышленности в г. Дрезден и с машиностроительного завода фирмы "Коппель" в г. Хемниц на предприятия Наркомрезинпрома. РГАНИР, Фонд ГКО, д. 428, лл. 109-110 (11012).</w:t>
      </w:r>
    </w:p>
    <w:p w14:paraId="6BF5C2C4" w14:textId="77777777" w:rsidR="006103B3" w:rsidRPr="00F90EAE" w:rsidRDefault="006103B3" w:rsidP="00F90EAE">
      <w:pPr>
        <w:autoSpaceDE w:val="0"/>
        <w:autoSpaceDN w:val="0"/>
        <w:adjustRightInd w:val="0"/>
        <w:jc w:val="both"/>
        <w:rPr>
          <w:color w:val="000000" w:themeColor="text1"/>
          <w:sz w:val="16"/>
          <w:szCs w:val="16"/>
        </w:rPr>
      </w:pPr>
    </w:p>
    <w:p w14:paraId="4E3DC0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9102 О вывозе оборудования по производству буровых станков с завода фирмы "Ланге Лорке" в районе г. Дрезден на завод Наркомугля в г. Одесса. РГАНИР, Фонд ГКО, д. 428, лл. 111-112 (11012).</w:t>
      </w:r>
    </w:p>
    <w:p w14:paraId="3212C743" w14:textId="77777777" w:rsidR="006103B3" w:rsidRPr="00F90EAE" w:rsidRDefault="006103B3" w:rsidP="00F90EAE">
      <w:pPr>
        <w:autoSpaceDE w:val="0"/>
        <w:autoSpaceDN w:val="0"/>
        <w:adjustRightInd w:val="0"/>
        <w:jc w:val="both"/>
        <w:rPr>
          <w:color w:val="000000" w:themeColor="text1"/>
          <w:sz w:val="16"/>
          <w:szCs w:val="16"/>
        </w:rPr>
      </w:pPr>
    </w:p>
    <w:p w14:paraId="15731DB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9103 О вывозе оборудования с завода утилизационных котлов и стерилизаторов фирмы "Гартман" братьев Крюгер в г. Берлин. РГАНИР, Фонд ГКО, д. 428, лл. 113-114 (11012).</w:t>
      </w:r>
    </w:p>
    <w:p w14:paraId="7C480783" w14:textId="77777777" w:rsidR="006103B3" w:rsidRPr="00F90EAE" w:rsidRDefault="006103B3" w:rsidP="00F90EAE">
      <w:pPr>
        <w:autoSpaceDE w:val="0"/>
        <w:autoSpaceDN w:val="0"/>
        <w:adjustRightInd w:val="0"/>
        <w:jc w:val="both"/>
        <w:rPr>
          <w:color w:val="000000" w:themeColor="text1"/>
          <w:sz w:val="16"/>
          <w:szCs w:val="16"/>
        </w:rPr>
      </w:pPr>
    </w:p>
    <w:p w14:paraId="72552D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9104 О вывозе оборудования с немецких заводов в районе Дрездена на предприятия НКПС. РГАНИР, Фонд ГКО, д. 428, лл. 115-117 (11012).</w:t>
      </w:r>
    </w:p>
    <w:p w14:paraId="48BE1841" w14:textId="77777777" w:rsidR="006103B3" w:rsidRPr="00F90EAE" w:rsidRDefault="006103B3" w:rsidP="00F90EAE">
      <w:pPr>
        <w:autoSpaceDE w:val="0"/>
        <w:autoSpaceDN w:val="0"/>
        <w:adjustRightInd w:val="0"/>
        <w:jc w:val="both"/>
        <w:rPr>
          <w:color w:val="000000" w:themeColor="text1"/>
          <w:sz w:val="16"/>
          <w:szCs w:val="16"/>
        </w:rPr>
      </w:pPr>
    </w:p>
    <w:p w14:paraId="3FB550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9105 Об укомплектовании восстановительных и ремонтно-путевых предприятий НКПС станочным и энергетическим оборудованием. РГАНИР, Фонд ГКО, д. 428, лл. 118-120 (11012).</w:t>
      </w:r>
    </w:p>
    <w:p w14:paraId="29D86543" w14:textId="77777777" w:rsidR="006103B3" w:rsidRPr="00F90EAE" w:rsidRDefault="006103B3" w:rsidP="00F90EAE">
      <w:pPr>
        <w:autoSpaceDE w:val="0"/>
        <w:autoSpaceDN w:val="0"/>
        <w:adjustRightInd w:val="0"/>
        <w:jc w:val="both"/>
        <w:rPr>
          <w:color w:val="000000" w:themeColor="text1"/>
          <w:sz w:val="16"/>
          <w:szCs w:val="16"/>
        </w:rPr>
      </w:pPr>
    </w:p>
    <w:p w14:paraId="6DB189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9106 О вывозе оборудования с немецких предприятий в г. Берлин на предприятия НКПС. РГАНИР, Фонд ГКО, д. 428, лл. 121-124 (11012).</w:t>
      </w:r>
    </w:p>
    <w:p w14:paraId="4EFA2B4C" w14:textId="77777777" w:rsidR="006103B3" w:rsidRPr="00F90EAE" w:rsidRDefault="006103B3" w:rsidP="00F90EAE">
      <w:pPr>
        <w:autoSpaceDE w:val="0"/>
        <w:autoSpaceDN w:val="0"/>
        <w:adjustRightInd w:val="0"/>
        <w:jc w:val="both"/>
        <w:rPr>
          <w:color w:val="000000" w:themeColor="text1"/>
          <w:sz w:val="16"/>
          <w:szCs w:val="16"/>
        </w:rPr>
      </w:pPr>
    </w:p>
    <w:p w14:paraId="6E5BF0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9107 О вывозе оборудования по производству шестерен для танков с механического завода фирмы "Курт Монниш" в г. Дрезден. РГАНИР, Фонд ГКО, д. 428, лл. 125 (11012).</w:t>
      </w:r>
    </w:p>
    <w:p w14:paraId="5832D645" w14:textId="77777777" w:rsidR="006103B3" w:rsidRPr="00F90EAE" w:rsidRDefault="006103B3" w:rsidP="00F90EAE">
      <w:pPr>
        <w:autoSpaceDE w:val="0"/>
        <w:autoSpaceDN w:val="0"/>
        <w:adjustRightInd w:val="0"/>
        <w:jc w:val="both"/>
        <w:rPr>
          <w:color w:val="000000" w:themeColor="text1"/>
          <w:sz w:val="16"/>
          <w:szCs w:val="16"/>
        </w:rPr>
      </w:pPr>
    </w:p>
    <w:p w14:paraId="31530C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9108 О вывозе оборудования по производству полиграфических и текстильных машин с четырех немецких заводов. РГАНИР, Фонд ГКО, д. 428, лл. 126-127 (11012).</w:t>
      </w:r>
    </w:p>
    <w:p w14:paraId="5A1658BD" w14:textId="77777777" w:rsidR="006103B3" w:rsidRPr="00F90EAE" w:rsidRDefault="006103B3" w:rsidP="00F90EAE">
      <w:pPr>
        <w:autoSpaceDE w:val="0"/>
        <w:autoSpaceDN w:val="0"/>
        <w:adjustRightInd w:val="0"/>
        <w:jc w:val="both"/>
        <w:rPr>
          <w:color w:val="000000" w:themeColor="text1"/>
          <w:sz w:val="16"/>
          <w:szCs w:val="16"/>
        </w:rPr>
      </w:pPr>
    </w:p>
    <w:p w14:paraId="265735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9109 О вывозе оборудования по производству счетных машин, деталей к ним и индикаторов с пяти заводов в г. Гласс-Хютте. РГАНИР, Фонд ГКО, д. 428, лл. 128-129 (11012).</w:t>
      </w:r>
    </w:p>
    <w:p w14:paraId="7AB5366C" w14:textId="77777777" w:rsidR="006103B3" w:rsidRPr="00F90EAE" w:rsidRDefault="006103B3" w:rsidP="00F90EAE">
      <w:pPr>
        <w:autoSpaceDE w:val="0"/>
        <w:autoSpaceDN w:val="0"/>
        <w:adjustRightInd w:val="0"/>
        <w:jc w:val="both"/>
        <w:rPr>
          <w:color w:val="000000" w:themeColor="text1"/>
          <w:sz w:val="16"/>
          <w:szCs w:val="16"/>
        </w:rPr>
      </w:pPr>
    </w:p>
    <w:p w14:paraId="14F5D8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9110 О вывозе оборудования по производству часов и других механизмов с трех заводов в г. Гласс-Хютте. РГАНИР, Фонд ГКО, д. 428, лл. 130-131 (11012).</w:t>
      </w:r>
    </w:p>
    <w:p w14:paraId="367500D0" w14:textId="77777777" w:rsidR="006103B3" w:rsidRPr="00F90EAE" w:rsidRDefault="006103B3" w:rsidP="00F90EAE">
      <w:pPr>
        <w:autoSpaceDE w:val="0"/>
        <w:autoSpaceDN w:val="0"/>
        <w:adjustRightInd w:val="0"/>
        <w:jc w:val="both"/>
        <w:rPr>
          <w:color w:val="000000" w:themeColor="text1"/>
          <w:sz w:val="16"/>
          <w:szCs w:val="16"/>
        </w:rPr>
      </w:pPr>
    </w:p>
    <w:p w14:paraId="41ACF9F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9111 О вывозе оборудования по производству пилорам, деревообрабатывающих станков и экскаваторов с четырех немецких заводов. РГАНИР, Фонд ГКО, д. 428, лл. 132-133 (11012).</w:t>
      </w:r>
    </w:p>
    <w:p w14:paraId="23FD45E1" w14:textId="77777777" w:rsidR="006103B3" w:rsidRPr="00F90EAE" w:rsidRDefault="006103B3" w:rsidP="00F90EAE">
      <w:pPr>
        <w:autoSpaceDE w:val="0"/>
        <w:autoSpaceDN w:val="0"/>
        <w:adjustRightInd w:val="0"/>
        <w:jc w:val="both"/>
        <w:rPr>
          <w:color w:val="000000" w:themeColor="text1"/>
          <w:sz w:val="16"/>
          <w:szCs w:val="16"/>
        </w:rPr>
      </w:pPr>
    </w:p>
    <w:p w14:paraId="466E8C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9112 О вывозе оборудования с оптико-механического завода фирмы "Густав Хайде" в г. Дрезден. РГАНИР, Фонд ГКО, д. 428, лл. 134 (11012).</w:t>
      </w:r>
    </w:p>
    <w:p w14:paraId="1A0FDF97" w14:textId="77777777" w:rsidR="006103B3" w:rsidRPr="00F90EAE" w:rsidRDefault="006103B3" w:rsidP="00F90EAE">
      <w:pPr>
        <w:autoSpaceDE w:val="0"/>
        <w:autoSpaceDN w:val="0"/>
        <w:adjustRightInd w:val="0"/>
        <w:jc w:val="both"/>
        <w:rPr>
          <w:color w:val="000000" w:themeColor="text1"/>
          <w:sz w:val="16"/>
          <w:szCs w:val="16"/>
        </w:rPr>
      </w:pPr>
    </w:p>
    <w:p w14:paraId="6E0171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9113 О вывозе оборудования по производству инициирующих веществ, капсюлей, детонаторов и нитроглицериновых порохов с двух немецких заводов в г. Мальхов и в местечке Гогензаген. РГАНИР, Фонд ГКО, д. 428, лл. 135-136 (11012).</w:t>
      </w:r>
    </w:p>
    <w:p w14:paraId="48659CAD" w14:textId="77777777" w:rsidR="006103B3" w:rsidRPr="00F90EAE" w:rsidRDefault="006103B3" w:rsidP="00F90EAE">
      <w:pPr>
        <w:autoSpaceDE w:val="0"/>
        <w:autoSpaceDN w:val="0"/>
        <w:adjustRightInd w:val="0"/>
        <w:jc w:val="both"/>
        <w:rPr>
          <w:color w:val="000000" w:themeColor="text1"/>
          <w:sz w:val="16"/>
          <w:szCs w:val="16"/>
        </w:rPr>
      </w:pPr>
    </w:p>
    <w:p w14:paraId="7D3867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9114 О вывозе оборудования с механических предприятий фирм "Биркарегулятор", "Гезельшафт Фюр Зельпстетиге Температуррегелюнг", "Пауль Зобанский", "Дейче Вортингтон" и "Леопольд Вебер" и из механической мастерской владельца Отто Лекс в г. Рин. РГАНИР, Фонд ГКО, д. 428, лл. 137-139 (11012).</w:t>
      </w:r>
    </w:p>
    <w:p w14:paraId="77F0EE7D" w14:textId="77777777" w:rsidR="006103B3" w:rsidRPr="00F90EAE" w:rsidRDefault="006103B3" w:rsidP="00F90EAE">
      <w:pPr>
        <w:autoSpaceDE w:val="0"/>
        <w:autoSpaceDN w:val="0"/>
        <w:adjustRightInd w:val="0"/>
        <w:jc w:val="both"/>
        <w:rPr>
          <w:color w:val="000000" w:themeColor="text1"/>
          <w:sz w:val="16"/>
          <w:szCs w:val="16"/>
        </w:rPr>
      </w:pPr>
    </w:p>
    <w:p w14:paraId="70FA25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9115 О вывозе оборудования с восьми заводов и фабрик по производству медицинских инструментов и химико-фармацевтических препаратов в г. Берлин, Дрезден и Раинсберг (Германия). РГАНИР, Фонд ГКО, д. 428, лл. 140-142 (11012).</w:t>
      </w:r>
    </w:p>
    <w:p w14:paraId="476B3B82" w14:textId="77777777" w:rsidR="006103B3" w:rsidRPr="00F90EAE" w:rsidRDefault="006103B3" w:rsidP="00F90EAE">
      <w:pPr>
        <w:autoSpaceDE w:val="0"/>
        <w:autoSpaceDN w:val="0"/>
        <w:adjustRightInd w:val="0"/>
        <w:jc w:val="both"/>
        <w:rPr>
          <w:color w:val="000000" w:themeColor="text1"/>
          <w:sz w:val="16"/>
          <w:szCs w:val="16"/>
        </w:rPr>
      </w:pPr>
    </w:p>
    <w:p w14:paraId="77D6CC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9116 О вывозе оборудования по производству толевого картона на заводы Наркомстройматериалов СССР. РГАНИР, Фонд ГКО, д. 428, лл. 143-144 (11012).</w:t>
      </w:r>
    </w:p>
    <w:p w14:paraId="066E835E" w14:textId="77777777" w:rsidR="006103B3" w:rsidRPr="00F90EAE" w:rsidRDefault="006103B3" w:rsidP="00F90EAE">
      <w:pPr>
        <w:autoSpaceDE w:val="0"/>
        <w:autoSpaceDN w:val="0"/>
        <w:adjustRightInd w:val="0"/>
        <w:jc w:val="both"/>
        <w:rPr>
          <w:color w:val="000000" w:themeColor="text1"/>
          <w:sz w:val="16"/>
          <w:szCs w:val="16"/>
        </w:rPr>
      </w:pPr>
    </w:p>
    <w:p w14:paraId="58B25F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9117 О вывозе оборудования на заводы Наркомстройматериалов СССР. РГАНИР, Фонд ГКО, д. 428, лл. 145-146, 147 (11012).</w:t>
      </w:r>
    </w:p>
    <w:p w14:paraId="4DF82E62" w14:textId="77777777" w:rsidR="006103B3" w:rsidRPr="00F90EAE" w:rsidRDefault="006103B3" w:rsidP="00F90EAE">
      <w:pPr>
        <w:autoSpaceDE w:val="0"/>
        <w:autoSpaceDN w:val="0"/>
        <w:adjustRightInd w:val="0"/>
        <w:jc w:val="both"/>
        <w:rPr>
          <w:color w:val="000000" w:themeColor="text1"/>
          <w:sz w:val="16"/>
          <w:szCs w:val="16"/>
        </w:rPr>
      </w:pPr>
    </w:p>
    <w:p w14:paraId="451844B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9118 Об укомплектовании станочным оборудованием судоремонтных заводов Наркомморфлота в количестве 879 единиц за счет вывоза с немецких предприятий в г. г. Берлин, Лангэсхютте, Гишберг и Гессен на судоремонтные заводы Каспийского и Черноморского бассейнов. (11012).</w:t>
      </w:r>
    </w:p>
    <w:p w14:paraId="4F0FDAAB" w14:textId="77777777" w:rsidR="006103B3" w:rsidRPr="00F90EAE" w:rsidRDefault="006103B3" w:rsidP="00F90EAE">
      <w:pPr>
        <w:autoSpaceDE w:val="0"/>
        <w:autoSpaceDN w:val="0"/>
        <w:adjustRightInd w:val="0"/>
        <w:jc w:val="both"/>
        <w:rPr>
          <w:color w:val="000000" w:themeColor="text1"/>
          <w:sz w:val="16"/>
          <w:szCs w:val="16"/>
        </w:rPr>
      </w:pPr>
    </w:p>
    <w:p w14:paraId="2E44BD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9119 О вывозе оборудования с немецких механических заводов Лаунер и Шуберт и портальных кранов с пристаней в г. Берлин. РГАНИР, Фонд ГКО, д. 428, лл. 151-152 (11012).</w:t>
      </w:r>
    </w:p>
    <w:p w14:paraId="1E37AF01" w14:textId="77777777" w:rsidR="006103B3" w:rsidRPr="00F90EAE" w:rsidRDefault="006103B3" w:rsidP="00F90EAE">
      <w:pPr>
        <w:autoSpaceDE w:val="0"/>
        <w:autoSpaceDN w:val="0"/>
        <w:adjustRightInd w:val="0"/>
        <w:jc w:val="both"/>
        <w:rPr>
          <w:color w:val="000000" w:themeColor="text1"/>
          <w:sz w:val="16"/>
          <w:szCs w:val="16"/>
        </w:rPr>
      </w:pPr>
    </w:p>
    <w:p w14:paraId="594174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9120 О вывозе экспериментального оборудования и научных материалов морской метеорологической обсерватории военно-морского флота Германии в г. Грайфсвальд(Германия). РГАНИР, Фонд ГКО, д. 428, лл. 153-154 (11012).</w:t>
      </w:r>
    </w:p>
    <w:p w14:paraId="3F29F812" w14:textId="77777777" w:rsidR="006103B3" w:rsidRPr="00F90EAE" w:rsidRDefault="006103B3" w:rsidP="00F90EAE">
      <w:pPr>
        <w:autoSpaceDE w:val="0"/>
        <w:autoSpaceDN w:val="0"/>
        <w:adjustRightInd w:val="0"/>
        <w:jc w:val="both"/>
        <w:rPr>
          <w:color w:val="000000" w:themeColor="text1"/>
          <w:sz w:val="16"/>
          <w:szCs w:val="16"/>
        </w:rPr>
      </w:pPr>
    </w:p>
    <w:p w14:paraId="481E95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9121 О вывозе из г. Берлина оборудования электронно-оптической лаборатории Сименса по производству электронных микроскопов для Наркомэлектропрома. РГАНИР, Фонд ГКО, д. 428, лл. 155-156 (11012).</w:t>
      </w:r>
    </w:p>
    <w:p w14:paraId="584A894B" w14:textId="77777777" w:rsidR="006103B3" w:rsidRPr="00F90EAE" w:rsidRDefault="006103B3" w:rsidP="00F90EAE">
      <w:pPr>
        <w:autoSpaceDE w:val="0"/>
        <w:autoSpaceDN w:val="0"/>
        <w:adjustRightInd w:val="0"/>
        <w:jc w:val="both"/>
        <w:rPr>
          <w:color w:val="000000" w:themeColor="text1"/>
          <w:sz w:val="16"/>
          <w:szCs w:val="16"/>
        </w:rPr>
      </w:pPr>
    </w:p>
    <w:p w14:paraId="3E81D8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9122 О вывозе оборудования фабрики по производству фотоаппаратуры и фотопленок в г. Дрезден. РГАНИР, Фонд ГКО, д. 428, лл. 157 (11012).</w:t>
      </w:r>
    </w:p>
    <w:p w14:paraId="16555022" w14:textId="77777777" w:rsidR="006103B3" w:rsidRPr="00F90EAE" w:rsidRDefault="006103B3" w:rsidP="00F90EAE">
      <w:pPr>
        <w:autoSpaceDE w:val="0"/>
        <w:autoSpaceDN w:val="0"/>
        <w:adjustRightInd w:val="0"/>
        <w:jc w:val="both"/>
        <w:rPr>
          <w:color w:val="000000" w:themeColor="text1"/>
          <w:sz w:val="16"/>
          <w:szCs w:val="16"/>
        </w:rPr>
      </w:pPr>
    </w:p>
    <w:p w14:paraId="61EFE9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9123 Об укомплектовании оборудованием арсеналов ремонтных баз и полигонов Главного артиллерийского управления Красной Армии. РГАНИР, Фонд ГКО, д. 428, лл. 158-159 (11012).</w:t>
      </w:r>
    </w:p>
    <w:p w14:paraId="4BE20DE4" w14:textId="77777777" w:rsidR="006103B3" w:rsidRPr="00F90EAE" w:rsidRDefault="006103B3" w:rsidP="00F90EAE">
      <w:pPr>
        <w:autoSpaceDE w:val="0"/>
        <w:autoSpaceDN w:val="0"/>
        <w:adjustRightInd w:val="0"/>
        <w:jc w:val="both"/>
        <w:rPr>
          <w:color w:val="000000" w:themeColor="text1"/>
          <w:sz w:val="16"/>
          <w:szCs w:val="16"/>
        </w:rPr>
      </w:pPr>
    </w:p>
    <w:p w14:paraId="3A3BC6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9124 О вывозе оборудования с немецких заводов на бронетанковые ремонтные заводы Красной Армии. РГАНИР, Фонд ГКО, д. 428, лл. 160-161 (11012).</w:t>
      </w:r>
    </w:p>
    <w:p w14:paraId="222FCC0D" w14:textId="77777777" w:rsidR="006103B3" w:rsidRPr="00F90EAE" w:rsidRDefault="006103B3" w:rsidP="00F90EAE">
      <w:pPr>
        <w:autoSpaceDE w:val="0"/>
        <w:autoSpaceDN w:val="0"/>
        <w:adjustRightInd w:val="0"/>
        <w:jc w:val="both"/>
        <w:rPr>
          <w:color w:val="000000" w:themeColor="text1"/>
          <w:sz w:val="16"/>
          <w:szCs w:val="16"/>
        </w:rPr>
      </w:pPr>
    </w:p>
    <w:p w14:paraId="1EB3DE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9125 О вывозе оборудования с немецких заводов в г. г. Хальбе, Цеденик, Котбус, Врицен, в местечке Штаренберг и со склада на станции Рехален для Наркомстроя. РГАНИР, Фонд ГКО, д. 428, лл. 162-164 (11012).</w:t>
      </w:r>
    </w:p>
    <w:p w14:paraId="75723F0D" w14:textId="77777777" w:rsidR="006103B3" w:rsidRPr="00F90EAE" w:rsidRDefault="006103B3" w:rsidP="00F90EAE">
      <w:pPr>
        <w:autoSpaceDE w:val="0"/>
        <w:autoSpaceDN w:val="0"/>
        <w:adjustRightInd w:val="0"/>
        <w:jc w:val="both"/>
        <w:rPr>
          <w:color w:val="000000" w:themeColor="text1"/>
          <w:sz w:val="16"/>
          <w:szCs w:val="16"/>
        </w:rPr>
      </w:pPr>
    </w:p>
    <w:p w14:paraId="3AE9DC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 июня 1945 вышло Постановление ГКО № 9126 О вывозе оборудования для укомплектования домостроительных заводов Наркомстройматериалов СССР. РГАНИР, Фонд ГКО, д. 429, лл. 1-2, 3 (11012).</w:t>
      </w:r>
    </w:p>
    <w:p w14:paraId="38B7EBB9" w14:textId="77777777" w:rsidR="006103B3" w:rsidRPr="00F90EAE" w:rsidRDefault="006103B3" w:rsidP="00F90EAE">
      <w:pPr>
        <w:autoSpaceDE w:val="0"/>
        <w:autoSpaceDN w:val="0"/>
        <w:adjustRightInd w:val="0"/>
        <w:jc w:val="both"/>
        <w:rPr>
          <w:color w:val="000000" w:themeColor="text1"/>
          <w:sz w:val="16"/>
          <w:szCs w:val="16"/>
        </w:rPr>
      </w:pPr>
    </w:p>
    <w:p w14:paraId="02DAEF6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9127 О вывозе оборудования для восстановления кирпичного производства на заводах Наркомстройматериалов РСФСР. РГАНИР, Фонд ГКО, д. 429, лл. 4-5, 6 (11012).</w:t>
      </w:r>
    </w:p>
    <w:p w14:paraId="241FEC8F" w14:textId="77777777" w:rsidR="006103B3" w:rsidRPr="00F90EAE" w:rsidRDefault="006103B3" w:rsidP="00F90EAE">
      <w:pPr>
        <w:autoSpaceDE w:val="0"/>
        <w:autoSpaceDN w:val="0"/>
        <w:adjustRightInd w:val="0"/>
        <w:jc w:val="both"/>
        <w:rPr>
          <w:color w:val="000000" w:themeColor="text1"/>
          <w:sz w:val="16"/>
          <w:szCs w:val="16"/>
        </w:rPr>
      </w:pPr>
    </w:p>
    <w:p w14:paraId="77C2FA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9128 О вывозе оборудования с кирпичных и лесопильных предприятий в городах Мекленбургской провинции и Померании на предприятия Наркомгражданстроя РСФСР. РГАНИР, Фонд ГКО, д. 429, лл. 7-9 (11012).</w:t>
      </w:r>
    </w:p>
    <w:p w14:paraId="0E0275BE" w14:textId="77777777" w:rsidR="006103B3" w:rsidRPr="00F90EAE" w:rsidRDefault="006103B3" w:rsidP="00F90EAE">
      <w:pPr>
        <w:autoSpaceDE w:val="0"/>
        <w:autoSpaceDN w:val="0"/>
        <w:adjustRightInd w:val="0"/>
        <w:jc w:val="both"/>
        <w:rPr>
          <w:color w:val="000000" w:themeColor="text1"/>
          <w:sz w:val="16"/>
          <w:szCs w:val="16"/>
        </w:rPr>
      </w:pPr>
    </w:p>
    <w:p w14:paraId="0F6BC4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9129 О вывозе оборудования с предприятий полиграфической промышленности Германии. РГАНИР, Фонд ГКО, д. 429, лл. 10-14 (11012).</w:t>
      </w:r>
    </w:p>
    <w:p w14:paraId="346CB0D3" w14:textId="77777777" w:rsidR="006103B3" w:rsidRPr="00F90EAE" w:rsidRDefault="006103B3" w:rsidP="00F90EAE">
      <w:pPr>
        <w:autoSpaceDE w:val="0"/>
        <w:autoSpaceDN w:val="0"/>
        <w:adjustRightInd w:val="0"/>
        <w:jc w:val="both"/>
        <w:rPr>
          <w:color w:val="000000" w:themeColor="text1"/>
          <w:sz w:val="16"/>
          <w:szCs w:val="16"/>
        </w:rPr>
      </w:pPr>
    </w:p>
    <w:p w14:paraId="48C854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9130 Об укомплектовании оборудованием тарных заводов Наркоммясомолпрома СССР за счет вывоза оборудования с заводов по производству жестяной, деревянной и бумажной тары в г. Берлин. РГАНИР, Фонд ГКО, д. 429, лл. 15, 16-17 (11012).</w:t>
      </w:r>
    </w:p>
    <w:p w14:paraId="48555E5D" w14:textId="77777777" w:rsidR="006103B3" w:rsidRPr="00F90EAE" w:rsidRDefault="006103B3" w:rsidP="00F90EAE">
      <w:pPr>
        <w:autoSpaceDE w:val="0"/>
        <w:autoSpaceDN w:val="0"/>
        <w:adjustRightInd w:val="0"/>
        <w:jc w:val="both"/>
        <w:rPr>
          <w:color w:val="000000" w:themeColor="text1"/>
          <w:sz w:val="16"/>
          <w:szCs w:val="16"/>
        </w:rPr>
      </w:pPr>
    </w:p>
    <w:p w14:paraId="0E11EF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9131 О вывозе оборудования мерительной лаборатории германского морского ведомства в г. Лукенвальде (Германия). РГАНИР, Фонд ГКО, д. 429, лл. 18 (11012).</w:t>
      </w:r>
    </w:p>
    <w:p w14:paraId="61171F50" w14:textId="77777777" w:rsidR="006103B3" w:rsidRPr="00F90EAE" w:rsidRDefault="006103B3" w:rsidP="00F90EAE">
      <w:pPr>
        <w:autoSpaceDE w:val="0"/>
        <w:autoSpaceDN w:val="0"/>
        <w:adjustRightInd w:val="0"/>
        <w:jc w:val="both"/>
        <w:rPr>
          <w:color w:val="000000" w:themeColor="text1"/>
          <w:sz w:val="16"/>
          <w:szCs w:val="16"/>
        </w:rPr>
      </w:pPr>
    </w:p>
    <w:p w14:paraId="4F1929F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9132 О вывозе половины оборудования монетного двора и половины оборудования типографии по печатанию денежных знаков в г. Берлин. РГАНИР, Фонд ГКО, д. 429, лл. 19 (11012).</w:t>
      </w:r>
    </w:p>
    <w:p w14:paraId="136AA8EB" w14:textId="77777777" w:rsidR="006103B3" w:rsidRPr="00F90EAE" w:rsidRDefault="006103B3" w:rsidP="00F90EAE">
      <w:pPr>
        <w:autoSpaceDE w:val="0"/>
        <w:autoSpaceDN w:val="0"/>
        <w:adjustRightInd w:val="0"/>
        <w:jc w:val="both"/>
        <w:rPr>
          <w:color w:val="000000" w:themeColor="text1"/>
          <w:sz w:val="16"/>
          <w:szCs w:val="16"/>
        </w:rPr>
      </w:pPr>
    </w:p>
    <w:p w14:paraId="7DDEF2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9133 О вывозе оборудования с заводов фирм "Лауптнкт Верке ДМВН" в г. Берлин на восстанавливаемый радиозавод в г. Рига. РГАНИР, Фонд ГКО, д. 429, лл. 20 (11012).</w:t>
      </w:r>
    </w:p>
    <w:p w14:paraId="6D174080" w14:textId="77777777" w:rsidR="006103B3" w:rsidRPr="00F90EAE" w:rsidRDefault="006103B3" w:rsidP="00F90EAE">
      <w:pPr>
        <w:autoSpaceDE w:val="0"/>
        <w:autoSpaceDN w:val="0"/>
        <w:adjustRightInd w:val="0"/>
        <w:jc w:val="both"/>
        <w:rPr>
          <w:color w:val="000000" w:themeColor="text1"/>
          <w:sz w:val="16"/>
          <w:szCs w:val="16"/>
        </w:rPr>
      </w:pPr>
    </w:p>
    <w:p w14:paraId="30126E6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9134 О частичном изменении постановления ГОКО № 8680сс от 22 мая 1945 г. РГАНИР, Фонд ГКО, д. 429, лл. 21 (11012).</w:t>
      </w:r>
    </w:p>
    <w:p w14:paraId="4E2241A7" w14:textId="77777777" w:rsidR="006103B3" w:rsidRPr="00F90EAE" w:rsidRDefault="006103B3" w:rsidP="00F90EAE">
      <w:pPr>
        <w:autoSpaceDE w:val="0"/>
        <w:autoSpaceDN w:val="0"/>
        <w:adjustRightInd w:val="0"/>
        <w:jc w:val="both"/>
        <w:rPr>
          <w:color w:val="000000" w:themeColor="text1"/>
          <w:sz w:val="16"/>
          <w:szCs w:val="16"/>
        </w:rPr>
      </w:pPr>
    </w:p>
    <w:p w14:paraId="133D94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9135 О частичном изменении постановления ГОКО № 8100сс от 12.IV-1945 г. о вывозе оборудования с завода фирмы "Бойхельт" в г. Грюнберг. РГАНИР, Фонд ГКО, д. 429, лл. 22 (11012).</w:t>
      </w:r>
    </w:p>
    <w:p w14:paraId="3C772E32" w14:textId="77777777" w:rsidR="006103B3" w:rsidRPr="00F90EAE" w:rsidRDefault="006103B3" w:rsidP="00F90EAE">
      <w:pPr>
        <w:autoSpaceDE w:val="0"/>
        <w:autoSpaceDN w:val="0"/>
        <w:adjustRightInd w:val="0"/>
        <w:jc w:val="both"/>
        <w:rPr>
          <w:color w:val="000000" w:themeColor="text1"/>
          <w:sz w:val="16"/>
          <w:szCs w:val="16"/>
        </w:rPr>
      </w:pPr>
    </w:p>
    <w:p w14:paraId="43340E6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9136 О вывозе образцов радиотелемеханических приборов управления реактивной торпедой ФАУ-2 и технической документации из Высшей электротехнической школы в г. Вена. РГАНИР, Фонд ГКО, д. 429, лл. 23 (11012).</w:t>
      </w:r>
    </w:p>
    <w:p w14:paraId="3F186D64" w14:textId="77777777" w:rsidR="006103B3" w:rsidRPr="00F90EAE" w:rsidRDefault="006103B3" w:rsidP="00F90EAE">
      <w:pPr>
        <w:autoSpaceDE w:val="0"/>
        <w:autoSpaceDN w:val="0"/>
        <w:adjustRightInd w:val="0"/>
        <w:jc w:val="both"/>
        <w:rPr>
          <w:color w:val="000000" w:themeColor="text1"/>
          <w:sz w:val="16"/>
          <w:szCs w:val="16"/>
        </w:rPr>
      </w:pPr>
    </w:p>
    <w:p w14:paraId="27295A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9137 О передаче НКПС паровозоремонтных и вагоностроительных мастерских в г. Кенигсберг. РГАНИР, Фонд ГКО, д. 429, лл. 24 (11012).</w:t>
      </w:r>
    </w:p>
    <w:p w14:paraId="7872DAA1" w14:textId="77777777" w:rsidR="006103B3" w:rsidRPr="00F90EAE" w:rsidRDefault="006103B3" w:rsidP="00F90EAE">
      <w:pPr>
        <w:autoSpaceDE w:val="0"/>
        <w:autoSpaceDN w:val="0"/>
        <w:adjustRightInd w:val="0"/>
        <w:jc w:val="both"/>
        <w:rPr>
          <w:color w:val="000000" w:themeColor="text1"/>
          <w:sz w:val="16"/>
          <w:szCs w:val="16"/>
        </w:rPr>
      </w:pPr>
    </w:p>
    <w:p w14:paraId="693A59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9138 О передаче Наркомморфлоту Кенигсбергского морского торгового порта. РГАНИР, Фонд ГКО, д. 429, лл. 25 (11012).</w:t>
      </w:r>
    </w:p>
    <w:p w14:paraId="7E82F676" w14:textId="77777777" w:rsidR="006103B3" w:rsidRPr="00F90EAE" w:rsidRDefault="006103B3" w:rsidP="00F90EAE">
      <w:pPr>
        <w:autoSpaceDE w:val="0"/>
        <w:autoSpaceDN w:val="0"/>
        <w:adjustRightInd w:val="0"/>
        <w:jc w:val="both"/>
        <w:rPr>
          <w:color w:val="000000" w:themeColor="text1"/>
          <w:sz w:val="16"/>
          <w:szCs w:val="16"/>
        </w:rPr>
      </w:pPr>
    </w:p>
    <w:p w14:paraId="0135F71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9139 О вывозе оборудования для военно-морских баз Наркомвоенморфлота. РГАНИР, Фонд ГКО, д. 429, лл. 26-27 (11012).</w:t>
      </w:r>
    </w:p>
    <w:p w14:paraId="0E560342" w14:textId="77777777" w:rsidR="006103B3" w:rsidRPr="00F90EAE" w:rsidRDefault="006103B3" w:rsidP="00F90EAE">
      <w:pPr>
        <w:autoSpaceDE w:val="0"/>
        <w:autoSpaceDN w:val="0"/>
        <w:adjustRightInd w:val="0"/>
        <w:jc w:val="both"/>
        <w:rPr>
          <w:color w:val="000000" w:themeColor="text1"/>
          <w:sz w:val="16"/>
          <w:szCs w:val="16"/>
        </w:rPr>
      </w:pPr>
    </w:p>
    <w:p w14:paraId="14C7A7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9140 О вывозе 450 металлообрабатывающих и 200 деревообрабатывающих станков для восстановления производства обозного и сельскохозяйственного инвентаря и жилого фонда Белорусской ССР. РГАНИР, Фонд ГКО, д. 429, лл. 28-30 (11012).</w:t>
      </w:r>
    </w:p>
    <w:p w14:paraId="4A7CA0D3" w14:textId="77777777" w:rsidR="006103B3" w:rsidRPr="00F90EAE" w:rsidRDefault="006103B3" w:rsidP="00F90EAE">
      <w:pPr>
        <w:autoSpaceDE w:val="0"/>
        <w:autoSpaceDN w:val="0"/>
        <w:adjustRightInd w:val="0"/>
        <w:jc w:val="both"/>
        <w:rPr>
          <w:color w:val="000000" w:themeColor="text1"/>
          <w:sz w:val="16"/>
          <w:szCs w:val="16"/>
        </w:rPr>
      </w:pPr>
    </w:p>
    <w:p w14:paraId="2A3295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9141 О вывозе оборудования для восстановления производства машин торфяной и фосфоритной промышленности, а также укомплектования авторемонтных мастерских Эстонской ССР. РГАНИР, Фонд ГКО, д. 429, лл. 31-32 (11012).</w:t>
      </w:r>
    </w:p>
    <w:p w14:paraId="71AADFFF" w14:textId="77777777" w:rsidR="006103B3" w:rsidRPr="00F90EAE" w:rsidRDefault="006103B3" w:rsidP="00F90EAE">
      <w:pPr>
        <w:autoSpaceDE w:val="0"/>
        <w:autoSpaceDN w:val="0"/>
        <w:adjustRightInd w:val="0"/>
        <w:jc w:val="both"/>
        <w:rPr>
          <w:color w:val="000000" w:themeColor="text1"/>
          <w:sz w:val="16"/>
          <w:szCs w:val="16"/>
        </w:rPr>
      </w:pPr>
    </w:p>
    <w:p w14:paraId="43602E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9142 О вывозе оборудования на предприятия Наркомлегпрома СССР. РГАНИР, Фонд ГКО, д. 429, лл. 33 (11012).</w:t>
      </w:r>
    </w:p>
    <w:p w14:paraId="5BEE51FE" w14:textId="77777777" w:rsidR="006103B3" w:rsidRPr="00F90EAE" w:rsidRDefault="006103B3" w:rsidP="00F90EAE">
      <w:pPr>
        <w:autoSpaceDE w:val="0"/>
        <w:autoSpaceDN w:val="0"/>
        <w:adjustRightInd w:val="0"/>
        <w:jc w:val="both"/>
        <w:rPr>
          <w:color w:val="000000" w:themeColor="text1"/>
          <w:sz w:val="16"/>
          <w:szCs w:val="16"/>
        </w:rPr>
      </w:pPr>
    </w:p>
    <w:p w14:paraId="60CC59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9143 О вывозе из Германии оборудования пяти судоверфей для восстановления разрушенных судоремонтных баз Наркомрыбпрома СССР на Черноморском, Азовском и Мурманском побережьях. РГАНИР, Фонд ГКО, д. 429, лл. 34-35 (11012).</w:t>
      </w:r>
    </w:p>
    <w:p w14:paraId="1A9B60AF" w14:textId="77777777" w:rsidR="006103B3" w:rsidRPr="00F90EAE" w:rsidRDefault="006103B3" w:rsidP="00F90EAE">
      <w:pPr>
        <w:autoSpaceDE w:val="0"/>
        <w:autoSpaceDN w:val="0"/>
        <w:adjustRightInd w:val="0"/>
        <w:jc w:val="both"/>
        <w:rPr>
          <w:color w:val="000000" w:themeColor="text1"/>
          <w:sz w:val="16"/>
          <w:szCs w:val="16"/>
        </w:rPr>
      </w:pPr>
    </w:p>
    <w:p w14:paraId="55D8D5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9144 О вывозе оборудования кирпично-черепичного завода фирмы "Густав Линке и К'" в г. Штольцхаген на полярные станции Главсерморпути при СНК СССР. РГАНИР, Фонд ГКО, д. 429, лл. 36 (11012).</w:t>
      </w:r>
    </w:p>
    <w:p w14:paraId="7A8F8E43" w14:textId="77777777" w:rsidR="006103B3" w:rsidRPr="00F90EAE" w:rsidRDefault="006103B3" w:rsidP="00F90EAE">
      <w:pPr>
        <w:autoSpaceDE w:val="0"/>
        <w:autoSpaceDN w:val="0"/>
        <w:adjustRightInd w:val="0"/>
        <w:jc w:val="both"/>
        <w:rPr>
          <w:color w:val="000000" w:themeColor="text1"/>
          <w:sz w:val="16"/>
          <w:szCs w:val="16"/>
        </w:rPr>
      </w:pPr>
    </w:p>
    <w:p w14:paraId="70518A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9145 О вывозе оборудования 11 автоматических телефонных станций с трофейных складов в городах Германии для нужд Наркомата обороны. РГАНИР, Фонд ГКО, д. 429, лл. 37 (11012).</w:t>
      </w:r>
    </w:p>
    <w:p w14:paraId="03330CBB" w14:textId="77777777" w:rsidR="006103B3" w:rsidRPr="00F90EAE" w:rsidRDefault="006103B3" w:rsidP="00F90EAE">
      <w:pPr>
        <w:autoSpaceDE w:val="0"/>
        <w:autoSpaceDN w:val="0"/>
        <w:adjustRightInd w:val="0"/>
        <w:jc w:val="both"/>
        <w:rPr>
          <w:color w:val="000000" w:themeColor="text1"/>
          <w:sz w:val="16"/>
          <w:szCs w:val="16"/>
        </w:rPr>
      </w:pPr>
    </w:p>
    <w:p w14:paraId="587C1F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9146 О вывозе оборудования с заводов и мастерских в г. Берлин для Главвоенпромстроя. РГАНИР, Фонд ГКО, д. 429, лл. 38-39 (11012).</w:t>
      </w:r>
    </w:p>
    <w:p w14:paraId="2CC99DC0" w14:textId="77777777" w:rsidR="006103B3" w:rsidRPr="00F90EAE" w:rsidRDefault="006103B3" w:rsidP="00F90EAE">
      <w:pPr>
        <w:autoSpaceDE w:val="0"/>
        <w:autoSpaceDN w:val="0"/>
        <w:adjustRightInd w:val="0"/>
        <w:jc w:val="both"/>
        <w:rPr>
          <w:color w:val="000000" w:themeColor="text1"/>
          <w:sz w:val="16"/>
          <w:szCs w:val="16"/>
        </w:rPr>
      </w:pPr>
    </w:p>
    <w:p w14:paraId="4DB591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9147 О вывозе оборудования с немецких механических заводов для укомплектования механических заводов Наркомзема СССР и Наркомсовхозов СССР. РГАНИР, Фонд ГКО, д. 429, лл. 40-42 (11012).</w:t>
      </w:r>
    </w:p>
    <w:p w14:paraId="49AA81B6" w14:textId="77777777" w:rsidR="006103B3" w:rsidRPr="00F90EAE" w:rsidRDefault="006103B3" w:rsidP="00F90EAE">
      <w:pPr>
        <w:autoSpaceDE w:val="0"/>
        <w:autoSpaceDN w:val="0"/>
        <w:adjustRightInd w:val="0"/>
        <w:jc w:val="both"/>
        <w:rPr>
          <w:color w:val="000000" w:themeColor="text1"/>
          <w:sz w:val="16"/>
          <w:szCs w:val="16"/>
        </w:rPr>
      </w:pPr>
    </w:p>
    <w:p w14:paraId="2D3F11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9148 О вывозе мельничного оборудования со складов Кенигсбергского порта для восстановления разрушенной мельницы Наркомзага на станции Бутерлиновка Воронежской области. РГАНИР, Фонд ГКО, д. 429, лл. 43 (11012).</w:t>
      </w:r>
    </w:p>
    <w:p w14:paraId="6791911C" w14:textId="77777777" w:rsidR="006103B3" w:rsidRPr="00F90EAE" w:rsidRDefault="006103B3" w:rsidP="00F90EAE">
      <w:pPr>
        <w:autoSpaceDE w:val="0"/>
        <w:autoSpaceDN w:val="0"/>
        <w:adjustRightInd w:val="0"/>
        <w:jc w:val="both"/>
        <w:rPr>
          <w:color w:val="000000" w:themeColor="text1"/>
          <w:sz w:val="16"/>
          <w:szCs w:val="16"/>
        </w:rPr>
      </w:pPr>
    </w:p>
    <w:p w14:paraId="5678CA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9149 О передаче Наркомстрою завода металлоконструкций в г. Кенигсберг, принадлежавшего фирме "Шихау". РГАНИР, Фонд ГКО, д. 429, лл. 44 (11012).</w:t>
      </w:r>
    </w:p>
    <w:p w14:paraId="72F0BC25" w14:textId="77777777" w:rsidR="006103B3" w:rsidRPr="00F90EAE" w:rsidRDefault="006103B3" w:rsidP="00F90EAE">
      <w:pPr>
        <w:autoSpaceDE w:val="0"/>
        <w:autoSpaceDN w:val="0"/>
        <w:adjustRightInd w:val="0"/>
        <w:jc w:val="both"/>
        <w:rPr>
          <w:color w:val="000000" w:themeColor="text1"/>
          <w:sz w:val="16"/>
          <w:szCs w:val="16"/>
        </w:rPr>
      </w:pPr>
    </w:p>
    <w:p w14:paraId="186EC0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9150 О вывозе проката черных металлов со складов трофейного управления 1-го Белорусского фронта и фирмы "Пионер-Парк" в г. Рехаген (Германия). РГАНИР, Фонд ГКО, д. 429, лл. 45-46 (11012).</w:t>
      </w:r>
    </w:p>
    <w:p w14:paraId="6BCFEF3D" w14:textId="77777777" w:rsidR="006103B3" w:rsidRPr="00F90EAE" w:rsidRDefault="006103B3" w:rsidP="00F90EAE">
      <w:pPr>
        <w:autoSpaceDE w:val="0"/>
        <w:autoSpaceDN w:val="0"/>
        <w:adjustRightInd w:val="0"/>
        <w:jc w:val="both"/>
        <w:rPr>
          <w:color w:val="000000" w:themeColor="text1"/>
          <w:sz w:val="16"/>
          <w:szCs w:val="16"/>
        </w:rPr>
      </w:pPr>
    </w:p>
    <w:p w14:paraId="2319F6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9151 О вывозе линейно-строительных материалов с железнодорожных складов Германии и Австрии на базы войск правительственной связи Наркомвнудела СССР. РГАНИР, Фонд ГКО, д. 429, лл. 47 (11012).</w:t>
      </w:r>
    </w:p>
    <w:p w14:paraId="360E1E4A" w14:textId="77777777" w:rsidR="006103B3" w:rsidRPr="00F90EAE" w:rsidRDefault="006103B3" w:rsidP="00F90EAE">
      <w:pPr>
        <w:autoSpaceDE w:val="0"/>
        <w:autoSpaceDN w:val="0"/>
        <w:adjustRightInd w:val="0"/>
        <w:jc w:val="both"/>
        <w:rPr>
          <w:color w:val="000000" w:themeColor="text1"/>
          <w:sz w:val="16"/>
          <w:szCs w:val="16"/>
        </w:rPr>
      </w:pPr>
    </w:p>
    <w:p w14:paraId="56ACCD0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9152 Об организации танкоремонтной базы в г. Кенигсберг. РГАНИР, Фонд ГКО, д. 429, лл. 48 (11012).</w:t>
      </w:r>
    </w:p>
    <w:p w14:paraId="3E437990" w14:textId="77777777" w:rsidR="006103B3" w:rsidRPr="00F90EAE" w:rsidRDefault="006103B3" w:rsidP="00F90EAE">
      <w:pPr>
        <w:autoSpaceDE w:val="0"/>
        <w:autoSpaceDN w:val="0"/>
        <w:adjustRightInd w:val="0"/>
        <w:jc w:val="both"/>
        <w:rPr>
          <w:color w:val="000000" w:themeColor="text1"/>
          <w:sz w:val="16"/>
          <w:szCs w:val="16"/>
        </w:rPr>
      </w:pPr>
    </w:p>
    <w:p w14:paraId="3D9B5D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9153 О передаче Совнаркому Эстонской ССР мелкосортного прокатного стана и электросталеплавильной печи, вывозимых Наркомчерметом с немецких заводов. РГАНИР, Фонд ГКО, д. 429, лл. 49 (11012).</w:t>
      </w:r>
    </w:p>
    <w:p w14:paraId="0C548B0F" w14:textId="77777777" w:rsidR="006103B3" w:rsidRPr="00F90EAE" w:rsidRDefault="006103B3" w:rsidP="00F90EAE">
      <w:pPr>
        <w:autoSpaceDE w:val="0"/>
        <w:autoSpaceDN w:val="0"/>
        <w:adjustRightInd w:val="0"/>
        <w:jc w:val="both"/>
        <w:rPr>
          <w:color w:val="000000" w:themeColor="text1"/>
          <w:sz w:val="16"/>
          <w:szCs w:val="16"/>
        </w:rPr>
      </w:pPr>
    </w:p>
    <w:p w14:paraId="226784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9154 О мерах по обеспечению вывоза оборудования и рельс с немецких предприятий. РГАНИР, Фонд ГКО, д. 429, лл. 50-55, 56-57 (11012).</w:t>
      </w:r>
    </w:p>
    <w:p w14:paraId="7844E357" w14:textId="77777777" w:rsidR="006103B3" w:rsidRPr="00F90EAE" w:rsidRDefault="006103B3" w:rsidP="00F90EAE">
      <w:pPr>
        <w:autoSpaceDE w:val="0"/>
        <w:autoSpaceDN w:val="0"/>
        <w:adjustRightInd w:val="0"/>
        <w:jc w:val="both"/>
        <w:rPr>
          <w:color w:val="000000" w:themeColor="text1"/>
          <w:sz w:val="16"/>
          <w:szCs w:val="16"/>
        </w:rPr>
      </w:pPr>
    </w:p>
    <w:p w14:paraId="05D27C6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76FABE80" w14:textId="77777777" w:rsidR="006103B3" w:rsidRPr="00F90EAE" w:rsidRDefault="006103B3" w:rsidP="00F90EAE">
      <w:pPr>
        <w:autoSpaceDE w:val="0"/>
        <w:autoSpaceDN w:val="0"/>
        <w:adjustRightInd w:val="0"/>
        <w:jc w:val="both"/>
        <w:rPr>
          <w:iCs/>
          <w:color w:val="000000" w:themeColor="text1"/>
          <w:sz w:val="16"/>
          <w:szCs w:val="16"/>
        </w:rPr>
      </w:pPr>
    </w:p>
    <w:p w14:paraId="0C6B1A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20 июня 1945 25 Ил-2 и 2 Ил-2Ут были официально переданы из ВВС СССР Минобороны Чехословакии и часть потом была переименована в 30 шап, базирующийся в Trenchanske-Biskupice и получивший имя Остравский (241,40).</w:t>
      </w:r>
    </w:p>
    <w:p w14:paraId="03F1FB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чехословацкой армии Ил-2 получили обозначение B-31, а Ил-2УТ - СВ-31. С вооружения машины были сняты в 1950 (241,40).</w:t>
      </w:r>
    </w:p>
    <w:p w14:paraId="7556DDA9" w14:textId="77777777" w:rsidR="006103B3" w:rsidRPr="00F90EAE" w:rsidRDefault="006103B3" w:rsidP="00F90EAE">
      <w:pPr>
        <w:autoSpaceDE w:val="0"/>
        <w:autoSpaceDN w:val="0"/>
        <w:adjustRightInd w:val="0"/>
        <w:jc w:val="both"/>
        <w:rPr>
          <w:color w:val="000000" w:themeColor="text1"/>
          <w:sz w:val="16"/>
          <w:szCs w:val="16"/>
        </w:rPr>
      </w:pPr>
    </w:p>
    <w:p w14:paraId="2082A0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20 июня 1945 в 255 полку имелось уже 63 самолета P-47 "Тандерболт" (в том числе два неисправных). Надо сказать, что летчикам 255-го полка нелегко давалось освоение "Тандерболта". Переход с легких и довольно маневренных "Аэрокобр" на тяжеловесные Р-47, по отзывам пилотов, выглядел "как смена торпедного катера на линкор". Местные остряки присвоили истребителю прозвище "Дубовый". Действительно, на нем запретили выполнение практически всех фигур пилотажа - переворотов, петель, бочек, крутого пикирования. Тем не менее, эскадрилья успешно закончила переучивание и обрела боевую готовность. В период службы в 255-м полку "Тандерболты" даже приняли участие в съемках фильма "Остров Безымянный", где изображали немецкие "Фокке-Вульфы". Р-47 эксплуатировались на севере около года, потом их заменили находившимися на консервации "Аэрокобрами" и пустили на слом - раздавили трактором (3457,86).</w:t>
      </w:r>
    </w:p>
    <w:p w14:paraId="4E6523D4" w14:textId="77777777" w:rsidR="006103B3" w:rsidRPr="00F90EAE" w:rsidRDefault="006103B3" w:rsidP="00F90EAE">
      <w:pPr>
        <w:autoSpaceDE w:val="0"/>
        <w:autoSpaceDN w:val="0"/>
        <w:adjustRightInd w:val="0"/>
        <w:jc w:val="both"/>
        <w:rPr>
          <w:color w:val="000000" w:themeColor="text1"/>
          <w:sz w:val="16"/>
          <w:szCs w:val="16"/>
        </w:rPr>
      </w:pPr>
    </w:p>
    <w:p w14:paraId="191C53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полк Нормандия-Неман, имеющий на счету 273 победы, прибыл в Ле Бурже на 38 Як-3 подаренных И.В.С. Вылетели из Восточной Пруссии. Садились в Штутгарте (1758,28).</w:t>
      </w:r>
    </w:p>
    <w:p w14:paraId="6EBD683D" w14:textId="77777777" w:rsidR="006103B3" w:rsidRPr="00F90EAE" w:rsidRDefault="006103B3" w:rsidP="00F90EAE">
      <w:pPr>
        <w:autoSpaceDE w:val="0"/>
        <w:autoSpaceDN w:val="0"/>
        <w:adjustRightInd w:val="0"/>
        <w:jc w:val="both"/>
        <w:rPr>
          <w:color w:val="000000" w:themeColor="text1"/>
          <w:sz w:val="16"/>
          <w:szCs w:val="16"/>
        </w:rPr>
      </w:pPr>
    </w:p>
    <w:p w14:paraId="7354D2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20 июня 1945 ст. л П.Жилкин на Ли-2 привез из Берлина на Ходынку знамя победы в сопровождении М.Егорова и М.Кантария, К.Самсонова, С.Неустроева, С.Сьянова. Почетный караул возглавлял В.Варенников (1836,130).</w:t>
      </w:r>
    </w:p>
    <w:p w14:paraId="18114AB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Есть данные, что на другой аэродром из-за тумана (1836,130).</w:t>
      </w:r>
    </w:p>
    <w:p w14:paraId="6A6D2EDE" w14:textId="77777777" w:rsidR="006103B3" w:rsidRPr="00F90EAE" w:rsidRDefault="006103B3" w:rsidP="00F90EAE">
      <w:pPr>
        <w:autoSpaceDE w:val="0"/>
        <w:autoSpaceDN w:val="0"/>
        <w:adjustRightInd w:val="0"/>
        <w:jc w:val="both"/>
        <w:rPr>
          <w:color w:val="000000" w:themeColor="text1"/>
          <w:sz w:val="16"/>
          <w:szCs w:val="16"/>
        </w:rPr>
      </w:pPr>
    </w:p>
    <w:p w14:paraId="79ABDE4D"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июня 1945 вышло Постановление ГКО № 9162 [Справка о принятии постановления "по организационным мероприятиям Красной Армии" - штатной численности КА без ЗабФ и ДВФ; текст постановления в деле отсутствует.] (7351, 68).</w:t>
      </w:r>
    </w:p>
    <w:p w14:paraId="517C202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1E9DBC6" w14:textId="77777777" w:rsidR="00C8447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3A0F47A" w14:textId="77777777" w:rsidR="00C84475" w:rsidRPr="00F90EAE" w:rsidRDefault="00C84475" w:rsidP="00F90EAE">
      <w:pPr>
        <w:autoSpaceDE w:val="0"/>
        <w:autoSpaceDN w:val="0"/>
        <w:adjustRightInd w:val="0"/>
        <w:jc w:val="both"/>
        <w:rPr>
          <w:iCs/>
          <w:color w:val="000000" w:themeColor="text1"/>
          <w:sz w:val="16"/>
          <w:szCs w:val="16"/>
        </w:rPr>
      </w:pPr>
    </w:p>
    <w:p w14:paraId="70CFB2FA" w14:textId="77777777" w:rsidR="00C84475" w:rsidRPr="00F90EAE" w:rsidRDefault="00C84475" w:rsidP="00F90EAE">
      <w:pPr>
        <w:jc w:val="both"/>
        <w:rPr>
          <w:color w:val="000000" w:themeColor="text1"/>
          <w:sz w:val="16"/>
          <w:szCs w:val="16"/>
        </w:rPr>
      </w:pPr>
      <w:r w:rsidRPr="00F90EAE">
        <w:rPr>
          <w:bCs/>
          <w:color w:val="000000" w:themeColor="text1"/>
          <w:sz w:val="16"/>
          <w:szCs w:val="16"/>
        </w:rPr>
        <w:t>20 июня</w:t>
      </w:r>
      <w:r w:rsidRPr="00F90EAE">
        <w:rPr>
          <w:color w:val="000000" w:themeColor="text1"/>
          <w:sz w:val="16"/>
          <w:szCs w:val="16"/>
        </w:rPr>
        <w:t xml:space="preserve"> в 1945 году по радио передан репортаж о параде воинских частей Берлинского гарнизона Красной Армии по случаю торжественных проводов Знамени Победы в Москву (14928).</w:t>
      </w:r>
    </w:p>
    <w:p w14:paraId="6B1205AC" w14:textId="77777777" w:rsidR="00C84475" w:rsidRPr="00F90EAE" w:rsidRDefault="00C84475" w:rsidP="00F90EAE">
      <w:pPr>
        <w:jc w:val="both"/>
        <w:rPr>
          <w:color w:val="000000" w:themeColor="text1"/>
          <w:sz w:val="16"/>
          <w:szCs w:val="16"/>
        </w:rPr>
      </w:pPr>
    </w:p>
    <w:p w14:paraId="2D708435" w14:textId="77777777" w:rsidR="00C84475" w:rsidRPr="00F90EAE" w:rsidRDefault="00C84475" w:rsidP="00F90EAE">
      <w:pPr>
        <w:jc w:val="both"/>
        <w:rPr>
          <w:bCs/>
          <w:color w:val="000000" w:themeColor="text1"/>
          <w:sz w:val="16"/>
          <w:szCs w:val="16"/>
        </w:rPr>
      </w:pPr>
      <w:r w:rsidRPr="00F90EAE">
        <w:rPr>
          <w:bCs/>
          <w:color w:val="000000" w:themeColor="text1"/>
          <w:sz w:val="16"/>
          <w:szCs w:val="16"/>
        </w:rPr>
        <w:t>20 июня</w:t>
      </w:r>
      <w:r w:rsidRPr="00F90EAE">
        <w:rPr>
          <w:color w:val="000000" w:themeColor="text1"/>
          <w:sz w:val="16"/>
          <w:szCs w:val="16"/>
        </w:rPr>
        <w:t xml:space="preserve"> в 1945 году из Берлина в Москву на транспортом самолете доставлено Знамя Победы, Красное знамя, которое было водружено над рейхстагом 30 апреля 1945 разведчиками 150-й стрелковой дивизии М.А.Егоровым и М.В.Кантария. 24 июня 1945 года в Москве на Красной площади состоялся первый парад войск действующей армии, Военно-Морского Флота и Московского гарнизона в ознаменование Победы над Германией в Великой Отечественной войне. Решено было привезти из Берлина Красное знамя, которое было водружено над рейхстагом 30 апреля 1945 разведчиками 150-й стрелковой дивизии М.А.Егоровым и М.В.Кантария. Фотографии горящего рейхстага с реющим над его куполом знаменем Победы были опубликованы в московской газете «Правда» 3 мая 1945 года. В Берлине еще шли бои, в самом рейхстаге стреляли отдельные группы фашистов, а снимки уже стали историческими. Красное знамя, пробитое пулями, обагренное кровью, стало священной реликвией. Впервые идею водрузить красный стяг над столицей поверженной Германии высказал И.В.Сталин на торжественном заседании б ноября 1944 года. Тогда Военный совет армии принял решение: передовой отряд бойцов должен водрузить флаг над рейхстагом, что будет символизировать окончательное крушение нацизма. По образцу государственного флага СССР было срочно изготовлено девять стягов, по числу дивизий, входивших в состав 3-й ударной армии. Во главе атакующих цепей шли штурмовые группы, составленные из воинов-добровольцев. Каждая из них стремилась быстрее выполнить ответственную задачу.</w:t>
      </w:r>
    </w:p>
    <w:p w14:paraId="508CAE4F" w14:textId="77777777" w:rsidR="00C84475" w:rsidRPr="00F90EAE" w:rsidRDefault="00C84475" w:rsidP="00F90EAE">
      <w:pPr>
        <w:jc w:val="both"/>
        <w:rPr>
          <w:color w:val="000000" w:themeColor="text1"/>
          <w:sz w:val="16"/>
          <w:szCs w:val="16"/>
        </w:rPr>
      </w:pPr>
      <w:r w:rsidRPr="00F90EAE">
        <w:rPr>
          <w:color w:val="000000" w:themeColor="text1"/>
          <w:sz w:val="16"/>
          <w:szCs w:val="16"/>
        </w:rPr>
        <w:t>Флаг № 5, ставший Знаменем Победы, несла группа из трех бойцов, возглавляемая старшим сержантом Ивановым. Он получил смертельное ранение при прорыве к верхним этажам здания, но сержант М.Егоров и младший сержант М.Кантария, которых прикрывали их однополчане по 756-му полку, смогли водрузить знамя. Поздним вечером 30 апреля 1945 года над крышей рейхстага затрепетал красный флаг, а вслед за этим было поднято еще два. Во второй половине следующего дня красный флаг перенесли на стеклянный купол здания, где он оставался до дня Победы. 9 мая реликвия была передана в штаб 150-го полка, а вместо нее над рейхстагом взвился другой флаг. 20 июня 1945 года Знамя Победы на транспортном самолете доставили в Москву, и с тех пор оно хранится в Центральном музее Вооруженных сил. Победное знамя уже 60 лет находится в специальном хранилище. Подлинное знамя хранят в особых условиях - воздухопропускающий чехол, специальная бумага, на руках сотрудников - перчатки. Показывают его крайне редко: ткань слишком хрупкая, а кроме того, как объясняют в музее, это не просто знамя, а символ победы и история. Точная копия этого знамени - с пулевым отверстием, надставленным сеткой краем, с цифрой пять на обратной стороне - была сшита специально (14928).</w:t>
      </w:r>
    </w:p>
    <w:p w14:paraId="4007EA5C" w14:textId="77777777" w:rsidR="00C84475" w:rsidRPr="00F90EAE" w:rsidRDefault="00C84475" w:rsidP="00F90EAE">
      <w:pPr>
        <w:jc w:val="both"/>
        <w:rPr>
          <w:color w:val="000000" w:themeColor="text1"/>
          <w:sz w:val="16"/>
          <w:szCs w:val="16"/>
        </w:rPr>
      </w:pPr>
    </w:p>
    <w:p w14:paraId="0AB6A736" w14:textId="77777777" w:rsidR="00C84475"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C3989A7" w14:textId="77777777" w:rsidR="00C84475" w:rsidRPr="00F90EAE" w:rsidRDefault="00C84475" w:rsidP="00F90EAE">
      <w:pPr>
        <w:autoSpaceDE w:val="0"/>
        <w:autoSpaceDN w:val="0"/>
        <w:adjustRightInd w:val="0"/>
        <w:jc w:val="both"/>
        <w:rPr>
          <w:iCs/>
          <w:color w:val="000000" w:themeColor="text1"/>
          <w:sz w:val="16"/>
          <w:szCs w:val="16"/>
        </w:rPr>
      </w:pPr>
    </w:p>
    <w:p w14:paraId="666286A2" w14:textId="77777777" w:rsidR="00C84475" w:rsidRPr="00F90EAE" w:rsidRDefault="00C84475" w:rsidP="00F90EAE">
      <w:pPr>
        <w:jc w:val="both"/>
        <w:rPr>
          <w:color w:val="000000" w:themeColor="text1"/>
          <w:sz w:val="16"/>
          <w:szCs w:val="16"/>
        </w:rPr>
      </w:pPr>
      <w:r w:rsidRPr="00F90EAE">
        <w:rPr>
          <w:bCs/>
          <w:color w:val="000000" w:themeColor="text1"/>
          <w:sz w:val="16"/>
          <w:szCs w:val="16"/>
        </w:rPr>
        <w:t>20 июня</w:t>
      </w:r>
      <w:r w:rsidRPr="00F90EAE">
        <w:rPr>
          <w:color w:val="000000" w:themeColor="text1"/>
          <w:sz w:val="16"/>
          <w:szCs w:val="16"/>
        </w:rPr>
        <w:t xml:space="preserve"> в 1945 году на подаренных Сталиным самолетах-истребителях Як-3 на родину отбыли летчики французского авиаполка "Нормандия-Неман"</w:t>
      </w:r>
    </w:p>
    <w:p w14:paraId="6CD3F32E" w14:textId="77777777" w:rsidR="00C84475" w:rsidRPr="00F90EAE" w:rsidRDefault="00C84475" w:rsidP="00F90EAE">
      <w:pPr>
        <w:jc w:val="both"/>
        <w:rPr>
          <w:color w:val="000000" w:themeColor="text1"/>
          <w:sz w:val="16"/>
          <w:szCs w:val="16"/>
        </w:rPr>
      </w:pPr>
    </w:p>
    <w:p w14:paraId="1A250EF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ABCF3AD" w14:textId="77777777" w:rsidR="006103B3" w:rsidRPr="00F90EAE" w:rsidRDefault="006103B3" w:rsidP="00F90EAE">
      <w:pPr>
        <w:autoSpaceDE w:val="0"/>
        <w:autoSpaceDN w:val="0"/>
        <w:adjustRightInd w:val="0"/>
        <w:jc w:val="both"/>
        <w:rPr>
          <w:iCs/>
          <w:color w:val="000000" w:themeColor="text1"/>
          <w:sz w:val="16"/>
          <w:szCs w:val="16"/>
        </w:rPr>
      </w:pPr>
    </w:p>
    <w:p w14:paraId="5DDCFFA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20 июня 1945 в Нью-Йорке 4 млн. жителей приветствовали вернувшегося из Европы генерала Д. Эйзенхауэра (4962).</w:t>
      </w:r>
    </w:p>
    <w:p w14:paraId="024962CC"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45FE282" w14:textId="77777777" w:rsidR="00C84475" w:rsidRPr="00F90EAE" w:rsidRDefault="00C84475" w:rsidP="00F90EAE">
      <w:pPr>
        <w:jc w:val="both"/>
        <w:rPr>
          <w:color w:val="000000" w:themeColor="text1"/>
          <w:sz w:val="16"/>
          <w:szCs w:val="16"/>
        </w:rPr>
      </w:pPr>
      <w:r w:rsidRPr="00F90EAE">
        <w:rPr>
          <w:bCs/>
          <w:color w:val="000000" w:themeColor="text1"/>
          <w:sz w:val="16"/>
          <w:szCs w:val="16"/>
        </w:rPr>
        <w:t>20 июня</w:t>
      </w:r>
      <w:r w:rsidRPr="00F90EAE">
        <w:rPr>
          <w:color w:val="000000" w:themeColor="text1"/>
          <w:sz w:val="16"/>
          <w:szCs w:val="16"/>
        </w:rPr>
        <w:t xml:space="preserve"> в 1945 году немецкий конструктор Вернер фон Браун (Werner von Braun) вместе с командой специалистов-ракетчиков прибыл в США (14928).</w:t>
      </w:r>
    </w:p>
    <w:p w14:paraId="7D816A1F" w14:textId="77777777" w:rsidR="00C84475" w:rsidRPr="00F90EAE" w:rsidRDefault="00C84475" w:rsidP="00F90EAE">
      <w:pPr>
        <w:jc w:val="both"/>
        <w:rPr>
          <w:color w:val="000000" w:themeColor="text1"/>
          <w:sz w:val="16"/>
          <w:szCs w:val="16"/>
        </w:rPr>
      </w:pPr>
    </w:p>
    <w:p w14:paraId="68D1106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76E79CF" w14:textId="77777777" w:rsidR="006103B3" w:rsidRPr="00F90EAE" w:rsidRDefault="006103B3" w:rsidP="00F90EAE">
      <w:pPr>
        <w:autoSpaceDE w:val="0"/>
        <w:autoSpaceDN w:val="0"/>
        <w:adjustRightInd w:val="0"/>
        <w:jc w:val="both"/>
        <w:rPr>
          <w:iCs/>
          <w:color w:val="000000" w:themeColor="text1"/>
          <w:sz w:val="16"/>
          <w:szCs w:val="16"/>
        </w:rPr>
      </w:pPr>
    </w:p>
    <w:p w14:paraId="2443DD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Нач. штаба НИИ ВВС писал письмо N 0133 А.И.Ш.:</w:t>
      </w:r>
    </w:p>
    <w:p w14:paraId="5AA2E4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"Представляю акт по результатам гос. испытаний модифицированного самолета УИл-2 с мотором АМ-38Ф (самолет N 18841133 производства 18 завода,)." (1969,1).</w:t>
      </w:r>
    </w:p>
    <w:p w14:paraId="361F9A67" w14:textId="77777777" w:rsidR="006103B3" w:rsidRPr="00F90EAE" w:rsidRDefault="006103B3" w:rsidP="00F90EAE">
      <w:pPr>
        <w:autoSpaceDE w:val="0"/>
        <w:autoSpaceDN w:val="0"/>
        <w:adjustRightInd w:val="0"/>
        <w:jc w:val="both"/>
        <w:rPr>
          <w:color w:val="000000" w:themeColor="text1"/>
          <w:sz w:val="16"/>
          <w:szCs w:val="16"/>
        </w:rPr>
      </w:pPr>
    </w:p>
    <w:p w14:paraId="75733A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на ДВ закончили летные испытания В-29, которые велись с января 1945. Две машины находились в распоряжении ВВС ТОФ, а одна в составе специально созданной 35 отдельной бомбардировочной эскадрильи, в которую вошли и 2 В-25. Летали с аэродрома Романовский. В июне-июле два В-29 перегнали в Москву. Одну машину вел п/п С.Б.Рейдель с 2/п Моржакловым. Сели в Измайлово на базе 65 полка особого назначения морской авиации. Вторую машину вел Марунов и сел туда же. Один из В-29 N 42-6256 по просьбе командующего ДА А.Е.Голованова передали в 890 полк на аэродром Балбасово под Оршей под командованием Э.К.Пусэпа. На 1 июля там было 9 Пе-8, 19 В-25, 12 В-17 (F and G), а второй полк летал на В-24 (2645,25).</w:t>
      </w:r>
    </w:p>
    <w:p w14:paraId="6092A633" w14:textId="77777777" w:rsidR="006103B3" w:rsidRPr="00F90EAE" w:rsidRDefault="006103B3" w:rsidP="00F90EAE">
      <w:pPr>
        <w:autoSpaceDE w:val="0"/>
        <w:autoSpaceDN w:val="0"/>
        <w:adjustRightInd w:val="0"/>
        <w:jc w:val="both"/>
        <w:rPr>
          <w:color w:val="000000" w:themeColor="text1"/>
          <w:sz w:val="16"/>
          <w:szCs w:val="16"/>
        </w:rPr>
      </w:pPr>
    </w:p>
    <w:p w14:paraId="74FED7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21 июня 1945 на Дальнем Востоке продолжались испытания В-29. Удалось определить основные данные самолета. Они оказались несколько ниже полученных в США. Например, определенная на испытаниях максимальная скорость не превышала 580 км/ч, а набор высоты 5000 м занимал 16,5 минут. Впрочем, это было естественно, если учесть, что самолет был не новым и проходил ремонт. Было выполнено несколько высотных полетов, полеты на проверку предельной дальности по замкнутому маршруту п на бомбометание (3457,120).</w:t>
      </w:r>
    </w:p>
    <w:p w14:paraId="6F90F132" w14:textId="77777777" w:rsidR="006103B3" w:rsidRPr="00F90EAE" w:rsidRDefault="006103B3" w:rsidP="00F90EAE">
      <w:pPr>
        <w:autoSpaceDE w:val="0"/>
        <w:autoSpaceDN w:val="0"/>
        <w:adjustRightInd w:val="0"/>
        <w:jc w:val="both"/>
        <w:rPr>
          <w:color w:val="000000" w:themeColor="text1"/>
          <w:sz w:val="16"/>
          <w:szCs w:val="16"/>
        </w:rPr>
      </w:pPr>
    </w:p>
    <w:p w14:paraId="2681F9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года Новиков писал письмо Шахурину.</w:t>
      </w:r>
    </w:p>
    <w:p w14:paraId="633D86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последнего времени из частей ВВС поступают жалобы о загрязнении воздуха в кабинах самолета Ла-7 и Ла-5 отработанными газами, а также о недопустимо высоких температурах воздуха в этих кабинах, в результате чего имели место обморочные состояния летного состава в полете, что в отдельных случаях заканчивалось катастрофами.</w:t>
      </w:r>
    </w:p>
    <w:p w14:paraId="4A5BD2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Загрязнение воздуха и недопустимо высокая температура в кабинах летчика на самолетах Ла-5 и Ла-7 отмечаются и отчетами ГК НИИ ВВС с момента испытания опытных образцов этих самолетов до настоящего времени.</w:t>
      </w:r>
    </w:p>
    <w:p w14:paraId="3F9CDC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Специальные испытания серийного самолета Ла-7 N 38102158 с улучшенной герметизацией и вентиляцией кабины, проведенные в марте с.г. в ГК НИИ ВВС показали, что в кабину самолета проникают выхлопные газы, в результате чего создается концентрация окиси углерода в зоне дыхания летчика до 0,128 мгр/литр, что превышает гигиенически допустимую норму в 4 раза. Наличие столь высоких концентраций окиси углерода в кабине, а также дополнительное загрязнение воздуха продуктами разложения масла - альдегидами, создают явную угрозу отравления летчика в продолжительных полетах, особенно когда летчик не пользуется кислородом.</w:t>
      </w:r>
    </w:p>
    <w:p w14:paraId="7FD172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Контрольными испытаниями серийного самолета N 45212225 в мае с.г. также установлено, что на малых и средних высотах в кабине жарко, в результате чего имеет место повышенная утомляемость летчика и снижение его работоспособности. В первых полетах на этом самолете в кабину попадал дым от тления ткани, наложенной поверх асбеста на трубку нейтрального газа, что приводило к прекращению полета из-за невозможности дыхания и слезоточения.</w:t>
      </w:r>
    </w:p>
    <w:p w14:paraId="212695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Новая вентиляция кабины с заборником воздуха установленным в нижней части фюзеляжа, перед маслорадиатором и улучшения герметизации кабины от замоторного пространства выполненные на самолете N 45213276 несколько снизили температуру воздуха в кабине по сравнению с температурами в кабине, имевшими место на самолетах Ла-7 со старой трехрожковой вентиляцией, однако температура воздуха в кабине остается все еще высокой и достигает на уровне груди летчика 40 градусов при температуре наружного воздуха +14 градусов, температурах головок цилиндров 210 градусов и масла 70 градусов С.</w:t>
      </w:r>
    </w:p>
    <w:p w14:paraId="6037A1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распоряжений гл. конструктору Лавочкину о принятии чрезвычайных и срочных мер по доводке вентиляции и герметизации кабин самолетов Ла-7 и предъявлении модернизированного образца на повторные испытания в ГК НИИ ВВС, а также директорам заводов о тщательном выполнении на самолетах Ла-7 герметизации и вентиляции кабин в полном соответствии с чертежами гл. конструктора (1879).</w:t>
      </w:r>
    </w:p>
    <w:p w14:paraId="5143ECE7" w14:textId="77777777" w:rsidR="006103B3" w:rsidRPr="00F90EAE" w:rsidRDefault="006103B3" w:rsidP="00F90EAE">
      <w:pPr>
        <w:autoSpaceDE w:val="0"/>
        <w:autoSpaceDN w:val="0"/>
        <w:adjustRightInd w:val="0"/>
        <w:jc w:val="both"/>
        <w:rPr>
          <w:color w:val="000000" w:themeColor="text1"/>
          <w:sz w:val="16"/>
          <w:szCs w:val="16"/>
        </w:rPr>
      </w:pPr>
    </w:p>
    <w:p w14:paraId="35E44AB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года, народный комиссар авиационной промышленности СССР А.И. Шахурин издал приказ № 261 об организации на заводе № 45, созданном в 1942 г. на территории эвакуированного завода № 24, опытно-конструкторского бюро по созданию авиадизелей. Новое ОКБ начало работать под руководством главного конструктора завода Владимира Михайловича Яковлева. При этом предусматривалась организация на заводе опытно-конструкторского отдела.</w:t>
      </w:r>
    </w:p>
    <w:p w14:paraId="121203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1947 году доводку авиадизеля передали заводу № 500, а ОКБ-45 получило более важную на тот период времени задачу - обеспечить освоение производства на заводе № 45 английского турбореактивного двигателя "Нин" I.</w:t>
      </w:r>
    </w:p>
    <w:p w14:paraId="581FFC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Следует отметить, что ранее на заводе № 45 уже изготавливались небольшие партии опытных отечественных ТРД. Это были двигатели ТР-1 и ТР-1А конструкции А.М. Люльки и АМТКРД-01 конструкции А.А. Микулина. Однако в дальнейшем изготовление этих двигателей пришлось свернуть из-за большого количества дефектов, выявленных при их испытаниях.</w:t>
      </w:r>
    </w:p>
    <w:p w14:paraId="5E2FAC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1947 году главным конструктором ОКБ-45 стал Владимир Яковлевич Климов. Ему предстояло в самые короткие сроки изучить конструкцию "Нин" I., изготовить комплект конструкторской и технологической документации и запустить в серийное производство двигатель, аналогичный английскому ТРД. К тому времени партия таких моторов была закуплена в Великобритании и доставлена в СССР. Через несколько месяцев конструкторы ОКБ-45 разработали полный комплект чертежей двигателя. Одновременно сотрудники ОКБ проводили по новому двигателю достаточно сложные расчеты, в том числе газодинамические. В ОКБ-45 в то время работали всего 12 человек. Им помогали работники отдела главного технолога завода № 45. Затем в ОКБ-45 были переведены конструкторы из других московских заводов, и общая численность ИТР возросла до 129 человек. Ответственным за перевод всей полученной из Англии технической документации и анализ регулярно получаемых зарубежных технических журналов был А.М. Яковлев, неплохо знавший английский язык. Всеми работами непосредственно руководил В.Я. Климов и его заместитель Н.Г. Мецхваришвили. Через полгода на заводе № 45 по выпущенным чертежам были изготовлены первые реактивные двигатели РД-45 - так стали именовать "Нины" I отечественного производства.</w:t>
      </w:r>
    </w:p>
    <w:p w14:paraId="65F70C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испытаний двигателя выявилось разрушение лопаток ротора турбины - в условиях высокой температуры металл не выдерживал нагрузок, а сроки "поджимали". Кроме того, освоение нового двигателя в серийном производстве лично контролировал И.В. Сталин. Поэтому для быстрого и надежного устранения выявившегося дефекта в ОКБ-45 применили метод одновременного испытания нескольких лопаток, изготовленных из различных сплавов и установленных на один диск турбины.</w:t>
      </w:r>
    </w:p>
    <w:p w14:paraId="51BA50F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Впоследствии серийное изготовление двигателя было организовано на шести заводах отрасли. При этом ведущим заводом по этим двигателям оставался завод № 45, на территории которого к тому времени уже успешно функционировало ОКБ-45. Бюро быстро росло и развивалось по мере решения непростых задач, которые возникали в этот период становления в СССР реактивной авиации.</w:t>
      </w:r>
    </w:p>
    <w:p w14:paraId="73C165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Многое тогда в нашей стране делалось впервые. В ОКБ-45 впервые была создана форсажная камера и створчатое регулируемое сопло. Впоследствии такая конструктивная схема была применена почти на всех двигателях сверхзвуковых боевых самолетов. На смену РД-45 в серийное производство пришел более мощный двигатель РД-45Ф, с которым на самолете МиГ-17 впервые была достигнута сверхзвуковая скорость полета.</w:t>
      </w:r>
    </w:p>
    <w:p w14:paraId="5D5DFC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1947-1949 годах под руководством В.Я. Климова был разработан усовершенствованный двигатель ВК-1. Большим достоинством двигателя ВК-1 по сравнению с РД-45 явилось наличие системы автоматического запуска двигателя. При разработке ВК-1 значительный вклад в усовершенствование топливной системы двигателя внес конструктор ОКБ-45 С.Л. Гаазе.</w:t>
      </w:r>
    </w:p>
    <w:p w14:paraId="79B7AF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создание и освоения в серийном производстве двигателя ВК-1 в 1952 году большая группа работников ОКБ-45 и завода № 45 была удостоена Сталинской премии. Реактивные двигатели РД-45 и ВК-1 устанавливались на самолеты ВВС и ПВО МиГ-15, Ла-15, Ил-28, Ту-14 и др.</w:t>
      </w:r>
    </w:p>
    <w:p w14:paraId="16DCF3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Затем был разработан еще более мощный ТРД ВК-1Ф. При внедрении и освоении этого двигателя в серийном производстве пришлось отлаживать процессы горения и осуществлять доводку проточной части реактивного сопла. Этой работой руководил конструктор ОКБ-45 И.Ю. Черкис. На основе оригинальной конструкции регулируемого реактивного сопла ВК-1Ф впоследствии создавались аналогичные узлы для других ТРД.</w:t>
      </w:r>
    </w:p>
    <w:p w14:paraId="357AE3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началу пятидесятых годов прошлого века ОКБ-45 под руководством В.Я. Климова и его заместителя Н.Г. Мецхваришвили превратилось в полноценный творческий коллектив. В ОКБ было создано летно-испытательное подразделение.</w:t>
      </w:r>
    </w:p>
    <w:p w14:paraId="466BA7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1966 году ОКБ-45 стало именоваться МКБ "Гранит". На протяжении всего периода существования конструкторского бюро при разработке и доводке новых двигателей в процессе их серийного изготовления и эксплуатации оно всегда обеспечивало конструкторское сопровождение всего жизненного цикла каждого типа двигателей.</w:t>
      </w:r>
    </w:p>
    <w:p w14:paraId="2B0A552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Целый ряд двигателей был разработан в МКБ "Гранит" и после проведения государственных испытаний они были внедрены в серийное производство.</w:t>
      </w:r>
    </w:p>
    <w:p w14:paraId="4671A3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Конструкторы МКБ "Гранит" всегда следили за изготовлением "своих" двигателей на серийных заводах отрасли, ежедневно откликаясь на многочисленные вопросы. По каждому выявленному дефекту немедленно открывалась так называемая "тема". По мере организации ремонта двигателей, выработавших гарантийный ресурс, МКБ "Гранит" подключалось к решению специфических вопросов, связанных с их ремонтом на серийных заводах и ремонтных базах заказчика.</w:t>
      </w:r>
    </w:p>
    <w:p w14:paraId="109CC8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начала "перестройки" в нашей стране при проведении всех этих работ МКБ "Гранит" было способно самостоятельно обеспечить полный цикл изготовления необходимой материальной части (за исключением крупных поковок, штамповок и литья), провести сложнейшие лабораторные исследования, включая испытания агрегатов, автономные испытания камер сгорания и прочностные испытания лопаток турбины, а также выполнить полный объем стендовых испытаний двигателя с проведением необходимого термометрирования и тензометрирования, в том числе и роторных деталей. Для этого на испытательной станции МКБ были построены уникальные стенды, позволявшие проводить испытание двигателей с наддувом и подогревом воздуха на входе до 300 °С.</w:t>
      </w:r>
    </w:p>
    <w:p w14:paraId="69D0DD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 указанные работы в разные годы обеспечивались такими высокими профессионалами своего дела, как Н.И. Болтунов, Н.Г. Румянцев, Н.А. Крупенин, В.И. Миронов, В.И. Холоднов, С.Г. Тайбер, Ю.А. Дроздов, Н.Ф. Федотов, Г.Ф. Кузнецов, К.П. Курганов, А.П. Дроздова, А.П. Куликов, В.А. Климчуков, Б.Л. Петровский, А.П. Дзюбенко, Н.К. Ручкин, В.К. Морозов, И.Ф. Минин и многими другими талантливыми производственниками, технологами, экспериментаторами и испытателями.</w:t>
      </w:r>
    </w:p>
    <w:p w14:paraId="0CC5E7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Каждый этап любой работы заранее планировался, а ее результаты тщательно анализировались.</w:t>
      </w:r>
    </w:p>
    <w:p w14:paraId="1F4D0D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Отдельно надо отметить, что, начиная с момента своего создания и до настоящего времени, деятельность МКБ "Гранит" - ОКБ-45 всегда была тесно связана с ведущим предприятием отрасли - заводом "Салют", ранее именовавшимся заводом № 45. В большинстве случаев завод "Салют" являлся головным предприятием, ответственным за серийное изготовление в отрасли авиационных двигателей, которые курировало МКБ "Гранит".</w:t>
      </w:r>
    </w:p>
    <w:p w14:paraId="6A1A482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период до 1954 года под руководством Николая Георгиевича Мецхваришвили, ставшего в 1956 году главным конструктором, в ОКБ-45 проводилась разработка двигателей семейства "ВК" с центробежным компрессором. После промежуточных моделей ВК-3 и ВК-5 началась доводка двигателя ВК-7, в котором по предложению ведущего конструктора К.Р. Хачатурова и газодинамика Л.М. Титова впервые в стране лопасти крыльчатки компрессора были выполнены по особому профилю, криволинейными. В 1955 году ОКБ-45 начинает заниматься необычным по тому времени двигателем ВК-11 с шестиступенчатым осевым компрессором, у которого первая ступень была сверхзвуковой и изготавливалась из титана. У этого двигателя при меньших по сравнению с ВК-7 габаритах и увеличенным до 80 кг/с расходом воздуха удалось получить тягу 5000 кгс. Однако в серийное производства этот двигатель внедрен не был, так как в то время под руководством главного конструктора А.М. Люлька уже был создан и прошел длительные испытания более совершенный двигатель АЛ-7.</w:t>
      </w:r>
    </w:p>
    <w:p w14:paraId="0D4FE5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1956 года судьба ОКБ-45 становится на многие годы связанной с двигателями, созданными в ОКБ-165 под руководством главного, а затем генерального конструктора Архипа Михайловича Люльки.</w:t>
      </w:r>
    </w:p>
    <w:p w14:paraId="4D27229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этом же году ОКБ-45 приступило к освоению и доводке двигателя АЛ-7, разработанного в ОКБ-165. В 1957 году главным конструктором ОКБ-45 стал Эдуард Эдуардович Лусс, один из ближайших помощников А.М. Люльки. Вместе с ним в конструкторское бюро из ОКБ-165 пришли несколько опытных инженеров, в том числе В.Г. Афанасьев, возглавивший впоследствии летно-испытательную службу ОКБ, Б.А. Оводенко, талантливый инженер, ставший начальником группы газодинамических расчетов, ведущий конструктор В.Н. Чобаногло и др. При этом ряд ведущих специалистов во главе с Н.Г. Мецхваришвили был переведен в ОКБ-500 для обеспечения работ над другими отечественными ТРД.</w:t>
      </w:r>
    </w:p>
    <w:p w14:paraId="71664A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Освоение АЛ-7 в серийном производстве проходило с большими трудностями, в том числе из-за того, что переданные из ОКБ-165 чертежи не были отработаны применительно к серийному производству, а конструктивная доводка двигателя по результатам продолжавшихся стендовых и летных испытаний проводилась параллельно с серийным освоением АЛ-7.</w:t>
      </w:r>
    </w:p>
    <w:p w14:paraId="7C31D1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освоения серийного изготовления камер сгорания очень трудно давалось обеспечение требуемой равномерности температурного поля газа. Проведение испытаний камер обеспечивал начальник лаборатории камер сгорания А.И. Виноградов. Анализ полученных результатов, проведенных конструкторами под руководством начальника группы М.П. Хаюрова, позволил устранить недостатки.</w:t>
      </w:r>
    </w:p>
    <w:p w14:paraId="1E4753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Позднее в серийном производстве были освоены две усовершенствованные модификации двигателя: АЛ-7Ф-1 для истребителей-бомбардировщиков Су-7Б и истребителей-перехватчиков Су-9 и более мощная АЛ-7Ф-2 для истребителей-перехватчиков Су-11 и дальних перехватчиков Ту-128.</w:t>
      </w:r>
    </w:p>
    <w:p w14:paraId="314B6BB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Более 10 лет ОКБ-45 совместно с ОКБ-165 обеспечивало ресурсную доводку и конструкторское сопровождение серийного изготовления этих двигателей на заводе № 45 и Рыбинском моторном заводе. При этом в Рыбинске было организовано постоянное представительство ОКБ-45, где под руководством одного из заместителей главного конструктора П.И. Орманова посменно работали конструкторы всех групп ОКБ.</w:t>
      </w:r>
    </w:p>
    <w:p w14:paraId="356FA3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Одновременно с освоением двигателей АЛ-7, в начале шестидесятых годов, ОКБ-45, которое в то время именовалось п/я 282, под руководством Э.Э. Лусса было поручено освоение и внедрение в серийное производство нового мощного турбореактивного двигателя Р15Б-300, разработанного в ОКБ-300 под руководством генерального конструктора Сергея Константиновича Туманского. Двигатель Р15Б-300 предназначался для установки на самолет МиГ-25.</w:t>
      </w:r>
    </w:p>
    <w:p w14:paraId="16EA8C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заводе № 45 серийное изготовление двигателя Р15Б-300 начиналось при его гарантированном ресурсе всего 50 часов.</w:t>
      </w:r>
    </w:p>
    <w:p w14:paraId="3F0C37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процессе конструктивной доработки двигателя его узлы подверглись значительным изменениям. Для обеспечения надежного запуска двигатель Р15Б-300 оснастили турбостартером С-3 мощностью 150 л.с., доводкой которого в ОКБ-45 занималась специальная группа под руководством М.А. Честнова.</w:t>
      </w:r>
    </w:p>
    <w:p w14:paraId="52B257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решении этих и многих других вопросов, с которыми приходилось сталкиваться в процессе эксплуатации двигателя, самое активное участие принимали специалисты МКБ "Гранит": Ю.П. Маточкин, Л.Д. Шульман, З.И. Серебряный, С.А.Александров, В.А. Овчиников, Ю.Ю.Черкис, В.С. Афанасьев, П.П. Данчеев, Е.Е. Егармин, И.Н. Мещерский, С.Л. Гаазе, А.А. Ткаченко, Л.Я. Стависский, Н.Н. Ковачич, В.А. Макаров, В.М. Андряков, М.П. Ханеров и многие другие.</w:t>
      </w:r>
    </w:p>
    <w:p w14:paraId="1ED82F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Применительно к двигателю Р15Б-300 впервые в СССР была отработана и внедрена в эксплуатацию прогрессивная методика установления ресурса по техническому состоянию, которая с тех пор является обязательной для всех отечественных авиационных двигателей. За эту работу группа специалистов МКБ "Гранит", включавшая Ф.В. Шухова, Н.Я. Булычева, В.И. Могилевкина, Ю.А. Бочагова, была удостоена премии Совета министров СССР за 1982 год.</w:t>
      </w:r>
    </w:p>
    <w:p w14:paraId="66A8D8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самолете МиГ-25, оснащенном двигателем Р15Б-300, летчики ОКБ-155 установили более 20 мировых рекордов. На заводе № 45 этот двигатель серийно выпускался более 20 лет (11407).</w:t>
      </w:r>
    </w:p>
    <w:p w14:paraId="768D8232" w14:textId="77777777" w:rsidR="006103B3" w:rsidRPr="00F90EAE" w:rsidRDefault="006103B3" w:rsidP="00F90EAE">
      <w:pPr>
        <w:autoSpaceDE w:val="0"/>
        <w:autoSpaceDN w:val="0"/>
        <w:adjustRightInd w:val="0"/>
        <w:jc w:val="both"/>
        <w:rPr>
          <w:color w:val="000000" w:themeColor="text1"/>
          <w:sz w:val="16"/>
          <w:szCs w:val="16"/>
        </w:rPr>
      </w:pPr>
    </w:p>
    <w:p w14:paraId="2DC8A31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года командующий ВВС гл. маршал авиации писал письмо N 625143 Шахурину.</w:t>
      </w:r>
    </w:p>
    <w:p w14:paraId="052564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Фотокинопулеметы за период 1944-45 г.г. в авиачастях на фронте нашли широкое применение не только при обучении, но и при выполнении боевых заданий.</w:t>
      </w:r>
    </w:p>
    <w:p w14:paraId="06921B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Полезность использования фотокинопулеметов осознана всеми передовыми летчиками и авиачастями. Фотокинопулеметы в боевых частях устанавливаются на все типы самолетов Лавочкина, С.В.И. и Яковлева в зависимости от имеющихся в наличии в частях фотокинопулеметов.</w:t>
      </w:r>
    </w:p>
    <w:p w14:paraId="2E39B5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серийном производстве освоены и выпускаются самолеты с фотокинопулеметами на заводах N 21, 381, 1, 18 и 30.</w:t>
      </w:r>
    </w:p>
    <w:p w14:paraId="76FE08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самолетах Яковлева в серийном производстве установка фотокинопулеметов не производится, что считаю совершенно неправильным, т.к. отсутствие фотокинопулеметов не позволяет контролировать воздушный бой у летчика, проверять правдивость его доклада и не дает возможности летчику вскрывать его ошибки при стрельбе.</w:t>
      </w:r>
    </w:p>
    <w:p w14:paraId="0AA649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обсудить данный вопрос и внедрить в серийное производство установку фотокинопулеметов и на самолеты Яковлева.</w:t>
      </w:r>
    </w:p>
    <w:p w14:paraId="2870808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 принятом решении прошу меня уведомить (2591,70).</w:t>
      </w:r>
    </w:p>
    <w:p w14:paraId="7F0018FA" w14:textId="77777777" w:rsidR="006103B3" w:rsidRPr="00F90EAE" w:rsidRDefault="006103B3" w:rsidP="00F90EAE">
      <w:pPr>
        <w:autoSpaceDE w:val="0"/>
        <w:autoSpaceDN w:val="0"/>
        <w:adjustRightInd w:val="0"/>
        <w:jc w:val="both"/>
        <w:rPr>
          <w:color w:val="000000" w:themeColor="text1"/>
          <w:sz w:val="16"/>
          <w:szCs w:val="16"/>
        </w:rPr>
      </w:pPr>
    </w:p>
    <w:p w14:paraId="41CB2FC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F489A3" w14:textId="77777777" w:rsidR="006103B3" w:rsidRPr="00F90EAE" w:rsidRDefault="006103B3" w:rsidP="00F90EAE">
      <w:pPr>
        <w:autoSpaceDE w:val="0"/>
        <w:autoSpaceDN w:val="0"/>
        <w:adjustRightInd w:val="0"/>
        <w:jc w:val="both"/>
        <w:rPr>
          <w:iCs/>
          <w:color w:val="000000" w:themeColor="text1"/>
          <w:sz w:val="16"/>
          <w:szCs w:val="16"/>
        </w:rPr>
      </w:pPr>
    </w:p>
    <w:p w14:paraId="0250E9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 по распоряжению СНК СССР № 9646/р правопреемником завода № 562 (ГС Завод № 562 НКБ, ГС завод НИИ № 6, п/я 368 /г. Москва 9 п/я 368 «Иншесть» (1943 г.)/) стал НИИ-6, куда были переведены основные кадры.</w:t>
      </w:r>
    </w:p>
    <w:p w14:paraId="751562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(12.1942 г.)- 1707 чел., (конец 1943 г.)- 1574 чел.</w:t>
      </w:r>
    </w:p>
    <w:p w14:paraId="5075D6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Площадь: производственная- 5760 м</w:t>
      </w:r>
      <w:r w:rsidRPr="00F90EAE">
        <w:rPr>
          <w:color w:val="000000" w:themeColor="text1"/>
          <w:sz w:val="16"/>
          <w:szCs w:val="16"/>
          <w:vertAlign w:val="superscript"/>
        </w:rPr>
        <w:t>2</w:t>
      </w:r>
      <w:r w:rsidRPr="00F90EAE">
        <w:rPr>
          <w:color w:val="000000" w:themeColor="text1"/>
          <w:sz w:val="16"/>
          <w:szCs w:val="16"/>
        </w:rPr>
        <w:t>; вспомогательная- 65 м</w:t>
      </w:r>
      <w:r w:rsidRPr="00F90EAE">
        <w:rPr>
          <w:color w:val="000000" w:themeColor="text1"/>
          <w:sz w:val="16"/>
          <w:szCs w:val="16"/>
          <w:vertAlign w:val="superscript"/>
        </w:rPr>
        <w:t>2</w:t>
      </w:r>
      <w:r w:rsidRPr="00F90EAE">
        <w:rPr>
          <w:color w:val="000000" w:themeColor="text1"/>
          <w:sz w:val="16"/>
          <w:szCs w:val="16"/>
        </w:rPr>
        <w:t>.</w:t>
      </w:r>
    </w:p>
    <w:p w14:paraId="53B271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(26.11.1941 -28.09.1942 г.)- М.З. Тененбаум, (09.1942-44 г.-)- А.П. Закощиков (одновременно был директором НИИ-6).</w:t>
      </w:r>
    </w:p>
    <w:p w14:paraId="7FA89C7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(1941 г.)- А.Н. Рабинович, (-1942-44 г.-&gt; С.М. Голубков.</w:t>
      </w:r>
    </w:p>
    <w:p w14:paraId="0286CA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конструктор (</w:t>
      </w:r>
      <w:r w:rsidRPr="00F90EAE">
        <w:rPr>
          <w:color w:val="000000" w:themeColor="text1"/>
          <w:sz w:val="16"/>
          <w:szCs w:val="16"/>
          <w:lang w:val="en-US"/>
        </w:rPr>
        <w:t>BOB</w:t>
      </w:r>
      <w:r w:rsidRPr="00F90EAE">
        <w:rPr>
          <w:color w:val="000000" w:themeColor="text1"/>
          <w:sz w:val="16"/>
          <w:szCs w:val="16"/>
        </w:rPr>
        <w:t xml:space="preserve">)- </w:t>
      </w:r>
      <w:r w:rsidRPr="00F90EAE">
        <w:rPr>
          <w:color w:val="000000" w:themeColor="text1"/>
          <w:sz w:val="16"/>
          <w:szCs w:val="16"/>
          <w:lang w:val="en-US"/>
        </w:rPr>
        <w:t>JI</w:t>
      </w:r>
      <w:r w:rsidRPr="00F90EAE">
        <w:rPr>
          <w:color w:val="000000" w:themeColor="text1"/>
          <w:sz w:val="16"/>
          <w:szCs w:val="16"/>
        </w:rPr>
        <w:t>.</w:t>
      </w:r>
      <w:r w:rsidRPr="00F90EAE">
        <w:rPr>
          <w:color w:val="000000" w:themeColor="text1"/>
          <w:sz w:val="16"/>
          <w:szCs w:val="16"/>
          <w:lang w:val="en-US"/>
        </w:rPr>
        <w:t>A</w:t>
      </w:r>
      <w:r w:rsidRPr="00F90EAE">
        <w:rPr>
          <w:color w:val="000000" w:themeColor="text1"/>
          <w:sz w:val="16"/>
          <w:szCs w:val="16"/>
        </w:rPr>
        <w:t>. Смирнов.</w:t>
      </w:r>
    </w:p>
    <w:p w14:paraId="08178C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цехов: № 1 (1944 г.)- А. Сидоров; № 6- ДА. Смирнов, (1944 г.)- И.Н. Кузнецов; № 9 (1944 г.)- П.П. Вахрушев; баллиститного пороха (</w:t>
      </w:r>
      <w:r w:rsidRPr="00F90EAE">
        <w:rPr>
          <w:color w:val="000000" w:themeColor="text1"/>
          <w:sz w:val="16"/>
          <w:szCs w:val="16"/>
          <w:lang w:val="en-US"/>
        </w:rPr>
        <w:t>BOB</w:t>
      </w:r>
      <w:r w:rsidRPr="00F90EAE">
        <w:rPr>
          <w:color w:val="000000" w:themeColor="text1"/>
          <w:sz w:val="16"/>
          <w:szCs w:val="16"/>
        </w:rPr>
        <w:t xml:space="preserve">)- </w:t>
      </w:r>
      <w:r w:rsidRPr="00F90EAE">
        <w:rPr>
          <w:color w:val="000000" w:themeColor="text1"/>
          <w:sz w:val="16"/>
          <w:szCs w:val="16"/>
          <w:lang w:val="en-US"/>
        </w:rPr>
        <w:t>B</w:t>
      </w:r>
      <w:r w:rsidRPr="00F90EAE">
        <w:rPr>
          <w:color w:val="000000" w:themeColor="text1"/>
          <w:sz w:val="16"/>
          <w:szCs w:val="16"/>
        </w:rPr>
        <w:t>.</w:t>
      </w:r>
      <w:r w:rsidRPr="00F90EAE">
        <w:rPr>
          <w:color w:val="000000" w:themeColor="text1"/>
          <w:sz w:val="16"/>
          <w:szCs w:val="16"/>
          <w:lang w:val="en-US"/>
        </w:rPr>
        <w:t>C</w:t>
      </w:r>
      <w:r w:rsidRPr="00F90EAE">
        <w:rPr>
          <w:color w:val="000000" w:themeColor="text1"/>
          <w:sz w:val="16"/>
          <w:szCs w:val="16"/>
        </w:rPr>
        <w:t>. Дерновой.</w:t>
      </w:r>
    </w:p>
    <w:p w14:paraId="0A7ABAA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Зам. начальника цеха: баллиститного пороха (ВОВ)- Н.П. Сазонов.</w:t>
      </w:r>
    </w:p>
    <w:p w14:paraId="21588CE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 КБ (ВОВ)- А.Н. Сладкое.</w:t>
      </w:r>
    </w:p>
    <w:p w14:paraId="5D22537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Начальники отделов: 2-го (04.1943 г.)- Гинзбур г.</w:t>
      </w:r>
    </w:p>
    <w:p w14:paraId="08E99FA1"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заряды: к </w:t>
      </w:r>
      <w:r w:rsidRPr="00F90EAE">
        <w:rPr>
          <w:color w:val="000000" w:themeColor="text1"/>
          <w:sz w:val="16"/>
          <w:szCs w:val="16"/>
          <w:lang w:val="en-US"/>
        </w:rPr>
        <w:t>PC</w:t>
      </w:r>
      <w:r w:rsidRPr="00F90EAE">
        <w:rPr>
          <w:color w:val="000000" w:themeColor="text1"/>
          <w:sz w:val="16"/>
          <w:szCs w:val="16"/>
        </w:rPr>
        <w:t xml:space="preserve"> М-8 - 25,8 тыс., к М-13 (1941-45)- 189,5 тыс., к 37-мм, 50-мм минам (1941-45)- 16,9 млн., 82-мм минам (1941-45)- 45,3 млн., П3-23, ПЗ-54; ручные гранаты РГД-33 (1941-44)- 1316 тыс.; противотанковые мины АЦ (асбоцементный корпус), ТМБ-2, ТМ-35, ЯМ-5 (1941-45)- всего 1325,8 тыс.; выстрелы к фугасным огнеметам ФОГ-2 (1941-)- 674,4 тыс.; термитно-зажигательные шашки- 1442 тыс., шашки из пороха НТВ; запалы к гранатам Сердюка (1941-)- 350,8 тыс.; капсюли-детонаторы (1941-)- 1,08 млн.; взрывные заклепки - 1,5 млн.;</w:t>
      </w:r>
      <w:r w:rsidRPr="00F90EAE">
        <w:rPr>
          <w:iCs/>
          <w:color w:val="000000" w:themeColor="text1"/>
          <w:sz w:val="16"/>
          <w:szCs w:val="16"/>
        </w:rPr>
        <w:t xml:space="preserve"> порох:</w:t>
      </w:r>
      <w:r w:rsidRPr="00F90EAE">
        <w:rPr>
          <w:color w:val="000000" w:themeColor="text1"/>
          <w:sz w:val="16"/>
          <w:szCs w:val="16"/>
        </w:rPr>
        <w:t xml:space="preserve"> вискозный ВМ, НБУЛ-33, кордитный минометный КМ (1943)-19,5 т, медленногорящий МК- 81,5 т; нитроглицериновый НБСП-14-47; ВВ: тэн- 15 т, амматол 80/20- более 5000 т; самовоспламеняющиеся составы- 250 т. (11982).</w:t>
      </w:r>
    </w:p>
    <w:p w14:paraId="059DA654" w14:textId="77777777" w:rsidR="006103B3" w:rsidRPr="00F90EAE" w:rsidRDefault="006103B3" w:rsidP="00F90EAE">
      <w:pPr>
        <w:autoSpaceDE w:val="0"/>
        <w:autoSpaceDN w:val="0"/>
        <w:adjustRightInd w:val="0"/>
        <w:jc w:val="both"/>
        <w:rPr>
          <w:color w:val="000000" w:themeColor="text1"/>
          <w:sz w:val="16"/>
          <w:szCs w:val="16"/>
        </w:rPr>
      </w:pPr>
    </w:p>
    <w:p w14:paraId="0C0298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9155 О выплате денежного содержания военнослужащим и суточных денег вольнонаемному составу Военно-Морского Флота на территории Дании. РГАНИР, Фонд ГКО, д. 429, лл. 58-59 (11012).</w:t>
      </w:r>
    </w:p>
    <w:p w14:paraId="5AB03B64" w14:textId="77777777" w:rsidR="006103B3" w:rsidRPr="00F90EAE" w:rsidRDefault="006103B3" w:rsidP="00F90EAE">
      <w:pPr>
        <w:autoSpaceDE w:val="0"/>
        <w:autoSpaceDN w:val="0"/>
        <w:adjustRightInd w:val="0"/>
        <w:jc w:val="both"/>
        <w:rPr>
          <w:color w:val="000000" w:themeColor="text1"/>
          <w:sz w:val="16"/>
          <w:szCs w:val="16"/>
        </w:rPr>
      </w:pPr>
    </w:p>
    <w:p w14:paraId="35E35F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9156. Об увеличении в плане производства НКРП продукции для народного хозяйства и населения. РГАНИР, Фонд ГКО, д. 429, лл. 60 (11012).</w:t>
      </w:r>
    </w:p>
    <w:p w14:paraId="6EE665FE" w14:textId="77777777" w:rsidR="006103B3" w:rsidRPr="00F90EAE" w:rsidRDefault="006103B3" w:rsidP="00F90EAE">
      <w:pPr>
        <w:autoSpaceDE w:val="0"/>
        <w:autoSpaceDN w:val="0"/>
        <w:adjustRightInd w:val="0"/>
        <w:jc w:val="both"/>
        <w:rPr>
          <w:color w:val="000000" w:themeColor="text1"/>
          <w:sz w:val="16"/>
          <w:szCs w:val="16"/>
        </w:rPr>
      </w:pPr>
    </w:p>
    <w:p w14:paraId="17E3AF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9157. О дополнительном выделении мазута предприятиям НКРП. РГАНИР, Фонд ГКО, д. 429, лл. 61 (11012).</w:t>
      </w:r>
    </w:p>
    <w:p w14:paraId="14D0561C" w14:textId="77777777" w:rsidR="006103B3" w:rsidRPr="00F90EAE" w:rsidRDefault="006103B3" w:rsidP="00F90EAE">
      <w:pPr>
        <w:autoSpaceDE w:val="0"/>
        <w:autoSpaceDN w:val="0"/>
        <w:adjustRightInd w:val="0"/>
        <w:jc w:val="both"/>
        <w:rPr>
          <w:color w:val="000000" w:themeColor="text1"/>
          <w:sz w:val="16"/>
          <w:szCs w:val="16"/>
        </w:rPr>
      </w:pPr>
    </w:p>
    <w:p w14:paraId="178421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9158. Об обеспечении завода № 112 НКТП в Горьком пиломатериалами для жилищного строительства, тканями для спецодежды и белья, обувью и мазутом. РГАНИР, Фонд ГКО, д. 429, лл. 62-63 (11012).</w:t>
      </w:r>
    </w:p>
    <w:p w14:paraId="43108C36" w14:textId="77777777" w:rsidR="006103B3" w:rsidRPr="00F90EAE" w:rsidRDefault="006103B3" w:rsidP="00F90EAE">
      <w:pPr>
        <w:autoSpaceDE w:val="0"/>
        <w:autoSpaceDN w:val="0"/>
        <w:adjustRightInd w:val="0"/>
        <w:jc w:val="both"/>
        <w:rPr>
          <w:color w:val="000000" w:themeColor="text1"/>
          <w:sz w:val="16"/>
          <w:szCs w:val="16"/>
        </w:rPr>
      </w:pPr>
    </w:p>
    <w:p w14:paraId="6CDFC0F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9159 [О поставке тротила НКРФ в Ш кв. 1945 г.] (7351, 64).</w:t>
      </w:r>
    </w:p>
    <w:p w14:paraId="5EF9C8C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F982B1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9160. О мерах по восстановлению завода № 59 НКБ (Петровеньки Ворошиловградской обл.). РГАНИР, Фонд ГКО, д. 429, лл. 65 (11012).</w:t>
      </w:r>
    </w:p>
    <w:p w14:paraId="7BB934E4" w14:textId="77777777" w:rsidR="006103B3" w:rsidRPr="00F90EAE" w:rsidRDefault="006103B3" w:rsidP="00F90EAE">
      <w:pPr>
        <w:autoSpaceDE w:val="0"/>
        <w:autoSpaceDN w:val="0"/>
        <w:adjustRightInd w:val="0"/>
        <w:jc w:val="both"/>
        <w:rPr>
          <w:color w:val="000000" w:themeColor="text1"/>
          <w:sz w:val="16"/>
          <w:szCs w:val="16"/>
        </w:rPr>
      </w:pPr>
    </w:p>
    <w:p w14:paraId="0B2F09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Распоряжение ГКО № 9161. О поставках электромоторов Печорскому угольному бассейну в Ш кв. 1945 г. РГАНИР, Фонд ГКО, д. 429, лл. 66, 67 (11012).</w:t>
      </w:r>
    </w:p>
    <w:p w14:paraId="268BC13A" w14:textId="77777777" w:rsidR="006103B3" w:rsidRPr="00F90EAE" w:rsidRDefault="006103B3" w:rsidP="00F90EAE">
      <w:pPr>
        <w:autoSpaceDE w:val="0"/>
        <w:autoSpaceDN w:val="0"/>
        <w:adjustRightInd w:val="0"/>
        <w:jc w:val="both"/>
        <w:rPr>
          <w:color w:val="000000" w:themeColor="text1"/>
          <w:sz w:val="16"/>
          <w:szCs w:val="16"/>
        </w:rPr>
      </w:pPr>
    </w:p>
    <w:p w14:paraId="5A8086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9163 О Всесоюзном социалистическом соревновании колхозов, МТС, районов, областей, краев и республик за получение высокого урожая и подъем колхозного животноводства в 1945 году. РГАНИР, Фонд ГКО, д. 429, лл. 69-71 (11012).</w:t>
      </w:r>
    </w:p>
    <w:p w14:paraId="0FA601A5" w14:textId="77777777" w:rsidR="006103B3" w:rsidRPr="00F90EAE" w:rsidRDefault="006103B3" w:rsidP="00F90EAE">
      <w:pPr>
        <w:autoSpaceDE w:val="0"/>
        <w:autoSpaceDN w:val="0"/>
        <w:adjustRightInd w:val="0"/>
        <w:jc w:val="both"/>
        <w:rPr>
          <w:color w:val="000000" w:themeColor="text1"/>
          <w:sz w:val="16"/>
          <w:szCs w:val="16"/>
        </w:rPr>
      </w:pPr>
    </w:p>
    <w:p w14:paraId="6E99DB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9164 О передаче 15000 трофейных автомашин с 1-го и 2-го Украинских, 2-го Белорусского и Ленинградского фронтов для народного хозяйства. РГАНИР, Фонд ГКО, д. 429, лл. 72-73 (11012).</w:t>
      </w:r>
    </w:p>
    <w:p w14:paraId="1F783FB5" w14:textId="77777777" w:rsidR="006103B3" w:rsidRPr="00F90EAE" w:rsidRDefault="006103B3" w:rsidP="00F90EAE">
      <w:pPr>
        <w:autoSpaceDE w:val="0"/>
        <w:autoSpaceDN w:val="0"/>
        <w:adjustRightInd w:val="0"/>
        <w:jc w:val="both"/>
        <w:rPr>
          <w:color w:val="000000" w:themeColor="text1"/>
          <w:sz w:val="16"/>
          <w:szCs w:val="16"/>
        </w:rPr>
      </w:pPr>
    </w:p>
    <w:p w14:paraId="6330B7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9165 Об увеличении производства и поставки НКО СССР 57 мм, 100 мм, 122 мм пушек, 152 мм гаубиц и 160 мм минометов. РГАНИР, Фонд ГКО, д. 429, лл. 74-85, 86-89 (11012).</w:t>
      </w:r>
    </w:p>
    <w:p w14:paraId="5EFF84C7" w14:textId="77777777" w:rsidR="006103B3" w:rsidRPr="00F90EAE" w:rsidRDefault="006103B3" w:rsidP="00F90EAE">
      <w:pPr>
        <w:autoSpaceDE w:val="0"/>
        <w:autoSpaceDN w:val="0"/>
        <w:adjustRightInd w:val="0"/>
        <w:jc w:val="both"/>
        <w:rPr>
          <w:color w:val="000000" w:themeColor="text1"/>
          <w:sz w:val="16"/>
          <w:szCs w:val="16"/>
        </w:rPr>
      </w:pPr>
    </w:p>
    <w:p w14:paraId="0B95A2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9166 О плане производства боеприпасов в августе и сентябре 1945 г. РГАНИР, Фонд ГКО, д. 429, лл. 90-97, 98-109 (11012).</w:t>
      </w:r>
    </w:p>
    <w:p w14:paraId="067D8668" w14:textId="77777777" w:rsidR="006103B3" w:rsidRPr="00F90EAE" w:rsidRDefault="006103B3" w:rsidP="00F90EAE">
      <w:pPr>
        <w:autoSpaceDE w:val="0"/>
        <w:autoSpaceDN w:val="0"/>
        <w:adjustRightInd w:val="0"/>
        <w:jc w:val="both"/>
        <w:rPr>
          <w:color w:val="000000" w:themeColor="text1"/>
          <w:sz w:val="16"/>
          <w:szCs w:val="16"/>
        </w:rPr>
      </w:pPr>
    </w:p>
    <w:p w14:paraId="1899F68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9167 О плане производства и поставок НКО и НКВМФ артиллерийского, минометного и стрелкового вооружения, военных приборов, патронов и боевых установок на август и сентябрь 1945 года. РГАНИР, Фонд ГКО, д. 429, лл. 110-119, 120-135 (11012).</w:t>
      </w:r>
    </w:p>
    <w:p w14:paraId="6592B1F1" w14:textId="77777777" w:rsidR="006103B3" w:rsidRPr="00F90EAE" w:rsidRDefault="006103B3" w:rsidP="00F90EAE">
      <w:pPr>
        <w:autoSpaceDE w:val="0"/>
        <w:autoSpaceDN w:val="0"/>
        <w:adjustRightInd w:val="0"/>
        <w:jc w:val="both"/>
        <w:rPr>
          <w:color w:val="000000" w:themeColor="text1"/>
          <w:sz w:val="16"/>
          <w:szCs w:val="16"/>
        </w:rPr>
      </w:pPr>
    </w:p>
    <w:p w14:paraId="47C146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 вышло Постановление ГКО № 9168 «О геологоразведочных работах на нефть в Северном Иране» (Д. 507. Л. 144–147, 149).</w:t>
      </w:r>
    </w:p>
    <w:p w14:paraId="5CC57DDC" w14:textId="77777777" w:rsidR="006103B3" w:rsidRPr="00F90EAE" w:rsidRDefault="006103B3" w:rsidP="00F90EAE">
      <w:pPr>
        <w:autoSpaceDE w:val="0"/>
        <w:autoSpaceDN w:val="0"/>
        <w:adjustRightInd w:val="0"/>
        <w:jc w:val="both"/>
        <w:rPr>
          <w:color w:val="000000" w:themeColor="text1"/>
          <w:sz w:val="16"/>
          <w:szCs w:val="16"/>
        </w:rPr>
      </w:pPr>
    </w:p>
    <w:p w14:paraId="1F7A4FE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9169 Об организации Азербайджанской железной дороги. (7351, 141-144,145-146).</w:t>
      </w:r>
    </w:p>
    <w:p w14:paraId="3257B80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A3C4C2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9170 О мероприятиях по обеспечению сборки судов на озере Байкал и о материально-техническом обеспечении строительства Байкальской переправы. (7351, 147-155,156-161).</w:t>
      </w:r>
    </w:p>
    <w:p w14:paraId="2642129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FCFFAF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9171 О мерах помощи Южно-Уральской железной дороге по выполнению плана капитальных работ 1945 г. (7351, 162-171,172-185).</w:t>
      </w:r>
    </w:p>
    <w:p w14:paraId="78DB432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EABE0D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9172 О мерах помощи строительству железнодорожной линии Иркутск - Слюдянка НКПС. (7351, 186-191,192-193).</w:t>
      </w:r>
    </w:p>
    <w:p w14:paraId="72DDA8C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CA143E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9173 О мероприятиях по восстановлению Новороссийского порта Наркомморфлота. РГАНИР, Фонд ГКО, д. 429, лл. 194-197, 198-200 (11012).</w:t>
      </w:r>
    </w:p>
    <w:p w14:paraId="11B77600" w14:textId="77777777" w:rsidR="006103B3" w:rsidRPr="00F90EAE" w:rsidRDefault="006103B3" w:rsidP="00F90EAE">
      <w:pPr>
        <w:autoSpaceDE w:val="0"/>
        <w:autoSpaceDN w:val="0"/>
        <w:adjustRightInd w:val="0"/>
        <w:jc w:val="both"/>
        <w:rPr>
          <w:color w:val="000000" w:themeColor="text1"/>
          <w:sz w:val="16"/>
          <w:szCs w:val="16"/>
        </w:rPr>
      </w:pPr>
    </w:p>
    <w:p w14:paraId="463699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9174 О возвращении Наркомречфлоту завода № 638 Наркомсудпрома. РГАНИР, Фонд ГКО, д. 429, лл. 201-203, 204 (11012).</w:t>
      </w:r>
    </w:p>
    <w:p w14:paraId="37AB5928" w14:textId="77777777" w:rsidR="006103B3" w:rsidRPr="00F90EAE" w:rsidRDefault="006103B3" w:rsidP="00F90EAE">
      <w:pPr>
        <w:autoSpaceDE w:val="0"/>
        <w:autoSpaceDN w:val="0"/>
        <w:adjustRightInd w:val="0"/>
        <w:jc w:val="both"/>
        <w:rPr>
          <w:color w:val="000000" w:themeColor="text1"/>
          <w:sz w:val="16"/>
          <w:szCs w:val="16"/>
        </w:rPr>
      </w:pPr>
    </w:p>
    <w:p w14:paraId="438819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июня 1945 г. вышло Постановление ГОКО № 9174 с О возвращении Наркомречфлоту завода № 638 Наркомсудпрома</w:t>
      </w:r>
    </w:p>
    <w:p w14:paraId="5758E8A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Секретно</w:t>
      </w:r>
    </w:p>
    <w:p w14:paraId="08E32DC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0E6031F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окончанием программы военного судострое</w:t>
      </w:r>
      <w:r w:rsidRPr="00F90EAE">
        <w:rPr>
          <w:color w:val="000000" w:themeColor="text1"/>
          <w:sz w:val="16"/>
          <w:szCs w:val="16"/>
        </w:rPr>
        <w:softHyphen/>
        <w:t>ния на заводе № 638 Наркомсудпрома Государственный Комитет Обороны постановляет:</w:t>
      </w:r>
    </w:p>
    <w:p w14:paraId="1B68ADB0"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1. Обязать Наркомсудпром (т. Носенко) возвратить Наркомречфлоту до 15 июля 1945 года Астраханский за-</w:t>
      </w:r>
      <w:r w:rsidRPr="00F90EAE">
        <w:rPr>
          <w:color w:val="000000" w:themeColor="text1"/>
          <w:sz w:val="16"/>
          <w:szCs w:val="16"/>
          <w:vertAlign w:val="superscript"/>
        </w:rPr>
        <w:t>В</w:t>
      </w:r>
      <w:r w:rsidRPr="00F90EAE">
        <w:rPr>
          <w:color w:val="000000" w:themeColor="text1"/>
          <w:sz w:val="16"/>
          <w:szCs w:val="16"/>
        </w:rPr>
        <w:t>°Д № 638, переданный Наркомсудпрому в соответствии</w:t>
      </w:r>
    </w:p>
    <w:p w14:paraId="19DC093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распоряжением Совнаркома СССР от 2 сентября 1941 года № 9460 рс.</w:t>
      </w:r>
    </w:p>
    <w:p w14:paraId="29593E8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Передачу произвести по балансу на 1 мая 1945 года.</w:t>
      </w:r>
    </w:p>
    <w:p w14:paraId="5FC044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Установить, что передаче Наркомречфлоту подлежат:</w:t>
      </w:r>
    </w:p>
    <w:p w14:paraId="6E01F78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производственные, служебные и жилые здания, под</w:t>
      </w:r>
      <w:r w:rsidRPr="00F90EAE">
        <w:rPr>
          <w:color w:val="000000" w:themeColor="text1"/>
          <w:sz w:val="16"/>
          <w:szCs w:val="16"/>
        </w:rPr>
        <w:softHyphen/>
        <w:t>собные хозяйства и технологическое оборудование, пере</w:t>
      </w:r>
      <w:r w:rsidRPr="00F90EAE">
        <w:rPr>
          <w:color w:val="000000" w:themeColor="text1"/>
          <w:sz w:val="16"/>
          <w:szCs w:val="16"/>
        </w:rPr>
        <w:softHyphen/>
        <w:t>данное Наркомречфлотом Наркомсудпрому, а также обо</w:t>
      </w:r>
      <w:r w:rsidRPr="00F90EAE">
        <w:rPr>
          <w:color w:val="000000" w:themeColor="text1"/>
          <w:sz w:val="16"/>
          <w:szCs w:val="16"/>
        </w:rPr>
        <w:softHyphen/>
        <w:t>рудование, эвакуированное с других заводов Наркомсуд-прома, согласно приложению*;</w:t>
      </w:r>
    </w:p>
    <w:p w14:paraId="5C8204E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транспортные средства, инструмент и другие мате</w:t>
      </w:r>
      <w:r w:rsidRPr="00F90EAE">
        <w:rPr>
          <w:color w:val="000000" w:themeColor="text1"/>
          <w:sz w:val="16"/>
          <w:szCs w:val="16"/>
        </w:rPr>
        <w:softHyphen/>
        <w:t>риальные ценности, принадлежавшие заводу до передачи его Наркомсудпрому. Транспортные средства, инстру</w:t>
      </w:r>
      <w:r w:rsidRPr="00F90EAE">
        <w:rPr>
          <w:color w:val="000000" w:themeColor="text1"/>
          <w:sz w:val="16"/>
          <w:szCs w:val="16"/>
        </w:rPr>
        <w:softHyphen/>
        <w:t>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w:t>
      </w:r>
    </w:p>
    <w:p w14:paraId="0304074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личный состав рабочих, инженерно-технических ра</w:t>
      </w:r>
      <w:r w:rsidRPr="00F90EAE">
        <w:rPr>
          <w:color w:val="000000" w:themeColor="text1"/>
          <w:sz w:val="16"/>
          <w:szCs w:val="16"/>
        </w:rPr>
        <w:softHyphen/>
        <w:t>ботников и служащих, за исключением рабочих, инже</w:t>
      </w:r>
      <w:r w:rsidRPr="00F90EAE">
        <w:rPr>
          <w:color w:val="000000" w:themeColor="text1"/>
          <w:sz w:val="16"/>
          <w:szCs w:val="16"/>
        </w:rPr>
        <w:softHyphen/>
        <w:t>нерно-технических работников и служащих, эвакуиро</w:t>
      </w:r>
      <w:r w:rsidRPr="00F90EAE">
        <w:rPr>
          <w:color w:val="000000" w:themeColor="text1"/>
          <w:sz w:val="16"/>
          <w:szCs w:val="16"/>
        </w:rPr>
        <w:softHyphen/>
        <w:t>ванных с других заводов Наркомсудпрома.</w:t>
      </w:r>
    </w:p>
    <w:p w14:paraId="4C9859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Обязать Наркомсудпром (т. Носенко) до 15 июля 1945 года вывезти с завода № 638 на завод № 444 в Ни</w:t>
      </w:r>
      <w:r w:rsidRPr="00F90EAE">
        <w:rPr>
          <w:color w:val="000000" w:themeColor="text1"/>
          <w:sz w:val="16"/>
          <w:szCs w:val="16"/>
        </w:rPr>
        <w:softHyphen/>
        <w:t>колаев рабочих, технологическое оборудование, транс</w:t>
      </w:r>
      <w:r w:rsidRPr="00F90EAE">
        <w:rPr>
          <w:color w:val="000000" w:themeColor="text1"/>
          <w:sz w:val="16"/>
          <w:szCs w:val="16"/>
        </w:rPr>
        <w:softHyphen/>
        <w:t>портные средства, инструмент, а также механическое и электротехническое оборудование, отдельные вещи, заго</w:t>
      </w:r>
      <w:r w:rsidRPr="00F90EAE">
        <w:rPr>
          <w:color w:val="000000" w:themeColor="text1"/>
          <w:sz w:val="16"/>
          <w:szCs w:val="16"/>
        </w:rPr>
        <w:softHyphen/>
        <w:t>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w:t>
      </w:r>
      <w:r w:rsidRPr="00F90EAE">
        <w:rPr>
          <w:color w:val="000000" w:themeColor="text1"/>
          <w:sz w:val="16"/>
          <w:szCs w:val="16"/>
        </w:rPr>
        <w:softHyphen/>
        <w:t>кту 2 настоящего постановления.</w:t>
      </w:r>
    </w:p>
    <w:p w14:paraId="0BB9147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Разрешить Наркомсудпрому не передавать Наркомреч</w:t>
      </w:r>
      <w:r w:rsidRPr="00F90EAE">
        <w:rPr>
          <w:color w:val="000000" w:themeColor="text1"/>
          <w:sz w:val="16"/>
          <w:szCs w:val="16"/>
        </w:rPr>
        <w:softHyphen/>
        <w:t>флоту Бакинскую достроечную базу завода, расположенную на 18 пристани торгового порта Наркомморфлота, и сохра</w:t>
      </w:r>
      <w:r w:rsidRPr="00F90EAE">
        <w:rPr>
          <w:color w:val="000000" w:themeColor="text1"/>
          <w:sz w:val="16"/>
          <w:szCs w:val="16"/>
        </w:rPr>
        <w:softHyphen/>
        <w:t>нить ее в качестве филиала завода № 445 до окончательной достройки подводной лодки № 134 серии 1Х-бис.</w:t>
      </w:r>
    </w:p>
    <w:p w14:paraId="5652FCA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Обязать Наркомречфлот (т. Шашкова):</w:t>
      </w:r>
    </w:p>
    <w:p w14:paraId="48B3BA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 сохранить на заводе № 638 недостроенные корпуса трех тральщиков №№ 25, 109, 110 и все принадлежащее им оборудование до момента их перевода к месту окон</w:t>
      </w:r>
      <w:r w:rsidRPr="00F90EAE">
        <w:rPr>
          <w:color w:val="000000" w:themeColor="text1"/>
          <w:sz w:val="16"/>
          <w:szCs w:val="16"/>
        </w:rPr>
        <w:softHyphen/>
        <w:t>чательной достройки;</w:t>
      </w:r>
    </w:p>
    <w:p w14:paraId="320CA20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 предоставить Наркомсудпрому в Астрахани необхо</w:t>
      </w:r>
      <w:r w:rsidRPr="00F90EAE">
        <w:rPr>
          <w:color w:val="000000" w:themeColor="text1"/>
          <w:sz w:val="16"/>
          <w:szCs w:val="16"/>
        </w:rPr>
        <w:softHyphen/>
        <w:t>димые плавучие средства для перевозки оборудования и материалов с завода № 638 к местам погрузки на желез</w:t>
      </w:r>
      <w:r w:rsidRPr="00F90EAE">
        <w:rPr>
          <w:color w:val="000000" w:themeColor="text1"/>
          <w:sz w:val="16"/>
          <w:szCs w:val="16"/>
        </w:rPr>
        <w:softHyphen/>
        <w:t>нодорожный транспорт.</w:t>
      </w:r>
    </w:p>
    <w:p w14:paraId="29B024E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6. Обязать Наркомморфлот (т. Ширшова) предоставить Наркомсудпрому в Астрахани 40-тонный плавучий кран на время погрузки и разгрузки оборудования и материа</w:t>
      </w:r>
      <w:r w:rsidRPr="00F90EAE">
        <w:rPr>
          <w:color w:val="000000" w:themeColor="text1"/>
          <w:sz w:val="16"/>
          <w:szCs w:val="16"/>
        </w:rPr>
        <w:softHyphen/>
        <w:t>лов, перевозимых с завода № 638 на завод № 444 Нар</w:t>
      </w:r>
      <w:r w:rsidRPr="00F90EAE">
        <w:rPr>
          <w:color w:val="000000" w:themeColor="text1"/>
          <w:sz w:val="16"/>
          <w:szCs w:val="16"/>
        </w:rPr>
        <w:softHyphen/>
        <w:t>комсудпрома.</w:t>
      </w:r>
    </w:p>
    <w:p w14:paraId="6584AD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7. Обязать НКПС (т. Ковалева) выделить Наркомсудп</w:t>
      </w:r>
      <w:r w:rsidRPr="00F90EAE">
        <w:rPr>
          <w:color w:val="000000" w:themeColor="text1"/>
          <w:sz w:val="16"/>
          <w:szCs w:val="16"/>
        </w:rPr>
        <w:softHyphen/>
        <w:t>рому, в счет его плана, в июне-июле 1945 года для пере</w:t>
      </w:r>
      <w:r w:rsidRPr="00F90EAE">
        <w:rPr>
          <w:color w:val="000000" w:themeColor="text1"/>
          <w:sz w:val="16"/>
          <w:szCs w:val="16"/>
        </w:rPr>
        <w:softHyphen/>
        <w:t>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w:t>
      </w:r>
    </w:p>
    <w:p w14:paraId="2E05A8B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8. Обязать Наркомфин СССР (т. Зверева) выделить Наркомсудпрому необходимые ассигнования на реэвакуа</w:t>
      </w:r>
      <w:r w:rsidRPr="00F90EAE">
        <w:rPr>
          <w:color w:val="000000" w:themeColor="text1"/>
          <w:sz w:val="16"/>
          <w:szCs w:val="16"/>
        </w:rPr>
        <w:softHyphen/>
        <w:t>цию из Астрахани с завода № 638 на завод № 444 в Ни</w:t>
      </w:r>
      <w:r w:rsidRPr="00F90EAE">
        <w:rPr>
          <w:color w:val="000000" w:themeColor="text1"/>
          <w:sz w:val="16"/>
          <w:szCs w:val="16"/>
        </w:rPr>
        <w:softHyphen/>
        <w:t>колаев оборудования, материалов, а также рабочих, инже</w:t>
      </w:r>
      <w:r w:rsidRPr="00F90EAE">
        <w:rPr>
          <w:color w:val="000000" w:themeColor="text1"/>
          <w:sz w:val="16"/>
          <w:szCs w:val="16"/>
        </w:rPr>
        <w:softHyphen/>
        <w:t>нерно-технических работников и служащих с семьями.</w:t>
      </w:r>
    </w:p>
    <w:p w14:paraId="2A2578C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w:t>
      </w:r>
    </w:p>
    <w:p w14:paraId="7A97220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Государственного Комитета Обороны</w:t>
      </w:r>
    </w:p>
    <w:p w14:paraId="1301B8D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Круглая печать:</w:t>
      </w:r>
    </w:p>
    <w:p w14:paraId="441DF16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Государственный Комитет Обороны.</w:t>
      </w:r>
    </w:p>
    <w:p w14:paraId="4BC273E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Протокольная часть ГОКО»</w:t>
      </w:r>
    </w:p>
    <w:p w14:paraId="7DE43D7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И.Сталин</w:t>
      </w:r>
    </w:p>
    <w:p w14:paraId="381666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Приложение не публикуется.</w:t>
      </w:r>
    </w:p>
    <w:p w14:paraId="4E5DA0A8"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РЦХИДНИ. Ф. 644. Оп. 1. Д. 429. Л. 201-203 Заверенная копия (11461).</w:t>
      </w:r>
    </w:p>
    <w:p w14:paraId="78E92D16" w14:textId="77777777" w:rsidR="006103B3" w:rsidRPr="00F90EAE" w:rsidRDefault="006103B3" w:rsidP="00F90EAE">
      <w:pPr>
        <w:widowControl w:val="0"/>
        <w:autoSpaceDE w:val="0"/>
        <w:autoSpaceDN w:val="0"/>
        <w:adjustRightInd w:val="0"/>
        <w:jc w:val="both"/>
        <w:rPr>
          <w:color w:val="000000" w:themeColor="text1"/>
          <w:sz w:val="16"/>
          <w:szCs w:val="16"/>
        </w:rPr>
      </w:pPr>
    </w:p>
    <w:p w14:paraId="24739FF4" w14:textId="77777777" w:rsidR="00C84475" w:rsidRPr="00F90EAE" w:rsidRDefault="00C84475" w:rsidP="00F90EAE">
      <w:pPr>
        <w:jc w:val="both"/>
        <w:rPr>
          <w:color w:val="000000" w:themeColor="text1"/>
          <w:sz w:val="16"/>
          <w:szCs w:val="16"/>
        </w:rPr>
      </w:pPr>
      <w:r w:rsidRPr="00F90EAE">
        <w:rPr>
          <w:color w:val="000000" w:themeColor="text1"/>
          <w:sz w:val="16"/>
          <w:szCs w:val="16"/>
        </w:rPr>
        <w:t>21 июня 1945 г. ГОСУДАРСТВЕННЫЙ КОМИТЕТ ОБОРОНЫ ПОСТАНОВЛЕНИЕ № ГКО-9174с</w:t>
      </w:r>
    </w:p>
    <w:p w14:paraId="02CC09F8"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Москва, Кремль </w:t>
      </w:r>
    </w:p>
    <w:p w14:paraId="68A716A7"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О возвращении Наркомречфлоту завода № 638 Наркомсудпрома </w:t>
      </w:r>
    </w:p>
    <w:p w14:paraId="6D1D0146"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В связи с окончанием программы военного судостроения на заводе № 638 Наркомсудпрома Государственный Комитет Обороны постановляет: </w:t>
      </w:r>
    </w:p>
    <w:p w14:paraId="0CC6CDE6"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1. Обязать Наркомсудпром (т. Носенко) возвратить Наркомречфлоту до 15 июля 1945 года Астраханский завод № 638, переданный Наркомсудпрому в соответствии с распоряжением Совнаркома СССР от 2 сентября 1941 года № 9460 рс. </w:t>
      </w:r>
    </w:p>
    <w:p w14:paraId="41D5A095"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Передачу произвести по балансу на 1 мая 1945 года. </w:t>
      </w:r>
    </w:p>
    <w:p w14:paraId="3B7E5E87"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2. Установить, что передаче Наркомречфлоту подлежат: </w:t>
      </w:r>
    </w:p>
    <w:p w14:paraId="79FD382E" w14:textId="77777777" w:rsidR="00C84475" w:rsidRPr="00F90EAE" w:rsidRDefault="00C84475" w:rsidP="00F90EAE">
      <w:pPr>
        <w:jc w:val="both"/>
        <w:rPr>
          <w:color w:val="000000" w:themeColor="text1"/>
          <w:sz w:val="16"/>
          <w:szCs w:val="16"/>
        </w:rPr>
      </w:pPr>
      <w:r w:rsidRPr="00F90EAE">
        <w:rPr>
          <w:color w:val="000000" w:themeColor="text1"/>
          <w:sz w:val="16"/>
          <w:szCs w:val="16"/>
        </w:rPr>
        <w:t>а) производственные, служебные и жилые здания, подсобные хозяйства и технологическое оборудование, переданное Наркомречфлотом Наркомсудпрому, а также оборудование, эвакуированное с других заводов Наркомсудпрома, согласно приложению </w:t>
      </w:r>
      <w:hyperlink r:id="rId152" w:anchor="1" w:history="1">
        <w:r w:rsidRPr="00F90EAE">
          <w:rPr>
            <w:rStyle w:val="a5"/>
            <w:color w:val="000000" w:themeColor="text1"/>
            <w:sz w:val="16"/>
            <w:szCs w:val="16"/>
            <w:vertAlign w:val="superscript"/>
          </w:rPr>
          <w:t>1</w:t>
        </w:r>
      </w:hyperlink>
      <w:r w:rsidRPr="00F90EAE">
        <w:rPr>
          <w:color w:val="000000" w:themeColor="text1"/>
          <w:sz w:val="16"/>
          <w:szCs w:val="16"/>
        </w:rPr>
        <w:t xml:space="preserve">; </w:t>
      </w:r>
    </w:p>
    <w:p w14:paraId="0261466F"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б) транспортные средства, инструмент и другие материальные ценности, принадлежавшие заводу до передачи его Наркомсудпрому. Транспортные средства, инструмент, материалы и другие ценности, использованные или пришедшие в негодность за время эксплуатации завода, возмещаются Наркомсудпромом из имеющегося наличия на заводе; </w:t>
      </w:r>
    </w:p>
    <w:p w14:paraId="68D7BE67"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в) личный состав рабочих, инженерно-технических работников и служащих, за исключением рабочих, инженерно-технических работников и служащих, эвакуированных с других заводов Наркомсудпрома. </w:t>
      </w:r>
    </w:p>
    <w:p w14:paraId="37B06A76"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3. Обязать Наркомсудпром (т. Носенко) до 15 июля 1945 года вывезти с завода № 638 на завод № 444 в Николаев рабочих, технологическое оборудование, транспортные средства, инструмент, а также механическое и электротехническое оборудование, отдельные вещи, заготовки материалов и труб, предназначенные для военного судостроения, за исключением оборудования и других ценностей, передаваемых Наркомречфлоту согласно пункту 2 настоящего постановления. </w:t>
      </w:r>
    </w:p>
    <w:p w14:paraId="05F0F0B6"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4. Разрешить Наркомсудпрому не передавать Наркомречфлоту Бакинскую достроечную базу завода, расположенную на 18 пристани торгового порта Наркомморфлота, и сохранить ее в качестве филиала завода № 445 до окончательной достройки подводной лодки № 134 серии IX-бис. </w:t>
      </w:r>
    </w:p>
    <w:p w14:paraId="074F204E"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5. Обязать Наркомречфлот (т. Шашкова): </w:t>
      </w:r>
    </w:p>
    <w:p w14:paraId="01970DEE"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а) сохранить на заводе № 638 недостроенные корпуса трех тральщиков №№ 25, 109, 110 и все принадлежащее им оборудование до момента их перевода к месту окончательной достройки; </w:t>
      </w:r>
    </w:p>
    <w:p w14:paraId="1AFE22C7"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б) предоставить Наркомсудпрому в Астрахани необходимые плавучие средства для перевозки оборудования и материалов с завода № 638 к местам погрузки на железнодорожный транспорт. </w:t>
      </w:r>
    </w:p>
    <w:p w14:paraId="2288F26E" w14:textId="77777777" w:rsidR="00C84475" w:rsidRPr="00F90EAE" w:rsidRDefault="00C84475" w:rsidP="00F90EAE">
      <w:pPr>
        <w:jc w:val="both"/>
        <w:rPr>
          <w:color w:val="000000" w:themeColor="text1"/>
          <w:sz w:val="16"/>
          <w:szCs w:val="16"/>
        </w:rPr>
      </w:pPr>
      <w:r w:rsidRPr="00F90EAE">
        <w:rPr>
          <w:color w:val="000000" w:themeColor="text1"/>
          <w:sz w:val="16"/>
          <w:szCs w:val="16"/>
        </w:rPr>
        <w:lastRenderedPageBreak/>
        <w:t xml:space="preserve">6. Обязать Наркомморфлот (т. Ширшова) предоставить Наркомсудпрому в Астрахани 40-тонный плавучий кран на время погрузки и разгрузки оборудования и материалов, перевозимых с завода № 638 на завод № 444 Наркомсудпрома. </w:t>
      </w:r>
    </w:p>
    <w:p w14:paraId="7AC92589"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7. Обязать НКПС (т. Ковалева) выделить Наркомсудпрому, в счет его плана, в июне-июле 1945 года для перевозки из Астрахани в Николаев рабочих, инженерно-технических работников и служащих с семьями, а также оборудования и материальных ценностей 120 вагонов, из них 10 пассажирских, в том числе в июне 1945 года – 50 вагонов и до 15 июля 1945 года – 70 вагонов. </w:t>
      </w:r>
    </w:p>
    <w:p w14:paraId="11B1EA7A"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8. Обязать Наркомфин СССР (т. Зверева) выделить Наркомсудпрому необходимые ассигнования на реэвакуацию из Астрахани с завода № 638 на завод № 444 в Николаев оборудования, материалов, а также рабочих, инженерно-технических работников и служащих с семьями. </w:t>
      </w:r>
    </w:p>
    <w:p w14:paraId="717D0330" w14:textId="77777777" w:rsidR="00C84475" w:rsidRPr="00F90EAE" w:rsidRDefault="00C84475" w:rsidP="00F90EAE">
      <w:pPr>
        <w:jc w:val="both"/>
        <w:rPr>
          <w:color w:val="000000" w:themeColor="text1"/>
          <w:sz w:val="16"/>
          <w:szCs w:val="16"/>
        </w:rPr>
      </w:pPr>
      <w:r w:rsidRPr="00F90EAE">
        <w:rPr>
          <w:color w:val="000000" w:themeColor="text1"/>
          <w:sz w:val="16"/>
          <w:szCs w:val="16"/>
        </w:rPr>
        <w:t xml:space="preserve">9. Командировать в г. Астрахань для решения на месте вопросов по передаче завода № 638 Наркомсудпрома Наркомречфлоту комиссию в составе: тт. Нелепо Л.Г. (председатель), Чернова М.И. (от Наркомречфлота) и Шварцмана М.Д. (от Наркомсудпрома). </w:t>
      </w:r>
    </w:p>
    <w:p w14:paraId="63F04378" w14:textId="77777777" w:rsidR="00C84475" w:rsidRPr="00F90EAE" w:rsidRDefault="00C84475" w:rsidP="00F90EAE">
      <w:pPr>
        <w:jc w:val="both"/>
        <w:rPr>
          <w:color w:val="000000" w:themeColor="text1"/>
          <w:sz w:val="16"/>
          <w:szCs w:val="16"/>
        </w:rPr>
      </w:pPr>
      <w:r w:rsidRPr="00F90EAE">
        <w:rPr>
          <w:color w:val="000000" w:themeColor="text1"/>
          <w:sz w:val="16"/>
          <w:szCs w:val="16"/>
        </w:rPr>
        <w:t>ПРЕДСЕДАТЕЛЬ ГОСУДАРСТВЕННОГО КОМИТЕТА ОБОРОНЫ И.СТАЛИН(12645).</w:t>
      </w:r>
    </w:p>
    <w:p w14:paraId="13593654" w14:textId="77777777" w:rsidR="00C84475" w:rsidRPr="00F90EAE" w:rsidRDefault="00C84475" w:rsidP="00F90EAE">
      <w:pPr>
        <w:tabs>
          <w:tab w:val="left" w:pos="11199"/>
        </w:tabs>
        <w:autoSpaceDE w:val="0"/>
        <w:autoSpaceDN w:val="0"/>
        <w:adjustRightInd w:val="0"/>
        <w:jc w:val="both"/>
        <w:rPr>
          <w:color w:val="000000" w:themeColor="text1"/>
          <w:sz w:val="16"/>
          <w:szCs w:val="16"/>
        </w:rPr>
      </w:pPr>
    </w:p>
    <w:p w14:paraId="6085DEE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9175с О возврашщении НКРФ з-да № 638 НКСП - Астрахань (7543, 97).</w:t>
      </w:r>
    </w:p>
    <w:p w14:paraId="0AC5FC99"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8782C8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 вышло Постановление ГОКО “О возвращении Нарком-речфлоту завода № 638 Наркомсудпрома” (7543).</w:t>
      </w:r>
    </w:p>
    <w:p w14:paraId="65514B06" w14:textId="77777777" w:rsidR="006103B3" w:rsidRPr="00F90EAE" w:rsidRDefault="006103B3" w:rsidP="00F90EAE">
      <w:pPr>
        <w:autoSpaceDE w:val="0"/>
        <w:autoSpaceDN w:val="0"/>
        <w:adjustRightInd w:val="0"/>
        <w:jc w:val="both"/>
        <w:rPr>
          <w:color w:val="000000" w:themeColor="text1"/>
          <w:sz w:val="16"/>
          <w:szCs w:val="16"/>
        </w:rPr>
      </w:pPr>
    </w:p>
    <w:p w14:paraId="7AB81B6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9175 О порядке проезда граждан по железным дорогам и водным путям СССР. РГАНИР, Фонд ГКО, д. 429, лл. 205-207 (11012).</w:t>
      </w:r>
    </w:p>
    <w:p w14:paraId="0400A37A" w14:textId="77777777" w:rsidR="006103B3" w:rsidRPr="00F90EAE" w:rsidRDefault="006103B3" w:rsidP="00F90EAE">
      <w:pPr>
        <w:autoSpaceDE w:val="0"/>
        <w:autoSpaceDN w:val="0"/>
        <w:adjustRightInd w:val="0"/>
        <w:jc w:val="both"/>
        <w:rPr>
          <w:color w:val="000000" w:themeColor="text1"/>
          <w:sz w:val="16"/>
          <w:szCs w:val="16"/>
        </w:rPr>
      </w:pPr>
    </w:p>
    <w:p w14:paraId="278C3D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9176 Об усилении научно-исследовательской базы Государственного Краснознаменного научно-испытательного института ВВС КА. РГАНИР, Фонд ГКО, д. 429, лл. 208-211, 212-215 (11012).</w:t>
      </w:r>
    </w:p>
    <w:p w14:paraId="4A1DBB6B" w14:textId="77777777" w:rsidR="006103B3" w:rsidRPr="00F90EAE" w:rsidRDefault="006103B3" w:rsidP="00F90EAE">
      <w:pPr>
        <w:autoSpaceDE w:val="0"/>
        <w:autoSpaceDN w:val="0"/>
        <w:adjustRightInd w:val="0"/>
        <w:jc w:val="both"/>
        <w:rPr>
          <w:color w:val="000000" w:themeColor="text1"/>
          <w:sz w:val="16"/>
          <w:szCs w:val="16"/>
        </w:rPr>
      </w:pPr>
    </w:p>
    <w:p w14:paraId="71ABC78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СНК № 1464 О восстановлении цехов ТШП на промышленных предприятиях - возродили довоенную систему - восстановили действие постановления № 234 от 2 июня 1940, согласно которому вся прибыль от ТШП из отходов оставляли в распоряжении предприятия (7543, 27).</w:t>
      </w:r>
    </w:p>
    <w:p w14:paraId="6612166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EF151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 вышло Постановление СНК СССР “О восстановлении цехов по производству товаров широкого потребления на промышленных предприятиях” (7543).</w:t>
      </w:r>
    </w:p>
    <w:p w14:paraId="6ADBA851" w14:textId="77777777" w:rsidR="006103B3" w:rsidRPr="00F90EAE" w:rsidRDefault="006103B3" w:rsidP="00F90EAE">
      <w:pPr>
        <w:autoSpaceDE w:val="0"/>
        <w:autoSpaceDN w:val="0"/>
        <w:adjustRightInd w:val="0"/>
        <w:jc w:val="both"/>
        <w:rPr>
          <w:color w:val="000000" w:themeColor="text1"/>
          <w:sz w:val="16"/>
          <w:szCs w:val="16"/>
        </w:rPr>
      </w:pPr>
    </w:p>
    <w:p w14:paraId="07D527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года Совнарком СССР издал специальное постановление № 1464 “О восстановлении цехов по производству товаров широкого потребления на промышленных предприятиях”. Этим постановлением по существу возрождалась система, существовавшая до войны. Цеха должны были работать без ущерба выполнению установленной заводам основной государственной программы. Совнарком восстановил действие своего постановления от 2 июня 1940 г. № 234, согласно которому вся прибыль от изготовления товаров широкого потребления из промышленных отходов оставалась в распоряжении соответствующего предприятия. Заводам и фабрикам союзных наркоматов, восстановившим и организовавшим цеха по производству товаров широкого потребления, разрешалось продавать через свою торговую сеть рабочим и служащим предприятия до 25% продукции, выпускаемой цехами ширпотреба от отходов данного предприятия. Это повышало заинтересованность рабочих в выпуске товаров широкого потребления и явилось дополнительным вкладом в повышение жизненного уровня трудящихся (7543).</w:t>
      </w:r>
    </w:p>
    <w:p w14:paraId="1767D7B4" w14:textId="77777777" w:rsidR="006103B3" w:rsidRPr="00F90EAE" w:rsidRDefault="006103B3" w:rsidP="00F90EAE">
      <w:pPr>
        <w:autoSpaceDE w:val="0"/>
        <w:autoSpaceDN w:val="0"/>
        <w:adjustRightInd w:val="0"/>
        <w:jc w:val="both"/>
        <w:rPr>
          <w:color w:val="000000" w:themeColor="text1"/>
          <w:sz w:val="16"/>
          <w:szCs w:val="16"/>
        </w:rPr>
      </w:pPr>
    </w:p>
    <w:p w14:paraId="05CADCA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21 июня 1945 г.Совет Народных Комиссаров СССР выпустил Постановление №64 О восстановлении цехов по производству товаров широкого потребления на промышленных предприятиях</w:t>
      </w:r>
    </w:p>
    <w:p w14:paraId="527E9D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Москва, Кремль</w:t>
      </w:r>
    </w:p>
    <w:p w14:paraId="5E6CF3E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Совет Народных Комиссаров Союза ССР ПОСТАНОВЛЯЕТ:</w:t>
      </w:r>
    </w:p>
    <w:p w14:paraId="14D55B1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1. Считать утратившим силу пункт 12 Постановления Совнаркома СССР и ЦК ВКП(б) от 7 января 1941 г. № 54 и обязать народных комиссаров союзных промыш</w:t>
      </w:r>
      <w:r w:rsidRPr="00F90EAE">
        <w:rPr>
          <w:color w:val="000000" w:themeColor="text1"/>
          <w:sz w:val="16"/>
          <w:szCs w:val="16"/>
        </w:rPr>
        <w:softHyphen/>
        <w:t>ленных наркоматов восстановить и, при наличии воз</w:t>
      </w:r>
      <w:r w:rsidRPr="00F90EAE">
        <w:rPr>
          <w:color w:val="000000" w:themeColor="text1"/>
          <w:sz w:val="16"/>
          <w:szCs w:val="16"/>
        </w:rPr>
        <w:softHyphen/>
        <w:t>можности, вновь организовать цеха по производству то</w:t>
      </w:r>
      <w:r w:rsidRPr="00F90EAE">
        <w:rPr>
          <w:color w:val="000000" w:themeColor="text1"/>
          <w:sz w:val="16"/>
          <w:szCs w:val="16"/>
        </w:rPr>
        <w:softHyphen/>
        <w:t>варов широкого потребления на промышленных пред</w:t>
      </w:r>
      <w:r w:rsidRPr="00F90EAE">
        <w:rPr>
          <w:color w:val="000000" w:themeColor="text1"/>
          <w:sz w:val="16"/>
          <w:szCs w:val="16"/>
        </w:rPr>
        <w:softHyphen/>
        <w:t>приятиях, без ущерба выполнению установленной пред</w:t>
      </w:r>
      <w:r w:rsidRPr="00F90EAE">
        <w:rPr>
          <w:color w:val="000000" w:themeColor="text1"/>
          <w:sz w:val="16"/>
          <w:szCs w:val="16"/>
        </w:rPr>
        <w:softHyphen/>
        <w:t>приятиям основной государственной программы.</w:t>
      </w:r>
    </w:p>
    <w:p w14:paraId="5814D62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 Восстановить действие Постановления Совнаркома СССР от 2 июня 1940 г. № 934, согласно которому вся прибыль от изготовления товаров широкого потребления из промышленных отходов остается в распоряжении со</w:t>
      </w:r>
      <w:r w:rsidRPr="00F90EAE">
        <w:rPr>
          <w:color w:val="000000" w:themeColor="text1"/>
          <w:sz w:val="16"/>
          <w:szCs w:val="16"/>
        </w:rPr>
        <w:softHyphen/>
        <w:t>ответствующего предприятия.</w:t>
      </w:r>
    </w:p>
    <w:p w14:paraId="32686A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 Разрешить промышленным предприятиям союзных наркоматов, указанных в п. 1, продавать через свою торго</w:t>
      </w:r>
      <w:r w:rsidRPr="00F90EAE">
        <w:rPr>
          <w:color w:val="000000" w:themeColor="text1"/>
          <w:sz w:val="16"/>
          <w:szCs w:val="16"/>
        </w:rPr>
        <w:softHyphen/>
        <w:t>вую сеть рабочим и служащим предприятий до 25% про</w:t>
      </w:r>
      <w:r w:rsidRPr="00F90EAE">
        <w:rPr>
          <w:color w:val="000000" w:themeColor="text1"/>
          <w:sz w:val="16"/>
          <w:szCs w:val="16"/>
        </w:rPr>
        <w:softHyphen/>
        <w:t>дукции, выпускаемой цехами по производству товаров широкого потребления из отходов данного предприятия.</w:t>
      </w:r>
    </w:p>
    <w:p w14:paraId="6ACED7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4. Обязать народных комиссаров промышленных нар</w:t>
      </w:r>
      <w:r w:rsidRPr="00F90EAE">
        <w:rPr>
          <w:color w:val="000000" w:themeColor="text1"/>
          <w:sz w:val="16"/>
          <w:szCs w:val="16"/>
        </w:rPr>
        <w:softHyphen/>
        <w:t>коматов представить в Совнарком СССР к 25 июня 1945 г. план восстановления ликвидированных цехов по производству товаров широкого потребления и организа</w:t>
      </w:r>
      <w:r w:rsidRPr="00F90EAE">
        <w:rPr>
          <w:color w:val="000000" w:themeColor="text1"/>
          <w:sz w:val="16"/>
          <w:szCs w:val="16"/>
        </w:rPr>
        <w:softHyphen/>
        <w:t>ции новых цехов по производству товаров широкого по</w:t>
      </w:r>
      <w:r w:rsidRPr="00F90EAE">
        <w:rPr>
          <w:color w:val="000000" w:themeColor="text1"/>
          <w:sz w:val="16"/>
          <w:szCs w:val="16"/>
        </w:rPr>
        <w:softHyphen/>
        <w:t xml:space="preserve">требления на </w:t>
      </w:r>
      <w:r w:rsidRPr="00F90EAE">
        <w:rPr>
          <w:color w:val="000000" w:themeColor="text1"/>
          <w:sz w:val="16"/>
          <w:szCs w:val="16"/>
          <w:lang w:val="en-US"/>
        </w:rPr>
        <w:t>III</w:t>
      </w:r>
      <w:r w:rsidRPr="00F90EAE">
        <w:rPr>
          <w:color w:val="000000" w:themeColor="text1"/>
          <w:sz w:val="16"/>
          <w:szCs w:val="16"/>
        </w:rPr>
        <w:t xml:space="preserve"> квартал 1945 г., а также восстановить в составе центрального аппарата отделы или сектора това-</w:t>
      </w:r>
    </w:p>
    <w:p w14:paraId="1C36305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широкого потребления, упраздненные в связи с вой</w:t>
      </w:r>
      <w:r w:rsidRPr="00F90EAE">
        <w:rPr>
          <w:color w:val="000000" w:themeColor="text1"/>
          <w:sz w:val="16"/>
          <w:szCs w:val="16"/>
        </w:rPr>
        <w:softHyphen/>
        <w:t>ной, со штатом, действовавшим до их упразднения.</w:t>
      </w:r>
    </w:p>
    <w:p w14:paraId="65E86D1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5. Отменить подпункт «б» пункта 7 Постановления Со</w:t>
      </w:r>
      <w:r w:rsidRPr="00F90EAE">
        <w:rPr>
          <w:color w:val="000000" w:themeColor="text1"/>
          <w:sz w:val="16"/>
          <w:szCs w:val="16"/>
        </w:rPr>
        <w:softHyphen/>
        <w:t>внаркома СССР от 2 июля 1941 г. № 1804-804 с.</w:t>
      </w:r>
    </w:p>
    <w:p w14:paraId="20AEDBA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Председатель Совета</w:t>
      </w:r>
    </w:p>
    <w:p w14:paraId="6F2CB77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Народных Комиссаров Союза ССР</w:t>
      </w:r>
    </w:p>
    <w:p w14:paraId="2187DD8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Управляющий Делами Совета Народных комиссаров</w:t>
      </w:r>
    </w:p>
    <w:p w14:paraId="744A30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И.Сталин</w:t>
      </w:r>
    </w:p>
    <w:p w14:paraId="5D3846E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Я.Чадаев</w:t>
      </w:r>
    </w:p>
    <w:p w14:paraId="53044782"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ГЛРФ. Ф. 5446. Оп. 1. Д. 255. Л. 250, 251. Подлинник (11461).</w:t>
      </w:r>
    </w:p>
    <w:p w14:paraId="66382648" w14:textId="77777777" w:rsidR="006103B3" w:rsidRPr="00F90EAE" w:rsidRDefault="006103B3" w:rsidP="00F90EAE">
      <w:pPr>
        <w:widowControl w:val="0"/>
        <w:autoSpaceDE w:val="0"/>
        <w:autoSpaceDN w:val="0"/>
        <w:adjustRightInd w:val="0"/>
        <w:jc w:val="both"/>
        <w:rPr>
          <w:color w:val="000000" w:themeColor="text1"/>
          <w:sz w:val="16"/>
          <w:szCs w:val="16"/>
        </w:rPr>
      </w:pPr>
    </w:p>
    <w:p w14:paraId="1321931E" w14:textId="77777777" w:rsidR="00C84475" w:rsidRPr="00F90EAE" w:rsidRDefault="00C84475"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создано ОКБ-45, ныне ФГУП "Научно-технический центр "Машиностроительное конструкторское бюро "Гранит". Основные направления деятельности: Двигатели для легких самолетов и вертолетов. Главный конструктор - Саркисов Семен Рафаэлович (14929).</w:t>
      </w:r>
    </w:p>
    <w:p w14:paraId="0A159C26" w14:textId="77777777" w:rsidR="00C84475" w:rsidRPr="00F90EAE" w:rsidRDefault="00C84475" w:rsidP="00F90EAE">
      <w:pPr>
        <w:jc w:val="both"/>
        <w:rPr>
          <w:color w:val="000000" w:themeColor="text1"/>
          <w:sz w:val="16"/>
          <w:szCs w:val="16"/>
        </w:rPr>
      </w:pPr>
    </w:p>
    <w:p w14:paraId="7A1424C2"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1D32733" w14:textId="77777777" w:rsidR="006103B3" w:rsidRPr="00F90EAE" w:rsidRDefault="006103B3" w:rsidP="00F90EAE">
      <w:pPr>
        <w:autoSpaceDE w:val="0"/>
        <w:autoSpaceDN w:val="0"/>
        <w:adjustRightInd w:val="0"/>
        <w:jc w:val="both"/>
        <w:rPr>
          <w:iCs/>
          <w:color w:val="000000" w:themeColor="text1"/>
          <w:sz w:val="16"/>
          <w:szCs w:val="16"/>
        </w:rPr>
      </w:pPr>
    </w:p>
    <w:p w14:paraId="4C93D22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вышло Постановление ГКО № 9175 О порядке проезда граждан по железным дорогам и водным путям СССР. (7351, 205-207).</w:t>
      </w:r>
    </w:p>
    <w:p w14:paraId="5DF1068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294D213"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постановление СНК СССР о восстановлении на промышленных предприятиях цехов по производству товаров широкого потребления (14929).</w:t>
      </w:r>
    </w:p>
    <w:p w14:paraId="224BD2A2" w14:textId="77777777" w:rsidR="00990E1D" w:rsidRPr="00F90EAE" w:rsidRDefault="00990E1D" w:rsidP="00F90EAE">
      <w:pPr>
        <w:jc w:val="both"/>
        <w:rPr>
          <w:color w:val="000000" w:themeColor="text1"/>
          <w:sz w:val="16"/>
          <w:szCs w:val="16"/>
        </w:rPr>
      </w:pPr>
    </w:p>
    <w:p w14:paraId="51DC5F6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E43E482" w14:textId="77777777" w:rsidR="006103B3" w:rsidRPr="00F90EAE" w:rsidRDefault="006103B3" w:rsidP="00F90EAE">
      <w:pPr>
        <w:autoSpaceDE w:val="0"/>
        <w:autoSpaceDN w:val="0"/>
        <w:adjustRightInd w:val="0"/>
        <w:jc w:val="both"/>
        <w:rPr>
          <w:iCs/>
          <w:color w:val="000000" w:themeColor="text1"/>
          <w:sz w:val="16"/>
          <w:szCs w:val="16"/>
        </w:rPr>
      </w:pPr>
    </w:p>
    <w:p w14:paraId="5DA201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г. в результате переговоров в Москве была достигнута договоренность о создании обновленного польского правительства, в котором промосковская фракция доминировала (3871).</w:t>
      </w:r>
    </w:p>
    <w:p w14:paraId="2B2646E0" w14:textId="77777777" w:rsidR="006103B3" w:rsidRPr="00F90EAE" w:rsidRDefault="006103B3" w:rsidP="00F90EAE">
      <w:pPr>
        <w:autoSpaceDE w:val="0"/>
        <w:autoSpaceDN w:val="0"/>
        <w:adjustRightInd w:val="0"/>
        <w:jc w:val="both"/>
        <w:rPr>
          <w:color w:val="000000" w:themeColor="text1"/>
          <w:sz w:val="16"/>
          <w:szCs w:val="16"/>
        </w:rPr>
      </w:pPr>
    </w:p>
    <w:p w14:paraId="7679C5BB"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в Москве состоялось первое заседание Межсоюзной репарационной комиссии (14929).</w:t>
      </w:r>
    </w:p>
    <w:p w14:paraId="38A38647" w14:textId="77777777" w:rsidR="00990E1D" w:rsidRPr="00F90EAE" w:rsidRDefault="00990E1D" w:rsidP="00F90EAE">
      <w:pPr>
        <w:jc w:val="both"/>
        <w:rPr>
          <w:color w:val="000000" w:themeColor="text1"/>
          <w:sz w:val="16"/>
          <w:szCs w:val="16"/>
        </w:rPr>
      </w:pPr>
    </w:p>
    <w:p w14:paraId="746328A2"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21 июня 1945 на первом официальном заседании МРК бы образован руководящий комитет в составе: от СССР – Майский и Сабуров, от США – Э. Поули и И. Любин, от Великобритании – У. Монктон и Д. Уэйли. Советская Комиссия по возмещению ущерба, возглавляемая Майским, была преобразована в советскую часть МРК. Можно было начинать работу. Майский внес на рассмотрение МРК документ «Основные линии плана репараций в Германии», в котором повторялись основные положения, высказанные им на Крымской конференции (общая сумма репараций – 20 млрд долларов, на долю СССР – 10 млрд долларов). Но западные представители обсуждать это не стали, ссылаясь на недостаточную обоснованность.</w:t>
      </w:r>
    </w:p>
    <w:p w14:paraId="1B1ABCB3"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3 июля Поули заявил об отказе США от признания общей суммы репараций в 20 млрд долл. 12 июля он же предлагает проект соглашения о процентном распределении общей суммы репараций: СССР – 56%, Великобритания – 22%, США – 22%, при этом каждая из трех держав выделяет определенную долю другим странам, получателям репараций [5. Т. 2. С. 725. Прим. 40].</w:t>
      </w:r>
    </w:p>
    <w:p w14:paraId="6BC5DD97"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13 июля 1945 состоялось последнее заседание МРК. Не приняв никакого общего решения, участники МРК отправились на Берлинскую конференцию глав трех великих держав. Майскому так и не удалось повернуть работу МРК в сторону учета интересов СССР (19851).</w:t>
      </w:r>
    </w:p>
    <w:p w14:paraId="20D2DD66" w14:textId="77777777" w:rsidR="00F60434" w:rsidRPr="00F90EAE" w:rsidRDefault="00F60434" w:rsidP="00F90EAE">
      <w:pPr>
        <w:pStyle w:val="ae"/>
        <w:shd w:val="clear" w:color="auto" w:fill="FFFFFF"/>
        <w:spacing w:before="0" w:after="0"/>
        <w:jc w:val="both"/>
        <w:rPr>
          <w:color w:val="000000" w:themeColor="text1"/>
          <w:sz w:val="16"/>
          <w:szCs w:val="16"/>
        </w:rPr>
      </w:pPr>
    </w:p>
    <w:p w14:paraId="5484492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За рубежом:</w:t>
      </w:r>
    </w:p>
    <w:p w14:paraId="71F63DDE" w14:textId="77777777" w:rsidR="006103B3" w:rsidRPr="00F90EAE" w:rsidRDefault="006103B3" w:rsidP="00F90EAE">
      <w:pPr>
        <w:autoSpaceDE w:val="0"/>
        <w:autoSpaceDN w:val="0"/>
        <w:adjustRightInd w:val="0"/>
        <w:jc w:val="both"/>
        <w:rPr>
          <w:iCs/>
          <w:color w:val="000000" w:themeColor="text1"/>
          <w:sz w:val="16"/>
          <w:szCs w:val="16"/>
        </w:rPr>
      </w:pPr>
    </w:p>
    <w:p w14:paraId="0EB06769"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в Италии сформировано правительство на базе Комитета Национального Освобождения, включающего все основные политические партии страны (14929).</w:t>
      </w:r>
    </w:p>
    <w:p w14:paraId="207BE111" w14:textId="77777777" w:rsidR="00990E1D" w:rsidRPr="00F90EAE" w:rsidRDefault="00990E1D" w:rsidP="00F90EAE">
      <w:pPr>
        <w:jc w:val="both"/>
        <w:rPr>
          <w:color w:val="000000" w:themeColor="text1"/>
          <w:sz w:val="16"/>
          <w:szCs w:val="16"/>
        </w:rPr>
      </w:pPr>
    </w:p>
    <w:p w14:paraId="4B760C50"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в Чехословакии принят декрет о безвозмездной конфискации на территории Чехословакии земель, скота и и нвентаря, принадлежавших немецкому и венгерскому населению страны (14929).</w:t>
      </w:r>
    </w:p>
    <w:p w14:paraId="0AC32950" w14:textId="77777777" w:rsidR="00990E1D" w:rsidRPr="00F90EAE" w:rsidRDefault="00990E1D" w:rsidP="00F90EAE">
      <w:pPr>
        <w:jc w:val="both"/>
        <w:rPr>
          <w:color w:val="000000" w:themeColor="text1"/>
          <w:sz w:val="16"/>
          <w:szCs w:val="16"/>
        </w:rPr>
      </w:pPr>
    </w:p>
    <w:p w14:paraId="7C14AA2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японский император Хирохито поручил правительству найти дипломатические пути для выхода Японии из войны (4962).</w:t>
      </w:r>
    </w:p>
    <w:p w14:paraId="3FD01D3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DFE983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21 июня 1945 после трехмесячных боев японские войска на Окинаве капитулировали перед американцами (4962).</w:t>
      </w:r>
    </w:p>
    <w:p w14:paraId="1B22FEEE"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89AAEBA"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21, 1945 The Battle of Okinawa, the last major island campaign in the Pacific, ended after nearly three months of savage fighting (1035).</w:t>
      </w:r>
    </w:p>
    <w:p w14:paraId="512DED3C" w14:textId="77777777" w:rsidR="006103B3" w:rsidRPr="00F90EAE" w:rsidRDefault="006103B3" w:rsidP="00F90EAE">
      <w:pPr>
        <w:autoSpaceDE w:val="0"/>
        <w:autoSpaceDN w:val="0"/>
        <w:adjustRightInd w:val="0"/>
        <w:jc w:val="both"/>
        <w:rPr>
          <w:color w:val="000000" w:themeColor="text1"/>
          <w:sz w:val="16"/>
          <w:szCs w:val="16"/>
          <w:lang w:val="en-US"/>
        </w:rPr>
      </w:pPr>
    </w:p>
    <w:p w14:paraId="69F304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21 июня 1945 закончилась битва за Окинаву (1035).</w:t>
      </w:r>
    </w:p>
    <w:p w14:paraId="2B030C7D" w14:textId="77777777" w:rsidR="006103B3" w:rsidRPr="00F90EAE" w:rsidRDefault="006103B3" w:rsidP="00F90EAE">
      <w:pPr>
        <w:autoSpaceDE w:val="0"/>
        <w:autoSpaceDN w:val="0"/>
        <w:adjustRightInd w:val="0"/>
        <w:jc w:val="both"/>
        <w:rPr>
          <w:color w:val="000000" w:themeColor="text1"/>
          <w:sz w:val="16"/>
          <w:szCs w:val="16"/>
        </w:rPr>
      </w:pPr>
    </w:p>
    <w:p w14:paraId="2F02DAC6"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после трехмесячных боев японские войска на Окинаве капитулировали перед американцами Японский император Хирохито поручил правительству найти дипломатические пути для выхода Японии из войны (14929).</w:t>
      </w:r>
    </w:p>
    <w:p w14:paraId="1B8F9CB9" w14:textId="77777777" w:rsidR="00990E1D" w:rsidRPr="00F90EAE" w:rsidRDefault="00990E1D" w:rsidP="00F90EAE">
      <w:pPr>
        <w:jc w:val="both"/>
        <w:rPr>
          <w:color w:val="000000" w:themeColor="text1"/>
          <w:sz w:val="16"/>
          <w:szCs w:val="16"/>
        </w:rPr>
      </w:pPr>
    </w:p>
    <w:p w14:paraId="6F7C20EC" w14:textId="77777777" w:rsidR="00990E1D" w:rsidRPr="00F90EAE" w:rsidRDefault="00990E1D" w:rsidP="00F90EAE">
      <w:pPr>
        <w:jc w:val="both"/>
        <w:rPr>
          <w:color w:val="000000" w:themeColor="text1"/>
          <w:sz w:val="16"/>
          <w:szCs w:val="16"/>
        </w:rPr>
      </w:pPr>
      <w:r w:rsidRPr="00F90EAE">
        <w:rPr>
          <w:bCs/>
          <w:color w:val="000000" w:themeColor="text1"/>
          <w:sz w:val="16"/>
          <w:szCs w:val="16"/>
        </w:rPr>
        <w:t>21 июня</w:t>
      </w:r>
      <w:r w:rsidRPr="00F90EAE">
        <w:rPr>
          <w:color w:val="000000" w:themeColor="text1"/>
          <w:sz w:val="16"/>
          <w:szCs w:val="16"/>
        </w:rPr>
        <w:t xml:space="preserve"> в 1945 году США наносят поражение японским войскам на Окинаве в ходе Второй Мировой войны (14929).</w:t>
      </w:r>
    </w:p>
    <w:p w14:paraId="0807F506" w14:textId="77777777" w:rsidR="00990E1D" w:rsidRPr="00F90EAE" w:rsidRDefault="00990E1D" w:rsidP="00F90EAE">
      <w:pPr>
        <w:jc w:val="both"/>
        <w:rPr>
          <w:color w:val="000000" w:themeColor="text1"/>
          <w:sz w:val="16"/>
          <w:szCs w:val="16"/>
        </w:rPr>
      </w:pPr>
    </w:p>
    <w:p w14:paraId="7F918540" w14:textId="77777777" w:rsidR="00C019B2" w:rsidRPr="00F90EAE" w:rsidRDefault="00C019B2" w:rsidP="00F90EAE">
      <w:pPr>
        <w:jc w:val="both"/>
        <w:rPr>
          <w:color w:val="0070C0"/>
          <w:sz w:val="16"/>
          <w:szCs w:val="16"/>
        </w:rPr>
      </w:pPr>
      <w:r w:rsidRPr="00F90EAE">
        <w:rPr>
          <w:color w:val="0070C0"/>
          <w:sz w:val="16"/>
          <w:szCs w:val="16"/>
        </w:rPr>
        <w:t>21–22 июня 1945 в десятой и последней атаке японцев кикусуи у Окинавы участвуют всего 45 камикадзе. Они потопили средний десантный корабль и остов списанного эсминца и повредили два тендера для гидросамолетов и два меньших корабля (20371).</w:t>
      </w:r>
    </w:p>
    <w:p w14:paraId="0CB1E263" w14:textId="77777777" w:rsidR="00C019B2" w:rsidRPr="00F90EAE" w:rsidRDefault="00C019B2" w:rsidP="00F90EAE">
      <w:pPr>
        <w:jc w:val="both"/>
        <w:rPr>
          <w:color w:val="0070C0"/>
          <w:sz w:val="16"/>
          <w:szCs w:val="16"/>
        </w:rPr>
      </w:pPr>
    </w:p>
    <w:p w14:paraId="344FA14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E9E552" w14:textId="77777777" w:rsidR="006103B3" w:rsidRPr="00F90EAE" w:rsidRDefault="006103B3" w:rsidP="00F90EAE">
      <w:pPr>
        <w:autoSpaceDE w:val="0"/>
        <w:autoSpaceDN w:val="0"/>
        <w:adjustRightInd w:val="0"/>
        <w:jc w:val="both"/>
        <w:rPr>
          <w:iCs/>
          <w:color w:val="000000" w:themeColor="text1"/>
          <w:sz w:val="16"/>
          <w:szCs w:val="16"/>
        </w:rPr>
      </w:pPr>
    </w:p>
    <w:p w14:paraId="410F6929" w14:textId="77777777" w:rsidR="00B92A5E" w:rsidRPr="00F90EAE" w:rsidRDefault="00B92A5E" w:rsidP="00F90EAE">
      <w:pPr>
        <w:jc w:val="both"/>
        <w:rPr>
          <w:color w:val="000000" w:themeColor="text1"/>
          <w:sz w:val="16"/>
          <w:szCs w:val="16"/>
        </w:rPr>
      </w:pPr>
      <w:r w:rsidRPr="00F90EAE">
        <w:rPr>
          <w:rStyle w:val="107"/>
          <w:rFonts w:eastAsiaTheme="minorHAnsi"/>
          <w:color w:val="000000" w:themeColor="text1"/>
          <w:sz w:val="16"/>
          <w:szCs w:val="16"/>
        </w:rPr>
        <w:t>22 июня 1945 поступило прямое «указание Главного маршала авиации тов. Новикова об ускорении мероприятий по оборудованию самолетов Ил-10 пылефильтрами». Пришлось специалистам института активизироваться. По докладу начальника 1 -го управления ГК НИИ ВВС и начальника 5-го отдела 1-го управления задержка с выполнением программы испытаний была связана с подготовкой к воздушному параду в честь Победы над фашистской Германией. Уже к 3 июля испытания серийного пылефильтра успешно завершились и сразу же начались испытания полевого варианта пылефильтра, которые также успешно завершились через неделю (17490).</w:t>
      </w:r>
    </w:p>
    <w:p w14:paraId="074212CE" w14:textId="77777777" w:rsidR="00B92A5E" w:rsidRPr="00F90EAE" w:rsidRDefault="00B92A5E" w:rsidP="00F90EAE">
      <w:pPr>
        <w:jc w:val="both"/>
        <w:rPr>
          <w:color w:val="000000" w:themeColor="text1"/>
          <w:sz w:val="16"/>
          <w:szCs w:val="16"/>
        </w:rPr>
      </w:pPr>
    </w:p>
    <w:p w14:paraId="0CD8123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вышел приказ НКАП в исполнение постановления ГКО от 6 июня 1945 о копировании и запуске в серию В-29. Поручалось начальнику 10 ГУ А.И.Кузнецову, директору 22 завода В.А.Акулову и ГК А.Н.Т. В течении июня-июля 1945 три В-29 перегнали с Дальнего Востока в Москву. Пришлось удлинять полосы (1051,53). 42-6256 передали в ЛИИ для обучения персонала и составления инструкций по эксплуатации. 42-6365 решили разобрать для изучения конструкции и изготовления чертежей. 42-6358 оставили в качестве эталона. А.Н.Т. потребовал три года, И.В.С. пообещал поддержку Л.П.Б. и поручил сделать за два, чтобы участвовать в параде 1947 (1051,54).</w:t>
      </w:r>
    </w:p>
    <w:p w14:paraId="583EEC31" w14:textId="77777777" w:rsidR="006103B3" w:rsidRPr="00F90EAE" w:rsidRDefault="006103B3" w:rsidP="00F90EAE">
      <w:pPr>
        <w:autoSpaceDE w:val="0"/>
        <w:autoSpaceDN w:val="0"/>
        <w:adjustRightInd w:val="0"/>
        <w:jc w:val="both"/>
        <w:rPr>
          <w:color w:val="000000" w:themeColor="text1"/>
          <w:sz w:val="16"/>
          <w:szCs w:val="16"/>
        </w:rPr>
      </w:pPr>
    </w:p>
    <w:p w14:paraId="00F8007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22 июня 1945 г. приказом НКАП № 263 на 22-м заводе началась подготовка к серийному производству бомбардировщика Б-4 (Ту-4), главным конструктором которого назначили А.Н.Туполева (3337).</w:t>
      </w:r>
    </w:p>
    <w:p w14:paraId="4535FDCA" w14:textId="77777777" w:rsidR="006103B3" w:rsidRPr="00F90EAE" w:rsidRDefault="006103B3" w:rsidP="00F90EAE">
      <w:pPr>
        <w:autoSpaceDE w:val="0"/>
        <w:autoSpaceDN w:val="0"/>
        <w:adjustRightInd w:val="0"/>
        <w:jc w:val="both"/>
        <w:rPr>
          <w:color w:val="000000" w:themeColor="text1"/>
          <w:sz w:val="16"/>
          <w:szCs w:val="16"/>
        </w:rPr>
      </w:pPr>
    </w:p>
    <w:p w14:paraId="43560932" w14:textId="77777777" w:rsidR="00500674" w:rsidRPr="00F90EAE" w:rsidRDefault="00500674"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С 22 июня 1945 года приказом НКАП № 263 на заводе № 22 началась подготовка к серийному про</w:t>
      </w:r>
      <w:r w:rsidRPr="00F90EAE">
        <w:rPr>
          <w:color w:val="000000" w:themeColor="text1"/>
          <w:sz w:val="16"/>
          <w:szCs w:val="16"/>
        </w:rPr>
        <w:softHyphen/>
        <w:t>изводству бомбардировщика Б-4 (Ту-4), главным конструктором которого назначи</w:t>
      </w:r>
      <w:r w:rsidRPr="00F90EAE">
        <w:rPr>
          <w:color w:val="000000" w:themeColor="text1"/>
          <w:sz w:val="16"/>
          <w:szCs w:val="16"/>
        </w:rPr>
        <w:softHyphen/>
        <w:t>ли А.Н.Туполева (12292).</w:t>
      </w:r>
    </w:p>
    <w:p w14:paraId="56ABAE29" w14:textId="77777777" w:rsidR="00500674" w:rsidRPr="00F90EAE" w:rsidRDefault="00500674" w:rsidP="00F90EAE">
      <w:pPr>
        <w:pStyle w:val="92"/>
        <w:shd w:val="clear" w:color="auto" w:fill="auto"/>
        <w:spacing w:after="0" w:line="240" w:lineRule="auto"/>
        <w:ind w:firstLine="0"/>
        <w:jc w:val="both"/>
        <w:rPr>
          <w:color w:val="000000" w:themeColor="text1"/>
          <w:sz w:val="16"/>
          <w:szCs w:val="16"/>
        </w:rPr>
      </w:pPr>
    </w:p>
    <w:p w14:paraId="134543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г. вышел Приказ Наркомата авиационной промышленности СССР о производстве на заводе № 22 бомбардировщика Б-4</w:t>
      </w:r>
    </w:p>
    <w:p w14:paraId="633848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Во исполнение решения Государственного Комитета Обороны от 6 июня 1945 г. приказываю:</w:t>
      </w:r>
    </w:p>
    <w:p w14:paraId="0146D3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Начальнику 10-го главного управления - заместителю наркома тов. Кузнецову А. И., директору завода № 22 - тов. Окулову и главному конструктору - тов. Туполеву организовать на заводе № 22 производство четырехмоторных бомбардировщиков Б-4.</w:t>
      </w:r>
    </w:p>
    <w:p w14:paraId="151B8B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Директору завода № 22 - тов. Окулову производство самолетов Пе-2 с двумя моторами ВК-105ПФ на заводе № 22 прекратить. Оставшийся задел по этому самолету использовать на выпуск 250 самолетов Пе-2 в учебном варианте (с двойным управлением).Производство бомбардировщиков Пе-2 с моторами ВК-107А прекратить.</w:t>
      </w:r>
    </w:p>
    <w:p w14:paraId="5CB0E4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Главным конструктором по самолету Б-4 назначить тов. Туполева А. Н.</w:t>
      </w:r>
    </w:p>
    <w:p w14:paraId="093B1C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 Главному конструктору тов. Туполеву немедленно приступить к разработке чертежей плазов и технической документации на самолете Б-4, считая эту работу первоочередной задачей конструкторского и производственного коллективов завода № 156; обеспечить сдачу заводу № 22 плазов и чертежей в следующие сроки:</w:t>
      </w:r>
    </w:p>
    <w:p w14:paraId="3BB648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Теоретические чертежи общих видов с 25 июня до 1 августа 1945 г.</w:t>
      </w:r>
    </w:p>
    <w:p w14:paraId="5B1AF8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Плазы общих видов агрегатов самолета с 15 июля до 15 сентября 1945 г.</w:t>
      </w:r>
    </w:p>
    <w:p w14:paraId="34AA61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Рабочие чертежи шасси с 15 июля до 1 ноября 1945 г.</w:t>
      </w:r>
    </w:p>
    <w:p w14:paraId="07603C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Рабочие чертежи и плазы: оперения с 1 августа до 1 ноября 1945 г.;</w:t>
      </w:r>
    </w:p>
    <w:p w14:paraId="120537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крыла с 1 августа до 1 ноября 1945 г.; моторных рам, капотов и мотогондол с 10 августа до 15 января 1946 г.; фюзеляжа, центроплана и управления самолетом с 15 августа до 1 февраля 1946 г.; рабочие чертежи узлов крепления, вооружения и оборудования с 1 сентября до 1 февраля 1946 г.</w:t>
      </w:r>
    </w:p>
    <w:p w14:paraId="6D32FE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 остальные рабочие чертежи и плазы передать до 15 марта 1946 г.</w:t>
      </w:r>
    </w:p>
    <w:p w14:paraId="586C12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В целях всемерного форсирования работ по самолету Б-4 создать на заводе № 22 в помощь основному ОКБ1 тов. Туполева опытно-конструкторское бюро по самолету Б-4 с включением в него всего личного состава ОКБ тов. Незваля, ОКБ тов. Мясищева на заводе № 22 и опытного цеха завода № 22.</w:t>
      </w:r>
    </w:p>
    <w:p w14:paraId="450B27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Главному конструктору - тов. Туполеву расстыковку самолета Б-4 на основные агрегаты, снятие теоретических обводов, демонтаж всего оборудования и передачу его заводам-смежникам произвести в г. Москве. Детальную разборку каркасов агрегатов и узлов самолета, изготовление рабочих плазов и детальных рабочих чертежей организовать на заводе № 22.</w:t>
      </w:r>
    </w:p>
    <w:p w14:paraId="57F64B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Начальнику ВИАМ2 - тов. Туманову немедленно организовать изучение всех материалов и полуфабрикатов, из которых будет строиться самолет Б-4, и на все неосвоенные материалы подготовить совместно с главным конструктором тов. Туполевым техническую документацию для заказа этих материалов на соответствующих заводах.</w:t>
      </w:r>
    </w:p>
    <w:p w14:paraId="1EB312C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Начальнику ЦИАМ3 - тов. Поликовскому немедленно организовать изучение винтомоторной группы самолета Б-4 и провести необходимые испытания, обеспечивающие постановку на самолет моторов АШ-73 и специальных ТК. Представить не позднее 15 августа с. г. все материалы по результатам испытания.</w:t>
      </w:r>
    </w:p>
    <w:p w14:paraId="56E50F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 Начальнику ЦАГИ - тов. Шишкину немедленно организовать изучение аэродинамики и вопросов прочности самолета Б-4 и обеспечить проведение всех необходимых экспериментальных работ по плану, согласованному с главным конструктором тов. Туполевым.</w:t>
      </w:r>
    </w:p>
    <w:p w14:paraId="2C9BF05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 Начальнику НИСО - тов. Петрову немедленно организовать изучение оборудования самолета Б-4 и обеспечить подготовку технических условий и спецификаций для размещения заказов на заводах-поставщиках.</w:t>
      </w:r>
    </w:p>
    <w:p w14:paraId="755FC3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11. Директору завода № 22 - тов. Окулову и главному конструктору - тов. Туполеву немедленно приступить к подготовке производства самолета Б-4, организовав разработку технологии, проектирование оснастки и инструмента параллельно с изготовлением чертежей и плазов самолета Б-4 с таким расчетом, чтобы первые самолеты были выпущены в июле месяце 1946 г.</w:t>
      </w:r>
    </w:p>
    <w:p w14:paraId="75ECF7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 Главному конструктору - тов. Туполеву представить 23 июня спецификацию агрегатов и готовых изделий, подлежащих изготовлению на заводах НКАП4 и других наркоматов.</w:t>
      </w:r>
    </w:p>
    <w:p w14:paraId="1ED81D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 Имея в виду, что постановка производства новых четырехмоторных бомбардировщиков вызовет необходимость создания и освоения в серии нового, более совершенного самолетного оборудования, агрегатов, аппаратуры и новых материалов, заместителю наркома тов. Кузнецову А. И., заместителю наркома тов. Завитаеву, начальнику 4-го Главного управления тов. Брусникину, начальнику 5-го Главного управления тов. Гоце-ридзе, начальнику 9-го Главного управления тов. Белову, начальнику 14-го Главного управления тов. Еремееву, начальнику 17-го Главного управления тов. Балакиреву, начальнику 12-го Главного управления тов. Васильеву, начальнику Главснаба тов. Калинину и начальнику 13-го Главного управления тов. Фарманянцу представить к [...]5 июня с. г. мероприятия по обеспечению самолетов Б-4 готовыми изделиями, поковками и материалами.</w:t>
      </w:r>
    </w:p>
    <w:p w14:paraId="63EF25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Все заказы по самолету Б-4 считать важнейшими и обеспечить выполнение их вне всякой очереди.</w:t>
      </w:r>
    </w:p>
    <w:p w14:paraId="6883BC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14. Заместителю народного комиссара - тов. Дементьеву П. В. выделить заводу № 22 необходимое оборудование для постановки на производство самолета Б-4.</w:t>
      </w:r>
    </w:p>
    <w:p w14:paraId="20D11BE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15. Назначить тов. Незваля И. Ф. Заместителем главного конструктора самолета Б-4 и начальником опытно-конструкторского бюро на заводе № 22, сохранив за ним присвоенное ему звание главного конструктора 2-й степени.</w:t>
      </w:r>
    </w:p>
    <w:p w14:paraId="1128521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16. Откомандировать в распоряжение главного конструктора тов. Туполева: тов. Мещерякова А. В., освободив его от работы на заводе № 153; тов. Минкнера К. В., освободив его от работы на заводе № 482.</w:t>
      </w:r>
    </w:p>
    <w:p w14:paraId="52E15E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Народный комиссар авиационной промышленности СССР А. Шахурин (подпись).</w:t>
      </w:r>
    </w:p>
    <w:p w14:paraId="2AF7CAB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РТ, ф. Р-2845, оп. 3, д. 309 а, л. 217-219 (11315).</w:t>
      </w:r>
    </w:p>
    <w:p w14:paraId="7F277C01" w14:textId="77777777" w:rsidR="006103B3" w:rsidRPr="00F90EAE" w:rsidRDefault="006103B3" w:rsidP="00F90EAE">
      <w:pPr>
        <w:autoSpaceDE w:val="0"/>
        <w:autoSpaceDN w:val="0"/>
        <w:adjustRightInd w:val="0"/>
        <w:jc w:val="both"/>
        <w:rPr>
          <w:color w:val="000000" w:themeColor="text1"/>
          <w:sz w:val="16"/>
          <w:szCs w:val="16"/>
        </w:rPr>
      </w:pPr>
    </w:p>
    <w:p w14:paraId="28CD29C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 22 июня 1945 года приказом НКАП № 263 на 22-м заводе началась подготовка к серийному производст</w:t>
      </w:r>
      <w:r w:rsidRPr="00F90EAE">
        <w:rPr>
          <w:color w:val="000000" w:themeColor="text1"/>
          <w:sz w:val="16"/>
          <w:szCs w:val="16"/>
        </w:rPr>
        <w:softHyphen/>
        <w:t>ву бомбардировщика Б-4 (Ту-4), главным конструкто</w:t>
      </w:r>
      <w:r w:rsidRPr="00F90EAE">
        <w:rPr>
          <w:color w:val="000000" w:themeColor="text1"/>
          <w:sz w:val="16"/>
          <w:szCs w:val="16"/>
        </w:rPr>
        <w:softHyphen/>
        <w:t>ром которого назначили А.Н.Туполева (11446).</w:t>
      </w:r>
    </w:p>
    <w:p w14:paraId="61C965A0" w14:textId="77777777" w:rsidR="006103B3" w:rsidRPr="00F90EAE" w:rsidRDefault="006103B3" w:rsidP="00F90EAE">
      <w:pPr>
        <w:autoSpaceDE w:val="0"/>
        <w:autoSpaceDN w:val="0"/>
        <w:adjustRightInd w:val="0"/>
        <w:jc w:val="both"/>
        <w:rPr>
          <w:color w:val="000000" w:themeColor="text1"/>
          <w:sz w:val="16"/>
          <w:szCs w:val="16"/>
        </w:rPr>
      </w:pPr>
    </w:p>
    <w:p w14:paraId="064CA8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спустя четыре года после начала войны, вышел приказ НКАП «об организации на заводе № 22 выпуска 4-моторных бомбардировщиков Б-4». Производство Пе-2 и вариантов с ВК-107А надлежало прекратить, задел использовать для выпуска 250 экземпляров в учебном варианте.</w:t>
      </w:r>
    </w:p>
    <w:p w14:paraId="45DFAC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заводскому приказу от 11 июля все внимание требовалось сосредоточить на новой машине. Главным конструктором назначался А.Н. Туполев. Цитируем этот приказ:</w:t>
      </w:r>
    </w:p>
    <w:p w14:paraId="30E920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«...Немедленно приступить к изготовлению чертежей Б-4. К 1 марту следующего года изготовить чертежи общих видов, плазы отдельных агрегатов, а также чертежи шасси, оперения, моторов, рам, капотов, мотогондол, фюзеляжа, центроплана, управление самолетом, узлов крепления вооружения и оборудования. Все остальные чертежи изготовить к 15 марта.</w:t>
      </w:r>
    </w:p>
    <w:p w14:paraId="7A895B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помощь заводу передаются ОКБ Незваля, Мясищева и опытный цех.</w:t>
      </w:r>
    </w:p>
    <w:p w14:paraId="02987C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Первые самолеты выпустить в июле 1946 г.</w:t>
      </w:r>
    </w:p>
    <w:p w14:paraId="2EDF8A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Тов. Незваль назначается заместителем Главного конструктора Б-4 и начальником ОКБ.</w:t>
      </w:r>
    </w:p>
    <w:p w14:paraId="50DAFC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Командировать на завод № 156 из Казани 150 человек. ОКБ Мясищева влить в ОКБ завода № 22.</w:t>
      </w:r>
    </w:p>
    <w:p w14:paraId="7C2360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Передать на завод № 482 (Владыкино) два самолета Пе-2И, центроплан с увеличенным бомбоотсеком по чертежам ДБ-2, комплект крыльев ДБ-2, агрегаты, узлы и др. Сохранить серийную оснастку и инструмент по Пе-2 для последующей передачи другому серийному заводу. Передать Пе-2И № 04 и № 05 в цех № 60 (решение позднее отменено)» (12049).</w:t>
      </w:r>
    </w:p>
    <w:p w14:paraId="742FAF3E" w14:textId="77777777" w:rsidR="006103B3" w:rsidRPr="00F90EAE" w:rsidRDefault="006103B3" w:rsidP="00F90EAE">
      <w:pPr>
        <w:autoSpaceDE w:val="0"/>
        <w:autoSpaceDN w:val="0"/>
        <w:adjustRightInd w:val="0"/>
        <w:jc w:val="both"/>
        <w:rPr>
          <w:color w:val="000000" w:themeColor="text1"/>
          <w:sz w:val="16"/>
          <w:szCs w:val="16"/>
        </w:rPr>
      </w:pPr>
    </w:p>
    <w:p w14:paraId="6462C87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г. в связи с началом масштабных работ по Б-4 (Ту-4) в соответствии с пост. ГКО № 8934 от 6.06.1945 г., по приказу № 263сс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 (11982).</w:t>
      </w:r>
    </w:p>
    <w:p w14:paraId="3CB09F0C" w14:textId="77777777" w:rsidR="006103B3" w:rsidRPr="00F90EAE" w:rsidRDefault="006103B3" w:rsidP="00F90EAE">
      <w:pPr>
        <w:autoSpaceDE w:val="0"/>
        <w:autoSpaceDN w:val="0"/>
        <w:adjustRightInd w:val="0"/>
        <w:jc w:val="both"/>
        <w:rPr>
          <w:color w:val="000000" w:themeColor="text1"/>
          <w:sz w:val="16"/>
          <w:szCs w:val="16"/>
        </w:rPr>
      </w:pPr>
    </w:p>
    <w:p w14:paraId="5ED25C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вышел приказ НКАП № 258с:</w:t>
      </w:r>
    </w:p>
    <w:p w14:paraId="474050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Во исполнение постановления ГКО № 9049с от 10 июня 1945 “О мероприятиях по строительству газосланцевых и сланцеперерабатывающих з-в”:</w:t>
      </w:r>
    </w:p>
    <w:p w14:paraId="095E8C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Нач. 9ГУ Белову передать НКХП ф-л з-да 496 в Ленинграде для организации горношахтного оборудования.</w:t>
      </w:r>
    </w:p>
    <w:p w14:paraId="0B5270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Шахурин (1895, 120).</w:t>
      </w:r>
    </w:p>
    <w:p w14:paraId="74A4E673" w14:textId="77777777" w:rsidR="006103B3" w:rsidRPr="00F90EAE" w:rsidRDefault="006103B3" w:rsidP="00F90EAE">
      <w:pPr>
        <w:autoSpaceDE w:val="0"/>
        <w:autoSpaceDN w:val="0"/>
        <w:adjustRightInd w:val="0"/>
        <w:jc w:val="both"/>
        <w:rPr>
          <w:color w:val="000000" w:themeColor="text1"/>
          <w:sz w:val="16"/>
          <w:szCs w:val="16"/>
        </w:rPr>
      </w:pPr>
    </w:p>
    <w:p w14:paraId="7529AD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г. металлургический филиал завода № 496 НКАП (ГС завод № 496 НКАП, НКТМ, МЭТП, п/я 240, Ленинградский государственный электромашиностроительный завод (ЛЭЗ), НПО «Электрофизика», АООТ, ОАО «Сила», ОАО «Новая сила» /г. Ленинград ул. Глухозерская, 16/ /189631  г. Санкт-Петербург п/о Металлострой/), образованный в 1940 г. на площадке ремонтно- механического завода НКПС в Ленинграде, по приказу № 258с был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w:t>
      </w:r>
    </w:p>
    <w:p w14:paraId="5AF7E4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 473с/847с от 22.12.1945 г. завод передан в ведение НКТМ с 1.11.1945 г., с 15.08.1946 г. завод № 496 передан в МЭП, с 1953 г.- МЭТП, с 07.1957 г. - в ведение Управления электротехнической промышленности ЛенСНХ. Строительство велось в 1946-50 г.</w:t>
      </w:r>
      <w:r w:rsidRPr="00F90EAE">
        <w:rPr>
          <w:color w:val="000000" w:themeColor="text1"/>
          <w:sz w:val="16"/>
          <w:szCs w:val="16"/>
          <w:vertAlign w:val="superscript"/>
        </w:rPr>
        <w:t>78</w:t>
      </w:r>
      <w:r w:rsidRPr="00F90EAE">
        <w:rPr>
          <w:color w:val="000000" w:themeColor="text1"/>
          <w:sz w:val="16"/>
          <w:szCs w:val="16"/>
        </w:rPr>
        <w:t xml:space="preserve"> В 11.1951 г. завод получил наименование ГС завод «п/я 240» МЭТП, с 1960 г. - организация «п/я 240». В соответствии с пост. ЛенСНХ от 2.10.1962 г. завод вошел в состав ЛПЭО «Электросила» им. С.М. Кирова и в 01.1963 г. переименован в Ленинградский электромашиностроительный завод. В 1988 г. завод вошел в состав НПО «Электрофизика» в качестве самостоятельной структурной единицы.</w:t>
      </w:r>
    </w:p>
    <w:p w14:paraId="7311F7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1993 г. завод акционирован и преобразован в АООТ, а с 1996 г.- ОАО «Сила». В 06.1998 г. переименовано в ОАО «Новая сила». В 01.1997 г. стало одним из учередителей ОАО «ЭМК-Сила».</w:t>
      </w:r>
    </w:p>
    <w:p w14:paraId="134622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(2000-е): более 1200 типоразмеров электрических машин: турбогенераторы с воздушным, водородным и водяным охлаждением до 220 МВт; синхронные генераторы до 3500 кВт; электродвигатели до 8000 кВт; аснхронные электродвигатели более 100 кВт; электрооборудование приводов СУЗ АЭС с реакторами ВВЭР-440 и ВВЭР-1000; токоприемники кольцевые экскаваторные; разработка и освоение производства: гидрогенераторы малой мощности; тяговые электродвигатели: асинхронные для электропоездов, вентильные для большегрузных самосвалов; нестандартные электродвигатели для уникального оборудования; плазмотроны для электрофизических установок по утилизации токсичных отходов.</w:t>
      </w:r>
    </w:p>
    <w:p w14:paraId="04AAEA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Всего к 2000 г. выпущено более 720 турбогенраторов и 83 тыс. крупных электрических машин.</w:t>
      </w:r>
    </w:p>
    <w:p w14:paraId="2BE8A3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(2000-е)- 1359 чел.</w:t>
      </w:r>
    </w:p>
    <w:p w14:paraId="16CE11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(1941 г.)- Н.В. Захаров, (-02-10.1944 г.-)- Соснушкин.</w:t>
      </w:r>
    </w:p>
    <w:p w14:paraId="7A87E21F" w14:textId="77777777" w:rsidR="006103B3" w:rsidRPr="00F90EAE" w:rsidRDefault="006103B3" w:rsidP="00F90EAE">
      <w:pPr>
        <w:jc w:val="both"/>
        <w:rPr>
          <w:color w:val="000000" w:themeColor="text1"/>
          <w:sz w:val="16"/>
          <w:szCs w:val="16"/>
        </w:rPr>
      </w:pPr>
      <w:r w:rsidRPr="00F90EAE">
        <w:rPr>
          <w:color w:val="000000" w:themeColor="text1"/>
          <w:sz w:val="16"/>
          <w:szCs w:val="16"/>
        </w:rPr>
        <w:t>Завод «Ленметаллургстрой» НКТП, «Ленкранстрой» НКМС /г. Ленинград/</w:t>
      </w:r>
    </w:p>
    <w:p w14:paraId="49FAB0C7" w14:textId="77777777" w:rsidR="006103B3" w:rsidRPr="00F90EAE" w:rsidRDefault="006103B3" w:rsidP="00F90EAE">
      <w:pPr>
        <w:jc w:val="both"/>
        <w:rPr>
          <w:color w:val="000000" w:themeColor="text1"/>
          <w:sz w:val="16"/>
          <w:szCs w:val="16"/>
        </w:rPr>
      </w:pPr>
      <w:r w:rsidRPr="00F90EAE">
        <w:rPr>
          <w:color w:val="000000" w:themeColor="text1"/>
          <w:sz w:val="16"/>
          <w:szCs w:val="16"/>
        </w:rPr>
        <w:t>Завод «Ленметаллургстрой» НКТП основан в 1932 г., в 1937 г. он переименован в «Ленкранстрой» в ведении ГУ подъемно-транспортного оборудования НКМС.</w:t>
      </w:r>
    </w:p>
    <w:p w14:paraId="315CA354" w14:textId="77777777" w:rsidR="006103B3" w:rsidRPr="00F90EAE" w:rsidRDefault="006103B3" w:rsidP="00F90EAE">
      <w:pPr>
        <w:jc w:val="both"/>
        <w:rPr>
          <w:color w:val="000000" w:themeColor="text1"/>
          <w:sz w:val="16"/>
          <w:szCs w:val="16"/>
        </w:rPr>
      </w:pPr>
      <w:r w:rsidRPr="00F90EAE">
        <w:rPr>
          <w:color w:val="000000" w:themeColor="text1"/>
          <w:sz w:val="16"/>
          <w:szCs w:val="16"/>
        </w:rPr>
        <w:t>В соответствии с пост. СНК № 1369-385с от 26.07.1940 г. и приказом № 418сс от 12.08.1940 г. на территории завода «Ленкранстрой» НКСМ размещен вновь образованный зав»д № 381 НКАП, а сам завод «Ленкранстрой» передан в НКАП и влит в его состав. При эвакуации завода № 381 НКАП в 07.1941 г. из его состава был выделен бывший завод «Ленкранстрой» в самостоятельный завод № 496 НКАП.</w:t>
      </w:r>
    </w:p>
    <w:p w14:paraId="49F2899C" w14:textId="77777777" w:rsidR="006103B3" w:rsidRPr="00F90EAE" w:rsidRDefault="006103B3" w:rsidP="00F90EAE">
      <w:pPr>
        <w:jc w:val="both"/>
        <w:rPr>
          <w:color w:val="000000" w:themeColor="text1"/>
          <w:sz w:val="16"/>
          <w:szCs w:val="16"/>
        </w:rPr>
      </w:pPr>
      <w:r w:rsidRPr="00F90EAE">
        <w:rPr>
          <w:color w:val="000000" w:themeColor="text1"/>
          <w:sz w:val="16"/>
          <w:szCs w:val="16"/>
        </w:rPr>
        <w:t>ГС завод угольного машиностроения «Ленуглемаш» НКУП, Ленинградский экскаваторный завод МСиДМ, МТиТМ, Ленинградский завод строительной робототехники и манипуляторов,</w:t>
      </w:r>
    </w:p>
    <w:p w14:paraId="7895F312" w14:textId="77777777" w:rsidR="006103B3" w:rsidRPr="00F90EAE" w:rsidRDefault="006103B3" w:rsidP="00F90EAE">
      <w:pPr>
        <w:jc w:val="both"/>
        <w:rPr>
          <w:color w:val="000000" w:themeColor="text1"/>
          <w:sz w:val="16"/>
          <w:szCs w:val="16"/>
        </w:rPr>
      </w:pPr>
      <w:r w:rsidRPr="00F90EAE">
        <w:rPr>
          <w:color w:val="000000" w:themeColor="text1"/>
          <w:sz w:val="16"/>
          <w:szCs w:val="16"/>
        </w:rPr>
        <w:t>Ленинградский завод строительного машиностроения (ЛЗСМ), Машиностроительная фирма (МФ) «ЛЗСМ», МФ «Барс», АООТ «МФ «Барс»</w:t>
      </w:r>
    </w:p>
    <w:p w14:paraId="2B9AEBB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 заводе № 496 НКАП действовал металлургический филиал, образованный в 1940 г. на площадке ремонтно-механического завода НКПС в Ленинграде. По приказу № 258с от 22.06.1945 г. филиал передан в ведение НКугля. В соответствии с пост. СНК от 10.06.1945 г. и приказом НКУП от 15.06.1945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715237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7A368F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w:t>
      </w:r>
      <w:r w:rsidRPr="00F90EAE">
        <w:rPr>
          <w:color w:val="000000" w:themeColor="text1"/>
          <w:sz w:val="16"/>
          <w:szCs w:val="16"/>
          <w:vertAlign w:val="superscript"/>
        </w:rPr>
        <w:t>131</w:t>
      </w:r>
    </w:p>
    <w:p w14:paraId="1A2BF68C" w14:textId="77777777" w:rsidR="006103B3" w:rsidRPr="00F90EAE" w:rsidRDefault="006103B3" w:rsidP="00F90EAE">
      <w:pPr>
        <w:jc w:val="both"/>
        <w:rPr>
          <w:color w:val="000000" w:themeColor="text1"/>
          <w:sz w:val="16"/>
          <w:szCs w:val="16"/>
        </w:rPr>
      </w:pPr>
      <w:r w:rsidRPr="00F90EAE">
        <w:rPr>
          <w:color w:val="000000" w:themeColor="text1"/>
          <w:sz w:val="16"/>
          <w:szCs w:val="16"/>
        </w:rPr>
        <w:t>НПО «Ленстройробот»</w:t>
      </w:r>
    </w:p>
    <w:p w14:paraId="239E12A2" w14:textId="77777777" w:rsidR="006103B3" w:rsidRPr="00F90EAE" w:rsidRDefault="006103B3" w:rsidP="00F90EAE">
      <w:pPr>
        <w:jc w:val="both"/>
        <w:rPr>
          <w:color w:val="000000" w:themeColor="text1"/>
          <w:sz w:val="16"/>
          <w:szCs w:val="16"/>
        </w:rPr>
      </w:pPr>
      <w:r w:rsidRPr="00F90EAE">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023D860E" w14:textId="77777777" w:rsidR="008C0D43" w:rsidRPr="00F90EAE" w:rsidRDefault="008C0D43" w:rsidP="00F90EAE">
      <w:pPr>
        <w:jc w:val="both"/>
        <w:rPr>
          <w:color w:val="000000" w:themeColor="text1"/>
          <w:sz w:val="16"/>
          <w:szCs w:val="16"/>
        </w:rPr>
      </w:pPr>
    </w:p>
    <w:p w14:paraId="0D4C7937" w14:textId="77777777" w:rsidR="006103B3" w:rsidRPr="00F90EAE" w:rsidRDefault="006103B3" w:rsidP="00F90EAE">
      <w:pPr>
        <w:jc w:val="both"/>
        <w:rPr>
          <w:color w:val="000000" w:themeColor="text1"/>
          <w:sz w:val="16"/>
          <w:szCs w:val="16"/>
        </w:rPr>
      </w:pPr>
      <w:r w:rsidRPr="00F90EAE">
        <w:rPr>
          <w:color w:val="000000" w:themeColor="text1"/>
          <w:sz w:val="16"/>
          <w:szCs w:val="16"/>
        </w:rPr>
        <w:t xml:space="preserve">22 июня 1945 г. по приказу № 258с металлургический филиал передан в ведение НКугля. В соответствии с пост. СНК от 10.06.1945 г. и приказом НКУП от 15 мюня 1945 г. на базе филиала создан ГС завод угольного машиностроения «Ленуглемаш» в ведении Главуглемаша Востока НКУП. В соответствии с пост. СНК от 17.02.1946 г. завод передан в ведение ГУ по производству экскаваторов и кранов МСиДМ и переименован в Ленинградский экскаваторный завод. Пост. СМ СССР от 28.03.1953 </w:t>
      </w:r>
      <w:r w:rsidRPr="00F90EAE">
        <w:rPr>
          <w:color w:val="000000" w:themeColor="text1"/>
          <w:sz w:val="16"/>
          <w:szCs w:val="16"/>
        </w:rPr>
        <w:lastRenderedPageBreak/>
        <w:t>г. завод передан в ведение ГУ по производству экскаваторов и кранов МТиТМ, с 05.1954 г. - вновь в МСиДМ. В 06.1957 г. завод передан в ведение Управления тяжелого машиностроения ЛенСНХ, в 10.1965 г. - ГУ по производству экскаваторов и кранов Министерства строительного, дорожного и коммунального машиностроения.</w:t>
      </w:r>
    </w:p>
    <w:p w14:paraId="49D2FA50" w14:textId="77777777" w:rsidR="006103B3" w:rsidRPr="00F90EAE" w:rsidRDefault="006103B3" w:rsidP="00F90EAE">
      <w:pPr>
        <w:jc w:val="both"/>
        <w:rPr>
          <w:color w:val="000000" w:themeColor="text1"/>
          <w:sz w:val="16"/>
          <w:szCs w:val="16"/>
        </w:rPr>
      </w:pPr>
      <w:r w:rsidRPr="00F90EAE">
        <w:rPr>
          <w:color w:val="000000" w:themeColor="text1"/>
          <w:sz w:val="16"/>
          <w:szCs w:val="16"/>
        </w:rPr>
        <w:t>По приказу от 4.01.1984 г. завод переименован в Ленинградский завод строительной робототехники и манипуляторов и на правах самостоятельного предприятия вошел в состав НПО «Ленстройробот» ВПО «Союзэкскаватор». По приказу от 21.09.1988 г. завод переименован в Ленинградский завод строительного машиностроения и передан в состав НПО «Ленстройкомммаш». В 1991 г. завод вошел в состав Межотраслевого государственного объединения по разработке и производству машин и оборудования для коммунального хозяйства (МГО «Коммаш»). Приказом председателя «Коммаша» от 15.08.1991 г. завод преобразован в МФ ЛЗСМ, в 01.1992 г. она переименована в МФ «Барс».</w:t>
      </w:r>
    </w:p>
    <w:p w14:paraId="3DD9BCE6" w14:textId="77777777" w:rsidR="006103B3" w:rsidRPr="00F90EAE" w:rsidRDefault="006103B3" w:rsidP="00F90EAE">
      <w:pPr>
        <w:jc w:val="both"/>
        <w:rPr>
          <w:color w:val="000000" w:themeColor="text1"/>
          <w:sz w:val="16"/>
          <w:szCs w:val="16"/>
        </w:rPr>
      </w:pPr>
      <w:r w:rsidRPr="00F90EAE">
        <w:rPr>
          <w:color w:val="000000" w:themeColor="text1"/>
          <w:sz w:val="16"/>
          <w:szCs w:val="16"/>
        </w:rPr>
        <w:t>1.03.1994 г. фирма преобразована в АООТ «МФ «Барс». 6.05.1998 г. предприятие признано банкротом, в 1999 г. утвержден ликвидационный баланс.131</w:t>
      </w:r>
    </w:p>
    <w:p w14:paraId="6530990C" w14:textId="77777777" w:rsidR="006103B3" w:rsidRPr="00F90EAE" w:rsidRDefault="006103B3" w:rsidP="00F90EAE">
      <w:pPr>
        <w:jc w:val="both"/>
        <w:rPr>
          <w:color w:val="000000" w:themeColor="text1"/>
          <w:sz w:val="16"/>
          <w:szCs w:val="16"/>
        </w:rPr>
      </w:pPr>
      <w:r w:rsidRPr="00F90EAE">
        <w:rPr>
          <w:color w:val="000000" w:themeColor="text1"/>
          <w:sz w:val="16"/>
          <w:szCs w:val="16"/>
        </w:rPr>
        <w:t>НПО «Ленстройробот»</w:t>
      </w:r>
    </w:p>
    <w:p w14:paraId="146C44DE" w14:textId="77777777" w:rsidR="006103B3" w:rsidRPr="00F90EAE" w:rsidRDefault="006103B3" w:rsidP="00F90EAE">
      <w:pPr>
        <w:jc w:val="both"/>
        <w:rPr>
          <w:color w:val="000000" w:themeColor="text1"/>
          <w:sz w:val="16"/>
          <w:szCs w:val="16"/>
        </w:rPr>
      </w:pPr>
      <w:r w:rsidRPr="00F90EAE">
        <w:rPr>
          <w:color w:val="000000" w:themeColor="text1"/>
          <w:sz w:val="16"/>
          <w:szCs w:val="16"/>
        </w:rPr>
        <w:t>НПО «Ленстройробот» ВПО «Союзэкскаватор» создано по приказу Министерства строительного, дорожного и коммунального машиностроения от 4.01.1984 г., в его состав вошли Ленинградский завод строительной робототехники и манипуляторов (на правах самостоятельного предприятия, входил по 1988 г.), Ленинградский государственный завод строительных машин (11982).</w:t>
      </w:r>
    </w:p>
    <w:p w14:paraId="189AB485" w14:textId="77777777" w:rsidR="006103B3" w:rsidRPr="00F90EAE" w:rsidRDefault="006103B3" w:rsidP="00F90EAE">
      <w:pPr>
        <w:jc w:val="both"/>
        <w:rPr>
          <w:color w:val="000000" w:themeColor="text1"/>
          <w:sz w:val="16"/>
          <w:szCs w:val="16"/>
        </w:rPr>
      </w:pPr>
    </w:p>
    <w:p w14:paraId="020C0AD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9182. О снижении лимитов отпуска электроэнергии для предприятий НКАП и увеличении - для предприятий НКтекстиля, НКММП, московского трамвая и троллейбуса, строительства газопровода Саратов-Москва, предприятий НК ТП Омской обл. РГАНИР, Фонд ГКО, д. 430, лл. 9 (11012).</w:t>
      </w:r>
    </w:p>
    <w:p w14:paraId="2307A5C1" w14:textId="77777777" w:rsidR="006103B3" w:rsidRPr="00F90EAE" w:rsidRDefault="006103B3" w:rsidP="00F90EAE">
      <w:pPr>
        <w:autoSpaceDE w:val="0"/>
        <w:autoSpaceDN w:val="0"/>
        <w:adjustRightInd w:val="0"/>
        <w:jc w:val="both"/>
        <w:rPr>
          <w:color w:val="000000" w:themeColor="text1"/>
          <w:sz w:val="16"/>
          <w:szCs w:val="16"/>
        </w:rPr>
      </w:pPr>
    </w:p>
    <w:p w14:paraId="776EAEEF"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6C3A0527" w14:textId="77777777" w:rsidR="006103B3" w:rsidRPr="00F90EAE" w:rsidRDefault="006103B3" w:rsidP="00F90EAE">
      <w:pPr>
        <w:autoSpaceDE w:val="0"/>
        <w:autoSpaceDN w:val="0"/>
        <w:adjustRightInd w:val="0"/>
        <w:jc w:val="both"/>
        <w:rPr>
          <w:iCs/>
          <w:color w:val="000000" w:themeColor="text1"/>
          <w:sz w:val="16"/>
          <w:szCs w:val="16"/>
        </w:rPr>
      </w:pPr>
    </w:p>
    <w:p w14:paraId="08E48C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9177. О сокращении поставок топочного мазута НКХП и НКБ и увеличении - НКрыбпрому и НКПСМ. РГАНИР, Фонд ГКО, д. 430, лл. 1 (11012).</w:t>
      </w:r>
    </w:p>
    <w:p w14:paraId="42F2A4EB" w14:textId="77777777" w:rsidR="006103B3" w:rsidRPr="00F90EAE" w:rsidRDefault="006103B3" w:rsidP="00F90EAE">
      <w:pPr>
        <w:autoSpaceDE w:val="0"/>
        <w:autoSpaceDN w:val="0"/>
        <w:adjustRightInd w:val="0"/>
        <w:jc w:val="both"/>
        <w:rPr>
          <w:color w:val="000000" w:themeColor="text1"/>
          <w:sz w:val="16"/>
          <w:szCs w:val="16"/>
        </w:rPr>
      </w:pPr>
    </w:p>
    <w:p w14:paraId="71ADB5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9178. О компенсации расхода угля, дополнительно выделенного НКПС, за счет НКБ. РГАНИР, Фонд ГКО, д. 430, лл. 2 (11012).</w:t>
      </w:r>
    </w:p>
    <w:p w14:paraId="3011DE7C" w14:textId="77777777" w:rsidR="006103B3" w:rsidRPr="00F90EAE" w:rsidRDefault="006103B3" w:rsidP="00F90EAE">
      <w:pPr>
        <w:autoSpaceDE w:val="0"/>
        <w:autoSpaceDN w:val="0"/>
        <w:adjustRightInd w:val="0"/>
        <w:jc w:val="both"/>
        <w:rPr>
          <w:color w:val="000000" w:themeColor="text1"/>
          <w:sz w:val="16"/>
          <w:szCs w:val="16"/>
        </w:rPr>
      </w:pPr>
    </w:p>
    <w:p w14:paraId="389110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9179. О передаче Грозненской ТЭЦ НКЭС импортной турбины. РГАНИР, Фонд ГКО, д. 430, лл. 3 (11012).</w:t>
      </w:r>
    </w:p>
    <w:p w14:paraId="303FE11F" w14:textId="77777777" w:rsidR="006103B3" w:rsidRPr="00F90EAE" w:rsidRDefault="006103B3" w:rsidP="00F90EAE">
      <w:pPr>
        <w:autoSpaceDE w:val="0"/>
        <w:autoSpaceDN w:val="0"/>
        <w:adjustRightInd w:val="0"/>
        <w:jc w:val="both"/>
        <w:rPr>
          <w:color w:val="000000" w:themeColor="text1"/>
          <w:sz w:val="16"/>
          <w:szCs w:val="16"/>
        </w:rPr>
      </w:pPr>
    </w:p>
    <w:p w14:paraId="1DAC3403"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9180 [О повышении должностных окладов руководящим работникам Московско-Киевской ж.д.] (7352, 4).</w:t>
      </w:r>
    </w:p>
    <w:p w14:paraId="7254111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E20431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июня 1945 вышло Распоряжение ГКО № 9181 [О графике перевозки военнопленных для работы в СССР.] (7352, 5,6-7).</w:t>
      </w:r>
    </w:p>
    <w:p w14:paraId="56BAE24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A87D9F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г. приказом по Госплану СССР № 820 группа товаров ширпотреба была преобразована в отдел производства товаров широкого потребления, включавший 4 сектора: товарооборота, реализации товаров, производства товаров широкого потребления и общественного питания (7543).</w:t>
      </w:r>
    </w:p>
    <w:p w14:paraId="28C0E112" w14:textId="77777777" w:rsidR="006103B3" w:rsidRPr="00F90EAE" w:rsidRDefault="006103B3" w:rsidP="00F90EAE">
      <w:pPr>
        <w:autoSpaceDE w:val="0"/>
        <w:autoSpaceDN w:val="0"/>
        <w:adjustRightInd w:val="0"/>
        <w:jc w:val="both"/>
        <w:rPr>
          <w:color w:val="000000" w:themeColor="text1"/>
          <w:sz w:val="16"/>
          <w:szCs w:val="16"/>
        </w:rPr>
      </w:pPr>
    </w:p>
    <w:p w14:paraId="0A87464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22 июня 1945 года. была подготовлена справка Контрольно-ревизионного управления НКФ СССР:</w:t>
      </w:r>
    </w:p>
    <w:p w14:paraId="02A1053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«Многих руководителей предприятий, глав</w:t>
      </w:r>
      <w:r w:rsidRPr="00F90EAE">
        <w:rPr>
          <w:color w:val="000000" w:themeColor="text1"/>
          <w:sz w:val="16"/>
          <w:szCs w:val="16"/>
        </w:rPr>
        <w:softHyphen/>
        <w:t>ков и наркоматов, — говорится в документе, — мало беспокоит, что в результате нарушения принципов хозрасчета они попадают в тяжелое финансовое положение. Многие из них не только не заботятся о сохранении и преумножении выделенных им госу</w:t>
      </w:r>
      <w:r w:rsidRPr="00F90EAE">
        <w:rPr>
          <w:color w:val="000000" w:themeColor="text1"/>
          <w:sz w:val="16"/>
          <w:szCs w:val="16"/>
        </w:rPr>
        <w:softHyphen/>
        <w:t>дарством средств, но, наоборот, пытаются свою плохую работу «забалансировать» за счет государственного бюджета. Проще го</w:t>
      </w:r>
      <w:r w:rsidRPr="00F90EAE">
        <w:rPr>
          <w:color w:val="000000" w:themeColor="text1"/>
          <w:sz w:val="16"/>
          <w:szCs w:val="16"/>
        </w:rPr>
        <w:softHyphen/>
        <w:t>воря, не чувствуют никакой моральной и не несут никакой мате</w:t>
      </w:r>
      <w:r w:rsidRPr="00F90EAE">
        <w:rPr>
          <w:color w:val="000000" w:themeColor="text1"/>
          <w:sz w:val="16"/>
          <w:szCs w:val="16"/>
        </w:rPr>
        <w:softHyphen/>
        <w:t>риальной ответственности. Например, Наркомат боеприпасов план накопления выполнил в 4-м квартале 1944 г. только на 53,3%, обязательств перед бюджетом невыполнил и, кроме того, получил дефицит оборотных средств на сумму свыше 200 млн. руб. Перерасход финансовых средств и бесхозяйственные поте</w:t>
      </w:r>
      <w:r w:rsidRPr="00F90EAE">
        <w:rPr>
          <w:color w:val="000000" w:themeColor="text1"/>
          <w:sz w:val="16"/>
          <w:szCs w:val="16"/>
        </w:rPr>
        <w:softHyphen/>
        <w:t>ри, отнесенные на себестоимость продукции, только по одному этому наркомату составили в 1944 г. свыше 0,5 млд. руб.» (РГАЭ ф. 7733, оп. 36, д. 1927, л. 98) (1566)</w:t>
      </w:r>
    </w:p>
    <w:p w14:paraId="7651D18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BDF9A2F"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C2AD6C4" w14:textId="77777777" w:rsidR="006103B3" w:rsidRPr="00F90EAE" w:rsidRDefault="006103B3" w:rsidP="00F90EAE">
      <w:pPr>
        <w:autoSpaceDE w:val="0"/>
        <w:autoSpaceDN w:val="0"/>
        <w:adjustRightInd w:val="0"/>
        <w:jc w:val="both"/>
        <w:rPr>
          <w:iCs/>
          <w:color w:val="000000" w:themeColor="text1"/>
          <w:sz w:val="16"/>
          <w:szCs w:val="16"/>
        </w:rPr>
      </w:pPr>
    </w:p>
    <w:p w14:paraId="627DE0F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22-23 июня 1945 XII сессия Верховного Совета СССР. Принятие Закона о демобилизации старших возрастов личного состава действующей армии (4962).</w:t>
      </w:r>
    </w:p>
    <w:p w14:paraId="122B38D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F2F9DC4" w14:textId="77777777" w:rsidR="008C0D43" w:rsidRPr="00F90EAE" w:rsidRDefault="008C0D43" w:rsidP="00F90EAE">
      <w:pPr>
        <w:jc w:val="both"/>
        <w:rPr>
          <w:color w:val="000000" w:themeColor="text1"/>
          <w:sz w:val="16"/>
          <w:szCs w:val="16"/>
        </w:rPr>
      </w:pPr>
      <w:r w:rsidRPr="00F90EAE">
        <w:rPr>
          <w:color w:val="000000" w:themeColor="text1"/>
          <w:sz w:val="16"/>
          <w:szCs w:val="16"/>
        </w:rPr>
        <w:t>22 июня в 1945 году (22-23 июня) XII сессия Верховного Совета СССР первого созыва, принявшая Закон о демобилизации старших возрастов личного состава действующей армии (всего до 3 млн. человек) (14930).</w:t>
      </w:r>
    </w:p>
    <w:p w14:paraId="00C43B01" w14:textId="77777777" w:rsidR="008C0D43" w:rsidRPr="00F90EAE" w:rsidRDefault="008C0D43" w:rsidP="00F90EAE">
      <w:pPr>
        <w:jc w:val="both"/>
        <w:rPr>
          <w:color w:val="000000" w:themeColor="text1"/>
          <w:sz w:val="16"/>
          <w:szCs w:val="16"/>
        </w:rPr>
      </w:pPr>
    </w:p>
    <w:p w14:paraId="03183DD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408A4CA" w14:textId="77777777" w:rsidR="006103B3" w:rsidRPr="00F90EAE" w:rsidRDefault="006103B3" w:rsidP="00F90EAE">
      <w:pPr>
        <w:autoSpaceDE w:val="0"/>
        <w:autoSpaceDN w:val="0"/>
        <w:adjustRightInd w:val="0"/>
        <w:jc w:val="both"/>
        <w:rPr>
          <w:iCs/>
          <w:color w:val="000000" w:themeColor="text1"/>
          <w:sz w:val="16"/>
          <w:szCs w:val="16"/>
        </w:rPr>
      </w:pPr>
    </w:p>
    <w:p w14:paraId="6AA6B6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в Москве было сформировано правительство национального единства Польши (2070,238).</w:t>
      </w:r>
    </w:p>
    <w:p w14:paraId="18AAB72E" w14:textId="77777777" w:rsidR="006103B3" w:rsidRPr="00F90EAE" w:rsidRDefault="006103B3" w:rsidP="00F90EAE">
      <w:pPr>
        <w:autoSpaceDE w:val="0"/>
        <w:autoSpaceDN w:val="0"/>
        <w:adjustRightInd w:val="0"/>
        <w:jc w:val="both"/>
        <w:rPr>
          <w:color w:val="000000" w:themeColor="text1"/>
          <w:sz w:val="16"/>
          <w:szCs w:val="16"/>
        </w:rPr>
      </w:pPr>
    </w:p>
    <w:p w14:paraId="684211D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9B32C70" w14:textId="77777777" w:rsidR="006103B3" w:rsidRPr="00F90EAE" w:rsidRDefault="006103B3" w:rsidP="00F90EAE">
      <w:pPr>
        <w:autoSpaceDE w:val="0"/>
        <w:autoSpaceDN w:val="0"/>
        <w:adjustRightInd w:val="0"/>
        <w:jc w:val="both"/>
        <w:rPr>
          <w:iCs/>
          <w:color w:val="000000" w:themeColor="text1"/>
          <w:sz w:val="16"/>
          <w:szCs w:val="16"/>
        </w:rPr>
      </w:pPr>
    </w:p>
    <w:p w14:paraId="79BC9B87" w14:textId="77777777" w:rsidR="00BA6D09" w:rsidRPr="00F90EAE" w:rsidRDefault="00BA6D09" w:rsidP="00F90EAE">
      <w:pPr>
        <w:jc w:val="both"/>
        <w:rPr>
          <w:color w:val="000000" w:themeColor="text1"/>
          <w:sz w:val="16"/>
          <w:szCs w:val="16"/>
        </w:rPr>
      </w:pPr>
      <w:r w:rsidRPr="00F90EAE">
        <w:rPr>
          <w:color w:val="000000" w:themeColor="text1"/>
          <w:sz w:val="16"/>
          <w:szCs w:val="16"/>
        </w:rPr>
        <w:t xml:space="preserve">22 июня в 1945 году взлетел третий прототип английского среднемагистрального пассажирского самолета </w:t>
      </w:r>
      <w:hyperlink r:id="rId153" w:tgtFrame="_blank" w:history="1">
        <w:r w:rsidRPr="00F90EAE">
          <w:rPr>
            <w:color w:val="000000" w:themeColor="text1"/>
            <w:sz w:val="16"/>
            <w:szCs w:val="16"/>
          </w:rPr>
          <w:t xml:space="preserve">"Викинг". </w:t>
        </w:r>
      </w:hyperlink>
      <w:r w:rsidRPr="00F90EAE">
        <w:rPr>
          <w:color w:val="000000" w:themeColor="text1"/>
          <w:sz w:val="16"/>
          <w:szCs w:val="16"/>
        </w:rPr>
        <w:t>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 (14930).</w:t>
      </w:r>
    </w:p>
    <w:p w14:paraId="53A777E3" w14:textId="77777777" w:rsidR="00BA6D09" w:rsidRPr="00F90EAE" w:rsidRDefault="00BA6D09" w:rsidP="00F90EAE">
      <w:pPr>
        <w:jc w:val="both"/>
        <w:rPr>
          <w:color w:val="000000" w:themeColor="text1"/>
          <w:sz w:val="16"/>
          <w:szCs w:val="16"/>
        </w:rPr>
      </w:pPr>
    </w:p>
    <w:p w14:paraId="139453C3" w14:textId="77777777" w:rsidR="0044284D" w:rsidRPr="00F90EAE" w:rsidRDefault="0044284D" w:rsidP="00F90EAE">
      <w:pPr>
        <w:jc w:val="both"/>
        <w:rPr>
          <w:color w:val="0070C0"/>
          <w:sz w:val="16"/>
          <w:szCs w:val="16"/>
        </w:rPr>
      </w:pPr>
      <w:r w:rsidRPr="00F90EAE">
        <w:rPr>
          <w:color w:val="0070C0"/>
          <w:sz w:val="16"/>
          <w:szCs w:val="16"/>
        </w:rPr>
        <w:t>22 июня 1945 первый полет Vickers Viking, прототипа G-AGOK (20371).</w:t>
      </w:r>
    </w:p>
    <w:p w14:paraId="3C5E11F8" w14:textId="77777777" w:rsidR="0044284D" w:rsidRPr="00F90EAE" w:rsidRDefault="0044284D" w:rsidP="00F90EAE">
      <w:pPr>
        <w:jc w:val="both"/>
        <w:rPr>
          <w:color w:val="0070C0"/>
          <w:sz w:val="16"/>
          <w:szCs w:val="16"/>
        </w:rPr>
      </w:pPr>
    </w:p>
    <w:p w14:paraId="7FE41E6C" w14:textId="77777777" w:rsidR="0044284D" w:rsidRPr="00F90EAE" w:rsidRDefault="0044284D" w:rsidP="00F90EAE">
      <w:pPr>
        <w:jc w:val="both"/>
        <w:rPr>
          <w:color w:val="0070C0"/>
          <w:sz w:val="16"/>
          <w:szCs w:val="16"/>
        </w:rPr>
      </w:pPr>
      <w:r w:rsidRPr="00F90EAE">
        <w:rPr>
          <w:color w:val="0070C0"/>
          <w:sz w:val="16"/>
          <w:szCs w:val="16"/>
        </w:rPr>
        <w:t>22 июня 1945 -  Взлетел первый прототип английского среднемагистрального пассажирского самолета "Викинг" (фирменное обозначение Тип 491, регистрационный номер G-AGOK) под управлением лётчика-испытателя Мата Саммерса (Mutt Summers) — первого пилота знаменитого «Спитфайра». Он стал первым послевоенным лайнером, отвечавшим требованиям ИКАО к взлету с одним остановленным мотором. В топливные баки, расположенные в крыле и мотогондолах, заливалось до 4550 л бензина, что обеспечивало дальность 2740 км при скорости 340 км/ ч на высоте 3000 м.</w:t>
      </w:r>
    </w:p>
    <w:p w14:paraId="6D701270" w14:textId="77777777" w:rsidR="0044284D" w:rsidRPr="00F90EAE" w:rsidRDefault="0044284D" w:rsidP="00F90EAE">
      <w:pPr>
        <w:jc w:val="both"/>
        <w:rPr>
          <w:color w:val="0070C0"/>
          <w:sz w:val="16"/>
          <w:szCs w:val="16"/>
        </w:rPr>
      </w:pPr>
      <w:r w:rsidRPr="00F90EAE">
        <w:rPr>
          <w:color w:val="0070C0"/>
          <w:sz w:val="16"/>
          <w:szCs w:val="16"/>
        </w:rPr>
        <w:t>Один из «Викингов» на стадии производства был оснащен двумя турбореактивными двигателями Роллс-Ройс Нин. Этот самолёт, совершивший свой первый полёт 6 апреля 1946 года, стал первым в мире реактивным авиалайнером, хотя и экспериментальным. Самолёт получил заводское обозначение Тип 618 Нин-Викинг (22453).</w:t>
      </w:r>
    </w:p>
    <w:p w14:paraId="7F80409B" w14:textId="77777777" w:rsidR="0044284D" w:rsidRPr="00F90EAE" w:rsidRDefault="0044284D" w:rsidP="00F90EAE">
      <w:pPr>
        <w:jc w:val="both"/>
        <w:rPr>
          <w:color w:val="0070C0"/>
          <w:sz w:val="16"/>
          <w:szCs w:val="16"/>
        </w:rPr>
      </w:pPr>
    </w:p>
    <w:p w14:paraId="5AAF246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22 июня 1945 Американская 10-я армия окончательно овладела островом Окинава. Командующий японскими войсками на острове генерал-лейтенант Митсуру Ушиджима И все офицеры его штаба покончили жизнь самоубийством (4963 ).</w:t>
      </w:r>
    </w:p>
    <w:p w14:paraId="0C1403D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6E538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 июня 1945 г. было очередное боевое применение самолетов-снарядов. В три часа утра в воздух поднялись 6 носителей самолетов-снарядов Ока и 8 Зеро с 250-килограммовыми бомбами. В последний боевой вылет «Богов грома» сопровождало 66 истребителей. Через час полета 25 истребителей из-за неполадок в двигателях вернулось на базу. Спустя некоторое время оставшиеся истребители вступили в бой с американскими самолетами, а камикадзе продолжили полет к Окинаве без прикрытия. Истребительно-авиационный заслон американских кораблей сбил четыре Бетти с самолетами Ока на борту. Два других носителя вернулись на базу, так и не применив своего оружия. Это был провал последнего вылета «Богов грома», и одновременно провал последней операции «Кикусуй». В ходе этой операции японцы потопили один корабль, три было поражено, в результате чего они были исключены из списков, и один корабль вышел из строя на срок более месяца.</w:t>
      </w:r>
    </w:p>
    <w:p w14:paraId="52C608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корпус «Боги грома» понес тяжелые потери, так и не раскрыв все свои потенциальные боевые возможности. Из 185 самолетов Ока, использованных для атак, 118 были уничтожены противником, унесены жизни 438 летчиков, в том числе 56 пилотов самолетов-снарядов. Всего было построено 852 самолета Ока различных вариантов (Иванов Ю.Г. Камикадзе: пилоты-смертники. Смоленск: Русич, 2001.). Из них к марту 1945 г.было выпущено 755 Окамодель 11 (Navy Suicide Attacker Ohka Model 11).</w:t>
      </w:r>
    </w:p>
    <w:p w14:paraId="1232DB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Кроме рассмотренных выше моделей, были изготовлены опытные образцы и в проекте существовала одноместная «модель 11» со стальным крылом pазpаботки Hакадзимы; «модель 21» – планер «модели 22» с двигателем «модели 11»; «модель 53» с туpбоpеактивным двигателем Nе-20, котоpую планиpовалось доставлять к </w:t>
      </w:r>
      <w:r w:rsidRPr="00F90EAE">
        <w:rPr>
          <w:color w:val="000000" w:themeColor="text1"/>
          <w:sz w:val="16"/>
          <w:szCs w:val="16"/>
        </w:rPr>
        <w:lastRenderedPageBreak/>
        <w:t>цели на буксиpе за дpугим самолетом и т.д. (Иванов Ю.Г. Камикадзе: пилоты-смертники. Смоленск: Русич, 2001; Хроника (ЭИ № 55, ноябрь 1945 г.); Захват на Окинаве неповрежденного «Бака». Авиация во время Второй мировой войны. Совместный выпуск 1 КрыльяДайджест и Авиационного сборника, ЦАГИ, 1995. С. 76.).</w:t>
      </w:r>
    </w:p>
    <w:p w14:paraId="442E58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целом комбинация G4М2Е/Ока не оправдала надежд японского императорского флота – носители были слишком тяжелыми и медленными, чтобы действовать в условиях превосходства авиации союзников.</w:t>
      </w:r>
    </w:p>
    <w:p w14:paraId="4100F7B9" w14:textId="77777777" w:rsidR="006103B3" w:rsidRPr="00F90EAE" w:rsidRDefault="006103B3" w:rsidP="00F90EAE">
      <w:pPr>
        <w:autoSpaceDE w:val="0"/>
        <w:autoSpaceDN w:val="0"/>
        <w:adjustRightInd w:val="0"/>
        <w:jc w:val="both"/>
        <w:rPr>
          <w:color w:val="000000" w:themeColor="text1"/>
          <w:sz w:val="16"/>
          <w:szCs w:val="16"/>
        </w:rPr>
      </w:pPr>
    </w:p>
    <w:p w14:paraId="5FE9D26A" w14:textId="77777777" w:rsidR="0044284D" w:rsidRPr="00F90EAE" w:rsidRDefault="0044284D" w:rsidP="00F90EAE">
      <w:pPr>
        <w:jc w:val="both"/>
        <w:rPr>
          <w:color w:val="0070C0"/>
          <w:sz w:val="16"/>
          <w:szCs w:val="16"/>
        </w:rPr>
      </w:pPr>
      <w:r w:rsidRPr="00F90EAE">
        <w:rPr>
          <w:color w:val="0070C0"/>
          <w:sz w:val="16"/>
          <w:szCs w:val="16"/>
        </w:rPr>
        <w:t>22 июня 1945 412 B-29 сбросили 2290 тонн (2 077 474 кг) бомб на Куре, Вакаяму и другие города Японии (20371).</w:t>
      </w:r>
    </w:p>
    <w:p w14:paraId="283A0AC5" w14:textId="77777777" w:rsidR="0044284D" w:rsidRPr="00F90EAE" w:rsidRDefault="0044284D" w:rsidP="00F90EAE">
      <w:pPr>
        <w:jc w:val="both"/>
        <w:rPr>
          <w:color w:val="0070C0"/>
          <w:sz w:val="16"/>
          <w:szCs w:val="16"/>
        </w:rPr>
      </w:pPr>
    </w:p>
    <w:p w14:paraId="5D2C4B6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7565890" w14:textId="77777777" w:rsidR="006103B3" w:rsidRPr="00F90EAE" w:rsidRDefault="006103B3" w:rsidP="00F90EAE">
      <w:pPr>
        <w:autoSpaceDE w:val="0"/>
        <w:autoSpaceDN w:val="0"/>
        <w:adjustRightInd w:val="0"/>
        <w:jc w:val="both"/>
        <w:rPr>
          <w:iCs/>
          <w:color w:val="000000" w:themeColor="text1"/>
          <w:sz w:val="16"/>
          <w:szCs w:val="16"/>
        </w:rPr>
      </w:pPr>
    </w:p>
    <w:p w14:paraId="169036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23 июня 1945 в Москву прибыл тот самый В-29 № 42-6365, который затем препарировали, а машина № 42-6256 использовался в качестве летающей лаборатории, в т.ч. для доводки и испытаний АШ-73ТК (7225, 3).</w:t>
      </w:r>
    </w:p>
    <w:p w14:paraId="35792ABD" w14:textId="77777777" w:rsidR="006103B3" w:rsidRPr="00F90EAE" w:rsidRDefault="006103B3" w:rsidP="00F90EAE">
      <w:pPr>
        <w:autoSpaceDE w:val="0"/>
        <w:autoSpaceDN w:val="0"/>
        <w:adjustRightInd w:val="0"/>
        <w:jc w:val="both"/>
        <w:rPr>
          <w:color w:val="000000" w:themeColor="text1"/>
          <w:sz w:val="16"/>
          <w:szCs w:val="16"/>
        </w:rPr>
      </w:pPr>
    </w:p>
    <w:p w14:paraId="04696895" w14:textId="77777777" w:rsidR="00500674" w:rsidRPr="00F90EAE" w:rsidRDefault="00500674"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23 ию</w:t>
      </w:r>
      <w:r w:rsidRPr="00F90EAE">
        <w:rPr>
          <w:color w:val="000000" w:themeColor="text1"/>
          <w:sz w:val="16"/>
          <w:szCs w:val="16"/>
        </w:rPr>
        <w:softHyphen/>
        <w:t>ня 1945 года второй «американец» (№ 42-6365), со</w:t>
      </w:r>
      <w:r w:rsidRPr="00F90EAE">
        <w:rPr>
          <w:color w:val="000000" w:themeColor="text1"/>
          <w:sz w:val="16"/>
          <w:szCs w:val="16"/>
        </w:rPr>
        <w:softHyphen/>
        <w:t>гласно архивным документам, пилотируе</w:t>
      </w:r>
      <w:r w:rsidRPr="00F90EAE">
        <w:rPr>
          <w:color w:val="000000" w:themeColor="text1"/>
          <w:sz w:val="16"/>
          <w:szCs w:val="16"/>
        </w:rPr>
        <w:softHyphen/>
        <w:t>мый Маруновым, прибыл в столицу с посадкой на аэродроме ЛИИ.Затем по тому же маршруту с Дальнего Востока в Москву перегнали третий В-29 № 42-6358 «Динг Хоа».</w:t>
      </w:r>
    </w:p>
    <w:p w14:paraId="5ADDE063" w14:textId="77777777" w:rsidR="00500674" w:rsidRPr="00F90EAE" w:rsidRDefault="00500674" w:rsidP="00F90EAE">
      <w:pPr>
        <w:pStyle w:val="92"/>
        <w:shd w:val="clear" w:color="auto" w:fill="auto"/>
        <w:spacing w:after="0" w:line="240" w:lineRule="auto"/>
        <w:ind w:firstLine="0"/>
        <w:jc w:val="both"/>
        <w:rPr>
          <w:color w:val="000000" w:themeColor="text1"/>
          <w:sz w:val="16"/>
          <w:szCs w:val="16"/>
        </w:rPr>
      </w:pPr>
      <w:r w:rsidRPr="00F90EAE">
        <w:rPr>
          <w:color w:val="000000" w:themeColor="text1"/>
          <w:sz w:val="16"/>
          <w:szCs w:val="16"/>
        </w:rPr>
        <w:t>В ночь на 11 июля В-29 (№42-6365) «Гене</w:t>
      </w:r>
      <w:r w:rsidRPr="00F90EAE">
        <w:rPr>
          <w:color w:val="000000" w:themeColor="text1"/>
          <w:sz w:val="16"/>
          <w:szCs w:val="16"/>
        </w:rPr>
        <w:softHyphen/>
        <w:t>рал Арнольд» перелетел на Центральный аэ</w:t>
      </w:r>
      <w:r w:rsidRPr="00F90EAE">
        <w:rPr>
          <w:color w:val="000000" w:themeColor="text1"/>
          <w:sz w:val="16"/>
          <w:szCs w:val="16"/>
        </w:rPr>
        <w:softHyphen/>
        <w:t>родром столицы и был помещен в ангар для последующего препарирования. Все, что касалось планера и его агрегатов, передали в ОКБ-156, а оборудование и ряд систем - в различные институты для копирования и выпуска рабочих чертежей. Когда «опера</w:t>
      </w:r>
      <w:r w:rsidRPr="00F90EAE">
        <w:rPr>
          <w:color w:val="000000" w:themeColor="text1"/>
          <w:sz w:val="16"/>
          <w:szCs w:val="16"/>
        </w:rPr>
        <w:softHyphen/>
        <w:t>ция» по копированию «Генерала Арноль</w:t>
      </w:r>
      <w:r w:rsidRPr="00F90EAE">
        <w:rPr>
          <w:color w:val="000000" w:themeColor="text1"/>
          <w:sz w:val="16"/>
          <w:szCs w:val="16"/>
        </w:rPr>
        <w:softHyphen/>
        <w:t>да», получившего у нас бортовой № 365, за</w:t>
      </w:r>
      <w:r w:rsidRPr="00F90EAE">
        <w:rPr>
          <w:color w:val="000000" w:themeColor="text1"/>
          <w:sz w:val="16"/>
          <w:szCs w:val="16"/>
        </w:rPr>
        <w:softHyphen/>
        <w:t>вершилась, весной 1948 года его агрегаты перевезли на завод № 22 в Казань, где осва</w:t>
      </w:r>
      <w:r w:rsidRPr="00F90EAE">
        <w:rPr>
          <w:color w:val="000000" w:themeColor="text1"/>
          <w:sz w:val="16"/>
          <w:szCs w:val="16"/>
        </w:rPr>
        <w:softHyphen/>
        <w:t>ивался серийный выпуск Б-4. и впоследст</w:t>
      </w:r>
      <w:r w:rsidRPr="00F90EAE">
        <w:rPr>
          <w:color w:val="000000" w:themeColor="text1"/>
          <w:sz w:val="16"/>
          <w:szCs w:val="16"/>
        </w:rPr>
        <w:softHyphen/>
        <w:t>вии для ускорения постройки пассажирско</w:t>
      </w:r>
      <w:r w:rsidRPr="00F90EAE">
        <w:rPr>
          <w:color w:val="000000" w:themeColor="text1"/>
          <w:sz w:val="16"/>
          <w:szCs w:val="16"/>
        </w:rPr>
        <w:softHyphen/>
        <w:t>го самолета Ту-70 использовали консоли его крыла, закрылки, мотогондолы, оперение и основные опоры шасси (12292).</w:t>
      </w:r>
    </w:p>
    <w:p w14:paraId="0CF62204" w14:textId="77777777" w:rsidR="00500674" w:rsidRPr="00F90EAE" w:rsidRDefault="00500674" w:rsidP="00F90EAE">
      <w:pPr>
        <w:pStyle w:val="92"/>
        <w:shd w:val="clear" w:color="auto" w:fill="auto"/>
        <w:spacing w:after="0" w:line="240" w:lineRule="auto"/>
        <w:ind w:firstLine="0"/>
        <w:jc w:val="both"/>
        <w:rPr>
          <w:color w:val="000000" w:themeColor="text1"/>
          <w:sz w:val="16"/>
          <w:szCs w:val="16"/>
        </w:rPr>
      </w:pPr>
    </w:p>
    <w:p w14:paraId="5983A415" w14:textId="77777777" w:rsidR="00F60434" w:rsidRPr="00F90EAE" w:rsidRDefault="00F60434"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A3A8F0C" w14:textId="77777777" w:rsidR="00F60434" w:rsidRPr="00F90EAE" w:rsidRDefault="00F60434" w:rsidP="00F90EAE">
      <w:pPr>
        <w:autoSpaceDE w:val="0"/>
        <w:autoSpaceDN w:val="0"/>
        <w:adjustRightInd w:val="0"/>
        <w:jc w:val="both"/>
        <w:rPr>
          <w:iCs/>
          <w:color w:val="000000" w:themeColor="text1"/>
          <w:sz w:val="16"/>
          <w:szCs w:val="16"/>
        </w:rPr>
      </w:pPr>
    </w:p>
    <w:p w14:paraId="238E9BE6"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23 июня 1945 года нарком ВМФ Н.Г. Кузнецов подписал директиву № 147 о создании в Берлине конструкторского бюро1. Начальником КБ с подчинением начальнику Управления кораблестроения ВМФ был назначен инженер-капитан 1 ранга Л.А. Коршунов, а его заместителем инженер-капитан 1 ранга В.И. Фёдоров.</w:t>
      </w:r>
    </w:p>
    <w:p w14:paraId="30FF868B"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Вскоре дополнительным распоряжением был определён штат КБ. Он включал должности, замещавшиеся военнослужащими и вольнонаёмными специалистами — советскими и немецкими. Общая численность КБ составляла 107 человек. В это число входили 37 военнослужащих: 16 офицеров, 11 старшин, 10 рядовых, а также 70 вольнонаёмных сотрудников, из них 11 граждан СССР и 59 немецких специалистов2. Итак, в Берлине предстояло создать КБ ВМФ СССР.</w:t>
      </w:r>
    </w:p>
    <w:p w14:paraId="55D960FB"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Перед убытием в Германию Л.А. Коршунова принял заместитель наркома ВМФ по кораблестроению Л.М. Галлер. Он заметил, что работать придётся в сложных условиях. Обратил внимание на неизбежные трудности, которые возникнут при создании необычной для ВМФ организации, подчеркнул необходимость «найти правильный политически корректный подход к немецким специалистам с тем, чтобы получить от них полезные для нас сведения»3.</w:t>
      </w:r>
    </w:p>
    <w:p w14:paraId="0F6A58E6" w14:textId="77777777" w:rsidR="00F60434" w:rsidRPr="00F90EAE" w:rsidRDefault="00F60434" w:rsidP="00F90EAE">
      <w:pPr>
        <w:pStyle w:val="ae"/>
        <w:shd w:val="clear" w:color="auto" w:fill="FFFFFF"/>
        <w:spacing w:before="0" w:after="0"/>
        <w:jc w:val="both"/>
        <w:rPr>
          <w:color w:val="000000" w:themeColor="text1"/>
          <w:sz w:val="16"/>
          <w:szCs w:val="16"/>
        </w:rPr>
      </w:pPr>
      <w:r w:rsidRPr="00F90EAE">
        <w:rPr>
          <w:color w:val="000000" w:themeColor="text1"/>
          <w:sz w:val="16"/>
          <w:szCs w:val="16"/>
        </w:rPr>
        <w:t>В первых числах августа 1945 года бюро уже имело адрес — г. Берлин, Карлсхорст, Юнке-Йорк штрассе, дом № 9. В разделённом по числу победителей на четыре оккупационных сектора Берлине Карлсхорст был наименее пострадавшим во время войны окраинным районом советского сектора. Немцы из него были выселены, для них он был закрыт. Вход в закрытую часть Карлсхорста осуществлялся строго по пропускам. Они выдавались и немцам, работавшим в советских организациях (19147).</w:t>
      </w:r>
    </w:p>
    <w:p w14:paraId="7DE12F9D" w14:textId="77777777" w:rsidR="00F60434" w:rsidRPr="00F90EAE" w:rsidRDefault="00F60434" w:rsidP="00F90EAE">
      <w:pPr>
        <w:jc w:val="both"/>
        <w:rPr>
          <w:color w:val="000000" w:themeColor="text1"/>
          <w:sz w:val="16"/>
          <w:szCs w:val="16"/>
        </w:rPr>
      </w:pPr>
    </w:p>
    <w:p w14:paraId="42ECA5D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BA373F1" w14:textId="77777777" w:rsidR="006103B3" w:rsidRPr="00F90EAE" w:rsidRDefault="006103B3" w:rsidP="00F90EAE">
      <w:pPr>
        <w:autoSpaceDE w:val="0"/>
        <w:autoSpaceDN w:val="0"/>
        <w:adjustRightInd w:val="0"/>
        <w:jc w:val="both"/>
        <w:rPr>
          <w:iCs/>
          <w:color w:val="000000" w:themeColor="text1"/>
          <w:sz w:val="16"/>
          <w:szCs w:val="16"/>
        </w:rPr>
      </w:pPr>
    </w:p>
    <w:p w14:paraId="18A38C9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23 июня 1945 сессия Верховного Совета СССР приняла Закон "О демобилизации старших возрастов личного состава действующей армии" (4963 ).</w:t>
      </w:r>
    </w:p>
    <w:p w14:paraId="55544A0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DA7CC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23 июня 1945 12 сессия ВС приняла закон о демобилизации 13 старших возрастов (1074,393).</w:t>
      </w:r>
    </w:p>
    <w:p w14:paraId="494DBCB7" w14:textId="77777777" w:rsidR="006103B3" w:rsidRPr="00F90EAE" w:rsidRDefault="006103B3" w:rsidP="00F90EAE">
      <w:pPr>
        <w:autoSpaceDE w:val="0"/>
        <w:autoSpaceDN w:val="0"/>
        <w:adjustRightInd w:val="0"/>
        <w:jc w:val="both"/>
        <w:rPr>
          <w:color w:val="000000" w:themeColor="text1"/>
          <w:sz w:val="16"/>
          <w:szCs w:val="16"/>
        </w:rPr>
      </w:pPr>
    </w:p>
    <w:p w14:paraId="464D85F5" w14:textId="77777777" w:rsidR="00BA6D09" w:rsidRPr="00F90EAE" w:rsidRDefault="00BA6D09" w:rsidP="00F90EAE">
      <w:pPr>
        <w:jc w:val="both"/>
        <w:rPr>
          <w:color w:val="000000" w:themeColor="text1"/>
          <w:sz w:val="16"/>
          <w:szCs w:val="16"/>
        </w:rPr>
      </w:pPr>
      <w:r w:rsidRPr="00F90EAE">
        <w:rPr>
          <w:bCs/>
          <w:color w:val="000000" w:themeColor="text1"/>
          <w:sz w:val="16"/>
          <w:szCs w:val="16"/>
        </w:rPr>
        <w:t>23 июня</w:t>
      </w:r>
      <w:r w:rsidRPr="00F90EAE">
        <w:rPr>
          <w:color w:val="000000" w:themeColor="text1"/>
          <w:sz w:val="16"/>
          <w:szCs w:val="16"/>
        </w:rPr>
        <w:t xml:space="preserve"> в 1945 году сессия Верховного Совета СССР приняла Закон "О демобилизации старших возрастов личного состава действующей армии" (14931).</w:t>
      </w:r>
    </w:p>
    <w:p w14:paraId="2718DACD" w14:textId="77777777" w:rsidR="00BA6D09" w:rsidRPr="00F90EAE" w:rsidRDefault="00BA6D09" w:rsidP="00F90EAE">
      <w:pPr>
        <w:jc w:val="both"/>
        <w:rPr>
          <w:color w:val="000000" w:themeColor="text1"/>
          <w:sz w:val="16"/>
          <w:szCs w:val="16"/>
        </w:rPr>
      </w:pPr>
    </w:p>
    <w:p w14:paraId="7F8EB94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16775BF" w14:textId="77777777" w:rsidR="006103B3" w:rsidRPr="00F90EAE" w:rsidRDefault="006103B3" w:rsidP="00F90EAE">
      <w:pPr>
        <w:autoSpaceDE w:val="0"/>
        <w:autoSpaceDN w:val="0"/>
        <w:adjustRightInd w:val="0"/>
        <w:jc w:val="both"/>
        <w:rPr>
          <w:iCs/>
          <w:color w:val="000000" w:themeColor="text1"/>
          <w:sz w:val="16"/>
          <w:szCs w:val="16"/>
        </w:rPr>
      </w:pPr>
    </w:p>
    <w:p w14:paraId="191CF1D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вышел приказ НКАП N 263сс в исполнение решения ГКО от 6 июня 1945 N 8934сс:</w:t>
      </w:r>
    </w:p>
    <w:p w14:paraId="067663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Нач. 10 ГУ - зам. наркома Кузнецову, директору завода 22 Окулову и ГК А.Н.Т. организовать на заводе 22 производство 4-х моторных бомбардировщиков Б-4.</w:t>
      </w:r>
    </w:p>
    <w:p w14:paraId="06C982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Директору завода 22 производство самолетов Пе-2 с 2хВК-105ПФ на заводе 22 прекратить. оставшийся задел по этому самолету использовать на выпуск 250 самолетов Пе-2 в учебном варианте (с двойным управлением). Производство бомбардировщиков Пе-2 с ВК-107А прекратить.</w:t>
      </w:r>
    </w:p>
    <w:p w14:paraId="7BA658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ГК по опытному самолету Б-4 назначить А.Н.Т." (1894,23).</w:t>
      </w:r>
    </w:p>
    <w:p w14:paraId="378BB4B9" w14:textId="77777777" w:rsidR="006103B3" w:rsidRPr="00F90EAE" w:rsidRDefault="006103B3" w:rsidP="00F90EAE">
      <w:pPr>
        <w:autoSpaceDE w:val="0"/>
        <w:autoSpaceDN w:val="0"/>
        <w:adjustRightInd w:val="0"/>
        <w:jc w:val="both"/>
        <w:rPr>
          <w:color w:val="000000" w:themeColor="text1"/>
          <w:sz w:val="16"/>
          <w:szCs w:val="16"/>
        </w:rPr>
      </w:pPr>
    </w:p>
    <w:p w14:paraId="05A0EF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9189. Об уменьшении поставки самолетного вооружения заводами НКВ в связи с сокращением выпуска самолетов в июне. РГАНИР, Фонд ГКО, д. 430, лл. 15-18 (11012).</w:t>
      </w:r>
    </w:p>
    <w:p w14:paraId="0A07667C" w14:textId="77777777" w:rsidR="006103B3" w:rsidRPr="00F90EAE" w:rsidRDefault="006103B3" w:rsidP="00F90EAE">
      <w:pPr>
        <w:autoSpaceDE w:val="0"/>
        <w:autoSpaceDN w:val="0"/>
        <w:adjustRightInd w:val="0"/>
        <w:jc w:val="both"/>
        <w:rPr>
          <w:color w:val="000000" w:themeColor="text1"/>
          <w:sz w:val="16"/>
          <w:szCs w:val="16"/>
        </w:rPr>
      </w:pPr>
    </w:p>
    <w:p w14:paraId="58F35CAA"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24 июня 1945 г. нарком авиационной промышленности А. И. Шахурин обратился в ЦКВКП(б) с письмом следующего содержания: </w:t>
      </w:r>
    </w:p>
    <w:p w14:paraId="0B36D9C0" w14:textId="77777777" w:rsidR="00500674" w:rsidRPr="00F90EAE" w:rsidRDefault="00500674" w:rsidP="00F90EAE">
      <w:pPr>
        <w:pStyle w:val="Blockquote"/>
        <w:spacing w:before="0" w:after="0"/>
        <w:ind w:left="0" w:right="0"/>
        <w:jc w:val="both"/>
        <w:rPr>
          <w:color w:val="000000" w:themeColor="text1"/>
          <w:sz w:val="16"/>
          <w:szCs w:val="16"/>
          <w:lang w:val="ru-RU"/>
        </w:rPr>
      </w:pPr>
      <w:r w:rsidRPr="00F90EAE">
        <w:rPr>
          <w:color w:val="000000" w:themeColor="text1"/>
          <w:sz w:val="16"/>
          <w:szCs w:val="16"/>
          <w:lang w:val="ru-RU"/>
        </w:rPr>
        <w:t>"С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524C551E"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56A4CD8"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6A12D85A" w14:textId="77777777" w:rsidR="00500674" w:rsidRPr="00F90EAE" w:rsidRDefault="00500674" w:rsidP="00F90EAE">
      <w:pPr>
        <w:jc w:val="both"/>
        <w:rPr>
          <w:color w:val="000000" w:themeColor="text1"/>
          <w:sz w:val="16"/>
          <w:szCs w:val="16"/>
        </w:rPr>
      </w:pPr>
      <w:r w:rsidRPr="00F90EAE">
        <w:rPr>
          <w:color w:val="000000" w:themeColor="text1"/>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w:t>
      </w:r>
    </w:p>
    <w:p w14:paraId="7002E563"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w:t>
      </w:r>
    </w:p>
    <w:p w14:paraId="3A26E7FF" w14:textId="77777777" w:rsidR="00500674" w:rsidRPr="00F90EAE" w:rsidRDefault="00500674" w:rsidP="00F90EAE">
      <w:pPr>
        <w:jc w:val="both"/>
        <w:rPr>
          <w:color w:val="000000" w:themeColor="text1"/>
          <w:sz w:val="16"/>
          <w:szCs w:val="16"/>
        </w:rPr>
      </w:pPr>
      <w:r w:rsidRPr="00F90EAE">
        <w:rPr>
          <w:color w:val="000000" w:themeColor="text1"/>
          <w:sz w:val="16"/>
          <w:szCs w:val="16"/>
        </w:rPr>
        <w:t>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w:t>
      </w:r>
    </w:p>
    <w:p w14:paraId="019F042C" w14:textId="77777777" w:rsidR="00500674" w:rsidRPr="00F90EAE" w:rsidRDefault="00500674" w:rsidP="00F90EAE">
      <w:pPr>
        <w:jc w:val="both"/>
        <w:rPr>
          <w:color w:val="000000" w:themeColor="text1"/>
          <w:sz w:val="16"/>
          <w:szCs w:val="16"/>
        </w:rPr>
      </w:pPr>
      <w:r w:rsidRPr="00F90EAE">
        <w:rPr>
          <w:color w:val="000000" w:themeColor="text1"/>
          <w:sz w:val="16"/>
          <w:szCs w:val="16"/>
        </w:rPr>
        <w:t>Правительственная комиссия СССР, во главе с И. А. Серовым и заместителем наркома авиационной промышленности A.C. Яковлевым выпустила постановление № 874–3ббсс от 17 апреля 1946 г., в котором были расписаны научно-производственные программы, которые должны выполнить созданные ОТБ и сроки выполнения заданий.</w:t>
      </w:r>
    </w:p>
    <w:p w14:paraId="4C6FB9FD"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Самое крупное ОТБ, находящееся на бывшем заводе "Юнкере" в Дессау, возглавлял научный сотрудник ЦИАМ Н. М. Олехнович. Главным конструктором авиадвигателей в ОКБ-1 был назначен немецкий специалист доктор Шайбе. Отдел самолетов ОКБ-1 возглавил немецкий специалист доктор Бааде. </w:t>
      </w:r>
    </w:p>
    <w:p w14:paraId="753F0CFA"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На первом этапе работ коллектив ОКБ-1 содержал около 600 человек, в том числе 160 докторов наук и дипломированных инженеров, ранее работавших на фирмах по созданию двигателей. </w:t>
      </w:r>
    </w:p>
    <w:p w14:paraId="0EE1D7F9"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В соответствии с постановление № 874 - Зббсс Главный конструктор доктор Шайбе должен был: </w:t>
      </w:r>
    </w:p>
    <w:p w14:paraId="09271665"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а) организовать работы по форсированию создания двигателя Jumo-004F с тягой на земле 1200 кгс. (вместо 900 кгс.); </w:t>
      </w:r>
    </w:p>
    <w:p w14:paraId="3B92D73D"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б) завершить проектные работы и изготовление опытных образцов двигателя Jumo-012 с тягой на земле 3000 кгс. с постановкой его на стендовые испытания в августе 1946 г. </w:t>
      </w:r>
    </w:p>
    <w:p w14:paraId="0B5821FE"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По самолетному отделу Главный конструктор доктор Бааде должен был организовать следующие работы: </w:t>
      </w:r>
    </w:p>
    <w:p w14:paraId="4F1CD727"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а) закончить постройку опытного образца реактивного бомбардировщика Юнкере Ju-131 (EF-131) в сентябре 1946 г.; </w:t>
      </w:r>
    </w:p>
    <w:p w14:paraId="2076D0C1"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б) закончить разработку технического проекта по дальнему реактивному бомбардировщику Юнкере Ju-132 (EF-132) с окончанием технического проекта в декабре 1946 г.; </w:t>
      </w:r>
    </w:p>
    <w:p w14:paraId="093350F0" w14:textId="77777777" w:rsidR="00500674" w:rsidRPr="00F90EAE" w:rsidRDefault="00500674" w:rsidP="00F90EAE">
      <w:pPr>
        <w:jc w:val="both"/>
        <w:rPr>
          <w:color w:val="000000" w:themeColor="text1"/>
          <w:sz w:val="16"/>
          <w:szCs w:val="16"/>
        </w:rPr>
      </w:pPr>
      <w:r w:rsidRPr="00F90EAE">
        <w:rPr>
          <w:color w:val="000000" w:themeColor="text1"/>
          <w:sz w:val="16"/>
          <w:szCs w:val="16"/>
        </w:rPr>
        <w:lastRenderedPageBreak/>
        <w:t xml:space="preserve">в) закончить постройку реактивного штурмовика Юнкере Ju-126 (EF-126) с ПуВРД Jumo-226 "Аргус" (скорость 780 км/ч) и в мае-июне 1946 г.; </w:t>
      </w:r>
    </w:p>
    <w:p w14:paraId="10B4ABFB"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г) провести летные испытания на территории СССР самолетов EF-131, EF-132, EF-126. </w:t>
      </w:r>
    </w:p>
    <w:p w14:paraId="7E3676C6" w14:textId="77777777" w:rsidR="00500674" w:rsidRPr="00F90EAE" w:rsidRDefault="00500674" w:rsidP="00F90EAE">
      <w:pPr>
        <w:jc w:val="both"/>
        <w:rPr>
          <w:color w:val="000000" w:themeColor="text1"/>
          <w:sz w:val="16"/>
          <w:szCs w:val="16"/>
        </w:rPr>
      </w:pPr>
      <w:r w:rsidRPr="00F90EAE">
        <w:rPr>
          <w:color w:val="000000" w:themeColor="text1"/>
          <w:sz w:val="16"/>
          <w:szCs w:val="16"/>
        </w:rPr>
        <w:t xml:space="preserve">Прикомандированные к ОКБ-1 советские специалисты, должны были досконально разобраться в этих работах (12129). </w:t>
      </w:r>
    </w:p>
    <w:p w14:paraId="0A778BC9" w14:textId="77777777" w:rsidR="00500674" w:rsidRPr="00F90EAE" w:rsidRDefault="00500674" w:rsidP="00F90EAE">
      <w:pPr>
        <w:jc w:val="both"/>
        <w:rPr>
          <w:color w:val="000000" w:themeColor="text1"/>
          <w:sz w:val="16"/>
          <w:szCs w:val="16"/>
        </w:rPr>
      </w:pPr>
    </w:p>
    <w:p w14:paraId="273A49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24 июня 1945 г. нарком авиационной промышленности А. И. Шахурин обратился в ЦКВКП(б) с письмом следующего содержания: </w:t>
      </w:r>
    </w:p>
    <w:p w14:paraId="0219150A" w14:textId="77777777" w:rsidR="006103B3" w:rsidRPr="00F90EAE" w:rsidRDefault="006103B3" w:rsidP="00F90EAE">
      <w:pPr>
        <w:widowControl w:val="0"/>
        <w:autoSpaceDE w:val="0"/>
        <w:autoSpaceDN w:val="0"/>
        <w:adjustRightInd w:val="0"/>
        <w:jc w:val="both"/>
        <w:rPr>
          <w:color w:val="000000" w:themeColor="text1"/>
          <w:sz w:val="16"/>
          <w:szCs w:val="16"/>
        </w:rPr>
      </w:pPr>
      <w:r w:rsidRPr="00F90EAE">
        <w:rPr>
          <w:color w:val="000000" w:themeColor="text1"/>
          <w:sz w:val="16"/>
          <w:szCs w:val="16"/>
        </w:rPr>
        <w:t>"С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w:t>
      </w:r>
    </w:p>
    <w:p w14:paraId="1748CC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w:t>
      </w:r>
    </w:p>
    <w:p w14:paraId="5EDE94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w:t>
      </w:r>
    </w:p>
    <w:p w14:paraId="1BFE7C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 (12107).</w:t>
      </w:r>
    </w:p>
    <w:p w14:paraId="0D06642C" w14:textId="77777777" w:rsidR="006103B3" w:rsidRPr="00F90EAE" w:rsidRDefault="006103B3" w:rsidP="00F90EAE">
      <w:pPr>
        <w:autoSpaceDE w:val="0"/>
        <w:autoSpaceDN w:val="0"/>
        <w:adjustRightInd w:val="0"/>
        <w:jc w:val="both"/>
        <w:rPr>
          <w:color w:val="000000" w:themeColor="text1"/>
          <w:sz w:val="16"/>
          <w:szCs w:val="16"/>
        </w:rPr>
      </w:pPr>
    </w:p>
    <w:p w14:paraId="493D9917" w14:textId="77777777" w:rsidR="00F60434" w:rsidRPr="00F90EAE" w:rsidRDefault="00F60434" w:rsidP="00F90EAE">
      <w:pPr>
        <w:jc w:val="both"/>
        <w:rPr>
          <w:color w:val="000000" w:themeColor="text1"/>
          <w:sz w:val="16"/>
          <w:szCs w:val="16"/>
        </w:rPr>
      </w:pPr>
      <w:r w:rsidRPr="00F90EAE">
        <w:rPr>
          <w:color w:val="000000" w:themeColor="text1"/>
          <w:sz w:val="16"/>
          <w:szCs w:val="16"/>
        </w:rPr>
        <w:t>24 июня 1945 г. нарком авиационной промышленности А. И. Шахурин обратился в ЦКВКП(б) с письмом следующего содержания: «С нашей точки зрения, было бы целесообразно иметь на территории оккупированной нами зоны Германии специального типа организации с особым режимом (под наблюдением НКВД), где немецкие ученые могли бы вести научно-исследовательскую работу по нашим заданиям». В связи с этим предложением, окончательный демонтаж ряда крупных предприятий, занимавшихся в годы войны выпуском самолетов и двигателей, был отложен на более поздний срок. К ним относятся: опытный завод фирмы «Юнкере» в Дессау, опытный завод фирмы «Зибель» в Галле, центры фирмы «БМВ» в Штасфурте и Унзебурге, опытный завод «Хейкель» в Ростоке, авиационный институт DVL, всегерманский институт испытания материалов, завод «Лангбейн — Пофангаузер», завод «Зюд И. Г. Фарбениндустри» в Лейпциге. Возобновление работы ряда авиационных заводов и КБ в советской зоне оккупации Германии противоречило решениям Крымской конференции 1945 г. о запрете военного производства на территории Германии после окончания войны, поэтому работы проводились в обстановке полной секретности. Привлечением к работам вольнонаемных специалистов на этих заводах занимались службы НКВД совместно с представителями советских авиационных предприятий, которые определяли квалификацию пожелавших трудиться здесь немецких специалистов. Под руководством заместителя Л. П. Берии, генерал-полковника И. А. Серова поиск ученых и квалифицированных рабочих велся также в лагерях для военнопленных. К началу октября 1946 г. общее число немецких специалистов, работающих по выполнению заданий МАП, составляло около 8 тыс. человек, среди них — 635 докторов технических наук, профессоров и дипломированных инженеров. Для постановки задач и руководством работами на заводах, были организованы четыре Особых технических бюро при НКВД (ОТБ НКВД), которые возглавляли полномочные представители заводов и научных организаций СССР (18668).</w:t>
      </w:r>
    </w:p>
    <w:p w14:paraId="5B26EE88" w14:textId="77777777" w:rsidR="00F60434" w:rsidRPr="00F90EAE" w:rsidRDefault="00F60434" w:rsidP="00F90EAE">
      <w:pPr>
        <w:jc w:val="both"/>
        <w:rPr>
          <w:color w:val="000000" w:themeColor="text1"/>
          <w:sz w:val="16"/>
          <w:szCs w:val="16"/>
        </w:rPr>
      </w:pPr>
    </w:p>
    <w:p w14:paraId="7F99B5D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6E0E7AB" w14:textId="77777777" w:rsidR="006103B3" w:rsidRPr="00F90EAE" w:rsidRDefault="006103B3" w:rsidP="00F90EAE">
      <w:pPr>
        <w:autoSpaceDE w:val="0"/>
        <w:autoSpaceDN w:val="0"/>
        <w:adjustRightInd w:val="0"/>
        <w:jc w:val="both"/>
        <w:rPr>
          <w:iCs/>
          <w:color w:val="000000" w:themeColor="text1"/>
          <w:sz w:val="16"/>
          <w:szCs w:val="16"/>
        </w:rPr>
      </w:pPr>
    </w:p>
    <w:p w14:paraId="3D2475BF" w14:textId="77777777" w:rsidR="00BA6D09" w:rsidRPr="00F90EAE" w:rsidRDefault="00BA6D09" w:rsidP="00F90EAE">
      <w:pPr>
        <w:jc w:val="both"/>
        <w:rPr>
          <w:color w:val="000000" w:themeColor="text1"/>
          <w:sz w:val="16"/>
          <w:szCs w:val="16"/>
        </w:rPr>
      </w:pPr>
      <w:r w:rsidRPr="00F90EAE">
        <w:rPr>
          <w:color w:val="000000" w:themeColor="text1"/>
          <w:sz w:val="16"/>
          <w:szCs w:val="16"/>
        </w:rPr>
        <w:t>24 июня 1945 г. Из статьи секретаря Казанского горкома ВКП (б) А. Г. Барышникова «Труд, приравненный к подвигу» в газете «Красная Татария» - о работе в годы войны оборонных заводов</w:t>
      </w:r>
    </w:p>
    <w:p w14:paraId="3AC5E612" w14:textId="77777777" w:rsidR="00BA6D09" w:rsidRPr="00F90EAE" w:rsidRDefault="00BA6D09" w:rsidP="00F90EAE">
      <w:pPr>
        <w:jc w:val="both"/>
        <w:rPr>
          <w:color w:val="000000" w:themeColor="text1"/>
          <w:sz w:val="16"/>
          <w:szCs w:val="16"/>
        </w:rPr>
      </w:pPr>
      <w:r w:rsidRPr="00F90EAE">
        <w:rPr>
          <w:color w:val="000000" w:themeColor="text1"/>
          <w:sz w:val="16"/>
          <w:szCs w:val="16"/>
        </w:rPr>
        <w:t>В первые дни войны трудящиеся столицы Татарии города Казани дали клятву Родине, товарищу Сталину перестроить работу промышленности на военный лад, все силы и знания отдать на помощь фронту, на дело разгрома немецких захватчиков.</w:t>
      </w:r>
    </w:p>
    <w:p w14:paraId="55181788" w14:textId="77777777" w:rsidR="00BA6D09" w:rsidRPr="00F90EAE" w:rsidRDefault="00BA6D09" w:rsidP="00F90EAE">
      <w:pPr>
        <w:jc w:val="both"/>
        <w:rPr>
          <w:color w:val="000000" w:themeColor="text1"/>
          <w:sz w:val="16"/>
          <w:szCs w:val="16"/>
        </w:rPr>
      </w:pPr>
      <w:r w:rsidRPr="00F90EAE">
        <w:rPr>
          <w:color w:val="000000" w:themeColor="text1"/>
          <w:sz w:val="16"/>
          <w:szCs w:val="16"/>
        </w:rPr>
        <w:t>Перед промышленностью города были поставлены огромные задачи. Мы должны были разместить значительное количество предприятий, эвакуированных из западных областей Советского Союза, увеличить выпуск боевой продукции. Эти задачи трудящиеся Казани выполнили с честью. Наш город превратился в один из важных арсеналов Родины, снабжал фронт вооружением, боеприпасами, обмундированием. Выпуск валовой продукции на предприятиях увеличился по сравнению с 1940 годом в три с лишним раза.</w:t>
      </w:r>
    </w:p>
    <w:p w14:paraId="184B91D4" w14:textId="77777777" w:rsidR="00BA6D09" w:rsidRPr="00F90EAE" w:rsidRDefault="00BA6D09" w:rsidP="00F90EAE">
      <w:pPr>
        <w:jc w:val="both"/>
        <w:rPr>
          <w:color w:val="000000" w:themeColor="text1"/>
          <w:sz w:val="16"/>
          <w:szCs w:val="16"/>
        </w:rPr>
      </w:pPr>
      <w:r w:rsidRPr="00F90EAE">
        <w:rPr>
          <w:color w:val="000000" w:themeColor="text1"/>
          <w:sz w:val="16"/>
          <w:szCs w:val="16"/>
        </w:rPr>
        <w:t>Получая повышенные задания, фабрики и заводы Казани не только выполняли, но и намного перевыполняли их. Достаточно сказать, что план 1944 года промышленностью города был выполнен к 23 декабря, а в конце года предприятия Казани дали на 105 миллионов рублей сверхплановых изделий.</w:t>
      </w:r>
    </w:p>
    <w:p w14:paraId="26262831" w14:textId="77777777" w:rsidR="00BA6D09" w:rsidRPr="00F90EAE" w:rsidRDefault="00BA6D09" w:rsidP="00F90EAE">
      <w:pPr>
        <w:jc w:val="both"/>
        <w:rPr>
          <w:color w:val="000000" w:themeColor="text1"/>
          <w:sz w:val="16"/>
          <w:szCs w:val="16"/>
        </w:rPr>
      </w:pPr>
      <w:r w:rsidRPr="00F90EAE">
        <w:rPr>
          <w:color w:val="000000" w:themeColor="text1"/>
          <w:sz w:val="16"/>
          <w:szCs w:val="16"/>
        </w:rPr>
        <w:t>Велики заслуги перед Родиной коллектива завода им. Горбунова (Завод № 22) и завода, где главным инженером т. Месяцев (Завод № 16). Рабочие, мастера, инженеры, техники и руководители этих предприятий трудились, не зная устали, выполняя важнейшие задания Государственного Комитета Обороны. Их продукция заслужила одобрение героев-фронтовиков.</w:t>
      </w:r>
    </w:p>
    <w:p w14:paraId="20E09FCB" w14:textId="77777777" w:rsidR="00BA6D09" w:rsidRPr="00F90EAE" w:rsidRDefault="00BA6D09" w:rsidP="00F90EAE">
      <w:pPr>
        <w:jc w:val="both"/>
        <w:rPr>
          <w:color w:val="000000" w:themeColor="text1"/>
          <w:sz w:val="16"/>
          <w:szCs w:val="16"/>
        </w:rPr>
      </w:pPr>
      <w:r w:rsidRPr="00F90EAE">
        <w:rPr>
          <w:color w:val="000000" w:themeColor="text1"/>
          <w:sz w:val="16"/>
          <w:szCs w:val="16"/>
        </w:rPr>
        <w:t>Из месяца в месяц перевыполнял ответственные задания Государственного Комитета Обороны коллектив старейшего предприятия Татарии – завода имени Ленина (Завод № 40). План прошлого года он выполнил за одиннадцать месяцев, при этом себестоимость продукции снизил на 2,8 процента и от рационализации производства дал шесть миллионов рублей экономии. […]</w:t>
      </w:r>
    </w:p>
    <w:p w14:paraId="645EE6DE" w14:textId="77777777" w:rsidR="00BA6D09" w:rsidRPr="00F90EAE" w:rsidRDefault="00BA6D09" w:rsidP="00F90EAE">
      <w:pPr>
        <w:jc w:val="both"/>
        <w:rPr>
          <w:color w:val="000000" w:themeColor="text1"/>
          <w:sz w:val="16"/>
          <w:szCs w:val="16"/>
        </w:rPr>
      </w:pPr>
      <w:r w:rsidRPr="00F90EAE">
        <w:rPr>
          <w:color w:val="000000" w:themeColor="text1"/>
          <w:sz w:val="16"/>
          <w:szCs w:val="16"/>
        </w:rPr>
        <w:t>В 1944 году передовым предприятиям Казани – победителям во Всесоюзном социалистическом соревновании – 22 раза присуждались Красные Знамена Государственного Комитета Обороны. Эту награду уверенно держат в руках коллективы завода, где главным инженером т. Месяцев и ордена Ленина завода им. Горбунова. Неоднократно получали переходящие Красные Знамена коллективы заводов, где главными инженерами тт. Зафьянцев (Завод № 387), Касаткин (Завод № 349). […]</w:t>
      </w:r>
    </w:p>
    <w:p w14:paraId="27CBAE5D" w14:textId="77777777" w:rsidR="00BA6D09" w:rsidRPr="00F90EAE" w:rsidRDefault="00BA6D09" w:rsidP="00F90EAE">
      <w:pPr>
        <w:jc w:val="both"/>
        <w:rPr>
          <w:color w:val="000000" w:themeColor="text1"/>
          <w:sz w:val="16"/>
          <w:szCs w:val="16"/>
        </w:rPr>
      </w:pPr>
      <w:r w:rsidRPr="00F90EAE">
        <w:rPr>
          <w:color w:val="000000" w:themeColor="text1"/>
          <w:sz w:val="16"/>
          <w:szCs w:val="16"/>
        </w:rPr>
        <w:t>Бесчисленны примеры героического труда. Их можно найти на любом предприятии.</w:t>
      </w:r>
    </w:p>
    <w:p w14:paraId="4BECE5D9" w14:textId="77777777" w:rsidR="00BA6D09" w:rsidRPr="00F90EAE" w:rsidRDefault="00BA6D09" w:rsidP="00F90EAE">
      <w:pPr>
        <w:jc w:val="both"/>
        <w:rPr>
          <w:color w:val="000000" w:themeColor="text1"/>
          <w:sz w:val="16"/>
          <w:szCs w:val="16"/>
        </w:rPr>
      </w:pPr>
      <w:r w:rsidRPr="00F90EAE">
        <w:rPr>
          <w:color w:val="000000" w:themeColor="text1"/>
          <w:sz w:val="16"/>
          <w:szCs w:val="16"/>
        </w:rPr>
        <w:t>На заводе им. Ленина по инициативе стахановцев в дни войны были введены особые «фронтовые задания». Они в полтора-два раза превышали план выпуска продукции. И десятки стахановцев не только выполняли, но намного перевыполняли их. Молодая работница Матрена Фадеева вырабатывала до пяти норм в смену и получила звание гвардейца трудового фронта. Фронтовая бригада т. Филатовой нередко выполняла месячное задание за 10-12 дней.</w:t>
      </w:r>
    </w:p>
    <w:p w14:paraId="5A3A9B49" w14:textId="77777777" w:rsidR="00BA6D09" w:rsidRPr="00F90EAE" w:rsidRDefault="00BA6D09" w:rsidP="00F90EAE">
      <w:pPr>
        <w:jc w:val="both"/>
        <w:rPr>
          <w:color w:val="000000" w:themeColor="text1"/>
          <w:sz w:val="16"/>
          <w:szCs w:val="16"/>
        </w:rPr>
      </w:pPr>
      <w:r w:rsidRPr="00F90EAE">
        <w:rPr>
          <w:color w:val="000000" w:themeColor="text1"/>
          <w:sz w:val="16"/>
          <w:szCs w:val="16"/>
        </w:rPr>
        <w:t>Фронтовая бригада т. Шарипова с завода им. Горбунова, применив метод Егора Агаркова, вдвое сократила свой состав. В этой бригаде осталось четыре человека, но они обслуживают двенадцать сложных станков. На том же заводе фронтовая бригада Михаила Коновалова, состоящая из трех стахановцев, выполняет объем работы, рассчитанной на 20 человек. […]</w:t>
      </w:r>
    </w:p>
    <w:p w14:paraId="1564171D" w14:textId="77777777" w:rsidR="00BA6D09" w:rsidRPr="00F90EAE" w:rsidRDefault="00BA6D09" w:rsidP="00F90EAE">
      <w:pPr>
        <w:jc w:val="both"/>
        <w:rPr>
          <w:color w:val="000000" w:themeColor="text1"/>
          <w:sz w:val="16"/>
          <w:szCs w:val="16"/>
        </w:rPr>
      </w:pPr>
      <w:r w:rsidRPr="00F90EAE">
        <w:rPr>
          <w:color w:val="000000" w:themeColor="text1"/>
          <w:sz w:val="16"/>
          <w:szCs w:val="16"/>
        </w:rPr>
        <w:t>В дни войны сотни и тысячи квалифицированных рабочих наших предприятий ушли на фронт. На их место встали жены, дочери и матери фронтовиков. Быстро овладели они сложными профессиями. На заводе имени Ленина женщины-работницы столярной мастерской в течение четырех-пяти месяцев овладели профессией и стали выполнять по полторы нормы.</w:t>
      </w:r>
    </w:p>
    <w:p w14:paraId="3BD773F9" w14:textId="77777777" w:rsidR="00BA6D09" w:rsidRPr="00F90EAE" w:rsidRDefault="00BA6D09" w:rsidP="00F90EAE">
      <w:pPr>
        <w:jc w:val="both"/>
        <w:rPr>
          <w:color w:val="000000" w:themeColor="text1"/>
          <w:sz w:val="16"/>
          <w:szCs w:val="16"/>
        </w:rPr>
      </w:pPr>
      <w:r w:rsidRPr="00F90EAE">
        <w:rPr>
          <w:color w:val="000000" w:themeColor="text1"/>
          <w:sz w:val="16"/>
          <w:szCs w:val="16"/>
        </w:rPr>
        <w:t>Сотни молодых бригад города подхватили замечательную инициативу московской комсомолки Кати Барышниковой. Они сумели высвободить для нашей промышленности более 1500 человек. В результате объединения 80 молодежных бригад, участков и цехов по методу Егора Агаркова высвобождено около 1000 квалифицированных рабочих и мастеров.</w:t>
      </w:r>
    </w:p>
    <w:p w14:paraId="5388F963" w14:textId="77777777" w:rsidR="00BA6D09" w:rsidRPr="00F90EAE" w:rsidRDefault="00BA6D09" w:rsidP="00F90EAE">
      <w:pPr>
        <w:jc w:val="both"/>
        <w:rPr>
          <w:color w:val="000000" w:themeColor="text1"/>
          <w:sz w:val="16"/>
          <w:szCs w:val="16"/>
        </w:rPr>
      </w:pPr>
      <w:r w:rsidRPr="00F90EAE">
        <w:rPr>
          <w:color w:val="000000" w:themeColor="text1"/>
          <w:sz w:val="16"/>
          <w:szCs w:val="16"/>
        </w:rPr>
        <w:t>Трудовые подвиги гвардейцев тыла высоко оценены Советским правительством. Только в 1944 году около 500 стахановцев, инженеров и техников предприятий Казани за успешное выполнение государственных заданий награждены орденами и медалями Советского Союза. В 1945 году награждена новая группа работников промышленности. Труд стахановцев приравнен по своему значению к фронтовой работе и значительное количество гвардейцев трудового фронта награждено боевыми орденами и медалями. […]</w:t>
      </w:r>
    </w:p>
    <w:p w14:paraId="48D43450" w14:textId="77777777" w:rsidR="00BA6D09" w:rsidRPr="00F90EAE" w:rsidRDefault="00BA6D09" w:rsidP="00F90EAE">
      <w:pPr>
        <w:jc w:val="both"/>
        <w:rPr>
          <w:color w:val="000000" w:themeColor="text1"/>
          <w:sz w:val="16"/>
          <w:szCs w:val="16"/>
        </w:rPr>
      </w:pPr>
      <w:r w:rsidRPr="00F90EAE">
        <w:rPr>
          <w:color w:val="000000" w:themeColor="text1"/>
          <w:sz w:val="16"/>
          <w:szCs w:val="16"/>
        </w:rPr>
        <w:t>Секретарь ГК ВКП (б) А.Барышников</w:t>
      </w:r>
    </w:p>
    <w:p w14:paraId="0FE7C9BE" w14:textId="77777777" w:rsidR="00BA6D09" w:rsidRPr="00F90EAE" w:rsidRDefault="00BA6D09" w:rsidP="00F90EAE">
      <w:pPr>
        <w:jc w:val="both"/>
        <w:rPr>
          <w:color w:val="000000" w:themeColor="text1"/>
          <w:sz w:val="16"/>
          <w:szCs w:val="16"/>
        </w:rPr>
      </w:pPr>
      <w:r w:rsidRPr="00F90EAE">
        <w:rPr>
          <w:color w:val="000000" w:themeColor="text1"/>
          <w:sz w:val="16"/>
          <w:szCs w:val="16"/>
        </w:rPr>
        <w:t>Красная Татария. – 1945. – 24 июня. - № 123 (15494).</w:t>
      </w:r>
    </w:p>
    <w:p w14:paraId="4A3327FC" w14:textId="77777777" w:rsidR="00BA6D09" w:rsidRPr="00F90EAE" w:rsidRDefault="00BA6D09" w:rsidP="00F90EAE">
      <w:pPr>
        <w:jc w:val="both"/>
        <w:rPr>
          <w:color w:val="000000" w:themeColor="text1"/>
          <w:sz w:val="16"/>
          <w:szCs w:val="16"/>
        </w:rPr>
      </w:pPr>
    </w:p>
    <w:p w14:paraId="2791BD9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9183 [О передаче ж.-д. участка Саратов - Камышин в состав Рязано-Уральской ж.д.] (7352, 9).</w:t>
      </w:r>
    </w:p>
    <w:p w14:paraId="1D236243"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17D69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9184. О поставке топочного мазута заводу "Амурсталь" НКЧМ. РГАНИР, Фонд ГКО, д. 430, лл. 10 (11012).</w:t>
      </w:r>
    </w:p>
    <w:p w14:paraId="733F6055" w14:textId="77777777" w:rsidR="006103B3" w:rsidRPr="00F90EAE" w:rsidRDefault="006103B3" w:rsidP="00F90EAE">
      <w:pPr>
        <w:autoSpaceDE w:val="0"/>
        <w:autoSpaceDN w:val="0"/>
        <w:adjustRightInd w:val="0"/>
        <w:jc w:val="both"/>
        <w:rPr>
          <w:color w:val="000000" w:themeColor="text1"/>
          <w:sz w:val="16"/>
          <w:szCs w:val="16"/>
        </w:rPr>
      </w:pPr>
    </w:p>
    <w:p w14:paraId="615F976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9185. О мерах по обеспечению электроэнергией Кузнецкого металлургического комбината НКЧМ на период ремонта турбины Кемеровской ГРЭС. РГАНИР, Фонд ГКО, д. 430, лл. 11 (11012).</w:t>
      </w:r>
    </w:p>
    <w:p w14:paraId="2B3F8A35" w14:textId="77777777" w:rsidR="006103B3" w:rsidRPr="00F90EAE" w:rsidRDefault="006103B3" w:rsidP="00F90EAE">
      <w:pPr>
        <w:autoSpaceDE w:val="0"/>
        <w:autoSpaceDN w:val="0"/>
        <w:adjustRightInd w:val="0"/>
        <w:jc w:val="both"/>
        <w:rPr>
          <w:color w:val="000000" w:themeColor="text1"/>
          <w:sz w:val="16"/>
          <w:szCs w:val="16"/>
        </w:rPr>
      </w:pPr>
    </w:p>
    <w:p w14:paraId="3FA5D38B"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9186 [О производстве электродвигателей для нефтяной промышленности в Бакинской ИТК.] (7352, 12).</w:t>
      </w:r>
    </w:p>
    <w:p w14:paraId="57B14F7D"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84360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9187. О мерах по обеспечению цементом заводов НКБ для установки импортного оборудования. РГАНИР, Фонд ГКО, д. 430, лл. 13 (11012).</w:t>
      </w:r>
    </w:p>
    <w:p w14:paraId="5BC6C7ED" w14:textId="77777777" w:rsidR="006103B3" w:rsidRPr="00F90EAE" w:rsidRDefault="006103B3" w:rsidP="00F90EAE">
      <w:pPr>
        <w:autoSpaceDE w:val="0"/>
        <w:autoSpaceDN w:val="0"/>
        <w:adjustRightInd w:val="0"/>
        <w:jc w:val="both"/>
        <w:rPr>
          <w:color w:val="000000" w:themeColor="text1"/>
          <w:sz w:val="16"/>
          <w:szCs w:val="16"/>
        </w:rPr>
      </w:pPr>
    </w:p>
    <w:p w14:paraId="73F0A676"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9188 [О мерах по организации производства пороховой целлюлозы по техническим условиям мирного времени на Соликамском и Архангельском целлюлозно-бумажных комбинатах.] (7352, 14).</w:t>
      </w:r>
    </w:p>
    <w:p w14:paraId="722EF52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E7EBAF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Распоряжение ГКО № 9190. О мерах по обеспечению поставки кирпича строительству лаборатории № 2 АН СССР. РГАНИР, Фонд ГКО, д. 430, лл. 19-20, 21-23 (11012).</w:t>
      </w:r>
    </w:p>
    <w:p w14:paraId="2ED8918B" w14:textId="77777777" w:rsidR="006103B3" w:rsidRPr="00F90EAE" w:rsidRDefault="006103B3" w:rsidP="00F90EAE">
      <w:pPr>
        <w:autoSpaceDE w:val="0"/>
        <w:autoSpaceDN w:val="0"/>
        <w:adjustRightInd w:val="0"/>
        <w:jc w:val="both"/>
        <w:rPr>
          <w:color w:val="000000" w:themeColor="text1"/>
          <w:sz w:val="16"/>
          <w:szCs w:val="16"/>
        </w:rPr>
      </w:pPr>
    </w:p>
    <w:p w14:paraId="455451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вышло Постановление ГКО № 9191 О ремонте взрывоопасных пороховых и снаряжательных заводов Народного комиссариата боеприпасов. РГАНИР, Фонд ГКО, д. 430, лл. 24-26, 27-30 (11012).</w:t>
      </w:r>
    </w:p>
    <w:p w14:paraId="4EBCB55F" w14:textId="77777777" w:rsidR="006103B3" w:rsidRPr="00F90EAE" w:rsidRDefault="006103B3" w:rsidP="00F90EAE">
      <w:pPr>
        <w:autoSpaceDE w:val="0"/>
        <w:autoSpaceDN w:val="0"/>
        <w:adjustRightInd w:val="0"/>
        <w:jc w:val="both"/>
        <w:rPr>
          <w:color w:val="000000" w:themeColor="text1"/>
          <w:sz w:val="16"/>
          <w:szCs w:val="16"/>
        </w:rPr>
      </w:pPr>
    </w:p>
    <w:p w14:paraId="3886EA2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2AD1E8E8" w14:textId="77777777" w:rsidR="006103B3" w:rsidRPr="00F90EAE" w:rsidRDefault="006103B3" w:rsidP="00F90EAE">
      <w:pPr>
        <w:autoSpaceDE w:val="0"/>
        <w:autoSpaceDN w:val="0"/>
        <w:adjustRightInd w:val="0"/>
        <w:jc w:val="both"/>
        <w:rPr>
          <w:iCs/>
          <w:color w:val="000000" w:themeColor="text1"/>
          <w:sz w:val="16"/>
          <w:szCs w:val="16"/>
        </w:rPr>
      </w:pPr>
    </w:p>
    <w:p w14:paraId="51E0E7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вышла директива командующего ВВС по переброске авиации в Японию (340,221).</w:t>
      </w:r>
    </w:p>
    <w:p w14:paraId="3C0E6341" w14:textId="77777777" w:rsidR="006103B3" w:rsidRPr="00F90EAE" w:rsidRDefault="006103B3" w:rsidP="00F90EAE">
      <w:pPr>
        <w:autoSpaceDE w:val="0"/>
        <w:autoSpaceDN w:val="0"/>
        <w:adjustRightInd w:val="0"/>
        <w:jc w:val="both"/>
        <w:rPr>
          <w:color w:val="000000" w:themeColor="text1"/>
          <w:sz w:val="16"/>
          <w:szCs w:val="16"/>
        </w:rPr>
      </w:pPr>
    </w:p>
    <w:p w14:paraId="0F027EC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DC704D7" w14:textId="77777777" w:rsidR="006103B3" w:rsidRPr="00F90EAE" w:rsidRDefault="006103B3" w:rsidP="00F90EAE">
      <w:pPr>
        <w:autoSpaceDE w:val="0"/>
        <w:autoSpaceDN w:val="0"/>
        <w:adjustRightInd w:val="0"/>
        <w:jc w:val="both"/>
        <w:rPr>
          <w:iCs/>
          <w:color w:val="000000" w:themeColor="text1"/>
          <w:sz w:val="16"/>
          <w:szCs w:val="16"/>
        </w:rPr>
      </w:pPr>
    </w:p>
    <w:p w14:paraId="071196C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июня 1945 в Москве на Красной площади состоялся Парад Победы (4962).</w:t>
      </w:r>
    </w:p>
    <w:p w14:paraId="48D3297D"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7EB73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в Москве был Парад Победы (1032,5). Из-за нелетной погоды воздушный парад, который должны были открыть 9 Як-3, сначала отложили, а затем отменили (1100,12).</w:t>
      </w:r>
    </w:p>
    <w:p w14:paraId="4EB266F3" w14:textId="77777777" w:rsidR="006103B3" w:rsidRPr="00F90EAE" w:rsidRDefault="006103B3" w:rsidP="00F90EAE">
      <w:pPr>
        <w:autoSpaceDE w:val="0"/>
        <w:autoSpaceDN w:val="0"/>
        <w:adjustRightInd w:val="0"/>
        <w:jc w:val="both"/>
        <w:rPr>
          <w:color w:val="000000" w:themeColor="text1"/>
          <w:sz w:val="16"/>
          <w:szCs w:val="16"/>
        </w:rPr>
      </w:pPr>
    </w:p>
    <w:p w14:paraId="2D2451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24 июня 1945 была назначена еще одна дата празднования победы в войне, которая должна была сопровождаться грандиозным воздушным парадом. В отношении этого воздушного парада Стерлигов записал следующее:</w:t>
      </w:r>
    </w:p>
    <w:p w14:paraId="654F7B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"...Тридцатого мая началась новая подготовка воздушного парада, проведение которого должно было состояться в день празднования Победы, назначенного на 24 июня. Командующим воздушным парадом был назначен главный маршал авиации А.А.Новиков, я, по традиции, - главным штурманом.</w:t>
      </w:r>
    </w:p>
    <w:p w14:paraId="35549F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этом параде должны были принять участие по одной дивизии каждого рода авиации, из числа наиболее прославившихся в войне, в том числе, и дивизия транспортных самолетов ГВФ, осуществлявшая связь с партизанами. Флагманский самолет Пе-8 должен был идти в сопровождении двух звеньев истребителей. Всего в параде должно было участвовать около 800 самолетов. Снова начались тренировки и репетиции парада.</w:t>
      </w:r>
    </w:p>
    <w:p w14:paraId="0A7CD3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Двадцать первого июня главный маршал лично провел на флагманском Пе-8 генеральную репетицию парада. После разбора репетиции А.А.Новиков отозвал меня в сторону и тихо сказал:</w:t>
      </w:r>
    </w:p>
    <w:p w14:paraId="71DC2A2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Борис Васильевич, для нас с Вами война еще не кончилась, собирайтесь на Дальний Восток. Вылетаем 29 июня. Но никому ни слова, даже жене.</w:t>
      </w:r>
    </w:p>
    <w:p w14:paraId="264922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Двадцать четвертого июня в день Парада Победы с утра шел дождь, и надежд на просветление метеорология не давала. Воздушный парад был отменен и мы, в новой парадной форме цвета "морской волны", оказались на трибунах у Мавзолея среди других общевойсковых генералов и наблюдали парад наземных войск с известной церемонией бросания фашистских знамен перед Мавзолеем.</w:t>
      </w:r>
    </w:p>
    <w:p w14:paraId="5EC92B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...Двадцать девятого июня, вместе с главным маршалом авиации Новиковым, мы вылетели на Дальний Восток. Накануне отлета мы узнали, что флагманский корабль Пе-8, на котором мы должны были лететь на Параде Победы, потерпел катастрофу при перегонке его с Центрального аэродрома на постоянный аэродром базирования под Москвой. Причина катастрофы установлена не была. Она произошла на 20 минуте полета. Если бы парад состоялся - это произошло бы на главной петле сбора. Да, вот она судьба авиаторов. Войны уже нет, а смерть прошла рядом!".</w:t>
      </w:r>
    </w:p>
    <w:p w14:paraId="66989D9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сожалению, установить достоверно факт катастрофы хотя бы одного из Пе-8 во второй половине июня 1945 г. на данный момент не удалось. Возможно, Борис Васильевич Стерлигов при подготовке своих воспоминаний несколько сместил даты и объединил в своем повествовании разные события: парад Победы на Красной площади 24 июня 1945 г. и воздушный парад, назначенный на 19 августа 1945 г. А известная история с разбившимся самолетом имела отношение к сентябрьским событиям того же года... (12025).</w:t>
      </w:r>
    </w:p>
    <w:p w14:paraId="07E24369" w14:textId="77777777" w:rsidR="006103B3" w:rsidRPr="00F90EAE" w:rsidRDefault="006103B3" w:rsidP="00F90EAE">
      <w:pPr>
        <w:autoSpaceDE w:val="0"/>
        <w:autoSpaceDN w:val="0"/>
        <w:adjustRightInd w:val="0"/>
        <w:jc w:val="both"/>
        <w:rPr>
          <w:color w:val="000000" w:themeColor="text1"/>
          <w:sz w:val="16"/>
          <w:szCs w:val="16"/>
        </w:rPr>
      </w:pPr>
    </w:p>
    <w:p w14:paraId="0E40C44D" w14:textId="77777777" w:rsidR="00BA6D09" w:rsidRPr="00F90EAE" w:rsidRDefault="00BA6D09" w:rsidP="00F90EAE">
      <w:pPr>
        <w:jc w:val="both"/>
        <w:rPr>
          <w:bCs/>
          <w:color w:val="000000" w:themeColor="text1"/>
          <w:sz w:val="16"/>
          <w:szCs w:val="16"/>
        </w:rPr>
      </w:pPr>
      <w:r w:rsidRPr="00F90EAE">
        <w:rPr>
          <w:bCs/>
          <w:color w:val="000000" w:themeColor="text1"/>
          <w:sz w:val="16"/>
          <w:szCs w:val="16"/>
        </w:rPr>
        <w:t>24 июня</w:t>
      </w:r>
      <w:r w:rsidRPr="00F90EAE">
        <w:rPr>
          <w:color w:val="000000" w:themeColor="text1"/>
          <w:sz w:val="16"/>
          <w:szCs w:val="16"/>
        </w:rPr>
        <w:t xml:space="preserve"> в 1945 году в Москве на Красной площади состоялся исторический Парад Победы воинов-победителей в Великой Отечественной войне. 22 июня в газетах был опубликован приказ Верховного Главнокомандующего: «В ознаменование Победы над Германией в Великой Отечественной войне назначаю 24 июня 1945 года в Москве на Красной площади парад войск действующей армии, Военно-Морского Флота и Московского гарнизона - Парад Победы… Парад Победы принять моему заместителю Маршалу Советского Союза Г.К.Жукову, командовать парадом Маршалу Советского Союза К.К.Рокоссовскому. И.Сталин».</w:t>
      </w:r>
    </w:p>
    <w:p w14:paraId="65B77771" w14:textId="77777777" w:rsidR="00BA6D09" w:rsidRPr="00F90EAE" w:rsidRDefault="00BA6D09" w:rsidP="00F90EAE">
      <w:pPr>
        <w:jc w:val="both"/>
        <w:rPr>
          <w:bCs/>
          <w:color w:val="000000" w:themeColor="text1"/>
          <w:sz w:val="16"/>
          <w:szCs w:val="16"/>
        </w:rPr>
      </w:pPr>
      <w:r w:rsidRPr="00F90EAE">
        <w:rPr>
          <w:color w:val="000000" w:themeColor="text1"/>
          <w:sz w:val="16"/>
          <w:szCs w:val="16"/>
        </w:rPr>
        <w:t>В конце мая и начале июня шла усиленная подготовка к параду. В десятых числах июня весь состав участников уже был одет в новую парадную форму и приступил к предпраздничной тренировке. Для участия в параде были сформированы и подготовлены сводные полки от каждого действовавшего в конце войны фронта. Кроме того, в Параде Победы участвовали военные академии, военные училища и части Московского гарнизона. В состав полков включались Герои Советского Союза, кавалеры орденов Славы, прославленные снайперы и наиболее отличившиеся орденоносцы.</w:t>
      </w:r>
    </w:p>
    <w:p w14:paraId="4A6E101A" w14:textId="77777777" w:rsidR="00BA6D09" w:rsidRPr="00F90EAE" w:rsidRDefault="00BA6D09" w:rsidP="00F90EAE">
      <w:pPr>
        <w:jc w:val="both"/>
        <w:rPr>
          <w:bCs/>
          <w:color w:val="000000" w:themeColor="text1"/>
          <w:sz w:val="16"/>
          <w:szCs w:val="16"/>
        </w:rPr>
      </w:pPr>
      <w:r w:rsidRPr="00F90EAE">
        <w:rPr>
          <w:color w:val="000000" w:themeColor="text1"/>
          <w:sz w:val="16"/>
          <w:szCs w:val="16"/>
        </w:rPr>
        <w:t>В каждом полку были представлены пехота, артиллеристы, танкисты и летчики, кавалеристы, саперы и связисты. В состав полков входили специально подготовленные знаменосцы с ассистентами, которые должны были нести по 36 боевых знамен наиболее отличившихся в боях соединений и частей. Всего каждый полк насчитывал свыше одной тысячи человек, сводные фронтовые полки должны были возглавляться командующими фронтами. Решено было привезти из Берлина Красное знамя, которое было водружено над рейхстагом, а также боевые знамена немецко-фашистских войск, захваченные в сражениях советскими войсками.</w:t>
      </w:r>
    </w:p>
    <w:p w14:paraId="7B6C9E6B" w14:textId="77777777" w:rsidR="00BA6D09" w:rsidRPr="00F90EAE" w:rsidRDefault="00BA6D09" w:rsidP="00F90EAE">
      <w:pPr>
        <w:jc w:val="both"/>
        <w:rPr>
          <w:bCs/>
          <w:color w:val="000000" w:themeColor="text1"/>
          <w:sz w:val="16"/>
          <w:szCs w:val="16"/>
        </w:rPr>
      </w:pPr>
      <w:r w:rsidRPr="00F90EAE">
        <w:rPr>
          <w:color w:val="000000" w:themeColor="text1"/>
          <w:sz w:val="16"/>
          <w:szCs w:val="16"/>
        </w:rPr>
        <w:t>Построение парада было определено в порядке общей линии действующих фронтов, справа налево. Для каждого сводного полка были специально выбраны военные марши, которые были особенно ими любимы. В короткий срок все сводные полки были блестяще подготовлены и производили внушительное впечатление. 24 июня 1945 года ровно в 10 часов утра Маршал Советского Союза Георгий Жуков. выехал на белом жеребце по кличке Цепкий из Спасских ворот на Красную площадь. Прозвучала команда: «Парад, смирно!», и по площади прокатился гул аплодисментов. После рапорта командующего парадом Константина Рокоссовского Георгию Жукову и объезда ими войск прозвучал сигнал «Слушайте все!», и сводный военный оркестр в составе 1400 человек исполнил гимн «Славься, русский народ!» Михаила Глинки.</w:t>
      </w:r>
    </w:p>
    <w:p w14:paraId="11065B12" w14:textId="77777777" w:rsidR="00BA6D09" w:rsidRPr="00F90EAE" w:rsidRDefault="00BA6D09" w:rsidP="00F90EAE">
      <w:pPr>
        <w:jc w:val="both"/>
        <w:rPr>
          <w:bCs/>
          <w:color w:val="000000" w:themeColor="text1"/>
          <w:sz w:val="16"/>
          <w:szCs w:val="16"/>
        </w:rPr>
      </w:pPr>
      <w:r w:rsidRPr="00F90EAE">
        <w:rPr>
          <w:color w:val="000000" w:themeColor="text1"/>
          <w:sz w:val="16"/>
          <w:szCs w:val="16"/>
        </w:rPr>
        <w:t>Георгий Жуков с трибуны мавзолея произнес приветственную речь, был исполнен гимн Советского Союза, и начался торжественный марш войск.</w:t>
      </w:r>
    </w:p>
    <w:p w14:paraId="3BE0801B" w14:textId="77777777" w:rsidR="00BA6D09" w:rsidRPr="00F90EAE" w:rsidRDefault="00BA6D09" w:rsidP="00F90EAE">
      <w:pPr>
        <w:jc w:val="both"/>
        <w:rPr>
          <w:color w:val="000000" w:themeColor="text1"/>
          <w:sz w:val="16"/>
          <w:szCs w:val="16"/>
        </w:rPr>
      </w:pPr>
      <w:r w:rsidRPr="00F90EAE">
        <w:rPr>
          <w:color w:val="000000" w:themeColor="text1"/>
          <w:sz w:val="16"/>
          <w:szCs w:val="16"/>
        </w:rPr>
        <w:t>Вслед за полками фронтов и ВМФ на Красную площадь вступила сводная колонна советских воинов, которые несли опущенные до земли 200 знамен немецко-фашистских войск, разгромленных на полях сражений. Эти знамена под барабанный бой были брошены к подножию мавзолея. Затем торжественным маршем прошли сводный полк Наркомата обороны, слушатели военных академий, курсанты военных и воспитанники суворовских училищ. После этого на площадь вступила сводная кавалерийская бригада, а за ней - военная техника различных видов войск (14932).</w:t>
      </w:r>
    </w:p>
    <w:p w14:paraId="2E9F58FC" w14:textId="77777777" w:rsidR="00BA6D09" w:rsidRPr="00F90EAE" w:rsidRDefault="00BA6D09" w:rsidP="00F90EAE">
      <w:pPr>
        <w:jc w:val="both"/>
        <w:rPr>
          <w:color w:val="000000" w:themeColor="text1"/>
          <w:sz w:val="16"/>
          <w:szCs w:val="16"/>
        </w:rPr>
      </w:pPr>
    </w:p>
    <w:p w14:paraId="322598D5" w14:textId="77777777" w:rsidR="00BA6D09" w:rsidRPr="00F90EAE" w:rsidRDefault="00BA6D09" w:rsidP="00F90EAE">
      <w:pPr>
        <w:jc w:val="both"/>
        <w:rPr>
          <w:color w:val="000000" w:themeColor="text1"/>
          <w:sz w:val="16"/>
          <w:szCs w:val="16"/>
        </w:rPr>
      </w:pPr>
      <w:r w:rsidRPr="00F90EAE">
        <w:rPr>
          <w:bCs/>
          <w:color w:val="000000" w:themeColor="text1"/>
          <w:sz w:val="16"/>
          <w:szCs w:val="16"/>
        </w:rPr>
        <w:t>24 июня</w:t>
      </w:r>
      <w:r w:rsidRPr="00F90EAE">
        <w:rPr>
          <w:color w:val="000000" w:themeColor="text1"/>
          <w:sz w:val="16"/>
          <w:szCs w:val="16"/>
        </w:rPr>
        <w:t xml:space="preserve"> в 1945 году все радиостанции транслировали репортаж с Красной площади Москвы о Параде Победы над гитлеровской Германией. Радиорепортаж вели писатели А.Сурков, Б.Полевой, Л.Кассиль, В.Ардаматский, дикторы Всесоюзного радио Ю.Левитан и О.Высоцкая. Одновременно Московское радио вело рассказ о параде для зарубежных слушателей на иностранных языках (14932).</w:t>
      </w:r>
    </w:p>
    <w:p w14:paraId="676502B0" w14:textId="77777777" w:rsidR="00BA6D09" w:rsidRPr="00F90EAE" w:rsidRDefault="00BA6D09" w:rsidP="00F90EAE">
      <w:pPr>
        <w:jc w:val="both"/>
        <w:rPr>
          <w:color w:val="000000" w:themeColor="text1"/>
          <w:sz w:val="16"/>
          <w:szCs w:val="16"/>
        </w:rPr>
      </w:pPr>
    </w:p>
    <w:p w14:paraId="2924F594" w14:textId="77777777" w:rsidR="00EC27E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9EDE7DD" w14:textId="77777777" w:rsidR="00EC27E3" w:rsidRPr="00F90EAE" w:rsidRDefault="00EC27E3" w:rsidP="00F90EAE">
      <w:pPr>
        <w:autoSpaceDE w:val="0"/>
        <w:autoSpaceDN w:val="0"/>
        <w:adjustRightInd w:val="0"/>
        <w:jc w:val="both"/>
        <w:rPr>
          <w:iCs/>
          <w:color w:val="000000" w:themeColor="text1"/>
          <w:sz w:val="16"/>
          <w:szCs w:val="16"/>
        </w:rPr>
      </w:pPr>
    </w:p>
    <w:p w14:paraId="06E4CC80" w14:textId="77777777" w:rsidR="00EC27E3" w:rsidRPr="00F90EAE" w:rsidRDefault="00EC27E3" w:rsidP="00F90EAE">
      <w:pPr>
        <w:jc w:val="both"/>
        <w:rPr>
          <w:color w:val="000000" w:themeColor="text1"/>
          <w:sz w:val="16"/>
          <w:szCs w:val="16"/>
        </w:rPr>
      </w:pPr>
      <w:r w:rsidRPr="00F90EAE">
        <w:rPr>
          <w:bCs/>
          <w:color w:val="000000" w:themeColor="text1"/>
          <w:sz w:val="16"/>
          <w:szCs w:val="16"/>
        </w:rPr>
        <w:t>24 июня</w:t>
      </w:r>
      <w:r w:rsidRPr="00F90EAE">
        <w:rPr>
          <w:color w:val="000000" w:themeColor="text1"/>
          <w:sz w:val="16"/>
          <w:szCs w:val="16"/>
        </w:rPr>
        <w:t xml:space="preserve"> в 1945 году бывший премьер-министр Японии К.Хирота встретился с послом СССР в Японии Я.А.Маликом и заявил ему, что Япония предлагает СССР некоторые стратегические материалы в обмен на поставки советской нефти (14932).</w:t>
      </w:r>
    </w:p>
    <w:p w14:paraId="1285FB5B" w14:textId="77777777" w:rsidR="00EC27E3" w:rsidRPr="00F90EAE" w:rsidRDefault="00EC27E3" w:rsidP="00F90EAE">
      <w:pPr>
        <w:jc w:val="both"/>
        <w:rPr>
          <w:color w:val="000000" w:themeColor="text1"/>
          <w:sz w:val="16"/>
          <w:szCs w:val="16"/>
        </w:rPr>
      </w:pPr>
    </w:p>
    <w:p w14:paraId="3908960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19700DFE" w14:textId="77777777" w:rsidR="006103B3" w:rsidRPr="00F90EAE" w:rsidRDefault="006103B3" w:rsidP="00F90EAE">
      <w:pPr>
        <w:autoSpaceDE w:val="0"/>
        <w:autoSpaceDN w:val="0"/>
        <w:adjustRightInd w:val="0"/>
        <w:jc w:val="both"/>
        <w:rPr>
          <w:iCs/>
          <w:color w:val="000000" w:themeColor="text1"/>
          <w:sz w:val="16"/>
          <w:szCs w:val="16"/>
        </w:rPr>
      </w:pPr>
    </w:p>
    <w:p w14:paraId="7AD58A62" w14:textId="77777777" w:rsidR="00EC27E3" w:rsidRPr="00F90EAE" w:rsidRDefault="00EC27E3" w:rsidP="00F90EAE">
      <w:pPr>
        <w:jc w:val="both"/>
        <w:rPr>
          <w:color w:val="000000" w:themeColor="text1"/>
          <w:sz w:val="16"/>
          <w:szCs w:val="16"/>
        </w:rPr>
      </w:pPr>
      <w:r w:rsidRPr="00F90EAE">
        <w:rPr>
          <w:bCs/>
          <w:color w:val="000000" w:themeColor="text1"/>
          <w:sz w:val="16"/>
          <w:szCs w:val="16"/>
        </w:rPr>
        <w:t>24 июня</w:t>
      </w:r>
      <w:r w:rsidRPr="00F90EAE">
        <w:rPr>
          <w:color w:val="000000" w:themeColor="text1"/>
          <w:sz w:val="16"/>
          <w:szCs w:val="16"/>
        </w:rPr>
        <w:t xml:space="preserve"> в 1945 году модифицированный самолет </w:t>
      </w:r>
      <w:hyperlink r:id="rId154" w:tgtFrame="_blank" w:history="1">
        <w:r w:rsidRPr="00F90EAE">
          <w:rPr>
            <w:color w:val="000000" w:themeColor="text1"/>
            <w:sz w:val="16"/>
            <w:szCs w:val="16"/>
          </w:rPr>
          <w:t xml:space="preserve">«Supermarine Spiteful» </w:t>
        </w:r>
      </w:hyperlink>
      <w:r w:rsidRPr="00F90EAE">
        <w:rPr>
          <w:color w:val="000000" w:themeColor="text1"/>
          <w:sz w:val="16"/>
          <w:szCs w:val="16"/>
        </w:rPr>
        <w:t>«NN664» с новой хвостовой чвстью был облетан Куиллом. Площадь киля и руля направления увеличилась на 28 процентов, стабилизатора и рулей высоты - на 27 процентов, при этом размах стабилизатора увеличился на 28 дюймов (71 см) по сравнению с таковыми на «Spitfire 21». В результате этих изменений улучшилась, что и не удивительно, путевая устойчивость и управляемость по горизонтали на скоростях, близких к срыву (14932).</w:t>
      </w:r>
    </w:p>
    <w:p w14:paraId="6D2ACBE2" w14:textId="77777777" w:rsidR="00EC27E3" w:rsidRPr="00F90EAE" w:rsidRDefault="00EC27E3" w:rsidP="00F90EAE">
      <w:pPr>
        <w:jc w:val="both"/>
        <w:rPr>
          <w:color w:val="000000" w:themeColor="text1"/>
          <w:sz w:val="16"/>
          <w:szCs w:val="16"/>
        </w:rPr>
      </w:pPr>
    </w:p>
    <w:p w14:paraId="1DDC87B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24 июня 1945 Британские бомбардировщики разбомбили знаменитый мост через реку Квай (4963 ).</w:t>
      </w:r>
    </w:p>
    <w:p w14:paraId="304FB05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C2C647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Авиапромышленность:</w:t>
      </w:r>
    </w:p>
    <w:p w14:paraId="4E176D9E" w14:textId="77777777" w:rsidR="006103B3" w:rsidRPr="00F90EAE" w:rsidRDefault="006103B3" w:rsidP="00F90EAE">
      <w:pPr>
        <w:autoSpaceDE w:val="0"/>
        <w:autoSpaceDN w:val="0"/>
        <w:adjustRightInd w:val="0"/>
        <w:jc w:val="both"/>
        <w:rPr>
          <w:iCs/>
          <w:color w:val="000000" w:themeColor="text1"/>
          <w:sz w:val="16"/>
          <w:szCs w:val="16"/>
        </w:rPr>
      </w:pPr>
    </w:p>
    <w:p w14:paraId="73D52362" w14:textId="77777777" w:rsidR="00EC27E3" w:rsidRPr="00F90EAE" w:rsidRDefault="00EC27E3" w:rsidP="00F90EAE">
      <w:pPr>
        <w:jc w:val="both"/>
        <w:rPr>
          <w:color w:val="000000" w:themeColor="text1"/>
          <w:sz w:val="16"/>
          <w:szCs w:val="16"/>
        </w:rPr>
      </w:pPr>
      <w:r w:rsidRPr="00F90EAE">
        <w:rPr>
          <w:color w:val="000000" w:themeColor="text1"/>
          <w:sz w:val="16"/>
          <w:szCs w:val="16"/>
        </w:rPr>
        <w:t>25 июня 1945 возобновили полеты на высотном Ла-7. Задание — определение максимальных скоростей на высотах от 8000 до 9000 м. Из-за выливания бензина из горловины правого бензобака (оказалась пробита прокладка под пробкой бака), в пер</w:t>
      </w:r>
      <w:r w:rsidRPr="00F90EAE">
        <w:rPr>
          <w:color w:val="000000" w:themeColor="text1"/>
          <w:sz w:val="16"/>
          <w:szCs w:val="16"/>
        </w:rPr>
        <w:softHyphen/>
        <w:t>вом полёте задание выполнить не удалось. В повторном полёте, после устранения это</w:t>
      </w:r>
      <w:r w:rsidRPr="00F90EAE">
        <w:rPr>
          <w:color w:val="000000" w:themeColor="text1"/>
          <w:sz w:val="16"/>
          <w:szCs w:val="16"/>
        </w:rPr>
        <w:softHyphen/>
        <w:t>го дефекта, на высоте 9000 м отказал кислородный прибор, однако площадку на высоте 9000 м все же сняли. На земле в турбокомпрессоре обнаружили поломку одной лопат</w:t>
      </w:r>
      <w:r w:rsidRPr="00F90EAE">
        <w:rPr>
          <w:color w:val="000000" w:themeColor="text1"/>
          <w:sz w:val="16"/>
          <w:szCs w:val="16"/>
        </w:rPr>
        <w:softHyphen/>
        <w:t>ки. Совместными усилиями с представителями ЦИАМ для устранения обнаруженного дефекта заменили ротор турбокомпрессора. 4 июля 1945 г. полёт Ла-7 с АШ-82ФН и двумя ТК-3 на определение максимальных скоростей на высотах 8000-9000 окончился катастрофой. Лётчик-испытатель Новиков погиб. Для выяснения причин катастрофы зам. наркома А.С. Яковлев своим приказом назначил комиссию под председательством Око- рокова. Комиссия, по итогам работы, высказала предположение, что причиной катаст</w:t>
      </w:r>
      <w:r w:rsidRPr="00F90EAE">
        <w:rPr>
          <w:color w:val="000000" w:themeColor="text1"/>
          <w:sz w:val="16"/>
          <w:szCs w:val="16"/>
        </w:rPr>
        <w:softHyphen/>
        <w:t>рофы послужила потеря лётчиком сознания на высоте.</w:t>
      </w:r>
    </w:p>
    <w:p w14:paraId="52BB5066" w14:textId="77777777" w:rsidR="00EC27E3" w:rsidRPr="00F90EAE" w:rsidRDefault="00EC27E3" w:rsidP="00F90EAE">
      <w:pPr>
        <w:jc w:val="both"/>
        <w:rPr>
          <w:color w:val="000000" w:themeColor="text1"/>
          <w:sz w:val="16"/>
          <w:szCs w:val="16"/>
        </w:rPr>
      </w:pPr>
      <w:r w:rsidRPr="00F90EAE">
        <w:rPr>
          <w:color w:val="000000" w:themeColor="text1"/>
          <w:sz w:val="16"/>
          <w:szCs w:val="16"/>
        </w:rPr>
        <w:t>Завод № 81 к концу 1945 г. завершил постройку ещё одного Ла-7 с АШ-82ФН и 2ТК-3, но к тому моменту военные уже утратили интерес к поршневым высотным ис</w:t>
      </w:r>
      <w:r w:rsidRPr="00F90EAE">
        <w:rPr>
          <w:color w:val="000000" w:themeColor="text1"/>
          <w:sz w:val="16"/>
          <w:szCs w:val="16"/>
        </w:rPr>
        <w:softHyphen/>
        <w:t>требителям. На этом закончилось развитие опытных самолётов С.А. Лавочкина с ТК (15830).</w:t>
      </w:r>
    </w:p>
    <w:p w14:paraId="7708452C" w14:textId="77777777" w:rsidR="00EC27E3" w:rsidRPr="00F90EAE" w:rsidRDefault="00EC27E3" w:rsidP="00F90EAE">
      <w:pPr>
        <w:jc w:val="both"/>
        <w:rPr>
          <w:color w:val="000000" w:themeColor="text1"/>
          <w:sz w:val="16"/>
          <w:szCs w:val="16"/>
        </w:rPr>
      </w:pPr>
    </w:p>
    <w:p w14:paraId="1352AD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 июня 1945 года нарком лесной промышленности М. Салтыков писал письмо зам. председателя СНК Молотову В.М.:</w:t>
      </w:r>
    </w:p>
    <w:p w14:paraId="65CF81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Для военных надобностей, в соответствии с постановлениями Правительства, НК лес передал другим наркоматам ряд созданных им предприятий фабрично-заводской промышленности.</w:t>
      </w:r>
    </w:p>
    <w:p w14:paraId="649A53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Только НКАП было передано 19 деревообделочных предприятий, в том числе 5 московских, Саратовская, Свердловская, Куйбышевская, Новосибирская мебельные фабрики, Шумерлинский комбинат и 8 номерных заводов в Лениграде, Рязани, Пензе, Омске, Казани, Химках, Сызрани и Кунцево, производивших специзделия деревообработки, строительные детали и мебель.</w:t>
      </w:r>
    </w:p>
    <w:p w14:paraId="0F7A18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Список деревообрабатывающих предприятий, подлежащих возвращению НКАПом в систему НК леса:</w:t>
      </w:r>
    </w:p>
    <w:p w14:paraId="5A09A4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Московская мебельная фабрика № 2 им. Мазевского (завод № 301)</w:t>
      </w:r>
    </w:p>
    <w:p w14:paraId="3EFBE5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Московская мебельная фабрика № 3 (завод № 30)</w:t>
      </w:r>
    </w:p>
    <w:p w14:paraId="608E5C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Московская мебельная фабрика № 4 (завод № 381)</w:t>
      </w:r>
    </w:p>
    <w:p w14:paraId="507585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Московская мебельная фабрика № 6</w:t>
      </w:r>
    </w:p>
    <w:p w14:paraId="478C64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Московский завод № 161 (Красносельская мебельная фабрика)</w:t>
      </w:r>
    </w:p>
    <w:p w14:paraId="6FF22A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Шумерлинский лесокомбинат (завод № 471)</w:t>
      </w:r>
    </w:p>
    <w:p w14:paraId="3862F7D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Свердловская мебельная фабрика (завод № 307)</w:t>
      </w:r>
    </w:p>
    <w:p w14:paraId="47C9C1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Куйбышевская мебельная фабрика (филиал завода № 134)</w:t>
      </w:r>
    </w:p>
    <w:p w14:paraId="22207E8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Новосибирская мебельная фабрика (филиал завода № 153)</w:t>
      </w:r>
    </w:p>
    <w:p w14:paraId="53A1EE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Ленинградский завод № 162</w:t>
      </w:r>
    </w:p>
    <w:p w14:paraId="0649B9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Рязанский завод № 168</w:t>
      </w:r>
    </w:p>
    <w:p w14:paraId="5564A7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Кунцевский завод № 164 (8949).</w:t>
      </w:r>
    </w:p>
    <w:p w14:paraId="116DF27E" w14:textId="77777777" w:rsidR="006103B3" w:rsidRPr="00F90EAE" w:rsidRDefault="006103B3" w:rsidP="00F90EAE">
      <w:pPr>
        <w:autoSpaceDE w:val="0"/>
        <w:autoSpaceDN w:val="0"/>
        <w:adjustRightInd w:val="0"/>
        <w:jc w:val="both"/>
        <w:rPr>
          <w:iCs/>
          <w:color w:val="000000" w:themeColor="text1"/>
          <w:sz w:val="16"/>
          <w:szCs w:val="16"/>
        </w:rPr>
      </w:pPr>
    </w:p>
    <w:p w14:paraId="41FC856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F964152" w14:textId="77777777" w:rsidR="006103B3" w:rsidRPr="00F90EAE" w:rsidRDefault="006103B3" w:rsidP="00F90EAE">
      <w:pPr>
        <w:autoSpaceDE w:val="0"/>
        <w:autoSpaceDN w:val="0"/>
        <w:adjustRightInd w:val="0"/>
        <w:jc w:val="both"/>
        <w:rPr>
          <w:iCs/>
          <w:color w:val="000000" w:themeColor="text1"/>
          <w:sz w:val="16"/>
          <w:szCs w:val="16"/>
        </w:rPr>
      </w:pPr>
    </w:p>
    <w:p w14:paraId="1254A129" w14:textId="77777777" w:rsidR="004709B0" w:rsidRPr="00F90EAE" w:rsidRDefault="004709B0" w:rsidP="00F90EAE">
      <w:pPr>
        <w:jc w:val="both"/>
        <w:rPr>
          <w:color w:val="000000" w:themeColor="text1"/>
          <w:sz w:val="16"/>
          <w:szCs w:val="16"/>
        </w:rPr>
      </w:pPr>
      <w:r w:rsidRPr="00F90EAE">
        <w:rPr>
          <w:color w:val="000000" w:themeColor="text1"/>
          <w:sz w:val="16"/>
          <w:szCs w:val="16"/>
        </w:rPr>
        <w:t>25 июня 1945. В Кремле состоялся прием участников парада победы (18688).</w:t>
      </w:r>
    </w:p>
    <w:p w14:paraId="53B7687A" w14:textId="77777777" w:rsidR="004709B0" w:rsidRPr="00F90EAE" w:rsidRDefault="004709B0" w:rsidP="00F90EAE">
      <w:pPr>
        <w:jc w:val="both"/>
        <w:rPr>
          <w:color w:val="000000" w:themeColor="text1"/>
          <w:sz w:val="16"/>
          <w:szCs w:val="16"/>
        </w:rPr>
      </w:pPr>
    </w:p>
    <w:p w14:paraId="3E2FEE3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25 июня 1945 И. Сталин поднял тост за “винтики”, которые держат государственный механизм СССР (4962).</w:t>
      </w:r>
    </w:p>
    <w:p w14:paraId="4FD2319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4DC50229" w14:textId="77777777" w:rsidR="00781BF4" w:rsidRPr="00F90EAE" w:rsidRDefault="00781BF4" w:rsidP="00F90EAE">
      <w:pPr>
        <w:jc w:val="both"/>
        <w:rPr>
          <w:color w:val="000000" w:themeColor="text1"/>
          <w:sz w:val="16"/>
          <w:szCs w:val="16"/>
        </w:rPr>
      </w:pPr>
      <w:r w:rsidRPr="00F90EAE">
        <w:rPr>
          <w:bCs/>
          <w:color w:val="000000" w:themeColor="text1"/>
          <w:sz w:val="16"/>
          <w:szCs w:val="16"/>
        </w:rPr>
        <w:t>25 июня</w:t>
      </w:r>
      <w:r w:rsidRPr="00F90EAE">
        <w:rPr>
          <w:color w:val="000000" w:themeColor="text1"/>
          <w:sz w:val="16"/>
          <w:szCs w:val="16"/>
        </w:rPr>
        <w:t xml:space="preserve"> в 1945 году И.В.Сталин в своей речи на приеме в Кремле в честь участников Парада Победы, состоявшегося днем ранее сказал: «Я бы хотел выпить за здоровье людей, у которых чинов мало и звание незавидное. За людей, которых считают «винтиками» великого государственного механизма, но без которых все мы - маршалы и командующие фронтами и армиями, говоря грубо, ни черта не стоим. Какой-либо «винтик» разладился - и кончено. Я поднимаю тост за людей простых, обычных, скромных, за «винтики», которые держат в состоянии активности наш великий государственный механизм во всех отраслях науки, хозяйства и военного дела. Их очень много, имя им легион, потому что это десятки миллионов людей. Это - скромные люди. Никто о них ничего не пишет, звания у них нет, чинов мало, но это - люди, которые держат нас, как основание держит пирамиду» (14933).</w:t>
      </w:r>
    </w:p>
    <w:p w14:paraId="19F0C15A" w14:textId="77777777" w:rsidR="00781BF4" w:rsidRPr="00F90EAE" w:rsidRDefault="00781BF4" w:rsidP="00F90EAE">
      <w:pPr>
        <w:jc w:val="both"/>
        <w:rPr>
          <w:color w:val="000000" w:themeColor="text1"/>
          <w:sz w:val="16"/>
          <w:szCs w:val="16"/>
        </w:rPr>
      </w:pPr>
    </w:p>
    <w:p w14:paraId="4436671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761DF5E8" w14:textId="77777777" w:rsidR="006103B3" w:rsidRPr="00F90EAE" w:rsidRDefault="006103B3" w:rsidP="00F90EAE">
      <w:pPr>
        <w:autoSpaceDE w:val="0"/>
        <w:autoSpaceDN w:val="0"/>
        <w:adjustRightInd w:val="0"/>
        <w:jc w:val="both"/>
        <w:rPr>
          <w:iCs/>
          <w:color w:val="000000" w:themeColor="text1"/>
          <w:sz w:val="16"/>
          <w:szCs w:val="16"/>
        </w:rPr>
      </w:pPr>
    </w:p>
    <w:p w14:paraId="766FBE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 июня 1941 в Сан-Франциско началась международная конференция по подписанию Устава ООН (3186).</w:t>
      </w:r>
    </w:p>
    <w:p w14:paraId="37EF83B1" w14:textId="77777777" w:rsidR="006103B3" w:rsidRPr="00F90EAE" w:rsidRDefault="006103B3" w:rsidP="00F90EAE">
      <w:pPr>
        <w:autoSpaceDE w:val="0"/>
        <w:autoSpaceDN w:val="0"/>
        <w:adjustRightInd w:val="0"/>
        <w:jc w:val="both"/>
        <w:rPr>
          <w:color w:val="000000" w:themeColor="text1"/>
          <w:sz w:val="16"/>
          <w:szCs w:val="16"/>
        </w:rPr>
      </w:pPr>
    </w:p>
    <w:p w14:paraId="7A9BF9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 июня 1945 вышло Распоряжение ГКО № 9192. О передаче торгпредству СССР в Польше некоторого трофейного имущества. РГАНИР, Фонд ГКО, д. 430, лл. 31 (11012).</w:t>
      </w:r>
    </w:p>
    <w:p w14:paraId="4CB56E21" w14:textId="77777777" w:rsidR="006103B3" w:rsidRPr="00F90EAE" w:rsidRDefault="006103B3" w:rsidP="00F90EAE">
      <w:pPr>
        <w:autoSpaceDE w:val="0"/>
        <w:autoSpaceDN w:val="0"/>
        <w:adjustRightInd w:val="0"/>
        <w:jc w:val="both"/>
        <w:rPr>
          <w:color w:val="000000" w:themeColor="text1"/>
          <w:sz w:val="16"/>
          <w:szCs w:val="16"/>
        </w:rPr>
      </w:pPr>
    </w:p>
    <w:p w14:paraId="674EC13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357B4B9" w14:textId="77777777" w:rsidR="006103B3" w:rsidRPr="00F90EAE" w:rsidRDefault="006103B3" w:rsidP="00F90EAE">
      <w:pPr>
        <w:autoSpaceDE w:val="0"/>
        <w:autoSpaceDN w:val="0"/>
        <w:adjustRightInd w:val="0"/>
        <w:jc w:val="both"/>
        <w:rPr>
          <w:iCs/>
          <w:color w:val="000000" w:themeColor="text1"/>
          <w:sz w:val="16"/>
          <w:szCs w:val="16"/>
        </w:rPr>
      </w:pPr>
    </w:p>
    <w:p w14:paraId="66BCF133" w14:textId="77777777" w:rsidR="00781BF4" w:rsidRPr="00F90EAE" w:rsidRDefault="00781BF4" w:rsidP="00F90EAE">
      <w:pPr>
        <w:jc w:val="both"/>
        <w:rPr>
          <w:color w:val="000000" w:themeColor="text1"/>
          <w:sz w:val="16"/>
          <w:szCs w:val="16"/>
        </w:rPr>
      </w:pPr>
      <w:r w:rsidRPr="00F90EAE">
        <w:rPr>
          <w:bCs/>
          <w:color w:val="000000" w:themeColor="text1"/>
          <w:sz w:val="16"/>
          <w:szCs w:val="16"/>
        </w:rPr>
        <w:t>25 июня</w:t>
      </w:r>
      <w:r w:rsidRPr="00F90EAE">
        <w:rPr>
          <w:color w:val="000000" w:themeColor="text1"/>
          <w:sz w:val="16"/>
          <w:szCs w:val="16"/>
        </w:rPr>
        <w:t xml:space="preserve"> в 1945 году выкачен из ангара первый прототип </w:t>
      </w:r>
      <w:hyperlink r:id="rId155" w:tgtFrame="_blank" w:history="1">
        <w:r w:rsidRPr="00F90EAE">
          <w:rPr>
            <w:color w:val="000000" w:themeColor="text1"/>
            <w:sz w:val="16"/>
            <w:szCs w:val="16"/>
          </w:rPr>
          <w:t xml:space="preserve">«XF5U-1». </w:t>
        </w:r>
      </w:hyperlink>
      <w:r w:rsidRPr="00F90EAE">
        <w:rPr>
          <w:color w:val="000000" w:themeColor="text1"/>
          <w:sz w:val="16"/>
          <w:szCs w:val="16"/>
        </w:rPr>
        <w:t>К этому времени фирма получила разрешение на проведение летных испытаний на хорошо оборудованном полигоне Мурок Драй Лейк (Калифорния). Ранее, 24 марта, она обратилась к ВМС с просьбой продолжить финансирование проекта, так как кредит, выделенный на «XF5U-12, был уже растрачен. Для экономии средств урезали программу летных испытаний, в частности, ее полетную часть и статические испытания (14933).</w:t>
      </w:r>
    </w:p>
    <w:p w14:paraId="797E231E" w14:textId="77777777" w:rsidR="00781BF4" w:rsidRPr="00F90EAE" w:rsidRDefault="00781BF4" w:rsidP="00F90EAE">
      <w:pPr>
        <w:jc w:val="both"/>
        <w:rPr>
          <w:color w:val="000000" w:themeColor="text1"/>
          <w:sz w:val="16"/>
          <w:szCs w:val="16"/>
        </w:rPr>
      </w:pPr>
    </w:p>
    <w:p w14:paraId="77161D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25 июня 1945 года заводской пилот фирмы Кокусай поднял в воздух созданный на фирме Кокусай группой капитана Мизуама первый и единственный прототип самолета - специального легкого штурмовика - Та-Го. Испытания проводились ускоренными темпами, но упрощенная конструкция создавала ряд проблем в эксплуатации и требовала доводок и доработок. Однако времени не было и сырую машину старались как можно быстрее вытолкнуть в производство. Фирма "Кокусай" изготовила комплект оснастки для производства самолета, который капитан Мизуама через свое начальство пытался пристроить в какую-нибудь фирму для выпуска серии, но до конца войны ни одного серийного самолета сделано не было, а союзникам достался только единственный опытный самолет. Хотя он предназначался для армейской авиации, но официального обозначения "Ки + порядковый номер" он не имел, а получил от своих создателей имя "Та-Го", под которым и вошел в историю. Прототип был окрашен в темно-зеленый цвет на всех поверхностях. На фюзеляже и крыльях наносился красный круг в белой окантовке. На киле белой краской был нанесен иероглиф "Та" - сокращение от "Бамбуковое копье" (4800).</w:t>
      </w:r>
    </w:p>
    <w:p w14:paraId="2682FF18" w14:textId="77777777" w:rsidR="006103B3" w:rsidRPr="00F90EAE" w:rsidRDefault="006103B3" w:rsidP="00F90EAE">
      <w:pPr>
        <w:autoSpaceDE w:val="0"/>
        <w:autoSpaceDN w:val="0"/>
        <w:adjustRightInd w:val="0"/>
        <w:jc w:val="both"/>
        <w:rPr>
          <w:color w:val="000000" w:themeColor="text1"/>
          <w:sz w:val="16"/>
          <w:szCs w:val="16"/>
        </w:rPr>
      </w:pPr>
    </w:p>
    <w:p w14:paraId="0A8114AA" w14:textId="77777777" w:rsidR="00781BF4" w:rsidRPr="00F90EAE" w:rsidRDefault="00781BF4" w:rsidP="00F90EAE">
      <w:pPr>
        <w:jc w:val="both"/>
        <w:rPr>
          <w:color w:val="000000" w:themeColor="text1"/>
          <w:sz w:val="16"/>
          <w:szCs w:val="16"/>
        </w:rPr>
      </w:pPr>
      <w:r w:rsidRPr="00F90EAE">
        <w:rPr>
          <w:bCs/>
          <w:color w:val="000000" w:themeColor="text1"/>
          <w:sz w:val="16"/>
          <w:szCs w:val="16"/>
        </w:rPr>
        <w:t>25 июня</w:t>
      </w:r>
      <w:r w:rsidRPr="00F90EAE">
        <w:rPr>
          <w:color w:val="000000" w:themeColor="text1"/>
          <w:sz w:val="16"/>
          <w:szCs w:val="16"/>
        </w:rPr>
        <w:t xml:space="preserve"> в 1945 году поднят в небо заводским пилотом первый и единственный прототип ударного самолета для камикадзе </w:t>
      </w:r>
      <w:hyperlink r:id="rId156" w:tgtFrame="_blank" w:history="1">
        <w:r w:rsidRPr="00F90EAE">
          <w:rPr>
            <w:color w:val="000000" w:themeColor="text1"/>
            <w:sz w:val="16"/>
            <w:szCs w:val="16"/>
          </w:rPr>
          <w:t xml:space="preserve">«Та-Го», </w:t>
        </w:r>
      </w:hyperlink>
      <w:r w:rsidRPr="00F90EAE">
        <w:rPr>
          <w:color w:val="000000" w:themeColor="text1"/>
          <w:sz w:val="16"/>
          <w:szCs w:val="16"/>
        </w:rPr>
        <w:t>построенный группой единомышленников капитана Мизуама в середине июня 1945 года. Тяжелая обстановка способствовала появлению на свет "оружия последней надежды" - пилотируемых самолетов, предназначенных для массированных самоубийственных атак против флота вторжения союзников. При этом выяснилось, что обычных боевых самолетов (истребителей, бомбардировщиков и учебных машин), стоящих на вооружении флота и армии, для выполнения массовых атак камикадзе уже не хватает и увеличить их выпуск в условиях бомбардировок и нехватки многих материалов было невозможно. Поэтому на свет появились совершенно уникальные самолеты, которые никогда ранее не появлялись и вряд ли появятся в будущем. Единственным их предназначением было выполнить один боевой вылет с самоубийственной атакой корабля противника. Это предназначение, а также условия, в которых они создавались, наложили на их конструкцию совершенно необычный отпечаток. Самолет хотели сделать настолько простым, что его производство могла бы освоить любая столярная мастерская. Поэтому основным материалом была выбрана древесина. Металлическими были только моторама и стойки шасси. Фюзеляж набирался из деревянных реек на фанерных и металлических косынках и обшивался фанерой и полотном. В фюзеляже размещалась небольшая кабина с маленьким фонарем, переплеты которого были из дерева, а остекление выполнялось из плоских листов плексигласа. В качестве двигателя применялся звездообразный двигатель воздушного охлаждения «Хитачи» «Ха-13 Ко», стартовой мощностью 510 л.с, капот которого предполагалось сделать из оцинкованной жести. Крыло также изготавливалось деревянным с обшивкой из фанеры и, частично, из полотна. Вооружение самолета состояло из одной 500 кг бомбы (14933).</w:t>
      </w:r>
    </w:p>
    <w:p w14:paraId="1502622D" w14:textId="77777777" w:rsidR="00781BF4" w:rsidRPr="00F90EAE" w:rsidRDefault="00781BF4" w:rsidP="00F90EAE">
      <w:pPr>
        <w:jc w:val="both"/>
        <w:rPr>
          <w:color w:val="000000" w:themeColor="text1"/>
          <w:sz w:val="16"/>
          <w:szCs w:val="16"/>
        </w:rPr>
      </w:pPr>
    </w:p>
    <w:p w14:paraId="177D167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4D39CF6" w14:textId="77777777" w:rsidR="006103B3" w:rsidRPr="00F90EAE" w:rsidRDefault="006103B3" w:rsidP="00F90EAE">
      <w:pPr>
        <w:autoSpaceDE w:val="0"/>
        <w:autoSpaceDN w:val="0"/>
        <w:adjustRightInd w:val="0"/>
        <w:jc w:val="both"/>
        <w:rPr>
          <w:iCs/>
          <w:color w:val="000000" w:themeColor="text1"/>
          <w:sz w:val="16"/>
          <w:szCs w:val="16"/>
        </w:rPr>
      </w:pPr>
    </w:p>
    <w:p w14:paraId="35395904" w14:textId="77777777" w:rsidR="00B92A5E" w:rsidRPr="00F90EAE" w:rsidRDefault="00B92A5E" w:rsidP="00F90EAE">
      <w:pPr>
        <w:jc w:val="both"/>
        <w:rPr>
          <w:color w:val="000000" w:themeColor="text1"/>
          <w:sz w:val="16"/>
          <w:szCs w:val="16"/>
        </w:rPr>
      </w:pPr>
      <w:r w:rsidRPr="00F90EAE">
        <w:rPr>
          <w:rStyle w:val="107"/>
          <w:rFonts w:eastAsiaTheme="minorHAnsi"/>
          <w:color w:val="000000" w:themeColor="text1"/>
          <w:sz w:val="16"/>
          <w:szCs w:val="16"/>
        </w:rPr>
        <w:lastRenderedPageBreak/>
        <w:t>26 июня 1945 Начальник Главного управления формирования и обучения ВВС КА генерал-полковник А. В. Никитин в замечаниях к акту об испытаниях модифицированного самолета УИл-10 № 106085 указывал: «1. Все требования правильны и должны быть реализованы./.../3. Учитывая большую потребность в УИл-10, считаю необходимым выпуск продолжать, потребовать внесения всех изменений и дополнений, предусмотренных актами ГК НИИ ВВС КА» (17490).</w:t>
      </w:r>
    </w:p>
    <w:p w14:paraId="7418CB83" w14:textId="77777777" w:rsidR="00B92A5E" w:rsidRPr="00F90EAE" w:rsidRDefault="00B92A5E" w:rsidP="00F90EAE">
      <w:pPr>
        <w:jc w:val="both"/>
        <w:rPr>
          <w:rStyle w:val="107"/>
          <w:rFonts w:eastAsiaTheme="minorHAnsi"/>
          <w:color w:val="000000" w:themeColor="text1"/>
          <w:sz w:val="16"/>
          <w:szCs w:val="16"/>
        </w:rPr>
      </w:pPr>
    </w:p>
    <w:p w14:paraId="7644515B" w14:textId="77777777" w:rsidR="005F32F4" w:rsidRPr="00F90EAE" w:rsidRDefault="005F32F4" w:rsidP="00F90EAE">
      <w:pPr>
        <w:jc w:val="both"/>
        <w:rPr>
          <w:color w:val="000000" w:themeColor="text1"/>
          <w:sz w:val="16"/>
          <w:szCs w:val="16"/>
        </w:rPr>
      </w:pPr>
      <w:r w:rsidRPr="00F90EAE">
        <w:rPr>
          <w:color w:val="000000" w:themeColor="text1"/>
          <w:sz w:val="16"/>
          <w:szCs w:val="16"/>
        </w:rPr>
        <w:t>26 июня 1945, учитывая нездоровую атмосферу, скла</w:t>
      </w:r>
      <w:r w:rsidRPr="00F90EAE">
        <w:rPr>
          <w:color w:val="000000" w:themeColor="text1"/>
          <w:sz w:val="16"/>
          <w:szCs w:val="16"/>
        </w:rPr>
        <w:softHyphen/>
        <w:t>дывающуюся вокруг бронестали АБ-3, заме</w:t>
      </w:r>
      <w:r w:rsidRPr="00F90EAE">
        <w:rPr>
          <w:color w:val="000000" w:themeColor="text1"/>
          <w:sz w:val="16"/>
          <w:szCs w:val="16"/>
        </w:rPr>
        <w:softHyphen/>
        <w:t>ститель начальника ВИАМ по научной работе д.т.н. С.Т. Кишкин обратился непо</w:t>
      </w:r>
      <w:r w:rsidRPr="00F90EAE">
        <w:rPr>
          <w:color w:val="000000" w:themeColor="text1"/>
          <w:sz w:val="16"/>
          <w:szCs w:val="16"/>
        </w:rPr>
        <w:softHyphen/>
        <w:t>средственно к генерал-лейтенанту А.А. Ла</w:t>
      </w:r>
      <w:r w:rsidRPr="00F90EAE">
        <w:rPr>
          <w:color w:val="000000" w:themeColor="text1"/>
          <w:sz w:val="16"/>
          <w:szCs w:val="16"/>
        </w:rPr>
        <w:softHyphen/>
        <w:t>пину. В письме он разъяснял как позицию ВИАМа, так и изложил свою личную точку зре</w:t>
      </w:r>
      <w:r w:rsidRPr="00F90EAE">
        <w:rPr>
          <w:color w:val="000000" w:themeColor="text1"/>
          <w:sz w:val="16"/>
          <w:szCs w:val="16"/>
        </w:rPr>
        <w:softHyphen/>
        <w:t>ния по вопросу содержания титана в броне АБ-3. Кишкин указывал, что</w:t>
      </w:r>
      <w:r w:rsidRPr="00F90EAE">
        <w:rPr>
          <w:rStyle w:val="aff6"/>
          <w:rFonts w:ascii="Times New Roman" w:hAnsi="Times New Roman" w:cs="Times New Roman"/>
          <w:i w:val="0"/>
          <w:color w:val="000000" w:themeColor="text1"/>
        </w:rPr>
        <w:t xml:space="preserve"> «титан ни в коем случае нельзя рассматривать как элемент, мо</w:t>
      </w:r>
      <w:r w:rsidRPr="00F90EAE">
        <w:rPr>
          <w:rStyle w:val="aff6"/>
          <w:rFonts w:ascii="Times New Roman" w:hAnsi="Times New Roman" w:cs="Times New Roman"/>
          <w:i w:val="0"/>
          <w:color w:val="000000" w:themeColor="text1"/>
        </w:rPr>
        <w:softHyphen/>
        <w:t>гущий оказать влияние на свойства броневой стали подобное влиянию никеля».</w:t>
      </w:r>
      <w:r w:rsidRPr="00F90EAE">
        <w:rPr>
          <w:color w:val="000000" w:themeColor="text1"/>
          <w:sz w:val="16"/>
          <w:szCs w:val="16"/>
        </w:rPr>
        <w:t xml:space="preserve"> Содержа</w:t>
      </w:r>
      <w:r w:rsidRPr="00F90EAE">
        <w:rPr>
          <w:color w:val="000000" w:themeColor="text1"/>
          <w:sz w:val="16"/>
          <w:szCs w:val="16"/>
        </w:rPr>
        <w:softHyphen/>
        <w:t>ние титана, когда заказывалась первая плавка стали АБ-3, оговаривалось в пределах 0,10%. Более высокий процент титана,</w:t>
      </w:r>
      <w:r w:rsidRPr="00F90EAE">
        <w:rPr>
          <w:rStyle w:val="aff6"/>
          <w:rFonts w:ascii="Times New Roman" w:hAnsi="Times New Roman" w:cs="Times New Roman"/>
          <w:i w:val="0"/>
          <w:color w:val="000000" w:themeColor="text1"/>
        </w:rPr>
        <w:t xml:space="preserve"> «связывающе</w:t>
      </w:r>
      <w:r w:rsidRPr="00F90EAE">
        <w:rPr>
          <w:rStyle w:val="aff6"/>
          <w:rFonts w:ascii="Times New Roman" w:hAnsi="Times New Roman" w:cs="Times New Roman"/>
          <w:i w:val="0"/>
          <w:color w:val="000000" w:themeColor="text1"/>
        </w:rPr>
        <w:softHyphen/>
        <w:t>го углерод в нерастворимые при нагреве под закалку карбиды»,</w:t>
      </w:r>
      <w:r w:rsidRPr="00F90EAE">
        <w:rPr>
          <w:color w:val="000000" w:themeColor="text1"/>
          <w:sz w:val="16"/>
          <w:szCs w:val="16"/>
        </w:rPr>
        <w:t xml:space="preserve"> мог бы</w:t>
      </w:r>
      <w:r w:rsidRPr="00F90EAE">
        <w:rPr>
          <w:rStyle w:val="aff6"/>
          <w:rFonts w:ascii="Times New Roman" w:hAnsi="Times New Roman" w:cs="Times New Roman"/>
          <w:i w:val="0"/>
          <w:color w:val="000000" w:themeColor="text1"/>
        </w:rPr>
        <w:t xml:space="preserve"> «понизить прокали- ваемость стали, что нежелательно».</w:t>
      </w:r>
      <w:r w:rsidRPr="00F90EAE">
        <w:rPr>
          <w:color w:val="000000" w:themeColor="text1"/>
          <w:sz w:val="16"/>
          <w:szCs w:val="16"/>
        </w:rPr>
        <w:t xml:space="preserve"> Нижний предел содержания титана не оговаривался, т.е. содержание титана могло быть равным нулю. Это объяснялось тем, что при таком низ</w:t>
      </w:r>
      <w:r w:rsidRPr="00F90EAE">
        <w:rPr>
          <w:color w:val="000000" w:themeColor="text1"/>
          <w:sz w:val="16"/>
          <w:szCs w:val="16"/>
        </w:rPr>
        <w:softHyphen/>
        <w:t>ком содержании титана (менее 0,10%) послед</w:t>
      </w:r>
      <w:r w:rsidRPr="00F90EAE">
        <w:rPr>
          <w:color w:val="000000" w:themeColor="text1"/>
          <w:sz w:val="16"/>
          <w:szCs w:val="16"/>
        </w:rPr>
        <w:softHyphen/>
        <w:t>ний являлся чисто металлургическим факто</w:t>
      </w:r>
      <w:r w:rsidRPr="00F90EAE">
        <w:rPr>
          <w:color w:val="000000" w:themeColor="text1"/>
          <w:sz w:val="16"/>
          <w:szCs w:val="16"/>
        </w:rPr>
        <w:softHyphen/>
        <w:t>ром, причем полное раскисление стали вполне обеспечивалось и без титана. Последнее об</w:t>
      </w:r>
      <w:r w:rsidRPr="00F90EAE">
        <w:rPr>
          <w:color w:val="000000" w:themeColor="text1"/>
          <w:sz w:val="16"/>
          <w:szCs w:val="16"/>
        </w:rPr>
        <w:softHyphen/>
        <w:t>стоятельство (наряду с появлением новых рас- кислителей, по качеству превосходящих титан) позволило в дальнейшем не оговаривать в ТУ раскисление титаном при поставке стали.</w:t>
      </w:r>
    </w:p>
    <w:p w14:paraId="35F1F823"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 xml:space="preserve">Кузнецкий металлургический комбинат, </w:t>
      </w:r>
      <w:r w:rsidRPr="00F90EAE">
        <w:rPr>
          <w:rFonts w:ascii="Times New Roman" w:cs="Times New Roman"/>
          <w:color w:val="000000" w:themeColor="text1"/>
          <w:sz w:val="16"/>
          <w:szCs w:val="16"/>
        </w:rPr>
        <w:t>«раскислявший первую плавку титаном и понимающий, что в стали АБ-3, при содер</w:t>
      </w:r>
      <w:r w:rsidRPr="00F90EAE">
        <w:rPr>
          <w:rFonts w:ascii="Times New Roman" w:cs="Times New Roman"/>
          <w:color w:val="000000" w:themeColor="text1"/>
          <w:sz w:val="16"/>
          <w:szCs w:val="16"/>
        </w:rPr>
        <w:softHyphen/>
        <w:t>жании титана меньше 0,10% титан не может быть специальным легирующим элементом, в своем паспорте (на эту первую плавку), по</w:t>
      </w:r>
      <w:r w:rsidRPr="00F90EAE">
        <w:rPr>
          <w:rFonts w:ascii="Times New Roman" w:cs="Times New Roman"/>
          <w:color w:val="000000" w:themeColor="text1"/>
          <w:sz w:val="16"/>
          <w:szCs w:val="16"/>
        </w:rPr>
        <w:softHyphen/>
        <w:t>сланным заводу №207, не указал количества остаточного титана в стали после ее раскис</w:t>
      </w:r>
      <w:r w:rsidRPr="00F90EAE">
        <w:rPr>
          <w:rFonts w:ascii="Times New Roman" w:cs="Times New Roman"/>
          <w:color w:val="000000" w:themeColor="text1"/>
          <w:sz w:val="16"/>
          <w:szCs w:val="16"/>
        </w:rPr>
        <w:softHyphen/>
        <w:t>ления».</w:t>
      </w:r>
    </w:p>
    <w:p w14:paraId="1EC915BB" w14:textId="77777777" w:rsidR="005F32F4" w:rsidRPr="00F90EAE" w:rsidRDefault="005F32F4" w:rsidP="00F90EAE">
      <w:pPr>
        <w:jc w:val="both"/>
        <w:rPr>
          <w:color w:val="000000" w:themeColor="text1"/>
          <w:sz w:val="16"/>
          <w:szCs w:val="16"/>
        </w:rPr>
      </w:pPr>
      <w:r w:rsidRPr="00F90EAE">
        <w:rPr>
          <w:color w:val="000000" w:themeColor="text1"/>
          <w:sz w:val="16"/>
          <w:szCs w:val="16"/>
        </w:rPr>
        <w:t>Констатировалось, что сам по себе ферро- титан -</w:t>
      </w:r>
      <w:r w:rsidRPr="00F90EAE">
        <w:rPr>
          <w:rStyle w:val="aff6"/>
          <w:rFonts w:ascii="Times New Roman" w:hAnsi="Times New Roman" w:cs="Times New Roman"/>
          <w:i w:val="0"/>
          <w:color w:val="000000" w:themeColor="text1"/>
        </w:rPr>
        <w:t xml:space="preserve"> «элемент достаточно дешевый и неде</w:t>
      </w:r>
      <w:r w:rsidRPr="00F90EAE">
        <w:rPr>
          <w:rStyle w:val="aff6"/>
          <w:rFonts w:ascii="Times New Roman" w:hAnsi="Times New Roman" w:cs="Times New Roman"/>
          <w:i w:val="0"/>
          <w:color w:val="000000" w:themeColor="text1"/>
        </w:rPr>
        <w:softHyphen/>
        <w:t>фицитный».</w:t>
      </w:r>
      <w:r w:rsidRPr="00F90EAE">
        <w:rPr>
          <w:color w:val="000000" w:themeColor="text1"/>
          <w:sz w:val="16"/>
          <w:szCs w:val="16"/>
        </w:rPr>
        <w:t xml:space="preserve"> Поэтому введение титана в сталь никогда не вызывало возражений со стороны Госплана СССР. В химическом составе стали марки АБ-3 возможность ее раскисления тита</w:t>
      </w:r>
      <w:r w:rsidRPr="00F90EAE">
        <w:rPr>
          <w:color w:val="000000" w:themeColor="text1"/>
          <w:sz w:val="16"/>
          <w:szCs w:val="16"/>
        </w:rPr>
        <w:softHyphen/>
        <w:t>ном предусматривалась.</w:t>
      </w:r>
    </w:p>
    <w:p w14:paraId="2353778F"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Таким образом, вопрос о том раскислять сталь титаном или не раскислять, в сущности, должен был решаться заводом-поставщиком стали самостоятельно. Другое дело, что ВВС были</w:t>
      </w:r>
      <w:r w:rsidRPr="00F90EAE">
        <w:rPr>
          <w:rFonts w:ascii="Times New Roman" w:cs="Times New Roman"/>
          <w:color w:val="000000" w:themeColor="text1"/>
          <w:sz w:val="16"/>
          <w:szCs w:val="16"/>
        </w:rPr>
        <w:t xml:space="preserve"> «вправе требовать, чтобы металл был хорошо раскислен и вправе предъявлять пре</w:t>
      </w:r>
      <w:r w:rsidRPr="00F90EAE">
        <w:rPr>
          <w:rFonts w:ascii="Times New Roman" w:cs="Times New Roman"/>
          <w:color w:val="000000" w:themeColor="text1"/>
          <w:sz w:val="16"/>
          <w:szCs w:val="16"/>
        </w:rPr>
        <w:softHyphen/>
        <w:t>тензии, если металл был недоброкачественно выплавлен или плохо раскислен, что может сказаться на его поведении в эксплуатации».</w:t>
      </w:r>
    </w:p>
    <w:p w14:paraId="541E6D82"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Одновременно Кишкин ставил Лапина в известность о фактах, характеризующих по</w:t>
      </w:r>
      <w:r w:rsidRPr="00F90EAE">
        <w:rPr>
          <w:rStyle w:val="4e"/>
          <w:rFonts w:ascii="Times New Roman" w:eastAsia="Calibri" w:hAnsi="Times New Roman" w:cs="Times New Roman"/>
          <w:i w:val="0"/>
          <w:color w:val="000000" w:themeColor="text1"/>
          <w:sz w:val="16"/>
          <w:szCs w:val="16"/>
        </w:rPr>
        <w:softHyphen/>
        <w:t>пытки сорвать внедрение стали АБ-3 вместо АБ-2. В частности, он указывал, что районный инженер 5-го отдела УЗСиМ ГУЗ ВВС инженер-майор Фридман,</w:t>
      </w:r>
      <w:r w:rsidRPr="00F90EAE">
        <w:rPr>
          <w:rFonts w:ascii="Times New Roman" w:cs="Times New Roman"/>
          <w:color w:val="000000" w:themeColor="text1"/>
          <w:sz w:val="16"/>
          <w:szCs w:val="16"/>
        </w:rPr>
        <w:t xml:space="preserve"> «выехав на завод №207, потребовал отправки в Москву для тарировки хронографа Гольдена».</w:t>
      </w:r>
      <w:r w:rsidRPr="00F90EAE">
        <w:rPr>
          <w:rStyle w:val="4e"/>
          <w:rFonts w:ascii="Times New Roman" w:eastAsia="Calibri" w:hAnsi="Times New Roman" w:cs="Times New Roman"/>
          <w:i w:val="0"/>
          <w:color w:val="000000" w:themeColor="text1"/>
          <w:sz w:val="16"/>
          <w:szCs w:val="16"/>
        </w:rPr>
        <w:t xml:space="preserve"> По его мнению, это </w:t>
      </w:r>
      <w:r w:rsidRPr="00F90EAE">
        <w:rPr>
          <w:rFonts w:ascii="Times New Roman" w:cs="Times New Roman"/>
          <w:color w:val="000000" w:themeColor="text1"/>
          <w:sz w:val="16"/>
          <w:szCs w:val="16"/>
        </w:rPr>
        <w:t>«является не столько безграмотностью, сколь</w:t>
      </w:r>
      <w:r w:rsidRPr="00F90EAE">
        <w:rPr>
          <w:rFonts w:ascii="Times New Roman" w:cs="Times New Roman"/>
          <w:color w:val="000000" w:themeColor="text1"/>
          <w:sz w:val="16"/>
          <w:szCs w:val="16"/>
        </w:rPr>
        <w:softHyphen/>
        <w:t>ко желанием задержать испытания на заводе №207, чтобы успеть раньше провести испыта</w:t>
      </w:r>
      <w:r w:rsidRPr="00F90EAE">
        <w:rPr>
          <w:rFonts w:ascii="Times New Roman" w:cs="Times New Roman"/>
          <w:color w:val="000000" w:themeColor="text1"/>
          <w:sz w:val="16"/>
          <w:szCs w:val="16"/>
        </w:rPr>
        <w:softHyphen/>
        <w:t>ния стали ХД на заводе № 125».</w:t>
      </w:r>
    </w:p>
    <w:p w14:paraId="2E5BF5C9"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 xml:space="preserve">В письме утверждалось, что даже если </w:t>
      </w:r>
      <w:r w:rsidRPr="00F90EAE">
        <w:rPr>
          <w:rFonts w:ascii="Times New Roman" w:cs="Times New Roman"/>
          <w:color w:val="000000" w:themeColor="text1"/>
          <w:sz w:val="16"/>
          <w:szCs w:val="16"/>
        </w:rPr>
        <w:t>«последние плавки стали АБ-3, по каким-либо показателям окажутся хуже первой плавки, но будут соответствовать ТУ на сталь АБ-2»,</w:t>
      </w:r>
      <w:r w:rsidRPr="00F90EAE">
        <w:rPr>
          <w:rStyle w:val="4e"/>
          <w:rFonts w:ascii="Times New Roman" w:eastAsia="Calibri" w:hAnsi="Times New Roman" w:cs="Times New Roman"/>
          <w:i w:val="0"/>
          <w:color w:val="000000" w:themeColor="text1"/>
          <w:sz w:val="16"/>
          <w:szCs w:val="16"/>
        </w:rPr>
        <w:t xml:space="preserve"> их предлагалось</w:t>
      </w:r>
      <w:r w:rsidRPr="00F90EAE">
        <w:rPr>
          <w:rFonts w:ascii="Times New Roman" w:cs="Times New Roman"/>
          <w:color w:val="000000" w:themeColor="text1"/>
          <w:sz w:val="16"/>
          <w:szCs w:val="16"/>
        </w:rPr>
        <w:t xml:space="preserve"> «запустить в производство на</w:t>
      </w:r>
      <w:r w:rsidRPr="00F90EAE">
        <w:rPr>
          <w:rFonts w:ascii="Times New Roman" w:cs="Times New Roman"/>
          <w:color w:val="000000" w:themeColor="text1"/>
          <w:sz w:val="16"/>
          <w:szCs w:val="16"/>
        </w:rPr>
        <w:softHyphen/>
        <w:t>ряду со сталью АБ-2, одновременно поставив вопрос об улучшении технологии выплавки и разливки стали перед заводом-поставщиком» (17479).</w:t>
      </w:r>
    </w:p>
    <w:p w14:paraId="18F0E688" w14:textId="77777777" w:rsidR="005F32F4" w:rsidRPr="00F90EAE" w:rsidRDefault="005F32F4" w:rsidP="00F90EAE">
      <w:pPr>
        <w:jc w:val="both"/>
        <w:rPr>
          <w:color w:val="000000" w:themeColor="text1"/>
          <w:sz w:val="16"/>
          <w:szCs w:val="16"/>
        </w:rPr>
      </w:pPr>
    </w:p>
    <w:p w14:paraId="6CC89F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на Як-3ПД с ВКУ-105ПВ достигли скорость 710 км/час на 11000 м (65,176).</w:t>
      </w:r>
    </w:p>
    <w:p w14:paraId="67AD6ED1" w14:textId="77777777" w:rsidR="006103B3" w:rsidRPr="00F90EAE" w:rsidRDefault="006103B3" w:rsidP="00F90EAE">
      <w:pPr>
        <w:autoSpaceDE w:val="0"/>
        <w:autoSpaceDN w:val="0"/>
        <w:adjustRightInd w:val="0"/>
        <w:jc w:val="both"/>
        <w:rPr>
          <w:color w:val="000000" w:themeColor="text1"/>
          <w:sz w:val="16"/>
          <w:szCs w:val="16"/>
        </w:rPr>
      </w:pPr>
    </w:p>
    <w:p w14:paraId="038128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июне-июле 1945 в ЛИИ проходил испытания Як-3ПД с ВК-105ПВ N 1006-43 и нагнетателем Э-100. Испытания проводили л И.И.Шкнейко, ви ЛИИ Е.Ф.Шварцбург и А.В.Евдокимов, а от ОКБ - К.Н.Мкртчан. Летали с полным боекомплектом НС-23 (65,176).</w:t>
      </w:r>
    </w:p>
    <w:p w14:paraId="0D01A1FB" w14:textId="77777777" w:rsidR="006103B3" w:rsidRPr="00F90EAE" w:rsidRDefault="006103B3" w:rsidP="00F90EAE">
      <w:pPr>
        <w:autoSpaceDE w:val="0"/>
        <w:autoSpaceDN w:val="0"/>
        <w:adjustRightInd w:val="0"/>
        <w:jc w:val="both"/>
        <w:rPr>
          <w:color w:val="000000" w:themeColor="text1"/>
          <w:sz w:val="16"/>
          <w:szCs w:val="16"/>
        </w:rPr>
      </w:pPr>
    </w:p>
    <w:p w14:paraId="12AFD1B5" w14:textId="77777777" w:rsidR="00576B22" w:rsidRPr="00F90EAE" w:rsidRDefault="00576B22" w:rsidP="00F90EAE">
      <w:pPr>
        <w:jc w:val="both"/>
        <w:rPr>
          <w:color w:val="000000" w:themeColor="text1"/>
          <w:sz w:val="16"/>
          <w:szCs w:val="16"/>
        </w:rPr>
      </w:pPr>
      <w:r w:rsidRPr="00F90EAE">
        <w:rPr>
          <w:bCs/>
          <w:color w:val="000000" w:themeColor="text1"/>
          <w:sz w:val="16"/>
          <w:szCs w:val="16"/>
        </w:rPr>
        <w:t>26 июня</w:t>
      </w:r>
      <w:r w:rsidRPr="00F90EAE">
        <w:rPr>
          <w:color w:val="000000" w:themeColor="text1"/>
          <w:sz w:val="16"/>
          <w:szCs w:val="16"/>
        </w:rPr>
        <w:t xml:space="preserve"> в 1945 году на истребителе </w:t>
      </w:r>
      <w:hyperlink r:id="rId157" w:tgtFrame="_blank" w:history="1">
        <w:r w:rsidRPr="00F90EAE">
          <w:rPr>
            <w:color w:val="000000" w:themeColor="text1"/>
            <w:sz w:val="16"/>
            <w:szCs w:val="16"/>
          </w:rPr>
          <w:t xml:space="preserve">«Як-3ПД» </w:t>
        </w:r>
      </w:hyperlink>
      <w:r w:rsidRPr="00F90EAE">
        <w:rPr>
          <w:color w:val="000000" w:themeColor="text1"/>
          <w:sz w:val="16"/>
          <w:szCs w:val="16"/>
        </w:rPr>
        <w:t>была достигнута скорость 710 км/ч на высоте 11 000 м (2-я граница высотности), а 6 июля - практический потолок 13 300 м (14934).</w:t>
      </w:r>
    </w:p>
    <w:p w14:paraId="7E0CD714" w14:textId="77777777" w:rsidR="00576B22" w:rsidRPr="00F90EAE" w:rsidRDefault="00576B22" w:rsidP="00F90EAE">
      <w:pPr>
        <w:jc w:val="both"/>
        <w:rPr>
          <w:color w:val="000000" w:themeColor="text1"/>
          <w:sz w:val="16"/>
          <w:szCs w:val="16"/>
        </w:rPr>
      </w:pPr>
    </w:p>
    <w:p w14:paraId="4DA421A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на завод 22 пришел приказ Наркома Авиационной Промышленности Шахурина №263сс об организации на заводе №22 производства самолётов Б-4 и прекращении строительства УПе-2. Приказ был объявлен 11 июля 1945 г и эту дату следует считать началом работы завода по освоению нового бомбардировщика. Тем же приказом Наркома, Главным Конструктором самолёта Б-4 был назначен А.Н. Туполев, а его заместителем И.Ф. Незваль (6394).</w:t>
      </w:r>
    </w:p>
    <w:p w14:paraId="2CAC32ED" w14:textId="77777777" w:rsidR="006103B3" w:rsidRPr="00F90EAE" w:rsidRDefault="006103B3" w:rsidP="00F90EAE">
      <w:pPr>
        <w:autoSpaceDE w:val="0"/>
        <w:autoSpaceDN w:val="0"/>
        <w:adjustRightInd w:val="0"/>
        <w:jc w:val="both"/>
        <w:rPr>
          <w:color w:val="000000" w:themeColor="text1"/>
          <w:sz w:val="16"/>
          <w:szCs w:val="16"/>
        </w:rPr>
      </w:pPr>
    </w:p>
    <w:p w14:paraId="652A8277" w14:textId="77777777" w:rsidR="00781BF4" w:rsidRPr="00F90EAE" w:rsidRDefault="00781BF4" w:rsidP="00F90EAE">
      <w:pPr>
        <w:jc w:val="both"/>
        <w:rPr>
          <w:color w:val="000000" w:themeColor="text1"/>
          <w:sz w:val="16"/>
          <w:szCs w:val="16"/>
        </w:rPr>
      </w:pPr>
      <w:r w:rsidRPr="00F90EAE">
        <w:rPr>
          <w:color w:val="000000" w:themeColor="text1"/>
          <w:sz w:val="16"/>
          <w:szCs w:val="16"/>
        </w:rPr>
        <w:t>26 июня 1945 г. Приказ наркома авиационной промышленности об организации на Казанском авиационном заводе № 22 производства самолета Б-4 (будущий бомбардировщик Ту-4) ознаменовал новый этап в жизни предприятия. Потребовалось создание новых цехов, производственных мастерских, бытовых помещений и кладовых, перемещение более 2500 единиц оборудования. В течение 1946 г. была проведена коренная реконструкция всех цехов завода. Придавая особое значение вопросам перестройки завода, директор В.А. Окулов своим приказом предоставил начальнику отдела реконструкции Н.С. Бутаеву права заместителя главного инженера завода (15726).</w:t>
      </w:r>
    </w:p>
    <w:p w14:paraId="2ADBFD4D" w14:textId="77777777" w:rsidR="00781BF4" w:rsidRPr="00F90EAE" w:rsidRDefault="00781BF4" w:rsidP="00F90EAE">
      <w:pPr>
        <w:jc w:val="both"/>
        <w:rPr>
          <w:color w:val="000000" w:themeColor="text1"/>
          <w:sz w:val="16"/>
          <w:szCs w:val="16"/>
        </w:rPr>
      </w:pPr>
    </w:p>
    <w:p w14:paraId="5491464B" w14:textId="77777777" w:rsidR="00781BF4" w:rsidRPr="00F90EAE" w:rsidRDefault="00781BF4" w:rsidP="00F90EAE">
      <w:pPr>
        <w:pStyle w:val="a3"/>
        <w:rPr>
          <w:color w:val="000000" w:themeColor="text1"/>
          <w:lang w:val="ru-RU"/>
        </w:rPr>
      </w:pPr>
      <w:r w:rsidRPr="00F90EAE">
        <w:rPr>
          <w:color w:val="000000" w:themeColor="text1"/>
          <w:lang w:val="ru-RU"/>
        </w:rPr>
        <w:t>С 26 июня по 23 августа 1945 г. личный состав 18-й Гвардейской Орловско-Будапешт- ской бомбардировочной дивизии и представители ГК НИИ ВВС провели войсковые испы</w:t>
      </w:r>
      <w:r w:rsidRPr="00F90EAE">
        <w:rPr>
          <w:color w:val="000000" w:themeColor="text1"/>
          <w:lang w:val="ru-RU"/>
        </w:rPr>
        <w:softHyphen/>
        <w:t>тания Ер-2 2АЧ-30Б с воздушными винтами АВ-5ЛВ-116. Целью испытаний становилось выявление лётно-тактических, боевых и эксплуатационных качеств самолёта. Испытани</w:t>
      </w:r>
      <w:r w:rsidRPr="00F90EAE">
        <w:rPr>
          <w:color w:val="000000" w:themeColor="text1"/>
          <w:lang w:val="ru-RU"/>
        </w:rPr>
        <w:softHyphen/>
        <w:t>ям подверглись машины 1, 3, 5-7, 9-9а и 10-13 серий, всего 21 самолёт. Выделенные машины объединили в специальные группы, базировавшиеся на аэродроме Белая Цер</w:t>
      </w:r>
      <w:r w:rsidRPr="00F90EAE">
        <w:rPr>
          <w:color w:val="000000" w:themeColor="text1"/>
          <w:lang w:val="ru-RU"/>
        </w:rPr>
        <w:softHyphen/>
        <w:t>ковь. За время испытаний выполнили 330 полётов с общим налётом 1158 час 58 мин. В процессе испытаний имели место 58 лётных происшествий, из них 55 с вынужденной посадкой, а 10 августа в районе Полтавы потерпел катастрофу самолёт с борт. № 13 (№ 7013907). В итоге Ер-2 2АЧ-30Б войсковых испытаний не выдержал (15810).</w:t>
      </w:r>
    </w:p>
    <w:p w14:paraId="6442847C" w14:textId="77777777" w:rsidR="00781BF4" w:rsidRPr="00F90EAE" w:rsidRDefault="00781BF4" w:rsidP="00F90EAE">
      <w:pPr>
        <w:pStyle w:val="a3"/>
        <w:rPr>
          <w:color w:val="000000" w:themeColor="text1"/>
          <w:lang w:val="ru-RU"/>
        </w:rPr>
      </w:pPr>
    </w:p>
    <w:p w14:paraId="66E16FB2" w14:textId="77777777" w:rsidR="00781BF4" w:rsidRPr="00F90EAE" w:rsidRDefault="00781BF4" w:rsidP="00F90EAE">
      <w:pPr>
        <w:shd w:val="clear" w:color="auto" w:fill="FFFFFF"/>
        <w:jc w:val="both"/>
        <w:rPr>
          <w:color w:val="000000" w:themeColor="text1"/>
          <w:sz w:val="16"/>
          <w:szCs w:val="16"/>
        </w:rPr>
      </w:pPr>
      <w:r w:rsidRPr="00F90EAE">
        <w:rPr>
          <w:color w:val="000000" w:themeColor="text1"/>
          <w:sz w:val="16"/>
          <w:szCs w:val="16"/>
        </w:rPr>
        <w:t>С 26-го июня по 23 августа 1945 в 18-й бомбардировочной авиадивизии с участием представителей НИИ ВВС прошли войсковые испытания бомбардировщиков Ер-2, закончившиеся отрицательным результатом. Приказ НКАП № 359сс от 31-го августа обязывал главного конструктора П.О. Сухого и директора завода № 39 В.И. Абрамова произвести на бомбардировщиках Ер-2 малую модернизацию. СНК СССР установил сроки проведения малой модернизации Ер-2 в IV квартале и обязал завод № 39 построить в октябре – 5 машин, в ноябре - 10 и декабре - 15 машин (Годовой отчет завода № 39 за 1945 год по основной деятельности. Центральный архив ИАЗ, дело № 73, листы 1-19.). Проект Ер-2ММ предполагал использование более мощных дизелей АЧ-31 с флюгерными винтами, что обещало устранить два главных недостатка бомбардировщика - длинный разбег при взлете и посадке, невозможность продолжать полет с нагрузкой на одном двигателе. Кроме того, намечалось перенести маслорадиаторы с передней кромки отъемной части крыла под мотогондолы, на нижнюю стрелковую точку установить обтекатель, заменить жалюзи водорадиаторов, переделать капоты, коки винтов, выхлопные насадки, осуществить другие доработки (15223).</w:t>
      </w:r>
    </w:p>
    <w:p w14:paraId="7186FA05" w14:textId="77777777" w:rsidR="00781BF4" w:rsidRPr="00F90EAE" w:rsidRDefault="00781BF4" w:rsidP="00F90EAE">
      <w:pPr>
        <w:shd w:val="clear" w:color="auto" w:fill="FFFFFF"/>
        <w:jc w:val="both"/>
        <w:rPr>
          <w:color w:val="000000" w:themeColor="text1"/>
          <w:sz w:val="16"/>
          <w:szCs w:val="16"/>
        </w:rPr>
      </w:pPr>
    </w:p>
    <w:p w14:paraId="623283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года Визирян писал письмо зам. председателя Госплана Силуянову Н.М.</w:t>
      </w:r>
    </w:p>
    <w:p w14:paraId="46E814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НКАП сообщает, что в соответствии с постановлением СНК от 12 июня 1945 года за № 9154р, на старую территорию завода № 307 переводится завод № 493 НКАП (8972).</w:t>
      </w:r>
    </w:p>
    <w:p w14:paraId="506F3B1F" w14:textId="77777777" w:rsidR="006103B3" w:rsidRPr="00F90EAE" w:rsidRDefault="006103B3" w:rsidP="00F90EAE">
      <w:pPr>
        <w:autoSpaceDE w:val="0"/>
        <w:autoSpaceDN w:val="0"/>
        <w:adjustRightInd w:val="0"/>
        <w:jc w:val="both"/>
        <w:rPr>
          <w:color w:val="000000" w:themeColor="text1"/>
          <w:sz w:val="16"/>
          <w:szCs w:val="16"/>
        </w:rPr>
      </w:pPr>
    </w:p>
    <w:p w14:paraId="563BE628"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2F97AD3" w14:textId="77777777" w:rsidR="006103B3" w:rsidRPr="00F90EAE" w:rsidRDefault="006103B3" w:rsidP="00F90EAE">
      <w:pPr>
        <w:autoSpaceDE w:val="0"/>
        <w:autoSpaceDN w:val="0"/>
        <w:adjustRightInd w:val="0"/>
        <w:jc w:val="both"/>
        <w:rPr>
          <w:iCs/>
          <w:color w:val="000000" w:themeColor="text1"/>
          <w:sz w:val="16"/>
          <w:szCs w:val="16"/>
        </w:rPr>
      </w:pPr>
    </w:p>
    <w:p w14:paraId="47E9D8E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9193 [О реэвакуации в Москву завода №1 Метростроя.] (7352, 32).</w:t>
      </w:r>
    </w:p>
    <w:p w14:paraId="7131FC9D"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5B4FAD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9194 [О дополнительной поставке нефти СНК Узбекской ССР в III кв. 1945 г.] (7352, 33).</w:t>
      </w:r>
    </w:p>
    <w:p w14:paraId="2B06C71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E0FB84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9195 [О дополнительном выделении бензина Базстрою НКВД в июне 1945 г.] (7352, 34).</w:t>
      </w:r>
    </w:p>
    <w:p w14:paraId="7C1D8B9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4809C6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9196 [О мерах по обеспечению пропитки шпал на железнодорожном транспорте.] (7352, 35).</w:t>
      </w:r>
    </w:p>
    <w:p w14:paraId="24FD3480"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20D3C98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9197. О продлении до 1 августа 1945 г. срока работы военнообязанных на предприятиях НКрыбпрома в Каспийском бассейне. РГАНИР, Фонд ГКО, д. 430, лл. 36 (11012).</w:t>
      </w:r>
    </w:p>
    <w:p w14:paraId="77E5F369" w14:textId="77777777" w:rsidR="006103B3" w:rsidRPr="00F90EAE" w:rsidRDefault="006103B3" w:rsidP="00F90EAE">
      <w:pPr>
        <w:autoSpaceDE w:val="0"/>
        <w:autoSpaceDN w:val="0"/>
        <w:adjustRightInd w:val="0"/>
        <w:jc w:val="both"/>
        <w:rPr>
          <w:color w:val="000000" w:themeColor="text1"/>
          <w:sz w:val="16"/>
          <w:szCs w:val="16"/>
        </w:rPr>
      </w:pPr>
    </w:p>
    <w:p w14:paraId="4BB801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9198 О вывозе оборудования на заводы Наркомсредмаша. РГАНИР, Фонд ГКО, д. 430, лл. 37 (11012).</w:t>
      </w:r>
    </w:p>
    <w:p w14:paraId="6D0C2303" w14:textId="77777777" w:rsidR="006103B3" w:rsidRPr="00F90EAE" w:rsidRDefault="006103B3" w:rsidP="00F90EAE">
      <w:pPr>
        <w:autoSpaceDE w:val="0"/>
        <w:autoSpaceDN w:val="0"/>
        <w:adjustRightInd w:val="0"/>
        <w:jc w:val="both"/>
        <w:rPr>
          <w:color w:val="000000" w:themeColor="text1"/>
          <w:sz w:val="16"/>
          <w:szCs w:val="16"/>
        </w:rPr>
      </w:pPr>
    </w:p>
    <w:p w14:paraId="05A8102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9199 О вывозе оборудования для Наркомсредмаша. РГАНИР, Фонд ГКО, д. 430, лл. 38-39, 40 (11012).</w:t>
      </w:r>
    </w:p>
    <w:p w14:paraId="1B801E34" w14:textId="77777777" w:rsidR="006103B3" w:rsidRPr="00F90EAE" w:rsidRDefault="006103B3" w:rsidP="00F90EAE">
      <w:pPr>
        <w:autoSpaceDE w:val="0"/>
        <w:autoSpaceDN w:val="0"/>
        <w:adjustRightInd w:val="0"/>
        <w:jc w:val="both"/>
        <w:rPr>
          <w:color w:val="000000" w:themeColor="text1"/>
          <w:sz w:val="16"/>
          <w:szCs w:val="16"/>
        </w:rPr>
      </w:pPr>
    </w:p>
    <w:p w14:paraId="1D1384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9200 О вывозе образцов новейшей радиотехнической аппаратуры с трофейных складов в Курляндии на предприятия Наркомэлектропрома. РГАНИР, Фонд ГКО, д. 430, лл. 41-42 (11012).</w:t>
      </w:r>
    </w:p>
    <w:p w14:paraId="10D52416" w14:textId="77777777" w:rsidR="006103B3" w:rsidRPr="00F90EAE" w:rsidRDefault="006103B3" w:rsidP="00F90EAE">
      <w:pPr>
        <w:autoSpaceDE w:val="0"/>
        <w:autoSpaceDN w:val="0"/>
        <w:adjustRightInd w:val="0"/>
        <w:jc w:val="both"/>
        <w:rPr>
          <w:color w:val="000000" w:themeColor="text1"/>
          <w:sz w:val="16"/>
          <w:szCs w:val="16"/>
        </w:rPr>
      </w:pPr>
    </w:p>
    <w:p w14:paraId="5BD6078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9201 О вывозе 7 турбогенераторов общей мощностью 132 тысячи киловатт и 12 котлов с электростанций г. г. Мюкенберг, Плесс и Хемниц. РГАНИР, Фонд ГКО, д. 430, лл. 43-44 (11012).</w:t>
      </w:r>
    </w:p>
    <w:p w14:paraId="3CECA8D4" w14:textId="77777777" w:rsidR="006103B3" w:rsidRPr="00F90EAE" w:rsidRDefault="006103B3" w:rsidP="00F90EAE">
      <w:pPr>
        <w:autoSpaceDE w:val="0"/>
        <w:autoSpaceDN w:val="0"/>
        <w:adjustRightInd w:val="0"/>
        <w:jc w:val="both"/>
        <w:rPr>
          <w:color w:val="000000" w:themeColor="text1"/>
          <w:sz w:val="16"/>
          <w:szCs w:val="16"/>
        </w:rPr>
      </w:pPr>
    </w:p>
    <w:p w14:paraId="5E15A9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9202 О вывозе оборудования на заводы Наркомтяжмаша. РГАНИР, Фонд ГКО, д. 430, лл. 45-47, 48 (11012).</w:t>
      </w:r>
    </w:p>
    <w:p w14:paraId="00138CB5" w14:textId="77777777" w:rsidR="006103B3" w:rsidRPr="00F90EAE" w:rsidRDefault="006103B3" w:rsidP="00F90EAE">
      <w:pPr>
        <w:autoSpaceDE w:val="0"/>
        <w:autoSpaceDN w:val="0"/>
        <w:adjustRightInd w:val="0"/>
        <w:jc w:val="both"/>
        <w:rPr>
          <w:color w:val="000000" w:themeColor="text1"/>
          <w:sz w:val="16"/>
          <w:szCs w:val="16"/>
        </w:rPr>
      </w:pPr>
    </w:p>
    <w:p w14:paraId="0909B8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9203 О вывозе оборудования на заводы Наркомата станкостроения. РГАНИР, Фонд ГКО, д. 430, лл. 49-51, 52-53 (11012).</w:t>
      </w:r>
    </w:p>
    <w:p w14:paraId="54E48CFA" w14:textId="77777777" w:rsidR="006103B3" w:rsidRPr="00F90EAE" w:rsidRDefault="006103B3" w:rsidP="00F90EAE">
      <w:pPr>
        <w:autoSpaceDE w:val="0"/>
        <w:autoSpaceDN w:val="0"/>
        <w:adjustRightInd w:val="0"/>
        <w:jc w:val="both"/>
        <w:rPr>
          <w:color w:val="000000" w:themeColor="text1"/>
          <w:sz w:val="16"/>
          <w:szCs w:val="16"/>
        </w:rPr>
      </w:pPr>
    </w:p>
    <w:p w14:paraId="5F0124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9204 О вывозе оборудования 14 заводов из г. г. Дрезден, Бауцен, Гросс Хартелли на заводы Наркомата станкостроения. РГАНИР, Фонд ГКО, д. 430, лл. 54-56, 57-58 (11012).</w:t>
      </w:r>
    </w:p>
    <w:p w14:paraId="49D147E3" w14:textId="77777777" w:rsidR="006103B3" w:rsidRPr="00F90EAE" w:rsidRDefault="006103B3" w:rsidP="00F90EAE">
      <w:pPr>
        <w:autoSpaceDE w:val="0"/>
        <w:autoSpaceDN w:val="0"/>
        <w:adjustRightInd w:val="0"/>
        <w:jc w:val="both"/>
        <w:rPr>
          <w:color w:val="000000" w:themeColor="text1"/>
          <w:sz w:val="16"/>
          <w:szCs w:val="16"/>
        </w:rPr>
      </w:pPr>
    </w:p>
    <w:p w14:paraId="7CBFB3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9205 О вывозе оборудования 12 заводов из г. г. Хемниц, Дрезден, Вальденбург и Фрайберг на заводы Наркомата станкостроения. РГАНИР, Фонд ГКО, д. 430, лл. 59-61, 62-63 (11012).</w:t>
      </w:r>
    </w:p>
    <w:p w14:paraId="615B9529" w14:textId="77777777" w:rsidR="006103B3" w:rsidRPr="00F90EAE" w:rsidRDefault="006103B3" w:rsidP="00F90EAE">
      <w:pPr>
        <w:autoSpaceDE w:val="0"/>
        <w:autoSpaceDN w:val="0"/>
        <w:adjustRightInd w:val="0"/>
        <w:jc w:val="both"/>
        <w:rPr>
          <w:color w:val="000000" w:themeColor="text1"/>
          <w:sz w:val="16"/>
          <w:szCs w:val="16"/>
        </w:rPr>
      </w:pPr>
    </w:p>
    <w:p w14:paraId="1176260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9206 О вывозе оборудования с заводов электротехнической промышленности в г. г. Берлин и Фюнстервальде на предприятия Наркомэлектропрома. РГАНИР, Фонд ГКО, д. 430, лл. 64-65 (11012).</w:t>
      </w:r>
    </w:p>
    <w:p w14:paraId="7C9DB61A" w14:textId="77777777" w:rsidR="006103B3" w:rsidRPr="00F90EAE" w:rsidRDefault="006103B3" w:rsidP="00F90EAE">
      <w:pPr>
        <w:autoSpaceDE w:val="0"/>
        <w:autoSpaceDN w:val="0"/>
        <w:adjustRightInd w:val="0"/>
        <w:jc w:val="both"/>
        <w:rPr>
          <w:color w:val="000000" w:themeColor="text1"/>
          <w:sz w:val="16"/>
          <w:szCs w:val="16"/>
        </w:rPr>
      </w:pPr>
    </w:p>
    <w:p w14:paraId="4960024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9207 О вывозе оборудования немецких предприятий на особые базы. РГАНИР, Фонд ГКО, д. 430, лл. 66-67 (11012).</w:t>
      </w:r>
    </w:p>
    <w:p w14:paraId="03450B62" w14:textId="77777777" w:rsidR="006103B3" w:rsidRPr="00F90EAE" w:rsidRDefault="006103B3" w:rsidP="00F90EAE">
      <w:pPr>
        <w:autoSpaceDE w:val="0"/>
        <w:autoSpaceDN w:val="0"/>
        <w:adjustRightInd w:val="0"/>
        <w:jc w:val="both"/>
        <w:rPr>
          <w:color w:val="000000" w:themeColor="text1"/>
          <w:sz w:val="16"/>
          <w:szCs w:val="16"/>
        </w:rPr>
      </w:pPr>
    </w:p>
    <w:p w14:paraId="0AD2660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9208 О вывозе 720 станков из г. г. Дрезден и Хемниц для ремонтно-механических заводов Наркомата электростанций. РГАНИР, Фонд ГКО, д. 430, лл. 68 (11012).</w:t>
      </w:r>
    </w:p>
    <w:p w14:paraId="44A1C416" w14:textId="77777777" w:rsidR="006103B3" w:rsidRPr="00F90EAE" w:rsidRDefault="006103B3" w:rsidP="00F90EAE">
      <w:pPr>
        <w:autoSpaceDE w:val="0"/>
        <w:autoSpaceDN w:val="0"/>
        <w:adjustRightInd w:val="0"/>
        <w:jc w:val="both"/>
        <w:rPr>
          <w:color w:val="000000" w:themeColor="text1"/>
          <w:sz w:val="16"/>
          <w:szCs w:val="16"/>
        </w:rPr>
      </w:pPr>
    </w:p>
    <w:p w14:paraId="0CEC55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9209 О передаче в ведение Наркомата электростанций 4 электростанций общей мощностью 149 тысяч киловатт и высоковольтных сетей в районах Восточной Пруссии. РГАНИР, Фонд ГКО, д. 430, лл. 69-71 (11012).</w:t>
      </w:r>
    </w:p>
    <w:p w14:paraId="61A37D05" w14:textId="77777777" w:rsidR="006103B3" w:rsidRPr="00F90EAE" w:rsidRDefault="006103B3" w:rsidP="00F90EAE">
      <w:pPr>
        <w:autoSpaceDE w:val="0"/>
        <w:autoSpaceDN w:val="0"/>
        <w:adjustRightInd w:val="0"/>
        <w:jc w:val="both"/>
        <w:rPr>
          <w:color w:val="000000" w:themeColor="text1"/>
          <w:sz w:val="16"/>
          <w:szCs w:val="16"/>
        </w:rPr>
      </w:pPr>
    </w:p>
    <w:p w14:paraId="58001E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9210 О вывозе оборудования высоковольтного учебного института из г. Потсдам. РГАНИР, Фонд ГКО, д. 430, лл. 72-73 (11012).</w:t>
      </w:r>
    </w:p>
    <w:p w14:paraId="17AB8814" w14:textId="77777777" w:rsidR="006103B3" w:rsidRPr="00F90EAE" w:rsidRDefault="006103B3" w:rsidP="00F90EAE">
      <w:pPr>
        <w:autoSpaceDE w:val="0"/>
        <w:autoSpaceDN w:val="0"/>
        <w:adjustRightInd w:val="0"/>
        <w:jc w:val="both"/>
        <w:rPr>
          <w:color w:val="000000" w:themeColor="text1"/>
          <w:sz w:val="16"/>
          <w:szCs w:val="16"/>
        </w:rPr>
      </w:pPr>
    </w:p>
    <w:p w14:paraId="2A9031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9211 О возврате со складов в г. Заколан и местечке Одалена Вода (Чехословакия) вывезенного немцами оборудования Днепрогэс и других электростанций Украинской ССР. РГАНИР, Фонд ГКО, д. 430, лл. 74-75 (11012).</w:t>
      </w:r>
    </w:p>
    <w:p w14:paraId="78CE551E" w14:textId="77777777" w:rsidR="006103B3" w:rsidRPr="00F90EAE" w:rsidRDefault="006103B3" w:rsidP="00F90EAE">
      <w:pPr>
        <w:autoSpaceDE w:val="0"/>
        <w:autoSpaceDN w:val="0"/>
        <w:adjustRightInd w:val="0"/>
        <w:jc w:val="both"/>
        <w:rPr>
          <w:color w:val="000000" w:themeColor="text1"/>
          <w:sz w:val="16"/>
          <w:szCs w:val="16"/>
        </w:rPr>
      </w:pPr>
    </w:p>
    <w:p w14:paraId="1EA464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9212 О вывозе оборудования с немецких лесопильных и деревообрабатывающих заводов в г. г. Гюстров, Штафенгоген (Мекленбург) и Петерсдорф (Бранденбург) на строительные предприятия НКПС. РГАНИР, Фонд ГКО, д. 430, лл. 76-77 (11012).</w:t>
      </w:r>
    </w:p>
    <w:p w14:paraId="23B40F6F" w14:textId="77777777" w:rsidR="006103B3" w:rsidRPr="00F90EAE" w:rsidRDefault="006103B3" w:rsidP="00F90EAE">
      <w:pPr>
        <w:autoSpaceDE w:val="0"/>
        <w:autoSpaceDN w:val="0"/>
        <w:adjustRightInd w:val="0"/>
        <w:jc w:val="both"/>
        <w:rPr>
          <w:color w:val="000000" w:themeColor="text1"/>
          <w:sz w:val="16"/>
          <w:szCs w:val="16"/>
        </w:rPr>
      </w:pPr>
    </w:p>
    <w:p w14:paraId="4DC0E4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9213 О вывозе оборудования с немецких предприятий в г. г. Берлин, Рудов, Бабельсберг (близ Берлина) и Дрезден на предприятиях НКПС. РГАНИР, Фонд ГКО, д. 430, лл. 78-80 (11012).</w:t>
      </w:r>
    </w:p>
    <w:p w14:paraId="7C0EA229" w14:textId="77777777" w:rsidR="006103B3" w:rsidRPr="00F90EAE" w:rsidRDefault="006103B3" w:rsidP="00F90EAE">
      <w:pPr>
        <w:autoSpaceDE w:val="0"/>
        <w:autoSpaceDN w:val="0"/>
        <w:adjustRightInd w:val="0"/>
        <w:jc w:val="both"/>
        <w:rPr>
          <w:color w:val="000000" w:themeColor="text1"/>
          <w:sz w:val="16"/>
          <w:szCs w:val="16"/>
        </w:rPr>
      </w:pPr>
    </w:p>
    <w:p w14:paraId="587004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9214 О вывозе оборудования с филиала завода фирмы "Блаупункт" в г. Берлин для Гражданского воздушного флота (ГВФ). РГАНИР, Фонд ГКО, д. 430, лл. 81 (11012).</w:t>
      </w:r>
    </w:p>
    <w:p w14:paraId="5C608AD4" w14:textId="77777777" w:rsidR="006103B3" w:rsidRPr="00F90EAE" w:rsidRDefault="006103B3" w:rsidP="00F90EAE">
      <w:pPr>
        <w:autoSpaceDE w:val="0"/>
        <w:autoSpaceDN w:val="0"/>
        <w:adjustRightInd w:val="0"/>
        <w:jc w:val="both"/>
        <w:rPr>
          <w:color w:val="000000" w:themeColor="text1"/>
          <w:sz w:val="16"/>
          <w:szCs w:val="16"/>
        </w:rPr>
      </w:pPr>
    </w:p>
    <w:p w14:paraId="7EBAD6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9215 О вывозе оборудования с немецкой судостроительной верфи фирмы Энгельбрехт в г. Берлин. РГАНИР, Фонд ГКО, д. 430, лл. 82 (11012).</w:t>
      </w:r>
    </w:p>
    <w:p w14:paraId="60D55D14" w14:textId="77777777" w:rsidR="006103B3" w:rsidRPr="00F90EAE" w:rsidRDefault="006103B3" w:rsidP="00F90EAE">
      <w:pPr>
        <w:autoSpaceDE w:val="0"/>
        <w:autoSpaceDN w:val="0"/>
        <w:adjustRightInd w:val="0"/>
        <w:jc w:val="both"/>
        <w:rPr>
          <w:color w:val="000000" w:themeColor="text1"/>
          <w:sz w:val="16"/>
          <w:szCs w:val="16"/>
        </w:rPr>
      </w:pPr>
    </w:p>
    <w:p w14:paraId="7460AD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9216 О передаче Наркомречфлоту Кенигсбергских судоремонтных мастерских. РГАНИР, Фонд ГКО, д. 430, лл. 83 (11012).</w:t>
      </w:r>
    </w:p>
    <w:p w14:paraId="3BF26391" w14:textId="77777777" w:rsidR="006103B3" w:rsidRPr="00F90EAE" w:rsidRDefault="006103B3" w:rsidP="00F90EAE">
      <w:pPr>
        <w:autoSpaceDE w:val="0"/>
        <w:autoSpaceDN w:val="0"/>
        <w:adjustRightInd w:val="0"/>
        <w:jc w:val="both"/>
        <w:rPr>
          <w:color w:val="000000" w:themeColor="text1"/>
          <w:sz w:val="16"/>
          <w:szCs w:val="16"/>
        </w:rPr>
      </w:pPr>
    </w:p>
    <w:p w14:paraId="5CE276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9217 О вывозе оборудования с немецких заводов, расположенных в г. г. Козвит, Дамгартен, Грайфенберг и Вальденбург на предприятия Наркомсудпрома. РГАНИР, Фонд ГКО, д. 430, лл. 84-85 (11012).</w:t>
      </w:r>
    </w:p>
    <w:p w14:paraId="76DEBD5A" w14:textId="77777777" w:rsidR="006103B3" w:rsidRPr="00F90EAE" w:rsidRDefault="006103B3" w:rsidP="00F90EAE">
      <w:pPr>
        <w:autoSpaceDE w:val="0"/>
        <w:autoSpaceDN w:val="0"/>
        <w:adjustRightInd w:val="0"/>
        <w:jc w:val="both"/>
        <w:rPr>
          <w:color w:val="000000" w:themeColor="text1"/>
          <w:sz w:val="16"/>
          <w:szCs w:val="16"/>
        </w:rPr>
      </w:pPr>
    </w:p>
    <w:p w14:paraId="5A1312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9218 О вывозе радиолокационного имущества с немецкого научно-исследовательского института, расположенного в г. Геренпунк Коифт (остров Рюген). РГАНИР, Фонд ГКО, д. 430, лл. 86 (11012).</w:t>
      </w:r>
    </w:p>
    <w:p w14:paraId="28BC1BAB" w14:textId="77777777" w:rsidR="006103B3" w:rsidRPr="00F90EAE" w:rsidRDefault="006103B3" w:rsidP="00F90EAE">
      <w:pPr>
        <w:autoSpaceDE w:val="0"/>
        <w:autoSpaceDN w:val="0"/>
        <w:adjustRightInd w:val="0"/>
        <w:jc w:val="both"/>
        <w:rPr>
          <w:color w:val="000000" w:themeColor="text1"/>
          <w:sz w:val="16"/>
          <w:szCs w:val="16"/>
        </w:rPr>
      </w:pPr>
    </w:p>
    <w:p w14:paraId="537E44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9219 О вывозе оборудования по производству компрессоров, насосов и сельскохозяйственных машин с трех немецких заводов в г. г. Вишовсверде, Фрайталь и местечке Шлоттвитц. РГАНИР, Фонд ГКО, д. 430, лл. 87-88 (11012).</w:t>
      </w:r>
    </w:p>
    <w:p w14:paraId="2E183EAC" w14:textId="77777777" w:rsidR="006103B3" w:rsidRPr="00F90EAE" w:rsidRDefault="006103B3" w:rsidP="00F90EAE">
      <w:pPr>
        <w:autoSpaceDE w:val="0"/>
        <w:autoSpaceDN w:val="0"/>
        <w:adjustRightInd w:val="0"/>
        <w:jc w:val="both"/>
        <w:rPr>
          <w:color w:val="000000" w:themeColor="text1"/>
          <w:sz w:val="16"/>
          <w:szCs w:val="16"/>
        </w:rPr>
      </w:pPr>
    </w:p>
    <w:p w14:paraId="73290C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9220 О вывозе оборудования по производству весов, холодильных и текстильных машин с четырех немецких заводов в г. г. Берлин, Радеберг и Хемниц. РГАНИР, Фонд ГКО, д. 430, лл. 89-90 (11012).</w:t>
      </w:r>
    </w:p>
    <w:p w14:paraId="08D05C72" w14:textId="77777777" w:rsidR="006103B3" w:rsidRPr="00F90EAE" w:rsidRDefault="006103B3" w:rsidP="00F90EAE">
      <w:pPr>
        <w:autoSpaceDE w:val="0"/>
        <w:autoSpaceDN w:val="0"/>
        <w:adjustRightInd w:val="0"/>
        <w:jc w:val="both"/>
        <w:rPr>
          <w:color w:val="000000" w:themeColor="text1"/>
          <w:sz w:val="16"/>
          <w:szCs w:val="16"/>
        </w:rPr>
      </w:pPr>
    </w:p>
    <w:p w14:paraId="3C7736D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9221 О вывозе оборудования по производству деталей для часов и приборов, матриц для линотипов и насосов с четырех немецких заводов в г. г. Берлин и Хемниц. РГАНИР, Фонд ГКО, д. 430, лл. 91-92 (11012).</w:t>
      </w:r>
    </w:p>
    <w:p w14:paraId="447F9D23" w14:textId="77777777" w:rsidR="006103B3" w:rsidRPr="00F90EAE" w:rsidRDefault="006103B3" w:rsidP="00F90EAE">
      <w:pPr>
        <w:autoSpaceDE w:val="0"/>
        <w:autoSpaceDN w:val="0"/>
        <w:adjustRightInd w:val="0"/>
        <w:jc w:val="both"/>
        <w:rPr>
          <w:color w:val="000000" w:themeColor="text1"/>
          <w:sz w:val="16"/>
          <w:szCs w:val="16"/>
        </w:rPr>
      </w:pPr>
    </w:p>
    <w:p w14:paraId="6EBC29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9222 О вывозе оборудования по производству пишущих, швейных, чулочных и текстильных машин с пяти немецких заводов в г. г. Берлин, Дрезден, Гайденау и Хемниц. РГАНИР, Фонд ГКО, д. 430, лл. 93-94 (11012).</w:t>
      </w:r>
    </w:p>
    <w:p w14:paraId="437F8953" w14:textId="77777777" w:rsidR="006103B3" w:rsidRPr="00F90EAE" w:rsidRDefault="006103B3" w:rsidP="00F90EAE">
      <w:pPr>
        <w:autoSpaceDE w:val="0"/>
        <w:autoSpaceDN w:val="0"/>
        <w:adjustRightInd w:val="0"/>
        <w:jc w:val="both"/>
        <w:rPr>
          <w:color w:val="000000" w:themeColor="text1"/>
          <w:sz w:val="16"/>
          <w:szCs w:val="16"/>
        </w:rPr>
      </w:pPr>
    </w:p>
    <w:p w14:paraId="0EC418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9223 О вывозе оборудования с цвето-литейного завода фирмы "Приппенав" в г. Хемниц. РГАНИР, Фонд ГКО, д. 430, лл. 95-96 (11012).</w:t>
      </w:r>
    </w:p>
    <w:p w14:paraId="13EFE765" w14:textId="77777777" w:rsidR="006103B3" w:rsidRPr="00F90EAE" w:rsidRDefault="006103B3" w:rsidP="00F90EAE">
      <w:pPr>
        <w:autoSpaceDE w:val="0"/>
        <w:autoSpaceDN w:val="0"/>
        <w:adjustRightInd w:val="0"/>
        <w:jc w:val="both"/>
        <w:rPr>
          <w:color w:val="000000" w:themeColor="text1"/>
          <w:sz w:val="16"/>
          <w:szCs w:val="16"/>
        </w:rPr>
      </w:pPr>
    </w:p>
    <w:p w14:paraId="758CCA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9224 О вывозе оборудования с трех немецких оптических заводов фирмы "Астра-Гезельшафт" в г. Носсен, "Гуго Майер" в г. Герлиц и "Гильдебранда" в районе г. Дрезден. РГАНИР, Фонд ГКО, д. 430, лл. 97-98 (11012).</w:t>
      </w:r>
    </w:p>
    <w:p w14:paraId="353A1084" w14:textId="77777777" w:rsidR="006103B3" w:rsidRPr="00F90EAE" w:rsidRDefault="006103B3" w:rsidP="00F90EAE">
      <w:pPr>
        <w:autoSpaceDE w:val="0"/>
        <w:autoSpaceDN w:val="0"/>
        <w:adjustRightInd w:val="0"/>
        <w:jc w:val="both"/>
        <w:rPr>
          <w:color w:val="000000" w:themeColor="text1"/>
          <w:sz w:val="16"/>
          <w:szCs w:val="16"/>
        </w:rPr>
      </w:pPr>
    </w:p>
    <w:p w14:paraId="0F986D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9225 О вывозе оборудования по производству патронов с немецкого завода Фирмы "Верк С" (Зальцман) в г. Одеран (Германия). РГАНИР, Фонд ГКО, д. 430, лл. 99 (11012).</w:t>
      </w:r>
    </w:p>
    <w:p w14:paraId="65A5D22D" w14:textId="77777777" w:rsidR="006103B3" w:rsidRPr="00F90EAE" w:rsidRDefault="006103B3" w:rsidP="00F90EAE">
      <w:pPr>
        <w:autoSpaceDE w:val="0"/>
        <w:autoSpaceDN w:val="0"/>
        <w:adjustRightInd w:val="0"/>
        <w:jc w:val="both"/>
        <w:rPr>
          <w:color w:val="000000" w:themeColor="text1"/>
          <w:sz w:val="16"/>
          <w:szCs w:val="16"/>
        </w:rPr>
      </w:pPr>
    </w:p>
    <w:p w14:paraId="257CF2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9226 О вывозе оборудования по производству фаустпатронов с немецкого завода фирмы "Роб Тюммлер" в г. Дёбельн. РГАНИР, Фонд ГКО, д. 430, лл. 100 (11012).</w:t>
      </w:r>
    </w:p>
    <w:p w14:paraId="457C4066" w14:textId="77777777" w:rsidR="006103B3" w:rsidRPr="00F90EAE" w:rsidRDefault="006103B3" w:rsidP="00F90EAE">
      <w:pPr>
        <w:autoSpaceDE w:val="0"/>
        <w:autoSpaceDN w:val="0"/>
        <w:adjustRightInd w:val="0"/>
        <w:jc w:val="both"/>
        <w:rPr>
          <w:color w:val="000000" w:themeColor="text1"/>
          <w:sz w:val="16"/>
          <w:szCs w:val="16"/>
        </w:rPr>
      </w:pPr>
    </w:p>
    <w:p w14:paraId="4ABF68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9227 О вывозе оборудования с медеэлектролитного завода "Хюгенверке Кайзер" в г. Ораниенбург для Наркомцветмета. РГАНИР, Фонд ГКО, д. 430, лл. 101-102 (11012).</w:t>
      </w:r>
    </w:p>
    <w:p w14:paraId="2C10B38E" w14:textId="77777777" w:rsidR="006103B3" w:rsidRPr="00F90EAE" w:rsidRDefault="006103B3" w:rsidP="00F90EAE">
      <w:pPr>
        <w:autoSpaceDE w:val="0"/>
        <w:autoSpaceDN w:val="0"/>
        <w:adjustRightInd w:val="0"/>
        <w:jc w:val="both"/>
        <w:rPr>
          <w:color w:val="000000" w:themeColor="text1"/>
          <w:sz w:val="16"/>
          <w:szCs w:val="16"/>
        </w:rPr>
      </w:pPr>
    </w:p>
    <w:p w14:paraId="17C50BC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9228 О вывозе оборудования с металлургического завода "Лаухгаммерверке" фирмы "Миттельдейтше Штальверке" в поселке Гредитц (район г. Ризе) для Наркомчермета и Наркомбоеприпасов. РГАНИР, Фонд ГКО, д. 430, лл. 103-104 (11012).</w:t>
      </w:r>
    </w:p>
    <w:p w14:paraId="7D62A0AB" w14:textId="77777777" w:rsidR="006103B3" w:rsidRPr="00F90EAE" w:rsidRDefault="006103B3" w:rsidP="00F90EAE">
      <w:pPr>
        <w:autoSpaceDE w:val="0"/>
        <w:autoSpaceDN w:val="0"/>
        <w:adjustRightInd w:val="0"/>
        <w:jc w:val="both"/>
        <w:rPr>
          <w:color w:val="000000" w:themeColor="text1"/>
          <w:sz w:val="16"/>
          <w:szCs w:val="16"/>
        </w:rPr>
      </w:pPr>
    </w:p>
    <w:p w14:paraId="4BBAC1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9229 О вывозе оборудования и материалов с немецких заводов и складов в г. г. Бранденбург, Франкенберг, Фрейберг, Мальхин, Брюель и Штернберг для Наркомавиапрома. РГАНИР, Фонд ГКО, д. 430, лл. 105-107 (11012).</w:t>
      </w:r>
    </w:p>
    <w:p w14:paraId="56938059" w14:textId="77777777" w:rsidR="006103B3" w:rsidRPr="00F90EAE" w:rsidRDefault="006103B3" w:rsidP="00F90EAE">
      <w:pPr>
        <w:autoSpaceDE w:val="0"/>
        <w:autoSpaceDN w:val="0"/>
        <w:adjustRightInd w:val="0"/>
        <w:jc w:val="both"/>
        <w:rPr>
          <w:color w:val="000000" w:themeColor="text1"/>
          <w:sz w:val="16"/>
          <w:szCs w:val="16"/>
        </w:rPr>
      </w:pPr>
    </w:p>
    <w:p w14:paraId="73AFAB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26 июня 1945 вышло Постановление ГКО № 9230 О вывозе оборудования с химических и металлообрабатывающих предприятий из районов г. г. Дрезден, Хемниц и Виттенберг на предприятия Наркомхимпрома. РГАНИР, Фонд ГКО, д. 430, лл. 108-111 (11012).</w:t>
      </w:r>
    </w:p>
    <w:p w14:paraId="3557018C" w14:textId="77777777" w:rsidR="006103B3" w:rsidRPr="00F90EAE" w:rsidRDefault="006103B3" w:rsidP="00F90EAE">
      <w:pPr>
        <w:autoSpaceDE w:val="0"/>
        <w:autoSpaceDN w:val="0"/>
        <w:adjustRightInd w:val="0"/>
        <w:jc w:val="both"/>
        <w:rPr>
          <w:color w:val="000000" w:themeColor="text1"/>
          <w:sz w:val="16"/>
          <w:szCs w:val="16"/>
        </w:rPr>
      </w:pPr>
    </w:p>
    <w:p w14:paraId="65E320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9231 О вывозе оборудования с завода по производству противогазов акционерного общества "Ауер-Гезельшафт" в г. Ораниенбурге, с завода пластмасс "Шпилькар Бурги Меденгафен" в г. Цоссени др.РГАНИР, Фонд ГКО, д. 430, лл. 112-114 (11012).</w:t>
      </w:r>
    </w:p>
    <w:p w14:paraId="5555CFF6" w14:textId="77777777" w:rsidR="006103B3" w:rsidRPr="00F90EAE" w:rsidRDefault="006103B3" w:rsidP="00F90EAE">
      <w:pPr>
        <w:autoSpaceDE w:val="0"/>
        <w:autoSpaceDN w:val="0"/>
        <w:adjustRightInd w:val="0"/>
        <w:jc w:val="both"/>
        <w:rPr>
          <w:color w:val="000000" w:themeColor="text1"/>
          <w:sz w:val="16"/>
          <w:szCs w:val="16"/>
        </w:rPr>
      </w:pPr>
    </w:p>
    <w:p w14:paraId="5817EF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9232 О вывозе оборудования завода по производству резиновых деталей и шлангов высокого давления фирмы "Пека Гуммиверке" в г. Берлин. РГАНИР, Фонд ГКО, д. 430, лл. 115 (11012).</w:t>
      </w:r>
    </w:p>
    <w:p w14:paraId="2938BCA7" w14:textId="77777777" w:rsidR="006103B3" w:rsidRPr="00F90EAE" w:rsidRDefault="006103B3" w:rsidP="00F90EAE">
      <w:pPr>
        <w:autoSpaceDE w:val="0"/>
        <w:autoSpaceDN w:val="0"/>
        <w:adjustRightInd w:val="0"/>
        <w:jc w:val="both"/>
        <w:rPr>
          <w:color w:val="000000" w:themeColor="text1"/>
          <w:sz w:val="16"/>
          <w:szCs w:val="16"/>
        </w:rPr>
      </w:pPr>
    </w:p>
    <w:p w14:paraId="00AA0A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9233 О вывозе оборудования и архивов Института растительной физиологии из г. Берлин во Всесоюзный научно-исследовательский институт каучуконосов Наркомрезинпрома. РГАНИР, Фонд ГКО, д. 430, лл. 116 (11012).</w:t>
      </w:r>
    </w:p>
    <w:p w14:paraId="1661439D" w14:textId="77777777" w:rsidR="006103B3" w:rsidRPr="00F90EAE" w:rsidRDefault="006103B3" w:rsidP="00F90EAE">
      <w:pPr>
        <w:autoSpaceDE w:val="0"/>
        <w:autoSpaceDN w:val="0"/>
        <w:adjustRightInd w:val="0"/>
        <w:jc w:val="both"/>
        <w:rPr>
          <w:color w:val="000000" w:themeColor="text1"/>
          <w:sz w:val="16"/>
          <w:szCs w:val="16"/>
        </w:rPr>
      </w:pPr>
    </w:p>
    <w:p w14:paraId="2C6BAE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9234 О вывозе оборудования с механических, лесопильных и кирпичных заводов Германии на предприятия Наркомстроя. РГАНИР, Фонд ГКО, д. 430, лл. 117-122 (11012).</w:t>
      </w:r>
    </w:p>
    <w:p w14:paraId="3A157996" w14:textId="77777777" w:rsidR="006103B3" w:rsidRPr="00F90EAE" w:rsidRDefault="006103B3" w:rsidP="00F90EAE">
      <w:pPr>
        <w:autoSpaceDE w:val="0"/>
        <w:autoSpaceDN w:val="0"/>
        <w:adjustRightInd w:val="0"/>
        <w:jc w:val="both"/>
        <w:rPr>
          <w:color w:val="000000" w:themeColor="text1"/>
          <w:sz w:val="16"/>
          <w:szCs w:val="16"/>
        </w:rPr>
      </w:pPr>
    </w:p>
    <w:p w14:paraId="64E63D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9235 О вывозе оборудования радиостанций немецкого морского ведомства из г. Свинемюнде и населенных пунктов Штуппенкоммер и Гроссцикен (остров Рюген). РГАНИР, Фонд ГКО, д. 430, лл. 123-124 (11012).</w:t>
      </w:r>
    </w:p>
    <w:p w14:paraId="6FD07815" w14:textId="77777777" w:rsidR="006103B3" w:rsidRPr="00F90EAE" w:rsidRDefault="006103B3" w:rsidP="00F90EAE">
      <w:pPr>
        <w:autoSpaceDE w:val="0"/>
        <w:autoSpaceDN w:val="0"/>
        <w:adjustRightInd w:val="0"/>
        <w:jc w:val="both"/>
        <w:rPr>
          <w:color w:val="000000" w:themeColor="text1"/>
          <w:sz w:val="16"/>
          <w:szCs w:val="16"/>
        </w:rPr>
      </w:pPr>
    </w:p>
    <w:p w14:paraId="2B9BC1E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9236 О вывозе из Германии железнодорожных рельс широкой колеи для строительства железной дороги Мукри-Гаурдак в Туркменистане. РГАНИР, Фонд ГКО, д. 430, лл. 125-126 (11012).</w:t>
      </w:r>
    </w:p>
    <w:p w14:paraId="11699F25" w14:textId="77777777" w:rsidR="006103B3" w:rsidRPr="00F90EAE" w:rsidRDefault="006103B3" w:rsidP="00F90EAE">
      <w:pPr>
        <w:autoSpaceDE w:val="0"/>
        <w:autoSpaceDN w:val="0"/>
        <w:adjustRightInd w:val="0"/>
        <w:jc w:val="both"/>
        <w:rPr>
          <w:color w:val="000000" w:themeColor="text1"/>
          <w:sz w:val="16"/>
          <w:szCs w:val="16"/>
        </w:rPr>
      </w:pPr>
    </w:p>
    <w:p w14:paraId="1C0B10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9237 О вывозе из г. Берлин оборудования механических предприятий для Наркомстроя. РГАНИР, Фонд ГКО, д. 430, лл. 127-129 (11012).</w:t>
      </w:r>
    </w:p>
    <w:p w14:paraId="6F74AD99" w14:textId="77777777" w:rsidR="006103B3" w:rsidRPr="00F90EAE" w:rsidRDefault="006103B3" w:rsidP="00F90EAE">
      <w:pPr>
        <w:autoSpaceDE w:val="0"/>
        <w:autoSpaceDN w:val="0"/>
        <w:adjustRightInd w:val="0"/>
        <w:jc w:val="both"/>
        <w:rPr>
          <w:color w:val="000000" w:themeColor="text1"/>
          <w:sz w:val="16"/>
          <w:szCs w:val="16"/>
        </w:rPr>
      </w:pPr>
    </w:p>
    <w:p w14:paraId="6A34BA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9238 О вывозе оборудования с предприятий Германии для Наркомстроя. РГАНИР, Фонд ГКО, д. 430, лл. 130-133 (11012).</w:t>
      </w:r>
    </w:p>
    <w:p w14:paraId="03EC13AB" w14:textId="77777777" w:rsidR="006103B3" w:rsidRPr="00F90EAE" w:rsidRDefault="006103B3" w:rsidP="00F90EAE">
      <w:pPr>
        <w:autoSpaceDE w:val="0"/>
        <w:autoSpaceDN w:val="0"/>
        <w:adjustRightInd w:val="0"/>
        <w:jc w:val="both"/>
        <w:rPr>
          <w:color w:val="000000" w:themeColor="text1"/>
          <w:sz w:val="16"/>
          <w:szCs w:val="16"/>
        </w:rPr>
      </w:pPr>
    </w:p>
    <w:p w14:paraId="12BB2D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9239 О вывозе оборудования цементного завода и 3 заводов бетонно-шлаковых конструкций на завод Наркомстройматериалов СССР. РГАНИР, Фонд ГКО, д. 430, лл. 134-135 (11012).</w:t>
      </w:r>
    </w:p>
    <w:p w14:paraId="31BB88AA" w14:textId="77777777" w:rsidR="006103B3" w:rsidRPr="00F90EAE" w:rsidRDefault="006103B3" w:rsidP="00F90EAE">
      <w:pPr>
        <w:autoSpaceDE w:val="0"/>
        <w:autoSpaceDN w:val="0"/>
        <w:adjustRightInd w:val="0"/>
        <w:jc w:val="both"/>
        <w:rPr>
          <w:color w:val="000000" w:themeColor="text1"/>
          <w:sz w:val="16"/>
          <w:szCs w:val="16"/>
        </w:rPr>
      </w:pPr>
    </w:p>
    <w:p w14:paraId="0276A5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9240 О вывозе оборудования немецких заводов для восстановления производства рулонных кровельных материалов на предприятиях Наркомстройматериалов СССР. РГАНИР, Фонд ГКО, д. 430, лл. 136-138, 139 (11012).</w:t>
      </w:r>
    </w:p>
    <w:p w14:paraId="1CC333E4" w14:textId="77777777" w:rsidR="006103B3" w:rsidRPr="00F90EAE" w:rsidRDefault="006103B3" w:rsidP="00F90EAE">
      <w:pPr>
        <w:autoSpaceDE w:val="0"/>
        <w:autoSpaceDN w:val="0"/>
        <w:adjustRightInd w:val="0"/>
        <w:jc w:val="both"/>
        <w:rPr>
          <w:color w:val="000000" w:themeColor="text1"/>
          <w:sz w:val="16"/>
          <w:szCs w:val="16"/>
        </w:rPr>
      </w:pPr>
    </w:p>
    <w:p w14:paraId="07AA6E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9241 О вывозе оборудования немецких заводов для восстановления производства санитарно-технических изделий на предприятиях Наркомстройматериалов СССР. РГАНИР, Фонд ГКО, д. 430, лл. 140-142, 143-144 (11012).</w:t>
      </w:r>
    </w:p>
    <w:p w14:paraId="306A5996" w14:textId="77777777" w:rsidR="006103B3" w:rsidRPr="00F90EAE" w:rsidRDefault="006103B3" w:rsidP="00F90EAE">
      <w:pPr>
        <w:autoSpaceDE w:val="0"/>
        <w:autoSpaceDN w:val="0"/>
        <w:adjustRightInd w:val="0"/>
        <w:jc w:val="both"/>
        <w:rPr>
          <w:color w:val="000000" w:themeColor="text1"/>
          <w:sz w:val="16"/>
          <w:szCs w:val="16"/>
        </w:rPr>
      </w:pPr>
    </w:p>
    <w:p w14:paraId="7AFBAD8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9242 О вывозе оборудования меловых карьеров на острове Рюген на заводы Наркомстройматериалов СССР. РГАНИР, Фонд ГКО, д. 430, лл. 145-146 (11012).</w:t>
      </w:r>
    </w:p>
    <w:p w14:paraId="243CEC4F" w14:textId="77777777" w:rsidR="006103B3" w:rsidRPr="00F90EAE" w:rsidRDefault="006103B3" w:rsidP="00F90EAE">
      <w:pPr>
        <w:autoSpaceDE w:val="0"/>
        <w:autoSpaceDN w:val="0"/>
        <w:adjustRightInd w:val="0"/>
        <w:jc w:val="both"/>
        <w:rPr>
          <w:color w:val="000000" w:themeColor="text1"/>
          <w:sz w:val="16"/>
          <w:szCs w:val="16"/>
        </w:rPr>
      </w:pPr>
    </w:p>
    <w:p w14:paraId="50426B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9243 О вывозе оборудования с трех лесопильных заводов в районе г. Мюльхаузен (Померания) на предприятия Наркомгражданстроя РСФСР. РГАНИР, Фонд ГКО, д. 430, лл. 147-148 (11012).</w:t>
      </w:r>
    </w:p>
    <w:p w14:paraId="1F283D5C" w14:textId="77777777" w:rsidR="006103B3" w:rsidRPr="00F90EAE" w:rsidRDefault="006103B3" w:rsidP="00F90EAE">
      <w:pPr>
        <w:autoSpaceDE w:val="0"/>
        <w:autoSpaceDN w:val="0"/>
        <w:adjustRightInd w:val="0"/>
        <w:jc w:val="both"/>
        <w:rPr>
          <w:color w:val="000000" w:themeColor="text1"/>
          <w:sz w:val="16"/>
          <w:szCs w:val="16"/>
        </w:rPr>
      </w:pPr>
    </w:p>
    <w:p w14:paraId="65C6B0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9244 О вывозе оборудования немецкого завода фирмы "Рапидо-Верке" в г. Радебойль - Дрезден. РГАНИР, Фонд ГКО, д. 430, лл. 149 (11012).</w:t>
      </w:r>
    </w:p>
    <w:p w14:paraId="126F67DE" w14:textId="77777777" w:rsidR="006103B3" w:rsidRPr="00F90EAE" w:rsidRDefault="006103B3" w:rsidP="00F90EAE">
      <w:pPr>
        <w:autoSpaceDE w:val="0"/>
        <w:autoSpaceDN w:val="0"/>
        <w:adjustRightInd w:val="0"/>
        <w:jc w:val="both"/>
        <w:rPr>
          <w:color w:val="000000" w:themeColor="text1"/>
          <w:sz w:val="16"/>
          <w:szCs w:val="16"/>
        </w:rPr>
      </w:pPr>
    </w:p>
    <w:p w14:paraId="56F058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9245 О вывозе оборудования завода паровой и водопроводной арматуры фирмы "Карл Зайдман" в г. Берлин. РГАНИР, Фонд ГКО, д. 430, лл. 150 (11012).</w:t>
      </w:r>
    </w:p>
    <w:p w14:paraId="5D90A5E2" w14:textId="77777777" w:rsidR="006103B3" w:rsidRPr="00F90EAE" w:rsidRDefault="006103B3" w:rsidP="00F90EAE">
      <w:pPr>
        <w:autoSpaceDE w:val="0"/>
        <w:autoSpaceDN w:val="0"/>
        <w:adjustRightInd w:val="0"/>
        <w:jc w:val="both"/>
        <w:rPr>
          <w:color w:val="000000" w:themeColor="text1"/>
          <w:sz w:val="16"/>
          <w:szCs w:val="16"/>
        </w:rPr>
      </w:pPr>
    </w:p>
    <w:p w14:paraId="1138BF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9246 О вывозе оборудования и имущества из немецкого военно-морского минно-трального арсенала на острове Рюген. РГАНИР, Фонд ГКО, д. 430, лл. 151 (11012).</w:t>
      </w:r>
    </w:p>
    <w:p w14:paraId="49258FA6" w14:textId="77777777" w:rsidR="006103B3" w:rsidRPr="00F90EAE" w:rsidRDefault="006103B3" w:rsidP="00F90EAE">
      <w:pPr>
        <w:autoSpaceDE w:val="0"/>
        <w:autoSpaceDN w:val="0"/>
        <w:adjustRightInd w:val="0"/>
        <w:jc w:val="both"/>
        <w:rPr>
          <w:color w:val="000000" w:themeColor="text1"/>
          <w:sz w:val="16"/>
          <w:szCs w:val="16"/>
        </w:rPr>
      </w:pPr>
    </w:p>
    <w:p w14:paraId="4104B1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9247 О вывозе оборудования немецких предприятий на предприятия Наркомтекстиля СССР. РГАНИР, Фонд ГКО, д. 430, лл. 152-156, 157-158 (11012).</w:t>
      </w:r>
    </w:p>
    <w:p w14:paraId="6C1FAE5A" w14:textId="77777777" w:rsidR="006103B3" w:rsidRPr="00F90EAE" w:rsidRDefault="006103B3" w:rsidP="00F90EAE">
      <w:pPr>
        <w:autoSpaceDE w:val="0"/>
        <w:autoSpaceDN w:val="0"/>
        <w:adjustRightInd w:val="0"/>
        <w:jc w:val="both"/>
        <w:rPr>
          <w:color w:val="000000" w:themeColor="text1"/>
          <w:sz w:val="16"/>
          <w:szCs w:val="16"/>
        </w:rPr>
      </w:pPr>
    </w:p>
    <w:p w14:paraId="1670A1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9248 О вывозе санитарно-технического и электроустановочного оборудования с трофейных складов 1-го Украинского фронта для НКГБ СССР. РГАНИР, Фонд ГКО, д. 430, лл. 159, 160-161 (11012).</w:t>
      </w:r>
    </w:p>
    <w:p w14:paraId="79EB518F" w14:textId="77777777" w:rsidR="006103B3" w:rsidRPr="00F90EAE" w:rsidRDefault="006103B3" w:rsidP="00F90EAE">
      <w:pPr>
        <w:autoSpaceDE w:val="0"/>
        <w:autoSpaceDN w:val="0"/>
        <w:adjustRightInd w:val="0"/>
        <w:jc w:val="both"/>
        <w:rPr>
          <w:color w:val="000000" w:themeColor="text1"/>
          <w:sz w:val="16"/>
          <w:szCs w:val="16"/>
        </w:rPr>
      </w:pPr>
    </w:p>
    <w:p w14:paraId="53A4E6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9249 О вывозе станочного оборудования с механической мастерской "Отто Вальцер" в г. Берлин, санитарно-технического и электроустановочного имущества с трофейных складов 1-го Белорусского фронта на базы НКГБ СССР в Москву. РГАНИР, Фонд ГКО, д. 430, лл. 162-165 (11012).</w:t>
      </w:r>
    </w:p>
    <w:p w14:paraId="783B8488" w14:textId="77777777" w:rsidR="006103B3" w:rsidRPr="00F90EAE" w:rsidRDefault="006103B3" w:rsidP="00F90EAE">
      <w:pPr>
        <w:autoSpaceDE w:val="0"/>
        <w:autoSpaceDN w:val="0"/>
        <w:adjustRightInd w:val="0"/>
        <w:jc w:val="both"/>
        <w:rPr>
          <w:color w:val="000000" w:themeColor="text1"/>
          <w:sz w:val="16"/>
          <w:szCs w:val="16"/>
        </w:rPr>
      </w:pPr>
    </w:p>
    <w:p w14:paraId="1E585A5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9250 О вывозе оборудования с немецких предприятий Саксонии на стройки и в лагеря НКВРГАНИР, Фонд ГКО, д. РГАНИР, Фонд ГКО, д. 430, лл. 166-167 (11012).</w:t>
      </w:r>
    </w:p>
    <w:p w14:paraId="3E8E2B59" w14:textId="77777777" w:rsidR="006103B3" w:rsidRPr="00F90EAE" w:rsidRDefault="006103B3" w:rsidP="00F90EAE">
      <w:pPr>
        <w:autoSpaceDE w:val="0"/>
        <w:autoSpaceDN w:val="0"/>
        <w:adjustRightInd w:val="0"/>
        <w:jc w:val="both"/>
        <w:rPr>
          <w:color w:val="000000" w:themeColor="text1"/>
          <w:sz w:val="16"/>
          <w:szCs w:val="16"/>
        </w:rPr>
      </w:pPr>
    </w:p>
    <w:p w14:paraId="6F21BF3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9251 О вывозе оборудования с аэродрома Вустров Ростокского округа на базу аэродромного строительства НКВРГАНИР, Фонд ГКО, д. РГАНИР, Фонд ГКО, д. 430, лл. 168 (11012).</w:t>
      </w:r>
    </w:p>
    <w:p w14:paraId="7CB15833" w14:textId="77777777" w:rsidR="006103B3" w:rsidRPr="00F90EAE" w:rsidRDefault="006103B3" w:rsidP="00F90EAE">
      <w:pPr>
        <w:autoSpaceDE w:val="0"/>
        <w:autoSpaceDN w:val="0"/>
        <w:adjustRightInd w:val="0"/>
        <w:jc w:val="both"/>
        <w:rPr>
          <w:color w:val="000000" w:themeColor="text1"/>
          <w:sz w:val="16"/>
          <w:szCs w:val="16"/>
        </w:rPr>
      </w:pPr>
    </w:p>
    <w:p w14:paraId="3A9197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9252 О вывозе с четырех заводов оборудования по производству звукозаписывающей, звукопроизводящей и киноаппаратуры в г. г. Бюкхен (вблизи г. Котбус), Минхендорф (вблизи г. Берлин), Ратенов и Штарков. РГАНИР, Фонд ГКО, д. 430, лл. 169-170 (11012).</w:t>
      </w:r>
    </w:p>
    <w:p w14:paraId="7E78CC36" w14:textId="77777777" w:rsidR="006103B3" w:rsidRPr="00F90EAE" w:rsidRDefault="006103B3" w:rsidP="00F90EAE">
      <w:pPr>
        <w:autoSpaceDE w:val="0"/>
        <w:autoSpaceDN w:val="0"/>
        <w:adjustRightInd w:val="0"/>
        <w:jc w:val="both"/>
        <w:rPr>
          <w:color w:val="000000" w:themeColor="text1"/>
          <w:sz w:val="16"/>
          <w:szCs w:val="16"/>
        </w:rPr>
      </w:pPr>
    </w:p>
    <w:p w14:paraId="7B3F3DC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9253 О вывозе полиграфического оборудования из г. г. Берлин, Бельциг, Беелитц и Вена. РГАНИР, Фонд ГКО, д. 430, лл. 171-173 (11012).</w:t>
      </w:r>
    </w:p>
    <w:p w14:paraId="44321FC3" w14:textId="77777777" w:rsidR="006103B3" w:rsidRPr="00F90EAE" w:rsidRDefault="006103B3" w:rsidP="00F90EAE">
      <w:pPr>
        <w:autoSpaceDE w:val="0"/>
        <w:autoSpaceDN w:val="0"/>
        <w:adjustRightInd w:val="0"/>
        <w:jc w:val="both"/>
        <w:rPr>
          <w:color w:val="000000" w:themeColor="text1"/>
          <w:sz w:val="16"/>
          <w:szCs w:val="16"/>
        </w:rPr>
      </w:pPr>
    </w:p>
    <w:p w14:paraId="51F94A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9254 О вывозе 30 000 копальных лопат и 15 000 топоров с трофейных складов инженерных войск Красной Армии. РГАНИР, Фонд ГКО, д. 430, лл. 174 (11012).</w:t>
      </w:r>
    </w:p>
    <w:p w14:paraId="63A3D98A" w14:textId="77777777" w:rsidR="006103B3" w:rsidRPr="00F90EAE" w:rsidRDefault="006103B3" w:rsidP="00F90EAE">
      <w:pPr>
        <w:autoSpaceDE w:val="0"/>
        <w:autoSpaceDN w:val="0"/>
        <w:adjustRightInd w:val="0"/>
        <w:jc w:val="both"/>
        <w:rPr>
          <w:color w:val="000000" w:themeColor="text1"/>
          <w:sz w:val="16"/>
          <w:szCs w:val="16"/>
        </w:rPr>
      </w:pPr>
    </w:p>
    <w:p w14:paraId="1FDD69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9255 О вывозе лаборатории и станочного оборудования, реактивов и технической библиотеки из разрушенных зданий Высшего технического училища и с трофейных складов в г. Берлин. РГАНИР, Фонд ГКО, д. 430, лл. 175-176 (11012).</w:t>
      </w:r>
    </w:p>
    <w:p w14:paraId="0C16392E" w14:textId="77777777" w:rsidR="006103B3" w:rsidRPr="00F90EAE" w:rsidRDefault="006103B3" w:rsidP="00F90EAE">
      <w:pPr>
        <w:autoSpaceDE w:val="0"/>
        <w:autoSpaceDN w:val="0"/>
        <w:adjustRightInd w:val="0"/>
        <w:jc w:val="both"/>
        <w:rPr>
          <w:color w:val="000000" w:themeColor="text1"/>
          <w:sz w:val="16"/>
          <w:szCs w:val="16"/>
        </w:rPr>
      </w:pPr>
    </w:p>
    <w:p w14:paraId="4B9C63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9256 О вывозе художественных ценностей с трофейных складов в г. Дрезден. РГАНИР, Фонд ГКО, д. 430, лл. 177-178 (11012).</w:t>
      </w:r>
    </w:p>
    <w:p w14:paraId="49A85550" w14:textId="77777777" w:rsidR="006103B3" w:rsidRPr="00F90EAE" w:rsidRDefault="006103B3" w:rsidP="00F90EAE">
      <w:pPr>
        <w:autoSpaceDE w:val="0"/>
        <w:autoSpaceDN w:val="0"/>
        <w:adjustRightInd w:val="0"/>
        <w:jc w:val="both"/>
        <w:rPr>
          <w:color w:val="000000" w:themeColor="text1"/>
          <w:sz w:val="16"/>
          <w:szCs w:val="16"/>
        </w:rPr>
      </w:pPr>
    </w:p>
    <w:p w14:paraId="59DDAE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9257 Об укомплектовании оборудованием ремонтно-механических заводов Наркомзема СССР и Наркомсовхозов СССР за счет вывозимого оборудования с немецких предприятий. РГАНИР, Фонд ГКО, д. 430, лл. 179-180 (11012).</w:t>
      </w:r>
    </w:p>
    <w:p w14:paraId="28863A5F" w14:textId="77777777" w:rsidR="006103B3" w:rsidRPr="00F90EAE" w:rsidRDefault="006103B3" w:rsidP="00F90EAE">
      <w:pPr>
        <w:autoSpaceDE w:val="0"/>
        <w:autoSpaceDN w:val="0"/>
        <w:adjustRightInd w:val="0"/>
        <w:jc w:val="both"/>
        <w:rPr>
          <w:color w:val="000000" w:themeColor="text1"/>
          <w:sz w:val="16"/>
          <w:szCs w:val="16"/>
        </w:rPr>
      </w:pPr>
    </w:p>
    <w:p w14:paraId="407A05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9258 О восстановлении рыбообрабатывающих и вспомогательных предприятий Наркомрыбпрома СССР за счет вывоза оборудования с немецких заводов. РГАНИР, Фонд ГКО, д. 430, лл. 181-182 (11012).</w:t>
      </w:r>
    </w:p>
    <w:p w14:paraId="24351260" w14:textId="77777777" w:rsidR="006103B3" w:rsidRPr="00F90EAE" w:rsidRDefault="006103B3" w:rsidP="00F90EAE">
      <w:pPr>
        <w:autoSpaceDE w:val="0"/>
        <w:autoSpaceDN w:val="0"/>
        <w:adjustRightInd w:val="0"/>
        <w:jc w:val="both"/>
        <w:rPr>
          <w:color w:val="000000" w:themeColor="text1"/>
          <w:sz w:val="16"/>
          <w:szCs w:val="16"/>
        </w:rPr>
      </w:pPr>
    </w:p>
    <w:p w14:paraId="230EC0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9259 О вывозе с трех заводов оборудования по производству медицинских препаратов и таблеточных машин в г. г. Берлин, Хемниц и Вена. РГАНИР, Фонд ГКО, д. 430, лл. 183-184 (11012).</w:t>
      </w:r>
    </w:p>
    <w:p w14:paraId="07F2F747" w14:textId="77777777" w:rsidR="006103B3" w:rsidRPr="00F90EAE" w:rsidRDefault="006103B3" w:rsidP="00F90EAE">
      <w:pPr>
        <w:autoSpaceDE w:val="0"/>
        <w:autoSpaceDN w:val="0"/>
        <w:adjustRightInd w:val="0"/>
        <w:jc w:val="both"/>
        <w:rPr>
          <w:color w:val="000000" w:themeColor="text1"/>
          <w:sz w:val="16"/>
          <w:szCs w:val="16"/>
        </w:rPr>
      </w:pPr>
    </w:p>
    <w:p w14:paraId="0F051A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9260 О вывозе с трофейных складов двух локомобилей для шахт Дзун-Булак и Югодзырь МНР, поставляющих уголь 17-й армии. РГАНИР, Фонд ГКО, д. 430, лл. 185 (11012).</w:t>
      </w:r>
    </w:p>
    <w:p w14:paraId="51E823BC" w14:textId="77777777" w:rsidR="006103B3" w:rsidRPr="00F90EAE" w:rsidRDefault="006103B3" w:rsidP="00F90EAE">
      <w:pPr>
        <w:autoSpaceDE w:val="0"/>
        <w:autoSpaceDN w:val="0"/>
        <w:adjustRightInd w:val="0"/>
        <w:jc w:val="both"/>
        <w:rPr>
          <w:color w:val="000000" w:themeColor="text1"/>
          <w:sz w:val="16"/>
          <w:szCs w:val="16"/>
        </w:rPr>
      </w:pPr>
    </w:p>
    <w:p w14:paraId="51AFD1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9261 О вывозе оборудования с бензинового завода в г. Берлин. РГАНИР, Фонд ГКО, д. 430, лл. 186 (11012).</w:t>
      </w:r>
    </w:p>
    <w:p w14:paraId="60FFD678" w14:textId="77777777" w:rsidR="006103B3" w:rsidRPr="00F90EAE" w:rsidRDefault="006103B3" w:rsidP="00F90EAE">
      <w:pPr>
        <w:autoSpaceDE w:val="0"/>
        <w:autoSpaceDN w:val="0"/>
        <w:adjustRightInd w:val="0"/>
        <w:jc w:val="both"/>
        <w:rPr>
          <w:color w:val="000000" w:themeColor="text1"/>
          <w:sz w:val="16"/>
          <w:szCs w:val="16"/>
        </w:rPr>
      </w:pPr>
    </w:p>
    <w:p w14:paraId="51D392D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9262 О вывозе оборудования с механического завода фирмы "Шварц и К'" в г. Губен (Германия). РГАНИР, Фонд ГКО, д. 430, лл. 187 (11012).</w:t>
      </w:r>
    </w:p>
    <w:p w14:paraId="3CB4DC08" w14:textId="77777777" w:rsidR="006103B3" w:rsidRPr="00F90EAE" w:rsidRDefault="006103B3" w:rsidP="00F90EAE">
      <w:pPr>
        <w:autoSpaceDE w:val="0"/>
        <w:autoSpaceDN w:val="0"/>
        <w:adjustRightInd w:val="0"/>
        <w:jc w:val="both"/>
        <w:rPr>
          <w:color w:val="000000" w:themeColor="text1"/>
          <w:sz w:val="16"/>
          <w:szCs w:val="16"/>
        </w:rPr>
      </w:pPr>
    </w:p>
    <w:p w14:paraId="0169F2E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9263 О частичном изменении постановления Государственного Комитета Обороны от 10 мая 1945 г. № 8465сс. РГАНИР, Фонд ГКО, д. 430, лл. 188-189 (11012).</w:t>
      </w:r>
    </w:p>
    <w:p w14:paraId="58985325" w14:textId="77777777" w:rsidR="006103B3" w:rsidRPr="00F90EAE" w:rsidRDefault="006103B3" w:rsidP="00F90EAE">
      <w:pPr>
        <w:autoSpaceDE w:val="0"/>
        <w:autoSpaceDN w:val="0"/>
        <w:adjustRightInd w:val="0"/>
        <w:jc w:val="both"/>
        <w:rPr>
          <w:color w:val="000000" w:themeColor="text1"/>
          <w:sz w:val="16"/>
          <w:szCs w:val="16"/>
        </w:rPr>
      </w:pPr>
    </w:p>
    <w:p w14:paraId="66BA9A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9264 О мероприятиях по обеспечению вывоза оборудования с немецких предприятий, расположенных на территории Польши. РГАНИР, Фонд ГКО, д. 430, лл. 190-194 (11012).</w:t>
      </w:r>
    </w:p>
    <w:p w14:paraId="1FC0EAFB" w14:textId="77777777" w:rsidR="006103B3" w:rsidRPr="00F90EAE" w:rsidRDefault="006103B3" w:rsidP="00F90EAE">
      <w:pPr>
        <w:autoSpaceDE w:val="0"/>
        <w:autoSpaceDN w:val="0"/>
        <w:adjustRightInd w:val="0"/>
        <w:jc w:val="both"/>
        <w:rPr>
          <w:color w:val="000000" w:themeColor="text1"/>
          <w:sz w:val="16"/>
          <w:szCs w:val="16"/>
        </w:rPr>
      </w:pPr>
    </w:p>
    <w:p w14:paraId="47036910"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9265 О вывозе оборудования с немецких предприятий водным путем. (7352, 195-204).</w:t>
      </w:r>
    </w:p>
    <w:p w14:paraId="68E2686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0CBE5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9266 О вывозе оборудования трех немецких заводов в г. г. Гишберг, Найкирх, Шмидеберк и Гайденау на предприятия Наркомминвооружения. РГАНИР, Фонд ГКО, д. 431, лл. 1-2 (11012).</w:t>
      </w:r>
    </w:p>
    <w:p w14:paraId="393E8D87" w14:textId="77777777" w:rsidR="006103B3" w:rsidRPr="00F90EAE" w:rsidRDefault="006103B3" w:rsidP="00F90EAE">
      <w:pPr>
        <w:autoSpaceDE w:val="0"/>
        <w:autoSpaceDN w:val="0"/>
        <w:adjustRightInd w:val="0"/>
        <w:jc w:val="both"/>
        <w:rPr>
          <w:color w:val="000000" w:themeColor="text1"/>
          <w:sz w:val="16"/>
          <w:szCs w:val="16"/>
        </w:rPr>
      </w:pPr>
    </w:p>
    <w:p w14:paraId="2FC855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9267 О вывозе оборудования по производству патронов и снарядов с завода акционерного общества "Фриц Вернер Берлин" в г. Штраусберг. РГАНИР, Фонд ГКО, д. 431, лл. 3-4 (11012).</w:t>
      </w:r>
    </w:p>
    <w:p w14:paraId="3371BC7D" w14:textId="77777777" w:rsidR="006103B3" w:rsidRPr="00F90EAE" w:rsidRDefault="006103B3" w:rsidP="00F90EAE">
      <w:pPr>
        <w:autoSpaceDE w:val="0"/>
        <w:autoSpaceDN w:val="0"/>
        <w:adjustRightInd w:val="0"/>
        <w:jc w:val="both"/>
        <w:rPr>
          <w:color w:val="000000" w:themeColor="text1"/>
          <w:sz w:val="16"/>
          <w:szCs w:val="16"/>
        </w:rPr>
      </w:pPr>
    </w:p>
    <w:p w14:paraId="2D58D8E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9268 О вывозе оборудования по производству коллоксилина с немецкого завода фирмы ДАГ в районе г. Одерберг. РГАНИР, Фонд ГКО, д. 431, лл. 5-6 (11012).</w:t>
      </w:r>
    </w:p>
    <w:p w14:paraId="44871447" w14:textId="77777777" w:rsidR="006103B3" w:rsidRPr="00F90EAE" w:rsidRDefault="006103B3" w:rsidP="00F90EAE">
      <w:pPr>
        <w:autoSpaceDE w:val="0"/>
        <w:autoSpaceDN w:val="0"/>
        <w:adjustRightInd w:val="0"/>
        <w:jc w:val="both"/>
        <w:rPr>
          <w:color w:val="000000" w:themeColor="text1"/>
          <w:sz w:val="16"/>
          <w:szCs w:val="16"/>
        </w:rPr>
      </w:pPr>
    </w:p>
    <w:p w14:paraId="0D21BE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9269 О вывозе оборудования завода "Гехтер и Кюне" в г. Гайденау для восстановления Сталинградского машиностроительного завода НКПП СССР. РГАНИР, Фонд ГКО, д. 431, лл. 7 (11012).</w:t>
      </w:r>
    </w:p>
    <w:p w14:paraId="628CDB57" w14:textId="77777777" w:rsidR="006103B3" w:rsidRPr="00F90EAE" w:rsidRDefault="006103B3" w:rsidP="00F90EAE">
      <w:pPr>
        <w:autoSpaceDE w:val="0"/>
        <w:autoSpaceDN w:val="0"/>
        <w:adjustRightInd w:val="0"/>
        <w:jc w:val="both"/>
        <w:rPr>
          <w:color w:val="000000" w:themeColor="text1"/>
          <w:sz w:val="16"/>
          <w:szCs w:val="16"/>
        </w:rPr>
      </w:pPr>
    </w:p>
    <w:p w14:paraId="50C791F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Постановление ГКО № 9270 О вывозе оборудования немецких заводов для восстановления производства спец. стекла "Триплекс" и технического стекла на предприятиях Наркомстройматериалов СССР. РГАНИР, Фонд ГКО, д. 431, лл. 8-10 (11012).</w:t>
      </w:r>
    </w:p>
    <w:p w14:paraId="13387AA5" w14:textId="77777777" w:rsidR="006103B3" w:rsidRPr="00F90EAE" w:rsidRDefault="006103B3" w:rsidP="00F90EAE">
      <w:pPr>
        <w:autoSpaceDE w:val="0"/>
        <w:autoSpaceDN w:val="0"/>
        <w:adjustRightInd w:val="0"/>
        <w:jc w:val="both"/>
        <w:rPr>
          <w:color w:val="000000" w:themeColor="text1"/>
          <w:sz w:val="16"/>
          <w:szCs w:val="16"/>
        </w:rPr>
      </w:pPr>
    </w:p>
    <w:p w14:paraId="78C5B6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вышло Распоряжение ГКО № 9271. О мерах по созданию более эффективных средств борьбы авиации с подводными лодками и надводными кораблями противника. РГАНИР, Фонд ГКО, д. 431, лл. 11-12 (11012).</w:t>
      </w:r>
    </w:p>
    <w:p w14:paraId="53F16D31" w14:textId="77777777" w:rsidR="006103B3" w:rsidRPr="00F90EAE" w:rsidRDefault="006103B3" w:rsidP="00F90EAE">
      <w:pPr>
        <w:autoSpaceDE w:val="0"/>
        <w:autoSpaceDN w:val="0"/>
        <w:adjustRightInd w:val="0"/>
        <w:jc w:val="both"/>
        <w:rPr>
          <w:color w:val="000000" w:themeColor="text1"/>
          <w:sz w:val="16"/>
          <w:szCs w:val="16"/>
        </w:rPr>
      </w:pPr>
    </w:p>
    <w:p w14:paraId="6FF6CA3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69B78806" w14:textId="77777777" w:rsidR="006103B3" w:rsidRPr="00F90EAE" w:rsidRDefault="006103B3" w:rsidP="00F90EAE">
      <w:pPr>
        <w:autoSpaceDE w:val="0"/>
        <w:autoSpaceDN w:val="0"/>
        <w:adjustRightInd w:val="0"/>
        <w:jc w:val="both"/>
        <w:rPr>
          <w:iCs/>
          <w:color w:val="000000" w:themeColor="text1"/>
          <w:sz w:val="16"/>
          <w:szCs w:val="16"/>
        </w:rPr>
      </w:pPr>
    </w:p>
    <w:p w14:paraId="40EA404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 СССР введено звание генералисимуса СС (3960, 249).</w:t>
      </w:r>
    </w:p>
    <w:p w14:paraId="75B16F95"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312AE60" w14:textId="77777777" w:rsidR="00781BF4" w:rsidRPr="00F90EAE" w:rsidRDefault="00781BF4" w:rsidP="00F90EAE">
      <w:pPr>
        <w:jc w:val="both"/>
        <w:rPr>
          <w:color w:val="000000" w:themeColor="text1"/>
          <w:sz w:val="16"/>
          <w:szCs w:val="16"/>
        </w:rPr>
      </w:pPr>
      <w:r w:rsidRPr="00F90EAE">
        <w:rPr>
          <w:bCs/>
          <w:color w:val="000000" w:themeColor="text1"/>
          <w:sz w:val="16"/>
          <w:szCs w:val="16"/>
        </w:rPr>
        <w:t>26 июня</w:t>
      </w:r>
      <w:r w:rsidRPr="00F90EAE">
        <w:rPr>
          <w:color w:val="000000" w:themeColor="text1"/>
          <w:sz w:val="16"/>
          <w:szCs w:val="16"/>
        </w:rPr>
        <w:t xml:space="preserve"> в 1945 году в СССР введено звание Генералиссимус Советского Союза. «Генералиссимус» в переводе с латинского - общий, наиглавнейший в армии. В словаре В.И.Даля это слово истолковывается как «главнокомандующий, начальник всей военной силы государства». Впервые звание генералиссимуса было пожаловано французским королем Карлом IX в 1569 году его восемнадцатилетнему брату Анри (впоследствии король Генрих III). В присвоении высшего воинского звания не было единообразия: в одних случаях генералиссимусами становились пожизненно, а в других - только на период той или иной военной кампании. Венецианский полководец Морозини, к примеру, носил титул генералиссимуса четырежды - в 1678, 1681, 1684 и 1694 годах, а эрцгерцог Карл Австрийский - дважды. В русский язык слово «генералиссимус» было привнесено иноземными начальниками во время правления царя Алексея Михайловича при их обращении к Большому воеводе. Впервые в отечественной истории первым русским генералиссимусом стал в 1696 году соратник молодого царя Петра боярин Алексей Семенович Шеин, командовавший всеми войсками во втором Азовском походе. Вторым российским генералиссимусом был ближайший сподвижник Петра I светлейший князь Александр Данилович Меншиков. С его именем связаны многие победы в русско-шведской Северной войне (1700-1721). На поле Полтавской победы (1709) торжествующий Петр произвел своего любимца и соратника в генерал-фельдмаршалы. Однако следующее высшее звание – генералиссимус - А.Д.Меншиков получил после смерти Петра Великого от его внука императора Петра II. Звание генералиссимуса в России наряду с крупнейшими полководцами имели и члены семей императорской династии. Анна Леопольдовна (мать не царствовавшего императора-младенца Иоанна VI) за время своего короткого правления в ноябре 1740 года присвоила этот чин своему 26-летнему супругу принцу Антону-Ульриху Брауншвейгскому, не имевшему никаких военных заслуг. 28 октября 1799 года генералиссимусом российских сухопутных и морских сил стал великий русский полководец Александр Васильевич Суворов, победоносно завершивший свой легендарный Швейцарский поход (1799). Император Павел I, возводя А.В.Суворова в ранг генералиссимуса, писал: «Ныне, награждая Вас по мере признательности моей и ставя на вышний степень, чести и геройству предоставленный, уверен, что возвожу на оный знаменитейшего Полководца сего и других веков». В СССР воинское звание Генералиссимус Советского Союза было введено после окончания Великой Отечественной войны Указом Президиума Верховного Совета СССР от 26 июня 1945 года, а на следующий день звание генералиссимуса было присвоено И.В.Сталину «за выдающиеся заслуги перед Советской Родиной в деле руководства всеми вооруженными силами государства во время Великой Отечественной войны». Сталин был единственным в СССР генералиссимусом. В ХХ веке в зарубежных странах звание генералиссимуса имели Ф.Франко (Испания), Чан Кайши (Китай) и др. В 1992 году звание генералиссимуса присвоено Ким Ир Сену (КНДР) (14934).</w:t>
      </w:r>
    </w:p>
    <w:p w14:paraId="6EB86D77" w14:textId="77777777" w:rsidR="00781BF4" w:rsidRPr="00F90EAE" w:rsidRDefault="00781BF4" w:rsidP="00F90EAE">
      <w:pPr>
        <w:jc w:val="both"/>
        <w:rPr>
          <w:color w:val="000000" w:themeColor="text1"/>
          <w:sz w:val="16"/>
          <w:szCs w:val="16"/>
        </w:rPr>
      </w:pPr>
    </w:p>
    <w:p w14:paraId="344C7135" w14:textId="77777777" w:rsidR="00576B2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739FC535" w14:textId="77777777" w:rsidR="00576B22" w:rsidRPr="00F90EAE" w:rsidRDefault="00576B22" w:rsidP="00F90EAE">
      <w:pPr>
        <w:autoSpaceDE w:val="0"/>
        <w:autoSpaceDN w:val="0"/>
        <w:adjustRightInd w:val="0"/>
        <w:jc w:val="both"/>
        <w:rPr>
          <w:iCs/>
          <w:color w:val="000000" w:themeColor="text1"/>
          <w:sz w:val="16"/>
          <w:szCs w:val="16"/>
        </w:rPr>
      </w:pPr>
    </w:p>
    <w:p w14:paraId="535D82FB" w14:textId="77777777" w:rsidR="00576B22" w:rsidRPr="00F90EAE" w:rsidRDefault="00576B22" w:rsidP="00F90EAE">
      <w:pPr>
        <w:pStyle w:val="book"/>
        <w:ind w:firstLine="0"/>
        <w:jc w:val="both"/>
        <w:rPr>
          <w:color w:val="000000" w:themeColor="text1"/>
          <w:sz w:val="16"/>
          <w:szCs w:val="16"/>
        </w:rPr>
      </w:pPr>
      <w:r w:rsidRPr="00F90EAE">
        <w:rPr>
          <w:color w:val="000000" w:themeColor="text1"/>
          <w:sz w:val="16"/>
          <w:szCs w:val="16"/>
        </w:rPr>
        <w:t>26 июня 1945 г. вышло Постановление ГКО № 9256: «Обязать Комитет по делам искусств при СНК СССР (т. Храпченко) вывезти из базы Комитета в г. Москву для пополнения государственных музеев наиболее ценные художественные произведения живописи, скульптуры и предметы прикладного искусства, а также антикварные музейные ценности в количестве не более 2000 единиц с трофейных складов в г. Дрездене...</w:t>
      </w:r>
    </w:p>
    <w:p w14:paraId="4576B36C" w14:textId="77777777" w:rsidR="00576B22" w:rsidRPr="00F90EAE" w:rsidRDefault="00576B22" w:rsidP="00F90EAE">
      <w:pPr>
        <w:pStyle w:val="book"/>
        <w:ind w:firstLine="0"/>
        <w:jc w:val="both"/>
        <w:rPr>
          <w:color w:val="000000" w:themeColor="text1"/>
          <w:sz w:val="16"/>
          <w:szCs w:val="16"/>
        </w:rPr>
      </w:pPr>
      <w:r w:rsidRPr="00F90EAE">
        <w:rPr>
          <w:color w:val="000000" w:themeColor="text1"/>
          <w:sz w:val="16"/>
          <w:szCs w:val="16"/>
        </w:rPr>
        <w:t>Утвердить руководителем работы по отгрузке художественных ценностей с трофейных складов в г. Дрездене полковника Ротатаева А.С. Тов. Храпченко командировать в распоряжение т. Ротатаева 10 специалистов» (15225).</w:t>
      </w:r>
    </w:p>
    <w:p w14:paraId="75CE00B6" w14:textId="77777777" w:rsidR="00576B22" w:rsidRPr="00F90EAE" w:rsidRDefault="00576B22" w:rsidP="00F90EAE">
      <w:pPr>
        <w:pStyle w:val="book"/>
        <w:ind w:firstLine="0"/>
        <w:jc w:val="both"/>
        <w:rPr>
          <w:color w:val="000000" w:themeColor="text1"/>
          <w:sz w:val="16"/>
          <w:szCs w:val="16"/>
        </w:rPr>
      </w:pPr>
    </w:p>
    <w:p w14:paraId="7AFE351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5476749" w14:textId="77777777" w:rsidR="006103B3" w:rsidRPr="00F90EAE" w:rsidRDefault="006103B3" w:rsidP="00F90EAE">
      <w:pPr>
        <w:autoSpaceDE w:val="0"/>
        <w:autoSpaceDN w:val="0"/>
        <w:adjustRightInd w:val="0"/>
        <w:jc w:val="both"/>
        <w:rPr>
          <w:iCs/>
          <w:color w:val="000000" w:themeColor="text1"/>
          <w:sz w:val="16"/>
          <w:szCs w:val="16"/>
        </w:rPr>
      </w:pPr>
    </w:p>
    <w:p w14:paraId="1F520A5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26 июня 1945 в Сан-Франциско представители 50 государств подписали Устав ООН (4962).</w:t>
      </w:r>
    </w:p>
    <w:p w14:paraId="2963E65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887F0DD"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26 1945 United Nations World Charter of Security signed in San Francisco (1050).</w:t>
      </w:r>
    </w:p>
    <w:p w14:paraId="12305203" w14:textId="77777777" w:rsidR="006103B3" w:rsidRPr="00F90EAE" w:rsidRDefault="006103B3" w:rsidP="00F90EAE">
      <w:pPr>
        <w:autoSpaceDE w:val="0"/>
        <w:autoSpaceDN w:val="0"/>
        <w:adjustRightInd w:val="0"/>
        <w:jc w:val="both"/>
        <w:rPr>
          <w:color w:val="000000" w:themeColor="text1"/>
          <w:sz w:val="16"/>
          <w:szCs w:val="16"/>
          <w:lang w:val="en-US"/>
        </w:rPr>
      </w:pPr>
    </w:p>
    <w:p w14:paraId="62C6FD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 Сан Франциско 50 странами была подписана хартия безопасности ООН (1050), формально учредив ООН (2248,8).</w:t>
      </w:r>
    </w:p>
    <w:p w14:paraId="06EAA6A0" w14:textId="77777777" w:rsidR="006103B3" w:rsidRPr="00F90EAE" w:rsidRDefault="006103B3" w:rsidP="00F90EAE">
      <w:pPr>
        <w:autoSpaceDE w:val="0"/>
        <w:autoSpaceDN w:val="0"/>
        <w:adjustRightInd w:val="0"/>
        <w:jc w:val="both"/>
        <w:rPr>
          <w:color w:val="000000" w:themeColor="text1"/>
          <w:sz w:val="16"/>
          <w:szCs w:val="16"/>
        </w:rPr>
      </w:pPr>
    </w:p>
    <w:p w14:paraId="7306F95A" w14:textId="77777777" w:rsidR="00576B22" w:rsidRPr="00F90EAE" w:rsidRDefault="00576B22" w:rsidP="00F90EAE">
      <w:pPr>
        <w:jc w:val="both"/>
        <w:rPr>
          <w:color w:val="000000" w:themeColor="text1"/>
          <w:sz w:val="16"/>
          <w:szCs w:val="16"/>
        </w:rPr>
      </w:pPr>
      <w:r w:rsidRPr="00F90EAE">
        <w:rPr>
          <w:bCs/>
          <w:color w:val="000000" w:themeColor="text1"/>
          <w:sz w:val="16"/>
          <w:szCs w:val="16"/>
        </w:rPr>
        <w:t>26 июня</w:t>
      </w:r>
      <w:r w:rsidRPr="00F90EAE">
        <w:rPr>
          <w:color w:val="000000" w:themeColor="text1"/>
          <w:sz w:val="16"/>
          <w:szCs w:val="16"/>
        </w:rPr>
        <w:t xml:space="preserve"> в 1945 году в Сан-Франциско представителями пятидесяти государств подписывается Устав ООН, который вступит в силу с 24 октября (14934).</w:t>
      </w:r>
    </w:p>
    <w:p w14:paraId="6D98D87F" w14:textId="77777777" w:rsidR="00576B22" w:rsidRPr="00F90EAE" w:rsidRDefault="00576B22" w:rsidP="00F90EAE">
      <w:pPr>
        <w:jc w:val="both"/>
        <w:rPr>
          <w:color w:val="000000" w:themeColor="text1"/>
          <w:sz w:val="16"/>
          <w:szCs w:val="16"/>
        </w:rPr>
      </w:pPr>
    </w:p>
    <w:p w14:paraId="1BB66212" w14:textId="77777777" w:rsidR="00576B22" w:rsidRPr="00F90EAE" w:rsidRDefault="00576B22" w:rsidP="00F90EAE">
      <w:pPr>
        <w:jc w:val="both"/>
        <w:rPr>
          <w:color w:val="000000" w:themeColor="text1"/>
          <w:sz w:val="16"/>
          <w:szCs w:val="16"/>
        </w:rPr>
      </w:pPr>
      <w:r w:rsidRPr="00F90EAE">
        <w:rPr>
          <w:bCs/>
          <w:color w:val="000000" w:themeColor="text1"/>
          <w:sz w:val="16"/>
          <w:szCs w:val="16"/>
        </w:rPr>
        <w:t>26 июня</w:t>
      </w:r>
      <w:r w:rsidRPr="00F90EAE">
        <w:rPr>
          <w:color w:val="000000" w:themeColor="text1"/>
          <w:sz w:val="16"/>
          <w:szCs w:val="16"/>
        </w:rPr>
        <w:t xml:space="preserve"> в 1945 году президент США Г.Трумэн, выступая на конференции в Сан-Франциско, заявил: «Фашизм целиком не исчез. Легче убрать тиранов и уничтожить концентрационные лагеря, чему убить идеи, которые привели к их возникновению и дали им силу» (14934).</w:t>
      </w:r>
    </w:p>
    <w:p w14:paraId="3EDD0F9A" w14:textId="77777777" w:rsidR="00576B22" w:rsidRPr="00F90EAE" w:rsidRDefault="00576B22" w:rsidP="00F90EAE">
      <w:pPr>
        <w:jc w:val="both"/>
        <w:rPr>
          <w:color w:val="000000" w:themeColor="text1"/>
          <w:sz w:val="16"/>
          <w:szCs w:val="16"/>
        </w:rPr>
      </w:pPr>
    </w:p>
    <w:p w14:paraId="41AC503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A8E8D47" w14:textId="77777777" w:rsidR="006103B3" w:rsidRPr="00F90EAE" w:rsidRDefault="006103B3" w:rsidP="00F90EAE">
      <w:pPr>
        <w:autoSpaceDE w:val="0"/>
        <w:autoSpaceDN w:val="0"/>
        <w:adjustRightInd w:val="0"/>
        <w:jc w:val="both"/>
        <w:rPr>
          <w:iCs/>
          <w:color w:val="000000" w:themeColor="text1"/>
          <w:sz w:val="16"/>
          <w:szCs w:val="16"/>
        </w:rPr>
      </w:pPr>
    </w:p>
    <w:p w14:paraId="0BD181BF" w14:textId="77777777" w:rsidR="0044284D" w:rsidRPr="00F90EAE" w:rsidRDefault="0044284D" w:rsidP="00F90EAE">
      <w:pPr>
        <w:jc w:val="both"/>
        <w:rPr>
          <w:color w:val="0070C0"/>
          <w:sz w:val="16"/>
          <w:szCs w:val="16"/>
        </w:rPr>
      </w:pPr>
      <w:r w:rsidRPr="00F90EAE">
        <w:rPr>
          <w:color w:val="0070C0"/>
          <w:sz w:val="16"/>
          <w:szCs w:val="16"/>
        </w:rPr>
        <w:t>26 июня 1945 г. впервые взлетел первый опытный ХР-82 Твин Мустанг. Первый опытный ХР-82 был передан на наземную отработку систем 15 мая 1945, а 25 мая 1945 г. летчик-испытатель Бартон попытался взлететь на нем с заводского аэродрома Майнз Филд. Хотя длины полосы 1372 м по расчетам хватало, он так и не смог оторваться. После многих неудачных попыток в субботу 12 июня летчики Бартон и Верджин смогли с частичной заправкой совершить подлет на 15 м. Проблема оказалась в том, что струи левого и правого воздушных винтов, направление вращения которых было выбрано из условия полета с одним отказавшим двигателем, «сходились» над центропланом, повышая давление над ним и снижая подъемную силу. Двигатели поменяли местами — и в таком виде самолет состоялся первый полет.</w:t>
      </w:r>
    </w:p>
    <w:p w14:paraId="7F6B3135" w14:textId="77777777" w:rsidR="0044284D" w:rsidRPr="00F90EAE" w:rsidRDefault="0044284D" w:rsidP="00F90EAE">
      <w:pPr>
        <w:jc w:val="both"/>
        <w:rPr>
          <w:color w:val="0070C0"/>
          <w:sz w:val="16"/>
          <w:szCs w:val="16"/>
        </w:rPr>
      </w:pPr>
      <w:r w:rsidRPr="00F90EAE">
        <w:rPr>
          <w:color w:val="0070C0"/>
          <w:sz w:val="16"/>
          <w:szCs w:val="16"/>
        </w:rPr>
        <w:t>Моторы V-1650-23/25 мощностью по 1810 л.с. на высоте 6950 м разгоняли ХР-82 до 753 км/ч, тогда как лучшие советские истребители Як-3 послевоенного выпуска имели скорость лишь 706 км/ч на границе высотности 5100 м. Вскоре был облетан второй ХР-82, а 30 августа 1945 г. к полетам на первой машине приступили военные. Спешили очень, но не успели — через три дня война с Японией закончилась (23019).</w:t>
      </w:r>
    </w:p>
    <w:p w14:paraId="4E4BC0A1" w14:textId="77777777" w:rsidR="0044284D" w:rsidRPr="00F90EAE" w:rsidRDefault="0044284D" w:rsidP="00F90EAE">
      <w:pPr>
        <w:jc w:val="both"/>
        <w:rPr>
          <w:color w:val="0070C0"/>
          <w:sz w:val="16"/>
          <w:szCs w:val="16"/>
        </w:rPr>
      </w:pPr>
    </w:p>
    <w:p w14:paraId="19CE85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 Берлине создан ХДС (3960, 249).</w:t>
      </w:r>
    </w:p>
    <w:p w14:paraId="22F1EAB7" w14:textId="77777777" w:rsidR="006103B3" w:rsidRPr="00F90EAE" w:rsidRDefault="006103B3" w:rsidP="00F90EAE">
      <w:pPr>
        <w:autoSpaceDE w:val="0"/>
        <w:autoSpaceDN w:val="0"/>
        <w:adjustRightInd w:val="0"/>
        <w:jc w:val="both"/>
        <w:rPr>
          <w:color w:val="000000" w:themeColor="text1"/>
          <w:sz w:val="16"/>
          <w:szCs w:val="16"/>
        </w:rPr>
      </w:pPr>
    </w:p>
    <w:p w14:paraId="35C64540" w14:textId="77777777" w:rsidR="00576B22" w:rsidRPr="00F90EAE" w:rsidRDefault="00576B22" w:rsidP="00F90EAE">
      <w:pPr>
        <w:jc w:val="both"/>
        <w:rPr>
          <w:color w:val="000000" w:themeColor="text1"/>
          <w:sz w:val="16"/>
          <w:szCs w:val="16"/>
        </w:rPr>
      </w:pPr>
      <w:r w:rsidRPr="00F90EAE">
        <w:rPr>
          <w:bCs/>
          <w:color w:val="000000" w:themeColor="text1"/>
          <w:sz w:val="16"/>
          <w:szCs w:val="16"/>
        </w:rPr>
        <w:t>26 июня</w:t>
      </w:r>
      <w:r w:rsidRPr="00F90EAE">
        <w:rPr>
          <w:color w:val="000000" w:themeColor="text1"/>
          <w:sz w:val="16"/>
          <w:szCs w:val="16"/>
        </w:rPr>
        <w:t xml:space="preserve"> в 1945 году в Берлине основан Христианско-демократический союз (ХДС) – одна из ведущих политических партий Германии. Организационно сформировался в 1950 г (14934).</w:t>
      </w:r>
    </w:p>
    <w:p w14:paraId="125B68C4" w14:textId="77777777" w:rsidR="00576B22" w:rsidRPr="00F90EAE" w:rsidRDefault="00576B22" w:rsidP="00F90EAE">
      <w:pPr>
        <w:jc w:val="both"/>
        <w:rPr>
          <w:color w:val="000000" w:themeColor="text1"/>
          <w:sz w:val="16"/>
          <w:szCs w:val="16"/>
        </w:rPr>
      </w:pPr>
    </w:p>
    <w:p w14:paraId="57CEE9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Правительства США, Англии и Китая предложили Японии прекратить сопротивление, но японцы отказались (1074,359).</w:t>
      </w:r>
    </w:p>
    <w:p w14:paraId="37E9DC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американцам это было 29 июля</w:t>
      </w:r>
    </w:p>
    <w:p w14:paraId="21CBD984" w14:textId="77777777" w:rsidR="006103B3" w:rsidRPr="00F90EAE" w:rsidRDefault="006103B3" w:rsidP="00F90EAE">
      <w:pPr>
        <w:autoSpaceDE w:val="0"/>
        <w:autoSpaceDN w:val="0"/>
        <w:adjustRightInd w:val="0"/>
        <w:jc w:val="both"/>
        <w:rPr>
          <w:color w:val="000000" w:themeColor="text1"/>
          <w:sz w:val="16"/>
          <w:szCs w:val="16"/>
        </w:rPr>
      </w:pPr>
    </w:p>
    <w:p w14:paraId="246469C2"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rPr>
        <w:t xml:space="preserve">June 26, 1945. </w:t>
      </w:r>
      <w:r w:rsidRPr="00F90EAE">
        <w:rPr>
          <w:color w:val="000000" w:themeColor="text1"/>
          <w:sz w:val="16"/>
          <w:szCs w:val="16"/>
          <w:lang w:val="en-US"/>
        </w:rPr>
        <w:t>B-29 crews begin nighttime raids on Japanese oil refineries (1089).</w:t>
      </w:r>
    </w:p>
    <w:p w14:paraId="3B39F1EC" w14:textId="77777777" w:rsidR="006103B3" w:rsidRPr="00F90EAE" w:rsidRDefault="006103B3" w:rsidP="00F90EAE">
      <w:pPr>
        <w:autoSpaceDE w:val="0"/>
        <w:autoSpaceDN w:val="0"/>
        <w:adjustRightInd w:val="0"/>
        <w:jc w:val="both"/>
        <w:rPr>
          <w:color w:val="000000" w:themeColor="text1"/>
          <w:sz w:val="16"/>
          <w:szCs w:val="16"/>
          <w:lang w:val="en-US"/>
        </w:rPr>
      </w:pPr>
    </w:p>
    <w:p w14:paraId="3902B8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 июня 1945 В-29 начали ночные налеты на японские НПЗ (1089).</w:t>
      </w:r>
    </w:p>
    <w:p w14:paraId="3864A249" w14:textId="77777777" w:rsidR="006103B3" w:rsidRPr="00F90EAE" w:rsidRDefault="006103B3" w:rsidP="00F90EAE">
      <w:pPr>
        <w:autoSpaceDE w:val="0"/>
        <w:autoSpaceDN w:val="0"/>
        <w:adjustRightInd w:val="0"/>
        <w:jc w:val="both"/>
        <w:rPr>
          <w:color w:val="000000" w:themeColor="text1"/>
          <w:sz w:val="16"/>
          <w:szCs w:val="16"/>
        </w:rPr>
      </w:pPr>
    </w:p>
    <w:p w14:paraId="18FB3A4E" w14:textId="77777777" w:rsidR="00F23D44" w:rsidRPr="00F90EAE" w:rsidRDefault="00F23D44" w:rsidP="00F90EAE">
      <w:pPr>
        <w:jc w:val="both"/>
        <w:rPr>
          <w:color w:val="0070C0"/>
          <w:sz w:val="16"/>
          <w:szCs w:val="16"/>
        </w:rPr>
      </w:pPr>
      <w:r w:rsidRPr="00F90EAE">
        <w:rPr>
          <w:color w:val="0070C0"/>
          <w:sz w:val="16"/>
          <w:szCs w:val="16"/>
        </w:rPr>
        <w:t>26 июня 1945 468 самолетов B-29 сбросили 3058 тонн (2774199 кг) бомб на Осаку и другие города Японии (20371).</w:t>
      </w:r>
    </w:p>
    <w:p w14:paraId="78F876DC" w14:textId="77777777" w:rsidR="00F23D44" w:rsidRPr="00F90EAE" w:rsidRDefault="00F23D44" w:rsidP="00F90EAE">
      <w:pPr>
        <w:jc w:val="both"/>
        <w:rPr>
          <w:color w:val="0070C0"/>
          <w:sz w:val="16"/>
          <w:szCs w:val="16"/>
        </w:rPr>
      </w:pPr>
    </w:p>
    <w:p w14:paraId="07B2953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9138937" w14:textId="77777777" w:rsidR="006103B3" w:rsidRPr="00F90EAE" w:rsidRDefault="006103B3" w:rsidP="00F90EAE">
      <w:pPr>
        <w:autoSpaceDE w:val="0"/>
        <w:autoSpaceDN w:val="0"/>
        <w:adjustRightInd w:val="0"/>
        <w:jc w:val="both"/>
        <w:rPr>
          <w:iCs/>
          <w:color w:val="000000" w:themeColor="text1"/>
          <w:sz w:val="16"/>
          <w:szCs w:val="16"/>
        </w:rPr>
      </w:pPr>
    </w:p>
    <w:p w14:paraId="2D83F732" w14:textId="77777777" w:rsidR="005F32F4" w:rsidRPr="00F90EAE" w:rsidRDefault="005F32F4" w:rsidP="00F90EAE">
      <w:pPr>
        <w:jc w:val="both"/>
        <w:rPr>
          <w:color w:val="000000" w:themeColor="text1"/>
          <w:sz w:val="16"/>
          <w:szCs w:val="16"/>
        </w:rPr>
      </w:pPr>
      <w:r w:rsidRPr="00F90EAE">
        <w:rPr>
          <w:color w:val="000000" w:themeColor="text1"/>
          <w:sz w:val="16"/>
          <w:szCs w:val="16"/>
        </w:rPr>
        <w:t>27 июня 1945 в адрес заместителя начальника ГК НИИ ВВС генерал-лейтенанта П.А. Лосюкова ушло письмо за подписью ди</w:t>
      </w:r>
      <w:r w:rsidRPr="00F90EAE">
        <w:rPr>
          <w:color w:val="000000" w:themeColor="text1"/>
          <w:sz w:val="16"/>
          <w:szCs w:val="16"/>
        </w:rPr>
        <w:softHyphen/>
        <w:t>ректора завод №207 В.И. Засульского, глав</w:t>
      </w:r>
      <w:r w:rsidRPr="00F90EAE">
        <w:rPr>
          <w:color w:val="000000" w:themeColor="text1"/>
          <w:sz w:val="16"/>
          <w:szCs w:val="16"/>
        </w:rPr>
        <w:softHyphen/>
        <w:t>ного металлурга завода В. И Маханева и заме</w:t>
      </w:r>
      <w:r w:rsidRPr="00F90EAE">
        <w:rPr>
          <w:color w:val="000000" w:themeColor="text1"/>
          <w:sz w:val="16"/>
          <w:szCs w:val="16"/>
        </w:rPr>
        <w:softHyphen/>
        <w:t>стителя начальника броне-лаборатории ВИАМ Н.М. Склярова. До сведения Лосюкова дово</w:t>
      </w:r>
      <w:r w:rsidRPr="00F90EAE">
        <w:rPr>
          <w:color w:val="000000" w:themeColor="text1"/>
          <w:sz w:val="16"/>
          <w:szCs w:val="16"/>
        </w:rPr>
        <w:softHyphen/>
        <w:t>дилось,</w:t>
      </w:r>
      <w:r w:rsidRPr="00F90EAE">
        <w:rPr>
          <w:rStyle w:val="aff6"/>
          <w:rFonts w:ascii="Times New Roman" w:hAnsi="Times New Roman" w:cs="Times New Roman"/>
          <w:i w:val="0"/>
          <w:color w:val="000000" w:themeColor="text1"/>
        </w:rPr>
        <w:t xml:space="preserve"> «что заводом №207 с августа 1944 г. и по настоящее время бронедетали толщиной 15 и 8 мм изготавливаются только из стали АБ-2».</w:t>
      </w:r>
      <w:r w:rsidRPr="00F90EAE">
        <w:rPr>
          <w:color w:val="000000" w:themeColor="text1"/>
          <w:sz w:val="16"/>
          <w:szCs w:val="16"/>
        </w:rPr>
        <w:t xml:space="preserve"> Всего за это время изготовили 1885 комплектов (13195 деталей) бронедеталей толщиной 8 мм для самолетов Ил-10 и 150 комплектов (450 деталей) бронедеталей тол</w:t>
      </w:r>
      <w:r w:rsidRPr="00F90EAE">
        <w:rPr>
          <w:color w:val="000000" w:themeColor="text1"/>
          <w:sz w:val="16"/>
          <w:szCs w:val="16"/>
        </w:rPr>
        <w:softHyphen/>
        <w:t>щиной 15 мм для Ту-2. Еще 75 комплектов бро</w:t>
      </w:r>
      <w:r w:rsidRPr="00F90EAE">
        <w:rPr>
          <w:color w:val="000000" w:themeColor="text1"/>
          <w:sz w:val="16"/>
          <w:szCs w:val="16"/>
        </w:rPr>
        <w:softHyphen/>
        <w:t>ни (225 деталей) для Ту-2 завод изготовил, но они не прошли военную приемку.</w:t>
      </w:r>
    </w:p>
    <w:p w14:paraId="3AAF0870"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eastAsia="Calibri" w:hAnsi="Times New Roman" w:cs="Times New Roman"/>
          <w:i w:val="0"/>
          <w:color w:val="000000" w:themeColor="text1"/>
          <w:sz w:val="16"/>
          <w:szCs w:val="16"/>
        </w:rPr>
        <w:t>Отмечалось:</w:t>
      </w:r>
      <w:r w:rsidRPr="00F90EAE">
        <w:rPr>
          <w:rFonts w:ascii="Times New Roman" w:cs="Times New Roman"/>
          <w:color w:val="000000" w:themeColor="text1"/>
          <w:sz w:val="16"/>
          <w:szCs w:val="16"/>
        </w:rPr>
        <w:t xml:space="preserve"> «За это время никаких пока</w:t>
      </w:r>
      <w:r w:rsidRPr="00F90EAE">
        <w:rPr>
          <w:rFonts w:ascii="Times New Roman" w:cs="Times New Roman"/>
          <w:color w:val="000000" w:themeColor="text1"/>
          <w:sz w:val="16"/>
          <w:szCs w:val="16"/>
        </w:rPr>
        <w:softHyphen/>
        <w:t>зателей как технологических, так и полигон</w:t>
      </w:r>
      <w:r w:rsidRPr="00F90EAE">
        <w:rPr>
          <w:rFonts w:ascii="Times New Roman" w:cs="Times New Roman"/>
          <w:color w:val="000000" w:themeColor="text1"/>
          <w:sz w:val="16"/>
          <w:szCs w:val="16"/>
        </w:rPr>
        <w:softHyphen/>
        <w:t>ных, сколько-нибудь достаточных для требова</w:t>
      </w:r>
      <w:r w:rsidRPr="00F90EAE">
        <w:rPr>
          <w:rFonts w:ascii="Times New Roman" w:cs="Times New Roman"/>
          <w:color w:val="000000" w:themeColor="text1"/>
          <w:sz w:val="16"/>
          <w:szCs w:val="16"/>
        </w:rPr>
        <w:softHyphen/>
        <w:t>ния перехода на другую марку стали, обнару</w:t>
      </w:r>
      <w:r w:rsidRPr="00F90EAE">
        <w:rPr>
          <w:rFonts w:ascii="Times New Roman" w:cs="Times New Roman"/>
          <w:color w:val="000000" w:themeColor="text1"/>
          <w:sz w:val="16"/>
          <w:szCs w:val="16"/>
        </w:rPr>
        <w:softHyphen/>
        <w:t>жено не было. Процент технологического бра</w:t>
      </w:r>
      <w:r w:rsidRPr="00F90EAE">
        <w:rPr>
          <w:rFonts w:ascii="Times New Roman" w:cs="Times New Roman"/>
          <w:color w:val="000000" w:themeColor="text1"/>
          <w:sz w:val="16"/>
          <w:szCs w:val="16"/>
        </w:rPr>
        <w:softHyphen/>
        <w:t>ка составил менее 1%».</w:t>
      </w:r>
      <w:r w:rsidRPr="00F90EAE">
        <w:rPr>
          <w:rStyle w:val="4e"/>
          <w:rFonts w:ascii="Times New Roman" w:eastAsia="Calibri" w:hAnsi="Times New Roman" w:cs="Times New Roman"/>
          <w:i w:val="0"/>
          <w:color w:val="000000" w:themeColor="text1"/>
          <w:sz w:val="16"/>
          <w:szCs w:val="16"/>
        </w:rPr>
        <w:t xml:space="preserve"> Других видов брака (хрупких разрушений и пр.) также не имелось.</w:t>
      </w:r>
    </w:p>
    <w:p w14:paraId="67E39145" w14:textId="77777777" w:rsidR="005F32F4" w:rsidRPr="00F90EAE" w:rsidRDefault="005F32F4" w:rsidP="00F90EAE">
      <w:pPr>
        <w:jc w:val="both"/>
        <w:rPr>
          <w:color w:val="000000" w:themeColor="text1"/>
          <w:sz w:val="16"/>
          <w:szCs w:val="16"/>
        </w:rPr>
      </w:pPr>
      <w:r w:rsidRPr="00F90EAE">
        <w:rPr>
          <w:color w:val="000000" w:themeColor="text1"/>
          <w:sz w:val="16"/>
          <w:szCs w:val="16"/>
        </w:rPr>
        <w:t>По мнению специалистов завода №207 и ВИАМ, никаких оснований для замены стали КП-2 сталью марки ХД из опыта производст</w:t>
      </w:r>
      <w:r w:rsidRPr="00F90EAE">
        <w:rPr>
          <w:color w:val="000000" w:themeColor="text1"/>
          <w:sz w:val="16"/>
          <w:szCs w:val="16"/>
        </w:rPr>
        <w:softHyphen/>
        <w:t>ва деталей толщиной 8 и 15 мм</w:t>
      </w:r>
      <w:r w:rsidRPr="00F90EAE">
        <w:rPr>
          <w:rStyle w:val="8pt0pt"/>
          <w:rFonts w:ascii="Times New Roman" w:hAnsi="Times New Roman" w:cs="Times New Roman"/>
          <w:color w:val="000000" w:themeColor="text1"/>
          <w:spacing w:val="0"/>
        </w:rPr>
        <w:t xml:space="preserve"> не имелось. </w:t>
      </w:r>
      <w:r w:rsidRPr="00F90EAE">
        <w:rPr>
          <w:color w:val="000000" w:themeColor="text1"/>
          <w:sz w:val="16"/>
          <w:szCs w:val="16"/>
        </w:rPr>
        <w:t>Внимание Лосюкова обращалось</w:t>
      </w:r>
      <w:r w:rsidRPr="00F90EAE">
        <w:rPr>
          <w:rStyle w:val="8pt0pt"/>
          <w:rFonts w:ascii="Times New Roman" w:hAnsi="Times New Roman" w:cs="Times New Roman"/>
          <w:color w:val="000000" w:themeColor="text1"/>
          <w:spacing w:val="0"/>
        </w:rPr>
        <w:t xml:space="preserve"> на меньшую </w:t>
      </w:r>
      <w:r w:rsidRPr="00F90EAE">
        <w:rPr>
          <w:color w:val="000000" w:themeColor="text1"/>
          <w:sz w:val="16"/>
          <w:szCs w:val="16"/>
        </w:rPr>
        <w:t>твердость стали ХД по сравнению</w:t>
      </w:r>
      <w:r w:rsidRPr="00F90EAE">
        <w:rPr>
          <w:rStyle w:val="8pt0pt"/>
          <w:rFonts w:ascii="Times New Roman" w:hAnsi="Times New Roman" w:cs="Times New Roman"/>
          <w:color w:val="000000" w:themeColor="text1"/>
          <w:spacing w:val="0"/>
        </w:rPr>
        <w:t xml:space="preserve"> со сталью </w:t>
      </w:r>
      <w:r w:rsidRPr="00F90EAE">
        <w:rPr>
          <w:color w:val="000000" w:themeColor="text1"/>
          <w:sz w:val="16"/>
          <w:szCs w:val="16"/>
        </w:rPr>
        <w:t>КП-2, а следовательно, -</w:t>
      </w:r>
      <w:r w:rsidRPr="00F90EAE">
        <w:rPr>
          <w:rStyle w:val="8pt0pt"/>
          <w:rFonts w:ascii="Times New Roman" w:hAnsi="Times New Roman" w:cs="Times New Roman"/>
          <w:color w:val="000000" w:themeColor="text1"/>
          <w:spacing w:val="0"/>
        </w:rPr>
        <w:t xml:space="preserve"> и</w:t>
      </w:r>
      <w:r w:rsidRPr="00F90EAE">
        <w:rPr>
          <w:color w:val="000000" w:themeColor="text1"/>
          <w:sz w:val="16"/>
          <w:szCs w:val="16"/>
        </w:rPr>
        <w:t xml:space="preserve"> пулестойкостъ.</w:t>
      </w:r>
    </w:p>
    <w:p w14:paraId="2048E314" w14:textId="77777777" w:rsidR="005F32F4" w:rsidRPr="00F90EAE" w:rsidRDefault="005F32F4" w:rsidP="00F90EAE">
      <w:pPr>
        <w:jc w:val="both"/>
        <w:rPr>
          <w:color w:val="000000" w:themeColor="text1"/>
          <w:sz w:val="16"/>
          <w:szCs w:val="16"/>
        </w:rPr>
      </w:pPr>
      <w:r w:rsidRPr="00F90EAE">
        <w:rPr>
          <w:color w:val="000000" w:themeColor="text1"/>
          <w:sz w:val="16"/>
          <w:szCs w:val="16"/>
        </w:rPr>
        <w:t>В период с 25 июня по</w:t>
      </w:r>
      <w:r w:rsidRPr="00F90EAE">
        <w:rPr>
          <w:rStyle w:val="8pt0pt"/>
          <w:rFonts w:ascii="Times New Roman" w:hAnsi="Times New Roman" w:cs="Times New Roman"/>
          <w:color w:val="000000" w:themeColor="text1"/>
          <w:spacing w:val="0"/>
        </w:rPr>
        <w:t xml:space="preserve"> 8 июля на заводе </w:t>
      </w:r>
      <w:r w:rsidRPr="00F90EAE">
        <w:rPr>
          <w:color w:val="000000" w:themeColor="text1"/>
          <w:sz w:val="16"/>
          <w:szCs w:val="16"/>
        </w:rPr>
        <w:t>№207 НКАП провели сравнительные</w:t>
      </w:r>
      <w:r w:rsidRPr="00F90EAE">
        <w:rPr>
          <w:rStyle w:val="8pt0pt"/>
          <w:rFonts w:ascii="Times New Roman" w:hAnsi="Times New Roman" w:cs="Times New Roman"/>
          <w:color w:val="000000" w:themeColor="text1"/>
          <w:spacing w:val="0"/>
        </w:rPr>
        <w:t xml:space="preserve"> полигон</w:t>
      </w:r>
      <w:r w:rsidRPr="00F90EAE">
        <w:rPr>
          <w:rStyle w:val="8pt0pt"/>
          <w:rFonts w:ascii="Times New Roman" w:hAnsi="Times New Roman" w:cs="Times New Roman"/>
          <w:color w:val="000000" w:themeColor="text1"/>
          <w:spacing w:val="0"/>
        </w:rPr>
        <w:softHyphen/>
      </w:r>
      <w:r w:rsidRPr="00F90EAE">
        <w:rPr>
          <w:color w:val="000000" w:themeColor="text1"/>
          <w:sz w:val="16"/>
          <w:szCs w:val="16"/>
        </w:rPr>
        <w:t>ные испытания опытно-валовых</w:t>
      </w:r>
      <w:r w:rsidRPr="00F90EAE">
        <w:rPr>
          <w:rStyle w:val="8pt0pt"/>
          <w:rFonts w:ascii="Times New Roman" w:hAnsi="Times New Roman" w:cs="Times New Roman"/>
          <w:color w:val="000000" w:themeColor="text1"/>
          <w:spacing w:val="0"/>
        </w:rPr>
        <w:t xml:space="preserve"> плавок стали </w:t>
      </w:r>
      <w:r w:rsidRPr="00F90EAE">
        <w:rPr>
          <w:color w:val="000000" w:themeColor="text1"/>
          <w:sz w:val="16"/>
          <w:szCs w:val="16"/>
        </w:rPr>
        <w:t>АБ-3 и серийных плавок стали АБ</w:t>
      </w:r>
      <w:r w:rsidRPr="00F90EAE">
        <w:rPr>
          <w:rStyle w:val="8pt0pt"/>
          <w:rFonts w:ascii="Times New Roman" w:hAnsi="Times New Roman" w:cs="Times New Roman"/>
          <w:color w:val="000000" w:themeColor="text1"/>
          <w:spacing w:val="0"/>
        </w:rPr>
        <w:t xml:space="preserve">-3 и ХД. Они </w:t>
      </w:r>
      <w:r w:rsidRPr="00F90EAE">
        <w:rPr>
          <w:color w:val="000000" w:themeColor="text1"/>
          <w:sz w:val="16"/>
          <w:szCs w:val="16"/>
        </w:rPr>
        <w:t>проводились</w:t>
      </w:r>
      <w:r w:rsidRPr="00F90EAE">
        <w:rPr>
          <w:rStyle w:val="aff6"/>
          <w:rFonts w:ascii="Times New Roman" w:hAnsi="Times New Roman" w:cs="Times New Roman"/>
          <w:i w:val="0"/>
          <w:color w:val="000000" w:themeColor="text1"/>
        </w:rPr>
        <w:t xml:space="preserve"> «на картах, вырезанных</w:t>
      </w:r>
      <w:r w:rsidRPr="00F90EAE">
        <w:rPr>
          <w:rStyle w:val="8pt0pt0"/>
          <w:rFonts w:ascii="Times New Roman" w:hAnsi="Times New Roman" w:cs="Times New Roman"/>
          <w:i w:val="0"/>
          <w:color w:val="000000" w:themeColor="text1"/>
          <w:spacing w:val="0"/>
        </w:rPr>
        <w:t xml:space="preserve"> из раз</w:t>
      </w:r>
      <w:r w:rsidRPr="00F90EAE">
        <w:rPr>
          <w:rStyle w:val="8pt0pt0"/>
          <w:rFonts w:ascii="Times New Roman" w:hAnsi="Times New Roman" w:cs="Times New Roman"/>
          <w:i w:val="0"/>
          <w:color w:val="000000" w:themeColor="text1"/>
          <w:spacing w:val="0"/>
        </w:rPr>
        <w:softHyphen/>
      </w:r>
      <w:r w:rsidRPr="00F90EAE">
        <w:rPr>
          <w:rStyle w:val="aff6"/>
          <w:rFonts w:ascii="Times New Roman" w:hAnsi="Times New Roman" w:cs="Times New Roman"/>
          <w:i w:val="0"/>
          <w:color w:val="000000" w:themeColor="text1"/>
        </w:rPr>
        <w:t>ных плавок, разных марок сталей</w:t>
      </w:r>
      <w:r w:rsidRPr="00F90EAE">
        <w:rPr>
          <w:rStyle w:val="8pt0pt0"/>
          <w:rFonts w:ascii="Times New Roman" w:hAnsi="Times New Roman" w:cs="Times New Roman"/>
          <w:i w:val="0"/>
          <w:color w:val="000000" w:themeColor="text1"/>
          <w:spacing w:val="0"/>
        </w:rPr>
        <w:t xml:space="preserve"> и</w:t>
      </w:r>
      <w:r w:rsidRPr="00F90EAE">
        <w:rPr>
          <w:rStyle w:val="aff6"/>
          <w:rFonts w:ascii="Times New Roman" w:hAnsi="Times New Roman" w:cs="Times New Roman"/>
          <w:i w:val="0"/>
          <w:color w:val="000000" w:themeColor="text1"/>
        </w:rPr>
        <w:t xml:space="preserve"> на</w:t>
      </w:r>
      <w:r w:rsidRPr="00F90EAE">
        <w:rPr>
          <w:rStyle w:val="8pt0pt0"/>
          <w:rFonts w:ascii="Times New Roman" w:hAnsi="Times New Roman" w:cs="Times New Roman"/>
          <w:i w:val="0"/>
          <w:color w:val="000000" w:themeColor="text1"/>
          <w:spacing w:val="0"/>
        </w:rPr>
        <w:t xml:space="preserve"> толщи</w:t>
      </w:r>
      <w:r w:rsidRPr="00F90EAE">
        <w:rPr>
          <w:rStyle w:val="8pt0pt0"/>
          <w:rFonts w:ascii="Times New Roman" w:hAnsi="Times New Roman" w:cs="Times New Roman"/>
          <w:i w:val="0"/>
          <w:color w:val="000000" w:themeColor="text1"/>
          <w:spacing w:val="0"/>
        </w:rPr>
        <w:softHyphen/>
      </w:r>
      <w:r w:rsidRPr="00F90EAE">
        <w:rPr>
          <w:rStyle w:val="aff6"/>
          <w:rFonts w:ascii="Times New Roman" w:hAnsi="Times New Roman" w:cs="Times New Roman"/>
          <w:i w:val="0"/>
          <w:color w:val="000000" w:themeColor="text1"/>
        </w:rPr>
        <w:t>нах от 4 до 8 мм».</w:t>
      </w:r>
      <w:r w:rsidRPr="00F90EAE">
        <w:rPr>
          <w:color w:val="000000" w:themeColor="text1"/>
          <w:sz w:val="16"/>
          <w:szCs w:val="16"/>
        </w:rPr>
        <w:t xml:space="preserve"> Все карты испытали на</w:t>
      </w:r>
      <w:r w:rsidRPr="00F90EAE">
        <w:rPr>
          <w:rStyle w:val="8pt0pt"/>
          <w:rFonts w:ascii="Times New Roman" w:hAnsi="Times New Roman" w:cs="Times New Roman"/>
          <w:color w:val="000000" w:themeColor="text1"/>
          <w:spacing w:val="0"/>
        </w:rPr>
        <w:t xml:space="preserve"> поли</w:t>
      </w:r>
      <w:r w:rsidRPr="00F90EAE">
        <w:rPr>
          <w:rStyle w:val="8pt0pt"/>
          <w:rFonts w:ascii="Times New Roman" w:hAnsi="Times New Roman" w:cs="Times New Roman"/>
          <w:color w:val="000000" w:themeColor="text1"/>
          <w:spacing w:val="0"/>
        </w:rPr>
        <w:softHyphen/>
      </w:r>
      <w:r w:rsidRPr="00F90EAE">
        <w:rPr>
          <w:color w:val="000000" w:themeColor="text1"/>
          <w:sz w:val="16"/>
          <w:szCs w:val="16"/>
        </w:rPr>
        <w:t>гоне обстрелом пулями Б-32 калибра 7,62</w:t>
      </w:r>
      <w:r w:rsidRPr="00F90EAE">
        <w:rPr>
          <w:rStyle w:val="8pt0pt"/>
          <w:rFonts w:ascii="Times New Roman" w:hAnsi="Times New Roman" w:cs="Times New Roman"/>
          <w:color w:val="000000" w:themeColor="text1"/>
          <w:spacing w:val="0"/>
        </w:rPr>
        <w:t xml:space="preserve"> мм </w:t>
      </w:r>
      <w:r w:rsidRPr="00F90EAE">
        <w:rPr>
          <w:color w:val="000000" w:themeColor="text1"/>
          <w:sz w:val="16"/>
          <w:szCs w:val="16"/>
        </w:rPr>
        <w:t>с определением углов предела тыльной проч</w:t>
      </w:r>
      <w:r w:rsidRPr="00F90EAE">
        <w:rPr>
          <w:color w:val="000000" w:themeColor="text1"/>
          <w:sz w:val="16"/>
          <w:szCs w:val="16"/>
        </w:rPr>
        <w:softHyphen/>
        <w:t>ности с дистанции обстрела, соответствующей ударной скорости пули 750 м/с. Кроме того, карты толщиной 8 мм испытывались обстрела</w:t>
      </w:r>
      <w:r w:rsidRPr="00F90EAE">
        <w:rPr>
          <w:color w:val="000000" w:themeColor="text1"/>
          <w:sz w:val="16"/>
          <w:szCs w:val="16"/>
        </w:rPr>
        <w:softHyphen/>
        <w:t>ми осколочно-зажигательными снарядами ка</w:t>
      </w:r>
      <w:r w:rsidRPr="00F90EAE">
        <w:rPr>
          <w:color w:val="000000" w:themeColor="text1"/>
          <w:sz w:val="16"/>
          <w:szCs w:val="16"/>
        </w:rPr>
        <w:softHyphen/>
        <w:t>либра 20 мм немецкой пушки МГ-151. Дистан</w:t>
      </w:r>
      <w:r w:rsidRPr="00F90EAE">
        <w:rPr>
          <w:color w:val="000000" w:themeColor="text1"/>
          <w:sz w:val="16"/>
          <w:szCs w:val="16"/>
        </w:rPr>
        <w:softHyphen/>
        <w:t>ция обстрела составляла 100 м, карты прохо</w:t>
      </w:r>
      <w:r w:rsidRPr="00F90EAE">
        <w:rPr>
          <w:color w:val="000000" w:themeColor="text1"/>
          <w:sz w:val="16"/>
          <w:szCs w:val="16"/>
        </w:rPr>
        <w:softHyphen/>
        <w:t>дили термическую обработку при температуре низкого отпуска 275 С.</w:t>
      </w:r>
    </w:p>
    <w:p w14:paraId="273C3608" w14:textId="77777777" w:rsidR="005F32F4" w:rsidRPr="00F90EAE" w:rsidRDefault="005F32F4" w:rsidP="00F90EAE">
      <w:pPr>
        <w:jc w:val="both"/>
        <w:rPr>
          <w:color w:val="000000" w:themeColor="text1"/>
          <w:sz w:val="16"/>
          <w:szCs w:val="16"/>
        </w:rPr>
      </w:pPr>
      <w:r w:rsidRPr="00F90EAE">
        <w:rPr>
          <w:color w:val="000000" w:themeColor="text1"/>
          <w:sz w:val="16"/>
          <w:szCs w:val="16"/>
        </w:rPr>
        <w:t>Обе марки стали (АБ-2 и АБ-3) на всех толщинах и термически обработанные по уста</w:t>
      </w:r>
      <w:r w:rsidRPr="00F90EAE">
        <w:rPr>
          <w:color w:val="000000" w:themeColor="text1"/>
          <w:sz w:val="16"/>
          <w:szCs w:val="16"/>
        </w:rPr>
        <w:softHyphen/>
        <w:t>новленным режимам полностью отвечали тре</w:t>
      </w:r>
      <w:r w:rsidRPr="00F90EAE">
        <w:rPr>
          <w:color w:val="000000" w:themeColor="text1"/>
          <w:sz w:val="16"/>
          <w:szCs w:val="16"/>
        </w:rPr>
        <w:softHyphen/>
        <w:t>бованиям ТУ при обстреле их пулями калибра 7,62 мм и на толщине 8 мм имели значитель</w:t>
      </w:r>
      <w:r w:rsidRPr="00F90EAE">
        <w:rPr>
          <w:color w:val="000000" w:themeColor="text1"/>
          <w:sz w:val="16"/>
          <w:szCs w:val="16"/>
        </w:rPr>
        <w:softHyphen/>
        <w:t>ный запас пулестойкости (около 10"). Сталь марки ХД на толщине 8 мм также удовлетво</w:t>
      </w:r>
      <w:r w:rsidRPr="00F90EAE">
        <w:rPr>
          <w:color w:val="000000" w:themeColor="text1"/>
          <w:sz w:val="16"/>
          <w:szCs w:val="16"/>
        </w:rPr>
        <w:softHyphen/>
        <w:t>ряла заданным требованиям против пуль кали</w:t>
      </w:r>
      <w:r w:rsidRPr="00F90EAE">
        <w:rPr>
          <w:color w:val="000000" w:themeColor="text1"/>
          <w:sz w:val="16"/>
          <w:szCs w:val="16"/>
        </w:rPr>
        <w:softHyphen/>
        <w:t>бра 7,62 мм, однако запаса пулестойкости не имела.</w:t>
      </w:r>
    </w:p>
    <w:p w14:paraId="4BF19A7C" w14:textId="77777777" w:rsidR="005F32F4" w:rsidRPr="00F90EAE" w:rsidRDefault="005F32F4" w:rsidP="00F90EAE">
      <w:pPr>
        <w:jc w:val="both"/>
        <w:rPr>
          <w:color w:val="000000" w:themeColor="text1"/>
          <w:sz w:val="16"/>
          <w:szCs w:val="16"/>
        </w:rPr>
      </w:pPr>
      <w:r w:rsidRPr="00F90EAE">
        <w:rPr>
          <w:color w:val="000000" w:themeColor="text1"/>
          <w:sz w:val="16"/>
          <w:szCs w:val="16"/>
        </w:rPr>
        <w:t>При обстреле карт толщиной 8 мм из ста</w:t>
      </w:r>
      <w:r w:rsidRPr="00F90EAE">
        <w:rPr>
          <w:color w:val="000000" w:themeColor="text1"/>
          <w:sz w:val="16"/>
          <w:szCs w:val="16"/>
        </w:rPr>
        <w:softHyphen/>
        <w:t>лей АБ-2 и АБ-3, обработанных с температурой отпуска 260°С, установили, что они выдер</w:t>
      </w:r>
      <w:r w:rsidRPr="00F90EAE">
        <w:rPr>
          <w:color w:val="000000" w:themeColor="text1"/>
          <w:sz w:val="16"/>
          <w:szCs w:val="16"/>
        </w:rPr>
        <w:softHyphen/>
        <w:t>живают обстрел осколочно-зажигательными снарядами МГ-151 калибра 20 мм с дистанции 100 м по нормали. При этом</w:t>
      </w:r>
      <w:r w:rsidRPr="00F90EAE">
        <w:rPr>
          <w:rStyle w:val="aff6"/>
          <w:rFonts w:ascii="Times New Roman" w:hAnsi="Times New Roman" w:cs="Times New Roman"/>
          <w:i w:val="0"/>
          <w:color w:val="000000" w:themeColor="text1"/>
        </w:rPr>
        <w:t xml:space="preserve"> «с тыльной сторо</w:t>
      </w:r>
      <w:r w:rsidRPr="00F90EAE">
        <w:rPr>
          <w:rStyle w:val="aff6"/>
          <w:rFonts w:ascii="Times New Roman" w:hAnsi="Times New Roman" w:cs="Times New Roman"/>
          <w:i w:val="0"/>
          <w:color w:val="000000" w:themeColor="text1"/>
        </w:rPr>
        <w:softHyphen/>
        <w:t>ны карт образуются отдулины, которые свиде</w:t>
      </w:r>
      <w:r w:rsidRPr="00F90EAE">
        <w:rPr>
          <w:rStyle w:val="aff6"/>
          <w:rFonts w:ascii="Times New Roman" w:hAnsi="Times New Roman" w:cs="Times New Roman"/>
          <w:i w:val="0"/>
          <w:color w:val="000000" w:themeColor="text1"/>
        </w:rPr>
        <w:softHyphen/>
        <w:t>тельствуют о значительном запасе пластиче</w:t>
      </w:r>
      <w:r w:rsidRPr="00F90EAE">
        <w:rPr>
          <w:rStyle w:val="aff6"/>
          <w:rFonts w:ascii="Times New Roman" w:hAnsi="Times New Roman" w:cs="Times New Roman"/>
          <w:i w:val="0"/>
          <w:color w:val="000000" w:themeColor="text1"/>
        </w:rPr>
        <w:softHyphen/>
        <w:t>ских свойств этих сталей».</w:t>
      </w:r>
      <w:r w:rsidRPr="00F90EAE">
        <w:rPr>
          <w:color w:val="000000" w:themeColor="text1"/>
          <w:sz w:val="16"/>
          <w:szCs w:val="16"/>
        </w:rPr>
        <w:t xml:space="preserve"> То есть, полностью подтвердились результаты аналогичных испы</w:t>
      </w:r>
      <w:r w:rsidRPr="00F90EAE">
        <w:rPr>
          <w:color w:val="000000" w:themeColor="text1"/>
          <w:sz w:val="16"/>
          <w:szCs w:val="16"/>
        </w:rPr>
        <w:softHyphen/>
        <w:t>таний стали марки АБ-3, проведенных в 1944 г.</w:t>
      </w:r>
    </w:p>
    <w:p w14:paraId="0EC06F20"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Карты из стали</w:t>
      </w:r>
      <w:r w:rsidRPr="00F90EAE">
        <w:rPr>
          <w:rFonts w:ascii="Times New Roman" w:cs="Times New Roman"/>
          <w:color w:val="000000" w:themeColor="text1"/>
          <w:sz w:val="16"/>
          <w:szCs w:val="16"/>
        </w:rPr>
        <w:t xml:space="preserve"> «марки АБ-2 толщиной 8 мм, обработанные с отпуском на 215'С, при обстреле из осколочно-зажигательными сна</w:t>
      </w:r>
      <w:r w:rsidRPr="00F90EAE">
        <w:rPr>
          <w:rFonts w:ascii="Times New Roman" w:cs="Times New Roman"/>
          <w:color w:val="000000" w:themeColor="text1"/>
          <w:sz w:val="16"/>
          <w:szCs w:val="16"/>
        </w:rPr>
        <w:softHyphen/>
        <w:t>рядами калибра 20 мм давали вязкие разрывы с отколами больших пятачков с тыльной сторо</w:t>
      </w:r>
      <w:r w:rsidRPr="00F90EAE">
        <w:rPr>
          <w:rFonts w:ascii="Times New Roman" w:cs="Times New Roman"/>
          <w:color w:val="000000" w:themeColor="text1"/>
          <w:sz w:val="16"/>
          <w:szCs w:val="16"/>
        </w:rPr>
        <w:softHyphen/>
        <w:t>ны карты».</w:t>
      </w:r>
    </w:p>
    <w:p w14:paraId="0773DD92" w14:textId="77777777" w:rsidR="005F32F4" w:rsidRPr="00F90EAE" w:rsidRDefault="005F32F4" w:rsidP="00F90EAE">
      <w:pPr>
        <w:jc w:val="both"/>
        <w:rPr>
          <w:color w:val="000000" w:themeColor="text1"/>
          <w:sz w:val="16"/>
          <w:szCs w:val="16"/>
        </w:rPr>
      </w:pPr>
      <w:r w:rsidRPr="00F90EAE">
        <w:rPr>
          <w:color w:val="000000" w:themeColor="text1"/>
          <w:sz w:val="16"/>
          <w:szCs w:val="16"/>
        </w:rPr>
        <w:t>Кроме того, с целью проверки стали мар</w:t>
      </w:r>
      <w:r w:rsidRPr="00F90EAE">
        <w:rPr>
          <w:color w:val="000000" w:themeColor="text1"/>
          <w:sz w:val="16"/>
          <w:szCs w:val="16"/>
        </w:rPr>
        <w:softHyphen/>
        <w:t>ки АБ-3 на живучесть при обстреле ее пулями калибра 12,7 мм и осколочно-зажигательными снарядами калибра 20 мм осуществили ис</w:t>
      </w:r>
      <w:r w:rsidRPr="00F90EAE">
        <w:rPr>
          <w:color w:val="000000" w:themeColor="text1"/>
          <w:sz w:val="16"/>
          <w:szCs w:val="16"/>
        </w:rPr>
        <w:softHyphen/>
        <w:t>пытания карт размером 500x300 мм для пуль калибра 12,7 мм и 500x500 мм - для снарядов калибра 20 мм. Во всех случаях хрупких разру</w:t>
      </w:r>
      <w:r w:rsidRPr="00F90EAE">
        <w:rPr>
          <w:color w:val="000000" w:themeColor="text1"/>
          <w:sz w:val="16"/>
          <w:szCs w:val="16"/>
        </w:rPr>
        <w:softHyphen/>
        <w:t>шений брони не наблюдалось.</w:t>
      </w:r>
    </w:p>
    <w:p w14:paraId="0307CD56" w14:textId="77777777" w:rsidR="005F32F4" w:rsidRPr="00F90EAE" w:rsidRDefault="005F32F4" w:rsidP="00F90EAE">
      <w:pPr>
        <w:jc w:val="both"/>
        <w:rPr>
          <w:color w:val="000000" w:themeColor="text1"/>
          <w:sz w:val="16"/>
          <w:szCs w:val="16"/>
        </w:rPr>
      </w:pPr>
      <w:r w:rsidRPr="00F90EAE">
        <w:rPr>
          <w:color w:val="000000" w:themeColor="text1"/>
          <w:sz w:val="16"/>
          <w:szCs w:val="16"/>
        </w:rPr>
        <w:t>Делались следующие выводы:</w:t>
      </w:r>
    </w:p>
    <w:p w14:paraId="5D5CFE8F"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«1. Сталь марки АБ-3, проверенная на 3-х плавках 1945 г. и на одной плавке в 1944 г., является вполне равноценным заменителем стали АБ-2.</w:t>
      </w:r>
    </w:p>
    <w:p w14:paraId="539E9522" w14:textId="77777777" w:rsidR="005F32F4" w:rsidRPr="00F90EAE" w:rsidRDefault="005F32F4" w:rsidP="00F90EAE">
      <w:pPr>
        <w:pStyle w:val="45"/>
        <w:shd w:val="clear" w:color="auto" w:fill="auto"/>
        <w:tabs>
          <w:tab w:val="left" w:pos="490"/>
        </w:tabs>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2. Сталь марки ХД обладает хорошим за</w:t>
      </w:r>
      <w:r w:rsidRPr="00F90EAE">
        <w:rPr>
          <w:rFonts w:ascii="Times New Roman" w:cs="Times New Roman"/>
          <w:color w:val="000000" w:themeColor="text1"/>
          <w:sz w:val="16"/>
          <w:szCs w:val="16"/>
        </w:rPr>
        <w:softHyphen/>
        <w:t>пасом вязкости, но последняя достигается за счет снижения стойкости против пуль кали</w:t>
      </w:r>
      <w:r w:rsidRPr="00F90EAE">
        <w:rPr>
          <w:rFonts w:ascii="Times New Roman" w:cs="Times New Roman"/>
          <w:color w:val="000000" w:themeColor="text1"/>
          <w:sz w:val="16"/>
          <w:szCs w:val="16"/>
        </w:rPr>
        <w:softHyphen/>
        <w:t>бра 7,62</w:t>
      </w:r>
      <w:r w:rsidRPr="00F90EAE">
        <w:rPr>
          <w:rStyle w:val="4e"/>
          <w:rFonts w:ascii="Times New Roman" w:hAnsi="Times New Roman" w:cs="Times New Roman"/>
          <w:i w:val="0"/>
          <w:color w:val="000000" w:themeColor="text1"/>
          <w:sz w:val="16"/>
          <w:szCs w:val="16"/>
        </w:rPr>
        <w:t xml:space="preserve"> мм.</w:t>
      </w:r>
    </w:p>
    <w:p w14:paraId="05CC1A63" w14:textId="77777777" w:rsidR="005F32F4" w:rsidRPr="00F90EAE" w:rsidRDefault="005F32F4" w:rsidP="00F90EAE">
      <w:pPr>
        <w:pStyle w:val="45"/>
        <w:shd w:val="clear" w:color="auto" w:fill="auto"/>
        <w:tabs>
          <w:tab w:val="left" w:pos="505"/>
        </w:tabs>
        <w:spacing w:before="0" w:line="240" w:lineRule="auto"/>
        <w:jc w:val="both"/>
        <w:rPr>
          <w:rFonts w:ascii="Times New Roman" w:cs="Times New Roman"/>
          <w:color w:val="000000" w:themeColor="text1"/>
          <w:sz w:val="16"/>
          <w:szCs w:val="16"/>
        </w:rPr>
      </w:pPr>
      <w:r w:rsidRPr="00F90EAE">
        <w:rPr>
          <w:rFonts w:ascii="Times New Roman" w:cs="Times New Roman"/>
          <w:color w:val="000000" w:themeColor="text1"/>
          <w:sz w:val="16"/>
          <w:szCs w:val="16"/>
        </w:rPr>
        <w:t>3. В валовом производстве штампуемых бронедеталей толщиной 4-8 мм из сталей ма</w:t>
      </w:r>
      <w:r w:rsidRPr="00F90EAE">
        <w:rPr>
          <w:rFonts w:ascii="Times New Roman" w:cs="Times New Roman"/>
          <w:color w:val="000000" w:themeColor="text1"/>
          <w:sz w:val="16"/>
          <w:szCs w:val="16"/>
        </w:rPr>
        <w:softHyphen/>
        <w:t>рок АБ-2 и АБ-3 более целесообразным явля</w:t>
      </w:r>
      <w:r w:rsidRPr="00F90EAE">
        <w:rPr>
          <w:rFonts w:ascii="Times New Roman" w:cs="Times New Roman"/>
          <w:color w:val="000000" w:themeColor="text1"/>
          <w:sz w:val="16"/>
          <w:szCs w:val="16"/>
        </w:rPr>
        <w:softHyphen/>
        <w:t>ется низкий отпуск при температуре 260-280°, обеспечивающий при сохранении существую</w:t>
      </w:r>
      <w:r w:rsidRPr="00F90EAE">
        <w:rPr>
          <w:rFonts w:ascii="Times New Roman" w:cs="Times New Roman"/>
          <w:color w:val="000000" w:themeColor="text1"/>
          <w:sz w:val="16"/>
          <w:szCs w:val="16"/>
        </w:rPr>
        <w:softHyphen/>
        <w:t>щей пулестойкости достаточный запас вязких свойств и исключающий хрупкие разрушения при поражении брони 6нарядами 03 калиб</w:t>
      </w:r>
      <w:r w:rsidRPr="00F90EAE">
        <w:rPr>
          <w:rFonts w:ascii="Times New Roman" w:cs="Times New Roman"/>
          <w:color w:val="000000" w:themeColor="text1"/>
          <w:sz w:val="16"/>
          <w:szCs w:val="16"/>
        </w:rPr>
        <w:softHyphen/>
        <w:t>ра 20 мм».</w:t>
      </w:r>
    </w:p>
    <w:p w14:paraId="021D0410" w14:textId="77777777" w:rsidR="005F32F4" w:rsidRPr="00F90EAE" w:rsidRDefault="005F32F4" w:rsidP="00F90EAE">
      <w:pPr>
        <w:pStyle w:val="45"/>
        <w:shd w:val="clear" w:color="auto" w:fill="auto"/>
        <w:spacing w:before="0" w:line="240" w:lineRule="auto"/>
        <w:jc w:val="both"/>
        <w:rPr>
          <w:rFonts w:ascii="Times New Roman" w:cs="Times New Roman"/>
          <w:color w:val="000000" w:themeColor="text1"/>
          <w:sz w:val="16"/>
          <w:szCs w:val="16"/>
        </w:rPr>
      </w:pPr>
      <w:r w:rsidRPr="00F90EAE">
        <w:rPr>
          <w:rStyle w:val="4e"/>
          <w:rFonts w:ascii="Times New Roman" w:hAnsi="Times New Roman" w:cs="Times New Roman"/>
          <w:i w:val="0"/>
          <w:color w:val="000000" w:themeColor="text1"/>
          <w:sz w:val="16"/>
          <w:szCs w:val="16"/>
        </w:rPr>
        <w:t>Считалось необходимым поставить вопрос о целесообразности проведения испытаний на живучесть не в условиях предела сквозного пробития, а в условиях предела тыльной проч</w:t>
      </w:r>
      <w:r w:rsidRPr="00F90EAE">
        <w:rPr>
          <w:rStyle w:val="4e"/>
          <w:rFonts w:ascii="Times New Roman" w:hAnsi="Times New Roman" w:cs="Times New Roman"/>
          <w:i w:val="0"/>
          <w:color w:val="000000" w:themeColor="text1"/>
          <w:sz w:val="16"/>
          <w:szCs w:val="16"/>
        </w:rPr>
        <w:softHyphen/>
        <w:t>ности,</w:t>
      </w:r>
      <w:r w:rsidRPr="00F90EAE">
        <w:rPr>
          <w:rFonts w:ascii="Times New Roman" w:cs="Times New Roman"/>
          <w:color w:val="000000" w:themeColor="text1"/>
          <w:sz w:val="16"/>
          <w:szCs w:val="16"/>
        </w:rPr>
        <w:t xml:space="preserve"> «исключающих отрывы кусков и вязких разрушений карт малых размеров».</w:t>
      </w:r>
      <w:r w:rsidRPr="00F90EAE">
        <w:rPr>
          <w:rStyle w:val="4e"/>
          <w:rFonts w:ascii="Times New Roman" w:hAnsi="Times New Roman" w:cs="Times New Roman"/>
          <w:i w:val="0"/>
          <w:color w:val="000000" w:themeColor="text1"/>
          <w:sz w:val="16"/>
          <w:szCs w:val="16"/>
        </w:rPr>
        <w:t xml:space="preserve"> Отмеча</w:t>
      </w:r>
      <w:r w:rsidRPr="00F90EAE">
        <w:rPr>
          <w:rStyle w:val="4e"/>
          <w:rFonts w:ascii="Times New Roman" w:hAnsi="Times New Roman" w:cs="Times New Roman"/>
          <w:i w:val="0"/>
          <w:color w:val="000000" w:themeColor="text1"/>
          <w:sz w:val="16"/>
          <w:szCs w:val="16"/>
        </w:rPr>
        <w:softHyphen/>
        <w:t>лось, что</w:t>
      </w:r>
      <w:r w:rsidRPr="00F90EAE">
        <w:rPr>
          <w:rFonts w:ascii="Times New Roman" w:cs="Times New Roman"/>
          <w:color w:val="000000" w:themeColor="text1"/>
          <w:sz w:val="16"/>
          <w:szCs w:val="16"/>
        </w:rPr>
        <w:t xml:space="preserve"> «такое уточнение метода испытаний на живучесть полностью согласуется и самой сущностью работы брони, поскольку вопросы сохранения конструктивной целостности дета</w:t>
      </w:r>
      <w:r w:rsidRPr="00F90EAE">
        <w:rPr>
          <w:rFonts w:ascii="Times New Roman" w:cs="Times New Roman"/>
          <w:color w:val="000000" w:themeColor="text1"/>
          <w:sz w:val="16"/>
          <w:szCs w:val="16"/>
        </w:rPr>
        <w:softHyphen/>
        <w:t>ли на самолете имеют смысл только в услови</w:t>
      </w:r>
      <w:r w:rsidRPr="00F90EAE">
        <w:rPr>
          <w:rFonts w:ascii="Times New Roman" w:cs="Times New Roman"/>
          <w:color w:val="000000" w:themeColor="text1"/>
          <w:sz w:val="16"/>
          <w:szCs w:val="16"/>
        </w:rPr>
        <w:softHyphen/>
        <w:t>ях ее непробития».</w:t>
      </w:r>
    </w:p>
    <w:p w14:paraId="2E3180DA" w14:textId="77777777" w:rsidR="005F32F4" w:rsidRPr="00F90EAE" w:rsidRDefault="005F32F4" w:rsidP="00F90EAE">
      <w:pPr>
        <w:jc w:val="both"/>
        <w:rPr>
          <w:rStyle w:val="aff6"/>
          <w:rFonts w:ascii="Times New Roman" w:hAnsi="Times New Roman" w:cs="Times New Roman"/>
          <w:i w:val="0"/>
          <w:color w:val="000000" w:themeColor="text1"/>
        </w:rPr>
      </w:pPr>
      <w:r w:rsidRPr="00F90EAE">
        <w:rPr>
          <w:color w:val="000000" w:themeColor="text1"/>
          <w:sz w:val="16"/>
          <w:szCs w:val="16"/>
        </w:rPr>
        <w:t>Предлагался следующий порядок испы</w:t>
      </w:r>
      <w:r w:rsidRPr="00F90EAE">
        <w:rPr>
          <w:color w:val="000000" w:themeColor="text1"/>
          <w:sz w:val="16"/>
          <w:szCs w:val="16"/>
        </w:rPr>
        <w:softHyphen/>
        <w:t>таний. Проверка качества брони должна была производиться путем обстрела карт размера</w:t>
      </w:r>
      <w:r w:rsidRPr="00F90EAE">
        <w:rPr>
          <w:color w:val="000000" w:themeColor="text1"/>
          <w:sz w:val="16"/>
          <w:szCs w:val="16"/>
        </w:rPr>
        <w:softHyphen/>
        <w:t>ми 800x800 мм пулями Б-32 калибра 7,62 мм и осколочно-зажигательными снарядами кали</w:t>
      </w:r>
      <w:r w:rsidRPr="00F90EAE">
        <w:rPr>
          <w:color w:val="000000" w:themeColor="text1"/>
          <w:sz w:val="16"/>
          <w:szCs w:val="16"/>
        </w:rPr>
        <w:softHyphen/>
        <w:t>бра 20 мм с дистанции 100 м: три попадания 20-мм снарядами - по нормали, пять попада</w:t>
      </w:r>
      <w:r w:rsidRPr="00F90EAE">
        <w:rPr>
          <w:color w:val="000000" w:themeColor="text1"/>
          <w:sz w:val="16"/>
          <w:szCs w:val="16"/>
        </w:rPr>
        <w:softHyphen/>
        <w:t>ний пулями Б-32 - под углами 20, 35, 45, 60°. Затем следовало провести индивидуальные испытания бронедеталей толщиной 4-8 мм в соответствии с ТУ, за исключением деталей толщиной 8 мм, для которых угол обстрела устанавливался 20° к нормали вместо 25°. Для испытания брони толщиной более 8 мм требо</w:t>
      </w:r>
      <w:r w:rsidRPr="00F90EAE">
        <w:rPr>
          <w:color w:val="000000" w:themeColor="text1"/>
          <w:sz w:val="16"/>
          <w:szCs w:val="16"/>
        </w:rPr>
        <w:softHyphen/>
        <w:t>валось</w:t>
      </w:r>
      <w:r w:rsidRPr="00F90EAE">
        <w:rPr>
          <w:rStyle w:val="aff6"/>
          <w:rFonts w:ascii="Times New Roman" w:hAnsi="Times New Roman" w:cs="Times New Roman"/>
          <w:i w:val="0"/>
          <w:color w:val="000000" w:themeColor="text1"/>
        </w:rPr>
        <w:t xml:space="preserve"> «разработать условия испытаний более мощным снарядом, чем снаряд 03 ШВАК и МГ-151-20 мм, сохраняя в основном обстрел пулями Б-32 калибра 12,7 мм» (17479).</w:t>
      </w:r>
    </w:p>
    <w:p w14:paraId="3C28F707" w14:textId="77777777" w:rsidR="005F32F4" w:rsidRPr="00F90EAE" w:rsidRDefault="005F32F4" w:rsidP="00F90EAE">
      <w:pPr>
        <w:jc w:val="both"/>
        <w:rPr>
          <w:color w:val="000000" w:themeColor="text1"/>
          <w:sz w:val="16"/>
          <w:szCs w:val="16"/>
        </w:rPr>
      </w:pPr>
    </w:p>
    <w:p w14:paraId="0A998B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вышел приказ Командующего ВВС и НКАП N 0128/265с "О проведении гос. испытаний опытного самолета 68 с 2хАМ-39ФНВ и винтами АВ-5ЛВ-22А конструкции А.Н.Т.:</w:t>
      </w:r>
    </w:p>
    <w:p w14:paraId="3F7B44A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Испытания начать 28 июня и закончить: наземные в 16 календарных дней, летные - в 20 летных дней." (1894,43).</w:t>
      </w:r>
    </w:p>
    <w:p w14:paraId="7706C34A" w14:textId="77777777" w:rsidR="006103B3" w:rsidRPr="00F90EAE" w:rsidRDefault="006103B3" w:rsidP="00F90EAE">
      <w:pPr>
        <w:autoSpaceDE w:val="0"/>
        <w:autoSpaceDN w:val="0"/>
        <w:adjustRightInd w:val="0"/>
        <w:jc w:val="both"/>
        <w:rPr>
          <w:color w:val="000000" w:themeColor="text1"/>
          <w:sz w:val="16"/>
          <w:szCs w:val="16"/>
        </w:rPr>
      </w:pPr>
    </w:p>
    <w:p w14:paraId="597EE6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года был утвержден акт по государственным испытаниям Як-3 ВК- 107А с металлическим крылом, которые шли с 21 мая по 9 июня 1945.</w:t>
      </w:r>
    </w:p>
    <w:p w14:paraId="7455A13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внесенные в конструкцию самолета изменения не повлекли за собой увеличения полетного веса, а запас прочности металлического крыла оказался достаточным. Максимальные скорости серийной машины (604 км/ч - у земли и 706 км/ч - на второй границе высотности) оказались сопоставимы с опытным образцом (610 км/ч - у земли и 720 км/ч - на второй границе высотности мотора) и полностью удовлетворяли требованиям, заданным постановлением ГКО №7233сс от 29 декабря 1944 года (600 км/ч - у земли и 700 км/ч - на второй границе высотности). Существенно уменьшили нагрузки в системе управления, устранили многие дефекты, выявленные в ходе испытаний опытного самолета. В то же время машине №7003 были свойственны все недостатки предшественников, включая перегрев воды и масла в наборе высоты и перегрев воды в горизонтальном полете на боевой мощности, а также тряска мотора при его дросселировании. Отмечалась также недостаточная мощность огня из двух орудий, поскольку в 1945 году базовая модель Як-3 с ВК-105ПФ-2, а также Як-9У с ВК-107А по техническим требованиям ВВС должны были выпускаться с тремя огневыми точками калибра не менее 20 мм (12047).</w:t>
      </w:r>
    </w:p>
    <w:p w14:paraId="14159564" w14:textId="77777777" w:rsidR="006103B3" w:rsidRPr="00F90EAE" w:rsidRDefault="006103B3" w:rsidP="00F90EAE">
      <w:pPr>
        <w:autoSpaceDE w:val="0"/>
        <w:autoSpaceDN w:val="0"/>
        <w:adjustRightInd w:val="0"/>
        <w:jc w:val="both"/>
        <w:rPr>
          <w:color w:val="000000" w:themeColor="text1"/>
          <w:sz w:val="16"/>
          <w:szCs w:val="16"/>
        </w:rPr>
      </w:pPr>
    </w:p>
    <w:p w14:paraId="1B10E6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27 июня 1945 А.И.Ш. писал в ЦК ВКП(б) письмо о необходимости использования немецких специалистов для развития реактивной техники и апеллировал, что САСШ уже используют. "С нашей точки зрения, было бы целесообразно иметь на территории СССР или в оккупированной нами зоне Германии специального типа </w:t>
      </w:r>
      <w:r w:rsidRPr="00F90EAE">
        <w:rPr>
          <w:color w:val="000000" w:themeColor="text1"/>
          <w:sz w:val="16"/>
          <w:szCs w:val="16"/>
        </w:rPr>
        <w:lastRenderedPageBreak/>
        <w:t>организации с особым режимом (под наблюдением НКВД), где немецкие ученые могли бы вести НИР по нашим заданиям. Основное руководство и направление НИР таких организаций должны возглавляться советскими учеными, немцы должны быть изолированы от общения с нашими научными и опытными организациями. Ввиду чрезвычайной важности вопроса, прошу доложить его тов. Сталину с тем, чтобы поручить НКАП и НКВД совместно подготовить проект решения по этому вопросу" (1795,61).</w:t>
      </w:r>
    </w:p>
    <w:p w14:paraId="727A1A39" w14:textId="77777777" w:rsidR="006103B3" w:rsidRPr="00F90EAE" w:rsidRDefault="006103B3" w:rsidP="00F90EAE">
      <w:pPr>
        <w:autoSpaceDE w:val="0"/>
        <w:autoSpaceDN w:val="0"/>
        <w:adjustRightInd w:val="0"/>
        <w:jc w:val="both"/>
        <w:rPr>
          <w:color w:val="000000" w:themeColor="text1"/>
          <w:sz w:val="16"/>
          <w:szCs w:val="16"/>
        </w:rPr>
      </w:pPr>
    </w:p>
    <w:p w14:paraId="514D04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года нарком авиационной промышленности А. И. Шахурин обратился с письмом в ЦК ВКП(б). Под ним могли бы подписаться руководители других наркоматов. Вот текст этого документа:</w:t>
      </w:r>
    </w:p>
    <w:p w14:paraId="12A8FBB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«Большое количество немецких специалистов и ученых в области авиации находится сейчас в наших руках. Эти ученые и специалисты обладают огромным запасом знаний, накопленных за время работы в научно-исследовательских и опытных организациях Германии. Часть этих специалистов находятся в зоне, занимаемой союзниками, но, по имеющимся у нас сведениям, уже используется союзниками и некоторые из них отправлены в США и Англию.</w:t>
      </w:r>
    </w:p>
    <w:p w14:paraId="77CD8D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Имеются также сведения и о том, что среди немецких ученых, находящихся в советской оккупационной зоне, наблюдается большое стремление попасть в Англию и США, что для нашей страны было бы чрезвычайно нежелательно. Необходимо не только не допустить перетекание германских ученых к союзникам, но, наоборот, принять меры к использованию (их) в наших интересах.</w:t>
      </w:r>
    </w:p>
    <w:p w14:paraId="23CC51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нашей точки зрения, было бы целесообразно на территории СССР или в оккупированной нами зоне Германии организовать специального типа организации с особым режимом (под наблюдением НКВД), где немецкие ученые могли бы вести научно-исследовательские работы по нашим заданиям. Основное руководство и направление научно-исследовательских работ таких организаций должны возглавляться советскими учеными; немцы должны быть изолированы от общения с нашими научными и опытными организациями.</w:t>
      </w:r>
    </w:p>
    <w:p w14:paraId="706F4A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Ввиду чрезвычайной важности вопроса, прошу доложить его товарищу Сталину с тем, чтобы поручить НКАП и НКВД совместно подготовить проект решения по этому вопросу» (Соболев Д. А. Немецкий след в истории советской авиации. Об участии немецких специалистов в развитии авиастроения в СССР. — М., 1996, с. 61.) (11765).</w:t>
      </w:r>
    </w:p>
    <w:p w14:paraId="788488C8" w14:textId="77777777" w:rsidR="006103B3" w:rsidRPr="00F90EAE" w:rsidRDefault="006103B3" w:rsidP="00F90EAE">
      <w:pPr>
        <w:autoSpaceDE w:val="0"/>
        <w:autoSpaceDN w:val="0"/>
        <w:adjustRightInd w:val="0"/>
        <w:jc w:val="both"/>
        <w:rPr>
          <w:color w:val="000000" w:themeColor="text1"/>
          <w:sz w:val="16"/>
          <w:szCs w:val="16"/>
        </w:rPr>
      </w:pPr>
    </w:p>
    <w:p w14:paraId="0F804716"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733D628" w14:textId="77777777" w:rsidR="006103B3" w:rsidRPr="00F90EAE" w:rsidRDefault="006103B3" w:rsidP="00F90EAE">
      <w:pPr>
        <w:autoSpaceDE w:val="0"/>
        <w:autoSpaceDN w:val="0"/>
        <w:adjustRightInd w:val="0"/>
        <w:jc w:val="both"/>
        <w:rPr>
          <w:iCs/>
          <w:color w:val="000000" w:themeColor="text1"/>
          <w:sz w:val="16"/>
          <w:szCs w:val="16"/>
        </w:rPr>
      </w:pPr>
    </w:p>
    <w:p w14:paraId="2AAB9B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на заседании Госплана обсуждался вопрос о номенклатуре гражданской продукции на предприятиях, освобождаемых от спецзаказов. Комиссии Госплана предлагалось “принять меры к размещению в комплексном виде оборудования для угольной и нефтяной пр-ти, металлургии, цементной пр-ти и строительных машин”(7543, 15).</w:t>
      </w:r>
    </w:p>
    <w:p w14:paraId="1469A40A" w14:textId="77777777" w:rsidR="006103B3" w:rsidRPr="00F90EAE" w:rsidRDefault="006103B3" w:rsidP="00F90EAE">
      <w:pPr>
        <w:autoSpaceDE w:val="0"/>
        <w:autoSpaceDN w:val="0"/>
        <w:adjustRightInd w:val="0"/>
        <w:jc w:val="both"/>
        <w:rPr>
          <w:color w:val="000000" w:themeColor="text1"/>
          <w:sz w:val="16"/>
          <w:szCs w:val="16"/>
        </w:rPr>
      </w:pPr>
    </w:p>
    <w:p w14:paraId="33C6CF9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на заседании Госплана обсуждался вопрос о номенклатуре производства гражданской продукции на предприятиях, освобождаемых от специальных заказов. Комиссия по рассмотрение проектов специализации заводов вооружения, боеприпасов, танковых и авиационных, освобождаемых от производства военной продукции предлагалось в первую очередь “принять меры к размещению в комплексном виде оборудования для угольной и нефтяной промышленности, металлургии, цементной промышленности и строительных машин”, а также “согласовать план специализации и программу производства на III квартал с наркоматами-производителями и наркоматами-потребителями” (7543).</w:t>
      </w:r>
    </w:p>
    <w:p w14:paraId="6D16203A" w14:textId="77777777" w:rsidR="006103B3" w:rsidRPr="00F90EAE" w:rsidRDefault="006103B3" w:rsidP="00F90EAE">
      <w:pPr>
        <w:autoSpaceDE w:val="0"/>
        <w:autoSpaceDN w:val="0"/>
        <w:adjustRightInd w:val="0"/>
        <w:jc w:val="both"/>
        <w:rPr>
          <w:color w:val="000000" w:themeColor="text1"/>
          <w:sz w:val="16"/>
          <w:szCs w:val="16"/>
        </w:rPr>
      </w:pPr>
    </w:p>
    <w:p w14:paraId="04DF4B8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вышло Постановление ГКО № 9272 О перераспределении пиломатериалов за счет уменьшения потребности в спецукупорке. РГАНИР, Фонд ГКО, д. 431, лл. 13-14, 15-19 (11012).</w:t>
      </w:r>
    </w:p>
    <w:p w14:paraId="05606637" w14:textId="77777777" w:rsidR="006103B3" w:rsidRPr="00F90EAE" w:rsidRDefault="006103B3" w:rsidP="00F90EAE">
      <w:pPr>
        <w:autoSpaceDE w:val="0"/>
        <w:autoSpaceDN w:val="0"/>
        <w:adjustRightInd w:val="0"/>
        <w:jc w:val="both"/>
        <w:rPr>
          <w:color w:val="000000" w:themeColor="text1"/>
          <w:sz w:val="16"/>
          <w:szCs w:val="16"/>
        </w:rPr>
      </w:pPr>
    </w:p>
    <w:p w14:paraId="5E3DF0FE" w14:textId="77777777" w:rsidR="00576B2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09533624" w14:textId="77777777" w:rsidR="00576B22" w:rsidRPr="00F90EAE" w:rsidRDefault="00576B22" w:rsidP="00F90EAE">
      <w:pPr>
        <w:autoSpaceDE w:val="0"/>
        <w:autoSpaceDN w:val="0"/>
        <w:adjustRightInd w:val="0"/>
        <w:jc w:val="both"/>
        <w:rPr>
          <w:iCs/>
          <w:color w:val="000000" w:themeColor="text1"/>
          <w:sz w:val="16"/>
          <w:szCs w:val="16"/>
        </w:rPr>
      </w:pPr>
    </w:p>
    <w:p w14:paraId="5850ABD7" w14:textId="77777777" w:rsidR="00576B22" w:rsidRPr="00F90EAE" w:rsidRDefault="00576B22" w:rsidP="00F90EAE">
      <w:pPr>
        <w:jc w:val="both"/>
        <w:rPr>
          <w:color w:val="000000" w:themeColor="text1"/>
          <w:sz w:val="16"/>
          <w:szCs w:val="16"/>
        </w:rPr>
      </w:pPr>
      <w:r w:rsidRPr="00F90EAE">
        <w:rPr>
          <w:bCs/>
          <w:color w:val="000000" w:themeColor="text1"/>
          <w:sz w:val="16"/>
          <w:szCs w:val="16"/>
        </w:rPr>
        <w:t>27 июня</w:t>
      </w:r>
      <w:r w:rsidRPr="00F90EAE">
        <w:rPr>
          <w:color w:val="000000" w:themeColor="text1"/>
          <w:sz w:val="16"/>
          <w:szCs w:val="16"/>
        </w:rPr>
        <w:t xml:space="preserve"> в 1945 году звание генералиссимус присвоено В.И.Сталину (14935).</w:t>
      </w:r>
    </w:p>
    <w:p w14:paraId="29DD29C1" w14:textId="77777777" w:rsidR="00576B22" w:rsidRPr="00F90EAE" w:rsidRDefault="00576B22" w:rsidP="00F90EAE">
      <w:pPr>
        <w:jc w:val="both"/>
        <w:rPr>
          <w:color w:val="000000" w:themeColor="text1"/>
          <w:sz w:val="16"/>
          <w:szCs w:val="16"/>
        </w:rPr>
      </w:pPr>
    </w:p>
    <w:p w14:paraId="2497920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65C8EF60" w14:textId="77777777" w:rsidR="006103B3" w:rsidRPr="00F90EAE" w:rsidRDefault="006103B3" w:rsidP="00F90EAE">
      <w:pPr>
        <w:autoSpaceDE w:val="0"/>
        <w:autoSpaceDN w:val="0"/>
        <w:adjustRightInd w:val="0"/>
        <w:jc w:val="both"/>
        <w:rPr>
          <w:iCs/>
          <w:color w:val="000000" w:themeColor="text1"/>
          <w:sz w:val="16"/>
          <w:szCs w:val="16"/>
        </w:rPr>
      </w:pPr>
    </w:p>
    <w:p w14:paraId="68942C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27 июня 1945 И.В.С. было присвоено звание Генералиссимуса (3398,221).</w:t>
      </w:r>
    </w:p>
    <w:p w14:paraId="1789DED9" w14:textId="77777777" w:rsidR="006103B3" w:rsidRPr="00F90EAE" w:rsidRDefault="006103B3" w:rsidP="00F90EAE">
      <w:pPr>
        <w:autoSpaceDE w:val="0"/>
        <w:autoSpaceDN w:val="0"/>
        <w:adjustRightInd w:val="0"/>
        <w:jc w:val="both"/>
        <w:rPr>
          <w:color w:val="000000" w:themeColor="text1"/>
          <w:sz w:val="16"/>
          <w:szCs w:val="16"/>
        </w:rPr>
      </w:pPr>
    </w:p>
    <w:p w14:paraId="1F36E60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1823610E" w14:textId="77777777" w:rsidR="006103B3" w:rsidRPr="00F90EAE" w:rsidRDefault="006103B3" w:rsidP="00F90EAE">
      <w:pPr>
        <w:autoSpaceDE w:val="0"/>
        <w:autoSpaceDN w:val="0"/>
        <w:adjustRightInd w:val="0"/>
        <w:jc w:val="both"/>
        <w:rPr>
          <w:iCs/>
          <w:color w:val="000000" w:themeColor="text1"/>
          <w:sz w:val="16"/>
          <w:szCs w:val="16"/>
        </w:rPr>
      </w:pPr>
    </w:p>
    <w:p w14:paraId="204F06A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27 июня 1945 советское правительство приняло решение о выводе своих войск из Чехословакии (4962).</w:t>
      </w:r>
    </w:p>
    <w:p w14:paraId="12BE9008"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33A83D34" w14:textId="77777777" w:rsidR="00576B22" w:rsidRPr="00F90EAE" w:rsidRDefault="00576B22" w:rsidP="00F90EAE">
      <w:pPr>
        <w:jc w:val="both"/>
        <w:rPr>
          <w:color w:val="000000" w:themeColor="text1"/>
          <w:sz w:val="16"/>
          <w:szCs w:val="16"/>
        </w:rPr>
      </w:pPr>
      <w:r w:rsidRPr="00F90EAE">
        <w:rPr>
          <w:bCs/>
          <w:color w:val="000000" w:themeColor="text1"/>
          <w:sz w:val="16"/>
          <w:szCs w:val="16"/>
        </w:rPr>
        <w:t>27 июня</w:t>
      </w:r>
      <w:r w:rsidRPr="00F90EAE">
        <w:rPr>
          <w:color w:val="000000" w:themeColor="text1"/>
          <w:sz w:val="16"/>
          <w:szCs w:val="16"/>
        </w:rPr>
        <w:t xml:space="preserve"> в 1945 году Ставка ВГК издала директиву о выводе советских войск из Чехословакии (14935).</w:t>
      </w:r>
    </w:p>
    <w:p w14:paraId="5840B381" w14:textId="77777777" w:rsidR="00576B22" w:rsidRPr="00F90EAE" w:rsidRDefault="00576B22" w:rsidP="00F90EAE">
      <w:pPr>
        <w:jc w:val="both"/>
        <w:rPr>
          <w:color w:val="000000" w:themeColor="text1"/>
          <w:sz w:val="16"/>
          <w:szCs w:val="16"/>
        </w:rPr>
      </w:pPr>
    </w:p>
    <w:p w14:paraId="45333DDF" w14:textId="77777777" w:rsidR="00576B2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59D95DF7" w14:textId="77777777" w:rsidR="00576B22" w:rsidRPr="00F90EAE" w:rsidRDefault="00576B22" w:rsidP="00F90EAE">
      <w:pPr>
        <w:autoSpaceDE w:val="0"/>
        <w:autoSpaceDN w:val="0"/>
        <w:adjustRightInd w:val="0"/>
        <w:jc w:val="both"/>
        <w:rPr>
          <w:iCs/>
          <w:color w:val="000000" w:themeColor="text1"/>
          <w:sz w:val="16"/>
          <w:szCs w:val="16"/>
        </w:rPr>
      </w:pPr>
    </w:p>
    <w:p w14:paraId="02F6B14A" w14:textId="77777777" w:rsidR="00576B22" w:rsidRPr="00F90EAE" w:rsidRDefault="00576B22" w:rsidP="00F90EAE">
      <w:pPr>
        <w:jc w:val="both"/>
        <w:rPr>
          <w:color w:val="000000" w:themeColor="text1"/>
          <w:sz w:val="16"/>
          <w:szCs w:val="16"/>
        </w:rPr>
      </w:pPr>
      <w:r w:rsidRPr="00F90EAE">
        <w:rPr>
          <w:bCs/>
          <w:color w:val="000000" w:themeColor="text1"/>
          <w:sz w:val="16"/>
          <w:szCs w:val="16"/>
        </w:rPr>
        <w:t>27 июня</w:t>
      </w:r>
      <w:r w:rsidRPr="00F90EAE">
        <w:rPr>
          <w:color w:val="000000" w:themeColor="text1"/>
          <w:sz w:val="16"/>
          <w:szCs w:val="16"/>
        </w:rPr>
        <w:t xml:space="preserve"> в 1945 году модернизирован и представлен на испытания «XF7F-3N» (№80548), ставший прототипом «XF7F-4N». Модификация «F7F-4N» вобрала в себя практически все изменения, вносившиеся в конструкцию предшественников в ходе эксплуатации: вертикальное оперение увеличенной высоты, усиленную конструкцию крыла и фюзеляжа, а также модифицированное шасси и посадочный крюк. В отличие от предыдущих модификаций "четверка" имела только один вариант - двухместный ночной истребитель, оснащенный радаром «AN/APS-19», вооружение которого состояло из четырех 20-мм пушек в крыле с боезапасом 200 выстрелов на ствол. Кроме того, машина могла нести на пилонах под крылом бомбы, ракеты и подвесные топливные баки. В основном переделки заключались в установке на самолет соответствующего радиоэлектронного и другого оборудования "четверки" (радар, автопилот «Р-1», прицел «Mk.8» и тому подобное) , и не касались усиления конструкции. Серийные «F7F-4N» были поставлены заказчику в период с 17 сентября по 7 ноября 1946 г. в количестве 12 штук (№№80609-80620). Окончание войны и появление реактивной авиации поставили крест на «F7F-4N» (14935).</w:t>
      </w:r>
    </w:p>
    <w:p w14:paraId="4CFC0E38" w14:textId="77777777" w:rsidR="00576B22" w:rsidRPr="00F90EAE" w:rsidRDefault="00576B22" w:rsidP="00F90EAE">
      <w:pPr>
        <w:jc w:val="both"/>
        <w:rPr>
          <w:color w:val="000000" w:themeColor="text1"/>
          <w:sz w:val="16"/>
          <w:szCs w:val="16"/>
        </w:rPr>
      </w:pPr>
    </w:p>
    <w:p w14:paraId="7CBA45DF" w14:textId="77777777" w:rsidR="00576B22" w:rsidRPr="00F90EAE" w:rsidRDefault="00576B22" w:rsidP="00F90EAE">
      <w:pPr>
        <w:jc w:val="both"/>
        <w:rPr>
          <w:color w:val="000000" w:themeColor="text1"/>
          <w:sz w:val="16"/>
          <w:szCs w:val="16"/>
        </w:rPr>
      </w:pPr>
      <w:r w:rsidRPr="00F90EAE">
        <w:rPr>
          <w:bCs/>
          <w:color w:val="000000" w:themeColor="text1"/>
          <w:sz w:val="16"/>
          <w:szCs w:val="16"/>
        </w:rPr>
        <w:t>27 июня</w:t>
      </w:r>
      <w:r w:rsidRPr="00F90EAE">
        <w:rPr>
          <w:color w:val="000000" w:themeColor="text1"/>
          <w:sz w:val="16"/>
          <w:szCs w:val="16"/>
        </w:rPr>
        <w:t xml:space="preserve"> в 1945 году федеральная комиссия по связи США определила тринадцать каналов для телевидения (14935).</w:t>
      </w:r>
    </w:p>
    <w:p w14:paraId="11177074" w14:textId="77777777" w:rsidR="00576B22" w:rsidRPr="00F90EAE" w:rsidRDefault="00576B22" w:rsidP="00F90EAE">
      <w:pPr>
        <w:jc w:val="both"/>
        <w:rPr>
          <w:color w:val="000000" w:themeColor="text1"/>
          <w:sz w:val="16"/>
          <w:szCs w:val="16"/>
        </w:rPr>
      </w:pPr>
    </w:p>
    <w:p w14:paraId="4B41D01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6D97DF7" w14:textId="77777777" w:rsidR="006103B3" w:rsidRPr="00F90EAE" w:rsidRDefault="006103B3" w:rsidP="00F90EAE">
      <w:pPr>
        <w:autoSpaceDE w:val="0"/>
        <w:autoSpaceDN w:val="0"/>
        <w:adjustRightInd w:val="0"/>
        <w:jc w:val="both"/>
        <w:rPr>
          <w:iCs/>
          <w:color w:val="000000" w:themeColor="text1"/>
          <w:sz w:val="16"/>
          <w:szCs w:val="16"/>
        </w:rPr>
      </w:pPr>
    </w:p>
    <w:p w14:paraId="50C2449F" w14:textId="77777777" w:rsidR="004709B0" w:rsidRPr="00F90EAE" w:rsidRDefault="004709B0" w:rsidP="00F90EAE">
      <w:pPr>
        <w:jc w:val="both"/>
        <w:textAlignment w:val="top"/>
        <w:rPr>
          <w:color w:val="000000" w:themeColor="text1"/>
          <w:sz w:val="16"/>
          <w:szCs w:val="16"/>
        </w:rPr>
      </w:pPr>
      <w:r w:rsidRPr="00F90EAE">
        <w:rPr>
          <w:color w:val="000000" w:themeColor="text1"/>
          <w:sz w:val="16"/>
          <w:szCs w:val="16"/>
        </w:rPr>
        <w:t>28 июня 1945 вышел приказ НКАП</w:t>
      </w:r>
    </w:p>
    <w:p w14:paraId="47CF6413" w14:textId="77777777" w:rsidR="004709B0" w:rsidRPr="00F90EAE" w:rsidRDefault="004709B0" w:rsidP="00F90EAE">
      <w:pPr>
        <w:jc w:val="both"/>
        <w:textAlignment w:val="top"/>
        <w:rPr>
          <w:color w:val="000000" w:themeColor="text1"/>
          <w:sz w:val="16"/>
          <w:szCs w:val="16"/>
        </w:rPr>
      </w:pPr>
      <w:r w:rsidRPr="00F90EAE">
        <w:rPr>
          <w:color w:val="000000" w:themeColor="text1"/>
          <w:sz w:val="16"/>
          <w:szCs w:val="16"/>
        </w:rPr>
        <w:t>О серийном производстве на з-де N1 двухмоторных бомбардировщиков Ту-2 с моторами АМ-39ФН.</w:t>
      </w:r>
    </w:p>
    <w:p w14:paraId="7A3EFE59" w14:textId="77777777" w:rsidR="004709B0" w:rsidRPr="00F90EAE" w:rsidRDefault="004709B0" w:rsidP="00F90EAE">
      <w:pPr>
        <w:jc w:val="both"/>
        <w:textAlignment w:val="top"/>
        <w:rPr>
          <w:color w:val="000000" w:themeColor="text1"/>
          <w:sz w:val="16"/>
          <w:szCs w:val="16"/>
        </w:rPr>
      </w:pPr>
    </w:p>
    <w:p w14:paraId="5DB0872E" w14:textId="77777777" w:rsidR="004709B0" w:rsidRPr="00F90EAE" w:rsidRDefault="004709B0" w:rsidP="00F90EAE">
      <w:pPr>
        <w:autoSpaceDE w:val="0"/>
        <w:autoSpaceDN w:val="0"/>
        <w:adjustRightInd w:val="0"/>
        <w:jc w:val="both"/>
        <w:rPr>
          <w:color w:val="000000" w:themeColor="text1"/>
          <w:sz w:val="16"/>
          <w:szCs w:val="16"/>
        </w:rPr>
      </w:pPr>
      <w:r w:rsidRPr="00F90EAE">
        <w:rPr>
          <w:color w:val="000000" w:themeColor="text1"/>
          <w:sz w:val="16"/>
          <w:szCs w:val="16"/>
        </w:rPr>
        <w:t>Гос. испытания 68 машины А.Н.Т. - фронтового скоростного бомбардировщика - проходили с 28 июня по 30 июля 1945, но так и не были закончены (1835,58).</w:t>
      </w:r>
    </w:p>
    <w:p w14:paraId="583ECA73" w14:textId="77777777" w:rsidR="004709B0" w:rsidRPr="00F90EAE" w:rsidRDefault="004709B0" w:rsidP="00F90EAE">
      <w:pPr>
        <w:autoSpaceDE w:val="0"/>
        <w:autoSpaceDN w:val="0"/>
        <w:adjustRightInd w:val="0"/>
        <w:jc w:val="both"/>
        <w:rPr>
          <w:color w:val="000000" w:themeColor="text1"/>
          <w:sz w:val="16"/>
          <w:szCs w:val="16"/>
        </w:rPr>
      </w:pPr>
    </w:p>
    <w:p w14:paraId="7BE9765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года начальник гл. управления заказов ВВС генерал-лейтенант ИАС Селезнев писал письмо N 703898 Шахурину.</w:t>
      </w:r>
    </w:p>
    <w:p w14:paraId="466DDC4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октябре 1944 года в ГК НИИ ВВС прошел государственные испытания самолет Ще-2, оборудованный в качестве летающего штурманского класса.</w:t>
      </w:r>
    </w:p>
    <w:p w14:paraId="7FA815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прошли успешно - самолет был рекомендован для снабжения школ ВВС.</w:t>
      </w:r>
    </w:p>
    <w:p w14:paraId="6E5B8E1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Силами 2-й Чкаловской Авиашколы и завода N 47 в 1944-1945 г.г. было оборудовано 12 самолетов Ще-2 в штурманском варианте, эксплуатация которых показала полную их целесообразность и пригодность для обучения летного состава ВВС радиосвязи и аэронавигации.</w:t>
      </w:r>
    </w:p>
    <w:p w14:paraId="4967A5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решению командования ВВС для укомплектования школ ВВС в 1945 году ежемесячно требуется 10 самолетов Ще-2 в штурманском варианте.</w:t>
      </w:r>
    </w:p>
    <w:p w14:paraId="283D99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Прошу Ваших указаний заводу N 47 о выпуске в III квартале и последующих месяцах 1945 года по 10 самолетов Ще-2 в штурманском варианте ежемесячно (1879).</w:t>
      </w:r>
    </w:p>
    <w:p w14:paraId="5E290B4A" w14:textId="77777777" w:rsidR="006103B3" w:rsidRPr="00F90EAE" w:rsidRDefault="006103B3" w:rsidP="00F90EAE">
      <w:pPr>
        <w:autoSpaceDE w:val="0"/>
        <w:autoSpaceDN w:val="0"/>
        <w:adjustRightInd w:val="0"/>
        <w:jc w:val="both"/>
        <w:rPr>
          <w:color w:val="000000" w:themeColor="text1"/>
          <w:sz w:val="16"/>
          <w:szCs w:val="16"/>
        </w:rPr>
      </w:pPr>
    </w:p>
    <w:p w14:paraId="67A2F0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года был утвержден акт по результатам Государственные испытания второго экземпляра "СДБ".</w:t>
      </w:r>
    </w:p>
    <w:p w14:paraId="70F01C9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Основ'ными дефектами "СДБ" были: недостаточная прочность колес размером 1000x350 мм, малоэффективные и ненадежные пневматические тормоза, падение давления масла в двигателях на высотах 5000-7000 метров и отсутствие противо- пыльных фильтров на всасывающих патрубках моторов. Кроме этого, размещение рамки радиополукомпаса РПК-10 под металлической обшивкой самолета, снижало его чувствительность.</w:t>
      </w:r>
    </w:p>
    <w:p w14:paraId="46857D0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же специалисты НИИ ВВС, в частности, отметили: "Самолет "63" &lt;...&gt; по своим летно-тактическим данным превосходит однотипные отечественные и иностранные самолеты, но недостаточность обзора штурмана вперед, что затрудняет для него ориентировки, отыскание цели и вывод самолета на цель при бомбометании, значительно снижает его качество как бомбардировщика.</w:t>
      </w:r>
    </w:p>
    <w:p w14:paraId="0A1A945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Самолет не может быть рекомендован на вооружение Красной Армии в качестве бомбардировщика".</w:t>
      </w:r>
    </w:p>
    <w:p w14:paraId="38B8BD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Примерно в то же время в НИИ ВВС ис- пытывался другой скоростной бомбардировщик Пе-2М, представлявший собой второй экземпляр Пе-2И "Москито" с иным оборонительным вооружением. Государственные испытания Пе-2М с моторами жидкостного охлаждения М-107А, завершившиеся на два месяца позже "СДБ", показали, что максимальная скорость у земли при работе моторов на номинальном режиме на 21 км/ч больше, чем у "СДБ", но на второй границе высотности (5600 метров) она не превышала 630 км/ч, что на 10 км/ч было меньше чем у самолета "63". Правда, не надо забывать, что самолет Туполева имел более слабое оборонительное вооружение по сравнению с Пе-2М (три пушки Б-20 калибра 20 мм, одна из которых неподвижная для стрельбы вперед, другая - у штурмана и третья - люковая). При этом максимальная бомбовая нагрузка Пе-2М была вдвое ниже, чем у "СДБ".</w:t>
      </w:r>
    </w:p>
    <w:p w14:paraId="2242C63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Сделать же вывод, какой из этих самолетов предпочтительней, должны были, прежде всего, военные. Но этого не произошло, поскольку обе машины государственные испытания не выдержали (12035).</w:t>
      </w:r>
    </w:p>
    <w:p w14:paraId="76BB930E" w14:textId="77777777" w:rsidR="006103B3" w:rsidRPr="00F90EAE" w:rsidRDefault="006103B3" w:rsidP="00F90EAE">
      <w:pPr>
        <w:autoSpaceDE w:val="0"/>
        <w:autoSpaceDN w:val="0"/>
        <w:adjustRightInd w:val="0"/>
        <w:jc w:val="both"/>
        <w:rPr>
          <w:color w:val="000000" w:themeColor="text1"/>
          <w:sz w:val="16"/>
          <w:szCs w:val="16"/>
        </w:rPr>
      </w:pPr>
    </w:p>
    <w:p w14:paraId="150587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28 июня по 30 июля 1945 машина А.Н.Т. 68 (Ту-4 ил потом Ту-10) была на гос. испытаниях в НИИ ВВС - до аварии (2546,37).</w:t>
      </w:r>
    </w:p>
    <w:p w14:paraId="101FDCBC" w14:textId="77777777" w:rsidR="006103B3" w:rsidRPr="00F90EAE" w:rsidRDefault="006103B3" w:rsidP="00F90EAE">
      <w:pPr>
        <w:autoSpaceDE w:val="0"/>
        <w:autoSpaceDN w:val="0"/>
        <w:adjustRightInd w:val="0"/>
        <w:jc w:val="both"/>
        <w:rPr>
          <w:color w:val="000000" w:themeColor="text1"/>
          <w:sz w:val="16"/>
          <w:szCs w:val="16"/>
        </w:rPr>
      </w:pPr>
    </w:p>
    <w:p w14:paraId="3163D6CA" w14:textId="77777777" w:rsidR="00576B22" w:rsidRPr="00F90EAE" w:rsidRDefault="00576B22" w:rsidP="00F90EAE">
      <w:pPr>
        <w:jc w:val="both"/>
        <w:rPr>
          <w:color w:val="000000" w:themeColor="text1"/>
          <w:sz w:val="16"/>
          <w:szCs w:val="16"/>
        </w:rPr>
      </w:pPr>
      <w:r w:rsidRPr="00F90EAE">
        <w:rPr>
          <w:bCs/>
          <w:color w:val="000000" w:themeColor="text1"/>
          <w:sz w:val="16"/>
          <w:szCs w:val="16"/>
        </w:rPr>
        <w:t>28 июня</w:t>
      </w:r>
      <w:r w:rsidRPr="00F90EAE">
        <w:rPr>
          <w:color w:val="000000" w:themeColor="text1"/>
          <w:sz w:val="16"/>
          <w:szCs w:val="16"/>
        </w:rPr>
        <w:t xml:space="preserve"> в 1945 году в НИИ ВВС начались (по 30 июля) государственные испытания </w:t>
      </w:r>
      <w:hyperlink r:id="rId158" w:tgtFrame="_blank" w:history="1">
        <w:r w:rsidRPr="00F90EAE">
          <w:rPr>
            <w:color w:val="000000" w:themeColor="text1"/>
            <w:sz w:val="16"/>
            <w:szCs w:val="16"/>
          </w:rPr>
          <w:t xml:space="preserve">«Ту-10». </w:t>
        </w:r>
      </w:hyperlink>
      <w:r w:rsidRPr="00F90EAE">
        <w:rPr>
          <w:color w:val="000000" w:themeColor="text1"/>
          <w:sz w:val="16"/>
          <w:szCs w:val="16"/>
        </w:rPr>
        <w:t>На 35-м полете при аварийной посадке с убранным шасси самолет получил повреждения, и испытания были прерваны. С 30 июля по 16 ноября машина находилась в ремонте (14936).</w:t>
      </w:r>
    </w:p>
    <w:p w14:paraId="5E33C997" w14:textId="77777777" w:rsidR="00576B22" w:rsidRPr="00F90EAE" w:rsidRDefault="00576B22" w:rsidP="00F90EAE">
      <w:pPr>
        <w:jc w:val="both"/>
        <w:rPr>
          <w:color w:val="000000" w:themeColor="text1"/>
          <w:sz w:val="16"/>
          <w:szCs w:val="16"/>
        </w:rPr>
      </w:pPr>
    </w:p>
    <w:p w14:paraId="03C987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вышел приказ НКАП N 268 в исполнение постановления ГОКО от 6 июня 1945 N 8934сс - 1894,73), которым ОКБ А.Н.Т. было поручено внедрение 68 самолета (с АМ39ФН - 1894,73) в серию на заводе 1 в Куйбышеве. Хотели 2 в ноябре и 5 в декабре с расчетом выпуска 1 машины в сутки в феврале и 6 с ноября 1946 - 1894,73. При подготовки тех. документации для серии учитывались результаты испытаний 68 и доводок других машин на основе Ту-2. Первая и последняя серия из 10 машин появилась только в начале 1947 и обозначение Ту-4, которое передали Б-4, заменили на Ту-10 (1835,58).</w:t>
      </w:r>
    </w:p>
    <w:p w14:paraId="6556F446" w14:textId="77777777" w:rsidR="006103B3" w:rsidRPr="00F90EAE" w:rsidRDefault="006103B3" w:rsidP="00F90EAE">
      <w:pPr>
        <w:autoSpaceDE w:val="0"/>
        <w:autoSpaceDN w:val="0"/>
        <w:adjustRightInd w:val="0"/>
        <w:jc w:val="both"/>
        <w:rPr>
          <w:color w:val="000000" w:themeColor="text1"/>
          <w:sz w:val="16"/>
          <w:szCs w:val="16"/>
        </w:rPr>
      </w:pPr>
    </w:p>
    <w:p w14:paraId="53E600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28 июня по 30 июля 1945 г. проходил государственные испытания самолет Туполева типа "68" с двигателями АМ-39ФНВ. Оказалось, что АМ-39ФНВ, созданный на базе мотора АМ-38Ф, не мог обеспечить достаточно надежную работу на режимах взлетной и боевой мощности. В связи с этим Микулин решил изменить базу с АМ-38Ф на АМ-42 (9032).</w:t>
      </w:r>
    </w:p>
    <w:p w14:paraId="39B16E8F" w14:textId="77777777" w:rsidR="006103B3" w:rsidRPr="00F90EAE" w:rsidRDefault="006103B3" w:rsidP="00F90EAE">
      <w:pPr>
        <w:autoSpaceDE w:val="0"/>
        <w:autoSpaceDN w:val="0"/>
        <w:adjustRightInd w:val="0"/>
        <w:jc w:val="both"/>
        <w:rPr>
          <w:color w:val="000000" w:themeColor="text1"/>
          <w:sz w:val="16"/>
          <w:szCs w:val="16"/>
        </w:rPr>
      </w:pPr>
    </w:p>
    <w:p w14:paraId="66EB25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года вышел приказ НКАП за № 268сс во исполнение Постановления ГКО за № 8934сс от 6 июня 1945 года, согласно которому завод № 207 освоил производство бронезащиты ТУ-2.</w:t>
      </w:r>
    </w:p>
    <w:p w14:paraId="66024A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этого завод приступил к осовению производства новой конструкции бронекорпуса ИЛ-16.</w:t>
      </w:r>
    </w:p>
    <w:p w14:paraId="00EAF0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Филиалом завода изготовлялось более 50 наименований арматуры и нормалей для самолетов ТУ-2, ЛИ-2 и др. В 1945 году завод освоил по оборонной продукции новый бронекорпус ИЛ-16 для завода № 30 НКАП, бронезащиту для самолетов ТУ-2, бронезащиту ПЕ-2 и ПЕ-2м, освоено производство дюралевых деталей для бронекорпусов ИЛ-2, ИЛ-10 и Ил-16 ранее поставлявшихся с заводов №№ 1 и 18. В 1945 году создан и освоен принципиально новый тип брони, так называемая экранированная броня. Путем анализа взаимодействия снаряда и брони удалось найти такое сочетание параметров брони, при котором дробящий эффект брони возрастает в 8-15 раз, а следовательно и толщина брони необходимая для разрушения снаряда может быть взята в 3-4 раза меньше. В 1947 году во исполнение Постановления СМ от 2 августа 1947 года за № 2733-859сс и приказу МАП от 7 августа 1947 года за № 532сс заводу было предложено освоить изготовление реактивных камер для реактивного двигателя РД-20.</w:t>
      </w:r>
    </w:p>
    <w:p w14:paraId="500ECE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Согласно распоряжению СМ от 3 февраля 1948 года за № 1090рс и приказу МАП от 1 марта 1948 года за № 98с об организации завода авиационной арматуры и опытного КБ на этом же заводе, бывш. филиал из состава завода № 207 выделить в самостоятельный завод и присвоить ему № 305, создав на базе завода № 305 ОКБ присвоив ему № 305.</w:t>
      </w:r>
    </w:p>
    <w:p w14:paraId="630AECF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 дня организации завода № 207 согласно Постановлению ГКО от 25 декабря 1941 года за № 1065сс диреткором завода назначен Засульский В.И.. Приказом от 17 сентября 1946 года Засульский И.В. был освобожден от занимаемой должности директора завода. 17 сентября 1946 года директором завода был назначен Дубовиков Б.А. 5 июля 1952 года Дубовиков был освобожден от занимаемой должности. 5 июля 1952 года директором завода назначен Прилуков А.С., освобожденный от обязанностей директора на заводе № 305 МАП. 7 октября 1954 года Прилуков освобожден от должности директора. 7 октября 1954 года директором завода назначен Плоскинный А.Г., освобожденный от обязанностей директора на заводе № 511 МАП. 11 апреля 1957 года Плоскинный освобожден от обязанностей директора завода. 11 апреля 1957 года директором завода назначен Белослудцев И.П., освобожденный от обязанностей начальника производства на заводе № 18 МАП.</w:t>
      </w:r>
    </w:p>
    <w:p w14:paraId="353116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Куйбышев</w:t>
      </w:r>
    </w:p>
    <w:p w14:paraId="37288A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Производственный профиль – изготовление ракетной техники, реактивного вооружения и броневой защиты для самолетов (9851).</w:t>
      </w:r>
    </w:p>
    <w:p w14:paraId="295CFC65" w14:textId="77777777" w:rsidR="006103B3" w:rsidRPr="00F90EAE" w:rsidRDefault="006103B3" w:rsidP="00F90EAE">
      <w:pPr>
        <w:autoSpaceDE w:val="0"/>
        <w:autoSpaceDN w:val="0"/>
        <w:adjustRightInd w:val="0"/>
        <w:jc w:val="both"/>
        <w:rPr>
          <w:color w:val="000000" w:themeColor="text1"/>
          <w:sz w:val="16"/>
          <w:szCs w:val="16"/>
        </w:rPr>
      </w:pPr>
    </w:p>
    <w:p w14:paraId="6F4B77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года вышел приказ № 242 НКАП</w:t>
      </w:r>
    </w:p>
    <w:p w14:paraId="3D37F8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передачей завода № 499 и части завода № 273 на завод № 272 (8965).</w:t>
      </w:r>
    </w:p>
    <w:p w14:paraId="273DAC5E" w14:textId="77777777" w:rsidR="006103B3" w:rsidRPr="00F90EAE" w:rsidRDefault="006103B3" w:rsidP="00F90EAE">
      <w:pPr>
        <w:autoSpaceDE w:val="0"/>
        <w:autoSpaceDN w:val="0"/>
        <w:adjustRightInd w:val="0"/>
        <w:jc w:val="both"/>
        <w:rPr>
          <w:color w:val="000000" w:themeColor="text1"/>
          <w:sz w:val="16"/>
          <w:szCs w:val="16"/>
        </w:rPr>
      </w:pPr>
    </w:p>
    <w:p w14:paraId="040A58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приказом НК ВМФ №0346 была принята на вооружение модификация прицела стал ПТН - ПТН-45, выполнявшая задачу одновременного прицеливания двух торпед с небольшим углом растворения между ними. Эта версия создавалась специально для нового торпедоносца Ту-2 (12002).</w:t>
      </w:r>
    </w:p>
    <w:p w14:paraId="1BEF5C57" w14:textId="77777777" w:rsidR="006103B3" w:rsidRPr="00F90EAE" w:rsidRDefault="006103B3" w:rsidP="00F90EAE">
      <w:pPr>
        <w:autoSpaceDE w:val="0"/>
        <w:autoSpaceDN w:val="0"/>
        <w:adjustRightInd w:val="0"/>
        <w:jc w:val="both"/>
        <w:rPr>
          <w:color w:val="000000" w:themeColor="text1"/>
          <w:sz w:val="16"/>
          <w:szCs w:val="16"/>
        </w:rPr>
      </w:pPr>
    </w:p>
    <w:p w14:paraId="48B62A0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0F783A9F" w14:textId="77777777" w:rsidR="006103B3" w:rsidRPr="00F90EAE" w:rsidRDefault="006103B3" w:rsidP="00F90EAE">
      <w:pPr>
        <w:autoSpaceDE w:val="0"/>
        <w:autoSpaceDN w:val="0"/>
        <w:adjustRightInd w:val="0"/>
        <w:jc w:val="both"/>
        <w:rPr>
          <w:iCs/>
          <w:color w:val="000000" w:themeColor="text1"/>
          <w:sz w:val="16"/>
          <w:szCs w:val="16"/>
        </w:rPr>
      </w:pPr>
    </w:p>
    <w:p w14:paraId="126DAF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Постановление ГКО № 9273 О мероприятиях по организации производства судовых дизелей М-50 на заводе № 800 Наркомтанкопрома. РГАНИР, Фонд ГКО, д. 431, лл. 20-30, 31-35 (11012).</w:t>
      </w:r>
    </w:p>
    <w:p w14:paraId="150383A6" w14:textId="77777777" w:rsidR="006103B3" w:rsidRPr="00F90EAE" w:rsidRDefault="006103B3" w:rsidP="00F90EAE">
      <w:pPr>
        <w:autoSpaceDE w:val="0"/>
        <w:autoSpaceDN w:val="0"/>
        <w:adjustRightInd w:val="0"/>
        <w:jc w:val="both"/>
        <w:rPr>
          <w:color w:val="000000" w:themeColor="text1"/>
          <w:sz w:val="16"/>
          <w:szCs w:val="16"/>
        </w:rPr>
      </w:pPr>
    </w:p>
    <w:p w14:paraId="42DE3BA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вышло Постановление ГКО № 9274 Об окончании строительства тоннелей на Черноморской железнодорожной линии. (7353, 36-39,40-42).</w:t>
      </w:r>
    </w:p>
    <w:p w14:paraId="62A2CF3A"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AF4DD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Постановление ГКО № 9275 О мерах по увеличению добычи нефти в Баку. РГАНИР, Фонд ГКО, д. 431, лл. 43-71, 72-76 (11012).</w:t>
      </w:r>
    </w:p>
    <w:p w14:paraId="3EDACF21" w14:textId="77777777" w:rsidR="006103B3" w:rsidRPr="00F90EAE" w:rsidRDefault="006103B3" w:rsidP="00F90EAE">
      <w:pPr>
        <w:autoSpaceDE w:val="0"/>
        <w:autoSpaceDN w:val="0"/>
        <w:adjustRightInd w:val="0"/>
        <w:jc w:val="both"/>
        <w:rPr>
          <w:color w:val="000000" w:themeColor="text1"/>
          <w:sz w:val="16"/>
          <w:szCs w:val="16"/>
        </w:rPr>
      </w:pPr>
    </w:p>
    <w:p w14:paraId="6B48FE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Постановление ГКО № 9276 О передаче Польскому правительству авиационных заводов в г. г. Мелец и Жешув. РГАНИР, Фонд ГКО, д. 431, лл. 77 (11012).</w:t>
      </w:r>
    </w:p>
    <w:p w14:paraId="6A453E1C" w14:textId="77777777" w:rsidR="006103B3" w:rsidRPr="00F90EAE" w:rsidRDefault="006103B3" w:rsidP="00F90EAE">
      <w:pPr>
        <w:autoSpaceDE w:val="0"/>
        <w:autoSpaceDN w:val="0"/>
        <w:adjustRightInd w:val="0"/>
        <w:jc w:val="both"/>
        <w:rPr>
          <w:color w:val="000000" w:themeColor="text1"/>
          <w:sz w:val="16"/>
          <w:szCs w:val="16"/>
        </w:rPr>
      </w:pPr>
    </w:p>
    <w:p w14:paraId="7D6C989A"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9277 [О поставке НКРФ топочного мазута.] (7353, 78).</w:t>
      </w:r>
    </w:p>
    <w:p w14:paraId="4A274361"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F50CEC2"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9278 [О поставках оборудования для организуемой в Институте энергетики АН УССР лаборатории по реактивной технике.] (7353, 79,80).</w:t>
      </w:r>
    </w:p>
    <w:p w14:paraId="3A18BF3F"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26D946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9279. Об организации Государственного союзного конструкторского бюро № 30 НКБ по разработке средств ближнего боя. РГАНИР, Фонд ГКО, д. 431, лл. 81-82 (11012).</w:t>
      </w:r>
    </w:p>
    <w:p w14:paraId="20E2F5F5" w14:textId="77777777" w:rsidR="006103B3" w:rsidRPr="00F90EAE" w:rsidRDefault="006103B3" w:rsidP="00F90EAE">
      <w:pPr>
        <w:autoSpaceDE w:val="0"/>
        <w:autoSpaceDN w:val="0"/>
        <w:adjustRightInd w:val="0"/>
        <w:jc w:val="both"/>
        <w:rPr>
          <w:color w:val="000000" w:themeColor="text1"/>
          <w:sz w:val="16"/>
          <w:szCs w:val="16"/>
        </w:rPr>
      </w:pPr>
    </w:p>
    <w:p w14:paraId="3E0276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9280. Об изготовлении НКМВ для ГАУ КА железнодорожной электролизной установки. РГАНИР, Фонд ГКО, д. 431, лл. 83-84, 85-86 (11012).</w:t>
      </w:r>
    </w:p>
    <w:p w14:paraId="7F970BB2" w14:textId="77777777" w:rsidR="006103B3" w:rsidRPr="00F90EAE" w:rsidRDefault="006103B3" w:rsidP="00F90EAE">
      <w:pPr>
        <w:autoSpaceDE w:val="0"/>
        <w:autoSpaceDN w:val="0"/>
        <w:adjustRightInd w:val="0"/>
        <w:jc w:val="both"/>
        <w:rPr>
          <w:color w:val="000000" w:themeColor="text1"/>
          <w:sz w:val="16"/>
          <w:szCs w:val="16"/>
        </w:rPr>
      </w:pPr>
    </w:p>
    <w:p w14:paraId="60A89ED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9281. О перепрофилировании производства на заводах № 395 и 103 НКХП. РГАНИР, Фонд ГКО, д. 431, лл. 87 (11012).</w:t>
      </w:r>
    </w:p>
    <w:p w14:paraId="3FE20BE6" w14:textId="77777777" w:rsidR="006103B3" w:rsidRPr="00F90EAE" w:rsidRDefault="006103B3" w:rsidP="00F90EAE">
      <w:pPr>
        <w:autoSpaceDE w:val="0"/>
        <w:autoSpaceDN w:val="0"/>
        <w:adjustRightInd w:val="0"/>
        <w:jc w:val="both"/>
        <w:rPr>
          <w:color w:val="000000" w:themeColor="text1"/>
          <w:sz w:val="16"/>
          <w:szCs w:val="16"/>
        </w:rPr>
      </w:pPr>
    </w:p>
    <w:p w14:paraId="5DEF4B1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9282. О плане выработки нефтепродуктов на заводах № 409 и 419 НКНП. РГАНИР, Фонд ГКО, д. 431, лл. 88 (11012).</w:t>
      </w:r>
    </w:p>
    <w:p w14:paraId="401FED8C" w14:textId="77777777" w:rsidR="006103B3" w:rsidRPr="00F90EAE" w:rsidRDefault="006103B3" w:rsidP="00F90EAE">
      <w:pPr>
        <w:autoSpaceDE w:val="0"/>
        <w:autoSpaceDN w:val="0"/>
        <w:adjustRightInd w:val="0"/>
        <w:jc w:val="both"/>
        <w:rPr>
          <w:color w:val="000000" w:themeColor="text1"/>
          <w:sz w:val="16"/>
          <w:szCs w:val="16"/>
        </w:rPr>
      </w:pPr>
    </w:p>
    <w:p w14:paraId="23E8DEF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9283 [О продлении до 1 октября 1945 г. срока работы автоколонн, направленных в Подмосковный угольный бассейн.] (7353, 89).</w:t>
      </w:r>
    </w:p>
    <w:p w14:paraId="37BD772D"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A91D8F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вышло Распоряжение ГКО № 9284 [О поставках труб и нефтепродуктов строительству на Карагандинской ж.д. для снабжения паровозов водой.] (7353, 90-91).</w:t>
      </w:r>
    </w:p>
    <w:p w14:paraId="483D002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73BA73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lastRenderedPageBreak/>
        <w:t>Жизнь и внутренняя политика:</w:t>
      </w:r>
    </w:p>
    <w:p w14:paraId="768ADB05" w14:textId="77777777" w:rsidR="006103B3" w:rsidRPr="00F90EAE" w:rsidRDefault="006103B3" w:rsidP="00F90EAE">
      <w:pPr>
        <w:autoSpaceDE w:val="0"/>
        <w:autoSpaceDN w:val="0"/>
        <w:adjustRightInd w:val="0"/>
        <w:jc w:val="both"/>
        <w:rPr>
          <w:iCs/>
          <w:color w:val="000000" w:themeColor="text1"/>
          <w:sz w:val="16"/>
          <w:szCs w:val="16"/>
        </w:rPr>
      </w:pPr>
    </w:p>
    <w:p w14:paraId="48013A3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И.В.С. стал генералиссимусом (1348,123).</w:t>
      </w:r>
    </w:p>
    <w:p w14:paraId="72222883" w14:textId="77777777" w:rsidR="006103B3" w:rsidRPr="00F90EAE" w:rsidRDefault="006103B3" w:rsidP="00F90EAE">
      <w:pPr>
        <w:autoSpaceDE w:val="0"/>
        <w:autoSpaceDN w:val="0"/>
        <w:adjustRightInd w:val="0"/>
        <w:jc w:val="both"/>
        <w:rPr>
          <w:color w:val="000000" w:themeColor="text1"/>
          <w:sz w:val="16"/>
          <w:szCs w:val="16"/>
        </w:rPr>
      </w:pPr>
    </w:p>
    <w:p w14:paraId="23792B11"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28 июня 1945 И. Сталину присвоено звание генералиссимуса (4962).</w:t>
      </w:r>
    </w:p>
    <w:p w14:paraId="7A760037"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1BF34468" w14:textId="77777777" w:rsidR="00576B22" w:rsidRPr="00F90EAE" w:rsidRDefault="00576B22" w:rsidP="00F90EAE">
      <w:pPr>
        <w:jc w:val="both"/>
        <w:rPr>
          <w:color w:val="000000" w:themeColor="text1"/>
          <w:sz w:val="16"/>
          <w:szCs w:val="16"/>
        </w:rPr>
      </w:pPr>
      <w:r w:rsidRPr="00F90EAE">
        <w:rPr>
          <w:bCs/>
          <w:color w:val="000000" w:themeColor="text1"/>
          <w:sz w:val="16"/>
          <w:szCs w:val="16"/>
        </w:rPr>
        <w:t>28 июня</w:t>
      </w:r>
      <w:r w:rsidRPr="00F90EAE">
        <w:rPr>
          <w:color w:val="000000" w:themeColor="text1"/>
          <w:sz w:val="16"/>
          <w:szCs w:val="16"/>
        </w:rPr>
        <w:t xml:space="preserve"> в 1945 году приказ с объявлением “Закона о демобилизации старших возрастов личного состава действующей армии” (14936).</w:t>
      </w:r>
    </w:p>
    <w:p w14:paraId="5E93F829" w14:textId="77777777" w:rsidR="00576B22" w:rsidRPr="00F90EAE" w:rsidRDefault="00576B22" w:rsidP="00F90EAE">
      <w:pPr>
        <w:jc w:val="both"/>
        <w:rPr>
          <w:color w:val="000000" w:themeColor="text1"/>
          <w:sz w:val="16"/>
          <w:szCs w:val="16"/>
        </w:rPr>
      </w:pPr>
    </w:p>
    <w:p w14:paraId="6DA4277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4D89FF21" w14:textId="77777777" w:rsidR="006103B3" w:rsidRPr="00F90EAE" w:rsidRDefault="006103B3" w:rsidP="00F90EAE">
      <w:pPr>
        <w:autoSpaceDE w:val="0"/>
        <w:autoSpaceDN w:val="0"/>
        <w:adjustRightInd w:val="0"/>
        <w:jc w:val="both"/>
        <w:rPr>
          <w:iCs/>
          <w:color w:val="000000" w:themeColor="text1"/>
          <w:sz w:val="16"/>
          <w:szCs w:val="16"/>
        </w:rPr>
      </w:pPr>
    </w:p>
    <w:p w14:paraId="420D702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в Варшаве было объявлено о создании временного правительства национального единства, куда наряду с деятелями просоветского Комитета национального освобождения вошли также бывший глава эмигрантского правительства С.Миколайчик и некоторые министры этого правительства (3186).</w:t>
      </w:r>
    </w:p>
    <w:p w14:paraId="18954A5D" w14:textId="77777777" w:rsidR="006103B3" w:rsidRPr="00F90EAE" w:rsidRDefault="006103B3" w:rsidP="00F90EAE">
      <w:pPr>
        <w:autoSpaceDE w:val="0"/>
        <w:autoSpaceDN w:val="0"/>
        <w:adjustRightInd w:val="0"/>
        <w:jc w:val="both"/>
        <w:rPr>
          <w:color w:val="000000" w:themeColor="text1"/>
          <w:sz w:val="16"/>
          <w:szCs w:val="16"/>
        </w:rPr>
      </w:pPr>
    </w:p>
    <w:p w14:paraId="325287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г. - в Польше создано коалиционное правительство Осубки-Моравского - С. Миколайчика, а 5 июля 1945 года западные державы отказывают в признании польскому правительству в эмиграции Томаша Арцишевского. Официальное руководство польским подпольем из Лондона прекращено (7451).</w:t>
      </w:r>
    </w:p>
    <w:p w14:paraId="231FA965" w14:textId="77777777" w:rsidR="006103B3" w:rsidRPr="00F90EAE" w:rsidRDefault="006103B3" w:rsidP="00F90EAE">
      <w:pPr>
        <w:autoSpaceDE w:val="0"/>
        <w:autoSpaceDN w:val="0"/>
        <w:adjustRightInd w:val="0"/>
        <w:jc w:val="both"/>
        <w:rPr>
          <w:color w:val="000000" w:themeColor="text1"/>
          <w:sz w:val="16"/>
          <w:szCs w:val="16"/>
        </w:rPr>
      </w:pPr>
    </w:p>
    <w:p w14:paraId="10B23A6C" w14:textId="77777777" w:rsidR="00576B22" w:rsidRPr="00F90EAE" w:rsidRDefault="00576B22" w:rsidP="00F90EAE">
      <w:pPr>
        <w:jc w:val="both"/>
        <w:rPr>
          <w:color w:val="000000" w:themeColor="text1"/>
          <w:sz w:val="16"/>
          <w:szCs w:val="16"/>
        </w:rPr>
      </w:pPr>
      <w:r w:rsidRPr="00F90EAE">
        <w:rPr>
          <w:bCs/>
          <w:color w:val="000000" w:themeColor="text1"/>
          <w:sz w:val="16"/>
          <w:szCs w:val="16"/>
        </w:rPr>
        <w:t>28 июня</w:t>
      </w:r>
      <w:r w:rsidRPr="00F90EAE">
        <w:rPr>
          <w:color w:val="000000" w:themeColor="text1"/>
          <w:sz w:val="16"/>
          <w:szCs w:val="16"/>
        </w:rPr>
        <w:t xml:space="preserve"> в 1945 году по итогам "круглого стола" в Москве (с 17 июня) в Польше формируется Правительство национального единства, в которое входят 16 министров из прежнего Временного правительства и 5 новых министров. Премьер-министром назначается Эдвард Особка-Моравский (14936).</w:t>
      </w:r>
    </w:p>
    <w:p w14:paraId="2077F397" w14:textId="77777777" w:rsidR="00576B22" w:rsidRPr="00F90EAE" w:rsidRDefault="00576B22" w:rsidP="00F90EAE">
      <w:pPr>
        <w:jc w:val="both"/>
        <w:rPr>
          <w:color w:val="000000" w:themeColor="text1"/>
          <w:sz w:val="16"/>
          <w:szCs w:val="16"/>
        </w:rPr>
      </w:pPr>
    </w:p>
    <w:p w14:paraId="34C89DB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0F57D96A" w14:textId="77777777" w:rsidR="006103B3" w:rsidRPr="00F90EAE" w:rsidRDefault="006103B3" w:rsidP="00F90EAE">
      <w:pPr>
        <w:autoSpaceDE w:val="0"/>
        <w:autoSpaceDN w:val="0"/>
        <w:adjustRightInd w:val="0"/>
        <w:jc w:val="both"/>
        <w:rPr>
          <w:iCs/>
          <w:color w:val="000000" w:themeColor="text1"/>
          <w:sz w:val="16"/>
          <w:szCs w:val="16"/>
        </w:rPr>
      </w:pPr>
    </w:p>
    <w:p w14:paraId="383C801D" w14:textId="77777777" w:rsidR="00576B22" w:rsidRPr="00F90EAE" w:rsidRDefault="00576B22" w:rsidP="00F90EAE">
      <w:pPr>
        <w:jc w:val="both"/>
        <w:rPr>
          <w:color w:val="000000" w:themeColor="text1"/>
          <w:sz w:val="16"/>
          <w:szCs w:val="16"/>
        </w:rPr>
      </w:pPr>
      <w:r w:rsidRPr="00F90EAE">
        <w:rPr>
          <w:bCs/>
          <w:color w:val="000000" w:themeColor="text1"/>
          <w:sz w:val="16"/>
          <w:szCs w:val="16"/>
        </w:rPr>
        <w:t>28 июня</w:t>
      </w:r>
      <w:r w:rsidRPr="00F90EAE">
        <w:rPr>
          <w:color w:val="000000" w:themeColor="text1"/>
          <w:sz w:val="16"/>
          <w:szCs w:val="16"/>
        </w:rPr>
        <w:t xml:space="preserve"> в 1945 году первый полет самолета «Cessna» «Model 140». «Cessna 140» - легкий многоцелевой самолет, разработанный американской фирмой Cessna Aircraft Co. и являющаясяся дальнейшим развитием легкого самолета «Cessna» «Model 120». Базовая модель «Cessna 140» была дополнена моделью «Cessna 140» "Lux", имевшей закрылки с ручным управлением, дополнительные иллюминаторы в кабине и единую электрическую систему (14936).</w:t>
      </w:r>
    </w:p>
    <w:p w14:paraId="040BB2C1" w14:textId="77777777" w:rsidR="00576B22" w:rsidRPr="00F90EAE" w:rsidRDefault="00576B22" w:rsidP="00F90EAE">
      <w:pPr>
        <w:jc w:val="both"/>
        <w:rPr>
          <w:color w:val="000000" w:themeColor="text1"/>
          <w:sz w:val="16"/>
          <w:szCs w:val="16"/>
        </w:rPr>
      </w:pPr>
    </w:p>
    <w:p w14:paraId="5BE022A7" w14:textId="77777777" w:rsidR="00F23D44" w:rsidRPr="00F90EAE" w:rsidRDefault="00F23D44" w:rsidP="00F90EAE">
      <w:pPr>
        <w:jc w:val="both"/>
        <w:rPr>
          <w:color w:val="0070C0"/>
          <w:sz w:val="16"/>
          <w:szCs w:val="16"/>
        </w:rPr>
      </w:pPr>
      <w:r w:rsidRPr="00F90EAE">
        <w:rPr>
          <w:color w:val="0070C0"/>
          <w:sz w:val="16"/>
          <w:szCs w:val="16"/>
        </w:rPr>
        <w:t xml:space="preserve">28 июня 1945 первый полет </w:t>
      </w:r>
      <w:r w:rsidRPr="00F90EAE">
        <w:rPr>
          <w:color w:val="0070C0"/>
          <w:sz w:val="16"/>
          <w:szCs w:val="16"/>
          <w:lang w:val="en-US"/>
        </w:rPr>
        <w:t>Cessna</w:t>
      </w:r>
      <w:r w:rsidRPr="00F90EAE">
        <w:rPr>
          <w:color w:val="0070C0"/>
          <w:sz w:val="16"/>
          <w:szCs w:val="16"/>
        </w:rPr>
        <w:t xml:space="preserve"> 140 (20371).</w:t>
      </w:r>
    </w:p>
    <w:p w14:paraId="409E3EA1" w14:textId="77777777" w:rsidR="00F23D44" w:rsidRPr="00F90EAE" w:rsidRDefault="00F23D44" w:rsidP="00F90EAE">
      <w:pPr>
        <w:jc w:val="both"/>
        <w:rPr>
          <w:color w:val="0070C0"/>
          <w:sz w:val="16"/>
          <w:szCs w:val="16"/>
        </w:rPr>
      </w:pPr>
    </w:p>
    <w:p w14:paraId="3D852B4B" w14:textId="77777777" w:rsidR="00F23D44" w:rsidRPr="00F90EAE" w:rsidRDefault="00F23D44" w:rsidP="00F90EAE">
      <w:pPr>
        <w:jc w:val="both"/>
        <w:rPr>
          <w:color w:val="0070C0"/>
          <w:sz w:val="16"/>
          <w:szCs w:val="16"/>
        </w:rPr>
      </w:pPr>
      <w:r w:rsidRPr="00F90EAE">
        <w:rPr>
          <w:color w:val="0070C0"/>
          <w:sz w:val="16"/>
          <w:szCs w:val="16"/>
        </w:rPr>
        <w:t>28 июня 1945 - Самый последний из 18482 тяжёлых бомбардировщиков B-24 Liberator сошёл с конвейера авиазавода в компании Ford Willow Run (22446).</w:t>
      </w:r>
    </w:p>
    <w:p w14:paraId="38DAA620" w14:textId="77777777" w:rsidR="00F23D44" w:rsidRPr="00F90EAE" w:rsidRDefault="00F23D44" w:rsidP="00F90EAE">
      <w:pPr>
        <w:jc w:val="both"/>
        <w:rPr>
          <w:color w:val="0070C0"/>
          <w:sz w:val="16"/>
          <w:szCs w:val="16"/>
        </w:rPr>
      </w:pPr>
    </w:p>
    <w:p w14:paraId="4FD53D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28 июня 1945 нач. штаба ВВС Франции г Вален предложил реорганизовать полк Нормандия-Неман, которые прилетели в Ле Бурже 20 июня 1945. Требовалось 50 машин, но И.В.С. дал 38 (1758,28).</w:t>
      </w:r>
    </w:p>
    <w:p w14:paraId="42B48BB4" w14:textId="77777777" w:rsidR="006103B3" w:rsidRPr="00F90EAE" w:rsidRDefault="006103B3" w:rsidP="00F90EAE">
      <w:pPr>
        <w:autoSpaceDE w:val="0"/>
        <w:autoSpaceDN w:val="0"/>
        <w:adjustRightInd w:val="0"/>
        <w:jc w:val="both"/>
        <w:rPr>
          <w:color w:val="000000" w:themeColor="text1"/>
          <w:sz w:val="16"/>
          <w:szCs w:val="16"/>
        </w:rPr>
      </w:pPr>
    </w:p>
    <w:p w14:paraId="2E573ED8" w14:textId="77777777" w:rsidR="00F23D44" w:rsidRPr="00F90EAE" w:rsidRDefault="00F23D44" w:rsidP="00F90EAE">
      <w:pPr>
        <w:jc w:val="both"/>
        <w:rPr>
          <w:color w:val="0070C0"/>
          <w:sz w:val="16"/>
          <w:szCs w:val="16"/>
        </w:rPr>
      </w:pPr>
      <w:r w:rsidRPr="00F90EAE">
        <w:rPr>
          <w:color w:val="0070C0"/>
          <w:sz w:val="16"/>
          <w:szCs w:val="16"/>
        </w:rPr>
        <w:t>28 июня 1945 485 B-29s сбросили 3,519 тонн (3,192,416 кг) бомб на Окаяма, Сасебо и Модзи, Япония (29371).</w:t>
      </w:r>
    </w:p>
    <w:p w14:paraId="64129F23" w14:textId="77777777" w:rsidR="00F23D44" w:rsidRPr="00F90EAE" w:rsidRDefault="00F23D44" w:rsidP="00F90EAE">
      <w:pPr>
        <w:jc w:val="both"/>
        <w:rPr>
          <w:color w:val="0070C0"/>
          <w:sz w:val="16"/>
          <w:szCs w:val="16"/>
        </w:rPr>
      </w:pPr>
    </w:p>
    <w:p w14:paraId="2360487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FC9C3EB" w14:textId="77777777" w:rsidR="006103B3" w:rsidRPr="00F90EAE" w:rsidRDefault="006103B3" w:rsidP="00F90EAE">
      <w:pPr>
        <w:autoSpaceDE w:val="0"/>
        <w:autoSpaceDN w:val="0"/>
        <w:adjustRightInd w:val="0"/>
        <w:jc w:val="both"/>
        <w:rPr>
          <w:iCs/>
          <w:color w:val="000000" w:themeColor="text1"/>
          <w:sz w:val="16"/>
          <w:szCs w:val="16"/>
        </w:rPr>
      </w:pPr>
    </w:p>
    <w:p w14:paraId="3A6DE66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июня/2 июля 1945 года зам. начальника ВВС ВМФ по тылу генерал-лейтенант интендантской службы Купреев писал письмо N 5/100724с Шахурину.</w:t>
      </w:r>
    </w:p>
    <w:p w14:paraId="252D34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Одним из основных типов торпедоносцев ВВС ВМФ являются самолеты Ил-4, которых на ВВС флотов имеется 207 шт. и в училищах 55 шт.</w:t>
      </w:r>
    </w:p>
    <w:p w14:paraId="523FCFE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этих самолетах стоят моторы, прошедшие 3-4 капитальных ремонта, не обеспечивающих надежности полетов в открытое море.</w:t>
      </w:r>
    </w:p>
    <w:p w14:paraId="75176F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Резервный же моторный парк М-88б в количестве 390 шт. не может быть использован, так как по своему состоянию эти моторы хуже чем стоящие на самолетах, что подтверждается письмом Вашего заместителя генерал-майора инженерно-авиационной службы Завитаева от 9 июня с.г. N 1227.</w:t>
      </w:r>
    </w:p>
    <w:p w14:paraId="1F286B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Таким образом ВВС ВМФ оказались совершенно необеспеченными моторным парком М-88 как резервным, так и на самолетах.</w:t>
      </w:r>
    </w:p>
    <w:p w14:paraId="6CC151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 находя других путей для разрешения этой трудности, возрастающей с каждым днем, прошу указаний на поставку ВВС ВМФ необходимого количества резервных моторов М-88б и запасных частей (цилиндры и россыпь) для восстановления ремфонда и обязать 3 Гл. управление НКАП в сжатые сроки восстановить ремфонд ВВС ВМФ на заводе N 478.</w:t>
      </w:r>
    </w:p>
    <w:p w14:paraId="4F5971A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 Вашем решении прошу сообщить (2595,76).</w:t>
      </w:r>
    </w:p>
    <w:p w14:paraId="356B17B9" w14:textId="77777777" w:rsidR="006103B3" w:rsidRPr="00F90EAE" w:rsidRDefault="006103B3" w:rsidP="00F90EAE">
      <w:pPr>
        <w:autoSpaceDE w:val="0"/>
        <w:autoSpaceDN w:val="0"/>
        <w:adjustRightInd w:val="0"/>
        <w:jc w:val="both"/>
        <w:rPr>
          <w:color w:val="000000" w:themeColor="text1"/>
          <w:sz w:val="16"/>
          <w:szCs w:val="16"/>
        </w:rPr>
      </w:pPr>
    </w:p>
    <w:p w14:paraId="6879E32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вышел приказ НКАП N 270сс в исполнение постановления ГКО N 9080с от 20 июня 1945 о создании в кратчайший срок самолетов истребителей сопровождения":</w:t>
      </w:r>
    </w:p>
    <w:p w14:paraId="270D46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"ГК В.М.М.:</w:t>
      </w:r>
    </w:p>
    <w:p w14:paraId="436156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 спроектировать и построить на заводе 482 на базе модифицированного самолета Пе-2 с ВК-107А 2-х местный самолет истребитель сопровождения в 2-х экз., со следующими ЛТД:</w:t>
      </w:r>
    </w:p>
    <w:p w14:paraId="0832D47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Макс. скорость на 5700 м - 625 км/час</w:t>
      </w:r>
    </w:p>
    <w:p w14:paraId="210C7D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Наибольшая дальность полета</w:t>
      </w:r>
    </w:p>
    <w:p w14:paraId="774A40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со сбрасываемыми подвесными</w:t>
      </w:r>
    </w:p>
    <w:p w14:paraId="76A031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баками - 4000 км</w:t>
      </w:r>
    </w:p>
    <w:p w14:paraId="7A85768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без баков - 3200 км</w:t>
      </w:r>
    </w:p>
    <w:p w14:paraId="6D21715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Стрелковое вооружение:</w:t>
      </w:r>
    </w:p>
    <w:p w14:paraId="3706BF8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неподвижное вперед: 2х37 мм + 2х20 мм</w:t>
      </w:r>
    </w:p>
    <w:p w14:paraId="18EF31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подвижное назад: 1х20 мм</w:t>
      </w:r>
    </w:p>
    <w:p w14:paraId="2B52AA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Экипаж: 1 л и 1 стрелок-ш</w:t>
      </w:r>
    </w:p>
    <w:p w14:paraId="1D5258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 самолет выпустить на летные испытания 15 августа 1945." (1894,127).</w:t>
      </w:r>
    </w:p>
    <w:p w14:paraId="7B0D19DF" w14:textId="77777777" w:rsidR="006103B3" w:rsidRPr="00F90EAE" w:rsidRDefault="006103B3" w:rsidP="00F90EAE">
      <w:pPr>
        <w:autoSpaceDE w:val="0"/>
        <w:autoSpaceDN w:val="0"/>
        <w:adjustRightInd w:val="0"/>
        <w:jc w:val="both"/>
        <w:rPr>
          <w:color w:val="000000" w:themeColor="text1"/>
          <w:sz w:val="16"/>
          <w:szCs w:val="16"/>
        </w:rPr>
      </w:pPr>
    </w:p>
    <w:p w14:paraId="40A67F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вышел приказ НКАП № 270сс, которым за В.М.Мясищевым сохранялась ответственность по конструкторскому наблюдению и технической помощи при эксплуатации парка самолетов Пе-2, находящихся в частях ВВС КА и разрешалось перевести на 482-й завод 15 сотрудников из Казани во главе с его заместителем Ю.Т.Шаталовым. Следует отметить, что оба приказа вышли спустя неделю после принятия решения об организации производства самолетов Б-4 на 22-м заводе и прекращении выпуска бомбардировщиков Пе-2 с двигателями ВК-107А, а также назначении А.Н.Туполева главным конструктором Б-4 (3337).</w:t>
      </w:r>
    </w:p>
    <w:p w14:paraId="4E6F1147" w14:textId="77777777" w:rsidR="006103B3" w:rsidRPr="00F90EAE" w:rsidRDefault="006103B3" w:rsidP="00F90EAE">
      <w:pPr>
        <w:autoSpaceDE w:val="0"/>
        <w:autoSpaceDN w:val="0"/>
        <w:adjustRightInd w:val="0"/>
        <w:jc w:val="both"/>
        <w:rPr>
          <w:color w:val="000000" w:themeColor="text1"/>
          <w:sz w:val="16"/>
          <w:szCs w:val="16"/>
        </w:rPr>
      </w:pPr>
    </w:p>
    <w:p w14:paraId="15F6BC3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г. вышел приказ НКАП № 270, которым двухместный истребитель ДИС-2ВК-107А планировали оснастить радиолокатором “Гнейс-3”, вооружить батареей из двух 45-мм пушек, разработанной для третьего опытного Пе-2И, и снабдить проти-вообледенительной системой с целью обеспечения всепогодности. По требованию макетной комиссии Мясищеву пришлось радикально пересмотреть бензосистему самолета, заменив все металлические баки на мягкие, более живучие и лучше сохранявшие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заклинения центроплана на 2°.</w:t>
      </w:r>
    </w:p>
    <w:p w14:paraId="35A05C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полета ДИС на границе высотности моторов по расчетам должна была составить 660-670 км/ч (4476).</w:t>
      </w:r>
    </w:p>
    <w:p w14:paraId="63FB5460" w14:textId="77777777" w:rsidR="006103B3" w:rsidRPr="00F90EAE" w:rsidRDefault="006103B3" w:rsidP="00F90EAE">
      <w:pPr>
        <w:autoSpaceDE w:val="0"/>
        <w:autoSpaceDN w:val="0"/>
        <w:adjustRightInd w:val="0"/>
        <w:jc w:val="both"/>
        <w:rPr>
          <w:color w:val="000000" w:themeColor="text1"/>
          <w:sz w:val="16"/>
          <w:szCs w:val="16"/>
        </w:rPr>
      </w:pPr>
    </w:p>
    <w:p w14:paraId="3BE0C06A"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 июня 1945 года вышел приказ НКАП № 270, в соответствии с которым на заводе № 22 строили еще одну машину — дублер с максимальной скоро</w:t>
      </w:r>
      <w:r w:rsidRPr="00F90EAE">
        <w:rPr>
          <w:color w:val="000000" w:themeColor="text1"/>
          <w:sz w:val="16"/>
          <w:szCs w:val="16"/>
        </w:rPr>
        <w:softHyphen/>
        <w:t>стью 625 км/ч на высоте 5700 м. Дальность должна быть не меньше 3200 км, а с подвесными баками — 4000 км. На нее требовалось установить для стрельбы вперед по две пушки калибра 37 и 20 мм, а для защиты задней полусферы — одну пушку калибра 20 мм. В со</w:t>
      </w:r>
      <w:r w:rsidRPr="00F90EAE">
        <w:rPr>
          <w:color w:val="000000" w:themeColor="text1"/>
          <w:sz w:val="16"/>
          <w:szCs w:val="16"/>
        </w:rPr>
        <w:softHyphen/>
        <w:t>ответствии со следующим приказом за В.М. Мясище-вым сохранялась ответственность по конструкторско</w:t>
      </w:r>
      <w:r w:rsidRPr="00F90EAE">
        <w:rPr>
          <w:color w:val="000000" w:themeColor="text1"/>
          <w:sz w:val="16"/>
          <w:szCs w:val="16"/>
        </w:rPr>
        <w:softHyphen/>
        <w:t>му наблюдению и технической помощи при эксплуата</w:t>
      </w:r>
      <w:r w:rsidRPr="00F90EAE">
        <w:rPr>
          <w:color w:val="000000" w:themeColor="text1"/>
          <w:sz w:val="16"/>
          <w:szCs w:val="16"/>
        </w:rPr>
        <w:softHyphen/>
        <w:t>ции парка самолетов Пе-2, находящихся в частях ВВС, и разрешалось перевести на 482-й завод 15 сотрудни</w:t>
      </w:r>
      <w:r w:rsidRPr="00F90EAE">
        <w:rPr>
          <w:color w:val="000000" w:themeColor="text1"/>
          <w:sz w:val="16"/>
          <w:szCs w:val="16"/>
        </w:rPr>
        <w:softHyphen/>
        <w:t>ков из Казани во главе с его заместителем Ю.Т. Шата</w:t>
      </w:r>
      <w:r w:rsidRPr="00F90EAE">
        <w:rPr>
          <w:color w:val="000000" w:themeColor="text1"/>
          <w:sz w:val="16"/>
          <w:szCs w:val="16"/>
        </w:rPr>
        <w:softHyphen/>
        <w:t>ловым.</w:t>
      </w:r>
    </w:p>
    <w:p w14:paraId="38427EA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Следует отметить, что оба приказа вышли спустя неделю после принятия решения об организации про</w:t>
      </w:r>
      <w:r w:rsidRPr="00F90EAE">
        <w:rPr>
          <w:color w:val="000000" w:themeColor="text1"/>
          <w:sz w:val="16"/>
          <w:szCs w:val="16"/>
        </w:rPr>
        <w:softHyphen/>
        <w:t>изводства самолетов Б-4 на 22-м заводе и прекраще</w:t>
      </w:r>
      <w:r w:rsidRPr="00F90EAE">
        <w:rPr>
          <w:color w:val="000000" w:themeColor="text1"/>
          <w:sz w:val="16"/>
          <w:szCs w:val="16"/>
        </w:rPr>
        <w:softHyphen/>
        <w:t>нии выпуска бомбардировщиков Пе-2 с двигателями ВК-107А, а также назначения А.Н. Туполева главным конструктором Б-4.</w:t>
      </w:r>
    </w:p>
    <w:p w14:paraId="6A024FF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дублере «ДИСа» для сокращения разбега уве</w:t>
      </w:r>
      <w:r w:rsidRPr="00F90EAE">
        <w:rPr>
          <w:color w:val="000000" w:themeColor="text1"/>
          <w:sz w:val="16"/>
          <w:szCs w:val="16"/>
        </w:rPr>
        <w:softHyphen/>
        <w:t>личили угол установки центроплана на два градуса, изменили компоновку кабины штурмана в связи с раз</w:t>
      </w:r>
      <w:r w:rsidRPr="00F90EAE">
        <w:rPr>
          <w:color w:val="000000" w:themeColor="text1"/>
          <w:sz w:val="16"/>
          <w:szCs w:val="16"/>
        </w:rPr>
        <w:softHyphen/>
        <w:t>мещением верхней стрелковой установки ВЭУ-1. По</w:t>
      </w:r>
      <w:r w:rsidRPr="00F90EAE">
        <w:rPr>
          <w:color w:val="000000" w:themeColor="text1"/>
          <w:sz w:val="16"/>
          <w:szCs w:val="16"/>
        </w:rPr>
        <w:softHyphen/>
        <w:t>следнее мероприятие, увеличившее длину кабины на 100 мм, привело к разработке фактически новой носо</w:t>
      </w:r>
      <w:r w:rsidRPr="00F90EAE">
        <w:rPr>
          <w:color w:val="000000" w:themeColor="text1"/>
          <w:sz w:val="16"/>
          <w:szCs w:val="16"/>
        </w:rPr>
        <w:softHyphen/>
        <w:t xml:space="preserve">вой части </w:t>
      </w:r>
      <w:r w:rsidRPr="00F90EAE">
        <w:rPr>
          <w:color w:val="000000" w:themeColor="text1"/>
          <w:sz w:val="16"/>
          <w:szCs w:val="16"/>
        </w:rPr>
        <w:lastRenderedPageBreak/>
        <w:t>самолета, который планировали построить к 1 июля 1945 года. Но в связи с переездом сотрудников ОКБ-22 в Москву работы затянулись, и лишь 10 ноября приказом НКАП № 436 на самолет назначили летчика-испытателя Ф.Ф. Опадчего. Последний срок окончания постройки машины установили 10 февраля 1946 г. (11446)</w:t>
      </w:r>
    </w:p>
    <w:p w14:paraId="75C3B65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7037E7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г. приказом НКАП № 270 был задан двухместный истребительДИС-2ВК-107А, планировали оснастить радиолокатором "Гнейс-3" и вооружить батареей из двух 45 мм пушек. По требованию макетной комиссии Мясищеву пришлось радикально пересмотреть бензосистему самолета, заменив все металлические баки мягкими, более живучими и лучше сохранявшими герметичность в процессе эксплуатации. В связи с применением мягких баков существенно изменилась конструкция фюзеляжа, центроплана и консолей; последние для сохранения центровки пришлось немного "отогнуть" назад. Проведенный цикл экспериментов с Пе-2И по отработке методики взлета с опущенным и полуопущенным хвостом для уменьшения длины разбега выявил необходимость увеличения угла установки крыла на 2°.</w:t>
      </w:r>
    </w:p>
    <w:p w14:paraId="2BBDB6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Максимальная скорость полета ДИС на границе высотности моторов по расчетам должна была составить 660-670 км/ч. В конце 1945 г. были начаты заводские испытания первого опытного экземпляра дальнего истребителя. Вторая машина находилась в постройке. Впоследствии намеревались заменить на ДИСах моторы более мощными ВК-108, для чего спроектировали и изготовили универсальные моторамы. Со "сто восьмыми" моторами максимальная скорость полета ДИС, по расчетам, возрастала до 690-700 км/ч.</w:t>
      </w:r>
    </w:p>
    <w:p w14:paraId="281D697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Советском Союзе также разработали несколько образцов самолетных РЛС, предназначенных для размещения на двухмоторных машинах (значительная масса оборудования и необходимость в специалисте-операторе на борту в то время исключали оснащение ими одномоторных носителей). Ночные истребители, способные часами барражировать над охраняемыми объектами, невозможно было оснастить прожорливыми реактивными двигателями первого поколения. В связи с этим "экологическая ниша" для винтового дальнего истребителя сохранялась в ВВС ряда стран на протяжении 5-7 лет после окончания войны. Так, в Великобритании довольно долго оставались на вооружении "Москито" NF.36, а в США - Р-61 "Блэк Уидоу" (12042).</w:t>
      </w:r>
    </w:p>
    <w:p w14:paraId="0B630B7D" w14:textId="77777777" w:rsidR="006103B3" w:rsidRPr="00F90EAE" w:rsidRDefault="006103B3" w:rsidP="00F90EAE">
      <w:pPr>
        <w:autoSpaceDE w:val="0"/>
        <w:autoSpaceDN w:val="0"/>
        <w:adjustRightInd w:val="0"/>
        <w:jc w:val="both"/>
        <w:rPr>
          <w:color w:val="000000" w:themeColor="text1"/>
          <w:sz w:val="16"/>
          <w:szCs w:val="16"/>
        </w:rPr>
      </w:pPr>
    </w:p>
    <w:p w14:paraId="71BC826A" w14:textId="77777777" w:rsidR="004709B0" w:rsidRPr="00F90EAE" w:rsidRDefault="004709B0" w:rsidP="00F90EAE">
      <w:pPr>
        <w:jc w:val="both"/>
        <w:rPr>
          <w:color w:val="000000" w:themeColor="text1"/>
          <w:sz w:val="16"/>
          <w:szCs w:val="16"/>
        </w:rPr>
      </w:pPr>
      <w:r w:rsidRPr="00F90EAE">
        <w:rPr>
          <w:color w:val="000000" w:themeColor="text1"/>
          <w:sz w:val="16"/>
          <w:szCs w:val="16"/>
        </w:rPr>
        <w:t>29 июня 1946 г.</w:t>
      </w:r>
    </w:p>
    <w:p w14:paraId="67E40BB3" w14:textId="77777777" w:rsidR="004709B0" w:rsidRPr="00F90EAE" w:rsidRDefault="004709B0" w:rsidP="00F90EAE">
      <w:pPr>
        <w:jc w:val="both"/>
        <w:rPr>
          <w:color w:val="000000" w:themeColor="text1"/>
          <w:sz w:val="16"/>
          <w:szCs w:val="16"/>
        </w:rPr>
      </w:pPr>
      <w:r w:rsidRPr="00F90EAE">
        <w:rPr>
          <w:color w:val="000000" w:themeColor="text1"/>
          <w:sz w:val="16"/>
          <w:szCs w:val="16"/>
        </w:rPr>
        <w:t>Письмо министра внутренних дел СССР С.Н.Круглова и министра авиационной промышленности СССР М.В.Хруничева И.В.Сталину о проектировании в Четвертом спецотделе МВД СССР транспортного двухмоторного самолета и необходимости организации конструкторского бюро для его постройки</w:t>
      </w:r>
    </w:p>
    <w:p w14:paraId="32A1C126" w14:textId="77777777" w:rsidR="004709B0" w:rsidRPr="00F90EAE" w:rsidRDefault="004709B0" w:rsidP="00F90EAE">
      <w:pPr>
        <w:jc w:val="both"/>
        <w:rPr>
          <w:color w:val="000000" w:themeColor="text1"/>
          <w:sz w:val="16"/>
          <w:szCs w:val="16"/>
        </w:rPr>
      </w:pPr>
      <w:r w:rsidRPr="00F90EAE">
        <w:rPr>
          <w:color w:val="000000" w:themeColor="text1"/>
          <w:sz w:val="16"/>
          <w:szCs w:val="16"/>
        </w:rPr>
        <w:t>29 июня 1946 г.</w:t>
      </w:r>
    </w:p>
    <w:p w14:paraId="027B9099"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Совершенно секретно</w:t>
      </w:r>
    </w:p>
    <w:p w14:paraId="5966DD20"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 2818/к</w:t>
      </w:r>
    </w:p>
    <w:p w14:paraId="5A3E0086"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Товарищу И.В. Сталину</w:t>
      </w:r>
    </w:p>
    <w:p w14:paraId="17A6F4BE"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Группой заключенных специалистов 4 Спецотдела МВД СССР разработан проект транспортного двухмоторного самолета Т-117 с моторами АШ-73</w:t>
      </w:r>
      <w:r w:rsidRPr="00F90EAE">
        <w:rPr>
          <w:color w:val="000000" w:themeColor="text1"/>
          <w:sz w:val="16"/>
          <w:szCs w:val="16"/>
          <w:vertAlign w:val="superscript"/>
        </w:rPr>
        <w:t>326</w:t>
      </w:r>
      <w:r w:rsidRPr="00F90EAE">
        <w:rPr>
          <w:color w:val="000000" w:themeColor="text1"/>
          <w:sz w:val="16"/>
          <w:szCs w:val="16"/>
        </w:rPr>
        <w:t>.</w:t>
      </w:r>
    </w:p>
    <w:p w14:paraId="7B07CB40"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В зависимости от назначения самолет Т-117 может быть применен в воен</w:t>
      </w:r>
      <w:r w:rsidRPr="00F90EAE">
        <w:rPr>
          <w:color w:val="000000" w:themeColor="text1"/>
          <w:sz w:val="16"/>
          <w:szCs w:val="16"/>
        </w:rPr>
        <w:softHyphen/>
        <w:t>но-транспортном, грузовом, десантном, санитарном, пассажирском вариантах, а также в варианте, рассчитанном на перевозку в комфортабельных условиях 16 пассажиров на расстояние до 7500 км.</w:t>
      </w:r>
    </w:p>
    <w:p w14:paraId="750D5939"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Самолет имеет следующие данные:</w:t>
      </w:r>
    </w:p>
    <w:p w14:paraId="1C24CD08" w14:textId="77777777" w:rsidR="004709B0" w:rsidRPr="00F90EAE" w:rsidRDefault="004709B0" w:rsidP="00F90EAE">
      <w:pPr>
        <w:pStyle w:val="216"/>
        <w:shd w:val="clear" w:color="auto" w:fill="auto"/>
        <w:tabs>
          <w:tab w:val="left" w:pos="4002"/>
        </w:tabs>
        <w:spacing w:before="0" w:after="0" w:line="240" w:lineRule="auto"/>
        <w:ind w:firstLine="0"/>
        <w:jc w:val="both"/>
        <w:rPr>
          <w:color w:val="000000" w:themeColor="text1"/>
          <w:sz w:val="16"/>
          <w:szCs w:val="16"/>
        </w:rPr>
      </w:pPr>
      <w:r w:rsidRPr="00F90EAE">
        <w:rPr>
          <w:color w:val="000000" w:themeColor="text1"/>
          <w:sz w:val="16"/>
          <w:szCs w:val="16"/>
        </w:rPr>
        <w:t>нормальный полетный вес 22 600 кг максимальная скорость</w:t>
      </w:r>
      <w:r w:rsidRPr="00F90EAE">
        <w:rPr>
          <w:color w:val="000000" w:themeColor="text1"/>
          <w:sz w:val="16"/>
          <w:szCs w:val="16"/>
        </w:rPr>
        <w:tab/>
        <w:t>450 км/час</w:t>
      </w:r>
    </w:p>
    <w:p w14:paraId="4ADA5FFB" w14:textId="77777777" w:rsidR="004709B0" w:rsidRPr="00F90EAE" w:rsidRDefault="004709B0" w:rsidP="00F90EAE">
      <w:pPr>
        <w:pStyle w:val="216"/>
        <w:shd w:val="clear" w:color="auto" w:fill="auto"/>
        <w:tabs>
          <w:tab w:val="left" w:pos="4006"/>
        </w:tabs>
        <w:spacing w:before="0" w:after="0" w:line="240" w:lineRule="auto"/>
        <w:ind w:firstLine="0"/>
        <w:jc w:val="both"/>
        <w:rPr>
          <w:color w:val="000000" w:themeColor="text1"/>
          <w:sz w:val="16"/>
          <w:szCs w:val="16"/>
        </w:rPr>
      </w:pPr>
      <w:r w:rsidRPr="00F90EAE">
        <w:rPr>
          <w:color w:val="000000" w:themeColor="text1"/>
          <w:sz w:val="16"/>
          <w:szCs w:val="16"/>
        </w:rPr>
        <w:t>крейсерская скорость</w:t>
      </w:r>
      <w:r w:rsidRPr="00F90EAE">
        <w:rPr>
          <w:color w:val="000000" w:themeColor="text1"/>
          <w:sz w:val="16"/>
          <w:szCs w:val="16"/>
        </w:rPr>
        <w:tab/>
        <w:t>360 км/час</w:t>
      </w:r>
    </w:p>
    <w:p w14:paraId="36A1033D" w14:textId="77777777" w:rsidR="004709B0" w:rsidRPr="00F90EAE" w:rsidRDefault="004709B0" w:rsidP="00F90EAE">
      <w:pPr>
        <w:pStyle w:val="216"/>
        <w:shd w:val="clear" w:color="auto" w:fill="auto"/>
        <w:tabs>
          <w:tab w:val="left" w:pos="4022"/>
        </w:tabs>
        <w:spacing w:before="0" w:after="0" w:line="240" w:lineRule="auto"/>
        <w:ind w:firstLine="0"/>
        <w:jc w:val="both"/>
        <w:rPr>
          <w:color w:val="000000" w:themeColor="text1"/>
          <w:sz w:val="16"/>
          <w:szCs w:val="16"/>
        </w:rPr>
      </w:pPr>
      <w:r w:rsidRPr="00F90EAE">
        <w:rPr>
          <w:color w:val="000000" w:themeColor="text1"/>
          <w:sz w:val="16"/>
          <w:szCs w:val="16"/>
        </w:rPr>
        <w:t>посадочная скорость</w:t>
      </w:r>
      <w:r w:rsidRPr="00F90EAE">
        <w:rPr>
          <w:color w:val="000000" w:themeColor="text1"/>
          <w:sz w:val="16"/>
          <w:szCs w:val="16"/>
        </w:rPr>
        <w:tab/>
        <w:t>122 км/час</w:t>
      </w:r>
    </w:p>
    <w:p w14:paraId="5A0619F1" w14:textId="77777777" w:rsidR="004709B0" w:rsidRPr="00F90EAE" w:rsidRDefault="004709B0" w:rsidP="00F90EAE">
      <w:pPr>
        <w:pStyle w:val="216"/>
        <w:shd w:val="clear" w:color="auto" w:fill="auto"/>
        <w:tabs>
          <w:tab w:val="left" w:pos="4037"/>
        </w:tabs>
        <w:spacing w:before="0" w:after="0" w:line="240" w:lineRule="auto"/>
        <w:ind w:firstLine="0"/>
        <w:jc w:val="both"/>
        <w:rPr>
          <w:color w:val="000000" w:themeColor="text1"/>
          <w:sz w:val="16"/>
          <w:szCs w:val="16"/>
        </w:rPr>
      </w:pPr>
      <w:r w:rsidRPr="00F90EAE">
        <w:rPr>
          <w:color w:val="000000" w:themeColor="text1"/>
          <w:sz w:val="16"/>
          <w:szCs w:val="16"/>
        </w:rPr>
        <w:t>дальность нормальная</w:t>
      </w:r>
      <w:r w:rsidRPr="00F90EAE">
        <w:rPr>
          <w:color w:val="000000" w:themeColor="text1"/>
          <w:sz w:val="16"/>
          <w:szCs w:val="16"/>
        </w:rPr>
        <w:tab/>
        <w:t>1600 км</w:t>
      </w:r>
    </w:p>
    <w:p w14:paraId="371E2A23" w14:textId="77777777" w:rsidR="004709B0" w:rsidRPr="00F90EAE" w:rsidRDefault="004709B0" w:rsidP="00F90EAE">
      <w:pPr>
        <w:pStyle w:val="216"/>
        <w:shd w:val="clear" w:color="auto" w:fill="auto"/>
        <w:tabs>
          <w:tab w:val="left" w:pos="4010"/>
        </w:tabs>
        <w:spacing w:before="0" w:after="0" w:line="240" w:lineRule="auto"/>
        <w:ind w:firstLine="0"/>
        <w:jc w:val="both"/>
        <w:rPr>
          <w:color w:val="000000" w:themeColor="text1"/>
          <w:sz w:val="16"/>
          <w:szCs w:val="16"/>
        </w:rPr>
      </w:pPr>
      <w:r w:rsidRPr="00F90EAE">
        <w:rPr>
          <w:color w:val="000000" w:themeColor="text1"/>
          <w:sz w:val="16"/>
          <w:szCs w:val="16"/>
        </w:rPr>
        <w:t>экипаж</w:t>
      </w:r>
      <w:r w:rsidRPr="00F90EAE">
        <w:rPr>
          <w:color w:val="000000" w:themeColor="text1"/>
          <w:sz w:val="16"/>
          <w:szCs w:val="16"/>
        </w:rPr>
        <w:tab/>
        <w:t>5 чел.</w:t>
      </w:r>
    </w:p>
    <w:p w14:paraId="1B4356A9"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В военно-транспортном варианте самолет рассчитан на перевозку 2 танке</w:t>
      </w:r>
      <w:r w:rsidRPr="00F90EAE">
        <w:rPr>
          <w:color w:val="000000" w:themeColor="text1"/>
          <w:sz w:val="16"/>
          <w:szCs w:val="16"/>
        </w:rPr>
        <w:softHyphen/>
        <w:t>ток типа Т-40 или 8 полевых 76 мм пушек с зарядными ящиками, или 3 про</w:t>
      </w:r>
      <w:r w:rsidRPr="00F90EAE">
        <w:rPr>
          <w:color w:val="000000" w:themeColor="text1"/>
          <w:sz w:val="16"/>
          <w:szCs w:val="16"/>
        </w:rPr>
        <w:softHyphen/>
        <w:t>тивотанковых пушек с автомашинами типа «Виллис» общим весом до 8 тонн.</w:t>
      </w:r>
    </w:p>
    <w:p w14:paraId="016051FD"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Десантный вариант рассчитан на перевозку 80 бойцов или 60 парашютис</w:t>
      </w:r>
      <w:r w:rsidRPr="00F90EAE">
        <w:rPr>
          <w:color w:val="000000" w:themeColor="text1"/>
          <w:sz w:val="16"/>
          <w:szCs w:val="16"/>
        </w:rPr>
        <w:softHyphen/>
        <w:t>тов со снаряжением и вооружением.</w:t>
      </w:r>
    </w:p>
    <w:p w14:paraId="6735FA0D"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Санитарный вариант рассчитан на перевозку 60 тяжелораненых.</w:t>
      </w:r>
    </w:p>
    <w:p w14:paraId="1CC6A5D5"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Пассажирский вариант рассчитан на 50 пассажиров и 50 кг багажа.</w:t>
      </w:r>
    </w:p>
    <w:p w14:paraId="0BD4AAE8"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Проект самолета Т-117 был направлен на заключение НИИ ВВС и НИИ ГВФ, которые дали положительную оценку проекта и считают целесообразным постройку опытных образцов.</w:t>
      </w:r>
    </w:p>
    <w:p w14:paraId="78AD478A"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Рассмотрев совместно проект самолета Т-117, считаем необходимым созда</w:t>
      </w:r>
      <w:r w:rsidRPr="00F90EAE">
        <w:rPr>
          <w:color w:val="000000" w:themeColor="text1"/>
          <w:sz w:val="16"/>
          <w:szCs w:val="16"/>
        </w:rPr>
        <w:softHyphen/>
        <w:t>ние конструкторского бюро с выделением производственной базы соответст</w:t>
      </w:r>
      <w:r w:rsidRPr="00F90EAE">
        <w:rPr>
          <w:color w:val="000000" w:themeColor="text1"/>
          <w:sz w:val="16"/>
          <w:szCs w:val="16"/>
        </w:rPr>
        <w:softHyphen/>
        <w:t>вующей мощности.</w:t>
      </w:r>
    </w:p>
    <w:p w14:paraId="2A9E815B" w14:textId="77777777" w:rsidR="004709B0" w:rsidRPr="00F90EAE" w:rsidRDefault="004709B0" w:rsidP="00F90EAE">
      <w:pPr>
        <w:pStyle w:val="216"/>
        <w:shd w:val="clear" w:color="auto" w:fill="auto"/>
        <w:spacing w:before="0" w:after="0" w:line="240" w:lineRule="auto"/>
        <w:ind w:firstLine="0"/>
        <w:jc w:val="both"/>
        <w:rPr>
          <w:color w:val="000000" w:themeColor="text1"/>
          <w:sz w:val="16"/>
          <w:szCs w:val="16"/>
        </w:rPr>
      </w:pPr>
      <w:r w:rsidRPr="00F90EAE">
        <w:rPr>
          <w:color w:val="000000" w:themeColor="text1"/>
          <w:sz w:val="16"/>
          <w:szCs w:val="16"/>
        </w:rPr>
        <w:t>Просим Вашего согласия на представление в Совет Министров проекта по</w:t>
      </w:r>
      <w:r w:rsidRPr="00F90EAE">
        <w:rPr>
          <w:color w:val="000000" w:themeColor="text1"/>
          <w:sz w:val="16"/>
          <w:szCs w:val="16"/>
        </w:rPr>
        <w:softHyphen/>
        <w:t>становления о постройке самолета Т-117.</w:t>
      </w:r>
    </w:p>
    <w:p w14:paraId="1DD53C3A" w14:textId="77777777" w:rsidR="004709B0" w:rsidRPr="00F90EAE" w:rsidRDefault="004709B0" w:rsidP="00F90EAE">
      <w:pPr>
        <w:pStyle w:val="216"/>
        <w:shd w:val="clear" w:color="auto" w:fill="auto"/>
        <w:tabs>
          <w:tab w:val="left" w:pos="6885"/>
        </w:tabs>
        <w:spacing w:before="0" w:after="0" w:line="240" w:lineRule="auto"/>
        <w:ind w:firstLine="0"/>
        <w:jc w:val="both"/>
        <w:rPr>
          <w:color w:val="000000" w:themeColor="text1"/>
          <w:sz w:val="16"/>
          <w:szCs w:val="16"/>
        </w:rPr>
      </w:pPr>
      <w:r w:rsidRPr="00F90EAE">
        <w:rPr>
          <w:color w:val="000000" w:themeColor="text1"/>
          <w:sz w:val="16"/>
          <w:szCs w:val="16"/>
        </w:rPr>
        <w:t>Министр внутренних дел СССР</w:t>
      </w:r>
      <w:r w:rsidRPr="00F90EAE">
        <w:rPr>
          <w:color w:val="000000" w:themeColor="text1"/>
          <w:sz w:val="16"/>
          <w:szCs w:val="16"/>
        </w:rPr>
        <w:tab/>
        <w:t>С.Круглов</w:t>
      </w:r>
    </w:p>
    <w:p w14:paraId="18745171" w14:textId="77777777" w:rsidR="004709B0" w:rsidRPr="00F90EAE" w:rsidRDefault="004709B0" w:rsidP="00F90EAE">
      <w:pPr>
        <w:pStyle w:val="216"/>
        <w:shd w:val="clear" w:color="auto" w:fill="auto"/>
        <w:tabs>
          <w:tab w:val="left" w:pos="6692"/>
        </w:tabs>
        <w:spacing w:before="0" w:after="0" w:line="240" w:lineRule="auto"/>
        <w:ind w:firstLine="0"/>
        <w:jc w:val="both"/>
        <w:rPr>
          <w:color w:val="000000" w:themeColor="text1"/>
          <w:sz w:val="16"/>
          <w:szCs w:val="16"/>
        </w:rPr>
      </w:pPr>
      <w:r w:rsidRPr="00F90EAE">
        <w:rPr>
          <w:color w:val="000000" w:themeColor="text1"/>
          <w:sz w:val="16"/>
          <w:szCs w:val="16"/>
        </w:rPr>
        <w:t>Министр авиационной промышленности СССР</w:t>
      </w:r>
      <w:r w:rsidRPr="00F90EAE">
        <w:rPr>
          <w:color w:val="000000" w:themeColor="text1"/>
          <w:sz w:val="16"/>
          <w:szCs w:val="16"/>
        </w:rPr>
        <w:tab/>
        <w:t>М.Хруничев</w:t>
      </w:r>
    </w:p>
    <w:p w14:paraId="416523C2" w14:textId="77777777" w:rsidR="004709B0" w:rsidRPr="00F90EAE" w:rsidRDefault="004709B0" w:rsidP="00F90EAE">
      <w:pPr>
        <w:pStyle w:val="34"/>
        <w:shd w:val="clear" w:color="auto" w:fill="auto"/>
        <w:spacing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 xml:space="preserve">ГА РФ. Ф. Р-9401, </w:t>
      </w:r>
      <w:r w:rsidRPr="00F90EAE">
        <w:rPr>
          <w:rFonts w:ascii="Times New Roman" w:cs="Times New Roman"/>
          <w:color w:val="000000" w:themeColor="text1"/>
          <w:spacing w:val="0"/>
          <w:sz w:val="16"/>
          <w:szCs w:val="16"/>
          <w:lang w:val="en-US"/>
        </w:rPr>
        <w:t>On</w:t>
      </w:r>
      <w:r w:rsidRPr="00F90EAE">
        <w:rPr>
          <w:rFonts w:ascii="Times New Roman" w:cs="Times New Roman"/>
          <w:color w:val="000000" w:themeColor="text1"/>
          <w:spacing w:val="0"/>
          <w:sz w:val="16"/>
          <w:szCs w:val="16"/>
        </w:rPr>
        <w:t xml:space="preserve">. 2. Д. 137. Л. 378-379. Заверенная копия. </w:t>
      </w:r>
      <w:r w:rsidRPr="00F90EAE">
        <w:rPr>
          <w:rStyle w:val="3115pt"/>
          <w:rFonts w:eastAsia="Arial Narrow"/>
          <w:b w:val="0"/>
          <w:i w:val="0"/>
          <w:color w:val="000000" w:themeColor="text1"/>
          <w:sz w:val="16"/>
          <w:szCs w:val="16"/>
        </w:rPr>
        <w:t>№ 172 (19097).</w:t>
      </w:r>
    </w:p>
    <w:p w14:paraId="60199CCC" w14:textId="77777777" w:rsidR="004709B0" w:rsidRPr="00F90EAE" w:rsidRDefault="004709B0" w:rsidP="00F90EAE">
      <w:pPr>
        <w:jc w:val="both"/>
        <w:rPr>
          <w:color w:val="000000" w:themeColor="text1"/>
          <w:sz w:val="16"/>
          <w:szCs w:val="16"/>
        </w:rPr>
      </w:pPr>
    </w:p>
    <w:p w14:paraId="51A1175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2C0997FC" w14:textId="77777777" w:rsidR="006103B3" w:rsidRPr="00F90EAE" w:rsidRDefault="006103B3" w:rsidP="00F90EAE">
      <w:pPr>
        <w:autoSpaceDE w:val="0"/>
        <w:autoSpaceDN w:val="0"/>
        <w:adjustRightInd w:val="0"/>
        <w:jc w:val="both"/>
        <w:rPr>
          <w:iCs/>
          <w:color w:val="000000" w:themeColor="text1"/>
          <w:sz w:val="16"/>
          <w:szCs w:val="16"/>
        </w:rPr>
      </w:pPr>
    </w:p>
    <w:p w14:paraId="0718728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29 июня 1945 г. была подготовлена ДОКЛАДНАЯ ЗАПИСКА КОМАНДУЮЩЕГО БТ и МВ КА ПРЕДСЕДАТЕЛЮ ГКО ГЕНЕРАЛИССИМУСУ СОВЕТСКОГО СОЮЗА И. В. СТАЛИНУ О НОВЫХ ОБРАЗЦАХ СВЕРХТЯЖЕЛЫХ НЕМЕЦКИХ ТАНКОВ №32-241</w:t>
      </w:r>
    </w:p>
    <w:p w14:paraId="4FEF09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Докладываю, что 4 июня с.г. советскими войсками в Германии были найдены два сверхтяжелых немецких танка.</w:t>
      </w:r>
    </w:p>
    <w:p w14:paraId="2054E62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Один из них, с вооруженной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740D7DB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Особенностью сверхтяжелых танков является применение электротрансмиссии и спаренной установки пушек: крупного калибра (128 мм) и калибра 75 мм.</w:t>
      </w:r>
    </w:p>
    <w:p w14:paraId="449CCD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По показаниям немецких инженеров, работавших на танковом полигоне, сверхтяжелые танки проектировались конструктором Порше в районе Штутгарт-Боблинген и были изготовлены фирмой Нибелунгенверке (в Австрии).</w:t>
      </w:r>
    </w:p>
    <w:p w14:paraId="4E8DBA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декабря 1944 года оба танка были доставлены на танковый полигон для испытаний, отку</w:t>
      </w:r>
      <w:r w:rsidRPr="00F90EAE">
        <w:rPr>
          <w:color w:val="000000" w:themeColor="text1"/>
          <w:sz w:val="16"/>
          <w:szCs w:val="16"/>
        </w:rPr>
        <w:softHyphen/>
        <w:t>да один (вооруженный) образец в марте с.г. был своим ходом доставлен в Штамлагер.</w:t>
      </w:r>
    </w:p>
    <w:p w14:paraId="2E268DB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Представляю тактико-техническую характеристику сверхтяжелого танка.</w:t>
      </w:r>
    </w:p>
    <w:p w14:paraId="1818546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Характеристика является ориентировочной, так как оба танка оказались подорванными и под</w:t>
      </w:r>
      <w:r w:rsidRPr="00F90EAE">
        <w:rPr>
          <w:color w:val="000000" w:themeColor="text1"/>
          <w:sz w:val="16"/>
          <w:szCs w:val="16"/>
        </w:rPr>
        <w:softHyphen/>
        <w:t>робно специалистами еще не изучались.</w:t>
      </w:r>
    </w:p>
    <w:p w14:paraId="786B4E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Более точные данные доложу Вам после тщательного изучения этих танков специалистами.</w:t>
      </w:r>
    </w:p>
    <w:p w14:paraId="47B56F4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Командующий БТ и МВ КА маршал бронетанковых войск Я. Федоренко</w:t>
      </w:r>
    </w:p>
    <w:p w14:paraId="167BC8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ЦАМО. Ф. 38. Оп. 11355. Д. 2725. Л. 15. Копия (11420).</w:t>
      </w:r>
    </w:p>
    <w:p w14:paraId="25D8BBF0" w14:textId="77777777" w:rsidR="006103B3" w:rsidRPr="00F90EAE" w:rsidRDefault="006103B3" w:rsidP="00F90EAE">
      <w:pPr>
        <w:autoSpaceDE w:val="0"/>
        <w:autoSpaceDN w:val="0"/>
        <w:adjustRightInd w:val="0"/>
        <w:jc w:val="both"/>
        <w:rPr>
          <w:color w:val="000000" w:themeColor="text1"/>
          <w:sz w:val="16"/>
          <w:szCs w:val="16"/>
        </w:rPr>
      </w:pPr>
    </w:p>
    <w:p w14:paraId="06AEBFBB"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29 июня 1945 года в адрес руководства Государственного комитета обороны (ГКО), включая Сталина и Берию, были отправлены докладные записки за подписью начальника Главного автобронетанкового управления Красной армии (ГАБТУ КА) маршала бронетанковых войск Я. Н. Федоренко:</w:t>
      </w:r>
    </w:p>
    <w:p w14:paraId="78FE1EBB"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«Докладываю, что 4 июня сего года советскими оккупационными войсками в Германии были найдены два сверхтяжёлых немецких танка.</w:t>
      </w:r>
    </w:p>
    <w:p w14:paraId="47EDD5CF"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Один из них, с вооружённой башней и дизельмотором — в 40 км южнее Берлина в районе Штамлагер; второй танк с необработанной башней и карбюраторным двигателем — в 62 км южнее Берлина в районе Куммерсдорф.</w:t>
      </w:r>
    </w:p>
    <w:p w14:paraId="0A303301"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Особенностью сверхтяжёлых танков является применение электротрансмиссии и спаренной установки пушек — крупного калибра (128 мм) и калибра 75 мм.</w:t>
      </w:r>
    </w:p>
    <w:p w14:paraId="762167CE"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По показаниям немецких инженеров, работавших на танковом полигоне, сверхтяжёлые танки проектировались конструктором Порше в районе Штутгарт-Боблинген и были изготовлены фирмой Нибелунгенверке (в Австрии).</w:t>
      </w:r>
    </w:p>
    <w:p w14:paraId="7A983DBF"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В конце декабря 1944 года оба танка были доставлены на танковый полигон для испытаний, откуда один (вооружённый) образец в марте сего года был своим ходом доставлен в Штамлагер.</w:t>
      </w:r>
    </w:p>
    <w:p w14:paraId="3D85C897"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Представляю тактико-техническую характеристику сверхтяжёлого танка.</w:t>
      </w:r>
    </w:p>
    <w:p w14:paraId="506D1A9A"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Характеристика является ориентировочной, так как оба танка оказались подорванными и подробно специалистами не изучены.</w:t>
      </w:r>
    </w:p>
    <w:p w14:paraId="04A2664F" w14:textId="77777777" w:rsidR="00797499" w:rsidRPr="00F90EAE" w:rsidRDefault="00797499" w:rsidP="00F90EAE">
      <w:pPr>
        <w:shd w:val="clear" w:color="auto" w:fill="FFFFFF"/>
        <w:jc w:val="both"/>
        <w:rPr>
          <w:color w:val="000000" w:themeColor="text1"/>
          <w:sz w:val="16"/>
          <w:szCs w:val="16"/>
        </w:rPr>
      </w:pPr>
      <w:r w:rsidRPr="00F90EAE">
        <w:rPr>
          <w:iCs/>
          <w:color w:val="000000" w:themeColor="text1"/>
          <w:sz w:val="16"/>
          <w:szCs w:val="16"/>
        </w:rPr>
        <w:t>Более точные данные доложу Вам после тщательного изучения этих танков специалистами».</w:t>
      </w:r>
    </w:p>
    <w:p w14:paraId="653B8870"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Наибольший интерес вызвал второй образец сверхтяжёлого танка. Несмотря на то что внутренний взрыв нанёс ему очень серьёзные повреждения, изучали в основном именно его. Дело в том, что первый образец не имел вооружения, а вместо башни на него был установлен массо-габаритный макет.</w:t>
      </w:r>
    </w:p>
    <w:p w14:paraId="37EE232E"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На место обнаружения прибыли специалисты, которые приступили к изучению подорванного танка. Для начала было решено составить краткое техническое описание машины. Доклад получился небольшим — всего на 18 страниц. Это было связано с тем, что сверху пришёл приказ составить описание обнаруженной машины в кратчайшие сроки. Такая спешка не выглядела странной: в руках советских военных оказался танк, который выглядел гораздо более опасным противником, чем все боевые машины, с которыми они ранее встречались.</w:t>
      </w:r>
    </w:p>
    <w:p w14:paraId="45C8642B"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lastRenderedPageBreak/>
        <w:t>Противоречивые показания немецких военнопленных и сильные повреждения стали причиной ряда неточностей в составленном описании. Например, боевая масса танка оценивалась в нём в 120 тонн. Причиной этой неточности не была ошибка советских военных. Точно такую же боевую массу указывали в конце 1944 года и немецкие военнопленные, которые оказались у союзников. И это не являлось умышленной дезинформацией. Военнопленные говорили правду, Pz.Kpfw. Maus действительно когда-то весил 120 тонн. Правда, было это ещё на «бумажной стадии»: такой оказалась изначальная проектная масса танка, датированная началом июня 1942 года. С того времени воплощённая в металле машина успела «поправиться» более чем в полтора раза.</w:t>
      </w:r>
    </w:p>
    <w:p w14:paraId="33B791E6"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Ещё одна серьёзная неточность вкралась в описание вооружения. Помимо 128-мм длинноствольной и 75-мм короткоствольной пушки, в описание попали и два пулемёта странного калибра 7,65 мм. Куда более удивительным выглядит то, что среди вооружения была указана и автоматическая пушка калибра 20 мм. Появилась она в описании, вероятно, тоже со слов военнопленных. Как ни странно это прозвучит, такая информация тоже не является полной дезинформацией. Действительно, в начале 1943 года в проектах Pz.Kpfw. Maus фигурировала 20-мм автоматическая пушка MG 152/20 в качестве зенитного вооружения. Правда, от этой идеи благоразумно отказались, поскольку наводилась она только по вертикали, а использование огромной башни танка для наведения зенитного орудия по горизонтали было нелепой затеей.</w:t>
      </w:r>
    </w:p>
    <w:p w14:paraId="2464FAF3"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Несмотря на подобное ошибки, в целом техническое описание давало весьма подробную картину внутреннего устройства танка и его бронезащиты. Разумеется, и здесь имелись некоторые неточности, но они оказались относительно небольшими.</w:t>
      </w:r>
    </w:p>
    <w:p w14:paraId="50FC0050" w14:textId="77777777" w:rsidR="00797499" w:rsidRPr="00F90EAE" w:rsidRDefault="00797499" w:rsidP="00F90EAE">
      <w:pPr>
        <w:shd w:val="clear" w:color="auto" w:fill="FFFFFF"/>
        <w:jc w:val="both"/>
        <w:rPr>
          <w:color w:val="000000" w:themeColor="text1"/>
          <w:sz w:val="16"/>
          <w:szCs w:val="16"/>
        </w:rPr>
      </w:pPr>
      <w:r w:rsidRPr="00F90EAE">
        <w:rPr>
          <w:color w:val="000000" w:themeColor="text1"/>
          <w:sz w:val="16"/>
          <w:szCs w:val="16"/>
        </w:rPr>
        <w:t>Особое внимание советские специалисты уделили силовой установке и трансмиссии сверхтяжёлого танка. Этим вопросам была посвящена едва ли не половина технического описания. Такое внимание не выглядит удивительным: за год до того в СССР активно шли работы по электрической танковой трансмиссии, которые закончились в целом неудачно. Теперь же в руках советских военных оказался танк с электротрансмиссией, да ещё и сверхтяжёлый. Его двигатель специалисты разобрали прямо на месте и изучили. Также поступили с гитарой (шестерёночной передачей) и ведущим колесом. Подробному изучению подверглась и ходовая часть танка (17676).</w:t>
      </w:r>
    </w:p>
    <w:p w14:paraId="6EA4D434" w14:textId="77777777" w:rsidR="00797499" w:rsidRPr="00F90EAE" w:rsidRDefault="00797499" w:rsidP="00F90EAE">
      <w:pPr>
        <w:jc w:val="both"/>
        <w:rPr>
          <w:rStyle w:val="107"/>
          <w:rFonts w:eastAsiaTheme="minorHAnsi"/>
          <w:color w:val="000000" w:themeColor="text1"/>
          <w:sz w:val="16"/>
          <w:szCs w:val="16"/>
        </w:rPr>
      </w:pPr>
    </w:p>
    <w:p w14:paraId="446DB23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июня 1945 года вышел приказ № 244с НКБ</w:t>
      </w:r>
    </w:p>
    <w:p w14:paraId="3F5BEF5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В соответствии с распоряжением СНК № 9687-рс от 24 июня 1945 года о ликвидации завода № 479:</w:t>
      </w:r>
    </w:p>
    <w:p w14:paraId="44F95E8E"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Начальнику 6-го Гл. управления и директору завода № 479 Ахназарову передать Наркоммясомолпрому помещение завода № 479 и завод № 271 НКСП согласно ранее данным приказам и распоряжениям.</w:t>
      </w:r>
    </w:p>
    <w:p w14:paraId="2DAD3CC9"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Перебросить на завод № 386 все оборудование, материалы, инструмент, незавершенное производство, автотранспорт и лошадей (5796, 106).</w:t>
      </w:r>
    </w:p>
    <w:p w14:paraId="6A01C4A2"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60E15D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г. приказом НКБ № 244 в соответствии с пост. СНК № 9687 от 24 июня 1945 г. завод № 479 (ГС Завод № 479 НКАП, НКБ, Завод «Пресс» НКМП РСФСР, п/я 102 /г. Серпухов Московской обл.;  г. Бийск Алтайского кр. п/я 102 «Шайба» (1943 г.)/) ликвидирован, на его месте создан завод «Мясомолмаш».</w:t>
      </w:r>
    </w:p>
    <w:p w14:paraId="40DF4BF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Площадь (1943 г.): производственная- 2163 м</w:t>
      </w:r>
      <w:r w:rsidRPr="00F90EAE">
        <w:rPr>
          <w:color w:val="000000" w:themeColor="text1"/>
          <w:sz w:val="16"/>
          <w:szCs w:val="16"/>
          <w:vertAlign w:val="superscript"/>
        </w:rPr>
        <w:t>2</w:t>
      </w:r>
      <w:r w:rsidRPr="00F90EAE">
        <w:rPr>
          <w:color w:val="000000" w:themeColor="text1"/>
          <w:sz w:val="16"/>
          <w:szCs w:val="16"/>
        </w:rPr>
        <w:t>; вспомогательная- 973 м</w:t>
      </w:r>
      <w:r w:rsidRPr="00F90EAE">
        <w:rPr>
          <w:color w:val="000000" w:themeColor="text1"/>
          <w:sz w:val="16"/>
          <w:szCs w:val="16"/>
          <w:vertAlign w:val="superscript"/>
        </w:rPr>
        <w:t>2</w:t>
      </w:r>
      <w:r w:rsidRPr="00F90EAE">
        <w:rPr>
          <w:color w:val="000000" w:themeColor="text1"/>
          <w:sz w:val="16"/>
          <w:szCs w:val="16"/>
        </w:rPr>
        <w:t>; прочая- 207 м</w:t>
      </w:r>
      <w:r w:rsidRPr="00F90EAE">
        <w:rPr>
          <w:color w:val="000000" w:themeColor="text1"/>
          <w:sz w:val="16"/>
          <w:szCs w:val="16"/>
          <w:vertAlign w:val="superscript"/>
        </w:rPr>
        <w:t>2</w:t>
      </w:r>
      <w:r w:rsidRPr="00F90EAE">
        <w:rPr>
          <w:color w:val="000000" w:themeColor="text1"/>
          <w:sz w:val="16"/>
          <w:szCs w:val="16"/>
        </w:rPr>
        <w:t>.</w:t>
      </w:r>
    </w:p>
    <w:p w14:paraId="517103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(12.1942 г.)- 827 чел.</w:t>
      </w:r>
    </w:p>
    <w:p w14:paraId="779804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(1940-42 г.)- И.П. Девяткин, (04.1943 г.)- Ахназаров.</w:t>
      </w:r>
    </w:p>
    <w:p w14:paraId="1DE5FBF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(04.1943 г.)- Филин.</w:t>
      </w:r>
    </w:p>
    <w:p w14:paraId="1AFFC158" w14:textId="77777777" w:rsidR="006103B3" w:rsidRPr="00F90EAE" w:rsidRDefault="006103B3" w:rsidP="00F90EAE">
      <w:pPr>
        <w:autoSpaceDE w:val="0"/>
        <w:autoSpaceDN w:val="0"/>
        <w:adjustRightInd w:val="0"/>
        <w:jc w:val="both"/>
        <w:rPr>
          <w:color w:val="000000" w:themeColor="text1"/>
          <w:sz w:val="16"/>
          <w:szCs w:val="16"/>
        </w:rPr>
      </w:pPr>
      <w:r w:rsidRPr="00F90EAE">
        <w:rPr>
          <w:iCs/>
          <w:color w:val="000000" w:themeColor="text1"/>
          <w:sz w:val="16"/>
          <w:szCs w:val="16"/>
        </w:rPr>
        <w:t>Производство:</w:t>
      </w:r>
      <w:r w:rsidRPr="00F90EAE">
        <w:rPr>
          <w:color w:val="000000" w:themeColor="text1"/>
          <w:sz w:val="16"/>
          <w:szCs w:val="16"/>
        </w:rPr>
        <w:t xml:space="preserve"> ручные гранаты РГД-33 (ВОВ), РГ-42 (1943); взрыватель УЗРГ; КД-8 (1943) (11982).</w:t>
      </w:r>
    </w:p>
    <w:p w14:paraId="60A9108D" w14:textId="77777777" w:rsidR="00576B22" w:rsidRPr="00F90EAE" w:rsidRDefault="00576B22" w:rsidP="00F90EAE">
      <w:pPr>
        <w:autoSpaceDE w:val="0"/>
        <w:autoSpaceDN w:val="0"/>
        <w:adjustRightInd w:val="0"/>
        <w:jc w:val="both"/>
        <w:rPr>
          <w:iCs/>
          <w:color w:val="000000" w:themeColor="text1"/>
          <w:sz w:val="16"/>
          <w:szCs w:val="16"/>
        </w:rPr>
      </w:pPr>
    </w:p>
    <w:p w14:paraId="50ECEB48"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2C0AFEE0" w14:textId="77777777" w:rsidR="006103B3" w:rsidRPr="00F90EAE" w:rsidRDefault="006103B3" w:rsidP="00F90EAE">
      <w:pPr>
        <w:autoSpaceDE w:val="0"/>
        <w:autoSpaceDN w:val="0"/>
        <w:adjustRightInd w:val="0"/>
        <w:jc w:val="both"/>
        <w:rPr>
          <w:iCs/>
          <w:color w:val="000000" w:themeColor="text1"/>
          <w:sz w:val="16"/>
          <w:szCs w:val="16"/>
        </w:rPr>
      </w:pPr>
    </w:p>
    <w:p w14:paraId="3CE0A96C"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июня 1945 вышло распоряжение СНК № 9908-р, которое обязало ГВИУ КА передать тресту Сталинградствой инструмент, оборудование и трофейное имущество (7543, 103).</w:t>
      </w:r>
    </w:p>
    <w:p w14:paraId="11D06A1B"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383476F"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июня 1945 вышло распоряжение СНК № 9915-р, которое обязало НКВ после реэвакуации з-да № 545 передать все оставшееся, включая жилые дома, Челябинскому (7543, 105).</w:t>
      </w:r>
    </w:p>
    <w:p w14:paraId="5E581496"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741A9F3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C5B3AA7" w14:textId="77777777" w:rsidR="006103B3" w:rsidRPr="00F90EAE" w:rsidRDefault="006103B3" w:rsidP="00F90EAE">
      <w:pPr>
        <w:autoSpaceDE w:val="0"/>
        <w:autoSpaceDN w:val="0"/>
        <w:adjustRightInd w:val="0"/>
        <w:jc w:val="both"/>
        <w:rPr>
          <w:iCs/>
          <w:color w:val="000000" w:themeColor="text1"/>
          <w:sz w:val="16"/>
          <w:szCs w:val="16"/>
        </w:rPr>
      </w:pPr>
    </w:p>
    <w:p w14:paraId="12E5F6B5"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29 июня 1945 СССР и Чехословакия подписали договор о присоединении Закарпатской Украины к УССР (4962).</w:t>
      </w:r>
    </w:p>
    <w:p w14:paraId="1B362FA9"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08CF18D3" w14:textId="77777777" w:rsidR="00576B22" w:rsidRPr="00F90EAE" w:rsidRDefault="00576B22" w:rsidP="00F90EAE">
      <w:pPr>
        <w:jc w:val="both"/>
        <w:rPr>
          <w:color w:val="000000" w:themeColor="text1"/>
          <w:sz w:val="16"/>
          <w:szCs w:val="16"/>
        </w:rPr>
      </w:pPr>
      <w:r w:rsidRPr="00F90EAE">
        <w:rPr>
          <w:bCs/>
          <w:color w:val="000000" w:themeColor="text1"/>
          <w:sz w:val="16"/>
          <w:szCs w:val="16"/>
        </w:rPr>
        <w:t>29 июня</w:t>
      </w:r>
      <w:r w:rsidRPr="00F90EAE">
        <w:rPr>
          <w:color w:val="000000" w:themeColor="text1"/>
          <w:sz w:val="16"/>
          <w:szCs w:val="16"/>
        </w:rPr>
        <w:t xml:space="preserve"> в 1945 году в Москве подписан Договор между СССР и Чехословацкой Республикой о Закарпатской Украине. Закарпатская Украина (по чехословацкой конституции — Подкарпатская Русь), исходя из проявленного ее населением желания, воссоединялась с Украиной и включалась в состав Украинской ССР</w:t>
      </w:r>
    </w:p>
    <w:p w14:paraId="0BF8137F" w14:textId="77777777" w:rsidR="00576B22" w:rsidRPr="00F90EAE" w:rsidRDefault="00576B22" w:rsidP="00F90EAE">
      <w:pPr>
        <w:jc w:val="both"/>
        <w:rPr>
          <w:color w:val="000000" w:themeColor="text1"/>
          <w:sz w:val="16"/>
          <w:szCs w:val="16"/>
        </w:rPr>
      </w:pPr>
    </w:p>
    <w:p w14:paraId="4710B5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Закарпатская Украина была включена в состав СССР (3481).</w:t>
      </w:r>
    </w:p>
    <w:p w14:paraId="670F921D" w14:textId="77777777" w:rsidR="006103B3" w:rsidRPr="00F90EAE" w:rsidRDefault="006103B3" w:rsidP="00F90EAE">
      <w:pPr>
        <w:autoSpaceDE w:val="0"/>
        <w:autoSpaceDN w:val="0"/>
        <w:adjustRightInd w:val="0"/>
        <w:jc w:val="both"/>
        <w:rPr>
          <w:color w:val="000000" w:themeColor="text1"/>
          <w:sz w:val="16"/>
          <w:szCs w:val="16"/>
        </w:rPr>
      </w:pPr>
    </w:p>
    <w:p w14:paraId="5B655F9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 июня 1945 Чехословакия уступила Рутению СССР (3481).</w:t>
      </w:r>
    </w:p>
    <w:p w14:paraId="5B1103C3" w14:textId="77777777" w:rsidR="006103B3" w:rsidRPr="00F90EAE" w:rsidRDefault="006103B3" w:rsidP="00F90EAE">
      <w:pPr>
        <w:autoSpaceDE w:val="0"/>
        <w:autoSpaceDN w:val="0"/>
        <w:adjustRightInd w:val="0"/>
        <w:jc w:val="both"/>
        <w:rPr>
          <w:color w:val="000000" w:themeColor="text1"/>
          <w:sz w:val="16"/>
          <w:szCs w:val="16"/>
        </w:rPr>
      </w:pPr>
    </w:p>
    <w:p w14:paraId="36CA3CD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078DA8C7" w14:textId="77777777" w:rsidR="006103B3" w:rsidRPr="00F90EAE" w:rsidRDefault="006103B3" w:rsidP="00F90EAE">
      <w:pPr>
        <w:autoSpaceDE w:val="0"/>
        <w:autoSpaceDN w:val="0"/>
        <w:adjustRightInd w:val="0"/>
        <w:jc w:val="both"/>
        <w:rPr>
          <w:iCs/>
          <w:color w:val="000000" w:themeColor="text1"/>
          <w:sz w:val="16"/>
          <w:szCs w:val="16"/>
        </w:rPr>
      </w:pPr>
    </w:p>
    <w:p w14:paraId="6090A08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На 30 июня 1945, согласно письма С. В. Ильюшина командующему ВВС главному мар</w:t>
      </w:r>
      <w:r w:rsidRPr="00F90EAE">
        <w:rPr>
          <w:color w:val="000000" w:themeColor="text1"/>
          <w:sz w:val="16"/>
          <w:szCs w:val="16"/>
        </w:rPr>
        <w:softHyphen/>
        <w:t>шалу А. А. Новикову от 25 мая 1945 г., был заплани</w:t>
      </w:r>
      <w:r w:rsidRPr="00F90EAE">
        <w:rPr>
          <w:color w:val="000000" w:themeColor="text1"/>
          <w:sz w:val="16"/>
          <w:szCs w:val="16"/>
        </w:rPr>
        <w:softHyphen/>
        <w:t>рован первый поле</w:t>
      </w:r>
      <w:r w:rsidRPr="00F90EAE">
        <w:rPr>
          <w:color w:val="000000" w:themeColor="text1"/>
          <w:sz w:val="16"/>
          <w:szCs w:val="16"/>
        </w:rPr>
        <w:softHyphen/>
        <w:t>т нового штурмовика Ил-16 с мо</w:t>
      </w:r>
      <w:r w:rsidRPr="00F90EAE">
        <w:rPr>
          <w:color w:val="000000" w:themeColor="text1"/>
          <w:sz w:val="16"/>
          <w:szCs w:val="16"/>
        </w:rPr>
        <w:softHyphen/>
        <w:t xml:space="preserve">тором АМ-43 и предлагал </w:t>
      </w:r>
      <w:r w:rsidRPr="00F90EAE">
        <w:rPr>
          <w:iCs/>
          <w:color w:val="000000" w:themeColor="text1"/>
          <w:sz w:val="16"/>
          <w:szCs w:val="16"/>
        </w:rPr>
        <w:t>"з-д № 30 ...ориентировать на серийную по</w:t>
      </w:r>
      <w:r w:rsidRPr="00F90EAE">
        <w:rPr>
          <w:iCs/>
          <w:color w:val="000000" w:themeColor="text1"/>
          <w:sz w:val="16"/>
          <w:szCs w:val="16"/>
        </w:rPr>
        <w:softHyphen/>
        <w:t>стройку этого самолета".</w:t>
      </w:r>
    </w:p>
    <w:p w14:paraId="276A2FE9" w14:textId="77777777" w:rsidR="006103B3" w:rsidRPr="00F90EAE" w:rsidRDefault="006103B3" w:rsidP="00F90EAE">
      <w:pPr>
        <w:numPr>
          <w:ilvl w:val="12"/>
          <w:numId w:val="0"/>
        </w:numPr>
        <w:autoSpaceDE w:val="0"/>
        <w:autoSpaceDN w:val="0"/>
        <w:adjustRightInd w:val="0"/>
        <w:jc w:val="both"/>
        <w:rPr>
          <w:color w:val="000000" w:themeColor="text1"/>
          <w:sz w:val="16"/>
          <w:szCs w:val="16"/>
        </w:rPr>
      </w:pPr>
      <w:r w:rsidRPr="00F90EAE">
        <w:rPr>
          <w:color w:val="000000" w:themeColor="text1"/>
          <w:sz w:val="16"/>
          <w:szCs w:val="16"/>
        </w:rPr>
        <w:t>Военные отреагировали быстро и вполне адекватно. Главный инже</w:t>
      </w:r>
      <w:r w:rsidRPr="00F90EAE">
        <w:rPr>
          <w:color w:val="000000" w:themeColor="text1"/>
          <w:sz w:val="16"/>
          <w:szCs w:val="16"/>
        </w:rPr>
        <w:softHyphen/>
        <w:t>нер ВВС КА генерал-полковник А. К. Репин, давая Новикову пояснения по данному вопросу, обратил внимание командующего на следующие обсто</w:t>
      </w:r>
      <w:r w:rsidRPr="00F90EAE">
        <w:rPr>
          <w:color w:val="000000" w:themeColor="text1"/>
          <w:sz w:val="16"/>
          <w:szCs w:val="16"/>
        </w:rPr>
        <w:softHyphen/>
        <w:t xml:space="preserve">ятельства, сопутствующие постройке Ил-16: </w:t>
      </w:r>
      <w:r w:rsidRPr="00F90EAE">
        <w:rPr>
          <w:iCs/>
          <w:color w:val="000000" w:themeColor="text1"/>
          <w:sz w:val="16"/>
          <w:szCs w:val="16"/>
        </w:rPr>
        <w:t>"...ЛТД ...являются проектны</w:t>
      </w:r>
      <w:r w:rsidRPr="00F90EAE">
        <w:rPr>
          <w:iCs/>
          <w:color w:val="000000" w:themeColor="text1"/>
          <w:sz w:val="16"/>
          <w:szCs w:val="16"/>
        </w:rPr>
        <w:softHyphen/>
        <w:t>ми. Эскизный проект и макет само</w:t>
      </w:r>
      <w:r w:rsidRPr="00F90EAE">
        <w:rPr>
          <w:iCs/>
          <w:color w:val="000000" w:themeColor="text1"/>
          <w:sz w:val="16"/>
          <w:szCs w:val="16"/>
        </w:rPr>
        <w:softHyphen/>
        <w:t>лета на заключение в ГК НИИ ВВС не представлялся, самолет строится без ТТТ. При постройке самолета не учтены выявленные при войсковых ис</w:t>
      </w:r>
      <w:r w:rsidRPr="00F90EAE">
        <w:rPr>
          <w:iCs/>
          <w:color w:val="000000" w:themeColor="text1"/>
          <w:sz w:val="16"/>
          <w:szCs w:val="16"/>
        </w:rPr>
        <w:softHyphen/>
        <w:t>пытаниях конструктивные недостатки однотипного самолета Ил-10. Основ</w:t>
      </w:r>
      <w:r w:rsidRPr="00F90EAE">
        <w:rPr>
          <w:iCs/>
          <w:color w:val="000000" w:themeColor="text1"/>
          <w:sz w:val="16"/>
          <w:szCs w:val="16"/>
        </w:rPr>
        <w:softHyphen/>
        <w:t>ными из этих оставшихся на самоле</w:t>
      </w:r>
      <w:r w:rsidRPr="00F90EAE">
        <w:rPr>
          <w:iCs/>
          <w:color w:val="000000" w:themeColor="text1"/>
          <w:sz w:val="16"/>
          <w:szCs w:val="16"/>
        </w:rPr>
        <w:softHyphen/>
        <w:t>те Ил-16, являются: расчет прочнос</w:t>
      </w:r>
      <w:r w:rsidRPr="00F90EAE">
        <w:rPr>
          <w:iCs/>
          <w:color w:val="000000" w:themeColor="text1"/>
          <w:sz w:val="16"/>
          <w:szCs w:val="16"/>
        </w:rPr>
        <w:softHyphen/>
        <w:t>ти самолета по классу "Б" (ограни</w:t>
      </w:r>
      <w:r w:rsidRPr="00F90EAE">
        <w:rPr>
          <w:iCs/>
          <w:color w:val="000000" w:themeColor="text1"/>
          <w:sz w:val="16"/>
          <w:szCs w:val="16"/>
        </w:rPr>
        <w:softHyphen/>
        <w:t>ченно маневренные самолеты), в то время как он должен быть отнесен к классу "А" (маневренные самолеты); ослабление бронирования по срав</w:t>
      </w:r>
      <w:r w:rsidRPr="00F90EAE">
        <w:rPr>
          <w:iCs/>
          <w:color w:val="000000" w:themeColor="text1"/>
          <w:sz w:val="16"/>
          <w:szCs w:val="16"/>
        </w:rPr>
        <w:softHyphen/>
        <w:t>нению с самолетов Ил-10; ...слож</w:t>
      </w:r>
      <w:r w:rsidRPr="00F90EAE">
        <w:rPr>
          <w:iCs/>
          <w:color w:val="000000" w:themeColor="text1"/>
          <w:sz w:val="16"/>
          <w:szCs w:val="16"/>
        </w:rPr>
        <w:softHyphen/>
        <w:t>ная и громоздкая система подвески наружных бомб; ...отсутствие систе</w:t>
      </w:r>
      <w:r w:rsidRPr="00F90EAE">
        <w:rPr>
          <w:iCs/>
          <w:color w:val="000000" w:themeColor="text1"/>
          <w:sz w:val="16"/>
          <w:szCs w:val="16"/>
        </w:rPr>
        <w:softHyphen/>
        <w:t xml:space="preserve">мы нейтральных газов и пылефильтров " </w:t>
      </w:r>
      <w:r w:rsidRPr="00F90EAE">
        <w:rPr>
          <w:color w:val="000000" w:themeColor="text1"/>
          <w:sz w:val="16"/>
          <w:szCs w:val="16"/>
        </w:rPr>
        <w:t>(11431).</w:t>
      </w:r>
    </w:p>
    <w:p w14:paraId="2FBCB637" w14:textId="77777777" w:rsidR="006103B3" w:rsidRPr="00F90EAE" w:rsidRDefault="006103B3" w:rsidP="00F90EAE">
      <w:pPr>
        <w:numPr>
          <w:ilvl w:val="12"/>
          <w:numId w:val="0"/>
        </w:numPr>
        <w:autoSpaceDE w:val="0"/>
        <w:autoSpaceDN w:val="0"/>
        <w:adjustRightInd w:val="0"/>
        <w:jc w:val="both"/>
        <w:rPr>
          <w:color w:val="000000" w:themeColor="text1"/>
          <w:sz w:val="16"/>
          <w:szCs w:val="16"/>
        </w:rPr>
      </w:pPr>
    </w:p>
    <w:p w14:paraId="75A73B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закончились гос. испытания СДБ А.Н.Т. (4,182).</w:t>
      </w:r>
    </w:p>
    <w:p w14:paraId="2B94A1C8" w14:textId="77777777" w:rsidR="006103B3" w:rsidRPr="00F90EAE" w:rsidRDefault="006103B3" w:rsidP="00F90EAE">
      <w:pPr>
        <w:autoSpaceDE w:val="0"/>
        <w:autoSpaceDN w:val="0"/>
        <w:adjustRightInd w:val="0"/>
        <w:jc w:val="both"/>
        <w:rPr>
          <w:color w:val="000000" w:themeColor="text1"/>
          <w:sz w:val="16"/>
          <w:szCs w:val="16"/>
        </w:rPr>
      </w:pPr>
    </w:p>
    <w:p w14:paraId="000F3713"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июня 1945 г. списали по износу последние два МиГ-3 №4504 и №6015. Эти машины принадлежали 41-му иап ВВС Северотихоокеанс</w:t>
      </w:r>
      <w:r w:rsidRPr="00F90EAE">
        <w:rPr>
          <w:color w:val="000000" w:themeColor="text1"/>
          <w:sz w:val="16"/>
          <w:szCs w:val="16"/>
        </w:rPr>
        <w:softHyphen/>
        <w:t>кой флотилии (11761).</w:t>
      </w:r>
    </w:p>
    <w:p w14:paraId="62C076F8" w14:textId="77777777" w:rsidR="00576B22" w:rsidRPr="00F90EAE" w:rsidRDefault="00576B22" w:rsidP="00F90EAE">
      <w:pPr>
        <w:autoSpaceDE w:val="0"/>
        <w:autoSpaceDN w:val="0"/>
        <w:adjustRightInd w:val="0"/>
        <w:jc w:val="both"/>
        <w:rPr>
          <w:color w:val="000000" w:themeColor="text1"/>
          <w:sz w:val="16"/>
          <w:szCs w:val="16"/>
        </w:rPr>
      </w:pPr>
    </w:p>
    <w:p w14:paraId="0CA0E23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вышел приказ НКАП N 273с:</w:t>
      </w:r>
    </w:p>
    <w:p w14:paraId="1313EC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"Об изготовлении образца геликоптера Омега конструкции Братухина на заводе 82" к 1 августа 1945 (1893,29).</w:t>
      </w:r>
    </w:p>
    <w:p w14:paraId="7E69348C" w14:textId="77777777" w:rsidR="006103B3" w:rsidRPr="00F90EAE" w:rsidRDefault="006103B3" w:rsidP="00F90EAE">
      <w:pPr>
        <w:autoSpaceDE w:val="0"/>
        <w:autoSpaceDN w:val="0"/>
        <w:adjustRightInd w:val="0"/>
        <w:jc w:val="both"/>
        <w:rPr>
          <w:color w:val="000000" w:themeColor="text1"/>
          <w:sz w:val="16"/>
          <w:szCs w:val="16"/>
        </w:rPr>
      </w:pPr>
    </w:p>
    <w:p w14:paraId="2511E62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30 июня 1945 г. вышел приказ Нар</w:t>
      </w:r>
      <w:r w:rsidRPr="00F90EAE">
        <w:rPr>
          <w:color w:val="000000" w:themeColor="text1"/>
          <w:sz w:val="16"/>
          <w:szCs w:val="16"/>
        </w:rPr>
        <w:softHyphen/>
        <w:t>комата авиационной промышленности о разработке вертолета с новыми двигателями, причем этим приказом в помощь ОКБ-3, не располагавшему необходимой производственной летно-доводочной базой, выделялся Тушинский авиационный завод № 82. В течение 1945—1946 гг. было построено два опытных верто</w:t>
      </w:r>
      <w:r w:rsidRPr="00F90EAE">
        <w:rPr>
          <w:color w:val="000000" w:themeColor="text1"/>
          <w:sz w:val="16"/>
          <w:szCs w:val="16"/>
        </w:rPr>
        <w:softHyphen/>
        <w:t>лета, получивших наименование «Артиллерийский корректиров</w:t>
      </w:r>
      <w:r w:rsidRPr="00F90EAE">
        <w:rPr>
          <w:color w:val="000000" w:themeColor="text1"/>
          <w:sz w:val="16"/>
          <w:szCs w:val="16"/>
        </w:rPr>
        <w:softHyphen/>
        <w:t>щик» (АК) и новое обозначение Г-3 (геликоптер 3), которое в даль</w:t>
      </w:r>
      <w:r w:rsidRPr="00F90EAE">
        <w:rPr>
          <w:color w:val="000000" w:themeColor="text1"/>
          <w:sz w:val="16"/>
          <w:szCs w:val="16"/>
        </w:rPr>
        <w:softHyphen/>
        <w:t>нейшем стало использоваться для новых геликоптеров ОКБ-3 (10736).</w:t>
      </w:r>
    </w:p>
    <w:p w14:paraId="3AB84E5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BA28BC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С.П.Королев написал о разработке проектов ракет Д-1 и Д-2 (1136,267).</w:t>
      </w:r>
    </w:p>
    <w:p w14:paraId="35D9ADF5" w14:textId="77777777" w:rsidR="006103B3" w:rsidRPr="00F90EAE" w:rsidRDefault="006103B3" w:rsidP="00F90EAE">
      <w:pPr>
        <w:autoSpaceDE w:val="0"/>
        <w:autoSpaceDN w:val="0"/>
        <w:adjustRightInd w:val="0"/>
        <w:jc w:val="both"/>
        <w:rPr>
          <w:color w:val="000000" w:themeColor="text1"/>
          <w:sz w:val="16"/>
          <w:szCs w:val="16"/>
        </w:rPr>
      </w:pPr>
    </w:p>
    <w:p w14:paraId="7AF3673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С.П.К. подготовил ТЗ на пороховые ракеты дальнего действия Д-1 (баллистическая) и Д-2 (крылатая) (ААН, р. 4, оп. 17, № 131) (10676).</w:t>
      </w:r>
    </w:p>
    <w:p w14:paraId="66CBB9AA" w14:textId="77777777" w:rsidR="006103B3" w:rsidRPr="00F90EAE" w:rsidRDefault="006103B3" w:rsidP="00F90EAE">
      <w:pPr>
        <w:autoSpaceDE w:val="0"/>
        <w:autoSpaceDN w:val="0"/>
        <w:adjustRightInd w:val="0"/>
        <w:jc w:val="both"/>
        <w:rPr>
          <w:color w:val="000000" w:themeColor="text1"/>
          <w:sz w:val="16"/>
          <w:szCs w:val="16"/>
        </w:rPr>
      </w:pPr>
    </w:p>
    <w:p w14:paraId="309EA5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С.П.К. завершил подготовку проекта мероприятий для организации работ по ракетам дальнего действия. Среди других есть такие предложения: "1. Организовать с 1 ноября 1945 г. (...)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 (...) 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 (Там же, № 106, л. 1-4) (10676).</w:t>
      </w:r>
    </w:p>
    <w:p w14:paraId="513AF598" w14:textId="77777777" w:rsidR="006103B3" w:rsidRPr="00F90EAE" w:rsidRDefault="006103B3" w:rsidP="00F90EAE">
      <w:pPr>
        <w:autoSpaceDE w:val="0"/>
        <w:autoSpaceDN w:val="0"/>
        <w:adjustRightInd w:val="0"/>
        <w:jc w:val="both"/>
        <w:rPr>
          <w:color w:val="000000" w:themeColor="text1"/>
          <w:sz w:val="16"/>
          <w:szCs w:val="16"/>
        </w:rPr>
      </w:pPr>
    </w:p>
    <w:p w14:paraId="6D5B43A0" w14:textId="13EA8F48" w:rsidR="00F23D44" w:rsidRPr="00F90EAE" w:rsidRDefault="00F23D44" w:rsidP="00F90EAE">
      <w:pPr>
        <w:jc w:val="both"/>
        <w:rPr>
          <w:color w:val="0070C0"/>
          <w:sz w:val="16"/>
          <w:szCs w:val="16"/>
          <w:shd w:val="clear" w:color="auto" w:fill="FFFFFF"/>
        </w:rPr>
      </w:pPr>
      <w:r w:rsidRPr="00F90EAE">
        <w:rPr>
          <w:color w:val="0070C0"/>
          <w:sz w:val="16"/>
          <w:szCs w:val="16"/>
          <w:shd w:val="clear" w:color="auto" w:fill="FFFFFF"/>
        </w:rPr>
        <w:lastRenderedPageBreak/>
        <w:t>30 июня 1945 года С.П.К. вновь обратился в Наркомат авиационной промышленности с предложением об организации Специального бюро по ракетам дальнего действия. На этот раз он сформулировал свои перспективные планы более конкретно, остановившись на разработке «объекта Д-2» как ближайшей задаче на 1945-1946 годы. Подчёркивая реалистичность своих предложений, Королёв предлагал начать работы над ракетным снарядом с продувок моделей в аэродинамических трубах Центрального аэрогидродинамического института (ЦАГИ) (20875).</w:t>
      </w:r>
    </w:p>
    <w:p w14:paraId="613E3634" w14:textId="77777777" w:rsidR="00F23D44" w:rsidRPr="00F90EAE" w:rsidRDefault="00F23D44" w:rsidP="00F90EAE">
      <w:pPr>
        <w:jc w:val="both"/>
        <w:rPr>
          <w:color w:val="0070C0"/>
          <w:sz w:val="16"/>
          <w:szCs w:val="16"/>
          <w:shd w:val="clear" w:color="auto" w:fill="FFFFFF"/>
        </w:rPr>
      </w:pPr>
    </w:p>
    <w:p w14:paraId="5DEC980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90BC73" w14:textId="77777777" w:rsidR="006103B3" w:rsidRPr="00F90EAE" w:rsidRDefault="006103B3" w:rsidP="00F90EAE">
      <w:pPr>
        <w:autoSpaceDE w:val="0"/>
        <w:autoSpaceDN w:val="0"/>
        <w:adjustRightInd w:val="0"/>
        <w:jc w:val="both"/>
        <w:rPr>
          <w:iCs/>
          <w:color w:val="000000" w:themeColor="text1"/>
          <w:sz w:val="16"/>
          <w:szCs w:val="16"/>
        </w:rPr>
      </w:pPr>
    </w:p>
    <w:p w14:paraId="439A70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30 июня по 4 августа 1945 проходили полигонные испытания ИСУ-130 на базе ИС-3 с пушкой Б-13, но проявились недостатки - неудовлетворительная кучность, низкая скорострельность (2 выстрела в минуту), неустойчивость при выстреле, недостаточные горизонтальные и вертикальные углы. Дорабатывать не стали (7437, 36).</w:t>
      </w:r>
    </w:p>
    <w:p w14:paraId="16D322BA" w14:textId="77777777" w:rsidR="006103B3" w:rsidRPr="00F90EAE" w:rsidRDefault="006103B3" w:rsidP="00F90EAE">
      <w:pPr>
        <w:autoSpaceDE w:val="0"/>
        <w:autoSpaceDN w:val="0"/>
        <w:adjustRightInd w:val="0"/>
        <w:jc w:val="both"/>
        <w:rPr>
          <w:color w:val="000000" w:themeColor="text1"/>
          <w:sz w:val="16"/>
          <w:szCs w:val="16"/>
        </w:rPr>
      </w:pPr>
    </w:p>
    <w:p w14:paraId="3CE7EA80" w14:textId="77777777" w:rsidR="00576B22" w:rsidRPr="00F90EAE" w:rsidRDefault="00576B22" w:rsidP="00F90EAE">
      <w:pPr>
        <w:jc w:val="both"/>
        <w:rPr>
          <w:color w:val="000000" w:themeColor="text1"/>
          <w:sz w:val="16"/>
          <w:szCs w:val="16"/>
        </w:rPr>
      </w:pPr>
      <w:r w:rsidRPr="00F90EAE">
        <w:rPr>
          <w:color w:val="000000" w:themeColor="text1"/>
          <w:sz w:val="16"/>
          <w:szCs w:val="16"/>
        </w:rPr>
        <w:t>С 30 июня по 4 августа 1945 г. самоходная установка ИСУ-130 (в раме бронерубки САУ на базе ИС-3 была смонтирована качающаяся часть 130-мм корабельной пушки Б-13) прошла полигонные испытания, на которых выявились её недостатки. ИСУ-130 нуждалась в доработках, но с окончанием ВОВ доработка и совершенствование ИСУ-130 были признаны нецелесообразными, дальнейшие работы были прекращены. Установка осталась только в опытном образце (15132).</w:t>
      </w:r>
    </w:p>
    <w:p w14:paraId="281BFB6E" w14:textId="77777777" w:rsidR="00576B22" w:rsidRPr="00F90EAE" w:rsidRDefault="00576B22" w:rsidP="00F90EAE">
      <w:pPr>
        <w:jc w:val="both"/>
        <w:rPr>
          <w:color w:val="000000" w:themeColor="text1"/>
          <w:sz w:val="16"/>
          <w:szCs w:val="16"/>
        </w:rPr>
      </w:pPr>
    </w:p>
    <w:p w14:paraId="548977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вышло Распоряжение ГКО № 9285. О выделении жилплощади в Москве для рабочих завода № 788 НКМВ в III кв. 1945 г. РГАНИР, Фонд ГКО, д. 431, лл. 92 (11012).</w:t>
      </w:r>
    </w:p>
    <w:p w14:paraId="38A795F1" w14:textId="77777777" w:rsidR="006103B3" w:rsidRPr="00F90EAE" w:rsidRDefault="006103B3" w:rsidP="00F90EAE">
      <w:pPr>
        <w:autoSpaceDE w:val="0"/>
        <w:autoSpaceDN w:val="0"/>
        <w:adjustRightInd w:val="0"/>
        <w:jc w:val="both"/>
        <w:rPr>
          <w:color w:val="000000" w:themeColor="text1"/>
          <w:sz w:val="16"/>
          <w:szCs w:val="16"/>
        </w:rPr>
      </w:pPr>
    </w:p>
    <w:p w14:paraId="10300E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вышло Распоряжение ГКО № 9286. О плане производства щелочного состава по НКНП. РГАНИР, Фонд ГКО, д. 431, лл. 93 (11012).</w:t>
      </w:r>
    </w:p>
    <w:p w14:paraId="1EBA564C" w14:textId="77777777" w:rsidR="006103B3" w:rsidRPr="00F90EAE" w:rsidRDefault="006103B3" w:rsidP="00F90EAE">
      <w:pPr>
        <w:autoSpaceDE w:val="0"/>
        <w:autoSpaceDN w:val="0"/>
        <w:adjustRightInd w:val="0"/>
        <w:jc w:val="both"/>
        <w:rPr>
          <w:color w:val="000000" w:themeColor="text1"/>
          <w:sz w:val="16"/>
          <w:szCs w:val="16"/>
        </w:rPr>
      </w:pPr>
    </w:p>
    <w:p w14:paraId="6D8D69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вышло Распоряжение ГКО № 9287. О мерах по ускорению строительства второго Бакинского водопровода. РГАНИР, Фонд ГКО, д. 431, лл. 94, 95-96 (11012).</w:t>
      </w:r>
    </w:p>
    <w:p w14:paraId="65085C01" w14:textId="77777777" w:rsidR="006103B3" w:rsidRPr="00F90EAE" w:rsidRDefault="006103B3" w:rsidP="00F90EAE">
      <w:pPr>
        <w:autoSpaceDE w:val="0"/>
        <w:autoSpaceDN w:val="0"/>
        <w:adjustRightInd w:val="0"/>
        <w:jc w:val="both"/>
        <w:rPr>
          <w:color w:val="000000" w:themeColor="text1"/>
          <w:sz w:val="16"/>
          <w:szCs w:val="16"/>
        </w:rPr>
      </w:pPr>
    </w:p>
    <w:p w14:paraId="0CBE7400"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Жизнь и внутренняя политика:</w:t>
      </w:r>
    </w:p>
    <w:p w14:paraId="0174CB1E" w14:textId="77777777" w:rsidR="006103B3" w:rsidRPr="00F90EAE" w:rsidRDefault="006103B3" w:rsidP="00F90EAE">
      <w:pPr>
        <w:autoSpaceDE w:val="0"/>
        <w:autoSpaceDN w:val="0"/>
        <w:adjustRightInd w:val="0"/>
        <w:jc w:val="both"/>
        <w:rPr>
          <w:iCs/>
          <w:color w:val="000000" w:themeColor="text1"/>
          <w:sz w:val="16"/>
          <w:szCs w:val="16"/>
        </w:rPr>
      </w:pPr>
    </w:p>
    <w:p w14:paraId="78A0EA54" w14:textId="77777777" w:rsidR="006103B3" w:rsidRPr="00F90EAE" w:rsidRDefault="006103B3" w:rsidP="00F90EAE">
      <w:pPr>
        <w:tabs>
          <w:tab w:val="left" w:pos="11199"/>
        </w:tabs>
        <w:autoSpaceDE w:val="0"/>
        <w:autoSpaceDN w:val="0"/>
        <w:adjustRightInd w:val="0"/>
        <w:jc w:val="both"/>
        <w:rPr>
          <w:color w:val="000000" w:themeColor="text1"/>
          <w:sz w:val="16"/>
          <w:szCs w:val="16"/>
        </w:rPr>
      </w:pPr>
      <w:r w:rsidRPr="00F90EAE">
        <w:rPr>
          <w:color w:val="000000" w:themeColor="text1"/>
          <w:sz w:val="16"/>
          <w:szCs w:val="16"/>
        </w:rPr>
        <w:t>30 июня 1945 в СССР восстановлены отпуска (4962).</w:t>
      </w:r>
    </w:p>
    <w:p w14:paraId="504A8DB4" w14:textId="77777777" w:rsidR="006103B3" w:rsidRPr="00F90EAE" w:rsidRDefault="006103B3" w:rsidP="00F90EAE">
      <w:pPr>
        <w:tabs>
          <w:tab w:val="left" w:pos="11199"/>
        </w:tabs>
        <w:autoSpaceDE w:val="0"/>
        <w:autoSpaceDN w:val="0"/>
        <w:adjustRightInd w:val="0"/>
        <w:jc w:val="both"/>
        <w:rPr>
          <w:color w:val="000000" w:themeColor="text1"/>
          <w:sz w:val="16"/>
          <w:szCs w:val="16"/>
        </w:rPr>
      </w:pPr>
    </w:p>
    <w:p w14:paraId="572B1B10" w14:textId="77777777" w:rsidR="006103B3" w:rsidRPr="00F90EAE" w:rsidRDefault="006103B3" w:rsidP="00F90EAE">
      <w:pPr>
        <w:autoSpaceDE w:val="0"/>
        <w:autoSpaceDN w:val="0"/>
        <w:adjustRightInd w:val="0"/>
        <w:jc w:val="both"/>
        <w:rPr>
          <w:bCs/>
          <w:color w:val="000000" w:themeColor="text1"/>
          <w:sz w:val="16"/>
          <w:szCs w:val="16"/>
        </w:rPr>
      </w:pPr>
      <w:r w:rsidRPr="00F90EAE">
        <w:rPr>
          <w:color w:val="000000" w:themeColor="text1"/>
          <w:sz w:val="16"/>
          <w:szCs w:val="16"/>
        </w:rPr>
        <w:t>30 июня 1945 г. вышел УКАЗ ПРЕЗИДИУМА ВЕРХОВНОГО СОВЕТА СССР ОБ ОТПУСКАХ РАБОЧИМ И СЛУЖАЩИМ</w:t>
      </w:r>
    </w:p>
    <w:p w14:paraId="2BBA2B8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окончанием Великой Отечественной войны Президиум Верховного Совета СССР постановляет:</w:t>
      </w:r>
    </w:p>
    <w:p w14:paraId="20239C8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Восстановить с 1 июля 1945 г. очередные и дополнительные отпуска рабочим и служащим, отмененные на период военного времени Указом Президиума Верховного Совета СССР от 26 июня 1941 г. “О режиме рабочего времени рабочих и служащих в военное время”.</w:t>
      </w:r>
    </w:p>
    <w:p w14:paraId="113998E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Предоставить Совету Народных Комиссаров СССР право отсрочить предоставление отпусков рабочим и служащим в отдельных отраслях промышленности до конца 1945 г. с тем, чтобы за неиспользованный в связи с этим отпуск в текущем году выплатить рабочим и служащим соответствующую денежную компенсацию.</w:t>
      </w:r>
    </w:p>
    <w:p w14:paraId="69AB9A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В соответствии со статьей I настоящего Указа прекратить, начиная с 1 июля 1945 г., перечисление государственными, кооперативными и общественными предприятиями, организациями и учреждениями в сберегательные кассы денежной компенсации за неиспользованный отпуск в качестве специальных вкладов рабочих и служащих.</w:t>
      </w:r>
    </w:p>
    <w:p w14:paraId="77635B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Поручить Совету Народных Комиссаров СССР установить порядок и сроки выдачи рабочим и служащим сумм денежной компенсации за неиспользованный отпуск, переведенных в качестве специальных вкладов в сберегательные кассы.</w:t>
      </w:r>
    </w:p>
    <w:p w14:paraId="39AAC897" w14:textId="77777777" w:rsidR="006103B3" w:rsidRPr="00F90EAE" w:rsidRDefault="006103B3" w:rsidP="00F90EAE">
      <w:pPr>
        <w:autoSpaceDE w:val="0"/>
        <w:autoSpaceDN w:val="0"/>
        <w:adjustRightInd w:val="0"/>
        <w:jc w:val="both"/>
        <w:rPr>
          <w:iCs/>
          <w:color w:val="000000" w:themeColor="text1"/>
          <w:sz w:val="16"/>
          <w:szCs w:val="16"/>
        </w:rPr>
      </w:pPr>
      <w:r w:rsidRPr="00F90EAE">
        <w:rPr>
          <w:iCs/>
          <w:color w:val="000000" w:themeColor="text1"/>
          <w:sz w:val="16"/>
          <w:szCs w:val="16"/>
        </w:rPr>
        <w:t>Председатель Президиума Верховного Совета СССР М КАЛ И НИН</w:t>
      </w:r>
    </w:p>
    <w:p w14:paraId="67DE2218" w14:textId="77777777" w:rsidR="006103B3" w:rsidRPr="00F90EAE" w:rsidRDefault="006103B3" w:rsidP="00F90EAE">
      <w:pPr>
        <w:autoSpaceDE w:val="0"/>
        <w:autoSpaceDN w:val="0"/>
        <w:adjustRightInd w:val="0"/>
        <w:jc w:val="both"/>
        <w:rPr>
          <w:iCs/>
          <w:color w:val="000000" w:themeColor="text1"/>
          <w:sz w:val="16"/>
          <w:szCs w:val="16"/>
        </w:rPr>
      </w:pPr>
      <w:r w:rsidRPr="00F90EAE">
        <w:rPr>
          <w:iCs/>
          <w:color w:val="000000" w:themeColor="text1"/>
          <w:sz w:val="16"/>
          <w:szCs w:val="16"/>
        </w:rPr>
        <w:t>Секретарь Президиума Верховного Совета СССР А. ГОРКИН</w:t>
      </w:r>
    </w:p>
    <w:p w14:paraId="4FCED9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Москва, Кремль (9844).</w:t>
      </w:r>
    </w:p>
    <w:p w14:paraId="4D75E581" w14:textId="77777777" w:rsidR="006103B3" w:rsidRPr="00F90EAE" w:rsidRDefault="006103B3" w:rsidP="00F90EAE">
      <w:pPr>
        <w:autoSpaceDE w:val="0"/>
        <w:autoSpaceDN w:val="0"/>
        <w:adjustRightInd w:val="0"/>
        <w:jc w:val="both"/>
        <w:rPr>
          <w:color w:val="000000" w:themeColor="text1"/>
          <w:sz w:val="16"/>
          <w:szCs w:val="16"/>
        </w:rPr>
      </w:pPr>
    </w:p>
    <w:p w14:paraId="3EF27774" w14:textId="77777777" w:rsidR="00974A4B" w:rsidRPr="00F90EAE" w:rsidRDefault="00974A4B" w:rsidP="00F90EAE">
      <w:pPr>
        <w:jc w:val="both"/>
        <w:rPr>
          <w:color w:val="000000" w:themeColor="text1"/>
          <w:sz w:val="16"/>
          <w:szCs w:val="16"/>
        </w:rPr>
      </w:pPr>
      <w:r w:rsidRPr="00F90EAE">
        <w:rPr>
          <w:color w:val="000000" w:themeColor="text1"/>
          <w:sz w:val="16"/>
          <w:szCs w:val="16"/>
        </w:rPr>
        <w:t>30 июня 1945. Патриарх Московский и всея Руси Алексий - Сталину: "Русская православная церковь, всегда призывающая благословение Божие на Ваши, дорогой Иосиф Виссарионович, необъятные труды во благо нашей страны, вместе со всем народом нашим сердечно приветствует Вас, радуется Вашей всемирной славе и единодушно поет Вам, Великому Генералиссимусу нашей любимой Родины и нашего победоносного воинства, многая, многая лета" (18688).</w:t>
      </w:r>
    </w:p>
    <w:p w14:paraId="76DD8510" w14:textId="77777777" w:rsidR="00974A4B" w:rsidRPr="00F90EAE" w:rsidRDefault="00974A4B" w:rsidP="00F90EAE">
      <w:pPr>
        <w:jc w:val="both"/>
        <w:rPr>
          <w:color w:val="000000" w:themeColor="text1"/>
          <w:sz w:val="16"/>
          <w:szCs w:val="16"/>
        </w:rPr>
      </w:pPr>
    </w:p>
    <w:p w14:paraId="2B46B48B" w14:textId="77777777" w:rsidR="00576B22"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52890A8B" w14:textId="77777777" w:rsidR="00576B22" w:rsidRPr="00F90EAE" w:rsidRDefault="00576B22" w:rsidP="00F90EAE">
      <w:pPr>
        <w:autoSpaceDE w:val="0"/>
        <w:autoSpaceDN w:val="0"/>
        <w:adjustRightInd w:val="0"/>
        <w:jc w:val="both"/>
        <w:rPr>
          <w:iCs/>
          <w:color w:val="000000" w:themeColor="text1"/>
          <w:sz w:val="16"/>
          <w:szCs w:val="16"/>
        </w:rPr>
      </w:pPr>
    </w:p>
    <w:p w14:paraId="6E664C5D" w14:textId="77777777" w:rsidR="00576B22" w:rsidRPr="00F90EAE" w:rsidRDefault="00576B22" w:rsidP="00F90EAE">
      <w:pPr>
        <w:jc w:val="both"/>
        <w:rPr>
          <w:color w:val="000000" w:themeColor="text1"/>
          <w:sz w:val="16"/>
          <w:szCs w:val="16"/>
        </w:rPr>
      </w:pPr>
      <w:r w:rsidRPr="00F90EAE">
        <w:rPr>
          <w:bCs/>
          <w:color w:val="000000" w:themeColor="text1"/>
          <w:sz w:val="16"/>
          <w:szCs w:val="16"/>
        </w:rPr>
        <w:t>30 июня</w:t>
      </w:r>
      <w:r w:rsidRPr="00F90EAE">
        <w:rPr>
          <w:color w:val="000000" w:themeColor="text1"/>
          <w:sz w:val="16"/>
          <w:szCs w:val="16"/>
        </w:rPr>
        <w:t xml:space="preserve"> в 1945 году японское правительство предложило СССР экономическое сотрудничество, заявив, что «если Советскому Союзу нужен каучук, свинец, олово, вольфрам и другие материалы, то можно найти пути к получению этих материалов на острове Суматра и других островах Юга» (14938).</w:t>
      </w:r>
    </w:p>
    <w:p w14:paraId="658C6BC4" w14:textId="77777777" w:rsidR="00576B22" w:rsidRPr="00F90EAE" w:rsidRDefault="00576B22" w:rsidP="00F90EAE">
      <w:pPr>
        <w:jc w:val="both"/>
        <w:rPr>
          <w:color w:val="000000" w:themeColor="text1"/>
          <w:sz w:val="16"/>
          <w:szCs w:val="16"/>
        </w:rPr>
      </w:pPr>
    </w:p>
    <w:p w14:paraId="570F3244" w14:textId="77777777" w:rsidR="00576B22" w:rsidRPr="00F90EAE" w:rsidRDefault="00576B22" w:rsidP="00F90EAE">
      <w:pPr>
        <w:jc w:val="both"/>
        <w:rPr>
          <w:color w:val="000000" w:themeColor="text1"/>
          <w:sz w:val="16"/>
          <w:szCs w:val="16"/>
        </w:rPr>
      </w:pPr>
      <w:r w:rsidRPr="00F90EAE">
        <w:rPr>
          <w:bCs/>
          <w:color w:val="000000" w:themeColor="text1"/>
          <w:sz w:val="16"/>
          <w:szCs w:val="16"/>
        </w:rPr>
        <w:t>30 июня</w:t>
      </w:r>
      <w:r w:rsidRPr="00F90EAE">
        <w:rPr>
          <w:color w:val="000000" w:themeColor="text1"/>
          <w:sz w:val="16"/>
          <w:szCs w:val="16"/>
        </w:rPr>
        <w:t xml:space="preserve"> в 1945 году США и Великобритания отвели войска из ряда областей в центральной Германии, уступив СССР часть оккупационной зоны площадью около 45000 км2 с населением 7 млн.чел (14938).</w:t>
      </w:r>
    </w:p>
    <w:p w14:paraId="7D084267" w14:textId="77777777" w:rsidR="00576B22" w:rsidRPr="00F90EAE" w:rsidRDefault="00576B22" w:rsidP="00F90EAE">
      <w:pPr>
        <w:jc w:val="both"/>
        <w:rPr>
          <w:color w:val="000000" w:themeColor="text1"/>
          <w:sz w:val="16"/>
          <w:szCs w:val="16"/>
        </w:rPr>
      </w:pPr>
    </w:p>
    <w:p w14:paraId="40E8523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2BA7F2DC" w14:textId="77777777" w:rsidR="006103B3" w:rsidRPr="00F90EAE" w:rsidRDefault="006103B3" w:rsidP="00F90EAE">
      <w:pPr>
        <w:autoSpaceDE w:val="0"/>
        <w:autoSpaceDN w:val="0"/>
        <w:adjustRightInd w:val="0"/>
        <w:jc w:val="both"/>
        <w:rPr>
          <w:iCs/>
          <w:color w:val="000000" w:themeColor="text1"/>
          <w:sz w:val="16"/>
          <w:szCs w:val="16"/>
        </w:rPr>
      </w:pPr>
    </w:p>
    <w:p w14:paraId="68E52B01" w14:textId="77777777" w:rsidR="00F23D44" w:rsidRPr="00F90EAE" w:rsidRDefault="00F23D44" w:rsidP="00F90EAE">
      <w:pPr>
        <w:jc w:val="both"/>
        <w:rPr>
          <w:color w:val="0070C0"/>
          <w:sz w:val="16"/>
          <w:szCs w:val="16"/>
        </w:rPr>
      </w:pPr>
      <w:r w:rsidRPr="00F90EAE">
        <w:rPr>
          <w:color w:val="0070C0"/>
          <w:sz w:val="16"/>
          <w:szCs w:val="16"/>
        </w:rPr>
        <w:t>30 июня 1945 военный министр США Генри Л. Стимсон одобряет запрос ВВС США к компании Douglas Aircraft Company на разработку самолета, способного развивать постоянную скорость 2 Маха на высоте 30 000 футов (9 144 метра) и лететь в течение не менее 30 минут, а взлет и посадка осуществлять самостоятельно (20371).</w:t>
      </w:r>
    </w:p>
    <w:p w14:paraId="3AAFC484" w14:textId="77777777" w:rsidR="00F23D44" w:rsidRPr="00F90EAE" w:rsidRDefault="00F23D44" w:rsidP="00F90EAE">
      <w:pPr>
        <w:jc w:val="both"/>
        <w:rPr>
          <w:color w:val="0070C0"/>
          <w:sz w:val="16"/>
          <w:szCs w:val="16"/>
        </w:rPr>
      </w:pPr>
    </w:p>
    <w:p w14:paraId="651CAF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китайские войска вторглись в Индокитай (2248,8).</w:t>
      </w:r>
    </w:p>
    <w:p w14:paraId="188D2E56" w14:textId="77777777" w:rsidR="006103B3" w:rsidRPr="00F90EAE" w:rsidRDefault="006103B3" w:rsidP="00F90EAE">
      <w:pPr>
        <w:autoSpaceDE w:val="0"/>
        <w:autoSpaceDN w:val="0"/>
        <w:adjustRightInd w:val="0"/>
        <w:jc w:val="both"/>
        <w:rPr>
          <w:color w:val="000000" w:themeColor="text1"/>
          <w:sz w:val="16"/>
          <w:szCs w:val="16"/>
        </w:rPr>
      </w:pPr>
    </w:p>
    <w:p w14:paraId="7B375794" w14:textId="77777777" w:rsidR="006103B3" w:rsidRPr="00F90EAE" w:rsidRDefault="006103B3" w:rsidP="00F90EAE">
      <w:pPr>
        <w:autoSpaceDE w:val="0"/>
        <w:autoSpaceDN w:val="0"/>
        <w:adjustRightInd w:val="0"/>
        <w:jc w:val="both"/>
        <w:rPr>
          <w:color w:val="000000" w:themeColor="text1"/>
          <w:sz w:val="16"/>
          <w:szCs w:val="16"/>
          <w:lang w:val="en-US"/>
        </w:rPr>
      </w:pPr>
      <w:r w:rsidRPr="00F90EAE">
        <w:rPr>
          <w:color w:val="000000" w:themeColor="text1"/>
          <w:sz w:val="16"/>
          <w:szCs w:val="16"/>
          <w:lang w:val="en-US"/>
        </w:rPr>
        <w:t>June 30 1945 Battle on Okinawa ends (1287).</w:t>
      </w:r>
    </w:p>
    <w:p w14:paraId="1527CDC4" w14:textId="77777777" w:rsidR="006103B3" w:rsidRPr="00F90EAE" w:rsidRDefault="006103B3" w:rsidP="00F90EAE">
      <w:pPr>
        <w:autoSpaceDE w:val="0"/>
        <w:autoSpaceDN w:val="0"/>
        <w:adjustRightInd w:val="0"/>
        <w:jc w:val="both"/>
        <w:rPr>
          <w:color w:val="000000" w:themeColor="text1"/>
          <w:sz w:val="16"/>
          <w:szCs w:val="16"/>
          <w:lang w:val="en-US"/>
        </w:rPr>
      </w:pPr>
    </w:p>
    <w:p w14:paraId="330D9B9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30 июня 1945 закончилась битва на Окинаве (1287).</w:t>
      </w:r>
    </w:p>
    <w:p w14:paraId="2C15C878" w14:textId="77777777" w:rsidR="006103B3" w:rsidRPr="00F90EAE" w:rsidRDefault="006103B3" w:rsidP="00F90EAE">
      <w:pPr>
        <w:autoSpaceDE w:val="0"/>
        <w:autoSpaceDN w:val="0"/>
        <w:adjustRightInd w:val="0"/>
        <w:jc w:val="both"/>
        <w:rPr>
          <w:color w:val="000000" w:themeColor="text1"/>
          <w:sz w:val="16"/>
          <w:szCs w:val="16"/>
        </w:rPr>
      </w:pPr>
    </w:p>
    <w:p w14:paraId="5AB85F4F" w14:textId="77777777" w:rsidR="002A5DBF"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E2D50FC" w14:textId="77777777" w:rsidR="002A5DBF" w:rsidRPr="00F90EAE" w:rsidRDefault="002A5DBF" w:rsidP="00F90EAE">
      <w:pPr>
        <w:autoSpaceDE w:val="0"/>
        <w:autoSpaceDN w:val="0"/>
        <w:adjustRightInd w:val="0"/>
        <w:jc w:val="both"/>
        <w:rPr>
          <w:iCs/>
          <w:color w:val="000000" w:themeColor="text1"/>
          <w:sz w:val="16"/>
          <w:szCs w:val="16"/>
        </w:rPr>
      </w:pPr>
    </w:p>
    <w:p w14:paraId="5B88B3F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До конца июня месяца 1945 на Ил-16 (экз. №1), доработанном по результатам торсиографирования М-43, уда</w:t>
      </w:r>
      <w:r w:rsidRPr="00F90EAE">
        <w:rPr>
          <w:rFonts w:ascii="Times New Roman" w:hAnsi="Times New Roman" w:cs="Times New Roman"/>
          <w:color w:val="000000" w:themeColor="text1"/>
          <w:sz w:val="16"/>
          <w:szCs w:val="16"/>
        </w:rPr>
        <w:softHyphen/>
        <w:t>лось выполнить два испытательных по</w:t>
      </w:r>
      <w:r w:rsidRPr="00F90EAE">
        <w:rPr>
          <w:rFonts w:ascii="Times New Roman" w:hAnsi="Times New Roman" w:cs="Times New Roman"/>
          <w:color w:val="000000" w:themeColor="text1"/>
          <w:sz w:val="16"/>
          <w:szCs w:val="16"/>
        </w:rPr>
        <w:softHyphen/>
        <w:t>лета, из них второй полет - с уборкой и выпуском шасси. Летал шеф-пилот ОКБ-240 генерал-майор В.К. Коккинаки. Сильный реактивный момент от винта в сочетании с узкой колеей шасси создал значительные затруднения на взлете. В полете самолету недоставало про</w:t>
      </w:r>
      <w:r w:rsidRPr="00F90EAE">
        <w:rPr>
          <w:rFonts w:ascii="Times New Roman" w:hAnsi="Times New Roman" w:cs="Times New Roman"/>
          <w:color w:val="000000" w:themeColor="text1"/>
          <w:sz w:val="16"/>
          <w:szCs w:val="16"/>
        </w:rPr>
        <w:softHyphen/>
        <w:t>дольной устойчивости. Самолет сильно трясло, мотор дымил, недодавал мощ</w:t>
      </w:r>
      <w:r w:rsidRPr="00F90EAE">
        <w:rPr>
          <w:rFonts w:ascii="Times New Roman" w:hAnsi="Times New Roman" w:cs="Times New Roman"/>
          <w:color w:val="000000" w:themeColor="text1"/>
          <w:sz w:val="16"/>
          <w:szCs w:val="16"/>
        </w:rPr>
        <w:softHyphen/>
        <w:t>ности, в масле была стружка и т.д. По этим причинам приняли решение пере</w:t>
      </w:r>
      <w:r w:rsidRPr="00F90EAE">
        <w:rPr>
          <w:rFonts w:ascii="Times New Roman" w:hAnsi="Times New Roman" w:cs="Times New Roman"/>
          <w:color w:val="000000" w:themeColor="text1"/>
          <w:sz w:val="16"/>
          <w:szCs w:val="16"/>
        </w:rPr>
        <w:softHyphen/>
        <w:t>дать самолет на завод №240 для довод</w:t>
      </w:r>
      <w:r w:rsidRPr="00F90EAE">
        <w:rPr>
          <w:rFonts w:ascii="Times New Roman" w:hAnsi="Times New Roman" w:cs="Times New Roman"/>
          <w:color w:val="000000" w:themeColor="text1"/>
          <w:sz w:val="16"/>
          <w:szCs w:val="16"/>
        </w:rPr>
        <w:softHyphen/>
        <w:t>ки винтомоторной группы.</w:t>
      </w:r>
    </w:p>
    <w:p w14:paraId="266D7555"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К этому времени третий опытный эк</w:t>
      </w:r>
      <w:r w:rsidRPr="00F90EAE">
        <w:rPr>
          <w:rFonts w:ascii="Times New Roman" w:hAnsi="Times New Roman" w:cs="Times New Roman"/>
          <w:color w:val="000000" w:themeColor="text1"/>
          <w:sz w:val="16"/>
          <w:szCs w:val="16"/>
        </w:rPr>
        <w:softHyphen/>
        <w:t>земпляр самолета удовлетворительно прошел полный комплекс статических испытаний. В качестве главного недо</w:t>
      </w:r>
      <w:r w:rsidRPr="00F90EAE">
        <w:rPr>
          <w:rFonts w:ascii="Times New Roman" w:hAnsi="Times New Roman" w:cs="Times New Roman"/>
          <w:color w:val="000000" w:themeColor="text1"/>
          <w:sz w:val="16"/>
          <w:szCs w:val="16"/>
        </w:rPr>
        <w:softHyphen/>
        <w:t>статка отмечалась недостаточная проч</w:t>
      </w:r>
      <w:r w:rsidRPr="00F90EAE">
        <w:rPr>
          <w:rFonts w:ascii="Times New Roman" w:hAnsi="Times New Roman" w:cs="Times New Roman"/>
          <w:color w:val="000000" w:themeColor="text1"/>
          <w:sz w:val="16"/>
          <w:szCs w:val="16"/>
        </w:rPr>
        <w:softHyphen/>
        <w:t>ность заднего лонжерона центроплана между нервюрами 1-1, который сломал</w:t>
      </w:r>
      <w:r w:rsidRPr="00F90EAE">
        <w:rPr>
          <w:rFonts w:ascii="Times New Roman" w:hAnsi="Times New Roman" w:cs="Times New Roman"/>
          <w:color w:val="000000" w:themeColor="text1"/>
          <w:sz w:val="16"/>
          <w:szCs w:val="16"/>
        </w:rPr>
        <w:softHyphen/>
        <w:t>ся при 100% нагрузке.</w:t>
      </w:r>
    </w:p>
    <w:p w14:paraId="503B0CD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Второй летный экземпляр Ил-16 (экз. №2) перед испытаниями подвергся существенной переделке. Хвостовую часть фюзеляжа удлинили на 50 см. Уве</w:t>
      </w:r>
      <w:r w:rsidRPr="00F90EAE">
        <w:rPr>
          <w:rFonts w:ascii="Times New Roman" w:hAnsi="Times New Roman" w:cs="Times New Roman"/>
          <w:color w:val="000000" w:themeColor="text1"/>
          <w:sz w:val="16"/>
          <w:szCs w:val="16"/>
        </w:rPr>
        <w:softHyphen/>
        <w:t>личили высоту и площадь вертикально</w:t>
      </w:r>
      <w:r w:rsidRPr="00F90EAE">
        <w:rPr>
          <w:rFonts w:ascii="Times New Roman" w:hAnsi="Times New Roman" w:cs="Times New Roman"/>
          <w:color w:val="000000" w:themeColor="text1"/>
          <w:sz w:val="16"/>
          <w:szCs w:val="16"/>
        </w:rPr>
        <w:softHyphen/>
        <w:t>го оперения. Усилили задний лонжерон центроплана по результатам статиче</w:t>
      </w:r>
      <w:r w:rsidRPr="00F90EAE">
        <w:rPr>
          <w:rFonts w:ascii="Times New Roman" w:hAnsi="Times New Roman" w:cs="Times New Roman"/>
          <w:color w:val="000000" w:themeColor="text1"/>
          <w:sz w:val="16"/>
          <w:szCs w:val="16"/>
        </w:rPr>
        <w:softHyphen/>
        <w:t>ских испытаний. На руле направления поставили триммер. Одновременно улучшили систему амортизации мотора по рекомендации ЦИАМ, а также дове</w:t>
      </w:r>
      <w:r w:rsidRPr="00F90EAE">
        <w:rPr>
          <w:rFonts w:ascii="Times New Roman" w:hAnsi="Times New Roman" w:cs="Times New Roman"/>
          <w:color w:val="000000" w:themeColor="text1"/>
          <w:sz w:val="16"/>
          <w:szCs w:val="16"/>
        </w:rPr>
        <w:softHyphen/>
        <w:t>ли бомбовую нагрузку с 200 до 400 кг в нормальном варианте и с 400 до 500 кг в перегрузку.</w:t>
      </w:r>
    </w:p>
    <w:p w14:paraId="0468F246"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49230A32"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Несмотря на постоянные проблемы с мотором, испытательной бригаде все же удалось снять почти все основные летные данные Ил-16 (экз. №2).</w:t>
      </w:r>
    </w:p>
    <w:p w14:paraId="604B04CB"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r w:rsidRPr="00F90EAE">
        <w:rPr>
          <w:rFonts w:ascii="Times New Roman" w:hAnsi="Times New Roman" w:cs="Times New Roman"/>
          <w:color w:val="000000" w:themeColor="text1"/>
          <w:sz w:val="16"/>
          <w:szCs w:val="16"/>
        </w:rPr>
        <w:t>При полетном весе 5980 кг самолет показал скорость у земли - 525 км/ч, на высоте 3000 м - 575 км/ч. Дальность полета на высоте 500 м при скорости 373 км/ч с бомбовой нагрузкой 400 кг составила 700 км. Время подъема на высоту 4000 м - 6,0 мин, потолок - 8500 м, посадочная скорость - 145 км/ч, разбег - 400 м (17469).</w:t>
      </w:r>
    </w:p>
    <w:p w14:paraId="3903B76A" w14:textId="77777777" w:rsidR="005F32F4" w:rsidRPr="00F90EAE" w:rsidRDefault="005F32F4" w:rsidP="00F90EA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5EA024EA"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 xml:space="preserve">До конца июня месяца 1945 после небольших доработок на Ил-16 (экз. № 1) удалось выполнить два испытательных полета, из них второй полет - с уборкой и выпуском шасси. Летал шеф-пилот ОКБ-240 генерал-майор В. К. Коккинаки. Сильный реактивный момент от винта в сочетании с узкой колеей шасси создал значительные </w:t>
      </w:r>
      <w:r w:rsidRPr="00F90EAE">
        <w:rPr>
          <w:rStyle w:val="107"/>
          <w:rFonts w:eastAsiaTheme="minorHAnsi"/>
          <w:color w:val="000000" w:themeColor="text1"/>
          <w:sz w:val="16"/>
          <w:szCs w:val="16"/>
        </w:rPr>
        <w:lastRenderedPageBreak/>
        <w:t>затруднения на взлете. В полете самолету недоставало продольной устойчивости. Самолет сильно трясло, мотор дымил, недодавал мощности, в масле была стружка и т. д. По этим причинам приняли решение передать самолет на завод № 240 для доводки винтомоторной группы.</w:t>
      </w:r>
    </w:p>
    <w:p w14:paraId="40B502D1"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К этому времени второй опытный экземпляр самолета удовлетворительно прошел полный комплекс статических испытаний. В качестве главного недостатка отмечалась недостаточная прочность заднего лонжерона центроплана между нервюрами 1-1, который сломался при 100 %-ной нагрузке.</w:t>
      </w:r>
    </w:p>
    <w:p w14:paraId="7B39F5A5"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Третий опытный экземпляр Ил-16 (экз. № 3) перед испытаниями подвергся существенной переделке. Хвостовую часть фюзеляжа удлинили на 50 см. Увеличили высоту и площадь вертикального оперения. Усилили задний лонжерон центроплана по результатам статических испытаний. На руле направления поставили триммер. Одновременно улучшили систему амортизации мотора по рекомендации ЦИАМ, а также довели бомбовую нагрузку с 200 до 400 кг в нормальном варианте и с 400 до 500 кг в перегрузку.</w:t>
      </w:r>
    </w:p>
    <w:p w14:paraId="7991C674"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Полеты показали, что продольная устойчивость самолета повысилась, тряска несколько уменьшилась. Однако мотор работал ненадежно.</w:t>
      </w:r>
    </w:p>
    <w:p w14:paraId="687758BC"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Несмотря на постоянные проблемы с мотором, испытательной бригаде все же удалось снять почти все основные летные данные Ил-16 (экз. № 3).</w:t>
      </w:r>
    </w:p>
    <w:p w14:paraId="4594033B"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При полетном весе 5980 кг самолет показал скорость у земли 525 км/ч, на высоте 3000 м - 575 км/ч. Дальность полета на высоте 500 м при скорости 373 км/ч с бомбовой нагрузкой 400 кг составила 700 км. Время подъема на высоту 4000 м - 6 мин, потолок - 8500 м, посадочная скорость - 145 км/ч, разбег - 400 м.</w:t>
      </w:r>
    </w:p>
    <w:p w14:paraId="5A4CCD97" w14:textId="77777777" w:rsidR="00A30E3B" w:rsidRPr="00F90EAE" w:rsidRDefault="00A30E3B"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Еще в период испытаний распоряжением начальника 10-го главного управления НКАП Н И. Кузнецова без согласования с ВВС на заводе № 30 начали строить малую серию Ил-16 из 25 экземпляров. Срок завершения этой работы не устанавливался (17490).</w:t>
      </w:r>
    </w:p>
    <w:p w14:paraId="4F780DEB" w14:textId="77777777" w:rsidR="00A30E3B" w:rsidRPr="00F90EAE" w:rsidRDefault="00A30E3B" w:rsidP="00F90EAE">
      <w:pPr>
        <w:jc w:val="both"/>
        <w:rPr>
          <w:rStyle w:val="107"/>
          <w:rFonts w:eastAsiaTheme="minorHAnsi"/>
          <w:color w:val="000000" w:themeColor="text1"/>
          <w:sz w:val="16"/>
          <w:szCs w:val="16"/>
        </w:rPr>
      </w:pPr>
    </w:p>
    <w:p w14:paraId="4BBAD812" w14:textId="77777777" w:rsidR="002A5DBF" w:rsidRPr="00F90EAE" w:rsidRDefault="002A5DBF" w:rsidP="00F90EAE">
      <w:pPr>
        <w:pStyle w:val="36"/>
        <w:shd w:val="clear" w:color="auto" w:fill="auto"/>
        <w:spacing w:after="0" w:line="240" w:lineRule="auto"/>
        <w:jc w:val="both"/>
        <w:rPr>
          <w:rFonts w:ascii="Times New Roman" w:cs="Times New Roman"/>
          <w:color w:val="000000" w:themeColor="text1"/>
          <w:spacing w:val="0"/>
          <w:sz w:val="16"/>
          <w:szCs w:val="16"/>
        </w:rPr>
      </w:pPr>
      <w:r w:rsidRPr="00F90EAE">
        <w:rPr>
          <w:rFonts w:ascii="Times New Roman" w:cs="Times New Roman"/>
          <w:color w:val="000000" w:themeColor="text1"/>
          <w:spacing w:val="0"/>
          <w:sz w:val="16"/>
          <w:szCs w:val="16"/>
        </w:rPr>
        <w:t>В конце июня 1945 нарком авиапромышленности А.И. Шахурин обра</w:t>
      </w:r>
      <w:r w:rsidRPr="00F90EAE">
        <w:rPr>
          <w:rFonts w:ascii="Times New Roman" w:cs="Times New Roman"/>
          <w:color w:val="000000" w:themeColor="text1"/>
          <w:spacing w:val="0"/>
          <w:sz w:val="16"/>
          <w:szCs w:val="16"/>
        </w:rPr>
        <w:softHyphen/>
        <w:t>тился в ЦК ВКП(б) с идеей об использовании немецких специалистов. Окончательный демонтаж опытных заводов, институтов и КБ приостановили. Начались поиски работав</w:t>
      </w:r>
      <w:r w:rsidRPr="00F90EAE">
        <w:rPr>
          <w:rFonts w:ascii="Times New Roman" w:cs="Times New Roman"/>
          <w:color w:val="000000" w:themeColor="text1"/>
          <w:spacing w:val="0"/>
          <w:sz w:val="16"/>
          <w:szCs w:val="16"/>
        </w:rPr>
        <w:softHyphen/>
        <w:t>ших там сотрудников. Определялись темы, которыми могли бы заниматься немецкие специалисты. Естественно, в первую очередь это стали двигатели. С самолётной тема</w:t>
      </w:r>
      <w:r w:rsidRPr="00F90EAE">
        <w:rPr>
          <w:rFonts w:ascii="Times New Roman" w:cs="Times New Roman"/>
          <w:color w:val="000000" w:themeColor="text1"/>
          <w:spacing w:val="0"/>
          <w:sz w:val="16"/>
          <w:szCs w:val="16"/>
        </w:rPr>
        <w:softHyphen/>
        <w:t>тикой оказалось сложнее, но и здесь вырисовывались ведущие направления (15791).</w:t>
      </w:r>
    </w:p>
    <w:p w14:paraId="5A00135D" w14:textId="77777777" w:rsidR="002A5DBF" w:rsidRPr="00F90EAE" w:rsidRDefault="002A5DBF" w:rsidP="00F90EAE">
      <w:pPr>
        <w:pStyle w:val="36"/>
        <w:shd w:val="clear" w:color="auto" w:fill="auto"/>
        <w:spacing w:after="0" w:line="240" w:lineRule="auto"/>
        <w:jc w:val="both"/>
        <w:rPr>
          <w:rFonts w:ascii="Times New Roman" w:cs="Times New Roman"/>
          <w:color w:val="000000" w:themeColor="text1"/>
          <w:spacing w:val="0"/>
          <w:sz w:val="16"/>
          <w:szCs w:val="16"/>
        </w:rPr>
      </w:pPr>
    </w:p>
    <w:p w14:paraId="4FF3B50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5375542A" w14:textId="77777777" w:rsidR="006103B3" w:rsidRPr="00F90EAE" w:rsidRDefault="006103B3" w:rsidP="00F90EAE">
      <w:pPr>
        <w:autoSpaceDE w:val="0"/>
        <w:autoSpaceDN w:val="0"/>
        <w:adjustRightInd w:val="0"/>
        <w:jc w:val="both"/>
        <w:rPr>
          <w:iCs/>
          <w:color w:val="000000" w:themeColor="text1"/>
          <w:sz w:val="16"/>
          <w:szCs w:val="16"/>
        </w:rPr>
      </w:pPr>
    </w:p>
    <w:p w14:paraId="572AC2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июня 1945 дивизии Ту-2 получили приказ перебазироваться на новые места. С 1 июля самолеты отправились на восток. Так, 113-я дивизия перелетела из Познани в Монголию, покрыв расстояние около 10 000 км с восемью промежуточными посадками. 6-й бап 1 июля был в Польше, 2 июля - в подмосковной Кубинке, 10-го - в Новосибирске. 17 июля самолеты остановились в Баде, в Забайкалье. Оттуда полк с полным запасом горючего и боекомплектом 5 августа перелетел на "точку №5" в Монголии. Ее прозвали "пятой точкой". Почему? Это был огромный кусок ровной степи с некоторым количеством палаток. Больше ничего не имелось. Поэтому и везли и горючее, и бомбы, и патроны "на себе". В подобных условиях на полевых площадках располагались и другие полки.</w:t>
      </w:r>
    </w:p>
    <w:p w14:paraId="1E632A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132-й бап оказался на аэродроме Домна в Забайкалье. Оттуда с 16 июля его самолеты начали летать на разведку позиций японцев.</w:t>
      </w:r>
    </w:p>
    <w:p w14:paraId="5D6984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 трем дивизиям Ту-2, успевшим принять участие в войне с Германией, добавили еще одну, 179-ю, полки которой прошли переучивание при 27-м запасном полку в Московском военном округе весной 1945 г. и на советско-германский фронт уже не попали. Так, 10-й гв. бап был отозван с передовой в апреле 1945 г. Когда переподготовка завершилась, немцы к тому времени капитулировали. Аналогичный путь прошел 114-й гв. бап, отведенный с Карельского фронта в Подмосковье еще раньше, в декабре 1944 г. Третьим полком дивизии стал 860-й, перебравшийся в тыл примерно в это же время. Все три части ранее летали на американских бомбардировщиках A-20G.</w:t>
      </w:r>
    </w:p>
    <w:p w14:paraId="33FD64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Четыре дивизии Ту-2 свели в два корпуса. В 6-й корпус вошли 326-я и 334-я бад, в 7-й - 113-я и 179-я. Оба корпуса включили в состав 12-й воздушной армии, поддерживавшей действия Забайкальского фронта (11988).</w:t>
      </w:r>
    </w:p>
    <w:p w14:paraId="1B0990FC" w14:textId="77777777" w:rsidR="006103B3" w:rsidRPr="00F90EAE" w:rsidRDefault="006103B3" w:rsidP="00F90EAE">
      <w:pPr>
        <w:autoSpaceDE w:val="0"/>
        <w:autoSpaceDN w:val="0"/>
        <w:adjustRightInd w:val="0"/>
        <w:jc w:val="both"/>
        <w:rPr>
          <w:color w:val="000000" w:themeColor="text1"/>
          <w:sz w:val="16"/>
          <w:szCs w:val="16"/>
        </w:rPr>
      </w:pPr>
    </w:p>
    <w:p w14:paraId="590BE4F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385CCF1F" w14:textId="77777777" w:rsidR="006103B3" w:rsidRPr="00F90EAE" w:rsidRDefault="006103B3" w:rsidP="00F90EAE">
      <w:pPr>
        <w:autoSpaceDE w:val="0"/>
        <w:autoSpaceDN w:val="0"/>
        <w:adjustRightInd w:val="0"/>
        <w:jc w:val="both"/>
        <w:rPr>
          <w:iCs/>
          <w:color w:val="000000" w:themeColor="text1"/>
          <w:sz w:val="16"/>
          <w:szCs w:val="16"/>
        </w:rPr>
      </w:pPr>
    </w:p>
    <w:p w14:paraId="5B82B2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июня - начале июля 1945 согласно Крымским договоренностям была изменена демаркационная линя оккупационных зон Германии и в нашу зону попали Саксония, Тюрингия и кое-что еще. В советской зоне было 600 авиапредприятий и организаций, включая 213 основных, в т.ч. 57 Юнкерса, 38 Арадо, 18 Хейнкель, 7 Фокке-Вульф, 6 Зибель, 5 Дорнье, 11 БМВ, 4 Даймлер-Бенц, 5 АЕГ, 7 Сименс, 3 Цейс, 2 Аскания (1795,58).</w:t>
      </w:r>
    </w:p>
    <w:p w14:paraId="40141FD3" w14:textId="77777777" w:rsidR="006103B3" w:rsidRPr="00F90EAE" w:rsidRDefault="006103B3" w:rsidP="00F90EAE">
      <w:pPr>
        <w:autoSpaceDE w:val="0"/>
        <w:autoSpaceDN w:val="0"/>
        <w:adjustRightInd w:val="0"/>
        <w:jc w:val="both"/>
        <w:rPr>
          <w:color w:val="000000" w:themeColor="text1"/>
          <w:sz w:val="16"/>
          <w:szCs w:val="16"/>
        </w:rPr>
      </w:pPr>
    </w:p>
    <w:p w14:paraId="5F15B83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5F482822" w14:textId="77777777" w:rsidR="006103B3" w:rsidRPr="00F90EAE" w:rsidRDefault="006103B3" w:rsidP="00F90EAE">
      <w:pPr>
        <w:autoSpaceDE w:val="0"/>
        <w:autoSpaceDN w:val="0"/>
        <w:adjustRightInd w:val="0"/>
        <w:jc w:val="both"/>
        <w:rPr>
          <w:iCs/>
          <w:color w:val="000000" w:themeColor="text1"/>
          <w:sz w:val="16"/>
          <w:szCs w:val="16"/>
        </w:rPr>
      </w:pPr>
    </w:p>
    <w:p w14:paraId="6E38959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июня 1945 г. заводы № 1 и № 18 перешли на выпуск только нового штурмовика Ил-10 (ГАСО. Ф. Р-3454. Оп. 1. Д. 54. Л. 1-2.) (11714).</w:t>
      </w:r>
    </w:p>
    <w:p w14:paraId="0BD08C25" w14:textId="77777777" w:rsidR="006103B3" w:rsidRPr="00F90EAE" w:rsidRDefault="006103B3" w:rsidP="00F90EAE">
      <w:pPr>
        <w:autoSpaceDE w:val="0"/>
        <w:autoSpaceDN w:val="0"/>
        <w:adjustRightInd w:val="0"/>
        <w:jc w:val="both"/>
        <w:rPr>
          <w:color w:val="000000" w:themeColor="text1"/>
          <w:sz w:val="16"/>
          <w:szCs w:val="16"/>
        </w:rPr>
      </w:pPr>
    </w:p>
    <w:p w14:paraId="5A9D0E5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приступили к летным испытаниям первого Ил-16, строительство которого в 3-х экз. вели на 30 заводе и первый закончили к концу мая 1945. Вследствие того, что мотор М-43 был не доведен ГК С.В.И. дальнейшее испытание Ил-16 прекратил и рекомендацию о запуске его в серию снял (2490).</w:t>
      </w:r>
    </w:p>
    <w:p w14:paraId="563B90C5" w14:textId="77777777" w:rsidR="006103B3" w:rsidRPr="00F90EAE" w:rsidRDefault="006103B3" w:rsidP="00F90EAE">
      <w:pPr>
        <w:autoSpaceDE w:val="0"/>
        <w:autoSpaceDN w:val="0"/>
        <w:adjustRightInd w:val="0"/>
        <w:jc w:val="both"/>
        <w:rPr>
          <w:color w:val="000000" w:themeColor="text1"/>
          <w:sz w:val="16"/>
          <w:szCs w:val="16"/>
        </w:rPr>
      </w:pPr>
    </w:p>
    <w:p w14:paraId="462DB0C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1945 г. в НИИ ВВС испытывали паровую отопительную установку, сконструированную инжене</w:t>
      </w:r>
      <w:r w:rsidRPr="00F90EAE">
        <w:rPr>
          <w:color w:val="000000" w:themeColor="text1"/>
          <w:sz w:val="16"/>
          <w:szCs w:val="16"/>
        </w:rPr>
        <w:softHyphen/>
        <w:t>ром Усачевым в 5-й лаборатории ЛИИ. Вода нагревалась в кожухе пламегаси</w:t>
      </w:r>
      <w:r w:rsidRPr="00F90EAE">
        <w:rPr>
          <w:color w:val="000000" w:themeColor="text1"/>
          <w:sz w:val="16"/>
          <w:szCs w:val="16"/>
        </w:rPr>
        <w:softHyphen/>
        <w:t>теля и в виде пара шла в радиаторы. Но испытания провалились — через 12 ча</w:t>
      </w:r>
      <w:r w:rsidRPr="00F90EAE">
        <w:rPr>
          <w:color w:val="000000" w:themeColor="text1"/>
          <w:sz w:val="16"/>
          <w:szCs w:val="16"/>
        </w:rPr>
        <w:softHyphen/>
        <w:t>сов работы котел лопнул. Более отоп</w:t>
      </w:r>
      <w:r w:rsidRPr="00F90EAE">
        <w:rPr>
          <w:color w:val="000000" w:themeColor="text1"/>
          <w:sz w:val="16"/>
          <w:szCs w:val="16"/>
        </w:rPr>
        <w:softHyphen/>
        <w:t>лением на Ил-4 не занимались (10734,82).</w:t>
      </w:r>
    </w:p>
    <w:p w14:paraId="61E2B82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1BE7F9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(12021).</w:t>
      </w:r>
    </w:p>
    <w:p w14:paraId="14308C49" w14:textId="77777777" w:rsidR="006103B3" w:rsidRPr="00F90EAE" w:rsidRDefault="006103B3" w:rsidP="00F90EAE">
      <w:pPr>
        <w:autoSpaceDE w:val="0"/>
        <w:autoSpaceDN w:val="0"/>
        <w:adjustRightInd w:val="0"/>
        <w:jc w:val="both"/>
        <w:rPr>
          <w:color w:val="000000" w:themeColor="text1"/>
          <w:sz w:val="16"/>
          <w:szCs w:val="16"/>
        </w:rPr>
      </w:pPr>
    </w:p>
    <w:p w14:paraId="25827F3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закончились гос. испытания ДБ-108 ВМ-16 и был закончен ВМ-17, но полных испытаний не проходил как и ВМ-18 (336).</w:t>
      </w:r>
    </w:p>
    <w:p w14:paraId="1A586C9B" w14:textId="77777777" w:rsidR="006103B3" w:rsidRPr="00F90EAE" w:rsidRDefault="006103B3" w:rsidP="00F90EAE">
      <w:pPr>
        <w:autoSpaceDE w:val="0"/>
        <w:autoSpaceDN w:val="0"/>
        <w:adjustRightInd w:val="0"/>
        <w:jc w:val="both"/>
        <w:rPr>
          <w:color w:val="000000" w:themeColor="text1"/>
          <w:sz w:val="16"/>
          <w:szCs w:val="16"/>
        </w:rPr>
      </w:pPr>
    </w:p>
    <w:p w14:paraId="4D4B2C2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в НИИ ВВС испытывали паровую отопительную установку для Ил-4, сконструированную инженером Усачевым в 5-й лаборатории ЛИИ. Вода нагревалась в кожухе пламегасителя и в виде пара шла в радиаторы. Но испытания провалились - через 12 часов работы котел лопнул. Более отоплением на Ил-4 не занимались (7666).</w:t>
      </w:r>
    </w:p>
    <w:p w14:paraId="57EAD18D" w14:textId="77777777" w:rsidR="006103B3" w:rsidRPr="00F90EAE" w:rsidRDefault="006103B3" w:rsidP="00F90EAE">
      <w:pPr>
        <w:autoSpaceDE w:val="0"/>
        <w:autoSpaceDN w:val="0"/>
        <w:adjustRightInd w:val="0"/>
        <w:jc w:val="both"/>
        <w:rPr>
          <w:color w:val="000000" w:themeColor="text1"/>
          <w:sz w:val="16"/>
          <w:szCs w:val="16"/>
        </w:rPr>
      </w:pPr>
    </w:p>
    <w:p w14:paraId="6675FD3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головной серийный самолет Пе-2М (зав. № 1/1002) был передан в НИИ ВВС для проведения государственных испытаний с участием закрепленных за “пешками” специалистов: ведущего инженера инженер-подполковника Грибакина и ведущего летчика подполковника Хрипкова.</w:t>
      </w:r>
    </w:p>
    <w:p w14:paraId="577F1B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ходе испытаний Хрипков получил на второй границе высотности максимальную скорость 630 км/ч. Время набора высоты 5000 м увеличилось на 1,8 мин по сравнению с Пе-2И, а дальность полета уменьшилась на 225 км. Такова была плата за усиленное оборонительное вооружение. Кстати сказать, Джеффри Де Хевилленд и его “правая рука” Уолкер оценивали потерю скорости “Москито” В.IV в случае введения подвижных стрелковых установок величиной порядка 48 км/ч, вдвое больше той, которую заплатили конструкторы ОКО-22.</w:t>
      </w:r>
    </w:p>
    <w:p w14:paraId="423C36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связи с введением третьего члена экипажа, увеличением массы бронирования и вооружения Пе-2М оказался заметно тяжелее предшественника и перестал соответствовать нормам прочности по ряду показателей. Стойки шасси и колеса уже “не держали” двенадцатитонную машину. Усложнилось покидание самолета в воздухе, поскольку установка ВУ-5-20 серьезно мешала сбросу фонаря. По-прежнему досаждали дефекты моторов ВК-107А. Они нарабатывали по 47-54 ч в воздухе, после чего с завидной регулярностью принимались “стрелять шатунами”. Течи водяных и маслора-диаторов, а также различных уплотнений считались почти нормальным явлением. Отмечались другие отказы, в том числе и у новых подвижных установок вооружения. Механизированные пушечные установки получились тяжелыми, инертными и плохо управляемыми. К моменту окончания госиспытаний Пе-2М “на самом верху” уже было принято принципиальное решение о прекращении производства всех вариантов “пешек”. Поэтому заключение акта по испытаниям имело уклончивый характер:</w:t>
      </w:r>
    </w:p>
    <w:p w14:paraId="1B079D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Предъявленный на государственные испытания дневной бомбардировщик Пе-2М с 2ВК-107А по летно-техническим данным отвечает современным требованиям к данному типу самолетов...</w:t>
      </w:r>
    </w:p>
    <w:p w14:paraId="0E2271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 В связи с большим количеством дефектов, выявленных в процессе испытаний и перечисленных в выводах настоящего акта, самолет испытания не выдержал и подлежит возвращению главному конструктору тов. Мясищеву В.М. для доводки и устранения дефектов...” (4476).</w:t>
      </w:r>
    </w:p>
    <w:p w14:paraId="5A753F6F" w14:textId="77777777" w:rsidR="006103B3" w:rsidRPr="00F90EAE" w:rsidRDefault="006103B3" w:rsidP="00F90EAE">
      <w:pPr>
        <w:autoSpaceDE w:val="0"/>
        <w:autoSpaceDN w:val="0"/>
        <w:adjustRightInd w:val="0"/>
        <w:jc w:val="both"/>
        <w:rPr>
          <w:color w:val="000000" w:themeColor="text1"/>
          <w:sz w:val="16"/>
          <w:szCs w:val="16"/>
        </w:rPr>
      </w:pPr>
    </w:p>
    <w:p w14:paraId="5F0F5D5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в соответствии с постановлением ГКО завод № 22 прекратил выпуск боевых вариантов Пе-2 и полностью перешел на производство УПе-2, начиная с машины № 5/492 (4476).</w:t>
      </w:r>
    </w:p>
    <w:p w14:paraId="6B7DA308" w14:textId="77777777" w:rsidR="006103B3" w:rsidRPr="00F90EAE" w:rsidRDefault="006103B3" w:rsidP="00F90EAE">
      <w:pPr>
        <w:autoSpaceDE w:val="0"/>
        <w:autoSpaceDN w:val="0"/>
        <w:adjustRightInd w:val="0"/>
        <w:jc w:val="both"/>
        <w:rPr>
          <w:color w:val="000000" w:themeColor="text1"/>
          <w:sz w:val="16"/>
          <w:szCs w:val="16"/>
        </w:rPr>
      </w:pPr>
    </w:p>
    <w:p w14:paraId="4DE459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июне 1945 г. последовало решение о прекращении всех работ по боевым вариантам Пе-2 и их серийного производства. Завод № 22 с 492-й серии продолжал выпускать только учебные УПе-2. Их производство продолжалось до декабря 1945 г. За год изготовили 1634 "пешки", в том числе 232 после войны. Всего за 1940-1945 гг. по официальным данным было выпущено 11070 бомбардировщиков, разведчиков и учебных Пе-2, из которых ВВС приняли 10574 самолета, в том числе пять Пе-2И. Из этого количества основную долю - 10058 машин - построил завод № 22, 764 - завод № 39, 104 - завод № 124 и 144 - завод № 125 (3542).</w:t>
      </w:r>
    </w:p>
    <w:p w14:paraId="4C4962A1" w14:textId="77777777" w:rsidR="006103B3" w:rsidRPr="00F90EAE" w:rsidRDefault="006103B3" w:rsidP="00F90EAE">
      <w:pPr>
        <w:autoSpaceDE w:val="0"/>
        <w:autoSpaceDN w:val="0"/>
        <w:adjustRightInd w:val="0"/>
        <w:jc w:val="both"/>
        <w:rPr>
          <w:color w:val="000000" w:themeColor="text1"/>
          <w:sz w:val="16"/>
          <w:szCs w:val="16"/>
        </w:rPr>
      </w:pPr>
    </w:p>
    <w:p w14:paraId="365995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в соответствии с постановлением ГКО завод № 22 прекратил выпуск боевых вариантов Пе-2 и, начиная с машины № 5/492, полностью перешел на производство УПе-2.</w:t>
      </w:r>
    </w:p>
    <w:p w14:paraId="25B60B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Вплоть до конца 1944 г. машина выпускалась без изменений. Но улучшение ситуации на фронте позволило, поступившись объемом выпуска боевых пикировщиков, поставить перед НКАП и заводом № 22 задачу существенной модификации УПе-2. Специалисты ВВС потребовали облегчить самолет путем снятия протекторов бензобаков, переднего пулемета ШКАС с боезапасом и бронирования кабин экипажа. Следовало радикально улучшить обзор из кабины инструктора, сдвинув ее максимально вперед и заменив фанерный обтекатель основной кабины прозрачным плексигласовым. Планировалось также обеспечить инструктора полным комплектом приборов и органов управления, причем ряд из них он должен был иметь возможность переключить только "на себя" во избежание ошибок на начальных этапах обучения. Предусматривалось некоторое увеличение запаса горючего. Все эти условия нашли отражение в тактико-технических требованиях к самолету УПе-2 на 1945 г. Самолет этой модификации предназначался не только для переучивания, тренировки и проверки техники пилотирования в запасных полках и строевых частях ВВС, но и для обучения в летных школах на ранних этапах подготовки пилотов.</w:t>
      </w:r>
    </w:p>
    <w:p w14:paraId="53D1BFD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Однако НКАП и ОКО-22 не спешили удовлетворять требования военных. В итоге выпускавшийся серийно в 1945 г. УПе-2 отличался от машины № 10/231 только маркой моторов (ВК-105ПФ), индивидуальными выхлопными патрубками, измененной формой тоннелей водяных и маслорадиаторов, переносом мачты антенны на козырек фонаря кабины и рядом других изменений, характерных для боевых Пе-2 соответствующего периода. Правда, на нескольких УПе-2 сделали прозрачный обтекатель фонаря кабины летчика и штурмана, увеличили остекление в носовой части Ф-1 и сняли бронирование с места стрелка. Унаследованный от боевых Пе-2 атавизм - броня кресел пилота и штурмана, абсолютно ненужная на учебных машинах, сохранилась, как и протекторы бензобаков, система нейтрального газа и ряд других элементов.</w:t>
      </w:r>
    </w:p>
    <w:p w14:paraId="30B9931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августе 1945 г. в НИИ ВВС прошел испытания серийный самолет № 20/501 послевоенного выпуска. Полученные в ходе испытаний летные данные самолета № 20/501 почти не отличались от данных УПе-2 № 10/231: максимальная скорость у земли - 452 км/ч, на высоте 3900 м - 512 км/ч при нормальной полетной массе 7000-7200 кг в зависимости от численности экипажа. После проведения контрольных испытаний началось постепенное свертывание производства УПе-2, которое практически прекратилось к декабрю 1945 г., хотя самолеты УПе-2 еще долго летали в учебных частях вместе с УТБ, созданным на базе Ту-2. Всего построили 671 учебно-тре- нировочный Пе-2. На них прошли обучение 6000-7000 экипажей ближних бомбардировщиков, в определенной мере решивших судьбу войны (12042).</w:t>
      </w:r>
    </w:p>
    <w:p w14:paraId="5A4BC598" w14:textId="77777777" w:rsidR="006103B3" w:rsidRPr="00F90EAE" w:rsidRDefault="006103B3" w:rsidP="00F90EAE">
      <w:pPr>
        <w:autoSpaceDE w:val="0"/>
        <w:autoSpaceDN w:val="0"/>
        <w:adjustRightInd w:val="0"/>
        <w:jc w:val="both"/>
        <w:rPr>
          <w:color w:val="000000" w:themeColor="text1"/>
          <w:sz w:val="16"/>
          <w:szCs w:val="16"/>
        </w:rPr>
      </w:pPr>
    </w:p>
    <w:p w14:paraId="27E850E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И.В.С. закрыл работы А.Н.Т. по проектам 64 и В.М.М. ДВБ-302 (1645,47).</w:t>
      </w:r>
    </w:p>
    <w:p w14:paraId="167585D7" w14:textId="77777777" w:rsidR="006103B3" w:rsidRPr="00F90EAE" w:rsidRDefault="006103B3" w:rsidP="00F90EAE">
      <w:pPr>
        <w:autoSpaceDE w:val="0"/>
        <w:autoSpaceDN w:val="0"/>
        <w:adjustRightInd w:val="0"/>
        <w:jc w:val="both"/>
        <w:rPr>
          <w:color w:val="000000" w:themeColor="text1"/>
          <w:sz w:val="16"/>
          <w:szCs w:val="16"/>
        </w:rPr>
      </w:pPr>
    </w:p>
    <w:p w14:paraId="359C58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года задание на разработку учебно-тренировочного бомбардировщика первоначального обучения получило ОКБ, возглавлявшееся П.О. Сухим. В соответствии с тематическим планом МАП на 1946 год требовалось создать учебно-тренировочный бомбардировщик (УТБ) со скоростью не менее 375 км/ч на высоте 2000 метров, способный набирать 3000 метров за 11 минут, иметь практический потолок 6000 метров и дальность 800 км при посадочной скорости не более 125 км/ч.</w:t>
      </w:r>
    </w:p>
    <w:p w14:paraId="4A00016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Самолет должен был поднимать 200 кг бомб, а в перегрузку - 400 кг. Хотя машина рассчитывалась на экипаж из трех человек, на борту предусмотрели четыре рабочих места: двух пилотов, штурмана и стрелка- радиста.</w:t>
      </w:r>
    </w:p>
    <w:p w14:paraId="7D43D1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основу УТБ положили все тот же проверенный Ту-2. В соответствии с заданием полностью переделали носовую часть фюзеляжа, разместив курсанта и инструктора в ряд. Из-за этого фюзеляж получил специфическую форму головастика. Грузовой отсек заделали, разместив бомбы на наружной подвеске. В связи со значительно меньшим взлетным весом, по сравнению с Ту-2, облегчили шасси.</w:t>
      </w:r>
    </w:p>
    <w:p w14:paraId="2DDAFE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Двигатели заменили менее мощными AШ с карбюратором (однорядная звезда воздушного охлаждения с приводным центробежным нагнетателем, создан на базе АШ-82ФН) взлетной мощностью 700 л.с. Ведь УТБ не требовались большие скорость и грузоподъемность, зато появилась возможность снизить эксплуатационные расходы. Доработали топливную и масляную системы. Были и другие, более мелкие изменения, связанные с новым функциональным назначением машины.</w:t>
      </w:r>
    </w:p>
    <w:p w14:paraId="455C5B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Для подготовки воздушных стрелков и штурманов предусмотрели верхнюю ограниченно подвижную стрелковую установку с фотопулеметом ПАУ-22 и пулеметом УБТ калибра 12,7 мм (боезапас 60 патронов), "защищавшую" задний сектор верхней полусферы. Для отработки упражнений, связанных со "стрельбой" вперед, имелся еще один ПАУ-22.</w:t>
      </w:r>
    </w:p>
    <w:p w14:paraId="032EF5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Первую опытную машину переделали из серийного Ту-2С. Заводские испытания (ведущий летчик Н.Д. Фиксон), завершившиеся в июне 1946 года, показали, что самолет по основным данным почти соответствует заданию. Исключение составили лишь максимальная скорость (меньше на 3 км/ч) и завышенная на 10 км/ч посадочная скорость. Подвеску под крылом ограничили двумя бомбами по 100 кг или четырьмя по 50 км. </w:t>
      </w:r>
    </w:p>
    <w:p w14:paraId="3B9490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Этого было вполне достаточно для обучения курсантов.</w:t>
      </w:r>
    </w:p>
    <w:p w14:paraId="4D7262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Видимо недостаточными оказались запасы путевой и продольной устойчивости, из- за чего на первой серийной машине завода № 381 удлинили носовую часть фюзеляжа на 300 мм, а моторы сместили вперед на 100 мм. Доработали маслосистему, перенеся маслобаки в отсеки между моторами и противопожарными перегородками. Одновременно двухлопастные винты ВИШ-111В-36 заменили на ВИШ-111В-38 диаметром, возросшим до 3,45 метров. В итоге задняя центровка не превышала 32,3% средней аэродинамической хорды.</w:t>
      </w:r>
    </w:p>
    <w:p w14:paraId="383114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таком виде машина прошла в мае заводские, а в октябре 1947 года - госиспытания. По мнению летчиков-испытателей самолет отличался хорошей устойчивостью и управляемостью, мог совершать горизонтальный полет на одном двигателе.</w:t>
      </w:r>
    </w:p>
    <w:p w14:paraId="4DE319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Весной 1947 года заказчик пожелал, чтобы УТБ решал задачи пикирующего бомбардировщика. В требованиях к этой машине, изложенных в мартовском 1947 года постановлении правительства, отмечалось, что скорость на высоте 2000 метров должна быть не менее 370 км/ч, время набора 3000 метров - 8 минут, потолок - 6000 метров, дальность - 1000 км, а разбег и пробег в пределах 460 и 375 метров соответственно.</w:t>
      </w:r>
    </w:p>
    <w:p w14:paraId="1C5017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этой целью на четвертый серийный УТБ после контрольных испытаний в НИИ ВВС (июль-август) на заводе № 134 установили крыльевые тормозные решетки и автомат пикирования с реле времени, позволявший задавать углы пикирования от 40 до 80 градусов. При этом скорость доходила до 630 км/ч с потерей 1700-2000 метров высоты, а самолет выходил в горизонтальный полет на 600 метрах. Установили новые маслобаки для обеспечения работы двигателей при отрицательных перегрузках.</w:t>
      </w:r>
    </w:p>
    <w:p w14:paraId="47B528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конце лета 1948 года модифицированный УТБ вновь поступил в НИИ ВВС. Ведущими по нему были инженер В. Моло- жавцев, летчики И. Крутиков и Д. Гапонен- ко. Облетали машину летчики В. Жданов, М. Субботин, И. Пискунов, А. Соколов и штурман Шишков.</w:t>
      </w:r>
    </w:p>
    <w:p w14:paraId="0BE4EC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ходе государственных испытаний, завершившихся в начале июля 1948 года, подтвердилась техническая дальность 1025 км в полете по маршруту Чкаловская - Орел - Чкаловская. По-прежнему в "пилотском" варианте был невозможен визуальный вывод самолета на цель (инструктор сильно ограничивал штурману обзор вперед) и все надеялись на летчика. Машина так и осталась в единичном экземпляре.</w:t>
      </w:r>
    </w:p>
    <w:p w14:paraId="684C0B3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заключение НИИ ВВС отмечалось, в частности, что "самолет испытания не выдержал, так как маслосистема на пикировании при отрицательных перегрузках не обеспечивает необходимое давление масла в моторах и не выполняются требования ВВС к пикирующему учебно-тренировочному бомбардировщику".</w:t>
      </w:r>
    </w:p>
    <w:p w14:paraId="485630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Как уже отмечалось, в УТБ переделывали серийные Ту-2, поступавшие из строевых частей. В 1947-1949 годах в общей сложности переоборудовали 176 машин.</w:t>
      </w:r>
    </w:p>
    <w:p w14:paraId="2D80B62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УТБ эксплуатировался не только в училищах, но и в строевых частях. Впоследствии круг задач решавшихся с помощью этого самолета расширился. Их использовали в качестве буксировщиков конусов-мишеней, предназначавшихся для тренировки летчиков-истребителей. Часть машин передали в ГВФ для подготовки пилотов гражданской авиации.</w:t>
      </w:r>
    </w:p>
    <w:p w14:paraId="3DD8EC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Таблица № 4.</w:t>
      </w:r>
    </w:p>
    <w:p w14:paraId="45F21D6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Основные данные УТБ с двигателями АШ-21 взлетной мощностью по 700 л.с.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561F31" w:rsidRPr="00F90EAE" w14:paraId="4B6B2DA1" w14:textId="77777777">
        <w:tc>
          <w:tcPr>
            <w:tcW w:w="2242" w:type="dxa"/>
            <w:tcBorders>
              <w:top w:val="single" w:sz="12" w:space="0" w:color="auto"/>
            </w:tcBorders>
          </w:tcPr>
          <w:p w14:paraId="745E1D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Тип самолета</w:t>
            </w:r>
          </w:p>
        </w:tc>
        <w:tc>
          <w:tcPr>
            <w:tcW w:w="2242" w:type="dxa"/>
            <w:tcBorders>
              <w:top w:val="single" w:sz="12" w:space="0" w:color="auto"/>
            </w:tcBorders>
          </w:tcPr>
          <w:p w14:paraId="598B98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Опытный</w:t>
            </w:r>
          </w:p>
        </w:tc>
        <w:tc>
          <w:tcPr>
            <w:tcW w:w="2242" w:type="dxa"/>
            <w:tcBorders>
              <w:top w:val="single" w:sz="12" w:space="0" w:color="auto"/>
            </w:tcBorders>
          </w:tcPr>
          <w:p w14:paraId="5B65C74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Серийный</w:t>
            </w:r>
          </w:p>
        </w:tc>
        <w:tc>
          <w:tcPr>
            <w:tcW w:w="2242" w:type="dxa"/>
            <w:tcBorders>
              <w:top w:val="single" w:sz="12" w:space="0" w:color="auto"/>
            </w:tcBorders>
          </w:tcPr>
          <w:p w14:paraId="6A99EC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Серийный</w:t>
            </w:r>
          </w:p>
        </w:tc>
        <w:tc>
          <w:tcPr>
            <w:tcW w:w="2242" w:type="dxa"/>
            <w:tcBorders>
              <w:top w:val="single" w:sz="12" w:space="0" w:color="auto"/>
            </w:tcBorders>
          </w:tcPr>
          <w:p w14:paraId="2E09DC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Пикирующий</w:t>
            </w:r>
          </w:p>
        </w:tc>
      </w:tr>
      <w:tr w:rsidR="00561F31" w:rsidRPr="00F90EAE" w14:paraId="0DC1A6E5" w14:textId="77777777">
        <w:tc>
          <w:tcPr>
            <w:tcW w:w="2242" w:type="dxa"/>
          </w:tcPr>
          <w:p w14:paraId="69C2526D"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5EE110BD"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7B4C07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№3810001</w:t>
            </w:r>
          </w:p>
        </w:tc>
        <w:tc>
          <w:tcPr>
            <w:tcW w:w="2242" w:type="dxa"/>
          </w:tcPr>
          <w:p w14:paraId="2EBAB9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№3810004</w:t>
            </w:r>
          </w:p>
        </w:tc>
        <w:tc>
          <w:tcPr>
            <w:tcW w:w="2242" w:type="dxa"/>
          </w:tcPr>
          <w:p w14:paraId="4C7709D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бомбардировщик</w:t>
            </w:r>
          </w:p>
        </w:tc>
      </w:tr>
      <w:tr w:rsidR="00561F31" w:rsidRPr="00F90EAE" w14:paraId="1D900AB0" w14:textId="77777777">
        <w:tc>
          <w:tcPr>
            <w:tcW w:w="2242" w:type="dxa"/>
          </w:tcPr>
          <w:p w14:paraId="592C699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Размах крыла, м</w:t>
            </w:r>
          </w:p>
        </w:tc>
        <w:tc>
          <w:tcPr>
            <w:tcW w:w="2242" w:type="dxa"/>
          </w:tcPr>
          <w:p w14:paraId="17DBD4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18,86</w:t>
            </w:r>
          </w:p>
        </w:tc>
        <w:tc>
          <w:tcPr>
            <w:tcW w:w="2242" w:type="dxa"/>
          </w:tcPr>
          <w:p w14:paraId="676946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18,86</w:t>
            </w:r>
          </w:p>
        </w:tc>
        <w:tc>
          <w:tcPr>
            <w:tcW w:w="2242" w:type="dxa"/>
          </w:tcPr>
          <w:p w14:paraId="4CC94E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18,86</w:t>
            </w:r>
          </w:p>
        </w:tc>
        <w:tc>
          <w:tcPr>
            <w:tcW w:w="2242" w:type="dxa"/>
          </w:tcPr>
          <w:p w14:paraId="61E808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18,86</w:t>
            </w:r>
          </w:p>
        </w:tc>
      </w:tr>
      <w:tr w:rsidR="00561F31" w:rsidRPr="00F90EAE" w14:paraId="05987A27" w14:textId="77777777">
        <w:tc>
          <w:tcPr>
            <w:tcW w:w="2242" w:type="dxa"/>
          </w:tcPr>
          <w:p w14:paraId="39F6BA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Длина, м</w:t>
            </w:r>
          </w:p>
        </w:tc>
        <w:tc>
          <w:tcPr>
            <w:tcW w:w="2242" w:type="dxa"/>
          </w:tcPr>
          <w:p w14:paraId="49526CE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13,68</w:t>
            </w:r>
          </w:p>
        </w:tc>
        <w:tc>
          <w:tcPr>
            <w:tcW w:w="2242" w:type="dxa"/>
          </w:tcPr>
          <w:p w14:paraId="7A28B8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13,985</w:t>
            </w:r>
          </w:p>
        </w:tc>
        <w:tc>
          <w:tcPr>
            <w:tcW w:w="2242" w:type="dxa"/>
          </w:tcPr>
          <w:p w14:paraId="072BA3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13,985</w:t>
            </w:r>
          </w:p>
        </w:tc>
        <w:tc>
          <w:tcPr>
            <w:tcW w:w="2242" w:type="dxa"/>
          </w:tcPr>
          <w:p w14:paraId="3031E7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13,985</w:t>
            </w:r>
          </w:p>
        </w:tc>
      </w:tr>
      <w:tr w:rsidR="00561F31" w:rsidRPr="00F90EAE" w14:paraId="5B5B9DFA" w14:textId="77777777">
        <w:tc>
          <w:tcPr>
            <w:tcW w:w="2242" w:type="dxa"/>
          </w:tcPr>
          <w:p w14:paraId="4592E9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Площадь крыла, м2</w:t>
            </w:r>
          </w:p>
        </w:tc>
        <w:tc>
          <w:tcPr>
            <w:tcW w:w="2242" w:type="dxa"/>
          </w:tcPr>
          <w:p w14:paraId="3014002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48,8</w:t>
            </w:r>
          </w:p>
        </w:tc>
        <w:tc>
          <w:tcPr>
            <w:tcW w:w="2242" w:type="dxa"/>
          </w:tcPr>
          <w:p w14:paraId="0A57BF2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48,8</w:t>
            </w:r>
          </w:p>
        </w:tc>
        <w:tc>
          <w:tcPr>
            <w:tcW w:w="2242" w:type="dxa"/>
          </w:tcPr>
          <w:p w14:paraId="634CF7D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48,8</w:t>
            </w:r>
          </w:p>
        </w:tc>
        <w:tc>
          <w:tcPr>
            <w:tcW w:w="2242" w:type="dxa"/>
          </w:tcPr>
          <w:p w14:paraId="1ACD91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48,8</w:t>
            </w:r>
          </w:p>
        </w:tc>
      </w:tr>
      <w:tr w:rsidR="00561F31" w:rsidRPr="00F90EAE" w14:paraId="600DE537" w14:textId="77777777">
        <w:tc>
          <w:tcPr>
            <w:tcW w:w="2242" w:type="dxa"/>
          </w:tcPr>
          <w:p w14:paraId="64C855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 взлетный, кг</w:t>
            </w:r>
          </w:p>
        </w:tc>
        <w:tc>
          <w:tcPr>
            <w:tcW w:w="2242" w:type="dxa"/>
          </w:tcPr>
          <w:p w14:paraId="748F00CA"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2D1E3541"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7AEDB96E"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0CEFA15B" w14:textId="77777777" w:rsidR="006103B3" w:rsidRPr="00F90EAE" w:rsidRDefault="006103B3" w:rsidP="00F90EAE">
            <w:pPr>
              <w:autoSpaceDE w:val="0"/>
              <w:autoSpaceDN w:val="0"/>
              <w:adjustRightInd w:val="0"/>
              <w:jc w:val="both"/>
              <w:rPr>
                <w:color w:val="000000" w:themeColor="text1"/>
                <w:sz w:val="16"/>
                <w:szCs w:val="16"/>
              </w:rPr>
            </w:pPr>
          </w:p>
        </w:tc>
      </w:tr>
      <w:tr w:rsidR="00561F31" w:rsidRPr="00F90EAE" w14:paraId="525A2513" w14:textId="77777777">
        <w:tc>
          <w:tcPr>
            <w:tcW w:w="2242" w:type="dxa"/>
          </w:tcPr>
          <w:p w14:paraId="101F61E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 боевом применении</w:t>
            </w:r>
          </w:p>
        </w:tc>
        <w:tc>
          <w:tcPr>
            <w:tcW w:w="2242" w:type="dxa"/>
          </w:tcPr>
          <w:p w14:paraId="1EFC66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6632</w:t>
            </w:r>
          </w:p>
        </w:tc>
        <w:tc>
          <w:tcPr>
            <w:tcW w:w="2242" w:type="dxa"/>
          </w:tcPr>
          <w:p w14:paraId="53FA552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6580</w:t>
            </w:r>
          </w:p>
        </w:tc>
        <w:tc>
          <w:tcPr>
            <w:tcW w:w="2242" w:type="dxa"/>
          </w:tcPr>
          <w:p w14:paraId="45A0ABA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6640</w:t>
            </w:r>
          </w:p>
        </w:tc>
        <w:tc>
          <w:tcPr>
            <w:tcW w:w="2242" w:type="dxa"/>
          </w:tcPr>
          <w:p w14:paraId="3FE514C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6850</w:t>
            </w:r>
          </w:p>
        </w:tc>
      </w:tr>
      <w:tr w:rsidR="00561F31" w:rsidRPr="00F90EAE" w14:paraId="05CFF8FE" w14:textId="77777777">
        <w:tc>
          <w:tcPr>
            <w:tcW w:w="2242" w:type="dxa"/>
          </w:tcPr>
          <w:p w14:paraId="674D38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вывозном варианте</w:t>
            </w:r>
          </w:p>
        </w:tc>
        <w:tc>
          <w:tcPr>
            <w:tcW w:w="2242" w:type="dxa"/>
          </w:tcPr>
          <w:p w14:paraId="187D3D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42" w:type="dxa"/>
          </w:tcPr>
          <w:p w14:paraId="17BB76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64 003)</w:t>
            </w:r>
          </w:p>
        </w:tc>
        <w:tc>
          <w:tcPr>
            <w:tcW w:w="2242" w:type="dxa"/>
          </w:tcPr>
          <w:p w14:paraId="0DC826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6400</w:t>
            </w:r>
          </w:p>
        </w:tc>
        <w:tc>
          <w:tcPr>
            <w:tcW w:w="2242" w:type="dxa"/>
          </w:tcPr>
          <w:p w14:paraId="5278F8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6650</w:t>
            </w:r>
          </w:p>
        </w:tc>
      </w:tr>
      <w:tr w:rsidR="00561F31" w:rsidRPr="00F90EAE" w14:paraId="5EE674B2" w14:textId="77777777">
        <w:tc>
          <w:tcPr>
            <w:tcW w:w="2242" w:type="dxa"/>
          </w:tcPr>
          <w:p w14:paraId="168FD0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 пустого, кг</w:t>
            </w:r>
          </w:p>
        </w:tc>
        <w:tc>
          <w:tcPr>
            <w:tcW w:w="2242" w:type="dxa"/>
          </w:tcPr>
          <w:p w14:paraId="2641D9B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5438</w:t>
            </w:r>
          </w:p>
        </w:tc>
        <w:tc>
          <w:tcPr>
            <w:tcW w:w="2242" w:type="dxa"/>
          </w:tcPr>
          <w:p w14:paraId="474934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5339</w:t>
            </w:r>
          </w:p>
        </w:tc>
        <w:tc>
          <w:tcPr>
            <w:tcW w:w="2242" w:type="dxa"/>
          </w:tcPr>
          <w:p w14:paraId="5E7FD8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5470</w:t>
            </w:r>
          </w:p>
        </w:tc>
        <w:tc>
          <w:tcPr>
            <w:tcW w:w="2242" w:type="dxa"/>
          </w:tcPr>
          <w:p w14:paraId="69939C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5643</w:t>
            </w:r>
          </w:p>
        </w:tc>
      </w:tr>
      <w:tr w:rsidR="00561F31" w:rsidRPr="00F90EAE" w14:paraId="306621B3" w14:textId="77777777">
        <w:tc>
          <w:tcPr>
            <w:tcW w:w="2242" w:type="dxa"/>
          </w:tcPr>
          <w:p w14:paraId="4A17A6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 топлива, кг</w:t>
            </w:r>
          </w:p>
        </w:tc>
        <w:tc>
          <w:tcPr>
            <w:tcW w:w="2242" w:type="dxa"/>
          </w:tcPr>
          <w:p w14:paraId="086DCE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2242" w:type="dxa"/>
          </w:tcPr>
          <w:p w14:paraId="779C38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500</w:t>
            </w:r>
          </w:p>
        </w:tc>
        <w:tc>
          <w:tcPr>
            <w:tcW w:w="2242" w:type="dxa"/>
          </w:tcPr>
          <w:p w14:paraId="3F289E9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515</w:t>
            </w:r>
          </w:p>
        </w:tc>
        <w:tc>
          <w:tcPr>
            <w:tcW w:w="2242" w:type="dxa"/>
          </w:tcPr>
          <w:p w14:paraId="1458DEC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515</w:t>
            </w:r>
          </w:p>
        </w:tc>
      </w:tr>
      <w:tr w:rsidR="00561F31" w:rsidRPr="00F90EAE" w14:paraId="2DF9FA02" w14:textId="77777777">
        <w:tc>
          <w:tcPr>
            <w:tcW w:w="2242" w:type="dxa"/>
          </w:tcPr>
          <w:p w14:paraId="5927A17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Скорость макс., км/ч</w:t>
            </w:r>
          </w:p>
        </w:tc>
        <w:tc>
          <w:tcPr>
            <w:tcW w:w="2242" w:type="dxa"/>
          </w:tcPr>
          <w:p w14:paraId="606A89CE"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72357E6C"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093FE63B" w14:textId="77777777" w:rsidR="006103B3" w:rsidRPr="00F90EAE" w:rsidRDefault="006103B3" w:rsidP="00F90EAE">
            <w:pPr>
              <w:autoSpaceDE w:val="0"/>
              <w:autoSpaceDN w:val="0"/>
              <w:adjustRightInd w:val="0"/>
              <w:jc w:val="both"/>
              <w:rPr>
                <w:color w:val="000000" w:themeColor="text1"/>
                <w:sz w:val="16"/>
                <w:szCs w:val="16"/>
              </w:rPr>
            </w:pPr>
          </w:p>
        </w:tc>
        <w:tc>
          <w:tcPr>
            <w:tcW w:w="2242" w:type="dxa"/>
          </w:tcPr>
          <w:p w14:paraId="7370159C" w14:textId="77777777" w:rsidR="006103B3" w:rsidRPr="00F90EAE" w:rsidRDefault="006103B3" w:rsidP="00F90EAE">
            <w:pPr>
              <w:autoSpaceDE w:val="0"/>
              <w:autoSpaceDN w:val="0"/>
              <w:adjustRightInd w:val="0"/>
              <w:jc w:val="both"/>
              <w:rPr>
                <w:color w:val="000000" w:themeColor="text1"/>
                <w:sz w:val="16"/>
                <w:szCs w:val="16"/>
              </w:rPr>
            </w:pPr>
          </w:p>
        </w:tc>
      </w:tr>
      <w:tr w:rsidR="00561F31" w:rsidRPr="00F90EAE" w14:paraId="596CECB7" w14:textId="77777777">
        <w:tc>
          <w:tcPr>
            <w:tcW w:w="2242" w:type="dxa"/>
          </w:tcPr>
          <w:p w14:paraId="69F8ED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у земли</w:t>
            </w:r>
          </w:p>
        </w:tc>
        <w:tc>
          <w:tcPr>
            <w:tcW w:w="2242" w:type="dxa"/>
          </w:tcPr>
          <w:p w14:paraId="0DC6B6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340</w:t>
            </w:r>
          </w:p>
        </w:tc>
        <w:tc>
          <w:tcPr>
            <w:tcW w:w="2242" w:type="dxa"/>
          </w:tcPr>
          <w:p w14:paraId="1B66337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359</w:t>
            </w:r>
          </w:p>
        </w:tc>
        <w:tc>
          <w:tcPr>
            <w:tcW w:w="2242" w:type="dxa"/>
          </w:tcPr>
          <w:p w14:paraId="3AD141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364</w:t>
            </w:r>
          </w:p>
        </w:tc>
        <w:tc>
          <w:tcPr>
            <w:tcW w:w="2242" w:type="dxa"/>
          </w:tcPr>
          <w:p w14:paraId="08C06E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357</w:t>
            </w:r>
          </w:p>
        </w:tc>
      </w:tr>
      <w:tr w:rsidR="00561F31" w:rsidRPr="00F90EAE" w14:paraId="1990B5B3" w14:textId="77777777">
        <w:tc>
          <w:tcPr>
            <w:tcW w:w="2242" w:type="dxa"/>
          </w:tcPr>
          <w:p w14:paraId="42C208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высоте, м</w:t>
            </w:r>
          </w:p>
        </w:tc>
        <w:tc>
          <w:tcPr>
            <w:tcW w:w="2242" w:type="dxa"/>
          </w:tcPr>
          <w:p w14:paraId="28C00B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372/1800</w:t>
            </w:r>
          </w:p>
        </w:tc>
        <w:tc>
          <w:tcPr>
            <w:tcW w:w="2242" w:type="dxa"/>
          </w:tcPr>
          <w:p w14:paraId="6A812CB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393/1900</w:t>
            </w:r>
          </w:p>
        </w:tc>
        <w:tc>
          <w:tcPr>
            <w:tcW w:w="2242" w:type="dxa"/>
          </w:tcPr>
          <w:p w14:paraId="789DC7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395/2100</w:t>
            </w:r>
          </w:p>
        </w:tc>
        <w:tc>
          <w:tcPr>
            <w:tcW w:w="2242" w:type="dxa"/>
          </w:tcPr>
          <w:p w14:paraId="57E8D0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387/1900</w:t>
            </w:r>
          </w:p>
        </w:tc>
      </w:tr>
      <w:tr w:rsidR="00561F31" w:rsidRPr="00F90EAE" w14:paraId="7B27261A" w14:textId="77777777">
        <w:tc>
          <w:tcPr>
            <w:tcW w:w="2242" w:type="dxa"/>
          </w:tcPr>
          <w:p w14:paraId="5F974E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посадочная</w:t>
            </w:r>
          </w:p>
        </w:tc>
        <w:tc>
          <w:tcPr>
            <w:tcW w:w="2242" w:type="dxa"/>
          </w:tcPr>
          <w:p w14:paraId="4A9EC6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2242" w:type="dxa"/>
          </w:tcPr>
          <w:p w14:paraId="481FBE6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125</w:t>
            </w:r>
          </w:p>
        </w:tc>
        <w:tc>
          <w:tcPr>
            <w:tcW w:w="2242" w:type="dxa"/>
          </w:tcPr>
          <w:p w14:paraId="04D94B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tc>
        <w:tc>
          <w:tcPr>
            <w:tcW w:w="2242" w:type="dxa"/>
          </w:tcPr>
          <w:p w14:paraId="1F2575D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tc>
      </w:tr>
      <w:tr w:rsidR="00561F31" w:rsidRPr="00F90EAE" w14:paraId="0A29DFF9" w14:textId="77777777">
        <w:tc>
          <w:tcPr>
            <w:tcW w:w="2242" w:type="dxa"/>
          </w:tcPr>
          <w:p w14:paraId="27EDA19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Практический потолок, м</w:t>
            </w:r>
          </w:p>
        </w:tc>
        <w:tc>
          <w:tcPr>
            <w:tcW w:w="2242" w:type="dxa"/>
          </w:tcPr>
          <w:p w14:paraId="625CF8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6750</w:t>
            </w:r>
          </w:p>
        </w:tc>
        <w:tc>
          <w:tcPr>
            <w:tcW w:w="2242" w:type="dxa"/>
          </w:tcPr>
          <w:p w14:paraId="23AE38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6260</w:t>
            </w:r>
          </w:p>
        </w:tc>
        <w:tc>
          <w:tcPr>
            <w:tcW w:w="2242" w:type="dxa"/>
          </w:tcPr>
          <w:p w14:paraId="6DB2C0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7000</w:t>
            </w:r>
          </w:p>
        </w:tc>
        <w:tc>
          <w:tcPr>
            <w:tcW w:w="2242" w:type="dxa"/>
          </w:tcPr>
          <w:p w14:paraId="7D99A3B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6350</w:t>
            </w:r>
          </w:p>
        </w:tc>
      </w:tr>
      <w:tr w:rsidR="00561F31" w:rsidRPr="00F90EAE" w14:paraId="4593E3CD" w14:textId="77777777">
        <w:tc>
          <w:tcPr>
            <w:tcW w:w="2242" w:type="dxa"/>
          </w:tcPr>
          <w:p w14:paraId="038214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Время набора высоты 3000 м, мин</w:t>
            </w:r>
          </w:p>
        </w:tc>
        <w:tc>
          <w:tcPr>
            <w:tcW w:w="2242" w:type="dxa"/>
          </w:tcPr>
          <w:p w14:paraId="304AB9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9,7</w:t>
            </w:r>
          </w:p>
        </w:tc>
        <w:tc>
          <w:tcPr>
            <w:tcW w:w="2242" w:type="dxa"/>
          </w:tcPr>
          <w:p w14:paraId="3DC43E4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7,6</w:t>
            </w:r>
          </w:p>
        </w:tc>
        <w:tc>
          <w:tcPr>
            <w:tcW w:w="2242" w:type="dxa"/>
          </w:tcPr>
          <w:p w14:paraId="2C9639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8,5</w:t>
            </w:r>
          </w:p>
        </w:tc>
        <w:tc>
          <w:tcPr>
            <w:tcW w:w="2242" w:type="dxa"/>
          </w:tcPr>
          <w:p w14:paraId="1A3A31C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w:t>
            </w:r>
          </w:p>
        </w:tc>
      </w:tr>
      <w:tr w:rsidR="00561F31" w:rsidRPr="00F90EAE" w14:paraId="6BE2488C" w14:textId="77777777">
        <w:tc>
          <w:tcPr>
            <w:tcW w:w="2242" w:type="dxa"/>
          </w:tcPr>
          <w:p w14:paraId="559700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Дальность макс., км</w:t>
            </w:r>
          </w:p>
        </w:tc>
        <w:tc>
          <w:tcPr>
            <w:tcW w:w="2242" w:type="dxa"/>
          </w:tcPr>
          <w:p w14:paraId="1D0562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870"</w:t>
            </w:r>
          </w:p>
        </w:tc>
        <w:tc>
          <w:tcPr>
            <w:tcW w:w="2242" w:type="dxa"/>
          </w:tcPr>
          <w:p w14:paraId="729FC5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10002'</w:t>
            </w:r>
          </w:p>
        </w:tc>
        <w:tc>
          <w:tcPr>
            <w:tcW w:w="2242" w:type="dxa"/>
          </w:tcPr>
          <w:p w14:paraId="765B330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940</w:t>
            </w:r>
          </w:p>
        </w:tc>
        <w:tc>
          <w:tcPr>
            <w:tcW w:w="2242" w:type="dxa"/>
          </w:tcPr>
          <w:p w14:paraId="23C2311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1025</w:t>
            </w:r>
          </w:p>
        </w:tc>
      </w:tr>
      <w:tr w:rsidR="00561F31" w:rsidRPr="00F90EAE" w14:paraId="1D630244" w14:textId="77777777">
        <w:tc>
          <w:tcPr>
            <w:tcW w:w="2242" w:type="dxa"/>
            <w:tcBorders>
              <w:bottom w:val="single" w:sz="12" w:space="0" w:color="auto"/>
            </w:tcBorders>
          </w:tcPr>
          <w:p w14:paraId="6306131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Разбег/пробег, м</w:t>
            </w:r>
          </w:p>
        </w:tc>
        <w:tc>
          <w:tcPr>
            <w:tcW w:w="2242" w:type="dxa"/>
            <w:tcBorders>
              <w:bottom w:val="single" w:sz="12" w:space="0" w:color="auto"/>
            </w:tcBorders>
          </w:tcPr>
          <w:p w14:paraId="7B17AA2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400/390</w:t>
            </w:r>
          </w:p>
        </w:tc>
        <w:tc>
          <w:tcPr>
            <w:tcW w:w="2242" w:type="dxa"/>
            <w:tcBorders>
              <w:bottom w:val="single" w:sz="12" w:space="0" w:color="auto"/>
            </w:tcBorders>
          </w:tcPr>
          <w:p w14:paraId="55E8897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415/440</w:t>
            </w:r>
          </w:p>
        </w:tc>
        <w:tc>
          <w:tcPr>
            <w:tcW w:w="2242" w:type="dxa"/>
            <w:tcBorders>
              <w:bottom w:val="single" w:sz="12" w:space="0" w:color="auto"/>
            </w:tcBorders>
          </w:tcPr>
          <w:p w14:paraId="54EE83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420/415</w:t>
            </w:r>
          </w:p>
        </w:tc>
        <w:tc>
          <w:tcPr>
            <w:tcW w:w="2242" w:type="dxa"/>
            <w:tcBorders>
              <w:bottom w:val="single" w:sz="12" w:space="0" w:color="auto"/>
            </w:tcBorders>
          </w:tcPr>
          <w:p w14:paraId="5D3D8D4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450/430</w:t>
            </w:r>
          </w:p>
        </w:tc>
      </w:tr>
    </w:tbl>
    <w:p w14:paraId="7A5ABA2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Расчетная.</w:t>
      </w:r>
    </w:p>
    <w:p w14:paraId="05A34C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С бомбовой нагрузкой.</w:t>
      </w:r>
    </w:p>
    <w:p w14:paraId="64ACFE4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Без бомб.</w:t>
      </w:r>
    </w:p>
    <w:p w14:paraId="5BA3FE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Следует отметить, что УТБ пользовался популярностью среди летного состава и машины вырабатывали свой ресурс до предела. Например, в 1951 году одну сильно изношенную машину временно передали в МАП. Определив техническое состояние, моторостроительный завод предложил ее списать. Но владелец, узнав об этом, запротестовал, обвинив последнего в негосударственном подходе и потребовал отремонтировать УТБ. С наступлением эры реактивной авиации функции УТБ прочно и на десятилетия перешли к учебному самолету Ил-28У (12035). </w:t>
      </w:r>
    </w:p>
    <w:p w14:paraId="3D542A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после замены разрушенного фюзеляжа новым, И-225 №02 ПОКИНУЛ сборочный цех. На заводских испытаниях второго экземпляра И-225 была достигнута максимальная скорость 560 км/ ч у земли и 726 км/ч на высоте 10000 м, которую самолет набирал за 8,8 мин. Время подъема на высоту 5000 м составило 4 мин. (5852,40).</w:t>
      </w:r>
    </w:p>
    <w:p w14:paraId="60F9F9E5" w14:textId="77777777" w:rsidR="006103B3" w:rsidRPr="00F90EAE" w:rsidRDefault="006103B3" w:rsidP="00F90EAE">
      <w:pPr>
        <w:autoSpaceDE w:val="0"/>
        <w:autoSpaceDN w:val="0"/>
        <w:adjustRightInd w:val="0"/>
        <w:jc w:val="both"/>
        <w:rPr>
          <w:color w:val="000000" w:themeColor="text1"/>
          <w:sz w:val="16"/>
          <w:szCs w:val="16"/>
        </w:rPr>
      </w:pPr>
    </w:p>
    <w:p w14:paraId="70F4AB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(11179).</w:t>
      </w:r>
    </w:p>
    <w:p w14:paraId="756C9066" w14:textId="77777777" w:rsidR="006103B3" w:rsidRPr="00F90EAE" w:rsidRDefault="006103B3" w:rsidP="00F90EAE">
      <w:pPr>
        <w:autoSpaceDE w:val="0"/>
        <w:autoSpaceDN w:val="0"/>
        <w:adjustRightInd w:val="0"/>
        <w:jc w:val="both"/>
        <w:rPr>
          <w:color w:val="000000" w:themeColor="text1"/>
          <w:sz w:val="16"/>
          <w:szCs w:val="16"/>
        </w:rPr>
      </w:pPr>
    </w:p>
    <w:p w14:paraId="60ECA23F" w14:textId="77777777" w:rsidR="00500674" w:rsidRPr="00F90EAE" w:rsidRDefault="00500674" w:rsidP="00F90EAE">
      <w:pPr>
        <w:jc w:val="both"/>
        <w:rPr>
          <w:color w:val="000000" w:themeColor="text1"/>
          <w:sz w:val="16"/>
          <w:szCs w:val="16"/>
        </w:rPr>
      </w:pPr>
      <w:r w:rsidRPr="00F90EAE">
        <w:rPr>
          <w:color w:val="000000" w:themeColor="text1"/>
          <w:sz w:val="16"/>
          <w:szCs w:val="16"/>
        </w:rPr>
        <w:t>В июне 1945 г. ОКБ-155 приступило к разработке нового истребителя И-300 с двумя турбореактивными двигателями BMW-003. Первоначальный оптимизм по поводу И-250 стал угасать, а работы по нему отошли на второй план.</w:t>
      </w:r>
    </w:p>
    <w:p w14:paraId="71193B34" w14:textId="77777777" w:rsidR="00500674" w:rsidRPr="00F90EAE" w:rsidRDefault="00500674" w:rsidP="00F90EAE">
      <w:pPr>
        <w:jc w:val="both"/>
        <w:rPr>
          <w:color w:val="000000" w:themeColor="text1"/>
          <w:sz w:val="16"/>
          <w:szCs w:val="16"/>
        </w:rPr>
      </w:pPr>
      <w:r w:rsidRPr="00F90EAE">
        <w:rPr>
          <w:color w:val="000000" w:themeColor="text1"/>
          <w:sz w:val="16"/>
          <w:szCs w:val="16"/>
        </w:rPr>
        <w:t>Тем не менее испытания И-250 продолжались. В сентябре 1945 г. эстафету принял летчик-испытатель А.Н. Чернобуров, пришедший в ОКБ-155 с завода № 163, а 21 сентября свой первый ознакомительный полет на истребителе совершил И.Т. Иващенко, которого перевели с завода № 301. Одновременно шла подготовка серии на заводе № 381 в Москве (12207).</w:t>
      </w:r>
    </w:p>
    <w:p w14:paraId="70011E71" w14:textId="77777777" w:rsidR="00500674" w:rsidRPr="00F90EAE" w:rsidRDefault="00500674" w:rsidP="00F90EAE">
      <w:pPr>
        <w:jc w:val="both"/>
        <w:rPr>
          <w:color w:val="000000" w:themeColor="text1"/>
          <w:sz w:val="16"/>
          <w:szCs w:val="16"/>
        </w:rPr>
      </w:pPr>
    </w:p>
    <w:p w14:paraId="75F9CC42" w14:textId="77777777" w:rsidR="00500674" w:rsidRPr="00F90EAE" w:rsidRDefault="00500674" w:rsidP="00F90EAE">
      <w:pPr>
        <w:jc w:val="both"/>
        <w:rPr>
          <w:color w:val="000000" w:themeColor="text1"/>
          <w:sz w:val="16"/>
          <w:szCs w:val="16"/>
        </w:rPr>
      </w:pPr>
      <w:r w:rsidRPr="00F90EAE">
        <w:rPr>
          <w:color w:val="000000" w:themeColor="text1"/>
          <w:sz w:val="16"/>
          <w:szCs w:val="16"/>
        </w:rPr>
        <w:t>В июне 1945 г. коллектив ОКБ-155 приступил к разработке одноместного истребителя с двумя реактивными двигателями BMW-003. Самолет получил наименование И-300 и заводской шифр «Ф». В соответствии с утвержденным графиком проектирования и постройки выкатка первого экземпляра на аэродром была запланирована на 15 октября 1945 г.</w:t>
      </w:r>
      <w:r w:rsidR="00C46885" w:rsidRPr="00F90EAE">
        <w:rPr>
          <w:color w:val="000000" w:themeColor="text1"/>
          <w:sz w:val="16"/>
          <w:szCs w:val="16"/>
        </w:rPr>
        <w:fldChar w:fldCharType="begin"/>
      </w:r>
      <w:r w:rsidR="00C46885" w:rsidRPr="00F90EAE">
        <w:rPr>
          <w:color w:val="000000" w:themeColor="text1"/>
          <w:sz w:val="16"/>
          <w:szCs w:val="16"/>
        </w:rPr>
        <w:instrText xml:space="preserve">ref HYPERLINK  \l "n_182" \* MERGEFORMAT </w:instrText>
      </w:r>
      <w:r w:rsidR="00C46885" w:rsidRPr="00F90EAE">
        <w:rPr>
          <w:color w:val="000000" w:themeColor="text1"/>
          <w:sz w:val="16"/>
          <w:szCs w:val="16"/>
        </w:rPr>
        <w:fldChar w:fldCharType="separate"/>
      </w:r>
      <w:r w:rsidRPr="00F90EAE">
        <w:rPr>
          <w:color w:val="000000" w:themeColor="text1"/>
          <w:sz w:val="16"/>
          <w:szCs w:val="16"/>
        </w:rPr>
        <w:t>[182]</w:t>
      </w:r>
      <w:r w:rsidR="00C46885" w:rsidRPr="00F90EAE">
        <w:rPr>
          <w:color w:val="000000" w:themeColor="text1"/>
          <w:sz w:val="16"/>
          <w:szCs w:val="16"/>
        </w:rPr>
        <w:fldChar w:fldCharType="end"/>
      </w:r>
      <w:r w:rsidRPr="00F90EAE">
        <w:rPr>
          <w:color w:val="000000" w:themeColor="text1"/>
          <w:sz w:val="16"/>
          <w:szCs w:val="16"/>
        </w:rPr>
        <w:t xml:space="preserve"> Ведущим инженером по теме был назначен А.Г. Брунов, ведущим инженером по летным испытаниям – А.Т. Карев. В конце осени был утвержден рабочий проект машины и началась постройка макета, а в опытном производстве изготовление агрегатов и узлов (12207).</w:t>
      </w:r>
    </w:p>
    <w:p w14:paraId="0B1DFFE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в ГК НИИ ВВС был испытан серийный самолет завода N 21 с новой конструкцией вентиляции, который показал, что при работе мотора на форса же вблизи земли и при температуре наружного воздуха +15 градусов С, температура в кабине равна 38 градусов (1879,210).</w:t>
      </w:r>
    </w:p>
    <w:p w14:paraId="18EE36FA" w14:textId="77777777" w:rsidR="006103B3" w:rsidRPr="00F90EAE" w:rsidRDefault="006103B3" w:rsidP="00F90EAE">
      <w:pPr>
        <w:autoSpaceDE w:val="0"/>
        <w:autoSpaceDN w:val="0"/>
        <w:adjustRightInd w:val="0"/>
        <w:jc w:val="both"/>
        <w:rPr>
          <w:color w:val="000000" w:themeColor="text1"/>
          <w:sz w:val="16"/>
          <w:szCs w:val="16"/>
        </w:rPr>
      </w:pPr>
    </w:p>
    <w:p w14:paraId="05BFDF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на 153 заводе закончилось серийное производство Як-9М, которое шло с мая 1944 вплоть до освоения Як-9У с ВК-107А (65,140).</w:t>
      </w:r>
    </w:p>
    <w:p w14:paraId="2CE65594" w14:textId="77777777" w:rsidR="006103B3" w:rsidRPr="00F90EAE" w:rsidRDefault="006103B3" w:rsidP="00F90EAE">
      <w:pPr>
        <w:autoSpaceDE w:val="0"/>
        <w:autoSpaceDN w:val="0"/>
        <w:adjustRightInd w:val="0"/>
        <w:jc w:val="both"/>
        <w:rPr>
          <w:color w:val="000000" w:themeColor="text1"/>
          <w:sz w:val="16"/>
          <w:szCs w:val="16"/>
        </w:rPr>
      </w:pPr>
    </w:p>
    <w:p w14:paraId="1B6DE8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вслед за машиной Як-3 №2229 на контрольные испытания в НИИ ВВС поступил самолет №4145, выпущенный в мае заводом 292. По сравнению с предшественником на нем улучшили аэродинамику за счет уменьшения волнистости обшивки, более тщательной подгонки капотов, лючков и зализов. На средние щитки шасси поставили дополнительные замки, усилили купола колес шасси и киль, заменив промежуточные нервюры основными, а скользящие подшипники качалок тяг - шариковыми. Тогда же в системе всасывания мотора появился противопыльный фильтр, прошедший испытания в НИИ ВВС на машине 03-22.</w:t>
      </w:r>
    </w:p>
    <w:p w14:paraId="628FB35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Испытания показали, что истребитель №4145 полностью соответствует требованиям ГКО от 26 октября 1943 года, хотя в нем и сохранились некоторые, ранее обнаруженные дефекты. В частности, не устранили большие усилия на ручку управления самолетом от элеронов, отсос щитков шасси на повышенных скоростях и искажение сферическим козырьком (по-прежнему не имевшем бронестекла) видимых предметов. К тому же установка трубки Вентури в выходной части тоннеля водорадиато- ра искажала показания указателя поворота. Отмечалась и недостаточная дальность двухсторонней радиосвязи. Лишь после войны на истребителях стали крепить излучатель антенны к мачте, что значительно увеличило дальность радиосвязи (12047).</w:t>
      </w:r>
    </w:p>
    <w:p w14:paraId="3DDFAF07" w14:textId="77777777" w:rsidR="006103B3" w:rsidRPr="00F90EAE" w:rsidRDefault="006103B3" w:rsidP="00F90EAE">
      <w:pPr>
        <w:autoSpaceDE w:val="0"/>
        <w:autoSpaceDN w:val="0"/>
        <w:adjustRightInd w:val="0"/>
        <w:jc w:val="both"/>
        <w:rPr>
          <w:color w:val="000000" w:themeColor="text1"/>
          <w:sz w:val="16"/>
          <w:szCs w:val="16"/>
        </w:rPr>
      </w:pPr>
    </w:p>
    <w:p w14:paraId="494A6FA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года начались испытания облагороженного Як-3ПД. Пока шли работы по Як-ЗПД, мотор М-105ПВ на самолете №4419 заменили на ВК-105ПД. Помимо этого, смонтировали створки перепуска воздуха из нагнетателя в атмосферу, предложенные летчиком-испытателем И.И. Шунейко, что исключило с дополнительным помпажные явления в компрессоре, и для двигателем РД-1 улучшения работы системы охлаждения воды в ней установили сепаратор и диффузор конструкции ЛИИ. Одновременно улучшили герметизацию приборной доски пилота и подвижной части фонаря, восстановили лакокрасочное покрытие планера. Доработки благоприятно сказались на ее летных характеристиках. Так, в полете 26 июня была достигнута скорость 710 км/ч на высоте 11 000 метров, а 6 июля - практический потолок 13 300 метров. В те годы под практическим потолком понималась высота полета, на которой вертикальная скорость самолета составляла 1,5 м/с. По свидетельству летчика, на высотах 11 000-12 500 метров самолет допускал боевые развороты и виражи с необходимым углом крена.</w:t>
      </w:r>
    </w:p>
    <w:p w14:paraId="47A9C7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то же время в отчете ЛИИ отмечалось, что полеты на высоту, близкую к практическому потолку с кислородной маской КПА-Збис, требовали специальной высотной тренировки и соблюдения летчиком строгого режима.</w:t>
      </w:r>
    </w:p>
    <w:p w14:paraId="57476F0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Но Як-ЗПД так и не стал самым высотным отечественным истребителем, поскольку за год до него на самолете И-222 ОКБ А.И. Микояна летчик А.И. Жуков достиг высоты 14 500 метров. Тем не менее полеты на Як-ЗПД продолжались еще как минимум два года. В частности, к весне 1947 года в ЛИИ завершились исследования водо- и маслорадиаторов в высотных условиях (12047).</w:t>
      </w:r>
    </w:p>
    <w:p w14:paraId="6A7B7027" w14:textId="77777777" w:rsidR="006103B3" w:rsidRPr="00F90EAE" w:rsidRDefault="006103B3" w:rsidP="00F90EAE">
      <w:pPr>
        <w:autoSpaceDE w:val="0"/>
        <w:autoSpaceDN w:val="0"/>
        <w:adjustRightInd w:val="0"/>
        <w:jc w:val="both"/>
        <w:rPr>
          <w:color w:val="000000" w:themeColor="text1"/>
          <w:sz w:val="16"/>
          <w:szCs w:val="16"/>
        </w:rPr>
      </w:pPr>
    </w:p>
    <w:p w14:paraId="1C8A77B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С.А.Л. на заводе 81 получил макет РД-3Ц и начал разработку машины (2928,79).</w:t>
      </w:r>
    </w:p>
    <w:p w14:paraId="072052E6" w14:textId="77777777" w:rsidR="006103B3" w:rsidRPr="00F90EAE" w:rsidRDefault="006103B3" w:rsidP="00F90EAE">
      <w:pPr>
        <w:autoSpaceDE w:val="0"/>
        <w:autoSpaceDN w:val="0"/>
        <w:adjustRightInd w:val="0"/>
        <w:jc w:val="both"/>
        <w:rPr>
          <w:color w:val="000000" w:themeColor="text1"/>
          <w:sz w:val="16"/>
          <w:szCs w:val="16"/>
        </w:rPr>
      </w:pPr>
    </w:p>
    <w:p w14:paraId="7E18EEB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на заводе 82 был построен Як-9УВ (улучшенный вывозной) N 00-00 и без заводских был передан на гос. испытания (65,153).</w:t>
      </w:r>
    </w:p>
    <w:p w14:paraId="1D8B9072" w14:textId="77777777" w:rsidR="006103B3" w:rsidRPr="00F90EAE" w:rsidRDefault="006103B3" w:rsidP="00F90EAE">
      <w:pPr>
        <w:autoSpaceDE w:val="0"/>
        <w:autoSpaceDN w:val="0"/>
        <w:adjustRightInd w:val="0"/>
        <w:jc w:val="both"/>
        <w:rPr>
          <w:color w:val="000000" w:themeColor="text1"/>
          <w:sz w:val="16"/>
          <w:szCs w:val="16"/>
        </w:rPr>
      </w:pPr>
    </w:p>
    <w:p w14:paraId="0E3119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на 153 закончили серию Як-9Т, которая шла с марта 1943 и всего выпустили 2748 (65,116).</w:t>
      </w:r>
    </w:p>
    <w:p w14:paraId="0CABB378" w14:textId="77777777" w:rsidR="006103B3" w:rsidRPr="00F90EAE" w:rsidRDefault="006103B3" w:rsidP="00F90EAE">
      <w:pPr>
        <w:autoSpaceDE w:val="0"/>
        <w:autoSpaceDN w:val="0"/>
        <w:adjustRightInd w:val="0"/>
        <w:jc w:val="both"/>
        <w:rPr>
          <w:color w:val="000000" w:themeColor="text1"/>
          <w:sz w:val="16"/>
          <w:szCs w:val="16"/>
        </w:rPr>
      </w:pPr>
    </w:p>
    <w:p w14:paraId="3210BB0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в ОКБ-155 начали проектные работы над другим вариантом истребителя с двумя двигателями BMW-003, получившим наименование И-300 и шифр "Ф". В отличие от И-260 у И-300 двигатели разместили не на консолях крыла а в фюзеляже. Такая компоновка силовой установки оказалась наиболее перспективной, поэтому работы над И-260 были свернуты (6272).</w:t>
      </w:r>
    </w:p>
    <w:p w14:paraId="46E359AD" w14:textId="77777777" w:rsidR="006103B3" w:rsidRPr="00F90EAE" w:rsidRDefault="006103B3" w:rsidP="00F90EAE">
      <w:pPr>
        <w:autoSpaceDE w:val="0"/>
        <w:autoSpaceDN w:val="0"/>
        <w:adjustRightInd w:val="0"/>
        <w:jc w:val="both"/>
        <w:rPr>
          <w:color w:val="000000" w:themeColor="text1"/>
          <w:sz w:val="16"/>
          <w:szCs w:val="16"/>
        </w:rPr>
      </w:pPr>
    </w:p>
    <w:p w14:paraId="1AF417C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коллектив микояновского ОКБ-155 приступил к разработке одноместного истребителя с двумя реактивными двигателями BMW 003, который получил наименование И-300 и заводской шифр "Ф". Первоначально в соответствии с утвержденным графиком проектирования и постройки срок готовности первого экземпляра на аэродром был определен 15 октября 1945 г. В отличие от истребителя И-260, проект которого в ОКБ прорабатывали с мая, у И-300 двигатели разместили не под консолями крыла (как на Ме-262), а в фюзеляже. Такая компоновка была признана наиболее удачной, поэтому работы над И-260 были свернуты, а все силы ОКБ сосредоточились на И-300. Ведущим инженером по теме был назначен А.Г. Брунов, ведущим инженером по летным испытаниям - А.Т. Карев (11407).</w:t>
      </w:r>
    </w:p>
    <w:p w14:paraId="21418756" w14:textId="77777777" w:rsidR="006103B3" w:rsidRPr="00F90EAE" w:rsidRDefault="006103B3" w:rsidP="00F90EAE">
      <w:pPr>
        <w:autoSpaceDE w:val="0"/>
        <w:autoSpaceDN w:val="0"/>
        <w:adjustRightInd w:val="0"/>
        <w:jc w:val="both"/>
        <w:rPr>
          <w:color w:val="000000" w:themeColor="text1"/>
          <w:sz w:val="16"/>
          <w:szCs w:val="16"/>
        </w:rPr>
      </w:pPr>
    </w:p>
    <w:p w14:paraId="69F1B7B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1945 в ОКБ МиГ провели ра</w:t>
      </w:r>
      <w:r w:rsidRPr="00F90EAE">
        <w:rPr>
          <w:color w:val="000000" w:themeColor="text1"/>
          <w:sz w:val="16"/>
          <w:szCs w:val="16"/>
        </w:rPr>
        <w:softHyphen/>
        <w:t>дикальную перекомпоновку машины «2». Двигатели решили разместить не под крыльями, а в фюзеляже. Это дава</w:t>
      </w:r>
      <w:r w:rsidRPr="00F90EAE">
        <w:rPr>
          <w:color w:val="000000" w:themeColor="text1"/>
          <w:sz w:val="16"/>
          <w:szCs w:val="16"/>
        </w:rPr>
        <w:softHyphen/>
        <w:t>ло возможность совершать крейсерс</w:t>
      </w:r>
      <w:r w:rsidRPr="00F90EAE">
        <w:rPr>
          <w:color w:val="000000" w:themeColor="text1"/>
          <w:sz w:val="16"/>
          <w:szCs w:val="16"/>
        </w:rPr>
        <w:softHyphen/>
        <w:t>кий полет на одном двигателе, что уве</w:t>
      </w:r>
      <w:r w:rsidRPr="00F90EAE">
        <w:rPr>
          <w:color w:val="000000" w:themeColor="text1"/>
          <w:sz w:val="16"/>
          <w:szCs w:val="16"/>
        </w:rPr>
        <w:softHyphen/>
        <w:t>личивало продолжительность пребы</w:t>
      </w:r>
      <w:r w:rsidRPr="00F90EAE">
        <w:rPr>
          <w:color w:val="000000" w:themeColor="text1"/>
          <w:sz w:val="16"/>
          <w:szCs w:val="16"/>
        </w:rPr>
        <w:softHyphen/>
        <w:t>вания самолета в воздухе. Для этой цели использовали менее габаритные ВММ-003 имевшие максимальные диа</w:t>
      </w:r>
      <w:r w:rsidRPr="00F90EAE">
        <w:rPr>
          <w:color w:val="000000" w:themeColor="text1"/>
          <w:sz w:val="16"/>
          <w:szCs w:val="16"/>
        </w:rPr>
        <w:softHyphen/>
        <w:t>метр и длину соответственно 680 мм и 3300 мм против 810 мм и 3940 мм у ^то-004В. Правда, при этом при</w:t>
      </w:r>
      <w:r w:rsidRPr="00F90EAE">
        <w:rPr>
          <w:color w:val="000000" w:themeColor="text1"/>
          <w:sz w:val="16"/>
          <w:szCs w:val="16"/>
        </w:rPr>
        <w:softHyphen/>
        <w:t>шлось согласиться с уменьшением тяги. Также у И-290 увеличили огневую мощь,установив главным калибром 57-мм пушку с боезапасом 20 патронов. Кроме этого, до 1600 л вырос запас топлива. Истребителю сначала при</w:t>
      </w:r>
      <w:r w:rsidRPr="00F90EAE">
        <w:rPr>
          <w:color w:val="000000" w:themeColor="text1"/>
          <w:sz w:val="16"/>
          <w:szCs w:val="16"/>
        </w:rPr>
        <w:softHyphen/>
        <w:t xml:space="preserve">своили новый шифр «Ф», а затем, в июле, и новое наименование И-300. Ведущим инженером по теме назначили А.Г.Брунова, </w:t>
      </w:r>
      <w:r w:rsidRPr="00F90EAE">
        <w:rPr>
          <w:color w:val="000000" w:themeColor="text1"/>
          <w:sz w:val="16"/>
          <w:szCs w:val="16"/>
        </w:rPr>
        <w:lastRenderedPageBreak/>
        <w:t>а ведущим инжене</w:t>
      </w:r>
      <w:r w:rsidRPr="00F90EAE">
        <w:rPr>
          <w:color w:val="000000" w:themeColor="text1"/>
          <w:sz w:val="16"/>
          <w:szCs w:val="16"/>
        </w:rPr>
        <w:softHyphen/>
        <w:t>ром по летным испытаниям А.Т.Каре</w:t>
      </w:r>
      <w:r w:rsidRPr="00F90EAE">
        <w:rPr>
          <w:color w:val="000000" w:themeColor="text1"/>
          <w:sz w:val="16"/>
          <w:szCs w:val="16"/>
        </w:rPr>
        <w:softHyphen/>
        <w:t>ва. В соответствии с утвержденным графиком проектирования и построй</w:t>
      </w:r>
      <w:r w:rsidRPr="00F90EAE">
        <w:rPr>
          <w:color w:val="000000" w:themeColor="text1"/>
          <w:sz w:val="16"/>
          <w:szCs w:val="16"/>
        </w:rPr>
        <w:softHyphen/>
        <w:t>ки выкатку первого экземпляра на аэродром запланировали на 15 октяб</w:t>
      </w:r>
      <w:r w:rsidRPr="00F90EAE">
        <w:rPr>
          <w:color w:val="000000" w:themeColor="text1"/>
          <w:sz w:val="16"/>
          <w:szCs w:val="16"/>
        </w:rPr>
        <w:softHyphen/>
        <w:t>ря 1945 г. Макет машины решили не делать. В ОКБ уже в июне приступили к выпуску рабочих чертежей. В то же время в опытном производстве нача</w:t>
      </w:r>
      <w:r w:rsidRPr="00F90EAE">
        <w:rPr>
          <w:color w:val="000000" w:themeColor="text1"/>
          <w:sz w:val="16"/>
          <w:szCs w:val="16"/>
        </w:rPr>
        <w:softHyphen/>
        <w:t>ли изготовление стапелей, а с августа приступили к изготовлению агрегатов и узлов. Эскизный проект новой ма</w:t>
      </w:r>
      <w:r w:rsidRPr="00F90EAE">
        <w:rPr>
          <w:color w:val="000000" w:themeColor="text1"/>
          <w:sz w:val="16"/>
          <w:szCs w:val="16"/>
        </w:rPr>
        <w:softHyphen/>
        <w:t>шины был утвержден в конце осени (11128).</w:t>
      </w:r>
    </w:p>
    <w:p w14:paraId="7922FB7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E16FA3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xml:space="preserve">В июне 1945 г. второй экземпляр истребителя И—225 во второй раз вывели из сборочного цеха. В ходе заводских испытаний была достигнута максимальная скорость 560 км/ч у земли и 726 км/ч на высоте 10000 м, которую </w:t>
      </w:r>
      <w:r w:rsidRPr="00F90EAE">
        <w:rPr>
          <w:iCs/>
          <w:color w:val="000000" w:themeColor="text1"/>
          <w:sz w:val="16"/>
          <w:szCs w:val="16"/>
        </w:rPr>
        <w:t xml:space="preserve">И—225 </w:t>
      </w:r>
      <w:r w:rsidRPr="00F90EAE">
        <w:rPr>
          <w:color w:val="000000" w:themeColor="text1"/>
          <w:sz w:val="16"/>
          <w:szCs w:val="16"/>
        </w:rPr>
        <w:t>наби</w:t>
      </w:r>
      <w:r w:rsidRPr="00F90EAE">
        <w:rPr>
          <w:color w:val="000000" w:themeColor="text1"/>
          <w:sz w:val="16"/>
          <w:szCs w:val="16"/>
        </w:rPr>
        <w:softHyphen/>
        <w:t>рал всего за 8,8 мин. Время подъема на высоту 5000 м было рекордно малым — всего 4 мин (9984).</w:t>
      </w:r>
    </w:p>
    <w:p w14:paraId="62893FE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664944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в Москве в ГК НИИ ВВС л Н.П.Пискунов вместе с ви В.Я.Маргоном провели испытания Ме-410, который весной 1945 планерист А.И.Пьецух (потом построивший дом из бутылок) пригнал в Москву. Оказался лучше Пе-2 вВК-105ПФ и Ту-2 2АШ-82ФН. Потом передали в БНТ ЦАГИ (2961,46).</w:t>
      </w:r>
    </w:p>
    <w:p w14:paraId="1B990CBC" w14:textId="77777777" w:rsidR="006103B3" w:rsidRPr="00F90EAE" w:rsidRDefault="006103B3" w:rsidP="00F90EAE">
      <w:pPr>
        <w:autoSpaceDE w:val="0"/>
        <w:autoSpaceDN w:val="0"/>
        <w:adjustRightInd w:val="0"/>
        <w:jc w:val="both"/>
        <w:rPr>
          <w:color w:val="000000" w:themeColor="text1"/>
          <w:sz w:val="16"/>
          <w:szCs w:val="16"/>
        </w:rPr>
      </w:pPr>
    </w:p>
    <w:p w14:paraId="598A50D4" w14:textId="77777777" w:rsidR="002A5DBF" w:rsidRPr="00F90EAE" w:rsidRDefault="002A5DBF" w:rsidP="00F90EAE">
      <w:pPr>
        <w:pStyle w:val="a3"/>
        <w:rPr>
          <w:color w:val="000000" w:themeColor="text1"/>
          <w:lang w:val="ru-RU"/>
        </w:rPr>
      </w:pPr>
      <w:r w:rsidRPr="00F90EAE">
        <w:rPr>
          <w:color w:val="000000" w:themeColor="text1"/>
          <w:lang w:val="ru-RU"/>
        </w:rPr>
        <w:t>В июне 1945 г. самолет, уже получивший на</w:t>
      </w:r>
      <w:r w:rsidRPr="00F90EAE">
        <w:rPr>
          <w:color w:val="000000" w:themeColor="text1"/>
          <w:lang w:val="ru-RU"/>
        </w:rPr>
        <w:softHyphen/>
        <w:t>именование Ил-12, с двигателями АЧ-31 был передан на центральный аэродром для выполнения предпо</w:t>
      </w:r>
      <w:r w:rsidRPr="00F90EAE">
        <w:rPr>
          <w:color w:val="000000" w:themeColor="text1"/>
          <w:lang w:val="ru-RU"/>
        </w:rPr>
        <w:softHyphen/>
        <w:t>летных проверок, во время которых уже возникли проблемы, связанные с ненадежной работой установленных на нем двигателей. Поэтому с целью ду</w:t>
      </w:r>
      <w:r w:rsidRPr="00F90EAE">
        <w:rPr>
          <w:color w:val="000000" w:themeColor="text1"/>
          <w:lang w:val="ru-RU"/>
        </w:rPr>
        <w:softHyphen/>
        <w:t>блирования винтомоторной установки приказом наркома авиапрома С.В. Иль</w:t>
      </w:r>
      <w:r w:rsidRPr="00F90EAE">
        <w:rPr>
          <w:color w:val="000000" w:themeColor="text1"/>
          <w:lang w:val="ru-RU"/>
        </w:rPr>
        <w:softHyphen/>
        <w:t>юшину предписывалось установить на транспортном самолете Ил-12 моторы АШ-82ФН к 1 ноября 1945 г. Тем не ме</w:t>
      </w:r>
      <w:r w:rsidRPr="00F90EAE">
        <w:rPr>
          <w:color w:val="000000" w:themeColor="text1"/>
          <w:lang w:val="ru-RU"/>
        </w:rPr>
        <w:softHyphen/>
        <w:t>нее, самолет с дизельными двигателями успел выполнить несколько полетов, подтвердивших правильность принятого решения. Менее трех месяцев потребо</w:t>
      </w:r>
      <w:r w:rsidRPr="00F90EAE">
        <w:rPr>
          <w:color w:val="000000" w:themeColor="text1"/>
          <w:lang w:val="ru-RU"/>
        </w:rPr>
        <w:softHyphen/>
        <w:t>валось для того, чтобы выполнить рабо</w:t>
      </w:r>
      <w:r w:rsidRPr="00F90EAE">
        <w:rPr>
          <w:color w:val="000000" w:themeColor="text1"/>
          <w:lang w:val="ru-RU"/>
        </w:rPr>
        <w:softHyphen/>
        <w:t>чее проектирование, изготовить новые мотогондолы и смонтировать их на ма</w:t>
      </w:r>
      <w:r w:rsidRPr="00F90EAE">
        <w:rPr>
          <w:color w:val="000000" w:themeColor="text1"/>
          <w:lang w:val="ru-RU"/>
        </w:rPr>
        <w:softHyphen/>
        <w:t>шине. Одновременно были установлены сдвоенные колеса на стойках основных опор для улучшения проходимости на грунтовых аэродромах (15749).</w:t>
      </w:r>
    </w:p>
    <w:p w14:paraId="2A4BA843" w14:textId="77777777" w:rsidR="002A5DBF" w:rsidRPr="00F90EAE" w:rsidRDefault="002A5DBF" w:rsidP="00F90EAE">
      <w:pPr>
        <w:pStyle w:val="a3"/>
        <w:rPr>
          <w:color w:val="000000" w:themeColor="text1"/>
          <w:lang w:val="ru-RU"/>
        </w:rPr>
      </w:pPr>
    </w:p>
    <w:p w14:paraId="3382E49D" w14:textId="77777777" w:rsidR="00500674" w:rsidRPr="00F90EAE" w:rsidRDefault="00500674" w:rsidP="00F90EAE">
      <w:pPr>
        <w:jc w:val="both"/>
        <w:rPr>
          <w:color w:val="000000" w:themeColor="text1"/>
          <w:sz w:val="16"/>
          <w:szCs w:val="16"/>
        </w:rPr>
      </w:pPr>
      <w:r w:rsidRPr="00F90EAE">
        <w:rPr>
          <w:color w:val="000000" w:themeColor="text1"/>
          <w:sz w:val="16"/>
          <w:szCs w:val="16"/>
        </w:rPr>
        <w:t>В июне 1945 г. сообщалось о возможности испытаний двух экземпляров «Омега» на море. Пока шли доводки и испы</w:t>
      </w:r>
      <w:r w:rsidRPr="00F90EAE">
        <w:rPr>
          <w:color w:val="000000" w:themeColor="text1"/>
          <w:sz w:val="16"/>
          <w:szCs w:val="16"/>
        </w:rPr>
        <w:softHyphen/>
        <w:t>тания этого аппарата, в поле зрения моряков попал небольшой вертолет Ка-8 конструкто</w:t>
      </w:r>
      <w:r w:rsidRPr="00F90EAE">
        <w:rPr>
          <w:color w:val="000000" w:themeColor="text1"/>
          <w:sz w:val="16"/>
          <w:szCs w:val="16"/>
        </w:rPr>
        <w:softHyphen/>
        <w:t>ра Н.И.Камова, выполненный по так назы</w:t>
      </w:r>
      <w:r w:rsidRPr="00F90EAE">
        <w:rPr>
          <w:color w:val="000000" w:themeColor="text1"/>
          <w:sz w:val="16"/>
          <w:szCs w:val="16"/>
        </w:rPr>
        <w:softHyphen/>
        <w:t>ваемой соосной схеме. Приказ Министерства авиапромышленности СССР о его создании вышел 13 ноября 1946 г. А спустя несколь</w:t>
      </w:r>
      <w:r w:rsidRPr="00F90EAE">
        <w:rPr>
          <w:color w:val="000000" w:themeColor="text1"/>
          <w:sz w:val="16"/>
          <w:szCs w:val="16"/>
        </w:rPr>
        <w:softHyphen/>
        <w:t>ко месяцев командование ВМФ утвердило тактико-технические требования на новый вертолет (12301).</w:t>
      </w:r>
    </w:p>
    <w:p w14:paraId="3F891F72" w14:textId="77777777" w:rsidR="00500674" w:rsidRPr="00F90EAE" w:rsidRDefault="00500674" w:rsidP="00F90EAE">
      <w:pPr>
        <w:jc w:val="both"/>
        <w:rPr>
          <w:color w:val="000000" w:themeColor="text1"/>
          <w:sz w:val="16"/>
          <w:szCs w:val="16"/>
        </w:rPr>
      </w:pPr>
    </w:p>
    <w:p w14:paraId="0A882C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закончились гос. испытания Як-10 и самолет был рекомендован в серию (4,351).</w:t>
      </w:r>
    </w:p>
    <w:p w14:paraId="250E2405" w14:textId="77777777" w:rsidR="006103B3" w:rsidRPr="00F90EAE" w:rsidRDefault="006103B3" w:rsidP="00F90EAE">
      <w:pPr>
        <w:autoSpaceDE w:val="0"/>
        <w:autoSpaceDN w:val="0"/>
        <w:adjustRightInd w:val="0"/>
        <w:jc w:val="both"/>
        <w:rPr>
          <w:color w:val="000000" w:themeColor="text1"/>
          <w:sz w:val="16"/>
          <w:szCs w:val="16"/>
        </w:rPr>
      </w:pPr>
    </w:p>
    <w:p w14:paraId="2A88A9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1945-го закончились заводские испытания Як-13, которые шли с февраля 1945. Ведущими на этапе заводских летных испытаний Як-13 были инженер А.Дружинин, летчик М.Павлов и механик О.Яницкий.</w:t>
      </w:r>
    </w:p>
    <w:p w14:paraId="57EDFE0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 время испытаний проведено 32 полета общей продолжительностью 22 часа 45 мин. В результате были получены такие данные: максимальная скорость у земли - 235 км/ч, на высоте 2500 м -205 км/ч. Крейсерская скорость -170 км/ ч. Время набора высоты 1000 м - 5,7 мин., 2500 м -16,9 мин. Скороподъемность у земли - 3,5 м/сек. Техническая дальность на скорости 170 км/ч - 700 км. Практический потолок - 4250 м. Разбег и пробег - 200 м.</w:t>
      </w:r>
    </w:p>
    <w:p w14:paraId="6037A92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После заключительного полета Михаил Павлов записал: " Як-13, благодаря хорошему обзору, простому и легкому управлению и хорошей устойчивости, является прекрасным штабным самолетом. Для взлета и посадки вполне достаточна площадка, годная для самолета УТ-2. Большое удобство и безопасность представляет запуск мотора сжатым воздухом, осуществляемый из кабины.</w:t>
      </w:r>
    </w:p>
    <w:p w14:paraId="526085F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Тормозные колеса сокращают пробег при посадке. Благодаря убирающемуся шасси, самолет имеет отличную скорость и делает более безопасной вынужденную посадку. Як-13 может быть успешно применен в качестве штабного самолета и как пассажирский для местных линий".</w:t>
      </w:r>
    </w:p>
    <w:p w14:paraId="5BFF73C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выводах после окончания заводских испытаний отмечалось, что опытный Як-13 по своим летным и эксплуатационным качествам, простоте и комфортабельности значительно превосходит все существующие в СССР типы легких пассажирских и связных самолетов с моторами М-11...</w:t>
      </w:r>
    </w:p>
    <w:p w14:paraId="72094B1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Як-13 рулит устойчиво при скорости 15-20 км/ч и оборотах мотора 650-700 об/ мин., не нуждаясь в сопровождении даже при ветре. На разбеге устойчив, тенденции к разворотам не имеет, для отрыва хвоста требует некоторого усилия на ручку от себя.</w:t>
      </w:r>
    </w:p>
    <w:p w14:paraId="6993B6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На наборе высоты при скорости 140 км/ч устойчивость относительно всех трех осей нормальная, усилия на ручку управления при этом небольшие, кроме того, они легко снимаются триммером. В горизонтальном полете имеет хороший запас устойчивости при всех эксплуатационных центровках.</w:t>
      </w:r>
    </w:p>
    <w:p w14:paraId="62BD2AF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Триммером легко балансируется на режимах горизонтального полета.</w:t>
      </w:r>
    </w:p>
    <w:p w14:paraId="0E25BEF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 эволюциях самолета - виражах, горках - нагрузки на ручку управления от руля высоты несколько возрастают, что для легкого небоевого самолета является положительным фактором в отношении безопасности полета.</w:t>
      </w:r>
    </w:p>
    <w:p w14:paraId="591CBC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Поперечная устойчивость - нормальная. Запас путевой устойчивости большой, эффективность руля поворота и нагрузки от него на управление - нормальные. При крутом планировании на скоростях до 320 км/ч Як-13 ведет себя нормально, вибраций нет. На критических углах атаки тенденций к сваливанию на крыло не имеет, при потере скорости самолет сам переходит на нос и набирает скорость.</w:t>
      </w:r>
    </w:p>
    <w:p w14:paraId="3E74F37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Бафтинга и других видов тряски на больших углах атаки не наблюдается. Устойчиво планирует с выпущенными щитками и шасси на скоростях 125-130 км/ ч. На посадке нагрузки на ручку управления от руля высоты • умеренные и значительно понижаются при выбранном триммере. Посадочная скорость самолета -100-105 км/ч. На пробеге машина устойчива, хорошо слушается тормозов.</w:t>
      </w:r>
    </w:p>
    <w:p w14:paraId="27AC141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Як-13 позволяет производить полеты при любом эксплуатационном варианте загрузки. Кабина удобная, освещаемость достаточная, обзор хороший. Для улучшения обзора на рулежке сидение пилота сделано подъемным. Расположение приборов и рычагов управления удобное.</w:t>
      </w:r>
    </w:p>
    <w:p w14:paraId="0F8B684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Обслуживание винто-моторной группы простое, подходы ко всем агрегатам удобные, съемка и установка капотов производится легко и быстро. Благодаря наличию компрессора АК-40, пневмосисте-ма надежно обеспечивает выпуск шасси, закрылков и запуск мотора".</w:t>
      </w:r>
    </w:p>
    <w:p w14:paraId="722B84C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заключении, которое подписали А-Дружинин, М.Павлов, военпред К.Яновчук, отмечалось; "Як-13 прошел заводские испытания. Самолет может быть передан на государственные испытания в НИИ ВВС КА" (6411).</w:t>
      </w:r>
    </w:p>
    <w:p w14:paraId="0A913669" w14:textId="77777777" w:rsidR="006103B3" w:rsidRPr="00F90EAE" w:rsidRDefault="006103B3" w:rsidP="00F90EAE">
      <w:pPr>
        <w:autoSpaceDE w:val="0"/>
        <w:autoSpaceDN w:val="0"/>
        <w:adjustRightInd w:val="0"/>
        <w:jc w:val="both"/>
        <w:rPr>
          <w:color w:val="000000" w:themeColor="text1"/>
          <w:sz w:val="16"/>
          <w:szCs w:val="16"/>
        </w:rPr>
      </w:pPr>
    </w:p>
    <w:p w14:paraId="7FE1208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сняли с испытаний в связи с появлением активной коррозии БИ-7 с РД-1 Исаева вместо Д-1-А-1100 Л.С.Душкина. Машина выполнила 3 полета и летали Б.Н.Кудрин и М.К.Байкал (2928,21).</w:t>
      </w:r>
    </w:p>
    <w:p w14:paraId="7AA8BDD7" w14:textId="77777777" w:rsidR="006103B3" w:rsidRPr="00F90EAE" w:rsidRDefault="006103B3" w:rsidP="00F90EAE">
      <w:pPr>
        <w:autoSpaceDE w:val="0"/>
        <w:autoSpaceDN w:val="0"/>
        <w:adjustRightInd w:val="0"/>
        <w:jc w:val="both"/>
        <w:rPr>
          <w:color w:val="000000" w:themeColor="text1"/>
          <w:sz w:val="16"/>
          <w:szCs w:val="16"/>
        </w:rPr>
      </w:pPr>
    </w:p>
    <w:p w14:paraId="3687DE5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1945 проводились первые стендовые испытания образцов АМ-45, в ходе которых выяснилась недостаточная надежность ПНЦ. В апреле 1946 закончили проектирование трех новых вариантов ПНЦ. Всего было изготовлено 16 эк. АМ-45 разных модификаций.</w:t>
      </w:r>
    </w:p>
    <w:p w14:paraId="15686A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Характеристики:</w:t>
      </w:r>
    </w:p>
    <w:p w14:paraId="61CF1B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диаметр цилиндра/ход поршня 160/190 (в цилиндрах с прицепными шатунами 196,8) мм;</w:t>
      </w:r>
    </w:p>
    <w:p w14:paraId="61513BE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объем 46,66 л;</w:t>
      </w:r>
    </w:p>
    <w:p w14:paraId="0474B2A4"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мощность и вес в зависимости от модификации;</w:t>
      </w:r>
    </w:p>
    <w:p w14:paraId="0BF5F24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запуск сжатым воздухом.</w:t>
      </w:r>
    </w:p>
    <w:p w14:paraId="755B75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Известны три модификации:</w:t>
      </w:r>
    </w:p>
    <w:p w14:paraId="50BEC51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 с двухскоростным двухступенчатым ПЦН, 1750/2450 л.с. (по заданию 2200/2500 л.с.), вес 1200 кг. Проходил заводские испытания весной 1946 г. В сентябре 1947 г. удовлетворительно прошел совмест</w:t>
      </w:r>
      <w:r w:rsidRPr="00F90EAE">
        <w:rPr>
          <w:color w:val="000000" w:themeColor="text1"/>
          <w:sz w:val="16"/>
          <w:szCs w:val="16"/>
        </w:rPr>
        <w:softHyphen/>
        <w:t>ные испытания.</w:t>
      </w:r>
    </w:p>
    <w:p w14:paraId="419CE43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 АМ-45Д мощностью 1750/2700 л.с. Проектирование закончили в 1-м квартале 1946 г. Изготовили три опытных экземпляра. Данные об испытаниях отсутствуют.</w:t>
      </w:r>
    </w:p>
    <w:p w14:paraId="3AEB12E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АМ-45Ш, 2400/3000 л.с. Изготовлен в двух экземплярах в 1948 г., проходил заводские испытания.</w:t>
      </w:r>
    </w:p>
    <w:p w14:paraId="6740FF5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Существовал проект модификации Ил-10 с этим двигателем (11852).</w:t>
      </w:r>
    </w:p>
    <w:p w14:paraId="4391454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371BEBB2" w14:textId="77777777" w:rsidR="002A5DBF" w:rsidRPr="00F90EAE" w:rsidRDefault="002A5DBF" w:rsidP="00F90EAE">
      <w:pPr>
        <w:pStyle w:val="a3"/>
        <w:rPr>
          <w:color w:val="000000" w:themeColor="text1"/>
          <w:lang w:val="ru-RU"/>
        </w:rPr>
      </w:pPr>
      <w:r w:rsidRPr="00F90EAE">
        <w:rPr>
          <w:color w:val="000000" w:themeColor="text1"/>
          <w:lang w:val="ru-RU"/>
        </w:rPr>
        <w:t>В июне 1945 г. завершились наземные заводские испытания комбинации авиационного дизеля и воз</w:t>
      </w:r>
      <w:r w:rsidRPr="00F90EAE">
        <w:rPr>
          <w:color w:val="000000" w:themeColor="text1"/>
          <w:lang w:val="ru-RU"/>
        </w:rPr>
        <w:softHyphen/>
        <w:t>душно-реактивного двигателя компрессорного (ВРДК), получившую обозначение Э</w:t>
      </w:r>
      <w:r w:rsidRPr="00F90EAE">
        <w:rPr>
          <w:rStyle w:val="Garamond0"/>
          <w:rFonts w:ascii="Times New Roman" w:hAnsi="Times New Roman" w:cs="Times New Roman"/>
          <w:b w:val="0"/>
          <w:color w:val="000000" w:themeColor="text1"/>
          <w:spacing w:val="0"/>
          <w:sz w:val="16"/>
          <w:szCs w:val="16"/>
          <w:lang w:val="ru-RU"/>
        </w:rPr>
        <w:t>-3130</w:t>
      </w:r>
      <w:r w:rsidRPr="00F90EAE">
        <w:rPr>
          <w:color w:val="000000" w:themeColor="text1"/>
          <w:lang w:val="ru-RU"/>
        </w:rPr>
        <w:t>. Для лётной отработки комбинированной установки решили использовать Ер-2. Завод №</w:t>
      </w:r>
      <w:r w:rsidRPr="00F90EAE">
        <w:rPr>
          <w:rStyle w:val="Garamond0"/>
          <w:rFonts w:ascii="Times New Roman" w:hAnsi="Times New Roman" w:cs="Times New Roman"/>
          <w:b w:val="0"/>
          <w:color w:val="000000" w:themeColor="text1"/>
          <w:spacing w:val="0"/>
          <w:sz w:val="16"/>
          <w:szCs w:val="16"/>
          <w:lang w:val="ru-RU"/>
        </w:rPr>
        <w:t xml:space="preserve"> 134</w:t>
      </w:r>
      <w:r w:rsidRPr="00F90EAE">
        <w:rPr>
          <w:color w:val="000000" w:themeColor="text1"/>
          <w:lang w:val="ru-RU"/>
        </w:rPr>
        <w:t xml:space="preserve"> подготовил ком</w:t>
      </w:r>
      <w:r w:rsidRPr="00F90EAE">
        <w:rPr>
          <w:color w:val="000000" w:themeColor="text1"/>
          <w:lang w:val="ru-RU"/>
        </w:rPr>
        <w:softHyphen/>
        <w:t>плект чертежей по размещению Э-3130 на самолёте и отправил их в ЦИАМ. В производ</w:t>
      </w:r>
      <w:r w:rsidRPr="00F90EAE">
        <w:rPr>
          <w:color w:val="000000" w:themeColor="text1"/>
          <w:lang w:val="ru-RU"/>
        </w:rPr>
        <w:softHyphen/>
        <w:t>стве переоборудование Ер-2 не проводилось из-за отсутствия лётных образцов Э</w:t>
      </w:r>
      <w:r w:rsidRPr="00F90EAE">
        <w:rPr>
          <w:rStyle w:val="Garamond0"/>
          <w:rFonts w:ascii="Times New Roman" w:hAnsi="Times New Roman" w:cs="Times New Roman"/>
          <w:b w:val="0"/>
          <w:color w:val="000000" w:themeColor="text1"/>
          <w:spacing w:val="0"/>
          <w:sz w:val="16"/>
          <w:szCs w:val="16"/>
          <w:lang w:val="ru-RU"/>
        </w:rPr>
        <w:t xml:space="preserve">-3130 </w:t>
      </w:r>
      <w:r w:rsidRPr="00F90EAE">
        <w:rPr>
          <w:color w:val="000000" w:themeColor="text1"/>
          <w:lang w:val="ru-RU"/>
        </w:rPr>
        <w:t>и закрытия темы приказом НКАП от 6 марта 1946 г. (15810).</w:t>
      </w:r>
    </w:p>
    <w:p w14:paraId="452DCDE7" w14:textId="77777777" w:rsidR="002A5DBF" w:rsidRPr="00F90EAE" w:rsidRDefault="002A5DBF" w:rsidP="00F90EAE">
      <w:pPr>
        <w:pStyle w:val="a3"/>
        <w:rPr>
          <w:color w:val="000000" w:themeColor="text1"/>
          <w:lang w:val="ru-RU"/>
        </w:rPr>
      </w:pPr>
    </w:p>
    <w:p w14:paraId="0940E04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года гл. инженер ВВС генерал-полковник Репин писал письмо командующему ВВС гл. маршалу авиации Новикову А.А.</w:t>
      </w:r>
    </w:p>
    <w:p w14:paraId="18E8B09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материалу немецкого инженера Роберта Гюссенера "Резонансные самолеты" докладываю следующее:</w:t>
      </w:r>
    </w:p>
    <w:p w14:paraId="31CBCF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В материале излагаются соображения общего характера о возможности осуществления полета самолета по принципу птиц и насекомых (колебательные и машущие движения несущих плоскостей).</w:t>
      </w:r>
    </w:p>
    <w:p w14:paraId="72DA92C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Вопрос излагается в общей форме, без конкретных расчетов и сравнений с существующими типами летательных аппаратов.</w:t>
      </w:r>
    </w:p>
    <w:p w14:paraId="463DD5E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При совершении таких движений несущих плоскостей, по мнению этого инженера, якобы, появляется возможность использовать эффект резонанса в полете, что обеспечивает наиболее эффективное использование летательного аппарата в отношении экономии энергии и грузоподъемности. По этим соображениям самолеты и названы резонансными. При этом самым главным является осуществление конструкции машущего крыла, использование же резонансного эффекта относится больше к методике применения подобных аппаратов.</w:t>
      </w:r>
    </w:p>
    <w:p w14:paraId="4D43D1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Идея применения машущих и колебательных движений крыла для полета самолета не является новой. В литературе всех стран можно найти много статей, освещающих этот вопрос, однако, преимущества этого принципа в сравнении с существующими никем не обоснованы, не обосновываются также и этим инженером.</w:t>
      </w:r>
    </w:p>
    <w:p w14:paraId="3DBFE9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3. До настоящего времени идея машущего крыла не имела практического разрешения, ввиду наличия больших трудностей осуществления достаточно прочной и надежной конструкции и неочевидности преимуществ.</w:t>
      </w:r>
    </w:p>
    <w:p w14:paraId="065D9A2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этим соображениям такие самолеты не будут иметь реальных перспектив на очень длительное время и, следовательно, этот вопрос в данное время практического интереса не представляет (2591).</w:t>
      </w:r>
    </w:p>
    <w:p w14:paraId="4FEEB31D" w14:textId="77777777" w:rsidR="006103B3" w:rsidRPr="00F90EAE" w:rsidRDefault="006103B3" w:rsidP="00F90EAE">
      <w:pPr>
        <w:autoSpaceDE w:val="0"/>
        <w:autoSpaceDN w:val="0"/>
        <w:adjustRightInd w:val="0"/>
        <w:jc w:val="both"/>
        <w:rPr>
          <w:color w:val="000000" w:themeColor="text1"/>
          <w:sz w:val="16"/>
          <w:szCs w:val="16"/>
        </w:rPr>
      </w:pPr>
    </w:p>
    <w:p w14:paraId="135A32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был подготовлен очет:</w:t>
      </w:r>
    </w:p>
    <w:p w14:paraId="0643F5F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 Красноярской воздушной трассе перегнано из США 4007 самолетов, в том числе 1509 бомбардировщиков, 2184 истребителя и 314 транспортных самолетов.</w:t>
      </w:r>
    </w:p>
    <w:p w14:paraId="783FC3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авиазаводов для ВВС, АДД и ГВФ перегнано и сдано 836 самолетов, в том числе 604 Ил-2 и 232 Ли-2.</w:t>
      </w:r>
    </w:p>
    <w:p w14:paraId="4145470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Кроме того, из Англии было перегнано 11 самолетов “Албимал” и 1 самолет “Москито”.</w:t>
      </w:r>
    </w:p>
    <w:p w14:paraId="19C202A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42EC7BD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Помимо ремонта самолетно-моторного парка в авиаремонтной базе № 404 (Свердловск), согласно решения ГОКО, изготовлено 449 тысяч спецдеталей к реактивному снаряду М-13.</w:t>
      </w:r>
    </w:p>
    <w:p w14:paraId="055893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322AA9A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Восстановлено 37 трофейных самолетов Ю-52 и 102 мотора БМВ-132.</w:t>
      </w:r>
    </w:p>
    <w:p w14:paraId="29BBAD3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Переделано под 3-х местный лимузин 204 самолета По-2, что позволило учебных самолет использовать для пассажирских перевозок и увеличить его грузоподъемность на 160 кг</w:t>
      </w:r>
    </w:p>
    <w:p w14:paraId="1FF0AAE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w:t>
      </w:r>
    </w:p>
    <w:p w14:paraId="6ED9929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Реорганизован завод № 245, ранее изготовлявший аэродромное оборудование, на изготовление запасных частей к самолетам и моторам.</w:t>
      </w:r>
    </w:p>
    <w:p w14:paraId="2BDABF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1942 и 1943 году организованы две бвзы: № 400 по ремонту самолетов Ли-2 и № 402 по ремонту самолетов По-2 и П-5 (8654).</w:t>
      </w:r>
    </w:p>
    <w:p w14:paraId="01FBB286" w14:textId="77777777" w:rsidR="006103B3" w:rsidRPr="00F90EAE" w:rsidRDefault="006103B3" w:rsidP="00F90EAE">
      <w:pPr>
        <w:autoSpaceDE w:val="0"/>
        <w:autoSpaceDN w:val="0"/>
        <w:adjustRightInd w:val="0"/>
        <w:jc w:val="both"/>
        <w:rPr>
          <w:color w:val="000000" w:themeColor="text1"/>
          <w:sz w:val="16"/>
          <w:szCs w:val="16"/>
        </w:rPr>
      </w:pPr>
    </w:p>
    <w:p w14:paraId="2FFC7C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С.П.К. подготоввил предложения в НКАП:</w:t>
      </w:r>
    </w:p>
    <w:p w14:paraId="044F47B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НЕОБХОДИМЫЕ МЕРОПРИЯТИЯ ДЛЯ ОРГАНИЗАЦИИ РАБОТ ПО РАКЕТАМ ДАЛЬНЕГО ДЕЙСТВИЯ</w:t>
      </w:r>
    </w:p>
    <w:p w14:paraId="707EF3A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 Организовать с 1 ноября 1945 г. в филиале № 2 НИИ-1 НКАП специальное опытное конструкторское бюро (Спецбюро) со своей производственной базой и экспериментальной частью для осуществления ракет дальнего действия.</w:t>
      </w:r>
    </w:p>
    <w:p w14:paraId="5155FBA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Принять для Спецбюро объект Д-2 как основную тему работ на 1945-1946 гг.</w:t>
      </w:r>
    </w:p>
    <w:p w14:paraId="6AA4E3B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обеспечение этих работ выделить в 1945-1946 гг. филиалу № 2 НИИ-1 НКАП для Спецбюро необходимые материальные фонды, фонды на капитальное строительство, фонды на станочное оборудование, транспорт и приборы в соответствии с тематическим планом и заявками Спецбюро.</w:t>
      </w:r>
    </w:p>
    <w:p w14:paraId="52C051A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Обязать Спецбюро разработать тематический план работ и заявки и представить их в НКАП к 1 октября с.г.</w:t>
      </w:r>
    </w:p>
    <w:p w14:paraId="37091E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 Укомплектовать штат Спецбюро специалистами</w:t>
      </w:r>
      <w:r w:rsidRPr="00F90EAE">
        <w:rPr>
          <w:color w:val="000000" w:themeColor="text1"/>
          <w:sz w:val="16"/>
          <w:szCs w:val="16"/>
          <w:vertAlign w:val="superscript"/>
        </w:rPr>
        <w:t>1</w:t>
      </w:r>
      <w:r w:rsidRPr="00F90EAE">
        <w:rPr>
          <w:color w:val="000000" w:themeColor="text1"/>
          <w:sz w:val="16"/>
          <w:szCs w:val="16"/>
        </w:rPr>
        <w:t>&lt;...&gt;</w:t>
      </w:r>
    </w:p>
    <w:p w14:paraId="73DC57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6. Обязать ЦАГИ произвести в IV квартале 1945 г. и в 1946 г. продувки моделей ракет по заданиям Спецбюро.</w:t>
      </w:r>
    </w:p>
    <w:p w14:paraId="6710CAD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7. Ознакомить ведущих работников Спецбюро с трофейной ракетной техникой и по возможности с последними английскими и американскими новинками в этой области.</w:t>
      </w:r>
    </w:p>
    <w:p w14:paraId="0A41EF7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8. В целях наилучшего обеспечения и ускорения работ по созданию дальней ракеты "Д" эту работу в целом и необходимые по ней мероприятия желательно провести постановлением Государственного Комитета Обороны. (ААН, р. 4, оп. 17, № 106, л. 1,2) (10676).</w:t>
      </w:r>
    </w:p>
    <w:p w14:paraId="1E8CC13D" w14:textId="77777777" w:rsidR="006103B3" w:rsidRPr="00F90EAE" w:rsidRDefault="006103B3" w:rsidP="00F90EAE">
      <w:pPr>
        <w:autoSpaceDE w:val="0"/>
        <w:autoSpaceDN w:val="0"/>
        <w:adjustRightInd w:val="0"/>
        <w:jc w:val="both"/>
        <w:rPr>
          <w:color w:val="000000" w:themeColor="text1"/>
          <w:sz w:val="16"/>
          <w:szCs w:val="16"/>
        </w:rPr>
      </w:pPr>
    </w:p>
    <w:p w14:paraId="18DDF131"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57AA8D7" w14:textId="77777777" w:rsidR="006103B3" w:rsidRPr="00F90EAE" w:rsidRDefault="006103B3" w:rsidP="00F90EAE">
      <w:pPr>
        <w:autoSpaceDE w:val="0"/>
        <w:autoSpaceDN w:val="0"/>
        <w:adjustRightInd w:val="0"/>
        <w:jc w:val="both"/>
        <w:rPr>
          <w:iCs/>
          <w:color w:val="000000" w:themeColor="text1"/>
          <w:sz w:val="16"/>
          <w:szCs w:val="16"/>
        </w:rPr>
      </w:pPr>
    </w:p>
    <w:p w14:paraId="1DABF0E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июня 1945 года и начиная с 1942 завод № 304 выпускал патроны ТТ, а с июня 1945 года он переведен на радиолокационную аппаратуру. С 1942 года ему был присвоен № 304.</w:t>
      </w:r>
    </w:p>
    <w:p w14:paraId="6844F1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ВОСР это был пистонный завод Бельгийского АО “Монтекристо”.</w:t>
      </w:r>
    </w:p>
    <w:p w14:paraId="37EFE9C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До 1936 года завод назывался “Красный снаряжатель” и выпускал патроны к мелкокалиберным ружьям.</w:t>
      </w:r>
    </w:p>
    <w:p w14:paraId="09E91E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1936 года до 1942 года заводу был присвоен № 46. В это время он изготавливал патроны для разных систем стрелкового оружия.</w:t>
      </w:r>
    </w:p>
    <w:p w14:paraId="4F38D50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Кунцево Московской области, п/я 15 (9549).</w:t>
      </w:r>
    </w:p>
    <w:p w14:paraId="52527950" w14:textId="77777777" w:rsidR="006103B3" w:rsidRPr="00F90EAE" w:rsidRDefault="006103B3" w:rsidP="00F90EAE">
      <w:pPr>
        <w:autoSpaceDE w:val="0"/>
        <w:autoSpaceDN w:val="0"/>
        <w:adjustRightInd w:val="0"/>
        <w:jc w:val="both"/>
        <w:rPr>
          <w:color w:val="000000" w:themeColor="text1"/>
          <w:sz w:val="16"/>
          <w:szCs w:val="16"/>
        </w:rPr>
      </w:pPr>
    </w:p>
    <w:p w14:paraId="4104DC3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завод (Завод № 568 НКБ /г. Москва/) прекратил свою деятельность, оборудование и кадры переданы на другие заводы НКБ и на площадку завода был переведен Инструментальный часовой завод Главчаспрома НКМВ.</w:t>
      </w:r>
    </w:p>
    <w:p w14:paraId="7281D26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Завод имел филиал - завод № 775, который в 1946 г. стал опытным заводом ГЦКБ-1 МСХМ.</w:t>
      </w:r>
    </w:p>
    <w:p w14:paraId="79715C6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(12.1942 г.)- 1128 чел.</w:t>
      </w:r>
    </w:p>
    <w:p w14:paraId="0CF2FB65" w14:textId="77777777" w:rsidR="006103B3" w:rsidRPr="00F90EAE" w:rsidRDefault="006103B3" w:rsidP="00F90EAE">
      <w:pPr>
        <w:autoSpaceDE w:val="0"/>
        <w:autoSpaceDN w:val="0"/>
        <w:adjustRightInd w:val="0"/>
        <w:jc w:val="both"/>
        <w:rPr>
          <w:color w:val="000000" w:themeColor="text1"/>
          <w:sz w:val="16"/>
          <w:szCs w:val="16"/>
          <w:vertAlign w:val="superscript"/>
        </w:rPr>
      </w:pPr>
      <w:r w:rsidRPr="00F90EAE">
        <w:rPr>
          <w:color w:val="000000" w:themeColor="text1"/>
          <w:sz w:val="16"/>
          <w:szCs w:val="16"/>
        </w:rPr>
        <w:t>Директор (ВОВ)- П.А. Большаков. Начальник (11.1943 г.)- Андрачников (11982).</w:t>
      </w:r>
    </w:p>
    <w:p w14:paraId="60A2FDAC" w14:textId="77777777" w:rsidR="006103B3" w:rsidRPr="00F90EAE" w:rsidRDefault="006103B3" w:rsidP="00F90EAE">
      <w:pPr>
        <w:autoSpaceDE w:val="0"/>
        <w:autoSpaceDN w:val="0"/>
        <w:adjustRightInd w:val="0"/>
        <w:jc w:val="both"/>
        <w:rPr>
          <w:color w:val="000000" w:themeColor="text1"/>
          <w:sz w:val="16"/>
          <w:szCs w:val="16"/>
        </w:rPr>
      </w:pPr>
    </w:p>
    <w:p w14:paraId="67EAA1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июня 1945 года взамен снятого с производства 152 мм снаряда завод № 110 в Сталино был приспособлен к производству с/х машин.</w:t>
      </w:r>
    </w:p>
    <w:p w14:paraId="2F37FD9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Адрес: Сталино, 7, п/я 3</w:t>
      </w:r>
    </w:p>
    <w:p w14:paraId="120799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 Березин (10030).</w:t>
      </w:r>
    </w:p>
    <w:p w14:paraId="488BB2E7" w14:textId="77777777" w:rsidR="006103B3" w:rsidRPr="00F90EAE" w:rsidRDefault="006103B3" w:rsidP="00F90EAE">
      <w:pPr>
        <w:autoSpaceDE w:val="0"/>
        <w:autoSpaceDN w:val="0"/>
        <w:adjustRightInd w:val="0"/>
        <w:jc w:val="both"/>
        <w:rPr>
          <w:color w:val="000000" w:themeColor="text1"/>
          <w:sz w:val="16"/>
          <w:szCs w:val="16"/>
        </w:rPr>
      </w:pPr>
    </w:p>
    <w:p w14:paraId="325B2F2C" w14:textId="77777777" w:rsidR="003C588F" w:rsidRPr="00F90EAE" w:rsidRDefault="003C588F" w:rsidP="00F90EAE">
      <w:pPr>
        <w:jc w:val="both"/>
        <w:rPr>
          <w:color w:val="000000" w:themeColor="text1"/>
          <w:sz w:val="16"/>
          <w:szCs w:val="16"/>
        </w:rPr>
      </w:pPr>
      <w:r w:rsidRPr="00F90EAE">
        <w:rPr>
          <w:color w:val="000000" w:themeColor="text1"/>
          <w:sz w:val="16"/>
          <w:szCs w:val="16"/>
        </w:rPr>
        <w:t>По июнь 1945 года с декабря 1943 ЧКЗ сдал 3385 ИС-2. В июне отгрузили последние 63 машины, на заводе остался всего один ИС-2, который проходил длительные испытания. В октябре 1945 года вместо этой машины, которая требовала капитального ремонта, завод сдал лишний танк ИС-3 (18099).</w:t>
      </w:r>
    </w:p>
    <w:p w14:paraId="6F2D69FF" w14:textId="77777777" w:rsidR="003C588F" w:rsidRPr="00F90EAE" w:rsidRDefault="003C588F" w:rsidP="00F90EAE">
      <w:pPr>
        <w:jc w:val="both"/>
        <w:rPr>
          <w:color w:val="000000" w:themeColor="text1"/>
          <w:sz w:val="16"/>
          <w:szCs w:val="16"/>
        </w:rPr>
      </w:pPr>
    </w:p>
    <w:p w14:paraId="3C4852A0" w14:textId="77777777" w:rsidR="003C588F" w:rsidRPr="00F90EAE" w:rsidRDefault="003C588F" w:rsidP="00F90EAE">
      <w:pPr>
        <w:pStyle w:val="4f"/>
        <w:shd w:val="clear" w:color="auto" w:fill="FFFFFF"/>
        <w:spacing w:before="0" w:beforeAutospacing="0" w:after="0" w:afterAutospacing="0"/>
        <w:jc w:val="both"/>
        <w:textAlignment w:val="baseline"/>
        <w:rPr>
          <w:color w:val="000000" w:themeColor="text1"/>
          <w:sz w:val="16"/>
          <w:szCs w:val="16"/>
        </w:rPr>
      </w:pPr>
      <w:r w:rsidRPr="00F90EAE">
        <w:rPr>
          <w:iCs/>
          <w:color w:val="000000" w:themeColor="text1"/>
          <w:sz w:val="16"/>
          <w:szCs w:val="16"/>
          <w:bdr w:val="none" w:sz="0" w:space="0" w:color="auto" w:frame="1"/>
        </w:rPr>
        <w:t xml:space="preserve">В июне 1945 года производство тяжёлого танка ИС-2 окончательно завершилось, на конвейере он уступил место своему преемнику — ИС-3 (19772). </w:t>
      </w:r>
    </w:p>
    <w:p w14:paraId="3D9688AF"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p>
    <w:p w14:paraId="53068321"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С июня 1945 года ИС-3 стали поступать в войска. При этом на заводе продолжали лихорадочно бороться с перегревом системы охлаждения (преодолеть его удалось только в июле). По этой причине новые танки на первых порах были, скорее, учебными машинами. Ввиду перегрева системы охлаждения максимальную скорость развить не получалось. Лишь ближе к концу лета стали поступать боевые машины, имевшие 100% боеспособность. Такова была плата за столь стремительное развёртывание производства ИС-3. Впрочем, обвинять ГБТУ КА и НКТП не в чем. Никто не знал, сколько ещё продлится война, а к броневой защите ИС-2 уже давно накопилось немало претензий. Примерно в пределах одной боевой операции ИС-3 вполне «жил», а в условиях войны этого было вполне достаточно.</w:t>
      </w:r>
    </w:p>
    <w:p w14:paraId="3BE175DC"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Несмотря на все «болячки», именно этому танку было доверено «нести флаг» советского танкопрома на Параде Победы 7 сентября 1945 года. Для данной задачи в Берлине собрали боеспособные части, оснащённые новыми танками. Честь пройти по Берлину выпала танкистам 2-й Гвардейской танковой армии. ИС-3 замыкали парад, при этом ни одной поломки не случилось — новые советские тяжёлые танки сработали на все сто. Для союзников по антигитлеровской коалиции новые тяжёлые танки стали настоящим шоком. У них и так не было ничего подобного ИС-2, а тут по Берлину прошли машины, выглядевшие как пришельцы из будущего. Можно сказать, что ИС-3 стали танками, открывшими Холодную войну. В течение последующих семи лет ИС-3 являлся для западных стран образцом современного танка. Откуда им было знать про все те драмы, которые происходили с танком в ходе производства и эксплуатации? Не знали они и о том, что уже в июле 1946 года выпуск ИС-3 прекратился, так как на вооружение приняли новый танк — ИС-4.</w:t>
      </w:r>
    </w:p>
    <w:p w14:paraId="53734FD6"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случае с ИС-3 сложилась довольно занятная ситуация. Эти танки регулярно участвовали в парадах, причём не только в Москве. Вместе с тем, после окончания войны значительная их часть ушла не в войска, а на склады длительного хранения. Отчасти именно это стало одной из причин той драмы, в которую превратилась эксплуатация ИС-3. Дело в том, что в ходе эксплуатации ИС-2 из войск шла масса информации, которая аккумулировалась в ГБТУ КА, НКТП и на ЧКЗ. По итогам в конструкцию вносились изменения. А вот после войны ввиду существенно снизившихся объёмов использования танков поток информации существенно снизился — и на завод, и в Министерство транспортного машиностроения, которое в 1946 году стало наследником НКТП.</w:t>
      </w:r>
    </w:p>
    <w:p w14:paraId="09CAB98F"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 xml:space="preserve">Тревогу забили в 1947 году. Первой выявившейся проблемой стали недостатки подмоторной рамы. По состоянию на 10 апреля 1947 года в Группе советских оккупационных войск в Германии из 315 танков раму усилили на 50, и это было только начало. Поток рекламаций постоянно рос, а вместе с этим ужесточались требования на доработку машины. По этой причине уже в 1948 году возник вопрос модернизации ИС-3, которую начали проводить с 1951 года — впрочем, это </w:t>
      </w:r>
      <w:r w:rsidRPr="00F90EAE">
        <w:rPr>
          <w:color w:val="000000" w:themeColor="text1"/>
          <w:sz w:val="16"/>
          <w:szCs w:val="16"/>
        </w:rPr>
        <w:lastRenderedPageBreak/>
        <w:t>отдельная история. Стоит лишь отметить, что в исходном виде ИС-3 так и не повоевал. Машины, которые применили </w:t>
      </w:r>
      <w:hyperlink r:id="rId159" w:history="1">
        <w:r w:rsidRPr="00F90EAE">
          <w:rPr>
            <w:rStyle w:val="a5"/>
            <w:rFonts w:eastAsiaTheme="majorEastAsia"/>
            <w:bCs/>
            <w:iCs/>
            <w:color w:val="000000" w:themeColor="text1"/>
            <w:sz w:val="16"/>
            <w:szCs w:val="16"/>
            <w:bdr w:val="none" w:sz="0" w:space="0" w:color="auto" w:frame="1"/>
          </w:rPr>
          <w:t>в Будапеште осенью 1956 года</w:t>
        </w:r>
      </w:hyperlink>
      <w:r w:rsidRPr="00F90EAE">
        <w:rPr>
          <w:color w:val="000000" w:themeColor="text1"/>
          <w:sz w:val="16"/>
          <w:szCs w:val="16"/>
        </w:rPr>
        <w:t>, уже прошли программу УКН (устранение конструктивных недостатков). Тем не менее, три танка в исходной конфигурации дожили до наших дней: из них два находятся в Польше, ещё один — в Чехии (19731).</w:t>
      </w:r>
    </w:p>
    <w:p w14:paraId="413D5D3E" w14:textId="77777777" w:rsidR="003C588F" w:rsidRPr="00F90EAE" w:rsidRDefault="003C588F" w:rsidP="00F90EAE">
      <w:pPr>
        <w:jc w:val="both"/>
        <w:rPr>
          <w:color w:val="000000" w:themeColor="text1"/>
          <w:sz w:val="16"/>
          <w:szCs w:val="16"/>
        </w:rPr>
      </w:pPr>
    </w:p>
    <w:p w14:paraId="6A2EF98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на заводе № 75 началась сборка серийных танков Т-44. Первая партия танков Т-44 в августе 1945 года отправлена на Дальний Восток, где в это время происходили военные действия с Японией (9154).</w:t>
      </w:r>
    </w:p>
    <w:p w14:paraId="27268582" w14:textId="77777777" w:rsidR="006103B3" w:rsidRPr="00F90EAE" w:rsidRDefault="006103B3" w:rsidP="00F90EAE">
      <w:pPr>
        <w:autoSpaceDE w:val="0"/>
        <w:autoSpaceDN w:val="0"/>
        <w:adjustRightInd w:val="0"/>
        <w:jc w:val="both"/>
        <w:rPr>
          <w:color w:val="000000" w:themeColor="text1"/>
          <w:sz w:val="16"/>
          <w:szCs w:val="16"/>
        </w:rPr>
      </w:pPr>
    </w:p>
    <w:p w14:paraId="5784251B" w14:textId="77777777" w:rsidR="00F23D44" w:rsidRPr="00F90EAE" w:rsidRDefault="00F23D44" w:rsidP="00F90EAE">
      <w:pPr>
        <w:jc w:val="both"/>
        <w:rPr>
          <w:color w:val="0070C0"/>
          <w:sz w:val="16"/>
          <w:szCs w:val="16"/>
        </w:rPr>
      </w:pPr>
      <w:r w:rsidRPr="00F90EAE">
        <w:rPr>
          <w:color w:val="0070C0"/>
          <w:sz w:val="16"/>
          <w:szCs w:val="16"/>
        </w:rPr>
        <w:t>С июня 1945 все СУ-100 и далее выпускаются только с орудиями Д-10СК.</w:t>
      </w:r>
    </w:p>
    <w:p w14:paraId="039067E3" w14:textId="77777777" w:rsidR="00F23D44" w:rsidRPr="00F90EAE" w:rsidRDefault="00F23D44" w:rsidP="00F90EAE">
      <w:pPr>
        <w:jc w:val="both"/>
        <w:rPr>
          <w:color w:val="0070C0"/>
          <w:sz w:val="16"/>
          <w:szCs w:val="16"/>
        </w:rPr>
      </w:pPr>
      <w:r w:rsidRPr="00F90EAE">
        <w:rPr>
          <w:color w:val="0070C0"/>
          <w:sz w:val="16"/>
          <w:szCs w:val="16"/>
        </w:rPr>
        <w:t>Поручни на МТО перенесены с кормы ближе к середине боковых крышек. Интерес</w:t>
      </w:r>
      <w:r w:rsidRPr="00F90EAE">
        <w:rPr>
          <w:color w:val="0070C0"/>
          <w:sz w:val="16"/>
          <w:szCs w:val="16"/>
        </w:rPr>
        <w:softHyphen/>
        <w:t>но, что позже - при модернизации 1960 г. - установленные в среднем положении поруч</w:t>
      </w:r>
      <w:r w:rsidRPr="00F90EAE">
        <w:rPr>
          <w:color w:val="0070C0"/>
          <w:sz w:val="16"/>
          <w:szCs w:val="16"/>
        </w:rPr>
        <w:softHyphen/>
        <w:t>ни нередко срезали и переносили в прежнюю позицию к корме ради возможности прива</w:t>
      </w:r>
      <w:r w:rsidRPr="00F90EAE">
        <w:rPr>
          <w:color w:val="0070C0"/>
          <w:sz w:val="16"/>
          <w:szCs w:val="16"/>
        </w:rPr>
        <w:softHyphen/>
        <w:t>рить ближе к задней стенке боевой рубки бонки крепления дымовых шашек МДШ-5 по- походному (19927).</w:t>
      </w:r>
    </w:p>
    <w:p w14:paraId="55EE123B" w14:textId="77777777" w:rsidR="00F23D44" w:rsidRPr="00F90EAE" w:rsidRDefault="00F23D44" w:rsidP="00F90EAE">
      <w:pPr>
        <w:jc w:val="both"/>
        <w:rPr>
          <w:color w:val="0070C0"/>
          <w:sz w:val="16"/>
          <w:szCs w:val="16"/>
        </w:rPr>
      </w:pPr>
    </w:p>
    <w:p w14:paraId="0BDC962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доработанная СУ-76М (СУ-12М; М - модернизированная) пошла в производство (3862).</w:t>
      </w:r>
    </w:p>
    <w:p w14:paraId="287A474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Эти машины отличались доработанным силовым агрегатом и трансмиссией, в производстве использовался задел старых корпусов от СУ-76 (3862).</w:t>
      </w:r>
    </w:p>
    <w:p w14:paraId="760CCC6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Введение в трансмиссию дополнительных пружинных муфт между двигателями и КПП и фрикционной проскальзывающей муфты на общем валу, а также применение подмоторных амортизаторов снизили аварийность, но все же не исключили ее (3862).</w:t>
      </w:r>
    </w:p>
    <w:p w14:paraId="640A56F2" w14:textId="77777777" w:rsidR="006103B3" w:rsidRPr="00F90EAE" w:rsidRDefault="006103B3" w:rsidP="00F90EAE">
      <w:pPr>
        <w:autoSpaceDE w:val="0"/>
        <w:autoSpaceDN w:val="0"/>
        <w:adjustRightInd w:val="0"/>
        <w:jc w:val="both"/>
        <w:rPr>
          <w:color w:val="000000" w:themeColor="text1"/>
          <w:sz w:val="16"/>
          <w:szCs w:val="16"/>
        </w:rPr>
      </w:pPr>
    </w:p>
    <w:p w14:paraId="7BB65F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июня 1945 проходили полигонные испытания 130 мм пушки С-26 з-да 172, которую хотели поставить на ИС и потом изготовили ИСУ-130, надобность в которой отпала после окончания войны (7437, 32).</w:t>
      </w:r>
    </w:p>
    <w:p w14:paraId="1E74C694" w14:textId="77777777" w:rsidR="006103B3" w:rsidRPr="00F90EAE" w:rsidRDefault="006103B3" w:rsidP="00F90EAE">
      <w:pPr>
        <w:autoSpaceDE w:val="0"/>
        <w:autoSpaceDN w:val="0"/>
        <w:adjustRightInd w:val="0"/>
        <w:jc w:val="both"/>
        <w:rPr>
          <w:color w:val="000000" w:themeColor="text1"/>
          <w:sz w:val="16"/>
          <w:szCs w:val="16"/>
        </w:rPr>
      </w:pPr>
    </w:p>
    <w:p w14:paraId="00F2EF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1945 г. закончились ходовые и артиллерийские испытания опытного образца самоходной установки ИСУ-130 ("Объект 250"). На вооружение и в серийное производство установка ИСУ-130 не принималась. Самоходная установка ИСУ-130 относилась к типу полностью бро</w:t>
      </w:r>
      <w:r w:rsidRPr="00F90EAE">
        <w:rPr>
          <w:color w:val="000000" w:themeColor="text1"/>
          <w:sz w:val="16"/>
          <w:szCs w:val="16"/>
        </w:rPr>
        <w:softHyphen/>
        <w:t>нированных самоходных установок с передним расположением броне</w:t>
      </w:r>
      <w:r w:rsidRPr="00F90EAE">
        <w:rPr>
          <w:color w:val="000000" w:themeColor="text1"/>
          <w:sz w:val="16"/>
          <w:szCs w:val="16"/>
        </w:rPr>
        <w:softHyphen/>
        <w:t>вой рубки. Машина была создана на базе ИСУ-122С путем замены 122-мм Д-25С на 130-мм пушку С-26 конструкции ЦАКБ, разработан</w:t>
      </w:r>
      <w:r w:rsidRPr="00F90EAE">
        <w:rPr>
          <w:color w:val="000000" w:themeColor="text1"/>
          <w:sz w:val="16"/>
          <w:szCs w:val="16"/>
        </w:rPr>
        <w:softHyphen/>
        <w:t>ную на базе морской пушки Б-13 и приспособленную для монтажа в са</w:t>
      </w:r>
      <w:r w:rsidRPr="00F90EAE">
        <w:rPr>
          <w:color w:val="000000" w:themeColor="text1"/>
          <w:sz w:val="16"/>
          <w:szCs w:val="16"/>
        </w:rPr>
        <w:softHyphen/>
        <w:t>моходную установку. В состав экипажа машины входили четыре-пять человек, которые размещались как и в самоходной установке ИСУ-122С (10703).</w:t>
      </w:r>
    </w:p>
    <w:p w14:paraId="02D397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A7513C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июня 1945 проходили полигонные испытания ИСУ-122БМ со 122 мм пушкой С-26-1 ЦАКБ и з-да 172, надобность в которой отпала после окончания войны(7437, 34).</w:t>
      </w:r>
    </w:p>
    <w:p w14:paraId="4883DA18" w14:textId="77777777" w:rsidR="006103B3" w:rsidRPr="00F90EAE" w:rsidRDefault="006103B3" w:rsidP="00F90EAE">
      <w:pPr>
        <w:autoSpaceDE w:val="0"/>
        <w:autoSpaceDN w:val="0"/>
        <w:adjustRightInd w:val="0"/>
        <w:jc w:val="both"/>
        <w:rPr>
          <w:color w:val="000000" w:themeColor="text1"/>
          <w:sz w:val="16"/>
          <w:szCs w:val="16"/>
        </w:rPr>
      </w:pPr>
    </w:p>
    <w:p w14:paraId="0552A9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 1945 г. была завершена доработка ствола ИСУ-122БМ (ИСУ-122-3) ("Объект 251") по замечаниям комиссии, тогда же планировалось провести повторные предварительные испыта</w:t>
      </w:r>
      <w:r w:rsidRPr="00F90EAE">
        <w:rPr>
          <w:color w:val="000000" w:themeColor="text1"/>
          <w:sz w:val="16"/>
          <w:szCs w:val="16"/>
        </w:rPr>
        <w:softHyphen/>
        <w:t>ния. На вооружение и в серийное производство установка ИСУ-122-3 не принималась (10703).</w:t>
      </w:r>
    </w:p>
    <w:p w14:paraId="4F39974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F6C7359" w14:textId="77777777" w:rsidR="002A5DBF" w:rsidRPr="00F90EAE" w:rsidRDefault="002A5DBF" w:rsidP="00F90EAE">
      <w:pPr>
        <w:pStyle w:val="27"/>
        <w:shd w:val="clear" w:color="auto" w:fill="auto"/>
        <w:spacing w:after="0" w:line="240" w:lineRule="auto"/>
        <w:ind w:firstLine="0"/>
        <w:rPr>
          <w:rFonts w:ascii="Times New Roman" w:cs="Times New Roman"/>
          <w:color w:val="000000" w:themeColor="text1"/>
          <w:spacing w:val="0"/>
        </w:rPr>
      </w:pPr>
      <w:r w:rsidRPr="00F90EAE">
        <w:rPr>
          <w:rFonts w:ascii="Times New Roman" w:cs="Times New Roman"/>
          <w:color w:val="000000" w:themeColor="text1"/>
          <w:spacing w:val="0"/>
        </w:rPr>
        <w:t>В июле 1945 г. и июле 1945 г. рассматривался на Техсовете НКТП и в ГАУ КА и в целом был одобрен. При</w:t>
      </w:r>
      <w:r w:rsidRPr="00F90EAE">
        <w:rPr>
          <w:rFonts w:ascii="Times New Roman" w:cs="Times New Roman"/>
          <w:color w:val="000000" w:themeColor="text1"/>
          <w:spacing w:val="0"/>
        </w:rPr>
        <w:softHyphen/>
        <w:t>нятое решение предусматривало изготовление опытной партии машин и последующую подго</w:t>
      </w:r>
      <w:r w:rsidRPr="00F90EAE">
        <w:rPr>
          <w:rFonts w:ascii="Times New Roman" w:cs="Times New Roman"/>
          <w:color w:val="000000" w:themeColor="text1"/>
          <w:spacing w:val="0"/>
        </w:rPr>
        <w:softHyphen/>
        <w:t>товку к их крупносерийному производству. Од</w:t>
      </w:r>
      <w:r w:rsidRPr="00F90EAE">
        <w:rPr>
          <w:rFonts w:ascii="Times New Roman" w:cs="Times New Roman"/>
          <w:color w:val="000000" w:themeColor="text1"/>
          <w:spacing w:val="0"/>
        </w:rPr>
        <w:softHyphen/>
        <w:t>нако проблемы с двигателем и недостаточный ресурс ходовой части не позволили реализо</w:t>
      </w:r>
      <w:r w:rsidRPr="00F90EAE">
        <w:rPr>
          <w:rFonts w:ascii="Times New Roman" w:cs="Times New Roman"/>
          <w:color w:val="000000" w:themeColor="text1"/>
          <w:spacing w:val="0"/>
        </w:rPr>
        <w:softHyphen/>
        <w:t>вать данный проект. Во многом решить нако</w:t>
      </w:r>
      <w:r w:rsidRPr="00F90EAE">
        <w:rPr>
          <w:rFonts w:ascii="Times New Roman" w:cs="Times New Roman"/>
          <w:color w:val="000000" w:themeColor="text1"/>
          <w:spacing w:val="0"/>
        </w:rPr>
        <w:softHyphen/>
        <w:t>пившиеся вопросы удалось при разработке конструкции тяжелого тягача АТ-Т уже в после</w:t>
      </w:r>
      <w:r w:rsidRPr="00F90EAE">
        <w:rPr>
          <w:rFonts w:ascii="Times New Roman" w:cs="Times New Roman"/>
          <w:color w:val="000000" w:themeColor="text1"/>
          <w:spacing w:val="0"/>
        </w:rPr>
        <w:softHyphen/>
        <w:t>военные годы (15765).</w:t>
      </w:r>
    </w:p>
    <w:p w14:paraId="2E921C43" w14:textId="77777777" w:rsidR="002A5DBF" w:rsidRPr="00F90EAE" w:rsidRDefault="002A5DBF" w:rsidP="00F90EAE">
      <w:pPr>
        <w:pStyle w:val="27"/>
        <w:shd w:val="clear" w:color="auto" w:fill="auto"/>
        <w:spacing w:after="0" w:line="240" w:lineRule="auto"/>
        <w:ind w:firstLine="0"/>
        <w:rPr>
          <w:rFonts w:ascii="Times New Roman" w:cs="Times New Roman"/>
          <w:color w:val="000000" w:themeColor="text1"/>
          <w:spacing w:val="0"/>
        </w:rPr>
      </w:pPr>
    </w:p>
    <w:p w14:paraId="365304CA" w14:textId="77777777" w:rsidR="006103B3" w:rsidRPr="00F90EAE" w:rsidRDefault="006103B3" w:rsidP="00F90EAE">
      <w:pPr>
        <w:tabs>
          <w:tab w:val="left" w:pos="360"/>
        </w:tabs>
        <w:autoSpaceDE w:val="0"/>
        <w:autoSpaceDN w:val="0"/>
        <w:adjustRightInd w:val="0"/>
        <w:jc w:val="both"/>
        <w:rPr>
          <w:color w:val="000000" w:themeColor="text1"/>
          <w:sz w:val="16"/>
          <w:szCs w:val="16"/>
        </w:rPr>
      </w:pPr>
      <w:r w:rsidRPr="00F90EAE">
        <w:rPr>
          <w:color w:val="000000" w:themeColor="text1"/>
          <w:sz w:val="16"/>
          <w:szCs w:val="16"/>
        </w:rPr>
        <w:t>В июне 1945 года Инструментальный завод Главчаспрома с территории 2-го часового завода был переведен на территорию завода № 568 НКБ, который к этому времени прекратил свою деятельность (10447).</w:t>
      </w:r>
    </w:p>
    <w:p w14:paraId="29EB9A0B"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4E81579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 Инструментальный завод (Опытный завод НИИЧаспрома, Инструментальный завод ММиП /г. Москва, 57 п/я 1312 (1948 г.)/), созданный в январе 1945 и выделенный в мае 1945 в самостоятельный завод Главчаспрома для производства инструмента и станков для часовой промышленности Главчаспрома, с территории 2-го Часового завода переведен на площадку завода № 568 НКБ, который к тому времени прекратил свою деятельность и передал все оборудование и кадры другим заводам НКБ. До 05.1946 г. завод занимался консервацией и заложением в мобрезерв незавершенного производства завода № 568. Организация производства станков и инструментов начата со второго полугодия 1946 г. В 1948 г. заводу поручено освоение выпуска гиревых часов «Экстра» с мощностью производства 1 млн. часов в год. Производственные корпуса завода - бывшие художественные мастерские.</w:t>
      </w:r>
    </w:p>
    <w:p w14:paraId="530ADDA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1947-48 г. завод - в ведении Главчаспрома ММиП.</w:t>
      </w:r>
    </w:p>
    <w:p w14:paraId="62E7262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составе предприятия (1947 г.) цехи: основные: цанговый, станкостроительный, шлифовальный, штамповый, заготовительный, литейный, резьбонарезной, инструментальный, мелкорежущий, термический, ходиков, спецназначения; вспомогательные: модельный, ремонтный.</w:t>
      </w:r>
    </w:p>
    <w:p w14:paraId="58AFFDC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Количество оборудования: (1946 г.)- 327 ед., (1947 г.)- 473 ед.</w:t>
      </w:r>
    </w:p>
    <w:p w14:paraId="72A8E5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Площадь: территории (1947 г.)- 7,008 га; застройки (1947 г.)- 14126 м</w:t>
      </w:r>
      <w:r w:rsidRPr="00F90EAE">
        <w:rPr>
          <w:color w:val="000000" w:themeColor="text1"/>
          <w:sz w:val="16"/>
          <w:szCs w:val="16"/>
          <w:vertAlign w:val="superscript"/>
        </w:rPr>
        <w:t>2</w:t>
      </w:r>
      <w:r w:rsidRPr="00F90EAE">
        <w:rPr>
          <w:color w:val="000000" w:themeColor="text1"/>
          <w:sz w:val="16"/>
          <w:szCs w:val="16"/>
        </w:rPr>
        <w:t>; производственная (1946 г.)-8200 м</w:t>
      </w:r>
      <w:r w:rsidRPr="00F90EAE">
        <w:rPr>
          <w:color w:val="000000" w:themeColor="text1"/>
          <w:sz w:val="16"/>
          <w:szCs w:val="16"/>
          <w:vertAlign w:val="superscript"/>
        </w:rPr>
        <w:t>2</w:t>
      </w:r>
      <w:r w:rsidRPr="00F90EAE">
        <w:rPr>
          <w:color w:val="000000" w:themeColor="text1"/>
          <w:sz w:val="16"/>
          <w:szCs w:val="16"/>
        </w:rPr>
        <w:t>, (1947 г.)- 11065 м</w:t>
      </w:r>
      <w:r w:rsidRPr="00F90EAE">
        <w:rPr>
          <w:color w:val="000000" w:themeColor="text1"/>
          <w:sz w:val="16"/>
          <w:szCs w:val="16"/>
          <w:vertAlign w:val="superscript"/>
        </w:rPr>
        <w:t>2</w:t>
      </w:r>
      <w:r w:rsidRPr="00F90EAE">
        <w:rPr>
          <w:color w:val="000000" w:themeColor="text1"/>
          <w:sz w:val="16"/>
          <w:szCs w:val="16"/>
        </w:rPr>
        <w:t>.</w:t>
      </w:r>
    </w:p>
    <w:p w14:paraId="547006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(1946 г.)- 878 чел., (1947 г.)- 843 чел.</w:t>
      </w:r>
    </w:p>
    <w:p w14:paraId="68C4501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(1948 г.)- Смирнов.</w:t>
      </w:r>
    </w:p>
    <w:p w14:paraId="4E4122E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(1948 г.)- Жардецкий.</w:t>
      </w:r>
    </w:p>
    <w:p w14:paraId="33E3BEC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Производство: штампы, блоки, сверла, фрезы, метчики, плашки, цанги, мерительный инструмент; станки для часовой промышленности (1947) (11982).</w:t>
      </w:r>
    </w:p>
    <w:p w14:paraId="431A6BC6" w14:textId="77777777" w:rsidR="006103B3" w:rsidRPr="00F90EAE" w:rsidRDefault="006103B3" w:rsidP="00F90EAE">
      <w:pPr>
        <w:autoSpaceDE w:val="0"/>
        <w:autoSpaceDN w:val="0"/>
        <w:adjustRightInd w:val="0"/>
        <w:jc w:val="both"/>
        <w:rPr>
          <w:color w:val="000000" w:themeColor="text1"/>
          <w:sz w:val="16"/>
          <w:szCs w:val="16"/>
        </w:rPr>
      </w:pPr>
    </w:p>
    <w:p w14:paraId="67A56D75" w14:textId="77777777" w:rsidR="003C588F" w:rsidRPr="00F90EAE" w:rsidRDefault="003C588F" w:rsidP="00F90EAE">
      <w:pPr>
        <w:pStyle w:val="ae"/>
        <w:shd w:val="clear" w:color="auto" w:fill="FFFFFF"/>
        <w:spacing w:before="0" w:after="0"/>
        <w:jc w:val="both"/>
        <w:textAlignment w:val="baseline"/>
        <w:rPr>
          <w:color w:val="000000" w:themeColor="text1"/>
          <w:sz w:val="16"/>
          <w:szCs w:val="16"/>
        </w:rPr>
      </w:pPr>
      <w:r w:rsidRPr="00F90EAE">
        <w:rPr>
          <w:color w:val="000000" w:themeColor="text1"/>
          <w:sz w:val="16"/>
          <w:szCs w:val="16"/>
        </w:rPr>
        <w:t>В июне 1945 г. сотрудники отдела «С» НКВД-НКГБ (группа П. А. Судоплатова) вывезли из Германии видных ученых с семьями: нобелевского лауреата Генриха Герца, профессоров Роберта Дёпеля, Макса Фольмера, Хайнца Позе, Петера Тиссена — всего около двухсот специалистов, включая 33 доктора наук и 77 инженеров. В Малоярославце-10 был создан секретный центр по разработке, добыче и обогащению урановой руды и металлургии урана, укомплектованный немецкими специалистами. Немецкие ученые работали и в других уголках СССР: известные физики-ядерщики Ганс-Йоахим Борн, Роберт Ромпе и Карл Циммер — в Челябинской области, Густав Герц и его группа — в Сухуми (19846).</w:t>
      </w:r>
    </w:p>
    <w:p w14:paraId="50651C3C" w14:textId="77777777" w:rsidR="003C588F" w:rsidRPr="00F90EAE" w:rsidRDefault="003C588F" w:rsidP="00F90EAE">
      <w:pPr>
        <w:jc w:val="both"/>
        <w:rPr>
          <w:color w:val="000000" w:themeColor="text1"/>
          <w:sz w:val="16"/>
          <w:szCs w:val="16"/>
          <w:shd w:val="clear" w:color="auto" w:fill="FFFFFF"/>
        </w:rPr>
      </w:pPr>
    </w:p>
    <w:p w14:paraId="51F917D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июне 1945 Клаус Фукс передает советской разведке детальное описание американской плутониевой бомбы. </w:t>
      </w:r>
    </w:p>
    <w:p w14:paraId="5C1572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Фукс полностью описал плутониевую бомбу, которая к этому времени была сконструирована, и должна была пройти испытания &lt;...&gt;. Он представил набросок конструкции бомбы и ее элементов и привел все важнейшие размеры. – Холловэй. – С.149–150 (11321).</w:t>
      </w:r>
    </w:p>
    <w:p w14:paraId="3DE86D55" w14:textId="77777777" w:rsidR="006103B3" w:rsidRPr="00F90EAE" w:rsidRDefault="006103B3" w:rsidP="00F90EAE">
      <w:pPr>
        <w:autoSpaceDE w:val="0"/>
        <w:autoSpaceDN w:val="0"/>
        <w:adjustRightInd w:val="0"/>
        <w:jc w:val="both"/>
        <w:rPr>
          <w:color w:val="000000" w:themeColor="text1"/>
          <w:sz w:val="16"/>
          <w:szCs w:val="16"/>
        </w:rPr>
      </w:pPr>
    </w:p>
    <w:p w14:paraId="18B73C89" w14:textId="77777777" w:rsidR="00DE3C8D" w:rsidRPr="00F90EAE" w:rsidRDefault="00DE3C8D" w:rsidP="00F90EAE">
      <w:pPr>
        <w:jc w:val="both"/>
        <w:rPr>
          <w:color w:val="000000" w:themeColor="text1"/>
          <w:sz w:val="16"/>
          <w:szCs w:val="16"/>
        </w:rPr>
      </w:pPr>
      <w:r w:rsidRPr="00F90EAE">
        <w:rPr>
          <w:color w:val="000000" w:themeColor="text1"/>
          <w:sz w:val="16"/>
          <w:szCs w:val="16"/>
        </w:rPr>
        <w:t xml:space="preserve">В июне </w:t>
      </w:r>
      <w:r w:rsidRPr="00F90EAE">
        <w:rPr>
          <w:rStyle w:val="highlight"/>
          <w:color w:val="000000" w:themeColor="text1"/>
          <w:sz w:val="16"/>
          <w:szCs w:val="16"/>
        </w:rPr>
        <w:t> 1945 </w:t>
      </w:r>
      <w:r w:rsidRPr="00F90EAE">
        <w:rPr>
          <w:color w:val="000000" w:themeColor="text1"/>
          <w:sz w:val="16"/>
          <w:szCs w:val="16"/>
        </w:rPr>
        <w:t xml:space="preserve"> г. Фукс передал советской разведке полное описание сконструированной американцами плутониевой бомбы, дал набросок конструкции, ее элементов и привел важнейшие размеры. 16 июля </w:t>
      </w:r>
      <w:r w:rsidRPr="00F90EAE">
        <w:rPr>
          <w:rStyle w:val="highlight"/>
          <w:color w:val="000000" w:themeColor="text1"/>
          <w:sz w:val="16"/>
          <w:szCs w:val="16"/>
        </w:rPr>
        <w:t> 1945 </w:t>
      </w:r>
      <w:r w:rsidRPr="00F90EAE">
        <w:rPr>
          <w:color w:val="000000" w:themeColor="text1"/>
          <w:sz w:val="16"/>
          <w:szCs w:val="16"/>
        </w:rPr>
        <w:t> г. на полигоне в пустыне под Аламогордо (штат Нью-Мексико) американцами был взорван атомный заряд мощностью 19 килотонн. Человечество вступило в век ядерных вооружений (17449).</w:t>
      </w:r>
    </w:p>
    <w:p w14:paraId="489A0167" w14:textId="77777777" w:rsidR="00DE3C8D" w:rsidRPr="00F90EAE" w:rsidRDefault="00DE3C8D" w:rsidP="00F90EAE">
      <w:pPr>
        <w:jc w:val="both"/>
        <w:rPr>
          <w:color w:val="000000" w:themeColor="text1"/>
          <w:sz w:val="16"/>
          <w:szCs w:val="16"/>
        </w:rPr>
      </w:pPr>
    </w:p>
    <w:p w14:paraId="573497A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17AA7CDF" w14:textId="77777777" w:rsidR="006103B3" w:rsidRPr="00F90EAE" w:rsidRDefault="006103B3" w:rsidP="00F90EAE">
      <w:pPr>
        <w:autoSpaceDE w:val="0"/>
        <w:autoSpaceDN w:val="0"/>
        <w:adjustRightInd w:val="0"/>
        <w:jc w:val="both"/>
        <w:rPr>
          <w:iCs/>
          <w:color w:val="000000" w:themeColor="text1"/>
          <w:sz w:val="16"/>
          <w:szCs w:val="16"/>
        </w:rPr>
      </w:pPr>
    </w:p>
    <w:p w14:paraId="028528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года полк "Нормандия - Неман", лидируемый бомбардировщиком Пе-2, направился в Ле Бурже на 38 самолетах Як-3 (из 40 подаренных советским правительством), совсем недавно покинувших сборочный цех авиазавода. На подходе к Штутгарту летчиков "Нормандии- Неман" встретили их земляки на английских "Спитфайрах" IXB, прилетевшие из Франции. После промежуточной посадки в Штутгарте и короткого митинга состоялся показательный воздушный бой между "яком" и "Спитфайром". Причем обе машины пилотировали признанные мастера высшего пилотажа. Победителем в этой "схватке" вышел лейтенант Роже Марки на... "яке".</w:t>
      </w:r>
    </w:p>
    <w:p w14:paraId="495CF35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Затем после короткого отдыха самолеты пересекли Рейн и французскую границу. Спустя пять дней, когда улеглись все эмоции, начальник Главного штаба ВВС Франции генерал Вален, учитывая обстановку, предложил не включать Як-3 в состав ВВС, поскольку СССР не дал согласия на поставку запасных частей к ним и обеспечение плановых ремонтов истребителей.</w:t>
      </w:r>
    </w:p>
    <w:p w14:paraId="0DF08BA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Тем не менее полк "Нормандия - Неман" остался в составе ВВС, хотя и без определения его назначения. Самолеты Як-3 использовались во Франции во время многочисленных авиационных праздников (12047).</w:t>
      </w:r>
    </w:p>
    <w:p w14:paraId="6029785A" w14:textId="77777777" w:rsidR="006103B3" w:rsidRPr="00F90EAE" w:rsidRDefault="006103B3" w:rsidP="00F90EAE">
      <w:pPr>
        <w:autoSpaceDE w:val="0"/>
        <w:autoSpaceDN w:val="0"/>
        <w:adjustRightInd w:val="0"/>
        <w:jc w:val="both"/>
        <w:rPr>
          <w:color w:val="000000" w:themeColor="text1"/>
          <w:sz w:val="16"/>
          <w:szCs w:val="16"/>
        </w:rPr>
      </w:pPr>
    </w:p>
    <w:p w14:paraId="31FAFEDF" w14:textId="77777777" w:rsidR="00500674" w:rsidRPr="00F90EAE" w:rsidRDefault="00500674" w:rsidP="00F90EAE">
      <w:pPr>
        <w:jc w:val="both"/>
        <w:rPr>
          <w:color w:val="000000" w:themeColor="text1"/>
          <w:sz w:val="16"/>
          <w:szCs w:val="16"/>
        </w:rPr>
      </w:pPr>
      <w:r w:rsidRPr="00F90EAE">
        <w:rPr>
          <w:color w:val="000000" w:themeColor="text1"/>
          <w:sz w:val="16"/>
          <w:szCs w:val="16"/>
        </w:rPr>
        <w:t>В июне 1945 г. после капитуляции Германии правительство США прекратило действие программы ленд-лиза в отношении многих стран. Но Советского Союза это не коснулось: для него подготовили специальное приложение к договору, по которому осуществлялись поставки всего необходимого для войны с Японией.</w:t>
      </w:r>
    </w:p>
    <w:p w14:paraId="05107341" w14:textId="77777777" w:rsidR="00500674" w:rsidRPr="00F90EAE" w:rsidRDefault="00500674" w:rsidP="00F90EAE">
      <w:pPr>
        <w:jc w:val="both"/>
        <w:rPr>
          <w:color w:val="000000" w:themeColor="text1"/>
          <w:sz w:val="16"/>
          <w:szCs w:val="16"/>
        </w:rPr>
      </w:pPr>
      <w:r w:rsidRPr="00F90EAE">
        <w:rPr>
          <w:color w:val="000000" w:themeColor="text1"/>
          <w:sz w:val="16"/>
          <w:szCs w:val="16"/>
        </w:rPr>
        <w:lastRenderedPageBreak/>
        <w:t>С Аляски группами продолжали уходить «кингкобры». В это время они остались единственным типом истребителя, следовавшим по трассе. Самолёт был уже достаточно хорошо освоен перегонщиками, но изредка все-таки случались аварии и катастрофы. Так, 7 июля 1945 г. лейтенант А.Н. Терентьев разбился на посадке в Сеймчане (12265).</w:t>
      </w:r>
    </w:p>
    <w:p w14:paraId="6322279A" w14:textId="77777777" w:rsidR="00500674" w:rsidRPr="00F90EAE" w:rsidRDefault="00500674" w:rsidP="00F90EAE">
      <w:pPr>
        <w:jc w:val="both"/>
        <w:rPr>
          <w:color w:val="000000" w:themeColor="text1"/>
          <w:sz w:val="16"/>
          <w:szCs w:val="16"/>
        </w:rPr>
      </w:pPr>
    </w:p>
    <w:p w14:paraId="3056387B" w14:textId="77777777" w:rsidR="003C588F" w:rsidRPr="00F90EAE" w:rsidRDefault="003C588F" w:rsidP="00F90EAE">
      <w:pPr>
        <w:jc w:val="both"/>
        <w:rPr>
          <w:color w:val="000000" w:themeColor="text1"/>
          <w:sz w:val="16"/>
          <w:szCs w:val="16"/>
          <w:shd w:val="clear" w:color="auto" w:fill="FFFFFF"/>
        </w:rPr>
      </w:pPr>
      <w:r w:rsidRPr="00F90EAE">
        <w:rPr>
          <w:color w:val="000000" w:themeColor="text1"/>
          <w:sz w:val="16"/>
          <w:szCs w:val="16"/>
          <w:shd w:val="clear" w:color="auto" w:fill="FFFFFF"/>
        </w:rPr>
        <w:t>В июне 1945 года в советских войсках насчитывалось 307 «Пантер», однако исправных среди них числилось всего 111. Спустя месяц, после сортировки и отбраковки части машин, «Пантер» на ходу осталось 63, ещё 83 штуки требовали ремонта (19688).</w:t>
      </w:r>
    </w:p>
    <w:p w14:paraId="76C191FC" w14:textId="77777777" w:rsidR="003C588F" w:rsidRPr="00F90EAE" w:rsidRDefault="003C588F" w:rsidP="00F90EAE">
      <w:pPr>
        <w:jc w:val="both"/>
        <w:rPr>
          <w:color w:val="000000" w:themeColor="text1"/>
          <w:sz w:val="16"/>
          <w:szCs w:val="16"/>
        </w:rPr>
      </w:pPr>
    </w:p>
    <w:p w14:paraId="7B0A5F70"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В июне 1945 г. на базе трофейных управлений фронтов были организованы отдельные трофейные управления. После создания системы военного управления трофейные управления были усилены и вошли в состав групп войск с подчинением командующим (15225).</w:t>
      </w:r>
    </w:p>
    <w:p w14:paraId="57FC454C" w14:textId="77777777" w:rsidR="002A5DBF" w:rsidRPr="00F90EAE" w:rsidRDefault="002A5DBF" w:rsidP="00F90EAE">
      <w:pPr>
        <w:pStyle w:val="book"/>
        <w:ind w:firstLine="0"/>
        <w:jc w:val="both"/>
        <w:rPr>
          <w:color w:val="000000" w:themeColor="text1"/>
          <w:sz w:val="16"/>
          <w:szCs w:val="16"/>
        </w:rPr>
      </w:pPr>
    </w:p>
    <w:p w14:paraId="03FB46F6"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В июне 1945 г. Трофейное управление 1-го Белорусского фронта передало команде заместителя начальника научно-исследовательского отдела Артиллерийского исторического музея полковник Н.Т. Сорокина в числе трофейного имущества старинные ружья, пистолеты, шпаги, средневековое оружие и т.д (15225).</w:t>
      </w:r>
    </w:p>
    <w:p w14:paraId="59DDF061" w14:textId="77777777" w:rsidR="002A5DBF" w:rsidRPr="00F90EAE" w:rsidRDefault="002A5DBF" w:rsidP="00F90EAE">
      <w:pPr>
        <w:pStyle w:val="book"/>
        <w:ind w:firstLine="0"/>
        <w:jc w:val="both"/>
        <w:rPr>
          <w:color w:val="000000" w:themeColor="text1"/>
          <w:sz w:val="16"/>
          <w:szCs w:val="16"/>
        </w:rPr>
      </w:pPr>
    </w:p>
    <w:p w14:paraId="325BAF1A"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Внешняя политика:</w:t>
      </w:r>
    </w:p>
    <w:p w14:paraId="02594793" w14:textId="77777777" w:rsidR="006103B3" w:rsidRPr="00F90EAE" w:rsidRDefault="006103B3" w:rsidP="00F90EAE">
      <w:pPr>
        <w:autoSpaceDE w:val="0"/>
        <w:autoSpaceDN w:val="0"/>
        <w:adjustRightInd w:val="0"/>
        <w:jc w:val="both"/>
        <w:rPr>
          <w:iCs/>
          <w:color w:val="000000" w:themeColor="text1"/>
          <w:sz w:val="16"/>
          <w:szCs w:val="16"/>
        </w:rPr>
      </w:pPr>
    </w:p>
    <w:p w14:paraId="361B7EB0" w14:textId="77777777" w:rsidR="003C588F" w:rsidRPr="00F90EAE" w:rsidRDefault="003C588F" w:rsidP="00F90EAE">
      <w:pPr>
        <w:pStyle w:val="ae"/>
        <w:spacing w:before="0" w:after="0"/>
        <w:jc w:val="both"/>
        <w:rPr>
          <w:color w:val="000000" w:themeColor="text1"/>
          <w:sz w:val="16"/>
          <w:szCs w:val="16"/>
        </w:rPr>
      </w:pPr>
      <w:r w:rsidRPr="00F90EAE">
        <w:rPr>
          <w:color w:val="000000" w:themeColor="text1"/>
          <w:sz w:val="16"/>
          <w:szCs w:val="16"/>
        </w:rPr>
        <w:t>В июне 1945 г. войска фронтов, находившихся в Советской зоне оккупации, были преобразованы в Группу советских оккупационных войск в Германии (ГСОВГ). Штаб и Полевое управление Группы формировались в основном на базе 1-го Белорусского фронта. Первоначально в состав ГСОВГ входили 47-я армия, 5-я ударная армия, 8-я гвардейская армия, 1-я гвардейская танковая армия, 2-я гвардейская танковая армия, 69-я армия, 33-я армия, 3-я армия, 61-я армия и 16-я воздушная армия. Затем боевой состав Группы постепенно сокращался, но и в 1970-е гг. она являлась самой мощной группировкой советских войск за рубежом и насчитывала около 350 тыс. человек личного состава. Главнокомандующим ГСОВГ был назначен Г. К. Жуков, одновременно он стал Главноначальствующим Советской военной администрации в Германии (19146).</w:t>
      </w:r>
    </w:p>
    <w:p w14:paraId="57D7E6D4" w14:textId="77777777" w:rsidR="003C588F" w:rsidRPr="00F90EAE" w:rsidRDefault="003C588F" w:rsidP="00F90EAE">
      <w:pPr>
        <w:pStyle w:val="ae"/>
        <w:spacing w:before="0" w:after="0"/>
        <w:jc w:val="both"/>
        <w:rPr>
          <w:color w:val="000000" w:themeColor="text1"/>
          <w:sz w:val="16"/>
          <w:szCs w:val="16"/>
        </w:rPr>
      </w:pPr>
    </w:p>
    <w:p w14:paraId="10BF2909" w14:textId="77777777" w:rsidR="003C588F" w:rsidRPr="00F90EAE" w:rsidRDefault="003C588F" w:rsidP="00F90EAE">
      <w:pPr>
        <w:pStyle w:val="ae"/>
        <w:spacing w:before="0" w:after="0"/>
        <w:jc w:val="both"/>
        <w:rPr>
          <w:color w:val="000000" w:themeColor="text1"/>
          <w:sz w:val="16"/>
          <w:szCs w:val="16"/>
        </w:rPr>
      </w:pPr>
      <w:r w:rsidRPr="00F90EAE">
        <w:rPr>
          <w:color w:val="000000" w:themeColor="text1"/>
          <w:sz w:val="16"/>
          <w:szCs w:val="16"/>
        </w:rPr>
        <w:t>В июне 1945 г. Репарационная комиссия провела всего одно официальное заседание в Москве (хотя представители ее комитетов встречались часто), однако каких-либо ключевых решений принято не было. Дальнейшее развитие вопроса зависело от итогов Потсдамской  конференции (19850).</w:t>
      </w:r>
    </w:p>
    <w:p w14:paraId="109605D4" w14:textId="77777777" w:rsidR="003C588F" w:rsidRPr="00F90EAE" w:rsidRDefault="003C588F" w:rsidP="00F90EAE">
      <w:pPr>
        <w:pStyle w:val="ae"/>
        <w:spacing w:before="0" w:after="0"/>
        <w:jc w:val="both"/>
        <w:rPr>
          <w:color w:val="000000" w:themeColor="text1"/>
          <w:sz w:val="16"/>
          <w:szCs w:val="16"/>
        </w:rPr>
      </w:pPr>
    </w:p>
    <w:p w14:paraId="666A5B6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новое японское правительство во главе с Кантаро Судзуки вновь попыталось через СССР обратиться к США и Великобритании с предложением мира, но без принятия условия безоговорочной капитуляции. Предложения эти были переданы советской стороной союзникам (3871).</w:t>
      </w:r>
    </w:p>
    <w:p w14:paraId="1941398A" w14:textId="77777777" w:rsidR="006103B3" w:rsidRPr="00F90EAE" w:rsidRDefault="006103B3" w:rsidP="00F90EAE">
      <w:pPr>
        <w:autoSpaceDE w:val="0"/>
        <w:autoSpaceDN w:val="0"/>
        <w:adjustRightInd w:val="0"/>
        <w:jc w:val="both"/>
        <w:rPr>
          <w:color w:val="000000" w:themeColor="text1"/>
          <w:sz w:val="16"/>
          <w:szCs w:val="16"/>
        </w:rPr>
      </w:pPr>
    </w:p>
    <w:p w14:paraId="764922A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 года, когда военное положение Японии стало почти безнадежным, японцы предложили СССР за сохранение нейтралитета то, что сами получили после победы в Русско-японской войне — Южный Сахалин и часть Курильских островов, а кроме того, полный отказ от рыболовной конвенции. Никакого другого выхода у них не оставалось: тот, кто утратил все возможности для маневра, проигрывает неизбежно и всегда (12066).</w:t>
      </w:r>
    </w:p>
    <w:p w14:paraId="6EC3FB85" w14:textId="77777777" w:rsidR="006103B3" w:rsidRPr="00F90EAE" w:rsidRDefault="006103B3" w:rsidP="00F90EAE">
      <w:pPr>
        <w:autoSpaceDE w:val="0"/>
        <w:autoSpaceDN w:val="0"/>
        <w:adjustRightInd w:val="0"/>
        <w:jc w:val="both"/>
        <w:rPr>
          <w:color w:val="000000" w:themeColor="text1"/>
          <w:sz w:val="16"/>
          <w:szCs w:val="16"/>
        </w:rPr>
      </w:pPr>
    </w:p>
    <w:p w14:paraId="6F9511D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44D9DD3D" w14:textId="77777777" w:rsidR="006103B3" w:rsidRPr="00F90EAE" w:rsidRDefault="006103B3" w:rsidP="00F90EAE">
      <w:pPr>
        <w:autoSpaceDE w:val="0"/>
        <w:autoSpaceDN w:val="0"/>
        <w:adjustRightInd w:val="0"/>
        <w:jc w:val="both"/>
        <w:rPr>
          <w:iCs/>
          <w:color w:val="000000" w:themeColor="text1"/>
          <w:sz w:val="16"/>
          <w:szCs w:val="16"/>
        </w:rPr>
      </w:pPr>
    </w:p>
    <w:p w14:paraId="750944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1945-го завод "Авиа" сдал новым заказчикам две первых машины Зибель. Там их делали до 1950-го, выпустив еще 179 самолетов. Это были пассажирские самолеты С-103С - с салоном на семь мест. Экипаж состоял из двух пилотов и радиста. Позднее появились еще две гражданские модификации: С-103В на шесть мест в более комфортабельном салоне и С-103А на девять пассажиров при одном пилоте. Эти машины эксплуатировались наряду с трофейными Si 204D сначала "военно-транспортным отделом", а затем компанией "Ческословенске аэролинии". С-103 обслуживали только внутренние линии, связывавшие Прагу с Карповыми Барами, Оломоуцем, Остравой, Ческе-Будейовицами. С 1948-го они постепенно списывались или передавались в ведомственную авиацию. Часть из них превратили в почтовые, сельскохозяйственные и лесоохранные. Последний С-103 "Ческословенских аэролиний" дожил до 1951-го. С-103, использовавшиеся военной авиацией, именовались C-3D. Каждая часть чехословацких ВВС получала по одному такому самолету для транспортных целей. Для военных строили специально С-ЗА - учебный для подготовки пилотов, C-3AN - летающий штурманский класс, C-3AF - аэрофотосъемочный. Последний имел одинарное управление и нес три фотоаппарата: Rb 20/30, Rb 50/30 и RD 75/30 (все - немецкие). Внешне C-3AF отличался большим обзорным блистером на правом борту и еще одним дополнительным окном с той же стороны. У этого окна при необходимости устанавливался пулемет. В 1950-1958-х годах эти машины переделывались в гражданские картографические C-3AFG. К трем уже имевшимся камерам добавили еще четыре, в том числе две перспективные - вперед и вбок, и ручной фотоаппарат у штурмана. На базе немецкого Si 204E чехи подготовили свою модификацию С-ЗВ, использовавшуюся не только в качестве учебно-боевой, но и как "настоящий" бомбардировщик. Дело в том, что к концу 1940-х полученные сразу после войны Пе-2 и "Москито" износились, а реактивные Ил-28 из СССР еще не поступили. Единственным бомбардировщиком чехословацких ВВС в этот период был С-ЗВ. Существовало несколько подвидов этой модификации. Базовый вариант, бомбардировщик, нес до 800 кг бомб калибра до 250 кг на наружной и внутренней подвесках. Из стрелкового вооружения имелся только один пулемет в окне правого борта. Часть машин несла четыре 13-мм пулемета vz. 131 (это тот же самый MG 131). Один монтировался на турели DL 131 сверху, два стояли в носовой части фюзеляжа неподвижно и четвертый - в окне. На каждый пулемет имелось по 500 патронов. От Si 204E эти машины внешне отличались блистером над кабиной в средней части фюзеляжа -для астронавигации. Экипаж С-ЗВ состоял из четырех человек: пилота, штурмана, радиста и стрелка. Часть первых С-ЗВ представляла собой переделку трофейных немецких Si 204D. Последним вариантом С-ЗВ являлся C-3BV - буксировщик мишеней-рукавов. Это были разоруженные боевые машины (5741,13).</w:t>
      </w:r>
    </w:p>
    <w:p w14:paraId="7F8E2153" w14:textId="77777777" w:rsidR="006103B3" w:rsidRPr="00F90EAE" w:rsidRDefault="006103B3" w:rsidP="00F90EAE">
      <w:pPr>
        <w:autoSpaceDE w:val="0"/>
        <w:autoSpaceDN w:val="0"/>
        <w:adjustRightInd w:val="0"/>
        <w:jc w:val="both"/>
        <w:rPr>
          <w:color w:val="000000" w:themeColor="text1"/>
          <w:sz w:val="16"/>
          <w:szCs w:val="16"/>
        </w:rPr>
      </w:pPr>
    </w:p>
    <w:p w14:paraId="4AF0EF55" w14:textId="77777777" w:rsidR="00F23D44" w:rsidRPr="00F90EAE" w:rsidRDefault="00F23D44" w:rsidP="00F90EAE">
      <w:pPr>
        <w:jc w:val="both"/>
        <w:rPr>
          <w:color w:val="0070C0"/>
          <w:sz w:val="16"/>
          <w:szCs w:val="16"/>
        </w:rPr>
      </w:pPr>
      <w:r w:rsidRPr="00F90EAE">
        <w:rPr>
          <w:color w:val="0070C0"/>
          <w:sz w:val="16"/>
          <w:szCs w:val="16"/>
        </w:rPr>
        <w:t>С июня 1945 г. несколько вертолетов Сикорского R-6 (S-49) использовались для поиска и спасания экипажей транспортных самолетов, потерпевших аварию на «воздушном мосту» Китай — Бирма — Индия. Всего за годы войны было выпущено около 400 вертолетов S-47, S-48 и S-49 вместе взятых. Кроме Бирмы и Китая, вертолеты «воевали» в Новой Гвинее, на Окинаве и Филиппинах, обеспечив эвакуацию от 125 до 150 раненых. Благодаря R-4 (S-47) и его дальнейшему развитию R-6 были заложены основы применения вертолетов в военных целях. В отличие от них, эксплуатация более тяжелых R-5 (S-48) оказалась достаточно сложной, а объем кабины - недостаточен (22830)</w:t>
      </w:r>
    </w:p>
    <w:p w14:paraId="181A7FAD" w14:textId="77777777" w:rsidR="00F23D44" w:rsidRPr="00F90EAE" w:rsidRDefault="00F23D44" w:rsidP="00F90EAE">
      <w:pPr>
        <w:jc w:val="both"/>
        <w:rPr>
          <w:color w:val="0070C0"/>
          <w:sz w:val="16"/>
          <w:szCs w:val="16"/>
        </w:rPr>
      </w:pPr>
    </w:p>
    <w:p w14:paraId="1E7C1FB7" w14:textId="77777777" w:rsidR="00F23D44" w:rsidRPr="00F90EAE" w:rsidRDefault="00F23D44" w:rsidP="00F90EAE">
      <w:pPr>
        <w:jc w:val="both"/>
        <w:rPr>
          <w:color w:val="0070C0"/>
          <w:sz w:val="16"/>
          <w:szCs w:val="16"/>
        </w:rPr>
      </w:pPr>
      <w:r w:rsidRPr="00F90EAE">
        <w:rPr>
          <w:color w:val="0070C0"/>
          <w:sz w:val="16"/>
          <w:szCs w:val="16"/>
        </w:rPr>
        <w:t>В июне 1945 Соединенные Штаты владеет первыми в мире двумя атомными бомбами (20371).</w:t>
      </w:r>
    </w:p>
    <w:p w14:paraId="1AD9686E" w14:textId="77777777" w:rsidR="00F23D44" w:rsidRPr="00F90EAE" w:rsidRDefault="00F23D44" w:rsidP="00F90EAE">
      <w:pPr>
        <w:jc w:val="both"/>
        <w:rPr>
          <w:color w:val="0070C0"/>
          <w:sz w:val="16"/>
          <w:szCs w:val="16"/>
        </w:rPr>
      </w:pPr>
    </w:p>
    <w:p w14:paraId="52A619CE" w14:textId="77777777" w:rsidR="00F23D44" w:rsidRPr="00F90EAE" w:rsidRDefault="00F23D44" w:rsidP="00F90EAE">
      <w:pPr>
        <w:jc w:val="both"/>
        <w:rPr>
          <w:color w:val="0070C0"/>
          <w:sz w:val="16"/>
          <w:szCs w:val="16"/>
        </w:rPr>
      </w:pPr>
      <w:r w:rsidRPr="00F90EAE">
        <w:rPr>
          <w:color w:val="0070C0"/>
          <w:sz w:val="16"/>
          <w:szCs w:val="16"/>
        </w:rPr>
        <w:t>В июне 1945 США располагают девятью атомными бомбами, две из которых предназначены для испытаний. По оценкам Соединенных Штатов, в советских ВВС имеется 14 000 боевых самолетов, а в ВМФ СССР - 2 000 самолетов (20370).</w:t>
      </w:r>
    </w:p>
    <w:p w14:paraId="4938E221" w14:textId="77777777" w:rsidR="00F23D44" w:rsidRPr="00F90EAE" w:rsidRDefault="00F23D44" w:rsidP="00F90EAE">
      <w:pPr>
        <w:jc w:val="both"/>
        <w:rPr>
          <w:color w:val="0070C0"/>
          <w:sz w:val="16"/>
          <w:szCs w:val="16"/>
        </w:rPr>
      </w:pPr>
    </w:p>
    <w:p w14:paraId="2187F93D" w14:textId="77777777" w:rsidR="00F23D44" w:rsidRPr="00F90EAE" w:rsidRDefault="00F23D44" w:rsidP="00F90EAE">
      <w:pPr>
        <w:jc w:val="both"/>
        <w:rPr>
          <w:color w:val="0070C0"/>
          <w:sz w:val="16"/>
          <w:szCs w:val="16"/>
        </w:rPr>
      </w:pPr>
      <w:r w:rsidRPr="00F90EAE">
        <w:rPr>
          <w:color w:val="0070C0"/>
          <w:sz w:val="16"/>
          <w:szCs w:val="16"/>
        </w:rPr>
        <w:t>В июне 1945 основана никарагуанская авиакомпания LANICA. Он начнет полеты в 1946 году (20371).</w:t>
      </w:r>
    </w:p>
    <w:p w14:paraId="78715241" w14:textId="77777777" w:rsidR="00F23D44" w:rsidRPr="00F90EAE" w:rsidRDefault="00F23D44" w:rsidP="00F90EAE">
      <w:pPr>
        <w:jc w:val="both"/>
        <w:rPr>
          <w:color w:val="0070C0"/>
          <w:sz w:val="16"/>
          <w:szCs w:val="16"/>
        </w:rPr>
      </w:pPr>
    </w:p>
    <w:p w14:paraId="0AA167F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6D1E171D" w14:textId="77777777" w:rsidR="006103B3" w:rsidRPr="00F90EAE" w:rsidRDefault="006103B3" w:rsidP="00F90EAE">
      <w:pPr>
        <w:autoSpaceDE w:val="0"/>
        <w:autoSpaceDN w:val="0"/>
        <w:adjustRightInd w:val="0"/>
        <w:jc w:val="both"/>
        <w:rPr>
          <w:iCs/>
          <w:color w:val="000000" w:themeColor="text1"/>
          <w:sz w:val="16"/>
          <w:szCs w:val="16"/>
        </w:rPr>
      </w:pPr>
    </w:p>
    <w:p w14:paraId="3669B011" w14:textId="77777777" w:rsidR="002A5DBF" w:rsidRPr="00F90EAE" w:rsidRDefault="002A5DBF" w:rsidP="00F90EAE">
      <w:pPr>
        <w:jc w:val="both"/>
        <w:rPr>
          <w:color w:val="000000" w:themeColor="text1"/>
          <w:sz w:val="16"/>
          <w:szCs w:val="16"/>
        </w:rPr>
      </w:pPr>
      <w:r w:rsidRPr="00F90EAE">
        <w:rPr>
          <w:color w:val="000000" w:themeColor="text1"/>
          <w:sz w:val="16"/>
          <w:szCs w:val="16"/>
        </w:rPr>
        <w:t>В июне—июле 1945 г. Як-3 с М-105ПВ с Э-100.  проходил испытания в ЛИИ. 6 июля 1945 г. лётчику И.И. Шунейко на Як-3 с М-105ПВ и Э-100 удалось достигнуть высоты 13300 м.</w:t>
      </w:r>
    </w:p>
    <w:p w14:paraId="0F9451D2" w14:textId="77777777" w:rsidR="002A5DBF" w:rsidRPr="00F90EAE" w:rsidRDefault="002A5DBF" w:rsidP="00F90EAE">
      <w:pPr>
        <w:jc w:val="both"/>
        <w:rPr>
          <w:color w:val="000000" w:themeColor="text1"/>
          <w:sz w:val="16"/>
          <w:szCs w:val="16"/>
        </w:rPr>
      </w:pPr>
      <w:r w:rsidRPr="00F90EAE">
        <w:rPr>
          <w:color w:val="000000" w:themeColor="text1"/>
          <w:sz w:val="16"/>
          <w:szCs w:val="16"/>
        </w:rPr>
        <w:t>Ощущения И.И. Шунейко в том полёте очень образно описал И.И. Шелест:</w:t>
      </w:r>
    </w:p>
    <w:p w14:paraId="4813B05E" w14:textId="77777777" w:rsidR="002A5DBF" w:rsidRPr="00F90EAE" w:rsidRDefault="002A5DBF" w:rsidP="00F90EAE">
      <w:pPr>
        <w:jc w:val="both"/>
        <w:rPr>
          <w:color w:val="000000" w:themeColor="text1"/>
          <w:sz w:val="16"/>
          <w:szCs w:val="16"/>
        </w:rPr>
      </w:pPr>
      <w:r w:rsidRPr="00F90EAE">
        <w:rPr>
          <w:color w:val="000000" w:themeColor="text1"/>
          <w:sz w:val="16"/>
          <w:szCs w:val="16"/>
        </w:rPr>
        <w:t>«...С высоты 12500 м подъём сильно замедлился. Мотор работал ровно, но ему, как и лётчику, недоставало воздуха. Лётчик и мотор ослабевали. Движения человека стали ме</w:t>
      </w:r>
      <w:r w:rsidRPr="00F90EAE">
        <w:rPr>
          <w:color w:val="000000" w:themeColor="text1"/>
          <w:sz w:val="16"/>
          <w:szCs w:val="16"/>
        </w:rPr>
        <w:softHyphen/>
        <w:t>длительными, как бы полусонными. И мотор шуршал теперь, как бы засыпая. В воздухе было спокойно, и самолёт плыл устойчиво, ровно, ручка управления почти застыла.</w:t>
      </w:r>
    </w:p>
    <w:p w14:paraId="3661E023" w14:textId="77777777" w:rsidR="002A5DBF" w:rsidRPr="00F90EAE" w:rsidRDefault="002A5DBF" w:rsidP="00F90EAE">
      <w:pPr>
        <w:jc w:val="both"/>
        <w:rPr>
          <w:color w:val="000000" w:themeColor="text1"/>
          <w:sz w:val="16"/>
          <w:szCs w:val="16"/>
        </w:rPr>
      </w:pPr>
      <w:r w:rsidRPr="00F90EAE">
        <w:rPr>
          <w:color w:val="000000" w:themeColor="text1"/>
          <w:sz w:val="16"/>
          <w:szCs w:val="16"/>
        </w:rPr>
        <w:t>Всё чаще Иван Иванович ощущал покалывание в суставах. «Сколько удастся набрать ещё?» — думал он, а минуты шли и шли, и стрелка высотомера давно уже не глотала сотни метров высоты, как внизу, двигаясь на глазах, а топала от ступени к ступени не</w:t>
      </w:r>
      <w:r w:rsidRPr="00F90EAE">
        <w:rPr>
          <w:color w:val="000000" w:themeColor="text1"/>
          <w:sz w:val="16"/>
          <w:szCs w:val="16"/>
        </w:rPr>
        <w:softHyphen/>
        <w:t>уловимо для глаза, как бы раздумывая и отдыхая поминутно, словно старый человек при подъёме на пятый этаж.</w:t>
      </w:r>
    </w:p>
    <w:p w14:paraId="63E07E52" w14:textId="77777777" w:rsidR="002A5DBF" w:rsidRPr="00F90EAE" w:rsidRDefault="002A5DBF" w:rsidP="00F90EAE">
      <w:pPr>
        <w:jc w:val="both"/>
        <w:rPr>
          <w:color w:val="000000" w:themeColor="text1"/>
          <w:sz w:val="16"/>
          <w:szCs w:val="16"/>
        </w:rPr>
      </w:pPr>
      <w:r w:rsidRPr="00F90EAE">
        <w:rPr>
          <w:color w:val="000000" w:themeColor="text1"/>
          <w:sz w:val="16"/>
          <w:szCs w:val="16"/>
        </w:rPr>
        <w:t>«Видно, это будет наш общий потолок — и мотора и мой, — продолжал свою заме</w:t>
      </w:r>
      <w:r w:rsidRPr="00F90EAE">
        <w:rPr>
          <w:color w:val="000000" w:themeColor="text1"/>
          <w:sz w:val="16"/>
          <w:szCs w:val="16"/>
        </w:rPr>
        <w:softHyphen/>
        <w:t>дленную мысль лётчик. — И то ладно, что в этом у нас с ним наметилась гармония... Что проку, если бы он мог подняться выше, а я нет...»</w:t>
      </w:r>
    </w:p>
    <w:p w14:paraId="365B074D" w14:textId="77777777" w:rsidR="002A5DBF" w:rsidRPr="00F90EAE" w:rsidRDefault="002A5DBF" w:rsidP="00F90EAE">
      <w:pPr>
        <w:jc w:val="both"/>
        <w:rPr>
          <w:color w:val="000000" w:themeColor="text1"/>
          <w:sz w:val="16"/>
          <w:szCs w:val="16"/>
        </w:rPr>
      </w:pPr>
      <w:r w:rsidRPr="00F90EAE">
        <w:rPr>
          <w:color w:val="000000" w:themeColor="text1"/>
          <w:sz w:val="16"/>
          <w:szCs w:val="16"/>
        </w:rPr>
        <w:t>Прошло ещё время. Если бы у Шунейко тогда спросили: «Сколько минут?» — он не смог бы ответить: всё происходило в каком-то приглушенном состоянии. Он поднялся на высоту 13750 м, отлично видел эти цифры, пробыл на этой высоте несколько минут, пытаясь набрать ещё хоть десяток метров, и не уловил в себе ни положительных, ни от</w:t>
      </w:r>
      <w:r w:rsidRPr="00F90EAE">
        <w:rPr>
          <w:color w:val="000000" w:themeColor="text1"/>
          <w:sz w:val="16"/>
          <w:szCs w:val="16"/>
        </w:rPr>
        <w:softHyphen/>
        <w:t>рицательных эмоций. Его не радовал ни огромный успех, не огорчали и боли. Он лишь прислушивался к чему-то — к мотору ли, к уколам, к пульсу и взглядом из-под тяжёлых век гипнотизировал две стрелки заиндевелых циферблатов — высоты и скорости.</w:t>
      </w:r>
    </w:p>
    <w:p w14:paraId="5D33E3F2" w14:textId="77777777" w:rsidR="002A5DBF" w:rsidRPr="00F90EAE" w:rsidRDefault="002A5DBF" w:rsidP="00F90EAE">
      <w:pPr>
        <w:jc w:val="both"/>
        <w:rPr>
          <w:color w:val="000000" w:themeColor="text1"/>
          <w:sz w:val="16"/>
          <w:szCs w:val="16"/>
        </w:rPr>
      </w:pPr>
      <w:r w:rsidRPr="00F90EAE">
        <w:rPr>
          <w:color w:val="000000" w:themeColor="text1"/>
          <w:sz w:val="16"/>
          <w:szCs w:val="16"/>
        </w:rPr>
        <w:lastRenderedPageBreak/>
        <w:t>Зато потом, снизившись, уже над аэродромом, когда снял заснеженную маску, «этот надоедный намордник», и вытер мокрый подбородок, губы, нос, он, наконец, вздохнул по</w:t>
      </w:r>
      <w:r w:rsidRPr="00F90EAE">
        <w:rPr>
          <w:color w:val="000000" w:themeColor="text1"/>
          <w:sz w:val="16"/>
          <w:szCs w:val="16"/>
        </w:rPr>
        <w:softHyphen/>
        <w:t>лной грудью. И с этим вздохом в душу его влетела некая птица дотоле неведомой вели</w:t>
      </w:r>
      <w:r w:rsidRPr="00F90EAE">
        <w:rPr>
          <w:color w:val="000000" w:themeColor="text1"/>
          <w:sz w:val="16"/>
          <w:szCs w:val="16"/>
        </w:rPr>
        <w:softHyphen/>
        <w:t>кой радости. Он понял, что</w:t>
      </w:r>
      <w:r w:rsidRPr="00F90EAE">
        <w:rPr>
          <w:rStyle w:val="MSReferenceSansSerif85pt"/>
          <w:rFonts w:ascii="Times New Roman" w:hAnsi="Times New Roman" w:cs="Times New Roman"/>
          <w:b w:val="0"/>
          <w:i w:val="0"/>
          <w:color w:val="000000" w:themeColor="text1"/>
          <w:sz w:val="16"/>
          <w:szCs w:val="16"/>
        </w:rPr>
        <w:t xml:space="preserve"> этот день его.</w:t>
      </w:r>
      <w:r w:rsidRPr="00F90EAE">
        <w:rPr>
          <w:color w:val="000000" w:themeColor="text1"/>
          <w:sz w:val="16"/>
          <w:szCs w:val="16"/>
        </w:rPr>
        <w:t xml:space="preserve"> Что это его кульминационная точка. И может быть, этот час так и останется самым значительным часом всей его жизни...</w:t>
      </w:r>
    </w:p>
    <w:p w14:paraId="2ABCA5FD" w14:textId="77777777" w:rsidR="002A5DBF" w:rsidRPr="00F90EAE" w:rsidRDefault="002A5DBF" w:rsidP="00F90EAE">
      <w:pPr>
        <w:jc w:val="both"/>
        <w:rPr>
          <w:color w:val="000000" w:themeColor="text1"/>
          <w:sz w:val="16"/>
          <w:szCs w:val="16"/>
        </w:rPr>
      </w:pPr>
      <w:r w:rsidRPr="00F90EAE">
        <w:rPr>
          <w:color w:val="000000" w:themeColor="text1"/>
          <w:sz w:val="16"/>
          <w:szCs w:val="16"/>
        </w:rPr>
        <w:t>Впоследствии начальник лётной части ЛИИ Даниил Степанович Зосим, сам инже</w:t>
      </w:r>
      <w:r w:rsidRPr="00F90EAE">
        <w:rPr>
          <w:color w:val="000000" w:themeColor="text1"/>
          <w:sz w:val="16"/>
          <w:szCs w:val="16"/>
        </w:rPr>
        <w:softHyphen/>
        <w:t>нер-лётчик, знакомый с высотными полётами (перед войной он принимал участие в ис</w:t>
      </w:r>
      <w:r w:rsidRPr="00F90EAE">
        <w:rPr>
          <w:color w:val="000000" w:themeColor="text1"/>
          <w:sz w:val="16"/>
          <w:szCs w:val="16"/>
        </w:rPr>
        <w:softHyphen/>
        <w:t>пытаниях одного из первых советских скафандров), спросил Шунейко:</w:t>
      </w:r>
    </w:p>
    <w:p w14:paraId="2238A40B" w14:textId="77777777" w:rsidR="002A5DBF" w:rsidRPr="00F90EAE" w:rsidRDefault="002A5DBF" w:rsidP="00F90EAE">
      <w:pPr>
        <w:numPr>
          <w:ilvl w:val="0"/>
          <w:numId w:val="1"/>
        </w:numPr>
        <w:tabs>
          <w:tab w:val="left" w:pos="423"/>
        </w:tabs>
        <w:jc w:val="both"/>
        <w:rPr>
          <w:color w:val="000000" w:themeColor="text1"/>
          <w:sz w:val="16"/>
          <w:szCs w:val="16"/>
        </w:rPr>
      </w:pPr>
      <w:r w:rsidRPr="00F90EAE">
        <w:rPr>
          <w:color w:val="000000" w:themeColor="text1"/>
          <w:sz w:val="16"/>
          <w:szCs w:val="16"/>
        </w:rPr>
        <w:t>Скажи, пожалуйста, Иван Иванович, будучи на моем месте, сколько бы ты запла</w:t>
      </w:r>
      <w:r w:rsidRPr="00F90EAE">
        <w:rPr>
          <w:color w:val="000000" w:themeColor="text1"/>
          <w:sz w:val="16"/>
          <w:szCs w:val="16"/>
        </w:rPr>
        <w:softHyphen/>
        <w:t>тил лётчику за риск таких полётов на высоту?</w:t>
      </w:r>
    </w:p>
    <w:p w14:paraId="71F9F842" w14:textId="77777777" w:rsidR="002A5DBF" w:rsidRPr="00F90EAE" w:rsidRDefault="002A5DBF" w:rsidP="00F90EAE">
      <w:pPr>
        <w:jc w:val="both"/>
        <w:rPr>
          <w:color w:val="000000" w:themeColor="text1"/>
          <w:sz w:val="16"/>
          <w:szCs w:val="16"/>
        </w:rPr>
      </w:pPr>
      <w:r w:rsidRPr="00F90EAE">
        <w:rPr>
          <w:color w:val="000000" w:themeColor="text1"/>
          <w:sz w:val="16"/>
          <w:szCs w:val="16"/>
        </w:rPr>
        <w:t>Некоторое время Шунейко молча глядел в глаза Зосиму и, улыбаясь светло, хотел проникнуть в тонкую суть вопроса. Потом ответил:</w:t>
      </w:r>
    </w:p>
    <w:p w14:paraId="1DB5FA02" w14:textId="77777777" w:rsidR="002A5DBF" w:rsidRPr="00F90EAE" w:rsidRDefault="002A5DBF" w:rsidP="00F90EAE">
      <w:pPr>
        <w:numPr>
          <w:ilvl w:val="0"/>
          <w:numId w:val="1"/>
        </w:numPr>
        <w:tabs>
          <w:tab w:val="left" w:pos="420"/>
        </w:tabs>
        <w:jc w:val="both"/>
        <w:rPr>
          <w:color w:val="000000" w:themeColor="text1"/>
          <w:sz w:val="16"/>
          <w:szCs w:val="16"/>
        </w:rPr>
      </w:pPr>
      <w:r w:rsidRPr="00F90EAE">
        <w:rPr>
          <w:color w:val="000000" w:themeColor="text1"/>
          <w:sz w:val="16"/>
          <w:szCs w:val="16"/>
        </w:rPr>
        <w:t>На мой взгляд... эти полёты стоят столько, сколько стоит моя жизнь» (15830).</w:t>
      </w:r>
    </w:p>
    <w:p w14:paraId="6944E648" w14:textId="77777777" w:rsidR="002A5DBF" w:rsidRPr="00F90EAE" w:rsidRDefault="002A5DBF" w:rsidP="00F90EAE">
      <w:pPr>
        <w:tabs>
          <w:tab w:val="left" w:pos="420"/>
        </w:tabs>
        <w:jc w:val="both"/>
        <w:rPr>
          <w:color w:val="000000" w:themeColor="text1"/>
          <w:sz w:val="16"/>
          <w:szCs w:val="16"/>
        </w:rPr>
      </w:pPr>
    </w:p>
    <w:p w14:paraId="134343E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июне-июле 1945 два В-29 перегнали в Москву. Первый самолет вел Рейдель, вторым пилотом у него был майор Моржаков, бортинженером - М.М.Круглов. Посадку совершали на аэродроме в Измайлово, на окраине Москвы. Там располагался 65-й полк особого назначения, совмещавший транспортные и экспериментально-испытательные задачи в системе морской авиации. Взлетно-посадочная полоса там была довольно короткая, но, выработав остатки горючего, Рейделю удалось сесть. Благополучно приземлился и самолет, пилотируемый Маруновым. Позднее в Москву с Дальнего Востока прибыл и третий В-29. Один В-29 (№ 42-6256) по просьбе командующего дальней авиацией маршала А.Е.Голованова передали в 890-й полк, стоявший тогда на аэродроме Балбасово под городом Орша. Им командовал Э.К.Пусэп. Это был необычный полк. Из-за нехватки отечественных тяжелых бомбардировщиков советские ВВС начали собирать и восстанавливать американские самолеты, совершившие вынужденные посадки в Восточной Европе (3457,120).</w:t>
      </w:r>
    </w:p>
    <w:p w14:paraId="1690D667" w14:textId="77777777" w:rsidR="006103B3" w:rsidRPr="00F90EAE" w:rsidRDefault="006103B3" w:rsidP="00F90EAE">
      <w:pPr>
        <w:autoSpaceDE w:val="0"/>
        <w:autoSpaceDN w:val="0"/>
        <w:adjustRightInd w:val="0"/>
        <w:jc w:val="both"/>
        <w:rPr>
          <w:color w:val="000000" w:themeColor="text1"/>
          <w:sz w:val="16"/>
          <w:szCs w:val="16"/>
        </w:rPr>
      </w:pPr>
    </w:p>
    <w:p w14:paraId="4D7DECF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 - августе 1945 экипажи Московской авиагруппы Г/СМП перегнали из Германии среди прочих самолетов девять "Зибелей" (у нас они назывались Си-204). Два Си-204 остались в Москве для транспортных перевозок в средней полосе, а все остальные отправили в Красноярск, на завод №477 им. Побежимова для доработки под условия эксплуатации на севере. Для Си-204 сделали 10 комплектов лыж, так как планировалось получить всего 10 таких самолетов (9571,14).</w:t>
      </w:r>
    </w:p>
    <w:p w14:paraId="72F84E0A" w14:textId="77777777" w:rsidR="006103B3" w:rsidRPr="00F90EAE" w:rsidRDefault="006103B3" w:rsidP="00F90EAE">
      <w:pPr>
        <w:autoSpaceDE w:val="0"/>
        <w:autoSpaceDN w:val="0"/>
        <w:adjustRightInd w:val="0"/>
        <w:jc w:val="both"/>
        <w:rPr>
          <w:color w:val="000000" w:themeColor="text1"/>
          <w:sz w:val="16"/>
          <w:szCs w:val="16"/>
        </w:rPr>
      </w:pPr>
    </w:p>
    <w:p w14:paraId="3AD6CA1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июне-августе 1945 экипажи Московской авиагруппы ГУСМП перегнали из Германии один Ю-52 на колесах, один на поплавках, трёхмоторную летающую лодку Дорнье Do 24T, девять Си-204 и один “Шторх”. Два Си-204 остались в Москве для транспортных перевозок в средней полосе, а все остальное отправили в Красноярск, на завод № 477 им. Побежимова для доработки под условия эксплуатации на севере. Например, для Ю-52 спроектировали систему обогрева кабин, новые капоты моторов. Сконструировали, изготовили и с “положительным результатом” испытали лыжи. Чтобы восстановить эту машину, в декабре 1945 г разобрали на запчасти один из самолётов с выставки трофейного вооружения. “Юнкере” с номером Н-380 потом довольно долго служил в Игарской авиагруппе. Для Си-204 сделали 10 комплектов лыж, так как планировалось получить всего 10 таких самолётов. Уже в 1945 г начались полёты Си-204 на севере. В Чукотскую авиагруппу поступил самолёт Н-370. Его перегнали из Москвы в конце июля. Эта машина никак для холодов не оборудовалась и почти не использовалась. В сентябре 1946 г её вернули в Москву для доработки (6393).</w:t>
      </w:r>
    </w:p>
    <w:p w14:paraId="5D12F8DE" w14:textId="77777777" w:rsidR="006103B3" w:rsidRPr="00F90EAE" w:rsidRDefault="006103B3" w:rsidP="00F90EAE">
      <w:pPr>
        <w:autoSpaceDE w:val="0"/>
        <w:autoSpaceDN w:val="0"/>
        <w:adjustRightInd w:val="0"/>
        <w:jc w:val="both"/>
        <w:rPr>
          <w:color w:val="000000" w:themeColor="text1"/>
          <w:sz w:val="16"/>
          <w:szCs w:val="16"/>
        </w:rPr>
      </w:pPr>
    </w:p>
    <w:p w14:paraId="3BE23ECE"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71903CB9" w14:textId="77777777" w:rsidR="006103B3" w:rsidRPr="00F90EAE" w:rsidRDefault="006103B3" w:rsidP="00F90EAE">
      <w:pPr>
        <w:autoSpaceDE w:val="0"/>
        <w:autoSpaceDN w:val="0"/>
        <w:adjustRightInd w:val="0"/>
        <w:jc w:val="both"/>
        <w:rPr>
          <w:iCs/>
          <w:color w:val="000000" w:themeColor="text1"/>
          <w:sz w:val="16"/>
          <w:szCs w:val="16"/>
        </w:rPr>
      </w:pPr>
    </w:p>
    <w:p w14:paraId="457687E2"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В июне—августе 1945 г. с завода «Карл Цейс» в Йене на киевский завод «Арсенал» было перевезено несколько сот станков и различного оборудования, а также около сотни конструкторов, технологов и квалифицированных рабочих-оптиков. В 1947 г. немцы уехали на родину. На заводе осталось лишь 5 человек, создавших в Киеве семьи. Кроме того, был вывезен задел деталей фотоаппаратов и объективов «Contax». В 1947 г. на «Арсенале» начался выпуск фотоаппарата «Киев-2», который являлся точной копией фотоаппарата «Contax II», а в 1952 г. — фотоаппарата «Киев-3» — копии «Contax III» (15225).</w:t>
      </w:r>
    </w:p>
    <w:p w14:paraId="6F47BA8C" w14:textId="77777777" w:rsidR="002A5DBF" w:rsidRPr="00F90EAE" w:rsidRDefault="002A5DBF" w:rsidP="00F90EAE">
      <w:pPr>
        <w:pStyle w:val="book"/>
        <w:ind w:firstLine="0"/>
        <w:jc w:val="both"/>
        <w:rPr>
          <w:color w:val="000000" w:themeColor="text1"/>
          <w:sz w:val="16"/>
          <w:szCs w:val="16"/>
        </w:rPr>
      </w:pPr>
    </w:p>
    <w:p w14:paraId="2DCC77B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июне—июле 1945 г. подводная лодка «М-401» проходи</w:t>
      </w:r>
      <w:r w:rsidRPr="00F90EAE">
        <w:rPr>
          <w:color w:val="000000" w:themeColor="text1"/>
          <w:sz w:val="16"/>
          <w:szCs w:val="16"/>
        </w:rPr>
        <w:softHyphen/>
        <w:t>ла на Каспии государственные испытания. Всего с момента по</w:t>
      </w:r>
      <w:r w:rsidRPr="00F90EAE">
        <w:rPr>
          <w:color w:val="000000" w:themeColor="text1"/>
          <w:sz w:val="16"/>
          <w:szCs w:val="16"/>
        </w:rPr>
        <w:softHyphen/>
        <w:t>стройки «М-401» совершила 74 выхода в море, 68 погруже</w:t>
      </w:r>
      <w:r w:rsidRPr="00F90EAE">
        <w:rPr>
          <w:color w:val="000000" w:themeColor="text1"/>
          <w:sz w:val="16"/>
          <w:szCs w:val="16"/>
        </w:rPr>
        <w:softHyphen/>
        <w:t>ний, прошла 2800 миль, из них 364 миль под водой под дизе</w:t>
      </w:r>
      <w:r w:rsidRPr="00F90EAE">
        <w:rPr>
          <w:color w:val="000000" w:themeColor="text1"/>
          <w:sz w:val="16"/>
          <w:szCs w:val="16"/>
        </w:rPr>
        <w:softHyphen/>
        <w:t>лями, работающими по замкнутому циклу. В1946 г. М-401 по железной дороге была доставлена в Ленинград на судостроительяый завод № 196, где произвели текущий ремонт. В дальнейшем подводная лодка использова</w:t>
      </w:r>
      <w:r w:rsidRPr="00F90EAE">
        <w:rPr>
          <w:color w:val="000000" w:themeColor="text1"/>
          <w:sz w:val="16"/>
          <w:szCs w:val="16"/>
        </w:rPr>
        <w:softHyphen/>
        <w:t>лась для отработки различных опытных конструкций, вне</w:t>
      </w:r>
      <w:r w:rsidRPr="00F90EAE">
        <w:rPr>
          <w:color w:val="000000" w:themeColor="text1"/>
          <w:sz w:val="16"/>
          <w:szCs w:val="16"/>
        </w:rPr>
        <w:softHyphen/>
        <w:t>дрявшихся на лодки с единым двигателем новых проектов, а также для подготовки специалистов (10675).</w:t>
      </w:r>
    </w:p>
    <w:p w14:paraId="1819357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A25FB57"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E2806E8" w14:textId="77777777" w:rsidR="006103B3" w:rsidRPr="00F90EAE" w:rsidRDefault="006103B3" w:rsidP="00F90EAE">
      <w:pPr>
        <w:autoSpaceDE w:val="0"/>
        <w:autoSpaceDN w:val="0"/>
        <w:adjustRightInd w:val="0"/>
        <w:jc w:val="both"/>
        <w:rPr>
          <w:iCs/>
          <w:color w:val="000000" w:themeColor="text1"/>
          <w:sz w:val="16"/>
          <w:szCs w:val="16"/>
        </w:rPr>
      </w:pPr>
    </w:p>
    <w:p w14:paraId="209DC50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Постройка Ил-12 была закончена летом 1945 (24,352).</w:t>
      </w:r>
    </w:p>
    <w:p w14:paraId="5F9B7F38" w14:textId="77777777" w:rsidR="006103B3" w:rsidRPr="00F90EAE" w:rsidRDefault="006103B3" w:rsidP="00F90EAE">
      <w:pPr>
        <w:autoSpaceDE w:val="0"/>
        <w:autoSpaceDN w:val="0"/>
        <w:adjustRightInd w:val="0"/>
        <w:jc w:val="both"/>
        <w:rPr>
          <w:color w:val="000000" w:themeColor="text1"/>
          <w:sz w:val="16"/>
          <w:szCs w:val="16"/>
        </w:rPr>
      </w:pPr>
    </w:p>
    <w:p w14:paraId="6B6C689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закончили сборку опытного экземпляра самолета Ил-12 (5156).</w:t>
      </w:r>
    </w:p>
    <w:p w14:paraId="38F5ACF2" w14:textId="77777777" w:rsidR="006103B3" w:rsidRPr="00F90EAE" w:rsidRDefault="006103B3" w:rsidP="00F90EAE">
      <w:pPr>
        <w:autoSpaceDE w:val="0"/>
        <w:autoSpaceDN w:val="0"/>
        <w:adjustRightInd w:val="0"/>
        <w:jc w:val="both"/>
        <w:rPr>
          <w:color w:val="000000" w:themeColor="text1"/>
          <w:sz w:val="16"/>
          <w:szCs w:val="16"/>
        </w:rPr>
      </w:pPr>
    </w:p>
    <w:p w14:paraId="43F8810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завершили постройку Ил-12 с дизелями (9528).</w:t>
      </w:r>
    </w:p>
    <w:p w14:paraId="2F7ABD77" w14:textId="77777777" w:rsidR="006103B3" w:rsidRPr="00F90EAE" w:rsidRDefault="006103B3" w:rsidP="00F90EAE">
      <w:pPr>
        <w:autoSpaceDE w:val="0"/>
        <w:autoSpaceDN w:val="0"/>
        <w:adjustRightInd w:val="0"/>
        <w:jc w:val="both"/>
        <w:rPr>
          <w:color w:val="000000" w:themeColor="text1"/>
          <w:sz w:val="16"/>
          <w:szCs w:val="16"/>
        </w:rPr>
      </w:pPr>
    </w:p>
    <w:p w14:paraId="48495517" w14:textId="77777777" w:rsidR="00F23D44" w:rsidRPr="00F90EAE" w:rsidRDefault="00F23D44" w:rsidP="00F90EAE">
      <w:pPr>
        <w:jc w:val="both"/>
        <w:rPr>
          <w:color w:val="0070C0"/>
          <w:sz w:val="16"/>
          <w:szCs w:val="16"/>
        </w:rPr>
      </w:pPr>
      <w:r w:rsidRPr="00F90EAE">
        <w:rPr>
          <w:color w:val="0070C0"/>
          <w:sz w:val="16"/>
          <w:szCs w:val="16"/>
        </w:rPr>
        <w:t>Летом 1945 г., после первых полетов опытного самолета Ил-12 с дизельными двигателями, было принято решение о замене на самолете Ил-18 дизелей АЧ-72 бензиновыми двигателями воздушного охлаждения АШ-73ТК с турбокомпрессорами ТК-19. Новые двигатели уже внедрялись в серийное производство под руководством А. Д. Швецова и имели взлетную мощность 1765 кВт (2400 л. с.) каждый. Двигатели приводили во вращение четырехлопастные автоматические воздушные винты АВ-16НМ-95 двойного действия (21548).</w:t>
      </w:r>
    </w:p>
    <w:p w14:paraId="4052312A" w14:textId="77777777" w:rsidR="00F23D44" w:rsidRPr="00F90EAE" w:rsidRDefault="00F23D44" w:rsidP="00F90EAE">
      <w:pPr>
        <w:jc w:val="both"/>
        <w:rPr>
          <w:color w:val="0070C0"/>
          <w:sz w:val="16"/>
          <w:szCs w:val="16"/>
        </w:rPr>
      </w:pPr>
    </w:p>
    <w:p w14:paraId="12C3427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после первых полетов опытного Ил-12 с дизелями, приняли решение о замене на Ил-18 дизелей АЧ-72 бензиновыми двигателями воздушного охлаждения АШ-73ТК с турбокомпрессорами ТК-19. Эти двигатели взлетной мощностью 2400 л.с. уже внедрялись в серийное производство. На Ил-18 они вращали четырехлопастные автоматические воздушные винты АВ-16НМ-95.</w:t>
      </w:r>
    </w:p>
    <w:p w14:paraId="67DAA17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Устанавливавшееся на Ил-18 оборудование позволяло эксплуатировать его днем и ночью в сложных метеоусловиях. Безопасность полетов обеспечивалась комплексом радионавигационных средств и защитой от обледенения стекол фонаря кабины пилотов, лопастей воздушных винтов, передних кромок крыла, стабилизатора и киля. Новая в то время электротепловая проти-вообледенительная система состояла из нанесенных на наружную поверхность обшивки передних кромок крыла, стабилизатора и киля секций токопроводящей резины, которую нагревали четыре установленных на двигателях электрогенератора. Одновременно с электротепловой для самолета спроектировали воздушно-тепловую противообледенительную систему, аналогичную используемой на первых серийных Ил-12 (9528).</w:t>
      </w:r>
    </w:p>
    <w:p w14:paraId="4970DC7F" w14:textId="77777777" w:rsidR="006103B3" w:rsidRPr="00F90EAE" w:rsidRDefault="006103B3" w:rsidP="00F90EAE">
      <w:pPr>
        <w:autoSpaceDE w:val="0"/>
        <w:autoSpaceDN w:val="0"/>
        <w:adjustRightInd w:val="0"/>
        <w:jc w:val="both"/>
        <w:rPr>
          <w:color w:val="000000" w:themeColor="text1"/>
          <w:sz w:val="16"/>
          <w:szCs w:val="16"/>
        </w:rPr>
      </w:pPr>
    </w:p>
    <w:p w14:paraId="09C7C98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С.В.И. решил заменить на Ил-18 двигатели АЧ-72 на АШ-73ТК с ТК-19 с винтом АВ-16НМ-95 (5,176).</w:t>
      </w:r>
    </w:p>
    <w:p w14:paraId="508C291F" w14:textId="77777777" w:rsidR="006103B3" w:rsidRPr="00F90EAE" w:rsidRDefault="006103B3" w:rsidP="00F90EAE">
      <w:pPr>
        <w:autoSpaceDE w:val="0"/>
        <w:autoSpaceDN w:val="0"/>
        <w:adjustRightInd w:val="0"/>
        <w:jc w:val="both"/>
        <w:rPr>
          <w:color w:val="000000" w:themeColor="text1"/>
          <w:sz w:val="16"/>
          <w:szCs w:val="16"/>
        </w:rPr>
      </w:pPr>
    </w:p>
    <w:p w14:paraId="2C12709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основная масса Пе-8 25-й дивизии базировалась на аэродроме в Орше. Именно отсюда для участия в воздушном параде в честь Победы под Москву прибыли 12 Пе-8 из состава 203-го авиаполка (бывшего 25-го Гвардейского). Как известно, этот воздушный парад, назначенный на 19 августа 1945 г., не состоялся по причине плохой погоды. При возвращении Пе-8-х к месту основного базирования 12 сентября случилось несчастье. У самолета № 42811, делающего прощальную горку над взлетной полосой оторвалось правое крыло. Экипаж командира эскадрильи Ищенко погиб. При осмотре состояния остальных Пе-8 было выявлено, что, несмотря на проведенные усиления и доработки, прочность лонжеронов центроплана у большинства машин недостаточна. После этого полеты на самолетах Пе-8 25-й авиадивизии прекратили, в начале 1946 г. они были выведены из боевого состава ВВС и начали списываться на слом.</w:t>
      </w:r>
    </w:p>
    <w:p w14:paraId="5A77158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После окончания войны отдельные экземпляры Пе-8 повторили судьбу многих списанных с военной службы самолетов. Первоначально один из Пе-8 с двигателями М-82 использовали для испытаний самолетов-снарядов "X" (10X, I4X, 16Х), разработанных в КБ В.Н.Челомея по типу немецкого самолета-снаряда с пульсирующим реактивным двигателем ФАУ-1 (V-l, Fi-ЮЗ). Советские беспилотные самолеты-снаряды "X" подвешивались под крылом бомбардировщика, с которого осуществлялись воздушные старты. Испытательные пуски проводились весной 1945 г. на полигоне в Средней Азии.</w:t>
      </w:r>
    </w:p>
    <w:p w14:paraId="25816B0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Следующим превратили в летающую лабораторию Пе-8 №4218 еше довоенной постройки. По заданию НИИ ВВС этот самолет, оснащенный двигателями жидкостного охлаждения АМ-35А, использовали для проведения дополнительных испытаний широко используемого в советской авиации двигателя воздушного охлаждения АШ-82ФН. Испытуемый двигатель стал пятым в силовой установке машины №4218. Он был размешен в носовой части фюзеляжа, на месте штурманской кабины.</w:t>
      </w:r>
    </w:p>
    <w:p w14:paraId="70F3D1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4АШ-82ФН №42412 стал самолетом-носителем опытного ракетного самолета "5" конструкции М.Р.Бисновата. Ракетный самолет "5" предназначался для исследований аэродинамики, характеристик устойчивости и управляемости на полетных скоростях, приближающихся к скорости звука. Достижение максимальной скорости этого экспериментального аппарата, оснащенного жидкостным ракетным двигателем, осуществлялось на высотах порядка 7000- 7500 метров. Так как работа ракетного двигателя была кратковременной, для достижения рабочей высоты самолета "5" было решено использовать специальный самолет- носитель.</w:t>
      </w:r>
    </w:p>
    <w:p w14:paraId="54CAFC8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На Пе-8 №42412 под правым крылом, между фюзеляжем и внутренним двигателем оборудовали специальный пилон, под которым подвешивался самолет "5". В период 1948-1949 гг. два экспериментальных аппарата ("5-1" и "5-2") произвели около десятка воздушных отцепок. Все эти полеты для ракетного самолета велись в варианте планера, фактов использования ЖРД не отмечено.</w:t>
      </w:r>
    </w:p>
    <w:p w14:paraId="0A475E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Однако, наиболее долго и впечатляюще в послевоенный период отметились Пе-8 в полярной авиации. Попытки использовать этот мощный четырехмоторный самолет для полетов в Арктике предпринимались еще до войны - достаточно вспомнить попытки Михаила Водопьянова в 1940 г. заполучить первый опытный экземпляр АНТ-42. В 1945 г. в конструкторское бюро И.Ф.Незваля обратился полярный летчик И.И.Черевичный с просьбой переоборудовать для Управления Полярной Авиации (УПА) два наиболее надежных Пе-8. Командование АДД выделило два самолета с двигателями ALU-82, которые модернизировали на заводе №22. С машин сняли все вооружение, установили дополнительные топливные баки, оборудовали пассажирские кабины и транспортные отсеки. Указанная работа выполнялась с учетом создания самолетов "особого назначения", однако понятно, что на этот раз к особым комфортным условиям при переоборудовании не стремились.</w:t>
      </w:r>
    </w:p>
    <w:p w14:paraId="6F05085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Самолеты получили обозначение СССР- Н395 и СССР-Н396, в 1946 г. они были приняты МАГОН УПА как экспедиционные машины. Практически сразу для проведения полноценных испытаний на них решили выполнить по два транспортных рейса. В одном из полетов у СССР-Н396 встали два двигателя, и летчик Титлов совершил вынужденную посадку (обошлось без повреждений).</w:t>
      </w:r>
    </w:p>
    <w:p w14:paraId="2F1D0B7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СССР-Н395 (зав. №42812) был разбит при взлете 7 июня 1947 г. на побережье Северного Ледовитого океана в районе мыса Косистый. Причиной аварии стала ошибка бортового механика, который на взлете перекрыл краны подачи горючего и все четыре мотора разом встали. Вину за эту тяжелую аварию взял на себя командир корабля Че- ревичный. Не пытаясь развивать далее тему этой аварии, автор считает нужным указать, что в практической деятельности знаменитого летчика Ивана Ивановича Черевичного было несколько подобных эпизодов, когда он защищал членов своих экипажей.</w:t>
      </w:r>
    </w:p>
    <w:p w14:paraId="084E317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Более двадцати лет СССР-Н395 продолжал лежать на месте своего последнего приземления. В 1979 г., когда в СССР началось увлечение подъемом и восстановлением исторической авиатехники, о разбитом самолете вспомнили. Фрагменты его отыскали, и на транспортном Ил-76 доставили в авиационный музей в Монино. Впрочем, до восстановления самолета дело не дошло.</w:t>
      </w:r>
    </w:p>
    <w:p w14:paraId="3ACD976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СССР-Н396 (зав. №42511) в 1947 г. включили в состав высокоширотной экспедиции "Север-2". В авиационную группировку этой экспедиции также вошли 6 Ли-2, 4 Ил-12 и 5 С-47, принадлежащие ВВС и Дальней авиации. Основной задачей являлся поиск ледовых аэродромов для базирования авиации в случае военного столкновения между СССР и США. В ходе работы "Север-2" было организовано 4 ледовых аэродрома в разных районах Арктики. Два аэродрома действовали ниже 80-й широты, аэродром №3 находился на 86? 30? с.ш, аэродром №4 - в районе полюса. Известно, что арктические аэродромы оказались капризными взлетными площадками - еще в ходе экспедиции многие льдины разломало, поэтому пришлось провести срочную эвакуацию техники и персонала.</w:t>
      </w:r>
    </w:p>
    <w:p w14:paraId="7C35073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последующем для нужд УПА переоборудовали еще три Пе-8 - СССР-Н419, СССР-Н550, СССР-Н552.</w:t>
      </w:r>
    </w:p>
    <w:p w14:paraId="1963359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Весной 1948 г. СССР-Н419 под управлением летчика В.Н.Задкова вошел в воздушную эскадру, которой руководил И.П.Мазу- рук. Кроме Пе-8 там имелось шесть Ли-2 и четыре Ил-12. Целью экспедиции называлось исследование района Арктики, известного как "область полюса относительной недоступности". Через год, в мае 1949 г. СССР- H4I9 командира корабля В.Н. Задкова в ходе эвакуации экспедиции "Север-4" осуществил беспосадочный перелет Северный по- л юс-Москва.</w:t>
      </w:r>
    </w:p>
    <w:p w14:paraId="0E0C46C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Пе-8 СССР-Н550 (зав. №42612) в 1950 г. входил в состав Московской авиагруппы особого назначения. В том году при совершении посадки на острове Диксон самолет получил поломку (первый пилот Б.Н.Агров, второй пилот С.С.Додонов).</w:t>
      </w:r>
    </w:p>
    <w:p w14:paraId="08037D5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весны 1950 г. в Полярной авиации начинает эксплуатироваться Пе-8 СССР-Н562 (зав. №42311) с двигателями AI1I-73 со снятыми ТК. Пе-8 СССР-Н562 стал известен тем, что в 1952 г. перевез под своим фюзеляжем вертолет Ми-1 к месту его базирования в районе полярных зимовок. Прибегать к таким ухищрениям пришлось по той причине, что ресурс несущего винта вертолета не превышал поначалу 200 часов, и добираться своим ходом было просто неразумно. Пе-8 СССР-Н562 эксплуатировался наиболее долго среди однотипных с ним машин. Самолет участвовал в высокоширотной воздушной экспедиции в 1954 г.</w:t>
      </w:r>
    </w:p>
    <w:p w14:paraId="08EB0AB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Впоследствии, упоминания о летающих экземплярах Пе-8 прекращаются. К сожалению, на настоящий момент не осталось ни одного такого самолета. Если отсчитывать историю Пе-8 с начала его проектирования в 1934 г., окажется, что вся она продолжалась ровно двадцать лет, а в эксплуатации, если считать с момента поступления в войска, самолет находился 14 лет (12025).</w:t>
      </w:r>
    </w:p>
    <w:p w14:paraId="3C066E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Выпуск Пе-8 (ТБ-7)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1"/>
        <w:gridCol w:w="1121"/>
        <w:gridCol w:w="1121"/>
        <w:gridCol w:w="1121"/>
        <w:gridCol w:w="1121"/>
        <w:gridCol w:w="1121"/>
        <w:gridCol w:w="1121"/>
        <w:gridCol w:w="1121"/>
        <w:gridCol w:w="1121"/>
        <w:gridCol w:w="1121"/>
      </w:tblGrid>
      <w:tr w:rsidR="00561F31" w:rsidRPr="00F90EAE" w14:paraId="45591E36" w14:textId="77777777">
        <w:tc>
          <w:tcPr>
            <w:tcW w:w="1121" w:type="dxa"/>
            <w:tcBorders>
              <w:top w:val="single" w:sz="12" w:space="0" w:color="auto"/>
            </w:tcBorders>
          </w:tcPr>
          <w:p w14:paraId="5DC695D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Год</w:t>
            </w:r>
          </w:p>
        </w:tc>
        <w:tc>
          <w:tcPr>
            <w:tcW w:w="1121" w:type="dxa"/>
            <w:tcBorders>
              <w:top w:val="single" w:sz="12" w:space="0" w:color="auto"/>
            </w:tcBorders>
          </w:tcPr>
          <w:p w14:paraId="267083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1936</w:t>
            </w:r>
          </w:p>
        </w:tc>
        <w:tc>
          <w:tcPr>
            <w:tcW w:w="1121" w:type="dxa"/>
            <w:tcBorders>
              <w:top w:val="single" w:sz="12" w:space="0" w:color="auto"/>
            </w:tcBorders>
          </w:tcPr>
          <w:p w14:paraId="45641B4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1937</w:t>
            </w:r>
          </w:p>
        </w:tc>
        <w:tc>
          <w:tcPr>
            <w:tcW w:w="1121" w:type="dxa"/>
            <w:tcBorders>
              <w:top w:val="single" w:sz="12" w:space="0" w:color="auto"/>
            </w:tcBorders>
          </w:tcPr>
          <w:p w14:paraId="2C7832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1938</w:t>
            </w:r>
          </w:p>
        </w:tc>
        <w:tc>
          <w:tcPr>
            <w:tcW w:w="1121" w:type="dxa"/>
            <w:tcBorders>
              <w:top w:val="single" w:sz="12" w:space="0" w:color="auto"/>
            </w:tcBorders>
          </w:tcPr>
          <w:p w14:paraId="1A2E082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1939</w:t>
            </w:r>
          </w:p>
        </w:tc>
        <w:tc>
          <w:tcPr>
            <w:tcW w:w="1121" w:type="dxa"/>
            <w:tcBorders>
              <w:top w:val="single" w:sz="12" w:space="0" w:color="auto"/>
            </w:tcBorders>
          </w:tcPr>
          <w:p w14:paraId="72FB1CF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1940</w:t>
            </w:r>
          </w:p>
        </w:tc>
        <w:tc>
          <w:tcPr>
            <w:tcW w:w="1121" w:type="dxa"/>
            <w:tcBorders>
              <w:top w:val="single" w:sz="12" w:space="0" w:color="auto"/>
            </w:tcBorders>
          </w:tcPr>
          <w:p w14:paraId="2692883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1941</w:t>
            </w:r>
          </w:p>
        </w:tc>
        <w:tc>
          <w:tcPr>
            <w:tcW w:w="1121" w:type="dxa"/>
            <w:tcBorders>
              <w:top w:val="single" w:sz="12" w:space="0" w:color="auto"/>
            </w:tcBorders>
          </w:tcPr>
          <w:p w14:paraId="5E81970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1942</w:t>
            </w:r>
          </w:p>
        </w:tc>
        <w:tc>
          <w:tcPr>
            <w:tcW w:w="1121" w:type="dxa"/>
            <w:tcBorders>
              <w:top w:val="single" w:sz="12" w:space="0" w:color="auto"/>
            </w:tcBorders>
          </w:tcPr>
          <w:p w14:paraId="2C8ACB1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1943</w:t>
            </w:r>
          </w:p>
        </w:tc>
        <w:tc>
          <w:tcPr>
            <w:tcW w:w="1121" w:type="dxa"/>
            <w:tcBorders>
              <w:top w:val="single" w:sz="12" w:space="0" w:color="auto"/>
            </w:tcBorders>
          </w:tcPr>
          <w:p w14:paraId="639E27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1944</w:t>
            </w:r>
          </w:p>
        </w:tc>
      </w:tr>
      <w:tr w:rsidR="00561F31" w:rsidRPr="00F90EAE" w14:paraId="31F799DF" w14:textId="77777777">
        <w:tc>
          <w:tcPr>
            <w:tcW w:w="1121" w:type="dxa"/>
            <w:tcBorders>
              <w:bottom w:val="single" w:sz="12" w:space="0" w:color="auto"/>
            </w:tcBorders>
          </w:tcPr>
          <w:p w14:paraId="06E8C8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Выпущено: </w:t>
            </w:r>
          </w:p>
        </w:tc>
        <w:tc>
          <w:tcPr>
            <w:tcW w:w="1121" w:type="dxa"/>
            <w:tcBorders>
              <w:bottom w:val="single" w:sz="12" w:space="0" w:color="auto"/>
            </w:tcBorders>
          </w:tcPr>
          <w:p w14:paraId="2B4E4FD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21" w:type="dxa"/>
            <w:tcBorders>
              <w:bottom w:val="single" w:sz="12" w:space="0" w:color="auto"/>
            </w:tcBorders>
          </w:tcPr>
          <w:p w14:paraId="7658E34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21" w:type="dxa"/>
            <w:tcBorders>
              <w:bottom w:val="single" w:sz="12" w:space="0" w:color="auto"/>
            </w:tcBorders>
          </w:tcPr>
          <w:p w14:paraId="4B134F1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w:t>
            </w:r>
          </w:p>
        </w:tc>
        <w:tc>
          <w:tcPr>
            <w:tcW w:w="1121" w:type="dxa"/>
            <w:tcBorders>
              <w:bottom w:val="single" w:sz="12" w:space="0" w:color="auto"/>
            </w:tcBorders>
          </w:tcPr>
          <w:p w14:paraId="3ECEFA5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0</w:t>
            </w:r>
          </w:p>
        </w:tc>
        <w:tc>
          <w:tcPr>
            <w:tcW w:w="1121" w:type="dxa"/>
            <w:tcBorders>
              <w:bottom w:val="single" w:sz="12" w:space="0" w:color="auto"/>
            </w:tcBorders>
          </w:tcPr>
          <w:p w14:paraId="2567415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w:t>
            </w:r>
          </w:p>
        </w:tc>
        <w:tc>
          <w:tcPr>
            <w:tcW w:w="1121" w:type="dxa"/>
            <w:tcBorders>
              <w:bottom w:val="single" w:sz="12" w:space="0" w:color="auto"/>
            </w:tcBorders>
          </w:tcPr>
          <w:p w14:paraId="054256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23</w:t>
            </w:r>
          </w:p>
        </w:tc>
        <w:tc>
          <w:tcPr>
            <w:tcW w:w="1121" w:type="dxa"/>
            <w:tcBorders>
              <w:bottom w:val="single" w:sz="12" w:space="0" w:color="auto"/>
            </w:tcBorders>
          </w:tcPr>
          <w:p w14:paraId="5D026F40"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22</w:t>
            </w:r>
          </w:p>
        </w:tc>
        <w:tc>
          <w:tcPr>
            <w:tcW w:w="1121" w:type="dxa"/>
            <w:tcBorders>
              <w:bottom w:val="single" w:sz="12" w:space="0" w:color="auto"/>
            </w:tcBorders>
          </w:tcPr>
          <w:p w14:paraId="4172C16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29</w:t>
            </w:r>
          </w:p>
        </w:tc>
        <w:tc>
          <w:tcPr>
            <w:tcW w:w="1121" w:type="dxa"/>
            <w:tcBorders>
              <w:bottom w:val="single" w:sz="12" w:space="0" w:color="auto"/>
            </w:tcBorders>
          </w:tcPr>
          <w:p w14:paraId="6A71FCA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5</w:t>
            </w:r>
          </w:p>
        </w:tc>
      </w:tr>
    </w:tbl>
    <w:p w14:paraId="02D6C0C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Вместе с двумя опытными машинами АНТ-42 произведенными авиазаводом №156, всего построено 93 самолета типа Пе-8 (ТБ-7).</w:t>
      </w:r>
    </w:p>
    <w:p w14:paraId="03AD5D32"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(12025).</w:t>
      </w:r>
    </w:p>
    <w:p w14:paraId="2CDCF9AB" w14:textId="77777777" w:rsidR="006103B3" w:rsidRPr="00F90EAE" w:rsidRDefault="006103B3" w:rsidP="00F90EAE">
      <w:pPr>
        <w:autoSpaceDE w:val="0"/>
        <w:autoSpaceDN w:val="0"/>
        <w:adjustRightInd w:val="0"/>
        <w:jc w:val="both"/>
        <w:rPr>
          <w:color w:val="000000" w:themeColor="text1"/>
          <w:sz w:val="16"/>
          <w:szCs w:val="16"/>
        </w:rPr>
      </w:pPr>
    </w:p>
    <w:p w14:paraId="3462EF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самолет Ер-2 (заводской № 7023901) с моторами АЧ-30БФ и винтами АВ-ЗЛВ- 116 диаметром 3,95 м проходил совместные контрольные испытания в НИИ ВВС, в ходе которых выявилась необходимость увеличения аэродинамической компенсации элеронов и рулей высоты с установкой флеттнеров. Эту машину оборудовали новым вертикальным оперением, системой радиоопознавания, командной радиостанцией, кислородными приборами с измененной схемой питания, коническим стопором хвостового колеса и фильтрами в электрической цепи, устранявшими помехи при работе радиооборудования. После доработок испытания продолжились, завершились они 13 октября (11994).</w:t>
      </w:r>
    </w:p>
    <w:p w14:paraId="529B2762" w14:textId="77777777" w:rsidR="006103B3" w:rsidRPr="00F90EAE" w:rsidRDefault="006103B3" w:rsidP="00F90EAE">
      <w:pPr>
        <w:autoSpaceDE w:val="0"/>
        <w:autoSpaceDN w:val="0"/>
        <w:adjustRightInd w:val="0"/>
        <w:jc w:val="both"/>
        <w:rPr>
          <w:color w:val="000000" w:themeColor="text1"/>
          <w:sz w:val="16"/>
          <w:szCs w:val="16"/>
        </w:rPr>
      </w:pPr>
    </w:p>
    <w:p w14:paraId="2542B95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года в 8-й гвардейской авиадивизии должны были начаться войсковые испытания Ер-2, однако эти планы пришлось откорректировать. 12 июля нарком А.И. Шахурин писал командующему 18-й воздушной армией (так с 6 декабря 1944 г. стала именоваться АДД) А.А. Новикову: "Учитывая заявление главных конструкторов Чаромского и Сухого о возможности быстрого улучшения материальной части генерал-майора Тихонова, а также в связи с недостатком запасных частей мотора... и необходимостью подготовки группы самолетов к параду, прошу отложить войсковые испытания... Ер-2 на срок до особой договоренности".</w:t>
      </w:r>
    </w:p>
    <w:p w14:paraId="0BCD6C4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Несмотря на это, Ер-2 передали на войсковые испытания, проходившие на аэродроме Белая Церковь (Украина). Они завершились 23 августа с неудовлетворительной оценкой из-за большого количества дефектов, в том числе у дизелей. Отмечались невозможность полета на одном моторе и тяжелое управление. Более того, 10 августа один самолет (заводской № 7013907) потерпел катастрофу в районе Полтавы.</w:t>
      </w:r>
    </w:p>
    <w:p w14:paraId="62C02E5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августе 1945 г. командование 18-й воздушной армии подготовило обзор работы самолетов Ер-2 с моторами АЧ-ЗОБ за период с августа 1944 по июль 1945 г. За это время количество боевых машин возросло с 13 до 185, а общий налет составил 6477 ч. Средний налет на один дефект по самолету составлял 29,2 ч, по мотору - 14,4 ч. Чаще всего ломались коленчатые валы и разрушались поршни двигателей, выходили из строя шасси и появлялись трещины в топливных баках. Заказчик потребовал устранить все дефекты, установить флюгерные винты и передать на госиспытания три доработанных самолета, а в декабре 1945 г. отправить на войсковые испытания 20 машин. Еще в августе вышло соответствующее постановление ГКО, но, несмотря на все усилия, предприятия НКАП не справились с поставленной задачей и на основании постановления правительства от 26 февраля 1946 г. Ер-2 сняли с производства, а затем и с вооружения. К этому времени на заводском аэродроме находилось 94 самолета, готовых к отправке, а в сборочном цехе - 49 машин. Значительным был и задел, скопившийся в агрегатных и заготовительных цехах (11994).</w:t>
      </w:r>
    </w:p>
    <w:p w14:paraId="01BFC40A" w14:textId="77777777" w:rsidR="006103B3" w:rsidRPr="00F90EAE" w:rsidRDefault="006103B3" w:rsidP="00F90EAE">
      <w:pPr>
        <w:autoSpaceDE w:val="0"/>
        <w:autoSpaceDN w:val="0"/>
        <w:adjustRightInd w:val="0"/>
        <w:jc w:val="both"/>
        <w:rPr>
          <w:color w:val="000000" w:themeColor="text1"/>
          <w:sz w:val="16"/>
          <w:szCs w:val="16"/>
        </w:rPr>
      </w:pPr>
    </w:p>
    <w:p w14:paraId="34D058B9" w14:textId="77777777" w:rsidR="001F396D" w:rsidRPr="00F90EAE" w:rsidRDefault="001F396D" w:rsidP="00F90EAE">
      <w:pPr>
        <w:pStyle w:val="ae"/>
        <w:spacing w:before="0" w:after="0"/>
        <w:jc w:val="both"/>
        <w:rPr>
          <w:color w:val="000000" w:themeColor="text1"/>
          <w:sz w:val="16"/>
          <w:szCs w:val="16"/>
        </w:rPr>
      </w:pPr>
      <w:r w:rsidRPr="00F90EAE">
        <w:rPr>
          <w:color w:val="000000" w:themeColor="text1"/>
          <w:sz w:val="16"/>
          <w:szCs w:val="16"/>
        </w:rPr>
        <w:t xml:space="preserve">С лета 1945 г. в ОКБ В.М. Мясищева проектировался скоростной Дневной бомбардировщик. Проект был выпол нен по тем временам отлично. Даже с сегодняшних высот опыта и знаний имеет смысл отметить, что силовая установка, завязанная, на первый взгляд, не совсем правильно, является вполне целесообразной. Она получилась такой вы нужденно, поскольку первые образцы ТРД, с которыми наши самолетостроители столкнулись в конце войны, не отличались особой компактностью и завидной удельной тягой, с чем при шлось, как на безрыбье, примириться. И в этой ситуации надо отдать должное В.М. Мясищеву, который утвердил схему си ловой установки, составленной из двух вертикальных спарок двигателей Jumo-004. Под высокорасположенным крылом (вполне естественным для бомбардировщика) были обеспече ны только два монтажных места для подвески четырех ТРД. </w:t>
      </w:r>
      <w:r w:rsidRPr="00F90EAE">
        <w:rPr>
          <w:color w:val="000000" w:themeColor="text1"/>
          <w:sz w:val="16"/>
          <w:szCs w:val="16"/>
          <w:shd w:val="clear" w:color="auto" w:fill="FFFFFF"/>
        </w:rPr>
        <w:t>Такой прием свидетельствовал об убежденности В.М. Мяси щева в том, что через каких-нибудь год-два появятся более совершенные турбореактивные двигатели, способные обеспе чить самолету достаточную тяговооруженность при вдвое мень шем их количестве.</w:t>
      </w:r>
      <w:r w:rsidRPr="00F90EAE">
        <w:rPr>
          <w:color w:val="000000" w:themeColor="text1"/>
          <w:sz w:val="16"/>
          <w:szCs w:val="16"/>
        </w:rPr>
        <w:t xml:space="preserve"> На начальной стадии созда ния первого советского реактивного бомбардировщика ДСБ- (ИДД-17, РБ-17 и ВМ-24) ОКБ-482 было ликвидировано (19586).</w:t>
      </w:r>
    </w:p>
    <w:p w14:paraId="37E887AD" w14:textId="77777777" w:rsidR="001F396D" w:rsidRPr="00F90EAE" w:rsidRDefault="001F396D" w:rsidP="00F90EAE">
      <w:pPr>
        <w:jc w:val="both"/>
        <w:rPr>
          <w:color w:val="000000" w:themeColor="text1"/>
          <w:sz w:val="16"/>
          <w:szCs w:val="16"/>
        </w:rPr>
      </w:pPr>
    </w:p>
    <w:p w14:paraId="6EA9D9D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распоряжением НКАП выпуск малой серии опытных "150" поручили заводу № 381, который заканчивал производство поршневых истребителей Ла-7. Несмотря на быстрый выпуск документации, самолет "150" оказался в худшем положении по сравнению с Як-ЮМО и И-300. Яковлев и Микоян строили опытные машины на заводах, находившихся в их непосредственном подчинении, где одновременно с проектированием могли организовать подготовку стапелей и другой технологической оснастки, заготовку необходимых материалов и многое другое. Заводы имели соответствующее характеру опытного производства оборудование и квалифицированную рабочую силу. Завод № 381 был серийным, технологически "настроенным" на выпуск деревянных самолетов, что значительно затрудняло решение поставленной задачи. В результате планы изготовления нескольких опытных машин еще в 1945 г. оказались сорваны (11407).</w:t>
      </w:r>
    </w:p>
    <w:p w14:paraId="05177084" w14:textId="77777777" w:rsidR="006103B3" w:rsidRPr="00F90EAE" w:rsidRDefault="006103B3" w:rsidP="00F90EAE">
      <w:pPr>
        <w:autoSpaceDE w:val="0"/>
        <w:autoSpaceDN w:val="0"/>
        <w:adjustRightInd w:val="0"/>
        <w:jc w:val="both"/>
        <w:rPr>
          <w:color w:val="000000" w:themeColor="text1"/>
          <w:sz w:val="16"/>
          <w:szCs w:val="16"/>
        </w:rPr>
      </w:pPr>
    </w:p>
    <w:p w14:paraId="6F443637"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был готов Б5 И.В.Четверикова и удовлетворительно прошел заводские испытания, но на гос. испытания не передавался (4,295).</w:t>
      </w:r>
    </w:p>
    <w:p w14:paraId="26E0DA03" w14:textId="77777777" w:rsidR="006103B3" w:rsidRPr="00F90EAE" w:rsidRDefault="006103B3" w:rsidP="00F90EAE">
      <w:pPr>
        <w:autoSpaceDE w:val="0"/>
        <w:autoSpaceDN w:val="0"/>
        <w:adjustRightInd w:val="0"/>
        <w:jc w:val="both"/>
        <w:rPr>
          <w:color w:val="000000" w:themeColor="text1"/>
          <w:sz w:val="16"/>
          <w:szCs w:val="16"/>
        </w:rPr>
      </w:pPr>
    </w:p>
    <w:p w14:paraId="1B186CA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Летом 1945 было совещание у И.В.С., на котором тот спросил А.И.Шахурина, какие самолеты нужны сегодня - пассажирские, транспортные или бомбардировщики. А.И.Шахурин ответил, что в мире не спокойно и нужны бомбардировщики (1105,7).</w:t>
      </w:r>
    </w:p>
    <w:p w14:paraId="130CE1B1" w14:textId="77777777" w:rsidR="006103B3" w:rsidRPr="00F90EAE" w:rsidRDefault="006103B3" w:rsidP="00F90EAE">
      <w:pPr>
        <w:autoSpaceDE w:val="0"/>
        <w:autoSpaceDN w:val="0"/>
        <w:adjustRightInd w:val="0"/>
        <w:jc w:val="both"/>
        <w:rPr>
          <w:color w:val="000000" w:themeColor="text1"/>
          <w:sz w:val="16"/>
          <w:szCs w:val="16"/>
        </w:rPr>
      </w:pPr>
    </w:p>
    <w:p w14:paraId="703AFE6B" w14:textId="77777777" w:rsidR="00500674" w:rsidRPr="00F90EAE" w:rsidRDefault="00500674" w:rsidP="00F90EAE">
      <w:pPr>
        <w:jc w:val="both"/>
        <w:rPr>
          <w:color w:val="000000" w:themeColor="text1"/>
          <w:sz w:val="16"/>
          <w:szCs w:val="16"/>
        </w:rPr>
      </w:pPr>
      <w:r w:rsidRPr="00F90EAE">
        <w:rPr>
          <w:color w:val="000000" w:themeColor="text1"/>
          <w:sz w:val="16"/>
          <w:szCs w:val="16"/>
        </w:rPr>
        <w:t>Летом 1945 г. производство Г-11 и Г-11 У прекра</w:t>
      </w:r>
      <w:r w:rsidRPr="00F90EAE">
        <w:rPr>
          <w:color w:val="000000" w:themeColor="text1"/>
          <w:sz w:val="16"/>
          <w:szCs w:val="16"/>
        </w:rPr>
        <w:softHyphen/>
        <w:t>тили, а в июне 1946 г. восстановили. Выпуск их продолжался до 1948 г. Всего, по оценке А.П. Кра- сильщикова, выпустили около 500 эк</w:t>
      </w:r>
      <w:r w:rsidRPr="00F90EAE">
        <w:rPr>
          <w:color w:val="000000" w:themeColor="text1"/>
          <w:sz w:val="16"/>
          <w:szCs w:val="16"/>
        </w:rPr>
        <w:softHyphen/>
        <w:t>земпляров (12266).</w:t>
      </w:r>
    </w:p>
    <w:p w14:paraId="223F34C7" w14:textId="77777777" w:rsidR="00500674" w:rsidRPr="00F90EAE" w:rsidRDefault="00500674" w:rsidP="00F90EAE">
      <w:pPr>
        <w:jc w:val="both"/>
        <w:rPr>
          <w:color w:val="000000" w:themeColor="text1"/>
          <w:sz w:val="16"/>
          <w:szCs w:val="16"/>
        </w:rPr>
      </w:pPr>
    </w:p>
    <w:p w14:paraId="6DD86AF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Летом 1945 года моторы АМ-39ФН (ФНВ) испытывались на бомбардиров</w:t>
      </w:r>
      <w:r w:rsidRPr="00F90EAE">
        <w:rPr>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 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F90EAE">
        <w:rPr>
          <w:color w:val="000000" w:themeColor="text1"/>
          <w:sz w:val="16"/>
          <w:szCs w:val="16"/>
        </w:rPr>
        <w:softHyphen/>
        <w:t>сматривалось проектом самолета СПС (11852).</w:t>
      </w:r>
    </w:p>
    <w:p w14:paraId="228C7A2C"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237A7F4" w14:textId="77777777" w:rsidR="002A5DBF" w:rsidRPr="00F90EAE" w:rsidRDefault="002A5DBF" w:rsidP="00F90EAE">
      <w:pPr>
        <w:jc w:val="both"/>
        <w:rPr>
          <w:color w:val="000000" w:themeColor="text1"/>
          <w:sz w:val="16"/>
          <w:szCs w:val="16"/>
        </w:rPr>
      </w:pPr>
      <w:r w:rsidRPr="00F90EAE">
        <w:rPr>
          <w:color w:val="000000" w:themeColor="text1"/>
          <w:sz w:val="16"/>
          <w:szCs w:val="16"/>
        </w:rPr>
        <w:t>Летом 1945 г. старший военпред завода №19 инженер-майор И.К. Четверика об</w:t>
      </w:r>
      <w:r w:rsidRPr="00F90EAE">
        <w:rPr>
          <w:color w:val="000000" w:themeColor="text1"/>
          <w:sz w:val="16"/>
          <w:szCs w:val="16"/>
        </w:rPr>
        <w:softHyphen/>
        <w:t>стоятельно изложил то, что происходило тогда на заводе № 19 на самом деле.</w:t>
      </w:r>
    </w:p>
    <w:p w14:paraId="2C32F76F" w14:textId="77777777" w:rsidR="002A5DBF" w:rsidRPr="00F90EAE" w:rsidRDefault="002A5DBF" w:rsidP="00F90EAE">
      <w:pPr>
        <w:jc w:val="both"/>
        <w:rPr>
          <w:color w:val="000000" w:themeColor="text1"/>
          <w:sz w:val="16"/>
          <w:szCs w:val="16"/>
        </w:rPr>
      </w:pPr>
      <w:r w:rsidRPr="00F90EAE">
        <w:rPr>
          <w:color w:val="000000" w:themeColor="text1"/>
          <w:sz w:val="16"/>
          <w:szCs w:val="16"/>
        </w:rPr>
        <w:t>«В основу проведения работ по борьбе с преждевременным износом и уступчатой вы</w:t>
      </w:r>
      <w:r w:rsidRPr="00F90EAE">
        <w:rPr>
          <w:color w:val="000000" w:themeColor="text1"/>
          <w:sz w:val="16"/>
          <w:szCs w:val="16"/>
        </w:rPr>
        <w:softHyphen/>
        <w:t>работки цилиндров моторов АШ-82ФН в 1945 году, за исключением нескольких предло</w:t>
      </w:r>
      <w:r w:rsidRPr="00F90EAE">
        <w:rPr>
          <w:color w:val="000000" w:themeColor="text1"/>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A4B3538" w14:textId="77777777" w:rsidR="002A5DBF" w:rsidRPr="00F90EAE" w:rsidRDefault="002A5DBF" w:rsidP="00F90EAE">
      <w:pPr>
        <w:jc w:val="both"/>
        <w:rPr>
          <w:color w:val="000000" w:themeColor="text1"/>
          <w:sz w:val="16"/>
          <w:szCs w:val="16"/>
        </w:rPr>
      </w:pPr>
      <w:r w:rsidRPr="00F90EAE">
        <w:rPr>
          <w:color w:val="000000" w:themeColor="text1"/>
          <w:sz w:val="16"/>
          <w:szCs w:val="16"/>
        </w:rPr>
        <w:t>Кратко эти предложения сводятся к следующему:</w:t>
      </w:r>
    </w:p>
    <w:p w14:paraId="7245724B" w14:textId="77777777" w:rsidR="002A5DBF" w:rsidRPr="00F90EAE" w:rsidRDefault="002A5DBF" w:rsidP="00F90EAE">
      <w:pPr>
        <w:tabs>
          <w:tab w:val="left" w:pos="498"/>
        </w:tabs>
        <w:jc w:val="both"/>
        <w:rPr>
          <w:color w:val="000000" w:themeColor="text1"/>
          <w:sz w:val="16"/>
          <w:szCs w:val="16"/>
        </w:rPr>
      </w:pPr>
      <w:r w:rsidRPr="00F90EAE">
        <w:rPr>
          <w:color w:val="000000" w:themeColor="text1"/>
          <w:sz w:val="16"/>
          <w:szCs w:val="16"/>
        </w:rPr>
        <w:t>1. Неравномерная глубина и твердость азотированного слоя по длине рабочей по</w:t>
      </w:r>
      <w:r w:rsidRPr="00F90EAE">
        <w:rPr>
          <w:color w:val="000000" w:themeColor="text1"/>
          <w:sz w:val="16"/>
          <w:szCs w:val="16"/>
        </w:rPr>
        <w:softHyphen/>
        <w:t>верхности гильзы.</w:t>
      </w:r>
    </w:p>
    <w:p w14:paraId="6D3E95FD" w14:textId="77777777" w:rsidR="002A5DBF" w:rsidRPr="00F90EAE" w:rsidRDefault="002A5DBF" w:rsidP="00F90EAE">
      <w:pPr>
        <w:tabs>
          <w:tab w:val="left" w:pos="320"/>
        </w:tabs>
        <w:jc w:val="both"/>
        <w:rPr>
          <w:color w:val="000000" w:themeColor="text1"/>
          <w:sz w:val="16"/>
          <w:szCs w:val="16"/>
        </w:rPr>
      </w:pPr>
      <w:r w:rsidRPr="00F90EAE">
        <w:rPr>
          <w:color w:val="000000" w:themeColor="text1"/>
          <w:sz w:val="16"/>
          <w:szCs w:val="16"/>
        </w:rPr>
        <w:t>2. Распор силами газов верхнего поршневого кольца в такте расширения.</w:t>
      </w:r>
    </w:p>
    <w:p w14:paraId="150CF6BC" w14:textId="77777777" w:rsidR="002A5DBF" w:rsidRPr="00F90EAE" w:rsidRDefault="002A5DBF" w:rsidP="00F90EAE">
      <w:pPr>
        <w:tabs>
          <w:tab w:val="left" w:pos="483"/>
        </w:tabs>
        <w:jc w:val="both"/>
        <w:rPr>
          <w:color w:val="000000" w:themeColor="text1"/>
          <w:sz w:val="16"/>
          <w:szCs w:val="16"/>
        </w:rPr>
      </w:pPr>
      <w:r w:rsidRPr="00F90EAE">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2D624C76" w14:textId="77777777" w:rsidR="002A5DBF" w:rsidRPr="00F90EAE" w:rsidRDefault="002A5DBF" w:rsidP="00F90EAE">
      <w:pPr>
        <w:tabs>
          <w:tab w:val="left" w:pos="517"/>
        </w:tabs>
        <w:jc w:val="both"/>
        <w:rPr>
          <w:color w:val="000000" w:themeColor="text1"/>
          <w:sz w:val="16"/>
          <w:szCs w:val="16"/>
        </w:rPr>
      </w:pPr>
      <w:r w:rsidRPr="00F90EAE">
        <w:rPr>
          <w:color w:val="000000" w:themeColor="text1"/>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F1C0D41" w14:textId="77777777" w:rsidR="002A5DBF" w:rsidRPr="00F90EAE" w:rsidRDefault="002A5DBF" w:rsidP="00F90EAE">
      <w:pPr>
        <w:tabs>
          <w:tab w:val="left" w:pos="474"/>
        </w:tabs>
        <w:jc w:val="both"/>
        <w:rPr>
          <w:color w:val="000000" w:themeColor="text1"/>
          <w:sz w:val="16"/>
          <w:szCs w:val="16"/>
        </w:rPr>
      </w:pPr>
      <w:r w:rsidRPr="00F90EAE">
        <w:rPr>
          <w:color w:val="000000" w:themeColor="text1"/>
          <w:sz w:val="16"/>
          <w:szCs w:val="16"/>
        </w:rPr>
        <w:t>5. Отступления от технологии испытания моторов, заключающиеся в игнорировании за</w:t>
      </w:r>
      <w:r w:rsidRPr="00F90EAE">
        <w:rPr>
          <w:color w:val="000000" w:themeColor="text1"/>
          <w:sz w:val="16"/>
          <w:szCs w:val="16"/>
        </w:rPr>
        <w:softHyphen/>
        <w:t>ливки масла в цилиндры перед началом испытания, прокачки масломагистрали... горя</w:t>
      </w:r>
      <w:r w:rsidRPr="00F90EAE">
        <w:rPr>
          <w:color w:val="000000" w:themeColor="text1"/>
          <w:sz w:val="16"/>
          <w:szCs w:val="16"/>
        </w:rPr>
        <w:softHyphen/>
        <w:t>чим маслом перед запуском и недостаточном прогреве моторов во время приработки.</w:t>
      </w:r>
    </w:p>
    <w:p w14:paraId="62354DE7" w14:textId="77777777" w:rsidR="002A5DBF" w:rsidRPr="00F90EAE" w:rsidRDefault="002A5DBF" w:rsidP="00F90EAE">
      <w:pPr>
        <w:tabs>
          <w:tab w:val="left" w:pos="320"/>
        </w:tabs>
        <w:jc w:val="both"/>
        <w:rPr>
          <w:color w:val="000000" w:themeColor="text1"/>
          <w:sz w:val="16"/>
          <w:szCs w:val="16"/>
        </w:rPr>
      </w:pPr>
      <w:r w:rsidRPr="00F90EAE">
        <w:rPr>
          <w:color w:val="000000" w:themeColor="text1"/>
          <w:sz w:val="16"/>
          <w:szCs w:val="16"/>
        </w:rPr>
        <w:t>6. Короткая (по времени) приработка моторов перед контрольным испытанием.</w:t>
      </w:r>
    </w:p>
    <w:p w14:paraId="31FA8836" w14:textId="77777777" w:rsidR="002A5DBF" w:rsidRPr="00F90EAE" w:rsidRDefault="002A5DBF" w:rsidP="00F90EAE">
      <w:pPr>
        <w:tabs>
          <w:tab w:val="left" w:pos="478"/>
        </w:tabs>
        <w:jc w:val="both"/>
        <w:rPr>
          <w:color w:val="000000" w:themeColor="text1"/>
          <w:sz w:val="16"/>
          <w:szCs w:val="16"/>
        </w:rPr>
      </w:pPr>
      <w:r w:rsidRPr="00F90EAE">
        <w:rPr>
          <w:color w:val="000000" w:themeColor="text1"/>
          <w:sz w:val="16"/>
          <w:szCs w:val="16"/>
        </w:rPr>
        <w:t>7. Плохая работа топливной аппаратуры, могущая проявляться в некачественном рас</w:t>
      </w:r>
      <w:r w:rsidRPr="00F90EAE">
        <w:rPr>
          <w:color w:val="000000" w:themeColor="text1"/>
          <w:sz w:val="16"/>
          <w:szCs w:val="16"/>
        </w:rPr>
        <w:softHyphen/>
        <w:t>пыле топлива форсунками и неравномерной подаче топлива по цилиндрам насосом не</w:t>
      </w:r>
      <w:r w:rsidRPr="00F90EAE">
        <w:rPr>
          <w:color w:val="000000" w:themeColor="text1"/>
          <w:sz w:val="16"/>
          <w:szCs w:val="16"/>
        </w:rPr>
        <w:softHyphen/>
        <w:t>посредственного впрыска.</w:t>
      </w:r>
    </w:p>
    <w:p w14:paraId="73484BAB" w14:textId="77777777" w:rsidR="002A5DBF" w:rsidRPr="00F90EAE" w:rsidRDefault="002A5DBF" w:rsidP="00F90EAE">
      <w:pPr>
        <w:tabs>
          <w:tab w:val="left" w:pos="507"/>
        </w:tabs>
        <w:jc w:val="both"/>
        <w:rPr>
          <w:color w:val="000000" w:themeColor="text1"/>
          <w:sz w:val="16"/>
          <w:szCs w:val="16"/>
        </w:rPr>
      </w:pPr>
      <w:r w:rsidRPr="00F90EAE">
        <w:rPr>
          <w:color w:val="000000" w:themeColor="text1"/>
          <w:sz w:val="16"/>
          <w:szCs w:val="16"/>
        </w:rPr>
        <w:t>8. Неравномерное распределение воздуха воздушными дефлекторами, устанавли</w:t>
      </w:r>
      <w:r w:rsidRPr="00F90EAE">
        <w:rPr>
          <w:color w:val="000000" w:themeColor="text1"/>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378BC6F9" w14:textId="77777777" w:rsidR="002A5DBF" w:rsidRPr="00F90EAE" w:rsidRDefault="002A5DBF" w:rsidP="00F90EAE">
      <w:pPr>
        <w:tabs>
          <w:tab w:val="left" w:pos="464"/>
        </w:tabs>
        <w:jc w:val="both"/>
        <w:rPr>
          <w:color w:val="000000" w:themeColor="text1"/>
          <w:sz w:val="16"/>
          <w:szCs w:val="16"/>
        </w:rPr>
      </w:pPr>
      <w:r w:rsidRPr="00F90EAE">
        <w:rPr>
          <w:color w:val="000000" w:themeColor="text1"/>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085D0F02" w14:textId="77777777" w:rsidR="002A5DBF" w:rsidRPr="00F90EAE" w:rsidRDefault="002A5DBF" w:rsidP="00F90EAE">
      <w:pPr>
        <w:tabs>
          <w:tab w:val="left" w:pos="392"/>
        </w:tabs>
        <w:jc w:val="both"/>
        <w:rPr>
          <w:color w:val="000000" w:themeColor="text1"/>
          <w:sz w:val="16"/>
          <w:szCs w:val="16"/>
        </w:rPr>
      </w:pPr>
      <w:r w:rsidRPr="00F90EAE">
        <w:rPr>
          <w:color w:val="000000" w:themeColor="text1"/>
          <w:sz w:val="16"/>
          <w:szCs w:val="16"/>
        </w:rPr>
        <w:t>10. Осушающее действие маслосборных колец, расположенных в 4-й канавке поршня.</w:t>
      </w:r>
    </w:p>
    <w:p w14:paraId="75157D51" w14:textId="77777777" w:rsidR="002A5DBF" w:rsidRPr="00F90EAE" w:rsidRDefault="002A5DBF" w:rsidP="00F90EAE">
      <w:pPr>
        <w:tabs>
          <w:tab w:val="left" w:pos="411"/>
        </w:tabs>
        <w:jc w:val="both"/>
        <w:rPr>
          <w:color w:val="000000" w:themeColor="text1"/>
          <w:sz w:val="16"/>
          <w:szCs w:val="16"/>
        </w:rPr>
      </w:pPr>
      <w:r w:rsidRPr="00F90EAE">
        <w:rPr>
          <w:color w:val="000000" w:themeColor="text1"/>
          <w:sz w:val="16"/>
          <w:szCs w:val="16"/>
        </w:rPr>
        <w:t>11. Повышенное содержание в масле бензина.</w:t>
      </w:r>
    </w:p>
    <w:p w14:paraId="5475721A" w14:textId="77777777" w:rsidR="002A5DBF" w:rsidRPr="00F90EAE" w:rsidRDefault="002A5DBF" w:rsidP="00F90EAE">
      <w:pPr>
        <w:tabs>
          <w:tab w:val="left" w:pos="411"/>
        </w:tabs>
        <w:jc w:val="both"/>
        <w:rPr>
          <w:color w:val="000000" w:themeColor="text1"/>
          <w:sz w:val="16"/>
          <w:szCs w:val="16"/>
        </w:rPr>
      </w:pPr>
      <w:r w:rsidRPr="00F90EAE">
        <w:rPr>
          <w:color w:val="000000" w:themeColor="text1"/>
          <w:sz w:val="16"/>
          <w:szCs w:val="16"/>
        </w:rPr>
        <w:t>12.</w:t>
      </w:r>
      <w:r w:rsidRPr="00F90EAE">
        <w:rPr>
          <w:rStyle w:val="aff9"/>
          <w:rFonts w:ascii="Times New Roman" w:cs="Times New Roman"/>
          <w:b w:val="0"/>
          <w:color w:val="000000" w:themeColor="text1"/>
          <w:spacing w:val="0"/>
          <w:sz w:val="16"/>
          <w:szCs w:val="16"/>
        </w:rPr>
        <w:t xml:space="preserve"> Возможность</w:t>
      </w:r>
      <w:r w:rsidRPr="00F90EAE">
        <w:rPr>
          <w:color w:val="000000" w:themeColor="text1"/>
          <w:sz w:val="16"/>
          <w:szCs w:val="16"/>
        </w:rPr>
        <w:t xml:space="preserve"> дымления цилиндров, если на них отсутствует уступчатая</w:t>
      </w:r>
      <w:r w:rsidRPr="00F90EAE">
        <w:rPr>
          <w:rStyle w:val="aff9"/>
          <w:rFonts w:ascii="Times New Roman" w:cs="Times New Roman"/>
          <w:b w:val="0"/>
          <w:color w:val="000000" w:themeColor="text1"/>
          <w:spacing w:val="0"/>
          <w:sz w:val="16"/>
          <w:szCs w:val="16"/>
        </w:rPr>
        <w:t xml:space="preserve"> выработка, </w:t>
      </w:r>
      <w:r w:rsidRPr="00F90EAE">
        <w:rPr>
          <w:color w:val="000000" w:themeColor="text1"/>
          <w:sz w:val="16"/>
          <w:szCs w:val="16"/>
        </w:rPr>
        <w:t>от неравномерной затяжки цилиндровых гаек.</w:t>
      </w:r>
    </w:p>
    <w:p w14:paraId="38A73C04" w14:textId="77777777" w:rsidR="002A5DBF" w:rsidRPr="00F90EAE" w:rsidRDefault="002A5DBF" w:rsidP="00F90EAE">
      <w:pPr>
        <w:tabs>
          <w:tab w:val="left" w:pos="543"/>
        </w:tabs>
        <w:jc w:val="both"/>
        <w:rPr>
          <w:color w:val="000000" w:themeColor="text1"/>
          <w:sz w:val="16"/>
          <w:szCs w:val="16"/>
        </w:rPr>
      </w:pPr>
      <w:r w:rsidRPr="00F90EAE">
        <w:rPr>
          <w:color w:val="000000" w:themeColor="text1"/>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02B646DD" w14:textId="77777777" w:rsidR="002A5DBF" w:rsidRPr="00F90EAE" w:rsidRDefault="002A5DBF" w:rsidP="00F90EAE">
      <w:pPr>
        <w:tabs>
          <w:tab w:val="left" w:pos="510"/>
        </w:tabs>
        <w:jc w:val="both"/>
        <w:rPr>
          <w:color w:val="000000" w:themeColor="text1"/>
          <w:sz w:val="16"/>
          <w:szCs w:val="16"/>
        </w:rPr>
      </w:pPr>
      <w:r w:rsidRPr="00F90EAE">
        <w:rPr>
          <w:color w:val="000000" w:themeColor="text1"/>
          <w:sz w:val="16"/>
          <w:szCs w:val="16"/>
        </w:rPr>
        <w:t>14. а) Раструб, получающийся в верхней части гильзы в результате тепловой деформа</w:t>
      </w:r>
      <w:r w:rsidRPr="00F90EAE">
        <w:rPr>
          <w:color w:val="000000" w:themeColor="text1"/>
          <w:sz w:val="16"/>
          <w:szCs w:val="16"/>
        </w:rPr>
        <w:softHyphen/>
        <w:t>ции цилиндра и усугубляющий режущее действие 1-го газоуплотнительного кольца.</w:t>
      </w:r>
    </w:p>
    <w:p w14:paraId="25C944DC" w14:textId="77777777" w:rsidR="002A5DBF" w:rsidRPr="00F90EAE" w:rsidRDefault="002A5DBF" w:rsidP="00F90EAE">
      <w:pPr>
        <w:jc w:val="both"/>
        <w:rPr>
          <w:color w:val="000000" w:themeColor="text1"/>
          <w:sz w:val="16"/>
          <w:szCs w:val="16"/>
        </w:rPr>
      </w:pPr>
      <w:r w:rsidRPr="00F90EAE">
        <w:rPr>
          <w:color w:val="000000" w:themeColor="text1"/>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356364B9" w14:textId="77777777" w:rsidR="002A5DBF" w:rsidRPr="00F90EAE" w:rsidRDefault="002A5DBF" w:rsidP="00F90EAE">
      <w:pPr>
        <w:jc w:val="both"/>
        <w:rPr>
          <w:color w:val="000000" w:themeColor="text1"/>
          <w:sz w:val="16"/>
          <w:szCs w:val="16"/>
        </w:rPr>
      </w:pPr>
      <w:r w:rsidRPr="00F90EAE">
        <w:rPr>
          <w:color w:val="000000" w:themeColor="text1"/>
          <w:sz w:val="16"/>
          <w:szCs w:val="16"/>
        </w:rPr>
        <w:t>ПРОВЕДЕННЫЕ ОПЫТНЫЕ РАБОТЫ &lt;...&gt;</w:t>
      </w:r>
      <w:r w:rsidRPr="00F90EAE">
        <w:rPr>
          <w:color w:val="000000" w:themeColor="text1"/>
          <w:sz w:val="16"/>
          <w:szCs w:val="16"/>
          <w:vertAlign w:val="superscript"/>
        </w:rPr>
        <w:t>5</w:t>
      </w:r>
    </w:p>
    <w:p w14:paraId="411BCB8C" w14:textId="77777777" w:rsidR="002A5DBF" w:rsidRPr="00F90EAE" w:rsidRDefault="002A5DBF" w:rsidP="00F90EAE">
      <w:pPr>
        <w:jc w:val="both"/>
        <w:rPr>
          <w:color w:val="000000" w:themeColor="text1"/>
          <w:sz w:val="16"/>
          <w:szCs w:val="16"/>
        </w:rPr>
      </w:pPr>
      <w:r w:rsidRPr="00F90EAE">
        <w:rPr>
          <w:color w:val="000000" w:themeColor="text1"/>
          <w:sz w:val="16"/>
          <w:szCs w:val="16"/>
        </w:rPr>
        <w:t>...Вопрос создания профиля рабочей поверхности цилиндра, который в нагретом (ра</w:t>
      </w:r>
      <w:r w:rsidRPr="00F90EAE">
        <w:rPr>
          <w:color w:val="000000" w:themeColor="text1"/>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F90EAE">
        <w:rPr>
          <w:color w:val="000000" w:themeColor="text1"/>
          <w:sz w:val="16"/>
          <w:szCs w:val="16"/>
        </w:rPr>
        <w:softHyphen/>
        <w:t>правлении работы вследствие быстрой смены серийных объектов остались незакончен</w:t>
      </w:r>
      <w:r w:rsidRPr="00F90EAE">
        <w:rPr>
          <w:color w:val="000000" w:themeColor="text1"/>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F90EAE">
        <w:rPr>
          <w:color w:val="000000" w:themeColor="text1"/>
          <w:sz w:val="16"/>
          <w:szCs w:val="16"/>
        </w:rPr>
        <w:softHyphen/>
        <w:t>торах дефектами преждевременного износа и уступчатой выработки цилиндров.</w:t>
      </w:r>
    </w:p>
    <w:p w14:paraId="625C987E" w14:textId="77777777" w:rsidR="002A5DBF" w:rsidRPr="00F90EAE" w:rsidRDefault="002A5DBF" w:rsidP="00F90EAE">
      <w:pPr>
        <w:jc w:val="both"/>
        <w:rPr>
          <w:color w:val="000000" w:themeColor="text1"/>
          <w:sz w:val="16"/>
          <w:szCs w:val="16"/>
        </w:rPr>
      </w:pPr>
      <w:r w:rsidRPr="00F90EAE">
        <w:rPr>
          <w:color w:val="000000" w:themeColor="text1"/>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F90EAE">
        <w:rPr>
          <w:color w:val="000000" w:themeColor="text1"/>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1553036D" w14:textId="77777777" w:rsidR="002A5DBF" w:rsidRPr="00F90EAE" w:rsidRDefault="002A5DBF" w:rsidP="00F90EAE">
      <w:pPr>
        <w:jc w:val="both"/>
        <w:rPr>
          <w:color w:val="000000" w:themeColor="text1"/>
          <w:sz w:val="16"/>
          <w:szCs w:val="16"/>
        </w:rPr>
      </w:pPr>
      <w:r w:rsidRPr="00F90EAE">
        <w:rPr>
          <w:color w:val="000000" w:themeColor="text1"/>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F90EAE">
        <w:rPr>
          <w:color w:val="000000" w:themeColor="text1"/>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CB7246C" w14:textId="77777777" w:rsidR="002A5DBF" w:rsidRPr="00F90EAE" w:rsidRDefault="002A5DBF" w:rsidP="00F90EAE">
      <w:pPr>
        <w:jc w:val="both"/>
        <w:rPr>
          <w:color w:val="000000" w:themeColor="text1"/>
          <w:sz w:val="16"/>
          <w:szCs w:val="16"/>
        </w:rPr>
      </w:pPr>
      <w:r w:rsidRPr="00F90EAE">
        <w:rPr>
          <w:color w:val="000000" w:themeColor="text1"/>
          <w:sz w:val="16"/>
          <w:szCs w:val="16"/>
        </w:rPr>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08FD0314" w14:textId="77777777" w:rsidR="002A5DBF" w:rsidRPr="00F90EAE" w:rsidRDefault="002A5DBF" w:rsidP="00F90EAE">
      <w:pPr>
        <w:jc w:val="both"/>
        <w:rPr>
          <w:color w:val="000000" w:themeColor="text1"/>
          <w:sz w:val="16"/>
          <w:szCs w:val="16"/>
        </w:rPr>
      </w:pPr>
      <w:r w:rsidRPr="00F90EAE">
        <w:rPr>
          <w:color w:val="000000" w:themeColor="text1"/>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6D6BC073" w14:textId="77777777" w:rsidR="002A5DBF" w:rsidRPr="00F90EAE" w:rsidRDefault="002A5DBF" w:rsidP="00F90EAE">
      <w:pPr>
        <w:jc w:val="both"/>
        <w:rPr>
          <w:color w:val="000000" w:themeColor="text1"/>
          <w:sz w:val="16"/>
          <w:szCs w:val="16"/>
        </w:rPr>
      </w:pPr>
      <w:r w:rsidRPr="00F90EAE">
        <w:rPr>
          <w:color w:val="000000" w:themeColor="text1"/>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F90EAE">
        <w:rPr>
          <w:color w:val="000000" w:themeColor="text1"/>
          <w:sz w:val="16"/>
          <w:szCs w:val="16"/>
        </w:rPr>
        <w:softHyphen/>
        <w:t>тастрофической величины, составившей 40% съёма моторов от числа поставленных на испытание.</w:t>
      </w:r>
    </w:p>
    <w:p w14:paraId="59C2DFBB" w14:textId="77777777" w:rsidR="002A5DBF" w:rsidRPr="00F90EAE" w:rsidRDefault="002A5DBF" w:rsidP="00F90EAE">
      <w:pPr>
        <w:jc w:val="both"/>
        <w:rPr>
          <w:color w:val="000000" w:themeColor="text1"/>
          <w:sz w:val="16"/>
          <w:szCs w:val="16"/>
        </w:rPr>
      </w:pPr>
      <w:r w:rsidRPr="00F90EAE">
        <w:rPr>
          <w:color w:val="000000" w:themeColor="text1"/>
          <w:sz w:val="16"/>
          <w:szCs w:val="16"/>
        </w:rPr>
        <w:t>В результате такого положения, сложившегося у некоторых ответственных работни</w:t>
      </w:r>
      <w:r w:rsidRPr="00F90EAE">
        <w:rPr>
          <w:color w:val="000000" w:themeColor="text1"/>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F90EAE">
        <w:rPr>
          <w:color w:val="000000" w:themeColor="text1"/>
          <w:sz w:val="16"/>
          <w:szCs w:val="16"/>
        </w:rPr>
        <w:softHyphen/>
        <w:t>драми прежней конструкции, т.е. с цилиндрическим профилем зеркала.</w:t>
      </w:r>
    </w:p>
    <w:p w14:paraId="240DEEC3" w14:textId="77777777" w:rsidR="002A5DBF" w:rsidRPr="00F90EAE" w:rsidRDefault="002A5DBF" w:rsidP="00F90EAE">
      <w:pPr>
        <w:jc w:val="both"/>
        <w:rPr>
          <w:color w:val="000000" w:themeColor="text1"/>
          <w:sz w:val="16"/>
          <w:szCs w:val="16"/>
        </w:rPr>
      </w:pPr>
      <w:r w:rsidRPr="00F90EAE">
        <w:rPr>
          <w:color w:val="000000" w:themeColor="text1"/>
          <w:sz w:val="16"/>
          <w:szCs w:val="16"/>
        </w:rPr>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F90EAE">
        <w:rPr>
          <w:color w:val="000000" w:themeColor="text1"/>
          <w:sz w:val="16"/>
          <w:szCs w:val="16"/>
        </w:rPr>
        <w:softHyphen/>
        <w:t>дровой группы нисколько не улучшает, ибо съём моторов по дымлению и отбраковка ци</w:t>
      </w:r>
      <w:r w:rsidRPr="00F90EAE">
        <w:rPr>
          <w:color w:val="000000" w:themeColor="text1"/>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458D82E9" w14:textId="77777777" w:rsidR="002A5DBF" w:rsidRPr="00F90EAE" w:rsidRDefault="002A5DBF" w:rsidP="00F90EAE">
      <w:pPr>
        <w:jc w:val="both"/>
        <w:rPr>
          <w:color w:val="000000" w:themeColor="text1"/>
          <w:sz w:val="16"/>
          <w:szCs w:val="16"/>
        </w:rPr>
      </w:pPr>
      <w:r w:rsidRPr="00F90EAE">
        <w:rPr>
          <w:color w:val="000000" w:themeColor="text1"/>
          <w:sz w:val="16"/>
          <w:szCs w:val="16"/>
        </w:rPr>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60E3F6D7" w14:textId="77777777" w:rsidR="002A5DBF" w:rsidRPr="00F90EAE" w:rsidRDefault="002A5DBF" w:rsidP="00F90EAE">
      <w:pPr>
        <w:jc w:val="both"/>
        <w:rPr>
          <w:color w:val="000000" w:themeColor="text1"/>
          <w:sz w:val="16"/>
          <w:szCs w:val="16"/>
        </w:rPr>
      </w:pPr>
      <w:r w:rsidRPr="00F90EAE">
        <w:rPr>
          <w:color w:val="000000" w:themeColor="text1"/>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F90EAE">
        <w:rPr>
          <w:color w:val="000000" w:themeColor="text1"/>
          <w:sz w:val="16"/>
          <w:szCs w:val="16"/>
        </w:rPr>
        <w:softHyphen/>
        <w:t>линдра в начале раструба, образующегося в верхней части гильзы в результате её те</w:t>
      </w:r>
      <w:r w:rsidRPr="00F90EAE">
        <w:rPr>
          <w:color w:val="000000" w:themeColor="text1"/>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F90EAE">
        <w:rPr>
          <w:color w:val="000000" w:themeColor="text1"/>
          <w:sz w:val="16"/>
          <w:szCs w:val="16"/>
        </w:rPr>
        <w:softHyphen/>
        <w:t>вания профиля зеркала цилиндра в нагретом состоянии, совпадают с моментом про</w:t>
      </w:r>
      <w:r w:rsidRPr="00F90EAE">
        <w:rPr>
          <w:color w:val="000000" w:themeColor="text1"/>
          <w:sz w:val="16"/>
          <w:szCs w:val="16"/>
        </w:rPr>
        <w:softHyphen/>
        <w:t>хождения кольцом кривизны, образующей раструб.</w:t>
      </w:r>
    </w:p>
    <w:p w14:paraId="248179E9" w14:textId="77777777" w:rsidR="002A5DBF" w:rsidRPr="00F90EAE" w:rsidRDefault="002A5DBF" w:rsidP="00F90EAE">
      <w:pPr>
        <w:jc w:val="both"/>
        <w:rPr>
          <w:color w:val="000000" w:themeColor="text1"/>
          <w:sz w:val="16"/>
          <w:szCs w:val="16"/>
        </w:rPr>
      </w:pPr>
      <w:r w:rsidRPr="00F90EAE">
        <w:rPr>
          <w:color w:val="000000" w:themeColor="text1"/>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F90EAE">
        <w:rPr>
          <w:color w:val="000000" w:themeColor="text1"/>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F90EAE">
        <w:rPr>
          <w:color w:val="000000" w:themeColor="text1"/>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F90EAE">
        <w:rPr>
          <w:color w:val="000000" w:themeColor="text1"/>
          <w:sz w:val="16"/>
          <w:szCs w:val="16"/>
        </w:rPr>
        <w:softHyphen/>
        <w:t>нии должен максимально приближаться к цилиндрическому.</w:t>
      </w:r>
    </w:p>
    <w:p w14:paraId="162EB763" w14:textId="77777777" w:rsidR="002A5DBF" w:rsidRPr="00F90EAE" w:rsidRDefault="002A5DBF" w:rsidP="00F90EAE">
      <w:pPr>
        <w:jc w:val="both"/>
        <w:rPr>
          <w:color w:val="000000" w:themeColor="text1"/>
          <w:sz w:val="16"/>
          <w:szCs w:val="16"/>
        </w:rPr>
      </w:pPr>
      <w:r w:rsidRPr="00F90EAE">
        <w:rPr>
          <w:color w:val="000000" w:themeColor="text1"/>
          <w:sz w:val="16"/>
          <w:szCs w:val="16"/>
        </w:rPr>
        <w:t>Рядом проведенных опытов удалось установить, что лучшим профилем рабочей по</w:t>
      </w:r>
      <w:r w:rsidRPr="00F90EAE">
        <w:rPr>
          <w:color w:val="000000" w:themeColor="text1"/>
          <w:sz w:val="16"/>
          <w:szCs w:val="16"/>
        </w:rPr>
        <w:softHyphen/>
        <w:t>верхности цилиндра, который в нагретом состоянии максимально приближается к ци</w:t>
      </w:r>
      <w:r w:rsidRPr="00F90EAE">
        <w:rPr>
          <w:color w:val="000000" w:themeColor="text1"/>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193E1F58" w14:textId="77777777" w:rsidR="002A5DBF" w:rsidRPr="00F90EAE" w:rsidRDefault="002A5DBF" w:rsidP="00F90EAE">
      <w:pPr>
        <w:jc w:val="both"/>
        <w:rPr>
          <w:color w:val="000000" w:themeColor="text1"/>
          <w:sz w:val="16"/>
          <w:szCs w:val="16"/>
        </w:rPr>
      </w:pPr>
      <w:r w:rsidRPr="00F90EAE">
        <w:rPr>
          <w:color w:val="000000" w:themeColor="text1"/>
          <w:sz w:val="16"/>
          <w:szCs w:val="16"/>
        </w:rPr>
        <w:t>В этом случае уменьшение диаметра верхнего отверстия гильзы обеспечивается по про</w:t>
      </w:r>
      <w:r w:rsidRPr="00F90EAE">
        <w:rPr>
          <w:color w:val="000000" w:themeColor="text1"/>
          <w:sz w:val="16"/>
          <w:szCs w:val="16"/>
        </w:rPr>
        <w:softHyphen/>
        <w:t>извольной кривой на величину от 0,3 до 0,5 мм на длине 50-65 мм от верхнего торца...</w:t>
      </w:r>
    </w:p>
    <w:p w14:paraId="7F45264B" w14:textId="77777777" w:rsidR="002A5DBF" w:rsidRPr="00F90EAE" w:rsidRDefault="002A5DBF" w:rsidP="00F90EAE">
      <w:pPr>
        <w:jc w:val="both"/>
        <w:rPr>
          <w:color w:val="000000" w:themeColor="text1"/>
          <w:sz w:val="16"/>
          <w:szCs w:val="16"/>
        </w:rPr>
      </w:pPr>
      <w:r w:rsidRPr="00F90EAE">
        <w:rPr>
          <w:color w:val="000000" w:themeColor="text1"/>
          <w:sz w:val="16"/>
          <w:szCs w:val="16"/>
        </w:rPr>
        <w:t>Для проверки работы цилиндров с таким профилем было проведено:</w:t>
      </w:r>
    </w:p>
    <w:p w14:paraId="1ADAF559" w14:textId="77777777" w:rsidR="002A5DBF" w:rsidRPr="00F90EAE" w:rsidRDefault="002A5DBF" w:rsidP="00F90EAE">
      <w:pPr>
        <w:tabs>
          <w:tab w:val="left" w:pos="467"/>
        </w:tabs>
        <w:jc w:val="both"/>
        <w:rPr>
          <w:color w:val="000000" w:themeColor="text1"/>
          <w:sz w:val="16"/>
          <w:szCs w:val="16"/>
        </w:rPr>
      </w:pPr>
      <w:r w:rsidRPr="00F90EAE">
        <w:rPr>
          <w:color w:val="000000" w:themeColor="text1"/>
          <w:sz w:val="16"/>
          <w:szCs w:val="16"/>
        </w:rPr>
        <w:t>а) 50-ти часовое испытание на одноцилиндровой установке в паре с серийными поршневыми кольцами.</w:t>
      </w:r>
    </w:p>
    <w:p w14:paraId="5D031299"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износ за 50-ти часовое испытание не превышает износа, по</w:t>
      </w:r>
      <w:r w:rsidRPr="00F90EAE">
        <w:rPr>
          <w:color w:val="000000" w:themeColor="text1"/>
          <w:sz w:val="16"/>
          <w:szCs w:val="16"/>
        </w:rPr>
        <w:softHyphen/>
        <w:t>лучающегося за 10 часов на серийном цилиндре. Состояние поршневых колец хорошее.</w:t>
      </w:r>
    </w:p>
    <w:p w14:paraId="59ED6B6B" w14:textId="77777777" w:rsidR="002A5DBF" w:rsidRPr="00F90EAE" w:rsidRDefault="002A5DBF" w:rsidP="00F90EAE">
      <w:pPr>
        <w:tabs>
          <w:tab w:val="left" w:pos="472"/>
        </w:tabs>
        <w:jc w:val="both"/>
        <w:rPr>
          <w:color w:val="000000" w:themeColor="text1"/>
          <w:sz w:val="16"/>
          <w:szCs w:val="16"/>
        </w:rPr>
      </w:pPr>
      <w:r w:rsidRPr="00F90EAE">
        <w:rPr>
          <w:color w:val="000000" w:themeColor="text1"/>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43EE109" w14:textId="77777777" w:rsidR="002A5DBF" w:rsidRPr="00F90EAE" w:rsidRDefault="002A5DBF" w:rsidP="00F90EAE">
      <w:pPr>
        <w:tabs>
          <w:tab w:val="left" w:pos="434"/>
        </w:tabs>
        <w:jc w:val="both"/>
        <w:rPr>
          <w:color w:val="000000" w:themeColor="text1"/>
          <w:sz w:val="16"/>
          <w:szCs w:val="16"/>
        </w:rPr>
      </w:pPr>
      <w:r w:rsidRPr="00F90EAE">
        <w:rPr>
          <w:color w:val="000000" w:themeColor="text1"/>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7B4BBEBA" w14:textId="77777777" w:rsidR="002A5DBF" w:rsidRPr="00F90EAE" w:rsidRDefault="002A5DBF" w:rsidP="00F90EAE">
      <w:pPr>
        <w:jc w:val="both"/>
        <w:rPr>
          <w:color w:val="000000" w:themeColor="text1"/>
          <w:sz w:val="16"/>
          <w:szCs w:val="16"/>
        </w:rPr>
      </w:pPr>
      <w:r w:rsidRPr="00F90EAE">
        <w:rPr>
          <w:color w:val="000000" w:themeColor="text1"/>
          <w:sz w:val="16"/>
          <w:szCs w:val="16"/>
        </w:rPr>
        <w:lastRenderedPageBreak/>
        <w:t>Результат испытания: после сдаточного испытания из числа опытных цилиндров, бы</w:t>
      </w:r>
      <w:r w:rsidRPr="00F90EAE">
        <w:rPr>
          <w:color w:val="000000" w:themeColor="text1"/>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F90EAE">
        <w:rPr>
          <w:color w:val="000000" w:themeColor="text1"/>
          <w:sz w:val="16"/>
          <w:szCs w:val="16"/>
        </w:rPr>
        <w:softHyphen/>
        <w:t>рах с обычным профилем, имела обратный характер...</w:t>
      </w:r>
    </w:p>
    <w:p w14:paraId="23E0E912" w14:textId="77777777" w:rsidR="002A5DBF" w:rsidRPr="00F90EAE" w:rsidRDefault="002A5DBF" w:rsidP="00F90EAE">
      <w:pPr>
        <w:jc w:val="both"/>
        <w:rPr>
          <w:color w:val="000000" w:themeColor="text1"/>
          <w:sz w:val="16"/>
          <w:szCs w:val="16"/>
        </w:rPr>
      </w:pPr>
      <w:r w:rsidRPr="00F90EAE">
        <w:rPr>
          <w:color w:val="000000" w:themeColor="text1"/>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065A28FD" w14:textId="77777777" w:rsidR="002A5DBF" w:rsidRPr="00F90EAE" w:rsidRDefault="002A5DBF" w:rsidP="00F90EAE">
      <w:pPr>
        <w:jc w:val="both"/>
        <w:rPr>
          <w:color w:val="000000" w:themeColor="text1"/>
          <w:sz w:val="16"/>
          <w:szCs w:val="16"/>
        </w:rPr>
      </w:pPr>
      <w:r w:rsidRPr="00F90EAE">
        <w:rPr>
          <w:color w:val="000000" w:themeColor="text1"/>
          <w:sz w:val="16"/>
          <w:szCs w:val="16"/>
        </w:rPr>
        <w:t>После соответствующего увеличения зазора в стыке этих колец, указанная выработка больше не наблюдалась.</w:t>
      </w:r>
    </w:p>
    <w:p w14:paraId="4BE33665" w14:textId="77777777" w:rsidR="002A5DBF" w:rsidRPr="00F90EAE" w:rsidRDefault="002A5DBF" w:rsidP="00F90EAE">
      <w:pPr>
        <w:jc w:val="both"/>
        <w:rPr>
          <w:color w:val="000000" w:themeColor="text1"/>
          <w:sz w:val="16"/>
          <w:szCs w:val="16"/>
        </w:rPr>
      </w:pPr>
      <w:r w:rsidRPr="00F90EAE">
        <w:rPr>
          <w:color w:val="000000" w:themeColor="text1"/>
          <w:sz w:val="16"/>
          <w:szCs w:val="16"/>
        </w:rPr>
        <w:t>Во время прохождения моторами контрольного испытания, из их числа сняли по дым</w:t>
      </w:r>
      <w:r w:rsidRPr="00F90EAE">
        <w:rPr>
          <w:color w:val="000000" w:themeColor="text1"/>
          <w:sz w:val="16"/>
          <w:szCs w:val="16"/>
        </w:rPr>
        <w:softHyphen/>
        <w:t>лению цилиндров только 3 мотора (5%). При вскры</w:t>
      </w:r>
      <w:r w:rsidRPr="00F90EAE">
        <w:rPr>
          <w:color w:val="000000" w:themeColor="text1"/>
          <w:sz w:val="16"/>
          <w:szCs w:val="16"/>
        </w:rPr>
        <w:softHyphen/>
        <w:t>тии и осмотре восьми дымивших цилиндров обнаружено, что 7 цилиндров находились в удовлетвори</w:t>
      </w:r>
      <w:r w:rsidRPr="00F90EAE">
        <w:rPr>
          <w:color w:val="000000" w:themeColor="text1"/>
          <w:sz w:val="16"/>
          <w:szCs w:val="16"/>
        </w:rPr>
        <w:softHyphen/>
        <w:t>тельном состоянии и один цилиндр имел прямую уступчатую выработку, расположенную по середине гильзы цилиндра.</w:t>
      </w:r>
    </w:p>
    <w:p w14:paraId="66AA9B47" w14:textId="77777777" w:rsidR="002A5DBF" w:rsidRPr="00F90EAE" w:rsidRDefault="002A5DBF" w:rsidP="00F90EAE">
      <w:pPr>
        <w:tabs>
          <w:tab w:val="left" w:pos="399"/>
        </w:tabs>
        <w:jc w:val="both"/>
        <w:rPr>
          <w:color w:val="000000" w:themeColor="text1"/>
          <w:sz w:val="16"/>
          <w:szCs w:val="16"/>
        </w:rPr>
      </w:pPr>
      <w:r w:rsidRPr="00F90EAE">
        <w:rPr>
          <w:color w:val="000000" w:themeColor="text1"/>
          <w:sz w:val="16"/>
          <w:szCs w:val="16"/>
        </w:rPr>
        <w:t>г) Длительное 50-ти часовое испытание мотора АШ-82ФН № 82142192, взятого из числа малой серии.</w:t>
      </w:r>
    </w:p>
    <w:p w14:paraId="3A13E3C9" w14:textId="77777777" w:rsidR="002A5DBF" w:rsidRPr="00F90EAE" w:rsidRDefault="002A5DBF" w:rsidP="00F90EAE">
      <w:pPr>
        <w:jc w:val="both"/>
        <w:rPr>
          <w:color w:val="000000" w:themeColor="text1"/>
          <w:sz w:val="16"/>
          <w:szCs w:val="16"/>
        </w:rPr>
      </w:pPr>
      <w:r w:rsidRPr="00F90EAE">
        <w:rPr>
          <w:color w:val="000000" w:themeColor="text1"/>
          <w:sz w:val="16"/>
          <w:szCs w:val="16"/>
        </w:rPr>
        <w:t>Поршневые кольца в первой канавке с цилиндрической образующей.</w:t>
      </w:r>
    </w:p>
    <w:p w14:paraId="28166C90"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удовлетворительный. Все цилиндры после испытания находи</w:t>
      </w:r>
      <w:r w:rsidRPr="00F90EAE">
        <w:rPr>
          <w:color w:val="000000" w:themeColor="text1"/>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7F4FA248" w14:textId="77777777" w:rsidR="002A5DBF" w:rsidRPr="00F90EAE" w:rsidRDefault="002A5DBF" w:rsidP="00F90EAE">
      <w:pPr>
        <w:jc w:val="both"/>
        <w:rPr>
          <w:color w:val="000000" w:themeColor="text1"/>
          <w:sz w:val="16"/>
          <w:szCs w:val="16"/>
        </w:rPr>
      </w:pPr>
      <w:r w:rsidRPr="00F90EAE">
        <w:rPr>
          <w:color w:val="000000" w:themeColor="text1"/>
          <w:sz w:val="16"/>
          <w:szCs w:val="16"/>
        </w:rPr>
        <w:t>Состояние поршневых колец хорошее.</w:t>
      </w:r>
    </w:p>
    <w:p w14:paraId="2D11996C" w14:textId="77777777" w:rsidR="002A5DBF" w:rsidRPr="00F90EAE" w:rsidRDefault="002A5DBF" w:rsidP="00F90EAE">
      <w:pPr>
        <w:tabs>
          <w:tab w:val="left" w:pos="495"/>
        </w:tabs>
        <w:jc w:val="both"/>
        <w:rPr>
          <w:color w:val="000000" w:themeColor="text1"/>
          <w:sz w:val="16"/>
          <w:szCs w:val="16"/>
        </w:rPr>
      </w:pPr>
      <w:r w:rsidRPr="00F90EAE">
        <w:rPr>
          <w:color w:val="000000" w:themeColor="text1"/>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F90EAE">
        <w:rPr>
          <w:color w:val="000000" w:themeColor="text1"/>
          <w:sz w:val="16"/>
          <w:szCs w:val="16"/>
        </w:rPr>
        <w:softHyphen/>
        <w:t>ке поршней с цилиндрической образующей.</w:t>
      </w:r>
    </w:p>
    <w:p w14:paraId="1737820E"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удовлетворительный. Все цилиндры после испытания находи</w:t>
      </w:r>
      <w:r w:rsidRPr="00F90EAE">
        <w:rPr>
          <w:color w:val="000000" w:themeColor="text1"/>
          <w:sz w:val="16"/>
          <w:szCs w:val="16"/>
        </w:rPr>
        <w:softHyphen/>
        <w:t>лись в хорошем состоянии, пригодном для дальнейшей работы.</w:t>
      </w:r>
    </w:p>
    <w:p w14:paraId="478500F1" w14:textId="77777777" w:rsidR="002A5DBF" w:rsidRPr="00F90EAE" w:rsidRDefault="002A5DBF" w:rsidP="00F90EAE">
      <w:pPr>
        <w:jc w:val="both"/>
        <w:rPr>
          <w:color w:val="000000" w:themeColor="text1"/>
          <w:sz w:val="16"/>
          <w:szCs w:val="16"/>
        </w:rPr>
      </w:pPr>
      <w:r w:rsidRPr="00F90EAE">
        <w:rPr>
          <w:color w:val="000000" w:themeColor="text1"/>
          <w:sz w:val="16"/>
          <w:szCs w:val="16"/>
        </w:rPr>
        <w:t>Максимальный износ на 4-х цилиндрах достигал от 0,14 до 0,18 мм.</w:t>
      </w:r>
    </w:p>
    <w:p w14:paraId="5481FDAF" w14:textId="77777777" w:rsidR="002A5DBF" w:rsidRPr="00F90EAE" w:rsidRDefault="002A5DBF" w:rsidP="00F90EAE">
      <w:pPr>
        <w:jc w:val="both"/>
        <w:rPr>
          <w:color w:val="000000" w:themeColor="text1"/>
          <w:sz w:val="16"/>
          <w:szCs w:val="16"/>
        </w:rPr>
      </w:pPr>
      <w:r w:rsidRPr="00F90EAE">
        <w:rPr>
          <w:color w:val="000000" w:themeColor="text1"/>
          <w:sz w:val="16"/>
          <w:szCs w:val="16"/>
        </w:rPr>
        <w:t>Состояние поршневых колец хорошее.</w:t>
      </w:r>
    </w:p>
    <w:p w14:paraId="19EDFE24" w14:textId="77777777" w:rsidR="002A5DBF" w:rsidRPr="00F90EAE" w:rsidRDefault="002A5DBF" w:rsidP="00F90EAE">
      <w:pPr>
        <w:jc w:val="both"/>
        <w:rPr>
          <w:color w:val="000000" w:themeColor="text1"/>
          <w:sz w:val="16"/>
          <w:szCs w:val="16"/>
        </w:rPr>
      </w:pPr>
      <w:r w:rsidRPr="00F90EAE">
        <w:rPr>
          <w:color w:val="000000" w:themeColor="text1"/>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F90EAE">
        <w:rPr>
          <w:color w:val="000000" w:themeColor="text1"/>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5A3B5D34" w14:textId="77777777" w:rsidR="002A5DBF" w:rsidRPr="00F90EAE" w:rsidRDefault="002A5DBF" w:rsidP="00F90EAE">
      <w:pPr>
        <w:jc w:val="both"/>
        <w:rPr>
          <w:color w:val="000000" w:themeColor="text1"/>
          <w:sz w:val="16"/>
          <w:szCs w:val="16"/>
        </w:rPr>
      </w:pPr>
    </w:p>
    <w:p w14:paraId="3273819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было принято правительственное постановление об организации серийного производства немецкиз реактивных двигателей в Советском Союзе - первого под наименованием РД-10 на заводе № 26 в Уфе, а второго под наименованием РД-20 на 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(11179).</w:t>
      </w:r>
    </w:p>
    <w:p w14:paraId="143F2E56" w14:textId="77777777" w:rsidR="006103B3" w:rsidRPr="00F90EAE" w:rsidRDefault="006103B3" w:rsidP="00F90EAE">
      <w:pPr>
        <w:autoSpaceDE w:val="0"/>
        <w:autoSpaceDN w:val="0"/>
        <w:adjustRightInd w:val="0"/>
        <w:jc w:val="both"/>
        <w:rPr>
          <w:color w:val="000000" w:themeColor="text1"/>
          <w:sz w:val="16"/>
          <w:szCs w:val="16"/>
        </w:rPr>
      </w:pPr>
    </w:p>
    <w:p w14:paraId="56E160B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было принято правительственное постановление об организации серийного производства двигателей Jumo 004 и BMW 003 - двух наиболее интересных для авиаторов образцов германских ГТД - в Советском Союзе - первого под наименованием РД-10 на заводе № 26 в Уфе, а второго под наименованием РД-20 на заводе № 16 в Казани. В 1946-1949 гг. этими предприятиями было выпущено 1911 РД-10 и 2911 РД-20. Кроме того, еще 812 несколько усовершенствованных двигателей РД-10А построил в 1950-1952 гг. казанский завод № 466. Почти все "десятки" предназначались для яковлевских реактивных истребителей (11407).</w:t>
      </w:r>
    </w:p>
    <w:p w14:paraId="1F487DFD" w14:textId="77777777" w:rsidR="006103B3" w:rsidRPr="00F90EAE" w:rsidRDefault="006103B3" w:rsidP="00F90EAE">
      <w:pPr>
        <w:autoSpaceDE w:val="0"/>
        <w:autoSpaceDN w:val="0"/>
        <w:adjustRightInd w:val="0"/>
        <w:jc w:val="both"/>
        <w:rPr>
          <w:color w:val="000000" w:themeColor="text1"/>
          <w:sz w:val="16"/>
          <w:szCs w:val="16"/>
        </w:rPr>
      </w:pPr>
    </w:p>
    <w:p w14:paraId="3B1612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1945-го Управление полярной авиации начало пополняться трофейной техникой (5741,14).</w:t>
      </w:r>
    </w:p>
    <w:p w14:paraId="58C32155" w14:textId="77777777" w:rsidR="006103B3" w:rsidRPr="00F90EAE" w:rsidRDefault="006103B3" w:rsidP="00F90EAE">
      <w:pPr>
        <w:autoSpaceDE w:val="0"/>
        <w:autoSpaceDN w:val="0"/>
        <w:adjustRightInd w:val="0"/>
        <w:jc w:val="both"/>
        <w:rPr>
          <w:color w:val="000000" w:themeColor="text1"/>
          <w:sz w:val="16"/>
          <w:szCs w:val="16"/>
        </w:rPr>
      </w:pPr>
    </w:p>
    <w:p w14:paraId="50E29870" w14:textId="77777777" w:rsidR="002A5DBF" w:rsidRPr="00F90EAE" w:rsidRDefault="002A5DBF" w:rsidP="00F90EAE">
      <w:pPr>
        <w:autoSpaceDE w:val="0"/>
        <w:autoSpaceDN w:val="0"/>
        <w:adjustRightInd w:val="0"/>
        <w:jc w:val="both"/>
        <w:rPr>
          <w:color w:val="000000" w:themeColor="text1"/>
          <w:sz w:val="16"/>
          <w:szCs w:val="16"/>
        </w:rPr>
      </w:pPr>
      <w:r w:rsidRPr="00F90EAE">
        <w:rPr>
          <w:color w:val="000000" w:themeColor="text1"/>
          <w:sz w:val="16"/>
          <w:szCs w:val="16"/>
        </w:rPr>
        <w:t>Летом 1945 для комплексного изучения немецких достижений по реактивной технике и их использованию решением Правительства при Особом комитете ГКО была создана межведомственная комиссия по реактивной технике и входили руководители НКАП, боеприпасов, вооружения, электропрома, вооружения, судостроения, минпрома (1795,60).</w:t>
      </w:r>
    </w:p>
    <w:p w14:paraId="1FFEE35F" w14:textId="77777777" w:rsidR="002A5DBF" w:rsidRPr="00F90EAE" w:rsidRDefault="002A5DBF" w:rsidP="00F90EAE">
      <w:pPr>
        <w:autoSpaceDE w:val="0"/>
        <w:autoSpaceDN w:val="0"/>
        <w:adjustRightInd w:val="0"/>
        <w:jc w:val="both"/>
        <w:rPr>
          <w:color w:val="000000" w:themeColor="text1"/>
          <w:sz w:val="16"/>
          <w:szCs w:val="16"/>
        </w:rPr>
      </w:pPr>
    </w:p>
    <w:p w14:paraId="74FFE6FF" w14:textId="77777777" w:rsidR="00C46885" w:rsidRPr="00F90EAE" w:rsidRDefault="00C46885" w:rsidP="00F90EAE">
      <w:pPr>
        <w:jc w:val="both"/>
        <w:rPr>
          <w:color w:val="0070C0"/>
          <w:sz w:val="16"/>
          <w:szCs w:val="16"/>
        </w:rPr>
      </w:pPr>
      <w:r w:rsidRPr="00F90EAE">
        <w:rPr>
          <w:color w:val="0070C0"/>
          <w:sz w:val="16"/>
          <w:szCs w:val="16"/>
        </w:rPr>
        <w:t>Летом 1945 г. «СССР В-12» применялся для таксации леса в Кировской области. В ходе этих работ он выполнил 57 рейсов, налетал 212 часа. Команда под руководством В.М. Пикалкина (в 1960-е годы — доцент Московского лесотех</w:t>
      </w:r>
      <w:r w:rsidRPr="00F90EAE">
        <w:rPr>
          <w:color w:val="0070C0"/>
          <w:sz w:val="16"/>
          <w:szCs w:val="16"/>
        </w:rPr>
        <w:softHyphen/>
        <w:t>нического института) за шесть лётных дней про</w:t>
      </w:r>
      <w:r w:rsidRPr="00F90EAE">
        <w:rPr>
          <w:color w:val="0070C0"/>
          <w:sz w:val="16"/>
          <w:szCs w:val="16"/>
        </w:rPr>
        <w:softHyphen/>
        <w:t>вела с дирижабля изучение лесных площадей в 225 тыс. га, то есть такой объём исследований, на выполнение которых требовалась работа пяти лесоустроительных партий в течение года. В се</w:t>
      </w:r>
      <w:r w:rsidRPr="00F90EAE">
        <w:rPr>
          <w:color w:val="0070C0"/>
          <w:sz w:val="16"/>
          <w:szCs w:val="16"/>
        </w:rPr>
        <w:softHyphen/>
        <w:t>редине 1947 г. дирижабль сняли с эксплуатации (20120).</w:t>
      </w:r>
    </w:p>
    <w:p w14:paraId="184DC092" w14:textId="77777777" w:rsidR="00C46885" w:rsidRPr="00F90EAE" w:rsidRDefault="00C46885" w:rsidP="00F90EAE">
      <w:pPr>
        <w:jc w:val="both"/>
        <w:rPr>
          <w:color w:val="0070C0"/>
          <w:sz w:val="16"/>
          <w:szCs w:val="16"/>
        </w:rPr>
      </w:pPr>
    </w:p>
    <w:p w14:paraId="10656F75"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1E719AF8" w14:textId="77777777" w:rsidR="006103B3" w:rsidRPr="00F90EAE" w:rsidRDefault="006103B3" w:rsidP="00F90EAE">
      <w:pPr>
        <w:autoSpaceDE w:val="0"/>
        <w:autoSpaceDN w:val="0"/>
        <w:adjustRightInd w:val="0"/>
        <w:jc w:val="both"/>
        <w:rPr>
          <w:iCs/>
          <w:color w:val="000000" w:themeColor="text1"/>
          <w:sz w:val="16"/>
          <w:szCs w:val="16"/>
        </w:rPr>
      </w:pPr>
    </w:p>
    <w:p w14:paraId="0752F02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года Теверовский, который стал главным конструктором завода № 535, начал работы по модернизации своего 160-мм миномета. Главной целью модернизации стало увеличение дальности стрельбы. В новом миномете МТ-13Д длина ствола была увеличена на 50 мм, а дальность стрельбы до 7400 м. Для сравнительных испытаний было изготовлено по 4 миномета обеих систем. По результатам испытаний на вооружение был принят миномет СКБ-21 Б.И.Шавырина, как более дальнобойный и простой в эксплуатации (3861).</w:t>
      </w:r>
    </w:p>
    <w:p w14:paraId="13D44D75" w14:textId="77777777" w:rsidR="006103B3" w:rsidRPr="00F90EAE" w:rsidRDefault="006103B3" w:rsidP="00F90EAE">
      <w:pPr>
        <w:autoSpaceDE w:val="0"/>
        <w:autoSpaceDN w:val="0"/>
        <w:adjustRightInd w:val="0"/>
        <w:jc w:val="both"/>
        <w:rPr>
          <w:color w:val="000000" w:themeColor="text1"/>
          <w:sz w:val="16"/>
          <w:szCs w:val="16"/>
        </w:rPr>
      </w:pPr>
    </w:p>
    <w:p w14:paraId="52AC3EF2"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Летом 1945 года опыт</w:t>
      </w:r>
      <w:r w:rsidRPr="00F90EAE">
        <w:rPr>
          <w:color w:val="000000" w:themeColor="text1"/>
          <w:sz w:val="16"/>
          <w:szCs w:val="16"/>
        </w:rPr>
        <w:softHyphen/>
        <w:t>ный образец танка Т-34-85ПХ (ТПХ-2), который был разработан в 1944 - 1945 гг. конст</w:t>
      </w:r>
      <w:r w:rsidRPr="00F90EAE">
        <w:rPr>
          <w:color w:val="000000" w:themeColor="text1"/>
          <w:sz w:val="16"/>
          <w:szCs w:val="16"/>
        </w:rPr>
        <w:softHyphen/>
        <w:t>рукторским отделом завода "Красное Сормово" (ведущий конструкто</w:t>
      </w:r>
      <w:r w:rsidRPr="00F90EAE">
        <w:rPr>
          <w:color w:val="000000" w:themeColor="text1"/>
          <w:sz w:val="16"/>
          <w:szCs w:val="16"/>
        </w:rPr>
        <w:softHyphen/>
        <w:t>р машины Ю.П. Новиков), прошел полигонные испытания. На вооружение танк ТПХ-2 не принимался и в серийном производстве не состоял. Машина была создана на базе танка Т-34-85 обр. 1944 г. и отлича</w:t>
      </w:r>
      <w:r w:rsidRPr="00F90EAE">
        <w:rPr>
          <w:color w:val="000000" w:themeColor="text1"/>
          <w:sz w:val="16"/>
          <w:szCs w:val="16"/>
        </w:rPr>
        <w:softHyphen/>
        <w:t>лась от пего проведением дополнительных мероприятий но герметиза</w:t>
      </w:r>
      <w:r w:rsidRPr="00F90EAE">
        <w:rPr>
          <w:color w:val="000000" w:themeColor="text1"/>
          <w:sz w:val="16"/>
          <w:szCs w:val="16"/>
        </w:rPr>
        <w:softHyphen/>
        <w:t>ции корпуса и башни танка, а также установкой специального оборудо</w:t>
      </w:r>
      <w:r w:rsidRPr="00F90EAE">
        <w:rPr>
          <w:color w:val="000000" w:themeColor="text1"/>
          <w:sz w:val="16"/>
          <w:szCs w:val="16"/>
        </w:rPr>
        <w:softHyphen/>
        <w:t>вания, обеспечивавшего ему возможность свободного преодоления вод</w:t>
      </w:r>
      <w:r w:rsidRPr="00F90EAE">
        <w:rPr>
          <w:color w:val="000000" w:themeColor="text1"/>
          <w:sz w:val="16"/>
          <w:szCs w:val="16"/>
        </w:rPr>
        <w:softHyphen/>
        <w:t>ных преград по дну глубиной до 5 м (10703).</w:t>
      </w:r>
    </w:p>
    <w:p w14:paraId="34F7A1A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1B01786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завод № 183 проводил ОКР по дальнейшей модернизации танка Т-44 в направле</w:t>
      </w:r>
      <w:r w:rsidRPr="00F90EAE">
        <w:rPr>
          <w:color w:val="000000" w:themeColor="text1"/>
          <w:sz w:val="16"/>
          <w:szCs w:val="16"/>
        </w:rPr>
        <w:softHyphen/>
        <w:t>нии повышения его огневой мощи. Были изготовлены два опытных образца танка Т-44-100, которые, помимо установки более мощной 100-мм танковой пушки ЛБ-1, отличались от серийного Т-44 нали</w:t>
      </w:r>
      <w:r w:rsidRPr="00F90EAE">
        <w:rPr>
          <w:color w:val="000000" w:themeColor="text1"/>
          <w:sz w:val="16"/>
          <w:szCs w:val="16"/>
        </w:rPr>
        <w:softHyphen/>
        <w:t>чием стальных бортовых экранов, а на одном из них на крыше баш</w:t>
      </w:r>
      <w:r w:rsidRPr="00F90EAE">
        <w:rPr>
          <w:color w:val="000000" w:themeColor="text1"/>
          <w:sz w:val="16"/>
          <w:szCs w:val="16"/>
        </w:rPr>
        <w:softHyphen/>
        <w:t>ни у люка заряжающего монтировалась турель с зенитным 12,7-мм пулеметом ДШК. Однако размещение более мощной пушки в суще</w:t>
      </w:r>
      <w:r w:rsidRPr="00F90EAE">
        <w:rPr>
          <w:color w:val="000000" w:themeColor="text1"/>
          <w:sz w:val="16"/>
          <w:szCs w:val="16"/>
        </w:rPr>
        <w:softHyphen/>
        <w:t>ствующей башне танка ухудшило вентиляцию боевого отделения и условия работы экипажа, и дальнейшие работы по данной машине были прекращены.</w:t>
      </w:r>
    </w:p>
    <w:p w14:paraId="2275077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связи с этим второй опытный образец танка Т-54 собрали лишь к концу июля 1945 г. Он отличался от предыдущего варианта только использованием пятискоростной коробки передач с синхронизато</w:t>
      </w:r>
      <w:r w:rsidRPr="00F90EAE">
        <w:rPr>
          <w:color w:val="000000" w:themeColor="text1"/>
          <w:sz w:val="16"/>
          <w:szCs w:val="16"/>
        </w:rPr>
        <w:softHyphen/>
        <w:t>рами и ПМП. 28 июля 1945 г. эту машину без установки основного оружия отправили на ходовые испытания, которые продлились до 4 ноября 1945 г. За это время танк прошел 1513 км.</w:t>
      </w:r>
    </w:p>
    <w:p w14:paraId="7EAC70B0"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Во время испытаний выявилось большое количество дефек</w:t>
      </w:r>
      <w:r w:rsidRPr="00F90EAE">
        <w:rPr>
          <w:color w:val="000000" w:themeColor="text1"/>
          <w:sz w:val="16"/>
          <w:szCs w:val="16"/>
        </w:rPr>
        <w:softHyphen/>
        <w:t>тов и поломок механизмов танка Т-54. ПМП по своей конструкции были аналогичны механизмам поворота тяжелого танка ИС и ра</w:t>
      </w:r>
      <w:r w:rsidRPr="00F90EAE">
        <w:rPr>
          <w:color w:val="000000" w:themeColor="text1"/>
          <w:sz w:val="16"/>
          <w:szCs w:val="16"/>
        </w:rPr>
        <w:softHyphen/>
        <w:t>ботали без дефектов. Синхронизаторы коробки передач ожидае</w:t>
      </w:r>
      <w:r w:rsidRPr="00F90EAE">
        <w:rPr>
          <w:color w:val="000000" w:themeColor="text1"/>
          <w:sz w:val="16"/>
          <w:szCs w:val="16"/>
        </w:rPr>
        <w:softHyphen/>
        <w:t>мого эффекта не дали, так как время переключения передач со</w:t>
      </w:r>
      <w:r w:rsidRPr="00F90EAE">
        <w:rPr>
          <w:color w:val="000000" w:themeColor="text1"/>
          <w:sz w:val="16"/>
          <w:szCs w:val="16"/>
        </w:rPr>
        <w:softHyphen/>
        <w:t>ставляло 5 с. По результатам ходовых испытаний в конструкцию танка внесли еще 98 изменений (11770).</w:t>
      </w:r>
    </w:p>
    <w:p w14:paraId="386C17E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5DEF960" w14:textId="77777777" w:rsidR="001F396D" w:rsidRPr="00F90EAE" w:rsidRDefault="001F396D" w:rsidP="00F90EAE">
      <w:pPr>
        <w:jc w:val="both"/>
        <w:textAlignment w:val="baseline"/>
        <w:rPr>
          <w:color w:val="000000" w:themeColor="text1"/>
          <w:sz w:val="16"/>
          <w:szCs w:val="16"/>
        </w:rPr>
      </w:pPr>
      <w:r w:rsidRPr="00F90EAE">
        <w:rPr>
          <w:color w:val="000000" w:themeColor="text1"/>
          <w:sz w:val="16"/>
          <w:szCs w:val="16"/>
        </w:rPr>
        <w:t>Летом 1945 года начались поставки Т-44 в войска. Большинство Т-44 оказалось в составе 5-й Гвардейской механизированной армии и 8-й механизированной армии.</w:t>
      </w:r>
    </w:p>
    <w:p w14:paraId="7611B1A3" w14:textId="77777777" w:rsidR="001F396D" w:rsidRPr="00F90EAE" w:rsidRDefault="001F396D" w:rsidP="00F90EAE">
      <w:pPr>
        <w:pStyle w:val="ae"/>
        <w:spacing w:before="0" w:after="0"/>
        <w:jc w:val="both"/>
        <w:textAlignment w:val="baseline"/>
        <w:rPr>
          <w:color w:val="000000" w:themeColor="text1"/>
          <w:sz w:val="16"/>
          <w:szCs w:val="16"/>
        </w:rPr>
      </w:pPr>
      <w:r w:rsidRPr="00F90EAE">
        <w:rPr>
          <w:color w:val="000000" w:themeColor="text1"/>
          <w:sz w:val="16"/>
          <w:szCs w:val="16"/>
        </w:rPr>
        <w:t>С точки зрения боевой эффективности Т-44 оказался «промежуточным» танком. Принятие его на вооружение пришлось на своеобразную амплитуду, когда ГБТУ КА уже выработало новые требования на броневую защиту танков, но ещё не ужесточило требования по вооружению. В результате на вооружение поступил танк, имевший защиту от орудия Pz.Kpfw.Panther и отчасти от 88-мм пушки с длиной ствола 71 калибр, но неспособный пробить «Пантеру» в верхнюю лобовую деталь корпуса. О том, что неплохо бы поставить на Т-44 пушку Д-10Т, в ГАБТУ КА решили уже осенью 1944 года, когда вовсю шла подготовка к выпуску. Что же касается броневой защиты, то её можно понять по результатам обстрела корпуса и башни Т-44 выпуска сентября 1945 года. В ходе обстрела 85-мм снарядами с дистанции 100 м ни верхняя, ни нижняя лобовая детали корпуса пробиты не были. Также провели обстрел 88-мм пушкой Pak 43 L/71. Верхняя лобовая деталь корпуса также не была пробита, но отмечались проблемы со сварными швами. При обстреле нижняя лобовая деталь отломилась от корпуса. Кроме того, в ходе обстрела отмечалось появление трещин в днище корпуса (19047).</w:t>
      </w:r>
    </w:p>
    <w:p w14:paraId="1FD8AB49" w14:textId="77777777" w:rsidR="001F396D" w:rsidRPr="00F90EAE" w:rsidRDefault="001F396D" w:rsidP="00F90EAE">
      <w:pPr>
        <w:pStyle w:val="ae"/>
        <w:spacing w:before="0" w:after="0"/>
        <w:jc w:val="both"/>
        <w:textAlignment w:val="baseline"/>
        <w:rPr>
          <w:color w:val="000000" w:themeColor="text1"/>
          <w:sz w:val="16"/>
          <w:szCs w:val="16"/>
        </w:rPr>
      </w:pPr>
    </w:p>
    <w:p w14:paraId="562FC6BE"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Летом 1945 г. в ходе проведения ОКР по даль</w:t>
      </w:r>
      <w:r w:rsidRPr="00F90EAE">
        <w:rPr>
          <w:color w:val="000000" w:themeColor="text1"/>
          <w:sz w:val="16"/>
          <w:szCs w:val="16"/>
        </w:rPr>
        <w:softHyphen/>
        <w:t>нейшей модернизации танка Т-44 завод №183 изготовил два опытных образца тан</w:t>
      </w:r>
      <w:r w:rsidRPr="00F90EAE">
        <w:rPr>
          <w:color w:val="000000" w:themeColor="text1"/>
          <w:sz w:val="16"/>
          <w:szCs w:val="16"/>
        </w:rPr>
        <w:softHyphen/>
        <w:t>ка Т-44-100, вооруженных 100-мм танко</w:t>
      </w:r>
      <w:r w:rsidRPr="00F90EAE">
        <w:rPr>
          <w:color w:val="000000" w:themeColor="text1"/>
          <w:sz w:val="16"/>
          <w:szCs w:val="16"/>
        </w:rPr>
        <w:softHyphen/>
        <w:t>вой пушкой ЛБ-1. Помимо более мощного основного оружия, эти машины отличались от серийного Т-44 установкой стальных бортовых экранов, а на одном из них на крыше башни у люка заряжающего монти</w:t>
      </w:r>
      <w:r w:rsidRPr="00F90EAE">
        <w:rPr>
          <w:color w:val="000000" w:themeColor="text1"/>
          <w:sz w:val="16"/>
          <w:szCs w:val="16"/>
        </w:rPr>
        <w:softHyphen/>
        <w:t>ровалась турель с зенитным 12,7-мм пу</w:t>
      </w:r>
      <w:r w:rsidRPr="00F90EAE">
        <w:rPr>
          <w:color w:val="000000" w:themeColor="text1"/>
          <w:sz w:val="16"/>
          <w:szCs w:val="16"/>
        </w:rPr>
        <w:softHyphen/>
        <w:t>леметом ДШК.</w:t>
      </w:r>
    </w:p>
    <w:p w14:paraId="01E83BD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Установка более мощной артиллерий</w:t>
      </w:r>
      <w:r w:rsidRPr="00F90EAE">
        <w:rPr>
          <w:color w:val="000000" w:themeColor="text1"/>
          <w:sz w:val="16"/>
          <w:szCs w:val="16"/>
        </w:rPr>
        <w:softHyphen/>
        <w:t>ской системы повысила огневую мощь тан</w:t>
      </w:r>
      <w:r w:rsidRPr="00F90EAE">
        <w:rPr>
          <w:color w:val="000000" w:themeColor="text1"/>
          <w:sz w:val="16"/>
          <w:szCs w:val="16"/>
        </w:rPr>
        <w:softHyphen/>
        <w:t>ка, но ее размещение в башне прежней конструкции ухудшило вентиляцию боевого отделения и условия работы экипажа. Дальнейшие работы по танку Т-44-100 пре</w:t>
      </w:r>
      <w:r w:rsidRPr="00F90EAE">
        <w:rPr>
          <w:color w:val="000000" w:themeColor="text1"/>
          <w:sz w:val="16"/>
          <w:szCs w:val="16"/>
        </w:rPr>
        <w:softHyphen/>
        <w:t>кратились (11468).</w:t>
      </w:r>
    </w:p>
    <w:p w14:paraId="454C989F"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687ECB9"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лета - осени 1945 г. машина Уралмаш-1 прошла заводские испытания и соответствующие доработки. На вооружении и в серийном производстве самоходная установка СУ-101 не состояла, опыт работы над ней был использован для создания боевых машин ар</w:t>
      </w:r>
      <w:r w:rsidRPr="00F90EAE">
        <w:rPr>
          <w:color w:val="000000" w:themeColor="text1"/>
          <w:sz w:val="16"/>
          <w:szCs w:val="16"/>
        </w:rPr>
        <w:softHyphen/>
        <w:t>тиллерии в послевоенный период. Самоходная установка СУ-101 разрабатывалась с использованием агрегатов и узлов средних танков Т-34-85 и Т-44. Она относилась к ти</w:t>
      </w:r>
      <w:r w:rsidRPr="00F90EAE">
        <w:rPr>
          <w:color w:val="000000" w:themeColor="text1"/>
          <w:sz w:val="16"/>
          <w:szCs w:val="16"/>
        </w:rPr>
        <w:softHyphen/>
        <w:t xml:space="preserve">пу полностью бронированных самоходных установок и </w:t>
      </w:r>
      <w:r w:rsidRPr="00F90EAE">
        <w:rPr>
          <w:color w:val="000000" w:themeColor="text1"/>
          <w:sz w:val="16"/>
          <w:szCs w:val="16"/>
        </w:rPr>
        <w:lastRenderedPageBreak/>
        <w:t>являлась проти</w:t>
      </w:r>
      <w:r w:rsidRPr="00F90EAE">
        <w:rPr>
          <w:color w:val="000000" w:themeColor="text1"/>
          <w:sz w:val="16"/>
          <w:szCs w:val="16"/>
        </w:rPr>
        <w:softHyphen/>
        <w:t>вотанковым средством. На этой машине проверялась возможность дальнейшего повышения огневой мощи за счет установки более длин</w:t>
      </w:r>
      <w:r w:rsidRPr="00F90EAE">
        <w:rPr>
          <w:color w:val="000000" w:themeColor="text1"/>
          <w:sz w:val="16"/>
          <w:szCs w:val="16"/>
        </w:rPr>
        <w:softHyphen/>
        <w:t>ноствольных пушек на вновь сконструированное шасси. Возможности шасси танка Т-34 были уже исчерпаны, так как использование более мощных орудий приводило к очень большому вылету ствола и сниже</w:t>
      </w:r>
      <w:r w:rsidRPr="00F90EAE">
        <w:rPr>
          <w:color w:val="000000" w:themeColor="text1"/>
          <w:sz w:val="16"/>
          <w:szCs w:val="16"/>
        </w:rPr>
        <w:softHyphen/>
        <w:t>нию проходимости из-за перегрузки передних опорных катков (10703).</w:t>
      </w:r>
    </w:p>
    <w:p w14:paraId="479141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A8448B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Летом 1945 года НКГБ перехватывал письма ленинградских рабочих, эвакуированных в Омск: </w:t>
      </w:r>
    </w:p>
    <w:p w14:paraId="2FE5C74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"Вы пишете, что можно уйти с завода. Нас так зажали, что сейчас об этом и думать нельзя. В последнее время много ребят сбежали с завода в Ленинград, но еще неизвестно, чем это закончится, так как есть указание верховного прокурора о возвращении всех бежавших в Омск для предания суду. Несмотря на это, я все равно решился бы бежать, если бы было куда. Мечтаю сбежать куда-нибудь, где потеплее, и если доживу до весны, то обязательно сбегу. Надежды на то, что я дотяну до весны, очень мало. Живу опять в цеху, спать приходится три-четыре часа в сутки на железном стеллаже, в отношении одежды тоже дело швах. Все мое обмундирование состоит из ремня, грязного комбинезона и рваных ботинок, которые валятся с ног. Надвигается зима, нет ничего теплого, да и вообще не во что даже переодеться после работы. На заводе платят очень скверно и ордеров никаких не дают, так как я в крупных неладах с начальством" (11587).</w:t>
      </w:r>
    </w:p>
    <w:p w14:paraId="1D1BD1BB" w14:textId="77777777" w:rsidR="006103B3" w:rsidRPr="00F90EAE" w:rsidRDefault="006103B3" w:rsidP="00F90EAE">
      <w:pPr>
        <w:autoSpaceDE w:val="0"/>
        <w:autoSpaceDN w:val="0"/>
        <w:adjustRightInd w:val="0"/>
        <w:jc w:val="both"/>
        <w:rPr>
          <w:color w:val="000000" w:themeColor="text1"/>
          <w:sz w:val="16"/>
          <w:szCs w:val="16"/>
        </w:rPr>
      </w:pPr>
    </w:p>
    <w:p w14:paraId="033E042D" w14:textId="77777777" w:rsidR="00C46885" w:rsidRPr="00F90EAE" w:rsidRDefault="00C46885" w:rsidP="00F90EAE">
      <w:pPr>
        <w:jc w:val="both"/>
        <w:rPr>
          <w:color w:val="0070C0"/>
          <w:sz w:val="16"/>
          <w:szCs w:val="16"/>
        </w:rPr>
      </w:pPr>
      <w:r w:rsidRPr="00F90EAE">
        <w:rPr>
          <w:color w:val="0070C0"/>
          <w:sz w:val="16"/>
          <w:szCs w:val="16"/>
        </w:rPr>
        <w:t>Летом 1945 г. в Кировабаде и Воронежской области проводились за</w:t>
      </w:r>
      <w:r w:rsidRPr="00F90EAE">
        <w:rPr>
          <w:color w:val="0070C0"/>
          <w:sz w:val="16"/>
          <w:szCs w:val="16"/>
        </w:rPr>
        <w:softHyphen/>
        <w:t>водские и государственные испытания дизельных тракторов «Кировец-Д35» (22518).</w:t>
      </w:r>
    </w:p>
    <w:p w14:paraId="7D32EF56" w14:textId="77777777" w:rsidR="00C46885" w:rsidRPr="00F90EAE" w:rsidRDefault="00C46885" w:rsidP="00F90EAE">
      <w:pPr>
        <w:jc w:val="both"/>
        <w:rPr>
          <w:color w:val="0070C0"/>
          <w:sz w:val="16"/>
          <w:szCs w:val="16"/>
        </w:rPr>
      </w:pPr>
    </w:p>
    <w:p w14:paraId="4F49B6F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оборудование завода из Дихернфурта на Одере (Силезия) "Аноргана Верк ГМБХ", входившего в концерн "ИГ Фарбениндустри" и специализировавшегося на производстве и снаряжении в химбоеприпасы фосфорных ОВ - табуна и зарина было складировано на промплощадке "М" завода N 91 в Сталинграде, где еще в 1937 г. было заложено строительство снаряжательного завода. Опытная установка по выпуску зарина 10 мая 1945 г. также была отгружена в Москву, в ГСНИИОХТ. Техническая документация для производств табуна и зарина обнаружена не была. На 91 завод поступило также оборудование химического завода "Оргацид ГМБХ" по производству иприта (мощность - 10800 т в год) из Аммендорфа (9066).</w:t>
      </w:r>
    </w:p>
    <w:p w14:paraId="59FD1F3C" w14:textId="77777777" w:rsidR="006103B3" w:rsidRPr="00F90EAE" w:rsidRDefault="006103B3" w:rsidP="00F90EAE">
      <w:pPr>
        <w:autoSpaceDE w:val="0"/>
        <w:autoSpaceDN w:val="0"/>
        <w:adjustRightInd w:val="0"/>
        <w:jc w:val="both"/>
        <w:rPr>
          <w:color w:val="000000" w:themeColor="text1"/>
          <w:sz w:val="16"/>
          <w:szCs w:val="16"/>
        </w:rPr>
      </w:pPr>
    </w:p>
    <w:p w14:paraId="5EA4242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с немецкого строящегося Государственного военно-химического завода и арсенала из Фалькенхагена оборудование было перевезено в Дзержинск и передано заводу N 96. Оборудование Государственного военно-химического завода из г.Лекнитц (производство жидких и вязких смесей ОВ и снаряжение химических боеприпасов) было переправлено в Чапаевск на завод N 102 (9066).</w:t>
      </w:r>
    </w:p>
    <w:p w14:paraId="5A0BC076" w14:textId="77777777" w:rsidR="006103B3" w:rsidRPr="00F90EAE" w:rsidRDefault="006103B3" w:rsidP="00F90EAE">
      <w:pPr>
        <w:autoSpaceDE w:val="0"/>
        <w:autoSpaceDN w:val="0"/>
        <w:adjustRightInd w:val="0"/>
        <w:jc w:val="both"/>
        <w:rPr>
          <w:color w:val="000000" w:themeColor="text1"/>
          <w:sz w:val="16"/>
          <w:szCs w:val="16"/>
        </w:rPr>
      </w:pPr>
    </w:p>
    <w:p w14:paraId="0FE355F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на завод Завод № 804 НКЭП, Харьковский завод «Южкабель», ЗАО «Завод «Южкабель» /Украина 61099 г. Харьков ул. Автогенная, 7/ прибыло 7 эшелонов из Будапешта с оборудованием фирмы «Сименс», вывезенным по репарации. В основном, это было оборудование для производства силовых кабелей с резиновой изоляцией, обмоточных и эмальпроводов. К началу 1946г. на заводе имелось 286 единиц оборудования. Действовало три основных цеха. Были также введены в строй лаковарочный участок, фильерная мастерская, цех ТНП. 9.05.1951г. правительством был утвержден новый техпаспорт завода, за 1952г. было введено в строй 126 единиц оборудования.</w:t>
      </w:r>
    </w:p>
    <w:p w14:paraId="1F65E28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26.04.1954г. завод № 804 был переименован в Харьковский завод «Южкабель» и получил статус всесоюзного.</w:t>
      </w:r>
    </w:p>
    <w:p w14:paraId="22B07AA3"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Численность персонала (1952г.)- около 1000 чел.</w:t>
      </w:r>
    </w:p>
    <w:p w14:paraId="675D830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Директор (1944г.)- Ю.А. Зыбин.</w:t>
      </w:r>
    </w:p>
    <w:p w14:paraId="097865C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Гл. инженер (1944г.)- В.И. Юзефов (11982).</w:t>
      </w:r>
    </w:p>
    <w:p w14:paraId="6AE57302" w14:textId="77777777" w:rsidR="006103B3" w:rsidRPr="00F90EAE" w:rsidRDefault="006103B3" w:rsidP="00F90EAE">
      <w:pPr>
        <w:autoSpaceDE w:val="0"/>
        <w:autoSpaceDN w:val="0"/>
        <w:adjustRightInd w:val="0"/>
        <w:jc w:val="both"/>
        <w:rPr>
          <w:color w:val="000000" w:themeColor="text1"/>
          <w:sz w:val="16"/>
          <w:szCs w:val="16"/>
        </w:rPr>
      </w:pPr>
    </w:p>
    <w:p w14:paraId="7F7A0D42" w14:textId="77777777" w:rsidR="002A5DBF" w:rsidRPr="00F90EAE" w:rsidRDefault="002A5DBF" w:rsidP="00F90EAE">
      <w:pPr>
        <w:jc w:val="both"/>
        <w:rPr>
          <w:color w:val="000000" w:themeColor="text1"/>
          <w:sz w:val="16"/>
          <w:szCs w:val="16"/>
        </w:rPr>
      </w:pPr>
      <w:r w:rsidRPr="00F90EAE">
        <w:rPr>
          <w:color w:val="000000" w:themeColor="text1"/>
          <w:sz w:val="16"/>
          <w:szCs w:val="16"/>
        </w:rPr>
        <w:t>Летом 1945 г. старший военпред завода №19 инженер-майор И.К. Четверика об</w:t>
      </w:r>
      <w:r w:rsidRPr="00F90EAE">
        <w:rPr>
          <w:color w:val="000000" w:themeColor="text1"/>
          <w:sz w:val="16"/>
          <w:szCs w:val="16"/>
        </w:rPr>
        <w:softHyphen/>
        <w:t>стоятельно изложил то, что происходило тогда на заводе № 19 на самом деле.</w:t>
      </w:r>
    </w:p>
    <w:p w14:paraId="085B8ECC" w14:textId="77777777" w:rsidR="002A5DBF" w:rsidRPr="00F90EAE" w:rsidRDefault="002A5DBF" w:rsidP="00F90EAE">
      <w:pPr>
        <w:jc w:val="both"/>
        <w:rPr>
          <w:color w:val="000000" w:themeColor="text1"/>
          <w:sz w:val="16"/>
          <w:szCs w:val="16"/>
        </w:rPr>
      </w:pPr>
      <w:r w:rsidRPr="00F90EAE">
        <w:rPr>
          <w:color w:val="000000" w:themeColor="text1"/>
          <w:sz w:val="16"/>
          <w:szCs w:val="16"/>
        </w:rPr>
        <w:t>«В основу проведения работ по борьбе с преждевременным износом и уступчатой вы</w:t>
      </w:r>
      <w:r w:rsidRPr="00F90EAE">
        <w:rPr>
          <w:color w:val="000000" w:themeColor="text1"/>
          <w:sz w:val="16"/>
          <w:szCs w:val="16"/>
        </w:rPr>
        <w:softHyphen/>
        <w:t>работки цилиндров моторов АШ-82ФН в 1945 году, за исключением нескольких предло</w:t>
      </w:r>
      <w:r w:rsidRPr="00F90EAE">
        <w:rPr>
          <w:color w:val="000000" w:themeColor="text1"/>
          <w:sz w:val="16"/>
          <w:szCs w:val="16"/>
        </w:rPr>
        <w:softHyphen/>
        <w:t>жений возникших в последнее время, были вновь положены предположения о причинах образования дефекта, уже неоднократно подвергавшиеся проверке в прошлые годы на различных типах выпускаемых заводом моторах.</w:t>
      </w:r>
    </w:p>
    <w:p w14:paraId="3B81D84A" w14:textId="77777777" w:rsidR="002A5DBF" w:rsidRPr="00F90EAE" w:rsidRDefault="002A5DBF" w:rsidP="00F90EAE">
      <w:pPr>
        <w:jc w:val="both"/>
        <w:rPr>
          <w:color w:val="000000" w:themeColor="text1"/>
          <w:sz w:val="16"/>
          <w:szCs w:val="16"/>
        </w:rPr>
      </w:pPr>
      <w:r w:rsidRPr="00F90EAE">
        <w:rPr>
          <w:color w:val="000000" w:themeColor="text1"/>
          <w:sz w:val="16"/>
          <w:szCs w:val="16"/>
        </w:rPr>
        <w:t>Кратко эти предложения сводятся к следующему:</w:t>
      </w:r>
    </w:p>
    <w:p w14:paraId="7F5360DA" w14:textId="77777777" w:rsidR="002A5DBF" w:rsidRPr="00F90EAE" w:rsidRDefault="002A5DBF" w:rsidP="00F90EAE">
      <w:pPr>
        <w:tabs>
          <w:tab w:val="left" w:pos="498"/>
        </w:tabs>
        <w:jc w:val="both"/>
        <w:rPr>
          <w:color w:val="000000" w:themeColor="text1"/>
          <w:sz w:val="16"/>
          <w:szCs w:val="16"/>
        </w:rPr>
      </w:pPr>
      <w:r w:rsidRPr="00F90EAE">
        <w:rPr>
          <w:color w:val="000000" w:themeColor="text1"/>
          <w:sz w:val="16"/>
          <w:szCs w:val="16"/>
        </w:rPr>
        <w:t>1. Неравномерная глубина и твердость азотированного слоя по длине рабочей по</w:t>
      </w:r>
      <w:r w:rsidRPr="00F90EAE">
        <w:rPr>
          <w:color w:val="000000" w:themeColor="text1"/>
          <w:sz w:val="16"/>
          <w:szCs w:val="16"/>
        </w:rPr>
        <w:softHyphen/>
        <w:t>верхности гильзы.</w:t>
      </w:r>
    </w:p>
    <w:p w14:paraId="3CB78075" w14:textId="77777777" w:rsidR="002A5DBF" w:rsidRPr="00F90EAE" w:rsidRDefault="002A5DBF" w:rsidP="00F90EAE">
      <w:pPr>
        <w:tabs>
          <w:tab w:val="left" w:pos="320"/>
        </w:tabs>
        <w:jc w:val="both"/>
        <w:rPr>
          <w:color w:val="000000" w:themeColor="text1"/>
          <w:sz w:val="16"/>
          <w:szCs w:val="16"/>
        </w:rPr>
      </w:pPr>
      <w:r w:rsidRPr="00F90EAE">
        <w:rPr>
          <w:color w:val="000000" w:themeColor="text1"/>
          <w:sz w:val="16"/>
          <w:szCs w:val="16"/>
        </w:rPr>
        <w:t>2. Распор силами газов верхнего поршневого кольца в такте расширения.</w:t>
      </w:r>
    </w:p>
    <w:p w14:paraId="66C7ECAE" w14:textId="77777777" w:rsidR="002A5DBF" w:rsidRPr="00F90EAE" w:rsidRDefault="002A5DBF" w:rsidP="00F90EAE">
      <w:pPr>
        <w:tabs>
          <w:tab w:val="left" w:pos="483"/>
        </w:tabs>
        <w:jc w:val="both"/>
        <w:rPr>
          <w:color w:val="000000" w:themeColor="text1"/>
          <w:sz w:val="16"/>
          <w:szCs w:val="16"/>
        </w:rPr>
      </w:pPr>
      <w:r w:rsidRPr="00F90EAE">
        <w:rPr>
          <w:color w:val="000000" w:themeColor="text1"/>
          <w:sz w:val="16"/>
          <w:szCs w:val="16"/>
        </w:rPr>
        <w:t>3. Волнистая поверхность торцов газоуплотнительных колец, приводящая к прорыву газов из камеры сгорания в межкольцевые пространства, к сгоранию и коксованию в них масла и, следовательно, к быстрому износу цилиндров.</w:t>
      </w:r>
    </w:p>
    <w:p w14:paraId="1ECFC9CC" w14:textId="77777777" w:rsidR="002A5DBF" w:rsidRPr="00F90EAE" w:rsidRDefault="002A5DBF" w:rsidP="00F90EAE">
      <w:pPr>
        <w:tabs>
          <w:tab w:val="left" w:pos="517"/>
        </w:tabs>
        <w:jc w:val="both"/>
        <w:rPr>
          <w:color w:val="000000" w:themeColor="text1"/>
          <w:sz w:val="16"/>
          <w:szCs w:val="16"/>
        </w:rPr>
      </w:pPr>
      <w:r w:rsidRPr="00F90EAE">
        <w:rPr>
          <w:color w:val="000000" w:themeColor="text1"/>
          <w:sz w:val="16"/>
          <w:szCs w:val="16"/>
        </w:rPr>
        <w:t>4. Высокая степень чистоты рабочей поверхности цилиндра, недостаточно хорошо удерживающая масло, особенно в верхней части цилиндра, в начальный период работы...</w:t>
      </w:r>
    </w:p>
    <w:p w14:paraId="247D50E2" w14:textId="77777777" w:rsidR="002A5DBF" w:rsidRPr="00F90EAE" w:rsidRDefault="002A5DBF" w:rsidP="00F90EAE">
      <w:pPr>
        <w:tabs>
          <w:tab w:val="left" w:pos="474"/>
        </w:tabs>
        <w:jc w:val="both"/>
        <w:rPr>
          <w:color w:val="000000" w:themeColor="text1"/>
          <w:sz w:val="16"/>
          <w:szCs w:val="16"/>
        </w:rPr>
      </w:pPr>
      <w:r w:rsidRPr="00F90EAE">
        <w:rPr>
          <w:color w:val="000000" w:themeColor="text1"/>
          <w:sz w:val="16"/>
          <w:szCs w:val="16"/>
        </w:rPr>
        <w:t>5. Отступления от технологии испытания моторов, заключающиеся в игнорировании за</w:t>
      </w:r>
      <w:r w:rsidRPr="00F90EAE">
        <w:rPr>
          <w:color w:val="000000" w:themeColor="text1"/>
          <w:sz w:val="16"/>
          <w:szCs w:val="16"/>
        </w:rPr>
        <w:softHyphen/>
        <w:t>ливки масла в цилиндры перед началом испытания, прокачки масломагистрали... горя</w:t>
      </w:r>
      <w:r w:rsidRPr="00F90EAE">
        <w:rPr>
          <w:color w:val="000000" w:themeColor="text1"/>
          <w:sz w:val="16"/>
          <w:szCs w:val="16"/>
        </w:rPr>
        <w:softHyphen/>
        <w:t>чим маслом перед запуском и недостаточном прогреве моторов во время приработки.</w:t>
      </w:r>
    </w:p>
    <w:p w14:paraId="7694A34C" w14:textId="77777777" w:rsidR="002A5DBF" w:rsidRPr="00F90EAE" w:rsidRDefault="002A5DBF" w:rsidP="00F90EAE">
      <w:pPr>
        <w:tabs>
          <w:tab w:val="left" w:pos="320"/>
        </w:tabs>
        <w:jc w:val="both"/>
        <w:rPr>
          <w:color w:val="000000" w:themeColor="text1"/>
          <w:sz w:val="16"/>
          <w:szCs w:val="16"/>
        </w:rPr>
      </w:pPr>
      <w:r w:rsidRPr="00F90EAE">
        <w:rPr>
          <w:color w:val="000000" w:themeColor="text1"/>
          <w:sz w:val="16"/>
          <w:szCs w:val="16"/>
        </w:rPr>
        <w:t>6. Короткая (по времени) приработка моторов перед контрольным испытанием.</w:t>
      </w:r>
    </w:p>
    <w:p w14:paraId="3F499977" w14:textId="77777777" w:rsidR="002A5DBF" w:rsidRPr="00F90EAE" w:rsidRDefault="002A5DBF" w:rsidP="00F90EAE">
      <w:pPr>
        <w:tabs>
          <w:tab w:val="left" w:pos="478"/>
        </w:tabs>
        <w:jc w:val="both"/>
        <w:rPr>
          <w:color w:val="000000" w:themeColor="text1"/>
          <w:sz w:val="16"/>
          <w:szCs w:val="16"/>
        </w:rPr>
      </w:pPr>
      <w:r w:rsidRPr="00F90EAE">
        <w:rPr>
          <w:color w:val="000000" w:themeColor="text1"/>
          <w:sz w:val="16"/>
          <w:szCs w:val="16"/>
        </w:rPr>
        <w:t>7. Плохая работа топливной аппаратуры, могущая проявляться в некачественном рас</w:t>
      </w:r>
      <w:r w:rsidRPr="00F90EAE">
        <w:rPr>
          <w:color w:val="000000" w:themeColor="text1"/>
          <w:sz w:val="16"/>
          <w:szCs w:val="16"/>
        </w:rPr>
        <w:softHyphen/>
        <w:t>пыле топлива форсунками и неравномерной подаче топлива по цилиндрам насосом не</w:t>
      </w:r>
      <w:r w:rsidRPr="00F90EAE">
        <w:rPr>
          <w:color w:val="000000" w:themeColor="text1"/>
          <w:sz w:val="16"/>
          <w:szCs w:val="16"/>
        </w:rPr>
        <w:softHyphen/>
        <w:t>посредственного впрыска.</w:t>
      </w:r>
    </w:p>
    <w:p w14:paraId="059131A4" w14:textId="77777777" w:rsidR="002A5DBF" w:rsidRPr="00F90EAE" w:rsidRDefault="002A5DBF" w:rsidP="00F90EAE">
      <w:pPr>
        <w:tabs>
          <w:tab w:val="left" w:pos="507"/>
        </w:tabs>
        <w:jc w:val="both"/>
        <w:rPr>
          <w:color w:val="000000" w:themeColor="text1"/>
          <w:sz w:val="16"/>
          <w:szCs w:val="16"/>
        </w:rPr>
      </w:pPr>
      <w:r w:rsidRPr="00F90EAE">
        <w:rPr>
          <w:color w:val="000000" w:themeColor="text1"/>
          <w:sz w:val="16"/>
          <w:szCs w:val="16"/>
        </w:rPr>
        <w:t>8. Неравномерное распределение воздуха воздушными дефлекторами, устанавли</w:t>
      </w:r>
      <w:r w:rsidRPr="00F90EAE">
        <w:rPr>
          <w:color w:val="000000" w:themeColor="text1"/>
          <w:sz w:val="16"/>
          <w:szCs w:val="16"/>
        </w:rPr>
        <w:softHyphen/>
        <w:t>ваемыми на цилиндры моторов, собираемых на контрольное испытание и ведущее к неравномерным тепловым деформациям цилиндров.</w:t>
      </w:r>
    </w:p>
    <w:p w14:paraId="2E2A1807" w14:textId="77777777" w:rsidR="002A5DBF" w:rsidRPr="00F90EAE" w:rsidRDefault="002A5DBF" w:rsidP="00F90EAE">
      <w:pPr>
        <w:tabs>
          <w:tab w:val="left" w:pos="464"/>
        </w:tabs>
        <w:jc w:val="both"/>
        <w:rPr>
          <w:color w:val="000000" w:themeColor="text1"/>
          <w:sz w:val="16"/>
          <w:szCs w:val="16"/>
        </w:rPr>
      </w:pPr>
      <w:r w:rsidRPr="00F90EAE">
        <w:rPr>
          <w:color w:val="000000" w:themeColor="text1"/>
          <w:sz w:val="16"/>
          <w:szCs w:val="16"/>
        </w:rPr>
        <w:t>9. Завышенные перекосы отверстий в главном шатуне под пальцы прицепных шатунов и фланца крепления цилиндров к зеркалу цилиндра, нарушающее движение поршня по рабочей поверхности цилиндра.</w:t>
      </w:r>
    </w:p>
    <w:p w14:paraId="1FE887E8" w14:textId="77777777" w:rsidR="002A5DBF" w:rsidRPr="00F90EAE" w:rsidRDefault="002A5DBF" w:rsidP="00F90EAE">
      <w:pPr>
        <w:tabs>
          <w:tab w:val="left" w:pos="392"/>
        </w:tabs>
        <w:jc w:val="both"/>
        <w:rPr>
          <w:color w:val="000000" w:themeColor="text1"/>
          <w:sz w:val="16"/>
          <w:szCs w:val="16"/>
        </w:rPr>
      </w:pPr>
      <w:r w:rsidRPr="00F90EAE">
        <w:rPr>
          <w:color w:val="000000" w:themeColor="text1"/>
          <w:sz w:val="16"/>
          <w:szCs w:val="16"/>
        </w:rPr>
        <w:t>10. Осушающее действие маслосборных колец, расположенных в 4-й канавке поршня.</w:t>
      </w:r>
    </w:p>
    <w:p w14:paraId="36B28E12" w14:textId="77777777" w:rsidR="002A5DBF" w:rsidRPr="00F90EAE" w:rsidRDefault="002A5DBF" w:rsidP="00F90EAE">
      <w:pPr>
        <w:tabs>
          <w:tab w:val="left" w:pos="411"/>
        </w:tabs>
        <w:jc w:val="both"/>
        <w:rPr>
          <w:color w:val="000000" w:themeColor="text1"/>
          <w:sz w:val="16"/>
          <w:szCs w:val="16"/>
        </w:rPr>
      </w:pPr>
      <w:r w:rsidRPr="00F90EAE">
        <w:rPr>
          <w:color w:val="000000" w:themeColor="text1"/>
          <w:sz w:val="16"/>
          <w:szCs w:val="16"/>
        </w:rPr>
        <w:t>11. Повышенное содержание в масле бензина.</w:t>
      </w:r>
    </w:p>
    <w:p w14:paraId="7B012A9E" w14:textId="77777777" w:rsidR="002A5DBF" w:rsidRPr="00F90EAE" w:rsidRDefault="002A5DBF" w:rsidP="00F90EAE">
      <w:pPr>
        <w:tabs>
          <w:tab w:val="left" w:pos="411"/>
        </w:tabs>
        <w:jc w:val="both"/>
        <w:rPr>
          <w:color w:val="000000" w:themeColor="text1"/>
          <w:sz w:val="16"/>
          <w:szCs w:val="16"/>
        </w:rPr>
      </w:pPr>
      <w:r w:rsidRPr="00F90EAE">
        <w:rPr>
          <w:color w:val="000000" w:themeColor="text1"/>
          <w:sz w:val="16"/>
          <w:szCs w:val="16"/>
        </w:rPr>
        <w:t>12.</w:t>
      </w:r>
      <w:r w:rsidRPr="00F90EAE">
        <w:rPr>
          <w:rStyle w:val="aff9"/>
          <w:rFonts w:ascii="Times New Roman" w:cs="Times New Roman"/>
          <w:b w:val="0"/>
          <w:color w:val="000000" w:themeColor="text1"/>
          <w:spacing w:val="0"/>
          <w:sz w:val="16"/>
          <w:szCs w:val="16"/>
        </w:rPr>
        <w:t xml:space="preserve"> Возможность</w:t>
      </w:r>
      <w:r w:rsidRPr="00F90EAE">
        <w:rPr>
          <w:color w:val="000000" w:themeColor="text1"/>
          <w:sz w:val="16"/>
          <w:szCs w:val="16"/>
        </w:rPr>
        <w:t xml:space="preserve"> дымления цилиндров, если на них отсутствует уступчатая</w:t>
      </w:r>
      <w:r w:rsidRPr="00F90EAE">
        <w:rPr>
          <w:rStyle w:val="aff9"/>
          <w:rFonts w:ascii="Times New Roman" w:cs="Times New Roman"/>
          <w:b w:val="0"/>
          <w:color w:val="000000" w:themeColor="text1"/>
          <w:spacing w:val="0"/>
          <w:sz w:val="16"/>
          <w:szCs w:val="16"/>
        </w:rPr>
        <w:t xml:space="preserve"> выработка, </w:t>
      </w:r>
      <w:r w:rsidRPr="00F90EAE">
        <w:rPr>
          <w:color w:val="000000" w:themeColor="text1"/>
          <w:sz w:val="16"/>
          <w:szCs w:val="16"/>
        </w:rPr>
        <w:t>от неравномерной затяжки цилиндровых гаек.</w:t>
      </w:r>
    </w:p>
    <w:p w14:paraId="76CCE6AE" w14:textId="77777777" w:rsidR="002A5DBF" w:rsidRPr="00F90EAE" w:rsidRDefault="002A5DBF" w:rsidP="00F90EAE">
      <w:pPr>
        <w:tabs>
          <w:tab w:val="left" w:pos="543"/>
        </w:tabs>
        <w:jc w:val="both"/>
        <w:rPr>
          <w:color w:val="000000" w:themeColor="text1"/>
          <w:sz w:val="16"/>
          <w:szCs w:val="16"/>
        </w:rPr>
      </w:pPr>
      <w:r w:rsidRPr="00F90EAE">
        <w:rPr>
          <w:color w:val="000000" w:themeColor="text1"/>
          <w:sz w:val="16"/>
          <w:szCs w:val="16"/>
        </w:rPr>
        <w:t>13. Режущее действие 1-го поршневого кольца, имеющего острую рабочую кромку и работающего по сравнению с другими кольцами в наиболее трудных условиях.</w:t>
      </w:r>
    </w:p>
    <w:p w14:paraId="2DBAA802" w14:textId="77777777" w:rsidR="002A5DBF" w:rsidRPr="00F90EAE" w:rsidRDefault="002A5DBF" w:rsidP="00F90EAE">
      <w:pPr>
        <w:tabs>
          <w:tab w:val="left" w:pos="510"/>
        </w:tabs>
        <w:jc w:val="both"/>
        <w:rPr>
          <w:color w:val="000000" w:themeColor="text1"/>
          <w:sz w:val="16"/>
          <w:szCs w:val="16"/>
        </w:rPr>
      </w:pPr>
      <w:r w:rsidRPr="00F90EAE">
        <w:rPr>
          <w:color w:val="000000" w:themeColor="text1"/>
          <w:sz w:val="16"/>
          <w:szCs w:val="16"/>
        </w:rPr>
        <w:t>14. а) Раструб, получающийся в верхней части гильзы в результате тепловой деформа</w:t>
      </w:r>
      <w:r w:rsidRPr="00F90EAE">
        <w:rPr>
          <w:color w:val="000000" w:themeColor="text1"/>
          <w:sz w:val="16"/>
          <w:szCs w:val="16"/>
        </w:rPr>
        <w:softHyphen/>
        <w:t>ции цилиндра и усугубляющий режущее действие 1-го газоуплотнительного кольца.</w:t>
      </w:r>
    </w:p>
    <w:p w14:paraId="6CCC25DF" w14:textId="77777777" w:rsidR="002A5DBF" w:rsidRPr="00F90EAE" w:rsidRDefault="002A5DBF" w:rsidP="00F90EAE">
      <w:pPr>
        <w:jc w:val="both"/>
        <w:rPr>
          <w:color w:val="000000" w:themeColor="text1"/>
          <w:sz w:val="16"/>
          <w:szCs w:val="16"/>
        </w:rPr>
      </w:pPr>
      <w:r w:rsidRPr="00F90EAE">
        <w:rPr>
          <w:color w:val="000000" w:themeColor="text1"/>
          <w:sz w:val="16"/>
          <w:szCs w:val="16"/>
        </w:rPr>
        <w:t>б) Отрывание 1-го газоуплотнительного кольца от профиля рабочей поверхности на кривизне, образующей тепловой раструб в верхней части гильзы цилиндра.</w:t>
      </w:r>
    </w:p>
    <w:p w14:paraId="6ED5D159" w14:textId="77777777" w:rsidR="002A5DBF" w:rsidRPr="00F90EAE" w:rsidRDefault="002A5DBF" w:rsidP="00F90EAE">
      <w:pPr>
        <w:jc w:val="both"/>
        <w:rPr>
          <w:color w:val="000000" w:themeColor="text1"/>
          <w:sz w:val="16"/>
          <w:szCs w:val="16"/>
        </w:rPr>
      </w:pPr>
      <w:r w:rsidRPr="00F90EAE">
        <w:rPr>
          <w:color w:val="000000" w:themeColor="text1"/>
          <w:sz w:val="16"/>
          <w:szCs w:val="16"/>
        </w:rPr>
        <w:t>ПРОВЕДЕННЫЕ ОПЫТНЫЕ РАБОТЫ &lt;...&gt;</w:t>
      </w:r>
      <w:r w:rsidRPr="00F90EAE">
        <w:rPr>
          <w:color w:val="000000" w:themeColor="text1"/>
          <w:sz w:val="16"/>
          <w:szCs w:val="16"/>
          <w:vertAlign w:val="superscript"/>
        </w:rPr>
        <w:t>5</w:t>
      </w:r>
    </w:p>
    <w:p w14:paraId="1BCD2E8F" w14:textId="77777777" w:rsidR="002A5DBF" w:rsidRPr="00F90EAE" w:rsidRDefault="002A5DBF" w:rsidP="00F90EAE">
      <w:pPr>
        <w:jc w:val="both"/>
        <w:rPr>
          <w:color w:val="000000" w:themeColor="text1"/>
          <w:sz w:val="16"/>
          <w:szCs w:val="16"/>
        </w:rPr>
      </w:pPr>
      <w:r w:rsidRPr="00F90EAE">
        <w:rPr>
          <w:color w:val="000000" w:themeColor="text1"/>
          <w:sz w:val="16"/>
          <w:szCs w:val="16"/>
        </w:rPr>
        <w:t>...Вопрос создания профиля рабочей поверхности цилиндра, который в нагретом (ра</w:t>
      </w:r>
      <w:r w:rsidRPr="00F90EAE">
        <w:rPr>
          <w:color w:val="000000" w:themeColor="text1"/>
          <w:sz w:val="16"/>
          <w:szCs w:val="16"/>
        </w:rPr>
        <w:softHyphen/>
        <w:t>бочем) состоянии максимально соответствовал бы цилиндрическому, начал занимать внимание конструкторов нашего завода ещё в 1939 г., но тогда все начатые в этом на</w:t>
      </w:r>
      <w:r w:rsidRPr="00F90EAE">
        <w:rPr>
          <w:color w:val="000000" w:themeColor="text1"/>
          <w:sz w:val="16"/>
          <w:szCs w:val="16"/>
        </w:rPr>
        <w:softHyphen/>
        <w:t>правлении работы вследствие быстрой смены серийных объектов остались незакончен</w:t>
      </w:r>
      <w:r w:rsidRPr="00F90EAE">
        <w:rPr>
          <w:color w:val="000000" w:themeColor="text1"/>
          <w:sz w:val="16"/>
          <w:szCs w:val="16"/>
        </w:rPr>
        <w:softHyphen/>
        <w:t>ными. И только с начала 1943 г., после внедрение в серию мощного мотора АШ-82ФН этот вопрос приобрел соответствующую остроту в связи с наблюдавшимися на этих мо</w:t>
      </w:r>
      <w:r w:rsidRPr="00F90EAE">
        <w:rPr>
          <w:color w:val="000000" w:themeColor="text1"/>
          <w:sz w:val="16"/>
          <w:szCs w:val="16"/>
        </w:rPr>
        <w:softHyphen/>
        <w:t>торах дефектами преждевременного износа и уступчатой выработки цилиндров.</w:t>
      </w:r>
    </w:p>
    <w:p w14:paraId="297FD4BB" w14:textId="77777777" w:rsidR="002A5DBF" w:rsidRPr="00F90EAE" w:rsidRDefault="002A5DBF" w:rsidP="00F90EAE">
      <w:pPr>
        <w:jc w:val="both"/>
        <w:rPr>
          <w:color w:val="000000" w:themeColor="text1"/>
          <w:sz w:val="16"/>
          <w:szCs w:val="16"/>
        </w:rPr>
      </w:pPr>
      <w:r w:rsidRPr="00F90EAE">
        <w:rPr>
          <w:color w:val="000000" w:themeColor="text1"/>
          <w:sz w:val="16"/>
          <w:szCs w:val="16"/>
        </w:rPr>
        <w:t>С 1943 г. после ряда проведённых кратковременных и длительных испытаний (в том числе 2-х испытаний по 150 часов) были отработаны для внедрения в серийное произ</w:t>
      </w:r>
      <w:r w:rsidRPr="00F90EAE">
        <w:rPr>
          <w:color w:val="000000" w:themeColor="text1"/>
          <w:sz w:val="16"/>
          <w:szCs w:val="16"/>
        </w:rPr>
        <w:softHyphen/>
        <w:t>водство цилиндры с параболическим профилем рабочей поверхности в верхней части, обеспечивающим с расстояния 80-100 мм от верхнего торца гильзы плавное сужение верхнего отверстия гильзы на 0,15-0,25 мм.</w:t>
      </w:r>
    </w:p>
    <w:p w14:paraId="2810C6ED" w14:textId="77777777" w:rsidR="002A5DBF" w:rsidRPr="00F90EAE" w:rsidRDefault="002A5DBF" w:rsidP="00F90EAE">
      <w:pPr>
        <w:jc w:val="both"/>
        <w:rPr>
          <w:color w:val="000000" w:themeColor="text1"/>
          <w:sz w:val="16"/>
          <w:szCs w:val="16"/>
        </w:rPr>
      </w:pPr>
      <w:r w:rsidRPr="00F90EAE">
        <w:rPr>
          <w:color w:val="000000" w:themeColor="text1"/>
          <w:sz w:val="16"/>
          <w:szCs w:val="16"/>
        </w:rPr>
        <w:t>Такой профиль рабочей поверхности приблизительно на половину уменьшал тепловой раструб в верхней части цилиндра... и, по мнению конструкторов, должен был значитель</w:t>
      </w:r>
      <w:r w:rsidRPr="00F90EAE">
        <w:rPr>
          <w:color w:val="000000" w:themeColor="text1"/>
          <w:sz w:val="16"/>
          <w:szCs w:val="16"/>
        </w:rPr>
        <w:softHyphen/>
        <w:t>но уменьшить возможность образования на рабочей поверхности цилиндров уступчатой выработки и удлинить срок службы цилиндров за счёт увеличивающейся в этом случае нормы износа до прежнего ремонтного размера.</w:t>
      </w:r>
    </w:p>
    <w:p w14:paraId="26AC4665" w14:textId="77777777" w:rsidR="002A5DBF" w:rsidRPr="00F90EAE" w:rsidRDefault="002A5DBF" w:rsidP="00F90EAE">
      <w:pPr>
        <w:jc w:val="both"/>
        <w:rPr>
          <w:color w:val="000000" w:themeColor="text1"/>
          <w:sz w:val="16"/>
          <w:szCs w:val="16"/>
        </w:rPr>
      </w:pPr>
      <w:r w:rsidRPr="00F90EAE">
        <w:rPr>
          <w:color w:val="000000" w:themeColor="text1"/>
          <w:sz w:val="16"/>
          <w:szCs w:val="16"/>
        </w:rPr>
        <w:t>Внедрение в серийное производство цилиндров с параболическим профилем зеркала началось в феврале месяце 1945 г. сборкой и испытанием одного—двух моторов в сутки.</w:t>
      </w:r>
    </w:p>
    <w:p w14:paraId="3A15516E" w14:textId="77777777" w:rsidR="002A5DBF" w:rsidRPr="00F90EAE" w:rsidRDefault="002A5DBF" w:rsidP="00F90EAE">
      <w:pPr>
        <w:jc w:val="both"/>
        <w:rPr>
          <w:color w:val="000000" w:themeColor="text1"/>
          <w:sz w:val="16"/>
          <w:szCs w:val="16"/>
        </w:rPr>
      </w:pPr>
      <w:r w:rsidRPr="00F90EAE">
        <w:rPr>
          <w:color w:val="000000" w:themeColor="text1"/>
          <w:sz w:val="16"/>
          <w:szCs w:val="16"/>
        </w:rPr>
        <w:t>За этот период было собрано и испытано около 70 моторов, из которых по дымлению и уступчатой выработке цилиндров было снято только 6 моторов.</w:t>
      </w:r>
    </w:p>
    <w:p w14:paraId="5EE1C067" w14:textId="77777777" w:rsidR="002A5DBF" w:rsidRPr="00F90EAE" w:rsidRDefault="002A5DBF" w:rsidP="00F90EAE">
      <w:pPr>
        <w:jc w:val="both"/>
        <w:rPr>
          <w:color w:val="000000" w:themeColor="text1"/>
          <w:sz w:val="16"/>
          <w:szCs w:val="16"/>
        </w:rPr>
      </w:pPr>
      <w:r w:rsidRPr="00F90EAE">
        <w:rPr>
          <w:color w:val="000000" w:themeColor="text1"/>
          <w:sz w:val="16"/>
          <w:szCs w:val="16"/>
        </w:rPr>
        <w:t>Полный переход на такие цилиндры осуществили в конце апреля 1945 г. вследствие резкого возрастания, по причине указанных дефектов, съёма с контрольного испытания моторов АШ-82ФН. Но этим поставленной цели достигнуть не удалось, так как дефект не только не снизился, а наоборот продолжал расти и в период половины мая достиг ка</w:t>
      </w:r>
      <w:r w:rsidRPr="00F90EAE">
        <w:rPr>
          <w:color w:val="000000" w:themeColor="text1"/>
          <w:sz w:val="16"/>
          <w:szCs w:val="16"/>
        </w:rPr>
        <w:softHyphen/>
        <w:t>тастрофической величины, составившей 40% съёма моторов от числа поставленных на испытание.</w:t>
      </w:r>
    </w:p>
    <w:p w14:paraId="159F0849" w14:textId="77777777" w:rsidR="002A5DBF" w:rsidRPr="00F90EAE" w:rsidRDefault="002A5DBF" w:rsidP="00F90EAE">
      <w:pPr>
        <w:jc w:val="both"/>
        <w:rPr>
          <w:color w:val="000000" w:themeColor="text1"/>
          <w:sz w:val="16"/>
          <w:szCs w:val="16"/>
        </w:rPr>
      </w:pPr>
      <w:r w:rsidRPr="00F90EAE">
        <w:rPr>
          <w:color w:val="000000" w:themeColor="text1"/>
          <w:sz w:val="16"/>
          <w:szCs w:val="16"/>
        </w:rPr>
        <w:t>В результате такого положения, сложившегося у некоторых ответственных работни</w:t>
      </w:r>
      <w:r w:rsidRPr="00F90EAE">
        <w:rPr>
          <w:color w:val="000000" w:themeColor="text1"/>
          <w:sz w:val="16"/>
          <w:szCs w:val="16"/>
        </w:rPr>
        <w:softHyphen/>
        <w:t>ков завода убеждения, что основной причиной такого интенсивного развития дефекта являются вновь введенные цилиндры с параболическим профилем зеркала, последние с 15-го мая, по указанию директора завода, с производства сняты и заменены цилин</w:t>
      </w:r>
      <w:r w:rsidRPr="00F90EAE">
        <w:rPr>
          <w:color w:val="000000" w:themeColor="text1"/>
          <w:sz w:val="16"/>
          <w:szCs w:val="16"/>
        </w:rPr>
        <w:softHyphen/>
        <w:t>драми прежней конструкции, т.е. с цилиндрическим профилем зеркала.</w:t>
      </w:r>
    </w:p>
    <w:p w14:paraId="110D9C55" w14:textId="77777777" w:rsidR="002A5DBF" w:rsidRPr="00F90EAE" w:rsidRDefault="002A5DBF" w:rsidP="00F90EAE">
      <w:pPr>
        <w:jc w:val="both"/>
        <w:rPr>
          <w:color w:val="000000" w:themeColor="text1"/>
          <w:sz w:val="16"/>
          <w:szCs w:val="16"/>
        </w:rPr>
      </w:pPr>
      <w:r w:rsidRPr="00F90EAE">
        <w:rPr>
          <w:color w:val="000000" w:themeColor="text1"/>
          <w:sz w:val="16"/>
          <w:szCs w:val="16"/>
        </w:rPr>
        <w:t>Несколько позднее, анализом статистических данных установлено, что действительно, параболический профиль рабочей поверхности в верхней части цилиндра работу цилин</w:t>
      </w:r>
      <w:r w:rsidRPr="00F90EAE">
        <w:rPr>
          <w:color w:val="000000" w:themeColor="text1"/>
          <w:sz w:val="16"/>
          <w:szCs w:val="16"/>
        </w:rPr>
        <w:softHyphen/>
        <w:t>дровой группы нисколько не улучшает, ибо съём моторов по дымлению и отбраковка ци</w:t>
      </w:r>
      <w:r w:rsidRPr="00F90EAE">
        <w:rPr>
          <w:color w:val="000000" w:themeColor="text1"/>
          <w:sz w:val="16"/>
          <w:szCs w:val="16"/>
        </w:rPr>
        <w:softHyphen/>
        <w:t>линдров по уступчатой выработке для цилиндров с параболическим профилем зеркала и цилиндров с нормальным профилем зеркала составляет одну и ту же величину.</w:t>
      </w:r>
    </w:p>
    <w:p w14:paraId="52332B1D" w14:textId="77777777" w:rsidR="002A5DBF" w:rsidRPr="00F90EAE" w:rsidRDefault="002A5DBF" w:rsidP="00F90EAE">
      <w:pPr>
        <w:jc w:val="both"/>
        <w:rPr>
          <w:color w:val="000000" w:themeColor="text1"/>
          <w:sz w:val="16"/>
          <w:szCs w:val="16"/>
        </w:rPr>
      </w:pPr>
      <w:r w:rsidRPr="00F90EAE">
        <w:rPr>
          <w:color w:val="000000" w:themeColor="text1"/>
          <w:sz w:val="16"/>
          <w:szCs w:val="16"/>
        </w:rPr>
        <w:lastRenderedPageBreak/>
        <w:t>Но на этом работы с исследованием профиля рабочей поверхности не прекратились, а продолжали развиваться дальше в свете новой гипотезы о природе образования уступов, высказанной Главным Конструктором А.Д. Швецовым.</w:t>
      </w:r>
    </w:p>
    <w:p w14:paraId="1009E742" w14:textId="77777777" w:rsidR="002A5DBF" w:rsidRPr="00F90EAE" w:rsidRDefault="002A5DBF" w:rsidP="00F90EAE">
      <w:pPr>
        <w:jc w:val="both"/>
        <w:rPr>
          <w:color w:val="000000" w:themeColor="text1"/>
          <w:sz w:val="16"/>
          <w:szCs w:val="16"/>
        </w:rPr>
      </w:pPr>
      <w:r w:rsidRPr="00F90EAE">
        <w:rPr>
          <w:color w:val="000000" w:themeColor="text1"/>
          <w:sz w:val="16"/>
          <w:szCs w:val="16"/>
        </w:rPr>
        <w:t>Сущность этой гипотезы заключается в предположении периодического отставания главным образом первого газоуплотнительного кольца поршня от профиля зеркала ци</w:t>
      </w:r>
      <w:r w:rsidRPr="00F90EAE">
        <w:rPr>
          <w:color w:val="000000" w:themeColor="text1"/>
          <w:sz w:val="16"/>
          <w:szCs w:val="16"/>
        </w:rPr>
        <w:softHyphen/>
        <w:t>линдра в начале раструба, образующегося в верхней части гильзы в результате её те</w:t>
      </w:r>
      <w:r w:rsidRPr="00F90EAE">
        <w:rPr>
          <w:color w:val="000000" w:themeColor="text1"/>
          <w:sz w:val="16"/>
          <w:szCs w:val="16"/>
        </w:rPr>
        <w:softHyphen/>
        <w:t>пловой деформации. Отрыв кольца происходит под действием большой скорости движения, максимальные значения которой (17-20 мт/сек), как подтвердили исследо</w:t>
      </w:r>
      <w:r w:rsidRPr="00F90EAE">
        <w:rPr>
          <w:color w:val="000000" w:themeColor="text1"/>
          <w:sz w:val="16"/>
          <w:szCs w:val="16"/>
        </w:rPr>
        <w:softHyphen/>
        <w:t>вания профиля зеркала цилиндра в нагретом состоянии, совпадают с моментом про</w:t>
      </w:r>
      <w:r w:rsidRPr="00F90EAE">
        <w:rPr>
          <w:color w:val="000000" w:themeColor="text1"/>
          <w:sz w:val="16"/>
          <w:szCs w:val="16"/>
        </w:rPr>
        <w:softHyphen/>
        <w:t>хождения кольцом кривизны, образующей раструб.</w:t>
      </w:r>
    </w:p>
    <w:p w14:paraId="66F97BC8" w14:textId="77777777" w:rsidR="002A5DBF" w:rsidRPr="00F90EAE" w:rsidRDefault="002A5DBF" w:rsidP="00F90EAE">
      <w:pPr>
        <w:jc w:val="both"/>
        <w:rPr>
          <w:color w:val="000000" w:themeColor="text1"/>
          <w:sz w:val="16"/>
          <w:szCs w:val="16"/>
        </w:rPr>
      </w:pPr>
      <w:r w:rsidRPr="00F90EAE">
        <w:rPr>
          <w:color w:val="000000" w:themeColor="text1"/>
          <w:sz w:val="16"/>
          <w:szCs w:val="16"/>
        </w:rPr>
        <w:t>Периодически отрываясь от профиля рабочей поверхности, кольцо под действием силы упругости разжимается и с ударом вновь соприкасается с зеркалом, производя в месте удара уступчатую выработку. Наиболее вероятным тактом рабочего процесса, в котором происходит отрыв кольца от зеркала цилиндра, следует предполагать такт вы</w:t>
      </w:r>
      <w:r w:rsidRPr="00F90EAE">
        <w:rPr>
          <w:color w:val="000000" w:themeColor="text1"/>
          <w:sz w:val="16"/>
          <w:szCs w:val="16"/>
        </w:rPr>
        <w:softHyphen/>
        <w:t>хлопа, так как в этом такте верхнее кольцо свободно от воздействия на него газовых усилий и в основном находится только под влиянием сил собственной упругости и си</w:t>
      </w:r>
      <w:r w:rsidRPr="00F90EAE">
        <w:rPr>
          <w:color w:val="000000" w:themeColor="text1"/>
          <w:sz w:val="16"/>
          <w:szCs w:val="16"/>
        </w:rPr>
        <w:softHyphen/>
        <w:t>лы инерции, развивающейся от давления. Естественно, что для исключения явления отставания кольца от профиля рабочей поверхности этот профиль в нагретом состоя</w:t>
      </w:r>
      <w:r w:rsidRPr="00F90EAE">
        <w:rPr>
          <w:color w:val="000000" w:themeColor="text1"/>
          <w:sz w:val="16"/>
          <w:szCs w:val="16"/>
        </w:rPr>
        <w:softHyphen/>
        <w:t>нии должен максимально приближаться к цилиндрическому.</w:t>
      </w:r>
    </w:p>
    <w:p w14:paraId="0C0E9953" w14:textId="77777777" w:rsidR="002A5DBF" w:rsidRPr="00F90EAE" w:rsidRDefault="002A5DBF" w:rsidP="00F90EAE">
      <w:pPr>
        <w:jc w:val="both"/>
        <w:rPr>
          <w:color w:val="000000" w:themeColor="text1"/>
          <w:sz w:val="16"/>
          <w:szCs w:val="16"/>
        </w:rPr>
      </w:pPr>
      <w:r w:rsidRPr="00F90EAE">
        <w:rPr>
          <w:color w:val="000000" w:themeColor="text1"/>
          <w:sz w:val="16"/>
          <w:szCs w:val="16"/>
        </w:rPr>
        <w:t>Рядом проведенных опытов удалось установить, что лучшим профилем рабочей по</w:t>
      </w:r>
      <w:r w:rsidRPr="00F90EAE">
        <w:rPr>
          <w:color w:val="000000" w:themeColor="text1"/>
          <w:sz w:val="16"/>
          <w:szCs w:val="16"/>
        </w:rPr>
        <w:softHyphen/>
        <w:t>верхности цилиндра, который в нагретом состоянии максимально приближается к ци</w:t>
      </w:r>
      <w:r w:rsidRPr="00F90EAE">
        <w:rPr>
          <w:color w:val="000000" w:themeColor="text1"/>
          <w:sz w:val="16"/>
          <w:szCs w:val="16"/>
        </w:rPr>
        <w:softHyphen/>
        <w:t>линдрическому, является профиль, соответствующий деформации верхнего конца окончательно обработанной по зеркалу гильзы после навёртывания на нее головки.</w:t>
      </w:r>
    </w:p>
    <w:p w14:paraId="271CCDAF" w14:textId="77777777" w:rsidR="002A5DBF" w:rsidRPr="00F90EAE" w:rsidRDefault="002A5DBF" w:rsidP="00F90EAE">
      <w:pPr>
        <w:jc w:val="both"/>
        <w:rPr>
          <w:color w:val="000000" w:themeColor="text1"/>
          <w:sz w:val="16"/>
          <w:szCs w:val="16"/>
        </w:rPr>
      </w:pPr>
      <w:r w:rsidRPr="00F90EAE">
        <w:rPr>
          <w:color w:val="000000" w:themeColor="text1"/>
          <w:sz w:val="16"/>
          <w:szCs w:val="16"/>
        </w:rPr>
        <w:t>В этом случае уменьшение диаметра верхнего отверстия гильзы обеспечивается по про</w:t>
      </w:r>
      <w:r w:rsidRPr="00F90EAE">
        <w:rPr>
          <w:color w:val="000000" w:themeColor="text1"/>
          <w:sz w:val="16"/>
          <w:szCs w:val="16"/>
        </w:rPr>
        <w:softHyphen/>
        <w:t>извольной кривой на величину от 0,3 до 0,5 мм на длине 50-65 мм от верхнего торца...</w:t>
      </w:r>
    </w:p>
    <w:p w14:paraId="170B85D3" w14:textId="77777777" w:rsidR="002A5DBF" w:rsidRPr="00F90EAE" w:rsidRDefault="002A5DBF" w:rsidP="00F90EAE">
      <w:pPr>
        <w:jc w:val="both"/>
        <w:rPr>
          <w:color w:val="000000" w:themeColor="text1"/>
          <w:sz w:val="16"/>
          <w:szCs w:val="16"/>
        </w:rPr>
      </w:pPr>
      <w:r w:rsidRPr="00F90EAE">
        <w:rPr>
          <w:color w:val="000000" w:themeColor="text1"/>
          <w:sz w:val="16"/>
          <w:szCs w:val="16"/>
        </w:rPr>
        <w:t>Для проверки работы цилиндров с таким профилем было проведено:</w:t>
      </w:r>
    </w:p>
    <w:p w14:paraId="30199B90" w14:textId="77777777" w:rsidR="002A5DBF" w:rsidRPr="00F90EAE" w:rsidRDefault="002A5DBF" w:rsidP="00F90EAE">
      <w:pPr>
        <w:tabs>
          <w:tab w:val="left" w:pos="467"/>
        </w:tabs>
        <w:jc w:val="both"/>
        <w:rPr>
          <w:color w:val="000000" w:themeColor="text1"/>
          <w:sz w:val="16"/>
          <w:szCs w:val="16"/>
        </w:rPr>
      </w:pPr>
      <w:r w:rsidRPr="00F90EAE">
        <w:rPr>
          <w:color w:val="000000" w:themeColor="text1"/>
          <w:sz w:val="16"/>
          <w:szCs w:val="16"/>
        </w:rPr>
        <w:t>а) 50-ти часовое испытание на одноцилиндровой установке в паре с серийными поршневыми кольцами.</w:t>
      </w:r>
    </w:p>
    <w:p w14:paraId="6171A7B8"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износ за 50-ти часовое испытание не превышает износа, по</w:t>
      </w:r>
      <w:r w:rsidRPr="00F90EAE">
        <w:rPr>
          <w:color w:val="000000" w:themeColor="text1"/>
          <w:sz w:val="16"/>
          <w:szCs w:val="16"/>
        </w:rPr>
        <w:softHyphen/>
        <w:t>лучающегося за 10 часов на серийном цилиндре. Состояние поршневых колец хорошее.</w:t>
      </w:r>
    </w:p>
    <w:p w14:paraId="603C37D3" w14:textId="77777777" w:rsidR="002A5DBF" w:rsidRPr="00F90EAE" w:rsidRDefault="002A5DBF" w:rsidP="00F90EAE">
      <w:pPr>
        <w:tabs>
          <w:tab w:val="left" w:pos="472"/>
        </w:tabs>
        <w:jc w:val="both"/>
        <w:rPr>
          <w:color w:val="000000" w:themeColor="text1"/>
          <w:sz w:val="16"/>
          <w:szCs w:val="16"/>
        </w:rPr>
      </w:pPr>
      <w:r w:rsidRPr="00F90EAE">
        <w:rPr>
          <w:color w:val="000000" w:themeColor="text1"/>
          <w:sz w:val="16"/>
          <w:szCs w:val="16"/>
        </w:rPr>
        <w:t>б) 10-ти часовое моторное испытание с газоуплотнительными кольцами и в первой канавке поршней хромированными по образующей (образующая конусная). Результат испытания: износ цилиндров не превышает 0,04 мм. Состояние колец хорошее.</w:t>
      </w:r>
    </w:p>
    <w:p w14:paraId="01368EC5" w14:textId="77777777" w:rsidR="002A5DBF" w:rsidRPr="00F90EAE" w:rsidRDefault="002A5DBF" w:rsidP="00F90EAE">
      <w:pPr>
        <w:tabs>
          <w:tab w:val="left" w:pos="434"/>
        </w:tabs>
        <w:jc w:val="both"/>
        <w:rPr>
          <w:color w:val="000000" w:themeColor="text1"/>
          <w:sz w:val="16"/>
          <w:szCs w:val="16"/>
        </w:rPr>
      </w:pPr>
      <w:r w:rsidRPr="00F90EAE">
        <w:rPr>
          <w:color w:val="000000" w:themeColor="text1"/>
          <w:sz w:val="16"/>
          <w:szCs w:val="16"/>
        </w:rPr>
        <w:t>в) Испытание малой серии АШ-82ФН в количестве 60 моторов с постановкой в первую канавку всех поршней газоуплотнительного кольца с цилиндрической образующей.</w:t>
      </w:r>
    </w:p>
    <w:p w14:paraId="250FCB5F"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после сдаточного испытания из числа опытных цилиндров, бы</w:t>
      </w:r>
      <w:r w:rsidRPr="00F90EAE">
        <w:rPr>
          <w:color w:val="000000" w:themeColor="text1"/>
          <w:sz w:val="16"/>
          <w:szCs w:val="16"/>
        </w:rPr>
        <w:softHyphen/>
        <w:t>ло обнаружено 6 цилиндров с уступчатой выработкой, расположенной на высоте 224 мм от нижнего торца гильзы, которая в отличие от выработки, получающейся на цилинд</w:t>
      </w:r>
      <w:r w:rsidRPr="00F90EAE">
        <w:rPr>
          <w:color w:val="000000" w:themeColor="text1"/>
          <w:sz w:val="16"/>
          <w:szCs w:val="16"/>
        </w:rPr>
        <w:softHyphen/>
        <w:t>рах с обычным профилем, имела обратный характер...</w:t>
      </w:r>
    </w:p>
    <w:p w14:paraId="69F9D101" w14:textId="77777777" w:rsidR="002A5DBF" w:rsidRPr="00F90EAE" w:rsidRDefault="002A5DBF" w:rsidP="00F90EAE">
      <w:pPr>
        <w:jc w:val="both"/>
        <w:rPr>
          <w:color w:val="000000" w:themeColor="text1"/>
          <w:sz w:val="16"/>
          <w:szCs w:val="16"/>
        </w:rPr>
      </w:pPr>
      <w:r w:rsidRPr="00F90EAE">
        <w:rPr>
          <w:color w:val="000000" w:themeColor="text1"/>
          <w:sz w:val="16"/>
          <w:szCs w:val="16"/>
        </w:rPr>
        <w:t>Тотчас произведенными исследованиями установили, что причиной такой выработки являлась работа в распор 2-х маслосборных колец, находящихся в 4-й канавке поршня.</w:t>
      </w:r>
    </w:p>
    <w:p w14:paraId="2FD4025F" w14:textId="77777777" w:rsidR="002A5DBF" w:rsidRPr="00F90EAE" w:rsidRDefault="002A5DBF" w:rsidP="00F90EAE">
      <w:pPr>
        <w:jc w:val="both"/>
        <w:rPr>
          <w:color w:val="000000" w:themeColor="text1"/>
          <w:sz w:val="16"/>
          <w:szCs w:val="16"/>
        </w:rPr>
      </w:pPr>
      <w:r w:rsidRPr="00F90EAE">
        <w:rPr>
          <w:color w:val="000000" w:themeColor="text1"/>
          <w:sz w:val="16"/>
          <w:szCs w:val="16"/>
        </w:rPr>
        <w:t>После соответствующего увеличения зазора в стыке этих колец, указанная выработка больше не наблюдалась.</w:t>
      </w:r>
    </w:p>
    <w:p w14:paraId="736BC0FD" w14:textId="77777777" w:rsidR="002A5DBF" w:rsidRPr="00F90EAE" w:rsidRDefault="002A5DBF" w:rsidP="00F90EAE">
      <w:pPr>
        <w:jc w:val="both"/>
        <w:rPr>
          <w:color w:val="000000" w:themeColor="text1"/>
          <w:sz w:val="16"/>
          <w:szCs w:val="16"/>
        </w:rPr>
      </w:pPr>
      <w:r w:rsidRPr="00F90EAE">
        <w:rPr>
          <w:color w:val="000000" w:themeColor="text1"/>
          <w:sz w:val="16"/>
          <w:szCs w:val="16"/>
        </w:rPr>
        <w:t>Во время прохождения моторами контрольного испытания, из их числа сняли по дым</w:t>
      </w:r>
      <w:r w:rsidRPr="00F90EAE">
        <w:rPr>
          <w:color w:val="000000" w:themeColor="text1"/>
          <w:sz w:val="16"/>
          <w:szCs w:val="16"/>
        </w:rPr>
        <w:softHyphen/>
        <w:t>лению цилиндров только 3 мотора (5%). При вскры</w:t>
      </w:r>
      <w:r w:rsidRPr="00F90EAE">
        <w:rPr>
          <w:color w:val="000000" w:themeColor="text1"/>
          <w:sz w:val="16"/>
          <w:szCs w:val="16"/>
        </w:rPr>
        <w:softHyphen/>
        <w:t>тии и осмотре восьми дымивших цилиндров обнаружено, что 7 цилиндров находились в удовлетвори</w:t>
      </w:r>
      <w:r w:rsidRPr="00F90EAE">
        <w:rPr>
          <w:color w:val="000000" w:themeColor="text1"/>
          <w:sz w:val="16"/>
          <w:szCs w:val="16"/>
        </w:rPr>
        <w:softHyphen/>
        <w:t>тельном состоянии и один цилиндр имел прямую уступчатую выработку, расположенную по середине гильзы цилиндра.</w:t>
      </w:r>
    </w:p>
    <w:p w14:paraId="07D798E2" w14:textId="77777777" w:rsidR="002A5DBF" w:rsidRPr="00F90EAE" w:rsidRDefault="002A5DBF" w:rsidP="00F90EAE">
      <w:pPr>
        <w:tabs>
          <w:tab w:val="left" w:pos="399"/>
        </w:tabs>
        <w:jc w:val="both"/>
        <w:rPr>
          <w:color w:val="000000" w:themeColor="text1"/>
          <w:sz w:val="16"/>
          <w:szCs w:val="16"/>
        </w:rPr>
      </w:pPr>
      <w:r w:rsidRPr="00F90EAE">
        <w:rPr>
          <w:color w:val="000000" w:themeColor="text1"/>
          <w:sz w:val="16"/>
          <w:szCs w:val="16"/>
        </w:rPr>
        <w:t>г) Длительное 50-ти часовое испытание мотора АШ-82ФН № 82142192, взятого из числа малой серии.</w:t>
      </w:r>
    </w:p>
    <w:p w14:paraId="7510CA06" w14:textId="77777777" w:rsidR="002A5DBF" w:rsidRPr="00F90EAE" w:rsidRDefault="002A5DBF" w:rsidP="00F90EAE">
      <w:pPr>
        <w:jc w:val="both"/>
        <w:rPr>
          <w:color w:val="000000" w:themeColor="text1"/>
          <w:sz w:val="16"/>
          <w:szCs w:val="16"/>
        </w:rPr>
      </w:pPr>
      <w:r w:rsidRPr="00F90EAE">
        <w:rPr>
          <w:color w:val="000000" w:themeColor="text1"/>
          <w:sz w:val="16"/>
          <w:szCs w:val="16"/>
        </w:rPr>
        <w:t>Поршневые кольца в первой канавке с цилиндрической образующей.</w:t>
      </w:r>
    </w:p>
    <w:p w14:paraId="202343AA"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удовлетворительный. Все цилиндры после испытания находи</w:t>
      </w:r>
      <w:r w:rsidRPr="00F90EAE">
        <w:rPr>
          <w:color w:val="000000" w:themeColor="text1"/>
          <w:sz w:val="16"/>
          <w:szCs w:val="16"/>
        </w:rPr>
        <w:softHyphen/>
        <w:t>лись в хорошем состоянии, пригодном для дальнейшей работы. Максимальный износ в верхнем поясе у 5-ти цилиндров составлял от 0,12 до 0,17 мм.</w:t>
      </w:r>
    </w:p>
    <w:p w14:paraId="03E7916D" w14:textId="77777777" w:rsidR="002A5DBF" w:rsidRPr="00F90EAE" w:rsidRDefault="002A5DBF" w:rsidP="00F90EAE">
      <w:pPr>
        <w:jc w:val="both"/>
        <w:rPr>
          <w:color w:val="000000" w:themeColor="text1"/>
          <w:sz w:val="16"/>
          <w:szCs w:val="16"/>
        </w:rPr>
      </w:pPr>
      <w:r w:rsidRPr="00F90EAE">
        <w:rPr>
          <w:color w:val="000000" w:themeColor="text1"/>
          <w:sz w:val="16"/>
          <w:szCs w:val="16"/>
        </w:rPr>
        <w:t>Состояние поршневых колец хорошее.</w:t>
      </w:r>
    </w:p>
    <w:p w14:paraId="65C2ACB5" w14:textId="77777777" w:rsidR="002A5DBF" w:rsidRPr="00F90EAE" w:rsidRDefault="002A5DBF" w:rsidP="00F90EAE">
      <w:pPr>
        <w:tabs>
          <w:tab w:val="left" w:pos="495"/>
        </w:tabs>
        <w:jc w:val="both"/>
        <w:rPr>
          <w:color w:val="000000" w:themeColor="text1"/>
          <w:sz w:val="16"/>
          <w:szCs w:val="16"/>
        </w:rPr>
      </w:pPr>
      <w:r w:rsidRPr="00F90EAE">
        <w:rPr>
          <w:color w:val="000000" w:themeColor="text1"/>
          <w:sz w:val="16"/>
          <w:szCs w:val="16"/>
        </w:rPr>
        <w:t>д) Длительное 150-ти часовое Государственное испытание мотора АШ-82ФН № 82143252, также взятого из числа малой серии. Поршневые кольца в первой канав</w:t>
      </w:r>
      <w:r w:rsidRPr="00F90EAE">
        <w:rPr>
          <w:color w:val="000000" w:themeColor="text1"/>
          <w:sz w:val="16"/>
          <w:szCs w:val="16"/>
        </w:rPr>
        <w:softHyphen/>
        <w:t>ке поршней с цилиндрической образующей.</w:t>
      </w:r>
    </w:p>
    <w:p w14:paraId="786878BD" w14:textId="77777777" w:rsidR="002A5DBF" w:rsidRPr="00F90EAE" w:rsidRDefault="002A5DBF" w:rsidP="00F90EAE">
      <w:pPr>
        <w:jc w:val="both"/>
        <w:rPr>
          <w:color w:val="000000" w:themeColor="text1"/>
          <w:sz w:val="16"/>
          <w:szCs w:val="16"/>
        </w:rPr>
      </w:pPr>
      <w:r w:rsidRPr="00F90EAE">
        <w:rPr>
          <w:color w:val="000000" w:themeColor="text1"/>
          <w:sz w:val="16"/>
          <w:szCs w:val="16"/>
        </w:rPr>
        <w:t>Результат испытания удовлетворительный. Все цилиндры после испытания находи</w:t>
      </w:r>
      <w:r w:rsidRPr="00F90EAE">
        <w:rPr>
          <w:color w:val="000000" w:themeColor="text1"/>
          <w:sz w:val="16"/>
          <w:szCs w:val="16"/>
        </w:rPr>
        <w:softHyphen/>
        <w:t>лись в хорошем состоянии, пригодном для дальнейшей работы.</w:t>
      </w:r>
    </w:p>
    <w:p w14:paraId="5AECD475" w14:textId="77777777" w:rsidR="002A5DBF" w:rsidRPr="00F90EAE" w:rsidRDefault="002A5DBF" w:rsidP="00F90EAE">
      <w:pPr>
        <w:jc w:val="both"/>
        <w:rPr>
          <w:color w:val="000000" w:themeColor="text1"/>
          <w:sz w:val="16"/>
          <w:szCs w:val="16"/>
        </w:rPr>
      </w:pPr>
      <w:r w:rsidRPr="00F90EAE">
        <w:rPr>
          <w:color w:val="000000" w:themeColor="text1"/>
          <w:sz w:val="16"/>
          <w:szCs w:val="16"/>
        </w:rPr>
        <w:t>Максимальный износ на 4-х цилиндрах достигал от 0,14 до 0,18 мм.</w:t>
      </w:r>
    </w:p>
    <w:p w14:paraId="4A9F78A0" w14:textId="77777777" w:rsidR="002A5DBF" w:rsidRPr="00F90EAE" w:rsidRDefault="002A5DBF" w:rsidP="00F90EAE">
      <w:pPr>
        <w:jc w:val="both"/>
        <w:rPr>
          <w:color w:val="000000" w:themeColor="text1"/>
          <w:sz w:val="16"/>
          <w:szCs w:val="16"/>
        </w:rPr>
      </w:pPr>
      <w:r w:rsidRPr="00F90EAE">
        <w:rPr>
          <w:color w:val="000000" w:themeColor="text1"/>
          <w:sz w:val="16"/>
          <w:szCs w:val="16"/>
        </w:rPr>
        <w:t>Состояние поршневых колец хорошее.</w:t>
      </w:r>
    </w:p>
    <w:p w14:paraId="62E37015" w14:textId="77777777" w:rsidR="002A5DBF" w:rsidRPr="00F90EAE" w:rsidRDefault="002A5DBF" w:rsidP="00F90EAE">
      <w:pPr>
        <w:jc w:val="both"/>
        <w:rPr>
          <w:color w:val="000000" w:themeColor="text1"/>
          <w:sz w:val="16"/>
          <w:szCs w:val="16"/>
        </w:rPr>
      </w:pPr>
      <w:r w:rsidRPr="00F90EAE">
        <w:rPr>
          <w:color w:val="000000" w:themeColor="text1"/>
          <w:sz w:val="16"/>
          <w:szCs w:val="16"/>
        </w:rPr>
        <w:t>На основании положительных результатов перечисленных выше испытаний, цилиндры с гильзами, окончательно обработанными до соединения с головкой, и постановка в пер</w:t>
      </w:r>
      <w:r w:rsidRPr="00F90EAE">
        <w:rPr>
          <w:color w:val="000000" w:themeColor="text1"/>
          <w:sz w:val="16"/>
          <w:szCs w:val="16"/>
        </w:rPr>
        <w:softHyphen/>
        <w:t>вую канавку поршней газоуплотнительного кольца с цилиндрической образующей, с 1-го августа 1945 г. введена в серию для постановки на моторы АШ-82ФН» (15829).</w:t>
      </w:r>
    </w:p>
    <w:p w14:paraId="4A4FCD4A" w14:textId="77777777" w:rsidR="002A5DBF" w:rsidRPr="00F90EAE" w:rsidRDefault="002A5DBF" w:rsidP="00F90EAE">
      <w:pPr>
        <w:jc w:val="both"/>
        <w:rPr>
          <w:color w:val="000000" w:themeColor="text1"/>
          <w:sz w:val="16"/>
          <w:szCs w:val="16"/>
        </w:rPr>
      </w:pPr>
    </w:p>
    <w:p w14:paraId="72836CCB"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Армия:</w:t>
      </w:r>
    </w:p>
    <w:p w14:paraId="36F18A94" w14:textId="77777777" w:rsidR="006103B3" w:rsidRPr="00F90EAE" w:rsidRDefault="006103B3" w:rsidP="00F90EAE">
      <w:pPr>
        <w:autoSpaceDE w:val="0"/>
        <w:autoSpaceDN w:val="0"/>
        <w:adjustRightInd w:val="0"/>
        <w:jc w:val="both"/>
        <w:rPr>
          <w:iCs/>
          <w:color w:val="000000" w:themeColor="text1"/>
          <w:sz w:val="16"/>
          <w:szCs w:val="16"/>
        </w:rPr>
      </w:pPr>
    </w:p>
    <w:p w14:paraId="6B5E19B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До лета 1945 г. л ТОФ летали на Ил-4 и старых ДБ-3Т; последних бы</w:t>
      </w:r>
      <w:r w:rsidRPr="00F90EAE">
        <w:rPr>
          <w:color w:val="000000" w:themeColor="text1"/>
          <w:sz w:val="16"/>
          <w:szCs w:val="16"/>
        </w:rPr>
        <w:softHyphen/>
        <w:t>ло до трех четвертей парка. В июле на</w:t>
      </w:r>
      <w:r w:rsidRPr="00F90EAE">
        <w:rPr>
          <w:color w:val="000000" w:themeColor="text1"/>
          <w:sz w:val="16"/>
          <w:szCs w:val="16"/>
        </w:rPr>
        <w:softHyphen/>
        <w:t>чали поступать американские А-20С и А-20Н, но их к началу кампании осво</w:t>
      </w:r>
      <w:r w:rsidRPr="00F90EAE">
        <w:rPr>
          <w:color w:val="000000" w:themeColor="text1"/>
          <w:sz w:val="16"/>
          <w:szCs w:val="16"/>
        </w:rPr>
        <w:softHyphen/>
        <w:t>ить не успели (10734,86).</w:t>
      </w:r>
    </w:p>
    <w:p w14:paraId="140D8C67"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66CFF5E6"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года машины Пе-8 45 ад адд базировались в Орше (7685).</w:t>
      </w:r>
    </w:p>
    <w:p w14:paraId="53197862" w14:textId="77777777" w:rsidR="006103B3" w:rsidRPr="00F90EAE" w:rsidRDefault="006103B3" w:rsidP="00F90EAE">
      <w:pPr>
        <w:autoSpaceDE w:val="0"/>
        <w:autoSpaceDN w:val="0"/>
        <w:adjustRightInd w:val="0"/>
        <w:jc w:val="both"/>
        <w:rPr>
          <w:color w:val="000000" w:themeColor="text1"/>
          <w:sz w:val="16"/>
          <w:szCs w:val="16"/>
        </w:rPr>
      </w:pPr>
    </w:p>
    <w:p w14:paraId="132C1CC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тяжёлые бомбардировщики базировались в Орше. По случаю парада в честь победы над Германией на аэродром Быково перегнали 12 Пе-8 из 203-го гв. полка (бывшего 746-го, а затем 25-го гв.). Воздушную часть парада из-за плохой погоды отменили, самолёты до сентября оставались в Быково, ожидая возвращения в Оршу. 12 сентября лидирующий Пе-8 лётчика Ищенко должен был повести всю группу домой. У самолёта долго не запускался один из двигателей М-82, но затем начал работать нормально, и машина пошла на взлёт. Ищенко поднял Пе-8 на высоту 400 м и выполнил круг над аэродромом, а после четвёртого разворота, проходя над лётным полем, "прижал" машину к полосе и сделал прощальную "горку". "Горка" и впрямь оказалась прощальной. При наборе высоты сложилась правая плоскость, и машина рухнула на землю, похоронив под обломками 14 человек. Этот самолёт проходил доработку лонжеронов, что не спасло его от гибели. После случившейся трагедии все Пе-8 45-й дивизии подвергли обследованию, и оказалось, что большинству из них грозит судьба погибшей машины (11996).</w:t>
      </w:r>
    </w:p>
    <w:p w14:paraId="1E5985BE" w14:textId="77777777" w:rsidR="006103B3" w:rsidRPr="00F90EAE" w:rsidRDefault="006103B3" w:rsidP="00F90EAE">
      <w:pPr>
        <w:autoSpaceDE w:val="0"/>
        <w:autoSpaceDN w:val="0"/>
        <w:adjustRightInd w:val="0"/>
        <w:jc w:val="both"/>
        <w:rPr>
          <w:color w:val="000000" w:themeColor="text1"/>
          <w:sz w:val="16"/>
          <w:szCs w:val="16"/>
        </w:rPr>
      </w:pPr>
    </w:p>
    <w:p w14:paraId="6B6C965F"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в ВВС началось внедрение новых истребителей Р-63. Приоритет отдали дальне восточным воздушным армиям, готовившимся к боевым действиям против Японии. Привычное направление движения по маршруту АЛСИБа изменилось. Из Маркова самолеты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 Первой, по-видимому, Р-63А оснастили 190-ю дивизию генерал-майора В.В. Фокина, которая перебазировалась в Забайкалье в июне 1945 года. С 24 июня она начала получать "Кингкобры" и ко 2 августа закончила переучивание. Во время боевых операций в Маньчжурии она летала с двух аэродромов - "Урал" и "Ленинград" под г. Чойбалсаном в Монголии. После войны эта дивизия некоторое время стояла под Улан-Удэ. Там же, в 12-й воздушной армии на Забайкальском фронте воевала 245-я дивизия, в составе которой имелись два полка (940-й и 781-й), летавших на Р-63 (3457,78).</w:t>
      </w:r>
    </w:p>
    <w:p w14:paraId="3FD1BE3C" w14:textId="77777777" w:rsidR="006103B3" w:rsidRPr="00F90EAE" w:rsidRDefault="006103B3" w:rsidP="00F90EAE">
      <w:pPr>
        <w:autoSpaceDE w:val="0"/>
        <w:autoSpaceDN w:val="0"/>
        <w:adjustRightInd w:val="0"/>
        <w:jc w:val="both"/>
        <w:rPr>
          <w:color w:val="000000" w:themeColor="text1"/>
          <w:sz w:val="16"/>
          <w:szCs w:val="16"/>
        </w:rPr>
      </w:pPr>
    </w:p>
    <w:p w14:paraId="6C7BEA3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 лета 1945 года началась перегонка из США амфибий PBY-6A. Эту модификацию строил завод в Новом Орлеане. По оборудованию эта последняя модификация "Каталины" превосходила все предыдущие. 15 самолетов перегнали с о. Кодьяк, а остальные 33 получили в Элизабет-сити. Поначалу непривычно было садиться на лодке на сухопутные аэродромы, да еще при трехколесном шасси, но с этим быстро освоились. В отношении же поведения в воздухе PBY-6A мало отличалась от "чистых" лодок, разве что за счет большего веса чуть инертнее реагировала на рули. В боевых операциях на западе амфибии не успели принять участия, но немного повоевали на востоке (3457,130).</w:t>
      </w:r>
    </w:p>
    <w:p w14:paraId="68D57228" w14:textId="77777777" w:rsidR="006103B3" w:rsidRPr="00F90EAE" w:rsidRDefault="006103B3" w:rsidP="00F90EAE">
      <w:pPr>
        <w:autoSpaceDE w:val="0"/>
        <w:autoSpaceDN w:val="0"/>
        <w:adjustRightInd w:val="0"/>
        <w:jc w:val="both"/>
        <w:rPr>
          <w:color w:val="000000" w:themeColor="text1"/>
          <w:sz w:val="16"/>
          <w:szCs w:val="16"/>
        </w:rPr>
      </w:pPr>
    </w:p>
    <w:p w14:paraId="5F8966A2" w14:textId="77777777" w:rsidR="00500674" w:rsidRPr="00F90EAE" w:rsidRDefault="00500674" w:rsidP="00F90EAE">
      <w:pPr>
        <w:jc w:val="both"/>
        <w:rPr>
          <w:color w:val="000000" w:themeColor="text1"/>
          <w:sz w:val="16"/>
          <w:szCs w:val="16"/>
        </w:rPr>
      </w:pPr>
      <w:r w:rsidRPr="00F90EAE">
        <w:rPr>
          <w:color w:val="000000" w:themeColor="text1"/>
          <w:sz w:val="16"/>
          <w:szCs w:val="16"/>
        </w:rPr>
        <w:t>Летом 1945 г. приоритет отдали дальневосточным воздушным армиям, готовившимся к боевым действиям в Маньчжурии. Привычное направление движения по маршруту АЛСИБа изменилось. Из Маркова самолёты пошли на Петропавловск-Камчатский, а из Красноярска трасса перегонки продлилась до Уккурея в Забайкалье (через Читу) - для перевооружения 12-й воздушной армии. Часть машин летела сюда прямо из Якутска.</w:t>
      </w:r>
    </w:p>
    <w:p w14:paraId="35334997" w14:textId="77777777" w:rsidR="00500674" w:rsidRPr="00F90EAE" w:rsidRDefault="00500674" w:rsidP="00F90EAE">
      <w:pPr>
        <w:jc w:val="both"/>
        <w:rPr>
          <w:color w:val="000000" w:themeColor="text1"/>
          <w:sz w:val="16"/>
          <w:szCs w:val="16"/>
        </w:rPr>
      </w:pPr>
      <w:r w:rsidRPr="00F90EAE">
        <w:rPr>
          <w:color w:val="000000" w:themeColor="text1"/>
          <w:sz w:val="16"/>
          <w:szCs w:val="16"/>
        </w:rPr>
        <w:t>Первой «кингкобрами», по-видимому, там оснастили 190-ю иад генерал-майора В.В. Фокина, которая перебазировалась в Забайкалье в июне 1945 г. С 24 июня она начала получать Р-63А и к 2 августа закончила переучивание. Во время боевых операций в Маньчжурии лётчики дивизии летали с двух аэродромов - «Урал» и «Ленинград» под г. Чойбалсаном в Монголии. После войны эта дивизия некоторое время стояла под Улан-Удэ.</w:t>
      </w:r>
    </w:p>
    <w:p w14:paraId="0B9AFF8C" w14:textId="77777777" w:rsidR="00500674" w:rsidRPr="00F90EAE" w:rsidRDefault="00500674" w:rsidP="00F90EAE">
      <w:pPr>
        <w:jc w:val="both"/>
        <w:rPr>
          <w:color w:val="000000" w:themeColor="text1"/>
          <w:sz w:val="16"/>
          <w:szCs w:val="16"/>
        </w:rPr>
      </w:pPr>
      <w:r w:rsidRPr="00F90EAE">
        <w:rPr>
          <w:color w:val="000000" w:themeColor="text1"/>
          <w:sz w:val="16"/>
          <w:szCs w:val="16"/>
        </w:rPr>
        <w:t>Там же, на Забайкальском фронте в 12-й воздушной армии воевала 245-я иад, в составе которой имелись два полка (940-й и 781-й), летавших на Р-63. В июле- августе первые «кингкобры» поступили в 128-ю сад, базировавшуюся на Камчатке. Прибыли Р-63 и в 9-ю и 10-ю воздушные армии. Для них перегонщики проложили маршрут до Хабаровска. Здесь к началу боевых действий скопилось 97 Р-63, которые не успели распределить по полкам.</w:t>
      </w:r>
    </w:p>
    <w:p w14:paraId="544A6198" w14:textId="77777777" w:rsidR="00500674" w:rsidRPr="00F90EAE" w:rsidRDefault="00500674" w:rsidP="00F90EAE">
      <w:pPr>
        <w:jc w:val="both"/>
        <w:rPr>
          <w:color w:val="000000" w:themeColor="text1"/>
          <w:sz w:val="16"/>
          <w:szCs w:val="16"/>
        </w:rPr>
      </w:pPr>
      <w:r w:rsidRPr="00F90EAE">
        <w:rPr>
          <w:color w:val="000000" w:themeColor="text1"/>
          <w:sz w:val="16"/>
          <w:szCs w:val="16"/>
        </w:rPr>
        <w:lastRenderedPageBreak/>
        <w:t>Во время недолгой кампании на Дальнем Востоке «кингкобры» использовались для сопровождения бомбардировщиков и разведчиков, прикрытия с воздуха войск и кораблей, штурмовки и бомбардировки японских позиций. На второй день наступления 40 Ил-4 под прикрытием 50 Р-63 бомбили укрепрайон Сучжоу, откуда японцы обстреливали советский город Иман. Части 190-й и 245-й дивизий поддерживали наступающие советские и монгольские войска, действуя в основном как истребители-бомбардировщики и штурмовики, а также прикрывая транспортные самолёты, доставлявшие горючее передовым танковым и механизированным подразделениям. Бомбы брали советские, ФАБ-100, для чего несколько переделывали американские бомбодержатели. Подкрыльные крупнокалиберные пулемёты обычно не ставили (12265).</w:t>
      </w:r>
    </w:p>
    <w:p w14:paraId="448EE5DA" w14:textId="77777777" w:rsidR="00500674" w:rsidRPr="00F90EAE" w:rsidRDefault="00500674" w:rsidP="00F90EAE">
      <w:pPr>
        <w:jc w:val="both"/>
        <w:rPr>
          <w:color w:val="000000" w:themeColor="text1"/>
          <w:sz w:val="16"/>
          <w:szCs w:val="16"/>
        </w:rPr>
      </w:pPr>
    </w:p>
    <w:p w14:paraId="3914A9AC"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За рубежом:</w:t>
      </w:r>
    </w:p>
    <w:p w14:paraId="68BDFE47" w14:textId="77777777" w:rsidR="006103B3" w:rsidRPr="00F90EAE" w:rsidRDefault="006103B3" w:rsidP="00F90EAE">
      <w:pPr>
        <w:autoSpaceDE w:val="0"/>
        <w:autoSpaceDN w:val="0"/>
        <w:adjustRightInd w:val="0"/>
        <w:jc w:val="both"/>
        <w:rPr>
          <w:iCs/>
          <w:color w:val="000000" w:themeColor="text1"/>
          <w:sz w:val="16"/>
          <w:szCs w:val="16"/>
        </w:rPr>
      </w:pPr>
    </w:p>
    <w:p w14:paraId="5BD0DEFB"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Летом 1945 г. один простейшего самолета для самоубийственных атак, без всякого учета аэродинамики, был построен на фирме «Кокусай» и получил название ТаГо. Его деревянно-металлическая конструкция с маломощным двигателем была упрощена до предела. 25 июля ТаГо был облетан, при этом выявилось много проблем, которые необходимо было решить для того, чтобы самолет смог выполнять простейшие полеты. Однако вскоре цех, где находился единственный прототип самолета ТаГо, был разрушен. Проект был предложен группой молодых японских офицеров во главе с капитаном Мидзуяма Ясиюки в качестве одного из средств отражения американского вторжения на Японские острова предложила проект. Предполагалось, что этот самолет можно будет построить в любой кустарной мастерской из доступных материалов. В самолете были складные крылья, и он мог быть укрыт в кустах, пещерах, в туннелях, в любых помещениях. При необходимости самолет быстро готовился к взлету, а затем пикировал на цель со 100-килограммовой бомбой, подвешенной к фюзеляжу (11686).</w:t>
      </w:r>
    </w:p>
    <w:p w14:paraId="77072051" w14:textId="77777777" w:rsidR="006103B3" w:rsidRPr="00F90EAE" w:rsidRDefault="006103B3" w:rsidP="00F90EAE">
      <w:pPr>
        <w:autoSpaceDE w:val="0"/>
        <w:autoSpaceDN w:val="0"/>
        <w:adjustRightInd w:val="0"/>
        <w:jc w:val="both"/>
        <w:rPr>
          <w:color w:val="000000" w:themeColor="text1"/>
          <w:sz w:val="16"/>
          <w:szCs w:val="16"/>
        </w:rPr>
      </w:pPr>
    </w:p>
    <w:p w14:paraId="02EFD2C6" w14:textId="77777777" w:rsidR="00C46885" w:rsidRPr="00F90EAE" w:rsidRDefault="00C46885" w:rsidP="00F90EAE">
      <w:pPr>
        <w:jc w:val="both"/>
        <w:rPr>
          <w:color w:val="0070C0"/>
          <w:sz w:val="16"/>
          <w:szCs w:val="16"/>
        </w:rPr>
      </w:pPr>
      <w:r w:rsidRPr="00F90EAE">
        <w:rPr>
          <w:color w:val="0070C0"/>
          <w:sz w:val="16"/>
          <w:szCs w:val="16"/>
        </w:rPr>
        <w:t>Летом 1945 года японцы в последний раз попытались использовать самолеты Н6К и Н8К для бомбардировки американских войск и кораблей, но это уже ничего не могло изменить. Сбитый американским тяжелым перехватчиком Р-61 одинокий Н8К стал последней жертвой в гигантской воздушной войне, захватившей большую половину мира на долгих шесть лет (22817).</w:t>
      </w:r>
    </w:p>
    <w:p w14:paraId="4575A942" w14:textId="77777777" w:rsidR="00C46885" w:rsidRPr="00F90EAE" w:rsidRDefault="00C46885" w:rsidP="00F90EAE">
      <w:pPr>
        <w:jc w:val="both"/>
        <w:rPr>
          <w:color w:val="0070C0"/>
          <w:sz w:val="16"/>
          <w:szCs w:val="16"/>
        </w:rPr>
      </w:pPr>
    </w:p>
    <w:p w14:paraId="676FBB29"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446BF7ED" w14:textId="77777777" w:rsidR="006103B3" w:rsidRPr="00F90EAE" w:rsidRDefault="006103B3" w:rsidP="00F90EAE">
      <w:pPr>
        <w:autoSpaceDE w:val="0"/>
        <w:autoSpaceDN w:val="0"/>
        <w:adjustRightInd w:val="0"/>
        <w:jc w:val="both"/>
        <w:rPr>
          <w:iCs/>
          <w:color w:val="000000" w:themeColor="text1"/>
          <w:sz w:val="16"/>
          <w:szCs w:val="16"/>
        </w:rPr>
      </w:pPr>
    </w:p>
    <w:p w14:paraId="7D13056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течение лета - осени 1945 г. опытный образец СУ-102 прошел заводские испытания и соответствующие доработки. На вооружении и в серийном производстве машина не состояла. Опыт работы над самоходной установкой СУ-102 был использован для созда</w:t>
      </w:r>
      <w:r w:rsidRPr="00F90EAE">
        <w:rPr>
          <w:color w:val="000000" w:themeColor="text1"/>
          <w:sz w:val="16"/>
          <w:szCs w:val="16"/>
        </w:rPr>
        <w:softHyphen/>
        <w:t>ния боевых машин артиллерии в послевоенный период. Самоходная установка СУ-102 относилась к типу полностью брони</w:t>
      </w:r>
      <w:r w:rsidRPr="00F90EAE">
        <w:rPr>
          <w:color w:val="000000" w:themeColor="text1"/>
          <w:sz w:val="16"/>
          <w:szCs w:val="16"/>
        </w:rPr>
        <w:softHyphen/>
        <w:t>рованных самоходных установок и по компоновке и общему устройст</w:t>
      </w:r>
      <w:r w:rsidRPr="00F90EAE">
        <w:rPr>
          <w:color w:val="000000" w:themeColor="text1"/>
          <w:sz w:val="16"/>
          <w:szCs w:val="16"/>
        </w:rPr>
        <w:softHyphen/>
        <w:t>ву, кроме вооружения, не отличалась от установки СУ-101. Экипаж ма</w:t>
      </w:r>
      <w:r w:rsidRPr="00F90EAE">
        <w:rPr>
          <w:color w:val="000000" w:themeColor="text1"/>
          <w:sz w:val="16"/>
          <w:szCs w:val="16"/>
        </w:rPr>
        <w:softHyphen/>
        <w:t>шины состоял из четырех человек (10703).</w:t>
      </w:r>
    </w:p>
    <w:p w14:paraId="5DC2429D"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00825BED"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240D533D" w14:textId="77777777" w:rsidR="006103B3" w:rsidRPr="00F90EAE" w:rsidRDefault="006103B3" w:rsidP="00F90EAE">
      <w:pPr>
        <w:autoSpaceDE w:val="0"/>
        <w:autoSpaceDN w:val="0"/>
        <w:adjustRightInd w:val="0"/>
        <w:jc w:val="both"/>
        <w:rPr>
          <w:iCs/>
          <w:color w:val="000000" w:themeColor="text1"/>
          <w:sz w:val="16"/>
          <w:szCs w:val="16"/>
        </w:rPr>
      </w:pPr>
    </w:p>
    <w:p w14:paraId="2E3F1138"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середине 1945 года в ОКБ главного конструктора А.И.Микояна спроектировали истребитель И-260. Си</w:t>
      </w:r>
      <w:r w:rsidRPr="00F90EAE">
        <w:rPr>
          <w:color w:val="000000" w:themeColor="text1"/>
          <w:sz w:val="16"/>
          <w:szCs w:val="16"/>
        </w:rPr>
        <w:softHyphen/>
        <w:t>ловая установка его состояла из двух ТРД ВММ-ООЗ, размещенных под крылом. В дальнейшем работы по этому проекту были свернуты в пользу ис</w:t>
      </w:r>
      <w:r w:rsidRPr="00F90EAE">
        <w:rPr>
          <w:color w:val="000000" w:themeColor="text1"/>
          <w:sz w:val="16"/>
          <w:szCs w:val="16"/>
        </w:rPr>
        <w:softHyphen/>
        <w:t>требителя И-300 (МиГ-9) (10705).</w:t>
      </w:r>
    </w:p>
    <w:p w14:paraId="44847051"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27D5A2E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1945 А.Н.Т. во всю проектировал Ту-64 с 4хАМ-46ТК (88,188).</w:t>
      </w:r>
    </w:p>
    <w:p w14:paraId="49D6BD53" w14:textId="77777777" w:rsidR="006103B3" w:rsidRPr="00F90EAE" w:rsidRDefault="006103B3" w:rsidP="00F90EAE">
      <w:pPr>
        <w:autoSpaceDE w:val="0"/>
        <w:autoSpaceDN w:val="0"/>
        <w:adjustRightInd w:val="0"/>
        <w:jc w:val="both"/>
        <w:rPr>
          <w:color w:val="000000" w:themeColor="text1"/>
          <w:sz w:val="16"/>
          <w:szCs w:val="16"/>
        </w:rPr>
      </w:pPr>
    </w:p>
    <w:p w14:paraId="4E29F158"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1945 прекратили выпуск десантного планера Г-11У, однако, через год вновь восстановили и производили до 1948 (9080).</w:t>
      </w:r>
    </w:p>
    <w:p w14:paraId="3A1C8ECB" w14:textId="77777777" w:rsidR="006103B3" w:rsidRPr="00F90EAE" w:rsidRDefault="006103B3" w:rsidP="00F90EAE">
      <w:pPr>
        <w:autoSpaceDE w:val="0"/>
        <w:autoSpaceDN w:val="0"/>
        <w:adjustRightInd w:val="0"/>
        <w:jc w:val="both"/>
        <w:rPr>
          <w:color w:val="000000" w:themeColor="text1"/>
          <w:sz w:val="16"/>
          <w:szCs w:val="16"/>
        </w:rPr>
      </w:pPr>
    </w:p>
    <w:p w14:paraId="749EC2B5" w14:textId="77777777" w:rsidR="00500674" w:rsidRPr="00F90EAE" w:rsidRDefault="00500674" w:rsidP="00F90EAE">
      <w:pPr>
        <w:jc w:val="both"/>
        <w:rPr>
          <w:color w:val="000000" w:themeColor="text1"/>
          <w:sz w:val="16"/>
          <w:szCs w:val="16"/>
        </w:rPr>
      </w:pPr>
      <w:r w:rsidRPr="00F90EAE">
        <w:rPr>
          <w:color w:val="000000" w:themeColor="text1"/>
          <w:sz w:val="16"/>
          <w:szCs w:val="16"/>
        </w:rPr>
        <w:t>В середине 1945 г. производство Г-11У пре</w:t>
      </w:r>
      <w:r w:rsidRPr="00F90EAE">
        <w:rPr>
          <w:color w:val="000000" w:themeColor="text1"/>
          <w:sz w:val="16"/>
          <w:szCs w:val="16"/>
        </w:rPr>
        <w:softHyphen/>
        <w:t>кратили, однако спустя год вновь воз</w:t>
      </w:r>
      <w:r w:rsidRPr="00F90EAE">
        <w:rPr>
          <w:color w:val="000000" w:themeColor="text1"/>
          <w:sz w:val="16"/>
          <w:szCs w:val="16"/>
        </w:rPr>
        <w:softHyphen/>
        <w:t>обновили и продолжили вплоть до 1948 г. Сколько пла</w:t>
      </w:r>
      <w:r w:rsidRPr="00F90EAE">
        <w:rPr>
          <w:color w:val="000000" w:themeColor="text1"/>
          <w:sz w:val="16"/>
          <w:szCs w:val="16"/>
        </w:rPr>
        <w:softHyphen/>
        <w:t>неров было построено в этот период — неизвестно, но Кра</w:t>
      </w:r>
      <w:r w:rsidRPr="00F90EAE">
        <w:rPr>
          <w:color w:val="000000" w:themeColor="text1"/>
          <w:sz w:val="16"/>
          <w:szCs w:val="16"/>
        </w:rPr>
        <w:softHyphen/>
        <w:t>сильщиков А.П. — крупней</w:t>
      </w:r>
      <w:r w:rsidRPr="00F90EAE">
        <w:rPr>
          <w:color w:val="000000" w:themeColor="text1"/>
          <w:sz w:val="16"/>
          <w:szCs w:val="16"/>
        </w:rPr>
        <w:softHyphen/>
        <w:t>ший знаток планерного дела в СССР — считает, что общее количество выпущенных пла</w:t>
      </w:r>
      <w:r w:rsidRPr="00F90EAE">
        <w:rPr>
          <w:color w:val="000000" w:themeColor="text1"/>
          <w:sz w:val="16"/>
          <w:szCs w:val="16"/>
        </w:rPr>
        <w:softHyphen/>
        <w:t>неров Г-11 составляет около 500 штук.</w:t>
      </w:r>
    </w:p>
    <w:p w14:paraId="09A0861B" w14:textId="77777777" w:rsidR="00500674" w:rsidRPr="00F90EAE" w:rsidRDefault="00500674" w:rsidP="00F90EAE">
      <w:pPr>
        <w:jc w:val="both"/>
        <w:rPr>
          <w:color w:val="000000" w:themeColor="text1"/>
          <w:sz w:val="16"/>
          <w:szCs w:val="16"/>
        </w:rPr>
      </w:pPr>
      <w:r w:rsidRPr="00F90EAE">
        <w:rPr>
          <w:color w:val="000000" w:themeColor="text1"/>
          <w:sz w:val="16"/>
          <w:szCs w:val="16"/>
        </w:rPr>
        <w:t>Транспортно-десантный планер Г-11 предназначен для транспортирования 1 пилота и 10 десантников с вооружением или груза весом 1100 кг. Это был сво- боднонесущий высокоплан, с фюзеляжем коробчато</w:t>
      </w:r>
      <w:r w:rsidRPr="00F90EAE">
        <w:rPr>
          <w:color w:val="000000" w:themeColor="text1"/>
          <w:sz w:val="16"/>
          <w:szCs w:val="16"/>
        </w:rPr>
        <w:softHyphen/>
        <w:t>го сечения со скругленными углами. Низ фюзеляжа имел килеватость, в вершине которой размещалась деревянная посадочная лыжа. Планер сделан в ос</w:t>
      </w:r>
      <w:r w:rsidRPr="00F90EAE">
        <w:rPr>
          <w:color w:val="000000" w:themeColor="text1"/>
          <w:sz w:val="16"/>
          <w:szCs w:val="16"/>
        </w:rPr>
        <w:softHyphen/>
        <w:t>новном из дерева. Сталь применялась только в вы- соконагруженных частях, например, в шасси и в кре</w:t>
      </w:r>
      <w:r w:rsidRPr="00F90EAE">
        <w:rPr>
          <w:color w:val="000000" w:themeColor="text1"/>
          <w:sz w:val="16"/>
          <w:szCs w:val="16"/>
        </w:rPr>
        <w:softHyphen/>
        <w:t>пеже. Использовались также центропланом закрыто алюминиевой полосой. Стык центроплана с фюзеляжем закрыт зализами, выколо</w:t>
      </w:r>
      <w:r w:rsidRPr="00F90EAE">
        <w:rPr>
          <w:color w:val="000000" w:themeColor="text1"/>
          <w:sz w:val="16"/>
          <w:szCs w:val="16"/>
        </w:rPr>
        <w:softHyphen/>
        <w:t xml:space="preserve">ченными из алюминия и закрепленными шурупами. Подобные зализы установлены в местах сочленения стабилизатора и фюзеляжа. </w:t>
      </w:r>
    </w:p>
    <w:p w14:paraId="6E456018" w14:textId="77777777" w:rsidR="00500674" w:rsidRPr="00F90EAE" w:rsidRDefault="00500674" w:rsidP="00F90EAE">
      <w:pPr>
        <w:jc w:val="both"/>
        <w:rPr>
          <w:color w:val="000000" w:themeColor="text1"/>
          <w:sz w:val="16"/>
          <w:szCs w:val="16"/>
        </w:rPr>
      </w:pPr>
      <w:r w:rsidRPr="00F90EAE">
        <w:rPr>
          <w:color w:val="000000" w:themeColor="text1"/>
          <w:sz w:val="16"/>
          <w:szCs w:val="16"/>
        </w:rPr>
        <w:t>Крыло состояло из центро</w:t>
      </w:r>
      <w:r w:rsidRPr="00F90EAE">
        <w:rPr>
          <w:color w:val="000000" w:themeColor="text1"/>
          <w:sz w:val="16"/>
          <w:szCs w:val="16"/>
        </w:rPr>
        <w:softHyphen/>
        <w:t>плана и двух ОЧК. Площадь крыла — 30 м2, профиль — Р-И. Центроплан имеет двухлонже- ронную конструкцию с фанер</w:t>
      </w:r>
      <w:r w:rsidRPr="00F90EAE">
        <w:rPr>
          <w:color w:val="000000" w:themeColor="text1"/>
          <w:sz w:val="16"/>
          <w:szCs w:val="16"/>
        </w:rPr>
        <w:softHyphen/>
        <w:t>ной работающей обшивкой. Консоли имеют некоторую стреловидность по передней кромке, для обеспечения за</w:t>
      </w:r>
      <w:r w:rsidRPr="00F90EAE">
        <w:rPr>
          <w:color w:val="000000" w:themeColor="text1"/>
          <w:sz w:val="16"/>
          <w:szCs w:val="16"/>
        </w:rPr>
        <w:softHyphen/>
        <w:t>данной центровки. Задняя кромка расположена на од</w:t>
      </w:r>
      <w:r w:rsidRPr="00F90EAE">
        <w:rPr>
          <w:color w:val="000000" w:themeColor="text1"/>
          <w:sz w:val="16"/>
          <w:szCs w:val="16"/>
        </w:rPr>
        <w:softHyphen/>
        <w:t>ной прямой с задней кром</w:t>
      </w:r>
      <w:r w:rsidRPr="00F90EAE">
        <w:rPr>
          <w:color w:val="000000" w:themeColor="text1"/>
          <w:sz w:val="16"/>
          <w:szCs w:val="16"/>
        </w:rPr>
        <w:softHyphen/>
        <w:t>кой центроплана. ОЧК имеют лонжерон и вспомогательную стенку. Обшивка до лонжеро</w:t>
      </w:r>
      <w:r w:rsidRPr="00F90EAE">
        <w:rPr>
          <w:color w:val="000000" w:themeColor="text1"/>
          <w:sz w:val="16"/>
          <w:szCs w:val="16"/>
        </w:rPr>
        <w:softHyphen/>
        <w:t>на — фанерная, далее — по</w:t>
      </w:r>
      <w:r w:rsidRPr="00F90EAE">
        <w:rPr>
          <w:color w:val="000000" w:themeColor="text1"/>
          <w:sz w:val="16"/>
          <w:szCs w:val="16"/>
        </w:rPr>
        <w:softHyphen/>
        <w:t>лотно. Место стыковки ОЧК.</w:t>
      </w:r>
    </w:p>
    <w:p w14:paraId="768471F3" w14:textId="77777777" w:rsidR="00500674" w:rsidRPr="00F90EAE" w:rsidRDefault="00500674" w:rsidP="00F90EAE">
      <w:pPr>
        <w:jc w:val="both"/>
        <w:rPr>
          <w:color w:val="000000" w:themeColor="text1"/>
          <w:sz w:val="16"/>
          <w:szCs w:val="16"/>
        </w:rPr>
      </w:pPr>
      <w:r w:rsidRPr="00F90EAE">
        <w:rPr>
          <w:color w:val="000000" w:themeColor="text1"/>
          <w:sz w:val="16"/>
          <w:szCs w:val="16"/>
        </w:rPr>
        <w:t>На задней кромке распо</w:t>
      </w:r>
      <w:r w:rsidRPr="00F90EAE">
        <w:rPr>
          <w:color w:val="000000" w:themeColor="text1"/>
          <w:sz w:val="16"/>
          <w:szCs w:val="16"/>
        </w:rPr>
        <w:softHyphen/>
        <w:t>ложены посадочные щитки и элероны. На каждой ОЧК установлен элерон типа Фрайз, разделенный на две секции. Элероны и остальные рули имеют сходную конструкцию, основу которой составляют лонжерон и набор нервюр. Обшивка до лонжерона — фанерная, далее — полотно. Все рулевые поверхности имеют фигурные кронштейны, на которых закреплены противофлаттерные грузы. Снизу, под левой плоскостью центро</w:t>
      </w:r>
      <w:r w:rsidRPr="00F90EAE">
        <w:rPr>
          <w:color w:val="000000" w:themeColor="text1"/>
          <w:sz w:val="16"/>
          <w:szCs w:val="16"/>
        </w:rPr>
        <w:softHyphen/>
        <w:t>плана, размещалась фара, закрытая обтекателем. На законцовках крыла устанавливались аэронавигационные огни.</w:t>
      </w:r>
    </w:p>
    <w:p w14:paraId="52147395" w14:textId="77777777" w:rsidR="00500674" w:rsidRPr="00F90EAE" w:rsidRDefault="00500674" w:rsidP="00F90EAE">
      <w:pPr>
        <w:jc w:val="both"/>
        <w:rPr>
          <w:color w:val="000000" w:themeColor="text1"/>
          <w:sz w:val="16"/>
          <w:szCs w:val="16"/>
        </w:rPr>
      </w:pPr>
      <w:r w:rsidRPr="00F90EAE">
        <w:rPr>
          <w:color w:val="000000" w:themeColor="text1"/>
          <w:sz w:val="16"/>
          <w:szCs w:val="16"/>
        </w:rPr>
        <w:t>Фюзеляж полумонококовой конструкции набран из фанерных шпангоутов, деревянных стрин</w:t>
      </w:r>
      <w:r w:rsidRPr="00F90EAE">
        <w:rPr>
          <w:color w:val="000000" w:themeColor="text1"/>
          <w:sz w:val="16"/>
          <w:szCs w:val="16"/>
        </w:rPr>
        <w:softHyphen/>
        <w:t>геров и работающей фанерной обшивки. Кабина пилота ничем не отделялась от грузовой каби</w:t>
      </w:r>
      <w:r w:rsidRPr="00F90EAE">
        <w:rPr>
          <w:color w:val="000000" w:themeColor="text1"/>
          <w:sz w:val="16"/>
          <w:szCs w:val="16"/>
        </w:rPr>
        <w:softHyphen/>
        <w:t>ны. Там устанавливалось фанер</w:t>
      </w:r>
      <w:r w:rsidRPr="00F90EAE">
        <w:rPr>
          <w:color w:val="000000" w:themeColor="text1"/>
          <w:sz w:val="16"/>
          <w:szCs w:val="16"/>
        </w:rPr>
        <w:softHyphen/>
        <w:t>ное кресло, стандартный набор органов управления и приборная доска с минимумом приборов. Кабина закрывалась граненым фонарем, который откидывался вверх на шарнирах. В полете его можно было сбросить.</w:t>
      </w:r>
    </w:p>
    <w:p w14:paraId="75A30227" w14:textId="77777777" w:rsidR="00500674" w:rsidRPr="00F90EAE" w:rsidRDefault="00500674" w:rsidP="00F90EAE">
      <w:pPr>
        <w:jc w:val="both"/>
        <w:rPr>
          <w:color w:val="000000" w:themeColor="text1"/>
          <w:sz w:val="16"/>
          <w:szCs w:val="16"/>
        </w:rPr>
      </w:pPr>
      <w:r w:rsidRPr="00F90EAE">
        <w:rPr>
          <w:color w:val="000000" w:themeColor="text1"/>
          <w:sz w:val="16"/>
          <w:szCs w:val="16"/>
        </w:rPr>
        <w:t>Грузовая кабина имела пол, а вдоль бортов — скамейки для де</w:t>
      </w:r>
      <w:r w:rsidRPr="00F90EAE">
        <w:rPr>
          <w:color w:val="000000" w:themeColor="text1"/>
          <w:sz w:val="16"/>
          <w:szCs w:val="16"/>
        </w:rPr>
        <w:softHyphen/>
        <w:t>санта. Бойцы сидели лицом друг к другу. При перевозке грузов скамейки можно было сложить вниз. Погрузка осуществлялась через дверь, по ле</w:t>
      </w:r>
      <w:r w:rsidRPr="00F90EAE">
        <w:rPr>
          <w:color w:val="000000" w:themeColor="text1"/>
          <w:sz w:val="16"/>
          <w:szCs w:val="16"/>
        </w:rPr>
        <w:softHyphen/>
        <w:t>вому борту, размером 1200 х 700 мм, которую мож</w:t>
      </w:r>
      <w:r w:rsidRPr="00F90EAE">
        <w:rPr>
          <w:color w:val="000000" w:themeColor="text1"/>
          <w:sz w:val="16"/>
          <w:szCs w:val="16"/>
        </w:rPr>
        <w:softHyphen/>
        <w:t>но было снять во внутрь фюзеляжа. В 1944 г. дверь сместили вперед и увеличили ее размер до 1400 * 1175 мм. Сверху и снизу фюзеляжа были сделаны аварийные люки размером 520 х 460 мм. Эти люки, а также прямоугольные иллюминаторы в полете можно было снять для стрельбы по вражеским самолетам из оружия десанта. Как и в случае с английскими пла</w:t>
      </w:r>
      <w:r w:rsidRPr="00F90EAE">
        <w:rPr>
          <w:color w:val="000000" w:themeColor="text1"/>
          <w:sz w:val="16"/>
          <w:szCs w:val="16"/>
        </w:rPr>
        <w:softHyphen/>
        <w:t>нерами, эту возможность на практике ни разу не ис</w:t>
      </w:r>
      <w:r w:rsidRPr="00F90EAE">
        <w:rPr>
          <w:color w:val="000000" w:themeColor="text1"/>
          <w:sz w:val="16"/>
          <w:szCs w:val="16"/>
        </w:rPr>
        <w:softHyphen/>
        <w:t>пользовали.</w:t>
      </w:r>
    </w:p>
    <w:p w14:paraId="09968902" w14:textId="77777777" w:rsidR="00500674" w:rsidRPr="00F90EAE" w:rsidRDefault="00500674" w:rsidP="00F90EAE">
      <w:pPr>
        <w:jc w:val="both"/>
        <w:rPr>
          <w:color w:val="000000" w:themeColor="text1"/>
          <w:sz w:val="16"/>
          <w:szCs w:val="16"/>
        </w:rPr>
      </w:pPr>
      <w:r w:rsidRPr="00F90EAE">
        <w:rPr>
          <w:color w:val="000000" w:themeColor="text1"/>
          <w:sz w:val="16"/>
          <w:szCs w:val="16"/>
        </w:rPr>
        <w:t>Хвостовое оперение имело классическую схему и состояло из киля, выполненного заодно с фюзеля</w:t>
      </w:r>
      <w:r w:rsidRPr="00F90EAE">
        <w:rPr>
          <w:color w:val="000000" w:themeColor="text1"/>
          <w:sz w:val="16"/>
          <w:szCs w:val="16"/>
        </w:rPr>
        <w:softHyphen/>
        <w:t>жем, и свободнонесущего стабилизатора. Их обшив</w:t>
      </w:r>
      <w:r w:rsidRPr="00F90EAE">
        <w:rPr>
          <w:color w:val="000000" w:themeColor="text1"/>
          <w:sz w:val="16"/>
          <w:szCs w:val="16"/>
        </w:rPr>
        <w:softHyphen/>
        <w:t>ка была фанерной. Конструкция рулей аналогична конструкции элеронов. На левой половине руля вы</w:t>
      </w:r>
      <w:r w:rsidRPr="00F90EAE">
        <w:rPr>
          <w:color w:val="000000" w:themeColor="text1"/>
          <w:sz w:val="16"/>
          <w:szCs w:val="16"/>
        </w:rPr>
        <w:softHyphen/>
        <w:t>соты размещен управляемый триммер. Проводка управления всеми рулями — тросовая.</w:t>
      </w:r>
    </w:p>
    <w:p w14:paraId="6F12C87F" w14:textId="77777777" w:rsidR="00500674" w:rsidRPr="00F90EAE" w:rsidRDefault="00500674" w:rsidP="00F90EAE">
      <w:pPr>
        <w:jc w:val="both"/>
        <w:rPr>
          <w:color w:val="000000" w:themeColor="text1"/>
          <w:sz w:val="16"/>
          <w:szCs w:val="16"/>
        </w:rPr>
      </w:pPr>
      <w:r w:rsidRPr="00F90EAE">
        <w:rPr>
          <w:color w:val="000000" w:themeColor="text1"/>
          <w:sz w:val="16"/>
          <w:szCs w:val="16"/>
        </w:rPr>
        <w:t>Посадочные устройства планера состоят из двух колес размером 600 х 250 мм, на металлических стойках, и хвостового подпружиненного костыля. На нижней поверхности фюзеляжа размещена жесткая деревянная лыжа. Основные стойки имеют ломаю</w:t>
      </w:r>
      <w:r w:rsidRPr="00F90EAE">
        <w:rPr>
          <w:color w:val="000000" w:themeColor="text1"/>
          <w:sz w:val="16"/>
          <w:szCs w:val="16"/>
        </w:rPr>
        <w:softHyphen/>
        <w:t>щийся подкос, благодаря которому можно поднять колеса вверх и выполнить посадку на лыжу, резко со</w:t>
      </w:r>
      <w:r w:rsidRPr="00F90EAE">
        <w:rPr>
          <w:color w:val="000000" w:themeColor="text1"/>
          <w:sz w:val="16"/>
          <w:szCs w:val="16"/>
        </w:rPr>
        <w:softHyphen/>
        <w:t>кратив при этом длину пробега.</w:t>
      </w:r>
    </w:p>
    <w:p w14:paraId="3EA2A7DF" w14:textId="77777777" w:rsidR="00500674" w:rsidRPr="00F90EAE" w:rsidRDefault="00500674" w:rsidP="00F90EAE">
      <w:pPr>
        <w:jc w:val="both"/>
        <w:rPr>
          <w:color w:val="000000" w:themeColor="text1"/>
          <w:sz w:val="16"/>
          <w:szCs w:val="16"/>
        </w:rPr>
      </w:pPr>
      <w:r w:rsidRPr="00F90EAE">
        <w:rPr>
          <w:color w:val="000000" w:themeColor="text1"/>
          <w:sz w:val="16"/>
          <w:szCs w:val="16"/>
        </w:rPr>
        <w:t>В носу фюзеляжа установлена длинная штан</w:t>
      </w:r>
      <w:r w:rsidRPr="00F90EAE">
        <w:rPr>
          <w:color w:val="000000" w:themeColor="text1"/>
          <w:sz w:val="16"/>
          <w:szCs w:val="16"/>
        </w:rPr>
        <w:softHyphen/>
        <w:t>га с ПВД. Кроме размещения ПВД, с помощью штанги контролируют положение буксировочно</w:t>
      </w:r>
      <w:r w:rsidRPr="00F90EAE">
        <w:rPr>
          <w:color w:val="000000" w:themeColor="text1"/>
          <w:sz w:val="16"/>
          <w:szCs w:val="16"/>
        </w:rPr>
        <w:softHyphen/>
        <w:t>го леера в полете. Оборудование планера состоит из часов, указателя скорости, указателя крена и скольжения, высотомера и вариометра. Электро</w:t>
      </w:r>
      <w:r w:rsidRPr="00F90EAE">
        <w:rPr>
          <w:color w:val="000000" w:themeColor="text1"/>
          <w:sz w:val="16"/>
          <w:szCs w:val="16"/>
        </w:rPr>
        <w:softHyphen/>
        <w:t>оборудование состояло из посадочной фары, аэронавигационных огней и лампочек освещения каби</w:t>
      </w:r>
      <w:r w:rsidRPr="00F90EAE">
        <w:rPr>
          <w:color w:val="000000" w:themeColor="text1"/>
          <w:sz w:val="16"/>
          <w:szCs w:val="16"/>
        </w:rPr>
        <w:softHyphen/>
        <w:t>ны. Связь с буксировщиком осуществлялась путем подачи сигналов с помощью фонарика. Рация отсут</w:t>
      </w:r>
      <w:r w:rsidRPr="00F90EAE">
        <w:rPr>
          <w:color w:val="000000" w:themeColor="text1"/>
          <w:sz w:val="16"/>
          <w:szCs w:val="16"/>
        </w:rPr>
        <w:softHyphen/>
        <w:t>ствовала.</w:t>
      </w:r>
    </w:p>
    <w:p w14:paraId="010EFA0C" w14:textId="77777777" w:rsidR="00500674" w:rsidRPr="00F90EAE" w:rsidRDefault="00500674" w:rsidP="00F90EAE">
      <w:pPr>
        <w:jc w:val="both"/>
        <w:rPr>
          <w:color w:val="000000" w:themeColor="text1"/>
          <w:sz w:val="16"/>
          <w:szCs w:val="16"/>
        </w:rPr>
      </w:pPr>
      <w:r w:rsidRPr="00F90EAE">
        <w:rPr>
          <w:color w:val="000000" w:themeColor="text1"/>
          <w:sz w:val="16"/>
          <w:szCs w:val="16"/>
        </w:rPr>
        <w:t>В качестве буксировщика использовались само</w:t>
      </w:r>
      <w:r w:rsidRPr="00F90EAE">
        <w:rPr>
          <w:color w:val="000000" w:themeColor="text1"/>
          <w:sz w:val="16"/>
          <w:szCs w:val="16"/>
        </w:rPr>
        <w:softHyphen/>
        <w:t>леты СБ, Ли-2 или ДБ-ЗФ. Иногда применяли Р-6 или «Харрикейн». Основные данные планера Г-11 приве</w:t>
      </w:r>
      <w:r w:rsidRPr="00F90EAE">
        <w:rPr>
          <w:color w:val="000000" w:themeColor="text1"/>
          <w:sz w:val="16"/>
          <w:szCs w:val="16"/>
        </w:rPr>
        <w:softHyphen/>
        <w:t>дены в таблице</w:t>
      </w:r>
    </w:p>
    <w:p w14:paraId="369B3E48" w14:textId="77777777" w:rsidR="00500674" w:rsidRPr="00F90EAE" w:rsidRDefault="00500674" w:rsidP="00F90EAE">
      <w:pPr>
        <w:jc w:val="both"/>
        <w:rPr>
          <w:color w:val="000000" w:themeColor="text1"/>
          <w:sz w:val="16"/>
          <w:szCs w:val="16"/>
        </w:rPr>
      </w:pPr>
      <w:r w:rsidRPr="00F90EAE">
        <w:rPr>
          <w:color w:val="000000" w:themeColor="text1"/>
          <w:sz w:val="16"/>
          <w:szCs w:val="16"/>
        </w:rPr>
        <w:t>КРАТКИЕ ТЕХНИЧЕСКИЕ ХАРАКТЕРИСТИКИ ПЛАНЕРА Г-11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708"/>
        <w:gridCol w:w="1944"/>
        <w:gridCol w:w="1940"/>
        <w:gridCol w:w="2030"/>
      </w:tblGrid>
      <w:tr w:rsidR="00561F31" w:rsidRPr="00F90EAE" w14:paraId="3CEF057E" w14:textId="77777777" w:rsidTr="00E55150">
        <w:trPr>
          <w:trHeight w:val="47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CB1122A" w14:textId="77777777" w:rsidR="00500674" w:rsidRPr="00F90EAE" w:rsidRDefault="00500674" w:rsidP="00F90EAE">
            <w:pPr>
              <w:jc w:val="both"/>
              <w:rPr>
                <w:color w:val="000000" w:themeColor="text1"/>
                <w:sz w:val="16"/>
                <w:szCs w:val="16"/>
              </w:rPr>
            </w:pPr>
            <w:r w:rsidRPr="00F90EAE">
              <w:rPr>
                <w:color w:val="000000" w:themeColor="text1"/>
                <w:sz w:val="16"/>
                <w:szCs w:val="16"/>
              </w:rPr>
              <w:tab/>
            </w:r>
            <w:r w:rsidRPr="00F90EAE">
              <w:rPr>
                <w:color w:val="000000" w:themeColor="text1"/>
                <w:sz w:val="16"/>
                <w:szCs w:val="16"/>
              </w:rPr>
              <w:tab/>
            </w:r>
            <w:r w:rsidRPr="00F90EAE">
              <w:rPr>
                <w:color w:val="000000" w:themeColor="text1"/>
                <w:sz w:val="16"/>
                <w:szCs w:val="16"/>
              </w:rPr>
              <w:tab/>
            </w:r>
            <w:r w:rsidRPr="00F90EAE">
              <w:rPr>
                <w:color w:val="000000" w:themeColor="text1"/>
                <w:sz w:val="16"/>
                <w:szCs w:val="16"/>
              </w:rPr>
              <w:tab/>
              <w:t>Типы планеров</w:t>
            </w:r>
          </w:p>
          <w:p w14:paraId="3012E1E6" w14:textId="77777777" w:rsidR="00500674" w:rsidRPr="00F90EAE" w:rsidRDefault="00500674" w:rsidP="00F90EAE">
            <w:pPr>
              <w:jc w:val="both"/>
              <w:rPr>
                <w:color w:val="000000" w:themeColor="text1"/>
                <w:sz w:val="16"/>
                <w:szCs w:val="16"/>
              </w:rPr>
            </w:pPr>
            <w:r w:rsidRPr="00F90EAE">
              <w:rPr>
                <w:color w:val="000000" w:themeColor="text1"/>
                <w:sz w:val="16"/>
                <w:szCs w:val="16"/>
              </w:rPr>
              <w:t>Характеристики ' —</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5F710C25" w14:textId="77777777" w:rsidR="00500674" w:rsidRPr="00F90EAE" w:rsidRDefault="00500674" w:rsidP="00F90EAE">
            <w:pPr>
              <w:jc w:val="both"/>
              <w:rPr>
                <w:color w:val="000000" w:themeColor="text1"/>
                <w:sz w:val="16"/>
                <w:szCs w:val="16"/>
              </w:rPr>
            </w:pPr>
            <w:r w:rsidRPr="00F90EAE">
              <w:rPr>
                <w:color w:val="000000" w:themeColor="text1"/>
                <w:sz w:val="16"/>
                <w:szCs w:val="16"/>
              </w:rPr>
              <w:t>Грибовский Г-11, СССР</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EEBCE3F" w14:textId="77777777" w:rsidR="00500674" w:rsidRPr="00F90EAE" w:rsidRDefault="00500674" w:rsidP="00F90EAE">
            <w:pPr>
              <w:jc w:val="both"/>
              <w:rPr>
                <w:color w:val="000000" w:themeColor="text1"/>
                <w:sz w:val="16"/>
                <w:szCs w:val="16"/>
              </w:rPr>
            </w:pPr>
            <w:r w:rsidRPr="00F90EAE">
              <w:rPr>
                <w:color w:val="000000" w:themeColor="text1"/>
                <w:sz w:val="16"/>
                <w:szCs w:val="16"/>
              </w:rPr>
              <w:t>ОР5-230, Германия</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7540275" w14:textId="77777777" w:rsidR="00500674" w:rsidRPr="00F90EAE" w:rsidRDefault="00500674" w:rsidP="00F90EAE">
            <w:pPr>
              <w:jc w:val="both"/>
              <w:rPr>
                <w:color w:val="000000" w:themeColor="text1"/>
                <w:sz w:val="16"/>
                <w:szCs w:val="16"/>
              </w:rPr>
            </w:pPr>
            <w:r w:rsidRPr="00F90EAE">
              <w:rPr>
                <w:color w:val="000000" w:themeColor="text1"/>
                <w:sz w:val="16"/>
                <w:szCs w:val="16"/>
              </w:rPr>
              <w:t>Но1$риг, Великобритания</w:t>
            </w:r>
          </w:p>
        </w:tc>
      </w:tr>
      <w:tr w:rsidR="00561F31" w:rsidRPr="00F90EAE" w14:paraId="39841C02"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8B27516" w14:textId="77777777" w:rsidR="00500674" w:rsidRPr="00F90EAE" w:rsidRDefault="00500674" w:rsidP="00F90EAE">
            <w:pPr>
              <w:jc w:val="both"/>
              <w:rPr>
                <w:color w:val="000000" w:themeColor="text1"/>
                <w:sz w:val="16"/>
                <w:szCs w:val="16"/>
              </w:rPr>
            </w:pPr>
            <w:r w:rsidRPr="00F90EAE">
              <w:rPr>
                <w:color w:val="000000" w:themeColor="text1"/>
                <w:sz w:val="16"/>
                <w:szCs w:val="16"/>
              </w:rPr>
              <w:t>Дата первого вылета</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31429D51" w14:textId="77777777" w:rsidR="00500674" w:rsidRPr="00F90EAE" w:rsidRDefault="00500674" w:rsidP="00F90EAE">
            <w:pPr>
              <w:jc w:val="both"/>
              <w:rPr>
                <w:color w:val="000000" w:themeColor="text1"/>
                <w:sz w:val="16"/>
                <w:szCs w:val="16"/>
              </w:rPr>
            </w:pPr>
            <w:r w:rsidRPr="00F90EAE">
              <w:rPr>
                <w:color w:val="000000" w:themeColor="text1"/>
                <w:sz w:val="16"/>
                <w:szCs w:val="16"/>
              </w:rPr>
              <w:t>Сентябрь 1941 г.</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399FB79" w14:textId="77777777" w:rsidR="00500674" w:rsidRPr="00F90EAE" w:rsidRDefault="00500674" w:rsidP="00F90EAE">
            <w:pPr>
              <w:jc w:val="both"/>
              <w:rPr>
                <w:color w:val="000000" w:themeColor="text1"/>
                <w:sz w:val="16"/>
                <w:szCs w:val="16"/>
              </w:rPr>
            </w:pPr>
            <w:r w:rsidRPr="00F90EAE">
              <w:rPr>
                <w:color w:val="000000" w:themeColor="text1"/>
                <w:sz w:val="16"/>
                <w:szCs w:val="16"/>
              </w:rPr>
              <w:t>1937 г.</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514300" w14:textId="77777777" w:rsidR="00500674" w:rsidRPr="00F90EAE" w:rsidRDefault="00500674" w:rsidP="00F90EAE">
            <w:pPr>
              <w:jc w:val="both"/>
              <w:rPr>
                <w:color w:val="000000" w:themeColor="text1"/>
                <w:sz w:val="16"/>
                <w:szCs w:val="16"/>
              </w:rPr>
            </w:pPr>
            <w:r w:rsidRPr="00F90EAE">
              <w:rPr>
                <w:color w:val="000000" w:themeColor="text1"/>
                <w:sz w:val="16"/>
                <w:szCs w:val="16"/>
              </w:rPr>
              <w:t>4 ноября 1940 г.</w:t>
            </w:r>
          </w:p>
        </w:tc>
      </w:tr>
      <w:tr w:rsidR="00561F31" w:rsidRPr="00F90EAE" w14:paraId="5AB627DF"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C335DBB" w14:textId="77777777" w:rsidR="00500674" w:rsidRPr="00F90EAE" w:rsidRDefault="00500674" w:rsidP="00F90EAE">
            <w:pPr>
              <w:jc w:val="both"/>
              <w:rPr>
                <w:color w:val="000000" w:themeColor="text1"/>
                <w:sz w:val="16"/>
                <w:szCs w:val="16"/>
              </w:rPr>
            </w:pPr>
            <w:r w:rsidRPr="00F90EAE">
              <w:rPr>
                <w:color w:val="000000" w:themeColor="text1"/>
                <w:sz w:val="16"/>
                <w:szCs w:val="16"/>
              </w:rPr>
              <w:t>Длина,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99FA313" w14:textId="77777777" w:rsidR="00500674" w:rsidRPr="00F90EAE" w:rsidRDefault="00500674" w:rsidP="00F90EAE">
            <w:pPr>
              <w:jc w:val="both"/>
              <w:rPr>
                <w:color w:val="000000" w:themeColor="text1"/>
                <w:sz w:val="16"/>
                <w:szCs w:val="16"/>
              </w:rPr>
            </w:pPr>
            <w:r w:rsidRPr="00F90EAE">
              <w:rPr>
                <w:color w:val="000000" w:themeColor="text1"/>
                <w:sz w:val="16"/>
                <w:szCs w:val="16"/>
              </w:rPr>
              <w:t>9,8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C400F6D" w14:textId="77777777" w:rsidR="00500674" w:rsidRPr="00F90EAE" w:rsidRDefault="00500674" w:rsidP="00F90EAE">
            <w:pPr>
              <w:jc w:val="both"/>
              <w:rPr>
                <w:color w:val="000000" w:themeColor="text1"/>
                <w:sz w:val="16"/>
                <w:szCs w:val="16"/>
              </w:rPr>
            </w:pPr>
            <w:r w:rsidRPr="00F90EAE">
              <w:rPr>
                <w:color w:val="000000" w:themeColor="text1"/>
                <w:sz w:val="16"/>
                <w:szCs w:val="16"/>
              </w:rPr>
              <w:t>11,24</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9CCECB" w14:textId="77777777" w:rsidR="00500674" w:rsidRPr="00F90EAE" w:rsidRDefault="00500674" w:rsidP="00F90EAE">
            <w:pPr>
              <w:jc w:val="both"/>
              <w:rPr>
                <w:color w:val="000000" w:themeColor="text1"/>
                <w:sz w:val="16"/>
                <w:szCs w:val="16"/>
              </w:rPr>
            </w:pPr>
            <w:r w:rsidRPr="00F90EAE">
              <w:rPr>
                <w:color w:val="000000" w:themeColor="text1"/>
                <w:sz w:val="16"/>
                <w:szCs w:val="16"/>
              </w:rPr>
              <w:t>12,1</w:t>
            </w:r>
          </w:p>
        </w:tc>
      </w:tr>
      <w:tr w:rsidR="00561F31" w:rsidRPr="00F90EAE" w14:paraId="4BAC838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92485F5" w14:textId="77777777" w:rsidR="00500674" w:rsidRPr="00F90EAE" w:rsidRDefault="00500674" w:rsidP="00F90EAE">
            <w:pPr>
              <w:jc w:val="both"/>
              <w:rPr>
                <w:color w:val="000000" w:themeColor="text1"/>
                <w:sz w:val="16"/>
                <w:szCs w:val="16"/>
              </w:rPr>
            </w:pPr>
            <w:r w:rsidRPr="00F90EAE">
              <w:rPr>
                <w:color w:val="000000" w:themeColor="text1"/>
                <w:sz w:val="16"/>
                <w:szCs w:val="16"/>
              </w:rPr>
              <w:t>Размах крыла,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33C9B8" w14:textId="77777777" w:rsidR="00500674" w:rsidRPr="00F90EAE" w:rsidRDefault="00500674" w:rsidP="00F90EAE">
            <w:pPr>
              <w:jc w:val="both"/>
              <w:rPr>
                <w:color w:val="000000" w:themeColor="text1"/>
                <w:sz w:val="16"/>
                <w:szCs w:val="16"/>
              </w:rPr>
            </w:pPr>
            <w:r w:rsidRPr="00F90EAE">
              <w:rPr>
                <w:color w:val="000000" w:themeColor="text1"/>
                <w:sz w:val="16"/>
                <w:szCs w:val="16"/>
              </w:rPr>
              <w:t>18</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42CE56C9" w14:textId="77777777" w:rsidR="00500674" w:rsidRPr="00F90EAE" w:rsidRDefault="00500674" w:rsidP="00F90EAE">
            <w:pPr>
              <w:jc w:val="both"/>
              <w:rPr>
                <w:color w:val="000000" w:themeColor="text1"/>
                <w:sz w:val="16"/>
                <w:szCs w:val="16"/>
              </w:rPr>
            </w:pPr>
            <w:r w:rsidRPr="00F90EAE">
              <w:rPr>
                <w:color w:val="000000" w:themeColor="text1"/>
                <w:sz w:val="16"/>
                <w:szCs w:val="16"/>
              </w:rPr>
              <w:t>22</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0E426AE" w14:textId="77777777" w:rsidR="00500674" w:rsidRPr="00F90EAE" w:rsidRDefault="00500674" w:rsidP="00F90EAE">
            <w:pPr>
              <w:jc w:val="both"/>
              <w:rPr>
                <w:color w:val="000000" w:themeColor="text1"/>
                <w:sz w:val="16"/>
                <w:szCs w:val="16"/>
              </w:rPr>
            </w:pPr>
            <w:r w:rsidRPr="00F90EAE">
              <w:rPr>
                <w:color w:val="000000" w:themeColor="text1"/>
                <w:sz w:val="16"/>
                <w:szCs w:val="16"/>
              </w:rPr>
              <w:t>15,21</w:t>
            </w:r>
          </w:p>
        </w:tc>
      </w:tr>
      <w:tr w:rsidR="00561F31" w:rsidRPr="00F90EAE" w14:paraId="1E14F165"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343EB33A" w14:textId="77777777" w:rsidR="00500674" w:rsidRPr="00F90EAE" w:rsidRDefault="00500674" w:rsidP="00F90EAE">
            <w:pPr>
              <w:jc w:val="both"/>
              <w:rPr>
                <w:color w:val="000000" w:themeColor="text1"/>
                <w:sz w:val="16"/>
                <w:szCs w:val="16"/>
              </w:rPr>
            </w:pPr>
            <w:r w:rsidRPr="00F90EAE">
              <w:rPr>
                <w:color w:val="000000" w:themeColor="text1"/>
                <w:sz w:val="16"/>
                <w:szCs w:val="16"/>
              </w:rPr>
              <w:t>Высота на стоянке, м</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46E8D90" w14:textId="77777777" w:rsidR="00500674" w:rsidRPr="00F90EAE" w:rsidRDefault="00500674" w:rsidP="00F90EAE">
            <w:pPr>
              <w:jc w:val="both"/>
              <w:rPr>
                <w:color w:val="000000" w:themeColor="text1"/>
                <w:sz w:val="16"/>
                <w:szCs w:val="16"/>
              </w:rPr>
            </w:pPr>
            <w:r w:rsidRPr="00F90EAE">
              <w:rPr>
                <w:color w:val="000000" w:themeColor="text1"/>
                <w:sz w:val="16"/>
                <w:szCs w:val="16"/>
              </w:rPr>
              <w:t>2,7</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39B0D2" w14:textId="77777777" w:rsidR="00500674" w:rsidRPr="00F90EAE" w:rsidRDefault="00500674" w:rsidP="00F90EAE">
            <w:pPr>
              <w:jc w:val="both"/>
              <w:rPr>
                <w:color w:val="000000" w:themeColor="text1"/>
                <w:sz w:val="16"/>
                <w:szCs w:val="16"/>
              </w:rPr>
            </w:pPr>
            <w:r w:rsidRPr="00F90EAE">
              <w:rPr>
                <w:color w:val="000000" w:themeColor="text1"/>
                <w:sz w:val="16"/>
                <w:szCs w:val="16"/>
              </w:rPr>
              <w:t>2,8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40412428" w14:textId="77777777" w:rsidR="00500674" w:rsidRPr="00F90EAE" w:rsidRDefault="00500674" w:rsidP="00F90EAE">
            <w:pPr>
              <w:jc w:val="both"/>
              <w:rPr>
                <w:color w:val="000000" w:themeColor="text1"/>
                <w:sz w:val="16"/>
                <w:szCs w:val="16"/>
              </w:rPr>
            </w:pPr>
            <w:r w:rsidRPr="00F90EAE">
              <w:rPr>
                <w:color w:val="000000" w:themeColor="text1"/>
                <w:sz w:val="16"/>
                <w:szCs w:val="16"/>
              </w:rPr>
              <w:t>3,6</w:t>
            </w:r>
          </w:p>
        </w:tc>
      </w:tr>
      <w:tr w:rsidR="00561F31" w:rsidRPr="00F90EAE" w14:paraId="474A7667"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47D6FE8" w14:textId="77777777" w:rsidR="00500674" w:rsidRPr="00F90EAE" w:rsidRDefault="00500674" w:rsidP="00F90EAE">
            <w:pPr>
              <w:jc w:val="both"/>
              <w:rPr>
                <w:color w:val="000000" w:themeColor="text1"/>
                <w:sz w:val="16"/>
                <w:szCs w:val="16"/>
              </w:rPr>
            </w:pPr>
            <w:r w:rsidRPr="00F90EAE">
              <w:rPr>
                <w:color w:val="000000" w:themeColor="text1"/>
                <w:sz w:val="16"/>
                <w:szCs w:val="16"/>
              </w:rPr>
              <w:t>Площадь крыла, 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7B3AE44E" w14:textId="77777777" w:rsidR="00500674" w:rsidRPr="00F90EAE" w:rsidRDefault="00500674" w:rsidP="00F90EAE">
            <w:pPr>
              <w:jc w:val="both"/>
              <w:rPr>
                <w:color w:val="000000" w:themeColor="text1"/>
                <w:sz w:val="16"/>
                <w:szCs w:val="16"/>
              </w:rPr>
            </w:pPr>
            <w:r w:rsidRPr="00F90EAE">
              <w:rPr>
                <w:color w:val="000000" w:themeColor="text1"/>
                <w:sz w:val="16"/>
                <w:szCs w:val="16"/>
              </w:rPr>
              <w:t>30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1D557A0D" w14:textId="77777777" w:rsidR="00500674" w:rsidRPr="00F90EAE" w:rsidRDefault="00500674" w:rsidP="00F90EAE">
            <w:pPr>
              <w:jc w:val="both"/>
              <w:rPr>
                <w:color w:val="000000" w:themeColor="text1"/>
                <w:sz w:val="16"/>
                <w:szCs w:val="16"/>
              </w:rPr>
            </w:pPr>
            <w:r w:rsidRPr="00F90EAE">
              <w:rPr>
                <w:color w:val="000000" w:themeColor="text1"/>
                <w:sz w:val="16"/>
                <w:szCs w:val="16"/>
              </w:rPr>
              <w:t>41,26</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33805FB" w14:textId="77777777" w:rsidR="00500674" w:rsidRPr="00F90EAE" w:rsidRDefault="00500674" w:rsidP="00F90EAE">
            <w:pPr>
              <w:jc w:val="both"/>
              <w:rPr>
                <w:color w:val="000000" w:themeColor="text1"/>
                <w:sz w:val="16"/>
                <w:szCs w:val="16"/>
              </w:rPr>
            </w:pPr>
            <w:r w:rsidRPr="00F90EAE">
              <w:rPr>
                <w:color w:val="000000" w:themeColor="text1"/>
                <w:sz w:val="16"/>
                <w:szCs w:val="16"/>
              </w:rPr>
              <w:t>25,2</w:t>
            </w:r>
          </w:p>
        </w:tc>
      </w:tr>
      <w:tr w:rsidR="00561F31" w:rsidRPr="00F90EAE" w14:paraId="009E8063"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EAD2FF4" w14:textId="77777777" w:rsidR="00500674" w:rsidRPr="00F90EAE" w:rsidRDefault="00500674" w:rsidP="00F90EAE">
            <w:pPr>
              <w:jc w:val="both"/>
              <w:rPr>
                <w:color w:val="000000" w:themeColor="text1"/>
                <w:sz w:val="16"/>
                <w:szCs w:val="16"/>
              </w:rPr>
            </w:pPr>
            <w:r w:rsidRPr="00F90EAE">
              <w:rPr>
                <w:color w:val="000000" w:themeColor="text1"/>
                <w:sz w:val="16"/>
                <w:szCs w:val="16"/>
              </w:rPr>
              <w:t>Нагрузка на крыло, кг/м2</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1551A6" w14:textId="77777777" w:rsidR="00500674" w:rsidRPr="00F90EAE" w:rsidRDefault="00500674" w:rsidP="00F90EAE">
            <w:pPr>
              <w:jc w:val="both"/>
              <w:rPr>
                <w:color w:val="000000" w:themeColor="text1"/>
                <w:sz w:val="16"/>
                <w:szCs w:val="16"/>
              </w:rPr>
            </w:pPr>
            <w:r w:rsidRPr="00F90EAE">
              <w:rPr>
                <w:color w:val="000000" w:themeColor="text1"/>
                <w:sz w:val="16"/>
                <w:szCs w:val="16"/>
              </w:rPr>
              <w:t>83</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DEA1503" w14:textId="77777777" w:rsidR="00500674" w:rsidRPr="00F90EAE" w:rsidRDefault="00500674" w:rsidP="00F90EAE">
            <w:pPr>
              <w:jc w:val="both"/>
              <w:rPr>
                <w:color w:val="000000" w:themeColor="text1"/>
                <w:sz w:val="16"/>
                <w:szCs w:val="16"/>
              </w:rPr>
            </w:pPr>
            <w:r w:rsidRPr="00F90EAE">
              <w:rPr>
                <w:color w:val="000000" w:themeColor="text1"/>
                <w:sz w:val="16"/>
                <w:szCs w:val="16"/>
              </w:rPr>
              <w:t>50,9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5834E769" w14:textId="77777777" w:rsidR="00500674" w:rsidRPr="00F90EAE" w:rsidRDefault="00500674" w:rsidP="00F90EAE">
            <w:pPr>
              <w:jc w:val="both"/>
              <w:rPr>
                <w:color w:val="000000" w:themeColor="text1"/>
                <w:sz w:val="16"/>
                <w:szCs w:val="16"/>
              </w:rPr>
            </w:pPr>
            <w:r w:rsidRPr="00F90EAE">
              <w:rPr>
                <w:color w:val="000000" w:themeColor="text1"/>
                <w:sz w:val="16"/>
                <w:szCs w:val="16"/>
              </w:rPr>
              <w:t>65,4</w:t>
            </w:r>
          </w:p>
        </w:tc>
      </w:tr>
      <w:tr w:rsidR="00561F31" w:rsidRPr="00F90EAE" w14:paraId="22FDA0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5BB01641" w14:textId="77777777" w:rsidR="00500674" w:rsidRPr="00F90EAE" w:rsidRDefault="00500674" w:rsidP="00F90EAE">
            <w:pPr>
              <w:jc w:val="both"/>
              <w:rPr>
                <w:color w:val="000000" w:themeColor="text1"/>
                <w:sz w:val="16"/>
                <w:szCs w:val="16"/>
              </w:rPr>
            </w:pPr>
            <w:r w:rsidRPr="00F90EAE">
              <w:rPr>
                <w:color w:val="000000" w:themeColor="text1"/>
                <w:sz w:val="16"/>
                <w:szCs w:val="16"/>
              </w:rPr>
              <w:lastRenderedPageBreak/>
              <w:t>Вес полетный,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0D528F9D" w14:textId="77777777" w:rsidR="00500674" w:rsidRPr="00F90EAE" w:rsidRDefault="00500674" w:rsidP="00F90EAE">
            <w:pPr>
              <w:jc w:val="both"/>
              <w:rPr>
                <w:color w:val="000000" w:themeColor="text1"/>
                <w:sz w:val="16"/>
                <w:szCs w:val="16"/>
              </w:rPr>
            </w:pPr>
            <w:r w:rsidRPr="00F90EAE">
              <w:rPr>
                <w:color w:val="000000" w:themeColor="text1"/>
                <w:sz w:val="16"/>
                <w:szCs w:val="16"/>
              </w:rPr>
              <w:t>2400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335C2A5D" w14:textId="77777777" w:rsidR="00500674" w:rsidRPr="00F90EAE" w:rsidRDefault="00500674" w:rsidP="00F90EAE">
            <w:pPr>
              <w:jc w:val="both"/>
              <w:rPr>
                <w:color w:val="000000" w:themeColor="text1"/>
                <w:sz w:val="16"/>
                <w:szCs w:val="16"/>
              </w:rPr>
            </w:pPr>
            <w:r w:rsidRPr="00F90EAE">
              <w:rPr>
                <w:color w:val="000000" w:themeColor="text1"/>
                <w:sz w:val="16"/>
                <w:szCs w:val="16"/>
              </w:rPr>
              <w:t>2100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71D211B1" w14:textId="77777777" w:rsidR="00500674" w:rsidRPr="00F90EAE" w:rsidRDefault="00500674" w:rsidP="00F90EAE">
            <w:pPr>
              <w:jc w:val="both"/>
              <w:rPr>
                <w:color w:val="000000" w:themeColor="text1"/>
                <w:sz w:val="16"/>
                <w:szCs w:val="16"/>
              </w:rPr>
            </w:pPr>
            <w:r w:rsidRPr="00F90EAE">
              <w:rPr>
                <w:color w:val="000000" w:themeColor="text1"/>
                <w:sz w:val="16"/>
                <w:szCs w:val="16"/>
              </w:rPr>
              <w:t>1648</w:t>
            </w:r>
          </w:p>
        </w:tc>
      </w:tr>
      <w:tr w:rsidR="00561F31" w:rsidRPr="00F90EAE" w14:paraId="51A6A288"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6FC4EB7" w14:textId="77777777" w:rsidR="00500674" w:rsidRPr="00F90EAE" w:rsidRDefault="00500674" w:rsidP="00F90EAE">
            <w:pPr>
              <w:jc w:val="both"/>
              <w:rPr>
                <w:color w:val="000000" w:themeColor="text1"/>
                <w:sz w:val="16"/>
                <w:szCs w:val="16"/>
              </w:rPr>
            </w:pPr>
            <w:r w:rsidRPr="00F90EAE">
              <w:rPr>
                <w:color w:val="000000" w:themeColor="text1"/>
                <w:sz w:val="16"/>
                <w:szCs w:val="16"/>
              </w:rPr>
              <w:t>Вес пустого, кг</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4864B605" w14:textId="77777777" w:rsidR="00500674" w:rsidRPr="00F90EAE" w:rsidRDefault="00500674" w:rsidP="00F90EAE">
            <w:pPr>
              <w:jc w:val="both"/>
              <w:rPr>
                <w:color w:val="000000" w:themeColor="text1"/>
                <w:sz w:val="16"/>
                <w:szCs w:val="16"/>
              </w:rPr>
            </w:pPr>
            <w:r w:rsidRPr="00F90EAE">
              <w:rPr>
                <w:color w:val="000000" w:themeColor="text1"/>
                <w:sz w:val="16"/>
                <w:szCs w:val="16"/>
              </w:rPr>
              <w:t>1200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5AA7BB40" w14:textId="77777777" w:rsidR="00500674" w:rsidRPr="00F90EAE" w:rsidRDefault="00500674" w:rsidP="00F90EAE">
            <w:pPr>
              <w:jc w:val="both"/>
              <w:rPr>
                <w:color w:val="000000" w:themeColor="text1"/>
                <w:sz w:val="16"/>
                <w:szCs w:val="16"/>
              </w:rPr>
            </w:pPr>
            <w:r w:rsidRPr="00F90EAE">
              <w:rPr>
                <w:color w:val="000000" w:themeColor="text1"/>
                <w:sz w:val="16"/>
                <w:szCs w:val="16"/>
              </w:rPr>
              <w:t>860</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FC7737E" w14:textId="77777777" w:rsidR="00500674" w:rsidRPr="00F90EAE" w:rsidRDefault="00500674" w:rsidP="00F90EAE">
            <w:pPr>
              <w:jc w:val="both"/>
              <w:rPr>
                <w:color w:val="000000" w:themeColor="text1"/>
                <w:sz w:val="16"/>
                <w:szCs w:val="16"/>
              </w:rPr>
            </w:pPr>
            <w:r w:rsidRPr="00F90EAE">
              <w:rPr>
                <w:color w:val="000000" w:themeColor="text1"/>
                <w:sz w:val="16"/>
                <w:szCs w:val="16"/>
              </w:rPr>
              <w:t>796</w:t>
            </w:r>
          </w:p>
        </w:tc>
      </w:tr>
      <w:tr w:rsidR="00561F31" w:rsidRPr="00F90EAE" w14:paraId="62A82627"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0B61BB1" w14:textId="77777777" w:rsidR="00500674" w:rsidRPr="00F90EAE" w:rsidRDefault="00500674" w:rsidP="00F90EAE">
            <w:pPr>
              <w:jc w:val="both"/>
              <w:rPr>
                <w:color w:val="000000" w:themeColor="text1"/>
                <w:sz w:val="16"/>
                <w:szCs w:val="16"/>
              </w:rPr>
            </w:pPr>
            <w:r w:rsidRPr="00F90EAE">
              <w:rPr>
                <w:color w:val="000000" w:themeColor="text1"/>
                <w:sz w:val="16"/>
                <w:szCs w:val="16"/>
              </w:rPr>
              <w:t>Кол. перевозимых десантников, чел.</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551186F" w14:textId="77777777" w:rsidR="00500674" w:rsidRPr="00F90EAE" w:rsidRDefault="00500674" w:rsidP="00F90EAE">
            <w:pPr>
              <w:jc w:val="both"/>
              <w:rPr>
                <w:color w:val="000000" w:themeColor="text1"/>
                <w:sz w:val="16"/>
                <w:szCs w:val="16"/>
              </w:rPr>
            </w:pPr>
            <w:r w:rsidRPr="00F90EAE">
              <w:rPr>
                <w:color w:val="000000" w:themeColor="text1"/>
                <w:sz w:val="16"/>
                <w:szCs w:val="16"/>
              </w:rPr>
              <w:t>1 + 10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32350EF" w14:textId="77777777" w:rsidR="00500674" w:rsidRPr="00F90EAE" w:rsidRDefault="00500674" w:rsidP="00F90EAE">
            <w:pPr>
              <w:jc w:val="both"/>
              <w:rPr>
                <w:color w:val="000000" w:themeColor="text1"/>
                <w:sz w:val="16"/>
                <w:szCs w:val="16"/>
              </w:rPr>
            </w:pPr>
            <w:r w:rsidRPr="00F90EAE">
              <w:rPr>
                <w:color w:val="000000" w:themeColor="text1"/>
                <w:sz w:val="16"/>
                <w:szCs w:val="16"/>
              </w:rPr>
              <w:t>1 +9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CE4DABC" w14:textId="77777777" w:rsidR="00500674" w:rsidRPr="00F90EAE" w:rsidRDefault="00500674" w:rsidP="00F90EAE">
            <w:pPr>
              <w:jc w:val="both"/>
              <w:rPr>
                <w:color w:val="000000" w:themeColor="text1"/>
                <w:sz w:val="16"/>
                <w:szCs w:val="16"/>
              </w:rPr>
            </w:pPr>
            <w:r w:rsidRPr="00F90EAE">
              <w:rPr>
                <w:color w:val="000000" w:themeColor="text1"/>
                <w:sz w:val="16"/>
                <w:szCs w:val="16"/>
              </w:rPr>
              <w:t>1+7</w:t>
            </w:r>
          </w:p>
        </w:tc>
      </w:tr>
      <w:tr w:rsidR="00561F31" w:rsidRPr="00F90EAE" w14:paraId="673CE7DC" w14:textId="77777777" w:rsidTr="00E55150">
        <w:trPr>
          <w:trHeight w:val="252"/>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67CC876C" w14:textId="77777777" w:rsidR="00500674" w:rsidRPr="00F90EAE" w:rsidRDefault="00500674" w:rsidP="00F90EAE">
            <w:pPr>
              <w:jc w:val="both"/>
              <w:rPr>
                <w:color w:val="000000" w:themeColor="text1"/>
                <w:sz w:val="16"/>
                <w:szCs w:val="16"/>
              </w:rPr>
            </w:pPr>
            <w:r w:rsidRPr="00F90EAE">
              <w:rPr>
                <w:color w:val="000000" w:themeColor="text1"/>
                <w:sz w:val="16"/>
                <w:szCs w:val="16"/>
              </w:rPr>
              <w:t>Макс, скорость при буксировке,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C743199" w14:textId="77777777" w:rsidR="00500674" w:rsidRPr="00F90EAE" w:rsidRDefault="00500674" w:rsidP="00F90EAE">
            <w:pPr>
              <w:jc w:val="both"/>
              <w:rPr>
                <w:color w:val="000000" w:themeColor="text1"/>
                <w:sz w:val="16"/>
                <w:szCs w:val="16"/>
              </w:rPr>
            </w:pPr>
            <w:r w:rsidRPr="00F90EAE">
              <w:rPr>
                <w:color w:val="000000" w:themeColor="text1"/>
                <w:sz w:val="16"/>
                <w:szCs w:val="16"/>
              </w:rPr>
              <w:t>280</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009F7BA0" w14:textId="77777777" w:rsidR="00500674" w:rsidRPr="00F90EAE" w:rsidRDefault="00500674" w:rsidP="00F90EAE">
            <w:pPr>
              <w:jc w:val="both"/>
              <w:rPr>
                <w:color w:val="000000" w:themeColor="text1"/>
                <w:sz w:val="16"/>
                <w:szCs w:val="16"/>
              </w:rPr>
            </w:pPr>
            <w:r w:rsidRPr="00F90EAE">
              <w:rPr>
                <w:color w:val="000000" w:themeColor="text1"/>
                <w:sz w:val="16"/>
                <w:szCs w:val="16"/>
              </w:rPr>
              <w:t>209</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01564FB8" w14:textId="77777777" w:rsidR="00500674" w:rsidRPr="00F90EAE" w:rsidRDefault="00500674" w:rsidP="00F90EAE">
            <w:pPr>
              <w:jc w:val="both"/>
              <w:rPr>
                <w:color w:val="000000" w:themeColor="text1"/>
                <w:sz w:val="16"/>
                <w:szCs w:val="16"/>
              </w:rPr>
            </w:pPr>
          </w:p>
        </w:tc>
      </w:tr>
      <w:tr w:rsidR="00561F31" w:rsidRPr="00F90EAE" w14:paraId="612335C9" w14:textId="77777777" w:rsidTr="00E55150">
        <w:trPr>
          <w:trHeight w:val="25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2697DA18" w14:textId="77777777" w:rsidR="00500674" w:rsidRPr="00F90EAE" w:rsidRDefault="00500674" w:rsidP="00F90EAE">
            <w:pPr>
              <w:jc w:val="both"/>
              <w:rPr>
                <w:color w:val="000000" w:themeColor="text1"/>
                <w:sz w:val="16"/>
                <w:szCs w:val="16"/>
              </w:rPr>
            </w:pPr>
            <w:r w:rsidRPr="00F90EAE">
              <w:rPr>
                <w:color w:val="000000" w:themeColor="text1"/>
                <w:sz w:val="16"/>
                <w:szCs w:val="16"/>
              </w:rPr>
              <w:t>Скорость планирования,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A969CEB" w14:textId="77777777" w:rsidR="00500674" w:rsidRPr="00F90EAE" w:rsidRDefault="00500674" w:rsidP="00F90EAE">
            <w:pPr>
              <w:jc w:val="both"/>
              <w:rPr>
                <w:color w:val="000000" w:themeColor="text1"/>
                <w:sz w:val="16"/>
                <w:szCs w:val="16"/>
              </w:rPr>
            </w:pPr>
            <w:r w:rsidRPr="00F90EAE">
              <w:rPr>
                <w:color w:val="000000" w:themeColor="text1"/>
                <w:sz w:val="16"/>
                <w:szCs w:val="16"/>
              </w:rPr>
              <w:t>146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F0EA0CF" w14:textId="77777777" w:rsidR="00500674" w:rsidRPr="00F90EAE" w:rsidRDefault="00500674" w:rsidP="00F90EAE">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1F3C234E" w14:textId="77777777" w:rsidR="00500674" w:rsidRPr="00F90EAE" w:rsidRDefault="00500674" w:rsidP="00F90EAE">
            <w:pPr>
              <w:jc w:val="both"/>
              <w:rPr>
                <w:color w:val="000000" w:themeColor="text1"/>
                <w:sz w:val="16"/>
                <w:szCs w:val="16"/>
              </w:rPr>
            </w:pPr>
          </w:p>
        </w:tc>
      </w:tr>
      <w:tr w:rsidR="00561F31" w:rsidRPr="00F90EAE" w14:paraId="6BBA9DE2" w14:textId="77777777" w:rsidTr="00E55150">
        <w:trPr>
          <w:trHeight w:val="248"/>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1ED340AE" w14:textId="77777777" w:rsidR="00500674" w:rsidRPr="00F90EAE" w:rsidRDefault="00500674" w:rsidP="00F90EAE">
            <w:pPr>
              <w:jc w:val="both"/>
              <w:rPr>
                <w:color w:val="000000" w:themeColor="text1"/>
                <w:sz w:val="16"/>
                <w:szCs w:val="16"/>
              </w:rPr>
            </w:pPr>
            <w:r w:rsidRPr="00F90EAE">
              <w:rPr>
                <w:color w:val="000000" w:themeColor="text1"/>
                <w:sz w:val="16"/>
                <w:szCs w:val="16"/>
              </w:rPr>
              <w:t>Скорость посадочная при макс, весе, км/ч</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96512D4" w14:textId="77777777" w:rsidR="00500674" w:rsidRPr="00F90EAE" w:rsidRDefault="00500674" w:rsidP="00F90EAE">
            <w:pPr>
              <w:jc w:val="both"/>
              <w:rPr>
                <w:color w:val="000000" w:themeColor="text1"/>
                <w:sz w:val="16"/>
                <w:szCs w:val="16"/>
              </w:rPr>
            </w:pPr>
            <w:r w:rsidRPr="00F90EAE">
              <w:rPr>
                <w:color w:val="000000" w:themeColor="text1"/>
                <w:sz w:val="16"/>
                <w:szCs w:val="16"/>
              </w:rPr>
              <w:t>82,5</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25900AA9" w14:textId="77777777" w:rsidR="00500674" w:rsidRPr="00F90EAE" w:rsidRDefault="00500674" w:rsidP="00F90EAE">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1F5BF5A" w14:textId="77777777" w:rsidR="00500674" w:rsidRPr="00F90EAE" w:rsidRDefault="00500674" w:rsidP="00F90EAE">
            <w:pPr>
              <w:jc w:val="both"/>
              <w:rPr>
                <w:color w:val="000000" w:themeColor="text1"/>
                <w:sz w:val="16"/>
                <w:szCs w:val="16"/>
              </w:rPr>
            </w:pPr>
          </w:p>
        </w:tc>
      </w:tr>
      <w:tr w:rsidR="00561F31" w:rsidRPr="00F90EAE" w14:paraId="33C77E53" w14:textId="77777777" w:rsidTr="00E55150">
        <w:trPr>
          <w:trHeight w:val="259"/>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7147DE29" w14:textId="77777777" w:rsidR="00500674" w:rsidRPr="00F90EAE" w:rsidRDefault="00500674" w:rsidP="00F90EAE">
            <w:pPr>
              <w:jc w:val="both"/>
              <w:rPr>
                <w:color w:val="000000" w:themeColor="text1"/>
                <w:sz w:val="16"/>
                <w:szCs w:val="16"/>
              </w:rPr>
            </w:pPr>
            <w:r w:rsidRPr="00F90EAE">
              <w:rPr>
                <w:color w:val="000000" w:themeColor="text1"/>
                <w:sz w:val="16"/>
                <w:szCs w:val="16"/>
              </w:rPr>
              <w:t>Минимальная скорость снижения, м/с</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6D22BCDC" w14:textId="77777777" w:rsidR="00500674" w:rsidRPr="00F90EAE" w:rsidRDefault="00500674" w:rsidP="00F90EAE">
            <w:pPr>
              <w:jc w:val="both"/>
              <w:rPr>
                <w:color w:val="000000" w:themeColor="text1"/>
                <w:sz w:val="16"/>
                <w:szCs w:val="16"/>
              </w:rPr>
            </w:pPr>
            <w:r w:rsidRPr="00F90EAE">
              <w:rPr>
                <w:color w:val="000000" w:themeColor="text1"/>
                <w:sz w:val="16"/>
                <w:szCs w:val="16"/>
              </w:rPr>
              <w:t>2,2</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68B42866" w14:textId="77777777" w:rsidR="00500674" w:rsidRPr="00F90EAE" w:rsidRDefault="00500674" w:rsidP="00F90EAE">
            <w:pPr>
              <w:jc w:val="both"/>
              <w:rPr>
                <w:color w:val="000000" w:themeColor="text1"/>
                <w:sz w:val="16"/>
                <w:szCs w:val="16"/>
              </w:rPr>
            </w:pP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627EC138" w14:textId="77777777" w:rsidR="00500674" w:rsidRPr="00F90EAE" w:rsidRDefault="00500674" w:rsidP="00F90EAE">
            <w:pPr>
              <w:jc w:val="both"/>
              <w:rPr>
                <w:color w:val="000000" w:themeColor="text1"/>
                <w:sz w:val="16"/>
                <w:szCs w:val="16"/>
              </w:rPr>
            </w:pPr>
          </w:p>
        </w:tc>
      </w:tr>
      <w:tr w:rsidR="00561F31" w:rsidRPr="00F90EAE" w14:paraId="402C76A3" w14:textId="77777777" w:rsidTr="00E55150">
        <w:trPr>
          <w:trHeight w:val="266"/>
        </w:trPr>
        <w:tc>
          <w:tcPr>
            <w:tcW w:w="3708" w:type="dxa"/>
            <w:tcBorders>
              <w:top w:val="single" w:sz="6" w:space="0" w:color="auto"/>
              <w:left w:val="single" w:sz="6" w:space="0" w:color="auto"/>
              <w:bottom w:val="single" w:sz="6" w:space="0" w:color="auto"/>
              <w:right w:val="single" w:sz="6" w:space="0" w:color="auto"/>
            </w:tcBorders>
            <w:shd w:val="clear" w:color="auto" w:fill="FFFFFF"/>
          </w:tcPr>
          <w:p w14:paraId="07460F19" w14:textId="77777777" w:rsidR="00500674" w:rsidRPr="00F90EAE" w:rsidRDefault="00500674" w:rsidP="00F90EAE">
            <w:pPr>
              <w:jc w:val="both"/>
              <w:rPr>
                <w:color w:val="000000" w:themeColor="text1"/>
                <w:sz w:val="16"/>
                <w:szCs w:val="16"/>
              </w:rPr>
            </w:pPr>
            <w:r w:rsidRPr="00F90EAE">
              <w:rPr>
                <w:color w:val="000000" w:themeColor="text1"/>
                <w:sz w:val="16"/>
                <w:szCs w:val="16"/>
              </w:rPr>
              <w:t>Максимальное качество при планировании</w:t>
            </w:r>
          </w:p>
        </w:tc>
        <w:tc>
          <w:tcPr>
            <w:tcW w:w="1944" w:type="dxa"/>
            <w:tcBorders>
              <w:top w:val="single" w:sz="6" w:space="0" w:color="auto"/>
              <w:left w:val="single" w:sz="6" w:space="0" w:color="auto"/>
              <w:bottom w:val="single" w:sz="6" w:space="0" w:color="auto"/>
              <w:right w:val="single" w:sz="6" w:space="0" w:color="auto"/>
            </w:tcBorders>
            <w:shd w:val="clear" w:color="auto" w:fill="FFFFFF"/>
          </w:tcPr>
          <w:p w14:paraId="25BDD680" w14:textId="77777777" w:rsidR="00500674" w:rsidRPr="00F90EAE" w:rsidRDefault="00500674" w:rsidP="00F90EAE">
            <w:pPr>
              <w:jc w:val="both"/>
              <w:rPr>
                <w:color w:val="000000" w:themeColor="text1"/>
                <w:sz w:val="16"/>
                <w:szCs w:val="16"/>
              </w:rPr>
            </w:pPr>
            <w:r w:rsidRPr="00F90EAE">
              <w:rPr>
                <w:color w:val="000000" w:themeColor="text1"/>
                <w:sz w:val="16"/>
                <w:szCs w:val="16"/>
              </w:rPr>
              <w:t>16</w:t>
            </w:r>
          </w:p>
        </w:tc>
        <w:tc>
          <w:tcPr>
            <w:tcW w:w="1940" w:type="dxa"/>
            <w:tcBorders>
              <w:top w:val="single" w:sz="6" w:space="0" w:color="auto"/>
              <w:left w:val="single" w:sz="6" w:space="0" w:color="auto"/>
              <w:bottom w:val="single" w:sz="6" w:space="0" w:color="auto"/>
              <w:right w:val="single" w:sz="6" w:space="0" w:color="auto"/>
            </w:tcBorders>
            <w:shd w:val="clear" w:color="auto" w:fill="FFFFFF"/>
          </w:tcPr>
          <w:p w14:paraId="7EDAAA9D" w14:textId="77777777" w:rsidR="00500674" w:rsidRPr="00F90EAE" w:rsidRDefault="00500674" w:rsidP="00F90EAE">
            <w:pPr>
              <w:jc w:val="both"/>
              <w:rPr>
                <w:color w:val="000000" w:themeColor="text1"/>
                <w:sz w:val="16"/>
                <w:szCs w:val="16"/>
              </w:rPr>
            </w:pPr>
            <w:r w:rsidRPr="00F90EAE">
              <w:rPr>
                <w:color w:val="000000" w:themeColor="text1"/>
                <w:sz w:val="16"/>
                <w:szCs w:val="16"/>
              </w:rPr>
              <w:t>18</w:t>
            </w:r>
          </w:p>
        </w:tc>
        <w:tc>
          <w:tcPr>
            <w:tcW w:w="2030" w:type="dxa"/>
            <w:tcBorders>
              <w:top w:val="single" w:sz="6" w:space="0" w:color="auto"/>
              <w:left w:val="single" w:sz="6" w:space="0" w:color="auto"/>
              <w:bottom w:val="single" w:sz="6" w:space="0" w:color="auto"/>
              <w:right w:val="single" w:sz="6" w:space="0" w:color="auto"/>
            </w:tcBorders>
            <w:shd w:val="clear" w:color="auto" w:fill="FFFFFF"/>
          </w:tcPr>
          <w:p w14:paraId="25D03921" w14:textId="77777777" w:rsidR="00500674" w:rsidRPr="00F90EAE" w:rsidRDefault="00500674" w:rsidP="00F90EAE">
            <w:pPr>
              <w:jc w:val="both"/>
              <w:rPr>
                <w:color w:val="000000" w:themeColor="text1"/>
                <w:sz w:val="16"/>
                <w:szCs w:val="16"/>
              </w:rPr>
            </w:pPr>
          </w:p>
        </w:tc>
      </w:tr>
    </w:tbl>
    <w:p w14:paraId="04D02848" w14:textId="77777777" w:rsidR="00500674" w:rsidRPr="00F90EAE" w:rsidRDefault="00500674" w:rsidP="00F90EAE">
      <w:pPr>
        <w:jc w:val="both"/>
        <w:rPr>
          <w:color w:val="000000" w:themeColor="text1"/>
          <w:sz w:val="16"/>
          <w:szCs w:val="16"/>
        </w:rPr>
      </w:pPr>
      <w:r w:rsidRPr="00F90EAE">
        <w:rPr>
          <w:color w:val="000000" w:themeColor="text1"/>
          <w:sz w:val="16"/>
          <w:szCs w:val="16"/>
        </w:rPr>
        <w:t>(12300).</w:t>
      </w:r>
    </w:p>
    <w:p w14:paraId="40A5F632" w14:textId="77777777" w:rsidR="00500674" w:rsidRPr="00F90EAE" w:rsidRDefault="00500674" w:rsidP="00F90EAE">
      <w:pPr>
        <w:jc w:val="both"/>
        <w:rPr>
          <w:color w:val="000000" w:themeColor="text1"/>
          <w:sz w:val="16"/>
          <w:szCs w:val="16"/>
        </w:rPr>
      </w:pPr>
    </w:p>
    <w:p w14:paraId="39E2C42A" w14:textId="77777777" w:rsidR="00500674" w:rsidRPr="00F90EAE" w:rsidRDefault="00500674" w:rsidP="00F90EAE">
      <w:pPr>
        <w:shd w:val="clear" w:color="auto" w:fill="FFFFFF"/>
        <w:jc w:val="both"/>
        <w:rPr>
          <w:color w:val="000000" w:themeColor="text1"/>
          <w:sz w:val="16"/>
          <w:szCs w:val="16"/>
        </w:rPr>
      </w:pPr>
      <w:r w:rsidRPr="00F90EAE">
        <w:rPr>
          <w:color w:val="000000" w:themeColor="text1"/>
          <w:sz w:val="16"/>
          <w:szCs w:val="16"/>
        </w:rPr>
        <w:t>В середине 1945 г. производство Г-11У прекратилось, однако, спустя год возобновилось и продолжалось вплоть до 1948 г. (точных данных о количестве Г-11, произведенных в этот период, не обнаружено).</w:t>
      </w:r>
    </w:p>
    <w:p w14:paraId="4B8C5D98" w14:textId="77777777" w:rsidR="00500674" w:rsidRPr="00F90EAE" w:rsidRDefault="00500674" w:rsidP="00F90EAE">
      <w:pPr>
        <w:shd w:val="clear" w:color="auto" w:fill="FFFFFF"/>
        <w:jc w:val="both"/>
        <w:rPr>
          <w:color w:val="000000" w:themeColor="text1"/>
          <w:sz w:val="16"/>
          <w:szCs w:val="16"/>
        </w:rPr>
      </w:pPr>
      <w:r w:rsidRPr="00F90EAE">
        <w:rPr>
          <w:color w:val="000000" w:themeColor="text1"/>
          <w:sz w:val="16"/>
          <w:szCs w:val="16"/>
        </w:rPr>
        <w:t>Использование Г-11 в период Великой Отечественной войны показало их высокую надежность и достаточную эффективность. Особенно активно планеры использовались для снабжения партизан в 1943-44 гг. В августе 1944-го конструктор Грибовский за доставку грузов планерами Г-11 партизанам Белоруссии был награжден медалью «Партизан Отечественной войны».</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77"/>
        <w:gridCol w:w="6645"/>
      </w:tblGrid>
      <w:tr w:rsidR="00561F31" w:rsidRPr="00F90EAE" w14:paraId="57044D41"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EF5DFE" w14:textId="77777777" w:rsidR="00500674" w:rsidRPr="00F90EAE" w:rsidRDefault="00500674" w:rsidP="00F90EAE">
            <w:pPr>
              <w:jc w:val="both"/>
              <w:rPr>
                <w:color w:val="000000" w:themeColor="text1"/>
                <w:sz w:val="16"/>
                <w:szCs w:val="16"/>
              </w:rPr>
            </w:pPr>
            <w:r w:rsidRPr="00F90EAE">
              <w:rPr>
                <w:color w:val="000000" w:themeColor="text1"/>
                <w:sz w:val="16"/>
                <w:szCs w:val="16"/>
              </w:rPr>
              <w:t>Модификация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F5C7F2" w14:textId="77777777" w:rsidR="00500674" w:rsidRPr="00F90EAE" w:rsidRDefault="00500674" w:rsidP="00F90EAE">
            <w:pPr>
              <w:jc w:val="both"/>
              <w:rPr>
                <w:color w:val="000000" w:themeColor="text1"/>
                <w:sz w:val="16"/>
                <w:szCs w:val="16"/>
              </w:rPr>
            </w:pPr>
            <w:r w:rsidRPr="00F90EAE">
              <w:rPr>
                <w:color w:val="000000" w:themeColor="text1"/>
                <w:sz w:val="16"/>
                <w:szCs w:val="16"/>
              </w:rPr>
              <w:t>  Г-11</w:t>
            </w:r>
          </w:p>
        </w:tc>
      </w:tr>
      <w:tr w:rsidR="00561F31" w:rsidRPr="00F90EAE" w14:paraId="23C614F5"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14953F" w14:textId="77777777" w:rsidR="00500674" w:rsidRPr="00F90EAE" w:rsidRDefault="00500674" w:rsidP="00F90EAE">
            <w:pPr>
              <w:jc w:val="both"/>
              <w:rPr>
                <w:color w:val="000000" w:themeColor="text1"/>
                <w:sz w:val="16"/>
                <w:szCs w:val="16"/>
              </w:rPr>
            </w:pPr>
            <w:r w:rsidRPr="00F90EAE">
              <w:rPr>
                <w:color w:val="000000" w:themeColor="text1"/>
                <w:sz w:val="16"/>
                <w:szCs w:val="16"/>
              </w:rPr>
              <w:t>Размах крыла,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AE7B89" w14:textId="77777777" w:rsidR="00500674" w:rsidRPr="00F90EAE" w:rsidRDefault="00500674" w:rsidP="00F90EAE">
            <w:pPr>
              <w:jc w:val="both"/>
              <w:rPr>
                <w:color w:val="000000" w:themeColor="text1"/>
                <w:sz w:val="16"/>
                <w:szCs w:val="16"/>
              </w:rPr>
            </w:pPr>
            <w:r w:rsidRPr="00F90EAE">
              <w:rPr>
                <w:color w:val="000000" w:themeColor="text1"/>
                <w:sz w:val="16"/>
                <w:szCs w:val="16"/>
              </w:rPr>
              <w:t>  18.00</w:t>
            </w:r>
          </w:p>
        </w:tc>
      </w:tr>
      <w:tr w:rsidR="00561F31" w:rsidRPr="00F90EAE" w14:paraId="05E39A6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1EBAD9" w14:textId="77777777" w:rsidR="00500674" w:rsidRPr="00F90EAE" w:rsidRDefault="00500674" w:rsidP="00F90EAE">
            <w:pPr>
              <w:jc w:val="both"/>
              <w:rPr>
                <w:color w:val="000000" w:themeColor="text1"/>
                <w:sz w:val="16"/>
                <w:szCs w:val="16"/>
              </w:rPr>
            </w:pPr>
            <w:r w:rsidRPr="00F90EAE">
              <w:rPr>
                <w:color w:val="000000" w:themeColor="text1"/>
                <w:sz w:val="16"/>
                <w:szCs w:val="16"/>
              </w:rPr>
              <w:t>Длина,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2F2C105" w14:textId="77777777" w:rsidR="00500674" w:rsidRPr="00F90EAE" w:rsidRDefault="00500674" w:rsidP="00F90EAE">
            <w:pPr>
              <w:jc w:val="both"/>
              <w:rPr>
                <w:color w:val="000000" w:themeColor="text1"/>
                <w:sz w:val="16"/>
                <w:szCs w:val="16"/>
              </w:rPr>
            </w:pPr>
            <w:r w:rsidRPr="00F90EAE">
              <w:rPr>
                <w:color w:val="000000" w:themeColor="text1"/>
                <w:sz w:val="16"/>
                <w:szCs w:val="16"/>
              </w:rPr>
              <w:t>  10.84</w:t>
            </w:r>
          </w:p>
        </w:tc>
      </w:tr>
      <w:tr w:rsidR="00561F31" w:rsidRPr="00F90EAE" w14:paraId="0AA16EA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7A778F7" w14:textId="77777777" w:rsidR="00500674" w:rsidRPr="00F90EAE" w:rsidRDefault="00500674" w:rsidP="00F90EAE">
            <w:pPr>
              <w:jc w:val="both"/>
              <w:rPr>
                <w:color w:val="000000" w:themeColor="text1"/>
                <w:sz w:val="16"/>
                <w:szCs w:val="16"/>
              </w:rPr>
            </w:pPr>
            <w:r w:rsidRPr="00F90EAE">
              <w:rPr>
                <w:color w:val="000000" w:themeColor="text1"/>
                <w:sz w:val="16"/>
                <w:szCs w:val="16"/>
              </w:rPr>
              <w:t>Высота, м</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D84A26" w14:textId="77777777" w:rsidR="00500674" w:rsidRPr="00F90EAE" w:rsidRDefault="00500674" w:rsidP="00F90EAE">
            <w:pPr>
              <w:jc w:val="both"/>
              <w:rPr>
                <w:color w:val="000000" w:themeColor="text1"/>
                <w:sz w:val="16"/>
                <w:szCs w:val="16"/>
              </w:rPr>
            </w:pPr>
            <w:r w:rsidRPr="00F90EAE">
              <w:rPr>
                <w:color w:val="000000" w:themeColor="text1"/>
                <w:sz w:val="16"/>
                <w:szCs w:val="16"/>
              </w:rPr>
              <w:t> </w:t>
            </w:r>
          </w:p>
        </w:tc>
      </w:tr>
      <w:tr w:rsidR="00561F31" w:rsidRPr="00F90EAE" w14:paraId="67A5B794"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1EF2E7" w14:textId="77777777" w:rsidR="00500674" w:rsidRPr="00F90EAE" w:rsidRDefault="00500674" w:rsidP="00F90EAE">
            <w:pPr>
              <w:jc w:val="both"/>
              <w:rPr>
                <w:color w:val="000000" w:themeColor="text1"/>
                <w:sz w:val="16"/>
                <w:szCs w:val="16"/>
              </w:rPr>
            </w:pPr>
            <w:r w:rsidRPr="00F90EAE">
              <w:rPr>
                <w:color w:val="000000" w:themeColor="text1"/>
                <w:sz w:val="16"/>
                <w:szCs w:val="16"/>
              </w:rPr>
              <w:t>Площадь крыла, м²</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5979E3" w14:textId="77777777" w:rsidR="00500674" w:rsidRPr="00F90EAE" w:rsidRDefault="00500674" w:rsidP="00F90EAE">
            <w:pPr>
              <w:jc w:val="both"/>
              <w:rPr>
                <w:color w:val="000000" w:themeColor="text1"/>
                <w:sz w:val="16"/>
                <w:szCs w:val="16"/>
              </w:rPr>
            </w:pPr>
            <w:r w:rsidRPr="00F90EAE">
              <w:rPr>
                <w:color w:val="000000" w:themeColor="text1"/>
                <w:sz w:val="16"/>
                <w:szCs w:val="16"/>
              </w:rPr>
              <w:t>  30.00</w:t>
            </w:r>
          </w:p>
        </w:tc>
      </w:tr>
      <w:tr w:rsidR="00561F31" w:rsidRPr="00F90EAE" w14:paraId="767D611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8098DB" w14:textId="77777777" w:rsidR="00500674" w:rsidRPr="00F90EAE" w:rsidRDefault="00500674" w:rsidP="00F90EAE">
            <w:pPr>
              <w:jc w:val="both"/>
              <w:rPr>
                <w:color w:val="000000" w:themeColor="text1"/>
                <w:sz w:val="16"/>
                <w:szCs w:val="16"/>
              </w:rPr>
            </w:pPr>
            <w:r w:rsidRPr="00F90EAE">
              <w:rPr>
                <w:color w:val="000000" w:themeColor="text1"/>
                <w:sz w:val="16"/>
                <w:szCs w:val="16"/>
              </w:rPr>
              <w:t>Масса, кг</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74FF91" w14:textId="77777777" w:rsidR="00500674" w:rsidRPr="00F90EAE" w:rsidRDefault="00500674" w:rsidP="00F90EAE">
            <w:pPr>
              <w:jc w:val="both"/>
              <w:rPr>
                <w:color w:val="000000" w:themeColor="text1"/>
                <w:sz w:val="16"/>
                <w:szCs w:val="16"/>
              </w:rPr>
            </w:pPr>
            <w:r w:rsidRPr="00F90EAE">
              <w:rPr>
                <w:color w:val="000000" w:themeColor="text1"/>
                <w:sz w:val="16"/>
                <w:szCs w:val="16"/>
              </w:rPr>
              <w:t> </w:t>
            </w:r>
          </w:p>
        </w:tc>
      </w:tr>
      <w:tr w:rsidR="00561F31" w:rsidRPr="00F90EAE" w14:paraId="6ECC055D"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02ED00" w14:textId="77777777" w:rsidR="00500674" w:rsidRPr="00F90EAE" w:rsidRDefault="00500674" w:rsidP="00F90EAE">
            <w:pPr>
              <w:jc w:val="both"/>
              <w:rPr>
                <w:color w:val="000000" w:themeColor="text1"/>
                <w:sz w:val="16"/>
                <w:szCs w:val="16"/>
              </w:rPr>
            </w:pPr>
            <w:r w:rsidRPr="00F90EAE">
              <w:rPr>
                <w:color w:val="000000" w:themeColor="text1"/>
                <w:sz w:val="16"/>
                <w:szCs w:val="16"/>
              </w:rPr>
              <w:t>  пустого снаряженного</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4AE8A6" w14:textId="77777777" w:rsidR="00500674" w:rsidRPr="00F90EAE" w:rsidRDefault="00500674" w:rsidP="00F90EAE">
            <w:pPr>
              <w:jc w:val="both"/>
              <w:rPr>
                <w:color w:val="000000" w:themeColor="text1"/>
                <w:sz w:val="16"/>
                <w:szCs w:val="16"/>
              </w:rPr>
            </w:pPr>
            <w:r w:rsidRPr="00F90EAE">
              <w:rPr>
                <w:color w:val="000000" w:themeColor="text1"/>
                <w:sz w:val="16"/>
                <w:szCs w:val="16"/>
              </w:rPr>
              <w:t>  960</w:t>
            </w:r>
          </w:p>
        </w:tc>
      </w:tr>
      <w:tr w:rsidR="00561F31" w:rsidRPr="00F90EAE" w14:paraId="702986E9"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F6B18E" w14:textId="77777777" w:rsidR="00500674" w:rsidRPr="00F90EAE" w:rsidRDefault="00500674" w:rsidP="00F90EAE">
            <w:pPr>
              <w:jc w:val="both"/>
              <w:rPr>
                <w:color w:val="000000" w:themeColor="text1"/>
                <w:sz w:val="16"/>
                <w:szCs w:val="16"/>
              </w:rPr>
            </w:pPr>
            <w:r w:rsidRPr="00F90EAE">
              <w:rPr>
                <w:color w:val="000000" w:themeColor="text1"/>
                <w:sz w:val="16"/>
                <w:szCs w:val="16"/>
              </w:rPr>
              <w:t>  максимальная взлетная</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06564C" w14:textId="77777777" w:rsidR="00500674" w:rsidRPr="00F90EAE" w:rsidRDefault="00500674" w:rsidP="00F90EAE">
            <w:pPr>
              <w:jc w:val="both"/>
              <w:rPr>
                <w:color w:val="000000" w:themeColor="text1"/>
                <w:sz w:val="16"/>
                <w:szCs w:val="16"/>
              </w:rPr>
            </w:pPr>
            <w:r w:rsidRPr="00F90EAE">
              <w:rPr>
                <w:color w:val="000000" w:themeColor="text1"/>
                <w:sz w:val="16"/>
                <w:szCs w:val="16"/>
              </w:rPr>
              <w:t>  1660</w:t>
            </w:r>
          </w:p>
        </w:tc>
      </w:tr>
      <w:tr w:rsidR="00561F31" w:rsidRPr="00F90EAE" w14:paraId="0BD64BBE"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2988AB" w14:textId="77777777" w:rsidR="00500674" w:rsidRPr="00F90EAE" w:rsidRDefault="00500674" w:rsidP="00F90EAE">
            <w:pPr>
              <w:jc w:val="both"/>
              <w:rPr>
                <w:color w:val="000000" w:themeColor="text1"/>
                <w:sz w:val="16"/>
                <w:szCs w:val="16"/>
              </w:rPr>
            </w:pPr>
            <w:r w:rsidRPr="00F90EAE">
              <w:rPr>
                <w:color w:val="000000" w:themeColor="text1"/>
                <w:sz w:val="16"/>
                <w:szCs w:val="16"/>
              </w:rPr>
              <w:t>Максимальная скорость, км/ч</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6CAA83" w14:textId="77777777" w:rsidR="00500674" w:rsidRPr="00F90EAE" w:rsidRDefault="00500674" w:rsidP="00F90EAE">
            <w:pPr>
              <w:jc w:val="both"/>
              <w:rPr>
                <w:color w:val="000000" w:themeColor="text1"/>
                <w:sz w:val="16"/>
                <w:szCs w:val="16"/>
              </w:rPr>
            </w:pPr>
            <w:r w:rsidRPr="00F90EAE">
              <w:rPr>
                <w:color w:val="000000" w:themeColor="text1"/>
                <w:sz w:val="16"/>
                <w:szCs w:val="16"/>
              </w:rPr>
              <w:t>  220</w:t>
            </w:r>
          </w:p>
        </w:tc>
      </w:tr>
      <w:tr w:rsidR="00561F31" w:rsidRPr="00F90EAE" w14:paraId="30F4357A" w14:textId="77777777" w:rsidTr="00E55150">
        <w:trPr>
          <w:trHeight w:val="180"/>
        </w:trPr>
        <w:tc>
          <w:tcPr>
            <w:tcW w:w="38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247DEF" w14:textId="77777777" w:rsidR="00500674" w:rsidRPr="00F90EAE" w:rsidRDefault="00500674" w:rsidP="00F90EAE">
            <w:pPr>
              <w:jc w:val="both"/>
              <w:rPr>
                <w:color w:val="000000" w:themeColor="text1"/>
                <w:sz w:val="16"/>
                <w:szCs w:val="16"/>
              </w:rPr>
            </w:pPr>
            <w:r w:rsidRPr="00F90EAE">
              <w:rPr>
                <w:color w:val="000000" w:themeColor="text1"/>
                <w:sz w:val="16"/>
                <w:szCs w:val="16"/>
              </w:rPr>
              <w:t>Полезная нагрузка:</w:t>
            </w:r>
          </w:p>
        </w:tc>
        <w:tc>
          <w:tcPr>
            <w:tcW w:w="54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FFFF5C" w14:textId="77777777" w:rsidR="00500674" w:rsidRPr="00F90EAE" w:rsidRDefault="00500674" w:rsidP="00F90EAE">
            <w:pPr>
              <w:jc w:val="both"/>
              <w:rPr>
                <w:color w:val="000000" w:themeColor="text1"/>
                <w:sz w:val="16"/>
                <w:szCs w:val="16"/>
              </w:rPr>
            </w:pPr>
            <w:r w:rsidRPr="00F90EAE">
              <w:rPr>
                <w:color w:val="000000" w:themeColor="text1"/>
                <w:sz w:val="16"/>
                <w:szCs w:val="16"/>
              </w:rPr>
              <w:t>  11 десантников</w:t>
            </w:r>
          </w:p>
        </w:tc>
      </w:tr>
    </w:tbl>
    <w:p w14:paraId="23B466FC" w14:textId="77777777" w:rsidR="00500674" w:rsidRPr="00F90EAE" w:rsidRDefault="00500674" w:rsidP="00F90EAE">
      <w:pPr>
        <w:pBdr>
          <w:bottom w:val="single" w:sz="6" w:space="2" w:color="EBEBEB"/>
        </w:pBdr>
        <w:shd w:val="clear" w:color="auto" w:fill="FFFFFF"/>
        <w:jc w:val="both"/>
        <w:rPr>
          <w:color w:val="000000" w:themeColor="text1"/>
          <w:sz w:val="16"/>
          <w:szCs w:val="16"/>
        </w:rPr>
      </w:pPr>
      <w:r w:rsidRPr="00F90EAE">
        <w:rPr>
          <w:color w:val="000000" w:themeColor="text1"/>
          <w:sz w:val="16"/>
          <w:szCs w:val="16"/>
        </w:rPr>
        <w:t>(12682).</w:t>
      </w:r>
    </w:p>
    <w:p w14:paraId="5ADF86F8" w14:textId="77777777" w:rsidR="00500674" w:rsidRPr="00F90EAE" w:rsidRDefault="00500674" w:rsidP="00F90EAE">
      <w:pPr>
        <w:jc w:val="both"/>
        <w:rPr>
          <w:color w:val="000000" w:themeColor="text1"/>
          <w:sz w:val="16"/>
          <w:szCs w:val="16"/>
        </w:rPr>
      </w:pPr>
    </w:p>
    <w:p w14:paraId="4F7E3611" w14:textId="77777777" w:rsidR="00C46885" w:rsidRPr="00F90EAE" w:rsidRDefault="00C46885" w:rsidP="00F90EAE">
      <w:pPr>
        <w:pStyle w:val="article-renderblock"/>
        <w:shd w:val="clear" w:color="auto" w:fill="FFFFFF"/>
        <w:spacing w:before="0" w:beforeAutospacing="0" w:after="0" w:afterAutospacing="0"/>
        <w:jc w:val="both"/>
        <w:rPr>
          <w:color w:val="0070C0"/>
          <w:sz w:val="16"/>
          <w:szCs w:val="16"/>
        </w:rPr>
      </w:pPr>
      <w:r w:rsidRPr="00F90EAE">
        <w:rPr>
          <w:color w:val="0070C0"/>
          <w:sz w:val="16"/>
          <w:szCs w:val="16"/>
        </w:rPr>
        <w:t>В середине 1945 году в ГосНИИ ГВФ , при участие летчиков С. Д. Спиваковского, С. В. Васильченко проходил испытания гражданский вариант самолета Ще-2 (19837).</w:t>
      </w:r>
    </w:p>
    <w:p w14:paraId="37ECFB40" w14:textId="77777777" w:rsidR="00C46885" w:rsidRPr="00F90EAE" w:rsidRDefault="00C46885" w:rsidP="00F90EAE">
      <w:pPr>
        <w:pStyle w:val="article-renderblock"/>
        <w:shd w:val="clear" w:color="auto" w:fill="FFFFFF"/>
        <w:spacing w:before="0" w:beforeAutospacing="0" w:after="0" w:afterAutospacing="0"/>
        <w:jc w:val="both"/>
        <w:rPr>
          <w:color w:val="0070C0"/>
          <w:sz w:val="16"/>
          <w:szCs w:val="16"/>
        </w:rPr>
      </w:pPr>
    </w:p>
    <w:p w14:paraId="4C49C57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С середины 1945 г. на конструкторов завода № 478 также была возложена задача по обеспечению запуска в производство мотора М-72 (четырехтактный двухцилиндровый оппозитный, мощностью 22 л.с.) для находившихся на вооружении Красной Армии тяжелых мотоциклов М-72, созданных в 1940 г. на базе немецкого мотоцикла R-71 фирмы ВМW. Документация на двигатель была передана Ирбитским мотоциклетным заводом. </w:t>
      </w:r>
    </w:p>
    <w:p w14:paraId="452A2DB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5 мая 1945 г. нарком авиационной промышленности А.И. Шахурин подписал приказ об организации на заводе №478 опытно-конструкторского бюро, на которое возлагались функции внедрения в серийное производство моторов М-88Б и создание новых и модифицированных моторов. Начальником ОКБ завода назначили А.Г. Ивченко, освободив его от должности заместителя главного конструктора завода № 29 в Омске. </w:t>
      </w:r>
    </w:p>
    <w:p w14:paraId="7E29A9F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Ядро коллектива нового ОКБ составили вернувшиеся из Омска специалисты ОКБ № 29: А.М. Анашкин, В.А. Лотарев, А.С. Красников, К.М. Валик, А.В. Выгодин и др. Это были годы энтузиазма и творческого подъема, вызванного победой в Великой Отечественной войне и долгожданным возвращением на берега родного Днепра. Иначе чем объяснить, что за столь короткое время был создан целый ряд поршневых двигателей различной размерности и назначения, что позволило заводским конструкторам обрести авторитет коллектива, который в короткие сроки и с высоким техническим уровнем может справиться с любой задачей. </w:t>
      </w:r>
    </w:p>
    <w:p w14:paraId="1F6B3231"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 xml:space="preserve">В 1945 г. начал стендовые и летные испытания мотор М-26 мощностью 500 л.с. (семицилиндровая однорядная "звезда" фактически "половинка" АШ-82), работы над которым начались еще в ОКБ-29 в Омске. Ведущим конструктором по двигателю был В.А. Лотарев. Очевидно, М-26 был альтернативным АШ-21 проектом мотора для учебно/тренировочного самолета Як-11, однако предпочтение было отдано более мощному АШ-21, и М-26 не нашел применения на самолетах, но обрел свое место на новом типе летательных аппаратов - геликоптерах (так тогда называ ли вертолеты), работы по созданию и производству которых широко развернулись в это время в мире (11762). </w:t>
      </w:r>
    </w:p>
    <w:p w14:paraId="6E714F33" w14:textId="77777777" w:rsidR="006103B3" w:rsidRPr="00F90EAE" w:rsidRDefault="006103B3" w:rsidP="00F90EAE">
      <w:pPr>
        <w:autoSpaceDE w:val="0"/>
        <w:autoSpaceDN w:val="0"/>
        <w:adjustRightInd w:val="0"/>
        <w:jc w:val="both"/>
        <w:rPr>
          <w:color w:val="000000" w:themeColor="text1"/>
          <w:sz w:val="16"/>
          <w:szCs w:val="16"/>
        </w:rPr>
      </w:pPr>
    </w:p>
    <w:p w14:paraId="0BF849B9"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1945 года советская авиационная промышленность получила в свое распоряжение более 600 заводов и фабрик, так или иначе связанных с авиастроением, расположенных в советской оккупационной зоне на территории Западной Европы. Из них 213 основных авиационных предприятий и 387 организаций, перепрофилированных в годы войны на выпуск авиационной продукции. Их общая производственная площадь составляла 4 миллиона кв. метров. Это более половины всего авиационно-технического потенциала Германии. Правда, большинство объектов было разрушено в результате многочисленных бомбардировок и артобстрелов, а часть специалистов и документации оказалась на Западе. Несмотря на это было вывезено 123 тысячи станков и другого промышленного оборудования, из них 66 тысяч непосредственно на предприятия Министерства авиационной промышленности СССР. Кроме оборудования из оккупационной зоны было доставлено огромное количество секретной документации (11765).</w:t>
      </w:r>
    </w:p>
    <w:p w14:paraId="4F30EACA" w14:textId="77777777" w:rsidR="006103B3" w:rsidRPr="00F90EAE" w:rsidRDefault="006103B3" w:rsidP="00F90EAE">
      <w:pPr>
        <w:autoSpaceDE w:val="0"/>
        <w:autoSpaceDN w:val="0"/>
        <w:adjustRightInd w:val="0"/>
        <w:jc w:val="both"/>
        <w:rPr>
          <w:color w:val="000000" w:themeColor="text1"/>
          <w:sz w:val="16"/>
          <w:szCs w:val="16"/>
        </w:rPr>
      </w:pPr>
    </w:p>
    <w:p w14:paraId="22AC2425" w14:textId="77777777" w:rsidR="006103B3" w:rsidRPr="00F90EAE" w:rsidRDefault="006103B3" w:rsidP="00F90EAE">
      <w:pPr>
        <w:shd w:val="clear" w:color="auto" w:fill="FFFFFF"/>
        <w:autoSpaceDE w:val="0"/>
        <w:autoSpaceDN w:val="0"/>
        <w:adjustRightInd w:val="0"/>
        <w:jc w:val="both"/>
        <w:rPr>
          <w:color w:val="000000" w:themeColor="text1"/>
          <w:sz w:val="16"/>
          <w:szCs w:val="16"/>
        </w:rPr>
      </w:pPr>
      <w:r w:rsidRPr="00F90EAE">
        <w:rPr>
          <w:color w:val="000000" w:themeColor="text1"/>
          <w:sz w:val="16"/>
          <w:szCs w:val="16"/>
        </w:rPr>
        <w:t>В середине 1945 с целью подготовки кадров для предприятий отрасли, по предложе</w:t>
      </w:r>
      <w:r w:rsidRPr="00F90EAE">
        <w:rPr>
          <w:color w:val="000000" w:themeColor="text1"/>
          <w:sz w:val="16"/>
          <w:szCs w:val="16"/>
        </w:rPr>
        <w:softHyphen/>
        <w:t>нию и при непосредственном участии А.Д. Надирадзе, С.А. Христиановича, Я.Б. Зельдовича, Я.Б. Шора, Е.А. Ланга, Ф.Р. Гантмахера и других в ММИ организовали факультет «специальной боевой техни</w:t>
      </w:r>
      <w:r w:rsidRPr="00F90EAE">
        <w:rPr>
          <w:color w:val="000000" w:themeColor="text1"/>
          <w:sz w:val="16"/>
          <w:szCs w:val="16"/>
        </w:rPr>
        <w:softHyphen/>
        <w:t>ки» (реактивного вооружения). В соста</w:t>
      </w:r>
      <w:r w:rsidRPr="00F90EAE">
        <w:rPr>
          <w:color w:val="000000" w:themeColor="text1"/>
          <w:sz w:val="16"/>
          <w:szCs w:val="16"/>
        </w:rPr>
        <w:softHyphen/>
        <w:t>ве ММИ было организовано ОКБ по раз</w:t>
      </w:r>
      <w:r w:rsidRPr="00F90EAE">
        <w:rPr>
          <w:color w:val="000000" w:themeColor="text1"/>
          <w:sz w:val="16"/>
          <w:szCs w:val="16"/>
        </w:rPr>
        <w:softHyphen/>
        <w:t>работке реактивных боеприпасов, на</w:t>
      </w:r>
      <w:r w:rsidRPr="00F90EAE">
        <w:rPr>
          <w:color w:val="000000" w:themeColor="text1"/>
          <w:sz w:val="16"/>
          <w:szCs w:val="16"/>
        </w:rPr>
        <w:softHyphen/>
        <w:t>чальником и главным конструктором ко</w:t>
      </w:r>
      <w:r w:rsidRPr="00F90EAE">
        <w:rPr>
          <w:color w:val="000000" w:themeColor="text1"/>
          <w:sz w:val="16"/>
          <w:szCs w:val="16"/>
        </w:rPr>
        <w:softHyphen/>
        <w:t>торого стал А.Д. Надирадзе, в будущем директор и главный конструктор МИТ, разрабатывавший подвижные ракетные комплексы стратегического назначения. Вместе с тем ведомственная разоб</w:t>
      </w:r>
      <w:r w:rsidRPr="00F90EAE">
        <w:rPr>
          <w:color w:val="000000" w:themeColor="text1"/>
          <w:sz w:val="16"/>
          <w:szCs w:val="16"/>
        </w:rPr>
        <w:softHyphen/>
        <w:t>щенность разработчиков РС (филиал №2 НИИ-1 Наркомата авиационной промышленности) и заводов-изготови</w:t>
      </w:r>
      <w:r w:rsidRPr="00F90EAE">
        <w:rPr>
          <w:color w:val="000000" w:themeColor="text1"/>
          <w:sz w:val="16"/>
          <w:szCs w:val="16"/>
        </w:rPr>
        <w:softHyphen/>
        <w:t>телей (Наркомат боеприпасов) не спо</w:t>
      </w:r>
      <w:r w:rsidRPr="00F90EAE">
        <w:rPr>
          <w:color w:val="000000" w:themeColor="text1"/>
          <w:sz w:val="16"/>
          <w:szCs w:val="16"/>
        </w:rPr>
        <w:softHyphen/>
        <w:t>собствовала тесному взаимодействию и эффективной работе создателей реак</w:t>
      </w:r>
      <w:r w:rsidRPr="00F90EAE">
        <w:rPr>
          <w:color w:val="000000" w:themeColor="text1"/>
          <w:sz w:val="16"/>
          <w:szCs w:val="16"/>
        </w:rPr>
        <w:softHyphen/>
        <w:t>тивных систем залпового огня. Осозна</w:t>
      </w:r>
      <w:r w:rsidRPr="00F90EAE">
        <w:rPr>
          <w:color w:val="000000" w:themeColor="text1"/>
          <w:sz w:val="16"/>
          <w:szCs w:val="16"/>
        </w:rPr>
        <w:softHyphen/>
        <w:t>вая необходимость создания проектно-конструкторской организации, а также руководствуясь складывающейся ситу</w:t>
      </w:r>
      <w:r w:rsidRPr="00F90EAE">
        <w:rPr>
          <w:color w:val="000000" w:themeColor="text1"/>
          <w:sz w:val="16"/>
          <w:szCs w:val="16"/>
        </w:rPr>
        <w:softHyphen/>
        <w:t>ацией с твердотопливными ракетами (к тому времени было «установлено на</w:t>
      </w:r>
      <w:r w:rsidRPr="00F90EAE">
        <w:rPr>
          <w:color w:val="000000" w:themeColor="text1"/>
          <w:sz w:val="16"/>
          <w:szCs w:val="16"/>
        </w:rPr>
        <w:softHyphen/>
        <w:t>личие у немцев образцов длиной до 14 м при диаметре до полуметра»), нарком боеприпасов Б.Л. Ванников 16 марта 1945 г. обратился к заместителю предсе</w:t>
      </w:r>
      <w:r w:rsidRPr="00F90EAE">
        <w:rPr>
          <w:color w:val="000000" w:themeColor="text1"/>
          <w:sz w:val="16"/>
          <w:szCs w:val="16"/>
        </w:rPr>
        <w:softHyphen/>
        <w:t>дателя ГКО Л.П. Берии с предложения</w:t>
      </w:r>
      <w:r w:rsidRPr="00F90EAE">
        <w:rPr>
          <w:color w:val="000000" w:themeColor="text1"/>
          <w:sz w:val="16"/>
          <w:szCs w:val="16"/>
        </w:rPr>
        <w:softHyphen/>
        <w:t xml:space="preserve">ми о создании </w:t>
      </w:r>
      <w:r w:rsidRPr="00F90EAE">
        <w:rPr>
          <w:color w:val="000000" w:themeColor="text1"/>
          <w:sz w:val="16"/>
          <w:szCs w:val="16"/>
        </w:rPr>
        <w:lastRenderedPageBreak/>
        <w:t>новой проектно-конст-рукторской организации — Централь</w:t>
      </w:r>
      <w:r w:rsidRPr="00F90EAE">
        <w:rPr>
          <w:color w:val="000000" w:themeColor="text1"/>
          <w:sz w:val="16"/>
          <w:szCs w:val="16"/>
        </w:rPr>
        <w:softHyphen/>
        <w:t>ного конструкторского бюро по реак</w:t>
      </w:r>
      <w:r w:rsidRPr="00F90EAE">
        <w:rPr>
          <w:color w:val="000000" w:themeColor="text1"/>
          <w:sz w:val="16"/>
          <w:szCs w:val="16"/>
        </w:rPr>
        <w:softHyphen/>
        <w:t>тивным снарядам. Разместить это КБ предлагалось в Москве на территории завода №67 (бывший «Мастяжарт» — Мастерские тяжелой артиллерии) на Вельяминовской улице (11090).</w:t>
      </w:r>
    </w:p>
    <w:p w14:paraId="40F37456" w14:textId="77777777" w:rsidR="006103B3" w:rsidRPr="00F90EAE" w:rsidRDefault="006103B3" w:rsidP="00F90EAE">
      <w:pPr>
        <w:shd w:val="clear" w:color="auto" w:fill="FFFFFF"/>
        <w:autoSpaceDE w:val="0"/>
        <w:autoSpaceDN w:val="0"/>
        <w:adjustRightInd w:val="0"/>
        <w:jc w:val="both"/>
        <w:rPr>
          <w:color w:val="000000" w:themeColor="text1"/>
          <w:sz w:val="16"/>
          <w:szCs w:val="16"/>
        </w:rPr>
      </w:pPr>
    </w:p>
    <w:p w14:paraId="56C2D95D"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В середине 1945 г. в СССР попали немецкие планирующие бомбы. В СССР трофейные бомбы «Фриц-Х» были испытаны в 1950 г. в КБ-2 Министерства сельскохозяйственного машиностроения. После этого на базе SD-1400 началось проектирование отечественных планирующих телеуправляемых бомб. 15 октября 1951 г. вышло Постановление Совмина СССР № 3969—1815, предусматривающее начало работ по созданию управляемых фугасных бомб УБ-2000Ф «Чайка» и УБ-5000Ф «Кондор», и бронебойной бомбы УБ-2000Б.</w:t>
      </w:r>
    </w:p>
    <w:p w14:paraId="0C19A1A0"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Разработка бомб велась в КБ-2 Минсельхозмаша (позже переименовано в ГСНИИ-642) под руководством Адена Надирадзе. Радиокомандной системой управления занималось НИИ-648. Согласно постановления Совмина от 27 ноября 1953 г. — работы по бронебойной бомбе были прекращены. Управляемые бомбы «Чайка» и «Кондор» были очень похожи на свой прототип — немецкую бомбу «Фриц X»: крестообразные крылья, интерцепторное управление, система радиокомандного наведения и т.д. Подобно «Фрицу», наведение бомбы происходило по методу «трех точек» по радиокомандам самолета-носителя с помощью специального оптического прицела и трассеров, установленных на обеих законцовках стабилизаторов бомб. При полете самолета-носителя на высоте 7000 м она сбрасывалась на удалении 2,6 км от цели, пролетала вперед более 4 км, а затем возвращалась к цели, поражая ее к тому моменту, когда самолет уже уходил на 5 км от цели. При этом наклонная дальность от самолета до цели увеличивалась до 9 км. Наведение бомбы через оптический прицел с самолета-носителя существенно зависело от прозрачности атмосферы и исключалось при наличии тумана, дымовой завесы, поставленной противником, и т.д. В процессе всего наведения бомбы на цель самолет-носитель не должен был менять курс и скорость, что было крайне неудобно при открытии огня зенитной артиллерией и при атаке истребителей. По проекту носителем «Чайки» должен был быть реактивный бомбардировщик Ил-28, а «Кондора» — реактивный бомбардировщик Ту-16, но испытания их проводились за неимением Ту-16 на Ту-4 и Ил-28. Испытания на подтверждение заявленной точности проводились на полигоне Владимировка Астраханской области с ноября 1954 г. по февраль 1955 г. со сбросом 15 бомб с бомбардировщика Ил-28. Государственные испытания велись с 20 июля 1955 г. В ходе них было сброшено 20 бомб опытной партии. Постановлением Совмина № 2000—1070 от 1 декабря 1955 г. бомба УБ-2000Ф «Чайка» была принята на вооружение под индексами УБ-2Ф (4А-22). Самолеты Ту-16 могли нести по две УБ-2Ф на подкрыльевой подвеске, а Ил-28 — одну УБ-2Ф под фюзеляжем. В 1956 г. предусматривался выпуск установочной партии в 120 управляемых авиабомб и переоборудование двенадцати бомбардировщиков Ил-28 в их носители. По результатам испытаний на полигоне Владимировка для поражения цели размером 30 х 70 м требовалось сбросить две-три бомбы УБ-2Ф, что было эквивалентно применению 168 неуправляемых бомб ФАБ-1500. Этим же Постановлением Совмина предусматривалась разработка усовершенствованного варианта УБ-2Ф — «Чайка-2», оснащенного инфракрасной головкой самонаведения (ГСН) без использования командной радиолинии. Впереди боевой части «Чайки-2» размещалась инфракрасная ГСН. Чувствительность ее была довольно низкой. Она допускала применение по очень мощным источникам теплового излучения, например, металлургическим заводам, коксохимическим предприятиям, тепловым электростанциям, кораблям. После сброса бомба «Чайка-2» сначала выполняла автономный полет, переходя в планирование по направлению к цели, а затем, после захвата цели инфракрасной ГСН, бомба переходила на самонаведение. При установке инфракрасной ГСН отказались от системы радиокомандного управления, в результате вес бомбы «Чайка-2» увеличился всего на 50 кг, а длина — на 220 мм. Также прорабатывался вариант авиабомбы «Чайка-3» с пассивной радиолокационной головкой самонаведения (РГС) ПРГ-ЮВ. «Чайка-3» предназначалась для поражения радиолокаторов и станций постановки активных помех противника. Работы по «Чайке» шли с опережением рабом по «Кондору», который по своим основным конструктивным и схемным решениям представлял собой увеличенный вариант «Чайки». Летные испытания «Кондора» начались в сентябре 1954 г. Две экспериментальные бомбы были сброшены с бомбардировщика Ту-4. Скорость бомб достигла 0.9 М Испытания были признаны удовлетворительными. На заводских бомбах «Кондор» в целях снижения стоимости производства было решено перейти от клепаной конструкции крыла с обшивкой и силовым набором к монолитным крыльям из дюралевых пластин. В 1955 г. на полигон было направлено 18 бомб визуального наведения заводской партии и 2 макета для облетов на Ту-16, которые были выполнены в начале 1956 г. В марте 1956 г. на полигоне начались сбросы бомб с носителя Ту-16. Сразу возникли проблемы. За счет увеличения высоты полета самолета-носителя до 11 км и скорости до 800 км/час «Кондор», падая, разгонялся до сверхзвуковой скорости (порядка 1,1 М). При отработке управляющей команды по каналу управления по курсу бомба теряла поперечную устойчивость и начинала вращаться. После этого на всех последующих бомбах увеличили интерцепторы управления по крену. Последующие сбросы выявили необходимость изменения аэродинамических форм бомбы. Параллельно с работами по радионаведению с помощью оптического прицела велись работы по наведению «Кондора» по телевизионному каналу. Осенью 1955 г. были испытаны три бомбы «Кондор» с телевизионной головкой самонаведения. Испытания прошли относительно удачно. Однако руководство приняло решение прекратить работы по «Кондору» с телевизионной системой управления. Проектирование пятитонной управляемой бомбы «внутренней подвески» УБВ-5 было начато по Постановлению Совмина СССР № 1311—747 от 19 июля 1955 г. Бомба проектировалась с фугасной и бронебойной боевыми частями. Бомбу УБВ-5 предполагалось оснастить телевизионной аппаратурой, разработанной во ВНИИ-380, или инфракрасной головкой самонаведения, разработанной в ЦКБ-585. Однако в середине 1950-х годов были прекращены все работы по «Кондору», «Чайке-2» и УБВ-5. В СССР начался «ракетный бум», и управляемые бомбы были сочтены устаревшим оружием (15225).</w:t>
      </w:r>
    </w:p>
    <w:p w14:paraId="4E5A2CA0" w14:textId="77777777" w:rsidR="002A5DBF" w:rsidRPr="00F90EAE" w:rsidRDefault="002A5DBF" w:rsidP="00F90EAE">
      <w:pPr>
        <w:pStyle w:val="book"/>
        <w:ind w:firstLine="0"/>
        <w:jc w:val="both"/>
        <w:rPr>
          <w:color w:val="000000" w:themeColor="text1"/>
          <w:sz w:val="16"/>
          <w:szCs w:val="16"/>
        </w:rPr>
      </w:pPr>
    </w:p>
    <w:p w14:paraId="746EC41F"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Другие оборонные отрасли:</w:t>
      </w:r>
    </w:p>
    <w:p w14:paraId="5866DCD6" w14:textId="77777777" w:rsidR="006103B3" w:rsidRPr="00F90EAE" w:rsidRDefault="006103B3" w:rsidP="00F90EAE">
      <w:pPr>
        <w:autoSpaceDE w:val="0"/>
        <w:autoSpaceDN w:val="0"/>
        <w:adjustRightInd w:val="0"/>
        <w:jc w:val="both"/>
        <w:rPr>
          <w:iCs/>
          <w:color w:val="000000" w:themeColor="text1"/>
          <w:sz w:val="16"/>
          <w:szCs w:val="16"/>
        </w:rPr>
      </w:pPr>
    </w:p>
    <w:p w14:paraId="7D32D614"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середине 1945 г. страна располагала семью автозаводами, которые после соответствующей реконструкции могли в ближайшие годы освоить выпуск автомобилей. Выросли новые предприятия-смежники, среди которых были шинный завод в Москве, заводы подшипников качения в Саратове, Куйбышеве, Свердловске, Томске, а также предприятия в других городах страны. Было создано Министерство автомобильной промышленности СССР - орган централизованного руководства отраслью по вертикали. Первым министром стал С. А. Акопов. Важным моментом, определившим послевоенное развитие советской автомобильной промышленности, явился осмотр 19 июня 1945 г. руководителями нашего правительства новых моделей автомобилей. Они получили одобрение, и 26 августа 1945 г. было подписано постановление Государственного комитета обороны "О восстановлении и развитии автомобильной промышленности". Новый пятилетний план восстановления и развития народного хозяйства на 1946-1950 гг. предусматривал интенсивное развитие автомобильной промышленности. Наряду с расширением и реконструкцией таких предприятий, как ЗИС, ГАЗ, ЯАЗ, МЗМА (быший завод имени КИМ), УралЗИС, предстояло построить новые заводы в Москве, Днепропетровске, Кутаиси, Одессе, Львове, Новосибирске с выходом с 1950 г. на уровень производства 500 тыс. машин (рост против довоенного уровня более чем в 2,3 раза) и выпуском 24 разных моделей. Для обозначения новых моделей, изготовляемых большим количеством заводов, в отрасли получила распространение система индексации моделей и модификаций машин. Прежде у каждого завода существовали конструкции с одинаковыми индексами: ЯГ-10, КИМ-10, ЗИС-10 или ЗИС-6, ГАЗ-6. Теперь в соответствии с новой системой ГАЗ получил группу номеров от 1 до 99, ЗИС - от 100 до 199, ЯАЗ-от 200 до 249, "УралЗИС"-от 350 до 399. "Москвич" - от 400 до 449, УАЗ-от 450 до 499, МАЗ- от 500 до 549, ММЗ - от 550 до 599, КАЗ-от 600 до 649, ПЗ -от 650 до 690, ЛАЗ-от 691 до 699. Таким образом, в технической документации достаточно было указать индекс модели и при передаче ее производства на другой завод обозначение машины не претерпевало изменений. Например, автобус "651" сначала выпускали на Горь-ковском заводе автобусов ГЗА, потом на ПАЗ в Павлове, затем на Курганском автобусном заводе (КАвЗ). При этом конструкция машины и, следовательно, ее индекс оставались без изменений. Естественно, что в условиях административно-командной системы не существовало каких-либо патентных ограничений или авторского права заводов, препятствовавших такой передаче (12098).</w:t>
      </w:r>
    </w:p>
    <w:p w14:paraId="224BC364" w14:textId="77777777" w:rsidR="006103B3" w:rsidRPr="00F90EAE" w:rsidRDefault="006103B3" w:rsidP="00F90EAE">
      <w:pPr>
        <w:autoSpaceDE w:val="0"/>
        <w:autoSpaceDN w:val="0"/>
        <w:adjustRightInd w:val="0"/>
        <w:jc w:val="both"/>
        <w:rPr>
          <w:color w:val="000000" w:themeColor="text1"/>
          <w:sz w:val="16"/>
          <w:szCs w:val="16"/>
        </w:rPr>
      </w:pPr>
    </w:p>
    <w:p w14:paraId="4F938C33"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В середине лета 1945 года техническое описание Маус отправилось в Москву. Тем временем захваченный Красной армией полигон в Куммерсдорфе постепенно исследовался советскими специалистами. Заодно допрашивались пленные немецкие военные и инженеры. Объём информации по сверхтяжёлым танкам стал резко расти. В руки советских военных попали и трофейные документы немецкого министерства вооружений, благодаря чему уже к концу лета 1945 года были получены точные данные о Pz.Kpfw. Maus. Кроме того, нашлась и часть заводских чертежей.</w:t>
      </w:r>
    </w:p>
    <w:p w14:paraId="6A765532"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В руки Красной армии попали оба опытных образца Pz.Kpfw. Maus. Первая из построенных машин была найдена на стрельбище Куммерсдорфского полигона. Хотя, согласно первоначально поступившей информации, Typ 205/I также подорвали, имеющиеся фотографии эту информацию опровергают. Машину если и пытались подорвать, то явно неудачно: повреждений, сопоставимых с повреждениями второго танка, полученными от подрыва боекомплекта, Typ 205/I не получил. Больше похоже на то, что машину уже на стрельбище частично разукомплектовали.</w:t>
      </w:r>
    </w:p>
    <w:p w14:paraId="58AF42BE"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К моменту обнаружения этого танка на его левом борту корпуса имелись четыре отметины от попадания крупнокалиберных бронебойных снарядов. Ещё одна отметина была на левом борту массогабаритного макета башни.</w:t>
      </w:r>
    </w:p>
    <w:p w14:paraId="56A05C39"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То, что эти отметины могут быть результатом обстрела танка советскими орудиями, исключено. Аналогичные по характеру попадания в количестве девяти штук имелись и на лобовом листе корпуса. Танк же стоял параллельно лесному массиву, и вести обстрел по лобовой проекции с другой точки было невозможно. К моменту обнаружения машины на стрельбище она находилось в нерабочем состоянии, и развернуть его для обстрела было физически невозможно. Одним словом, обстреливали машину сами немцы, не исключено даже, что огонь по Typ 205/I вёл второй прототип. К моменту обнаружения танка на защите ходовой части от фронтального огня имелись приварки креплений для запасных траков, причём и в районе этих узлов обнаружились три попадания.</w:t>
      </w:r>
    </w:p>
    <w:p w14:paraId="60FED172"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 xml:space="preserve">В течение лета и начала осени 1945 года обе машины постепенно начали разукомплектовывать. Связано это было с тем, что привести в рабочее состояние ни одну из них оказалось невозможно. Кроме того, агрегаты танков представляли интерес и по отдельности. Для упрощения процедуры демонтажа массо-габаритный макет башни с первого опытного образца танка скинули. Снятые узлы и агрегаты немедленно описывались. Осенью 1945 года снятые с танков агрегаты отправились в </w:t>
      </w:r>
      <w:r w:rsidRPr="00F90EAE">
        <w:rPr>
          <w:color w:val="000000" w:themeColor="text1"/>
          <w:sz w:val="16"/>
          <w:szCs w:val="16"/>
        </w:rPr>
        <w:lastRenderedPageBreak/>
        <w:t>Ленинград на филиал опытного завода №100. Как раз в это время там шли работы по проектированию нового тяжёлого танка, и одна из его версий предусматривала использование электротрансмиссии.</w:t>
      </w:r>
    </w:p>
    <w:p w14:paraId="2AB5DAFB"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 xml:space="preserve">Совсем другая судьба ожидала сами танки. В конце лета 1945 года было решено собрать «гибрид» с использованием башни Typ 205/II и шасси Typ 205/I. Эта задача оказалась нетривиальной, поскольку просто так 50-тонную башню, покоящуюся на оторванном подбашенном листе, эвакуировать было непросто. Проблема была решена с помощью целой вереницы немецких полугусеничных </w:t>
      </w:r>
      <w:hyperlink r:id="rId160" w:history="1">
        <w:r w:rsidRPr="00F90EAE">
          <w:rPr>
            <w:color w:val="000000" w:themeColor="text1"/>
            <w:sz w:val="16"/>
            <w:szCs w:val="16"/>
          </w:rPr>
          <w:t>тягачей</w:t>
        </w:r>
      </w:hyperlink>
      <w:r w:rsidRPr="00F90EAE">
        <w:rPr>
          <w:color w:val="000000" w:themeColor="text1"/>
          <w:sz w:val="16"/>
          <w:szCs w:val="16"/>
        </w:rPr>
        <w:t xml:space="preserve"> (в основном Sd.Kfz.9). Не без труда эта кавалькада дотащила башню до Куммерсдорфа, где удалось отсоединить подбашенный погон. Уже в сентябре 1945 года собранный из частей обоих танков экземпляр Pz.Kpfw.Maus погрузили на специальную платформу, которая пережила войну.</w:t>
      </w:r>
    </w:p>
    <w:p w14:paraId="1D9E9D7C"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Интересно, что номера корпуса и башни разных танков совпадают: на корпусе с серийным номером 35141 установлена башня с тем же серийным номером 35141.</w:t>
      </w:r>
    </w:p>
    <w:p w14:paraId="690C70C4"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В таком виде в Куммерсдорфе танк простоял довольно долго. Несмотря на то что он был готов к отправке ещё осенью 1945 года, приказ о его перевозке на НИАБТ Полигон был отдан только полгода спустя. Согласно ведомости полигона, в Кубинку машина прибыла в мае 1946 года. Здесь изучение танка продолжилось, но в упрощённом режиме. Поскольку его агрегаты отправились в Ленинград, ни о каких ходовых испытаниях не было и речи. В основном в Кубинке готовились материалы, посвящённые изучению элементов ходовой части. Испытания стрельбой также были исключены, поскольку орудийная установка оказалась повреждена взрывом, и ствол 128-мм пушки фактически свободно болтался.</w:t>
      </w:r>
    </w:p>
    <w:p w14:paraId="1D4EFD6D"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Одним из немногих испытаний, которые провели на НИАБТ Полигоне, стал обстрел. Он производился в сокращённом объёме. По одному выстрелу было сделано по лобовой части корпуса и правому борту, а также в лоб башни и её правый борт. Все остальные следы от попаданий в танк имеют «немецкое» происхождение.</w:t>
      </w:r>
    </w:p>
    <w:p w14:paraId="7A5CF97D" w14:textId="77777777" w:rsidR="00A30E3B" w:rsidRPr="00F90EAE" w:rsidRDefault="00A30E3B" w:rsidP="00F90EAE">
      <w:pPr>
        <w:shd w:val="clear" w:color="auto" w:fill="FFFFFF"/>
        <w:jc w:val="both"/>
        <w:rPr>
          <w:color w:val="000000" w:themeColor="text1"/>
          <w:sz w:val="16"/>
          <w:szCs w:val="16"/>
        </w:rPr>
      </w:pPr>
      <w:r w:rsidRPr="00F90EAE">
        <w:rPr>
          <w:color w:val="000000" w:themeColor="text1"/>
          <w:sz w:val="16"/>
          <w:szCs w:val="16"/>
        </w:rPr>
        <w:t xml:space="preserve">В отличие от сверхтяжёлого танка </w:t>
      </w:r>
      <w:hyperlink r:id="rId161" w:history="1">
        <w:r w:rsidRPr="00F90EAE">
          <w:rPr>
            <w:color w:val="000000" w:themeColor="text1"/>
            <w:sz w:val="16"/>
            <w:szCs w:val="16"/>
          </w:rPr>
          <w:t>E-100</w:t>
        </w:r>
      </w:hyperlink>
      <w:r w:rsidRPr="00F90EAE">
        <w:rPr>
          <w:color w:val="000000" w:themeColor="text1"/>
          <w:sz w:val="16"/>
          <w:szCs w:val="16"/>
        </w:rPr>
        <w:t xml:space="preserve">, который англичане отправили на металлолом, его конкуренту повезло больше. После изучения Pz.Kpfw. Maus отбуксировали в музей при полигоне. На тот момент это была открытая площадка. Полноценный музей появился здесь уже в начале 70-х годов, когда </w:t>
      </w:r>
      <w:hyperlink r:id="rId162" w:history="1">
        <w:r w:rsidRPr="00F90EAE">
          <w:rPr>
            <w:color w:val="000000" w:themeColor="text1"/>
            <w:sz w:val="16"/>
            <w:szCs w:val="16"/>
          </w:rPr>
          <w:t>танк занял место в ангаре немецкой бронетанковой техники</w:t>
        </w:r>
      </w:hyperlink>
      <w:r w:rsidRPr="00F90EAE">
        <w:rPr>
          <w:color w:val="000000" w:themeColor="text1"/>
          <w:sz w:val="16"/>
          <w:szCs w:val="16"/>
        </w:rPr>
        <w:t xml:space="preserve"> (17676).</w:t>
      </w:r>
    </w:p>
    <w:p w14:paraId="5BDC27C5" w14:textId="77777777" w:rsidR="00A30E3B" w:rsidRPr="00F90EAE" w:rsidRDefault="00A30E3B" w:rsidP="00F90EAE">
      <w:pPr>
        <w:jc w:val="both"/>
        <w:rPr>
          <w:rStyle w:val="107"/>
          <w:rFonts w:eastAsiaTheme="minorHAnsi"/>
          <w:color w:val="000000" w:themeColor="text1"/>
          <w:sz w:val="16"/>
          <w:szCs w:val="16"/>
        </w:rPr>
      </w:pPr>
    </w:p>
    <w:p w14:paraId="27EE980B" w14:textId="77777777" w:rsidR="001F396D" w:rsidRPr="00F90EAE" w:rsidRDefault="001F396D" w:rsidP="00F90EAE">
      <w:pPr>
        <w:jc w:val="both"/>
        <w:rPr>
          <w:color w:val="000000" w:themeColor="text1"/>
          <w:sz w:val="16"/>
          <w:szCs w:val="16"/>
        </w:rPr>
      </w:pPr>
      <w:r w:rsidRPr="00F90EAE">
        <w:rPr>
          <w:color w:val="000000" w:themeColor="text1"/>
          <w:sz w:val="16"/>
          <w:szCs w:val="16"/>
        </w:rPr>
        <w:t>К средине 1945 года Алексеев провел необходимые испытания моделей катера и выполнил с помощью немногочисленных помощников из конструкторского отдела завода «Красное Сормово» рабочие чертежи, нужные для развертывания постройки катера с подводными крыльями нового типа, получившего заводское наименование А-5.</w:t>
      </w:r>
    </w:p>
    <w:p w14:paraId="074BB1EB" w14:textId="77777777" w:rsidR="001F396D" w:rsidRPr="00F90EAE" w:rsidRDefault="001F396D" w:rsidP="00F90EAE">
      <w:pPr>
        <w:jc w:val="both"/>
        <w:rPr>
          <w:color w:val="000000" w:themeColor="text1"/>
          <w:sz w:val="16"/>
          <w:szCs w:val="16"/>
        </w:rPr>
      </w:pPr>
      <w:r w:rsidRPr="00F90EAE">
        <w:rPr>
          <w:color w:val="000000" w:themeColor="text1"/>
          <w:sz w:val="16"/>
          <w:szCs w:val="16"/>
        </w:rPr>
        <w:t>Катер был выполнен по схеме, изобретенной и разработанной Алексеевым, на малопогруженных подводных крыльях с жестким креплением крыльев к корпусу при обеспечении собственной продольной и поперечной остойчивости на всех режимах движения. В 1946 году, к лету, катер А-5 был построен.</w:t>
      </w:r>
    </w:p>
    <w:p w14:paraId="7DF548A1" w14:textId="77777777" w:rsidR="001F396D" w:rsidRPr="00F90EAE" w:rsidRDefault="001F396D" w:rsidP="00F90EAE">
      <w:pPr>
        <w:jc w:val="both"/>
        <w:rPr>
          <w:color w:val="000000" w:themeColor="text1"/>
          <w:sz w:val="16"/>
          <w:szCs w:val="16"/>
        </w:rPr>
      </w:pPr>
      <w:r w:rsidRPr="00F90EAE">
        <w:rPr>
          <w:color w:val="000000" w:themeColor="text1"/>
          <w:sz w:val="16"/>
          <w:szCs w:val="16"/>
        </w:rPr>
        <w:t>Первые же выходы на катере показали, что новая схема подводных крыльев оправдала себя по всем направлениям.</w:t>
      </w:r>
    </w:p>
    <w:p w14:paraId="45F03489" w14:textId="77777777" w:rsidR="001F396D" w:rsidRPr="00F90EAE" w:rsidRDefault="001F396D" w:rsidP="00F90EAE">
      <w:pPr>
        <w:jc w:val="both"/>
        <w:rPr>
          <w:color w:val="000000" w:themeColor="text1"/>
          <w:sz w:val="16"/>
          <w:szCs w:val="16"/>
        </w:rPr>
      </w:pPr>
      <w:r w:rsidRPr="00F90EAE">
        <w:rPr>
          <w:color w:val="000000" w:themeColor="text1"/>
          <w:sz w:val="16"/>
          <w:szCs w:val="16"/>
        </w:rPr>
        <w:t>В таком положении Алексеев придумывает нестандартное решение: осуществить тайно переход на секретном экспериментальном катере А-5 в Москву, показать, что такой катер с подводными крыльями обладает высокой скоростью и надежностью, и продемонстрировать его непосредственно командованию заказчика из Управления кораблестроения ВМС. И вдвоем со своим, только что окончившим институт, верным помощником Лёней Поповым, летом 1946 года он благополучно и быстро осуществил переход на катере в Москву и, оставив Лёню сторожить секретный катер на какой-то водной станции, отправился приглашать военных моряков продемонстрировать своё достижение. Военные сообщили «куда следует» и автор вместе с катером был задержан. Однако, в конце концов, командованию военных моряков катер удалось продемонстрировать и этим убедить руководство Управления кораблестроения направить на завод в комиссию для испытаний катера А-5 своего полномочного представителя.</w:t>
      </w:r>
    </w:p>
    <w:p w14:paraId="2B1C42EA" w14:textId="77777777" w:rsidR="001F396D" w:rsidRPr="00F90EAE" w:rsidRDefault="001F396D" w:rsidP="00F90EAE">
      <w:pPr>
        <w:jc w:val="both"/>
        <w:rPr>
          <w:color w:val="000000" w:themeColor="text1"/>
          <w:sz w:val="16"/>
          <w:szCs w:val="16"/>
        </w:rPr>
      </w:pPr>
      <w:r w:rsidRPr="00F90EAE">
        <w:rPr>
          <w:color w:val="000000" w:themeColor="text1"/>
          <w:sz w:val="16"/>
          <w:szCs w:val="16"/>
        </w:rPr>
        <w:t>В сентябре 1946 года катер А-5 был всесторонне испытан комиссией в составе представителей: Управления кораблестроения ВМС (Косьмин), Министерства Транспортного машиностроения (Якимовский), производства завода «Красное Сормово» (Усков), автора катера Алексеева и представителя испытателей конструкторского отдела завода Фикса.</w:t>
      </w:r>
    </w:p>
    <w:p w14:paraId="763FC7FF" w14:textId="77777777" w:rsidR="001F396D" w:rsidRPr="00F90EAE" w:rsidRDefault="001F396D" w:rsidP="00F90EAE">
      <w:pPr>
        <w:jc w:val="both"/>
        <w:rPr>
          <w:color w:val="000000" w:themeColor="text1"/>
          <w:sz w:val="16"/>
          <w:szCs w:val="16"/>
        </w:rPr>
      </w:pPr>
      <w:r w:rsidRPr="00F90EAE">
        <w:rPr>
          <w:color w:val="000000" w:themeColor="text1"/>
          <w:sz w:val="16"/>
          <w:szCs w:val="16"/>
        </w:rPr>
        <w:t>Результаты работы были доложены Министру В. А. Малышеву, в докладе было записано: «Созданный новой, оригинальной конструкции катер А-5 является первым в СССР судном на подводных крыльях, давшим положительные результаты и могущим найти практическое применение в боевом и в гражданском транспортном флоте».</w:t>
      </w:r>
    </w:p>
    <w:p w14:paraId="07E87C4C" w14:textId="77777777" w:rsidR="001F396D" w:rsidRPr="00F90EAE" w:rsidRDefault="001F396D" w:rsidP="00F90EAE">
      <w:pPr>
        <w:jc w:val="both"/>
        <w:rPr>
          <w:color w:val="000000" w:themeColor="text1"/>
          <w:sz w:val="16"/>
          <w:szCs w:val="16"/>
        </w:rPr>
      </w:pPr>
      <w:r w:rsidRPr="00F90EAE">
        <w:rPr>
          <w:color w:val="000000" w:themeColor="text1"/>
          <w:sz w:val="16"/>
          <w:szCs w:val="16"/>
        </w:rPr>
        <w:t>По инициативе Алексеева конструкторский отдел завода «Красное Сормово» предложил Министерству Танкового машиностроения включить в план конструкторского отдела 1947 года работу по разработке проекта быстроходного противолодочного катера на подводных крыльях на базе катера А-5 как самоходной модели. Такой боевой катер в заявках на план конструкторского отдела завода «Красное Сормово» получил уже и заводское имя А-6. Однако начал осуществляться утвержденный 10-летний план военного кораблестроения, принятый в 1946 году, и предложение завода «Красное Сормово» не было поддержано (19678).</w:t>
      </w:r>
    </w:p>
    <w:p w14:paraId="7CF5306B" w14:textId="77777777" w:rsidR="001F396D" w:rsidRPr="00F90EAE" w:rsidRDefault="001F396D" w:rsidP="00F90EAE">
      <w:pPr>
        <w:jc w:val="both"/>
        <w:rPr>
          <w:color w:val="000000" w:themeColor="text1"/>
          <w:sz w:val="16"/>
          <w:szCs w:val="16"/>
        </w:rPr>
      </w:pPr>
    </w:p>
    <w:p w14:paraId="654F7DA4" w14:textId="77777777" w:rsidR="006103B3" w:rsidRPr="00F90EAE" w:rsidRDefault="001561D1" w:rsidP="00F90EAE">
      <w:pPr>
        <w:autoSpaceDE w:val="0"/>
        <w:autoSpaceDN w:val="0"/>
        <w:adjustRightInd w:val="0"/>
        <w:jc w:val="both"/>
        <w:rPr>
          <w:iCs/>
          <w:color w:val="000000" w:themeColor="text1"/>
          <w:sz w:val="16"/>
          <w:szCs w:val="16"/>
        </w:rPr>
      </w:pPr>
      <w:r w:rsidRPr="00F90EAE">
        <w:rPr>
          <w:i/>
          <w:iCs/>
          <w:color w:val="000000" w:themeColor="text1"/>
          <w:sz w:val="16"/>
          <w:szCs w:val="16"/>
        </w:rPr>
        <w:t>Авиапромышленность:</w:t>
      </w:r>
    </w:p>
    <w:p w14:paraId="3593F7B0" w14:textId="77777777" w:rsidR="006103B3" w:rsidRPr="00F90EAE" w:rsidRDefault="006103B3" w:rsidP="00F90EAE">
      <w:pPr>
        <w:autoSpaceDE w:val="0"/>
        <w:autoSpaceDN w:val="0"/>
        <w:adjustRightInd w:val="0"/>
        <w:jc w:val="both"/>
        <w:rPr>
          <w:iCs/>
          <w:color w:val="000000" w:themeColor="text1"/>
          <w:sz w:val="16"/>
          <w:szCs w:val="16"/>
        </w:rPr>
      </w:pPr>
    </w:p>
    <w:p w14:paraId="0891DF20"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В течение первой половины 1945 года СКО заводов № 1 и № 18 выполнили большой объем исследовательской работы по обеспечению защиты мотора от попадания пыли и грязи при выполнении самолетом взлета и посадки. Наилучшие результаты получились у завода № 18.</w:t>
      </w:r>
    </w:p>
    <w:p w14:paraId="5F298D57"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Уже с 1-й машины 2-й серии производства завода № 18 было изменено управление всасывающей заслонкой: «поменено местами крепление пружин и троса управления к двухплечному рычагу заслонки, и прокладка троса произведена по носку крыла, что облегчило ее демонтаж».</w:t>
      </w:r>
    </w:p>
    <w:p w14:paraId="58201DB8"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«По первоначальным чертежам гл. конструктора» заслонка на земле (шасси выпущено) перекрывала вход снаружи и удерживалась в этом положении при помощи тросика. После изменения заслонка в положении на земле удерживалась пружиной и при работе мотора отклонялась за счет растяжения пружины, давая некоторый подсос воздуха через наружный вход.</w:t>
      </w:r>
    </w:p>
    <w:p w14:paraId="6320F0E3"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Вскоре выяснилось, что заслонка, при существующем управлении ею, все же не обеспечивает защиту наружного патрубка мотора от засорения снегом, грязью и пылью при движении самолета на земле.</w:t>
      </w:r>
    </w:p>
    <w:p w14:paraId="01C61487"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С 51-й машины 4-й серии была установлена дополнительная заслонка на наружный патрубок, кинематически связанная со старой заслонкой. При этом сетка, стоявшая на наружном патрубке, была перенесена за старую заслонку.</w:t>
      </w:r>
    </w:p>
    <w:p w14:paraId="270E2D47"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При испытании самолета с дополнительной заслонкой «было обнаружено уменьшение наддува на земле, так как подсос воздуха через наружный патрубок теперь исключился, а на пути воздуха из капота появилось лишнее сопротивление в виде сетки». Кроме того, в полете дополнительная наружная заслонка в открытом положении отжималась потоком воздуха, уменьшая проходное сечение патрубка, что также приводило к уменьшению давления наддува. В итоге от установки в серии дополнительной заслонки пришлось отказаться.</w:t>
      </w:r>
    </w:p>
    <w:p w14:paraId="65EBB30B" w14:textId="77777777" w:rsidR="00A30E3B" w:rsidRPr="00F90EAE" w:rsidRDefault="00A30E3B" w:rsidP="00F90EAE">
      <w:pPr>
        <w:jc w:val="both"/>
        <w:rPr>
          <w:rStyle w:val="107"/>
          <w:rFonts w:eastAsiaTheme="minorHAnsi"/>
          <w:color w:val="000000" w:themeColor="text1"/>
          <w:sz w:val="16"/>
          <w:szCs w:val="16"/>
        </w:rPr>
      </w:pPr>
      <w:r w:rsidRPr="00F90EAE">
        <w:rPr>
          <w:rStyle w:val="107"/>
          <w:rFonts w:eastAsiaTheme="minorHAnsi"/>
          <w:color w:val="000000" w:themeColor="text1"/>
          <w:sz w:val="16"/>
          <w:szCs w:val="16"/>
        </w:rPr>
        <w:t>К 24 февраля в СКО завода № 18 была разработана новая конструкция дополнительной заслонки наружного патрубка. Верхняя половина этой заслонки состояла из сетки типа «Дельбак», а внутренняя заслонка в положении на земле оставляла щель для прохода воздуха через наружный патрубок.</w:t>
      </w:r>
    </w:p>
    <w:p w14:paraId="1E408AF5"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В течение месяца измененный всасывающий патрубок проходил наземные и летные испытания на Ил-10 зав. № 1890404. Однако положительного результата получить все же не удалось. Наддув при взлете самолета с выпущенным и убранным шасси при оборотах 2 500 об/мин получался всего 1480 мм рт. ст. вместо необходимого взлетного наддува 1560±25 мм рт. ст.</w:t>
      </w:r>
    </w:p>
    <w:p w14:paraId="2D1FAA4D"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С целью определения влияния снижения взлетного наддува были проведены сравнительные замеры длины разбега самолета зав. № 1890404 с наружной заслонкой и без нее.</w:t>
      </w:r>
    </w:p>
    <w:p w14:paraId="32D528E3"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Оказалось, что с закрытой наружной заслонкой разбег составил 370,05 (усредненный за 10 взлетов), а с открытой заслонкой - 341,7 м (в среднем за 26 взлетов).</w:t>
      </w:r>
    </w:p>
    <w:p w14:paraId="368E48EF"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Пришлось разрабатывать новую конструкцию всасывающего патрубка. В очередном варианте на входе в патрубок была установлена глухая заслонка, кинематически связанная с системой уборки и выпуска шасси. Позади патрубка размещался воздухоочистительный фильтр из сетки «Дельбак». Когда шасси выпущено, заслонка перекрывала входное отверстие, а воздух поступал через сетчатый фильтр. При убранном положении шасси заслонка открывала свободный доступ воздуху. Внутри самого патрубка имелась сетка с ячейками 15^15 мм для удержания крупных предметов.</w:t>
      </w:r>
    </w:p>
    <w:p w14:paraId="0B90C2B5"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К 20 апреля новый вариант всасывающего патрубка был смонтирован на Ил-10 зав. № 1890404 и с положительным результатом испытан на земле и в воздухе.</w:t>
      </w:r>
    </w:p>
    <w:p w14:paraId="4B8A50FA"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Одновременно для установки на всех ранее выпущенных самолетах Ил-10 был разработан полевой вариант заслонки на всасывающий патрубок. Конструкция ее заключается в следующем: на наружном входе в патрубок вместо сетки устанавливалась на оси заслонка, состоящая из дюралевой рамки толщиной 4 мм, обшитой двумя слоями сетки «Дельбак». Эта заслонка рычагом соединялась с внутренней заслонкой. На земле внутренняя заслонка на 20 мм не перекрывала всасывающий патрубок, за счет чего обеспечивался дополнительный приток воздуха через сетку наружной заслонки.</w:t>
      </w:r>
    </w:p>
    <w:p w14:paraId="14515BA4"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 xml:space="preserve">Кроме этого, в стенках тоннелей водорадиатора с обеих сторон были сделаны вырезы общей площадью 560 см </w:t>
      </w:r>
      <w:r w:rsidRPr="00F90EAE">
        <w:rPr>
          <w:rStyle w:val="107"/>
          <w:rFonts w:eastAsiaTheme="minorHAnsi"/>
          <w:color w:val="000000" w:themeColor="text1"/>
          <w:sz w:val="16"/>
          <w:szCs w:val="16"/>
          <w:vertAlign w:val="superscript"/>
        </w:rPr>
        <w:t>2</w:t>
      </w:r>
      <w:r w:rsidRPr="00F90EAE">
        <w:rPr>
          <w:rStyle w:val="107"/>
          <w:rFonts w:eastAsiaTheme="minorHAnsi"/>
          <w:color w:val="000000" w:themeColor="text1"/>
          <w:sz w:val="16"/>
          <w:szCs w:val="16"/>
        </w:rPr>
        <w:t>, закрытые сеткой «Дельбак» в один слой.</w:t>
      </w:r>
    </w:p>
    <w:p w14:paraId="10356DBC"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Полевой вариант заслонки к 18 апреля был испытан на серийном самолете Ил-10 зав. № 1892105 и рекомендован для массового применения в войсках.</w:t>
      </w:r>
    </w:p>
    <w:p w14:paraId="6CBF7FE3" w14:textId="77777777" w:rsidR="00A30E3B" w:rsidRPr="00F90EAE" w:rsidRDefault="00A30E3B" w:rsidP="00F90EAE">
      <w:pPr>
        <w:jc w:val="both"/>
        <w:rPr>
          <w:color w:val="000000" w:themeColor="text1"/>
          <w:sz w:val="16"/>
          <w:szCs w:val="16"/>
        </w:rPr>
      </w:pPr>
      <w:r w:rsidRPr="00F90EAE">
        <w:rPr>
          <w:rStyle w:val="107"/>
          <w:rFonts w:eastAsiaTheme="minorHAnsi"/>
          <w:color w:val="000000" w:themeColor="text1"/>
          <w:sz w:val="16"/>
          <w:szCs w:val="16"/>
        </w:rPr>
        <w:t>В заключении отчета по результатам заводских испытаний отмечалось: «На основании проведенных заводом № 18 испытаний самолета Ил-10 № 1892105 можно считать, что предлагаемая конструкция всасывающего патрубка удовлетворяет в основном предъявляемым требованиям и допустима для доработки всех ранее выпущенных самолетов как полевой вариант» (17490).</w:t>
      </w:r>
    </w:p>
    <w:p w14:paraId="099A2952" w14:textId="77777777" w:rsidR="00A30E3B" w:rsidRPr="00F90EAE" w:rsidRDefault="00A30E3B" w:rsidP="00F90EAE">
      <w:pPr>
        <w:jc w:val="both"/>
        <w:rPr>
          <w:rStyle w:val="107"/>
          <w:rFonts w:eastAsiaTheme="minorHAnsi"/>
          <w:color w:val="000000" w:themeColor="text1"/>
          <w:sz w:val="16"/>
          <w:szCs w:val="16"/>
        </w:rPr>
      </w:pPr>
    </w:p>
    <w:p w14:paraId="7A2FDA05"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lastRenderedPageBreak/>
        <w:t>В первом полугодии 1945 г. прошел испытания карбюраторный мотор АМ-38ФК-01. Выявился существенный антидетонационный эффект от применения форкамерного зажигания. Позднее был создан вариант АМ-38ФК-02 с непосредственным впрыском топлива в цилиндры и увеличенной степенью сжатия. При работе на боевом и взлетном режимах выявился серьезный дефект - детонация. В это время приняли решение об изменении базы мотора на АМ-42 (9030).</w:t>
      </w:r>
    </w:p>
    <w:p w14:paraId="18CBEA9B" w14:textId="77777777" w:rsidR="006103B3" w:rsidRPr="00F90EAE" w:rsidRDefault="006103B3" w:rsidP="00F90EAE">
      <w:pPr>
        <w:autoSpaceDE w:val="0"/>
        <w:autoSpaceDN w:val="0"/>
        <w:adjustRightInd w:val="0"/>
        <w:jc w:val="both"/>
        <w:rPr>
          <w:color w:val="000000" w:themeColor="text1"/>
          <w:sz w:val="16"/>
          <w:szCs w:val="16"/>
        </w:rPr>
      </w:pPr>
    </w:p>
    <w:p w14:paraId="61F3E84A"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первом полугодии 1945 г, прошел испытания карбюра</w:t>
      </w:r>
      <w:r w:rsidRPr="00F90EAE">
        <w:rPr>
          <w:color w:val="000000" w:themeColor="text1"/>
          <w:sz w:val="16"/>
          <w:szCs w:val="16"/>
        </w:rPr>
        <w:softHyphen/>
        <w:t>торный мотор АМ-38ФК-01 с новой пусковой системой и форкамерами с улучшенным охлаждением. Испытания за</w:t>
      </w:r>
      <w:r w:rsidRPr="00F90EAE">
        <w:rPr>
          <w:color w:val="000000" w:themeColor="text1"/>
          <w:sz w:val="16"/>
          <w:szCs w:val="16"/>
        </w:rPr>
        <w:softHyphen/>
        <w:t>вершились успешно: пусковая система работала безотказно, а охлаждение камер оказа</w:t>
      </w:r>
      <w:r w:rsidRPr="00F90EAE">
        <w:rPr>
          <w:color w:val="000000" w:themeColor="text1"/>
          <w:sz w:val="16"/>
          <w:szCs w:val="16"/>
        </w:rPr>
        <w:softHyphen/>
        <w:t>лось достаточным. Выявился существенный антидетонаци</w:t>
      </w:r>
      <w:r w:rsidRPr="00F90EAE">
        <w:rPr>
          <w:color w:val="000000" w:themeColor="text1"/>
          <w:sz w:val="16"/>
          <w:szCs w:val="16"/>
        </w:rPr>
        <w:softHyphen/>
        <w:t>онный эффект от применения форкамерного зажигания. Позднее был создан вариант АМ-38ФК-02 с непосредст</w:t>
      </w:r>
      <w:r w:rsidRPr="00F90EAE">
        <w:rPr>
          <w:color w:val="000000" w:themeColor="text1"/>
          <w:sz w:val="16"/>
          <w:szCs w:val="16"/>
        </w:rPr>
        <w:softHyphen/>
        <w:t>венным впрыском топлива в цилиндры и с увеличенной степенью сжа</w:t>
      </w:r>
      <w:r w:rsidRPr="00F90EAE">
        <w:rPr>
          <w:color w:val="000000" w:themeColor="text1"/>
          <w:sz w:val="16"/>
          <w:szCs w:val="16"/>
        </w:rPr>
        <w:softHyphen/>
        <w:t>тия. В июне 1945 г. этот мотор прошел 25-часовые стендовые испытания на экономическом режиме. Однако при работе на боевом и взлетном режимах выявился серьезный дефект — детонация. Преодо</w:t>
      </w:r>
      <w:r w:rsidRPr="00F90EAE">
        <w:rPr>
          <w:color w:val="000000" w:themeColor="text1"/>
          <w:sz w:val="16"/>
          <w:szCs w:val="16"/>
        </w:rPr>
        <w:softHyphen/>
        <w:t>леть этот недостаток с ходу не удалось, пришлось развернуть специ</w:t>
      </w:r>
      <w:r w:rsidRPr="00F90EAE">
        <w:rPr>
          <w:color w:val="000000" w:themeColor="text1"/>
          <w:sz w:val="16"/>
          <w:szCs w:val="16"/>
        </w:rPr>
        <w:softHyphen/>
        <w:t>альные исследования. Попутно было принято решение об изменении базы мотора на АМ-42, поскольку производство АМ-38Ф уже сворачи</w:t>
      </w:r>
      <w:r w:rsidRPr="00F90EAE">
        <w:rPr>
          <w:color w:val="000000" w:themeColor="text1"/>
          <w:sz w:val="16"/>
          <w:szCs w:val="16"/>
        </w:rPr>
        <w:softHyphen/>
        <w:t>валось (10781).</w:t>
      </w:r>
    </w:p>
    <w:p w14:paraId="6523509F" w14:textId="77777777" w:rsidR="006103B3" w:rsidRPr="00F90EAE" w:rsidRDefault="006103B3" w:rsidP="00F90EAE">
      <w:pPr>
        <w:autoSpaceDE w:val="0"/>
        <w:autoSpaceDN w:val="0"/>
        <w:adjustRightInd w:val="0"/>
        <w:jc w:val="both"/>
        <w:rPr>
          <w:color w:val="000000" w:themeColor="text1"/>
          <w:sz w:val="16"/>
          <w:szCs w:val="16"/>
        </w:rPr>
      </w:pPr>
    </w:p>
    <w:p w14:paraId="16D8D9A0" w14:textId="77777777" w:rsidR="00D713B1" w:rsidRPr="00F90EAE" w:rsidRDefault="00D713B1" w:rsidP="00F90EAE">
      <w:pPr>
        <w:pStyle w:val="rteindent11"/>
        <w:shd w:val="clear" w:color="auto" w:fill="FFFFFF"/>
        <w:spacing w:before="0" w:beforeAutospacing="0" w:after="0"/>
        <w:ind w:left="0" w:firstLine="0"/>
        <w:rPr>
          <w:rStyle w:val="a7"/>
          <w:b w:val="0"/>
          <w:color w:val="000000" w:themeColor="text1"/>
          <w:sz w:val="16"/>
          <w:szCs w:val="16"/>
        </w:rPr>
      </w:pPr>
      <w:r w:rsidRPr="00F90EAE">
        <w:rPr>
          <w:rStyle w:val="a7"/>
          <w:b w:val="0"/>
          <w:color w:val="000000" w:themeColor="text1"/>
          <w:sz w:val="16"/>
          <w:szCs w:val="16"/>
        </w:rPr>
        <w:t>В первом полугодии 1945 завод № 39 работал по серийно-операционной технологии, разработанной в III квартале 1944 года. В 1945 году завод продолжает выпуск бомбардировщиков Ер-2. Планом НКАП предусматривалась постройка 305-ти машин. В целях отработки машины и улучшения ее качества, а также соблюдения утвержденной технологической дисциплины, в январе был организован разбор повторяющихся дефектов. Всего рассмотрено 1070 дефектов, в том числе: конструктивных – 592, технологических – 177, производственных – 301. Устранение дефектов позволило снизить трудоемкость и повысить качество изготовления отдельных деталей, узлов и агрегатов (15223).</w:t>
      </w:r>
    </w:p>
    <w:p w14:paraId="18219E41" w14:textId="77777777" w:rsidR="00D713B1" w:rsidRPr="00F90EAE" w:rsidRDefault="00D713B1" w:rsidP="00F90EAE">
      <w:pPr>
        <w:pStyle w:val="rteindent11"/>
        <w:shd w:val="clear" w:color="auto" w:fill="FFFFFF"/>
        <w:spacing w:before="0" w:beforeAutospacing="0" w:after="0"/>
        <w:ind w:left="0" w:firstLine="0"/>
        <w:rPr>
          <w:rStyle w:val="a7"/>
          <w:b w:val="0"/>
          <w:color w:val="000000" w:themeColor="text1"/>
          <w:sz w:val="16"/>
          <w:szCs w:val="16"/>
        </w:rPr>
      </w:pPr>
    </w:p>
    <w:p w14:paraId="5CC0CFE5" w14:textId="77777777" w:rsidR="00D713B1" w:rsidRPr="00F90EAE" w:rsidRDefault="00D713B1" w:rsidP="00F90EAE">
      <w:pPr>
        <w:shd w:val="clear" w:color="auto" w:fill="FFFFFF"/>
        <w:jc w:val="both"/>
        <w:rPr>
          <w:color w:val="000000" w:themeColor="text1"/>
          <w:sz w:val="16"/>
          <w:szCs w:val="16"/>
        </w:rPr>
      </w:pPr>
      <w:r w:rsidRPr="00F90EAE">
        <w:rPr>
          <w:color w:val="000000" w:themeColor="text1"/>
          <w:sz w:val="16"/>
          <w:szCs w:val="16"/>
        </w:rPr>
        <w:t>В течение первого полугодия 1945 в цехах завода № 39 было внедрено 10 поточных линий по изготовлению деталей баков, общей сборки баков, сборки жалюзи водо - и маслорадиаторов, сборки передней части капота, других узлов и агрегатов. Шесть поточных линий механизированы и оснащены транспортными средствами. Вместе с ранее выпущенными, на заводе в 1945 году работали 29 поточных линий. Организация указанных линий потребовала изготовления 142-х единиц специальной оснастки и 92-х единиц специального инструмента, а также перестановки оборудования в количестве 85-ти единиц. Действующие поточные линии позволили сократить трудоемкость изготовляемых деталей на 916 часов, сократить средний цикл изготовления на 58 часов, уменьшить количество производственных рабочих на 153 человека. Удельный вес трудоемкости работ, выполняемых поточным методом, стал составлять 9,4% от общего объема работ единицы изделия. Кроме того, с внедрением поточных линий был обеспечен строго определенный порядок при изготовлении деталей, улучшены условия труда рабочих, упростилось диспетчирование внутри цехов, в ряде случаев «расшиты узкие места» (15223).</w:t>
      </w:r>
    </w:p>
    <w:p w14:paraId="6BF46B71" w14:textId="77777777" w:rsidR="00D713B1" w:rsidRPr="00F90EAE" w:rsidRDefault="00D713B1" w:rsidP="00F90EAE">
      <w:pPr>
        <w:shd w:val="clear" w:color="auto" w:fill="FFFFFF"/>
        <w:jc w:val="both"/>
        <w:rPr>
          <w:color w:val="000000" w:themeColor="text1"/>
          <w:sz w:val="16"/>
          <w:szCs w:val="16"/>
        </w:rPr>
      </w:pPr>
    </w:p>
    <w:p w14:paraId="1ACAB36E"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первой половине 1945 проходил летные испытания ДБ-108 - развитие Пе-2 В.М.М. Построили 3 (4,195).</w:t>
      </w:r>
    </w:p>
    <w:p w14:paraId="6D5253A8" w14:textId="77777777" w:rsidR="006103B3" w:rsidRPr="00F90EAE" w:rsidRDefault="006103B3" w:rsidP="00F90EAE">
      <w:pPr>
        <w:autoSpaceDE w:val="0"/>
        <w:autoSpaceDN w:val="0"/>
        <w:adjustRightInd w:val="0"/>
        <w:jc w:val="both"/>
        <w:rPr>
          <w:color w:val="000000" w:themeColor="text1"/>
          <w:sz w:val="16"/>
          <w:szCs w:val="16"/>
        </w:rPr>
      </w:pPr>
    </w:p>
    <w:p w14:paraId="0A6045ED"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первой половине 1945 года началось проектирование Ил-18. Опытный самолет Ил-18 является четырехмоторным пассажирским магистральным самолетом, предназначенным для эксплуатации на внутренних магистралях большой протяженности, для международных воздушных сообщений. В герметизированной пассажирской кабине самолета комфортабельно размещаются 66 пассажиров Ил-18 – цельнометаллический свободнонесущий моноплан с низким расположением крыла, с трехколесным шасси и однокилевым вертикальным оперением. В июле 1946 года самолет был в основном закончен и подготовлен к первому вылету. К апрелю 1947 был в основном закончен первый этап заводских испытаний самолета, в процессе которого проведены работы по проверке в воздухе и по доводке основных агрегатов и систем самолета. Заводские испытания проводятся в невысотном варианте из-за отсутствия на самолете турбокомпрессоров моторов, кабинных нагнетателей и автоматов-клапанов герметических кабин. За время первого этапа заводских испытаний самолет Ил-18 налетал около 43 часов.</w:t>
      </w:r>
    </w:p>
    <w:p w14:paraId="2A674C2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Самолет Ил-18 подготавливался ко второму этапу заводских испытаний, направленному на определение основных летных характеристик самолета и на проверку всех агрегатов и систем самолета в длительных рейсовых полетах. Ввиду задержки поступления от промышленности указанных выше агрегатов, обеспечивающих высотное использование самолета, гл. конструктор намерен передать самолет на госиспытания вначале в высотном варианте. Вероятный срок поступления самолета Ил-18 на госиспытания – июнь 1947 года (8652, 160-171).</w:t>
      </w:r>
    </w:p>
    <w:p w14:paraId="57E1FADE" w14:textId="77777777" w:rsidR="006103B3" w:rsidRPr="00F90EAE" w:rsidRDefault="006103B3" w:rsidP="00F90EAE">
      <w:pPr>
        <w:autoSpaceDE w:val="0"/>
        <w:autoSpaceDN w:val="0"/>
        <w:adjustRightInd w:val="0"/>
        <w:jc w:val="both"/>
        <w:rPr>
          <w:color w:val="000000" w:themeColor="text1"/>
          <w:sz w:val="16"/>
          <w:szCs w:val="16"/>
        </w:rPr>
      </w:pPr>
    </w:p>
    <w:p w14:paraId="1361EA0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первом полугодии 1945 года был составлен эскизный проект пассажирской машины ОКБ Незваля на 50 мест. Произведена разработка общих видов, плазов по оперению и рабочих чертежей по оперению и шасси. Общий процент готовности конструкторской документации на конец первого полугодия 1945 года составил 20% (7685).</w:t>
      </w:r>
    </w:p>
    <w:p w14:paraId="2E5C8835" w14:textId="77777777" w:rsidR="006103B3" w:rsidRPr="00F90EAE" w:rsidRDefault="006103B3" w:rsidP="00F90EAE">
      <w:pPr>
        <w:autoSpaceDE w:val="0"/>
        <w:autoSpaceDN w:val="0"/>
        <w:adjustRightInd w:val="0"/>
        <w:jc w:val="both"/>
        <w:rPr>
          <w:color w:val="000000" w:themeColor="text1"/>
          <w:sz w:val="16"/>
          <w:szCs w:val="16"/>
        </w:rPr>
      </w:pPr>
    </w:p>
    <w:p w14:paraId="2EE2156C" w14:textId="77777777" w:rsidR="00500674" w:rsidRPr="00F90EAE" w:rsidRDefault="00500674" w:rsidP="00F90EAE">
      <w:pPr>
        <w:jc w:val="both"/>
        <w:rPr>
          <w:color w:val="000000" w:themeColor="text1"/>
          <w:sz w:val="16"/>
          <w:szCs w:val="16"/>
        </w:rPr>
      </w:pPr>
      <w:r w:rsidRPr="00F90EAE">
        <w:rPr>
          <w:color w:val="000000" w:themeColor="text1"/>
          <w:sz w:val="16"/>
          <w:szCs w:val="16"/>
        </w:rPr>
        <w:t>В первой половине 1945-го завод № 381 НКАП успешно справился с планом выпуска истребителей Ла-7, выполнив его на 107,9 % (сдано 684 самолета вместо 634). Кроме того, были произведены сборка и облет 49 Ла-7, прибывших с завода № 21, а также 321 самолет отремонтирован в воинских частях, в том числе 290 Ла-5 и Ла-7, 28 Ил-4 и 3 «Бостона». За перевыполнение плана по количественным и качественным показателям заводу ежемесячно присуждали первое место во Всесоюзном социалистическом соревновании авиазаводов и вручали переходящее Красное Знамя ГКО. По окончании Великой Отечественной войны, когда приступили к переводу промышленности на выпуск гражданской продукции, заводу № 381 было поручено изготовление прогулочных шестиместных катеров КС-1, байдарок, изделий ширпотреба (14 наименований) и ремонт троллейбусов. Производство Ла-7, естественно, сворачивали – в соответствии с указаниями 1-го ГУ НКАП их выпуск ограничили 30-й машиной 73-й серии.</w:t>
      </w:r>
    </w:p>
    <w:p w14:paraId="325CA49B" w14:textId="77777777" w:rsidR="00500674" w:rsidRPr="00F90EAE" w:rsidRDefault="00500674" w:rsidP="00F90EAE">
      <w:pPr>
        <w:jc w:val="both"/>
        <w:rPr>
          <w:color w:val="000000" w:themeColor="text1"/>
          <w:sz w:val="16"/>
          <w:szCs w:val="16"/>
        </w:rPr>
      </w:pPr>
      <w:r w:rsidRPr="00F90EAE">
        <w:rPr>
          <w:color w:val="000000" w:themeColor="text1"/>
          <w:sz w:val="16"/>
          <w:szCs w:val="16"/>
        </w:rPr>
        <w:t>Одновременно перед заводом, с учетом его успехов в первом полугодии, поставили задачу по выпуску опытных серий реактивных самолетов. В соответствии с приказом НКАП № 311 от 27 июля 1945 г. директору завода № 381 В.И. Журавлеву предписывалось обеспечить постройку 10 экземпляров истребителя И-250. Причем уже в сентябре должны были быть готовы две первые машины, в октябре – три и в декабре – пять. ОКБ-155 надлежало до 30 июля передать заводу № 381 всю техническую документацию, плазы, шаблоны и необходимую оснастку, а также выделить на период освоения самолетов И-250 ведущих конструкторов и мастеров. В августе на завод были командированы ведущий инженер А.А. Андреев, его заместитель П.Н. Семенов, конструктор группы шасси Е.В. Хандомирова, конструктор винтомоторной группы Л.Ф. Назаров и конструктор плазового отделения И. Баранов.</w:t>
      </w:r>
    </w:p>
    <w:p w14:paraId="27239604" w14:textId="77777777" w:rsidR="00500674" w:rsidRPr="00F90EAE" w:rsidRDefault="00500674" w:rsidP="00F90EAE">
      <w:pPr>
        <w:jc w:val="both"/>
        <w:rPr>
          <w:color w:val="000000" w:themeColor="text1"/>
          <w:sz w:val="16"/>
          <w:szCs w:val="16"/>
        </w:rPr>
      </w:pPr>
      <w:r w:rsidRPr="00F90EAE">
        <w:rPr>
          <w:color w:val="000000" w:themeColor="text1"/>
          <w:sz w:val="16"/>
          <w:szCs w:val="16"/>
        </w:rPr>
        <w:t>Всех соисполнителей обязали к 15 августа начать поставку заводу № 381 требуемых для выпуска И-250 комплектующих (моторы ВК-107А – завод № 26, компрессоры с приводами – завод № 466, три форсуночные камеры и техдокументацию для их выпуска – ЦИАМ, винты АВ-10П-60 – завод № 150, радиаторы – завод № 124, другие готовые изделия – 12-е ГУ НКАП). Начальника ЦИАМ В.И. Поликовского еще в апреле обязали передать к 1 мая заводу № 466 десять комплектов необходимой техдокументации и один собранный ВРДК в качестве эталона для производства.</w:t>
      </w:r>
    </w:p>
    <w:p w14:paraId="1B3EEAC7" w14:textId="77777777" w:rsidR="00500674" w:rsidRPr="00F90EAE" w:rsidRDefault="00500674" w:rsidP="00F90EAE">
      <w:pPr>
        <w:jc w:val="both"/>
        <w:rPr>
          <w:color w:val="000000" w:themeColor="text1"/>
          <w:sz w:val="16"/>
          <w:szCs w:val="16"/>
        </w:rPr>
      </w:pPr>
      <w:r w:rsidRPr="00F90EAE">
        <w:rPr>
          <w:color w:val="000000" w:themeColor="text1"/>
          <w:sz w:val="16"/>
          <w:szCs w:val="16"/>
        </w:rPr>
        <w:t>Стоит отметить, что, помимо выпуска И-250, заводу приказом НКАП № 331 от 10/11 августа 1945 г. предписывалось построить еще и опытную серию из пяти истребителей Ла-150 с двигателями Jumo-004. Причем первый самолет должен был быть готов к 1 ноября, два в ноябре и два в декабре.</w:t>
      </w:r>
    </w:p>
    <w:p w14:paraId="57C1872B" w14:textId="77777777" w:rsidR="00500674" w:rsidRPr="00F90EAE" w:rsidRDefault="00500674" w:rsidP="00F90EAE">
      <w:pPr>
        <w:jc w:val="both"/>
        <w:rPr>
          <w:color w:val="000000" w:themeColor="text1"/>
          <w:sz w:val="16"/>
          <w:szCs w:val="16"/>
        </w:rPr>
      </w:pPr>
      <w:r w:rsidRPr="00F90EAE">
        <w:rPr>
          <w:color w:val="000000" w:themeColor="text1"/>
          <w:sz w:val="16"/>
          <w:szCs w:val="16"/>
        </w:rPr>
        <w:t>К выполнению этих заданий коллектив завода № 381 приступил сразу. Серийно-конструкторский отдел (СКО), начиная с июля, полностью переключился на выпуск чертежей по новым самолетам. Началось изготовление отдельных деталей и агрегатов. Однако новые самолеты оказались гораздо сложнее в производстве, чем Ла-7. Например, допустимое отклонение от теоретического обвода крыла у И-250 составляло всего 0,5 мм. С выполнением этого и других требований возникли трудности в связи с отсутствием достаточного количества квалифицированных рабочих, оборудования, материалов и т.д. В сочетании с большим количеством конструктивных изменений и отсутствием некоторых комплектующих это не позволило выпустить в намеченные сроки ни И-250, ни Ла-150. Руководство завода было вынуждено обратиться к заместителю наркома авиапромышленности П.А. Воронину с просьбой о пересмотре сроков выпуска опытных самолетов. Руководство НКАП удовлетворило просьбу и утвердило новый план выпуска на 1946 год – по одному экземпляру И-250 и Ла-150 (12207).</w:t>
      </w:r>
    </w:p>
    <w:p w14:paraId="366B6346" w14:textId="77777777" w:rsidR="00500674" w:rsidRPr="00F90EAE" w:rsidRDefault="00500674" w:rsidP="00F90EAE">
      <w:pPr>
        <w:jc w:val="both"/>
        <w:rPr>
          <w:color w:val="000000" w:themeColor="text1"/>
          <w:sz w:val="16"/>
          <w:szCs w:val="16"/>
        </w:rPr>
      </w:pPr>
    </w:p>
    <w:p w14:paraId="5AF9378A" w14:textId="77777777" w:rsidR="00C46885" w:rsidRPr="00F90EAE" w:rsidRDefault="00C46885" w:rsidP="00F90EAE">
      <w:pPr>
        <w:jc w:val="both"/>
        <w:rPr>
          <w:rStyle w:val="690"/>
          <w:rFonts w:ascii="Times New Roman" w:hAnsi="Times New Roman" w:cs="Times New Roman"/>
          <w:color w:val="0070C0"/>
          <w:sz w:val="16"/>
          <w:szCs w:val="16"/>
        </w:rPr>
      </w:pPr>
      <w:r w:rsidRPr="00F90EAE">
        <w:rPr>
          <w:color w:val="0070C0"/>
          <w:sz w:val="16"/>
          <w:szCs w:val="16"/>
        </w:rPr>
        <w:t>За первое полугодие 1945 г. в Саратове Як-3 было построено 1 495 Як-3, а всего до конца года с учетом снижения выпуска в связи с окончанием войны — 1 918. В послевоенном же 1946 г. завод № 292 построил только 240 Як-3 (последние самолеты были в основном трехпушечными Як-3П). В Тбилиси в первом полугодии 1945-го сделали 436 самолетов Як-3, а всего за тот год — 462 с мотором ВК-105ПФ2 и еще 40 новых с ВК-107А. Итого два завода с начала 1944 г. и до середины 1945 г. построили 4 111 серийных самолетов Як-3 из общего числа 5 220 штук всех модификаций, сделанных до конца 1946 г. Из самолетов постройки времен войны абсолютное большинство составили стандартные машины с мотором ВК-105ПФ2 и вооружением в составе мотор-пушки ШВАК и двух синхронных пулеметов УБ, которое по своей эффективности было примерно таким же, как и у основного немецкого истребителя Мессершмитт Bf 109 последних массовых модификаций G-6/10/14. Как мы видим, пополнение нашей авиации новейшими истребителями на завершающем этапе войны было значительным, но тогда в полки шли не только Як-3. Если в 1944 г. в строевые части ВВС и Морской авиации СССР Як-3 было поставлено несколько больше, чем Ла-7 — 1 340 и 1 044, соответственно, то на май 1945 г. Лавочкин почти вдвое обошел Яковлева: 1 913 Ла-7 по сравнению с 1 016 Як-3 (22751).</w:t>
      </w:r>
      <w:r w:rsidRPr="00F90EAE">
        <w:rPr>
          <w:rStyle w:val="690"/>
          <w:rFonts w:ascii="Times New Roman" w:hAnsi="Times New Roman" w:cs="Times New Roman"/>
          <w:color w:val="0070C0"/>
          <w:sz w:val="16"/>
          <w:szCs w:val="16"/>
        </w:rPr>
        <w:t xml:space="preserve"> </w:t>
      </w:r>
    </w:p>
    <w:p w14:paraId="25D47F9A" w14:textId="77777777" w:rsidR="00C46885" w:rsidRPr="00F90EAE" w:rsidRDefault="00C46885" w:rsidP="00F90EAE">
      <w:pPr>
        <w:jc w:val="both"/>
        <w:rPr>
          <w:rStyle w:val="690"/>
          <w:rFonts w:ascii="Times New Roman" w:hAnsi="Times New Roman" w:cs="Times New Roman"/>
          <w:color w:val="0070C0"/>
          <w:sz w:val="16"/>
          <w:szCs w:val="16"/>
        </w:rPr>
      </w:pPr>
    </w:p>
    <w:p w14:paraId="50CC486C" w14:textId="77777777" w:rsidR="006103B3" w:rsidRPr="00F90EAE" w:rsidRDefault="006103B3" w:rsidP="00F90EAE">
      <w:pPr>
        <w:autoSpaceDE w:val="0"/>
        <w:autoSpaceDN w:val="0"/>
        <w:adjustRightInd w:val="0"/>
        <w:jc w:val="both"/>
        <w:rPr>
          <w:color w:val="000000" w:themeColor="text1"/>
          <w:sz w:val="16"/>
          <w:szCs w:val="16"/>
        </w:rPr>
      </w:pPr>
      <w:r w:rsidRPr="00F90EAE">
        <w:rPr>
          <w:color w:val="000000" w:themeColor="text1"/>
          <w:sz w:val="16"/>
          <w:szCs w:val="16"/>
        </w:rPr>
        <w:t>В первом полугодии 1945 г. выполнили эскизный проект 48-местного самолёта с двигателями М-82, который являлся дальнейшей модификацией Пе-8, но в июле конструкторское бюро Незваля стало филиалом туполевского ОКБ-156 и было загружено работой по бомбардировщику Б-4 (будущему Ту-4). Проектирование пассажирской машины прекратили (11996).</w:t>
      </w:r>
    </w:p>
    <w:p w14:paraId="480348D3" w14:textId="77777777" w:rsidR="006103B3" w:rsidRPr="00F90EAE" w:rsidRDefault="006103B3" w:rsidP="00F90EAE">
      <w:pPr>
        <w:autoSpaceDE w:val="0"/>
        <w:autoSpaceDN w:val="0"/>
        <w:adjustRightInd w:val="0"/>
        <w:jc w:val="both"/>
        <w:rPr>
          <w:color w:val="000000" w:themeColor="text1"/>
          <w:sz w:val="16"/>
          <w:szCs w:val="16"/>
        </w:rPr>
      </w:pPr>
    </w:p>
    <w:p w14:paraId="410DAE94"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lastRenderedPageBreak/>
        <w:t>В первой половине 1945 г. производство аэросаней стали сворачивать. Одновременно с этим стала осуществляться централизованная конверсия. В научно-производственный план ЦКБ ГСДП в 1945 г. в числе двух десятков пунктов наряду с оборонными заданиями была включена тема №9 с четырьмя разделами, подразумевавшая формирование профиля и программы предприятий главка после перехода на выпуск продукции мирного времени. В частности, предполагалось проектирование и изготовление опытных образцов мебели.</w:t>
      </w:r>
    </w:p>
    <w:p w14:paraId="44EF3B22"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В январе 1946 г. на заводе №41 оставались последние шесть ремонтных аэросаней НКЛ-16 и одни новые НКЛ-16-42.</w:t>
      </w:r>
    </w:p>
    <w:p w14:paraId="28BC5940" w14:textId="77777777" w:rsidR="002A5DBF" w:rsidRPr="00F90EAE" w:rsidRDefault="002A5DBF" w:rsidP="00F90EAE">
      <w:pPr>
        <w:pStyle w:val="book"/>
        <w:ind w:firstLine="0"/>
        <w:jc w:val="both"/>
        <w:rPr>
          <w:color w:val="000000" w:themeColor="text1"/>
          <w:sz w:val="16"/>
          <w:szCs w:val="16"/>
        </w:rPr>
      </w:pPr>
      <w:r w:rsidRPr="00F90EAE">
        <w:rPr>
          <w:color w:val="000000" w:themeColor="text1"/>
          <w:sz w:val="16"/>
          <w:szCs w:val="16"/>
        </w:rPr>
        <w:t>Построенная в 1945 г. техника выкупалась государством, отправлялась на временное хранение или непосредственно передавалась гражданским либо военным заказчикам (например, пограничникам). Таким образом, благодаря централизованно проведенной конверсии обеспечивалась загрузка производственных мощностей, а соответственно – не страдал социальный сектор. Обеспечивалось и трудоустройство части демобилизованных водителей (15468).</w:t>
      </w:r>
    </w:p>
    <w:p w14:paraId="5CB8B42E" w14:textId="77777777" w:rsidR="00362C75" w:rsidRPr="00F90EAE" w:rsidRDefault="00362C75" w:rsidP="00F90EAE">
      <w:pPr>
        <w:autoSpaceDE w:val="0"/>
        <w:autoSpaceDN w:val="0"/>
        <w:adjustRightInd w:val="0"/>
        <w:jc w:val="both"/>
        <w:rPr>
          <w:color w:val="000000" w:themeColor="text1"/>
          <w:sz w:val="16"/>
          <w:szCs w:val="16"/>
        </w:rPr>
      </w:pPr>
    </w:p>
    <w:sectPr w:rsidR="00362C75" w:rsidRPr="00F90EAE" w:rsidSect="00886C16">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inherit">
    <w:altName w:val="Cambria"/>
    <w:panose1 w:val="00000000000000000000"/>
    <w:charset w:val="00"/>
    <w:family w:val="roman"/>
    <w:notTrueType/>
    <w:pitch w:val="default"/>
  </w:font>
  <w:font w:name="Lucida Console">
    <w:panose1 w:val="020B0609040504020204"/>
    <w:charset w:val="CC"/>
    <w:family w:val="modern"/>
    <w:pitch w:val="fixed"/>
    <w:sig w:usb0="8000028F" w:usb1="00001800" w:usb2="00000000" w:usb3="00000000" w:csb0="0000001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1334EB"/>
    <w:multiLevelType w:val="multilevel"/>
    <w:tmpl w:val="A5DEDF06"/>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1B0140F"/>
    <w:multiLevelType w:val="multilevel"/>
    <w:tmpl w:val="499A2B4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2">
      <w:start w:val="17"/>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3">
      <w:start w:val="2"/>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rPr>
    </w:lvl>
    <w:lvl w:ilvl="7">
      <w:start w:val="8"/>
      <w:numFmt w:val="upperLetter"/>
      <w:lvlText w:val="%8."/>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lvl w:ilvl="8">
      <w:start w:val="2"/>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single"/>
      </w:rPr>
    </w:lvl>
  </w:abstractNum>
  <w:abstractNum w:abstractNumId="2" w15:restartNumberingAfterBreak="0">
    <w:nsid w:val="5E0C47D8"/>
    <w:multiLevelType w:val="multilevel"/>
    <w:tmpl w:val="FB4AF8EE"/>
    <w:lvl w:ilvl="0">
      <w:start w:val="1"/>
      <w:numFmt w:val="bullet"/>
      <w:lvlText w:val="-"/>
      <w:lvlJc w:val="left"/>
      <w:rPr>
        <w:rFonts w:ascii="Segoe UI" w:eastAsia="Segoe UI" w:hAnsi="Segoe UI" w:cs="Segoe UI"/>
        <w:b w:val="0"/>
        <w:bCs w:val="0"/>
        <w:i w:val="0"/>
        <w:iCs w:val="0"/>
        <w:smallCaps w:val="0"/>
        <w:strike w:val="0"/>
        <w:color w:val="000000"/>
        <w:spacing w:val="0"/>
        <w:w w:val="100"/>
        <w:position w:val="0"/>
        <w:sz w:val="16"/>
        <w:szCs w:val="1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hideGrammatical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948"/>
    <w:rsid w:val="000025C6"/>
    <w:rsid w:val="00007B5B"/>
    <w:rsid w:val="00010A2F"/>
    <w:rsid w:val="00013858"/>
    <w:rsid w:val="00015826"/>
    <w:rsid w:val="0002077A"/>
    <w:rsid w:val="0002327B"/>
    <w:rsid w:val="0002726F"/>
    <w:rsid w:val="00030351"/>
    <w:rsid w:val="00040634"/>
    <w:rsid w:val="000409C9"/>
    <w:rsid w:val="000510C1"/>
    <w:rsid w:val="00053C2F"/>
    <w:rsid w:val="00063378"/>
    <w:rsid w:val="00065021"/>
    <w:rsid w:val="0006634D"/>
    <w:rsid w:val="000701C9"/>
    <w:rsid w:val="00070AF2"/>
    <w:rsid w:val="00073784"/>
    <w:rsid w:val="0008367D"/>
    <w:rsid w:val="00086E53"/>
    <w:rsid w:val="00092917"/>
    <w:rsid w:val="00094AE4"/>
    <w:rsid w:val="00094C32"/>
    <w:rsid w:val="000B23E5"/>
    <w:rsid w:val="000C1B0E"/>
    <w:rsid w:val="000C332D"/>
    <w:rsid w:val="000C795D"/>
    <w:rsid w:val="000D0537"/>
    <w:rsid w:val="000D6FF7"/>
    <w:rsid w:val="000E7D6A"/>
    <w:rsid w:val="000F30A8"/>
    <w:rsid w:val="000F49EC"/>
    <w:rsid w:val="0010105A"/>
    <w:rsid w:val="00102C23"/>
    <w:rsid w:val="00113C6F"/>
    <w:rsid w:val="00113D98"/>
    <w:rsid w:val="00117BE3"/>
    <w:rsid w:val="00121858"/>
    <w:rsid w:val="00135115"/>
    <w:rsid w:val="00141E45"/>
    <w:rsid w:val="00143828"/>
    <w:rsid w:val="001438DF"/>
    <w:rsid w:val="00144515"/>
    <w:rsid w:val="00145AFC"/>
    <w:rsid w:val="00150B7E"/>
    <w:rsid w:val="0015539F"/>
    <w:rsid w:val="001561D1"/>
    <w:rsid w:val="00161A39"/>
    <w:rsid w:val="00166A21"/>
    <w:rsid w:val="00173F5C"/>
    <w:rsid w:val="00175890"/>
    <w:rsid w:val="001907E8"/>
    <w:rsid w:val="00193FD5"/>
    <w:rsid w:val="001A5F95"/>
    <w:rsid w:val="001C14BF"/>
    <w:rsid w:val="001C4A6A"/>
    <w:rsid w:val="001D045B"/>
    <w:rsid w:val="001D1E05"/>
    <w:rsid w:val="001E4635"/>
    <w:rsid w:val="001E5A84"/>
    <w:rsid w:val="001F396D"/>
    <w:rsid w:val="001F7908"/>
    <w:rsid w:val="00201A26"/>
    <w:rsid w:val="002029E1"/>
    <w:rsid w:val="00202AFD"/>
    <w:rsid w:val="00206770"/>
    <w:rsid w:val="00213252"/>
    <w:rsid w:val="0021629B"/>
    <w:rsid w:val="00230342"/>
    <w:rsid w:val="00235F2C"/>
    <w:rsid w:val="002365D7"/>
    <w:rsid w:val="00237152"/>
    <w:rsid w:val="00243360"/>
    <w:rsid w:val="002471D5"/>
    <w:rsid w:val="00247854"/>
    <w:rsid w:val="002527AE"/>
    <w:rsid w:val="0025587C"/>
    <w:rsid w:val="0027059D"/>
    <w:rsid w:val="0027332D"/>
    <w:rsid w:val="00286419"/>
    <w:rsid w:val="002A04DB"/>
    <w:rsid w:val="002A359B"/>
    <w:rsid w:val="002A3A19"/>
    <w:rsid w:val="002A4526"/>
    <w:rsid w:val="002A5AD4"/>
    <w:rsid w:val="002A5DBF"/>
    <w:rsid w:val="002B4C11"/>
    <w:rsid w:val="002C1BDA"/>
    <w:rsid w:val="002D2573"/>
    <w:rsid w:val="002D465A"/>
    <w:rsid w:val="002E1B6D"/>
    <w:rsid w:val="002E24E6"/>
    <w:rsid w:val="002E5953"/>
    <w:rsid w:val="002E6E09"/>
    <w:rsid w:val="002F1089"/>
    <w:rsid w:val="002F4338"/>
    <w:rsid w:val="003028CD"/>
    <w:rsid w:val="003056AF"/>
    <w:rsid w:val="00312320"/>
    <w:rsid w:val="0032073A"/>
    <w:rsid w:val="0032140A"/>
    <w:rsid w:val="0032436D"/>
    <w:rsid w:val="00324FA8"/>
    <w:rsid w:val="00326301"/>
    <w:rsid w:val="00327D90"/>
    <w:rsid w:val="003366DD"/>
    <w:rsid w:val="00356648"/>
    <w:rsid w:val="003605FA"/>
    <w:rsid w:val="00361C8C"/>
    <w:rsid w:val="00362C75"/>
    <w:rsid w:val="00371372"/>
    <w:rsid w:val="0037412D"/>
    <w:rsid w:val="003751D3"/>
    <w:rsid w:val="003755B5"/>
    <w:rsid w:val="00382475"/>
    <w:rsid w:val="00385035"/>
    <w:rsid w:val="0038610C"/>
    <w:rsid w:val="00392001"/>
    <w:rsid w:val="003A3020"/>
    <w:rsid w:val="003A5F91"/>
    <w:rsid w:val="003B056E"/>
    <w:rsid w:val="003B3957"/>
    <w:rsid w:val="003C19E1"/>
    <w:rsid w:val="003C588F"/>
    <w:rsid w:val="003C7C9A"/>
    <w:rsid w:val="003D013D"/>
    <w:rsid w:val="003D47C5"/>
    <w:rsid w:val="003D5AF4"/>
    <w:rsid w:val="003E03D0"/>
    <w:rsid w:val="003E0642"/>
    <w:rsid w:val="003E442B"/>
    <w:rsid w:val="003E545E"/>
    <w:rsid w:val="003E6ED8"/>
    <w:rsid w:val="00400D43"/>
    <w:rsid w:val="00413CD7"/>
    <w:rsid w:val="004252F4"/>
    <w:rsid w:val="00426075"/>
    <w:rsid w:val="004371A6"/>
    <w:rsid w:val="0044284D"/>
    <w:rsid w:val="00446A93"/>
    <w:rsid w:val="00450976"/>
    <w:rsid w:val="004533E5"/>
    <w:rsid w:val="00460695"/>
    <w:rsid w:val="00460A18"/>
    <w:rsid w:val="00462C72"/>
    <w:rsid w:val="00462FCF"/>
    <w:rsid w:val="004633F2"/>
    <w:rsid w:val="004709B0"/>
    <w:rsid w:val="00473C5C"/>
    <w:rsid w:val="00475979"/>
    <w:rsid w:val="0047630E"/>
    <w:rsid w:val="00480A84"/>
    <w:rsid w:val="00483606"/>
    <w:rsid w:val="004868FE"/>
    <w:rsid w:val="004945E9"/>
    <w:rsid w:val="0049598A"/>
    <w:rsid w:val="0049679F"/>
    <w:rsid w:val="0049788C"/>
    <w:rsid w:val="00497AEB"/>
    <w:rsid w:val="004A092D"/>
    <w:rsid w:val="004A3537"/>
    <w:rsid w:val="004A429A"/>
    <w:rsid w:val="004B0814"/>
    <w:rsid w:val="004C221F"/>
    <w:rsid w:val="004D08EC"/>
    <w:rsid w:val="004D5B9B"/>
    <w:rsid w:val="004E29EA"/>
    <w:rsid w:val="004E4E55"/>
    <w:rsid w:val="004F22D7"/>
    <w:rsid w:val="004F4C5F"/>
    <w:rsid w:val="004F53AD"/>
    <w:rsid w:val="004F6CFB"/>
    <w:rsid w:val="004F7EC9"/>
    <w:rsid w:val="00500674"/>
    <w:rsid w:val="00503A32"/>
    <w:rsid w:val="00505829"/>
    <w:rsid w:val="005119C8"/>
    <w:rsid w:val="00516F49"/>
    <w:rsid w:val="00524AEC"/>
    <w:rsid w:val="00524C9D"/>
    <w:rsid w:val="00525177"/>
    <w:rsid w:val="00525BF4"/>
    <w:rsid w:val="0052661D"/>
    <w:rsid w:val="00531F9E"/>
    <w:rsid w:val="0053208B"/>
    <w:rsid w:val="00546AC2"/>
    <w:rsid w:val="00546EA6"/>
    <w:rsid w:val="0055066D"/>
    <w:rsid w:val="005517D0"/>
    <w:rsid w:val="00561026"/>
    <w:rsid w:val="00561F31"/>
    <w:rsid w:val="005720F5"/>
    <w:rsid w:val="0057250B"/>
    <w:rsid w:val="00573476"/>
    <w:rsid w:val="00574D94"/>
    <w:rsid w:val="00576B22"/>
    <w:rsid w:val="00580BC7"/>
    <w:rsid w:val="005903DB"/>
    <w:rsid w:val="00590D1F"/>
    <w:rsid w:val="005A0732"/>
    <w:rsid w:val="005A1318"/>
    <w:rsid w:val="005A3EAB"/>
    <w:rsid w:val="005A6AF3"/>
    <w:rsid w:val="005B62C6"/>
    <w:rsid w:val="005C1F60"/>
    <w:rsid w:val="005C2D05"/>
    <w:rsid w:val="005C3848"/>
    <w:rsid w:val="005D0C39"/>
    <w:rsid w:val="005D0ED9"/>
    <w:rsid w:val="005D233C"/>
    <w:rsid w:val="005D3D2E"/>
    <w:rsid w:val="005F32F4"/>
    <w:rsid w:val="005F45C9"/>
    <w:rsid w:val="005F7535"/>
    <w:rsid w:val="00600B70"/>
    <w:rsid w:val="00606F47"/>
    <w:rsid w:val="006103B3"/>
    <w:rsid w:val="0061497A"/>
    <w:rsid w:val="0061576E"/>
    <w:rsid w:val="0062000C"/>
    <w:rsid w:val="00630DDD"/>
    <w:rsid w:val="00633902"/>
    <w:rsid w:val="00637BF4"/>
    <w:rsid w:val="00646F42"/>
    <w:rsid w:val="00647A79"/>
    <w:rsid w:val="00650270"/>
    <w:rsid w:val="0066127E"/>
    <w:rsid w:val="00665165"/>
    <w:rsid w:val="00666D77"/>
    <w:rsid w:val="00667228"/>
    <w:rsid w:val="00670896"/>
    <w:rsid w:val="00670D8A"/>
    <w:rsid w:val="00677D5F"/>
    <w:rsid w:val="00681972"/>
    <w:rsid w:val="0068213E"/>
    <w:rsid w:val="006825F8"/>
    <w:rsid w:val="00685DD5"/>
    <w:rsid w:val="006979C2"/>
    <w:rsid w:val="00697AC7"/>
    <w:rsid w:val="006A1A77"/>
    <w:rsid w:val="006B0B5F"/>
    <w:rsid w:val="006B155B"/>
    <w:rsid w:val="006B4C87"/>
    <w:rsid w:val="006C40C5"/>
    <w:rsid w:val="006C4B00"/>
    <w:rsid w:val="006D7A23"/>
    <w:rsid w:val="006E65ED"/>
    <w:rsid w:val="006F0F05"/>
    <w:rsid w:val="006F2DF6"/>
    <w:rsid w:val="006F43F1"/>
    <w:rsid w:val="007048F1"/>
    <w:rsid w:val="007060B9"/>
    <w:rsid w:val="00711091"/>
    <w:rsid w:val="00712FB3"/>
    <w:rsid w:val="00715145"/>
    <w:rsid w:val="00720DFE"/>
    <w:rsid w:val="007347DA"/>
    <w:rsid w:val="00746A80"/>
    <w:rsid w:val="00747612"/>
    <w:rsid w:val="00750C95"/>
    <w:rsid w:val="00752607"/>
    <w:rsid w:val="00781BF4"/>
    <w:rsid w:val="00797499"/>
    <w:rsid w:val="007B38E4"/>
    <w:rsid w:val="007B3FB8"/>
    <w:rsid w:val="007C0C62"/>
    <w:rsid w:val="007C630F"/>
    <w:rsid w:val="007C7139"/>
    <w:rsid w:val="007D191E"/>
    <w:rsid w:val="007D65F3"/>
    <w:rsid w:val="007E3239"/>
    <w:rsid w:val="007E448A"/>
    <w:rsid w:val="00800D27"/>
    <w:rsid w:val="008019CE"/>
    <w:rsid w:val="0080789B"/>
    <w:rsid w:val="008108C0"/>
    <w:rsid w:val="00816E1B"/>
    <w:rsid w:val="0081738B"/>
    <w:rsid w:val="0082322E"/>
    <w:rsid w:val="00823A00"/>
    <w:rsid w:val="00827BBE"/>
    <w:rsid w:val="00832B68"/>
    <w:rsid w:val="0084047D"/>
    <w:rsid w:val="00847535"/>
    <w:rsid w:val="00854708"/>
    <w:rsid w:val="008628F5"/>
    <w:rsid w:val="00866C07"/>
    <w:rsid w:val="00873386"/>
    <w:rsid w:val="008741BA"/>
    <w:rsid w:val="00886C16"/>
    <w:rsid w:val="00886CF9"/>
    <w:rsid w:val="00893AF7"/>
    <w:rsid w:val="008C0D43"/>
    <w:rsid w:val="008C396C"/>
    <w:rsid w:val="008C5307"/>
    <w:rsid w:val="008D1FAE"/>
    <w:rsid w:val="008D249A"/>
    <w:rsid w:val="008D5ABD"/>
    <w:rsid w:val="008D6E07"/>
    <w:rsid w:val="008E0FBF"/>
    <w:rsid w:val="008E5220"/>
    <w:rsid w:val="008E7477"/>
    <w:rsid w:val="00902F85"/>
    <w:rsid w:val="009104CE"/>
    <w:rsid w:val="00911035"/>
    <w:rsid w:val="0091536A"/>
    <w:rsid w:val="00920EF0"/>
    <w:rsid w:val="00927952"/>
    <w:rsid w:val="00934A89"/>
    <w:rsid w:val="00950F76"/>
    <w:rsid w:val="00954CDF"/>
    <w:rsid w:val="0096198F"/>
    <w:rsid w:val="00965F83"/>
    <w:rsid w:val="00974A4B"/>
    <w:rsid w:val="0097795E"/>
    <w:rsid w:val="00986CD1"/>
    <w:rsid w:val="00990E1D"/>
    <w:rsid w:val="00990F31"/>
    <w:rsid w:val="00996484"/>
    <w:rsid w:val="009A3EFF"/>
    <w:rsid w:val="009A64F5"/>
    <w:rsid w:val="009B0E9A"/>
    <w:rsid w:val="009B1228"/>
    <w:rsid w:val="009B2258"/>
    <w:rsid w:val="009B7AB9"/>
    <w:rsid w:val="009C37DA"/>
    <w:rsid w:val="009D0510"/>
    <w:rsid w:val="009D44EF"/>
    <w:rsid w:val="009D60E7"/>
    <w:rsid w:val="009E360D"/>
    <w:rsid w:val="009E68E9"/>
    <w:rsid w:val="00A06685"/>
    <w:rsid w:val="00A11433"/>
    <w:rsid w:val="00A12CE2"/>
    <w:rsid w:val="00A2476C"/>
    <w:rsid w:val="00A278CB"/>
    <w:rsid w:val="00A30E3B"/>
    <w:rsid w:val="00A350B4"/>
    <w:rsid w:val="00A371FF"/>
    <w:rsid w:val="00A40927"/>
    <w:rsid w:val="00A40B71"/>
    <w:rsid w:val="00A42EE3"/>
    <w:rsid w:val="00A45A36"/>
    <w:rsid w:val="00A524F6"/>
    <w:rsid w:val="00A55037"/>
    <w:rsid w:val="00A64B86"/>
    <w:rsid w:val="00A65CB5"/>
    <w:rsid w:val="00A735C5"/>
    <w:rsid w:val="00A752EF"/>
    <w:rsid w:val="00A776CB"/>
    <w:rsid w:val="00A8589E"/>
    <w:rsid w:val="00A87480"/>
    <w:rsid w:val="00A9131A"/>
    <w:rsid w:val="00A92FC9"/>
    <w:rsid w:val="00A952AA"/>
    <w:rsid w:val="00A954CF"/>
    <w:rsid w:val="00A96EA6"/>
    <w:rsid w:val="00AA1040"/>
    <w:rsid w:val="00AA32F2"/>
    <w:rsid w:val="00AA3EB5"/>
    <w:rsid w:val="00AA6296"/>
    <w:rsid w:val="00AA7BA7"/>
    <w:rsid w:val="00AB4033"/>
    <w:rsid w:val="00AB5FFD"/>
    <w:rsid w:val="00AB62EF"/>
    <w:rsid w:val="00AB6AA0"/>
    <w:rsid w:val="00AC061A"/>
    <w:rsid w:val="00AC12ED"/>
    <w:rsid w:val="00AC6457"/>
    <w:rsid w:val="00AD05DC"/>
    <w:rsid w:val="00AD329D"/>
    <w:rsid w:val="00AD5074"/>
    <w:rsid w:val="00AE29CF"/>
    <w:rsid w:val="00AF408C"/>
    <w:rsid w:val="00AF535B"/>
    <w:rsid w:val="00B12671"/>
    <w:rsid w:val="00B147AB"/>
    <w:rsid w:val="00B17B62"/>
    <w:rsid w:val="00B307A0"/>
    <w:rsid w:val="00B3398A"/>
    <w:rsid w:val="00B34788"/>
    <w:rsid w:val="00B35A1B"/>
    <w:rsid w:val="00B3672C"/>
    <w:rsid w:val="00B40434"/>
    <w:rsid w:val="00B44E2B"/>
    <w:rsid w:val="00B52070"/>
    <w:rsid w:val="00B5377E"/>
    <w:rsid w:val="00B570C6"/>
    <w:rsid w:val="00B6122E"/>
    <w:rsid w:val="00B633D2"/>
    <w:rsid w:val="00B65582"/>
    <w:rsid w:val="00B741FD"/>
    <w:rsid w:val="00B81DD0"/>
    <w:rsid w:val="00B82EA2"/>
    <w:rsid w:val="00B837BE"/>
    <w:rsid w:val="00B84C42"/>
    <w:rsid w:val="00B87114"/>
    <w:rsid w:val="00B90038"/>
    <w:rsid w:val="00B92A5E"/>
    <w:rsid w:val="00BA025E"/>
    <w:rsid w:val="00BA15CA"/>
    <w:rsid w:val="00BA1885"/>
    <w:rsid w:val="00BA196A"/>
    <w:rsid w:val="00BA20E6"/>
    <w:rsid w:val="00BA2B8F"/>
    <w:rsid w:val="00BA4C3E"/>
    <w:rsid w:val="00BA6D09"/>
    <w:rsid w:val="00BA7614"/>
    <w:rsid w:val="00BB0525"/>
    <w:rsid w:val="00BB1B0B"/>
    <w:rsid w:val="00BB2377"/>
    <w:rsid w:val="00BB4FEE"/>
    <w:rsid w:val="00BB647E"/>
    <w:rsid w:val="00BC1830"/>
    <w:rsid w:val="00BD009E"/>
    <w:rsid w:val="00BD0937"/>
    <w:rsid w:val="00BD3ED4"/>
    <w:rsid w:val="00BD44E6"/>
    <w:rsid w:val="00BD4B69"/>
    <w:rsid w:val="00BE2FB1"/>
    <w:rsid w:val="00BE5234"/>
    <w:rsid w:val="00BF0005"/>
    <w:rsid w:val="00BF18D8"/>
    <w:rsid w:val="00BF3067"/>
    <w:rsid w:val="00C019B2"/>
    <w:rsid w:val="00C116C3"/>
    <w:rsid w:val="00C16319"/>
    <w:rsid w:val="00C16E64"/>
    <w:rsid w:val="00C1740F"/>
    <w:rsid w:val="00C2313B"/>
    <w:rsid w:val="00C3579C"/>
    <w:rsid w:val="00C42903"/>
    <w:rsid w:val="00C43715"/>
    <w:rsid w:val="00C46885"/>
    <w:rsid w:val="00C50EC9"/>
    <w:rsid w:val="00C52CB1"/>
    <w:rsid w:val="00C53BCE"/>
    <w:rsid w:val="00C55BB4"/>
    <w:rsid w:val="00C8021E"/>
    <w:rsid w:val="00C82529"/>
    <w:rsid w:val="00C84475"/>
    <w:rsid w:val="00C87725"/>
    <w:rsid w:val="00C91EB6"/>
    <w:rsid w:val="00CA6D87"/>
    <w:rsid w:val="00CB201D"/>
    <w:rsid w:val="00CC6018"/>
    <w:rsid w:val="00CD1CBB"/>
    <w:rsid w:val="00CD7B36"/>
    <w:rsid w:val="00CE1517"/>
    <w:rsid w:val="00CE3F91"/>
    <w:rsid w:val="00CF3DC7"/>
    <w:rsid w:val="00D16EE0"/>
    <w:rsid w:val="00D23D16"/>
    <w:rsid w:val="00D26E96"/>
    <w:rsid w:val="00D36A36"/>
    <w:rsid w:val="00D44763"/>
    <w:rsid w:val="00D60908"/>
    <w:rsid w:val="00D645CD"/>
    <w:rsid w:val="00D713B1"/>
    <w:rsid w:val="00D7144C"/>
    <w:rsid w:val="00D764D5"/>
    <w:rsid w:val="00D76EE0"/>
    <w:rsid w:val="00D81AD4"/>
    <w:rsid w:val="00D837F1"/>
    <w:rsid w:val="00D86C3E"/>
    <w:rsid w:val="00D92245"/>
    <w:rsid w:val="00DA485C"/>
    <w:rsid w:val="00DB1CA0"/>
    <w:rsid w:val="00DB35FE"/>
    <w:rsid w:val="00DB3663"/>
    <w:rsid w:val="00DB43FF"/>
    <w:rsid w:val="00DC18E0"/>
    <w:rsid w:val="00DC283B"/>
    <w:rsid w:val="00DC5271"/>
    <w:rsid w:val="00DD401F"/>
    <w:rsid w:val="00DD42F1"/>
    <w:rsid w:val="00DD6117"/>
    <w:rsid w:val="00DE25E5"/>
    <w:rsid w:val="00DE3435"/>
    <w:rsid w:val="00DE38A8"/>
    <w:rsid w:val="00DE3C8D"/>
    <w:rsid w:val="00DE5890"/>
    <w:rsid w:val="00DF2E46"/>
    <w:rsid w:val="00DF4EAD"/>
    <w:rsid w:val="00E0115C"/>
    <w:rsid w:val="00E048E9"/>
    <w:rsid w:val="00E139CA"/>
    <w:rsid w:val="00E15769"/>
    <w:rsid w:val="00E16E55"/>
    <w:rsid w:val="00E23C2F"/>
    <w:rsid w:val="00E2487F"/>
    <w:rsid w:val="00E31928"/>
    <w:rsid w:val="00E31C44"/>
    <w:rsid w:val="00E34C33"/>
    <w:rsid w:val="00E52CE4"/>
    <w:rsid w:val="00E55150"/>
    <w:rsid w:val="00E70305"/>
    <w:rsid w:val="00E707DF"/>
    <w:rsid w:val="00E74102"/>
    <w:rsid w:val="00E74517"/>
    <w:rsid w:val="00E773F9"/>
    <w:rsid w:val="00E86366"/>
    <w:rsid w:val="00E90CF3"/>
    <w:rsid w:val="00E937AB"/>
    <w:rsid w:val="00EA0CFB"/>
    <w:rsid w:val="00EA2540"/>
    <w:rsid w:val="00EA347D"/>
    <w:rsid w:val="00EA774D"/>
    <w:rsid w:val="00EB0B58"/>
    <w:rsid w:val="00EB192F"/>
    <w:rsid w:val="00EB4C06"/>
    <w:rsid w:val="00EC27E3"/>
    <w:rsid w:val="00EC624D"/>
    <w:rsid w:val="00ED23B9"/>
    <w:rsid w:val="00EE4B80"/>
    <w:rsid w:val="00EE671E"/>
    <w:rsid w:val="00EE74D9"/>
    <w:rsid w:val="00EF1DB3"/>
    <w:rsid w:val="00F02E42"/>
    <w:rsid w:val="00F0528A"/>
    <w:rsid w:val="00F1364C"/>
    <w:rsid w:val="00F23D44"/>
    <w:rsid w:val="00F270A5"/>
    <w:rsid w:val="00F30912"/>
    <w:rsid w:val="00F36DAA"/>
    <w:rsid w:val="00F37105"/>
    <w:rsid w:val="00F42464"/>
    <w:rsid w:val="00F4250C"/>
    <w:rsid w:val="00F51852"/>
    <w:rsid w:val="00F60434"/>
    <w:rsid w:val="00F60E3F"/>
    <w:rsid w:val="00F652D0"/>
    <w:rsid w:val="00F76B9F"/>
    <w:rsid w:val="00F77ACE"/>
    <w:rsid w:val="00F8392F"/>
    <w:rsid w:val="00F85807"/>
    <w:rsid w:val="00F90EAE"/>
    <w:rsid w:val="00F94661"/>
    <w:rsid w:val="00F94742"/>
    <w:rsid w:val="00FA3D9E"/>
    <w:rsid w:val="00FA59CB"/>
    <w:rsid w:val="00FA6533"/>
    <w:rsid w:val="00FB1A07"/>
    <w:rsid w:val="00FC1867"/>
    <w:rsid w:val="00FC3E2B"/>
    <w:rsid w:val="00FC5427"/>
    <w:rsid w:val="00FC6CDA"/>
    <w:rsid w:val="00FD262B"/>
    <w:rsid w:val="00FD2910"/>
    <w:rsid w:val="00FD716B"/>
    <w:rsid w:val="00FF11DB"/>
    <w:rsid w:val="00FF14E5"/>
    <w:rsid w:val="00FF39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F116BAC"/>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476C"/>
    <w:rPr>
      <w:rFonts w:ascii="Times New Roman" w:eastAsia="Times New Roman" w:hAnsi="Times New Roman"/>
      <w:sz w:val="24"/>
      <w:szCs w:val="24"/>
    </w:rPr>
  </w:style>
  <w:style w:type="paragraph" w:styleId="1">
    <w:name w:val="heading 1"/>
    <w:basedOn w:val="a"/>
    <w:next w:val="a"/>
    <w:link w:val="10"/>
    <w:uiPriority w:val="9"/>
    <w:qFormat/>
    <w:rsid w:val="00362C75"/>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23A00"/>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qFormat/>
    <w:rsid w:val="00C2313B"/>
    <w:pPr>
      <w:keepNext/>
      <w:autoSpaceDE w:val="0"/>
      <w:autoSpaceDN w:val="0"/>
      <w:adjustRightInd w:val="0"/>
      <w:jc w:val="center"/>
      <w:outlineLvl w:val="2"/>
    </w:pPr>
    <w:rPr>
      <w:b/>
      <w:bCs/>
      <w:sz w:val="28"/>
      <w:szCs w:val="28"/>
    </w:rPr>
  </w:style>
  <w:style w:type="paragraph" w:styleId="4">
    <w:name w:val="heading 4"/>
    <w:basedOn w:val="a"/>
    <w:next w:val="a"/>
    <w:link w:val="40"/>
    <w:uiPriority w:val="9"/>
    <w:unhideWhenUsed/>
    <w:qFormat/>
    <w:rsid w:val="00823A00"/>
    <w:pPr>
      <w:keepNext/>
      <w:keepLines/>
      <w:overflowPunct w:val="0"/>
      <w:autoSpaceDE w:val="0"/>
      <w:autoSpaceDN w:val="0"/>
      <w:adjustRightInd w:val="0"/>
      <w:spacing w:before="40"/>
      <w:textAlignment w:val="baseline"/>
      <w:outlineLvl w:val="3"/>
    </w:pPr>
    <w:rPr>
      <w:rFonts w:ascii="Cambria" w:hAnsi="Cambria"/>
      <w:i/>
      <w:iCs/>
      <w:color w:val="365F91"/>
      <w:sz w:val="20"/>
      <w:szCs w:val="20"/>
    </w:rPr>
  </w:style>
  <w:style w:type="paragraph" w:styleId="5">
    <w:name w:val="heading 5"/>
    <w:basedOn w:val="a"/>
    <w:link w:val="50"/>
    <w:uiPriority w:val="9"/>
    <w:qFormat/>
    <w:rsid w:val="00362C75"/>
    <w:pPr>
      <w:spacing w:before="131"/>
      <w:outlineLvl w:val="4"/>
    </w:pPr>
    <w:rPr>
      <w:b/>
      <w:bCs/>
      <w:sz w:val="20"/>
      <w:szCs w:val="20"/>
    </w:rPr>
  </w:style>
  <w:style w:type="paragraph" w:styleId="6">
    <w:name w:val="heading 6"/>
    <w:basedOn w:val="a"/>
    <w:link w:val="60"/>
    <w:uiPriority w:val="9"/>
    <w:qFormat/>
    <w:rsid w:val="00362C75"/>
    <w:pPr>
      <w:spacing w:before="131"/>
      <w:outlineLvl w:val="5"/>
    </w:pPr>
    <w:rPr>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pPr>
    <w:rPr>
      <w:rFonts w:ascii="Arial" w:hAnsi="Arial" w:cs="Arial"/>
      <w:color w:val="0000FF"/>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link w:val="440"/>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3">
    <w:name w:val="Сноска"/>
    <w:basedOn w:val="a"/>
    <w:link w:val="aff4"/>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2">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link w:val="19"/>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7">
    <w:name w:val="Колонтитул"/>
    <w:basedOn w:val="a"/>
    <w:link w:val="aff8"/>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rsid w:val="008E0FBF"/>
    <w:rPr>
      <w:rFonts w:ascii="Arial" w:hAnsi="Arial" w:cs="Arial"/>
      <w:sz w:val="21"/>
      <w:szCs w:val="21"/>
    </w:rPr>
  </w:style>
  <w:style w:type="paragraph" w:customStyle="1" w:styleId="2a">
    <w:name w:val="Заголовок №2"/>
    <w:basedOn w:val="a"/>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9">
    <w:name w:val="Основной текст + Полужирный"/>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
    <w:link w:val="affb"/>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link w:val="341"/>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4">
    <w:name w:val="Подпись к картинке (6)"/>
    <w:basedOn w:val="a"/>
    <w:link w:val="65"/>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link w:val="74"/>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5">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6">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link w:val="361"/>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link w:val="371"/>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d">
    <w:name w:val="Подпись к таблице (2)"/>
    <w:basedOn w:val="a"/>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30">
    <w:name w:val="Заголовок 3 Знак"/>
    <w:link w:val="3"/>
    <w:uiPriority w:val="9"/>
    <w:rsid w:val="00C2313B"/>
    <w:rPr>
      <w:rFonts w:ascii="Times New Roman" w:hAnsi="Times New Roman" w:cs="Times New Roman"/>
      <w:b/>
      <w:bCs/>
      <w:sz w:val="28"/>
      <w:szCs w:val="28"/>
    </w:rPr>
  </w:style>
  <w:style w:type="character" w:customStyle="1" w:styleId="221">
    <w:name w:val="Подпись к таблице (2)2"/>
    <w:uiPriority w:val="99"/>
    <w:rsid w:val="00C2313B"/>
    <w:rPr>
      <w:rFonts w:ascii="Franklin Gothic Book" w:hAnsi="Franklin Gothic Book" w:cs="Franklin Gothic Book"/>
      <w:b/>
      <w:bCs/>
      <w:color w:val="FFFFFF"/>
      <w:sz w:val="15"/>
      <w:szCs w:val="15"/>
    </w:rPr>
  </w:style>
  <w:style w:type="paragraph" w:customStyle="1" w:styleId="171">
    <w:name w:val="Основной текст (17)1"/>
    <w:basedOn w:val="a"/>
    <w:uiPriority w:val="99"/>
    <w:rsid w:val="00C2313B"/>
    <w:pPr>
      <w:shd w:val="clear" w:color="auto" w:fill="FFFFFF"/>
      <w:autoSpaceDE w:val="0"/>
      <w:autoSpaceDN w:val="0"/>
      <w:adjustRightInd w:val="0"/>
      <w:spacing w:line="202" w:lineRule="exact"/>
      <w:jc w:val="center"/>
    </w:pPr>
    <w:rPr>
      <w:rFonts w:ascii="Franklin Gothic Book" w:hAnsi="Franklin Gothic Book" w:cs="Franklin Gothic Book"/>
      <w:b/>
      <w:bCs/>
      <w:noProof/>
      <w:sz w:val="15"/>
      <w:szCs w:val="15"/>
      <w:lang w:val="en-US"/>
    </w:rPr>
  </w:style>
  <w:style w:type="paragraph" w:customStyle="1" w:styleId="610">
    <w:name w:val="Основной текст (6)1"/>
    <w:basedOn w:val="a"/>
    <w:uiPriority w:val="99"/>
    <w:rsid w:val="00C2313B"/>
    <w:pPr>
      <w:shd w:val="clear" w:color="auto" w:fill="FFFFFF"/>
      <w:autoSpaceDE w:val="0"/>
      <w:autoSpaceDN w:val="0"/>
      <w:adjustRightInd w:val="0"/>
      <w:spacing w:line="202" w:lineRule="exact"/>
    </w:pPr>
    <w:rPr>
      <w:rFonts w:ascii="Microsoft Sans Serif" w:hAnsi="Microsoft Sans Serif" w:cs="Microsoft Sans Serif"/>
      <w:i/>
      <w:iCs/>
      <w:noProof/>
      <w:sz w:val="23"/>
      <w:szCs w:val="23"/>
      <w:lang w:val="en-US"/>
    </w:rPr>
  </w:style>
  <w:style w:type="paragraph" w:customStyle="1" w:styleId="1b">
    <w:name w:val="Текст1"/>
    <w:basedOn w:val="Iauiue"/>
    <w:rsid w:val="00573476"/>
    <w:pPr>
      <w:overflowPunct w:val="0"/>
      <w:textAlignment w:val="baseline"/>
    </w:pPr>
    <w:rPr>
      <w:rFonts w:ascii="Courier New" w:eastAsia="Times New Roman" w:hAnsi="Courier New"/>
      <w:lang w:val="en-AU" w:eastAsia="ru-RU"/>
    </w:rPr>
  </w:style>
  <w:style w:type="paragraph" w:customStyle="1" w:styleId="92">
    <w:name w:val="Основной текст9"/>
    <w:basedOn w:val="a"/>
    <w:rsid w:val="004945E9"/>
    <w:pPr>
      <w:shd w:val="clear" w:color="auto" w:fill="FFFFFF"/>
      <w:overflowPunct w:val="0"/>
      <w:autoSpaceDE w:val="0"/>
      <w:autoSpaceDN w:val="0"/>
      <w:adjustRightInd w:val="0"/>
      <w:spacing w:after="1080" w:line="410" w:lineRule="exact"/>
      <w:ind w:hanging="2000"/>
      <w:jc w:val="center"/>
      <w:textAlignment w:val="baseline"/>
    </w:pPr>
    <w:rPr>
      <w:color w:val="000000"/>
      <w:sz w:val="18"/>
      <w:szCs w:val="20"/>
    </w:rPr>
  </w:style>
  <w:style w:type="character" w:customStyle="1" w:styleId="12pt">
    <w:name w:val="Основной текст + 12 pt"/>
    <w:rsid w:val="00BA2B8F"/>
    <w:rPr>
      <w:rFonts w:ascii="Times New Roman" w:hAnsi="Times New Roman"/>
      <w:spacing w:val="-10"/>
      <w:sz w:val="24"/>
    </w:rPr>
  </w:style>
  <w:style w:type="character" w:customStyle="1" w:styleId="aff2">
    <w:name w:val="Подпись к таблице_"/>
    <w:link w:val="aff1"/>
    <w:rsid w:val="006979C2"/>
    <w:rPr>
      <w:rFonts w:ascii="Arial Narrow" w:hAnsi="Arial Narrow" w:cs="Arial Narrow"/>
      <w:i/>
      <w:iCs/>
      <w:noProof/>
      <w:sz w:val="20"/>
      <w:szCs w:val="20"/>
      <w:shd w:val="clear" w:color="auto" w:fill="FFFFFF"/>
      <w:lang w:val="en-US"/>
    </w:rPr>
  </w:style>
  <w:style w:type="paragraph" w:customStyle="1" w:styleId="191">
    <w:name w:val="Основной текст (19)"/>
    <w:basedOn w:val="a"/>
    <w:link w:val="192"/>
    <w:uiPriority w:val="99"/>
    <w:rsid w:val="006979C2"/>
    <w:pPr>
      <w:shd w:val="clear" w:color="auto" w:fill="FFFFFF"/>
      <w:overflowPunct w:val="0"/>
      <w:autoSpaceDE w:val="0"/>
      <w:autoSpaceDN w:val="0"/>
      <w:adjustRightInd w:val="0"/>
      <w:spacing w:line="240" w:lineRule="atLeast"/>
      <w:textAlignment w:val="baseline"/>
    </w:pPr>
    <w:rPr>
      <w:rFonts w:ascii="Arial" w:hAnsi="Arial"/>
      <w:sz w:val="33"/>
      <w:szCs w:val="20"/>
    </w:rPr>
  </w:style>
  <w:style w:type="paragraph" w:customStyle="1" w:styleId="260">
    <w:name w:val="Основной текст (26)"/>
    <w:basedOn w:val="a"/>
    <w:link w:val="261"/>
    <w:rsid w:val="006979C2"/>
    <w:pPr>
      <w:shd w:val="clear" w:color="auto" w:fill="FFFFFF"/>
      <w:overflowPunct w:val="0"/>
      <w:autoSpaceDE w:val="0"/>
      <w:autoSpaceDN w:val="0"/>
      <w:adjustRightInd w:val="0"/>
      <w:spacing w:line="240" w:lineRule="atLeast"/>
      <w:jc w:val="center"/>
      <w:textAlignment w:val="baseline"/>
    </w:pPr>
    <w:rPr>
      <w:rFonts w:ascii="Arial" w:hAnsi="Arial"/>
      <w:sz w:val="14"/>
      <w:szCs w:val="20"/>
    </w:rPr>
  </w:style>
  <w:style w:type="character" w:customStyle="1" w:styleId="261">
    <w:name w:val="Основной текст (26)_"/>
    <w:link w:val="260"/>
    <w:rsid w:val="006979C2"/>
    <w:rPr>
      <w:rFonts w:ascii="Arial" w:eastAsia="Times New Roman" w:hAnsi="Arial" w:cs="Times New Roman"/>
      <w:sz w:val="14"/>
      <w:szCs w:val="20"/>
      <w:shd w:val="clear" w:color="auto" w:fill="FFFFFF"/>
      <w:lang w:eastAsia="ru-RU"/>
    </w:rPr>
  </w:style>
  <w:style w:type="paragraph" w:customStyle="1" w:styleId="301">
    <w:name w:val="Основной текст (30)"/>
    <w:basedOn w:val="a"/>
    <w:link w:val="302"/>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380">
    <w:name w:val="Основной текст (38)"/>
    <w:basedOn w:val="a"/>
    <w:rsid w:val="006979C2"/>
    <w:pPr>
      <w:shd w:val="clear" w:color="auto" w:fill="FFFFFF"/>
      <w:overflowPunct w:val="0"/>
      <w:autoSpaceDE w:val="0"/>
      <w:autoSpaceDN w:val="0"/>
      <w:adjustRightInd w:val="0"/>
      <w:spacing w:line="240" w:lineRule="atLeast"/>
      <w:textAlignment w:val="baseline"/>
    </w:pPr>
    <w:rPr>
      <w:rFonts w:ascii="Gungsuh" w:eastAsia="Gungsuh"/>
      <w:sz w:val="8"/>
      <w:szCs w:val="20"/>
    </w:rPr>
  </w:style>
  <w:style w:type="paragraph" w:customStyle="1" w:styleId="67">
    <w:name w:val="Основной текст (6)"/>
    <w:basedOn w:val="a"/>
    <w:link w:val="68"/>
    <w:rsid w:val="006979C2"/>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371">
    <w:name w:val="Основной текст (37)_"/>
    <w:link w:val="370"/>
    <w:rsid w:val="006979C2"/>
    <w:rPr>
      <w:rFonts w:ascii="MS Reference Sans Serif" w:hAnsi="MS Reference Sans Serif" w:cs="MS Reference Sans Serif"/>
      <w:i/>
      <w:iCs/>
      <w:sz w:val="12"/>
      <w:szCs w:val="12"/>
      <w:shd w:val="clear" w:color="auto" w:fill="FFFFFF"/>
    </w:rPr>
  </w:style>
  <w:style w:type="paragraph" w:customStyle="1" w:styleId="400">
    <w:name w:val="Основной текст (40)"/>
    <w:basedOn w:val="a"/>
    <w:rsid w:val="006979C2"/>
    <w:pPr>
      <w:shd w:val="clear" w:color="auto" w:fill="FFFFFF"/>
      <w:overflowPunct w:val="0"/>
      <w:autoSpaceDE w:val="0"/>
      <w:autoSpaceDN w:val="0"/>
      <w:adjustRightInd w:val="0"/>
      <w:spacing w:line="240" w:lineRule="atLeast"/>
      <w:jc w:val="both"/>
      <w:textAlignment w:val="baseline"/>
    </w:pPr>
    <w:rPr>
      <w:rFonts w:ascii="Gungsuh" w:eastAsia="Gungsuh"/>
      <w:sz w:val="8"/>
      <w:szCs w:val="20"/>
    </w:rPr>
  </w:style>
  <w:style w:type="character" w:customStyle="1" w:styleId="308pt">
    <w:name w:val="Основной текст (30) + 8 pt"/>
    <w:rsid w:val="006979C2"/>
    <w:rPr>
      <w:rFonts w:ascii="Times New Roman" w:hAnsi="Times New Roman"/>
      <w:sz w:val="16"/>
    </w:rPr>
  </w:style>
  <w:style w:type="character" w:customStyle="1" w:styleId="68">
    <w:name w:val="Основной текст (6)_"/>
    <w:link w:val="67"/>
    <w:rsid w:val="006979C2"/>
    <w:rPr>
      <w:rFonts w:ascii="Calibri" w:eastAsia="Times New Roman" w:hAnsi="Calibri" w:cs="Times New Roman"/>
      <w:sz w:val="24"/>
      <w:szCs w:val="20"/>
      <w:shd w:val="clear" w:color="auto" w:fill="FFFFFF"/>
      <w:lang w:eastAsia="ru-RU"/>
    </w:rPr>
  </w:style>
  <w:style w:type="character" w:customStyle="1" w:styleId="302">
    <w:name w:val="Основной текст (30)_"/>
    <w:link w:val="301"/>
    <w:rsid w:val="006979C2"/>
    <w:rPr>
      <w:rFonts w:ascii="Gungsuh" w:eastAsia="Gungsuh" w:hAnsi="Times New Roman" w:cs="Times New Roman"/>
      <w:sz w:val="8"/>
      <w:szCs w:val="20"/>
      <w:shd w:val="clear" w:color="auto" w:fill="FFFFFF"/>
      <w:lang w:eastAsia="ru-RU"/>
    </w:rPr>
  </w:style>
  <w:style w:type="character" w:customStyle="1" w:styleId="192">
    <w:name w:val="Основной текст (19)_"/>
    <w:link w:val="191"/>
    <w:uiPriority w:val="99"/>
    <w:rsid w:val="006979C2"/>
    <w:rPr>
      <w:rFonts w:ascii="Arial" w:eastAsia="Times New Roman" w:hAnsi="Arial" w:cs="Times New Roman"/>
      <w:sz w:val="33"/>
      <w:szCs w:val="20"/>
      <w:shd w:val="clear" w:color="auto" w:fill="FFFFFF"/>
      <w:lang w:eastAsia="ru-RU"/>
    </w:rPr>
  </w:style>
  <w:style w:type="paragraph" w:customStyle="1" w:styleId="161">
    <w:name w:val="Основной текст (16)"/>
    <w:basedOn w:val="a"/>
    <w:link w:val="162"/>
    <w:uiPriority w:val="99"/>
    <w:rsid w:val="006979C2"/>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Candara">
    <w:name w:val="Основной текст (16) + Candara"/>
    <w:rsid w:val="006979C2"/>
    <w:rPr>
      <w:rFonts w:ascii="Candara" w:hAnsi="Candara"/>
      <w:spacing w:val="0"/>
      <w:sz w:val="18"/>
    </w:rPr>
  </w:style>
  <w:style w:type="character" w:customStyle="1" w:styleId="162">
    <w:name w:val="Основной текст (16)_"/>
    <w:link w:val="161"/>
    <w:uiPriority w:val="99"/>
    <w:rsid w:val="006979C2"/>
    <w:rPr>
      <w:rFonts w:ascii="Arial" w:eastAsia="Times New Roman" w:hAnsi="Arial" w:cs="Times New Roman"/>
      <w:sz w:val="28"/>
      <w:szCs w:val="20"/>
      <w:shd w:val="clear" w:color="auto" w:fill="FFFFFF"/>
      <w:lang w:eastAsia="ru-RU"/>
    </w:rPr>
  </w:style>
  <w:style w:type="character" w:customStyle="1" w:styleId="20">
    <w:name w:val="Заголовок 2 Знак"/>
    <w:link w:val="2"/>
    <w:uiPriority w:val="9"/>
    <w:rsid w:val="00823A00"/>
    <w:rPr>
      <w:rFonts w:ascii="Cambria" w:eastAsia="Times New Roman" w:hAnsi="Cambria" w:cs="Times New Roman"/>
      <w:color w:val="365F91"/>
      <w:sz w:val="26"/>
      <w:szCs w:val="26"/>
      <w:lang w:eastAsia="ru-RU"/>
    </w:rPr>
  </w:style>
  <w:style w:type="character" w:customStyle="1" w:styleId="40">
    <w:name w:val="Заголовок 4 Знак"/>
    <w:link w:val="4"/>
    <w:uiPriority w:val="9"/>
    <w:rsid w:val="00823A00"/>
    <w:rPr>
      <w:rFonts w:ascii="Cambria" w:eastAsia="Times New Roman" w:hAnsi="Cambria" w:cs="Times New Roman"/>
      <w:i/>
      <w:iCs/>
      <w:color w:val="365F91"/>
      <w:sz w:val="20"/>
      <w:szCs w:val="20"/>
      <w:lang w:eastAsia="ru-RU"/>
    </w:rPr>
  </w:style>
  <w:style w:type="paragraph" w:customStyle="1" w:styleId="83">
    <w:name w:val="Основной текст8"/>
    <w:basedOn w:val="a"/>
    <w:rsid w:val="00E55150"/>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rsid w:val="00E55150"/>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table" w:styleId="affc">
    <w:name w:val="Table Grid"/>
    <w:basedOn w:val="a1"/>
    <w:uiPriority w:val="59"/>
    <w:rsid w:val="00E5515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6">
    <w:name w:val="Основной текст7"/>
    <w:basedOn w:val="a"/>
    <w:rsid w:val="00D764D5"/>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character" w:customStyle="1" w:styleId="10">
    <w:name w:val="Заголовок 1 Знак"/>
    <w:link w:val="1"/>
    <w:uiPriority w:val="9"/>
    <w:rsid w:val="00362C75"/>
    <w:rPr>
      <w:rFonts w:ascii="Cambria" w:eastAsia="Times New Roman" w:hAnsi="Cambria" w:cs="Times New Roman"/>
      <w:b/>
      <w:bCs/>
      <w:color w:val="365F91"/>
      <w:sz w:val="28"/>
      <w:szCs w:val="28"/>
    </w:rPr>
  </w:style>
  <w:style w:type="character" w:customStyle="1" w:styleId="50">
    <w:name w:val="Заголовок 5 Знак"/>
    <w:link w:val="5"/>
    <w:uiPriority w:val="9"/>
    <w:rsid w:val="00362C75"/>
    <w:rPr>
      <w:rFonts w:ascii="Times New Roman" w:eastAsia="Times New Roman" w:hAnsi="Times New Roman" w:cs="Times New Roman"/>
      <w:b/>
      <w:bCs/>
      <w:sz w:val="20"/>
      <w:szCs w:val="20"/>
      <w:lang w:eastAsia="ru-RU"/>
    </w:rPr>
  </w:style>
  <w:style w:type="character" w:customStyle="1" w:styleId="60">
    <w:name w:val="Заголовок 6 Знак"/>
    <w:link w:val="6"/>
    <w:uiPriority w:val="9"/>
    <w:rsid w:val="00362C75"/>
    <w:rPr>
      <w:rFonts w:ascii="Times New Roman" w:eastAsia="Times New Roman" w:hAnsi="Times New Roman" w:cs="Times New Roman"/>
      <w:b/>
      <w:bCs/>
      <w:sz w:val="15"/>
      <w:szCs w:val="15"/>
      <w:lang w:eastAsia="ru-RU"/>
    </w:rPr>
  </w:style>
  <w:style w:type="character" w:customStyle="1" w:styleId="1c">
    <w:name w:val="Выделение1"/>
    <w:rsid w:val="00362C75"/>
    <w:rPr>
      <w:rFonts w:ascii="Calibri" w:hAnsi="Calibri"/>
      <w:b/>
      <w:i/>
    </w:rPr>
  </w:style>
  <w:style w:type="character" w:customStyle="1" w:styleId="1d">
    <w:name w:val="Строгий1"/>
    <w:rsid w:val="00362C75"/>
    <w:rPr>
      <w:b/>
    </w:rPr>
  </w:style>
  <w:style w:type="character" w:customStyle="1" w:styleId="1e">
    <w:name w:val="Гиперссылка1"/>
    <w:rsid w:val="00362C75"/>
    <w:rPr>
      <w:color w:val="0000FF"/>
      <w:u w:val="single"/>
    </w:rPr>
  </w:style>
  <w:style w:type="paragraph" w:customStyle="1" w:styleId="1f">
    <w:name w:val="Обычный (веб)1"/>
    <w:basedOn w:val="a"/>
    <w:rsid w:val="00362C75"/>
    <w:pPr>
      <w:overflowPunct w:val="0"/>
      <w:autoSpaceDE w:val="0"/>
      <w:autoSpaceDN w:val="0"/>
      <w:adjustRightInd w:val="0"/>
      <w:spacing w:before="100" w:after="100"/>
      <w:textAlignment w:val="baseline"/>
    </w:pPr>
    <w:rPr>
      <w:szCs w:val="20"/>
    </w:rPr>
  </w:style>
  <w:style w:type="paragraph" w:customStyle="1" w:styleId="1210">
    <w:name w:val="Основной текст (12)1"/>
    <w:basedOn w:val="a"/>
    <w:uiPriority w:val="99"/>
    <w:rsid w:val="00362C75"/>
    <w:pPr>
      <w:shd w:val="clear" w:color="auto" w:fill="FFFFFF"/>
      <w:overflowPunct w:val="0"/>
      <w:autoSpaceDE w:val="0"/>
      <w:autoSpaceDN w:val="0"/>
      <w:adjustRightInd w:val="0"/>
      <w:spacing w:line="206" w:lineRule="exact"/>
      <w:textAlignment w:val="baseline"/>
    </w:pPr>
    <w:rPr>
      <w:rFonts w:ascii="MS Reference Sans Serif" w:hAnsi="MS Reference Sans Serif"/>
      <w:sz w:val="15"/>
      <w:szCs w:val="20"/>
      <w:lang w:val="en-US"/>
    </w:rPr>
  </w:style>
  <w:style w:type="character" w:customStyle="1" w:styleId="241">
    <w:name w:val="Подпись к таблице (2)4"/>
    <w:basedOn w:val="a0"/>
    <w:uiPriority w:val="99"/>
    <w:rsid w:val="00362C75"/>
  </w:style>
  <w:style w:type="character" w:customStyle="1" w:styleId="129">
    <w:name w:val="Основной текст (12)9"/>
    <w:basedOn w:val="a0"/>
    <w:uiPriority w:val="99"/>
    <w:rsid w:val="00362C75"/>
  </w:style>
  <w:style w:type="character" w:customStyle="1" w:styleId="720">
    <w:name w:val="Основной текст (7)2"/>
    <w:uiPriority w:val="99"/>
    <w:rsid w:val="00362C75"/>
    <w:rPr>
      <w:rFonts w:ascii="Franklin Gothic Medium" w:hAnsi="Franklin Gothic Medium"/>
      <w:b/>
      <w:sz w:val="23"/>
    </w:rPr>
  </w:style>
  <w:style w:type="character" w:customStyle="1" w:styleId="128">
    <w:name w:val="Основной текст (12)8"/>
    <w:basedOn w:val="a0"/>
    <w:uiPriority w:val="99"/>
    <w:rsid w:val="00362C75"/>
  </w:style>
  <w:style w:type="character" w:customStyle="1" w:styleId="aff8">
    <w:name w:val="Колонтитул_"/>
    <w:link w:val="aff7"/>
    <w:uiPriority w:val="99"/>
    <w:rsid w:val="00362C75"/>
    <w:rPr>
      <w:rFonts w:ascii="Times New Roman" w:hAnsi="Times New Roman" w:cs="Times New Roman"/>
      <w:sz w:val="20"/>
      <w:szCs w:val="20"/>
      <w:shd w:val="clear" w:color="auto" w:fill="FFFFFF"/>
    </w:rPr>
  </w:style>
  <w:style w:type="character" w:customStyle="1" w:styleId="ArialUnicodeMS">
    <w:name w:val="Колонтитул + Arial Unicode MS"/>
    <w:rsid w:val="00362C75"/>
    <w:rPr>
      <w:rFonts w:ascii="Arial Unicode MS" w:eastAsia="Arial Unicode MS"/>
      <w:spacing w:val="0"/>
      <w:sz w:val="19"/>
    </w:rPr>
  </w:style>
  <w:style w:type="paragraph" w:customStyle="1" w:styleId="103">
    <w:name w:val="Основной текст (10)"/>
    <w:basedOn w:val="a"/>
    <w:link w:val="104"/>
    <w:rsid w:val="00362C75"/>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362C75"/>
    <w:rPr>
      <w:rFonts w:ascii="Arial" w:eastAsia="Times New Roman" w:hAnsi="Arial" w:cs="Times New Roman"/>
      <w:sz w:val="11"/>
      <w:szCs w:val="20"/>
      <w:shd w:val="clear" w:color="auto" w:fill="FFFFFF"/>
      <w:lang w:eastAsia="ru-RU"/>
    </w:rPr>
  </w:style>
  <w:style w:type="character" w:customStyle="1" w:styleId="183">
    <w:name w:val="Основной текст (18)_"/>
    <w:link w:val="182"/>
    <w:uiPriority w:val="99"/>
    <w:rsid w:val="00362C75"/>
    <w:rPr>
      <w:rFonts w:ascii="Arial" w:hAnsi="Arial" w:cs="Arial"/>
      <w:sz w:val="24"/>
      <w:szCs w:val="24"/>
      <w:shd w:val="clear" w:color="auto" w:fill="FFFFFF"/>
    </w:rPr>
  </w:style>
  <w:style w:type="paragraph" w:customStyle="1" w:styleId="203">
    <w:name w:val="Основной текст (20)"/>
    <w:basedOn w:val="a"/>
    <w:uiPriority w:val="99"/>
    <w:rsid w:val="00362C75"/>
    <w:pPr>
      <w:shd w:val="clear" w:color="auto" w:fill="FFFFFF"/>
      <w:overflowPunct w:val="0"/>
      <w:autoSpaceDE w:val="0"/>
      <w:autoSpaceDN w:val="0"/>
      <w:adjustRightInd w:val="0"/>
      <w:spacing w:line="240" w:lineRule="atLeast"/>
      <w:textAlignment w:val="baseline"/>
    </w:pPr>
    <w:rPr>
      <w:rFonts w:ascii="Arial Narrow" w:hAnsi="Arial Narrow"/>
      <w:sz w:val="12"/>
      <w:szCs w:val="20"/>
    </w:rPr>
  </w:style>
  <w:style w:type="paragraph" w:customStyle="1" w:styleId="172">
    <w:name w:val="Основной текст (17)"/>
    <w:basedOn w:val="a"/>
    <w:link w:val="173"/>
    <w:uiPriority w:val="99"/>
    <w:rsid w:val="00362C75"/>
    <w:pPr>
      <w:shd w:val="clear" w:color="auto" w:fill="FFFFFF"/>
      <w:overflowPunct w:val="0"/>
      <w:autoSpaceDE w:val="0"/>
      <w:autoSpaceDN w:val="0"/>
      <w:adjustRightInd w:val="0"/>
      <w:spacing w:before="120" w:after="300" w:line="240" w:lineRule="atLeast"/>
      <w:jc w:val="both"/>
      <w:textAlignment w:val="baseline"/>
    </w:pPr>
    <w:rPr>
      <w:rFonts w:ascii="Arial Narrow" w:hAnsi="Arial Narrow"/>
      <w:sz w:val="35"/>
      <w:szCs w:val="20"/>
    </w:rPr>
  </w:style>
  <w:style w:type="character" w:customStyle="1" w:styleId="1pt0">
    <w:name w:val="Подпись к таблице + Интервал 1 pt"/>
    <w:rsid w:val="00362C75"/>
    <w:rPr>
      <w:rFonts w:ascii="Times New Roman" w:hAnsi="Times New Roman"/>
      <w:noProof w:val="0"/>
      <w:spacing w:val="20"/>
      <w:sz w:val="14"/>
      <w:lang w:val="en-US"/>
    </w:rPr>
  </w:style>
  <w:style w:type="paragraph" w:customStyle="1" w:styleId="213">
    <w:name w:val="Основной текст (21)"/>
    <w:basedOn w:val="a"/>
    <w:link w:val="214"/>
    <w:uiPriority w:val="99"/>
    <w:rsid w:val="00362C75"/>
    <w:pPr>
      <w:shd w:val="clear" w:color="auto" w:fill="FFFFFF"/>
      <w:overflowPunct w:val="0"/>
      <w:autoSpaceDE w:val="0"/>
      <w:autoSpaceDN w:val="0"/>
      <w:adjustRightInd w:val="0"/>
      <w:spacing w:after="60" w:line="240" w:lineRule="atLeast"/>
      <w:textAlignment w:val="baseline"/>
    </w:pPr>
    <w:rPr>
      <w:sz w:val="16"/>
      <w:szCs w:val="20"/>
    </w:rPr>
  </w:style>
  <w:style w:type="character" w:customStyle="1" w:styleId="ArialUnicodeMS0">
    <w:name w:val="Основной текст + Arial Unicode MS"/>
    <w:rsid w:val="00362C75"/>
    <w:rPr>
      <w:rFonts w:ascii="Arial Unicode MS" w:eastAsia="Arial Unicode MS"/>
      <w:b/>
      <w:spacing w:val="0"/>
      <w:sz w:val="16"/>
    </w:rPr>
  </w:style>
  <w:style w:type="character" w:customStyle="1" w:styleId="163">
    <w:name w:val="Основной текст (16) + Не курсив"/>
    <w:rsid w:val="00362C75"/>
    <w:rPr>
      <w:rFonts w:ascii="Times New Roman" w:hAnsi="Times New Roman"/>
      <w:i/>
      <w:spacing w:val="0"/>
      <w:sz w:val="18"/>
    </w:rPr>
  </w:style>
  <w:style w:type="character" w:customStyle="1" w:styleId="Arial1">
    <w:name w:val="Колонтитул + Arial1"/>
    <w:rsid w:val="00362C75"/>
    <w:rPr>
      <w:rFonts w:ascii="Arial" w:hAnsi="Arial"/>
      <w:i/>
      <w:sz w:val="8"/>
    </w:rPr>
  </w:style>
  <w:style w:type="paragraph" w:customStyle="1" w:styleId="130">
    <w:name w:val="Основной текст (13)"/>
    <w:basedOn w:val="a"/>
    <w:link w:val="131"/>
    <w:uiPriority w:val="99"/>
    <w:rsid w:val="00362C75"/>
    <w:pPr>
      <w:shd w:val="clear" w:color="auto" w:fill="FFFFFF"/>
      <w:overflowPunct w:val="0"/>
      <w:autoSpaceDE w:val="0"/>
      <w:autoSpaceDN w:val="0"/>
      <w:adjustRightInd w:val="0"/>
      <w:spacing w:line="240" w:lineRule="atLeast"/>
      <w:textAlignment w:val="baseline"/>
    </w:pPr>
    <w:rPr>
      <w:rFonts w:ascii="Arial" w:hAnsi="Arial"/>
      <w:sz w:val="36"/>
      <w:szCs w:val="20"/>
    </w:rPr>
  </w:style>
  <w:style w:type="paragraph" w:customStyle="1" w:styleId="3c">
    <w:name w:val="Оглавление (3)"/>
    <w:basedOn w:val="a"/>
    <w:rsid w:val="00362C75"/>
    <w:pPr>
      <w:shd w:val="clear" w:color="auto" w:fill="FFFFFF"/>
      <w:overflowPunct w:val="0"/>
      <w:autoSpaceDE w:val="0"/>
      <w:autoSpaceDN w:val="0"/>
      <w:adjustRightInd w:val="0"/>
      <w:spacing w:line="176" w:lineRule="exact"/>
      <w:textAlignment w:val="baseline"/>
    </w:pPr>
    <w:rPr>
      <w:sz w:val="15"/>
      <w:szCs w:val="20"/>
    </w:rPr>
  </w:style>
  <w:style w:type="character" w:customStyle="1" w:styleId="MicrosoftSansSerif">
    <w:name w:val="Колонтитул + Microsoft Sans Serif"/>
    <w:rsid w:val="00362C75"/>
    <w:rPr>
      <w:rFonts w:ascii="Microsoft Sans Serif" w:hAnsi="Microsoft Sans Serif"/>
      <w:spacing w:val="0"/>
      <w:sz w:val="19"/>
    </w:rPr>
  </w:style>
  <w:style w:type="character" w:customStyle="1" w:styleId="affb">
    <w:name w:val="Подпись к картинке_"/>
    <w:link w:val="affa"/>
    <w:uiPriority w:val="99"/>
    <w:rsid w:val="00362C75"/>
    <w:rPr>
      <w:rFonts w:ascii="MS Reference Sans Serif" w:hAnsi="MS Reference Sans Serif" w:cs="MS Reference Sans Serif"/>
      <w:b/>
      <w:bCs/>
      <w:sz w:val="13"/>
      <w:szCs w:val="13"/>
      <w:shd w:val="clear" w:color="auto" w:fill="FFFFFF"/>
    </w:rPr>
  </w:style>
  <w:style w:type="character" w:customStyle="1" w:styleId="MicrosoftSansSerif0">
    <w:name w:val="Основной текст + Microsoft Sans Serif"/>
    <w:rsid w:val="00362C75"/>
    <w:rPr>
      <w:rFonts w:ascii="Microsoft Sans Serif" w:hAnsi="Microsoft Sans Serif"/>
      <w:i/>
      <w:spacing w:val="10"/>
      <w:sz w:val="15"/>
    </w:rPr>
  </w:style>
  <w:style w:type="paragraph" w:customStyle="1" w:styleId="222">
    <w:name w:val="Основной текст (22)"/>
    <w:basedOn w:val="a"/>
    <w:uiPriority w:val="99"/>
    <w:rsid w:val="00362C75"/>
    <w:pPr>
      <w:shd w:val="clear" w:color="auto" w:fill="FFFFFF"/>
      <w:overflowPunct w:val="0"/>
      <w:autoSpaceDE w:val="0"/>
      <w:autoSpaceDN w:val="0"/>
      <w:adjustRightInd w:val="0"/>
      <w:spacing w:line="382" w:lineRule="exact"/>
      <w:textAlignment w:val="baseline"/>
    </w:pPr>
    <w:rPr>
      <w:sz w:val="29"/>
      <w:szCs w:val="20"/>
    </w:rPr>
  </w:style>
  <w:style w:type="character" w:customStyle="1" w:styleId="122pt">
    <w:name w:val="Основной текст (12) + Интервал 2 pt"/>
    <w:rsid w:val="00362C75"/>
    <w:rPr>
      <w:spacing w:val="50"/>
      <w:sz w:val="16"/>
    </w:rPr>
  </w:style>
  <w:style w:type="character" w:customStyle="1" w:styleId="122">
    <w:name w:val="Основной текст (12)_"/>
    <w:rsid w:val="00362C75"/>
    <w:rPr>
      <w:spacing w:val="20"/>
      <w:sz w:val="16"/>
    </w:rPr>
  </w:style>
  <w:style w:type="character" w:customStyle="1" w:styleId="11SimSun">
    <w:name w:val="Основной текст (11) + SimSun"/>
    <w:rsid w:val="00362C75"/>
    <w:rPr>
      <w:rFonts w:ascii="SimSun" w:eastAsia="SimSun" w:hAnsi="Arial"/>
      <w:spacing w:val="-10"/>
      <w:sz w:val="16"/>
    </w:rPr>
  </w:style>
  <w:style w:type="character" w:customStyle="1" w:styleId="114">
    <w:name w:val="Основной текст (11)_"/>
    <w:rsid w:val="00362C75"/>
    <w:rPr>
      <w:rFonts w:ascii="Arial" w:hAnsi="Arial"/>
      <w:sz w:val="36"/>
    </w:rPr>
  </w:style>
  <w:style w:type="paragraph" w:customStyle="1" w:styleId="230">
    <w:name w:val="Основной текст (23)"/>
    <w:basedOn w:val="a"/>
    <w:link w:val="231"/>
    <w:uiPriority w:val="99"/>
    <w:rsid w:val="00362C75"/>
    <w:pPr>
      <w:shd w:val="clear" w:color="auto" w:fill="FFFFFF"/>
      <w:overflowPunct w:val="0"/>
      <w:autoSpaceDE w:val="0"/>
      <w:autoSpaceDN w:val="0"/>
      <w:adjustRightInd w:val="0"/>
      <w:spacing w:line="240" w:lineRule="atLeast"/>
      <w:textAlignment w:val="baseline"/>
    </w:pPr>
    <w:rPr>
      <w:rFonts w:ascii="Arial" w:hAnsi="Arial"/>
      <w:sz w:val="19"/>
      <w:szCs w:val="20"/>
    </w:rPr>
  </w:style>
  <w:style w:type="character" w:customStyle="1" w:styleId="231">
    <w:name w:val="Основной текст (23)_"/>
    <w:link w:val="230"/>
    <w:uiPriority w:val="99"/>
    <w:rsid w:val="00362C75"/>
    <w:rPr>
      <w:rFonts w:ascii="Arial" w:eastAsia="Times New Roman" w:hAnsi="Arial" w:cs="Times New Roman"/>
      <w:sz w:val="19"/>
      <w:szCs w:val="20"/>
      <w:shd w:val="clear" w:color="auto" w:fill="FFFFFF"/>
      <w:lang w:eastAsia="ru-RU"/>
    </w:rPr>
  </w:style>
  <w:style w:type="character" w:customStyle="1" w:styleId="272">
    <w:name w:val="Основной текст (27)_"/>
    <w:rsid w:val="00362C75"/>
    <w:rPr>
      <w:rFonts w:ascii="Arial" w:hAnsi="Arial"/>
      <w:sz w:val="14"/>
      <w:shd w:val="clear" w:color="auto" w:fill="FFFFFF"/>
    </w:rPr>
  </w:style>
  <w:style w:type="paragraph" w:customStyle="1" w:styleId="242">
    <w:name w:val="Основной текст (24)"/>
    <w:basedOn w:val="a"/>
    <w:link w:val="243"/>
    <w:uiPriority w:val="99"/>
    <w:rsid w:val="00362C75"/>
    <w:pPr>
      <w:shd w:val="clear" w:color="auto" w:fill="FFFFFF"/>
      <w:overflowPunct w:val="0"/>
      <w:autoSpaceDE w:val="0"/>
      <w:autoSpaceDN w:val="0"/>
      <w:adjustRightInd w:val="0"/>
      <w:spacing w:line="240" w:lineRule="atLeast"/>
      <w:textAlignment w:val="baseline"/>
    </w:pPr>
    <w:rPr>
      <w:rFonts w:ascii="Arial" w:hAnsi="Arial"/>
      <w:sz w:val="21"/>
      <w:szCs w:val="20"/>
    </w:rPr>
  </w:style>
  <w:style w:type="character" w:customStyle="1" w:styleId="243">
    <w:name w:val="Основной текст (24)_"/>
    <w:link w:val="242"/>
    <w:uiPriority w:val="99"/>
    <w:rsid w:val="00362C75"/>
    <w:rPr>
      <w:rFonts w:ascii="Arial" w:eastAsia="Times New Roman" w:hAnsi="Arial" w:cs="Times New Roman"/>
      <w:sz w:val="21"/>
      <w:szCs w:val="20"/>
      <w:shd w:val="clear" w:color="auto" w:fill="FFFFFF"/>
      <w:lang w:eastAsia="ru-RU"/>
    </w:rPr>
  </w:style>
  <w:style w:type="character" w:customStyle="1" w:styleId="282">
    <w:name w:val="Основной текст (28)_"/>
    <w:link w:val="281"/>
    <w:rsid w:val="00362C75"/>
    <w:rPr>
      <w:rFonts w:ascii="Lucida Sans Unicode" w:hAnsi="Lucida Sans Unicode" w:cs="Lucida Sans Unicode"/>
      <w:spacing w:val="10"/>
      <w:sz w:val="24"/>
      <w:szCs w:val="24"/>
      <w:shd w:val="clear" w:color="auto" w:fill="FFFFFF"/>
    </w:rPr>
  </w:style>
  <w:style w:type="paragraph" w:customStyle="1" w:styleId="5a">
    <w:name w:val="Подпись к таблице (5)"/>
    <w:basedOn w:val="a"/>
    <w:rsid w:val="00362C75"/>
    <w:pPr>
      <w:shd w:val="clear" w:color="auto" w:fill="FFFFFF"/>
      <w:overflowPunct w:val="0"/>
      <w:autoSpaceDE w:val="0"/>
      <w:autoSpaceDN w:val="0"/>
      <w:adjustRightInd w:val="0"/>
      <w:spacing w:line="191" w:lineRule="exact"/>
      <w:textAlignment w:val="baseline"/>
    </w:pPr>
    <w:rPr>
      <w:sz w:val="16"/>
      <w:szCs w:val="20"/>
    </w:rPr>
  </w:style>
  <w:style w:type="character" w:customStyle="1" w:styleId="4-1pt">
    <w:name w:val="Подпись к картинке (4) + Интервал -1 pt"/>
    <w:rsid w:val="00362C75"/>
    <w:rPr>
      <w:rFonts w:ascii="Times New Roman" w:hAnsi="Times New Roman"/>
      <w:spacing w:val="-30"/>
      <w:sz w:val="48"/>
    </w:rPr>
  </w:style>
  <w:style w:type="character" w:customStyle="1" w:styleId="53">
    <w:name w:val="Заголовок №5_"/>
    <w:link w:val="52"/>
    <w:rsid w:val="00362C75"/>
    <w:rPr>
      <w:rFonts w:ascii="Arial Narrow" w:hAnsi="Arial Narrow" w:cs="Arial Narrow"/>
      <w:b/>
      <w:bCs/>
      <w:sz w:val="46"/>
      <w:szCs w:val="46"/>
      <w:shd w:val="clear" w:color="auto" w:fill="FFFFFF"/>
    </w:rPr>
  </w:style>
  <w:style w:type="character" w:customStyle="1" w:styleId="2pt">
    <w:name w:val="Основной текст + Интервал 2 pt"/>
    <w:rsid w:val="00362C75"/>
    <w:rPr>
      <w:rFonts w:ascii="Times New Roman" w:hAnsi="Times New Roman"/>
      <w:spacing w:val="40"/>
      <w:sz w:val="18"/>
    </w:rPr>
  </w:style>
  <w:style w:type="character" w:customStyle="1" w:styleId="52pt">
    <w:name w:val="Заголовок №5 + Интервал 2 pt"/>
    <w:rsid w:val="00362C75"/>
    <w:rPr>
      <w:rFonts w:ascii="Microsoft Sans Serif" w:hAnsi="Microsoft Sans Serif"/>
      <w:spacing w:val="50"/>
      <w:sz w:val="15"/>
    </w:rPr>
  </w:style>
  <w:style w:type="paragraph" w:customStyle="1" w:styleId="69">
    <w:name w:val="Подпись к таблице (6)"/>
    <w:basedOn w:val="a"/>
    <w:rsid w:val="00362C75"/>
    <w:pPr>
      <w:shd w:val="clear" w:color="auto" w:fill="FFFFFF"/>
      <w:overflowPunct w:val="0"/>
      <w:autoSpaceDE w:val="0"/>
      <w:autoSpaceDN w:val="0"/>
      <w:adjustRightInd w:val="0"/>
      <w:spacing w:line="240" w:lineRule="atLeast"/>
      <w:textAlignment w:val="baseline"/>
    </w:pPr>
    <w:rPr>
      <w:rFonts w:ascii="Microsoft Sans Serif" w:hAnsi="Microsoft Sans Serif"/>
      <w:sz w:val="15"/>
      <w:szCs w:val="20"/>
    </w:rPr>
  </w:style>
  <w:style w:type="character" w:customStyle="1" w:styleId="680">
    <w:name w:val="Подпись к таблице (6) + 8"/>
    <w:rsid w:val="00362C75"/>
    <w:rPr>
      <w:rFonts w:ascii="Microsoft Sans Serif" w:hAnsi="Microsoft Sans Serif"/>
      <w:b/>
      <w:sz w:val="17"/>
    </w:rPr>
  </w:style>
  <w:style w:type="paragraph" w:customStyle="1" w:styleId="49">
    <w:name w:val="Заголовок №4"/>
    <w:basedOn w:val="a"/>
    <w:link w:val="4a"/>
    <w:rsid w:val="00362C75"/>
    <w:pPr>
      <w:shd w:val="clear" w:color="auto" w:fill="FFFFFF"/>
      <w:overflowPunct w:val="0"/>
      <w:autoSpaceDE w:val="0"/>
      <w:autoSpaceDN w:val="0"/>
      <w:adjustRightInd w:val="0"/>
      <w:spacing w:before="300" w:line="240" w:lineRule="atLeast"/>
      <w:textAlignment w:val="baseline"/>
    </w:pPr>
    <w:rPr>
      <w:rFonts w:ascii="Arial" w:hAnsi="Arial"/>
      <w:spacing w:val="-20"/>
      <w:sz w:val="85"/>
      <w:szCs w:val="20"/>
    </w:rPr>
  </w:style>
  <w:style w:type="paragraph" w:customStyle="1" w:styleId="4b">
    <w:name w:val="Подпись к таблице (4)"/>
    <w:basedOn w:val="a"/>
    <w:uiPriority w:val="99"/>
    <w:rsid w:val="00362C75"/>
    <w:pPr>
      <w:shd w:val="clear" w:color="auto" w:fill="FFFFFF"/>
      <w:overflowPunct w:val="0"/>
      <w:autoSpaceDE w:val="0"/>
      <w:autoSpaceDN w:val="0"/>
      <w:adjustRightInd w:val="0"/>
      <w:spacing w:after="120" w:line="240" w:lineRule="atLeast"/>
      <w:textAlignment w:val="baseline"/>
    </w:pPr>
    <w:rPr>
      <w:rFonts w:ascii="MS Reference Sans Serif" w:hAnsi="MS Reference Sans Serif"/>
      <w:sz w:val="23"/>
      <w:szCs w:val="20"/>
      <w:lang w:val="en-US"/>
    </w:rPr>
  </w:style>
  <w:style w:type="character" w:customStyle="1" w:styleId="affd">
    <w:name w:val="Подпись к таблице + Не курсив"/>
    <w:rsid w:val="00362C75"/>
    <w:rPr>
      <w:rFonts w:ascii="Times New Roman" w:hAnsi="Times New Roman"/>
      <w:i/>
      <w:noProof w:val="0"/>
      <w:spacing w:val="0"/>
      <w:sz w:val="14"/>
      <w:lang w:val="en-US"/>
    </w:rPr>
  </w:style>
  <w:style w:type="character" w:customStyle="1" w:styleId="50pt">
    <w:name w:val="Подпись к таблице (5) + Интервал 0 pt"/>
    <w:rsid w:val="00362C75"/>
    <w:rPr>
      <w:rFonts w:ascii="Times New Roman" w:hAnsi="Times New Roman"/>
      <w:spacing w:val="10"/>
      <w:sz w:val="16"/>
    </w:rPr>
  </w:style>
  <w:style w:type="paragraph" w:customStyle="1" w:styleId="470">
    <w:name w:val="Основной текст (47)"/>
    <w:basedOn w:val="a"/>
    <w:rsid w:val="00362C75"/>
    <w:pPr>
      <w:shd w:val="clear" w:color="auto" w:fill="FFFFFF"/>
      <w:overflowPunct w:val="0"/>
      <w:autoSpaceDE w:val="0"/>
      <w:autoSpaceDN w:val="0"/>
      <w:adjustRightInd w:val="0"/>
      <w:spacing w:before="120" w:after="120" w:line="162" w:lineRule="exact"/>
      <w:jc w:val="center"/>
      <w:textAlignment w:val="baseline"/>
    </w:pPr>
    <w:rPr>
      <w:rFonts w:ascii="Arial" w:hAnsi="Arial"/>
      <w:sz w:val="14"/>
      <w:szCs w:val="20"/>
    </w:rPr>
  </w:style>
  <w:style w:type="paragraph" w:customStyle="1" w:styleId="480">
    <w:name w:val="Основной текст (48)"/>
    <w:basedOn w:val="a"/>
    <w:rsid w:val="00362C75"/>
    <w:pPr>
      <w:shd w:val="clear" w:color="auto" w:fill="FFFFFF"/>
      <w:overflowPunct w:val="0"/>
      <w:autoSpaceDE w:val="0"/>
      <w:autoSpaceDN w:val="0"/>
      <w:adjustRightInd w:val="0"/>
      <w:spacing w:after="120" w:line="140" w:lineRule="exact"/>
      <w:jc w:val="center"/>
      <w:textAlignment w:val="baseline"/>
    </w:pPr>
    <w:rPr>
      <w:sz w:val="12"/>
      <w:szCs w:val="20"/>
    </w:rPr>
  </w:style>
  <w:style w:type="paragraph" w:styleId="affe">
    <w:name w:val="footer"/>
    <w:basedOn w:val="a"/>
    <w:link w:val="afff"/>
    <w:rsid w:val="00362C75"/>
    <w:pPr>
      <w:tabs>
        <w:tab w:val="center" w:pos="4153"/>
        <w:tab w:val="right" w:pos="8306"/>
      </w:tabs>
      <w:overflowPunct w:val="0"/>
      <w:autoSpaceDE w:val="0"/>
      <w:autoSpaceDN w:val="0"/>
      <w:adjustRightInd w:val="0"/>
      <w:textAlignment w:val="baseline"/>
    </w:pPr>
    <w:rPr>
      <w:sz w:val="20"/>
      <w:szCs w:val="20"/>
    </w:rPr>
  </w:style>
  <w:style w:type="character" w:customStyle="1" w:styleId="afff">
    <w:name w:val="Нижний колонтитул Знак"/>
    <w:link w:val="affe"/>
    <w:rsid w:val="00362C75"/>
    <w:rPr>
      <w:rFonts w:ascii="Times New Roman" w:eastAsia="Times New Roman" w:hAnsi="Times New Roman" w:cs="Times New Roman"/>
      <w:sz w:val="20"/>
      <w:szCs w:val="20"/>
      <w:lang w:eastAsia="ru-RU"/>
    </w:rPr>
  </w:style>
  <w:style w:type="paragraph" w:styleId="2e">
    <w:name w:val="toc 2"/>
    <w:basedOn w:val="a"/>
    <w:next w:val="a"/>
    <w:semiHidden/>
    <w:rsid w:val="00362C75"/>
    <w:pPr>
      <w:overflowPunct w:val="0"/>
      <w:autoSpaceDE w:val="0"/>
      <w:autoSpaceDN w:val="0"/>
      <w:adjustRightInd w:val="0"/>
      <w:ind w:left="240"/>
      <w:textAlignment w:val="baseline"/>
    </w:pPr>
    <w:rPr>
      <w:szCs w:val="20"/>
      <w:lang w:val="en-US"/>
    </w:rPr>
  </w:style>
  <w:style w:type="character" w:customStyle="1" w:styleId="3Arial">
    <w:name w:val="Оглавление (3) + Arial"/>
    <w:rsid w:val="00362C75"/>
    <w:rPr>
      <w:rFonts w:ascii="Arial" w:hAnsi="Arial"/>
      <w:i/>
      <w:spacing w:val="0"/>
      <w:sz w:val="36"/>
    </w:rPr>
  </w:style>
  <w:style w:type="character" w:customStyle="1" w:styleId="5b">
    <w:name w:val="Оглавление (5)"/>
    <w:rsid w:val="00362C75"/>
    <w:rPr>
      <w:rFonts w:ascii="Times New Roman" w:hAnsi="Times New Roman"/>
      <w:spacing w:val="0"/>
      <w:sz w:val="14"/>
    </w:rPr>
  </w:style>
  <w:style w:type="paragraph" w:customStyle="1" w:styleId="4c">
    <w:name w:val="Оглавление (4)"/>
    <w:basedOn w:val="a"/>
    <w:rsid w:val="00362C75"/>
    <w:pPr>
      <w:shd w:val="clear" w:color="auto" w:fill="FFFFFF"/>
      <w:overflowPunct w:val="0"/>
      <w:autoSpaceDE w:val="0"/>
      <w:autoSpaceDN w:val="0"/>
      <w:adjustRightInd w:val="0"/>
      <w:spacing w:after="120" w:line="241" w:lineRule="exact"/>
      <w:jc w:val="right"/>
      <w:textAlignment w:val="baseline"/>
    </w:pPr>
    <w:rPr>
      <w:sz w:val="18"/>
      <w:szCs w:val="20"/>
    </w:rPr>
  </w:style>
  <w:style w:type="character" w:customStyle="1" w:styleId="LucidaSansUnicode">
    <w:name w:val="Основной текст + Lucida Sans Unicode"/>
    <w:rsid w:val="00362C75"/>
    <w:rPr>
      <w:rFonts w:ascii="Lucida Sans Unicode" w:hAnsi="Lucida Sans Unicode"/>
      <w:smallCaps/>
      <w:spacing w:val="-20"/>
      <w:sz w:val="17"/>
    </w:rPr>
  </w:style>
  <w:style w:type="character" w:customStyle="1" w:styleId="9pt2">
    <w:name w:val="Основной текст + 9 pt2"/>
    <w:rsid w:val="00362C75"/>
    <w:rPr>
      <w:rFonts w:ascii="Times New Roman" w:hAnsi="Times New Roman"/>
      <w:b/>
      <w:spacing w:val="-10"/>
      <w:sz w:val="18"/>
    </w:rPr>
  </w:style>
  <w:style w:type="character" w:customStyle="1" w:styleId="MicrosoftSansSerif1">
    <w:name w:val="Оглавление + Microsoft Sans Serif"/>
    <w:rsid w:val="00362C75"/>
    <w:rPr>
      <w:rFonts w:ascii="Microsoft Sans Serif" w:hAnsi="Microsoft Sans Serif"/>
      <w:b/>
      <w:i/>
      <w:noProof w:val="0"/>
      <w:spacing w:val="10"/>
      <w:sz w:val="15"/>
      <w:lang w:val="en-US"/>
    </w:rPr>
  </w:style>
  <w:style w:type="character" w:customStyle="1" w:styleId="106">
    <w:name w:val="Основной текст (10) + 6"/>
    <w:rsid w:val="00362C75"/>
    <w:rPr>
      <w:rFonts w:ascii="Microsoft Sans Serif" w:hAnsi="Microsoft Sans Serif"/>
      <w:b/>
      <w:spacing w:val="10"/>
      <w:sz w:val="13"/>
    </w:rPr>
  </w:style>
  <w:style w:type="character" w:customStyle="1" w:styleId="13Arial">
    <w:name w:val="Основной текст (13) + Arial"/>
    <w:rsid w:val="00362C75"/>
    <w:rPr>
      <w:rFonts w:ascii="Arial" w:hAnsi="Arial"/>
      <w:i/>
      <w:spacing w:val="0"/>
      <w:sz w:val="8"/>
    </w:rPr>
  </w:style>
  <w:style w:type="character" w:customStyle="1" w:styleId="198">
    <w:name w:val="Основной текст (19) + 8"/>
    <w:rsid w:val="00362C75"/>
    <w:rPr>
      <w:rFonts w:ascii="Times New Roman" w:hAnsi="Times New Roman"/>
      <w:sz w:val="17"/>
    </w:rPr>
  </w:style>
  <w:style w:type="character" w:customStyle="1" w:styleId="BookmanOldStyle">
    <w:name w:val="Основной текст + Bookman Old Style"/>
    <w:rsid w:val="00362C75"/>
    <w:rPr>
      <w:rFonts w:ascii="Bookman Old Style" w:hAnsi="Bookman Old Style"/>
      <w:spacing w:val="-10"/>
      <w:sz w:val="13"/>
    </w:rPr>
  </w:style>
  <w:style w:type="character" w:customStyle="1" w:styleId="381">
    <w:name w:val="Подпись к таблице (3) + 8"/>
    <w:rsid w:val="00362C75"/>
    <w:rPr>
      <w:rFonts w:ascii="Arial" w:hAnsi="Arial"/>
      <w:b/>
      <w:spacing w:val="10"/>
      <w:sz w:val="17"/>
    </w:rPr>
  </w:style>
  <w:style w:type="character" w:customStyle="1" w:styleId="3MicrosoftSansSerif">
    <w:name w:val="Подпись к таблице (3) + Microsoft Sans Serif"/>
    <w:rsid w:val="00362C75"/>
    <w:rPr>
      <w:rFonts w:ascii="Microsoft Sans Serif" w:hAnsi="Microsoft Sans Serif"/>
      <w:spacing w:val="10"/>
      <w:sz w:val="17"/>
    </w:rPr>
  </w:style>
  <w:style w:type="character" w:customStyle="1" w:styleId="251">
    <w:name w:val="Основной текст (25)"/>
    <w:rsid w:val="00362C75"/>
    <w:rPr>
      <w:rFonts w:ascii="Arial" w:hAnsi="Arial"/>
      <w:sz w:val="10"/>
    </w:rPr>
  </w:style>
  <w:style w:type="character" w:customStyle="1" w:styleId="258pt">
    <w:name w:val="Основной текст (25) + 8 pt"/>
    <w:rsid w:val="00362C75"/>
    <w:rPr>
      <w:rFonts w:ascii="Times New Roman" w:hAnsi="Times New Roman"/>
      <w:spacing w:val="0"/>
      <w:sz w:val="16"/>
    </w:rPr>
  </w:style>
  <w:style w:type="character" w:customStyle="1" w:styleId="252">
    <w:name w:val="Основной текст (25)_"/>
    <w:rsid w:val="00362C75"/>
    <w:rPr>
      <w:rFonts w:ascii="Arial" w:hAnsi="Arial"/>
      <w:sz w:val="10"/>
    </w:rPr>
  </w:style>
  <w:style w:type="character" w:customStyle="1" w:styleId="259pt">
    <w:name w:val="Основной текст (25) + 9 pt"/>
    <w:rsid w:val="00362C75"/>
    <w:rPr>
      <w:rFonts w:ascii="Times New Roman" w:hAnsi="Times New Roman"/>
      <w:spacing w:val="0"/>
      <w:sz w:val="18"/>
    </w:rPr>
  </w:style>
  <w:style w:type="character" w:customStyle="1" w:styleId="27TimesNewRoman">
    <w:name w:val="Основной текст (27) + Times New Roman"/>
    <w:rsid w:val="00362C75"/>
    <w:rPr>
      <w:rFonts w:ascii="Times New Roman" w:hAnsi="Times New Roman"/>
      <w:sz w:val="16"/>
    </w:rPr>
  </w:style>
  <w:style w:type="character" w:customStyle="1" w:styleId="26pt">
    <w:name w:val="Подпись к таблице (2) + 6 pt"/>
    <w:rsid w:val="00362C75"/>
    <w:rPr>
      <w:rFonts w:ascii="Arial" w:hAnsi="Arial"/>
      <w:b/>
      <w:sz w:val="12"/>
    </w:rPr>
  </w:style>
  <w:style w:type="character" w:customStyle="1" w:styleId="28TimesNewRoman">
    <w:name w:val="Основной текст (28) + Times New Roman"/>
    <w:rsid w:val="00362C75"/>
    <w:rPr>
      <w:rFonts w:ascii="Times New Roman" w:hAnsi="Times New Roman"/>
      <w:b/>
      <w:sz w:val="14"/>
    </w:rPr>
  </w:style>
  <w:style w:type="character" w:customStyle="1" w:styleId="478pt">
    <w:name w:val="Основной текст (47) + 8 pt"/>
    <w:rsid w:val="00362C75"/>
    <w:rPr>
      <w:rFonts w:ascii="Times New Roman" w:hAnsi="Times New Roman"/>
      <w:spacing w:val="0"/>
      <w:sz w:val="16"/>
    </w:rPr>
  </w:style>
  <w:style w:type="character" w:customStyle="1" w:styleId="47BookmanOldStyle">
    <w:name w:val="Основной текст (47) + Bookman Old Style"/>
    <w:rsid w:val="00362C75"/>
    <w:rPr>
      <w:rFonts w:ascii="Bookman Old Style" w:hAnsi="Bookman Old Style"/>
      <w:spacing w:val="0"/>
      <w:sz w:val="13"/>
    </w:rPr>
  </w:style>
  <w:style w:type="character" w:customStyle="1" w:styleId="2750">
    <w:name w:val="Основной текст (27) + 5"/>
    <w:rsid w:val="00362C75"/>
    <w:rPr>
      <w:rFonts w:ascii="Bookman Old Style" w:hAnsi="Bookman Old Style"/>
      <w:sz w:val="11"/>
    </w:rPr>
  </w:style>
  <w:style w:type="character" w:customStyle="1" w:styleId="6BookmanOldStyle">
    <w:name w:val="Основной текст (6) + Bookman Old Style"/>
    <w:rsid w:val="00362C75"/>
    <w:rPr>
      <w:rFonts w:ascii="Bookman Old Style" w:hAnsi="Bookman Old Style"/>
      <w:sz w:val="11"/>
    </w:rPr>
  </w:style>
  <w:style w:type="character" w:customStyle="1" w:styleId="68pt">
    <w:name w:val="Основной текст (6) + 8 pt"/>
    <w:aliases w:val="Интервал 1 pt"/>
    <w:uiPriority w:val="99"/>
    <w:rsid w:val="00362C75"/>
    <w:rPr>
      <w:rFonts w:ascii="Times New Roman" w:hAnsi="Times New Roman"/>
      <w:sz w:val="16"/>
    </w:rPr>
  </w:style>
  <w:style w:type="character" w:customStyle="1" w:styleId="18TimesNewRoman">
    <w:name w:val="Основной текст (18) + Times New Roman"/>
    <w:rsid w:val="00362C75"/>
    <w:rPr>
      <w:rFonts w:ascii="Times New Roman" w:hAnsi="Times New Roman"/>
      <w:b/>
      <w:spacing w:val="0"/>
      <w:sz w:val="17"/>
    </w:rPr>
  </w:style>
  <w:style w:type="paragraph" w:styleId="afff0">
    <w:name w:val="header"/>
    <w:basedOn w:val="a"/>
    <w:link w:val="afff1"/>
    <w:uiPriority w:val="99"/>
    <w:unhideWhenUsed/>
    <w:rsid w:val="00362C75"/>
    <w:pPr>
      <w:tabs>
        <w:tab w:val="center" w:pos="4677"/>
        <w:tab w:val="right" w:pos="9355"/>
      </w:tabs>
      <w:overflowPunct w:val="0"/>
      <w:autoSpaceDE w:val="0"/>
      <w:autoSpaceDN w:val="0"/>
      <w:adjustRightInd w:val="0"/>
      <w:textAlignment w:val="baseline"/>
    </w:pPr>
    <w:rPr>
      <w:sz w:val="20"/>
      <w:szCs w:val="20"/>
    </w:rPr>
  </w:style>
  <w:style w:type="character" w:customStyle="1" w:styleId="afff1">
    <w:name w:val="Верхний колонтитул Знак"/>
    <w:link w:val="afff0"/>
    <w:uiPriority w:val="99"/>
    <w:rsid w:val="00362C75"/>
    <w:rPr>
      <w:rFonts w:ascii="Times New Roman" w:eastAsia="Times New Roman" w:hAnsi="Times New Roman" w:cs="Times New Roman"/>
      <w:sz w:val="20"/>
      <w:szCs w:val="20"/>
      <w:lang w:eastAsia="ru-RU"/>
    </w:rPr>
  </w:style>
  <w:style w:type="character" w:customStyle="1" w:styleId="5c">
    <w:name w:val="Основной текст (5) + Не курсив"/>
    <w:rsid w:val="00362C75"/>
    <w:rPr>
      <w:rFonts w:ascii="Arial" w:hAnsi="Arial"/>
      <w:i/>
      <w:spacing w:val="0"/>
      <w:sz w:val="26"/>
    </w:rPr>
  </w:style>
  <w:style w:type="character" w:customStyle="1" w:styleId="5LucidaSansUnicode">
    <w:name w:val="Основной текст (5) + Lucida Sans Unicode"/>
    <w:rsid w:val="00362C75"/>
    <w:rPr>
      <w:rFonts w:ascii="Lucida Sans Unicode" w:hAnsi="Lucida Sans Unicode"/>
      <w:spacing w:val="0"/>
      <w:sz w:val="25"/>
    </w:rPr>
  </w:style>
  <w:style w:type="character" w:customStyle="1" w:styleId="5d">
    <w:name w:val="Основной текст5"/>
    <w:rsid w:val="00362C75"/>
    <w:rPr>
      <w:rFonts w:ascii="Arial" w:hAnsi="Arial"/>
      <w:spacing w:val="0"/>
      <w:sz w:val="26"/>
    </w:rPr>
  </w:style>
  <w:style w:type="character" w:customStyle="1" w:styleId="5e">
    <w:name w:val="Основной текст (5)_"/>
    <w:rsid w:val="00362C75"/>
    <w:rPr>
      <w:rFonts w:ascii="Arial" w:hAnsi="Arial"/>
      <w:spacing w:val="-10"/>
      <w:sz w:val="26"/>
    </w:rPr>
  </w:style>
  <w:style w:type="character" w:customStyle="1" w:styleId="132">
    <w:name w:val="Оглавление + 13"/>
    <w:rsid w:val="00362C75"/>
    <w:rPr>
      <w:rFonts w:ascii="Arial" w:hAnsi="Arial"/>
      <w:sz w:val="27"/>
    </w:rPr>
  </w:style>
  <w:style w:type="character" w:customStyle="1" w:styleId="afff2">
    <w:name w:val="Оглавление_"/>
    <w:rsid w:val="00362C75"/>
    <w:rPr>
      <w:rFonts w:ascii="Arial" w:hAnsi="Arial"/>
      <w:sz w:val="24"/>
      <w:shd w:val="clear" w:color="auto" w:fill="FFFFFF"/>
    </w:rPr>
  </w:style>
  <w:style w:type="paragraph" w:customStyle="1" w:styleId="2f">
    <w:name w:val="Оглавление (2)"/>
    <w:basedOn w:val="a"/>
    <w:link w:val="2f0"/>
    <w:rsid w:val="00362C75"/>
    <w:pPr>
      <w:shd w:val="clear" w:color="auto" w:fill="FFFFFF"/>
      <w:overflowPunct w:val="0"/>
      <w:autoSpaceDE w:val="0"/>
      <w:autoSpaceDN w:val="0"/>
      <w:adjustRightInd w:val="0"/>
      <w:spacing w:line="293" w:lineRule="exact"/>
      <w:jc w:val="both"/>
      <w:textAlignment w:val="baseline"/>
    </w:pPr>
    <w:rPr>
      <w:rFonts w:ascii="Arial" w:hAnsi="Arial"/>
      <w:spacing w:val="-10"/>
      <w:sz w:val="26"/>
      <w:szCs w:val="20"/>
    </w:rPr>
  </w:style>
  <w:style w:type="character" w:customStyle="1" w:styleId="2f0">
    <w:name w:val="Оглавление (2)_"/>
    <w:link w:val="2f"/>
    <w:rsid w:val="00362C75"/>
    <w:rPr>
      <w:rFonts w:ascii="Arial" w:eastAsia="Times New Roman" w:hAnsi="Arial" w:cs="Times New Roman"/>
      <w:spacing w:val="-10"/>
      <w:sz w:val="26"/>
      <w:szCs w:val="20"/>
      <w:shd w:val="clear" w:color="auto" w:fill="FFFFFF"/>
      <w:lang w:eastAsia="ru-RU"/>
    </w:rPr>
  </w:style>
  <w:style w:type="character" w:customStyle="1" w:styleId="311pt">
    <w:name w:val="Основной текст (31) + Интервал 1 pt"/>
    <w:rsid w:val="00362C75"/>
    <w:rPr>
      <w:rFonts w:ascii="Arial" w:hAnsi="Arial"/>
      <w:spacing w:val="30"/>
      <w:sz w:val="24"/>
    </w:rPr>
  </w:style>
  <w:style w:type="paragraph" w:customStyle="1" w:styleId="320">
    <w:name w:val="Основной текст (32)"/>
    <w:basedOn w:val="a"/>
    <w:link w:val="321"/>
    <w:rsid w:val="00362C75"/>
    <w:pPr>
      <w:shd w:val="clear" w:color="auto" w:fill="FFFFFF"/>
      <w:overflowPunct w:val="0"/>
      <w:autoSpaceDE w:val="0"/>
      <w:autoSpaceDN w:val="0"/>
      <w:adjustRightInd w:val="0"/>
      <w:spacing w:line="240" w:lineRule="atLeast"/>
      <w:textAlignment w:val="baseline"/>
    </w:pPr>
    <w:rPr>
      <w:rFonts w:ascii="Arial" w:hAnsi="Arial"/>
      <w:sz w:val="27"/>
      <w:szCs w:val="20"/>
    </w:rPr>
  </w:style>
  <w:style w:type="character" w:customStyle="1" w:styleId="321">
    <w:name w:val="Основной текст (32)_"/>
    <w:link w:val="320"/>
    <w:rsid w:val="00362C75"/>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362C75"/>
    <w:pPr>
      <w:shd w:val="clear" w:color="auto" w:fill="FFFFFF"/>
      <w:overflowPunct w:val="0"/>
      <w:autoSpaceDE w:val="0"/>
      <w:autoSpaceDN w:val="0"/>
      <w:adjustRightInd w:val="0"/>
      <w:spacing w:line="240" w:lineRule="atLeast"/>
      <w:textAlignment w:val="baseline"/>
    </w:pPr>
    <w:rPr>
      <w:rFonts w:ascii="Arial" w:hAnsi="Arial"/>
      <w:szCs w:val="20"/>
    </w:rPr>
  </w:style>
  <w:style w:type="character" w:customStyle="1" w:styleId="313">
    <w:name w:val="Основной текст (31)_"/>
    <w:link w:val="312"/>
    <w:rsid w:val="00362C75"/>
    <w:rPr>
      <w:rFonts w:ascii="Arial" w:eastAsia="Times New Roman" w:hAnsi="Arial" w:cs="Times New Roman"/>
      <w:sz w:val="24"/>
      <w:szCs w:val="20"/>
      <w:shd w:val="clear" w:color="auto" w:fill="FFFFFF"/>
      <w:lang w:eastAsia="ru-RU"/>
    </w:rPr>
  </w:style>
  <w:style w:type="character" w:customStyle="1" w:styleId="1f0">
    <w:name w:val="Слабое выделение1"/>
    <w:rsid w:val="00362C75"/>
    <w:rPr>
      <w:i/>
      <w:color w:val="808080"/>
    </w:rPr>
  </w:style>
  <w:style w:type="character" w:customStyle="1" w:styleId="91">
    <w:name w:val="Основной текст (9)_"/>
    <w:link w:val="90"/>
    <w:uiPriority w:val="99"/>
    <w:rsid w:val="00362C75"/>
    <w:rPr>
      <w:rFonts w:ascii="Lucida Sans Unicode" w:hAnsi="Lucida Sans Unicode" w:cs="Lucida Sans Unicode"/>
      <w:sz w:val="14"/>
      <w:szCs w:val="14"/>
      <w:shd w:val="clear" w:color="auto" w:fill="FFFFFF"/>
    </w:rPr>
  </w:style>
  <w:style w:type="character" w:customStyle="1" w:styleId="440">
    <w:name w:val="Основной текст (44)_"/>
    <w:link w:val="44"/>
    <w:rsid w:val="00362C75"/>
    <w:rPr>
      <w:rFonts w:ascii="MS Mincho" w:eastAsia="MS Mincho" w:hAnsi="Times New Roman" w:cs="MS Mincho"/>
      <w:noProof/>
      <w:sz w:val="8"/>
      <w:szCs w:val="8"/>
      <w:shd w:val="clear" w:color="auto" w:fill="FFFFFF"/>
      <w:lang w:val="en-US"/>
    </w:rPr>
  </w:style>
  <w:style w:type="paragraph" w:customStyle="1" w:styleId="123">
    <w:name w:val="Основной текст12"/>
    <w:basedOn w:val="a"/>
    <w:link w:val="Bodytext"/>
    <w:rsid w:val="00362C75"/>
    <w:pPr>
      <w:shd w:val="clear" w:color="auto" w:fill="FFFFFF"/>
      <w:overflowPunct w:val="0"/>
      <w:autoSpaceDE w:val="0"/>
      <w:autoSpaceDN w:val="0"/>
      <w:adjustRightInd w:val="0"/>
      <w:spacing w:before="4080" w:line="323" w:lineRule="exact"/>
      <w:ind w:hanging="260"/>
      <w:jc w:val="both"/>
      <w:textAlignment w:val="baseline"/>
    </w:pPr>
    <w:rPr>
      <w:rFonts w:ascii="Lucida Sans Unicode" w:hAnsi="Lucida Sans Unicode"/>
      <w:color w:val="000000"/>
      <w:spacing w:val="-10"/>
      <w:sz w:val="25"/>
      <w:szCs w:val="20"/>
    </w:rPr>
  </w:style>
  <w:style w:type="paragraph" w:customStyle="1" w:styleId="rteright">
    <w:name w:val="rteright"/>
    <w:basedOn w:val="a"/>
    <w:rsid w:val="00362C75"/>
    <w:pPr>
      <w:overflowPunct w:val="0"/>
      <w:autoSpaceDE w:val="0"/>
      <w:autoSpaceDN w:val="0"/>
      <w:adjustRightInd w:val="0"/>
      <w:spacing w:before="120" w:after="216"/>
      <w:jc w:val="right"/>
      <w:textAlignment w:val="baseline"/>
    </w:pPr>
    <w:rPr>
      <w:szCs w:val="20"/>
    </w:rPr>
  </w:style>
  <w:style w:type="paragraph" w:customStyle="1" w:styleId="rtejustify">
    <w:name w:val="rtejustify"/>
    <w:basedOn w:val="a"/>
    <w:rsid w:val="00362C75"/>
    <w:pPr>
      <w:overflowPunct w:val="0"/>
      <w:autoSpaceDE w:val="0"/>
      <w:autoSpaceDN w:val="0"/>
      <w:adjustRightInd w:val="0"/>
      <w:spacing w:before="120" w:after="216"/>
      <w:jc w:val="both"/>
      <w:textAlignment w:val="baseline"/>
    </w:pPr>
    <w:rPr>
      <w:szCs w:val="20"/>
    </w:rPr>
  </w:style>
  <w:style w:type="paragraph" w:customStyle="1" w:styleId="rtecenter">
    <w:name w:val="rtecenter"/>
    <w:basedOn w:val="a"/>
    <w:rsid w:val="00362C75"/>
    <w:pPr>
      <w:spacing w:before="120" w:after="216"/>
      <w:jc w:val="center"/>
    </w:pPr>
  </w:style>
  <w:style w:type="paragraph" w:customStyle="1" w:styleId="rteindent1">
    <w:name w:val="rteindent1"/>
    <w:basedOn w:val="a"/>
    <w:rsid w:val="00362C75"/>
    <w:pPr>
      <w:spacing w:before="120" w:after="216"/>
      <w:ind w:left="349"/>
    </w:pPr>
  </w:style>
  <w:style w:type="character" w:customStyle="1" w:styleId="afff3">
    <w:name w:val="Текст выноски Знак"/>
    <w:link w:val="afff4"/>
    <w:uiPriority w:val="99"/>
    <w:semiHidden/>
    <w:rsid w:val="00362C75"/>
    <w:rPr>
      <w:rFonts w:ascii="Tahoma" w:hAnsi="Tahoma" w:cs="Tahoma"/>
      <w:sz w:val="16"/>
      <w:szCs w:val="16"/>
    </w:rPr>
  </w:style>
  <w:style w:type="paragraph" w:styleId="afff4">
    <w:name w:val="Balloon Text"/>
    <w:basedOn w:val="a"/>
    <w:link w:val="afff3"/>
    <w:uiPriority w:val="99"/>
    <w:semiHidden/>
    <w:unhideWhenUsed/>
    <w:rsid w:val="00362C75"/>
    <w:pPr>
      <w:autoSpaceDE w:val="0"/>
      <w:autoSpaceDN w:val="0"/>
      <w:adjustRightInd w:val="0"/>
    </w:pPr>
    <w:rPr>
      <w:rFonts w:ascii="Tahoma" w:hAnsi="Tahoma" w:cs="Tahoma"/>
      <w:sz w:val="16"/>
      <w:szCs w:val="16"/>
    </w:rPr>
  </w:style>
  <w:style w:type="character" w:customStyle="1" w:styleId="1f1">
    <w:name w:val="Текст выноски Знак1"/>
    <w:uiPriority w:val="99"/>
    <w:semiHidden/>
    <w:rsid w:val="00362C75"/>
    <w:rPr>
      <w:rFonts w:ascii="Segoe UI" w:hAnsi="Segoe UI" w:cs="Segoe UI"/>
      <w:sz w:val="18"/>
      <w:szCs w:val="18"/>
    </w:rPr>
  </w:style>
  <w:style w:type="character" w:customStyle="1" w:styleId="105">
    <w:name w:val="Основной текст (10)5"/>
    <w:uiPriority w:val="99"/>
    <w:rsid w:val="00362C75"/>
    <w:rPr>
      <w:rFonts w:ascii="MS Reference Sans Serif" w:hAnsi="MS Reference Sans Serif" w:cs="MS Reference Sans Serif"/>
      <w:b/>
      <w:bCs/>
      <w:sz w:val="23"/>
      <w:szCs w:val="23"/>
    </w:rPr>
  </w:style>
  <w:style w:type="character" w:customStyle="1" w:styleId="12100">
    <w:name w:val="Основной текст (12)10"/>
    <w:basedOn w:val="a0"/>
    <w:uiPriority w:val="99"/>
    <w:rsid w:val="00362C75"/>
  </w:style>
  <w:style w:type="character" w:customStyle="1" w:styleId="3d">
    <w:name w:val="Подпись к таблице (3)"/>
    <w:basedOn w:val="a0"/>
    <w:uiPriority w:val="99"/>
    <w:rsid w:val="00362C75"/>
  </w:style>
  <w:style w:type="character" w:customStyle="1" w:styleId="95">
    <w:name w:val="Основной текст (9)5"/>
    <w:basedOn w:val="a0"/>
    <w:uiPriority w:val="99"/>
    <w:rsid w:val="00362C75"/>
  </w:style>
  <w:style w:type="paragraph" w:customStyle="1" w:styleId="910">
    <w:name w:val="Основной текст (9)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314">
    <w:name w:val="Подпись к таблице (3)1"/>
    <w:basedOn w:val="a"/>
    <w:uiPriority w:val="99"/>
    <w:rsid w:val="00362C75"/>
    <w:pPr>
      <w:shd w:val="clear" w:color="auto" w:fill="FFFFFF"/>
      <w:autoSpaceDE w:val="0"/>
      <w:autoSpaceDN w:val="0"/>
      <w:adjustRightInd w:val="0"/>
      <w:spacing w:line="240" w:lineRule="atLeast"/>
    </w:pPr>
    <w:rPr>
      <w:rFonts w:ascii="Arial Unicode MS" w:eastAsia="Arial Unicode MS" w:cs="Arial Unicode MS"/>
      <w:sz w:val="15"/>
      <w:szCs w:val="15"/>
    </w:rPr>
  </w:style>
  <w:style w:type="paragraph" w:customStyle="1" w:styleId="1010">
    <w:name w:val="Основной текст (10)1"/>
    <w:basedOn w:val="a"/>
    <w:uiPriority w:val="99"/>
    <w:rsid w:val="00362C75"/>
    <w:pPr>
      <w:shd w:val="clear" w:color="auto" w:fill="FFFFFF"/>
      <w:autoSpaceDE w:val="0"/>
      <w:autoSpaceDN w:val="0"/>
      <w:adjustRightInd w:val="0"/>
      <w:spacing w:after="300" w:line="240" w:lineRule="atLeast"/>
      <w:jc w:val="center"/>
    </w:pPr>
    <w:rPr>
      <w:rFonts w:ascii="MS Reference Sans Serif" w:hAnsi="MS Reference Sans Serif" w:cs="MS Reference Sans Serif"/>
      <w:b/>
      <w:bCs/>
      <w:sz w:val="23"/>
      <w:szCs w:val="23"/>
    </w:rPr>
  </w:style>
  <w:style w:type="character" w:customStyle="1" w:styleId="1040">
    <w:name w:val="Основной текст (10)4"/>
    <w:uiPriority w:val="99"/>
    <w:rsid w:val="00362C75"/>
    <w:rPr>
      <w:rFonts w:ascii="MS Reference Sans Serif" w:hAnsi="MS Reference Sans Serif" w:cs="MS Reference Sans Serif"/>
      <w:b/>
      <w:bCs/>
      <w:sz w:val="23"/>
      <w:szCs w:val="23"/>
    </w:rPr>
  </w:style>
  <w:style w:type="character" w:customStyle="1" w:styleId="94">
    <w:name w:val="Основной текст (9)4"/>
    <w:basedOn w:val="a0"/>
    <w:uiPriority w:val="99"/>
    <w:rsid w:val="00362C75"/>
  </w:style>
  <w:style w:type="character" w:customStyle="1" w:styleId="93">
    <w:name w:val="Основной текст (9)3"/>
    <w:basedOn w:val="a0"/>
    <w:uiPriority w:val="99"/>
    <w:rsid w:val="00362C75"/>
  </w:style>
  <w:style w:type="character" w:customStyle="1" w:styleId="95pt1">
    <w:name w:val="Основной текст + 9.5 pt1.Полужирный"/>
    <w:uiPriority w:val="99"/>
    <w:rsid w:val="00362C75"/>
    <w:rPr>
      <w:rFonts w:ascii="Times New Roman" w:hAnsi="Times New Roman" w:cs="Times New Roman"/>
      <w:b/>
      <w:bCs/>
      <w:noProof/>
      <w:sz w:val="19"/>
      <w:szCs w:val="19"/>
    </w:rPr>
  </w:style>
  <w:style w:type="character" w:customStyle="1" w:styleId="1030">
    <w:name w:val="Основной текст (10)3"/>
    <w:uiPriority w:val="99"/>
    <w:rsid w:val="00362C75"/>
    <w:rPr>
      <w:rFonts w:ascii="MS Reference Sans Serif" w:hAnsi="MS Reference Sans Serif" w:cs="MS Reference Sans Serif"/>
      <w:b/>
      <w:bCs/>
      <w:sz w:val="23"/>
      <w:szCs w:val="23"/>
    </w:rPr>
  </w:style>
  <w:style w:type="character" w:customStyle="1" w:styleId="HTML">
    <w:name w:val="Стандартный HTML Знак"/>
    <w:link w:val="HTML0"/>
    <w:uiPriority w:val="99"/>
    <w:semiHidden/>
    <w:rsid w:val="00362C75"/>
    <w:rPr>
      <w:rFonts w:ascii="Courier New" w:hAnsi="Courier New" w:cs="Courier New"/>
    </w:rPr>
  </w:style>
  <w:style w:type="paragraph" w:styleId="HTML0">
    <w:name w:val="HTML Preformatted"/>
    <w:basedOn w:val="a"/>
    <w:link w:val="HTML"/>
    <w:uiPriority w:val="99"/>
    <w:semiHidden/>
    <w:unhideWhenUsed/>
    <w:rsid w:val="00362C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362C75"/>
    <w:rPr>
      <w:rFonts w:ascii="Consolas" w:hAnsi="Consolas" w:cs="Consolas"/>
      <w:sz w:val="20"/>
      <w:szCs w:val="20"/>
    </w:rPr>
  </w:style>
  <w:style w:type="character" w:customStyle="1" w:styleId="0pt0">
    <w:name w:val="Основной текст + Курсив;Интервал 0 pt"/>
    <w:rsid w:val="00362C75"/>
    <w:rPr>
      <w:rFonts w:ascii="Arial" w:eastAsia="Arial" w:hAnsi="Arial" w:cs="Arial"/>
      <w:i/>
      <w:iCs/>
      <w:spacing w:val="-10"/>
      <w:sz w:val="26"/>
      <w:szCs w:val="26"/>
      <w:shd w:val="clear" w:color="auto" w:fill="FFFFFF"/>
    </w:rPr>
  </w:style>
  <w:style w:type="character" w:customStyle="1" w:styleId="50pt0">
    <w:name w:val="Основной текст (5) + Не курсив;Интервал 0 pt"/>
    <w:rsid w:val="00362C75"/>
    <w:rPr>
      <w:rFonts w:ascii="Arial" w:eastAsia="Arial" w:hAnsi="Arial" w:cs="Arial"/>
      <w:b w:val="0"/>
      <w:bCs w:val="0"/>
      <w:i/>
      <w:iCs/>
      <w:smallCaps w:val="0"/>
      <w:strike w:val="0"/>
      <w:spacing w:val="0"/>
      <w:sz w:val="26"/>
      <w:szCs w:val="26"/>
      <w:shd w:val="clear" w:color="auto" w:fill="FFFFFF"/>
    </w:rPr>
  </w:style>
  <w:style w:type="character" w:customStyle="1" w:styleId="5LucidaSansUnicode125pt0pt">
    <w:name w:val="Основной текст (5) + Lucida Sans Unicode;12;5 pt;Интервал 0 pt"/>
    <w:rsid w:val="00362C75"/>
    <w:rPr>
      <w:rFonts w:ascii="Lucida Sans Unicode" w:eastAsia="Lucida Sans Unicode" w:hAnsi="Lucida Sans Unicode" w:cs="Lucida Sans Unicode"/>
      <w:b w:val="0"/>
      <w:bCs w:val="0"/>
      <w:i w:val="0"/>
      <w:iCs w:val="0"/>
      <w:smallCaps w:val="0"/>
      <w:strike w:val="0"/>
      <w:spacing w:val="0"/>
      <w:sz w:val="25"/>
      <w:szCs w:val="25"/>
      <w:shd w:val="clear" w:color="auto" w:fill="FFFFFF"/>
    </w:rPr>
  </w:style>
  <w:style w:type="character" w:customStyle="1" w:styleId="115">
    <w:name w:val="Заголовок №11_"/>
    <w:link w:val="116"/>
    <w:rsid w:val="00362C75"/>
    <w:rPr>
      <w:rFonts w:ascii="Arial" w:eastAsia="Arial" w:hAnsi="Arial" w:cs="Arial"/>
      <w:sz w:val="28"/>
      <w:szCs w:val="28"/>
      <w:shd w:val="clear" w:color="auto" w:fill="FFFFFF"/>
    </w:rPr>
  </w:style>
  <w:style w:type="paragraph" w:customStyle="1" w:styleId="116">
    <w:name w:val="Заголовок №11"/>
    <w:basedOn w:val="a"/>
    <w:link w:val="115"/>
    <w:rsid w:val="00362C75"/>
    <w:pPr>
      <w:shd w:val="clear" w:color="auto" w:fill="FFFFFF"/>
      <w:spacing w:line="338" w:lineRule="exact"/>
      <w:jc w:val="both"/>
    </w:pPr>
    <w:rPr>
      <w:rFonts w:ascii="Arial" w:eastAsia="Arial" w:hAnsi="Arial" w:cs="Arial"/>
      <w:sz w:val="28"/>
      <w:szCs w:val="28"/>
    </w:rPr>
  </w:style>
  <w:style w:type="character" w:customStyle="1" w:styleId="135pt">
    <w:name w:val="Оглавление + 13;5 pt"/>
    <w:rsid w:val="00362C75"/>
    <w:rPr>
      <w:rFonts w:ascii="Arial" w:hAnsi="Arial"/>
      <w:sz w:val="27"/>
      <w:szCs w:val="27"/>
      <w:shd w:val="clear" w:color="auto" w:fill="FFFFFF"/>
    </w:rPr>
  </w:style>
  <w:style w:type="character" w:customStyle="1" w:styleId="Arial18pt">
    <w:name w:val="Колонтитул + Arial;18 pt;Полужирный"/>
    <w:rsid w:val="00362C75"/>
    <w:rPr>
      <w:rFonts w:ascii="Arial" w:eastAsia="Arial" w:hAnsi="Arial" w:cs="Arial"/>
      <w:b/>
      <w:bCs/>
      <w:spacing w:val="0"/>
      <w:sz w:val="36"/>
      <w:szCs w:val="36"/>
      <w:shd w:val="clear" w:color="auto" w:fill="FFFFFF"/>
    </w:rPr>
  </w:style>
  <w:style w:type="character" w:customStyle="1" w:styleId="6a">
    <w:name w:val="Основной текст6"/>
    <w:rsid w:val="00362C75"/>
    <w:rPr>
      <w:rFonts w:ascii="Arial" w:eastAsia="Arial" w:hAnsi="Arial" w:cs="Arial"/>
      <w:b w:val="0"/>
      <w:bCs w:val="0"/>
      <w:i w:val="0"/>
      <w:iCs w:val="0"/>
      <w:smallCaps w:val="0"/>
      <w:strike w:val="0"/>
      <w:spacing w:val="0"/>
      <w:sz w:val="26"/>
      <w:szCs w:val="26"/>
      <w:shd w:val="clear" w:color="auto" w:fill="FFFFFF"/>
    </w:rPr>
  </w:style>
  <w:style w:type="character" w:customStyle="1" w:styleId="11pt">
    <w:name w:val="Основной текст + 11 pt;Курсив"/>
    <w:rsid w:val="00362C75"/>
    <w:rPr>
      <w:rFonts w:ascii="Arial" w:eastAsia="Arial" w:hAnsi="Arial" w:cs="Arial"/>
      <w:b w:val="0"/>
      <w:bCs w:val="0"/>
      <w:i/>
      <w:iCs/>
      <w:smallCaps w:val="0"/>
      <w:strike w:val="0"/>
      <w:spacing w:val="0"/>
      <w:sz w:val="22"/>
      <w:szCs w:val="22"/>
      <w:shd w:val="clear" w:color="auto" w:fill="FFFFFF"/>
    </w:rPr>
  </w:style>
  <w:style w:type="character" w:styleId="afff5">
    <w:name w:val="Subtle Emphasis"/>
    <w:uiPriority w:val="19"/>
    <w:qFormat/>
    <w:rsid w:val="00362C75"/>
    <w:rPr>
      <w:i/>
      <w:iCs/>
      <w:color w:val="808080"/>
    </w:rPr>
  </w:style>
  <w:style w:type="paragraph" w:styleId="afff6">
    <w:name w:val="List Paragraph"/>
    <w:basedOn w:val="a"/>
    <w:uiPriority w:val="34"/>
    <w:qFormat/>
    <w:rsid w:val="00362C75"/>
    <w:pPr>
      <w:autoSpaceDE w:val="0"/>
      <w:autoSpaceDN w:val="0"/>
      <w:adjustRightInd w:val="0"/>
      <w:ind w:left="720"/>
      <w:contextualSpacing/>
    </w:pPr>
    <w:rPr>
      <w:sz w:val="20"/>
      <w:szCs w:val="20"/>
    </w:rPr>
  </w:style>
  <w:style w:type="paragraph" w:customStyle="1" w:styleId="node-unpublished">
    <w:name w:val="node-unpublished"/>
    <w:basedOn w:val="a"/>
    <w:rsid w:val="00362C75"/>
    <w:pPr>
      <w:shd w:val="clear" w:color="auto" w:fill="FFDDDD"/>
      <w:spacing w:before="120" w:after="216"/>
    </w:pPr>
  </w:style>
  <w:style w:type="paragraph" w:customStyle="1" w:styleId="terms-inline">
    <w:name w:val="terms-inline"/>
    <w:basedOn w:val="a"/>
    <w:rsid w:val="00362C75"/>
    <w:pPr>
      <w:spacing w:before="120" w:after="216"/>
    </w:pPr>
  </w:style>
  <w:style w:type="paragraph" w:customStyle="1" w:styleId="clear-block">
    <w:name w:val="clear-block"/>
    <w:basedOn w:val="a"/>
    <w:rsid w:val="00362C75"/>
    <w:pPr>
      <w:spacing w:before="120" w:after="216"/>
    </w:pPr>
  </w:style>
  <w:style w:type="paragraph" w:customStyle="1" w:styleId="breadcrumb">
    <w:name w:val="breadcrumb"/>
    <w:basedOn w:val="a"/>
    <w:rsid w:val="00362C75"/>
    <w:pPr>
      <w:spacing w:before="120" w:after="216"/>
    </w:pPr>
  </w:style>
  <w:style w:type="paragraph" w:customStyle="1" w:styleId="error">
    <w:name w:val="error"/>
    <w:basedOn w:val="a"/>
    <w:rsid w:val="00362C75"/>
    <w:pPr>
      <w:spacing w:before="120" w:after="216"/>
    </w:pPr>
    <w:rPr>
      <w:color w:val="EE5555"/>
    </w:rPr>
  </w:style>
  <w:style w:type="paragraph" w:customStyle="1" w:styleId="warning">
    <w:name w:val="warning"/>
    <w:basedOn w:val="a"/>
    <w:rsid w:val="00362C75"/>
    <w:pPr>
      <w:spacing w:before="120" w:after="216"/>
    </w:pPr>
    <w:rPr>
      <w:color w:val="E09010"/>
    </w:rPr>
  </w:style>
  <w:style w:type="paragraph" w:customStyle="1" w:styleId="ok">
    <w:name w:val="ok"/>
    <w:basedOn w:val="a"/>
    <w:rsid w:val="00362C75"/>
    <w:pPr>
      <w:spacing w:before="120" w:after="216"/>
    </w:pPr>
    <w:rPr>
      <w:color w:val="008000"/>
    </w:rPr>
  </w:style>
  <w:style w:type="paragraph" w:customStyle="1" w:styleId="form-item">
    <w:name w:val="form-item"/>
    <w:basedOn w:val="a"/>
    <w:rsid w:val="00362C75"/>
    <w:pPr>
      <w:spacing w:before="240" w:after="240"/>
    </w:pPr>
  </w:style>
  <w:style w:type="paragraph" w:customStyle="1" w:styleId="form-checkboxes">
    <w:name w:val="form-checkboxes"/>
    <w:basedOn w:val="a"/>
    <w:rsid w:val="00362C75"/>
    <w:pPr>
      <w:spacing w:before="240" w:after="240"/>
    </w:pPr>
  </w:style>
  <w:style w:type="paragraph" w:customStyle="1" w:styleId="form-radios">
    <w:name w:val="form-radios"/>
    <w:basedOn w:val="a"/>
    <w:rsid w:val="00362C75"/>
    <w:pPr>
      <w:spacing w:before="240" w:after="240"/>
    </w:pPr>
  </w:style>
  <w:style w:type="paragraph" w:customStyle="1" w:styleId="marker">
    <w:name w:val="marker"/>
    <w:basedOn w:val="a"/>
    <w:rsid w:val="00362C75"/>
    <w:pPr>
      <w:spacing w:before="120" w:after="216"/>
    </w:pPr>
    <w:rPr>
      <w:color w:val="FF0000"/>
    </w:rPr>
  </w:style>
  <w:style w:type="paragraph" w:customStyle="1" w:styleId="form-required">
    <w:name w:val="form-required"/>
    <w:basedOn w:val="a"/>
    <w:rsid w:val="00362C75"/>
    <w:pPr>
      <w:spacing w:before="120" w:after="216"/>
    </w:pPr>
    <w:rPr>
      <w:color w:val="FF0000"/>
    </w:rPr>
  </w:style>
  <w:style w:type="paragraph" w:customStyle="1" w:styleId="more-link">
    <w:name w:val="more-link"/>
    <w:basedOn w:val="a"/>
    <w:rsid w:val="00362C75"/>
    <w:pPr>
      <w:spacing w:before="120" w:after="216"/>
      <w:jc w:val="right"/>
    </w:pPr>
  </w:style>
  <w:style w:type="paragraph" w:customStyle="1" w:styleId="more-help-link">
    <w:name w:val="more-help-link"/>
    <w:basedOn w:val="a"/>
    <w:rsid w:val="00362C75"/>
    <w:pPr>
      <w:spacing w:before="120" w:after="216"/>
      <w:jc w:val="right"/>
    </w:pPr>
    <w:rPr>
      <w:sz w:val="20"/>
      <w:szCs w:val="20"/>
    </w:rPr>
  </w:style>
  <w:style w:type="paragraph" w:customStyle="1" w:styleId="nowrap">
    <w:name w:val="nowrap"/>
    <w:basedOn w:val="a"/>
    <w:rsid w:val="00362C75"/>
    <w:pPr>
      <w:spacing w:before="120" w:after="216"/>
    </w:pPr>
  </w:style>
  <w:style w:type="paragraph" w:customStyle="1" w:styleId="pager-current">
    <w:name w:val="pager-current"/>
    <w:basedOn w:val="a"/>
    <w:rsid w:val="00362C75"/>
    <w:pPr>
      <w:spacing w:before="120" w:after="216"/>
    </w:pPr>
    <w:rPr>
      <w:b/>
      <w:bCs/>
    </w:rPr>
  </w:style>
  <w:style w:type="paragraph" w:customStyle="1" w:styleId="tips">
    <w:name w:val="tips"/>
    <w:basedOn w:val="a"/>
    <w:rsid w:val="00362C75"/>
  </w:style>
  <w:style w:type="paragraph" w:customStyle="1" w:styleId="resizable-textarea">
    <w:name w:val="resizable-textarea"/>
    <w:basedOn w:val="a"/>
    <w:rsid w:val="00362C75"/>
    <w:pPr>
      <w:spacing w:before="120" w:after="216"/>
    </w:pPr>
  </w:style>
  <w:style w:type="paragraph" w:customStyle="1" w:styleId="teaser-checkbox">
    <w:name w:val="teaser-checkbox"/>
    <w:basedOn w:val="a"/>
    <w:rsid w:val="00362C75"/>
    <w:pPr>
      <w:spacing w:before="120" w:after="216"/>
    </w:pPr>
  </w:style>
  <w:style w:type="paragraph" w:customStyle="1" w:styleId="progress">
    <w:name w:val="progress"/>
    <w:basedOn w:val="a"/>
    <w:rsid w:val="00362C75"/>
    <w:pPr>
      <w:spacing w:before="120" w:after="216"/>
    </w:pPr>
    <w:rPr>
      <w:b/>
      <w:bCs/>
    </w:rPr>
  </w:style>
  <w:style w:type="paragraph" w:customStyle="1" w:styleId="ahah-progress-bar">
    <w:name w:val="ahah-progress-bar"/>
    <w:basedOn w:val="a"/>
    <w:rsid w:val="00362C75"/>
    <w:pPr>
      <w:spacing w:before="120" w:after="216"/>
    </w:pPr>
  </w:style>
  <w:style w:type="paragraph" w:customStyle="1" w:styleId="password-parent">
    <w:name w:val="password-parent"/>
    <w:basedOn w:val="a"/>
    <w:rsid w:val="00362C75"/>
  </w:style>
  <w:style w:type="paragraph" w:customStyle="1" w:styleId="confirm-parent">
    <w:name w:val="confirm-parent"/>
    <w:basedOn w:val="a"/>
    <w:rsid w:val="00362C75"/>
    <w:pPr>
      <w:spacing w:before="44"/>
    </w:pPr>
  </w:style>
  <w:style w:type="paragraph" w:customStyle="1" w:styleId="profile">
    <w:name w:val="profile"/>
    <w:basedOn w:val="a"/>
    <w:rsid w:val="00362C75"/>
    <w:pPr>
      <w:spacing w:before="240" w:after="240"/>
    </w:pPr>
  </w:style>
  <w:style w:type="paragraph" w:customStyle="1" w:styleId="content-multiple-remove-button">
    <w:name w:val="content-multiple-remove-button"/>
    <w:basedOn w:val="a"/>
    <w:rsid w:val="00362C75"/>
    <w:pPr>
      <w:pBdr>
        <w:bottom w:val="single" w:sz="4" w:space="0" w:color="C2C9CE"/>
        <w:right w:val="single" w:sz="4" w:space="0" w:color="C2C9CE"/>
      </w:pBdr>
      <w:spacing w:before="17" w:after="9"/>
    </w:pPr>
  </w:style>
  <w:style w:type="paragraph" w:customStyle="1" w:styleId="content-multiple-weight-header">
    <w:name w:val="content-multiple-weight-header"/>
    <w:basedOn w:val="a"/>
    <w:rsid w:val="00362C75"/>
    <w:pPr>
      <w:spacing w:before="120" w:after="216"/>
      <w:jc w:val="center"/>
    </w:pPr>
  </w:style>
  <w:style w:type="paragraph" w:customStyle="1" w:styleId="content-multiple-remove-header">
    <w:name w:val="content-multiple-remove-header"/>
    <w:basedOn w:val="a"/>
    <w:rsid w:val="00362C75"/>
    <w:pPr>
      <w:spacing w:before="120" w:after="216"/>
      <w:jc w:val="center"/>
    </w:pPr>
  </w:style>
  <w:style w:type="paragraph" w:customStyle="1" w:styleId="content-multiple-remove-cell">
    <w:name w:val="content-multiple-remove-cell"/>
    <w:basedOn w:val="a"/>
    <w:rsid w:val="00362C75"/>
    <w:pPr>
      <w:spacing w:before="120" w:after="216"/>
      <w:jc w:val="center"/>
    </w:pPr>
  </w:style>
  <w:style w:type="paragraph" w:customStyle="1" w:styleId="rteindent2">
    <w:name w:val="rteindent2"/>
    <w:basedOn w:val="a"/>
    <w:rsid w:val="00362C75"/>
    <w:pPr>
      <w:spacing w:before="120" w:after="216"/>
      <w:ind w:left="698"/>
    </w:pPr>
  </w:style>
  <w:style w:type="paragraph" w:customStyle="1" w:styleId="rteindent3">
    <w:name w:val="rteindent3"/>
    <w:basedOn w:val="a"/>
    <w:rsid w:val="00362C75"/>
    <w:pPr>
      <w:spacing w:before="120" w:after="216"/>
      <w:ind w:left="1047"/>
    </w:pPr>
  </w:style>
  <w:style w:type="paragraph" w:customStyle="1" w:styleId="rteindent4">
    <w:name w:val="rteindent4"/>
    <w:basedOn w:val="a"/>
    <w:rsid w:val="00362C75"/>
    <w:pPr>
      <w:spacing w:before="120" w:after="216"/>
      <w:ind w:left="1396"/>
    </w:pPr>
  </w:style>
  <w:style w:type="paragraph" w:customStyle="1" w:styleId="rteleft">
    <w:name w:val="rteleft"/>
    <w:basedOn w:val="a"/>
    <w:rsid w:val="00362C75"/>
    <w:pPr>
      <w:spacing w:before="120" w:after="216"/>
    </w:pPr>
  </w:style>
  <w:style w:type="paragraph" w:customStyle="1" w:styleId="ckepanellistitem">
    <w:name w:val="cke_panel_listitem"/>
    <w:basedOn w:val="a"/>
    <w:rsid w:val="00362C75"/>
    <w:pPr>
      <w:spacing w:before="120" w:after="216"/>
    </w:pPr>
  </w:style>
  <w:style w:type="paragraph" w:customStyle="1" w:styleId="ctools-locked">
    <w:name w:val="ctools-locked"/>
    <w:basedOn w:val="a"/>
    <w:rsid w:val="00362C75"/>
    <w:pPr>
      <w:pBdr>
        <w:top w:val="single" w:sz="4" w:space="12" w:color="FF0000"/>
        <w:left w:val="single" w:sz="4" w:space="12" w:color="FF0000"/>
        <w:bottom w:val="single" w:sz="4" w:space="12" w:color="FF0000"/>
        <w:right w:val="single" w:sz="4" w:space="12" w:color="FF0000"/>
      </w:pBdr>
      <w:spacing w:before="120" w:after="216"/>
    </w:pPr>
    <w:rPr>
      <w:color w:val="FF0000"/>
    </w:rPr>
  </w:style>
  <w:style w:type="paragraph" w:customStyle="1" w:styleId="ctools-owns-lock">
    <w:name w:val="ctools-owns-lock"/>
    <w:basedOn w:val="a"/>
    <w:rsid w:val="00362C75"/>
    <w:pPr>
      <w:pBdr>
        <w:top w:val="single" w:sz="4" w:space="12" w:color="F0C020"/>
        <w:left w:val="single" w:sz="4" w:space="12" w:color="F0C020"/>
        <w:bottom w:val="single" w:sz="4" w:space="12" w:color="F0C020"/>
        <w:right w:val="single" w:sz="4" w:space="12" w:color="F0C020"/>
      </w:pBdr>
      <w:shd w:val="clear" w:color="auto" w:fill="FFFFDD"/>
      <w:spacing w:before="120" w:after="216"/>
    </w:pPr>
  </w:style>
  <w:style w:type="paragraph" w:customStyle="1" w:styleId="filefield-icon">
    <w:name w:val="filefield-icon"/>
    <w:basedOn w:val="a"/>
    <w:rsid w:val="00362C75"/>
    <w:pPr>
      <w:ind w:right="17"/>
    </w:pPr>
  </w:style>
  <w:style w:type="paragraph" w:customStyle="1" w:styleId="filefield-element">
    <w:name w:val="filefield-element"/>
    <w:basedOn w:val="a"/>
    <w:rsid w:val="00362C75"/>
    <w:pPr>
      <w:spacing w:before="240" w:after="240"/>
    </w:pPr>
  </w:style>
  <w:style w:type="paragraph" w:customStyle="1" w:styleId="footnotes">
    <w:name w:val="footnotes"/>
    <w:basedOn w:val="a"/>
    <w:rsid w:val="00362C75"/>
    <w:pPr>
      <w:pBdr>
        <w:top w:val="single" w:sz="4" w:space="0" w:color="000000"/>
      </w:pBdr>
      <w:spacing w:before="960" w:after="480"/>
    </w:pPr>
  </w:style>
  <w:style w:type="paragraph" w:customStyle="1" w:styleId="see-footnote">
    <w:name w:val="see-footnote"/>
    <w:basedOn w:val="a"/>
    <w:rsid w:val="00362C75"/>
    <w:pPr>
      <w:spacing w:before="120" w:after="216"/>
      <w:textAlignment w:val="top"/>
    </w:pPr>
  </w:style>
  <w:style w:type="paragraph" w:customStyle="1" w:styleId="footnote">
    <w:name w:val="footnote"/>
    <w:basedOn w:val="a"/>
    <w:rsid w:val="00362C75"/>
    <w:pPr>
      <w:spacing w:before="120" w:after="216"/>
    </w:pPr>
  </w:style>
  <w:style w:type="paragraph" w:customStyle="1" w:styleId="ng3-hidden">
    <w:name w:val="ng3-hidden"/>
    <w:basedOn w:val="a"/>
    <w:rsid w:val="00362C75"/>
    <w:pPr>
      <w:spacing w:before="120" w:after="216"/>
    </w:pPr>
    <w:rPr>
      <w:vanish/>
    </w:rPr>
  </w:style>
  <w:style w:type="paragraph" w:customStyle="1" w:styleId="quote-msg">
    <w:name w:val="quote-msg"/>
    <w:basedOn w:val="a"/>
    <w:rsid w:val="00362C75"/>
    <w:pPr>
      <w:pBdr>
        <w:top w:val="single" w:sz="4" w:space="12" w:color="DDDDDD"/>
        <w:left w:val="single" w:sz="4" w:space="12" w:color="DDDDDD"/>
        <w:bottom w:val="single" w:sz="4" w:space="12" w:color="DDDDDD"/>
        <w:right w:val="single" w:sz="4" w:space="12" w:color="DDDDDD"/>
      </w:pBdr>
      <w:shd w:val="clear" w:color="auto" w:fill="F6F6F6"/>
      <w:spacing w:before="240" w:after="240"/>
      <w:ind w:left="480" w:right="480"/>
    </w:pPr>
  </w:style>
  <w:style w:type="paragraph" w:customStyle="1" w:styleId="quote-author">
    <w:name w:val="quote-author"/>
    <w:basedOn w:val="a"/>
    <w:rsid w:val="00362C75"/>
    <w:pPr>
      <w:spacing w:after="240"/>
    </w:pPr>
    <w:rPr>
      <w:b/>
      <w:bCs/>
    </w:rPr>
  </w:style>
  <w:style w:type="paragraph" w:customStyle="1" w:styleId="rate-info">
    <w:name w:val="rate-info"/>
    <w:basedOn w:val="a"/>
    <w:rsid w:val="00362C75"/>
    <w:pPr>
      <w:spacing w:before="120" w:after="216"/>
    </w:pPr>
    <w:rPr>
      <w:color w:val="666666"/>
      <w:sz w:val="19"/>
      <w:szCs w:val="19"/>
    </w:rPr>
  </w:style>
  <w:style w:type="paragraph" w:customStyle="1" w:styleId="rate-description">
    <w:name w:val="rate-description"/>
    <w:basedOn w:val="a"/>
    <w:rsid w:val="00362C75"/>
    <w:pPr>
      <w:spacing w:before="120" w:after="216"/>
    </w:pPr>
    <w:rPr>
      <w:color w:val="666666"/>
      <w:sz w:val="19"/>
      <w:szCs w:val="19"/>
    </w:rPr>
  </w:style>
  <w:style w:type="paragraph" w:customStyle="1" w:styleId="forum-topic-navigation">
    <w:name w:val="forum-topic-navigation"/>
    <w:basedOn w:val="a"/>
    <w:rsid w:val="00362C75"/>
    <w:pPr>
      <w:pBdr>
        <w:top w:val="single" w:sz="4" w:space="6" w:color="888888"/>
        <w:bottom w:val="single" w:sz="4" w:space="6" w:color="888888"/>
      </w:pBdr>
      <w:spacing w:before="120" w:after="216"/>
      <w:jc w:val="center"/>
    </w:pPr>
  </w:style>
  <w:style w:type="paragraph" w:customStyle="1" w:styleId="views-exposed-widgets">
    <w:name w:val="views-exposed-widgets"/>
    <w:basedOn w:val="a"/>
    <w:rsid w:val="00362C75"/>
    <w:pPr>
      <w:spacing w:before="120" w:after="120"/>
    </w:pPr>
  </w:style>
  <w:style w:type="paragraph" w:customStyle="1" w:styleId="indented">
    <w:name w:val="indented"/>
    <w:basedOn w:val="a"/>
    <w:rsid w:val="00362C75"/>
    <w:pPr>
      <w:spacing w:before="120" w:after="216"/>
      <w:ind w:left="218"/>
    </w:pPr>
  </w:style>
  <w:style w:type="paragraph" w:customStyle="1" w:styleId="comment-unpublished">
    <w:name w:val="comment-unpublished"/>
    <w:basedOn w:val="a"/>
    <w:rsid w:val="00362C75"/>
    <w:pPr>
      <w:shd w:val="clear" w:color="auto" w:fill="FFDDDD"/>
      <w:spacing w:before="120" w:after="216"/>
    </w:pPr>
  </w:style>
  <w:style w:type="paragraph" w:customStyle="1" w:styleId="sizer0">
    <w:name w:val="sizer0"/>
    <w:basedOn w:val="a"/>
    <w:rsid w:val="00362C75"/>
  </w:style>
  <w:style w:type="paragraph" w:customStyle="1" w:styleId="float-wrap">
    <w:name w:val="float-wrap"/>
    <w:basedOn w:val="a"/>
    <w:rsid w:val="00362C75"/>
    <w:pPr>
      <w:spacing w:before="120" w:after="216"/>
    </w:pPr>
  </w:style>
  <w:style w:type="paragraph" w:customStyle="1" w:styleId="colmain">
    <w:name w:val="colmain"/>
    <w:basedOn w:val="a"/>
    <w:rsid w:val="00362C75"/>
    <w:pPr>
      <w:spacing w:before="120" w:after="216"/>
    </w:pPr>
  </w:style>
  <w:style w:type="paragraph" w:customStyle="1" w:styleId="colleft">
    <w:name w:val="colleft"/>
    <w:basedOn w:val="a"/>
    <w:rsid w:val="00362C75"/>
    <w:pPr>
      <w:spacing w:before="120" w:after="216"/>
      <w:ind w:left="-1780"/>
    </w:pPr>
  </w:style>
  <w:style w:type="paragraph" w:customStyle="1" w:styleId="colright">
    <w:name w:val="colright"/>
    <w:basedOn w:val="a"/>
    <w:rsid w:val="00362C75"/>
    <w:pPr>
      <w:spacing w:before="120" w:after="216"/>
      <w:ind w:right="-2426"/>
    </w:pPr>
  </w:style>
  <w:style w:type="paragraph" w:customStyle="1" w:styleId="clearfix">
    <w:name w:val="clearfix"/>
    <w:basedOn w:val="a"/>
    <w:rsid w:val="00362C75"/>
    <w:pPr>
      <w:spacing w:before="120" w:after="216"/>
    </w:pPr>
  </w:style>
  <w:style w:type="paragraph" w:customStyle="1" w:styleId="brclear">
    <w:name w:val="brclear"/>
    <w:basedOn w:val="a"/>
    <w:rsid w:val="00362C75"/>
    <w:pPr>
      <w:spacing w:line="0" w:lineRule="auto"/>
    </w:pPr>
    <w:rPr>
      <w:sz w:val="2"/>
      <w:szCs w:val="2"/>
    </w:rPr>
  </w:style>
  <w:style w:type="paragraph" w:customStyle="1" w:styleId="links">
    <w:name w:val="links"/>
    <w:basedOn w:val="a"/>
    <w:rsid w:val="00362C75"/>
    <w:rPr>
      <w:color w:val="3F3F3F"/>
    </w:rPr>
  </w:style>
  <w:style w:type="paragraph" w:customStyle="1" w:styleId="1f2">
    <w:name w:val="Название1"/>
    <w:basedOn w:val="a"/>
    <w:rsid w:val="00362C75"/>
    <w:rPr>
      <w:color w:val="777777"/>
    </w:rPr>
  </w:style>
  <w:style w:type="paragraph" w:customStyle="1" w:styleId="box">
    <w:name w:val="box"/>
    <w:basedOn w:val="a"/>
    <w:rsid w:val="00362C75"/>
    <w:pPr>
      <w:spacing w:before="120" w:after="216"/>
    </w:pPr>
  </w:style>
  <w:style w:type="paragraph" w:customStyle="1" w:styleId="block">
    <w:name w:val="block"/>
    <w:basedOn w:val="a"/>
    <w:rsid w:val="00362C75"/>
    <w:pPr>
      <w:spacing w:before="120" w:after="120"/>
    </w:pPr>
  </w:style>
  <w:style w:type="paragraph" w:customStyle="1" w:styleId="themed-block">
    <w:name w:val="themed-block"/>
    <w:basedOn w:val="a"/>
    <w:rsid w:val="00362C75"/>
    <w:pPr>
      <w:spacing w:before="120" w:after="131"/>
    </w:pPr>
  </w:style>
  <w:style w:type="paragraph" w:customStyle="1" w:styleId="node">
    <w:name w:val="node"/>
    <w:basedOn w:val="a"/>
    <w:rsid w:val="00362C75"/>
    <w:pPr>
      <w:spacing w:before="120" w:after="480"/>
    </w:pPr>
  </w:style>
  <w:style w:type="paragraph" w:customStyle="1" w:styleId="submitted">
    <w:name w:val="submitted"/>
    <w:basedOn w:val="a"/>
    <w:rsid w:val="00362C75"/>
    <w:pPr>
      <w:spacing w:before="120" w:after="216"/>
    </w:pPr>
    <w:rPr>
      <w:color w:val="3F3F3F"/>
      <w:sz w:val="19"/>
      <w:szCs w:val="19"/>
    </w:rPr>
  </w:style>
  <w:style w:type="paragraph" w:customStyle="1" w:styleId="comment0">
    <w:name w:val="comment"/>
    <w:basedOn w:val="a"/>
    <w:rsid w:val="00362C75"/>
    <w:pPr>
      <w:pBdr>
        <w:top w:val="single" w:sz="4" w:space="0" w:color="D3D3D3"/>
        <w:left w:val="single" w:sz="4" w:space="0" w:color="D3D3D3"/>
        <w:bottom w:val="single" w:sz="4" w:space="0" w:color="D3D3D3"/>
        <w:right w:val="single" w:sz="4" w:space="0" w:color="D3D3D3"/>
      </w:pBdr>
      <w:spacing w:before="120" w:after="240"/>
    </w:pPr>
  </w:style>
  <w:style w:type="paragraph" w:customStyle="1" w:styleId="messages">
    <w:name w:val="messages"/>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120" w:after="240"/>
    </w:pPr>
  </w:style>
  <w:style w:type="paragraph" w:customStyle="1" w:styleId="byy">
    <w:name w:val="byy"/>
    <w:basedOn w:val="a"/>
    <w:rsid w:val="00362C75"/>
    <w:pPr>
      <w:spacing w:before="120" w:after="216"/>
    </w:pPr>
    <w:rPr>
      <w:vanish/>
    </w:rPr>
  </w:style>
  <w:style w:type="paragraph" w:customStyle="1" w:styleId="legal">
    <w:name w:val="legal"/>
    <w:basedOn w:val="a"/>
    <w:rsid w:val="00362C75"/>
    <w:pPr>
      <w:spacing w:before="44"/>
    </w:pPr>
  </w:style>
  <w:style w:type="paragraph" w:customStyle="1" w:styleId="by">
    <w:name w:val="by"/>
    <w:basedOn w:val="a"/>
    <w:rsid w:val="00362C75"/>
    <w:pPr>
      <w:spacing w:before="120" w:after="216"/>
    </w:pPr>
    <w:rPr>
      <w:vanish/>
      <w:color w:val="DDDDDD"/>
      <w:sz w:val="18"/>
      <w:szCs w:val="18"/>
    </w:rPr>
  </w:style>
  <w:style w:type="paragraph" w:customStyle="1" w:styleId="block-logintoboggan">
    <w:name w:val="block-logintoboggan"/>
    <w:basedOn w:val="a"/>
    <w:rsid w:val="00362C75"/>
    <w:pPr>
      <w:spacing w:before="120" w:after="216"/>
      <w:jc w:val="center"/>
    </w:pPr>
  </w:style>
  <w:style w:type="paragraph" w:customStyle="1" w:styleId="navcenter">
    <w:name w:val="navcenter"/>
    <w:basedOn w:val="a"/>
    <w:rsid w:val="00362C75"/>
    <w:pPr>
      <w:spacing w:before="120" w:after="216"/>
      <w:jc w:val="center"/>
    </w:pPr>
  </w:style>
  <w:style w:type="paragraph" w:customStyle="1" w:styleId="book-navigation">
    <w:name w:val="book-navigation"/>
    <w:basedOn w:val="a"/>
    <w:rsid w:val="00362C75"/>
    <w:pPr>
      <w:spacing w:before="120" w:after="216"/>
    </w:pPr>
  </w:style>
  <w:style w:type="paragraph" w:customStyle="1" w:styleId="uc-store-admin-panel">
    <w:name w:val="uc-store-admin-panel"/>
    <w:basedOn w:val="a"/>
    <w:rsid w:val="00362C75"/>
  </w:style>
  <w:style w:type="paragraph" w:customStyle="1" w:styleId="product-image">
    <w:name w:val="product-image"/>
    <w:basedOn w:val="a"/>
    <w:rsid w:val="00362C75"/>
    <w:pPr>
      <w:spacing w:before="120" w:after="216"/>
    </w:pPr>
  </w:style>
  <w:style w:type="paragraph" w:customStyle="1" w:styleId="main-product-image">
    <w:name w:val="main-product-image"/>
    <w:basedOn w:val="a"/>
    <w:rsid w:val="00362C75"/>
    <w:pPr>
      <w:spacing w:before="120" w:after="216"/>
    </w:pPr>
  </w:style>
  <w:style w:type="paragraph" w:customStyle="1" w:styleId="menu">
    <w:name w:val="menu"/>
    <w:basedOn w:val="a"/>
    <w:rsid w:val="00362C75"/>
    <w:pPr>
      <w:spacing w:before="120" w:after="216"/>
    </w:pPr>
  </w:style>
  <w:style w:type="paragraph" w:customStyle="1" w:styleId="page-links">
    <w:name w:val="page-links"/>
    <w:basedOn w:val="a"/>
    <w:rsid w:val="00362C75"/>
    <w:pPr>
      <w:spacing w:before="120" w:after="216"/>
    </w:pPr>
  </w:style>
  <w:style w:type="paragraph" w:customStyle="1" w:styleId="page-previous">
    <w:name w:val="page-previous"/>
    <w:basedOn w:val="a"/>
    <w:rsid w:val="00362C75"/>
    <w:pPr>
      <w:spacing w:before="120" w:after="216"/>
    </w:pPr>
  </w:style>
  <w:style w:type="paragraph" w:customStyle="1" w:styleId="page-up">
    <w:name w:val="page-up"/>
    <w:basedOn w:val="a"/>
    <w:rsid w:val="00362C75"/>
    <w:pPr>
      <w:spacing w:before="120" w:after="216"/>
    </w:pPr>
  </w:style>
  <w:style w:type="paragraph" w:customStyle="1" w:styleId="page-next">
    <w:name w:val="page-next"/>
    <w:basedOn w:val="a"/>
    <w:rsid w:val="00362C75"/>
    <w:pPr>
      <w:spacing w:before="120" w:after="216"/>
    </w:pPr>
  </w:style>
  <w:style w:type="paragraph" w:customStyle="1" w:styleId="form-text">
    <w:name w:val="form-text"/>
    <w:basedOn w:val="a"/>
    <w:rsid w:val="00362C75"/>
    <w:pPr>
      <w:spacing w:before="120" w:after="216"/>
    </w:pPr>
  </w:style>
  <w:style w:type="paragraph" w:customStyle="1" w:styleId="standard">
    <w:name w:val="standard"/>
    <w:basedOn w:val="a"/>
    <w:rsid w:val="00362C75"/>
    <w:pPr>
      <w:spacing w:before="120" w:after="216"/>
    </w:pPr>
  </w:style>
  <w:style w:type="paragraph" w:customStyle="1" w:styleId="bar">
    <w:name w:val="bar"/>
    <w:basedOn w:val="a"/>
    <w:rsid w:val="00362C75"/>
    <w:pPr>
      <w:spacing w:before="120" w:after="216"/>
    </w:pPr>
  </w:style>
  <w:style w:type="paragraph" w:customStyle="1" w:styleId="percent">
    <w:name w:val="percent"/>
    <w:basedOn w:val="a"/>
    <w:rsid w:val="00362C75"/>
    <w:pPr>
      <w:spacing w:before="120" w:after="216"/>
    </w:pPr>
  </w:style>
  <w:style w:type="paragraph" w:customStyle="1" w:styleId="total">
    <w:name w:val="total"/>
    <w:basedOn w:val="a"/>
    <w:rsid w:val="00362C75"/>
    <w:pPr>
      <w:spacing w:before="120" w:after="216"/>
    </w:pPr>
  </w:style>
  <w:style w:type="paragraph" w:customStyle="1" w:styleId="vote-form">
    <w:name w:val="vote-form"/>
    <w:basedOn w:val="a"/>
    <w:rsid w:val="00362C75"/>
    <w:pPr>
      <w:spacing w:before="120" w:after="216"/>
    </w:pPr>
  </w:style>
  <w:style w:type="paragraph" w:customStyle="1" w:styleId="icon">
    <w:name w:val="icon"/>
    <w:basedOn w:val="a"/>
    <w:rsid w:val="00362C75"/>
    <w:pPr>
      <w:spacing w:before="120" w:after="216"/>
    </w:pPr>
  </w:style>
  <w:style w:type="paragraph" w:customStyle="1" w:styleId="description">
    <w:name w:val="description"/>
    <w:basedOn w:val="a"/>
    <w:rsid w:val="00362C75"/>
    <w:pPr>
      <w:spacing w:before="120" w:after="216"/>
    </w:pPr>
  </w:style>
  <w:style w:type="paragraph" w:customStyle="1" w:styleId="pager">
    <w:name w:val="pager"/>
    <w:basedOn w:val="a"/>
    <w:rsid w:val="00362C75"/>
    <w:pPr>
      <w:spacing w:before="120" w:after="216"/>
    </w:pPr>
  </w:style>
  <w:style w:type="paragraph" w:customStyle="1" w:styleId="grippie">
    <w:name w:val="grippie"/>
    <w:basedOn w:val="a"/>
    <w:rsid w:val="00362C75"/>
    <w:pPr>
      <w:spacing w:before="120" w:after="216"/>
    </w:pPr>
  </w:style>
  <w:style w:type="paragraph" w:customStyle="1" w:styleId="filled">
    <w:name w:val="filled"/>
    <w:basedOn w:val="a"/>
    <w:rsid w:val="00362C75"/>
    <w:pPr>
      <w:spacing w:before="120" w:after="216"/>
    </w:pPr>
  </w:style>
  <w:style w:type="paragraph" w:customStyle="1" w:styleId="throbber">
    <w:name w:val="throbber"/>
    <w:basedOn w:val="a"/>
    <w:rsid w:val="00362C75"/>
    <w:pPr>
      <w:spacing w:before="120" w:after="216"/>
    </w:pPr>
  </w:style>
  <w:style w:type="paragraph" w:customStyle="1" w:styleId="picture">
    <w:name w:val="picture"/>
    <w:basedOn w:val="a"/>
    <w:rsid w:val="00362C75"/>
    <w:pPr>
      <w:spacing w:before="120" w:after="216"/>
    </w:pPr>
  </w:style>
  <w:style w:type="paragraph" w:customStyle="1" w:styleId="field-label">
    <w:name w:val="field-label"/>
    <w:basedOn w:val="a"/>
    <w:rsid w:val="00362C75"/>
    <w:pPr>
      <w:spacing w:before="120" w:after="216"/>
    </w:pPr>
  </w:style>
  <w:style w:type="paragraph" w:customStyle="1" w:styleId="field-label-inline">
    <w:name w:val="field-label-inline"/>
    <w:basedOn w:val="a"/>
    <w:rsid w:val="00362C75"/>
    <w:pPr>
      <w:spacing w:before="120" w:after="216"/>
    </w:pPr>
  </w:style>
  <w:style w:type="paragraph" w:customStyle="1" w:styleId="field-label-inline-first">
    <w:name w:val="field-label-inline-first"/>
    <w:basedOn w:val="a"/>
    <w:rsid w:val="00362C75"/>
    <w:pPr>
      <w:spacing w:before="120" w:after="216"/>
    </w:pPr>
  </w:style>
  <w:style w:type="paragraph" w:customStyle="1" w:styleId="number">
    <w:name w:val="number"/>
    <w:basedOn w:val="a"/>
    <w:rsid w:val="00362C75"/>
    <w:pPr>
      <w:spacing w:before="120" w:after="216"/>
    </w:pPr>
  </w:style>
  <w:style w:type="paragraph" w:customStyle="1" w:styleId="text0">
    <w:name w:val="text"/>
    <w:basedOn w:val="a"/>
    <w:rsid w:val="00362C75"/>
    <w:pPr>
      <w:spacing w:before="120" w:after="216"/>
    </w:pPr>
  </w:style>
  <w:style w:type="paragraph" w:customStyle="1" w:styleId="content-border">
    <w:name w:val="content-border"/>
    <w:basedOn w:val="a"/>
    <w:rsid w:val="00362C75"/>
    <w:pPr>
      <w:spacing w:before="120" w:after="216"/>
    </w:pPr>
  </w:style>
  <w:style w:type="paragraph" w:customStyle="1" w:styleId="widget-preview">
    <w:name w:val="widget-preview"/>
    <w:basedOn w:val="a"/>
    <w:rsid w:val="00362C75"/>
    <w:pPr>
      <w:spacing w:before="120" w:after="216"/>
    </w:pPr>
  </w:style>
  <w:style w:type="paragraph" w:customStyle="1" w:styleId="filefield-preview">
    <w:name w:val="filefield-preview"/>
    <w:basedOn w:val="a"/>
    <w:rsid w:val="00362C75"/>
    <w:pPr>
      <w:spacing w:before="120" w:after="216"/>
    </w:pPr>
  </w:style>
  <w:style w:type="paragraph" w:customStyle="1" w:styleId="footnote-multi">
    <w:name w:val="footnote-multi"/>
    <w:basedOn w:val="a"/>
    <w:rsid w:val="00362C75"/>
    <w:pPr>
      <w:spacing w:before="120" w:after="216"/>
    </w:pPr>
  </w:style>
  <w:style w:type="paragraph" w:customStyle="1" w:styleId="topic-previous">
    <w:name w:val="topic-previous"/>
    <w:basedOn w:val="a"/>
    <w:rsid w:val="00362C75"/>
    <w:pPr>
      <w:spacing w:before="120" w:after="216"/>
    </w:pPr>
  </w:style>
  <w:style w:type="paragraph" w:customStyle="1" w:styleId="topic-next">
    <w:name w:val="topic-next"/>
    <w:basedOn w:val="a"/>
    <w:rsid w:val="00362C75"/>
    <w:pPr>
      <w:spacing w:before="120" w:after="216"/>
    </w:pPr>
  </w:style>
  <w:style w:type="paragraph" w:customStyle="1" w:styleId="views-exposed-widget">
    <w:name w:val="views-exposed-widget"/>
    <w:basedOn w:val="a"/>
    <w:rsid w:val="00362C75"/>
    <w:pPr>
      <w:spacing w:before="120" w:after="216"/>
    </w:pPr>
  </w:style>
  <w:style w:type="paragraph" w:customStyle="1" w:styleId="form-submit">
    <w:name w:val="form-submit"/>
    <w:basedOn w:val="a"/>
    <w:rsid w:val="00362C75"/>
    <w:pPr>
      <w:spacing w:before="120" w:after="216"/>
    </w:pPr>
  </w:style>
  <w:style w:type="paragraph" w:customStyle="1" w:styleId="content">
    <w:name w:val="content"/>
    <w:basedOn w:val="a"/>
    <w:rsid w:val="00362C75"/>
    <w:pPr>
      <w:spacing w:before="120" w:after="216"/>
    </w:pPr>
  </w:style>
  <w:style w:type="paragraph" w:customStyle="1" w:styleId="terms">
    <w:name w:val="terms"/>
    <w:basedOn w:val="a"/>
    <w:rsid w:val="00362C75"/>
    <w:pPr>
      <w:spacing w:before="120" w:after="216"/>
    </w:pPr>
  </w:style>
  <w:style w:type="paragraph" w:customStyle="1" w:styleId="new">
    <w:name w:val="new"/>
    <w:basedOn w:val="a"/>
    <w:rsid w:val="00362C75"/>
    <w:pPr>
      <w:spacing w:before="120" w:after="216"/>
    </w:pPr>
  </w:style>
  <w:style w:type="paragraph" w:customStyle="1" w:styleId="block-icon">
    <w:name w:val="block-icon"/>
    <w:basedOn w:val="a"/>
    <w:rsid w:val="00362C75"/>
    <w:pPr>
      <w:spacing w:before="120" w:after="216"/>
    </w:pPr>
  </w:style>
  <w:style w:type="paragraph" w:customStyle="1" w:styleId="print-icon">
    <w:name w:val="print-icon"/>
    <w:basedOn w:val="a"/>
    <w:rsid w:val="00362C75"/>
    <w:pPr>
      <w:spacing w:before="120" w:after="216"/>
    </w:pPr>
  </w:style>
  <w:style w:type="paragraph" w:customStyle="1" w:styleId="printhtml">
    <w:name w:val="print_html"/>
    <w:basedOn w:val="a"/>
    <w:rsid w:val="00362C75"/>
    <w:pPr>
      <w:spacing w:before="120" w:after="216"/>
    </w:pPr>
  </w:style>
  <w:style w:type="paragraph" w:customStyle="1" w:styleId="bookprinter">
    <w:name w:val="book_printer"/>
    <w:basedOn w:val="a"/>
    <w:rsid w:val="00362C75"/>
    <w:pPr>
      <w:spacing w:before="120" w:after="216"/>
    </w:pPr>
  </w:style>
  <w:style w:type="paragraph" w:customStyle="1" w:styleId="printmail">
    <w:name w:val="print_mail"/>
    <w:basedOn w:val="a"/>
    <w:rsid w:val="00362C75"/>
    <w:pPr>
      <w:spacing w:before="120" w:after="216"/>
    </w:pPr>
  </w:style>
  <w:style w:type="paragraph" w:customStyle="1" w:styleId="bookmail">
    <w:name w:val="book_mail"/>
    <w:basedOn w:val="a"/>
    <w:rsid w:val="00362C75"/>
    <w:pPr>
      <w:spacing w:before="120" w:after="216"/>
    </w:pPr>
  </w:style>
  <w:style w:type="paragraph" w:customStyle="1" w:styleId="printpdf">
    <w:name w:val="print_pdf"/>
    <w:basedOn w:val="a"/>
    <w:rsid w:val="00362C75"/>
    <w:pPr>
      <w:spacing w:before="120" w:after="216"/>
    </w:pPr>
  </w:style>
  <w:style w:type="paragraph" w:customStyle="1" w:styleId="bookpdf">
    <w:name w:val="book_pdf"/>
    <w:basedOn w:val="a"/>
    <w:rsid w:val="00362C75"/>
    <w:pPr>
      <w:spacing w:before="120" w:after="216"/>
    </w:pPr>
  </w:style>
  <w:style w:type="paragraph" w:customStyle="1" w:styleId="uc-store-icon">
    <w:name w:val="uc-store-icon"/>
    <w:basedOn w:val="a"/>
    <w:rsid w:val="00362C75"/>
    <w:pPr>
      <w:spacing w:before="120" w:after="216"/>
    </w:pPr>
  </w:style>
  <w:style w:type="paragraph" w:customStyle="1" w:styleId="panel-title">
    <w:name w:val="panel-title"/>
    <w:basedOn w:val="a"/>
    <w:rsid w:val="00362C75"/>
    <w:pPr>
      <w:spacing w:before="120" w:after="216"/>
    </w:pPr>
  </w:style>
  <w:style w:type="paragraph" w:customStyle="1" w:styleId="handle">
    <w:name w:val="handle"/>
    <w:basedOn w:val="a"/>
    <w:rsid w:val="00362C75"/>
    <w:pPr>
      <w:spacing w:before="120" w:after="216"/>
    </w:pPr>
  </w:style>
  <w:style w:type="paragraph" w:customStyle="1" w:styleId="no-js">
    <w:name w:val="no-js"/>
    <w:basedOn w:val="a"/>
    <w:rsid w:val="00362C75"/>
    <w:pPr>
      <w:spacing w:before="120" w:after="216"/>
    </w:pPr>
  </w:style>
  <w:style w:type="paragraph" w:customStyle="1" w:styleId="js-hide">
    <w:name w:val="js-hide"/>
    <w:basedOn w:val="a"/>
    <w:rsid w:val="00362C75"/>
    <w:pPr>
      <w:spacing w:before="120" w:after="216"/>
    </w:pPr>
  </w:style>
  <w:style w:type="paragraph" w:customStyle="1" w:styleId="content-multiple-removed-row">
    <w:name w:val="content-multiple-removed-row"/>
    <w:basedOn w:val="a"/>
    <w:rsid w:val="00362C75"/>
    <w:pPr>
      <w:spacing w:before="120" w:after="216"/>
    </w:pPr>
  </w:style>
  <w:style w:type="paragraph" w:customStyle="1" w:styleId="content-multiple-remove-checkbox">
    <w:name w:val="content-multiple-remove-checkbox"/>
    <w:basedOn w:val="a"/>
    <w:rsid w:val="00362C75"/>
    <w:pPr>
      <w:spacing w:before="120" w:after="216"/>
    </w:pPr>
  </w:style>
  <w:style w:type="paragraph" w:customStyle="1" w:styleId="page0">
    <w:name w:val="page0"/>
    <w:basedOn w:val="a"/>
    <w:rsid w:val="00362C75"/>
    <w:pPr>
      <w:spacing w:before="120" w:after="216"/>
    </w:pPr>
  </w:style>
  <w:style w:type="paragraph" w:customStyle="1" w:styleId="expander0">
    <w:name w:val="expander0"/>
    <w:basedOn w:val="a"/>
    <w:rsid w:val="00362C75"/>
    <w:pPr>
      <w:spacing w:before="120" w:after="216"/>
    </w:pPr>
  </w:style>
  <w:style w:type="paragraph" w:customStyle="1" w:styleId="outer">
    <w:name w:val="outer"/>
    <w:basedOn w:val="a"/>
    <w:rsid w:val="00362C75"/>
    <w:pPr>
      <w:spacing w:before="120" w:after="216"/>
    </w:pPr>
  </w:style>
  <w:style w:type="paragraph" w:customStyle="1" w:styleId="left">
    <w:name w:val="left"/>
    <w:basedOn w:val="a"/>
    <w:rsid w:val="00362C75"/>
    <w:pPr>
      <w:spacing w:before="120" w:after="216"/>
    </w:pPr>
  </w:style>
  <w:style w:type="paragraph" w:customStyle="1" w:styleId="right">
    <w:name w:val="right"/>
    <w:basedOn w:val="a"/>
    <w:rsid w:val="00362C75"/>
    <w:pPr>
      <w:spacing w:before="120" w:after="216"/>
    </w:pPr>
  </w:style>
  <w:style w:type="paragraph" w:customStyle="1" w:styleId="body">
    <w:name w:val="body"/>
    <w:basedOn w:val="a"/>
    <w:rsid w:val="00362C75"/>
    <w:pPr>
      <w:spacing w:before="120" w:after="216"/>
    </w:pPr>
  </w:style>
  <w:style w:type="paragraph" w:customStyle="1" w:styleId="foreground">
    <w:name w:val="foreground"/>
    <w:basedOn w:val="a"/>
    <w:rsid w:val="00362C75"/>
    <w:pPr>
      <w:spacing w:before="120" w:after="216"/>
    </w:pPr>
  </w:style>
  <w:style w:type="paragraph" w:customStyle="1" w:styleId="choices">
    <w:name w:val="choices"/>
    <w:basedOn w:val="a"/>
    <w:rsid w:val="00362C75"/>
    <w:pPr>
      <w:spacing w:before="120" w:after="216"/>
    </w:pPr>
  </w:style>
  <w:style w:type="paragraph" w:customStyle="1" w:styleId="views-field-subject">
    <w:name w:val="views-field-subject"/>
    <w:basedOn w:val="a"/>
    <w:rsid w:val="00362C75"/>
    <w:pPr>
      <w:spacing w:before="120" w:after="216"/>
    </w:pPr>
  </w:style>
  <w:style w:type="paragraph" w:customStyle="1" w:styleId="access-type">
    <w:name w:val="access-type"/>
    <w:basedOn w:val="a"/>
    <w:rsid w:val="00362C75"/>
    <w:pPr>
      <w:spacing w:before="120" w:after="216"/>
    </w:pPr>
  </w:style>
  <w:style w:type="paragraph" w:customStyle="1" w:styleId="rule-type">
    <w:name w:val="rule-type"/>
    <w:basedOn w:val="a"/>
    <w:rsid w:val="00362C75"/>
    <w:pPr>
      <w:spacing w:before="120" w:after="216"/>
    </w:pPr>
  </w:style>
  <w:style w:type="paragraph" w:customStyle="1" w:styleId="mask">
    <w:name w:val="mask"/>
    <w:basedOn w:val="a"/>
    <w:rsid w:val="00362C75"/>
    <w:pPr>
      <w:spacing w:before="120" w:after="216"/>
    </w:pPr>
  </w:style>
  <w:style w:type="paragraph" w:customStyle="1" w:styleId="advanced-help-link">
    <w:name w:val="advanced-help-link"/>
    <w:basedOn w:val="a"/>
    <w:rsid w:val="00362C75"/>
    <w:pPr>
      <w:spacing w:before="120" w:after="216"/>
    </w:pPr>
  </w:style>
  <w:style w:type="paragraph" w:customStyle="1" w:styleId="label-group">
    <w:name w:val="label-group"/>
    <w:basedOn w:val="a"/>
    <w:rsid w:val="00362C75"/>
    <w:pPr>
      <w:spacing w:before="120" w:after="216"/>
    </w:pPr>
  </w:style>
  <w:style w:type="paragraph" w:customStyle="1" w:styleId="multicolumncheckboxesradios-column">
    <w:name w:val="multicolumncheckboxesradios-column"/>
    <w:basedOn w:val="a"/>
    <w:rsid w:val="00362C75"/>
    <w:pPr>
      <w:spacing w:before="120" w:after="216"/>
    </w:pPr>
  </w:style>
  <w:style w:type="paragraph" w:customStyle="1" w:styleId="source">
    <w:name w:val="source"/>
    <w:basedOn w:val="a"/>
    <w:rsid w:val="00362C75"/>
    <w:pPr>
      <w:spacing w:before="120" w:after="216"/>
    </w:pPr>
  </w:style>
  <w:style w:type="paragraph" w:customStyle="1" w:styleId="age">
    <w:name w:val="age"/>
    <w:basedOn w:val="a"/>
    <w:rsid w:val="00362C75"/>
    <w:pPr>
      <w:spacing w:before="120" w:after="216"/>
    </w:pPr>
  </w:style>
  <w:style w:type="paragraph" w:customStyle="1" w:styleId="feed-source">
    <w:name w:val="feed-source"/>
    <w:basedOn w:val="a"/>
    <w:rsid w:val="00362C75"/>
    <w:pPr>
      <w:spacing w:before="120" w:after="216"/>
    </w:pPr>
  </w:style>
  <w:style w:type="paragraph" w:customStyle="1" w:styleId="item-list">
    <w:name w:val="item-list"/>
    <w:basedOn w:val="a"/>
    <w:rsid w:val="00362C75"/>
    <w:pPr>
      <w:spacing w:before="120" w:after="216"/>
    </w:pPr>
  </w:style>
  <w:style w:type="paragraph" w:customStyle="1" w:styleId="content-new">
    <w:name w:val="content-new"/>
    <w:basedOn w:val="a"/>
    <w:rsid w:val="00362C75"/>
    <w:pPr>
      <w:spacing w:before="120" w:after="216"/>
    </w:pPr>
  </w:style>
  <w:style w:type="paragraph" w:customStyle="1" w:styleId="name">
    <w:name w:val="name"/>
    <w:basedOn w:val="a"/>
    <w:rsid w:val="00362C75"/>
    <w:pPr>
      <w:spacing w:before="120" w:after="216"/>
    </w:pPr>
  </w:style>
  <w:style w:type="paragraph" w:customStyle="1" w:styleId="reference-autocomplete">
    <w:name w:val="reference-autocomplete"/>
    <w:basedOn w:val="a"/>
    <w:rsid w:val="00362C75"/>
    <w:pPr>
      <w:spacing w:before="120" w:after="216"/>
    </w:pPr>
  </w:style>
  <w:style w:type="paragraph" w:customStyle="1" w:styleId="categories">
    <w:name w:val="categories"/>
    <w:basedOn w:val="a"/>
    <w:rsid w:val="00362C75"/>
    <w:pPr>
      <w:spacing w:before="120" w:after="216"/>
    </w:pPr>
  </w:style>
  <w:style w:type="paragraph" w:customStyle="1" w:styleId="tabledrag-changed">
    <w:name w:val="tabledrag-changed"/>
    <w:basedOn w:val="a"/>
    <w:rsid w:val="00362C75"/>
    <w:pPr>
      <w:spacing w:before="120" w:after="216"/>
    </w:pPr>
  </w:style>
  <w:style w:type="paragraph" w:customStyle="1" w:styleId="arrow-up">
    <w:name w:val="arrow-up"/>
    <w:basedOn w:val="a"/>
    <w:rsid w:val="00362C75"/>
    <w:pPr>
      <w:spacing w:before="120" w:after="216"/>
    </w:pPr>
  </w:style>
  <w:style w:type="paragraph" w:customStyle="1" w:styleId="arrow-down">
    <w:name w:val="arrow-down"/>
    <w:basedOn w:val="a"/>
    <w:rsid w:val="00362C75"/>
    <w:pPr>
      <w:spacing w:before="120" w:after="216"/>
    </w:pPr>
  </w:style>
  <w:style w:type="character" w:customStyle="1" w:styleId="code0">
    <w:name w:val="code"/>
    <w:basedOn w:val="a0"/>
    <w:rsid w:val="00362C75"/>
  </w:style>
  <w:style w:type="character" w:customStyle="1" w:styleId="views-throbbing">
    <w:name w:val="views-throbbing"/>
    <w:basedOn w:val="a0"/>
    <w:rsid w:val="00362C75"/>
  </w:style>
  <w:style w:type="character" w:customStyle="1" w:styleId="sortablelistspan">
    <w:name w:val="sortablelistspan"/>
    <w:basedOn w:val="a0"/>
    <w:rsid w:val="00362C75"/>
  </w:style>
  <w:style w:type="paragraph" w:customStyle="1" w:styleId="menu1">
    <w:name w:val="menu1"/>
    <w:basedOn w:val="a"/>
    <w:rsid w:val="00362C75"/>
    <w:pPr>
      <w:spacing w:before="120" w:after="216"/>
    </w:pPr>
  </w:style>
  <w:style w:type="paragraph" w:customStyle="1" w:styleId="page-links1">
    <w:name w:val="page-links1"/>
    <w:basedOn w:val="a"/>
    <w:rsid w:val="00362C75"/>
    <w:pPr>
      <w:pBdr>
        <w:top w:val="dashed" w:sz="4" w:space="6" w:color="D3D3D3"/>
        <w:bottom w:val="dashed" w:sz="4" w:space="6" w:color="D3D3D3"/>
      </w:pBdr>
      <w:spacing w:before="120" w:after="216"/>
      <w:jc w:val="center"/>
    </w:pPr>
  </w:style>
  <w:style w:type="paragraph" w:customStyle="1" w:styleId="page-previous1">
    <w:name w:val="page-previous1"/>
    <w:basedOn w:val="a"/>
    <w:rsid w:val="00362C75"/>
    <w:pPr>
      <w:spacing w:before="120" w:after="216"/>
    </w:pPr>
  </w:style>
  <w:style w:type="paragraph" w:customStyle="1" w:styleId="page-up1">
    <w:name w:val="page-up1"/>
    <w:basedOn w:val="a"/>
    <w:rsid w:val="00362C75"/>
    <w:pPr>
      <w:ind w:left="612" w:right="612"/>
    </w:pPr>
  </w:style>
  <w:style w:type="paragraph" w:customStyle="1" w:styleId="page-next1">
    <w:name w:val="page-next1"/>
    <w:basedOn w:val="a"/>
    <w:rsid w:val="00362C75"/>
    <w:pPr>
      <w:spacing w:before="120" w:after="216"/>
      <w:jc w:val="right"/>
    </w:pPr>
  </w:style>
  <w:style w:type="paragraph" w:customStyle="1" w:styleId="form-item1">
    <w:name w:val="form-item1"/>
    <w:basedOn w:val="a"/>
    <w:rsid w:val="00362C75"/>
  </w:style>
  <w:style w:type="paragraph" w:customStyle="1" w:styleId="description1">
    <w:name w:val="description1"/>
    <w:basedOn w:val="a"/>
    <w:rsid w:val="00362C75"/>
    <w:pPr>
      <w:spacing w:before="120" w:after="216"/>
    </w:pPr>
  </w:style>
  <w:style w:type="paragraph" w:customStyle="1" w:styleId="node1">
    <w:name w:val="node1"/>
    <w:basedOn w:val="a"/>
    <w:rsid w:val="00362C75"/>
    <w:pPr>
      <w:shd w:val="clear" w:color="auto" w:fill="FFFFEA"/>
      <w:spacing w:before="120" w:after="480"/>
    </w:pPr>
  </w:style>
  <w:style w:type="paragraph" w:customStyle="1" w:styleId="form-text1">
    <w:name w:val="form-text1"/>
    <w:basedOn w:val="a"/>
    <w:rsid w:val="00362C75"/>
    <w:pPr>
      <w:spacing w:before="120" w:after="216"/>
    </w:pPr>
  </w:style>
  <w:style w:type="paragraph" w:customStyle="1" w:styleId="form-text2">
    <w:name w:val="form-text2"/>
    <w:basedOn w:val="a"/>
    <w:rsid w:val="00362C75"/>
    <w:pPr>
      <w:spacing w:before="120" w:after="216"/>
    </w:pPr>
  </w:style>
  <w:style w:type="paragraph" w:customStyle="1" w:styleId="standard1">
    <w:name w:val="standard1"/>
    <w:basedOn w:val="a"/>
    <w:rsid w:val="00362C75"/>
    <w:pPr>
      <w:spacing w:before="120" w:after="216"/>
    </w:pPr>
  </w:style>
  <w:style w:type="paragraph" w:customStyle="1" w:styleId="bar1">
    <w:name w:val="bar1"/>
    <w:basedOn w:val="a"/>
    <w:rsid w:val="00362C75"/>
    <w:pPr>
      <w:shd w:val="clear" w:color="auto" w:fill="DDDDDD"/>
      <w:spacing w:before="9" w:after="9"/>
    </w:pPr>
  </w:style>
  <w:style w:type="paragraph" w:customStyle="1" w:styleId="foreground1">
    <w:name w:val="foreground1"/>
    <w:basedOn w:val="a"/>
    <w:rsid w:val="00362C75"/>
    <w:pPr>
      <w:shd w:val="clear" w:color="auto" w:fill="000000"/>
      <w:spacing w:before="120" w:after="216"/>
    </w:pPr>
  </w:style>
  <w:style w:type="paragraph" w:customStyle="1" w:styleId="links1">
    <w:name w:val="links1"/>
    <w:basedOn w:val="a"/>
    <w:rsid w:val="00362C75"/>
    <w:pPr>
      <w:jc w:val="center"/>
    </w:pPr>
    <w:rPr>
      <w:color w:val="3F3F3F"/>
    </w:rPr>
  </w:style>
  <w:style w:type="paragraph" w:customStyle="1" w:styleId="percent1">
    <w:name w:val="percent1"/>
    <w:basedOn w:val="a"/>
    <w:rsid w:val="00362C75"/>
    <w:pPr>
      <w:spacing w:before="120" w:after="216"/>
      <w:jc w:val="right"/>
    </w:pPr>
  </w:style>
  <w:style w:type="paragraph" w:customStyle="1" w:styleId="total1">
    <w:name w:val="total1"/>
    <w:basedOn w:val="a"/>
    <w:rsid w:val="00362C75"/>
    <w:pPr>
      <w:spacing w:before="120" w:after="216"/>
      <w:jc w:val="center"/>
    </w:pPr>
  </w:style>
  <w:style w:type="paragraph" w:customStyle="1" w:styleId="vote-form1">
    <w:name w:val="vote-form1"/>
    <w:basedOn w:val="a"/>
    <w:rsid w:val="00362C75"/>
    <w:pPr>
      <w:spacing w:before="120" w:after="216"/>
      <w:jc w:val="center"/>
    </w:pPr>
  </w:style>
  <w:style w:type="paragraph" w:customStyle="1" w:styleId="choices1">
    <w:name w:val="choices1"/>
    <w:basedOn w:val="a"/>
    <w:rsid w:val="00362C75"/>
  </w:style>
  <w:style w:type="paragraph" w:customStyle="1" w:styleId="title1">
    <w:name w:val="title1"/>
    <w:basedOn w:val="a"/>
    <w:rsid w:val="00362C75"/>
    <w:rPr>
      <w:b/>
      <w:bCs/>
      <w:color w:val="777777"/>
    </w:rPr>
  </w:style>
  <w:style w:type="paragraph" w:customStyle="1" w:styleId="form-text3">
    <w:name w:val="form-text3"/>
    <w:basedOn w:val="a"/>
    <w:rsid w:val="00362C75"/>
    <w:pPr>
      <w:spacing w:before="120" w:after="216"/>
    </w:pPr>
  </w:style>
  <w:style w:type="paragraph" w:customStyle="1" w:styleId="icon1">
    <w:name w:val="icon1"/>
    <w:basedOn w:val="a"/>
    <w:rsid w:val="00362C75"/>
    <w:pPr>
      <w:spacing w:before="120" w:after="216"/>
    </w:pPr>
    <w:rPr>
      <w:color w:val="555555"/>
    </w:rPr>
  </w:style>
  <w:style w:type="paragraph" w:customStyle="1" w:styleId="title2">
    <w:name w:val="title2"/>
    <w:basedOn w:val="a"/>
    <w:rsid w:val="00362C75"/>
    <w:rPr>
      <w:b/>
      <w:bCs/>
      <w:color w:val="222222"/>
    </w:rPr>
  </w:style>
  <w:style w:type="paragraph" w:customStyle="1" w:styleId="form-item2">
    <w:name w:val="form-item2"/>
    <w:basedOn w:val="a"/>
    <w:rsid w:val="00362C75"/>
  </w:style>
  <w:style w:type="paragraph" w:customStyle="1" w:styleId="form-item3">
    <w:name w:val="form-item3"/>
    <w:basedOn w:val="a"/>
    <w:rsid w:val="00362C75"/>
  </w:style>
  <w:style w:type="paragraph" w:customStyle="1" w:styleId="description2">
    <w:name w:val="description2"/>
    <w:basedOn w:val="a"/>
    <w:rsid w:val="00362C75"/>
    <w:pPr>
      <w:spacing w:before="120" w:after="216"/>
    </w:pPr>
    <w:rPr>
      <w:sz w:val="20"/>
      <w:szCs w:val="20"/>
    </w:rPr>
  </w:style>
  <w:style w:type="paragraph" w:customStyle="1" w:styleId="form-item4">
    <w:name w:val="form-item4"/>
    <w:basedOn w:val="a"/>
    <w:rsid w:val="00362C75"/>
    <w:pPr>
      <w:spacing w:before="96" w:after="96"/>
    </w:pPr>
  </w:style>
  <w:style w:type="paragraph" w:customStyle="1" w:styleId="form-item5">
    <w:name w:val="form-item5"/>
    <w:basedOn w:val="a"/>
    <w:rsid w:val="00362C75"/>
    <w:pPr>
      <w:spacing w:before="96" w:after="96"/>
    </w:pPr>
  </w:style>
  <w:style w:type="paragraph" w:customStyle="1" w:styleId="pager1">
    <w:name w:val="pager1"/>
    <w:basedOn w:val="a"/>
    <w:rsid w:val="00362C75"/>
    <w:pPr>
      <w:spacing w:before="120" w:after="216"/>
      <w:jc w:val="center"/>
    </w:pPr>
  </w:style>
  <w:style w:type="paragraph" w:customStyle="1" w:styleId="form-item6">
    <w:name w:val="form-item6"/>
    <w:basedOn w:val="a"/>
    <w:rsid w:val="00362C75"/>
    <w:rPr>
      <w:rFonts w:ascii="inherit" w:hAnsi="inherit"/>
    </w:rPr>
  </w:style>
  <w:style w:type="paragraph" w:customStyle="1" w:styleId="form-item7">
    <w:name w:val="form-item7"/>
    <w:basedOn w:val="a"/>
    <w:rsid w:val="00362C75"/>
  </w:style>
  <w:style w:type="paragraph" w:customStyle="1" w:styleId="form-item8">
    <w:name w:val="form-item8"/>
    <w:basedOn w:val="a"/>
    <w:rsid w:val="00362C75"/>
  </w:style>
  <w:style w:type="paragraph" w:customStyle="1" w:styleId="grippie1">
    <w:name w:val="grippie1"/>
    <w:basedOn w:val="a"/>
    <w:rsid w:val="00362C75"/>
    <w:pPr>
      <w:pBdr>
        <w:top w:val="single" w:sz="2" w:space="0" w:color="DDDDDD"/>
        <w:left w:val="single" w:sz="4" w:space="0" w:color="DDDDDD"/>
        <w:bottom w:val="single" w:sz="4" w:space="0" w:color="DDDDDD"/>
        <w:right w:val="single" w:sz="4" w:space="0" w:color="DDDDDD"/>
      </w:pBdr>
      <w:spacing w:before="120" w:after="216"/>
    </w:pPr>
  </w:style>
  <w:style w:type="paragraph" w:customStyle="1" w:styleId="handle1">
    <w:name w:val="handle1"/>
    <w:basedOn w:val="a"/>
    <w:rsid w:val="00362C75"/>
    <w:pPr>
      <w:spacing w:before="35" w:after="216"/>
    </w:pPr>
  </w:style>
  <w:style w:type="paragraph" w:customStyle="1" w:styleId="no-js1">
    <w:name w:val="no-js1"/>
    <w:basedOn w:val="a"/>
    <w:rsid w:val="00362C75"/>
    <w:pPr>
      <w:spacing w:before="120" w:after="216"/>
    </w:pPr>
    <w:rPr>
      <w:vanish/>
    </w:rPr>
  </w:style>
  <w:style w:type="paragraph" w:customStyle="1" w:styleId="bar2">
    <w:name w:val="bar2"/>
    <w:basedOn w:val="a"/>
    <w:rsid w:val="00362C75"/>
    <w:pPr>
      <w:pBdr>
        <w:top w:val="single" w:sz="4" w:space="0" w:color="00375A"/>
        <w:left w:val="single" w:sz="4" w:space="0" w:color="00375A"/>
        <w:bottom w:val="single" w:sz="4" w:space="0" w:color="00375A"/>
        <w:right w:val="single" w:sz="4" w:space="0" w:color="00375A"/>
      </w:pBdr>
      <w:shd w:val="clear" w:color="auto" w:fill="FFFFFF"/>
      <w:ind w:left="48" w:right="48"/>
    </w:pPr>
  </w:style>
  <w:style w:type="paragraph" w:customStyle="1" w:styleId="filled1">
    <w:name w:val="filled1"/>
    <w:basedOn w:val="a"/>
    <w:rsid w:val="00362C75"/>
    <w:pPr>
      <w:pBdr>
        <w:bottom w:val="single" w:sz="48" w:space="0" w:color="004A73"/>
      </w:pBdr>
      <w:shd w:val="clear" w:color="auto" w:fill="0072B9"/>
      <w:spacing w:before="120" w:after="216"/>
    </w:pPr>
  </w:style>
  <w:style w:type="paragraph" w:customStyle="1" w:styleId="throbber1">
    <w:name w:val="throbber1"/>
    <w:basedOn w:val="a"/>
    <w:rsid w:val="00362C75"/>
    <w:pPr>
      <w:spacing w:before="17" w:after="17"/>
      <w:ind w:left="17" w:right="17"/>
    </w:pPr>
  </w:style>
  <w:style w:type="paragraph" w:customStyle="1" w:styleId="throbber2">
    <w:name w:val="throbber2"/>
    <w:basedOn w:val="a"/>
    <w:rsid w:val="00362C75"/>
    <w:pPr>
      <w:ind w:left="17" w:right="17"/>
    </w:pPr>
  </w:style>
  <w:style w:type="paragraph" w:customStyle="1" w:styleId="js-hide1">
    <w:name w:val="js-hide1"/>
    <w:basedOn w:val="a"/>
    <w:rsid w:val="00362C75"/>
    <w:pPr>
      <w:spacing w:before="120" w:after="216"/>
    </w:pPr>
    <w:rPr>
      <w:vanish/>
    </w:rPr>
  </w:style>
  <w:style w:type="paragraph" w:customStyle="1" w:styleId="access-type1">
    <w:name w:val="access-type1"/>
    <w:basedOn w:val="a"/>
    <w:rsid w:val="00362C75"/>
    <w:pPr>
      <w:spacing w:before="120" w:after="216"/>
      <w:ind w:right="240"/>
    </w:pPr>
  </w:style>
  <w:style w:type="paragraph" w:customStyle="1" w:styleId="rule-type1">
    <w:name w:val="rule-type1"/>
    <w:basedOn w:val="a"/>
    <w:rsid w:val="00362C75"/>
    <w:pPr>
      <w:spacing w:before="120" w:after="216"/>
      <w:ind w:right="240"/>
    </w:pPr>
  </w:style>
  <w:style w:type="paragraph" w:customStyle="1" w:styleId="form-item9">
    <w:name w:val="form-item9"/>
    <w:basedOn w:val="a"/>
    <w:rsid w:val="00362C75"/>
    <w:pPr>
      <w:spacing w:after="240"/>
    </w:pPr>
  </w:style>
  <w:style w:type="paragraph" w:customStyle="1" w:styleId="form-item10">
    <w:name w:val="form-item10"/>
    <w:basedOn w:val="a"/>
    <w:rsid w:val="00362C75"/>
    <w:pPr>
      <w:spacing w:after="240"/>
    </w:pPr>
  </w:style>
  <w:style w:type="paragraph" w:customStyle="1" w:styleId="mask1">
    <w:name w:val="mask1"/>
    <w:basedOn w:val="a"/>
    <w:rsid w:val="00362C75"/>
    <w:pPr>
      <w:spacing w:before="120" w:after="216"/>
    </w:pPr>
  </w:style>
  <w:style w:type="paragraph" w:customStyle="1" w:styleId="picture1">
    <w:name w:val="picture1"/>
    <w:basedOn w:val="a"/>
    <w:rsid w:val="00362C75"/>
    <w:pPr>
      <w:spacing w:after="240"/>
      <w:ind w:right="240"/>
    </w:pPr>
  </w:style>
  <w:style w:type="paragraph" w:customStyle="1" w:styleId="field-label1">
    <w:name w:val="field-label1"/>
    <w:basedOn w:val="a"/>
    <w:rsid w:val="00362C75"/>
    <w:pPr>
      <w:spacing w:before="120" w:after="216"/>
    </w:pPr>
    <w:rPr>
      <w:b/>
      <w:bCs/>
    </w:rPr>
  </w:style>
  <w:style w:type="paragraph" w:customStyle="1" w:styleId="field-label-inline1">
    <w:name w:val="field-label-inline1"/>
    <w:basedOn w:val="a"/>
    <w:rsid w:val="00362C75"/>
    <w:pPr>
      <w:spacing w:before="120" w:after="216"/>
    </w:pPr>
    <w:rPr>
      <w:b/>
      <w:bCs/>
    </w:rPr>
  </w:style>
  <w:style w:type="paragraph" w:customStyle="1" w:styleId="field-label-inline-first1">
    <w:name w:val="field-label-inline-first1"/>
    <w:basedOn w:val="a"/>
    <w:rsid w:val="00362C75"/>
    <w:pPr>
      <w:spacing w:before="120" w:after="216"/>
    </w:pPr>
    <w:rPr>
      <w:b/>
      <w:bCs/>
    </w:rPr>
  </w:style>
  <w:style w:type="paragraph" w:customStyle="1" w:styleId="form-submit1">
    <w:name w:val="form-submit1"/>
    <w:basedOn w:val="a"/>
    <w:rsid w:val="00362C75"/>
  </w:style>
  <w:style w:type="paragraph" w:customStyle="1" w:styleId="content-multiple-removed-row1">
    <w:name w:val="content-multiple-removed-row1"/>
    <w:basedOn w:val="a"/>
    <w:rsid w:val="00362C75"/>
    <w:pPr>
      <w:shd w:val="clear" w:color="auto" w:fill="FFFFCC"/>
      <w:spacing w:before="120" w:after="216"/>
    </w:pPr>
  </w:style>
  <w:style w:type="paragraph" w:customStyle="1" w:styleId="content-multiple-weight-header1">
    <w:name w:val="content-multiple-weight-header1"/>
    <w:basedOn w:val="a"/>
    <w:rsid w:val="00362C75"/>
    <w:pPr>
      <w:spacing w:before="120" w:after="216"/>
      <w:jc w:val="center"/>
    </w:pPr>
    <w:rPr>
      <w:vanish/>
    </w:rPr>
  </w:style>
  <w:style w:type="paragraph" w:customStyle="1" w:styleId="content-multiple-remove-checkbox1">
    <w:name w:val="content-multiple-remove-checkbox1"/>
    <w:basedOn w:val="a"/>
    <w:rsid w:val="00362C75"/>
    <w:pPr>
      <w:spacing w:before="120" w:after="216"/>
    </w:pPr>
    <w:rPr>
      <w:vanish/>
    </w:rPr>
  </w:style>
  <w:style w:type="paragraph" w:customStyle="1" w:styleId="number1">
    <w:name w:val="number1"/>
    <w:basedOn w:val="a"/>
    <w:rsid w:val="00362C75"/>
    <w:pPr>
      <w:spacing w:before="120" w:after="216"/>
    </w:pPr>
  </w:style>
  <w:style w:type="paragraph" w:customStyle="1" w:styleId="text1">
    <w:name w:val="text1"/>
    <w:basedOn w:val="a"/>
    <w:rsid w:val="00362C75"/>
    <w:pPr>
      <w:spacing w:before="120" w:after="216"/>
    </w:pPr>
  </w:style>
  <w:style w:type="paragraph" w:customStyle="1" w:styleId="reference-autocomplete1">
    <w:name w:val="reference-autocomplete1"/>
    <w:basedOn w:val="a"/>
    <w:rsid w:val="00362C75"/>
    <w:pPr>
      <w:spacing w:before="120" w:after="216"/>
    </w:pPr>
  </w:style>
  <w:style w:type="paragraph" w:customStyle="1" w:styleId="advanced-help-link1">
    <w:name w:val="advanced-help-link1"/>
    <w:basedOn w:val="a"/>
    <w:rsid w:val="00362C75"/>
    <w:pPr>
      <w:spacing w:before="35"/>
      <w:ind w:right="35"/>
    </w:pPr>
  </w:style>
  <w:style w:type="paragraph" w:customStyle="1" w:styleId="advanced-help-link2">
    <w:name w:val="advanced-help-link2"/>
    <w:basedOn w:val="a"/>
    <w:rsid w:val="00362C75"/>
    <w:pPr>
      <w:spacing w:before="35"/>
      <w:ind w:right="35"/>
    </w:pPr>
  </w:style>
  <w:style w:type="paragraph" w:customStyle="1" w:styleId="label-group1">
    <w:name w:val="label-group1"/>
    <w:basedOn w:val="a"/>
    <w:rsid w:val="00362C75"/>
    <w:pPr>
      <w:spacing w:before="120" w:after="216"/>
    </w:pPr>
    <w:rPr>
      <w:b/>
      <w:bCs/>
    </w:rPr>
  </w:style>
  <w:style w:type="paragraph" w:customStyle="1" w:styleId="label-group2">
    <w:name w:val="label-group2"/>
    <w:basedOn w:val="a"/>
    <w:rsid w:val="00362C75"/>
    <w:pPr>
      <w:spacing w:before="120" w:after="216"/>
    </w:pPr>
    <w:rPr>
      <w:b/>
      <w:bCs/>
    </w:rPr>
  </w:style>
  <w:style w:type="paragraph" w:customStyle="1" w:styleId="label-group3">
    <w:name w:val="label-group3"/>
    <w:basedOn w:val="a"/>
    <w:rsid w:val="00362C75"/>
    <w:pPr>
      <w:spacing w:before="120" w:after="216"/>
    </w:pPr>
    <w:rPr>
      <w:b/>
      <w:bCs/>
    </w:rPr>
  </w:style>
  <w:style w:type="paragraph" w:customStyle="1" w:styleId="tabledrag-changed1">
    <w:name w:val="tabledrag-changed1"/>
    <w:basedOn w:val="a"/>
    <w:rsid w:val="00362C75"/>
    <w:pPr>
      <w:spacing w:before="120" w:after="216"/>
    </w:pPr>
    <w:rPr>
      <w:vanish/>
    </w:rPr>
  </w:style>
  <w:style w:type="paragraph" w:customStyle="1" w:styleId="description3">
    <w:name w:val="description3"/>
    <w:basedOn w:val="a"/>
    <w:rsid w:val="00362C75"/>
    <w:pPr>
      <w:spacing w:before="120"/>
    </w:pPr>
  </w:style>
  <w:style w:type="paragraph" w:customStyle="1" w:styleId="content-new1">
    <w:name w:val="content-new1"/>
    <w:basedOn w:val="a"/>
    <w:rsid w:val="00362C75"/>
    <w:pPr>
      <w:spacing w:before="120" w:after="216"/>
    </w:pPr>
    <w:rPr>
      <w:b/>
      <w:bCs/>
    </w:rPr>
  </w:style>
  <w:style w:type="character" w:customStyle="1" w:styleId="code1">
    <w:name w:val="code1"/>
    <w:rsid w:val="00362C75"/>
    <w:rPr>
      <w:rFonts w:ascii="Lucida Console" w:hAnsi="Lucida Console" w:hint="default"/>
      <w:sz w:val="22"/>
      <w:szCs w:val="22"/>
      <w:shd w:val="clear" w:color="auto" w:fill="EDF1F3"/>
    </w:rPr>
  </w:style>
  <w:style w:type="paragraph" w:customStyle="1" w:styleId="content-border1">
    <w:name w:val="content-border1"/>
    <w:basedOn w:val="a"/>
    <w:rsid w:val="00362C75"/>
    <w:pPr>
      <w:pBdr>
        <w:top w:val="single" w:sz="4" w:space="0" w:color="AAAAAA"/>
        <w:left w:val="single" w:sz="4" w:space="0" w:color="AAAAAA"/>
        <w:bottom w:val="single" w:sz="4" w:space="0" w:color="AAAAAA"/>
        <w:right w:val="single" w:sz="4" w:space="0" w:color="AAAAAA"/>
      </w:pBdr>
      <w:spacing w:before="120" w:after="216"/>
    </w:pPr>
  </w:style>
  <w:style w:type="character" w:customStyle="1" w:styleId="sortablelistspan1">
    <w:name w:val="sortablelistspan1"/>
    <w:rsid w:val="00362C75"/>
    <w:rPr>
      <w:vanish w:val="0"/>
      <w:webHidden w:val="0"/>
      <w:shd w:val="clear" w:color="auto" w:fill="F0F0EE"/>
      <w:specVanish w:val="0"/>
    </w:rPr>
  </w:style>
  <w:style w:type="paragraph" w:customStyle="1" w:styleId="widget-preview1">
    <w:name w:val="widget-preview1"/>
    <w:basedOn w:val="a"/>
    <w:rsid w:val="00362C75"/>
    <w:pPr>
      <w:pBdr>
        <w:top w:val="single" w:sz="2" w:space="0" w:color="CCCCCC"/>
        <w:left w:val="single" w:sz="2" w:space="0" w:color="CCCCCC"/>
        <w:bottom w:val="single" w:sz="2" w:space="0" w:color="CCCCCC"/>
        <w:right w:val="single" w:sz="4" w:space="4" w:color="CCCCCC"/>
      </w:pBdr>
      <w:ind w:right="87"/>
    </w:pPr>
  </w:style>
  <w:style w:type="paragraph" w:customStyle="1" w:styleId="filefield-preview1">
    <w:name w:val="filefield-preview1"/>
    <w:basedOn w:val="a"/>
    <w:rsid w:val="00362C75"/>
    <w:pPr>
      <w:spacing w:before="120" w:after="216"/>
    </w:pPr>
  </w:style>
  <w:style w:type="paragraph" w:customStyle="1" w:styleId="form-item11">
    <w:name w:val="form-item11"/>
    <w:basedOn w:val="a"/>
    <w:rsid w:val="00362C75"/>
    <w:pPr>
      <w:spacing w:after="240"/>
    </w:pPr>
  </w:style>
  <w:style w:type="paragraph" w:customStyle="1" w:styleId="footnote-multi1">
    <w:name w:val="footnote-multi1"/>
    <w:basedOn w:val="a"/>
    <w:rsid w:val="00362C75"/>
    <w:pPr>
      <w:spacing w:before="120" w:after="216"/>
      <w:textAlignment w:val="top"/>
    </w:pPr>
    <w:rPr>
      <w:sz w:val="18"/>
      <w:szCs w:val="18"/>
    </w:rPr>
  </w:style>
  <w:style w:type="paragraph" w:customStyle="1" w:styleId="multicolumncheckboxesradios-column1">
    <w:name w:val="multicolumncheckboxesradios-column1"/>
    <w:basedOn w:val="a"/>
    <w:rsid w:val="00362C75"/>
    <w:pPr>
      <w:spacing w:before="120" w:after="216"/>
    </w:pPr>
  </w:style>
  <w:style w:type="paragraph" w:customStyle="1" w:styleId="description4">
    <w:name w:val="description4"/>
    <w:basedOn w:val="a"/>
    <w:rsid w:val="00362C75"/>
    <w:pPr>
      <w:spacing w:before="120" w:after="120"/>
      <w:ind w:left="120" w:right="120"/>
    </w:pPr>
  </w:style>
  <w:style w:type="paragraph" w:customStyle="1" w:styleId="topic-previous1">
    <w:name w:val="topic-previous1"/>
    <w:basedOn w:val="a"/>
    <w:rsid w:val="00362C75"/>
    <w:pPr>
      <w:spacing w:before="120" w:after="216"/>
      <w:jc w:val="right"/>
    </w:pPr>
  </w:style>
  <w:style w:type="paragraph" w:customStyle="1" w:styleId="topic-next1">
    <w:name w:val="topic-next1"/>
    <w:basedOn w:val="a"/>
    <w:rsid w:val="00362C75"/>
    <w:pPr>
      <w:spacing w:before="120" w:after="216"/>
    </w:pPr>
  </w:style>
  <w:style w:type="paragraph" w:customStyle="1" w:styleId="content1">
    <w:name w:val="content1"/>
    <w:basedOn w:val="a"/>
    <w:rsid w:val="00362C75"/>
    <w:pPr>
      <w:spacing w:before="120" w:after="216"/>
    </w:pPr>
  </w:style>
  <w:style w:type="paragraph" w:customStyle="1" w:styleId="views-exposed-widget1">
    <w:name w:val="views-exposed-widget1"/>
    <w:basedOn w:val="a"/>
    <w:rsid w:val="00362C75"/>
    <w:pPr>
      <w:spacing w:before="120" w:after="216"/>
    </w:pPr>
  </w:style>
  <w:style w:type="paragraph" w:customStyle="1" w:styleId="form-submit2">
    <w:name w:val="form-submit2"/>
    <w:basedOn w:val="a"/>
    <w:rsid w:val="00362C75"/>
    <w:pPr>
      <w:spacing w:before="131"/>
    </w:pPr>
  </w:style>
  <w:style w:type="paragraph" w:customStyle="1" w:styleId="form-item12">
    <w:name w:val="form-item12"/>
    <w:basedOn w:val="a"/>
    <w:rsid w:val="00362C75"/>
  </w:style>
  <w:style w:type="paragraph" w:customStyle="1" w:styleId="form-submit3">
    <w:name w:val="form-submit3"/>
    <w:basedOn w:val="a"/>
    <w:rsid w:val="00362C75"/>
  </w:style>
  <w:style w:type="character" w:customStyle="1" w:styleId="views-throbbing1">
    <w:name w:val="views-throbbing1"/>
    <w:basedOn w:val="a0"/>
    <w:rsid w:val="00362C75"/>
  </w:style>
  <w:style w:type="paragraph" w:customStyle="1" w:styleId="comment1">
    <w:name w:val="comment1"/>
    <w:basedOn w:val="a"/>
    <w:rsid w:val="00362C75"/>
    <w:pPr>
      <w:pBdr>
        <w:top w:val="single" w:sz="4" w:space="0" w:color="D3D3D3"/>
        <w:left w:val="single" w:sz="4" w:space="0" w:color="D3D3D3"/>
        <w:bottom w:val="single" w:sz="4" w:space="0" w:color="D3D3D3"/>
        <w:right w:val="single" w:sz="4" w:space="0" w:color="D3D3D3"/>
      </w:pBdr>
      <w:shd w:val="clear" w:color="auto" w:fill="FFFFEA"/>
      <w:spacing w:before="120" w:after="240"/>
    </w:pPr>
  </w:style>
  <w:style w:type="paragraph" w:customStyle="1" w:styleId="page01">
    <w:name w:val="page01"/>
    <w:basedOn w:val="a"/>
    <w:rsid w:val="00362C75"/>
    <w:pPr>
      <w:spacing w:before="120" w:after="216"/>
    </w:pPr>
  </w:style>
  <w:style w:type="paragraph" w:customStyle="1" w:styleId="sizer01">
    <w:name w:val="sizer01"/>
    <w:basedOn w:val="a"/>
    <w:rsid w:val="00362C75"/>
  </w:style>
  <w:style w:type="paragraph" w:customStyle="1" w:styleId="expander01">
    <w:name w:val="expander01"/>
    <w:basedOn w:val="a"/>
    <w:rsid w:val="00362C75"/>
    <w:pPr>
      <w:ind w:left="-4538" w:right="-4538"/>
    </w:pPr>
  </w:style>
  <w:style w:type="paragraph" w:customStyle="1" w:styleId="sizer02">
    <w:name w:val="sizer02"/>
    <w:basedOn w:val="a"/>
    <w:rsid w:val="00362C75"/>
  </w:style>
  <w:style w:type="paragraph" w:customStyle="1" w:styleId="sizer03">
    <w:name w:val="sizer03"/>
    <w:basedOn w:val="a"/>
    <w:rsid w:val="00362C75"/>
  </w:style>
  <w:style w:type="paragraph" w:customStyle="1" w:styleId="sizer04">
    <w:name w:val="sizer04"/>
    <w:basedOn w:val="a"/>
    <w:rsid w:val="00362C75"/>
  </w:style>
  <w:style w:type="paragraph" w:customStyle="1" w:styleId="outer1">
    <w:name w:val="outer1"/>
    <w:basedOn w:val="a"/>
    <w:rsid w:val="00362C75"/>
    <w:pPr>
      <w:spacing w:before="120" w:after="216"/>
      <w:ind w:left="1780" w:right="2426"/>
    </w:pPr>
  </w:style>
  <w:style w:type="paragraph" w:customStyle="1" w:styleId="outer2">
    <w:name w:val="outer2"/>
    <w:basedOn w:val="a"/>
    <w:rsid w:val="00362C75"/>
    <w:pPr>
      <w:spacing w:before="120" w:after="216"/>
      <w:ind w:left="2566"/>
    </w:pPr>
  </w:style>
  <w:style w:type="paragraph" w:customStyle="1" w:styleId="outer3">
    <w:name w:val="outer3"/>
    <w:basedOn w:val="a"/>
    <w:rsid w:val="00362C75"/>
    <w:pPr>
      <w:spacing w:before="120" w:after="216"/>
      <w:ind w:right="3002"/>
    </w:pPr>
  </w:style>
  <w:style w:type="paragraph" w:customStyle="1" w:styleId="colleft1">
    <w:name w:val="colleft1"/>
    <w:basedOn w:val="a"/>
    <w:rsid w:val="00362C75"/>
    <w:pPr>
      <w:spacing w:before="120" w:after="216"/>
      <w:ind w:left="-2566"/>
    </w:pPr>
  </w:style>
  <w:style w:type="paragraph" w:customStyle="1" w:styleId="colright1">
    <w:name w:val="colright1"/>
    <w:basedOn w:val="a"/>
    <w:rsid w:val="00362C75"/>
    <w:pPr>
      <w:spacing w:before="120" w:after="216"/>
      <w:ind w:right="-3002"/>
    </w:pPr>
  </w:style>
  <w:style w:type="paragraph" w:customStyle="1" w:styleId="outer4">
    <w:name w:val="outer4"/>
    <w:basedOn w:val="a"/>
    <w:rsid w:val="00362C75"/>
    <w:pPr>
      <w:spacing w:before="120" w:after="216"/>
      <w:ind w:left="1780" w:right="2426"/>
    </w:pPr>
  </w:style>
  <w:style w:type="paragraph" w:customStyle="1" w:styleId="outer5">
    <w:name w:val="outer5"/>
    <w:basedOn w:val="a"/>
    <w:rsid w:val="00362C75"/>
    <w:pPr>
      <w:spacing w:before="120" w:after="216"/>
      <w:ind w:left="1780"/>
    </w:pPr>
  </w:style>
  <w:style w:type="paragraph" w:customStyle="1" w:styleId="outer6">
    <w:name w:val="outer6"/>
    <w:basedOn w:val="a"/>
    <w:rsid w:val="00362C75"/>
    <w:pPr>
      <w:spacing w:before="120" w:after="216"/>
      <w:ind w:right="2426"/>
    </w:pPr>
  </w:style>
  <w:style w:type="paragraph" w:customStyle="1" w:styleId="colleft2">
    <w:name w:val="colleft2"/>
    <w:basedOn w:val="a"/>
    <w:rsid w:val="00362C75"/>
    <w:pPr>
      <w:spacing w:before="120" w:after="216"/>
      <w:ind w:left="-1780"/>
    </w:pPr>
  </w:style>
  <w:style w:type="paragraph" w:customStyle="1" w:styleId="colright2">
    <w:name w:val="colright2"/>
    <w:basedOn w:val="a"/>
    <w:rsid w:val="00362C75"/>
    <w:pPr>
      <w:spacing w:before="120" w:after="216"/>
      <w:ind w:right="-2426"/>
    </w:pPr>
  </w:style>
  <w:style w:type="paragraph" w:customStyle="1" w:styleId="colleft3">
    <w:name w:val="colleft3"/>
    <w:basedOn w:val="a"/>
    <w:rsid w:val="00362C75"/>
    <w:pPr>
      <w:spacing w:before="120" w:after="216"/>
      <w:ind w:left="-1606"/>
    </w:pPr>
  </w:style>
  <w:style w:type="paragraph" w:customStyle="1" w:styleId="colleft4">
    <w:name w:val="colleft4"/>
    <w:basedOn w:val="a"/>
    <w:rsid w:val="00362C75"/>
    <w:pPr>
      <w:spacing w:before="120" w:after="216"/>
      <w:ind w:left="-1606"/>
    </w:pPr>
  </w:style>
  <w:style w:type="paragraph" w:customStyle="1" w:styleId="colleft5">
    <w:name w:val="colleft5"/>
    <w:basedOn w:val="a"/>
    <w:rsid w:val="00362C75"/>
    <w:pPr>
      <w:spacing w:before="120" w:after="216"/>
      <w:ind w:left="-2391"/>
    </w:pPr>
  </w:style>
  <w:style w:type="paragraph" w:customStyle="1" w:styleId="colleft6">
    <w:name w:val="colleft6"/>
    <w:basedOn w:val="a"/>
    <w:rsid w:val="00362C75"/>
    <w:pPr>
      <w:spacing w:before="120" w:after="216"/>
      <w:ind w:left="-1606"/>
    </w:pPr>
  </w:style>
  <w:style w:type="paragraph" w:customStyle="1" w:styleId="colleft7">
    <w:name w:val="colleft7"/>
    <w:basedOn w:val="a"/>
    <w:rsid w:val="00362C75"/>
    <w:pPr>
      <w:spacing w:before="120" w:after="216"/>
      <w:ind w:left="-1606"/>
    </w:pPr>
  </w:style>
  <w:style w:type="paragraph" w:customStyle="1" w:styleId="colleft8">
    <w:name w:val="colleft8"/>
    <w:basedOn w:val="a"/>
    <w:rsid w:val="00362C75"/>
    <w:pPr>
      <w:spacing w:before="120" w:after="216"/>
      <w:ind w:left="-1606"/>
    </w:pPr>
  </w:style>
  <w:style w:type="paragraph" w:customStyle="1" w:styleId="colright3">
    <w:name w:val="colright3"/>
    <w:basedOn w:val="a"/>
    <w:rsid w:val="00362C75"/>
    <w:pPr>
      <w:spacing w:before="120" w:after="216"/>
      <w:ind w:right="-2252"/>
    </w:pPr>
  </w:style>
  <w:style w:type="paragraph" w:customStyle="1" w:styleId="colright4">
    <w:name w:val="colright4"/>
    <w:basedOn w:val="a"/>
    <w:rsid w:val="00362C75"/>
    <w:pPr>
      <w:spacing w:before="120" w:after="216"/>
      <w:ind w:right="-2828"/>
    </w:pPr>
  </w:style>
  <w:style w:type="paragraph" w:customStyle="1" w:styleId="colright5">
    <w:name w:val="colright5"/>
    <w:basedOn w:val="a"/>
    <w:rsid w:val="00362C75"/>
    <w:pPr>
      <w:spacing w:before="120" w:after="216"/>
      <w:ind w:right="-2252"/>
    </w:pPr>
  </w:style>
  <w:style w:type="paragraph" w:customStyle="1" w:styleId="colright6">
    <w:name w:val="colright6"/>
    <w:basedOn w:val="a"/>
    <w:rsid w:val="00362C75"/>
    <w:pPr>
      <w:spacing w:before="120" w:after="216"/>
      <w:ind w:right="-2252"/>
    </w:pPr>
  </w:style>
  <w:style w:type="paragraph" w:customStyle="1" w:styleId="colright7">
    <w:name w:val="colright7"/>
    <w:basedOn w:val="a"/>
    <w:rsid w:val="00362C75"/>
    <w:pPr>
      <w:spacing w:before="120" w:after="216"/>
      <w:ind w:right="-2252"/>
    </w:pPr>
  </w:style>
  <w:style w:type="paragraph" w:customStyle="1" w:styleId="colright8">
    <w:name w:val="colright8"/>
    <w:basedOn w:val="a"/>
    <w:rsid w:val="00362C75"/>
    <w:pPr>
      <w:spacing w:before="120" w:after="216"/>
      <w:ind w:right="-2252"/>
    </w:pPr>
  </w:style>
  <w:style w:type="paragraph" w:customStyle="1" w:styleId="outer7">
    <w:name w:val="outer7"/>
    <w:basedOn w:val="a"/>
    <w:rsid w:val="00362C75"/>
    <w:pPr>
      <w:spacing w:before="120" w:after="216"/>
      <w:ind w:left="1606" w:right="2252"/>
    </w:pPr>
  </w:style>
  <w:style w:type="paragraph" w:customStyle="1" w:styleId="outer8">
    <w:name w:val="outer8"/>
    <w:basedOn w:val="a"/>
    <w:rsid w:val="00362C75"/>
    <w:pPr>
      <w:spacing w:before="120" w:after="216"/>
      <w:ind w:left="2391"/>
    </w:pPr>
  </w:style>
  <w:style w:type="paragraph" w:customStyle="1" w:styleId="outer9">
    <w:name w:val="outer9"/>
    <w:basedOn w:val="a"/>
    <w:rsid w:val="00362C75"/>
    <w:pPr>
      <w:spacing w:before="120" w:after="216"/>
      <w:ind w:right="2828"/>
    </w:pPr>
  </w:style>
  <w:style w:type="paragraph" w:customStyle="1" w:styleId="outer10">
    <w:name w:val="outer10"/>
    <w:basedOn w:val="a"/>
    <w:rsid w:val="00362C75"/>
    <w:pPr>
      <w:spacing w:before="120" w:after="216"/>
      <w:ind w:left="1606" w:right="2252"/>
    </w:pPr>
  </w:style>
  <w:style w:type="paragraph" w:customStyle="1" w:styleId="outer11">
    <w:name w:val="outer11"/>
    <w:basedOn w:val="a"/>
    <w:rsid w:val="00362C75"/>
    <w:pPr>
      <w:spacing w:before="120" w:after="216"/>
      <w:ind w:left="1606"/>
    </w:pPr>
  </w:style>
  <w:style w:type="paragraph" w:customStyle="1" w:styleId="outer12">
    <w:name w:val="outer12"/>
    <w:basedOn w:val="a"/>
    <w:rsid w:val="00362C75"/>
    <w:pPr>
      <w:spacing w:before="120" w:after="216"/>
      <w:ind w:right="2252"/>
    </w:pPr>
  </w:style>
  <w:style w:type="paragraph" w:customStyle="1" w:styleId="colleft9">
    <w:name w:val="colleft9"/>
    <w:basedOn w:val="a"/>
    <w:rsid w:val="00362C75"/>
    <w:pPr>
      <w:spacing w:before="120" w:after="216"/>
      <w:ind w:left="-1737"/>
    </w:pPr>
  </w:style>
  <w:style w:type="paragraph" w:customStyle="1" w:styleId="colleft10">
    <w:name w:val="colleft10"/>
    <w:basedOn w:val="a"/>
    <w:rsid w:val="00362C75"/>
    <w:pPr>
      <w:spacing w:before="120" w:after="216"/>
      <w:ind w:left="-1737"/>
    </w:pPr>
  </w:style>
  <w:style w:type="paragraph" w:customStyle="1" w:styleId="colleft11">
    <w:name w:val="colleft11"/>
    <w:basedOn w:val="a"/>
    <w:rsid w:val="00362C75"/>
    <w:pPr>
      <w:spacing w:before="120" w:after="216"/>
      <w:ind w:left="-1737"/>
    </w:pPr>
  </w:style>
  <w:style w:type="paragraph" w:customStyle="1" w:styleId="colright9">
    <w:name w:val="colright9"/>
    <w:basedOn w:val="a"/>
    <w:rsid w:val="00362C75"/>
    <w:pPr>
      <w:spacing w:before="120" w:after="216"/>
      <w:ind w:right="-1737"/>
    </w:pPr>
  </w:style>
  <w:style w:type="paragraph" w:customStyle="1" w:styleId="colright10">
    <w:name w:val="colright10"/>
    <w:basedOn w:val="a"/>
    <w:rsid w:val="00362C75"/>
    <w:pPr>
      <w:spacing w:before="120" w:after="216"/>
      <w:ind w:right="-1737"/>
    </w:pPr>
  </w:style>
  <w:style w:type="paragraph" w:customStyle="1" w:styleId="colright11">
    <w:name w:val="colright11"/>
    <w:basedOn w:val="a"/>
    <w:rsid w:val="00362C75"/>
    <w:pPr>
      <w:spacing w:before="120" w:after="216"/>
      <w:ind w:right="-1737"/>
    </w:pPr>
  </w:style>
  <w:style w:type="paragraph" w:customStyle="1" w:styleId="outer13">
    <w:name w:val="outer13"/>
    <w:basedOn w:val="a"/>
    <w:rsid w:val="00362C75"/>
    <w:pPr>
      <w:spacing w:before="120" w:after="216"/>
      <w:ind w:left="1737" w:right="1737"/>
    </w:pPr>
  </w:style>
  <w:style w:type="paragraph" w:customStyle="1" w:styleId="outer14">
    <w:name w:val="outer14"/>
    <w:basedOn w:val="a"/>
    <w:rsid w:val="00362C75"/>
    <w:pPr>
      <w:spacing w:before="120" w:after="216"/>
      <w:ind w:left="1737"/>
    </w:pPr>
  </w:style>
  <w:style w:type="paragraph" w:customStyle="1" w:styleId="outer15">
    <w:name w:val="outer15"/>
    <w:basedOn w:val="a"/>
    <w:rsid w:val="00362C75"/>
    <w:pPr>
      <w:spacing w:before="120" w:after="216"/>
      <w:ind w:right="1737"/>
    </w:pPr>
  </w:style>
  <w:style w:type="paragraph" w:customStyle="1" w:styleId="links2">
    <w:name w:val="links2"/>
    <w:basedOn w:val="a"/>
    <w:rsid w:val="00362C75"/>
    <w:rPr>
      <w:color w:val="3F3F3F"/>
    </w:rPr>
  </w:style>
  <w:style w:type="paragraph" w:customStyle="1" w:styleId="block1">
    <w:name w:val="block1"/>
    <w:basedOn w:val="a"/>
    <w:rsid w:val="00362C75"/>
    <w:pPr>
      <w:spacing w:before="120" w:after="131"/>
    </w:pPr>
  </w:style>
  <w:style w:type="paragraph" w:customStyle="1" w:styleId="box1">
    <w:name w:val="box1"/>
    <w:basedOn w:val="a"/>
    <w:rsid w:val="00362C75"/>
    <w:pPr>
      <w:spacing w:before="120" w:after="131"/>
    </w:pPr>
  </w:style>
  <w:style w:type="paragraph" w:customStyle="1" w:styleId="title3">
    <w:name w:val="title3"/>
    <w:basedOn w:val="a"/>
    <w:rsid w:val="00362C75"/>
    <w:pPr>
      <w:spacing w:after="60"/>
    </w:pPr>
    <w:rPr>
      <w:b/>
      <w:bCs/>
      <w:caps/>
      <w:color w:val="777777"/>
    </w:rPr>
  </w:style>
  <w:style w:type="paragraph" w:customStyle="1" w:styleId="content2">
    <w:name w:val="content2"/>
    <w:basedOn w:val="a"/>
    <w:rsid w:val="00362C75"/>
  </w:style>
  <w:style w:type="paragraph" w:customStyle="1" w:styleId="content3">
    <w:name w:val="content3"/>
    <w:basedOn w:val="a"/>
    <w:rsid w:val="00362C75"/>
    <w:pPr>
      <w:spacing w:before="120" w:after="120"/>
    </w:pPr>
  </w:style>
  <w:style w:type="paragraph" w:customStyle="1" w:styleId="content4">
    <w:name w:val="content4"/>
    <w:basedOn w:val="a"/>
    <w:rsid w:val="00362C75"/>
    <w:pPr>
      <w:spacing w:before="120" w:after="120"/>
    </w:pPr>
  </w:style>
  <w:style w:type="paragraph" w:customStyle="1" w:styleId="terms1">
    <w:name w:val="terms1"/>
    <w:basedOn w:val="a"/>
    <w:rsid w:val="00362C75"/>
    <w:pPr>
      <w:spacing w:before="120" w:after="216"/>
    </w:pPr>
    <w:rPr>
      <w:color w:val="777777"/>
      <w:sz w:val="19"/>
      <w:szCs w:val="19"/>
    </w:rPr>
  </w:style>
  <w:style w:type="paragraph" w:customStyle="1" w:styleId="title4">
    <w:name w:val="title4"/>
    <w:basedOn w:val="a"/>
    <w:rsid w:val="00362C75"/>
    <w:rPr>
      <w:color w:val="777777"/>
    </w:rPr>
  </w:style>
  <w:style w:type="paragraph" w:customStyle="1" w:styleId="new1">
    <w:name w:val="new1"/>
    <w:basedOn w:val="a"/>
    <w:rsid w:val="00362C75"/>
    <w:pPr>
      <w:spacing w:before="120" w:after="216"/>
      <w:jc w:val="right"/>
    </w:pPr>
    <w:rPr>
      <w:b/>
      <w:bCs/>
      <w:color w:val="FF0000"/>
      <w:sz w:val="19"/>
      <w:szCs w:val="19"/>
    </w:rPr>
  </w:style>
  <w:style w:type="paragraph" w:customStyle="1" w:styleId="picture2">
    <w:name w:val="picture2"/>
    <w:basedOn w:val="a"/>
    <w:rsid w:val="00362C75"/>
    <w:pPr>
      <w:spacing w:before="120" w:after="216"/>
    </w:pPr>
  </w:style>
  <w:style w:type="paragraph" w:customStyle="1" w:styleId="picture3">
    <w:name w:val="picture3"/>
    <w:basedOn w:val="a"/>
    <w:rsid w:val="00362C75"/>
    <w:pPr>
      <w:spacing w:before="120" w:after="216"/>
    </w:pPr>
  </w:style>
  <w:style w:type="paragraph" w:customStyle="1" w:styleId="left1">
    <w:name w:val="left1"/>
    <w:basedOn w:val="a"/>
    <w:rsid w:val="00362C75"/>
  </w:style>
  <w:style w:type="paragraph" w:customStyle="1" w:styleId="right1">
    <w:name w:val="right1"/>
    <w:basedOn w:val="a"/>
    <w:rsid w:val="00362C75"/>
  </w:style>
  <w:style w:type="paragraph" w:customStyle="1" w:styleId="title5">
    <w:name w:val="title5"/>
    <w:basedOn w:val="a"/>
    <w:rsid w:val="00362C75"/>
    <w:pPr>
      <w:spacing w:after="60"/>
    </w:pPr>
    <w:rPr>
      <w:b/>
      <w:bCs/>
      <w:caps/>
      <w:vanish/>
      <w:color w:val="777777"/>
    </w:rPr>
  </w:style>
  <w:style w:type="paragraph" w:customStyle="1" w:styleId="title6">
    <w:name w:val="title6"/>
    <w:basedOn w:val="a"/>
    <w:rsid w:val="00362C75"/>
    <w:pPr>
      <w:spacing w:after="60"/>
    </w:pPr>
    <w:rPr>
      <w:b/>
      <w:bCs/>
      <w:caps/>
      <w:vanish/>
      <w:color w:val="777777"/>
    </w:rPr>
  </w:style>
  <w:style w:type="paragraph" w:customStyle="1" w:styleId="title7">
    <w:name w:val="title7"/>
    <w:basedOn w:val="a"/>
    <w:rsid w:val="00362C75"/>
    <w:pPr>
      <w:spacing w:after="60"/>
    </w:pPr>
    <w:rPr>
      <w:b/>
      <w:bCs/>
      <w:caps/>
      <w:vanish/>
      <w:color w:val="777777"/>
    </w:rPr>
  </w:style>
  <w:style w:type="paragraph" w:customStyle="1" w:styleId="block2">
    <w:name w:val="block2"/>
    <w:basedOn w:val="a"/>
    <w:rsid w:val="00362C75"/>
  </w:style>
  <w:style w:type="paragraph" w:customStyle="1" w:styleId="content5">
    <w:name w:val="content5"/>
    <w:basedOn w:val="a"/>
    <w:rsid w:val="00362C75"/>
  </w:style>
  <w:style w:type="paragraph" w:customStyle="1" w:styleId="form-text4">
    <w:name w:val="form-tex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form-submit4">
    <w:name w:val="form-submit4"/>
    <w:basedOn w:val="a"/>
    <w:rsid w:val="00362C75"/>
    <w:pPr>
      <w:pBdr>
        <w:top w:val="single" w:sz="4" w:space="0" w:color="555555"/>
        <w:left w:val="single" w:sz="4" w:space="0" w:color="555555"/>
        <w:bottom w:val="single" w:sz="4" w:space="0" w:color="555555"/>
        <w:right w:val="single" w:sz="4" w:space="0" w:color="555555"/>
      </w:pBdr>
      <w:spacing w:before="120" w:after="216"/>
      <w:textAlignment w:val="center"/>
    </w:pPr>
  </w:style>
  <w:style w:type="paragraph" w:customStyle="1" w:styleId="breadcrumb1">
    <w:name w:val="breadcrumb1"/>
    <w:basedOn w:val="a"/>
    <w:rsid w:val="00362C75"/>
    <w:pPr>
      <w:spacing w:before="120" w:after="216"/>
    </w:pPr>
  </w:style>
  <w:style w:type="paragraph" w:customStyle="1" w:styleId="block3">
    <w:name w:val="block3"/>
    <w:basedOn w:val="a"/>
    <w:rsid w:val="00362C75"/>
    <w:pPr>
      <w:spacing w:before="131"/>
    </w:pPr>
  </w:style>
  <w:style w:type="paragraph" w:customStyle="1" w:styleId="block4">
    <w:name w:val="block4"/>
    <w:basedOn w:val="a"/>
    <w:rsid w:val="00362C75"/>
    <w:pPr>
      <w:spacing w:before="120" w:after="120"/>
    </w:pPr>
  </w:style>
  <w:style w:type="paragraph" w:customStyle="1" w:styleId="block5">
    <w:name w:val="block5"/>
    <w:basedOn w:val="a"/>
    <w:rsid w:val="00362C75"/>
    <w:pPr>
      <w:spacing w:after="87"/>
    </w:pPr>
  </w:style>
  <w:style w:type="paragraph" w:customStyle="1" w:styleId="content6">
    <w:name w:val="content6"/>
    <w:basedOn w:val="a"/>
    <w:rsid w:val="00362C75"/>
    <w:pPr>
      <w:spacing w:after="87"/>
    </w:pPr>
  </w:style>
  <w:style w:type="paragraph" w:customStyle="1" w:styleId="content7">
    <w:name w:val="content7"/>
    <w:basedOn w:val="a"/>
    <w:rsid w:val="00362C75"/>
    <w:pPr>
      <w:spacing w:before="120" w:after="216"/>
    </w:pPr>
  </w:style>
  <w:style w:type="paragraph" w:customStyle="1" w:styleId="content8">
    <w:name w:val="content8"/>
    <w:basedOn w:val="a"/>
    <w:rsid w:val="00362C75"/>
    <w:pPr>
      <w:spacing w:before="120" w:after="216"/>
    </w:pPr>
  </w:style>
  <w:style w:type="paragraph" w:customStyle="1" w:styleId="content9">
    <w:name w:val="content9"/>
    <w:basedOn w:val="a"/>
    <w:rsid w:val="00362C75"/>
    <w:pPr>
      <w:spacing w:before="120" w:after="216"/>
    </w:pPr>
  </w:style>
  <w:style w:type="paragraph" w:customStyle="1" w:styleId="block6">
    <w:name w:val="block6"/>
    <w:basedOn w:val="a"/>
    <w:rsid w:val="00362C75"/>
  </w:style>
  <w:style w:type="paragraph" w:customStyle="1" w:styleId="categories1">
    <w:name w:val="categories1"/>
    <w:basedOn w:val="a"/>
    <w:rsid w:val="00362C75"/>
    <w:pPr>
      <w:spacing w:before="120" w:after="216"/>
    </w:pPr>
    <w:rPr>
      <w:i/>
      <w:iCs/>
      <w:color w:val="777777"/>
    </w:rPr>
  </w:style>
  <w:style w:type="paragraph" w:customStyle="1" w:styleId="source1">
    <w:name w:val="source1"/>
    <w:basedOn w:val="a"/>
    <w:rsid w:val="00362C75"/>
    <w:pPr>
      <w:spacing w:before="120" w:after="216"/>
    </w:pPr>
    <w:rPr>
      <w:i/>
      <w:iCs/>
      <w:color w:val="777777"/>
    </w:rPr>
  </w:style>
  <w:style w:type="paragraph" w:customStyle="1" w:styleId="age1">
    <w:name w:val="age1"/>
    <w:basedOn w:val="a"/>
    <w:rsid w:val="00362C75"/>
    <w:pPr>
      <w:spacing w:before="120" w:after="216"/>
    </w:pPr>
    <w:rPr>
      <w:i/>
      <w:iCs/>
      <w:color w:val="777777"/>
    </w:rPr>
  </w:style>
  <w:style w:type="paragraph" w:customStyle="1" w:styleId="feed-source1">
    <w:name w:val="feed-source1"/>
    <w:basedOn w:val="a"/>
    <w:rsid w:val="00362C75"/>
    <w:pPr>
      <w:pBdr>
        <w:top w:val="single" w:sz="4" w:space="0" w:color="CCCCCC"/>
        <w:left w:val="single" w:sz="4" w:space="0" w:color="CCCCCC"/>
        <w:bottom w:val="single" w:sz="4" w:space="0" w:color="CCCCCC"/>
        <w:right w:val="single" w:sz="4" w:space="0" w:color="CCCCCC"/>
      </w:pBdr>
      <w:shd w:val="clear" w:color="auto" w:fill="EEEEEE"/>
      <w:spacing w:before="240" w:after="240"/>
    </w:pPr>
  </w:style>
  <w:style w:type="paragraph" w:customStyle="1" w:styleId="title8">
    <w:name w:val="title8"/>
    <w:basedOn w:val="a"/>
    <w:rsid w:val="00362C75"/>
    <w:pPr>
      <w:spacing w:after="120"/>
    </w:pPr>
    <w:rPr>
      <w:color w:val="777777"/>
    </w:rPr>
  </w:style>
  <w:style w:type="paragraph" w:customStyle="1" w:styleId="links3">
    <w:name w:val="links3"/>
    <w:basedOn w:val="a"/>
    <w:rsid w:val="00362C75"/>
    <w:rPr>
      <w:color w:val="3F3F3F"/>
    </w:rPr>
  </w:style>
  <w:style w:type="paragraph" w:customStyle="1" w:styleId="profile1">
    <w:name w:val="profile1"/>
    <w:basedOn w:val="a"/>
    <w:rsid w:val="00362C75"/>
    <w:pPr>
      <w:pBdr>
        <w:top w:val="single" w:sz="4" w:space="0" w:color="AABBCC"/>
        <w:left w:val="single" w:sz="4" w:space="0" w:color="AABBCC"/>
        <w:bottom w:val="single" w:sz="4" w:space="0" w:color="AABBCC"/>
        <w:right w:val="single" w:sz="4" w:space="0" w:color="AABBCC"/>
      </w:pBdr>
      <w:spacing w:before="240" w:after="240"/>
    </w:pPr>
  </w:style>
  <w:style w:type="paragraph" w:customStyle="1" w:styleId="name1">
    <w:name w:val="name1"/>
    <w:basedOn w:val="a"/>
    <w:rsid w:val="00362C75"/>
    <w:pPr>
      <w:spacing w:before="120" w:after="216"/>
    </w:pPr>
  </w:style>
  <w:style w:type="paragraph" w:customStyle="1" w:styleId="content10">
    <w:name w:val="content10"/>
    <w:basedOn w:val="a"/>
    <w:rsid w:val="00362C75"/>
    <w:pPr>
      <w:spacing w:before="120" w:after="216"/>
      <w:jc w:val="center"/>
    </w:pPr>
  </w:style>
  <w:style w:type="paragraph" w:customStyle="1" w:styleId="content11">
    <w:name w:val="content11"/>
    <w:basedOn w:val="a"/>
    <w:rsid w:val="00362C75"/>
    <w:pPr>
      <w:spacing w:before="120" w:after="216"/>
      <w:jc w:val="center"/>
    </w:pPr>
  </w:style>
  <w:style w:type="paragraph" w:customStyle="1" w:styleId="item-list1">
    <w:name w:val="item-list1"/>
    <w:basedOn w:val="a"/>
    <w:rsid w:val="00362C75"/>
    <w:pPr>
      <w:spacing w:before="120" w:after="216"/>
    </w:pPr>
  </w:style>
  <w:style w:type="paragraph" w:customStyle="1" w:styleId="title9">
    <w:name w:val="title9"/>
    <w:basedOn w:val="a"/>
    <w:rsid w:val="00362C75"/>
    <w:pPr>
      <w:jc w:val="right"/>
    </w:pPr>
    <w:rPr>
      <w:color w:val="777777"/>
    </w:rPr>
  </w:style>
  <w:style w:type="paragraph" w:customStyle="1" w:styleId="title10">
    <w:name w:val="title10"/>
    <w:basedOn w:val="a"/>
    <w:rsid w:val="00362C75"/>
    <w:pPr>
      <w:jc w:val="right"/>
    </w:pPr>
    <w:rPr>
      <w:color w:val="777777"/>
    </w:rPr>
  </w:style>
  <w:style w:type="paragraph" w:customStyle="1" w:styleId="block-icon1">
    <w:name w:val="block-icon1"/>
    <w:basedOn w:val="a"/>
    <w:rsid w:val="00362C75"/>
    <w:pPr>
      <w:spacing w:before="120" w:after="216"/>
    </w:pPr>
  </w:style>
  <w:style w:type="paragraph" w:customStyle="1" w:styleId="block-icon2">
    <w:name w:val="block-icon2"/>
    <w:basedOn w:val="a"/>
    <w:rsid w:val="00362C75"/>
    <w:pPr>
      <w:spacing w:before="120" w:after="216"/>
    </w:pPr>
  </w:style>
  <w:style w:type="paragraph" w:customStyle="1" w:styleId="block-icon3">
    <w:name w:val="block-icon3"/>
    <w:basedOn w:val="a"/>
    <w:rsid w:val="00362C75"/>
    <w:pPr>
      <w:spacing w:before="120" w:after="216"/>
    </w:pPr>
  </w:style>
  <w:style w:type="paragraph" w:customStyle="1" w:styleId="block-icon4">
    <w:name w:val="block-icon4"/>
    <w:basedOn w:val="a"/>
    <w:rsid w:val="00362C75"/>
    <w:pPr>
      <w:spacing w:before="120" w:after="216"/>
    </w:pPr>
  </w:style>
  <w:style w:type="paragraph" w:customStyle="1" w:styleId="block-icon5">
    <w:name w:val="block-icon5"/>
    <w:basedOn w:val="a"/>
    <w:rsid w:val="00362C75"/>
    <w:pPr>
      <w:spacing w:before="120" w:after="216"/>
    </w:pPr>
  </w:style>
  <w:style w:type="paragraph" w:customStyle="1" w:styleId="block-icon6">
    <w:name w:val="block-icon6"/>
    <w:basedOn w:val="a"/>
    <w:rsid w:val="00362C75"/>
    <w:pPr>
      <w:spacing w:before="120" w:after="216"/>
    </w:pPr>
  </w:style>
  <w:style w:type="paragraph" w:customStyle="1" w:styleId="block-icon7">
    <w:name w:val="block-icon7"/>
    <w:basedOn w:val="a"/>
    <w:rsid w:val="00362C75"/>
    <w:pPr>
      <w:spacing w:before="120" w:after="216"/>
    </w:pPr>
  </w:style>
  <w:style w:type="paragraph" w:customStyle="1" w:styleId="block-icon8">
    <w:name w:val="block-icon8"/>
    <w:basedOn w:val="a"/>
    <w:rsid w:val="00362C75"/>
    <w:pPr>
      <w:spacing w:before="120" w:after="216"/>
    </w:pPr>
  </w:style>
  <w:style w:type="paragraph" w:customStyle="1" w:styleId="block-icon9">
    <w:name w:val="block-icon9"/>
    <w:basedOn w:val="a"/>
    <w:rsid w:val="00362C75"/>
    <w:pPr>
      <w:spacing w:before="120" w:after="216"/>
    </w:pPr>
  </w:style>
  <w:style w:type="paragraph" w:customStyle="1" w:styleId="block-icon10">
    <w:name w:val="block-icon10"/>
    <w:basedOn w:val="a"/>
    <w:rsid w:val="00362C75"/>
    <w:pPr>
      <w:spacing w:before="120" w:after="216"/>
    </w:pPr>
  </w:style>
  <w:style w:type="paragraph" w:customStyle="1" w:styleId="block-icon11">
    <w:name w:val="block-icon11"/>
    <w:basedOn w:val="a"/>
    <w:rsid w:val="00362C75"/>
    <w:pPr>
      <w:spacing w:before="120" w:after="216"/>
    </w:pPr>
  </w:style>
  <w:style w:type="paragraph" w:customStyle="1" w:styleId="block-icon12">
    <w:name w:val="block-icon12"/>
    <w:basedOn w:val="a"/>
    <w:rsid w:val="00362C75"/>
    <w:pPr>
      <w:spacing w:before="120" w:after="216"/>
    </w:pPr>
  </w:style>
  <w:style w:type="paragraph" w:customStyle="1" w:styleId="block-icon13">
    <w:name w:val="block-icon13"/>
    <w:basedOn w:val="a"/>
    <w:rsid w:val="00362C75"/>
    <w:pPr>
      <w:spacing w:before="120" w:after="216"/>
    </w:pPr>
  </w:style>
  <w:style w:type="paragraph" w:customStyle="1" w:styleId="block-icon14">
    <w:name w:val="block-icon14"/>
    <w:basedOn w:val="a"/>
    <w:rsid w:val="00362C75"/>
    <w:pPr>
      <w:spacing w:before="120" w:after="216"/>
    </w:pPr>
  </w:style>
  <w:style w:type="paragraph" w:customStyle="1" w:styleId="block-icon15">
    <w:name w:val="block-icon15"/>
    <w:basedOn w:val="a"/>
    <w:rsid w:val="00362C75"/>
    <w:pPr>
      <w:spacing w:before="120" w:after="216"/>
    </w:pPr>
  </w:style>
  <w:style w:type="paragraph" w:customStyle="1" w:styleId="block-icon16">
    <w:name w:val="block-icon16"/>
    <w:basedOn w:val="a"/>
    <w:rsid w:val="00362C75"/>
    <w:pPr>
      <w:spacing w:before="120" w:after="216"/>
    </w:pPr>
  </w:style>
  <w:style w:type="paragraph" w:customStyle="1" w:styleId="block-icon17">
    <w:name w:val="block-icon17"/>
    <w:basedOn w:val="a"/>
    <w:rsid w:val="00362C75"/>
    <w:pPr>
      <w:spacing w:before="120" w:after="216"/>
    </w:pPr>
  </w:style>
  <w:style w:type="paragraph" w:customStyle="1" w:styleId="block-icon18">
    <w:name w:val="block-icon18"/>
    <w:basedOn w:val="a"/>
    <w:rsid w:val="00362C75"/>
    <w:pPr>
      <w:spacing w:before="120" w:after="216"/>
    </w:pPr>
  </w:style>
  <w:style w:type="paragraph" w:customStyle="1" w:styleId="block-icon19">
    <w:name w:val="block-icon19"/>
    <w:basedOn w:val="a"/>
    <w:rsid w:val="00362C75"/>
    <w:pPr>
      <w:spacing w:before="120" w:after="216"/>
    </w:pPr>
  </w:style>
  <w:style w:type="paragraph" w:customStyle="1" w:styleId="block-icon20">
    <w:name w:val="block-icon20"/>
    <w:basedOn w:val="a"/>
    <w:rsid w:val="00362C75"/>
    <w:pPr>
      <w:spacing w:before="120" w:after="216"/>
    </w:pPr>
  </w:style>
  <w:style w:type="paragraph" w:customStyle="1" w:styleId="block-icon21">
    <w:name w:val="block-icon21"/>
    <w:basedOn w:val="a"/>
    <w:rsid w:val="00362C75"/>
    <w:pPr>
      <w:spacing w:before="120" w:after="216"/>
    </w:pPr>
  </w:style>
  <w:style w:type="paragraph" w:customStyle="1" w:styleId="block-icon22">
    <w:name w:val="block-icon22"/>
    <w:basedOn w:val="a"/>
    <w:rsid w:val="00362C75"/>
    <w:pPr>
      <w:spacing w:before="120" w:after="216"/>
    </w:pPr>
  </w:style>
  <w:style w:type="paragraph" w:customStyle="1" w:styleId="block-icon23">
    <w:name w:val="block-icon23"/>
    <w:basedOn w:val="a"/>
    <w:rsid w:val="00362C75"/>
    <w:pPr>
      <w:spacing w:before="120" w:after="216"/>
    </w:pPr>
  </w:style>
  <w:style w:type="paragraph" w:customStyle="1" w:styleId="block-icon24">
    <w:name w:val="block-icon24"/>
    <w:basedOn w:val="a"/>
    <w:rsid w:val="00362C75"/>
    <w:pPr>
      <w:spacing w:before="120" w:after="216"/>
    </w:pPr>
  </w:style>
  <w:style w:type="paragraph" w:customStyle="1" w:styleId="block-icon25">
    <w:name w:val="block-icon25"/>
    <w:basedOn w:val="a"/>
    <w:rsid w:val="00362C75"/>
    <w:pPr>
      <w:spacing w:before="120" w:after="216"/>
    </w:pPr>
  </w:style>
  <w:style w:type="paragraph" w:customStyle="1" w:styleId="block-icon26">
    <w:name w:val="block-icon26"/>
    <w:basedOn w:val="a"/>
    <w:rsid w:val="00362C75"/>
    <w:pPr>
      <w:spacing w:before="120" w:after="216"/>
    </w:pPr>
  </w:style>
  <w:style w:type="paragraph" w:customStyle="1" w:styleId="block-icon27">
    <w:name w:val="block-icon27"/>
    <w:basedOn w:val="a"/>
    <w:rsid w:val="00362C75"/>
    <w:pPr>
      <w:spacing w:before="120" w:after="216"/>
    </w:pPr>
  </w:style>
  <w:style w:type="paragraph" w:customStyle="1" w:styleId="block-icon28">
    <w:name w:val="block-icon28"/>
    <w:basedOn w:val="a"/>
    <w:rsid w:val="00362C75"/>
    <w:pPr>
      <w:spacing w:before="120" w:after="216"/>
    </w:pPr>
  </w:style>
  <w:style w:type="paragraph" w:customStyle="1" w:styleId="block-icon29">
    <w:name w:val="block-icon29"/>
    <w:basedOn w:val="a"/>
    <w:rsid w:val="00362C75"/>
    <w:pPr>
      <w:spacing w:before="120" w:after="216"/>
    </w:pPr>
  </w:style>
  <w:style w:type="paragraph" w:customStyle="1" w:styleId="block-icon30">
    <w:name w:val="block-icon30"/>
    <w:basedOn w:val="a"/>
    <w:rsid w:val="00362C75"/>
    <w:pPr>
      <w:spacing w:before="120" w:after="216"/>
    </w:pPr>
  </w:style>
  <w:style w:type="paragraph" w:customStyle="1" w:styleId="block-icon31">
    <w:name w:val="block-icon31"/>
    <w:basedOn w:val="a"/>
    <w:rsid w:val="00362C75"/>
    <w:pPr>
      <w:spacing w:before="120" w:after="216"/>
    </w:pPr>
  </w:style>
  <w:style w:type="paragraph" w:customStyle="1" w:styleId="block-icon32">
    <w:name w:val="block-icon32"/>
    <w:basedOn w:val="a"/>
    <w:rsid w:val="00362C75"/>
    <w:pPr>
      <w:spacing w:before="120" w:after="216"/>
    </w:pPr>
  </w:style>
  <w:style w:type="paragraph" w:customStyle="1" w:styleId="block-icon33">
    <w:name w:val="block-icon33"/>
    <w:basedOn w:val="a"/>
    <w:rsid w:val="00362C75"/>
    <w:pPr>
      <w:spacing w:before="120" w:after="216"/>
    </w:pPr>
  </w:style>
  <w:style w:type="paragraph" w:customStyle="1" w:styleId="block-icon34">
    <w:name w:val="block-icon34"/>
    <w:basedOn w:val="a"/>
    <w:rsid w:val="00362C75"/>
    <w:pPr>
      <w:spacing w:before="120" w:after="216"/>
    </w:pPr>
  </w:style>
  <w:style w:type="paragraph" w:customStyle="1" w:styleId="block-icon35">
    <w:name w:val="block-icon35"/>
    <w:basedOn w:val="a"/>
    <w:rsid w:val="00362C75"/>
    <w:pPr>
      <w:spacing w:before="120" w:after="216"/>
    </w:pPr>
  </w:style>
  <w:style w:type="paragraph" w:customStyle="1" w:styleId="block-icon36">
    <w:name w:val="block-icon36"/>
    <w:basedOn w:val="a"/>
    <w:rsid w:val="00362C75"/>
    <w:pPr>
      <w:spacing w:before="120" w:after="216"/>
    </w:pPr>
  </w:style>
  <w:style w:type="paragraph" w:customStyle="1" w:styleId="block-icon37">
    <w:name w:val="block-icon37"/>
    <w:basedOn w:val="a"/>
    <w:rsid w:val="00362C75"/>
    <w:pPr>
      <w:spacing w:before="120" w:after="216"/>
    </w:pPr>
  </w:style>
  <w:style w:type="paragraph" w:customStyle="1" w:styleId="block-icon38">
    <w:name w:val="block-icon38"/>
    <w:basedOn w:val="a"/>
    <w:rsid w:val="00362C75"/>
    <w:pPr>
      <w:spacing w:before="120" w:after="216"/>
    </w:pPr>
  </w:style>
  <w:style w:type="paragraph" w:customStyle="1" w:styleId="block-icon39">
    <w:name w:val="block-icon39"/>
    <w:basedOn w:val="a"/>
    <w:rsid w:val="00362C75"/>
    <w:pPr>
      <w:spacing w:before="120" w:after="216"/>
    </w:pPr>
  </w:style>
  <w:style w:type="paragraph" w:customStyle="1" w:styleId="block-icon40">
    <w:name w:val="block-icon40"/>
    <w:basedOn w:val="a"/>
    <w:rsid w:val="00362C75"/>
    <w:pPr>
      <w:spacing w:before="120" w:after="216"/>
    </w:pPr>
  </w:style>
  <w:style w:type="paragraph" w:customStyle="1" w:styleId="block-icon41">
    <w:name w:val="block-icon41"/>
    <w:basedOn w:val="a"/>
    <w:rsid w:val="00362C75"/>
    <w:pPr>
      <w:spacing w:before="120" w:after="216"/>
    </w:pPr>
  </w:style>
  <w:style w:type="paragraph" w:customStyle="1" w:styleId="block-icon42">
    <w:name w:val="block-icon42"/>
    <w:basedOn w:val="a"/>
    <w:rsid w:val="00362C75"/>
    <w:pPr>
      <w:spacing w:before="120" w:after="216"/>
    </w:pPr>
  </w:style>
  <w:style w:type="paragraph" w:customStyle="1" w:styleId="block-icon43">
    <w:name w:val="block-icon43"/>
    <w:basedOn w:val="a"/>
    <w:rsid w:val="00362C75"/>
    <w:pPr>
      <w:spacing w:before="120" w:after="216"/>
    </w:pPr>
  </w:style>
  <w:style w:type="paragraph" w:customStyle="1" w:styleId="block-icon44">
    <w:name w:val="block-icon44"/>
    <w:basedOn w:val="a"/>
    <w:rsid w:val="00362C75"/>
    <w:pPr>
      <w:spacing w:before="120" w:after="216"/>
    </w:pPr>
  </w:style>
  <w:style w:type="paragraph" w:customStyle="1" w:styleId="block-icon45">
    <w:name w:val="block-icon45"/>
    <w:basedOn w:val="a"/>
    <w:rsid w:val="00362C75"/>
    <w:pPr>
      <w:spacing w:before="120" w:after="216"/>
    </w:pPr>
  </w:style>
  <w:style w:type="paragraph" w:customStyle="1" w:styleId="block-icon46">
    <w:name w:val="block-icon46"/>
    <w:basedOn w:val="a"/>
    <w:rsid w:val="00362C75"/>
    <w:pPr>
      <w:spacing w:before="120" w:after="216"/>
    </w:pPr>
  </w:style>
  <w:style w:type="paragraph" w:customStyle="1" w:styleId="block-icon47">
    <w:name w:val="block-icon47"/>
    <w:basedOn w:val="a"/>
    <w:rsid w:val="00362C75"/>
    <w:pPr>
      <w:spacing w:before="120" w:after="216"/>
    </w:pPr>
  </w:style>
  <w:style w:type="paragraph" w:customStyle="1" w:styleId="block-icon48">
    <w:name w:val="block-icon48"/>
    <w:basedOn w:val="a"/>
    <w:rsid w:val="00362C75"/>
    <w:pPr>
      <w:spacing w:before="120" w:after="216"/>
    </w:pPr>
  </w:style>
  <w:style w:type="paragraph" w:customStyle="1" w:styleId="block-icon49">
    <w:name w:val="block-icon49"/>
    <w:basedOn w:val="a"/>
    <w:rsid w:val="00362C75"/>
    <w:pPr>
      <w:spacing w:before="120" w:after="216"/>
    </w:pPr>
  </w:style>
  <w:style w:type="paragraph" w:customStyle="1" w:styleId="block-icon50">
    <w:name w:val="block-icon50"/>
    <w:basedOn w:val="a"/>
    <w:rsid w:val="00362C75"/>
    <w:pPr>
      <w:spacing w:before="120" w:after="216"/>
    </w:pPr>
  </w:style>
  <w:style w:type="paragraph" w:customStyle="1" w:styleId="block-icon51">
    <w:name w:val="block-icon51"/>
    <w:basedOn w:val="a"/>
    <w:rsid w:val="00362C75"/>
    <w:pPr>
      <w:spacing w:before="120" w:after="216"/>
    </w:pPr>
  </w:style>
  <w:style w:type="paragraph" w:customStyle="1" w:styleId="block-icon52">
    <w:name w:val="block-icon52"/>
    <w:basedOn w:val="a"/>
    <w:rsid w:val="00362C75"/>
    <w:pPr>
      <w:spacing w:before="120" w:after="216"/>
    </w:pPr>
  </w:style>
  <w:style w:type="paragraph" w:customStyle="1" w:styleId="block-icon53">
    <w:name w:val="block-icon53"/>
    <w:basedOn w:val="a"/>
    <w:rsid w:val="00362C75"/>
    <w:pPr>
      <w:spacing w:before="120" w:after="216"/>
    </w:pPr>
  </w:style>
  <w:style w:type="paragraph" w:customStyle="1" w:styleId="block-icon54">
    <w:name w:val="block-icon54"/>
    <w:basedOn w:val="a"/>
    <w:rsid w:val="00362C75"/>
    <w:pPr>
      <w:spacing w:before="120" w:after="216"/>
    </w:pPr>
  </w:style>
  <w:style w:type="paragraph" w:customStyle="1" w:styleId="block-icon55">
    <w:name w:val="block-icon55"/>
    <w:basedOn w:val="a"/>
    <w:rsid w:val="00362C75"/>
    <w:pPr>
      <w:spacing w:before="120" w:after="216"/>
    </w:pPr>
  </w:style>
  <w:style w:type="paragraph" w:customStyle="1" w:styleId="block-icon56">
    <w:name w:val="block-icon56"/>
    <w:basedOn w:val="a"/>
    <w:rsid w:val="00362C75"/>
    <w:pPr>
      <w:spacing w:before="120" w:after="216"/>
    </w:pPr>
  </w:style>
  <w:style w:type="paragraph" w:customStyle="1" w:styleId="block-icon57">
    <w:name w:val="block-icon57"/>
    <w:basedOn w:val="a"/>
    <w:rsid w:val="00362C75"/>
    <w:pPr>
      <w:spacing w:before="120" w:after="216"/>
    </w:pPr>
  </w:style>
  <w:style w:type="paragraph" w:customStyle="1" w:styleId="block-icon58">
    <w:name w:val="block-icon58"/>
    <w:basedOn w:val="a"/>
    <w:rsid w:val="00362C75"/>
    <w:pPr>
      <w:spacing w:before="120" w:after="216"/>
    </w:pPr>
  </w:style>
  <w:style w:type="paragraph" w:customStyle="1" w:styleId="block-icon59">
    <w:name w:val="block-icon59"/>
    <w:basedOn w:val="a"/>
    <w:rsid w:val="00362C75"/>
    <w:pPr>
      <w:spacing w:before="120" w:after="216"/>
    </w:pPr>
  </w:style>
  <w:style w:type="paragraph" w:customStyle="1" w:styleId="block-icon60">
    <w:name w:val="block-icon60"/>
    <w:basedOn w:val="a"/>
    <w:rsid w:val="00362C75"/>
    <w:pPr>
      <w:spacing w:before="120" w:after="216"/>
    </w:pPr>
  </w:style>
  <w:style w:type="paragraph" w:customStyle="1" w:styleId="block-icon61">
    <w:name w:val="block-icon61"/>
    <w:basedOn w:val="a"/>
    <w:rsid w:val="00362C75"/>
    <w:pPr>
      <w:spacing w:before="120" w:after="216"/>
    </w:pPr>
  </w:style>
  <w:style w:type="paragraph" w:customStyle="1" w:styleId="block-icon62">
    <w:name w:val="block-icon62"/>
    <w:basedOn w:val="a"/>
    <w:rsid w:val="00362C75"/>
    <w:pPr>
      <w:spacing w:before="120" w:after="216"/>
    </w:pPr>
  </w:style>
  <w:style w:type="paragraph" w:customStyle="1" w:styleId="block-icon63">
    <w:name w:val="block-icon63"/>
    <w:basedOn w:val="a"/>
    <w:rsid w:val="00362C75"/>
    <w:pPr>
      <w:spacing w:before="120" w:after="216"/>
    </w:pPr>
  </w:style>
  <w:style w:type="paragraph" w:customStyle="1" w:styleId="print-icon1">
    <w:name w:val="print-icon1"/>
    <w:basedOn w:val="a"/>
    <w:rsid w:val="00362C75"/>
    <w:pPr>
      <w:spacing w:before="120" w:after="216"/>
    </w:pPr>
    <w:rPr>
      <w:vanish/>
    </w:rPr>
  </w:style>
  <w:style w:type="paragraph" w:customStyle="1" w:styleId="printhtml1">
    <w:name w:val="print_html1"/>
    <w:basedOn w:val="a"/>
    <w:rsid w:val="00362C75"/>
    <w:pPr>
      <w:spacing w:before="100" w:beforeAutospacing="1" w:after="100" w:afterAutospacing="1"/>
    </w:pPr>
  </w:style>
  <w:style w:type="paragraph" w:customStyle="1" w:styleId="bookprinter1">
    <w:name w:val="book_printer1"/>
    <w:basedOn w:val="a"/>
    <w:rsid w:val="00362C75"/>
    <w:pPr>
      <w:spacing w:before="100" w:beforeAutospacing="1" w:after="100" w:afterAutospacing="1"/>
    </w:pPr>
  </w:style>
  <w:style w:type="paragraph" w:customStyle="1" w:styleId="printmail1">
    <w:name w:val="print_mail1"/>
    <w:basedOn w:val="a"/>
    <w:rsid w:val="00362C75"/>
    <w:pPr>
      <w:spacing w:before="100" w:beforeAutospacing="1" w:after="100" w:afterAutospacing="1"/>
    </w:pPr>
  </w:style>
  <w:style w:type="paragraph" w:customStyle="1" w:styleId="bookmail1">
    <w:name w:val="book_mail1"/>
    <w:basedOn w:val="a"/>
    <w:rsid w:val="00362C75"/>
    <w:pPr>
      <w:spacing w:before="100" w:beforeAutospacing="1" w:after="100" w:afterAutospacing="1"/>
    </w:pPr>
  </w:style>
  <w:style w:type="paragraph" w:customStyle="1" w:styleId="printpdf1">
    <w:name w:val="print_pdf1"/>
    <w:basedOn w:val="a"/>
    <w:rsid w:val="00362C75"/>
    <w:pPr>
      <w:spacing w:before="100" w:beforeAutospacing="1" w:after="100" w:afterAutospacing="1"/>
    </w:pPr>
  </w:style>
  <w:style w:type="paragraph" w:customStyle="1" w:styleId="bookpdf1">
    <w:name w:val="book_pdf1"/>
    <w:basedOn w:val="a"/>
    <w:rsid w:val="00362C75"/>
    <w:pPr>
      <w:spacing w:before="100" w:beforeAutospacing="1" w:after="100" w:afterAutospacing="1"/>
    </w:pPr>
  </w:style>
  <w:style w:type="paragraph" w:customStyle="1" w:styleId="content12">
    <w:name w:val="content12"/>
    <w:basedOn w:val="a"/>
    <w:rsid w:val="00362C75"/>
    <w:pPr>
      <w:spacing w:before="120" w:after="120"/>
    </w:pPr>
  </w:style>
  <w:style w:type="paragraph" w:customStyle="1" w:styleId="content13">
    <w:name w:val="content13"/>
    <w:basedOn w:val="a"/>
    <w:rsid w:val="00362C75"/>
    <w:pPr>
      <w:spacing w:before="120" w:after="216"/>
      <w:jc w:val="center"/>
    </w:pPr>
  </w:style>
  <w:style w:type="paragraph" w:customStyle="1" w:styleId="views-field-subject1">
    <w:name w:val="views-field-subject1"/>
    <w:basedOn w:val="a"/>
    <w:rsid w:val="00362C75"/>
    <w:pPr>
      <w:spacing w:before="120" w:after="216"/>
    </w:pPr>
    <w:rPr>
      <w:b/>
      <w:bCs/>
    </w:rPr>
  </w:style>
  <w:style w:type="paragraph" w:customStyle="1" w:styleId="content14">
    <w:name w:val="content14"/>
    <w:basedOn w:val="a"/>
    <w:rsid w:val="00362C75"/>
    <w:pPr>
      <w:spacing w:before="120" w:after="216"/>
      <w:jc w:val="center"/>
    </w:pPr>
  </w:style>
  <w:style w:type="paragraph" w:customStyle="1" w:styleId="uc-store-icon1">
    <w:name w:val="uc-store-icon1"/>
    <w:basedOn w:val="a"/>
    <w:rsid w:val="00362C75"/>
  </w:style>
  <w:style w:type="paragraph" w:customStyle="1" w:styleId="panel-title1">
    <w:name w:val="panel-title1"/>
    <w:basedOn w:val="a"/>
    <w:rsid w:val="00362C75"/>
    <w:pPr>
      <w:spacing w:before="120" w:after="216" w:line="480" w:lineRule="auto"/>
    </w:pPr>
    <w:rPr>
      <w:b/>
      <w:bCs/>
    </w:rPr>
  </w:style>
  <w:style w:type="paragraph" w:customStyle="1" w:styleId="form-submit5">
    <w:name w:val="form-submit5"/>
    <w:basedOn w:val="a"/>
    <w:rsid w:val="00362C75"/>
    <w:pPr>
      <w:spacing w:before="131" w:after="216"/>
    </w:pPr>
  </w:style>
  <w:style w:type="paragraph" w:customStyle="1" w:styleId="body1">
    <w:name w:val="body1"/>
    <w:basedOn w:val="a"/>
    <w:rsid w:val="00362C75"/>
    <w:pPr>
      <w:shd w:val="clear" w:color="auto" w:fill="F4F4F4"/>
      <w:spacing w:before="120" w:after="216"/>
    </w:pPr>
  </w:style>
  <w:style w:type="paragraph" w:customStyle="1" w:styleId="arrow-up1">
    <w:name w:val="arrow-up1"/>
    <w:basedOn w:val="a"/>
    <w:rsid w:val="00362C75"/>
    <w:pPr>
      <w:spacing w:before="120" w:after="216"/>
    </w:pPr>
  </w:style>
  <w:style w:type="paragraph" w:customStyle="1" w:styleId="arrow-down1">
    <w:name w:val="arrow-down1"/>
    <w:basedOn w:val="a"/>
    <w:rsid w:val="00362C75"/>
    <w:pPr>
      <w:spacing w:before="120" w:after="216"/>
    </w:pPr>
  </w:style>
  <w:style w:type="paragraph" w:customStyle="1" w:styleId="name2">
    <w:name w:val="name2"/>
    <w:basedOn w:val="a"/>
    <w:rsid w:val="00362C75"/>
    <w:pPr>
      <w:spacing w:before="120" w:after="216"/>
    </w:pPr>
    <w:rPr>
      <w:color w:val="777777"/>
    </w:rPr>
  </w:style>
  <w:style w:type="paragraph" w:customStyle="1" w:styleId="description5">
    <w:name w:val="description5"/>
    <w:basedOn w:val="a"/>
    <w:rsid w:val="00362C75"/>
    <w:pPr>
      <w:spacing w:before="120" w:after="216"/>
    </w:pPr>
    <w:rPr>
      <w:color w:val="777777"/>
    </w:rPr>
  </w:style>
  <w:style w:type="character" w:customStyle="1" w:styleId="data1">
    <w:name w:val="data1"/>
    <w:rsid w:val="00362C75"/>
    <w:rPr>
      <w:i/>
      <w:iCs/>
      <w:vanish w:val="0"/>
      <w:webHidden w:val="0"/>
      <w:specVanish w:val="0"/>
    </w:rPr>
  </w:style>
  <w:style w:type="character" w:customStyle="1" w:styleId="mfonta10">
    <w:name w:val="mfont_a_10"/>
    <w:basedOn w:val="a0"/>
    <w:rsid w:val="00362C75"/>
  </w:style>
  <w:style w:type="character" w:customStyle="1" w:styleId="fieldset-legend-prefix">
    <w:name w:val="fieldset-legend-prefix"/>
    <w:basedOn w:val="a0"/>
    <w:rsid w:val="00362C75"/>
  </w:style>
  <w:style w:type="character" w:customStyle="1" w:styleId="8MicrosoftSansSerif8pt">
    <w:name w:val="Основной текст (8) + Microsoft Sans Serif;8 pt;Не курсив"/>
    <w:rsid w:val="00362C75"/>
    <w:rPr>
      <w:rFonts w:ascii="Microsoft Sans Serif" w:eastAsia="Microsoft Sans Serif" w:hAnsi="Microsoft Sans Serif" w:cs="Microsoft Sans Serif"/>
      <w:b w:val="0"/>
      <w:bCs w:val="0"/>
      <w:i/>
      <w:iCs/>
      <w:smallCaps w:val="0"/>
      <w:strike w:val="0"/>
      <w:spacing w:val="0"/>
      <w:sz w:val="16"/>
      <w:szCs w:val="16"/>
      <w:shd w:val="clear" w:color="auto" w:fill="FFFFFF"/>
      <w:lang w:val="en-US"/>
    </w:rPr>
  </w:style>
  <w:style w:type="character" w:customStyle="1" w:styleId="351">
    <w:name w:val="Основной текст (35)_"/>
    <w:link w:val="350"/>
    <w:rsid w:val="00362C75"/>
    <w:rPr>
      <w:rFonts w:ascii="MS Reference Sans Serif" w:hAnsi="MS Reference Sans Serif" w:cs="MS Reference Sans Serif"/>
      <w:spacing w:val="-10"/>
      <w:sz w:val="14"/>
      <w:szCs w:val="14"/>
      <w:shd w:val="clear" w:color="auto" w:fill="FFFFFF"/>
    </w:rPr>
  </w:style>
  <w:style w:type="character" w:customStyle="1" w:styleId="341">
    <w:name w:val="Основной текст (34)_"/>
    <w:link w:val="340"/>
    <w:rsid w:val="00362C75"/>
    <w:rPr>
      <w:rFonts w:ascii="Arial Narrow" w:hAnsi="Arial Narrow" w:cs="Arial Narrow"/>
      <w:b/>
      <w:bCs/>
      <w:sz w:val="17"/>
      <w:szCs w:val="17"/>
      <w:shd w:val="clear" w:color="auto" w:fill="FFFFFF"/>
    </w:rPr>
  </w:style>
  <w:style w:type="character" w:customStyle="1" w:styleId="331">
    <w:name w:val="Основной текст (33)_"/>
    <w:link w:val="330"/>
    <w:rsid w:val="00362C75"/>
    <w:rPr>
      <w:rFonts w:ascii="MS Reference Sans Serif" w:hAnsi="MS Reference Sans Serif" w:cs="MS Reference Sans Serif"/>
      <w:i/>
      <w:iCs/>
      <w:spacing w:val="-20"/>
      <w:sz w:val="17"/>
      <w:szCs w:val="17"/>
      <w:shd w:val="clear" w:color="auto" w:fill="FFFFFF"/>
    </w:rPr>
  </w:style>
  <w:style w:type="character" w:customStyle="1" w:styleId="361">
    <w:name w:val="Основной текст (36)_"/>
    <w:link w:val="360"/>
    <w:rsid w:val="00362C75"/>
    <w:rPr>
      <w:rFonts w:ascii="Arial Narrow" w:hAnsi="Arial Narrow" w:cs="Arial Narrow"/>
      <w:noProof/>
      <w:sz w:val="8"/>
      <w:szCs w:val="8"/>
      <w:shd w:val="clear" w:color="auto" w:fill="FFFFFF"/>
      <w:lang w:val="en-US"/>
    </w:rPr>
  </w:style>
  <w:style w:type="character" w:customStyle="1" w:styleId="117">
    <w:name w:val="Основной текст + Курсив11"/>
    <w:uiPriority w:val="99"/>
    <w:rsid w:val="00362C75"/>
    <w:rPr>
      <w:rFonts w:ascii="Arial Narrow" w:hAnsi="Arial Narrow" w:cs="Arial Narrow"/>
      <w:i/>
      <w:iCs/>
      <w:spacing w:val="0"/>
      <w:sz w:val="17"/>
      <w:szCs w:val="17"/>
    </w:rPr>
  </w:style>
  <w:style w:type="character" w:customStyle="1" w:styleId="46">
    <w:name w:val="Основной текст (4)_"/>
    <w:link w:val="45"/>
    <w:rsid w:val="00362C75"/>
    <w:rPr>
      <w:rFonts w:ascii="Gungsuh" w:eastAsia="Gungsuh" w:hAnsi="Times New Roman" w:cs="Gungsuh"/>
      <w:sz w:val="13"/>
      <w:szCs w:val="13"/>
      <w:shd w:val="clear" w:color="auto" w:fill="FFFFFF"/>
    </w:rPr>
  </w:style>
  <w:style w:type="character" w:customStyle="1" w:styleId="41pt">
    <w:name w:val="Основной текст (4) + Курсив;Интервал 1 pt"/>
    <w:rsid w:val="00362C75"/>
    <w:rPr>
      <w:rFonts w:ascii="Gungsuh" w:eastAsia="Gungsuh" w:hAnsi="Times New Roman" w:cs="Gungsuh"/>
      <w:b w:val="0"/>
      <w:bCs w:val="0"/>
      <w:i/>
      <w:iCs/>
      <w:smallCaps w:val="0"/>
      <w:strike w:val="0"/>
      <w:spacing w:val="20"/>
      <w:sz w:val="13"/>
      <w:szCs w:val="13"/>
      <w:shd w:val="clear" w:color="auto" w:fill="FFFFFF"/>
    </w:rPr>
  </w:style>
  <w:style w:type="character" w:customStyle="1" w:styleId="5ArialNarrow85pt0pt">
    <w:name w:val="Основной текст (5) + Arial Narrow;8;5 pt;Полужирный;Интервал 0 pt"/>
    <w:rsid w:val="00362C75"/>
    <w:rPr>
      <w:rFonts w:ascii="Arial Narrow" w:eastAsia="Arial Narrow" w:hAnsi="Arial Narrow" w:cs="Arial Narrow"/>
      <w:b/>
      <w:bCs/>
      <w:i w:val="0"/>
      <w:iCs w:val="0"/>
      <w:smallCaps w:val="0"/>
      <w:strike w:val="0"/>
      <w:spacing w:val="0"/>
      <w:sz w:val="17"/>
      <w:szCs w:val="17"/>
      <w:shd w:val="clear" w:color="auto" w:fill="FFFFFF"/>
    </w:rPr>
  </w:style>
  <w:style w:type="character" w:customStyle="1" w:styleId="4ArialNarrow85pt">
    <w:name w:val="Основной текст (4) + Arial Narrow;8;5 pt;Курсив"/>
    <w:rsid w:val="00362C75"/>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95pt">
    <w:name w:val="Основной текст (9) + 5 pt"/>
    <w:rsid w:val="00362C75"/>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character" w:customStyle="1" w:styleId="96">
    <w:name w:val="Подпись к картинке (9)_"/>
    <w:link w:val="97"/>
    <w:uiPriority w:val="99"/>
    <w:rsid w:val="00362C75"/>
    <w:rPr>
      <w:rFonts w:ascii="Arial Narrow" w:eastAsia="Arial Narrow" w:hAnsi="Arial Narrow" w:cs="Arial Narrow"/>
      <w:sz w:val="17"/>
      <w:szCs w:val="17"/>
      <w:shd w:val="clear" w:color="auto" w:fill="FFFFFF"/>
    </w:rPr>
  </w:style>
  <w:style w:type="paragraph" w:customStyle="1" w:styleId="97">
    <w:name w:val="Подпись к картинке (9)"/>
    <w:basedOn w:val="a"/>
    <w:link w:val="96"/>
    <w:uiPriority w:val="99"/>
    <w:rsid w:val="00362C75"/>
    <w:pPr>
      <w:shd w:val="clear" w:color="auto" w:fill="FFFFFF"/>
      <w:spacing w:line="221" w:lineRule="exact"/>
      <w:jc w:val="both"/>
    </w:pPr>
    <w:rPr>
      <w:rFonts w:ascii="Arial Narrow" w:eastAsia="Arial Narrow" w:hAnsi="Arial Narrow" w:cs="Arial Narrow"/>
      <w:sz w:val="17"/>
      <w:szCs w:val="17"/>
    </w:rPr>
  </w:style>
  <w:style w:type="character" w:customStyle="1" w:styleId="98">
    <w:name w:val="Основной текст + Курсив9"/>
    <w:uiPriority w:val="99"/>
    <w:rsid w:val="00362C75"/>
    <w:rPr>
      <w:rFonts w:ascii="Arial Narrow" w:hAnsi="Arial Narrow" w:cs="Arial Narrow"/>
      <w:i/>
      <w:iCs/>
      <w:spacing w:val="0"/>
      <w:sz w:val="17"/>
      <w:szCs w:val="17"/>
    </w:rPr>
  </w:style>
  <w:style w:type="character" w:customStyle="1" w:styleId="61pt">
    <w:name w:val="Основной текст (6) + Интервал 1 pt"/>
    <w:uiPriority w:val="99"/>
    <w:rsid w:val="00362C75"/>
    <w:rPr>
      <w:rFonts w:ascii="Arial Narrow" w:eastAsia="Microsoft Sans Serif" w:hAnsi="Arial Narrow" w:cs="Arial Narrow"/>
      <w:i/>
      <w:iCs/>
      <w:spacing w:val="30"/>
      <w:sz w:val="17"/>
      <w:szCs w:val="17"/>
      <w:shd w:val="clear" w:color="auto" w:fill="FFFFFF"/>
      <w:lang w:eastAsia="ru-RU"/>
    </w:rPr>
  </w:style>
  <w:style w:type="character" w:customStyle="1" w:styleId="151">
    <w:name w:val="Основной текст (15)_"/>
    <w:link w:val="152"/>
    <w:uiPriority w:val="99"/>
    <w:rsid w:val="00362C75"/>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362C75"/>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710">
    <w:name w:val="Основной текст + 71"/>
    <w:aliases w:val="5 pt1,Малые прописные"/>
    <w:uiPriority w:val="99"/>
    <w:rsid w:val="00362C75"/>
    <w:rPr>
      <w:rFonts w:ascii="Arial Narrow" w:hAnsi="Arial Narrow" w:cs="Arial Narrow"/>
      <w:smallCaps/>
      <w:spacing w:val="0"/>
      <w:sz w:val="15"/>
      <w:szCs w:val="15"/>
    </w:rPr>
  </w:style>
  <w:style w:type="character" w:customStyle="1" w:styleId="4d">
    <w:name w:val="Основной текст + Курсив4"/>
    <w:uiPriority w:val="99"/>
    <w:rsid w:val="00362C75"/>
    <w:rPr>
      <w:rFonts w:ascii="Arial Narrow" w:hAnsi="Arial Narrow" w:cs="Arial Narrow"/>
      <w:i/>
      <w:iCs/>
      <w:spacing w:val="0"/>
      <w:sz w:val="17"/>
      <w:szCs w:val="17"/>
    </w:rPr>
  </w:style>
  <w:style w:type="character" w:customStyle="1" w:styleId="611">
    <w:name w:val="Основной текст (6) + Не курсив1"/>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fieldset-legend2">
    <w:name w:val="fieldset-legend2"/>
    <w:basedOn w:val="a0"/>
    <w:rsid w:val="00362C75"/>
  </w:style>
  <w:style w:type="paragraph" w:customStyle="1" w:styleId="b-content-content-text-p2">
    <w:name w:val="b-content-content-text-p2"/>
    <w:basedOn w:val="a"/>
    <w:rsid w:val="00362C75"/>
    <w:pPr>
      <w:spacing w:after="150" w:line="360" w:lineRule="atLeast"/>
    </w:pPr>
    <w:rPr>
      <w:color w:val="4D4D4D"/>
      <w:sz w:val="18"/>
      <w:szCs w:val="18"/>
    </w:rPr>
  </w:style>
  <w:style w:type="paragraph" w:customStyle="1" w:styleId="b">
    <w:name w:val="b"/>
    <w:basedOn w:val="a"/>
    <w:rsid w:val="00362C75"/>
    <w:pPr>
      <w:spacing w:before="100" w:beforeAutospacing="1" w:after="100" w:afterAutospacing="1"/>
    </w:pPr>
  </w:style>
  <w:style w:type="paragraph" w:customStyle="1" w:styleId="ri">
    <w:name w:val="ri"/>
    <w:basedOn w:val="a"/>
    <w:rsid w:val="00362C75"/>
    <w:pPr>
      <w:spacing w:before="100" w:beforeAutospacing="1" w:after="100" w:afterAutospacing="1"/>
    </w:pPr>
  </w:style>
  <w:style w:type="paragraph" w:customStyle="1" w:styleId="postmetadata">
    <w:name w:val="postmetadata"/>
    <w:basedOn w:val="a"/>
    <w:rsid w:val="00362C75"/>
    <w:rPr>
      <w:color w:val="999999"/>
      <w:sz w:val="17"/>
      <w:szCs w:val="17"/>
    </w:rPr>
  </w:style>
  <w:style w:type="character" w:customStyle="1" w:styleId="35">
    <w:name w:val="Основной текст (3)_"/>
    <w:link w:val="34"/>
    <w:rsid w:val="00362C75"/>
    <w:rPr>
      <w:rFonts w:ascii="Gungsuh" w:eastAsia="Gungsuh" w:hAnsi="Times New Roman" w:cs="Gungsuh"/>
      <w:spacing w:val="20"/>
      <w:sz w:val="35"/>
      <w:szCs w:val="35"/>
      <w:shd w:val="clear" w:color="auto" w:fill="FFFFFF"/>
    </w:rPr>
  </w:style>
  <w:style w:type="character" w:customStyle="1" w:styleId="70">
    <w:name w:val="Основной текст (7)_"/>
    <w:link w:val="7"/>
    <w:rsid w:val="00362C75"/>
    <w:rPr>
      <w:rFonts w:ascii="Arial Unicode MS" w:eastAsia="Arial Unicode MS" w:hAnsi="Times New Roman" w:cs="Arial Unicode MS"/>
      <w:spacing w:val="20"/>
      <w:sz w:val="25"/>
      <w:szCs w:val="25"/>
      <w:shd w:val="clear" w:color="auto" w:fill="FFFFFF"/>
    </w:rPr>
  </w:style>
  <w:style w:type="character" w:customStyle="1" w:styleId="FranklinGothicMedium85pt">
    <w:name w:val="Оглавление + Franklin Gothic Medium;8;5 pt;Полужирный"/>
    <w:rsid w:val="00362C75"/>
    <w:rPr>
      <w:rFonts w:ascii="Franklin Gothic Medium" w:eastAsia="Franklin Gothic Medium" w:hAnsi="Franklin Gothic Medium" w:cs="Franklin Gothic Medium"/>
      <w:b/>
      <w:bCs/>
      <w:i w:val="0"/>
      <w:iCs w:val="0"/>
      <w:smallCaps w:val="0"/>
      <w:strike w:val="0"/>
      <w:spacing w:val="0"/>
      <w:sz w:val="17"/>
      <w:szCs w:val="17"/>
      <w:shd w:val="clear" w:color="auto" w:fill="FFFFFF"/>
    </w:rPr>
  </w:style>
  <w:style w:type="character" w:customStyle="1" w:styleId="2f1">
    <w:name w:val="Основной текст (2)_"/>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214">
    <w:name w:val="Основной текст (21)_"/>
    <w:link w:val="213"/>
    <w:uiPriority w:val="99"/>
    <w:rsid w:val="00362C75"/>
    <w:rPr>
      <w:rFonts w:ascii="Calibri" w:eastAsia="Times New Roman" w:hAnsi="Calibri" w:cs="Times New Roman"/>
      <w:sz w:val="16"/>
      <w:szCs w:val="20"/>
      <w:shd w:val="clear" w:color="auto" w:fill="FFFFFF"/>
      <w:lang w:eastAsia="ru-RU"/>
    </w:rPr>
  </w:style>
  <w:style w:type="character" w:customStyle="1" w:styleId="20pt">
    <w:name w:val="Основной текст (2) + Интервал 0 pt"/>
    <w:rsid w:val="00362C75"/>
    <w:rPr>
      <w:rFonts w:ascii="Microsoft Sans Serif" w:eastAsia="Microsoft Sans Serif" w:hAnsi="Microsoft Sans Serif" w:cs="Microsoft Sans Serif"/>
      <w:b w:val="0"/>
      <w:bCs w:val="0"/>
      <w:i w:val="0"/>
      <w:iCs w:val="0"/>
      <w:smallCaps w:val="0"/>
      <w:strike w:val="0"/>
      <w:spacing w:val="0"/>
      <w:sz w:val="19"/>
      <w:szCs w:val="19"/>
    </w:rPr>
  </w:style>
  <w:style w:type="character" w:customStyle="1" w:styleId="MicrosoftSansSerif115pt">
    <w:name w:val="Колонтитул + Microsoft Sans Serif;11;5 pt;Полужирный"/>
    <w:rsid w:val="00362C75"/>
    <w:rPr>
      <w:rFonts w:ascii="Microsoft Sans Serif" w:eastAsia="Microsoft Sans Serif" w:hAnsi="Microsoft Sans Serif" w:cs="Microsoft Sans Serif"/>
      <w:b/>
      <w:bCs/>
      <w:i w:val="0"/>
      <w:iCs w:val="0"/>
      <w:smallCaps w:val="0"/>
      <w:strike w:val="0"/>
      <w:spacing w:val="0"/>
      <w:sz w:val="23"/>
      <w:szCs w:val="23"/>
      <w:shd w:val="clear" w:color="auto" w:fill="FFFFFF"/>
    </w:rPr>
  </w:style>
  <w:style w:type="character" w:customStyle="1" w:styleId="MicrosoftSansSerif75pt">
    <w:name w:val="Колонтитул + Microsoft Sans Serif;7;5 pt;Полужирный"/>
    <w:rsid w:val="00362C75"/>
    <w:rPr>
      <w:rFonts w:ascii="Microsoft Sans Serif" w:eastAsia="Microsoft Sans Serif" w:hAnsi="Microsoft Sans Serif" w:cs="Microsoft Sans Serif"/>
      <w:b/>
      <w:bCs/>
      <w:i w:val="0"/>
      <w:iCs w:val="0"/>
      <w:smallCaps w:val="0"/>
      <w:strike w:val="0"/>
      <w:spacing w:val="0"/>
      <w:sz w:val="15"/>
      <w:szCs w:val="15"/>
      <w:shd w:val="clear" w:color="auto" w:fill="FFFFFF"/>
    </w:rPr>
  </w:style>
  <w:style w:type="character" w:customStyle="1" w:styleId="MicrosoftSansSerif5pt">
    <w:name w:val="Колонтитул + Microsoft Sans Serif;5 pt;Курсив"/>
    <w:rsid w:val="00362C75"/>
    <w:rPr>
      <w:rFonts w:ascii="Microsoft Sans Serif" w:eastAsia="Microsoft Sans Serif" w:hAnsi="Microsoft Sans Serif" w:cs="Microsoft Sans Serif"/>
      <w:b w:val="0"/>
      <w:bCs w:val="0"/>
      <w:i/>
      <w:iCs/>
      <w:smallCaps w:val="0"/>
      <w:strike w:val="0"/>
      <w:spacing w:val="0"/>
      <w:sz w:val="10"/>
      <w:szCs w:val="10"/>
      <w:shd w:val="clear" w:color="auto" w:fill="FFFFFF"/>
    </w:rPr>
  </w:style>
  <w:style w:type="character" w:customStyle="1" w:styleId="4a">
    <w:name w:val="Заголовок №4_"/>
    <w:link w:val="49"/>
    <w:rsid w:val="00362C75"/>
    <w:rPr>
      <w:rFonts w:ascii="Arial" w:eastAsia="Times New Roman" w:hAnsi="Arial" w:cs="Times New Roman"/>
      <w:spacing w:val="-20"/>
      <w:sz w:val="85"/>
      <w:szCs w:val="20"/>
      <w:shd w:val="clear" w:color="auto" w:fill="FFFFFF"/>
      <w:lang w:eastAsia="ru-RU"/>
    </w:rPr>
  </w:style>
  <w:style w:type="character" w:customStyle="1" w:styleId="40pt">
    <w:name w:val="Заголовок №4 + Интервал 0 pt"/>
    <w:rsid w:val="00362C75"/>
    <w:rPr>
      <w:rFonts w:ascii="Arial" w:eastAsia="Times New Roman" w:hAnsi="Arial" w:cs="Times New Roman"/>
      <w:spacing w:val="0"/>
      <w:sz w:val="85"/>
      <w:szCs w:val="20"/>
      <w:shd w:val="clear" w:color="auto" w:fill="FFFFFF"/>
      <w:lang w:eastAsia="ru-RU"/>
    </w:rPr>
  </w:style>
  <w:style w:type="character" w:customStyle="1" w:styleId="2f2">
    <w:name w:val="Заголовок №2_"/>
    <w:uiPriority w:val="99"/>
    <w:rsid w:val="00362C75"/>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8-1pt">
    <w:name w:val="Основной текст (8) + Интервал -1 pt"/>
    <w:rsid w:val="00362C75"/>
    <w:rPr>
      <w:rFonts w:ascii="Arial Narrow" w:eastAsia="Arial Narrow" w:hAnsi="Arial Narrow" w:cs="Arial Narrow"/>
      <w:b w:val="0"/>
      <w:bCs w:val="0"/>
      <w:i w:val="0"/>
      <w:iCs w:val="0"/>
      <w:smallCaps w:val="0"/>
      <w:strike w:val="0"/>
      <w:spacing w:val="-20"/>
      <w:sz w:val="17"/>
      <w:szCs w:val="17"/>
      <w:shd w:val="clear" w:color="auto" w:fill="FFFFFF"/>
      <w:lang w:val="en-US"/>
    </w:rPr>
  </w:style>
  <w:style w:type="character" w:customStyle="1" w:styleId="aff4">
    <w:name w:val="Сноска_"/>
    <w:link w:val="aff3"/>
    <w:uiPriority w:val="99"/>
    <w:rsid w:val="00362C75"/>
    <w:rPr>
      <w:rFonts w:ascii="Lucida Sans Unicode" w:hAnsi="Lucida Sans Unicode" w:cs="Lucida Sans Unicode"/>
      <w:i/>
      <w:iCs/>
      <w:noProof/>
      <w:sz w:val="13"/>
      <w:szCs w:val="13"/>
      <w:shd w:val="clear" w:color="auto" w:fill="FFFFFF"/>
      <w:lang w:val="en-US"/>
    </w:rPr>
  </w:style>
  <w:style w:type="character" w:customStyle="1" w:styleId="3b">
    <w:name w:val="Заголовок №3_"/>
    <w:link w:val="3a"/>
    <w:rsid w:val="00362C75"/>
    <w:rPr>
      <w:rFonts w:ascii="Times New Roman" w:hAnsi="Times New Roman" w:cs="Times New Roman"/>
      <w:spacing w:val="40"/>
      <w:sz w:val="52"/>
      <w:szCs w:val="52"/>
      <w:shd w:val="clear" w:color="auto" w:fill="FFFFFF"/>
    </w:rPr>
  </w:style>
  <w:style w:type="character" w:customStyle="1" w:styleId="ArialNarrow3">
    <w:name w:val="Колонтитул + Arial Narrow3"/>
    <w:aliases w:val="8 pt2,Полужирный8"/>
    <w:uiPriority w:val="99"/>
    <w:rsid w:val="00362C75"/>
    <w:rPr>
      <w:rFonts w:ascii="Arial Narrow" w:eastAsia="Times New Roman" w:hAnsi="Arial Narrow" w:cs="Arial Narrow"/>
      <w:b/>
      <w:bCs/>
      <w:spacing w:val="0"/>
      <w:w w:val="100"/>
      <w:sz w:val="16"/>
      <w:szCs w:val="16"/>
      <w:shd w:val="clear" w:color="auto" w:fill="FFFFFF"/>
    </w:rPr>
  </w:style>
  <w:style w:type="character" w:customStyle="1" w:styleId="ArialNarrow2">
    <w:name w:val="Колонтитул + Arial Narrow2"/>
    <w:aliases w:val="9 pt,Полужирный7"/>
    <w:uiPriority w:val="99"/>
    <w:rsid w:val="00362C75"/>
    <w:rPr>
      <w:rFonts w:ascii="Arial Narrow" w:eastAsia="Times New Roman" w:hAnsi="Arial Narrow" w:cs="Arial Narrow"/>
      <w:b/>
      <w:bCs/>
      <w:spacing w:val="0"/>
      <w:w w:val="100"/>
      <w:sz w:val="18"/>
      <w:szCs w:val="18"/>
      <w:shd w:val="clear" w:color="auto" w:fill="FFFFFF"/>
    </w:rPr>
  </w:style>
  <w:style w:type="character" w:customStyle="1" w:styleId="ArialNarrow">
    <w:name w:val="Колонтитул + Arial Narrow"/>
    <w:aliases w:val="8 pt,Полужирный"/>
    <w:uiPriority w:val="99"/>
    <w:rsid w:val="00362C75"/>
    <w:rPr>
      <w:rFonts w:ascii="Arial Narrow" w:eastAsia="Times New Roman" w:hAnsi="Arial Narrow" w:cs="Arial Narrow"/>
      <w:b/>
      <w:bCs/>
      <w:spacing w:val="0"/>
      <w:w w:val="100"/>
      <w:sz w:val="16"/>
      <w:szCs w:val="16"/>
      <w:u w:val="single"/>
      <w:shd w:val="clear" w:color="auto" w:fill="FFFFFF"/>
    </w:rPr>
  </w:style>
  <w:style w:type="character" w:customStyle="1" w:styleId="630">
    <w:name w:val="Основной текст (6) + Не курсив3"/>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84">
    <w:name w:val="Основной текст + Курсив8"/>
    <w:uiPriority w:val="99"/>
    <w:rsid w:val="00362C75"/>
    <w:rPr>
      <w:rFonts w:ascii="Arial Narrow" w:hAnsi="Arial Narrow" w:cs="Arial Narrow"/>
      <w:i/>
      <w:iCs/>
      <w:spacing w:val="0"/>
      <w:sz w:val="17"/>
      <w:szCs w:val="17"/>
    </w:rPr>
  </w:style>
  <w:style w:type="character" w:customStyle="1" w:styleId="12-2pt">
    <w:name w:val="Основной текст (12) + Интервал -2 pt"/>
    <w:uiPriority w:val="99"/>
    <w:rsid w:val="00362C75"/>
    <w:rPr>
      <w:rFonts w:ascii="Arial Narrow" w:hAnsi="Arial Narrow" w:cs="Arial Narrow"/>
      <w:b/>
      <w:bCs/>
      <w:spacing w:val="-50"/>
      <w:sz w:val="70"/>
      <w:szCs w:val="70"/>
      <w:shd w:val="clear" w:color="auto" w:fill="FFFFFF"/>
    </w:rPr>
  </w:style>
  <w:style w:type="character" w:customStyle="1" w:styleId="12-3pt">
    <w:name w:val="Основной текст (12) + Интервал -3 pt"/>
    <w:uiPriority w:val="99"/>
    <w:rsid w:val="00362C75"/>
    <w:rPr>
      <w:rFonts w:ascii="Arial Narrow" w:hAnsi="Arial Narrow" w:cs="Arial Narrow"/>
      <w:b/>
      <w:bCs/>
      <w:spacing w:val="-70"/>
      <w:sz w:val="70"/>
      <w:szCs w:val="70"/>
      <w:shd w:val="clear" w:color="auto" w:fill="FFFFFF"/>
    </w:rPr>
  </w:style>
  <w:style w:type="character" w:customStyle="1" w:styleId="12Garamond">
    <w:name w:val="Основной текст (12) + Garamond"/>
    <w:aliases w:val="40,5 pt4,Не полужирный1,Курсив1,Интервал -4 pt"/>
    <w:uiPriority w:val="99"/>
    <w:rsid w:val="00362C75"/>
    <w:rPr>
      <w:rFonts w:ascii="Garamond" w:hAnsi="Garamond" w:cs="Garamond"/>
      <w:b/>
      <w:bCs/>
      <w:i/>
      <w:iCs/>
      <w:spacing w:val="-80"/>
      <w:sz w:val="81"/>
      <w:szCs w:val="81"/>
      <w:shd w:val="clear" w:color="auto" w:fill="FFFFFF"/>
    </w:rPr>
  </w:style>
  <w:style w:type="character" w:customStyle="1" w:styleId="65">
    <w:name w:val="Подпись к картинке (6)_"/>
    <w:link w:val="64"/>
    <w:uiPriority w:val="99"/>
    <w:rsid w:val="00362C75"/>
    <w:rPr>
      <w:rFonts w:ascii="Bookman Old Style" w:hAnsi="Bookman Old Style" w:cs="Bookman Old Style"/>
      <w:i/>
      <w:iCs/>
      <w:sz w:val="9"/>
      <w:szCs w:val="9"/>
      <w:shd w:val="clear" w:color="auto" w:fill="FFFFFF"/>
    </w:rPr>
  </w:style>
  <w:style w:type="character" w:customStyle="1" w:styleId="Garamond0">
    <w:name w:val="Основной текст + Garamond"/>
    <w:aliases w:val="11 pt,Полужирный3,Интервал 0 pt2,Основной текст + Полужирный1,Основной текст (8) + 8 pt3,Основной текст + 10 pt1,Колонтитул + Microsoft Sans Serif3"/>
    <w:uiPriority w:val="99"/>
    <w:rsid w:val="00362C75"/>
    <w:rPr>
      <w:rFonts w:ascii="Garamond" w:hAnsi="Garamond" w:cs="Garamond"/>
      <w:b/>
      <w:bCs/>
      <w:spacing w:val="-10"/>
      <w:sz w:val="22"/>
      <w:szCs w:val="22"/>
    </w:rPr>
  </w:style>
  <w:style w:type="character" w:customStyle="1" w:styleId="721">
    <w:name w:val="Основной текст + 72"/>
    <w:aliases w:val="5 pt2,Полужирный2,Основной текст + Times New Roman1,81,Полужирный5,Основной текст + Arial Unicode MS1,Основной текст + 82,Основной текст + MS Reference Sans Serif1"/>
    <w:uiPriority w:val="99"/>
    <w:rsid w:val="00362C75"/>
    <w:rPr>
      <w:rFonts w:ascii="Arial Narrow" w:hAnsi="Arial Narrow" w:cs="Arial Narrow"/>
      <w:b/>
      <w:bCs/>
      <w:spacing w:val="0"/>
      <w:sz w:val="15"/>
      <w:szCs w:val="15"/>
    </w:rPr>
  </w:style>
  <w:style w:type="character" w:customStyle="1" w:styleId="74">
    <w:name w:val="Подпись к картинке (7)_"/>
    <w:link w:val="73"/>
    <w:uiPriority w:val="99"/>
    <w:rsid w:val="00362C75"/>
    <w:rPr>
      <w:rFonts w:ascii="Arial Narrow" w:hAnsi="Arial Narrow" w:cs="Arial Narrow"/>
      <w:i/>
      <w:iCs/>
      <w:sz w:val="14"/>
      <w:szCs w:val="14"/>
      <w:shd w:val="clear" w:color="auto" w:fill="FFFFFF"/>
    </w:rPr>
  </w:style>
  <w:style w:type="character" w:customStyle="1" w:styleId="621">
    <w:name w:val="Основной текст (6) + Не курсив2"/>
    <w:uiPriority w:val="99"/>
    <w:rsid w:val="00362C75"/>
    <w:rPr>
      <w:rFonts w:ascii="Arial Narrow" w:eastAsia="Microsoft Sans Serif" w:hAnsi="Arial Narrow" w:cs="Arial Narrow"/>
      <w:i/>
      <w:iCs/>
      <w:spacing w:val="0"/>
      <w:sz w:val="17"/>
      <w:szCs w:val="17"/>
      <w:shd w:val="clear" w:color="auto" w:fill="FFFFFF"/>
      <w:lang w:eastAsia="ru-RU"/>
    </w:rPr>
  </w:style>
  <w:style w:type="character" w:customStyle="1" w:styleId="173">
    <w:name w:val="Основной текст (17)_"/>
    <w:link w:val="172"/>
    <w:uiPriority w:val="99"/>
    <w:rsid w:val="00362C75"/>
    <w:rPr>
      <w:rFonts w:ascii="Arial Narrow" w:eastAsia="Times New Roman" w:hAnsi="Arial Narrow" w:cs="Times New Roman"/>
      <w:sz w:val="35"/>
      <w:szCs w:val="20"/>
      <w:shd w:val="clear" w:color="auto" w:fill="FFFFFF"/>
      <w:lang w:eastAsia="ru-RU"/>
    </w:rPr>
  </w:style>
  <w:style w:type="character" w:customStyle="1" w:styleId="19">
    <w:name w:val="Заголовок №1_"/>
    <w:link w:val="18"/>
    <w:uiPriority w:val="99"/>
    <w:rsid w:val="00362C75"/>
    <w:rPr>
      <w:rFonts w:ascii="Segoe UI" w:hAnsi="Segoe UI" w:cs="Segoe UI"/>
      <w:sz w:val="20"/>
      <w:szCs w:val="20"/>
      <w:shd w:val="clear" w:color="auto" w:fill="FFFFFF"/>
    </w:rPr>
  </w:style>
  <w:style w:type="character" w:customStyle="1" w:styleId="5f">
    <w:name w:val="Основной текст + Курсив5"/>
    <w:uiPriority w:val="99"/>
    <w:rsid w:val="00362C75"/>
    <w:rPr>
      <w:rFonts w:ascii="Arial Narrow" w:hAnsi="Arial Narrow" w:cs="Arial Narrow"/>
      <w:i/>
      <w:iCs/>
      <w:spacing w:val="0"/>
      <w:sz w:val="17"/>
      <w:szCs w:val="17"/>
    </w:rPr>
  </w:style>
  <w:style w:type="character" w:customStyle="1" w:styleId="highlight">
    <w:name w:val="highlight"/>
    <w:basedOn w:val="a0"/>
    <w:rsid w:val="00362C75"/>
  </w:style>
  <w:style w:type="character" w:customStyle="1" w:styleId="A30">
    <w:name w:val="A3"/>
    <w:uiPriority w:val="99"/>
    <w:rsid w:val="00362C75"/>
    <w:rPr>
      <w:rFonts w:cs="Palatino Linotype"/>
      <w:i/>
      <w:iCs/>
      <w:color w:val="000000"/>
      <w:sz w:val="19"/>
      <w:szCs w:val="19"/>
    </w:rPr>
  </w:style>
  <w:style w:type="paragraph" w:customStyle="1" w:styleId="Pa1">
    <w:name w:val="Pa1"/>
    <w:basedOn w:val="Default"/>
    <w:next w:val="Default"/>
    <w:uiPriority w:val="99"/>
    <w:rsid w:val="00362C75"/>
    <w:pPr>
      <w:spacing w:line="181" w:lineRule="atLeast"/>
    </w:pPr>
    <w:rPr>
      <w:rFonts w:ascii="Palatino Linotype" w:hAnsi="Palatino Linotype"/>
      <w:color w:val="auto"/>
    </w:rPr>
  </w:style>
  <w:style w:type="paragraph" w:customStyle="1" w:styleId="Pa3">
    <w:name w:val="Pa3"/>
    <w:basedOn w:val="Default"/>
    <w:next w:val="Default"/>
    <w:uiPriority w:val="99"/>
    <w:rsid w:val="00362C75"/>
    <w:pPr>
      <w:spacing w:line="181" w:lineRule="atLeast"/>
    </w:pPr>
    <w:rPr>
      <w:rFonts w:ascii="Palatino Linotype" w:hAnsi="Palatino Linotype"/>
      <w:color w:val="auto"/>
    </w:rPr>
  </w:style>
  <w:style w:type="character" w:customStyle="1" w:styleId="A40">
    <w:name w:val="A4"/>
    <w:uiPriority w:val="99"/>
    <w:rsid w:val="00362C75"/>
    <w:rPr>
      <w:rFonts w:cs="Palatino Linotype"/>
      <w:color w:val="000000"/>
      <w:sz w:val="19"/>
      <w:szCs w:val="19"/>
    </w:rPr>
  </w:style>
  <w:style w:type="paragraph" w:styleId="3e">
    <w:name w:val="Body Text Indent 3"/>
    <w:basedOn w:val="a"/>
    <w:link w:val="3f"/>
    <w:uiPriority w:val="99"/>
    <w:rsid w:val="00362C75"/>
    <w:pPr>
      <w:autoSpaceDE w:val="0"/>
      <w:autoSpaceDN w:val="0"/>
      <w:adjustRightInd w:val="0"/>
      <w:ind w:firstLine="709"/>
      <w:jc w:val="center"/>
    </w:pPr>
  </w:style>
  <w:style w:type="character" w:customStyle="1" w:styleId="3f">
    <w:name w:val="Основной текст с отступом 3 Знак"/>
    <w:link w:val="3e"/>
    <w:uiPriority w:val="99"/>
    <w:rsid w:val="00362C75"/>
    <w:rPr>
      <w:rFonts w:ascii="Times New Roman" w:hAnsi="Times New Roman" w:cs="Times New Roman"/>
      <w:sz w:val="24"/>
      <w:szCs w:val="24"/>
    </w:rPr>
  </w:style>
  <w:style w:type="paragraph" w:customStyle="1" w:styleId="411">
    <w:name w:val="Основной текст (4)1"/>
    <w:basedOn w:val="a"/>
    <w:uiPriority w:val="99"/>
    <w:rsid w:val="00362C75"/>
    <w:pPr>
      <w:shd w:val="clear" w:color="auto" w:fill="FFFFFF"/>
      <w:autoSpaceDE w:val="0"/>
      <w:autoSpaceDN w:val="0"/>
      <w:adjustRightInd w:val="0"/>
      <w:spacing w:line="149" w:lineRule="exact"/>
      <w:ind w:hanging="480"/>
    </w:pPr>
    <w:rPr>
      <w:rFonts w:ascii="Arial" w:hAnsi="Arial" w:cs="Arial"/>
      <w:b/>
      <w:bCs/>
      <w:noProof/>
      <w:sz w:val="13"/>
      <w:szCs w:val="13"/>
      <w:lang w:val="en-US"/>
    </w:rPr>
  </w:style>
  <w:style w:type="character" w:customStyle="1" w:styleId="490">
    <w:name w:val="Основной текст (4)9"/>
    <w:uiPriority w:val="99"/>
    <w:rsid w:val="00362C75"/>
    <w:rPr>
      <w:rFonts w:ascii="Microsoft Sans Serif" w:hAnsi="Microsoft Sans Serif" w:cs="Microsoft Sans Serif"/>
      <w:i/>
      <w:iCs/>
      <w:sz w:val="15"/>
      <w:szCs w:val="15"/>
      <w:u w:val="single"/>
    </w:rPr>
  </w:style>
  <w:style w:type="character" w:customStyle="1" w:styleId="481">
    <w:name w:val="Основной текст (4)8"/>
    <w:uiPriority w:val="99"/>
    <w:rsid w:val="00362C75"/>
    <w:rPr>
      <w:rFonts w:ascii="Microsoft Sans Serif" w:hAnsi="Microsoft Sans Serif" w:cs="Microsoft Sans Serif"/>
      <w:i/>
      <w:iCs/>
      <w:sz w:val="15"/>
      <w:szCs w:val="15"/>
      <w:u w:val="single"/>
    </w:rPr>
  </w:style>
  <w:style w:type="character" w:customStyle="1" w:styleId="471">
    <w:name w:val="Основной текст (4)7"/>
    <w:uiPriority w:val="99"/>
    <w:rsid w:val="00362C75"/>
    <w:rPr>
      <w:rFonts w:ascii="Microsoft Sans Serif" w:hAnsi="Microsoft Sans Serif" w:cs="Microsoft Sans Serif"/>
      <w:i/>
      <w:iCs/>
      <w:sz w:val="15"/>
      <w:szCs w:val="15"/>
      <w:u w:val="single"/>
    </w:rPr>
  </w:style>
  <w:style w:type="character" w:customStyle="1" w:styleId="460">
    <w:name w:val="Основной текст (4)6"/>
    <w:uiPriority w:val="99"/>
    <w:rsid w:val="00362C75"/>
    <w:rPr>
      <w:rFonts w:ascii="Microsoft Sans Serif" w:hAnsi="Microsoft Sans Serif" w:cs="Microsoft Sans Serif"/>
      <w:i/>
      <w:iCs/>
      <w:sz w:val="15"/>
      <w:szCs w:val="15"/>
      <w:u w:val="single"/>
    </w:rPr>
  </w:style>
  <w:style w:type="character" w:customStyle="1" w:styleId="420">
    <w:name w:val="Основной текст (4) + Не курсив2"/>
    <w:uiPriority w:val="99"/>
    <w:rsid w:val="00362C75"/>
    <w:rPr>
      <w:rFonts w:ascii="Microsoft Sans Serif" w:hAnsi="Microsoft Sans Serif" w:cs="Microsoft Sans Serif"/>
      <w:i/>
      <w:iCs/>
      <w:sz w:val="15"/>
      <w:szCs w:val="15"/>
    </w:rPr>
  </w:style>
  <w:style w:type="character" w:customStyle="1" w:styleId="450">
    <w:name w:val="Основной текст (4)5"/>
    <w:uiPriority w:val="99"/>
    <w:rsid w:val="00362C75"/>
    <w:rPr>
      <w:rFonts w:ascii="Microsoft Sans Serif" w:hAnsi="Microsoft Sans Serif" w:cs="Microsoft Sans Serif"/>
      <w:i/>
      <w:iCs/>
      <w:sz w:val="15"/>
      <w:szCs w:val="15"/>
      <w:u w:val="single"/>
    </w:rPr>
  </w:style>
  <w:style w:type="character" w:customStyle="1" w:styleId="465pt15122">
    <w:name w:val="Основной текст (4) + 6.5 pt15.Полужирный12.Не курсив2"/>
    <w:uiPriority w:val="99"/>
    <w:rsid w:val="00362C75"/>
    <w:rPr>
      <w:rFonts w:ascii="Microsoft Sans Serif" w:hAnsi="Microsoft Sans Serif" w:cs="Microsoft Sans Serif"/>
      <w:b/>
      <w:bCs/>
      <w:i/>
      <w:iCs/>
      <w:sz w:val="13"/>
      <w:szCs w:val="13"/>
    </w:rPr>
  </w:style>
  <w:style w:type="character" w:customStyle="1" w:styleId="441">
    <w:name w:val="Основной текст (4)4"/>
    <w:uiPriority w:val="99"/>
    <w:rsid w:val="00362C75"/>
    <w:rPr>
      <w:rFonts w:ascii="Microsoft Sans Serif" w:hAnsi="Microsoft Sans Serif" w:cs="Microsoft Sans Serif"/>
      <w:i/>
      <w:iCs/>
      <w:sz w:val="15"/>
      <w:szCs w:val="15"/>
      <w:u w:val="single"/>
    </w:rPr>
  </w:style>
  <w:style w:type="character" w:customStyle="1" w:styleId="430">
    <w:name w:val="Основной текст (4)3"/>
    <w:uiPriority w:val="99"/>
    <w:rsid w:val="00362C75"/>
    <w:rPr>
      <w:rFonts w:ascii="Microsoft Sans Serif" w:hAnsi="Microsoft Sans Serif" w:cs="Microsoft Sans Serif"/>
      <w:i/>
      <w:iCs/>
      <w:sz w:val="15"/>
      <w:szCs w:val="15"/>
      <w:u w:val="single"/>
    </w:rPr>
  </w:style>
  <w:style w:type="character" w:customStyle="1" w:styleId="412">
    <w:name w:val="Основной текст (4) + Не курсив1"/>
    <w:uiPriority w:val="99"/>
    <w:rsid w:val="00362C75"/>
    <w:rPr>
      <w:rFonts w:ascii="Microsoft Sans Serif" w:hAnsi="Microsoft Sans Serif" w:cs="Microsoft Sans Serif"/>
      <w:i/>
      <w:iCs/>
      <w:sz w:val="15"/>
      <w:szCs w:val="15"/>
    </w:rPr>
  </w:style>
  <w:style w:type="character" w:customStyle="1" w:styleId="4-1pt0">
    <w:name w:val="Основной текст (4) + Интервал -1 pt"/>
    <w:uiPriority w:val="99"/>
    <w:rsid w:val="00362C75"/>
    <w:rPr>
      <w:rFonts w:ascii="Microsoft Sans Serif" w:hAnsi="Microsoft Sans Serif" w:cs="Microsoft Sans Serif"/>
      <w:i/>
      <w:iCs/>
      <w:spacing w:val="-20"/>
      <w:sz w:val="15"/>
      <w:szCs w:val="15"/>
    </w:rPr>
  </w:style>
  <w:style w:type="character" w:customStyle="1" w:styleId="111475pt42210pt56">
    <w:name w:val="Основной текст (11) + 147.5 pt42.Не курсив21.Интервал 0 pt56"/>
    <w:uiPriority w:val="99"/>
    <w:rsid w:val="00362C75"/>
    <w:rPr>
      <w:rFonts w:ascii="Microsoft Sans Serif" w:hAnsi="Microsoft Sans Serif" w:cs="Microsoft Sans Serif"/>
      <w:i/>
      <w:iCs/>
      <w:spacing w:val="-10"/>
      <w:sz w:val="29"/>
      <w:szCs w:val="29"/>
    </w:rPr>
  </w:style>
  <w:style w:type="paragraph" w:customStyle="1" w:styleId="1110">
    <w:name w:val="Основной текст (11)1"/>
    <w:basedOn w:val="a"/>
    <w:uiPriority w:val="99"/>
    <w:rsid w:val="00362C75"/>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14pt11260pt55">
    <w:name w:val="Основной текст + 14 pt11.Курсив26.Интервал 0 pt55"/>
    <w:uiPriority w:val="99"/>
    <w:rsid w:val="00362C75"/>
    <w:rPr>
      <w:rFonts w:ascii="Microsoft Sans Serif" w:hAnsi="Microsoft Sans Serif" w:cs="Microsoft Sans Serif"/>
      <w:i/>
      <w:iCs/>
      <w:spacing w:val="0"/>
      <w:sz w:val="28"/>
      <w:szCs w:val="28"/>
    </w:rPr>
  </w:style>
  <w:style w:type="character" w:customStyle="1" w:styleId="111465pt41200pt54">
    <w:name w:val="Основной текст (11) + 146.5 pt41.Не курсив20.Интервал 0 pt54"/>
    <w:uiPriority w:val="99"/>
    <w:rsid w:val="00362C75"/>
    <w:rPr>
      <w:rFonts w:ascii="Microsoft Sans Serif" w:hAnsi="Microsoft Sans Serif" w:cs="Microsoft Sans Serif"/>
      <w:i/>
      <w:iCs/>
      <w:spacing w:val="-10"/>
      <w:sz w:val="29"/>
      <w:szCs w:val="29"/>
    </w:rPr>
  </w:style>
  <w:style w:type="character" w:customStyle="1" w:styleId="111455pt40190pt53">
    <w:name w:val="Основной текст (11) + 145.5 pt40.Не курсив19.Интервал 0 pt53"/>
    <w:uiPriority w:val="99"/>
    <w:rsid w:val="00362C75"/>
    <w:rPr>
      <w:rFonts w:ascii="Microsoft Sans Serif" w:hAnsi="Microsoft Sans Serif" w:cs="Microsoft Sans Serif"/>
      <w:i/>
      <w:iCs/>
      <w:spacing w:val="-10"/>
      <w:sz w:val="29"/>
      <w:szCs w:val="29"/>
    </w:rPr>
  </w:style>
  <w:style w:type="character" w:customStyle="1" w:styleId="1111">
    <w:name w:val="Основной текст (11)11"/>
    <w:uiPriority w:val="99"/>
    <w:rsid w:val="00362C75"/>
    <w:rPr>
      <w:rFonts w:ascii="Microsoft Sans Serif" w:hAnsi="Microsoft Sans Serif" w:cs="Microsoft Sans Serif"/>
      <w:i/>
      <w:iCs/>
      <w:sz w:val="28"/>
      <w:szCs w:val="28"/>
      <w:u w:val="single"/>
    </w:rPr>
  </w:style>
  <w:style w:type="character" w:customStyle="1" w:styleId="11SimHei1465pt39180pt52">
    <w:name w:val="Основной текст (11) + SimHei.146.5 pt39.Не курсив18.Интервал 0 pt52"/>
    <w:uiPriority w:val="99"/>
    <w:rsid w:val="00362C75"/>
    <w:rPr>
      <w:rFonts w:ascii="SimHei" w:eastAsia="SimHei" w:cs="SimHei"/>
      <w:i/>
      <w:iCs/>
      <w:spacing w:val="-10"/>
      <w:sz w:val="29"/>
      <w:szCs w:val="29"/>
    </w:rPr>
  </w:style>
  <w:style w:type="character" w:customStyle="1" w:styleId="111435pt36120pt48">
    <w:name w:val="Основной текст (11) + 143.5 pt36.Не курсив12.Интервал 0 pt48"/>
    <w:uiPriority w:val="99"/>
    <w:rsid w:val="00362C75"/>
    <w:rPr>
      <w:rFonts w:ascii="Microsoft Sans Serif" w:hAnsi="Microsoft Sans Serif" w:cs="Microsoft Sans Serif"/>
      <w:i/>
      <w:iCs/>
      <w:spacing w:val="-10"/>
      <w:sz w:val="29"/>
      <w:szCs w:val="29"/>
    </w:rPr>
  </w:style>
  <w:style w:type="character" w:customStyle="1" w:styleId="11SimHei21455pt35110pt47">
    <w:name w:val="Основной текст (11) + SimHei2.145.5 pt35.Не курсив11.Интервал 0 pt47"/>
    <w:uiPriority w:val="99"/>
    <w:rsid w:val="00362C75"/>
    <w:rPr>
      <w:rFonts w:ascii="SimHei" w:eastAsia="SimHei" w:cs="SimHei"/>
      <w:i/>
      <w:iCs/>
      <w:spacing w:val="-10"/>
      <w:sz w:val="29"/>
      <w:szCs w:val="29"/>
    </w:rPr>
  </w:style>
  <w:style w:type="character" w:customStyle="1" w:styleId="14pt10240pt46">
    <w:name w:val="Основной текст + 14 pt10.Курсив24.Интервал 0 pt46"/>
    <w:uiPriority w:val="99"/>
    <w:rsid w:val="00362C75"/>
    <w:rPr>
      <w:rFonts w:ascii="Microsoft Sans Serif" w:hAnsi="Microsoft Sans Serif" w:cs="Microsoft Sans Serif"/>
      <w:i/>
      <w:iCs/>
      <w:spacing w:val="0"/>
      <w:sz w:val="28"/>
      <w:szCs w:val="28"/>
    </w:rPr>
  </w:style>
  <w:style w:type="character" w:customStyle="1" w:styleId="111425pt34100pt45">
    <w:name w:val="Основной текст (11) + 142.5 pt34.Не курсив10.Интервал 0 pt45"/>
    <w:uiPriority w:val="99"/>
    <w:rsid w:val="00362C75"/>
    <w:rPr>
      <w:rFonts w:ascii="Microsoft Sans Serif" w:hAnsi="Microsoft Sans Serif" w:cs="Microsoft Sans Serif"/>
      <w:i/>
      <w:iCs/>
      <w:spacing w:val="-10"/>
      <w:sz w:val="29"/>
      <w:szCs w:val="29"/>
    </w:rPr>
  </w:style>
  <w:style w:type="character" w:customStyle="1" w:styleId="114pt4">
    <w:name w:val="Основной текст (11) + Интервал 4 pt4"/>
    <w:uiPriority w:val="99"/>
    <w:rsid w:val="00362C75"/>
    <w:rPr>
      <w:rFonts w:ascii="Microsoft Sans Serif" w:hAnsi="Microsoft Sans Serif" w:cs="Microsoft Sans Serif"/>
      <w:i/>
      <w:iCs/>
      <w:spacing w:val="80"/>
      <w:sz w:val="28"/>
      <w:szCs w:val="28"/>
    </w:rPr>
  </w:style>
  <w:style w:type="character" w:customStyle="1" w:styleId="118">
    <w:name w:val="Основной текст (11)8"/>
    <w:uiPriority w:val="99"/>
    <w:rsid w:val="00362C75"/>
    <w:rPr>
      <w:rFonts w:ascii="Microsoft Sans Serif" w:hAnsi="Microsoft Sans Serif" w:cs="Microsoft Sans Serif"/>
      <w:i/>
      <w:iCs/>
      <w:sz w:val="28"/>
      <w:szCs w:val="28"/>
    </w:rPr>
  </w:style>
  <w:style w:type="character" w:customStyle="1" w:styleId="114pt3">
    <w:name w:val="Основной текст (11) + Интервал 4 pt3"/>
    <w:uiPriority w:val="99"/>
    <w:rsid w:val="00362C75"/>
    <w:rPr>
      <w:rFonts w:ascii="Microsoft Sans Serif" w:hAnsi="Microsoft Sans Serif" w:cs="Microsoft Sans Serif"/>
      <w:i/>
      <w:iCs/>
      <w:spacing w:val="80"/>
      <w:sz w:val="28"/>
      <w:szCs w:val="28"/>
    </w:rPr>
  </w:style>
  <w:style w:type="character" w:customStyle="1" w:styleId="1160">
    <w:name w:val="Основной текст (11)6"/>
    <w:uiPriority w:val="99"/>
    <w:rsid w:val="00362C75"/>
    <w:rPr>
      <w:rFonts w:ascii="Microsoft Sans Serif" w:hAnsi="Microsoft Sans Serif" w:cs="Microsoft Sans Serif"/>
      <w:i/>
      <w:iCs/>
      <w:sz w:val="28"/>
      <w:szCs w:val="28"/>
      <w:u w:val="single"/>
    </w:rPr>
  </w:style>
  <w:style w:type="character" w:customStyle="1" w:styleId="1150">
    <w:name w:val="Основной текст (11)5"/>
    <w:uiPriority w:val="99"/>
    <w:rsid w:val="00362C75"/>
    <w:rPr>
      <w:rFonts w:ascii="Microsoft Sans Serif" w:hAnsi="Microsoft Sans Serif" w:cs="Microsoft Sans Serif"/>
      <w:i/>
      <w:iCs/>
      <w:sz w:val="28"/>
      <w:szCs w:val="28"/>
    </w:rPr>
  </w:style>
  <w:style w:type="character" w:customStyle="1" w:styleId="114pt2">
    <w:name w:val="Основной текст (11) + Интервал 4 pt2"/>
    <w:uiPriority w:val="99"/>
    <w:rsid w:val="00362C75"/>
    <w:rPr>
      <w:rFonts w:ascii="Microsoft Sans Serif" w:hAnsi="Microsoft Sans Serif" w:cs="Microsoft Sans Serif"/>
      <w:i/>
      <w:iCs/>
      <w:spacing w:val="80"/>
      <w:sz w:val="28"/>
      <w:szCs w:val="28"/>
    </w:rPr>
  </w:style>
  <w:style w:type="character" w:customStyle="1" w:styleId="111pt6">
    <w:name w:val="Основной текст (11) + Интервал 1 pt6"/>
    <w:uiPriority w:val="99"/>
    <w:rsid w:val="00362C75"/>
    <w:rPr>
      <w:rFonts w:ascii="Microsoft Sans Serif" w:hAnsi="Microsoft Sans Serif" w:cs="Microsoft Sans Serif"/>
      <w:i/>
      <w:iCs/>
      <w:spacing w:val="30"/>
      <w:sz w:val="28"/>
      <w:szCs w:val="28"/>
    </w:rPr>
  </w:style>
  <w:style w:type="character" w:customStyle="1" w:styleId="111pt5">
    <w:name w:val="Основной текст (11) + Интервал 1 pt5"/>
    <w:uiPriority w:val="99"/>
    <w:rsid w:val="00362C75"/>
    <w:rPr>
      <w:rFonts w:ascii="Microsoft Sans Serif" w:hAnsi="Microsoft Sans Serif" w:cs="Microsoft Sans Serif"/>
      <w:i/>
      <w:iCs/>
      <w:spacing w:val="30"/>
      <w:sz w:val="28"/>
      <w:szCs w:val="28"/>
    </w:rPr>
  </w:style>
  <w:style w:type="character" w:customStyle="1" w:styleId="14pt9230pt44">
    <w:name w:val="Основной текст + 14 pt9.Курсив23.Интервал 0 pt44"/>
    <w:uiPriority w:val="99"/>
    <w:rsid w:val="00362C75"/>
    <w:rPr>
      <w:rFonts w:ascii="Microsoft Sans Serif" w:hAnsi="Microsoft Sans Serif" w:cs="Microsoft Sans Serif"/>
      <w:i/>
      <w:iCs/>
      <w:spacing w:val="0"/>
      <w:sz w:val="28"/>
      <w:szCs w:val="28"/>
    </w:rPr>
  </w:style>
  <w:style w:type="character" w:customStyle="1" w:styleId="114pt1">
    <w:name w:val="Основной текст (11) + Интервал 4 pt1"/>
    <w:uiPriority w:val="99"/>
    <w:rsid w:val="00362C75"/>
    <w:rPr>
      <w:rFonts w:ascii="Microsoft Sans Serif" w:hAnsi="Microsoft Sans Serif" w:cs="Microsoft Sans Serif"/>
      <w:i/>
      <w:iCs/>
      <w:spacing w:val="80"/>
      <w:sz w:val="28"/>
      <w:szCs w:val="28"/>
    </w:rPr>
  </w:style>
  <w:style w:type="character" w:customStyle="1" w:styleId="111pt4">
    <w:name w:val="Основной текст (11) + Интервал 1 pt4"/>
    <w:uiPriority w:val="99"/>
    <w:rsid w:val="00362C75"/>
    <w:rPr>
      <w:rFonts w:ascii="Microsoft Sans Serif" w:hAnsi="Microsoft Sans Serif" w:cs="Microsoft Sans Serif"/>
      <w:i/>
      <w:iCs/>
      <w:spacing w:val="30"/>
      <w:sz w:val="28"/>
      <w:szCs w:val="28"/>
    </w:rPr>
  </w:style>
  <w:style w:type="character" w:customStyle="1" w:styleId="1140">
    <w:name w:val="Основной текст (11)4"/>
    <w:uiPriority w:val="99"/>
    <w:rsid w:val="00362C75"/>
    <w:rPr>
      <w:rFonts w:ascii="Microsoft Sans Serif" w:hAnsi="Microsoft Sans Serif" w:cs="Microsoft Sans Serif"/>
      <w:i/>
      <w:iCs/>
      <w:sz w:val="28"/>
      <w:szCs w:val="28"/>
    </w:rPr>
  </w:style>
  <w:style w:type="character" w:customStyle="1" w:styleId="111pt3">
    <w:name w:val="Основной текст (11) + Интервал 1 pt3"/>
    <w:uiPriority w:val="99"/>
    <w:rsid w:val="00362C75"/>
    <w:rPr>
      <w:rFonts w:ascii="Microsoft Sans Serif" w:hAnsi="Microsoft Sans Serif" w:cs="Microsoft Sans Serif"/>
      <w:i/>
      <w:iCs/>
      <w:spacing w:val="30"/>
      <w:sz w:val="28"/>
      <w:szCs w:val="28"/>
    </w:rPr>
  </w:style>
  <w:style w:type="character" w:customStyle="1" w:styleId="11SimHei1175pt339-2pt">
    <w:name w:val="Основной текст (11) + SimHei1.17.5 pt33.Не курсив9.Интервал -2 pt"/>
    <w:uiPriority w:val="99"/>
    <w:rsid w:val="00362C75"/>
    <w:rPr>
      <w:rFonts w:ascii="SimHei" w:eastAsia="SimHei" w:hAnsi="Microsoft Sans Serif" w:cs="SimHei"/>
      <w:i/>
      <w:iCs/>
      <w:spacing w:val="-40"/>
      <w:sz w:val="35"/>
      <w:szCs w:val="35"/>
    </w:rPr>
  </w:style>
  <w:style w:type="character" w:customStyle="1" w:styleId="111415pt3180pt43">
    <w:name w:val="Основной текст (11) + 141.5 pt31.Не курсив8.Интервал 0 pt43"/>
    <w:uiPriority w:val="99"/>
    <w:rsid w:val="00362C75"/>
    <w:rPr>
      <w:rFonts w:ascii="Microsoft Sans Serif" w:hAnsi="Microsoft Sans Serif" w:cs="Microsoft Sans Serif"/>
      <w:i/>
      <w:iCs/>
      <w:spacing w:val="-10"/>
      <w:sz w:val="29"/>
      <w:szCs w:val="29"/>
    </w:rPr>
  </w:style>
  <w:style w:type="character" w:customStyle="1" w:styleId="1130">
    <w:name w:val="Основной текст (11)3"/>
    <w:uiPriority w:val="99"/>
    <w:rsid w:val="00362C75"/>
    <w:rPr>
      <w:rFonts w:ascii="Microsoft Sans Serif" w:hAnsi="Microsoft Sans Serif" w:cs="Microsoft Sans Serif"/>
      <w:i/>
      <w:iCs/>
      <w:sz w:val="28"/>
      <w:szCs w:val="28"/>
    </w:rPr>
  </w:style>
  <w:style w:type="character" w:customStyle="1" w:styleId="111pt2">
    <w:name w:val="Основной текст (11) + Интервал 1 pt2"/>
    <w:uiPriority w:val="99"/>
    <w:rsid w:val="00362C75"/>
    <w:rPr>
      <w:rFonts w:ascii="Microsoft Sans Serif" w:hAnsi="Microsoft Sans Serif" w:cs="Microsoft Sans Serif"/>
      <w:i/>
      <w:iCs/>
      <w:spacing w:val="30"/>
      <w:sz w:val="28"/>
      <w:szCs w:val="28"/>
    </w:rPr>
  </w:style>
  <w:style w:type="character" w:customStyle="1" w:styleId="1120">
    <w:name w:val="Основной текст (11)2"/>
    <w:uiPriority w:val="99"/>
    <w:rsid w:val="00362C75"/>
    <w:rPr>
      <w:rFonts w:ascii="Microsoft Sans Serif" w:hAnsi="Microsoft Sans Serif" w:cs="Microsoft Sans Serif"/>
      <w:i/>
      <w:iCs/>
      <w:spacing w:val="0"/>
      <w:sz w:val="28"/>
      <w:szCs w:val="28"/>
    </w:rPr>
  </w:style>
  <w:style w:type="character" w:customStyle="1" w:styleId="1170">
    <w:name w:val="Основной текст (11)7"/>
    <w:uiPriority w:val="99"/>
    <w:rsid w:val="00362C75"/>
    <w:rPr>
      <w:rFonts w:ascii="Microsoft Sans Serif" w:hAnsi="Microsoft Sans Serif" w:cs="Microsoft Sans Serif"/>
      <w:i/>
      <w:iCs/>
      <w:sz w:val="28"/>
      <w:szCs w:val="28"/>
      <w:u w:val="single"/>
    </w:rPr>
  </w:style>
  <w:style w:type="character" w:customStyle="1" w:styleId="111pt7">
    <w:name w:val="Основной текст (11) + Интервал 1 pt7"/>
    <w:uiPriority w:val="99"/>
    <w:rsid w:val="00362C75"/>
    <w:rPr>
      <w:rFonts w:ascii="Microsoft Sans Serif" w:hAnsi="Microsoft Sans Serif" w:cs="Microsoft Sans Serif"/>
      <w:i/>
      <w:iCs/>
      <w:spacing w:val="30"/>
      <w:sz w:val="28"/>
      <w:szCs w:val="28"/>
    </w:rPr>
  </w:style>
  <w:style w:type="character" w:customStyle="1" w:styleId="0pt18">
    <w:name w:val="Основной текст + Курсив.Интервал 0 pt18"/>
    <w:uiPriority w:val="99"/>
    <w:rsid w:val="00362C75"/>
    <w:rPr>
      <w:rFonts w:ascii="Arial" w:hAnsi="Arial" w:cs="Arial"/>
      <w:i/>
      <w:iCs/>
      <w:spacing w:val="-10"/>
      <w:sz w:val="16"/>
      <w:szCs w:val="16"/>
    </w:rPr>
  </w:style>
  <w:style w:type="character" w:customStyle="1" w:styleId="7100">
    <w:name w:val="Основной текст (7)10"/>
    <w:uiPriority w:val="99"/>
    <w:rsid w:val="00362C75"/>
    <w:rPr>
      <w:rFonts w:ascii="Arial" w:hAnsi="Arial" w:cs="Arial"/>
      <w:i/>
      <w:iCs/>
      <w:spacing w:val="-10"/>
      <w:sz w:val="16"/>
      <w:szCs w:val="16"/>
      <w:u w:val="single"/>
    </w:rPr>
  </w:style>
  <w:style w:type="character" w:customStyle="1" w:styleId="15ArialNarrow18">
    <w:name w:val="Основной текст (15) + Arial Narrow.Курсив18"/>
    <w:uiPriority w:val="99"/>
    <w:rsid w:val="00362C75"/>
    <w:rPr>
      <w:rFonts w:ascii="Arial Narrow" w:hAnsi="Arial Narrow" w:cs="Arial Narrow"/>
      <w:i/>
      <w:iCs/>
      <w:spacing w:val="0"/>
      <w:sz w:val="15"/>
      <w:szCs w:val="15"/>
    </w:rPr>
  </w:style>
  <w:style w:type="character" w:customStyle="1" w:styleId="29Arial">
    <w:name w:val="Основной текст (29) + Arial.Не курсив"/>
    <w:uiPriority w:val="99"/>
    <w:rsid w:val="00362C75"/>
    <w:rPr>
      <w:rFonts w:ascii="Arial" w:hAnsi="Arial" w:cs="Arial"/>
      <w:i/>
      <w:iCs/>
      <w:sz w:val="15"/>
      <w:szCs w:val="15"/>
    </w:rPr>
  </w:style>
  <w:style w:type="character" w:customStyle="1" w:styleId="79">
    <w:name w:val="Основной текст (7)9"/>
    <w:uiPriority w:val="99"/>
    <w:rsid w:val="00362C75"/>
    <w:rPr>
      <w:rFonts w:ascii="Arial" w:hAnsi="Arial" w:cs="Arial"/>
      <w:i/>
      <w:iCs/>
      <w:spacing w:val="-10"/>
      <w:sz w:val="16"/>
      <w:szCs w:val="16"/>
      <w:u w:val="single"/>
    </w:rPr>
  </w:style>
  <w:style w:type="character" w:customStyle="1" w:styleId="111425pt34100pt4529Arial37pt3">
    <w:name w:val="Основной текст (11) + 142.5 pt34.Не курсив10.Интервал 0 pt45.Основной текст (29) + Arial3.7 pt3"/>
    <w:uiPriority w:val="99"/>
    <w:rsid w:val="00362C75"/>
    <w:rPr>
      <w:rFonts w:ascii="Microsoft Sans Serif" w:hAnsi="Microsoft Sans Serif" w:cs="Microsoft Sans Serif"/>
      <w:i/>
      <w:iCs/>
      <w:spacing w:val="-10"/>
      <w:sz w:val="29"/>
      <w:szCs w:val="29"/>
    </w:rPr>
  </w:style>
  <w:style w:type="character" w:customStyle="1" w:styleId="28ArialNarrow75pt2617">
    <w:name w:val="Основной текст (28) + Arial Narrow.7.5 pt26.Курсив17"/>
    <w:uiPriority w:val="99"/>
    <w:rsid w:val="00362C75"/>
    <w:rPr>
      <w:rFonts w:ascii="Arial Narrow" w:hAnsi="Arial Narrow" w:cs="Arial Narrow"/>
      <w:i/>
      <w:iCs/>
      <w:sz w:val="15"/>
      <w:szCs w:val="15"/>
    </w:rPr>
  </w:style>
  <w:style w:type="character" w:customStyle="1" w:styleId="11SimHei1175pt339-2pt785pt250pt17">
    <w:name w:val="Основной текст (11) + SimHei1.17.5 pt33.Не курсив9.Интервал -2 pt.Основной текст (7) + 8.5 pt25.Интервал 0 pt17"/>
    <w:uiPriority w:val="99"/>
    <w:rsid w:val="00362C75"/>
    <w:rPr>
      <w:rFonts w:ascii="SimHei" w:eastAsia="SimHei" w:cs="SimHei"/>
      <w:i/>
      <w:iCs/>
      <w:spacing w:val="-40"/>
      <w:sz w:val="35"/>
      <w:szCs w:val="35"/>
    </w:rPr>
  </w:style>
  <w:style w:type="paragraph" w:customStyle="1" w:styleId="1510">
    <w:name w:val="Основной текст (15)1"/>
    <w:basedOn w:val="a"/>
    <w:uiPriority w:val="99"/>
    <w:rsid w:val="00362C75"/>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character" w:customStyle="1" w:styleId="78">
    <w:name w:val="Основной текст (7)8"/>
    <w:uiPriority w:val="99"/>
    <w:rsid w:val="00362C75"/>
    <w:rPr>
      <w:rFonts w:ascii="Arial" w:hAnsi="Arial" w:cs="Arial"/>
      <w:i/>
      <w:iCs/>
      <w:spacing w:val="-10"/>
      <w:sz w:val="16"/>
      <w:szCs w:val="16"/>
      <w:u w:val="single"/>
    </w:rPr>
  </w:style>
  <w:style w:type="character" w:customStyle="1" w:styleId="315">
    <w:name w:val="Основной текст (31) + Курсив"/>
    <w:uiPriority w:val="99"/>
    <w:rsid w:val="00362C75"/>
    <w:rPr>
      <w:rFonts w:ascii="Arial" w:hAnsi="Arial" w:cs="Arial"/>
      <w:i/>
      <w:iCs/>
      <w:spacing w:val="0"/>
      <w:sz w:val="11"/>
      <w:szCs w:val="11"/>
    </w:rPr>
  </w:style>
  <w:style w:type="character" w:customStyle="1" w:styleId="303">
    <w:name w:val="Основной текст (30) + Не курсив"/>
    <w:uiPriority w:val="99"/>
    <w:rsid w:val="00362C75"/>
    <w:rPr>
      <w:rFonts w:ascii="Arial" w:hAnsi="Arial" w:cs="Arial"/>
      <w:i/>
      <w:iCs/>
      <w:sz w:val="11"/>
      <w:szCs w:val="11"/>
    </w:rPr>
  </w:style>
  <w:style w:type="character" w:customStyle="1" w:styleId="85pt2415">
    <w:name w:val="Основной текст + 8.5 pt24.Полужирный15"/>
    <w:uiPriority w:val="99"/>
    <w:rsid w:val="00362C75"/>
    <w:rPr>
      <w:rFonts w:ascii="Arial" w:hAnsi="Arial" w:cs="Arial"/>
      <w:b/>
      <w:bCs/>
      <w:spacing w:val="0"/>
      <w:sz w:val="17"/>
      <w:szCs w:val="17"/>
    </w:rPr>
  </w:style>
  <w:style w:type="character" w:customStyle="1" w:styleId="20pt15">
    <w:name w:val="Основной текст + Курсив2.Интервал 0 pt15"/>
    <w:uiPriority w:val="99"/>
    <w:rsid w:val="00362C75"/>
    <w:rPr>
      <w:rFonts w:ascii="Arial" w:hAnsi="Arial" w:cs="Arial"/>
      <w:i/>
      <w:iCs/>
      <w:spacing w:val="-10"/>
      <w:sz w:val="16"/>
      <w:szCs w:val="16"/>
    </w:rPr>
  </w:style>
  <w:style w:type="character" w:customStyle="1" w:styleId="3010">
    <w:name w:val="Основной текст (30) + Не курсив1"/>
    <w:uiPriority w:val="99"/>
    <w:rsid w:val="00362C75"/>
    <w:rPr>
      <w:rFonts w:ascii="Arial" w:hAnsi="Arial" w:cs="Arial"/>
      <w:i/>
      <w:iCs/>
      <w:sz w:val="11"/>
      <w:szCs w:val="11"/>
    </w:rPr>
  </w:style>
  <w:style w:type="character" w:customStyle="1" w:styleId="3110">
    <w:name w:val="Основной текст (31) + Курсив1"/>
    <w:uiPriority w:val="99"/>
    <w:rsid w:val="00362C75"/>
    <w:rPr>
      <w:rFonts w:ascii="Arial" w:hAnsi="Arial" w:cs="Arial"/>
      <w:i/>
      <w:iCs/>
      <w:spacing w:val="0"/>
      <w:sz w:val="11"/>
      <w:szCs w:val="11"/>
    </w:rPr>
  </w:style>
  <w:style w:type="character" w:customStyle="1" w:styleId="295pt232-1pt67TimesNewRoman910pt14">
    <w:name w:val="Основной текст (2) + 9.5 pt23.Не курсив2.Интервал -1 pt6.Основной текст (7) + Times New Roman.91.Интервал 0 pt14"/>
    <w:uiPriority w:val="99"/>
    <w:rsid w:val="00362C75"/>
    <w:rPr>
      <w:rFonts w:ascii="Microsoft Sans Serif" w:hAnsi="Microsoft Sans Serif" w:cs="Microsoft Sans Serif"/>
      <w:i/>
      <w:iCs/>
      <w:spacing w:val="-20"/>
      <w:sz w:val="19"/>
      <w:szCs w:val="19"/>
    </w:rPr>
  </w:style>
  <w:style w:type="character" w:customStyle="1" w:styleId="70pt13">
    <w:name w:val="Основной текст (7) + Не курсив.Интервал 0 pt13"/>
    <w:uiPriority w:val="99"/>
    <w:rsid w:val="00362C75"/>
    <w:rPr>
      <w:rFonts w:ascii="Arial" w:hAnsi="Arial" w:cs="Arial"/>
      <w:i/>
      <w:iCs/>
      <w:spacing w:val="0"/>
      <w:sz w:val="16"/>
      <w:szCs w:val="16"/>
    </w:rPr>
  </w:style>
  <w:style w:type="character" w:customStyle="1" w:styleId="77">
    <w:name w:val="Основной текст (7)7"/>
    <w:uiPriority w:val="99"/>
    <w:rsid w:val="00362C75"/>
    <w:rPr>
      <w:rFonts w:ascii="Arial" w:hAnsi="Arial" w:cs="Arial"/>
      <w:i/>
      <w:iCs/>
      <w:spacing w:val="-10"/>
      <w:sz w:val="16"/>
      <w:szCs w:val="16"/>
      <w:u w:val="single"/>
    </w:rPr>
  </w:style>
  <w:style w:type="character" w:customStyle="1" w:styleId="1425pt220pt337SimHei7100pt12">
    <w:name w:val="Заголовок №1 + 42.5 pt22.Интервал 0 pt33.Основной текст (7) + SimHei.710.Интервал 0 pt12"/>
    <w:uiPriority w:val="99"/>
    <w:rsid w:val="00362C75"/>
    <w:rPr>
      <w:rFonts w:ascii="Arial Narrow" w:hAnsi="Arial Narrow" w:cs="Arial Narrow"/>
      <w:b/>
      <w:bCs/>
      <w:spacing w:val="0"/>
      <w:sz w:val="85"/>
      <w:szCs w:val="85"/>
    </w:rPr>
  </w:style>
  <w:style w:type="paragraph" w:customStyle="1" w:styleId="2210">
    <w:name w:val="Основной текст (22)1"/>
    <w:basedOn w:val="a"/>
    <w:uiPriority w:val="99"/>
    <w:rsid w:val="00362C75"/>
    <w:pPr>
      <w:shd w:val="clear" w:color="auto" w:fill="FFFFFF"/>
      <w:autoSpaceDE w:val="0"/>
      <w:autoSpaceDN w:val="0"/>
      <w:adjustRightInd w:val="0"/>
      <w:spacing w:line="216" w:lineRule="exact"/>
      <w:jc w:val="both"/>
    </w:pPr>
    <w:rPr>
      <w:rFonts w:ascii="Arial" w:hAnsi="Arial" w:cs="Arial"/>
      <w:i/>
      <w:iCs/>
      <w:noProof/>
      <w:spacing w:val="-10"/>
      <w:sz w:val="17"/>
      <w:szCs w:val="17"/>
      <w:lang w:val="en-US"/>
    </w:rPr>
  </w:style>
  <w:style w:type="character" w:customStyle="1" w:styleId="2260pt23">
    <w:name w:val="Основной текст (22) + Не курсив6.Интервал 0 pt23"/>
    <w:uiPriority w:val="99"/>
    <w:rsid w:val="00362C75"/>
    <w:rPr>
      <w:rFonts w:ascii="Arial" w:hAnsi="Arial" w:cs="Arial"/>
      <w:i/>
      <w:iCs/>
      <w:spacing w:val="0"/>
      <w:sz w:val="17"/>
      <w:szCs w:val="17"/>
    </w:rPr>
  </w:style>
  <w:style w:type="character" w:customStyle="1" w:styleId="111415pt3180pt43294pt">
    <w:name w:val="Основной текст (11) + 141.5 pt31.Не курсив8.Интервал 0 pt43.Основной текст (29) + 4 pt"/>
    <w:uiPriority w:val="99"/>
    <w:rsid w:val="00362C75"/>
    <w:rPr>
      <w:rFonts w:ascii="Microsoft Sans Serif" w:hAnsi="Microsoft Sans Serif" w:cs="Microsoft Sans Serif"/>
      <w:i/>
      <w:iCs/>
      <w:spacing w:val="-10"/>
      <w:sz w:val="29"/>
      <w:szCs w:val="29"/>
    </w:rPr>
  </w:style>
  <w:style w:type="paragraph" w:customStyle="1" w:styleId="1f3">
    <w:name w:val="Подпись к таблице1"/>
    <w:basedOn w:val="a"/>
    <w:uiPriority w:val="99"/>
    <w:rsid w:val="00362C75"/>
    <w:pPr>
      <w:shd w:val="clear" w:color="auto" w:fill="FFFFFF"/>
      <w:autoSpaceDE w:val="0"/>
      <w:autoSpaceDN w:val="0"/>
      <w:adjustRightInd w:val="0"/>
      <w:spacing w:line="240" w:lineRule="atLeast"/>
    </w:pPr>
    <w:rPr>
      <w:rFonts w:ascii="Arial" w:hAnsi="Arial" w:cs="Arial"/>
      <w:i/>
      <w:iCs/>
      <w:spacing w:val="-10"/>
      <w:sz w:val="17"/>
      <w:szCs w:val="17"/>
    </w:rPr>
  </w:style>
  <w:style w:type="character" w:customStyle="1" w:styleId="225">
    <w:name w:val="Основной текст (22)5"/>
    <w:uiPriority w:val="99"/>
    <w:rsid w:val="00362C75"/>
    <w:rPr>
      <w:rFonts w:ascii="Arial" w:hAnsi="Arial" w:cs="Arial"/>
      <w:i/>
      <w:iCs/>
      <w:spacing w:val="-10"/>
      <w:sz w:val="17"/>
      <w:szCs w:val="17"/>
      <w:u w:val="single"/>
    </w:rPr>
  </w:style>
  <w:style w:type="character" w:customStyle="1" w:styleId="80pt22">
    <w:name w:val="Основной текст + Курсив8.Интервал 0 pt22"/>
    <w:uiPriority w:val="99"/>
    <w:rsid w:val="00362C75"/>
    <w:rPr>
      <w:rFonts w:ascii="Arial" w:hAnsi="Arial" w:cs="Arial"/>
      <w:i/>
      <w:iCs/>
      <w:spacing w:val="-10"/>
      <w:sz w:val="17"/>
      <w:szCs w:val="17"/>
    </w:rPr>
  </w:style>
  <w:style w:type="character" w:customStyle="1" w:styleId="2250pt21">
    <w:name w:val="Основной текст (22) + Не курсив5.Интервал 0 pt21"/>
    <w:uiPriority w:val="99"/>
    <w:rsid w:val="00362C75"/>
    <w:rPr>
      <w:rFonts w:ascii="Arial" w:hAnsi="Arial" w:cs="Arial"/>
      <w:i/>
      <w:iCs/>
      <w:spacing w:val="0"/>
      <w:sz w:val="17"/>
      <w:szCs w:val="17"/>
    </w:rPr>
  </w:style>
  <w:style w:type="character" w:customStyle="1" w:styleId="750">
    <w:name w:val="Основной текст (7)5"/>
    <w:uiPriority w:val="99"/>
    <w:rsid w:val="00362C75"/>
    <w:rPr>
      <w:rFonts w:ascii="Arial" w:eastAsia="Arial Unicode MS" w:hAnsi="Arial" w:cs="Arial"/>
      <w:i/>
      <w:iCs/>
      <w:spacing w:val="-10"/>
      <w:sz w:val="16"/>
      <w:szCs w:val="16"/>
      <w:u w:val="single"/>
      <w:shd w:val="clear" w:color="auto" w:fill="FFFFFF"/>
    </w:rPr>
  </w:style>
  <w:style w:type="character" w:customStyle="1" w:styleId="740">
    <w:name w:val="Основной текст (7)4"/>
    <w:uiPriority w:val="99"/>
    <w:rsid w:val="00362C75"/>
    <w:rPr>
      <w:rFonts w:ascii="Arial" w:eastAsia="Arial Unicode MS" w:hAnsi="Arial" w:cs="Arial"/>
      <w:i/>
      <w:iCs/>
      <w:spacing w:val="-10"/>
      <w:sz w:val="16"/>
      <w:szCs w:val="16"/>
      <w:u w:val="single"/>
      <w:shd w:val="clear" w:color="auto" w:fill="FFFFFF"/>
    </w:rPr>
  </w:style>
  <w:style w:type="character" w:customStyle="1" w:styleId="730">
    <w:name w:val="Основной текст (7)3"/>
    <w:uiPriority w:val="99"/>
    <w:rsid w:val="00362C75"/>
    <w:rPr>
      <w:rFonts w:ascii="Arial" w:eastAsia="Arial Unicode MS" w:hAnsi="Arial" w:cs="Arial"/>
      <w:i/>
      <w:iCs/>
      <w:spacing w:val="-10"/>
      <w:sz w:val="16"/>
      <w:szCs w:val="16"/>
      <w:u w:val="single"/>
      <w:shd w:val="clear" w:color="auto" w:fill="FFFFFF"/>
    </w:rPr>
  </w:style>
  <w:style w:type="character" w:customStyle="1" w:styleId="2FranklinGothicDemi113pt760pt417SimHei17pt20pt10">
    <w:name w:val="Основной текст (2) + Franklin Gothic Demi1.13 pt7.Не курсив6.Интервал 0 pt41.Основной текст (7) + SimHei1.7 pt2.Интервал 0 pt10"/>
    <w:uiPriority w:val="99"/>
    <w:rsid w:val="00362C75"/>
    <w:rPr>
      <w:rFonts w:ascii="Franklin Gothic Demi" w:hAnsi="Franklin Gothic Demi" w:cs="Franklin Gothic Demi"/>
      <w:i/>
      <w:iCs/>
      <w:spacing w:val="0"/>
      <w:sz w:val="26"/>
      <w:szCs w:val="26"/>
    </w:rPr>
  </w:style>
  <w:style w:type="character" w:customStyle="1" w:styleId="760">
    <w:name w:val="Основной текст (7)6"/>
    <w:uiPriority w:val="99"/>
    <w:rsid w:val="00362C75"/>
    <w:rPr>
      <w:rFonts w:ascii="Arial" w:eastAsia="Arial Unicode MS" w:hAnsi="Arial" w:cs="Arial"/>
      <w:i/>
      <w:iCs/>
      <w:spacing w:val="-10"/>
      <w:sz w:val="16"/>
      <w:szCs w:val="16"/>
      <w:u w:val="single"/>
      <w:shd w:val="clear" w:color="auto" w:fill="FFFFFF"/>
    </w:rPr>
  </w:style>
  <w:style w:type="character" w:customStyle="1" w:styleId="720pt11">
    <w:name w:val="Основной текст (7) + Не курсив2.Интервал 0 pt11"/>
    <w:uiPriority w:val="99"/>
    <w:rsid w:val="00362C75"/>
    <w:rPr>
      <w:rFonts w:ascii="Arial" w:eastAsia="Arial Unicode MS" w:hAnsi="Arial" w:cs="Arial"/>
      <w:i/>
      <w:iCs/>
      <w:spacing w:val="0"/>
      <w:sz w:val="16"/>
      <w:szCs w:val="16"/>
      <w:shd w:val="clear" w:color="auto" w:fill="FFFFFF"/>
    </w:rPr>
  </w:style>
  <w:style w:type="character" w:customStyle="1" w:styleId="0pt186">
    <w:name w:val="Основной текст + Курсив.Интервал 0 pt18.Основной текст + Курсив6"/>
    <w:uiPriority w:val="99"/>
    <w:rsid w:val="00362C75"/>
    <w:rPr>
      <w:rFonts w:ascii="Arial" w:hAnsi="Arial" w:cs="Arial"/>
      <w:i/>
      <w:iCs/>
      <w:spacing w:val="-10"/>
      <w:sz w:val="16"/>
      <w:szCs w:val="16"/>
    </w:rPr>
  </w:style>
  <w:style w:type="character" w:customStyle="1" w:styleId="SimHei735pt19">
    <w:name w:val="Основной текст + SimHei.73.5 pt19"/>
    <w:uiPriority w:val="99"/>
    <w:rsid w:val="00362C75"/>
    <w:rPr>
      <w:rFonts w:ascii="SimHei" w:eastAsia="SimHei" w:hAnsi="Microsoft Sans Serif" w:cs="SimHei"/>
      <w:spacing w:val="0"/>
      <w:sz w:val="15"/>
      <w:szCs w:val="15"/>
    </w:rPr>
  </w:style>
  <w:style w:type="character" w:customStyle="1" w:styleId="2220">
    <w:name w:val="Основной текст (22)2"/>
    <w:uiPriority w:val="99"/>
    <w:rsid w:val="00362C75"/>
    <w:rPr>
      <w:rFonts w:ascii="Arial" w:hAnsi="Arial" w:cs="Arial"/>
      <w:i/>
      <w:iCs/>
      <w:spacing w:val="-10"/>
      <w:sz w:val="17"/>
      <w:szCs w:val="17"/>
      <w:u w:val="single"/>
    </w:rPr>
  </w:style>
  <w:style w:type="character" w:customStyle="1" w:styleId="223">
    <w:name w:val="Основной текст (22)_"/>
    <w:uiPriority w:val="99"/>
    <w:rsid w:val="00362C75"/>
    <w:rPr>
      <w:rFonts w:ascii="Arial" w:hAnsi="Arial" w:cs="Arial"/>
      <w:i/>
      <w:iCs/>
      <w:spacing w:val="-10"/>
      <w:sz w:val="17"/>
      <w:szCs w:val="17"/>
    </w:rPr>
  </w:style>
  <w:style w:type="character" w:customStyle="1" w:styleId="295pt232-1pt67TimesNewRoman910pt1422322SimHei725pt13">
    <w:name w:val="Основной текст (2) + 9.5 pt23.Не курсив2.Интервал -1 pt6.Основной текст (7) + Times New Roman.91.Интервал 0 pt14.Основной текст (22) + Не курсив3.Основной текст (22) + SimHei.72.5 pt13"/>
    <w:uiPriority w:val="99"/>
    <w:rsid w:val="00362C75"/>
    <w:rPr>
      <w:rFonts w:ascii="Microsoft Sans Serif" w:hAnsi="Microsoft Sans Serif" w:cs="Microsoft Sans Serif"/>
      <w:i/>
      <w:iCs/>
      <w:spacing w:val="-20"/>
      <w:sz w:val="19"/>
      <w:szCs w:val="19"/>
    </w:rPr>
  </w:style>
  <w:style w:type="character" w:customStyle="1" w:styleId="70pt13222">
    <w:name w:val="Основной текст (7) + Не курсив.Интервал 0 pt13.Основной текст (22) + Не курсив2"/>
    <w:uiPriority w:val="99"/>
    <w:rsid w:val="00362C75"/>
    <w:rPr>
      <w:rFonts w:ascii="Arial" w:hAnsi="Arial" w:cs="Arial"/>
      <w:i/>
      <w:iCs/>
      <w:spacing w:val="0"/>
      <w:sz w:val="16"/>
      <w:szCs w:val="16"/>
    </w:rPr>
  </w:style>
  <w:style w:type="character" w:customStyle="1" w:styleId="224">
    <w:name w:val="Основной текст (22)4"/>
    <w:uiPriority w:val="99"/>
    <w:rsid w:val="00362C75"/>
    <w:rPr>
      <w:rFonts w:ascii="Arial" w:hAnsi="Arial" w:cs="Arial"/>
      <w:i/>
      <w:iCs/>
      <w:spacing w:val="-10"/>
      <w:sz w:val="17"/>
      <w:szCs w:val="17"/>
      <w:u w:val="single"/>
    </w:rPr>
  </w:style>
  <w:style w:type="character" w:customStyle="1" w:styleId="2230">
    <w:name w:val="Основной текст (22)3"/>
    <w:uiPriority w:val="99"/>
    <w:rsid w:val="00362C75"/>
    <w:rPr>
      <w:rFonts w:ascii="Arial" w:hAnsi="Arial" w:cs="Arial"/>
      <w:i/>
      <w:iCs/>
      <w:spacing w:val="-10"/>
      <w:sz w:val="17"/>
      <w:szCs w:val="17"/>
      <w:u w:val="single"/>
    </w:rPr>
  </w:style>
  <w:style w:type="character" w:customStyle="1" w:styleId="70pt20">
    <w:name w:val="Основной текст + Курсив7.Интервал 0 pt20"/>
    <w:uiPriority w:val="99"/>
    <w:rsid w:val="00362C75"/>
    <w:rPr>
      <w:rFonts w:ascii="Arial" w:hAnsi="Arial" w:cs="Arial"/>
      <w:i/>
      <w:iCs/>
      <w:spacing w:val="-10"/>
      <w:sz w:val="17"/>
      <w:szCs w:val="17"/>
    </w:rPr>
  </w:style>
  <w:style w:type="character" w:customStyle="1" w:styleId="2240pt19">
    <w:name w:val="Основной текст (22) + Не курсив4.Интервал 0 pt19"/>
    <w:uiPriority w:val="99"/>
    <w:rsid w:val="00362C75"/>
    <w:rPr>
      <w:rFonts w:ascii="Arial" w:hAnsi="Arial" w:cs="Arial"/>
      <w:i/>
      <w:iCs/>
      <w:spacing w:val="0"/>
      <w:sz w:val="17"/>
      <w:szCs w:val="17"/>
    </w:rPr>
  </w:style>
  <w:style w:type="character" w:customStyle="1" w:styleId="20pt29">
    <w:name w:val="Основной текст (2) + Не курсив.Интервал 0 pt29"/>
    <w:uiPriority w:val="99"/>
    <w:rsid w:val="00362C75"/>
    <w:rPr>
      <w:rFonts w:ascii="Arial" w:hAnsi="Arial" w:cs="Arial"/>
      <w:i/>
      <w:iCs/>
      <w:spacing w:val="0"/>
      <w:sz w:val="16"/>
      <w:szCs w:val="16"/>
    </w:rPr>
  </w:style>
  <w:style w:type="character" w:customStyle="1" w:styleId="283">
    <w:name w:val="Основной текст (2)8"/>
    <w:uiPriority w:val="99"/>
    <w:rsid w:val="00362C75"/>
    <w:rPr>
      <w:rFonts w:ascii="Arial" w:hAnsi="Arial" w:cs="Arial"/>
      <w:i/>
      <w:iCs/>
      <w:spacing w:val="-10"/>
      <w:sz w:val="16"/>
      <w:szCs w:val="16"/>
      <w:u w:val="single"/>
    </w:rPr>
  </w:style>
  <w:style w:type="character" w:customStyle="1" w:styleId="2SimHei75pt790pt28">
    <w:name w:val="Основной текст (2) + SimHei.7.5 pt7.Не курсив9.Интервал 0 pt28"/>
    <w:uiPriority w:val="99"/>
    <w:rsid w:val="00362C75"/>
    <w:rPr>
      <w:rFonts w:ascii="SimHei" w:eastAsia="SimHei" w:cs="SimHei"/>
      <w:i/>
      <w:iCs/>
      <w:spacing w:val="0"/>
      <w:sz w:val="15"/>
      <w:szCs w:val="15"/>
    </w:rPr>
  </w:style>
  <w:style w:type="character" w:customStyle="1" w:styleId="273">
    <w:name w:val="Основной текст (2)7"/>
    <w:uiPriority w:val="99"/>
    <w:rsid w:val="00362C75"/>
    <w:rPr>
      <w:rFonts w:ascii="Arial" w:hAnsi="Arial" w:cs="Arial"/>
      <w:i/>
      <w:iCs/>
      <w:spacing w:val="-10"/>
      <w:sz w:val="16"/>
      <w:szCs w:val="16"/>
      <w:u w:val="single"/>
    </w:rPr>
  </w:style>
  <w:style w:type="character" w:customStyle="1" w:styleId="262">
    <w:name w:val="Основной текст (2)6"/>
    <w:uiPriority w:val="99"/>
    <w:rsid w:val="00362C75"/>
    <w:rPr>
      <w:rFonts w:ascii="Arial" w:hAnsi="Arial" w:cs="Arial"/>
      <w:i/>
      <w:iCs/>
      <w:spacing w:val="-10"/>
      <w:sz w:val="16"/>
      <w:szCs w:val="16"/>
      <w:u w:val="single"/>
    </w:rPr>
  </w:style>
  <w:style w:type="character" w:customStyle="1" w:styleId="110pt26">
    <w:name w:val="Основной текст + Курсив11.Интервал 0 pt26"/>
    <w:uiPriority w:val="99"/>
    <w:rsid w:val="00362C75"/>
    <w:rPr>
      <w:rFonts w:ascii="Arial" w:hAnsi="Arial" w:cs="Arial"/>
      <w:i/>
      <w:iCs/>
      <w:spacing w:val="-10"/>
      <w:sz w:val="16"/>
      <w:szCs w:val="16"/>
      <w:u w:val="single"/>
    </w:rPr>
  </w:style>
  <w:style w:type="character" w:customStyle="1" w:styleId="2BookmanOldStyle825pt680pt25">
    <w:name w:val="Основной текст (2) + Bookman Old Style.82.5 pt6.Не курсив8.Интервал 0 pt25"/>
    <w:uiPriority w:val="99"/>
    <w:rsid w:val="00362C75"/>
    <w:rPr>
      <w:rFonts w:ascii="Bookman Old Style" w:hAnsi="Bookman Old Style" w:cs="Bookman Old Style"/>
      <w:i/>
      <w:iCs/>
      <w:spacing w:val="0"/>
      <w:sz w:val="17"/>
      <w:szCs w:val="17"/>
    </w:rPr>
  </w:style>
  <w:style w:type="character" w:customStyle="1" w:styleId="280pt24">
    <w:name w:val="Основной текст (2) + Не курсив8.Интервал 0 pt24"/>
    <w:uiPriority w:val="99"/>
    <w:rsid w:val="00362C75"/>
    <w:rPr>
      <w:rFonts w:ascii="Arial" w:hAnsi="Arial" w:cs="Arial"/>
      <w:i/>
      <w:iCs/>
      <w:spacing w:val="0"/>
      <w:sz w:val="16"/>
      <w:szCs w:val="16"/>
    </w:rPr>
  </w:style>
  <w:style w:type="character" w:customStyle="1" w:styleId="2SimHei2715pt350pt23">
    <w:name w:val="Основной текст (2) + SimHei2.71.5 pt3.Не курсив5.Интервал 0 pt23"/>
    <w:uiPriority w:val="99"/>
    <w:rsid w:val="00362C75"/>
    <w:rPr>
      <w:rFonts w:ascii="SimHei" w:eastAsia="SimHei" w:cs="SimHei"/>
      <w:i/>
      <w:iCs/>
      <w:spacing w:val="0"/>
      <w:sz w:val="15"/>
      <w:szCs w:val="15"/>
    </w:rPr>
  </w:style>
  <w:style w:type="character" w:customStyle="1" w:styleId="253">
    <w:name w:val="Основной текст (2)5"/>
    <w:uiPriority w:val="99"/>
    <w:rsid w:val="00362C75"/>
    <w:rPr>
      <w:rFonts w:ascii="Arial" w:hAnsi="Arial" w:cs="Arial"/>
      <w:i/>
      <w:iCs/>
      <w:spacing w:val="-10"/>
      <w:sz w:val="16"/>
      <w:szCs w:val="16"/>
      <w:u w:val="single"/>
    </w:rPr>
  </w:style>
  <w:style w:type="character" w:customStyle="1" w:styleId="270pt22">
    <w:name w:val="Основной текст (2) + Не курсив7.Интервал 0 pt22"/>
    <w:uiPriority w:val="99"/>
    <w:rsid w:val="00362C75"/>
    <w:rPr>
      <w:rFonts w:ascii="Arial" w:hAnsi="Arial" w:cs="Arial"/>
      <w:i/>
      <w:iCs/>
      <w:spacing w:val="0"/>
      <w:sz w:val="16"/>
      <w:szCs w:val="16"/>
    </w:rPr>
  </w:style>
  <w:style w:type="character" w:customStyle="1" w:styleId="2SimHei17pt40pt21">
    <w:name w:val="Основной текст (2) + SimHei1.7 pt.Не курсив4.Интервал 0 pt21"/>
    <w:uiPriority w:val="99"/>
    <w:rsid w:val="00362C75"/>
    <w:rPr>
      <w:rFonts w:ascii="SimHei" w:eastAsia="SimHei" w:cs="SimHei"/>
      <w:i/>
      <w:iCs/>
      <w:spacing w:val="0"/>
      <w:sz w:val="14"/>
      <w:szCs w:val="14"/>
    </w:rPr>
  </w:style>
  <w:style w:type="character" w:customStyle="1" w:styleId="244">
    <w:name w:val="Основной текст (2)4"/>
    <w:uiPriority w:val="99"/>
    <w:rsid w:val="00362C75"/>
    <w:rPr>
      <w:rFonts w:ascii="Arial" w:hAnsi="Arial" w:cs="Arial"/>
      <w:i/>
      <w:iCs/>
      <w:spacing w:val="-10"/>
      <w:sz w:val="16"/>
      <w:szCs w:val="16"/>
      <w:u w:val="single"/>
    </w:rPr>
  </w:style>
  <w:style w:type="character" w:customStyle="1" w:styleId="232">
    <w:name w:val="Основной текст (2)3"/>
    <w:uiPriority w:val="99"/>
    <w:rsid w:val="00362C75"/>
    <w:rPr>
      <w:rFonts w:ascii="Arial" w:hAnsi="Arial" w:cs="Arial"/>
      <w:i/>
      <w:iCs/>
      <w:spacing w:val="-10"/>
      <w:sz w:val="16"/>
      <w:szCs w:val="16"/>
      <w:u w:val="single"/>
    </w:rPr>
  </w:style>
  <w:style w:type="character" w:customStyle="1" w:styleId="260pt20">
    <w:name w:val="Основной текст (2) + Не курсив6.Интервал 0 pt20"/>
    <w:uiPriority w:val="99"/>
    <w:rsid w:val="00362C75"/>
    <w:rPr>
      <w:rFonts w:ascii="Arial" w:hAnsi="Arial" w:cs="Arial"/>
      <w:i/>
      <w:iCs/>
      <w:spacing w:val="0"/>
      <w:sz w:val="16"/>
      <w:szCs w:val="16"/>
    </w:rPr>
  </w:style>
  <w:style w:type="character" w:customStyle="1" w:styleId="226">
    <w:name w:val="Основной текст (2)2"/>
    <w:uiPriority w:val="99"/>
    <w:rsid w:val="00362C75"/>
    <w:rPr>
      <w:rFonts w:ascii="Arial" w:hAnsi="Arial" w:cs="Arial"/>
      <w:i/>
      <w:iCs/>
      <w:spacing w:val="-10"/>
      <w:sz w:val="16"/>
      <w:szCs w:val="16"/>
      <w:u w:val="single"/>
    </w:rPr>
  </w:style>
  <w:style w:type="character" w:customStyle="1" w:styleId="5136">
    <w:name w:val="Основной текст (5)136"/>
    <w:uiPriority w:val="99"/>
    <w:rsid w:val="00362C75"/>
    <w:rPr>
      <w:i/>
      <w:iCs/>
      <w:sz w:val="16"/>
      <w:szCs w:val="16"/>
    </w:rPr>
  </w:style>
  <w:style w:type="character" w:customStyle="1" w:styleId="58545pt75630pt128">
    <w:name w:val="Основной текст (5) + 854.5 pt75.Не курсив63.Интервал 0 pt128"/>
    <w:uiPriority w:val="99"/>
    <w:rsid w:val="00362C75"/>
    <w:rPr>
      <w:i/>
      <w:iCs/>
      <w:spacing w:val="-10"/>
      <w:sz w:val="17"/>
      <w:szCs w:val="17"/>
    </w:rPr>
  </w:style>
  <w:style w:type="character" w:customStyle="1" w:styleId="5133">
    <w:name w:val="Основной текст (5)133"/>
    <w:uiPriority w:val="99"/>
    <w:rsid w:val="00362C75"/>
    <w:rPr>
      <w:rFonts w:ascii="Arial Unicode MS" w:eastAsia="Arial Unicode MS" w:cs="Arial Unicode MS"/>
      <w:i/>
      <w:iCs/>
      <w:noProof/>
      <w:sz w:val="16"/>
      <w:szCs w:val="16"/>
    </w:rPr>
  </w:style>
  <w:style w:type="character" w:customStyle="1" w:styleId="5132">
    <w:name w:val="Основной текст (5)132"/>
    <w:uiPriority w:val="99"/>
    <w:rsid w:val="00362C75"/>
    <w:rPr>
      <w:rFonts w:ascii="Arial Unicode MS" w:eastAsia="Arial Unicode MS" w:cs="Arial Unicode MS"/>
      <w:i/>
      <w:iCs/>
      <w:noProof/>
      <w:sz w:val="16"/>
      <w:szCs w:val="16"/>
    </w:rPr>
  </w:style>
  <w:style w:type="character" w:customStyle="1" w:styleId="5131">
    <w:name w:val="Основной текст (5)131"/>
    <w:uiPriority w:val="99"/>
    <w:rsid w:val="00362C75"/>
    <w:rPr>
      <w:i/>
      <w:iCs/>
      <w:sz w:val="16"/>
      <w:szCs w:val="16"/>
    </w:rPr>
  </w:style>
  <w:style w:type="character" w:customStyle="1" w:styleId="5130">
    <w:name w:val="Основной текст (5)130"/>
    <w:uiPriority w:val="99"/>
    <w:rsid w:val="00362C75"/>
    <w:rPr>
      <w:rFonts w:ascii="Arial Unicode MS" w:eastAsia="Arial Unicode MS" w:cs="Arial Unicode MS"/>
      <w:i/>
      <w:iCs/>
      <w:noProof/>
      <w:sz w:val="16"/>
      <w:szCs w:val="16"/>
    </w:rPr>
  </w:style>
  <w:style w:type="character" w:customStyle="1" w:styleId="5116">
    <w:name w:val="Основной текст (5)116"/>
    <w:uiPriority w:val="99"/>
    <w:rsid w:val="00362C75"/>
    <w:rPr>
      <w:rFonts w:ascii="Arial" w:hAnsi="Arial"/>
      <w:i/>
      <w:iCs/>
      <w:spacing w:val="0"/>
      <w:sz w:val="16"/>
      <w:szCs w:val="16"/>
    </w:rPr>
  </w:style>
  <w:style w:type="character" w:customStyle="1" w:styleId="5113">
    <w:name w:val="Основной текст (5)113"/>
    <w:uiPriority w:val="99"/>
    <w:rsid w:val="00362C75"/>
    <w:rPr>
      <w:rFonts w:ascii="Arial" w:hAnsi="Arial"/>
      <w:i/>
      <w:iCs/>
      <w:spacing w:val="0"/>
      <w:sz w:val="16"/>
      <w:szCs w:val="16"/>
      <w:u w:val="single"/>
    </w:rPr>
  </w:style>
  <w:style w:type="character" w:customStyle="1" w:styleId="5117">
    <w:name w:val="Основной текст (5)117"/>
    <w:uiPriority w:val="99"/>
    <w:rsid w:val="00362C75"/>
    <w:rPr>
      <w:rFonts w:ascii="Arial" w:hAnsi="Arial"/>
      <w:i/>
      <w:iCs/>
      <w:spacing w:val="0"/>
      <w:sz w:val="16"/>
      <w:szCs w:val="16"/>
    </w:rPr>
  </w:style>
  <w:style w:type="character" w:customStyle="1" w:styleId="5106">
    <w:name w:val="Основной текст (5)106"/>
    <w:uiPriority w:val="99"/>
    <w:rsid w:val="00362C75"/>
    <w:rPr>
      <w:rFonts w:ascii="Arial" w:hAnsi="Arial"/>
      <w:i/>
      <w:iCs/>
      <w:spacing w:val="0"/>
      <w:sz w:val="16"/>
      <w:szCs w:val="16"/>
    </w:rPr>
  </w:style>
  <w:style w:type="character" w:customStyle="1" w:styleId="5105">
    <w:name w:val="Основной текст (5)105"/>
    <w:uiPriority w:val="99"/>
    <w:rsid w:val="00362C75"/>
    <w:rPr>
      <w:rFonts w:ascii="Arial Unicode MS" w:eastAsia="Arial Unicode MS" w:hAnsi="Arial" w:cs="Arial Unicode MS"/>
      <w:i/>
      <w:iCs/>
      <w:noProof/>
      <w:spacing w:val="0"/>
      <w:sz w:val="16"/>
      <w:szCs w:val="16"/>
    </w:rPr>
  </w:style>
  <w:style w:type="character" w:customStyle="1" w:styleId="5104">
    <w:name w:val="Основной текст (5)104"/>
    <w:uiPriority w:val="99"/>
    <w:rsid w:val="00362C75"/>
    <w:rPr>
      <w:rFonts w:ascii="Arial" w:hAnsi="Arial"/>
      <w:i/>
      <w:iCs/>
      <w:spacing w:val="0"/>
      <w:sz w:val="16"/>
      <w:szCs w:val="16"/>
      <w:u w:val="single"/>
    </w:rPr>
  </w:style>
  <w:style w:type="character" w:customStyle="1" w:styleId="5103">
    <w:name w:val="Основной текст (5)103"/>
    <w:uiPriority w:val="99"/>
    <w:rsid w:val="00362C75"/>
    <w:rPr>
      <w:rFonts w:ascii="Arial Unicode MS" w:eastAsia="Arial Unicode MS" w:hAnsi="Arial" w:cs="Arial Unicode MS"/>
      <w:i/>
      <w:iCs/>
      <w:noProof/>
      <w:spacing w:val="0"/>
      <w:sz w:val="16"/>
      <w:szCs w:val="16"/>
    </w:rPr>
  </w:style>
  <w:style w:type="character" w:customStyle="1" w:styleId="5102">
    <w:name w:val="Основной текст (5)102"/>
    <w:uiPriority w:val="99"/>
    <w:rsid w:val="00362C75"/>
    <w:rPr>
      <w:rFonts w:ascii="Arial Unicode MS" w:eastAsia="Arial Unicode MS" w:hAnsi="Arial" w:cs="Arial Unicode MS"/>
      <w:i/>
      <w:iCs/>
      <w:noProof/>
      <w:spacing w:val="0"/>
      <w:sz w:val="16"/>
      <w:szCs w:val="16"/>
    </w:rPr>
  </w:style>
  <w:style w:type="character" w:customStyle="1" w:styleId="531">
    <w:name w:val="Заголовок №53"/>
    <w:uiPriority w:val="99"/>
    <w:rsid w:val="00362C75"/>
    <w:rPr>
      <w:rFonts w:ascii="Arial Unicode MS" w:eastAsia="Arial Unicode MS" w:hAnsi="Tahoma" w:cs="Arial Unicode MS"/>
      <w:b/>
      <w:bCs/>
      <w:i/>
      <w:iCs/>
      <w:noProof/>
      <w:sz w:val="16"/>
      <w:szCs w:val="16"/>
      <w:shd w:val="clear" w:color="auto" w:fill="FFFFFF"/>
    </w:rPr>
  </w:style>
  <w:style w:type="character" w:customStyle="1" w:styleId="58485pt69580pt120">
    <w:name w:val="Основной текст (5) + 848.5 pt69.Не курсив58.Интервал 0 pt120"/>
    <w:uiPriority w:val="99"/>
    <w:rsid w:val="00362C75"/>
    <w:rPr>
      <w:rFonts w:ascii="Arial" w:hAnsi="Arial"/>
      <w:i/>
      <w:iCs/>
      <w:spacing w:val="-10"/>
      <w:sz w:val="17"/>
      <w:szCs w:val="17"/>
    </w:rPr>
  </w:style>
  <w:style w:type="character" w:customStyle="1" w:styleId="521">
    <w:name w:val="Заголовок №52"/>
    <w:uiPriority w:val="99"/>
    <w:rsid w:val="00362C75"/>
    <w:rPr>
      <w:rFonts w:ascii="Tahoma" w:hAnsi="Tahoma" w:cs="Tahoma"/>
      <w:b/>
      <w:bCs/>
      <w:i/>
      <w:iCs/>
      <w:sz w:val="16"/>
      <w:szCs w:val="16"/>
      <w:u w:val="single"/>
      <w:shd w:val="clear" w:color="auto" w:fill="FFFFFF"/>
    </w:rPr>
  </w:style>
  <w:style w:type="character" w:customStyle="1" w:styleId="5101">
    <w:name w:val="Основной текст (5)101"/>
    <w:uiPriority w:val="99"/>
    <w:rsid w:val="00362C75"/>
    <w:rPr>
      <w:rFonts w:ascii="Arial" w:hAnsi="Arial"/>
      <w:i/>
      <w:iCs/>
      <w:spacing w:val="0"/>
      <w:sz w:val="16"/>
      <w:szCs w:val="16"/>
    </w:rPr>
  </w:style>
  <w:style w:type="character" w:customStyle="1" w:styleId="5100">
    <w:name w:val="Основной текст (5)100"/>
    <w:uiPriority w:val="99"/>
    <w:rsid w:val="00362C75"/>
    <w:rPr>
      <w:rFonts w:ascii="Arial Unicode MS" w:eastAsia="Arial Unicode MS" w:hAnsi="Arial" w:cs="Arial Unicode MS"/>
      <w:i/>
      <w:iCs/>
      <w:noProof/>
      <w:spacing w:val="0"/>
      <w:sz w:val="16"/>
      <w:szCs w:val="16"/>
    </w:rPr>
  </w:style>
  <w:style w:type="character" w:customStyle="1" w:styleId="599">
    <w:name w:val="Основной текст (5)99"/>
    <w:uiPriority w:val="99"/>
    <w:rsid w:val="00362C75"/>
    <w:rPr>
      <w:rFonts w:ascii="Arial Unicode MS" w:eastAsia="Arial Unicode MS" w:hAnsi="Arial" w:cs="Arial Unicode MS"/>
      <w:i/>
      <w:iCs/>
      <w:noProof/>
      <w:spacing w:val="0"/>
      <w:sz w:val="16"/>
      <w:szCs w:val="16"/>
    </w:rPr>
  </w:style>
  <w:style w:type="character" w:customStyle="1" w:styleId="58475pt68570pt119">
    <w:name w:val="Основной текст (5) + 847.5 pt68.Не курсив57.Интервал 0 pt119"/>
    <w:uiPriority w:val="99"/>
    <w:rsid w:val="00362C75"/>
    <w:rPr>
      <w:rFonts w:ascii="Arial" w:hAnsi="Arial"/>
      <w:i/>
      <w:iCs/>
      <w:spacing w:val="-10"/>
      <w:sz w:val="17"/>
      <w:szCs w:val="17"/>
    </w:rPr>
  </w:style>
  <w:style w:type="character" w:customStyle="1" w:styleId="598">
    <w:name w:val="Основной текст (5)98"/>
    <w:uiPriority w:val="99"/>
    <w:rsid w:val="00362C75"/>
    <w:rPr>
      <w:rFonts w:ascii="Arial" w:hAnsi="Arial"/>
      <w:i/>
      <w:iCs/>
      <w:spacing w:val="0"/>
      <w:sz w:val="16"/>
      <w:szCs w:val="16"/>
      <w:u w:val="single"/>
    </w:rPr>
  </w:style>
  <w:style w:type="character" w:customStyle="1" w:styleId="597">
    <w:name w:val="Основной текст (5)97"/>
    <w:uiPriority w:val="99"/>
    <w:rsid w:val="00362C75"/>
    <w:rPr>
      <w:rFonts w:ascii="Arial Unicode MS" w:eastAsia="Arial Unicode MS" w:hAnsi="Arial" w:cs="Arial Unicode MS"/>
      <w:i/>
      <w:iCs/>
      <w:noProof/>
      <w:spacing w:val="0"/>
      <w:sz w:val="16"/>
      <w:szCs w:val="16"/>
      <w:u w:val="single"/>
    </w:rPr>
  </w:style>
  <w:style w:type="paragraph" w:customStyle="1" w:styleId="513">
    <w:name w:val="Заголовок №51"/>
    <w:basedOn w:val="a"/>
    <w:uiPriority w:val="99"/>
    <w:rsid w:val="00362C75"/>
    <w:pPr>
      <w:shd w:val="clear" w:color="auto" w:fill="FFFFFF"/>
      <w:autoSpaceDE w:val="0"/>
      <w:autoSpaceDN w:val="0"/>
      <w:adjustRightInd w:val="0"/>
      <w:spacing w:line="211" w:lineRule="exact"/>
      <w:jc w:val="both"/>
    </w:pPr>
    <w:rPr>
      <w:i/>
      <w:iCs/>
      <w:noProof/>
      <w:sz w:val="16"/>
      <w:szCs w:val="16"/>
      <w:lang w:val="en-US"/>
    </w:rPr>
  </w:style>
  <w:style w:type="character" w:customStyle="1" w:styleId="100pt30">
    <w:name w:val="Основной текст + Курсив10.Интервал 0 pt30"/>
    <w:uiPriority w:val="99"/>
    <w:rsid w:val="00362C75"/>
    <w:rPr>
      <w:rFonts w:ascii="Microsoft Sans Serif" w:hAnsi="Microsoft Sans Serif" w:cs="Microsoft Sans Serif"/>
      <w:i/>
      <w:iCs/>
      <w:spacing w:val="0"/>
      <w:sz w:val="16"/>
      <w:szCs w:val="16"/>
    </w:rPr>
  </w:style>
  <w:style w:type="character" w:customStyle="1" w:styleId="120pt29">
    <w:name w:val="Основной текст (12) + Не курсив.Интервал 0 pt29"/>
    <w:uiPriority w:val="99"/>
    <w:rsid w:val="00362C75"/>
    <w:rPr>
      <w:rFonts w:ascii="Microsoft Sans Serif" w:hAnsi="Microsoft Sans Serif" w:cs="Microsoft Sans Serif"/>
      <w:i/>
      <w:iCs/>
      <w:spacing w:val="-10"/>
      <w:sz w:val="16"/>
      <w:szCs w:val="16"/>
    </w:rPr>
  </w:style>
  <w:style w:type="character" w:customStyle="1" w:styleId="1260pt28">
    <w:name w:val="Основной текст (12) + Не курсив6.Интервал 0 pt28"/>
    <w:uiPriority w:val="99"/>
    <w:rsid w:val="00362C75"/>
    <w:rPr>
      <w:rFonts w:ascii="Microsoft Sans Serif" w:hAnsi="Microsoft Sans Serif" w:cs="Microsoft Sans Serif"/>
      <w:i/>
      <w:iCs/>
      <w:spacing w:val="-10"/>
      <w:sz w:val="16"/>
      <w:szCs w:val="16"/>
    </w:rPr>
  </w:style>
  <w:style w:type="character" w:customStyle="1" w:styleId="90pt27">
    <w:name w:val="Основной текст + Курсив9.Интервал 0 pt27"/>
    <w:uiPriority w:val="99"/>
    <w:rsid w:val="00362C75"/>
    <w:rPr>
      <w:rFonts w:ascii="Microsoft Sans Serif" w:hAnsi="Microsoft Sans Serif" w:cs="Microsoft Sans Serif"/>
      <w:i/>
      <w:iCs/>
      <w:spacing w:val="0"/>
      <w:sz w:val="16"/>
      <w:szCs w:val="16"/>
    </w:rPr>
  </w:style>
  <w:style w:type="character" w:customStyle="1" w:styleId="126">
    <w:name w:val="Основной текст (12)6"/>
    <w:uiPriority w:val="99"/>
    <w:rsid w:val="00362C75"/>
    <w:rPr>
      <w:rFonts w:ascii="Microsoft Sans Serif" w:hAnsi="Microsoft Sans Serif" w:cs="Microsoft Sans Serif"/>
      <w:i/>
      <w:iCs/>
      <w:spacing w:val="0"/>
      <w:sz w:val="16"/>
      <w:szCs w:val="16"/>
      <w:u w:val="single"/>
    </w:rPr>
  </w:style>
  <w:style w:type="character" w:customStyle="1" w:styleId="80pt26">
    <w:name w:val="Основной текст + Курсив8.Интервал 0 pt26"/>
    <w:uiPriority w:val="99"/>
    <w:rsid w:val="00362C75"/>
    <w:rPr>
      <w:rFonts w:ascii="Microsoft Sans Serif" w:hAnsi="Microsoft Sans Serif" w:cs="Microsoft Sans Serif"/>
      <w:i/>
      <w:iCs/>
      <w:spacing w:val="0"/>
      <w:sz w:val="16"/>
      <w:szCs w:val="16"/>
    </w:rPr>
  </w:style>
  <w:style w:type="character" w:customStyle="1" w:styleId="1250pt25">
    <w:name w:val="Основной текст (12) + Не курсив5.Интервал 0 pt25"/>
    <w:uiPriority w:val="99"/>
    <w:rsid w:val="00362C75"/>
    <w:rPr>
      <w:rFonts w:ascii="Microsoft Sans Serif" w:hAnsi="Microsoft Sans Serif" w:cs="Microsoft Sans Serif"/>
      <w:i/>
      <w:iCs/>
      <w:spacing w:val="-10"/>
      <w:sz w:val="16"/>
      <w:szCs w:val="16"/>
    </w:rPr>
  </w:style>
  <w:style w:type="character" w:customStyle="1" w:styleId="125">
    <w:name w:val="Основной текст (12)5"/>
    <w:uiPriority w:val="99"/>
    <w:rsid w:val="00362C75"/>
    <w:rPr>
      <w:rFonts w:ascii="Microsoft Sans Serif" w:hAnsi="Microsoft Sans Serif" w:cs="Microsoft Sans Serif"/>
      <w:i/>
      <w:iCs/>
      <w:spacing w:val="0"/>
      <w:sz w:val="16"/>
      <w:szCs w:val="16"/>
      <w:u w:val="single"/>
    </w:rPr>
  </w:style>
  <w:style w:type="character" w:customStyle="1" w:styleId="124">
    <w:name w:val="Основной текст (12)4"/>
    <w:uiPriority w:val="99"/>
    <w:rsid w:val="00362C75"/>
    <w:rPr>
      <w:rFonts w:ascii="Microsoft Sans Serif" w:hAnsi="Microsoft Sans Serif" w:cs="Microsoft Sans Serif"/>
      <w:i/>
      <w:iCs/>
      <w:spacing w:val="0"/>
      <w:sz w:val="16"/>
      <w:szCs w:val="16"/>
      <w:u w:val="single"/>
    </w:rPr>
  </w:style>
  <w:style w:type="character" w:customStyle="1" w:styleId="12SimHei7pt12">
    <w:name w:val="Основной текст (12) + SimHei.7 pt.Не курсив12"/>
    <w:uiPriority w:val="99"/>
    <w:rsid w:val="00362C75"/>
    <w:rPr>
      <w:rFonts w:ascii="SimHei" w:eastAsia="SimHei" w:cs="SimHei"/>
      <w:i/>
      <w:iCs/>
      <w:spacing w:val="0"/>
      <w:sz w:val="14"/>
      <w:szCs w:val="14"/>
    </w:rPr>
  </w:style>
  <w:style w:type="character" w:customStyle="1" w:styleId="1240pt24">
    <w:name w:val="Основной текст (12) + Не курсив4.Интервал 0 pt24"/>
    <w:uiPriority w:val="99"/>
    <w:rsid w:val="00362C75"/>
    <w:rPr>
      <w:rFonts w:ascii="Microsoft Sans Serif" w:hAnsi="Microsoft Sans Serif" w:cs="Microsoft Sans Serif"/>
      <w:i/>
      <w:iCs/>
      <w:spacing w:val="-10"/>
      <w:sz w:val="16"/>
      <w:szCs w:val="16"/>
    </w:rPr>
  </w:style>
  <w:style w:type="character" w:customStyle="1" w:styleId="70pt23">
    <w:name w:val="Основной текст + Курсив7.Интервал 0 pt23"/>
    <w:uiPriority w:val="99"/>
    <w:rsid w:val="00362C75"/>
    <w:rPr>
      <w:rFonts w:ascii="Microsoft Sans Serif" w:hAnsi="Microsoft Sans Serif" w:cs="Microsoft Sans Serif"/>
      <w:i/>
      <w:iCs/>
      <w:spacing w:val="0"/>
      <w:sz w:val="16"/>
      <w:szCs w:val="16"/>
    </w:rPr>
  </w:style>
  <w:style w:type="character" w:customStyle="1" w:styleId="12BookmanOldStyle6865pt1710">
    <w:name w:val="Основной текст (12) + Bookman Old Style6.86.5 pt17.Не курсив10"/>
    <w:uiPriority w:val="99"/>
    <w:rsid w:val="00362C75"/>
    <w:rPr>
      <w:rFonts w:ascii="Bookman Old Style" w:hAnsi="Bookman Old Style" w:cs="Bookman Old Style"/>
      <w:i/>
      <w:iCs/>
      <w:spacing w:val="0"/>
      <w:sz w:val="17"/>
      <w:szCs w:val="17"/>
    </w:rPr>
  </w:style>
  <w:style w:type="character" w:customStyle="1" w:styleId="60pt22">
    <w:name w:val="Основной текст + Курсив6.Интервал 0 pt22"/>
    <w:uiPriority w:val="99"/>
    <w:rsid w:val="00362C75"/>
    <w:rPr>
      <w:rFonts w:ascii="Microsoft Sans Serif" w:hAnsi="Microsoft Sans Serif" w:cs="Microsoft Sans Serif"/>
      <w:i/>
      <w:iCs/>
      <w:spacing w:val="0"/>
      <w:sz w:val="16"/>
      <w:szCs w:val="16"/>
    </w:rPr>
  </w:style>
  <w:style w:type="character" w:customStyle="1" w:styleId="1230">
    <w:name w:val="Основной текст (12)3"/>
    <w:uiPriority w:val="99"/>
    <w:rsid w:val="00362C75"/>
    <w:rPr>
      <w:rFonts w:ascii="Microsoft Sans Serif" w:hAnsi="Microsoft Sans Serif" w:cs="Microsoft Sans Serif"/>
      <w:i/>
      <w:iCs/>
      <w:spacing w:val="0"/>
      <w:sz w:val="16"/>
      <w:szCs w:val="16"/>
      <w:u w:val="single"/>
    </w:rPr>
  </w:style>
  <w:style w:type="character" w:customStyle="1" w:styleId="1230pt21">
    <w:name w:val="Основной текст (12) + Не курсив3.Интервал 0 pt21"/>
    <w:uiPriority w:val="99"/>
    <w:rsid w:val="00362C75"/>
    <w:rPr>
      <w:rFonts w:ascii="Microsoft Sans Serif" w:hAnsi="Microsoft Sans Serif" w:cs="Microsoft Sans Serif"/>
      <w:i/>
      <w:iCs/>
      <w:spacing w:val="-10"/>
      <w:sz w:val="16"/>
      <w:szCs w:val="16"/>
    </w:rPr>
  </w:style>
  <w:style w:type="character" w:customStyle="1" w:styleId="0pt20">
    <w:name w:val="Основной текст + Малые прописные.Интервал 0 pt20"/>
    <w:uiPriority w:val="99"/>
    <w:rsid w:val="00362C75"/>
    <w:rPr>
      <w:rFonts w:ascii="Microsoft Sans Serif" w:hAnsi="Microsoft Sans Serif" w:cs="Microsoft Sans Serif"/>
      <w:smallCaps/>
      <w:spacing w:val="0"/>
      <w:sz w:val="16"/>
      <w:szCs w:val="16"/>
    </w:rPr>
  </w:style>
  <w:style w:type="character" w:customStyle="1" w:styleId="1265pt160pt19">
    <w:name w:val="Основной текст (12) + 6.5 pt16.Малые прописные.Интервал 0 pt19"/>
    <w:uiPriority w:val="99"/>
    <w:rsid w:val="00362C75"/>
    <w:rPr>
      <w:rFonts w:ascii="Microsoft Sans Serif" w:hAnsi="Microsoft Sans Serif" w:cs="Microsoft Sans Serif"/>
      <w:i/>
      <w:iCs/>
      <w:smallCaps/>
      <w:spacing w:val="10"/>
      <w:sz w:val="13"/>
      <w:szCs w:val="13"/>
      <w:lang w:val="en-US"/>
    </w:rPr>
  </w:style>
  <w:style w:type="character" w:customStyle="1" w:styleId="1220pt18">
    <w:name w:val="Основной текст (12) + Не курсив2.Интервал 0 pt18"/>
    <w:uiPriority w:val="99"/>
    <w:rsid w:val="00362C75"/>
    <w:rPr>
      <w:rFonts w:ascii="Microsoft Sans Serif" w:hAnsi="Microsoft Sans Serif" w:cs="Microsoft Sans Serif"/>
      <w:i/>
      <w:iCs/>
      <w:spacing w:val="-10"/>
      <w:sz w:val="16"/>
      <w:szCs w:val="16"/>
    </w:rPr>
  </w:style>
  <w:style w:type="character" w:customStyle="1" w:styleId="50pt17">
    <w:name w:val="Основной текст + Курсив5.Интервал 0 pt17"/>
    <w:uiPriority w:val="99"/>
    <w:rsid w:val="00362C75"/>
    <w:rPr>
      <w:rFonts w:ascii="Microsoft Sans Serif" w:hAnsi="Microsoft Sans Serif" w:cs="Microsoft Sans Serif"/>
      <w:i/>
      <w:iCs/>
      <w:spacing w:val="0"/>
      <w:sz w:val="16"/>
      <w:szCs w:val="16"/>
    </w:rPr>
  </w:style>
  <w:style w:type="character" w:customStyle="1" w:styleId="200pt65">
    <w:name w:val="Основной текст (20) + Не курсив.Интервал 0 pt65"/>
    <w:uiPriority w:val="99"/>
    <w:rsid w:val="00362C75"/>
    <w:rPr>
      <w:rFonts w:ascii="Lucida Sans Unicode" w:hAnsi="Lucida Sans Unicode" w:cs="Lucida Sans Unicode"/>
      <w:i/>
      <w:iCs/>
      <w:spacing w:val="-10"/>
      <w:sz w:val="16"/>
      <w:szCs w:val="16"/>
    </w:rPr>
  </w:style>
  <w:style w:type="character" w:customStyle="1" w:styleId="160pt64">
    <w:name w:val="Основной текст + Курсив16.Интервал 0 pt64"/>
    <w:uiPriority w:val="99"/>
    <w:rsid w:val="00362C75"/>
    <w:rPr>
      <w:rFonts w:ascii="Lucida Sans Unicode" w:hAnsi="Lucida Sans Unicode" w:cs="Lucida Sans Unicode"/>
      <w:i/>
      <w:iCs/>
      <w:spacing w:val="0"/>
      <w:sz w:val="16"/>
      <w:szCs w:val="16"/>
    </w:rPr>
  </w:style>
  <w:style w:type="character" w:customStyle="1" w:styleId="20160pt63">
    <w:name w:val="Основной текст (20) + Не курсив16.Интервал 0 pt63"/>
    <w:uiPriority w:val="99"/>
    <w:rsid w:val="00362C75"/>
    <w:rPr>
      <w:rFonts w:ascii="Lucida Sans Unicode" w:hAnsi="Lucida Sans Unicode" w:cs="Lucida Sans Unicode"/>
      <w:i/>
      <w:iCs/>
      <w:spacing w:val="-10"/>
      <w:sz w:val="16"/>
      <w:szCs w:val="16"/>
    </w:rPr>
  </w:style>
  <w:style w:type="character" w:customStyle="1" w:styleId="206">
    <w:name w:val="Основной текст (20)6"/>
    <w:uiPriority w:val="99"/>
    <w:rsid w:val="00362C75"/>
    <w:rPr>
      <w:rFonts w:ascii="Lucida Sans Unicode" w:hAnsi="Lucida Sans Unicode" w:cs="Lucida Sans Unicode"/>
      <w:b/>
      <w:bCs/>
      <w:i/>
      <w:iCs/>
      <w:sz w:val="16"/>
      <w:szCs w:val="16"/>
      <w:u w:val="single"/>
    </w:rPr>
  </w:style>
  <w:style w:type="character" w:customStyle="1" w:styleId="20140pt59">
    <w:name w:val="Основной текст (20) + Не курсив14.Интервал 0 pt59"/>
    <w:uiPriority w:val="99"/>
    <w:rsid w:val="00362C75"/>
    <w:rPr>
      <w:rFonts w:ascii="Lucida Sans Unicode" w:hAnsi="Lucida Sans Unicode" w:cs="Lucida Sans Unicode"/>
      <w:b/>
      <w:bCs/>
      <w:i/>
      <w:iCs/>
      <w:spacing w:val="-10"/>
      <w:sz w:val="16"/>
      <w:szCs w:val="16"/>
    </w:rPr>
  </w:style>
  <w:style w:type="character" w:customStyle="1" w:styleId="140pt58">
    <w:name w:val="Основной текст + Курсив14.Интервал 0 pt58"/>
    <w:uiPriority w:val="99"/>
    <w:rsid w:val="00362C75"/>
    <w:rPr>
      <w:rFonts w:ascii="Lucida Sans Unicode" w:hAnsi="Lucida Sans Unicode" w:cs="Lucida Sans Unicode"/>
      <w:i/>
      <w:iCs/>
      <w:spacing w:val="0"/>
      <w:sz w:val="16"/>
      <w:szCs w:val="16"/>
    </w:rPr>
  </w:style>
  <w:style w:type="character" w:customStyle="1" w:styleId="MSMincho">
    <w:name w:val="Основной текст + MS Mincho"/>
    <w:uiPriority w:val="99"/>
    <w:rsid w:val="00362C75"/>
    <w:rPr>
      <w:rFonts w:ascii="MS Mincho" w:eastAsia="MS Mincho" w:hAnsi="Microsoft Sans Serif" w:cs="MS Mincho"/>
      <w:spacing w:val="-10"/>
      <w:sz w:val="16"/>
      <w:szCs w:val="16"/>
    </w:rPr>
  </w:style>
  <w:style w:type="character" w:customStyle="1" w:styleId="2030">
    <w:name w:val="Основной текст (20)3"/>
    <w:uiPriority w:val="99"/>
    <w:rsid w:val="00362C75"/>
    <w:rPr>
      <w:rFonts w:ascii="Arial Unicode MS" w:eastAsia="Arial Unicode MS" w:cs="Arial Unicode MS"/>
      <w:b/>
      <w:bCs/>
      <w:i/>
      <w:iCs/>
      <w:noProof/>
      <w:sz w:val="15"/>
      <w:szCs w:val="15"/>
    </w:rPr>
  </w:style>
  <w:style w:type="character" w:customStyle="1" w:styleId="20130pt57">
    <w:name w:val="Основной текст (20) + Не курсив13.Интервал 0 pt57"/>
    <w:uiPriority w:val="99"/>
    <w:rsid w:val="00362C75"/>
    <w:rPr>
      <w:rFonts w:ascii="Lucida Sans Unicode" w:hAnsi="Lucida Sans Unicode" w:cs="Lucida Sans Unicode"/>
      <w:b/>
      <w:bCs/>
      <w:i/>
      <w:iCs/>
      <w:spacing w:val="-10"/>
      <w:sz w:val="16"/>
      <w:szCs w:val="16"/>
    </w:rPr>
  </w:style>
  <w:style w:type="character" w:customStyle="1" w:styleId="205">
    <w:name w:val="Основной текст (20)5"/>
    <w:uiPriority w:val="99"/>
    <w:rsid w:val="00362C75"/>
    <w:rPr>
      <w:rFonts w:ascii="Lucida Sans Unicode" w:hAnsi="Lucida Sans Unicode" w:cs="Lucida Sans Unicode"/>
      <w:b/>
      <w:bCs/>
      <w:i/>
      <w:iCs/>
      <w:sz w:val="16"/>
      <w:szCs w:val="16"/>
      <w:u w:val="single"/>
    </w:rPr>
  </w:style>
  <w:style w:type="character" w:customStyle="1" w:styleId="204">
    <w:name w:val="Основной текст (20)4"/>
    <w:uiPriority w:val="99"/>
    <w:rsid w:val="00362C75"/>
    <w:rPr>
      <w:rFonts w:ascii="Lucida Sans Unicode" w:hAnsi="Lucida Sans Unicode" w:cs="Lucida Sans Unicode"/>
      <w:b/>
      <w:bCs/>
      <w:i/>
      <w:iCs/>
      <w:sz w:val="16"/>
      <w:szCs w:val="16"/>
      <w:u w:val="single"/>
    </w:rPr>
  </w:style>
  <w:style w:type="character" w:customStyle="1" w:styleId="20120pt56">
    <w:name w:val="Основной текст (20) + Не курсив12.Интервал 0 pt56"/>
    <w:uiPriority w:val="99"/>
    <w:rsid w:val="00362C75"/>
    <w:rPr>
      <w:rFonts w:ascii="Lucida Sans Unicode" w:hAnsi="Lucida Sans Unicode" w:cs="Lucida Sans Unicode"/>
      <w:b/>
      <w:bCs/>
      <w:i/>
      <w:iCs/>
      <w:spacing w:val="-10"/>
      <w:sz w:val="16"/>
      <w:szCs w:val="16"/>
    </w:rPr>
  </w:style>
  <w:style w:type="character" w:customStyle="1" w:styleId="150pt62">
    <w:name w:val="Основной текст + Курсив15.Интервал 0 pt62"/>
    <w:uiPriority w:val="99"/>
    <w:rsid w:val="00362C75"/>
    <w:rPr>
      <w:rFonts w:ascii="Lucida Sans Unicode" w:hAnsi="Lucida Sans Unicode" w:cs="Lucida Sans Unicode"/>
      <w:i/>
      <w:iCs/>
      <w:spacing w:val="0"/>
      <w:sz w:val="16"/>
      <w:szCs w:val="16"/>
    </w:rPr>
  </w:style>
  <w:style w:type="character" w:customStyle="1" w:styleId="20150pt61">
    <w:name w:val="Основной текст (20) + Не курсив15.Интервал 0 pt61"/>
    <w:uiPriority w:val="99"/>
    <w:rsid w:val="00362C75"/>
    <w:rPr>
      <w:rFonts w:ascii="Lucida Sans Unicode" w:hAnsi="Lucida Sans Unicode" w:cs="Lucida Sans Unicode"/>
      <w:b/>
      <w:bCs/>
      <w:i/>
      <w:iCs/>
      <w:spacing w:val="-10"/>
      <w:sz w:val="16"/>
      <w:szCs w:val="16"/>
    </w:rPr>
  </w:style>
  <w:style w:type="paragraph" w:customStyle="1" w:styleId="1310">
    <w:name w:val="Основной текст (13)1"/>
    <w:basedOn w:val="a"/>
    <w:uiPriority w:val="99"/>
    <w:rsid w:val="00362C75"/>
    <w:pPr>
      <w:shd w:val="clear" w:color="auto" w:fill="FFFFFF"/>
      <w:autoSpaceDE w:val="0"/>
      <w:autoSpaceDN w:val="0"/>
      <w:adjustRightInd w:val="0"/>
      <w:spacing w:before="120" w:line="168" w:lineRule="exact"/>
    </w:pPr>
    <w:rPr>
      <w:b/>
      <w:bCs/>
      <w:noProof/>
      <w:sz w:val="13"/>
      <w:szCs w:val="13"/>
      <w:lang w:val="en-US"/>
    </w:rPr>
  </w:style>
  <w:style w:type="character" w:customStyle="1" w:styleId="20MSMincho30pt55">
    <w:name w:val="Основной текст (20) + MS Mincho.Не курсив3.Интервал 0 pt55"/>
    <w:uiPriority w:val="99"/>
    <w:rsid w:val="00362C75"/>
    <w:rPr>
      <w:rFonts w:ascii="MS Mincho" w:eastAsia="MS Mincho" w:cs="MS Mincho"/>
      <w:b/>
      <w:bCs/>
      <w:i/>
      <w:iCs/>
      <w:spacing w:val="-10"/>
      <w:sz w:val="16"/>
      <w:szCs w:val="16"/>
    </w:rPr>
  </w:style>
  <w:style w:type="character" w:customStyle="1" w:styleId="2020">
    <w:name w:val="Основной текст (20)2"/>
    <w:uiPriority w:val="99"/>
    <w:rsid w:val="00362C75"/>
    <w:rPr>
      <w:b/>
      <w:bCs/>
      <w:i/>
      <w:iCs/>
      <w:sz w:val="15"/>
      <w:szCs w:val="15"/>
    </w:rPr>
  </w:style>
  <w:style w:type="character" w:customStyle="1" w:styleId="142">
    <w:name w:val="Основной текст (14)2"/>
    <w:uiPriority w:val="99"/>
    <w:rsid w:val="00362C75"/>
    <w:rPr>
      <w:rFonts w:ascii="Lucida Sans Unicode" w:hAnsi="Lucida Sans Unicode" w:cs="Lucida Sans Unicode"/>
      <w:spacing w:val="-10"/>
      <w:sz w:val="13"/>
      <w:szCs w:val="13"/>
      <w:u w:val="single"/>
    </w:rPr>
  </w:style>
  <w:style w:type="character" w:customStyle="1" w:styleId="20110pt54">
    <w:name w:val="Основной текст (20) + Не курсив11.Интервал 0 pt54"/>
    <w:uiPriority w:val="99"/>
    <w:rsid w:val="00362C75"/>
    <w:rPr>
      <w:rFonts w:ascii="Lucida Sans Unicode" w:hAnsi="Lucida Sans Unicode" w:cs="Lucida Sans Unicode"/>
      <w:b/>
      <w:bCs/>
      <w:i/>
      <w:iCs/>
      <w:spacing w:val="-10"/>
      <w:sz w:val="16"/>
      <w:szCs w:val="16"/>
    </w:rPr>
  </w:style>
  <w:style w:type="character" w:customStyle="1" w:styleId="143">
    <w:name w:val="Основной текст + Курсив14"/>
    <w:uiPriority w:val="99"/>
    <w:rsid w:val="00362C75"/>
    <w:rPr>
      <w:rFonts w:ascii="Arial" w:hAnsi="Arial" w:cs="Arial"/>
      <w:i/>
      <w:iCs/>
      <w:spacing w:val="-10"/>
      <w:sz w:val="17"/>
      <w:szCs w:val="17"/>
    </w:rPr>
  </w:style>
  <w:style w:type="character" w:customStyle="1" w:styleId="1180">
    <w:name w:val="Основной текст (11) + Не курсив8"/>
    <w:uiPriority w:val="99"/>
    <w:rsid w:val="00362C75"/>
    <w:rPr>
      <w:rFonts w:ascii="Arial" w:hAnsi="Arial" w:cs="Arial"/>
      <w:i/>
      <w:iCs/>
      <w:spacing w:val="-10"/>
      <w:sz w:val="17"/>
      <w:szCs w:val="17"/>
    </w:rPr>
  </w:style>
  <w:style w:type="character" w:customStyle="1" w:styleId="133">
    <w:name w:val="Основной текст + Курсив13"/>
    <w:uiPriority w:val="99"/>
    <w:rsid w:val="00362C75"/>
    <w:rPr>
      <w:rFonts w:ascii="Arial" w:hAnsi="Arial" w:cs="Arial"/>
      <w:i/>
      <w:iCs/>
      <w:spacing w:val="-10"/>
      <w:sz w:val="17"/>
      <w:szCs w:val="17"/>
      <w:lang w:val="en-US"/>
    </w:rPr>
  </w:style>
  <w:style w:type="character" w:customStyle="1" w:styleId="8pt3100pt23">
    <w:name w:val="Основной текст + 8 pt3.Курсив10.Малые прописные.Интервал 0 pt23"/>
    <w:uiPriority w:val="99"/>
    <w:rsid w:val="00362C75"/>
    <w:rPr>
      <w:rFonts w:ascii="Arial" w:hAnsi="Arial" w:cs="Arial"/>
      <w:i/>
      <w:iCs/>
      <w:smallCaps/>
      <w:spacing w:val="0"/>
      <w:sz w:val="16"/>
      <w:szCs w:val="16"/>
      <w:lang w:val="en-US"/>
    </w:rPr>
  </w:style>
  <w:style w:type="character" w:customStyle="1" w:styleId="11SimHei75pt3080pt22">
    <w:name w:val="Основной текст (11) + SimHei.7.5 pt30.Не курсив8.Интервал 0 pt22"/>
    <w:uiPriority w:val="99"/>
    <w:rsid w:val="00362C75"/>
    <w:rPr>
      <w:rFonts w:ascii="SimHei" w:eastAsia="SimHei" w:hAnsi="Microsoft Sans Serif" w:cs="SimHei"/>
      <w:i/>
      <w:iCs/>
      <w:spacing w:val="0"/>
      <w:sz w:val="15"/>
      <w:szCs w:val="15"/>
    </w:rPr>
  </w:style>
  <w:style w:type="character" w:customStyle="1" w:styleId="127">
    <w:name w:val="Основной текст + Курсив12"/>
    <w:uiPriority w:val="99"/>
    <w:rsid w:val="00362C75"/>
    <w:rPr>
      <w:rFonts w:ascii="Arial" w:hAnsi="Arial" w:cs="Arial"/>
      <w:i/>
      <w:iCs/>
      <w:spacing w:val="-10"/>
      <w:sz w:val="17"/>
      <w:szCs w:val="17"/>
    </w:rPr>
  </w:style>
  <w:style w:type="character" w:customStyle="1" w:styleId="1171">
    <w:name w:val="Основной текст (11) + Не курсив7"/>
    <w:uiPriority w:val="99"/>
    <w:rsid w:val="00362C75"/>
    <w:rPr>
      <w:rFonts w:ascii="Arial" w:hAnsi="Arial" w:cs="Arial"/>
      <w:i/>
      <w:iCs/>
      <w:spacing w:val="-10"/>
      <w:sz w:val="17"/>
      <w:szCs w:val="17"/>
    </w:rPr>
  </w:style>
  <w:style w:type="character" w:customStyle="1" w:styleId="153">
    <w:name w:val="Основной текст + Курсив15"/>
    <w:uiPriority w:val="99"/>
    <w:rsid w:val="00362C75"/>
    <w:rPr>
      <w:rFonts w:ascii="Arial" w:hAnsi="Arial" w:cs="Arial"/>
      <w:i/>
      <w:iCs/>
      <w:spacing w:val="-10"/>
      <w:sz w:val="17"/>
      <w:szCs w:val="17"/>
      <w:u w:val="single"/>
    </w:rPr>
  </w:style>
  <w:style w:type="character" w:customStyle="1" w:styleId="119">
    <w:name w:val="Основной текст (11) + Не курсив9"/>
    <w:uiPriority w:val="99"/>
    <w:rsid w:val="00362C75"/>
    <w:rPr>
      <w:rFonts w:ascii="Arial" w:hAnsi="Arial" w:cs="Arial"/>
      <w:i/>
      <w:iCs/>
      <w:spacing w:val="-10"/>
      <w:sz w:val="17"/>
      <w:szCs w:val="17"/>
    </w:rPr>
  </w:style>
  <w:style w:type="character" w:customStyle="1" w:styleId="11100">
    <w:name w:val="Основной текст (11) + Не курсив10"/>
    <w:uiPriority w:val="99"/>
    <w:rsid w:val="00362C75"/>
    <w:rPr>
      <w:rFonts w:ascii="Arial" w:hAnsi="Arial" w:cs="Arial"/>
      <w:i/>
      <w:iCs/>
      <w:spacing w:val="-10"/>
      <w:sz w:val="17"/>
      <w:szCs w:val="17"/>
    </w:rPr>
  </w:style>
  <w:style w:type="character" w:customStyle="1" w:styleId="11110">
    <w:name w:val="Основной текст (11) + Не курсив11"/>
    <w:uiPriority w:val="99"/>
    <w:rsid w:val="00362C75"/>
    <w:rPr>
      <w:rFonts w:ascii="Arial" w:hAnsi="Arial" w:cs="Arial"/>
      <w:i/>
      <w:iCs/>
      <w:spacing w:val="-10"/>
      <w:sz w:val="17"/>
      <w:szCs w:val="17"/>
    </w:rPr>
  </w:style>
  <w:style w:type="character" w:customStyle="1" w:styleId="4835pt2911">
    <w:name w:val="Основной текст (4) + 83.5 pt29.Не полужирный11"/>
    <w:uiPriority w:val="99"/>
    <w:rsid w:val="00362C75"/>
    <w:rPr>
      <w:rFonts w:ascii="Arial" w:hAnsi="Arial" w:cs="Arial"/>
      <w:b/>
      <w:bCs/>
      <w:i/>
      <w:iCs/>
      <w:spacing w:val="-10"/>
      <w:sz w:val="17"/>
      <w:szCs w:val="17"/>
    </w:rPr>
  </w:style>
  <w:style w:type="character" w:customStyle="1" w:styleId="105pt0pt">
    <w:name w:val="Основной текст + 10.5 pt.Курсив.Интервал 0 pt"/>
    <w:uiPriority w:val="99"/>
    <w:rsid w:val="00362C75"/>
    <w:rPr>
      <w:rFonts w:ascii="Microsoft Sans Serif" w:hAnsi="Microsoft Sans Serif" w:cs="Microsoft Sans Serif"/>
      <w:i/>
      <w:iCs/>
      <w:spacing w:val="0"/>
      <w:sz w:val="21"/>
      <w:szCs w:val="21"/>
    </w:rPr>
  </w:style>
  <w:style w:type="character" w:customStyle="1" w:styleId="2f3">
    <w:name w:val="Основной текст (2) + Курсив"/>
    <w:uiPriority w:val="99"/>
    <w:rsid w:val="00362C75"/>
    <w:rPr>
      <w:rFonts w:ascii="MS Reference Sans Serif" w:hAnsi="MS Reference Sans Serif" w:cs="MS Reference Sans Serif"/>
      <w:i/>
      <w:iCs/>
      <w:spacing w:val="-10"/>
      <w:sz w:val="22"/>
      <w:szCs w:val="22"/>
    </w:rPr>
  </w:style>
  <w:style w:type="character" w:customStyle="1" w:styleId="21pt">
    <w:name w:val="Основной текст (2) + Интервал 1 pt"/>
    <w:uiPriority w:val="99"/>
    <w:rsid w:val="00362C75"/>
    <w:rPr>
      <w:rFonts w:ascii="Tahoma" w:hAnsi="Tahoma" w:cs="Tahoma"/>
      <w:noProof/>
      <w:spacing w:val="30"/>
      <w:sz w:val="24"/>
      <w:szCs w:val="24"/>
    </w:rPr>
  </w:style>
  <w:style w:type="character" w:customStyle="1" w:styleId="2pt1">
    <w:name w:val="Основной текст + Интервал 2 pt1"/>
    <w:uiPriority w:val="99"/>
    <w:rsid w:val="00362C75"/>
    <w:rPr>
      <w:rFonts w:ascii="Tahoma" w:hAnsi="Tahoma" w:cs="Tahoma"/>
      <w:i/>
      <w:iCs/>
      <w:spacing w:val="40"/>
      <w:sz w:val="21"/>
      <w:szCs w:val="21"/>
    </w:rPr>
  </w:style>
  <w:style w:type="character" w:customStyle="1" w:styleId="115pt29115pt8109112SimHei2Arial12pt11ptMSMincho12pt">
    <w:name w:val="Основной текст + 11.5 pt2.Не курсив.Основной текст (9) + 11.5 pt8.Основной текст (10) + 91.Не малые прописные1.Основной текст (2) + SimHei.Основной текст (2) + Arial.12 pt.11 pt.Основной текст + MS Mincho.Основной текст + 12 pt"/>
    <w:uiPriority w:val="99"/>
    <w:rsid w:val="00362C75"/>
    <w:rPr>
      <w:rFonts w:ascii="MS Reference Sans Serif" w:hAnsi="MS Reference Sans Serif" w:cs="MS Reference Sans Serif"/>
      <w:spacing w:val="-10"/>
      <w:sz w:val="23"/>
      <w:szCs w:val="23"/>
    </w:rPr>
  </w:style>
  <w:style w:type="character" w:customStyle="1" w:styleId="211pt">
    <w:name w:val="Основной текст (2) + 11 pt.Курсив"/>
    <w:uiPriority w:val="99"/>
    <w:rsid w:val="00362C75"/>
    <w:rPr>
      <w:rFonts w:ascii="MS Reference Sans Serif" w:hAnsi="MS Reference Sans Serif" w:cs="MS Reference Sans Serif"/>
      <w:i/>
      <w:iCs/>
      <w:noProof/>
      <w:spacing w:val="-10"/>
      <w:sz w:val="22"/>
      <w:szCs w:val="22"/>
    </w:rPr>
  </w:style>
  <w:style w:type="character" w:customStyle="1" w:styleId="Batang16pt-1ptGulim125pt1111101Tahoma10pt">
    <w:name w:val="Колонтитул + Batang.16 pt.Интервал -1 pt.Основной текст + Gulim.12.5 pt1.Не курсив1.Основной текст (11) + 10.Малые прописные1.Основной текст + Tahoma.10 pt"/>
    <w:uiPriority w:val="99"/>
    <w:rsid w:val="00362C75"/>
    <w:rPr>
      <w:rFonts w:ascii="Batang" w:eastAsia="Batang" w:cs="Batang"/>
      <w:noProof/>
      <w:spacing w:val="-30"/>
      <w:sz w:val="32"/>
      <w:szCs w:val="32"/>
    </w:rPr>
  </w:style>
  <w:style w:type="character" w:customStyle="1" w:styleId="1095pt4">
    <w:name w:val="Основной текст (10) + 9.5 pt4.Не малые прописные"/>
    <w:uiPriority w:val="99"/>
    <w:rsid w:val="00362C75"/>
    <w:rPr>
      <w:rFonts w:ascii="Microsoft Sans Serif" w:hAnsi="Microsoft Sans Serif" w:cs="Microsoft Sans Serif"/>
      <w:smallCaps/>
      <w:noProof/>
      <w:spacing w:val="0"/>
      <w:sz w:val="19"/>
      <w:szCs w:val="19"/>
    </w:rPr>
  </w:style>
  <w:style w:type="character" w:customStyle="1" w:styleId="1185pt32">
    <w:name w:val="Основной текст (11) + 8.5 pt3.Малые прописные2"/>
    <w:uiPriority w:val="99"/>
    <w:rsid w:val="00362C75"/>
    <w:rPr>
      <w:rFonts w:ascii="Microsoft Sans Serif" w:hAnsi="Microsoft Sans Serif" w:cs="Microsoft Sans Serif"/>
      <w:i/>
      <w:iCs/>
      <w:smallCaps/>
      <w:sz w:val="17"/>
      <w:szCs w:val="17"/>
    </w:rPr>
  </w:style>
  <w:style w:type="character" w:customStyle="1" w:styleId="21pt1">
    <w:name w:val="Основной текст (2) + Интервал 1 pt1"/>
    <w:uiPriority w:val="99"/>
    <w:rsid w:val="00362C75"/>
    <w:rPr>
      <w:rFonts w:ascii="Microsoft Sans Serif" w:hAnsi="Microsoft Sans Serif" w:cs="Microsoft Sans Serif"/>
      <w:i/>
      <w:iCs/>
      <w:noProof/>
      <w:spacing w:val="30"/>
      <w:sz w:val="21"/>
      <w:szCs w:val="21"/>
    </w:rPr>
  </w:style>
  <w:style w:type="character" w:customStyle="1" w:styleId="2-1pt">
    <w:name w:val="Основной текст (2) + Интервал -1 pt"/>
    <w:uiPriority w:val="99"/>
    <w:rsid w:val="00362C75"/>
    <w:rPr>
      <w:rFonts w:ascii="Microsoft Sans Serif" w:hAnsi="Microsoft Sans Serif" w:cs="Microsoft Sans Serif"/>
      <w:i/>
      <w:iCs/>
      <w:noProof/>
      <w:spacing w:val="-20"/>
      <w:sz w:val="21"/>
      <w:szCs w:val="21"/>
    </w:rPr>
  </w:style>
  <w:style w:type="character" w:customStyle="1" w:styleId="TrebuchetMS155ptArialNarrow17Tahoma0pt1211">
    <w:name w:val="Колонтитул + Trebuchet MS.15.5 pt.Колонтитул + Arial Narrow.17.Колонтитул + Tahoma.Интервал 0 pt1.Основной текст (2) + 11"/>
    <w:uiPriority w:val="99"/>
    <w:rsid w:val="00362C75"/>
    <w:rPr>
      <w:rFonts w:ascii="Trebuchet MS" w:hAnsi="Trebuchet MS" w:cs="Trebuchet MS"/>
      <w:noProof/>
      <w:sz w:val="31"/>
      <w:szCs w:val="31"/>
    </w:rPr>
  </w:style>
  <w:style w:type="character" w:customStyle="1" w:styleId="22pt">
    <w:name w:val="Основной текст (2) + Интервал 2 pt"/>
    <w:uiPriority w:val="99"/>
    <w:rsid w:val="00362C75"/>
    <w:rPr>
      <w:rFonts w:ascii="Tahoma" w:eastAsia="Microsoft Sans Serif" w:hAnsi="Tahoma" w:cs="Tahoma"/>
      <w:b w:val="0"/>
      <w:bCs w:val="0"/>
      <w:i/>
      <w:iCs/>
      <w:smallCaps w:val="0"/>
      <w:strike w:val="0"/>
      <w:noProof/>
      <w:spacing w:val="40"/>
      <w:sz w:val="21"/>
      <w:szCs w:val="21"/>
    </w:rPr>
  </w:style>
  <w:style w:type="character" w:customStyle="1" w:styleId="31pt">
    <w:name w:val="Основной текст (3) + Интервал 1 pt"/>
    <w:uiPriority w:val="99"/>
    <w:rsid w:val="00362C75"/>
    <w:rPr>
      <w:rFonts w:ascii="MS Reference Sans Serif" w:hAnsi="MS Reference Sans Serif" w:cs="MS Reference Sans Serif"/>
      <w:spacing w:val="20"/>
      <w:sz w:val="22"/>
      <w:szCs w:val="22"/>
    </w:rPr>
  </w:style>
  <w:style w:type="character" w:customStyle="1" w:styleId="42pt">
    <w:name w:val="Основной текст (4) + Интервал 2 pt"/>
    <w:uiPriority w:val="99"/>
    <w:rsid w:val="00362C75"/>
    <w:rPr>
      <w:rFonts w:ascii="Tahoma" w:hAnsi="Tahoma" w:cs="Tahoma"/>
      <w:i/>
      <w:iCs/>
      <w:spacing w:val="50"/>
      <w:sz w:val="21"/>
      <w:szCs w:val="21"/>
    </w:rPr>
  </w:style>
  <w:style w:type="character" w:customStyle="1" w:styleId="FranklinGothicBook111pt11">
    <w:name w:val="Основной текст + Franklin Gothic Book1.11 pt1.Малые прописные1"/>
    <w:uiPriority w:val="99"/>
    <w:rsid w:val="00362C75"/>
    <w:rPr>
      <w:rFonts w:ascii="Franklin Gothic Book" w:hAnsi="Franklin Gothic Book" w:cs="Franklin Gothic Book"/>
      <w:smallCaps/>
      <w:spacing w:val="-10"/>
      <w:sz w:val="22"/>
      <w:szCs w:val="22"/>
    </w:rPr>
  </w:style>
  <w:style w:type="character" w:customStyle="1" w:styleId="3610">
    <w:name w:val="Основной текст (36) + Не курсив1"/>
    <w:uiPriority w:val="99"/>
    <w:rsid w:val="00362C75"/>
    <w:rPr>
      <w:rFonts w:ascii="Arial" w:hAnsi="Arial" w:cs="Arial"/>
      <w:spacing w:val="0"/>
      <w:sz w:val="8"/>
      <w:szCs w:val="8"/>
    </w:rPr>
  </w:style>
  <w:style w:type="table" w:customStyle="1" w:styleId="215">
    <w:name w:val="Таблица простая 21"/>
    <w:basedOn w:val="a1"/>
    <w:uiPriority w:val="42"/>
    <w:rsid w:val="00362C75"/>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a">
    <w:name w:val="Таблица простая 11"/>
    <w:basedOn w:val="a1"/>
    <w:uiPriority w:val="41"/>
    <w:rsid w:val="00362C75"/>
    <w:rPr>
      <w:rFonts w:ascii="Times New Roman" w:eastAsia="Times New Roman" w:hAnsi="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font3">
    <w:name w:val="mfont3"/>
    <w:basedOn w:val="a0"/>
    <w:rsid w:val="00362C75"/>
  </w:style>
  <w:style w:type="paragraph" w:customStyle="1" w:styleId="book">
    <w:name w:val="book"/>
    <w:basedOn w:val="a"/>
    <w:rsid w:val="003E545E"/>
    <w:pPr>
      <w:ind w:firstLine="300"/>
    </w:pPr>
  </w:style>
  <w:style w:type="character" w:customStyle="1" w:styleId="144">
    <w:name w:val="Основной текст (14)_"/>
    <w:link w:val="145"/>
    <w:uiPriority w:val="99"/>
    <w:rsid w:val="006F0F05"/>
    <w:rPr>
      <w:rFonts w:ascii="Arial Narrow" w:hAnsi="Arial Narrow" w:cs="Arial Narrow"/>
      <w:b/>
      <w:bCs/>
      <w:sz w:val="16"/>
      <w:szCs w:val="16"/>
      <w:shd w:val="clear" w:color="auto" w:fill="FFFFFF"/>
    </w:rPr>
  </w:style>
  <w:style w:type="character" w:customStyle="1" w:styleId="131">
    <w:name w:val="Основной текст (13)_"/>
    <w:link w:val="130"/>
    <w:uiPriority w:val="99"/>
    <w:rsid w:val="006F0F05"/>
    <w:rPr>
      <w:rFonts w:ascii="Arial" w:eastAsia="Times New Roman" w:hAnsi="Arial"/>
      <w:sz w:val="36"/>
      <w:shd w:val="clear" w:color="auto" w:fill="FFFFFF"/>
    </w:rPr>
  </w:style>
  <w:style w:type="paragraph" w:customStyle="1" w:styleId="145">
    <w:name w:val="Основной текст (14)"/>
    <w:basedOn w:val="a"/>
    <w:link w:val="144"/>
    <w:uiPriority w:val="99"/>
    <w:rsid w:val="006F0F05"/>
    <w:pPr>
      <w:shd w:val="clear" w:color="auto" w:fill="FFFFFF"/>
      <w:spacing w:line="240" w:lineRule="atLeast"/>
    </w:pPr>
    <w:rPr>
      <w:rFonts w:ascii="Arial Narrow" w:hAnsi="Arial Narrow" w:cs="Arial Narrow"/>
      <w:b/>
      <w:bCs/>
      <w:sz w:val="16"/>
      <w:szCs w:val="16"/>
    </w:rPr>
  </w:style>
  <w:style w:type="character" w:customStyle="1" w:styleId="4e">
    <w:name w:val="Основной текст (4) + Не курсив"/>
    <w:rsid w:val="006F0F0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46">
    <w:name w:val="Основной текст (14) +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134">
    <w:name w:val="Основной текст (13) + Не полужирный"/>
    <w:rsid w:val="006F0F05"/>
    <w:rPr>
      <w:rFonts w:ascii="Arial Narrow" w:eastAsia="Arial Narrow" w:hAnsi="Arial Narrow" w:cs="Arial Narrow"/>
      <w:b/>
      <w:bCs/>
      <w:i w:val="0"/>
      <w:iCs w:val="0"/>
      <w:smallCaps w:val="0"/>
      <w:strike w:val="0"/>
      <w:spacing w:val="0"/>
      <w:sz w:val="16"/>
      <w:szCs w:val="16"/>
      <w:shd w:val="clear" w:color="auto" w:fill="FFFFFF"/>
    </w:rPr>
  </w:style>
  <w:style w:type="character" w:customStyle="1" w:styleId="ucoz-forum-post">
    <w:name w:val="ucoz-forum-post"/>
    <w:rsid w:val="00590D1F"/>
  </w:style>
  <w:style w:type="character" w:customStyle="1" w:styleId="MSReferenceSansSerif85pt">
    <w:name w:val="Основной текст + MS Reference Sans Serif;8;5 pt;Полужирный;Курсив"/>
    <w:rsid w:val="003D013D"/>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284">
    <w:name w:val="Основной текст + Курсив28"/>
    <w:aliases w:val="Интервал 0 pt54"/>
    <w:uiPriority w:val="99"/>
    <w:rsid w:val="003D5AF4"/>
    <w:rPr>
      <w:rFonts w:ascii="Arial Narrow" w:hAnsi="Arial Narrow" w:cs="Arial Narrow"/>
      <w:i/>
      <w:iCs/>
      <w:spacing w:val="0"/>
      <w:sz w:val="18"/>
      <w:szCs w:val="18"/>
      <w:shd w:val="clear" w:color="auto" w:fill="FFFFFF"/>
    </w:rPr>
  </w:style>
  <w:style w:type="character" w:customStyle="1" w:styleId="277">
    <w:name w:val="Основной текст + Курсив27"/>
    <w:aliases w:val="Интервал 0 pt52"/>
    <w:uiPriority w:val="99"/>
    <w:rsid w:val="003D5AF4"/>
    <w:rPr>
      <w:rFonts w:ascii="Arial Narrow" w:hAnsi="Arial Narrow" w:cs="Arial Narrow"/>
      <w:i/>
      <w:iCs/>
      <w:spacing w:val="0"/>
      <w:sz w:val="18"/>
      <w:szCs w:val="18"/>
      <w:shd w:val="clear" w:color="auto" w:fill="FFFFFF"/>
    </w:rPr>
  </w:style>
  <w:style w:type="character" w:customStyle="1" w:styleId="263">
    <w:name w:val="Основной текст + Курсив26"/>
    <w:uiPriority w:val="99"/>
    <w:rsid w:val="003D5AF4"/>
    <w:rPr>
      <w:rFonts w:ascii="Arial Narrow" w:hAnsi="Arial Narrow" w:cs="Arial Narrow"/>
      <w:i/>
      <w:iCs/>
      <w:spacing w:val="0"/>
      <w:sz w:val="18"/>
      <w:szCs w:val="18"/>
      <w:shd w:val="clear" w:color="auto" w:fill="FFFFFF"/>
    </w:rPr>
  </w:style>
  <w:style w:type="character" w:customStyle="1" w:styleId="254">
    <w:name w:val="Основной текст + Курсив25"/>
    <w:uiPriority w:val="99"/>
    <w:rsid w:val="003D5AF4"/>
    <w:rPr>
      <w:rFonts w:ascii="Arial Narrow" w:hAnsi="Arial Narrow" w:cs="Arial Narrow"/>
      <w:i/>
      <w:iCs/>
      <w:spacing w:val="0"/>
      <w:sz w:val="18"/>
      <w:szCs w:val="18"/>
      <w:shd w:val="clear" w:color="auto" w:fill="FFFFFF"/>
    </w:rPr>
  </w:style>
  <w:style w:type="character" w:customStyle="1" w:styleId="2221">
    <w:name w:val="Основной текст (2) + Не курсив22"/>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211">
    <w:name w:val="Основной текст (2) + Не курсив21"/>
    <w:uiPriority w:val="99"/>
    <w:rsid w:val="003D5AF4"/>
    <w:rPr>
      <w:rFonts w:ascii="Century Gothic" w:eastAsia="Times New Roman" w:hAnsi="Century Gothic" w:cs="Century Gothic"/>
      <w:b w:val="0"/>
      <w:bCs w:val="0"/>
      <w:i w:val="0"/>
      <w:iCs w:val="0"/>
      <w:smallCaps w:val="0"/>
      <w:strike w:val="0"/>
      <w:spacing w:val="0"/>
      <w:sz w:val="16"/>
      <w:szCs w:val="16"/>
      <w:shd w:val="clear" w:color="auto" w:fill="FFFFFF"/>
    </w:rPr>
  </w:style>
  <w:style w:type="paragraph" w:customStyle="1" w:styleId="heading3">
    <w:name w:val="heading3"/>
    <w:basedOn w:val="a"/>
    <w:rsid w:val="00FC3E2B"/>
    <w:pPr>
      <w:spacing w:before="180" w:after="180"/>
      <w:jc w:val="center"/>
    </w:pPr>
    <w:rPr>
      <w:rFonts w:ascii="Arial" w:hAnsi="Arial" w:cs="Arial"/>
      <w:b/>
      <w:bCs/>
      <w:color w:val="000000"/>
    </w:rPr>
  </w:style>
  <w:style w:type="character" w:customStyle="1" w:styleId="90pt">
    <w:name w:val="Основной текст (9) + Интервал 0 pt"/>
    <w:rsid w:val="005903DB"/>
    <w:rPr>
      <w:rFonts w:ascii="Arial Narrow" w:eastAsia="Arial Narrow" w:hAnsi="Arial Narrow" w:cs="Arial Narrow"/>
      <w:spacing w:val="0"/>
      <w:sz w:val="18"/>
      <w:szCs w:val="18"/>
      <w:shd w:val="clear" w:color="auto" w:fill="FFFFFF"/>
    </w:rPr>
  </w:style>
  <w:style w:type="character" w:customStyle="1" w:styleId="2240">
    <w:name w:val="Основной текст (2) + Не курсив24"/>
    <w:uiPriority w:val="99"/>
    <w:rsid w:val="00462C7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5">
    <w:name w:val="Основной текст + Курсив24"/>
    <w:uiPriority w:val="99"/>
    <w:rsid w:val="00893AF7"/>
    <w:rPr>
      <w:rFonts w:ascii="Arial Narrow" w:hAnsi="Arial Narrow" w:cs="Arial Narrow"/>
      <w:i/>
      <w:iCs/>
      <w:spacing w:val="0"/>
      <w:sz w:val="18"/>
      <w:szCs w:val="18"/>
      <w:shd w:val="clear" w:color="auto" w:fill="FFFFFF"/>
    </w:rPr>
  </w:style>
  <w:style w:type="character" w:customStyle="1" w:styleId="233">
    <w:name w:val="Основной текст + Курсив23"/>
    <w:uiPriority w:val="99"/>
    <w:rsid w:val="00893AF7"/>
    <w:rPr>
      <w:rFonts w:ascii="Arial Narrow" w:hAnsi="Arial Narrow" w:cs="Arial Narrow"/>
      <w:i/>
      <w:iCs/>
      <w:spacing w:val="0"/>
      <w:sz w:val="18"/>
      <w:szCs w:val="18"/>
      <w:shd w:val="clear" w:color="auto" w:fill="FFFFFF"/>
    </w:rPr>
  </w:style>
  <w:style w:type="character" w:customStyle="1" w:styleId="body21">
    <w:name w:val="body21"/>
    <w:rsid w:val="00816E1B"/>
    <w:rPr>
      <w:rFonts w:ascii="Arial" w:hAnsi="Arial" w:cs="Arial" w:hint="default"/>
      <w:i w:val="0"/>
      <w:iCs w:val="0"/>
      <w:sz w:val="24"/>
      <w:szCs w:val="24"/>
    </w:rPr>
  </w:style>
  <w:style w:type="character" w:customStyle="1" w:styleId="164">
    <w:name w:val="Основной текст + Курсив16"/>
    <w:uiPriority w:val="99"/>
    <w:rsid w:val="007E3239"/>
    <w:rPr>
      <w:rFonts w:ascii="Arial Narrow" w:hAnsi="Arial Narrow" w:cs="Arial Narrow"/>
      <w:i/>
      <w:iCs/>
      <w:spacing w:val="0"/>
      <w:sz w:val="18"/>
      <w:szCs w:val="18"/>
      <w:shd w:val="clear" w:color="auto" w:fill="FFFFFF"/>
    </w:rPr>
  </w:style>
  <w:style w:type="character" w:customStyle="1" w:styleId="2140">
    <w:name w:val="Основной текст (2) + Не курсив14"/>
    <w:uiPriority w:val="99"/>
    <w:rsid w:val="007E3239"/>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342">
    <w:name w:val="Заголовок №3 (4)_"/>
    <w:link w:val="343"/>
    <w:locked/>
    <w:rsid w:val="00F37105"/>
    <w:rPr>
      <w:rFonts w:ascii="Times New Roman" w:hAnsi="Times New Roman"/>
      <w:shd w:val="clear" w:color="auto" w:fill="FFFFFF"/>
    </w:rPr>
  </w:style>
  <w:style w:type="character" w:customStyle="1" w:styleId="341pt">
    <w:name w:val="Заголовок №3 (4) + Интервал 1 pt"/>
    <w:rsid w:val="00F37105"/>
    <w:rPr>
      <w:rFonts w:ascii="Times New Roman" w:hAnsi="Times New Roman" w:cs="Times New Roman"/>
      <w:spacing w:val="30"/>
      <w:sz w:val="20"/>
      <w:szCs w:val="20"/>
      <w:shd w:val="clear" w:color="auto" w:fill="FFFFFF"/>
    </w:rPr>
  </w:style>
  <w:style w:type="paragraph" w:customStyle="1" w:styleId="343">
    <w:name w:val="Заголовок №3 (4)"/>
    <w:basedOn w:val="a"/>
    <w:link w:val="342"/>
    <w:rsid w:val="00F37105"/>
    <w:pPr>
      <w:shd w:val="clear" w:color="auto" w:fill="FFFFFF"/>
      <w:spacing w:line="235" w:lineRule="exact"/>
      <w:jc w:val="center"/>
      <w:outlineLvl w:val="2"/>
    </w:pPr>
    <w:rPr>
      <w:sz w:val="20"/>
      <w:szCs w:val="20"/>
    </w:rPr>
  </w:style>
  <w:style w:type="character" w:customStyle="1" w:styleId="612">
    <w:name w:val="Основной текст (61)_"/>
    <w:link w:val="613"/>
    <w:rsid w:val="00F37105"/>
    <w:rPr>
      <w:rFonts w:ascii="MS Reference Sans Serif" w:hAnsi="MS Reference Sans Serif" w:cs="MS Reference Sans Serif"/>
      <w:spacing w:val="-10"/>
      <w:sz w:val="12"/>
      <w:szCs w:val="12"/>
      <w:shd w:val="clear" w:color="auto" w:fill="FFFFFF"/>
    </w:rPr>
  </w:style>
  <w:style w:type="paragraph" w:customStyle="1" w:styleId="613">
    <w:name w:val="Основной текст (61)"/>
    <w:basedOn w:val="a"/>
    <w:link w:val="612"/>
    <w:rsid w:val="00F37105"/>
    <w:pPr>
      <w:shd w:val="clear" w:color="auto" w:fill="FFFFFF"/>
      <w:spacing w:before="360" w:after="360" w:line="240" w:lineRule="atLeast"/>
    </w:pPr>
    <w:rPr>
      <w:rFonts w:ascii="MS Reference Sans Serif" w:hAnsi="MS Reference Sans Serif" w:cs="MS Reference Sans Serif"/>
      <w:spacing w:val="-10"/>
      <w:sz w:val="12"/>
      <w:szCs w:val="12"/>
    </w:rPr>
  </w:style>
  <w:style w:type="paragraph" w:customStyle="1" w:styleId="165">
    <w:name w:val="Основной текст16"/>
    <w:basedOn w:val="a"/>
    <w:rsid w:val="001E4635"/>
    <w:pPr>
      <w:shd w:val="clear" w:color="auto" w:fill="FFFFFF"/>
      <w:spacing w:before="120" w:line="216" w:lineRule="exact"/>
      <w:ind w:hanging="200"/>
      <w:jc w:val="both"/>
    </w:pPr>
    <w:rPr>
      <w:rFonts w:ascii="Arial" w:eastAsia="Arial" w:hAnsi="Arial" w:cs="Arial"/>
      <w:color w:val="000000"/>
      <w:sz w:val="18"/>
      <w:szCs w:val="18"/>
    </w:rPr>
  </w:style>
  <w:style w:type="character" w:customStyle="1" w:styleId="219">
    <w:name w:val="Основной текст (2) + Не курсив19"/>
    <w:uiPriority w:val="99"/>
    <w:rsid w:val="00144515"/>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5pt-1pt">
    <w:name w:val="Основной текст + 9;5 pt;Полужирный;Интервал -1 pt"/>
    <w:rsid w:val="00C84475"/>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rsid w:val="00C84475"/>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TimesNewRoman10pt">
    <w:name w:val="Основной текст + Times New Roman;10 pt;Полужирный"/>
    <w:rsid w:val="00C84475"/>
    <w:rPr>
      <w:rFonts w:ascii="Times New Roman" w:eastAsia="Times New Roman" w:hAnsi="Times New Roman" w:cs="Times New Roman"/>
      <w:b/>
      <w:bCs/>
      <w:i w:val="0"/>
      <w:iCs w:val="0"/>
      <w:smallCaps w:val="0"/>
      <w:strike w:val="0"/>
      <w:spacing w:val="0"/>
      <w:sz w:val="20"/>
      <w:szCs w:val="20"/>
      <w:shd w:val="clear" w:color="auto" w:fill="FFFFFF"/>
    </w:rPr>
  </w:style>
  <w:style w:type="character" w:customStyle="1" w:styleId="Candara10pt">
    <w:name w:val="Основной текст + Candara;10 pt;Полужирный"/>
    <w:rsid w:val="00C84475"/>
    <w:rPr>
      <w:rFonts w:ascii="Candara" w:eastAsia="Candara" w:hAnsi="Candara" w:cs="Candara"/>
      <w:b/>
      <w:bCs/>
      <w:i w:val="0"/>
      <w:iCs w:val="0"/>
      <w:smallCaps w:val="0"/>
      <w:strike w:val="0"/>
      <w:spacing w:val="0"/>
      <w:sz w:val="20"/>
      <w:szCs w:val="20"/>
      <w:shd w:val="clear" w:color="auto" w:fill="FFFFFF"/>
    </w:rPr>
  </w:style>
  <w:style w:type="paragraph" w:customStyle="1" w:styleId="rteindent11">
    <w:name w:val="rteindent11"/>
    <w:basedOn w:val="a"/>
    <w:rsid w:val="00D713B1"/>
    <w:pPr>
      <w:spacing w:before="100" w:beforeAutospacing="1" w:after="150"/>
      <w:ind w:left="600" w:firstLine="300"/>
      <w:jc w:val="both"/>
    </w:pPr>
  </w:style>
  <w:style w:type="character" w:customStyle="1" w:styleId="0pt1">
    <w:name w:val="Основной текст + Полужирный;Интервал 0 pt"/>
    <w:rsid w:val="0032140A"/>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2f4">
    <w:name w:val="Основной текст (2) + Не полужирный"/>
    <w:rsid w:val="0032140A"/>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7a">
    <w:name w:val="Основной текст (7) + Не курсив"/>
    <w:rsid w:val="005F32F4"/>
    <w:rPr>
      <w:rFonts w:ascii="Arial Narrow" w:eastAsia="Arial Narrow" w:hAnsi="Arial Narrow" w:cs="Arial Narrow"/>
      <w:b w:val="0"/>
      <w:bCs w:val="0"/>
      <w:i/>
      <w:iCs/>
      <w:smallCaps w:val="0"/>
      <w:strike w:val="0"/>
      <w:spacing w:val="0"/>
      <w:sz w:val="19"/>
      <w:szCs w:val="19"/>
      <w:shd w:val="clear" w:color="auto" w:fill="FFFFFF"/>
    </w:rPr>
  </w:style>
  <w:style w:type="character" w:customStyle="1" w:styleId="8pt0pt">
    <w:name w:val="Основной текст + 8 pt;Интервал 0 pt"/>
    <w:rsid w:val="005F32F4"/>
    <w:rPr>
      <w:rFonts w:ascii="Arial" w:eastAsia="Arial" w:hAnsi="Arial" w:cs="Arial"/>
      <w:b w:val="0"/>
      <w:bCs w:val="0"/>
      <w:i w:val="0"/>
      <w:iCs w:val="0"/>
      <w:smallCaps w:val="0"/>
      <w:strike w:val="0"/>
      <w:spacing w:val="-10"/>
      <w:sz w:val="16"/>
      <w:szCs w:val="16"/>
    </w:rPr>
  </w:style>
  <w:style w:type="character" w:customStyle="1" w:styleId="8pt0pt0">
    <w:name w:val="Основной текст + 8 pt;Курсив;Интервал 0 pt"/>
    <w:rsid w:val="005F32F4"/>
    <w:rPr>
      <w:rFonts w:ascii="Arial" w:eastAsia="Arial" w:hAnsi="Arial" w:cs="Arial"/>
      <w:b w:val="0"/>
      <w:bCs w:val="0"/>
      <w:i/>
      <w:iCs/>
      <w:smallCaps w:val="0"/>
      <w:strike w:val="0"/>
      <w:spacing w:val="-10"/>
      <w:sz w:val="16"/>
      <w:szCs w:val="16"/>
    </w:rPr>
  </w:style>
  <w:style w:type="character" w:customStyle="1" w:styleId="107">
    <w:name w:val="Основной текст10"/>
    <w:basedOn w:val="a0"/>
    <w:uiPriority w:val="99"/>
    <w:rsid w:val="00CD7B36"/>
    <w:rPr>
      <w:rFonts w:ascii="Times New Roman" w:eastAsia="Times New Roman" w:hAnsi="Times New Roman" w:cs="Times New Roman"/>
      <w:b w:val="0"/>
      <w:bCs w:val="0"/>
      <w:i w:val="0"/>
      <w:iCs w:val="0"/>
      <w:smallCaps w:val="0"/>
      <w:strike w:val="0"/>
      <w:spacing w:val="0"/>
      <w:sz w:val="23"/>
      <w:szCs w:val="23"/>
    </w:rPr>
  </w:style>
  <w:style w:type="character" w:customStyle="1" w:styleId="BodytextItalic">
    <w:name w:val="Body text + Italic"/>
    <w:basedOn w:val="a0"/>
    <w:uiPriority w:val="99"/>
    <w:rsid w:val="006B4C87"/>
    <w:rPr>
      <w:rFonts w:ascii="Times New Roman" w:eastAsia="Times New Roman" w:hAnsi="Times New Roman" w:cs="Times New Roman"/>
      <w:b w:val="0"/>
      <w:bCs w:val="0"/>
      <w:i/>
      <w:iCs/>
      <w:smallCaps w:val="0"/>
      <w:strike w:val="0"/>
      <w:spacing w:val="0"/>
      <w:sz w:val="23"/>
      <w:szCs w:val="23"/>
    </w:rPr>
  </w:style>
  <w:style w:type="paragraph" w:customStyle="1" w:styleId="Bodytext1">
    <w:name w:val="Body text1"/>
    <w:basedOn w:val="a"/>
    <w:uiPriority w:val="99"/>
    <w:rsid w:val="006825F8"/>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Bodytext">
    <w:name w:val="Body text_"/>
    <w:basedOn w:val="a0"/>
    <w:link w:val="123"/>
    <w:rsid w:val="006A1A77"/>
    <w:rPr>
      <w:rFonts w:ascii="Lucida Sans Unicode" w:eastAsia="Times New Roman" w:hAnsi="Lucida Sans Unicode"/>
      <w:color w:val="000000"/>
      <w:spacing w:val="-10"/>
      <w:sz w:val="25"/>
      <w:shd w:val="clear" w:color="auto" w:fill="FFFFFF"/>
    </w:rPr>
  </w:style>
  <w:style w:type="character" w:customStyle="1" w:styleId="PalatinoLinotype11pt70">
    <w:name w:val="Основной текст + Palatino Linotype;11 pt;Курсив;Масштаб 70%"/>
    <w:basedOn w:val="aff0"/>
    <w:rsid w:val="00D60908"/>
    <w:rPr>
      <w:rFonts w:ascii="Palatino Linotype" w:eastAsia="Palatino Linotype" w:hAnsi="Palatino Linotype" w:cs="Palatino Linotype"/>
      <w:b w:val="0"/>
      <w:bCs w:val="0"/>
      <w:i/>
      <w:iCs/>
      <w:smallCaps w:val="0"/>
      <w:strike w:val="0"/>
      <w:spacing w:val="0"/>
      <w:w w:val="70"/>
      <w:sz w:val="22"/>
      <w:szCs w:val="22"/>
      <w:shd w:val="clear" w:color="auto" w:fill="FFFFFF"/>
    </w:rPr>
  </w:style>
  <w:style w:type="character" w:customStyle="1" w:styleId="ArialNarrow0">
    <w:name w:val="Основной текст + Arial Narrow;Курсив"/>
    <w:basedOn w:val="aff0"/>
    <w:rsid w:val="00D60908"/>
    <w:rPr>
      <w:rFonts w:ascii="Arial Narrow" w:eastAsia="Arial Narrow" w:hAnsi="Arial Narrow" w:cs="Arial Narrow"/>
      <w:b w:val="0"/>
      <w:bCs w:val="0"/>
      <w:i/>
      <w:iCs/>
      <w:smallCaps w:val="0"/>
      <w:strike w:val="0"/>
      <w:spacing w:val="0"/>
      <w:sz w:val="20"/>
      <w:szCs w:val="20"/>
      <w:shd w:val="clear" w:color="auto" w:fill="FFFFFF"/>
    </w:rPr>
  </w:style>
  <w:style w:type="character" w:customStyle="1" w:styleId="Garamond7pt">
    <w:name w:val="Основной текст + Garamond;7 pt"/>
    <w:basedOn w:val="aff0"/>
    <w:rsid w:val="001D045B"/>
    <w:rPr>
      <w:rFonts w:ascii="Garamond" w:eastAsia="Garamond" w:hAnsi="Garamond" w:cs="Garamond"/>
      <w:spacing w:val="-10"/>
      <w:sz w:val="14"/>
      <w:szCs w:val="14"/>
      <w:shd w:val="clear" w:color="auto" w:fill="FFFFFF"/>
    </w:rPr>
  </w:style>
  <w:style w:type="character" w:customStyle="1" w:styleId="2Batang85pt0pt">
    <w:name w:val="Основной текст (2) + Batang;8;5 pt;Не курсив;Интервал 0 pt"/>
    <w:basedOn w:val="2f1"/>
    <w:rsid w:val="001D045B"/>
    <w:rPr>
      <w:rFonts w:ascii="Batang" w:eastAsia="Batang" w:hAnsi="Batang" w:cs="Batang"/>
      <w:b w:val="0"/>
      <w:bCs w:val="0"/>
      <w:i/>
      <w:iCs/>
      <w:smallCaps w:val="0"/>
      <w:strike w:val="0"/>
      <w:spacing w:val="0"/>
      <w:sz w:val="17"/>
      <w:szCs w:val="17"/>
      <w:shd w:val="clear" w:color="auto" w:fill="FFFFFF"/>
    </w:rPr>
  </w:style>
  <w:style w:type="character" w:customStyle="1" w:styleId="FranklinGothicBook85pt0pt">
    <w:name w:val="Основной текст + Franklin Gothic Book;8;5 pt;Не полужирный;Интервал 0 pt"/>
    <w:basedOn w:val="aff0"/>
    <w:rsid w:val="000D0537"/>
    <w:rPr>
      <w:rFonts w:ascii="Franklin Gothic Book" w:eastAsia="Franklin Gothic Book" w:hAnsi="Franklin Gothic Book" w:cs="Franklin Gothic Book"/>
      <w:b/>
      <w:bCs/>
      <w:i w:val="0"/>
      <w:iCs w:val="0"/>
      <w:smallCaps w:val="0"/>
      <w:strike w:val="0"/>
      <w:spacing w:val="-10"/>
      <w:sz w:val="17"/>
      <w:szCs w:val="17"/>
      <w:shd w:val="clear" w:color="auto" w:fill="FFFFFF"/>
    </w:rPr>
  </w:style>
  <w:style w:type="character" w:customStyle="1" w:styleId="FranklinGothicBook85pt">
    <w:name w:val="Основной текст + Franklin Gothic Book;8;5 pt;Не полужирный"/>
    <w:basedOn w:val="aff0"/>
    <w:rsid w:val="000D0537"/>
    <w:rPr>
      <w:rFonts w:ascii="Franklin Gothic Book" w:eastAsia="Franklin Gothic Book" w:hAnsi="Franklin Gothic Book" w:cs="Franklin Gothic Book"/>
      <w:b/>
      <w:bCs/>
      <w:i w:val="0"/>
      <w:iCs w:val="0"/>
      <w:smallCaps w:val="0"/>
      <w:strike w:val="0"/>
      <w:spacing w:val="0"/>
      <w:sz w:val="17"/>
      <w:szCs w:val="17"/>
      <w:shd w:val="clear" w:color="auto" w:fill="FFFFFF"/>
    </w:rPr>
  </w:style>
  <w:style w:type="character" w:customStyle="1" w:styleId="9pt80">
    <w:name w:val="Основной текст + 9 pt;Курсив;Масштаб 80%"/>
    <w:basedOn w:val="aff0"/>
    <w:rsid w:val="00712FB3"/>
    <w:rPr>
      <w:rFonts w:ascii="Segoe UI" w:eastAsia="Segoe UI" w:hAnsi="Segoe UI" w:cs="Segoe UI"/>
      <w:b w:val="0"/>
      <w:bCs w:val="0"/>
      <w:i/>
      <w:iCs/>
      <w:smallCaps w:val="0"/>
      <w:strike w:val="0"/>
      <w:spacing w:val="0"/>
      <w:w w:val="80"/>
      <w:sz w:val="18"/>
      <w:szCs w:val="18"/>
      <w:shd w:val="clear" w:color="auto" w:fill="FFFFFF"/>
    </w:rPr>
  </w:style>
  <w:style w:type="paragraph" w:customStyle="1" w:styleId="184">
    <w:name w:val="Основной текст18"/>
    <w:basedOn w:val="a"/>
    <w:rsid w:val="00712FB3"/>
    <w:pPr>
      <w:shd w:val="clear" w:color="auto" w:fill="FFFFFF"/>
      <w:spacing w:before="600" w:after="2880" w:line="240" w:lineRule="exact"/>
      <w:jc w:val="both"/>
    </w:pPr>
    <w:rPr>
      <w:rFonts w:ascii="Arial Narrow" w:eastAsia="Arial Narrow" w:hAnsi="Arial Narrow" w:cs="Arial Narrow"/>
      <w:color w:val="000000"/>
      <w:sz w:val="18"/>
      <w:szCs w:val="18"/>
    </w:rPr>
  </w:style>
  <w:style w:type="character" w:customStyle="1" w:styleId="135">
    <w:name w:val="Основной текст13"/>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47">
    <w:name w:val="Основной текст14"/>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character" w:customStyle="1" w:styleId="154">
    <w:name w:val="Основной текст15"/>
    <w:basedOn w:val="aff0"/>
    <w:rsid w:val="003C19E1"/>
    <w:rPr>
      <w:rFonts w:ascii="Gungsuh" w:eastAsia="Gungsuh" w:hAnsi="Gungsuh" w:cs="Gungsuh"/>
      <w:b w:val="0"/>
      <w:bCs w:val="0"/>
      <w:i w:val="0"/>
      <w:iCs w:val="0"/>
      <w:smallCaps w:val="0"/>
      <w:strike w:val="0"/>
      <w:spacing w:val="10"/>
      <w:sz w:val="23"/>
      <w:szCs w:val="23"/>
      <w:shd w:val="clear" w:color="auto" w:fill="FFFFFF"/>
    </w:rPr>
  </w:style>
  <w:style w:type="paragraph" w:customStyle="1" w:styleId="431">
    <w:name w:val="Основной текст43"/>
    <w:basedOn w:val="a"/>
    <w:rsid w:val="003C19E1"/>
    <w:pPr>
      <w:shd w:val="clear" w:color="auto" w:fill="FFFFFF"/>
      <w:spacing w:line="0" w:lineRule="atLeast"/>
      <w:ind w:hanging="480"/>
    </w:pPr>
    <w:rPr>
      <w:rFonts w:ascii="Gungsuh" w:eastAsia="Gungsuh" w:hAnsi="Gungsuh" w:cs="Gungsuh"/>
      <w:color w:val="000000"/>
      <w:sz w:val="15"/>
      <w:szCs w:val="15"/>
    </w:rPr>
  </w:style>
  <w:style w:type="character" w:customStyle="1" w:styleId="Consolas65pt">
    <w:name w:val="Основной текст + Consolas;6;5 pt;Полужирный"/>
    <w:basedOn w:val="aff0"/>
    <w:rsid w:val="003C19E1"/>
    <w:rPr>
      <w:rFonts w:ascii="Consolas" w:eastAsia="Consolas" w:hAnsi="Consolas" w:cs="Consolas"/>
      <w:b/>
      <w:bCs/>
      <w:i w:val="0"/>
      <w:iCs w:val="0"/>
      <w:smallCaps w:val="0"/>
      <w:strike w:val="0"/>
      <w:spacing w:val="0"/>
      <w:sz w:val="13"/>
      <w:szCs w:val="13"/>
      <w:shd w:val="clear" w:color="auto" w:fill="FFFFFF"/>
    </w:rPr>
  </w:style>
  <w:style w:type="character" w:customStyle="1" w:styleId="8Gungsuh75pt">
    <w:name w:val="Основной текст (8) + Gungsuh;7;5 pt;Не полужирный"/>
    <w:basedOn w:val="81"/>
    <w:rsid w:val="003C19E1"/>
    <w:rPr>
      <w:rFonts w:ascii="Gungsuh" w:eastAsia="Gungsuh" w:hAnsi="Gungsuh" w:cs="Gungsuh"/>
      <w:b/>
      <w:bCs/>
      <w:i w:val="0"/>
      <w:iCs w:val="0"/>
      <w:smallCaps w:val="0"/>
      <w:strike w:val="0"/>
      <w:spacing w:val="0"/>
      <w:sz w:val="15"/>
      <w:szCs w:val="15"/>
      <w:shd w:val="clear" w:color="auto" w:fill="FFFFFF"/>
    </w:rPr>
  </w:style>
  <w:style w:type="character" w:customStyle="1" w:styleId="510pt">
    <w:name w:val="Основной текст (5) + 10 pt;Полужирный;Не курсив"/>
    <w:basedOn w:val="5e"/>
    <w:rsid w:val="008C396C"/>
    <w:rPr>
      <w:rFonts w:ascii="Arial Narrow" w:eastAsia="Arial Narrow" w:hAnsi="Arial Narrow" w:cs="Arial Narrow"/>
      <w:b/>
      <w:bCs/>
      <w:i/>
      <w:iCs/>
      <w:spacing w:val="-10"/>
      <w:sz w:val="20"/>
      <w:szCs w:val="20"/>
      <w:shd w:val="clear" w:color="auto" w:fill="FFFFFF"/>
    </w:rPr>
  </w:style>
  <w:style w:type="paragraph" w:customStyle="1" w:styleId="11b">
    <w:name w:val="Основной текст11"/>
    <w:basedOn w:val="a"/>
    <w:rsid w:val="008C396C"/>
    <w:pPr>
      <w:shd w:val="clear" w:color="auto" w:fill="FFFFFF"/>
      <w:spacing w:after="900" w:line="0" w:lineRule="atLeast"/>
    </w:pPr>
    <w:rPr>
      <w:rFonts w:ascii="Arial Narrow" w:eastAsia="Arial Narrow" w:hAnsi="Arial Narrow" w:cs="Arial Narrow"/>
      <w:color w:val="000000"/>
      <w:sz w:val="17"/>
      <w:szCs w:val="17"/>
    </w:rPr>
  </w:style>
  <w:style w:type="paragraph" w:customStyle="1" w:styleId="4f">
    <w:name w:val="4"/>
    <w:basedOn w:val="a"/>
    <w:rsid w:val="00BA025E"/>
    <w:pPr>
      <w:spacing w:before="100" w:beforeAutospacing="1" w:after="100" w:afterAutospacing="1"/>
    </w:pPr>
  </w:style>
  <w:style w:type="paragraph" w:customStyle="1" w:styleId="p1">
    <w:name w:val="p1"/>
    <w:basedOn w:val="a"/>
    <w:rsid w:val="00BA025E"/>
    <w:pPr>
      <w:spacing w:before="100" w:beforeAutospacing="1" w:after="100" w:afterAutospacing="1"/>
    </w:pPr>
  </w:style>
  <w:style w:type="paragraph" w:customStyle="1" w:styleId="216">
    <w:name w:val="Основной текст21"/>
    <w:basedOn w:val="a"/>
    <w:rsid w:val="00BD3ED4"/>
    <w:pPr>
      <w:shd w:val="clear" w:color="auto" w:fill="FFFFFF"/>
      <w:spacing w:before="120" w:after="120" w:line="227" w:lineRule="exact"/>
      <w:ind w:hanging="280"/>
      <w:jc w:val="right"/>
    </w:pPr>
    <w:rPr>
      <w:color w:val="000000"/>
      <w:sz w:val="21"/>
      <w:szCs w:val="21"/>
    </w:rPr>
  </w:style>
  <w:style w:type="character" w:customStyle="1" w:styleId="885pt100">
    <w:name w:val="Основной текст (8) + 8;5 pt;Не курсив;Масштаб 100%"/>
    <w:basedOn w:val="81"/>
    <w:rsid w:val="0038610C"/>
    <w:rPr>
      <w:rFonts w:ascii="Segoe UI" w:eastAsia="Segoe UI" w:hAnsi="Segoe UI" w:cs="Segoe UI"/>
      <w:i/>
      <w:iCs/>
      <w:w w:val="100"/>
      <w:sz w:val="17"/>
      <w:szCs w:val="17"/>
      <w:shd w:val="clear" w:color="auto" w:fill="FFFFFF"/>
    </w:rPr>
  </w:style>
  <w:style w:type="character" w:customStyle="1" w:styleId="Impact7pt">
    <w:name w:val="Основной текст + Impact;7 pt"/>
    <w:basedOn w:val="aff0"/>
    <w:rsid w:val="0038610C"/>
    <w:rPr>
      <w:rFonts w:ascii="Impact" w:eastAsia="Impact" w:hAnsi="Impact" w:cs="Impact"/>
      <w:b w:val="0"/>
      <w:bCs w:val="0"/>
      <w:i w:val="0"/>
      <w:iCs w:val="0"/>
      <w:smallCaps w:val="0"/>
      <w:strike w:val="0"/>
      <w:spacing w:val="0"/>
      <w:w w:val="100"/>
      <w:sz w:val="14"/>
      <w:szCs w:val="14"/>
      <w:shd w:val="clear" w:color="auto" w:fill="FFFFFF"/>
    </w:rPr>
  </w:style>
  <w:style w:type="character" w:customStyle="1" w:styleId="3115pt">
    <w:name w:val="Основной текст (3) + 11;5 pt;Полужирный;Не курсив"/>
    <w:basedOn w:val="35"/>
    <w:rsid w:val="004709B0"/>
    <w:rPr>
      <w:rFonts w:ascii="Times New Roman" w:eastAsia="Times New Roman" w:hAnsi="Times New Roman" w:cs="Times New Roman"/>
      <w:b/>
      <w:bCs/>
      <w:i/>
      <w:iCs/>
      <w:smallCaps w:val="0"/>
      <w:strike w:val="0"/>
      <w:spacing w:val="0"/>
      <w:sz w:val="23"/>
      <w:szCs w:val="23"/>
      <w:shd w:val="clear" w:color="auto" w:fill="FFFFFF"/>
    </w:rPr>
  </w:style>
  <w:style w:type="character" w:customStyle="1" w:styleId="690">
    <w:name w:val="Основной текст69"/>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F1364C"/>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70">
    <w:name w:val="Основной текст (57)_"/>
    <w:basedOn w:val="a0"/>
    <w:link w:val="57"/>
    <w:rsid w:val="002A4526"/>
    <w:rPr>
      <w:rFonts w:ascii="Sylfaen" w:eastAsia="Times New Roman" w:hAnsi="Sylfaen" w:cs="Sylfaen"/>
      <w:noProof/>
      <w:sz w:val="8"/>
      <w:szCs w:val="8"/>
      <w:shd w:val="clear" w:color="auto" w:fill="FFFFFF"/>
      <w:lang w:val="en-US"/>
    </w:rPr>
  </w:style>
  <w:style w:type="character" w:customStyle="1" w:styleId="600">
    <w:name w:val="Основной текст (60)_"/>
    <w:basedOn w:val="a0"/>
    <w:link w:val="601"/>
    <w:rsid w:val="002A4526"/>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2A4526"/>
    <w:pPr>
      <w:shd w:val="clear" w:color="auto" w:fill="FFFFFF"/>
      <w:spacing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2A4526"/>
    <w:rPr>
      <w:rFonts w:ascii="Segoe UI" w:eastAsia="Segoe UI" w:hAnsi="Segoe UI" w:cs="Segoe UI"/>
      <w:sz w:val="8"/>
      <w:szCs w:val="8"/>
      <w:shd w:val="clear" w:color="auto" w:fill="FFFFFF"/>
    </w:rPr>
  </w:style>
  <w:style w:type="paragraph" w:customStyle="1" w:styleId="591">
    <w:name w:val="Основной текст (59)"/>
    <w:basedOn w:val="a"/>
    <w:link w:val="590"/>
    <w:rsid w:val="002A4526"/>
    <w:pPr>
      <w:shd w:val="clear" w:color="auto" w:fill="FFFFFF"/>
      <w:spacing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2A4526"/>
    <w:rPr>
      <w:rFonts w:ascii="MS Reference Sans Serif" w:eastAsia="Times New Roman" w:hAnsi="MS Reference Sans Serif" w:cs="MS Reference Sans Serif"/>
      <w:i/>
      <w:iCs/>
      <w:shd w:val="clear" w:color="auto" w:fill="FFFFFF"/>
    </w:rPr>
  </w:style>
  <w:style w:type="character" w:customStyle="1" w:styleId="622">
    <w:name w:val="Основной текст (62)_"/>
    <w:basedOn w:val="a0"/>
    <w:link w:val="623"/>
    <w:rsid w:val="002A4526"/>
    <w:rPr>
      <w:rFonts w:ascii="Segoe UI" w:eastAsia="Segoe UI" w:hAnsi="Segoe UI" w:cs="Segoe UI"/>
      <w:sz w:val="8"/>
      <w:szCs w:val="8"/>
      <w:shd w:val="clear" w:color="auto" w:fill="FFFFFF"/>
    </w:rPr>
  </w:style>
  <w:style w:type="paragraph" w:customStyle="1" w:styleId="623">
    <w:name w:val="Основной текст (62)"/>
    <w:basedOn w:val="a"/>
    <w:link w:val="622"/>
    <w:rsid w:val="002A4526"/>
    <w:pPr>
      <w:shd w:val="clear" w:color="auto" w:fill="FFFFFF"/>
      <w:spacing w:line="0" w:lineRule="atLeast"/>
      <w:jc w:val="center"/>
    </w:pPr>
    <w:rPr>
      <w:rFonts w:ascii="Segoe UI" w:eastAsia="Segoe UI" w:hAnsi="Segoe UI" w:cs="Segoe UI"/>
      <w:sz w:val="8"/>
      <w:szCs w:val="8"/>
    </w:rPr>
  </w:style>
  <w:style w:type="paragraph" w:customStyle="1" w:styleId="1131">
    <w:name w:val="Основной текст113"/>
    <w:basedOn w:val="a"/>
    <w:rsid w:val="00EF1DB3"/>
    <w:pPr>
      <w:shd w:val="clear" w:color="auto" w:fill="FFFFFF"/>
      <w:spacing w:line="198" w:lineRule="exact"/>
      <w:ind w:hanging="260"/>
      <w:jc w:val="both"/>
    </w:pPr>
    <w:rPr>
      <w:rFonts w:ascii="Arial" w:eastAsia="Arial" w:hAnsi="Arial" w:cs="Arial"/>
      <w:color w:val="000000"/>
      <w:sz w:val="14"/>
      <w:szCs w:val="14"/>
      <w:lang w:val="ru"/>
    </w:rPr>
  </w:style>
  <w:style w:type="character" w:customStyle="1" w:styleId="afff7">
    <w:name w:val="Другое_"/>
    <w:basedOn w:val="a0"/>
    <w:link w:val="afff8"/>
    <w:rsid w:val="00CE1517"/>
    <w:rPr>
      <w:rFonts w:ascii="Arial" w:eastAsia="Arial" w:hAnsi="Arial" w:cs="Arial"/>
      <w:sz w:val="17"/>
      <w:szCs w:val="17"/>
    </w:rPr>
  </w:style>
  <w:style w:type="paragraph" w:customStyle="1" w:styleId="afff8">
    <w:name w:val="Другое"/>
    <w:basedOn w:val="a"/>
    <w:link w:val="afff7"/>
    <w:rsid w:val="00CE1517"/>
    <w:pPr>
      <w:widowControl w:val="0"/>
      <w:ind w:firstLine="180"/>
    </w:pPr>
    <w:rPr>
      <w:rFonts w:ascii="Arial" w:eastAsia="Arial" w:hAnsi="Arial" w:cs="Arial"/>
      <w:sz w:val="17"/>
      <w:szCs w:val="17"/>
    </w:rPr>
  </w:style>
  <w:style w:type="character" w:customStyle="1" w:styleId="731">
    <w:name w:val="Основной текст73"/>
    <w:basedOn w:val="aff0"/>
    <w:rsid w:val="007B38E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41">
    <w:name w:val="Заголовок №11 (4)_"/>
    <w:basedOn w:val="a0"/>
    <w:link w:val="1142"/>
    <w:rsid w:val="00A8589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A8589E"/>
    <w:pPr>
      <w:shd w:val="clear" w:color="auto" w:fill="FFFFFF"/>
      <w:spacing w:line="197" w:lineRule="exact"/>
      <w:ind w:firstLine="220"/>
      <w:jc w:val="both"/>
    </w:pPr>
    <w:rPr>
      <w:rFonts w:ascii="Franklin Gothic Book" w:eastAsia="Franklin Gothic Book" w:hAnsi="Franklin Gothic Book" w:cs="Franklin Gothic Book"/>
      <w:sz w:val="15"/>
      <w:szCs w:val="15"/>
    </w:rPr>
  </w:style>
  <w:style w:type="paragraph" w:customStyle="1" w:styleId="17">
    <w:name w:val="Основной текст17"/>
    <w:basedOn w:val="a"/>
    <w:link w:val="aff0"/>
    <w:rsid w:val="00BD44E6"/>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1pt1">
    <w:name w:val="Основной текст + Курсив;Интервал 1 pt"/>
    <w:basedOn w:val="aff0"/>
    <w:rsid w:val="007048F1"/>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paragraph" w:customStyle="1" w:styleId="article-renderblock">
    <w:name w:val="article-render__block"/>
    <w:basedOn w:val="a"/>
    <w:rsid w:val="00C4688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049748">
      <w:bodyDiv w:val="1"/>
      <w:marLeft w:val="0"/>
      <w:marRight w:val="0"/>
      <w:marTop w:val="0"/>
      <w:marBottom w:val="0"/>
      <w:divBdr>
        <w:top w:val="none" w:sz="0" w:space="0" w:color="auto"/>
        <w:left w:val="none" w:sz="0" w:space="0" w:color="auto"/>
        <w:bottom w:val="none" w:sz="0" w:space="0" w:color="auto"/>
        <w:right w:val="none" w:sz="0" w:space="0" w:color="auto"/>
      </w:divBdr>
      <w:divsChild>
        <w:div w:id="1181896957">
          <w:marLeft w:val="0"/>
          <w:marRight w:val="0"/>
          <w:marTop w:val="0"/>
          <w:marBottom w:val="0"/>
          <w:divBdr>
            <w:top w:val="none" w:sz="0" w:space="0" w:color="auto"/>
            <w:left w:val="none" w:sz="0" w:space="0" w:color="auto"/>
            <w:bottom w:val="none" w:sz="0" w:space="0" w:color="auto"/>
            <w:right w:val="none" w:sz="0" w:space="0" w:color="auto"/>
          </w:divBdr>
          <w:divsChild>
            <w:div w:id="1804229914">
              <w:marLeft w:val="0"/>
              <w:marRight w:val="0"/>
              <w:marTop w:val="0"/>
              <w:marBottom w:val="0"/>
              <w:divBdr>
                <w:top w:val="none" w:sz="0" w:space="0" w:color="auto"/>
                <w:left w:val="none" w:sz="0" w:space="0" w:color="auto"/>
                <w:bottom w:val="none" w:sz="0" w:space="0" w:color="auto"/>
                <w:right w:val="none" w:sz="0" w:space="0" w:color="auto"/>
              </w:divBdr>
              <w:divsChild>
                <w:div w:id="1988506637">
                  <w:marLeft w:val="0"/>
                  <w:marRight w:val="0"/>
                  <w:marTop w:val="0"/>
                  <w:marBottom w:val="0"/>
                  <w:divBdr>
                    <w:top w:val="none" w:sz="0" w:space="0" w:color="auto"/>
                    <w:left w:val="none" w:sz="0" w:space="0" w:color="auto"/>
                    <w:bottom w:val="none" w:sz="0" w:space="0" w:color="auto"/>
                    <w:right w:val="none" w:sz="0" w:space="0" w:color="auto"/>
                  </w:divBdr>
                  <w:divsChild>
                    <w:div w:id="1679850935">
                      <w:marLeft w:val="0"/>
                      <w:marRight w:val="0"/>
                      <w:marTop w:val="0"/>
                      <w:marBottom w:val="0"/>
                      <w:divBdr>
                        <w:top w:val="none" w:sz="0" w:space="0" w:color="auto"/>
                        <w:left w:val="none" w:sz="0" w:space="0" w:color="auto"/>
                        <w:bottom w:val="none" w:sz="0" w:space="0" w:color="auto"/>
                        <w:right w:val="none" w:sz="0" w:space="0" w:color="auto"/>
                      </w:divBdr>
                      <w:divsChild>
                        <w:div w:id="23337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8142496">
      <w:bodyDiv w:val="1"/>
      <w:marLeft w:val="0"/>
      <w:marRight w:val="0"/>
      <w:marTop w:val="0"/>
      <w:marBottom w:val="0"/>
      <w:divBdr>
        <w:top w:val="none" w:sz="0" w:space="0" w:color="auto"/>
        <w:left w:val="none" w:sz="0" w:space="0" w:color="auto"/>
        <w:bottom w:val="none" w:sz="0" w:space="0" w:color="auto"/>
        <w:right w:val="none" w:sz="0" w:space="0" w:color="auto"/>
      </w:divBdr>
      <w:divsChild>
        <w:div w:id="1747848477">
          <w:marLeft w:val="0"/>
          <w:marRight w:val="0"/>
          <w:marTop w:val="0"/>
          <w:marBottom w:val="0"/>
          <w:divBdr>
            <w:top w:val="none" w:sz="0" w:space="0" w:color="auto"/>
            <w:left w:val="none" w:sz="0" w:space="0" w:color="auto"/>
            <w:bottom w:val="none" w:sz="0" w:space="0" w:color="auto"/>
            <w:right w:val="none" w:sz="0" w:space="0" w:color="auto"/>
          </w:divBdr>
          <w:divsChild>
            <w:div w:id="1842892561">
              <w:marLeft w:val="0"/>
              <w:marRight w:val="0"/>
              <w:marTop w:val="0"/>
              <w:marBottom w:val="0"/>
              <w:divBdr>
                <w:top w:val="none" w:sz="0" w:space="0" w:color="auto"/>
                <w:left w:val="none" w:sz="0" w:space="0" w:color="auto"/>
                <w:bottom w:val="none" w:sz="0" w:space="0" w:color="auto"/>
                <w:right w:val="none" w:sz="0" w:space="0" w:color="auto"/>
              </w:divBdr>
              <w:divsChild>
                <w:div w:id="470901916">
                  <w:marLeft w:val="0"/>
                  <w:marRight w:val="0"/>
                  <w:marTop w:val="0"/>
                  <w:marBottom w:val="0"/>
                  <w:divBdr>
                    <w:top w:val="none" w:sz="0" w:space="0" w:color="auto"/>
                    <w:left w:val="none" w:sz="0" w:space="0" w:color="auto"/>
                    <w:bottom w:val="none" w:sz="0" w:space="0" w:color="auto"/>
                    <w:right w:val="none" w:sz="0" w:space="0" w:color="auto"/>
                  </w:divBdr>
                  <w:divsChild>
                    <w:div w:id="1409497266">
                      <w:marLeft w:val="0"/>
                      <w:marRight w:val="0"/>
                      <w:marTop w:val="0"/>
                      <w:marBottom w:val="0"/>
                      <w:divBdr>
                        <w:top w:val="none" w:sz="0" w:space="0" w:color="auto"/>
                        <w:left w:val="none" w:sz="0" w:space="0" w:color="auto"/>
                        <w:bottom w:val="none" w:sz="0" w:space="0" w:color="auto"/>
                        <w:right w:val="none" w:sz="0" w:space="0" w:color="auto"/>
                      </w:divBdr>
                      <w:divsChild>
                        <w:div w:id="52240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3743242">
      <w:bodyDiv w:val="1"/>
      <w:marLeft w:val="0"/>
      <w:marRight w:val="0"/>
      <w:marTop w:val="0"/>
      <w:marBottom w:val="0"/>
      <w:divBdr>
        <w:top w:val="none" w:sz="0" w:space="0" w:color="auto"/>
        <w:left w:val="none" w:sz="0" w:space="0" w:color="auto"/>
        <w:bottom w:val="none" w:sz="0" w:space="0" w:color="auto"/>
        <w:right w:val="none" w:sz="0" w:space="0" w:color="auto"/>
      </w:divBdr>
      <w:divsChild>
        <w:div w:id="69162224">
          <w:marLeft w:val="0"/>
          <w:marRight w:val="0"/>
          <w:marTop w:val="0"/>
          <w:marBottom w:val="0"/>
          <w:divBdr>
            <w:top w:val="none" w:sz="0" w:space="0" w:color="auto"/>
            <w:left w:val="none" w:sz="0" w:space="0" w:color="auto"/>
            <w:bottom w:val="none" w:sz="0" w:space="0" w:color="auto"/>
            <w:right w:val="none" w:sz="0" w:space="0" w:color="auto"/>
          </w:divBdr>
          <w:divsChild>
            <w:div w:id="1044452440">
              <w:marLeft w:val="0"/>
              <w:marRight w:val="0"/>
              <w:marTop w:val="0"/>
              <w:marBottom w:val="0"/>
              <w:divBdr>
                <w:top w:val="none" w:sz="0" w:space="0" w:color="auto"/>
                <w:left w:val="none" w:sz="0" w:space="0" w:color="auto"/>
                <w:bottom w:val="none" w:sz="0" w:space="0" w:color="auto"/>
                <w:right w:val="none" w:sz="0" w:space="0" w:color="auto"/>
              </w:divBdr>
              <w:divsChild>
                <w:div w:id="1872841475">
                  <w:marLeft w:val="0"/>
                  <w:marRight w:val="0"/>
                  <w:marTop w:val="0"/>
                  <w:marBottom w:val="0"/>
                  <w:divBdr>
                    <w:top w:val="none" w:sz="0" w:space="0" w:color="auto"/>
                    <w:left w:val="none" w:sz="0" w:space="0" w:color="auto"/>
                    <w:bottom w:val="none" w:sz="0" w:space="0" w:color="auto"/>
                    <w:right w:val="none" w:sz="0" w:space="0" w:color="auto"/>
                  </w:divBdr>
                  <w:divsChild>
                    <w:div w:id="78673851">
                      <w:marLeft w:val="0"/>
                      <w:marRight w:val="0"/>
                      <w:marTop w:val="0"/>
                      <w:marBottom w:val="0"/>
                      <w:divBdr>
                        <w:top w:val="none" w:sz="0" w:space="0" w:color="auto"/>
                        <w:left w:val="none" w:sz="0" w:space="0" w:color="auto"/>
                        <w:bottom w:val="none" w:sz="0" w:space="0" w:color="auto"/>
                        <w:right w:val="none" w:sz="0" w:space="0" w:color="auto"/>
                      </w:divBdr>
                      <w:divsChild>
                        <w:div w:id="1847864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530342">
      <w:bodyDiv w:val="1"/>
      <w:marLeft w:val="0"/>
      <w:marRight w:val="0"/>
      <w:marTop w:val="0"/>
      <w:marBottom w:val="0"/>
      <w:divBdr>
        <w:top w:val="none" w:sz="0" w:space="0" w:color="auto"/>
        <w:left w:val="none" w:sz="0" w:space="0" w:color="auto"/>
        <w:bottom w:val="none" w:sz="0" w:space="0" w:color="auto"/>
        <w:right w:val="none" w:sz="0" w:space="0" w:color="auto"/>
      </w:divBdr>
      <w:divsChild>
        <w:div w:id="53309929">
          <w:marLeft w:val="0"/>
          <w:marRight w:val="0"/>
          <w:marTop w:val="0"/>
          <w:marBottom w:val="0"/>
          <w:divBdr>
            <w:top w:val="none" w:sz="0" w:space="0" w:color="auto"/>
            <w:left w:val="none" w:sz="0" w:space="0" w:color="auto"/>
            <w:bottom w:val="none" w:sz="0" w:space="0" w:color="auto"/>
            <w:right w:val="none" w:sz="0" w:space="0" w:color="auto"/>
          </w:divBdr>
          <w:divsChild>
            <w:div w:id="320502192">
              <w:marLeft w:val="0"/>
              <w:marRight w:val="0"/>
              <w:marTop w:val="0"/>
              <w:marBottom w:val="0"/>
              <w:divBdr>
                <w:top w:val="none" w:sz="0" w:space="0" w:color="auto"/>
                <w:left w:val="none" w:sz="0" w:space="0" w:color="auto"/>
                <w:bottom w:val="none" w:sz="0" w:space="0" w:color="auto"/>
                <w:right w:val="none" w:sz="0" w:space="0" w:color="auto"/>
              </w:divBdr>
              <w:divsChild>
                <w:div w:id="1283729421">
                  <w:marLeft w:val="0"/>
                  <w:marRight w:val="0"/>
                  <w:marTop w:val="0"/>
                  <w:marBottom w:val="0"/>
                  <w:divBdr>
                    <w:top w:val="none" w:sz="0" w:space="0" w:color="auto"/>
                    <w:left w:val="none" w:sz="0" w:space="0" w:color="auto"/>
                    <w:bottom w:val="none" w:sz="0" w:space="0" w:color="auto"/>
                    <w:right w:val="none" w:sz="0" w:space="0" w:color="auto"/>
                  </w:divBdr>
                  <w:divsChild>
                    <w:div w:id="1764109294">
                      <w:marLeft w:val="0"/>
                      <w:marRight w:val="0"/>
                      <w:marTop w:val="0"/>
                      <w:marBottom w:val="0"/>
                      <w:divBdr>
                        <w:top w:val="none" w:sz="0" w:space="0" w:color="auto"/>
                        <w:left w:val="none" w:sz="0" w:space="0" w:color="auto"/>
                        <w:bottom w:val="none" w:sz="0" w:space="0" w:color="auto"/>
                        <w:right w:val="none" w:sz="0" w:space="0" w:color="auto"/>
                      </w:divBdr>
                      <w:divsChild>
                        <w:div w:id="629287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8898351">
      <w:bodyDiv w:val="1"/>
      <w:marLeft w:val="0"/>
      <w:marRight w:val="0"/>
      <w:marTop w:val="0"/>
      <w:marBottom w:val="0"/>
      <w:divBdr>
        <w:top w:val="none" w:sz="0" w:space="0" w:color="auto"/>
        <w:left w:val="none" w:sz="0" w:space="0" w:color="auto"/>
        <w:bottom w:val="none" w:sz="0" w:space="0" w:color="auto"/>
        <w:right w:val="none" w:sz="0" w:space="0" w:color="auto"/>
      </w:divBdr>
      <w:divsChild>
        <w:div w:id="637684569">
          <w:marLeft w:val="0"/>
          <w:marRight w:val="0"/>
          <w:marTop w:val="0"/>
          <w:marBottom w:val="0"/>
          <w:divBdr>
            <w:top w:val="none" w:sz="0" w:space="0" w:color="auto"/>
            <w:left w:val="none" w:sz="0" w:space="0" w:color="auto"/>
            <w:bottom w:val="none" w:sz="0" w:space="0" w:color="auto"/>
            <w:right w:val="none" w:sz="0" w:space="0" w:color="auto"/>
          </w:divBdr>
          <w:divsChild>
            <w:div w:id="407457805">
              <w:marLeft w:val="0"/>
              <w:marRight w:val="0"/>
              <w:marTop w:val="0"/>
              <w:marBottom w:val="0"/>
              <w:divBdr>
                <w:top w:val="none" w:sz="0" w:space="0" w:color="auto"/>
                <w:left w:val="none" w:sz="0" w:space="0" w:color="auto"/>
                <w:bottom w:val="none" w:sz="0" w:space="0" w:color="auto"/>
                <w:right w:val="none" w:sz="0" w:space="0" w:color="auto"/>
              </w:divBdr>
              <w:divsChild>
                <w:div w:id="2015647480">
                  <w:marLeft w:val="0"/>
                  <w:marRight w:val="0"/>
                  <w:marTop w:val="0"/>
                  <w:marBottom w:val="0"/>
                  <w:divBdr>
                    <w:top w:val="none" w:sz="0" w:space="0" w:color="auto"/>
                    <w:left w:val="none" w:sz="0" w:space="0" w:color="auto"/>
                    <w:bottom w:val="none" w:sz="0" w:space="0" w:color="auto"/>
                    <w:right w:val="none" w:sz="0" w:space="0" w:color="auto"/>
                  </w:divBdr>
                  <w:divsChild>
                    <w:div w:id="504707506">
                      <w:marLeft w:val="0"/>
                      <w:marRight w:val="0"/>
                      <w:marTop w:val="0"/>
                      <w:marBottom w:val="0"/>
                      <w:divBdr>
                        <w:top w:val="none" w:sz="0" w:space="0" w:color="auto"/>
                        <w:left w:val="none" w:sz="0" w:space="0" w:color="auto"/>
                        <w:bottom w:val="none" w:sz="0" w:space="0" w:color="auto"/>
                        <w:right w:val="none" w:sz="0" w:space="0" w:color="auto"/>
                      </w:divBdr>
                      <w:divsChild>
                        <w:div w:id="15256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375872">
      <w:bodyDiv w:val="1"/>
      <w:marLeft w:val="0"/>
      <w:marRight w:val="0"/>
      <w:marTop w:val="0"/>
      <w:marBottom w:val="0"/>
      <w:divBdr>
        <w:top w:val="none" w:sz="0" w:space="0" w:color="auto"/>
        <w:left w:val="none" w:sz="0" w:space="0" w:color="auto"/>
        <w:bottom w:val="none" w:sz="0" w:space="0" w:color="auto"/>
        <w:right w:val="none" w:sz="0" w:space="0" w:color="auto"/>
      </w:divBdr>
      <w:divsChild>
        <w:div w:id="1529106116">
          <w:marLeft w:val="0"/>
          <w:marRight w:val="0"/>
          <w:marTop w:val="100"/>
          <w:marBottom w:val="100"/>
          <w:divBdr>
            <w:top w:val="none" w:sz="0" w:space="0" w:color="auto"/>
            <w:left w:val="none" w:sz="0" w:space="0" w:color="auto"/>
            <w:bottom w:val="none" w:sz="0" w:space="0" w:color="auto"/>
            <w:right w:val="none" w:sz="0" w:space="0" w:color="auto"/>
          </w:divBdr>
          <w:divsChild>
            <w:div w:id="757404305">
              <w:marLeft w:val="0"/>
              <w:marRight w:val="0"/>
              <w:marTop w:val="0"/>
              <w:marBottom w:val="0"/>
              <w:divBdr>
                <w:top w:val="none" w:sz="0" w:space="0" w:color="auto"/>
                <w:left w:val="none" w:sz="0" w:space="0" w:color="auto"/>
                <w:bottom w:val="none" w:sz="0" w:space="0" w:color="auto"/>
                <w:right w:val="none" w:sz="0" w:space="0" w:color="auto"/>
              </w:divBdr>
              <w:divsChild>
                <w:div w:id="1087773035">
                  <w:marLeft w:val="0"/>
                  <w:marRight w:val="0"/>
                  <w:marTop w:val="0"/>
                  <w:marBottom w:val="0"/>
                  <w:divBdr>
                    <w:top w:val="none" w:sz="0" w:space="0" w:color="auto"/>
                    <w:left w:val="none" w:sz="0" w:space="0" w:color="auto"/>
                    <w:bottom w:val="none" w:sz="0" w:space="0" w:color="auto"/>
                    <w:right w:val="none" w:sz="0" w:space="0" w:color="auto"/>
                  </w:divBdr>
                  <w:divsChild>
                    <w:div w:id="1362628617">
                      <w:marLeft w:val="-3000"/>
                      <w:marRight w:val="0"/>
                      <w:marTop w:val="0"/>
                      <w:marBottom w:val="0"/>
                      <w:divBdr>
                        <w:top w:val="none" w:sz="0" w:space="0" w:color="auto"/>
                        <w:left w:val="none" w:sz="0" w:space="0" w:color="auto"/>
                        <w:bottom w:val="none" w:sz="0" w:space="0" w:color="auto"/>
                        <w:right w:val="none" w:sz="0" w:space="0" w:color="auto"/>
                      </w:divBdr>
                      <w:divsChild>
                        <w:div w:id="1523591333">
                          <w:marLeft w:val="0"/>
                          <w:marRight w:val="0"/>
                          <w:marTop w:val="0"/>
                          <w:marBottom w:val="0"/>
                          <w:divBdr>
                            <w:top w:val="none" w:sz="0" w:space="0" w:color="auto"/>
                            <w:left w:val="none" w:sz="0" w:space="0" w:color="auto"/>
                            <w:bottom w:val="none" w:sz="0" w:space="0" w:color="auto"/>
                            <w:right w:val="none" w:sz="0" w:space="0" w:color="auto"/>
                          </w:divBdr>
                          <w:divsChild>
                            <w:div w:id="1562790102">
                              <w:marLeft w:val="3000"/>
                              <w:marRight w:val="0"/>
                              <w:marTop w:val="0"/>
                              <w:marBottom w:val="0"/>
                              <w:divBdr>
                                <w:top w:val="none" w:sz="0" w:space="0" w:color="auto"/>
                                <w:left w:val="none" w:sz="0" w:space="0" w:color="auto"/>
                                <w:bottom w:val="none" w:sz="0" w:space="0" w:color="auto"/>
                                <w:right w:val="none" w:sz="0" w:space="0" w:color="auto"/>
                              </w:divBdr>
                              <w:divsChild>
                                <w:div w:id="1777751148">
                                  <w:marLeft w:val="0"/>
                                  <w:marRight w:val="0"/>
                                  <w:marTop w:val="0"/>
                                  <w:marBottom w:val="0"/>
                                  <w:divBdr>
                                    <w:top w:val="none" w:sz="0" w:space="0" w:color="auto"/>
                                    <w:left w:val="none" w:sz="0" w:space="0" w:color="auto"/>
                                    <w:bottom w:val="none" w:sz="0" w:space="0" w:color="auto"/>
                                    <w:right w:val="none" w:sz="0" w:space="0" w:color="auto"/>
                                  </w:divBdr>
                                  <w:divsChild>
                                    <w:div w:id="181182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1195572">
      <w:bodyDiv w:val="1"/>
      <w:marLeft w:val="0"/>
      <w:marRight w:val="0"/>
      <w:marTop w:val="0"/>
      <w:marBottom w:val="0"/>
      <w:divBdr>
        <w:top w:val="none" w:sz="0" w:space="0" w:color="auto"/>
        <w:left w:val="none" w:sz="0" w:space="0" w:color="auto"/>
        <w:bottom w:val="none" w:sz="0" w:space="0" w:color="auto"/>
        <w:right w:val="none" w:sz="0" w:space="0" w:color="auto"/>
      </w:divBdr>
      <w:divsChild>
        <w:div w:id="862329280">
          <w:marLeft w:val="0"/>
          <w:marRight w:val="0"/>
          <w:marTop w:val="0"/>
          <w:marBottom w:val="0"/>
          <w:divBdr>
            <w:top w:val="none" w:sz="0" w:space="0" w:color="auto"/>
            <w:left w:val="none" w:sz="0" w:space="0" w:color="auto"/>
            <w:bottom w:val="none" w:sz="0" w:space="0" w:color="auto"/>
            <w:right w:val="none" w:sz="0" w:space="0" w:color="auto"/>
          </w:divBdr>
          <w:divsChild>
            <w:div w:id="1393891614">
              <w:marLeft w:val="0"/>
              <w:marRight w:val="0"/>
              <w:marTop w:val="0"/>
              <w:marBottom w:val="0"/>
              <w:divBdr>
                <w:top w:val="none" w:sz="0" w:space="0" w:color="auto"/>
                <w:left w:val="none" w:sz="0" w:space="0" w:color="auto"/>
                <w:bottom w:val="none" w:sz="0" w:space="0" w:color="auto"/>
                <w:right w:val="none" w:sz="0" w:space="0" w:color="auto"/>
              </w:divBdr>
              <w:divsChild>
                <w:div w:id="560750024">
                  <w:marLeft w:val="0"/>
                  <w:marRight w:val="0"/>
                  <w:marTop w:val="0"/>
                  <w:marBottom w:val="0"/>
                  <w:divBdr>
                    <w:top w:val="none" w:sz="0" w:space="0" w:color="auto"/>
                    <w:left w:val="none" w:sz="0" w:space="0" w:color="auto"/>
                    <w:bottom w:val="none" w:sz="0" w:space="0" w:color="auto"/>
                    <w:right w:val="none" w:sz="0" w:space="0" w:color="auto"/>
                  </w:divBdr>
                  <w:divsChild>
                    <w:div w:id="586428233">
                      <w:marLeft w:val="0"/>
                      <w:marRight w:val="0"/>
                      <w:marTop w:val="0"/>
                      <w:marBottom w:val="0"/>
                      <w:divBdr>
                        <w:top w:val="none" w:sz="0" w:space="0" w:color="auto"/>
                        <w:left w:val="none" w:sz="0" w:space="0" w:color="auto"/>
                        <w:bottom w:val="none" w:sz="0" w:space="0" w:color="auto"/>
                        <w:right w:val="none" w:sz="0" w:space="0" w:color="auto"/>
                      </w:divBdr>
                      <w:divsChild>
                        <w:div w:id="1147043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7862899">
      <w:bodyDiv w:val="1"/>
      <w:marLeft w:val="0"/>
      <w:marRight w:val="0"/>
      <w:marTop w:val="0"/>
      <w:marBottom w:val="0"/>
      <w:divBdr>
        <w:top w:val="none" w:sz="0" w:space="0" w:color="auto"/>
        <w:left w:val="none" w:sz="0" w:space="0" w:color="auto"/>
        <w:bottom w:val="none" w:sz="0" w:space="0" w:color="auto"/>
        <w:right w:val="none" w:sz="0" w:space="0" w:color="auto"/>
      </w:divBdr>
      <w:divsChild>
        <w:div w:id="545338217">
          <w:marLeft w:val="0"/>
          <w:marRight w:val="0"/>
          <w:marTop w:val="0"/>
          <w:marBottom w:val="0"/>
          <w:divBdr>
            <w:top w:val="none" w:sz="0" w:space="0" w:color="auto"/>
            <w:left w:val="none" w:sz="0" w:space="0" w:color="auto"/>
            <w:bottom w:val="none" w:sz="0" w:space="0" w:color="auto"/>
            <w:right w:val="none" w:sz="0" w:space="0" w:color="auto"/>
          </w:divBdr>
          <w:divsChild>
            <w:div w:id="13190493">
              <w:marLeft w:val="0"/>
              <w:marRight w:val="0"/>
              <w:marTop w:val="0"/>
              <w:marBottom w:val="0"/>
              <w:divBdr>
                <w:top w:val="none" w:sz="0" w:space="0" w:color="auto"/>
                <w:left w:val="none" w:sz="0" w:space="0" w:color="auto"/>
                <w:bottom w:val="none" w:sz="0" w:space="0" w:color="auto"/>
                <w:right w:val="none" w:sz="0" w:space="0" w:color="auto"/>
              </w:divBdr>
              <w:divsChild>
                <w:div w:id="1649284428">
                  <w:marLeft w:val="0"/>
                  <w:marRight w:val="0"/>
                  <w:marTop w:val="0"/>
                  <w:marBottom w:val="0"/>
                  <w:divBdr>
                    <w:top w:val="none" w:sz="0" w:space="0" w:color="auto"/>
                    <w:left w:val="none" w:sz="0" w:space="0" w:color="auto"/>
                    <w:bottom w:val="none" w:sz="0" w:space="0" w:color="auto"/>
                    <w:right w:val="none" w:sz="0" w:space="0" w:color="auto"/>
                  </w:divBdr>
                  <w:divsChild>
                    <w:div w:id="373963626">
                      <w:marLeft w:val="0"/>
                      <w:marRight w:val="0"/>
                      <w:marTop w:val="0"/>
                      <w:marBottom w:val="0"/>
                      <w:divBdr>
                        <w:top w:val="none" w:sz="0" w:space="0" w:color="auto"/>
                        <w:left w:val="none" w:sz="0" w:space="0" w:color="auto"/>
                        <w:bottom w:val="none" w:sz="0" w:space="0" w:color="auto"/>
                        <w:right w:val="none" w:sz="0" w:space="0" w:color="auto"/>
                      </w:divBdr>
                      <w:divsChild>
                        <w:div w:id="84170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1706677">
      <w:bodyDiv w:val="1"/>
      <w:marLeft w:val="0"/>
      <w:marRight w:val="0"/>
      <w:marTop w:val="0"/>
      <w:marBottom w:val="0"/>
      <w:divBdr>
        <w:top w:val="none" w:sz="0" w:space="0" w:color="auto"/>
        <w:left w:val="none" w:sz="0" w:space="0" w:color="auto"/>
        <w:bottom w:val="none" w:sz="0" w:space="0" w:color="auto"/>
        <w:right w:val="none" w:sz="0" w:space="0" w:color="auto"/>
      </w:divBdr>
      <w:divsChild>
        <w:div w:id="1829248391">
          <w:marLeft w:val="0"/>
          <w:marRight w:val="0"/>
          <w:marTop w:val="0"/>
          <w:marBottom w:val="0"/>
          <w:divBdr>
            <w:top w:val="none" w:sz="0" w:space="0" w:color="auto"/>
            <w:left w:val="none" w:sz="0" w:space="0" w:color="auto"/>
            <w:bottom w:val="none" w:sz="0" w:space="0" w:color="auto"/>
            <w:right w:val="none" w:sz="0" w:space="0" w:color="auto"/>
          </w:divBdr>
          <w:divsChild>
            <w:div w:id="1003238353">
              <w:marLeft w:val="0"/>
              <w:marRight w:val="0"/>
              <w:marTop w:val="0"/>
              <w:marBottom w:val="0"/>
              <w:divBdr>
                <w:top w:val="none" w:sz="0" w:space="0" w:color="auto"/>
                <w:left w:val="none" w:sz="0" w:space="0" w:color="auto"/>
                <w:bottom w:val="none" w:sz="0" w:space="0" w:color="auto"/>
                <w:right w:val="none" w:sz="0" w:space="0" w:color="auto"/>
              </w:divBdr>
              <w:divsChild>
                <w:div w:id="1986274605">
                  <w:marLeft w:val="0"/>
                  <w:marRight w:val="0"/>
                  <w:marTop w:val="0"/>
                  <w:marBottom w:val="0"/>
                  <w:divBdr>
                    <w:top w:val="none" w:sz="0" w:space="0" w:color="auto"/>
                    <w:left w:val="none" w:sz="0" w:space="0" w:color="auto"/>
                    <w:bottom w:val="none" w:sz="0" w:space="0" w:color="auto"/>
                    <w:right w:val="none" w:sz="0" w:space="0" w:color="auto"/>
                  </w:divBdr>
                  <w:divsChild>
                    <w:div w:id="231888682">
                      <w:marLeft w:val="0"/>
                      <w:marRight w:val="0"/>
                      <w:marTop w:val="0"/>
                      <w:marBottom w:val="0"/>
                      <w:divBdr>
                        <w:top w:val="none" w:sz="0" w:space="0" w:color="auto"/>
                        <w:left w:val="none" w:sz="0" w:space="0" w:color="auto"/>
                        <w:bottom w:val="none" w:sz="0" w:space="0" w:color="auto"/>
                        <w:right w:val="none" w:sz="0" w:space="0" w:color="auto"/>
                      </w:divBdr>
                      <w:divsChild>
                        <w:div w:id="1812869747">
                          <w:marLeft w:val="0"/>
                          <w:marRight w:val="0"/>
                          <w:marTop w:val="0"/>
                          <w:marBottom w:val="0"/>
                          <w:divBdr>
                            <w:top w:val="none" w:sz="0" w:space="0" w:color="auto"/>
                            <w:left w:val="none" w:sz="0" w:space="0" w:color="auto"/>
                            <w:bottom w:val="none" w:sz="0" w:space="0" w:color="auto"/>
                            <w:right w:val="none" w:sz="0" w:space="0" w:color="auto"/>
                          </w:divBdr>
                          <w:divsChild>
                            <w:div w:id="1479609848">
                              <w:marLeft w:val="0"/>
                              <w:marRight w:val="0"/>
                              <w:marTop w:val="0"/>
                              <w:marBottom w:val="0"/>
                              <w:divBdr>
                                <w:top w:val="none" w:sz="0" w:space="0" w:color="auto"/>
                                <w:left w:val="none" w:sz="0" w:space="0" w:color="auto"/>
                                <w:bottom w:val="none" w:sz="0" w:space="0" w:color="auto"/>
                                <w:right w:val="none" w:sz="0" w:space="0" w:color="auto"/>
                              </w:divBdr>
                              <w:divsChild>
                                <w:div w:id="1261991756">
                                  <w:marLeft w:val="0"/>
                                  <w:marRight w:val="0"/>
                                  <w:marTop w:val="0"/>
                                  <w:marBottom w:val="0"/>
                                  <w:divBdr>
                                    <w:top w:val="none" w:sz="0" w:space="0" w:color="auto"/>
                                    <w:left w:val="none" w:sz="0" w:space="0" w:color="auto"/>
                                    <w:bottom w:val="none" w:sz="0" w:space="0" w:color="auto"/>
                                    <w:right w:val="none" w:sz="0" w:space="0" w:color="auto"/>
                                  </w:divBdr>
                                  <w:divsChild>
                                    <w:div w:id="1083407594">
                                      <w:marLeft w:val="0"/>
                                      <w:marRight w:val="0"/>
                                      <w:marTop w:val="0"/>
                                      <w:marBottom w:val="0"/>
                                      <w:divBdr>
                                        <w:top w:val="none" w:sz="0" w:space="0" w:color="auto"/>
                                        <w:left w:val="none" w:sz="0" w:space="0" w:color="auto"/>
                                        <w:bottom w:val="none" w:sz="0" w:space="0" w:color="auto"/>
                                        <w:right w:val="none" w:sz="0" w:space="0" w:color="auto"/>
                                      </w:divBdr>
                                      <w:divsChild>
                                        <w:div w:id="212816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3544894">
      <w:bodyDiv w:val="1"/>
      <w:marLeft w:val="0"/>
      <w:marRight w:val="0"/>
      <w:marTop w:val="0"/>
      <w:marBottom w:val="0"/>
      <w:divBdr>
        <w:top w:val="none" w:sz="0" w:space="0" w:color="auto"/>
        <w:left w:val="none" w:sz="0" w:space="0" w:color="auto"/>
        <w:bottom w:val="none" w:sz="0" w:space="0" w:color="auto"/>
        <w:right w:val="none" w:sz="0" w:space="0" w:color="auto"/>
      </w:divBdr>
      <w:divsChild>
        <w:div w:id="286666958">
          <w:marLeft w:val="0"/>
          <w:marRight w:val="0"/>
          <w:marTop w:val="0"/>
          <w:marBottom w:val="0"/>
          <w:divBdr>
            <w:top w:val="none" w:sz="0" w:space="0" w:color="auto"/>
            <w:left w:val="none" w:sz="0" w:space="0" w:color="auto"/>
            <w:bottom w:val="none" w:sz="0" w:space="0" w:color="auto"/>
            <w:right w:val="none" w:sz="0" w:space="0" w:color="auto"/>
          </w:divBdr>
          <w:divsChild>
            <w:div w:id="546919987">
              <w:marLeft w:val="0"/>
              <w:marRight w:val="0"/>
              <w:marTop w:val="0"/>
              <w:marBottom w:val="0"/>
              <w:divBdr>
                <w:top w:val="none" w:sz="0" w:space="0" w:color="auto"/>
                <w:left w:val="none" w:sz="0" w:space="0" w:color="auto"/>
                <w:bottom w:val="none" w:sz="0" w:space="0" w:color="auto"/>
                <w:right w:val="none" w:sz="0" w:space="0" w:color="auto"/>
              </w:divBdr>
              <w:divsChild>
                <w:div w:id="980617734">
                  <w:marLeft w:val="0"/>
                  <w:marRight w:val="0"/>
                  <w:marTop w:val="0"/>
                  <w:marBottom w:val="0"/>
                  <w:divBdr>
                    <w:top w:val="none" w:sz="0" w:space="0" w:color="auto"/>
                    <w:left w:val="none" w:sz="0" w:space="0" w:color="auto"/>
                    <w:bottom w:val="none" w:sz="0" w:space="0" w:color="auto"/>
                    <w:right w:val="none" w:sz="0" w:space="0" w:color="auto"/>
                  </w:divBdr>
                  <w:divsChild>
                    <w:div w:id="161481139">
                      <w:marLeft w:val="0"/>
                      <w:marRight w:val="0"/>
                      <w:marTop w:val="0"/>
                      <w:marBottom w:val="0"/>
                      <w:divBdr>
                        <w:top w:val="none" w:sz="0" w:space="0" w:color="auto"/>
                        <w:left w:val="none" w:sz="0" w:space="0" w:color="auto"/>
                        <w:bottom w:val="none" w:sz="0" w:space="0" w:color="auto"/>
                        <w:right w:val="none" w:sz="0" w:space="0" w:color="auto"/>
                      </w:divBdr>
                      <w:divsChild>
                        <w:div w:id="6566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2563997">
      <w:bodyDiv w:val="1"/>
      <w:marLeft w:val="0"/>
      <w:marRight w:val="0"/>
      <w:marTop w:val="0"/>
      <w:marBottom w:val="0"/>
      <w:divBdr>
        <w:top w:val="none" w:sz="0" w:space="0" w:color="auto"/>
        <w:left w:val="none" w:sz="0" w:space="0" w:color="auto"/>
        <w:bottom w:val="none" w:sz="0" w:space="0" w:color="auto"/>
        <w:right w:val="none" w:sz="0" w:space="0" w:color="auto"/>
      </w:divBdr>
      <w:divsChild>
        <w:div w:id="1067341459">
          <w:marLeft w:val="0"/>
          <w:marRight w:val="0"/>
          <w:marTop w:val="0"/>
          <w:marBottom w:val="0"/>
          <w:divBdr>
            <w:top w:val="none" w:sz="0" w:space="0" w:color="auto"/>
            <w:left w:val="none" w:sz="0" w:space="0" w:color="auto"/>
            <w:bottom w:val="none" w:sz="0" w:space="0" w:color="auto"/>
            <w:right w:val="none" w:sz="0" w:space="0" w:color="auto"/>
          </w:divBdr>
          <w:divsChild>
            <w:div w:id="133111668">
              <w:marLeft w:val="0"/>
              <w:marRight w:val="0"/>
              <w:marTop w:val="0"/>
              <w:marBottom w:val="0"/>
              <w:divBdr>
                <w:top w:val="none" w:sz="0" w:space="0" w:color="auto"/>
                <w:left w:val="none" w:sz="0" w:space="0" w:color="auto"/>
                <w:bottom w:val="none" w:sz="0" w:space="0" w:color="auto"/>
                <w:right w:val="none" w:sz="0" w:space="0" w:color="auto"/>
              </w:divBdr>
              <w:divsChild>
                <w:div w:id="1725832681">
                  <w:marLeft w:val="0"/>
                  <w:marRight w:val="0"/>
                  <w:marTop w:val="0"/>
                  <w:marBottom w:val="0"/>
                  <w:divBdr>
                    <w:top w:val="none" w:sz="0" w:space="0" w:color="auto"/>
                    <w:left w:val="none" w:sz="0" w:space="0" w:color="auto"/>
                    <w:bottom w:val="none" w:sz="0" w:space="0" w:color="auto"/>
                    <w:right w:val="none" w:sz="0" w:space="0" w:color="auto"/>
                  </w:divBdr>
                  <w:divsChild>
                    <w:div w:id="1387725797">
                      <w:marLeft w:val="0"/>
                      <w:marRight w:val="0"/>
                      <w:marTop w:val="0"/>
                      <w:marBottom w:val="0"/>
                      <w:divBdr>
                        <w:top w:val="none" w:sz="0" w:space="0" w:color="auto"/>
                        <w:left w:val="none" w:sz="0" w:space="0" w:color="auto"/>
                        <w:bottom w:val="none" w:sz="0" w:space="0" w:color="auto"/>
                        <w:right w:val="none" w:sz="0" w:space="0" w:color="auto"/>
                      </w:divBdr>
                      <w:divsChild>
                        <w:div w:id="180292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044290">
      <w:bodyDiv w:val="1"/>
      <w:marLeft w:val="0"/>
      <w:marRight w:val="0"/>
      <w:marTop w:val="0"/>
      <w:marBottom w:val="0"/>
      <w:divBdr>
        <w:top w:val="none" w:sz="0" w:space="0" w:color="auto"/>
        <w:left w:val="none" w:sz="0" w:space="0" w:color="auto"/>
        <w:bottom w:val="none" w:sz="0" w:space="0" w:color="auto"/>
        <w:right w:val="none" w:sz="0" w:space="0" w:color="auto"/>
      </w:divBdr>
      <w:divsChild>
        <w:div w:id="681667324">
          <w:marLeft w:val="0"/>
          <w:marRight w:val="0"/>
          <w:marTop w:val="0"/>
          <w:marBottom w:val="0"/>
          <w:divBdr>
            <w:top w:val="none" w:sz="0" w:space="0" w:color="auto"/>
            <w:left w:val="none" w:sz="0" w:space="0" w:color="auto"/>
            <w:bottom w:val="none" w:sz="0" w:space="0" w:color="auto"/>
            <w:right w:val="none" w:sz="0" w:space="0" w:color="auto"/>
          </w:divBdr>
          <w:divsChild>
            <w:div w:id="1870217555">
              <w:marLeft w:val="0"/>
              <w:marRight w:val="0"/>
              <w:marTop w:val="0"/>
              <w:marBottom w:val="0"/>
              <w:divBdr>
                <w:top w:val="none" w:sz="0" w:space="0" w:color="auto"/>
                <w:left w:val="none" w:sz="0" w:space="0" w:color="auto"/>
                <w:bottom w:val="none" w:sz="0" w:space="0" w:color="auto"/>
                <w:right w:val="none" w:sz="0" w:space="0" w:color="auto"/>
              </w:divBdr>
              <w:divsChild>
                <w:div w:id="898127744">
                  <w:marLeft w:val="0"/>
                  <w:marRight w:val="0"/>
                  <w:marTop w:val="0"/>
                  <w:marBottom w:val="0"/>
                  <w:divBdr>
                    <w:top w:val="none" w:sz="0" w:space="0" w:color="auto"/>
                    <w:left w:val="none" w:sz="0" w:space="0" w:color="auto"/>
                    <w:bottom w:val="none" w:sz="0" w:space="0" w:color="auto"/>
                    <w:right w:val="none" w:sz="0" w:space="0" w:color="auto"/>
                  </w:divBdr>
                  <w:divsChild>
                    <w:div w:id="1733769308">
                      <w:marLeft w:val="0"/>
                      <w:marRight w:val="0"/>
                      <w:marTop w:val="0"/>
                      <w:marBottom w:val="0"/>
                      <w:divBdr>
                        <w:top w:val="none" w:sz="0" w:space="0" w:color="auto"/>
                        <w:left w:val="none" w:sz="0" w:space="0" w:color="auto"/>
                        <w:bottom w:val="none" w:sz="0" w:space="0" w:color="auto"/>
                        <w:right w:val="none" w:sz="0" w:space="0" w:color="auto"/>
                      </w:divBdr>
                      <w:divsChild>
                        <w:div w:id="92067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airwar.ru/enc/bww2/tu10.html" TargetMode="External"/><Relationship Id="rId117" Type="http://schemas.openxmlformats.org/officeDocument/2006/relationships/hyperlink" Target="http://www.airpages.ru/lw/me410su.shtml" TargetMode="External"/><Relationship Id="rId21" Type="http://schemas.openxmlformats.org/officeDocument/2006/relationships/hyperlink" Target="http://www.rpg-club.com/x1000" TargetMode="External"/><Relationship Id="rId42" Type="http://schemas.openxmlformats.org/officeDocument/2006/relationships/hyperlink" Target="http://wunderwaffe.narod.ru/Magazine/AirWar/100/14.htm" TargetMode="External"/><Relationship Id="rId47" Type="http://schemas.openxmlformats.org/officeDocument/2006/relationships/hyperlink" Target="http://www.allaces.ru/cgi-bin/s2.cgi/sssr/publ/05.dat" TargetMode="External"/><Relationship Id="rId63" Type="http://schemas.openxmlformats.org/officeDocument/2006/relationships/hyperlink" Target="http://airspot.ru/catalogue/item/piasecki-hrp-1-rescuer" TargetMode="External"/><Relationship Id="rId68" Type="http://schemas.openxmlformats.org/officeDocument/2006/relationships/hyperlink" Target="http://airspot.ru/catalogue/item/de-havilland-mosquito-b" TargetMode="External"/><Relationship Id="rId84" Type="http://schemas.openxmlformats.org/officeDocument/2006/relationships/hyperlink" Target="https://warspot.ru/11438-sherman-dobralsya-do-sankt-peterburga" TargetMode="External"/><Relationship Id="rId89" Type="http://schemas.openxmlformats.org/officeDocument/2006/relationships/hyperlink" Target="http://airspot.ru/catalogue/item/weiss-xni-2-kameleon" TargetMode="External"/><Relationship Id="rId112" Type="http://schemas.openxmlformats.org/officeDocument/2006/relationships/hyperlink" Target="http://www.airwar.ru/enc/aww2/ad1.html" TargetMode="External"/><Relationship Id="rId133" Type="http://schemas.openxmlformats.org/officeDocument/2006/relationships/hyperlink" Target="https://warspot.ru/5000-t-34-85-zvuki-snaruzhi-i-iznutri" TargetMode="External"/><Relationship Id="rId138" Type="http://schemas.openxmlformats.org/officeDocument/2006/relationships/hyperlink" Target="http://warspot.ru/5228-myshinaya-voznya" TargetMode="External"/><Relationship Id="rId154" Type="http://schemas.openxmlformats.org/officeDocument/2006/relationships/hyperlink" Target="http://www.airwar.ru/enc/fww2/spitful.html" TargetMode="External"/><Relationship Id="rId159" Type="http://schemas.openxmlformats.org/officeDocument/2006/relationships/hyperlink" Target="https://warspot.ru/5175-budapesht-1956-tanki-protiv-tankov" TargetMode="External"/><Relationship Id="rId16" Type="http://schemas.openxmlformats.org/officeDocument/2006/relationships/hyperlink" Target="http://warspot.ru/5004-protivovozdushnyy-schit-suhoputnyh-voysk" TargetMode="External"/><Relationship Id="rId107" Type="http://schemas.openxmlformats.org/officeDocument/2006/relationships/hyperlink" Target="http://arsenal-info.ru/b/book/842018072/7" TargetMode="External"/><Relationship Id="rId11" Type="http://schemas.openxmlformats.org/officeDocument/2006/relationships/hyperlink" Target="https://warspot.ru/2822-vesennee-probuzhdenie-poslednee-nastuplenie-reyha" TargetMode="External"/><Relationship Id="rId32" Type="http://schemas.openxmlformats.org/officeDocument/2006/relationships/hyperlink" Target="http://warspot.ru/3889-rozhdyonnyy-voynoy-kak-sozdavalsya-narkomat-tankovoy-promyshlennosti" TargetMode="External"/><Relationship Id="rId37" Type="http://schemas.openxmlformats.org/officeDocument/2006/relationships/hyperlink" Target="http://www.airwar.ru/enc/fww2/f8f.html" TargetMode="External"/><Relationship Id="rId53" Type="http://schemas.openxmlformats.org/officeDocument/2006/relationships/hyperlink" Target="http://airspot.ru/catalogue/item/curtiss-f15c" TargetMode="External"/><Relationship Id="rId58" Type="http://schemas.openxmlformats.org/officeDocument/2006/relationships/hyperlink" Target="http://istmat.info/node/62476" TargetMode="External"/><Relationship Id="rId74" Type="http://schemas.openxmlformats.org/officeDocument/2006/relationships/hyperlink" Target="http://www.archive.gov.tatarstan.ru/res/FCKeditor/fckeditor.php?FieldName=data_html" TargetMode="External"/><Relationship Id="rId79" Type="http://schemas.openxmlformats.org/officeDocument/2006/relationships/hyperlink" Target="http://glory-id.narod.ru/libra/libra993-1.htm" TargetMode="External"/><Relationship Id="rId102" Type="http://schemas.openxmlformats.org/officeDocument/2006/relationships/hyperlink" Target="https://warspot.ru/8843-vershina-evolyutsii" TargetMode="External"/><Relationship Id="rId123" Type="http://schemas.openxmlformats.org/officeDocument/2006/relationships/hyperlink" Target="http://www.cofe.ru/avia/T/T-39.htm" TargetMode="External"/><Relationship Id="rId128" Type="http://schemas.openxmlformats.org/officeDocument/2006/relationships/hyperlink" Target="http://airspot.ru/catalogue/item/fairey-firefly" TargetMode="External"/><Relationship Id="rId144" Type="http://schemas.openxmlformats.org/officeDocument/2006/relationships/hyperlink" Target="https://spasecraftrocket.org/rocket_v2.html" TargetMode="External"/><Relationship Id="rId149" Type="http://schemas.openxmlformats.org/officeDocument/2006/relationships/hyperlink" Target="http://warspot.ru/6864-poslednie-sovetskie-tyazhyolye-istrebiteli-tankov" TargetMode="External"/><Relationship Id="rId5" Type="http://schemas.openxmlformats.org/officeDocument/2006/relationships/webSettings" Target="webSettings.xml"/><Relationship Id="rId90" Type="http://schemas.openxmlformats.org/officeDocument/2006/relationships/hyperlink" Target="http://www.airwar.ru/enc/fww2/spitful.html" TargetMode="External"/><Relationship Id="rId95" Type="http://schemas.openxmlformats.org/officeDocument/2006/relationships/hyperlink" Target="http://www.airwar.ru/enc/fww2/fr.html" TargetMode="External"/><Relationship Id="rId160" Type="http://schemas.openxmlformats.org/officeDocument/2006/relationships/hyperlink" Target="http://warspot.ru/6240-tyaglovaya-sila" TargetMode="External"/><Relationship Id="rId22" Type="http://schemas.openxmlformats.org/officeDocument/2006/relationships/hyperlink" Target="http://www.rpg-club.com/x1000" TargetMode="External"/><Relationship Id="rId27" Type="http://schemas.openxmlformats.org/officeDocument/2006/relationships/hyperlink" Target="http://www.airwar.ru/enc/fww2/p51h.html" TargetMode="External"/><Relationship Id="rId43" Type="http://schemas.openxmlformats.org/officeDocument/2006/relationships/hyperlink" Target="http://airspot.ru/catalogue/item/mikoyan-gurevich-i-225" TargetMode="External"/><Relationship Id="rId48" Type="http://schemas.openxmlformats.org/officeDocument/2006/relationships/hyperlink" Target="http://www.airpages.ru/lw/ar234bp.shtml" TargetMode="External"/><Relationship Id="rId64" Type="http://schemas.openxmlformats.org/officeDocument/2006/relationships/hyperlink" Target="http://airspot.ru/catalogue/item/grumman-f7f-2-tigercat" TargetMode="External"/><Relationship Id="rId69" Type="http://schemas.openxmlformats.org/officeDocument/2006/relationships/hyperlink" Target="http://www.airwar.ru/enc/sww2/tb2d.html" TargetMode="External"/><Relationship Id="rId113" Type="http://schemas.openxmlformats.org/officeDocument/2006/relationships/hyperlink" Target="http://www.airwar.ru/enc/spyww2/r2y.html" TargetMode="External"/><Relationship Id="rId118" Type="http://schemas.openxmlformats.org/officeDocument/2006/relationships/hyperlink" Target="http://www.airwar.ru/enc/sea/p2.html" TargetMode="External"/><Relationship Id="rId134" Type="http://schemas.openxmlformats.org/officeDocument/2006/relationships/hyperlink" Target="https://warspot.ru/11163-su-100-po-chehoslovatski" TargetMode="External"/><Relationship Id="rId139" Type="http://schemas.openxmlformats.org/officeDocument/2006/relationships/hyperlink" Target="http://warspot.ru/6247-samyy-pervyy-is-7" TargetMode="External"/><Relationship Id="rId80" Type="http://schemas.openxmlformats.org/officeDocument/2006/relationships/hyperlink" Target="https://warspot.ru/2540-svoboda-skreplyonnaya-svarkoy" TargetMode="External"/><Relationship Id="rId85" Type="http://schemas.openxmlformats.org/officeDocument/2006/relationships/hyperlink" Target="https://warspot.ru/2540-svoboda-skreplyonnaya-svarkoy" TargetMode="External"/><Relationship Id="rId150" Type="http://schemas.openxmlformats.org/officeDocument/2006/relationships/hyperlink" Target="https://warspot.ru/10055-iz-shturmovyh-sau-v-istrebiteli-tankov" TargetMode="External"/><Relationship Id="rId155" Type="http://schemas.openxmlformats.org/officeDocument/2006/relationships/hyperlink" Target="http://www.airwar.ru/enc/fighter/f5u.html" TargetMode="External"/><Relationship Id="rId12" Type="http://schemas.openxmlformats.org/officeDocument/2006/relationships/hyperlink" Target="http://www.archive.gov.tatarstan.ru/res/FCKeditor/fckeditor.php?FieldName=data_html" TargetMode="External"/><Relationship Id="rId17" Type="http://schemas.openxmlformats.org/officeDocument/2006/relationships/hyperlink" Target="https://warspot.ru/11969-sad-pryanostey-v-zimney-vengrii" TargetMode="External"/><Relationship Id="rId33" Type="http://schemas.openxmlformats.org/officeDocument/2006/relationships/hyperlink" Target="http://www.airwar.ru/enc/fww2/bv155.html" TargetMode="External"/><Relationship Id="rId38" Type="http://schemas.openxmlformats.org/officeDocument/2006/relationships/hyperlink" Target="http://www.airwar.ru/enc/fww2/yak3pd.html" TargetMode="External"/><Relationship Id="rId59" Type="http://schemas.openxmlformats.org/officeDocument/2006/relationships/hyperlink" Target="http://istmat.info/node/62476" TargetMode="External"/><Relationship Id="rId103" Type="http://schemas.openxmlformats.org/officeDocument/2006/relationships/hyperlink" Target="http://warspot.ru/4367-kak-sozdavalsya-lttb" TargetMode="External"/><Relationship Id="rId108" Type="http://schemas.openxmlformats.org/officeDocument/2006/relationships/hyperlink" Target="http://airspot.ru/catalogue/item/curtiss-f15c" TargetMode="External"/><Relationship Id="rId124" Type="http://schemas.openxmlformats.org/officeDocument/2006/relationships/hyperlink" Target="http://www.airwar.ru/enc/other2/il10u.html" TargetMode="External"/><Relationship Id="rId129" Type="http://schemas.openxmlformats.org/officeDocument/2006/relationships/hyperlink" Target="http://www.airwar.ru/enc/fighter/mig13.html" TargetMode="External"/><Relationship Id="rId54" Type="http://schemas.openxmlformats.org/officeDocument/2006/relationships/hyperlink" Target="http://gorod.tomsk.ru/index-1247442444.php" TargetMode="External"/><Relationship Id="rId70" Type="http://schemas.openxmlformats.org/officeDocument/2006/relationships/hyperlink" Target="http://www.airwar.ru/enc/bww2/lankast.html" TargetMode="External"/><Relationship Id="rId75" Type="http://schemas.openxmlformats.org/officeDocument/2006/relationships/hyperlink" Target="http://www.airwar.ru/enc/fww2/yak3p.html" TargetMode="External"/><Relationship Id="rId91" Type="http://schemas.openxmlformats.org/officeDocument/2006/relationships/hyperlink" Target="http://www.airwar.ru/enc/fww2/re2000.html" TargetMode="External"/><Relationship Id="rId96" Type="http://schemas.openxmlformats.org/officeDocument/2006/relationships/hyperlink" Target="http://sukhoi.org/planes/museum/su5/" TargetMode="External"/><Relationship Id="rId140" Type="http://schemas.openxmlformats.org/officeDocument/2006/relationships/hyperlink" Target="http://otvaga2004.narod.ru/publ_w7_2010/0071_yak.htm" TargetMode="External"/><Relationship Id="rId145" Type="http://schemas.openxmlformats.org/officeDocument/2006/relationships/hyperlink" Target="http://wunderwaffe.narod.ru/Magazine/AirWar/33/06.htm" TargetMode="External"/><Relationship Id="rId161" Type="http://schemas.openxmlformats.org/officeDocument/2006/relationships/hyperlink" Target="http://warspot.ru/4562-sotyy-lishniy" TargetMode="External"/><Relationship Id="rId1" Type="http://schemas.openxmlformats.org/officeDocument/2006/relationships/customXml" Target="../customXml/item1.xml"/><Relationship Id="rId6" Type="http://schemas.openxmlformats.org/officeDocument/2006/relationships/hyperlink" Target="https://warspot.ru/11969-sad-pryanostey-v-zimney-vengrii" TargetMode="External"/><Relationship Id="rId15" Type="http://schemas.openxmlformats.org/officeDocument/2006/relationships/hyperlink" Target="http://http/tamanoi.livejournal.com/24146.html" TargetMode="External"/><Relationship Id="rId23" Type="http://schemas.openxmlformats.org/officeDocument/2006/relationships/hyperlink" Target="http://www.rpg-club.com/x1000" TargetMode="External"/><Relationship Id="rId28" Type="http://schemas.openxmlformats.org/officeDocument/2006/relationships/hyperlink" Target="http://www.airwar.ru/enc/fww2/yak3pd.html" TargetMode="External"/><Relationship Id="rId36" Type="http://schemas.openxmlformats.org/officeDocument/2006/relationships/hyperlink" Target="http://german-ufo.com/index.php?option=com_cont...gory&amp;id=17&amp;Itemid=73" TargetMode="External"/><Relationship Id="rId49" Type="http://schemas.openxmlformats.org/officeDocument/2006/relationships/hyperlink" Target="http://www.airpages.ru/ru/pe8on.shtml" TargetMode="External"/><Relationship Id="rId57" Type="http://schemas.openxmlformats.org/officeDocument/2006/relationships/hyperlink" Target="http://www.libussr.ru/doc_ussr/ussr_1977.htm" TargetMode="External"/><Relationship Id="rId106" Type="http://schemas.openxmlformats.org/officeDocument/2006/relationships/hyperlink" Target="https://warspot.ru/7406-t-70-podrosshiy-malysh" TargetMode="External"/><Relationship Id="rId114" Type="http://schemas.openxmlformats.org/officeDocument/2006/relationships/hyperlink" Target="http://il2-sturmovik.ru/yak3r.html" TargetMode="External"/><Relationship Id="rId119" Type="http://schemas.openxmlformats.org/officeDocument/2006/relationships/hyperlink" Target="http://www.archive.gov.tatarstan.ru/res/FCKeditor/fckeditor.php?FieldName=data_html" TargetMode="External"/><Relationship Id="rId127" Type="http://schemas.openxmlformats.org/officeDocument/2006/relationships/hyperlink" Target="http://www.airwar.ru/enc/heli/se700.html" TargetMode="External"/><Relationship Id="rId10" Type="http://schemas.openxmlformats.org/officeDocument/2006/relationships/hyperlink" Target="https://warspot.ru/11969-sad-pryanostey-v-zimney-vengrii" TargetMode="External"/><Relationship Id="rId31" Type="http://schemas.openxmlformats.org/officeDocument/2006/relationships/hyperlink" Target="http://www.airwar.ru/enc/spyww2/ju635.html" TargetMode="External"/><Relationship Id="rId44" Type="http://schemas.openxmlformats.org/officeDocument/2006/relationships/hyperlink" Target="http://airspot.ru/catalogue/item/hawker-sea-fury" TargetMode="External"/><Relationship Id="rId52" Type="http://schemas.openxmlformats.org/officeDocument/2006/relationships/hyperlink" Target="http://www.airwar.ru/enc/craft/br500.html" TargetMode="External"/><Relationship Id="rId60" Type="http://schemas.openxmlformats.org/officeDocument/2006/relationships/hyperlink" Target="http://istmat.info/node/62476" TargetMode="External"/><Relationship Id="rId65" Type="http://schemas.openxmlformats.org/officeDocument/2006/relationships/hyperlink" Target="http://airspot.ru/catalogue/item/yakovlev-yak-9dd" TargetMode="External"/><Relationship Id="rId73" Type="http://schemas.openxmlformats.org/officeDocument/2006/relationships/hyperlink" Target="http://www.airwar.ru/weapon/ab/10x.html" TargetMode="External"/><Relationship Id="rId78" Type="http://schemas.openxmlformats.org/officeDocument/2006/relationships/hyperlink" Target="http://www.airwar.ru/enc/fww2/p59.html" TargetMode="External"/><Relationship Id="rId81" Type="http://schemas.openxmlformats.org/officeDocument/2006/relationships/hyperlink" Target="http://www.archive.gov.tatarstan.ru/res/FCKeditor/fckeditor.php?FieldName=data_html" TargetMode="External"/><Relationship Id="rId86" Type="http://schemas.openxmlformats.org/officeDocument/2006/relationships/hyperlink" Target="https://warspot.ru/12034-ruchka-druzhby-dlya-korolevskogo-tigra" TargetMode="External"/><Relationship Id="rId94" Type="http://schemas.openxmlformats.org/officeDocument/2006/relationships/hyperlink" Target="http://pro-samolet.ru/samolety-sssr-ww2/bomberd...mbardir-tu-2?start=5" TargetMode="External"/><Relationship Id="rId99" Type="http://schemas.openxmlformats.org/officeDocument/2006/relationships/hyperlink" Target="http://airspot.ru/catalogue/item/north-american-p-51d-mustang" TargetMode="External"/><Relationship Id="rId101" Type="http://schemas.openxmlformats.org/officeDocument/2006/relationships/hyperlink" Target="https://warspot.ru/13151-samaya-massovaya-tyazhyolaya-samohodka-v-istorii" TargetMode="External"/><Relationship Id="rId122" Type="http://schemas.openxmlformats.org/officeDocument/2006/relationships/hyperlink" Target="http://www.airwar.ru/enc/bww2/sdb.html" TargetMode="External"/><Relationship Id="rId130" Type="http://schemas.openxmlformats.org/officeDocument/2006/relationships/hyperlink" Target="http://sergib.agava.ru/russia/mikoyan/i/250/i250.htm" TargetMode="External"/><Relationship Id="rId135" Type="http://schemas.openxmlformats.org/officeDocument/2006/relationships/hyperlink" Target="http://www.airwar.ru/enc/bomber/b49.html" TargetMode="External"/><Relationship Id="rId143" Type="http://schemas.openxmlformats.org/officeDocument/2006/relationships/hyperlink" Target="http://pro-samolet.ru/samolety-sssr-ww2/tranpor...samolet-li-2?start=1" TargetMode="External"/><Relationship Id="rId148" Type="http://schemas.openxmlformats.org/officeDocument/2006/relationships/hyperlink" Target="http://warspot.ru/4995-tankostroenie-na-grani-zdravogo-smysla" TargetMode="External"/><Relationship Id="rId151" Type="http://schemas.openxmlformats.org/officeDocument/2006/relationships/hyperlink" Target="http://www.archive.gov.tatarstan.ru/res/FCKeditor/fckeditor.php?FieldName=data_html" TargetMode="External"/><Relationship Id="rId156" Type="http://schemas.openxmlformats.org/officeDocument/2006/relationships/hyperlink" Target="http://www.airwar.ru/enc/aww2/tago.html" TargetMode="External"/><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liveinternet.ru/www.odin.tc/books/japsub/" TargetMode="External"/><Relationship Id="rId13" Type="http://schemas.openxmlformats.org/officeDocument/2006/relationships/hyperlink" Target="https://warspot.ru/12830-yagdpantera-ne-raskryvshaya-svoih-talantov" TargetMode="External"/><Relationship Id="rId18" Type="http://schemas.openxmlformats.org/officeDocument/2006/relationships/hyperlink" Target="https://warspot.ru/2822-vesennee-probuzhdenie-poslednee-nastuplenie-reyha" TargetMode="External"/><Relationship Id="rId39" Type="http://schemas.openxmlformats.org/officeDocument/2006/relationships/hyperlink" Target="http://www.airwar.ru/enc/other/ju52ms.html" TargetMode="External"/><Relationship Id="rId109" Type="http://schemas.openxmlformats.org/officeDocument/2006/relationships/hyperlink" Target="http://www.kriegsmarine.ru/orion.php" TargetMode="External"/><Relationship Id="rId34" Type="http://schemas.openxmlformats.org/officeDocument/2006/relationships/hyperlink" Target="http://www.airwar.ru/enc/fww2/d4ys.html" TargetMode="External"/><Relationship Id="rId50" Type="http://schemas.openxmlformats.org/officeDocument/2006/relationships/hyperlink" Target="http://www.airwar.ru/enc/fww2/ba349.html" TargetMode="External"/><Relationship Id="rId55" Type="http://schemas.openxmlformats.org/officeDocument/2006/relationships/hyperlink" Target="http://airspot.ru/catalogue/item/bell-f-83" TargetMode="External"/><Relationship Id="rId76" Type="http://schemas.openxmlformats.org/officeDocument/2006/relationships/hyperlink" Target="http://www.airwar.ru/enc/glider/dfs230.html" TargetMode="External"/><Relationship Id="rId97" Type="http://schemas.openxmlformats.org/officeDocument/2006/relationships/hyperlink" Target="http://www.airwar.ru/enc/fww2/su5.html" TargetMode="External"/><Relationship Id="rId104" Type="http://schemas.openxmlformats.org/officeDocument/2006/relationships/hyperlink" Target="http://coollib.com/b/259723/read" TargetMode="External"/><Relationship Id="rId120" Type="http://schemas.openxmlformats.org/officeDocument/2006/relationships/hyperlink" Target="http://www.airwar.ru/enc/fighter/f7f3n.html" TargetMode="External"/><Relationship Id="rId125" Type="http://schemas.openxmlformats.org/officeDocument/2006/relationships/hyperlink" Target="http://www.airwar.ru/enc/bww2/db108.html" TargetMode="External"/><Relationship Id="rId141" Type="http://schemas.openxmlformats.org/officeDocument/2006/relationships/hyperlink" Target="http://www.aviarmor.net/aww2/aircraft_exp/ussr/tu-1.htm" TargetMode="External"/><Relationship Id="rId146" Type="http://schemas.openxmlformats.org/officeDocument/2006/relationships/hyperlink" Target="http://www.sovboat.ru/ship/mxii.php3" TargetMode="External"/><Relationship Id="rId7" Type="http://schemas.openxmlformats.org/officeDocument/2006/relationships/hyperlink" Target="https://warspot.ru/2822-vesennee-probuzhdenie-poslednee-nastuplenie-reyha" TargetMode="External"/><Relationship Id="rId71" Type="http://schemas.openxmlformats.org/officeDocument/2006/relationships/hyperlink" Target="http://www.airwar.ru/enc/fww2/i225.html" TargetMode="External"/><Relationship Id="rId92" Type="http://schemas.openxmlformats.org/officeDocument/2006/relationships/hyperlink" Target="http://www.airwar.ru/enc/fighter/mig13.html" TargetMode="External"/><Relationship Id="rId162" Type="http://schemas.openxmlformats.org/officeDocument/2006/relationships/hyperlink" Target="http://warspot.ru/8784-gigantskaya-mysh" TargetMode="External"/><Relationship Id="rId2" Type="http://schemas.openxmlformats.org/officeDocument/2006/relationships/numbering" Target="numbering.xml"/><Relationship Id="rId29" Type="http://schemas.openxmlformats.org/officeDocument/2006/relationships/hyperlink" Target="http://warplanefuns.ru/history-of-war-main/item...pobeda.html?start=15" TargetMode="External"/><Relationship Id="rId24" Type="http://schemas.openxmlformats.org/officeDocument/2006/relationships/hyperlink" Target="http://warspot.ru/6247-samyy-pervyy-is-7" TargetMode="External"/><Relationship Id="rId40" Type="http://schemas.openxmlformats.org/officeDocument/2006/relationships/hyperlink" Target="http://www.airwar.ru/enc/bww2/d4y.html" TargetMode="External"/><Relationship Id="rId45" Type="http://schemas.openxmlformats.org/officeDocument/2006/relationships/hyperlink" Target="http://www.airwar.ru/history/av2ww/axis/uab/uab.html" TargetMode="External"/><Relationship Id="rId66" Type="http://schemas.openxmlformats.org/officeDocument/2006/relationships/hyperlink" Target="http://www.airwar.ru/enc/fighter/f7f3.html" TargetMode="External"/><Relationship Id="rId87" Type="http://schemas.openxmlformats.org/officeDocument/2006/relationships/hyperlink" Target="https://warspot.ru/11163-su-100-po-chehoslovatski" TargetMode="External"/><Relationship Id="rId110" Type="http://schemas.openxmlformats.org/officeDocument/2006/relationships/hyperlink" Target="http://www.airwar.ru/enc/fww2/fm2.html" TargetMode="External"/><Relationship Id="rId115" Type="http://schemas.openxmlformats.org/officeDocument/2006/relationships/hyperlink" Target="http://www.airwar.ru/enc/fww2/yak3vk107.html" TargetMode="External"/><Relationship Id="rId131" Type="http://schemas.openxmlformats.org/officeDocument/2006/relationships/hyperlink" Target="http://www.airwar.ru/enc/aww2/il8.html" TargetMode="External"/><Relationship Id="rId136" Type="http://schemas.openxmlformats.org/officeDocument/2006/relationships/hyperlink" Target="http://www.airwar.ru/enc/other2/il10u.html" TargetMode="External"/><Relationship Id="rId157" Type="http://schemas.openxmlformats.org/officeDocument/2006/relationships/hyperlink" Target="http://www.airwar.ru/enc/fww2/yak3pd.html" TargetMode="External"/><Relationship Id="rId61" Type="http://schemas.openxmlformats.org/officeDocument/2006/relationships/hyperlink" Target="http://istmat.info/node/62476" TargetMode="External"/><Relationship Id="rId82" Type="http://schemas.openxmlformats.org/officeDocument/2006/relationships/hyperlink" Target="https://warspot.ru/6954-dva-ppsh-2000-vystrelov-v-minutu" TargetMode="External"/><Relationship Id="rId152" Type="http://schemas.openxmlformats.org/officeDocument/2006/relationships/hyperlink" Target="http://teatrskazka.com/Raznoe/PostanovGKO/194506/gko_9174.html" TargetMode="External"/><Relationship Id="rId19" Type="http://schemas.openxmlformats.org/officeDocument/2006/relationships/hyperlink" Target="http://warspot.ru/3889-rozhdyonnyy-voynoy-kak-sozdavalsya-narkomat-tankovoy-promyshlennosti" TargetMode="External"/><Relationship Id="rId14" Type="http://schemas.openxmlformats.org/officeDocument/2006/relationships/hyperlink" Target="http://www.airwar.ru/enc/bww2/ki115.html" TargetMode="External"/><Relationship Id="rId30" Type="http://schemas.openxmlformats.org/officeDocument/2006/relationships/hyperlink" Target="http://www.airwar.ru/enc/bww2/db108.html" TargetMode="External"/><Relationship Id="rId35" Type="http://schemas.openxmlformats.org/officeDocument/2006/relationships/hyperlink" Target="http://adler47.at.ua/publ/22-1-0-46%20waralbum.ru/category/war/west/allies_bomb_west/dresden_bomb/" TargetMode="External"/><Relationship Id="rId56" Type="http://schemas.openxmlformats.org/officeDocument/2006/relationships/hyperlink" Target="https://warspot.ru/6247-samyy-pervyy-is-7" TargetMode="External"/><Relationship Id="rId77" Type="http://schemas.openxmlformats.org/officeDocument/2006/relationships/hyperlink" Target="http://www.airwar.ru/enc/fighter/f87.html" TargetMode="External"/><Relationship Id="rId100" Type="http://schemas.openxmlformats.org/officeDocument/2006/relationships/hyperlink" Target="http://topwar.ru/4832-gibel-linkora-yamato.html" TargetMode="External"/><Relationship Id="rId105" Type="http://schemas.openxmlformats.org/officeDocument/2006/relationships/hyperlink" Target="https://warspot.ru/6954-dva-ppsh-2000-vystrelov-v-minutu" TargetMode="External"/><Relationship Id="rId126" Type="http://schemas.openxmlformats.org/officeDocument/2006/relationships/hyperlink" Target="http://www.airwar.ru/enc/fww2/yak3vk107.html" TargetMode="External"/><Relationship Id="rId147" Type="http://schemas.openxmlformats.org/officeDocument/2006/relationships/hyperlink" Target="http://warspot.ru/4960-kv-3-nabor-tankovoy-massy" TargetMode="External"/><Relationship Id="rId8" Type="http://schemas.openxmlformats.org/officeDocument/2006/relationships/hyperlink" Target="https://warspot.ru/15432-predshestvennik-revolyutsii" TargetMode="External"/><Relationship Id="rId51" Type="http://schemas.openxmlformats.org/officeDocument/2006/relationships/hyperlink" Target="http://www.airwar.ru/enc/fww2/me262c.html" TargetMode="External"/><Relationship Id="rId72" Type="http://schemas.openxmlformats.org/officeDocument/2006/relationships/hyperlink" Target="http://airspot.ru/catalogue/item/yakovlev-yak-9ut" TargetMode="External"/><Relationship Id="rId93" Type="http://schemas.openxmlformats.org/officeDocument/2006/relationships/hyperlink" Target="http://airspot.ru/catalogue/item/tupolev-sdb" TargetMode="External"/><Relationship Id="rId98" Type="http://schemas.openxmlformats.org/officeDocument/2006/relationships/hyperlink" Target="http://www.airwar.ru/enc/bomber/tu64.html" TargetMode="External"/><Relationship Id="rId121" Type="http://schemas.openxmlformats.org/officeDocument/2006/relationships/hyperlink" Target="http://www.airwar.ru/enc/other2/il10u.html" TargetMode="External"/><Relationship Id="rId142" Type="http://schemas.openxmlformats.org/officeDocument/2006/relationships/hyperlink" Target="http://www.airwar.ru/enc/bww2/tu10.html"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base13.glasnet.ru/text/ki100/ki100as.htm" TargetMode="External"/><Relationship Id="rId46" Type="http://schemas.openxmlformats.org/officeDocument/2006/relationships/hyperlink" Target="http://www.airwar.ru/enc/fww2/la7r.html" TargetMode="External"/><Relationship Id="rId67" Type="http://schemas.openxmlformats.org/officeDocument/2006/relationships/hyperlink" Target="https://warspot.ru/6240-tyaglovaya-sila" TargetMode="External"/><Relationship Id="rId116" Type="http://schemas.openxmlformats.org/officeDocument/2006/relationships/hyperlink" Target="http://www.airwar.ru/enc/fww2/yak3pd.html" TargetMode="External"/><Relationship Id="rId137" Type="http://schemas.openxmlformats.org/officeDocument/2006/relationships/hyperlink" Target="http://warspot.ru/5228-myshinaya-voznya" TargetMode="External"/><Relationship Id="rId158" Type="http://schemas.openxmlformats.org/officeDocument/2006/relationships/hyperlink" Target="http://airspot.ru/catalogue/item/tupolev-tu-10" TargetMode="External"/><Relationship Id="rId20" Type="http://schemas.openxmlformats.org/officeDocument/2006/relationships/hyperlink" Target="http://www.rpg-club.com/x1000" TargetMode="External"/><Relationship Id="rId41" Type="http://schemas.openxmlformats.org/officeDocument/2006/relationships/hyperlink" Target="http://pro-samolet.ru/samolet-japan/samoleti-im...-yokosuka-d4y-suisei" TargetMode="External"/><Relationship Id="rId62" Type="http://schemas.openxmlformats.org/officeDocument/2006/relationships/hyperlink" Target="http://istmat.info/node/62476" TargetMode="External"/><Relationship Id="rId83" Type="http://schemas.openxmlformats.org/officeDocument/2006/relationships/hyperlink" Target="https://warspot.ru/7406-t-70-podrosshiy-malysh" TargetMode="External"/><Relationship Id="rId88" Type="http://schemas.openxmlformats.org/officeDocument/2006/relationships/hyperlink" Target="http://coollib.com/b/259723/read" TargetMode="External"/><Relationship Id="rId111" Type="http://schemas.openxmlformats.org/officeDocument/2006/relationships/hyperlink" Target="http://airspot.ru/catalogue/item/yakovlev-yak-3pd" TargetMode="External"/><Relationship Id="rId132" Type="http://schemas.openxmlformats.org/officeDocument/2006/relationships/hyperlink" Target="http://www.airwar.ru/enc/fww2/yak9s.html" TargetMode="External"/><Relationship Id="rId153" Type="http://schemas.openxmlformats.org/officeDocument/2006/relationships/hyperlink" Target="http://www.airwar.ru/enc/craft/vikin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E02283-827F-4658-89EB-56CBF8B5B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781</Pages>
  <Words>921131</Words>
  <Characters>5250453</Characters>
  <Application>Microsoft Office Word</Application>
  <DocSecurity>0</DocSecurity>
  <Lines>43753</Lines>
  <Paragraphs>12318</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6159266</CharactersWithSpaces>
  <SharedDoc>false</SharedDoc>
  <HLinks>
    <vt:vector size="6" baseType="variant">
      <vt:variant>
        <vt:i4>3604607</vt:i4>
      </vt:variant>
      <vt:variant>
        <vt:i4>3</vt:i4>
      </vt:variant>
      <vt:variant>
        <vt:i4>0</vt:i4>
      </vt:variant>
      <vt:variant>
        <vt:i4>5</vt:i4>
      </vt:variant>
      <vt:variant>
        <vt:lpwstr>http://teatrskazka.com/Raznoe/PostanovGKO/194506/gko_9174.html</vt:lpwstr>
      </vt:variant>
      <vt:variant>
        <vt:lpwstr>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70</cp:revision>
  <dcterms:created xsi:type="dcterms:W3CDTF">2022-05-04T16:39:00Z</dcterms:created>
  <dcterms:modified xsi:type="dcterms:W3CDTF">2022-05-08T09:06:00Z</dcterms:modified>
</cp:coreProperties>
</file>